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9802B" w14:textId="2E0DF3C2" w:rsidR="00933AEF" w:rsidRDefault="00933AEF" w:rsidP="00933AEF">
      <w:pPr>
        <w:ind w:left="-284" w:right="-234"/>
        <w:jc w:val="center"/>
        <w:rPr>
          <w:rFonts w:ascii="Arial" w:hAnsi="Arial" w:cs="Arial"/>
          <w:b/>
          <w:sz w:val="28"/>
          <w:szCs w:val="28"/>
          <w:lang w:val="es-MX"/>
        </w:rPr>
      </w:pPr>
      <w:r w:rsidRPr="00933AEF">
        <w:rPr>
          <w:rFonts w:ascii="Arial" w:hAnsi="Arial" w:cs="Arial"/>
          <w:b/>
          <w:sz w:val="28"/>
          <w:szCs w:val="28"/>
          <w:lang w:val="es-MX"/>
        </w:rPr>
        <w:t xml:space="preserve">ANEXO </w:t>
      </w:r>
      <w:r>
        <w:rPr>
          <w:rFonts w:ascii="Arial" w:hAnsi="Arial" w:cs="Arial"/>
          <w:b/>
          <w:sz w:val="28"/>
          <w:szCs w:val="28"/>
          <w:lang w:val="es-MX"/>
        </w:rPr>
        <w:t>I CAPITULO N° 1</w:t>
      </w:r>
    </w:p>
    <w:p w14:paraId="6FB5979B" w14:textId="24860481" w:rsidR="00B351D8" w:rsidRDefault="00B351D8" w:rsidP="00933AEF">
      <w:pPr>
        <w:ind w:left="-284" w:right="-234"/>
        <w:jc w:val="center"/>
        <w:rPr>
          <w:rFonts w:ascii="Arial" w:hAnsi="Arial" w:cs="Arial"/>
          <w:b/>
          <w:sz w:val="28"/>
          <w:szCs w:val="28"/>
          <w:lang w:val="es-MX"/>
        </w:rPr>
      </w:pPr>
    </w:p>
    <w:p w14:paraId="3FE7E122" w14:textId="51729D7F" w:rsidR="00B351D8" w:rsidRDefault="00B351D8" w:rsidP="00B351D8">
      <w:pPr>
        <w:ind w:left="-284" w:right="-234"/>
        <w:jc w:val="center"/>
        <w:rPr>
          <w:rFonts w:ascii="Arial" w:hAnsi="Arial" w:cs="Arial"/>
          <w:b/>
          <w:sz w:val="32"/>
          <w:szCs w:val="32"/>
          <w:lang w:val="es-MX"/>
        </w:rPr>
      </w:pPr>
      <w:r>
        <w:rPr>
          <w:rFonts w:ascii="Arial" w:hAnsi="Arial" w:cs="Arial"/>
          <w:b/>
          <w:sz w:val="32"/>
          <w:szCs w:val="32"/>
          <w:lang w:val="es-MX"/>
        </w:rPr>
        <w:t xml:space="preserve">PRINCIPALES </w:t>
      </w:r>
      <w:r w:rsidR="00BF521A">
        <w:rPr>
          <w:rFonts w:ascii="Arial" w:hAnsi="Arial" w:cs="Arial"/>
          <w:b/>
          <w:sz w:val="32"/>
          <w:szCs w:val="32"/>
          <w:lang w:val="es-MX"/>
        </w:rPr>
        <w:t>OBSERVACIONES</w:t>
      </w:r>
      <w:r>
        <w:rPr>
          <w:rFonts w:ascii="Arial" w:hAnsi="Arial" w:cs="Arial"/>
          <w:b/>
          <w:sz w:val="32"/>
          <w:szCs w:val="32"/>
          <w:lang w:val="es-MX"/>
        </w:rPr>
        <w:t xml:space="preserve"> </w:t>
      </w:r>
      <w:r w:rsidR="00BF521A">
        <w:rPr>
          <w:rFonts w:ascii="Arial" w:hAnsi="Arial" w:cs="Arial"/>
          <w:b/>
          <w:sz w:val="32"/>
          <w:szCs w:val="32"/>
          <w:lang w:val="es-MX"/>
        </w:rPr>
        <w:t xml:space="preserve">A </w:t>
      </w:r>
      <w:r>
        <w:rPr>
          <w:rFonts w:ascii="Arial" w:hAnsi="Arial" w:cs="Arial"/>
          <w:b/>
          <w:sz w:val="32"/>
          <w:szCs w:val="32"/>
          <w:lang w:val="es-MX"/>
        </w:rPr>
        <w:t>LA INFORMACIÓN PRESENTADA A LA COMISIÓN LEGAL DE CUENTAS DE LA CÁMARA DE REPRESENTANTES POR LAS UNIDADES EJECUTORAS DEL PRESUPUESTO GENERAL Y LAS EMPRESAS, ENTIDADES, FONDOS Y PATRIMONIOS AUTÓNOMOS DE LA NACIÓN VIGENCIA FISCAL 2024</w:t>
      </w:r>
    </w:p>
    <w:p w14:paraId="4C801AAD" w14:textId="698C3277" w:rsidR="00F63D26" w:rsidRDefault="00F63D26" w:rsidP="00933AEF">
      <w:pPr>
        <w:ind w:left="-284" w:right="-234"/>
        <w:jc w:val="center"/>
        <w:rPr>
          <w:rFonts w:ascii="Arial" w:hAnsi="Arial" w:cs="Arial"/>
          <w:b/>
          <w:sz w:val="28"/>
          <w:szCs w:val="28"/>
          <w:lang w:val="es-MX"/>
        </w:rPr>
      </w:pPr>
    </w:p>
    <w:p w14:paraId="0FD9C6F5" w14:textId="77777777" w:rsidR="00B351D8" w:rsidRDefault="00B351D8" w:rsidP="00B351D8">
      <w:pPr>
        <w:ind w:left="-284" w:right="-234"/>
        <w:jc w:val="both"/>
        <w:rPr>
          <w:rFonts w:ascii="Arial" w:hAnsi="Arial" w:cs="Arial"/>
          <w:b/>
          <w:sz w:val="28"/>
          <w:szCs w:val="28"/>
        </w:rPr>
      </w:pPr>
      <w:r w:rsidRPr="003F19CF">
        <w:rPr>
          <w:rFonts w:ascii="Arial" w:hAnsi="Arial" w:cs="Arial"/>
          <w:b/>
          <w:sz w:val="28"/>
          <w:szCs w:val="28"/>
        </w:rPr>
        <w:t>VER EL CAPÍTULO N° 1 DE LA PRESENTE RESOLUCIÓN.</w:t>
      </w:r>
    </w:p>
    <w:p w14:paraId="1AD1F4C5" w14:textId="48680FC4" w:rsidR="00933AEF" w:rsidRDefault="00933AEF" w:rsidP="0028175F">
      <w:pPr>
        <w:ind w:left="-284" w:right="-234"/>
        <w:jc w:val="both"/>
        <w:rPr>
          <w:rFonts w:ascii="Arial" w:hAnsi="Arial" w:cs="Arial"/>
          <w:b/>
          <w:sz w:val="28"/>
          <w:szCs w:val="28"/>
          <w:u w:val="single"/>
          <w:lang w:val="es-MX"/>
        </w:rPr>
      </w:pPr>
    </w:p>
    <w:p w14:paraId="121EE546" w14:textId="77777777" w:rsidR="00B351D8" w:rsidRPr="003F19CF" w:rsidRDefault="00B351D8" w:rsidP="00B351D8">
      <w:pPr>
        <w:ind w:left="-284" w:right="-234"/>
        <w:jc w:val="both"/>
        <w:rPr>
          <w:rFonts w:ascii="Arial" w:hAnsi="Arial" w:cs="Arial"/>
          <w:sz w:val="28"/>
          <w:szCs w:val="28"/>
        </w:rPr>
      </w:pPr>
      <w:r w:rsidRPr="003F19CF">
        <w:rPr>
          <w:rFonts w:ascii="Arial" w:hAnsi="Arial" w:cs="Arial"/>
          <w:sz w:val="28"/>
          <w:szCs w:val="28"/>
        </w:rPr>
        <w:t>Los soportes de esta información reposan en el archivo de la Comisión Legal de Cuentas de la Cámara de Representantes.</w:t>
      </w:r>
    </w:p>
    <w:p w14:paraId="48C03E32" w14:textId="77777777" w:rsidR="00B351D8" w:rsidRPr="00B351D8" w:rsidRDefault="00B351D8" w:rsidP="0028175F">
      <w:pPr>
        <w:ind w:left="-284" w:right="-234"/>
        <w:jc w:val="both"/>
        <w:rPr>
          <w:rFonts w:ascii="Arial" w:hAnsi="Arial" w:cs="Arial"/>
          <w:b/>
          <w:sz w:val="28"/>
          <w:szCs w:val="28"/>
          <w:u w:val="single"/>
        </w:rPr>
      </w:pPr>
    </w:p>
    <w:p w14:paraId="7B08A751" w14:textId="64869A15" w:rsidR="00DE5C48" w:rsidRPr="003F19CF" w:rsidRDefault="00497D1D" w:rsidP="008A43C3">
      <w:pPr>
        <w:ind w:left="-284" w:right="-234"/>
        <w:jc w:val="center"/>
        <w:rPr>
          <w:rFonts w:ascii="Arial" w:hAnsi="Arial" w:cs="Arial"/>
          <w:b/>
          <w:sz w:val="28"/>
          <w:szCs w:val="28"/>
        </w:rPr>
      </w:pPr>
      <w:r w:rsidRPr="00924F66">
        <w:rPr>
          <w:rFonts w:ascii="Arial" w:hAnsi="Arial" w:cs="Arial"/>
          <w:b/>
          <w:sz w:val="28"/>
          <w:szCs w:val="28"/>
          <w:u w:val="single"/>
          <w:lang w:val="es-MX"/>
        </w:rPr>
        <w:t xml:space="preserve">1.- </w:t>
      </w:r>
      <w:r w:rsidR="00DE5C48" w:rsidRPr="00924F66">
        <w:rPr>
          <w:rFonts w:ascii="Arial" w:hAnsi="Arial" w:cs="Arial"/>
          <w:b/>
          <w:sz w:val="28"/>
          <w:szCs w:val="28"/>
          <w:u w:val="single"/>
        </w:rPr>
        <w:t>UNIDADES EJECUTORAS DEL PRESUPUESTO GENERAL DE LA NACIÓN CON EJECUCIÓN PRESUPUESTAL POR DEBAJO DEL 100%</w:t>
      </w:r>
      <w:r w:rsidR="00BF4BE4" w:rsidRPr="00924F66">
        <w:rPr>
          <w:rFonts w:ascii="Arial" w:hAnsi="Arial" w:cs="Arial"/>
          <w:b/>
          <w:sz w:val="28"/>
          <w:szCs w:val="28"/>
          <w:u w:val="single"/>
        </w:rPr>
        <w:t xml:space="preserve"> </w:t>
      </w:r>
      <w:r w:rsidR="00DE5C48" w:rsidRPr="00924F66">
        <w:rPr>
          <w:rFonts w:ascii="Arial" w:hAnsi="Arial" w:cs="Arial"/>
          <w:b/>
          <w:sz w:val="28"/>
          <w:szCs w:val="28"/>
          <w:u w:val="single"/>
        </w:rPr>
        <w:t>A 31 DE DICIEMBRE DE 202</w:t>
      </w:r>
      <w:r w:rsidR="00BF4BE4" w:rsidRPr="00924F66">
        <w:rPr>
          <w:rFonts w:ascii="Arial" w:hAnsi="Arial" w:cs="Arial"/>
          <w:b/>
          <w:sz w:val="28"/>
          <w:szCs w:val="28"/>
          <w:u w:val="single"/>
        </w:rPr>
        <w:t>4</w:t>
      </w:r>
      <w:r w:rsidR="002646FC">
        <w:rPr>
          <w:rFonts w:ascii="Arial" w:hAnsi="Arial" w:cs="Arial"/>
          <w:b/>
          <w:sz w:val="28"/>
          <w:szCs w:val="28"/>
        </w:rPr>
        <w:t>.</w:t>
      </w:r>
    </w:p>
    <w:p w14:paraId="1607CBEF" w14:textId="77777777" w:rsidR="00DE5C48" w:rsidRPr="003F19CF" w:rsidRDefault="00DE5C48" w:rsidP="0028175F">
      <w:pPr>
        <w:ind w:left="-284" w:right="-234"/>
        <w:jc w:val="both"/>
        <w:rPr>
          <w:rFonts w:ascii="Arial" w:hAnsi="Arial" w:cs="Arial"/>
          <w:b/>
          <w:sz w:val="28"/>
          <w:szCs w:val="28"/>
        </w:rPr>
      </w:pPr>
    </w:p>
    <w:p w14:paraId="0419BA60" w14:textId="66D1A40E" w:rsidR="00BA4F84" w:rsidRDefault="00BA4F84" w:rsidP="00DE5C48">
      <w:pPr>
        <w:ind w:left="-284" w:right="-234"/>
        <w:jc w:val="both"/>
        <w:rPr>
          <w:rFonts w:ascii="Arial" w:hAnsi="Arial" w:cs="Arial"/>
          <w:b/>
          <w:sz w:val="28"/>
          <w:szCs w:val="28"/>
        </w:rPr>
      </w:pPr>
      <w:r>
        <w:rPr>
          <w:rFonts w:ascii="Arial" w:hAnsi="Arial" w:cs="Arial"/>
          <w:b/>
          <w:sz w:val="28"/>
          <w:szCs w:val="28"/>
        </w:rPr>
        <w:t xml:space="preserve">El Ministerio de Hacienda y Crédito Público el 10 de abril de 2025 a solicitud de la Comisión Legal de Cuentas de la Cámara de Representantes con el oficio N° 2-2025-022356, certificó el resultado de la ejecución presupuestal </w:t>
      </w:r>
      <w:r w:rsidR="002646FC">
        <w:rPr>
          <w:rFonts w:ascii="Arial" w:hAnsi="Arial" w:cs="Arial"/>
          <w:b/>
          <w:sz w:val="28"/>
          <w:szCs w:val="28"/>
        </w:rPr>
        <w:t xml:space="preserve">de la Nación </w:t>
      </w:r>
      <w:r>
        <w:rPr>
          <w:rFonts w:ascii="Arial" w:hAnsi="Arial" w:cs="Arial"/>
          <w:b/>
          <w:sz w:val="28"/>
          <w:szCs w:val="28"/>
        </w:rPr>
        <w:t>a 31 de diciembre de 2024 así:</w:t>
      </w:r>
    </w:p>
    <w:p w14:paraId="5A9C55FC" w14:textId="3A9B92FE" w:rsidR="00BA4F84" w:rsidRDefault="00BA4F84" w:rsidP="00DE5C48">
      <w:pPr>
        <w:ind w:left="-284" w:right="-234"/>
        <w:jc w:val="both"/>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3403"/>
        <w:gridCol w:w="1872"/>
        <w:gridCol w:w="1761"/>
        <w:gridCol w:w="1761"/>
        <w:gridCol w:w="1693"/>
      </w:tblGrid>
      <w:tr w:rsidR="006D707A" w:rsidRPr="00822909" w14:paraId="3660A432" w14:textId="77777777" w:rsidTr="006D707A">
        <w:tc>
          <w:tcPr>
            <w:tcW w:w="3403" w:type="dxa"/>
          </w:tcPr>
          <w:p w14:paraId="3B75595E" w14:textId="7026E10D" w:rsidR="00BA4F84" w:rsidRPr="00822909" w:rsidRDefault="006D707A" w:rsidP="00BA4F84">
            <w:pPr>
              <w:jc w:val="center"/>
              <w:rPr>
                <w:rFonts w:ascii="Arial" w:hAnsi="Arial" w:cs="Arial"/>
                <w:b/>
              </w:rPr>
            </w:pPr>
            <w:r>
              <w:rPr>
                <w:rFonts w:ascii="Arial" w:hAnsi="Arial" w:cs="Arial"/>
                <w:b/>
              </w:rPr>
              <w:t>“</w:t>
            </w:r>
            <w:r w:rsidR="00BA4F84">
              <w:rPr>
                <w:rFonts w:ascii="Arial" w:hAnsi="Arial" w:cs="Arial"/>
                <w:b/>
              </w:rPr>
              <w:t>ITEM</w:t>
            </w:r>
          </w:p>
        </w:tc>
        <w:tc>
          <w:tcPr>
            <w:tcW w:w="1872" w:type="dxa"/>
          </w:tcPr>
          <w:p w14:paraId="1FF24FEE" w14:textId="4645BD91" w:rsidR="00BA4F84" w:rsidRDefault="00BA4F84" w:rsidP="00B95086">
            <w:pPr>
              <w:jc w:val="center"/>
              <w:rPr>
                <w:rFonts w:ascii="Arial" w:hAnsi="Arial" w:cs="Arial"/>
                <w:b/>
              </w:rPr>
            </w:pPr>
            <w:r w:rsidRPr="00822909">
              <w:rPr>
                <w:rFonts w:ascii="Arial" w:hAnsi="Arial" w:cs="Arial"/>
                <w:b/>
              </w:rPr>
              <w:t xml:space="preserve"> PRESUPUESTO GENERAL DE LA NACIÓN 202</w:t>
            </w:r>
            <w:r>
              <w:rPr>
                <w:rFonts w:ascii="Arial" w:hAnsi="Arial" w:cs="Arial"/>
                <w:b/>
              </w:rPr>
              <w:t>4</w:t>
            </w:r>
          </w:p>
          <w:p w14:paraId="7C863DF6" w14:textId="05FD1436" w:rsidR="00BA4F84" w:rsidRPr="00822909" w:rsidRDefault="00BA4F84" w:rsidP="00B95086">
            <w:pPr>
              <w:jc w:val="center"/>
              <w:rPr>
                <w:rFonts w:ascii="Arial" w:hAnsi="Arial" w:cs="Arial"/>
                <w:b/>
              </w:rPr>
            </w:pPr>
            <w:r>
              <w:rPr>
                <w:rFonts w:ascii="Arial" w:hAnsi="Arial" w:cs="Arial"/>
                <w:b/>
              </w:rPr>
              <w:t>BILLONES DE PESOS</w:t>
            </w:r>
          </w:p>
          <w:p w14:paraId="2DF11CB4" w14:textId="77777777" w:rsidR="00BA4F84" w:rsidRPr="00822909" w:rsidRDefault="00BA4F84" w:rsidP="00B95086">
            <w:pPr>
              <w:jc w:val="center"/>
              <w:rPr>
                <w:rFonts w:ascii="Arial" w:hAnsi="Arial" w:cs="Arial"/>
                <w:b/>
              </w:rPr>
            </w:pPr>
          </w:p>
        </w:tc>
        <w:tc>
          <w:tcPr>
            <w:tcW w:w="1761" w:type="dxa"/>
          </w:tcPr>
          <w:p w14:paraId="15E6E48F" w14:textId="77777777" w:rsidR="00BA4F84" w:rsidRPr="00822909" w:rsidRDefault="00BA4F84" w:rsidP="00B95086">
            <w:pPr>
              <w:jc w:val="center"/>
              <w:rPr>
                <w:rFonts w:ascii="Arial" w:hAnsi="Arial" w:cs="Arial"/>
                <w:b/>
              </w:rPr>
            </w:pPr>
            <w:r w:rsidRPr="00822909">
              <w:rPr>
                <w:rFonts w:ascii="Arial" w:hAnsi="Arial" w:cs="Arial"/>
                <w:b/>
              </w:rPr>
              <w:t xml:space="preserve">% DE </w:t>
            </w:r>
          </w:p>
          <w:p w14:paraId="55DAFA25" w14:textId="77777777" w:rsidR="00BA4F84" w:rsidRPr="00822909" w:rsidRDefault="00BA4F84" w:rsidP="00B95086">
            <w:pPr>
              <w:jc w:val="center"/>
              <w:rPr>
                <w:rFonts w:ascii="Arial" w:hAnsi="Arial" w:cs="Arial"/>
                <w:b/>
              </w:rPr>
            </w:pPr>
            <w:r w:rsidRPr="00822909">
              <w:rPr>
                <w:rFonts w:ascii="Arial" w:hAnsi="Arial" w:cs="Arial"/>
                <w:b/>
              </w:rPr>
              <w:t>EJECUCIÓN</w:t>
            </w:r>
          </w:p>
          <w:p w14:paraId="4CBB401F" w14:textId="77777777" w:rsidR="00BA4F84" w:rsidRPr="00822909" w:rsidRDefault="00BA4F84" w:rsidP="00B95086">
            <w:pPr>
              <w:jc w:val="center"/>
              <w:rPr>
                <w:rFonts w:ascii="Arial" w:hAnsi="Arial" w:cs="Arial"/>
                <w:b/>
              </w:rPr>
            </w:pPr>
            <w:r>
              <w:rPr>
                <w:rFonts w:ascii="Arial" w:hAnsi="Arial" w:cs="Arial"/>
                <w:b/>
              </w:rPr>
              <w:t xml:space="preserve">PTTO </w:t>
            </w:r>
            <w:r w:rsidRPr="00822909">
              <w:rPr>
                <w:rFonts w:ascii="Arial" w:hAnsi="Arial" w:cs="Arial"/>
                <w:b/>
              </w:rPr>
              <w:t>POR</w:t>
            </w:r>
          </w:p>
          <w:p w14:paraId="4697C791" w14:textId="77777777" w:rsidR="00BA4F84" w:rsidRPr="00822909" w:rsidRDefault="00BA4F84" w:rsidP="00B95086">
            <w:pPr>
              <w:jc w:val="center"/>
              <w:rPr>
                <w:rFonts w:ascii="Arial" w:hAnsi="Arial" w:cs="Arial"/>
                <w:b/>
              </w:rPr>
            </w:pPr>
            <w:r w:rsidRPr="00822909">
              <w:rPr>
                <w:rFonts w:ascii="Arial" w:hAnsi="Arial" w:cs="Arial"/>
                <w:b/>
              </w:rPr>
              <w:t>COMPROMISOS</w:t>
            </w:r>
          </w:p>
        </w:tc>
        <w:tc>
          <w:tcPr>
            <w:tcW w:w="1761" w:type="dxa"/>
          </w:tcPr>
          <w:p w14:paraId="47CFEB81" w14:textId="77777777" w:rsidR="00BA4F84" w:rsidRPr="00647D7E" w:rsidRDefault="00BA4F84" w:rsidP="00B95086">
            <w:pPr>
              <w:jc w:val="center"/>
              <w:rPr>
                <w:rFonts w:ascii="Arial" w:hAnsi="Arial" w:cs="Arial"/>
                <w:b/>
              </w:rPr>
            </w:pPr>
            <w:r w:rsidRPr="00647D7E">
              <w:rPr>
                <w:rFonts w:ascii="Arial" w:hAnsi="Arial" w:cs="Arial"/>
                <w:b/>
              </w:rPr>
              <w:t xml:space="preserve">% DE </w:t>
            </w:r>
          </w:p>
          <w:p w14:paraId="0E8A87F0" w14:textId="77777777" w:rsidR="00BA4F84" w:rsidRPr="00647D7E" w:rsidRDefault="00BA4F84" w:rsidP="00B95086">
            <w:pPr>
              <w:jc w:val="center"/>
              <w:rPr>
                <w:rFonts w:ascii="Arial" w:hAnsi="Arial" w:cs="Arial"/>
                <w:b/>
              </w:rPr>
            </w:pPr>
            <w:r w:rsidRPr="00647D7E">
              <w:rPr>
                <w:rFonts w:ascii="Arial" w:hAnsi="Arial" w:cs="Arial"/>
                <w:b/>
              </w:rPr>
              <w:t>EJECUCIÓN</w:t>
            </w:r>
          </w:p>
          <w:p w14:paraId="738DAE05" w14:textId="77777777" w:rsidR="00BA4F84" w:rsidRPr="00647D7E" w:rsidRDefault="00BA4F84" w:rsidP="00B95086">
            <w:pPr>
              <w:jc w:val="center"/>
              <w:rPr>
                <w:rFonts w:ascii="Arial" w:hAnsi="Arial" w:cs="Arial"/>
                <w:b/>
              </w:rPr>
            </w:pPr>
            <w:r w:rsidRPr="00647D7E">
              <w:rPr>
                <w:rFonts w:ascii="Arial" w:hAnsi="Arial" w:cs="Arial"/>
                <w:b/>
              </w:rPr>
              <w:t>PTTO POR</w:t>
            </w:r>
          </w:p>
          <w:p w14:paraId="1D59D9A0" w14:textId="77777777" w:rsidR="00BA4F84" w:rsidRPr="00647D7E" w:rsidRDefault="00BA4F84" w:rsidP="00B95086">
            <w:pPr>
              <w:jc w:val="center"/>
              <w:rPr>
                <w:rFonts w:ascii="Arial" w:hAnsi="Arial" w:cs="Arial"/>
                <w:b/>
              </w:rPr>
            </w:pPr>
            <w:r w:rsidRPr="00647D7E">
              <w:rPr>
                <w:rFonts w:ascii="Arial" w:hAnsi="Arial" w:cs="Arial"/>
                <w:b/>
              </w:rPr>
              <w:t>OBLIGACIONES</w:t>
            </w:r>
          </w:p>
          <w:p w14:paraId="1AFE8081" w14:textId="77777777" w:rsidR="00BA4F84" w:rsidRPr="00822909" w:rsidRDefault="00BA4F84" w:rsidP="00B95086">
            <w:pPr>
              <w:jc w:val="center"/>
              <w:rPr>
                <w:rFonts w:ascii="Arial" w:hAnsi="Arial" w:cs="Arial"/>
                <w:b/>
              </w:rPr>
            </w:pPr>
          </w:p>
        </w:tc>
        <w:tc>
          <w:tcPr>
            <w:tcW w:w="1693" w:type="dxa"/>
          </w:tcPr>
          <w:p w14:paraId="514734D9" w14:textId="094033FE" w:rsidR="00BA4F84" w:rsidRPr="00822909" w:rsidRDefault="00BA4F84" w:rsidP="00B95086">
            <w:pPr>
              <w:jc w:val="center"/>
              <w:rPr>
                <w:rFonts w:ascii="Arial" w:eastAsia="Calibri" w:hAnsi="Arial" w:cs="Arial"/>
                <w:b/>
              </w:rPr>
            </w:pPr>
            <w:r w:rsidRPr="00822909">
              <w:rPr>
                <w:rFonts w:ascii="Arial" w:eastAsia="Calibri" w:hAnsi="Arial" w:cs="Arial"/>
                <w:b/>
              </w:rPr>
              <w:t>% PAGOS/</w:t>
            </w:r>
          </w:p>
          <w:p w14:paraId="33C352EE" w14:textId="77777777" w:rsidR="00BA4F84" w:rsidRPr="00822909" w:rsidRDefault="00BA4F84" w:rsidP="00B95086">
            <w:pPr>
              <w:jc w:val="center"/>
              <w:rPr>
                <w:rFonts w:ascii="Arial" w:eastAsia="Calibri" w:hAnsi="Arial" w:cs="Arial"/>
                <w:b/>
              </w:rPr>
            </w:pPr>
            <w:r w:rsidRPr="00822909">
              <w:rPr>
                <w:rFonts w:ascii="Arial" w:eastAsia="Calibri" w:hAnsi="Arial" w:cs="Arial"/>
                <w:b/>
              </w:rPr>
              <w:t xml:space="preserve">APROPIACIÓN </w:t>
            </w:r>
            <w:r>
              <w:rPr>
                <w:rFonts w:ascii="Arial" w:eastAsia="Calibri" w:hAnsi="Arial" w:cs="Arial"/>
                <w:b/>
              </w:rPr>
              <w:t xml:space="preserve">PTTO </w:t>
            </w:r>
            <w:r w:rsidRPr="00822909">
              <w:rPr>
                <w:rFonts w:ascii="Arial" w:eastAsia="Calibri" w:hAnsi="Arial" w:cs="Arial"/>
                <w:b/>
              </w:rPr>
              <w:t>VIGENTE</w:t>
            </w:r>
          </w:p>
          <w:p w14:paraId="67515617" w14:textId="77777777" w:rsidR="00BA4F84" w:rsidRPr="00822909" w:rsidRDefault="00BA4F84" w:rsidP="00B95086">
            <w:pPr>
              <w:jc w:val="center"/>
              <w:rPr>
                <w:rFonts w:ascii="Arial" w:hAnsi="Arial" w:cs="Arial"/>
                <w:b/>
              </w:rPr>
            </w:pPr>
          </w:p>
        </w:tc>
      </w:tr>
      <w:tr w:rsidR="006D707A" w:rsidRPr="009B628D" w14:paraId="21912B5C" w14:textId="77777777" w:rsidTr="006D707A">
        <w:tc>
          <w:tcPr>
            <w:tcW w:w="3403" w:type="dxa"/>
          </w:tcPr>
          <w:p w14:paraId="3487E4F6" w14:textId="06AC0F4B" w:rsidR="00BA4F84" w:rsidRPr="004B1294" w:rsidRDefault="00BA4F84" w:rsidP="00BA4F84">
            <w:pPr>
              <w:jc w:val="both"/>
              <w:rPr>
                <w:rFonts w:ascii="Arial" w:hAnsi="Arial" w:cs="Arial"/>
                <w:b/>
              </w:rPr>
            </w:pPr>
            <w:r>
              <w:rPr>
                <w:rFonts w:ascii="Arial" w:hAnsi="Arial" w:cs="Arial"/>
                <w:b/>
              </w:rPr>
              <w:t>MONTO DEFINITIVO DEL PRESUPUESTO GENERAL DE LA NACIÓN A 31 DE DICIEMBRE DE 2024</w:t>
            </w:r>
          </w:p>
        </w:tc>
        <w:tc>
          <w:tcPr>
            <w:tcW w:w="1872" w:type="dxa"/>
          </w:tcPr>
          <w:p w14:paraId="73C055D2" w14:textId="725D230A" w:rsidR="00BA4F84" w:rsidRPr="002646FC" w:rsidRDefault="002646FC" w:rsidP="006D707A">
            <w:pPr>
              <w:jc w:val="center"/>
              <w:rPr>
                <w:rFonts w:ascii="Arial" w:hAnsi="Arial" w:cs="Arial"/>
                <w:b/>
                <w:sz w:val="22"/>
                <w:szCs w:val="22"/>
                <w:lang w:val="es-MX"/>
              </w:rPr>
            </w:pPr>
            <w:r>
              <w:rPr>
                <w:rFonts w:ascii="Arial" w:hAnsi="Arial" w:cs="Arial"/>
                <w:b/>
                <w:sz w:val="22"/>
                <w:szCs w:val="22"/>
                <w:lang w:val="es-MX"/>
              </w:rPr>
              <w:t xml:space="preserve">$ </w:t>
            </w:r>
            <w:r w:rsidR="006D707A" w:rsidRPr="002646FC">
              <w:rPr>
                <w:rFonts w:ascii="Arial" w:hAnsi="Arial" w:cs="Arial"/>
                <w:b/>
                <w:sz w:val="22"/>
                <w:szCs w:val="22"/>
                <w:lang w:val="es-MX"/>
              </w:rPr>
              <w:t>475,2</w:t>
            </w:r>
          </w:p>
        </w:tc>
        <w:tc>
          <w:tcPr>
            <w:tcW w:w="1761" w:type="dxa"/>
          </w:tcPr>
          <w:p w14:paraId="2E1267E8" w14:textId="5A23BAA1" w:rsidR="00BA4F84" w:rsidRPr="002646FC" w:rsidRDefault="006D707A" w:rsidP="006D707A">
            <w:pPr>
              <w:jc w:val="center"/>
              <w:rPr>
                <w:rFonts w:ascii="Arial" w:eastAsia="Calibri" w:hAnsi="Arial" w:cs="Arial"/>
                <w:b/>
                <w:sz w:val="22"/>
                <w:szCs w:val="22"/>
              </w:rPr>
            </w:pPr>
            <w:r w:rsidRPr="002646FC">
              <w:rPr>
                <w:rFonts w:ascii="Arial" w:eastAsia="Calibri" w:hAnsi="Arial" w:cs="Arial"/>
                <w:b/>
                <w:sz w:val="22"/>
                <w:szCs w:val="22"/>
              </w:rPr>
              <w:t>96,1%</w:t>
            </w:r>
          </w:p>
        </w:tc>
        <w:tc>
          <w:tcPr>
            <w:tcW w:w="1761" w:type="dxa"/>
          </w:tcPr>
          <w:p w14:paraId="62F7E358" w14:textId="0DBE1B33" w:rsidR="00BA4F84" w:rsidRPr="002646FC" w:rsidRDefault="006D707A" w:rsidP="006D707A">
            <w:pPr>
              <w:jc w:val="center"/>
              <w:rPr>
                <w:rFonts w:ascii="Arial" w:eastAsia="Calibri" w:hAnsi="Arial" w:cs="Arial"/>
                <w:b/>
                <w:sz w:val="22"/>
                <w:szCs w:val="22"/>
              </w:rPr>
            </w:pPr>
            <w:r w:rsidRPr="002646FC">
              <w:rPr>
                <w:rFonts w:ascii="Arial" w:eastAsia="Calibri" w:hAnsi="Arial" w:cs="Arial"/>
                <w:b/>
                <w:sz w:val="22"/>
                <w:szCs w:val="22"/>
              </w:rPr>
              <w:t>83,1%</w:t>
            </w:r>
          </w:p>
        </w:tc>
        <w:tc>
          <w:tcPr>
            <w:tcW w:w="1693" w:type="dxa"/>
          </w:tcPr>
          <w:p w14:paraId="5C72220D" w14:textId="0D772A5F" w:rsidR="00BA4F84" w:rsidRPr="002646FC" w:rsidRDefault="006D707A" w:rsidP="006D707A">
            <w:pPr>
              <w:jc w:val="center"/>
              <w:rPr>
                <w:rFonts w:ascii="Arial" w:eastAsia="Calibri" w:hAnsi="Arial" w:cs="Arial"/>
                <w:b/>
                <w:sz w:val="22"/>
                <w:szCs w:val="22"/>
                <w:u w:val="single"/>
              </w:rPr>
            </w:pPr>
            <w:r w:rsidRPr="002646FC">
              <w:rPr>
                <w:rFonts w:ascii="Arial" w:eastAsia="Calibri" w:hAnsi="Arial" w:cs="Arial"/>
                <w:b/>
                <w:sz w:val="22"/>
                <w:szCs w:val="22"/>
                <w:u w:val="single"/>
              </w:rPr>
              <w:t>82,7%</w:t>
            </w:r>
          </w:p>
        </w:tc>
      </w:tr>
      <w:tr w:rsidR="00BA4F84" w:rsidRPr="009B628D" w14:paraId="73BB6106" w14:textId="77777777" w:rsidTr="006D707A">
        <w:tc>
          <w:tcPr>
            <w:tcW w:w="3403" w:type="dxa"/>
          </w:tcPr>
          <w:p w14:paraId="198E1ED7" w14:textId="71B9777B" w:rsidR="00BA4F84" w:rsidRDefault="00BA4F84" w:rsidP="00BA4F84">
            <w:pPr>
              <w:jc w:val="both"/>
              <w:rPr>
                <w:rFonts w:ascii="Arial" w:hAnsi="Arial" w:cs="Arial"/>
                <w:b/>
              </w:rPr>
            </w:pPr>
            <w:r>
              <w:rPr>
                <w:rFonts w:ascii="Arial" w:hAnsi="Arial" w:cs="Arial"/>
                <w:b/>
              </w:rPr>
              <w:t>FUNCIONAMIENTO</w:t>
            </w:r>
          </w:p>
        </w:tc>
        <w:tc>
          <w:tcPr>
            <w:tcW w:w="1872" w:type="dxa"/>
          </w:tcPr>
          <w:p w14:paraId="7C41D8D9" w14:textId="3CB655F1" w:rsidR="00BA4F84" w:rsidRPr="002646FC" w:rsidRDefault="002646FC" w:rsidP="006D707A">
            <w:pPr>
              <w:jc w:val="center"/>
              <w:rPr>
                <w:rFonts w:ascii="Arial" w:hAnsi="Arial" w:cs="Arial"/>
                <w:b/>
                <w:sz w:val="22"/>
                <w:szCs w:val="22"/>
                <w:lang w:val="es-MX"/>
              </w:rPr>
            </w:pPr>
            <w:r>
              <w:rPr>
                <w:rFonts w:ascii="Arial" w:hAnsi="Arial" w:cs="Arial"/>
                <w:b/>
                <w:sz w:val="22"/>
                <w:szCs w:val="22"/>
                <w:lang w:val="es-MX"/>
              </w:rPr>
              <w:t xml:space="preserve">$ </w:t>
            </w:r>
            <w:r w:rsidR="006D707A" w:rsidRPr="002646FC">
              <w:rPr>
                <w:rFonts w:ascii="Arial" w:hAnsi="Arial" w:cs="Arial"/>
                <w:b/>
                <w:sz w:val="22"/>
                <w:szCs w:val="22"/>
                <w:lang w:val="es-MX"/>
              </w:rPr>
              <w:t>290,2</w:t>
            </w:r>
          </w:p>
        </w:tc>
        <w:tc>
          <w:tcPr>
            <w:tcW w:w="1761" w:type="dxa"/>
          </w:tcPr>
          <w:p w14:paraId="0528E643" w14:textId="73375F7B" w:rsidR="00BA4F84" w:rsidRPr="002646FC" w:rsidRDefault="006D707A" w:rsidP="006D707A">
            <w:pPr>
              <w:jc w:val="center"/>
              <w:rPr>
                <w:rFonts w:ascii="Arial" w:eastAsia="Calibri" w:hAnsi="Arial" w:cs="Arial"/>
                <w:b/>
                <w:sz w:val="22"/>
                <w:szCs w:val="22"/>
              </w:rPr>
            </w:pPr>
            <w:r w:rsidRPr="002646FC">
              <w:rPr>
                <w:rFonts w:ascii="Arial" w:eastAsia="Calibri" w:hAnsi="Arial" w:cs="Arial"/>
                <w:b/>
                <w:sz w:val="22"/>
                <w:szCs w:val="22"/>
              </w:rPr>
              <w:t>96,0%</w:t>
            </w:r>
          </w:p>
        </w:tc>
        <w:tc>
          <w:tcPr>
            <w:tcW w:w="1761" w:type="dxa"/>
          </w:tcPr>
          <w:p w14:paraId="0D163B56" w14:textId="203B69B1" w:rsidR="00BA4F84" w:rsidRPr="002646FC" w:rsidRDefault="006D707A" w:rsidP="006D707A">
            <w:pPr>
              <w:jc w:val="center"/>
              <w:rPr>
                <w:rFonts w:ascii="Arial" w:eastAsia="Calibri" w:hAnsi="Arial" w:cs="Arial"/>
                <w:b/>
                <w:sz w:val="22"/>
                <w:szCs w:val="22"/>
              </w:rPr>
            </w:pPr>
            <w:r w:rsidRPr="002646FC">
              <w:rPr>
                <w:rFonts w:ascii="Arial" w:eastAsia="Calibri" w:hAnsi="Arial" w:cs="Arial"/>
                <w:b/>
                <w:sz w:val="22"/>
                <w:szCs w:val="22"/>
              </w:rPr>
              <w:t>89,7%</w:t>
            </w:r>
          </w:p>
        </w:tc>
        <w:tc>
          <w:tcPr>
            <w:tcW w:w="1693" w:type="dxa"/>
          </w:tcPr>
          <w:p w14:paraId="28EEFF0D" w14:textId="42586722" w:rsidR="00BA4F84" w:rsidRPr="002646FC" w:rsidRDefault="006D707A" w:rsidP="006D707A">
            <w:pPr>
              <w:jc w:val="center"/>
              <w:rPr>
                <w:rFonts w:ascii="Arial" w:eastAsia="Calibri" w:hAnsi="Arial" w:cs="Arial"/>
                <w:b/>
                <w:sz w:val="22"/>
                <w:szCs w:val="22"/>
                <w:u w:val="single"/>
              </w:rPr>
            </w:pPr>
            <w:r w:rsidRPr="002646FC">
              <w:rPr>
                <w:rFonts w:ascii="Arial" w:eastAsia="Calibri" w:hAnsi="Arial" w:cs="Arial"/>
                <w:b/>
                <w:sz w:val="22"/>
                <w:szCs w:val="22"/>
                <w:u w:val="single"/>
              </w:rPr>
              <w:t>89,5%</w:t>
            </w:r>
          </w:p>
        </w:tc>
      </w:tr>
      <w:tr w:rsidR="00BA4F84" w:rsidRPr="009B628D" w14:paraId="1675696A" w14:textId="77777777" w:rsidTr="006D707A">
        <w:tc>
          <w:tcPr>
            <w:tcW w:w="3403" w:type="dxa"/>
          </w:tcPr>
          <w:p w14:paraId="37289F8C" w14:textId="463867E3" w:rsidR="00BA4F84" w:rsidRDefault="00BA4F84" w:rsidP="00BA4F84">
            <w:pPr>
              <w:jc w:val="both"/>
              <w:rPr>
                <w:rFonts w:ascii="Arial" w:hAnsi="Arial" w:cs="Arial"/>
                <w:b/>
              </w:rPr>
            </w:pPr>
            <w:r>
              <w:rPr>
                <w:rFonts w:ascii="Arial" w:hAnsi="Arial" w:cs="Arial"/>
                <w:b/>
              </w:rPr>
              <w:t>INVERSIÓN</w:t>
            </w:r>
          </w:p>
        </w:tc>
        <w:tc>
          <w:tcPr>
            <w:tcW w:w="1872" w:type="dxa"/>
          </w:tcPr>
          <w:p w14:paraId="2C7D9082" w14:textId="35A69B68" w:rsidR="00BA4F84" w:rsidRPr="002646FC" w:rsidRDefault="002646FC" w:rsidP="002646FC">
            <w:pPr>
              <w:rPr>
                <w:rFonts w:ascii="Arial" w:hAnsi="Arial" w:cs="Arial"/>
                <w:b/>
                <w:sz w:val="22"/>
                <w:szCs w:val="22"/>
                <w:lang w:val="es-MX"/>
              </w:rPr>
            </w:pPr>
            <w:r>
              <w:rPr>
                <w:rFonts w:ascii="Arial" w:hAnsi="Arial" w:cs="Arial"/>
                <w:b/>
                <w:sz w:val="22"/>
                <w:szCs w:val="22"/>
                <w:lang w:val="es-MX"/>
              </w:rPr>
              <w:t xml:space="preserve">        </w:t>
            </w:r>
            <w:proofErr w:type="gramStart"/>
            <w:r>
              <w:rPr>
                <w:rFonts w:ascii="Arial" w:hAnsi="Arial" w:cs="Arial"/>
                <w:b/>
                <w:sz w:val="22"/>
                <w:szCs w:val="22"/>
                <w:lang w:val="es-MX"/>
              </w:rPr>
              <w:t xml:space="preserve">$  </w:t>
            </w:r>
            <w:r w:rsidR="006D707A" w:rsidRPr="002646FC">
              <w:rPr>
                <w:rFonts w:ascii="Arial" w:hAnsi="Arial" w:cs="Arial"/>
                <w:b/>
                <w:sz w:val="22"/>
                <w:szCs w:val="22"/>
                <w:lang w:val="es-MX"/>
              </w:rPr>
              <w:t>90</w:t>
            </w:r>
            <w:proofErr w:type="gramEnd"/>
            <w:r w:rsidR="006D707A" w:rsidRPr="002646FC">
              <w:rPr>
                <w:rFonts w:ascii="Arial" w:hAnsi="Arial" w:cs="Arial"/>
                <w:b/>
                <w:sz w:val="22"/>
                <w:szCs w:val="22"/>
                <w:lang w:val="es-MX"/>
              </w:rPr>
              <w:t>,6</w:t>
            </w:r>
          </w:p>
        </w:tc>
        <w:tc>
          <w:tcPr>
            <w:tcW w:w="1761" w:type="dxa"/>
          </w:tcPr>
          <w:p w14:paraId="681D8C1D" w14:textId="7EDF6197" w:rsidR="00BA4F84" w:rsidRPr="002646FC" w:rsidRDefault="006D707A" w:rsidP="006D707A">
            <w:pPr>
              <w:jc w:val="center"/>
              <w:rPr>
                <w:rFonts w:ascii="Arial" w:eastAsia="Calibri" w:hAnsi="Arial" w:cs="Arial"/>
                <w:b/>
                <w:sz w:val="22"/>
                <w:szCs w:val="22"/>
              </w:rPr>
            </w:pPr>
            <w:r w:rsidRPr="002646FC">
              <w:rPr>
                <w:rFonts w:ascii="Arial" w:eastAsia="Calibri" w:hAnsi="Arial" w:cs="Arial"/>
                <w:b/>
                <w:sz w:val="22"/>
                <w:szCs w:val="22"/>
              </w:rPr>
              <w:t>96,5%</w:t>
            </w:r>
          </w:p>
        </w:tc>
        <w:tc>
          <w:tcPr>
            <w:tcW w:w="1761" w:type="dxa"/>
          </w:tcPr>
          <w:p w14:paraId="509519EA" w14:textId="57EAD05D" w:rsidR="00BA4F84" w:rsidRPr="002646FC" w:rsidRDefault="006D707A" w:rsidP="006D707A">
            <w:pPr>
              <w:jc w:val="center"/>
              <w:rPr>
                <w:rFonts w:ascii="Arial" w:eastAsia="Calibri" w:hAnsi="Arial" w:cs="Arial"/>
                <w:b/>
                <w:sz w:val="22"/>
                <w:szCs w:val="22"/>
              </w:rPr>
            </w:pPr>
            <w:r w:rsidRPr="002646FC">
              <w:rPr>
                <w:rFonts w:ascii="Arial" w:eastAsia="Calibri" w:hAnsi="Arial" w:cs="Arial"/>
                <w:b/>
                <w:sz w:val="22"/>
                <w:szCs w:val="22"/>
              </w:rPr>
              <w:t>57,0%</w:t>
            </w:r>
          </w:p>
        </w:tc>
        <w:tc>
          <w:tcPr>
            <w:tcW w:w="1693" w:type="dxa"/>
          </w:tcPr>
          <w:p w14:paraId="030FF6A2" w14:textId="53790604" w:rsidR="00BA4F84" w:rsidRPr="002646FC" w:rsidRDefault="006D707A" w:rsidP="006D707A">
            <w:pPr>
              <w:jc w:val="center"/>
              <w:rPr>
                <w:rFonts w:ascii="Arial" w:eastAsia="Calibri" w:hAnsi="Arial" w:cs="Arial"/>
                <w:b/>
                <w:sz w:val="22"/>
                <w:szCs w:val="22"/>
                <w:u w:val="single"/>
              </w:rPr>
            </w:pPr>
            <w:r w:rsidRPr="002646FC">
              <w:rPr>
                <w:rFonts w:ascii="Arial" w:eastAsia="Calibri" w:hAnsi="Arial" w:cs="Arial"/>
                <w:b/>
                <w:sz w:val="22"/>
                <w:szCs w:val="22"/>
                <w:u w:val="single"/>
              </w:rPr>
              <w:t>55,7%</w:t>
            </w:r>
          </w:p>
        </w:tc>
      </w:tr>
      <w:tr w:rsidR="00BA4F84" w:rsidRPr="009B628D" w14:paraId="36CD35C8" w14:textId="77777777" w:rsidTr="006D707A">
        <w:tc>
          <w:tcPr>
            <w:tcW w:w="3403" w:type="dxa"/>
          </w:tcPr>
          <w:p w14:paraId="1A0E51F3" w14:textId="087CB79C" w:rsidR="00BA4F84" w:rsidRDefault="00BA4F84" w:rsidP="00BA4F84">
            <w:pPr>
              <w:jc w:val="both"/>
              <w:rPr>
                <w:rFonts w:ascii="Arial" w:hAnsi="Arial" w:cs="Arial"/>
                <w:b/>
              </w:rPr>
            </w:pPr>
            <w:r>
              <w:rPr>
                <w:rFonts w:ascii="Arial" w:hAnsi="Arial" w:cs="Arial"/>
                <w:b/>
              </w:rPr>
              <w:t>SERVIVO DE LA DEUDA</w:t>
            </w:r>
          </w:p>
        </w:tc>
        <w:tc>
          <w:tcPr>
            <w:tcW w:w="1872" w:type="dxa"/>
          </w:tcPr>
          <w:p w14:paraId="326A970B" w14:textId="53A4ABBD" w:rsidR="00BA4F84" w:rsidRPr="002646FC" w:rsidRDefault="002646FC" w:rsidP="006D707A">
            <w:pPr>
              <w:jc w:val="center"/>
              <w:rPr>
                <w:rFonts w:ascii="Arial" w:hAnsi="Arial" w:cs="Arial"/>
                <w:b/>
                <w:sz w:val="22"/>
                <w:szCs w:val="22"/>
                <w:u w:val="single"/>
                <w:lang w:val="es-MX"/>
              </w:rPr>
            </w:pPr>
            <w:proofErr w:type="gramStart"/>
            <w:r>
              <w:rPr>
                <w:rFonts w:ascii="Arial" w:hAnsi="Arial" w:cs="Arial"/>
                <w:b/>
                <w:sz w:val="22"/>
                <w:szCs w:val="22"/>
                <w:u w:val="single"/>
                <w:lang w:val="es-MX"/>
              </w:rPr>
              <w:t xml:space="preserve">$  </w:t>
            </w:r>
            <w:r w:rsidR="006D707A" w:rsidRPr="002646FC">
              <w:rPr>
                <w:rFonts w:ascii="Arial" w:hAnsi="Arial" w:cs="Arial"/>
                <w:b/>
                <w:sz w:val="22"/>
                <w:szCs w:val="22"/>
                <w:u w:val="single"/>
                <w:lang w:val="es-MX"/>
              </w:rPr>
              <w:t>94</w:t>
            </w:r>
            <w:proofErr w:type="gramEnd"/>
            <w:r w:rsidR="006D707A" w:rsidRPr="002646FC">
              <w:rPr>
                <w:rFonts w:ascii="Arial" w:hAnsi="Arial" w:cs="Arial"/>
                <w:b/>
                <w:sz w:val="22"/>
                <w:szCs w:val="22"/>
                <w:u w:val="single"/>
                <w:lang w:val="es-MX"/>
              </w:rPr>
              <w:t>,4</w:t>
            </w:r>
          </w:p>
        </w:tc>
        <w:tc>
          <w:tcPr>
            <w:tcW w:w="1761" w:type="dxa"/>
          </w:tcPr>
          <w:p w14:paraId="3E314A93" w14:textId="2B9FF278" w:rsidR="00BA4F84" w:rsidRPr="002646FC" w:rsidRDefault="006D707A" w:rsidP="006D707A">
            <w:pPr>
              <w:jc w:val="center"/>
              <w:rPr>
                <w:rFonts w:ascii="Arial" w:eastAsia="Calibri" w:hAnsi="Arial" w:cs="Arial"/>
                <w:b/>
                <w:sz w:val="22"/>
                <w:szCs w:val="22"/>
                <w:u w:val="single"/>
              </w:rPr>
            </w:pPr>
            <w:r w:rsidRPr="002646FC">
              <w:rPr>
                <w:rFonts w:ascii="Arial" w:eastAsia="Calibri" w:hAnsi="Arial" w:cs="Arial"/>
                <w:b/>
                <w:sz w:val="22"/>
                <w:szCs w:val="22"/>
                <w:u w:val="single"/>
              </w:rPr>
              <w:t>95,9%</w:t>
            </w:r>
          </w:p>
        </w:tc>
        <w:tc>
          <w:tcPr>
            <w:tcW w:w="1761" w:type="dxa"/>
          </w:tcPr>
          <w:p w14:paraId="0406D17B" w14:textId="7D4061A9" w:rsidR="00BA4F84" w:rsidRPr="002646FC" w:rsidRDefault="006D707A" w:rsidP="006D707A">
            <w:pPr>
              <w:jc w:val="center"/>
              <w:rPr>
                <w:rFonts w:ascii="Arial" w:eastAsia="Calibri" w:hAnsi="Arial" w:cs="Arial"/>
                <w:b/>
                <w:sz w:val="22"/>
                <w:szCs w:val="22"/>
                <w:u w:val="single"/>
              </w:rPr>
            </w:pPr>
            <w:r w:rsidRPr="002646FC">
              <w:rPr>
                <w:rFonts w:ascii="Arial" w:eastAsia="Calibri" w:hAnsi="Arial" w:cs="Arial"/>
                <w:b/>
                <w:sz w:val="22"/>
                <w:szCs w:val="22"/>
                <w:u w:val="single"/>
              </w:rPr>
              <w:t>87,7%</w:t>
            </w:r>
          </w:p>
        </w:tc>
        <w:tc>
          <w:tcPr>
            <w:tcW w:w="1693" w:type="dxa"/>
          </w:tcPr>
          <w:p w14:paraId="149F1AA0" w14:textId="6DFD5ADC" w:rsidR="00BA4F84" w:rsidRPr="002646FC" w:rsidRDefault="006D707A" w:rsidP="006D707A">
            <w:pPr>
              <w:jc w:val="center"/>
              <w:rPr>
                <w:rFonts w:ascii="Arial" w:eastAsia="Calibri" w:hAnsi="Arial" w:cs="Arial"/>
                <w:b/>
                <w:sz w:val="22"/>
                <w:szCs w:val="22"/>
                <w:u w:val="single"/>
              </w:rPr>
            </w:pPr>
            <w:r w:rsidRPr="002646FC">
              <w:rPr>
                <w:rFonts w:ascii="Arial" w:eastAsia="Calibri" w:hAnsi="Arial" w:cs="Arial"/>
                <w:b/>
                <w:sz w:val="22"/>
                <w:szCs w:val="22"/>
                <w:u w:val="single"/>
              </w:rPr>
              <w:t>87,7%”</w:t>
            </w:r>
          </w:p>
        </w:tc>
      </w:tr>
    </w:tbl>
    <w:p w14:paraId="7D62EA12" w14:textId="637BF27A" w:rsidR="00BA4F84" w:rsidRDefault="006D707A" w:rsidP="00DE5C48">
      <w:pPr>
        <w:ind w:left="-284" w:right="-234"/>
        <w:jc w:val="both"/>
        <w:rPr>
          <w:rFonts w:ascii="Arial" w:hAnsi="Arial" w:cs="Arial"/>
          <w:b/>
          <w:sz w:val="20"/>
          <w:szCs w:val="20"/>
        </w:rPr>
      </w:pPr>
      <w:r w:rsidRPr="006D707A">
        <w:rPr>
          <w:rFonts w:ascii="Arial" w:hAnsi="Arial" w:cs="Arial"/>
          <w:b/>
          <w:sz w:val="20"/>
          <w:szCs w:val="20"/>
        </w:rPr>
        <w:t xml:space="preserve">Fuente: Ministerio de </w:t>
      </w:r>
      <w:r w:rsidR="002646FC">
        <w:rPr>
          <w:rFonts w:ascii="Arial" w:hAnsi="Arial" w:cs="Arial"/>
          <w:b/>
          <w:sz w:val="20"/>
          <w:szCs w:val="20"/>
        </w:rPr>
        <w:t>H</w:t>
      </w:r>
      <w:r w:rsidRPr="006D707A">
        <w:rPr>
          <w:rFonts w:ascii="Arial" w:hAnsi="Arial" w:cs="Arial"/>
          <w:b/>
          <w:sz w:val="20"/>
          <w:szCs w:val="20"/>
        </w:rPr>
        <w:t xml:space="preserve">acienda y </w:t>
      </w:r>
      <w:r w:rsidR="002646FC">
        <w:rPr>
          <w:rFonts w:ascii="Arial" w:hAnsi="Arial" w:cs="Arial"/>
          <w:b/>
          <w:sz w:val="20"/>
          <w:szCs w:val="20"/>
        </w:rPr>
        <w:t>C</w:t>
      </w:r>
      <w:r w:rsidRPr="006D707A">
        <w:rPr>
          <w:rFonts w:ascii="Arial" w:hAnsi="Arial" w:cs="Arial"/>
          <w:b/>
          <w:sz w:val="20"/>
          <w:szCs w:val="20"/>
        </w:rPr>
        <w:t>rédito público.</w:t>
      </w:r>
    </w:p>
    <w:p w14:paraId="25121860" w14:textId="77777777" w:rsidR="002646FC" w:rsidRPr="006D707A" w:rsidRDefault="002646FC" w:rsidP="00DE5C48">
      <w:pPr>
        <w:ind w:left="-284" w:right="-234"/>
        <w:jc w:val="both"/>
        <w:rPr>
          <w:rFonts w:ascii="Arial" w:hAnsi="Arial" w:cs="Arial"/>
          <w:b/>
          <w:sz w:val="20"/>
          <w:szCs w:val="20"/>
        </w:rPr>
      </w:pPr>
    </w:p>
    <w:p w14:paraId="1224CE10" w14:textId="45486AC6" w:rsidR="00DE5C48" w:rsidRDefault="006D707A" w:rsidP="002646FC">
      <w:pPr>
        <w:ind w:left="-284" w:right="-234"/>
        <w:jc w:val="both"/>
        <w:rPr>
          <w:rFonts w:ascii="Arial" w:hAnsi="Arial" w:cs="Arial"/>
          <w:b/>
          <w:sz w:val="28"/>
          <w:szCs w:val="28"/>
        </w:rPr>
      </w:pPr>
      <w:r>
        <w:rPr>
          <w:rFonts w:ascii="Arial" w:hAnsi="Arial" w:cs="Arial"/>
          <w:b/>
          <w:sz w:val="28"/>
          <w:szCs w:val="28"/>
        </w:rPr>
        <w:t>RESULTADO DE LA REVISIÓN DE LA INFORMACIÓN PRESUPUESTAL PRESENTADA POR LAS UNIDADES EJECUTORAS DEL PRESUPUESTO GENERAL DE LA NACIÓN A LA COMISIÓN LEGAL DE CUENTAS DE LA CÁMARA DE REPRESENTANTES VIGENCIA 2024</w:t>
      </w:r>
    </w:p>
    <w:p w14:paraId="59D3829C" w14:textId="77777777" w:rsidR="006D707A" w:rsidRPr="004B1294" w:rsidRDefault="006D707A" w:rsidP="00DE5C48">
      <w:pPr>
        <w:ind w:left="-426" w:right="-460"/>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1550"/>
        <w:gridCol w:w="3255"/>
        <w:gridCol w:w="1839"/>
        <w:gridCol w:w="1804"/>
        <w:gridCol w:w="2042"/>
      </w:tblGrid>
      <w:tr w:rsidR="00DE5C48" w:rsidRPr="004B1294" w14:paraId="58BBB3CB" w14:textId="77777777" w:rsidTr="00042E94">
        <w:tc>
          <w:tcPr>
            <w:tcW w:w="1550" w:type="dxa"/>
          </w:tcPr>
          <w:p w14:paraId="2901EACB" w14:textId="1D3878FA" w:rsidR="00DE5C48" w:rsidRPr="00822909" w:rsidRDefault="00DE5C48" w:rsidP="00497D1D">
            <w:pPr>
              <w:jc w:val="center"/>
              <w:rPr>
                <w:rFonts w:ascii="Arial" w:hAnsi="Arial" w:cs="Arial"/>
                <w:b/>
              </w:rPr>
            </w:pPr>
            <w:r w:rsidRPr="00822909">
              <w:rPr>
                <w:rFonts w:ascii="Arial" w:hAnsi="Arial" w:cs="Arial"/>
                <w:b/>
              </w:rPr>
              <w:t xml:space="preserve">N° </w:t>
            </w:r>
            <w:r w:rsidR="00BF4BE4">
              <w:rPr>
                <w:rFonts w:ascii="Arial" w:hAnsi="Arial" w:cs="Arial"/>
                <w:b/>
              </w:rPr>
              <w:t xml:space="preserve">DE LA UNIDAD </w:t>
            </w:r>
            <w:r w:rsidR="00BF4BE4">
              <w:rPr>
                <w:rFonts w:ascii="Arial" w:hAnsi="Arial" w:cs="Arial"/>
                <w:b/>
              </w:rPr>
              <w:lastRenderedPageBreak/>
              <w:t>EJECUTORA</w:t>
            </w:r>
            <w:r w:rsidR="00C35E07">
              <w:rPr>
                <w:rFonts w:ascii="Arial" w:hAnsi="Arial" w:cs="Arial"/>
                <w:b/>
              </w:rPr>
              <w:t xml:space="preserve"> </w:t>
            </w:r>
            <w:r w:rsidRPr="00822909">
              <w:rPr>
                <w:rFonts w:ascii="Arial" w:hAnsi="Arial" w:cs="Arial"/>
                <w:b/>
              </w:rPr>
              <w:t>EN LA RESOLUCIÓN</w:t>
            </w:r>
          </w:p>
          <w:p w14:paraId="49994350" w14:textId="77777777" w:rsidR="00DE5C48" w:rsidRPr="00822909" w:rsidRDefault="00DE5C48" w:rsidP="00497D1D">
            <w:pPr>
              <w:jc w:val="center"/>
              <w:rPr>
                <w:rFonts w:ascii="Arial" w:hAnsi="Arial" w:cs="Arial"/>
                <w:b/>
              </w:rPr>
            </w:pPr>
          </w:p>
        </w:tc>
        <w:tc>
          <w:tcPr>
            <w:tcW w:w="3255" w:type="dxa"/>
          </w:tcPr>
          <w:p w14:paraId="17B83E8A" w14:textId="1B5E6E0C" w:rsidR="00DE5C48" w:rsidRPr="00822909" w:rsidRDefault="00DE5C48" w:rsidP="00497D1D">
            <w:pPr>
              <w:jc w:val="center"/>
              <w:rPr>
                <w:rFonts w:ascii="Arial" w:hAnsi="Arial" w:cs="Arial"/>
                <w:b/>
              </w:rPr>
            </w:pPr>
            <w:r w:rsidRPr="00822909">
              <w:rPr>
                <w:rFonts w:ascii="Arial" w:hAnsi="Arial" w:cs="Arial"/>
                <w:b/>
              </w:rPr>
              <w:lastRenderedPageBreak/>
              <w:t xml:space="preserve">UNIDAD EJECUTORA DEL PRESUPUESTO GENERAL DE </w:t>
            </w:r>
            <w:r w:rsidRPr="00822909">
              <w:rPr>
                <w:rFonts w:ascii="Arial" w:hAnsi="Arial" w:cs="Arial"/>
                <w:b/>
              </w:rPr>
              <w:lastRenderedPageBreak/>
              <w:t>LA NACIÓN 202</w:t>
            </w:r>
            <w:r w:rsidR="00C35E07">
              <w:rPr>
                <w:rFonts w:ascii="Arial" w:hAnsi="Arial" w:cs="Arial"/>
                <w:b/>
              </w:rPr>
              <w:t>4</w:t>
            </w:r>
          </w:p>
          <w:p w14:paraId="1243EBE2" w14:textId="77777777" w:rsidR="00DE5C48" w:rsidRPr="00822909" w:rsidRDefault="00DE5C48" w:rsidP="00497D1D">
            <w:pPr>
              <w:jc w:val="center"/>
              <w:rPr>
                <w:rFonts w:ascii="Arial" w:hAnsi="Arial" w:cs="Arial"/>
                <w:b/>
              </w:rPr>
            </w:pPr>
          </w:p>
        </w:tc>
        <w:tc>
          <w:tcPr>
            <w:tcW w:w="1839" w:type="dxa"/>
          </w:tcPr>
          <w:p w14:paraId="52BCF5F9" w14:textId="77777777" w:rsidR="00DE5C48" w:rsidRPr="00822909" w:rsidRDefault="00DE5C48" w:rsidP="00497D1D">
            <w:pPr>
              <w:jc w:val="center"/>
              <w:rPr>
                <w:rFonts w:ascii="Arial" w:hAnsi="Arial" w:cs="Arial"/>
                <w:b/>
              </w:rPr>
            </w:pPr>
            <w:r w:rsidRPr="00822909">
              <w:rPr>
                <w:rFonts w:ascii="Arial" w:hAnsi="Arial" w:cs="Arial"/>
                <w:b/>
              </w:rPr>
              <w:lastRenderedPageBreak/>
              <w:t xml:space="preserve">% DE </w:t>
            </w:r>
          </w:p>
          <w:p w14:paraId="36352620" w14:textId="77777777" w:rsidR="00DE5C48" w:rsidRPr="00822909" w:rsidRDefault="00DE5C48" w:rsidP="00497D1D">
            <w:pPr>
              <w:jc w:val="center"/>
              <w:rPr>
                <w:rFonts w:ascii="Arial" w:hAnsi="Arial" w:cs="Arial"/>
                <w:b/>
              </w:rPr>
            </w:pPr>
            <w:r w:rsidRPr="00822909">
              <w:rPr>
                <w:rFonts w:ascii="Arial" w:hAnsi="Arial" w:cs="Arial"/>
                <w:b/>
              </w:rPr>
              <w:t>EJECUCIÓN</w:t>
            </w:r>
          </w:p>
          <w:p w14:paraId="30047D35" w14:textId="77777777" w:rsidR="00DE5C48" w:rsidRPr="00822909" w:rsidRDefault="00DE5C48" w:rsidP="00497D1D">
            <w:pPr>
              <w:jc w:val="center"/>
              <w:rPr>
                <w:rFonts w:ascii="Arial" w:hAnsi="Arial" w:cs="Arial"/>
                <w:b/>
              </w:rPr>
            </w:pPr>
            <w:r>
              <w:rPr>
                <w:rFonts w:ascii="Arial" w:hAnsi="Arial" w:cs="Arial"/>
                <w:b/>
              </w:rPr>
              <w:lastRenderedPageBreak/>
              <w:t xml:space="preserve">PTTO </w:t>
            </w:r>
            <w:r w:rsidRPr="00822909">
              <w:rPr>
                <w:rFonts w:ascii="Arial" w:hAnsi="Arial" w:cs="Arial"/>
                <w:b/>
              </w:rPr>
              <w:t>POR</w:t>
            </w:r>
          </w:p>
          <w:p w14:paraId="37441D17" w14:textId="77777777" w:rsidR="00DE5C48" w:rsidRPr="00822909" w:rsidRDefault="00DE5C48" w:rsidP="00497D1D">
            <w:pPr>
              <w:jc w:val="center"/>
              <w:rPr>
                <w:rFonts w:ascii="Arial" w:hAnsi="Arial" w:cs="Arial"/>
                <w:b/>
              </w:rPr>
            </w:pPr>
            <w:r w:rsidRPr="00822909">
              <w:rPr>
                <w:rFonts w:ascii="Arial" w:hAnsi="Arial" w:cs="Arial"/>
                <w:b/>
              </w:rPr>
              <w:t>COMPROMISOS</w:t>
            </w:r>
          </w:p>
        </w:tc>
        <w:tc>
          <w:tcPr>
            <w:tcW w:w="1804" w:type="dxa"/>
          </w:tcPr>
          <w:p w14:paraId="4B1CD618" w14:textId="77777777" w:rsidR="00DE5C48" w:rsidRPr="00647D7E" w:rsidRDefault="00DE5C48" w:rsidP="00497D1D">
            <w:pPr>
              <w:jc w:val="center"/>
              <w:rPr>
                <w:rFonts w:ascii="Arial" w:hAnsi="Arial" w:cs="Arial"/>
                <w:b/>
              </w:rPr>
            </w:pPr>
            <w:r w:rsidRPr="00647D7E">
              <w:rPr>
                <w:rFonts w:ascii="Arial" w:hAnsi="Arial" w:cs="Arial"/>
                <w:b/>
              </w:rPr>
              <w:lastRenderedPageBreak/>
              <w:t xml:space="preserve">% DE </w:t>
            </w:r>
          </w:p>
          <w:p w14:paraId="2C4E2F49" w14:textId="77777777" w:rsidR="00DE5C48" w:rsidRPr="00647D7E" w:rsidRDefault="00DE5C48" w:rsidP="00497D1D">
            <w:pPr>
              <w:jc w:val="center"/>
              <w:rPr>
                <w:rFonts w:ascii="Arial" w:hAnsi="Arial" w:cs="Arial"/>
                <w:b/>
              </w:rPr>
            </w:pPr>
            <w:r w:rsidRPr="00647D7E">
              <w:rPr>
                <w:rFonts w:ascii="Arial" w:hAnsi="Arial" w:cs="Arial"/>
                <w:b/>
              </w:rPr>
              <w:t>EJECUCIÓN</w:t>
            </w:r>
          </w:p>
          <w:p w14:paraId="4E78D1D2" w14:textId="77777777" w:rsidR="00DE5C48" w:rsidRPr="00647D7E" w:rsidRDefault="00DE5C48" w:rsidP="00497D1D">
            <w:pPr>
              <w:jc w:val="center"/>
              <w:rPr>
                <w:rFonts w:ascii="Arial" w:hAnsi="Arial" w:cs="Arial"/>
                <w:b/>
              </w:rPr>
            </w:pPr>
            <w:r w:rsidRPr="00647D7E">
              <w:rPr>
                <w:rFonts w:ascii="Arial" w:hAnsi="Arial" w:cs="Arial"/>
                <w:b/>
              </w:rPr>
              <w:lastRenderedPageBreak/>
              <w:t>PTTO POR</w:t>
            </w:r>
          </w:p>
          <w:p w14:paraId="0C163803" w14:textId="77777777" w:rsidR="00DE5C48" w:rsidRPr="00647D7E" w:rsidRDefault="00DE5C48" w:rsidP="00497D1D">
            <w:pPr>
              <w:jc w:val="center"/>
              <w:rPr>
                <w:rFonts w:ascii="Arial" w:hAnsi="Arial" w:cs="Arial"/>
                <w:b/>
              </w:rPr>
            </w:pPr>
            <w:r w:rsidRPr="00647D7E">
              <w:rPr>
                <w:rFonts w:ascii="Arial" w:hAnsi="Arial" w:cs="Arial"/>
                <w:b/>
              </w:rPr>
              <w:t>OBLIGACIONES</w:t>
            </w:r>
          </w:p>
          <w:p w14:paraId="4B6F92F2" w14:textId="77777777" w:rsidR="00DE5C48" w:rsidRPr="00822909" w:rsidRDefault="00DE5C48" w:rsidP="00497D1D">
            <w:pPr>
              <w:jc w:val="center"/>
              <w:rPr>
                <w:rFonts w:ascii="Arial" w:hAnsi="Arial" w:cs="Arial"/>
                <w:b/>
              </w:rPr>
            </w:pPr>
          </w:p>
        </w:tc>
        <w:tc>
          <w:tcPr>
            <w:tcW w:w="2042" w:type="dxa"/>
          </w:tcPr>
          <w:p w14:paraId="12652F2D" w14:textId="77777777" w:rsidR="00DE5C48" w:rsidRPr="00822909" w:rsidRDefault="00DE5C48" w:rsidP="00497D1D">
            <w:pPr>
              <w:jc w:val="center"/>
              <w:rPr>
                <w:rFonts w:ascii="Arial" w:eastAsia="Calibri" w:hAnsi="Arial" w:cs="Arial"/>
                <w:b/>
              </w:rPr>
            </w:pPr>
            <w:r w:rsidRPr="00822909">
              <w:rPr>
                <w:rFonts w:ascii="Arial" w:eastAsia="Calibri" w:hAnsi="Arial" w:cs="Arial"/>
                <w:b/>
              </w:rPr>
              <w:lastRenderedPageBreak/>
              <w:t xml:space="preserve">% </w:t>
            </w:r>
          </w:p>
          <w:p w14:paraId="4ECF7BFB" w14:textId="77777777" w:rsidR="00DE5C48" w:rsidRPr="00822909" w:rsidRDefault="00DE5C48" w:rsidP="00497D1D">
            <w:pPr>
              <w:jc w:val="center"/>
              <w:rPr>
                <w:rFonts w:ascii="Arial" w:eastAsia="Calibri" w:hAnsi="Arial" w:cs="Arial"/>
                <w:b/>
              </w:rPr>
            </w:pPr>
            <w:r w:rsidRPr="00822909">
              <w:rPr>
                <w:rFonts w:ascii="Arial" w:eastAsia="Calibri" w:hAnsi="Arial" w:cs="Arial"/>
                <w:b/>
              </w:rPr>
              <w:t>PAGOS/</w:t>
            </w:r>
          </w:p>
          <w:p w14:paraId="08D43397" w14:textId="77777777" w:rsidR="00DE5C48" w:rsidRPr="00822909" w:rsidRDefault="00DE5C48" w:rsidP="00497D1D">
            <w:pPr>
              <w:jc w:val="center"/>
              <w:rPr>
                <w:rFonts w:ascii="Arial" w:eastAsia="Calibri" w:hAnsi="Arial" w:cs="Arial"/>
                <w:b/>
              </w:rPr>
            </w:pPr>
            <w:r w:rsidRPr="00822909">
              <w:rPr>
                <w:rFonts w:ascii="Arial" w:eastAsia="Calibri" w:hAnsi="Arial" w:cs="Arial"/>
                <w:b/>
              </w:rPr>
              <w:lastRenderedPageBreak/>
              <w:t xml:space="preserve">APROPIACIÓN </w:t>
            </w:r>
            <w:r>
              <w:rPr>
                <w:rFonts w:ascii="Arial" w:eastAsia="Calibri" w:hAnsi="Arial" w:cs="Arial"/>
                <w:b/>
              </w:rPr>
              <w:t xml:space="preserve">PTTO </w:t>
            </w:r>
            <w:r w:rsidRPr="00822909">
              <w:rPr>
                <w:rFonts w:ascii="Arial" w:eastAsia="Calibri" w:hAnsi="Arial" w:cs="Arial"/>
                <w:b/>
              </w:rPr>
              <w:t>VIGENTE</w:t>
            </w:r>
          </w:p>
          <w:p w14:paraId="4FCBCE71" w14:textId="77777777" w:rsidR="00DE5C48" w:rsidRPr="00822909" w:rsidRDefault="00DE5C48" w:rsidP="00497D1D">
            <w:pPr>
              <w:jc w:val="center"/>
              <w:rPr>
                <w:rFonts w:ascii="Arial" w:hAnsi="Arial" w:cs="Arial"/>
                <w:b/>
              </w:rPr>
            </w:pPr>
          </w:p>
        </w:tc>
      </w:tr>
      <w:tr w:rsidR="00DE5C48" w:rsidRPr="004B1294" w14:paraId="6EF7FDED" w14:textId="77777777" w:rsidTr="00042E94">
        <w:tc>
          <w:tcPr>
            <w:tcW w:w="1550" w:type="dxa"/>
          </w:tcPr>
          <w:p w14:paraId="33ED5E6B" w14:textId="3D91AB6B" w:rsidR="00DE5C48" w:rsidRPr="004B1294" w:rsidRDefault="00491440" w:rsidP="00497D1D">
            <w:pPr>
              <w:jc w:val="center"/>
              <w:rPr>
                <w:rFonts w:ascii="Arial" w:hAnsi="Arial" w:cs="Arial"/>
                <w:b/>
              </w:rPr>
            </w:pPr>
            <w:r>
              <w:rPr>
                <w:rFonts w:ascii="Arial" w:hAnsi="Arial" w:cs="Arial"/>
                <w:b/>
              </w:rPr>
              <w:lastRenderedPageBreak/>
              <w:t>2</w:t>
            </w:r>
          </w:p>
        </w:tc>
        <w:tc>
          <w:tcPr>
            <w:tcW w:w="3255" w:type="dxa"/>
          </w:tcPr>
          <w:p w14:paraId="289DC2E9" w14:textId="0E8CD5E3" w:rsidR="00491440" w:rsidRPr="00491440" w:rsidRDefault="00491440" w:rsidP="00491440">
            <w:pPr>
              <w:jc w:val="both"/>
              <w:rPr>
                <w:rFonts w:ascii="Arial" w:hAnsi="Arial" w:cs="Arial"/>
                <w:b/>
                <w:lang w:val="es-MX"/>
              </w:rPr>
            </w:pPr>
            <w:r w:rsidRPr="00491440">
              <w:rPr>
                <w:rFonts w:ascii="Arial" w:hAnsi="Arial" w:cs="Arial"/>
                <w:b/>
                <w:lang w:val="es-MX"/>
              </w:rPr>
              <w:t>U.A.E. DIRECCIÓN DE IMPUESTOS Y ADUANAS NACIONALES – DIAN FUNCIÓN PAGADORA.</w:t>
            </w:r>
          </w:p>
          <w:p w14:paraId="344C0963" w14:textId="5FAAB50C" w:rsidR="00DE5C48" w:rsidRDefault="00DE5C48" w:rsidP="00497D1D">
            <w:pPr>
              <w:jc w:val="both"/>
              <w:rPr>
                <w:rFonts w:ascii="Arial" w:hAnsi="Arial" w:cs="Arial"/>
                <w:b/>
                <w:lang w:val="es-MX"/>
              </w:rPr>
            </w:pPr>
          </w:p>
          <w:p w14:paraId="76397AC9" w14:textId="01073839" w:rsidR="00DE5C48" w:rsidRDefault="00DE5C48" w:rsidP="00497D1D">
            <w:pPr>
              <w:jc w:val="both"/>
              <w:rPr>
                <w:rFonts w:ascii="Arial" w:hAnsi="Arial" w:cs="Arial"/>
                <w:b/>
                <w:lang w:val="es-MX"/>
              </w:rPr>
            </w:pPr>
            <w:r>
              <w:rPr>
                <w:rFonts w:ascii="Arial" w:hAnsi="Arial" w:cs="Arial"/>
                <w:b/>
                <w:lang w:val="es-MX"/>
              </w:rPr>
              <w:t>FUNCIONAMIENTO</w:t>
            </w:r>
          </w:p>
          <w:p w14:paraId="3E40E395" w14:textId="6F5D4C05" w:rsidR="009B628D" w:rsidRDefault="00DE5C48" w:rsidP="00497D1D">
            <w:pPr>
              <w:jc w:val="both"/>
              <w:rPr>
                <w:rFonts w:ascii="Arial" w:hAnsi="Arial" w:cs="Arial"/>
                <w:b/>
                <w:lang w:val="es-MX"/>
              </w:rPr>
            </w:pPr>
            <w:r>
              <w:rPr>
                <w:rFonts w:ascii="Arial" w:hAnsi="Arial" w:cs="Arial"/>
                <w:b/>
                <w:lang w:val="es-MX"/>
              </w:rPr>
              <w:t>INVERSIÓN</w:t>
            </w:r>
          </w:p>
          <w:p w14:paraId="01CCA58F" w14:textId="0635199B" w:rsidR="00E056D9" w:rsidRDefault="00E056D9" w:rsidP="00497D1D">
            <w:pPr>
              <w:jc w:val="both"/>
              <w:rPr>
                <w:rFonts w:ascii="Arial" w:hAnsi="Arial" w:cs="Arial"/>
                <w:b/>
                <w:u w:val="single"/>
                <w:lang w:val="es-MX"/>
              </w:rPr>
            </w:pPr>
          </w:p>
          <w:p w14:paraId="162868FC" w14:textId="207B18F9" w:rsidR="009B628D" w:rsidRPr="009B628D" w:rsidRDefault="00931DAF" w:rsidP="00497D1D">
            <w:pPr>
              <w:jc w:val="both"/>
              <w:rPr>
                <w:rFonts w:ascii="Arial" w:hAnsi="Arial" w:cs="Arial"/>
                <w:b/>
                <w:u w:val="single"/>
                <w:lang w:val="es-MX"/>
              </w:rPr>
            </w:pPr>
            <w:r>
              <w:rPr>
                <w:rFonts w:ascii="Arial" w:hAnsi="Arial" w:cs="Arial"/>
                <w:b/>
                <w:u w:val="single"/>
                <w:lang w:val="es-MX"/>
              </w:rPr>
              <w:t>T</w:t>
            </w:r>
            <w:r w:rsidR="009B628D" w:rsidRPr="009B628D">
              <w:rPr>
                <w:rFonts w:ascii="Arial" w:hAnsi="Arial" w:cs="Arial"/>
                <w:b/>
                <w:u w:val="single"/>
                <w:lang w:val="es-MX"/>
              </w:rPr>
              <w:t>OTAL PRESUPUESTO</w:t>
            </w:r>
          </w:p>
        </w:tc>
        <w:tc>
          <w:tcPr>
            <w:tcW w:w="1839" w:type="dxa"/>
          </w:tcPr>
          <w:p w14:paraId="70B148C4" w14:textId="77777777" w:rsidR="00491440" w:rsidRDefault="00491440" w:rsidP="00497D1D">
            <w:pPr>
              <w:jc w:val="center"/>
              <w:rPr>
                <w:rFonts w:ascii="Arial" w:eastAsia="Calibri" w:hAnsi="Arial" w:cs="Arial"/>
                <w:b/>
                <w:u w:val="single"/>
              </w:rPr>
            </w:pPr>
          </w:p>
          <w:p w14:paraId="1E4E4B7B" w14:textId="77777777" w:rsidR="00491440" w:rsidRDefault="00491440" w:rsidP="00497D1D">
            <w:pPr>
              <w:jc w:val="center"/>
              <w:rPr>
                <w:rFonts w:ascii="Arial" w:eastAsia="Calibri" w:hAnsi="Arial" w:cs="Arial"/>
                <w:b/>
                <w:u w:val="single"/>
              </w:rPr>
            </w:pPr>
          </w:p>
          <w:p w14:paraId="2220D540" w14:textId="77777777" w:rsidR="00491440" w:rsidRDefault="00491440" w:rsidP="00497D1D">
            <w:pPr>
              <w:jc w:val="center"/>
              <w:rPr>
                <w:rFonts w:ascii="Arial" w:eastAsia="Calibri" w:hAnsi="Arial" w:cs="Arial"/>
                <w:b/>
                <w:u w:val="single"/>
              </w:rPr>
            </w:pPr>
          </w:p>
          <w:p w14:paraId="377C16C4" w14:textId="77777777" w:rsidR="00491440" w:rsidRDefault="00491440" w:rsidP="00497D1D">
            <w:pPr>
              <w:jc w:val="center"/>
              <w:rPr>
                <w:rFonts w:ascii="Arial" w:eastAsia="Calibri" w:hAnsi="Arial" w:cs="Arial"/>
                <w:b/>
                <w:u w:val="single"/>
              </w:rPr>
            </w:pPr>
          </w:p>
          <w:p w14:paraId="46AC3D66" w14:textId="77777777" w:rsidR="00491440" w:rsidRDefault="00491440" w:rsidP="00497D1D">
            <w:pPr>
              <w:jc w:val="center"/>
              <w:rPr>
                <w:rFonts w:ascii="Arial" w:eastAsia="Calibri" w:hAnsi="Arial" w:cs="Arial"/>
                <w:b/>
                <w:u w:val="single"/>
              </w:rPr>
            </w:pPr>
          </w:p>
          <w:p w14:paraId="42B672D9" w14:textId="0A83F9B2" w:rsidR="00DE5C48" w:rsidRDefault="00925244" w:rsidP="00497D1D">
            <w:pPr>
              <w:jc w:val="center"/>
              <w:rPr>
                <w:rFonts w:ascii="Arial" w:eastAsia="Calibri" w:hAnsi="Arial" w:cs="Arial"/>
                <w:b/>
                <w:u w:val="single"/>
              </w:rPr>
            </w:pPr>
            <w:r>
              <w:rPr>
                <w:rFonts w:ascii="Arial" w:eastAsia="Calibri" w:hAnsi="Arial" w:cs="Arial"/>
                <w:b/>
                <w:u w:val="single"/>
              </w:rPr>
              <w:t>92.32</w:t>
            </w:r>
            <w:r w:rsidR="00DE5C48">
              <w:rPr>
                <w:rFonts w:ascii="Arial" w:eastAsia="Calibri" w:hAnsi="Arial" w:cs="Arial"/>
                <w:b/>
                <w:u w:val="single"/>
              </w:rPr>
              <w:t>%</w:t>
            </w:r>
          </w:p>
          <w:p w14:paraId="5511FBE5" w14:textId="77777777" w:rsidR="00DE5C48" w:rsidRDefault="00925244" w:rsidP="00497D1D">
            <w:pPr>
              <w:jc w:val="center"/>
              <w:rPr>
                <w:rFonts w:ascii="Arial" w:eastAsia="Calibri" w:hAnsi="Arial" w:cs="Arial"/>
                <w:b/>
                <w:u w:val="single"/>
              </w:rPr>
            </w:pPr>
            <w:r>
              <w:rPr>
                <w:rFonts w:ascii="Arial" w:eastAsia="Calibri" w:hAnsi="Arial" w:cs="Arial"/>
                <w:b/>
                <w:u w:val="single"/>
              </w:rPr>
              <w:t>96.99</w:t>
            </w:r>
            <w:r w:rsidR="00DE5C48">
              <w:rPr>
                <w:rFonts w:ascii="Arial" w:eastAsia="Calibri" w:hAnsi="Arial" w:cs="Arial"/>
                <w:b/>
                <w:u w:val="single"/>
              </w:rPr>
              <w:t>%</w:t>
            </w:r>
          </w:p>
          <w:p w14:paraId="52D7CACB" w14:textId="77777777" w:rsidR="009B628D" w:rsidRDefault="009B628D" w:rsidP="00497D1D">
            <w:pPr>
              <w:jc w:val="center"/>
              <w:rPr>
                <w:rFonts w:ascii="Arial" w:eastAsia="Calibri" w:hAnsi="Arial" w:cs="Arial"/>
                <w:b/>
                <w:u w:val="single"/>
              </w:rPr>
            </w:pPr>
          </w:p>
          <w:p w14:paraId="6C60BA6F" w14:textId="5A67954E" w:rsidR="009B628D" w:rsidRPr="009B628D" w:rsidRDefault="009B628D" w:rsidP="00497D1D">
            <w:pPr>
              <w:jc w:val="center"/>
              <w:rPr>
                <w:rFonts w:ascii="Arial" w:eastAsia="Calibri" w:hAnsi="Arial" w:cs="Arial"/>
                <w:b/>
                <w:u w:val="single"/>
              </w:rPr>
            </w:pPr>
            <w:r w:rsidRPr="009B628D">
              <w:rPr>
                <w:rFonts w:ascii="Arial" w:eastAsia="Calibri" w:hAnsi="Arial" w:cs="Arial"/>
                <w:b/>
                <w:u w:val="single"/>
              </w:rPr>
              <w:t>92.50%</w:t>
            </w:r>
          </w:p>
        </w:tc>
        <w:tc>
          <w:tcPr>
            <w:tcW w:w="1804" w:type="dxa"/>
          </w:tcPr>
          <w:p w14:paraId="5792E25C" w14:textId="77777777" w:rsidR="00491440" w:rsidRDefault="00491440" w:rsidP="00497D1D">
            <w:pPr>
              <w:jc w:val="center"/>
              <w:rPr>
                <w:rFonts w:ascii="Arial" w:eastAsia="Calibri" w:hAnsi="Arial" w:cs="Arial"/>
                <w:b/>
                <w:u w:val="single"/>
              </w:rPr>
            </w:pPr>
          </w:p>
          <w:p w14:paraId="53869E2D" w14:textId="77777777" w:rsidR="00491440" w:rsidRDefault="00491440" w:rsidP="00497D1D">
            <w:pPr>
              <w:jc w:val="center"/>
              <w:rPr>
                <w:rFonts w:ascii="Arial" w:eastAsia="Calibri" w:hAnsi="Arial" w:cs="Arial"/>
                <w:b/>
                <w:u w:val="single"/>
              </w:rPr>
            </w:pPr>
          </w:p>
          <w:p w14:paraId="364204C5" w14:textId="77777777" w:rsidR="00491440" w:rsidRDefault="00491440" w:rsidP="00497D1D">
            <w:pPr>
              <w:jc w:val="center"/>
              <w:rPr>
                <w:rFonts w:ascii="Arial" w:eastAsia="Calibri" w:hAnsi="Arial" w:cs="Arial"/>
                <w:b/>
                <w:u w:val="single"/>
              </w:rPr>
            </w:pPr>
          </w:p>
          <w:p w14:paraId="15449B63" w14:textId="77777777" w:rsidR="00491440" w:rsidRDefault="00491440" w:rsidP="00497D1D">
            <w:pPr>
              <w:jc w:val="center"/>
              <w:rPr>
                <w:rFonts w:ascii="Arial" w:eastAsia="Calibri" w:hAnsi="Arial" w:cs="Arial"/>
                <w:b/>
                <w:u w:val="single"/>
              </w:rPr>
            </w:pPr>
          </w:p>
          <w:p w14:paraId="48EF566D" w14:textId="77777777" w:rsidR="00491440" w:rsidRDefault="00491440" w:rsidP="00497D1D">
            <w:pPr>
              <w:jc w:val="center"/>
              <w:rPr>
                <w:rFonts w:ascii="Arial" w:eastAsia="Calibri" w:hAnsi="Arial" w:cs="Arial"/>
                <w:b/>
                <w:u w:val="single"/>
              </w:rPr>
            </w:pPr>
          </w:p>
          <w:p w14:paraId="2C357F03" w14:textId="6DC0E1C6" w:rsidR="00DE5C48" w:rsidRDefault="00925244" w:rsidP="00497D1D">
            <w:pPr>
              <w:jc w:val="center"/>
              <w:rPr>
                <w:rFonts w:ascii="Arial" w:eastAsia="Calibri" w:hAnsi="Arial" w:cs="Arial"/>
                <w:b/>
                <w:u w:val="single"/>
              </w:rPr>
            </w:pPr>
            <w:r>
              <w:rPr>
                <w:rFonts w:ascii="Arial" w:eastAsia="Calibri" w:hAnsi="Arial" w:cs="Arial"/>
                <w:b/>
                <w:u w:val="single"/>
              </w:rPr>
              <w:t>88.49</w:t>
            </w:r>
            <w:r w:rsidR="00DE5C48">
              <w:rPr>
                <w:rFonts w:ascii="Arial" w:eastAsia="Calibri" w:hAnsi="Arial" w:cs="Arial"/>
                <w:b/>
                <w:u w:val="single"/>
              </w:rPr>
              <w:t>%</w:t>
            </w:r>
          </w:p>
          <w:p w14:paraId="5497B8B4" w14:textId="77777777" w:rsidR="00DE5C48" w:rsidRDefault="00925244" w:rsidP="00497D1D">
            <w:pPr>
              <w:jc w:val="center"/>
              <w:rPr>
                <w:rFonts w:ascii="Arial" w:eastAsia="Calibri" w:hAnsi="Arial" w:cs="Arial"/>
                <w:b/>
                <w:u w:val="single"/>
              </w:rPr>
            </w:pPr>
            <w:r>
              <w:rPr>
                <w:rFonts w:ascii="Arial" w:eastAsia="Calibri" w:hAnsi="Arial" w:cs="Arial"/>
                <w:b/>
                <w:u w:val="single"/>
              </w:rPr>
              <w:t>87.38</w:t>
            </w:r>
            <w:r w:rsidR="00DE5C48">
              <w:rPr>
                <w:rFonts w:ascii="Arial" w:eastAsia="Calibri" w:hAnsi="Arial" w:cs="Arial"/>
                <w:b/>
                <w:u w:val="single"/>
              </w:rPr>
              <w:t>%</w:t>
            </w:r>
          </w:p>
          <w:p w14:paraId="7A2FBA10" w14:textId="77777777" w:rsidR="009B628D" w:rsidRDefault="009B628D" w:rsidP="00497D1D">
            <w:pPr>
              <w:jc w:val="center"/>
              <w:rPr>
                <w:rFonts w:ascii="Arial" w:eastAsia="Calibri" w:hAnsi="Arial" w:cs="Arial"/>
                <w:b/>
                <w:u w:val="single"/>
              </w:rPr>
            </w:pPr>
          </w:p>
          <w:p w14:paraId="1B566405" w14:textId="3B8BB872" w:rsidR="009B628D" w:rsidRPr="009B628D" w:rsidRDefault="009B628D" w:rsidP="00497D1D">
            <w:pPr>
              <w:jc w:val="center"/>
              <w:rPr>
                <w:rFonts w:ascii="Arial" w:eastAsia="Calibri" w:hAnsi="Arial" w:cs="Arial"/>
                <w:b/>
                <w:u w:val="single"/>
              </w:rPr>
            </w:pPr>
            <w:r w:rsidRPr="009B628D">
              <w:rPr>
                <w:rFonts w:ascii="Arial" w:eastAsia="Calibri" w:hAnsi="Arial" w:cs="Arial"/>
                <w:b/>
                <w:u w:val="single"/>
              </w:rPr>
              <w:t>87.38%</w:t>
            </w:r>
          </w:p>
        </w:tc>
        <w:tc>
          <w:tcPr>
            <w:tcW w:w="2042" w:type="dxa"/>
          </w:tcPr>
          <w:p w14:paraId="3A4B97B1" w14:textId="77777777" w:rsidR="00491440" w:rsidRDefault="00491440" w:rsidP="00497D1D">
            <w:pPr>
              <w:jc w:val="center"/>
              <w:rPr>
                <w:rFonts w:ascii="Arial" w:eastAsia="Calibri" w:hAnsi="Arial" w:cs="Arial"/>
                <w:b/>
                <w:u w:val="single"/>
              </w:rPr>
            </w:pPr>
          </w:p>
          <w:p w14:paraId="0CF4485C" w14:textId="77777777" w:rsidR="00491440" w:rsidRDefault="00491440" w:rsidP="00497D1D">
            <w:pPr>
              <w:jc w:val="center"/>
              <w:rPr>
                <w:rFonts w:ascii="Arial" w:eastAsia="Calibri" w:hAnsi="Arial" w:cs="Arial"/>
                <w:b/>
                <w:u w:val="single"/>
              </w:rPr>
            </w:pPr>
          </w:p>
          <w:p w14:paraId="1E16E9A5" w14:textId="77777777" w:rsidR="00491440" w:rsidRDefault="00491440" w:rsidP="00497D1D">
            <w:pPr>
              <w:jc w:val="center"/>
              <w:rPr>
                <w:rFonts w:ascii="Arial" w:eastAsia="Calibri" w:hAnsi="Arial" w:cs="Arial"/>
                <w:b/>
                <w:u w:val="single"/>
              </w:rPr>
            </w:pPr>
          </w:p>
          <w:p w14:paraId="68A010A0" w14:textId="77777777" w:rsidR="00491440" w:rsidRDefault="00491440" w:rsidP="00497D1D">
            <w:pPr>
              <w:jc w:val="center"/>
              <w:rPr>
                <w:rFonts w:ascii="Arial" w:eastAsia="Calibri" w:hAnsi="Arial" w:cs="Arial"/>
                <w:b/>
                <w:u w:val="single"/>
              </w:rPr>
            </w:pPr>
          </w:p>
          <w:p w14:paraId="6A7ECED5" w14:textId="77777777" w:rsidR="00491440" w:rsidRDefault="00491440" w:rsidP="00497D1D">
            <w:pPr>
              <w:jc w:val="center"/>
              <w:rPr>
                <w:rFonts w:ascii="Arial" w:eastAsia="Calibri" w:hAnsi="Arial" w:cs="Arial"/>
                <w:b/>
                <w:u w:val="single"/>
              </w:rPr>
            </w:pPr>
          </w:p>
          <w:p w14:paraId="5FC8AE55" w14:textId="2A2ADBF2" w:rsidR="00DE5C48" w:rsidRDefault="00925244" w:rsidP="00497D1D">
            <w:pPr>
              <w:jc w:val="center"/>
              <w:rPr>
                <w:rFonts w:ascii="Arial" w:eastAsia="Calibri" w:hAnsi="Arial" w:cs="Arial"/>
                <w:b/>
                <w:u w:val="single"/>
              </w:rPr>
            </w:pPr>
            <w:r>
              <w:rPr>
                <w:rFonts w:ascii="Arial" w:eastAsia="Calibri" w:hAnsi="Arial" w:cs="Arial"/>
                <w:b/>
                <w:u w:val="single"/>
              </w:rPr>
              <w:t>88.49</w:t>
            </w:r>
            <w:r w:rsidR="00DE5C48">
              <w:rPr>
                <w:rFonts w:ascii="Arial" w:eastAsia="Calibri" w:hAnsi="Arial" w:cs="Arial"/>
                <w:b/>
                <w:u w:val="single"/>
              </w:rPr>
              <w:t>%</w:t>
            </w:r>
          </w:p>
          <w:p w14:paraId="18D69C99" w14:textId="77777777" w:rsidR="00DE5C48" w:rsidRDefault="00925244" w:rsidP="00497D1D">
            <w:pPr>
              <w:jc w:val="center"/>
              <w:rPr>
                <w:rFonts w:ascii="Arial" w:eastAsia="Calibri" w:hAnsi="Arial" w:cs="Arial"/>
                <w:b/>
                <w:u w:val="single"/>
              </w:rPr>
            </w:pPr>
            <w:r>
              <w:rPr>
                <w:rFonts w:ascii="Arial" w:eastAsia="Calibri" w:hAnsi="Arial" w:cs="Arial"/>
                <w:b/>
                <w:u w:val="single"/>
              </w:rPr>
              <w:t>87.38</w:t>
            </w:r>
            <w:r w:rsidR="00DE5C48">
              <w:rPr>
                <w:rFonts w:ascii="Arial" w:eastAsia="Calibri" w:hAnsi="Arial" w:cs="Arial"/>
                <w:b/>
                <w:u w:val="single"/>
              </w:rPr>
              <w:t>%</w:t>
            </w:r>
          </w:p>
          <w:p w14:paraId="29892F4E" w14:textId="77777777" w:rsidR="009B628D" w:rsidRDefault="009B628D" w:rsidP="00497D1D">
            <w:pPr>
              <w:jc w:val="center"/>
              <w:rPr>
                <w:rFonts w:ascii="Arial" w:eastAsia="Calibri" w:hAnsi="Arial" w:cs="Arial"/>
                <w:b/>
                <w:u w:val="single"/>
              </w:rPr>
            </w:pPr>
          </w:p>
          <w:p w14:paraId="30D4CE38" w14:textId="1401F10D" w:rsidR="009B628D" w:rsidRPr="009B628D" w:rsidRDefault="009B628D" w:rsidP="00497D1D">
            <w:pPr>
              <w:jc w:val="center"/>
              <w:rPr>
                <w:rFonts w:ascii="Arial" w:eastAsia="Calibri" w:hAnsi="Arial" w:cs="Arial"/>
                <w:b/>
                <w:u w:val="single"/>
              </w:rPr>
            </w:pPr>
            <w:r w:rsidRPr="009B628D">
              <w:rPr>
                <w:rFonts w:ascii="Arial" w:eastAsia="Calibri" w:hAnsi="Arial" w:cs="Arial"/>
                <w:b/>
                <w:u w:val="single"/>
              </w:rPr>
              <w:t>87.38%</w:t>
            </w:r>
          </w:p>
        </w:tc>
      </w:tr>
      <w:tr w:rsidR="009B628D" w:rsidRPr="004B1294" w14:paraId="0726F901" w14:textId="77777777" w:rsidTr="00042E94">
        <w:tc>
          <w:tcPr>
            <w:tcW w:w="1550" w:type="dxa"/>
          </w:tcPr>
          <w:p w14:paraId="67393269" w14:textId="262DEE54" w:rsidR="009B628D" w:rsidRDefault="006B5E9C" w:rsidP="00497D1D">
            <w:pPr>
              <w:jc w:val="center"/>
              <w:rPr>
                <w:rFonts w:ascii="Arial" w:hAnsi="Arial" w:cs="Arial"/>
                <w:b/>
              </w:rPr>
            </w:pPr>
            <w:r>
              <w:rPr>
                <w:rFonts w:ascii="Arial" w:hAnsi="Arial" w:cs="Arial"/>
                <w:b/>
              </w:rPr>
              <w:t>3</w:t>
            </w:r>
          </w:p>
        </w:tc>
        <w:tc>
          <w:tcPr>
            <w:tcW w:w="3255" w:type="dxa"/>
          </w:tcPr>
          <w:p w14:paraId="38E05F47" w14:textId="70C860BB" w:rsidR="006B5E9C" w:rsidRDefault="006B5E9C" w:rsidP="006B5E9C">
            <w:pPr>
              <w:jc w:val="both"/>
              <w:rPr>
                <w:rFonts w:ascii="Arial" w:hAnsi="Arial" w:cs="Arial"/>
                <w:b/>
                <w:lang w:val="es-MX"/>
              </w:rPr>
            </w:pPr>
            <w:r w:rsidRPr="006B5E9C">
              <w:rPr>
                <w:rFonts w:ascii="Arial" w:hAnsi="Arial" w:cs="Arial"/>
                <w:b/>
                <w:lang w:val="es-MX"/>
              </w:rPr>
              <w:t>SUPERINTENDENCIA DE VIGILANCIA Y SEGURIDAD PRIVADA.</w:t>
            </w:r>
          </w:p>
          <w:p w14:paraId="5233C8D7" w14:textId="27ACC808" w:rsidR="006B5E9C" w:rsidRDefault="006B5E9C" w:rsidP="006B5E9C">
            <w:pPr>
              <w:jc w:val="both"/>
              <w:rPr>
                <w:rFonts w:ascii="Arial" w:hAnsi="Arial" w:cs="Arial"/>
                <w:b/>
                <w:lang w:val="es-MX"/>
              </w:rPr>
            </w:pPr>
          </w:p>
          <w:p w14:paraId="2A82B246" w14:textId="6EFDB88F" w:rsidR="006B5E9C" w:rsidRDefault="006B5E9C" w:rsidP="006B5E9C">
            <w:pPr>
              <w:jc w:val="both"/>
              <w:rPr>
                <w:rFonts w:ascii="Arial" w:hAnsi="Arial" w:cs="Arial"/>
                <w:b/>
                <w:lang w:val="es-MX"/>
              </w:rPr>
            </w:pPr>
            <w:r>
              <w:rPr>
                <w:rFonts w:ascii="Arial" w:hAnsi="Arial" w:cs="Arial"/>
                <w:b/>
                <w:lang w:val="es-MX"/>
              </w:rPr>
              <w:t>FUNCIONAMIENTO</w:t>
            </w:r>
          </w:p>
          <w:p w14:paraId="169E36DE" w14:textId="13B08719" w:rsidR="006B5E9C" w:rsidRDefault="006B5E9C" w:rsidP="006B5E9C">
            <w:pPr>
              <w:jc w:val="both"/>
              <w:rPr>
                <w:rFonts w:ascii="Arial" w:hAnsi="Arial" w:cs="Arial"/>
                <w:b/>
                <w:lang w:val="es-MX"/>
              </w:rPr>
            </w:pPr>
            <w:r>
              <w:rPr>
                <w:rFonts w:ascii="Arial" w:hAnsi="Arial" w:cs="Arial"/>
                <w:b/>
                <w:lang w:val="es-MX"/>
              </w:rPr>
              <w:t xml:space="preserve">INVERSIÓN </w:t>
            </w:r>
          </w:p>
          <w:p w14:paraId="763B94DC" w14:textId="66CAA066" w:rsidR="006B5E9C" w:rsidRDefault="006B5E9C" w:rsidP="006B5E9C">
            <w:pPr>
              <w:jc w:val="both"/>
              <w:rPr>
                <w:rFonts w:ascii="Arial" w:hAnsi="Arial" w:cs="Arial"/>
                <w:b/>
                <w:lang w:val="es-MX"/>
              </w:rPr>
            </w:pPr>
          </w:p>
          <w:p w14:paraId="184FC289" w14:textId="4247CDE8" w:rsidR="009B628D" w:rsidRPr="00491440" w:rsidRDefault="006B5E9C" w:rsidP="00491440">
            <w:pPr>
              <w:jc w:val="both"/>
              <w:rPr>
                <w:rFonts w:ascii="Arial" w:hAnsi="Arial" w:cs="Arial"/>
                <w:b/>
                <w:lang w:val="es-MX"/>
              </w:rPr>
            </w:pPr>
            <w:r>
              <w:rPr>
                <w:rFonts w:ascii="Arial" w:hAnsi="Arial" w:cs="Arial"/>
                <w:b/>
                <w:lang w:val="es-MX"/>
              </w:rPr>
              <w:t>TOTAL PRESUPUESTO</w:t>
            </w:r>
          </w:p>
        </w:tc>
        <w:tc>
          <w:tcPr>
            <w:tcW w:w="1839" w:type="dxa"/>
          </w:tcPr>
          <w:p w14:paraId="097CF51D" w14:textId="6A82FBA0" w:rsidR="009B628D" w:rsidRDefault="009B628D" w:rsidP="006B5E9C">
            <w:pPr>
              <w:jc w:val="center"/>
              <w:rPr>
                <w:rFonts w:ascii="Arial" w:eastAsia="Calibri" w:hAnsi="Arial" w:cs="Arial"/>
                <w:b/>
                <w:u w:val="single"/>
              </w:rPr>
            </w:pPr>
          </w:p>
          <w:p w14:paraId="3DFC1685" w14:textId="0AF8CDA7" w:rsidR="006B5E9C" w:rsidRDefault="006B5E9C" w:rsidP="006B5E9C">
            <w:pPr>
              <w:jc w:val="center"/>
              <w:rPr>
                <w:rFonts w:ascii="Arial" w:eastAsia="Calibri" w:hAnsi="Arial" w:cs="Arial"/>
                <w:b/>
                <w:u w:val="single"/>
              </w:rPr>
            </w:pPr>
          </w:p>
          <w:p w14:paraId="05F63146" w14:textId="50CD0758" w:rsidR="006B5E9C" w:rsidRDefault="006B5E9C" w:rsidP="006B5E9C">
            <w:pPr>
              <w:jc w:val="center"/>
              <w:rPr>
                <w:rFonts w:ascii="Arial" w:eastAsia="Calibri" w:hAnsi="Arial" w:cs="Arial"/>
                <w:b/>
                <w:u w:val="single"/>
              </w:rPr>
            </w:pPr>
          </w:p>
          <w:p w14:paraId="649FAEA8" w14:textId="4601F199" w:rsidR="006B5E9C" w:rsidRDefault="006B5E9C" w:rsidP="006B5E9C">
            <w:pPr>
              <w:jc w:val="center"/>
              <w:rPr>
                <w:rFonts w:ascii="Arial" w:eastAsia="Calibri" w:hAnsi="Arial" w:cs="Arial"/>
                <w:b/>
                <w:u w:val="single"/>
              </w:rPr>
            </w:pPr>
          </w:p>
          <w:p w14:paraId="539E52FF" w14:textId="525750E3" w:rsidR="006B5E9C" w:rsidRDefault="006B5E9C" w:rsidP="006B5E9C">
            <w:pPr>
              <w:jc w:val="center"/>
              <w:rPr>
                <w:rFonts w:ascii="Arial" w:eastAsia="Calibri" w:hAnsi="Arial" w:cs="Arial"/>
                <w:b/>
                <w:u w:val="single"/>
              </w:rPr>
            </w:pPr>
            <w:r>
              <w:rPr>
                <w:rFonts w:ascii="Arial" w:eastAsia="Calibri" w:hAnsi="Arial" w:cs="Arial"/>
                <w:b/>
                <w:u w:val="single"/>
              </w:rPr>
              <w:t>78.03%</w:t>
            </w:r>
          </w:p>
          <w:p w14:paraId="7AC7053B" w14:textId="60335D20" w:rsidR="006B5E9C" w:rsidRDefault="006B5E9C" w:rsidP="006B5E9C">
            <w:pPr>
              <w:jc w:val="center"/>
              <w:rPr>
                <w:rFonts w:ascii="Arial" w:eastAsia="Calibri" w:hAnsi="Arial" w:cs="Arial"/>
                <w:b/>
                <w:u w:val="single"/>
              </w:rPr>
            </w:pPr>
            <w:r>
              <w:rPr>
                <w:rFonts w:ascii="Arial" w:eastAsia="Calibri" w:hAnsi="Arial" w:cs="Arial"/>
                <w:b/>
                <w:u w:val="single"/>
              </w:rPr>
              <w:t>96.44%</w:t>
            </w:r>
          </w:p>
          <w:p w14:paraId="4AD2B5BF" w14:textId="77777777" w:rsidR="006B5E9C" w:rsidRDefault="006B5E9C" w:rsidP="006B5E9C">
            <w:pPr>
              <w:jc w:val="center"/>
              <w:rPr>
                <w:rFonts w:ascii="Arial" w:eastAsia="Calibri" w:hAnsi="Arial" w:cs="Arial"/>
                <w:b/>
                <w:u w:val="single"/>
              </w:rPr>
            </w:pPr>
          </w:p>
          <w:p w14:paraId="46E6BF49" w14:textId="073A83C8" w:rsidR="006B5E9C" w:rsidRDefault="006B5E9C" w:rsidP="006B5E9C">
            <w:pPr>
              <w:jc w:val="center"/>
              <w:rPr>
                <w:rFonts w:ascii="Arial" w:eastAsia="Calibri" w:hAnsi="Arial" w:cs="Arial"/>
                <w:b/>
                <w:u w:val="single"/>
              </w:rPr>
            </w:pPr>
            <w:r>
              <w:rPr>
                <w:rFonts w:ascii="Arial" w:eastAsia="Calibri" w:hAnsi="Arial" w:cs="Arial"/>
                <w:b/>
                <w:u w:val="single"/>
              </w:rPr>
              <w:t>80.00%</w:t>
            </w:r>
          </w:p>
        </w:tc>
        <w:tc>
          <w:tcPr>
            <w:tcW w:w="1804" w:type="dxa"/>
          </w:tcPr>
          <w:p w14:paraId="6A4019EC" w14:textId="77777777" w:rsidR="009B628D" w:rsidRDefault="009B628D" w:rsidP="006B5E9C">
            <w:pPr>
              <w:jc w:val="center"/>
              <w:rPr>
                <w:rFonts w:ascii="Arial" w:eastAsia="Calibri" w:hAnsi="Arial" w:cs="Arial"/>
                <w:b/>
                <w:u w:val="single"/>
              </w:rPr>
            </w:pPr>
          </w:p>
          <w:p w14:paraId="0B26233B" w14:textId="77777777" w:rsidR="006B5E9C" w:rsidRDefault="006B5E9C" w:rsidP="006B5E9C">
            <w:pPr>
              <w:jc w:val="center"/>
              <w:rPr>
                <w:rFonts w:ascii="Arial" w:eastAsia="Calibri" w:hAnsi="Arial" w:cs="Arial"/>
                <w:b/>
                <w:u w:val="single"/>
              </w:rPr>
            </w:pPr>
          </w:p>
          <w:p w14:paraId="2B38CE74" w14:textId="77777777" w:rsidR="006B5E9C" w:rsidRDefault="006B5E9C" w:rsidP="006B5E9C">
            <w:pPr>
              <w:jc w:val="center"/>
              <w:rPr>
                <w:rFonts w:ascii="Arial" w:eastAsia="Calibri" w:hAnsi="Arial" w:cs="Arial"/>
                <w:b/>
                <w:u w:val="single"/>
              </w:rPr>
            </w:pPr>
          </w:p>
          <w:p w14:paraId="036BDE30" w14:textId="77777777" w:rsidR="006B5E9C" w:rsidRDefault="006B5E9C" w:rsidP="006B5E9C">
            <w:pPr>
              <w:jc w:val="center"/>
              <w:rPr>
                <w:rFonts w:ascii="Arial" w:eastAsia="Calibri" w:hAnsi="Arial" w:cs="Arial"/>
                <w:b/>
                <w:u w:val="single"/>
              </w:rPr>
            </w:pPr>
          </w:p>
          <w:p w14:paraId="596609DA" w14:textId="54595E2E" w:rsidR="006B5E9C" w:rsidRDefault="006B5E9C" w:rsidP="006B5E9C">
            <w:pPr>
              <w:jc w:val="center"/>
              <w:rPr>
                <w:rFonts w:ascii="Arial" w:eastAsia="Calibri" w:hAnsi="Arial" w:cs="Arial"/>
                <w:b/>
                <w:u w:val="single"/>
              </w:rPr>
            </w:pPr>
            <w:r>
              <w:rPr>
                <w:rFonts w:ascii="Arial" w:eastAsia="Calibri" w:hAnsi="Arial" w:cs="Arial"/>
                <w:b/>
                <w:u w:val="single"/>
              </w:rPr>
              <w:t>76.48%</w:t>
            </w:r>
          </w:p>
          <w:p w14:paraId="7ABB3A0E" w14:textId="1BB47D53" w:rsidR="006B5E9C" w:rsidRDefault="006B5E9C" w:rsidP="006B5E9C">
            <w:pPr>
              <w:jc w:val="center"/>
              <w:rPr>
                <w:rFonts w:ascii="Arial" w:eastAsia="Calibri" w:hAnsi="Arial" w:cs="Arial"/>
                <w:b/>
                <w:u w:val="single"/>
              </w:rPr>
            </w:pPr>
            <w:r>
              <w:rPr>
                <w:rFonts w:ascii="Arial" w:eastAsia="Calibri" w:hAnsi="Arial" w:cs="Arial"/>
                <w:b/>
                <w:u w:val="single"/>
              </w:rPr>
              <w:t>77.00%</w:t>
            </w:r>
          </w:p>
          <w:p w14:paraId="0BDCF375" w14:textId="77777777" w:rsidR="006B5E9C" w:rsidRDefault="006B5E9C" w:rsidP="006B5E9C">
            <w:pPr>
              <w:jc w:val="center"/>
              <w:rPr>
                <w:rFonts w:ascii="Arial" w:eastAsia="Calibri" w:hAnsi="Arial" w:cs="Arial"/>
                <w:b/>
                <w:u w:val="single"/>
              </w:rPr>
            </w:pPr>
          </w:p>
          <w:p w14:paraId="1D45323B" w14:textId="0A0F310F" w:rsidR="006B5E9C" w:rsidRDefault="006B5E9C" w:rsidP="006B5E9C">
            <w:pPr>
              <w:jc w:val="center"/>
              <w:rPr>
                <w:rFonts w:ascii="Arial" w:eastAsia="Calibri" w:hAnsi="Arial" w:cs="Arial"/>
                <w:b/>
                <w:u w:val="single"/>
              </w:rPr>
            </w:pPr>
            <w:r>
              <w:rPr>
                <w:rFonts w:ascii="Arial" w:eastAsia="Calibri" w:hAnsi="Arial" w:cs="Arial"/>
                <w:b/>
                <w:u w:val="single"/>
              </w:rPr>
              <w:t>76.26%</w:t>
            </w:r>
          </w:p>
        </w:tc>
        <w:tc>
          <w:tcPr>
            <w:tcW w:w="2042" w:type="dxa"/>
          </w:tcPr>
          <w:p w14:paraId="31330D71" w14:textId="77777777" w:rsidR="009B628D" w:rsidRDefault="009B628D" w:rsidP="006B5E9C">
            <w:pPr>
              <w:jc w:val="center"/>
              <w:rPr>
                <w:rFonts w:ascii="Arial" w:eastAsia="Calibri" w:hAnsi="Arial" w:cs="Arial"/>
                <w:b/>
                <w:u w:val="single"/>
              </w:rPr>
            </w:pPr>
          </w:p>
          <w:p w14:paraId="60DB4D7D" w14:textId="77777777" w:rsidR="006B5E9C" w:rsidRDefault="006B5E9C" w:rsidP="006B5E9C">
            <w:pPr>
              <w:jc w:val="center"/>
              <w:rPr>
                <w:rFonts w:ascii="Arial" w:eastAsia="Calibri" w:hAnsi="Arial" w:cs="Arial"/>
                <w:b/>
                <w:u w:val="single"/>
              </w:rPr>
            </w:pPr>
          </w:p>
          <w:p w14:paraId="0DB2F38B" w14:textId="77777777" w:rsidR="006B5E9C" w:rsidRDefault="006B5E9C" w:rsidP="006B5E9C">
            <w:pPr>
              <w:jc w:val="center"/>
              <w:rPr>
                <w:rFonts w:ascii="Arial" w:eastAsia="Calibri" w:hAnsi="Arial" w:cs="Arial"/>
                <w:b/>
                <w:u w:val="single"/>
              </w:rPr>
            </w:pPr>
          </w:p>
          <w:p w14:paraId="1F6594B2" w14:textId="77777777" w:rsidR="006B5E9C" w:rsidRDefault="006B5E9C" w:rsidP="006B5E9C">
            <w:pPr>
              <w:jc w:val="center"/>
              <w:rPr>
                <w:rFonts w:ascii="Arial" w:eastAsia="Calibri" w:hAnsi="Arial" w:cs="Arial"/>
                <w:b/>
                <w:u w:val="single"/>
              </w:rPr>
            </w:pPr>
          </w:p>
          <w:p w14:paraId="64D5A605" w14:textId="68D5F19F" w:rsidR="006B5E9C" w:rsidRDefault="006B5E9C" w:rsidP="006B5E9C">
            <w:pPr>
              <w:jc w:val="center"/>
              <w:rPr>
                <w:rFonts w:ascii="Arial" w:eastAsia="Calibri" w:hAnsi="Arial" w:cs="Arial"/>
                <w:b/>
                <w:u w:val="single"/>
              </w:rPr>
            </w:pPr>
            <w:r>
              <w:rPr>
                <w:rFonts w:ascii="Arial" w:eastAsia="Calibri" w:hAnsi="Arial" w:cs="Arial"/>
                <w:b/>
                <w:u w:val="single"/>
              </w:rPr>
              <w:t>82.35%</w:t>
            </w:r>
          </w:p>
          <w:p w14:paraId="37DD09E4" w14:textId="0EEB7EC7" w:rsidR="006B5E9C" w:rsidRDefault="006B5E9C" w:rsidP="006B5E9C">
            <w:pPr>
              <w:jc w:val="center"/>
              <w:rPr>
                <w:rFonts w:ascii="Arial" w:eastAsia="Calibri" w:hAnsi="Arial" w:cs="Arial"/>
                <w:b/>
                <w:u w:val="single"/>
              </w:rPr>
            </w:pPr>
            <w:r>
              <w:rPr>
                <w:rFonts w:ascii="Arial" w:eastAsia="Calibri" w:hAnsi="Arial" w:cs="Arial"/>
                <w:b/>
                <w:u w:val="single"/>
              </w:rPr>
              <w:t>53.62%</w:t>
            </w:r>
          </w:p>
          <w:p w14:paraId="368013C3" w14:textId="77777777" w:rsidR="006B5E9C" w:rsidRDefault="006B5E9C" w:rsidP="006B5E9C">
            <w:pPr>
              <w:jc w:val="center"/>
              <w:rPr>
                <w:rFonts w:ascii="Arial" w:eastAsia="Calibri" w:hAnsi="Arial" w:cs="Arial"/>
                <w:b/>
                <w:u w:val="single"/>
              </w:rPr>
            </w:pPr>
          </w:p>
          <w:p w14:paraId="02A4CBB1" w14:textId="2FE1DF26" w:rsidR="006B5E9C" w:rsidRDefault="006B5E9C" w:rsidP="006B5E9C">
            <w:pPr>
              <w:jc w:val="center"/>
              <w:rPr>
                <w:rFonts w:ascii="Arial" w:eastAsia="Calibri" w:hAnsi="Arial" w:cs="Arial"/>
                <w:b/>
                <w:u w:val="single"/>
              </w:rPr>
            </w:pPr>
            <w:r>
              <w:rPr>
                <w:rFonts w:ascii="Arial" w:eastAsia="Calibri" w:hAnsi="Arial" w:cs="Arial"/>
                <w:b/>
                <w:u w:val="single"/>
              </w:rPr>
              <w:t>69.48%</w:t>
            </w:r>
          </w:p>
        </w:tc>
      </w:tr>
      <w:tr w:rsidR="008D792B" w:rsidRPr="004B1294" w14:paraId="169EED49" w14:textId="77777777" w:rsidTr="00042E94">
        <w:tc>
          <w:tcPr>
            <w:tcW w:w="1550" w:type="dxa"/>
          </w:tcPr>
          <w:p w14:paraId="718221A1" w14:textId="4BCD1780" w:rsidR="008D792B" w:rsidRPr="006B5E9C" w:rsidRDefault="00F928CD" w:rsidP="008D792B">
            <w:pPr>
              <w:jc w:val="center"/>
              <w:rPr>
                <w:rFonts w:ascii="Arial" w:hAnsi="Arial" w:cs="Arial"/>
                <w:b/>
              </w:rPr>
            </w:pPr>
            <w:r>
              <w:rPr>
                <w:rFonts w:ascii="Arial" w:hAnsi="Arial" w:cs="Arial"/>
                <w:b/>
              </w:rPr>
              <w:t>5</w:t>
            </w:r>
          </w:p>
        </w:tc>
        <w:tc>
          <w:tcPr>
            <w:tcW w:w="3255" w:type="dxa"/>
          </w:tcPr>
          <w:p w14:paraId="1F07BF8C" w14:textId="261B3547" w:rsidR="00F928CD" w:rsidRPr="00F928CD" w:rsidRDefault="00F928CD" w:rsidP="00F928CD">
            <w:pPr>
              <w:jc w:val="both"/>
              <w:rPr>
                <w:rFonts w:ascii="Arial" w:hAnsi="Arial" w:cs="Arial"/>
                <w:b/>
                <w:lang w:val="es-MX"/>
              </w:rPr>
            </w:pPr>
            <w:bookmarkStart w:id="0" w:name="_Hlk194930573"/>
            <w:r w:rsidRPr="00F928CD">
              <w:rPr>
                <w:rFonts w:ascii="Arial" w:hAnsi="Arial" w:cs="Arial"/>
                <w:b/>
                <w:lang w:val="es-MX"/>
              </w:rPr>
              <w:t>UNIDAD ADMINISTRATIVA ESPECIAL DEL SERVICIO PÚBLICO DE EMPLEO.</w:t>
            </w:r>
          </w:p>
          <w:bookmarkEnd w:id="0"/>
          <w:p w14:paraId="2D37B150" w14:textId="36265796" w:rsidR="008D792B" w:rsidRDefault="008D792B" w:rsidP="008D792B">
            <w:pPr>
              <w:jc w:val="both"/>
              <w:rPr>
                <w:rFonts w:ascii="Arial" w:hAnsi="Arial" w:cs="Arial"/>
                <w:b/>
                <w:lang w:val="es-MX"/>
              </w:rPr>
            </w:pPr>
          </w:p>
          <w:p w14:paraId="4C9A1BE2" w14:textId="77777777" w:rsidR="008D792B" w:rsidRDefault="008D792B" w:rsidP="008D792B">
            <w:pPr>
              <w:jc w:val="both"/>
              <w:rPr>
                <w:rFonts w:ascii="Arial" w:hAnsi="Arial" w:cs="Arial"/>
                <w:b/>
                <w:lang w:val="es-MX"/>
              </w:rPr>
            </w:pPr>
            <w:r>
              <w:rPr>
                <w:rFonts w:ascii="Arial" w:hAnsi="Arial" w:cs="Arial"/>
                <w:b/>
                <w:lang w:val="es-MX"/>
              </w:rPr>
              <w:t>FUNCIONAMIENTO</w:t>
            </w:r>
          </w:p>
          <w:p w14:paraId="4F2C946D" w14:textId="77777777" w:rsidR="008D792B" w:rsidRDefault="008D792B" w:rsidP="008D792B">
            <w:pPr>
              <w:jc w:val="both"/>
              <w:rPr>
                <w:rFonts w:ascii="Arial" w:hAnsi="Arial" w:cs="Arial"/>
                <w:b/>
                <w:lang w:val="es-MX"/>
              </w:rPr>
            </w:pPr>
            <w:r>
              <w:rPr>
                <w:rFonts w:ascii="Arial" w:hAnsi="Arial" w:cs="Arial"/>
                <w:b/>
                <w:lang w:val="es-MX"/>
              </w:rPr>
              <w:t xml:space="preserve">INVERSIÓN </w:t>
            </w:r>
          </w:p>
          <w:p w14:paraId="7C4705F1" w14:textId="77777777" w:rsidR="008D792B" w:rsidRDefault="008D792B" w:rsidP="008D792B">
            <w:pPr>
              <w:jc w:val="both"/>
              <w:rPr>
                <w:rFonts w:ascii="Arial" w:hAnsi="Arial" w:cs="Arial"/>
                <w:b/>
                <w:lang w:val="es-MX"/>
              </w:rPr>
            </w:pPr>
          </w:p>
          <w:p w14:paraId="28510005" w14:textId="4BBBE16A" w:rsidR="008D792B" w:rsidRPr="006B5E9C" w:rsidRDefault="008D792B" w:rsidP="008D792B">
            <w:pPr>
              <w:jc w:val="both"/>
              <w:rPr>
                <w:rFonts w:ascii="Arial" w:hAnsi="Arial" w:cs="Arial"/>
                <w:b/>
                <w:lang w:val="es-MX"/>
              </w:rPr>
            </w:pPr>
            <w:r>
              <w:rPr>
                <w:rFonts w:ascii="Arial" w:hAnsi="Arial" w:cs="Arial"/>
                <w:b/>
                <w:lang w:val="es-MX"/>
              </w:rPr>
              <w:t>TOTAL PRESUPUESTO</w:t>
            </w:r>
          </w:p>
        </w:tc>
        <w:tc>
          <w:tcPr>
            <w:tcW w:w="1839" w:type="dxa"/>
          </w:tcPr>
          <w:p w14:paraId="01C38AE2" w14:textId="77777777" w:rsidR="008D792B" w:rsidRDefault="008D792B" w:rsidP="008D792B">
            <w:pPr>
              <w:jc w:val="center"/>
              <w:rPr>
                <w:rFonts w:ascii="Arial" w:eastAsia="Calibri" w:hAnsi="Arial" w:cs="Arial"/>
                <w:b/>
                <w:u w:val="single"/>
              </w:rPr>
            </w:pPr>
          </w:p>
          <w:p w14:paraId="45B3BEBE" w14:textId="77777777" w:rsidR="008D792B" w:rsidRDefault="008D792B" w:rsidP="008D792B">
            <w:pPr>
              <w:jc w:val="center"/>
              <w:rPr>
                <w:rFonts w:ascii="Arial" w:eastAsia="Calibri" w:hAnsi="Arial" w:cs="Arial"/>
                <w:b/>
                <w:u w:val="single"/>
              </w:rPr>
            </w:pPr>
          </w:p>
          <w:p w14:paraId="44AB7717" w14:textId="77777777" w:rsidR="00F928CD" w:rsidRDefault="00F928CD" w:rsidP="008D792B">
            <w:pPr>
              <w:jc w:val="center"/>
              <w:rPr>
                <w:rFonts w:ascii="Arial" w:eastAsia="Calibri" w:hAnsi="Arial" w:cs="Arial"/>
                <w:b/>
                <w:u w:val="single"/>
              </w:rPr>
            </w:pPr>
          </w:p>
          <w:p w14:paraId="2405CEE2" w14:textId="77777777" w:rsidR="00F928CD" w:rsidRDefault="00F928CD" w:rsidP="008D792B">
            <w:pPr>
              <w:jc w:val="center"/>
              <w:rPr>
                <w:rFonts w:ascii="Arial" w:eastAsia="Calibri" w:hAnsi="Arial" w:cs="Arial"/>
                <w:b/>
                <w:u w:val="single"/>
              </w:rPr>
            </w:pPr>
          </w:p>
          <w:p w14:paraId="78D483FF" w14:textId="14119C1B" w:rsidR="008D792B" w:rsidRDefault="00F928CD" w:rsidP="008D792B">
            <w:pPr>
              <w:jc w:val="center"/>
              <w:rPr>
                <w:rFonts w:ascii="Arial" w:eastAsia="Calibri" w:hAnsi="Arial" w:cs="Arial"/>
                <w:b/>
                <w:u w:val="single"/>
              </w:rPr>
            </w:pPr>
            <w:r>
              <w:rPr>
                <w:rFonts w:ascii="Arial" w:eastAsia="Calibri" w:hAnsi="Arial" w:cs="Arial"/>
                <w:b/>
                <w:u w:val="single"/>
              </w:rPr>
              <w:t>97.00</w:t>
            </w:r>
            <w:r w:rsidR="008D792B">
              <w:rPr>
                <w:rFonts w:ascii="Arial" w:eastAsia="Calibri" w:hAnsi="Arial" w:cs="Arial"/>
                <w:b/>
                <w:u w:val="single"/>
              </w:rPr>
              <w:t>%</w:t>
            </w:r>
          </w:p>
          <w:p w14:paraId="0BD8CCF2" w14:textId="2DB7F52C" w:rsidR="008D792B" w:rsidRDefault="00F928CD" w:rsidP="008D792B">
            <w:pPr>
              <w:jc w:val="center"/>
              <w:rPr>
                <w:rFonts w:ascii="Arial" w:eastAsia="Calibri" w:hAnsi="Arial" w:cs="Arial"/>
                <w:b/>
                <w:u w:val="single"/>
              </w:rPr>
            </w:pPr>
            <w:r>
              <w:rPr>
                <w:rFonts w:ascii="Arial" w:eastAsia="Calibri" w:hAnsi="Arial" w:cs="Arial"/>
                <w:b/>
                <w:u w:val="single"/>
              </w:rPr>
              <w:t>99.00</w:t>
            </w:r>
            <w:r w:rsidR="008D792B">
              <w:rPr>
                <w:rFonts w:ascii="Arial" w:eastAsia="Calibri" w:hAnsi="Arial" w:cs="Arial"/>
                <w:b/>
                <w:u w:val="single"/>
              </w:rPr>
              <w:t>%</w:t>
            </w:r>
          </w:p>
          <w:p w14:paraId="173B0468" w14:textId="77777777" w:rsidR="008D792B" w:rsidRDefault="008D792B" w:rsidP="008D792B">
            <w:pPr>
              <w:jc w:val="center"/>
              <w:rPr>
                <w:rFonts w:ascii="Arial" w:eastAsia="Calibri" w:hAnsi="Arial" w:cs="Arial"/>
                <w:b/>
                <w:u w:val="single"/>
              </w:rPr>
            </w:pPr>
          </w:p>
          <w:p w14:paraId="467A9443" w14:textId="4AD496ED" w:rsidR="008D792B" w:rsidRPr="006B5E9C" w:rsidRDefault="00F928CD" w:rsidP="008D792B">
            <w:pPr>
              <w:jc w:val="center"/>
              <w:rPr>
                <w:rFonts w:ascii="Arial" w:eastAsia="Calibri" w:hAnsi="Arial" w:cs="Arial"/>
                <w:b/>
                <w:u w:val="single"/>
              </w:rPr>
            </w:pPr>
            <w:r>
              <w:rPr>
                <w:rFonts w:ascii="Arial" w:eastAsia="Calibri" w:hAnsi="Arial" w:cs="Arial"/>
                <w:b/>
                <w:u w:val="single"/>
              </w:rPr>
              <w:t>98.10</w:t>
            </w:r>
            <w:r w:rsidR="008D792B">
              <w:rPr>
                <w:rFonts w:ascii="Arial" w:eastAsia="Calibri" w:hAnsi="Arial" w:cs="Arial"/>
                <w:b/>
                <w:u w:val="single"/>
              </w:rPr>
              <w:t>%</w:t>
            </w:r>
          </w:p>
        </w:tc>
        <w:tc>
          <w:tcPr>
            <w:tcW w:w="1804" w:type="dxa"/>
          </w:tcPr>
          <w:p w14:paraId="7520E041" w14:textId="77777777" w:rsidR="008D792B" w:rsidRDefault="008D792B" w:rsidP="008D792B">
            <w:pPr>
              <w:jc w:val="center"/>
              <w:rPr>
                <w:rFonts w:ascii="Arial" w:eastAsia="Calibri" w:hAnsi="Arial" w:cs="Arial"/>
                <w:b/>
                <w:u w:val="single"/>
              </w:rPr>
            </w:pPr>
          </w:p>
          <w:p w14:paraId="09481401" w14:textId="77777777" w:rsidR="008D792B" w:rsidRDefault="008D792B" w:rsidP="008D792B">
            <w:pPr>
              <w:jc w:val="center"/>
              <w:rPr>
                <w:rFonts w:ascii="Arial" w:eastAsia="Calibri" w:hAnsi="Arial" w:cs="Arial"/>
                <w:b/>
                <w:u w:val="single"/>
              </w:rPr>
            </w:pPr>
          </w:p>
          <w:p w14:paraId="011FD204" w14:textId="77777777" w:rsidR="00F928CD" w:rsidRDefault="00F928CD" w:rsidP="008D792B">
            <w:pPr>
              <w:jc w:val="center"/>
              <w:rPr>
                <w:rFonts w:ascii="Arial" w:eastAsia="Calibri" w:hAnsi="Arial" w:cs="Arial"/>
                <w:b/>
                <w:u w:val="single"/>
              </w:rPr>
            </w:pPr>
          </w:p>
          <w:p w14:paraId="76FF725F" w14:textId="77777777" w:rsidR="00F928CD" w:rsidRDefault="00F928CD" w:rsidP="008D792B">
            <w:pPr>
              <w:jc w:val="center"/>
              <w:rPr>
                <w:rFonts w:ascii="Arial" w:eastAsia="Calibri" w:hAnsi="Arial" w:cs="Arial"/>
                <w:b/>
                <w:u w:val="single"/>
              </w:rPr>
            </w:pPr>
          </w:p>
          <w:p w14:paraId="0B170E20" w14:textId="4DC42687" w:rsidR="008D792B" w:rsidRDefault="00F928CD" w:rsidP="008D792B">
            <w:pPr>
              <w:jc w:val="center"/>
              <w:rPr>
                <w:rFonts w:ascii="Arial" w:eastAsia="Calibri" w:hAnsi="Arial" w:cs="Arial"/>
                <w:b/>
                <w:u w:val="single"/>
              </w:rPr>
            </w:pPr>
            <w:r>
              <w:rPr>
                <w:rFonts w:ascii="Arial" w:eastAsia="Calibri" w:hAnsi="Arial" w:cs="Arial"/>
                <w:b/>
                <w:u w:val="single"/>
              </w:rPr>
              <w:t>97.00</w:t>
            </w:r>
            <w:r w:rsidR="008D792B">
              <w:rPr>
                <w:rFonts w:ascii="Arial" w:eastAsia="Calibri" w:hAnsi="Arial" w:cs="Arial"/>
                <w:b/>
                <w:u w:val="single"/>
              </w:rPr>
              <w:t>%</w:t>
            </w:r>
          </w:p>
          <w:p w14:paraId="0E8587FE" w14:textId="754610E2" w:rsidR="008D792B" w:rsidRDefault="00F928CD" w:rsidP="008D792B">
            <w:pPr>
              <w:jc w:val="center"/>
              <w:rPr>
                <w:rFonts w:ascii="Arial" w:eastAsia="Calibri" w:hAnsi="Arial" w:cs="Arial"/>
                <w:b/>
                <w:u w:val="single"/>
              </w:rPr>
            </w:pPr>
            <w:r>
              <w:rPr>
                <w:rFonts w:ascii="Arial" w:eastAsia="Calibri" w:hAnsi="Arial" w:cs="Arial"/>
                <w:b/>
                <w:u w:val="single"/>
              </w:rPr>
              <w:t>99.00</w:t>
            </w:r>
            <w:r w:rsidR="008D792B">
              <w:rPr>
                <w:rFonts w:ascii="Arial" w:eastAsia="Calibri" w:hAnsi="Arial" w:cs="Arial"/>
                <w:b/>
                <w:u w:val="single"/>
              </w:rPr>
              <w:t>%</w:t>
            </w:r>
          </w:p>
          <w:p w14:paraId="33BECEC0" w14:textId="77777777" w:rsidR="008D792B" w:rsidRDefault="008D792B" w:rsidP="008D792B">
            <w:pPr>
              <w:jc w:val="center"/>
              <w:rPr>
                <w:rFonts w:ascii="Arial" w:eastAsia="Calibri" w:hAnsi="Arial" w:cs="Arial"/>
                <w:b/>
                <w:u w:val="single"/>
              </w:rPr>
            </w:pPr>
          </w:p>
          <w:p w14:paraId="67969D03" w14:textId="1A99791D" w:rsidR="008D792B" w:rsidRPr="006B5E9C" w:rsidRDefault="00F928CD" w:rsidP="008D792B">
            <w:pPr>
              <w:jc w:val="center"/>
              <w:rPr>
                <w:rFonts w:ascii="Arial" w:eastAsia="Calibri" w:hAnsi="Arial" w:cs="Arial"/>
                <w:b/>
                <w:u w:val="single"/>
              </w:rPr>
            </w:pPr>
            <w:r>
              <w:rPr>
                <w:rFonts w:ascii="Arial" w:eastAsia="Calibri" w:hAnsi="Arial" w:cs="Arial"/>
                <w:b/>
                <w:u w:val="single"/>
              </w:rPr>
              <w:t>98.10</w:t>
            </w:r>
            <w:r w:rsidR="008D792B">
              <w:rPr>
                <w:rFonts w:ascii="Arial" w:eastAsia="Calibri" w:hAnsi="Arial" w:cs="Arial"/>
                <w:b/>
                <w:u w:val="single"/>
              </w:rPr>
              <w:t>%</w:t>
            </w:r>
          </w:p>
        </w:tc>
        <w:tc>
          <w:tcPr>
            <w:tcW w:w="2042" w:type="dxa"/>
          </w:tcPr>
          <w:p w14:paraId="5688A19F" w14:textId="77777777" w:rsidR="008D792B" w:rsidRDefault="008D792B" w:rsidP="008D792B">
            <w:pPr>
              <w:jc w:val="center"/>
              <w:rPr>
                <w:rFonts w:ascii="Arial" w:eastAsia="Calibri" w:hAnsi="Arial" w:cs="Arial"/>
                <w:b/>
                <w:u w:val="single"/>
              </w:rPr>
            </w:pPr>
          </w:p>
          <w:p w14:paraId="52AD4559" w14:textId="77777777" w:rsidR="008D792B" w:rsidRDefault="008D792B" w:rsidP="008D792B">
            <w:pPr>
              <w:jc w:val="center"/>
              <w:rPr>
                <w:rFonts w:ascii="Arial" w:eastAsia="Calibri" w:hAnsi="Arial" w:cs="Arial"/>
                <w:b/>
                <w:u w:val="single"/>
              </w:rPr>
            </w:pPr>
          </w:p>
          <w:p w14:paraId="42CAE888" w14:textId="77777777" w:rsidR="00F928CD" w:rsidRDefault="00F928CD" w:rsidP="008D792B">
            <w:pPr>
              <w:jc w:val="center"/>
              <w:rPr>
                <w:rFonts w:ascii="Arial" w:eastAsia="Calibri" w:hAnsi="Arial" w:cs="Arial"/>
                <w:b/>
                <w:u w:val="single"/>
              </w:rPr>
            </w:pPr>
          </w:p>
          <w:p w14:paraId="3C0433BD" w14:textId="77777777" w:rsidR="00F928CD" w:rsidRDefault="00F928CD" w:rsidP="008D792B">
            <w:pPr>
              <w:jc w:val="center"/>
              <w:rPr>
                <w:rFonts w:ascii="Arial" w:eastAsia="Calibri" w:hAnsi="Arial" w:cs="Arial"/>
                <w:b/>
                <w:u w:val="single"/>
              </w:rPr>
            </w:pPr>
          </w:p>
          <w:p w14:paraId="2B3138FF" w14:textId="0FCC7899" w:rsidR="008D792B" w:rsidRDefault="00F928CD" w:rsidP="008D792B">
            <w:pPr>
              <w:jc w:val="center"/>
              <w:rPr>
                <w:rFonts w:ascii="Arial" w:eastAsia="Calibri" w:hAnsi="Arial" w:cs="Arial"/>
                <w:b/>
                <w:u w:val="single"/>
              </w:rPr>
            </w:pPr>
            <w:r>
              <w:rPr>
                <w:rFonts w:ascii="Arial" w:eastAsia="Calibri" w:hAnsi="Arial" w:cs="Arial"/>
                <w:b/>
                <w:u w:val="single"/>
              </w:rPr>
              <w:t>97.00</w:t>
            </w:r>
            <w:r w:rsidR="008D792B">
              <w:rPr>
                <w:rFonts w:ascii="Arial" w:eastAsia="Calibri" w:hAnsi="Arial" w:cs="Arial"/>
                <w:b/>
                <w:u w:val="single"/>
              </w:rPr>
              <w:t>%</w:t>
            </w:r>
          </w:p>
          <w:p w14:paraId="1A646329" w14:textId="12C4DB21" w:rsidR="008D792B" w:rsidRDefault="00F928CD" w:rsidP="008D792B">
            <w:pPr>
              <w:jc w:val="center"/>
              <w:rPr>
                <w:rFonts w:ascii="Arial" w:eastAsia="Calibri" w:hAnsi="Arial" w:cs="Arial"/>
                <w:b/>
                <w:u w:val="single"/>
              </w:rPr>
            </w:pPr>
            <w:r>
              <w:rPr>
                <w:rFonts w:ascii="Arial" w:eastAsia="Calibri" w:hAnsi="Arial" w:cs="Arial"/>
                <w:b/>
                <w:u w:val="single"/>
              </w:rPr>
              <w:t>99.00</w:t>
            </w:r>
            <w:r w:rsidR="008D792B">
              <w:rPr>
                <w:rFonts w:ascii="Arial" w:eastAsia="Calibri" w:hAnsi="Arial" w:cs="Arial"/>
                <w:b/>
                <w:u w:val="single"/>
              </w:rPr>
              <w:t>%</w:t>
            </w:r>
          </w:p>
          <w:p w14:paraId="183CCB2D" w14:textId="77777777" w:rsidR="008D792B" w:rsidRDefault="008D792B" w:rsidP="008D792B">
            <w:pPr>
              <w:jc w:val="center"/>
              <w:rPr>
                <w:rFonts w:ascii="Arial" w:eastAsia="Calibri" w:hAnsi="Arial" w:cs="Arial"/>
                <w:b/>
                <w:u w:val="single"/>
              </w:rPr>
            </w:pPr>
          </w:p>
          <w:p w14:paraId="181271A8" w14:textId="76295424" w:rsidR="008D792B" w:rsidRPr="006B5E9C" w:rsidRDefault="00F928CD" w:rsidP="008D792B">
            <w:pPr>
              <w:jc w:val="center"/>
              <w:rPr>
                <w:rFonts w:ascii="Arial" w:eastAsia="Calibri" w:hAnsi="Arial" w:cs="Arial"/>
                <w:b/>
                <w:u w:val="single"/>
              </w:rPr>
            </w:pPr>
            <w:r>
              <w:rPr>
                <w:rFonts w:ascii="Arial" w:eastAsia="Calibri" w:hAnsi="Arial" w:cs="Arial"/>
                <w:b/>
                <w:u w:val="single"/>
              </w:rPr>
              <w:t>98.10</w:t>
            </w:r>
            <w:r w:rsidR="008D792B">
              <w:rPr>
                <w:rFonts w:ascii="Arial" w:eastAsia="Calibri" w:hAnsi="Arial" w:cs="Arial"/>
                <w:b/>
                <w:u w:val="single"/>
              </w:rPr>
              <w:t>%</w:t>
            </w:r>
          </w:p>
        </w:tc>
      </w:tr>
      <w:tr w:rsidR="008D792B" w:rsidRPr="004B1294" w14:paraId="7B06F956" w14:textId="77777777" w:rsidTr="00042E94">
        <w:tc>
          <w:tcPr>
            <w:tcW w:w="1550" w:type="dxa"/>
          </w:tcPr>
          <w:p w14:paraId="0D9D997B" w14:textId="1C272894" w:rsidR="008D792B" w:rsidRPr="006B5E9C" w:rsidRDefault="00232DFC" w:rsidP="008D792B">
            <w:pPr>
              <w:jc w:val="center"/>
              <w:rPr>
                <w:rFonts w:ascii="Arial" w:hAnsi="Arial" w:cs="Arial"/>
                <w:b/>
              </w:rPr>
            </w:pPr>
            <w:r>
              <w:rPr>
                <w:rFonts w:ascii="Arial" w:hAnsi="Arial" w:cs="Arial"/>
                <w:b/>
              </w:rPr>
              <w:t>6</w:t>
            </w:r>
          </w:p>
        </w:tc>
        <w:tc>
          <w:tcPr>
            <w:tcW w:w="3255" w:type="dxa"/>
          </w:tcPr>
          <w:p w14:paraId="487788D9" w14:textId="32A2E07B" w:rsidR="008D792B" w:rsidRPr="00931DAF" w:rsidRDefault="00232DFC" w:rsidP="008D792B">
            <w:pPr>
              <w:jc w:val="both"/>
              <w:rPr>
                <w:rFonts w:ascii="Arial" w:hAnsi="Arial" w:cs="Arial"/>
                <w:b/>
                <w:lang w:val="es-MX"/>
              </w:rPr>
            </w:pPr>
            <w:r w:rsidRPr="00931DAF">
              <w:rPr>
                <w:rFonts w:ascii="Arial" w:hAnsi="Arial" w:cs="Arial"/>
                <w:b/>
                <w:lang w:val="es-MX"/>
              </w:rPr>
              <w:t>ARCHIVO GENERAL DE LA NACIÓN JORGE PALACIOS PRECIADO.</w:t>
            </w:r>
          </w:p>
          <w:p w14:paraId="2D8AAF1E" w14:textId="77777777" w:rsidR="00232DFC" w:rsidRDefault="00232DFC" w:rsidP="008D792B">
            <w:pPr>
              <w:jc w:val="both"/>
              <w:rPr>
                <w:rFonts w:ascii="Arial" w:hAnsi="Arial" w:cs="Arial"/>
                <w:b/>
                <w:lang w:val="es-MX"/>
              </w:rPr>
            </w:pPr>
          </w:p>
          <w:p w14:paraId="2CC9C0C1" w14:textId="77777777" w:rsidR="008D792B" w:rsidRDefault="008D792B" w:rsidP="008D792B">
            <w:pPr>
              <w:jc w:val="both"/>
              <w:rPr>
                <w:rFonts w:ascii="Arial" w:hAnsi="Arial" w:cs="Arial"/>
                <w:b/>
                <w:lang w:val="es-MX"/>
              </w:rPr>
            </w:pPr>
            <w:r>
              <w:rPr>
                <w:rFonts w:ascii="Arial" w:hAnsi="Arial" w:cs="Arial"/>
                <w:b/>
                <w:lang w:val="es-MX"/>
              </w:rPr>
              <w:t>FUNCIONAMIENTO</w:t>
            </w:r>
          </w:p>
          <w:p w14:paraId="52F4705F" w14:textId="77777777" w:rsidR="008D792B" w:rsidRDefault="008D792B" w:rsidP="008D792B">
            <w:pPr>
              <w:jc w:val="both"/>
              <w:rPr>
                <w:rFonts w:ascii="Arial" w:hAnsi="Arial" w:cs="Arial"/>
                <w:b/>
                <w:lang w:val="es-MX"/>
              </w:rPr>
            </w:pPr>
            <w:r>
              <w:rPr>
                <w:rFonts w:ascii="Arial" w:hAnsi="Arial" w:cs="Arial"/>
                <w:b/>
                <w:lang w:val="es-MX"/>
              </w:rPr>
              <w:t xml:space="preserve">INVERSIÓN </w:t>
            </w:r>
          </w:p>
          <w:p w14:paraId="0687D890" w14:textId="77777777" w:rsidR="008D792B" w:rsidRDefault="008D792B" w:rsidP="008D792B">
            <w:pPr>
              <w:jc w:val="both"/>
              <w:rPr>
                <w:rFonts w:ascii="Arial" w:hAnsi="Arial" w:cs="Arial"/>
                <w:b/>
                <w:lang w:val="es-MX"/>
              </w:rPr>
            </w:pPr>
          </w:p>
          <w:p w14:paraId="7215C04C" w14:textId="248BBCF1" w:rsidR="008D792B" w:rsidRPr="006B5E9C" w:rsidRDefault="008D792B" w:rsidP="008D792B">
            <w:pPr>
              <w:jc w:val="both"/>
              <w:rPr>
                <w:rFonts w:ascii="Arial" w:hAnsi="Arial" w:cs="Arial"/>
                <w:b/>
                <w:lang w:val="es-MX"/>
              </w:rPr>
            </w:pPr>
            <w:r>
              <w:rPr>
                <w:rFonts w:ascii="Arial" w:hAnsi="Arial" w:cs="Arial"/>
                <w:b/>
                <w:lang w:val="es-MX"/>
              </w:rPr>
              <w:t>TOTAL PRESUPUESTO</w:t>
            </w:r>
          </w:p>
        </w:tc>
        <w:tc>
          <w:tcPr>
            <w:tcW w:w="1839" w:type="dxa"/>
          </w:tcPr>
          <w:p w14:paraId="384C3277" w14:textId="77777777" w:rsidR="008D792B" w:rsidRDefault="008D792B" w:rsidP="008D792B">
            <w:pPr>
              <w:jc w:val="center"/>
              <w:rPr>
                <w:rFonts w:ascii="Arial" w:eastAsia="Calibri" w:hAnsi="Arial" w:cs="Arial"/>
                <w:b/>
                <w:u w:val="single"/>
              </w:rPr>
            </w:pPr>
          </w:p>
          <w:p w14:paraId="435FD691" w14:textId="77777777" w:rsidR="00232DFC" w:rsidRDefault="00232DFC" w:rsidP="008D792B">
            <w:pPr>
              <w:jc w:val="center"/>
              <w:rPr>
                <w:rFonts w:ascii="Arial" w:eastAsia="Calibri" w:hAnsi="Arial" w:cs="Arial"/>
                <w:b/>
                <w:u w:val="single"/>
              </w:rPr>
            </w:pPr>
          </w:p>
          <w:p w14:paraId="6C0A6AEC" w14:textId="77777777" w:rsidR="00232DFC" w:rsidRDefault="00232DFC" w:rsidP="008D792B">
            <w:pPr>
              <w:jc w:val="center"/>
              <w:rPr>
                <w:rFonts w:ascii="Arial" w:eastAsia="Calibri" w:hAnsi="Arial" w:cs="Arial"/>
                <w:b/>
                <w:u w:val="single"/>
              </w:rPr>
            </w:pPr>
          </w:p>
          <w:p w14:paraId="40F4CEE8" w14:textId="77777777" w:rsidR="00232DFC" w:rsidRDefault="00232DFC" w:rsidP="008D792B">
            <w:pPr>
              <w:jc w:val="center"/>
              <w:rPr>
                <w:rFonts w:ascii="Arial" w:eastAsia="Calibri" w:hAnsi="Arial" w:cs="Arial"/>
                <w:b/>
                <w:u w:val="single"/>
              </w:rPr>
            </w:pPr>
          </w:p>
          <w:p w14:paraId="7BB03456" w14:textId="77777777" w:rsidR="00232DFC" w:rsidRDefault="00232DFC" w:rsidP="008D792B">
            <w:pPr>
              <w:jc w:val="center"/>
              <w:rPr>
                <w:rFonts w:ascii="Arial" w:eastAsia="Calibri" w:hAnsi="Arial" w:cs="Arial"/>
                <w:b/>
                <w:u w:val="single"/>
              </w:rPr>
            </w:pPr>
          </w:p>
          <w:p w14:paraId="2FDCED99" w14:textId="77777777" w:rsidR="00232DFC" w:rsidRDefault="00232DFC" w:rsidP="008D792B">
            <w:pPr>
              <w:jc w:val="center"/>
              <w:rPr>
                <w:rFonts w:ascii="Arial" w:eastAsia="Calibri" w:hAnsi="Arial" w:cs="Arial"/>
                <w:b/>
                <w:u w:val="single"/>
              </w:rPr>
            </w:pPr>
            <w:r>
              <w:rPr>
                <w:rFonts w:ascii="Arial" w:eastAsia="Calibri" w:hAnsi="Arial" w:cs="Arial"/>
                <w:b/>
                <w:u w:val="single"/>
              </w:rPr>
              <w:t>96.10%</w:t>
            </w:r>
          </w:p>
          <w:p w14:paraId="511345C3" w14:textId="77777777" w:rsidR="00232DFC" w:rsidRDefault="00232DFC" w:rsidP="008D792B">
            <w:pPr>
              <w:jc w:val="center"/>
              <w:rPr>
                <w:rFonts w:ascii="Arial" w:eastAsia="Calibri" w:hAnsi="Arial" w:cs="Arial"/>
                <w:b/>
                <w:u w:val="single"/>
              </w:rPr>
            </w:pPr>
            <w:r>
              <w:rPr>
                <w:rFonts w:ascii="Arial" w:eastAsia="Calibri" w:hAnsi="Arial" w:cs="Arial"/>
                <w:b/>
                <w:u w:val="single"/>
              </w:rPr>
              <w:t>97.65%</w:t>
            </w:r>
          </w:p>
          <w:p w14:paraId="1586B7E0" w14:textId="77777777" w:rsidR="00232DFC" w:rsidRDefault="00232DFC" w:rsidP="008D792B">
            <w:pPr>
              <w:jc w:val="center"/>
              <w:rPr>
                <w:rFonts w:ascii="Arial" w:eastAsia="Calibri" w:hAnsi="Arial" w:cs="Arial"/>
                <w:b/>
                <w:u w:val="single"/>
              </w:rPr>
            </w:pPr>
          </w:p>
          <w:p w14:paraId="477F21CA" w14:textId="60CA0046" w:rsidR="00232DFC" w:rsidRPr="006B5E9C" w:rsidRDefault="00232DFC" w:rsidP="008D792B">
            <w:pPr>
              <w:jc w:val="center"/>
              <w:rPr>
                <w:rFonts w:ascii="Arial" w:eastAsia="Calibri" w:hAnsi="Arial" w:cs="Arial"/>
                <w:b/>
                <w:u w:val="single"/>
              </w:rPr>
            </w:pPr>
            <w:r>
              <w:rPr>
                <w:rFonts w:ascii="Arial" w:eastAsia="Calibri" w:hAnsi="Arial" w:cs="Arial"/>
                <w:b/>
                <w:u w:val="single"/>
              </w:rPr>
              <w:t>97.00%</w:t>
            </w:r>
          </w:p>
        </w:tc>
        <w:tc>
          <w:tcPr>
            <w:tcW w:w="1804" w:type="dxa"/>
          </w:tcPr>
          <w:p w14:paraId="7FDE7C42" w14:textId="77777777" w:rsidR="008D792B" w:rsidRDefault="008D792B" w:rsidP="008D792B">
            <w:pPr>
              <w:jc w:val="center"/>
              <w:rPr>
                <w:rFonts w:ascii="Arial" w:eastAsia="Calibri" w:hAnsi="Arial" w:cs="Arial"/>
                <w:b/>
                <w:u w:val="single"/>
              </w:rPr>
            </w:pPr>
          </w:p>
          <w:p w14:paraId="02BA2EFF" w14:textId="77777777" w:rsidR="00232DFC" w:rsidRDefault="00232DFC" w:rsidP="008D792B">
            <w:pPr>
              <w:jc w:val="center"/>
              <w:rPr>
                <w:rFonts w:ascii="Arial" w:eastAsia="Calibri" w:hAnsi="Arial" w:cs="Arial"/>
                <w:b/>
                <w:u w:val="single"/>
              </w:rPr>
            </w:pPr>
          </w:p>
          <w:p w14:paraId="76EE9902" w14:textId="77777777" w:rsidR="00232DFC" w:rsidRDefault="00232DFC" w:rsidP="008D792B">
            <w:pPr>
              <w:jc w:val="center"/>
              <w:rPr>
                <w:rFonts w:ascii="Arial" w:eastAsia="Calibri" w:hAnsi="Arial" w:cs="Arial"/>
                <w:b/>
                <w:u w:val="single"/>
              </w:rPr>
            </w:pPr>
          </w:p>
          <w:p w14:paraId="13932782" w14:textId="77777777" w:rsidR="00232DFC" w:rsidRDefault="00232DFC" w:rsidP="008D792B">
            <w:pPr>
              <w:jc w:val="center"/>
              <w:rPr>
                <w:rFonts w:ascii="Arial" w:eastAsia="Calibri" w:hAnsi="Arial" w:cs="Arial"/>
                <w:b/>
                <w:u w:val="single"/>
              </w:rPr>
            </w:pPr>
          </w:p>
          <w:p w14:paraId="5B9BD68C" w14:textId="77777777" w:rsidR="00232DFC" w:rsidRDefault="00232DFC" w:rsidP="008D792B">
            <w:pPr>
              <w:jc w:val="center"/>
              <w:rPr>
                <w:rFonts w:ascii="Arial" w:eastAsia="Calibri" w:hAnsi="Arial" w:cs="Arial"/>
                <w:b/>
                <w:u w:val="single"/>
              </w:rPr>
            </w:pPr>
          </w:p>
          <w:p w14:paraId="6328641A" w14:textId="77777777" w:rsidR="00232DFC" w:rsidRDefault="00232DFC" w:rsidP="008D792B">
            <w:pPr>
              <w:jc w:val="center"/>
              <w:rPr>
                <w:rFonts w:ascii="Arial" w:eastAsia="Calibri" w:hAnsi="Arial" w:cs="Arial"/>
                <w:b/>
                <w:u w:val="single"/>
              </w:rPr>
            </w:pPr>
            <w:r>
              <w:rPr>
                <w:rFonts w:ascii="Arial" w:eastAsia="Calibri" w:hAnsi="Arial" w:cs="Arial"/>
                <w:b/>
                <w:u w:val="single"/>
              </w:rPr>
              <w:t>95.85%</w:t>
            </w:r>
          </w:p>
          <w:p w14:paraId="0F14EA31" w14:textId="77777777" w:rsidR="00232DFC" w:rsidRDefault="00232DFC" w:rsidP="008D792B">
            <w:pPr>
              <w:jc w:val="center"/>
              <w:rPr>
                <w:rFonts w:ascii="Arial" w:eastAsia="Calibri" w:hAnsi="Arial" w:cs="Arial"/>
                <w:b/>
                <w:u w:val="single"/>
              </w:rPr>
            </w:pPr>
            <w:r>
              <w:rPr>
                <w:rFonts w:ascii="Arial" w:eastAsia="Calibri" w:hAnsi="Arial" w:cs="Arial"/>
                <w:b/>
                <w:u w:val="single"/>
              </w:rPr>
              <w:t>74.87%</w:t>
            </w:r>
          </w:p>
          <w:p w14:paraId="4A40422E" w14:textId="77777777" w:rsidR="00232DFC" w:rsidRDefault="00232DFC" w:rsidP="008D792B">
            <w:pPr>
              <w:jc w:val="center"/>
              <w:rPr>
                <w:rFonts w:ascii="Arial" w:eastAsia="Calibri" w:hAnsi="Arial" w:cs="Arial"/>
                <w:b/>
                <w:u w:val="single"/>
              </w:rPr>
            </w:pPr>
          </w:p>
          <w:p w14:paraId="734017B9" w14:textId="1AF858ED" w:rsidR="00232DFC" w:rsidRPr="006B5E9C" w:rsidRDefault="00232DFC" w:rsidP="008D792B">
            <w:pPr>
              <w:jc w:val="center"/>
              <w:rPr>
                <w:rFonts w:ascii="Arial" w:eastAsia="Calibri" w:hAnsi="Arial" w:cs="Arial"/>
                <w:b/>
                <w:u w:val="single"/>
              </w:rPr>
            </w:pPr>
            <w:r>
              <w:rPr>
                <w:rFonts w:ascii="Arial" w:eastAsia="Calibri" w:hAnsi="Arial" w:cs="Arial"/>
                <w:b/>
                <w:u w:val="single"/>
              </w:rPr>
              <w:t>83.66%</w:t>
            </w:r>
          </w:p>
        </w:tc>
        <w:tc>
          <w:tcPr>
            <w:tcW w:w="2042" w:type="dxa"/>
          </w:tcPr>
          <w:p w14:paraId="7947662C" w14:textId="77777777" w:rsidR="008D792B" w:rsidRDefault="008D792B" w:rsidP="008D792B">
            <w:pPr>
              <w:jc w:val="center"/>
              <w:rPr>
                <w:rFonts w:ascii="Arial" w:eastAsia="Calibri" w:hAnsi="Arial" w:cs="Arial"/>
                <w:b/>
                <w:u w:val="single"/>
              </w:rPr>
            </w:pPr>
          </w:p>
          <w:p w14:paraId="5F4B1D5C" w14:textId="77777777" w:rsidR="00232DFC" w:rsidRDefault="00232DFC" w:rsidP="008D792B">
            <w:pPr>
              <w:jc w:val="center"/>
              <w:rPr>
                <w:rFonts w:ascii="Arial" w:eastAsia="Calibri" w:hAnsi="Arial" w:cs="Arial"/>
                <w:b/>
                <w:u w:val="single"/>
              </w:rPr>
            </w:pPr>
          </w:p>
          <w:p w14:paraId="513EF92D" w14:textId="77777777" w:rsidR="00232DFC" w:rsidRDefault="00232DFC" w:rsidP="008D792B">
            <w:pPr>
              <w:jc w:val="center"/>
              <w:rPr>
                <w:rFonts w:ascii="Arial" w:eastAsia="Calibri" w:hAnsi="Arial" w:cs="Arial"/>
                <w:b/>
                <w:u w:val="single"/>
              </w:rPr>
            </w:pPr>
          </w:p>
          <w:p w14:paraId="68C69F15" w14:textId="77777777" w:rsidR="00232DFC" w:rsidRDefault="00232DFC" w:rsidP="008D792B">
            <w:pPr>
              <w:jc w:val="center"/>
              <w:rPr>
                <w:rFonts w:ascii="Arial" w:eastAsia="Calibri" w:hAnsi="Arial" w:cs="Arial"/>
                <w:b/>
                <w:u w:val="single"/>
              </w:rPr>
            </w:pPr>
          </w:p>
          <w:p w14:paraId="5AC4A8BE" w14:textId="77777777" w:rsidR="00232DFC" w:rsidRDefault="00232DFC" w:rsidP="008D792B">
            <w:pPr>
              <w:jc w:val="center"/>
              <w:rPr>
                <w:rFonts w:ascii="Arial" w:eastAsia="Calibri" w:hAnsi="Arial" w:cs="Arial"/>
                <w:b/>
                <w:u w:val="single"/>
              </w:rPr>
            </w:pPr>
          </w:p>
          <w:p w14:paraId="6B75B7CB" w14:textId="5AF592CA" w:rsidR="00232DFC" w:rsidRDefault="00232DFC" w:rsidP="008D792B">
            <w:pPr>
              <w:jc w:val="center"/>
              <w:rPr>
                <w:rFonts w:ascii="Arial" w:eastAsia="Calibri" w:hAnsi="Arial" w:cs="Arial"/>
                <w:b/>
                <w:u w:val="single"/>
              </w:rPr>
            </w:pPr>
            <w:r>
              <w:rPr>
                <w:rFonts w:ascii="Arial" w:eastAsia="Calibri" w:hAnsi="Arial" w:cs="Arial"/>
                <w:b/>
                <w:u w:val="single"/>
              </w:rPr>
              <w:t>94.75%</w:t>
            </w:r>
          </w:p>
          <w:p w14:paraId="4618D957" w14:textId="5629D982" w:rsidR="00232DFC" w:rsidRDefault="00232DFC" w:rsidP="008D792B">
            <w:pPr>
              <w:jc w:val="center"/>
              <w:rPr>
                <w:rFonts w:ascii="Arial" w:eastAsia="Calibri" w:hAnsi="Arial" w:cs="Arial"/>
                <w:b/>
                <w:u w:val="single"/>
              </w:rPr>
            </w:pPr>
            <w:r>
              <w:rPr>
                <w:rFonts w:ascii="Arial" w:eastAsia="Calibri" w:hAnsi="Arial" w:cs="Arial"/>
                <w:b/>
                <w:u w:val="single"/>
              </w:rPr>
              <w:t>60.82%</w:t>
            </w:r>
          </w:p>
          <w:p w14:paraId="356880C1" w14:textId="77777777" w:rsidR="00232DFC" w:rsidRDefault="00232DFC" w:rsidP="008D792B">
            <w:pPr>
              <w:jc w:val="center"/>
              <w:rPr>
                <w:rFonts w:ascii="Arial" w:eastAsia="Calibri" w:hAnsi="Arial" w:cs="Arial"/>
                <w:b/>
                <w:u w:val="single"/>
              </w:rPr>
            </w:pPr>
          </w:p>
          <w:p w14:paraId="7CDB1023" w14:textId="32532557" w:rsidR="00232DFC" w:rsidRPr="006B5E9C" w:rsidRDefault="00232DFC" w:rsidP="008D792B">
            <w:pPr>
              <w:jc w:val="center"/>
              <w:rPr>
                <w:rFonts w:ascii="Arial" w:eastAsia="Calibri" w:hAnsi="Arial" w:cs="Arial"/>
                <w:b/>
                <w:u w:val="single"/>
              </w:rPr>
            </w:pPr>
            <w:r>
              <w:rPr>
                <w:rFonts w:ascii="Arial" w:eastAsia="Calibri" w:hAnsi="Arial" w:cs="Arial"/>
                <w:b/>
                <w:u w:val="single"/>
              </w:rPr>
              <w:t>75.03%</w:t>
            </w:r>
          </w:p>
        </w:tc>
      </w:tr>
      <w:tr w:rsidR="008A3AF8" w:rsidRPr="004B1294" w14:paraId="2FDE666D" w14:textId="77777777" w:rsidTr="00042E94">
        <w:tc>
          <w:tcPr>
            <w:tcW w:w="1550" w:type="dxa"/>
          </w:tcPr>
          <w:p w14:paraId="47685AFD" w14:textId="34B9044A" w:rsidR="008A3AF8" w:rsidRPr="006B5E9C" w:rsidRDefault="008972CA" w:rsidP="008A3AF8">
            <w:pPr>
              <w:jc w:val="center"/>
              <w:rPr>
                <w:rFonts w:ascii="Arial" w:hAnsi="Arial" w:cs="Arial"/>
                <w:b/>
              </w:rPr>
            </w:pPr>
            <w:r>
              <w:rPr>
                <w:rFonts w:ascii="Arial" w:hAnsi="Arial" w:cs="Arial"/>
                <w:b/>
              </w:rPr>
              <w:t>7</w:t>
            </w:r>
          </w:p>
        </w:tc>
        <w:tc>
          <w:tcPr>
            <w:tcW w:w="3255" w:type="dxa"/>
          </w:tcPr>
          <w:p w14:paraId="7CA8D86E" w14:textId="7498D997" w:rsidR="008A3AF8" w:rsidRDefault="008972CA" w:rsidP="008A3AF8">
            <w:pPr>
              <w:jc w:val="both"/>
              <w:rPr>
                <w:rFonts w:ascii="Arial" w:hAnsi="Arial" w:cs="Arial"/>
                <w:b/>
                <w:lang w:val="es-MX"/>
              </w:rPr>
            </w:pPr>
            <w:r>
              <w:rPr>
                <w:rFonts w:ascii="Arial" w:hAnsi="Arial" w:cs="Arial"/>
                <w:b/>
                <w:lang w:val="es-MX"/>
              </w:rPr>
              <w:t>INSTITUTO NACIONAL DE SALUD - INS</w:t>
            </w:r>
          </w:p>
          <w:p w14:paraId="748401DF" w14:textId="77777777" w:rsidR="008A3AF8" w:rsidRDefault="008A3AF8" w:rsidP="008A3AF8">
            <w:pPr>
              <w:jc w:val="both"/>
              <w:rPr>
                <w:rFonts w:ascii="Arial" w:hAnsi="Arial" w:cs="Arial"/>
                <w:b/>
                <w:lang w:val="es-MX"/>
              </w:rPr>
            </w:pPr>
          </w:p>
          <w:p w14:paraId="0748C96B" w14:textId="77777777" w:rsidR="008A3AF8" w:rsidRDefault="008A3AF8" w:rsidP="008A3AF8">
            <w:pPr>
              <w:jc w:val="both"/>
              <w:rPr>
                <w:rFonts w:ascii="Arial" w:hAnsi="Arial" w:cs="Arial"/>
                <w:b/>
                <w:lang w:val="es-MX"/>
              </w:rPr>
            </w:pPr>
            <w:r>
              <w:rPr>
                <w:rFonts w:ascii="Arial" w:hAnsi="Arial" w:cs="Arial"/>
                <w:b/>
                <w:lang w:val="es-MX"/>
              </w:rPr>
              <w:t>FUNCIONAMIENTO</w:t>
            </w:r>
          </w:p>
          <w:p w14:paraId="0E63B5A9" w14:textId="77777777" w:rsidR="008A3AF8" w:rsidRDefault="008A3AF8" w:rsidP="008A3AF8">
            <w:pPr>
              <w:jc w:val="both"/>
              <w:rPr>
                <w:rFonts w:ascii="Arial" w:hAnsi="Arial" w:cs="Arial"/>
                <w:b/>
                <w:lang w:val="es-MX"/>
              </w:rPr>
            </w:pPr>
            <w:r>
              <w:rPr>
                <w:rFonts w:ascii="Arial" w:hAnsi="Arial" w:cs="Arial"/>
                <w:b/>
                <w:lang w:val="es-MX"/>
              </w:rPr>
              <w:t xml:space="preserve">INVERSIÓN </w:t>
            </w:r>
          </w:p>
          <w:p w14:paraId="223CD92E" w14:textId="77777777" w:rsidR="008A3AF8" w:rsidRDefault="008A3AF8" w:rsidP="008A3AF8">
            <w:pPr>
              <w:jc w:val="both"/>
              <w:rPr>
                <w:rFonts w:ascii="Arial" w:hAnsi="Arial" w:cs="Arial"/>
                <w:b/>
                <w:lang w:val="es-MX"/>
              </w:rPr>
            </w:pPr>
          </w:p>
          <w:p w14:paraId="097764E5" w14:textId="136489D0" w:rsidR="008A3AF8" w:rsidRPr="006B5E9C" w:rsidRDefault="008A3AF8" w:rsidP="008A3AF8">
            <w:pPr>
              <w:jc w:val="both"/>
              <w:rPr>
                <w:rFonts w:ascii="Arial" w:hAnsi="Arial" w:cs="Arial"/>
                <w:b/>
                <w:lang w:val="es-MX"/>
              </w:rPr>
            </w:pPr>
            <w:r>
              <w:rPr>
                <w:rFonts w:ascii="Arial" w:hAnsi="Arial" w:cs="Arial"/>
                <w:b/>
                <w:lang w:val="es-MX"/>
              </w:rPr>
              <w:t>TOTAL PRESUPUESTO</w:t>
            </w:r>
          </w:p>
        </w:tc>
        <w:tc>
          <w:tcPr>
            <w:tcW w:w="1839" w:type="dxa"/>
          </w:tcPr>
          <w:p w14:paraId="1307AAB6" w14:textId="77777777" w:rsidR="008A3AF8" w:rsidRDefault="008A3AF8" w:rsidP="008A3AF8">
            <w:pPr>
              <w:jc w:val="center"/>
              <w:rPr>
                <w:rFonts w:ascii="Arial" w:eastAsia="Calibri" w:hAnsi="Arial" w:cs="Arial"/>
                <w:b/>
                <w:u w:val="single"/>
              </w:rPr>
            </w:pPr>
          </w:p>
          <w:p w14:paraId="282CB9CC" w14:textId="77777777" w:rsidR="008A3AF8" w:rsidRDefault="008A3AF8" w:rsidP="008A3AF8">
            <w:pPr>
              <w:jc w:val="center"/>
              <w:rPr>
                <w:rFonts w:ascii="Arial" w:eastAsia="Calibri" w:hAnsi="Arial" w:cs="Arial"/>
                <w:b/>
                <w:u w:val="single"/>
              </w:rPr>
            </w:pPr>
          </w:p>
          <w:p w14:paraId="089477DD" w14:textId="77777777" w:rsidR="008972CA" w:rsidRDefault="008972CA" w:rsidP="008A3AF8">
            <w:pPr>
              <w:jc w:val="center"/>
              <w:rPr>
                <w:rFonts w:ascii="Arial" w:eastAsia="Calibri" w:hAnsi="Arial" w:cs="Arial"/>
                <w:b/>
                <w:u w:val="single"/>
              </w:rPr>
            </w:pPr>
          </w:p>
          <w:p w14:paraId="56E08AFE" w14:textId="747D6F0D" w:rsidR="008A3AF8" w:rsidRDefault="008972CA" w:rsidP="008A3AF8">
            <w:pPr>
              <w:jc w:val="center"/>
              <w:rPr>
                <w:rFonts w:ascii="Arial" w:eastAsia="Calibri" w:hAnsi="Arial" w:cs="Arial"/>
                <w:b/>
                <w:u w:val="single"/>
              </w:rPr>
            </w:pPr>
            <w:r>
              <w:rPr>
                <w:rFonts w:ascii="Arial" w:eastAsia="Calibri" w:hAnsi="Arial" w:cs="Arial"/>
                <w:b/>
                <w:u w:val="single"/>
              </w:rPr>
              <w:t>90.00</w:t>
            </w:r>
            <w:r w:rsidR="008A3AF8">
              <w:rPr>
                <w:rFonts w:ascii="Arial" w:eastAsia="Calibri" w:hAnsi="Arial" w:cs="Arial"/>
                <w:b/>
                <w:u w:val="single"/>
              </w:rPr>
              <w:t>%</w:t>
            </w:r>
          </w:p>
          <w:p w14:paraId="7F4121D7" w14:textId="2DEC9F97" w:rsidR="008A3AF8" w:rsidRDefault="008972CA" w:rsidP="008A3AF8">
            <w:pPr>
              <w:jc w:val="center"/>
              <w:rPr>
                <w:rFonts w:ascii="Arial" w:eastAsia="Calibri" w:hAnsi="Arial" w:cs="Arial"/>
                <w:b/>
                <w:u w:val="single"/>
              </w:rPr>
            </w:pPr>
            <w:r>
              <w:rPr>
                <w:rFonts w:ascii="Arial" w:eastAsia="Calibri" w:hAnsi="Arial" w:cs="Arial"/>
                <w:b/>
                <w:u w:val="single"/>
              </w:rPr>
              <w:t>96.00</w:t>
            </w:r>
            <w:r w:rsidR="008A3AF8">
              <w:rPr>
                <w:rFonts w:ascii="Arial" w:eastAsia="Calibri" w:hAnsi="Arial" w:cs="Arial"/>
                <w:b/>
                <w:u w:val="single"/>
              </w:rPr>
              <w:t>%</w:t>
            </w:r>
          </w:p>
          <w:p w14:paraId="00BC20B5" w14:textId="77777777" w:rsidR="008A3AF8" w:rsidRDefault="008A3AF8" w:rsidP="008A3AF8">
            <w:pPr>
              <w:jc w:val="center"/>
              <w:rPr>
                <w:rFonts w:ascii="Arial" w:eastAsia="Calibri" w:hAnsi="Arial" w:cs="Arial"/>
                <w:b/>
                <w:u w:val="single"/>
              </w:rPr>
            </w:pPr>
          </w:p>
          <w:p w14:paraId="44665585" w14:textId="7406FA0C" w:rsidR="008A3AF8" w:rsidRPr="006B5E9C" w:rsidRDefault="008972CA" w:rsidP="008A3AF8">
            <w:pPr>
              <w:jc w:val="center"/>
              <w:rPr>
                <w:rFonts w:ascii="Arial" w:eastAsia="Calibri" w:hAnsi="Arial" w:cs="Arial"/>
                <w:b/>
                <w:u w:val="single"/>
              </w:rPr>
            </w:pPr>
            <w:r>
              <w:rPr>
                <w:rFonts w:ascii="Arial" w:eastAsia="Calibri" w:hAnsi="Arial" w:cs="Arial"/>
                <w:b/>
                <w:u w:val="single"/>
              </w:rPr>
              <w:t>93.00</w:t>
            </w:r>
            <w:r w:rsidR="008A3AF8">
              <w:rPr>
                <w:rFonts w:ascii="Arial" w:eastAsia="Calibri" w:hAnsi="Arial" w:cs="Arial"/>
                <w:b/>
                <w:u w:val="single"/>
              </w:rPr>
              <w:t>%</w:t>
            </w:r>
          </w:p>
        </w:tc>
        <w:tc>
          <w:tcPr>
            <w:tcW w:w="1804" w:type="dxa"/>
          </w:tcPr>
          <w:p w14:paraId="3842FAF9" w14:textId="77777777" w:rsidR="008A3AF8" w:rsidRDefault="008A3AF8" w:rsidP="008A3AF8">
            <w:pPr>
              <w:jc w:val="center"/>
              <w:rPr>
                <w:rFonts w:ascii="Arial" w:eastAsia="Calibri" w:hAnsi="Arial" w:cs="Arial"/>
                <w:b/>
                <w:u w:val="single"/>
              </w:rPr>
            </w:pPr>
          </w:p>
          <w:p w14:paraId="7CA2E1D8" w14:textId="77777777" w:rsidR="008A3AF8" w:rsidRDefault="008A3AF8" w:rsidP="008A3AF8">
            <w:pPr>
              <w:jc w:val="center"/>
              <w:rPr>
                <w:rFonts w:ascii="Arial" w:eastAsia="Calibri" w:hAnsi="Arial" w:cs="Arial"/>
                <w:b/>
                <w:u w:val="single"/>
              </w:rPr>
            </w:pPr>
          </w:p>
          <w:p w14:paraId="68419205" w14:textId="77777777" w:rsidR="008972CA" w:rsidRDefault="008972CA" w:rsidP="008A3AF8">
            <w:pPr>
              <w:jc w:val="center"/>
              <w:rPr>
                <w:rFonts w:ascii="Arial" w:eastAsia="Calibri" w:hAnsi="Arial" w:cs="Arial"/>
                <w:b/>
                <w:u w:val="single"/>
              </w:rPr>
            </w:pPr>
          </w:p>
          <w:p w14:paraId="0FBF0EF0" w14:textId="31E544FD" w:rsidR="008A3AF8" w:rsidRDefault="008972CA" w:rsidP="008A3AF8">
            <w:pPr>
              <w:jc w:val="center"/>
              <w:rPr>
                <w:rFonts w:ascii="Arial" w:eastAsia="Calibri" w:hAnsi="Arial" w:cs="Arial"/>
                <w:b/>
                <w:u w:val="single"/>
              </w:rPr>
            </w:pPr>
            <w:r>
              <w:rPr>
                <w:rFonts w:ascii="Arial" w:eastAsia="Calibri" w:hAnsi="Arial" w:cs="Arial"/>
                <w:b/>
                <w:u w:val="single"/>
              </w:rPr>
              <w:t>88.00</w:t>
            </w:r>
            <w:r w:rsidR="008A3AF8">
              <w:rPr>
                <w:rFonts w:ascii="Arial" w:eastAsia="Calibri" w:hAnsi="Arial" w:cs="Arial"/>
                <w:b/>
                <w:u w:val="single"/>
              </w:rPr>
              <w:t>%</w:t>
            </w:r>
          </w:p>
          <w:p w14:paraId="2FACBD38" w14:textId="6A9E21A5" w:rsidR="008A3AF8" w:rsidRDefault="008972CA" w:rsidP="008A3AF8">
            <w:pPr>
              <w:jc w:val="center"/>
              <w:rPr>
                <w:rFonts w:ascii="Arial" w:eastAsia="Calibri" w:hAnsi="Arial" w:cs="Arial"/>
                <w:b/>
                <w:u w:val="single"/>
              </w:rPr>
            </w:pPr>
            <w:r>
              <w:rPr>
                <w:rFonts w:ascii="Arial" w:eastAsia="Calibri" w:hAnsi="Arial" w:cs="Arial"/>
                <w:b/>
                <w:u w:val="single"/>
              </w:rPr>
              <w:t>59.00</w:t>
            </w:r>
            <w:r w:rsidR="008A3AF8">
              <w:rPr>
                <w:rFonts w:ascii="Arial" w:eastAsia="Calibri" w:hAnsi="Arial" w:cs="Arial"/>
                <w:b/>
                <w:u w:val="single"/>
              </w:rPr>
              <w:t>%</w:t>
            </w:r>
          </w:p>
          <w:p w14:paraId="10E3D162" w14:textId="77777777" w:rsidR="008A3AF8" w:rsidRDefault="008A3AF8" w:rsidP="008A3AF8">
            <w:pPr>
              <w:jc w:val="center"/>
              <w:rPr>
                <w:rFonts w:ascii="Arial" w:eastAsia="Calibri" w:hAnsi="Arial" w:cs="Arial"/>
                <w:b/>
                <w:u w:val="single"/>
              </w:rPr>
            </w:pPr>
          </w:p>
          <w:p w14:paraId="24EBAF3A" w14:textId="5B6BFE3A" w:rsidR="008A3AF8" w:rsidRPr="006B5E9C" w:rsidRDefault="008972CA" w:rsidP="008A3AF8">
            <w:pPr>
              <w:jc w:val="center"/>
              <w:rPr>
                <w:rFonts w:ascii="Arial" w:eastAsia="Calibri" w:hAnsi="Arial" w:cs="Arial"/>
                <w:b/>
                <w:u w:val="single"/>
              </w:rPr>
            </w:pPr>
            <w:r>
              <w:rPr>
                <w:rFonts w:ascii="Arial" w:eastAsia="Calibri" w:hAnsi="Arial" w:cs="Arial"/>
                <w:b/>
                <w:u w:val="single"/>
              </w:rPr>
              <w:t>72.00</w:t>
            </w:r>
            <w:r w:rsidR="008A3AF8">
              <w:rPr>
                <w:rFonts w:ascii="Arial" w:eastAsia="Calibri" w:hAnsi="Arial" w:cs="Arial"/>
                <w:b/>
                <w:u w:val="single"/>
              </w:rPr>
              <w:t>%</w:t>
            </w:r>
          </w:p>
        </w:tc>
        <w:tc>
          <w:tcPr>
            <w:tcW w:w="2042" w:type="dxa"/>
          </w:tcPr>
          <w:p w14:paraId="67796597" w14:textId="77777777" w:rsidR="008A3AF8" w:rsidRDefault="008A3AF8" w:rsidP="008A3AF8">
            <w:pPr>
              <w:jc w:val="center"/>
              <w:rPr>
                <w:rFonts w:ascii="Arial" w:eastAsia="Calibri" w:hAnsi="Arial" w:cs="Arial"/>
                <w:b/>
                <w:u w:val="single"/>
              </w:rPr>
            </w:pPr>
          </w:p>
          <w:p w14:paraId="373B4C84" w14:textId="77777777" w:rsidR="008A3AF8" w:rsidRDefault="008A3AF8" w:rsidP="008A3AF8">
            <w:pPr>
              <w:jc w:val="center"/>
              <w:rPr>
                <w:rFonts w:ascii="Arial" w:eastAsia="Calibri" w:hAnsi="Arial" w:cs="Arial"/>
                <w:b/>
                <w:u w:val="single"/>
              </w:rPr>
            </w:pPr>
          </w:p>
          <w:p w14:paraId="2939F15D" w14:textId="77777777" w:rsidR="008972CA" w:rsidRDefault="008972CA" w:rsidP="008A3AF8">
            <w:pPr>
              <w:jc w:val="center"/>
              <w:rPr>
                <w:rFonts w:ascii="Arial" w:eastAsia="Calibri" w:hAnsi="Arial" w:cs="Arial"/>
                <w:b/>
                <w:u w:val="single"/>
              </w:rPr>
            </w:pPr>
          </w:p>
          <w:p w14:paraId="78F324B0" w14:textId="6715A5CD" w:rsidR="008A3AF8" w:rsidRDefault="008972CA" w:rsidP="008A3AF8">
            <w:pPr>
              <w:jc w:val="center"/>
              <w:rPr>
                <w:rFonts w:ascii="Arial" w:eastAsia="Calibri" w:hAnsi="Arial" w:cs="Arial"/>
                <w:b/>
                <w:u w:val="single"/>
              </w:rPr>
            </w:pPr>
            <w:r>
              <w:rPr>
                <w:rFonts w:ascii="Arial" w:eastAsia="Calibri" w:hAnsi="Arial" w:cs="Arial"/>
                <w:b/>
                <w:u w:val="single"/>
              </w:rPr>
              <w:t>88.00</w:t>
            </w:r>
            <w:r w:rsidR="008A3AF8">
              <w:rPr>
                <w:rFonts w:ascii="Arial" w:eastAsia="Calibri" w:hAnsi="Arial" w:cs="Arial"/>
                <w:b/>
                <w:u w:val="single"/>
              </w:rPr>
              <w:t>%</w:t>
            </w:r>
          </w:p>
          <w:p w14:paraId="22D371BF" w14:textId="7000FB36" w:rsidR="008A3AF8" w:rsidRDefault="008972CA" w:rsidP="008A3AF8">
            <w:pPr>
              <w:jc w:val="center"/>
              <w:rPr>
                <w:rFonts w:ascii="Arial" w:eastAsia="Calibri" w:hAnsi="Arial" w:cs="Arial"/>
                <w:b/>
                <w:u w:val="single"/>
              </w:rPr>
            </w:pPr>
            <w:r>
              <w:rPr>
                <w:rFonts w:ascii="Arial" w:eastAsia="Calibri" w:hAnsi="Arial" w:cs="Arial"/>
                <w:b/>
                <w:u w:val="single"/>
              </w:rPr>
              <w:t>58.00</w:t>
            </w:r>
            <w:r w:rsidR="008A3AF8">
              <w:rPr>
                <w:rFonts w:ascii="Arial" w:eastAsia="Calibri" w:hAnsi="Arial" w:cs="Arial"/>
                <w:b/>
                <w:u w:val="single"/>
              </w:rPr>
              <w:t>%</w:t>
            </w:r>
          </w:p>
          <w:p w14:paraId="24BF5EF7" w14:textId="77777777" w:rsidR="008A3AF8" w:rsidRDefault="008A3AF8" w:rsidP="008A3AF8">
            <w:pPr>
              <w:jc w:val="center"/>
              <w:rPr>
                <w:rFonts w:ascii="Arial" w:eastAsia="Calibri" w:hAnsi="Arial" w:cs="Arial"/>
                <w:b/>
                <w:u w:val="single"/>
              </w:rPr>
            </w:pPr>
          </w:p>
          <w:p w14:paraId="00AE0ABB" w14:textId="08BE01DF" w:rsidR="008A3AF8" w:rsidRPr="006B5E9C" w:rsidRDefault="008972CA" w:rsidP="008A3AF8">
            <w:pPr>
              <w:jc w:val="center"/>
              <w:rPr>
                <w:rFonts w:ascii="Arial" w:eastAsia="Calibri" w:hAnsi="Arial" w:cs="Arial"/>
                <w:b/>
                <w:u w:val="single"/>
              </w:rPr>
            </w:pPr>
            <w:r>
              <w:rPr>
                <w:rFonts w:ascii="Arial" w:eastAsia="Calibri" w:hAnsi="Arial" w:cs="Arial"/>
                <w:b/>
                <w:u w:val="single"/>
              </w:rPr>
              <w:t>72.00</w:t>
            </w:r>
            <w:r w:rsidR="008A3AF8">
              <w:rPr>
                <w:rFonts w:ascii="Arial" w:eastAsia="Calibri" w:hAnsi="Arial" w:cs="Arial"/>
                <w:b/>
                <w:u w:val="single"/>
              </w:rPr>
              <w:t>%</w:t>
            </w:r>
          </w:p>
        </w:tc>
      </w:tr>
      <w:tr w:rsidR="008A3AF8" w:rsidRPr="004B1294" w14:paraId="3927657B" w14:textId="77777777" w:rsidTr="00042E94">
        <w:tc>
          <w:tcPr>
            <w:tcW w:w="1550" w:type="dxa"/>
          </w:tcPr>
          <w:p w14:paraId="1128BBC8" w14:textId="503D9150" w:rsidR="008A3AF8" w:rsidRPr="006B5E9C" w:rsidRDefault="009A30A5" w:rsidP="008A3AF8">
            <w:pPr>
              <w:jc w:val="center"/>
              <w:rPr>
                <w:rFonts w:ascii="Arial" w:hAnsi="Arial" w:cs="Arial"/>
                <w:b/>
              </w:rPr>
            </w:pPr>
            <w:r>
              <w:rPr>
                <w:rFonts w:ascii="Arial" w:hAnsi="Arial" w:cs="Arial"/>
                <w:b/>
              </w:rPr>
              <w:t>8</w:t>
            </w:r>
          </w:p>
        </w:tc>
        <w:tc>
          <w:tcPr>
            <w:tcW w:w="3255" w:type="dxa"/>
          </w:tcPr>
          <w:p w14:paraId="3F0F2E24" w14:textId="107DB55C" w:rsidR="009A30A5" w:rsidRPr="009A30A5" w:rsidRDefault="009A30A5" w:rsidP="009A30A5">
            <w:pPr>
              <w:jc w:val="both"/>
              <w:rPr>
                <w:rFonts w:ascii="Arial" w:hAnsi="Arial" w:cs="Arial"/>
                <w:b/>
                <w:lang w:val="es-MX"/>
              </w:rPr>
            </w:pPr>
            <w:r w:rsidRPr="009A30A5">
              <w:rPr>
                <w:rFonts w:ascii="Arial" w:hAnsi="Arial" w:cs="Arial"/>
                <w:b/>
                <w:lang w:val="es-MX"/>
              </w:rPr>
              <w:t>DEPARTAMENTO ADMINISTRATIVO DIRECCIÓN NACIONAL DE INTELIGENCIA.</w:t>
            </w:r>
          </w:p>
          <w:p w14:paraId="653EF31F" w14:textId="77777777" w:rsidR="008A3AF8" w:rsidRPr="009A30A5" w:rsidRDefault="008A3AF8" w:rsidP="008A3AF8">
            <w:pPr>
              <w:jc w:val="both"/>
              <w:rPr>
                <w:rFonts w:ascii="Arial" w:hAnsi="Arial" w:cs="Arial"/>
                <w:b/>
                <w:lang w:val="es-MX"/>
              </w:rPr>
            </w:pPr>
          </w:p>
          <w:p w14:paraId="524F949F" w14:textId="77777777" w:rsidR="008A3AF8" w:rsidRDefault="008A3AF8" w:rsidP="008A3AF8">
            <w:pPr>
              <w:jc w:val="both"/>
              <w:rPr>
                <w:rFonts w:ascii="Arial" w:hAnsi="Arial" w:cs="Arial"/>
                <w:b/>
                <w:lang w:val="es-MX"/>
              </w:rPr>
            </w:pPr>
            <w:r>
              <w:rPr>
                <w:rFonts w:ascii="Arial" w:hAnsi="Arial" w:cs="Arial"/>
                <w:b/>
                <w:lang w:val="es-MX"/>
              </w:rPr>
              <w:t>FUNCIONAMIENTO</w:t>
            </w:r>
          </w:p>
          <w:p w14:paraId="52056649" w14:textId="77777777" w:rsidR="008A3AF8" w:rsidRDefault="008A3AF8" w:rsidP="008A3AF8">
            <w:pPr>
              <w:jc w:val="both"/>
              <w:rPr>
                <w:rFonts w:ascii="Arial" w:hAnsi="Arial" w:cs="Arial"/>
                <w:b/>
                <w:lang w:val="es-MX"/>
              </w:rPr>
            </w:pPr>
            <w:r>
              <w:rPr>
                <w:rFonts w:ascii="Arial" w:hAnsi="Arial" w:cs="Arial"/>
                <w:b/>
                <w:lang w:val="es-MX"/>
              </w:rPr>
              <w:t xml:space="preserve">INVERSIÓN </w:t>
            </w:r>
          </w:p>
          <w:p w14:paraId="3431E625" w14:textId="77777777" w:rsidR="008A3AF8" w:rsidRDefault="008A3AF8" w:rsidP="008A3AF8">
            <w:pPr>
              <w:jc w:val="both"/>
              <w:rPr>
                <w:rFonts w:ascii="Arial" w:hAnsi="Arial" w:cs="Arial"/>
                <w:b/>
                <w:lang w:val="es-MX"/>
              </w:rPr>
            </w:pPr>
          </w:p>
          <w:p w14:paraId="62B8AC1A" w14:textId="7956FB4B" w:rsidR="008A3AF8" w:rsidRPr="006B5E9C" w:rsidRDefault="008A3AF8" w:rsidP="008A3AF8">
            <w:pPr>
              <w:jc w:val="both"/>
              <w:rPr>
                <w:rFonts w:ascii="Arial" w:hAnsi="Arial" w:cs="Arial"/>
                <w:b/>
                <w:lang w:val="es-MX"/>
              </w:rPr>
            </w:pPr>
            <w:r>
              <w:rPr>
                <w:rFonts w:ascii="Arial" w:hAnsi="Arial" w:cs="Arial"/>
                <w:b/>
                <w:lang w:val="es-MX"/>
              </w:rPr>
              <w:t>TOTAL PRESUPUESTO</w:t>
            </w:r>
          </w:p>
        </w:tc>
        <w:tc>
          <w:tcPr>
            <w:tcW w:w="1839" w:type="dxa"/>
          </w:tcPr>
          <w:p w14:paraId="18F374FE" w14:textId="77777777" w:rsidR="008A3AF8" w:rsidRDefault="008A3AF8" w:rsidP="008A3AF8">
            <w:pPr>
              <w:jc w:val="center"/>
              <w:rPr>
                <w:rFonts w:ascii="Arial" w:eastAsia="Calibri" w:hAnsi="Arial" w:cs="Arial"/>
                <w:b/>
                <w:u w:val="single"/>
              </w:rPr>
            </w:pPr>
          </w:p>
          <w:p w14:paraId="4EDBFAC8" w14:textId="77777777" w:rsidR="008A3AF8" w:rsidRDefault="008A3AF8" w:rsidP="008A3AF8">
            <w:pPr>
              <w:jc w:val="center"/>
              <w:rPr>
                <w:rFonts w:ascii="Arial" w:eastAsia="Calibri" w:hAnsi="Arial" w:cs="Arial"/>
                <w:b/>
                <w:u w:val="single"/>
              </w:rPr>
            </w:pPr>
          </w:p>
          <w:p w14:paraId="4669EAF0" w14:textId="77777777" w:rsidR="009A30A5" w:rsidRDefault="009A30A5" w:rsidP="008A3AF8">
            <w:pPr>
              <w:jc w:val="center"/>
              <w:rPr>
                <w:rFonts w:ascii="Arial" w:eastAsia="Calibri" w:hAnsi="Arial" w:cs="Arial"/>
                <w:b/>
                <w:u w:val="single"/>
              </w:rPr>
            </w:pPr>
          </w:p>
          <w:p w14:paraId="4DB74E53" w14:textId="77777777" w:rsidR="009A30A5" w:rsidRDefault="009A30A5" w:rsidP="008A3AF8">
            <w:pPr>
              <w:jc w:val="center"/>
              <w:rPr>
                <w:rFonts w:ascii="Arial" w:eastAsia="Calibri" w:hAnsi="Arial" w:cs="Arial"/>
                <w:b/>
                <w:u w:val="single"/>
              </w:rPr>
            </w:pPr>
          </w:p>
          <w:p w14:paraId="6830A192" w14:textId="683CC15C" w:rsidR="008A3AF8" w:rsidRDefault="009A30A5" w:rsidP="008A3AF8">
            <w:pPr>
              <w:jc w:val="center"/>
              <w:rPr>
                <w:rFonts w:ascii="Arial" w:eastAsia="Calibri" w:hAnsi="Arial" w:cs="Arial"/>
                <w:b/>
                <w:u w:val="single"/>
              </w:rPr>
            </w:pPr>
            <w:r>
              <w:rPr>
                <w:rFonts w:ascii="Arial" w:eastAsia="Calibri" w:hAnsi="Arial" w:cs="Arial"/>
                <w:b/>
                <w:u w:val="single"/>
              </w:rPr>
              <w:t>97.00</w:t>
            </w:r>
            <w:r w:rsidR="008A3AF8">
              <w:rPr>
                <w:rFonts w:ascii="Arial" w:eastAsia="Calibri" w:hAnsi="Arial" w:cs="Arial"/>
                <w:b/>
                <w:u w:val="single"/>
              </w:rPr>
              <w:t>%</w:t>
            </w:r>
          </w:p>
          <w:p w14:paraId="2CB352DB" w14:textId="24C01D22" w:rsidR="008A3AF8" w:rsidRDefault="009A30A5" w:rsidP="008A3AF8">
            <w:pPr>
              <w:jc w:val="center"/>
              <w:rPr>
                <w:rFonts w:ascii="Arial" w:eastAsia="Calibri" w:hAnsi="Arial" w:cs="Arial"/>
                <w:b/>
                <w:u w:val="single"/>
              </w:rPr>
            </w:pPr>
            <w:r>
              <w:rPr>
                <w:rFonts w:ascii="Arial" w:eastAsia="Calibri" w:hAnsi="Arial" w:cs="Arial"/>
                <w:b/>
                <w:u w:val="single"/>
              </w:rPr>
              <w:t>97.00</w:t>
            </w:r>
            <w:r w:rsidR="008A3AF8">
              <w:rPr>
                <w:rFonts w:ascii="Arial" w:eastAsia="Calibri" w:hAnsi="Arial" w:cs="Arial"/>
                <w:b/>
                <w:u w:val="single"/>
              </w:rPr>
              <w:t>%</w:t>
            </w:r>
          </w:p>
          <w:p w14:paraId="767E55DA" w14:textId="77777777" w:rsidR="008A3AF8" w:rsidRDefault="008A3AF8" w:rsidP="008A3AF8">
            <w:pPr>
              <w:jc w:val="center"/>
              <w:rPr>
                <w:rFonts w:ascii="Arial" w:eastAsia="Calibri" w:hAnsi="Arial" w:cs="Arial"/>
                <w:b/>
                <w:u w:val="single"/>
              </w:rPr>
            </w:pPr>
          </w:p>
          <w:p w14:paraId="61AF4BBB" w14:textId="66845BF5" w:rsidR="008A3AF8" w:rsidRPr="006B5E9C" w:rsidRDefault="009A30A5" w:rsidP="008A3AF8">
            <w:pPr>
              <w:jc w:val="center"/>
              <w:rPr>
                <w:rFonts w:ascii="Arial" w:eastAsia="Calibri" w:hAnsi="Arial" w:cs="Arial"/>
                <w:b/>
                <w:u w:val="single"/>
              </w:rPr>
            </w:pPr>
            <w:r>
              <w:rPr>
                <w:rFonts w:ascii="Arial" w:eastAsia="Calibri" w:hAnsi="Arial" w:cs="Arial"/>
                <w:b/>
                <w:u w:val="single"/>
              </w:rPr>
              <w:t>97.00</w:t>
            </w:r>
            <w:r w:rsidR="008A3AF8">
              <w:rPr>
                <w:rFonts w:ascii="Arial" w:eastAsia="Calibri" w:hAnsi="Arial" w:cs="Arial"/>
                <w:b/>
                <w:u w:val="single"/>
              </w:rPr>
              <w:t>%</w:t>
            </w:r>
          </w:p>
        </w:tc>
        <w:tc>
          <w:tcPr>
            <w:tcW w:w="1804" w:type="dxa"/>
          </w:tcPr>
          <w:p w14:paraId="7718E410" w14:textId="77777777" w:rsidR="008A3AF8" w:rsidRDefault="008A3AF8" w:rsidP="008A3AF8">
            <w:pPr>
              <w:jc w:val="center"/>
              <w:rPr>
                <w:rFonts w:ascii="Arial" w:eastAsia="Calibri" w:hAnsi="Arial" w:cs="Arial"/>
                <w:b/>
                <w:u w:val="single"/>
              </w:rPr>
            </w:pPr>
          </w:p>
          <w:p w14:paraId="10F2311A" w14:textId="77777777" w:rsidR="008A3AF8" w:rsidRDefault="008A3AF8" w:rsidP="008A3AF8">
            <w:pPr>
              <w:jc w:val="center"/>
              <w:rPr>
                <w:rFonts w:ascii="Arial" w:eastAsia="Calibri" w:hAnsi="Arial" w:cs="Arial"/>
                <w:b/>
                <w:u w:val="single"/>
              </w:rPr>
            </w:pPr>
          </w:p>
          <w:p w14:paraId="4BFCB8ED" w14:textId="77777777" w:rsidR="009A30A5" w:rsidRDefault="009A30A5" w:rsidP="008A3AF8">
            <w:pPr>
              <w:jc w:val="center"/>
              <w:rPr>
                <w:rFonts w:ascii="Arial" w:eastAsia="Calibri" w:hAnsi="Arial" w:cs="Arial"/>
                <w:b/>
                <w:u w:val="single"/>
              </w:rPr>
            </w:pPr>
          </w:p>
          <w:p w14:paraId="2DD5355F" w14:textId="77777777" w:rsidR="009A30A5" w:rsidRDefault="009A30A5" w:rsidP="008A3AF8">
            <w:pPr>
              <w:jc w:val="center"/>
              <w:rPr>
                <w:rFonts w:ascii="Arial" w:eastAsia="Calibri" w:hAnsi="Arial" w:cs="Arial"/>
                <w:b/>
                <w:u w:val="single"/>
              </w:rPr>
            </w:pPr>
          </w:p>
          <w:p w14:paraId="36526C84" w14:textId="1C427C9A" w:rsidR="008A3AF8" w:rsidRDefault="009A30A5" w:rsidP="008A3AF8">
            <w:pPr>
              <w:jc w:val="center"/>
              <w:rPr>
                <w:rFonts w:ascii="Arial" w:eastAsia="Calibri" w:hAnsi="Arial" w:cs="Arial"/>
                <w:b/>
                <w:u w:val="single"/>
              </w:rPr>
            </w:pPr>
            <w:r>
              <w:rPr>
                <w:rFonts w:ascii="Arial" w:eastAsia="Calibri" w:hAnsi="Arial" w:cs="Arial"/>
                <w:b/>
                <w:u w:val="single"/>
              </w:rPr>
              <w:t>95.00</w:t>
            </w:r>
            <w:r w:rsidR="008A3AF8">
              <w:rPr>
                <w:rFonts w:ascii="Arial" w:eastAsia="Calibri" w:hAnsi="Arial" w:cs="Arial"/>
                <w:b/>
                <w:u w:val="single"/>
              </w:rPr>
              <w:t>%</w:t>
            </w:r>
          </w:p>
          <w:p w14:paraId="1319D507" w14:textId="57F84739" w:rsidR="008A3AF8" w:rsidRDefault="009A30A5" w:rsidP="008A3AF8">
            <w:pPr>
              <w:jc w:val="center"/>
              <w:rPr>
                <w:rFonts w:ascii="Arial" w:eastAsia="Calibri" w:hAnsi="Arial" w:cs="Arial"/>
                <w:b/>
                <w:u w:val="single"/>
              </w:rPr>
            </w:pPr>
            <w:r>
              <w:rPr>
                <w:rFonts w:ascii="Arial" w:eastAsia="Calibri" w:hAnsi="Arial" w:cs="Arial"/>
                <w:b/>
                <w:u w:val="single"/>
              </w:rPr>
              <w:t>40.00</w:t>
            </w:r>
            <w:r w:rsidR="008A3AF8">
              <w:rPr>
                <w:rFonts w:ascii="Arial" w:eastAsia="Calibri" w:hAnsi="Arial" w:cs="Arial"/>
                <w:b/>
                <w:u w:val="single"/>
              </w:rPr>
              <w:t>%</w:t>
            </w:r>
          </w:p>
          <w:p w14:paraId="610E358C" w14:textId="77777777" w:rsidR="008A3AF8" w:rsidRDefault="008A3AF8" w:rsidP="008A3AF8">
            <w:pPr>
              <w:jc w:val="center"/>
              <w:rPr>
                <w:rFonts w:ascii="Arial" w:eastAsia="Calibri" w:hAnsi="Arial" w:cs="Arial"/>
                <w:b/>
                <w:u w:val="single"/>
              </w:rPr>
            </w:pPr>
          </w:p>
          <w:p w14:paraId="1CF924D8" w14:textId="06B015BA" w:rsidR="008A3AF8" w:rsidRPr="006B5E9C" w:rsidRDefault="009A30A5" w:rsidP="008A3AF8">
            <w:pPr>
              <w:jc w:val="center"/>
              <w:rPr>
                <w:rFonts w:ascii="Arial" w:eastAsia="Calibri" w:hAnsi="Arial" w:cs="Arial"/>
                <w:b/>
                <w:u w:val="single"/>
              </w:rPr>
            </w:pPr>
            <w:r>
              <w:rPr>
                <w:rFonts w:ascii="Arial" w:eastAsia="Calibri" w:hAnsi="Arial" w:cs="Arial"/>
                <w:b/>
                <w:u w:val="single"/>
              </w:rPr>
              <w:t>82.00</w:t>
            </w:r>
            <w:r w:rsidR="008A3AF8">
              <w:rPr>
                <w:rFonts w:ascii="Arial" w:eastAsia="Calibri" w:hAnsi="Arial" w:cs="Arial"/>
                <w:b/>
                <w:u w:val="single"/>
              </w:rPr>
              <w:t>%</w:t>
            </w:r>
          </w:p>
        </w:tc>
        <w:tc>
          <w:tcPr>
            <w:tcW w:w="2042" w:type="dxa"/>
          </w:tcPr>
          <w:p w14:paraId="3B6580D8" w14:textId="77777777" w:rsidR="008A3AF8" w:rsidRDefault="008A3AF8" w:rsidP="008A3AF8">
            <w:pPr>
              <w:jc w:val="center"/>
              <w:rPr>
                <w:rFonts w:ascii="Arial" w:eastAsia="Calibri" w:hAnsi="Arial" w:cs="Arial"/>
                <w:b/>
                <w:u w:val="single"/>
              </w:rPr>
            </w:pPr>
          </w:p>
          <w:p w14:paraId="400CA055" w14:textId="77777777" w:rsidR="008A3AF8" w:rsidRDefault="008A3AF8" w:rsidP="008A3AF8">
            <w:pPr>
              <w:jc w:val="center"/>
              <w:rPr>
                <w:rFonts w:ascii="Arial" w:eastAsia="Calibri" w:hAnsi="Arial" w:cs="Arial"/>
                <w:b/>
                <w:u w:val="single"/>
              </w:rPr>
            </w:pPr>
          </w:p>
          <w:p w14:paraId="04DFE186" w14:textId="77777777" w:rsidR="009A30A5" w:rsidRDefault="009A30A5" w:rsidP="008A3AF8">
            <w:pPr>
              <w:jc w:val="center"/>
              <w:rPr>
                <w:rFonts w:ascii="Arial" w:eastAsia="Calibri" w:hAnsi="Arial" w:cs="Arial"/>
                <w:b/>
                <w:u w:val="single"/>
              </w:rPr>
            </w:pPr>
          </w:p>
          <w:p w14:paraId="4EA18BF0" w14:textId="77777777" w:rsidR="009A30A5" w:rsidRDefault="009A30A5" w:rsidP="008A3AF8">
            <w:pPr>
              <w:jc w:val="center"/>
              <w:rPr>
                <w:rFonts w:ascii="Arial" w:eastAsia="Calibri" w:hAnsi="Arial" w:cs="Arial"/>
                <w:b/>
                <w:u w:val="single"/>
              </w:rPr>
            </w:pPr>
          </w:p>
          <w:p w14:paraId="3F6FA9C1" w14:textId="5FDC6317" w:rsidR="008A3AF8" w:rsidRDefault="009A30A5" w:rsidP="008A3AF8">
            <w:pPr>
              <w:jc w:val="center"/>
              <w:rPr>
                <w:rFonts w:ascii="Arial" w:eastAsia="Calibri" w:hAnsi="Arial" w:cs="Arial"/>
                <w:b/>
                <w:u w:val="single"/>
              </w:rPr>
            </w:pPr>
            <w:r>
              <w:rPr>
                <w:rFonts w:ascii="Arial" w:eastAsia="Calibri" w:hAnsi="Arial" w:cs="Arial"/>
                <w:b/>
                <w:u w:val="single"/>
              </w:rPr>
              <w:t>95.00</w:t>
            </w:r>
            <w:r w:rsidR="008A3AF8">
              <w:rPr>
                <w:rFonts w:ascii="Arial" w:eastAsia="Calibri" w:hAnsi="Arial" w:cs="Arial"/>
                <w:b/>
                <w:u w:val="single"/>
              </w:rPr>
              <w:t>%</w:t>
            </w:r>
          </w:p>
          <w:p w14:paraId="39D038E4" w14:textId="222A6451" w:rsidR="008A3AF8" w:rsidRDefault="009A30A5" w:rsidP="008A3AF8">
            <w:pPr>
              <w:jc w:val="center"/>
              <w:rPr>
                <w:rFonts w:ascii="Arial" w:eastAsia="Calibri" w:hAnsi="Arial" w:cs="Arial"/>
                <w:b/>
                <w:u w:val="single"/>
              </w:rPr>
            </w:pPr>
            <w:r>
              <w:rPr>
                <w:rFonts w:ascii="Arial" w:eastAsia="Calibri" w:hAnsi="Arial" w:cs="Arial"/>
                <w:b/>
                <w:u w:val="single"/>
              </w:rPr>
              <w:t>40.00</w:t>
            </w:r>
            <w:r w:rsidR="008A3AF8">
              <w:rPr>
                <w:rFonts w:ascii="Arial" w:eastAsia="Calibri" w:hAnsi="Arial" w:cs="Arial"/>
                <w:b/>
                <w:u w:val="single"/>
              </w:rPr>
              <w:t>%</w:t>
            </w:r>
          </w:p>
          <w:p w14:paraId="04234C43" w14:textId="77777777" w:rsidR="008A3AF8" w:rsidRDefault="008A3AF8" w:rsidP="008A3AF8">
            <w:pPr>
              <w:jc w:val="center"/>
              <w:rPr>
                <w:rFonts w:ascii="Arial" w:eastAsia="Calibri" w:hAnsi="Arial" w:cs="Arial"/>
                <w:b/>
                <w:u w:val="single"/>
              </w:rPr>
            </w:pPr>
          </w:p>
          <w:p w14:paraId="1D073921" w14:textId="1D92BCAB" w:rsidR="008A3AF8" w:rsidRPr="006B5E9C" w:rsidRDefault="009A30A5" w:rsidP="008A3AF8">
            <w:pPr>
              <w:jc w:val="center"/>
              <w:rPr>
                <w:rFonts w:ascii="Arial" w:eastAsia="Calibri" w:hAnsi="Arial" w:cs="Arial"/>
                <w:b/>
                <w:u w:val="single"/>
              </w:rPr>
            </w:pPr>
            <w:r>
              <w:rPr>
                <w:rFonts w:ascii="Arial" w:eastAsia="Calibri" w:hAnsi="Arial" w:cs="Arial"/>
                <w:b/>
                <w:u w:val="single"/>
              </w:rPr>
              <w:t>82.00</w:t>
            </w:r>
            <w:r w:rsidR="008A3AF8">
              <w:rPr>
                <w:rFonts w:ascii="Arial" w:eastAsia="Calibri" w:hAnsi="Arial" w:cs="Arial"/>
                <w:b/>
                <w:u w:val="single"/>
              </w:rPr>
              <w:t>%</w:t>
            </w:r>
          </w:p>
        </w:tc>
      </w:tr>
      <w:tr w:rsidR="002551C6" w:rsidRPr="004B1294" w14:paraId="5C359D0F" w14:textId="77777777" w:rsidTr="00042E94">
        <w:tc>
          <w:tcPr>
            <w:tcW w:w="1550" w:type="dxa"/>
          </w:tcPr>
          <w:p w14:paraId="3AE8E493" w14:textId="5ED3267A" w:rsidR="002551C6" w:rsidRPr="006B5E9C" w:rsidRDefault="002551C6" w:rsidP="002551C6">
            <w:pPr>
              <w:jc w:val="center"/>
              <w:rPr>
                <w:rFonts w:ascii="Arial" w:hAnsi="Arial" w:cs="Arial"/>
                <w:b/>
              </w:rPr>
            </w:pPr>
            <w:r>
              <w:rPr>
                <w:rFonts w:ascii="Arial" w:hAnsi="Arial" w:cs="Arial"/>
                <w:b/>
              </w:rPr>
              <w:t>9</w:t>
            </w:r>
          </w:p>
        </w:tc>
        <w:tc>
          <w:tcPr>
            <w:tcW w:w="3255" w:type="dxa"/>
          </w:tcPr>
          <w:p w14:paraId="1CCA1738" w14:textId="52726363" w:rsidR="002551C6" w:rsidRPr="002551C6" w:rsidRDefault="002551C6" w:rsidP="002551C6">
            <w:pPr>
              <w:jc w:val="both"/>
              <w:rPr>
                <w:rFonts w:ascii="Arial" w:hAnsi="Arial" w:cs="Arial"/>
                <w:b/>
                <w:lang w:val="es-MX"/>
              </w:rPr>
            </w:pPr>
            <w:r w:rsidRPr="002551C6">
              <w:rPr>
                <w:rFonts w:ascii="Arial" w:hAnsi="Arial" w:cs="Arial"/>
                <w:b/>
                <w:lang w:val="es-MX"/>
              </w:rPr>
              <w:t>CENTRO NACIONAL DE MEMORIA HISTÓRICA.</w:t>
            </w:r>
          </w:p>
          <w:p w14:paraId="5B660CD2" w14:textId="77777777" w:rsidR="002551C6" w:rsidRDefault="002551C6" w:rsidP="002551C6">
            <w:pPr>
              <w:jc w:val="both"/>
              <w:rPr>
                <w:rFonts w:ascii="Arial" w:hAnsi="Arial" w:cs="Arial"/>
                <w:b/>
                <w:lang w:val="es-MX"/>
              </w:rPr>
            </w:pPr>
          </w:p>
          <w:p w14:paraId="2015EE57" w14:textId="77777777" w:rsidR="002551C6" w:rsidRDefault="002551C6" w:rsidP="002551C6">
            <w:pPr>
              <w:jc w:val="both"/>
              <w:rPr>
                <w:rFonts w:ascii="Arial" w:hAnsi="Arial" w:cs="Arial"/>
                <w:b/>
                <w:lang w:val="es-MX"/>
              </w:rPr>
            </w:pPr>
            <w:r>
              <w:rPr>
                <w:rFonts w:ascii="Arial" w:hAnsi="Arial" w:cs="Arial"/>
                <w:b/>
                <w:lang w:val="es-MX"/>
              </w:rPr>
              <w:t>FUNCIONAMIENTO</w:t>
            </w:r>
          </w:p>
          <w:p w14:paraId="0465333C" w14:textId="77777777" w:rsidR="002551C6" w:rsidRDefault="002551C6" w:rsidP="002551C6">
            <w:pPr>
              <w:jc w:val="both"/>
              <w:rPr>
                <w:rFonts w:ascii="Arial" w:hAnsi="Arial" w:cs="Arial"/>
                <w:b/>
                <w:lang w:val="es-MX"/>
              </w:rPr>
            </w:pPr>
            <w:r>
              <w:rPr>
                <w:rFonts w:ascii="Arial" w:hAnsi="Arial" w:cs="Arial"/>
                <w:b/>
                <w:lang w:val="es-MX"/>
              </w:rPr>
              <w:t xml:space="preserve">INVERSIÓN </w:t>
            </w:r>
          </w:p>
          <w:p w14:paraId="13959DDE" w14:textId="6237FD24" w:rsidR="002551C6" w:rsidRPr="006B5E9C" w:rsidRDefault="002551C6" w:rsidP="002551C6">
            <w:pPr>
              <w:jc w:val="both"/>
              <w:rPr>
                <w:rFonts w:ascii="Arial" w:hAnsi="Arial" w:cs="Arial"/>
                <w:b/>
                <w:lang w:val="es-MX"/>
              </w:rPr>
            </w:pPr>
            <w:r>
              <w:rPr>
                <w:rFonts w:ascii="Arial" w:hAnsi="Arial" w:cs="Arial"/>
                <w:b/>
                <w:lang w:val="es-MX"/>
              </w:rPr>
              <w:lastRenderedPageBreak/>
              <w:t>TOTAL PRESUPUESTO</w:t>
            </w:r>
          </w:p>
        </w:tc>
        <w:tc>
          <w:tcPr>
            <w:tcW w:w="1839" w:type="dxa"/>
          </w:tcPr>
          <w:p w14:paraId="18F7436B" w14:textId="77777777" w:rsidR="002551C6" w:rsidRDefault="002551C6" w:rsidP="002551C6">
            <w:pPr>
              <w:jc w:val="center"/>
              <w:rPr>
                <w:rFonts w:ascii="Arial" w:eastAsia="Calibri" w:hAnsi="Arial" w:cs="Arial"/>
                <w:b/>
                <w:u w:val="single"/>
              </w:rPr>
            </w:pPr>
          </w:p>
          <w:p w14:paraId="60E22494" w14:textId="77777777" w:rsidR="002551C6" w:rsidRDefault="002551C6" w:rsidP="002551C6">
            <w:pPr>
              <w:jc w:val="center"/>
              <w:rPr>
                <w:rFonts w:ascii="Arial" w:eastAsia="Calibri" w:hAnsi="Arial" w:cs="Arial"/>
                <w:b/>
                <w:u w:val="single"/>
              </w:rPr>
            </w:pPr>
          </w:p>
          <w:p w14:paraId="66E9F1CF" w14:textId="77777777" w:rsidR="002551C6" w:rsidRDefault="002551C6" w:rsidP="002551C6">
            <w:pPr>
              <w:jc w:val="center"/>
              <w:rPr>
                <w:rFonts w:ascii="Arial" w:eastAsia="Calibri" w:hAnsi="Arial" w:cs="Arial"/>
                <w:b/>
                <w:u w:val="single"/>
              </w:rPr>
            </w:pPr>
          </w:p>
          <w:p w14:paraId="5EA23142" w14:textId="45BFD8D8" w:rsidR="002551C6" w:rsidRDefault="0091630A" w:rsidP="002551C6">
            <w:pPr>
              <w:jc w:val="center"/>
              <w:rPr>
                <w:rFonts w:ascii="Arial" w:eastAsia="Calibri" w:hAnsi="Arial" w:cs="Arial"/>
                <w:b/>
                <w:u w:val="single"/>
              </w:rPr>
            </w:pPr>
            <w:r>
              <w:rPr>
                <w:rFonts w:ascii="Arial" w:eastAsia="Calibri" w:hAnsi="Arial" w:cs="Arial"/>
                <w:b/>
                <w:u w:val="single"/>
              </w:rPr>
              <w:t>97.19</w:t>
            </w:r>
            <w:r w:rsidR="002551C6">
              <w:rPr>
                <w:rFonts w:ascii="Arial" w:eastAsia="Calibri" w:hAnsi="Arial" w:cs="Arial"/>
                <w:b/>
                <w:u w:val="single"/>
              </w:rPr>
              <w:t>%</w:t>
            </w:r>
          </w:p>
          <w:p w14:paraId="0F48959C" w14:textId="2C8EBC10" w:rsidR="002551C6" w:rsidRDefault="0091630A" w:rsidP="002551C6">
            <w:pPr>
              <w:jc w:val="center"/>
              <w:rPr>
                <w:rFonts w:ascii="Arial" w:eastAsia="Calibri" w:hAnsi="Arial" w:cs="Arial"/>
                <w:b/>
                <w:u w:val="single"/>
              </w:rPr>
            </w:pPr>
            <w:r>
              <w:rPr>
                <w:rFonts w:ascii="Arial" w:eastAsia="Calibri" w:hAnsi="Arial" w:cs="Arial"/>
                <w:b/>
                <w:u w:val="single"/>
              </w:rPr>
              <w:t>98.96</w:t>
            </w:r>
            <w:r w:rsidR="002551C6">
              <w:rPr>
                <w:rFonts w:ascii="Arial" w:eastAsia="Calibri" w:hAnsi="Arial" w:cs="Arial"/>
                <w:b/>
                <w:u w:val="single"/>
              </w:rPr>
              <w:t>%</w:t>
            </w:r>
          </w:p>
          <w:p w14:paraId="6DD6058B" w14:textId="4EE57F40" w:rsidR="002551C6" w:rsidRPr="006B5E9C" w:rsidRDefault="0091630A" w:rsidP="002551C6">
            <w:pPr>
              <w:jc w:val="center"/>
              <w:rPr>
                <w:rFonts w:ascii="Arial" w:eastAsia="Calibri" w:hAnsi="Arial" w:cs="Arial"/>
                <w:b/>
                <w:u w:val="single"/>
              </w:rPr>
            </w:pPr>
            <w:r>
              <w:rPr>
                <w:rFonts w:ascii="Arial" w:eastAsia="Calibri" w:hAnsi="Arial" w:cs="Arial"/>
                <w:b/>
                <w:u w:val="single"/>
              </w:rPr>
              <w:lastRenderedPageBreak/>
              <w:t>98.40</w:t>
            </w:r>
            <w:r w:rsidR="002551C6">
              <w:rPr>
                <w:rFonts w:ascii="Arial" w:eastAsia="Calibri" w:hAnsi="Arial" w:cs="Arial"/>
                <w:b/>
                <w:u w:val="single"/>
              </w:rPr>
              <w:t>%</w:t>
            </w:r>
          </w:p>
        </w:tc>
        <w:tc>
          <w:tcPr>
            <w:tcW w:w="1804" w:type="dxa"/>
          </w:tcPr>
          <w:p w14:paraId="603B56F4" w14:textId="77777777" w:rsidR="002551C6" w:rsidRDefault="002551C6" w:rsidP="002551C6">
            <w:pPr>
              <w:jc w:val="center"/>
              <w:rPr>
                <w:rFonts w:ascii="Arial" w:eastAsia="Calibri" w:hAnsi="Arial" w:cs="Arial"/>
                <w:b/>
                <w:u w:val="single"/>
              </w:rPr>
            </w:pPr>
          </w:p>
          <w:p w14:paraId="5F83BF55" w14:textId="77777777" w:rsidR="002551C6" w:rsidRDefault="002551C6" w:rsidP="002551C6">
            <w:pPr>
              <w:jc w:val="center"/>
              <w:rPr>
                <w:rFonts w:ascii="Arial" w:eastAsia="Calibri" w:hAnsi="Arial" w:cs="Arial"/>
                <w:b/>
                <w:u w:val="single"/>
              </w:rPr>
            </w:pPr>
          </w:p>
          <w:p w14:paraId="12D3ED7A" w14:textId="77777777" w:rsidR="002551C6" w:rsidRDefault="002551C6" w:rsidP="002551C6">
            <w:pPr>
              <w:jc w:val="center"/>
              <w:rPr>
                <w:rFonts w:ascii="Arial" w:eastAsia="Calibri" w:hAnsi="Arial" w:cs="Arial"/>
                <w:b/>
                <w:u w:val="single"/>
              </w:rPr>
            </w:pPr>
          </w:p>
          <w:p w14:paraId="5C5000E9" w14:textId="123261CB" w:rsidR="002551C6" w:rsidRDefault="0091630A" w:rsidP="002551C6">
            <w:pPr>
              <w:jc w:val="center"/>
              <w:rPr>
                <w:rFonts w:ascii="Arial" w:eastAsia="Calibri" w:hAnsi="Arial" w:cs="Arial"/>
                <w:b/>
                <w:u w:val="single"/>
              </w:rPr>
            </w:pPr>
            <w:r>
              <w:rPr>
                <w:rFonts w:ascii="Arial" w:eastAsia="Calibri" w:hAnsi="Arial" w:cs="Arial"/>
                <w:b/>
                <w:u w:val="single"/>
              </w:rPr>
              <w:t>96.63</w:t>
            </w:r>
            <w:r w:rsidR="002551C6">
              <w:rPr>
                <w:rFonts w:ascii="Arial" w:eastAsia="Calibri" w:hAnsi="Arial" w:cs="Arial"/>
                <w:b/>
                <w:u w:val="single"/>
              </w:rPr>
              <w:t>%</w:t>
            </w:r>
          </w:p>
          <w:p w14:paraId="043FCD1B" w14:textId="786F3737" w:rsidR="002551C6" w:rsidRDefault="0091630A" w:rsidP="002551C6">
            <w:pPr>
              <w:jc w:val="center"/>
              <w:rPr>
                <w:rFonts w:ascii="Arial" w:eastAsia="Calibri" w:hAnsi="Arial" w:cs="Arial"/>
                <w:b/>
                <w:u w:val="single"/>
              </w:rPr>
            </w:pPr>
            <w:r>
              <w:rPr>
                <w:rFonts w:ascii="Arial" w:eastAsia="Calibri" w:hAnsi="Arial" w:cs="Arial"/>
                <w:b/>
                <w:u w:val="single"/>
              </w:rPr>
              <w:t>91.84</w:t>
            </w:r>
            <w:r w:rsidR="002551C6">
              <w:rPr>
                <w:rFonts w:ascii="Arial" w:eastAsia="Calibri" w:hAnsi="Arial" w:cs="Arial"/>
                <w:b/>
                <w:u w:val="single"/>
              </w:rPr>
              <w:t>%</w:t>
            </w:r>
          </w:p>
          <w:p w14:paraId="469F92AB" w14:textId="7EC16F9C" w:rsidR="002551C6" w:rsidRPr="006B5E9C" w:rsidRDefault="0091630A" w:rsidP="002551C6">
            <w:pPr>
              <w:jc w:val="center"/>
              <w:rPr>
                <w:rFonts w:ascii="Arial" w:eastAsia="Calibri" w:hAnsi="Arial" w:cs="Arial"/>
                <w:b/>
                <w:u w:val="single"/>
              </w:rPr>
            </w:pPr>
            <w:r>
              <w:rPr>
                <w:rFonts w:ascii="Arial" w:eastAsia="Calibri" w:hAnsi="Arial" w:cs="Arial"/>
                <w:b/>
                <w:u w:val="single"/>
              </w:rPr>
              <w:lastRenderedPageBreak/>
              <w:t>93.34</w:t>
            </w:r>
            <w:r w:rsidR="002551C6">
              <w:rPr>
                <w:rFonts w:ascii="Arial" w:eastAsia="Calibri" w:hAnsi="Arial" w:cs="Arial"/>
                <w:b/>
                <w:u w:val="single"/>
              </w:rPr>
              <w:t>%</w:t>
            </w:r>
          </w:p>
        </w:tc>
        <w:tc>
          <w:tcPr>
            <w:tcW w:w="2042" w:type="dxa"/>
          </w:tcPr>
          <w:p w14:paraId="7A68F956" w14:textId="77777777" w:rsidR="002551C6" w:rsidRDefault="002551C6" w:rsidP="002551C6">
            <w:pPr>
              <w:jc w:val="center"/>
              <w:rPr>
                <w:rFonts w:ascii="Arial" w:eastAsia="Calibri" w:hAnsi="Arial" w:cs="Arial"/>
                <w:b/>
                <w:u w:val="single"/>
              </w:rPr>
            </w:pPr>
          </w:p>
          <w:p w14:paraId="28325B5E" w14:textId="77777777" w:rsidR="002551C6" w:rsidRDefault="002551C6" w:rsidP="002551C6">
            <w:pPr>
              <w:jc w:val="center"/>
              <w:rPr>
                <w:rFonts w:ascii="Arial" w:eastAsia="Calibri" w:hAnsi="Arial" w:cs="Arial"/>
                <w:b/>
                <w:u w:val="single"/>
              </w:rPr>
            </w:pPr>
          </w:p>
          <w:p w14:paraId="588D0A12" w14:textId="77777777" w:rsidR="002551C6" w:rsidRDefault="002551C6" w:rsidP="002551C6">
            <w:pPr>
              <w:jc w:val="center"/>
              <w:rPr>
                <w:rFonts w:ascii="Arial" w:eastAsia="Calibri" w:hAnsi="Arial" w:cs="Arial"/>
                <w:b/>
                <w:u w:val="single"/>
              </w:rPr>
            </w:pPr>
          </w:p>
          <w:p w14:paraId="2EE7FA32" w14:textId="536AE8D2" w:rsidR="002551C6" w:rsidRDefault="007064C9" w:rsidP="002551C6">
            <w:pPr>
              <w:jc w:val="center"/>
              <w:rPr>
                <w:rFonts w:ascii="Arial" w:eastAsia="Calibri" w:hAnsi="Arial" w:cs="Arial"/>
                <w:b/>
                <w:u w:val="single"/>
              </w:rPr>
            </w:pPr>
            <w:r>
              <w:rPr>
                <w:rFonts w:ascii="Arial" w:eastAsia="Calibri" w:hAnsi="Arial" w:cs="Arial"/>
                <w:b/>
                <w:u w:val="single"/>
              </w:rPr>
              <w:t>9</w:t>
            </w:r>
            <w:r w:rsidR="0091630A">
              <w:rPr>
                <w:rFonts w:ascii="Arial" w:eastAsia="Calibri" w:hAnsi="Arial" w:cs="Arial"/>
                <w:b/>
                <w:u w:val="single"/>
              </w:rPr>
              <w:t>6.61</w:t>
            </w:r>
            <w:r w:rsidR="002551C6">
              <w:rPr>
                <w:rFonts w:ascii="Arial" w:eastAsia="Calibri" w:hAnsi="Arial" w:cs="Arial"/>
                <w:b/>
                <w:u w:val="single"/>
              </w:rPr>
              <w:t>%</w:t>
            </w:r>
          </w:p>
          <w:p w14:paraId="147609DD" w14:textId="2963DC60" w:rsidR="002551C6" w:rsidRDefault="0091630A" w:rsidP="002551C6">
            <w:pPr>
              <w:jc w:val="center"/>
              <w:rPr>
                <w:rFonts w:ascii="Arial" w:eastAsia="Calibri" w:hAnsi="Arial" w:cs="Arial"/>
                <w:b/>
                <w:u w:val="single"/>
              </w:rPr>
            </w:pPr>
            <w:r>
              <w:rPr>
                <w:rFonts w:ascii="Arial" w:eastAsia="Calibri" w:hAnsi="Arial" w:cs="Arial"/>
                <w:b/>
                <w:u w:val="single"/>
              </w:rPr>
              <w:t>91.83</w:t>
            </w:r>
            <w:r w:rsidR="002551C6">
              <w:rPr>
                <w:rFonts w:ascii="Arial" w:eastAsia="Calibri" w:hAnsi="Arial" w:cs="Arial"/>
                <w:b/>
                <w:u w:val="single"/>
              </w:rPr>
              <w:t>%</w:t>
            </w:r>
          </w:p>
          <w:p w14:paraId="72CA769F" w14:textId="62894C6D" w:rsidR="002551C6" w:rsidRPr="006B5E9C" w:rsidRDefault="0091630A" w:rsidP="002551C6">
            <w:pPr>
              <w:jc w:val="center"/>
              <w:rPr>
                <w:rFonts w:ascii="Arial" w:eastAsia="Calibri" w:hAnsi="Arial" w:cs="Arial"/>
                <w:b/>
                <w:u w:val="single"/>
              </w:rPr>
            </w:pPr>
            <w:r>
              <w:rPr>
                <w:rFonts w:ascii="Arial" w:eastAsia="Calibri" w:hAnsi="Arial" w:cs="Arial"/>
                <w:b/>
                <w:u w:val="single"/>
              </w:rPr>
              <w:lastRenderedPageBreak/>
              <w:t>93.33</w:t>
            </w:r>
            <w:r w:rsidR="002551C6">
              <w:rPr>
                <w:rFonts w:ascii="Arial" w:eastAsia="Calibri" w:hAnsi="Arial" w:cs="Arial"/>
                <w:b/>
                <w:u w:val="single"/>
              </w:rPr>
              <w:t>%</w:t>
            </w:r>
          </w:p>
        </w:tc>
      </w:tr>
      <w:tr w:rsidR="002551C6" w:rsidRPr="004B1294" w14:paraId="772BD049" w14:textId="77777777" w:rsidTr="00042E94">
        <w:tc>
          <w:tcPr>
            <w:tcW w:w="1550" w:type="dxa"/>
          </w:tcPr>
          <w:p w14:paraId="735FAE45" w14:textId="22F79B31" w:rsidR="002551C6" w:rsidRPr="006B5E9C" w:rsidRDefault="00DB0C5D" w:rsidP="002551C6">
            <w:pPr>
              <w:jc w:val="center"/>
              <w:rPr>
                <w:rFonts w:ascii="Arial" w:hAnsi="Arial" w:cs="Arial"/>
                <w:b/>
              </w:rPr>
            </w:pPr>
            <w:r>
              <w:rPr>
                <w:rFonts w:ascii="Arial" w:hAnsi="Arial" w:cs="Arial"/>
                <w:b/>
              </w:rPr>
              <w:lastRenderedPageBreak/>
              <w:t>12</w:t>
            </w:r>
          </w:p>
        </w:tc>
        <w:tc>
          <w:tcPr>
            <w:tcW w:w="3255" w:type="dxa"/>
          </w:tcPr>
          <w:p w14:paraId="5620AD30" w14:textId="77777777" w:rsidR="002551C6" w:rsidRDefault="00DB0C5D" w:rsidP="002551C6">
            <w:pPr>
              <w:jc w:val="both"/>
              <w:rPr>
                <w:rFonts w:ascii="Arial" w:hAnsi="Arial" w:cs="Arial"/>
                <w:b/>
                <w:lang w:val="es-MX"/>
              </w:rPr>
            </w:pPr>
            <w:r w:rsidRPr="00DB0C5D">
              <w:rPr>
                <w:rFonts w:ascii="Arial" w:hAnsi="Arial" w:cs="Arial"/>
                <w:b/>
                <w:lang w:val="es-MX"/>
              </w:rPr>
              <w:t>FONDO DE PREVISIÓN SOCIAL DEL CONGRESO DE LA REPÚBLICA – ADMINISTRADORA DE PENSIONES Y CESANTÍAS – FONPRECON.</w:t>
            </w:r>
          </w:p>
          <w:p w14:paraId="40A3E3F6" w14:textId="77777777" w:rsidR="00DB0C5D" w:rsidRDefault="00DB0C5D" w:rsidP="002551C6">
            <w:pPr>
              <w:jc w:val="both"/>
              <w:rPr>
                <w:rFonts w:ascii="Arial" w:hAnsi="Arial" w:cs="Arial"/>
                <w:b/>
                <w:lang w:val="es-MX"/>
              </w:rPr>
            </w:pPr>
          </w:p>
          <w:p w14:paraId="34837622" w14:textId="77777777" w:rsidR="00DB0C5D" w:rsidRDefault="00DB0C5D" w:rsidP="002551C6">
            <w:pPr>
              <w:jc w:val="both"/>
              <w:rPr>
                <w:rFonts w:ascii="Arial" w:hAnsi="Arial" w:cs="Arial"/>
                <w:b/>
                <w:lang w:val="es-MX"/>
              </w:rPr>
            </w:pPr>
            <w:r>
              <w:rPr>
                <w:rFonts w:ascii="Arial" w:hAnsi="Arial" w:cs="Arial"/>
                <w:b/>
                <w:lang w:val="es-MX"/>
              </w:rPr>
              <w:t>FUNCIONAMIENTO</w:t>
            </w:r>
          </w:p>
          <w:p w14:paraId="0BF166D8" w14:textId="77777777" w:rsidR="00DB0C5D" w:rsidRDefault="00DB0C5D" w:rsidP="002551C6">
            <w:pPr>
              <w:jc w:val="both"/>
              <w:rPr>
                <w:rFonts w:ascii="Arial" w:hAnsi="Arial" w:cs="Arial"/>
                <w:b/>
                <w:lang w:val="es-MX"/>
              </w:rPr>
            </w:pPr>
            <w:r>
              <w:rPr>
                <w:rFonts w:ascii="Arial" w:hAnsi="Arial" w:cs="Arial"/>
                <w:b/>
                <w:lang w:val="es-MX"/>
              </w:rPr>
              <w:t>INVERSIÓN</w:t>
            </w:r>
          </w:p>
          <w:p w14:paraId="60C777BC" w14:textId="77777777" w:rsidR="00DB0C5D" w:rsidRDefault="00DB0C5D" w:rsidP="002551C6">
            <w:pPr>
              <w:jc w:val="both"/>
              <w:rPr>
                <w:rFonts w:ascii="Arial" w:hAnsi="Arial" w:cs="Arial"/>
                <w:b/>
                <w:lang w:val="es-MX"/>
              </w:rPr>
            </w:pPr>
          </w:p>
          <w:p w14:paraId="38AD8A46" w14:textId="26292ACA" w:rsidR="00DB0C5D" w:rsidRPr="00DB0C5D" w:rsidRDefault="00DB0C5D" w:rsidP="002551C6">
            <w:pPr>
              <w:jc w:val="both"/>
              <w:rPr>
                <w:rFonts w:ascii="Arial" w:hAnsi="Arial" w:cs="Arial"/>
                <w:b/>
                <w:lang w:val="es-MX"/>
              </w:rPr>
            </w:pPr>
            <w:r>
              <w:rPr>
                <w:rFonts w:ascii="Arial" w:hAnsi="Arial" w:cs="Arial"/>
                <w:b/>
                <w:lang w:val="es-MX"/>
              </w:rPr>
              <w:t>TOTAL PRESUPUESTO</w:t>
            </w:r>
          </w:p>
        </w:tc>
        <w:tc>
          <w:tcPr>
            <w:tcW w:w="1839" w:type="dxa"/>
          </w:tcPr>
          <w:p w14:paraId="0B8ED45B" w14:textId="77777777" w:rsidR="002551C6" w:rsidRDefault="002551C6" w:rsidP="002551C6">
            <w:pPr>
              <w:jc w:val="center"/>
              <w:rPr>
                <w:rFonts w:ascii="Arial" w:eastAsia="Calibri" w:hAnsi="Arial" w:cs="Arial"/>
                <w:b/>
                <w:u w:val="single"/>
              </w:rPr>
            </w:pPr>
          </w:p>
          <w:p w14:paraId="0DF6CD41" w14:textId="77777777" w:rsidR="00DB0C5D" w:rsidRDefault="00DB0C5D" w:rsidP="002551C6">
            <w:pPr>
              <w:jc w:val="center"/>
              <w:rPr>
                <w:rFonts w:ascii="Arial" w:eastAsia="Calibri" w:hAnsi="Arial" w:cs="Arial"/>
                <w:b/>
                <w:u w:val="single"/>
              </w:rPr>
            </w:pPr>
          </w:p>
          <w:p w14:paraId="68F1B0F0" w14:textId="77777777" w:rsidR="00DB0C5D" w:rsidRDefault="00DB0C5D" w:rsidP="002551C6">
            <w:pPr>
              <w:jc w:val="center"/>
              <w:rPr>
                <w:rFonts w:ascii="Arial" w:eastAsia="Calibri" w:hAnsi="Arial" w:cs="Arial"/>
                <w:b/>
                <w:u w:val="single"/>
              </w:rPr>
            </w:pPr>
          </w:p>
          <w:p w14:paraId="613AC76D" w14:textId="77777777" w:rsidR="00DB0C5D" w:rsidRDefault="00DB0C5D" w:rsidP="002551C6">
            <w:pPr>
              <w:jc w:val="center"/>
              <w:rPr>
                <w:rFonts w:ascii="Arial" w:eastAsia="Calibri" w:hAnsi="Arial" w:cs="Arial"/>
                <w:b/>
                <w:u w:val="single"/>
              </w:rPr>
            </w:pPr>
          </w:p>
          <w:p w14:paraId="01F067C4" w14:textId="77777777" w:rsidR="00DB0C5D" w:rsidRDefault="00DB0C5D" w:rsidP="002551C6">
            <w:pPr>
              <w:jc w:val="center"/>
              <w:rPr>
                <w:rFonts w:ascii="Arial" w:eastAsia="Calibri" w:hAnsi="Arial" w:cs="Arial"/>
                <w:b/>
                <w:u w:val="single"/>
              </w:rPr>
            </w:pPr>
          </w:p>
          <w:p w14:paraId="1088C92D" w14:textId="77777777" w:rsidR="00DB0C5D" w:rsidRDefault="00DB0C5D" w:rsidP="002551C6">
            <w:pPr>
              <w:jc w:val="center"/>
              <w:rPr>
                <w:rFonts w:ascii="Arial" w:eastAsia="Calibri" w:hAnsi="Arial" w:cs="Arial"/>
                <w:b/>
                <w:u w:val="single"/>
              </w:rPr>
            </w:pPr>
          </w:p>
          <w:p w14:paraId="4442FD83" w14:textId="77777777" w:rsidR="00DB0C5D" w:rsidRDefault="00DB0C5D" w:rsidP="002551C6">
            <w:pPr>
              <w:jc w:val="center"/>
              <w:rPr>
                <w:rFonts w:ascii="Arial" w:eastAsia="Calibri" w:hAnsi="Arial" w:cs="Arial"/>
                <w:b/>
                <w:u w:val="single"/>
              </w:rPr>
            </w:pPr>
          </w:p>
          <w:p w14:paraId="7A3F63C6" w14:textId="72683B6D" w:rsidR="00DB0C5D" w:rsidRDefault="00FC4C2B" w:rsidP="002551C6">
            <w:pPr>
              <w:jc w:val="center"/>
              <w:rPr>
                <w:rFonts w:ascii="Arial" w:eastAsia="Calibri" w:hAnsi="Arial" w:cs="Arial"/>
                <w:b/>
                <w:u w:val="single"/>
              </w:rPr>
            </w:pPr>
            <w:r>
              <w:rPr>
                <w:rFonts w:ascii="Arial" w:eastAsia="Calibri" w:hAnsi="Arial" w:cs="Arial"/>
                <w:b/>
                <w:u w:val="single"/>
              </w:rPr>
              <w:t>98.43%</w:t>
            </w:r>
          </w:p>
          <w:p w14:paraId="679FF97B" w14:textId="23BCB85D" w:rsidR="00FC4C2B" w:rsidRDefault="00FC4C2B" w:rsidP="002551C6">
            <w:pPr>
              <w:jc w:val="center"/>
              <w:rPr>
                <w:rFonts w:ascii="Arial" w:eastAsia="Calibri" w:hAnsi="Arial" w:cs="Arial"/>
                <w:b/>
                <w:u w:val="single"/>
              </w:rPr>
            </w:pPr>
            <w:r>
              <w:rPr>
                <w:rFonts w:ascii="Arial" w:eastAsia="Calibri" w:hAnsi="Arial" w:cs="Arial"/>
                <w:b/>
                <w:u w:val="single"/>
              </w:rPr>
              <w:t>97.67%</w:t>
            </w:r>
          </w:p>
          <w:p w14:paraId="5AC85664" w14:textId="77777777" w:rsidR="00FC4C2B" w:rsidRDefault="00FC4C2B" w:rsidP="002551C6">
            <w:pPr>
              <w:jc w:val="center"/>
              <w:rPr>
                <w:rFonts w:ascii="Arial" w:eastAsia="Calibri" w:hAnsi="Arial" w:cs="Arial"/>
                <w:b/>
                <w:u w:val="single"/>
              </w:rPr>
            </w:pPr>
          </w:p>
          <w:p w14:paraId="749E66FC" w14:textId="64141B4D" w:rsidR="00FC4C2B" w:rsidRPr="006B5E9C" w:rsidRDefault="00FC4C2B" w:rsidP="002551C6">
            <w:pPr>
              <w:jc w:val="center"/>
              <w:rPr>
                <w:rFonts w:ascii="Arial" w:eastAsia="Calibri" w:hAnsi="Arial" w:cs="Arial"/>
                <w:b/>
                <w:u w:val="single"/>
              </w:rPr>
            </w:pPr>
            <w:r>
              <w:rPr>
                <w:rFonts w:ascii="Arial" w:eastAsia="Calibri" w:hAnsi="Arial" w:cs="Arial"/>
                <w:b/>
                <w:u w:val="single"/>
              </w:rPr>
              <w:t>98.42%</w:t>
            </w:r>
          </w:p>
        </w:tc>
        <w:tc>
          <w:tcPr>
            <w:tcW w:w="1804" w:type="dxa"/>
          </w:tcPr>
          <w:p w14:paraId="18B02015" w14:textId="77777777" w:rsidR="002551C6" w:rsidRDefault="002551C6" w:rsidP="002551C6">
            <w:pPr>
              <w:jc w:val="center"/>
              <w:rPr>
                <w:rFonts w:ascii="Arial" w:eastAsia="Calibri" w:hAnsi="Arial" w:cs="Arial"/>
                <w:b/>
                <w:u w:val="single"/>
              </w:rPr>
            </w:pPr>
          </w:p>
          <w:p w14:paraId="17F6E42F" w14:textId="77777777" w:rsidR="00DB0C5D" w:rsidRDefault="00DB0C5D" w:rsidP="002551C6">
            <w:pPr>
              <w:jc w:val="center"/>
              <w:rPr>
                <w:rFonts w:ascii="Arial" w:eastAsia="Calibri" w:hAnsi="Arial" w:cs="Arial"/>
                <w:b/>
                <w:u w:val="single"/>
              </w:rPr>
            </w:pPr>
          </w:p>
          <w:p w14:paraId="15BCD9B9" w14:textId="77777777" w:rsidR="00DB0C5D" w:rsidRDefault="00DB0C5D" w:rsidP="002551C6">
            <w:pPr>
              <w:jc w:val="center"/>
              <w:rPr>
                <w:rFonts w:ascii="Arial" w:eastAsia="Calibri" w:hAnsi="Arial" w:cs="Arial"/>
                <w:b/>
                <w:u w:val="single"/>
              </w:rPr>
            </w:pPr>
          </w:p>
          <w:p w14:paraId="5C0C373F" w14:textId="77777777" w:rsidR="00DB0C5D" w:rsidRDefault="00DB0C5D" w:rsidP="002551C6">
            <w:pPr>
              <w:jc w:val="center"/>
              <w:rPr>
                <w:rFonts w:ascii="Arial" w:eastAsia="Calibri" w:hAnsi="Arial" w:cs="Arial"/>
                <w:b/>
                <w:u w:val="single"/>
              </w:rPr>
            </w:pPr>
          </w:p>
          <w:p w14:paraId="1704E480" w14:textId="77777777" w:rsidR="00DB0C5D" w:rsidRDefault="00DB0C5D" w:rsidP="002551C6">
            <w:pPr>
              <w:jc w:val="center"/>
              <w:rPr>
                <w:rFonts w:ascii="Arial" w:eastAsia="Calibri" w:hAnsi="Arial" w:cs="Arial"/>
                <w:b/>
                <w:u w:val="single"/>
              </w:rPr>
            </w:pPr>
          </w:p>
          <w:p w14:paraId="7DF5F6DE" w14:textId="77777777" w:rsidR="00DB0C5D" w:rsidRDefault="00DB0C5D" w:rsidP="002551C6">
            <w:pPr>
              <w:jc w:val="center"/>
              <w:rPr>
                <w:rFonts w:ascii="Arial" w:eastAsia="Calibri" w:hAnsi="Arial" w:cs="Arial"/>
                <w:b/>
                <w:u w:val="single"/>
              </w:rPr>
            </w:pPr>
          </w:p>
          <w:p w14:paraId="5D0D36C1" w14:textId="77777777" w:rsidR="00DB0C5D" w:rsidRDefault="00DB0C5D" w:rsidP="002551C6">
            <w:pPr>
              <w:jc w:val="center"/>
              <w:rPr>
                <w:rFonts w:ascii="Arial" w:eastAsia="Calibri" w:hAnsi="Arial" w:cs="Arial"/>
                <w:b/>
                <w:u w:val="single"/>
              </w:rPr>
            </w:pPr>
          </w:p>
          <w:p w14:paraId="6AE72BD5" w14:textId="77777777" w:rsidR="00DB0C5D" w:rsidRDefault="00FC4C2B" w:rsidP="002551C6">
            <w:pPr>
              <w:jc w:val="center"/>
              <w:rPr>
                <w:rFonts w:ascii="Arial" w:eastAsia="Calibri" w:hAnsi="Arial" w:cs="Arial"/>
                <w:b/>
                <w:u w:val="single"/>
              </w:rPr>
            </w:pPr>
            <w:r>
              <w:rPr>
                <w:rFonts w:ascii="Arial" w:eastAsia="Calibri" w:hAnsi="Arial" w:cs="Arial"/>
                <w:b/>
                <w:u w:val="single"/>
              </w:rPr>
              <w:t>98.41%</w:t>
            </w:r>
          </w:p>
          <w:p w14:paraId="15D49451" w14:textId="77777777" w:rsidR="00FC4C2B" w:rsidRDefault="00FC4C2B" w:rsidP="002551C6">
            <w:pPr>
              <w:jc w:val="center"/>
              <w:rPr>
                <w:rFonts w:ascii="Arial" w:eastAsia="Calibri" w:hAnsi="Arial" w:cs="Arial"/>
                <w:b/>
                <w:u w:val="single"/>
              </w:rPr>
            </w:pPr>
            <w:r>
              <w:rPr>
                <w:rFonts w:ascii="Arial" w:eastAsia="Calibri" w:hAnsi="Arial" w:cs="Arial"/>
                <w:b/>
                <w:u w:val="single"/>
              </w:rPr>
              <w:t>66.35%</w:t>
            </w:r>
          </w:p>
          <w:p w14:paraId="2558F3C1" w14:textId="77777777" w:rsidR="00FC4C2B" w:rsidRDefault="00FC4C2B" w:rsidP="002551C6">
            <w:pPr>
              <w:jc w:val="center"/>
              <w:rPr>
                <w:rFonts w:ascii="Arial" w:eastAsia="Calibri" w:hAnsi="Arial" w:cs="Arial"/>
                <w:b/>
                <w:u w:val="single"/>
              </w:rPr>
            </w:pPr>
          </w:p>
          <w:p w14:paraId="7BE1BD4A" w14:textId="777645E8" w:rsidR="00FC4C2B" w:rsidRPr="006B5E9C" w:rsidRDefault="00FC4C2B" w:rsidP="002551C6">
            <w:pPr>
              <w:jc w:val="center"/>
              <w:rPr>
                <w:rFonts w:ascii="Arial" w:eastAsia="Calibri" w:hAnsi="Arial" w:cs="Arial"/>
                <w:b/>
                <w:u w:val="single"/>
              </w:rPr>
            </w:pPr>
            <w:r>
              <w:rPr>
                <w:rFonts w:ascii="Arial" w:eastAsia="Calibri" w:hAnsi="Arial" w:cs="Arial"/>
                <w:b/>
                <w:u w:val="single"/>
              </w:rPr>
              <w:t>98.39%</w:t>
            </w:r>
          </w:p>
        </w:tc>
        <w:tc>
          <w:tcPr>
            <w:tcW w:w="2042" w:type="dxa"/>
          </w:tcPr>
          <w:p w14:paraId="4A4611DE" w14:textId="77777777" w:rsidR="002551C6" w:rsidRDefault="002551C6" w:rsidP="002551C6">
            <w:pPr>
              <w:jc w:val="center"/>
              <w:rPr>
                <w:rFonts w:ascii="Arial" w:eastAsia="Calibri" w:hAnsi="Arial" w:cs="Arial"/>
                <w:b/>
                <w:u w:val="single"/>
              </w:rPr>
            </w:pPr>
          </w:p>
          <w:p w14:paraId="0F2F5D36" w14:textId="77777777" w:rsidR="00DB0C5D" w:rsidRDefault="00DB0C5D" w:rsidP="002551C6">
            <w:pPr>
              <w:jc w:val="center"/>
              <w:rPr>
                <w:rFonts w:ascii="Arial" w:eastAsia="Calibri" w:hAnsi="Arial" w:cs="Arial"/>
                <w:b/>
                <w:u w:val="single"/>
              </w:rPr>
            </w:pPr>
          </w:p>
          <w:p w14:paraId="5242443B" w14:textId="77777777" w:rsidR="00DB0C5D" w:rsidRDefault="00DB0C5D" w:rsidP="002551C6">
            <w:pPr>
              <w:jc w:val="center"/>
              <w:rPr>
                <w:rFonts w:ascii="Arial" w:eastAsia="Calibri" w:hAnsi="Arial" w:cs="Arial"/>
                <w:b/>
                <w:u w:val="single"/>
              </w:rPr>
            </w:pPr>
          </w:p>
          <w:p w14:paraId="684C022B" w14:textId="77777777" w:rsidR="00DB0C5D" w:rsidRDefault="00DB0C5D" w:rsidP="002551C6">
            <w:pPr>
              <w:jc w:val="center"/>
              <w:rPr>
                <w:rFonts w:ascii="Arial" w:eastAsia="Calibri" w:hAnsi="Arial" w:cs="Arial"/>
                <w:b/>
                <w:u w:val="single"/>
              </w:rPr>
            </w:pPr>
          </w:p>
          <w:p w14:paraId="517AE2B9" w14:textId="77777777" w:rsidR="00DB0C5D" w:rsidRDefault="00DB0C5D" w:rsidP="002551C6">
            <w:pPr>
              <w:jc w:val="center"/>
              <w:rPr>
                <w:rFonts w:ascii="Arial" w:eastAsia="Calibri" w:hAnsi="Arial" w:cs="Arial"/>
                <w:b/>
                <w:u w:val="single"/>
              </w:rPr>
            </w:pPr>
          </w:p>
          <w:p w14:paraId="4F88F04E" w14:textId="77777777" w:rsidR="00DB0C5D" w:rsidRDefault="00DB0C5D" w:rsidP="002551C6">
            <w:pPr>
              <w:jc w:val="center"/>
              <w:rPr>
                <w:rFonts w:ascii="Arial" w:eastAsia="Calibri" w:hAnsi="Arial" w:cs="Arial"/>
                <w:b/>
                <w:u w:val="single"/>
              </w:rPr>
            </w:pPr>
          </w:p>
          <w:p w14:paraId="3584071F" w14:textId="77777777" w:rsidR="00DB0C5D" w:rsidRDefault="00DB0C5D" w:rsidP="002551C6">
            <w:pPr>
              <w:jc w:val="center"/>
              <w:rPr>
                <w:rFonts w:ascii="Arial" w:eastAsia="Calibri" w:hAnsi="Arial" w:cs="Arial"/>
                <w:b/>
                <w:u w:val="single"/>
              </w:rPr>
            </w:pPr>
          </w:p>
          <w:p w14:paraId="46337EE7" w14:textId="77777777" w:rsidR="00DB0C5D" w:rsidRDefault="00FC4C2B" w:rsidP="002551C6">
            <w:pPr>
              <w:jc w:val="center"/>
              <w:rPr>
                <w:rFonts w:ascii="Arial" w:eastAsia="Calibri" w:hAnsi="Arial" w:cs="Arial"/>
                <w:b/>
                <w:u w:val="single"/>
              </w:rPr>
            </w:pPr>
            <w:r>
              <w:rPr>
                <w:rFonts w:ascii="Arial" w:eastAsia="Calibri" w:hAnsi="Arial" w:cs="Arial"/>
                <w:b/>
                <w:u w:val="single"/>
              </w:rPr>
              <w:t>98.36%</w:t>
            </w:r>
          </w:p>
          <w:p w14:paraId="7B19428D" w14:textId="77777777" w:rsidR="00FC4C2B" w:rsidRDefault="00FC4C2B" w:rsidP="002551C6">
            <w:pPr>
              <w:jc w:val="center"/>
              <w:rPr>
                <w:rFonts w:ascii="Arial" w:eastAsia="Calibri" w:hAnsi="Arial" w:cs="Arial"/>
                <w:b/>
                <w:u w:val="single"/>
              </w:rPr>
            </w:pPr>
            <w:r>
              <w:rPr>
                <w:rFonts w:ascii="Arial" w:eastAsia="Calibri" w:hAnsi="Arial" w:cs="Arial"/>
                <w:b/>
                <w:u w:val="single"/>
              </w:rPr>
              <w:t>66.35%</w:t>
            </w:r>
          </w:p>
          <w:p w14:paraId="111AA061" w14:textId="77777777" w:rsidR="00FC4C2B" w:rsidRDefault="00FC4C2B" w:rsidP="002551C6">
            <w:pPr>
              <w:jc w:val="center"/>
              <w:rPr>
                <w:rFonts w:ascii="Arial" w:eastAsia="Calibri" w:hAnsi="Arial" w:cs="Arial"/>
                <w:b/>
                <w:u w:val="single"/>
              </w:rPr>
            </w:pPr>
          </w:p>
          <w:p w14:paraId="1E27C7E1" w14:textId="56928D93" w:rsidR="00FC4C2B" w:rsidRPr="006B5E9C" w:rsidRDefault="00FC4C2B" w:rsidP="002551C6">
            <w:pPr>
              <w:jc w:val="center"/>
              <w:rPr>
                <w:rFonts w:ascii="Arial" w:eastAsia="Calibri" w:hAnsi="Arial" w:cs="Arial"/>
                <w:b/>
                <w:u w:val="single"/>
              </w:rPr>
            </w:pPr>
            <w:r>
              <w:rPr>
                <w:rFonts w:ascii="Arial" w:eastAsia="Calibri" w:hAnsi="Arial" w:cs="Arial"/>
                <w:b/>
                <w:u w:val="single"/>
              </w:rPr>
              <w:t>98.33%</w:t>
            </w:r>
          </w:p>
        </w:tc>
      </w:tr>
      <w:tr w:rsidR="002551C6" w:rsidRPr="004B1294" w14:paraId="5D15F1A9" w14:textId="77777777" w:rsidTr="00042E94">
        <w:tc>
          <w:tcPr>
            <w:tcW w:w="1550" w:type="dxa"/>
          </w:tcPr>
          <w:p w14:paraId="2F2E681B" w14:textId="47264676" w:rsidR="002551C6" w:rsidRPr="006B5E9C" w:rsidRDefault="0060106D" w:rsidP="002551C6">
            <w:pPr>
              <w:jc w:val="center"/>
              <w:rPr>
                <w:rFonts w:ascii="Arial" w:hAnsi="Arial" w:cs="Arial"/>
                <w:b/>
              </w:rPr>
            </w:pPr>
            <w:r>
              <w:rPr>
                <w:rFonts w:ascii="Arial" w:hAnsi="Arial" w:cs="Arial"/>
                <w:b/>
              </w:rPr>
              <w:t>17</w:t>
            </w:r>
          </w:p>
        </w:tc>
        <w:tc>
          <w:tcPr>
            <w:tcW w:w="3255" w:type="dxa"/>
          </w:tcPr>
          <w:p w14:paraId="3F120D29" w14:textId="098800A2" w:rsidR="0060106D" w:rsidRPr="0060106D" w:rsidRDefault="0060106D" w:rsidP="0060106D">
            <w:pPr>
              <w:jc w:val="both"/>
              <w:rPr>
                <w:rFonts w:ascii="Arial" w:hAnsi="Arial" w:cs="Arial"/>
                <w:b/>
                <w:lang w:val="es-MX"/>
              </w:rPr>
            </w:pPr>
            <w:r w:rsidRPr="0060106D">
              <w:rPr>
                <w:rFonts w:ascii="Arial" w:hAnsi="Arial" w:cs="Arial"/>
                <w:b/>
                <w:lang w:val="es-MX"/>
              </w:rPr>
              <w:t>SUPERINTENDENCIA DE INDUSTRIA Y COMERCIO.</w:t>
            </w:r>
          </w:p>
          <w:p w14:paraId="558C1666" w14:textId="77777777" w:rsidR="002551C6" w:rsidRDefault="002551C6" w:rsidP="002551C6">
            <w:pPr>
              <w:jc w:val="both"/>
              <w:rPr>
                <w:rFonts w:ascii="Arial" w:hAnsi="Arial" w:cs="Arial"/>
                <w:b/>
                <w:lang w:val="es-MX"/>
              </w:rPr>
            </w:pPr>
          </w:p>
          <w:p w14:paraId="36DB03DE" w14:textId="77777777" w:rsidR="0060106D" w:rsidRDefault="0060106D" w:rsidP="0060106D">
            <w:pPr>
              <w:jc w:val="both"/>
              <w:rPr>
                <w:rFonts w:ascii="Arial" w:hAnsi="Arial" w:cs="Arial"/>
                <w:b/>
                <w:lang w:val="es-MX"/>
              </w:rPr>
            </w:pPr>
            <w:r>
              <w:rPr>
                <w:rFonts w:ascii="Arial" w:hAnsi="Arial" w:cs="Arial"/>
                <w:b/>
                <w:lang w:val="es-MX"/>
              </w:rPr>
              <w:t>FUNCIONAMIENTO</w:t>
            </w:r>
          </w:p>
          <w:p w14:paraId="0B301AAB" w14:textId="77777777" w:rsidR="0060106D" w:rsidRDefault="0060106D" w:rsidP="0060106D">
            <w:pPr>
              <w:jc w:val="both"/>
              <w:rPr>
                <w:rFonts w:ascii="Arial" w:hAnsi="Arial" w:cs="Arial"/>
                <w:b/>
                <w:lang w:val="es-MX"/>
              </w:rPr>
            </w:pPr>
            <w:r>
              <w:rPr>
                <w:rFonts w:ascii="Arial" w:hAnsi="Arial" w:cs="Arial"/>
                <w:b/>
                <w:lang w:val="es-MX"/>
              </w:rPr>
              <w:t>INVERSIÓN</w:t>
            </w:r>
          </w:p>
          <w:p w14:paraId="4F7BBC61" w14:textId="77777777" w:rsidR="0060106D" w:rsidRDefault="0060106D" w:rsidP="0060106D">
            <w:pPr>
              <w:jc w:val="both"/>
              <w:rPr>
                <w:rFonts w:ascii="Arial" w:hAnsi="Arial" w:cs="Arial"/>
                <w:b/>
                <w:lang w:val="es-MX"/>
              </w:rPr>
            </w:pPr>
          </w:p>
          <w:p w14:paraId="225CAFF9" w14:textId="58F6C029" w:rsidR="0060106D" w:rsidRPr="006B5E9C" w:rsidRDefault="0060106D" w:rsidP="0060106D">
            <w:pPr>
              <w:jc w:val="both"/>
              <w:rPr>
                <w:rFonts w:ascii="Arial" w:hAnsi="Arial" w:cs="Arial"/>
                <w:b/>
                <w:lang w:val="es-MX"/>
              </w:rPr>
            </w:pPr>
            <w:r>
              <w:rPr>
                <w:rFonts w:ascii="Arial" w:hAnsi="Arial" w:cs="Arial"/>
                <w:b/>
                <w:lang w:val="es-MX"/>
              </w:rPr>
              <w:t>TOTAL PRESUPUESTO</w:t>
            </w:r>
          </w:p>
        </w:tc>
        <w:tc>
          <w:tcPr>
            <w:tcW w:w="1839" w:type="dxa"/>
          </w:tcPr>
          <w:p w14:paraId="096816A7" w14:textId="77777777" w:rsidR="002551C6" w:rsidRDefault="002551C6" w:rsidP="002551C6">
            <w:pPr>
              <w:jc w:val="center"/>
              <w:rPr>
                <w:rFonts w:ascii="Arial" w:eastAsia="Calibri" w:hAnsi="Arial" w:cs="Arial"/>
                <w:b/>
                <w:u w:val="single"/>
              </w:rPr>
            </w:pPr>
          </w:p>
          <w:p w14:paraId="35EA1A28" w14:textId="77777777" w:rsidR="0060106D" w:rsidRDefault="0060106D" w:rsidP="002551C6">
            <w:pPr>
              <w:jc w:val="center"/>
              <w:rPr>
                <w:rFonts w:ascii="Arial" w:eastAsia="Calibri" w:hAnsi="Arial" w:cs="Arial"/>
                <w:b/>
                <w:u w:val="single"/>
              </w:rPr>
            </w:pPr>
          </w:p>
          <w:p w14:paraId="4E0C6449" w14:textId="77777777" w:rsidR="0060106D" w:rsidRDefault="0060106D" w:rsidP="002551C6">
            <w:pPr>
              <w:jc w:val="center"/>
              <w:rPr>
                <w:rFonts w:ascii="Arial" w:eastAsia="Calibri" w:hAnsi="Arial" w:cs="Arial"/>
                <w:b/>
                <w:u w:val="single"/>
              </w:rPr>
            </w:pPr>
          </w:p>
          <w:p w14:paraId="042DE04D" w14:textId="77777777" w:rsidR="0060106D" w:rsidRDefault="0060106D" w:rsidP="002551C6">
            <w:pPr>
              <w:jc w:val="center"/>
              <w:rPr>
                <w:rFonts w:ascii="Arial" w:eastAsia="Calibri" w:hAnsi="Arial" w:cs="Arial"/>
                <w:b/>
                <w:u w:val="single"/>
              </w:rPr>
            </w:pPr>
            <w:r>
              <w:rPr>
                <w:rFonts w:ascii="Arial" w:eastAsia="Calibri" w:hAnsi="Arial" w:cs="Arial"/>
                <w:b/>
                <w:u w:val="single"/>
              </w:rPr>
              <w:t>83.00%</w:t>
            </w:r>
          </w:p>
          <w:p w14:paraId="52031A96" w14:textId="17147D1E" w:rsidR="0060106D" w:rsidRDefault="0060106D" w:rsidP="002551C6">
            <w:pPr>
              <w:jc w:val="center"/>
              <w:rPr>
                <w:rFonts w:ascii="Arial" w:eastAsia="Calibri" w:hAnsi="Arial" w:cs="Arial"/>
                <w:b/>
                <w:u w:val="single"/>
              </w:rPr>
            </w:pPr>
            <w:r>
              <w:rPr>
                <w:rFonts w:ascii="Arial" w:eastAsia="Calibri" w:hAnsi="Arial" w:cs="Arial"/>
                <w:b/>
                <w:u w:val="single"/>
              </w:rPr>
              <w:t>93.00%</w:t>
            </w:r>
          </w:p>
          <w:p w14:paraId="7FB84875" w14:textId="77777777" w:rsidR="0060106D" w:rsidRDefault="0060106D" w:rsidP="002551C6">
            <w:pPr>
              <w:jc w:val="center"/>
              <w:rPr>
                <w:rFonts w:ascii="Arial" w:eastAsia="Calibri" w:hAnsi="Arial" w:cs="Arial"/>
                <w:b/>
                <w:u w:val="single"/>
              </w:rPr>
            </w:pPr>
          </w:p>
          <w:p w14:paraId="58D7A6F7" w14:textId="37A605CB" w:rsidR="0060106D" w:rsidRPr="006B5E9C" w:rsidRDefault="0060106D" w:rsidP="0060106D">
            <w:pPr>
              <w:jc w:val="center"/>
              <w:rPr>
                <w:rFonts w:ascii="Arial" w:eastAsia="Calibri" w:hAnsi="Arial" w:cs="Arial"/>
                <w:b/>
                <w:u w:val="single"/>
              </w:rPr>
            </w:pPr>
            <w:r>
              <w:rPr>
                <w:rFonts w:ascii="Arial" w:eastAsia="Calibri" w:hAnsi="Arial" w:cs="Arial"/>
                <w:b/>
                <w:u w:val="single"/>
              </w:rPr>
              <w:t>87.00%</w:t>
            </w:r>
          </w:p>
        </w:tc>
        <w:tc>
          <w:tcPr>
            <w:tcW w:w="1804" w:type="dxa"/>
          </w:tcPr>
          <w:p w14:paraId="04EA79DB" w14:textId="77777777" w:rsidR="002551C6" w:rsidRDefault="002551C6" w:rsidP="002551C6">
            <w:pPr>
              <w:jc w:val="center"/>
              <w:rPr>
                <w:rFonts w:ascii="Arial" w:eastAsia="Calibri" w:hAnsi="Arial" w:cs="Arial"/>
                <w:b/>
                <w:u w:val="single"/>
              </w:rPr>
            </w:pPr>
          </w:p>
          <w:p w14:paraId="7A9B3EC0" w14:textId="77777777" w:rsidR="0060106D" w:rsidRDefault="0060106D" w:rsidP="002551C6">
            <w:pPr>
              <w:jc w:val="center"/>
              <w:rPr>
                <w:rFonts w:ascii="Arial" w:eastAsia="Calibri" w:hAnsi="Arial" w:cs="Arial"/>
                <w:b/>
                <w:u w:val="single"/>
              </w:rPr>
            </w:pPr>
          </w:p>
          <w:p w14:paraId="4C5A4303" w14:textId="77777777" w:rsidR="0060106D" w:rsidRDefault="0060106D" w:rsidP="002551C6">
            <w:pPr>
              <w:jc w:val="center"/>
              <w:rPr>
                <w:rFonts w:ascii="Arial" w:eastAsia="Calibri" w:hAnsi="Arial" w:cs="Arial"/>
                <w:b/>
                <w:u w:val="single"/>
              </w:rPr>
            </w:pPr>
          </w:p>
          <w:p w14:paraId="2C107E16" w14:textId="77777777" w:rsidR="0060106D" w:rsidRDefault="00B32007" w:rsidP="002551C6">
            <w:pPr>
              <w:jc w:val="center"/>
              <w:rPr>
                <w:rFonts w:ascii="Arial" w:eastAsia="Calibri" w:hAnsi="Arial" w:cs="Arial"/>
                <w:b/>
                <w:u w:val="single"/>
              </w:rPr>
            </w:pPr>
            <w:r>
              <w:rPr>
                <w:rFonts w:ascii="Arial" w:eastAsia="Calibri" w:hAnsi="Arial" w:cs="Arial"/>
                <w:b/>
                <w:u w:val="single"/>
              </w:rPr>
              <w:t>82.00%</w:t>
            </w:r>
          </w:p>
          <w:p w14:paraId="761414A2" w14:textId="77777777" w:rsidR="00B32007" w:rsidRDefault="00B32007" w:rsidP="002551C6">
            <w:pPr>
              <w:jc w:val="center"/>
              <w:rPr>
                <w:rFonts w:ascii="Arial" w:eastAsia="Calibri" w:hAnsi="Arial" w:cs="Arial"/>
                <w:b/>
                <w:u w:val="single"/>
              </w:rPr>
            </w:pPr>
            <w:r>
              <w:rPr>
                <w:rFonts w:ascii="Arial" w:eastAsia="Calibri" w:hAnsi="Arial" w:cs="Arial"/>
                <w:b/>
                <w:u w:val="single"/>
              </w:rPr>
              <w:t>90.00%</w:t>
            </w:r>
          </w:p>
          <w:p w14:paraId="73EDB25E" w14:textId="77777777" w:rsidR="00B32007" w:rsidRDefault="00B32007" w:rsidP="002551C6">
            <w:pPr>
              <w:jc w:val="center"/>
              <w:rPr>
                <w:rFonts w:ascii="Arial" w:eastAsia="Calibri" w:hAnsi="Arial" w:cs="Arial"/>
                <w:b/>
                <w:u w:val="single"/>
              </w:rPr>
            </w:pPr>
          </w:p>
          <w:p w14:paraId="642D44D2" w14:textId="7ACBDD77" w:rsidR="00B32007" w:rsidRPr="006B5E9C" w:rsidRDefault="00B32007" w:rsidP="002551C6">
            <w:pPr>
              <w:jc w:val="center"/>
              <w:rPr>
                <w:rFonts w:ascii="Arial" w:eastAsia="Calibri" w:hAnsi="Arial" w:cs="Arial"/>
                <w:b/>
                <w:u w:val="single"/>
              </w:rPr>
            </w:pPr>
            <w:r>
              <w:rPr>
                <w:rFonts w:ascii="Arial" w:eastAsia="Calibri" w:hAnsi="Arial" w:cs="Arial"/>
                <w:b/>
                <w:u w:val="single"/>
              </w:rPr>
              <w:t>85.00%</w:t>
            </w:r>
          </w:p>
        </w:tc>
        <w:tc>
          <w:tcPr>
            <w:tcW w:w="2042" w:type="dxa"/>
          </w:tcPr>
          <w:p w14:paraId="7C354C89" w14:textId="77777777" w:rsidR="002551C6" w:rsidRDefault="002551C6" w:rsidP="002551C6">
            <w:pPr>
              <w:jc w:val="center"/>
              <w:rPr>
                <w:rFonts w:ascii="Arial" w:eastAsia="Calibri" w:hAnsi="Arial" w:cs="Arial"/>
                <w:b/>
                <w:u w:val="single"/>
              </w:rPr>
            </w:pPr>
          </w:p>
          <w:p w14:paraId="008D5998" w14:textId="77777777" w:rsidR="0060106D" w:rsidRDefault="0060106D" w:rsidP="002551C6">
            <w:pPr>
              <w:jc w:val="center"/>
              <w:rPr>
                <w:rFonts w:ascii="Arial" w:eastAsia="Calibri" w:hAnsi="Arial" w:cs="Arial"/>
                <w:b/>
                <w:u w:val="single"/>
              </w:rPr>
            </w:pPr>
          </w:p>
          <w:p w14:paraId="6B8ED491" w14:textId="77777777" w:rsidR="0060106D" w:rsidRDefault="0060106D" w:rsidP="002551C6">
            <w:pPr>
              <w:jc w:val="center"/>
              <w:rPr>
                <w:rFonts w:ascii="Arial" w:eastAsia="Calibri" w:hAnsi="Arial" w:cs="Arial"/>
                <w:b/>
                <w:u w:val="single"/>
              </w:rPr>
            </w:pPr>
          </w:p>
          <w:p w14:paraId="6FE33090" w14:textId="77777777" w:rsidR="0060106D" w:rsidRDefault="00B32007" w:rsidP="002551C6">
            <w:pPr>
              <w:jc w:val="center"/>
              <w:rPr>
                <w:rFonts w:ascii="Arial" w:eastAsia="Calibri" w:hAnsi="Arial" w:cs="Arial"/>
                <w:b/>
                <w:u w:val="single"/>
              </w:rPr>
            </w:pPr>
            <w:r>
              <w:rPr>
                <w:rFonts w:ascii="Arial" w:eastAsia="Calibri" w:hAnsi="Arial" w:cs="Arial"/>
                <w:b/>
                <w:u w:val="single"/>
              </w:rPr>
              <w:t>78.00%</w:t>
            </w:r>
          </w:p>
          <w:p w14:paraId="5DCC4B79" w14:textId="77777777" w:rsidR="00B32007" w:rsidRDefault="00B32007" w:rsidP="002551C6">
            <w:pPr>
              <w:jc w:val="center"/>
              <w:rPr>
                <w:rFonts w:ascii="Arial" w:eastAsia="Calibri" w:hAnsi="Arial" w:cs="Arial"/>
                <w:b/>
                <w:u w:val="single"/>
              </w:rPr>
            </w:pPr>
            <w:r>
              <w:rPr>
                <w:rFonts w:ascii="Arial" w:eastAsia="Calibri" w:hAnsi="Arial" w:cs="Arial"/>
                <w:b/>
                <w:u w:val="single"/>
              </w:rPr>
              <w:t>84.00%</w:t>
            </w:r>
          </w:p>
          <w:p w14:paraId="7DC1E6C7" w14:textId="77777777" w:rsidR="00B32007" w:rsidRDefault="00B32007" w:rsidP="002551C6">
            <w:pPr>
              <w:jc w:val="center"/>
              <w:rPr>
                <w:rFonts w:ascii="Arial" w:eastAsia="Calibri" w:hAnsi="Arial" w:cs="Arial"/>
                <w:b/>
                <w:u w:val="single"/>
              </w:rPr>
            </w:pPr>
          </w:p>
          <w:p w14:paraId="37B60621" w14:textId="2B6EB56B" w:rsidR="00B32007" w:rsidRPr="006B5E9C" w:rsidRDefault="00B32007" w:rsidP="002551C6">
            <w:pPr>
              <w:jc w:val="center"/>
              <w:rPr>
                <w:rFonts w:ascii="Arial" w:eastAsia="Calibri" w:hAnsi="Arial" w:cs="Arial"/>
                <w:b/>
                <w:u w:val="single"/>
              </w:rPr>
            </w:pPr>
            <w:r>
              <w:rPr>
                <w:rFonts w:ascii="Arial" w:eastAsia="Calibri" w:hAnsi="Arial" w:cs="Arial"/>
                <w:b/>
                <w:u w:val="single"/>
              </w:rPr>
              <w:t>81.00%</w:t>
            </w:r>
          </w:p>
        </w:tc>
      </w:tr>
      <w:tr w:rsidR="002551C6" w:rsidRPr="004B1294" w14:paraId="5BF2DB9C" w14:textId="77777777" w:rsidTr="00042E94">
        <w:tc>
          <w:tcPr>
            <w:tcW w:w="1550" w:type="dxa"/>
          </w:tcPr>
          <w:p w14:paraId="7142DD1C" w14:textId="739AB9FC" w:rsidR="002551C6" w:rsidRPr="006B5E9C" w:rsidRDefault="006F1739" w:rsidP="002551C6">
            <w:pPr>
              <w:jc w:val="center"/>
              <w:rPr>
                <w:rFonts w:ascii="Arial" w:hAnsi="Arial" w:cs="Arial"/>
                <w:b/>
              </w:rPr>
            </w:pPr>
            <w:r>
              <w:rPr>
                <w:rFonts w:ascii="Arial" w:hAnsi="Arial" w:cs="Arial"/>
                <w:b/>
              </w:rPr>
              <w:t>18</w:t>
            </w:r>
          </w:p>
        </w:tc>
        <w:tc>
          <w:tcPr>
            <w:tcW w:w="3255" w:type="dxa"/>
          </w:tcPr>
          <w:p w14:paraId="43EFBE7D" w14:textId="1BCC068A" w:rsidR="006F1739" w:rsidRDefault="006F1739" w:rsidP="006F1739">
            <w:pPr>
              <w:jc w:val="both"/>
              <w:rPr>
                <w:rFonts w:ascii="Arial" w:hAnsi="Arial" w:cs="Arial"/>
                <w:b/>
                <w:lang w:val="es-MX"/>
              </w:rPr>
            </w:pPr>
            <w:r w:rsidRPr="006F1739">
              <w:rPr>
                <w:rFonts w:ascii="Arial" w:hAnsi="Arial" w:cs="Arial"/>
                <w:b/>
                <w:lang w:val="es-MX"/>
              </w:rPr>
              <w:t>DEPARTAMENTO ADMINISTRATIVO DE LA FUNCIÓN PÚBLICA - DAFP.</w:t>
            </w:r>
          </w:p>
          <w:p w14:paraId="348CAA2F" w14:textId="77777777" w:rsidR="006F1739" w:rsidRDefault="006F1739" w:rsidP="006F1739">
            <w:pPr>
              <w:jc w:val="both"/>
              <w:rPr>
                <w:rFonts w:ascii="Arial" w:hAnsi="Arial" w:cs="Arial"/>
                <w:b/>
                <w:lang w:val="es-MX"/>
              </w:rPr>
            </w:pPr>
          </w:p>
          <w:p w14:paraId="578616FA" w14:textId="77777777" w:rsidR="006F1739" w:rsidRDefault="006F1739" w:rsidP="006F1739">
            <w:pPr>
              <w:jc w:val="both"/>
              <w:rPr>
                <w:rFonts w:ascii="Arial" w:hAnsi="Arial" w:cs="Arial"/>
                <w:b/>
                <w:lang w:val="es-MX"/>
              </w:rPr>
            </w:pPr>
            <w:r>
              <w:rPr>
                <w:rFonts w:ascii="Arial" w:hAnsi="Arial" w:cs="Arial"/>
                <w:b/>
                <w:lang w:val="es-MX"/>
              </w:rPr>
              <w:t>FUNCIONAMIENTO</w:t>
            </w:r>
          </w:p>
          <w:p w14:paraId="4E2C5C98" w14:textId="77777777" w:rsidR="006F1739" w:rsidRDefault="006F1739" w:rsidP="006F1739">
            <w:pPr>
              <w:jc w:val="both"/>
              <w:rPr>
                <w:rFonts w:ascii="Arial" w:hAnsi="Arial" w:cs="Arial"/>
                <w:b/>
                <w:lang w:val="es-MX"/>
              </w:rPr>
            </w:pPr>
            <w:r>
              <w:rPr>
                <w:rFonts w:ascii="Arial" w:hAnsi="Arial" w:cs="Arial"/>
                <w:b/>
                <w:lang w:val="es-MX"/>
              </w:rPr>
              <w:t>INVERSIÓN</w:t>
            </w:r>
          </w:p>
          <w:p w14:paraId="16E92304" w14:textId="77777777" w:rsidR="006F1739" w:rsidRDefault="006F1739" w:rsidP="006F1739">
            <w:pPr>
              <w:jc w:val="both"/>
              <w:rPr>
                <w:rFonts w:ascii="Arial" w:hAnsi="Arial" w:cs="Arial"/>
                <w:b/>
                <w:lang w:val="es-MX"/>
              </w:rPr>
            </w:pPr>
          </w:p>
          <w:p w14:paraId="2D29772E" w14:textId="213C129E" w:rsidR="002551C6" w:rsidRPr="006F1739" w:rsidRDefault="006F1739" w:rsidP="006F1739">
            <w:pPr>
              <w:jc w:val="both"/>
              <w:rPr>
                <w:rFonts w:ascii="Arial" w:hAnsi="Arial" w:cs="Arial"/>
                <w:b/>
                <w:lang w:val="es-MX"/>
              </w:rPr>
            </w:pPr>
            <w:r>
              <w:rPr>
                <w:rFonts w:ascii="Arial" w:hAnsi="Arial" w:cs="Arial"/>
                <w:b/>
                <w:lang w:val="es-MX"/>
              </w:rPr>
              <w:t>TOTAL PRESUPUESTO</w:t>
            </w:r>
          </w:p>
        </w:tc>
        <w:tc>
          <w:tcPr>
            <w:tcW w:w="1839" w:type="dxa"/>
          </w:tcPr>
          <w:p w14:paraId="404F800F" w14:textId="77777777" w:rsidR="002551C6" w:rsidRDefault="002551C6" w:rsidP="002551C6">
            <w:pPr>
              <w:jc w:val="center"/>
              <w:rPr>
                <w:rFonts w:ascii="Arial" w:eastAsia="Calibri" w:hAnsi="Arial" w:cs="Arial"/>
                <w:b/>
                <w:u w:val="single"/>
              </w:rPr>
            </w:pPr>
          </w:p>
          <w:p w14:paraId="5EBC6BF7" w14:textId="77777777" w:rsidR="006F1739" w:rsidRDefault="006F1739" w:rsidP="002551C6">
            <w:pPr>
              <w:jc w:val="center"/>
              <w:rPr>
                <w:rFonts w:ascii="Arial" w:eastAsia="Calibri" w:hAnsi="Arial" w:cs="Arial"/>
                <w:b/>
                <w:u w:val="single"/>
              </w:rPr>
            </w:pPr>
          </w:p>
          <w:p w14:paraId="372AA59F" w14:textId="77777777" w:rsidR="006F1739" w:rsidRDefault="006F1739" w:rsidP="002551C6">
            <w:pPr>
              <w:jc w:val="center"/>
              <w:rPr>
                <w:rFonts w:ascii="Arial" w:eastAsia="Calibri" w:hAnsi="Arial" w:cs="Arial"/>
                <w:b/>
                <w:u w:val="single"/>
              </w:rPr>
            </w:pPr>
          </w:p>
          <w:p w14:paraId="514BC1CA" w14:textId="77777777" w:rsidR="006F1739" w:rsidRDefault="006F1739" w:rsidP="002551C6">
            <w:pPr>
              <w:jc w:val="center"/>
              <w:rPr>
                <w:rFonts w:ascii="Arial" w:eastAsia="Calibri" w:hAnsi="Arial" w:cs="Arial"/>
                <w:b/>
                <w:u w:val="single"/>
              </w:rPr>
            </w:pPr>
          </w:p>
          <w:p w14:paraId="29D8E6C2" w14:textId="77777777" w:rsidR="006F1739" w:rsidRDefault="00F44E68" w:rsidP="002551C6">
            <w:pPr>
              <w:jc w:val="center"/>
              <w:rPr>
                <w:rFonts w:ascii="Arial" w:eastAsia="Calibri" w:hAnsi="Arial" w:cs="Arial"/>
                <w:b/>
                <w:u w:val="single"/>
              </w:rPr>
            </w:pPr>
            <w:r>
              <w:rPr>
                <w:rFonts w:ascii="Arial" w:eastAsia="Calibri" w:hAnsi="Arial" w:cs="Arial"/>
                <w:b/>
                <w:u w:val="single"/>
              </w:rPr>
              <w:t>98.43%</w:t>
            </w:r>
          </w:p>
          <w:p w14:paraId="413F4637" w14:textId="77777777" w:rsidR="00F44E68" w:rsidRDefault="00F44E68" w:rsidP="002551C6">
            <w:pPr>
              <w:jc w:val="center"/>
              <w:rPr>
                <w:rFonts w:ascii="Arial" w:eastAsia="Calibri" w:hAnsi="Arial" w:cs="Arial"/>
                <w:b/>
                <w:u w:val="single"/>
              </w:rPr>
            </w:pPr>
            <w:r>
              <w:rPr>
                <w:rFonts w:ascii="Arial" w:eastAsia="Calibri" w:hAnsi="Arial" w:cs="Arial"/>
                <w:b/>
                <w:u w:val="single"/>
              </w:rPr>
              <w:t>97.67%</w:t>
            </w:r>
          </w:p>
          <w:p w14:paraId="3D4E379A" w14:textId="77777777" w:rsidR="00F44E68" w:rsidRDefault="00F44E68" w:rsidP="002551C6">
            <w:pPr>
              <w:jc w:val="center"/>
              <w:rPr>
                <w:rFonts w:ascii="Arial" w:eastAsia="Calibri" w:hAnsi="Arial" w:cs="Arial"/>
                <w:b/>
                <w:u w:val="single"/>
              </w:rPr>
            </w:pPr>
          </w:p>
          <w:p w14:paraId="2ACDEADE" w14:textId="048539D1" w:rsidR="00F44E68" w:rsidRPr="006B5E9C" w:rsidRDefault="00F44E68" w:rsidP="002551C6">
            <w:pPr>
              <w:jc w:val="center"/>
              <w:rPr>
                <w:rFonts w:ascii="Arial" w:eastAsia="Calibri" w:hAnsi="Arial" w:cs="Arial"/>
                <w:b/>
                <w:u w:val="single"/>
              </w:rPr>
            </w:pPr>
            <w:r>
              <w:rPr>
                <w:rFonts w:ascii="Arial" w:eastAsia="Calibri" w:hAnsi="Arial" w:cs="Arial"/>
                <w:b/>
                <w:u w:val="single"/>
              </w:rPr>
              <w:t>98.42%</w:t>
            </w:r>
          </w:p>
        </w:tc>
        <w:tc>
          <w:tcPr>
            <w:tcW w:w="1804" w:type="dxa"/>
          </w:tcPr>
          <w:p w14:paraId="205433C3" w14:textId="77777777" w:rsidR="002551C6" w:rsidRDefault="002551C6" w:rsidP="002551C6">
            <w:pPr>
              <w:jc w:val="center"/>
              <w:rPr>
                <w:rFonts w:ascii="Arial" w:eastAsia="Calibri" w:hAnsi="Arial" w:cs="Arial"/>
                <w:b/>
                <w:u w:val="single"/>
              </w:rPr>
            </w:pPr>
          </w:p>
          <w:p w14:paraId="4DA85EDF" w14:textId="77777777" w:rsidR="006F1739" w:rsidRDefault="006F1739" w:rsidP="002551C6">
            <w:pPr>
              <w:jc w:val="center"/>
              <w:rPr>
                <w:rFonts w:ascii="Arial" w:eastAsia="Calibri" w:hAnsi="Arial" w:cs="Arial"/>
                <w:b/>
                <w:u w:val="single"/>
              </w:rPr>
            </w:pPr>
          </w:p>
          <w:p w14:paraId="40029202" w14:textId="77777777" w:rsidR="006F1739" w:rsidRDefault="006F1739" w:rsidP="002551C6">
            <w:pPr>
              <w:jc w:val="center"/>
              <w:rPr>
                <w:rFonts w:ascii="Arial" w:eastAsia="Calibri" w:hAnsi="Arial" w:cs="Arial"/>
                <w:b/>
                <w:u w:val="single"/>
              </w:rPr>
            </w:pPr>
          </w:p>
          <w:p w14:paraId="77B543D8" w14:textId="77777777" w:rsidR="006F1739" w:rsidRDefault="006F1739" w:rsidP="002551C6">
            <w:pPr>
              <w:jc w:val="center"/>
              <w:rPr>
                <w:rFonts w:ascii="Arial" w:eastAsia="Calibri" w:hAnsi="Arial" w:cs="Arial"/>
                <w:b/>
                <w:u w:val="single"/>
              </w:rPr>
            </w:pPr>
          </w:p>
          <w:p w14:paraId="718DC529" w14:textId="77777777" w:rsidR="006F1739" w:rsidRDefault="00F44E68" w:rsidP="002551C6">
            <w:pPr>
              <w:jc w:val="center"/>
              <w:rPr>
                <w:rFonts w:ascii="Arial" w:eastAsia="Calibri" w:hAnsi="Arial" w:cs="Arial"/>
                <w:b/>
                <w:u w:val="single"/>
              </w:rPr>
            </w:pPr>
            <w:r>
              <w:rPr>
                <w:rFonts w:ascii="Arial" w:eastAsia="Calibri" w:hAnsi="Arial" w:cs="Arial"/>
                <w:b/>
                <w:u w:val="single"/>
              </w:rPr>
              <w:t>98.41%</w:t>
            </w:r>
          </w:p>
          <w:p w14:paraId="32BAF1AF" w14:textId="77777777" w:rsidR="00F44E68" w:rsidRDefault="00F44E68" w:rsidP="002551C6">
            <w:pPr>
              <w:jc w:val="center"/>
              <w:rPr>
                <w:rFonts w:ascii="Arial" w:eastAsia="Calibri" w:hAnsi="Arial" w:cs="Arial"/>
                <w:b/>
                <w:u w:val="single"/>
              </w:rPr>
            </w:pPr>
            <w:r>
              <w:rPr>
                <w:rFonts w:ascii="Arial" w:eastAsia="Calibri" w:hAnsi="Arial" w:cs="Arial"/>
                <w:b/>
                <w:u w:val="single"/>
              </w:rPr>
              <w:t>66.35%</w:t>
            </w:r>
          </w:p>
          <w:p w14:paraId="6B22C7B5" w14:textId="77777777" w:rsidR="00F44E68" w:rsidRDefault="00F44E68" w:rsidP="002551C6">
            <w:pPr>
              <w:jc w:val="center"/>
              <w:rPr>
                <w:rFonts w:ascii="Arial" w:eastAsia="Calibri" w:hAnsi="Arial" w:cs="Arial"/>
                <w:b/>
                <w:u w:val="single"/>
              </w:rPr>
            </w:pPr>
          </w:p>
          <w:p w14:paraId="38B8013E" w14:textId="050EBB74" w:rsidR="00F44E68" w:rsidRPr="006B5E9C" w:rsidRDefault="00F44E68" w:rsidP="002551C6">
            <w:pPr>
              <w:jc w:val="center"/>
              <w:rPr>
                <w:rFonts w:ascii="Arial" w:eastAsia="Calibri" w:hAnsi="Arial" w:cs="Arial"/>
                <w:b/>
                <w:u w:val="single"/>
              </w:rPr>
            </w:pPr>
            <w:r>
              <w:rPr>
                <w:rFonts w:ascii="Arial" w:eastAsia="Calibri" w:hAnsi="Arial" w:cs="Arial"/>
                <w:b/>
                <w:u w:val="single"/>
              </w:rPr>
              <w:t>98.39%</w:t>
            </w:r>
          </w:p>
        </w:tc>
        <w:tc>
          <w:tcPr>
            <w:tcW w:w="2042" w:type="dxa"/>
          </w:tcPr>
          <w:p w14:paraId="04A04AC0" w14:textId="77777777" w:rsidR="002551C6" w:rsidRDefault="002551C6" w:rsidP="002551C6">
            <w:pPr>
              <w:jc w:val="center"/>
              <w:rPr>
                <w:rFonts w:ascii="Arial" w:eastAsia="Calibri" w:hAnsi="Arial" w:cs="Arial"/>
                <w:b/>
                <w:u w:val="single"/>
              </w:rPr>
            </w:pPr>
          </w:p>
          <w:p w14:paraId="5067886E" w14:textId="77777777" w:rsidR="006F1739" w:rsidRDefault="006F1739" w:rsidP="002551C6">
            <w:pPr>
              <w:jc w:val="center"/>
              <w:rPr>
                <w:rFonts w:ascii="Arial" w:eastAsia="Calibri" w:hAnsi="Arial" w:cs="Arial"/>
                <w:b/>
                <w:u w:val="single"/>
              </w:rPr>
            </w:pPr>
          </w:p>
          <w:p w14:paraId="5998E255" w14:textId="77777777" w:rsidR="006F1739" w:rsidRDefault="006F1739" w:rsidP="002551C6">
            <w:pPr>
              <w:jc w:val="center"/>
              <w:rPr>
                <w:rFonts w:ascii="Arial" w:eastAsia="Calibri" w:hAnsi="Arial" w:cs="Arial"/>
                <w:b/>
                <w:u w:val="single"/>
              </w:rPr>
            </w:pPr>
          </w:p>
          <w:p w14:paraId="15BDD2F7" w14:textId="77777777" w:rsidR="006F1739" w:rsidRDefault="006F1739" w:rsidP="002551C6">
            <w:pPr>
              <w:jc w:val="center"/>
              <w:rPr>
                <w:rFonts w:ascii="Arial" w:eastAsia="Calibri" w:hAnsi="Arial" w:cs="Arial"/>
                <w:b/>
                <w:u w:val="single"/>
              </w:rPr>
            </w:pPr>
          </w:p>
          <w:p w14:paraId="624626C1" w14:textId="77777777" w:rsidR="006F1739" w:rsidRDefault="00F44E68" w:rsidP="002551C6">
            <w:pPr>
              <w:jc w:val="center"/>
              <w:rPr>
                <w:rFonts w:ascii="Arial" w:eastAsia="Calibri" w:hAnsi="Arial" w:cs="Arial"/>
                <w:b/>
                <w:u w:val="single"/>
              </w:rPr>
            </w:pPr>
            <w:r>
              <w:rPr>
                <w:rFonts w:ascii="Arial" w:eastAsia="Calibri" w:hAnsi="Arial" w:cs="Arial"/>
                <w:b/>
                <w:u w:val="single"/>
              </w:rPr>
              <w:t>98.36%</w:t>
            </w:r>
          </w:p>
          <w:p w14:paraId="49D36176" w14:textId="77777777" w:rsidR="00F44E68" w:rsidRDefault="00F44E68" w:rsidP="002551C6">
            <w:pPr>
              <w:jc w:val="center"/>
              <w:rPr>
                <w:rFonts w:ascii="Arial" w:eastAsia="Calibri" w:hAnsi="Arial" w:cs="Arial"/>
                <w:b/>
                <w:u w:val="single"/>
              </w:rPr>
            </w:pPr>
            <w:r>
              <w:rPr>
                <w:rFonts w:ascii="Arial" w:eastAsia="Calibri" w:hAnsi="Arial" w:cs="Arial"/>
                <w:b/>
                <w:u w:val="single"/>
              </w:rPr>
              <w:t>66.35%</w:t>
            </w:r>
          </w:p>
          <w:p w14:paraId="647BE5F9" w14:textId="77777777" w:rsidR="00F44E68" w:rsidRDefault="00F44E68" w:rsidP="002551C6">
            <w:pPr>
              <w:jc w:val="center"/>
              <w:rPr>
                <w:rFonts w:ascii="Arial" w:eastAsia="Calibri" w:hAnsi="Arial" w:cs="Arial"/>
                <w:b/>
                <w:u w:val="single"/>
              </w:rPr>
            </w:pPr>
          </w:p>
          <w:p w14:paraId="06148304" w14:textId="0E314659" w:rsidR="00F44E68" w:rsidRPr="006B5E9C" w:rsidRDefault="00F44E68" w:rsidP="002551C6">
            <w:pPr>
              <w:jc w:val="center"/>
              <w:rPr>
                <w:rFonts w:ascii="Arial" w:eastAsia="Calibri" w:hAnsi="Arial" w:cs="Arial"/>
                <w:b/>
                <w:u w:val="single"/>
              </w:rPr>
            </w:pPr>
            <w:r>
              <w:rPr>
                <w:rFonts w:ascii="Arial" w:eastAsia="Calibri" w:hAnsi="Arial" w:cs="Arial"/>
                <w:b/>
                <w:u w:val="single"/>
              </w:rPr>
              <w:t>98.33%</w:t>
            </w:r>
          </w:p>
        </w:tc>
      </w:tr>
      <w:tr w:rsidR="002551C6" w:rsidRPr="004B1294" w14:paraId="2DAB8CAF" w14:textId="77777777" w:rsidTr="00042E94">
        <w:tc>
          <w:tcPr>
            <w:tcW w:w="1550" w:type="dxa"/>
          </w:tcPr>
          <w:p w14:paraId="34635958" w14:textId="60A153BC" w:rsidR="002551C6" w:rsidRPr="006B5E9C" w:rsidRDefault="00FF01AE" w:rsidP="002551C6">
            <w:pPr>
              <w:jc w:val="center"/>
              <w:rPr>
                <w:rFonts w:ascii="Arial" w:hAnsi="Arial" w:cs="Arial"/>
                <w:b/>
              </w:rPr>
            </w:pPr>
            <w:r>
              <w:rPr>
                <w:rFonts w:ascii="Arial" w:hAnsi="Arial" w:cs="Arial"/>
                <w:b/>
              </w:rPr>
              <w:t>19</w:t>
            </w:r>
          </w:p>
        </w:tc>
        <w:tc>
          <w:tcPr>
            <w:tcW w:w="3255" w:type="dxa"/>
          </w:tcPr>
          <w:p w14:paraId="2177D08B" w14:textId="036C43FE" w:rsidR="00FF01AE" w:rsidRPr="00FF01AE" w:rsidRDefault="00FF01AE" w:rsidP="00FF01AE">
            <w:pPr>
              <w:jc w:val="both"/>
              <w:rPr>
                <w:rFonts w:ascii="Arial" w:hAnsi="Arial" w:cs="Arial"/>
                <w:b/>
                <w:lang w:val="es-MX"/>
              </w:rPr>
            </w:pPr>
            <w:r w:rsidRPr="00FF01AE">
              <w:rPr>
                <w:rFonts w:ascii="Arial" w:hAnsi="Arial" w:cs="Arial"/>
                <w:b/>
                <w:lang w:val="es-MX"/>
              </w:rPr>
              <w:t>DEFENSORÍA DEL PUEBLO.</w:t>
            </w:r>
          </w:p>
          <w:p w14:paraId="71782615" w14:textId="77777777" w:rsidR="002551C6" w:rsidRDefault="002551C6" w:rsidP="002551C6">
            <w:pPr>
              <w:jc w:val="both"/>
              <w:rPr>
                <w:rFonts w:ascii="Arial" w:hAnsi="Arial" w:cs="Arial"/>
                <w:b/>
                <w:lang w:val="es-MX"/>
              </w:rPr>
            </w:pPr>
          </w:p>
          <w:p w14:paraId="17148FF9" w14:textId="77777777" w:rsidR="00FF01AE" w:rsidRDefault="00FF01AE" w:rsidP="00FF01AE">
            <w:pPr>
              <w:jc w:val="both"/>
              <w:rPr>
                <w:rFonts w:ascii="Arial" w:hAnsi="Arial" w:cs="Arial"/>
                <w:b/>
                <w:lang w:val="es-MX"/>
              </w:rPr>
            </w:pPr>
            <w:r>
              <w:rPr>
                <w:rFonts w:ascii="Arial" w:hAnsi="Arial" w:cs="Arial"/>
                <w:b/>
                <w:lang w:val="es-MX"/>
              </w:rPr>
              <w:t>FUNCIONAMIENTO</w:t>
            </w:r>
          </w:p>
          <w:p w14:paraId="0AE3F716" w14:textId="77777777" w:rsidR="00FF01AE" w:rsidRDefault="00FF01AE" w:rsidP="00FF01AE">
            <w:pPr>
              <w:jc w:val="both"/>
              <w:rPr>
                <w:rFonts w:ascii="Arial" w:hAnsi="Arial" w:cs="Arial"/>
                <w:b/>
                <w:lang w:val="es-MX"/>
              </w:rPr>
            </w:pPr>
            <w:r>
              <w:rPr>
                <w:rFonts w:ascii="Arial" w:hAnsi="Arial" w:cs="Arial"/>
                <w:b/>
                <w:lang w:val="es-MX"/>
              </w:rPr>
              <w:t>INVERSIÓN</w:t>
            </w:r>
          </w:p>
          <w:p w14:paraId="668AC03C" w14:textId="77777777" w:rsidR="00FF01AE" w:rsidRDefault="00FF01AE" w:rsidP="00FF01AE">
            <w:pPr>
              <w:jc w:val="both"/>
              <w:rPr>
                <w:rFonts w:ascii="Arial" w:hAnsi="Arial" w:cs="Arial"/>
                <w:b/>
                <w:lang w:val="es-MX"/>
              </w:rPr>
            </w:pPr>
          </w:p>
          <w:p w14:paraId="62675777" w14:textId="73FDB54E" w:rsidR="00FF01AE" w:rsidRPr="006B5E9C" w:rsidRDefault="00FF01AE" w:rsidP="00FF01AE">
            <w:pPr>
              <w:jc w:val="both"/>
              <w:rPr>
                <w:rFonts w:ascii="Arial" w:hAnsi="Arial" w:cs="Arial"/>
                <w:b/>
                <w:lang w:val="es-MX"/>
              </w:rPr>
            </w:pPr>
            <w:r>
              <w:rPr>
                <w:rFonts w:ascii="Arial" w:hAnsi="Arial" w:cs="Arial"/>
                <w:b/>
                <w:lang w:val="es-MX"/>
              </w:rPr>
              <w:t>TOTAL PRESUPUESTO</w:t>
            </w:r>
          </w:p>
        </w:tc>
        <w:tc>
          <w:tcPr>
            <w:tcW w:w="1839" w:type="dxa"/>
          </w:tcPr>
          <w:p w14:paraId="076CBFB6" w14:textId="77777777" w:rsidR="002551C6" w:rsidRDefault="002551C6" w:rsidP="002551C6">
            <w:pPr>
              <w:jc w:val="center"/>
              <w:rPr>
                <w:rFonts w:ascii="Arial" w:eastAsia="Calibri" w:hAnsi="Arial" w:cs="Arial"/>
                <w:b/>
                <w:u w:val="single"/>
              </w:rPr>
            </w:pPr>
          </w:p>
          <w:p w14:paraId="6752283D" w14:textId="77777777" w:rsidR="00FF01AE" w:rsidRDefault="00FF01AE" w:rsidP="002551C6">
            <w:pPr>
              <w:jc w:val="center"/>
              <w:rPr>
                <w:rFonts w:ascii="Arial" w:eastAsia="Calibri" w:hAnsi="Arial" w:cs="Arial"/>
                <w:b/>
                <w:u w:val="single"/>
              </w:rPr>
            </w:pPr>
          </w:p>
          <w:p w14:paraId="27D812F0" w14:textId="0ED4D8F4" w:rsidR="00FF01AE" w:rsidRDefault="00FF01AE" w:rsidP="002551C6">
            <w:pPr>
              <w:jc w:val="center"/>
              <w:rPr>
                <w:rFonts w:ascii="Arial" w:eastAsia="Calibri" w:hAnsi="Arial" w:cs="Arial"/>
                <w:b/>
                <w:u w:val="single"/>
              </w:rPr>
            </w:pPr>
            <w:r>
              <w:rPr>
                <w:rFonts w:ascii="Arial" w:eastAsia="Calibri" w:hAnsi="Arial" w:cs="Arial"/>
                <w:b/>
                <w:u w:val="single"/>
              </w:rPr>
              <w:t>88.00%</w:t>
            </w:r>
          </w:p>
          <w:p w14:paraId="3FB83923" w14:textId="7EE2F2CB" w:rsidR="00FF01AE" w:rsidRDefault="00FF01AE" w:rsidP="002551C6">
            <w:pPr>
              <w:jc w:val="center"/>
              <w:rPr>
                <w:rFonts w:ascii="Arial" w:eastAsia="Calibri" w:hAnsi="Arial" w:cs="Arial"/>
                <w:b/>
                <w:u w:val="single"/>
              </w:rPr>
            </w:pPr>
            <w:r>
              <w:rPr>
                <w:rFonts w:ascii="Arial" w:eastAsia="Calibri" w:hAnsi="Arial" w:cs="Arial"/>
                <w:b/>
                <w:u w:val="single"/>
              </w:rPr>
              <w:t>92.00%</w:t>
            </w:r>
          </w:p>
          <w:p w14:paraId="764CF263" w14:textId="77777777" w:rsidR="00FF01AE" w:rsidRDefault="00FF01AE" w:rsidP="002551C6">
            <w:pPr>
              <w:jc w:val="center"/>
              <w:rPr>
                <w:rFonts w:ascii="Arial" w:eastAsia="Calibri" w:hAnsi="Arial" w:cs="Arial"/>
                <w:b/>
                <w:u w:val="single"/>
              </w:rPr>
            </w:pPr>
          </w:p>
          <w:p w14:paraId="3193498C" w14:textId="7C190DC9" w:rsidR="00FF01AE" w:rsidRPr="006B5E9C" w:rsidRDefault="00FF01AE" w:rsidP="00FF01AE">
            <w:pPr>
              <w:jc w:val="center"/>
              <w:rPr>
                <w:rFonts w:ascii="Arial" w:eastAsia="Calibri" w:hAnsi="Arial" w:cs="Arial"/>
                <w:b/>
                <w:u w:val="single"/>
              </w:rPr>
            </w:pPr>
            <w:r>
              <w:rPr>
                <w:rFonts w:ascii="Arial" w:eastAsia="Calibri" w:hAnsi="Arial" w:cs="Arial"/>
                <w:b/>
                <w:u w:val="single"/>
              </w:rPr>
              <w:t>88.00%</w:t>
            </w:r>
          </w:p>
        </w:tc>
        <w:tc>
          <w:tcPr>
            <w:tcW w:w="1804" w:type="dxa"/>
          </w:tcPr>
          <w:p w14:paraId="27D65F95" w14:textId="77777777" w:rsidR="002551C6" w:rsidRDefault="002551C6" w:rsidP="002551C6">
            <w:pPr>
              <w:jc w:val="center"/>
              <w:rPr>
                <w:rFonts w:ascii="Arial" w:eastAsia="Calibri" w:hAnsi="Arial" w:cs="Arial"/>
                <w:b/>
                <w:u w:val="single"/>
              </w:rPr>
            </w:pPr>
          </w:p>
          <w:p w14:paraId="1C48E9B3" w14:textId="77777777" w:rsidR="00FF01AE" w:rsidRDefault="00FF01AE" w:rsidP="002551C6">
            <w:pPr>
              <w:jc w:val="center"/>
              <w:rPr>
                <w:rFonts w:ascii="Arial" w:eastAsia="Calibri" w:hAnsi="Arial" w:cs="Arial"/>
                <w:b/>
                <w:u w:val="single"/>
              </w:rPr>
            </w:pPr>
          </w:p>
          <w:p w14:paraId="383073B0" w14:textId="21E3658B" w:rsidR="00FF01AE" w:rsidRDefault="00FF01AE" w:rsidP="002551C6">
            <w:pPr>
              <w:jc w:val="center"/>
              <w:rPr>
                <w:rFonts w:ascii="Arial" w:eastAsia="Calibri" w:hAnsi="Arial" w:cs="Arial"/>
                <w:b/>
                <w:u w:val="single"/>
              </w:rPr>
            </w:pPr>
            <w:r>
              <w:rPr>
                <w:rFonts w:ascii="Arial" w:eastAsia="Calibri" w:hAnsi="Arial" w:cs="Arial"/>
                <w:b/>
                <w:u w:val="single"/>
              </w:rPr>
              <w:t>86.00%</w:t>
            </w:r>
          </w:p>
          <w:p w14:paraId="7BC31919" w14:textId="40181ACD" w:rsidR="00FF01AE" w:rsidRDefault="00FF01AE" w:rsidP="002551C6">
            <w:pPr>
              <w:jc w:val="center"/>
              <w:rPr>
                <w:rFonts w:ascii="Arial" w:eastAsia="Calibri" w:hAnsi="Arial" w:cs="Arial"/>
                <w:b/>
                <w:u w:val="single"/>
              </w:rPr>
            </w:pPr>
            <w:r>
              <w:rPr>
                <w:rFonts w:ascii="Arial" w:eastAsia="Calibri" w:hAnsi="Arial" w:cs="Arial"/>
                <w:b/>
                <w:u w:val="single"/>
              </w:rPr>
              <w:t>78.00%</w:t>
            </w:r>
          </w:p>
          <w:p w14:paraId="48F70898" w14:textId="77777777" w:rsidR="00FF01AE" w:rsidRDefault="00FF01AE" w:rsidP="002551C6">
            <w:pPr>
              <w:jc w:val="center"/>
              <w:rPr>
                <w:rFonts w:ascii="Arial" w:eastAsia="Calibri" w:hAnsi="Arial" w:cs="Arial"/>
                <w:b/>
                <w:u w:val="single"/>
              </w:rPr>
            </w:pPr>
          </w:p>
          <w:p w14:paraId="7A79471D" w14:textId="1A529761" w:rsidR="00FF01AE" w:rsidRPr="006B5E9C" w:rsidRDefault="00FF01AE" w:rsidP="002551C6">
            <w:pPr>
              <w:jc w:val="center"/>
              <w:rPr>
                <w:rFonts w:ascii="Arial" w:eastAsia="Calibri" w:hAnsi="Arial" w:cs="Arial"/>
                <w:b/>
                <w:u w:val="single"/>
              </w:rPr>
            </w:pPr>
            <w:r>
              <w:rPr>
                <w:rFonts w:ascii="Arial" w:eastAsia="Calibri" w:hAnsi="Arial" w:cs="Arial"/>
                <w:b/>
                <w:u w:val="single"/>
              </w:rPr>
              <w:t>85.00%</w:t>
            </w:r>
          </w:p>
        </w:tc>
        <w:tc>
          <w:tcPr>
            <w:tcW w:w="2042" w:type="dxa"/>
          </w:tcPr>
          <w:p w14:paraId="645C2F44" w14:textId="77777777" w:rsidR="002551C6" w:rsidRDefault="002551C6" w:rsidP="002551C6">
            <w:pPr>
              <w:jc w:val="center"/>
              <w:rPr>
                <w:rFonts w:ascii="Arial" w:eastAsia="Calibri" w:hAnsi="Arial" w:cs="Arial"/>
                <w:b/>
                <w:u w:val="single"/>
              </w:rPr>
            </w:pPr>
          </w:p>
          <w:p w14:paraId="4BC23BA4" w14:textId="77777777" w:rsidR="00FF01AE" w:rsidRDefault="00FF01AE" w:rsidP="002551C6">
            <w:pPr>
              <w:jc w:val="center"/>
              <w:rPr>
                <w:rFonts w:ascii="Arial" w:eastAsia="Calibri" w:hAnsi="Arial" w:cs="Arial"/>
                <w:b/>
                <w:u w:val="single"/>
              </w:rPr>
            </w:pPr>
          </w:p>
          <w:p w14:paraId="6A9CB5EE" w14:textId="7FF9825B" w:rsidR="00FF01AE" w:rsidRDefault="00FF01AE" w:rsidP="002551C6">
            <w:pPr>
              <w:jc w:val="center"/>
              <w:rPr>
                <w:rFonts w:ascii="Arial" w:eastAsia="Calibri" w:hAnsi="Arial" w:cs="Arial"/>
                <w:b/>
                <w:u w:val="single"/>
              </w:rPr>
            </w:pPr>
            <w:r>
              <w:rPr>
                <w:rFonts w:ascii="Arial" w:eastAsia="Calibri" w:hAnsi="Arial" w:cs="Arial"/>
                <w:b/>
                <w:u w:val="single"/>
              </w:rPr>
              <w:t>85.00%</w:t>
            </w:r>
          </w:p>
          <w:p w14:paraId="256DB96F" w14:textId="38A65E99" w:rsidR="00FF01AE" w:rsidRDefault="00FF01AE" w:rsidP="002551C6">
            <w:pPr>
              <w:jc w:val="center"/>
              <w:rPr>
                <w:rFonts w:ascii="Arial" w:eastAsia="Calibri" w:hAnsi="Arial" w:cs="Arial"/>
                <w:b/>
                <w:u w:val="single"/>
              </w:rPr>
            </w:pPr>
            <w:r>
              <w:rPr>
                <w:rFonts w:ascii="Arial" w:eastAsia="Calibri" w:hAnsi="Arial" w:cs="Arial"/>
                <w:b/>
                <w:u w:val="single"/>
              </w:rPr>
              <w:t>78.00%</w:t>
            </w:r>
          </w:p>
          <w:p w14:paraId="3DC1CE66" w14:textId="77777777" w:rsidR="00FF01AE" w:rsidRDefault="00FF01AE" w:rsidP="002551C6">
            <w:pPr>
              <w:jc w:val="center"/>
              <w:rPr>
                <w:rFonts w:ascii="Arial" w:eastAsia="Calibri" w:hAnsi="Arial" w:cs="Arial"/>
                <w:b/>
                <w:u w:val="single"/>
              </w:rPr>
            </w:pPr>
          </w:p>
          <w:p w14:paraId="19AA19C6" w14:textId="06834118" w:rsidR="00FF01AE" w:rsidRPr="006B5E9C" w:rsidRDefault="00FF01AE" w:rsidP="002551C6">
            <w:pPr>
              <w:jc w:val="center"/>
              <w:rPr>
                <w:rFonts w:ascii="Arial" w:eastAsia="Calibri" w:hAnsi="Arial" w:cs="Arial"/>
                <w:b/>
                <w:u w:val="single"/>
              </w:rPr>
            </w:pPr>
            <w:r>
              <w:rPr>
                <w:rFonts w:ascii="Arial" w:eastAsia="Calibri" w:hAnsi="Arial" w:cs="Arial"/>
                <w:b/>
                <w:u w:val="single"/>
              </w:rPr>
              <w:t>84.00%</w:t>
            </w:r>
          </w:p>
        </w:tc>
      </w:tr>
      <w:tr w:rsidR="002551C6" w:rsidRPr="004B1294" w14:paraId="045BC92E" w14:textId="77777777" w:rsidTr="00042E94">
        <w:tc>
          <w:tcPr>
            <w:tcW w:w="1550" w:type="dxa"/>
          </w:tcPr>
          <w:p w14:paraId="10711873" w14:textId="079EE26E" w:rsidR="002551C6" w:rsidRPr="006B5E9C" w:rsidRDefault="00E8367C" w:rsidP="002551C6">
            <w:pPr>
              <w:jc w:val="center"/>
              <w:rPr>
                <w:rFonts w:ascii="Arial" w:hAnsi="Arial" w:cs="Arial"/>
                <w:b/>
              </w:rPr>
            </w:pPr>
            <w:r>
              <w:rPr>
                <w:rFonts w:ascii="Arial" w:hAnsi="Arial" w:cs="Arial"/>
                <w:b/>
              </w:rPr>
              <w:t>20</w:t>
            </w:r>
          </w:p>
        </w:tc>
        <w:tc>
          <w:tcPr>
            <w:tcW w:w="3255" w:type="dxa"/>
          </w:tcPr>
          <w:p w14:paraId="16BD885F" w14:textId="25F1D52A" w:rsidR="00A17444" w:rsidRPr="00A17444" w:rsidRDefault="00A17444" w:rsidP="00A17444">
            <w:pPr>
              <w:jc w:val="both"/>
              <w:rPr>
                <w:rFonts w:ascii="Arial" w:hAnsi="Arial" w:cs="Arial"/>
                <w:b/>
                <w:lang w:val="es-MX"/>
              </w:rPr>
            </w:pPr>
            <w:r w:rsidRPr="00A17444">
              <w:rPr>
                <w:rFonts w:ascii="Arial" w:hAnsi="Arial" w:cs="Arial"/>
                <w:b/>
                <w:lang w:val="es-MX"/>
              </w:rPr>
              <w:t>INSTITUTO DE HIDROLOGÍA METEOROLOGÍA Y ESTUDIOS AMBIENTALES - IDEAM.</w:t>
            </w:r>
          </w:p>
          <w:p w14:paraId="1343DB90" w14:textId="77777777" w:rsidR="002551C6" w:rsidRDefault="002551C6" w:rsidP="002551C6">
            <w:pPr>
              <w:jc w:val="both"/>
              <w:rPr>
                <w:rFonts w:ascii="Arial" w:hAnsi="Arial" w:cs="Arial"/>
                <w:b/>
                <w:lang w:val="es-MX"/>
              </w:rPr>
            </w:pPr>
          </w:p>
          <w:p w14:paraId="64CC194E" w14:textId="77777777" w:rsidR="00A17444" w:rsidRDefault="00A17444" w:rsidP="00A17444">
            <w:pPr>
              <w:jc w:val="both"/>
              <w:rPr>
                <w:rFonts w:ascii="Arial" w:hAnsi="Arial" w:cs="Arial"/>
                <w:b/>
                <w:lang w:val="es-MX"/>
              </w:rPr>
            </w:pPr>
            <w:r>
              <w:rPr>
                <w:rFonts w:ascii="Arial" w:hAnsi="Arial" w:cs="Arial"/>
                <w:b/>
                <w:lang w:val="es-MX"/>
              </w:rPr>
              <w:t>FUNCIONAMIENTO</w:t>
            </w:r>
          </w:p>
          <w:p w14:paraId="04F39F7B" w14:textId="77777777" w:rsidR="00A17444" w:rsidRDefault="00A17444" w:rsidP="00A17444">
            <w:pPr>
              <w:jc w:val="both"/>
              <w:rPr>
                <w:rFonts w:ascii="Arial" w:hAnsi="Arial" w:cs="Arial"/>
                <w:b/>
                <w:lang w:val="es-MX"/>
              </w:rPr>
            </w:pPr>
            <w:r>
              <w:rPr>
                <w:rFonts w:ascii="Arial" w:hAnsi="Arial" w:cs="Arial"/>
                <w:b/>
                <w:lang w:val="es-MX"/>
              </w:rPr>
              <w:t>INVERSIÓN</w:t>
            </w:r>
          </w:p>
          <w:p w14:paraId="1139D281" w14:textId="77777777" w:rsidR="00A17444" w:rsidRDefault="00A17444" w:rsidP="00A17444">
            <w:pPr>
              <w:jc w:val="both"/>
              <w:rPr>
                <w:rFonts w:ascii="Arial" w:hAnsi="Arial" w:cs="Arial"/>
                <w:b/>
                <w:lang w:val="es-MX"/>
              </w:rPr>
            </w:pPr>
          </w:p>
          <w:p w14:paraId="5DC3AD05" w14:textId="724D67C4" w:rsidR="00A17444" w:rsidRPr="00A17444" w:rsidRDefault="00A17444" w:rsidP="00A17444">
            <w:pPr>
              <w:jc w:val="both"/>
              <w:rPr>
                <w:rFonts w:ascii="Arial" w:hAnsi="Arial" w:cs="Arial"/>
                <w:b/>
                <w:lang w:val="es-MX"/>
              </w:rPr>
            </w:pPr>
            <w:r>
              <w:rPr>
                <w:rFonts w:ascii="Arial" w:hAnsi="Arial" w:cs="Arial"/>
                <w:b/>
                <w:lang w:val="es-MX"/>
              </w:rPr>
              <w:t>TOTAL PRESUPUESTO</w:t>
            </w:r>
          </w:p>
        </w:tc>
        <w:tc>
          <w:tcPr>
            <w:tcW w:w="1839" w:type="dxa"/>
          </w:tcPr>
          <w:p w14:paraId="7EE7BAE9" w14:textId="77777777" w:rsidR="002551C6" w:rsidRDefault="002551C6" w:rsidP="002551C6">
            <w:pPr>
              <w:jc w:val="center"/>
              <w:rPr>
                <w:rFonts w:ascii="Arial" w:eastAsia="Calibri" w:hAnsi="Arial" w:cs="Arial"/>
                <w:b/>
                <w:u w:val="single"/>
              </w:rPr>
            </w:pPr>
          </w:p>
          <w:p w14:paraId="13A62469" w14:textId="77777777" w:rsidR="00A17444" w:rsidRDefault="00A17444" w:rsidP="002551C6">
            <w:pPr>
              <w:jc w:val="center"/>
              <w:rPr>
                <w:rFonts w:ascii="Arial" w:eastAsia="Calibri" w:hAnsi="Arial" w:cs="Arial"/>
                <w:b/>
                <w:u w:val="single"/>
              </w:rPr>
            </w:pPr>
          </w:p>
          <w:p w14:paraId="213542B3" w14:textId="77777777" w:rsidR="00A17444" w:rsidRDefault="00A17444" w:rsidP="002551C6">
            <w:pPr>
              <w:jc w:val="center"/>
              <w:rPr>
                <w:rFonts w:ascii="Arial" w:eastAsia="Calibri" w:hAnsi="Arial" w:cs="Arial"/>
                <w:b/>
                <w:u w:val="single"/>
              </w:rPr>
            </w:pPr>
          </w:p>
          <w:p w14:paraId="7C6E5E0E" w14:textId="77777777" w:rsidR="00A17444" w:rsidRDefault="00A17444" w:rsidP="002551C6">
            <w:pPr>
              <w:jc w:val="center"/>
              <w:rPr>
                <w:rFonts w:ascii="Arial" w:eastAsia="Calibri" w:hAnsi="Arial" w:cs="Arial"/>
                <w:b/>
                <w:u w:val="single"/>
              </w:rPr>
            </w:pPr>
          </w:p>
          <w:p w14:paraId="79B195BB" w14:textId="6A16018F" w:rsidR="00A17444" w:rsidRDefault="00A17444" w:rsidP="002551C6">
            <w:pPr>
              <w:jc w:val="center"/>
              <w:rPr>
                <w:rFonts w:ascii="Arial" w:eastAsia="Calibri" w:hAnsi="Arial" w:cs="Arial"/>
                <w:b/>
                <w:u w:val="single"/>
              </w:rPr>
            </w:pPr>
            <w:r>
              <w:rPr>
                <w:rFonts w:ascii="Arial" w:eastAsia="Calibri" w:hAnsi="Arial" w:cs="Arial"/>
                <w:b/>
                <w:u w:val="single"/>
              </w:rPr>
              <w:t>98.80%</w:t>
            </w:r>
          </w:p>
          <w:p w14:paraId="63D04A13" w14:textId="598D670E" w:rsidR="00A17444" w:rsidRDefault="00A17444" w:rsidP="002551C6">
            <w:pPr>
              <w:jc w:val="center"/>
              <w:rPr>
                <w:rFonts w:ascii="Arial" w:eastAsia="Calibri" w:hAnsi="Arial" w:cs="Arial"/>
                <w:b/>
                <w:u w:val="single"/>
              </w:rPr>
            </w:pPr>
            <w:r>
              <w:rPr>
                <w:rFonts w:ascii="Arial" w:eastAsia="Calibri" w:hAnsi="Arial" w:cs="Arial"/>
                <w:b/>
                <w:u w:val="single"/>
              </w:rPr>
              <w:t>95.10%</w:t>
            </w:r>
          </w:p>
          <w:p w14:paraId="24577671" w14:textId="77777777" w:rsidR="00A17444" w:rsidRDefault="00A17444" w:rsidP="002551C6">
            <w:pPr>
              <w:jc w:val="center"/>
              <w:rPr>
                <w:rFonts w:ascii="Arial" w:eastAsia="Calibri" w:hAnsi="Arial" w:cs="Arial"/>
                <w:b/>
                <w:u w:val="single"/>
              </w:rPr>
            </w:pPr>
          </w:p>
          <w:p w14:paraId="36D19054" w14:textId="5CF2299D" w:rsidR="00A17444" w:rsidRPr="006B5E9C" w:rsidRDefault="00A17444" w:rsidP="002551C6">
            <w:pPr>
              <w:jc w:val="center"/>
              <w:rPr>
                <w:rFonts w:ascii="Arial" w:eastAsia="Calibri" w:hAnsi="Arial" w:cs="Arial"/>
                <w:b/>
                <w:u w:val="single"/>
              </w:rPr>
            </w:pPr>
            <w:r>
              <w:rPr>
                <w:rFonts w:ascii="Arial" w:eastAsia="Calibri" w:hAnsi="Arial" w:cs="Arial"/>
                <w:b/>
                <w:u w:val="single"/>
              </w:rPr>
              <w:t>97.50%</w:t>
            </w:r>
          </w:p>
        </w:tc>
        <w:tc>
          <w:tcPr>
            <w:tcW w:w="1804" w:type="dxa"/>
          </w:tcPr>
          <w:p w14:paraId="0138DB85" w14:textId="77777777" w:rsidR="002551C6" w:rsidRDefault="002551C6" w:rsidP="002551C6">
            <w:pPr>
              <w:jc w:val="center"/>
              <w:rPr>
                <w:rFonts w:ascii="Arial" w:eastAsia="Calibri" w:hAnsi="Arial" w:cs="Arial"/>
                <w:b/>
                <w:u w:val="single"/>
              </w:rPr>
            </w:pPr>
          </w:p>
          <w:p w14:paraId="2086E135" w14:textId="77777777" w:rsidR="00A17444" w:rsidRDefault="00A17444" w:rsidP="002551C6">
            <w:pPr>
              <w:jc w:val="center"/>
              <w:rPr>
                <w:rFonts w:ascii="Arial" w:eastAsia="Calibri" w:hAnsi="Arial" w:cs="Arial"/>
                <w:b/>
                <w:u w:val="single"/>
              </w:rPr>
            </w:pPr>
          </w:p>
          <w:p w14:paraId="03316480" w14:textId="77777777" w:rsidR="00A17444" w:rsidRDefault="00A17444" w:rsidP="002551C6">
            <w:pPr>
              <w:jc w:val="center"/>
              <w:rPr>
                <w:rFonts w:ascii="Arial" w:eastAsia="Calibri" w:hAnsi="Arial" w:cs="Arial"/>
                <w:b/>
                <w:u w:val="single"/>
              </w:rPr>
            </w:pPr>
          </w:p>
          <w:p w14:paraId="45F6876D" w14:textId="77777777" w:rsidR="00A17444" w:rsidRDefault="00A17444" w:rsidP="002551C6">
            <w:pPr>
              <w:jc w:val="center"/>
              <w:rPr>
                <w:rFonts w:ascii="Arial" w:eastAsia="Calibri" w:hAnsi="Arial" w:cs="Arial"/>
                <w:b/>
                <w:u w:val="single"/>
              </w:rPr>
            </w:pPr>
          </w:p>
          <w:p w14:paraId="722C1505" w14:textId="1A2175B8" w:rsidR="00A17444" w:rsidRDefault="00347348" w:rsidP="002551C6">
            <w:pPr>
              <w:jc w:val="center"/>
              <w:rPr>
                <w:rFonts w:ascii="Arial" w:eastAsia="Calibri" w:hAnsi="Arial" w:cs="Arial"/>
                <w:b/>
                <w:u w:val="single"/>
              </w:rPr>
            </w:pPr>
            <w:r>
              <w:rPr>
                <w:rFonts w:ascii="Arial" w:eastAsia="Calibri" w:hAnsi="Arial" w:cs="Arial"/>
                <w:b/>
                <w:u w:val="single"/>
              </w:rPr>
              <w:t>98.60%</w:t>
            </w:r>
          </w:p>
          <w:p w14:paraId="55BAE25A" w14:textId="36CA3598" w:rsidR="00A17444" w:rsidRDefault="00347348" w:rsidP="002551C6">
            <w:pPr>
              <w:jc w:val="center"/>
              <w:rPr>
                <w:rFonts w:ascii="Arial" w:eastAsia="Calibri" w:hAnsi="Arial" w:cs="Arial"/>
                <w:b/>
                <w:u w:val="single"/>
              </w:rPr>
            </w:pPr>
            <w:r>
              <w:rPr>
                <w:rFonts w:ascii="Arial" w:eastAsia="Calibri" w:hAnsi="Arial" w:cs="Arial"/>
                <w:b/>
                <w:u w:val="single"/>
              </w:rPr>
              <w:t>94.80%</w:t>
            </w:r>
          </w:p>
          <w:p w14:paraId="43E39FBE" w14:textId="77777777" w:rsidR="00A17444" w:rsidRDefault="00A17444" w:rsidP="002551C6">
            <w:pPr>
              <w:jc w:val="center"/>
              <w:rPr>
                <w:rFonts w:ascii="Arial" w:eastAsia="Calibri" w:hAnsi="Arial" w:cs="Arial"/>
                <w:b/>
                <w:u w:val="single"/>
              </w:rPr>
            </w:pPr>
          </w:p>
          <w:p w14:paraId="209AB57E" w14:textId="4A8D8943" w:rsidR="00A17444" w:rsidRPr="006B5E9C" w:rsidRDefault="00347348" w:rsidP="002551C6">
            <w:pPr>
              <w:jc w:val="center"/>
              <w:rPr>
                <w:rFonts w:ascii="Arial" w:eastAsia="Calibri" w:hAnsi="Arial" w:cs="Arial"/>
                <w:b/>
                <w:u w:val="single"/>
              </w:rPr>
            </w:pPr>
            <w:r>
              <w:rPr>
                <w:rFonts w:ascii="Arial" w:eastAsia="Calibri" w:hAnsi="Arial" w:cs="Arial"/>
                <w:b/>
                <w:u w:val="single"/>
              </w:rPr>
              <w:t>97.20%</w:t>
            </w:r>
          </w:p>
        </w:tc>
        <w:tc>
          <w:tcPr>
            <w:tcW w:w="2042" w:type="dxa"/>
          </w:tcPr>
          <w:p w14:paraId="1615D55B" w14:textId="77777777" w:rsidR="002551C6" w:rsidRDefault="002551C6" w:rsidP="002551C6">
            <w:pPr>
              <w:jc w:val="center"/>
              <w:rPr>
                <w:rFonts w:ascii="Arial" w:eastAsia="Calibri" w:hAnsi="Arial" w:cs="Arial"/>
                <w:b/>
                <w:u w:val="single"/>
              </w:rPr>
            </w:pPr>
          </w:p>
          <w:p w14:paraId="408AAA06" w14:textId="77777777" w:rsidR="00A17444" w:rsidRDefault="00A17444" w:rsidP="002551C6">
            <w:pPr>
              <w:jc w:val="center"/>
              <w:rPr>
                <w:rFonts w:ascii="Arial" w:eastAsia="Calibri" w:hAnsi="Arial" w:cs="Arial"/>
                <w:b/>
                <w:u w:val="single"/>
              </w:rPr>
            </w:pPr>
          </w:p>
          <w:p w14:paraId="5A839BC8" w14:textId="77777777" w:rsidR="00A17444" w:rsidRDefault="00A17444" w:rsidP="002551C6">
            <w:pPr>
              <w:jc w:val="center"/>
              <w:rPr>
                <w:rFonts w:ascii="Arial" w:eastAsia="Calibri" w:hAnsi="Arial" w:cs="Arial"/>
                <w:b/>
                <w:u w:val="single"/>
              </w:rPr>
            </w:pPr>
          </w:p>
          <w:p w14:paraId="37A03426" w14:textId="77777777" w:rsidR="00A17444" w:rsidRDefault="00A17444" w:rsidP="002551C6">
            <w:pPr>
              <w:jc w:val="center"/>
              <w:rPr>
                <w:rFonts w:ascii="Arial" w:eastAsia="Calibri" w:hAnsi="Arial" w:cs="Arial"/>
                <w:b/>
                <w:u w:val="single"/>
              </w:rPr>
            </w:pPr>
          </w:p>
          <w:p w14:paraId="71D6116B" w14:textId="3D015113" w:rsidR="00A17444" w:rsidRDefault="00347348" w:rsidP="002551C6">
            <w:pPr>
              <w:jc w:val="center"/>
              <w:rPr>
                <w:rFonts w:ascii="Arial" w:eastAsia="Calibri" w:hAnsi="Arial" w:cs="Arial"/>
                <w:b/>
                <w:u w:val="single"/>
              </w:rPr>
            </w:pPr>
            <w:r>
              <w:rPr>
                <w:rFonts w:ascii="Arial" w:eastAsia="Calibri" w:hAnsi="Arial" w:cs="Arial"/>
                <w:b/>
                <w:u w:val="single"/>
              </w:rPr>
              <w:t>97.40%</w:t>
            </w:r>
          </w:p>
          <w:p w14:paraId="5EC04694" w14:textId="08E64C83" w:rsidR="00A17444" w:rsidRDefault="00347348" w:rsidP="002551C6">
            <w:pPr>
              <w:jc w:val="center"/>
              <w:rPr>
                <w:rFonts w:ascii="Arial" w:eastAsia="Calibri" w:hAnsi="Arial" w:cs="Arial"/>
                <w:b/>
                <w:u w:val="single"/>
              </w:rPr>
            </w:pPr>
            <w:r>
              <w:rPr>
                <w:rFonts w:ascii="Arial" w:eastAsia="Calibri" w:hAnsi="Arial" w:cs="Arial"/>
                <w:b/>
                <w:u w:val="single"/>
              </w:rPr>
              <w:t>94.30%</w:t>
            </w:r>
          </w:p>
          <w:p w14:paraId="3F248F1B" w14:textId="77777777" w:rsidR="00A17444" w:rsidRDefault="00A17444" w:rsidP="002551C6">
            <w:pPr>
              <w:jc w:val="center"/>
              <w:rPr>
                <w:rFonts w:ascii="Arial" w:eastAsia="Calibri" w:hAnsi="Arial" w:cs="Arial"/>
                <w:b/>
                <w:u w:val="single"/>
              </w:rPr>
            </w:pPr>
          </w:p>
          <w:p w14:paraId="6A31677B" w14:textId="1B0CA021" w:rsidR="00A17444" w:rsidRPr="006B5E9C" w:rsidRDefault="00347348" w:rsidP="002551C6">
            <w:pPr>
              <w:jc w:val="center"/>
              <w:rPr>
                <w:rFonts w:ascii="Arial" w:eastAsia="Calibri" w:hAnsi="Arial" w:cs="Arial"/>
                <w:b/>
                <w:u w:val="single"/>
              </w:rPr>
            </w:pPr>
            <w:r>
              <w:rPr>
                <w:rFonts w:ascii="Arial" w:eastAsia="Calibri" w:hAnsi="Arial" w:cs="Arial"/>
                <w:b/>
                <w:u w:val="single"/>
              </w:rPr>
              <w:t>96.30%</w:t>
            </w:r>
          </w:p>
        </w:tc>
      </w:tr>
      <w:tr w:rsidR="002551C6" w:rsidRPr="004B1294" w14:paraId="107CE2B9" w14:textId="77777777" w:rsidTr="00042E94">
        <w:tc>
          <w:tcPr>
            <w:tcW w:w="1550" w:type="dxa"/>
          </w:tcPr>
          <w:p w14:paraId="1D217942" w14:textId="59A8539F" w:rsidR="002551C6" w:rsidRPr="006B5E9C" w:rsidRDefault="0057387A" w:rsidP="002551C6">
            <w:pPr>
              <w:jc w:val="center"/>
              <w:rPr>
                <w:rFonts w:ascii="Arial" w:hAnsi="Arial" w:cs="Arial"/>
                <w:b/>
              </w:rPr>
            </w:pPr>
            <w:r>
              <w:rPr>
                <w:rFonts w:ascii="Arial" w:hAnsi="Arial" w:cs="Arial"/>
                <w:b/>
              </w:rPr>
              <w:t>21</w:t>
            </w:r>
          </w:p>
        </w:tc>
        <w:tc>
          <w:tcPr>
            <w:tcW w:w="3255" w:type="dxa"/>
          </w:tcPr>
          <w:p w14:paraId="5B568866" w14:textId="64847C78" w:rsidR="0057387A" w:rsidRPr="0057387A" w:rsidRDefault="0057387A" w:rsidP="0057387A">
            <w:pPr>
              <w:jc w:val="both"/>
              <w:rPr>
                <w:rFonts w:ascii="Arial" w:hAnsi="Arial" w:cs="Arial"/>
                <w:b/>
                <w:lang w:val="es-MX"/>
              </w:rPr>
            </w:pPr>
            <w:r w:rsidRPr="0057387A">
              <w:rPr>
                <w:rFonts w:ascii="Arial" w:hAnsi="Arial" w:cs="Arial"/>
                <w:b/>
                <w:lang w:val="es-MX"/>
              </w:rPr>
              <w:t>MINISTERIO DEL INTERIOR.</w:t>
            </w:r>
          </w:p>
          <w:p w14:paraId="0BCCE2F4" w14:textId="77777777" w:rsidR="002551C6" w:rsidRDefault="002551C6" w:rsidP="002551C6">
            <w:pPr>
              <w:jc w:val="both"/>
              <w:rPr>
                <w:rFonts w:ascii="Arial" w:hAnsi="Arial" w:cs="Arial"/>
                <w:b/>
                <w:lang w:val="es-MX"/>
              </w:rPr>
            </w:pPr>
          </w:p>
          <w:p w14:paraId="76DCF726" w14:textId="77777777" w:rsidR="0057387A" w:rsidRDefault="0057387A" w:rsidP="0057387A">
            <w:pPr>
              <w:jc w:val="both"/>
              <w:rPr>
                <w:rFonts w:ascii="Arial" w:hAnsi="Arial" w:cs="Arial"/>
                <w:b/>
                <w:lang w:val="es-MX"/>
              </w:rPr>
            </w:pPr>
            <w:r>
              <w:rPr>
                <w:rFonts w:ascii="Arial" w:hAnsi="Arial" w:cs="Arial"/>
                <w:b/>
                <w:lang w:val="es-MX"/>
              </w:rPr>
              <w:t>FUNCIONAMIENTO</w:t>
            </w:r>
          </w:p>
          <w:p w14:paraId="16025974" w14:textId="77777777" w:rsidR="0057387A" w:rsidRDefault="0057387A" w:rsidP="0057387A">
            <w:pPr>
              <w:jc w:val="both"/>
              <w:rPr>
                <w:rFonts w:ascii="Arial" w:hAnsi="Arial" w:cs="Arial"/>
                <w:b/>
                <w:lang w:val="es-MX"/>
              </w:rPr>
            </w:pPr>
            <w:r>
              <w:rPr>
                <w:rFonts w:ascii="Arial" w:hAnsi="Arial" w:cs="Arial"/>
                <w:b/>
                <w:lang w:val="es-MX"/>
              </w:rPr>
              <w:t>INVERSIÓN</w:t>
            </w:r>
          </w:p>
          <w:p w14:paraId="732E794D" w14:textId="77777777" w:rsidR="0057387A" w:rsidRDefault="0057387A" w:rsidP="0057387A">
            <w:pPr>
              <w:jc w:val="both"/>
              <w:rPr>
                <w:rFonts w:ascii="Arial" w:hAnsi="Arial" w:cs="Arial"/>
                <w:b/>
                <w:lang w:val="es-MX"/>
              </w:rPr>
            </w:pPr>
          </w:p>
          <w:p w14:paraId="2835936C" w14:textId="58F067B9" w:rsidR="0057387A" w:rsidRPr="006B5E9C" w:rsidRDefault="0057387A" w:rsidP="0057387A">
            <w:pPr>
              <w:jc w:val="both"/>
              <w:rPr>
                <w:rFonts w:ascii="Arial" w:hAnsi="Arial" w:cs="Arial"/>
                <w:b/>
                <w:lang w:val="es-MX"/>
              </w:rPr>
            </w:pPr>
            <w:r>
              <w:rPr>
                <w:rFonts w:ascii="Arial" w:hAnsi="Arial" w:cs="Arial"/>
                <w:b/>
                <w:lang w:val="es-MX"/>
              </w:rPr>
              <w:t>TOTAL PRESUPUESTO</w:t>
            </w:r>
          </w:p>
        </w:tc>
        <w:tc>
          <w:tcPr>
            <w:tcW w:w="1839" w:type="dxa"/>
          </w:tcPr>
          <w:p w14:paraId="280DE82C" w14:textId="77777777" w:rsidR="002551C6" w:rsidRDefault="002551C6" w:rsidP="002551C6">
            <w:pPr>
              <w:jc w:val="center"/>
              <w:rPr>
                <w:rFonts w:ascii="Arial" w:eastAsia="Calibri" w:hAnsi="Arial" w:cs="Arial"/>
                <w:b/>
                <w:u w:val="single"/>
              </w:rPr>
            </w:pPr>
          </w:p>
          <w:p w14:paraId="1FE88B59" w14:textId="77777777" w:rsidR="0057387A" w:rsidRDefault="0057387A" w:rsidP="002551C6">
            <w:pPr>
              <w:jc w:val="center"/>
              <w:rPr>
                <w:rFonts w:ascii="Arial" w:eastAsia="Calibri" w:hAnsi="Arial" w:cs="Arial"/>
                <w:b/>
                <w:u w:val="single"/>
              </w:rPr>
            </w:pPr>
          </w:p>
          <w:p w14:paraId="4572991C" w14:textId="53FABA3C" w:rsidR="0057387A" w:rsidRDefault="0057387A" w:rsidP="002551C6">
            <w:pPr>
              <w:jc w:val="center"/>
              <w:rPr>
                <w:rFonts w:ascii="Arial" w:eastAsia="Calibri" w:hAnsi="Arial" w:cs="Arial"/>
                <w:b/>
                <w:u w:val="single"/>
              </w:rPr>
            </w:pPr>
            <w:r>
              <w:rPr>
                <w:rFonts w:ascii="Arial" w:eastAsia="Calibri" w:hAnsi="Arial" w:cs="Arial"/>
                <w:b/>
                <w:u w:val="single"/>
              </w:rPr>
              <w:t>71.00%</w:t>
            </w:r>
          </w:p>
          <w:p w14:paraId="27A6F153" w14:textId="4C474F3F" w:rsidR="0057387A" w:rsidRDefault="0057387A" w:rsidP="002551C6">
            <w:pPr>
              <w:jc w:val="center"/>
              <w:rPr>
                <w:rFonts w:ascii="Arial" w:eastAsia="Calibri" w:hAnsi="Arial" w:cs="Arial"/>
                <w:b/>
                <w:u w:val="single"/>
              </w:rPr>
            </w:pPr>
            <w:r>
              <w:rPr>
                <w:rFonts w:ascii="Arial" w:eastAsia="Calibri" w:hAnsi="Arial" w:cs="Arial"/>
                <w:b/>
                <w:u w:val="single"/>
              </w:rPr>
              <w:t>86.00%</w:t>
            </w:r>
          </w:p>
          <w:p w14:paraId="3EE91393" w14:textId="77777777" w:rsidR="0057387A" w:rsidRDefault="0057387A" w:rsidP="002551C6">
            <w:pPr>
              <w:jc w:val="center"/>
              <w:rPr>
                <w:rFonts w:ascii="Arial" w:eastAsia="Calibri" w:hAnsi="Arial" w:cs="Arial"/>
                <w:b/>
                <w:u w:val="single"/>
              </w:rPr>
            </w:pPr>
          </w:p>
          <w:p w14:paraId="2A6563C9" w14:textId="60A35BAB" w:rsidR="0057387A" w:rsidRPr="006B5E9C" w:rsidRDefault="0057387A" w:rsidP="002551C6">
            <w:pPr>
              <w:jc w:val="center"/>
              <w:rPr>
                <w:rFonts w:ascii="Arial" w:eastAsia="Calibri" w:hAnsi="Arial" w:cs="Arial"/>
                <w:b/>
                <w:u w:val="single"/>
              </w:rPr>
            </w:pPr>
            <w:r>
              <w:rPr>
                <w:rFonts w:ascii="Arial" w:eastAsia="Calibri" w:hAnsi="Arial" w:cs="Arial"/>
                <w:b/>
                <w:u w:val="single"/>
              </w:rPr>
              <w:t>77.00%</w:t>
            </w:r>
          </w:p>
        </w:tc>
        <w:tc>
          <w:tcPr>
            <w:tcW w:w="1804" w:type="dxa"/>
          </w:tcPr>
          <w:p w14:paraId="620284EE" w14:textId="77777777" w:rsidR="002551C6" w:rsidRDefault="002551C6" w:rsidP="002551C6">
            <w:pPr>
              <w:jc w:val="center"/>
              <w:rPr>
                <w:rFonts w:ascii="Arial" w:eastAsia="Calibri" w:hAnsi="Arial" w:cs="Arial"/>
                <w:b/>
                <w:u w:val="single"/>
              </w:rPr>
            </w:pPr>
          </w:p>
          <w:p w14:paraId="7ED44491" w14:textId="77777777" w:rsidR="0057387A" w:rsidRDefault="0057387A" w:rsidP="002551C6">
            <w:pPr>
              <w:jc w:val="center"/>
              <w:rPr>
                <w:rFonts w:ascii="Arial" w:eastAsia="Calibri" w:hAnsi="Arial" w:cs="Arial"/>
                <w:b/>
                <w:u w:val="single"/>
              </w:rPr>
            </w:pPr>
          </w:p>
          <w:p w14:paraId="249EC6FD" w14:textId="6F34191B" w:rsidR="0057387A" w:rsidRDefault="0057387A" w:rsidP="002551C6">
            <w:pPr>
              <w:jc w:val="center"/>
              <w:rPr>
                <w:rFonts w:ascii="Arial" w:eastAsia="Calibri" w:hAnsi="Arial" w:cs="Arial"/>
                <w:b/>
                <w:u w:val="single"/>
              </w:rPr>
            </w:pPr>
            <w:r>
              <w:rPr>
                <w:rFonts w:ascii="Arial" w:eastAsia="Calibri" w:hAnsi="Arial" w:cs="Arial"/>
                <w:b/>
                <w:u w:val="single"/>
              </w:rPr>
              <w:t>45.00%</w:t>
            </w:r>
          </w:p>
          <w:p w14:paraId="34F16C20" w14:textId="437CA77A" w:rsidR="0057387A" w:rsidRDefault="0057387A" w:rsidP="002551C6">
            <w:pPr>
              <w:jc w:val="center"/>
              <w:rPr>
                <w:rFonts w:ascii="Arial" w:eastAsia="Calibri" w:hAnsi="Arial" w:cs="Arial"/>
                <w:b/>
                <w:u w:val="single"/>
              </w:rPr>
            </w:pPr>
            <w:r>
              <w:rPr>
                <w:rFonts w:ascii="Arial" w:eastAsia="Calibri" w:hAnsi="Arial" w:cs="Arial"/>
                <w:b/>
                <w:u w:val="single"/>
              </w:rPr>
              <w:t>34.00%</w:t>
            </w:r>
          </w:p>
          <w:p w14:paraId="712165F8" w14:textId="77777777" w:rsidR="0057387A" w:rsidRDefault="0057387A" w:rsidP="002551C6">
            <w:pPr>
              <w:jc w:val="center"/>
              <w:rPr>
                <w:rFonts w:ascii="Arial" w:eastAsia="Calibri" w:hAnsi="Arial" w:cs="Arial"/>
                <w:b/>
                <w:u w:val="single"/>
              </w:rPr>
            </w:pPr>
          </w:p>
          <w:p w14:paraId="0EB1EFC9" w14:textId="28E34554" w:rsidR="0057387A" w:rsidRPr="006B5E9C" w:rsidRDefault="0057387A" w:rsidP="002551C6">
            <w:pPr>
              <w:jc w:val="center"/>
              <w:rPr>
                <w:rFonts w:ascii="Arial" w:eastAsia="Calibri" w:hAnsi="Arial" w:cs="Arial"/>
                <w:b/>
                <w:u w:val="single"/>
              </w:rPr>
            </w:pPr>
            <w:r>
              <w:rPr>
                <w:rFonts w:ascii="Arial" w:eastAsia="Calibri" w:hAnsi="Arial" w:cs="Arial"/>
                <w:b/>
                <w:u w:val="single"/>
              </w:rPr>
              <w:t>41.00%</w:t>
            </w:r>
          </w:p>
        </w:tc>
        <w:tc>
          <w:tcPr>
            <w:tcW w:w="2042" w:type="dxa"/>
          </w:tcPr>
          <w:p w14:paraId="42A797C1" w14:textId="77777777" w:rsidR="002551C6" w:rsidRDefault="002551C6" w:rsidP="002551C6">
            <w:pPr>
              <w:jc w:val="center"/>
              <w:rPr>
                <w:rFonts w:ascii="Arial" w:eastAsia="Calibri" w:hAnsi="Arial" w:cs="Arial"/>
                <w:b/>
                <w:u w:val="single"/>
              </w:rPr>
            </w:pPr>
          </w:p>
          <w:p w14:paraId="674D4F8F" w14:textId="77777777" w:rsidR="0057387A" w:rsidRDefault="0057387A" w:rsidP="002551C6">
            <w:pPr>
              <w:jc w:val="center"/>
              <w:rPr>
                <w:rFonts w:ascii="Arial" w:eastAsia="Calibri" w:hAnsi="Arial" w:cs="Arial"/>
                <w:b/>
                <w:u w:val="single"/>
              </w:rPr>
            </w:pPr>
          </w:p>
          <w:p w14:paraId="2F8D6DC5" w14:textId="40C53CE3" w:rsidR="0057387A" w:rsidRDefault="0057387A" w:rsidP="002551C6">
            <w:pPr>
              <w:jc w:val="center"/>
              <w:rPr>
                <w:rFonts w:ascii="Arial" w:eastAsia="Calibri" w:hAnsi="Arial" w:cs="Arial"/>
                <w:b/>
                <w:u w:val="single"/>
              </w:rPr>
            </w:pPr>
            <w:r>
              <w:rPr>
                <w:rFonts w:ascii="Arial" w:eastAsia="Calibri" w:hAnsi="Arial" w:cs="Arial"/>
                <w:b/>
                <w:u w:val="single"/>
              </w:rPr>
              <w:t>44.00%</w:t>
            </w:r>
          </w:p>
          <w:p w14:paraId="52390C54" w14:textId="3294FC52" w:rsidR="0057387A" w:rsidRDefault="0057387A" w:rsidP="002551C6">
            <w:pPr>
              <w:jc w:val="center"/>
              <w:rPr>
                <w:rFonts w:ascii="Arial" w:eastAsia="Calibri" w:hAnsi="Arial" w:cs="Arial"/>
                <w:b/>
                <w:u w:val="single"/>
              </w:rPr>
            </w:pPr>
            <w:r>
              <w:rPr>
                <w:rFonts w:ascii="Arial" w:eastAsia="Calibri" w:hAnsi="Arial" w:cs="Arial"/>
                <w:b/>
                <w:u w:val="single"/>
              </w:rPr>
              <w:t>33.00%</w:t>
            </w:r>
          </w:p>
          <w:p w14:paraId="5C229F45" w14:textId="77777777" w:rsidR="0057387A" w:rsidRDefault="0057387A" w:rsidP="002551C6">
            <w:pPr>
              <w:jc w:val="center"/>
              <w:rPr>
                <w:rFonts w:ascii="Arial" w:eastAsia="Calibri" w:hAnsi="Arial" w:cs="Arial"/>
                <w:b/>
                <w:u w:val="single"/>
              </w:rPr>
            </w:pPr>
          </w:p>
          <w:p w14:paraId="5B48BCB9" w14:textId="1C483763" w:rsidR="0057387A" w:rsidRPr="006B5E9C" w:rsidRDefault="0057387A" w:rsidP="002551C6">
            <w:pPr>
              <w:jc w:val="center"/>
              <w:rPr>
                <w:rFonts w:ascii="Arial" w:eastAsia="Calibri" w:hAnsi="Arial" w:cs="Arial"/>
                <w:b/>
                <w:u w:val="single"/>
              </w:rPr>
            </w:pPr>
            <w:r>
              <w:rPr>
                <w:rFonts w:ascii="Arial" w:eastAsia="Calibri" w:hAnsi="Arial" w:cs="Arial"/>
                <w:b/>
                <w:u w:val="single"/>
              </w:rPr>
              <w:t>40.00%</w:t>
            </w:r>
          </w:p>
        </w:tc>
      </w:tr>
      <w:tr w:rsidR="002551C6" w:rsidRPr="004B1294" w14:paraId="7CE504A1" w14:textId="77777777" w:rsidTr="00042E94">
        <w:tc>
          <w:tcPr>
            <w:tcW w:w="1550" w:type="dxa"/>
          </w:tcPr>
          <w:p w14:paraId="3D7357FC" w14:textId="4A9EC3B5" w:rsidR="002551C6" w:rsidRPr="006B5E9C" w:rsidRDefault="00F676C2" w:rsidP="002551C6">
            <w:pPr>
              <w:jc w:val="center"/>
              <w:rPr>
                <w:rFonts w:ascii="Arial" w:hAnsi="Arial" w:cs="Arial"/>
                <w:b/>
              </w:rPr>
            </w:pPr>
            <w:r>
              <w:rPr>
                <w:rFonts w:ascii="Arial" w:hAnsi="Arial" w:cs="Arial"/>
                <w:b/>
              </w:rPr>
              <w:t>22</w:t>
            </w:r>
          </w:p>
        </w:tc>
        <w:tc>
          <w:tcPr>
            <w:tcW w:w="3255" w:type="dxa"/>
          </w:tcPr>
          <w:p w14:paraId="22F83B4D" w14:textId="38DBF431" w:rsidR="00F676C2" w:rsidRPr="00F676C2" w:rsidRDefault="00F676C2" w:rsidP="00F676C2">
            <w:pPr>
              <w:jc w:val="both"/>
              <w:rPr>
                <w:rFonts w:ascii="Arial" w:hAnsi="Arial" w:cs="Arial"/>
                <w:b/>
                <w:lang w:val="es-MX"/>
              </w:rPr>
            </w:pPr>
            <w:r w:rsidRPr="00F676C2">
              <w:rPr>
                <w:rFonts w:ascii="Arial" w:hAnsi="Arial" w:cs="Arial"/>
                <w:b/>
                <w:lang w:val="es-MX"/>
              </w:rPr>
              <w:t>DIRECCIÓN NACIONAL DE BOMBEROS DE COLOMBIA - DNBC.</w:t>
            </w:r>
          </w:p>
          <w:p w14:paraId="63E2A16A" w14:textId="77777777" w:rsidR="002551C6" w:rsidRDefault="002551C6" w:rsidP="002551C6">
            <w:pPr>
              <w:jc w:val="both"/>
              <w:rPr>
                <w:rFonts w:ascii="Arial" w:hAnsi="Arial" w:cs="Arial"/>
                <w:b/>
                <w:lang w:val="es-MX"/>
              </w:rPr>
            </w:pPr>
          </w:p>
          <w:p w14:paraId="2ABB47F4" w14:textId="77777777" w:rsidR="00F676C2" w:rsidRDefault="00F676C2" w:rsidP="00F676C2">
            <w:pPr>
              <w:jc w:val="both"/>
              <w:rPr>
                <w:rFonts w:ascii="Arial" w:hAnsi="Arial" w:cs="Arial"/>
                <w:b/>
                <w:lang w:val="es-MX"/>
              </w:rPr>
            </w:pPr>
            <w:r>
              <w:rPr>
                <w:rFonts w:ascii="Arial" w:hAnsi="Arial" w:cs="Arial"/>
                <w:b/>
                <w:lang w:val="es-MX"/>
              </w:rPr>
              <w:t>FUNCIONAMIENTO</w:t>
            </w:r>
          </w:p>
          <w:p w14:paraId="6DC437CD" w14:textId="77777777" w:rsidR="00F676C2" w:rsidRDefault="00F676C2" w:rsidP="00F676C2">
            <w:pPr>
              <w:jc w:val="both"/>
              <w:rPr>
                <w:rFonts w:ascii="Arial" w:hAnsi="Arial" w:cs="Arial"/>
                <w:b/>
                <w:lang w:val="es-MX"/>
              </w:rPr>
            </w:pPr>
            <w:r>
              <w:rPr>
                <w:rFonts w:ascii="Arial" w:hAnsi="Arial" w:cs="Arial"/>
                <w:b/>
                <w:lang w:val="es-MX"/>
              </w:rPr>
              <w:t>INVERSIÓN</w:t>
            </w:r>
          </w:p>
          <w:p w14:paraId="1B9DA8DA" w14:textId="77777777" w:rsidR="00F676C2" w:rsidRDefault="00F676C2" w:rsidP="00F676C2">
            <w:pPr>
              <w:jc w:val="both"/>
              <w:rPr>
                <w:rFonts w:ascii="Arial" w:hAnsi="Arial" w:cs="Arial"/>
                <w:b/>
                <w:lang w:val="es-MX"/>
              </w:rPr>
            </w:pPr>
          </w:p>
          <w:p w14:paraId="0D0346A0" w14:textId="22A5E350" w:rsidR="00F676C2" w:rsidRPr="006B5E9C" w:rsidRDefault="00F676C2" w:rsidP="002551C6">
            <w:pPr>
              <w:jc w:val="both"/>
              <w:rPr>
                <w:rFonts w:ascii="Arial" w:hAnsi="Arial" w:cs="Arial"/>
                <w:b/>
                <w:lang w:val="es-MX"/>
              </w:rPr>
            </w:pPr>
            <w:r>
              <w:rPr>
                <w:rFonts w:ascii="Arial" w:hAnsi="Arial" w:cs="Arial"/>
                <w:b/>
                <w:lang w:val="es-MX"/>
              </w:rPr>
              <w:t>TOTAL PRESUPUESTO</w:t>
            </w:r>
          </w:p>
        </w:tc>
        <w:tc>
          <w:tcPr>
            <w:tcW w:w="1839" w:type="dxa"/>
          </w:tcPr>
          <w:p w14:paraId="2AA7816C" w14:textId="77777777" w:rsidR="002551C6" w:rsidRDefault="002551C6" w:rsidP="002551C6">
            <w:pPr>
              <w:jc w:val="center"/>
              <w:rPr>
                <w:rFonts w:ascii="Arial" w:eastAsia="Calibri" w:hAnsi="Arial" w:cs="Arial"/>
                <w:b/>
                <w:u w:val="single"/>
              </w:rPr>
            </w:pPr>
          </w:p>
          <w:p w14:paraId="287A122F" w14:textId="77777777" w:rsidR="00F676C2" w:rsidRDefault="00F676C2" w:rsidP="002551C6">
            <w:pPr>
              <w:jc w:val="center"/>
              <w:rPr>
                <w:rFonts w:ascii="Arial" w:eastAsia="Calibri" w:hAnsi="Arial" w:cs="Arial"/>
                <w:b/>
                <w:u w:val="single"/>
              </w:rPr>
            </w:pPr>
          </w:p>
          <w:p w14:paraId="361F89D3" w14:textId="77777777" w:rsidR="00F676C2" w:rsidRDefault="00F676C2" w:rsidP="002551C6">
            <w:pPr>
              <w:jc w:val="center"/>
              <w:rPr>
                <w:rFonts w:ascii="Arial" w:eastAsia="Calibri" w:hAnsi="Arial" w:cs="Arial"/>
                <w:b/>
                <w:u w:val="single"/>
              </w:rPr>
            </w:pPr>
          </w:p>
          <w:p w14:paraId="10EAE8DD" w14:textId="77777777" w:rsidR="00F676C2" w:rsidRDefault="00F676C2" w:rsidP="002551C6">
            <w:pPr>
              <w:jc w:val="center"/>
              <w:rPr>
                <w:rFonts w:ascii="Arial" w:eastAsia="Calibri" w:hAnsi="Arial" w:cs="Arial"/>
                <w:b/>
                <w:u w:val="single"/>
              </w:rPr>
            </w:pPr>
          </w:p>
          <w:p w14:paraId="174D8B57" w14:textId="1F223DDF" w:rsidR="00F676C2" w:rsidRDefault="00F676C2" w:rsidP="002551C6">
            <w:pPr>
              <w:jc w:val="center"/>
              <w:rPr>
                <w:rFonts w:ascii="Arial" w:eastAsia="Calibri" w:hAnsi="Arial" w:cs="Arial"/>
                <w:b/>
                <w:u w:val="single"/>
              </w:rPr>
            </w:pPr>
            <w:r>
              <w:rPr>
                <w:rFonts w:ascii="Arial" w:eastAsia="Calibri" w:hAnsi="Arial" w:cs="Arial"/>
                <w:b/>
                <w:u w:val="single"/>
              </w:rPr>
              <w:t>94.58%</w:t>
            </w:r>
          </w:p>
          <w:p w14:paraId="074BF40B" w14:textId="62203320" w:rsidR="00F676C2" w:rsidRDefault="00F676C2" w:rsidP="002551C6">
            <w:pPr>
              <w:jc w:val="center"/>
              <w:rPr>
                <w:rFonts w:ascii="Arial" w:eastAsia="Calibri" w:hAnsi="Arial" w:cs="Arial"/>
                <w:b/>
                <w:u w:val="single"/>
              </w:rPr>
            </w:pPr>
            <w:r>
              <w:rPr>
                <w:rFonts w:ascii="Arial" w:eastAsia="Calibri" w:hAnsi="Arial" w:cs="Arial"/>
                <w:b/>
                <w:u w:val="single"/>
              </w:rPr>
              <w:t>92.00%</w:t>
            </w:r>
          </w:p>
          <w:p w14:paraId="6C1DC7EF" w14:textId="77777777" w:rsidR="00F676C2" w:rsidRDefault="00F676C2" w:rsidP="002551C6">
            <w:pPr>
              <w:jc w:val="center"/>
              <w:rPr>
                <w:rFonts w:ascii="Arial" w:eastAsia="Calibri" w:hAnsi="Arial" w:cs="Arial"/>
                <w:b/>
                <w:u w:val="single"/>
              </w:rPr>
            </w:pPr>
          </w:p>
          <w:p w14:paraId="51B92710" w14:textId="1570580E" w:rsidR="00F676C2" w:rsidRPr="006B5E9C" w:rsidRDefault="00F676C2" w:rsidP="002551C6">
            <w:pPr>
              <w:jc w:val="center"/>
              <w:rPr>
                <w:rFonts w:ascii="Arial" w:eastAsia="Calibri" w:hAnsi="Arial" w:cs="Arial"/>
                <w:b/>
                <w:u w:val="single"/>
              </w:rPr>
            </w:pPr>
            <w:r>
              <w:rPr>
                <w:rFonts w:ascii="Arial" w:eastAsia="Calibri" w:hAnsi="Arial" w:cs="Arial"/>
                <w:b/>
                <w:u w:val="single"/>
              </w:rPr>
              <w:t>92.00%</w:t>
            </w:r>
          </w:p>
        </w:tc>
        <w:tc>
          <w:tcPr>
            <w:tcW w:w="1804" w:type="dxa"/>
          </w:tcPr>
          <w:p w14:paraId="11F6D77C" w14:textId="77777777" w:rsidR="002551C6" w:rsidRDefault="002551C6" w:rsidP="002551C6">
            <w:pPr>
              <w:jc w:val="center"/>
              <w:rPr>
                <w:rFonts w:ascii="Arial" w:eastAsia="Calibri" w:hAnsi="Arial" w:cs="Arial"/>
                <w:b/>
                <w:u w:val="single"/>
              </w:rPr>
            </w:pPr>
          </w:p>
          <w:p w14:paraId="5B72B4F2" w14:textId="77777777" w:rsidR="00F676C2" w:rsidRDefault="00F676C2" w:rsidP="002551C6">
            <w:pPr>
              <w:jc w:val="center"/>
              <w:rPr>
                <w:rFonts w:ascii="Arial" w:eastAsia="Calibri" w:hAnsi="Arial" w:cs="Arial"/>
                <w:b/>
                <w:u w:val="single"/>
              </w:rPr>
            </w:pPr>
          </w:p>
          <w:p w14:paraId="0E4B3A67" w14:textId="77777777" w:rsidR="00F676C2" w:rsidRDefault="00F676C2" w:rsidP="002551C6">
            <w:pPr>
              <w:jc w:val="center"/>
              <w:rPr>
                <w:rFonts w:ascii="Arial" w:eastAsia="Calibri" w:hAnsi="Arial" w:cs="Arial"/>
                <w:b/>
                <w:u w:val="single"/>
              </w:rPr>
            </w:pPr>
          </w:p>
          <w:p w14:paraId="286A7CFB" w14:textId="77777777" w:rsidR="00F676C2" w:rsidRDefault="00F676C2" w:rsidP="002551C6">
            <w:pPr>
              <w:jc w:val="center"/>
              <w:rPr>
                <w:rFonts w:ascii="Arial" w:eastAsia="Calibri" w:hAnsi="Arial" w:cs="Arial"/>
                <w:b/>
                <w:u w:val="single"/>
              </w:rPr>
            </w:pPr>
          </w:p>
          <w:p w14:paraId="53857945" w14:textId="2B931F7F" w:rsidR="00F676C2" w:rsidRDefault="00F676C2" w:rsidP="002551C6">
            <w:pPr>
              <w:jc w:val="center"/>
              <w:rPr>
                <w:rFonts w:ascii="Arial" w:eastAsia="Calibri" w:hAnsi="Arial" w:cs="Arial"/>
                <w:b/>
                <w:u w:val="single"/>
              </w:rPr>
            </w:pPr>
            <w:r>
              <w:rPr>
                <w:rFonts w:ascii="Arial" w:eastAsia="Calibri" w:hAnsi="Arial" w:cs="Arial"/>
                <w:b/>
                <w:u w:val="single"/>
              </w:rPr>
              <w:t>94.19%</w:t>
            </w:r>
          </w:p>
          <w:p w14:paraId="4A24B836" w14:textId="064E665A" w:rsidR="00F676C2" w:rsidRDefault="00F676C2" w:rsidP="002551C6">
            <w:pPr>
              <w:jc w:val="center"/>
              <w:rPr>
                <w:rFonts w:ascii="Arial" w:eastAsia="Calibri" w:hAnsi="Arial" w:cs="Arial"/>
                <w:b/>
                <w:u w:val="single"/>
              </w:rPr>
            </w:pPr>
            <w:r>
              <w:rPr>
                <w:rFonts w:ascii="Arial" w:eastAsia="Calibri" w:hAnsi="Arial" w:cs="Arial"/>
                <w:b/>
                <w:u w:val="single"/>
              </w:rPr>
              <w:t>74.00%</w:t>
            </w:r>
          </w:p>
          <w:p w14:paraId="26B0F040" w14:textId="77777777" w:rsidR="00F676C2" w:rsidRDefault="00F676C2" w:rsidP="002551C6">
            <w:pPr>
              <w:jc w:val="center"/>
              <w:rPr>
                <w:rFonts w:ascii="Arial" w:eastAsia="Calibri" w:hAnsi="Arial" w:cs="Arial"/>
                <w:b/>
                <w:u w:val="single"/>
              </w:rPr>
            </w:pPr>
          </w:p>
          <w:p w14:paraId="471C80D5" w14:textId="37A9657D" w:rsidR="00F676C2" w:rsidRPr="006B5E9C" w:rsidRDefault="00F676C2" w:rsidP="002551C6">
            <w:pPr>
              <w:jc w:val="center"/>
              <w:rPr>
                <w:rFonts w:ascii="Arial" w:eastAsia="Calibri" w:hAnsi="Arial" w:cs="Arial"/>
                <w:b/>
                <w:u w:val="single"/>
              </w:rPr>
            </w:pPr>
            <w:r>
              <w:rPr>
                <w:rFonts w:ascii="Arial" w:eastAsia="Calibri" w:hAnsi="Arial" w:cs="Arial"/>
                <w:b/>
                <w:u w:val="single"/>
              </w:rPr>
              <w:t>76.00%</w:t>
            </w:r>
          </w:p>
        </w:tc>
        <w:tc>
          <w:tcPr>
            <w:tcW w:w="2042" w:type="dxa"/>
          </w:tcPr>
          <w:p w14:paraId="5456F7DC" w14:textId="77777777" w:rsidR="002551C6" w:rsidRDefault="002551C6" w:rsidP="002551C6">
            <w:pPr>
              <w:jc w:val="center"/>
              <w:rPr>
                <w:rFonts w:ascii="Arial" w:eastAsia="Calibri" w:hAnsi="Arial" w:cs="Arial"/>
                <w:b/>
                <w:u w:val="single"/>
              </w:rPr>
            </w:pPr>
          </w:p>
          <w:p w14:paraId="009142D2" w14:textId="77777777" w:rsidR="00F676C2" w:rsidRDefault="00F676C2" w:rsidP="002551C6">
            <w:pPr>
              <w:jc w:val="center"/>
              <w:rPr>
                <w:rFonts w:ascii="Arial" w:eastAsia="Calibri" w:hAnsi="Arial" w:cs="Arial"/>
                <w:b/>
                <w:u w:val="single"/>
              </w:rPr>
            </w:pPr>
          </w:p>
          <w:p w14:paraId="7852CB5F" w14:textId="77777777" w:rsidR="00F676C2" w:rsidRDefault="00F676C2" w:rsidP="002551C6">
            <w:pPr>
              <w:jc w:val="center"/>
              <w:rPr>
                <w:rFonts w:ascii="Arial" w:eastAsia="Calibri" w:hAnsi="Arial" w:cs="Arial"/>
                <w:b/>
                <w:u w:val="single"/>
              </w:rPr>
            </w:pPr>
          </w:p>
          <w:p w14:paraId="0A8267ED" w14:textId="77777777" w:rsidR="00F676C2" w:rsidRDefault="00F676C2" w:rsidP="002551C6">
            <w:pPr>
              <w:jc w:val="center"/>
              <w:rPr>
                <w:rFonts w:ascii="Arial" w:eastAsia="Calibri" w:hAnsi="Arial" w:cs="Arial"/>
                <w:b/>
                <w:u w:val="single"/>
              </w:rPr>
            </w:pPr>
          </w:p>
          <w:p w14:paraId="04894435" w14:textId="6FFBD80C" w:rsidR="00F676C2" w:rsidRDefault="00F676C2" w:rsidP="002551C6">
            <w:pPr>
              <w:jc w:val="center"/>
              <w:rPr>
                <w:rFonts w:ascii="Arial" w:eastAsia="Calibri" w:hAnsi="Arial" w:cs="Arial"/>
                <w:b/>
                <w:u w:val="single"/>
              </w:rPr>
            </w:pPr>
            <w:r>
              <w:rPr>
                <w:rFonts w:ascii="Arial" w:eastAsia="Calibri" w:hAnsi="Arial" w:cs="Arial"/>
                <w:b/>
                <w:u w:val="single"/>
              </w:rPr>
              <w:t>94.19%</w:t>
            </w:r>
          </w:p>
          <w:p w14:paraId="22E147CB" w14:textId="49759F92" w:rsidR="00F676C2" w:rsidRDefault="00F676C2" w:rsidP="002551C6">
            <w:pPr>
              <w:jc w:val="center"/>
              <w:rPr>
                <w:rFonts w:ascii="Arial" w:eastAsia="Calibri" w:hAnsi="Arial" w:cs="Arial"/>
                <w:b/>
                <w:u w:val="single"/>
              </w:rPr>
            </w:pPr>
            <w:r>
              <w:rPr>
                <w:rFonts w:ascii="Arial" w:eastAsia="Calibri" w:hAnsi="Arial" w:cs="Arial"/>
                <w:b/>
                <w:u w:val="single"/>
              </w:rPr>
              <w:t>74.00%</w:t>
            </w:r>
          </w:p>
          <w:p w14:paraId="0E157957" w14:textId="77777777" w:rsidR="00F676C2" w:rsidRDefault="00F676C2" w:rsidP="002551C6">
            <w:pPr>
              <w:jc w:val="center"/>
              <w:rPr>
                <w:rFonts w:ascii="Arial" w:eastAsia="Calibri" w:hAnsi="Arial" w:cs="Arial"/>
                <w:b/>
                <w:u w:val="single"/>
              </w:rPr>
            </w:pPr>
          </w:p>
          <w:p w14:paraId="2B873410" w14:textId="57A5C666" w:rsidR="00F676C2" w:rsidRPr="006B5E9C" w:rsidRDefault="00F676C2" w:rsidP="002551C6">
            <w:pPr>
              <w:jc w:val="center"/>
              <w:rPr>
                <w:rFonts w:ascii="Arial" w:eastAsia="Calibri" w:hAnsi="Arial" w:cs="Arial"/>
                <w:b/>
                <w:u w:val="single"/>
              </w:rPr>
            </w:pPr>
            <w:r>
              <w:rPr>
                <w:rFonts w:ascii="Arial" w:eastAsia="Calibri" w:hAnsi="Arial" w:cs="Arial"/>
                <w:b/>
                <w:u w:val="single"/>
              </w:rPr>
              <w:t>76.00%</w:t>
            </w:r>
          </w:p>
        </w:tc>
      </w:tr>
      <w:tr w:rsidR="002551C6" w:rsidRPr="004B1294" w14:paraId="704E8B64" w14:textId="77777777" w:rsidTr="00042E94">
        <w:tc>
          <w:tcPr>
            <w:tcW w:w="1550" w:type="dxa"/>
          </w:tcPr>
          <w:p w14:paraId="1CABC3D1" w14:textId="15577CA1" w:rsidR="002551C6" w:rsidRPr="006B5E9C" w:rsidRDefault="00AD023F" w:rsidP="002551C6">
            <w:pPr>
              <w:jc w:val="center"/>
              <w:rPr>
                <w:rFonts w:ascii="Arial" w:hAnsi="Arial" w:cs="Arial"/>
                <w:b/>
              </w:rPr>
            </w:pPr>
            <w:r>
              <w:rPr>
                <w:rFonts w:ascii="Arial" w:hAnsi="Arial" w:cs="Arial"/>
                <w:b/>
              </w:rPr>
              <w:t>23</w:t>
            </w:r>
          </w:p>
        </w:tc>
        <w:tc>
          <w:tcPr>
            <w:tcW w:w="3255" w:type="dxa"/>
          </w:tcPr>
          <w:p w14:paraId="5671A42A" w14:textId="5854F8FD" w:rsidR="00AD023F" w:rsidRPr="00AD023F" w:rsidRDefault="00AD023F" w:rsidP="00AD023F">
            <w:pPr>
              <w:jc w:val="both"/>
              <w:rPr>
                <w:rFonts w:ascii="Arial" w:hAnsi="Arial" w:cs="Arial"/>
                <w:b/>
                <w:lang w:val="es-MX"/>
              </w:rPr>
            </w:pPr>
            <w:r w:rsidRPr="00AD023F">
              <w:rPr>
                <w:rFonts w:ascii="Arial" w:hAnsi="Arial" w:cs="Arial"/>
                <w:b/>
                <w:lang w:val="es-MX"/>
              </w:rPr>
              <w:t>INSTITUTO NACIONAL DE VÍAS - INVÍAS.</w:t>
            </w:r>
          </w:p>
          <w:p w14:paraId="2BF48599" w14:textId="77777777" w:rsidR="002551C6" w:rsidRDefault="002551C6" w:rsidP="002551C6">
            <w:pPr>
              <w:jc w:val="both"/>
              <w:rPr>
                <w:rFonts w:ascii="Arial" w:hAnsi="Arial" w:cs="Arial"/>
                <w:b/>
                <w:lang w:val="es-MX"/>
              </w:rPr>
            </w:pPr>
          </w:p>
          <w:p w14:paraId="152C1F12" w14:textId="77777777" w:rsidR="00AD023F" w:rsidRDefault="00AD023F" w:rsidP="00AD023F">
            <w:pPr>
              <w:jc w:val="both"/>
              <w:rPr>
                <w:rFonts w:ascii="Arial" w:hAnsi="Arial" w:cs="Arial"/>
                <w:b/>
                <w:lang w:val="es-MX"/>
              </w:rPr>
            </w:pPr>
            <w:r>
              <w:rPr>
                <w:rFonts w:ascii="Arial" w:hAnsi="Arial" w:cs="Arial"/>
                <w:b/>
                <w:lang w:val="es-MX"/>
              </w:rPr>
              <w:lastRenderedPageBreak/>
              <w:t>FUNCIONAMIENTO</w:t>
            </w:r>
          </w:p>
          <w:p w14:paraId="58B0BC32" w14:textId="77777777" w:rsidR="00AD023F" w:rsidRDefault="00AD023F" w:rsidP="00AD023F">
            <w:pPr>
              <w:jc w:val="both"/>
              <w:rPr>
                <w:rFonts w:ascii="Arial" w:hAnsi="Arial" w:cs="Arial"/>
                <w:b/>
                <w:lang w:val="es-MX"/>
              </w:rPr>
            </w:pPr>
            <w:r>
              <w:rPr>
                <w:rFonts w:ascii="Arial" w:hAnsi="Arial" w:cs="Arial"/>
                <w:b/>
                <w:lang w:val="es-MX"/>
              </w:rPr>
              <w:t>INVERSIÓN</w:t>
            </w:r>
          </w:p>
          <w:p w14:paraId="0F30AF05" w14:textId="77777777" w:rsidR="00AD023F" w:rsidRDefault="00AD023F" w:rsidP="00AD023F">
            <w:pPr>
              <w:jc w:val="both"/>
              <w:rPr>
                <w:rFonts w:ascii="Arial" w:hAnsi="Arial" w:cs="Arial"/>
                <w:b/>
                <w:lang w:val="es-MX"/>
              </w:rPr>
            </w:pPr>
          </w:p>
          <w:p w14:paraId="0483DFC7" w14:textId="59B71906" w:rsidR="00AD023F" w:rsidRPr="006B5E9C" w:rsidRDefault="00AD023F" w:rsidP="00AD023F">
            <w:pPr>
              <w:jc w:val="both"/>
              <w:rPr>
                <w:rFonts w:ascii="Arial" w:hAnsi="Arial" w:cs="Arial"/>
                <w:b/>
                <w:lang w:val="es-MX"/>
              </w:rPr>
            </w:pPr>
            <w:r>
              <w:rPr>
                <w:rFonts w:ascii="Arial" w:hAnsi="Arial" w:cs="Arial"/>
                <w:b/>
                <w:lang w:val="es-MX"/>
              </w:rPr>
              <w:t>TOTAL PRESUPUESTO</w:t>
            </w:r>
          </w:p>
        </w:tc>
        <w:tc>
          <w:tcPr>
            <w:tcW w:w="1839" w:type="dxa"/>
          </w:tcPr>
          <w:p w14:paraId="3FE6456D" w14:textId="77777777" w:rsidR="002551C6" w:rsidRDefault="002551C6" w:rsidP="002551C6">
            <w:pPr>
              <w:jc w:val="center"/>
              <w:rPr>
                <w:rFonts w:ascii="Arial" w:eastAsia="Calibri" w:hAnsi="Arial" w:cs="Arial"/>
                <w:b/>
                <w:u w:val="single"/>
              </w:rPr>
            </w:pPr>
          </w:p>
          <w:p w14:paraId="723AF12D" w14:textId="77777777" w:rsidR="00AD023F" w:rsidRDefault="00AD023F" w:rsidP="002551C6">
            <w:pPr>
              <w:jc w:val="center"/>
              <w:rPr>
                <w:rFonts w:ascii="Arial" w:eastAsia="Calibri" w:hAnsi="Arial" w:cs="Arial"/>
                <w:b/>
                <w:u w:val="single"/>
              </w:rPr>
            </w:pPr>
          </w:p>
          <w:p w14:paraId="5F0A4A1F" w14:textId="77777777" w:rsidR="00AD023F" w:rsidRDefault="00AD023F" w:rsidP="002551C6">
            <w:pPr>
              <w:jc w:val="center"/>
              <w:rPr>
                <w:rFonts w:ascii="Arial" w:eastAsia="Calibri" w:hAnsi="Arial" w:cs="Arial"/>
                <w:b/>
                <w:u w:val="single"/>
              </w:rPr>
            </w:pPr>
          </w:p>
          <w:p w14:paraId="76695AB6" w14:textId="08B82A7C" w:rsidR="00AD023F" w:rsidRDefault="00AD023F" w:rsidP="002551C6">
            <w:pPr>
              <w:jc w:val="center"/>
              <w:rPr>
                <w:rFonts w:ascii="Arial" w:eastAsia="Calibri" w:hAnsi="Arial" w:cs="Arial"/>
                <w:b/>
                <w:u w:val="single"/>
              </w:rPr>
            </w:pPr>
            <w:r>
              <w:rPr>
                <w:rFonts w:ascii="Arial" w:eastAsia="Calibri" w:hAnsi="Arial" w:cs="Arial"/>
                <w:b/>
                <w:u w:val="single"/>
              </w:rPr>
              <w:lastRenderedPageBreak/>
              <w:t>90.60%</w:t>
            </w:r>
          </w:p>
          <w:p w14:paraId="563776EA" w14:textId="3B65F84D" w:rsidR="00AD023F" w:rsidRDefault="00AD023F" w:rsidP="002551C6">
            <w:pPr>
              <w:jc w:val="center"/>
              <w:rPr>
                <w:rFonts w:ascii="Arial" w:eastAsia="Calibri" w:hAnsi="Arial" w:cs="Arial"/>
                <w:b/>
                <w:u w:val="single"/>
              </w:rPr>
            </w:pPr>
            <w:r>
              <w:rPr>
                <w:rFonts w:ascii="Arial" w:eastAsia="Calibri" w:hAnsi="Arial" w:cs="Arial"/>
                <w:b/>
                <w:u w:val="single"/>
              </w:rPr>
              <w:t>96.90%</w:t>
            </w:r>
          </w:p>
          <w:p w14:paraId="49E071A1" w14:textId="77777777" w:rsidR="00AD023F" w:rsidRDefault="00AD023F" w:rsidP="002551C6">
            <w:pPr>
              <w:jc w:val="center"/>
              <w:rPr>
                <w:rFonts w:ascii="Arial" w:eastAsia="Calibri" w:hAnsi="Arial" w:cs="Arial"/>
                <w:b/>
                <w:u w:val="single"/>
              </w:rPr>
            </w:pPr>
          </w:p>
          <w:p w14:paraId="522C8745" w14:textId="44DF193F" w:rsidR="00AD023F" w:rsidRPr="006B5E9C" w:rsidRDefault="00AD023F" w:rsidP="002551C6">
            <w:pPr>
              <w:jc w:val="center"/>
              <w:rPr>
                <w:rFonts w:ascii="Arial" w:eastAsia="Calibri" w:hAnsi="Arial" w:cs="Arial"/>
                <w:b/>
                <w:u w:val="single"/>
              </w:rPr>
            </w:pPr>
            <w:r>
              <w:rPr>
                <w:rFonts w:ascii="Arial" w:eastAsia="Calibri" w:hAnsi="Arial" w:cs="Arial"/>
                <w:b/>
                <w:u w:val="single"/>
              </w:rPr>
              <w:t>96.60%</w:t>
            </w:r>
          </w:p>
        </w:tc>
        <w:tc>
          <w:tcPr>
            <w:tcW w:w="1804" w:type="dxa"/>
          </w:tcPr>
          <w:p w14:paraId="76A36632" w14:textId="77777777" w:rsidR="002551C6" w:rsidRDefault="002551C6" w:rsidP="002551C6">
            <w:pPr>
              <w:jc w:val="center"/>
              <w:rPr>
                <w:rFonts w:ascii="Arial" w:eastAsia="Calibri" w:hAnsi="Arial" w:cs="Arial"/>
                <w:b/>
                <w:u w:val="single"/>
              </w:rPr>
            </w:pPr>
          </w:p>
          <w:p w14:paraId="5D94F295" w14:textId="77777777" w:rsidR="00AD023F" w:rsidRDefault="00AD023F" w:rsidP="002551C6">
            <w:pPr>
              <w:jc w:val="center"/>
              <w:rPr>
                <w:rFonts w:ascii="Arial" w:eastAsia="Calibri" w:hAnsi="Arial" w:cs="Arial"/>
                <w:b/>
                <w:u w:val="single"/>
              </w:rPr>
            </w:pPr>
          </w:p>
          <w:p w14:paraId="3117B62D" w14:textId="77777777" w:rsidR="00AD023F" w:rsidRDefault="00AD023F" w:rsidP="002551C6">
            <w:pPr>
              <w:jc w:val="center"/>
              <w:rPr>
                <w:rFonts w:ascii="Arial" w:eastAsia="Calibri" w:hAnsi="Arial" w:cs="Arial"/>
                <w:b/>
                <w:u w:val="single"/>
              </w:rPr>
            </w:pPr>
          </w:p>
          <w:p w14:paraId="3045668B" w14:textId="60797456" w:rsidR="00AD023F" w:rsidRDefault="00AD023F" w:rsidP="002551C6">
            <w:pPr>
              <w:jc w:val="center"/>
              <w:rPr>
                <w:rFonts w:ascii="Arial" w:eastAsia="Calibri" w:hAnsi="Arial" w:cs="Arial"/>
                <w:b/>
                <w:u w:val="single"/>
              </w:rPr>
            </w:pPr>
            <w:r>
              <w:rPr>
                <w:rFonts w:ascii="Arial" w:eastAsia="Calibri" w:hAnsi="Arial" w:cs="Arial"/>
                <w:b/>
                <w:u w:val="single"/>
              </w:rPr>
              <w:lastRenderedPageBreak/>
              <w:t>80.50%</w:t>
            </w:r>
          </w:p>
          <w:p w14:paraId="30152206" w14:textId="09356CFD" w:rsidR="00AD023F" w:rsidRDefault="00AD023F" w:rsidP="002551C6">
            <w:pPr>
              <w:jc w:val="center"/>
              <w:rPr>
                <w:rFonts w:ascii="Arial" w:eastAsia="Calibri" w:hAnsi="Arial" w:cs="Arial"/>
                <w:b/>
                <w:u w:val="single"/>
              </w:rPr>
            </w:pPr>
            <w:r>
              <w:rPr>
                <w:rFonts w:ascii="Arial" w:eastAsia="Calibri" w:hAnsi="Arial" w:cs="Arial"/>
                <w:b/>
                <w:u w:val="single"/>
              </w:rPr>
              <w:t>42.70%</w:t>
            </w:r>
          </w:p>
          <w:p w14:paraId="2F52A51D" w14:textId="77777777" w:rsidR="00AD023F" w:rsidRDefault="00AD023F" w:rsidP="002551C6">
            <w:pPr>
              <w:jc w:val="center"/>
              <w:rPr>
                <w:rFonts w:ascii="Arial" w:eastAsia="Calibri" w:hAnsi="Arial" w:cs="Arial"/>
                <w:b/>
                <w:u w:val="single"/>
              </w:rPr>
            </w:pPr>
          </w:p>
          <w:p w14:paraId="114E41D4" w14:textId="530E9B20" w:rsidR="00AD023F" w:rsidRPr="006B5E9C" w:rsidRDefault="00AD023F" w:rsidP="002551C6">
            <w:pPr>
              <w:jc w:val="center"/>
              <w:rPr>
                <w:rFonts w:ascii="Arial" w:eastAsia="Calibri" w:hAnsi="Arial" w:cs="Arial"/>
                <w:b/>
                <w:u w:val="single"/>
              </w:rPr>
            </w:pPr>
            <w:r>
              <w:rPr>
                <w:rFonts w:ascii="Arial" w:eastAsia="Calibri" w:hAnsi="Arial" w:cs="Arial"/>
                <w:b/>
                <w:u w:val="single"/>
              </w:rPr>
              <w:t>44.40%</w:t>
            </w:r>
          </w:p>
        </w:tc>
        <w:tc>
          <w:tcPr>
            <w:tcW w:w="2042" w:type="dxa"/>
          </w:tcPr>
          <w:p w14:paraId="440230FB" w14:textId="77777777" w:rsidR="002551C6" w:rsidRDefault="002551C6" w:rsidP="002551C6">
            <w:pPr>
              <w:jc w:val="center"/>
              <w:rPr>
                <w:rFonts w:ascii="Arial" w:eastAsia="Calibri" w:hAnsi="Arial" w:cs="Arial"/>
                <w:b/>
                <w:u w:val="single"/>
              </w:rPr>
            </w:pPr>
          </w:p>
          <w:p w14:paraId="4A54C3F5" w14:textId="77777777" w:rsidR="00AD023F" w:rsidRDefault="00AD023F" w:rsidP="002551C6">
            <w:pPr>
              <w:jc w:val="center"/>
              <w:rPr>
                <w:rFonts w:ascii="Arial" w:eastAsia="Calibri" w:hAnsi="Arial" w:cs="Arial"/>
                <w:b/>
                <w:u w:val="single"/>
              </w:rPr>
            </w:pPr>
          </w:p>
          <w:p w14:paraId="47E13ACF" w14:textId="77777777" w:rsidR="00AD023F" w:rsidRDefault="00AD023F" w:rsidP="002551C6">
            <w:pPr>
              <w:jc w:val="center"/>
              <w:rPr>
                <w:rFonts w:ascii="Arial" w:eastAsia="Calibri" w:hAnsi="Arial" w:cs="Arial"/>
                <w:b/>
                <w:u w:val="single"/>
              </w:rPr>
            </w:pPr>
          </w:p>
          <w:p w14:paraId="7B845582" w14:textId="505EE146" w:rsidR="00AD023F" w:rsidRDefault="00AD023F" w:rsidP="002551C6">
            <w:pPr>
              <w:jc w:val="center"/>
              <w:rPr>
                <w:rFonts w:ascii="Arial" w:eastAsia="Calibri" w:hAnsi="Arial" w:cs="Arial"/>
                <w:b/>
                <w:u w:val="single"/>
              </w:rPr>
            </w:pPr>
            <w:r>
              <w:rPr>
                <w:rFonts w:ascii="Arial" w:eastAsia="Calibri" w:hAnsi="Arial" w:cs="Arial"/>
                <w:b/>
                <w:u w:val="single"/>
              </w:rPr>
              <w:lastRenderedPageBreak/>
              <w:t>79.00%</w:t>
            </w:r>
          </w:p>
          <w:p w14:paraId="5F020EA8" w14:textId="658F0B06" w:rsidR="00AD023F" w:rsidRDefault="00AD023F" w:rsidP="002551C6">
            <w:pPr>
              <w:jc w:val="center"/>
              <w:rPr>
                <w:rFonts w:ascii="Arial" w:eastAsia="Calibri" w:hAnsi="Arial" w:cs="Arial"/>
                <w:b/>
                <w:u w:val="single"/>
              </w:rPr>
            </w:pPr>
            <w:r>
              <w:rPr>
                <w:rFonts w:ascii="Arial" w:eastAsia="Calibri" w:hAnsi="Arial" w:cs="Arial"/>
                <w:b/>
                <w:u w:val="single"/>
              </w:rPr>
              <w:t>41.40%</w:t>
            </w:r>
          </w:p>
          <w:p w14:paraId="2F1FA2CB" w14:textId="77777777" w:rsidR="00AD023F" w:rsidRDefault="00AD023F" w:rsidP="002551C6">
            <w:pPr>
              <w:jc w:val="center"/>
              <w:rPr>
                <w:rFonts w:ascii="Arial" w:eastAsia="Calibri" w:hAnsi="Arial" w:cs="Arial"/>
                <w:b/>
                <w:u w:val="single"/>
              </w:rPr>
            </w:pPr>
          </w:p>
          <w:p w14:paraId="02401ABE" w14:textId="00CEE91D" w:rsidR="00AD023F" w:rsidRPr="006B5E9C" w:rsidRDefault="00AD023F" w:rsidP="002551C6">
            <w:pPr>
              <w:jc w:val="center"/>
              <w:rPr>
                <w:rFonts w:ascii="Arial" w:eastAsia="Calibri" w:hAnsi="Arial" w:cs="Arial"/>
                <w:b/>
                <w:u w:val="single"/>
              </w:rPr>
            </w:pPr>
            <w:r>
              <w:rPr>
                <w:rFonts w:ascii="Arial" w:eastAsia="Calibri" w:hAnsi="Arial" w:cs="Arial"/>
                <w:b/>
                <w:u w:val="single"/>
              </w:rPr>
              <w:t>43.10%</w:t>
            </w:r>
          </w:p>
        </w:tc>
      </w:tr>
      <w:tr w:rsidR="00931C9C" w:rsidRPr="004B1294" w14:paraId="2F21C1EF" w14:textId="77777777" w:rsidTr="00042E94">
        <w:tc>
          <w:tcPr>
            <w:tcW w:w="1550" w:type="dxa"/>
          </w:tcPr>
          <w:p w14:paraId="64120BB9" w14:textId="101974A2" w:rsidR="00931C9C" w:rsidRDefault="00931C9C" w:rsidP="002551C6">
            <w:pPr>
              <w:jc w:val="center"/>
              <w:rPr>
                <w:rFonts w:ascii="Arial" w:hAnsi="Arial" w:cs="Arial"/>
                <w:b/>
              </w:rPr>
            </w:pPr>
            <w:r>
              <w:rPr>
                <w:rFonts w:ascii="Arial" w:hAnsi="Arial" w:cs="Arial"/>
                <w:b/>
              </w:rPr>
              <w:lastRenderedPageBreak/>
              <w:t>24</w:t>
            </w:r>
          </w:p>
        </w:tc>
        <w:tc>
          <w:tcPr>
            <w:tcW w:w="3255" w:type="dxa"/>
          </w:tcPr>
          <w:p w14:paraId="4B120F68" w14:textId="10571BB0" w:rsidR="00931C9C" w:rsidRPr="00931C9C" w:rsidRDefault="00931C9C" w:rsidP="00931C9C">
            <w:pPr>
              <w:jc w:val="both"/>
              <w:rPr>
                <w:rFonts w:ascii="Arial" w:hAnsi="Arial" w:cs="Arial"/>
                <w:b/>
                <w:lang w:val="es-MX"/>
              </w:rPr>
            </w:pPr>
            <w:r w:rsidRPr="00931C9C">
              <w:rPr>
                <w:rFonts w:ascii="Arial" w:hAnsi="Arial" w:cs="Arial"/>
                <w:b/>
                <w:lang w:val="es-MX"/>
              </w:rPr>
              <w:t>ESCUELA TECNOLOGICA INSTITUTO TECNICO CENTRAL.</w:t>
            </w:r>
          </w:p>
          <w:p w14:paraId="0BF055FA" w14:textId="77777777" w:rsidR="00A1030E" w:rsidRDefault="00A1030E" w:rsidP="00931C9C">
            <w:pPr>
              <w:jc w:val="both"/>
              <w:rPr>
                <w:rFonts w:ascii="Arial" w:hAnsi="Arial" w:cs="Arial"/>
                <w:b/>
                <w:lang w:val="es-MX"/>
              </w:rPr>
            </w:pPr>
          </w:p>
          <w:p w14:paraId="38AAB33F" w14:textId="602F26CC" w:rsidR="00931C9C" w:rsidRDefault="00931C9C" w:rsidP="00931C9C">
            <w:pPr>
              <w:jc w:val="both"/>
              <w:rPr>
                <w:rFonts w:ascii="Arial" w:hAnsi="Arial" w:cs="Arial"/>
                <w:b/>
                <w:lang w:val="es-MX"/>
              </w:rPr>
            </w:pPr>
            <w:r>
              <w:rPr>
                <w:rFonts w:ascii="Arial" w:hAnsi="Arial" w:cs="Arial"/>
                <w:b/>
                <w:lang w:val="es-MX"/>
              </w:rPr>
              <w:t>FUNCIONAMIENTO</w:t>
            </w:r>
          </w:p>
          <w:p w14:paraId="07AB4717" w14:textId="77777777" w:rsidR="00931C9C" w:rsidRDefault="00931C9C" w:rsidP="00931C9C">
            <w:pPr>
              <w:jc w:val="both"/>
              <w:rPr>
                <w:rFonts w:ascii="Arial" w:hAnsi="Arial" w:cs="Arial"/>
                <w:b/>
                <w:lang w:val="es-MX"/>
              </w:rPr>
            </w:pPr>
            <w:r>
              <w:rPr>
                <w:rFonts w:ascii="Arial" w:hAnsi="Arial" w:cs="Arial"/>
                <w:b/>
                <w:lang w:val="es-MX"/>
              </w:rPr>
              <w:t>INVERSIÓN</w:t>
            </w:r>
          </w:p>
          <w:p w14:paraId="30B9BA5C" w14:textId="77777777" w:rsidR="00A1030E" w:rsidRDefault="00A1030E" w:rsidP="00931C9C">
            <w:pPr>
              <w:jc w:val="both"/>
              <w:rPr>
                <w:rFonts w:ascii="Arial" w:hAnsi="Arial" w:cs="Arial"/>
                <w:b/>
                <w:lang w:val="es-MX"/>
              </w:rPr>
            </w:pPr>
          </w:p>
          <w:p w14:paraId="2358B6B0" w14:textId="6667A1DE" w:rsidR="00931C9C" w:rsidRPr="00931C9C" w:rsidRDefault="00931C9C" w:rsidP="00931C9C">
            <w:pPr>
              <w:jc w:val="both"/>
              <w:rPr>
                <w:rFonts w:ascii="Arial" w:hAnsi="Arial" w:cs="Arial"/>
                <w:b/>
              </w:rPr>
            </w:pPr>
            <w:r>
              <w:rPr>
                <w:rFonts w:ascii="Arial" w:hAnsi="Arial" w:cs="Arial"/>
                <w:b/>
                <w:lang w:val="es-MX"/>
              </w:rPr>
              <w:t>TOTAL PRESUPUESTO</w:t>
            </w:r>
          </w:p>
        </w:tc>
        <w:tc>
          <w:tcPr>
            <w:tcW w:w="1839" w:type="dxa"/>
          </w:tcPr>
          <w:p w14:paraId="281C6727" w14:textId="77777777" w:rsidR="00931C9C" w:rsidRDefault="00931C9C" w:rsidP="002551C6">
            <w:pPr>
              <w:jc w:val="center"/>
              <w:rPr>
                <w:rFonts w:ascii="Arial" w:eastAsia="Calibri" w:hAnsi="Arial" w:cs="Arial"/>
                <w:b/>
                <w:u w:val="single"/>
              </w:rPr>
            </w:pPr>
          </w:p>
          <w:p w14:paraId="06148D7B" w14:textId="77777777" w:rsidR="00931C9C" w:rsidRDefault="00931C9C" w:rsidP="002551C6">
            <w:pPr>
              <w:jc w:val="center"/>
              <w:rPr>
                <w:rFonts w:ascii="Arial" w:eastAsia="Calibri" w:hAnsi="Arial" w:cs="Arial"/>
                <w:b/>
                <w:u w:val="single"/>
              </w:rPr>
            </w:pPr>
          </w:p>
          <w:p w14:paraId="39E0A31C" w14:textId="77777777" w:rsidR="00931C9C" w:rsidRDefault="00931C9C" w:rsidP="002551C6">
            <w:pPr>
              <w:jc w:val="center"/>
              <w:rPr>
                <w:rFonts w:ascii="Arial" w:eastAsia="Calibri" w:hAnsi="Arial" w:cs="Arial"/>
                <w:b/>
                <w:u w:val="single"/>
              </w:rPr>
            </w:pPr>
          </w:p>
          <w:p w14:paraId="1964E375" w14:textId="77777777" w:rsidR="00A651D7" w:rsidRDefault="00A651D7" w:rsidP="002551C6">
            <w:pPr>
              <w:jc w:val="center"/>
              <w:rPr>
                <w:rFonts w:ascii="Arial" w:eastAsia="Calibri" w:hAnsi="Arial" w:cs="Arial"/>
                <w:b/>
                <w:u w:val="single"/>
              </w:rPr>
            </w:pPr>
          </w:p>
          <w:p w14:paraId="5E6FFF41" w14:textId="5DAB8D9F" w:rsidR="00931C9C" w:rsidRDefault="00931C9C" w:rsidP="002551C6">
            <w:pPr>
              <w:jc w:val="center"/>
              <w:rPr>
                <w:rFonts w:ascii="Arial" w:eastAsia="Calibri" w:hAnsi="Arial" w:cs="Arial"/>
                <w:b/>
                <w:u w:val="single"/>
              </w:rPr>
            </w:pPr>
            <w:r>
              <w:rPr>
                <w:rFonts w:ascii="Arial" w:eastAsia="Calibri" w:hAnsi="Arial" w:cs="Arial"/>
                <w:b/>
                <w:u w:val="single"/>
              </w:rPr>
              <w:t>96.00%</w:t>
            </w:r>
          </w:p>
          <w:p w14:paraId="624E4D0E" w14:textId="00A01863" w:rsidR="00931C9C" w:rsidRDefault="00931C9C" w:rsidP="002551C6">
            <w:pPr>
              <w:jc w:val="center"/>
              <w:rPr>
                <w:rFonts w:ascii="Arial" w:eastAsia="Calibri" w:hAnsi="Arial" w:cs="Arial"/>
                <w:b/>
                <w:u w:val="single"/>
              </w:rPr>
            </w:pPr>
            <w:r>
              <w:rPr>
                <w:rFonts w:ascii="Arial" w:eastAsia="Calibri" w:hAnsi="Arial" w:cs="Arial"/>
                <w:b/>
                <w:u w:val="single"/>
              </w:rPr>
              <w:t>99.00%</w:t>
            </w:r>
          </w:p>
          <w:p w14:paraId="18E37483" w14:textId="77777777" w:rsidR="00931C9C" w:rsidRDefault="00931C9C" w:rsidP="002551C6">
            <w:pPr>
              <w:jc w:val="center"/>
              <w:rPr>
                <w:rFonts w:ascii="Arial" w:eastAsia="Calibri" w:hAnsi="Arial" w:cs="Arial"/>
                <w:b/>
                <w:u w:val="single"/>
              </w:rPr>
            </w:pPr>
          </w:p>
          <w:p w14:paraId="1D6548CB" w14:textId="5536C513" w:rsidR="00931C9C" w:rsidRPr="00931C9C" w:rsidRDefault="00931C9C" w:rsidP="002551C6">
            <w:pPr>
              <w:jc w:val="center"/>
              <w:rPr>
                <w:rFonts w:ascii="Arial" w:eastAsia="Calibri" w:hAnsi="Arial" w:cs="Arial"/>
                <w:b/>
                <w:u w:val="single"/>
              </w:rPr>
            </w:pPr>
            <w:r>
              <w:rPr>
                <w:rFonts w:ascii="Arial" w:eastAsia="Calibri" w:hAnsi="Arial" w:cs="Arial"/>
                <w:b/>
                <w:u w:val="single"/>
              </w:rPr>
              <w:t>97.00%</w:t>
            </w:r>
          </w:p>
        </w:tc>
        <w:tc>
          <w:tcPr>
            <w:tcW w:w="1804" w:type="dxa"/>
          </w:tcPr>
          <w:p w14:paraId="4A189FA2" w14:textId="77777777" w:rsidR="00931C9C" w:rsidRDefault="00931C9C" w:rsidP="002551C6">
            <w:pPr>
              <w:jc w:val="center"/>
              <w:rPr>
                <w:rFonts w:ascii="Arial" w:eastAsia="Calibri" w:hAnsi="Arial" w:cs="Arial"/>
                <w:b/>
                <w:u w:val="single"/>
              </w:rPr>
            </w:pPr>
          </w:p>
          <w:p w14:paraId="78B0F139" w14:textId="77777777" w:rsidR="00931C9C" w:rsidRDefault="00931C9C" w:rsidP="002551C6">
            <w:pPr>
              <w:jc w:val="center"/>
              <w:rPr>
                <w:rFonts w:ascii="Arial" w:eastAsia="Calibri" w:hAnsi="Arial" w:cs="Arial"/>
                <w:b/>
                <w:u w:val="single"/>
              </w:rPr>
            </w:pPr>
          </w:p>
          <w:p w14:paraId="59F704C4" w14:textId="77777777" w:rsidR="00931C9C" w:rsidRDefault="00931C9C" w:rsidP="002551C6">
            <w:pPr>
              <w:jc w:val="center"/>
              <w:rPr>
                <w:rFonts w:ascii="Arial" w:eastAsia="Calibri" w:hAnsi="Arial" w:cs="Arial"/>
                <w:b/>
                <w:u w:val="single"/>
              </w:rPr>
            </w:pPr>
          </w:p>
          <w:p w14:paraId="3BA5EE61" w14:textId="77777777" w:rsidR="00A651D7" w:rsidRDefault="00A651D7" w:rsidP="002551C6">
            <w:pPr>
              <w:jc w:val="center"/>
              <w:rPr>
                <w:rFonts w:ascii="Arial" w:eastAsia="Calibri" w:hAnsi="Arial" w:cs="Arial"/>
                <w:b/>
                <w:u w:val="single"/>
              </w:rPr>
            </w:pPr>
          </w:p>
          <w:p w14:paraId="3EC9423E" w14:textId="4E76B90C" w:rsidR="00931C9C" w:rsidRDefault="00931C9C" w:rsidP="002551C6">
            <w:pPr>
              <w:jc w:val="center"/>
              <w:rPr>
                <w:rFonts w:ascii="Arial" w:eastAsia="Calibri" w:hAnsi="Arial" w:cs="Arial"/>
                <w:b/>
                <w:u w:val="single"/>
              </w:rPr>
            </w:pPr>
            <w:r>
              <w:rPr>
                <w:rFonts w:ascii="Arial" w:eastAsia="Calibri" w:hAnsi="Arial" w:cs="Arial"/>
                <w:b/>
                <w:u w:val="single"/>
              </w:rPr>
              <w:t>88.00%</w:t>
            </w:r>
          </w:p>
          <w:p w14:paraId="57EF8D7A" w14:textId="5BFACC78" w:rsidR="00931C9C" w:rsidRDefault="00931C9C" w:rsidP="002551C6">
            <w:pPr>
              <w:jc w:val="center"/>
              <w:rPr>
                <w:rFonts w:ascii="Arial" w:eastAsia="Calibri" w:hAnsi="Arial" w:cs="Arial"/>
                <w:b/>
                <w:u w:val="single"/>
              </w:rPr>
            </w:pPr>
            <w:r>
              <w:rPr>
                <w:rFonts w:ascii="Arial" w:eastAsia="Calibri" w:hAnsi="Arial" w:cs="Arial"/>
                <w:b/>
                <w:u w:val="single"/>
              </w:rPr>
              <w:t>51.00%</w:t>
            </w:r>
          </w:p>
          <w:p w14:paraId="30E45FCE" w14:textId="77777777" w:rsidR="00931C9C" w:rsidRDefault="00931C9C" w:rsidP="002551C6">
            <w:pPr>
              <w:jc w:val="center"/>
              <w:rPr>
                <w:rFonts w:ascii="Arial" w:eastAsia="Calibri" w:hAnsi="Arial" w:cs="Arial"/>
                <w:b/>
                <w:u w:val="single"/>
              </w:rPr>
            </w:pPr>
          </w:p>
          <w:p w14:paraId="51A658D4" w14:textId="6D3B5675" w:rsidR="00931C9C" w:rsidRDefault="00931C9C" w:rsidP="002551C6">
            <w:pPr>
              <w:jc w:val="center"/>
              <w:rPr>
                <w:rFonts w:ascii="Arial" w:eastAsia="Calibri" w:hAnsi="Arial" w:cs="Arial"/>
                <w:b/>
                <w:u w:val="single"/>
              </w:rPr>
            </w:pPr>
            <w:r>
              <w:rPr>
                <w:rFonts w:ascii="Arial" w:eastAsia="Calibri" w:hAnsi="Arial" w:cs="Arial"/>
                <w:b/>
                <w:u w:val="single"/>
              </w:rPr>
              <w:t>78.00%</w:t>
            </w:r>
          </w:p>
        </w:tc>
        <w:tc>
          <w:tcPr>
            <w:tcW w:w="2042" w:type="dxa"/>
          </w:tcPr>
          <w:p w14:paraId="539C869C" w14:textId="77777777" w:rsidR="00931C9C" w:rsidRDefault="00931C9C" w:rsidP="002551C6">
            <w:pPr>
              <w:jc w:val="center"/>
              <w:rPr>
                <w:rFonts w:ascii="Arial" w:eastAsia="Calibri" w:hAnsi="Arial" w:cs="Arial"/>
                <w:b/>
                <w:u w:val="single"/>
              </w:rPr>
            </w:pPr>
          </w:p>
          <w:p w14:paraId="05BBC6A5" w14:textId="77777777" w:rsidR="00931C9C" w:rsidRDefault="00931C9C" w:rsidP="002551C6">
            <w:pPr>
              <w:jc w:val="center"/>
              <w:rPr>
                <w:rFonts w:ascii="Arial" w:eastAsia="Calibri" w:hAnsi="Arial" w:cs="Arial"/>
                <w:b/>
                <w:u w:val="single"/>
              </w:rPr>
            </w:pPr>
          </w:p>
          <w:p w14:paraId="64098C50" w14:textId="77777777" w:rsidR="00931C9C" w:rsidRDefault="00931C9C" w:rsidP="002551C6">
            <w:pPr>
              <w:jc w:val="center"/>
              <w:rPr>
                <w:rFonts w:ascii="Arial" w:eastAsia="Calibri" w:hAnsi="Arial" w:cs="Arial"/>
                <w:b/>
                <w:u w:val="single"/>
              </w:rPr>
            </w:pPr>
          </w:p>
          <w:p w14:paraId="6E5932ED" w14:textId="77777777" w:rsidR="00A651D7" w:rsidRDefault="00A651D7" w:rsidP="002551C6">
            <w:pPr>
              <w:jc w:val="center"/>
              <w:rPr>
                <w:rFonts w:ascii="Arial" w:eastAsia="Calibri" w:hAnsi="Arial" w:cs="Arial"/>
                <w:b/>
                <w:u w:val="single"/>
              </w:rPr>
            </w:pPr>
          </w:p>
          <w:p w14:paraId="32EA6A84" w14:textId="67B6E417" w:rsidR="00931C9C" w:rsidRDefault="00931C9C" w:rsidP="002551C6">
            <w:pPr>
              <w:jc w:val="center"/>
              <w:rPr>
                <w:rFonts w:ascii="Arial" w:eastAsia="Calibri" w:hAnsi="Arial" w:cs="Arial"/>
                <w:b/>
                <w:u w:val="single"/>
              </w:rPr>
            </w:pPr>
            <w:r>
              <w:rPr>
                <w:rFonts w:ascii="Arial" w:eastAsia="Calibri" w:hAnsi="Arial" w:cs="Arial"/>
                <w:b/>
                <w:u w:val="single"/>
              </w:rPr>
              <w:t>86.00%</w:t>
            </w:r>
          </w:p>
          <w:p w14:paraId="629DF78C" w14:textId="3730DA1E" w:rsidR="00931C9C" w:rsidRDefault="00931C9C" w:rsidP="002551C6">
            <w:pPr>
              <w:jc w:val="center"/>
              <w:rPr>
                <w:rFonts w:ascii="Arial" w:eastAsia="Calibri" w:hAnsi="Arial" w:cs="Arial"/>
                <w:b/>
                <w:u w:val="single"/>
              </w:rPr>
            </w:pPr>
            <w:r>
              <w:rPr>
                <w:rFonts w:ascii="Arial" w:eastAsia="Calibri" w:hAnsi="Arial" w:cs="Arial"/>
                <w:b/>
                <w:u w:val="single"/>
              </w:rPr>
              <w:t>51.00%</w:t>
            </w:r>
          </w:p>
          <w:p w14:paraId="6D943BEB" w14:textId="77777777" w:rsidR="00931C9C" w:rsidRDefault="00931C9C" w:rsidP="002551C6">
            <w:pPr>
              <w:jc w:val="center"/>
              <w:rPr>
                <w:rFonts w:ascii="Arial" w:eastAsia="Calibri" w:hAnsi="Arial" w:cs="Arial"/>
                <w:b/>
                <w:u w:val="single"/>
              </w:rPr>
            </w:pPr>
          </w:p>
          <w:p w14:paraId="75AAA8FC" w14:textId="0C1F1B33" w:rsidR="00931C9C" w:rsidRDefault="00931C9C" w:rsidP="00931C9C">
            <w:pPr>
              <w:jc w:val="center"/>
              <w:rPr>
                <w:rFonts w:ascii="Arial" w:eastAsia="Calibri" w:hAnsi="Arial" w:cs="Arial"/>
                <w:b/>
                <w:u w:val="single"/>
              </w:rPr>
            </w:pPr>
            <w:r>
              <w:rPr>
                <w:rFonts w:ascii="Arial" w:eastAsia="Calibri" w:hAnsi="Arial" w:cs="Arial"/>
                <w:b/>
                <w:u w:val="single"/>
              </w:rPr>
              <w:t>77.00%</w:t>
            </w:r>
          </w:p>
        </w:tc>
      </w:tr>
      <w:tr w:rsidR="00931C9C" w:rsidRPr="004B1294" w14:paraId="5DFE0BB7" w14:textId="77777777" w:rsidTr="00042E94">
        <w:tc>
          <w:tcPr>
            <w:tcW w:w="1550" w:type="dxa"/>
          </w:tcPr>
          <w:p w14:paraId="1ACD99C4" w14:textId="35FE6775" w:rsidR="00931C9C" w:rsidRDefault="000075EA" w:rsidP="002551C6">
            <w:pPr>
              <w:jc w:val="center"/>
              <w:rPr>
                <w:rFonts w:ascii="Arial" w:hAnsi="Arial" w:cs="Arial"/>
                <w:b/>
              </w:rPr>
            </w:pPr>
            <w:r>
              <w:rPr>
                <w:rFonts w:ascii="Arial" w:hAnsi="Arial" w:cs="Arial"/>
                <w:b/>
              </w:rPr>
              <w:t>25</w:t>
            </w:r>
          </w:p>
        </w:tc>
        <w:tc>
          <w:tcPr>
            <w:tcW w:w="3255" w:type="dxa"/>
          </w:tcPr>
          <w:p w14:paraId="5BF5F44C" w14:textId="6E77E50D" w:rsidR="000075EA" w:rsidRPr="000075EA" w:rsidRDefault="000075EA" w:rsidP="000075EA">
            <w:pPr>
              <w:jc w:val="both"/>
              <w:rPr>
                <w:rFonts w:ascii="Arial" w:hAnsi="Arial" w:cs="Arial"/>
                <w:b/>
                <w:lang w:val="es-MX"/>
              </w:rPr>
            </w:pPr>
            <w:r w:rsidRPr="000075EA">
              <w:rPr>
                <w:rFonts w:ascii="Arial" w:hAnsi="Arial" w:cs="Arial"/>
                <w:b/>
                <w:lang w:val="es-MX"/>
              </w:rPr>
              <w:t>COMISIÓN NACIONAL DEL SERVICIO CIVIL - CNSC.</w:t>
            </w:r>
          </w:p>
          <w:p w14:paraId="722BA251" w14:textId="77777777" w:rsidR="00931C9C" w:rsidRDefault="00931C9C" w:rsidP="00AD023F">
            <w:pPr>
              <w:jc w:val="both"/>
              <w:rPr>
                <w:rFonts w:ascii="Arial" w:hAnsi="Arial" w:cs="Arial"/>
                <w:b/>
                <w:lang w:val="es-MX"/>
              </w:rPr>
            </w:pPr>
          </w:p>
          <w:p w14:paraId="6D075296" w14:textId="77777777" w:rsidR="000075EA" w:rsidRDefault="000075EA" w:rsidP="000075EA">
            <w:pPr>
              <w:jc w:val="both"/>
              <w:rPr>
                <w:rFonts w:ascii="Arial" w:hAnsi="Arial" w:cs="Arial"/>
                <w:b/>
                <w:lang w:val="es-MX"/>
              </w:rPr>
            </w:pPr>
            <w:r>
              <w:rPr>
                <w:rFonts w:ascii="Arial" w:hAnsi="Arial" w:cs="Arial"/>
                <w:b/>
                <w:lang w:val="es-MX"/>
              </w:rPr>
              <w:t>FUNCIONAMIENTO</w:t>
            </w:r>
          </w:p>
          <w:p w14:paraId="4CF82DB1" w14:textId="77777777" w:rsidR="000075EA" w:rsidRDefault="000075EA" w:rsidP="000075EA">
            <w:pPr>
              <w:jc w:val="both"/>
              <w:rPr>
                <w:rFonts w:ascii="Arial" w:hAnsi="Arial" w:cs="Arial"/>
                <w:b/>
                <w:lang w:val="es-MX"/>
              </w:rPr>
            </w:pPr>
            <w:r>
              <w:rPr>
                <w:rFonts w:ascii="Arial" w:hAnsi="Arial" w:cs="Arial"/>
                <w:b/>
                <w:lang w:val="es-MX"/>
              </w:rPr>
              <w:t>INVERSIÓN</w:t>
            </w:r>
          </w:p>
          <w:p w14:paraId="67FDBA09" w14:textId="77777777" w:rsidR="000075EA" w:rsidRDefault="000075EA" w:rsidP="000075EA">
            <w:pPr>
              <w:jc w:val="both"/>
              <w:rPr>
                <w:rFonts w:ascii="Arial" w:hAnsi="Arial" w:cs="Arial"/>
                <w:b/>
                <w:lang w:val="es-MX"/>
              </w:rPr>
            </w:pPr>
          </w:p>
          <w:p w14:paraId="5C90A73B" w14:textId="0BD6EA34" w:rsidR="000075EA" w:rsidRPr="00AD023F" w:rsidRDefault="000075EA" w:rsidP="000075EA">
            <w:pPr>
              <w:jc w:val="both"/>
              <w:rPr>
                <w:rFonts w:ascii="Arial" w:hAnsi="Arial" w:cs="Arial"/>
                <w:b/>
                <w:lang w:val="es-MX"/>
              </w:rPr>
            </w:pPr>
            <w:r>
              <w:rPr>
                <w:rFonts w:ascii="Arial" w:hAnsi="Arial" w:cs="Arial"/>
                <w:b/>
                <w:lang w:val="es-MX"/>
              </w:rPr>
              <w:t>TOTAL PRESUPUESTO</w:t>
            </w:r>
          </w:p>
        </w:tc>
        <w:tc>
          <w:tcPr>
            <w:tcW w:w="1839" w:type="dxa"/>
          </w:tcPr>
          <w:p w14:paraId="515C99A5" w14:textId="77777777" w:rsidR="00931C9C" w:rsidRDefault="00931C9C" w:rsidP="002551C6">
            <w:pPr>
              <w:jc w:val="center"/>
              <w:rPr>
                <w:rFonts w:ascii="Arial" w:eastAsia="Calibri" w:hAnsi="Arial" w:cs="Arial"/>
                <w:b/>
                <w:u w:val="single"/>
              </w:rPr>
            </w:pPr>
          </w:p>
          <w:p w14:paraId="703E1E7B" w14:textId="77777777" w:rsidR="00FA725A" w:rsidRDefault="00FA725A" w:rsidP="002551C6">
            <w:pPr>
              <w:jc w:val="center"/>
              <w:rPr>
                <w:rFonts w:ascii="Arial" w:eastAsia="Calibri" w:hAnsi="Arial" w:cs="Arial"/>
                <w:b/>
                <w:u w:val="single"/>
              </w:rPr>
            </w:pPr>
          </w:p>
          <w:p w14:paraId="7F57D485" w14:textId="77777777" w:rsidR="00FA725A" w:rsidRDefault="00FA725A" w:rsidP="002551C6">
            <w:pPr>
              <w:jc w:val="center"/>
              <w:rPr>
                <w:rFonts w:ascii="Arial" w:eastAsia="Calibri" w:hAnsi="Arial" w:cs="Arial"/>
                <w:b/>
                <w:u w:val="single"/>
              </w:rPr>
            </w:pPr>
          </w:p>
          <w:p w14:paraId="55B16EFF" w14:textId="1C66A8D5" w:rsidR="00FA725A" w:rsidRDefault="00FA725A" w:rsidP="002551C6">
            <w:pPr>
              <w:jc w:val="center"/>
              <w:rPr>
                <w:rFonts w:ascii="Arial" w:eastAsia="Calibri" w:hAnsi="Arial" w:cs="Arial"/>
                <w:b/>
                <w:u w:val="single"/>
              </w:rPr>
            </w:pPr>
            <w:r>
              <w:rPr>
                <w:rFonts w:ascii="Arial" w:eastAsia="Calibri" w:hAnsi="Arial" w:cs="Arial"/>
                <w:b/>
                <w:u w:val="single"/>
              </w:rPr>
              <w:t>89.00%</w:t>
            </w:r>
          </w:p>
          <w:p w14:paraId="69606A30" w14:textId="711921B8" w:rsidR="00FA725A" w:rsidRDefault="00FA725A" w:rsidP="002551C6">
            <w:pPr>
              <w:jc w:val="center"/>
              <w:rPr>
                <w:rFonts w:ascii="Arial" w:eastAsia="Calibri" w:hAnsi="Arial" w:cs="Arial"/>
                <w:b/>
                <w:u w:val="single"/>
              </w:rPr>
            </w:pPr>
            <w:r>
              <w:rPr>
                <w:rFonts w:ascii="Arial" w:eastAsia="Calibri" w:hAnsi="Arial" w:cs="Arial"/>
                <w:b/>
                <w:u w:val="single"/>
              </w:rPr>
              <w:t>72.00%</w:t>
            </w:r>
          </w:p>
          <w:p w14:paraId="70A55889" w14:textId="77777777" w:rsidR="00FA725A" w:rsidRDefault="00FA725A" w:rsidP="002551C6">
            <w:pPr>
              <w:jc w:val="center"/>
              <w:rPr>
                <w:rFonts w:ascii="Arial" w:eastAsia="Calibri" w:hAnsi="Arial" w:cs="Arial"/>
                <w:b/>
                <w:u w:val="single"/>
              </w:rPr>
            </w:pPr>
          </w:p>
          <w:p w14:paraId="346C5C29" w14:textId="67C888F4" w:rsidR="00FA725A" w:rsidRDefault="00FA725A" w:rsidP="002551C6">
            <w:pPr>
              <w:jc w:val="center"/>
              <w:rPr>
                <w:rFonts w:ascii="Arial" w:eastAsia="Calibri" w:hAnsi="Arial" w:cs="Arial"/>
                <w:b/>
                <w:u w:val="single"/>
              </w:rPr>
            </w:pPr>
            <w:r>
              <w:rPr>
                <w:rFonts w:ascii="Arial" w:eastAsia="Calibri" w:hAnsi="Arial" w:cs="Arial"/>
                <w:b/>
                <w:u w:val="single"/>
              </w:rPr>
              <w:t>76.00%</w:t>
            </w:r>
          </w:p>
        </w:tc>
        <w:tc>
          <w:tcPr>
            <w:tcW w:w="1804" w:type="dxa"/>
          </w:tcPr>
          <w:p w14:paraId="17911AB1" w14:textId="77777777" w:rsidR="00931C9C" w:rsidRDefault="00931C9C" w:rsidP="002551C6">
            <w:pPr>
              <w:jc w:val="center"/>
              <w:rPr>
                <w:rFonts w:ascii="Arial" w:eastAsia="Calibri" w:hAnsi="Arial" w:cs="Arial"/>
                <w:b/>
                <w:u w:val="single"/>
              </w:rPr>
            </w:pPr>
          </w:p>
          <w:p w14:paraId="561EB380" w14:textId="77777777" w:rsidR="00FA725A" w:rsidRDefault="00FA725A" w:rsidP="002551C6">
            <w:pPr>
              <w:jc w:val="center"/>
              <w:rPr>
                <w:rFonts w:ascii="Arial" w:eastAsia="Calibri" w:hAnsi="Arial" w:cs="Arial"/>
                <w:b/>
                <w:u w:val="single"/>
              </w:rPr>
            </w:pPr>
          </w:p>
          <w:p w14:paraId="0F6D08E8" w14:textId="77777777" w:rsidR="00FA725A" w:rsidRDefault="00FA725A" w:rsidP="002551C6">
            <w:pPr>
              <w:jc w:val="center"/>
              <w:rPr>
                <w:rFonts w:ascii="Arial" w:eastAsia="Calibri" w:hAnsi="Arial" w:cs="Arial"/>
                <w:b/>
                <w:u w:val="single"/>
              </w:rPr>
            </w:pPr>
          </w:p>
          <w:p w14:paraId="1A44EAC6" w14:textId="00BBCD56" w:rsidR="00FA725A" w:rsidRDefault="00FA725A" w:rsidP="002551C6">
            <w:pPr>
              <w:jc w:val="center"/>
              <w:rPr>
                <w:rFonts w:ascii="Arial" w:eastAsia="Calibri" w:hAnsi="Arial" w:cs="Arial"/>
                <w:b/>
                <w:u w:val="single"/>
              </w:rPr>
            </w:pPr>
            <w:r>
              <w:rPr>
                <w:rFonts w:ascii="Arial" w:eastAsia="Calibri" w:hAnsi="Arial" w:cs="Arial"/>
                <w:b/>
                <w:u w:val="single"/>
              </w:rPr>
              <w:t>88.00%</w:t>
            </w:r>
          </w:p>
          <w:p w14:paraId="5A72E4B6" w14:textId="286C392B" w:rsidR="00FA725A" w:rsidRDefault="00FA725A" w:rsidP="002551C6">
            <w:pPr>
              <w:jc w:val="center"/>
              <w:rPr>
                <w:rFonts w:ascii="Arial" w:eastAsia="Calibri" w:hAnsi="Arial" w:cs="Arial"/>
                <w:b/>
                <w:u w:val="single"/>
              </w:rPr>
            </w:pPr>
            <w:r>
              <w:rPr>
                <w:rFonts w:ascii="Arial" w:eastAsia="Calibri" w:hAnsi="Arial" w:cs="Arial"/>
                <w:b/>
                <w:u w:val="single"/>
              </w:rPr>
              <w:t>63.00%</w:t>
            </w:r>
          </w:p>
          <w:p w14:paraId="6112C239" w14:textId="77777777" w:rsidR="00FA725A" w:rsidRDefault="00FA725A" w:rsidP="002551C6">
            <w:pPr>
              <w:jc w:val="center"/>
              <w:rPr>
                <w:rFonts w:ascii="Arial" w:eastAsia="Calibri" w:hAnsi="Arial" w:cs="Arial"/>
                <w:b/>
                <w:u w:val="single"/>
              </w:rPr>
            </w:pPr>
          </w:p>
          <w:p w14:paraId="3C186B42" w14:textId="69CAB710" w:rsidR="00FA725A" w:rsidRDefault="00FA725A" w:rsidP="002551C6">
            <w:pPr>
              <w:jc w:val="center"/>
              <w:rPr>
                <w:rFonts w:ascii="Arial" w:eastAsia="Calibri" w:hAnsi="Arial" w:cs="Arial"/>
                <w:b/>
                <w:u w:val="single"/>
              </w:rPr>
            </w:pPr>
            <w:r>
              <w:rPr>
                <w:rFonts w:ascii="Arial" w:eastAsia="Calibri" w:hAnsi="Arial" w:cs="Arial"/>
                <w:b/>
                <w:u w:val="single"/>
              </w:rPr>
              <w:t>69.00%</w:t>
            </w:r>
          </w:p>
        </w:tc>
        <w:tc>
          <w:tcPr>
            <w:tcW w:w="2042" w:type="dxa"/>
          </w:tcPr>
          <w:p w14:paraId="7264FC78" w14:textId="77777777" w:rsidR="00931C9C" w:rsidRDefault="00931C9C" w:rsidP="002551C6">
            <w:pPr>
              <w:jc w:val="center"/>
              <w:rPr>
                <w:rFonts w:ascii="Arial" w:eastAsia="Calibri" w:hAnsi="Arial" w:cs="Arial"/>
                <w:b/>
                <w:u w:val="single"/>
              </w:rPr>
            </w:pPr>
          </w:p>
          <w:p w14:paraId="7282E92A" w14:textId="77777777" w:rsidR="00FA725A" w:rsidRDefault="00FA725A" w:rsidP="002551C6">
            <w:pPr>
              <w:jc w:val="center"/>
              <w:rPr>
                <w:rFonts w:ascii="Arial" w:eastAsia="Calibri" w:hAnsi="Arial" w:cs="Arial"/>
                <w:b/>
                <w:u w:val="single"/>
              </w:rPr>
            </w:pPr>
          </w:p>
          <w:p w14:paraId="30DD758C" w14:textId="77777777" w:rsidR="00FA725A" w:rsidRDefault="00FA725A" w:rsidP="002551C6">
            <w:pPr>
              <w:jc w:val="center"/>
              <w:rPr>
                <w:rFonts w:ascii="Arial" w:eastAsia="Calibri" w:hAnsi="Arial" w:cs="Arial"/>
                <w:b/>
                <w:u w:val="single"/>
              </w:rPr>
            </w:pPr>
          </w:p>
          <w:p w14:paraId="23FAA7E6" w14:textId="3EE0F380" w:rsidR="00FA725A" w:rsidRDefault="00FA725A" w:rsidP="002551C6">
            <w:pPr>
              <w:jc w:val="center"/>
              <w:rPr>
                <w:rFonts w:ascii="Arial" w:eastAsia="Calibri" w:hAnsi="Arial" w:cs="Arial"/>
                <w:b/>
                <w:u w:val="single"/>
              </w:rPr>
            </w:pPr>
            <w:r>
              <w:rPr>
                <w:rFonts w:ascii="Arial" w:eastAsia="Calibri" w:hAnsi="Arial" w:cs="Arial"/>
                <w:b/>
                <w:u w:val="single"/>
              </w:rPr>
              <w:t>85.00%</w:t>
            </w:r>
          </w:p>
          <w:p w14:paraId="66596CA6" w14:textId="2128CBA3" w:rsidR="00FA725A" w:rsidRDefault="00FA725A" w:rsidP="002551C6">
            <w:pPr>
              <w:jc w:val="center"/>
              <w:rPr>
                <w:rFonts w:ascii="Arial" w:eastAsia="Calibri" w:hAnsi="Arial" w:cs="Arial"/>
                <w:b/>
                <w:u w:val="single"/>
              </w:rPr>
            </w:pPr>
            <w:r>
              <w:rPr>
                <w:rFonts w:ascii="Arial" w:eastAsia="Calibri" w:hAnsi="Arial" w:cs="Arial"/>
                <w:b/>
                <w:u w:val="single"/>
              </w:rPr>
              <w:t>52.00%</w:t>
            </w:r>
          </w:p>
          <w:p w14:paraId="1C2212BA" w14:textId="77777777" w:rsidR="00FA725A" w:rsidRDefault="00FA725A" w:rsidP="002551C6">
            <w:pPr>
              <w:jc w:val="center"/>
              <w:rPr>
                <w:rFonts w:ascii="Arial" w:eastAsia="Calibri" w:hAnsi="Arial" w:cs="Arial"/>
                <w:b/>
                <w:u w:val="single"/>
              </w:rPr>
            </w:pPr>
          </w:p>
          <w:p w14:paraId="0FD79F11" w14:textId="623522E4" w:rsidR="00FA725A" w:rsidRDefault="00FA725A" w:rsidP="00FA725A">
            <w:pPr>
              <w:jc w:val="center"/>
              <w:rPr>
                <w:rFonts w:ascii="Arial" w:eastAsia="Calibri" w:hAnsi="Arial" w:cs="Arial"/>
                <w:b/>
                <w:u w:val="single"/>
              </w:rPr>
            </w:pPr>
            <w:r>
              <w:rPr>
                <w:rFonts w:ascii="Arial" w:eastAsia="Calibri" w:hAnsi="Arial" w:cs="Arial"/>
                <w:b/>
                <w:u w:val="single"/>
              </w:rPr>
              <w:t>60.00%</w:t>
            </w:r>
          </w:p>
        </w:tc>
      </w:tr>
      <w:tr w:rsidR="00931C9C" w:rsidRPr="004B1294" w14:paraId="79ACEBC0" w14:textId="77777777" w:rsidTr="00042E94">
        <w:tc>
          <w:tcPr>
            <w:tcW w:w="1550" w:type="dxa"/>
          </w:tcPr>
          <w:p w14:paraId="63F36DA6" w14:textId="2AC088DC" w:rsidR="00931C9C" w:rsidRDefault="008442E5" w:rsidP="002551C6">
            <w:pPr>
              <w:jc w:val="center"/>
              <w:rPr>
                <w:rFonts w:ascii="Arial" w:hAnsi="Arial" w:cs="Arial"/>
                <w:b/>
              </w:rPr>
            </w:pPr>
            <w:r>
              <w:rPr>
                <w:rFonts w:ascii="Arial" w:hAnsi="Arial" w:cs="Arial"/>
                <w:b/>
              </w:rPr>
              <w:t>26</w:t>
            </w:r>
          </w:p>
        </w:tc>
        <w:tc>
          <w:tcPr>
            <w:tcW w:w="3255" w:type="dxa"/>
          </w:tcPr>
          <w:p w14:paraId="6ECCAE3C" w14:textId="1CFFC60E" w:rsidR="008442E5" w:rsidRPr="008442E5" w:rsidRDefault="008442E5" w:rsidP="008442E5">
            <w:pPr>
              <w:jc w:val="both"/>
              <w:rPr>
                <w:rFonts w:ascii="Arial" w:hAnsi="Arial" w:cs="Arial"/>
                <w:b/>
                <w:lang w:val="es-MX"/>
              </w:rPr>
            </w:pPr>
            <w:r w:rsidRPr="008442E5">
              <w:rPr>
                <w:rFonts w:ascii="Arial" w:hAnsi="Arial" w:cs="Arial"/>
                <w:b/>
                <w:lang w:val="es-MX"/>
              </w:rPr>
              <w:t>AGENCIA NACIONAL INMOBILIARIA VIRGILIO BARCO.</w:t>
            </w:r>
          </w:p>
          <w:p w14:paraId="406FDEAC" w14:textId="77777777" w:rsidR="00931C9C" w:rsidRDefault="00931C9C" w:rsidP="00AD023F">
            <w:pPr>
              <w:jc w:val="both"/>
              <w:rPr>
                <w:rFonts w:ascii="Arial" w:hAnsi="Arial" w:cs="Arial"/>
                <w:b/>
                <w:lang w:val="es-MX"/>
              </w:rPr>
            </w:pPr>
          </w:p>
          <w:p w14:paraId="536135E3" w14:textId="77777777" w:rsidR="008442E5" w:rsidRDefault="008442E5" w:rsidP="008442E5">
            <w:pPr>
              <w:jc w:val="both"/>
              <w:rPr>
                <w:rFonts w:ascii="Arial" w:hAnsi="Arial" w:cs="Arial"/>
                <w:b/>
                <w:lang w:val="es-MX"/>
              </w:rPr>
            </w:pPr>
            <w:r>
              <w:rPr>
                <w:rFonts w:ascii="Arial" w:hAnsi="Arial" w:cs="Arial"/>
                <w:b/>
                <w:lang w:val="es-MX"/>
              </w:rPr>
              <w:t>FUNCIONAMIENTO</w:t>
            </w:r>
          </w:p>
          <w:p w14:paraId="535D26B9" w14:textId="77777777" w:rsidR="008442E5" w:rsidRDefault="008442E5" w:rsidP="008442E5">
            <w:pPr>
              <w:jc w:val="both"/>
              <w:rPr>
                <w:rFonts w:ascii="Arial" w:hAnsi="Arial" w:cs="Arial"/>
                <w:b/>
                <w:lang w:val="es-MX"/>
              </w:rPr>
            </w:pPr>
            <w:r>
              <w:rPr>
                <w:rFonts w:ascii="Arial" w:hAnsi="Arial" w:cs="Arial"/>
                <w:b/>
                <w:lang w:val="es-MX"/>
              </w:rPr>
              <w:t>INVERSIÓN</w:t>
            </w:r>
          </w:p>
          <w:p w14:paraId="37A35835" w14:textId="77777777" w:rsidR="008442E5" w:rsidRDefault="008442E5" w:rsidP="008442E5">
            <w:pPr>
              <w:jc w:val="both"/>
              <w:rPr>
                <w:rFonts w:ascii="Arial" w:hAnsi="Arial" w:cs="Arial"/>
                <w:b/>
                <w:lang w:val="es-MX"/>
              </w:rPr>
            </w:pPr>
          </w:p>
          <w:p w14:paraId="0CC26F8C" w14:textId="107BAA4B" w:rsidR="008442E5" w:rsidRPr="00AD023F" w:rsidRDefault="008442E5" w:rsidP="008442E5">
            <w:pPr>
              <w:jc w:val="both"/>
              <w:rPr>
                <w:rFonts w:ascii="Arial" w:hAnsi="Arial" w:cs="Arial"/>
                <w:b/>
                <w:lang w:val="es-MX"/>
              </w:rPr>
            </w:pPr>
            <w:r>
              <w:rPr>
                <w:rFonts w:ascii="Arial" w:hAnsi="Arial" w:cs="Arial"/>
                <w:b/>
                <w:lang w:val="es-MX"/>
              </w:rPr>
              <w:t>TOTAL PRESUPUESTO</w:t>
            </w:r>
          </w:p>
        </w:tc>
        <w:tc>
          <w:tcPr>
            <w:tcW w:w="1839" w:type="dxa"/>
          </w:tcPr>
          <w:p w14:paraId="316DF72B" w14:textId="0C966886" w:rsidR="00931C9C" w:rsidRDefault="00931C9C" w:rsidP="002551C6">
            <w:pPr>
              <w:jc w:val="center"/>
              <w:rPr>
                <w:rFonts w:ascii="Arial" w:eastAsia="Calibri" w:hAnsi="Arial" w:cs="Arial"/>
                <w:b/>
                <w:u w:val="single"/>
              </w:rPr>
            </w:pPr>
          </w:p>
          <w:p w14:paraId="01348C0A" w14:textId="57ED0751" w:rsidR="00C878E1" w:rsidRDefault="00C878E1" w:rsidP="002551C6">
            <w:pPr>
              <w:jc w:val="center"/>
              <w:rPr>
                <w:rFonts w:ascii="Arial" w:eastAsia="Calibri" w:hAnsi="Arial" w:cs="Arial"/>
                <w:b/>
                <w:u w:val="single"/>
              </w:rPr>
            </w:pPr>
          </w:p>
          <w:p w14:paraId="3B3E844C" w14:textId="68661CB1" w:rsidR="00C878E1" w:rsidRDefault="00C878E1" w:rsidP="002551C6">
            <w:pPr>
              <w:jc w:val="center"/>
              <w:rPr>
                <w:rFonts w:ascii="Arial" w:eastAsia="Calibri" w:hAnsi="Arial" w:cs="Arial"/>
                <w:b/>
                <w:u w:val="single"/>
              </w:rPr>
            </w:pPr>
          </w:p>
          <w:p w14:paraId="30679E46" w14:textId="122FB375" w:rsidR="00C878E1" w:rsidRDefault="00C878E1" w:rsidP="002551C6">
            <w:pPr>
              <w:jc w:val="center"/>
              <w:rPr>
                <w:rFonts w:ascii="Arial" w:eastAsia="Calibri" w:hAnsi="Arial" w:cs="Arial"/>
                <w:b/>
                <w:u w:val="single"/>
              </w:rPr>
            </w:pPr>
          </w:p>
          <w:p w14:paraId="4B0442AE" w14:textId="1604934B" w:rsidR="00C878E1" w:rsidRDefault="00C878E1" w:rsidP="002551C6">
            <w:pPr>
              <w:jc w:val="center"/>
              <w:rPr>
                <w:rFonts w:ascii="Arial" w:eastAsia="Calibri" w:hAnsi="Arial" w:cs="Arial"/>
                <w:b/>
                <w:u w:val="single"/>
              </w:rPr>
            </w:pPr>
            <w:r>
              <w:rPr>
                <w:rFonts w:ascii="Arial" w:eastAsia="Calibri" w:hAnsi="Arial" w:cs="Arial"/>
                <w:b/>
                <w:u w:val="single"/>
              </w:rPr>
              <w:t>90.00%</w:t>
            </w:r>
          </w:p>
          <w:p w14:paraId="08CBCB64" w14:textId="665D8FF9" w:rsidR="00C878E1" w:rsidRDefault="00C878E1" w:rsidP="002551C6">
            <w:pPr>
              <w:jc w:val="center"/>
              <w:rPr>
                <w:rFonts w:ascii="Arial" w:eastAsia="Calibri" w:hAnsi="Arial" w:cs="Arial"/>
                <w:b/>
                <w:u w:val="single"/>
              </w:rPr>
            </w:pPr>
            <w:r>
              <w:rPr>
                <w:rFonts w:ascii="Arial" w:eastAsia="Calibri" w:hAnsi="Arial" w:cs="Arial"/>
                <w:b/>
                <w:u w:val="single"/>
              </w:rPr>
              <w:t>100.00%</w:t>
            </w:r>
          </w:p>
          <w:p w14:paraId="60217D02" w14:textId="7FC5A9A3" w:rsidR="00C878E1" w:rsidRDefault="00C878E1" w:rsidP="002551C6">
            <w:pPr>
              <w:jc w:val="center"/>
              <w:rPr>
                <w:rFonts w:ascii="Arial" w:eastAsia="Calibri" w:hAnsi="Arial" w:cs="Arial"/>
                <w:b/>
                <w:u w:val="single"/>
              </w:rPr>
            </w:pPr>
          </w:p>
          <w:p w14:paraId="1A3DF31A" w14:textId="69344048" w:rsidR="00C878E1" w:rsidRDefault="00C878E1" w:rsidP="00C878E1">
            <w:pPr>
              <w:jc w:val="center"/>
              <w:rPr>
                <w:rFonts w:ascii="Arial" w:eastAsia="Calibri" w:hAnsi="Arial" w:cs="Arial"/>
                <w:b/>
                <w:u w:val="single"/>
              </w:rPr>
            </w:pPr>
            <w:r>
              <w:rPr>
                <w:rFonts w:ascii="Arial" w:eastAsia="Calibri" w:hAnsi="Arial" w:cs="Arial"/>
                <w:b/>
                <w:u w:val="single"/>
              </w:rPr>
              <w:t>99.00%</w:t>
            </w:r>
          </w:p>
        </w:tc>
        <w:tc>
          <w:tcPr>
            <w:tcW w:w="1804" w:type="dxa"/>
          </w:tcPr>
          <w:p w14:paraId="497817BC" w14:textId="77777777" w:rsidR="00931C9C" w:rsidRDefault="00931C9C" w:rsidP="002551C6">
            <w:pPr>
              <w:jc w:val="center"/>
              <w:rPr>
                <w:rFonts w:ascii="Arial" w:eastAsia="Calibri" w:hAnsi="Arial" w:cs="Arial"/>
                <w:b/>
                <w:u w:val="single"/>
              </w:rPr>
            </w:pPr>
          </w:p>
          <w:p w14:paraId="13D9EE18" w14:textId="77777777" w:rsidR="00C878E1" w:rsidRDefault="00C878E1" w:rsidP="002551C6">
            <w:pPr>
              <w:jc w:val="center"/>
              <w:rPr>
                <w:rFonts w:ascii="Arial" w:eastAsia="Calibri" w:hAnsi="Arial" w:cs="Arial"/>
                <w:b/>
                <w:u w:val="single"/>
              </w:rPr>
            </w:pPr>
          </w:p>
          <w:p w14:paraId="680E4A5A" w14:textId="77777777" w:rsidR="00C878E1" w:rsidRDefault="00C878E1" w:rsidP="002551C6">
            <w:pPr>
              <w:jc w:val="center"/>
              <w:rPr>
                <w:rFonts w:ascii="Arial" w:eastAsia="Calibri" w:hAnsi="Arial" w:cs="Arial"/>
                <w:b/>
                <w:u w:val="single"/>
              </w:rPr>
            </w:pPr>
          </w:p>
          <w:p w14:paraId="54B7D5C4" w14:textId="77777777" w:rsidR="00C878E1" w:rsidRDefault="00C878E1" w:rsidP="002551C6">
            <w:pPr>
              <w:jc w:val="center"/>
              <w:rPr>
                <w:rFonts w:ascii="Arial" w:eastAsia="Calibri" w:hAnsi="Arial" w:cs="Arial"/>
                <w:b/>
                <w:u w:val="single"/>
              </w:rPr>
            </w:pPr>
          </w:p>
          <w:p w14:paraId="657269AA" w14:textId="029F628E" w:rsidR="00C878E1" w:rsidRDefault="00C878E1" w:rsidP="002551C6">
            <w:pPr>
              <w:jc w:val="center"/>
              <w:rPr>
                <w:rFonts w:ascii="Arial" w:eastAsia="Calibri" w:hAnsi="Arial" w:cs="Arial"/>
                <w:b/>
                <w:u w:val="single"/>
              </w:rPr>
            </w:pPr>
            <w:r>
              <w:rPr>
                <w:rFonts w:ascii="Arial" w:eastAsia="Calibri" w:hAnsi="Arial" w:cs="Arial"/>
                <w:b/>
                <w:u w:val="single"/>
              </w:rPr>
              <w:t>88.00%</w:t>
            </w:r>
          </w:p>
          <w:p w14:paraId="2369D5D1" w14:textId="1AB6254F" w:rsidR="00C878E1" w:rsidRDefault="00C878E1" w:rsidP="002551C6">
            <w:pPr>
              <w:jc w:val="center"/>
              <w:rPr>
                <w:rFonts w:ascii="Arial" w:eastAsia="Calibri" w:hAnsi="Arial" w:cs="Arial"/>
                <w:b/>
                <w:u w:val="single"/>
              </w:rPr>
            </w:pPr>
            <w:r>
              <w:rPr>
                <w:rFonts w:ascii="Arial" w:eastAsia="Calibri" w:hAnsi="Arial" w:cs="Arial"/>
                <w:b/>
                <w:u w:val="single"/>
              </w:rPr>
              <w:t>12.00%</w:t>
            </w:r>
          </w:p>
          <w:p w14:paraId="61D4A530" w14:textId="77777777" w:rsidR="00C878E1" w:rsidRDefault="00C878E1" w:rsidP="002551C6">
            <w:pPr>
              <w:jc w:val="center"/>
              <w:rPr>
                <w:rFonts w:ascii="Arial" w:eastAsia="Calibri" w:hAnsi="Arial" w:cs="Arial"/>
                <w:b/>
                <w:u w:val="single"/>
              </w:rPr>
            </w:pPr>
          </w:p>
          <w:p w14:paraId="55A3EA7C" w14:textId="1BB01AA4" w:rsidR="00C878E1" w:rsidRDefault="00C878E1" w:rsidP="002551C6">
            <w:pPr>
              <w:jc w:val="center"/>
              <w:rPr>
                <w:rFonts w:ascii="Arial" w:eastAsia="Calibri" w:hAnsi="Arial" w:cs="Arial"/>
                <w:b/>
                <w:u w:val="single"/>
              </w:rPr>
            </w:pPr>
            <w:r>
              <w:rPr>
                <w:rFonts w:ascii="Arial" w:eastAsia="Calibri" w:hAnsi="Arial" w:cs="Arial"/>
                <w:b/>
                <w:u w:val="single"/>
              </w:rPr>
              <w:t>21.00%</w:t>
            </w:r>
          </w:p>
        </w:tc>
        <w:tc>
          <w:tcPr>
            <w:tcW w:w="2042" w:type="dxa"/>
          </w:tcPr>
          <w:p w14:paraId="54D6354F" w14:textId="77777777" w:rsidR="00931C9C" w:rsidRDefault="00931C9C" w:rsidP="002551C6">
            <w:pPr>
              <w:jc w:val="center"/>
              <w:rPr>
                <w:rFonts w:ascii="Arial" w:eastAsia="Calibri" w:hAnsi="Arial" w:cs="Arial"/>
                <w:b/>
                <w:u w:val="single"/>
              </w:rPr>
            </w:pPr>
          </w:p>
          <w:p w14:paraId="68E9140B" w14:textId="77777777" w:rsidR="00C878E1" w:rsidRDefault="00C878E1" w:rsidP="002551C6">
            <w:pPr>
              <w:jc w:val="center"/>
              <w:rPr>
                <w:rFonts w:ascii="Arial" w:eastAsia="Calibri" w:hAnsi="Arial" w:cs="Arial"/>
                <w:b/>
                <w:u w:val="single"/>
              </w:rPr>
            </w:pPr>
          </w:p>
          <w:p w14:paraId="7AD537F0" w14:textId="77777777" w:rsidR="00C878E1" w:rsidRDefault="00C878E1" w:rsidP="002551C6">
            <w:pPr>
              <w:jc w:val="center"/>
              <w:rPr>
                <w:rFonts w:ascii="Arial" w:eastAsia="Calibri" w:hAnsi="Arial" w:cs="Arial"/>
                <w:b/>
                <w:u w:val="single"/>
              </w:rPr>
            </w:pPr>
          </w:p>
          <w:p w14:paraId="23454714" w14:textId="77777777" w:rsidR="00C878E1" w:rsidRDefault="00C878E1" w:rsidP="002551C6">
            <w:pPr>
              <w:jc w:val="center"/>
              <w:rPr>
                <w:rFonts w:ascii="Arial" w:eastAsia="Calibri" w:hAnsi="Arial" w:cs="Arial"/>
                <w:b/>
                <w:u w:val="single"/>
              </w:rPr>
            </w:pPr>
          </w:p>
          <w:p w14:paraId="17B929ED" w14:textId="3244F799" w:rsidR="00C878E1" w:rsidRDefault="00C878E1" w:rsidP="002551C6">
            <w:pPr>
              <w:jc w:val="center"/>
              <w:rPr>
                <w:rFonts w:ascii="Arial" w:eastAsia="Calibri" w:hAnsi="Arial" w:cs="Arial"/>
                <w:b/>
                <w:u w:val="single"/>
              </w:rPr>
            </w:pPr>
            <w:r>
              <w:rPr>
                <w:rFonts w:ascii="Arial" w:eastAsia="Calibri" w:hAnsi="Arial" w:cs="Arial"/>
                <w:b/>
                <w:u w:val="single"/>
              </w:rPr>
              <w:t>88.00%</w:t>
            </w:r>
          </w:p>
          <w:p w14:paraId="102351CF" w14:textId="7210758E" w:rsidR="00C878E1" w:rsidRDefault="00C878E1" w:rsidP="002551C6">
            <w:pPr>
              <w:jc w:val="center"/>
              <w:rPr>
                <w:rFonts w:ascii="Arial" w:eastAsia="Calibri" w:hAnsi="Arial" w:cs="Arial"/>
                <w:b/>
                <w:u w:val="single"/>
              </w:rPr>
            </w:pPr>
            <w:r>
              <w:rPr>
                <w:rFonts w:ascii="Arial" w:eastAsia="Calibri" w:hAnsi="Arial" w:cs="Arial"/>
                <w:b/>
                <w:u w:val="single"/>
              </w:rPr>
              <w:t>12.00%</w:t>
            </w:r>
          </w:p>
          <w:p w14:paraId="24C650AF" w14:textId="77777777" w:rsidR="00C878E1" w:rsidRDefault="00C878E1" w:rsidP="002551C6">
            <w:pPr>
              <w:jc w:val="center"/>
              <w:rPr>
                <w:rFonts w:ascii="Arial" w:eastAsia="Calibri" w:hAnsi="Arial" w:cs="Arial"/>
                <w:b/>
                <w:u w:val="single"/>
              </w:rPr>
            </w:pPr>
          </w:p>
          <w:p w14:paraId="0C67802D" w14:textId="3636A3BC" w:rsidR="00C878E1" w:rsidRDefault="00C878E1" w:rsidP="002551C6">
            <w:pPr>
              <w:jc w:val="center"/>
              <w:rPr>
                <w:rFonts w:ascii="Arial" w:eastAsia="Calibri" w:hAnsi="Arial" w:cs="Arial"/>
                <w:b/>
                <w:u w:val="single"/>
              </w:rPr>
            </w:pPr>
            <w:r>
              <w:rPr>
                <w:rFonts w:ascii="Arial" w:eastAsia="Calibri" w:hAnsi="Arial" w:cs="Arial"/>
                <w:b/>
                <w:u w:val="single"/>
              </w:rPr>
              <w:t>21.00%</w:t>
            </w:r>
          </w:p>
        </w:tc>
      </w:tr>
      <w:tr w:rsidR="00931C9C" w:rsidRPr="004B1294" w14:paraId="2BF76041" w14:textId="77777777" w:rsidTr="00042E94">
        <w:tc>
          <w:tcPr>
            <w:tcW w:w="1550" w:type="dxa"/>
          </w:tcPr>
          <w:p w14:paraId="712D70E9" w14:textId="59BF7770" w:rsidR="00931C9C" w:rsidRDefault="00CA0CCE" w:rsidP="002551C6">
            <w:pPr>
              <w:jc w:val="center"/>
              <w:rPr>
                <w:rFonts w:ascii="Arial" w:hAnsi="Arial" w:cs="Arial"/>
                <w:b/>
              </w:rPr>
            </w:pPr>
            <w:r>
              <w:rPr>
                <w:rFonts w:ascii="Arial" w:hAnsi="Arial" w:cs="Arial"/>
                <w:b/>
              </w:rPr>
              <w:t>27</w:t>
            </w:r>
          </w:p>
        </w:tc>
        <w:tc>
          <w:tcPr>
            <w:tcW w:w="3255" w:type="dxa"/>
          </w:tcPr>
          <w:p w14:paraId="2079B7EF" w14:textId="18FA74B2" w:rsidR="00CA0CCE" w:rsidRPr="00CA0CCE" w:rsidRDefault="00CA0CCE" w:rsidP="00CA0CCE">
            <w:pPr>
              <w:jc w:val="both"/>
              <w:rPr>
                <w:b/>
                <w:lang w:val="es-MX"/>
              </w:rPr>
            </w:pPr>
            <w:r w:rsidRPr="00CA0CCE">
              <w:rPr>
                <w:rFonts w:ascii="Arial" w:hAnsi="Arial" w:cs="Arial"/>
                <w:b/>
                <w:lang w:val="es-MX"/>
              </w:rPr>
              <w:t>INSTITUTO NACIONAL DE METROLOGÍA DE COLOMBIA - INMC</w:t>
            </w:r>
            <w:r w:rsidRPr="00CA0CCE">
              <w:rPr>
                <w:b/>
                <w:lang w:val="es-MX"/>
              </w:rPr>
              <w:t>.</w:t>
            </w:r>
          </w:p>
          <w:p w14:paraId="51F1D378" w14:textId="77777777" w:rsidR="00931C9C" w:rsidRDefault="00931C9C" w:rsidP="00AD023F">
            <w:pPr>
              <w:jc w:val="both"/>
              <w:rPr>
                <w:rFonts w:ascii="Arial" w:hAnsi="Arial" w:cs="Arial"/>
                <w:b/>
                <w:lang w:val="es-MX"/>
              </w:rPr>
            </w:pPr>
          </w:p>
          <w:p w14:paraId="5B67BFFD" w14:textId="77777777" w:rsidR="00CA0CCE" w:rsidRDefault="00CA0CCE" w:rsidP="00CA0CCE">
            <w:pPr>
              <w:jc w:val="both"/>
              <w:rPr>
                <w:rFonts w:ascii="Arial" w:hAnsi="Arial" w:cs="Arial"/>
                <w:b/>
                <w:lang w:val="es-MX"/>
              </w:rPr>
            </w:pPr>
            <w:r>
              <w:rPr>
                <w:rFonts w:ascii="Arial" w:hAnsi="Arial" w:cs="Arial"/>
                <w:b/>
                <w:lang w:val="es-MX"/>
              </w:rPr>
              <w:t>FUNCIONAMIENTO</w:t>
            </w:r>
          </w:p>
          <w:p w14:paraId="363D36B6" w14:textId="77777777" w:rsidR="00CA0CCE" w:rsidRDefault="00CA0CCE" w:rsidP="00CA0CCE">
            <w:pPr>
              <w:jc w:val="both"/>
              <w:rPr>
                <w:rFonts w:ascii="Arial" w:hAnsi="Arial" w:cs="Arial"/>
                <w:b/>
                <w:lang w:val="es-MX"/>
              </w:rPr>
            </w:pPr>
            <w:r>
              <w:rPr>
                <w:rFonts w:ascii="Arial" w:hAnsi="Arial" w:cs="Arial"/>
                <w:b/>
                <w:lang w:val="es-MX"/>
              </w:rPr>
              <w:t>INVERSIÓN</w:t>
            </w:r>
          </w:p>
          <w:p w14:paraId="6568A9E0" w14:textId="77777777" w:rsidR="00CA0CCE" w:rsidRDefault="00CA0CCE" w:rsidP="00CA0CCE">
            <w:pPr>
              <w:jc w:val="both"/>
              <w:rPr>
                <w:rFonts w:ascii="Arial" w:hAnsi="Arial" w:cs="Arial"/>
                <w:b/>
                <w:lang w:val="es-MX"/>
              </w:rPr>
            </w:pPr>
          </w:p>
          <w:p w14:paraId="7751845E" w14:textId="7B49D455" w:rsidR="00CA0CCE" w:rsidRPr="00AD023F" w:rsidRDefault="00CA0CCE" w:rsidP="00CA0CCE">
            <w:pPr>
              <w:jc w:val="both"/>
              <w:rPr>
                <w:rFonts w:ascii="Arial" w:hAnsi="Arial" w:cs="Arial"/>
                <w:b/>
                <w:lang w:val="es-MX"/>
              </w:rPr>
            </w:pPr>
            <w:r>
              <w:rPr>
                <w:rFonts w:ascii="Arial" w:hAnsi="Arial" w:cs="Arial"/>
                <w:b/>
                <w:lang w:val="es-MX"/>
              </w:rPr>
              <w:t>TOTAL PRESUPUESTO</w:t>
            </w:r>
          </w:p>
        </w:tc>
        <w:tc>
          <w:tcPr>
            <w:tcW w:w="1839" w:type="dxa"/>
          </w:tcPr>
          <w:p w14:paraId="3EAB631F" w14:textId="77777777" w:rsidR="00931C9C" w:rsidRDefault="00931C9C" w:rsidP="002551C6">
            <w:pPr>
              <w:jc w:val="center"/>
              <w:rPr>
                <w:rFonts w:ascii="Arial" w:eastAsia="Calibri" w:hAnsi="Arial" w:cs="Arial"/>
                <w:b/>
                <w:u w:val="single"/>
              </w:rPr>
            </w:pPr>
          </w:p>
          <w:p w14:paraId="1F921BCA" w14:textId="77777777" w:rsidR="00CA0CCE" w:rsidRDefault="00CA0CCE" w:rsidP="002551C6">
            <w:pPr>
              <w:jc w:val="center"/>
              <w:rPr>
                <w:rFonts w:ascii="Arial" w:eastAsia="Calibri" w:hAnsi="Arial" w:cs="Arial"/>
                <w:b/>
                <w:u w:val="single"/>
              </w:rPr>
            </w:pPr>
          </w:p>
          <w:p w14:paraId="27DE2D7C" w14:textId="77777777" w:rsidR="00CA0CCE" w:rsidRDefault="00CA0CCE" w:rsidP="002551C6">
            <w:pPr>
              <w:jc w:val="center"/>
              <w:rPr>
                <w:rFonts w:ascii="Arial" w:eastAsia="Calibri" w:hAnsi="Arial" w:cs="Arial"/>
                <w:b/>
                <w:u w:val="single"/>
              </w:rPr>
            </w:pPr>
          </w:p>
          <w:p w14:paraId="024E3E0E" w14:textId="77777777" w:rsidR="00CA0CCE" w:rsidRDefault="00CA0CCE" w:rsidP="002551C6">
            <w:pPr>
              <w:jc w:val="center"/>
              <w:rPr>
                <w:rFonts w:ascii="Arial" w:eastAsia="Calibri" w:hAnsi="Arial" w:cs="Arial"/>
                <w:b/>
                <w:u w:val="single"/>
              </w:rPr>
            </w:pPr>
          </w:p>
          <w:p w14:paraId="749AEB88" w14:textId="344442D5" w:rsidR="00CA0CCE" w:rsidRDefault="00C4638E" w:rsidP="002551C6">
            <w:pPr>
              <w:jc w:val="center"/>
              <w:rPr>
                <w:rFonts w:ascii="Arial" w:eastAsia="Calibri" w:hAnsi="Arial" w:cs="Arial"/>
                <w:b/>
                <w:u w:val="single"/>
              </w:rPr>
            </w:pPr>
            <w:r>
              <w:rPr>
                <w:rFonts w:ascii="Arial" w:eastAsia="Calibri" w:hAnsi="Arial" w:cs="Arial"/>
                <w:b/>
                <w:u w:val="single"/>
              </w:rPr>
              <w:t>94.00%</w:t>
            </w:r>
          </w:p>
          <w:p w14:paraId="29BE1599" w14:textId="7DDE0AC2" w:rsidR="00CA0CCE" w:rsidRDefault="00C4638E" w:rsidP="002551C6">
            <w:pPr>
              <w:jc w:val="center"/>
              <w:rPr>
                <w:rFonts w:ascii="Arial" w:eastAsia="Calibri" w:hAnsi="Arial" w:cs="Arial"/>
                <w:b/>
                <w:u w:val="single"/>
              </w:rPr>
            </w:pPr>
            <w:r>
              <w:rPr>
                <w:rFonts w:ascii="Arial" w:eastAsia="Calibri" w:hAnsi="Arial" w:cs="Arial"/>
                <w:b/>
                <w:u w:val="single"/>
              </w:rPr>
              <w:t>96.00%</w:t>
            </w:r>
          </w:p>
          <w:p w14:paraId="09E4F142" w14:textId="77777777" w:rsidR="00CA0CCE" w:rsidRDefault="00CA0CCE" w:rsidP="002551C6">
            <w:pPr>
              <w:jc w:val="center"/>
              <w:rPr>
                <w:rFonts w:ascii="Arial" w:eastAsia="Calibri" w:hAnsi="Arial" w:cs="Arial"/>
                <w:b/>
                <w:u w:val="single"/>
              </w:rPr>
            </w:pPr>
          </w:p>
          <w:p w14:paraId="0D4FEF61" w14:textId="3FD573D0" w:rsidR="00CA0CCE" w:rsidRDefault="00C4638E" w:rsidP="002551C6">
            <w:pPr>
              <w:jc w:val="center"/>
              <w:rPr>
                <w:rFonts w:ascii="Arial" w:eastAsia="Calibri" w:hAnsi="Arial" w:cs="Arial"/>
                <w:b/>
                <w:u w:val="single"/>
              </w:rPr>
            </w:pPr>
            <w:r>
              <w:rPr>
                <w:rFonts w:ascii="Arial" w:eastAsia="Calibri" w:hAnsi="Arial" w:cs="Arial"/>
                <w:b/>
                <w:u w:val="single"/>
              </w:rPr>
              <w:t>95.00%</w:t>
            </w:r>
          </w:p>
        </w:tc>
        <w:tc>
          <w:tcPr>
            <w:tcW w:w="1804" w:type="dxa"/>
          </w:tcPr>
          <w:p w14:paraId="6956A62F" w14:textId="77777777" w:rsidR="00931C9C" w:rsidRDefault="00931C9C" w:rsidP="002551C6">
            <w:pPr>
              <w:jc w:val="center"/>
              <w:rPr>
                <w:rFonts w:ascii="Arial" w:eastAsia="Calibri" w:hAnsi="Arial" w:cs="Arial"/>
                <w:b/>
                <w:u w:val="single"/>
              </w:rPr>
            </w:pPr>
          </w:p>
          <w:p w14:paraId="72EE0695" w14:textId="77777777" w:rsidR="00CA0CCE" w:rsidRDefault="00CA0CCE" w:rsidP="002551C6">
            <w:pPr>
              <w:jc w:val="center"/>
              <w:rPr>
                <w:rFonts w:ascii="Arial" w:eastAsia="Calibri" w:hAnsi="Arial" w:cs="Arial"/>
                <w:b/>
                <w:u w:val="single"/>
              </w:rPr>
            </w:pPr>
          </w:p>
          <w:p w14:paraId="255ED826" w14:textId="77777777" w:rsidR="00CA0CCE" w:rsidRDefault="00CA0CCE" w:rsidP="002551C6">
            <w:pPr>
              <w:jc w:val="center"/>
              <w:rPr>
                <w:rFonts w:ascii="Arial" w:eastAsia="Calibri" w:hAnsi="Arial" w:cs="Arial"/>
                <w:b/>
                <w:u w:val="single"/>
              </w:rPr>
            </w:pPr>
          </w:p>
          <w:p w14:paraId="310D00D2" w14:textId="77777777" w:rsidR="00CA0CCE" w:rsidRDefault="00CA0CCE" w:rsidP="002551C6">
            <w:pPr>
              <w:jc w:val="center"/>
              <w:rPr>
                <w:rFonts w:ascii="Arial" w:eastAsia="Calibri" w:hAnsi="Arial" w:cs="Arial"/>
                <w:b/>
                <w:u w:val="single"/>
              </w:rPr>
            </w:pPr>
          </w:p>
          <w:p w14:paraId="2895844B" w14:textId="79F8B17E" w:rsidR="00CA0CCE" w:rsidRDefault="00C4638E" w:rsidP="002551C6">
            <w:pPr>
              <w:jc w:val="center"/>
              <w:rPr>
                <w:rFonts w:ascii="Arial" w:eastAsia="Calibri" w:hAnsi="Arial" w:cs="Arial"/>
                <w:b/>
                <w:u w:val="single"/>
              </w:rPr>
            </w:pPr>
            <w:r>
              <w:rPr>
                <w:rFonts w:ascii="Arial" w:eastAsia="Calibri" w:hAnsi="Arial" w:cs="Arial"/>
                <w:b/>
                <w:u w:val="single"/>
              </w:rPr>
              <w:t>93.00%</w:t>
            </w:r>
          </w:p>
          <w:p w14:paraId="40D9CAC3" w14:textId="1A47F62B" w:rsidR="00CA0CCE" w:rsidRDefault="00C4638E" w:rsidP="002551C6">
            <w:pPr>
              <w:jc w:val="center"/>
              <w:rPr>
                <w:rFonts w:ascii="Arial" w:eastAsia="Calibri" w:hAnsi="Arial" w:cs="Arial"/>
                <w:b/>
                <w:u w:val="single"/>
              </w:rPr>
            </w:pPr>
            <w:r>
              <w:rPr>
                <w:rFonts w:ascii="Arial" w:eastAsia="Calibri" w:hAnsi="Arial" w:cs="Arial"/>
                <w:b/>
                <w:u w:val="single"/>
              </w:rPr>
              <w:t>83.00%</w:t>
            </w:r>
          </w:p>
          <w:p w14:paraId="217F7CEE" w14:textId="77777777" w:rsidR="00CA0CCE" w:rsidRDefault="00CA0CCE" w:rsidP="002551C6">
            <w:pPr>
              <w:jc w:val="center"/>
              <w:rPr>
                <w:rFonts w:ascii="Arial" w:eastAsia="Calibri" w:hAnsi="Arial" w:cs="Arial"/>
                <w:b/>
                <w:u w:val="single"/>
              </w:rPr>
            </w:pPr>
          </w:p>
          <w:p w14:paraId="4E9F1F00" w14:textId="26F98603" w:rsidR="00CA0CCE" w:rsidRDefault="00C4638E" w:rsidP="002551C6">
            <w:pPr>
              <w:jc w:val="center"/>
              <w:rPr>
                <w:rFonts w:ascii="Arial" w:eastAsia="Calibri" w:hAnsi="Arial" w:cs="Arial"/>
                <w:b/>
                <w:u w:val="single"/>
              </w:rPr>
            </w:pPr>
            <w:r>
              <w:rPr>
                <w:rFonts w:ascii="Arial" w:eastAsia="Calibri" w:hAnsi="Arial" w:cs="Arial"/>
                <w:b/>
                <w:u w:val="single"/>
              </w:rPr>
              <w:t>89.00%</w:t>
            </w:r>
          </w:p>
        </w:tc>
        <w:tc>
          <w:tcPr>
            <w:tcW w:w="2042" w:type="dxa"/>
          </w:tcPr>
          <w:p w14:paraId="1CE3C371" w14:textId="77777777" w:rsidR="00931C9C" w:rsidRDefault="00931C9C" w:rsidP="002551C6">
            <w:pPr>
              <w:jc w:val="center"/>
              <w:rPr>
                <w:rFonts w:ascii="Arial" w:eastAsia="Calibri" w:hAnsi="Arial" w:cs="Arial"/>
                <w:b/>
                <w:u w:val="single"/>
              </w:rPr>
            </w:pPr>
          </w:p>
          <w:p w14:paraId="32118FCC" w14:textId="77777777" w:rsidR="00CA0CCE" w:rsidRDefault="00CA0CCE" w:rsidP="002551C6">
            <w:pPr>
              <w:jc w:val="center"/>
              <w:rPr>
                <w:rFonts w:ascii="Arial" w:eastAsia="Calibri" w:hAnsi="Arial" w:cs="Arial"/>
                <w:b/>
                <w:u w:val="single"/>
              </w:rPr>
            </w:pPr>
          </w:p>
          <w:p w14:paraId="60780181" w14:textId="77777777" w:rsidR="00CA0CCE" w:rsidRDefault="00CA0CCE" w:rsidP="002551C6">
            <w:pPr>
              <w:jc w:val="center"/>
              <w:rPr>
                <w:rFonts w:ascii="Arial" w:eastAsia="Calibri" w:hAnsi="Arial" w:cs="Arial"/>
                <w:b/>
                <w:u w:val="single"/>
              </w:rPr>
            </w:pPr>
          </w:p>
          <w:p w14:paraId="53C77CDF" w14:textId="77777777" w:rsidR="00CA0CCE" w:rsidRDefault="00CA0CCE" w:rsidP="002551C6">
            <w:pPr>
              <w:jc w:val="center"/>
              <w:rPr>
                <w:rFonts w:ascii="Arial" w:eastAsia="Calibri" w:hAnsi="Arial" w:cs="Arial"/>
                <w:b/>
                <w:u w:val="single"/>
              </w:rPr>
            </w:pPr>
          </w:p>
          <w:p w14:paraId="6B6E8ACC" w14:textId="4F2B7AD6" w:rsidR="00CA0CCE" w:rsidRDefault="00C4638E" w:rsidP="002551C6">
            <w:pPr>
              <w:jc w:val="center"/>
              <w:rPr>
                <w:rFonts w:ascii="Arial" w:eastAsia="Calibri" w:hAnsi="Arial" w:cs="Arial"/>
                <w:b/>
                <w:u w:val="single"/>
              </w:rPr>
            </w:pPr>
            <w:r>
              <w:rPr>
                <w:rFonts w:ascii="Arial" w:eastAsia="Calibri" w:hAnsi="Arial" w:cs="Arial"/>
                <w:b/>
                <w:u w:val="single"/>
              </w:rPr>
              <w:t>93.00%</w:t>
            </w:r>
          </w:p>
          <w:p w14:paraId="5912232D" w14:textId="5927140E" w:rsidR="00CA0CCE" w:rsidRDefault="00C4638E" w:rsidP="002551C6">
            <w:pPr>
              <w:jc w:val="center"/>
              <w:rPr>
                <w:rFonts w:ascii="Arial" w:eastAsia="Calibri" w:hAnsi="Arial" w:cs="Arial"/>
                <w:b/>
                <w:u w:val="single"/>
              </w:rPr>
            </w:pPr>
            <w:r>
              <w:rPr>
                <w:rFonts w:ascii="Arial" w:eastAsia="Calibri" w:hAnsi="Arial" w:cs="Arial"/>
                <w:b/>
                <w:u w:val="single"/>
              </w:rPr>
              <w:t>83.00%</w:t>
            </w:r>
          </w:p>
          <w:p w14:paraId="4BD37F38" w14:textId="77777777" w:rsidR="00CA0CCE" w:rsidRDefault="00CA0CCE" w:rsidP="002551C6">
            <w:pPr>
              <w:jc w:val="center"/>
              <w:rPr>
                <w:rFonts w:ascii="Arial" w:eastAsia="Calibri" w:hAnsi="Arial" w:cs="Arial"/>
                <w:b/>
                <w:u w:val="single"/>
              </w:rPr>
            </w:pPr>
          </w:p>
          <w:p w14:paraId="497516C5" w14:textId="3D89169C" w:rsidR="00CA0CCE" w:rsidRDefault="00C4638E" w:rsidP="002551C6">
            <w:pPr>
              <w:jc w:val="center"/>
              <w:rPr>
                <w:rFonts w:ascii="Arial" w:eastAsia="Calibri" w:hAnsi="Arial" w:cs="Arial"/>
                <w:b/>
                <w:u w:val="single"/>
              </w:rPr>
            </w:pPr>
            <w:r>
              <w:rPr>
                <w:rFonts w:ascii="Arial" w:eastAsia="Calibri" w:hAnsi="Arial" w:cs="Arial"/>
                <w:b/>
                <w:u w:val="single"/>
              </w:rPr>
              <w:t>89.00%</w:t>
            </w:r>
          </w:p>
        </w:tc>
      </w:tr>
      <w:tr w:rsidR="00931C9C" w:rsidRPr="004B1294" w14:paraId="6B871D70" w14:textId="77777777" w:rsidTr="00042E94">
        <w:tc>
          <w:tcPr>
            <w:tcW w:w="1550" w:type="dxa"/>
          </w:tcPr>
          <w:p w14:paraId="1EFC2D46" w14:textId="42FEC360" w:rsidR="00931C9C" w:rsidRDefault="001565D1" w:rsidP="002551C6">
            <w:pPr>
              <w:jc w:val="center"/>
              <w:rPr>
                <w:rFonts w:ascii="Arial" w:hAnsi="Arial" w:cs="Arial"/>
                <w:b/>
              </w:rPr>
            </w:pPr>
            <w:r>
              <w:rPr>
                <w:rFonts w:ascii="Arial" w:hAnsi="Arial" w:cs="Arial"/>
                <w:b/>
              </w:rPr>
              <w:t>28</w:t>
            </w:r>
          </w:p>
        </w:tc>
        <w:tc>
          <w:tcPr>
            <w:tcW w:w="3255" w:type="dxa"/>
          </w:tcPr>
          <w:p w14:paraId="44935E42" w14:textId="5ECB416D" w:rsidR="001565D1" w:rsidRPr="001565D1" w:rsidRDefault="001565D1" w:rsidP="001565D1">
            <w:pPr>
              <w:jc w:val="both"/>
              <w:rPr>
                <w:rFonts w:ascii="Arial" w:hAnsi="Arial" w:cs="Arial"/>
                <w:b/>
                <w:lang w:val="es-MX"/>
              </w:rPr>
            </w:pPr>
            <w:r w:rsidRPr="001565D1">
              <w:rPr>
                <w:rFonts w:ascii="Arial" w:hAnsi="Arial" w:cs="Arial"/>
                <w:b/>
                <w:lang w:val="es-MX"/>
              </w:rPr>
              <w:t>SUPERINTENDENCIA DE SOCIEDADES - SUPERSOCIEDADES.</w:t>
            </w:r>
          </w:p>
          <w:p w14:paraId="63A2BF5A" w14:textId="77777777" w:rsidR="00931C9C" w:rsidRDefault="00931C9C" w:rsidP="00AD023F">
            <w:pPr>
              <w:jc w:val="both"/>
              <w:rPr>
                <w:rFonts w:ascii="Arial" w:hAnsi="Arial" w:cs="Arial"/>
                <w:b/>
                <w:lang w:val="es-MX"/>
              </w:rPr>
            </w:pPr>
          </w:p>
          <w:p w14:paraId="40551247" w14:textId="77777777" w:rsidR="001565D1" w:rsidRDefault="001565D1" w:rsidP="001565D1">
            <w:pPr>
              <w:jc w:val="both"/>
              <w:rPr>
                <w:rFonts w:ascii="Arial" w:hAnsi="Arial" w:cs="Arial"/>
                <w:b/>
                <w:lang w:val="es-MX"/>
              </w:rPr>
            </w:pPr>
            <w:r>
              <w:rPr>
                <w:rFonts w:ascii="Arial" w:hAnsi="Arial" w:cs="Arial"/>
                <w:b/>
                <w:lang w:val="es-MX"/>
              </w:rPr>
              <w:t>FUNCIONAMIENTO</w:t>
            </w:r>
          </w:p>
          <w:p w14:paraId="1AAB06BC" w14:textId="77777777" w:rsidR="001565D1" w:rsidRDefault="001565D1" w:rsidP="001565D1">
            <w:pPr>
              <w:jc w:val="both"/>
              <w:rPr>
                <w:rFonts w:ascii="Arial" w:hAnsi="Arial" w:cs="Arial"/>
                <w:b/>
                <w:lang w:val="es-MX"/>
              </w:rPr>
            </w:pPr>
            <w:r>
              <w:rPr>
                <w:rFonts w:ascii="Arial" w:hAnsi="Arial" w:cs="Arial"/>
                <w:b/>
                <w:lang w:val="es-MX"/>
              </w:rPr>
              <w:t>INVERSIÓN</w:t>
            </w:r>
          </w:p>
          <w:p w14:paraId="4B619A04" w14:textId="3B512E62" w:rsidR="001565D1" w:rsidRPr="00AD023F" w:rsidRDefault="001565D1" w:rsidP="001565D1">
            <w:pPr>
              <w:jc w:val="both"/>
              <w:rPr>
                <w:rFonts w:ascii="Arial" w:hAnsi="Arial" w:cs="Arial"/>
                <w:b/>
                <w:lang w:val="es-MX"/>
              </w:rPr>
            </w:pPr>
            <w:r>
              <w:rPr>
                <w:rFonts w:ascii="Arial" w:hAnsi="Arial" w:cs="Arial"/>
                <w:b/>
                <w:lang w:val="es-MX"/>
              </w:rPr>
              <w:t>TOTAL PRESUPUESTO</w:t>
            </w:r>
          </w:p>
        </w:tc>
        <w:tc>
          <w:tcPr>
            <w:tcW w:w="1839" w:type="dxa"/>
          </w:tcPr>
          <w:p w14:paraId="5BBD9F87" w14:textId="77777777" w:rsidR="00931C9C" w:rsidRDefault="00931C9C" w:rsidP="002551C6">
            <w:pPr>
              <w:jc w:val="center"/>
              <w:rPr>
                <w:rFonts w:ascii="Arial" w:eastAsia="Calibri" w:hAnsi="Arial" w:cs="Arial"/>
                <w:b/>
                <w:u w:val="single"/>
              </w:rPr>
            </w:pPr>
          </w:p>
          <w:p w14:paraId="06EB6537" w14:textId="77777777" w:rsidR="001565D1" w:rsidRDefault="001565D1" w:rsidP="002551C6">
            <w:pPr>
              <w:jc w:val="center"/>
              <w:rPr>
                <w:rFonts w:ascii="Arial" w:eastAsia="Calibri" w:hAnsi="Arial" w:cs="Arial"/>
                <w:b/>
                <w:u w:val="single"/>
              </w:rPr>
            </w:pPr>
          </w:p>
          <w:p w14:paraId="23027BBC" w14:textId="77777777" w:rsidR="001565D1" w:rsidRDefault="001565D1" w:rsidP="002551C6">
            <w:pPr>
              <w:jc w:val="center"/>
              <w:rPr>
                <w:rFonts w:ascii="Arial" w:eastAsia="Calibri" w:hAnsi="Arial" w:cs="Arial"/>
                <w:b/>
                <w:u w:val="single"/>
              </w:rPr>
            </w:pPr>
          </w:p>
          <w:p w14:paraId="24D00636" w14:textId="77777777" w:rsidR="001565D1" w:rsidRDefault="001565D1" w:rsidP="002551C6">
            <w:pPr>
              <w:jc w:val="center"/>
              <w:rPr>
                <w:rFonts w:ascii="Arial" w:eastAsia="Calibri" w:hAnsi="Arial" w:cs="Arial"/>
                <w:b/>
                <w:u w:val="single"/>
              </w:rPr>
            </w:pPr>
          </w:p>
          <w:p w14:paraId="7F23ACA3" w14:textId="4B3B25D4" w:rsidR="001565D1" w:rsidRDefault="002D2762" w:rsidP="002551C6">
            <w:pPr>
              <w:jc w:val="center"/>
              <w:rPr>
                <w:rFonts w:ascii="Arial" w:eastAsia="Calibri" w:hAnsi="Arial" w:cs="Arial"/>
                <w:b/>
                <w:u w:val="single"/>
              </w:rPr>
            </w:pPr>
            <w:r>
              <w:rPr>
                <w:rFonts w:ascii="Arial" w:eastAsia="Calibri" w:hAnsi="Arial" w:cs="Arial"/>
                <w:b/>
                <w:u w:val="single"/>
              </w:rPr>
              <w:t>96.55%</w:t>
            </w:r>
          </w:p>
          <w:p w14:paraId="7F80469E" w14:textId="1479F8CE" w:rsidR="001565D1" w:rsidRDefault="009932EE" w:rsidP="002551C6">
            <w:pPr>
              <w:jc w:val="center"/>
              <w:rPr>
                <w:rFonts w:ascii="Arial" w:eastAsia="Calibri" w:hAnsi="Arial" w:cs="Arial"/>
                <w:b/>
                <w:u w:val="single"/>
              </w:rPr>
            </w:pPr>
            <w:r>
              <w:rPr>
                <w:rFonts w:ascii="Arial" w:eastAsia="Calibri" w:hAnsi="Arial" w:cs="Arial"/>
                <w:b/>
                <w:u w:val="single"/>
              </w:rPr>
              <w:t>96.95%</w:t>
            </w:r>
          </w:p>
          <w:p w14:paraId="7A5E5F25" w14:textId="488E88F1" w:rsidR="001565D1" w:rsidRDefault="009932EE" w:rsidP="002551C6">
            <w:pPr>
              <w:jc w:val="center"/>
              <w:rPr>
                <w:rFonts w:ascii="Arial" w:eastAsia="Calibri" w:hAnsi="Arial" w:cs="Arial"/>
                <w:b/>
                <w:u w:val="single"/>
              </w:rPr>
            </w:pPr>
            <w:r>
              <w:rPr>
                <w:rFonts w:ascii="Arial" w:eastAsia="Calibri" w:hAnsi="Arial" w:cs="Arial"/>
                <w:b/>
                <w:u w:val="single"/>
              </w:rPr>
              <w:t>96.62%</w:t>
            </w:r>
          </w:p>
        </w:tc>
        <w:tc>
          <w:tcPr>
            <w:tcW w:w="1804" w:type="dxa"/>
          </w:tcPr>
          <w:p w14:paraId="70BAE996" w14:textId="77777777" w:rsidR="00931C9C" w:rsidRDefault="00931C9C" w:rsidP="002551C6">
            <w:pPr>
              <w:jc w:val="center"/>
              <w:rPr>
                <w:rFonts w:ascii="Arial" w:eastAsia="Calibri" w:hAnsi="Arial" w:cs="Arial"/>
                <w:b/>
                <w:u w:val="single"/>
              </w:rPr>
            </w:pPr>
          </w:p>
          <w:p w14:paraId="10E758B1" w14:textId="77777777" w:rsidR="001565D1" w:rsidRDefault="001565D1" w:rsidP="002551C6">
            <w:pPr>
              <w:jc w:val="center"/>
              <w:rPr>
                <w:rFonts w:ascii="Arial" w:eastAsia="Calibri" w:hAnsi="Arial" w:cs="Arial"/>
                <w:b/>
                <w:u w:val="single"/>
              </w:rPr>
            </w:pPr>
          </w:p>
          <w:p w14:paraId="0764EF79" w14:textId="77777777" w:rsidR="001565D1" w:rsidRDefault="001565D1" w:rsidP="002551C6">
            <w:pPr>
              <w:jc w:val="center"/>
              <w:rPr>
                <w:rFonts w:ascii="Arial" w:eastAsia="Calibri" w:hAnsi="Arial" w:cs="Arial"/>
                <w:b/>
                <w:u w:val="single"/>
              </w:rPr>
            </w:pPr>
          </w:p>
          <w:p w14:paraId="2D95D101" w14:textId="77777777" w:rsidR="001565D1" w:rsidRDefault="001565D1" w:rsidP="002551C6">
            <w:pPr>
              <w:jc w:val="center"/>
              <w:rPr>
                <w:rFonts w:ascii="Arial" w:eastAsia="Calibri" w:hAnsi="Arial" w:cs="Arial"/>
                <w:b/>
                <w:u w:val="single"/>
              </w:rPr>
            </w:pPr>
          </w:p>
          <w:p w14:paraId="30E9DF01" w14:textId="02952914" w:rsidR="001565D1" w:rsidRDefault="009932EE" w:rsidP="002551C6">
            <w:pPr>
              <w:jc w:val="center"/>
              <w:rPr>
                <w:rFonts w:ascii="Arial" w:eastAsia="Calibri" w:hAnsi="Arial" w:cs="Arial"/>
                <w:b/>
                <w:u w:val="single"/>
              </w:rPr>
            </w:pPr>
            <w:r>
              <w:rPr>
                <w:rFonts w:ascii="Arial" w:eastAsia="Calibri" w:hAnsi="Arial" w:cs="Arial"/>
                <w:b/>
                <w:u w:val="single"/>
              </w:rPr>
              <w:t>95.42%</w:t>
            </w:r>
          </w:p>
          <w:p w14:paraId="4E169ED0" w14:textId="31A7840A" w:rsidR="001565D1" w:rsidRDefault="009932EE" w:rsidP="002551C6">
            <w:pPr>
              <w:jc w:val="center"/>
              <w:rPr>
                <w:rFonts w:ascii="Arial" w:eastAsia="Calibri" w:hAnsi="Arial" w:cs="Arial"/>
                <w:b/>
                <w:u w:val="single"/>
              </w:rPr>
            </w:pPr>
            <w:r>
              <w:rPr>
                <w:rFonts w:ascii="Arial" w:eastAsia="Calibri" w:hAnsi="Arial" w:cs="Arial"/>
                <w:b/>
                <w:u w:val="single"/>
              </w:rPr>
              <w:t>93.17%</w:t>
            </w:r>
          </w:p>
          <w:p w14:paraId="11750A87" w14:textId="7677E736" w:rsidR="001565D1" w:rsidRDefault="00603CB9" w:rsidP="002551C6">
            <w:pPr>
              <w:jc w:val="center"/>
              <w:rPr>
                <w:rFonts w:ascii="Arial" w:eastAsia="Calibri" w:hAnsi="Arial" w:cs="Arial"/>
                <w:b/>
                <w:u w:val="single"/>
              </w:rPr>
            </w:pPr>
            <w:r>
              <w:rPr>
                <w:rFonts w:ascii="Arial" w:eastAsia="Calibri" w:hAnsi="Arial" w:cs="Arial"/>
                <w:b/>
                <w:u w:val="single"/>
              </w:rPr>
              <w:t>95.06%</w:t>
            </w:r>
          </w:p>
        </w:tc>
        <w:tc>
          <w:tcPr>
            <w:tcW w:w="2042" w:type="dxa"/>
          </w:tcPr>
          <w:p w14:paraId="692BA9F9" w14:textId="77777777" w:rsidR="00931C9C" w:rsidRDefault="00931C9C" w:rsidP="002551C6">
            <w:pPr>
              <w:jc w:val="center"/>
              <w:rPr>
                <w:rFonts w:ascii="Arial" w:eastAsia="Calibri" w:hAnsi="Arial" w:cs="Arial"/>
                <w:b/>
                <w:u w:val="single"/>
              </w:rPr>
            </w:pPr>
          </w:p>
          <w:p w14:paraId="58295F49" w14:textId="77777777" w:rsidR="001565D1" w:rsidRDefault="001565D1" w:rsidP="002551C6">
            <w:pPr>
              <w:jc w:val="center"/>
              <w:rPr>
                <w:rFonts w:ascii="Arial" w:eastAsia="Calibri" w:hAnsi="Arial" w:cs="Arial"/>
                <w:b/>
                <w:u w:val="single"/>
              </w:rPr>
            </w:pPr>
          </w:p>
          <w:p w14:paraId="1EFAB85D" w14:textId="77777777" w:rsidR="001565D1" w:rsidRDefault="001565D1" w:rsidP="002551C6">
            <w:pPr>
              <w:jc w:val="center"/>
              <w:rPr>
                <w:rFonts w:ascii="Arial" w:eastAsia="Calibri" w:hAnsi="Arial" w:cs="Arial"/>
                <w:b/>
                <w:u w:val="single"/>
              </w:rPr>
            </w:pPr>
          </w:p>
          <w:p w14:paraId="1FB947B5" w14:textId="77777777" w:rsidR="001565D1" w:rsidRDefault="001565D1" w:rsidP="002551C6">
            <w:pPr>
              <w:jc w:val="center"/>
              <w:rPr>
                <w:rFonts w:ascii="Arial" w:eastAsia="Calibri" w:hAnsi="Arial" w:cs="Arial"/>
                <w:b/>
                <w:u w:val="single"/>
              </w:rPr>
            </w:pPr>
          </w:p>
          <w:p w14:paraId="10918344" w14:textId="67FA784B" w:rsidR="001565D1" w:rsidRDefault="00603CB9" w:rsidP="002551C6">
            <w:pPr>
              <w:jc w:val="center"/>
              <w:rPr>
                <w:rFonts w:ascii="Arial" w:eastAsia="Calibri" w:hAnsi="Arial" w:cs="Arial"/>
                <w:b/>
                <w:u w:val="single"/>
              </w:rPr>
            </w:pPr>
            <w:r>
              <w:rPr>
                <w:rFonts w:ascii="Arial" w:eastAsia="Calibri" w:hAnsi="Arial" w:cs="Arial"/>
                <w:b/>
                <w:u w:val="single"/>
              </w:rPr>
              <w:t>94.46%</w:t>
            </w:r>
          </w:p>
          <w:p w14:paraId="087D9F7E" w14:textId="5FC27C46" w:rsidR="001565D1" w:rsidRDefault="00603CB9" w:rsidP="002551C6">
            <w:pPr>
              <w:jc w:val="center"/>
              <w:rPr>
                <w:rFonts w:ascii="Arial" w:eastAsia="Calibri" w:hAnsi="Arial" w:cs="Arial"/>
                <w:b/>
                <w:u w:val="single"/>
              </w:rPr>
            </w:pPr>
            <w:r>
              <w:rPr>
                <w:rFonts w:ascii="Arial" w:eastAsia="Calibri" w:hAnsi="Arial" w:cs="Arial"/>
                <w:b/>
                <w:u w:val="single"/>
              </w:rPr>
              <w:t>51.02%</w:t>
            </w:r>
          </w:p>
          <w:p w14:paraId="522188BA" w14:textId="2A31ED34" w:rsidR="001565D1" w:rsidRDefault="00603CB9" w:rsidP="002551C6">
            <w:pPr>
              <w:jc w:val="center"/>
              <w:rPr>
                <w:rFonts w:ascii="Arial" w:eastAsia="Calibri" w:hAnsi="Arial" w:cs="Arial"/>
                <w:b/>
                <w:u w:val="single"/>
              </w:rPr>
            </w:pPr>
            <w:r>
              <w:rPr>
                <w:rFonts w:ascii="Arial" w:eastAsia="Calibri" w:hAnsi="Arial" w:cs="Arial"/>
                <w:b/>
                <w:u w:val="single"/>
              </w:rPr>
              <w:t>87.44%</w:t>
            </w:r>
          </w:p>
        </w:tc>
      </w:tr>
      <w:tr w:rsidR="00931C9C" w:rsidRPr="004B1294" w14:paraId="1A659930" w14:textId="77777777" w:rsidTr="00042E94">
        <w:tc>
          <w:tcPr>
            <w:tcW w:w="1550" w:type="dxa"/>
          </w:tcPr>
          <w:p w14:paraId="0A0CAAB0" w14:textId="106BF6C6" w:rsidR="00931C9C" w:rsidRDefault="00447D9C" w:rsidP="002551C6">
            <w:pPr>
              <w:jc w:val="center"/>
              <w:rPr>
                <w:rFonts w:ascii="Arial" w:hAnsi="Arial" w:cs="Arial"/>
                <w:b/>
              </w:rPr>
            </w:pPr>
            <w:r>
              <w:rPr>
                <w:rFonts w:ascii="Arial" w:hAnsi="Arial" w:cs="Arial"/>
                <w:b/>
              </w:rPr>
              <w:t>30</w:t>
            </w:r>
          </w:p>
        </w:tc>
        <w:tc>
          <w:tcPr>
            <w:tcW w:w="3255" w:type="dxa"/>
          </w:tcPr>
          <w:p w14:paraId="65667223" w14:textId="626BB90D" w:rsidR="00447D9C" w:rsidRPr="00447D9C" w:rsidRDefault="00447D9C" w:rsidP="00447D9C">
            <w:pPr>
              <w:jc w:val="both"/>
              <w:rPr>
                <w:rFonts w:ascii="Arial" w:hAnsi="Arial" w:cs="Arial"/>
                <w:b/>
                <w:lang w:val="es-MX"/>
              </w:rPr>
            </w:pPr>
            <w:r w:rsidRPr="00447D9C">
              <w:rPr>
                <w:rFonts w:ascii="Arial" w:hAnsi="Arial" w:cs="Arial"/>
                <w:b/>
                <w:lang w:val="es-MX"/>
              </w:rPr>
              <w:t>JURISDICCION ESPECIAL PARA LA PAZ - JEP.</w:t>
            </w:r>
          </w:p>
          <w:p w14:paraId="7B467131" w14:textId="77777777" w:rsidR="00931C9C" w:rsidRDefault="00931C9C" w:rsidP="00AD023F">
            <w:pPr>
              <w:jc w:val="both"/>
              <w:rPr>
                <w:rFonts w:ascii="Arial" w:hAnsi="Arial" w:cs="Arial"/>
                <w:b/>
                <w:lang w:val="es-MX"/>
              </w:rPr>
            </w:pPr>
          </w:p>
          <w:p w14:paraId="60559A14" w14:textId="77777777" w:rsidR="00447D9C" w:rsidRDefault="00447D9C" w:rsidP="00447D9C">
            <w:pPr>
              <w:jc w:val="both"/>
              <w:rPr>
                <w:rFonts w:ascii="Arial" w:hAnsi="Arial" w:cs="Arial"/>
                <w:b/>
                <w:lang w:val="es-MX"/>
              </w:rPr>
            </w:pPr>
            <w:r>
              <w:rPr>
                <w:rFonts w:ascii="Arial" w:hAnsi="Arial" w:cs="Arial"/>
                <w:b/>
                <w:lang w:val="es-MX"/>
              </w:rPr>
              <w:t>FUNCIONAMIENTO</w:t>
            </w:r>
          </w:p>
          <w:p w14:paraId="4F04CB41" w14:textId="573CC7DA" w:rsidR="00447D9C" w:rsidRDefault="00447D9C" w:rsidP="00447D9C">
            <w:pPr>
              <w:jc w:val="both"/>
              <w:rPr>
                <w:rFonts w:ascii="Arial" w:hAnsi="Arial" w:cs="Arial"/>
                <w:b/>
                <w:lang w:val="es-MX"/>
              </w:rPr>
            </w:pPr>
            <w:r>
              <w:rPr>
                <w:rFonts w:ascii="Arial" w:hAnsi="Arial" w:cs="Arial"/>
                <w:b/>
                <w:lang w:val="es-MX"/>
              </w:rPr>
              <w:t>INVERSIÓN</w:t>
            </w:r>
          </w:p>
          <w:p w14:paraId="51CBEB88" w14:textId="77777777" w:rsidR="00447D9C" w:rsidRDefault="00447D9C" w:rsidP="00447D9C">
            <w:pPr>
              <w:jc w:val="both"/>
              <w:rPr>
                <w:rFonts w:ascii="Arial" w:hAnsi="Arial" w:cs="Arial"/>
                <w:b/>
                <w:lang w:val="es-MX"/>
              </w:rPr>
            </w:pPr>
          </w:p>
          <w:p w14:paraId="22FCC801" w14:textId="05F65C3A" w:rsidR="00447D9C" w:rsidRPr="00AD023F" w:rsidRDefault="00447D9C" w:rsidP="00447D9C">
            <w:pPr>
              <w:jc w:val="both"/>
              <w:rPr>
                <w:rFonts w:ascii="Arial" w:hAnsi="Arial" w:cs="Arial"/>
                <w:b/>
                <w:lang w:val="es-MX"/>
              </w:rPr>
            </w:pPr>
            <w:r>
              <w:rPr>
                <w:rFonts w:ascii="Arial" w:hAnsi="Arial" w:cs="Arial"/>
                <w:b/>
                <w:lang w:val="es-MX"/>
              </w:rPr>
              <w:t>TOTAL PRESUPUESTO</w:t>
            </w:r>
          </w:p>
        </w:tc>
        <w:tc>
          <w:tcPr>
            <w:tcW w:w="1839" w:type="dxa"/>
          </w:tcPr>
          <w:p w14:paraId="021A56D1" w14:textId="77777777" w:rsidR="00931C9C" w:rsidRDefault="00931C9C" w:rsidP="002551C6">
            <w:pPr>
              <w:jc w:val="center"/>
              <w:rPr>
                <w:rFonts w:ascii="Arial" w:eastAsia="Calibri" w:hAnsi="Arial" w:cs="Arial"/>
                <w:b/>
                <w:u w:val="single"/>
              </w:rPr>
            </w:pPr>
          </w:p>
          <w:p w14:paraId="46A18578" w14:textId="77777777" w:rsidR="00447D9C" w:rsidRDefault="00447D9C" w:rsidP="002551C6">
            <w:pPr>
              <w:jc w:val="center"/>
              <w:rPr>
                <w:rFonts w:ascii="Arial" w:eastAsia="Calibri" w:hAnsi="Arial" w:cs="Arial"/>
                <w:b/>
                <w:u w:val="single"/>
              </w:rPr>
            </w:pPr>
          </w:p>
          <w:p w14:paraId="78A09A1B" w14:textId="77777777" w:rsidR="00447D9C" w:rsidRDefault="00447D9C" w:rsidP="002551C6">
            <w:pPr>
              <w:jc w:val="center"/>
              <w:rPr>
                <w:rFonts w:ascii="Arial" w:eastAsia="Calibri" w:hAnsi="Arial" w:cs="Arial"/>
                <w:b/>
                <w:u w:val="single"/>
              </w:rPr>
            </w:pPr>
          </w:p>
          <w:p w14:paraId="2292D04A" w14:textId="5B99A0C1" w:rsidR="00447D9C" w:rsidRDefault="00246505" w:rsidP="002551C6">
            <w:pPr>
              <w:jc w:val="center"/>
              <w:rPr>
                <w:rFonts w:ascii="Arial" w:eastAsia="Calibri" w:hAnsi="Arial" w:cs="Arial"/>
                <w:b/>
                <w:u w:val="single"/>
              </w:rPr>
            </w:pPr>
            <w:r>
              <w:rPr>
                <w:rFonts w:ascii="Arial" w:eastAsia="Calibri" w:hAnsi="Arial" w:cs="Arial"/>
                <w:b/>
                <w:u w:val="single"/>
              </w:rPr>
              <w:t>99.00%</w:t>
            </w:r>
          </w:p>
          <w:p w14:paraId="35D7D2D7" w14:textId="18C512A3" w:rsidR="00447D9C" w:rsidRDefault="00246505" w:rsidP="002551C6">
            <w:pPr>
              <w:jc w:val="center"/>
              <w:rPr>
                <w:rFonts w:ascii="Arial" w:eastAsia="Calibri" w:hAnsi="Arial" w:cs="Arial"/>
                <w:b/>
                <w:u w:val="single"/>
              </w:rPr>
            </w:pPr>
            <w:r>
              <w:rPr>
                <w:rFonts w:ascii="Arial" w:eastAsia="Calibri" w:hAnsi="Arial" w:cs="Arial"/>
                <w:b/>
                <w:u w:val="single"/>
              </w:rPr>
              <w:t>97.00%</w:t>
            </w:r>
          </w:p>
          <w:p w14:paraId="76A2586D" w14:textId="77777777" w:rsidR="00447D9C" w:rsidRDefault="00447D9C" w:rsidP="002551C6">
            <w:pPr>
              <w:jc w:val="center"/>
              <w:rPr>
                <w:rFonts w:ascii="Arial" w:eastAsia="Calibri" w:hAnsi="Arial" w:cs="Arial"/>
                <w:b/>
                <w:u w:val="single"/>
              </w:rPr>
            </w:pPr>
          </w:p>
          <w:p w14:paraId="56918C54" w14:textId="04A384EF" w:rsidR="00447D9C" w:rsidRDefault="00246505" w:rsidP="002551C6">
            <w:pPr>
              <w:jc w:val="center"/>
              <w:rPr>
                <w:rFonts w:ascii="Arial" w:eastAsia="Calibri" w:hAnsi="Arial" w:cs="Arial"/>
                <w:b/>
                <w:u w:val="single"/>
              </w:rPr>
            </w:pPr>
            <w:r>
              <w:rPr>
                <w:rFonts w:ascii="Arial" w:eastAsia="Calibri" w:hAnsi="Arial" w:cs="Arial"/>
                <w:b/>
                <w:u w:val="single"/>
              </w:rPr>
              <w:t>98.00%</w:t>
            </w:r>
          </w:p>
        </w:tc>
        <w:tc>
          <w:tcPr>
            <w:tcW w:w="1804" w:type="dxa"/>
          </w:tcPr>
          <w:p w14:paraId="773F8A75" w14:textId="77777777" w:rsidR="00931C9C" w:rsidRDefault="00931C9C" w:rsidP="002551C6">
            <w:pPr>
              <w:jc w:val="center"/>
              <w:rPr>
                <w:rFonts w:ascii="Arial" w:eastAsia="Calibri" w:hAnsi="Arial" w:cs="Arial"/>
                <w:b/>
                <w:u w:val="single"/>
              </w:rPr>
            </w:pPr>
          </w:p>
          <w:p w14:paraId="7E45C749" w14:textId="77777777" w:rsidR="00447D9C" w:rsidRDefault="00447D9C" w:rsidP="002551C6">
            <w:pPr>
              <w:jc w:val="center"/>
              <w:rPr>
                <w:rFonts w:ascii="Arial" w:eastAsia="Calibri" w:hAnsi="Arial" w:cs="Arial"/>
                <w:b/>
                <w:u w:val="single"/>
              </w:rPr>
            </w:pPr>
          </w:p>
          <w:p w14:paraId="23069055" w14:textId="77777777" w:rsidR="00447D9C" w:rsidRDefault="00447D9C" w:rsidP="002551C6">
            <w:pPr>
              <w:jc w:val="center"/>
              <w:rPr>
                <w:rFonts w:ascii="Arial" w:eastAsia="Calibri" w:hAnsi="Arial" w:cs="Arial"/>
                <w:b/>
                <w:u w:val="single"/>
              </w:rPr>
            </w:pPr>
          </w:p>
          <w:p w14:paraId="04214135" w14:textId="49BDB726" w:rsidR="00447D9C" w:rsidRDefault="00246505" w:rsidP="002551C6">
            <w:pPr>
              <w:jc w:val="center"/>
              <w:rPr>
                <w:rFonts w:ascii="Arial" w:eastAsia="Calibri" w:hAnsi="Arial" w:cs="Arial"/>
                <w:b/>
                <w:u w:val="single"/>
              </w:rPr>
            </w:pPr>
            <w:r>
              <w:rPr>
                <w:rFonts w:ascii="Arial" w:eastAsia="Calibri" w:hAnsi="Arial" w:cs="Arial"/>
                <w:b/>
                <w:u w:val="single"/>
              </w:rPr>
              <w:t>99.00%</w:t>
            </w:r>
          </w:p>
          <w:p w14:paraId="4AC363FF" w14:textId="53F58759" w:rsidR="00447D9C" w:rsidRDefault="00246505" w:rsidP="002551C6">
            <w:pPr>
              <w:jc w:val="center"/>
              <w:rPr>
                <w:rFonts w:ascii="Arial" w:eastAsia="Calibri" w:hAnsi="Arial" w:cs="Arial"/>
                <w:b/>
                <w:u w:val="single"/>
              </w:rPr>
            </w:pPr>
            <w:r>
              <w:rPr>
                <w:rFonts w:ascii="Arial" w:eastAsia="Calibri" w:hAnsi="Arial" w:cs="Arial"/>
                <w:b/>
                <w:u w:val="single"/>
              </w:rPr>
              <w:t>75.00%</w:t>
            </w:r>
          </w:p>
          <w:p w14:paraId="603B541F" w14:textId="77777777" w:rsidR="00447D9C" w:rsidRDefault="00447D9C" w:rsidP="002551C6">
            <w:pPr>
              <w:jc w:val="center"/>
              <w:rPr>
                <w:rFonts w:ascii="Arial" w:eastAsia="Calibri" w:hAnsi="Arial" w:cs="Arial"/>
                <w:b/>
                <w:u w:val="single"/>
              </w:rPr>
            </w:pPr>
          </w:p>
          <w:p w14:paraId="28C154AC" w14:textId="3D5B2322" w:rsidR="00447D9C" w:rsidRDefault="00246505" w:rsidP="002551C6">
            <w:pPr>
              <w:jc w:val="center"/>
              <w:rPr>
                <w:rFonts w:ascii="Arial" w:eastAsia="Calibri" w:hAnsi="Arial" w:cs="Arial"/>
                <w:b/>
                <w:u w:val="single"/>
              </w:rPr>
            </w:pPr>
            <w:r>
              <w:rPr>
                <w:rFonts w:ascii="Arial" w:eastAsia="Calibri" w:hAnsi="Arial" w:cs="Arial"/>
                <w:b/>
                <w:u w:val="single"/>
              </w:rPr>
              <w:t>90.00%</w:t>
            </w:r>
          </w:p>
        </w:tc>
        <w:tc>
          <w:tcPr>
            <w:tcW w:w="2042" w:type="dxa"/>
          </w:tcPr>
          <w:p w14:paraId="14120943" w14:textId="77777777" w:rsidR="00931C9C" w:rsidRDefault="00931C9C" w:rsidP="002551C6">
            <w:pPr>
              <w:jc w:val="center"/>
              <w:rPr>
                <w:rFonts w:ascii="Arial" w:eastAsia="Calibri" w:hAnsi="Arial" w:cs="Arial"/>
                <w:b/>
                <w:u w:val="single"/>
              </w:rPr>
            </w:pPr>
          </w:p>
          <w:p w14:paraId="1E6FE4E6" w14:textId="77777777" w:rsidR="00447D9C" w:rsidRDefault="00447D9C" w:rsidP="002551C6">
            <w:pPr>
              <w:jc w:val="center"/>
              <w:rPr>
                <w:rFonts w:ascii="Arial" w:eastAsia="Calibri" w:hAnsi="Arial" w:cs="Arial"/>
                <w:b/>
                <w:u w:val="single"/>
              </w:rPr>
            </w:pPr>
          </w:p>
          <w:p w14:paraId="1B75686A" w14:textId="77777777" w:rsidR="00447D9C" w:rsidRDefault="00447D9C" w:rsidP="002551C6">
            <w:pPr>
              <w:jc w:val="center"/>
              <w:rPr>
                <w:rFonts w:ascii="Arial" w:eastAsia="Calibri" w:hAnsi="Arial" w:cs="Arial"/>
                <w:b/>
                <w:u w:val="single"/>
              </w:rPr>
            </w:pPr>
          </w:p>
          <w:p w14:paraId="083BF7A0" w14:textId="32304F49" w:rsidR="00447D9C" w:rsidRDefault="00246505" w:rsidP="002551C6">
            <w:pPr>
              <w:jc w:val="center"/>
              <w:rPr>
                <w:rFonts w:ascii="Arial" w:eastAsia="Calibri" w:hAnsi="Arial" w:cs="Arial"/>
                <w:b/>
                <w:u w:val="single"/>
              </w:rPr>
            </w:pPr>
            <w:r>
              <w:rPr>
                <w:rFonts w:ascii="Arial" w:eastAsia="Calibri" w:hAnsi="Arial" w:cs="Arial"/>
                <w:b/>
                <w:u w:val="single"/>
              </w:rPr>
              <w:t>96.00%</w:t>
            </w:r>
          </w:p>
          <w:p w14:paraId="718302DB" w14:textId="4F8F2D24" w:rsidR="00447D9C" w:rsidRDefault="00246505" w:rsidP="002551C6">
            <w:pPr>
              <w:jc w:val="center"/>
              <w:rPr>
                <w:rFonts w:ascii="Arial" w:eastAsia="Calibri" w:hAnsi="Arial" w:cs="Arial"/>
                <w:b/>
                <w:u w:val="single"/>
              </w:rPr>
            </w:pPr>
            <w:r>
              <w:rPr>
                <w:rFonts w:ascii="Arial" w:eastAsia="Calibri" w:hAnsi="Arial" w:cs="Arial"/>
                <w:b/>
                <w:u w:val="single"/>
              </w:rPr>
              <w:t>75.00%</w:t>
            </w:r>
          </w:p>
          <w:p w14:paraId="1A433698" w14:textId="77777777" w:rsidR="00447D9C" w:rsidRDefault="00447D9C" w:rsidP="002551C6">
            <w:pPr>
              <w:jc w:val="center"/>
              <w:rPr>
                <w:rFonts w:ascii="Arial" w:eastAsia="Calibri" w:hAnsi="Arial" w:cs="Arial"/>
                <w:b/>
                <w:u w:val="single"/>
              </w:rPr>
            </w:pPr>
          </w:p>
          <w:p w14:paraId="1BDA2261" w14:textId="444E5EEA" w:rsidR="00447D9C" w:rsidRDefault="00246505" w:rsidP="002551C6">
            <w:pPr>
              <w:jc w:val="center"/>
              <w:rPr>
                <w:rFonts w:ascii="Arial" w:eastAsia="Calibri" w:hAnsi="Arial" w:cs="Arial"/>
                <w:b/>
                <w:u w:val="single"/>
              </w:rPr>
            </w:pPr>
            <w:r>
              <w:rPr>
                <w:rFonts w:ascii="Arial" w:eastAsia="Calibri" w:hAnsi="Arial" w:cs="Arial"/>
                <w:b/>
                <w:u w:val="single"/>
              </w:rPr>
              <w:t>90.00%</w:t>
            </w:r>
          </w:p>
        </w:tc>
      </w:tr>
      <w:tr w:rsidR="00931C9C" w:rsidRPr="004B1294" w14:paraId="2EBE5C24" w14:textId="77777777" w:rsidTr="00042E94">
        <w:tc>
          <w:tcPr>
            <w:tcW w:w="1550" w:type="dxa"/>
          </w:tcPr>
          <w:p w14:paraId="48F33537" w14:textId="1F73B25D" w:rsidR="00931C9C" w:rsidRDefault="00BF216F" w:rsidP="002551C6">
            <w:pPr>
              <w:jc w:val="center"/>
              <w:rPr>
                <w:rFonts w:ascii="Arial" w:hAnsi="Arial" w:cs="Arial"/>
                <w:b/>
              </w:rPr>
            </w:pPr>
            <w:r>
              <w:rPr>
                <w:rFonts w:ascii="Arial" w:hAnsi="Arial" w:cs="Arial"/>
                <w:b/>
              </w:rPr>
              <w:t>31</w:t>
            </w:r>
          </w:p>
        </w:tc>
        <w:tc>
          <w:tcPr>
            <w:tcW w:w="3255" w:type="dxa"/>
          </w:tcPr>
          <w:p w14:paraId="61E0B6E4" w14:textId="3A5322A1" w:rsidR="00BF216F" w:rsidRPr="00BF216F" w:rsidRDefault="00BF216F" w:rsidP="00BF216F">
            <w:pPr>
              <w:jc w:val="both"/>
              <w:rPr>
                <w:rFonts w:ascii="Arial" w:hAnsi="Arial" w:cs="Arial"/>
                <w:b/>
                <w:lang w:val="es-MX"/>
              </w:rPr>
            </w:pPr>
            <w:r w:rsidRPr="00BF216F">
              <w:rPr>
                <w:rFonts w:ascii="Arial" w:hAnsi="Arial" w:cs="Arial"/>
                <w:b/>
                <w:lang w:val="es-MX"/>
              </w:rPr>
              <w:t>INSTITUTO CARO Y CUERVO.</w:t>
            </w:r>
          </w:p>
          <w:p w14:paraId="06D9DCB2" w14:textId="51AF5B9D" w:rsidR="00931C9C" w:rsidRDefault="00931C9C" w:rsidP="00AD023F">
            <w:pPr>
              <w:jc w:val="both"/>
              <w:rPr>
                <w:rFonts w:ascii="Arial" w:hAnsi="Arial" w:cs="Arial"/>
                <w:b/>
                <w:lang w:val="es-MX"/>
              </w:rPr>
            </w:pPr>
          </w:p>
          <w:p w14:paraId="5F00ADD3" w14:textId="77777777" w:rsidR="004B462D" w:rsidRDefault="004B462D" w:rsidP="004B462D">
            <w:pPr>
              <w:jc w:val="both"/>
              <w:rPr>
                <w:rFonts w:ascii="Arial" w:hAnsi="Arial" w:cs="Arial"/>
                <w:b/>
                <w:lang w:val="es-MX"/>
              </w:rPr>
            </w:pPr>
            <w:r>
              <w:rPr>
                <w:rFonts w:ascii="Arial" w:hAnsi="Arial" w:cs="Arial"/>
                <w:b/>
                <w:lang w:val="es-MX"/>
              </w:rPr>
              <w:t>FUNCIONAMIENTO</w:t>
            </w:r>
          </w:p>
          <w:p w14:paraId="381967BF" w14:textId="77777777" w:rsidR="004B462D" w:rsidRDefault="004B462D" w:rsidP="004B462D">
            <w:pPr>
              <w:jc w:val="both"/>
              <w:rPr>
                <w:rFonts w:ascii="Arial" w:hAnsi="Arial" w:cs="Arial"/>
                <w:b/>
                <w:lang w:val="es-MX"/>
              </w:rPr>
            </w:pPr>
            <w:r>
              <w:rPr>
                <w:rFonts w:ascii="Arial" w:hAnsi="Arial" w:cs="Arial"/>
                <w:b/>
                <w:lang w:val="es-MX"/>
              </w:rPr>
              <w:t>INVERSIÓN</w:t>
            </w:r>
          </w:p>
          <w:p w14:paraId="41ADDA09" w14:textId="77777777" w:rsidR="004B462D" w:rsidRDefault="004B462D" w:rsidP="004B462D">
            <w:pPr>
              <w:jc w:val="both"/>
              <w:rPr>
                <w:rFonts w:ascii="Arial" w:hAnsi="Arial" w:cs="Arial"/>
                <w:b/>
                <w:lang w:val="es-MX"/>
              </w:rPr>
            </w:pPr>
          </w:p>
          <w:p w14:paraId="354D4DE2" w14:textId="1CB94F49" w:rsidR="00BF216F" w:rsidRPr="00AD023F" w:rsidRDefault="004B462D" w:rsidP="00AD023F">
            <w:pPr>
              <w:jc w:val="both"/>
              <w:rPr>
                <w:rFonts w:ascii="Arial" w:hAnsi="Arial" w:cs="Arial"/>
                <w:b/>
                <w:lang w:val="es-MX"/>
              </w:rPr>
            </w:pPr>
            <w:r>
              <w:rPr>
                <w:rFonts w:ascii="Arial" w:hAnsi="Arial" w:cs="Arial"/>
                <w:b/>
                <w:lang w:val="es-MX"/>
              </w:rPr>
              <w:t>TOTAL PRESUPUESTO</w:t>
            </w:r>
          </w:p>
        </w:tc>
        <w:tc>
          <w:tcPr>
            <w:tcW w:w="1839" w:type="dxa"/>
          </w:tcPr>
          <w:p w14:paraId="44EC8DDE" w14:textId="77777777" w:rsidR="00931C9C" w:rsidRDefault="00931C9C" w:rsidP="002551C6">
            <w:pPr>
              <w:jc w:val="center"/>
              <w:rPr>
                <w:rFonts w:ascii="Arial" w:eastAsia="Calibri" w:hAnsi="Arial" w:cs="Arial"/>
                <w:b/>
                <w:u w:val="single"/>
              </w:rPr>
            </w:pPr>
          </w:p>
          <w:p w14:paraId="46595CE7" w14:textId="77777777" w:rsidR="004B462D" w:rsidRDefault="004B462D" w:rsidP="002551C6">
            <w:pPr>
              <w:jc w:val="center"/>
              <w:rPr>
                <w:rFonts w:ascii="Arial" w:eastAsia="Calibri" w:hAnsi="Arial" w:cs="Arial"/>
                <w:b/>
                <w:u w:val="single"/>
              </w:rPr>
            </w:pPr>
          </w:p>
          <w:p w14:paraId="61C82865" w14:textId="35D9BD11" w:rsidR="004B462D" w:rsidRDefault="004B462D" w:rsidP="002551C6">
            <w:pPr>
              <w:jc w:val="center"/>
              <w:rPr>
                <w:rFonts w:ascii="Arial" w:eastAsia="Calibri" w:hAnsi="Arial" w:cs="Arial"/>
                <w:b/>
                <w:u w:val="single"/>
              </w:rPr>
            </w:pPr>
            <w:r>
              <w:rPr>
                <w:rFonts w:ascii="Arial" w:eastAsia="Calibri" w:hAnsi="Arial" w:cs="Arial"/>
                <w:b/>
                <w:u w:val="single"/>
              </w:rPr>
              <w:t>96.29%</w:t>
            </w:r>
          </w:p>
          <w:p w14:paraId="01C48BAA" w14:textId="37C29B15" w:rsidR="004B462D" w:rsidRDefault="004B462D" w:rsidP="002551C6">
            <w:pPr>
              <w:jc w:val="center"/>
              <w:rPr>
                <w:rFonts w:ascii="Arial" w:eastAsia="Calibri" w:hAnsi="Arial" w:cs="Arial"/>
                <w:b/>
                <w:u w:val="single"/>
              </w:rPr>
            </w:pPr>
            <w:r>
              <w:rPr>
                <w:rFonts w:ascii="Arial" w:eastAsia="Calibri" w:hAnsi="Arial" w:cs="Arial"/>
                <w:b/>
                <w:u w:val="single"/>
              </w:rPr>
              <w:t>93.01%</w:t>
            </w:r>
          </w:p>
          <w:p w14:paraId="56CE7D3F" w14:textId="77777777" w:rsidR="004B462D" w:rsidRDefault="004B462D" w:rsidP="002551C6">
            <w:pPr>
              <w:jc w:val="center"/>
              <w:rPr>
                <w:rFonts w:ascii="Arial" w:eastAsia="Calibri" w:hAnsi="Arial" w:cs="Arial"/>
                <w:b/>
                <w:u w:val="single"/>
              </w:rPr>
            </w:pPr>
          </w:p>
          <w:p w14:paraId="71B194D7" w14:textId="03A1D132" w:rsidR="004B462D" w:rsidRDefault="004B462D" w:rsidP="002551C6">
            <w:pPr>
              <w:jc w:val="center"/>
              <w:rPr>
                <w:rFonts w:ascii="Arial" w:eastAsia="Calibri" w:hAnsi="Arial" w:cs="Arial"/>
                <w:b/>
                <w:u w:val="single"/>
              </w:rPr>
            </w:pPr>
            <w:r>
              <w:rPr>
                <w:rFonts w:ascii="Arial" w:eastAsia="Calibri" w:hAnsi="Arial" w:cs="Arial"/>
                <w:b/>
                <w:u w:val="single"/>
              </w:rPr>
              <w:t>94.65%</w:t>
            </w:r>
          </w:p>
        </w:tc>
        <w:tc>
          <w:tcPr>
            <w:tcW w:w="1804" w:type="dxa"/>
          </w:tcPr>
          <w:p w14:paraId="1D59473F" w14:textId="77777777" w:rsidR="00931C9C" w:rsidRDefault="00931C9C" w:rsidP="002551C6">
            <w:pPr>
              <w:jc w:val="center"/>
              <w:rPr>
                <w:rFonts w:ascii="Arial" w:eastAsia="Calibri" w:hAnsi="Arial" w:cs="Arial"/>
                <w:b/>
                <w:u w:val="single"/>
              </w:rPr>
            </w:pPr>
          </w:p>
          <w:p w14:paraId="2B96B6B7" w14:textId="77777777" w:rsidR="004B462D" w:rsidRDefault="004B462D" w:rsidP="002551C6">
            <w:pPr>
              <w:jc w:val="center"/>
              <w:rPr>
                <w:rFonts w:ascii="Arial" w:eastAsia="Calibri" w:hAnsi="Arial" w:cs="Arial"/>
                <w:b/>
                <w:u w:val="single"/>
              </w:rPr>
            </w:pPr>
          </w:p>
          <w:p w14:paraId="36AF9F0E" w14:textId="005FB49F" w:rsidR="004B462D" w:rsidRDefault="004B462D" w:rsidP="002551C6">
            <w:pPr>
              <w:jc w:val="center"/>
              <w:rPr>
                <w:rFonts w:ascii="Arial" w:eastAsia="Calibri" w:hAnsi="Arial" w:cs="Arial"/>
                <w:b/>
                <w:u w:val="single"/>
              </w:rPr>
            </w:pPr>
            <w:r>
              <w:rPr>
                <w:rFonts w:ascii="Arial" w:eastAsia="Calibri" w:hAnsi="Arial" w:cs="Arial"/>
                <w:b/>
                <w:u w:val="single"/>
              </w:rPr>
              <w:t>92.24%</w:t>
            </w:r>
          </w:p>
          <w:p w14:paraId="5E0DF695" w14:textId="2DE1D1E5" w:rsidR="004B462D" w:rsidRDefault="004B462D" w:rsidP="002551C6">
            <w:pPr>
              <w:jc w:val="center"/>
              <w:rPr>
                <w:rFonts w:ascii="Arial" w:eastAsia="Calibri" w:hAnsi="Arial" w:cs="Arial"/>
                <w:b/>
                <w:u w:val="single"/>
              </w:rPr>
            </w:pPr>
            <w:r>
              <w:rPr>
                <w:rFonts w:ascii="Arial" w:eastAsia="Calibri" w:hAnsi="Arial" w:cs="Arial"/>
                <w:b/>
                <w:u w:val="single"/>
              </w:rPr>
              <w:t>78.56%</w:t>
            </w:r>
          </w:p>
          <w:p w14:paraId="639CDF59" w14:textId="77777777" w:rsidR="004B462D" w:rsidRDefault="004B462D" w:rsidP="002551C6">
            <w:pPr>
              <w:jc w:val="center"/>
              <w:rPr>
                <w:rFonts w:ascii="Arial" w:eastAsia="Calibri" w:hAnsi="Arial" w:cs="Arial"/>
                <w:b/>
                <w:u w:val="single"/>
              </w:rPr>
            </w:pPr>
          </w:p>
          <w:p w14:paraId="44A7EFB8" w14:textId="648D5D65" w:rsidR="004B462D" w:rsidRDefault="004B462D" w:rsidP="002551C6">
            <w:pPr>
              <w:jc w:val="center"/>
              <w:rPr>
                <w:rFonts w:ascii="Arial" w:eastAsia="Calibri" w:hAnsi="Arial" w:cs="Arial"/>
                <w:b/>
                <w:u w:val="single"/>
              </w:rPr>
            </w:pPr>
            <w:r>
              <w:rPr>
                <w:rFonts w:ascii="Arial" w:eastAsia="Calibri" w:hAnsi="Arial" w:cs="Arial"/>
                <w:b/>
                <w:u w:val="single"/>
              </w:rPr>
              <w:t>85.39%</w:t>
            </w:r>
          </w:p>
        </w:tc>
        <w:tc>
          <w:tcPr>
            <w:tcW w:w="2042" w:type="dxa"/>
          </w:tcPr>
          <w:p w14:paraId="3FC1226E" w14:textId="77777777" w:rsidR="00931C9C" w:rsidRDefault="00931C9C" w:rsidP="002551C6">
            <w:pPr>
              <w:jc w:val="center"/>
              <w:rPr>
                <w:rFonts w:ascii="Arial" w:eastAsia="Calibri" w:hAnsi="Arial" w:cs="Arial"/>
                <w:b/>
                <w:u w:val="single"/>
              </w:rPr>
            </w:pPr>
          </w:p>
          <w:p w14:paraId="532C11C3" w14:textId="77777777" w:rsidR="004B462D" w:rsidRDefault="004B462D" w:rsidP="002551C6">
            <w:pPr>
              <w:jc w:val="center"/>
              <w:rPr>
                <w:rFonts w:ascii="Arial" w:eastAsia="Calibri" w:hAnsi="Arial" w:cs="Arial"/>
                <w:b/>
                <w:u w:val="single"/>
              </w:rPr>
            </w:pPr>
          </w:p>
          <w:p w14:paraId="405B2430" w14:textId="15F99EF6" w:rsidR="004B462D" w:rsidRDefault="004B462D" w:rsidP="002551C6">
            <w:pPr>
              <w:jc w:val="center"/>
              <w:rPr>
                <w:rFonts w:ascii="Arial" w:eastAsia="Calibri" w:hAnsi="Arial" w:cs="Arial"/>
                <w:b/>
                <w:u w:val="single"/>
              </w:rPr>
            </w:pPr>
            <w:r>
              <w:rPr>
                <w:rFonts w:ascii="Arial" w:eastAsia="Calibri" w:hAnsi="Arial" w:cs="Arial"/>
                <w:b/>
                <w:u w:val="single"/>
              </w:rPr>
              <w:t>91.71%</w:t>
            </w:r>
          </w:p>
          <w:p w14:paraId="1A18E1F7" w14:textId="2A551ABE" w:rsidR="004B462D" w:rsidRDefault="004B462D" w:rsidP="002551C6">
            <w:pPr>
              <w:jc w:val="center"/>
              <w:rPr>
                <w:rFonts w:ascii="Arial" w:eastAsia="Calibri" w:hAnsi="Arial" w:cs="Arial"/>
                <w:b/>
                <w:u w:val="single"/>
              </w:rPr>
            </w:pPr>
            <w:r>
              <w:rPr>
                <w:rFonts w:ascii="Arial" w:eastAsia="Calibri" w:hAnsi="Arial" w:cs="Arial"/>
                <w:b/>
                <w:u w:val="single"/>
              </w:rPr>
              <w:t>74.47%</w:t>
            </w:r>
          </w:p>
          <w:p w14:paraId="19A8D345" w14:textId="77777777" w:rsidR="004B462D" w:rsidRDefault="004B462D" w:rsidP="002551C6">
            <w:pPr>
              <w:jc w:val="center"/>
              <w:rPr>
                <w:rFonts w:ascii="Arial" w:eastAsia="Calibri" w:hAnsi="Arial" w:cs="Arial"/>
                <w:b/>
                <w:u w:val="single"/>
              </w:rPr>
            </w:pPr>
          </w:p>
          <w:p w14:paraId="79A44A2B" w14:textId="59E1BC4E" w:rsidR="004B462D" w:rsidRDefault="004B462D" w:rsidP="002551C6">
            <w:pPr>
              <w:jc w:val="center"/>
              <w:rPr>
                <w:rFonts w:ascii="Arial" w:eastAsia="Calibri" w:hAnsi="Arial" w:cs="Arial"/>
                <w:b/>
                <w:u w:val="single"/>
              </w:rPr>
            </w:pPr>
            <w:r>
              <w:rPr>
                <w:rFonts w:ascii="Arial" w:eastAsia="Calibri" w:hAnsi="Arial" w:cs="Arial"/>
                <w:b/>
                <w:u w:val="single"/>
              </w:rPr>
              <w:t>83.08%</w:t>
            </w:r>
          </w:p>
        </w:tc>
      </w:tr>
      <w:tr w:rsidR="00931C9C" w:rsidRPr="004B1294" w14:paraId="38260163" w14:textId="77777777" w:rsidTr="00042E94">
        <w:tc>
          <w:tcPr>
            <w:tcW w:w="1550" w:type="dxa"/>
          </w:tcPr>
          <w:p w14:paraId="7FEF7EE1" w14:textId="719CE3BA" w:rsidR="00931C9C" w:rsidRDefault="00EB7DEC" w:rsidP="002551C6">
            <w:pPr>
              <w:jc w:val="center"/>
              <w:rPr>
                <w:rFonts w:ascii="Arial" w:hAnsi="Arial" w:cs="Arial"/>
                <w:b/>
              </w:rPr>
            </w:pPr>
            <w:r>
              <w:rPr>
                <w:rFonts w:ascii="Arial" w:hAnsi="Arial" w:cs="Arial"/>
                <w:b/>
              </w:rPr>
              <w:t>34</w:t>
            </w:r>
          </w:p>
        </w:tc>
        <w:tc>
          <w:tcPr>
            <w:tcW w:w="3255" w:type="dxa"/>
          </w:tcPr>
          <w:p w14:paraId="35DEA0FD" w14:textId="0BCB2CAA" w:rsidR="00EB7DEC" w:rsidRPr="00EB7DEC" w:rsidRDefault="00EB7DEC" w:rsidP="00EB7DEC">
            <w:pPr>
              <w:jc w:val="both"/>
              <w:rPr>
                <w:rFonts w:ascii="Arial" w:hAnsi="Arial" w:cs="Arial"/>
                <w:b/>
                <w:lang w:val="es-MX"/>
              </w:rPr>
            </w:pPr>
            <w:r w:rsidRPr="00EB7DEC">
              <w:rPr>
                <w:rFonts w:ascii="Arial" w:hAnsi="Arial" w:cs="Arial"/>
                <w:b/>
                <w:lang w:val="es-MX"/>
              </w:rPr>
              <w:t>INSTITUTO DE CASAS FISCALES DEL EJERCITO.</w:t>
            </w:r>
          </w:p>
          <w:p w14:paraId="28F512E5" w14:textId="77777777" w:rsidR="00931C9C" w:rsidRDefault="00931C9C" w:rsidP="00AD023F">
            <w:pPr>
              <w:jc w:val="both"/>
              <w:rPr>
                <w:rFonts w:ascii="Arial" w:hAnsi="Arial" w:cs="Arial"/>
                <w:b/>
                <w:lang w:val="es-MX"/>
              </w:rPr>
            </w:pPr>
          </w:p>
          <w:p w14:paraId="13918C62" w14:textId="77777777" w:rsidR="00EB7DEC" w:rsidRDefault="00EB7DEC" w:rsidP="00EB7DEC">
            <w:pPr>
              <w:jc w:val="both"/>
              <w:rPr>
                <w:rFonts w:ascii="Arial" w:hAnsi="Arial" w:cs="Arial"/>
                <w:b/>
                <w:lang w:val="es-MX"/>
              </w:rPr>
            </w:pPr>
            <w:r>
              <w:rPr>
                <w:rFonts w:ascii="Arial" w:hAnsi="Arial" w:cs="Arial"/>
                <w:b/>
                <w:lang w:val="es-MX"/>
              </w:rPr>
              <w:lastRenderedPageBreak/>
              <w:t>FUNCIONAMIENTO</w:t>
            </w:r>
          </w:p>
          <w:p w14:paraId="51C34153" w14:textId="77777777" w:rsidR="00EB7DEC" w:rsidRDefault="00EB7DEC" w:rsidP="00EB7DEC">
            <w:pPr>
              <w:jc w:val="both"/>
              <w:rPr>
                <w:rFonts w:ascii="Arial" w:hAnsi="Arial" w:cs="Arial"/>
                <w:b/>
                <w:lang w:val="es-MX"/>
              </w:rPr>
            </w:pPr>
            <w:r>
              <w:rPr>
                <w:rFonts w:ascii="Arial" w:hAnsi="Arial" w:cs="Arial"/>
                <w:b/>
                <w:lang w:val="es-MX"/>
              </w:rPr>
              <w:t>INVERSIÓN</w:t>
            </w:r>
          </w:p>
          <w:p w14:paraId="4AADF00F" w14:textId="77777777" w:rsidR="00EB7DEC" w:rsidRDefault="00EB7DEC" w:rsidP="00EB7DEC">
            <w:pPr>
              <w:jc w:val="both"/>
              <w:rPr>
                <w:rFonts w:ascii="Arial" w:hAnsi="Arial" w:cs="Arial"/>
                <w:b/>
                <w:lang w:val="es-MX"/>
              </w:rPr>
            </w:pPr>
          </w:p>
          <w:p w14:paraId="21E3855C" w14:textId="0DDF404D" w:rsidR="00EB7DEC" w:rsidRPr="00AD023F" w:rsidRDefault="00EB7DEC" w:rsidP="00EB7DEC">
            <w:pPr>
              <w:jc w:val="both"/>
              <w:rPr>
                <w:rFonts w:ascii="Arial" w:hAnsi="Arial" w:cs="Arial"/>
                <w:b/>
                <w:lang w:val="es-MX"/>
              </w:rPr>
            </w:pPr>
            <w:r>
              <w:rPr>
                <w:rFonts w:ascii="Arial" w:hAnsi="Arial" w:cs="Arial"/>
                <w:b/>
                <w:lang w:val="es-MX"/>
              </w:rPr>
              <w:t>TOTAL PRESUPUESTO</w:t>
            </w:r>
          </w:p>
        </w:tc>
        <w:tc>
          <w:tcPr>
            <w:tcW w:w="1839" w:type="dxa"/>
          </w:tcPr>
          <w:p w14:paraId="0275171A" w14:textId="77777777" w:rsidR="00931C9C" w:rsidRDefault="00931C9C" w:rsidP="002551C6">
            <w:pPr>
              <w:jc w:val="center"/>
              <w:rPr>
                <w:rFonts w:ascii="Arial" w:eastAsia="Calibri" w:hAnsi="Arial" w:cs="Arial"/>
                <w:b/>
                <w:u w:val="single"/>
              </w:rPr>
            </w:pPr>
          </w:p>
          <w:p w14:paraId="6CF6F5D5" w14:textId="77777777" w:rsidR="00EB7DEC" w:rsidRDefault="00EB7DEC" w:rsidP="002551C6">
            <w:pPr>
              <w:jc w:val="center"/>
              <w:rPr>
                <w:rFonts w:ascii="Arial" w:eastAsia="Calibri" w:hAnsi="Arial" w:cs="Arial"/>
                <w:b/>
                <w:u w:val="single"/>
              </w:rPr>
            </w:pPr>
          </w:p>
          <w:p w14:paraId="4F57B64F" w14:textId="77777777" w:rsidR="00EB7DEC" w:rsidRDefault="00EB7DEC" w:rsidP="002551C6">
            <w:pPr>
              <w:jc w:val="center"/>
              <w:rPr>
                <w:rFonts w:ascii="Arial" w:eastAsia="Calibri" w:hAnsi="Arial" w:cs="Arial"/>
                <w:b/>
                <w:u w:val="single"/>
              </w:rPr>
            </w:pPr>
          </w:p>
          <w:p w14:paraId="75472C5C" w14:textId="1078852C" w:rsidR="00EB7DEC" w:rsidRDefault="00EB7DEC" w:rsidP="002551C6">
            <w:pPr>
              <w:jc w:val="center"/>
              <w:rPr>
                <w:rFonts w:ascii="Arial" w:eastAsia="Calibri" w:hAnsi="Arial" w:cs="Arial"/>
                <w:b/>
                <w:u w:val="single"/>
              </w:rPr>
            </w:pPr>
            <w:r>
              <w:rPr>
                <w:rFonts w:ascii="Arial" w:eastAsia="Calibri" w:hAnsi="Arial" w:cs="Arial"/>
                <w:b/>
                <w:u w:val="single"/>
              </w:rPr>
              <w:lastRenderedPageBreak/>
              <w:t>94.00%</w:t>
            </w:r>
          </w:p>
          <w:p w14:paraId="62EDD30B" w14:textId="56FA6175" w:rsidR="00EB7DEC" w:rsidRDefault="00EB7DEC" w:rsidP="002551C6">
            <w:pPr>
              <w:jc w:val="center"/>
              <w:rPr>
                <w:rFonts w:ascii="Arial" w:eastAsia="Calibri" w:hAnsi="Arial" w:cs="Arial"/>
                <w:b/>
                <w:u w:val="single"/>
              </w:rPr>
            </w:pPr>
            <w:r>
              <w:rPr>
                <w:rFonts w:ascii="Arial" w:eastAsia="Calibri" w:hAnsi="Arial" w:cs="Arial"/>
                <w:b/>
                <w:u w:val="single"/>
              </w:rPr>
              <w:t>74.00%</w:t>
            </w:r>
          </w:p>
          <w:p w14:paraId="44D55107" w14:textId="77777777" w:rsidR="00EB7DEC" w:rsidRDefault="00EB7DEC" w:rsidP="002551C6">
            <w:pPr>
              <w:jc w:val="center"/>
              <w:rPr>
                <w:rFonts w:ascii="Arial" w:eastAsia="Calibri" w:hAnsi="Arial" w:cs="Arial"/>
                <w:b/>
                <w:u w:val="single"/>
              </w:rPr>
            </w:pPr>
          </w:p>
          <w:p w14:paraId="307FEB92" w14:textId="20B39BF9" w:rsidR="00EB7DEC" w:rsidRDefault="00EB7DEC" w:rsidP="002551C6">
            <w:pPr>
              <w:jc w:val="center"/>
              <w:rPr>
                <w:rFonts w:ascii="Arial" w:eastAsia="Calibri" w:hAnsi="Arial" w:cs="Arial"/>
                <w:b/>
                <w:u w:val="single"/>
              </w:rPr>
            </w:pPr>
            <w:r>
              <w:rPr>
                <w:rFonts w:ascii="Arial" w:eastAsia="Calibri" w:hAnsi="Arial" w:cs="Arial"/>
                <w:b/>
                <w:u w:val="single"/>
              </w:rPr>
              <w:t>94.00%</w:t>
            </w:r>
          </w:p>
        </w:tc>
        <w:tc>
          <w:tcPr>
            <w:tcW w:w="1804" w:type="dxa"/>
          </w:tcPr>
          <w:p w14:paraId="74AA1E63" w14:textId="77777777" w:rsidR="00931C9C" w:rsidRDefault="00931C9C" w:rsidP="002551C6">
            <w:pPr>
              <w:jc w:val="center"/>
              <w:rPr>
                <w:rFonts w:ascii="Arial" w:eastAsia="Calibri" w:hAnsi="Arial" w:cs="Arial"/>
                <w:b/>
                <w:u w:val="single"/>
              </w:rPr>
            </w:pPr>
          </w:p>
          <w:p w14:paraId="25F9D9FE" w14:textId="77777777" w:rsidR="00EB7DEC" w:rsidRDefault="00EB7DEC" w:rsidP="002551C6">
            <w:pPr>
              <w:jc w:val="center"/>
              <w:rPr>
                <w:rFonts w:ascii="Arial" w:eastAsia="Calibri" w:hAnsi="Arial" w:cs="Arial"/>
                <w:b/>
                <w:u w:val="single"/>
              </w:rPr>
            </w:pPr>
          </w:p>
          <w:p w14:paraId="36E94183" w14:textId="77777777" w:rsidR="00EB7DEC" w:rsidRDefault="00EB7DEC" w:rsidP="002551C6">
            <w:pPr>
              <w:jc w:val="center"/>
              <w:rPr>
                <w:rFonts w:ascii="Arial" w:eastAsia="Calibri" w:hAnsi="Arial" w:cs="Arial"/>
                <w:b/>
                <w:u w:val="single"/>
              </w:rPr>
            </w:pPr>
          </w:p>
          <w:p w14:paraId="18784F35" w14:textId="2943DF3F" w:rsidR="00EB7DEC" w:rsidRDefault="00EB7DEC" w:rsidP="002551C6">
            <w:pPr>
              <w:jc w:val="center"/>
              <w:rPr>
                <w:rFonts w:ascii="Arial" w:eastAsia="Calibri" w:hAnsi="Arial" w:cs="Arial"/>
                <w:b/>
                <w:u w:val="single"/>
              </w:rPr>
            </w:pPr>
            <w:r>
              <w:rPr>
                <w:rFonts w:ascii="Arial" w:eastAsia="Calibri" w:hAnsi="Arial" w:cs="Arial"/>
                <w:b/>
                <w:u w:val="single"/>
              </w:rPr>
              <w:lastRenderedPageBreak/>
              <w:t>93.00%</w:t>
            </w:r>
          </w:p>
          <w:p w14:paraId="7B6D76BE" w14:textId="5084280B" w:rsidR="00EB7DEC" w:rsidRDefault="00EB7DEC" w:rsidP="002551C6">
            <w:pPr>
              <w:jc w:val="center"/>
              <w:rPr>
                <w:rFonts w:ascii="Arial" w:eastAsia="Calibri" w:hAnsi="Arial" w:cs="Arial"/>
                <w:b/>
                <w:u w:val="single"/>
              </w:rPr>
            </w:pPr>
            <w:r>
              <w:rPr>
                <w:rFonts w:ascii="Arial" w:eastAsia="Calibri" w:hAnsi="Arial" w:cs="Arial"/>
                <w:b/>
                <w:u w:val="single"/>
              </w:rPr>
              <w:t>47.00%</w:t>
            </w:r>
          </w:p>
          <w:p w14:paraId="60DF03D6" w14:textId="77777777" w:rsidR="00EB7DEC" w:rsidRDefault="00EB7DEC" w:rsidP="002551C6">
            <w:pPr>
              <w:jc w:val="center"/>
              <w:rPr>
                <w:rFonts w:ascii="Arial" w:eastAsia="Calibri" w:hAnsi="Arial" w:cs="Arial"/>
                <w:b/>
                <w:u w:val="single"/>
              </w:rPr>
            </w:pPr>
          </w:p>
          <w:p w14:paraId="367D0F04" w14:textId="457D7195" w:rsidR="00EB7DEC" w:rsidRDefault="00EB7DEC" w:rsidP="002551C6">
            <w:pPr>
              <w:jc w:val="center"/>
              <w:rPr>
                <w:rFonts w:ascii="Arial" w:eastAsia="Calibri" w:hAnsi="Arial" w:cs="Arial"/>
                <w:b/>
                <w:u w:val="single"/>
              </w:rPr>
            </w:pPr>
            <w:r>
              <w:rPr>
                <w:rFonts w:ascii="Arial" w:eastAsia="Calibri" w:hAnsi="Arial" w:cs="Arial"/>
                <w:b/>
                <w:u w:val="single"/>
              </w:rPr>
              <w:t>93.00%</w:t>
            </w:r>
          </w:p>
        </w:tc>
        <w:tc>
          <w:tcPr>
            <w:tcW w:w="2042" w:type="dxa"/>
          </w:tcPr>
          <w:p w14:paraId="1AF98E03" w14:textId="77777777" w:rsidR="00931C9C" w:rsidRDefault="00931C9C" w:rsidP="002551C6">
            <w:pPr>
              <w:jc w:val="center"/>
              <w:rPr>
                <w:rFonts w:ascii="Arial" w:eastAsia="Calibri" w:hAnsi="Arial" w:cs="Arial"/>
                <w:b/>
                <w:u w:val="single"/>
              </w:rPr>
            </w:pPr>
          </w:p>
          <w:p w14:paraId="43F44E93" w14:textId="77777777" w:rsidR="00EB7DEC" w:rsidRDefault="00EB7DEC" w:rsidP="002551C6">
            <w:pPr>
              <w:jc w:val="center"/>
              <w:rPr>
                <w:rFonts w:ascii="Arial" w:eastAsia="Calibri" w:hAnsi="Arial" w:cs="Arial"/>
                <w:b/>
                <w:u w:val="single"/>
              </w:rPr>
            </w:pPr>
          </w:p>
          <w:p w14:paraId="103E43CD" w14:textId="77777777" w:rsidR="00EB7DEC" w:rsidRDefault="00EB7DEC" w:rsidP="002551C6">
            <w:pPr>
              <w:jc w:val="center"/>
              <w:rPr>
                <w:rFonts w:ascii="Arial" w:eastAsia="Calibri" w:hAnsi="Arial" w:cs="Arial"/>
                <w:b/>
                <w:u w:val="single"/>
              </w:rPr>
            </w:pPr>
          </w:p>
          <w:p w14:paraId="207ABE3A" w14:textId="5B978799" w:rsidR="00EB7DEC" w:rsidRDefault="00EB7DEC" w:rsidP="002551C6">
            <w:pPr>
              <w:jc w:val="center"/>
              <w:rPr>
                <w:rFonts w:ascii="Arial" w:eastAsia="Calibri" w:hAnsi="Arial" w:cs="Arial"/>
                <w:b/>
                <w:u w:val="single"/>
              </w:rPr>
            </w:pPr>
            <w:r>
              <w:rPr>
                <w:rFonts w:ascii="Arial" w:eastAsia="Calibri" w:hAnsi="Arial" w:cs="Arial"/>
                <w:b/>
                <w:u w:val="single"/>
              </w:rPr>
              <w:lastRenderedPageBreak/>
              <w:t>92.00%</w:t>
            </w:r>
          </w:p>
          <w:p w14:paraId="045AD560" w14:textId="5C1E4CA6" w:rsidR="00EB7DEC" w:rsidRDefault="00EB7DEC" w:rsidP="002551C6">
            <w:pPr>
              <w:jc w:val="center"/>
              <w:rPr>
                <w:rFonts w:ascii="Arial" w:eastAsia="Calibri" w:hAnsi="Arial" w:cs="Arial"/>
                <w:b/>
                <w:u w:val="single"/>
              </w:rPr>
            </w:pPr>
            <w:r>
              <w:rPr>
                <w:rFonts w:ascii="Arial" w:eastAsia="Calibri" w:hAnsi="Arial" w:cs="Arial"/>
                <w:b/>
                <w:u w:val="single"/>
              </w:rPr>
              <w:t>47.00%</w:t>
            </w:r>
          </w:p>
          <w:p w14:paraId="5BF329F5" w14:textId="77777777" w:rsidR="00EB7DEC" w:rsidRDefault="00EB7DEC" w:rsidP="002551C6">
            <w:pPr>
              <w:jc w:val="center"/>
              <w:rPr>
                <w:rFonts w:ascii="Arial" w:eastAsia="Calibri" w:hAnsi="Arial" w:cs="Arial"/>
                <w:b/>
                <w:u w:val="single"/>
              </w:rPr>
            </w:pPr>
          </w:p>
          <w:p w14:paraId="76B5D129" w14:textId="4F520CE8" w:rsidR="00EB7DEC" w:rsidRDefault="00EB7DEC" w:rsidP="002551C6">
            <w:pPr>
              <w:jc w:val="center"/>
              <w:rPr>
                <w:rFonts w:ascii="Arial" w:eastAsia="Calibri" w:hAnsi="Arial" w:cs="Arial"/>
                <w:b/>
                <w:u w:val="single"/>
              </w:rPr>
            </w:pPr>
            <w:r>
              <w:rPr>
                <w:rFonts w:ascii="Arial" w:eastAsia="Calibri" w:hAnsi="Arial" w:cs="Arial"/>
                <w:b/>
                <w:u w:val="single"/>
              </w:rPr>
              <w:t>92.00%</w:t>
            </w:r>
          </w:p>
        </w:tc>
      </w:tr>
      <w:tr w:rsidR="004B462D" w:rsidRPr="004B1294" w14:paraId="0B0EB5CF" w14:textId="77777777" w:rsidTr="00042E94">
        <w:tc>
          <w:tcPr>
            <w:tcW w:w="1550" w:type="dxa"/>
          </w:tcPr>
          <w:p w14:paraId="2515F9E7" w14:textId="2186FCD5" w:rsidR="004B462D" w:rsidRDefault="00341854" w:rsidP="002551C6">
            <w:pPr>
              <w:jc w:val="center"/>
              <w:rPr>
                <w:rFonts w:ascii="Arial" w:hAnsi="Arial" w:cs="Arial"/>
                <w:b/>
              </w:rPr>
            </w:pPr>
            <w:r>
              <w:rPr>
                <w:rFonts w:ascii="Arial" w:hAnsi="Arial" w:cs="Arial"/>
                <w:b/>
              </w:rPr>
              <w:lastRenderedPageBreak/>
              <w:t>36</w:t>
            </w:r>
          </w:p>
        </w:tc>
        <w:tc>
          <w:tcPr>
            <w:tcW w:w="3255" w:type="dxa"/>
          </w:tcPr>
          <w:p w14:paraId="1A6CD6E8" w14:textId="4B464453" w:rsidR="00341854" w:rsidRDefault="00341854" w:rsidP="00341854">
            <w:pPr>
              <w:jc w:val="both"/>
              <w:rPr>
                <w:rFonts w:ascii="Arial" w:hAnsi="Arial" w:cs="Arial"/>
                <w:b/>
                <w:lang w:val="es-MX"/>
              </w:rPr>
            </w:pPr>
            <w:r w:rsidRPr="00341854">
              <w:rPr>
                <w:rFonts w:ascii="Arial" w:hAnsi="Arial" w:cs="Arial"/>
                <w:b/>
                <w:lang w:val="es-MX"/>
              </w:rPr>
              <w:t>U.A.E. AGENCIA NACIONAL DEL ESPECTRO – ANE.</w:t>
            </w:r>
          </w:p>
          <w:p w14:paraId="61B80ABA" w14:textId="6C8074F5" w:rsidR="00341854" w:rsidRDefault="00341854" w:rsidP="00341854">
            <w:pPr>
              <w:jc w:val="both"/>
              <w:rPr>
                <w:rFonts w:ascii="Arial" w:hAnsi="Arial" w:cs="Arial"/>
                <w:b/>
                <w:lang w:val="es-MX"/>
              </w:rPr>
            </w:pPr>
          </w:p>
          <w:p w14:paraId="0DFFE553" w14:textId="77777777" w:rsidR="00341854" w:rsidRDefault="00341854" w:rsidP="00341854">
            <w:pPr>
              <w:jc w:val="both"/>
              <w:rPr>
                <w:rFonts w:ascii="Arial" w:hAnsi="Arial" w:cs="Arial"/>
                <w:b/>
                <w:lang w:val="es-MX"/>
              </w:rPr>
            </w:pPr>
            <w:r>
              <w:rPr>
                <w:rFonts w:ascii="Arial" w:hAnsi="Arial" w:cs="Arial"/>
                <w:b/>
                <w:lang w:val="es-MX"/>
              </w:rPr>
              <w:t>FUNCIONAMIENTO</w:t>
            </w:r>
          </w:p>
          <w:p w14:paraId="2D0D4E1C" w14:textId="77777777" w:rsidR="00341854" w:rsidRDefault="00341854" w:rsidP="00341854">
            <w:pPr>
              <w:jc w:val="both"/>
              <w:rPr>
                <w:rFonts w:ascii="Arial" w:hAnsi="Arial" w:cs="Arial"/>
                <w:b/>
                <w:lang w:val="es-MX"/>
              </w:rPr>
            </w:pPr>
            <w:r>
              <w:rPr>
                <w:rFonts w:ascii="Arial" w:hAnsi="Arial" w:cs="Arial"/>
                <w:b/>
                <w:lang w:val="es-MX"/>
              </w:rPr>
              <w:t>INVERSIÓN</w:t>
            </w:r>
          </w:p>
          <w:p w14:paraId="727A6169" w14:textId="77777777" w:rsidR="00341854" w:rsidRDefault="00341854" w:rsidP="00341854">
            <w:pPr>
              <w:jc w:val="both"/>
              <w:rPr>
                <w:rFonts w:ascii="Arial" w:hAnsi="Arial" w:cs="Arial"/>
                <w:b/>
                <w:lang w:val="es-MX"/>
              </w:rPr>
            </w:pPr>
          </w:p>
          <w:p w14:paraId="5720CF75" w14:textId="5BF7DFCC" w:rsidR="004B462D" w:rsidRPr="00AD023F" w:rsidRDefault="00341854" w:rsidP="00341854">
            <w:pPr>
              <w:jc w:val="both"/>
              <w:rPr>
                <w:rFonts w:ascii="Arial" w:hAnsi="Arial" w:cs="Arial"/>
                <w:b/>
                <w:lang w:val="es-MX"/>
              </w:rPr>
            </w:pPr>
            <w:r>
              <w:rPr>
                <w:rFonts w:ascii="Arial" w:hAnsi="Arial" w:cs="Arial"/>
                <w:b/>
                <w:lang w:val="es-MX"/>
              </w:rPr>
              <w:t>TOTAL PRESUPUESTO</w:t>
            </w:r>
          </w:p>
        </w:tc>
        <w:tc>
          <w:tcPr>
            <w:tcW w:w="1839" w:type="dxa"/>
          </w:tcPr>
          <w:p w14:paraId="013FBBC8" w14:textId="210EF8C0" w:rsidR="004B462D" w:rsidRDefault="004B462D" w:rsidP="002551C6">
            <w:pPr>
              <w:jc w:val="center"/>
              <w:rPr>
                <w:rFonts w:ascii="Arial" w:eastAsia="Calibri" w:hAnsi="Arial" w:cs="Arial"/>
                <w:b/>
                <w:u w:val="single"/>
              </w:rPr>
            </w:pPr>
          </w:p>
          <w:p w14:paraId="56699545" w14:textId="2B9068C3" w:rsidR="00341854" w:rsidRDefault="00341854" w:rsidP="002551C6">
            <w:pPr>
              <w:jc w:val="center"/>
              <w:rPr>
                <w:rFonts w:ascii="Arial" w:eastAsia="Calibri" w:hAnsi="Arial" w:cs="Arial"/>
                <w:b/>
                <w:u w:val="single"/>
              </w:rPr>
            </w:pPr>
          </w:p>
          <w:p w14:paraId="5E0FBB82" w14:textId="1C994CAF" w:rsidR="00341854" w:rsidRDefault="00341854" w:rsidP="002551C6">
            <w:pPr>
              <w:jc w:val="center"/>
              <w:rPr>
                <w:rFonts w:ascii="Arial" w:eastAsia="Calibri" w:hAnsi="Arial" w:cs="Arial"/>
                <w:b/>
                <w:u w:val="single"/>
              </w:rPr>
            </w:pPr>
          </w:p>
          <w:p w14:paraId="401FA2FA" w14:textId="668125DD" w:rsidR="00341854" w:rsidRDefault="00341854" w:rsidP="002551C6">
            <w:pPr>
              <w:jc w:val="center"/>
              <w:rPr>
                <w:rFonts w:ascii="Arial" w:eastAsia="Calibri" w:hAnsi="Arial" w:cs="Arial"/>
                <w:b/>
                <w:u w:val="single"/>
              </w:rPr>
            </w:pPr>
            <w:r>
              <w:rPr>
                <w:rFonts w:ascii="Arial" w:eastAsia="Calibri" w:hAnsi="Arial" w:cs="Arial"/>
                <w:b/>
                <w:u w:val="single"/>
              </w:rPr>
              <w:t>87.20%</w:t>
            </w:r>
          </w:p>
          <w:p w14:paraId="039683CD" w14:textId="2189E566" w:rsidR="00341854" w:rsidRDefault="00341854" w:rsidP="002551C6">
            <w:pPr>
              <w:jc w:val="center"/>
              <w:rPr>
                <w:rFonts w:ascii="Arial" w:eastAsia="Calibri" w:hAnsi="Arial" w:cs="Arial"/>
                <w:b/>
                <w:u w:val="single"/>
              </w:rPr>
            </w:pPr>
            <w:r>
              <w:rPr>
                <w:rFonts w:ascii="Arial" w:eastAsia="Calibri" w:hAnsi="Arial" w:cs="Arial"/>
                <w:b/>
                <w:u w:val="single"/>
              </w:rPr>
              <w:t>93.60%</w:t>
            </w:r>
          </w:p>
          <w:p w14:paraId="4232455C" w14:textId="1D9BAE75" w:rsidR="00341854" w:rsidRDefault="00341854" w:rsidP="002551C6">
            <w:pPr>
              <w:jc w:val="center"/>
              <w:rPr>
                <w:rFonts w:ascii="Arial" w:eastAsia="Calibri" w:hAnsi="Arial" w:cs="Arial"/>
                <w:b/>
                <w:u w:val="single"/>
              </w:rPr>
            </w:pPr>
          </w:p>
          <w:p w14:paraId="20C3B2B8" w14:textId="3EBA5D0B" w:rsidR="00341854" w:rsidRDefault="00341854" w:rsidP="00341854">
            <w:pPr>
              <w:jc w:val="center"/>
              <w:rPr>
                <w:rFonts w:ascii="Arial" w:eastAsia="Calibri" w:hAnsi="Arial" w:cs="Arial"/>
                <w:b/>
                <w:u w:val="single"/>
              </w:rPr>
            </w:pPr>
            <w:r>
              <w:rPr>
                <w:rFonts w:ascii="Arial" w:eastAsia="Calibri" w:hAnsi="Arial" w:cs="Arial"/>
                <w:b/>
                <w:u w:val="single"/>
              </w:rPr>
              <w:t>90.90%</w:t>
            </w:r>
          </w:p>
        </w:tc>
        <w:tc>
          <w:tcPr>
            <w:tcW w:w="1804" w:type="dxa"/>
          </w:tcPr>
          <w:p w14:paraId="19BED7D6" w14:textId="77777777" w:rsidR="004B462D" w:rsidRDefault="004B462D" w:rsidP="002551C6">
            <w:pPr>
              <w:jc w:val="center"/>
              <w:rPr>
                <w:rFonts w:ascii="Arial" w:eastAsia="Calibri" w:hAnsi="Arial" w:cs="Arial"/>
                <w:b/>
                <w:u w:val="single"/>
              </w:rPr>
            </w:pPr>
          </w:p>
          <w:p w14:paraId="2462136E" w14:textId="77777777" w:rsidR="00341854" w:rsidRDefault="00341854" w:rsidP="002551C6">
            <w:pPr>
              <w:jc w:val="center"/>
              <w:rPr>
                <w:rFonts w:ascii="Arial" w:eastAsia="Calibri" w:hAnsi="Arial" w:cs="Arial"/>
                <w:b/>
                <w:u w:val="single"/>
              </w:rPr>
            </w:pPr>
          </w:p>
          <w:p w14:paraId="748DA0BF" w14:textId="77777777" w:rsidR="00341854" w:rsidRDefault="00341854" w:rsidP="002551C6">
            <w:pPr>
              <w:jc w:val="center"/>
              <w:rPr>
                <w:rFonts w:ascii="Arial" w:eastAsia="Calibri" w:hAnsi="Arial" w:cs="Arial"/>
                <w:b/>
                <w:u w:val="single"/>
              </w:rPr>
            </w:pPr>
          </w:p>
          <w:p w14:paraId="1803E30E" w14:textId="37DD13C9" w:rsidR="00341854" w:rsidRDefault="00341854" w:rsidP="002551C6">
            <w:pPr>
              <w:jc w:val="center"/>
              <w:rPr>
                <w:rFonts w:ascii="Arial" w:eastAsia="Calibri" w:hAnsi="Arial" w:cs="Arial"/>
                <w:b/>
                <w:u w:val="single"/>
              </w:rPr>
            </w:pPr>
            <w:r>
              <w:rPr>
                <w:rFonts w:ascii="Arial" w:eastAsia="Calibri" w:hAnsi="Arial" w:cs="Arial"/>
                <w:b/>
                <w:u w:val="single"/>
              </w:rPr>
              <w:t>87.20%</w:t>
            </w:r>
          </w:p>
          <w:p w14:paraId="3A68A639" w14:textId="45A1ED15" w:rsidR="00341854" w:rsidRDefault="00341854" w:rsidP="002551C6">
            <w:pPr>
              <w:jc w:val="center"/>
              <w:rPr>
                <w:rFonts w:ascii="Arial" w:eastAsia="Calibri" w:hAnsi="Arial" w:cs="Arial"/>
                <w:b/>
                <w:u w:val="single"/>
              </w:rPr>
            </w:pPr>
            <w:r>
              <w:rPr>
                <w:rFonts w:ascii="Arial" w:eastAsia="Calibri" w:hAnsi="Arial" w:cs="Arial"/>
                <w:b/>
                <w:u w:val="single"/>
              </w:rPr>
              <w:t>93.60%</w:t>
            </w:r>
          </w:p>
          <w:p w14:paraId="17F0311A" w14:textId="77777777" w:rsidR="00341854" w:rsidRDefault="00341854" w:rsidP="002551C6">
            <w:pPr>
              <w:jc w:val="center"/>
              <w:rPr>
                <w:rFonts w:ascii="Arial" w:eastAsia="Calibri" w:hAnsi="Arial" w:cs="Arial"/>
                <w:b/>
                <w:u w:val="single"/>
              </w:rPr>
            </w:pPr>
          </w:p>
          <w:p w14:paraId="0EABEFF3" w14:textId="5A444D4D" w:rsidR="00341854" w:rsidRDefault="00341854" w:rsidP="002551C6">
            <w:pPr>
              <w:jc w:val="center"/>
              <w:rPr>
                <w:rFonts w:ascii="Arial" w:eastAsia="Calibri" w:hAnsi="Arial" w:cs="Arial"/>
                <w:b/>
                <w:u w:val="single"/>
              </w:rPr>
            </w:pPr>
            <w:r>
              <w:rPr>
                <w:rFonts w:ascii="Arial" w:eastAsia="Calibri" w:hAnsi="Arial" w:cs="Arial"/>
                <w:b/>
                <w:u w:val="single"/>
              </w:rPr>
              <w:t>90.90%</w:t>
            </w:r>
          </w:p>
        </w:tc>
        <w:tc>
          <w:tcPr>
            <w:tcW w:w="2042" w:type="dxa"/>
          </w:tcPr>
          <w:p w14:paraId="184840DA" w14:textId="77777777" w:rsidR="004B462D" w:rsidRDefault="004B462D" w:rsidP="002551C6">
            <w:pPr>
              <w:jc w:val="center"/>
              <w:rPr>
                <w:rFonts w:ascii="Arial" w:eastAsia="Calibri" w:hAnsi="Arial" w:cs="Arial"/>
                <w:b/>
                <w:u w:val="single"/>
              </w:rPr>
            </w:pPr>
          </w:p>
          <w:p w14:paraId="630DCA6D" w14:textId="77777777" w:rsidR="00341854" w:rsidRDefault="00341854" w:rsidP="002551C6">
            <w:pPr>
              <w:jc w:val="center"/>
              <w:rPr>
                <w:rFonts w:ascii="Arial" w:eastAsia="Calibri" w:hAnsi="Arial" w:cs="Arial"/>
                <w:b/>
                <w:u w:val="single"/>
              </w:rPr>
            </w:pPr>
          </w:p>
          <w:p w14:paraId="73C40610" w14:textId="77777777" w:rsidR="00341854" w:rsidRDefault="00341854" w:rsidP="002551C6">
            <w:pPr>
              <w:jc w:val="center"/>
              <w:rPr>
                <w:rFonts w:ascii="Arial" w:eastAsia="Calibri" w:hAnsi="Arial" w:cs="Arial"/>
                <w:b/>
                <w:u w:val="single"/>
              </w:rPr>
            </w:pPr>
          </w:p>
          <w:p w14:paraId="4FA1B4E4" w14:textId="52082084" w:rsidR="00341854" w:rsidRDefault="00341854" w:rsidP="002551C6">
            <w:pPr>
              <w:jc w:val="center"/>
              <w:rPr>
                <w:rFonts w:ascii="Arial" w:eastAsia="Calibri" w:hAnsi="Arial" w:cs="Arial"/>
                <w:b/>
                <w:u w:val="single"/>
              </w:rPr>
            </w:pPr>
            <w:r>
              <w:rPr>
                <w:rFonts w:ascii="Arial" w:eastAsia="Calibri" w:hAnsi="Arial" w:cs="Arial"/>
                <w:b/>
                <w:u w:val="single"/>
              </w:rPr>
              <w:t>85.90%</w:t>
            </w:r>
          </w:p>
          <w:p w14:paraId="2914E0A6" w14:textId="6B69770D" w:rsidR="00341854" w:rsidRDefault="00341854" w:rsidP="002551C6">
            <w:pPr>
              <w:jc w:val="center"/>
              <w:rPr>
                <w:rFonts w:ascii="Arial" w:eastAsia="Calibri" w:hAnsi="Arial" w:cs="Arial"/>
                <w:b/>
                <w:u w:val="single"/>
              </w:rPr>
            </w:pPr>
            <w:r>
              <w:rPr>
                <w:rFonts w:ascii="Arial" w:eastAsia="Calibri" w:hAnsi="Arial" w:cs="Arial"/>
                <w:b/>
                <w:u w:val="single"/>
              </w:rPr>
              <w:t>83.90%</w:t>
            </w:r>
          </w:p>
          <w:p w14:paraId="5A524431" w14:textId="77777777" w:rsidR="00341854" w:rsidRDefault="00341854" w:rsidP="002551C6">
            <w:pPr>
              <w:jc w:val="center"/>
              <w:rPr>
                <w:rFonts w:ascii="Arial" w:eastAsia="Calibri" w:hAnsi="Arial" w:cs="Arial"/>
                <w:b/>
                <w:u w:val="single"/>
              </w:rPr>
            </w:pPr>
          </w:p>
          <w:p w14:paraId="7520EC1B" w14:textId="4CF06C53" w:rsidR="00341854" w:rsidRDefault="00341854" w:rsidP="002551C6">
            <w:pPr>
              <w:jc w:val="center"/>
              <w:rPr>
                <w:rFonts w:ascii="Arial" w:eastAsia="Calibri" w:hAnsi="Arial" w:cs="Arial"/>
                <w:b/>
                <w:u w:val="single"/>
              </w:rPr>
            </w:pPr>
            <w:r>
              <w:rPr>
                <w:rFonts w:ascii="Arial" w:eastAsia="Calibri" w:hAnsi="Arial" w:cs="Arial"/>
                <w:b/>
                <w:u w:val="single"/>
              </w:rPr>
              <w:t>84.80%</w:t>
            </w:r>
          </w:p>
        </w:tc>
      </w:tr>
      <w:tr w:rsidR="004B462D" w:rsidRPr="004B1294" w14:paraId="6FFC836C" w14:textId="77777777" w:rsidTr="00042E94">
        <w:tc>
          <w:tcPr>
            <w:tcW w:w="1550" w:type="dxa"/>
          </w:tcPr>
          <w:p w14:paraId="3BA39B02" w14:textId="3D68469E" w:rsidR="004B462D" w:rsidRDefault="008E13EC" w:rsidP="002551C6">
            <w:pPr>
              <w:jc w:val="center"/>
              <w:rPr>
                <w:rFonts w:ascii="Arial" w:hAnsi="Arial" w:cs="Arial"/>
                <w:b/>
              </w:rPr>
            </w:pPr>
            <w:r>
              <w:rPr>
                <w:rFonts w:ascii="Arial" w:hAnsi="Arial" w:cs="Arial"/>
                <w:b/>
              </w:rPr>
              <w:t>37</w:t>
            </w:r>
          </w:p>
        </w:tc>
        <w:tc>
          <w:tcPr>
            <w:tcW w:w="3255" w:type="dxa"/>
          </w:tcPr>
          <w:p w14:paraId="735653F0" w14:textId="113CCBB3" w:rsidR="008E13EC" w:rsidRPr="008E13EC" w:rsidRDefault="008E13EC" w:rsidP="008E13EC">
            <w:pPr>
              <w:jc w:val="both"/>
              <w:rPr>
                <w:rFonts w:ascii="Arial" w:hAnsi="Arial" w:cs="Arial"/>
                <w:b/>
              </w:rPr>
            </w:pPr>
            <w:r w:rsidRPr="008E13EC">
              <w:rPr>
                <w:rFonts w:ascii="Arial" w:hAnsi="Arial" w:cs="Arial"/>
                <w:b/>
              </w:rPr>
              <w:t>AGENCIA NACIONAL DE INFRAESTRUCTURA - ANI.</w:t>
            </w:r>
          </w:p>
          <w:p w14:paraId="036E8846" w14:textId="77777777" w:rsidR="004B462D" w:rsidRDefault="004B462D" w:rsidP="00AD023F">
            <w:pPr>
              <w:jc w:val="both"/>
              <w:rPr>
                <w:rFonts w:ascii="Arial" w:hAnsi="Arial" w:cs="Arial"/>
                <w:b/>
              </w:rPr>
            </w:pPr>
          </w:p>
          <w:p w14:paraId="06B1D219" w14:textId="77777777" w:rsidR="008E13EC" w:rsidRDefault="008E13EC" w:rsidP="008E13EC">
            <w:pPr>
              <w:jc w:val="both"/>
              <w:rPr>
                <w:rFonts w:ascii="Arial" w:hAnsi="Arial" w:cs="Arial"/>
                <w:b/>
                <w:lang w:val="es-MX"/>
              </w:rPr>
            </w:pPr>
            <w:r>
              <w:rPr>
                <w:rFonts w:ascii="Arial" w:hAnsi="Arial" w:cs="Arial"/>
                <w:b/>
                <w:lang w:val="es-MX"/>
              </w:rPr>
              <w:t>FUNCIONAMIENTO</w:t>
            </w:r>
          </w:p>
          <w:p w14:paraId="6ED5CC11" w14:textId="77777777" w:rsidR="008E13EC" w:rsidRDefault="008E13EC" w:rsidP="008E13EC">
            <w:pPr>
              <w:jc w:val="both"/>
              <w:rPr>
                <w:rFonts w:ascii="Arial" w:hAnsi="Arial" w:cs="Arial"/>
                <w:b/>
                <w:lang w:val="es-MX"/>
              </w:rPr>
            </w:pPr>
            <w:r>
              <w:rPr>
                <w:rFonts w:ascii="Arial" w:hAnsi="Arial" w:cs="Arial"/>
                <w:b/>
                <w:lang w:val="es-MX"/>
              </w:rPr>
              <w:t>INVERSIÓN</w:t>
            </w:r>
          </w:p>
          <w:p w14:paraId="1B0290DA" w14:textId="77777777" w:rsidR="008E13EC" w:rsidRDefault="008E13EC" w:rsidP="008E13EC">
            <w:pPr>
              <w:jc w:val="both"/>
              <w:rPr>
                <w:rFonts w:ascii="Arial" w:hAnsi="Arial" w:cs="Arial"/>
                <w:b/>
                <w:lang w:val="es-MX"/>
              </w:rPr>
            </w:pPr>
          </w:p>
          <w:p w14:paraId="0E7E5E7E" w14:textId="4C7BCB98" w:rsidR="008E13EC" w:rsidRPr="008E13EC" w:rsidRDefault="008E13EC" w:rsidP="008E13EC">
            <w:pPr>
              <w:jc w:val="both"/>
              <w:rPr>
                <w:rFonts w:ascii="Arial" w:hAnsi="Arial" w:cs="Arial"/>
                <w:b/>
              </w:rPr>
            </w:pPr>
            <w:r>
              <w:rPr>
                <w:rFonts w:ascii="Arial" w:hAnsi="Arial" w:cs="Arial"/>
                <w:b/>
                <w:lang w:val="es-MX"/>
              </w:rPr>
              <w:t>TOTAL PRESUPUESTO</w:t>
            </w:r>
          </w:p>
        </w:tc>
        <w:tc>
          <w:tcPr>
            <w:tcW w:w="1839" w:type="dxa"/>
          </w:tcPr>
          <w:p w14:paraId="276557B8" w14:textId="77777777" w:rsidR="004B462D" w:rsidRDefault="004B462D" w:rsidP="002551C6">
            <w:pPr>
              <w:jc w:val="center"/>
              <w:rPr>
                <w:rFonts w:ascii="Arial" w:eastAsia="Calibri" w:hAnsi="Arial" w:cs="Arial"/>
                <w:b/>
                <w:u w:val="single"/>
              </w:rPr>
            </w:pPr>
          </w:p>
          <w:p w14:paraId="1E99D98E" w14:textId="77777777" w:rsidR="008E13EC" w:rsidRDefault="008E13EC" w:rsidP="002551C6">
            <w:pPr>
              <w:jc w:val="center"/>
              <w:rPr>
                <w:rFonts w:ascii="Arial" w:eastAsia="Calibri" w:hAnsi="Arial" w:cs="Arial"/>
                <w:b/>
                <w:u w:val="single"/>
              </w:rPr>
            </w:pPr>
          </w:p>
          <w:p w14:paraId="067B728A" w14:textId="77777777" w:rsidR="008E13EC" w:rsidRDefault="008E13EC" w:rsidP="002551C6">
            <w:pPr>
              <w:jc w:val="center"/>
              <w:rPr>
                <w:rFonts w:ascii="Arial" w:eastAsia="Calibri" w:hAnsi="Arial" w:cs="Arial"/>
                <w:b/>
                <w:u w:val="single"/>
              </w:rPr>
            </w:pPr>
          </w:p>
          <w:p w14:paraId="305F8CC3" w14:textId="4AB4900C" w:rsidR="008E13EC" w:rsidRDefault="00F62DB3" w:rsidP="002551C6">
            <w:pPr>
              <w:jc w:val="center"/>
              <w:rPr>
                <w:rFonts w:ascii="Arial" w:eastAsia="Calibri" w:hAnsi="Arial" w:cs="Arial"/>
                <w:b/>
                <w:u w:val="single"/>
              </w:rPr>
            </w:pPr>
            <w:r>
              <w:rPr>
                <w:rFonts w:ascii="Arial" w:eastAsia="Calibri" w:hAnsi="Arial" w:cs="Arial"/>
                <w:b/>
                <w:u w:val="single"/>
              </w:rPr>
              <w:t>91.20%</w:t>
            </w:r>
          </w:p>
          <w:p w14:paraId="301DAAA9" w14:textId="2F677BB7" w:rsidR="008E13EC" w:rsidRDefault="00F62DB3" w:rsidP="002551C6">
            <w:pPr>
              <w:jc w:val="center"/>
              <w:rPr>
                <w:rFonts w:ascii="Arial" w:eastAsia="Calibri" w:hAnsi="Arial" w:cs="Arial"/>
                <w:b/>
                <w:u w:val="single"/>
              </w:rPr>
            </w:pPr>
            <w:r>
              <w:rPr>
                <w:rFonts w:ascii="Arial" w:eastAsia="Calibri" w:hAnsi="Arial" w:cs="Arial"/>
                <w:b/>
                <w:u w:val="single"/>
              </w:rPr>
              <w:t>98.70%</w:t>
            </w:r>
          </w:p>
          <w:p w14:paraId="26F89C43" w14:textId="77777777" w:rsidR="008E13EC" w:rsidRDefault="008E13EC" w:rsidP="002551C6">
            <w:pPr>
              <w:jc w:val="center"/>
              <w:rPr>
                <w:rFonts w:ascii="Arial" w:eastAsia="Calibri" w:hAnsi="Arial" w:cs="Arial"/>
                <w:b/>
                <w:u w:val="single"/>
              </w:rPr>
            </w:pPr>
          </w:p>
          <w:p w14:paraId="20FBB52F" w14:textId="7149D3BE" w:rsidR="008E13EC" w:rsidRDefault="00F62DB3" w:rsidP="002551C6">
            <w:pPr>
              <w:jc w:val="center"/>
              <w:rPr>
                <w:rFonts w:ascii="Arial" w:eastAsia="Calibri" w:hAnsi="Arial" w:cs="Arial"/>
                <w:b/>
                <w:u w:val="single"/>
              </w:rPr>
            </w:pPr>
            <w:r>
              <w:rPr>
                <w:rFonts w:ascii="Arial" w:eastAsia="Calibri" w:hAnsi="Arial" w:cs="Arial"/>
                <w:b/>
                <w:u w:val="single"/>
              </w:rPr>
              <w:t>98.90%</w:t>
            </w:r>
          </w:p>
        </w:tc>
        <w:tc>
          <w:tcPr>
            <w:tcW w:w="1804" w:type="dxa"/>
          </w:tcPr>
          <w:p w14:paraId="5FA9913F" w14:textId="77777777" w:rsidR="004B462D" w:rsidRDefault="004B462D" w:rsidP="002551C6">
            <w:pPr>
              <w:jc w:val="center"/>
              <w:rPr>
                <w:rFonts w:ascii="Arial" w:eastAsia="Calibri" w:hAnsi="Arial" w:cs="Arial"/>
                <w:b/>
                <w:u w:val="single"/>
              </w:rPr>
            </w:pPr>
          </w:p>
          <w:p w14:paraId="3C7EAB77" w14:textId="77777777" w:rsidR="008E13EC" w:rsidRDefault="008E13EC" w:rsidP="002551C6">
            <w:pPr>
              <w:jc w:val="center"/>
              <w:rPr>
                <w:rFonts w:ascii="Arial" w:eastAsia="Calibri" w:hAnsi="Arial" w:cs="Arial"/>
                <w:b/>
                <w:u w:val="single"/>
              </w:rPr>
            </w:pPr>
          </w:p>
          <w:p w14:paraId="1DDC4374" w14:textId="77777777" w:rsidR="008E13EC" w:rsidRDefault="008E13EC" w:rsidP="002551C6">
            <w:pPr>
              <w:jc w:val="center"/>
              <w:rPr>
                <w:rFonts w:ascii="Arial" w:eastAsia="Calibri" w:hAnsi="Arial" w:cs="Arial"/>
                <w:b/>
                <w:u w:val="single"/>
              </w:rPr>
            </w:pPr>
          </w:p>
          <w:p w14:paraId="791075A3" w14:textId="3877E63B" w:rsidR="008E13EC" w:rsidRDefault="00F62DB3" w:rsidP="002551C6">
            <w:pPr>
              <w:jc w:val="center"/>
              <w:rPr>
                <w:rFonts w:ascii="Arial" w:eastAsia="Calibri" w:hAnsi="Arial" w:cs="Arial"/>
                <w:b/>
                <w:u w:val="single"/>
              </w:rPr>
            </w:pPr>
            <w:r>
              <w:rPr>
                <w:rFonts w:ascii="Arial" w:eastAsia="Calibri" w:hAnsi="Arial" w:cs="Arial"/>
                <w:b/>
                <w:u w:val="single"/>
              </w:rPr>
              <w:t>90.20%</w:t>
            </w:r>
          </w:p>
          <w:p w14:paraId="022DF348" w14:textId="6FBD48D1" w:rsidR="008E13EC" w:rsidRDefault="00F62DB3" w:rsidP="002551C6">
            <w:pPr>
              <w:jc w:val="center"/>
              <w:rPr>
                <w:rFonts w:ascii="Arial" w:eastAsia="Calibri" w:hAnsi="Arial" w:cs="Arial"/>
                <w:b/>
                <w:u w:val="single"/>
              </w:rPr>
            </w:pPr>
            <w:r>
              <w:rPr>
                <w:rFonts w:ascii="Arial" w:eastAsia="Calibri" w:hAnsi="Arial" w:cs="Arial"/>
                <w:b/>
                <w:u w:val="single"/>
              </w:rPr>
              <w:t>31.10%</w:t>
            </w:r>
          </w:p>
          <w:p w14:paraId="5E79EF3D" w14:textId="77777777" w:rsidR="008E13EC" w:rsidRDefault="008E13EC" w:rsidP="002551C6">
            <w:pPr>
              <w:jc w:val="center"/>
              <w:rPr>
                <w:rFonts w:ascii="Arial" w:eastAsia="Calibri" w:hAnsi="Arial" w:cs="Arial"/>
                <w:b/>
                <w:u w:val="single"/>
              </w:rPr>
            </w:pPr>
          </w:p>
          <w:p w14:paraId="73628265" w14:textId="57DAD3A3" w:rsidR="008E13EC" w:rsidRDefault="00F62DB3" w:rsidP="002551C6">
            <w:pPr>
              <w:jc w:val="center"/>
              <w:rPr>
                <w:rFonts w:ascii="Arial" w:eastAsia="Calibri" w:hAnsi="Arial" w:cs="Arial"/>
                <w:b/>
                <w:u w:val="single"/>
              </w:rPr>
            </w:pPr>
            <w:r>
              <w:rPr>
                <w:rFonts w:ascii="Arial" w:eastAsia="Calibri" w:hAnsi="Arial" w:cs="Arial"/>
                <w:b/>
                <w:u w:val="single"/>
              </w:rPr>
              <w:t>45.50%</w:t>
            </w:r>
          </w:p>
        </w:tc>
        <w:tc>
          <w:tcPr>
            <w:tcW w:w="2042" w:type="dxa"/>
          </w:tcPr>
          <w:p w14:paraId="3EC786CE" w14:textId="77777777" w:rsidR="004B462D" w:rsidRDefault="004B462D" w:rsidP="002551C6">
            <w:pPr>
              <w:jc w:val="center"/>
              <w:rPr>
                <w:rFonts w:ascii="Arial" w:eastAsia="Calibri" w:hAnsi="Arial" w:cs="Arial"/>
                <w:b/>
                <w:u w:val="single"/>
              </w:rPr>
            </w:pPr>
          </w:p>
          <w:p w14:paraId="0787A833" w14:textId="77777777" w:rsidR="008E13EC" w:rsidRDefault="008E13EC" w:rsidP="002551C6">
            <w:pPr>
              <w:jc w:val="center"/>
              <w:rPr>
                <w:rFonts w:ascii="Arial" w:eastAsia="Calibri" w:hAnsi="Arial" w:cs="Arial"/>
                <w:b/>
                <w:u w:val="single"/>
              </w:rPr>
            </w:pPr>
          </w:p>
          <w:p w14:paraId="5EE95996" w14:textId="77777777" w:rsidR="008E13EC" w:rsidRDefault="008E13EC" w:rsidP="002551C6">
            <w:pPr>
              <w:jc w:val="center"/>
              <w:rPr>
                <w:rFonts w:ascii="Arial" w:eastAsia="Calibri" w:hAnsi="Arial" w:cs="Arial"/>
                <w:b/>
                <w:u w:val="single"/>
              </w:rPr>
            </w:pPr>
          </w:p>
          <w:p w14:paraId="69F0E0ED" w14:textId="4D5D61D6" w:rsidR="008E13EC" w:rsidRDefault="00F62DB3" w:rsidP="002551C6">
            <w:pPr>
              <w:jc w:val="center"/>
              <w:rPr>
                <w:rFonts w:ascii="Arial" w:eastAsia="Calibri" w:hAnsi="Arial" w:cs="Arial"/>
                <w:b/>
                <w:u w:val="single"/>
              </w:rPr>
            </w:pPr>
            <w:r>
              <w:rPr>
                <w:rFonts w:ascii="Arial" w:eastAsia="Calibri" w:hAnsi="Arial" w:cs="Arial"/>
                <w:b/>
                <w:u w:val="single"/>
              </w:rPr>
              <w:t>85.70%</w:t>
            </w:r>
          </w:p>
          <w:p w14:paraId="500D0F75" w14:textId="25A301E3" w:rsidR="008E13EC" w:rsidRDefault="00F62DB3" w:rsidP="002551C6">
            <w:pPr>
              <w:jc w:val="center"/>
              <w:rPr>
                <w:rFonts w:ascii="Arial" w:eastAsia="Calibri" w:hAnsi="Arial" w:cs="Arial"/>
                <w:b/>
                <w:u w:val="single"/>
              </w:rPr>
            </w:pPr>
            <w:r>
              <w:rPr>
                <w:rFonts w:ascii="Arial" w:eastAsia="Calibri" w:hAnsi="Arial" w:cs="Arial"/>
                <w:b/>
                <w:u w:val="single"/>
              </w:rPr>
              <w:t>31.10%</w:t>
            </w:r>
          </w:p>
          <w:p w14:paraId="2964C73A" w14:textId="77777777" w:rsidR="008E13EC" w:rsidRDefault="008E13EC" w:rsidP="002551C6">
            <w:pPr>
              <w:jc w:val="center"/>
              <w:rPr>
                <w:rFonts w:ascii="Arial" w:eastAsia="Calibri" w:hAnsi="Arial" w:cs="Arial"/>
                <w:b/>
                <w:u w:val="single"/>
              </w:rPr>
            </w:pPr>
          </w:p>
          <w:p w14:paraId="253150FB" w14:textId="35462BD1" w:rsidR="008E13EC" w:rsidRDefault="00F62DB3" w:rsidP="002551C6">
            <w:pPr>
              <w:jc w:val="center"/>
              <w:rPr>
                <w:rFonts w:ascii="Arial" w:eastAsia="Calibri" w:hAnsi="Arial" w:cs="Arial"/>
                <w:b/>
                <w:u w:val="single"/>
              </w:rPr>
            </w:pPr>
            <w:r>
              <w:rPr>
                <w:rFonts w:ascii="Arial" w:eastAsia="Calibri" w:hAnsi="Arial" w:cs="Arial"/>
                <w:b/>
                <w:u w:val="single"/>
              </w:rPr>
              <w:t>45.40%</w:t>
            </w:r>
          </w:p>
        </w:tc>
      </w:tr>
      <w:tr w:rsidR="004B462D" w:rsidRPr="004B1294" w14:paraId="37310CB4" w14:textId="77777777" w:rsidTr="00042E94">
        <w:tc>
          <w:tcPr>
            <w:tcW w:w="1550" w:type="dxa"/>
          </w:tcPr>
          <w:p w14:paraId="30ACBF28" w14:textId="1FC92D4A" w:rsidR="004B462D" w:rsidRDefault="00B00569" w:rsidP="002551C6">
            <w:pPr>
              <w:jc w:val="center"/>
              <w:rPr>
                <w:rFonts w:ascii="Arial" w:hAnsi="Arial" w:cs="Arial"/>
                <w:b/>
              </w:rPr>
            </w:pPr>
            <w:r>
              <w:rPr>
                <w:rFonts w:ascii="Arial" w:hAnsi="Arial" w:cs="Arial"/>
                <w:b/>
              </w:rPr>
              <w:t>38</w:t>
            </w:r>
          </w:p>
        </w:tc>
        <w:tc>
          <w:tcPr>
            <w:tcW w:w="3255" w:type="dxa"/>
          </w:tcPr>
          <w:p w14:paraId="67233CC3" w14:textId="77777777" w:rsidR="004B462D" w:rsidRDefault="00B00569" w:rsidP="00AD023F">
            <w:pPr>
              <w:jc w:val="both"/>
              <w:rPr>
                <w:rFonts w:ascii="Arial" w:hAnsi="Arial" w:cs="Arial"/>
                <w:b/>
                <w:lang w:val="es-MX"/>
              </w:rPr>
            </w:pPr>
            <w:r w:rsidRPr="00B00569">
              <w:rPr>
                <w:rFonts w:ascii="Arial" w:hAnsi="Arial" w:cs="Arial"/>
                <w:b/>
                <w:lang w:val="es-MX"/>
              </w:rPr>
              <w:t xml:space="preserve">SUPERINTENDENCIA NACIONAL DE SALUD – SUPERSALUD. </w:t>
            </w:r>
          </w:p>
          <w:p w14:paraId="7D0E287B" w14:textId="77777777" w:rsidR="00B00569" w:rsidRDefault="00B00569" w:rsidP="00AD023F">
            <w:pPr>
              <w:jc w:val="both"/>
              <w:rPr>
                <w:rFonts w:ascii="Arial" w:hAnsi="Arial" w:cs="Arial"/>
                <w:b/>
                <w:lang w:val="es-MX"/>
              </w:rPr>
            </w:pPr>
          </w:p>
          <w:p w14:paraId="1AC62087" w14:textId="77777777" w:rsidR="00B00569" w:rsidRDefault="00B00569" w:rsidP="00B00569">
            <w:pPr>
              <w:jc w:val="both"/>
              <w:rPr>
                <w:rFonts w:ascii="Arial" w:hAnsi="Arial" w:cs="Arial"/>
                <w:b/>
                <w:lang w:val="es-MX"/>
              </w:rPr>
            </w:pPr>
            <w:r>
              <w:rPr>
                <w:rFonts w:ascii="Arial" w:hAnsi="Arial" w:cs="Arial"/>
                <w:b/>
                <w:lang w:val="es-MX"/>
              </w:rPr>
              <w:t>FUNCIONAMIENTO</w:t>
            </w:r>
          </w:p>
          <w:p w14:paraId="3DDAA898" w14:textId="77777777" w:rsidR="00B00569" w:rsidRDefault="00B00569" w:rsidP="00B00569">
            <w:pPr>
              <w:jc w:val="both"/>
              <w:rPr>
                <w:rFonts w:ascii="Arial" w:hAnsi="Arial" w:cs="Arial"/>
                <w:b/>
                <w:lang w:val="es-MX"/>
              </w:rPr>
            </w:pPr>
            <w:r>
              <w:rPr>
                <w:rFonts w:ascii="Arial" w:hAnsi="Arial" w:cs="Arial"/>
                <w:b/>
                <w:lang w:val="es-MX"/>
              </w:rPr>
              <w:t>INVERSIÓN</w:t>
            </w:r>
          </w:p>
          <w:p w14:paraId="0882A8FD" w14:textId="77777777" w:rsidR="00B00569" w:rsidRDefault="00B00569" w:rsidP="00B00569">
            <w:pPr>
              <w:jc w:val="both"/>
              <w:rPr>
                <w:rFonts w:ascii="Arial" w:hAnsi="Arial" w:cs="Arial"/>
                <w:b/>
                <w:lang w:val="es-MX"/>
              </w:rPr>
            </w:pPr>
          </w:p>
          <w:p w14:paraId="6E2E3466" w14:textId="17999641" w:rsidR="00B00569" w:rsidRPr="00AD023F" w:rsidRDefault="00B00569" w:rsidP="00B00569">
            <w:pPr>
              <w:jc w:val="both"/>
              <w:rPr>
                <w:rFonts w:ascii="Arial" w:hAnsi="Arial" w:cs="Arial"/>
                <w:b/>
                <w:lang w:val="es-MX"/>
              </w:rPr>
            </w:pPr>
            <w:r>
              <w:rPr>
                <w:rFonts w:ascii="Arial" w:hAnsi="Arial" w:cs="Arial"/>
                <w:b/>
                <w:lang w:val="es-MX"/>
              </w:rPr>
              <w:t>TOTAL PRESUPUESTO</w:t>
            </w:r>
          </w:p>
        </w:tc>
        <w:tc>
          <w:tcPr>
            <w:tcW w:w="1839" w:type="dxa"/>
          </w:tcPr>
          <w:p w14:paraId="1CDEF0B1" w14:textId="77777777" w:rsidR="004B462D" w:rsidRDefault="004B462D" w:rsidP="002551C6">
            <w:pPr>
              <w:jc w:val="center"/>
              <w:rPr>
                <w:rFonts w:ascii="Arial" w:eastAsia="Calibri" w:hAnsi="Arial" w:cs="Arial"/>
                <w:b/>
                <w:u w:val="single"/>
              </w:rPr>
            </w:pPr>
          </w:p>
          <w:p w14:paraId="214818DC" w14:textId="77777777" w:rsidR="00B00569" w:rsidRDefault="00B00569" w:rsidP="002551C6">
            <w:pPr>
              <w:jc w:val="center"/>
              <w:rPr>
                <w:rFonts w:ascii="Arial" w:eastAsia="Calibri" w:hAnsi="Arial" w:cs="Arial"/>
                <w:b/>
                <w:u w:val="single"/>
              </w:rPr>
            </w:pPr>
          </w:p>
          <w:p w14:paraId="05904FEB" w14:textId="77777777" w:rsidR="00B00569" w:rsidRDefault="00B00569" w:rsidP="002551C6">
            <w:pPr>
              <w:jc w:val="center"/>
              <w:rPr>
                <w:rFonts w:ascii="Arial" w:eastAsia="Calibri" w:hAnsi="Arial" w:cs="Arial"/>
                <w:b/>
                <w:u w:val="single"/>
              </w:rPr>
            </w:pPr>
          </w:p>
          <w:p w14:paraId="74BB3F6E" w14:textId="77777777" w:rsidR="00B00569" w:rsidRDefault="00B00569" w:rsidP="002551C6">
            <w:pPr>
              <w:jc w:val="center"/>
              <w:rPr>
                <w:rFonts w:ascii="Arial" w:eastAsia="Calibri" w:hAnsi="Arial" w:cs="Arial"/>
                <w:b/>
                <w:u w:val="single"/>
              </w:rPr>
            </w:pPr>
          </w:p>
          <w:p w14:paraId="36F88B33" w14:textId="5700F91A" w:rsidR="00B00569" w:rsidRDefault="00B00569" w:rsidP="002551C6">
            <w:pPr>
              <w:jc w:val="center"/>
              <w:rPr>
                <w:rFonts w:ascii="Arial" w:eastAsia="Calibri" w:hAnsi="Arial" w:cs="Arial"/>
                <w:b/>
                <w:u w:val="single"/>
              </w:rPr>
            </w:pPr>
            <w:r>
              <w:rPr>
                <w:rFonts w:ascii="Arial" w:eastAsia="Calibri" w:hAnsi="Arial" w:cs="Arial"/>
                <w:b/>
                <w:u w:val="single"/>
              </w:rPr>
              <w:t>86.00%</w:t>
            </w:r>
          </w:p>
          <w:p w14:paraId="594CAD96" w14:textId="1DC28A07" w:rsidR="00B00569" w:rsidRDefault="00B00569" w:rsidP="002551C6">
            <w:pPr>
              <w:jc w:val="center"/>
              <w:rPr>
                <w:rFonts w:ascii="Arial" w:eastAsia="Calibri" w:hAnsi="Arial" w:cs="Arial"/>
                <w:b/>
                <w:u w:val="single"/>
              </w:rPr>
            </w:pPr>
            <w:r>
              <w:rPr>
                <w:rFonts w:ascii="Arial" w:eastAsia="Calibri" w:hAnsi="Arial" w:cs="Arial"/>
                <w:b/>
                <w:u w:val="single"/>
              </w:rPr>
              <w:t>80.00%</w:t>
            </w:r>
          </w:p>
          <w:p w14:paraId="03145361" w14:textId="77777777" w:rsidR="00B00569" w:rsidRDefault="00B00569" w:rsidP="002551C6">
            <w:pPr>
              <w:jc w:val="center"/>
              <w:rPr>
                <w:rFonts w:ascii="Arial" w:eastAsia="Calibri" w:hAnsi="Arial" w:cs="Arial"/>
                <w:b/>
                <w:u w:val="single"/>
              </w:rPr>
            </w:pPr>
          </w:p>
          <w:p w14:paraId="7D9D2935" w14:textId="645E1A32" w:rsidR="00B00569" w:rsidRDefault="00B00569" w:rsidP="002551C6">
            <w:pPr>
              <w:jc w:val="center"/>
              <w:rPr>
                <w:rFonts w:ascii="Arial" w:eastAsia="Calibri" w:hAnsi="Arial" w:cs="Arial"/>
                <w:b/>
                <w:u w:val="single"/>
              </w:rPr>
            </w:pPr>
            <w:r>
              <w:rPr>
                <w:rFonts w:ascii="Arial" w:eastAsia="Calibri" w:hAnsi="Arial" w:cs="Arial"/>
                <w:b/>
                <w:u w:val="single"/>
              </w:rPr>
              <w:t>85.00%</w:t>
            </w:r>
          </w:p>
        </w:tc>
        <w:tc>
          <w:tcPr>
            <w:tcW w:w="1804" w:type="dxa"/>
          </w:tcPr>
          <w:p w14:paraId="598A25A2" w14:textId="77777777" w:rsidR="004B462D" w:rsidRDefault="004B462D" w:rsidP="002551C6">
            <w:pPr>
              <w:jc w:val="center"/>
              <w:rPr>
                <w:rFonts w:ascii="Arial" w:eastAsia="Calibri" w:hAnsi="Arial" w:cs="Arial"/>
                <w:b/>
                <w:u w:val="single"/>
              </w:rPr>
            </w:pPr>
          </w:p>
          <w:p w14:paraId="642E36CD" w14:textId="77777777" w:rsidR="00B00569" w:rsidRDefault="00B00569" w:rsidP="002551C6">
            <w:pPr>
              <w:jc w:val="center"/>
              <w:rPr>
                <w:rFonts w:ascii="Arial" w:eastAsia="Calibri" w:hAnsi="Arial" w:cs="Arial"/>
                <w:b/>
                <w:u w:val="single"/>
              </w:rPr>
            </w:pPr>
          </w:p>
          <w:p w14:paraId="056B3473" w14:textId="77777777" w:rsidR="00B00569" w:rsidRDefault="00B00569" w:rsidP="002551C6">
            <w:pPr>
              <w:jc w:val="center"/>
              <w:rPr>
                <w:rFonts w:ascii="Arial" w:eastAsia="Calibri" w:hAnsi="Arial" w:cs="Arial"/>
                <w:b/>
                <w:u w:val="single"/>
              </w:rPr>
            </w:pPr>
          </w:p>
          <w:p w14:paraId="18341F78" w14:textId="77777777" w:rsidR="00B00569" w:rsidRDefault="00B00569" w:rsidP="002551C6">
            <w:pPr>
              <w:jc w:val="center"/>
              <w:rPr>
                <w:rFonts w:ascii="Arial" w:eastAsia="Calibri" w:hAnsi="Arial" w:cs="Arial"/>
                <w:b/>
                <w:u w:val="single"/>
              </w:rPr>
            </w:pPr>
          </w:p>
          <w:p w14:paraId="238AC559" w14:textId="32144D73" w:rsidR="00B00569" w:rsidRDefault="00B00569" w:rsidP="002551C6">
            <w:pPr>
              <w:jc w:val="center"/>
              <w:rPr>
                <w:rFonts w:ascii="Arial" w:eastAsia="Calibri" w:hAnsi="Arial" w:cs="Arial"/>
                <w:b/>
                <w:u w:val="single"/>
              </w:rPr>
            </w:pPr>
            <w:r>
              <w:rPr>
                <w:rFonts w:ascii="Arial" w:eastAsia="Calibri" w:hAnsi="Arial" w:cs="Arial"/>
                <w:b/>
                <w:u w:val="single"/>
              </w:rPr>
              <w:t>86.00%</w:t>
            </w:r>
          </w:p>
          <w:p w14:paraId="279C0607" w14:textId="18608322" w:rsidR="00B00569" w:rsidRDefault="00B00569" w:rsidP="002551C6">
            <w:pPr>
              <w:jc w:val="center"/>
              <w:rPr>
                <w:rFonts w:ascii="Arial" w:eastAsia="Calibri" w:hAnsi="Arial" w:cs="Arial"/>
                <w:b/>
                <w:u w:val="single"/>
              </w:rPr>
            </w:pPr>
            <w:r>
              <w:rPr>
                <w:rFonts w:ascii="Arial" w:eastAsia="Calibri" w:hAnsi="Arial" w:cs="Arial"/>
                <w:b/>
                <w:u w:val="single"/>
              </w:rPr>
              <w:t>72.00%</w:t>
            </w:r>
          </w:p>
          <w:p w14:paraId="4112DE1B" w14:textId="77777777" w:rsidR="00B00569" w:rsidRDefault="00B00569" w:rsidP="002551C6">
            <w:pPr>
              <w:jc w:val="center"/>
              <w:rPr>
                <w:rFonts w:ascii="Arial" w:eastAsia="Calibri" w:hAnsi="Arial" w:cs="Arial"/>
                <w:b/>
                <w:u w:val="single"/>
              </w:rPr>
            </w:pPr>
          </w:p>
          <w:p w14:paraId="1142D5B6" w14:textId="523AE048" w:rsidR="00B00569" w:rsidRDefault="00B00569" w:rsidP="002551C6">
            <w:pPr>
              <w:jc w:val="center"/>
              <w:rPr>
                <w:rFonts w:ascii="Arial" w:eastAsia="Calibri" w:hAnsi="Arial" w:cs="Arial"/>
                <w:b/>
                <w:u w:val="single"/>
              </w:rPr>
            </w:pPr>
            <w:r>
              <w:rPr>
                <w:rFonts w:ascii="Arial" w:eastAsia="Calibri" w:hAnsi="Arial" w:cs="Arial"/>
                <w:b/>
                <w:u w:val="single"/>
              </w:rPr>
              <w:t>83.00%</w:t>
            </w:r>
          </w:p>
        </w:tc>
        <w:tc>
          <w:tcPr>
            <w:tcW w:w="2042" w:type="dxa"/>
          </w:tcPr>
          <w:p w14:paraId="17C40A96" w14:textId="77777777" w:rsidR="004B462D" w:rsidRDefault="004B462D" w:rsidP="002551C6">
            <w:pPr>
              <w:jc w:val="center"/>
              <w:rPr>
                <w:rFonts w:ascii="Arial" w:eastAsia="Calibri" w:hAnsi="Arial" w:cs="Arial"/>
                <w:b/>
                <w:u w:val="single"/>
              </w:rPr>
            </w:pPr>
          </w:p>
          <w:p w14:paraId="0B709DB3" w14:textId="77777777" w:rsidR="00B00569" w:rsidRDefault="00B00569" w:rsidP="002551C6">
            <w:pPr>
              <w:jc w:val="center"/>
              <w:rPr>
                <w:rFonts w:ascii="Arial" w:eastAsia="Calibri" w:hAnsi="Arial" w:cs="Arial"/>
                <w:b/>
                <w:u w:val="single"/>
              </w:rPr>
            </w:pPr>
          </w:p>
          <w:p w14:paraId="179A6636" w14:textId="77777777" w:rsidR="00B00569" w:rsidRDefault="00B00569" w:rsidP="002551C6">
            <w:pPr>
              <w:jc w:val="center"/>
              <w:rPr>
                <w:rFonts w:ascii="Arial" w:eastAsia="Calibri" w:hAnsi="Arial" w:cs="Arial"/>
                <w:b/>
                <w:u w:val="single"/>
              </w:rPr>
            </w:pPr>
          </w:p>
          <w:p w14:paraId="2A3F1D40" w14:textId="77777777" w:rsidR="00B00569" w:rsidRDefault="00B00569" w:rsidP="002551C6">
            <w:pPr>
              <w:jc w:val="center"/>
              <w:rPr>
                <w:rFonts w:ascii="Arial" w:eastAsia="Calibri" w:hAnsi="Arial" w:cs="Arial"/>
                <w:b/>
                <w:u w:val="single"/>
              </w:rPr>
            </w:pPr>
          </w:p>
          <w:p w14:paraId="2BD1EE9A" w14:textId="10CE7B0E" w:rsidR="00B00569" w:rsidRDefault="00B00569" w:rsidP="002551C6">
            <w:pPr>
              <w:jc w:val="center"/>
              <w:rPr>
                <w:rFonts w:ascii="Arial" w:eastAsia="Calibri" w:hAnsi="Arial" w:cs="Arial"/>
                <w:b/>
                <w:u w:val="single"/>
              </w:rPr>
            </w:pPr>
            <w:r>
              <w:rPr>
                <w:rFonts w:ascii="Arial" w:eastAsia="Calibri" w:hAnsi="Arial" w:cs="Arial"/>
                <w:b/>
                <w:u w:val="single"/>
              </w:rPr>
              <w:t>86.00%</w:t>
            </w:r>
          </w:p>
          <w:p w14:paraId="3F7A8F86" w14:textId="7F254A33" w:rsidR="00B00569" w:rsidRDefault="00B00569" w:rsidP="002551C6">
            <w:pPr>
              <w:jc w:val="center"/>
              <w:rPr>
                <w:rFonts w:ascii="Arial" w:eastAsia="Calibri" w:hAnsi="Arial" w:cs="Arial"/>
                <w:b/>
                <w:u w:val="single"/>
              </w:rPr>
            </w:pPr>
            <w:r>
              <w:rPr>
                <w:rFonts w:ascii="Arial" w:eastAsia="Calibri" w:hAnsi="Arial" w:cs="Arial"/>
                <w:b/>
                <w:u w:val="single"/>
              </w:rPr>
              <w:t>62.00%</w:t>
            </w:r>
          </w:p>
          <w:p w14:paraId="5DA5B813" w14:textId="77777777" w:rsidR="00B00569" w:rsidRDefault="00B00569" w:rsidP="002551C6">
            <w:pPr>
              <w:jc w:val="center"/>
              <w:rPr>
                <w:rFonts w:ascii="Arial" w:eastAsia="Calibri" w:hAnsi="Arial" w:cs="Arial"/>
                <w:b/>
                <w:u w:val="single"/>
              </w:rPr>
            </w:pPr>
          </w:p>
          <w:p w14:paraId="4C0D598B" w14:textId="1A336A61" w:rsidR="00B00569" w:rsidRDefault="00B00569" w:rsidP="002551C6">
            <w:pPr>
              <w:jc w:val="center"/>
              <w:rPr>
                <w:rFonts w:ascii="Arial" w:eastAsia="Calibri" w:hAnsi="Arial" w:cs="Arial"/>
                <w:b/>
                <w:u w:val="single"/>
              </w:rPr>
            </w:pPr>
            <w:r>
              <w:rPr>
                <w:rFonts w:ascii="Arial" w:eastAsia="Calibri" w:hAnsi="Arial" w:cs="Arial"/>
                <w:b/>
                <w:u w:val="single"/>
              </w:rPr>
              <w:t>80.00%</w:t>
            </w:r>
          </w:p>
        </w:tc>
      </w:tr>
      <w:tr w:rsidR="004B462D" w:rsidRPr="004B1294" w14:paraId="2B501109" w14:textId="77777777" w:rsidTr="00042E94">
        <w:tc>
          <w:tcPr>
            <w:tcW w:w="1550" w:type="dxa"/>
          </w:tcPr>
          <w:p w14:paraId="45BAAF5B" w14:textId="3113E97E" w:rsidR="004B462D" w:rsidRDefault="00E66DB0" w:rsidP="002551C6">
            <w:pPr>
              <w:jc w:val="center"/>
              <w:rPr>
                <w:rFonts w:ascii="Arial" w:hAnsi="Arial" w:cs="Arial"/>
                <w:b/>
              </w:rPr>
            </w:pPr>
            <w:r>
              <w:rPr>
                <w:rFonts w:ascii="Arial" w:hAnsi="Arial" w:cs="Arial"/>
                <w:b/>
              </w:rPr>
              <w:t>39</w:t>
            </w:r>
          </w:p>
        </w:tc>
        <w:tc>
          <w:tcPr>
            <w:tcW w:w="3255" w:type="dxa"/>
          </w:tcPr>
          <w:p w14:paraId="24439491" w14:textId="2FAD049E" w:rsidR="00E66DB0" w:rsidRPr="00E66DB0" w:rsidRDefault="00E66DB0" w:rsidP="00E66DB0">
            <w:pPr>
              <w:jc w:val="both"/>
              <w:rPr>
                <w:rFonts w:ascii="Arial" w:hAnsi="Arial" w:cs="Arial"/>
                <w:b/>
                <w:lang w:val="es-MX"/>
              </w:rPr>
            </w:pPr>
            <w:r w:rsidRPr="00E66DB0">
              <w:rPr>
                <w:rFonts w:ascii="Arial" w:hAnsi="Arial" w:cs="Arial"/>
                <w:b/>
                <w:lang w:val="es-MX"/>
              </w:rPr>
              <w:t>MINISTERIO DE IGUALDAD Y EQUIDAD.</w:t>
            </w:r>
          </w:p>
          <w:p w14:paraId="08065DCC" w14:textId="77777777" w:rsidR="004B462D" w:rsidRDefault="004B462D" w:rsidP="00AD023F">
            <w:pPr>
              <w:jc w:val="both"/>
              <w:rPr>
                <w:rFonts w:ascii="Arial" w:hAnsi="Arial" w:cs="Arial"/>
                <w:b/>
                <w:lang w:val="es-MX"/>
              </w:rPr>
            </w:pPr>
          </w:p>
          <w:p w14:paraId="5005AD48" w14:textId="77777777" w:rsidR="00E66DB0" w:rsidRDefault="00E66DB0" w:rsidP="00E66DB0">
            <w:pPr>
              <w:jc w:val="both"/>
              <w:rPr>
                <w:rFonts w:ascii="Arial" w:hAnsi="Arial" w:cs="Arial"/>
                <w:b/>
                <w:lang w:val="es-MX"/>
              </w:rPr>
            </w:pPr>
            <w:r>
              <w:rPr>
                <w:rFonts w:ascii="Arial" w:hAnsi="Arial" w:cs="Arial"/>
                <w:b/>
                <w:lang w:val="es-MX"/>
              </w:rPr>
              <w:t>FUNCIONAMIENTO</w:t>
            </w:r>
          </w:p>
          <w:p w14:paraId="04D58E88" w14:textId="77777777" w:rsidR="00E66DB0" w:rsidRDefault="00E66DB0" w:rsidP="00E66DB0">
            <w:pPr>
              <w:jc w:val="both"/>
              <w:rPr>
                <w:rFonts w:ascii="Arial" w:hAnsi="Arial" w:cs="Arial"/>
                <w:b/>
                <w:lang w:val="es-MX"/>
              </w:rPr>
            </w:pPr>
            <w:r>
              <w:rPr>
                <w:rFonts w:ascii="Arial" w:hAnsi="Arial" w:cs="Arial"/>
                <w:b/>
                <w:lang w:val="es-MX"/>
              </w:rPr>
              <w:t>INVERSIÓN</w:t>
            </w:r>
          </w:p>
          <w:p w14:paraId="0FC9B60D" w14:textId="77777777" w:rsidR="00E66DB0" w:rsidRDefault="00E66DB0" w:rsidP="00E66DB0">
            <w:pPr>
              <w:jc w:val="both"/>
              <w:rPr>
                <w:rFonts w:ascii="Arial" w:hAnsi="Arial" w:cs="Arial"/>
                <w:b/>
                <w:lang w:val="es-MX"/>
              </w:rPr>
            </w:pPr>
          </w:p>
          <w:p w14:paraId="25E61B97" w14:textId="4859BE81" w:rsidR="00E66DB0" w:rsidRPr="00AD023F" w:rsidRDefault="00E66DB0" w:rsidP="00E66DB0">
            <w:pPr>
              <w:jc w:val="both"/>
              <w:rPr>
                <w:rFonts w:ascii="Arial" w:hAnsi="Arial" w:cs="Arial"/>
                <w:b/>
                <w:lang w:val="es-MX"/>
              </w:rPr>
            </w:pPr>
            <w:r>
              <w:rPr>
                <w:rFonts w:ascii="Arial" w:hAnsi="Arial" w:cs="Arial"/>
                <w:b/>
                <w:lang w:val="es-MX"/>
              </w:rPr>
              <w:t>TOTAL PRESUPUESTO</w:t>
            </w:r>
          </w:p>
        </w:tc>
        <w:tc>
          <w:tcPr>
            <w:tcW w:w="1839" w:type="dxa"/>
          </w:tcPr>
          <w:p w14:paraId="0E4ED03B" w14:textId="77777777" w:rsidR="004B462D" w:rsidRDefault="004B462D" w:rsidP="002551C6">
            <w:pPr>
              <w:jc w:val="center"/>
              <w:rPr>
                <w:rFonts w:ascii="Arial" w:eastAsia="Calibri" w:hAnsi="Arial" w:cs="Arial"/>
                <w:b/>
                <w:u w:val="single"/>
              </w:rPr>
            </w:pPr>
          </w:p>
          <w:p w14:paraId="3FAE114B" w14:textId="77777777" w:rsidR="00E66DB0" w:rsidRDefault="00E66DB0" w:rsidP="002551C6">
            <w:pPr>
              <w:jc w:val="center"/>
              <w:rPr>
                <w:rFonts w:ascii="Arial" w:eastAsia="Calibri" w:hAnsi="Arial" w:cs="Arial"/>
                <w:b/>
                <w:u w:val="single"/>
              </w:rPr>
            </w:pPr>
          </w:p>
          <w:p w14:paraId="3456A0F4" w14:textId="77777777" w:rsidR="00E66DB0" w:rsidRDefault="00E66DB0" w:rsidP="002551C6">
            <w:pPr>
              <w:jc w:val="center"/>
              <w:rPr>
                <w:rFonts w:ascii="Arial" w:eastAsia="Calibri" w:hAnsi="Arial" w:cs="Arial"/>
                <w:b/>
                <w:u w:val="single"/>
              </w:rPr>
            </w:pPr>
          </w:p>
          <w:p w14:paraId="3B464123" w14:textId="47B9B9B2" w:rsidR="00E66DB0" w:rsidRDefault="00E66DB0" w:rsidP="002551C6">
            <w:pPr>
              <w:jc w:val="center"/>
              <w:rPr>
                <w:rFonts w:ascii="Arial" w:eastAsia="Calibri" w:hAnsi="Arial" w:cs="Arial"/>
                <w:b/>
                <w:u w:val="single"/>
              </w:rPr>
            </w:pPr>
            <w:r>
              <w:rPr>
                <w:rFonts w:ascii="Arial" w:eastAsia="Calibri" w:hAnsi="Arial" w:cs="Arial"/>
                <w:b/>
                <w:u w:val="single"/>
              </w:rPr>
              <w:t>99.33%</w:t>
            </w:r>
          </w:p>
          <w:p w14:paraId="04DB77BF" w14:textId="08F47F51" w:rsidR="00E66DB0" w:rsidRDefault="00E66DB0" w:rsidP="002551C6">
            <w:pPr>
              <w:jc w:val="center"/>
              <w:rPr>
                <w:rFonts w:ascii="Arial" w:eastAsia="Calibri" w:hAnsi="Arial" w:cs="Arial"/>
                <w:b/>
                <w:u w:val="single"/>
              </w:rPr>
            </w:pPr>
            <w:r>
              <w:rPr>
                <w:rFonts w:ascii="Arial" w:eastAsia="Calibri" w:hAnsi="Arial" w:cs="Arial"/>
                <w:b/>
                <w:u w:val="single"/>
              </w:rPr>
              <w:t>98.04%</w:t>
            </w:r>
          </w:p>
          <w:p w14:paraId="3E4B4925" w14:textId="77777777" w:rsidR="00E66DB0" w:rsidRDefault="00E66DB0" w:rsidP="002551C6">
            <w:pPr>
              <w:jc w:val="center"/>
              <w:rPr>
                <w:rFonts w:ascii="Arial" w:eastAsia="Calibri" w:hAnsi="Arial" w:cs="Arial"/>
                <w:b/>
                <w:u w:val="single"/>
              </w:rPr>
            </w:pPr>
          </w:p>
          <w:p w14:paraId="07BD280E" w14:textId="42CD9978" w:rsidR="00E66DB0" w:rsidRDefault="00E66DB0" w:rsidP="002551C6">
            <w:pPr>
              <w:jc w:val="center"/>
              <w:rPr>
                <w:rFonts w:ascii="Arial" w:eastAsia="Calibri" w:hAnsi="Arial" w:cs="Arial"/>
                <w:b/>
                <w:u w:val="single"/>
              </w:rPr>
            </w:pPr>
            <w:r>
              <w:rPr>
                <w:rFonts w:ascii="Arial" w:eastAsia="Calibri" w:hAnsi="Arial" w:cs="Arial"/>
                <w:b/>
                <w:u w:val="single"/>
              </w:rPr>
              <w:t>99.18%</w:t>
            </w:r>
          </w:p>
        </w:tc>
        <w:tc>
          <w:tcPr>
            <w:tcW w:w="1804" w:type="dxa"/>
          </w:tcPr>
          <w:p w14:paraId="1E41BACD" w14:textId="77777777" w:rsidR="004B462D" w:rsidRDefault="004B462D" w:rsidP="002551C6">
            <w:pPr>
              <w:jc w:val="center"/>
              <w:rPr>
                <w:rFonts w:ascii="Arial" w:eastAsia="Calibri" w:hAnsi="Arial" w:cs="Arial"/>
                <w:b/>
                <w:u w:val="single"/>
              </w:rPr>
            </w:pPr>
          </w:p>
          <w:p w14:paraId="7A10E195" w14:textId="77777777" w:rsidR="00E66DB0" w:rsidRDefault="00E66DB0" w:rsidP="002551C6">
            <w:pPr>
              <w:jc w:val="center"/>
              <w:rPr>
                <w:rFonts w:ascii="Arial" w:eastAsia="Calibri" w:hAnsi="Arial" w:cs="Arial"/>
                <w:b/>
                <w:u w:val="single"/>
              </w:rPr>
            </w:pPr>
          </w:p>
          <w:p w14:paraId="62E42EB1" w14:textId="77777777" w:rsidR="00E66DB0" w:rsidRDefault="00E66DB0" w:rsidP="002551C6">
            <w:pPr>
              <w:jc w:val="center"/>
              <w:rPr>
                <w:rFonts w:ascii="Arial" w:eastAsia="Calibri" w:hAnsi="Arial" w:cs="Arial"/>
                <w:b/>
                <w:u w:val="single"/>
              </w:rPr>
            </w:pPr>
          </w:p>
          <w:p w14:paraId="4036984C" w14:textId="3A1470B0" w:rsidR="00E66DB0" w:rsidRDefault="00E66DB0" w:rsidP="002551C6">
            <w:pPr>
              <w:jc w:val="center"/>
              <w:rPr>
                <w:rFonts w:ascii="Arial" w:eastAsia="Calibri" w:hAnsi="Arial" w:cs="Arial"/>
                <w:b/>
                <w:u w:val="single"/>
              </w:rPr>
            </w:pPr>
            <w:r>
              <w:rPr>
                <w:rFonts w:ascii="Arial" w:eastAsia="Calibri" w:hAnsi="Arial" w:cs="Arial"/>
                <w:b/>
                <w:u w:val="single"/>
              </w:rPr>
              <w:t>3.87%</w:t>
            </w:r>
          </w:p>
          <w:p w14:paraId="2F1AB6EA" w14:textId="0F3F9E08" w:rsidR="00E66DB0" w:rsidRDefault="00E66DB0" w:rsidP="002551C6">
            <w:pPr>
              <w:jc w:val="center"/>
              <w:rPr>
                <w:rFonts w:ascii="Arial" w:eastAsia="Calibri" w:hAnsi="Arial" w:cs="Arial"/>
                <w:b/>
                <w:u w:val="single"/>
              </w:rPr>
            </w:pPr>
            <w:r>
              <w:rPr>
                <w:rFonts w:ascii="Arial" w:eastAsia="Calibri" w:hAnsi="Arial" w:cs="Arial"/>
                <w:b/>
                <w:u w:val="single"/>
              </w:rPr>
              <w:t>13.15%</w:t>
            </w:r>
          </w:p>
          <w:p w14:paraId="136C63C1" w14:textId="77777777" w:rsidR="00E66DB0" w:rsidRDefault="00E66DB0" w:rsidP="002551C6">
            <w:pPr>
              <w:jc w:val="center"/>
              <w:rPr>
                <w:rFonts w:ascii="Arial" w:eastAsia="Calibri" w:hAnsi="Arial" w:cs="Arial"/>
                <w:b/>
                <w:u w:val="single"/>
              </w:rPr>
            </w:pPr>
          </w:p>
          <w:p w14:paraId="7EB65D66" w14:textId="5BB1EC55" w:rsidR="00E66DB0" w:rsidRDefault="00E66DB0" w:rsidP="002551C6">
            <w:pPr>
              <w:jc w:val="center"/>
              <w:rPr>
                <w:rFonts w:ascii="Arial" w:eastAsia="Calibri" w:hAnsi="Arial" w:cs="Arial"/>
                <w:b/>
                <w:u w:val="single"/>
              </w:rPr>
            </w:pPr>
            <w:r>
              <w:rPr>
                <w:rFonts w:ascii="Arial" w:eastAsia="Calibri" w:hAnsi="Arial" w:cs="Arial"/>
                <w:b/>
                <w:u w:val="single"/>
              </w:rPr>
              <w:t>4.96%</w:t>
            </w:r>
          </w:p>
        </w:tc>
        <w:tc>
          <w:tcPr>
            <w:tcW w:w="2042" w:type="dxa"/>
          </w:tcPr>
          <w:p w14:paraId="489FB571" w14:textId="77777777" w:rsidR="004B462D" w:rsidRDefault="004B462D" w:rsidP="002551C6">
            <w:pPr>
              <w:jc w:val="center"/>
              <w:rPr>
                <w:rFonts w:ascii="Arial" w:eastAsia="Calibri" w:hAnsi="Arial" w:cs="Arial"/>
                <w:b/>
                <w:u w:val="single"/>
              </w:rPr>
            </w:pPr>
          </w:p>
          <w:p w14:paraId="5A1E3CD8" w14:textId="77777777" w:rsidR="00E66DB0" w:rsidRDefault="00E66DB0" w:rsidP="002551C6">
            <w:pPr>
              <w:jc w:val="center"/>
              <w:rPr>
                <w:rFonts w:ascii="Arial" w:eastAsia="Calibri" w:hAnsi="Arial" w:cs="Arial"/>
                <w:b/>
                <w:u w:val="single"/>
              </w:rPr>
            </w:pPr>
          </w:p>
          <w:p w14:paraId="0991545B" w14:textId="77777777" w:rsidR="00E66DB0" w:rsidRDefault="00E66DB0" w:rsidP="002551C6">
            <w:pPr>
              <w:jc w:val="center"/>
              <w:rPr>
                <w:rFonts w:ascii="Arial" w:eastAsia="Calibri" w:hAnsi="Arial" w:cs="Arial"/>
                <w:b/>
                <w:u w:val="single"/>
              </w:rPr>
            </w:pPr>
          </w:p>
          <w:p w14:paraId="587875B7" w14:textId="3ABD1BFD" w:rsidR="00E66DB0" w:rsidRDefault="00E66DB0" w:rsidP="002551C6">
            <w:pPr>
              <w:jc w:val="center"/>
              <w:rPr>
                <w:rFonts w:ascii="Arial" w:eastAsia="Calibri" w:hAnsi="Arial" w:cs="Arial"/>
                <w:b/>
                <w:u w:val="single"/>
              </w:rPr>
            </w:pPr>
            <w:r>
              <w:rPr>
                <w:rFonts w:ascii="Arial" w:eastAsia="Calibri" w:hAnsi="Arial" w:cs="Arial"/>
                <w:b/>
                <w:u w:val="single"/>
              </w:rPr>
              <w:t>3.83%</w:t>
            </w:r>
          </w:p>
          <w:p w14:paraId="22BD2A58" w14:textId="4FF52E5C" w:rsidR="00E66DB0" w:rsidRDefault="00E66DB0" w:rsidP="002551C6">
            <w:pPr>
              <w:jc w:val="center"/>
              <w:rPr>
                <w:rFonts w:ascii="Arial" w:eastAsia="Calibri" w:hAnsi="Arial" w:cs="Arial"/>
                <w:b/>
                <w:u w:val="single"/>
              </w:rPr>
            </w:pPr>
            <w:r>
              <w:rPr>
                <w:rFonts w:ascii="Arial" w:eastAsia="Calibri" w:hAnsi="Arial" w:cs="Arial"/>
                <w:b/>
                <w:u w:val="single"/>
              </w:rPr>
              <w:t>13.15%</w:t>
            </w:r>
          </w:p>
          <w:p w14:paraId="10F5CA1F" w14:textId="77777777" w:rsidR="00E66DB0" w:rsidRDefault="00E66DB0" w:rsidP="002551C6">
            <w:pPr>
              <w:jc w:val="center"/>
              <w:rPr>
                <w:rFonts w:ascii="Arial" w:eastAsia="Calibri" w:hAnsi="Arial" w:cs="Arial"/>
                <w:b/>
                <w:u w:val="single"/>
              </w:rPr>
            </w:pPr>
          </w:p>
          <w:p w14:paraId="352A1ABA" w14:textId="6E41FF3F" w:rsidR="00E66DB0" w:rsidRDefault="00E66DB0" w:rsidP="002551C6">
            <w:pPr>
              <w:jc w:val="center"/>
              <w:rPr>
                <w:rFonts w:ascii="Arial" w:eastAsia="Calibri" w:hAnsi="Arial" w:cs="Arial"/>
                <w:b/>
                <w:u w:val="single"/>
              </w:rPr>
            </w:pPr>
            <w:r>
              <w:rPr>
                <w:rFonts w:ascii="Arial" w:eastAsia="Calibri" w:hAnsi="Arial" w:cs="Arial"/>
                <w:b/>
                <w:u w:val="single"/>
              </w:rPr>
              <w:t>4.93%</w:t>
            </w:r>
          </w:p>
        </w:tc>
      </w:tr>
      <w:tr w:rsidR="004B462D" w:rsidRPr="004B1294" w14:paraId="0F43F3BE" w14:textId="77777777" w:rsidTr="00042E94">
        <w:tc>
          <w:tcPr>
            <w:tcW w:w="1550" w:type="dxa"/>
          </w:tcPr>
          <w:p w14:paraId="06F43F01" w14:textId="1E9C3174" w:rsidR="004B462D" w:rsidRDefault="004A7A33" w:rsidP="002551C6">
            <w:pPr>
              <w:jc w:val="center"/>
              <w:rPr>
                <w:rFonts w:ascii="Arial" w:hAnsi="Arial" w:cs="Arial"/>
                <w:b/>
              </w:rPr>
            </w:pPr>
            <w:r>
              <w:rPr>
                <w:rFonts w:ascii="Arial" w:hAnsi="Arial" w:cs="Arial"/>
                <w:b/>
              </w:rPr>
              <w:t>40</w:t>
            </w:r>
          </w:p>
        </w:tc>
        <w:tc>
          <w:tcPr>
            <w:tcW w:w="3255" w:type="dxa"/>
          </w:tcPr>
          <w:p w14:paraId="536BEB59" w14:textId="21E95882" w:rsidR="004A7A33" w:rsidRPr="004A7A33" w:rsidRDefault="004A7A33" w:rsidP="004A7A33">
            <w:pPr>
              <w:jc w:val="both"/>
              <w:rPr>
                <w:rFonts w:ascii="Arial" w:hAnsi="Arial" w:cs="Arial"/>
                <w:b/>
                <w:lang w:val="es-MX"/>
              </w:rPr>
            </w:pPr>
            <w:r w:rsidRPr="004A7A33">
              <w:rPr>
                <w:rFonts w:ascii="Arial" w:hAnsi="Arial" w:cs="Arial"/>
                <w:b/>
                <w:lang w:val="es-MX"/>
              </w:rPr>
              <w:t>MINISTERIO DE TRANSPORTE.</w:t>
            </w:r>
          </w:p>
          <w:p w14:paraId="0CAE9DD3" w14:textId="77777777" w:rsidR="004B462D" w:rsidRDefault="004B462D" w:rsidP="00AD023F">
            <w:pPr>
              <w:jc w:val="both"/>
              <w:rPr>
                <w:rFonts w:ascii="Arial" w:hAnsi="Arial" w:cs="Arial"/>
                <w:b/>
                <w:lang w:val="es-MX"/>
              </w:rPr>
            </w:pPr>
          </w:p>
          <w:p w14:paraId="0CC468D5" w14:textId="77777777" w:rsidR="004A7A33" w:rsidRDefault="004A7A33" w:rsidP="004A7A33">
            <w:pPr>
              <w:jc w:val="both"/>
              <w:rPr>
                <w:rFonts w:ascii="Arial" w:hAnsi="Arial" w:cs="Arial"/>
                <w:b/>
                <w:lang w:val="es-MX"/>
              </w:rPr>
            </w:pPr>
            <w:r>
              <w:rPr>
                <w:rFonts w:ascii="Arial" w:hAnsi="Arial" w:cs="Arial"/>
                <w:b/>
                <w:lang w:val="es-MX"/>
              </w:rPr>
              <w:t>FUNCIONAMIENTO</w:t>
            </w:r>
          </w:p>
          <w:p w14:paraId="65F6790F" w14:textId="77777777" w:rsidR="004A7A33" w:rsidRDefault="004A7A33" w:rsidP="004A7A33">
            <w:pPr>
              <w:jc w:val="both"/>
              <w:rPr>
                <w:rFonts w:ascii="Arial" w:hAnsi="Arial" w:cs="Arial"/>
                <w:b/>
                <w:lang w:val="es-MX"/>
              </w:rPr>
            </w:pPr>
            <w:r>
              <w:rPr>
                <w:rFonts w:ascii="Arial" w:hAnsi="Arial" w:cs="Arial"/>
                <w:b/>
                <w:lang w:val="es-MX"/>
              </w:rPr>
              <w:t>INVERSIÓN</w:t>
            </w:r>
          </w:p>
          <w:p w14:paraId="3B8F31CE" w14:textId="77777777" w:rsidR="004A7A33" w:rsidRDefault="004A7A33" w:rsidP="004A7A33">
            <w:pPr>
              <w:jc w:val="both"/>
              <w:rPr>
                <w:rFonts w:ascii="Arial" w:hAnsi="Arial" w:cs="Arial"/>
                <w:b/>
                <w:lang w:val="es-MX"/>
              </w:rPr>
            </w:pPr>
          </w:p>
          <w:p w14:paraId="6321C920" w14:textId="7F768140" w:rsidR="004A7A33" w:rsidRPr="00AD023F" w:rsidRDefault="004A7A33" w:rsidP="004A7A33">
            <w:pPr>
              <w:jc w:val="both"/>
              <w:rPr>
                <w:rFonts w:ascii="Arial" w:hAnsi="Arial" w:cs="Arial"/>
                <w:b/>
                <w:lang w:val="es-MX"/>
              </w:rPr>
            </w:pPr>
            <w:r>
              <w:rPr>
                <w:rFonts w:ascii="Arial" w:hAnsi="Arial" w:cs="Arial"/>
                <w:b/>
                <w:lang w:val="es-MX"/>
              </w:rPr>
              <w:t>TOTAL PRESUPUESTO</w:t>
            </w:r>
          </w:p>
        </w:tc>
        <w:tc>
          <w:tcPr>
            <w:tcW w:w="1839" w:type="dxa"/>
          </w:tcPr>
          <w:p w14:paraId="1D6CD33C" w14:textId="77777777" w:rsidR="004B462D" w:rsidRDefault="004B462D" w:rsidP="002551C6">
            <w:pPr>
              <w:jc w:val="center"/>
              <w:rPr>
                <w:rFonts w:ascii="Arial" w:eastAsia="Calibri" w:hAnsi="Arial" w:cs="Arial"/>
                <w:b/>
                <w:u w:val="single"/>
              </w:rPr>
            </w:pPr>
          </w:p>
          <w:p w14:paraId="0B34E172" w14:textId="77777777" w:rsidR="004A7A33" w:rsidRDefault="004A7A33" w:rsidP="002551C6">
            <w:pPr>
              <w:jc w:val="center"/>
              <w:rPr>
                <w:rFonts w:ascii="Arial" w:eastAsia="Calibri" w:hAnsi="Arial" w:cs="Arial"/>
                <w:b/>
                <w:u w:val="single"/>
              </w:rPr>
            </w:pPr>
          </w:p>
          <w:p w14:paraId="178E7F47" w14:textId="6086B4E6" w:rsidR="004A7A33" w:rsidRDefault="004A7A33" w:rsidP="002551C6">
            <w:pPr>
              <w:jc w:val="center"/>
              <w:rPr>
                <w:rFonts w:ascii="Arial" w:eastAsia="Calibri" w:hAnsi="Arial" w:cs="Arial"/>
                <w:b/>
                <w:u w:val="single"/>
              </w:rPr>
            </w:pPr>
            <w:r>
              <w:rPr>
                <w:rFonts w:ascii="Arial" w:eastAsia="Calibri" w:hAnsi="Arial" w:cs="Arial"/>
                <w:b/>
                <w:u w:val="single"/>
              </w:rPr>
              <w:t>99.00%</w:t>
            </w:r>
          </w:p>
          <w:p w14:paraId="5E1D6F5B" w14:textId="55374302" w:rsidR="004A7A33" w:rsidRDefault="004A7A33" w:rsidP="002551C6">
            <w:pPr>
              <w:jc w:val="center"/>
              <w:rPr>
                <w:rFonts w:ascii="Arial" w:eastAsia="Calibri" w:hAnsi="Arial" w:cs="Arial"/>
                <w:b/>
                <w:u w:val="single"/>
              </w:rPr>
            </w:pPr>
            <w:r>
              <w:rPr>
                <w:rFonts w:ascii="Arial" w:eastAsia="Calibri" w:hAnsi="Arial" w:cs="Arial"/>
                <w:b/>
                <w:u w:val="single"/>
              </w:rPr>
              <w:t>98.00%</w:t>
            </w:r>
          </w:p>
          <w:p w14:paraId="565918CA" w14:textId="77777777" w:rsidR="004A7A33" w:rsidRDefault="004A7A33" w:rsidP="002551C6">
            <w:pPr>
              <w:jc w:val="center"/>
              <w:rPr>
                <w:rFonts w:ascii="Arial" w:eastAsia="Calibri" w:hAnsi="Arial" w:cs="Arial"/>
                <w:b/>
                <w:u w:val="single"/>
              </w:rPr>
            </w:pPr>
          </w:p>
          <w:p w14:paraId="222DC092" w14:textId="55044760" w:rsidR="004A7A33" w:rsidRDefault="004A7A33" w:rsidP="002551C6">
            <w:pPr>
              <w:jc w:val="center"/>
              <w:rPr>
                <w:rFonts w:ascii="Arial" w:eastAsia="Calibri" w:hAnsi="Arial" w:cs="Arial"/>
                <w:b/>
                <w:u w:val="single"/>
              </w:rPr>
            </w:pPr>
            <w:r>
              <w:rPr>
                <w:rFonts w:ascii="Arial" w:eastAsia="Calibri" w:hAnsi="Arial" w:cs="Arial"/>
                <w:b/>
                <w:u w:val="single"/>
              </w:rPr>
              <w:t>99.00%</w:t>
            </w:r>
          </w:p>
        </w:tc>
        <w:tc>
          <w:tcPr>
            <w:tcW w:w="1804" w:type="dxa"/>
          </w:tcPr>
          <w:p w14:paraId="5E35D2A6" w14:textId="77777777" w:rsidR="004B462D" w:rsidRDefault="004B462D" w:rsidP="002551C6">
            <w:pPr>
              <w:jc w:val="center"/>
              <w:rPr>
                <w:rFonts w:ascii="Arial" w:eastAsia="Calibri" w:hAnsi="Arial" w:cs="Arial"/>
                <w:b/>
                <w:u w:val="single"/>
              </w:rPr>
            </w:pPr>
          </w:p>
          <w:p w14:paraId="7671F14C" w14:textId="77777777" w:rsidR="004A7A33" w:rsidRDefault="004A7A33" w:rsidP="002551C6">
            <w:pPr>
              <w:jc w:val="center"/>
              <w:rPr>
                <w:rFonts w:ascii="Arial" w:eastAsia="Calibri" w:hAnsi="Arial" w:cs="Arial"/>
                <w:b/>
                <w:u w:val="single"/>
              </w:rPr>
            </w:pPr>
          </w:p>
          <w:p w14:paraId="7C994A46" w14:textId="7F733C4E" w:rsidR="004A7A33" w:rsidRDefault="004A7A33" w:rsidP="002551C6">
            <w:pPr>
              <w:jc w:val="center"/>
              <w:rPr>
                <w:rFonts w:ascii="Arial" w:eastAsia="Calibri" w:hAnsi="Arial" w:cs="Arial"/>
                <w:b/>
                <w:u w:val="single"/>
              </w:rPr>
            </w:pPr>
            <w:r>
              <w:rPr>
                <w:rFonts w:ascii="Arial" w:eastAsia="Calibri" w:hAnsi="Arial" w:cs="Arial"/>
                <w:b/>
                <w:u w:val="single"/>
              </w:rPr>
              <w:t>64.00%</w:t>
            </w:r>
          </w:p>
          <w:p w14:paraId="268EAC49" w14:textId="3676A73F" w:rsidR="004A7A33" w:rsidRDefault="004A7A33" w:rsidP="002551C6">
            <w:pPr>
              <w:jc w:val="center"/>
              <w:rPr>
                <w:rFonts w:ascii="Arial" w:eastAsia="Calibri" w:hAnsi="Arial" w:cs="Arial"/>
                <w:b/>
                <w:u w:val="single"/>
              </w:rPr>
            </w:pPr>
            <w:r>
              <w:rPr>
                <w:rFonts w:ascii="Arial" w:eastAsia="Calibri" w:hAnsi="Arial" w:cs="Arial"/>
                <w:b/>
                <w:u w:val="single"/>
              </w:rPr>
              <w:t>81.00%</w:t>
            </w:r>
          </w:p>
          <w:p w14:paraId="6740C5AC" w14:textId="77777777" w:rsidR="004A7A33" w:rsidRDefault="004A7A33" w:rsidP="002551C6">
            <w:pPr>
              <w:jc w:val="center"/>
              <w:rPr>
                <w:rFonts w:ascii="Arial" w:eastAsia="Calibri" w:hAnsi="Arial" w:cs="Arial"/>
                <w:b/>
                <w:u w:val="single"/>
              </w:rPr>
            </w:pPr>
          </w:p>
          <w:p w14:paraId="504162C0" w14:textId="41DFA7EF" w:rsidR="004A7A33" w:rsidRDefault="004A7A33" w:rsidP="002551C6">
            <w:pPr>
              <w:jc w:val="center"/>
              <w:rPr>
                <w:rFonts w:ascii="Arial" w:eastAsia="Calibri" w:hAnsi="Arial" w:cs="Arial"/>
                <w:b/>
                <w:u w:val="single"/>
              </w:rPr>
            </w:pPr>
            <w:r>
              <w:rPr>
                <w:rFonts w:ascii="Arial" w:eastAsia="Calibri" w:hAnsi="Arial" w:cs="Arial"/>
                <w:b/>
                <w:u w:val="single"/>
              </w:rPr>
              <w:t>71.00%</w:t>
            </w:r>
          </w:p>
        </w:tc>
        <w:tc>
          <w:tcPr>
            <w:tcW w:w="2042" w:type="dxa"/>
          </w:tcPr>
          <w:p w14:paraId="165D3E97" w14:textId="77777777" w:rsidR="004B462D" w:rsidRDefault="004B462D" w:rsidP="002551C6">
            <w:pPr>
              <w:jc w:val="center"/>
              <w:rPr>
                <w:rFonts w:ascii="Arial" w:eastAsia="Calibri" w:hAnsi="Arial" w:cs="Arial"/>
                <w:b/>
                <w:u w:val="single"/>
              </w:rPr>
            </w:pPr>
          </w:p>
          <w:p w14:paraId="5CECE5DA" w14:textId="77777777" w:rsidR="004A7A33" w:rsidRDefault="004A7A33" w:rsidP="002551C6">
            <w:pPr>
              <w:jc w:val="center"/>
              <w:rPr>
                <w:rFonts w:ascii="Arial" w:eastAsia="Calibri" w:hAnsi="Arial" w:cs="Arial"/>
                <w:b/>
                <w:u w:val="single"/>
              </w:rPr>
            </w:pPr>
          </w:p>
          <w:p w14:paraId="74A80EF2" w14:textId="40416160" w:rsidR="004A7A33" w:rsidRDefault="004A7A33" w:rsidP="002551C6">
            <w:pPr>
              <w:jc w:val="center"/>
              <w:rPr>
                <w:rFonts w:ascii="Arial" w:eastAsia="Calibri" w:hAnsi="Arial" w:cs="Arial"/>
                <w:b/>
                <w:u w:val="single"/>
              </w:rPr>
            </w:pPr>
            <w:r>
              <w:rPr>
                <w:rFonts w:ascii="Arial" w:eastAsia="Calibri" w:hAnsi="Arial" w:cs="Arial"/>
                <w:b/>
                <w:u w:val="single"/>
              </w:rPr>
              <w:t>64.00%</w:t>
            </w:r>
          </w:p>
          <w:p w14:paraId="64DFCAAE" w14:textId="77B9DE9D" w:rsidR="004A7A33" w:rsidRDefault="004A7A33" w:rsidP="002551C6">
            <w:pPr>
              <w:jc w:val="center"/>
              <w:rPr>
                <w:rFonts w:ascii="Arial" w:eastAsia="Calibri" w:hAnsi="Arial" w:cs="Arial"/>
                <w:b/>
                <w:u w:val="single"/>
              </w:rPr>
            </w:pPr>
            <w:r>
              <w:rPr>
                <w:rFonts w:ascii="Arial" w:eastAsia="Calibri" w:hAnsi="Arial" w:cs="Arial"/>
                <w:b/>
                <w:u w:val="single"/>
              </w:rPr>
              <w:t>80.00%</w:t>
            </w:r>
          </w:p>
          <w:p w14:paraId="645D532E" w14:textId="77777777" w:rsidR="004A7A33" w:rsidRDefault="004A7A33" w:rsidP="002551C6">
            <w:pPr>
              <w:jc w:val="center"/>
              <w:rPr>
                <w:rFonts w:ascii="Arial" w:eastAsia="Calibri" w:hAnsi="Arial" w:cs="Arial"/>
                <w:b/>
                <w:u w:val="single"/>
              </w:rPr>
            </w:pPr>
          </w:p>
          <w:p w14:paraId="7776450D" w14:textId="64346EAF" w:rsidR="004A7A33" w:rsidRDefault="004A7A33" w:rsidP="002551C6">
            <w:pPr>
              <w:jc w:val="center"/>
              <w:rPr>
                <w:rFonts w:ascii="Arial" w:eastAsia="Calibri" w:hAnsi="Arial" w:cs="Arial"/>
                <w:b/>
                <w:u w:val="single"/>
              </w:rPr>
            </w:pPr>
            <w:r>
              <w:rPr>
                <w:rFonts w:ascii="Arial" w:eastAsia="Calibri" w:hAnsi="Arial" w:cs="Arial"/>
                <w:b/>
                <w:u w:val="single"/>
              </w:rPr>
              <w:t>70.00%</w:t>
            </w:r>
          </w:p>
        </w:tc>
      </w:tr>
      <w:tr w:rsidR="004B462D" w:rsidRPr="004B1294" w14:paraId="7565E814" w14:textId="77777777" w:rsidTr="00042E94">
        <w:tc>
          <w:tcPr>
            <w:tcW w:w="1550" w:type="dxa"/>
          </w:tcPr>
          <w:p w14:paraId="41AD1BEF" w14:textId="49A34AEF" w:rsidR="004B462D" w:rsidRDefault="00706F89" w:rsidP="002551C6">
            <w:pPr>
              <w:jc w:val="center"/>
              <w:rPr>
                <w:rFonts w:ascii="Arial" w:hAnsi="Arial" w:cs="Arial"/>
                <w:b/>
              </w:rPr>
            </w:pPr>
            <w:r>
              <w:rPr>
                <w:rFonts w:ascii="Arial" w:hAnsi="Arial" w:cs="Arial"/>
                <w:b/>
              </w:rPr>
              <w:t>42</w:t>
            </w:r>
          </w:p>
        </w:tc>
        <w:tc>
          <w:tcPr>
            <w:tcW w:w="3255" w:type="dxa"/>
          </w:tcPr>
          <w:p w14:paraId="06DF3174" w14:textId="3F2CFE2F" w:rsidR="00706F89" w:rsidRDefault="00706F89" w:rsidP="00706F89">
            <w:pPr>
              <w:ind w:left="39"/>
              <w:jc w:val="both"/>
              <w:rPr>
                <w:rFonts w:ascii="Arial" w:hAnsi="Arial" w:cs="Arial"/>
                <w:b/>
              </w:rPr>
            </w:pPr>
            <w:r w:rsidRPr="00706F89">
              <w:rPr>
                <w:rFonts w:ascii="Arial" w:hAnsi="Arial" w:cs="Arial"/>
                <w:b/>
              </w:rPr>
              <w:t>MINISTERIO DE AMBIENTE Y DESARROLLO SOSTENIBLE.</w:t>
            </w:r>
          </w:p>
          <w:p w14:paraId="2626F66F" w14:textId="77777777" w:rsidR="00706F89" w:rsidRDefault="00706F89" w:rsidP="00706F89">
            <w:pPr>
              <w:jc w:val="both"/>
              <w:rPr>
                <w:rFonts w:ascii="Arial" w:hAnsi="Arial" w:cs="Arial"/>
                <w:b/>
                <w:lang w:val="es-MX"/>
              </w:rPr>
            </w:pPr>
            <w:r>
              <w:rPr>
                <w:rFonts w:ascii="Arial" w:hAnsi="Arial" w:cs="Arial"/>
                <w:b/>
                <w:lang w:val="es-MX"/>
              </w:rPr>
              <w:t>FUNCIONAMIENTO</w:t>
            </w:r>
          </w:p>
          <w:p w14:paraId="3FC8CA94" w14:textId="77777777" w:rsidR="00706F89" w:rsidRDefault="00706F89" w:rsidP="00706F89">
            <w:pPr>
              <w:jc w:val="both"/>
              <w:rPr>
                <w:rFonts w:ascii="Arial" w:hAnsi="Arial" w:cs="Arial"/>
                <w:b/>
                <w:lang w:val="es-MX"/>
              </w:rPr>
            </w:pPr>
            <w:r>
              <w:rPr>
                <w:rFonts w:ascii="Arial" w:hAnsi="Arial" w:cs="Arial"/>
                <w:b/>
                <w:lang w:val="es-MX"/>
              </w:rPr>
              <w:t>INVERSIÓN</w:t>
            </w:r>
          </w:p>
          <w:p w14:paraId="151069D5" w14:textId="77777777" w:rsidR="00706F89" w:rsidRDefault="00706F89" w:rsidP="00706F89">
            <w:pPr>
              <w:jc w:val="both"/>
              <w:rPr>
                <w:rFonts w:ascii="Arial" w:hAnsi="Arial" w:cs="Arial"/>
                <w:b/>
                <w:lang w:val="es-MX"/>
              </w:rPr>
            </w:pPr>
          </w:p>
          <w:p w14:paraId="29157B9D" w14:textId="1A27243F" w:rsidR="004B462D" w:rsidRPr="00706F89" w:rsidRDefault="00706F89" w:rsidP="00AD023F">
            <w:pPr>
              <w:jc w:val="both"/>
              <w:rPr>
                <w:rFonts w:ascii="Arial" w:hAnsi="Arial" w:cs="Arial"/>
                <w:b/>
              </w:rPr>
            </w:pPr>
            <w:r>
              <w:rPr>
                <w:rFonts w:ascii="Arial" w:hAnsi="Arial" w:cs="Arial"/>
                <w:b/>
                <w:lang w:val="es-MX"/>
              </w:rPr>
              <w:t>TOTAL PRESUPUESTO</w:t>
            </w:r>
          </w:p>
        </w:tc>
        <w:tc>
          <w:tcPr>
            <w:tcW w:w="1839" w:type="dxa"/>
          </w:tcPr>
          <w:p w14:paraId="09FA695A" w14:textId="77777777" w:rsidR="004B462D" w:rsidRDefault="004B462D" w:rsidP="002551C6">
            <w:pPr>
              <w:jc w:val="center"/>
              <w:rPr>
                <w:rFonts w:ascii="Arial" w:eastAsia="Calibri" w:hAnsi="Arial" w:cs="Arial"/>
                <w:b/>
                <w:u w:val="single"/>
              </w:rPr>
            </w:pPr>
          </w:p>
          <w:p w14:paraId="630088D8" w14:textId="77777777" w:rsidR="00706F89" w:rsidRDefault="00706F89" w:rsidP="002551C6">
            <w:pPr>
              <w:jc w:val="center"/>
              <w:rPr>
                <w:rFonts w:ascii="Arial" w:eastAsia="Calibri" w:hAnsi="Arial" w:cs="Arial"/>
                <w:b/>
                <w:u w:val="single"/>
              </w:rPr>
            </w:pPr>
          </w:p>
          <w:p w14:paraId="4B71A84C" w14:textId="4ACA4549" w:rsidR="00706F89" w:rsidRDefault="00105AA2" w:rsidP="002551C6">
            <w:pPr>
              <w:jc w:val="center"/>
              <w:rPr>
                <w:rFonts w:ascii="Arial" w:eastAsia="Calibri" w:hAnsi="Arial" w:cs="Arial"/>
                <w:b/>
                <w:u w:val="single"/>
              </w:rPr>
            </w:pPr>
            <w:r>
              <w:rPr>
                <w:rFonts w:ascii="Arial" w:eastAsia="Calibri" w:hAnsi="Arial" w:cs="Arial"/>
                <w:b/>
                <w:u w:val="single"/>
              </w:rPr>
              <w:t>98.94%</w:t>
            </w:r>
          </w:p>
          <w:p w14:paraId="0B3EC76F" w14:textId="4FE558C9" w:rsidR="00706F89" w:rsidRDefault="00105AA2" w:rsidP="002551C6">
            <w:pPr>
              <w:jc w:val="center"/>
              <w:rPr>
                <w:rFonts w:ascii="Arial" w:eastAsia="Calibri" w:hAnsi="Arial" w:cs="Arial"/>
                <w:b/>
                <w:u w:val="single"/>
              </w:rPr>
            </w:pPr>
            <w:r>
              <w:rPr>
                <w:rFonts w:ascii="Arial" w:eastAsia="Calibri" w:hAnsi="Arial" w:cs="Arial"/>
                <w:b/>
                <w:u w:val="single"/>
              </w:rPr>
              <w:t>99.92%</w:t>
            </w:r>
          </w:p>
          <w:p w14:paraId="74E332F0" w14:textId="77777777" w:rsidR="00706F89" w:rsidRDefault="00706F89" w:rsidP="002551C6">
            <w:pPr>
              <w:jc w:val="center"/>
              <w:rPr>
                <w:rFonts w:ascii="Arial" w:eastAsia="Calibri" w:hAnsi="Arial" w:cs="Arial"/>
                <w:b/>
                <w:u w:val="single"/>
              </w:rPr>
            </w:pPr>
          </w:p>
          <w:p w14:paraId="3833FD11" w14:textId="6EF37AFA" w:rsidR="00706F89" w:rsidRDefault="00105AA2" w:rsidP="002551C6">
            <w:pPr>
              <w:jc w:val="center"/>
              <w:rPr>
                <w:rFonts w:ascii="Arial" w:eastAsia="Calibri" w:hAnsi="Arial" w:cs="Arial"/>
                <w:b/>
                <w:u w:val="single"/>
              </w:rPr>
            </w:pPr>
            <w:r>
              <w:rPr>
                <w:rFonts w:ascii="Arial" w:eastAsia="Calibri" w:hAnsi="Arial" w:cs="Arial"/>
                <w:b/>
                <w:u w:val="single"/>
              </w:rPr>
              <w:t>99.79%</w:t>
            </w:r>
          </w:p>
        </w:tc>
        <w:tc>
          <w:tcPr>
            <w:tcW w:w="1804" w:type="dxa"/>
          </w:tcPr>
          <w:p w14:paraId="0CCB50D3" w14:textId="77777777" w:rsidR="004B462D" w:rsidRDefault="004B462D" w:rsidP="002551C6">
            <w:pPr>
              <w:jc w:val="center"/>
              <w:rPr>
                <w:rFonts w:ascii="Arial" w:eastAsia="Calibri" w:hAnsi="Arial" w:cs="Arial"/>
                <w:b/>
                <w:u w:val="single"/>
              </w:rPr>
            </w:pPr>
          </w:p>
          <w:p w14:paraId="61F59595" w14:textId="77777777" w:rsidR="00706F89" w:rsidRDefault="00706F89" w:rsidP="002551C6">
            <w:pPr>
              <w:jc w:val="center"/>
              <w:rPr>
                <w:rFonts w:ascii="Arial" w:eastAsia="Calibri" w:hAnsi="Arial" w:cs="Arial"/>
                <w:b/>
                <w:u w:val="single"/>
              </w:rPr>
            </w:pPr>
          </w:p>
          <w:p w14:paraId="1870D89B" w14:textId="0B4FF1ED" w:rsidR="00706F89" w:rsidRDefault="00105AA2" w:rsidP="002551C6">
            <w:pPr>
              <w:jc w:val="center"/>
              <w:rPr>
                <w:rFonts w:ascii="Arial" w:eastAsia="Calibri" w:hAnsi="Arial" w:cs="Arial"/>
                <w:b/>
                <w:u w:val="single"/>
              </w:rPr>
            </w:pPr>
            <w:r>
              <w:rPr>
                <w:rFonts w:ascii="Arial" w:eastAsia="Calibri" w:hAnsi="Arial" w:cs="Arial"/>
                <w:b/>
                <w:u w:val="single"/>
              </w:rPr>
              <w:t>98.47%</w:t>
            </w:r>
          </w:p>
          <w:p w14:paraId="77630010" w14:textId="778801F0" w:rsidR="00706F89" w:rsidRDefault="00105AA2" w:rsidP="002551C6">
            <w:pPr>
              <w:jc w:val="center"/>
              <w:rPr>
                <w:rFonts w:ascii="Arial" w:eastAsia="Calibri" w:hAnsi="Arial" w:cs="Arial"/>
                <w:b/>
                <w:u w:val="single"/>
              </w:rPr>
            </w:pPr>
            <w:r>
              <w:rPr>
                <w:rFonts w:ascii="Arial" w:eastAsia="Calibri" w:hAnsi="Arial" w:cs="Arial"/>
                <w:b/>
                <w:u w:val="single"/>
              </w:rPr>
              <w:t>22.09%</w:t>
            </w:r>
          </w:p>
          <w:p w14:paraId="0CDAB553" w14:textId="77777777" w:rsidR="00706F89" w:rsidRDefault="00706F89" w:rsidP="002551C6">
            <w:pPr>
              <w:jc w:val="center"/>
              <w:rPr>
                <w:rFonts w:ascii="Arial" w:eastAsia="Calibri" w:hAnsi="Arial" w:cs="Arial"/>
                <w:b/>
                <w:u w:val="single"/>
              </w:rPr>
            </w:pPr>
          </w:p>
          <w:p w14:paraId="3D805682" w14:textId="3602E288" w:rsidR="00706F89" w:rsidRDefault="00105AA2" w:rsidP="002551C6">
            <w:pPr>
              <w:jc w:val="center"/>
              <w:rPr>
                <w:rFonts w:ascii="Arial" w:eastAsia="Calibri" w:hAnsi="Arial" w:cs="Arial"/>
                <w:b/>
                <w:u w:val="single"/>
              </w:rPr>
            </w:pPr>
            <w:r>
              <w:rPr>
                <w:rFonts w:ascii="Arial" w:eastAsia="Calibri" w:hAnsi="Arial" w:cs="Arial"/>
                <w:b/>
                <w:u w:val="single"/>
              </w:rPr>
              <w:t>32.55%</w:t>
            </w:r>
          </w:p>
        </w:tc>
        <w:tc>
          <w:tcPr>
            <w:tcW w:w="2042" w:type="dxa"/>
          </w:tcPr>
          <w:p w14:paraId="488429A7" w14:textId="77777777" w:rsidR="004B462D" w:rsidRDefault="004B462D" w:rsidP="002551C6">
            <w:pPr>
              <w:jc w:val="center"/>
              <w:rPr>
                <w:rFonts w:ascii="Arial" w:eastAsia="Calibri" w:hAnsi="Arial" w:cs="Arial"/>
                <w:b/>
                <w:u w:val="single"/>
              </w:rPr>
            </w:pPr>
          </w:p>
          <w:p w14:paraId="2F880545" w14:textId="77777777" w:rsidR="00706F89" w:rsidRDefault="00706F89" w:rsidP="002551C6">
            <w:pPr>
              <w:jc w:val="center"/>
              <w:rPr>
                <w:rFonts w:ascii="Arial" w:eastAsia="Calibri" w:hAnsi="Arial" w:cs="Arial"/>
                <w:b/>
                <w:u w:val="single"/>
              </w:rPr>
            </w:pPr>
          </w:p>
          <w:p w14:paraId="5CDCCB95" w14:textId="1EBFA15E" w:rsidR="00706F89" w:rsidRDefault="00105AA2" w:rsidP="002551C6">
            <w:pPr>
              <w:jc w:val="center"/>
              <w:rPr>
                <w:rFonts w:ascii="Arial" w:eastAsia="Calibri" w:hAnsi="Arial" w:cs="Arial"/>
                <w:b/>
                <w:u w:val="single"/>
              </w:rPr>
            </w:pPr>
            <w:r>
              <w:rPr>
                <w:rFonts w:ascii="Arial" w:eastAsia="Calibri" w:hAnsi="Arial" w:cs="Arial"/>
                <w:b/>
                <w:u w:val="single"/>
              </w:rPr>
              <w:t>97.01%</w:t>
            </w:r>
          </w:p>
          <w:p w14:paraId="0F1B60B1" w14:textId="673ECE1E" w:rsidR="00706F89" w:rsidRDefault="00105AA2" w:rsidP="002551C6">
            <w:pPr>
              <w:jc w:val="center"/>
              <w:rPr>
                <w:rFonts w:ascii="Arial" w:eastAsia="Calibri" w:hAnsi="Arial" w:cs="Arial"/>
                <w:b/>
                <w:u w:val="single"/>
              </w:rPr>
            </w:pPr>
            <w:r>
              <w:rPr>
                <w:rFonts w:ascii="Arial" w:eastAsia="Calibri" w:hAnsi="Arial" w:cs="Arial"/>
                <w:b/>
                <w:u w:val="single"/>
              </w:rPr>
              <w:t>22.07%</w:t>
            </w:r>
          </w:p>
          <w:p w14:paraId="7F8BFE73" w14:textId="77777777" w:rsidR="00706F89" w:rsidRDefault="00706F89" w:rsidP="002551C6">
            <w:pPr>
              <w:jc w:val="center"/>
              <w:rPr>
                <w:rFonts w:ascii="Arial" w:eastAsia="Calibri" w:hAnsi="Arial" w:cs="Arial"/>
                <w:b/>
                <w:u w:val="single"/>
              </w:rPr>
            </w:pPr>
          </w:p>
          <w:p w14:paraId="7F839130" w14:textId="7D70E867" w:rsidR="00706F89" w:rsidRDefault="00105AA2" w:rsidP="002551C6">
            <w:pPr>
              <w:jc w:val="center"/>
              <w:rPr>
                <w:rFonts w:ascii="Arial" w:eastAsia="Calibri" w:hAnsi="Arial" w:cs="Arial"/>
                <w:b/>
                <w:u w:val="single"/>
              </w:rPr>
            </w:pPr>
            <w:r>
              <w:rPr>
                <w:rFonts w:ascii="Arial" w:eastAsia="Calibri" w:hAnsi="Arial" w:cs="Arial"/>
                <w:b/>
                <w:u w:val="single"/>
              </w:rPr>
              <w:t>32.34%</w:t>
            </w:r>
          </w:p>
        </w:tc>
      </w:tr>
      <w:tr w:rsidR="004B462D" w:rsidRPr="004B1294" w14:paraId="574B0767" w14:textId="77777777" w:rsidTr="00042E94">
        <w:tc>
          <w:tcPr>
            <w:tcW w:w="1550" w:type="dxa"/>
          </w:tcPr>
          <w:p w14:paraId="261F93DF" w14:textId="1239E3EA" w:rsidR="004B462D" w:rsidRDefault="008F2B0A" w:rsidP="002551C6">
            <w:pPr>
              <w:jc w:val="center"/>
              <w:rPr>
                <w:rFonts w:ascii="Arial" w:hAnsi="Arial" w:cs="Arial"/>
                <w:b/>
              </w:rPr>
            </w:pPr>
            <w:r>
              <w:rPr>
                <w:rFonts w:ascii="Arial" w:hAnsi="Arial" w:cs="Arial"/>
                <w:b/>
              </w:rPr>
              <w:t>43</w:t>
            </w:r>
          </w:p>
        </w:tc>
        <w:tc>
          <w:tcPr>
            <w:tcW w:w="3255" w:type="dxa"/>
          </w:tcPr>
          <w:p w14:paraId="3CF4D429" w14:textId="77777777" w:rsidR="008F2B0A" w:rsidRPr="008F2B0A" w:rsidRDefault="008F2B0A" w:rsidP="008F2B0A">
            <w:pPr>
              <w:jc w:val="both"/>
              <w:rPr>
                <w:rFonts w:ascii="Arial" w:hAnsi="Arial" w:cs="Arial"/>
                <w:b/>
                <w:lang w:val="es-MX"/>
              </w:rPr>
            </w:pPr>
            <w:r w:rsidRPr="008F2B0A">
              <w:rPr>
                <w:rFonts w:ascii="Arial" w:hAnsi="Arial" w:cs="Arial"/>
                <w:b/>
                <w:lang w:val="es-MX"/>
              </w:rPr>
              <w:t>43.- CÁMARA DE REPRESENTANTES.</w:t>
            </w:r>
          </w:p>
          <w:p w14:paraId="3510237E" w14:textId="77777777" w:rsidR="008F2B0A" w:rsidRDefault="008F2B0A" w:rsidP="008F2B0A">
            <w:pPr>
              <w:jc w:val="both"/>
              <w:rPr>
                <w:rFonts w:ascii="Arial" w:hAnsi="Arial" w:cs="Arial"/>
                <w:b/>
                <w:lang w:val="es-MX"/>
              </w:rPr>
            </w:pPr>
          </w:p>
          <w:p w14:paraId="4585EBCF" w14:textId="721BF197" w:rsidR="008F2B0A" w:rsidRDefault="008F2B0A" w:rsidP="008F2B0A">
            <w:pPr>
              <w:jc w:val="both"/>
              <w:rPr>
                <w:rFonts w:ascii="Arial" w:hAnsi="Arial" w:cs="Arial"/>
                <w:b/>
                <w:lang w:val="es-MX"/>
              </w:rPr>
            </w:pPr>
            <w:r>
              <w:rPr>
                <w:rFonts w:ascii="Arial" w:hAnsi="Arial" w:cs="Arial"/>
                <w:b/>
                <w:lang w:val="es-MX"/>
              </w:rPr>
              <w:t>FUNCIONAMIENTO</w:t>
            </w:r>
          </w:p>
          <w:p w14:paraId="16A2034F" w14:textId="77777777" w:rsidR="00800769" w:rsidRDefault="008F2B0A" w:rsidP="00800769">
            <w:pPr>
              <w:jc w:val="both"/>
              <w:rPr>
                <w:rFonts w:ascii="Arial" w:hAnsi="Arial" w:cs="Arial"/>
                <w:b/>
                <w:lang w:val="es-MX"/>
              </w:rPr>
            </w:pPr>
            <w:r>
              <w:rPr>
                <w:rFonts w:ascii="Arial" w:hAnsi="Arial" w:cs="Arial"/>
                <w:b/>
                <w:lang w:val="es-MX"/>
              </w:rPr>
              <w:t>INVERSIÓN</w:t>
            </w:r>
          </w:p>
          <w:p w14:paraId="3549D401" w14:textId="77777777" w:rsidR="00800769" w:rsidRDefault="00800769" w:rsidP="00800769">
            <w:pPr>
              <w:jc w:val="both"/>
              <w:rPr>
                <w:rFonts w:ascii="Arial" w:hAnsi="Arial" w:cs="Arial"/>
                <w:b/>
                <w:lang w:val="es-MX"/>
              </w:rPr>
            </w:pPr>
          </w:p>
          <w:p w14:paraId="24789646" w14:textId="60659D21" w:rsidR="004B462D" w:rsidRPr="008F2B0A" w:rsidRDefault="008F2B0A" w:rsidP="00800769">
            <w:pPr>
              <w:jc w:val="both"/>
              <w:rPr>
                <w:b/>
                <w:sz w:val="28"/>
                <w:szCs w:val="28"/>
              </w:rPr>
            </w:pPr>
            <w:r>
              <w:rPr>
                <w:rFonts w:ascii="Arial" w:hAnsi="Arial" w:cs="Arial"/>
                <w:b/>
                <w:lang w:val="es-MX"/>
              </w:rPr>
              <w:t>TOTAL PRESUPUESTO</w:t>
            </w:r>
          </w:p>
        </w:tc>
        <w:tc>
          <w:tcPr>
            <w:tcW w:w="1839" w:type="dxa"/>
          </w:tcPr>
          <w:p w14:paraId="395B8116" w14:textId="77777777" w:rsidR="004B462D" w:rsidRDefault="004B462D" w:rsidP="002551C6">
            <w:pPr>
              <w:jc w:val="center"/>
              <w:rPr>
                <w:rFonts w:ascii="Arial" w:eastAsia="Calibri" w:hAnsi="Arial" w:cs="Arial"/>
                <w:b/>
                <w:u w:val="single"/>
              </w:rPr>
            </w:pPr>
          </w:p>
          <w:p w14:paraId="294A71D3" w14:textId="77777777" w:rsidR="008F2B0A" w:rsidRDefault="008F2B0A" w:rsidP="002551C6">
            <w:pPr>
              <w:jc w:val="center"/>
              <w:rPr>
                <w:rFonts w:ascii="Arial" w:eastAsia="Calibri" w:hAnsi="Arial" w:cs="Arial"/>
                <w:b/>
                <w:u w:val="single"/>
              </w:rPr>
            </w:pPr>
          </w:p>
          <w:p w14:paraId="3F81D7CA" w14:textId="77777777" w:rsidR="008F2B0A" w:rsidRDefault="008F2B0A" w:rsidP="002551C6">
            <w:pPr>
              <w:jc w:val="center"/>
              <w:rPr>
                <w:rFonts w:ascii="Arial" w:eastAsia="Calibri" w:hAnsi="Arial" w:cs="Arial"/>
                <w:b/>
                <w:u w:val="single"/>
              </w:rPr>
            </w:pPr>
          </w:p>
          <w:p w14:paraId="7FECE68F" w14:textId="3E878DDF" w:rsidR="008F2B0A" w:rsidRDefault="00800769" w:rsidP="002551C6">
            <w:pPr>
              <w:jc w:val="center"/>
              <w:rPr>
                <w:rFonts w:ascii="Arial" w:eastAsia="Calibri" w:hAnsi="Arial" w:cs="Arial"/>
                <w:b/>
                <w:u w:val="single"/>
              </w:rPr>
            </w:pPr>
            <w:r>
              <w:rPr>
                <w:rFonts w:ascii="Arial" w:eastAsia="Calibri" w:hAnsi="Arial" w:cs="Arial"/>
                <w:b/>
                <w:u w:val="single"/>
              </w:rPr>
              <w:t>95.00%</w:t>
            </w:r>
          </w:p>
          <w:p w14:paraId="042A30BF" w14:textId="3D13F5EF" w:rsidR="008F2B0A" w:rsidRDefault="00800769" w:rsidP="002551C6">
            <w:pPr>
              <w:jc w:val="center"/>
              <w:rPr>
                <w:rFonts w:ascii="Arial" w:eastAsia="Calibri" w:hAnsi="Arial" w:cs="Arial"/>
                <w:b/>
                <w:u w:val="single"/>
              </w:rPr>
            </w:pPr>
            <w:r>
              <w:rPr>
                <w:rFonts w:ascii="Arial" w:eastAsia="Calibri" w:hAnsi="Arial" w:cs="Arial"/>
                <w:b/>
                <w:u w:val="single"/>
              </w:rPr>
              <w:t>100.00%</w:t>
            </w:r>
          </w:p>
          <w:p w14:paraId="5531925D" w14:textId="77777777" w:rsidR="008F2B0A" w:rsidRDefault="008F2B0A" w:rsidP="002551C6">
            <w:pPr>
              <w:jc w:val="center"/>
              <w:rPr>
                <w:rFonts w:ascii="Arial" w:eastAsia="Calibri" w:hAnsi="Arial" w:cs="Arial"/>
                <w:b/>
                <w:u w:val="single"/>
              </w:rPr>
            </w:pPr>
          </w:p>
          <w:p w14:paraId="4129C11D" w14:textId="693C7EB1" w:rsidR="008F2B0A" w:rsidRDefault="00800769" w:rsidP="002551C6">
            <w:pPr>
              <w:jc w:val="center"/>
              <w:rPr>
                <w:rFonts w:ascii="Arial" w:eastAsia="Calibri" w:hAnsi="Arial" w:cs="Arial"/>
                <w:b/>
                <w:u w:val="single"/>
              </w:rPr>
            </w:pPr>
            <w:r>
              <w:rPr>
                <w:rFonts w:ascii="Arial" w:eastAsia="Calibri" w:hAnsi="Arial" w:cs="Arial"/>
                <w:b/>
                <w:u w:val="single"/>
              </w:rPr>
              <w:t>96.00%</w:t>
            </w:r>
          </w:p>
        </w:tc>
        <w:tc>
          <w:tcPr>
            <w:tcW w:w="1804" w:type="dxa"/>
          </w:tcPr>
          <w:p w14:paraId="584054BC" w14:textId="77777777" w:rsidR="004B462D" w:rsidRDefault="004B462D" w:rsidP="002551C6">
            <w:pPr>
              <w:jc w:val="center"/>
              <w:rPr>
                <w:rFonts w:ascii="Arial" w:eastAsia="Calibri" w:hAnsi="Arial" w:cs="Arial"/>
                <w:b/>
                <w:u w:val="single"/>
              </w:rPr>
            </w:pPr>
          </w:p>
          <w:p w14:paraId="07D5AAB0" w14:textId="77777777" w:rsidR="008F2B0A" w:rsidRDefault="008F2B0A" w:rsidP="002551C6">
            <w:pPr>
              <w:jc w:val="center"/>
              <w:rPr>
                <w:rFonts w:ascii="Arial" w:eastAsia="Calibri" w:hAnsi="Arial" w:cs="Arial"/>
                <w:b/>
                <w:u w:val="single"/>
              </w:rPr>
            </w:pPr>
          </w:p>
          <w:p w14:paraId="0073748A" w14:textId="77777777" w:rsidR="008F2B0A" w:rsidRDefault="008F2B0A" w:rsidP="002551C6">
            <w:pPr>
              <w:jc w:val="center"/>
              <w:rPr>
                <w:rFonts w:ascii="Arial" w:eastAsia="Calibri" w:hAnsi="Arial" w:cs="Arial"/>
                <w:b/>
                <w:u w:val="single"/>
              </w:rPr>
            </w:pPr>
          </w:p>
          <w:p w14:paraId="0ACCC7B0" w14:textId="1BCD6FBC" w:rsidR="008F2B0A" w:rsidRDefault="00800769" w:rsidP="002551C6">
            <w:pPr>
              <w:jc w:val="center"/>
              <w:rPr>
                <w:rFonts w:ascii="Arial" w:eastAsia="Calibri" w:hAnsi="Arial" w:cs="Arial"/>
                <w:b/>
                <w:u w:val="single"/>
              </w:rPr>
            </w:pPr>
            <w:r>
              <w:rPr>
                <w:rFonts w:ascii="Arial" w:eastAsia="Calibri" w:hAnsi="Arial" w:cs="Arial"/>
                <w:b/>
                <w:u w:val="single"/>
              </w:rPr>
              <w:t>86.00%</w:t>
            </w:r>
          </w:p>
          <w:p w14:paraId="6A8B7AE1" w14:textId="4DDCDB44" w:rsidR="008F2B0A" w:rsidRDefault="00800769" w:rsidP="002551C6">
            <w:pPr>
              <w:jc w:val="center"/>
              <w:rPr>
                <w:rFonts w:ascii="Arial" w:eastAsia="Calibri" w:hAnsi="Arial" w:cs="Arial"/>
                <w:b/>
                <w:u w:val="single"/>
              </w:rPr>
            </w:pPr>
            <w:r>
              <w:rPr>
                <w:rFonts w:ascii="Arial" w:eastAsia="Calibri" w:hAnsi="Arial" w:cs="Arial"/>
                <w:b/>
                <w:u w:val="single"/>
              </w:rPr>
              <w:t>67.00%</w:t>
            </w:r>
          </w:p>
          <w:p w14:paraId="10DCB4BE" w14:textId="77777777" w:rsidR="008F2B0A" w:rsidRDefault="008F2B0A" w:rsidP="002551C6">
            <w:pPr>
              <w:jc w:val="center"/>
              <w:rPr>
                <w:rFonts w:ascii="Arial" w:eastAsia="Calibri" w:hAnsi="Arial" w:cs="Arial"/>
                <w:b/>
                <w:u w:val="single"/>
              </w:rPr>
            </w:pPr>
          </w:p>
          <w:p w14:paraId="79E24C86" w14:textId="14414817" w:rsidR="008F2B0A" w:rsidRDefault="00800769" w:rsidP="00800769">
            <w:pPr>
              <w:jc w:val="center"/>
              <w:rPr>
                <w:rFonts w:ascii="Arial" w:eastAsia="Calibri" w:hAnsi="Arial" w:cs="Arial"/>
                <w:b/>
                <w:u w:val="single"/>
              </w:rPr>
            </w:pPr>
            <w:r>
              <w:rPr>
                <w:rFonts w:ascii="Arial" w:eastAsia="Calibri" w:hAnsi="Arial" w:cs="Arial"/>
                <w:b/>
                <w:u w:val="single"/>
              </w:rPr>
              <w:t>82.00%</w:t>
            </w:r>
          </w:p>
        </w:tc>
        <w:tc>
          <w:tcPr>
            <w:tcW w:w="2042" w:type="dxa"/>
          </w:tcPr>
          <w:p w14:paraId="08A5197F" w14:textId="77777777" w:rsidR="004B462D" w:rsidRDefault="004B462D" w:rsidP="002551C6">
            <w:pPr>
              <w:jc w:val="center"/>
              <w:rPr>
                <w:rFonts w:ascii="Arial" w:eastAsia="Calibri" w:hAnsi="Arial" w:cs="Arial"/>
                <w:b/>
                <w:u w:val="single"/>
              </w:rPr>
            </w:pPr>
          </w:p>
          <w:p w14:paraId="7F71A97B" w14:textId="77777777" w:rsidR="008F2B0A" w:rsidRDefault="008F2B0A" w:rsidP="002551C6">
            <w:pPr>
              <w:jc w:val="center"/>
              <w:rPr>
                <w:rFonts w:ascii="Arial" w:eastAsia="Calibri" w:hAnsi="Arial" w:cs="Arial"/>
                <w:b/>
                <w:u w:val="single"/>
              </w:rPr>
            </w:pPr>
          </w:p>
          <w:p w14:paraId="2ED41587" w14:textId="77777777" w:rsidR="008F2B0A" w:rsidRDefault="008F2B0A" w:rsidP="002551C6">
            <w:pPr>
              <w:jc w:val="center"/>
              <w:rPr>
                <w:rFonts w:ascii="Arial" w:eastAsia="Calibri" w:hAnsi="Arial" w:cs="Arial"/>
                <w:b/>
                <w:u w:val="single"/>
              </w:rPr>
            </w:pPr>
          </w:p>
          <w:p w14:paraId="5E8A3ACE" w14:textId="1FFA1A09" w:rsidR="008F2B0A" w:rsidRDefault="00800769" w:rsidP="002551C6">
            <w:pPr>
              <w:jc w:val="center"/>
              <w:rPr>
                <w:rFonts w:ascii="Arial" w:eastAsia="Calibri" w:hAnsi="Arial" w:cs="Arial"/>
                <w:b/>
                <w:u w:val="single"/>
              </w:rPr>
            </w:pPr>
            <w:r>
              <w:rPr>
                <w:rFonts w:ascii="Arial" w:eastAsia="Calibri" w:hAnsi="Arial" w:cs="Arial"/>
                <w:b/>
                <w:u w:val="single"/>
              </w:rPr>
              <w:t>86.00%</w:t>
            </w:r>
          </w:p>
          <w:p w14:paraId="041F871E" w14:textId="46406EA2" w:rsidR="008F2B0A" w:rsidRDefault="00800769" w:rsidP="002551C6">
            <w:pPr>
              <w:jc w:val="center"/>
              <w:rPr>
                <w:rFonts w:ascii="Arial" w:eastAsia="Calibri" w:hAnsi="Arial" w:cs="Arial"/>
                <w:b/>
                <w:u w:val="single"/>
              </w:rPr>
            </w:pPr>
            <w:r>
              <w:rPr>
                <w:rFonts w:ascii="Arial" w:eastAsia="Calibri" w:hAnsi="Arial" w:cs="Arial"/>
                <w:b/>
                <w:u w:val="single"/>
              </w:rPr>
              <w:t>67.00%</w:t>
            </w:r>
          </w:p>
          <w:p w14:paraId="3CE43E82" w14:textId="77777777" w:rsidR="008F2B0A" w:rsidRDefault="008F2B0A" w:rsidP="002551C6">
            <w:pPr>
              <w:jc w:val="center"/>
              <w:rPr>
                <w:rFonts w:ascii="Arial" w:eastAsia="Calibri" w:hAnsi="Arial" w:cs="Arial"/>
                <w:b/>
                <w:u w:val="single"/>
              </w:rPr>
            </w:pPr>
          </w:p>
          <w:p w14:paraId="799EAC75" w14:textId="79A77B1E" w:rsidR="008F2B0A" w:rsidRDefault="00800769" w:rsidP="00800769">
            <w:pPr>
              <w:jc w:val="center"/>
              <w:rPr>
                <w:rFonts w:ascii="Arial" w:eastAsia="Calibri" w:hAnsi="Arial" w:cs="Arial"/>
                <w:b/>
                <w:u w:val="single"/>
              </w:rPr>
            </w:pPr>
            <w:r>
              <w:rPr>
                <w:rFonts w:ascii="Arial" w:eastAsia="Calibri" w:hAnsi="Arial" w:cs="Arial"/>
                <w:b/>
                <w:u w:val="single"/>
              </w:rPr>
              <w:t>82.00%</w:t>
            </w:r>
          </w:p>
        </w:tc>
      </w:tr>
      <w:tr w:rsidR="004B462D" w:rsidRPr="004B1294" w14:paraId="1BA39F17" w14:textId="77777777" w:rsidTr="00042E94">
        <w:tc>
          <w:tcPr>
            <w:tcW w:w="1550" w:type="dxa"/>
          </w:tcPr>
          <w:p w14:paraId="71EC76DE" w14:textId="45A85EB5" w:rsidR="004B462D" w:rsidRDefault="00F83170" w:rsidP="002551C6">
            <w:pPr>
              <w:jc w:val="center"/>
              <w:rPr>
                <w:rFonts w:ascii="Arial" w:hAnsi="Arial" w:cs="Arial"/>
                <w:b/>
              </w:rPr>
            </w:pPr>
            <w:r>
              <w:rPr>
                <w:rFonts w:ascii="Arial" w:hAnsi="Arial" w:cs="Arial"/>
                <w:b/>
              </w:rPr>
              <w:t>44</w:t>
            </w:r>
          </w:p>
        </w:tc>
        <w:tc>
          <w:tcPr>
            <w:tcW w:w="3255" w:type="dxa"/>
          </w:tcPr>
          <w:p w14:paraId="1FA92375" w14:textId="20670C35" w:rsidR="00F83170" w:rsidRPr="00F83170" w:rsidRDefault="00F83170" w:rsidP="00F83170">
            <w:pPr>
              <w:jc w:val="both"/>
              <w:rPr>
                <w:rFonts w:ascii="Arial" w:hAnsi="Arial" w:cs="Arial"/>
                <w:b/>
                <w:lang w:val="es-MX"/>
              </w:rPr>
            </w:pPr>
            <w:r w:rsidRPr="00F83170">
              <w:rPr>
                <w:rFonts w:ascii="Arial" w:hAnsi="Arial" w:cs="Arial"/>
                <w:b/>
                <w:lang w:val="es-MX"/>
              </w:rPr>
              <w:t>UNIDAD DE INFORMACION Y ANALISIS FINANCIERO - UIAF.</w:t>
            </w:r>
          </w:p>
          <w:p w14:paraId="45059F00" w14:textId="77777777" w:rsidR="004B462D" w:rsidRDefault="004B462D" w:rsidP="00AD023F">
            <w:pPr>
              <w:jc w:val="both"/>
              <w:rPr>
                <w:rFonts w:ascii="Arial" w:hAnsi="Arial" w:cs="Arial"/>
                <w:b/>
                <w:lang w:val="es-MX"/>
              </w:rPr>
            </w:pPr>
          </w:p>
          <w:p w14:paraId="204D2D3B" w14:textId="77777777" w:rsidR="00F83170" w:rsidRDefault="00F83170" w:rsidP="00F83170">
            <w:pPr>
              <w:jc w:val="both"/>
              <w:rPr>
                <w:rFonts w:ascii="Arial" w:hAnsi="Arial" w:cs="Arial"/>
                <w:b/>
                <w:lang w:val="es-MX"/>
              </w:rPr>
            </w:pPr>
            <w:r>
              <w:rPr>
                <w:rFonts w:ascii="Arial" w:hAnsi="Arial" w:cs="Arial"/>
                <w:b/>
                <w:lang w:val="es-MX"/>
              </w:rPr>
              <w:t>FUNCIONAMIENTO</w:t>
            </w:r>
          </w:p>
          <w:p w14:paraId="4BCCEBB4" w14:textId="77777777" w:rsidR="00F83170" w:rsidRDefault="00F83170" w:rsidP="00F83170">
            <w:pPr>
              <w:jc w:val="both"/>
              <w:rPr>
                <w:rFonts w:ascii="Arial" w:hAnsi="Arial" w:cs="Arial"/>
                <w:b/>
                <w:lang w:val="es-MX"/>
              </w:rPr>
            </w:pPr>
            <w:r>
              <w:rPr>
                <w:rFonts w:ascii="Arial" w:hAnsi="Arial" w:cs="Arial"/>
                <w:b/>
                <w:lang w:val="es-MX"/>
              </w:rPr>
              <w:t>INVERSIÓN</w:t>
            </w:r>
          </w:p>
          <w:p w14:paraId="0F7B25DF" w14:textId="77777777" w:rsidR="00F83170" w:rsidRDefault="00F83170" w:rsidP="00F83170">
            <w:pPr>
              <w:jc w:val="both"/>
              <w:rPr>
                <w:rFonts w:ascii="Arial" w:hAnsi="Arial" w:cs="Arial"/>
                <w:b/>
                <w:lang w:val="es-MX"/>
              </w:rPr>
            </w:pPr>
          </w:p>
          <w:p w14:paraId="17990B53" w14:textId="02688873" w:rsidR="00F83170" w:rsidRPr="00AD023F" w:rsidRDefault="00F83170" w:rsidP="00F83170">
            <w:pPr>
              <w:jc w:val="both"/>
              <w:rPr>
                <w:rFonts w:ascii="Arial" w:hAnsi="Arial" w:cs="Arial"/>
                <w:b/>
                <w:lang w:val="es-MX"/>
              </w:rPr>
            </w:pPr>
            <w:r>
              <w:rPr>
                <w:rFonts w:ascii="Arial" w:hAnsi="Arial" w:cs="Arial"/>
                <w:b/>
                <w:lang w:val="es-MX"/>
              </w:rPr>
              <w:lastRenderedPageBreak/>
              <w:t>TOTAL PRESUPUESTO</w:t>
            </w:r>
          </w:p>
        </w:tc>
        <w:tc>
          <w:tcPr>
            <w:tcW w:w="1839" w:type="dxa"/>
          </w:tcPr>
          <w:p w14:paraId="6D449D4C" w14:textId="77777777" w:rsidR="004B462D" w:rsidRPr="00DB1D8F" w:rsidRDefault="004B462D" w:rsidP="002551C6">
            <w:pPr>
              <w:jc w:val="center"/>
              <w:rPr>
                <w:rFonts w:ascii="Arial" w:eastAsia="Calibri" w:hAnsi="Arial" w:cs="Arial"/>
                <w:b/>
                <w:highlight w:val="yellow"/>
                <w:u w:val="single"/>
              </w:rPr>
            </w:pPr>
          </w:p>
          <w:p w14:paraId="6B4B68C3" w14:textId="77777777" w:rsidR="009513C3" w:rsidRPr="00DB1D8F" w:rsidRDefault="009513C3" w:rsidP="002551C6">
            <w:pPr>
              <w:jc w:val="center"/>
              <w:rPr>
                <w:rFonts w:ascii="Arial" w:eastAsia="Calibri" w:hAnsi="Arial" w:cs="Arial"/>
                <w:b/>
                <w:highlight w:val="yellow"/>
                <w:u w:val="single"/>
              </w:rPr>
            </w:pPr>
          </w:p>
          <w:p w14:paraId="6D79B4DF" w14:textId="77777777" w:rsidR="00597CEF" w:rsidRDefault="00597CEF" w:rsidP="002551C6">
            <w:pPr>
              <w:jc w:val="center"/>
              <w:rPr>
                <w:rFonts w:ascii="Arial" w:eastAsia="Calibri" w:hAnsi="Arial" w:cs="Arial"/>
                <w:b/>
                <w:highlight w:val="yellow"/>
                <w:u w:val="single"/>
              </w:rPr>
            </w:pPr>
          </w:p>
          <w:p w14:paraId="27768250" w14:textId="28FF840D" w:rsidR="009513C3" w:rsidRPr="00DB1D8F" w:rsidRDefault="009513C3" w:rsidP="002551C6">
            <w:pPr>
              <w:jc w:val="center"/>
              <w:rPr>
                <w:rFonts w:ascii="Arial" w:eastAsia="Calibri" w:hAnsi="Arial" w:cs="Arial"/>
                <w:b/>
                <w:highlight w:val="yellow"/>
                <w:u w:val="single"/>
              </w:rPr>
            </w:pPr>
            <w:r w:rsidRPr="00DB1D8F">
              <w:rPr>
                <w:rFonts w:ascii="Arial" w:eastAsia="Calibri" w:hAnsi="Arial" w:cs="Arial"/>
                <w:b/>
                <w:highlight w:val="yellow"/>
                <w:u w:val="single"/>
              </w:rPr>
              <w:t xml:space="preserve">EJECUCIÓN </w:t>
            </w:r>
          </w:p>
          <w:p w14:paraId="65543F8C" w14:textId="272C597C" w:rsidR="00F83170" w:rsidRPr="00DB1D8F" w:rsidRDefault="009513C3" w:rsidP="002551C6">
            <w:pPr>
              <w:jc w:val="center"/>
              <w:rPr>
                <w:rFonts w:ascii="Arial" w:eastAsia="Calibri" w:hAnsi="Arial" w:cs="Arial"/>
                <w:b/>
                <w:highlight w:val="yellow"/>
                <w:u w:val="single"/>
              </w:rPr>
            </w:pPr>
            <w:r w:rsidRPr="00DB1D8F">
              <w:rPr>
                <w:rFonts w:ascii="Arial" w:eastAsia="Calibri" w:hAnsi="Arial" w:cs="Arial"/>
                <w:b/>
                <w:highlight w:val="yellow"/>
                <w:u w:val="single"/>
              </w:rPr>
              <w:t>PRESUPUESTAL</w:t>
            </w:r>
            <w:r w:rsidR="00F83170" w:rsidRPr="00DB1D8F">
              <w:rPr>
                <w:rFonts w:ascii="Arial" w:eastAsia="Calibri" w:hAnsi="Arial" w:cs="Arial"/>
                <w:b/>
                <w:highlight w:val="yellow"/>
                <w:u w:val="single"/>
              </w:rPr>
              <w:t xml:space="preserve"> </w:t>
            </w:r>
          </w:p>
        </w:tc>
        <w:tc>
          <w:tcPr>
            <w:tcW w:w="1804" w:type="dxa"/>
          </w:tcPr>
          <w:p w14:paraId="1EC462D3" w14:textId="77777777" w:rsidR="004B462D" w:rsidRPr="00DB1D8F" w:rsidRDefault="004B462D" w:rsidP="002551C6">
            <w:pPr>
              <w:jc w:val="center"/>
              <w:rPr>
                <w:rFonts w:ascii="Arial" w:eastAsia="Calibri" w:hAnsi="Arial" w:cs="Arial"/>
                <w:b/>
                <w:highlight w:val="yellow"/>
                <w:u w:val="single"/>
              </w:rPr>
            </w:pPr>
          </w:p>
          <w:p w14:paraId="3F8D181B" w14:textId="77777777" w:rsidR="009513C3" w:rsidRPr="00DB1D8F" w:rsidRDefault="00F83170" w:rsidP="009513C3">
            <w:pPr>
              <w:jc w:val="center"/>
              <w:rPr>
                <w:rFonts w:ascii="Arial" w:eastAsia="Calibri" w:hAnsi="Arial" w:cs="Arial"/>
                <w:b/>
                <w:highlight w:val="yellow"/>
                <w:u w:val="single"/>
              </w:rPr>
            </w:pPr>
            <w:r w:rsidRPr="00DB1D8F">
              <w:rPr>
                <w:rFonts w:ascii="Arial" w:eastAsia="Calibri" w:hAnsi="Arial" w:cs="Arial"/>
                <w:b/>
                <w:highlight w:val="yellow"/>
                <w:u w:val="single"/>
              </w:rPr>
              <w:t xml:space="preserve"> </w:t>
            </w:r>
          </w:p>
          <w:p w14:paraId="761E8724" w14:textId="77777777" w:rsidR="00597CEF" w:rsidRDefault="00597CEF" w:rsidP="009513C3">
            <w:pPr>
              <w:jc w:val="center"/>
              <w:rPr>
                <w:rFonts w:ascii="Arial" w:eastAsia="Calibri" w:hAnsi="Arial" w:cs="Arial"/>
                <w:b/>
                <w:highlight w:val="yellow"/>
                <w:u w:val="single"/>
              </w:rPr>
            </w:pPr>
          </w:p>
          <w:p w14:paraId="6C16DA3D" w14:textId="711CBA28" w:rsidR="00F83170" w:rsidRPr="00DB1D8F" w:rsidRDefault="009513C3" w:rsidP="009513C3">
            <w:pPr>
              <w:jc w:val="center"/>
              <w:rPr>
                <w:rFonts w:ascii="Arial" w:eastAsia="Calibri" w:hAnsi="Arial" w:cs="Arial"/>
                <w:b/>
                <w:highlight w:val="yellow"/>
                <w:u w:val="single"/>
              </w:rPr>
            </w:pPr>
            <w:r w:rsidRPr="00DB1D8F">
              <w:rPr>
                <w:rFonts w:ascii="Arial" w:eastAsia="Calibri" w:hAnsi="Arial" w:cs="Arial"/>
                <w:b/>
                <w:highlight w:val="yellow"/>
                <w:u w:val="single"/>
              </w:rPr>
              <w:t xml:space="preserve">CON ERRORES DE SUMA </w:t>
            </w:r>
          </w:p>
        </w:tc>
        <w:tc>
          <w:tcPr>
            <w:tcW w:w="2042" w:type="dxa"/>
          </w:tcPr>
          <w:p w14:paraId="6A0E99DC" w14:textId="77777777" w:rsidR="004B462D" w:rsidRPr="00DB1D8F" w:rsidRDefault="004B462D" w:rsidP="002551C6">
            <w:pPr>
              <w:jc w:val="center"/>
              <w:rPr>
                <w:rFonts w:ascii="Arial" w:eastAsia="Calibri" w:hAnsi="Arial" w:cs="Arial"/>
                <w:b/>
                <w:highlight w:val="yellow"/>
                <w:u w:val="single"/>
              </w:rPr>
            </w:pPr>
          </w:p>
          <w:p w14:paraId="6A901D6E" w14:textId="77777777" w:rsidR="009513C3" w:rsidRPr="00DB1D8F" w:rsidRDefault="009513C3" w:rsidP="002551C6">
            <w:pPr>
              <w:jc w:val="center"/>
              <w:rPr>
                <w:rFonts w:ascii="Arial" w:eastAsia="Calibri" w:hAnsi="Arial" w:cs="Arial"/>
                <w:b/>
                <w:highlight w:val="yellow"/>
                <w:u w:val="single"/>
              </w:rPr>
            </w:pPr>
          </w:p>
          <w:p w14:paraId="29C0EA6D" w14:textId="77777777" w:rsidR="00597CEF" w:rsidRDefault="00597CEF" w:rsidP="002551C6">
            <w:pPr>
              <w:jc w:val="center"/>
              <w:rPr>
                <w:rFonts w:ascii="Arial" w:eastAsia="Calibri" w:hAnsi="Arial" w:cs="Arial"/>
                <w:b/>
                <w:highlight w:val="yellow"/>
                <w:u w:val="single"/>
              </w:rPr>
            </w:pPr>
          </w:p>
          <w:p w14:paraId="43BF4414" w14:textId="0C335E9A" w:rsidR="00F83170" w:rsidRPr="00DB1D8F" w:rsidRDefault="009513C3" w:rsidP="002551C6">
            <w:pPr>
              <w:jc w:val="center"/>
              <w:rPr>
                <w:rFonts w:ascii="Arial" w:eastAsia="Calibri" w:hAnsi="Arial" w:cs="Arial"/>
                <w:b/>
                <w:highlight w:val="yellow"/>
                <w:u w:val="single"/>
              </w:rPr>
            </w:pPr>
            <w:r w:rsidRPr="00DB1D8F">
              <w:rPr>
                <w:rFonts w:ascii="Arial" w:eastAsia="Calibri" w:hAnsi="Arial" w:cs="Arial"/>
                <w:b/>
                <w:highlight w:val="yellow"/>
                <w:u w:val="single"/>
              </w:rPr>
              <w:t>Y PORCENTAJES MAL CÁLCULADOS</w:t>
            </w:r>
          </w:p>
        </w:tc>
      </w:tr>
      <w:tr w:rsidR="00800769" w:rsidRPr="004B1294" w14:paraId="1EA9601B" w14:textId="77777777" w:rsidTr="00042E94">
        <w:tc>
          <w:tcPr>
            <w:tcW w:w="1550" w:type="dxa"/>
          </w:tcPr>
          <w:p w14:paraId="15FF7A57" w14:textId="77F70AA2" w:rsidR="00800769" w:rsidRDefault="00DB1D8F" w:rsidP="002551C6">
            <w:pPr>
              <w:jc w:val="center"/>
              <w:rPr>
                <w:rFonts w:ascii="Arial" w:hAnsi="Arial" w:cs="Arial"/>
                <w:b/>
              </w:rPr>
            </w:pPr>
            <w:r>
              <w:rPr>
                <w:rFonts w:ascii="Arial" w:hAnsi="Arial" w:cs="Arial"/>
                <w:b/>
              </w:rPr>
              <w:t>45</w:t>
            </w:r>
          </w:p>
        </w:tc>
        <w:tc>
          <w:tcPr>
            <w:tcW w:w="3255" w:type="dxa"/>
          </w:tcPr>
          <w:p w14:paraId="7357ED68" w14:textId="10A781B5" w:rsidR="00DB1D8F" w:rsidRPr="00DB1D8F" w:rsidRDefault="00DB1D8F" w:rsidP="00DB1D8F">
            <w:pPr>
              <w:jc w:val="both"/>
              <w:rPr>
                <w:rFonts w:ascii="Arial" w:hAnsi="Arial" w:cs="Arial"/>
                <w:b/>
                <w:lang w:val="es-MX"/>
              </w:rPr>
            </w:pPr>
            <w:r w:rsidRPr="00DB1D8F">
              <w:rPr>
                <w:rFonts w:ascii="Arial" w:hAnsi="Arial" w:cs="Arial"/>
                <w:b/>
                <w:lang w:val="es-MX"/>
              </w:rPr>
              <w:t>U.A.E INSTITUTO NACIONAL DE ACUICULTURA Y PESCA - AUNAP.</w:t>
            </w:r>
          </w:p>
          <w:p w14:paraId="62103188" w14:textId="77777777" w:rsidR="00800769" w:rsidRDefault="00800769" w:rsidP="00AD023F">
            <w:pPr>
              <w:jc w:val="both"/>
              <w:rPr>
                <w:rFonts w:ascii="Arial" w:hAnsi="Arial" w:cs="Arial"/>
                <w:b/>
                <w:lang w:val="es-MX"/>
              </w:rPr>
            </w:pPr>
          </w:p>
          <w:p w14:paraId="1D57DD46" w14:textId="77777777" w:rsidR="00DB1D8F" w:rsidRDefault="00DB1D8F" w:rsidP="00DB1D8F">
            <w:pPr>
              <w:jc w:val="both"/>
              <w:rPr>
                <w:rFonts w:ascii="Arial" w:hAnsi="Arial" w:cs="Arial"/>
                <w:b/>
                <w:lang w:val="es-MX"/>
              </w:rPr>
            </w:pPr>
            <w:r>
              <w:rPr>
                <w:rFonts w:ascii="Arial" w:hAnsi="Arial" w:cs="Arial"/>
                <w:b/>
                <w:lang w:val="es-MX"/>
              </w:rPr>
              <w:t>FUNCIONAMIENTO</w:t>
            </w:r>
          </w:p>
          <w:p w14:paraId="4ED089B7" w14:textId="77777777" w:rsidR="00DB1D8F" w:rsidRDefault="00DB1D8F" w:rsidP="00DB1D8F">
            <w:pPr>
              <w:jc w:val="both"/>
              <w:rPr>
                <w:rFonts w:ascii="Arial" w:hAnsi="Arial" w:cs="Arial"/>
                <w:b/>
                <w:lang w:val="es-MX"/>
              </w:rPr>
            </w:pPr>
            <w:r>
              <w:rPr>
                <w:rFonts w:ascii="Arial" w:hAnsi="Arial" w:cs="Arial"/>
                <w:b/>
                <w:lang w:val="es-MX"/>
              </w:rPr>
              <w:t>INVERSIÓN</w:t>
            </w:r>
          </w:p>
          <w:p w14:paraId="31400FAB" w14:textId="77777777" w:rsidR="00DB1D8F" w:rsidRDefault="00DB1D8F" w:rsidP="00DB1D8F">
            <w:pPr>
              <w:jc w:val="both"/>
              <w:rPr>
                <w:rFonts w:ascii="Arial" w:hAnsi="Arial" w:cs="Arial"/>
                <w:b/>
                <w:lang w:val="es-MX"/>
              </w:rPr>
            </w:pPr>
          </w:p>
          <w:p w14:paraId="0505233E" w14:textId="01A5D2F7" w:rsidR="00DB1D8F" w:rsidRPr="00AD023F" w:rsidRDefault="00DB1D8F" w:rsidP="00DB1D8F">
            <w:pPr>
              <w:jc w:val="both"/>
              <w:rPr>
                <w:rFonts w:ascii="Arial" w:hAnsi="Arial" w:cs="Arial"/>
                <w:b/>
                <w:lang w:val="es-MX"/>
              </w:rPr>
            </w:pPr>
            <w:r>
              <w:rPr>
                <w:rFonts w:ascii="Arial" w:hAnsi="Arial" w:cs="Arial"/>
                <w:b/>
                <w:lang w:val="es-MX"/>
              </w:rPr>
              <w:t>TOTAL PRESUPUESTO</w:t>
            </w:r>
          </w:p>
        </w:tc>
        <w:tc>
          <w:tcPr>
            <w:tcW w:w="1839" w:type="dxa"/>
          </w:tcPr>
          <w:p w14:paraId="4125AFF7" w14:textId="77777777" w:rsidR="00800769" w:rsidRDefault="00800769" w:rsidP="002551C6">
            <w:pPr>
              <w:jc w:val="center"/>
              <w:rPr>
                <w:rFonts w:ascii="Arial" w:eastAsia="Calibri" w:hAnsi="Arial" w:cs="Arial"/>
                <w:b/>
                <w:u w:val="single"/>
              </w:rPr>
            </w:pPr>
          </w:p>
          <w:p w14:paraId="6A959CB4" w14:textId="77777777" w:rsidR="00DB1D8F" w:rsidRDefault="00DB1D8F" w:rsidP="002551C6">
            <w:pPr>
              <w:jc w:val="center"/>
              <w:rPr>
                <w:rFonts w:ascii="Arial" w:eastAsia="Calibri" w:hAnsi="Arial" w:cs="Arial"/>
                <w:b/>
                <w:u w:val="single"/>
              </w:rPr>
            </w:pPr>
          </w:p>
          <w:p w14:paraId="6CD885B1" w14:textId="77777777" w:rsidR="00DB1D8F" w:rsidRDefault="00DB1D8F" w:rsidP="002551C6">
            <w:pPr>
              <w:jc w:val="center"/>
              <w:rPr>
                <w:rFonts w:ascii="Arial" w:eastAsia="Calibri" w:hAnsi="Arial" w:cs="Arial"/>
                <w:b/>
                <w:u w:val="single"/>
              </w:rPr>
            </w:pPr>
          </w:p>
          <w:p w14:paraId="620CDC1F" w14:textId="77777777" w:rsidR="00DB1D8F" w:rsidRDefault="00DB1D8F" w:rsidP="002551C6">
            <w:pPr>
              <w:jc w:val="center"/>
              <w:rPr>
                <w:rFonts w:ascii="Arial" w:eastAsia="Calibri" w:hAnsi="Arial" w:cs="Arial"/>
                <w:b/>
                <w:u w:val="single"/>
              </w:rPr>
            </w:pPr>
          </w:p>
          <w:p w14:paraId="2C00859F" w14:textId="1194CF7D" w:rsidR="00DB1D8F" w:rsidRDefault="00DB1D8F" w:rsidP="002551C6">
            <w:pPr>
              <w:jc w:val="center"/>
              <w:rPr>
                <w:rFonts w:ascii="Arial" w:eastAsia="Calibri" w:hAnsi="Arial" w:cs="Arial"/>
                <w:b/>
                <w:u w:val="single"/>
              </w:rPr>
            </w:pPr>
            <w:r>
              <w:rPr>
                <w:rFonts w:ascii="Arial" w:eastAsia="Calibri" w:hAnsi="Arial" w:cs="Arial"/>
                <w:b/>
                <w:u w:val="single"/>
              </w:rPr>
              <w:t>95.00%</w:t>
            </w:r>
          </w:p>
          <w:p w14:paraId="110C1F26" w14:textId="5EDF997A" w:rsidR="00DB1D8F" w:rsidRDefault="00DB1D8F" w:rsidP="002551C6">
            <w:pPr>
              <w:jc w:val="center"/>
              <w:rPr>
                <w:rFonts w:ascii="Arial" w:eastAsia="Calibri" w:hAnsi="Arial" w:cs="Arial"/>
                <w:b/>
                <w:u w:val="single"/>
              </w:rPr>
            </w:pPr>
            <w:r>
              <w:rPr>
                <w:rFonts w:ascii="Arial" w:eastAsia="Calibri" w:hAnsi="Arial" w:cs="Arial"/>
                <w:b/>
                <w:u w:val="single"/>
              </w:rPr>
              <w:t>89.00%</w:t>
            </w:r>
          </w:p>
          <w:p w14:paraId="235F35FE" w14:textId="77777777" w:rsidR="00DB1D8F" w:rsidRDefault="00DB1D8F" w:rsidP="002551C6">
            <w:pPr>
              <w:jc w:val="center"/>
              <w:rPr>
                <w:rFonts w:ascii="Arial" w:eastAsia="Calibri" w:hAnsi="Arial" w:cs="Arial"/>
                <w:b/>
                <w:u w:val="single"/>
              </w:rPr>
            </w:pPr>
          </w:p>
          <w:p w14:paraId="3125A783" w14:textId="641C4419" w:rsidR="00DB1D8F" w:rsidRDefault="00DB1D8F" w:rsidP="002551C6">
            <w:pPr>
              <w:jc w:val="center"/>
              <w:rPr>
                <w:rFonts w:ascii="Arial" w:eastAsia="Calibri" w:hAnsi="Arial" w:cs="Arial"/>
                <w:b/>
                <w:u w:val="single"/>
              </w:rPr>
            </w:pPr>
            <w:r>
              <w:rPr>
                <w:rFonts w:ascii="Arial" w:eastAsia="Calibri" w:hAnsi="Arial" w:cs="Arial"/>
                <w:b/>
                <w:u w:val="single"/>
              </w:rPr>
              <w:t>90.00%</w:t>
            </w:r>
          </w:p>
        </w:tc>
        <w:tc>
          <w:tcPr>
            <w:tcW w:w="1804" w:type="dxa"/>
          </w:tcPr>
          <w:p w14:paraId="23454AB4" w14:textId="77777777" w:rsidR="00800769" w:rsidRDefault="00800769" w:rsidP="002551C6">
            <w:pPr>
              <w:jc w:val="center"/>
              <w:rPr>
                <w:rFonts w:ascii="Arial" w:eastAsia="Calibri" w:hAnsi="Arial" w:cs="Arial"/>
                <w:b/>
                <w:u w:val="single"/>
              </w:rPr>
            </w:pPr>
          </w:p>
          <w:p w14:paraId="6FD196A6" w14:textId="77777777" w:rsidR="00DB1D8F" w:rsidRDefault="00DB1D8F" w:rsidP="002551C6">
            <w:pPr>
              <w:jc w:val="center"/>
              <w:rPr>
                <w:rFonts w:ascii="Arial" w:eastAsia="Calibri" w:hAnsi="Arial" w:cs="Arial"/>
                <w:b/>
                <w:u w:val="single"/>
              </w:rPr>
            </w:pPr>
          </w:p>
          <w:p w14:paraId="05087A17" w14:textId="77777777" w:rsidR="00DB1D8F" w:rsidRDefault="00DB1D8F" w:rsidP="002551C6">
            <w:pPr>
              <w:jc w:val="center"/>
              <w:rPr>
                <w:rFonts w:ascii="Arial" w:eastAsia="Calibri" w:hAnsi="Arial" w:cs="Arial"/>
                <w:b/>
                <w:u w:val="single"/>
              </w:rPr>
            </w:pPr>
          </w:p>
          <w:p w14:paraId="0E98B6B4" w14:textId="77777777" w:rsidR="00DB1D8F" w:rsidRDefault="00DB1D8F" w:rsidP="002551C6">
            <w:pPr>
              <w:jc w:val="center"/>
              <w:rPr>
                <w:rFonts w:ascii="Arial" w:eastAsia="Calibri" w:hAnsi="Arial" w:cs="Arial"/>
                <w:b/>
                <w:u w:val="single"/>
              </w:rPr>
            </w:pPr>
          </w:p>
          <w:p w14:paraId="5CF6BAB4" w14:textId="20750CE8" w:rsidR="00DB1D8F" w:rsidRDefault="00DB1D8F" w:rsidP="002551C6">
            <w:pPr>
              <w:jc w:val="center"/>
              <w:rPr>
                <w:rFonts w:ascii="Arial" w:eastAsia="Calibri" w:hAnsi="Arial" w:cs="Arial"/>
                <w:b/>
                <w:u w:val="single"/>
              </w:rPr>
            </w:pPr>
            <w:r>
              <w:rPr>
                <w:rFonts w:ascii="Arial" w:eastAsia="Calibri" w:hAnsi="Arial" w:cs="Arial"/>
                <w:b/>
                <w:u w:val="single"/>
              </w:rPr>
              <w:t>93.00%</w:t>
            </w:r>
          </w:p>
          <w:p w14:paraId="4F25605E" w14:textId="08164C1B" w:rsidR="00DB1D8F" w:rsidRDefault="00DB1D8F" w:rsidP="002551C6">
            <w:pPr>
              <w:jc w:val="center"/>
              <w:rPr>
                <w:rFonts w:ascii="Arial" w:eastAsia="Calibri" w:hAnsi="Arial" w:cs="Arial"/>
                <w:b/>
                <w:u w:val="single"/>
              </w:rPr>
            </w:pPr>
            <w:r>
              <w:rPr>
                <w:rFonts w:ascii="Arial" w:eastAsia="Calibri" w:hAnsi="Arial" w:cs="Arial"/>
                <w:b/>
                <w:u w:val="single"/>
              </w:rPr>
              <w:t>65.00%</w:t>
            </w:r>
          </w:p>
          <w:p w14:paraId="5331B47D" w14:textId="77777777" w:rsidR="00DB1D8F" w:rsidRDefault="00DB1D8F" w:rsidP="002551C6">
            <w:pPr>
              <w:jc w:val="center"/>
              <w:rPr>
                <w:rFonts w:ascii="Arial" w:eastAsia="Calibri" w:hAnsi="Arial" w:cs="Arial"/>
                <w:b/>
                <w:u w:val="single"/>
              </w:rPr>
            </w:pPr>
          </w:p>
          <w:p w14:paraId="0C9829F4" w14:textId="0A1D2DEC" w:rsidR="00DB1D8F" w:rsidRDefault="00DB1D8F" w:rsidP="002551C6">
            <w:pPr>
              <w:jc w:val="center"/>
              <w:rPr>
                <w:rFonts w:ascii="Arial" w:eastAsia="Calibri" w:hAnsi="Arial" w:cs="Arial"/>
                <w:b/>
                <w:u w:val="single"/>
              </w:rPr>
            </w:pPr>
            <w:r>
              <w:rPr>
                <w:rFonts w:ascii="Arial" w:eastAsia="Calibri" w:hAnsi="Arial" w:cs="Arial"/>
                <w:b/>
                <w:u w:val="single"/>
              </w:rPr>
              <w:t>69.00%</w:t>
            </w:r>
          </w:p>
        </w:tc>
        <w:tc>
          <w:tcPr>
            <w:tcW w:w="2042" w:type="dxa"/>
          </w:tcPr>
          <w:p w14:paraId="76F96E03" w14:textId="77777777" w:rsidR="00800769" w:rsidRDefault="00800769" w:rsidP="002551C6">
            <w:pPr>
              <w:jc w:val="center"/>
              <w:rPr>
                <w:rFonts w:ascii="Arial" w:eastAsia="Calibri" w:hAnsi="Arial" w:cs="Arial"/>
                <w:b/>
                <w:u w:val="single"/>
              </w:rPr>
            </w:pPr>
          </w:p>
          <w:p w14:paraId="0ECFA2CB" w14:textId="77777777" w:rsidR="00DB1D8F" w:rsidRDefault="00DB1D8F" w:rsidP="002551C6">
            <w:pPr>
              <w:jc w:val="center"/>
              <w:rPr>
                <w:rFonts w:ascii="Arial" w:eastAsia="Calibri" w:hAnsi="Arial" w:cs="Arial"/>
                <w:b/>
                <w:u w:val="single"/>
              </w:rPr>
            </w:pPr>
          </w:p>
          <w:p w14:paraId="2BF0DAC0" w14:textId="77777777" w:rsidR="00DB1D8F" w:rsidRDefault="00DB1D8F" w:rsidP="002551C6">
            <w:pPr>
              <w:jc w:val="center"/>
              <w:rPr>
                <w:rFonts w:ascii="Arial" w:eastAsia="Calibri" w:hAnsi="Arial" w:cs="Arial"/>
                <w:b/>
                <w:u w:val="single"/>
              </w:rPr>
            </w:pPr>
          </w:p>
          <w:p w14:paraId="19407533" w14:textId="77777777" w:rsidR="00DB1D8F" w:rsidRDefault="00DB1D8F" w:rsidP="002551C6">
            <w:pPr>
              <w:jc w:val="center"/>
              <w:rPr>
                <w:rFonts w:ascii="Arial" w:eastAsia="Calibri" w:hAnsi="Arial" w:cs="Arial"/>
                <w:b/>
                <w:u w:val="single"/>
              </w:rPr>
            </w:pPr>
          </w:p>
          <w:p w14:paraId="2EC24767" w14:textId="4A8364B0" w:rsidR="00DB1D8F" w:rsidRDefault="00DB1D8F" w:rsidP="002551C6">
            <w:pPr>
              <w:jc w:val="center"/>
              <w:rPr>
                <w:rFonts w:ascii="Arial" w:eastAsia="Calibri" w:hAnsi="Arial" w:cs="Arial"/>
                <w:b/>
                <w:u w:val="single"/>
              </w:rPr>
            </w:pPr>
            <w:r>
              <w:rPr>
                <w:rFonts w:ascii="Arial" w:eastAsia="Calibri" w:hAnsi="Arial" w:cs="Arial"/>
                <w:b/>
                <w:u w:val="single"/>
              </w:rPr>
              <w:t>93.00%</w:t>
            </w:r>
          </w:p>
          <w:p w14:paraId="43986BA0" w14:textId="0904DA1F" w:rsidR="00DB1D8F" w:rsidRDefault="00DB1D8F" w:rsidP="002551C6">
            <w:pPr>
              <w:jc w:val="center"/>
              <w:rPr>
                <w:rFonts w:ascii="Arial" w:eastAsia="Calibri" w:hAnsi="Arial" w:cs="Arial"/>
                <w:b/>
                <w:u w:val="single"/>
              </w:rPr>
            </w:pPr>
            <w:r>
              <w:rPr>
                <w:rFonts w:ascii="Arial" w:eastAsia="Calibri" w:hAnsi="Arial" w:cs="Arial"/>
                <w:b/>
                <w:u w:val="single"/>
              </w:rPr>
              <w:t>65.00%</w:t>
            </w:r>
          </w:p>
          <w:p w14:paraId="5D1C8493" w14:textId="77777777" w:rsidR="00DB1D8F" w:rsidRDefault="00DB1D8F" w:rsidP="002551C6">
            <w:pPr>
              <w:jc w:val="center"/>
              <w:rPr>
                <w:rFonts w:ascii="Arial" w:eastAsia="Calibri" w:hAnsi="Arial" w:cs="Arial"/>
                <w:b/>
                <w:u w:val="single"/>
              </w:rPr>
            </w:pPr>
          </w:p>
          <w:p w14:paraId="448E358E" w14:textId="305A25E3" w:rsidR="00DB1D8F" w:rsidRDefault="00DB1D8F" w:rsidP="002551C6">
            <w:pPr>
              <w:jc w:val="center"/>
              <w:rPr>
                <w:rFonts w:ascii="Arial" w:eastAsia="Calibri" w:hAnsi="Arial" w:cs="Arial"/>
                <w:b/>
                <w:u w:val="single"/>
              </w:rPr>
            </w:pPr>
            <w:r>
              <w:rPr>
                <w:rFonts w:ascii="Arial" w:eastAsia="Calibri" w:hAnsi="Arial" w:cs="Arial"/>
                <w:b/>
                <w:u w:val="single"/>
              </w:rPr>
              <w:t>69.00%</w:t>
            </w:r>
          </w:p>
        </w:tc>
      </w:tr>
      <w:tr w:rsidR="00800769" w:rsidRPr="004B1294" w14:paraId="16546A03" w14:textId="77777777" w:rsidTr="00042E94">
        <w:tc>
          <w:tcPr>
            <w:tcW w:w="1550" w:type="dxa"/>
          </w:tcPr>
          <w:p w14:paraId="6173F01A" w14:textId="6E89A6CA" w:rsidR="00800769" w:rsidRDefault="00055646" w:rsidP="002551C6">
            <w:pPr>
              <w:jc w:val="center"/>
              <w:rPr>
                <w:rFonts w:ascii="Arial" w:hAnsi="Arial" w:cs="Arial"/>
                <w:b/>
              </w:rPr>
            </w:pPr>
            <w:r>
              <w:rPr>
                <w:rFonts w:ascii="Arial" w:hAnsi="Arial" w:cs="Arial"/>
                <w:b/>
              </w:rPr>
              <w:t>46</w:t>
            </w:r>
          </w:p>
        </w:tc>
        <w:tc>
          <w:tcPr>
            <w:tcW w:w="3255" w:type="dxa"/>
          </w:tcPr>
          <w:p w14:paraId="1A892BEB" w14:textId="77777777" w:rsidR="00800769" w:rsidRDefault="00055646" w:rsidP="00055646">
            <w:pPr>
              <w:jc w:val="both"/>
              <w:rPr>
                <w:rFonts w:ascii="Arial" w:hAnsi="Arial" w:cs="Arial"/>
                <w:b/>
              </w:rPr>
            </w:pPr>
            <w:r w:rsidRPr="00055646">
              <w:rPr>
                <w:rFonts w:ascii="Arial" w:hAnsi="Arial" w:cs="Arial"/>
                <w:b/>
              </w:rPr>
              <w:t>MINISTERIO DE TECNOLOGÍAS DE LA INFORMACIÓN Y LAS COMUNICACIONES – MINTIC.</w:t>
            </w:r>
          </w:p>
          <w:p w14:paraId="4AF376C6" w14:textId="77777777" w:rsidR="00055646" w:rsidRDefault="00055646" w:rsidP="00055646">
            <w:pPr>
              <w:jc w:val="both"/>
              <w:rPr>
                <w:rFonts w:ascii="Arial" w:hAnsi="Arial" w:cs="Arial"/>
                <w:b/>
              </w:rPr>
            </w:pPr>
          </w:p>
          <w:p w14:paraId="0B6946D5" w14:textId="77777777" w:rsidR="00055646" w:rsidRDefault="00055646" w:rsidP="00055646">
            <w:pPr>
              <w:jc w:val="both"/>
              <w:rPr>
                <w:rFonts w:ascii="Arial" w:hAnsi="Arial" w:cs="Arial"/>
                <w:b/>
              </w:rPr>
            </w:pPr>
            <w:r>
              <w:rPr>
                <w:rFonts w:ascii="Arial" w:hAnsi="Arial" w:cs="Arial"/>
                <w:b/>
              </w:rPr>
              <w:t>FUNCIONAMIENTO</w:t>
            </w:r>
          </w:p>
          <w:p w14:paraId="02217FC0" w14:textId="77777777" w:rsidR="00055646" w:rsidRDefault="00055646" w:rsidP="00055646">
            <w:pPr>
              <w:jc w:val="both"/>
              <w:rPr>
                <w:rFonts w:ascii="Arial" w:hAnsi="Arial" w:cs="Arial"/>
                <w:b/>
              </w:rPr>
            </w:pPr>
          </w:p>
          <w:p w14:paraId="37CEF2E2" w14:textId="5F1B0FBA" w:rsidR="00055646" w:rsidRPr="00055646" w:rsidRDefault="00055646" w:rsidP="00055646">
            <w:pPr>
              <w:jc w:val="both"/>
              <w:rPr>
                <w:rFonts w:ascii="Arial" w:hAnsi="Arial" w:cs="Arial"/>
                <w:b/>
              </w:rPr>
            </w:pPr>
            <w:r>
              <w:rPr>
                <w:rFonts w:ascii="Arial" w:hAnsi="Arial" w:cs="Arial"/>
                <w:b/>
              </w:rPr>
              <w:t>TOTAL PRESUPUESTO</w:t>
            </w:r>
          </w:p>
        </w:tc>
        <w:tc>
          <w:tcPr>
            <w:tcW w:w="1839" w:type="dxa"/>
          </w:tcPr>
          <w:p w14:paraId="5FC5DABD" w14:textId="77777777" w:rsidR="00800769" w:rsidRDefault="00800769" w:rsidP="002551C6">
            <w:pPr>
              <w:jc w:val="center"/>
              <w:rPr>
                <w:rFonts w:ascii="Arial" w:eastAsia="Calibri" w:hAnsi="Arial" w:cs="Arial"/>
                <w:b/>
                <w:u w:val="single"/>
              </w:rPr>
            </w:pPr>
          </w:p>
          <w:p w14:paraId="05002B76" w14:textId="77777777" w:rsidR="00055646" w:rsidRDefault="00055646" w:rsidP="002551C6">
            <w:pPr>
              <w:jc w:val="center"/>
              <w:rPr>
                <w:rFonts w:ascii="Arial" w:eastAsia="Calibri" w:hAnsi="Arial" w:cs="Arial"/>
                <w:b/>
                <w:u w:val="single"/>
              </w:rPr>
            </w:pPr>
          </w:p>
          <w:p w14:paraId="1AD25029" w14:textId="77777777" w:rsidR="00055646" w:rsidRDefault="00055646" w:rsidP="002551C6">
            <w:pPr>
              <w:jc w:val="center"/>
              <w:rPr>
                <w:rFonts w:ascii="Arial" w:eastAsia="Calibri" w:hAnsi="Arial" w:cs="Arial"/>
                <w:b/>
                <w:u w:val="single"/>
              </w:rPr>
            </w:pPr>
          </w:p>
          <w:p w14:paraId="40FAD8C5" w14:textId="77777777" w:rsidR="00055646" w:rsidRDefault="00055646" w:rsidP="002551C6">
            <w:pPr>
              <w:jc w:val="center"/>
              <w:rPr>
                <w:rFonts w:ascii="Arial" w:eastAsia="Calibri" w:hAnsi="Arial" w:cs="Arial"/>
                <w:b/>
                <w:u w:val="single"/>
              </w:rPr>
            </w:pPr>
          </w:p>
          <w:p w14:paraId="21927F96" w14:textId="3F37C3C0" w:rsidR="00055646" w:rsidRDefault="00055646" w:rsidP="00055646">
            <w:pPr>
              <w:jc w:val="center"/>
              <w:rPr>
                <w:rFonts w:ascii="Arial" w:eastAsia="Calibri" w:hAnsi="Arial" w:cs="Arial"/>
                <w:b/>
                <w:u w:val="single"/>
              </w:rPr>
            </w:pPr>
            <w:r>
              <w:rPr>
                <w:rFonts w:ascii="Arial" w:eastAsia="Calibri" w:hAnsi="Arial" w:cs="Arial"/>
                <w:b/>
                <w:u w:val="single"/>
              </w:rPr>
              <w:t>94.15%</w:t>
            </w:r>
          </w:p>
          <w:p w14:paraId="044DD495" w14:textId="77777777" w:rsidR="00055646" w:rsidRDefault="00055646" w:rsidP="002551C6">
            <w:pPr>
              <w:jc w:val="center"/>
              <w:rPr>
                <w:rFonts w:ascii="Arial" w:eastAsia="Calibri" w:hAnsi="Arial" w:cs="Arial"/>
                <w:b/>
                <w:u w:val="single"/>
              </w:rPr>
            </w:pPr>
          </w:p>
          <w:p w14:paraId="19488EFD" w14:textId="452E1840" w:rsidR="00055646" w:rsidRDefault="00055646" w:rsidP="002551C6">
            <w:pPr>
              <w:jc w:val="center"/>
              <w:rPr>
                <w:rFonts w:ascii="Arial" w:eastAsia="Calibri" w:hAnsi="Arial" w:cs="Arial"/>
                <w:b/>
                <w:u w:val="single"/>
              </w:rPr>
            </w:pPr>
            <w:r>
              <w:rPr>
                <w:rFonts w:ascii="Arial" w:eastAsia="Calibri" w:hAnsi="Arial" w:cs="Arial"/>
                <w:b/>
                <w:u w:val="single"/>
              </w:rPr>
              <w:t>94.15%</w:t>
            </w:r>
          </w:p>
        </w:tc>
        <w:tc>
          <w:tcPr>
            <w:tcW w:w="1804" w:type="dxa"/>
          </w:tcPr>
          <w:p w14:paraId="76DCEFD4" w14:textId="77777777" w:rsidR="00800769" w:rsidRDefault="00800769" w:rsidP="002551C6">
            <w:pPr>
              <w:jc w:val="center"/>
              <w:rPr>
                <w:rFonts w:ascii="Arial" w:eastAsia="Calibri" w:hAnsi="Arial" w:cs="Arial"/>
                <w:b/>
                <w:u w:val="single"/>
              </w:rPr>
            </w:pPr>
          </w:p>
          <w:p w14:paraId="5F453C51" w14:textId="77777777" w:rsidR="00055646" w:rsidRDefault="00055646" w:rsidP="002551C6">
            <w:pPr>
              <w:jc w:val="center"/>
              <w:rPr>
                <w:rFonts w:ascii="Arial" w:eastAsia="Calibri" w:hAnsi="Arial" w:cs="Arial"/>
                <w:b/>
                <w:u w:val="single"/>
              </w:rPr>
            </w:pPr>
          </w:p>
          <w:p w14:paraId="574CE847" w14:textId="77777777" w:rsidR="00055646" w:rsidRDefault="00055646" w:rsidP="002551C6">
            <w:pPr>
              <w:jc w:val="center"/>
              <w:rPr>
                <w:rFonts w:ascii="Arial" w:eastAsia="Calibri" w:hAnsi="Arial" w:cs="Arial"/>
                <w:b/>
                <w:u w:val="single"/>
              </w:rPr>
            </w:pPr>
          </w:p>
          <w:p w14:paraId="5E29F861" w14:textId="77777777" w:rsidR="00055646" w:rsidRDefault="00055646" w:rsidP="002551C6">
            <w:pPr>
              <w:jc w:val="center"/>
              <w:rPr>
                <w:rFonts w:ascii="Arial" w:eastAsia="Calibri" w:hAnsi="Arial" w:cs="Arial"/>
                <w:b/>
                <w:u w:val="single"/>
              </w:rPr>
            </w:pPr>
          </w:p>
          <w:p w14:paraId="0B2A8186" w14:textId="3DCA7F03" w:rsidR="00055646" w:rsidRDefault="00055646" w:rsidP="00055646">
            <w:pPr>
              <w:jc w:val="center"/>
              <w:rPr>
                <w:rFonts w:ascii="Arial" w:eastAsia="Calibri" w:hAnsi="Arial" w:cs="Arial"/>
                <w:b/>
                <w:u w:val="single"/>
              </w:rPr>
            </w:pPr>
            <w:r>
              <w:rPr>
                <w:rFonts w:ascii="Arial" w:eastAsia="Calibri" w:hAnsi="Arial" w:cs="Arial"/>
                <w:b/>
                <w:u w:val="single"/>
              </w:rPr>
              <w:t>94.14%</w:t>
            </w:r>
          </w:p>
          <w:p w14:paraId="29B86B50" w14:textId="77777777" w:rsidR="00055646" w:rsidRDefault="00055646" w:rsidP="002551C6">
            <w:pPr>
              <w:jc w:val="center"/>
              <w:rPr>
                <w:rFonts w:ascii="Arial" w:eastAsia="Calibri" w:hAnsi="Arial" w:cs="Arial"/>
                <w:b/>
                <w:u w:val="single"/>
              </w:rPr>
            </w:pPr>
          </w:p>
          <w:p w14:paraId="0FA22CF2" w14:textId="3B8D9850" w:rsidR="00055646" w:rsidRDefault="00055646" w:rsidP="002551C6">
            <w:pPr>
              <w:jc w:val="center"/>
              <w:rPr>
                <w:rFonts w:ascii="Arial" w:eastAsia="Calibri" w:hAnsi="Arial" w:cs="Arial"/>
                <w:b/>
                <w:u w:val="single"/>
              </w:rPr>
            </w:pPr>
            <w:r>
              <w:rPr>
                <w:rFonts w:ascii="Arial" w:eastAsia="Calibri" w:hAnsi="Arial" w:cs="Arial"/>
                <w:b/>
                <w:u w:val="single"/>
              </w:rPr>
              <w:t>94.14%</w:t>
            </w:r>
          </w:p>
        </w:tc>
        <w:tc>
          <w:tcPr>
            <w:tcW w:w="2042" w:type="dxa"/>
          </w:tcPr>
          <w:p w14:paraId="3AA0862D" w14:textId="77777777" w:rsidR="00800769" w:rsidRDefault="00800769" w:rsidP="002551C6">
            <w:pPr>
              <w:jc w:val="center"/>
              <w:rPr>
                <w:rFonts w:ascii="Arial" w:eastAsia="Calibri" w:hAnsi="Arial" w:cs="Arial"/>
                <w:b/>
                <w:u w:val="single"/>
              </w:rPr>
            </w:pPr>
          </w:p>
          <w:p w14:paraId="5C130FA1" w14:textId="77777777" w:rsidR="00055646" w:rsidRDefault="00055646" w:rsidP="002551C6">
            <w:pPr>
              <w:jc w:val="center"/>
              <w:rPr>
                <w:rFonts w:ascii="Arial" w:eastAsia="Calibri" w:hAnsi="Arial" w:cs="Arial"/>
                <w:b/>
                <w:u w:val="single"/>
              </w:rPr>
            </w:pPr>
          </w:p>
          <w:p w14:paraId="04A22AB0" w14:textId="77777777" w:rsidR="00055646" w:rsidRDefault="00055646" w:rsidP="002551C6">
            <w:pPr>
              <w:jc w:val="center"/>
              <w:rPr>
                <w:rFonts w:ascii="Arial" w:eastAsia="Calibri" w:hAnsi="Arial" w:cs="Arial"/>
                <w:b/>
                <w:u w:val="single"/>
              </w:rPr>
            </w:pPr>
          </w:p>
          <w:p w14:paraId="792A8185" w14:textId="77777777" w:rsidR="00055646" w:rsidRDefault="00055646" w:rsidP="002551C6">
            <w:pPr>
              <w:jc w:val="center"/>
              <w:rPr>
                <w:rFonts w:ascii="Arial" w:eastAsia="Calibri" w:hAnsi="Arial" w:cs="Arial"/>
                <w:b/>
                <w:u w:val="single"/>
              </w:rPr>
            </w:pPr>
          </w:p>
          <w:p w14:paraId="6EB7BE7B" w14:textId="545FC7BD" w:rsidR="00055646" w:rsidRDefault="00055646" w:rsidP="00055646">
            <w:pPr>
              <w:jc w:val="center"/>
              <w:rPr>
                <w:rFonts w:ascii="Arial" w:eastAsia="Calibri" w:hAnsi="Arial" w:cs="Arial"/>
                <w:b/>
                <w:u w:val="single"/>
              </w:rPr>
            </w:pPr>
            <w:r>
              <w:rPr>
                <w:rFonts w:ascii="Arial" w:eastAsia="Calibri" w:hAnsi="Arial" w:cs="Arial"/>
                <w:b/>
                <w:u w:val="single"/>
              </w:rPr>
              <w:t>93.96%</w:t>
            </w:r>
          </w:p>
          <w:p w14:paraId="5FDE3AEF" w14:textId="77777777" w:rsidR="00055646" w:rsidRDefault="00055646" w:rsidP="002551C6">
            <w:pPr>
              <w:jc w:val="center"/>
              <w:rPr>
                <w:rFonts w:ascii="Arial" w:eastAsia="Calibri" w:hAnsi="Arial" w:cs="Arial"/>
                <w:b/>
                <w:u w:val="single"/>
              </w:rPr>
            </w:pPr>
          </w:p>
          <w:p w14:paraId="5BA2F9C2" w14:textId="72DC34E0" w:rsidR="00055646" w:rsidRDefault="00055646" w:rsidP="002551C6">
            <w:pPr>
              <w:jc w:val="center"/>
              <w:rPr>
                <w:rFonts w:ascii="Arial" w:eastAsia="Calibri" w:hAnsi="Arial" w:cs="Arial"/>
                <w:b/>
                <w:u w:val="single"/>
              </w:rPr>
            </w:pPr>
            <w:r>
              <w:rPr>
                <w:rFonts w:ascii="Arial" w:eastAsia="Calibri" w:hAnsi="Arial" w:cs="Arial"/>
                <w:b/>
                <w:u w:val="single"/>
              </w:rPr>
              <w:t>93.96%</w:t>
            </w:r>
          </w:p>
        </w:tc>
      </w:tr>
      <w:tr w:rsidR="00800769" w:rsidRPr="004B1294" w14:paraId="3B88AFDD" w14:textId="77777777" w:rsidTr="00042E94">
        <w:tc>
          <w:tcPr>
            <w:tcW w:w="1550" w:type="dxa"/>
          </w:tcPr>
          <w:p w14:paraId="499E6B13" w14:textId="29D8E94D" w:rsidR="00800769" w:rsidRDefault="00F40451" w:rsidP="002551C6">
            <w:pPr>
              <w:jc w:val="center"/>
              <w:rPr>
                <w:rFonts w:ascii="Arial" w:hAnsi="Arial" w:cs="Arial"/>
                <w:b/>
              </w:rPr>
            </w:pPr>
            <w:r>
              <w:rPr>
                <w:rFonts w:ascii="Arial" w:hAnsi="Arial" w:cs="Arial"/>
                <w:b/>
              </w:rPr>
              <w:t>47</w:t>
            </w:r>
          </w:p>
        </w:tc>
        <w:tc>
          <w:tcPr>
            <w:tcW w:w="3255" w:type="dxa"/>
          </w:tcPr>
          <w:p w14:paraId="180BFF6B" w14:textId="5EC73588" w:rsidR="00F40451" w:rsidRPr="00F40451" w:rsidRDefault="00F40451" w:rsidP="00F40451">
            <w:pPr>
              <w:jc w:val="both"/>
              <w:rPr>
                <w:rFonts w:ascii="Arial" w:hAnsi="Arial" w:cs="Arial"/>
                <w:b/>
                <w:lang w:val="es-MX"/>
              </w:rPr>
            </w:pPr>
            <w:r w:rsidRPr="00F40451">
              <w:rPr>
                <w:rFonts w:ascii="Arial" w:hAnsi="Arial" w:cs="Arial"/>
                <w:b/>
                <w:lang w:val="es-MX"/>
              </w:rPr>
              <w:t>INSTITUTO COLOMBIANO DE BIENESTAR FAMILIAR – ICBF.</w:t>
            </w:r>
          </w:p>
          <w:p w14:paraId="6F514D94" w14:textId="77777777" w:rsidR="00800769" w:rsidRDefault="00800769" w:rsidP="00AD023F">
            <w:pPr>
              <w:jc w:val="both"/>
              <w:rPr>
                <w:rFonts w:ascii="Arial" w:hAnsi="Arial" w:cs="Arial"/>
                <w:b/>
                <w:lang w:val="es-MX"/>
              </w:rPr>
            </w:pPr>
          </w:p>
          <w:p w14:paraId="274DC1C9" w14:textId="77777777" w:rsidR="00F40451" w:rsidRDefault="00F40451" w:rsidP="00F40451">
            <w:pPr>
              <w:jc w:val="both"/>
              <w:rPr>
                <w:rFonts w:ascii="Arial" w:hAnsi="Arial" w:cs="Arial"/>
                <w:b/>
                <w:lang w:val="es-MX"/>
              </w:rPr>
            </w:pPr>
            <w:r>
              <w:rPr>
                <w:rFonts w:ascii="Arial" w:hAnsi="Arial" w:cs="Arial"/>
                <w:b/>
                <w:lang w:val="es-MX"/>
              </w:rPr>
              <w:t>FUNCIONAMIENTO</w:t>
            </w:r>
          </w:p>
          <w:p w14:paraId="6D100EF6" w14:textId="77777777" w:rsidR="00F40451" w:rsidRDefault="00F40451" w:rsidP="00F40451">
            <w:pPr>
              <w:jc w:val="both"/>
              <w:rPr>
                <w:rFonts w:ascii="Arial" w:hAnsi="Arial" w:cs="Arial"/>
                <w:b/>
                <w:lang w:val="es-MX"/>
              </w:rPr>
            </w:pPr>
            <w:r>
              <w:rPr>
                <w:rFonts w:ascii="Arial" w:hAnsi="Arial" w:cs="Arial"/>
                <w:b/>
                <w:lang w:val="es-MX"/>
              </w:rPr>
              <w:t>INVERSIÓN</w:t>
            </w:r>
          </w:p>
          <w:p w14:paraId="1C1AF67F" w14:textId="77777777" w:rsidR="00F40451" w:rsidRDefault="00F40451" w:rsidP="00F40451">
            <w:pPr>
              <w:jc w:val="both"/>
              <w:rPr>
                <w:rFonts w:ascii="Arial" w:hAnsi="Arial" w:cs="Arial"/>
                <w:b/>
                <w:lang w:val="es-MX"/>
              </w:rPr>
            </w:pPr>
          </w:p>
          <w:p w14:paraId="5D7E8321" w14:textId="516F14D1" w:rsidR="00F40451" w:rsidRPr="00F40451" w:rsidRDefault="00F40451" w:rsidP="00F40451">
            <w:pPr>
              <w:jc w:val="both"/>
              <w:rPr>
                <w:rFonts w:ascii="Arial" w:hAnsi="Arial" w:cs="Arial"/>
                <w:b/>
                <w:lang w:val="es-MX"/>
              </w:rPr>
            </w:pPr>
            <w:r>
              <w:rPr>
                <w:rFonts w:ascii="Arial" w:hAnsi="Arial" w:cs="Arial"/>
                <w:b/>
                <w:lang w:val="es-MX"/>
              </w:rPr>
              <w:t>TOTAL PRESUPUESTO</w:t>
            </w:r>
          </w:p>
        </w:tc>
        <w:tc>
          <w:tcPr>
            <w:tcW w:w="1839" w:type="dxa"/>
          </w:tcPr>
          <w:p w14:paraId="67811924" w14:textId="77777777" w:rsidR="00800769" w:rsidRDefault="00800769" w:rsidP="002551C6">
            <w:pPr>
              <w:jc w:val="center"/>
              <w:rPr>
                <w:rFonts w:ascii="Arial" w:eastAsia="Calibri" w:hAnsi="Arial" w:cs="Arial"/>
                <w:b/>
                <w:u w:val="single"/>
              </w:rPr>
            </w:pPr>
          </w:p>
          <w:p w14:paraId="61408B42" w14:textId="77777777" w:rsidR="00F40451" w:rsidRDefault="00F40451" w:rsidP="002551C6">
            <w:pPr>
              <w:jc w:val="center"/>
              <w:rPr>
                <w:rFonts w:ascii="Arial" w:eastAsia="Calibri" w:hAnsi="Arial" w:cs="Arial"/>
                <w:b/>
                <w:u w:val="single"/>
              </w:rPr>
            </w:pPr>
          </w:p>
          <w:p w14:paraId="09DD0EB2" w14:textId="77777777" w:rsidR="00F40451" w:rsidRDefault="00F40451" w:rsidP="002551C6">
            <w:pPr>
              <w:jc w:val="center"/>
              <w:rPr>
                <w:rFonts w:ascii="Arial" w:eastAsia="Calibri" w:hAnsi="Arial" w:cs="Arial"/>
                <w:b/>
                <w:u w:val="single"/>
              </w:rPr>
            </w:pPr>
          </w:p>
          <w:p w14:paraId="35E1E51A" w14:textId="515BF4C4" w:rsidR="00F40451" w:rsidRDefault="00F40451" w:rsidP="002551C6">
            <w:pPr>
              <w:jc w:val="center"/>
              <w:rPr>
                <w:rFonts w:ascii="Arial" w:eastAsia="Calibri" w:hAnsi="Arial" w:cs="Arial"/>
                <w:b/>
                <w:u w:val="single"/>
              </w:rPr>
            </w:pPr>
            <w:r>
              <w:rPr>
                <w:rFonts w:ascii="Arial" w:eastAsia="Calibri" w:hAnsi="Arial" w:cs="Arial"/>
                <w:b/>
                <w:u w:val="single"/>
              </w:rPr>
              <w:t>82.90%</w:t>
            </w:r>
          </w:p>
          <w:p w14:paraId="5BE69E4D" w14:textId="2DE0B130" w:rsidR="00F40451" w:rsidRDefault="00F40451" w:rsidP="002551C6">
            <w:pPr>
              <w:jc w:val="center"/>
              <w:rPr>
                <w:rFonts w:ascii="Arial" w:eastAsia="Calibri" w:hAnsi="Arial" w:cs="Arial"/>
                <w:b/>
                <w:u w:val="single"/>
              </w:rPr>
            </w:pPr>
            <w:r>
              <w:rPr>
                <w:rFonts w:ascii="Arial" w:eastAsia="Calibri" w:hAnsi="Arial" w:cs="Arial"/>
                <w:b/>
                <w:u w:val="single"/>
              </w:rPr>
              <w:t>99.12%</w:t>
            </w:r>
          </w:p>
          <w:p w14:paraId="6043AD48" w14:textId="77777777" w:rsidR="00F40451" w:rsidRDefault="00F40451" w:rsidP="002551C6">
            <w:pPr>
              <w:jc w:val="center"/>
              <w:rPr>
                <w:rFonts w:ascii="Arial" w:eastAsia="Calibri" w:hAnsi="Arial" w:cs="Arial"/>
                <w:b/>
                <w:u w:val="single"/>
              </w:rPr>
            </w:pPr>
          </w:p>
          <w:p w14:paraId="597970EA" w14:textId="6D32DF4B" w:rsidR="00F40451" w:rsidRDefault="00F40451" w:rsidP="002551C6">
            <w:pPr>
              <w:jc w:val="center"/>
              <w:rPr>
                <w:rFonts w:ascii="Arial" w:eastAsia="Calibri" w:hAnsi="Arial" w:cs="Arial"/>
                <w:b/>
                <w:u w:val="single"/>
              </w:rPr>
            </w:pPr>
            <w:r>
              <w:rPr>
                <w:rFonts w:ascii="Arial" w:eastAsia="Calibri" w:hAnsi="Arial" w:cs="Arial"/>
                <w:b/>
                <w:u w:val="single"/>
              </w:rPr>
              <w:t>97.52%</w:t>
            </w:r>
          </w:p>
        </w:tc>
        <w:tc>
          <w:tcPr>
            <w:tcW w:w="1804" w:type="dxa"/>
          </w:tcPr>
          <w:p w14:paraId="17356D83" w14:textId="77777777" w:rsidR="00800769" w:rsidRDefault="00800769" w:rsidP="002551C6">
            <w:pPr>
              <w:jc w:val="center"/>
              <w:rPr>
                <w:rFonts w:ascii="Arial" w:eastAsia="Calibri" w:hAnsi="Arial" w:cs="Arial"/>
                <w:b/>
                <w:u w:val="single"/>
              </w:rPr>
            </w:pPr>
          </w:p>
          <w:p w14:paraId="4438E169" w14:textId="77777777" w:rsidR="00F40451" w:rsidRDefault="00F40451" w:rsidP="002551C6">
            <w:pPr>
              <w:jc w:val="center"/>
              <w:rPr>
                <w:rFonts w:ascii="Arial" w:eastAsia="Calibri" w:hAnsi="Arial" w:cs="Arial"/>
                <w:b/>
                <w:u w:val="single"/>
              </w:rPr>
            </w:pPr>
          </w:p>
          <w:p w14:paraId="21025903" w14:textId="77777777" w:rsidR="00F40451" w:rsidRDefault="00F40451" w:rsidP="002551C6">
            <w:pPr>
              <w:jc w:val="center"/>
              <w:rPr>
                <w:rFonts w:ascii="Arial" w:eastAsia="Calibri" w:hAnsi="Arial" w:cs="Arial"/>
                <w:b/>
                <w:u w:val="single"/>
              </w:rPr>
            </w:pPr>
          </w:p>
          <w:p w14:paraId="74E2C440" w14:textId="02829786" w:rsidR="00F40451" w:rsidRDefault="00F40451" w:rsidP="002551C6">
            <w:pPr>
              <w:jc w:val="center"/>
              <w:rPr>
                <w:rFonts w:ascii="Arial" w:eastAsia="Calibri" w:hAnsi="Arial" w:cs="Arial"/>
                <w:b/>
                <w:u w:val="single"/>
              </w:rPr>
            </w:pPr>
            <w:r>
              <w:rPr>
                <w:rFonts w:ascii="Arial" w:eastAsia="Calibri" w:hAnsi="Arial" w:cs="Arial"/>
                <w:b/>
                <w:u w:val="single"/>
              </w:rPr>
              <w:t>81.94%</w:t>
            </w:r>
          </w:p>
          <w:p w14:paraId="3ACA63E3" w14:textId="46D675B4" w:rsidR="00F40451" w:rsidRDefault="00F40451" w:rsidP="002551C6">
            <w:pPr>
              <w:jc w:val="center"/>
              <w:rPr>
                <w:rFonts w:ascii="Arial" w:eastAsia="Calibri" w:hAnsi="Arial" w:cs="Arial"/>
                <w:b/>
                <w:u w:val="single"/>
              </w:rPr>
            </w:pPr>
            <w:r>
              <w:rPr>
                <w:rFonts w:ascii="Arial" w:eastAsia="Calibri" w:hAnsi="Arial" w:cs="Arial"/>
                <w:b/>
                <w:u w:val="single"/>
              </w:rPr>
              <w:t>92.13%</w:t>
            </w:r>
          </w:p>
          <w:p w14:paraId="5F659647" w14:textId="77777777" w:rsidR="00F40451" w:rsidRDefault="00F40451" w:rsidP="002551C6">
            <w:pPr>
              <w:jc w:val="center"/>
              <w:rPr>
                <w:rFonts w:ascii="Arial" w:eastAsia="Calibri" w:hAnsi="Arial" w:cs="Arial"/>
                <w:b/>
                <w:u w:val="single"/>
              </w:rPr>
            </w:pPr>
          </w:p>
          <w:p w14:paraId="22ED9860" w14:textId="5C1E4102" w:rsidR="00F40451" w:rsidRDefault="00F40451" w:rsidP="002551C6">
            <w:pPr>
              <w:jc w:val="center"/>
              <w:rPr>
                <w:rFonts w:ascii="Arial" w:eastAsia="Calibri" w:hAnsi="Arial" w:cs="Arial"/>
                <w:b/>
                <w:u w:val="single"/>
              </w:rPr>
            </w:pPr>
            <w:r>
              <w:rPr>
                <w:rFonts w:ascii="Arial" w:eastAsia="Calibri" w:hAnsi="Arial" w:cs="Arial"/>
                <w:b/>
                <w:u w:val="single"/>
              </w:rPr>
              <w:t>91.13%</w:t>
            </w:r>
          </w:p>
        </w:tc>
        <w:tc>
          <w:tcPr>
            <w:tcW w:w="2042" w:type="dxa"/>
          </w:tcPr>
          <w:p w14:paraId="3FB3B360" w14:textId="77777777" w:rsidR="00800769" w:rsidRDefault="00800769" w:rsidP="002551C6">
            <w:pPr>
              <w:jc w:val="center"/>
              <w:rPr>
                <w:rFonts w:ascii="Arial" w:eastAsia="Calibri" w:hAnsi="Arial" w:cs="Arial"/>
                <w:b/>
                <w:u w:val="single"/>
              </w:rPr>
            </w:pPr>
          </w:p>
          <w:p w14:paraId="3BC90E6E" w14:textId="77777777" w:rsidR="00F40451" w:rsidRDefault="00F40451" w:rsidP="002551C6">
            <w:pPr>
              <w:jc w:val="center"/>
              <w:rPr>
                <w:rFonts w:ascii="Arial" w:eastAsia="Calibri" w:hAnsi="Arial" w:cs="Arial"/>
                <w:b/>
                <w:u w:val="single"/>
              </w:rPr>
            </w:pPr>
          </w:p>
          <w:p w14:paraId="1E399076" w14:textId="77777777" w:rsidR="00F40451" w:rsidRDefault="00F40451" w:rsidP="002551C6">
            <w:pPr>
              <w:jc w:val="center"/>
              <w:rPr>
                <w:rFonts w:ascii="Arial" w:eastAsia="Calibri" w:hAnsi="Arial" w:cs="Arial"/>
                <w:b/>
                <w:u w:val="single"/>
              </w:rPr>
            </w:pPr>
          </w:p>
          <w:p w14:paraId="25E640F7" w14:textId="055DAEAA" w:rsidR="00F40451" w:rsidRDefault="00F40451" w:rsidP="002551C6">
            <w:pPr>
              <w:jc w:val="center"/>
              <w:rPr>
                <w:rFonts w:ascii="Arial" w:eastAsia="Calibri" w:hAnsi="Arial" w:cs="Arial"/>
                <w:b/>
                <w:u w:val="single"/>
              </w:rPr>
            </w:pPr>
            <w:r>
              <w:rPr>
                <w:rFonts w:ascii="Arial" w:eastAsia="Calibri" w:hAnsi="Arial" w:cs="Arial"/>
                <w:b/>
                <w:u w:val="single"/>
              </w:rPr>
              <w:t>81.78%</w:t>
            </w:r>
          </w:p>
          <w:p w14:paraId="5F6FDA3B" w14:textId="42E7FC4E" w:rsidR="00F40451" w:rsidRDefault="00F40451" w:rsidP="002551C6">
            <w:pPr>
              <w:jc w:val="center"/>
              <w:rPr>
                <w:rFonts w:ascii="Arial" w:eastAsia="Calibri" w:hAnsi="Arial" w:cs="Arial"/>
                <w:b/>
                <w:u w:val="single"/>
              </w:rPr>
            </w:pPr>
            <w:r>
              <w:rPr>
                <w:rFonts w:ascii="Arial" w:eastAsia="Calibri" w:hAnsi="Arial" w:cs="Arial"/>
                <w:b/>
                <w:u w:val="single"/>
              </w:rPr>
              <w:t>89.75%</w:t>
            </w:r>
          </w:p>
          <w:p w14:paraId="54F6EF99" w14:textId="77777777" w:rsidR="00F40451" w:rsidRDefault="00F40451" w:rsidP="002551C6">
            <w:pPr>
              <w:jc w:val="center"/>
              <w:rPr>
                <w:rFonts w:ascii="Arial" w:eastAsia="Calibri" w:hAnsi="Arial" w:cs="Arial"/>
                <w:b/>
                <w:u w:val="single"/>
              </w:rPr>
            </w:pPr>
          </w:p>
          <w:p w14:paraId="0FFB6CC6" w14:textId="18A50E04" w:rsidR="00F40451" w:rsidRDefault="00F40451" w:rsidP="002551C6">
            <w:pPr>
              <w:jc w:val="center"/>
              <w:rPr>
                <w:rFonts w:ascii="Arial" w:eastAsia="Calibri" w:hAnsi="Arial" w:cs="Arial"/>
                <w:b/>
                <w:u w:val="single"/>
              </w:rPr>
            </w:pPr>
            <w:r>
              <w:rPr>
                <w:rFonts w:ascii="Arial" w:eastAsia="Calibri" w:hAnsi="Arial" w:cs="Arial"/>
                <w:b/>
                <w:u w:val="single"/>
              </w:rPr>
              <w:t>88.97%</w:t>
            </w:r>
          </w:p>
        </w:tc>
      </w:tr>
      <w:tr w:rsidR="00800769" w:rsidRPr="004B1294" w14:paraId="5485E87D" w14:textId="77777777" w:rsidTr="00042E94">
        <w:tc>
          <w:tcPr>
            <w:tcW w:w="1550" w:type="dxa"/>
          </w:tcPr>
          <w:p w14:paraId="5C0A17DD" w14:textId="39A4900F" w:rsidR="00800769" w:rsidRDefault="00A979F6" w:rsidP="002551C6">
            <w:pPr>
              <w:jc w:val="center"/>
              <w:rPr>
                <w:rFonts w:ascii="Arial" w:hAnsi="Arial" w:cs="Arial"/>
                <w:b/>
              </w:rPr>
            </w:pPr>
            <w:r>
              <w:rPr>
                <w:rFonts w:ascii="Arial" w:hAnsi="Arial" w:cs="Arial"/>
                <w:b/>
              </w:rPr>
              <w:t>51</w:t>
            </w:r>
          </w:p>
        </w:tc>
        <w:tc>
          <w:tcPr>
            <w:tcW w:w="3255" w:type="dxa"/>
          </w:tcPr>
          <w:p w14:paraId="7A72AC1F" w14:textId="2EE41014" w:rsidR="00A979F6" w:rsidRPr="00A979F6" w:rsidRDefault="00A979F6" w:rsidP="00A979F6">
            <w:pPr>
              <w:jc w:val="both"/>
              <w:rPr>
                <w:rFonts w:ascii="Arial" w:hAnsi="Arial" w:cs="Arial"/>
                <w:b/>
                <w:lang w:val="es-MX"/>
              </w:rPr>
            </w:pPr>
            <w:r w:rsidRPr="00A979F6">
              <w:rPr>
                <w:rFonts w:ascii="Arial" w:hAnsi="Arial" w:cs="Arial"/>
                <w:b/>
                <w:lang w:val="es-MX"/>
              </w:rPr>
              <w:t>INSTITUTO GEOGRÁFICO AGUSTIN CODAZZI - IGAC.</w:t>
            </w:r>
          </w:p>
          <w:p w14:paraId="6A0BEC70" w14:textId="77777777" w:rsidR="00800769" w:rsidRDefault="00800769" w:rsidP="00AD023F">
            <w:pPr>
              <w:jc w:val="both"/>
              <w:rPr>
                <w:rFonts w:ascii="Arial" w:hAnsi="Arial" w:cs="Arial"/>
                <w:b/>
                <w:lang w:val="es-MX"/>
              </w:rPr>
            </w:pPr>
          </w:p>
          <w:p w14:paraId="3AD492DB" w14:textId="77777777" w:rsidR="009703C4" w:rsidRDefault="009703C4" w:rsidP="009703C4">
            <w:pPr>
              <w:jc w:val="both"/>
              <w:rPr>
                <w:rFonts w:ascii="Arial" w:hAnsi="Arial" w:cs="Arial"/>
                <w:b/>
                <w:lang w:val="es-MX"/>
              </w:rPr>
            </w:pPr>
            <w:r>
              <w:rPr>
                <w:rFonts w:ascii="Arial" w:hAnsi="Arial" w:cs="Arial"/>
                <w:b/>
                <w:lang w:val="es-MX"/>
              </w:rPr>
              <w:t>FUNCIONAMIENTO</w:t>
            </w:r>
          </w:p>
          <w:p w14:paraId="0812AFA2" w14:textId="77777777" w:rsidR="009703C4" w:rsidRDefault="009703C4" w:rsidP="009703C4">
            <w:pPr>
              <w:jc w:val="both"/>
              <w:rPr>
                <w:rFonts w:ascii="Arial" w:hAnsi="Arial" w:cs="Arial"/>
                <w:b/>
                <w:lang w:val="es-MX"/>
              </w:rPr>
            </w:pPr>
            <w:r>
              <w:rPr>
                <w:rFonts w:ascii="Arial" w:hAnsi="Arial" w:cs="Arial"/>
                <w:b/>
                <w:lang w:val="es-MX"/>
              </w:rPr>
              <w:t>INVERSIÓN</w:t>
            </w:r>
          </w:p>
          <w:p w14:paraId="4FE885AF" w14:textId="77777777" w:rsidR="009703C4" w:rsidRDefault="009703C4" w:rsidP="009703C4">
            <w:pPr>
              <w:jc w:val="both"/>
              <w:rPr>
                <w:rFonts w:ascii="Arial" w:hAnsi="Arial" w:cs="Arial"/>
                <w:b/>
                <w:lang w:val="es-MX"/>
              </w:rPr>
            </w:pPr>
          </w:p>
          <w:p w14:paraId="0A426962" w14:textId="265D6E61" w:rsidR="009703C4" w:rsidRPr="00AD023F" w:rsidRDefault="009703C4" w:rsidP="009703C4">
            <w:pPr>
              <w:jc w:val="both"/>
              <w:rPr>
                <w:rFonts w:ascii="Arial" w:hAnsi="Arial" w:cs="Arial"/>
                <w:b/>
                <w:lang w:val="es-MX"/>
              </w:rPr>
            </w:pPr>
            <w:r>
              <w:rPr>
                <w:rFonts w:ascii="Arial" w:hAnsi="Arial" w:cs="Arial"/>
                <w:b/>
                <w:lang w:val="es-MX"/>
              </w:rPr>
              <w:t>TOTAL PRESUPUESTO</w:t>
            </w:r>
          </w:p>
        </w:tc>
        <w:tc>
          <w:tcPr>
            <w:tcW w:w="1839" w:type="dxa"/>
          </w:tcPr>
          <w:p w14:paraId="09D3627F" w14:textId="77777777" w:rsidR="00800769" w:rsidRDefault="00800769" w:rsidP="002551C6">
            <w:pPr>
              <w:jc w:val="center"/>
              <w:rPr>
                <w:rFonts w:ascii="Arial" w:eastAsia="Calibri" w:hAnsi="Arial" w:cs="Arial"/>
                <w:b/>
                <w:u w:val="single"/>
              </w:rPr>
            </w:pPr>
          </w:p>
          <w:p w14:paraId="10CA8DAF" w14:textId="77777777" w:rsidR="005F6EEE" w:rsidRDefault="005F6EEE" w:rsidP="002551C6">
            <w:pPr>
              <w:jc w:val="center"/>
              <w:rPr>
                <w:rFonts w:ascii="Arial" w:eastAsia="Calibri" w:hAnsi="Arial" w:cs="Arial"/>
                <w:b/>
                <w:u w:val="single"/>
              </w:rPr>
            </w:pPr>
          </w:p>
          <w:p w14:paraId="2B7FB287" w14:textId="77777777" w:rsidR="005F6EEE" w:rsidRDefault="005F6EEE" w:rsidP="002551C6">
            <w:pPr>
              <w:jc w:val="center"/>
              <w:rPr>
                <w:rFonts w:ascii="Arial" w:eastAsia="Calibri" w:hAnsi="Arial" w:cs="Arial"/>
                <w:b/>
                <w:u w:val="single"/>
              </w:rPr>
            </w:pPr>
          </w:p>
          <w:p w14:paraId="15A4D1A7" w14:textId="6537394B" w:rsidR="005F6EEE" w:rsidRDefault="005F6EEE" w:rsidP="002551C6">
            <w:pPr>
              <w:jc w:val="center"/>
              <w:rPr>
                <w:rFonts w:ascii="Arial" w:eastAsia="Calibri" w:hAnsi="Arial" w:cs="Arial"/>
                <w:b/>
                <w:u w:val="single"/>
              </w:rPr>
            </w:pPr>
            <w:r>
              <w:rPr>
                <w:rFonts w:ascii="Arial" w:eastAsia="Calibri" w:hAnsi="Arial" w:cs="Arial"/>
                <w:b/>
                <w:u w:val="single"/>
              </w:rPr>
              <w:t>94.00</w:t>
            </w:r>
            <w:r w:rsidR="0042507C">
              <w:rPr>
                <w:rFonts w:ascii="Arial" w:eastAsia="Calibri" w:hAnsi="Arial" w:cs="Arial"/>
                <w:b/>
                <w:u w:val="single"/>
              </w:rPr>
              <w:t>%</w:t>
            </w:r>
          </w:p>
          <w:p w14:paraId="31427822" w14:textId="084F4C85" w:rsidR="005F6EEE" w:rsidRDefault="0042507C" w:rsidP="002551C6">
            <w:pPr>
              <w:jc w:val="center"/>
              <w:rPr>
                <w:rFonts w:ascii="Arial" w:eastAsia="Calibri" w:hAnsi="Arial" w:cs="Arial"/>
                <w:b/>
                <w:u w:val="single"/>
              </w:rPr>
            </w:pPr>
            <w:r>
              <w:rPr>
                <w:rFonts w:ascii="Arial" w:eastAsia="Calibri" w:hAnsi="Arial" w:cs="Arial"/>
                <w:b/>
                <w:u w:val="single"/>
              </w:rPr>
              <w:t>94.00%</w:t>
            </w:r>
          </w:p>
          <w:p w14:paraId="6316826B" w14:textId="77777777" w:rsidR="005F6EEE" w:rsidRDefault="005F6EEE" w:rsidP="002551C6">
            <w:pPr>
              <w:jc w:val="center"/>
              <w:rPr>
                <w:rFonts w:ascii="Arial" w:eastAsia="Calibri" w:hAnsi="Arial" w:cs="Arial"/>
                <w:b/>
                <w:u w:val="single"/>
              </w:rPr>
            </w:pPr>
          </w:p>
          <w:p w14:paraId="30D17DE3" w14:textId="7606F7CD" w:rsidR="005F6EEE" w:rsidRDefault="0042507C" w:rsidP="002551C6">
            <w:pPr>
              <w:jc w:val="center"/>
              <w:rPr>
                <w:rFonts w:ascii="Arial" w:eastAsia="Calibri" w:hAnsi="Arial" w:cs="Arial"/>
                <w:b/>
                <w:u w:val="single"/>
              </w:rPr>
            </w:pPr>
            <w:r>
              <w:rPr>
                <w:rFonts w:ascii="Arial" w:eastAsia="Calibri" w:hAnsi="Arial" w:cs="Arial"/>
                <w:b/>
                <w:u w:val="single"/>
              </w:rPr>
              <w:t>94.00%</w:t>
            </w:r>
          </w:p>
        </w:tc>
        <w:tc>
          <w:tcPr>
            <w:tcW w:w="1804" w:type="dxa"/>
          </w:tcPr>
          <w:p w14:paraId="298A24C1" w14:textId="77777777" w:rsidR="00800769" w:rsidRDefault="00800769" w:rsidP="002551C6">
            <w:pPr>
              <w:jc w:val="center"/>
              <w:rPr>
                <w:rFonts w:ascii="Arial" w:eastAsia="Calibri" w:hAnsi="Arial" w:cs="Arial"/>
                <w:b/>
                <w:u w:val="single"/>
              </w:rPr>
            </w:pPr>
          </w:p>
          <w:p w14:paraId="1E1CEB90" w14:textId="77777777" w:rsidR="005F6EEE" w:rsidRDefault="005F6EEE" w:rsidP="002551C6">
            <w:pPr>
              <w:jc w:val="center"/>
              <w:rPr>
                <w:rFonts w:ascii="Arial" w:eastAsia="Calibri" w:hAnsi="Arial" w:cs="Arial"/>
                <w:b/>
                <w:u w:val="single"/>
              </w:rPr>
            </w:pPr>
          </w:p>
          <w:p w14:paraId="62958B72" w14:textId="77777777" w:rsidR="005F6EEE" w:rsidRDefault="005F6EEE" w:rsidP="002551C6">
            <w:pPr>
              <w:jc w:val="center"/>
              <w:rPr>
                <w:rFonts w:ascii="Arial" w:eastAsia="Calibri" w:hAnsi="Arial" w:cs="Arial"/>
                <w:b/>
                <w:u w:val="single"/>
              </w:rPr>
            </w:pPr>
          </w:p>
          <w:p w14:paraId="6E9B55B1" w14:textId="0C703BFA" w:rsidR="005F6EEE" w:rsidRDefault="00EF4493" w:rsidP="002551C6">
            <w:pPr>
              <w:jc w:val="center"/>
              <w:rPr>
                <w:rFonts w:ascii="Arial" w:eastAsia="Calibri" w:hAnsi="Arial" w:cs="Arial"/>
                <w:b/>
                <w:u w:val="single"/>
              </w:rPr>
            </w:pPr>
            <w:r>
              <w:rPr>
                <w:rFonts w:ascii="Arial" w:eastAsia="Calibri" w:hAnsi="Arial" w:cs="Arial"/>
                <w:b/>
                <w:u w:val="single"/>
              </w:rPr>
              <w:t>92.00%</w:t>
            </w:r>
          </w:p>
          <w:p w14:paraId="43F77590" w14:textId="1B17D68F" w:rsidR="005F6EEE" w:rsidRDefault="00EF4493" w:rsidP="002551C6">
            <w:pPr>
              <w:jc w:val="center"/>
              <w:rPr>
                <w:rFonts w:ascii="Arial" w:eastAsia="Calibri" w:hAnsi="Arial" w:cs="Arial"/>
                <w:b/>
                <w:u w:val="single"/>
              </w:rPr>
            </w:pPr>
            <w:r>
              <w:rPr>
                <w:rFonts w:ascii="Arial" w:eastAsia="Calibri" w:hAnsi="Arial" w:cs="Arial"/>
                <w:b/>
                <w:u w:val="single"/>
              </w:rPr>
              <w:t>41.00%</w:t>
            </w:r>
          </w:p>
          <w:p w14:paraId="6CC55AA4" w14:textId="77777777" w:rsidR="005F6EEE" w:rsidRDefault="005F6EEE" w:rsidP="002551C6">
            <w:pPr>
              <w:jc w:val="center"/>
              <w:rPr>
                <w:rFonts w:ascii="Arial" w:eastAsia="Calibri" w:hAnsi="Arial" w:cs="Arial"/>
                <w:b/>
                <w:u w:val="single"/>
              </w:rPr>
            </w:pPr>
          </w:p>
          <w:p w14:paraId="6FD74A86" w14:textId="401EAF67" w:rsidR="005F6EEE" w:rsidRDefault="00297C01" w:rsidP="002551C6">
            <w:pPr>
              <w:jc w:val="center"/>
              <w:rPr>
                <w:rFonts w:ascii="Arial" w:eastAsia="Calibri" w:hAnsi="Arial" w:cs="Arial"/>
                <w:b/>
                <w:u w:val="single"/>
              </w:rPr>
            </w:pPr>
            <w:r>
              <w:rPr>
                <w:rFonts w:ascii="Arial" w:eastAsia="Calibri" w:hAnsi="Arial" w:cs="Arial"/>
                <w:b/>
                <w:u w:val="single"/>
              </w:rPr>
              <w:t>49.00%</w:t>
            </w:r>
          </w:p>
        </w:tc>
        <w:tc>
          <w:tcPr>
            <w:tcW w:w="2042" w:type="dxa"/>
          </w:tcPr>
          <w:p w14:paraId="4737B2F5" w14:textId="77777777" w:rsidR="00800769" w:rsidRDefault="00800769" w:rsidP="002551C6">
            <w:pPr>
              <w:jc w:val="center"/>
              <w:rPr>
                <w:rFonts w:ascii="Arial" w:eastAsia="Calibri" w:hAnsi="Arial" w:cs="Arial"/>
                <w:b/>
                <w:u w:val="single"/>
              </w:rPr>
            </w:pPr>
          </w:p>
          <w:p w14:paraId="3134454D" w14:textId="77777777" w:rsidR="005F6EEE" w:rsidRDefault="005F6EEE" w:rsidP="002551C6">
            <w:pPr>
              <w:jc w:val="center"/>
              <w:rPr>
                <w:rFonts w:ascii="Arial" w:eastAsia="Calibri" w:hAnsi="Arial" w:cs="Arial"/>
                <w:b/>
                <w:u w:val="single"/>
              </w:rPr>
            </w:pPr>
          </w:p>
          <w:p w14:paraId="45E5FF09" w14:textId="77777777" w:rsidR="005F6EEE" w:rsidRDefault="005F6EEE" w:rsidP="002551C6">
            <w:pPr>
              <w:jc w:val="center"/>
              <w:rPr>
                <w:rFonts w:ascii="Arial" w:eastAsia="Calibri" w:hAnsi="Arial" w:cs="Arial"/>
                <w:b/>
                <w:u w:val="single"/>
              </w:rPr>
            </w:pPr>
          </w:p>
          <w:p w14:paraId="7B92571B" w14:textId="305A06B5" w:rsidR="005F6EEE" w:rsidRDefault="00297C01" w:rsidP="002551C6">
            <w:pPr>
              <w:jc w:val="center"/>
              <w:rPr>
                <w:rFonts w:ascii="Arial" w:eastAsia="Calibri" w:hAnsi="Arial" w:cs="Arial"/>
                <w:b/>
                <w:u w:val="single"/>
              </w:rPr>
            </w:pPr>
            <w:r>
              <w:rPr>
                <w:rFonts w:ascii="Arial" w:eastAsia="Calibri" w:hAnsi="Arial" w:cs="Arial"/>
                <w:b/>
                <w:u w:val="single"/>
              </w:rPr>
              <w:t>92.00%</w:t>
            </w:r>
          </w:p>
          <w:p w14:paraId="71924AF9" w14:textId="02999E74" w:rsidR="005F6EEE" w:rsidRDefault="008E452E" w:rsidP="002551C6">
            <w:pPr>
              <w:jc w:val="center"/>
              <w:rPr>
                <w:rFonts w:ascii="Arial" w:eastAsia="Calibri" w:hAnsi="Arial" w:cs="Arial"/>
                <w:b/>
                <w:u w:val="single"/>
              </w:rPr>
            </w:pPr>
            <w:r>
              <w:rPr>
                <w:rFonts w:ascii="Arial" w:eastAsia="Calibri" w:hAnsi="Arial" w:cs="Arial"/>
                <w:b/>
                <w:u w:val="single"/>
              </w:rPr>
              <w:t>41.00%</w:t>
            </w:r>
          </w:p>
          <w:p w14:paraId="56DF6E4F" w14:textId="77777777" w:rsidR="005F6EEE" w:rsidRDefault="005F6EEE" w:rsidP="002551C6">
            <w:pPr>
              <w:jc w:val="center"/>
              <w:rPr>
                <w:rFonts w:ascii="Arial" w:eastAsia="Calibri" w:hAnsi="Arial" w:cs="Arial"/>
                <w:b/>
                <w:u w:val="single"/>
              </w:rPr>
            </w:pPr>
          </w:p>
          <w:p w14:paraId="3152E773" w14:textId="5579A5C5" w:rsidR="005F6EEE" w:rsidRDefault="008E452E" w:rsidP="002551C6">
            <w:pPr>
              <w:jc w:val="center"/>
              <w:rPr>
                <w:rFonts w:ascii="Arial" w:eastAsia="Calibri" w:hAnsi="Arial" w:cs="Arial"/>
                <w:b/>
                <w:u w:val="single"/>
              </w:rPr>
            </w:pPr>
            <w:r>
              <w:rPr>
                <w:rFonts w:ascii="Arial" w:eastAsia="Calibri" w:hAnsi="Arial" w:cs="Arial"/>
                <w:b/>
                <w:u w:val="single"/>
              </w:rPr>
              <w:t>49.00%</w:t>
            </w:r>
          </w:p>
        </w:tc>
      </w:tr>
      <w:tr w:rsidR="00800769" w:rsidRPr="004B1294" w14:paraId="7A7EA4A2" w14:textId="77777777" w:rsidTr="00042E94">
        <w:tc>
          <w:tcPr>
            <w:tcW w:w="1550" w:type="dxa"/>
          </w:tcPr>
          <w:p w14:paraId="13F57998" w14:textId="49D5485F" w:rsidR="00800769" w:rsidRDefault="001A73EA" w:rsidP="002551C6">
            <w:pPr>
              <w:jc w:val="center"/>
              <w:rPr>
                <w:rFonts w:ascii="Arial" w:hAnsi="Arial" w:cs="Arial"/>
                <w:b/>
              </w:rPr>
            </w:pPr>
            <w:r>
              <w:rPr>
                <w:rFonts w:ascii="Arial" w:hAnsi="Arial" w:cs="Arial"/>
                <w:b/>
              </w:rPr>
              <w:t>52</w:t>
            </w:r>
          </w:p>
        </w:tc>
        <w:tc>
          <w:tcPr>
            <w:tcW w:w="3255" w:type="dxa"/>
          </w:tcPr>
          <w:p w14:paraId="1855C58F" w14:textId="74672F6C" w:rsidR="001A73EA" w:rsidRPr="001A73EA" w:rsidRDefault="001A73EA" w:rsidP="001A73EA">
            <w:pPr>
              <w:jc w:val="both"/>
              <w:rPr>
                <w:rFonts w:ascii="Arial" w:hAnsi="Arial" w:cs="Arial"/>
                <w:b/>
                <w:lang w:val="es-MX"/>
              </w:rPr>
            </w:pPr>
            <w:r w:rsidRPr="001A73EA">
              <w:rPr>
                <w:rFonts w:ascii="Arial" w:hAnsi="Arial" w:cs="Arial"/>
                <w:b/>
                <w:lang w:val="es-MX"/>
              </w:rPr>
              <w:t>CLUB MILITAR DE OFICIALES.</w:t>
            </w:r>
          </w:p>
          <w:p w14:paraId="2BCB554E" w14:textId="77777777" w:rsidR="00800769" w:rsidRDefault="00800769" w:rsidP="00AD023F">
            <w:pPr>
              <w:jc w:val="both"/>
              <w:rPr>
                <w:rFonts w:ascii="Arial" w:hAnsi="Arial" w:cs="Arial"/>
                <w:b/>
                <w:lang w:val="es-MX"/>
              </w:rPr>
            </w:pPr>
          </w:p>
          <w:p w14:paraId="243914E1" w14:textId="77777777" w:rsidR="00B237EA" w:rsidRDefault="00B237EA" w:rsidP="00B237EA">
            <w:pPr>
              <w:jc w:val="both"/>
              <w:rPr>
                <w:rFonts w:ascii="Arial" w:hAnsi="Arial" w:cs="Arial"/>
                <w:b/>
                <w:lang w:val="es-MX"/>
              </w:rPr>
            </w:pPr>
            <w:r>
              <w:rPr>
                <w:rFonts w:ascii="Arial" w:hAnsi="Arial" w:cs="Arial"/>
                <w:b/>
                <w:lang w:val="es-MX"/>
              </w:rPr>
              <w:t>FUNCIONAMIENTO</w:t>
            </w:r>
          </w:p>
          <w:p w14:paraId="3CE2CC10" w14:textId="77777777" w:rsidR="00B237EA" w:rsidRDefault="00B237EA" w:rsidP="00B237EA">
            <w:pPr>
              <w:jc w:val="both"/>
              <w:rPr>
                <w:rFonts w:ascii="Arial" w:hAnsi="Arial" w:cs="Arial"/>
                <w:b/>
                <w:lang w:val="es-MX"/>
              </w:rPr>
            </w:pPr>
            <w:r>
              <w:rPr>
                <w:rFonts w:ascii="Arial" w:hAnsi="Arial" w:cs="Arial"/>
                <w:b/>
                <w:lang w:val="es-MX"/>
              </w:rPr>
              <w:t>INVERSIÓN</w:t>
            </w:r>
          </w:p>
          <w:p w14:paraId="63BB50DC" w14:textId="77777777" w:rsidR="00B237EA" w:rsidRDefault="00B237EA" w:rsidP="00B237EA">
            <w:pPr>
              <w:jc w:val="both"/>
              <w:rPr>
                <w:rFonts w:ascii="Arial" w:hAnsi="Arial" w:cs="Arial"/>
                <w:b/>
                <w:lang w:val="es-MX"/>
              </w:rPr>
            </w:pPr>
          </w:p>
          <w:p w14:paraId="4B468593" w14:textId="2419F9F7" w:rsidR="00B237EA" w:rsidRPr="00AD023F" w:rsidRDefault="00B237EA" w:rsidP="00B237EA">
            <w:pPr>
              <w:jc w:val="both"/>
              <w:rPr>
                <w:rFonts w:ascii="Arial" w:hAnsi="Arial" w:cs="Arial"/>
                <w:b/>
                <w:lang w:val="es-MX"/>
              </w:rPr>
            </w:pPr>
            <w:r>
              <w:rPr>
                <w:rFonts w:ascii="Arial" w:hAnsi="Arial" w:cs="Arial"/>
                <w:b/>
                <w:lang w:val="es-MX"/>
              </w:rPr>
              <w:t>TOTAL PRESUPUESTO</w:t>
            </w:r>
          </w:p>
        </w:tc>
        <w:tc>
          <w:tcPr>
            <w:tcW w:w="1839" w:type="dxa"/>
          </w:tcPr>
          <w:p w14:paraId="3345F62E" w14:textId="77777777" w:rsidR="00800769" w:rsidRDefault="00800769" w:rsidP="002551C6">
            <w:pPr>
              <w:jc w:val="center"/>
              <w:rPr>
                <w:rFonts w:ascii="Arial" w:eastAsia="Calibri" w:hAnsi="Arial" w:cs="Arial"/>
                <w:b/>
                <w:u w:val="single"/>
              </w:rPr>
            </w:pPr>
          </w:p>
          <w:p w14:paraId="4FCF38C2" w14:textId="77777777" w:rsidR="00B237EA" w:rsidRDefault="00B237EA" w:rsidP="002551C6">
            <w:pPr>
              <w:jc w:val="center"/>
              <w:rPr>
                <w:rFonts w:ascii="Arial" w:eastAsia="Calibri" w:hAnsi="Arial" w:cs="Arial"/>
                <w:b/>
                <w:u w:val="single"/>
              </w:rPr>
            </w:pPr>
          </w:p>
          <w:p w14:paraId="231E49CE" w14:textId="07043927" w:rsidR="00B237EA" w:rsidRDefault="002D7647" w:rsidP="002551C6">
            <w:pPr>
              <w:jc w:val="center"/>
              <w:rPr>
                <w:rFonts w:ascii="Arial" w:eastAsia="Calibri" w:hAnsi="Arial" w:cs="Arial"/>
                <w:b/>
                <w:u w:val="single"/>
              </w:rPr>
            </w:pPr>
            <w:r>
              <w:rPr>
                <w:rFonts w:ascii="Arial" w:eastAsia="Calibri" w:hAnsi="Arial" w:cs="Arial"/>
                <w:b/>
                <w:u w:val="single"/>
              </w:rPr>
              <w:t>80.00%</w:t>
            </w:r>
          </w:p>
          <w:p w14:paraId="5739AA40" w14:textId="787A76C5" w:rsidR="00B237EA" w:rsidRDefault="002D7647" w:rsidP="002551C6">
            <w:pPr>
              <w:jc w:val="center"/>
              <w:rPr>
                <w:rFonts w:ascii="Arial" w:eastAsia="Calibri" w:hAnsi="Arial" w:cs="Arial"/>
                <w:b/>
                <w:u w:val="single"/>
              </w:rPr>
            </w:pPr>
            <w:r>
              <w:rPr>
                <w:rFonts w:ascii="Arial" w:eastAsia="Calibri" w:hAnsi="Arial" w:cs="Arial"/>
                <w:b/>
                <w:u w:val="single"/>
              </w:rPr>
              <w:t>100.00%</w:t>
            </w:r>
          </w:p>
          <w:p w14:paraId="2E2CEF5A" w14:textId="77777777" w:rsidR="00B237EA" w:rsidRDefault="00B237EA" w:rsidP="002551C6">
            <w:pPr>
              <w:jc w:val="center"/>
              <w:rPr>
                <w:rFonts w:ascii="Arial" w:eastAsia="Calibri" w:hAnsi="Arial" w:cs="Arial"/>
                <w:b/>
                <w:u w:val="single"/>
              </w:rPr>
            </w:pPr>
          </w:p>
          <w:p w14:paraId="6B7F2B92" w14:textId="10E91B83" w:rsidR="00B237EA" w:rsidRDefault="002D7647" w:rsidP="002551C6">
            <w:pPr>
              <w:jc w:val="center"/>
              <w:rPr>
                <w:rFonts w:ascii="Arial" w:eastAsia="Calibri" w:hAnsi="Arial" w:cs="Arial"/>
                <w:b/>
                <w:u w:val="single"/>
              </w:rPr>
            </w:pPr>
            <w:r>
              <w:rPr>
                <w:rFonts w:ascii="Arial" w:eastAsia="Calibri" w:hAnsi="Arial" w:cs="Arial"/>
                <w:b/>
                <w:u w:val="single"/>
              </w:rPr>
              <w:t>84.00%</w:t>
            </w:r>
          </w:p>
        </w:tc>
        <w:tc>
          <w:tcPr>
            <w:tcW w:w="1804" w:type="dxa"/>
          </w:tcPr>
          <w:p w14:paraId="1B313E72" w14:textId="77777777" w:rsidR="00800769" w:rsidRDefault="00800769" w:rsidP="002551C6">
            <w:pPr>
              <w:jc w:val="center"/>
              <w:rPr>
                <w:rFonts w:ascii="Arial" w:eastAsia="Calibri" w:hAnsi="Arial" w:cs="Arial"/>
                <w:b/>
                <w:u w:val="single"/>
              </w:rPr>
            </w:pPr>
          </w:p>
          <w:p w14:paraId="570F1346" w14:textId="77777777" w:rsidR="00B237EA" w:rsidRDefault="00B237EA" w:rsidP="002551C6">
            <w:pPr>
              <w:jc w:val="center"/>
              <w:rPr>
                <w:rFonts w:ascii="Arial" w:eastAsia="Calibri" w:hAnsi="Arial" w:cs="Arial"/>
                <w:b/>
                <w:u w:val="single"/>
              </w:rPr>
            </w:pPr>
          </w:p>
          <w:p w14:paraId="15FC04D7" w14:textId="5642D793" w:rsidR="00B237EA" w:rsidRDefault="0082075A" w:rsidP="002551C6">
            <w:pPr>
              <w:jc w:val="center"/>
              <w:rPr>
                <w:rFonts w:ascii="Arial" w:eastAsia="Calibri" w:hAnsi="Arial" w:cs="Arial"/>
                <w:b/>
                <w:u w:val="single"/>
              </w:rPr>
            </w:pPr>
            <w:r>
              <w:rPr>
                <w:rFonts w:ascii="Arial" w:eastAsia="Calibri" w:hAnsi="Arial" w:cs="Arial"/>
                <w:b/>
                <w:u w:val="single"/>
              </w:rPr>
              <w:t>75.00%</w:t>
            </w:r>
          </w:p>
          <w:p w14:paraId="743D9C62" w14:textId="2B1D3071" w:rsidR="00B237EA" w:rsidRDefault="0082075A" w:rsidP="002551C6">
            <w:pPr>
              <w:jc w:val="center"/>
              <w:rPr>
                <w:rFonts w:ascii="Arial" w:eastAsia="Calibri" w:hAnsi="Arial" w:cs="Arial"/>
                <w:b/>
                <w:u w:val="single"/>
              </w:rPr>
            </w:pPr>
            <w:r>
              <w:rPr>
                <w:rFonts w:ascii="Arial" w:eastAsia="Calibri" w:hAnsi="Arial" w:cs="Arial"/>
                <w:b/>
                <w:u w:val="single"/>
              </w:rPr>
              <w:t>57.00%</w:t>
            </w:r>
          </w:p>
          <w:p w14:paraId="32E2A370" w14:textId="77777777" w:rsidR="00B237EA" w:rsidRDefault="00B237EA" w:rsidP="002551C6">
            <w:pPr>
              <w:jc w:val="center"/>
              <w:rPr>
                <w:rFonts w:ascii="Arial" w:eastAsia="Calibri" w:hAnsi="Arial" w:cs="Arial"/>
                <w:b/>
                <w:u w:val="single"/>
              </w:rPr>
            </w:pPr>
          </w:p>
          <w:p w14:paraId="08B771B6" w14:textId="49CD851D" w:rsidR="00B237EA" w:rsidRDefault="0082075A" w:rsidP="002551C6">
            <w:pPr>
              <w:jc w:val="center"/>
              <w:rPr>
                <w:rFonts w:ascii="Arial" w:eastAsia="Calibri" w:hAnsi="Arial" w:cs="Arial"/>
                <w:b/>
                <w:u w:val="single"/>
              </w:rPr>
            </w:pPr>
            <w:r>
              <w:rPr>
                <w:rFonts w:ascii="Arial" w:eastAsia="Calibri" w:hAnsi="Arial" w:cs="Arial"/>
                <w:b/>
                <w:u w:val="single"/>
              </w:rPr>
              <w:t>72.00%</w:t>
            </w:r>
          </w:p>
        </w:tc>
        <w:tc>
          <w:tcPr>
            <w:tcW w:w="2042" w:type="dxa"/>
          </w:tcPr>
          <w:p w14:paraId="3D87A9BC" w14:textId="77777777" w:rsidR="00800769" w:rsidRDefault="00800769" w:rsidP="002551C6">
            <w:pPr>
              <w:jc w:val="center"/>
              <w:rPr>
                <w:rFonts w:ascii="Arial" w:eastAsia="Calibri" w:hAnsi="Arial" w:cs="Arial"/>
                <w:b/>
                <w:u w:val="single"/>
              </w:rPr>
            </w:pPr>
          </w:p>
          <w:p w14:paraId="1C2086AB" w14:textId="77777777" w:rsidR="00B237EA" w:rsidRDefault="00B237EA" w:rsidP="002551C6">
            <w:pPr>
              <w:jc w:val="center"/>
              <w:rPr>
                <w:rFonts w:ascii="Arial" w:eastAsia="Calibri" w:hAnsi="Arial" w:cs="Arial"/>
                <w:b/>
                <w:u w:val="single"/>
              </w:rPr>
            </w:pPr>
          </w:p>
          <w:p w14:paraId="3CB646C9" w14:textId="676FA197" w:rsidR="00B237EA" w:rsidRDefault="0082075A" w:rsidP="002551C6">
            <w:pPr>
              <w:jc w:val="center"/>
              <w:rPr>
                <w:rFonts w:ascii="Arial" w:eastAsia="Calibri" w:hAnsi="Arial" w:cs="Arial"/>
                <w:b/>
                <w:u w:val="single"/>
              </w:rPr>
            </w:pPr>
            <w:r>
              <w:rPr>
                <w:rFonts w:ascii="Arial" w:eastAsia="Calibri" w:hAnsi="Arial" w:cs="Arial"/>
                <w:b/>
                <w:u w:val="single"/>
              </w:rPr>
              <w:t>72.00%</w:t>
            </w:r>
          </w:p>
          <w:p w14:paraId="524ACD3F" w14:textId="32E056F2" w:rsidR="00B237EA" w:rsidRDefault="0082075A" w:rsidP="002551C6">
            <w:pPr>
              <w:jc w:val="center"/>
              <w:rPr>
                <w:rFonts w:ascii="Arial" w:eastAsia="Calibri" w:hAnsi="Arial" w:cs="Arial"/>
                <w:b/>
                <w:u w:val="single"/>
              </w:rPr>
            </w:pPr>
            <w:r>
              <w:rPr>
                <w:rFonts w:ascii="Arial" w:eastAsia="Calibri" w:hAnsi="Arial" w:cs="Arial"/>
                <w:b/>
                <w:u w:val="single"/>
              </w:rPr>
              <w:t>57.00%</w:t>
            </w:r>
          </w:p>
          <w:p w14:paraId="0C962E1F" w14:textId="77777777" w:rsidR="00B237EA" w:rsidRDefault="00B237EA" w:rsidP="002551C6">
            <w:pPr>
              <w:jc w:val="center"/>
              <w:rPr>
                <w:rFonts w:ascii="Arial" w:eastAsia="Calibri" w:hAnsi="Arial" w:cs="Arial"/>
                <w:b/>
                <w:u w:val="single"/>
              </w:rPr>
            </w:pPr>
          </w:p>
          <w:p w14:paraId="0091F55D" w14:textId="28BFAC8F" w:rsidR="00B237EA" w:rsidRDefault="00DC2CD7" w:rsidP="002551C6">
            <w:pPr>
              <w:jc w:val="center"/>
              <w:rPr>
                <w:rFonts w:ascii="Arial" w:eastAsia="Calibri" w:hAnsi="Arial" w:cs="Arial"/>
                <w:b/>
                <w:u w:val="single"/>
              </w:rPr>
            </w:pPr>
            <w:r>
              <w:rPr>
                <w:rFonts w:ascii="Arial" w:eastAsia="Calibri" w:hAnsi="Arial" w:cs="Arial"/>
                <w:b/>
                <w:u w:val="single"/>
              </w:rPr>
              <w:t>70.00%</w:t>
            </w:r>
          </w:p>
        </w:tc>
      </w:tr>
      <w:tr w:rsidR="00931C9C" w:rsidRPr="004B1294" w14:paraId="00A1D324" w14:textId="77777777" w:rsidTr="00042E94">
        <w:tc>
          <w:tcPr>
            <w:tcW w:w="1550" w:type="dxa"/>
          </w:tcPr>
          <w:p w14:paraId="206F2423" w14:textId="62AFCA39" w:rsidR="00931C9C" w:rsidRDefault="00824BD8" w:rsidP="002551C6">
            <w:pPr>
              <w:jc w:val="center"/>
              <w:rPr>
                <w:rFonts w:ascii="Arial" w:hAnsi="Arial" w:cs="Arial"/>
                <w:b/>
              </w:rPr>
            </w:pPr>
            <w:r>
              <w:rPr>
                <w:rFonts w:ascii="Arial" w:hAnsi="Arial" w:cs="Arial"/>
                <w:b/>
              </w:rPr>
              <w:t>54</w:t>
            </w:r>
          </w:p>
        </w:tc>
        <w:tc>
          <w:tcPr>
            <w:tcW w:w="3255" w:type="dxa"/>
          </w:tcPr>
          <w:p w14:paraId="79ADDDAF" w14:textId="7AC4579D" w:rsidR="00824BD8" w:rsidRPr="00824BD8" w:rsidRDefault="00824BD8" w:rsidP="00824BD8">
            <w:pPr>
              <w:jc w:val="both"/>
              <w:rPr>
                <w:rFonts w:ascii="Arial" w:hAnsi="Arial" w:cs="Arial"/>
                <w:b/>
                <w:lang w:val="es-MX"/>
              </w:rPr>
            </w:pPr>
            <w:r w:rsidRPr="00824BD8">
              <w:rPr>
                <w:rFonts w:ascii="Arial" w:hAnsi="Arial" w:cs="Arial"/>
                <w:b/>
              </w:rPr>
              <w:t>FONDO NACIONAL AMBIENTAL - FONAM.</w:t>
            </w:r>
          </w:p>
          <w:p w14:paraId="5EDFF71E" w14:textId="77777777" w:rsidR="00931C9C" w:rsidRDefault="00931C9C" w:rsidP="00AD023F">
            <w:pPr>
              <w:jc w:val="both"/>
              <w:rPr>
                <w:rFonts w:ascii="Arial" w:hAnsi="Arial" w:cs="Arial"/>
                <w:b/>
                <w:lang w:val="es-MX"/>
              </w:rPr>
            </w:pPr>
          </w:p>
          <w:p w14:paraId="6DED2F31" w14:textId="77777777" w:rsidR="003521E7" w:rsidRDefault="003521E7" w:rsidP="003521E7">
            <w:pPr>
              <w:jc w:val="both"/>
              <w:rPr>
                <w:rFonts w:ascii="Arial" w:hAnsi="Arial" w:cs="Arial"/>
                <w:b/>
                <w:lang w:val="es-MX"/>
              </w:rPr>
            </w:pPr>
            <w:r>
              <w:rPr>
                <w:rFonts w:ascii="Arial" w:hAnsi="Arial" w:cs="Arial"/>
                <w:b/>
                <w:lang w:val="es-MX"/>
              </w:rPr>
              <w:t>FUNCIONAMIENTO</w:t>
            </w:r>
          </w:p>
          <w:p w14:paraId="72203A86" w14:textId="6EFE8ACE" w:rsidR="003521E7" w:rsidRDefault="003521E7" w:rsidP="003521E7">
            <w:pPr>
              <w:jc w:val="both"/>
              <w:rPr>
                <w:rFonts w:ascii="Arial" w:hAnsi="Arial" w:cs="Arial"/>
                <w:b/>
                <w:lang w:val="es-MX"/>
              </w:rPr>
            </w:pPr>
            <w:r>
              <w:rPr>
                <w:rFonts w:ascii="Arial" w:hAnsi="Arial" w:cs="Arial"/>
                <w:b/>
                <w:lang w:val="es-MX"/>
              </w:rPr>
              <w:t>INVERSIÓN</w:t>
            </w:r>
          </w:p>
          <w:p w14:paraId="62CA0ECE" w14:textId="5972229C" w:rsidR="003521E7" w:rsidRPr="00AD023F" w:rsidRDefault="003521E7" w:rsidP="003521E7">
            <w:pPr>
              <w:jc w:val="both"/>
              <w:rPr>
                <w:rFonts w:ascii="Arial" w:hAnsi="Arial" w:cs="Arial"/>
                <w:b/>
                <w:lang w:val="es-MX"/>
              </w:rPr>
            </w:pPr>
            <w:r>
              <w:rPr>
                <w:rFonts w:ascii="Arial" w:hAnsi="Arial" w:cs="Arial"/>
                <w:b/>
                <w:lang w:val="es-MX"/>
              </w:rPr>
              <w:t>TOTAL PRESUPUESTO</w:t>
            </w:r>
          </w:p>
        </w:tc>
        <w:tc>
          <w:tcPr>
            <w:tcW w:w="1839" w:type="dxa"/>
          </w:tcPr>
          <w:p w14:paraId="1C283154" w14:textId="77777777" w:rsidR="00931C9C" w:rsidRDefault="00931C9C" w:rsidP="002551C6">
            <w:pPr>
              <w:jc w:val="center"/>
              <w:rPr>
                <w:rFonts w:ascii="Arial" w:eastAsia="Calibri" w:hAnsi="Arial" w:cs="Arial"/>
                <w:b/>
                <w:u w:val="single"/>
              </w:rPr>
            </w:pPr>
          </w:p>
          <w:p w14:paraId="0BA617EE" w14:textId="77777777" w:rsidR="003521E7" w:rsidRDefault="003521E7" w:rsidP="002551C6">
            <w:pPr>
              <w:jc w:val="center"/>
              <w:rPr>
                <w:rFonts w:ascii="Arial" w:eastAsia="Calibri" w:hAnsi="Arial" w:cs="Arial"/>
                <w:b/>
                <w:u w:val="single"/>
              </w:rPr>
            </w:pPr>
          </w:p>
          <w:p w14:paraId="18D68B23" w14:textId="77777777" w:rsidR="003521E7" w:rsidRDefault="003521E7" w:rsidP="002551C6">
            <w:pPr>
              <w:jc w:val="center"/>
              <w:rPr>
                <w:rFonts w:ascii="Arial" w:eastAsia="Calibri" w:hAnsi="Arial" w:cs="Arial"/>
                <w:b/>
                <w:u w:val="single"/>
              </w:rPr>
            </w:pPr>
          </w:p>
          <w:p w14:paraId="3446BA18" w14:textId="45550543" w:rsidR="003521E7" w:rsidRDefault="00F75DB7" w:rsidP="002551C6">
            <w:pPr>
              <w:jc w:val="center"/>
              <w:rPr>
                <w:rFonts w:ascii="Arial" w:eastAsia="Calibri" w:hAnsi="Arial" w:cs="Arial"/>
                <w:b/>
                <w:u w:val="single"/>
              </w:rPr>
            </w:pPr>
            <w:r>
              <w:rPr>
                <w:rFonts w:ascii="Arial" w:eastAsia="Calibri" w:hAnsi="Arial" w:cs="Arial"/>
                <w:b/>
                <w:u w:val="single"/>
              </w:rPr>
              <w:t>99.05%</w:t>
            </w:r>
          </w:p>
          <w:p w14:paraId="39700A65" w14:textId="5B0BB9FA" w:rsidR="003521E7" w:rsidRDefault="00F75DB7" w:rsidP="008B262D">
            <w:pPr>
              <w:jc w:val="center"/>
              <w:rPr>
                <w:rFonts w:ascii="Arial" w:eastAsia="Calibri" w:hAnsi="Arial" w:cs="Arial"/>
                <w:b/>
                <w:u w:val="single"/>
              </w:rPr>
            </w:pPr>
            <w:r>
              <w:rPr>
                <w:rFonts w:ascii="Arial" w:eastAsia="Calibri" w:hAnsi="Arial" w:cs="Arial"/>
                <w:b/>
                <w:u w:val="single"/>
              </w:rPr>
              <w:t>83.08%</w:t>
            </w:r>
          </w:p>
          <w:p w14:paraId="7CA6E899" w14:textId="625B78EC" w:rsidR="003521E7" w:rsidRDefault="00F75DB7" w:rsidP="002551C6">
            <w:pPr>
              <w:jc w:val="center"/>
              <w:rPr>
                <w:rFonts w:ascii="Arial" w:eastAsia="Calibri" w:hAnsi="Arial" w:cs="Arial"/>
                <w:b/>
                <w:u w:val="single"/>
              </w:rPr>
            </w:pPr>
            <w:r>
              <w:rPr>
                <w:rFonts w:ascii="Arial" w:eastAsia="Calibri" w:hAnsi="Arial" w:cs="Arial"/>
                <w:b/>
                <w:u w:val="single"/>
              </w:rPr>
              <w:t>88.59%</w:t>
            </w:r>
          </w:p>
        </w:tc>
        <w:tc>
          <w:tcPr>
            <w:tcW w:w="1804" w:type="dxa"/>
          </w:tcPr>
          <w:p w14:paraId="5FF13164" w14:textId="77777777" w:rsidR="00931C9C" w:rsidRDefault="00931C9C" w:rsidP="002551C6">
            <w:pPr>
              <w:jc w:val="center"/>
              <w:rPr>
                <w:rFonts w:ascii="Arial" w:eastAsia="Calibri" w:hAnsi="Arial" w:cs="Arial"/>
                <w:b/>
                <w:u w:val="single"/>
              </w:rPr>
            </w:pPr>
          </w:p>
          <w:p w14:paraId="0B8EAE24" w14:textId="77777777" w:rsidR="003521E7" w:rsidRDefault="003521E7" w:rsidP="002551C6">
            <w:pPr>
              <w:jc w:val="center"/>
              <w:rPr>
                <w:rFonts w:ascii="Arial" w:eastAsia="Calibri" w:hAnsi="Arial" w:cs="Arial"/>
                <w:b/>
                <w:u w:val="single"/>
              </w:rPr>
            </w:pPr>
          </w:p>
          <w:p w14:paraId="5B207680" w14:textId="77777777" w:rsidR="003521E7" w:rsidRDefault="003521E7" w:rsidP="002551C6">
            <w:pPr>
              <w:jc w:val="center"/>
              <w:rPr>
                <w:rFonts w:ascii="Arial" w:eastAsia="Calibri" w:hAnsi="Arial" w:cs="Arial"/>
                <w:b/>
                <w:u w:val="single"/>
              </w:rPr>
            </w:pPr>
          </w:p>
          <w:p w14:paraId="4492E8C3" w14:textId="0C18F2E8" w:rsidR="003521E7" w:rsidRDefault="00790532" w:rsidP="002551C6">
            <w:pPr>
              <w:jc w:val="center"/>
              <w:rPr>
                <w:rFonts w:ascii="Arial" w:eastAsia="Calibri" w:hAnsi="Arial" w:cs="Arial"/>
                <w:b/>
                <w:u w:val="single"/>
              </w:rPr>
            </w:pPr>
            <w:r>
              <w:rPr>
                <w:rFonts w:ascii="Arial" w:eastAsia="Calibri" w:hAnsi="Arial" w:cs="Arial"/>
                <w:b/>
                <w:u w:val="single"/>
              </w:rPr>
              <w:t>99.05%</w:t>
            </w:r>
          </w:p>
          <w:p w14:paraId="77EA232C" w14:textId="4C6CF626" w:rsidR="003521E7" w:rsidRDefault="00EF03F8" w:rsidP="008B262D">
            <w:pPr>
              <w:jc w:val="center"/>
              <w:rPr>
                <w:rFonts w:ascii="Arial" w:eastAsia="Calibri" w:hAnsi="Arial" w:cs="Arial"/>
                <w:b/>
                <w:u w:val="single"/>
              </w:rPr>
            </w:pPr>
            <w:r>
              <w:rPr>
                <w:rFonts w:ascii="Arial" w:eastAsia="Calibri" w:hAnsi="Arial" w:cs="Arial"/>
                <w:b/>
                <w:u w:val="single"/>
              </w:rPr>
              <w:t>71.26%</w:t>
            </w:r>
          </w:p>
          <w:p w14:paraId="2A3627C6" w14:textId="43E2DD48" w:rsidR="003521E7" w:rsidRDefault="00EF03F8" w:rsidP="002551C6">
            <w:pPr>
              <w:jc w:val="center"/>
              <w:rPr>
                <w:rFonts w:ascii="Arial" w:eastAsia="Calibri" w:hAnsi="Arial" w:cs="Arial"/>
                <w:b/>
                <w:u w:val="single"/>
              </w:rPr>
            </w:pPr>
            <w:r>
              <w:rPr>
                <w:rFonts w:ascii="Arial" w:eastAsia="Calibri" w:hAnsi="Arial" w:cs="Arial"/>
                <w:b/>
                <w:u w:val="single"/>
              </w:rPr>
              <w:t>80.84%</w:t>
            </w:r>
          </w:p>
        </w:tc>
        <w:tc>
          <w:tcPr>
            <w:tcW w:w="2042" w:type="dxa"/>
          </w:tcPr>
          <w:p w14:paraId="75DC9F4F" w14:textId="77777777" w:rsidR="00931C9C" w:rsidRDefault="00931C9C" w:rsidP="002551C6">
            <w:pPr>
              <w:jc w:val="center"/>
              <w:rPr>
                <w:rFonts w:ascii="Arial" w:eastAsia="Calibri" w:hAnsi="Arial" w:cs="Arial"/>
                <w:b/>
                <w:u w:val="single"/>
              </w:rPr>
            </w:pPr>
          </w:p>
          <w:p w14:paraId="2BBDF0E5" w14:textId="77777777" w:rsidR="003521E7" w:rsidRDefault="003521E7" w:rsidP="002551C6">
            <w:pPr>
              <w:jc w:val="center"/>
              <w:rPr>
                <w:rFonts w:ascii="Arial" w:eastAsia="Calibri" w:hAnsi="Arial" w:cs="Arial"/>
                <w:b/>
                <w:u w:val="single"/>
              </w:rPr>
            </w:pPr>
          </w:p>
          <w:p w14:paraId="1D5CF9A9" w14:textId="77777777" w:rsidR="003521E7" w:rsidRDefault="003521E7" w:rsidP="002551C6">
            <w:pPr>
              <w:jc w:val="center"/>
              <w:rPr>
                <w:rFonts w:ascii="Arial" w:eastAsia="Calibri" w:hAnsi="Arial" w:cs="Arial"/>
                <w:b/>
                <w:u w:val="single"/>
              </w:rPr>
            </w:pPr>
          </w:p>
          <w:p w14:paraId="15ED893B" w14:textId="26BE8FC2" w:rsidR="003521E7" w:rsidRDefault="00EF03F8" w:rsidP="002551C6">
            <w:pPr>
              <w:jc w:val="center"/>
              <w:rPr>
                <w:rFonts w:ascii="Arial" w:eastAsia="Calibri" w:hAnsi="Arial" w:cs="Arial"/>
                <w:b/>
                <w:u w:val="single"/>
              </w:rPr>
            </w:pPr>
            <w:r>
              <w:rPr>
                <w:rFonts w:ascii="Arial" w:eastAsia="Calibri" w:hAnsi="Arial" w:cs="Arial"/>
                <w:b/>
                <w:u w:val="single"/>
              </w:rPr>
              <w:t>99.05%</w:t>
            </w:r>
          </w:p>
          <w:p w14:paraId="5C295DD3" w14:textId="71E61503" w:rsidR="003521E7" w:rsidRDefault="00EF03F8" w:rsidP="008B262D">
            <w:pPr>
              <w:jc w:val="center"/>
              <w:rPr>
                <w:rFonts w:ascii="Arial" w:eastAsia="Calibri" w:hAnsi="Arial" w:cs="Arial"/>
                <w:b/>
                <w:u w:val="single"/>
              </w:rPr>
            </w:pPr>
            <w:r>
              <w:rPr>
                <w:rFonts w:ascii="Arial" w:eastAsia="Calibri" w:hAnsi="Arial" w:cs="Arial"/>
                <w:b/>
                <w:u w:val="single"/>
              </w:rPr>
              <w:t>68.79%</w:t>
            </w:r>
          </w:p>
          <w:p w14:paraId="7AA0A9DF" w14:textId="3573E12F" w:rsidR="003521E7" w:rsidRDefault="004F449B" w:rsidP="002551C6">
            <w:pPr>
              <w:jc w:val="center"/>
              <w:rPr>
                <w:rFonts w:ascii="Arial" w:eastAsia="Calibri" w:hAnsi="Arial" w:cs="Arial"/>
                <w:b/>
                <w:u w:val="single"/>
              </w:rPr>
            </w:pPr>
            <w:r>
              <w:rPr>
                <w:rFonts w:ascii="Arial" w:eastAsia="Calibri" w:hAnsi="Arial" w:cs="Arial"/>
                <w:b/>
                <w:u w:val="single"/>
              </w:rPr>
              <w:t>79.22%</w:t>
            </w:r>
          </w:p>
        </w:tc>
      </w:tr>
      <w:tr w:rsidR="00DC2CD7" w:rsidRPr="004B1294" w14:paraId="49FB0732" w14:textId="77777777" w:rsidTr="00042E94">
        <w:tc>
          <w:tcPr>
            <w:tcW w:w="1550" w:type="dxa"/>
          </w:tcPr>
          <w:p w14:paraId="07E689C9" w14:textId="4C311E86" w:rsidR="00DC2CD7" w:rsidRDefault="00055F45" w:rsidP="002551C6">
            <w:pPr>
              <w:jc w:val="center"/>
              <w:rPr>
                <w:rFonts w:ascii="Arial" w:hAnsi="Arial" w:cs="Arial"/>
                <w:b/>
              </w:rPr>
            </w:pPr>
            <w:r>
              <w:rPr>
                <w:rFonts w:ascii="Arial" w:hAnsi="Arial" w:cs="Arial"/>
                <w:b/>
              </w:rPr>
              <w:t>59</w:t>
            </w:r>
          </w:p>
        </w:tc>
        <w:tc>
          <w:tcPr>
            <w:tcW w:w="3255" w:type="dxa"/>
          </w:tcPr>
          <w:p w14:paraId="03A1C7DF" w14:textId="1CECC60A" w:rsidR="00570F8C" w:rsidRPr="00570F8C" w:rsidRDefault="00570F8C" w:rsidP="0034100A">
            <w:pPr>
              <w:jc w:val="both"/>
              <w:rPr>
                <w:rFonts w:ascii="Arial" w:hAnsi="Arial" w:cs="Arial"/>
                <w:b/>
              </w:rPr>
            </w:pPr>
            <w:r w:rsidRPr="00570F8C">
              <w:rPr>
                <w:rFonts w:ascii="Arial" w:hAnsi="Arial" w:cs="Arial"/>
                <w:b/>
              </w:rPr>
              <w:t>FONDO UNICO DE TECNOLOGÍAS DE LA INFORMACIÓN Y LAS COMUNICACIONES – FUTIC.</w:t>
            </w:r>
          </w:p>
          <w:p w14:paraId="4984D979" w14:textId="77777777" w:rsidR="00DC2CD7" w:rsidRDefault="00DC2CD7" w:rsidP="00AD023F">
            <w:pPr>
              <w:jc w:val="both"/>
              <w:rPr>
                <w:rFonts w:ascii="Arial" w:hAnsi="Arial" w:cs="Arial"/>
                <w:b/>
                <w:lang w:val="es-MX"/>
              </w:rPr>
            </w:pPr>
          </w:p>
          <w:p w14:paraId="0F6DCCCA" w14:textId="77777777" w:rsidR="0034100A" w:rsidRDefault="0034100A" w:rsidP="0034100A">
            <w:pPr>
              <w:jc w:val="both"/>
              <w:rPr>
                <w:rFonts w:ascii="Arial" w:hAnsi="Arial" w:cs="Arial"/>
                <w:b/>
                <w:lang w:val="es-MX"/>
              </w:rPr>
            </w:pPr>
            <w:r>
              <w:rPr>
                <w:rFonts w:ascii="Arial" w:hAnsi="Arial" w:cs="Arial"/>
                <w:b/>
                <w:lang w:val="es-MX"/>
              </w:rPr>
              <w:t>FUNCIONAMIENTO</w:t>
            </w:r>
          </w:p>
          <w:p w14:paraId="02560953" w14:textId="77777777" w:rsidR="0034100A" w:rsidRDefault="0034100A" w:rsidP="0034100A">
            <w:pPr>
              <w:jc w:val="both"/>
              <w:rPr>
                <w:rFonts w:ascii="Arial" w:hAnsi="Arial" w:cs="Arial"/>
                <w:b/>
                <w:lang w:val="es-MX"/>
              </w:rPr>
            </w:pPr>
            <w:r>
              <w:rPr>
                <w:rFonts w:ascii="Arial" w:hAnsi="Arial" w:cs="Arial"/>
                <w:b/>
                <w:lang w:val="es-MX"/>
              </w:rPr>
              <w:t>INVERSIÓN</w:t>
            </w:r>
          </w:p>
          <w:p w14:paraId="39B06183" w14:textId="77777777" w:rsidR="0034100A" w:rsidRDefault="0034100A" w:rsidP="0034100A">
            <w:pPr>
              <w:jc w:val="both"/>
              <w:rPr>
                <w:rFonts w:ascii="Arial" w:hAnsi="Arial" w:cs="Arial"/>
                <w:b/>
                <w:lang w:val="es-MX"/>
              </w:rPr>
            </w:pPr>
          </w:p>
          <w:p w14:paraId="3240A4AF" w14:textId="3E99A673" w:rsidR="0034100A" w:rsidRPr="00AD023F" w:rsidRDefault="0034100A" w:rsidP="0034100A">
            <w:pPr>
              <w:jc w:val="both"/>
              <w:rPr>
                <w:rFonts w:ascii="Arial" w:hAnsi="Arial" w:cs="Arial"/>
                <w:b/>
                <w:lang w:val="es-MX"/>
              </w:rPr>
            </w:pPr>
            <w:r>
              <w:rPr>
                <w:rFonts w:ascii="Arial" w:hAnsi="Arial" w:cs="Arial"/>
                <w:b/>
                <w:lang w:val="es-MX"/>
              </w:rPr>
              <w:t>TOTAL PRESUPUESTO</w:t>
            </w:r>
          </w:p>
        </w:tc>
        <w:tc>
          <w:tcPr>
            <w:tcW w:w="1839" w:type="dxa"/>
          </w:tcPr>
          <w:p w14:paraId="170941F1" w14:textId="77777777" w:rsidR="00DC2CD7" w:rsidRDefault="00DC2CD7" w:rsidP="002551C6">
            <w:pPr>
              <w:jc w:val="center"/>
              <w:rPr>
                <w:rFonts w:ascii="Arial" w:eastAsia="Calibri" w:hAnsi="Arial" w:cs="Arial"/>
                <w:b/>
                <w:u w:val="single"/>
              </w:rPr>
            </w:pPr>
          </w:p>
          <w:p w14:paraId="23E021ED" w14:textId="77777777" w:rsidR="0034100A" w:rsidRDefault="0034100A" w:rsidP="002551C6">
            <w:pPr>
              <w:jc w:val="center"/>
              <w:rPr>
                <w:rFonts w:ascii="Arial" w:eastAsia="Calibri" w:hAnsi="Arial" w:cs="Arial"/>
                <w:b/>
                <w:u w:val="single"/>
              </w:rPr>
            </w:pPr>
          </w:p>
          <w:p w14:paraId="684FA43E" w14:textId="77777777" w:rsidR="0034100A" w:rsidRDefault="0034100A" w:rsidP="002551C6">
            <w:pPr>
              <w:jc w:val="center"/>
              <w:rPr>
                <w:rFonts w:ascii="Arial" w:eastAsia="Calibri" w:hAnsi="Arial" w:cs="Arial"/>
                <w:b/>
                <w:u w:val="single"/>
              </w:rPr>
            </w:pPr>
          </w:p>
          <w:p w14:paraId="4C304167" w14:textId="77777777" w:rsidR="0034100A" w:rsidRDefault="0034100A" w:rsidP="002551C6">
            <w:pPr>
              <w:jc w:val="center"/>
              <w:rPr>
                <w:rFonts w:ascii="Arial" w:eastAsia="Calibri" w:hAnsi="Arial" w:cs="Arial"/>
                <w:b/>
                <w:u w:val="single"/>
              </w:rPr>
            </w:pPr>
          </w:p>
          <w:p w14:paraId="181EC322" w14:textId="77777777" w:rsidR="0034100A" w:rsidRDefault="0034100A" w:rsidP="002551C6">
            <w:pPr>
              <w:jc w:val="center"/>
              <w:rPr>
                <w:rFonts w:ascii="Arial" w:eastAsia="Calibri" w:hAnsi="Arial" w:cs="Arial"/>
                <w:b/>
                <w:u w:val="single"/>
              </w:rPr>
            </w:pPr>
          </w:p>
          <w:p w14:paraId="3B1F4B71" w14:textId="3326D432" w:rsidR="0034100A" w:rsidRDefault="00A5515A" w:rsidP="002551C6">
            <w:pPr>
              <w:jc w:val="center"/>
              <w:rPr>
                <w:rFonts w:ascii="Arial" w:eastAsia="Calibri" w:hAnsi="Arial" w:cs="Arial"/>
                <w:b/>
                <w:u w:val="single"/>
              </w:rPr>
            </w:pPr>
            <w:r>
              <w:rPr>
                <w:rFonts w:ascii="Arial" w:eastAsia="Calibri" w:hAnsi="Arial" w:cs="Arial"/>
                <w:b/>
                <w:u w:val="single"/>
              </w:rPr>
              <w:t>96.78%</w:t>
            </w:r>
          </w:p>
          <w:p w14:paraId="5BF203E1" w14:textId="04FFDE4F" w:rsidR="0034100A" w:rsidRDefault="00A5515A" w:rsidP="002551C6">
            <w:pPr>
              <w:jc w:val="center"/>
              <w:rPr>
                <w:rFonts w:ascii="Arial" w:eastAsia="Calibri" w:hAnsi="Arial" w:cs="Arial"/>
                <w:b/>
                <w:u w:val="single"/>
              </w:rPr>
            </w:pPr>
            <w:r>
              <w:rPr>
                <w:rFonts w:ascii="Arial" w:eastAsia="Calibri" w:hAnsi="Arial" w:cs="Arial"/>
                <w:b/>
                <w:u w:val="single"/>
              </w:rPr>
              <w:t>97.60%</w:t>
            </w:r>
          </w:p>
          <w:p w14:paraId="7EB248BA" w14:textId="77777777" w:rsidR="0034100A" w:rsidRDefault="0034100A" w:rsidP="002551C6">
            <w:pPr>
              <w:jc w:val="center"/>
              <w:rPr>
                <w:rFonts w:ascii="Arial" w:eastAsia="Calibri" w:hAnsi="Arial" w:cs="Arial"/>
                <w:b/>
                <w:u w:val="single"/>
              </w:rPr>
            </w:pPr>
          </w:p>
          <w:p w14:paraId="74FA9E0B" w14:textId="4A3D91A7" w:rsidR="0034100A" w:rsidRDefault="00A5515A" w:rsidP="002551C6">
            <w:pPr>
              <w:jc w:val="center"/>
              <w:rPr>
                <w:rFonts w:ascii="Arial" w:eastAsia="Calibri" w:hAnsi="Arial" w:cs="Arial"/>
                <w:b/>
                <w:u w:val="single"/>
              </w:rPr>
            </w:pPr>
            <w:r>
              <w:rPr>
                <w:rFonts w:ascii="Arial" w:eastAsia="Calibri" w:hAnsi="Arial" w:cs="Arial"/>
                <w:b/>
                <w:u w:val="single"/>
              </w:rPr>
              <w:t>97.46%</w:t>
            </w:r>
          </w:p>
        </w:tc>
        <w:tc>
          <w:tcPr>
            <w:tcW w:w="1804" w:type="dxa"/>
          </w:tcPr>
          <w:p w14:paraId="5B9C0489" w14:textId="77777777" w:rsidR="00DC2CD7" w:rsidRDefault="00DC2CD7" w:rsidP="002551C6">
            <w:pPr>
              <w:jc w:val="center"/>
              <w:rPr>
                <w:rFonts w:ascii="Arial" w:eastAsia="Calibri" w:hAnsi="Arial" w:cs="Arial"/>
                <w:b/>
                <w:u w:val="single"/>
              </w:rPr>
            </w:pPr>
          </w:p>
          <w:p w14:paraId="075382DA" w14:textId="77777777" w:rsidR="0034100A" w:rsidRDefault="0034100A" w:rsidP="002551C6">
            <w:pPr>
              <w:jc w:val="center"/>
              <w:rPr>
                <w:rFonts w:ascii="Arial" w:eastAsia="Calibri" w:hAnsi="Arial" w:cs="Arial"/>
                <w:b/>
                <w:u w:val="single"/>
              </w:rPr>
            </w:pPr>
          </w:p>
          <w:p w14:paraId="1A6EC3B0" w14:textId="77777777" w:rsidR="0034100A" w:rsidRDefault="0034100A" w:rsidP="002551C6">
            <w:pPr>
              <w:jc w:val="center"/>
              <w:rPr>
                <w:rFonts w:ascii="Arial" w:eastAsia="Calibri" w:hAnsi="Arial" w:cs="Arial"/>
                <w:b/>
                <w:u w:val="single"/>
              </w:rPr>
            </w:pPr>
          </w:p>
          <w:p w14:paraId="4A424857" w14:textId="77777777" w:rsidR="0034100A" w:rsidRDefault="0034100A" w:rsidP="002551C6">
            <w:pPr>
              <w:jc w:val="center"/>
              <w:rPr>
                <w:rFonts w:ascii="Arial" w:eastAsia="Calibri" w:hAnsi="Arial" w:cs="Arial"/>
                <w:b/>
                <w:u w:val="single"/>
              </w:rPr>
            </w:pPr>
          </w:p>
          <w:p w14:paraId="4341255E" w14:textId="77777777" w:rsidR="0034100A" w:rsidRDefault="0034100A" w:rsidP="002551C6">
            <w:pPr>
              <w:jc w:val="center"/>
              <w:rPr>
                <w:rFonts w:ascii="Arial" w:eastAsia="Calibri" w:hAnsi="Arial" w:cs="Arial"/>
                <w:b/>
                <w:u w:val="single"/>
              </w:rPr>
            </w:pPr>
          </w:p>
          <w:p w14:paraId="73D8A7FF" w14:textId="29AFED99" w:rsidR="0034100A" w:rsidRDefault="00643B85" w:rsidP="002551C6">
            <w:pPr>
              <w:jc w:val="center"/>
              <w:rPr>
                <w:rFonts w:ascii="Arial" w:eastAsia="Calibri" w:hAnsi="Arial" w:cs="Arial"/>
                <w:b/>
                <w:u w:val="single"/>
              </w:rPr>
            </w:pPr>
            <w:r>
              <w:rPr>
                <w:rFonts w:ascii="Arial" w:eastAsia="Calibri" w:hAnsi="Arial" w:cs="Arial"/>
                <w:b/>
                <w:u w:val="single"/>
              </w:rPr>
              <w:t>95.19%</w:t>
            </w:r>
          </w:p>
          <w:p w14:paraId="142CB527" w14:textId="104A97BC" w:rsidR="0034100A" w:rsidRDefault="00643B85" w:rsidP="002551C6">
            <w:pPr>
              <w:jc w:val="center"/>
              <w:rPr>
                <w:rFonts w:ascii="Arial" w:eastAsia="Calibri" w:hAnsi="Arial" w:cs="Arial"/>
                <w:b/>
                <w:u w:val="single"/>
              </w:rPr>
            </w:pPr>
            <w:r>
              <w:rPr>
                <w:rFonts w:ascii="Arial" w:eastAsia="Calibri" w:hAnsi="Arial" w:cs="Arial"/>
                <w:b/>
                <w:u w:val="single"/>
              </w:rPr>
              <w:t>69.50%</w:t>
            </w:r>
          </w:p>
          <w:p w14:paraId="18D9DE1A" w14:textId="77777777" w:rsidR="0034100A" w:rsidRDefault="0034100A" w:rsidP="002551C6">
            <w:pPr>
              <w:jc w:val="center"/>
              <w:rPr>
                <w:rFonts w:ascii="Arial" w:eastAsia="Calibri" w:hAnsi="Arial" w:cs="Arial"/>
                <w:b/>
                <w:u w:val="single"/>
              </w:rPr>
            </w:pPr>
          </w:p>
          <w:p w14:paraId="4D8E0F58" w14:textId="082960E1" w:rsidR="0034100A" w:rsidRDefault="00643B85" w:rsidP="002551C6">
            <w:pPr>
              <w:jc w:val="center"/>
              <w:rPr>
                <w:rFonts w:ascii="Arial" w:eastAsia="Calibri" w:hAnsi="Arial" w:cs="Arial"/>
                <w:b/>
                <w:u w:val="single"/>
              </w:rPr>
            </w:pPr>
            <w:r>
              <w:rPr>
                <w:rFonts w:ascii="Arial" w:eastAsia="Calibri" w:hAnsi="Arial" w:cs="Arial"/>
                <w:b/>
                <w:u w:val="single"/>
              </w:rPr>
              <w:t>73.93%</w:t>
            </w:r>
          </w:p>
        </w:tc>
        <w:tc>
          <w:tcPr>
            <w:tcW w:w="2042" w:type="dxa"/>
          </w:tcPr>
          <w:p w14:paraId="67A533E9" w14:textId="77777777" w:rsidR="00DC2CD7" w:rsidRDefault="00DC2CD7" w:rsidP="002551C6">
            <w:pPr>
              <w:jc w:val="center"/>
              <w:rPr>
                <w:rFonts w:ascii="Arial" w:eastAsia="Calibri" w:hAnsi="Arial" w:cs="Arial"/>
                <w:b/>
                <w:u w:val="single"/>
              </w:rPr>
            </w:pPr>
          </w:p>
          <w:p w14:paraId="77E4DA98" w14:textId="77777777" w:rsidR="0034100A" w:rsidRDefault="0034100A" w:rsidP="002551C6">
            <w:pPr>
              <w:jc w:val="center"/>
              <w:rPr>
                <w:rFonts w:ascii="Arial" w:eastAsia="Calibri" w:hAnsi="Arial" w:cs="Arial"/>
                <w:b/>
                <w:u w:val="single"/>
              </w:rPr>
            </w:pPr>
          </w:p>
          <w:p w14:paraId="02D7868A" w14:textId="77777777" w:rsidR="0034100A" w:rsidRDefault="0034100A" w:rsidP="002551C6">
            <w:pPr>
              <w:jc w:val="center"/>
              <w:rPr>
                <w:rFonts w:ascii="Arial" w:eastAsia="Calibri" w:hAnsi="Arial" w:cs="Arial"/>
                <w:b/>
                <w:u w:val="single"/>
              </w:rPr>
            </w:pPr>
          </w:p>
          <w:p w14:paraId="3D5ACAA6" w14:textId="77777777" w:rsidR="0034100A" w:rsidRDefault="0034100A" w:rsidP="002551C6">
            <w:pPr>
              <w:jc w:val="center"/>
              <w:rPr>
                <w:rFonts w:ascii="Arial" w:eastAsia="Calibri" w:hAnsi="Arial" w:cs="Arial"/>
                <w:b/>
                <w:u w:val="single"/>
              </w:rPr>
            </w:pPr>
          </w:p>
          <w:p w14:paraId="7AC209A1" w14:textId="77777777" w:rsidR="0034100A" w:rsidRDefault="0034100A" w:rsidP="002551C6">
            <w:pPr>
              <w:jc w:val="center"/>
              <w:rPr>
                <w:rFonts w:ascii="Arial" w:eastAsia="Calibri" w:hAnsi="Arial" w:cs="Arial"/>
                <w:b/>
                <w:u w:val="single"/>
              </w:rPr>
            </w:pPr>
          </w:p>
          <w:p w14:paraId="51096F96" w14:textId="7776274C" w:rsidR="0034100A" w:rsidRDefault="00D3581C" w:rsidP="002551C6">
            <w:pPr>
              <w:jc w:val="center"/>
              <w:rPr>
                <w:rFonts w:ascii="Arial" w:eastAsia="Calibri" w:hAnsi="Arial" w:cs="Arial"/>
                <w:b/>
                <w:u w:val="single"/>
              </w:rPr>
            </w:pPr>
            <w:r>
              <w:rPr>
                <w:rFonts w:ascii="Arial" w:eastAsia="Calibri" w:hAnsi="Arial" w:cs="Arial"/>
                <w:b/>
                <w:u w:val="single"/>
              </w:rPr>
              <w:t>94.59%</w:t>
            </w:r>
          </w:p>
          <w:p w14:paraId="1ECD98FD" w14:textId="21FC02CE" w:rsidR="0034100A" w:rsidRDefault="00D3581C" w:rsidP="002551C6">
            <w:pPr>
              <w:jc w:val="center"/>
              <w:rPr>
                <w:rFonts w:ascii="Arial" w:eastAsia="Calibri" w:hAnsi="Arial" w:cs="Arial"/>
                <w:b/>
                <w:u w:val="single"/>
              </w:rPr>
            </w:pPr>
            <w:r>
              <w:rPr>
                <w:rFonts w:ascii="Arial" w:eastAsia="Calibri" w:hAnsi="Arial" w:cs="Arial"/>
                <w:b/>
                <w:u w:val="single"/>
              </w:rPr>
              <w:t>60.26%</w:t>
            </w:r>
          </w:p>
          <w:p w14:paraId="64FA5463" w14:textId="77777777" w:rsidR="0034100A" w:rsidRDefault="0034100A" w:rsidP="002551C6">
            <w:pPr>
              <w:jc w:val="center"/>
              <w:rPr>
                <w:rFonts w:ascii="Arial" w:eastAsia="Calibri" w:hAnsi="Arial" w:cs="Arial"/>
                <w:b/>
                <w:u w:val="single"/>
              </w:rPr>
            </w:pPr>
          </w:p>
          <w:p w14:paraId="5DEF8CD7" w14:textId="3DF7C8B2" w:rsidR="0034100A" w:rsidRDefault="00D3581C" w:rsidP="002551C6">
            <w:pPr>
              <w:jc w:val="center"/>
              <w:rPr>
                <w:rFonts w:ascii="Arial" w:eastAsia="Calibri" w:hAnsi="Arial" w:cs="Arial"/>
                <w:b/>
                <w:u w:val="single"/>
              </w:rPr>
            </w:pPr>
            <w:r>
              <w:rPr>
                <w:rFonts w:ascii="Arial" w:eastAsia="Calibri" w:hAnsi="Arial" w:cs="Arial"/>
                <w:b/>
                <w:u w:val="single"/>
              </w:rPr>
              <w:t>66.18%</w:t>
            </w:r>
          </w:p>
        </w:tc>
      </w:tr>
      <w:tr w:rsidR="00DC2CD7" w:rsidRPr="004B1294" w14:paraId="3F79593F" w14:textId="77777777" w:rsidTr="00042E94">
        <w:tc>
          <w:tcPr>
            <w:tcW w:w="1550" w:type="dxa"/>
          </w:tcPr>
          <w:p w14:paraId="43B3D8EE" w14:textId="16A8801D" w:rsidR="00DC2CD7" w:rsidRDefault="00472385" w:rsidP="002551C6">
            <w:pPr>
              <w:jc w:val="center"/>
              <w:rPr>
                <w:rFonts w:ascii="Arial" w:hAnsi="Arial" w:cs="Arial"/>
                <w:b/>
              </w:rPr>
            </w:pPr>
            <w:r>
              <w:rPr>
                <w:rFonts w:ascii="Arial" w:hAnsi="Arial" w:cs="Arial"/>
                <w:b/>
              </w:rPr>
              <w:t>60</w:t>
            </w:r>
          </w:p>
        </w:tc>
        <w:tc>
          <w:tcPr>
            <w:tcW w:w="3255" w:type="dxa"/>
          </w:tcPr>
          <w:p w14:paraId="56C7A2DA" w14:textId="77777777" w:rsidR="00DC2CD7" w:rsidRDefault="00472385" w:rsidP="00AD023F">
            <w:pPr>
              <w:jc w:val="both"/>
              <w:rPr>
                <w:rFonts w:ascii="Arial" w:hAnsi="Arial" w:cs="Arial"/>
                <w:b/>
                <w:lang w:val="es-MX"/>
              </w:rPr>
            </w:pPr>
            <w:r w:rsidRPr="00472385">
              <w:rPr>
                <w:rFonts w:ascii="Arial" w:hAnsi="Arial" w:cs="Arial"/>
                <w:b/>
                <w:lang w:val="es-MX"/>
              </w:rPr>
              <w:t>CAJA DE SUELDOS DE RETIRO DE LA POLICIA NACIONAL – CASUR.</w:t>
            </w:r>
          </w:p>
          <w:p w14:paraId="2012496B" w14:textId="77777777" w:rsidR="00472385" w:rsidRDefault="00472385" w:rsidP="00AD023F">
            <w:pPr>
              <w:jc w:val="both"/>
              <w:rPr>
                <w:rFonts w:ascii="Arial" w:hAnsi="Arial" w:cs="Arial"/>
                <w:b/>
                <w:lang w:val="es-MX"/>
              </w:rPr>
            </w:pPr>
          </w:p>
          <w:p w14:paraId="14844F6D" w14:textId="77777777" w:rsidR="00472385" w:rsidRDefault="00472385" w:rsidP="00472385">
            <w:pPr>
              <w:jc w:val="both"/>
              <w:rPr>
                <w:rFonts w:ascii="Arial" w:hAnsi="Arial" w:cs="Arial"/>
                <w:b/>
                <w:lang w:val="es-MX"/>
              </w:rPr>
            </w:pPr>
            <w:r>
              <w:rPr>
                <w:rFonts w:ascii="Arial" w:hAnsi="Arial" w:cs="Arial"/>
                <w:b/>
                <w:lang w:val="es-MX"/>
              </w:rPr>
              <w:t>FUNCIONAMIENTO</w:t>
            </w:r>
          </w:p>
          <w:p w14:paraId="32E7B4A8" w14:textId="77777777" w:rsidR="00472385" w:rsidRDefault="00472385" w:rsidP="00472385">
            <w:pPr>
              <w:jc w:val="both"/>
              <w:rPr>
                <w:rFonts w:ascii="Arial" w:hAnsi="Arial" w:cs="Arial"/>
                <w:b/>
                <w:lang w:val="es-MX"/>
              </w:rPr>
            </w:pPr>
            <w:r>
              <w:rPr>
                <w:rFonts w:ascii="Arial" w:hAnsi="Arial" w:cs="Arial"/>
                <w:b/>
                <w:lang w:val="es-MX"/>
              </w:rPr>
              <w:t>INVERSIÓN</w:t>
            </w:r>
          </w:p>
          <w:p w14:paraId="65960357" w14:textId="4E51A345" w:rsidR="00472385" w:rsidRPr="00472385" w:rsidRDefault="00472385" w:rsidP="00472385">
            <w:pPr>
              <w:jc w:val="both"/>
              <w:rPr>
                <w:rFonts w:ascii="Arial" w:hAnsi="Arial" w:cs="Arial"/>
                <w:b/>
                <w:lang w:val="es-MX"/>
              </w:rPr>
            </w:pPr>
            <w:r>
              <w:rPr>
                <w:rFonts w:ascii="Arial" w:hAnsi="Arial" w:cs="Arial"/>
                <w:b/>
                <w:lang w:val="es-MX"/>
              </w:rPr>
              <w:t>TOTAL PRESUPUESTO</w:t>
            </w:r>
          </w:p>
        </w:tc>
        <w:tc>
          <w:tcPr>
            <w:tcW w:w="1839" w:type="dxa"/>
          </w:tcPr>
          <w:p w14:paraId="72CC11C9" w14:textId="77777777" w:rsidR="00DC2CD7" w:rsidRDefault="00DC2CD7" w:rsidP="002551C6">
            <w:pPr>
              <w:jc w:val="center"/>
              <w:rPr>
                <w:rFonts w:ascii="Arial" w:eastAsia="Calibri" w:hAnsi="Arial" w:cs="Arial"/>
                <w:b/>
                <w:u w:val="single"/>
              </w:rPr>
            </w:pPr>
          </w:p>
          <w:p w14:paraId="57474933" w14:textId="2CF171CC" w:rsidR="00472385" w:rsidRDefault="00472385" w:rsidP="002551C6">
            <w:pPr>
              <w:jc w:val="center"/>
              <w:rPr>
                <w:rFonts w:ascii="Arial" w:eastAsia="Calibri" w:hAnsi="Arial" w:cs="Arial"/>
                <w:b/>
                <w:u w:val="single"/>
              </w:rPr>
            </w:pPr>
          </w:p>
          <w:p w14:paraId="45A76FE2" w14:textId="437C0399" w:rsidR="00472385" w:rsidRDefault="00472385" w:rsidP="002551C6">
            <w:pPr>
              <w:jc w:val="center"/>
              <w:rPr>
                <w:rFonts w:ascii="Arial" w:eastAsia="Calibri" w:hAnsi="Arial" w:cs="Arial"/>
                <w:b/>
                <w:u w:val="single"/>
              </w:rPr>
            </w:pPr>
          </w:p>
          <w:p w14:paraId="07A2DDE6" w14:textId="0E2787D1" w:rsidR="00472385" w:rsidRDefault="00472385" w:rsidP="002551C6">
            <w:pPr>
              <w:jc w:val="center"/>
              <w:rPr>
                <w:rFonts w:ascii="Arial" w:eastAsia="Calibri" w:hAnsi="Arial" w:cs="Arial"/>
                <w:b/>
                <w:u w:val="single"/>
              </w:rPr>
            </w:pPr>
          </w:p>
          <w:p w14:paraId="1D920670" w14:textId="5359BD72" w:rsidR="00472385" w:rsidRDefault="00472385" w:rsidP="002551C6">
            <w:pPr>
              <w:jc w:val="center"/>
              <w:rPr>
                <w:rFonts w:ascii="Arial" w:eastAsia="Calibri" w:hAnsi="Arial" w:cs="Arial"/>
                <w:b/>
                <w:u w:val="single"/>
              </w:rPr>
            </w:pPr>
            <w:r>
              <w:rPr>
                <w:rFonts w:ascii="Arial" w:eastAsia="Calibri" w:hAnsi="Arial" w:cs="Arial"/>
                <w:b/>
                <w:u w:val="single"/>
              </w:rPr>
              <w:t>98.31%</w:t>
            </w:r>
          </w:p>
          <w:p w14:paraId="1CE70A43" w14:textId="34C5A956" w:rsidR="00472385" w:rsidRDefault="00472385" w:rsidP="002551C6">
            <w:pPr>
              <w:jc w:val="center"/>
              <w:rPr>
                <w:rFonts w:ascii="Arial" w:eastAsia="Calibri" w:hAnsi="Arial" w:cs="Arial"/>
                <w:b/>
                <w:u w:val="single"/>
              </w:rPr>
            </w:pPr>
            <w:r>
              <w:rPr>
                <w:rFonts w:ascii="Arial" w:eastAsia="Calibri" w:hAnsi="Arial" w:cs="Arial"/>
                <w:b/>
                <w:u w:val="single"/>
              </w:rPr>
              <w:t>81.33%</w:t>
            </w:r>
          </w:p>
          <w:p w14:paraId="470B1B7D" w14:textId="1DFE29CD" w:rsidR="00472385" w:rsidRDefault="00472385" w:rsidP="00472385">
            <w:pPr>
              <w:jc w:val="center"/>
              <w:rPr>
                <w:rFonts w:ascii="Arial" w:eastAsia="Calibri" w:hAnsi="Arial" w:cs="Arial"/>
                <w:b/>
                <w:u w:val="single"/>
              </w:rPr>
            </w:pPr>
            <w:r>
              <w:rPr>
                <w:rFonts w:ascii="Arial" w:eastAsia="Calibri" w:hAnsi="Arial" w:cs="Arial"/>
                <w:b/>
                <w:u w:val="single"/>
              </w:rPr>
              <w:t>98.28%</w:t>
            </w:r>
          </w:p>
        </w:tc>
        <w:tc>
          <w:tcPr>
            <w:tcW w:w="1804" w:type="dxa"/>
          </w:tcPr>
          <w:p w14:paraId="58E37549" w14:textId="77777777" w:rsidR="00DC2CD7" w:rsidRDefault="00DC2CD7" w:rsidP="002551C6">
            <w:pPr>
              <w:jc w:val="center"/>
              <w:rPr>
                <w:rFonts w:ascii="Arial" w:eastAsia="Calibri" w:hAnsi="Arial" w:cs="Arial"/>
                <w:b/>
                <w:u w:val="single"/>
              </w:rPr>
            </w:pPr>
          </w:p>
          <w:p w14:paraId="7FFD3FB5" w14:textId="77777777" w:rsidR="00472385" w:rsidRDefault="00472385" w:rsidP="002551C6">
            <w:pPr>
              <w:jc w:val="center"/>
              <w:rPr>
                <w:rFonts w:ascii="Arial" w:eastAsia="Calibri" w:hAnsi="Arial" w:cs="Arial"/>
                <w:b/>
                <w:u w:val="single"/>
              </w:rPr>
            </w:pPr>
          </w:p>
          <w:p w14:paraId="64257DD6" w14:textId="77777777" w:rsidR="00472385" w:rsidRDefault="00472385" w:rsidP="002551C6">
            <w:pPr>
              <w:jc w:val="center"/>
              <w:rPr>
                <w:rFonts w:ascii="Arial" w:eastAsia="Calibri" w:hAnsi="Arial" w:cs="Arial"/>
                <w:b/>
                <w:u w:val="single"/>
              </w:rPr>
            </w:pPr>
          </w:p>
          <w:p w14:paraId="379003FB" w14:textId="77777777" w:rsidR="00472385" w:rsidRDefault="00472385" w:rsidP="002551C6">
            <w:pPr>
              <w:jc w:val="center"/>
              <w:rPr>
                <w:rFonts w:ascii="Arial" w:eastAsia="Calibri" w:hAnsi="Arial" w:cs="Arial"/>
                <w:b/>
                <w:u w:val="single"/>
              </w:rPr>
            </w:pPr>
          </w:p>
          <w:p w14:paraId="2A3963A3" w14:textId="0B97BC35" w:rsidR="00472385" w:rsidRDefault="00472385" w:rsidP="002551C6">
            <w:pPr>
              <w:jc w:val="center"/>
              <w:rPr>
                <w:rFonts w:ascii="Arial" w:eastAsia="Calibri" w:hAnsi="Arial" w:cs="Arial"/>
                <w:b/>
                <w:u w:val="single"/>
              </w:rPr>
            </w:pPr>
            <w:r>
              <w:rPr>
                <w:rFonts w:ascii="Arial" w:eastAsia="Calibri" w:hAnsi="Arial" w:cs="Arial"/>
                <w:b/>
                <w:u w:val="single"/>
              </w:rPr>
              <w:t>98.31%</w:t>
            </w:r>
          </w:p>
          <w:p w14:paraId="5F6C71BC" w14:textId="78F38E0E" w:rsidR="00472385" w:rsidRDefault="00472385" w:rsidP="002551C6">
            <w:pPr>
              <w:jc w:val="center"/>
              <w:rPr>
                <w:rFonts w:ascii="Arial" w:eastAsia="Calibri" w:hAnsi="Arial" w:cs="Arial"/>
                <w:b/>
                <w:u w:val="single"/>
              </w:rPr>
            </w:pPr>
            <w:r>
              <w:rPr>
                <w:rFonts w:ascii="Arial" w:eastAsia="Calibri" w:hAnsi="Arial" w:cs="Arial"/>
                <w:b/>
                <w:u w:val="single"/>
              </w:rPr>
              <w:t>34.10%</w:t>
            </w:r>
          </w:p>
          <w:p w14:paraId="102A600E" w14:textId="28A3F1EE" w:rsidR="00472385" w:rsidRDefault="00472385" w:rsidP="002551C6">
            <w:pPr>
              <w:jc w:val="center"/>
              <w:rPr>
                <w:rFonts w:ascii="Arial" w:eastAsia="Calibri" w:hAnsi="Arial" w:cs="Arial"/>
                <w:b/>
                <w:u w:val="single"/>
              </w:rPr>
            </w:pPr>
            <w:r>
              <w:rPr>
                <w:rFonts w:ascii="Arial" w:eastAsia="Calibri" w:hAnsi="Arial" w:cs="Arial"/>
                <w:b/>
                <w:u w:val="single"/>
              </w:rPr>
              <w:t>98.20%</w:t>
            </w:r>
          </w:p>
        </w:tc>
        <w:tc>
          <w:tcPr>
            <w:tcW w:w="2042" w:type="dxa"/>
          </w:tcPr>
          <w:p w14:paraId="4D0B5B07" w14:textId="77777777" w:rsidR="00DC2CD7" w:rsidRDefault="00DC2CD7" w:rsidP="002551C6">
            <w:pPr>
              <w:jc w:val="center"/>
              <w:rPr>
                <w:rFonts w:ascii="Arial" w:eastAsia="Calibri" w:hAnsi="Arial" w:cs="Arial"/>
                <w:b/>
                <w:u w:val="single"/>
              </w:rPr>
            </w:pPr>
          </w:p>
          <w:p w14:paraId="42549A12" w14:textId="77777777" w:rsidR="00472385" w:rsidRDefault="00472385" w:rsidP="002551C6">
            <w:pPr>
              <w:jc w:val="center"/>
              <w:rPr>
                <w:rFonts w:ascii="Arial" w:eastAsia="Calibri" w:hAnsi="Arial" w:cs="Arial"/>
                <w:b/>
                <w:u w:val="single"/>
              </w:rPr>
            </w:pPr>
          </w:p>
          <w:p w14:paraId="2D3DF135" w14:textId="77777777" w:rsidR="00472385" w:rsidRDefault="00472385" w:rsidP="002551C6">
            <w:pPr>
              <w:jc w:val="center"/>
              <w:rPr>
                <w:rFonts w:ascii="Arial" w:eastAsia="Calibri" w:hAnsi="Arial" w:cs="Arial"/>
                <w:b/>
                <w:u w:val="single"/>
              </w:rPr>
            </w:pPr>
          </w:p>
          <w:p w14:paraId="149201F3" w14:textId="77777777" w:rsidR="00472385" w:rsidRDefault="00472385" w:rsidP="002551C6">
            <w:pPr>
              <w:jc w:val="center"/>
              <w:rPr>
                <w:rFonts w:ascii="Arial" w:eastAsia="Calibri" w:hAnsi="Arial" w:cs="Arial"/>
                <w:b/>
                <w:u w:val="single"/>
              </w:rPr>
            </w:pPr>
          </w:p>
          <w:p w14:paraId="77D44297" w14:textId="5818628C" w:rsidR="00472385" w:rsidRDefault="00472385" w:rsidP="002551C6">
            <w:pPr>
              <w:jc w:val="center"/>
              <w:rPr>
                <w:rFonts w:ascii="Arial" w:eastAsia="Calibri" w:hAnsi="Arial" w:cs="Arial"/>
                <w:b/>
                <w:u w:val="single"/>
              </w:rPr>
            </w:pPr>
            <w:r>
              <w:rPr>
                <w:rFonts w:ascii="Arial" w:eastAsia="Calibri" w:hAnsi="Arial" w:cs="Arial"/>
                <w:b/>
                <w:u w:val="single"/>
              </w:rPr>
              <w:t>98.30%</w:t>
            </w:r>
          </w:p>
          <w:p w14:paraId="49765E20" w14:textId="633E6149" w:rsidR="00472385" w:rsidRDefault="00472385" w:rsidP="002551C6">
            <w:pPr>
              <w:jc w:val="center"/>
              <w:rPr>
                <w:rFonts w:ascii="Arial" w:eastAsia="Calibri" w:hAnsi="Arial" w:cs="Arial"/>
                <w:b/>
                <w:u w:val="single"/>
              </w:rPr>
            </w:pPr>
            <w:r>
              <w:rPr>
                <w:rFonts w:ascii="Arial" w:eastAsia="Calibri" w:hAnsi="Arial" w:cs="Arial"/>
                <w:b/>
                <w:u w:val="single"/>
              </w:rPr>
              <w:t>28.36%</w:t>
            </w:r>
          </w:p>
          <w:p w14:paraId="44B3C42A" w14:textId="55E70FED" w:rsidR="00472385" w:rsidRDefault="00472385" w:rsidP="002551C6">
            <w:pPr>
              <w:jc w:val="center"/>
              <w:rPr>
                <w:rFonts w:ascii="Arial" w:eastAsia="Calibri" w:hAnsi="Arial" w:cs="Arial"/>
                <w:b/>
                <w:u w:val="single"/>
              </w:rPr>
            </w:pPr>
            <w:r>
              <w:rPr>
                <w:rFonts w:ascii="Arial" w:eastAsia="Calibri" w:hAnsi="Arial" w:cs="Arial"/>
                <w:b/>
                <w:u w:val="single"/>
              </w:rPr>
              <w:t>98.18%</w:t>
            </w:r>
          </w:p>
        </w:tc>
      </w:tr>
      <w:tr w:rsidR="00DC2CD7" w:rsidRPr="004B1294" w14:paraId="3B2D2199" w14:textId="77777777" w:rsidTr="00042E94">
        <w:tc>
          <w:tcPr>
            <w:tcW w:w="1550" w:type="dxa"/>
          </w:tcPr>
          <w:p w14:paraId="23378BFF" w14:textId="410666B3" w:rsidR="00DC2CD7" w:rsidRDefault="009C7521" w:rsidP="002551C6">
            <w:pPr>
              <w:jc w:val="center"/>
              <w:rPr>
                <w:rFonts w:ascii="Arial" w:hAnsi="Arial" w:cs="Arial"/>
                <w:b/>
              </w:rPr>
            </w:pPr>
            <w:r>
              <w:rPr>
                <w:rFonts w:ascii="Arial" w:hAnsi="Arial" w:cs="Arial"/>
                <w:b/>
              </w:rPr>
              <w:lastRenderedPageBreak/>
              <w:t>61</w:t>
            </w:r>
          </w:p>
        </w:tc>
        <w:tc>
          <w:tcPr>
            <w:tcW w:w="3255" w:type="dxa"/>
          </w:tcPr>
          <w:p w14:paraId="7D9E4E85" w14:textId="09601B81" w:rsidR="009C7521" w:rsidRPr="009C7521" w:rsidRDefault="009C7521" w:rsidP="009C7521">
            <w:pPr>
              <w:pStyle w:val="Ttulo6"/>
              <w:tabs>
                <w:tab w:val="left" w:pos="8505"/>
              </w:tabs>
              <w:spacing w:before="0"/>
              <w:ind w:left="0" w:firstLine="0"/>
              <w:jc w:val="both"/>
              <w:outlineLvl w:val="5"/>
              <w:rPr>
                <w:rFonts w:ascii="Arial" w:hAnsi="Arial" w:cs="Arial"/>
                <w:b/>
                <w:i w:val="0"/>
                <w:iCs w:val="0"/>
                <w:color w:val="auto"/>
                <w:spacing w:val="-2"/>
              </w:rPr>
            </w:pPr>
            <w:r w:rsidRPr="009C7521">
              <w:rPr>
                <w:rFonts w:ascii="Arial" w:hAnsi="Arial" w:cs="Arial"/>
                <w:b/>
                <w:i w:val="0"/>
                <w:iCs w:val="0"/>
                <w:color w:val="auto"/>
              </w:rPr>
              <w:t xml:space="preserve">UNIDAD NACIONAL PARA LA GESTIÓN DEL RIESGO DE DESASTRES - </w:t>
            </w:r>
            <w:r w:rsidRPr="009C7521">
              <w:rPr>
                <w:rFonts w:ascii="Arial" w:hAnsi="Arial" w:cs="Arial"/>
                <w:b/>
                <w:i w:val="0"/>
                <w:iCs w:val="0"/>
                <w:color w:val="auto"/>
                <w:spacing w:val="-2"/>
              </w:rPr>
              <w:t>UNGRD.</w:t>
            </w:r>
          </w:p>
          <w:p w14:paraId="70DB0D10" w14:textId="77777777" w:rsidR="00DC2CD7" w:rsidRDefault="00DC2CD7" w:rsidP="00AD023F">
            <w:pPr>
              <w:jc w:val="both"/>
              <w:rPr>
                <w:rFonts w:ascii="Arial" w:hAnsi="Arial" w:cs="Arial"/>
                <w:b/>
              </w:rPr>
            </w:pPr>
          </w:p>
          <w:p w14:paraId="77FFA055" w14:textId="77777777" w:rsidR="009C7521" w:rsidRDefault="009C7521" w:rsidP="009C7521">
            <w:pPr>
              <w:jc w:val="both"/>
              <w:rPr>
                <w:rFonts w:ascii="Arial" w:hAnsi="Arial" w:cs="Arial"/>
                <w:b/>
                <w:lang w:val="es-MX"/>
              </w:rPr>
            </w:pPr>
            <w:r>
              <w:rPr>
                <w:rFonts w:ascii="Arial" w:hAnsi="Arial" w:cs="Arial"/>
                <w:b/>
                <w:lang w:val="es-MX"/>
              </w:rPr>
              <w:t>FUNCIONAMIENTO</w:t>
            </w:r>
          </w:p>
          <w:p w14:paraId="24B6E2C7" w14:textId="77777777" w:rsidR="009C7521" w:rsidRDefault="009C7521" w:rsidP="009C7521">
            <w:pPr>
              <w:jc w:val="both"/>
              <w:rPr>
                <w:rFonts w:ascii="Arial" w:hAnsi="Arial" w:cs="Arial"/>
                <w:b/>
                <w:lang w:val="es-MX"/>
              </w:rPr>
            </w:pPr>
            <w:r>
              <w:rPr>
                <w:rFonts w:ascii="Arial" w:hAnsi="Arial" w:cs="Arial"/>
                <w:b/>
                <w:lang w:val="es-MX"/>
              </w:rPr>
              <w:t>INVERSIÓN</w:t>
            </w:r>
          </w:p>
          <w:p w14:paraId="1726B68D" w14:textId="77777777" w:rsidR="009C7521" w:rsidRDefault="009C7521" w:rsidP="009C7521">
            <w:pPr>
              <w:jc w:val="both"/>
              <w:rPr>
                <w:rFonts w:ascii="Arial" w:hAnsi="Arial" w:cs="Arial"/>
                <w:b/>
                <w:lang w:val="es-MX"/>
              </w:rPr>
            </w:pPr>
          </w:p>
          <w:p w14:paraId="25028D4E" w14:textId="4335F2EC" w:rsidR="009C7521" w:rsidRPr="009C7521" w:rsidRDefault="009C7521" w:rsidP="009C7521">
            <w:pPr>
              <w:jc w:val="both"/>
              <w:rPr>
                <w:rFonts w:ascii="Arial" w:hAnsi="Arial" w:cs="Arial"/>
                <w:b/>
              </w:rPr>
            </w:pPr>
            <w:r>
              <w:rPr>
                <w:rFonts w:ascii="Arial" w:hAnsi="Arial" w:cs="Arial"/>
                <w:b/>
                <w:lang w:val="es-MX"/>
              </w:rPr>
              <w:t>TOTAL PRESUPUESTO</w:t>
            </w:r>
          </w:p>
        </w:tc>
        <w:tc>
          <w:tcPr>
            <w:tcW w:w="1839" w:type="dxa"/>
          </w:tcPr>
          <w:p w14:paraId="4CBE8017" w14:textId="77777777" w:rsidR="00DC2CD7" w:rsidRDefault="00DC2CD7" w:rsidP="002551C6">
            <w:pPr>
              <w:jc w:val="center"/>
              <w:rPr>
                <w:rFonts w:ascii="Arial" w:eastAsia="Calibri" w:hAnsi="Arial" w:cs="Arial"/>
                <w:b/>
                <w:u w:val="single"/>
              </w:rPr>
            </w:pPr>
          </w:p>
          <w:p w14:paraId="3FC7FDF1" w14:textId="77777777" w:rsidR="009C7521" w:rsidRDefault="009C7521" w:rsidP="002551C6">
            <w:pPr>
              <w:jc w:val="center"/>
              <w:rPr>
                <w:rFonts w:ascii="Arial" w:eastAsia="Calibri" w:hAnsi="Arial" w:cs="Arial"/>
                <w:b/>
                <w:u w:val="single"/>
              </w:rPr>
            </w:pPr>
          </w:p>
          <w:p w14:paraId="3D866C31" w14:textId="77777777" w:rsidR="009C7521" w:rsidRDefault="009C7521" w:rsidP="002551C6">
            <w:pPr>
              <w:jc w:val="center"/>
              <w:rPr>
                <w:rFonts w:ascii="Arial" w:eastAsia="Calibri" w:hAnsi="Arial" w:cs="Arial"/>
                <w:b/>
                <w:u w:val="single"/>
              </w:rPr>
            </w:pPr>
          </w:p>
          <w:p w14:paraId="0E112065" w14:textId="77777777" w:rsidR="009C7521" w:rsidRDefault="009C7521" w:rsidP="002551C6">
            <w:pPr>
              <w:jc w:val="center"/>
              <w:rPr>
                <w:rFonts w:ascii="Arial" w:eastAsia="Calibri" w:hAnsi="Arial" w:cs="Arial"/>
                <w:b/>
                <w:u w:val="single"/>
              </w:rPr>
            </w:pPr>
          </w:p>
          <w:p w14:paraId="2805CA46" w14:textId="1AA84311" w:rsidR="009C7521" w:rsidRDefault="009C7521" w:rsidP="002551C6">
            <w:pPr>
              <w:jc w:val="center"/>
              <w:rPr>
                <w:rFonts w:ascii="Arial" w:eastAsia="Calibri" w:hAnsi="Arial" w:cs="Arial"/>
                <w:b/>
                <w:u w:val="single"/>
              </w:rPr>
            </w:pPr>
            <w:r>
              <w:rPr>
                <w:rFonts w:ascii="Arial" w:eastAsia="Calibri" w:hAnsi="Arial" w:cs="Arial"/>
                <w:b/>
                <w:u w:val="single"/>
              </w:rPr>
              <w:t>94.72%</w:t>
            </w:r>
          </w:p>
          <w:p w14:paraId="5165E688" w14:textId="28FAA7D0" w:rsidR="009C7521" w:rsidRDefault="009C7521" w:rsidP="002551C6">
            <w:pPr>
              <w:jc w:val="center"/>
              <w:rPr>
                <w:rFonts w:ascii="Arial" w:eastAsia="Calibri" w:hAnsi="Arial" w:cs="Arial"/>
                <w:b/>
                <w:u w:val="single"/>
              </w:rPr>
            </w:pPr>
            <w:r>
              <w:rPr>
                <w:rFonts w:ascii="Arial" w:eastAsia="Calibri" w:hAnsi="Arial" w:cs="Arial"/>
                <w:b/>
                <w:u w:val="single"/>
              </w:rPr>
              <w:t>99.73%</w:t>
            </w:r>
          </w:p>
          <w:p w14:paraId="24697FA0" w14:textId="77777777" w:rsidR="009C7521" w:rsidRDefault="009C7521" w:rsidP="002551C6">
            <w:pPr>
              <w:jc w:val="center"/>
              <w:rPr>
                <w:rFonts w:ascii="Arial" w:eastAsia="Calibri" w:hAnsi="Arial" w:cs="Arial"/>
                <w:b/>
                <w:u w:val="single"/>
              </w:rPr>
            </w:pPr>
          </w:p>
          <w:p w14:paraId="6DF3B0BD" w14:textId="14E0E2AB" w:rsidR="009C7521" w:rsidRDefault="009C7521" w:rsidP="002551C6">
            <w:pPr>
              <w:jc w:val="center"/>
              <w:rPr>
                <w:rFonts w:ascii="Arial" w:eastAsia="Calibri" w:hAnsi="Arial" w:cs="Arial"/>
                <w:b/>
                <w:u w:val="single"/>
              </w:rPr>
            </w:pPr>
            <w:r>
              <w:rPr>
                <w:rFonts w:ascii="Arial" w:eastAsia="Calibri" w:hAnsi="Arial" w:cs="Arial"/>
                <w:b/>
                <w:u w:val="single"/>
              </w:rPr>
              <w:t>94.87%</w:t>
            </w:r>
          </w:p>
        </w:tc>
        <w:tc>
          <w:tcPr>
            <w:tcW w:w="1804" w:type="dxa"/>
          </w:tcPr>
          <w:p w14:paraId="2790A985" w14:textId="77777777" w:rsidR="00DC2CD7" w:rsidRDefault="00DC2CD7" w:rsidP="002551C6">
            <w:pPr>
              <w:jc w:val="center"/>
              <w:rPr>
                <w:rFonts w:ascii="Arial" w:eastAsia="Calibri" w:hAnsi="Arial" w:cs="Arial"/>
                <w:b/>
                <w:u w:val="single"/>
              </w:rPr>
            </w:pPr>
          </w:p>
          <w:p w14:paraId="4456539F" w14:textId="77777777" w:rsidR="009C7521" w:rsidRDefault="009C7521" w:rsidP="002551C6">
            <w:pPr>
              <w:jc w:val="center"/>
              <w:rPr>
                <w:rFonts w:ascii="Arial" w:eastAsia="Calibri" w:hAnsi="Arial" w:cs="Arial"/>
                <w:b/>
                <w:u w:val="single"/>
              </w:rPr>
            </w:pPr>
          </w:p>
          <w:p w14:paraId="3A805A9E" w14:textId="77777777" w:rsidR="009C7521" w:rsidRDefault="009C7521" w:rsidP="002551C6">
            <w:pPr>
              <w:jc w:val="center"/>
              <w:rPr>
                <w:rFonts w:ascii="Arial" w:eastAsia="Calibri" w:hAnsi="Arial" w:cs="Arial"/>
                <w:b/>
                <w:u w:val="single"/>
              </w:rPr>
            </w:pPr>
          </w:p>
          <w:p w14:paraId="37E60A21" w14:textId="77777777" w:rsidR="009C7521" w:rsidRDefault="009C7521" w:rsidP="002551C6">
            <w:pPr>
              <w:jc w:val="center"/>
              <w:rPr>
                <w:rFonts w:ascii="Arial" w:eastAsia="Calibri" w:hAnsi="Arial" w:cs="Arial"/>
                <w:b/>
                <w:u w:val="single"/>
              </w:rPr>
            </w:pPr>
          </w:p>
          <w:p w14:paraId="43AE30B9" w14:textId="0FEF6BCE" w:rsidR="009C7521" w:rsidRDefault="009C7521" w:rsidP="002551C6">
            <w:pPr>
              <w:jc w:val="center"/>
              <w:rPr>
                <w:rFonts w:ascii="Arial" w:eastAsia="Calibri" w:hAnsi="Arial" w:cs="Arial"/>
                <w:b/>
                <w:u w:val="single"/>
              </w:rPr>
            </w:pPr>
            <w:r>
              <w:rPr>
                <w:rFonts w:ascii="Arial" w:eastAsia="Calibri" w:hAnsi="Arial" w:cs="Arial"/>
                <w:b/>
                <w:u w:val="single"/>
              </w:rPr>
              <w:t>9.89%</w:t>
            </w:r>
          </w:p>
          <w:p w14:paraId="0AF17F1F" w14:textId="365A8B10" w:rsidR="009C7521" w:rsidRDefault="009C7521" w:rsidP="002551C6">
            <w:pPr>
              <w:jc w:val="center"/>
              <w:rPr>
                <w:rFonts w:ascii="Arial" w:eastAsia="Calibri" w:hAnsi="Arial" w:cs="Arial"/>
                <w:b/>
                <w:u w:val="single"/>
              </w:rPr>
            </w:pPr>
            <w:r>
              <w:rPr>
                <w:rFonts w:ascii="Arial" w:eastAsia="Calibri" w:hAnsi="Arial" w:cs="Arial"/>
                <w:b/>
                <w:u w:val="single"/>
              </w:rPr>
              <w:t>6.28%</w:t>
            </w:r>
          </w:p>
          <w:p w14:paraId="29023B05" w14:textId="77777777" w:rsidR="009C7521" w:rsidRDefault="009C7521" w:rsidP="002551C6">
            <w:pPr>
              <w:jc w:val="center"/>
              <w:rPr>
                <w:rFonts w:ascii="Arial" w:eastAsia="Calibri" w:hAnsi="Arial" w:cs="Arial"/>
                <w:b/>
                <w:u w:val="single"/>
              </w:rPr>
            </w:pPr>
          </w:p>
          <w:p w14:paraId="38D046D6" w14:textId="4E1DBF59" w:rsidR="009C7521" w:rsidRDefault="009C7521" w:rsidP="002551C6">
            <w:pPr>
              <w:jc w:val="center"/>
              <w:rPr>
                <w:rFonts w:ascii="Arial" w:eastAsia="Calibri" w:hAnsi="Arial" w:cs="Arial"/>
                <w:b/>
                <w:u w:val="single"/>
              </w:rPr>
            </w:pPr>
            <w:r>
              <w:rPr>
                <w:rFonts w:ascii="Arial" w:eastAsia="Calibri" w:hAnsi="Arial" w:cs="Arial"/>
                <w:b/>
                <w:u w:val="single"/>
              </w:rPr>
              <w:t>9.79%</w:t>
            </w:r>
          </w:p>
        </w:tc>
        <w:tc>
          <w:tcPr>
            <w:tcW w:w="2042" w:type="dxa"/>
          </w:tcPr>
          <w:p w14:paraId="4FF0F427" w14:textId="77777777" w:rsidR="00DC2CD7" w:rsidRDefault="00DC2CD7" w:rsidP="002551C6">
            <w:pPr>
              <w:jc w:val="center"/>
              <w:rPr>
                <w:rFonts w:ascii="Arial" w:eastAsia="Calibri" w:hAnsi="Arial" w:cs="Arial"/>
                <w:b/>
                <w:u w:val="single"/>
              </w:rPr>
            </w:pPr>
          </w:p>
          <w:p w14:paraId="6C8311CB" w14:textId="77777777" w:rsidR="009C7521" w:rsidRDefault="009C7521" w:rsidP="002551C6">
            <w:pPr>
              <w:jc w:val="center"/>
              <w:rPr>
                <w:rFonts w:ascii="Arial" w:eastAsia="Calibri" w:hAnsi="Arial" w:cs="Arial"/>
                <w:b/>
                <w:u w:val="single"/>
              </w:rPr>
            </w:pPr>
          </w:p>
          <w:p w14:paraId="0C972A58" w14:textId="77777777" w:rsidR="009C7521" w:rsidRDefault="009C7521" w:rsidP="002551C6">
            <w:pPr>
              <w:jc w:val="center"/>
              <w:rPr>
                <w:rFonts w:ascii="Arial" w:eastAsia="Calibri" w:hAnsi="Arial" w:cs="Arial"/>
                <w:b/>
                <w:u w:val="single"/>
              </w:rPr>
            </w:pPr>
          </w:p>
          <w:p w14:paraId="1F92C4F3" w14:textId="77777777" w:rsidR="009C7521" w:rsidRDefault="009C7521" w:rsidP="002551C6">
            <w:pPr>
              <w:jc w:val="center"/>
              <w:rPr>
                <w:rFonts w:ascii="Arial" w:eastAsia="Calibri" w:hAnsi="Arial" w:cs="Arial"/>
                <w:b/>
                <w:u w:val="single"/>
              </w:rPr>
            </w:pPr>
          </w:p>
          <w:p w14:paraId="27C364D7" w14:textId="039922A2" w:rsidR="009C7521" w:rsidRDefault="009C7521" w:rsidP="002551C6">
            <w:pPr>
              <w:jc w:val="center"/>
              <w:rPr>
                <w:rFonts w:ascii="Arial" w:eastAsia="Calibri" w:hAnsi="Arial" w:cs="Arial"/>
                <w:b/>
                <w:u w:val="single"/>
              </w:rPr>
            </w:pPr>
            <w:r>
              <w:rPr>
                <w:rFonts w:ascii="Arial" w:eastAsia="Calibri" w:hAnsi="Arial" w:cs="Arial"/>
                <w:b/>
                <w:u w:val="single"/>
              </w:rPr>
              <w:t>9.84%</w:t>
            </w:r>
          </w:p>
          <w:p w14:paraId="3AD905B3" w14:textId="4984CA66" w:rsidR="009C7521" w:rsidRDefault="009C7521" w:rsidP="002551C6">
            <w:pPr>
              <w:jc w:val="center"/>
              <w:rPr>
                <w:rFonts w:ascii="Arial" w:eastAsia="Calibri" w:hAnsi="Arial" w:cs="Arial"/>
                <w:b/>
                <w:u w:val="single"/>
              </w:rPr>
            </w:pPr>
            <w:r>
              <w:rPr>
                <w:rFonts w:ascii="Arial" w:eastAsia="Calibri" w:hAnsi="Arial" w:cs="Arial"/>
                <w:b/>
                <w:u w:val="single"/>
              </w:rPr>
              <w:t>6.28%</w:t>
            </w:r>
          </w:p>
          <w:p w14:paraId="00D16662" w14:textId="77777777" w:rsidR="009C7521" w:rsidRDefault="009C7521" w:rsidP="002551C6">
            <w:pPr>
              <w:jc w:val="center"/>
              <w:rPr>
                <w:rFonts w:ascii="Arial" w:eastAsia="Calibri" w:hAnsi="Arial" w:cs="Arial"/>
                <w:b/>
                <w:u w:val="single"/>
              </w:rPr>
            </w:pPr>
          </w:p>
          <w:p w14:paraId="293A431B" w14:textId="6E43DC37" w:rsidR="009C7521" w:rsidRDefault="009C7521" w:rsidP="002551C6">
            <w:pPr>
              <w:jc w:val="center"/>
              <w:rPr>
                <w:rFonts w:ascii="Arial" w:eastAsia="Calibri" w:hAnsi="Arial" w:cs="Arial"/>
                <w:b/>
                <w:u w:val="single"/>
              </w:rPr>
            </w:pPr>
            <w:r>
              <w:rPr>
                <w:rFonts w:ascii="Arial" w:eastAsia="Calibri" w:hAnsi="Arial" w:cs="Arial"/>
                <w:b/>
                <w:u w:val="single"/>
              </w:rPr>
              <w:t>9.73%</w:t>
            </w:r>
          </w:p>
        </w:tc>
      </w:tr>
      <w:tr w:rsidR="00DC2CD7" w:rsidRPr="004B1294" w14:paraId="692A6E65" w14:textId="77777777" w:rsidTr="00042E94">
        <w:tc>
          <w:tcPr>
            <w:tcW w:w="1550" w:type="dxa"/>
          </w:tcPr>
          <w:p w14:paraId="6E859C70" w14:textId="367D2B40" w:rsidR="00DC2CD7" w:rsidRDefault="00396971" w:rsidP="002551C6">
            <w:pPr>
              <w:jc w:val="center"/>
              <w:rPr>
                <w:rFonts w:ascii="Arial" w:hAnsi="Arial" w:cs="Arial"/>
                <w:b/>
              </w:rPr>
            </w:pPr>
            <w:r>
              <w:rPr>
                <w:rFonts w:ascii="Arial" w:hAnsi="Arial" w:cs="Arial"/>
                <w:b/>
              </w:rPr>
              <w:t>63</w:t>
            </w:r>
          </w:p>
        </w:tc>
        <w:tc>
          <w:tcPr>
            <w:tcW w:w="3255" w:type="dxa"/>
          </w:tcPr>
          <w:p w14:paraId="33A997C3" w14:textId="01C399E7" w:rsidR="00396971" w:rsidRPr="00396971" w:rsidRDefault="00396971" w:rsidP="00396971">
            <w:pPr>
              <w:jc w:val="both"/>
              <w:rPr>
                <w:rFonts w:ascii="Arial" w:hAnsi="Arial" w:cs="Arial"/>
                <w:b/>
                <w:lang w:val="es-MX"/>
              </w:rPr>
            </w:pPr>
            <w:r w:rsidRPr="00396971">
              <w:rPr>
                <w:rFonts w:ascii="Arial" w:hAnsi="Arial" w:cs="Arial"/>
                <w:b/>
              </w:rPr>
              <w:t>AGENCIA DE RENOVACIÓN DE TERRITORIO - ART.</w:t>
            </w:r>
          </w:p>
          <w:p w14:paraId="63584C4A" w14:textId="77777777" w:rsidR="00DC2CD7" w:rsidRDefault="00DC2CD7" w:rsidP="00AD023F">
            <w:pPr>
              <w:jc w:val="both"/>
              <w:rPr>
                <w:rFonts w:ascii="Arial" w:hAnsi="Arial" w:cs="Arial"/>
                <w:b/>
                <w:lang w:val="es-MX"/>
              </w:rPr>
            </w:pPr>
          </w:p>
          <w:p w14:paraId="4779ACD6" w14:textId="77777777" w:rsidR="00396971" w:rsidRDefault="00396971" w:rsidP="00396971">
            <w:pPr>
              <w:jc w:val="both"/>
              <w:rPr>
                <w:rFonts w:ascii="Arial" w:hAnsi="Arial" w:cs="Arial"/>
                <w:b/>
                <w:lang w:val="es-MX"/>
              </w:rPr>
            </w:pPr>
            <w:r>
              <w:rPr>
                <w:rFonts w:ascii="Arial" w:hAnsi="Arial" w:cs="Arial"/>
                <w:b/>
                <w:lang w:val="es-MX"/>
              </w:rPr>
              <w:t>FUNCIONAMIENTO</w:t>
            </w:r>
          </w:p>
          <w:p w14:paraId="21E8657C" w14:textId="77777777" w:rsidR="00396971" w:rsidRDefault="00396971" w:rsidP="00396971">
            <w:pPr>
              <w:jc w:val="both"/>
              <w:rPr>
                <w:rFonts w:ascii="Arial" w:hAnsi="Arial" w:cs="Arial"/>
                <w:b/>
                <w:lang w:val="es-MX"/>
              </w:rPr>
            </w:pPr>
            <w:r>
              <w:rPr>
                <w:rFonts w:ascii="Arial" w:hAnsi="Arial" w:cs="Arial"/>
                <w:b/>
                <w:lang w:val="es-MX"/>
              </w:rPr>
              <w:t>INVERSIÓN</w:t>
            </w:r>
          </w:p>
          <w:p w14:paraId="6B8A146B" w14:textId="77777777" w:rsidR="00396971" w:rsidRDefault="00396971" w:rsidP="00396971">
            <w:pPr>
              <w:jc w:val="both"/>
              <w:rPr>
                <w:rFonts w:ascii="Arial" w:hAnsi="Arial" w:cs="Arial"/>
                <w:b/>
                <w:lang w:val="es-MX"/>
              </w:rPr>
            </w:pPr>
          </w:p>
          <w:p w14:paraId="16CF5B91" w14:textId="2B3E4CED" w:rsidR="00396971" w:rsidRPr="00AD023F" w:rsidRDefault="00396971" w:rsidP="00396971">
            <w:pPr>
              <w:jc w:val="both"/>
              <w:rPr>
                <w:rFonts w:ascii="Arial" w:hAnsi="Arial" w:cs="Arial"/>
                <w:b/>
                <w:lang w:val="es-MX"/>
              </w:rPr>
            </w:pPr>
            <w:r>
              <w:rPr>
                <w:rFonts w:ascii="Arial" w:hAnsi="Arial" w:cs="Arial"/>
                <w:b/>
                <w:lang w:val="es-MX"/>
              </w:rPr>
              <w:t>TOTAL PRESUPUESTO</w:t>
            </w:r>
          </w:p>
        </w:tc>
        <w:tc>
          <w:tcPr>
            <w:tcW w:w="1839" w:type="dxa"/>
          </w:tcPr>
          <w:p w14:paraId="2A8A0F8F" w14:textId="77777777" w:rsidR="00DC2CD7" w:rsidRDefault="00DC2CD7" w:rsidP="002551C6">
            <w:pPr>
              <w:jc w:val="center"/>
              <w:rPr>
                <w:rFonts w:ascii="Arial" w:eastAsia="Calibri" w:hAnsi="Arial" w:cs="Arial"/>
                <w:b/>
                <w:u w:val="single"/>
              </w:rPr>
            </w:pPr>
          </w:p>
          <w:p w14:paraId="21A290AC" w14:textId="77777777" w:rsidR="00396971" w:rsidRDefault="00396971" w:rsidP="002551C6">
            <w:pPr>
              <w:jc w:val="center"/>
              <w:rPr>
                <w:rFonts w:ascii="Arial" w:eastAsia="Calibri" w:hAnsi="Arial" w:cs="Arial"/>
                <w:b/>
                <w:u w:val="single"/>
              </w:rPr>
            </w:pPr>
          </w:p>
          <w:p w14:paraId="1A675217" w14:textId="77777777" w:rsidR="00396971" w:rsidRDefault="00396971" w:rsidP="002551C6">
            <w:pPr>
              <w:jc w:val="center"/>
              <w:rPr>
                <w:rFonts w:ascii="Arial" w:eastAsia="Calibri" w:hAnsi="Arial" w:cs="Arial"/>
                <w:b/>
                <w:u w:val="single"/>
              </w:rPr>
            </w:pPr>
          </w:p>
          <w:p w14:paraId="7039DA8C" w14:textId="11121681" w:rsidR="00396971" w:rsidRDefault="00396971" w:rsidP="002551C6">
            <w:pPr>
              <w:jc w:val="center"/>
              <w:rPr>
                <w:rFonts w:ascii="Arial" w:eastAsia="Calibri" w:hAnsi="Arial" w:cs="Arial"/>
                <w:b/>
                <w:u w:val="single"/>
              </w:rPr>
            </w:pPr>
            <w:r>
              <w:rPr>
                <w:rFonts w:ascii="Arial" w:eastAsia="Calibri" w:hAnsi="Arial" w:cs="Arial"/>
                <w:b/>
                <w:u w:val="single"/>
              </w:rPr>
              <w:t>95.46%</w:t>
            </w:r>
          </w:p>
          <w:p w14:paraId="37B76CBF" w14:textId="25CD7A18" w:rsidR="00396971" w:rsidRDefault="00396971" w:rsidP="002551C6">
            <w:pPr>
              <w:jc w:val="center"/>
              <w:rPr>
                <w:rFonts w:ascii="Arial" w:eastAsia="Calibri" w:hAnsi="Arial" w:cs="Arial"/>
                <w:b/>
                <w:u w:val="single"/>
              </w:rPr>
            </w:pPr>
            <w:r>
              <w:rPr>
                <w:rFonts w:ascii="Arial" w:eastAsia="Calibri" w:hAnsi="Arial" w:cs="Arial"/>
                <w:b/>
                <w:u w:val="single"/>
              </w:rPr>
              <w:t>85.22%</w:t>
            </w:r>
          </w:p>
          <w:p w14:paraId="7D9B1C63" w14:textId="77777777" w:rsidR="00396971" w:rsidRDefault="00396971" w:rsidP="002551C6">
            <w:pPr>
              <w:jc w:val="center"/>
              <w:rPr>
                <w:rFonts w:ascii="Arial" w:eastAsia="Calibri" w:hAnsi="Arial" w:cs="Arial"/>
                <w:b/>
                <w:u w:val="single"/>
              </w:rPr>
            </w:pPr>
          </w:p>
          <w:p w14:paraId="2BF88C4A" w14:textId="240D3A07" w:rsidR="00396971" w:rsidRDefault="00396971" w:rsidP="002551C6">
            <w:pPr>
              <w:jc w:val="center"/>
              <w:rPr>
                <w:rFonts w:ascii="Arial" w:eastAsia="Calibri" w:hAnsi="Arial" w:cs="Arial"/>
                <w:b/>
                <w:u w:val="single"/>
              </w:rPr>
            </w:pPr>
            <w:r>
              <w:rPr>
                <w:rFonts w:ascii="Arial" w:eastAsia="Calibri" w:hAnsi="Arial" w:cs="Arial"/>
                <w:b/>
                <w:u w:val="single"/>
              </w:rPr>
              <w:t>90.49%</w:t>
            </w:r>
          </w:p>
        </w:tc>
        <w:tc>
          <w:tcPr>
            <w:tcW w:w="1804" w:type="dxa"/>
          </w:tcPr>
          <w:p w14:paraId="30DE4AB3" w14:textId="77777777" w:rsidR="00DC2CD7" w:rsidRDefault="00DC2CD7" w:rsidP="002551C6">
            <w:pPr>
              <w:jc w:val="center"/>
              <w:rPr>
                <w:rFonts w:ascii="Arial" w:eastAsia="Calibri" w:hAnsi="Arial" w:cs="Arial"/>
                <w:b/>
                <w:u w:val="single"/>
              </w:rPr>
            </w:pPr>
          </w:p>
          <w:p w14:paraId="65CC8B4F" w14:textId="77777777" w:rsidR="00396971" w:rsidRDefault="00396971" w:rsidP="002551C6">
            <w:pPr>
              <w:jc w:val="center"/>
              <w:rPr>
                <w:rFonts w:ascii="Arial" w:eastAsia="Calibri" w:hAnsi="Arial" w:cs="Arial"/>
                <w:b/>
                <w:u w:val="single"/>
              </w:rPr>
            </w:pPr>
          </w:p>
          <w:p w14:paraId="1F4B0EC4" w14:textId="77777777" w:rsidR="00396971" w:rsidRDefault="00396971" w:rsidP="002551C6">
            <w:pPr>
              <w:jc w:val="center"/>
              <w:rPr>
                <w:rFonts w:ascii="Arial" w:eastAsia="Calibri" w:hAnsi="Arial" w:cs="Arial"/>
                <w:b/>
                <w:u w:val="single"/>
              </w:rPr>
            </w:pPr>
          </w:p>
          <w:p w14:paraId="6E8A5BE0" w14:textId="335362FD" w:rsidR="00396971" w:rsidRDefault="00396971" w:rsidP="002551C6">
            <w:pPr>
              <w:jc w:val="center"/>
              <w:rPr>
                <w:rFonts w:ascii="Arial" w:eastAsia="Calibri" w:hAnsi="Arial" w:cs="Arial"/>
                <w:b/>
                <w:u w:val="single"/>
              </w:rPr>
            </w:pPr>
            <w:r>
              <w:rPr>
                <w:rFonts w:ascii="Arial" w:eastAsia="Calibri" w:hAnsi="Arial" w:cs="Arial"/>
                <w:b/>
                <w:u w:val="single"/>
              </w:rPr>
              <w:t>95.39%</w:t>
            </w:r>
          </w:p>
          <w:p w14:paraId="1DB15687" w14:textId="3CE32F27" w:rsidR="00396971" w:rsidRDefault="00396971" w:rsidP="002551C6">
            <w:pPr>
              <w:jc w:val="center"/>
              <w:rPr>
                <w:rFonts w:ascii="Arial" w:eastAsia="Calibri" w:hAnsi="Arial" w:cs="Arial"/>
                <w:b/>
                <w:u w:val="single"/>
              </w:rPr>
            </w:pPr>
            <w:r>
              <w:rPr>
                <w:rFonts w:ascii="Arial" w:eastAsia="Calibri" w:hAnsi="Arial" w:cs="Arial"/>
                <w:b/>
                <w:u w:val="single"/>
              </w:rPr>
              <w:t>52.44%</w:t>
            </w:r>
          </w:p>
          <w:p w14:paraId="7ACAD68E" w14:textId="77777777" w:rsidR="00396971" w:rsidRDefault="00396971" w:rsidP="002551C6">
            <w:pPr>
              <w:jc w:val="center"/>
              <w:rPr>
                <w:rFonts w:ascii="Arial" w:eastAsia="Calibri" w:hAnsi="Arial" w:cs="Arial"/>
                <w:b/>
                <w:u w:val="single"/>
              </w:rPr>
            </w:pPr>
          </w:p>
          <w:p w14:paraId="792AB8B6" w14:textId="217E830E" w:rsidR="00396971" w:rsidRDefault="00396971" w:rsidP="00396971">
            <w:pPr>
              <w:spacing w:line="360" w:lineRule="auto"/>
              <w:jc w:val="center"/>
              <w:rPr>
                <w:rFonts w:ascii="Arial" w:eastAsia="Calibri" w:hAnsi="Arial" w:cs="Arial"/>
                <w:b/>
                <w:u w:val="single"/>
              </w:rPr>
            </w:pPr>
            <w:r>
              <w:rPr>
                <w:rFonts w:ascii="Arial" w:eastAsia="Calibri" w:hAnsi="Arial" w:cs="Arial"/>
                <w:b/>
                <w:u w:val="single"/>
              </w:rPr>
              <w:t>74.55%</w:t>
            </w:r>
          </w:p>
        </w:tc>
        <w:tc>
          <w:tcPr>
            <w:tcW w:w="2042" w:type="dxa"/>
          </w:tcPr>
          <w:p w14:paraId="3B512086" w14:textId="77777777" w:rsidR="00DC2CD7" w:rsidRDefault="00DC2CD7" w:rsidP="002551C6">
            <w:pPr>
              <w:jc w:val="center"/>
              <w:rPr>
                <w:rFonts w:ascii="Arial" w:eastAsia="Calibri" w:hAnsi="Arial" w:cs="Arial"/>
                <w:b/>
                <w:u w:val="single"/>
              </w:rPr>
            </w:pPr>
          </w:p>
          <w:p w14:paraId="46E710FA" w14:textId="77777777" w:rsidR="00396971" w:rsidRDefault="00396971" w:rsidP="002551C6">
            <w:pPr>
              <w:jc w:val="center"/>
              <w:rPr>
                <w:rFonts w:ascii="Arial" w:eastAsia="Calibri" w:hAnsi="Arial" w:cs="Arial"/>
                <w:b/>
                <w:u w:val="single"/>
              </w:rPr>
            </w:pPr>
          </w:p>
          <w:p w14:paraId="61654043" w14:textId="77777777" w:rsidR="00396971" w:rsidRDefault="00396971" w:rsidP="002551C6">
            <w:pPr>
              <w:jc w:val="center"/>
              <w:rPr>
                <w:rFonts w:ascii="Arial" w:eastAsia="Calibri" w:hAnsi="Arial" w:cs="Arial"/>
                <w:b/>
                <w:u w:val="single"/>
              </w:rPr>
            </w:pPr>
          </w:p>
          <w:p w14:paraId="51666F26" w14:textId="0F41C500" w:rsidR="00396971" w:rsidRDefault="00396971" w:rsidP="002551C6">
            <w:pPr>
              <w:jc w:val="center"/>
              <w:rPr>
                <w:rFonts w:ascii="Arial" w:eastAsia="Calibri" w:hAnsi="Arial" w:cs="Arial"/>
                <w:b/>
                <w:u w:val="single"/>
              </w:rPr>
            </w:pPr>
            <w:r>
              <w:rPr>
                <w:rFonts w:ascii="Arial" w:eastAsia="Calibri" w:hAnsi="Arial" w:cs="Arial"/>
                <w:b/>
                <w:u w:val="single"/>
              </w:rPr>
              <w:t>95.16%</w:t>
            </w:r>
          </w:p>
          <w:p w14:paraId="3DD9D5D7" w14:textId="7BDD227C" w:rsidR="00396971" w:rsidRDefault="00396971" w:rsidP="002551C6">
            <w:pPr>
              <w:jc w:val="center"/>
              <w:rPr>
                <w:rFonts w:ascii="Arial" w:eastAsia="Calibri" w:hAnsi="Arial" w:cs="Arial"/>
                <w:b/>
                <w:u w:val="single"/>
              </w:rPr>
            </w:pPr>
            <w:r>
              <w:rPr>
                <w:rFonts w:ascii="Arial" w:eastAsia="Calibri" w:hAnsi="Arial" w:cs="Arial"/>
                <w:b/>
                <w:u w:val="single"/>
              </w:rPr>
              <w:t>52.44%</w:t>
            </w:r>
          </w:p>
          <w:p w14:paraId="64340CE1" w14:textId="77777777" w:rsidR="00396971" w:rsidRDefault="00396971" w:rsidP="002551C6">
            <w:pPr>
              <w:jc w:val="center"/>
              <w:rPr>
                <w:rFonts w:ascii="Arial" w:eastAsia="Calibri" w:hAnsi="Arial" w:cs="Arial"/>
                <w:b/>
                <w:u w:val="single"/>
              </w:rPr>
            </w:pPr>
          </w:p>
          <w:p w14:paraId="76FD2968" w14:textId="26797690" w:rsidR="00396971" w:rsidRDefault="00396971" w:rsidP="002551C6">
            <w:pPr>
              <w:jc w:val="center"/>
              <w:rPr>
                <w:rFonts w:ascii="Arial" w:eastAsia="Calibri" w:hAnsi="Arial" w:cs="Arial"/>
                <w:b/>
                <w:u w:val="single"/>
              </w:rPr>
            </w:pPr>
            <w:r>
              <w:rPr>
                <w:rFonts w:ascii="Arial" w:eastAsia="Calibri" w:hAnsi="Arial" w:cs="Arial"/>
                <w:b/>
                <w:u w:val="single"/>
              </w:rPr>
              <w:t>74.42%</w:t>
            </w:r>
          </w:p>
        </w:tc>
      </w:tr>
      <w:tr w:rsidR="00DC2CD7" w:rsidRPr="004B1294" w14:paraId="479D778B" w14:textId="77777777" w:rsidTr="00042E94">
        <w:tc>
          <w:tcPr>
            <w:tcW w:w="1550" w:type="dxa"/>
          </w:tcPr>
          <w:p w14:paraId="2C99F3D0" w14:textId="39EC3777" w:rsidR="00DC2CD7" w:rsidRDefault="003E350B" w:rsidP="002551C6">
            <w:pPr>
              <w:jc w:val="center"/>
              <w:rPr>
                <w:rFonts w:ascii="Arial" w:hAnsi="Arial" w:cs="Arial"/>
                <w:b/>
              </w:rPr>
            </w:pPr>
            <w:r>
              <w:rPr>
                <w:rFonts w:ascii="Arial" w:hAnsi="Arial" w:cs="Arial"/>
                <w:b/>
              </w:rPr>
              <w:t>64</w:t>
            </w:r>
          </w:p>
        </w:tc>
        <w:tc>
          <w:tcPr>
            <w:tcW w:w="3255" w:type="dxa"/>
          </w:tcPr>
          <w:p w14:paraId="3A6E0F95" w14:textId="6A7AB51A" w:rsidR="003E350B" w:rsidRPr="003E350B" w:rsidRDefault="003E350B" w:rsidP="003E350B">
            <w:pPr>
              <w:ind w:right="21"/>
              <w:jc w:val="both"/>
              <w:rPr>
                <w:rFonts w:ascii="Arial" w:hAnsi="Arial" w:cs="Arial"/>
                <w:b/>
              </w:rPr>
            </w:pPr>
            <w:r w:rsidRPr="003E350B">
              <w:rPr>
                <w:rFonts w:ascii="Arial" w:hAnsi="Arial" w:cs="Arial"/>
                <w:b/>
              </w:rPr>
              <w:t>AGENCIA PRESIDENCIAL DE COOPERACIÓN INTERNACIONAL DE COLOMBIA APC - COLOMBIA.</w:t>
            </w:r>
          </w:p>
          <w:p w14:paraId="714A2E14" w14:textId="77777777" w:rsidR="00DC2CD7" w:rsidRDefault="00DC2CD7" w:rsidP="00AD023F">
            <w:pPr>
              <w:jc w:val="both"/>
              <w:rPr>
                <w:rFonts w:ascii="Arial" w:hAnsi="Arial" w:cs="Arial"/>
                <w:b/>
                <w:lang w:val="es-MX"/>
              </w:rPr>
            </w:pPr>
          </w:p>
          <w:p w14:paraId="4900AC29" w14:textId="77777777" w:rsidR="003E350B" w:rsidRDefault="003E350B" w:rsidP="003E350B">
            <w:pPr>
              <w:jc w:val="both"/>
              <w:rPr>
                <w:rFonts w:ascii="Arial" w:hAnsi="Arial" w:cs="Arial"/>
                <w:b/>
                <w:lang w:val="es-MX"/>
              </w:rPr>
            </w:pPr>
            <w:r>
              <w:rPr>
                <w:rFonts w:ascii="Arial" w:hAnsi="Arial" w:cs="Arial"/>
                <w:b/>
                <w:lang w:val="es-MX"/>
              </w:rPr>
              <w:t>FUNCIONAMIENTO</w:t>
            </w:r>
          </w:p>
          <w:p w14:paraId="39D97AA9" w14:textId="77777777" w:rsidR="003E350B" w:rsidRDefault="003E350B" w:rsidP="003E350B">
            <w:pPr>
              <w:jc w:val="both"/>
              <w:rPr>
                <w:rFonts w:ascii="Arial" w:hAnsi="Arial" w:cs="Arial"/>
                <w:b/>
                <w:lang w:val="es-MX"/>
              </w:rPr>
            </w:pPr>
            <w:r>
              <w:rPr>
                <w:rFonts w:ascii="Arial" w:hAnsi="Arial" w:cs="Arial"/>
                <w:b/>
                <w:lang w:val="es-MX"/>
              </w:rPr>
              <w:t>INVERSIÓN</w:t>
            </w:r>
          </w:p>
          <w:p w14:paraId="67437019" w14:textId="77777777" w:rsidR="003E350B" w:rsidRDefault="003E350B" w:rsidP="003E350B">
            <w:pPr>
              <w:jc w:val="both"/>
              <w:rPr>
                <w:rFonts w:ascii="Arial" w:hAnsi="Arial" w:cs="Arial"/>
                <w:b/>
                <w:lang w:val="es-MX"/>
              </w:rPr>
            </w:pPr>
          </w:p>
          <w:p w14:paraId="292B4D28" w14:textId="21304C98" w:rsidR="003E350B" w:rsidRPr="00AD023F" w:rsidRDefault="003E350B" w:rsidP="003E350B">
            <w:pPr>
              <w:jc w:val="both"/>
              <w:rPr>
                <w:rFonts w:ascii="Arial" w:hAnsi="Arial" w:cs="Arial"/>
                <w:b/>
                <w:lang w:val="es-MX"/>
              </w:rPr>
            </w:pPr>
            <w:r>
              <w:rPr>
                <w:rFonts w:ascii="Arial" w:hAnsi="Arial" w:cs="Arial"/>
                <w:b/>
                <w:lang w:val="es-MX"/>
              </w:rPr>
              <w:t>TOTAL PRESUPUESTO</w:t>
            </w:r>
          </w:p>
        </w:tc>
        <w:tc>
          <w:tcPr>
            <w:tcW w:w="1839" w:type="dxa"/>
          </w:tcPr>
          <w:p w14:paraId="45B74EB6" w14:textId="77777777" w:rsidR="00DC2CD7" w:rsidRDefault="00DC2CD7" w:rsidP="002551C6">
            <w:pPr>
              <w:jc w:val="center"/>
              <w:rPr>
                <w:rFonts w:ascii="Arial" w:eastAsia="Calibri" w:hAnsi="Arial" w:cs="Arial"/>
                <w:b/>
                <w:u w:val="single"/>
              </w:rPr>
            </w:pPr>
          </w:p>
          <w:p w14:paraId="2E5043BB" w14:textId="77777777" w:rsidR="003E350B" w:rsidRDefault="003E350B" w:rsidP="002551C6">
            <w:pPr>
              <w:jc w:val="center"/>
              <w:rPr>
                <w:rFonts w:ascii="Arial" w:eastAsia="Calibri" w:hAnsi="Arial" w:cs="Arial"/>
                <w:b/>
                <w:u w:val="single"/>
              </w:rPr>
            </w:pPr>
          </w:p>
          <w:p w14:paraId="1883F18D" w14:textId="77777777" w:rsidR="003E350B" w:rsidRDefault="003E350B" w:rsidP="002551C6">
            <w:pPr>
              <w:jc w:val="center"/>
              <w:rPr>
                <w:rFonts w:ascii="Arial" w:eastAsia="Calibri" w:hAnsi="Arial" w:cs="Arial"/>
                <w:b/>
                <w:u w:val="single"/>
              </w:rPr>
            </w:pPr>
          </w:p>
          <w:p w14:paraId="7398F8AF" w14:textId="77777777" w:rsidR="003E350B" w:rsidRDefault="003E350B" w:rsidP="002551C6">
            <w:pPr>
              <w:jc w:val="center"/>
              <w:rPr>
                <w:rFonts w:ascii="Arial" w:eastAsia="Calibri" w:hAnsi="Arial" w:cs="Arial"/>
                <w:b/>
                <w:u w:val="single"/>
              </w:rPr>
            </w:pPr>
          </w:p>
          <w:p w14:paraId="1951A27C" w14:textId="77777777" w:rsidR="003E350B" w:rsidRDefault="003E350B" w:rsidP="002551C6">
            <w:pPr>
              <w:jc w:val="center"/>
              <w:rPr>
                <w:rFonts w:ascii="Arial" w:eastAsia="Calibri" w:hAnsi="Arial" w:cs="Arial"/>
                <w:b/>
                <w:u w:val="single"/>
              </w:rPr>
            </w:pPr>
          </w:p>
          <w:p w14:paraId="04135B54" w14:textId="199C161E" w:rsidR="003E350B" w:rsidRDefault="003E350B" w:rsidP="002551C6">
            <w:pPr>
              <w:jc w:val="center"/>
              <w:rPr>
                <w:rFonts w:ascii="Arial" w:eastAsia="Calibri" w:hAnsi="Arial" w:cs="Arial"/>
                <w:b/>
                <w:u w:val="single"/>
              </w:rPr>
            </w:pPr>
            <w:r>
              <w:rPr>
                <w:rFonts w:ascii="Arial" w:eastAsia="Calibri" w:hAnsi="Arial" w:cs="Arial"/>
                <w:b/>
                <w:u w:val="single"/>
              </w:rPr>
              <w:t>98.86%</w:t>
            </w:r>
          </w:p>
          <w:p w14:paraId="7B688278" w14:textId="7D762E86" w:rsidR="003E350B" w:rsidRDefault="003E350B" w:rsidP="002551C6">
            <w:pPr>
              <w:jc w:val="center"/>
              <w:rPr>
                <w:rFonts w:ascii="Arial" w:eastAsia="Calibri" w:hAnsi="Arial" w:cs="Arial"/>
                <w:b/>
                <w:u w:val="single"/>
              </w:rPr>
            </w:pPr>
            <w:r>
              <w:rPr>
                <w:rFonts w:ascii="Arial" w:eastAsia="Calibri" w:hAnsi="Arial" w:cs="Arial"/>
                <w:b/>
                <w:u w:val="single"/>
              </w:rPr>
              <w:t>18.50%</w:t>
            </w:r>
          </w:p>
          <w:p w14:paraId="7BB01BB7" w14:textId="77777777" w:rsidR="003E350B" w:rsidRDefault="003E350B" w:rsidP="002551C6">
            <w:pPr>
              <w:jc w:val="center"/>
              <w:rPr>
                <w:rFonts w:ascii="Arial" w:eastAsia="Calibri" w:hAnsi="Arial" w:cs="Arial"/>
                <w:b/>
                <w:u w:val="single"/>
              </w:rPr>
            </w:pPr>
          </w:p>
          <w:p w14:paraId="7D3BB2CC" w14:textId="35040A03" w:rsidR="003E350B" w:rsidRDefault="003E350B" w:rsidP="002551C6">
            <w:pPr>
              <w:jc w:val="center"/>
              <w:rPr>
                <w:rFonts w:ascii="Arial" w:eastAsia="Calibri" w:hAnsi="Arial" w:cs="Arial"/>
                <w:b/>
                <w:u w:val="single"/>
              </w:rPr>
            </w:pPr>
            <w:r>
              <w:rPr>
                <w:rFonts w:ascii="Arial" w:eastAsia="Calibri" w:hAnsi="Arial" w:cs="Arial"/>
                <w:b/>
                <w:u w:val="single"/>
              </w:rPr>
              <w:t>51.86%</w:t>
            </w:r>
          </w:p>
        </w:tc>
        <w:tc>
          <w:tcPr>
            <w:tcW w:w="1804" w:type="dxa"/>
          </w:tcPr>
          <w:p w14:paraId="4686D4C2" w14:textId="77777777" w:rsidR="00DC2CD7" w:rsidRDefault="00DC2CD7" w:rsidP="002551C6">
            <w:pPr>
              <w:jc w:val="center"/>
              <w:rPr>
                <w:rFonts w:ascii="Arial" w:eastAsia="Calibri" w:hAnsi="Arial" w:cs="Arial"/>
                <w:b/>
                <w:u w:val="single"/>
              </w:rPr>
            </w:pPr>
          </w:p>
          <w:p w14:paraId="46A47289" w14:textId="77777777" w:rsidR="003E350B" w:rsidRDefault="003E350B" w:rsidP="002551C6">
            <w:pPr>
              <w:jc w:val="center"/>
              <w:rPr>
                <w:rFonts w:ascii="Arial" w:eastAsia="Calibri" w:hAnsi="Arial" w:cs="Arial"/>
                <w:b/>
                <w:u w:val="single"/>
              </w:rPr>
            </w:pPr>
          </w:p>
          <w:p w14:paraId="31E9A27C" w14:textId="77777777" w:rsidR="003E350B" w:rsidRDefault="003E350B" w:rsidP="002551C6">
            <w:pPr>
              <w:jc w:val="center"/>
              <w:rPr>
                <w:rFonts w:ascii="Arial" w:eastAsia="Calibri" w:hAnsi="Arial" w:cs="Arial"/>
                <w:b/>
                <w:u w:val="single"/>
              </w:rPr>
            </w:pPr>
          </w:p>
          <w:p w14:paraId="48A0E6F1" w14:textId="77777777" w:rsidR="003E350B" w:rsidRDefault="003E350B" w:rsidP="002551C6">
            <w:pPr>
              <w:jc w:val="center"/>
              <w:rPr>
                <w:rFonts w:ascii="Arial" w:eastAsia="Calibri" w:hAnsi="Arial" w:cs="Arial"/>
                <w:b/>
                <w:u w:val="single"/>
              </w:rPr>
            </w:pPr>
          </w:p>
          <w:p w14:paraId="73093AD8" w14:textId="77777777" w:rsidR="003E350B" w:rsidRDefault="003E350B" w:rsidP="002551C6">
            <w:pPr>
              <w:jc w:val="center"/>
              <w:rPr>
                <w:rFonts w:ascii="Arial" w:eastAsia="Calibri" w:hAnsi="Arial" w:cs="Arial"/>
                <w:b/>
                <w:u w:val="single"/>
              </w:rPr>
            </w:pPr>
          </w:p>
          <w:p w14:paraId="193B739C" w14:textId="0FD9B40B" w:rsidR="003E350B" w:rsidRDefault="003E350B" w:rsidP="002551C6">
            <w:pPr>
              <w:jc w:val="center"/>
              <w:rPr>
                <w:rFonts w:ascii="Arial" w:eastAsia="Calibri" w:hAnsi="Arial" w:cs="Arial"/>
                <w:b/>
                <w:u w:val="single"/>
              </w:rPr>
            </w:pPr>
            <w:r>
              <w:rPr>
                <w:rFonts w:ascii="Arial" w:eastAsia="Calibri" w:hAnsi="Arial" w:cs="Arial"/>
                <w:b/>
                <w:u w:val="single"/>
              </w:rPr>
              <w:t>98.92%</w:t>
            </w:r>
          </w:p>
          <w:p w14:paraId="4141F366" w14:textId="6AC59932" w:rsidR="003E350B" w:rsidRDefault="003E350B" w:rsidP="002551C6">
            <w:pPr>
              <w:jc w:val="center"/>
              <w:rPr>
                <w:rFonts w:ascii="Arial" w:eastAsia="Calibri" w:hAnsi="Arial" w:cs="Arial"/>
                <w:b/>
                <w:u w:val="single"/>
              </w:rPr>
            </w:pPr>
            <w:r>
              <w:rPr>
                <w:rFonts w:ascii="Arial" w:eastAsia="Calibri" w:hAnsi="Arial" w:cs="Arial"/>
                <w:b/>
                <w:u w:val="single"/>
              </w:rPr>
              <w:t>16.96%</w:t>
            </w:r>
          </w:p>
          <w:p w14:paraId="0B12437D" w14:textId="77777777" w:rsidR="003E350B" w:rsidRDefault="003E350B" w:rsidP="002551C6">
            <w:pPr>
              <w:jc w:val="center"/>
              <w:rPr>
                <w:rFonts w:ascii="Arial" w:eastAsia="Calibri" w:hAnsi="Arial" w:cs="Arial"/>
                <w:b/>
                <w:u w:val="single"/>
              </w:rPr>
            </w:pPr>
          </w:p>
          <w:p w14:paraId="76472FF2" w14:textId="0A000111" w:rsidR="003E350B" w:rsidRDefault="003E350B" w:rsidP="002551C6">
            <w:pPr>
              <w:jc w:val="center"/>
              <w:rPr>
                <w:rFonts w:ascii="Arial" w:eastAsia="Calibri" w:hAnsi="Arial" w:cs="Arial"/>
                <w:b/>
                <w:u w:val="single"/>
              </w:rPr>
            </w:pPr>
            <w:r>
              <w:rPr>
                <w:rFonts w:ascii="Arial" w:eastAsia="Calibri" w:hAnsi="Arial" w:cs="Arial"/>
                <w:b/>
                <w:u w:val="single"/>
              </w:rPr>
              <w:t>50.95%</w:t>
            </w:r>
          </w:p>
        </w:tc>
        <w:tc>
          <w:tcPr>
            <w:tcW w:w="2042" w:type="dxa"/>
          </w:tcPr>
          <w:p w14:paraId="3E726A3A" w14:textId="77777777" w:rsidR="00DC2CD7" w:rsidRDefault="00DC2CD7" w:rsidP="002551C6">
            <w:pPr>
              <w:jc w:val="center"/>
              <w:rPr>
                <w:rFonts w:ascii="Arial" w:eastAsia="Calibri" w:hAnsi="Arial" w:cs="Arial"/>
                <w:b/>
                <w:u w:val="single"/>
              </w:rPr>
            </w:pPr>
          </w:p>
          <w:p w14:paraId="591122BD" w14:textId="77777777" w:rsidR="003E350B" w:rsidRDefault="003E350B" w:rsidP="002551C6">
            <w:pPr>
              <w:jc w:val="center"/>
              <w:rPr>
                <w:rFonts w:ascii="Arial" w:eastAsia="Calibri" w:hAnsi="Arial" w:cs="Arial"/>
                <w:b/>
                <w:u w:val="single"/>
              </w:rPr>
            </w:pPr>
          </w:p>
          <w:p w14:paraId="027B855D" w14:textId="77777777" w:rsidR="003E350B" w:rsidRDefault="003E350B" w:rsidP="002551C6">
            <w:pPr>
              <w:jc w:val="center"/>
              <w:rPr>
                <w:rFonts w:ascii="Arial" w:eastAsia="Calibri" w:hAnsi="Arial" w:cs="Arial"/>
                <w:b/>
                <w:u w:val="single"/>
              </w:rPr>
            </w:pPr>
          </w:p>
          <w:p w14:paraId="6A290FB3" w14:textId="77777777" w:rsidR="003E350B" w:rsidRDefault="003E350B" w:rsidP="002551C6">
            <w:pPr>
              <w:jc w:val="center"/>
              <w:rPr>
                <w:rFonts w:ascii="Arial" w:eastAsia="Calibri" w:hAnsi="Arial" w:cs="Arial"/>
                <w:b/>
                <w:u w:val="single"/>
              </w:rPr>
            </w:pPr>
          </w:p>
          <w:p w14:paraId="6359704D" w14:textId="77777777" w:rsidR="003E350B" w:rsidRDefault="003E350B" w:rsidP="002551C6">
            <w:pPr>
              <w:jc w:val="center"/>
              <w:rPr>
                <w:rFonts w:ascii="Arial" w:eastAsia="Calibri" w:hAnsi="Arial" w:cs="Arial"/>
                <w:b/>
                <w:u w:val="single"/>
              </w:rPr>
            </w:pPr>
          </w:p>
          <w:p w14:paraId="0C330FC4" w14:textId="2EB67D0A" w:rsidR="003E350B" w:rsidRDefault="003E350B" w:rsidP="002551C6">
            <w:pPr>
              <w:jc w:val="center"/>
              <w:rPr>
                <w:rFonts w:ascii="Arial" w:eastAsia="Calibri" w:hAnsi="Arial" w:cs="Arial"/>
                <w:b/>
                <w:u w:val="single"/>
              </w:rPr>
            </w:pPr>
            <w:r>
              <w:rPr>
                <w:rFonts w:ascii="Arial" w:eastAsia="Calibri" w:hAnsi="Arial" w:cs="Arial"/>
                <w:b/>
                <w:u w:val="single"/>
              </w:rPr>
              <w:t>98.86%</w:t>
            </w:r>
          </w:p>
          <w:p w14:paraId="35268817" w14:textId="4D621437" w:rsidR="003E350B" w:rsidRDefault="003E350B" w:rsidP="002551C6">
            <w:pPr>
              <w:jc w:val="center"/>
              <w:rPr>
                <w:rFonts w:ascii="Arial" w:eastAsia="Calibri" w:hAnsi="Arial" w:cs="Arial"/>
                <w:b/>
                <w:u w:val="single"/>
              </w:rPr>
            </w:pPr>
            <w:r>
              <w:rPr>
                <w:rFonts w:ascii="Arial" w:eastAsia="Calibri" w:hAnsi="Arial" w:cs="Arial"/>
                <w:b/>
                <w:u w:val="single"/>
              </w:rPr>
              <w:t>16.95%</w:t>
            </w:r>
          </w:p>
          <w:p w14:paraId="7DA3DBC6" w14:textId="77777777" w:rsidR="003E350B" w:rsidRDefault="003E350B" w:rsidP="002551C6">
            <w:pPr>
              <w:jc w:val="center"/>
              <w:rPr>
                <w:rFonts w:ascii="Arial" w:eastAsia="Calibri" w:hAnsi="Arial" w:cs="Arial"/>
                <w:b/>
                <w:u w:val="single"/>
              </w:rPr>
            </w:pPr>
          </w:p>
          <w:p w14:paraId="2407503A" w14:textId="4D2B31DC" w:rsidR="003E350B" w:rsidRDefault="003E350B" w:rsidP="002551C6">
            <w:pPr>
              <w:jc w:val="center"/>
              <w:rPr>
                <w:rFonts w:ascii="Arial" w:eastAsia="Calibri" w:hAnsi="Arial" w:cs="Arial"/>
                <w:b/>
                <w:u w:val="single"/>
              </w:rPr>
            </w:pPr>
            <w:r>
              <w:rPr>
                <w:rFonts w:ascii="Arial" w:eastAsia="Calibri" w:hAnsi="Arial" w:cs="Arial"/>
                <w:b/>
                <w:u w:val="single"/>
              </w:rPr>
              <w:t>50.92%</w:t>
            </w:r>
          </w:p>
        </w:tc>
      </w:tr>
      <w:tr w:rsidR="003E350B" w:rsidRPr="004B1294" w14:paraId="2131EB6D" w14:textId="77777777" w:rsidTr="00042E94">
        <w:tc>
          <w:tcPr>
            <w:tcW w:w="1550" w:type="dxa"/>
          </w:tcPr>
          <w:p w14:paraId="469F6F3E" w14:textId="215AD839" w:rsidR="003E350B" w:rsidRDefault="007C4745" w:rsidP="002551C6">
            <w:pPr>
              <w:jc w:val="center"/>
              <w:rPr>
                <w:rFonts w:ascii="Arial" w:hAnsi="Arial" w:cs="Arial"/>
                <w:b/>
              </w:rPr>
            </w:pPr>
            <w:r>
              <w:rPr>
                <w:rFonts w:ascii="Arial" w:hAnsi="Arial" w:cs="Arial"/>
                <w:b/>
              </w:rPr>
              <w:t>65</w:t>
            </w:r>
          </w:p>
        </w:tc>
        <w:tc>
          <w:tcPr>
            <w:tcW w:w="3255" w:type="dxa"/>
          </w:tcPr>
          <w:p w14:paraId="09411124" w14:textId="2E5AB4E3" w:rsidR="007C4745" w:rsidRPr="007C4745" w:rsidRDefault="007C4745" w:rsidP="007C4745">
            <w:pPr>
              <w:jc w:val="both"/>
              <w:rPr>
                <w:rFonts w:ascii="Arial" w:hAnsi="Arial" w:cs="Arial"/>
                <w:b/>
                <w:lang w:val="es-MX"/>
              </w:rPr>
            </w:pPr>
            <w:r w:rsidRPr="007C4745">
              <w:rPr>
                <w:rFonts w:ascii="Arial" w:hAnsi="Arial" w:cs="Arial"/>
                <w:b/>
                <w:lang w:val="es-MX"/>
              </w:rPr>
              <w:t>RAMA JUDICIAL - CONSEJO SUPERIOR DE LA JUDICATURA.</w:t>
            </w:r>
          </w:p>
          <w:p w14:paraId="15360FAE" w14:textId="77777777" w:rsidR="003E350B" w:rsidRDefault="003E350B" w:rsidP="00AD023F">
            <w:pPr>
              <w:jc w:val="both"/>
              <w:rPr>
                <w:rFonts w:ascii="Arial" w:hAnsi="Arial" w:cs="Arial"/>
                <w:b/>
                <w:lang w:val="es-MX"/>
              </w:rPr>
            </w:pPr>
          </w:p>
          <w:p w14:paraId="4231A6F0" w14:textId="77777777" w:rsidR="007C4745" w:rsidRDefault="007C4745" w:rsidP="007C4745">
            <w:pPr>
              <w:jc w:val="both"/>
              <w:rPr>
                <w:rFonts w:ascii="Arial" w:hAnsi="Arial" w:cs="Arial"/>
                <w:b/>
                <w:lang w:val="es-MX"/>
              </w:rPr>
            </w:pPr>
            <w:r>
              <w:rPr>
                <w:rFonts w:ascii="Arial" w:hAnsi="Arial" w:cs="Arial"/>
                <w:b/>
                <w:lang w:val="es-MX"/>
              </w:rPr>
              <w:t>FUNCIONAMIENTO</w:t>
            </w:r>
          </w:p>
          <w:p w14:paraId="05DE2207" w14:textId="77777777" w:rsidR="007C4745" w:rsidRDefault="007C4745" w:rsidP="007C4745">
            <w:pPr>
              <w:jc w:val="both"/>
              <w:rPr>
                <w:rFonts w:ascii="Arial" w:hAnsi="Arial" w:cs="Arial"/>
                <w:b/>
                <w:lang w:val="es-MX"/>
              </w:rPr>
            </w:pPr>
            <w:r>
              <w:rPr>
                <w:rFonts w:ascii="Arial" w:hAnsi="Arial" w:cs="Arial"/>
                <w:b/>
                <w:lang w:val="es-MX"/>
              </w:rPr>
              <w:t>INVERSIÓN</w:t>
            </w:r>
          </w:p>
          <w:p w14:paraId="35CC1C0B" w14:textId="77777777" w:rsidR="007C4745" w:rsidRDefault="007C4745" w:rsidP="007C4745">
            <w:pPr>
              <w:jc w:val="both"/>
              <w:rPr>
                <w:rFonts w:ascii="Arial" w:hAnsi="Arial" w:cs="Arial"/>
                <w:b/>
                <w:lang w:val="es-MX"/>
              </w:rPr>
            </w:pPr>
          </w:p>
          <w:p w14:paraId="6D7B6C58" w14:textId="725C9FFE" w:rsidR="007C4745" w:rsidRPr="00AD023F" w:rsidRDefault="007C4745" w:rsidP="007C4745">
            <w:pPr>
              <w:jc w:val="both"/>
              <w:rPr>
                <w:rFonts w:ascii="Arial" w:hAnsi="Arial" w:cs="Arial"/>
                <w:b/>
                <w:lang w:val="es-MX"/>
              </w:rPr>
            </w:pPr>
            <w:r>
              <w:rPr>
                <w:rFonts w:ascii="Arial" w:hAnsi="Arial" w:cs="Arial"/>
                <w:b/>
                <w:lang w:val="es-MX"/>
              </w:rPr>
              <w:t>TOTAL PRESUPUESTO</w:t>
            </w:r>
          </w:p>
        </w:tc>
        <w:tc>
          <w:tcPr>
            <w:tcW w:w="1839" w:type="dxa"/>
          </w:tcPr>
          <w:p w14:paraId="5B118142" w14:textId="77777777" w:rsidR="003E350B" w:rsidRDefault="003E350B" w:rsidP="002551C6">
            <w:pPr>
              <w:jc w:val="center"/>
              <w:rPr>
                <w:rFonts w:ascii="Arial" w:eastAsia="Calibri" w:hAnsi="Arial" w:cs="Arial"/>
                <w:b/>
                <w:u w:val="single"/>
              </w:rPr>
            </w:pPr>
          </w:p>
          <w:p w14:paraId="5E017AE9" w14:textId="77777777" w:rsidR="007C4745" w:rsidRDefault="007C4745" w:rsidP="002551C6">
            <w:pPr>
              <w:jc w:val="center"/>
              <w:rPr>
                <w:rFonts w:ascii="Arial" w:eastAsia="Calibri" w:hAnsi="Arial" w:cs="Arial"/>
                <w:b/>
                <w:u w:val="single"/>
              </w:rPr>
            </w:pPr>
          </w:p>
          <w:p w14:paraId="2A54314E" w14:textId="77777777" w:rsidR="007C4745" w:rsidRDefault="007C4745" w:rsidP="002551C6">
            <w:pPr>
              <w:jc w:val="center"/>
              <w:rPr>
                <w:rFonts w:ascii="Arial" w:eastAsia="Calibri" w:hAnsi="Arial" w:cs="Arial"/>
                <w:b/>
                <w:u w:val="single"/>
              </w:rPr>
            </w:pPr>
          </w:p>
          <w:p w14:paraId="1951B079" w14:textId="77777777" w:rsidR="007C4745" w:rsidRDefault="007C4745" w:rsidP="002551C6">
            <w:pPr>
              <w:jc w:val="center"/>
              <w:rPr>
                <w:rFonts w:ascii="Arial" w:eastAsia="Calibri" w:hAnsi="Arial" w:cs="Arial"/>
                <w:b/>
                <w:u w:val="single"/>
              </w:rPr>
            </w:pPr>
          </w:p>
          <w:p w14:paraId="26581A0F" w14:textId="6546AB04" w:rsidR="007C4745" w:rsidRDefault="007C4745" w:rsidP="002551C6">
            <w:pPr>
              <w:jc w:val="center"/>
              <w:rPr>
                <w:rFonts w:ascii="Arial" w:eastAsia="Calibri" w:hAnsi="Arial" w:cs="Arial"/>
                <w:b/>
                <w:u w:val="single"/>
              </w:rPr>
            </w:pPr>
            <w:r>
              <w:rPr>
                <w:rFonts w:ascii="Arial" w:eastAsia="Calibri" w:hAnsi="Arial" w:cs="Arial"/>
                <w:b/>
                <w:u w:val="single"/>
              </w:rPr>
              <w:t>99.00%</w:t>
            </w:r>
          </w:p>
          <w:p w14:paraId="31D35ED9" w14:textId="645CF973" w:rsidR="007C4745" w:rsidRDefault="007C4745" w:rsidP="002551C6">
            <w:pPr>
              <w:jc w:val="center"/>
              <w:rPr>
                <w:rFonts w:ascii="Arial" w:eastAsia="Calibri" w:hAnsi="Arial" w:cs="Arial"/>
                <w:b/>
                <w:u w:val="single"/>
              </w:rPr>
            </w:pPr>
            <w:r>
              <w:rPr>
                <w:rFonts w:ascii="Arial" w:eastAsia="Calibri" w:hAnsi="Arial" w:cs="Arial"/>
                <w:b/>
                <w:u w:val="single"/>
              </w:rPr>
              <w:t>87.20%</w:t>
            </w:r>
          </w:p>
          <w:p w14:paraId="5D2B3A4A" w14:textId="77777777" w:rsidR="007C4745" w:rsidRDefault="007C4745" w:rsidP="002551C6">
            <w:pPr>
              <w:jc w:val="center"/>
              <w:rPr>
                <w:rFonts w:ascii="Arial" w:eastAsia="Calibri" w:hAnsi="Arial" w:cs="Arial"/>
                <w:b/>
                <w:u w:val="single"/>
              </w:rPr>
            </w:pPr>
          </w:p>
          <w:p w14:paraId="32F86F78" w14:textId="4A41F697" w:rsidR="007C4745" w:rsidRDefault="007C4745" w:rsidP="002551C6">
            <w:pPr>
              <w:jc w:val="center"/>
              <w:rPr>
                <w:rFonts w:ascii="Arial" w:eastAsia="Calibri" w:hAnsi="Arial" w:cs="Arial"/>
                <w:b/>
                <w:u w:val="single"/>
              </w:rPr>
            </w:pPr>
            <w:r>
              <w:rPr>
                <w:rFonts w:ascii="Arial" w:eastAsia="Calibri" w:hAnsi="Arial" w:cs="Arial"/>
                <w:b/>
                <w:u w:val="single"/>
              </w:rPr>
              <w:t>97.00%</w:t>
            </w:r>
          </w:p>
        </w:tc>
        <w:tc>
          <w:tcPr>
            <w:tcW w:w="1804" w:type="dxa"/>
          </w:tcPr>
          <w:p w14:paraId="57B698D5" w14:textId="77777777" w:rsidR="003E350B" w:rsidRDefault="003E350B" w:rsidP="002551C6">
            <w:pPr>
              <w:jc w:val="center"/>
              <w:rPr>
                <w:rFonts w:ascii="Arial" w:eastAsia="Calibri" w:hAnsi="Arial" w:cs="Arial"/>
                <w:b/>
                <w:u w:val="single"/>
              </w:rPr>
            </w:pPr>
          </w:p>
          <w:p w14:paraId="4497705B" w14:textId="77777777" w:rsidR="007C4745" w:rsidRDefault="007C4745" w:rsidP="002551C6">
            <w:pPr>
              <w:jc w:val="center"/>
              <w:rPr>
                <w:rFonts w:ascii="Arial" w:eastAsia="Calibri" w:hAnsi="Arial" w:cs="Arial"/>
                <w:b/>
                <w:u w:val="single"/>
              </w:rPr>
            </w:pPr>
          </w:p>
          <w:p w14:paraId="6E89350F" w14:textId="77777777" w:rsidR="007C4745" w:rsidRDefault="007C4745" w:rsidP="002551C6">
            <w:pPr>
              <w:jc w:val="center"/>
              <w:rPr>
                <w:rFonts w:ascii="Arial" w:eastAsia="Calibri" w:hAnsi="Arial" w:cs="Arial"/>
                <w:b/>
                <w:u w:val="single"/>
              </w:rPr>
            </w:pPr>
          </w:p>
          <w:p w14:paraId="63A6AFFC" w14:textId="77777777" w:rsidR="007C4745" w:rsidRDefault="007C4745" w:rsidP="002551C6">
            <w:pPr>
              <w:jc w:val="center"/>
              <w:rPr>
                <w:rFonts w:ascii="Arial" w:eastAsia="Calibri" w:hAnsi="Arial" w:cs="Arial"/>
                <w:b/>
                <w:u w:val="single"/>
              </w:rPr>
            </w:pPr>
          </w:p>
          <w:p w14:paraId="5C06844D" w14:textId="65BB6816" w:rsidR="007C4745" w:rsidRDefault="007C4745" w:rsidP="002551C6">
            <w:pPr>
              <w:jc w:val="center"/>
              <w:rPr>
                <w:rFonts w:ascii="Arial" w:eastAsia="Calibri" w:hAnsi="Arial" w:cs="Arial"/>
                <w:b/>
                <w:u w:val="single"/>
              </w:rPr>
            </w:pPr>
            <w:r>
              <w:rPr>
                <w:rFonts w:ascii="Arial" w:eastAsia="Calibri" w:hAnsi="Arial" w:cs="Arial"/>
                <w:b/>
                <w:u w:val="single"/>
              </w:rPr>
              <w:t>95.30%</w:t>
            </w:r>
          </w:p>
          <w:p w14:paraId="38BB3BA7" w14:textId="295A8F18" w:rsidR="007C4745" w:rsidRDefault="007C4745" w:rsidP="002551C6">
            <w:pPr>
              <w:jc w:val="center"/>
              <w:rPr>
                <w:rFonts w:ascii="Arial" w:eastAsia="Calibri" w:hAnsi="Arial" w:cs="Arial"/>
                <w:b/>
                <w:u w:val="single"/>
              </w:rPr>
            </w:pPr>
            <w:r>
              <w:rPr>
                <w:rFonts w:ascii="Arial" w:eastAsia="Calibri" w:hAnsi="Arial" w:cs="Arial"/>
                <w:b/>
                <w:u w:val="single"/>
              </w:rPr>
              <w:t>13.90%</w:t>
            </w:r>
          </w:p>
          <w:p w14:paraId="5448ECF8" w14:textId="77777777" w:rsidR="007C4745" w:rsidRDefault="007C4745" w:rsidP="002551C6">
            <w:pPr>
              <w:jc w:val="center"/>
              <w:rPr>
                <w:rFonts w:ascii="Arial" w:eastAsia="Calibri" w:hAnsi="Arial" w:cs="Arial"/>
                <w:b/>
                <w:u w:val="single"/>
              </w:rPr>
            </w:pPr>
          </w:p>
          <w:p w14:paraId="7FD9200A" w14:textId="052E4F66" w:rsidR="007C4745" w:rsidRDefault="007C4745" w:rsidP="002551C6">
            <w:pPr>
              <w:jc w:val="center"/>
              <w:rPr>
                <w:rFonts w:ascii="Arial" w:eastAsia="Calibri" w:hAnsi="Arial" w:cs="Arial"/>
                <w:b/>
                <w:u w:val="single"/>
              </w:rPr>
            </w:pPr>
            <w:r>
              <w:rPr>
                <w:rFonts w:ascii="Arial" w:eastAsia="Calibri" w:hAnsi="Arial" w:cs="Arial"/>
                <w:b/>
                <w:u w:val="single"/>
              </w:rPr>
              <w:t>85.20%</w:t>
            </w:r>
          </w:p>
        </w:tc>
        <w:tc>
          <w:tcPr>
            <w:tcW w:w="2042" w:type="dxa"/>
          </w:tcPr>
          <w:p w14:paraId="4C759656" w14:textId="77777777" w:rsidR="003E350B" w:rsidRDefault="003E350B" w:rsidP="002551C6">
            <w:pPr>
              <w:jc w:val="center"/>
              <w:rPr>
                <w:rFonts w:ascii="Arial" w:eastAsia="Calibri" w:hAnsi="Arial" w:cs="Arial"/>
                <w:b/>
                <w:u w:val="single"/>
              </w:rPr>
            </w:pPr>
          </w:p>
          <w:p w14:paraId="6733A251" w14:textId="77777777" w:rsidR="007C4745" w:rsidRDefault="007C4745" w:rsidP="002551C6">
            <w:pPr>
              <w:jc w:val="center"/>
              <w:rPr>
                <w:rFonts w:ascii="Arial" w:eastAsia="Calibri" w:hAnsi="Arial" w:cs="Arial"/>
                <w:b/>
                <w:u w:val="single"/>
              </w:rPr>
            </w:pPr>
          </w:p>
          <w:p w14:paraId="736CEB64" w14:textId="77777777" w:rsidR="007C4745" w:rsidRDefault="007C4745" w:rsidP="002551C6">
            <w:pPr>
              <w:jc w:val="center"/>
              <w:rPr>
                <w:rFonts w:ascii="Arial" w:eastAsia="Calibri" w:hAnsi="Arial" w:cs="Arial"/>
                <w:b/>
                <w:u w:val="single"/>
              </w:rPr>
            </w:pPr>
          </w:p>
          <w:p w14:paraId="0C9A3BED" w14:textId="77777777" w:rsidR="007C4745" w:rsidRDefault="007C4745" w:rsidP="002551C6">
            <w:pPr>
              <w:jc w:val="center"/>
              <w:rPr>
                <w:rFonts w:ascii="Arial" w:eastAsia="Calibri" w:hAnsi="Arial" w:cs="Arial"/>
                <w:b/>
                <w:u w:val="single"/>
              </w:rPr>
            </w:pPr>
          </w:p>
          <w:p w14:paraId="59917B3C" w14:textId="1605447E" w:rsidR="007C4745" w:rsidRDefault="007C4745" w:rsidP="002551C6">
            <w:pPr>
              <w:jc w:val="center"/>
              <w:rPr>
                <w:rFonts w:ascii="Arial" w:eastAsia="Calibri" w:hAnsi="Arial" w:cs="Arial"/>
                <w:b/>
                <w:u w:val="single"/>
              </w:rPr>
            </w:pPr>
            <w:r>
              <w:rPr>
                <w:rFonts w:ascii="Arial" w:eastAsia="Calibri" w:hAnsi="Arial" w:cs="Arial"/>
                <w:b/>
                <w:u w:val="single"/>
              </w:rPr>
              <w:t>95.10%</w:t>
            </w:r>
          </w:p>
          <w:p w14:paraId="0288CE8B" w14:textId="77107144" w:rsidR="007C4745" w:rsidRDefault="007C4745" w:rsidP="002551C6">
            <w:pPr>
              <w:jc w:val="center"/>
              <w:rPr>
                <w:rFonts w:ascii="Arial" w:eastAsia="Calibri" w:hAnsi="Arial" w:cs="Arial"/>
                <w:b/>
                <w:u w:val="single"/>
              </w:rPr>
            </w:pPr>
            <w:r>
              <w:rPr>
                <w:rFonts w:ascii="Arial" w:eastAsia="Calibri" w:hAnsi="Arial" w:cs="Arial"/>
                <w:b/>
                <w:u w:val="single"/>
              </w:rPr>
              <w:t>12.90%</w:t>
            </w:r>
          </w:p>
          <w:p w14:paraId="3EE3A9C4" w14:textId="77777777" w:rsidR="007C4745" w:rsidRDefault="007C4745" w:rsidP="002551C6">
            <w:pPr>
              <w:jc w:val="center"/>
              <w:rPr>
                <w:rFonts w:ascii="Arial" w:eastAsia="Calibri" w:hAnsi="Arial" w:cs="Arial"/>
                <w:b/>
                <w:u w:val="single"/>
              </w:rPr>
            </w:pPr>
          </w:p>
          <w:p w14:paraId="47AF0A7B" w14:textId="1222B8C5" w:rsidR="007C4745" w:rsidRDefault="007C4745" w:rsidP="002551C6">
            <w:pPr>
              <w:jc w:val="center"/>
              <w:rPr>
                <w:rFonts w:ascii="Arial" w:eastAsia="Calibri" w:hAnsi="Arial" w:cs="Arial"/>
                <w:b/>
                <w:u w:val="single"/>
              </w:rPr>
            </w:pPr>
            <w:r>
              <w:rPr>
                <w:rFonts w:ascii="Arial" w:eastAsia="Calibri" w:hAnsi="Arial" w:cs="Arial"/>
                <w:b/>
                <w:u w:val="single"/>
              </w:rPr>
              <w:t>84.90%</w:t>
            </w:r>
          </w:p>
        </w:tc>
      </w:tr>
      <w:tr w:rsidR="003E350B" w:rsidRPr="004B1294" w14:paraId="03927608" w14:textId="77777777" w:rsidTr="00042E94">
        <w:tc>
          <w:tcPr>
            <w:tcW w:w="1550" w:type="dxa"/>
          </w:tcPr>
          <w:p w14:paraId="21EDA3C3" w14:textId="1A342C6C" w:rsidR="003E350B" w:rsidRDefault="001D53E9" w:rsidP="002551C6">
            <w:pPr>
              <w:jc w:val="center"/>
              <w:rPr>
                <w:rFonts w:ascii="Arial" w:hAnsi="Arial" w:cs="Arial"/>
                <w:b/>
              </w:rPr>
            </w:pPr>
            <w:r>
              <w:rPr>
                <w:rFonts w:ascii="Arial" w:hAnsi="Arial" w:cs="Arial"/>
                <w:b/>
              </w:rPr>
              <w:t>67</w:t>
            </w:r>
          </w:p>
        </w:tc>
        <w:tc>
          <w:tcPr>
            <w:tcW w:w="3255" w:type="dxa"/>
          </w:tcPr>
          <w:p w14:paraId="6F5919EF" w14:textId="77777777" w:rsidR="003E350B" w:rsidRDefault="001D53E9" w:rsidP="001D53E9">
            <w:pPr>
              <w:jc w:val="both"/>
              <w:rPr>
                <w:rFonts w:ascii="Arial" w:hAnsi="Arial" w:cs="Arial"/>
                <w:b/>
                <w:lang w:val="es-MX"/>
              </w:rPr>
            </w:pPr>
            <w:r>
              <w:rPr>
                <w:rFonts w:ascii="Arial" w:hAnsi="Arial" w:cs="Arial"/>
                <w:b/>
                <w:lang w:val="es-MX"/>
              </w:rPr>
              <w:t>CONSEJO NACIONAL ELECTORAL – CNE.</w:t>
            </w:r>
          </w:p>
          <w:p w14:paraId="5C52B60B" w14:textId="77777777" w:rsidR="001D53E9" w:rsidRDefault="001D53E9" w:rsidP="001D53E9">
            <w:pPr>
              <w:jc w:val="both"/>
              <w:rPr>
                <w:rFonts w:ascii="Arial" w:hAnsi="Arial" w:cs="Arial"/>
                <w:b/>
                <w:lang w:val="es-MX"/>
              </w:rPr>
            </w:pPr>
          </w:p>
          <w:p w14:paraId="7ED65C7F" w14:textId="77777777" w:rsidR="001D53E9" w:rsidRDefault="001D53E9" w:rsidP="001D53E9">
            <w:pPr>
              <w:jc w:val="both"/>
              <w:rPr>
                <w:rFonts w:ascii="Arial" w:hAnsi="Arial" w:cs="Arial"/>
                <w:b/>
                <w:lang w:val="es-MX"/>
              </w:rPr>
            </w:pPr>
            <w:r>
              <w:rPr>
                <w:rFonts w:ascii="Arial" w:hAnsi="Arial" w:cs="Arial"/>
                <w:b/>
                <w:lang w:val="es-MX"/>
              </w:rPr>
              <w:t>FUNCIONAMIENTO</w:t>
            </w:r>
          </w:p>
          <w:p w14:paraId="00A782E1" w14:textId="77777777" w:rsidR="001D53E9" w:rsidRDefault="001D53E9" w:rsidP="001D53E9">
            <w:pPr>
              <w:jc w:val="both"/>
              <w:rPr>
                <w:rFonts w:ascii="Arial" w:hAnsi="Arial" w:cs="Arial"/>
                <w:b/>
                <w:lang w:val="es-MX"/>
              </w:rPr>
            </w:pPr>
            <w:r>
              <w:rPr>
                <w:rFonts w:ascii="Arial" w:hAnsi="Arial" w:cs="Arial"/>
                <w:b/>
                <w:lang w:val="es-MX"/>
              </w:rPr>
              <w:t>INVERSIÓN</w:t>
            </w:r>
          </w:p>
          <w:p w14:paraId="3554A644" w14:textId="77777777" w:rsidR="001D53E9" w:rsidRDefault="001D53E9" w:rsidP="001D53E9">
            <w:pPr>
              <w:jc w:val="both"/>
              <w:rPr>
                <w:rFonts w:ascii="Arial" w:hAnsi="Arial" w:cs="Arial"/>
                <w:b/>
                <w:lang w:val="es-MX"/>
              </w:rPr>
            </w:pPr>
          </w:p>
          <w:p w14:paraId="34B028A3" w14:textId="0B7B3ED9" w:rsidR="001D53E9" w:rsidRPr="00AD023F" w:rsidRDefault="001D53E9" w:rsidP="001D53E9">
            <w:pPr>
              <w:jc w:val="both"/>
              <w:rPr>
                <w:rFonts w:ascii="Arial" w:hAnsi="Arial" w:cs="Arial"/>
                <w:b/>
                <w:lang w:val="es-MX"/>
              </w:rPr>
            </w:pPr>
            <w:r>
              <w:rPr>
                <w:rFonts w:ascii="Arial" w:hAnsi="Arial" w:cs="Arial"/>
                <w:b/>
                <w:lang w:val="es-MX"/>
              </w:rPr>
              <w:t>TOTAL PRESUPUESTO</w:t>
            </w:r>
          </w:p>
        </w:tc>
        <w:tc>
          <w:tcPr>
            <w:tcW w:w="1839" w:type="dxa"/>
          </w:tcPr>
          <w:p w14:paraId="15405E63" w14:textId="77777777" w:rsidR="003E350B" w:rsidRDefault="003E350B" w:rsidP="002551C6">
            <w:pPr>
              <w:jc w:val="center"/>
              <w:rPr>
                <w:rFonts w:ascii="Arial" w:eastAsia="Calibri" w:hAnsi="Arial" w:cs="Arial"/>
                <w:b/>
                <w:u w:val="single"/>
              </w:rPr>
            </w:pPr>
          </w:p>
          <w:p w14:paraId="24CBEA4D" w14:textId="77777777" w:rsidR="001D53E9" w:rsidRDefault="001D53E9" w:rsidP="002551C6">
            <w:pPr>
              <w:jc w:val="center"/>
              <w:rPr>
                <w:rFonts w:ascii="Arial" w:eastAsia="Calibri" w:hAnsi="Arial" w:cs="Arial"/>
                <w:b/>
                <w:u w:val="single"/>
              </w:rPr>
            </w:pPr>
          </w:p>
          <w:p w14:paraId="512F462C" w14:textId="77777777" w:rsidR="001D53E9" w:rsidRDefault="001D53E9" w:rsidP="002551C6">
            <w:pPr>
              <w:jc w:val="center"/>
              <w:rPr>
                <w:rFonts w:ascii="Arial" w:eastAsia="Calibri" w:hAnsi="Arial" w:cs="Arial"/>
                <w:b/>
                <w:u w:val="single"/>
              </w:rPr>
            </w:pPr>
          </w:p>
          <w:p w14:paraId="1DB77F03" w14:textId="3C1E51E7" w:rsidR="001D53E9" w:rsidRDefault="001D53E9" w:rsidP="002551C6">
            <w:pPr>
              <w:jc w:val="center"/>
              <w:rPr>
                <w:rFonts w:ascii="Arial" w:eastAsia="Calibri" w:hAnsi="Arial" w:cs="Arial"/>
                <w:b/>
                <w:u w:val="single"/>
              </w:rPr>
            </w:pPr>
            <w:r>
              <w:rPr>
                <w:rFonts w:ascii="Arial" w:eastAsia="Calibri" w:hAnsi="Arial" w:cs="Arial"/>
                <w:b/>
                <w:u w:val="single"/>
              </w:rPr>
              <w:t>85.35%</w:t>
            </w:r>
          </w:p>
          <w:p w14:paraId="7FA81D96" w14:textId="1C1C6762" w:rsidR="001D53E9" w:rsidRDefault="001D53E9" w:rsidP="002551C6">
            <w:pPr>
              <w:jc w:val="center"/>
              <w:rPr>
                <w:rFonts w:ascii="Arial" w:eastAsia="Calibri" w:hAnsi="Arial" w:cs="Arial"/>
                <w:b/>
                <w:u w:val="single"/>
              </w:rPr>
            </w:pPr>
            <w:r>
              <w:rPr>
                <w:rFonts w:ascii="Arial" w:eastAsia="Calibri" w:hAnsi="Arial" w:cs="Arial"/>
                <w:b/>
                <w:u w:val="single"/>
              </w:rPr>
              <w:t>0.00%</w:t>
            </w:r>
          </w:p>
          <w:p w14:paraId="3D2E83E6" w14:textId="77777777" w:rsidR="001D53E9" w:rsidRDefault="001D53E9" w:rsidP="002551C6">
            <w:pPr>
              <w:jc w:val="center"/>
              <w:rPr>
                <w:rFonts w:ascii="Arial" w:eastAsia="Calibri" w:hAnsi="Arial" w:cs="Arial"/>
                <w:b/>
                <w:u w:val="single"/>
              </w:rPr>
            </w:pPr>
          </w:p>
          <w:p w14:paraId="6513C2EA" w14:textId="7314F3F4" w:rsidR="001D53E9" w:rsidRDefault="001D53E9" w:rsidP="002551C6">
            <w:pPr>
              <w:jc w:val="center"/>
              <w:rPr>
                <w:rFonts w:ascii="Arial" w:eastAsia="Calibri" w:hAnsi="Arial" w:cs="Arial"/>
                <w:b/>
                <w:u w:val="single"/>
              </w:rPr>
            </w:pPr>
            <w:r>
              <w:rPr>
                <w:rFonts w:ascii="Arial" w:eastAsia="Calibri" w:hAnsi="Arial" w:cs="Arial"/>
                <w:b/>
                <w:u w:val="single"/>
              </w:rPr>
              <w:t>85.13%</w:t>
            </w:r>
          </w:p>
        </w:tc>
        <w:tc>
          <w:tcPr>
            <w:tcW w:w="1804" w:type="dxa"/>
          </w:tcPr>
          <w:p w14:paraId="1B5A7724" w14:textId="77777777" w:rsidR="003E350B" w:rsidRDefault="003E350B" w:rsidP="002551C6">
            <w:pPr>
              <w:jc w:val="center"/>
              <w:rPr>
                <w:rFonts w:ascii="Arial" w:eastAsia="Calibri" w:hAnsi="Arial" w:cs="Arial"/>
                <w:b/>
                <w:u w:val="single"/>
              </w:rPr>
            </w:pPr>
          </w:p>
          <w:p w14:paraId="6E052893" w14:textId="77777777" w:rsidR="001D53E9" w:rsidRDefault="001D53E9" w:rsidP="002551C6">
            <w:pPr>
              <w:jc w:val="center"/>
              <w:rPr>
                <w:rFonts w:ascii="Arial" w:eastAsia="Calibri" w:hAnsi="Arial" w:cs="Arial"/>
                <w:b/>
                <w:u w:val="single"/>
              </w:rPr>
            </w:pPr>
          </w:p>
          <w:p w14:paraId="04149627" w14:textId="77777777" w:rsidR="001D53E9" w:rsidRDefault="001D53E9" w:rsidP="002551C6">
            <w:pPr>
              <w:jc w:val="center"/>
              <w:rPr>
                <w:rFonts w:ascii="Arial" w:eastAsia="Calibri" w:hAnsi="Arial" w:cs="Arial"/>
                <w:b/>
                <w:u w:val="single"/>
              </w:rPr>
            </w:pPr>
          </w:p>
          <w:p w14:paraId="487257EE" w14:textId="333B4CC8" w:rsidR="001D53E9" w:rsidRDefault="001D53E9" w:rsidP="002551C6">
            <w:pPr>
              <w:jc w:val="center"/>
              <w:rPr>
                <w:rFonts w:ascii="Arial" w:eastAsia="Calibri" w:hAnsi="Arial" w:cs="Arial"/>
                <w:b/>
                <w:u w:val="single"/>
              </w:rPr>
            </w:pPr>
            <w:r>
              <w:rPr>
                <w:rFonts w:ascii="Arial" w:eastAsia="Calibri" w:hAnsi="Arial" w:cs="Arial"/>
                <w:b/>
                <w:u w:val="single"/>
              </w:rPr>
              <w:t>72.40%</w:t>
            </w:r>
          </w:p>
          <w:p w14:paraId="0036DD0B" w14:textId="6B511382" w:rsidR="001D53E9" w:rsidRDefault="001D53E9" w:rsidP="002551C6">
            <w:pPr>
              <w:jc w:val="center"/>
              <w:rPr>
                <w:rFonts w:ascii="Arial" w:eastAsia="Calibri" w:hAnsi="Arial" w:cs="Arial"/>
                <w:b/>
                <w:u w:val="single"/>
              </w:rPr>
            </w:pPr>
            <w:r>
              <w:rPr>
                <w:rFonts w:ascii="Arial" w:eastAsia="Calibri" w:hAnsi="Arial" w:cs="Arial"/>
                <w:b/>
                <w:u w:val="single"/>
              </w:rPr>
              <w:t>0.00%</w:t>
            </w:r>
          </w:p>
          <w:p w14:paraId="5665A4DF" w14:textId="77777777" w:rsidR="001D53E9" w:rsidRDefault="001D53E9" w:rsidP="002551C6">
            <w:pPr>
              <w:jc w:val="center"/>
              <w:rPr>
                <w:rFonts w:ascii="Arial" w:eastAsia="Calibri" w:hAnsi="Arial" w:cs="Arial"/>
                <w:b/>
                <w:u w:val="single"/>
              </w:rPr>
            </w:pPr>
          </w:p>
          <w:p w14:paraId="422972B5" w14:textId="7466F285" w:rsidR="001D53E9" w:rsidRDefault="001D53E9" w:rsidP="002551C6">
            <w:pPr>
              <w:jc w:val="center"/>
              <w:rPr>
                <w:rFonts w:ascii="Arial" w:eastAsia="Calibri" w:hAnsi="Arial" w:cs="Arial"/>
                <w:b/>
                <w:u w:val="single"/>
              </w:rPr>
            </w:pPr>
            <w:r>
              <w:rPr>
                <w:rFonts w:ascii="Arial" w:eastAsia="Calibri" w:hAnsi="Arial" w:cs="Arial"/>
                <w:b/>
                <w:u w:val="single"/>
              </w:rPr>
              <w:t>72.21%</w:t>
            </w:r>
          </w:p>
        </w:tc>
        <w:tc>
          <w:tcPr>
            <w:tcW w:w="2042" w:type="dxa"/>
          </w:tcPr>
          <w:p w14:paraId="17CFCCE9" w14:textId="77777777" w:rsidR="003E350B" w:rsidRDefault="003E350B" w:rsidP="002551C6">
            <w:pPr>
              <w:jc w:val="center"/>
              <w:rPr>
                <w:rFonts w:ascii="Arial" w:eastAsia="Calibri" w:hAnsi="Arial" w:cs="Arial"/>
                <w:b/>
                <w:u w:val="single"/>
              </w:rPr>
            </w:pPr>
          </w:p>
          <w:p w14:paraId="27CA5A85" w14:textId="77777777" w:rsidR="001D53E9" w:rsidRDefault="001D53E9" w:rsidP="002551C6">
            <w:pPr>
              <w:jc w:val="center"/>
              <w:rPr>
                <w:rFonts w:ascii="Arial" w:eastAsia="Calibri" w:hAnsi="Arial" w:cs="Arial"/>
                <w:b/>
                <w:u w:val="single"/>
              </w:rPr>
            </w:pPr>
          </w:p>
          <w:p w14:paraId="396CE03E" w14:textId="77777777" w:rsidR="001D53E9" w:rsidRDefault="001D53E9" w:rsidP="002551C6">
            <w:pPr>
              <w:jc w:val="center"/>
              <w:rPr>
                <w:rFonts w:ascii="Arial" w:eastAsia="Calibri" w:hAnsi="Arial" w:cs="Arial"/>
                <w:b/>
                <w:u w:val="single"/>
              </w:rPr>
            </w:pPr>
          </w:p>
          <w:p w14:paraId="2F982B07" w14:textId="74C2B68A" w:rsidR="001D53E9" w:rsidRDefault="001D53E9" w:rsidP="002551C6">
            <w:pPr>
              <w:jc w:val="center"/>
              <w:rPr>
                <w:rFonts w:ascii="Arial" w:eastAsia="Calibri" w:hAnsi="Arial" w:cs="Arial"/>
                <w:b/>
                <w:u w:val="single"/>
              </w:rPr>
            </w:pPr>
            <w:r>
              <w:rPr>
                <w:rFonts w:ascii="Arial" w:eastAsia="Calibri" w:hAnsi="Arial" w:cs="Arial"/>
                <w:b/>
                <w:u w:val="single"/>
              </w:rPr>
              <w:t>72.38%</w:t>
            </w:r>
          </w:p>
          <w:p w14:paraId="37DCC4E1" w14:textId="640D1182" w:rsidR="001D53E9" w:rsidRDefault="001D53E9" w:rsidP="002551C6">
            <w:pPr>
              <w:jc w:val="center"/>
              <w:rPr>
                <w:rFonts w:ascii="Arial" w:eastAsia="Calibri" w:hAnsi="Arial" w:cs="Arial"/>
                <w:b/>
                <w:u w:val="single"/>
              </w:rPr>
            </w:pPr>
            <w:r>
              <w:rPr>
                <w:rFonts w:ascii="Arial" w:eastAsia="Calibri" w:hAnsi="Arial" w:cs="Arial"/>
                <w:b/>
                <w:u w:val="single"/>
              </w:rPr>
              <w:t>0.00%</w:t>
            </w:r>
          </w:p>
          <w:p w14:paraId="1401572D" w14:textId="77777777" w:rsidR="001D53E9" w:rsidRDefault="001D53E9" w:rsidP="002551C6">
            <w:pPr>
              <w:jc w:val="center"/>
              <w:rPr>
                <w:rFonts w:ascii="Arial" w:eastAsia="Calibri" w:hAnsi="Arial" w:cs="Arial"/>
                <w:b/>
                <w:u w:val="single"/>
              </w:rPr>
            </w:pPr>
          </w:p>
          <w:p w14:paraId="4B227294" w14:textId="6FF7829B" w:rsidR="001D53E9" w:rsidRDefault="001D53E9" w:rsidP="002551C6">
            <w:pPr>
              <w:jc w:val="center"/>
              <w:rPr>
                <w:rFonts w:ascii="Arial" w:eastAsia="Calibri" w:hAnsi="Arial" w:cs="Arial"/>
                <w:b/>
                <w:u w:val="single"/>
              </w:rPr>
            </w:pPr>
            <w:r>
              <w:rPr>
                <w:rFonts w:ascii="Arial" w:eastAsia="Calibri" w:hAnsi="Arial" w:cs="Arial"/>
                <w:b/>
                <w:u w:val="single"/>
              </w:rPr>
              <w:t>72.19%</w:t>
            </w:r>
          </w:p>
        </w:tc>
      </w:tr>
      <w:tr w:rsidR="003E350B" w:rsidRPr="004B1294" w14:paraId="2A5EB845" w14:textId="77777777" w:rsidTr="00042E94">
        <w:tc>
          <w:tcPr>
            <w:tcW w:w="1550" w:type="dxa"/>
          </w:tcPr>
          <w:p w14:paraId="0EC9ADDB" w14:textId="3AC25815" w:rsidR="003E350B" w:rsidRDefault="00BD79A5" w:rsidP="002551C6">
            <w:pPr>
              <w:jc w:val="center"/>
              <w:rPr>
                <w:rFonts w:ascii="Arial" w:hAnsi="Arial" w:cs="Arial"/>
                <w:b/>
              </w:rPr>
            </w:pPr>
            <w:r>
              <w:rPr>
                <w:rFonts w:ascii="Arial" w:hAnsi="Arial" w:cs="Arial"/>
                <w:b/>
              </w:rPr>
              <w:t>68</w:t>
            </w:r>
          </w:p>
        </w:tc>
        <w:tc>
          <w:tcPr>
            <w:tcW w:w="3255" w:type="dxa"/>
          </w:tcPr>
          <w:p w14:paraId="3F674265" w14:textId="72DFB6C1" w:rsidR="00BD79A5" w:rsidRPr="00BD79A5" w:rsidRDefault="00BD79A5" w:rsidP="00BD79A5">
            <w:pPr>
              <w:jc w:val="both"/>
              <w:rPr>
                <w:rFonts w:ascii="Arial" w:eastAsia="Arial" w:hAnsi="Arial" w:cs="Arial"/>
                <w:b/>
                <w:lang w:val="es-MX"/>
              </w:rPr>
            </w:pPr>
            <w:r w:rsidRPr="00BD79A5">
              <w:rPr>
                <w:rFonts w:ascii="Arial" w:hAnsi="Arial" w:cs="Arial"/>
                <w:b/>
                <w:lang w:val="es-MX"/>
              </w:rPr>
              <w:t xml:space="preserve">PROCURADURÍA GENERAL DE LA NACIÓN. </w:t>
            </w:r>
          </w:p>
          <w:p w14:paraId="29E3C3DA" w14:textId="77777777" w:rsidR="003E350B" w:rsidRDefault="003E350B" w:rsidP="00AD023F">
            <w:pPr>
              <w:jc w:val="both"/>
              <w:rPr>
                <w:rFonts w:ascii="Arial" w:hAnsi="Arial" w:cs="Arial"/>
                <w:b/>
                <w:lang w:val="es-MX"/>
              </w:rPr>
            </w:pPr>
          </w:p>
          <w:p w14:paraId="3B5A3CD2" w14:textId="77777777" w:rsidR="00BD79A5" w:rsidRDefault="00BD79A5" w:rsidP="00BD79A5">
            <w:pPr>
              <w:jc w:val="both"/>
              <w:rPr>
                <w:rFonts w:ascii="Arial" w:hAnsi="Arial" w:cs="Arial"/>
                <w:b/>
                <w:lang w:val="es-MX"/>
              </w:rPr>
            </w:pPr>
            <w:r>
              <w:rPr>
                <w:rFonts w:ascii="Arial" w:hAnsi="Arial" w:cs="Arial"/>
                <w:b/>
                <w:lang w:val="es-MX"/>
              </w:rPr>
              <w:t>FUNCIONAMIENTO</w:t>
            </w:r>
          </w:p>
          <w:p w14:paraId="0FDC1909" w14:textId="77777777" w:rsidR="00BD79A5" w:rsidRDefault="00BD79A5" w:rsidP="00BD79A5">
            <w:pPr>
              <w:jc w:val="both"/>
              <w:rPr>
                <w:rFonts w:ascii="Arial" w:hAnsi="Arial" w:cs="Arial"/>
                <w:b/>
                <w:lang w:val="es-MX"/>
              </w:rPr>
            </w:pPr>
            <w:r>
              <w:rPr>
                <w:rFonts w:ascii="Arial" w:hAnsi="Arial" w:cs="Arial"/>
                <w:b/>
                <w:lang w:val="es-MX"/>
              </w:rPr>
              <w:t>INVERSIÓN</w:t>
            </w:r>
          </w:p>
          <w:p w14:paraId="09B93275" w14:textId="77777777" w:rsidR="00BD79A5" w:rsidRDefault="00BD79A5" w:rsidP="00BD79A5">
            <w:pPr>
              <w:jc w:val="both"/>
              <w:rPr>
                <w:rFonts w:ascii="Arial" w:hAnsi="Arial" w:cs="Arial"/>
                <w:b/>
                <w:lang w:val="es-MX"/>
              </w:rPr>
            </w:pPr>
          </w:p>
          <w:p w14:paraId="6A1F7436" w14:textId="20D17139" w:rsidR="00BD79A5" w:rsidRPr="00AD023F" w:rsidRDefault="00BD79A5" w:rsidP="00BD79A5">
            <w:pPr>
              <w:jc w:val="both"/>
              <w:rPr>
                <w:rFonts w:ascii="Arial" w:hAnsi="Arial" w:cs="Arial"/>
                <w:b/>
                <w:lang w:val="es-MX"/>
              </w:rPr>
            </w:pPr>
            <w:r>
              <w:rPr>
                <w:rFonts w:ascii="Arial" w:hAnsi="Arial" w:cs="Arial"/>
                <w:b/>
                <w:lang w:val="es-MX"/>
              </w:rPr>
              <w:t>TOTAL PRESUPUESTO</w:t>
            </w:r>
          </w:p>
        </w:tc>
        <w:tc>
          <w:tcPr>
            <w:tcW w:w="1839" w:type="dxa"/>
          </w:tcPr>
          <w:p w14:paraId="63D7097D" w14:textId="77777777" w:rsidR="003E350B" w:rsidRDefault="003E350B" w:rsidP="002551C6">
            <w:pPr>
              <w:jc w:val="center"/>
              <w:rPr>
                <w:rFonts w:ascii="Arial" w:eastAsia="Calibri" w:hAnsi="Arial" w:cs="Arial"/>
                <w:b/>
                <w:u w:val="single"/>
              </w:rPr>
            </w:pPr>
          </w:p>
          <w:p w14:paraId="48CD536D" w14:textId="77777777" w:rsidR="00BD79A5" w:rsidRDefault="00BD79A5" w:rsidP="002551C6">
            <w:pPr>
              <w:jc w:val="center"/>
              <w:rPr>
                <w:rFonts w:ascii="Arial" w:eastAsia="Calibri" w:hAnsi="Arial" w:cs="Arial"/>
                <w:b/>
                <w:u w:val="single"/>
              </w:rPr>
            </w:pPr>
          </w:p>
          <w:p w14:paraId="0B7E43E2" w14:textId="77777777" w:rsidR="00BD79A5" w:rsidRDefault="00BD79A5" w:rsidP="002551C6">
            <w:pPr>
              <w:jc w:val="center"/>
              <w:rPr>
                <w:rFonts w:ascii="Arial" w:eastAsia="Calibri" w:hAnsi="Arial" w:cs="Arial"/>
                <w:b/>
                <w:u w:val="single"/>
              </w:rPr>
            </w:pPr>
          </w:p>
          <w:p w14:paraId="4807689A" w14:textId="3F610A92" w:rsidR="00BD79A5" w:rsidRDefault="003E2433" w:rsidP="002551C6">
            <w:pPr>
              <w:jc w:val="center"/>
              <w:rPr>
                <w:rFonts w:ascii="Arial" w:eastAsia="Calibri" w:hAnsi="Arial" w:cs="Arial"/>
                <w:b/>
                <w:u w:val="single"/>
              </w:rPr>
            </w:pPr>
            <w:r>
              <w:rPr>
                <w:rFonts w:ascii="Arial" w:eastAsia="Calibri" w:hAnsi="Arial" w:cs="Arial"/>
                <w:b/>
                <w:u w:val="single"/>
              </w:rPr>
              <w:t>91.43%</w:t>
            </w:r>
          </w:p>
          <w:p w14:paraId="6A08E96E" w14:textId="74F66915" w:rsidR="00BD79A5" w:rsidRDefault="003E2433" w:rsidP="002551C6">
            <w:pPr>
              <w:jc w:val="center"/>
              <w:rPr>
                <w:rFonts w:ascii="Arial" w:eastAsia="Calibri" w:hAnsi="Arial" w:cs="Arial"/>
                <w:b/>
                <w:u w:val="single"/>
              </w:rPr>
            </w:pPr>
            <w:r>
              <w:rPr>
                <w:rFonts w:ascii="Arial" w:eastAsia="Calibri" w:hAnsi="Arial" w:cs="Arial"/>
                <w:b/>
                <w:u w:val="single"/>
              </w:rPr>
              <w:t>76.62%</w:t>
            </w:r>
          </w:p>
          <w:p w14:paraId="2433593C" w14:textId="77777777" w:rsidR="00BD79A5" w:rsidRDefault="00BD79A5" w:rsidP="002551C6">
            <w:pPr>
              <w:jc w:val="center"/>
              <w:rPr>
                <w:rFonts w:ascii="Arial" w:eastAsia="Calibri" w:hAnsi="Arial" w:cs="Arial"/>
                <w:b/>
                <w:u w:val="single"/>
              </w:rPr>
            </w:pPr>
          </w:p>
          <w:p w14:paraId="53BA2AA9" w14:textId="5110094A" w:rsidR="00BD79A5" w:rsidRDefault="003E2433" w:rsidP="002551C6">
            <w:pPr>
              <w:jc w:val="center"/>
              <w:rPr>
                <w:rFonts w:ascii="Arial" w:eastAsia="Calibri" w:hAnsi="Arial" w:cs="Arial"/>
                <w:b/>
                <w:u w:val="single"/>
              </w:rPr>
            </w:pPr>
            <w:r>
              <w:rPr>
                <w:rFonts w:ascii="Arial" w:eastAsia="Calibri" w:hAnsi="Arial" w:cs="Arial"/>
                <w:b/>
                <w:u w:val="single"/>
              </w:rPr>
              <w:t>90.18%</w:t>
            </w:r>
          </w:p>
        </w:tc>
        <w:tc>
          <w:tcPr>
            <w:tcW w:w="1804" w:type="dxa"/>
          </w:tcPr>
          <w:p w14:paraId="500CC092" w14:textId="77777777" w:rsidR="003E350B" w:rsidRDefault="003E350B" w:rsidP="002551C6">
            <w:pPr>
              <w:jc w:val="center"/>
              <w:rPr>
                <w:rFonts w:ascii="Arial" w:eastAsia="Calibri" w:hAnsi="Arial" w:cs="Arial"/>
                <w:b/>
                <w:u w:val="single"/>
              </w:rPr>
            </w:pPr>
          </w:p>
          <w:p w14:paraId="1BC6E340" w14:textId="77777777" w:rsidR="00BD79A5" w:rsidRDefault="00BD79A5" w:rsidP="002551C6">
            <w:pPr>
              <w:jc w:val="center"/>
              <w:rPr>
                <w:rFonts w:ascii="Arial" w:eastAsia="Calibri" w:hAnsi="Arial" w:cs="Arial"/>
                <w:b/>
                <w:u w:val="single"/>
              </w:rPr>
            </w:pPr>
          </w:p>
          <w:p w14:paraId="61556381" w14:textId="77777777" w:rsidR="00BD79A5" w:rsidRDefault="00BD79A5" w:rsidP="002551C6">
            <w:pPr>
              <w:jc w:val="center"/>
              <w:rPr>
                <w:rFonts w:ascii="Arial" w:eastAsia="Calibri" w:hAnsi="Arial" w:cs="Arial"/>
                <w:b/>
                <w:u w:val="single"/>
              </w:rPr>
            </w:pPr>
          </w:p>
          <w:p w14:paraId="2FC10568" w14:textId="481A6BA7" w:rsidR="00BD79A5" w:rsidRDefault="003E2433" w:rsidP="002551C6">
            <w:pPr>
              <w:jc w:val="center"/>
              <w:rPr>
                <w:rFonts w:ascii="Arial" w:eastAsia="Calibri" w:hAnsi="Arial" w:cs="Arial"/>
                <w:b/>
                <w:u w:val="single"/>
              </w:rPr>
            </w:pPr>
            <w:r>
              <w:rPr>
                <w:rFonts w:ascii="Arial" w:eastAsia="Calibri" w:hAnsi="Arial" w:cs="Arial"/>
                <w:b/>
                <w:u w:val="single"/>
              </w:rPr>
              <w:t>91.26%</w:t>
            </w:r>
          </w:p>
          <w:p w14:paraId="64C38F18" w14:textId="7616AEB7" w:rsidR="00BD79A5" w:rsidRDefault="003E2433" w:rsidP="002551C6">
            <w:pPr>
              <w:jc w:val="center"/>
              <w:rPr>
                <w:rFonts w:ascii="Arial" w:eastAsia="Calibri" w:hAnsi="Arial" w:cs="Arial"/>
                <w:b/>
                <w:u w:val="single"/>
              </w:rPr>
            </w:pPr>
            <w:r>
              <w:rPr>
                <w:rFonts w:ascii="Arial" w:eastAsia="Calibri" w:hAnsi="Arial" w:cs="Arial"/>
                <w:b/>
                <w:u w:val="single"/>
              </w:rPr>
              <w:t>28.76%</w:t>
            </w:r>
          </w:p>
          <w:p w14:paraId="2FF29F8D" w14:textId="77777777" w:rsidR="00BD79A5" w:rsidRDefault="00BD79A5" w:rsidP="002551C6">
            <w:pPr>
              <w:jc w:val="center"/>
              <w:rPr>
                <w:rFonts w:ascii="Arial" w:eastAsia="Calibri" w:hAnsi="Arial" w:cs="Arial"/>
                <w:b/>
                <w:u w:val="single"/>
              </w:rPr>
            </w:pPr>
          </w:p>
          <w:p w14:paraId="28037694" w14:textId="62034193" w:rsidR="00BD79A5" w:rsidRDefault="003E2433" w:rsidP="002551C6">
            <w:pPr>
              <w:jc w:val="center"/>
              <w:rPr>
                <w:rFonts w:ascii="Arial" w:eastAsia="Calibri" w:hAnsi="Arial" w:cs="Arial"/>
                <w:b/>
                <w:u w:val="single"/>
              </w:rPr>
            </w:pPr>
            <w:r>
              <w:rPr>
                <w:rFonts w:ascii="Arial" w:eastAsia="Calibri" w:hAnsi="Arial" w:cs="Arial"/>
                <w:b/>
                <w:u w:val="single"/>
              </w:rPr>
              <w:t>85.99%</w:t>
            </w:r>
          </w:p>
        </w:tc>
        <w:tc>
          <w:tcPr>
            <w:tcW w:w="2042" w:type="dxa"/>
          </w:tcPr>
          <w:p w14:paraId="48F8BE1F" w14:textId="77777777" w:rsidR="003E350B" w:rsidRDefault="003E350B" w:rsidP="002551C6">
            <w:pPr>
              <w:jc w:val="center"/>
              <w:rPr>
                <w:rFonts w:ascii="Arial" w:eastAsia="Calibri" w:hAnsi="Arial" w:cs="Arial"/>
                <w:b/>
                <w:u w:val="single"/>
              </w:rPr>
            </w:pPr>
          </w:p>
          <w:p w14:paraId="08128019" w14:textId="77777777" w:rsidR="00BD79A5" w:rsidRDefault="00BD79A5" w:rsidP="002551C6">
            <w:pPr>
              <w:jc w:val="center"/>
              <w:rPr>
                <w:rFonts w:ascii="Arial" w:eastAsia="Calibri" w:hAnsi="Arial" w:cs="Arial"/>
                <w:b/>
                <w:u w:val="single"/>
              </w:rPr>
            </w:pPr>
          </w:p>
          <w:p w14:paraId="7B37C06C" w14:textId="77777777" w:rsidR="00BD79A5" w:rsidRDefault="00BD79A5" w:rsidP="002551C6">
            <w:pPr>
              <w:jc w:val="center"/>
              <w:rPr>
                <w:rFonts w:ascii="Arial" w:eastAsia="Calibri" w:hAnsi="Arial" w:cs="Arial"/>
                <w:b/>
                <w:u w:val="single"/>
              </w:rPr>
            </w:pPr>
          </w:p>
          <w:p w14:paraId="38F8A64F" w14:textId="72E48B9E" w:rsidR="00BD79A5" w:rsidRDefault="003E2433" w:rsidP="002551C6">
            <w:pPr>
              <w:jc w:val="center"/>
              <w:rPr>
                <w:rFonts w:ascii="Arial" w:eastAsia="Calibri" w:hAnsi="Arial" w:cs="Arial"/>
                <w:b/>
                <w:u w:val="single"/>
              </w:rPr>
            </w:pPr>
            <w:r>
              <w:rPr>
                <w:rFonts w:ascii="Arial" w:eastAsia="Calibri" w:hAnsi="Arial" w:cs="Arial"/>
                <w:b/>
                <w:u w:val="single"/>
              </w:rPr>
              <w:t>91.07%</w:t>
            </w:r>
          </w:p>
          <w:p w14:paraId="261B0D05" w14:textId="6F9B2315" w:rsidR="00BD79A5" w:rsidRDefault="003E2433" w:rsidP="002551C6">
            <w:pPr>
              <w:jc w:val="center"/>
              <w:rPr>
                <w:rFonts w:ascii="Arial" w:eastAsia="Calibri" w:hAnsi="Arial" w:cs="Arial"/>
                <w:b/>
                <w:u w:val="single"/>
              </w:rPr>
            </w:pPr>
            <w:r>
              <w:rPr>
                <w:rFonts w:ascii="Arial" w:eastAsia="Calibri" w:hAnsi="Arial" w:cs="Arial"/>
                <w:b/>
                <w:u w:val="single"/>
              </w:rPr>
              <w:t>28.76%</w:t>
            </w:r>
          </w:p>
          <w:p w14:paraId="24D63D57" w14:textId="77777777" w:rsidR="00BD79A5" w:rsidRDefault="00BD79A5" w:rsidP="002551C6">
            <w:pPr>
              <w:jc w:val="center"/>
              <w:rPr>
                <w:rFonts w:ascii="Arial" w:eastAsia="Calibri" w:hAnsi="Arial" w:cs="Arial"/>
                <w:b/>
                <w:u w:val="single"/>
              </w:rPr>
            </w:pPr>
          </w:p>
          <w:p w14:paraId="27E8D5CC" w14:textId="4B0E3223" w:rsidR="00BD79A5" w:rsidRDefault="003E2433" w:rsidP="002551C6">
            <w:pPr>
              <w:jc w:val="center"/>
              <w:rPr>
                <w:rFonts w:ascii="Arial" w:eastAsia="Calibri" w:hAnsi="Arial" w:cs="Arial"/>
                <w:b/>
                <w:u w:val="single"/>
              </w:rPr>
            </w:pPr>
            <w:r>
              <w:rPr>
                <w:rFonts w:ascii="Arial" w:eastAsia="Calibri" w:hAnsi="Arial" w:cs="Arial"/>
                <w:b/>
                <w:u w:val="single"/>
              </w:rPr>
              <w:t>85.81%</w:t>
            </w:r>
          </w:p>
        </w:tc>
      </w:tr>
      <w:tr w:rsidR="003E350B" w:rsidRPr="004B1294" w14:paraId="7B637380" w14:textId="77777777" w:rsidTr="00042E94">
        <w:tc>
          <w:tcPr>
            <w:tcW w:w="1550" w:type="dxa"/>
          </w:tcPr>
          <w:p w14:paraId="18518CEF" w14:textId="64661770" w:rsidR="003E350B" w:rsidRDefault="001A75C6" w:rsidP="002551C6">
            <w:pPr>
              <w:jc w:val="center"/>
              <w:rPr>
                <w:rFonts w:ascii="Arial" w:hAnsi="Arial" w:cs="Arial"/>
                <w:b/>
              </w:rPr>
            </w:pPr>
            <w:r>
              <w:rPr>
                <w:rFonts w:ascii="Arial" w:hAnsi="Arial" w:cs="Arial"/>
                <w:b/>
              </w:rPr>
              <w:t>69</w:t>
            </w:r>
          </w:p>
        </w:tc>
        <w:tc>
          <w:tcPr>
            <w:tcW w:w="3255" w:type="dxa"/>
          </w:tcPr>
          <w:p w14:paraId="7E56DAA0" w14:textId="04CC6D12" w:rsidR="001A75C6" w:rsidRPr="001A75C6" w:rsidRDefault="001A75C6" w:rsidP="001A75C6">
            <w:pPr>
              <w:jc w:val="both"/>
              <w:rPr>
                <w:rFonts w:ascii="Arial" w:hAnsi="Arial" w:cs="Arial"/>
                <w:b/>
                <w:lang w:val="es-MX"/>
              </w:rPr>
            </w:pPr>
            <w:r w:rsidRPr="001A75C6">
              <w:rPr>
                <w:rFonts w:ascii="Arial" w:hAnsi="Arial" w:cs="Arial"/>
                <w:b/>
                <w:lang w:val="es-MX"/>
              </w:rPr>
              <w:t>CORPORACIÓN AUTÓNOMA REGIONAL DEL ALTO MAGDALENA - CAM.</w:t>
            </w:r>
          </w:p>
          <w:p w14:paraId="45C90B39" w14:textId="77777777" w:rsidR="003E350B" w:rsidRDefault="003E350B" w:rsidP="00AD023F">
            <w:pPr>
              <w:jc w:val="both"/>
              <w:rPr>
                <w:rFonts w:ascii="Arial" w:hAnsi="Arial" w:cs="Arial"/>
                <w:b/>
                <w:lang w:val="es-MX"/>
              </w:rPr>
            </w:pPr>
          </w:p>
          <w:p w14:paraId="18505854" w14:textId="77777777" w:rsidR="001A75C6" w:rsidRDefault="001A75C6" w:rsidP="001A75C6">
            <w:pPr>
              <w:jc w:val="both"/>
              <w:rPr>
                <w:rFonts w:ascii="Arial" w:hAnsi="Arial" w:cs="Arial"/>
                <w:b/>
                <w:lang w:val="es-MX"/>
              </w:rPr>
            </w:pPr>
            <w:r>
              <w:rPr>
                <w:rFonts w:ascii="Arial" w:hAnsi="Arial" w:cs="Arial"/>
                <w:b/>
                <w:lang w:val="es-MX"/>
              </w:rPr>
              <w:t>FUNCIONAMIENTO</w:t>
            </w:r>
          </w:p>
          <w:p w14:paraId="486D0F18" w14:textId="77777777" w:rsidR="001A75C6" w:rsidRDefault="001A75C6" w:rsidP="001A75C6">
            <w:pPr>
              <w:jc w:val="both"/>
              <w:rPr>
                <w:rFonts w:ascii="Arial" w:hAnsi="Arial" w:cs="Arial"/>
                <w:b/>
                <w:lang w:val="es-MX"/>
              </w:rPr>
            </w:pPr>
          </w:p>
          <w:p w14:paraId="0B986699" w14:textId="1AE8EEDA" w:rsidR="001A75C6" w:rsidRPr="00AD023F" w:rsidRDefault="001A75C6" w:rsidP="001A75C6">
            <w:pPr>
              <w:jc w:val="both"/>
              <w:rPr>
                <w:rFonts w:ascii="Arial" w:hAnsi="Arial" w:cs="Arial"/>
                <w:b/>
                <w:lang w:val="es-MX"/>
              </w:rPr>
            </w:pPr>
            <w:r>
              <w:rPr>
                <w:rFonts w:ascii="Arial" w:hAnsi="Arial" w:cs="Arial"/>
                <w:b/>
                <w:lang w:val="es-MX"/>
              </w:rPr>
              <w:t>TOTAL PRESUPUESTO</w:t>
            </w:r>
          </w:p>
        </w:tc>
        <w:tc>
          <w:tcPr>
            <w:tcW w:w="1839" w:type="dxa"/>
          </w:tcPr>
          <w:p w14:paraId="0CD65E35" w14:textId="77777777" w:rsidR="003E350B" w:rsidRDefault="003E350B" w:rsidP="002551C6">
            <w:pPr>
              <w:jc w:val="center"/>
              <w:rPr>
                <w:rFonts w:ascii="Arial" w:eastAsia="Calibri" w:hAnsi="Arial" w:cs="Arial"/>
                <w:b/>
                <w:u w:val="single"/>
              </w:rPr>
            </w:pPr>
          </w:p>
          <w:p w14:paraId="7CD9D573" w14:textId="77777777" w:rsidR="001A75C6" w:rsidRDefault="001A75C6" w:rsidP="002551C6">
            <w:pPr>
              <w:jc w:val="center"/>
              <w:rPr>
                <w:rFonts w:ascii="Arial" w:eastAsia="Calibri" w:hAnsi="Arial" w:cs="Arial"/>
                <w:b/>
                <w:u w:val="single"/>
              </w:rPr>
            </w:pPr>
          </w:p>
          <w:p w14:paraId="61A98717" w14:textId="77777777" w:rsidR="001A75C6" w:rsidRDefault="001A75C6" w:rsidP="002551C6">
            <w:pPr>
              <w:jc w:val="center"/>
              <w:rPr>
                <w:rFonts w:ascii="Arial" w:eastAsia="Calibri" w:hAnsi="Arial" w:cs="Arial"/>
                <w:b/>
                <w:u w:val="single"/>
              </w:rPr>
            </w:pPr>
          </w:p>
          <w:p w14:paraId="3BA29148" w14:textId="77777777" w:rsidR="001A75C6" w:rsidRDefault="001A75C6" w:rsidP="002551C6">
            <w:pPr>
              <w:jc w:val="center"/>
              <w:rPr>
                <w:rFonts w:ascii="Arial" w:eastAsia="Calibri" w:hAnsi="Arial" w:cs="Arial"/>
                <w:b/>
                <w:u w:val="single"/>
              </w:rPr>
            </w:pPr>
          </w:p>
          <w:p w14:paraId="468A5729" w14:textId="09BB1E51" w:rsidR="001A75C6" w:rsidRDefault="001A75C6" w:rsidP="002551C6">
            <w:pPr>
              <w:jc w:val="center"/>
              <w:rPr>
                <w:rFonts w:ascii="Arial" w:eastAsia="Calibri" w:hAnsi="Arial" w:cs="Arial"/>
                <w:b/>
                <w:u w:val="single"/>
              </w:rPr>
            </w:pPr>
            <w:r>
              <w:rPr>
                <w:rFonts w:ascii="Arial" w:eastAsia="Calibri" w:hAnsi="Arial" w:cs="Arial"/>
                <w:b/>
                <w:u w:val="single"/>
              </w:rPr>
              <w:t>97.62%</w:t>
            </w:r>
          </w:p>
          <w:p w14:paraId="6F602AAE" w14:textId="77777777" w:rsidR="001A75C6" w:rsidRDefault="001A75C6" w:rsidP="002551C6">
            <w:pPr>
              <w:jc w:val="center"/>
              <w:rPr>
                <w:rFonts w:ascii="Arial" w:eastAsia="Calibri" w:hAnsi="Arial" w:cs="Arial"/>
                <w:b/>
                <w:u w:val="single"/>
              </w:rPr>
            </w:pPr>
          </w:p>
          <w:p w14:paraId="70A4B0C7" w14:textId="60C0306D" w:rsidR="001A75C6" w:rsidRDefault="001A75C6" w:rsidP="002551C6">
            <w:pPr>
              <w:jc w:val="center"/>
              <w:rPr>
                <w:rFonts w:ascii="Arial" w:eastAsia="Calibri" w:hAnsi="Arial" w:cs="Arial"/>
                <w:b/>
                <w:u w:val="single"/>
              </w:rPr>
            </w:pPr>
            <w:r>
              <w:rPr>
                <w:rFonts w:ascii="Arial" w:eastAsia="Calibri" w:hAnsi="Arial" w:cs="Arial"/>
                <w:b/>
                <w:u w:val="single"/>
              </w:rPr>
              <w:t>97.62%</w:t>
            </w:r>
          </w:p>
        </w:tc>
        <w:tc>
          <w:tcPr>
            <w:tcW w:w="1804" w:type="dxa"/>
          </w:tcPr>
          <w:p w14:paraId="330FE352" w14:textId="77777777" w:rsidR="003E350B" w:rsidRDefault="003E350B" w:rsidP="002551C6">
            <w:pPr>
              <w:jc w:val="center"/>
              <w:rPr>
                <w:rFonts w:ascii="Arial" w:eastAsia="Calibri" w:hAnsi="Arial" w:cs="Arial"/>
                <w:b/>
                <w:u w:val="single"/>
              </w:rPr>
            </w:pPr>
          </w:p>
          <w:p w14:paraId="3EF91CEC" w14:textId="77777777" w:rsidR="001A75C6" w:rsidRDefault="001A75C6" w:rsidP="002551C6">
            <w:pPr>
              <w:jc w:val="center"/>
              <w:rPr>
                <w:rFonts w:ascii="Arial" w:eastAsia="Calibri" w:hAnsi="Arial" w:cs="Arial"/>
                <w:b/>
                <w:u w:val="single"/>
              </w:rPr>
            </w:pPr>
          </w:p>
          <w:p w14:paraId="76488D78" w14:textId="77777777" w:rsidR="001A75C6" w:rsidRDefault="001A75C6" w:rsidP="002551C6">
            <w:pPr>
              <w:jc w:val="center"/>
              <w:rPr>
                <w:rFonts w:ascii="Arial" w:eastAsia="Calibri" w:hAnsi="Arial" w:cs="Arial"/>
                <w:b/>
                <w:u w:val="single"/>
              </w:rPr>
            </w:pPr>
          </w:p>
          <w:p w14:paraId="604F9475" w14:textId="77777777" w:rsidR="001A75C6" w:rsidRDefault="001A75C6" w:rsidP="002551C6">
            <w:pPr>
              <w:jc w:val="center"/>
              <w:rPr>
                <w:rFonts w:ascii="Arial" w:eastAsia="Calibri" w:hAnsi="Arial" w:cs="Arial"/>
                <w:b/>
                <w:u w:val="single"/>
              </w:rPr>
            </w:pPr>
          </w:p>
          <w:p w14:paraId="543EF48E" w14:textId="5970686A" w:rsidR="001A75C6" w:rsidRDefault="001A75C6" w:rsidP="002551C6">
            <w:pPr>
              <w:jc w:val="center"/>
              <w:rPr>
                <w:rFonts w:ascii="Arial" w:eastAsia="Calibri" w:hAnsi="Arial" w:cs="Arial"/>
                <w:b/>
                <w:u w:val="single"/>
              </w:rPr>
            </w:pPr>
            <w:r>
              <w:rPr>
                <w:rFonts w:ascii="Arial" w:eastAsia="Calibri" w:hAnsi="Arial" w:cs="Arial"/>
                <w:b/>
                <w:u w:val="single"/>
              </w:rPr>
              <w:t>97.62%</w:t>
            </w:r>
          </w:p>
          <w:p w14:paraId="7DBD09A0" w14:textId="77777777" w:rsidR="001A75C6" w:rsidRDefault="001A75C6" w:rsidP="002551C6">
            <w:pPr>
              <w:jc w:val="center"/>
              <w:rPr>
                <w:rFonts w:ascii="Arial" w:eastAsia="Calibri" w:hAnsi="Arial" w:cs="Arial"/>
                <w:b/>
                <w:u w:val="single"/>
              </w:rPr>
            </w:pPr>
          </w:p>
          <w:p w14:paraId="791EC125" w14:textId="4C042021" w:rsidR="001A75C6" w:rsidRDefault="001A75C6" w:rsidP="002551C6">
            <w:pPr>
              <w:jc w:val="center"/>
              <w:rPr>
                <w:rFonts w:ascii="Arial" w:eastAsia="Calibri" w:hAnsi="Arial" w:cs="Arial"/>
                <w:b/>
                <w:u w:val="single"/>
              </w:rPr>
            </w:pPr>
            <w:r>
              <w:rPr>
                <w:rFonts w:ascii="Arial" w:eastAsia="Calibri" w:hAnsi="Arial" w:cs="Arial"/>
                <w:b/>
                <w:u w:val="single"/>
              </w:rPr>
              <w:t>97.62%</w:t>
            </w:r>
          </w:p>
        </w:tc>
        <w:tc>
          <w:tcPr>
            <w:tcW w:w="2042" w:type="dxa"/>
          </w:tcPr>
          <w:p w14:paraId="16362FC4" w14:textId="77777777" w:rsidR="003E350B" w:rsidRDefault="003E350B" w:rsidP="002551C6">
            <w:pPr>
              <w:jc w:val="center"/>
              <w:rPr>
                <w:rFonts w:ascii="Arial" w:eastAsia="Calibri" w:hAnsi="Arial" w:cs="Arial"/>
                <w:b/>
                <w:u w:val="single"/>
              </w:rPr>
            </w:pPr>
          </w:p>
          <w:p w14:paraId="58269535" w14:textId="77777777" w:rsidR="001A75C6" w:rsidRDefault="001A75C6" w:rsidP="002551C6">
            <w:pPr>
              <w:jc w:val="center"/>
              <w:rPr>
                <w:rFonts w:ascii="Arial" w:eastAsia="Calibri" w:hAnsi="Arial" w:cs="Arial"/>
                <w:b/>
                <w:u w:val="single"/>
              </w:rPr>
            </w:pPr>
          </w:p>
          <w:p w14:paraId="38A54592" w14:textId="77777777" w:rsidR="001A75C6" w:rsidRDefault="001A75C6" w:rsidP="002551C6">
            <w:pPr>
              <w:jc w:val="center"/>
              <w:rPr>
                <w:rFonts w:ascii="Arial" w:eastAsia="Calibri" w:hAnsi="Arial" w:cs="Arial"/>
                <w:b/>
                <w:u w:val="single"/>
              </w:rPr>
            </w:pPr>
          </w:p>
          <w:p w14:paraId="1C0B2E4F" w14:textId="77777777" w:rsidR="001A75C6" w:rsidRDefault="001A75C6" w:rsidP="002551C6">
            <w:pPr>
              <w:jc w:val="center"/>
              <w:rPr>
                <w:rFonts w:ascii="Arial" w:eastAsia="Calibri" w:hAnsi="Arial" w:cs="Arial"/>
                <w:b/>
                <w:u w:val="single"/>
              </w:rPr>
            </w:pPr>
          </w:p>
          <w:p w14:paraId="4A4D0BD8" w14:textId="4821E3AF" w:rsidR="001A75C6" w:rsidRDefault="001A75C6" w:rsidP="002551C6">
            <w:pPr>
              <w:jc w:val="center"/>
              <w:rPr>
                <w:rFonts w:ascii="Arial" w:eastAsia="Calibri" w:hAnsi="Arial" w:cs="Arial"/>
                <w:b/>
                <w:u w:val="single"/>
              </w:rPr>
            </w:pPr>
            <w:r>
              <w:rPr>
                <w:rFonts w:ascii="Arial" w:eastAsia="Calibri" w:hAnsi="Arial" w:cs="Arial"/>
                <w:b/>
                <w:u w:val="single"/>
              </w:rPr>
              <w:t>97.62%</w:t>
            </w:r>
          </w:p>
          <w:p w14:paraId="6E57C0C7" w14:textId="77777777" w:rsidR="001A75C6" w:rsidRDefault="001A75C6" w:rsidP="002551C6">
            <w:pPr>
              <w:jc w:val="center"/>
              <w:rPr>
                <w:rFonts w:ascii="Arial" w:eastAsia="Calibri" w:hAnsi="Arial" w:cs="Arial"/>
                <w:b/>
                <w:u w:val="single"/>
              </w:rPr>
            </w:pPr>
          </w:p>
          <w:p w14:paraId="2BE49637" w14:textId="19A3279C" w:rsidR="001A75C6" w:rsidRDefault="001A75C6" w:rsidP="002551C6">
            <w:pPr>
              <w:jc w:val="center"/>
              <w:rPr>
                <w:rFonts w:ascii="Arial" w:eastAsia="Calibri" w:hAnsi="Arial" w:cs="Arial"/>
                <w:b/>
                <w:u w:val="single"/>
              </w:rPr>
            </w:pPr>
            <w:r>
              <w:rPr>
                <w:rFonts w:ascii="Arial" w:eastAsia="Calibri" w:hAnsi="Arial" w:cs="Arial"/>
                <w:b/>
                <w:u w:val="single"/>
              </w:rPr>
              <w:t>97.62%</w:t>
            </w:r>
          </w:p>
        </w:tc>
      </w:tr>
      <w:tr w:rsidR="003E350B" w:rsidRPr="004B1294" w14:paraId="59B8C636" w14:textId="77777777" w:rsidTr="00042E94">
        <w:tc>
          <w:tcPr>
            <w:tcW w:w="1550" w:type="dxa"/>
          </w:tcPr>
          <w:p w14:paraId="16AC9DFB" w14:textId="310FC010" w:rsidR="003E350B" w:rsidRDefault="001D2467" w:rsidP="002551C6">
            <w:pPr>
              <w:jc w:val="center"/>
              <w:rPr>
                <w:rFonts w:ascii="Arial" w:hAnsi="Arial" w:cs="Arial"/>
                <w:b/>
              </w:rPr>
            </w:pPr>
            <w:r>
              <w:rPr>
                <w:rFonts w:ascii="Arial" w:hAnsi="Arial" w:cs="Arial"/>
                <w:b/>
              </w:rPr>
              <w:t>70</w:t>
            </w:r>
          </w:p>
        </w:tc>
        <w:tc>
          <w:tcPr>
            <w:tcW w:w="3255" w:type="dxa"/>
          </w:tcPr>
          <w:p w14:paraId="639BB14A" w14:textId="631FA54F" w:rsidR="001D2467" w:rsidRPr="001D2467" w:rsidRDefault="001D2467" w:rsidP="001D2467">
            <w:pPr>
              <w:jc w:val="both"/>
              <w:rPr>
                <w:rFonts w:ascii="Arial" w:hAnsi="Arial" w:cs="Arial"/>
                <w:b/>
                <w:lang w:val="es-MX"/>
              </w:rPr>
            </w:pPr>
            <w:r w:rsidRPr="001D2467">
              <w:rPr>
                <w:rFonts w:ascii="Arial" w:hAnsi="Arial" w:cs="Arial"/>
                <w:b/>
                <w:lang w:val="es-MX"/>
              </w:rPr>
              <w:t>INSTITUTO NACIONAL PARA CIEGOS - INCI.</w:t>
            </w:r>
          </w:p>
          <w:p w14:paraId="0965EA8B" w14:textId="77777777" w:rsidR="003E350B" w:rsidRDefault="003E350B" w:rsidP="00AD023F">
            <w:pPr>
              <w:jc w:val="both"/>
              <w:rPr>
                <w:rFonts w:ascii="Arial" w:hAnsi="Arial" w:cs="Arial"/>
                <w:b/>
                <w:lang w:val="es-MX"/>
              </w:rPr>
            </w:pPr>
          </w:p>
          <w:p w14:paraId="559FB674" w14:textId="77777777" w:rsidR="001D2467" w:rsidRDefault="001D2467" w:rsidP="001D2467">
            <w:pPr>
              <w:jc w:val="both"/>
              <w:rPr>
                <w:rFonts w:ascii="Arial" w:hAnsi="Arial" w:cs="Arial"/>
                <w:b/>
                <w:lang w:val="es-MX"/>
              </w:rPr>
            </w:pPr>
            <w:r>
              <w:rPr>
                <w:rFonts w:ascii="Arial" w:hAnsi="Arial" w:cs="Arial"/>
                <w:b/>
                <w:lang w:val="es-MX"/>
              </w:rPr>
              <w:t>FUNCIONAMIENTO</w:t>
            </w:r>
          </w:p>
          <w:p w14:paraId="6B277494" w14:textId="77777777" w:rsidR="001D2467" w:rsidRDefault="001D2467" w:rsidP="001D2467">
            <w:pPr>
              <w:jc w:val="both"/>
              <w:rPr>
                <w:rFonts w:ascii="Arial" w:hAnsi="Arial" w:cs="Arial"/>
                <w:b/>
                <w:lang w:val="es-MX"/>
              </w:rPr>
            </w:pPr>
            <w:r>
              <w:rPr>
                <w:rFonts w:ascii="Arial" w:hAnsi="Arial" w:cs="Arial"/>
                <w:b/>
                <w:lang w:val="es-MX"/>
              </w:rPr>
              <w:lastRenderedPageBreak/>
              <w:t>INVERSIÓN</w:t>
            </w:r>
          </w:p>
          <w:p w14:paraId="63B035F1" w14:textId="77777777" w:rsidR="001D2467" w:rsidRDefault="001D2467" w:rsidP="001D2467">
            <w:pPr>
              <w:jc w:val="both"/>
              <w:rPr>
                <w:rFonts w:ascii="Arial" w:hAnsi="Arial" w:cs="Arial"/>
                <w:b/>
                <w:lang w:val="es-MX"/>
              </w:rPr>
            </w:pPr>
          </w:p>
          <w:p w14:paraId="7735627F" w14:textId="7A125935" w:rsidR="001D2467" w:rsidRPr="00AD023F" w:rsidRDefault="001D2467" w:rsidP="001D2467">
            <w:pPr>
              <w:jc w:val="both"/>
              <w:rPr>
                <w:rFonts w:ascii="Arial" w:hAnsi="Arial" w:cs="Arial"/>
                <w:b/>
                <w:lang w:val="es-MX"/>
              </w:rPr>
            </w:pPr>
            <w:r>
              <w:rPr>
                <w:rFonts w:ascii="Arial" w:hAnsi="Arial" w:cs="Arial"/>
                <w:b/>
                <w:lang w:val="es-MX"/>
              </w:rPr>
              <w:t>TOTAL PRESUPUESTO</w:t>
            </w:r>
          </w:p>
        </w:tc>
        <w:tc>
          <w:tcPr>
            <w:tcW w:w="1839" w:type="dxa"/>
          </w:tcPr>
          <w:p w14:paraId="6C42D70F" w14:textId="77777777" w:rsidR="003E350B" w:rsidRDefault="003E350B" w:rsidP="002551C6">
            <w:pPr>
              <w:jc w:val="center"/>
              <w:rPr>
                <w:rFonts w:ascii="Arial" w:eastAsia="Calibri" w:hAnsi="Arial" w:cs="Arial"/>
                <w:b/>
                <w:u w:val="single"/>
              </w:rPr>
            </w:pPr>
          </w:p>
          <w:p w14:paraId="6EA4E6ED" w14:textId="77777777" w:rsidR="001D2467" w:rsidRDefault="001D2467" w:rsidP="002551C6">
            <w:pPr>
              <w:jc w:val="center"/>
              <w:rPr>
                <w:rFonts w:ascii="Arial" w:eastAsia="Calibri" w:hAnsi="Arial" w:cs="Arial"/>
                <w:b/>
                <w:u w:val="single"/>
              </w:rPr>
            </w:pPr>
          </w:p>
          <w:p w14:paraId="17DB3477" w14:textId="77777777" w:rsidR="001D2467" w:rsidRDefault="001D2467" w:rsidP="002551C6">
            <w:pPr>
              <w:jc w:val="center"/>
              <w:rPr>
                <w:rFonts w:ascii="Arial" w:eastAsia="Calibri" w:hAnsi="Arial" w:cs="Arial"/>
                <w:b/>
                <w:u w:val="single"/>
              </w:rPr>
            </w:pPr>
          </w:p>
          <w:p w14:paraId="219BBB27" w14:textId="663A1D20" w:rsidR="001D2467" w:rsidRDefault="001D2467" w:rsidP="002551C6">
            <w:pPr>
              <w:jc w:val="center"/>
              <w:rPr>
                <w:rFonts w:ascii="Arial" w:eastAsia="Calibri" w:hAnsi="Arial" w:cs="Arial"/>
                <w:b/>
                <w:u w:val="single"/>
              </w:rPr>
            </w:pPr>
            <w:r>
              <w:rPr>
                <w:rFonts w:ascii="Arial" w:eastAsia="Calibri" w:hAnsi="Arial" w:cs="Arial"/>
                <w:b/>
                <w:u w:val="single"/>
              </w:rPr>
              <w:t>93.00%</w:t>
            </w:r>
          </w:p>
          <w:p w14:paraId="449B59AD" w14:textId="77777777" w:rsidR="001D2467" w:rsidRDefault="001D2467" w:rsidP="002551C6">
            <w:pPr>
              <w:jc w:val="center"/>
              <w:rPr>
                <w:rFonts w:ascii="Arial" w:eastAsia="Calibri" w:hAnsi="Arial" w:cs="Arial"/>
                <w:b/>
                <w:u w:val="single"/>
              </w:rPr>
            </w:pPr>
          </w:p>
          <w:p w14:paraId="230C98E2" w14:textId="56B4AFC4" w:rsidR="001D2467" w:rsidRDefault="001D2467" w:rsidP="002551C6">
            <w:pPr>
              <w:jc w:val="center"/>
              <w:rPr>
                <w:rFonts w:ascii="Arial" w:eastAsia="Calibri" w:hAnsi="Arial" w:cs="Arial"/>
                <w:b/>
                <w:u w:val="single"/>
              </w:rPr>
            </w:pPr>
            <w:r>
              <w:rPr>
                <w:rFonts w:ascii="Arial" w:eastAsia="Calibri" w:hAnsi="Arial" w:cs="Arial"/>
                <w:b/>
                <w:u w:val="single"/>
              </w:rPr>
              <w:t>80.00%</w:t>
            </w:r>
          </w:p>
          <w:p w14:paraId="5610AACE" w14:textId="18FAE7EA" w:rsidR="001D2467" w:rsidRDefault="001D2467" w:rsidP="002551C6">
            <w:pPr>
              <w:jc w:val="center"/>
              <w:rPr>
                <w:rFonts w:ascii="Arial" w:eastAsia="Calibri" w:hAnsi="Arial" w:cs="Arial"/>
                <w:b/>
                <w:u w:val="single"/>
              </w:rPr>
            </w:pPr>
            <w:r>
              <w:rPr>
                <w:rFonts w:ascii="Arial" w:eastAsia="Calibri" w:hAnsi="Arial" w:cs="Arial"/>
                <w:b/>
                <w:u w:val="single"/>
              </w:rPr>
              <w:t>89.00%</w:t>
            </w:r>
          </w:p>
        </w:tc>
        <w:tc>
          <w:tcPr>
            <w:tcW w:w="1804" w:type="dxa"/>
          </w:tcPr>
          <w:p w14:paraId="1EF40FDD" w14:textId="77777777" w:rsidR="003E350B" w:rsidRDefault="003E350B" w:rsidP="002551C6">
            <w:pPr>
              <w:jc w:val="center"/>
              <w:rPr>
                <w:rFonts w:ascii="Arial" w:eastAsia="Calibri" w:hAnsi="Arial" w:cs="Arial"/>
                <w:b/>
                <w:u w:val="single"/>
              </w:rPr>
            </w:pPr>
          </w:p>
          <w:p w14:paraId="3858A8E0" w14:textId="77777777" w:rsidR="001D2467" w:rsidRDefault="001D2467" w:rsidP="002551C6">
            <w:pPr>
              <w:jc w:val="center"/>
              <w:rPr>
                <w:rFonts w:ascii="Arial" w:eastAsia="Calibri" w:hAnsi="Arial" w:cs="Arial"/>
                <w:b/>
                <w:u w:val="single"/>
              </w:rPr>
            </w:pPr>
          </w:p>
          <w:p w14:paraId="0D8444AB" w14:textId="77777777" w:rsidR="001D2467" w:rsidRDefault="001D2467" w:rsidP="002551C6">
            <w:pPr>
              <w:jc w:val="center"/>
              <w:rPr>
                <w:rFonts w:ascii="Arial" w:eastAsia="Calibri" w:hAnsi="Arial" w:cs="Arial"/>
                <w:b/>
                <w:u w:val="single"/>
              </w:rPr>
            </w:pPr>
          </w:p>
          <w:p w14:paraId="6EA3CCD5" w14:textId="572CCC75" w:rsidR="001D2467" w:rsidRDefault="001D2467" w:rsidP="002551C6">
            <w:pPr>
              <w:jc w:val="center"/>
              <w:rPr>
                <w:rFonts w:ascii="Arial" w:eastAsia="Calibri" w:hAnsi="Arial" w:cs="Arial"/>
                <w:b/>
                <w:u w:val="single"/>
              </w:rPr>
            </w:pPr>
            <w:r>
              <w:rPr>
                <w:rFonts w:ascii="Arial" w:eastAsia="Calibri" w:hAnsi="Arial" w:cs="Arial"/>
                <w:b/>
                <w:u w:val="single"/>
              </w:rPr>
              <w:t>93.00%</w:t>
            </w:r>
          </w:p>
          <w:p w14:paraId="2388C068" w14:textId="77777777" w:rsidR="001D2467" w:rsidRDefault="001D2467" w:rsidP="002551C6">
            <w:pPr>
              <w:jc w:val="center"/>
              <w:rPr>
                <w:rFonts w:ascii="Arial" w:eastAsia="Calibri" w:hAnsi="Arial" w:cs="Arial"/>
                <w:b/>
                <w:u w:val="single"/>
              </w:rPr>
            </w:pPr>
          </w:p>
          <w:p w14:paraId="6FADDC4D" w14:textId="69CA9668" w:rsidR="001D2467" w:rsidRDefault="001D2467" w:rsidP="002551C6">
            <w:pPr>
              <w:jc w:val="center"/>
              <w:rPr>
                <w:rFonts w:ascii="Arial" w:eastAsia="Calibri" w:hAnsi="Arial" w:cs="Arial"/>
                <w:b/>
                <w:u w:val="single"/>
              </w:rPr>
            </w:pPr>
            <w:r>
              <w:rPr>
                <w:rFonts w:ascii="Arial" w:eastAsia="Calibri" w:hAnsi="Arial" w:cs="Arial"/>
                <w:b/>
                <w:u w:val="single"/>
              </w:rPr>
              <w:t>78.00%</w:t>
            </w:r>
          </w:p>
          <w:p w14:paraId="587586AA" w14:textId="605C3332" w:rsidR="001D2467" w:rsidRDefault="001D2467" w:rsidP="002551C6">
            <w:pPr>
              <w:jc w:val="center"/>
              <w:rPr>
                <w:rFonts w:ascii="Arial" w:eastAsia="Calibri" w:hAnsi="Arial" w:cs="Arial"/>
                <w:b/>
                <w:u w:val="single"/>
              </w:rPr>
            </w:pPr>
            <w:r>
              <w:rPr>
                <w:rFonts w:ascii="Arial" w:eastAsia="Calibri" w:hAnsi="Arial" w:cs="Arial"/>
                <w:b/>
                <w:u w:val="single"/>
              </w:rPr>
              <w:t>89.00%</w:t>
            </w:r>
          </w:p>
        </w:tc>
        <w:tc>
          <w:tcPr>
            <w:tcW w:w="2042" w:type="dxa"/>
          </w:tcPr>
          <w:p w14:paraId="7505E2CE" w14:textId="77777777" w:rsidR="003E350B" w:rsidRDefault="003E350B" w:rsidP="002551C6">
            <w:pPr>
              <w:jc w:val="center"/>
              <w:rPr>
                <w:rFonts w:ascii="Arial" w:eastAsia="Calibri" w:hAnsi="Arial" w:cs="Arial"/>
                <w:b/>
                <w:u w:val="single"/>
              </w:rPr>
            </w:pPr>
          </w:p>
          <w:p w14:paraId="61CBAC0F" w14:textId="77777777" w:rsidR="001D2467" w:rsidRDefault="001D2467" w:rsidP="002551C6">
            <w:pPr>
              <w:jc w:val="center"/>
              <w:rPr>
                <w:rFonts w:ascii="Arial" w:eastAsia="Calibri" w:hAnsi="Arial" w:cs="Arial"/>
                <w:b/>
                <w:u w:val="single"/>
              </w:rPr>
            </w:pPr>
          </w:p>
          <w:p w14:paraId="26DD1650" w14:textId="77777777" w:rsidR="001D2467" w:rsidRDefault="001D2467" w:rsidP="002551C6">
            <w:pPr>
              <w:jc w:val="center"/>
              <w:rPr>
                <w:rFonts w:ascii="Arial" w:eastAsia="Calibri" w:hAnsi="Arial" w:cs="Arial"/>
                <w:b/>
                <w:u w:val="single"/>
              </w:rPr>
            </w:pPr>
          </w:p>
          <w:p w14:paraId="02BDD681" w14:textId="6888DE9F" w:rsidR="001D2467" w:rsidRDefault="001D2467" w:rsidP="002551C6">
            <w:pPr>
              <w:jc w:val="center"/>
              <w:rPr>
                <w:rFonts w:ascii="Arial" w:eastAsia="Calibri" w:hAnsi="Arial" w:cs="Arial"/>
                <w:b/>
                <w:u w:val="single"/>
              </w:rPr>
            </w:pPr>
            <w:r>
              <w:rPr>
                <w:rFonts w:ascii="Arial" w:eastAsia="Calibri" w:hAnsi="Arial" w:cs="Arial"/>
                <w:b/>
                <w:u w:val="single"/>
              </w:rPr>
              <w:t>93.00%</w:t>
            </w:r>
          </w:p>
          <w:p w14:paraId="7AFF1948" w14:textId="77777777" w:rsidR="001D2467" w:rsidRDefault="001D2467" w:rsidP="002551C6">
            <w:pPr>
              <w:jc w:val="center"/>
              <w:rPr>
                <w:rFonts w:ascii="Arial" w:eastAsia="Calibri" w:hAnsi="Arial" w:cs="Arial"/>
                <w:b/>
                <w:u w:val="single"/>
              </w:rPr>
            </w:pPr>
          </w:p>
          <w:p w14:paraId="78565FC6" w14:textId="02EAC39F" w:rsidR="001D2467" w:rsidRDefault="001D2467" w:rsidP="002551C6">
            <w:pPr>
              <w:jc w:val="center"/>
              <w:rPr>
                <w:rFonts w:ascii="Arial" w:eastAsia="Calibri" w:hAnsi="Arial" w:cs="Arial"/>
                <w:b/>
                <w:u w:val="single"/>
              </w:rPr>
            </w:pPr>
            <w:r>
              <w:rPr>
                <w:rFonts w:ascii="Arial" w:eastAsia="Calibri" w:hAnsi="Arial" w:cs="Arial"/>
                <w:b/>
                <w:u w:val="single"/>
              </w:rPr>
              <w:t>78.00%</w:t>
            </w:r>
          </w:p>
          <w:p w14:paraId="2FBBFBD4" w14:textId="193ACF0E" w:rsidR="001D2467" w:rsidRDefault="001D2467" w:rsidP="002551C6">
            <w:pPr>
              <w:jc w:val="center"/>
              <w:rPr>
                <w:rFonts w:ascii="Arial" w:eastAsia="Calibri" w:hAnsi="Arial" w:cs="Arial"/>
                <w:b/>
                <w:u w:val="single"/>
              </w:rPr>
            </w:pPr>
            <w:r>
              <w:rPr>
                <w:rFonts w:ascii="Arial" w:eastAsia="Calibri" w:hAnsi="Arial" w:cs="Arial"/>
                <w:b/>
                <w:u w:val="single"/>
              </w:rPr>
              <w:t>89.00%</w:t>
            </w:r>
          </w:p>
        </w:tc>
      </w:tr>
      <w:tr w:rsidR="003E350B" w:rsidRPr="004B1294" w14:paraId="7DDA163A" w14:textId="77777777" w:rsidTr="00042E94">
        <w:tc>
          <w:tcPr>
            <w:tcW w:w="1550" w:type="dxa"/>
          </w:tcPr>
          <w:p w14:paraId="3A53F4EB" w14:textId="3FFDBF15" w:rsidR="003E350B" w:rsidRDefault="001D0A00" w:rsidP="002551C6">
            <w:pPr>
              <w:jc w:val="center"/>
              <w:rPr>
                <w:rFonts w:ascii="Arial" w:hAnsi="Arial" w:cs="Arial"/>
                <w:b/>
              </w:rPr>
            </w:pPr>
            <w:r>
              <w:rPr>
                <w:rFonts w:ascii="Arial" w:hAnsi="Arial" w:cs="Arial"/>
                <w:b/>
              </w:rPr>
              <w:lastRenderedPageBreak/>
              <w:t>72</w:t>
            </w:r>
          </w:p>
        </w:tc>
        <w:tc>
          <w:tcPr>
            <w:tcW w:w="3255" w:type="dxa"/>
          </w:tcPr>
          <w:p w14:paraId="0058BA8C" w14:textId="79AB3D01" w:rsidR="001D0A00" w:rsidRPr="001D0A00" w:rsidRDefault="001D0A00" w:rsidP="001D0A00">
            <w:pPr>
              <w:jc w:val="both"/>
              <w:rPr>
                <w:rFonts w:ascii="Arial" w:hAnsi="Arial" w:cs="Arial"/>
                <w:b/>
                <w:lang w:val="es-MX"/>
              </w:rPr>
            </w:pPr>
            <w:r w:rsidRPr="001D0A00">
              <w:rPr>
                <w:rFonts w:ascii="Arial" w:hAnsi="Arial" w:cs="Arial"/>
                <w:b/>
                <w:lang w:val="es-MX"/>
              </w:rPr>
              <w:t>SERVICIO GEOLÓGICO COLOMBIANO.</w:t>
            </w:r>
          </w:p>
          <w:p w14:paraId="18BEE55E" w14:textId="77777777" w:rsidR="003E350B" w:rsidRDefault="003E350B" w:rsidP="00AD023F">
            <w:pPr>
              <w:jc w:val="both"/>
              <w:rPr>
                <w:rFonts w:ascii="Arial" w:hAnsi="Arial" w:cs="Arial"/>
                <w:b/>
                <w:lang w:val="es-MX"/>
              </w:rPr>
            </w:pPr>
          </w:p>
          <w:p w14:paraId="381CB47E" w14:textId="77777777" w:rsidR="001D0A00" w:rsidRDefault="001D0A00" w:rsidP="001D0A00">
            <w:pPr>
              <w:jc w:val="both"/>
              <w:rPr>
                <w:rFonts w:ascii="Arial" w:hAnsi="Arial" w:cs="Arial"/>
                <w:b/>
                <w:lang w:val="es-MX"/>
              </w:rPr>
            </w:pPr>
            <w:r>
              <w:rPr>
                <w:rFonts w:ascii="Arial" w:hAnsi="Arial" w:cs="Arial"/>
                <w:b/>
                <w:lang w:val="es-MX"/>
              </w:rPr>
              <w:t>FUNCIONAMIENTO</w:t>
            </w:r>
          </w:p>
          <w:p w14:paraId="4045278E" w14:textId="77777777" w:rsidR="001D0A00" w:rsidRDefault="001D0A00" w:rsidP="001D0A00">
            <w:pPr>
              <w:jc w:val="both"/>
              <w:rPr>
                <w:rFonts w:ascii="Arial" w:hAnsi="Arial" w:cs="Arial"/>
                <w:b/>
                <w:lang w:val="es-MX"/>
              </w:rPr>
            </w:pPr>
            <w:r>
              <w:rPr>
                <w:rFonts w:ascii="Arial" w:hAnsi="Arial" w:cs="Arial"/>
                <w:b/>
                <w:lang w:val="es-MX"/>
              </w:rPr>
              <w:t>INVERSIÓN</w:t>
            </w:r>
          </w:p>
          <w:p w14:paraId="380B4E00" w14:textId="77777777" w:rsidR="001D0A00" w:rsidRDefault="001D0A00" w:rsidP="001D0A00">
            <w:pPr>
              <w:jc w:val="both"/>
              <w:rPr>
                <w:rFonts w:ascii="Arial" w:hAnsi="Arial" w:cs="Arial"/>
                <w:b/>
                <w:lang w:val="es-MX"/>
              </w:rPr>
            </w:pPr>
          </w:p>
          <w:p w14:paraId="41E7AE04" w14:textId="24BC208E" w:rsidR="001D0A00" w:rsidRPr="00AD023F" w:rsidRDefault="001D0A00" w:rsidP="001D0A00">
            <w:pPr>
              <w:jc w:val="both"/>
              <w:rPr>
                <w:rFonts w:ascii="Arial" w:hAnsi="Arial" w:cs="Arial"/>
                <w:b/>
                <w:lang w:val="es-MX"/>
              </w:rPr>
            </w:pPr>
            <w:r>
              <w:rPr>
                <w:rFonts w:ascii="Arial" w:hAnsi="Arial" w:cs="Arial"/>
                <w:b/>
                <w:lang w:val="es-MX"/>
              </w:rPr>
              <w:t>TOTAL PRESUPUESTO</w:t>
            </w:r>
          </w:p>
        </w:tc>
        <w:tc>
          <w:tcPr>
            <w:tcW w:w="1839" w:type="dxa"/>
          </w:tcPr>
          <w:p w14:paraId="5B5CB9C0" w14:textId="77777777" w:rsidR="003E350B" w:rsidRDefault="003E350B" w:rsidP="002551C6">
            <w:pPr>
              <w:jc w:val="center"/>
              <w:rPr>
                <w:rFonts w:ascii="Arial" w:eastAsia="Calibri" w:hAnsi="Arial" w:cs="Arial"/>
                <w:b/>
                <w:u w:val="single"/>
              </w:rPr>
            </w:pPr>
          </w:p>
          <w:p w14:paraId="38B7146C" w14:textId="77777777" w:rsidR="001D0A00" w:rsidRDefault="001D0A00" w:rsidP="002551C6">
            <w:pPr>
              <w:jc w:val="center"/>
              <w:rPr>
                <w:rFonts w:ascii="Arial" w:eastAsia="Calibri" w:hAnsi="Arial" w:cs="Arial"/>
                <w:b/>
                <w:u w:val="single"/>
              </w:rPr>
            </w:pPr>
          </w:p>
          <w:p w14:paraId="0935C40C" w14:textId="77777777" w:rsidR="001D0A00" w:rsidRDefault="001D0A00" w:rsidP="002551C6">
            <w:pPr>
              <w:jc w:val="center"/>
              <w:rPr>
                <w:rFonts w:ascii="Arial" w:eastAsia="Calibri" w:hAnsi="Arial" w:cs="Arial"/>
                <w:b/>
                <w:u w:val="single"/>
              </w:rPr>
            </w:pPr>
          </w:p>
          <w:p w14:paraId="2AE7406E" w14:textId="3DB67E3D" w:rsidR="001D0A00" w:rsidRDefault="001D0A00" w:rsidP="002551C6">
            <w:pPr>
              <w:jc w:val="center"/>
              <w:rPr>
                <w:rFonts w:ascii="Arial" w:eastAsia="Calibri" w:hAnsi="Arial" w:cs="Arial"/>
                <w:b/>
                <w:u w:val="single"/>
              </w:rPr>
            </w:pPr>
            <w:r>
              <w:rPr>
                <w:rFonts w:ascii="Arial" w:eastAsia="Calibri" w:hAnsi="Arial" w:cs="Arial"/>
                <w:b/>
                <w:u w:val="single"/>
              </w:rPr>
              <w:t>94.55%</w:t>
            </w:r>
          </w:p>
          <w:p w14:paraId="786EB814" w14:textId="2042E55C" w:rsidR="001D0A00" w:rsidRDefault="001D0A00" w:rsidP="002551C6">
            <w:pPr>
              <w:jc w:val="center"/>
              <w:rPr>
                <w:rFonts w:ascii="Arial" w:eastAsia="Calibri" w:hAnsi="Arial" w:cs="Arial"/>
                <w:b/>
                <w:u w:val="single"/>
              </w:rPr>
            </w:pPr>
            <w:r>
              <w:rPr>
                <w:rFonts w:ascii="Arial" w:eastAsia="Calibri" w:hAnsi="Arial" w:cs="Arial"/>
                <w:b/>
                <w:u w:val="single"/>
              </w:rPr>
              <w:t>87.16%</w:t>
            </w:r>
          </w:p>
          <w:p w14:paraId="321508A2" w14:textId="77777777" w:rsidR="001D0A00" w:rsidRDefault="001D0A00" w:rsidP="002551C6">
            <w:pPr>
              <w:jc w:val="center"/>
              <w:rPr>
                <w:rFonts w:ascii="Arial" w:eastAsia="Calibri" w:hAnsi="Arial" w:cs="Arial"/>
                <w:b/>
                <w:u w:val="single"/>
              </w:rPr>
            </w:pPr>
          </w:p>
          <w:p w14:paraId="700BB6B4" w14:textId="226D233C" w:rsidR="001D0A00" w:rsidRDefault="001D0A00" w:rsidP="002551C6">
            <w:pPr>
              <w:jc w:val="center"/>
              <w:rPr>
                <w:rFonts w:ascii="Arial" w:eastAsia="Calibri" w:hAnsi="Arial" w:cs="Arial"/>
                <w:b/>
                <w:u w:val="single"/>
              </w:rPr>
            </w:pPr>
            <w:r>
              <w:rPr>
                <w:rFonts w:ascii="Arial" w:eastAsia="Calibri" w:hAnsi="Arial" w:cs="Arial"/>
                <w:b/>
                <w:u w:val="single"/>
              </w:rPr>
              <w:t>91.33%</w:t>
            </w:r>
          </w:p>
        </w:tc>
        <w:tc>
          <w:tcPr>
            <w:tcW w:w="1804" w:type="dxa"/>
          </w:tcPr>
          <w:p w14:paraId="7C122407" w14:textId="77777777" w:rsidR="003E350B" w:rsidRDefault="003E350B" w:rsidP="002551C6">
            <w:pPr>
              <w:jc w:val="center"/>
              <w:rPr>
                <w:rFonts w:ascii="Arial" w:eastAsia="Calibri" w:hAnsi="Arial" w:cs="Arial"/>
                <w:b/>
                <w:u w:val="single"/>
              </w:rPr>
            </w:pPr>
          </w:p>
          <w:p w14:paraId="5DA60061" w14:textId="77777777" w:rsidR="001D0A00" w:rsidRDefault="001D0A00" w:rsidP="002551C6">
            <w:pPr>
              <w:jc w:val="center"/>
              <w:rPr>
                <w:rFonts w:ascii="Arial" w:eastAsia="Calibri" w:hAnsi="Arial" w:cs="Arial"/>
                <w:b/>
                <w:u w:val="single"/>
              </w:rPr>
            </w:pPr>
          </w:p>
          <w:p w14:paraId="36DA160A" w14:textId="77777777" w:rsidR="001D0A00" w:rsidRDefault="001D0A00" w:rsidP="002551C6">
            <w:pPr>
              <w:jc w:val="center"/>
              <w:rPr>
                <w:rFonts w:ascii="Arial" w:eastAsia="Calibri" w:hAnsi="Arial" w:cs="Arial"/>
                <w:b/>
                <w:u w:val="single"/>
              </w:rPr>
            </w:pPr>
          </w:p>
          <w:p w14:paraId="734438DA" w14:textId="636B6974" w:rsidR="001D0A00" w:rsidRDefault="001D0A00" w:rsidP="002551C6">
            <w:pPr>
              <w:jc w:val="center"/>
              <w:rPr>
                <w:rFonts w:ascii="Arial" w:eastAsia="Calibri" w:hAnsi="Arial" w:cs="Arial"/>
                <w:b/>
                <w:u w:val="single"/>
              </w:rPr>
            </w:pPr>
            <w:r>
              <w:rPr>
                <w:rFonts w:ascii="Arial" w:eastAsia="Calibri" w:hAnsi="Arial" w:cs="Arial"/>
                <w:b/>
                <w:u w:val="single"/>
              </w:rPr>
              <w:t>92.65%</w:t>
            </w:r>
          </w:p>
          <w:p w14:paraId="01D4EB4D" w14:textId="4BF0401A" w:rsidR="001D0A00" w:rsidRDefault="001D0A00" w:rsidP="002551C6">
            <w:pPr>
              <w:jc w:val="center"/>
              <w:rPr>
                <w:rFonts w:ascii="Arial" w:eastAsia="Calibri" w:hAnsi="Arial" w:cs="Arial"/>
                <w:b/>
                <w:u w:val="single"/>
              </w:rPr>
            </w:pPr>
            <w:r>
              <w:rPr>
                <w:rFonts w:ascii="Arial" w:eastAsia="Calibri" w:hAnsi="Arial" w:cs="Arial"/>
                <w:b/>
                <w:u w:val="single"/>
              </w:rPr>
              <w:t>61.19%</w:t>
            </w:r>
          </w:p>
          <w:p w14:paraId="564A7B22" w14:textId="77777777" w:rsidR="001D0A00" w:rsidRDefault="001D0A00" w:rsidP="002551C6">
            <w:pPr>
              <w:jc w:val="center"/>
              <w:rPr>
                <w:rFonts w:ascii="Arial" w:eastAsia="Calibri" w:hAnsi="Arial" w:cs="Arial"/>
                <w:b/>
                <w:u w:val="single"/>
              </w:rPr>
            </w:pPr>
          </w:p>
          <w:p w14:paraId="0C6CFCC6" w14:textId="7708DA27" w:rsidR="001D0A00" w:rsidRDefault="001D0A00" w:rsidP="002551C6">
            <w:pPr>
              <w:jc w:val="center"/>
              <w:rPr>
                <w:rFonts w:ascii="Arial" w:eastAsia="Calibri" w:hAnsi="Arial" w:cs="Arial"/>
                <w:b/>
                <w:u w:val="single"/>
              </w:rPr>
            </w:pPr>
            <w:r>
              <w:rPr>
                <w:rFonts w:ascii="Arial" w:eastAsia="Calibri" w:hAnsi="Arial" w:cs="Arial"/>
                <w:b/>
                <w:u w:val="single"/>
              </w:rPr>
              <w:t>78.96%</w:t>
            </w:r>
          </w:p>
        </w:tc>
        <w:tc>
          <w:tcPr>
            <w:tcW w:w="2042" w:type="dxa"/>
          </w:tcPr>
          <w:p w14:paraId="7A1F496C" w14:textId="77777777" w:rsidR="003E350B" w:rsidRDefault="003E350B" w:rsidP="002551C6">
            <w:pPr>
              <w:jc w:val="center"/>
              <w:rPr>
                <w:rFonts w:ascii="Arial" w:eastAsia="Calibri" w:hAnsi="Arial" w:cs="Arial"/>
                <w:b/>
                <w:u w:val="single"/>
              </w:rPr>
            </w:pPr>
          </w:p>
          <w:p w14:paraId="66254511" w14:textId="77777777" w:rsidR="001D0A00" w:rsidRDefault="001D0A00" w:rsidP="002551C6">
            <w:pPr>
              <w:jc w:val="center"/>
              <w:rPr>
                <w:rFonts w:ascii="Arial" w:eastAsia="Calibri" w:hAnsi="Arial" w:cs="Arial"/>
                <w:b/>
                <w:u w:val="single"/>
              </w:rPr>
            </w:pPr>
          </w:p>
          <w:p w14:paraId="3F41E5B1" w14:textId="77777777" w:rsidR="001D0A00" w:rsidRDefault="001D0A00" w:rsidP="002551C6">
            <w:pPr>
              <w:jc w:val="center"/>
              <w:rPr>
                <w:rFonts w:ascii="Arial" w:eastAsia="Calibri" w:hAnsi="Arial" w:cs="Arial"/>
                <w:b/>
                <w:u w:val="single"/>
              </w:rPr>
            </w:pPr>
          </w:p>
          <w:p w14:paraId="684D110B" w14:textId="37095864" w:rsidR="001D0A00" w:rsidRDefault="001D0A00" w:rsidP="002551C6">
            <w:pPr>
              <w:jc w:val="center"/>
              <w:rPr>
                <w:rFonts w:ascii="Arial" w:eastAsia="Calibri" w:hAnsi="Arial" w:cs="Arial"/>
                <w:b/>
                <w:u w:val="single"/>
              </w:rPr>
            </w:pPr>
            <w:r>
              <w:rPr>
                <w:rFonts w:ascii="Arial" w:eastAsia="Calibri" w:hAnsi="Arial" w:cs="Arial"/>
                <w:b/>
                <w:u w:val="single"/>
              </w:rPr>
              <w:t>90.89%</w:t>
            </w:r>
          </w:p>
          <w:p w14:paraId="72FE0AB2" w14:textId="1B6BE63F" w:rsidR="001D0A00" w:rsidRDefault="001D0A00" w:rsidP="002551C6">
            <w:pPr>
              <w:jc w:val="center"/>
              <w:rPr>
                <w:rFonts w:ascii="Arial" w:eastAsia="Calibri" w:hAnsi="Arial" w:cs="Arial"/>
                <w:b/>
                <w:u w:val="single"/>
              </w:rPr>
            </w:pPr>
            <w:r>
              <w:rPr>
                <w:rFonts w:ascii="Arial" w:eastAsia="Calibri" w:hAnsi="Arial" w:cs="Arial"/>
                <w:b/>
                <w:u w:val="single"/>
              </w:rPr>
              <w:t>60.65%</w:t>
            </w:r>
          </w:p>
          <w:p w14:paraId="62F4EFF9" w14:textId="77777777" w:rsidR="001D0A00" w:rsidRDefault="001D0A00" w:rsidP="002551C6">
            <w:pPr>
              <w:jc w:val="center"/>
              <w:rPr>
                <w:rFonts w:ascii="Arial" w:eastAsia="Calibri" w:hAnsi="Arial" w:cs="Arial"/>
                <w:b/>
                <w:u w:val="single"/>
              </w:rPr>
            </w:pPr>
          </w:p>
          <w:p w14:paraId="4C29E244" w14:textId="316D01D8" w:rsidR="001D0A00" w:rsidRDefault="001D0A00" w:rsidP="002551C6">
            <w:pPr>
              <w:jc w:val="center"/>
              <w:rPr>
                <w:rFonts w:ascii="Arial" w:eastAsia="Calibri" w:hAnsi="Arial" w:cs="Arial"/>
                <w:b/>
                <w:u w:val="single"/>
              </w:rPr>
            </w:pPr>
            <w:r>
              <w:rPr>
                <w:rFonts w:ascii="Arial" w:eastAsia="Calibri" w:hAnsi="Arial" w:cs="Arial"/>
                <w:b/>
                <w:u w:val="single"/>
              </w:rPr>
              <w:t>77.73%</w:t>
            </w:r>
          </w:p>
        </w:tc>
      </w:tr>
      <w:tr w:rsidR="001D0A00" w:rsidRPr="004B1294" w14:paraId="5FE7E8B2" w14:textId="77777777" w:rsidTr="00042E94">
        <w:tc>
          <w:tcPr>
            <w:tcW w:w="1550" w:type="dxa"/>
          </w:tcPr>
          <w:p w14:paraId="3BF15F33" w14:textId="321D5263" w:rsidR="001D0A00" w:rsidRDefault="004D12C0" w:rsidP="002551C6">
            <w:pPr>
              <w:jc w:val="center"/>
              <w:rPr>
                <w:rFonts w:ascii="Arial" w:hAnsi="Arial" w:cs="Arial"/>
                <w:b/>
              </w:rPr>
            </w:pPr>
            <w:r>
              <w:rPr>
                <w:rFonts w:ascii="Arial" w:hAnsi="Arial" w:cs="Arial"/>
                <w:b/>
              </w:rPr>
              <w:t>74</w:t>
            </w:r>
          </w:p>
        </w:tc>
        <w:tc>
          <w:tcPr>
            <w:tcW w:w="3255" w:type="dxa"/>
          </w:tcPr>
          <w:p w14:paraId="21AC6FD7" w14:textId="05DC29FC" w:rsidR="004D12C0" w:rsidRPr="004D12C0" w:rsidRDefault="004D12C0" w:rsidP="004D12C0">
            <w:pPr>
              <w:jc w:val="both"/>
              <w:rPr>
                <w:rFonts w:ascii="Arial" w:hAnsi="Arial" w:cs="Arial"/>
                <w:b/>
                <w:lang w:val="es-MX"/>
              </w:rPr>
            </w:pPr>
            <w:r w:rsidRPr="004D12C0">
              <w:rPr>
                <w:rFonts w:ascii="Arial" w:hAnsi="Arial" w:cs="Arial"/>
                <w:b/>
                <w:lang w:val="es-MX"/>
              </w:rPr>
              <w:t>MINISTERIO DE AGRICULTURA Y DESARROLLO RURAL.</w:t>
            </w:r>
          </w:p>
          <w:p w14:paraId="1EA11EB5" w14:textId="77777777" w:rsidR="001D0A00" w:rsidRDefault="001D0A00" w:rsidP="00AD023F">
            <w:pPr>
              <w:jc w:val="both"/>
              <w:rPr>
                <w:rFonts w:ascii="Arial" w:hAnsi="Arial" w:cs="Arial"/>
                <w:b/>
                <w:lang w:val="es-MX"/>
              </w:rPr>
            </w:pPr>
          </w:p>
          <w:p w14:paraId="6393EECD" w14:textId="77777777" w:rsidR="004D12C0" w:rsidRDefault="004D12C0" w:rsidP="004D12C0">
            <w:pPr>
              <w:jc w:val="both"/>
              <w:rPr>
                <w:rFonts w:ascii="Arial" w:hAnsi="Arial" w:cs="Arial"/>
                <w:b/>
                <w:lang w:val="es-MX"/>
              </w:rPr>
            </w:pPr>
            <w:r>
              <w:rPr>
                <w:rFonts w:ascii="Arial" w:hAnsi="Arial" w:cs="Arial"/>
                <w:b/>
                <w:lang w:val="es-MX"/>
              </w:rPr>
              <w:t>FUNCIONAMIENTO</w:t>
            </w:r>
          </w:p>
          <w:p w14:paraId="3D3D1520" w14:textId="77777777" w:rsidR="004D12C0" w:rsidRDefault="004D12C0" w:rsidP="004D12C0">
            <w:pPr>
              <w:jc w:val="both"/>
              <w:rPr>
                <w:rFonts w:ascii="Arial" w:hAnsi="Arial" w:cs="Arial"/>
                <w:b/>
                <w:lang w:val="es-MX"/>
              </w:rPr>
            </w:pPr>
            <w:r>
              <w:rPr>
                <w:rFonts w:ascii="Arial" w:hAnsi="Arial" w:cs="Arial"/>
                <w:b/>
                <w:lang w:val="es-MX"/>
              </w:rPr>
              <w:t>INVERSIÓN</w:t>
            </w:r>
          </w:p>
          <w:p w14:paraId="6B60409E" w14:textId="77777777" w:rsidR="004D12C0" w:rsidRDefault="004D12C0" w:rsidP="004D12C0">
            <w:pPr>
              <w:jc w:val="both"/>
              <w:rPr>
                <w:rFonts w:ascii="Arial" w:hAnsi="Arial" w:cs="Arial"/>
                <w:b/>
                <w:lang w:val="es-MX"/>
              </w:rPr>
            </w:pPr>
          </w:p>
          <w:p w14:paraId="35DDF980" w14:textId="669BDEFD" w:rsidR="004D12C0" w:rsidRPr="00AD023F" w:rsidRDefault="004D12C0" w:rsidP="004D12C0">
            <w:pPr>
              <w:jc w:val="both"/>
              <w:rPr>
                <w:rFonts w:ascii="Arial" w:hAnsi="Arial" w:cs="Arial"/>
                <w:b/>
                <w:lang w:val="es-MX"/>
              </w:rPr>
            </w:pPr>
            <w:r>
              <w:rPr>
                <w:rFonts w:ascii="Arial" w:hAnsi="Arial" w:cs="Arial"/>
                <w:b/>
                <w:lang w:val="es-MX"/>
              </w:rPr>
              <w:t>TOTAL PRESUPUESTO</w:t>
            </w:r>
          </w:p>
        </w:tc>
        <w:tc>
          <w:tcPr>
            <w:tcW w:w="1839" w:type="dxa"/>
          </w:tcPr>
          <w:p w14:paraId="09285F25" w14:textId="77777777" w:rsidR="001D0A00" w:rsidRDefault="001D0A00" w:rsidP="002551C6">
            <w:pPr>
              <w:jc w:val="center"/>
              <w:rPr>
                <w:rFonts w:ascii="Arial" w:eastAsia="Calibri" w:hAnsi="Arial" w:cs="Arial"/>
                <w:b/>
                <w:u w:val="single"/>
              </w:rPr>
            </w:pPr>
          </w:p>
          <w:p w14:paraId="54D5BF59" w14:textId="77777777" w:rsidR="004D12C0" w:rsidRDefault="004D12C0" w:rsidP="002551C6">
            <w:pPr>
              <w:jc w:val="center"/>
              <w:rPr>
                <w:rFonts w:ascii="Arial" w:eastAsia="Calibri" w:hAnsi="Arial" w:cs="Arial"/>
                <w:b/>
                <w:u w:val="single"/>
              </w:rPr>
            </w:pPr>
          </w:p>
          <w:p w14:paraId="2C2A9631" w14:textId="77777777" w:rsidR="004D12C0" w:rsidRDefault="004D12C0" w:rsidP="002551C6">
            <w:pPr>
              <w:jc w:val="center"/>
              <w:rPr>
                <w:rFonts w:ascii="Arial" w:eastAsia="Calibri" w:hAnsi="Arial" w:cs="Arial"/>
                <w:b/>
                <w:u w:val="single"/>
              </w:rPr>
            </w:pPr>
          </w:p>
          <w:p w14:paraId="6C8277C3" w14:textId="2D5F3992" w:rsidR="004D12C0" w:rsidRDefault="004D12C0" w:rsidP="002551C6">
            <w:pPr>
              <w:jc w:val="center"/>
              <w:rPr>
                <w:rFonts w:ascii="Arial" w:eastAsia="Calibri" w:hAnsi="Arial" w:cs="Arial"/>
                <w:b/>
                <w:u w:val="single"/>
              </w:rPr>
            </w:pPr>
            <w:r>
              <w:rPr>
                <w:rFonts w:ascii="Arial" w:eastAsia="Calibri" w:hAnsi="Arial" w:cs="Arial"/>
                <w:b/>
                <w:u w:val="single"/>
              </w:rPr>
              <w:t>98.44%</w:t>
            </w:r>
          </w:p>
          <w:p w14:paraId="704B0744" w14:textId="74A20210" w:rsidR="004D12C0" w:rsidRDefault="004D12C0" w:rsidP="002551C6">
            <w:pPr>
              <w:jc w:val="center"/>
              <w:rPr>
                <w:rFonts w:ascii="Arial" w:eastAsia="Calibri" w:hAnsi="Arial" w:cs="Arial"/>
                <w:b/>
                <w:u w:val="single"/>
              </w:rPr>
            </w:pPr>
            <w:r>
              <w:rPr>
                <w:rFonts w:ascii="Arial" w:eastAsia="Calibri" w:hAnsi="Arial" w:cs="Arial"/>
                <w:b/>
                <w:u w:val="single"/>
              </w:rPr>
              <w:t>95.60%</w:t>
            </w:r>
          </w:p>
          <w:p w14:paraId="5E1EFCCC" w14:textId="77777777" w:rsidR="004D12C0" w:rsidRDefault="004D12C0" w:rsidP="002551C6">
            <w:pPr>
              <w:jc w:val="center"/>
              <w:rPr>
                <w:rFonts w:ascii="Arial" w:eastAsia="Calibri" w:hAnsi="Arial" w:cs="Arial"/>
                <w:b/>
                <w:u w:val="single"/>
              </w:rPr>
            </w:pPr>
          </w:p>
          <w:p w14:paraId="1FB97267" w14:textId="37D25669" w:rsidR="004D12C0" w:rsidRDefault="004D12C0" w:rsidP="002551C6">
            <w:pPr>
              <w:jc w:val="center"/>
              <w:rPr>
                <w:rFonts w:ascii="Arial" w:eastAsia="Calibri" w:hAnsi="Arial" w:cs="Arial"/>
                <w:b/>
                <w:u w:val="single"/>
              </w:rPr>
            </w:pPr>
            <w:r>
              <w:rPr>
                <w:rFonts w:ascii="Arial" w:eastAsia="Calibri" w:hAnsi="Arial" w:cs="Arial"/>
                <w:b/>
                <w:u w:val="single"/>
              </w:rPr>
              <w:t>96.54%</w:t>
            </w:r>
          </w:p>
        </w:tc>
        <w:tc>
          <w:tcPr>
            <w:tcW w:w="1804" w:type="dxa"/>
          </w:tcPr>
          <w:p w14:paraId="3C7D09E7" w14:textId="77777777" w:rsidR="001D0A00" w:rsidRDefault="001D0A00" w:rsidP="002551C6">
            <w:pPr>
              <w:jc w:val="center"/>
              <w:rPr>
                <w:rFonts w:ascii="Arial" w:eastAsia="Calibri" w:hAnsi="Arial" w:cs="Arial"/>
                <w:b/>
                <w:u w:val="single"/>
              </w:rPr>
            </w:pPr>
          </w:p>
          <w:p w14:paraId="5E8A608E" w14:textId="77777777" w:rsidR="004D12C0" w:rsidRDefault="004D12C0" w:rsidP="002551C6">
            <w:pPr>
              <w:jc w:val="center"/>
              <w:rPr>
                <w:rFonts w:ascii="Arial" w:eastAsia="Calibri" w:hAnsi="Arial" w:cs="Arial"/>
                <w:b/>
                <w:u w:val="single"/>
              </w:rPr>
            </w:pPr>
          </w:p>
          <w:p w14:paraId="74F4CEC0" w14:textId="77777777" w:rsidR="004D12C0" w:rsidRDefault="004D12C0" w:rsidP="002551C6">
            <w:pPr>
              <w:jc w:val="center"/>
              <w:rPr>
                <w:rFonts w:ascii="Arial" w:eastAsia="Calibri" w:hAnsi="Arial" w:cs="Arial"/>
                <w:b/>
                <w:u w:val="single"/>
              </w:rPr>
            </w:pPr>
          </w:p>
          <w:p w14:paraId="5F7D4E4C" w14:textId="58EBDA15" w:rsidR="004D12C0" w:rsidRDefault="004D12C0" w:rsidP="002551C6">
            <w:pPr>
              <w:jc w:val="center"/>
              <w:rPr>
                <w:rFonts w:ascii="Arial" w:eastAsia="Calibri" w:hAnsi="Arial" w:cs="Arial"/>
                <w:b/>
                <w:u w:val="single"/>
              </w:rPr>
            </w:pPr>
            <w:r>
              <w:rPr>
                <w:rFonts w:ascii="Arial" w:eastAsia="Calibri" w:hAnsi="Arial" w:cs="Arial"/>
                <w:b/>
                <w:u w:val="single"/>
              </w:rPr>
              <w:t>72.24%</w:t>
            </w:r>
          </w:p>
          <w:p w14:paraId="3621B288" w14:textId="33443DA8" w:rsidR="004D12C0" w:rsidRDefault="004D12C0" w:rsidP="002551C6">
            <w:pPr>
              <w:jc w:val="center"/>
              <w:rPr>
                <w:rFonts w:ascii="Arial" w:eastAsia="Calibri" w:hAnsi="Arial" w:cs="Arial"/>
                <w:b/>
                <w:u w:val="single"/>
              </w:rPr>
            </w:pPr>
            <w:r>
              <w:rPr>
                <w:rFonts w:ascii="Arial" w:eastAsia="Calibri" w:hAnsi="Arial" w:cs="Arial"/>
                <w:b/>
                <w:u w:val="single"/>
              </w:rPr>
              <w:t>31.92%</w:t>
            </w:r>
          </w:p>
          <w:p w14:paraId="5C45B992" w14:textId="77777777" w:rsidR="004D12C0" w:rsidRDefault="004D12C0" w:rsidP="002551C6">
            <w:pPr>
              <w:jc w:val="center"/>
              <w:rPr>
                <w:rFonts w:ascii="Arial" w:eastAsia="Calibri" w:hAnsi="Arial" w:cs="Arial"/>
                <w:b/>
                <w:u w:val="single"/>
              </w:rPr>
            </w:pPr>
          </w:p>
          <w:p w14:paraId="28669729" w14:textId="598A5CBA" w:rsidR="004D12C0" w:rsidRDefault="004D12C0" w:rsidP="002551C6">
            <w:pPr>
              <w:jc w:val="center"/>
              <w:rPr>
                <w:rFonts w:ascii="Arial" w:eastAsia="Calibri" w:hAnsi="Arial" w:cs="Arial"/>
                <w:b/>
                <w:u w:val="single"/>
              </w:rPr>
            </w:pPr>
            <w:r>
              <w:rPr>
                <w:rFonts w:ascii="Arial" w:eastAsia="Calibri" w:hAnsi="Arial" w:cs="Arial"/>
                <w:b/>
                <w:u w:val="single"/>
              </w:rPr>
              <w:t>45.26%</w:t>
            </w:r>
          </w:p>
        </w:tc>
        <w:tc>
          <w:tcPr>
            <w:tcW w:w="2042" w:type="dxa"/>
          </w:tcPr>
          <w:p w14:paraId="6AAE878C" w14:textId="77777777" w:rsidR="001D0A00" w:rsidRDefault="001D0A00" w:rsidP="002551C6">
            <w:pPr>
              <w:jc w:val="center"/>
              <w:rPr>
                <w:rFonts w:ascii="Arial" w:eastAsia="Calibri" w:hAnsi="Arial" w:cs="Arial"/>
                <w:b/>
                <w:u w:val="single"/>
              </w:rPr>
            </w:pPr>
          </w:p>
          <w:p w14:paraId="23D9BC0F" w14:textId="77777777" w:rsidR="004D12C0" w:rsidRDefault="004D12C0" w:rsidP="002551C6">
            <w:pPr>
              <w:jc w:val="center"/>
              <w:rPr>
                <w:rFonts w:ascii="Arial" w:eastAsia="Calibri" w:hAnsi="Arial" w:cs="Arial"/>
                <w:b/>
                <w:u w:val="single"/>
              </w:rPr>
            </w:pPr>
          </w:p>
          <w:p w14:paraId="005AFC3F" w14:textId="77777777" w:rsidR="004D12C0" w:rsidRDefault="004D12C0" w:rsidP="002551C6">
            <w:pPr>
              <w:jc w:val="center"/>
              <w:rPr>
                <w:rFonts w:ascii="Arial" w:eastAsia="Calibri" w:hAnsi="Arial" w:cs="Arial"/>
                <w:b/>
                <w:u w:val="single"/>
              </w:rPr>
            </w:pPr>
          </w:p>
          <w:p w14:paraId="79075351" w14:textId="0E215029" w:rsidR="004D12C0" w:rsidRDefault="004D12C0" w:rsidP="002551C6">
            <w:pPr>
              <w:jc w:val="center"/>
              <w:rPr>
                <w:rFonts w:ascii="Arial" w:eastAsia="Calibri" w:hAnsi="Arial" w:cs="Arial"/>
                <w:b/>
                <w:u w:val="single"/>
              </w:rPr>
            </w:pPr>
            <w:r>
              <w:rPr>
                <w:rFonts w:ascii="Arial" w:eastAsia="Calibri" w:hAnsi="Arial" w:cs="Arial"/>
                <w:b/>
                <w:u w:val="single"/>
              </w:rPr>
              <w:t>72.11%</w:t>
            </w:r>
          </w:p>
          <w:p w14:paraId="3FA9AABD" w14:textId="34EC0F65" w:rsidR="004D12C0" w:rsidRDefault="004D12C0" w:rsidP="002551C6">
            <w:pPr>
              <w:jc w:val="center"/>
              <w:rPr>
                <w:rFonts w:ascii="Arial" w:eastAsia="Calibri" w:hAnsi="Arial" w:cs="Arial"/>
                <w:b/>
                <w:u w:val="single"/>
              </w:rPr>
            </w:pPr>
            <w:r>
              <w:rPr>
                <w:rFonts w:ascii="Arial" w:eastAsia="Calibri" w:hAnsi="Arial" w:cs="Arial"/>
                <w:b/>
                <w:u w:val="single"/>
              </w:rPr>
              <w:t>31.87%</w:t>
            </w:r>
          </w:p>
          <w:p w14:paraId="42C18B49" w14:textId="77777777" w:rsidR="004D12C0" w:rsidRDefault="004D12C0" w:rsidP="002551C6">
            <w:pPr>
              <w:jc w:val="center"/>
              <w:rPr>
                <w:rFonts w:ascii="Arial" w:eastAsia="Calibri" w:hAnsi="Arial" w:cs="Arial"/>
                <w:b/>
                <w:u w:val="single"/>
              </w:rPr>
            </w:pPr>
          </w:p>
          <w:p w14:paraId="02C1CD26" w14:textId="4B5BF4E3" w:rsidR="004D12C0" w:rsidRDefault="004D12C0" w:rsidP="002551C6">
            <w:pPr>
              <w:jc w:val="center"/>
              <w:rPr>
                <w:rFonts w:ascii="Arial" w:eastAsia="Calibri" w:hAnsi="Arial" w:cs="Arial"/>
                <w:b/>
                <w:u w:val="single"/>
              </w:rPr>
            </w:pPr>
            <w:r>
              <w:rPr>
                <w:rFonts w:ascii="Arial" w:eastAsia="Calibri" w:hAnsi="Arial" w:cs="Arial"/>
                <w:b/>
                <w:u w:val="single"/>
              </w:rPr>
              <w:t>45.18%</w:t>
            </w:r>
          </w:p>
        </w:tc>
      </w:tr>
      <w:tr w:rsidR="001D0A00" w:rsidRPr="004B1294" w14:paraId="55F247D8" w14:textId="77777777" w:rsidTr="00042E94">
        <w:tc>
          <w:tcPr>
            <w:tcW w:w="1550" w:type="dxa"/>
          </w:tcPr>
          <w:p w14:paraId="33EE3677" w14:textId="35A64B15" w:rsidR="001D0A00" w:rsidRDefault="00692EEF" w:rsidP="002551C6">
            <w:pPr>
              <w:jc w:val="center"/>
              <w:rPr>
                <w:rFonts w:ascii="Arial" w:hAnsi="Arial" w:cs="Arial"/>
                <w:b/>
              </w:rPr>
            </w:pPr>
            <w:r>
              <w:rPr>
                <w:rFonts w:ascii="Arial" w:hAnsi="Arial" w:cs="Arial"/>
                <w:b/>
              </w:rPr>
              <w:t>75</w:t>
            </w:r>
          </w:p>
        </w:tc>
        <w:tc>
          <w:tcPr>
            <w:tcW w:w="3255" w:type="dxa"/>
          </w:tcPr>
          <w:p w14:paraId="5423196D" w14:textId="37962548" w:rsidR="00692EEF" w:rsidRPr="00692EEF" w:rsidRDefault="00692EEF" w:rsidP="00692EEF">
            <w:pPr>
              <w:jc w:val="both"/>
              <w:rPr>
                <w:rFonts w:ascii="Arial" w:hAnsi="Arial" w:cs="Arial"/>
                <w:b/>
                <w:lang w:val="es-MX"/>
              </w:rPr>
            </w:pPr>
            <w:r w:rsidRPr="00692EEF">
              <w:rPr>
                <w:rFonts w:ascii="Arial" w:hAnsi="Arial" w:cs="Arial"/>
                <w:b/>
                <w:lang w:val="es-MX"/>
              </w:rPr>
              <w:t>DEPARTAMENTO NACIONAL DE PLANEACION – DNP.</w:t>
            </w:r>
          </w:p>
          <w:p w14:paraId="61933FA4" w14:textId="77777777" w:rsidR="00692EEF" w:rsidRPr="00692EEF" w:rsidRDefault="00692EEF" w:rsidP="00692EEF">
            <w:pPr>
              <w:jc w:val="both"/>
              <w:rPr>
                <w:rFonts w:ascii="Arial" w:hAnsi="Arial" w:cs="Arial"/>
                <w:b/>
                <w:lang w:val="es-MX"/>
              </w:rPr>
            </w:pPr>
          </w:p>
          <w:p w14:paraId="161C3C2D" w14:textId="77777777" w:rsidR="00692EEF" w:rsidRDefault="00692EEF" w:rsidP="00692EEF">
            <w:pPr>
              <w:jc w:val="both"/>
              <w:rPr>
                <w:rFonts w:ascii="Arial" w:hAnsi="Arial" w:cs="Arial"/>
                <w:b/>
                <w:lang w:val="es-MX"/>
              </w:rPr>
            </w:pPr>
            <w:r>
              <w:rPr>
                <w:rFonts w:ascii="Arial" w:hAnsi="Arial" w:cs="Arial"/>
                <w:b/>
                <w:lang w:val="es-MX"/>
              </w:rPr>
              <w:t>FUNCIONAMIENTO</w:t>
            </w:r>
          </w:p>
          <w:p w14:paraId="543D3E46" w14:textId="77777777" w:rsidR="00692EEF" w:rsidRDefault="00692EEF" w:rsidP="00692EEF">
            <w:pPr>
              <w:jc w:val="both"/>
              <w:rPr>
                <w:rFonts w:ascii="Arial" w:hAnsi="Arial" w:cs="Arial"/>
                <w:b/>
                <w:lang w:val="es-MX"/>
              </w:rPr>
            </w:pPr>
            <w:r>
              <w:rPr>
                <w:rFonts w:ascii="Arial" w:hAnsi="Arial" w:cs="Arial"/>
                <w:b/>
                <w:lang w:val="es-MX"/>
              </w:rPr>
              <w:t>INVERSIÓN</w:t>
            </w:r>
          </w:p>
          <w:p w14:paraId="4C8AD88C" w14:textId="77777777" w:rsidR="00692EEF" w:rsidRDefault="00692EEF" w:rsidP="00692EEF">
            <w:pPr>
              <w:jc w:val="both"/>
              <w:rPr>
                <w:rFonts w:ascii="Arial" w:hAnsi="Arial" w:cs="Arial"/>
                <w:b/>
                <w:lang w:val="es-MX"/>
              </w:rPr>
            </w:pPr>
          </w:p>
          <w:p w14:paraId="54AC42A7" w14:textId="05A259E4" w:rsidR="001D0A00" w:rsidRPr="00AD023F" w:rsidRDefault="00692EEF" w:rsidP="00692EEF">
            <w:pPr>
              <w:jc w:val="both"/>
              <w:rPr>
                <w:rFonts w:ascii="Arial" w:hAnsi="Arial" w:cs="Arial"/>
                <w:b/>
                <w:lang w:val="es-MX"/>
              </w:rPr>
            </w:pPr>
            <w:r>
              <w:rPr>
                <w:rFonts w:ascii="Arial" w:hAnsi="Arial" w:cs="Arial"/>
                <w:b/>
                <w:lang w:val="es-MX"/>
              </w:rPr>
              <w:t>TOTAL PRESUPUESTO</w:t>
            </w:r>
          </w:p>
        </w:tc>
        <w:tc>
          <w:tcPr>
            <w:tcW w:w="1839" w:type="dxa"/>
          </w:tcPr>
          <w:p w14:paraId="40277AA6" w14:textId="77777777" w:rsidR="001D0A00" w:rsidRDefault="001D0A00" w:rsidP="002551C6">
            <w:pPr>
              <w:jc w:val="center"/>
              <w:rPr>
                <w:rFonts w:ascii="Arial" w:eastAsia="Calibri" w:hAnsi="Arial" w:cs="Arial"/>
                <w:b/>
                <w:u w:val="single"/>
              </w:rPr>
            </w:pPr>
          </w:p>
          <w:p w14:paraId="4CC04B25" w14:textId="77777777" w:rsidR="00692EEF" w:rsidRDefault="00692EEF" w:rsidP="002551C6">
            <w:pPr>
              <w:jc w:val="center"/>
              <w:rPr>
                <w:rFonts w:ascii="Arial" w:eastAsia="Calibri" w:hAnsi="Arial" w:cs="Arial"/>
                <w:b/>
                <w:u w:val="single"/>
              </w:rPr>
            </w:pPr>
          </w:p>
          <w:p w14:paraId="27632F88" w14:textId="77777777" w:rsidR="00692EEF" w:rsidRDefault="00692EEF" w:rsidP="002551C6">
            <w:pPr>
              <w:jc w:val="center"/>
              <w:rPr>
                <w:rFonts w:ascii="Arial" w:eastAsia="Calibri" w:hAnsi="Arial" w:cs="Arial"/>
                <w:b/>
                <w:u w:val="single"/>
              </w:rPr>
            </w:pPr>
          </w:p>
          <w:p w14:paraId="3389BA99" w14:textId="21110767" w:rsidR="00692EEF" w:rsidRDefault="00692EEF" w:rsidP="002551C6">
            <w:pPr>
              <w:jc w:val="center"/>
              <w:rPr>
                <w:rFonts w:ascii="Arial" w:eastAsia="Calibri" w:hAnsi="Arial" w:cs="Arial"/>
                <w:b/>
                <w:u w:val="single"/>
              </w:rPr>
            </w:pPr>
            <w:r>
              <w:rPr>
                <w:rFonts w:ascii="Arial" w:eastAsia="Calibri" w:hAnsi="Arial" w:cs="Arial"/>
                <w:b/>
                <w:u w:val="single"/>
              </w:rPr>
              <w:t>83.00%</w:t>
            </w:r>
          </w:p>
          <w:p w14:paraId="05393A8D" w14:textId="613F6019" w:rsidR="00692EEF" w:rsidRDefault="00692EEF" w:rsidP="002551C6">
            <w:pPr>
              <w:jc w:val="center"/>
              <w:rPr>
                <w:rFonts w:ascii="Arial" w:eastAsia="Calibri" w:hAnsi="Arial" w:cs="Arial"/>
                <w:b/>
                <w:u w:val="single"/>
              </w:rPr>
            </w:pPr>
            <w:r>
              <w:rPr>
                <w:rFonts w:ascii="Arial" w:eastAsia="Calibri" w:hAnsi="Arial" w:cs="Arial"/>
                <w:b/>
                <w:u w:val="single"/>
              </w:rPr>
              <w:t>86.00%</w:t>
            </w:r>
          </w:p>
          <w:p w14:paraId="4AEE5CF6" w14:textId="77777777" w:rsidR="00692EEF" w:rsidRDefault="00692EEF" w:rsidP="002551C6">
            <w:pPr>
              <w:jc w:val="center"/>
              <w:rPr>
                <w:rFonts w:ascii="Arial" w:eastAsia="Calibri" w:hAnsi="Arial" w:cs="Arial"/>
                <w:b/>
                <w:u w:val="single"/>
              </w:rPr>
            </w:pPr>
          </w:p>
          <w:p w14:paraId="6F85EF2F" w14:textId="1CB64BE3" w:rsidR="00692EEF" w:rsidRDefault="00692EEF" w:rsidP="002551C6">
            <w:pPr>
              <w:jc w:val="center"/>
              <w:rPr>
                <w:rFonts w:ascii="Arial" w:eastAsia="Calibri" w:hAnsi="Arial" w:cs="Arial"/>
                <w:b/>
                <w:u w:val="single"/>
              </w:rPr>
            </w:pPr>
            <w:r>
              <w:rPr>
                <w:rFonts w:ascii="Arial" w:eastAsia="Calibri" w:hAnsi="Arial" w:cs="Arial"/>
                <w:b/>
                <w:u w:val="single"/>
              </w:rPr>
              <w:t>85.00%</w:t>
            </w:r>
          </w:p>
        </w:tc>
        <w:tc>
          <w:tcPr>
            <w:tcW w:w="1804" w:type="dxa"/>
          </w:tcPr>
          <w:p w14:paraId="14AED2B6" w14:textId="77777777" w:rsidR="001D0A00" w:rsidRDefault="001D0A00" w:rsidP="002551C6">
            <w:pPr>
              <w:jc w:val="center"/>
              <w:rPr>
                <w:rFonts w:ascii="Arial" w:eastAsia="Calibri" w:hAnsi="Arial" w:cs="Arial"/>
                <w:b/>
                <w:u w:val="single"/>
              </w:rPr>
            </w:pPr>
          </w:p>
          <w:p w14:paraId="2DEE6110" w14:textId="77777777" w:rsidR="00692EEF" w:rsidRDefault="00692EEF" w:rsidP="002551C6">
            <w:pPr>
              <w:jc w:val="center"/>
              <w:rPr>
                <w:rFonts w:ascii="Arial" w:eastAsia="Calibri" w:hAnsi="Arial" w:cs="Arial"/>
                <w:b/>
                <w:u w:val="single"/>
              </w:rPr>
            </w:pPr>
          </w:p>
          <w:p w14:paraId="0C2D7624" w14:textId="77777777" w:rsidR="00692EEF" w:rsidRDefault="00692EEF" w:rsidP="002551C6">
            <w:pPr>
              <w:jc w:val="center"/>
              <w:rPr>
                <w:rFonts w:ascii="Arial" w:eastAsia="Calibri" w:hAnsi="Arial" w:cs="Arial"/>
                <w:b/>
                <w:u w:val="single"/>
              </w:rPr>
            </w:pPr>
          </w:p>
          <w:p w14:paraId="30344E69" w14:textId="0CC9CFED" w:rsidR="00692EEF" w:rsidRDefault="00692EEF" w:rsidP="002551C6">
            <w:pPr>
              <w:jc w:val="center"/>
              <w:rPr>
                <w:rFonts w:ascii="Arial" w:eastAsia="Calibri" w:hAnsi="Arial" w:cs="Arial"/>
                <w:b/>
                <w:u w:val="single"/>
              </w:rPr>
            </w:pPr>
            <w:r>
              <w:rPr>
                <w:rFonts w:ascii="Arial" w:eastAsia="Calibri" w:hAnsi="Arial" w:cs="Arial"/>
                <w:b/>
                <w:u w:val="single"/>
              </w:rPr>
              <w:t>80.00%</w:t>
            </w:r>
          </w:p>
          <w:p w14:paraId="38D47722" w14:textId="249AE231" w:rsidR="00692EEF" w:rsidRDefault="00692EEF" w:rsidP="002551C6">
            <w:pPr>
              <w:jc w:val="center"/>
              <w:rPr>
                <w:rFonts w:ascii="Arial" w:eastAsia="Calibri" w:hAnsi="Arial" w:cs="Arial"/>
                <w:b/>
                <w:u w:val="single"/>
              </w:rPr>
            </w:pPr>
            <w:r>
              <w:rPr>
                <w:rFonts w:ascii="Arial" w:eastAsia="Calibri" w:hAnsi="Arial" w:cs="Arial"/>
                <w:b/>
                <w:u w:val="single"/>
              </w:rPr>
              <w:t>35.00%</w:t>
            </w:r>
          </w:p>
          <w:p w14:paraId="2EE403BF" w14:textId="77777777" w:rsidR="00692EEF" w:rsidRDefault="00692EEF" w:rsidP="002551C6">
            <w:pPr>
              <w:jc w:val="center"/>
              <w:rPr>
                <w:rFonts w:ascii="Arial" w:eastAsia="Calibri" w:hAnsi="Arial" w:cs="Arial"/>
                <w:b/>
                <w:u w:val="single"/>
              </w:rPr>
            </w:pPr>
          </w:p>
          <w:p w14:paraId="0035DB35" w14:textId="25C7DCD5" w:rsidR="00692EEF" w:rsidRDefault="00692EEF" w:rsidP="002551C6">
            <w:pPr>
              <w:jc w:val="center"/>
              <w:rPr>
                <w:rFonts w:ascii="Arial" w:eastAsia="Calibri" w:hAnsi="Arial" w:cs="Arial"/>
                <w:b/>
                <w:u w:val="single"/>
              </w:rPr>
            </w:pPr>
            <w:r>
              <w:rPr>
                <w:rFonts w:ascii="Arial" w:eastAsia="Calibri" w:hAnsi="Arial" w:cs="Arial"/>
                <w:b/>
                <w:u w:val="single"/>
              </w:rPr>
              <w:t>41.00%</w:t>
            </w:r>
          </w:p>
        </w:tc>
        <w:tc>
          <w:tcPr>
            <w:tcW w:w="2042" w:type="dxa"/>
          </w:tcPr>
          <w:p w14:paraId="1D1B0728" w14:textId="77777777" w:rsidR="001D0A00" w:rsidRDefault="001D0A00" w:rsidP="002551C6">
            <w:pPr>
              <w:jc w:val="center"/>
              <w:rPr>
                <w:rFonts w:ascii="Arial" w:eastAsia="Calibri" w:hAnsi="Arial" w:cs="Arial"/>
                <w:b/>
                <w:u w:val="single"/>
              </w:rPr>
            </w:pPr>
          </w:p>
          <w:p w14:paraId="5ECC3C57" w14:textId="77777777" w:rsidR="00692EEF" w:rsidRDefault="00692EEF" w:rsidP="002551C6">
            <w:pPr>
              <w:jc w:val="center"/>
              <w:rPr>
                <w:rFonts w:ascii="Arial" w:eastAsia="Calibri" w:hAnsi="Arial" w:cs="Arial"/>
                <w:b/>
                <w:u w:val="single"/>
              </w:rPr>
            </w:pPr>
          </w:p>
          <w:p w14:paraId="25243565" w14:textId="77777777" w:rsidR="00692EEF" w:rsidRDefault="00692EEF" w:rsidP="002551C6">
            <w:pPr>
              <w:jc w:val="center"/>
              <w:rPr>
                <w:rFonts w:ascii="Arial" w:eastAsia="Calibri" w:hAnsi="Arial" w:cs="Arial"/>
                <w:b/>
                <w:u w:val="single"/>
              </w:rPr>
            </w:pPr>
          </w:p>
          <w:p w14:paraId="7585EB30" w14:textId="65C77FB4" w:rsidR="00692EEF" w:rsidRDefault="00692EEF" w:rsidP="002551C6">
            <w:pPr>
              <w:jc w:val="center"/>
              <w:rPr>
                <w:rFonts w:ascii="Arial" w:eastAsia="Calibri" w:hAnsi="Arial" w:cs="Arial"/>
                <w:b/>
                <w:u w:val="single"/>
              </w:rPr>
            </w:pPr>
            <w:r>
              <w:rPr>
                <w:rFonts w:ascii="Arial" w:eastAsia="Calibri" w:hAnsi="Arial" w:cs="Arial"/>
                <w:b/>
                <w:u w:val="single"/>
              </w:rPr>
              <w:t>79.00%</w:t>
            </w:r>
          </w:p>
          <w:p w14:paraId="1662F9A4" w14:textId="7FD8CB55" w:rsidR="00692EEF" w:rsidRDefault="00692EEF" w:rsidP="002551C6">
            <w:pPr>
              <w:jc w:val="center"/>
              <w:rPr>
                <w:rFonts w:ascii="Arial" w:eastAsia="Calibri" w:hAnsi="Arial" w:cs="Arial"/>
                <w:b/>
                <w:u w:val="single"/>
              </w:rPr>
            </w:pPr>
            <w:r>
              <w:rPr>
                <w:rFonts w:ascii="Arial" w:eastAsia="Calibri" w:hAnsi="Arial" w:cs="Arial"/>
                <w:b/>
                <w:u w:val="single"/>
              </w:rPr>
              <w:t>35.00%</w:t>
            </w:r>
          </w:p>
          <w:p w14:paraId="422BD526" w14:textId="77777777" w:rsidR="00692EEF" w:rsidRDefault="00692EEF" w:rsidP="002551C6">
            <w:pPr>
              <w:jc w:val="center"/>
              <w:rPr>
                <w:rFonts w:ascii="Arial" w:eastAsia="Calibri" w:hAnsi="Arial" w:cs="Arial"/>
                <w:b/>
                <w:u w:val="single"/>
              </w:rPr>
            </w:pPr>
          </w:p>
          <w:p w14:paraId="2D2740EB" w14:textId="689A22E5" w:rsidR="00692EEF" w:rsidRDefault="00692EEF" w:rsidP="002551C6">
            <w:pPr>
              <w:jc w:val="center"/>
              <w:rPr>
                <w:rFonts w:ascii="Arial" w:eastAsia="Calibri" w:hAnsi="Arial" w:cs="Arial"/>
                <w:b/>
                <w:u w:val="single"/>
              </w:rPr>
            </w:pPr>
            <w:r>
              <w:rPr>
                <w:rFonts w:ascii="Arial" w:eastAsia="Calibri" w:hAnsi="Arial" w:cs="Arial"/>
                <w:b/>
                <w:u w:val="single"/>
              </w:rPr>
              <w:t>41.00%</w:t>
            </w:r>
          </w:p>
        </w:tc>
      </w:tr>
      <w:tr w:rsidR="001D0A00" w:rsidRPr="004B1294" w14:paraId="0669B154" w14:textId="77777777" w:rsidTr="00042E94">
        <w:tc>
          <w:tcPr>
            <w:tcW w:w="1550" w:type="dxa"/>
          </w:tcPr>
          <w:p w14:paraId="32F3C17F" w14:textId="2CBE097D" w:rsidR="001D0A00" w:rsidRDefault="00506881" w:rsidP="002551C6">
            <w:pPr>
              <w:jc w:val="center"/>
              <w:rPr>
                <w:rFonts w:ascii="Arial" w:hAnsi="Arial" w:cs="Arial"/>
                <w:b/>
              </w:rPr>
            </w:pPr>
            <w:r>
              <w:rPr>
                <w:rFonts w:ascii="Arial" w:hAnsi="Arial" w:cs="Arial"/>
                <w:b/>
              </w:rPr>
              <w:t>76</w:t>
            </w:r>
          </w:p>
        </w:tc>
        <w:tc>
          <w:tcPr>
            <w:tcW w:w="3255" w:type="dxa"/>
          </w:tcPr>
          <w:p w14:paraId="204646A4" w14:textId="21ADA0E6" w:rsidR="00506881" w:rsidRPr="00506881" w:rsidRDefault="00506881" w:rsidP="00506881">
            <w:pPr>
              <w:jc w:val="both"/>
              <w:rPr>
                <w:rFonts w:ascii="Arial" w:hAnsi="Arial" w:cs="Arial"/>
                <w:b/>
              </w:rPr>
            </w:pPr>
            <w:r w:rsidRPr="00506881">
              <w:rPr>
                <w:rFonts w:ascii="Arial" w:hAnsi="Arial" w:cs="Arial"/>
                <w:b/>
              </w:rPr>
              <w:t>CORPORACIÓN AUTÓNOMA REGIONAL DE LOS VALLES DEL SINÚ Y SAN JORGE – CVS.</w:t>
            </w:r>
          </w:p>
          <w:p w14:paraId="23E81F96" w14:textId="77777777" w:rsidR="001D0A00" w:rsidRDefault="001D0A00" w:rsidP="00AD023F">
            <w:pPr>
              <w:jc w:val="both"/>
              <w:rPr>
                <w:rFonts w:ascii="Arial" w:hAnsi="Arial" w:cs="Arial"/>
                <w:b/>
                <w:lang w:val="es-MX"/>
              </w:rPr>
            </w:pPr>
          </w:p>
          <w:p w14:paraId="301FF6E4" w14:textId="77777777" w:rsidR="00506881" w:rsidRDefault="00506881" w:rsidP="00506881">
            <w:pPr>
              <w:jc w:val="both"/>
              <w:rPr>
                <w:rFonts w:ascii="Arial" w:hAnsi="Arial" w:cs="Arial"/>
                <w:b/>
                <w:lang w:val="es-MX"/>
              </w:rPr>
            </w:pPr>
            <w:r>
              <w:rPr>
                <w:rFonts w:ascii="Arial" w:hAnsi="Arial" w:cs="Arial"/>
                <w:b/>
                <w:lang w:val="es-MX"/>
              </w:rPr>
              <w:t>FUNCIONAMIENTO</w:t>
            </w:r>
          </w:p>
          <w:p w14:paraId="554F4897" w14:textId="77777777" w:rsidR="00506881" w:rsidRDefault="00506881" w:rsidP="00506881">
            <w:pPr>
              <w:jc w:val="both"/>
              <w:rPr>
                <w:rFonts w:ascii="Arial" w:hAnsi="Arial" w:cs="Arial"/>
                <w:b/>
                <w:lang w:val="es-MX"/>
              </w:rPr>
            </w:pPr>
            <w:r>
              <w:rPr>
                <w:rFonts w:ascii="Arial" w:hAnsi="Arial" w:cs="Arial"/>
                <w:b/>
                <w:lang w:val="es-MX"/>
              </w:rPr>
              <w:t>INVERSIÓN</w:t>
            </w:r>
          </w:p>
          <w:p w14:paraId="5DA0B8CC" w14:textId="77777777" w:rsidR="00506881" w:rsidRDefault="00506881" w:rsidP="00506881">
            <w:pPr>
              <w:jc w:val="both"/>
              <w:rPr>
                <w:rFonts w:ascii="Arial" w:hAnsi="Arial" w:cs="Arial"/>
                <w:b/>
                <w:lang w:val="es-MX"/>
              </w:rPr>
            </w:pPr>
          </w:p>
          <w:p w14:paraId="4C52FEAD" w14:textId="79DE522E" w:rsidR="00506881" w:rsidRPr="00506881" w:rsidRDefault="00506881" w:rsidP="00506881">
            <w:pPr>
              <w:jc w:val="both"/>
              <w:rPr>
                <w:rFonts w:ascii="Arial" w:hAnsi="Arial" w:cs="Arial"/>
                <w:b/>
                <w:lang w:val="es-MX"/>
              </w:rPr>
            </w:pPr>
            <w:r>
              <w:rPr>
                <w:rFonts w:ascii="Arial" w:hAnsi="Arial" w:cs="Arial"/>
                <w:b/>
                <w:lang w:val="es-MX"/>
              </w:rPr>
              <w:t>TOTAL PRESUPUESTO</w:t>
            </w:r>
          </w:p>
        </w:tc>
        <w:tc>
          <w:tcPr>
            <w:tcW w:w="1839" w:type="dxa"/>
          </w:tcPr>
          <w:p w14:paraId="6FA26ED9" w14:textId="77777777" w:rsidR="001D0A00" w:rsidRDefault="001D0A00" w:rsidP="002551C6">
            <w:pPr>
              <w:jc w:val="center"/>
              <w:rPr>
                <w:rFonts w:ascii="Arial" w:eastAsia="Calibri" w:hAnsi="Arial" w:cs="Arial"/>
                <w:b/>
                <w:u w:val="single"/>
              </w:rPr>
            </w:pPr>
          </w:p>
          <w:p w14:paraId="753E8B6D" w14:textId="77777777" w:rsidR="00506881" w:rsidRDefault="00506881" w:rsidP="002551C6">
            <w:pPr>
              <w:jc w:val="center"/>
              <w:rPr>
                <w:rFonts w:ascii="Arial" w:eastAsia="Calibri" w:hAnsi="Arial" w:cs="Arial"/>
                <w:b/>
                <w:u w:val="single"/>
              </w:rPr>
            </w:pPr>
          </w:p>
          <w:p w14:paraId="706FA1CD" w14:textId="77777777" w:rsidR="00506881" w:rsidRDefault="00506881" w:rsidP="002551C6">
            <w:pPr>
              <w:jc w:val="center"/>
              <w:rPr>
                <w:rFonts w:ascii="Arial" w:eastAsia="Calibri" w:hAnsi="Arial" w:cs="Arial"/>
                <w:b/>
                <w:u w:val="single"/>
              </w:rPr>
            </w:pPr>
          </w:p>
          <w:p w14:paraId="5632D37E" w14:textId="77777777" w:rsidR="00506881" w:rsidRDefault="00506881" w:rsidP="002551C6">
            <w:pPr>
              <w:jc w:val="center"/>
              <w:rPr>
                <w:rFonts w:ascii="Arial" w:eastAsia="Calibri" w:hAnsi="Arial" w:cs="Arial"/>
                <w:b/>
                <w:u w:val="single"/>
              </w:rPr>
            </w:pPr>
          </w:p>
          <w:p w14:paraId="2D22DA90" w14:textId="64FB3AAD" w:rsidR="00506881" w:rsidRDefault="00506881" w:rsidP="002551C6">
            <w:pPr>
              <w:jc w:val="center"/>
              <w:rPr>
                <w:rFonts w:ascii="Arial" w:eastAsia="Calibri" w:hAnsi="Arial" w:cs="Arial"/>
                <w:b/>
                <w:u w:val="single"/>
              </w:rPr>
            </w:pPr>
            <w:r>
              <w:rPr>
                <w:rFonts w:ascii="Arial" w:eastAsia="Calibri" w:hAnsi="Arial" w:cs="Arial"/>
                <w:b/>
                <w:u w:val="single"/>
              </w:rPr>
              <w:t>99.74%</w:t>
            </w:r>
          </w:p>
          <w:p w14:paraId="51AC52BD" w14:textId="6C7EE0F1" w:rsidR="00506881" w:rsidRDefault="00506881" w:rsidP="002551C6">
            <w:pPr>
              <w:jc w:val="center"/>
              <w:rPr>
                <w:rFonts w:ascii="Arial" w:eastAsia="Calibri" w:hAnsi="Arial" w:cs="Arial"/>
                <w:b/>
                <w:u w:val="single"/>
              </w:rPr>
            </w:pPr>
            <w:r>
              <w:rPr>
                <w:rFonts w:ascii="Arial" w:eastAsia="Calibri" w:hAnsi="Arial" w:cs="Arial"/>
                <w:b/>
                <w:u w:val="single"/>
              </w:rPr>
              <w:t>96.38%</w:t>
            </w:r>
          </w:p>
          <w:p w14:paraId="6E7379D1" w14:textId="77777777" w:rsidR="00506881" w:rsidRDefault="00506881" w:rsidP="002551C6">
            <w:pPr>
              <w:jc w:val="center"/>
              <w:rPr>
                <w:rFonts w:ascii="Arial" w:eastAsia="Calibri" w:hAnsi="Arial" w:cs="Arial"/>
                <w:b/>
                <w:u w:val="single"/>
              </w:rPr>
            </w:pPr>
          </w:p>
          <w:p w14:paraId="27010F03" w14:textId="459823D5" w:rsidR="00506881" w:rsidRDefault="00506881" w:rsidP="002551C6">
            <w:pPr>
              <w:jc w:val="center"/>
              <w:rPr>
                <w:rFonts w:ascii="Arial" w:eastAsia="Calibri" w:hAnsi="Arial" w:cs="Arial"/>
                <w:b/>
                <w:u w:val="single"/>
              </w:rPr>
            </w:pPr>
            <w:r>
              <w:rPr>
                <w:rFonts w:ascii="Arial" w:eastAsia="Calibri" w:hAnsi="Arial" w:cs="Arial"/>
                <w:b/>
                <w:u w:val="single"/>
              </w:rPr>
              <w:t>98.08%</w:t>
            </w:r>
          </w:p>
        </w:tc>
        <w:tc>
          <w:tcPr>
            <w:tcW w:w="1804" w:type="dxa"/>
          </w:tcPr>
          <w:p w14:paraId="2ED78770" w14:textId="77777777" w:rsidR="001D0A00" w:rsidRDefault="001D0A00" w:rsidP="002551C6">
            <w:pPr>
              <w:jc w:val="center"/>
              <w:rPr>
                <w:rFonts w:ascii="Arial" w:eastAsia="Calibri" w:hAnsi="Arial" w:cs="Arial"/>
                <w:b/>
                <w:u w:val="single"/>
              </w:rPr>
            </w:pPr>
          </w:p>
          <w:p w14:paraId="5BF514FB" w14:textId="77777777" w:rsidR="00506881" w:rsidRDefault="00506881" w:rsidP="002551C6">
            <w:pPr>
              <w:jc w:val="center"/>
              <w:rPr>
                <w:rFonts w:ascii="Arial" w:eastAsia="Calibri" w:hAnsi="Arial" w:cs="Arial"/>
                <w:b/>
                <w:u w:val="single"/>
              </w:rPr>
            </w:pPr>
          </w:p>
          <w:p w14:paraId="649797CE" w14:textId="77777777" w:rsidR="00506881" w:rsidRDefault="00506881" w:rsidP="002551C6">
            <w:pPr>
              <w:jc w:val="center"/>
              <w:rPr>
                <w:rFonts w:ascii="Arial" w:eastAsia="Calibri" w:hAnsi="Arial" w:cs="Arial"/>
                <w:b/>
                <w:u w:val="single"/>
              </w:rPr>
            </w:pPr>
          </w:p>
          <w:p w14:paraId="731AB7FC" w14:textId="77777777" w:rsidR="00506881" w:rsidRDefault="00506881" w:rsidP="002551C6">
            <w:pPr>
              <w:jc w:val="center"/>
              <w:rPr>
                <w:rFonts w:ascii="Arial" w:eastAsia="Calibri" w:hAnsi="Arial" w:cs="Arial"/>
                <w:b/>
                <w:u w:val="single"/>
              </w:rPr>
            </w:pPr>
          </w:p>
          <w:p w14:paraId="5AD19BAB" w14:textId="4D606A1D" w:rsidR="00506881" w:rsidRDefault="00506881" w:rsidP="002551C6">
            <w:pPr>
              <w:jc w:val="center"/>
              <w:rPr>
                <w:rFonts w:ascii="Arial" w:eastAsia="Calibri" w:hAnsi="Arial" w:cs="Arial"/>
                <w:b/>
                <w:u w:val="single"/>
              </w:rPr>
            </w:pPr>
            <w:r>
              <w:rPr>
                <w:rFonts w:ascii="Arial" w:eastAsia="Calibri" w:hAnsi="Arial" w:cs="Arial"/>
                <w:b/>
                <w:u w:val="single"/>
              </w:rPr>
              <w:t>99.74%</w:t>
            </w:r>
          </w:p>
          <w:p w14:paraId="0709C247" w14:textId="2415E804" w:rsidR="00506881" w:rsidRDefault="00506881" w:rsidP="002551C6">
            <w:pPr>
              <w:jc w:val="center"/>
              <w:rPr>
                <w:rFonts w:ascii="Arial" w:eastAsia="Calibri" w:hAnsi="Arial" w:cs="Arial"/>
                <w:b/>
                <w:u w:val="single"/>
              </w:rPr>
            </w:pPr>
            <w:r>
              <w:rPr>
                <w:rFonts w:ascii="Arial" w:eastAsia="Calibri" w:hAnsi="Arial" w:cs="Arial"/>
                <w:b/>
                <w:u w:val="single"/>
              </w:rPr>
              <w:t>96.38%</w:t>
            </w:r>
          </w:p>
          <w:p w14:paraId="34DC24FC" w14:textId="77777777" w:rsidR="00506881" w:rsidRDefault="00506881" w:rsidP="002551C6">
            <w:pPr>
              <w:jc w:val="center"/>
              <w:rPr>
                <w:rFonts w:ascii="Arial" w:eastAsia="Calibri" w:hAnsi="Arial" w:cs="Arial"/>
                <w:b/>
                <w:u w:val="single"/>
              </w:rPr>
            </w:pPr>
          </w:p>
          <w:p w14:paraId="6EA9A999" w14:textId="03C2F30D" w:rsidR="00506881" w:rsidRDefault="00506881" w:rsidP="002551C6">
            <w:pPr>
              <w:jc w:val="center"/>
              <w:rPr>
                <w:rFonts w:ascii="Arial" w:eastAsia="Calibri" w:hAnsi="Arial" w:cs="Arial"/>
                <w:b/>
                <w:u w:val="single"/>
              </w:rPr>
            </w:pPr>
            <w:r>
              <w:rPr>
                <w:rFonts w:ascii="Arial" w:eastAsia="Calibri" w:hAnsi="Arial" w:cs="Arial"/>
                <w:b/>
                <w:u w:val="single"/>
              </w:rPr>
              <w:t>98.08%</w:t>
            </w:r>
          </w:p>
        </w:tc>
        <w:tc>
          <w:tcPr>
            <w:tcW w:w="2042" w:type="dxa"/>
          </w:tcPr>
          <w:p w14:paraId="169D126C" w14:textId="77777777" w:rsidR="001D0A00" w:rsidRDefault="001D0A00" w:rsidP="002551C6">
            <w:pPr>
              <w:jc w:val="center"/>
              <w:rPr>
                <w:rFonts w:ascii="Arial" w:eastAsia="Calibri" w:hAnsi="Arial" w:cs="Arial"/>
                <w:b/>
                <w:u w:val="single"/>
              </w:rPr>
            </w:pPr>
          </w:p>
          <w:p w14:paraId="1540EA43" w14:textId="77777777" w:rsidR="00506881" w:rsidRDefault="00506881" w:rsidP="002551C6">
            <w:pPr>
              <w:jc w:val="center"/>
              <w:rPr>
                <w:rFonts w:ascii="Arial" w:eastAsia="Calibri" w:hAnsi="Arial" w:cs="Arial"/>
                <w:b/>
                <w:u w:val="single"/>
              </w:rPr>
            </w:pPr>
          </w:p>
          <w:p w14:paraId="5EEFCC05" w14:textId="77777777" w:rsidR="00506881" w:rsidRDefault="00506881" w:rsidP="002551C6">
            <w:pPr>
              <w:jc w:val="center"/>
              <w:rPr>
                <w:rFonts w:ascii="Arial" w:eastAsia="Calibri" w:hAnsi="Arial" w:cs="Arial"/>
                <w:b/>
                <w:u w:val="single"/>
              </w:rPr>
            </w:pPr>
          </w:p>
          <w:p w14:paraId="716FCAF8" w14:textId="77777777" w:rsidR="00506881" w:rsidRDefault="00506881" w:rsidP="002551C6">
            <w:pPr>
              <w:jc w:val="center"/>
              <w:rPr>
                <w:rFonts w:ascii="Arial" w:eastAsia="Calibri" w:hAnsi="Arial" w:cs="Arial"/>
                <w:b/>
                <w:u w:val="single"/>
              </w:rPr>
            </w:pPr>
          </w:p>
          <w:p w14:paraId="56CCBC71" w14:textId="212FA9B1" w:rsidR="00506881" w:rsidRDefault="00506881" w:rsidP="002551C6">
            <w:pPr>
              <w:jc w:val="center"/>
              <w:rPr>
                <w:rFonts w:ascii="Arial" w:eastAsia="Calibri" w:hAnsi="Arial" w:cs="Arial"/>
                <w:b/>
                <w:u w:val="single"/>
              </w:rPr>
            </w:pPr>
            <w:r>
              <w:rPr>
                <w:rFonts w:ascii="Arial" w:eastAsia="Calibri" w:hAnsi="Arial" w:cs="Arial"/>
                <w:b/>
                <w:u w:val="single"/>
              </w:rPr>
              <w:t>99.74%</w:t>
            </w:r>
          </w:p>
          <w:p w14:paraId="12B656BD" w14:textId="1424E78A" w:rsidR="00506881" w:rsidRDefault="00506881" w:rsidP="002551C6">
            <w:pPr>
              <w:jc w:val="center"/>
              <w:rPr>
                <w:rFonts w:ascii="Arial" w:eastAsia="Calibri" w:hAnsi="Arial" w:cs="Arial"/>
                <w:b/>
                <w:u w:val="single"/>
              </w:rPr>
            </w:pPr>
            <w:r>
              <w:rPr>
                <w:rFonts w:ascii="Arial" w:eastAsia="Calibri" w:hAnsi="Arial" w:cs="Arial"/>
                <w:b/>
                <w:u w:val="single"/>
              </w:rPr>
              <w:t>96.38%</w:t>
            </w:r>
          </w:p>
          <w:p w14:paraId="017C73B6" w14:textId="77777777" w:rsidR="00506881" w:rsidRDefault="00506881" w:rsidP="002551C6">
            <w:pPr>
              <w:jc w:val="center"/>
              <w:rPr>
                <w:rFonts w:ascii="Arial" w:eastAsia="Calibri" w:hAnsi="Arial" w:cs="Arial"/>
                <w:b/>
                <w:u w:val="single"/>
              </w:rPr>
            </w:pPr>
          </w:p>
          <w:p w14:paraId="7DDC45AB" w14:textId="15712E8A" w:rsidR="00506881" w:rsidRDefault="00506881" w:rsidP="002551C6">
            <w:pPr>
              <w:jc w:val="center"/>
              <w:rPr>
                <w:rFonts w:ascii="Arial" w:eastAsia="Calibri" w:hAnsi="Arial" w:cs="Arial"/>
                <w:b/>
                <w:u w:val="single"/>
              </w:rPr>
            </w:pPr>
            <w:r>
              <w:rPr>
                <w:rFonts w:ascii="Arial" w:eastAsia="Calibri" w:hAnsi="Arial" w:cs="Arial"/>
                <w:b/>
                <w:u w:val="single"/>
              </w:rPr>
              <w:t>98.08%</w:t>
            </w:r>
          </w:p>
        </w:tc>
      </w:tr>
      <w:tr w:rsidR="00824C54" w:rsidRPr="004B1294" w14:paraId="03E37F02" w14:textId="77777777" w:rsidTr="00042E94">
        <w:tc>
          <w:tcPr>
            <w:tcW w:w="1550" w:type="dxa"/>
          </w:tcPr>
          <w:p w14:paraId="00CE81F2" w14:textId="7F3EC146" w:rsidR="00824C54" w:rsidRDefault="00824C54" w:rsidP="002551C6">
            <w:pPr>
              <w:jc w:val="center"/>
              <w:rPr>
                <w:rFonts w:ascii="Arial" w:hAnsi="Arial" w:cs="Arial"/>
                <w:b/>
              </w:rPr>
            </w:pPr>
            <w:r>
              <w:rPr>
                <w:rFonts w:ascii="Arial" w:hAnsi="Arial" w:cs="Arial"/>
                <w:b/>
              </w:rPr>
              <w:t>79</w:t>
            </w:r>
          </w:p>
        </w:tc>
        <w:tc>
          <w:tcPr>
            <w:tcW w:w="3255" w:type="dxa"/>
          </w:tcPr>
          <w:p w14:paraId="214D0EEA" w14:textId="734139DF" w:rsidR="00824C54" w:rsidRPr="00824C54" w:rsidRDefault="00824C54" w:rsidP="00824C54">
            <w:pPr>
              <w:jc w:val="both"/>
              <w:rPr>
                <w:rFonts w:ascii="Arial" w:hAnsi="Arial" w:cs="Arial"/>
                <w:b/>
                <w:lang w:val="es-MX"/>
              </w:rPr>
            </w:pPr>
            <w:r w:rsidRPr="00824C54">
              <w:rPr>
                <w:rFonts w:ascii="Arial" w:hAnsi="Arial" w:cs="Arial"/>
                <w:b/>
                <w:lang w:val="es-MX"/>
              </w:rPr>
              <w:t>MINISTERIO DEL DEPORTE.</w:t>
            </w:r>
          </w:p>
          <w:p w14:paraId="4E281883" w14:textId="77777777" w:rsidR="00824C54" w:rsidRDefault="00824C54" w:rsidP="00506881">
            <w:pPr>
              <w:jc w:val="both"/>
              <w:rPr>
                <w:rFonts w:ascii="Arial" w:hAnsi="Arial" w:cs="Arial"/>
                <w:b/>
              </w:rPr>
            </w:pPr>
          </w:p>
          <w:p w14:paraId="279BD3CC" w14:textId="77777777" w:rsidR="00824C54" w:rsidRDefault="00824C54" w:rsidP="00824C54">
            <w:pPr>
              <w:jc w:val="both"/>
              <w:rPr>
                <w:rFonts w:ascii="Arial" w:hAnsi="Arial" w:cs="Arial"/>
                <w:b/>
                <w:lang w:val="es-MX"/>
              </w:rPr>
            </w:pPr>
            <w:r>
              <w:rPr>
                <w:rFonts w:ascii="Arial" w:hAnsi="Arial" w:cs="Arial"/>
                <w:b/>
                <w:lang w:val="es-MX"/>
              </w:rPr>
              <w:t>FUNCIONAMIENTO</w:t>
            </w:r>
          </w:p>
          <w:p w14:paraId="2018FB46" w14:textId="77777777" w:rsidR="00824C54" w:rsidRDefault="00824C54" w:rsidP="00824C54">
            <w:pPr>
              <w:jc w:val="both"/>
              <w:rPr>
                <w:rFonts w:ascii="Arial" w:hAnsi="Arial" w:cs="Arial"/>
                <w:b/>
                <w:lang w:val="es-MX"/>
              </w:rPr>
            </w:pPr>
            <w:r>
              <w:rPr>
                <w:rFonts w:ascii="Arial" w:hAnsi="Arial" w:cs="Arial"/>
                <w:b/>
                <w:lang w:val="es-MX"/>
              </w:rPr>
              <w:t>INVERSIÓN</w:t>
            </w:r>
          </w:p>
          <w:p w14:paraId="796C6ED0" w14:textId="77777777" w:rsidR="00824C54" w:rsidRDefault="00824C54" w:rsidP="00824C54">
            <w:pPr>
              <w:jc w:val="both"/>
              <w:rPr>
                <w:rFonts w:ascii="Arial" w:hAnsi="Arial" w:cs="Arial"/>
                <w:b/>
                <w:lang w:val="es-MX"/>
              </w:rPr>
            </w:pPr>
          </w:p>
          <w:p w14:paraId="0D5BD824" w14:textId="4FE41F37" w:rsidR="00824C54" w:rsidRPr="00506881" w:rsidRDefault="00824C54" w:rsidP="00824C54">
            <w:pPr>
              <w:jc w:val="both"/>
              <w:rPr>
                <w:rFonts w:ascii="Arial" w:hAnsi="Arial" w:cs="Arial"/>
                <w:b/>
              </w:rPr>
            </w:pPr>
            <w:r>
              <w:rPr>
                <w:rFonts w:ascii="Arial" w:hAnsi="Arial" w:cs="Arial"/>
                <w:b/>
                <w:lang w:val="es-MX"/>
              </w:rPr>
              <w:t>TOTAL PRESUPUESTO</w:t>
            </w:r>
          </w:p>
        </w:tc>
        <w:tc>
          <w:tcPr>
            <w:tcW w:w="1839" w:type="dxa"/>
          </w:tcPr>
          <w:p w14:paraId="5CC5935A" w14:textId="77777777" w:rsidR="00824C54" w:rsidRDefault="00824C54" w:rsidP="002551C6">
            <w:pPr>
              <w:jc w:val="center"/>
              <w:rPr>
                <w:rFonts w:ascii="Arial" w:eastAsia="Calibri" w:hAnsi="Arial" w:cs="Arial"/>
                <w:b/>
                <w:u w:val="single"/>
              </w:rPr>
            </w:pPr>
          </w:p>
          <w:p w14:paraId="3F99715F" w14:textId="77777777" w:rsidR="00824C54" w:rsidRDefault="00824C54" w:rsidP="002551C6">
            <w:pPr>
              <w:jc w:val="center"/>
              <w:rPr>
                <w:rFonts w:ascii="Arial" w:eastAsia="Calibri" w:hAnsi="Arial" w:cs="Arial"/>
                <w:b/>
                <w:u w:val="single"/>
              </w:rPr>
            </w:pPr>
          </w:p>
          <w:p w14:paraId="7F02520A" w14:textId="40E2AFBE" w:rsidR="00824C54" w:rsidRDefault="00824C54" w:rsidP="002551C6">
            <w:pPr>
              <w:jc w:val="center"/>
              <w:rPr>
                <w:rFonts w:ascii="Arial" w:eastAsia="Calibri" w:hAnsi="Arial" w:cs="Arial"/>
                <w:b/>
                <w:u w:val="single"/>
              </w:rPr>
            </w:pPr>
            <w:r>
              <w:rPr>
                <w:rFonts w:ascii="Arial" w:eastAsia="Calibri" w:hAnsi="Arial" w:cs="Arial"/>
                <w:b/>
                <w:u w:val="single"/>
              </w:rPr>
              <w:t>96.60%</w:t>
            </w:r>
          </w:p>
          <w:p w14:paraId="30DE8890" w14:textId="70230686" w:rsidR="00824C54" w:rsidRDefault="00824C54" w:rsidP="002551C6">
            <w:pPr>
              <w:jc w:val="center"/>
              <w:rPr>
                <w:rFonts w:ascii="Arial" w:eastAsia="Calibri" w:hAnsi="Arial" w:cs="Arial"/>
                <w:b/>
                <w:u w:val="single"/>
              </w:rPr>
            </w:pPr>
            <w:r>
              <w:rPr>
                <w:rFonts w:ascii="Arial" w:eastAsia="Calibri" w:hAnsi="Arial" w:cs="Arial"/>
                <w:b/>
                <w:u w:val="single"/>
              </w:rPr>
              <w:t>93.50%</w:t>
            </w:r>
          </w:p>
          <w:p w14:paraId="32F29463" w14:textId="77777777" w:rsidR="00824C54" w:rsidRDefault="00824C54" w:rsidP="002551C6">
            <w:pPr>
              <w:jc w:val="center"/>
              <w:rPr>
                <w:rFonts w:ascii="Arial" w:eastAsia="Calibri" w:hAnsi="Arial" w:cs="Arial"/>
                <w:b/>
                <w:u w:val="single"/>
              </w:rPr>
            </w:pPr>
          </w:p>
          <w:p w14:paraId="177F8B8A" w14:textId="08D79091" w:rsidR="00824C54" w:rsidRDefault="00824C54" w:rsidP="002551C6">
            <w:pPr>
              <w:jc w:val="center"/>
              <w:rPr>
                <w:rFonts w:ascii="Arial" w:eastAsia="Calibri" w:hAnsi="Arial" w:cs="Arial"/>
                <w:b/>
                <w:u w:val="single"/>
              </w:rPr>
            </w:pPr>
            <w:r>
              <w:rPr>
                <w:rFonts w:ascii="Arial" w:eastAsia="Calibri" w:hAnsi="Arial" w:cs="Arial"/>
                <w:b/>
                <w:u w:val="single"/>
              </w:rPr>
              <w:t>93.70%</w:t>
            </w:r>
          </w:p>
        </w:tc>
        <w:tc>
          <w:tcPr>
            <w:tcW w:w="1804" w:type="dxa"/>
          </w:tcPr>
          <w:p w14:paraId="10877EB2" w14:textId="77777777" w:rsidR="00824C54" w:rsidRDefault="00824C54" w:rsidP="002551C6">
            <w:pPr>
              <w:jc w:val="center"/>
              <w:rPr>
                <w:rFonts w:ascii="Arial" w:eastAsia="Calibri" w:hAnsi="Arial" w:cs="Arial"/>
                <w:b/>
                <w:u w:val="single"/>
              </w:rPr>
            </w:pPr>
          </w:p>
          <w:p w14:paraId="581E812F" w14:textId="77777777" w:rsidR="00824C54" w:rsidRDefault="00824C54" w:rsidP="002551C6">
            <w:pPr>
              <w:jc w:val="center"/>
              <w:rPr>
                <w:rFonts w:ascii="Arial" w:eastAsia="Calibri" w:hAnsi="Arial" w:cs="Arial"/>
                <w:b/>
                <w:u w:val="single"/>
              </w:rPr>
            </w:pPr>
          </w:p>
          <w:p w14:paraId="5C044210" w14:textId="1791A66D" w:rsidR="00824C54" w:rsidRDefault="00824C54" w:rsidP="002551C6">
            <w:pPr>
              <w:jc w:val="center"/>
              <w:rPr>
                <w:rFonts w:ascii="Arial" w:eastAsia="Calibri" w:hAnsi="Arial" w:cs="Arial"/>
                <w:b/>
                <w:u w:val="single"/>
              </w:rPr>
            </w:pPr>
            <w:r>
              <w:rPr>
                <w:rFonts w:ascii="Arial" w:eastAsia="Calibri" w:hAnsi="Arial" w:cs="Arial"/>
                <w:b/>
                <w:u w:val="single"/>
              </w:rPr>
              <w:t>93.00%</w:t>
            </w:r>
          </w:p>
          <w:p w14:paraId="5757939A" w14:textId="63BACA50" w:rsidR="00824C54" w:rsidRDefault="00824C54" w:rsidP="002551C6">
            <w:pPr>
              <w:jc w:val="center"/>
              <w:rPr>
                <w:rFonts w:ascii="Arial" w:eastAsia="Calibri" w:hAnsi="Arial" w:cs="Arial"/>
                <w:b/>
                <w:u w:val="single"/>
              </w:rPr>
            </w:pPr>
            <w:r>
              <w:rPr>
                <w:rFonts w:ascii="Arial" w:eastAsia="Calibri" w:hAnsi="Arial" w:cs="Arial"/>
                <w:b/>
                <w:u w:val="single"/>
              </w:rPr>
              <w:t>32.30%</w:t>
            </w:r>
          </w:p>
          <w:p w14:paraId="38332C37" w14:textId="77777777" w:rsidR="00824C54" w:rsidRDefault="00824C54" w:rsidP="002551C6">
            <w:pPr>
              <w:jc w:val="center"/>
              <w:rPr>
                <w:rFonts w:ascii="Arial" w:eastAsia="Calibri" w:hAnsi="Arial" w:cs="Arial"/>
                <w:b/>
                <w:u w:val="single"/>
              </w:rPr>
            </w:pPr>
          </w:p>
          <w:p w14:paraId="1318DD6D" w14:textId="0B2823D3" w:rsidR="00824C54" w:rsidRDefault="00824C54" w:rsidP="002551C6">
            <w:pPr>
              <w:jc w:val="center"/>
              <w:rPr>
                <w:rFonts w:ascii="Arial" w:eastAsia="Calibri" w:hAnsi="Arial" w:cs="Arial"/>
                <w:b/>
                <w:u w:val="single"/>
              </w:rPr>
            </w:pPr>
            <w:r>
              <w:rPr>
                <w:rFonts w:ascii="Arial" w:eastAsia="Calibri" w:hAnsi="Arial" w:cs="Arial"/>
                <w:b/>
                <w:u w:val="single"/>
              </w:rPr>
              <w:t>36.00%</w:t>
            </w:r>
          </w:p>
        </w:tc>
        <w:tc>
          <w:tcPr>
            <w:tcW w:w="2042" w:type="dxa"/>
          </w:tcPr>
          <w:p w14:paraId="4B42FAFE" w14:textId="77777777" w:rsidR="00824C54" w:rsidRDefault="00824C54" w:rsidP="002551C6">
            <w:pPr>
              <w:jc w:val="center"/>
              <w:rPr>
                <w:rFonts w:ascii="Arial" w:eastAsia="Calibri" w:hAnsi="Arial" w:cs="Arial"/>
                <w:b/>
                <w:u w:val="single"/>
              </w:rPr>
            </w:pPr>
          </w:p>
          <w:p w14:paraId="1AE1DCCE" w14:textId="77777777" w:rsidR="00824C54" w:rsidRDefault="00824C54" w:rsidP="002551C6">
            <w:pPr>
              <w:jc w:val="center"/>
              <w:rPr>
                <w:rFonts w:ascii="Arial" w:eastAsia="Calibri" w:hAnsi="Arial" w:cs="Arial"/>
                <w:b/>
                <w:u w:val="single"/>
              </w:rPr>
            </w:pPr>
          </w:p>
          <w:p w14:paraId="730995D3" w14:textId="1265339E" w:rsidR="00824C54" w:rsidRDefault="00824C54" w:rsidP="002551C6">
            <w:pPr>
              <w:jc w:val="center"/>
              <w:rPr>
                <w:rFonts w:ascii="Arial" w:eastAsia="Calibri" w:hAnsi="Arial" w:cs="Arial"/>
                <w:b/>
                <w:u w:val="single"/>
              </w:rPr>
            </w:pPr>
            <w:r>
              <w:rPr>
                <w:rFonts w:ascii="Arial" w:eastAsia="Calibri" w:hAnsi="Arial" w:cs="Arial"/>
                <w:b/>
                <w:u w:val="single"/>
              </w:rPr>
              <w:t>93.00%</w:t>
            </w:r>
          </w:p>
          <w:p w14:paraId="266D13A0" w14:textId="289DF9E4" w:rsidR="00824C54" w:rsidRDefault="00824C54" w:rsidP="002551C6">
            <w:pPr>
              <w:jc w:val="center"/>
              <w:rPr>
                <w:rFonts w:ascii="Arial" w:eastAsia="Calibri" w:hAnsi="Arial" w:cs="Arial"/>
                <w:b/>
                <w:u w:val="single"/>
              </w:rPr>
            </w:pPr>
            <w:r>
              <w:rPr>
                <w:rFonts w:ascii="Arial" w:eastAsia="Calibri" w:hAnsi="Arial" w:cs="Arial"/>
                <w:b/>
                <w:u w:val="single"/>
              </w:rPr>
              <w:t>32.30%</w:t>
            </w:r>
          </w:p>
          <w:p w14:paraId="4CCC1BB5" w14:textId="77777777" w:rsidR="00824C54" w:rsidRDefault="00824C54" w:rsidP="002551C6">
            <w:pPr>
              <w:jc w:val="center"/>
              <w:rPr>
                <w:rFonts w:ascii="Arial" w:eastAsia="Calibri" w:hAnsi="Arial" w:cs="Arial"/>
                <w:b/>
                <w:u w:val="single"/>
              </w:rPr>
            </w:pPr>
          </w:p>
          <w:p w14:paraId="3BF367D7" w14:textId="451C24B4" w:rsidR="00824C54" w:rsidRDefault="00824C54" w:rsidP="002551C6">
            <w:pPr>
              <w:jc w:val="center"/>
              <w:rPr>
                <w:rFonts w:ascii="Arial" w:eastAsia="Calibri" w:hAnsi="Arial" w:cs="Arial"/>
                <w:b/>
                <w:u w:val="single"/>
              </w:rPr>
            </w:pPr>
            <w:r>
              <w:rPr>
                <w:rFonts w:ascii="Arial" w:eastAsia="Calibri" w:hAnsi="Arial" w:cs="Arial"/>
                <w:b/>
                <w:u w:val="single"/>
              </w:rPr>
              <w:t>36.00%</w:t>
            </w:r>
          </w:p>
        </w:tc>
      </w:tr>
      <w:tr w:rsidR="001D0A00" w:rsidRPr="004B1294" w14:paraId="08814A58" w14:textId="77777777" w:rsidTr="00042E94">
        <w:tc>
          <w:tcPr>
            <w:tcW w:w="1550" w:type="dxa"/>
          </w:tcPr>
          <w:p w14:paraId="228DFEB8" w14:textId="625B4919" w:rsidR="001D0A00" w:rsidRDefault="00B82B4F" w:rsidP="002551C6">
            <w:pPr>
              <w:jc w:val="center"/>
              <w:rPr>
                <w:rFonts w:ascii="Arial" w:hAnsi="Arial" w:cs="Arial"/>
                <w:b/>
              </w:rPr>
            </w:pPr>
            <w:r>
              <w:rPr>
                <w:rFonts w:ascii="Arial" w:hAnsi="Arial" w:cs="Arial"/>
                <w:b/>
              </w:rPr>
              <w:t>80</w:t>
            </w:r>
          </w:p>
        </w:tc>
        <w:tc>
          <w:tcPr>
            <w:tcW w:w="3255" w:type="dxa"/>
          </w:tcPr>
          <w:p w14:paraId="24C88936" w14:textId="77777777" w:rsidR="001D0A00" w:rsidRDefault="00B82B4F" w:rsidP="00AD023F">
            <w:pPr>
              <w:jc w:val="both"/>
              <w:rPr>
                <w:rFonts w:ascii="Arial" w:hAnsi="Arial" w:cs="Arial"/>
                <w:b/>
              </w:rPr>
            </w:pPr>
            <w:r w:rsidRPr="00B82B4F">
              <w:rPr>
                <w:rFonts w:ascii="Arial" w:hAnsi="Arial" w:cs="Arial"/>
                <w:b/>
              </w:rPr>
              <w:t xml:space="preserve">UNIDAD ADMINISTRATIVA ESPECIAL DE ALIMENTACIÓN ESCOLAR - ALIMENTOS PARA APRENDER. </w:t>
            </w:r>
          </w:p>
          <w:p w14:paraId="2E1951BA" w14:textId="77777777" w:rsidR="00B82B4F" w:rsidRDefault="00B82B4F" w:rsidP="00AD023F">
            <w:pPr>
              <w:jc w:val="both"/>
              <w:rPr>
                <w:rFonts w:ascii="Arial" w:hAnsi="Arial" w:cs="Arial"/>
                <w:b/>
              </w:rPr>
            </w:pPr>
          </w:p>
          <w:p w14:paraId="767EE503" w14:textId="77777777" w:rsidR="00B82B4F" w:rsidRDefault="00B82B4F" w:rsidP="00B82B4F">
            <w:pPr>
              <w:jc w:val="both"/>
              <w:rPr>
                <w:rFonts w:ascii="Arial" w:hAnsi="Arial" w:cs="Arial"/>
                <w:b/>
                <w:lang w:val="es-MX"/>
              </w:rPr>
            </w:pPr>
            <w:r>
              <w:rPr>
                <w:rFonts w:ascii="Arial" w:hAnsi="Arial" w:cs="Arial"/>
                <w:b/>
                <w:lang w:val="es-MX"/>
              </w:rPr>
              <w:t>FUNCIONAMIENTO</w:t>
            </w:r>
          </w:p>
          <w:p w14:paraId="7D24892A" w14:textId="77777777" w:rsidR="00B82B4F" w:rsidRDefault="00B82B4F" w:rsidP="00B82B4F">
            <w:pPr>
              <w:jc w:val="both"/>
              <w:rPr>
                <w:rFonts w:ascii="Arial" w:hAnsi="Arial" w:cs="Arial"/>
                <w:b/>
                <w:lang w:val="es-MX"/>
              </w:rPr>
            </w:pPr>
            <w:r>
              <w:rPr>
                <w:rFonts w:ascii="Arial" w:hAnsi="Arial" w:cs="Arial"/>
                <w:b/>
                <w:lang w:val="es-MX"/>
              </w:rPr>
              <w:t>INVERSIÓN</w:t>
            </w:r>
          </w:p>
          <w:p w14:paraId="7DAF11CE" w14:textId="77777777" w:rsidR="00B82B4F" w:rsidRDefault="00B82B4F" w:rsidP="00B82B4F">
            <w:pPr>
              <w:jc w:val="both"/>
              <w:rPr>
                <w:rFonts w:ascii="Arial" w:hAnsi="Arial" w:cs="Arial"/>
                <w:b/>
                <w:lang w:val="es-MX"/>
              </w:rPr>
            </w:pPr>
          </w:p>
          <w:p w14:paraId="3C7197DC" w14:textId="404B0E49" w:rsidR="00B82B4F" w:rsidRPr="00B82B4F" w:rsidRDefault="00B82B4F" w:rsidP="00B82B4F">
            <w:pPr>
              <w:jc w:val="both"/>
              <w:rPr>
                <w:rFonts w:ascii="Arial" w:hAnsi="Arial" w:cs="Arial"/>
                <w:b/>
              </w:rPr>
            </w:pPr>
            <w:r>
              <w:rPr>
                <w:rFonts w:ascii="Arial" w:hAnsi="Arial" w:cs="Arial"/>
                <w:b/>
                <w:lang w:val="es-MX"/>
              </w:rPr>
              <w:t>TOTAL PRESUPUESTO</w:t>
            </w:r>
          </w:p>
        </w:tc>
        <w:tc>
          <w:tcPr>
            <w:tcW w:w="1839" w:type="dxa"/>
          </w:tcPr>
          <w:p w14:paraId="525DAB51" w14:textId="77777777" w:rsidR="001D0A00" w:rsidRDefault="001D0A00" w:rsidP="002551C6">
            <w:pPr>
              <w:jc w:val="center"/>
              <w:rPr>
                <w:rFonts w:ascii="Arial" w:eastAsia="Calibri" w:hAnsi="Arial" w:cs="Arial"/>
                <w:b/>
                <w:u w:val="single"/>
              </w:rPr>
            </w:pPr>
          </w:p>
          <w:p w14:paraId="0FD6B623" w14:textId="77777777" w:rsidR="00B82B4F" w:rsidRDefault="00B82B4F" w:rsidP="002551C6">
            <w:pPr>
              <w:jc w:val="center"/>
              <w:rPr>
                <w:rFonts w:ascii="Arial" w:eastAsia="Calibri" w:hAnsi="Arial" w:cs="Arial"/>
                <w:b/>
                <w:u w:val="single"/>
              </w:rPr>
            </w:pPr>
          </w:p>
          <w:p w14:paraId="5AFBDC81" w14:textId="77777777" w:rsidR="00B82B4F" w:rsidRDefault="00B82B4F" w:rsidP="002551C6">
            <w:pPr>
              <w:jc w:val="center"/>
              <w:rPr>
                <w:rFonts w:ascii="Arial" w:eastAsia="Calibri" w:hAnsi="Arial" w:cs="Arial"/>
                <w:b/>
                <w:u w:val="single"/>
              </w:rPr>
            </w:pPr>
          </w:p>
          <w:p w14:paraId="416B01FA" w14:textId="77777777" w:rsidR="00B82B4F" w:rsidRDefault="00B82B4F" w:rsidP="002551C6">
            <w:pPr>
              <w:jc w:val="center"/>
              <w:rPr>
                <w:rFonts w:ascii="Arial" w:eastAsia="Calibri" w:hAnsi="Arial" w:cs="Arial"/>
                <w:b/>
                <w:u w:val="single"/>
              </w:rPr>
            </w:pPr>
          </w:p>
          <w:p w14:paraId="1075796A" w14:textId="77777777" w:rsidR="00B82B4F" w:rsidRDefault="00B82B4F" w:rsidP="002551C6">
            <w:pPr>
              <w:jc w:val="center"/>
              <w:rPr>
                <w:rFonts w:ascii="Arial" w:eastAsia="Calibri" w:hAnsi="Arial" w:cs="Arial"/>
                <w:b/>
                <w:u w:val="single"/>
              </w:rPr>
            </w:pPr>
          </w:p>
          <w:p w14:paraId="20F5EF34" w14:textId="23C565C5" w:rsidR="00B82B4F" w:rsidRDefault="00B82B4F" w:rsidP="002551C6">
            <w:pPr>
              <w:jc w:val="center"/>
              <w:rPr>
                <w:rFonts w:ascii="Arial" w:eastAsia="Calibri" w:hAnsi="Arial" w:cs="Arial"/>
                <w:b/>
                <w:u w:val="single"/>
              </w:rPr>
            </w:pPr>
            <w:r>
              <w:rPr>
                <w:rFonts w:ascii="Arial" w:eastAsia="Calibri" w:hAnsi="Arial" w:cs="Arial"/>
                <w:b/>
                <w:u w:val="single"/>
              </w:rPr>
              <w:t>70.58%</w:t>
            </w:r>
          </w:p>
          <w:p w14:paraId="41AF3F18" w14:textId="46F94D59" w:rsidR="00B82B4F" w:rsidRDefault="00B82B4F" w:rsidP="002551C6">
            <w:pPr>
              <w:jc w:val="center"/>
              <w:rPr>
                <w:rFonts w:ascii="Arial" w:eastAsia="Calibri" w:hAnsi="Arial" w:cs="Arial"/>
                <w:b/>
                <w:u w:val="single"/>
              </w:rPr>
            </w:pPr>
            <w:r>
              <w:rPr>
                <w:rFonts w:ascii="Arial" w:eastAsia="Calibri" w:hAnsi="Arial" w:cs="Arial"/>
                <w:b/>
                <w:u w:val="single"/>
              </w:rPr>
              <w:t>99.59%</w:t>
            </w:r>
          </w:p>
          <w:p w14:paraId="55CCE480" w14:textId="77777777" w:rsidR="00B82B4F" w:rsidRDefault="00B82B4F" w:rsidP="002551C6">
            <w:pPr>
              <w:jc w:val="center"/>
              <w:rPr>
                <w:rFonts w:ascii="Arial" w:eastAsia="Calibri" w:hAnsi="Arial" w:cs="Arial"/>
                <w:b/>
                <w:u w:val="single"/>
              </w:rPr>
            </w:pPr>
          </w:p>
          <w:p w14:paraId="6CDBA38B" w14:textId="6751B6BB" w:rsidR="00B82B4F" w:rsidRDefault="00B82B4F" w:rsidP="002551C6">
            <w:pPr>
              <w:jc w:val="center"/>
              <w:rPr>
                <w:rFonts w:ascii="Arial" w:eastAsia="Calibri" w:hAnsi="Arial" w:cs="Arial"/>
                <w:b/>
                <w:u w:val="single"/>
              </w:rPr>
            </w:pPr>
            <w:r>
              <w:rPr>
                <w:rFonts w:ascii="Arial" w:eastAsia="Calibri" w:hAnsi="Arial" w:cs="Arial"/>
                <w:b/>
                <w:u w:val="single"/>
              </w:rPr>
              <w:t>99.36%</w:t>
            </w:r>
          </w:p>
        </w:tc>
        <w:tc>
          <w:tcPr>
            <w:tcW w:w="1804" w:type="dxa"/>
          </w:tcPr>
          <w:p w14:paraId="7656394F" w14:textId="77777777" w:rsidR="001D0A00" w:rsidRDefault="001D0A00" w:rsidP="002551C6">
            <w:pPr>
              <w:jc w:val="center"/>
              <w:rPr>
                <w:rFonts w:ascii="Arial" w:eastAsia="Calibri" w:hAnsi="Arial" w:cs="Arial"/>
                <w:b/>
                <w:u w:val="single"/>
              </w:rPr>
            </w:pPr>
          </w:p>
          <w:p w14:paraId="383A5746" w14:textId="77777777" w:rsidR="00B82B4F" w:rsidRDefault="00B82B4F" w:rsidP="002551C6">
            <w:pPr>
              <w:jc w:val="center"/>
              <w:rPr>
                <w:rFonts w:ascii="Arial" w:eastAsia="Calibri" w:hAnsi="Arial" w:cs="Arial"/>
                <w:b/>
                <w:u w:val="single"/>
              </w:rPr>
            </w:pPr>
          </w:p>
          <w:p w14:paraId="09F27956" w14:textId="77777777" w:rsidR="00B82B4F" w:rsidRDefault="00B82B4F" w:rsidP="002551C6">
            <w:pPr>
              <w:jc w:val="center"/>
              <w:rPr>
                <w:rFonts w:ascii="Arial" w:eastAsia="Calibri" w:hAnsi="Arial" w:cs="Arial"/>
                <w:b/>
                <w:u w:val="single"/>
              </w:rPr>
            </w:pPr>
          </w:p>
          <w:p w14:paraId="5C1CE49B" w14:textId="77777777" w:rsidR="00B82B4F" w:rsidRDefault="00B82B4F" w:rsidP="002551C6">
            <w:pPr>
              <w:jc w:val="center"/>
              <w:rPr>
                <w:rFonts w:ascii="Arial" w:eastAsia="Calibri" w:hAnsi="Arial" w:cs="Arial"/>
                <w:b/>
                <w:u w:val="single"/>
              </w:rPr>
            </w:pPr>
          </w:p>
          <w:p w14:paraId="16F796A8" w14:textId="77777777" w:rsidR="00B82B4F" w:rsidRDefault="00B82B4F" w:rsidP="002551C6">
            <w:pPr>
              <w:jc w:val="center"/>
              <w:rPr>
                <w:rFonts w:ascii="Arial" w:eastAsia="Calibri" w:hAnsi="Arial" w:cs="Arial"/>
                <w:b/>
                <w:u w:val="single"/>
              </w:rPr>
            </w:pPr>
          </w:p>
          <w:p w14:paraId="5741E4FD" w14:textId="7C7F31CF" w:rsidR="00B82B4F" w:rsidRDefault="00B82B4F" w:rsidP="002551C6">
            <w:pPr>
              <w:jc w:val="center"/>
              <w:rPr>
                <w:rFonts w:ascii="Arial" w:eastAsia="Calibri" w:hAnsi="Arial" w:cs="Arial"/>
                <w:b/>
                <w:u w:val="single"/>
              </w:rPr>
            </w:pPr>
            <w:r>
              <w:rPr>
                <w:rFonts w:ascii="Arial" w:eastAsia="Calibri" w:hAnsi="Arial" w:cs="Arial"/>
                <w:b/>
                <w:u w:val="single"/>
              </w:rPr>
              <w:t>70.48%</w:t>
            </w:r>
          </w:p>
          <w:p w14:paraId="48C4DC1F" w14:textId="3654A064" w:rsidR="00B82B4F" w:rsidRDefault="00B82B4F" w:rsidP="002551C6">
            <w:pPr>
              <w:jc w:val="center"/>
              <w:rPr>
                <w:rFonts w:ascii="Arial" w:eastAsia="Calibri" w:hAnsi="Arial" w:cs="Arial"/>
                <w:b/>
                <w:u w:val="single"/>
              </w:rPr>
            </w:pPr>
            <w:r>
              <w:rPr>
                <w:rFonts w:ascii="Arial" w:eastAsia="Calibri" w:hAnsi="Arial" w:cs="Arial"/>
                <w:b/>
                <w:u w:val="single"/>
              </w:rPr>
              <w:t>88.05%</w:t>
            </w:r>
          </w:p>
          <w:p w14:paraId="2684B325" w14:textId="77777777" w:rsidR="00B82B4F" w:rsidRDefault="00B82B4F" w:rsidP="002551C6">
            <w:pPr>
              <w:jc w:val="center"/>
              <w:rPr>
                <w:rFonts w:ascii="Arial" w:eastAsia="Calibri" w:hAnsi="Arial" w:cs="Arial"/>
                <w:b/>
                <w:u w:val="single"/>
              </w:rPr>
            </w:pPr>
          </w:p>
          <w:p w14:paraId="411DF66B" w14:textId="0EDEA11A" w:rsidR="00B82B4F" w:rsidRDefault="00B82B4F" w:rsidP="002551C6">
            <w:pPr>
              <w:jc w:val="center"/>
              <w:rPr>
                <w:rFonts w:ascii="Arial" w:eastAsia="Calibri" w:hAnsi="Arial" w:cs="Arial"/>
                <w:b/>
                <w:u w:val="single"/>
              </w:rPr>
            </w:pPr>
            <w:r>
              <w:rPr>
                <w:rFonts w:ascii="Arial" w:eastAsia="Calibri" w:hAnsi="Arial" w:cs="Arial"/>
                <w:b/>
                <w:u w:val="single"/>
              </w:rPr>
              <w:t>87.91%</w:t>
            </w:r>
          </w:p>
        </w:tc>
        <w:tc>
          <w:tcPr>
            <w:tcW w:w="2042" w:type="dxa"/>
          </w:tcPr>
          <w:p w14:paraId="6C55D7C5" w14:textId="77777777" w:rsidR="001D0A00" w:rsidRDefault="001D0A00" w:rsidP="002551C6">
            <w:pPr>
              <w:jc w:val="center"/>
              <w:rPr>
                <w:rFonts w:ascii="Arial" w:eastAsia="Calibri" w:hAnsi="Arial" w:cs="Arial"/>
                <w:b/>
                <w:u w:val="single"/>
              </w:rPr>
            </w:pPr>
          </w:p>
          <w:p w14:paraId="1EBB3713" w14:textId="77777777" w:rsidR="00B82B4F" w:rsidRDefault="00B82B4F" w:rsidP="002551C6">
            <w:pPr>
              <w:jc w:val="center"/>
              <w:rPr>
                <w:rFonts w:ascii="Arial" w:eastAsia="Calibri" w:hAnsi="Arial" w:cs="Arial"/>
                <w:b/>
                <w:u w:val="single"/>
              </w:rPr>
            </w:pPr>
          </w:p>
          <w:p w14:paraId="23FC598E" w14:textId="77777777" w:rsidR="00B82B4F" w:rsidRDefault="00B82B4F" w:rsidP="002551C6">
            <w:pPr>
              <w:jc w:val="center"/>
              <w:rPr>
                <w:rFonts w:ascii="Arial" w:eastAsia="Calibri" w:hAnsi="Arial" w:cs="Arial"/>
                <w:b/>
                <w:u w:val="single"/>
              </w:rPr>
            </w:pPr>
          </w:p>
          <w:p w14:paraId="78521E0A" w14:textId="77777777" w:rsidR="00B82B4F" w:rsidRDefault="00B82B4F" w:rsidP="002551C6">
            <w:pPr>
              <w:jc w:val="center"/>
              <w:rPr>
                <w:rFonts w:ascii="Arial" w:eastAsia="Calibri" w:hAnsi="Arial" w:cs="Arial"/>
                <w:b/>
                <w:u w:val="single"/>
              </w:rPr>
            </w:pPr>
          </w:p>
          <w:p w14:paraId="11C22ADE" w14:textId="77777777" w:rsidR="00B82B4F" w:rsidRDefault="00B82B4F" w:rsidP="002551C6">
            <w:pPr>
              <w:jc w:val="center"/>
              <w:rPr>
                <w:rFonts w:ascii="Arial" w:eastAsia="Calibri" w:hAnsi="Arial" w:cs="Arial"/>
                <w:b/>
                <w:u w:val="single"/>
              </w:rPr>
            </w:pPr>
          </w:p>
          <w:p w14:paraId="7BE767C1" w14:textId="77844E79" w:rsidR="00B82B4F" w:rsidRDefault="00B82B4F" w:rsidP="00B82B4F">
            <w:pPr>
              <w:jc w:val="center"/>
              <w:rPr>
                <w:rFonts w:ascii="Arial" w:eastAsia="Calibri" w:hAnsi="Arial" w:cs="Arial"/>
                <w:b/>
                <w:u w:val="single"/>
              </w:rPr>
            </w:pPr>
            <w:r>
              <w:rPr>
                <w:rFonts w:ascii="Arial" w:eastAsia="Calibri" w:hAnsi="Arial" w:cs="Arial"/>
                <w:b/>
                <w:u w:val="single"/>
              </w:rPr>
              <w:t>69.20%</w:t>
            </w:r>
          </w:p>
          <w:p w14:paraId="39F39AFF" w14:textId="5B3CE734" w:rsidR="00B82B4F" w:rsidRDefault="00B82B4F" w:rsidP="002551C6">
            <w:pPr>
              <w:jc w:val="center"/>
              <w:rPr>
                <w:rFonts w:ascii="Arial" w:eastAsia="Calibri" w:hAnsi="Arial" w:cs="Arial"/>
                <w:b/>
                <w:u w:val="single"/>
              </w:rPr>
            </w:pPr>
            <w:r>
              <w:rPr>
                <w:rFonts w:ascii="Arial" w:eastAsia="Calibri" w:hAnsi="Arial" w:cs="Arial"/>
                <w:b/>
                <w:u w:val="single"/>
              </w:rPr>
              <w:t>88.01%</w:t>
            </w:r>
          </w:p>
          <w:p w14:paraId="4E6106BE" w14:textId="77777777" w:rsidR="00B82B4F" w:rsidRDefault="00B82B4F" w:rsidP="002551C6">
            <w:pPr>
              <w:jc w:val="center"/>
              <w:rPr>
                <w:rFonts w:ascii="Arial" w:eastAsia="Calibri" w:hAnsi="Arial" w:cs="Arial"/>
                <w:b/>
                <w:u w:val="single"/>
              </w:rPr>
            </w:pPr>
          </w:p>
          <w:p w14:paraId="35834881" w14:textId="5AA01929" w:rsidR="00B82B4F" w:rsidRDefault="00B82B4F" w:rsidP="002551C6">
            <w:pPr>
              <w:jc w:val="center"/>
              <w:rPr>
                <w:rFonts w:ascii="Arial" w:eastAsia="Calibri" w:hAnsi="Arial" w:cs="Arial"/>
                <w:b/>
                <w:u w:val="single"/>
              </w:rPr>
            </w:pPr>
            <w:r>
              <w:rPr>
                <w:rFonts w:ascii="Arial" w:eastAsia="Calibri" w:hAnsi="Arial" w:cs="Arial"/>
                <w:b/>
                <w:u w:val="single"/>
              </w:rPr>
              <w:t>87.86%</w:t>
            </w:r>
          </w:p>
        </w:tc>
      </w:tr>
      <w:tr w:rsidR="00073212" w:rsidRPr="004B1294" w14:paraId="35E51984" w14:textId="77777777" w:rsidTr="00042E94">
        <w:tc>
          <w:tcPr>
            <w:tcW w:w="1550" w:type="dxa"/>
          </w:tcPr>
          <w:p w14:paraId="2E56A1F5" w14:textId="78B96920" w:rsidR="00073212" w:rsidRDefault="00073212" w:rsidP="002551C6">
            <w:pPr>
              <w:jc w:val="center"/>
              <w:rPr>
                <w:rFonts w:ascii="Arial" w:hAnsi="Arial" w:cs="Arial"/>
                <w:b/>
              </w:rPr>
            </w:pPr>
            <w:r>
              <w:rPr>
                <w:rFonts w:ascii="Arial" w:hAnsi="Arial" w:cs="Arial"/>
                <w:b/>
              </w:rPr>
              <w:t>85</w:t>
            </w:r>
          </w:p>
        </w:tc>
        <w:tc>
          <w:tcPr>
            <w:tcW w:w="3255" w:type="dxa"/>
          </w:tcPr>
          <w:p w14:paraId="3110AC3A" w14:textId="5687591F" w:rsidR="00073212" w:rsidRPr="00073212" w:rsidRDefault="00073212" w:rsidP="00073212">
            <w:pPr>
              <w:jc w:val="both"/>
              <w:rPr>
                <w:rFonts w:ascii="Arial" w:hAnsi="Arial" w:cs="Arial"/>
                <w:b/>
                <w:lang w:val="es-MX"/>
              </w:rPr>
            </w:pPr>
            <w:r w:rsidRPr="00073212">
              <w:rPr>
                <w:rFonts w:ascii="Arial" w:hAnsi="Arial" w:cs="Arial"/>
                <w:b/>
                <w:lang w:val="es-MX"/>
              </w:rPr>
              <w:t>CONTADURÍA GENERAL DE LA NACIÓN.</w:t>
            </w:r>
          </w:p>
          <w:p w14:paraId="67AC0DA7" w14:textId="77777777" w:rsidR="00073212" w:rsidRPr="00073212" w:rsidRDefault="00073212" w:rsidP="00073212">
            <w:pPr>
              <w:jc w:val="both"/>
              <w:rPr>
                <w:rFonts w:ascii="Arial" w:hAnsi="Arial" w:cs="Arial"/>
                <w:b/>
                <w:lang w:val="es-MX"/>
              </w:rPr>
            </w:pPr>
          </w:p>
          <w:p w14:paraId="7F53B9DC" w14:textId="77777777" w:rsidR="00073212" w:rsidRDefault="00073212" w:rsidP="00073212">
            <w:pPr>
              <w:jc w:val="both"/>
              <w:rPr>
                <w:rFonts w:ascii="Arial" w:hAnsi="Arial" w:cs="Arial"/>
                <w:b/>
                <w:lang w:val="es-MX"/>
              </w:rPr>
            </w:pPr>
            <w:r>
              <w:rPr>
                <w:rFonts w:ascii="Arial" w:hAnsi="Arial" w:cs="Arial"/>
                <w:b/>
                <w:lang w:val="es-MX"/>
              </w:rPr>
              <w:t>FUNCIONAMIENTO</w:t>
            </w:r>
          </w:p>
          <w:p w14:paraId="4A0E2568" w14:textId="77777777" w:rsidR="00073212" w:rsidRDefault="00073212" w:rsidP="00073212">
            <w:pPr>
              <w:jc w:val="both"/>
              <w:rPr>
                <w:rFonts w:ascii="Arial" w:hAnsi="Arial" w:cs="Arial"/>
                <w:b/>
                <w:lang w:val="es-MX"/>
              </w:rPr>
            </w:pPr>
            <w:r>
              <w:rPr>
                <w:rFonts w:ascii="Arial" w:hAnsi="Arial" w:cs="Arial"/>
                <w:b/>
                <w:lang w:val="es-MX"/>
              </w:rPr>
              <w:t>INVERSIÓN</w:t>
            </w:r>
          </w:p>
          <w:p w14:paraId="1BBDE39F" w14:textId="77777777" w:rsidR="00073212" w:rsidRDefault="00073212" w:rsidP="00073212">
            <w:pPr>
              <w:jc w:val="both"/>
              <w:rPr>
                <w:rFonts w:ascii="Arial" w:hAnsi="Arial" w:cs="Arial"/>
                <w:b/>
                <w:lang w:val="es-MX"/>
              </w:rPr>
            </w:pPr>
          </w:p>
          <w:p w14:paraId="4C8FFA36" w14:textId="5ED20042" w:rsidR="00073212" w:rsidRPr="00073212" w:rsidRDefault="00073212" w:rsidP="00073212">
            <w:pPr>
              <w:jc w:val="both"/>
              <w:rPr>
                <w:rFonts w:ascii="Arial" w:hAnsi="Arial" w:cs="Arial"/>
                <w:b/>
                <w:lang w:val="es-MX"/>
              </w:rPr>
            </w:pPr>
            <w:r>
              <w:rPr>
                <w:rFonts w:ascii="Arial" w:hAnsi="Arial" w:cs="Arial"/>
                <w:b/>
                <w:lang w:val="es-MX"/>
              </w:rPr>
              <w:t>TOTAL PRESUPUESTO</w:t>
            </w:r>
          </w:p>
        </w:tc>
        <w:tc>
          <w:tcPr>
            <w:tcW w:w="1839" w:type="dxa"/>
          </w:tcPr>
          <w:p w14:paraId="53585ED1" w14:textId="77777777" w:rsidR="00073212" w:rsidRDefault="00073212" w:rsidP="002551C6">
            <w:pPr>
              <w:jc w:val="center"/>
              <w:rPr>
                <w:rFonts w:ascii="Arial" w:eastAsia="Calibri" w:hAnsi="Arial" w:cs="Arial"/>
                <w:b/>
                <w:u w:val="single"/>
              </w:rPr>
            </w:pPr>
          </w:p>
          <w:p w14:paraId="58262076" w14:textId="6977FCFA" w:rsidR="00073212" w:rsidRDefault="00073212" w:rsidP="002551C6">
            <w:pPr>
              <w:jc w:val="center"/>
              <w:rPr>
                <w:rFonts w:ascii="Arial" w:eastAsia="Calibri" w:hAnsi="Arial" w:cs="Arial"/>
                <w:b/>
                <w:u w:val="single"/>
              </w:rPr>
            </w:pPr>
          </w:p>
          <w:p w14:paraId="39C7BEC3" w14:textId="77777777" w:rsidR="00073212" w:rsidRDefault="00073212" w:rsidP="002551C6">
            <w:pPr>
              <w:jc w:val="center"/>
              <w:rPr>
                <w:rFonts w:ascii="Arial" w:eastAsia="Calibri" w:hAnsi="Arial" w:cs="Arial"/>
                <w:b/>
                <w:u w:val="single"/>
              </w:rPr>
            </w:pPr>
          </w:p>
          <w:p w14:paraId="4B6FC856" w14:textId="3DAC4CAC" w:rsidR="00073212" w:rsidRDefault="00073212" w:rsidP="002551C6">
            <w:pPr>
              <w:jc w:val="center"/>
              <w:rPr>
                <w:rFonts w:ascii="Arial" w:eastAsia="Calibri" w:hAnsi="Arial" w:cs="Arial"/>
                <w:b/>
                <w:u w:val="single"/>
              </w:rPr>
            </w:pPr>
            <w:r>
              <w:rPr>
                <w:rFonts w:ascii="Arial" w:eastAsia="Calibri" w:hAnsi="Arial" w:cs="Arial"/>
                <w:b/>
                <w:u w:val="single"/>
              </w:rPr>
              <w:t>94.17%</w:t>
            </w:r>
          </w:p>
          <w:p w14:paraId="3F5C62DF" w14:textId="0CFE311C" w:rsidR="00073212" w:rsidRDefault="00073212" w:rsidP="002551C6">
            <w:pPr>
              <w:jc w:val="center"/>
              <w:rPr>
                <w:rFonts w:ascii="Arial" w:eastAsia="Calibri" w:hAnsi="Arial" w:cs="Arial"/>
                <w:b/>
                <w:u w:val="single"/>
              </w:rPr>
            </w:pPr>
            <w:r>
              <w:rPr>
                <w:rFonts w:ascii="Arial" w:eastAsia="Calibri" w:hAnsi="Arial" w:cs="Arial"/>
                <w:b/>
                <w:u w:val="single"/>
              </w:rPr>
              <w:t>99.20%</w:t>
            </w:r>
          </w:p>
          <w:p w14:paraId="67F4C586" w14:textId="77777777" w:rsidR="00073212" w:rsidRDefault="00073212" w:rsidP="002551C6">
            <w:pPr>
              <w:jc w:val="center"/>
              <w:rPr>
                <w:rFonts w:ascii="Arial" w:eastAsia="Calibri" w:hAnsi="Arial" w:cs="Arial"/>
                <w:b/>
                <w:u w:val="single"/>
              </w:rPr>
            </w:pPr>
          </w:p>
          <w:p w14:paraId="4A7ECB06" w14:textId="1F354E9B" w:rsidR="00073212" w:rsidRDefault="00073212" w:rsidP="002551C6">
            <w:pPr>
              <w:jc w:val="center"/>
              <w:rPr>
                <w:rFonts w:ascii="Arial" w:eastAsia="Calibri" w:hAnsi="Arial" w:cs="Arial"/>
                <w:b/>
                <w:u w:val="single"/>
              </w:rPr>
            </w:pPr>
            <w:r>
              <w:rPr>
                <w:rFonts w:ascii="Arial" w:eastAsia="Calibri" w:hAnsi="Arial" w:cs="Arial"/>
                <w:b/>
                <w:u w:val="single"/>
              </w:rPr>
              <w:t>95.64%</w:t>
            </w:r>
          </w:p>
        </w:tc>
        <w:tc>
          <w:tcPr>
            <w:tcW w:w="1804" w:type="dxa"/>
          </w:tcPr>
          <w:p w14:paraId="2D82EF85" w14:textId="77777777" w:rsidR="00073212" w:rsidRDefault="00073212" w:rsidP="002551C6">
            <w:pPr>
              <w:jc w:val="center"/>
              <w:rPr>
                <w:rFonts w:ascii="Arial" w:eastAsia="Calibri" w:hAnsi="Arial" w:cs="Arial"/>
                <w:b/>
                <w:u w:val="single"/>
              </w:rPr>
            </w:pPr>
          </w:p>
          <w:p w14:paraId="068551E7" w14:textId="77777777" w:rsidR="00073212" w:rsidRDefault="00073212" w:rsidP="002551C6">
            <w:pPr>
              <w:jc w:val="center"/>
              <w:rPr>
                <w:rFonts w:ascii="Arial" w:eastAsia="Calibri" w:hAnsi="Arial" w:cs="Arial"/>
                <w:b/>
                <w:u w:val="single"/>
              </w:rPr>
            </w:pPr>
          </w:p>
          <w:p w14:paraId="7C5BB3E5" w14:textId="77777777" w:rsidR="00073212" w:rsidRDefault="00073212" w:rsidP="002551C6">
            <w:pPr>
              <w:jc w:val="center"/>
              <w:rPr>
                <w:rFonts w:ascii="Arial" w:eastAsia="Calibri" w:hAnsi="Arial" w:cs="Arial"/>
                <w:b/>
                <w:u w:val="single"/>
              </w:rPr>
            </w:pPr>
          </w:p>
          <w:p w14:paraId="634585C9" w14:textId="0567D19E" w:rsidR="00073212" w:rsidRDefault="00073212" w:rsidP="002551C6">
            <w:pPr>
              <w:jc w:val="center"/>
              <w:rPr>
                <w:rFonts w:ascii="Arial" w:eastAsia="Calibri" w:hAnsi="Arial" w:cs="Arial"/>
                <w:b/>
                <w:u w:val="single"/>
              </w:rPr>
            </w:pPr>
            <w:r>
              <w:rPr>
                <w:rFonts w:ascii="Arial" w:eastAsia="Calibri" w:hAnsi="Arial" w:cs="Arial"/>
                <w:b/>
                <w:u w:val="single"/>
              </w:rPr>
              <w:t>93.60%</w:t>
            </w:r>
          </w:p>
          <w:p w14:paraId="5BAADFB8" w14:textId="0F846E79" w:rsidR="00073212" w:rsidRDefault="00073212" w:rsidP="002551C6">
            <w:pPr>
              <w:jc w:val="center"/>
              <w:rPr>
                <w:rFonts w:ascii="Arial" w:eastAsia="Calibri" w:hAnsi="Arial" w:cs="Arial"/>
                <w:b/>
                <w:u w:val="single"/>
              </w:rPr>
            </w:pPr>
            <w:r>
              <w:rPr>
                <w:rFonts w:ascii="Arial" w:eastAsia="Calibri" w:hAnsi="Arial" w:cs="Arial"/>
                <w:b/>
                <w:u w:val="single"/>
              </w:rPr>
              <w:t>95.62%</w:t>
            </w:r>
          </w:p>
          <w:p w14:paraId="7D537415" w14:textId="77777777" w:rsidR="00073212" w:rsidRDefault="00073212" w:rsidP="002551C6">
            <w:pPr>
              <w:jc w:val="center"/>
              <w:rPr>
                <w:rFonts w:ascii="Arial" w:eastAsia="Calibri" w:hAnsi="Arial" w:cs="Arial"/>
                <w:b/>
                <w:u w:val="single"/>
              </w:rPr>
            </w:pPr>
          </w:p>
          <w:p w14:paraId="7D3F841C" w14:textId="747C2B61" w:rsidR="00073212" w:rsidRDefault="00073212" w:rsidP="002551C6">
            <w:pPr>
              <w:jc w:val="center"/>
              <w:rPr>
                <w:rFonts w:ascii="Arial" w:eastAsia="Calibri" w:hAnsi="Arial" w:cs="Arial"/>
                <w:b/>
                <w:u w:val="single"/>
              </w:rPr>
            </w:pPr>
            <w:r>
              <w:rPr>
                <w:rFonts w:ascii="Arial" w:eastAsia="Calibri" w:hAnsi="Arial" w:cs="Arial"/>
                <w:b/>
                <w:u w:val="single"/>
              </w:rPr>
              <w:t>94.19%</w:t>
            </w:r>
          </w:p>
        </w:tc>
        <w:tc>
          <w:tcPr>
            <w:tcW w:w="2042" w:type="dxa"/>
          </w:tcPr>
          <w:p w14:paraId="64844431" w14:textId="77777777" w:rsidR="00073212" w:rsidRDefault="00073212" w:rsidP="002551C6">
            <w:pPr>
              <w:jc w:val="center"/>
              <w:rPr>
                <w:rFonts w:ascii="Arial" w:eastAsia="Calibri" w:hAnsi="Arial" w:cs="Arial"/>
                <w:b/>
                <w:u w:val="single"/>
              </w:rPr>
            </w:pPr>
          </w:p>
          <w:p w14:paraId="43EA7B68" w14:textId="77777777" w:rsidR="00073212" w:rsidRDefault="00073212" w:rsidP="002551C6">
            <w:pPr>
              <w:jc w:val="center"/>
              <w:rPr>
                <w:rFonts w:ascii="Arial" w:eastAsia="Calibri" w:hAnsi="Arial" w:cs="Arial"/>
                <w:b/>
                <w:u w:val="single"/>
              </w:rPr>
            </w:pPr>
          </w:p>
          <w:p w14:paraId="6280640F" w14:textId="77777777" w:rsidR="00073212" w:rsidRDefault="00073212" w:rsidP="002551C6">
            <w:pPr>
              <w:jc w:val="center"/>
              <w:rPr>
                <w:rFonts w:ascii="Arial" w:eastAsia="Calibri" w:hAnsi="Arial" w:cs="Arial"/>
                <w:b/>
                <w:u w:val="single"/>
              </w:rPr>
            </w:pPr>
          </w:p>
          <w:p w14:paraId="6EE5E843" w14:textId="280B0848" w:rsidR="00073212" w:rsidRDefault="00073212" w:rsidP="002551C6">
            <w:pPr>
              <w:jc w:val="center"/>
              <w:rPr>
                <w:rFonts w:ascii="Arial" w:eastAsia="Calibri" w:hAnsi="Arial" w:cs="Arial"/>
                <w:b/>
                <w:u w:val="single"/>
              </w:rPr>
            </w:pPr>
            <w:r>
              <w:rPr>
                <w:rFonts w:ascii="Arial" w:eastAsia="Calibri" w:hAnsi="Arial" w:cs="Arial"/>
                <w:b/>
                <w:u w:val="single"/>
              </w:rPr>
              <w:t>93.40%</w:t>
            </w:r>
          </w:p>
          <w:p w14:paraId="4157D7D1" w14:textId="76039E1C" w:rsidR="00073212" w:rsidRDefault="00073212" w:rsidP="002551C6">
            <w:pPr>
              <w:jc w:val="center"/>
              <w:rPr>
                <w:rFonts w:ascii="Arial" w:eastAsia="Calibri" w:hAnsi="Arial" w:cs="Arial"/>
                <w:b/>
                <w:u w:val="single"/>
              </w:rPr>
            </w:pPr>
            <w:r>
              <w:rPr>
                <w:rFonts w:ascii="Arial" w:eastAsia="Calibri" w:hAnsi="Arial" w:cs="Arial"/>
                <w:b/>
                <w:u w:val="single"/>
              </w:rPr>
              <w:t>95.62%</w:t>
            </w:r>
          </w:p>
          <w:p w14:paraId="1986FC29" w14:textId="77777777" w:rsidR="00073212" w:rsidRDefault="00073212" w:rsidP="002551C6">
            <w:pPr>
              <w:jc w:val="center"/>
              <w:rPr>
                <w:rFonts w:ascii="Arial" w:eastAsia="Calibri" w:hAnsi="Arial" w:cs="Arial"/>
                <w:b/>
                <w:u w:val="single"/>
              </w:rPr>
            </w:pPr>
          </w:p>
          <w:p w14:paraId="08BC2BB3" w14:textId="49059725" w:rsidR="00073212" w:rsidRDefault="00073212" w:rsidP="002551C6">
            <w:pPr>
              <w:jc w:val="center"/>
              <w:rPr>
                <w:rFonts w:ascii="Arial" w:eastAsia="Calibri" w:hAnsi="Arial" w:cs="Arial"/>
                <w:b/>
                <w:u w:val="single"/>
              </w:rPr>
            </w:pPr>
            <w:r>
              <w:rPr>
                <w:rFonts w:ascii="Arial" w:eastAsia="Calibri" w:hAnsi="Arial" w:cs="Arial"/>
                <w:b/>
                <w:u w:val="single"/>
              </w:rPr>
              <w:t>94.05%</w:t>
            </w:r>
          </w:p>
        </w:tc>
      </w:tr>
      <w:tr w:rsidR="004A7D1A" w:rsidRPr="004B1294" w14:paraId="508D12F6" w14:textId="77777777" w:rsidTr="00042E94">
        <w:tc>
          <w:tcPr>
            <w:tcW w:w="1550" w:type="dxa"/>
          </w:tcPr>
          <w:p w14:paraId="5F890879" w14:textId="3128D94A" w:rsidR="004A7D1A" w:rsidRDefault="004A7D1A" w:rsidP="002551C6">
            <w:pPr>
              <w:jc w:val="center"/>
              <w:rPr>
                <w:rFonts w:ascii="Arial" w:hAnsi="Arial" w:cs="Arial"/>
                <w:b/>
              </w:rPr>
            </w:pPr>
            <w:r>
              <w:rPr>
                <w:rFonts w:ascii="Arial" w:hAnsi="Arial" w:cs="Arial"/>
                <w:b/>
              </w:rPr>
              <w:t>86</w:t>
            </w:r>
          </w:p>
        </w:tc>
        <w:tc>
          <w:tcPr>
            <w:tcW w:w="3255" w:type="dxa"/>
          </w:tcPr>
          <w:p w14:paraId="4F1D403B" w14:textId="7E2341C4" w:rsidR="004A7D1A" w:rsidRPr="004A7D1A" w:rsidRDefault="004A7D1A" w:rsidP="004A7D1A">
            <w:pPr>
              <w:jc w:val="both"/>
              <w:rPr>
                <w:rFonts w:ascii="Arial" w:hAnsi="Arial" w:cs="Arial"/>
                <w:b/>
                <w:lang w:val="es-MX"/>
              </w:rPr>
            </w:pPr>
            <w:r>
              <w:rPr>
                <w:rFonts w:ascii="Arial" w:hAnsi="Arial" w:cs="Arial"/>
                <w:b/>
                <w:lang w:val="es-MX"/>
              </w:rPr>
              <w:t>D</w:t>
            </w:r>
            <w:r w:rsidRPr="004A7D1A">
              <w:rPr>
                <w:rFonts w:ascii="Arial" w:hAnsi="Arial" w:cs="Arial"/>
                <w:b/>
                <w:lang w:val="es-MX"/>
              </w:rPr>
              <w:t xml:space="preserve">EFENSA CIVIL COLOMBIANA </w:t>
            </w:r>
            <w:r w:rsidRPr="004A7D1A">
              <w:rPr>
                <w:rFonts w:ascii="Arial" w:hAnsi="Arial" w:cs="Arial"/>
                <w:b/>
              </w:rPr>
              <w:t>– GUILLERMO LEÓN VALENCIA.</w:t>
            </w:r>
          </w:p>
          <w:p w14:paraId="7ED404B3" w14:textId="77777777" w:rsidR="004A7D1A" w:rsidRDefault="004A7D1A" w:rsidP="004A7D1A">
            <w:pPr>
              <w:jc w:val="both"/>
              <w:rPr>
                <w:rFonts w:ascii="Arial" w:hAnsi="Arial" w:cs="Arial"/>
                <w:b/>
                <w:lang w:val="es-MX"/>
              </w:rPr>
            </w:pPr>
            <w:r>
              <w:rPr>
                <w:rFonts w:ascii="Arial" w:hAnsi="Arial" w:cs="Arial"/>
                <w:b/>
                <w:lang w:val="es-MX"/>
              </w:rPr>
              <w:t>FUNCIONAMIENTO</w:t>
            </w:r>
          </w:p>
          <w:p w14:paraId="26C53C4B" w14:textId="77777777" w:rsidR="004A7D1A" w:rsidRDefault="004A7D1A" w:rsidP="004A7D1A">
            <w:pPr>
              <w:jc w:val="both"/>
              <w:rPr>
                <w:rFonts w:ascii="Arial" w:hAnsi="Arial" w:cs="Arial"/>
                <w:b/>
                <w:lang w:val="es-MX"/>
              </w:rPr>
            </w:pPr>
            <w:r>
              <w:rPr>
                <w:rFonts w:ascii="Arial" w:hAnsi="Arial" w:cs="Arial"/>
                <w:b/>
                <w:lang w:val="es-MX"/>
              </w:rPr>
              <w:lastRenderedPageBreak/>
              <w:t>INVERSIÓN</w:t>
            </w:r>
          </w:p>
          <w:p w14:paraId="77A6C70F" w14:textId="77777777" w:rsidR="004A7D1A" w:rsidRDefault="004A7D1A" w:rsidP="004A7D1A">
            <w:pPr>
              <w:jc w:val="both"/>
              <w:rPr>
                <w:rFonts w:ascii="Arial" w:hAnsi="Arial" w:cs="Arial"/>
                <w:b/>
                <w:lang w:val="es-MX"/>
              </w:rPr>
            </w:pPr>
          </w:p>
          <w:p w14:paraId="2716E11A" w14:textId="542F8508" w:rsidR="004A7D1A" w:rsidRPr="00073212" w:rsidRDefault="004A7D1A" w:rsidP="004A7D1A">
            <w:pPr>
              <w:jc w:val="both"/>
              <w:rPr>
                <w:rFonts w:ascii="Arial" w:hAnsi="Arial" w:cs="Arial"/>
                <w:b/>
                <w:lang w:val="es-MX"/>
              </w:rPr>
            </w:pPr>
            <w:r>
              <w:rPr>
                <w:rFonts w:ascii="Arial" w:hAnsi="Arial" w:cs="Arial"/>
                <w:b/>
                <w:lang w:val="es-MX"/>
              </w:rPr>
              <w:t>TOTAL PRESUPUESTO</w:t>
            </w:r>
          </w:p>
        </w:tc>
        <w:tc>
          <w:tcPr>
            <w:tcW w:w="1839" w:type="dxa"/>
          </w:tcPr>
          <w:p w14:paraId="6F7DAF31" w14:textId="77777777" w:rsidR="004A7D1A" w:rsidRDefault="004A7D1A" w:rsidP="002551C6">
            <w:pPr>
              <w:jc w:val="center"/>
              <w:rPr>
                <w:rFonts w:ascii="Arial" w:eastAsia="Calibri" w:hAnsi="Arial" w:cs="Arial"/>
                <w:b/>
                <w:u w:val="single"/>
              </w:rPr>
            </w:pPr>
          </w:p>
          <w:p w14:paraId="5B2E9970" w14:textId="77777777" w:rsidR="004A7D1A" w:rsidRDefault="004A7D1A" w:rsidP="002551C6">
            <w:pPr>
              <w:jc w:val="center"/>
              <w:rPr>
                <w:rFonts w:ascii="Arial" w:eastAsia="Calibri" w:hAnsi="Arial" w:cs="Arial"/>
                <w:b/>
                <w:u w:val="single"/>
              </w:rPr>
            </w:pPr>
          </w:p>
          <w:p w14:paraId="011460DD" w14:textId="77777777" w:rsidR="004A7D1A" w:rsidRDefault="004A7D1A" w:rsidP="002551C6">
            <w:pPr>
              <w:jc w:val="center"/>
              <w:rPr>
                <w:rFonts w:ascii="Arial" w:eastAsia="Calibri" w:hAnsi="Arial" w:cs="Arial"/>
                <w:b/>
                <w:u w:val="single"/>
              </w:rPr>
            </w:pPr>
          </w:p>
          <w:p w14:paraId="39AA6935" w14:textId="5431CFEF" w:rsidR="004A7D1A" w:rsidRDefault="004A7D1A" w:rsidP="002551C6">
            <w:pPr>
              <w:jc w:val="center"/>
              <w:rPr>
                <w:rFonts w:ascii="Arial" w:eastAsia="Calibri" w:hAnsi="Arial" w:cs="Arial"/>
                <w:b/>
                <w:u w:val="single"/>
              </w:rPr>
            </w:pPr>
            <w:r>
              <w:rPr>
                <w:rFonts w:ascii="Arial" w:eastAsia="Calibri" w:hAnsi="Arial" w:cs="Arial"/>
                <w:b/>
                <w:u w:val="single"/>
              </w:rPr>
              <w:t>92.40%</w:t>
            </w:r>
          </w:p>
          <w:p w14:paraId="7431647A" w14:textId="4A63E657" w:rsidR="004A7D1A" w:rsidRDefault="004A7D1A" w:rsidP="002551C6">
            <w:pPr>
              <w:jc w:val="center"/>
              <w:rPr>
                <w:rFonts w:ascii="Arial" w:eastAsia="Calibri" w:hAnsi="Arial" w:cs="Arial"/>
                <w:b/>
                <w:u w:val="single"/>
              </w:rPr>
            </w:pPr>
            <w:r>
              <w:rPr>
                <w:rFonts w:ascii="Arial" w:eastAsia="Calibri" w:hAnsi="Arial" w:cs="Arial"/>
                <w:b/>
                <w:u w:val="single"/>
              </w:rPr>
              <w:lastRenderedPageBreak/>
              <w:t>99.90%</w:t>
            </w:r>
          </w:p>
          <w:p w14:paraId="64263C53" w14:textId="77777777" w:rsidR="004A7D1A" w:rsidRDefault="004A7D1A" w:rsidP="002551C6">
            <w:pPr>
              <w:jc w:val="center"/>
              <w:rPr>
                <w:rFonts w:ascii="Arial" w:eastAsia="Calibri" w:hAnsi="Arial" w:cs="Arial"/>
                <w:b/>
                <w:u w:val="single"/>
              </w:rPr>
            </w:pPr>
          </w:p>
          <w:p w14:paraId="33C65F70" w14:textId="497FA24C" w:rsidR="004A7D1A" w:rsidRDefault="004A7D1A" w:rsidP="002551C6">
            <w:pPr>
              <w:jc w:val="center"/>
              <w:rPr>
                <w:rFonts w:ascii="Arial" w:eastAsia="Calibri" w:hAnsi="Arial" w:cs="Arial"/>
                <w:b/>
                <w:u w:val="single"/>
              </w:rPr>
            </w:pPr>
            <w:r>
              <w:rPr>
                <w:rFonts w:ascii="Arial" w:eastAsia="Calibri" w:hAnsi="Arial" w:cs="Arial"/>
                <w:b/>
                <w:u w:val="single"/>
              </w:rPr>
              <w:t>93.40%</w:t>
            </w:r>
          </w:p>
        </w:tc>
        <w:tc>
          <w:tcPr>
            <w:tcW w:w="1804" w:type="dxa"/>
          </w:tcPr>
          <w:p w14:paraId="5A23E269" w14:textId="77777777" w:rsidR="004A7D1A" w:rsidRDefault="004A7D1A" w:rsidP="002551C6">
            <w:pPr>
              <w:jc w:val="center"/>
              <w:rPr>
                <w:rFonts w:ascii="Arial" w:eastAsia="Calibri" w:hAnsi="Arial" w:cs="Arial"/>
                <w:b/>
                <w:u w:val="single"/>
              </w:rPr>
            </w:pPr>
          </w:p>
          <w:p w14:paraId="16EF6EBF" w14:textId="77777777" w:rsidR="004A7D1A" w:rsidRDefault="004A7D1A" w:rsidP="002551C6">
            <w:pPr>
              <w:jc w:val="center"/>
              <w:rPr>
                <w:rFonts w:ascii="Arial" w:eastAsia="Calibri" w:hAnsi="Arial" w:cs="Arial"/>
                <w:b/>
                <w:u w:val="single"/>
              </w:rPr>
            </w:pPr>
          </w:p>
          <w:p w14:paraId="72904377" w14:textId="77777777" w:rsidR="004A7D1A" w:rsidRDefault="004A7D1A" w:rsidP="002551C6">
            <w:pPr>
              <w:jc w:val="center"/>
              <w:rPr>
                <w:rFonts w:ascii="Arial" w:eastAsia="Calibri" w:hAnsi="Arial" w:cs="Arial"/>
                <w:b/>
                <w:u w:val="single"/>
              </w:rPr>
            </w:pPr>
          </w:p>
          <w:p w14:paraId="7D752D05" w14:textId="3A9CCD11" w:rsidR="004A7D1A" w:rsidRDefault="004A7D1A" w:rsidP="002551C6">
            <w:pPr>
              <w:jc w:val="center"/>
              <w:rPr>
                <w:rFonts w:ascii="Arial" w:eastAsia="Calibri" w:hAnsi="Arial" w:cs="Arial"/>
                <w:b/>
                <w:u w:val="single"/>
              </w:rPr>
            </w:pPr>
            <w:r>
              <w:rPr>
                <w:rFonts w:ascii="Arial" w:eastAsia="Calibri" w:hAnsi="Arial" w:cs="Arial"/>
                <w:b/>
                <w:u w:val="single"/>
              </w:rPr>
              <w:t>90.30%</w:t>
            </w:r>
          </w:p>
          <w:p w14:paraId="0E5E56CF" w14:textId="7574AD9B" w:rsidR="004A7D1A" w:rsidRDefault="004A7D1A" w:rsidP="002551C6">
            <w:pPr>
              <w:jc w:val="center"/>
              <w:rPr>
                <w:rFonts w:ascii="Arial" w:eastAsia="Calibri" w:hAnsi="Arial" w:cs="Arial"/>
                <w:b/>
                <w:u w:val="single"/>
              </w:rPr>
            </w:pPr>
            <w:r>
              <w:rPr>
                <w:rFonts w:ascii="Arial" w:eastAsia="Calibri" w:hAnsi="Arial" w:cs="Arial"/>
                <w:b/>
                <w:u w:val="single"/>
              </w:rPr>
              <w:lastRenderedPageBreak/>
              <w:t>95.90%</w:t>
            </w:r>
          </w:p>
          <w:p w14:paraId="0DA34B23" w14:textId="77777777" w:rsidR="004A7D1A" w:rsidRDefault="004A7D1A" w:rsidP="002551C6">
            <w:pPr>
              <w:jc w:val="center"/>
              <w:rPr>
                <w:rFonts w:ascii="Arial" w:eastAsia="Calibri" w:hAnsi="Arial" w:cs="Arial"/>
                <w:b/>
                <w:u w:val="single"/>
              </w:rPr>
            </w:pPr>
          </w:p>
          <w:p w14:paraId="5C481FFB" w14:textId="1249318F" w:rsidR="004A7D1A" w:rsidRDefault="004A7D1A" w:rsidP="002551C6">
            <w:pPr>
              <w:jc w:val="center"/>
              <w:rPr>
                <w:rFonts w:ascii="Arial" w:eastAsia="Calibri" w:hAnsi="Arial" w:cs="Arial"/>
                <w:b/>
                <w:u w:val="single"/>
              </w:rPr>
            </w:pPr>
            <w:r>
              <w:rPr>
                <w:rFonts w:ascii="Arial" w:eastAsia="Calibri" w:hAnsi="Arial" w:cs="Arial"/>
                <w:b/>
                <w:u w:val="single"/>
              </w:rPr>
              <w:t>91.30%</w:t>
            </w:r>
          </w:p>
        </w:tc>
        <w:tc>
          <w:tcPr>
            <w:tcW w:w="2042" w:type="dxa"/>
          </w:tcPr>
          <w:p w14:paraId="53D4CE11" w14:textId="77777777" w:rsidR="004A7D1A" w:rsidRDefault="004A7D1A" w:rsidP="002551C6">
            <w:pPr>
              <w:jc w:val="center"/>
              <w:rPr>
                <w:rFonts w:ascii="Arial" w:eastAsia="Calibri" w:hAnsi="Arial" w:cs="Arial"/>
                <w:b/>
                <w:u w:val="single"/>
              </w:rPr>
            </w:pPr>
          </w:p>
          <w:p w14:paraId="58FDD6BC" w14:textId="77777777" w:rsidR="004A7D1A" w:rsidRDefault="004A7D1A" w:rsidP="002551C6">
            <w:pPr>
              <w:jc w:val="center"/>
              <w:rPr>
                <w:rFonts w:ascii="Arial" w:eastAsia="Calibri" w:hAnsi="Arial" w:cs="Arial"/>
                <w:b/>
                <w:u w:val="single"/>
              </w:rPr>
            </w:pPr>
          </w:p>
          <w:p w14:paraId="03FC784A" w14:textId="77777777" w:rsidR="004A7D1A" w:rsidRDefault="004A7D1A" w:rsidP="002551C6">
            <w:pPr>
              <w:jc w:val="center"/>
              <w:rPr>
                <w:rFonts w:ascii="Arial" w:eastAsia="Calibri" w:hAnsi="Arial" w:cs="Arial"/>
                <w:b/>
                <w:u w:val="single"/>
              </w:rPr>
            </w:pPr>
          </w:p>
          <w:p w14:paraId="3E835C81" w14:textId="0BE3BE89" w:rsidR="004A7D1A" w:rsidRDefault="004A7D1A" w:rsidP="002551C6">
            <w:pPr>
              <w:jc w:val="center"/>
              <w:rPr>
                <w:rFonts w:ascii="Arial" w:eastAsia="Calibri" w:hAnsi="Arial" w:cs="Arial"/>
                <w:b/>
                <w:u w:val="single"/>
              </w:rPr>
            </w:pPr>
            <w:r>
              <w:rPr>
                <w:rFonts w:ascii="Arial" w:eastAsia="Calibri" w:hAnsi="Arial" w:cs="Arial"/>
                <w:b/>
                <w:u w:val="single"/>
              </w:rPr>
              <w:t>88.00%</w:t>
            </w:r>
          </w:p>
          <w:p w14:paraId="6FC77384" w14:textId="6F60D53A" w:rsidR="004A7D1A" w:rsidRDefault="004A7D1A" w:rsidP="002551C6">
            <w:pPr>
              <w:jc w:val="center"/>
              <w:rPr>
                <w:rFonts w:ascii="Arial" w:eastAsia="Calibri" w:hAnsi="Arial" w:cs="Arial"/>
                <w:b/>
                <w:u w:val="single"/>
              </w:rPr>
            </w:pPr>
            <w:r>
              <w:rPr>
                <w:rFonts w:ascii="Arial" w:eastAsia="Calibri" w:hAnsi="Arial" w:cs="Arial"/>
                <w:b/>
                <w:u w:val="single"/>
              </w:rPr>
              <w:lastRenderedPageBreak/>
              <w:t>95.90%</w:t>
            </w:r>
          </w:p>
          <w:p w14:paraId="23A7893B" w14:textId="77777777" w:rsidR="004A7D1A" w:rsidRDefault="004A7D1A" w:rsidP="002551C6">
            <w:pPr>
              <w:jc w:val="center"/>
              <w:rPr>
                <w:rFonts w:ascii="Arial" w:eastAsia="Calibri" w:hAnsi="Arial" w:cs="Arial"/>
                <w:b/>
                <w:u w:val="single"/>
              </w:rPr>
            </w:pPr>
          </w:p>
          <w:p w14:paraId="55FFC749" w14:textId="795B4826" w:rsidR="004A7D1A" w:rsidRDefault="004A7D1A" w:rsidP="002551C6">
            <w:pPr>
              <w:jc w:val="center"/>
              <w:rPr>
                <w:rFonts w:ascii="Arial" w:eastAsia="Calibri" w:hAnsi="Arial" w:cs="Arial"/>
                <w:b/>
                <w:u w:val="single"/>
              </w:rPr>
            </w:pPr>
            <w:r>
              <w:rPr>
                <w:rFonts w:ascii="Arial" w:eastAsia="Calibri" w:hAnsi="Arial" w:cs="Arial"/>
                <w:b/>
                <w:u w:val="single"/>
              </w:rPr>
              <w:t>89.40%</w:t>
            </w:r>
          </w:p>
        </w:tc>
      </w:tr>
      <w:tr w:rsidR="00A80DF4" w:rsidRPr="004B1294" w14:paraId="01377B3C" w14:textId="77777777" w:rsidTr="00042E94">
        <w:tc>
          <w:tcPr>
            <w:tcW w:w="1550" w:type="dxa"/>
          </w:tcPr>
          <w:p w14:paraId="3DBC571A" w14:textId="77CAFD64" w:rsidR="00A80DF4" w:rsidRDefault="00A80DF4" w:rsidP="002551C6">
            <w:pPr>
              <w:jc w:val="center"/>
              <w:rPr>
                <w:rFonts w:ascii="Arial" w:hAnsi="Arial" w:cs="Arial"/>
                <w:b/>
              </w:rPr>
            </w:pPr>
            <w:r>
              <w:rPr>
                <w:rFonts w:ascii="Arial" w:hAnsi="Arial" w:cs="Arial"/>
                <w:b/>
              </w:rPr>
              <w:lastRenderedPageBreak/>
              <w:t>88</w:t>
            </w:r>
          </w:p>
        </w:tc>
        <w:tc>
          <w:tcPr>
            <w:tcW w:w="3255" w:type="dxa"/>
          </w:tcPr>
          <w:p w14:paraId="487F5B41" w14:textId="71E6C7AA" w:rsidR="00A80DF4" w:rsidRPr="00A80DF4" w:rsidRDefault="00A80DF4" w:rsidP="00A80DF4">
            <w:pPr>
              <w:jc w:val="both"/>
              <w:rPr>
                <w:rFonts w:ascii="Arial" w:hAnsi="Arial" w:cs="Arial"/>
                <w:b/>
                <w:lang w:val="es-MX"/>
              </w:rPr>
            </w:pPr>
            <w:r w:rsidRPr="00A80DF4">
              <w:rPr>
                <w:rFonts w:ascii="Arial" w:hAnsi="Arial" w:cs="Arial"/>
                <w:b/>
                <w:lang w:val="es-MX"/>
              </w:rPr>
              <w:t>SENADO DE LA REPÚBLICA.</w:t>
            </w:r>
          </w:p>
          <w:p w14:paraId="7616A4EC" w14:textId="77777777" w:rsidR="00A80DF4" w:rsidRDefault="00A80DF4" w:rsidP="004A7D1A">
            <w:pPr>
              <w:jc w:val="both"/>
              <w:rPr>
                <w:rFonts w:ascii="Arial" w:hAnsi="Arial" w:cs="Arial"/>
                <w:b/>
                <w:lang w:val="es-MX"/>
              </w:rPr>
            </w:pPr>
          </w:p>
          <w:p w14:paraId="171BA4C2" w14:textId="77777777" w:rsidR="00A80DF4" w:rsidRDefault="00A80DF4" w:rsidP="00A80DF4">
            <w:pPr>
              <w:jc w:val="both"/>
              <w:rPr>
                <w:rFonts w:ascii="Arial" w:hAnsi="Arial" w:cs="Arial"/>
                <w:b/>
                <w:lang w:val="es-MX"/>
              </w:rPr>
            </w:pPr>
            <w:r>
              <w:rPr>
                <w:rFonts w:ascii="Arial" w:hAnsi="Arial" w:cs="Arial"/>
                <w:b/>
                <w:lang w:val="es-MX"/>
              </w:rPr>
              <w:t>FUNCIONAMIENTO</w:t>
            </w:r>
          </w:p>
          <w:p w14:paraId="1A8C5E9A" w14:textId="77777777" w:rsidR="00A80DF4" w:rsidRDefault="00A80DF4" w:rsidP="00A80DF4">
            <w:pPr>
              <w:jc w:val="both"/>
              <w:rPr>
                <w:rFonts w:ascii="Arial" w:hAnsi="Arial" w:cs="Arial"/>
                <w:b/>
                <w:lang w:val="es-MX"/>
              </w:rPr>
            </w:pPr>
            <w:r>
              <w:rPr>
                <w:rFonts w:ascii="Arial" w:hAnsi="Arial" w:cs="Arial"/>
                <w:b/>
                <w:lang w:val="es-MX"/>
              </w:rPr>
              <w:t>INVERSIÓN</w:t>
            </w:r>
          </w:p>
          <w:p w14:paraId="1615EF4C" w14:textId="77777777" w:rsidR="00A80DF4" w:rsidRDefault="00A80DF4" w:rsidP="00A80DF4">
            <w:pPr>
              <w:jc w:val="both"/>
              <w:rPr>
                <w:rFonts w:ascii="Arial" w:hAnsi="Arial" w:cs="Arial"/>
                <w:b/>
                <w:lang w:val="es-MX"/>
              </w:rPr>
            </w:pPr>
          </w:p>
          <w:p w14:paraId="7D6651BD" w14:textId="6289F6AC" w:rsidR="00A80DF4" w:rsidRDefault="00A80DF4" w:rsidP="00A80DF4">
            <w:pPr>
              <w:jc w:val="both"/>
              <w:rPr>
                <w:rFonts w:ascii="Arial" w:hAnsi="Arial" w:cs="Arial"/>
                <w:b/>
                <w:lang w:val="es-MX"/>
              </w:rPr>
            </w:pPr>
            <w:r>
              <w:rPr>
                <w:rFonts w:ascii="Arial" w:hAnsi="Arial" w:cs="Arial"/>
                <w:b/>
                <w:lang w:val="es-MX"/>
              </w:rPr>
              <w:t>TOTAL PRESUPUESTO</w:t>
            </w:r>
          </w:p>
        </w:tc>
        <w:tc>
          <w:tcPr>
            <w:tcW w:w="1839" w:type="dxa"/>
          </w:tcPr>
          <w:p w14:paraId="788F13C7" w14:textId="77777777" w:rsidR="00A80DF4" w:rsidRDefault="00A80DF4" w:rsidP="002551C6">
            <w:pPr>
              <w:jc w:val="center"/>
              <w:rPr>
                <w:rFonts w:ascii="Arial" w:eastAsia="Calibri" w:hAnsi="Arial" w:cs="Arial"/>
                <w:b/>
                <w:u w:val="single"/>
              </w:rPr>
            </w:pPr>
          </w:p>
          <w:p w14:paraId="47689AA6" w14:textId="77777777" w:rsidR="00A80DF4" w:rsidRDefault="00A80DF4" w:rsidP="002551C6">
            <w:pPr>
              <w:jc w:val="center"/>
              <w:rPr>
                <w:rFonts w:ascii="Arial" w:eastAsia="Calibri" w:hAnsi="Arial" w:cs="Arial"/>
                <w:b/>
                <w:u w:val="single"/>
              </w:rPr>
            </w:pPr>
          </w:p>
          <w:p w14:paraId="4488DE58" w14:textId="0E693036" w:rsidR="00A80DF4" w:rsidRDefault="006A4356" w:rsidP="002551C6">
            <w:pPr>
              <w:jc w:val="center"/>
              <w:rPr>
                <w:rFonts w:ascii="Arial" w:eastAsia="Calibri" w:hAnsi="Arial" w:cs="Arial"/>
                <w:b/>
                <w:u w:val="single"/>
              </w:rPr>
            </w:pPr>
            <w:r>
              <w:rPr>
                <w:rFonts w:ascii="Arial" w:eastAsia="Calibri" w:hAnsi="Arial" w:cs="Arial"/>
                <w:b/>
                <w:u w:val="single"/>
              </w:rPr>
              <w:t>93..00%</w:t>
            </w:r>
          </w:p>
          <w:p w14:paraId="4CE65A4C" w14:textId="1AC2FA0D" w:rsidR="00A80DF4" w:rsidRDefault="006A4356" w:rsidP="002551C6">
            <w:pPr>
              <w:jc w:val="center"/>
              <w:rPr>
                <w:rFonts w:ascii="Arial" w:eastAsia="Calibri" w:hAnsi="Arial" w:cs="Arial"/>
                <w:b/>
                <w:u w:val="single"/>
              </w:rPr>
            </w:pPr>
            <w:r>
              <w:rPr>
                <w:rFonts w:ascii="Arial" w:eastAsia="Calibri" w:hAnsi="Arial" w:cs="Arial"/>
                <w:b/>
                <w:u w:val="single"/>
              </w:rPr>
              <w:t>97.00%</w:t>
            </w:r>
          </w:p>
          <w:p w14:paraId="212998E5" w14:textId="77777777" w:rsidR="00A80DF4" w:rsidRDefault="00A80DF4" w:rsidP="002551C6">
            <w:pPr>
              <w:jc w:val="center"/>
              <w:rPr>
                <w:rFonts w:ascii="Arial" w:eastAsia="Calibri" w:hAnsi="Arial" w:cs="Arial"/>
                <w:b/>
                <w:u w:val="single"/>
              </w:rPr>
            </w:pPr>
          </w:p>
          <w:p w14:paraId="595AC2EF" w14:textId="3EFB9EAA" w:rsidR="00A80DF4" w:rsidRDefault="006A4356" w:rsidP="002551C6">
            <w:pPr>
              <w:jc w:val="center"/>
              <w:rPr>
                <w:rFonts w:ascii="Arial" w:eastAsia="Calibri" w:hAnsi="Arial" w:cs="Arial"/>
                <w:b/>
                <w:u w:val="single"/>
              </w:rPr>
            </w:pPr>
            <w:r>
              <w:rPr>
                <w:rFonts w:ascii="Arial" w:eastAsia="Calibri" w:hAnsi="Arial" w:cs="Arial"/>
                <w:b/>
                <w:u w:val="single"/>
              </w:rPr>
              <w:t>94.00%</w:t>
            </w:r>
          </w:p>
        </w:tc>
        <w:tc>
          <w:tcPr>
            <w:tcW w:w="1804" w:type="dxa"/>
          </w:tcPr>
          <w:p w14:paraId="1E5F8A87" w14:textId="77777777" w:rsidR="00A80DF4" w:rsidRDefault="00A80DF4" w:rsidP="002551C6">
            <w:pPr>
              <w:jc w:val="center"/>
              <w:rPr>
                <w:rFonts w:ascii="Arial" w:eastAsia="Calibri" w:hAnsi="Arial" w:cs="Arial"/>
                <w:b/>
                <w:u w:val="single"/>
              </w:rPr>
            </w:pPr>
          </w:p>
          <w:p w14:paraId="3136B127" w14:textId="77777777" w:rsidR="00A80DF4" w:rsidRDefault="00A80DF4" w:rsidP="002551C6">
            <w:pPr>
              <w:jc w:val="center"/>
              <w:rPr>
                <w:rFonts w:ascii="Arial" w:eastAsia="Calibri" w:hAnsi="Arial" w:cs="Arial"/>
                <w:b/>
                <w:u w:val="single"/>
              </w:rPr>
            </w:pPr>
          </w:p>
          <w:p w14:paraId="4A9FA45F" w14:textId="25295DC8" w:rsidR="00A80DF4" w:rsidRDefault="006A4356" w:rsidP="002551C6">
            <w:pPr>
              <w:jc w:val="center"/>
              <w:rPr>
                <w:rFonts w:ascii="Arial" w:eastAsia="Calibri" w:hAnsi="Arial" w:cs="Arial"/>
                <w:b/>
                <w:u w:val="single"/>
              </w:rPr>
            </w:pPr>
            <w:r>
              <w:rPr>
                <w:rFonts w:ascii="Arial" w:eastAsia="Calibri" w:hAnsi="Arial" w:cs="Arial"/>
                <w:b/>
                <w:u w:val="single"/>
              </w:rPr>
              <w:t>87.00%</w:t>
            </w:r>
          </w:p>
          <w:p w14:paraId="4B4491FA" w14:textId="39BDCBCF" w:rsidR="00A80DF4" w:rsidRDefault="006A4356" w:rsidP="002551C6">
            <w:pPr>
              <w:jc w:val="center"/>
              <w:rPr>
                <w:rFonts w:ascii="Arial" w:eastAsia="Calibri" w:hAnsi="Arial" w:cs="Arial"/>
                <w:b/>
                <w:u w:val="single"/>
              </w:rPr>
            </w:pPr>
            <w:r>
              <w:rPr>
                <w:rFonts w:ascii="Arial" w:eastAsia="Calibri" w:hAnsi="Arial" w:cs="Arial"/>
                <w:b/>
                <w:u w:val="single"/>
              </w:rPr>
              <w:t>39.00%</w:t>
            </w:r>
          </w:p>
          <w:p w14:paraId="59B77F02" w14:textId="77777777" w:rsidR="00A80DF4" w:rsidRDefault="00A80DF4" w:rsidP="002551C6">
            <w:pPr>
              <w:jc w:val="center"/>
              <w:rPr>
                <w:rFonts w:ascii="Arial" w:eastAsia="Calibri" w:hAnsi="Arial" w:cs="Arial"/>
                <w:b/>
                <w:u w:val="single"/>
              </w:rPr>
            </w:pPr>
          </w:p>
          <w:p w14:paraId="09F52DA9" w14:textId="5562B348" w:rsidR="00A80DF4" w:rsidRDefault="006A4356" w:rsidP="002551C6">
            <w:pPr>
              <w:jc w:val="center"/>
              <w:rPr>
                <w:rFonts w:ascii="Arial" w:eastAsia="Calibri" w:hAnsi="Arial" w:cs="Arial"/>
                <w:b/>
                <w:u w:val="single"/>
              </w:rPr>
            </w:pPr>
            <w:r>
              <w:rPr>
                <w:rFonts w:ascii="Arial" w:eastAsia="Calibri" w:hAnsi="Arial" w:cs="Arial"/>
                <w:b/>
                <w:u w:val="single"/>
              </w:rPr>
              <w:t>78.00%</w:t>
            </w:r>
          </w:p>
        </w:tc>
        <w:tc>
          <w:tcPr>
            <w:tcW w:w="2042" w:type="dxa"/>
          </w:tcPr>
          <w:p w14:paraId="0DBC2D58" w14:textId="77777777" w:rsidR="00A80DF4" w:rsidRDefault="00A80DF4" w:rsidP="002551C6">
            <w:pPr>
              <w:jc w:val="center"/>
              <w:rPr>
                <w:rFonts w:ascii="Arial" w:eastAsia="Calibri" w:hAnsi="Arial" w:cs="Arial"/>
                <w:b/>
                <w:u w:val="single"/>
              </w:rPr>
            </w:pPr>
          </w:p>
          <w:p w14:paraId="123B8997" w14:textId="77777777" w:rsidR="00A80DF4" w:rsidRDefault="00A80DF4" w:rsidP="002551C6">
            <w:pPr>
              <w:jc w:val="center"/>
              <w:rPr>
                <w:rFonts w:ascii="Arial" w:eastAsia="Calibri" w:hAnsi="Arial" w:cs="Arial"/>
                <w:b/>
                <w:u w:val="single"/>
              </w:rPr>
            </w:pPr>
          </w:p>
          <w:p w14:paraId="3532F68C" w14:textId="61B64741" w:rsidR="00A80DF4" w:rsidRDefault="006A4356" w:rsidP="002551C6">
            <w:pPr>
              <w:jc w:val="center"/>
              <w:rPr>
                <w:rFonts w:ascii="Arial" w:eastAsia="Calibri" w:hAnsi="Arial" w:cs="Arial"/>
                <w:b/>
                <w:u w:val="single"/>
              </w:rPr>
            </w:pPr>
            <w:r>
              <w:rPr>
                <w:rFonts w:ascii="Arial" w:eastAsia="Calibri" w:hAnsi="Arial" w:cs="Arial"/>
                <w:b/>
                <w:u w:val="single"/>
              </w:rPr>
              <w:t>87.00%</w:t>
            </w:r>
          </w:p>
          <w:p w14:paraId="684628D2" w14:textId="4CD71045" w:rsidR="00A80DF4" w:rsidRDefault="006A4356" w:rsidP="002551C6">
            <w:pPr>
              <w:jc w:val="center"/>
              <w:rPr>
                <w:rFonts w:ascii="Arial" w:eastAsia="Calibri" w:hAnsi="Arial" w:cs="Arial"/>
                <w:b/>
                <w:u w:val="single"/>
              </w:rPr>
            </w:pPr>
            <w:r>
              <w:rPr>
                <w:rFonts w:ascii="Arial" w:eastAsia="Calibri" w:hAnsi="Arial" w:cs="Arial"/>
                <w:b/>
                <w:u w:val="single"/>
              </w:rPr>
              <w:t>39.00%</w:t>
            </w:r>
          </w:p>
          <w:p w14:paraId="14E8C824" w14:textId="77777777" w:rsidR="00A80DF4" w:rsidRDefault="00A80DF4" w:rsidP="002551C6">
            <w:pPr>
              <w:jc w:val="center"/>
              <w:rPr>
                <w:rFonts w:ascii="Arial" w:eastAsia="Calibri" w:hAnsi="Arial" w:cs="Arial"/>
                <w:b/>
                <w:u w:val="single"/>
              </w:rPr>
            </w:pPr>
          </w:p>
          <w:p w14:paraId="1DE54FEA" w14:textId="648FF8D8" w:rsidR="00A80DF4" w:rsidRDefault="006A4356" w:rsidP="002551C6">
            <w:pPr>
              <w:jc w:val="center"/>
              <w:rPr>
                <w:rFonts w:ascii="Arial" w:eastAsia="Calibri" w:hAnsi="Arial" w:cs="Arial"/>
                <w:b/>
                <w:u w:val="single"/>
              </w:rPr>
            </w:pPr>
            <w:r>
              <w:rPr>
                <w:rFonts w:ascii="Arial" w:eastAsia="Calibri" w:hAnsi="Arial" w:cs="Arial"/>
                <w:b/>
                <w:u w:val="single"/>
              </w:rPr>
              <w:t>78.00%</w:t>
            </w:r>
          </w:p>
        </w:tc>
      </w:tr>
      <w:tr w:rsidR="006D1092" w:rsidRPr="004B1294" w14:paraId="786F1317" w14:textId="77777777" w:rsidTr="00042E94">
        <w:tc>
          <w:tcPr>
            <w:tcW w:w="1550" w:type="dxa"/>
          </w:tcPr>
          <w:p w14:paraId="0CB23562" w14:textId="3794CA34" w:rsidR="006D1092" w:rsidRDefault="006D1092" w:rsidP="002551C6">
            <w:pPr>
              <w:jc w:val="center"/>
              <w:rPr>
                <w:rFonts w:ascii="Arial" w:hAnsi="Arial" w:cs="Arial"/>
                <w:b/>
              </w:rPr>
            </w:pPr>
            <w:r>
              <w:rPr>
                <w:rFonts w:ascii="Arial" w:hAnsi="Arial" w:cs="Arial"/>
                <w:b/>
              </w:rPr>
              <w:t>89</w:t>
            </w:r>
          </w:p>
        </w:tc>
        <w:tc>
          <w:tcPr>
            <w:tcW w:w="3255" w:type="dxa"/>
          </w:tcPr>
          <w:p w14:paraId="583C507E" w14:textId="0A7F38DD" w:rsidR="006D1092" w:rsidRPr="006D1092" w:rsidRDefault="006D1092" w:rsidP="006D1092">
            <w:pPr>
              <w:jc w:val="both"/>
              <w:rPr>
                <w:rFonts w:ascii="Arial" w:hAnsi="Arial" w:cs="Arial"/>
                <w:b/>
                <w:lang w:val="es-MX"/>
              </w:rPr>
            </w:pPr>
            <w:r w:rsidRPr="006D1092">
              <w:rPr>
                <w:rFonts w:ascii="Arial" w:hAnsi="Arial" w:cs="Arial"/>
                <w:b/>
                <w:lang w:val="es-MX"/>
              </w:rPr>
              <w:t xml:space="preserve"> CORPORACIÓN AGENCIA NACIONAL DE GOBIERNO DIGITAL - AND.</w:t>
            </w:r>
          </w:p>
          <w:p w14:paraId="7CC14AB1" w14:textId="77777777" w:rsidR="006D1092" w:rsidRDefault="006D1092" w:rsidP="00A80DF4">
            <w:pPr>
              <w:jc w:val="both"/>
              <w:rPr>
                <w:rFonts w:ascii="Arial" w:hAnsi="Arial" w:cs="Arial"/>
                <w:b/>
                <w:lang w:val="es-MX"/>
              </w:rPr>
            </w:pPr>
          </w:p>
          <w:p w14:paraId="56074518" w14:textId="77777777" w:rsidR="006D1092" w:rsidRDefault="006D1092" w:rsidP="006D1092">
            <w:pPr>
              <w:jc w:val="both"/>
              <w:rPr>
                <w:rFonts w:ascii="Arial" w:hAnsi="Arial" w:cs="Arial"/>
                <w:b/>
                <w:lang w:val="es-MX"/>
              </w:rPr>
            </w:pPr>
            <w:r>
              <w:rPr>
                <w:rFonts w:ascii="Arial" w:hAnsi="Arial" w:cs="Arial"/>
                <w:b/>
                <w:lang w:val="es-MX"/>
              </w:rPr>
              <w:t>FUNCIONAMIENTO</w:t>
            </w:r>
          </w:p>
          <w:p w14:paraId="6FF28175" w14:textId="77777777" w:rsidR="006D1092" w:rsidRDefault="006D1092" w:rsidP="006D1092">
            <w:pPr>
              <w:jc w:val="both"/>
              <w:rPr>
                <w:rFonts w:ascii="Arial" w:hAnsi="Arial" w:cs="Arial"/>
                <w:b/>
                <w:lang w:val="es-MX"/>
              </w:rPr>
            </w:pPr>
            <w:r>
              <w:rPr>
                <w:rFonts w:ascii="Arial" w:hAnsi="Arial" w:cs="Arial"/>
                <w:b/>
                <w:lang w:val="es-MX"/>
              </w:rPr>
              <w:t>INVERSIÓN</w:t>
            </w:r>
          </w:p>
          <w:p w14:paraId="455D5A3E" w14:textId="77777777" w:rsidR="006D1092" w:rsidRDefault="006D1092" w:rsidP="006D1092">
            <w:pPr>
              <w:jc w:val="both"/>
              <w:rPr>
                <w:rFonts w:ascii="Arial" w:hAnsi="Arial" w:cs="Arial"/>
                <w:b/>
                <w:lang w:val="es-MX"/>
              </w:rPr>
            </w:pPr>
          </w:p>
          <w:p w14:paraId="2BB6B4B7" w14:textId="295BD65D" w:rsidR="006D1092" w:rsidRPr="00A80DF4" w:rsidRDefault="006D1092" w:rsidP="006D1092">
            <w:pPr>
              <w:jc w:val="both"/>
              <w:rPr>
                <w:rFonts w:ascii="Arial" w:hAnsi="Arial" w:cs="Arial"/>
                <w:b/>
                <w:lang w:val="es-MX"/>
              </w:rPr>
            </w:pPr>
            <w:r>
              <w:rPr>
                <w:rFonts w:ascii="Arial" w:hAnsi="Arial" w:cs="Arial"/>
                <w:b/>
                <w:lang w:val="es-MX"/>
              </w:rPr>
              <w:t>TOTAL PRESUPUESTO</w:t>
            </w:r>
          </w:p>
        </w:tc>
        <w:tc>
          <w:tcPr>
            <w:tcW w:w="1839" w:type="dxa"/>
          </w:tcPr>
          <w:p w14:paraId="5C9584E4" w14:textId="3AC3D1AC" w:rsidR="006D1092" w:rsidRDefault="006D1092" w:rsidP="002551C6">
            <w:pPr>
              <w:jc w:val="center"/>
              <w:rPr>
                <w:rFonts w:ascii="Arial" w:eastAsia="Calibri" w:hAnsi="Arial" w:cs="Arial"/>
                <w:b/>
                <w:u w:val="single"/>
              </w:rPr>
            </w:pPr>
          </w:p>
          <w:p w14:paraId="09ADBBA1" w14:textId="77777777" w:rsidR="006D1092" w:rsidRDefault="006D1092" w:rsidP="002551C6">
            <w:pPr>
              <w:jc w:val="center"/>
              <w:rPr>
                <w:rFonts w:ascii="Arial" w:eastAsia="Calibri" w:hAnsi="Arial" w:cs="Arial"/>
                <w:b/>
                <w:u w:val="single"/>
              </w:rPr>
            </w:pPr>
          </w:p>
          <w:p w14:paraId="4E4A6733" w14:textId="77777777" w:rsidR="006D1092" w:rsidRDefault="006D1092" w:rsidP="002551C6">
            <w:pPr>
              <w:jc w:val="center"/>
              <w:rPr>
                <w:rFonts w:ascii="Arial" w:eastAsia="Calibri" w:hAnsi="Arial" w:cs="Arial"/>
                <w:b/>
                <w:u w:val="single"/>
              </w:rPr>
            </w:pPr>
          </w:p>
          <w:p w14:paraId="3A4C5D1E" w14:textId="77777777" w:rsidR="006D1092" w:rsidRDefault="006D1092" w:rsidP="002551C6">
            <w:pPr>
              <w:jc w:val="center"/>
              <w:rPr>
                <w:rFonts w:ascii="Arial" w:eastAsia="Calibri" w:hAnsi="Arial" w:cs="Arial"/>
                <w:b/>
                <w:u w:val="single"/>
              </w:rPr>
            </w:pPr>
          </w:p>
          <w:p w14:paraId="0A66C0E4" w14:textId="6188FB96" w:rsidR="006D1092" w:rsidRDefault="006D1092" w:rsidP="002551C6">
            <w:pPr>
              <w:jc w:val="center"/>
              <w:rPr>
                <w:rFonts w:ascii="Arial" w:eastAsia="Calibri" w:hAnsi="Arial" w:cs="Arial"/>
                <w:b/>
                <w:u w:val="single"/>
              </w:rPr>
            </w:pPr>
            <w:r>
              <w:rPr>
                <w:rFonts w:ascii="Arial" w:eastAsia="Calibri" w:hAnsi="Arial" w:cs="Arial"/>
                <w:b/>
                <w:u w:val="single"/>
              </w:rPr>
              <w:t>72.00%</w:t>
            </w:r>
          </w:p>
          <w:p w14:paraId="37A51AD1" w14:textId="5625988E" w:rsidR="006D1092" w:rsidRDefault="006D1092" w:rsidP="002551C6">
            <w:pPr>
              <w:jc w:val="center"/>
              <w:rPr>
                <w:rFonts w:ascii="Arial" w:eastAsia="Calibri" w:hAnsi="Arial" w:cs="Arial"/>
                <w:b/>
                <w:u w:val="single"/>
              </w:rPr>
            </w:pPr>
            <w:r>
              <w:rPr>
                <w:rFonts w:ascii="Arial" w:eastAsia="Calibri" w:hAnsi="Arial" w:cs="Arial"/>
                <w:b/>
                <w:u w:val="single"/>
              </w:rPr>
              <w:t>66.80%</w:t>
            </w:r>
          </w:p>
          <w:p w14:paraId="039937CF" w14:textId="77777777" w:rsidR="006D1092" w:rsidRDefault="006D1092" w:rsidP="002551C6">
            <w:pPr>
              <w:jc w:val="center"/>
              <w:rPr>
                <w:rFonts w:ascii="Arial" w:eastAsia="Calibri" w:hAnsi="Arial" w:cs="Arial"/>
                <w:b/>
                <w:u w:val="single"/>
              </w:rPr>
            </w:pPr>
          </w:p>
          <w:p w14:paraId="1B3F883B" w14:textId="19045008" w:rsidR="006D1092" w:rsidRDefault="006D1092" w:rsidP="002551C6">
            <w:pPr>
              <w:jc w:val="center"/>
              <w:rPr>
                <w:rFonts w:ascii="Arial" w:eastAsia="Calibri" w:hAnsi="Arial" w:cs="Arial"/>
                <w:b/>
                <w:u w:val="single"/>
              </w:rPr>
            </w:pPr>
            <w:r>
              <w:rPr>
                <w:rFonts w:ascii="Arial" w:eastAsia="Calibri" w:hAnsi="Arial" w:cs="Arial"/>
                <w:b/>
                <w:u w:val="single"/>
              </w:rPr>
              <w:t>66.60%</w:t>
            </w:r>
          </w:p>
        </w:tc>
        <w:tc>
          <w:tcPr>
            <w:tcW w:w="1804" w:type="dxa"/>
          </w:tcPr>
          <w:p w14:paraId="72CC73AB" w14:textId="77777777" w:rsidR="006D1092" w:rsidRDefault="006D1092" w:rsidP="002551C6">
            <w:pPr>
              <w:jc w:val="center"/>
              <w:rPr>
                <w:rFonts w:ascii="Arial" w:eastAsia="Calibri" w:hAnsi="Arial" w:cs="Arial"/>
                <w:b/>
                <w:u w:val="single"/>
              </w:rPr>
            </w:pPr>
          </w:p>
          <w:p w14:paraId="1540220A" w14:textId="77777777" w:rsidR="006D1092" w:rsidRDefault="006D1092" w:rsidP="002551C6">
            <w:pPr>
              <w:jc w:val="center"/>
              <w:rPr>
                <w:rFonts w:ascii="Arial" w:eastAsia="Calibri" w:hAnsi="Arial" w:cs="Arial"/>
                <w:b/>
                <w:u w:val="single"/>
              </w:rPr>
            </w:pPr>
          </w:p>
          <w:p w14:paraId="7217D324" w14:textId="77777777" w:rsidR="006D1092" w:rsidRDefault="006D1092" w:rsidP="002551C6">
            <w:pPr>
              <w:jc w:val="center"/>
              <w:rPr>
                <w:rFonts w:ascii="Arial" w:eastAsia="Calibri" w:hAnsi="Arial" w:cs="Arial"/>
                <w:b/>
                <w:u w:val="single"/>
              </w:rPr>
            </w:pPr>
          </w:p>
          <w:p w14:paraId="43DB5C5B" w14:textId="77777777" w:rsidR="006D1092" w:rsidRDefault="006D1092" w:rsidP="002551C6">
            <w:pPr>
              <w:jc w:val="center"/>
              <w:rPr>
                <w:rFonts w:ascii="Arial" w:eastAsia="Calibri" w:hAnsi="Arial" w:cs="Arial"/>
                <w:b/>
                <w:u w:val="single"/>
              </w:rPr>
            </w:pPr>
          </w:p>
          <w:p w14:paraId="3EEAC1E9" w14:textId="613EB0FA" w:rsidR="006D1092" w:rsidRDefault="006D1092" w:rsidP="002551C6">
            <w:pPr>
              <w:jc w:val="center"/>
              <w:rPr>
                <w:rFonts w:ascii="Arial" w:eastAsia="Calibri" w:hAnsi="Arial" w:cs="Arial"/>
                <w:b/>
                <w:u w:val="single"/>
              </w:rPr>
            </w:pPr>
            <w:r>
              <w:rPr>
                <w:rFonts w:ascii="Arial" w:eastAsia="Calibri" w:hAnsi="Arial" w:cs="Arial"/>
                <w:b/>
                <w:u w:val="single"/>
              </w:rPr>
              <w:t>72.00%</w:t>
            </w:r>
          </w:p>
          <w:p w14:paraId="477D0DEF" w14:textId="3D183FB0" w:rsidR="006D1092" w:rsidRDefault="006D1092" w:rsidP="002551C6">
            <w:pPr>
              <w:jc w:val="center"/>
              <w:rPr>
                <w:rFonts w:ascii="Arial" w:eastAsia="Calibri" w:hAnsi="Arial" w:cs="Arial"/>
                <w:b/>
                <w:u w:val="single"/>
              </w:rPr>
            </w:pPr>
            <w:r>
              <w:rPr>
                <w:rFonts w:ascii="Arial" w:eastAsia="Calibri" w:hAnsi="Arial" w:cs="Arial"/>
                <w:b/>
                <w:u w:val="single"/>
              </w:rPr>
              <w:t>63.20%</w:t>
            </w:r>
          </w:p>
          <w:p w14:paraId="5E92C300" w14:textId="77777777" w:rsidR="006D1092" w:rsidRDefault="006D1092" w:rsidP="002551C6">
            <w:pPr>
              <w:jc w:val="center"/>
              <w:rPr>
                <w:rFonts w:ascii="Arial" w:eastAsia="Calibri" w:hAnsi="Arial" w:cs="Arial"/>
                <w:b/>
                <w:u w:val="single"/>
              </w:rPr>
            </w:pPr>
          </w:p>
          <w:p w14:paraId="6F59F84D" w14:textId="665006BF" w:rsidR="006D1092" w:rsidRDefault="006D1092" w:rsidP="002551C6">
            <w:pPr>
              <w:jc w:val="center"/>
              <w:rPr>
                <w:rFonts w:ascii="Arial" w:eastAsia="Calibri" w:hAnsi="Arial" w:cs="Arial"/>
                <w:b/>
                <w:u w:val="single"/>
              </w:rPr>
            </w:pPr>
            <w:r>
              <w:rPr>
                <w:rFonts w:ascii="Arial" w:eastAsia="Calibri" w:hAnsi="Arial" w:cs="Arial"/>
                <w:b/>
                <w:u w:val="single"/>
              </w:rPr>
              <w:t>57.30%</w:t>
            </w:r>
          </w:p>
        </w:tc>
        <w:tc>
          <w:tcPr>
            <w:tcW w:w="2042" w:type="dxa"/>
          </w:tcPr>
          <w:p w14:paraId="74561F31" w14:textId="77777777" w:rsidR="006D1092" w:rsidRDefault="006D1092" w:rsidP="002551C6">
            <w:pPr>
              <w:jc w:val="center"/>
              <w:rPr>
                <w:rFonts w:ascii="Arial" w:eastAsia="Calibri" w:hAnsi="Arial" w:cs="Arial"/>
                <w:b/>
                <w:u w:val="single"/>
              </w:rPr>
            </w:pPr>
          </w:p>
          <w:p w14:paraId="002293CE" w14:textId="77777777" w:rsidR="006D1092" w:rsidRDefault="006D1092" w:rsidP="002551C6">
            <w:pPr>
              <w:jc w:val="center"/>
              <w:rPr>
                <w:rFonts w:ascii="Arial" w:eastAsia="Calibri" w:hAnsi="Arial" w:cs="Arial"/>
                <w:b/>
                <w:u w:val="single"/>
              </w:rPr>
            </w:pPr>
          </w:p>
          <w:p w14:paraId="42A3C873" w14:textId="77777777" w:rsidR="006D1092" w:rsidRDefault="006D1092" w:rsidP="002551C6">
            <w:pPr>
              <w:jc w:val="center"/>
              <w:rPr>
                <w:rFonts w:ascii="Arial" w:eastAsia="Calibri" w:hAnsi="Arial" w:cs="Arial"/>
                <w:b/>
                <w:u w:val="single"/>
              </w:rPr>
            </w:pPr>
          </w:p>
          <w:p w14:paraId="5FB29C1D" w14:textId="77777777" w:rsidR="006D1092" w:rsidRDefault="006D1092" w:rsidP="002551C6">
            <w:pPr>
              <w:jc w:val="center"/>
              <w:rPr>
                <w:rFonts w:ascii="Arial" w:eastAsia="Calibri" w:hAnsi="Arial" w:cs="Arial"/>
                <w:b/>
                <w:u w:val="single"/>
              </w:rPr>
            </w:pPr>
          </w:p>
          <w:p w14:paraId="65DAD041" w14:textId="6E95DA44" w:rsidR="006D1092" w:rsidRDefault="006D1092" w:rsidP="002551C6">
            <w:pPr>
              <w:jc w:val="center"/>
              <w:rPr>
                <w:rFonts w:ascii="Arial" w:eastAsia="Calibri" w:hAnsi="Arial" w:cs="Arial"/>
                <w:b/>
                <w:u w:val="single"/>
              </w:rPr>
            </w:pPr>
            <w:r>
              <w:rPr>
                <w:rFonts w:ascii="Arial" w:eastAsia="Calibri" w:hAnsi="Arial" w:cs="Arial"/>
                <w:b/>
                <w:u w:val="single"/>
              </w:rPr>
              <w:t>69.20%</w:t>
            </w:r>
          </w:p>
          <w:p w14:paraId="060E05C9" w14:textId="48A702C1" w:rsidR="006D1092" w:rsidRDefault="006D1092" w:rsidP="002551C6">
            <w:pPr>
              <w:jc w:val="center"/>
              <w:rPr>
                <w:rFonts w:ascii="Arial" w:eastAsia="Calibri" w:hAnsi="Arial" w:cs="Arial"/>
                <w:b/>
                <w:u w:val="single"/>
              </w:rPr>
            </w:pPr>
            <w:r>
              <w:rPr>
                <w:rFonts w:ascii="Arial" w:eastAsia="Calibri" w:hAnsi="Arial" w:cs="Arial"/>
                <w:b/>
                <w:u w:val="single"/>
              </w:rPr>
              <w:t>48.40%</w:t>
            </w:r>
          </w:p>
          <w:p w14:paraId="2856CA4A" w14:textId="77777777" w:rsidR="006D1092" w:rsidRDefault="006D1092" w:rsidP="002551C6">
            <w:pPr>
              <w:jc w:val="center"/>
              <w:rPr>
                <w:rFonts w:ascii="Arial" w:eastAsia="Calibri" w:hAnsi="Arial" w:cs="Arial"/>
                <w:b/>
                <w:u w:val="single"/>
              </w:rPr>
            </w:pPr>
          </w:p>
          <w:p w14:paraId="69979D01" w14:textId="14871674" w:rsidR="006D1092" w:rsidRDefault="006D1092" w:rsidP="002551C6">
            <w:pPr>
              <w:jc w:val="center"/>
              <w:rPr>
                <w:rFonts w:ascii="Arial" w:eastAsia="Calibri" w:hAnsi="Arial" w:cs="Arial"/>
                <w:b/>
                <w:u w:val="single"/>
              </w:rPr>
            </w:pPr>
            <w:r>
              <w:rPr>
                <w:rFonts w:ascii="Arial" w:eastAsia="Calibri" w:hAnsi="Arial" w:cs="Arial"/>
                <w:b/>
                <w:u w:val="single"/>
              </w:rPr>
              <w:t>49.70%</w:t>
            </w:r>
          </w:p>
        </w:tc>
      </w:tr>
      <w:tr w:rsidR="000261C3" w:rsidRPr="004B1294" w14:paraId="3EEF49E0" w14:textId="77777777" w:rsidTr="00042E94">
        <w:tc>
          <w:tcPr>
            <w:tcW w:w="1550" w:type="dxa"/>
          </w:tcPr>
          <w:p w14:paraId="6BED5014" w14:textId="579E1DB0" w:rsidR="000261C3" w:rsidRDefault="000261C3" w:rsidP="002551C6">
            <w:pPr>
              <w:jc w:val="center"/>
              <w:rPr>
                <w:rFonts w:ascii="Arial" w:hAnsi="Arial" w:cs="Arial"/>
                <w:b/>
              </w:rPr>
            </w:pPr>
            <w:r>
              <w:rPr>
                <w:rFonts w:ascii="Arial" w:hAnsi="Arial" w:cs="Arial"/>
                <w:b/>
              </w:rPr>
              <w:t>96</w:t>
            </w:r>
          </w:p>
        </w:tc>
        <w:tc>
          <w:tcPr>
            <w:tcW w:w="3255" w:type="dxa"/>
          </w:tcPr>
          <w:p w14:paraId="7CF1D948" w14:textId="34C99DDF" w:rsidR="000261C3" w:rsidRPr="000261C3" w:rsidRDefault="000261C3" w:rsidP="000261C3">
            <w:pPr>
              <w:jc w:val="both"/>
              <w:rPr>
                <w:rFonts w:ascii="Arial" w:hAnsi="Arial" w:cs="Arial"/>
                <w:b/>
                <w:lang w:val="es-MX"/>
              </w:rPr>
            </w:pPr>
            <w:r w:rsidRPr="000261C3">
              <w:rPr>
                <w:rFonts w:ascii="Arial" w:hAnsi="Arial" w:cs="Arial"/>
                <w:b/>
              </w:rPr>
              <w:t>CORPORACIÓN NACIONAL PARA LA RECONSTRUCCIÒN DE LA CUENCA DEL RIO PAEZ Y ZONAS ALEDAÑAS - NASA KIWE.</w:t>
            </w:r>
          </w:p>
          <w:p w14:paraId="33FA83F2" w14:textId="77777777" w:rsidR="000261C3" w:rsidRDefault="000261C3" w:rsidP="006D1092">
            <w:pPr>
              <w:jc w:val="both"/>
              <w:rPr>
                <w:rFonts w:ascii="Arial" w:hAnsi="Arial" w:cs="Arial"/>
                <w:b/>
                <w:lang w:val="es-MX"/>
              </w:rPr>
            </w:pPr>
          </w:p>
          <w:p w14:paraId="14EC3243" w14:textId="77777777" w:rsidR="000261C3" w:rsidRDefault="000261C3" w:rsidP="000261C3">
            <w:pPr>
              <w:jc w:val="both"/>
              <w:rPr>
                <w:rFonts w:ascii="Arial" w:hAnsi="Arial" w:cs="Arial"/>
                <w:b/>
                <w:lang w:val="es-MX"/>
              </w:rPr>
            </w:pPr>
            <w:r>
              <w:rPr>
                <w:rFonts w:ascii="Arial" w:hAnsi="Arial" w:cs="Arial"/>
                <w:b/>
                <w:lang w:val="es-MX"/>
              </w:rPr>
              <w:t>FUNCIONAMIENTO</w:t>
            </w:r>
          </w:p>
          <w:p w14:paraId="4450FBE5" w14:textId="77777777" w:rsidR="000261C3" w:rsidRDefault="000261C3" w:rsidP="000261C3">
            <w:pPr>
              <w:jc w:val="both"/>
              <w:rPr>
                <w:rFonts w:ascii="Arial" w:hAnsi="Arial" w:cs="Arial"/>
                <w:b/>
                <w:lang w:val="es-MX"/>
              </w:rPr>
            </w:pPr>
            <w:r>
              <w:rPr>
                <w:rFonts w:ascii="Arial" w:hAnsi="Arial" w:cs="Arial"/>
                <w:b/>
                <w:lang w:val="es-MX"/>
              </w:rPr>
              <w:t>INVERSIÓN</w:t>
            </w:r>
          </w:p>
          <w:p w14:paraId="71DC6BF0" w14:textId="77777777" w:rsidR="000261C3" w:rsidRDefault="000261C3" w:rsidP="000261C3">
            <w:pPr>
              <w:jc w:val="both"/>
              <w:rPr>
                <w:rFonts w:ascii="Arial" w:hAnsi="Arial" w:cs="Arial"/>
                <w:b/>
                <w:lang w:val="es-MX"/>
              </w:rPr>
            </w:pPr>
          </w:p>
          <w:p w14:paraId="0A25ED01" w14:textId="3025B7AC" w:rsidR="000261C3" w:rsidRPr="006D1092" w:rsidRDefault="000261C3" w:rsidP="000261C3">
            <w:pPr>
              <w:jc w:val="both"/>
              <w:rPr>
                <w:rFonts w:ascii="Arial" w:hAnsi="Arial" w:cs="Arial"/>
                <w:b/>
                <w:lang w:val="es-MX"/>
              </w:rPr>
            </w:pPr>
            <w:r>
              <w:rPr>
                <w:rFonts w:ascii="Arial" w:hAnsi="Arial" w:cs="Arial"/>
                <w:b/>
                <w:lang w:val="es-MX"/>
              </w:rPr>
              <w:t>TOTAL PRESUPUESTO</w:t>
            </w:r>
          </w:p>
        </w:tc>
        <w:tc>
          <w:tcPr>
            <w:tcW w:w="1839" w:type="dxa"/>
          </w:tcPr>
          <w:p w14:paraId="5EAAFE16" w14:textId="77777777" w:rsidR="000261C3" w:rsidRDefault="000261C3" w:rsidP="002551C6">
            <w:pPr>
              <w:jc w:val="center"/>
              <w:rPr>
                <w:rFonts w:ascii="Arial" w:eastAsia="Calibri" w:hAnsi="Arial" w:cs="Arial"/>
                <w:b/>
                <w:u w:val="single"/>
              </w:rPr>
            </w:pPr>
          </w:p>
          <w:p w14:paraId="6CADF540" w14:textId="77777777" w:rsidR="000261C3" w:rsidRDefault="000261C3" w:rsidP="002551C6">
            <w:pPr>
              <w:jc w:val="center"/>
              <w:rPr>
                <w:rFonts w:ascii="Arial" w:eastAsia="Calibri" w:hAnsi="Arial" w:cs="Arial"/>
                <w:b/>
                <w:u w:val="single"/>
              </w:rPr>
            </w:pPr>
          </w:p>
          <w:p w14:paraId="58D4BBAA" w14:textId="77777777" w:rsidR="000261C3" w:rsidRDefault="000261C3" w:rsidP="002551C6">
            <w:pPr>
              <w:jc w:val="center"/>
              <w:rPr>
                <w:rFonts w:ascii="Arial" w:eastAsia="Calibri" w:hAnsi="Arial" w:cs="Arial"/>
                <w:b/>
                <w:u w:val="single"/>
              </w:rPr>
            </w:pPr>
          </w:p>
          <w:p w14:paraId="7C0D0704" w14:textId="77777777" w:rsidR="000261C3" w:rsidRDefault="000261C3" w:rsidP="002551C6">
            <w:pPr>
              <w:jc w:val="center"/>
              <w:rPr>
                <w:rFonts w:ascii="Arial" w:eastAsia="Calibri" w:hAnsi="Arial" w:cs="Arial"/>
                <w:b/>
                <w:u w:val="single"/>
              </w:rPr>
            </w:pPr>
          </w:p>
          <w:p w14:paraId="304C1D20" w14:textId="77777777" w:rsidR="000261C3" w:rsidRDefault="000261C3" w:rsidP="002551C6">
            <w:pPr>
              <w:jc w:val="center"/>
              <w:rPr>
                <w:rFonts w:ascii="Arial" w:eastAsia="Calibri" w:hAnsi="Arial" w:cs="Arial"/>
                <w:b/>
                <w:u w:val="single"/>
              </w:rPr>
            </w:pPr>
          </w:p>
          <w:p w14:paraId="4DD58C8D" w14:textId="77499D64" w:rsidR="000261C3" w:rsidRDefault="000261C3" w:rsidP="002551C6">
            <w:pPr>
              <w:jc w:val="center"/>
              <w:rPr>
                <w:rFonts w:ascii="Arial" w:eastAsia="Calibri" w:hAnsi="Arial" w:cs="Arial"/>
                <w:b/>
                <w:u w:val="single"/>
              </w:rPr>
            </w:pPr>
          </w:p>
          <w:p w14:paraId="5E280D8C" w14:textId="245AE8DE" w:rsidR="000261C3" w:rsidRDefault="000261C3" w:rsidP="002551C6">
            <w:pPr>
              <w:jc w:val="center"/>
              <w:rPr>
                <w:rFonts w:ascii="Arial" w:eastAsia="Calibri" w:hAnsi="Arial" w:cs="Arial"/>
                <w:b/>
                <w:u w:val="single"/>
              </w:rPr>
            </w:pPr>
            <w:r>
              <w:rPr>
                <w:rFonts w:ascii="Arial" w:eastAsia="Calibri" w:hAnsi="Arial" w:cs="Arial"/>
                <w:b/>
                <w:u w:val="single"/>
              </w:rPr>
              <w:t>96.00%</w:t>
            </w:r>
          </w:p>
          <w:p w14:paraId="3A9F1343" w14:textId="3DA04006" w:rsidR="000261C3" w:rsidRDefault="000261C3" w:rsidP="002551C6">
            <w:pPr>
              <w:jc w:val="center"/>
              <w:rPr>
                <w:rFonts w:ascii="Arial" w:eastAsia="Calibri" w:hAnsi="Arial" w:cs="Arial"/>
                <w:b/>
                <w:u w:val="single"/>
              </w:rPr>
            </w:pPr>
            <w:r>
              <w:rPr>
                <w:rFonts w:ascii="Arial" w:eastAsia="Calibri" w:hAnsi="Arial" w:cs="Arial"/>
                <w:b/>
                <w:u w:val="single"/>
              </w:rPr>
              <w:t>96.00%</w:t>
            </w:r>
          </w:p>
          <w:p w14:paraId="7B0D0DB1" w14:textId="77777777" w:rsidR="000261C3" w:rsidRDefault="000261C3" w:rsidP="002551C6">
            <w:pPr>
              <w:jc w:val="center"/>
              <w:rPr>
                <w:rFonts w:ascii="Arial" w:eastAsia="Calibri" w:hAnsi="Arial" w:cs="Arial"/>
                <w:b/>
                <w:u w:val="single"/>
              </w:rPr>
            </w:pPr>
          </w:p>
          <w:p w14:paraId="6C01FBD4" w14:textId="2D4991B3" w:rsidR="000261C3" w:rsidRDefault="000261C3" w:rsidP="000261C3">
            <w:pPr>
              <w:jc w:val="center"/>
              <w:rPr>
                <w:rFonts w:ascii="Arial" w:eastAsia="Calibri" w:hAnsi="Arial" w:cs="Arial"/>
                <w:b/>
                <w:u w:val="single"/>
              </w:rPr>
            </w:pPr>
            <w:r>
              <w:rPr>
                <w:rFonts w:ascii="Arial" w:eastAsia="Calibri" w:hAnsi="Arial" w:cs="Arial"/>
                <w:b/>
                <w:u w:val="single"/>
              </w:rPr>
              <w:t>96.00%</w:t>
            </w:r>
          </w:p>
        </w:tc>
        <w:tc>
          <w:tcPr>
            <w:tcW w:w="1804" w:type="dxa"/>
          </w:tcPr>
          <w:p w14:paraId="21891E13" w14:textId="77777777" w:rsidR="000261C3" w:rsidRDefault="000261C3" w:rsidP="002551C6">
            <w:pPr>
              <w:jc w:val="center"/>
              <w:rPr>
                <w:rFonts w:ascii="Arial" w:eastAsia="Calibri" w:hAnsi="Arial" w:cs="Arial"/>
                <w:b/>
                <w:u w:val="single"/>
              </w:rPr>
            </w:pPr>
          </w:p>
          <w:p w14:paraId="306BE402" w14:textId="77777777" w:rsidR="000261C3" w:rsidRDefault="000261C3" w:rsidP="002551C6">
            <w:pPr>
              <w:jc w:val="center"/>
              <w:rPr>
                <w:rFonts w:ascii="Arial" w:eastAsia="Calibri" w:hAnsi="Arial" w:cs="Arial"/>
                <w:b/>
                <w:u w:val="single"/>
              </w:rPr>
            </w:pPr>
          </w:p>
          <w:p w14:paraId="263370EA" w14:textId="77777777" w:rsidR="000261C3" w:rsidRDefault="000261C3" w:rsidP="002551C6">
            <w:pPr>
              <w:jc w:val="center"/>
              <w:rPr>
                <w:rFonts w:ascii="Arial" w:eastAsia="Calibri" w:hAnsi="Arial" w:cs="Arial"/>
                <w:b/>
                <w:u w:val="single"/>
              </w:rPr>
            </w:pPr>
          </w:p>
          <w:p w14:paraId="2055E927" w14:textId="77777777" w:rsidR="000261C3" w:rsidRDefault="000261C3" w:rsidP="002551C6">
            <w:pPr>
              <w:jc w:val="center"/>
              <w:rPr>
                <w:rFonts w:ascii="Arial" w:eastAsia="Calibri" w:hAnsi="Arial" w:cs="Arial"/>
                <w:b/>
                <w:u w:val="single"/>
              </w:rPr>
            </w:pPr>
          </w:p>
          <w:p w14:paraId="5C0238D3" w14:textId="77777777" w:rsidR="000261C3" w:rsidRDefault="000261C3" w:rsidP="002551C6">
            <w:pPr>
              <w:jc w:val="center"/>
              <w:rPr>
                <w:rFonts w:ascii="Arial" w:eastAsia="Calibri" w:hAnsi="Arial" w:cs="Arial"/>
                <w:b/>
                <w:u w:val="single"/>
              </w:rPr>
            </w:pPr>
          </w:p>
          <w:p w14:paraId="3DB45D5E" w14:textId="77777777" w:rsidR="000261C3" w:rsidRDefault="000261C3" w:rsidP="002551C6">
            <w:pPr>
              <w:jc w:val="center"/>
              <w:rPr>
                <w:rFonts w:ascii="Arial" w:eastAsia="Calibri" w:hAnsi="Arial" w:cs="Arial"/>
                <w:b/>
                <w:u w:val="single"/>
              </w:rPr>
            </w:pPr>
          </w:p>
          <w:p w14:paraId="71627797" w14:textId="09CB8449" w:rsidR="000261C3" w:rsidRDefault="000261C3" w:rsidP="002551C6">
            <w:pPr>
              <w:jc w:val="center"/>
              <w:rPr>
                <w:rFonts w:ascii="Arial" w:eastAsia="Calibri" w:hAnsi="Arial" w:cs="Arial"/>
                <w:b/>
                <w:u w:val="single"/>
              </w:rPr>
            </w:pPr>
            <w:r>
              <w:rPr>
                <w:rFonts w:ascii="Arial" w:eastAsia="Calibri" w:hAnsi="Arial" w:cs="Arial"/>
                <w:b/>
                <w:u w:val="single"/>
              </w:rPr>
              <w:t>95.00%</w:t>
            </w:r>
          </w:p>
          <w:p w14:paraId="3E25CA68" w14:textId="5510E3C9" w:rsidR="000261C3" w:rsidRDefault="000261C3" w:rsidP="002551C6">
            <w:pPr>
              <w:jc w:val="center"/>
              <w:rPr>
                <w:rFonts w:ascii="Arial" w:eastAsia="Calibri" w:hAnsi="Arial" w:cs="Arial"/>
                <w:b/>
                <w:u w:val="single"/>
              </w:rPr>
            </w:pPr>
            <w:r>
              <w:rPr>
                <w:rFonts w:ascii="Arial" w:eastAsia="Calibri" w:hAnsi="Arial" w:cs="Arial"/>
                <w:b/>
                <w:u w:val="single"/>
              </w:rPr>
              <w:t>83.00%</w:t>
            </w:r>
          </w:p>
          <w:p w14:paraId="13D7BCE9" w14:textId="77777777" w:rsidR="000261C3" w:rsidRDefault="000261C3" w:rsidP="002551C6">
            <w:pPr>
              <w:jc w:val="center"/>
              <w:rPr>
                <w:rFonts w:ascii="Arial" w:eastAsia="Calibri" w:hAnsi="Arial" w:cs="Arial"/>
                <w:b/>
                <w:u w:val="single"/>
              </w:rPr>
            </w:pPr>
          </w:p>
          <w:p w14:paraId="2326E443" w14:textId="64B89167" w:rsidR="000261C3" w:rsidRDefault="000261C3" w:rsidP="002551C6">
            <w:pPr>
              <w:jc w:val="center"/>
              <w:rPr>
                <w:rFonts w:ascii="Arial" w:eastAsia="Calibri" w:hAnsi="Arial" w:cs="Arial"/>
                <w:b/>
                <w:u w:val="single"/>
              </w:rPr>
            </w:pPr>
            <w:r>
              <w:rPr>
                <w:rFonts w:ascii="Arial" w:eastAsia="Calibri" w:hAnsi="Arial" w:cs="Arial"/>
                <w:b/>
                <w:u w:val="single"/>
              </w:rPr>
              <w:t>87.00%</w:t>
            </w:r>
          </w:p>
        </w:tc>
        <w:tc>
          <w:tcPr>
            <w:tcW w:w="2042" w:type="dxa"/>
          </w:tcPr>
          <w:p w14:paraId="2EF72B48" w14:textId="77777777" w:rsidR="000261C3" w:rsidRDefault="000261C3" w:rsidP="002551C6">
            <w:pPr>
              <w:jc w:val="center"/>
              <w:rPr>
                <w:rFonts w:ascii="Arial" w:eastAsia="Calibri" w:hAnsi="Arial" w:cs="Arial"/>
                <w:b/>
                <w:u w:val="single"/>
              </w:rPr>
            </w:pPr>
          </w:p>
          <w:p w14:paraId="652F9DC8" w14:textId="77777777" w:rsidR="000261C3" w:rsidRDefault="000261C3" w:rsidP="002551C6">
            <w:pPr>
              <w:jc w:val="center"/>
              <w:rPr>
                <w:rFonts w:ascii="Arial" w:eastAsia="Calibri" w:hAnsi="Arial" w:cs="Arial"/>
                <w:b/>
                <w:u w:val="single"/>
              </w:rPr>
            </w:pPr>
          </w:p>
          <w:p w14:paraId="1275B9AE" w14:textId="77777777" w:rsidR="000261C3" w:rsidRDefault="000261C3" w:rsidP="002551C6">
            <w:pPr>
              <w:jc w:val="center"/>
              <w:rPr>
                <w:rFonts w:ascii="Arial" w:eastAsia="Calibri" w:hAnsi="Arial" w:cs="Arial"/>
                <w:b/>
                <w:u w:val="single"/>
              </w:rPr>
            </w:pPr>
          </w:p>
          <w:p w14:paraId="2B1144AD" w14:textId="77777777" w:rsidR="000261C3" w:rsidRDefault="000261C3" w:rsidP="002551C6">
            <w:pPr>
              <w:jc w:val="center"/>
              <w:rPr>
                <w:rFonts w:ascii="Arial" w:eastAsia="Calibri" w:hAnsi="Arial" w:cs="Arial"/>
                <w:b/>
                <w:u w:val="single"/>
              </w:rPr>
            </w:pPr>
          </w:p>
          <w:p w14:paraId="042751D7" w14:textId="77777777" w:rsidR="000261C3" w:rsidRDefault="000261C3" w:rsidP="002551C6">
            <w:pPr>
              <w:jc w:val="center"/>
              <w:rPr>
                <w:rFonts w:ascii="Arial" w:eastAsia="Calibri" w:hAnsi="Arial" w:cs="Arial"/>
                <w:b/>
                <w:u w:val="single"/>
              </w:rPr>
            </w:pPr>
          </w:p>
          <w:p w14:paraId="5CE2AABB" w14:textId="77777777" w:rsidR="000261C3" w:rsidRDefault="000261C3" w:rsidP="002551C6">
            <w:pPr>
              <w:jc w:val="center"/>
              <w:rPr>
                <w:rFonts w:ascii="Arial" w:eastAsia="Calibri" w:hAnsi="Arial" w:cs="Arial"/>
                <w:b/>
                <w:u w:val="single"/>
              </w:rPr>
            </w:pPr>
          </w:p>
          <w:p w14:paraId="29CFC9FA" w14:textId="4DED4A75" w:rsidR="000261C3" w:rsidRDefault="000261C3" w:rsidP="002551C6">
            <w:pPr>
              <w:jc w:val="center"/>
              <w:rPr>
                <w:rFonts w:ascii="Arial" w:eastAsia="Calibri" w:hAnsi="Arial" w:cs="Arial"/>
                <w:b/>
                <w:u w:val="single"/>
              </w:rPr>
            </w:pPr>
            <w:r>
              <w:rPr>
                <w:rFonts w:ascii="Arial" w:eastAsia="Calibri" w:hAnsi="Arial" w:cs="Arial"/>
                <w:b/>
                <w:u w:val="single"/>
              </w:rPr>
              <w:t>95.00%</w:t>
            </w:r>
          </w:p>
          <w:p w14:paraId="248CA073" w14:textId="582A3F66" w:rsidR="000261C3" w:rsidRDefault="000261C3" w:rsidP="002551C6">
            <w:pPr>
              <w:jc w:val="center"/>
              <w:rPr>
                <w:rFonts w:ascii="Arial" w:eastAsia="Calibri" w:hAnsi="Arial" w:cs="Arial"/>
                <w:b/>
                <w:u w:val="single"/>
              </w:rPr>
            </w:pPr>
            <w:r>
              <w:rPr>
                <w:rFonts w:ascii="Arial" w:eastAsia="Calibri" w:hAnsi="Arial" w:cs="Arial"/>
                <w:b/>
                <w:u w:val="single"/>
              </w:rPr>
              <w:t>83.00%</w:t>
            </w:r>
          </w:p>
          <w:p w14:paraId="502A0689" w14:textId="77777777" w:rsidR="000261C3" w:rsidRDefault="000261C3" w:rsidP="002551C6">
            <w:pPr>
              <w:jc w:val="center"/>
              <w:rPr>
                <w:rFonts w:ascii="Arial" w:eastAsia="Calibri" w:hAnsi="Arial" w:cs="Arial"/>
                <w:b/>
                <w:u w:val="single"/>
              </w:rPr>
            </w:pPr>
          </w:p>
          <w:p w14:paraId="260F95B7" w14:textId="2A1A7E4B" w:rsidR="000261C3" w:rsidRDefault="000261C3" w:rsidP="002551C6">
            <w:pPr>
              <w:jc w:val="center"/>
              <w:rPr>
                <w:rFonts w:ascii="Arial" w:eastAsia="Calibri" w:hAnsi="Arial" w:cs="Arial"/>
                <w:b/>
                <w:u w:val="single"/>
              </w:rPr>
            </w:pPr>
            <w:r>
              <w:rPr>
                <w:rFonts w:ascii="Arial" w:eastAsia="Calibri" w:hAnsi="Arial" w:cs="Arial"/>
                <w:b/>
                <w:u w:val="single"/>
              </w:rPr>
              <w:t>87.00%</w:t>
            </w:r>
          </w:p>
        </w:tc>
      </w:tr>
      <w:tr w:rsidR="00191579" w:rsidRPr="004B1294" w14:paraId="1FA4D932" w14:textId="77777777" w:rsidTr="00042E94">
        <w:tc>
          <w:tcPr>
            <w:tcW w:w="1550" w:type="dxa"/>
          </w:tcPr>
          <w:p w14:paraId="6CF09607" w14:textId="787F4927" w:rsidR="00191579" w:rsidRDefault="00191579" w:rsidP="002551C6">
            <w:pPr>
              <w:jc w:val="center"/>
              <w:rPr>
                <w:rFonts w:ascii="Arial" w:hAnsi="Arial" w:cs="Arial"/>
                <w:b/>
              </w:rPr>
            </w:pPr>
            <w:r>
              <w:rPr>
                <w:rFonts w:ascii="Arial" w:hAnsi="Arial" w:cs="Arial"/>
                <w:b/>
              </w:rPr>
              <w:t>99</w:t>
            </w:r>
          </w:p>
        </w:tc>
        <w:tc>
          <w:tcPr>
            <w:tcW w:w="3255" w:type="dxa"/>
          </w:tcPr>
          <w:p w14:paraId="122D0C0A" w14:textId="50109D48" w:rsidR="00191579" w:rsidRPr="00191579" w:rsidRDefault="00191579" w:rsidP="00191579">
            <w:pPr>
              <w:jc w:val="both"/>
              <w:rPr>
                <w:rFonts w:ascii="Arial" w:hAnsi="Arial" w:cs="Arial"/>
                <w:b/>
                <w:lang w:val="es-MX"/>
              </w:rPr>
            </w:pPr>
            <w:r w:rsidRPr="00191579">
              <w:rPr>
                <w:rFonts w:ascii="Arial" w:hAnsi="Arial" w:cs="Arial"/>
                <w:b/>
                <w:lang w:val="es-MX"/>
              </w:rPr>
              <w:t>DEPARTAMENTO ADMINISTRATIVO PARA LA PROSPERIDAD SOCIAL - DPS.</w:t>
            </w:r>
          </w:p>
          <w:p w14:paraId="3AB88FBF" w14:textId="77777777" w:rsidR="00191579" w:rsidRDefault="00191579" w:rsidP="000261C3">
            <w:pPr>
              <w:jc w:val="both"/>
              <w:rPr>
                <w:rFonts w:ascii="Arial" w:hAnsi="Arial" w:cs="Arial"/>
                <w:b/>
                <w:lang w:val="es-MX"/>
              </w:rPr>
            </w:pPr>
          </w:p>
          <w:p w14:paraId="118F75B6" w14:textId="77777777" w:rsidR="00191579" w:rsidRDefault="00191579" w:rsidP="00191579">
            <w:pPr>
              <w:jc w:val="both"/>
              <w:rPr>
                <w:rFonts w:ascii="Arial" w:hAnsi="Arial" w:cs="Arial"/>
                <w:b/>
                <w:lang w:val="es-MX"/>
              </w:rPr>
            </w:pPr>
            <w:r>
              <w:rPr>
                <w:rFonts w:ascii="Arial" w:hAnsi="Arial" w:cs="Arial"/>
                <w:b/>
                <w:lang w:val="es-MX"/>
              </w:rPr>
              <w:t>FUNCIONAMIENTO</w:t>
            </w:r>
          </w:p>
          <w:p w14:paraId="47A37619" w14:textId="77777777" w:rsidR="00191579" w:rsidRDefault="00191579" w:rsidP="00191579">
            <w:pPr>
              <w:jc w:val="both"/>
              <w:rPr>
                <w:rFonts w:ascii="Arial" w:hAnsi="Arial" w:cs="Arial"/>
                <w:b/>
                <w:lang w:val="es-MX"/>
              </w:rPr>
            </w:pPr>
            <w:r>
              <w:rPr>
                <w:rFonts w:ascii="Arial" w:hAnsi="Arial" w:cs="Arial"/>
                <w:b/>
                <w:lang w:val="es-MX"/>
              </w:rPr>
              <w:t>INVERSIÓN</w:t>
            </w:r>
          </w:p>
          <w:p w14:paraId="64F672A6" w14:textId="77777777" w:rsidR="00191579" w:rsidRDefault="00191579" w:rsidP="00191579">
            <w:pPr>
              <w:jc w:val="both"/>
              <w:rPr>
                <w:rFonts w:ascii="Arial" w:hAnsi="Arial" w:cs="Arial"/>
                <w:b/>
                <w:lang w:val="es-MX"/>
              </w:rPr>
            </w:pPr>
          </w:p>
          <w:p w14:paraId="64B88A5E" w14:textId="5D9934C7" w:rsidR="00191579" w:rsidRPr="00191579" w:rsidRDefault="00191579" w:rsidP="00191579">
            <w:pPr>
              <w:jc w:val="both"/>
              <w:rPr>
                <w:rFonts w:ascii="Arial" w:hAnsi="Arial" w:cs="Arial"/>
                <w:b/>
                <w:lang w:val="es-MX"/>
              </w:rPr>
            </w:pPr>
            <w:r>
              <w:rPr>
                <w:rFonts w:ascii="Arial" w:hAnsi="Arial" w:cs="Arial"/>
                <w:b/>
                <w:lang w:val="es-MX"/>
              </w:rPr>
              <w:t>TOTAL PRESUPUESTO</w:t>
            </w:r>
          </w:p>
        </w:tc>
        <w:tc>
          <w:tcPr>
            <w:tcW w:w="1839" w:type="dxa"/>
          </w:tcPr>
          <w:p w14:paraId="346C12A7" w14:textId="77777777" w:rsidR="00191579" w:rsidRDefault="00191579" w:rsidP="002551C6">
            <w:pPr>
              <w:jc w:val="center"/>
              <w:rPr>
                <w:rFonts w:ascii="Arial" w:eastAsia="Calibri" w:hAnsi="Arial" w:cs="Arial"/>
                <w:b/>
                <w:u w:val="single"/>
              </w:rPr>
            </w:pPr>
          </w:p>
          <w:p w14:paraId="768077D2" w14:textId="77777777" w:rsidR="00191579" w:rsidRDefault="00191579" w:rsidP="002551C6">
            <w:pPr>
              <w:jc w:val="center"/>
              <w:rPr>
                <w:rFonts w:ascii="Arial" w:eastAsia="Calibri" w:hAnsi="Arial" w:cs="Arial"/>
                <w:b/>
                <w:u w:val="single"/>
              </w:rPr>
            </w:pPr>
          </w:p>
          <w:p w14:paraId="3C5D4226" w14:textId="77777777" w:rsidR="00191579" w:rsidRDefault="00191579" w:rsidP="002551C6">
            <w:pPr>
              <w:jc w:val="center"/>
              <w:rPr>
                <w:rFonts w:ascii="Arial" w:eastAsia="Calibri" w:hAnsi="Arial" w:cs="Arial"/>
                <w:b/>
                <w:u w:val="single"/>
              </w:rPr>
            </w:pPr>
          </w:p>
          <w:p w14:paraId="2E45FED0" w14:textId="77777777" w:rsidR="00191579" w:rsidRDefault="00191579" w:rsidP="002551C6">
            <w:pPr>
              <w:jc w:val="center"/>
              <w:rPr>
                <w:rFonts w:ascii="Arial" w:eastAsia="Calibri" w:hAnsi="Arial" w:cs="Arial"/>
                <w:b/>
                <w:u w:val="single"/>
              </w:rPr>
            </w:pPr>
          </w:p>
          <w:p w14:paraId="05416C61" w14:textId="129C829A" w:rsidR="00191579" w:rsidRDefault="00191579" w:rsidP="002551C6">
            <w:pPr>
              <w:jc w:val="center"/>
              <w:rPr>
                <w:rFonts w:ascii="Arial" w:eastAsia="Calibri" w:hAnsi="Arial" w:cs="Arial"/>
                <w:b/>
                <w:u w:val="single"/>
              </w:rPr>
            </w:pPr>
            <w:r>
              <w:rPr>
                <w:rFonts w:ascii="Arial" w:eastAsia="Calibri" w:hAnsi="Arial" w:cs="Arial"/>
                <w:b/>
                <w:u w:val="single"/>
              </w:rPr>
              <w:t>79.10%</w:t>
            </w:r>
          </w:p>
          <w:p w14:paraId="012B695A" w14:textId="7F3C56B8" w:rsidR="00191579" w:rsidRDefault="00191579" w:rsidP="002551C6">
            <w:pPr>
              <w:jc w:val="center"/>
              <w:rPr>
                <w:rFonts w:ascii="Arial" w:eastAsia="Calibri" w:hAnsi="Arial" w:cs="Arial"/>
                <w:b/>
                <w:u w:val="single"/>
              </w:rPr>
            </w:pPr>
            <w:r>
              <w:rPr>
                <w:rFonts w:ascii="Arial" w:eastAsia="Calibri" w:hAnsi="Arial" w:cs="Arial"/>
                <w:b/>
                <w:u w:val="single"/>
              </w:rPr>
              <w:t>97.10%</w:t>
            </w:r>
          </w:p>
          <w:p w14:paraId="27599340" w14:textId="77777777" w:rsidR="00191579" w:rsidRDefault="00191579" w:rsidP="002551C6">
            <w:pPr>
              <w:jc w:val="center"/>
              <w:rPr>
                <w:rFonts w:ascii="Arial" w:eastAsia="Calibri" w:hAnsi="Arial" w:cs="Arial"/>
                <w:b/>
                <w:u w:val="single"/>
              </w:rPr>
            </w:pPr>
          </w:p>
          <w:p w14:paraId="16A133DC" w14:textId="6A012727" w:rsidR="00191579" w:rsidRDefault="00191579" w:rsidP="002551C6">
            <w:pPr>
              <w:jc w:val="center"/>
              <w:rPr>
                <w:rFonts w:ascii="Arial" w:eastAsia="Calibri" w:hAnsi="Arial" w:cs="Arial"/>
                <w:b/>
                <w:u w:val="single"/>
              </w:rPr>
            </w:pPr>
            <w:r>
              <w:rPr>
                <w:rFonts w:ascii="Arial" w:eastAsia="Calibri" w:hAnsi="Arial" w:cs="Arial"/>
                <w:b/>
                <w:u w:val="single"/>
              </w:rPr>
              <w:t>96.70%</w:t>
            </w:r>
          </w:p>
        </w:tc>
        <w:tc>
          <w:tcPr>
            <w:tcW w:w="1804" w:type="dxa"/>
          </w:tcPr>
          <w:p w14:paraId="79F8861D" w14:textId="77777777" w:rsidR="00191579" w:rsidRDefault="00191579" w:rsidP="002551C6">
            <w:pPr>
              <w:jc w:val="center"/>
              <w:rPr>
                <w:rFonts w:ascii="Arial" w:eastAsia="Calibri" w:hAnsi="Arial" w:cs="Arial"/>
                <w:b/>
                <w:u w:val="single"/>
              </w:rPr>
            </w:pPr>
          </w:p>
          <w:p w14:paraId="38F1FC4F" w14:textId="77777777" w:rsidR="00191579" w:rsidRDefault="00191579" w:rsidP="002551C6">
            <w:pPr>
              <w:jc w:val="center"/>
              <w:rPr>
                <w:rFonts w:ascii="Arial" w:eastAsia="Calibri" w:hAnsi="Arial" w:cs="Arial"/>
                <w:b/>
                <w:u w:val="single"/>
              </w:rPr>
            </w:pPr>
          </w:p>
          <w:p w14:paraId="7E1EED7C" w14:textId="77777777" w:rsidR="00191579" w:rsidRDefault="00191579" w:rsidP="002551C6">
            <w:pPr>
              <w:jc w:val="center"/>
              <w:rPr>
                <w:rFonts w:ascii="Arial" w:eastAsia="Calibri" w:hAnsi="Arial" w:cs="Arial"/>
                <w:b/>
                <w:u w:val="single"/>
              </w:rPr>
            </w:pPr>
          </w:p>
          <w:p w14:paraId="506527A9" w14:textId="77777777" w:rsidR="00191579" w:rsidRDefault="00191579" w:rsidP="002551C6">
            <w:pPr>
              <w:jc w:val="center"/>
              <w:rPr>
                <w:rFonts w:ascii="Arial" w:eastAsia="Calibri" w:hAnsi="Arial" w:cs="Arial"/>
                <w:b/>
                <w:u w:val="single"/>
              </w:rPr>
            </w:pPr>
          </w:p>
          <w:p w14:paraId="07D8F2FC" w14:textId="6A565AE7" w:rsidR="00191579" w:rsidRDefault="00191579" w:rsidP="002551C6">
            <w:pPr>
              <w:jc w:val="center"/>
              <w:rPr>
                <w:rFonts w:ascii="Arial" w:eastAsia="Calibri" w:hAnsi="Arial" w:cs="Arial"/>
                <w:b/>
                <w:u w:val="single"/>
              </w:rPr>
            </w:pPr>
            <w:r>
              <w:rPr>
                <w:rFonts w:ascii="Arial" w:eastAsia="Calibri" w:hAnsi="Arial" w:cs="Arial"/>
                <w:b/>
                <w:u w:val="single"/>
              </w:rPr>
              <w:t>77.00%</w:t>
            </w:r>
          </w:p>
          <w:p w14:paraId="5974F2B9" w14:textId="37E0DC45" w:rsidR="00191579" w:rsidRDefault="00191579" w:rsidP="002551C6">
            <w:pPr>
              <w:jc w:val="center"/>
              <w:rPr>
                <w:rFonts w:ascii="Arial" w:eastAsia="Calibri" w:hAnsi="Arial" w:cs="Arial"/>
                <w:b/>
                <w:u w:val="single"/>
              </w:rPr>
            </w:pPr>
            <w:r>
              <w:rPr>
                <w:rFonts w:ascii="Arial" w:eastAsia="Calibri" w:hAnsi="Arial" w:cs="Arial"/>
                <w:b/>
                <w:u w:val="single"/>
              </w:rPr>
              <w:t>81.70%</w:t>
            </w:r>
          </w:p>
          <w:p w14:paraId="24B771E1" w14:textId="77777777" w:rsidR="00191579" w:rsidRDefault="00191579" w:rsidP="002551C6">
            <w:pPr>
              <w:jc w:val="center"/>
              <w:rPr>
                <w:rFonts w:ascii="Arial" w:eastAsia="Calibri" w:hAnsi="Arial" w:cs="Arial"/>
                <w:b/>
                <w:u w:val="single"/>
              </w:rPr>
            </w:pPr>
          </w:p>
          <w:p w14:paraId="414F2E20" w14:textId="35F00622" w:rsidR="00191579" w:rsidRDefault="00191579" w:rsidP="002551C6">
            <w:pPr>
              <w:jc w:val="center"/>
              <w:rPr>
                <w:rFonts w:ascii="Arial" w:eastAsia="Calibri" w:hAnsi="Arial" w:cs="Arial"/>
                <w:b/>
                <w:u w:val="single"/>
              </w:rPr>
            </w:pPr>
            <w:r>
              <w:rPr>
                <w:rFonts w:ascii="Arial" w:eastAsia="Calibri" w:hAnsi="Arial" w:cs="Arial"/>
                <w:b/>
                <w:u w:val="single"/>
              </w:rPr>
              <w:t>81.60%</w:t>
            </w:r>
          </w:p>
        </w:tc>
        <w:tc>
          <w:tcPr>
            <w:tcW w:w="2042" w:type="dxa"/>
          </w:tcPr>
          <w:p w14:paraId="751CB00A" w14:textId="77777777" w:rsidR="00191579" w:rsidRDefault="00191579" w:rsidP="002551C6">
            <w:pPr>
              <w:jc w:val="center"/>
              <w:rPr>
                <w:rFonts w:ascii="Arial" w:eastAsia="Calibri" w:hAnsi="Arial" w:cs="Arial"/>
                <w:b/>
                <w:u w:val="single"/>
              </w:rPr>
            </w:pPr>
          </w:p>
          <w:p w14:paraId="069643F1" w14:textId="77777777" w:rsidR="00191579" w:rsidRDefault="00191579" w:rsidP="002551C6">
            <w:pPr>
              <w:jc w:val="center"/>
              <w:rPr>
                <w:rFonts w:ascii="Arial" w:eastAsia="Calibri" w:hAnsi="Arial" w:cs="Arial"/>
                <w:b/>
                <w:u w:val="single"/>
              </w:rPr>
            </w:pPr>
          </w:p>
          <w:p w14:paraId="55386F95" w14:textId="77777777" w:rsidR="00191579" w:rsidRDefault="00191579" w:rsidP="002551C6">
            <w:pPr>
              <w:jc w:val="center"/>
              <w:rPr>
                <w:rFonts w:ascii="Arial" w:eastAsia="Calibri" w:hAnsi="Arial" w:cs="Arial"/>
                <w:b/>
                <w:u w:val="single"/>
              </w:rPr>
            </w:pPr>
          </w:p>
          <w:p w14:paraId="15004F39" w14:textId="77777777" w:rsidR="00191579" w:rsidRDefault="00191579" w:rsidP="002551C6">
            <w:pPr>
              <w:jc w:val="center"/>
              <w:rPr>
                <w:rFonts w:ascii="Arial" w:eastAsia="Calibri" w:hAnsi="Arial" w:cs="Arial"/>
                <w:b/>
                <w:u w:val="single"/>
              </w:rPr>
            </w:pPr>
          </w:p>
          <w:p w14:paraId="44D7C3FC" w14:textId="756B3F2E" w:rsidR="00191579" w:rsidRDefault="00191579" w:rsidP="002551C6">
            <w:pPr>
              <w:jc w:val="center"/>
              <w:rPr>
                <w:rFonts w:ascii="Arial" w:eastAsia="Calibri" w:hAnsi="Arial" w:cs="Arial"/>
                <w:b/>
                <w:u w:val="single"/>
              </w:rPr>
            </w:pPr>
            <w:r>
              <w:rPr>
                <w:rFonts w:ascii="Arial" w:eastAsia="Calibri" w:hAnsi="Arial" w:cs="Arial"/>
                <w:b/>
                <w:u w:val="single"/>
              </w:rPr>
              <w:t>76.20%</w:t>
            </w:r>
          </w:p>
          <w:p w14:paraId="52FE24BA" w14:textId="55C80F15" w:rsidR="00191579" w:rsidRDefault="00191579" w:rsidP="002551C6">
            <w:pPr>
              <w:jc w:val="center"/>
              <w:rPr>
                <w:rFonts w:ascii="Arial" w:eastAsia="Calibri" w:hAnsi="Arial" w:cs="Arial"/>
                <w:b/>
                <w:u w:val="single"/>
              </w:rPr>
            </w:pPr>
            <w:r>
              <w:rPr>
                <w:rFonts w:ascii="Arial" w:eastAsia="Calibri" w:hAnsi="Arial" w:cs="Arial"/>
                <w:b/>
                <w:u w:val="single"/>
              </w:rPr>
              <w:t>79.70%</w:t>
            </w:r>
          </w:p>
          <w:p w14:paraId="297F1233" w14:textId="77777777" w:rsidR="00191579" w:rsidRDefault="00191579" w:rsidP="002551C6">
            <w:pPr>
              <w:jc w:val="center"/>
              <w:rPr>
                <w:rFonts w:ascii="Arial" w:eastAsia="Calibri" w:hAnsi="Arial" w:cs="Arial"/>
                <w:b/>
                <w:u w:val="single"/>
              </w:rPr>
            </w:pPr>
          </w:p>
          <w:p w14:paraId="15A96C1A" w14:textId="6398138F" w:rsidR="00191579" w:rsidRDefault="00191579" w:rsidP="002551C6">
            <w:pPr>
              <w:jc w:val="center"/>
              <w:rPr>
                <w:rFonts w:ascii="Arial" w:eastAsia="Calibri" w:hAnsi="Arial" w:cs="Arial"/>
                <w:b/>
                <w:u w:val="single"/>
              </w:rPr>
            </w:pPr>
            <w:r>
              <w:rPr>
                <w:rFonts w:ascii="Arial" w:eastAsia="Calibri" w:hAnsi="Arial" w:cs="Arial"/>
                <w:b/>
                <w:u w:val="single"/>
              </w:rPr>
              <w:t>79.60%</w:t>
            </w:r>
          </w:p>
        </w:tc>
      </w:tr>
      <w:tr w:rsidR="001C7449" w:rsidRPr="004B1294" w14:paraId="71BFE169" w14:textId="77777777" w:rsidTr="00042E94">
        <w:tc>
          <w:tcPr>
            <w:tcW w:w="1550" w:type="dxa"/>
          </w:tcPr>
          <w:p w14:paraId="54A59E95" w14:textId="23BE638E" w:rsidR="001C7449" w:rsidRDefault="001C7449" w:rsidP="002551C6">
            <w:pPr>
              <w:jc w:val="center"/>
              <w:rPr>
                <w:rFonts w:ascii="Arial" w:hAnsi="Arial" w:cs="Arial"/>
                <w:b/>
              </w:rPr>
            </w:pPr>
            <w:r>
              <w:rPr>
                <w:rFonts w:ascii="Arial" w:hAnsi="Arial" w:cs="Arial"/>
                <w:b/>
              </w:rPr>
              <w:t>106</w:t>
            </w:r>
          </w:p>
        </w:tc>
        <w:tc>
          <w:tcPr>
            <w:tcW w:w="3255" w:type="dxa"/>
          </w:tcPr>
          <w:p w14:paraId="69375C59" w14:textId="58C7CF82" w:rsidR="001C7449" w:rsidRPr="001C7449" w:rsidRDefault="001C7449" w:rsidP="001C7449">
            <w:pPr>
              <w:jc w:val="both"/>
              <w:rPr>
                <w:rFonts w:ascii="Arial" w:hAnsi="Arial" w:cs="Arial"/>
                <w:b/>
                <w:lang w:val="es-MX"/>
              </w:rPr>
            </w:pPr>
            <w:r w:rsidRPr="001C7449">
              <w:rPr>
                <w:rFonts w:ascii="Arial" w:hAnsi="Arial" w:cs="Arial"/>
                <w:b/>
                <w:lang w:val="es-MX"/>
              </w:rPr>
              <w:t>UNIDAD DE PLANEACIÓN DE INFRAESTRUCTURA DE TRANSPORTE - UPIT.</w:t>
            </w:r>
          </w:p>
          <w:p w14:paraId="4099B64A" w14:textId="77777777" w:rsidR="001C7449" w:rsidRDefault="001C7449" w:rsidP="00191579">
            <w:pPr>
              <w:jc w:val="both"/>
              <w:rPr>
                <w:rFonts w:ascii="Arial" w:hAnsi="Arial" w:cs="Arial"/>
                <w:b/>
                <w:lang w:val="es-MX"/>
              </w:rPr>
            </w:pPr>
          </w:p>
          <w:p w14:paraId="3849BE9A" w14:textId="77777777" w:rsidR="001C7449" w:rsidRDefault="001C7449" w:rsidP="001C7449">
            <w:pPr>
              <w:jc w:val="both"/>
              <w:rPr>
                <w:rFonts w:ascii="Arial" w:hAnsi="Arial" w:cs="Arial"/>
                <w:b/>
                <w:lang w:val="es-MX"/>
              </w:rPr>
            </w:pPr>
            <w:r>
              <w:rPr>
                <w:rFonts w:ascii="Arial" w:hAnsi="Arial" w:cs="Arial"/>
                <w:b/>
                <w:lang w:val="es-MX"/>
              </w:rPr>
              <w:t>FUNCIONAMIENTO</w:t>
            </w:r>
          </w:p>
          <w:p w14:paraId="0021EDF2" w14:textId="77777777" w:rsidR="001C7449" w:rsidRDefault="001C7449" w:rsidP="001C7449">
            <w:pPr>
              <w:jc w:val="both"/>
              <w:rPr>
                <w:rFonts w:ascii="Arial" w:hAnsi="Arial" w:cs="Arial"/>
                <w:b/>
                <w:lang w:val="es-MX"/>
              </w:rPr>
            </w:pPr>
            <w:r>
              <w:rPr>
                <w:rFonts w:ascii="Arial" w:hAnsi="Arial" w:cs="Arial"/>
                <w:b/>
                <w:lang w:val="es-MX"/>
              </w:rPr>
              <w:t>INVERSIÓN</w:t>
            </w:r>
          </w:p>
          <w:p w14:paraId="30B201C8" w14:textId="77777777" w:rsidR="001C7449" w:rsidRDefault="001C7449" w:rsidP="001C7449">
            <w:pPr>
              <w:jc w:val="both"/>
              <w:rPr>
                <w:rFonts w:ascii="Arial" w:hAnsi="Arial" w:cs="Arial"/>
                <w:b/>
                <w:lang w:val="es-MX"/>
              </w:rPr>
            </w:pPr>
          </w:p>
          <w:p w14:paraId="70C1ACFE" w14:textId="36B6A519" w:rsidR="001C7449" w:rsidRPr="00191579" w:rsidRDefault="001C7449" w:rsidP="00191579">
            <w:pPr>
              <w:jc w:val="both"/>
              <w:rPr>
                <w:rFonts w:ascii="Arial" w:hAnsi="Arial" w:cs="Arial"/>
                <w:b/>
                <w:lang w:val="es-MX"/>
              </w:rPr>
            </w:pPr>
            <w:r>
              <w:rPr>
                <w:rFonts w:ascii="Arial" w:hAnsi="Arial" w:cs="Arial"/>
                <w:b/>
                <w:lang w:val="es-MX"/>
              </w:rPr>
              <w:t>TOTAL PRESUPUESTO</w:t>
            </w:r>
          </w:p>
        </w:tc>
        <w:tc>
          <w:tcPr>
            <w:tcW w:w="1839" w:type="dxa"/>
          </w:tcPr>
          <w:p w14:paraId="56572533" w14:textId="77777777" w:rsidR="001C7449" w:rsidRDefault="001C7449" w:rsidP="002551C6">
            <w:pPr>
              <w:jc w:val="center"/>
              <w:rPr>
                <w:rFonts w:ascii="Arial" w:eastAsia="Calibri" w:hAnsi="Arial" w:cs="Arial"/>
                <w:b/>
                <w:u w:val="single"/>
              </w:rPr>
            </w:pPr>
          </w:p>
          <w:p w14:paraId="3956AB4D" w14:textId="77777777" w:rsidR="001C7449" w:rsidRDefault="001C7449" w:rsidP="002551C6">
            <w:pPr>
              <w:jc w:val="center"/>
              <w:rPr>
                <w:rFonts w:ascii="Arial" w:eastAsia="Calibri" w:hAnsi="Arial" w:cs="Arial"/>
                <w:b/>
                <w:u w:val="single"/>
              </w:rPr>
            </w:pPr>
          </w:p>
          <w:p w14:paraId="2894F0C5" w14:textId="77777777" w:rsidR="001C7449" w:rsidRDefault="001C7449" w:rsidP="002551C6">
            <w:pPr>
              <w:jc w:val="center"/>
              <w:rPr>
                <w:rFonts w:ascii="Arial" w:eastAsia="Calibri" w:hAnsi="Arial" w:cs="Arial"/>
                <w:b/>
                <w:u w:val="single"/>
              </w:rPr>
            </w:pPr>
          </w:p>
          <w:p w14:paraId="2387F3CE" w14:textId="77777777" w:rsidR="001C7449" w:rsidRDefault="001C7449" w:rsidP="002551C6">
            <w:pPr>
              <w:jc w:val="center"/>
              <w:rPr>
                <w:rFonts w:ascii="Arial" w:eastAsia="Calibri" w:hAnsi="Arial" w:cs="Arial"/>
                <w:b/>
                <w:u w:val="single"/>
              </w:rPr>
            </w:pPr>
          </w:p>
          <w:p w14:paraId="0302A0A2" w14:textId="50A27F9A" w:rsidR="001C7449" w:rsidRDefault="001C7449" w:rsidP="002551C6">
            <w:pPr>
              <w:jc w:val="center"/>
              <w:rPr>
                <w:rFonts w:ascii="Arial" w:eastAsia="Calibri" w:hAnsi="Arial" w:cs="Arial"/>
                <w:b/>
                <w:u w:val="single"/>
              </w:rPr>
            </w:pPr>
            <w:r>
              <w:rPr>
                <w:rFonts w:ascii="Arial" w:eastAsia="Calibri" w:hAnsi="Arial" w:cs="Arial"/>
                <w:b/>
                <w:u w:val="single"/>
              </w:rPr>
              <w:t>98.00%</w:t>
            </w:r>
          </w:p>
          <w:p w14:paraId="242F7F09" w14:textId="050626BE" w:rsidR="001C7449" w:rsidRDefault="001C7449" w:rsidP="002551C6">
            <w:pPr>
              <w:jc w:val="center"/>
              <w:rPr>
                <w:rFonts w:ascii="Arial" w:eastAsia="Calibri" w:hAnsi="Arial" w:cs="Arial"/>
                <w:b/>
                <w:u w:val="single"/>
              </w:rPr>
            </w:pPr>
            <w:r>
              <w:rPr>
                <w:rFonts w:ascii="Arial" w:eastAsia="Calibri" w:hAnsi="Arial" w:cs="Arial"/>
                <w:b/>
                <w:u w:val="single"/>
              </w:rPr>
              <w:t>98.00%</w:t>
            </w:r>
          </w:p>
          <w:p w14:paraId="4044A21E" w14:textId="77777777" w:rsidR="001C7449" w:rsidRDefault="001C7449" w:rsidP="002551C6">
            <w:pPr>
              <w:jc w:val="center"/>
              <w:rPr>
                <w:rFonts w:ascii="Arial" w:eastAsia="Calibri" w:hAnsi="Arial" w:cs="Arial"/>
                <w:b/>
                <w:u w:val="single"/>
              </w:rPr>
            </w:pPr>
          </w:p>
          <w:p w14:paraId="51167792" w14:textId="5808FACC" w:rsidR="001C7449" w:rsidRDefault="001C7449" w:rsidP="002551C6">
            <w:pPr>
              <w:jc w:val="center"/>
              <w:rPr>
                <w:rFonts w:ascii="Arial" w:eastAsia="Calibri" w:hAnsi="Arial" w:cs="Arial"/>
                <w:b/>
                <w:u w:val="single"/>
              </w:rPr>
            </w:pPr>
            <w:r>
              <w:rPr>
                <w:rFonts w:ascii="Arial" w:eastAsia="Calibri" w:hAnsi="Arial" w:cs="Arial"/>
                <w:b/>
                <w:u w:val="single"/>
              </w:rPr>
              <w:t>98.00%</w:t>
            </w:r>
          </w:p>
        </w:tc>
        <w:tc>
          <w:tcPr>
            <w:tcW w:w="1804" w:type="dxa"/>
          </w:tcPr>
          <w:p w14:paraId="052E1560" w14:textId="77777777" w:rsidR="001C7449" w:rsidRDefault="001C7449" w:rsidP="002551C6">
            <w:pPr>
              <w:jc w:val="center"/>
              <w:rPr>
                <w:rFonts w:ascii="Arial" w:eastAsia="Calibri" w:hAnsi="Arial" w:cs="Arial"/>
                <w:b/>
                <w:u w:val="single"/>
              </w:rPr>
            </w:pPr>
          </w:p>
          <w:p w14:paraId="3C5D586D" w14:textId="77777777" w:rsidR="001C7449" w:rsidRDefault="001C7449" w:rsidP="002551C6">
            <w:pPr>
              <w:jc w:val="center"/>
              <w:rPr>
                <w:rFonts w:ascii="Arial" w:eastAsia="Calibri" w:hAnsi="Arial" w:cs="Arial"/>
                <w:b/>
                <w:u w:val="single"/>
              </w:rPr>
            </w:pPr>
          </w:p>
          <w:p w14:paraId="40782AEC" w14:textId="77777777" w:rsidR="001C7449" w:rsidRDefault="001C7449" w:rsidP="002551C6">
            <w:pPr>
              <w:jc w:val="center"/>
              <w:rPr>
                <w:rFonts w:ascii="Arial" w:eastAsia="Calibri" w:hAnsi="Arial" w:cs="Arial"/>
                <w:b/>
                <w:u w:val="single"/>
              </w:rPr>
            </w:pPr>
          </w:p>
          <w:p w14:paraId="4CEA0811" w14:textId="77777777" w:rsidR="001C7449" w:rsidRDefault="001C7449" w:rsidP="002551C6">
            <w:pPr>
              <w:jc w:val="center"/>
              <w:rPr>
                <w:rFonts w:ascii="Arial" w:eastAsia="Calibri" w:hAnsi="Arial" w:cs="Arial"/>
                <w:b/>
                <w:u w:val="single"/>
              </w:rPr>
            </w:pPr>
          </w:p>
          <w:p w14:paraId="5FC77AB7" w14:textId="6B8A51A7" w:rsidR="001C7449" w:rsidRDefault="001C7449" w:rsidP="002551C6">
            <w:pPr>
              <w:jc w:val="center"/>
              <w:rPr>
                <w:rFonts w:ascii="Arial" w:eastAsia="Calibri" w:hAnsi="Arial" w:cs="Arial"/>
                <w:b/>
                <w:u w:val="single"/>
              </w:rPr>
            </w:pPr>
            <w:r>
              <w:rPr>
                <w:rFonts w:ascii="Arial" w:eastAsia="Calibri" w:hAnsi="Arial" w:cs="Arial"/>
                <w:b/>
                <w:u w:val="single"/>
              </w:rPr>
              <w:t>98.00%</w:t>
            </w:r>
          </w:p>
          <w:p w14:paraId="724AEDE6" w14:textId="46F88E8B" w:rsidR="001C7449" w:rsidRDefault="001C7449" w:rsidP="002551C6">
            <w:pPr>
              <w:jc w:val="center"/>
              <w:rPr>
                <w:rFonts w:ascii="Arial" w:eastAsia="Calibri" w:hAnsi="Arial" w:cs="Arial"/>
                <w:b/>
                <w:u w:val="single"/>
              </w:rPr>
            </w:pPr>
            <w:r>
              <w:rPr>
                <w:rFonts w:ascii="Arial" w:eastAsia="Calibri" w:hAnsi="Arial" w:cs="Arial"/>
                <w:b/>
                <w:u w:val="single"/>
              </w:rPr>
              <w:t>94.00%</w:t>
            </w:r>
          </w:p>
          <w:p w14:paraId="643ED4FF" w14:textId="77777777" w:rsidR="001C7449" w:rsidRDefault="001C7449" w:rsidP="002551C6">
            <w:pPr>
              <w:jc w:val="center"/>
              <w:rPr>
                <w:rFonts w:ascii="Arial" w:eastAsia="Calibri" w:hAnsi="Arial" w:cs="Arial"/>
                <w:b/>
                <w:u w:val="single"/>
              </w:rPr>
            </w:pPr>
          </w:p>
          <w:p w14:paraId="65F5FA12" w14:textId="4AD9C4F8" w:rsidR="001C7449" w:rsidRDefault="001C7449" w:rsidP="002551C6">
            <w:pPr>
              <w:jc w:val="center"/>
              <w:rPr>
                <w:rFonts w:ascii="Arial" w:eastAsia="Calibri" w:hAnsi="Arial" w:cs="Arial"/>
                <w:b/>
                <w:u w:val="single"/>
              </w:rPr>
            </w:pPr>
            <w:r>
              <w:rPr>
                <w:rFonts w:ascii="Arial" w:eastAsia="Calibri" w:hAnsi="Arial" w:cs="Arial"/>
                <w:b/>
                <w:u w:val="single"/>
              </w:rPr>
              <w:t>96.00%</w:t>
            </w:r>
          </w:p>
        </w:tc>
        <w:tc>
          <w:tcPr>
            <w:tcW w:w="2042" w:type="dxa"/>
          </w:tcPr>
          <w:p w14:paraId="5884D438" w14:textId="77777777" w:rsidR="001C7449" w:rsidRDefault="001C7449" w:rsidP="002551C6">
            <w:pPr>
              <w:jc w:val="center"/>
              <w:rPr>
                <w:rFonts w:ascii="Arial" w:eastAsia="Calibri" w:hAnsi="Arial" w:cs="Arial"/>
                <w:b/>
                <w:u w:val="single"/>
              </w:rPr>
            </w:pPr>
          </w:p>
          <w:p w14:paraId="577A237A" w14:textId="77777777" w:rsidR="001C7449" w:rsidRDefault="001C7449" w:rsidP="002551C6">
            <w:pPr>
              <w:jc w:val="center"/>
              <w:rPr>
                <w:rFonts w:ascii="Arial" w:eastAsia="Calibri" w:hAnsi="Arial" w:cs="Arial"/>
                <w:b/>
                <w:u w:val="single"/>
              </w:rPr>
            </w:pPr>
          </w:p>
          <w:p w14:paraId="0C13CC9B" w14:textId="77777777" w:rsidR="001C7449" w:rsidRDefault="001C7449" w:rsidP="002551C6">
            <w:pPr>
              <w:jc w:val="center"/>
              <w:rPr>
                <w:rFonts w:ascii="Arial" w:eastAsia="Calibri" w:hAnsi="Arial" w:cs="Arial"/>
                <w:b/>
                <w:u w:val="single"/>
              </w:rPr>
            </w:pPr>
          </w:p>
          <w:p w14:paraId="18ACFFC8" w14:textId="77777777" w:rsidR="001C7449" w:rsidRDefault="001C7449" w:rsidP="002551C6">
            <w:pPr>
              <w:jc w:val="center"/>
              <w:rPr>
                <w:rFonts w:ascii="Arial" w:eastAsia="Calibri" w:hAnsi="Arial" w:cs="Arial"/>
                <w:b/>
                <w:u w:val="single"/>
              </w:rPr>
            </w:pPr>
          </w:p>
          <w:p w14:paraId="2A4E04B6" w14:textId="1F662906" w:rsidR="001C7449" w:rsidRDefault="001C7449" w:rsidP="002551C6">
            <w:pPr>
              <w:jc w:val="center"/>
              <w:rPr>
                <w:rFonts w:ascii="Arial" w:eastAsia="Calibri" w:hAnsi="Arial" w:cs="Arial"/>
                <w:b/>
                <w:u w:val="single"/>
              </w:rPr>
            </w:pPr>
            <w:r>
              <w:rPr>
                <w:rFonts w:ascii="Arial" w:eastAsia="Calibri" w:hAnsi="Arial" w:cs="Arial"/>
                <w:b/>
                <w:u w:val="single"/>
              </w:rPr>
              <w:t>98.00%</w:t>
            </w:r>
          </w:p>
          <w:p w14:paraId="38633D63" w14:textId="19A1B764" w:rsidR="001C7449" w:rsidRDefault="001C7449" w:rsidP="002551C6">
            <w:pPr>
              <w:jc w:val="center"/>
              <w:rPr>
                <w:rFonts w:ascii="Arial" w:eastAsia="Calibri" w:hAnsi="Arial" w:cs="Arial"/>
                <w:b/>
                <w:u w:val="single"/>
              </w:rPr>
            </w:pPr>
            <w:r>
              <w:rPr>
                <w:rFonts w:ascii="Arial" w:eastAsia="Calibri" w:hAnsi="Arial" w:cs="Arial"/>
                <w:b/>
                <w:u w:val="single"/>
              </w:rPr>
              <w:t>92.00%</w:t>
            </w:r>
          </w:p>
          <w:p w14:paraId="199051E5" w14:textId="77777777" w:rsidR="001C7449" w:rsidRDefault="001C7449" w:rsidP="002551C6">
            <w:pPr>
              <w:jc w:val="center"/>
              <w:rPr>
                <w:rFonts w:ascii="Arial" w:eastAsia="Calibri" w:hAnsi="Arial" w:cs="Arial"/>
                <w:b/>
                <w:u w:val="single"/>
              </w:rPr>
            </w:pPr>
          </w:p>
          <w:p w14:paraId="2887832B" w14:textId="204A4FDA" w:rsidR="001C7449" w:rsidRDefault="001C7449" w:rsidP="002551C6">
            <w:pPr>
              <w:jc w:val="center"/>
              <w:rPr>
                <w:rFonts w:ascii="Arial" w:eastAsia="Calibri" w:hAnsi="Arial" w:cs="Arial"/>
                <w:b/>
                <w:u w:val="single"/>
              </w:rPr>
            </w:pPr>
            <w:r>
              <w:rPr>
                <w:rFonts w:ascii="Arial" w:eastAsia="Calibri" w:hAnsi="Arial" w:cs="Arial"/>
                <w:b/>
                <w:u w:val="single"/>
              </w:rPr>
              <w:t>95.00%</w:t>
            </w:r>
          </w:p>
        </w:tc>
      </w:tr>
      <w:tr w:rsidR="00A83CC2" w:rsidRPr="004B1294" w14:paraId="4026B3D7" w14:textId="77777777" w:rsidTr="00042E94">
        <w:tc>
          <w:tcPr>
            <w:tcW w:w="1550" w:type="dxa"/>
          </w:tcPr>
          <w:p w14:paraId="1986E5DF" w14:textId="1DA8F37C" w:rsidR="00A83CC2" w:rsidRDefault="00A83CC2" w:rsidP="002551C6">
            <w:pPr>
              <w:jc w:val="center"/>
              <w:rPr>
                <w:rFonts w:ascii="Arial" w:hAnsi="Arial" w:cs="Arial"/>
                <w:b/>
              </w:rPr>
            </w:pPr>
            <w:r>
              <w:rPr>
                <w:rFonts w:ascii="Arial" w:hAnsi="Arial" w:cs="Arial"/>
                <w:b/>
              </w:rPr>
              <w:t>109</w:t>
            </w:r>
          </w:p>
        </w:tc>
        <w:tc>
          <w:tcPr>
            <w:tcW w:w="3255" w:type="dxa"/>
          </w:tcPr>
          <w:p w14:paraId="27CE1D5E" w14:textId="5DE4C455" w:rsidR="00A83CC2" w:rsidRPr="00A83CC2" w:rsidRDefault="00A83CC2" w:rsidP="00A83CC2">
            <w:pPr>
              <w:jc w:val="both"/>
              <w:rPr>
                <w:rFonts w:ascii="Arial" w:hAnsi="Arial" w:cs="Arial"/>
                <w:b/>
                <w:lang w:val="es-MX"/>
              </w:rPr>
            </w:pPr>
            <w:r w:rsidRPr="00A83CC2">
              <w:rPr>
                <w:rFonts w:ascii="Arial" w:hAnsi="Arial" w:cs="Arial"/>
                <w:b/>
                <w:lang w:val="es-MX"/>
              </w:rPr>
              <w:t xml:space="preserve">INSTITUTO TOLIMENSE DE FORMACIÓN TÉCNICA PROFESIONAL – ITFIP. </w:t>
            </w:r>
          </w:p>
          <w:p w14:paraId="7E78D988" w14:textId="77777777" w:rsidR="00A83CC2" w:rsidRDefault="00A83CC2" w:rsidP="001C7449">
            <w:pPr>
              <w:jc w:val="both"/>
              <w:rPr>
                <w:rFonts w:ascii="Arial" w:hAnsi="Arial" w:cs="Arial"/>
                <w:b/>
                <w:lang w:val="es-MX"/>
              </w:rPr>
            </w:pPr>
          </w:p>
          <w:p w14:paraId="209CCC7C" w14:textId="77777777" w:rsidR="00A83CC2" w:rsidRDefault="00A83CC2" w:rsidP="00A83CC2">
            <w:pPr>
              <w:jc w:val="both"/>
              <w:rPr>
                <w:rFonts w:ascii="Arial" w:hAnsi="Arial" w:cs="Arial"/>
                <w:b/>
                <w:lang w:val="es-MX"/>
              </w:rPr>
            </w:pPr>
            <w:r>
              <w:rPr>
                <w:rFonts w:ascii="Arial" w:hAnsi="Arial" w:cs="Arial"/>
                <w:b/>
                <w:lang w:val="es-MX"/>
              </w:rPr>
              <w:t>FUNCIONAMIENTO</w:t>
            </w:r>
          </w:p>
          <w:p w14:paraId="3A5D8604" w14:textId="77777777" w:rsidR="00A83CC2" w:rsidRDefault="00A83CC2" w:rsidP="00A83CC2">
            <w:pPr>
              <w:jc w:val="both"/>
              <w:rPr>
                <w:rFonts w:ascii="Arial" w:hAnsi="Arial" w:cs="Arial"/>
                <w:b/>
                <w:lang w:val="es-MX"/>
              </w:rPr>
            </w:pPr>
            <w:r>
              <w:rPr>
                <w:rFonts w:ascii="Arial" w:hAnsi="Arial" w:cs="Arial"/>
                <w:b/>
                <w:lang w:val="es-MX"/>
              </w:rPr>
              <w:t>INVERSIÓN</w:t>
            </w:r>
          </w:p>
          <w:p w14:paraId="30EB208B" w14:textId="77777777" w:rsidR="00A83CC2" w:rsidRDefault="00A83CC2" w:rsidP="00A83CC2">
            <w:pPr>
              <w:jc w:val="both"/>
              <w:rPr>
                <w:rFonts w:ascii="Arial" w:hAnsi="Arial" w:cs="Arial"/>
                <w:b/>
                <w:lang w:val="es-MX"/>
              </w:rPr>
            </w:pPr>
          </w:p>
          <w:p w14:paraId="672D5495" w14:textId="474C4D36" w:rsidR="00A83CC2" w:rsidRPr="001C7449" w:rsidRDefault="00A83CC2" w:rsidP="00A83CC2">
            <w:pPr>
              <w:jc w:val="both"/>
              <w:rPr>
                <w:rFonts w:ascii="Arial" w:hAnsi="Arial" w:cs="Arial"/>
                <w:b/>
                <w:lang w:val="es-MX"/>
              </w:rPr>
            </w:pPr>
            <w:r>
              <w:rPr>
                <w:rFonts w:ascii="Arial" w:hAnsi="Arial" w:cs="Arial"/>
                <w:b/>
                <w:lang w:val="es-MX"/>
              </w:rPr>
              <w:t>TOTAL PRESUPUESTO</w:t>
            </w:r>
          </w:p>
        </w:tc>
        <w:tc>
          <w:tcPr>
            <w:tcW w:w="1839" w:type="dxa"/>
          </w:tcPr>
          <w:p w14:paraId="509D5809" w14:textId="77777777" w:rsidR="00A83CC2" w:rsidRDefault="00A83CC2" w:rsidP="002551C6">
            <w:pPr>
              <w:jc w:val="center"/>
              <w:rPr>
                <w:rFonts w:ascii="Arial" w:eastAsia="Calibri" w:hAnsi="Arial" w:cs="Arial"/>
                <w:b/>
                <w:u w:val="single"/>
              </w:rPr>
            </w:pPr>
          </w:p>
          <w:p w14:paraId="2B783E60" w14:textId="77777777" w:rsidR="00A83CC2" w:rsidRDefault="00A83CC2" w:rsidP="002551C6">
            <w:pPr>
              <w:jc w:val="center"/>
              <w:rPr>
                <w:rFonts w:ascii="Arial" w:eastAsia="Calibri" w:hAnsi="Arial" w:cs="Arial"/>
                <w:b/>
                <w:u w:val="single"/>
              </w:rPr>
            </w:pPr>
          </w:p>
          <w:p w14:paraId="26634C54" w14:textId="77777777" w:rsidR="00A83CC2" w:rsidRDefault="00A83CC2" w:rsidP="002551C6">
            <w:pPr>
              <w:jc w:val="center"/>
              <w:rPr>
                <w:rFonts w:ascii="Arial" w:eastAsia="Calibri" w:hAnsi="Arial" w:cs="Arial"/>
                <w:b/>
                <w:u w:val="single"/>
              </w:rPr>
            </w:pPr>
          </w:p>
          <w:p w14:paraId="5F95218B" w14:textId="77777777" w:rsidR="00A83CC2" w:rsidRDefault="00A83CC2" w:rsidP="002551C6">
            <w:pPr>
              <w:jc w:val="center"/>
              <w:rPr>
                <w:rFonts w:ascii="Arial" w:eastAsia="Calibri" w:hAnsi="Arial" w:cs="Arial"/>
                <w:b/>
                <w:u w:val="single"/>
              </w:rPr>
            </w:pPr>
          </w:p>
          <w:p w14:paraId="3A58D705" w14:textId="6C6A0910" w:rsidR="00A83CC2" w:rsidRDefault="00307E79" w:rsidP="002551C6">
            <w:pPr>
              <w:jc w:val="center"/>
              <w:rPr>
                <w:rFonts w:ascii="Arial" w:eastAsia="Calibri" w:hAnsi="Arial" w:cs="Arial"/>
                <w:b/>
                <w:u w:val="single"/>
              </w:rPr>
            </w:pPr>
            <w:r>
              <w:rPr>
                <w:rFonts w:ascii="Arial" w:eastAsia="Calibri" w:hAnsi="Arial" w:cs="Arial"/>
                <w:b/>
                <w:u w:val="single"/>
              </w:rPr>
              <w:t>88.00%</w:t>
            </w:r>
          </w:p>
          <w:p w14:paraId="40CFFF28" w14:textId="2CF9C4B6" w:rsidR="00A83CC2" w:rsidRDefault="00307E79" w:rsidP="002551C6">
            <w:pPr>
              <w:jc w:val="center"/>
              <w:rPr>
                <w:rFonts w:ascii="Arial" w:eastAsia="Calibri" w:hAnsi="Arial" w:cs="Arial"/>
                <w:b/>
                <w:u w:val="single"/>
              </w:rPr>
            </w:pPr>
            <w:r>
              <w:rPr>
                <w:rFonts w:ascii="Arial" w:eastAsia="Calibri" w:hAnsi="Arial" w:cs="Arial"/>
                <w:b/>
                <w:u w:val="single"/>
              </w:rPr>
              <w:t>99.00%</w:t>
            </w:r>
          </w:p>
          <w:p w14:paraId="6E6DD603" w14:textId="77777777" w:rsidR="00A83CC2" w:rsidRDefault="00A83CC2" w:rsidP="002551C6">
            <w:pPr>
              <w:jc w:val="center"/>
              <w:rPr>
                <w:rFonts w:ascii="Arial" w:eastAsia="Calibri" w:hAnsi="Arial" w:cs="Arial"/>
                <w:b/>
                <w:u w:val="single"/>
              </w:rPr>
            </w:pPr>
          </w:p>
          <w:p w14:paraId="5112B74A" w14:textId="14B43E45" w:rsidR="00A83CC2" w:rsidRDefault="00307E79" w:rsidP="002551C6">
            <w:pPr>
              <w:jc w:val="center"/>
              <w:rPr>
                <w:rFonts w:ascii="Arial" w:eastAsia="Calibri" w:hAnsi="Arial" w:cs="Arial"/>
                <w:b/>
                <w:u w:val="single"/>
              </w:rPr>
            </w:pPr>
            <w:r>
              <w:rPr>
                <w:rFonts w:ascii="Arial" w:eastAsia="Calibri" w:hAnsi="Arial" w:cs="Arial"/>
                <w:b/>
                <w:u w:val="single"/>
              </w:rPr>
              <w:t>91.00%</w:t>
            </w:r>
          </w:p>
        </w:tc>
        <w:tc>
          <w:tcPr>
            <w:tcW w:w="1804" w:type="dxa"/>
          </w:tcPr>
          <w:p w14:paraId="610EB599" w14:textId="77777777" w:rsidR="00A83CC2" w:rsidRDefault="00A83CC2" w:rsidP="002551C6">
            <w:pPr>
              <w:jc w:val="center"/>
              <w:rPr>
                <w:rFonts w:ascii="Arial" w:eastAsia="Calibri" w:hAnsi="Arial" w:cs="Arial"/>
                <w:b/>
                <w:u w:val="single"/>
              </w:rPr>
            </w:pPr>
          </w:p>
          <w:p w14:paraId="645A2BCE" w14:textId="77777777" w:rsidR="00A83CC2" w:rsidRDefault="00A83CC2" w:rsidP="002551C6">
            <w:pPr>
              <w:jc w:val="center"/>
              <w:rPr>
                <w:rFonts w:ascii="Arial" w:eastAsia="Calibri" w:hAnsi="Arial" w:cs="Arial"/>
                <w:b/>
                <w:u w:val="single"/>
              </w:rPr>
            </w:pPr>
          </w:p>
          <w:p w14:paraId="6D97C354" w14:textId="77777777" w:rsidR="00A83CC2" w:rsidRDefault="00A83CC2" w:rsidP="002551C6">
            <w:pPr>
              <w:jc w:val="center"/>
              <w:rPr>
                <w:rFonts w:ascii="Arial" w:eastAsia="Calibri" w:hAnsi="Arial" w:cs="Arial"/>
                <w:b/>
                <w:u w:val="single"/>
              </w:rPr>
            </w:pPr>
          </w:p>
          <w:p w14:paraId="53BA3EE2" w14:textId="77777777" w:rsidR="00A83CC2" w:rsidRDefault="00A83CC2" w:rsidP="002551C6">
            <w:pPr>
              <w:jc w:val="center"/>
              <w:rPr>
                <w:rFonts w:ascii="Arial" w:eastAsia="Calibri" w:hAnsi="Arial" w:cs="Arial"/>
                <w:b/>
                <w:u w:val="single"/>
              </w:rPr>
            </w:pPr>
          </w:p>
          <w:p w14:paraId="6ABE47ED" w14:textId="5A9B87A9" w:rsidR="00A83CC2" w:rsidRDefault="00307E79" w:rsidP="002551C6">
            <w:pPr>
              <w:jc w:val="center"/>
              <w:rPr>
                <w:rFonts w:ascii="Arial" w:eastAsia="Calibri" w:hAnsi="Arial" w:cs="Arial"/>
                <w:b/>
                <w:u w:val="single"/>
              </w:rPr>
            </w:pPr>
            <w:r>
              <w:rPr>
                <w:rFonts w:ascii="Arial" w:eastAsia="Calibri" w:hAnsi="Arial" w:cs="Arial"/>
                <w:b/>
                <w:u w:val="single"/>
              </w:rPr>
              <w:t>80.00%</w:t>
            </w:r>
          </w:p>
          <w:p w14:paraId="6EFC32DA" w14:textId="3522BA29" w:rsidR="00A83CC2" w:rsidRDefault="00307E79" w:rsidP="002551C6">
            <w:pPr>
              <w:jc w:val="center"/>
              <w:rPr>
                <w:rFonts w:ascii="Arial" w:eastAsia="Calibri" w:hAnsi="Arial" w:cs="Arial"/>
                <w:b/>
                <w:u w:val="single"/>
              </w:rPr>
            </w:pPr>
            <w:r>
              <w:rPr>
                <w:rFonts w:ascii="Arial" w:eastAsia="Calibri" w:hAnsi="Arial" w:cs="Arial"/>
                <w:b/>
                <w:u w:val="single"/>
              </w:rPr>
              <w:t>56.00%</w:t>
            </w:r>
          </w:p>
          <w:p w14:paraId="65643767" w14:textId="77777777" w:rsidR="00A83CC2" w:rsidRDefault="00A83CC2" w:rsidP="002551C6">
            <w:pPr>
              <w:jc w:val="center"/>
              <w:rPr>
                <w:rFonts w:ascii="Arial" w:eastAsia="Calibri" w:hAnsi="Arial" w:cs="Arial"/>
                <w:b/>
                <w:u w:val="single"/>
              </w:rPr>
            </w:pPr>
          </w:p>
          <w:p w14:paraId="560E5F95" w14:textId="0319C2FF" w:rsidR="00A83CC2" w:rsidRDefault="00307E79" w:rsidP="002551C6">
            <w:pPr>
              <w:jc w:val="center"/>
              <w:rPr>
                <w:rFonts w:ascii="Arial" w:eastAsia="Calibri" w:hAnsi="Arial" w:cs="Arial"/>
                <w:b/>
                <w:u w:val="single"/>
              </w:rPr>
            </w:pPr>
            <w:r>
              <w:rPr>
                <w:rFonts w:ascii="Arial" w:eastAsia="Calibri" w:hAnsi="Arial" w:cs="Arial"/>
                <w:b/>
                <w:u w:val="single"/>
              </w:rPr>
              <w:t>73.00%</w:t>
            </w:r>
          </w:p>
        </w:tc>
        <w:tc>
          <w:tcPr>
            <w:tcW w:w="2042" w:type="dxa"/>
          </w:tcPr>
          <w:p w14:paraId="4B772760" w14:textId="77777777" w:rsidR="00A83CC2" w:rsidRDefault="00A83CC2" w:rsidP="002551C6">
            <w:pPr>
              <w:jc w:val="center"/>
              <w:rPr>
                <w:rFonts w:ascii="Arial" w:eastAsia="Calibri" w:hAnsi="Arial" w:cs="Arial"/>
                <w:b/>
                <w:u w:val="single"/>
              </w:rPr>
            </w:pPr>
          </w:p>
          <w:p w14:paraId="534D269F" w14:textId="77777777" w:rsidR="00A83CC2" w:rsidRDefault="00A83CC2" w:rsidP="002551C6">
            <w:pPr>
              <w:jc w:val="center"/>
              <w:rPr>
                <w:rFonts w:ascii="Arial" w:eastAsia="Calibri" w:hAnsi="Arial" w:cs="Arial"/>
                <w:b/>
                <w:u w:val="single"/>
              </w:rPr>
            </w:pPr>
          </w:p>
          <w:p w14:paraId="2188E051" w14:textId="77777777" w:rsidR="00A83CC2" w:rsidRDefault="00A83CC2" w:rsidP="002551C6">
            <w:pPr>
              <w:jc w:val="center"/>
              <w:rPr>
                <w:rFonts w:ascii="Arial" w:eastAsia="Calibri" w:hAnsi="Arial" w:cs="Arial"/>
                <w:b/>
                <w:u w:val="single"/>
              </w:rPr>
            </w:pPr>
          </w:p>
          <w:p w14:paraId="25862572" w14:textId="77777777" w:rsidR="00A83CC2" w:rsidRDefault="00A83CC2" w:rsidP="002551C6">
            <w:pPr>
              <w:jc w:val="center"/>
              <w:rPr>
                <w:rFonts w:ascii="Arial" w:eastAsia="Calibri" w:hAnsi="Arial" w:cs="Arial"/>
                <w:b/>
                <w:u w:val="single"/>
              </w:rPr>
            </w:pPr>
          </w:p>
          <w:p w14:paraId="3A877DA0" w14:textId="77777777" w:rsidR="00307E79" w:rsidRDefault="00307E79" w:rsidP="00307E79">
            <w:pPr>
              <w:jc w:val="center"/>
              <w:rPr>
                <w:rFonts w:ascii="Arial" w:eastAsia="Calibri" w:hAnsi="Arial" w:cs="Arial"/>
                <w:b/>
                <w:u w:val="single"/>
              </w:rPr>
            </w:pPr>
            <w:r>
              <w:rPr>
                <w:rFonts w:ascii="Arial" w:eastAsia="Calibri" w:hAnsi="Arial" w:cs="Arial"/>
                <w:b/>
                <w:u w:val="single"/>
              </w:rPr>
              <w:t>80.00%</w:t>
            </w:r>
          </w:p>
          <w:p w14:paraId="7AEB23A3" w14:textId="77777777" w:rsidR="00307E79" w:rsidRDefault="00307E79" w:rsidP="00307E79">
            <w:pPr>
              <w:jc w:val="center"/>
              <w:rPr>
                <w:rFonts w:ascii="Arial" w:eastAsia="Calibri" w:hAnsi="Arial" w:cs="Arial"/>
                <w:b/>
                <w:u w:val="single"/>
              </w:rPr>
            </w:pPr>
            <w:r>
              <w:rPr>
                <w:rFonts w:ascii="Arial" w:eastAsia="Calibri" w:hAnsi="Arial" w:cs="Arial"/>
                <w:b/>
                <w:u w:val="single"/>
              </w:rPr>
              <w:t>56.00%</w:t>
            </w:r>
          </w:p>
          <w:p w14:paraId="29C30D1E" w14:textId="77777777" w:rsidR="00307E79" w:rsidRDefault="00307E79" w:rsidP="00307E79">
            <w:pPr>
              <w:jc w:val="center"/>
              <w:rPr>
                <w:rFonts w:ascii="Arial" w:eastAsia="Calibri" w:hAnsi="Arial" w:cs="Arial"/>
                <w:b/>
                <w:u w:val="single"/>
              </w:rPr>
            </w:pPr>
          </w:p>
          <w:p w14:paraId="0075BED5" w14:textId="7D397FE3" w:rsidR="00A83CC2" w:rsidRDefault="00307E79" w:rsidP="00307E79">
            <w:pPr>
              <w:jc w:val="center"/>
              <w:rPr>
                <w:rFonts w:ascii="Arial" w:eastAsia="Calibri" w:hAnsi="Arial" w:cs="Arial"/>
                <w:b/>
                <w:u w:val="single"/>
              </w:rPr>
            </w:pPr>
            <w:r>
              <w:rPr>
                <w:rFonts w:ascii="Arial" w:eastAsia="Calibri" w:hAnsi="Arial" w:cs="Arial"/>
                <w:b/>
                <w:u w:val="single"/>
              </w:rPr>
              <w:t>73.00%</w:t>
            </w:r>
          </w:p>
        </w:tc>
      </w:tr>
      <w:tr w:rsidR="0041784A" w:rsidRPr="004B1294" w14:paraId="5A3E7373" w14:textId="77777777" w:rsidTr="00042E94">
        <w:tc>
          <w:tcPr>
            <w:tcW w:w="1550" w:type="dxa"/>
          </w:tcPr>
          <w:p w14:paraId="63A3C4F2" w14:textId="0BC6E4D5" w:rsidR="0041784A" w:rsidRDefault="0041784A" w:rsidP="002551C6">
            <w:pPr>
              <w:jc w:val="center"/>
              <w:rPr>
                <w:rFonts w:ascii="Arial" w:hAnsi="Arial" w:cs="Arial"/>
                <w:b/>
              </w:rPr>
            </w:pPr>
            <w:r>
              <w:rPr>
                <w:rFonts w:ascii="Arial" w:hAnsi="Arial" w:cs="Arial"/>
                <w:b/>
              </w:rPr>
              <w:t>113</w:t>
            </w:r>
          </w:p>
        </w:tc>
        <w:tc>
          <w:tcPr>
            <w:tcW w:w="3255" w:type="dxa"/>
          </w:tcPr>
          <w:p w14:paraId="7A862D6A" w14:textId="77777777" w:rsidR="0041784A" w:rsidRPr="0041784A" w:rsidRDefault="0041784A" w:rsidP="0041784A">
            <w:pPr>
              <w:jc w:val="both"/>
              <w:rPr>
                <w:rFonts w:ascii="Arial" w:hAnsi="Arial" w:cs="Arial"/>
                <w:b/>
                <w:lang w:val="es-MX"/>
              </w:rPr>
            </w:pPr>
            <w:r w:rsidRPr="0041784A">
              <w:rPr>
                <w:rFonts w:ascii="Arial" w:hAnsi="Arial" w:cs="Arial"/>
                <w:b/>
                <w:lang w:val="es-MX"/>
              </w:rPr>
              <w:t>113.- REGISTRADURÍA NACIONAL DEL ESTADO CIVIL.</w:t>
            </w:r>
          </w:p>
          <w:p w14:paraId="0F7D1B3B" w14:textId="77777777" w:rsidR="0041784A" w:rsidRDefault="0041784A" w:rsidP="0041784A">
            <w:pPr>
              <w:jc w:val="both"/>
              <w:rPr>
                <w:rFonts w:ascii="Arial" w:hAnsi="Arial" w:cs="Arial"/>
                <w:b/>
                <w:lang w:val="es-MX"/>
              </w:rPr>
            </w:pPr>
          </w:p>
          <w:p w14:paraId="79D53150" w14:textId="0788359A" w:rsidR="0041784A" w:rsidRDefault="0041784A" w:rsidP="0041784A">
            <w:pPr>
              <w:jc w:val="both"/>
              <w:rPr>
                <w:rFonts w:ascii="Arial" w:hAnsi="Arial" w:cs="Arial"/>
                <w:b/>
                <w:lang w:val="es-MX"/>
              </w:rPr>
            </w:pPr>
            <w:r>
              <w:rPr>
                <w:rFonts w:ascii="Arial" w:hAnsi="Arial" w:cs="Arial"/>
                <w:b/>
                <w:lang w:val="es-MX"/>
              </w:rPr>
              <w:t>FUNCIONAMIENTO</w:t>
            </w:r>
          </w:p>
          <w:p w14:paraId="02D1CF37" w14:textId="77777777" w:rsidR="0041784A" w:rsidRDefault="0041784A" w:rsidP="0041784A">
            <w:pPr>
              <w:jc w:val="both"/>
              <w:rPr>
                <w:rFonts w:ascii="Arial" w:hAnsi="Arial" w:cs="Arial"/>
                <w:b/>
                <w:lang w:val="es-MX"/>
              </w:rPr>
            </w:pPr>
            <w:r>
              <w:rPr>
                <w:rFonts w:ascii="Arial" w:hAnsi="Arial" w:cs="Arial"/>
                <w:b/>
                <w:lang w:val="es-MX"/>
              </w:rPr>
              <w:t>INVERSIÓN</w:t>
            </w:r>
          </w:p>
          <w:p w14:paraId="46071BEA" w14:textId="77777777" w:rsidR="0041784A" w:rsidRDefault="0041784A" w:rsidP="0041784A">
            <w:pPr>
              <w:jc w:val="both"/>
              <w:rPr>
                <w:rFonts w:ascii="Arial" w:hAnsi="Arial" w:cs="Arial"/>
                <w:b/>
                <w:lang w:val="es-MX"/>
              </w:rPr>
            </w:pPr>
          </w:p>
          <w:p w14:paraId="1CC755A7" w14:textId="19C6BCED" w:rsidR="0041784A" w:rsidRPr="00A83CC2" w:rsidRDefault="0041784A" w:rsidP="0041784A">
            <w:pPr>
              <w:jc w:val="both"/>
              <w:rPr>
                <w:rFonts w:ascii="Arial" w:hAnsi="Arial" w:cs="Arial"/>
                <w:b/>
                <w:lang w:val="es-MX"/>
              </w:rPr>
            </w:pPr>
            <w:r>
              <w:rPr>
                <w:rFonts w:ascii="Arial" w:hAnsi="Arial" w:cs="Arial"/>
                <w:b/>
                <w:lang w:val="es-MX"/>
              </w:rPr>
              <w:t>TOTAL PRESUPUESTO</w:t>
            </w:r>
          </w:p>
        </w:tc>
        <w:tc>
          <w:tcPr>
            <w:tcW w:w="1839" w:type="dxa"/>
          </w:tcPr>
          <w:p w14:paraId="024BAD29" w14:textId="77777777" w:rsidR="0041784A" w:rsidRDefault="0041784A" w:rsidP="002551C6">
            <w:pPr>
              <w:jc w:val="center"/>
              <w:rPr>
                <w:rFonts w:ascii="Arial" w:eastAsia="Calibri" w:hAnsi="Arial" w:cs="Arial"/>
                <w:b/>
                <w:u w:val="single"/>
              </w:rPr>
            </w:pPr>
          </w:p>
          <w:p w14:paraId="0BD97D2D" w14:textId="77777777" w:rsidR="0041784A" w:rsidRDefault="0041784A" w:rsidP="002551C6">
            <w:pPr>
              <w:jc w:val="center"/>
              <w:rPr>
                <w:rFonts w:ascii="Arial" w:eastAsia="Calibri" w:hAnsi="Arial" w:cs="Arial"/>
                <w:b/>
                <w:u w:val="single"/>
              </w:rPr>
            </w:pPr>
          </w:p>
          <w:p w14:paraId="7EE0BA0A" w14:textId="77777777" w:rsidR="0041784A" w:rsidRDefault="0041784A" w:rsidP="002551C6">
            <w:pPr>
              <w:jc w:val="center"/>
              <w:rPr>
                <w:rFonts w:ascii="Arial" w:eastAsia="Calibri" w:hAnsi="Arial" w:cs="Arial"/>
                <w:b/>
                <w:u w:val="single"/>
              </w:rPr>
            </w:pPr>
          </w:p>
          <w:p w14:paraId="690C48A2" w14:textId="0F359CF9" w:rsidR="0041784A" w:rsidRDefault="0041784A" w:rsidP="002551C6">
            <w:pPr>
              <w:jc w:val="center"/>
              <w:rPr>
                <w:rFonts w:ascii="Arial" w:eastAsia="Calibri" w:hAnsi="Arial" w:cs="Arial"/>
                <w:b/>
                <w:u w:val="single"/>
              </w:rPr>
            </w:pPr>
            <w:r>
              <w:rPr>
                <w:rFonts w:ascii="Arial" w:eastAsia="Calibri" w:hAnsi="Arial" w:cs="Arial"/>
                <w:b/>
                <w:u w:val="single"/>
              </w:rPr>
              <w:t>58.00%</w:t>
            </w:r>
          </w:p>
          <w:p w14:paraId="2CEFF1B5" w14:textId="2870C7EC" w:rsidR="0041784A" w:rsidRDefault="0041784A" w:rsidP="002551C6">
            <w:pPr>
              <w:jc w:val="center"/>
              <w:rPr>
                <w:rFonts w:ascii="Arial" w:eastAsia="Calibri" w:hAnsi="Arial" w:cs="Arial"/>
                <w:b/>
                <w:u w:val="single"/>
              </w:rPr>
            </w:pPr>
            <w:r>
              <w:rPr>
                <w:rFonts w:ascii="Arial" w:eastAsia="Calibri" w:hAnsi="Arial" w:cs="Arial"/>
                <w:b/>
                <w:u w:val="single"/>
              </w:rPr>
              <w:t>97.00%</w:t>
            </w:r>
          </w:p>
          <w:p w14:paraId="24849C7D" w14:textId="77777777" w:rsidR="0041784A" w:rsidRDefault="0041784A" w:rsidP="002551C6">
            <w:pPr>
              <w:jc w:val="center"/>
              <w:rPr>
                <w:rFonts w:ascii="Arial" w:eastAsia="Calibri" w:hAnsi="Arial" w:cs="Arial"/>
                <w:b/>
                <w:u w:val="single"/>
              </w:rPr>
            </w:pPr>
          </w:p>
          <w:p w14:paraId="262DA410" w14:textId="29BA75E4" w:rsidR="0041784A" w:rsidRDefault="0041784A" w:rsidP="0041784A">
            <w:pPr>
              <w:jc w:val="center"/>
              <w:rPr>
                <w:rFonts w:ascii="Arial" w:eastAsia="Calibri" w:hAnsi="Arial" w:cs="Arial"/>
                <w:b/>
                <w:u w:val="single"/>
              </w:rPr>
            </w:pPr>
            <w:r>
              <w:rPr>
                <w:rFonts w:ascii="Arial" w:eastAsia="Calibri" w:hAnsi="Arial" w:cs="Arial"/>
                <w:b/>
                <w:u w:val="single"/>
              </w:rPr>
              <w:t>64.00%</w:t>
            </w:r>
          </w:p>
        </w:tc>
        <w:tc>
          <w:tcPr>
            <w:tcW w:w="1804" w:type="dxa"/>
          </w:tcPr>
          <w:p w14:paraId="516E083A" w14:textId="77777777" w:rsidR="0041784A" w:rsidRDefault="0041784A" w:rsidP="002551C6">
            <w:pPr>
              <w:jc w:val="center"/>
              <w:rPr>
                <w:rFonts w:ascii="Arial" w:eastAsia="Calibri" w:hAnsi="Arial" w:cs="Arial"/>
                <w:b/>
                <w:u w:val="single"/>
              </w:rPr>
            </w:pPr>
          </w:p>
          <w:p w14:paraId="09FBC56B" w14:textId="77777777" w:rsidR="0041784A" w:rsidRDefault="0041784A" w:rsidP="002551C6">
            <w:pPr>
              <w:jc w:val="center"/>
              <w:rPr>
                <w:rFonts w:ascii="Arial" w:eastAsia="Calibri" w:hAnsi="Arial" w:cs="Arial"/>
                <w:b/>
                <w:u w:val="single"/>
              </w:rPr>
            </w:pPr>
          </w:p>
          <w:p w14:paraId="10AEE444" w14:textId="77777777" w:rsidR="0041784A" w:rsidRDefault="0041784A" w:rsidP="002551C6">
            <w:pPr>
              <w:jc w:val="center"/>
              <w:rPr>
                <w:rFonts w:ascii="Arial" w:eastAsia="Calibri" w:hAnsi="Arial" w:cs="Arial"/>
                <w:b/>
                <w:u w:val="single"/>
              </w:rPr>
            </w:pPr>
          </w:p>
          <w:p w14:paraId="50345677" w14:textId="35C1D899" w:rsidR="0041784A" w:rsidRDefault="0041784A" w:rsidP="002551C6">
            <w:pPr>
              <w:jc w:val="center"/>
              <w:rPr>
                <w:rFonts w:ascii="Arial" w:eastAsia="Calibri" w:hAnsi="Arial" w:cs="Arial"/>
                <w:b/>
                <w:u w:val="single"/>
              </w:rPr>
            </w:pPr>
            <w:r>
              <w:rPr>
                <w:rFonts w:ascii="Arial" w:eastAsia="Calibri" w:hAnsi="Arial" w:cs="Arial"/>
                <w:b/>
                <w:u w:val="single"/>
              </w:rPr>
              <w:t>54.00%</w:t>
            </w:r>
          </w:p>
          <w:p w14:paraId="3CF93013" w14:textId="39E0877F" w:rsidR="0041784A" w:rsidRDefault="0041784A" w:rsidP="002551C6">
            <w:pPr>
              <w:jc w:val="center"/>
              <w:rPr>
                <w:rFonts w:ascii="Arial" w:eastAsia="Calibri" w:hAnsi="Arial" w:cs="Arial"/>
                <w:b/>
                <w:u w:val="single"/>
              </w:rPr>
            </w:pPr>
            <w:r>
              <w:rPr>
                <w:rFonts w:ascii="Arial" w:eastAsia="Calibri" w:hAnsi="Arial" w:cs="Arial"/>
                <w:b/>
                <w:u w:val="single"/>
              </w:rPr>
              <w:t>55.00%</w:t>
            </w:r>
          </w:p>
          <w:p w14:paraId="7CB82418" w14:textId="77777777" w:rsidR="0041784A" w:rsidRDefault="0041784A" w:rsidP="002551C6">
            <w:pPr>
              <w:jc w:val="center"/>
              <w:rPr>
                <w:rFonts w:ascii="Arial" w:eastAsia="Calibri" w:hAnsi="Arial" w:cs="Arial"/>
                <w:b/>
                <w:u w:val="single"/>
              </w:rPr>
            </w:pPr>
          </w:p>
          <w:p w14:paraId="3FFBBCB9" w14:textId="37B4F241" w:rsidR="0041784A" w:rsidRDefault="0041784A" w:rsidP="0041784A">
            <w:pPr>
              <w:jc w:val="center"/>
              <w:rPr>
                <w:rFonts w:ascii="Arial" w:eastAsia="Calibri" w:hAnsi="Arial" w:cs="Arial"/>
                <w:b/>
                <w:u w:val="single"/>
              </w:rPr>
            </w:pPr>
            <w:r>
              <w:rPr>
                <w:rFonts w:ascii="Arial" w:eastAsia="Calibri" w:hAnsi="Arial" w:cs="Arial"/>
                <w:b/>
                <w:u w:val="single"/>
              </w:rPr>
              <w:t>54.00%</w:t>
            </w:r>
          </w:p>
        </w:tc>
        <w:tc>
          <w:tcPr>
            <w:tcW w:w="2042" w:type="dxa"/>
          </w:tcPr>
          <w:p w14:paraId="3C7F3140" w14:textId="77777777" w:rsidR="0041784A" w:rsidRDefault="0041784A" w:rsidP="002551C6">
            <w:pPr>
              <w:jc w:val="center"/>
              <w:rPr>
                <w:rFonts w:ascii="Arial" w:eastAsia="Calibri" w:hAnsi="Arial" w:cs="Arial"/>
                <w:b/>
                <w:u w:val="single"/>
              </w:rPr>
            </w:pPr>
          </w:p>
          <w:p w14:paraId="728E2B7F" w14:textId="77777777" w:rsidR="0041784A" w:rsidRDefault="0041784A" w:rsidP="002551C6">
            <w:pPr>
              <w:jc w:val="center"/>
              <w:rPr>
                <w:rFonts w:ascii="Arial" w:eastAsia="Calibri" w:hAnsi="Arial" w:cs="Arial"/>
                <w:b/>
                <w:u w:val="single"/>
              </w:rPr>
            </w:pPr>
          </w:p>
          <w:p w14:paraId="43400EBC" w14:textId="77777777" w:rsidR="0041784A" w:rsidRDefault="0041784A" w:rsidP="002551C6">
            <w:pPr>
              <w:jc w:val="center"/>
              <w:rPr>
                <w:rFonts w:ascii="Arial" w:eastAsia="Calibri" w:hAnsi="Arial" w:cs="Arial"/>
                <w:b/>
                <w:u w:val="single"/>
              </w:rPr>
            </w:pPr>
          </w:p>
          <w:p w14:paraId="0B4B421C" w14:textId="5B51B740" w:rsidR="0041784A" w:rsidRDefault="0041784A" w:rsidP="002551C6">
            <w:pPr>
              <w:jc w:val="center"/>
              <w:rPr>
                <w:rFonts w:ascii="Arial" w:eastAsia="Calibri" w:hAnsi="Arial" w:cs="Arial"/>
                <w:b/>
                <w:u w:val="single"/>
              </w:rPr>
            </w:pPr>
            <w:r>
              <w:rPr>
                <w:rFonts w:ascii="Arial" w:eastAsia="Calibri" w:hAnsi="Arial" w:cs="Arial"/>
                <w:b/>
                <w:u w:val="single"/>
              </w:rPr>
              <w:t>54.00%</w:t>
            </w:r>
          </w:p>
          <w:p w14:paraId="00A7246C" w14:textId="5E9BD905" w:rsidR="0041784A" w:rsidRDefault="0041784A" w:rsidP="002551C6">
            <w:pPr>
              <w:jc w:val="center"/>
              <w:rPr>
                <w:rFonts w:ascii="Arial" w:eastAsia="Calibri" w:hAnsi="Arial" w:cs="Arial"/>
                <w:b/>
                <w:u w:val="single"/>
              </w:rPr>
            </w:pPr>
            <w:r>
              <w:rPr>
                <w:rFonts w:ascii="Arial" w:eastAsia="Calibri" w:hAnsi="Arial" w:cs="Arial"/>
                <w:b/>
                <w:u w:val="single"/>
              </w:rPr>
              <w:t>55.00%</w:t>
            </w:r>
          </w:p>
          <w:p w14:paraId="6D6A948F" w14:textId="77777777" w:rsidR="0041784A" w:rsidRDefault="0041784A" w:rsidP="002551C6">
            <w:pPr>
              <w:jc w:val="center"/>
              <w:rPr>
                <w:rFonts w:ascii="Arial" w:eastAsia="Calibri" w:hAnsi="Arial" w:cs="Arial"/>
                <w:b/>
                <w:u w:val="single"/>
              </w:rPr>
            </w:pPr>
          </w:p>
          <w:p w14:paraId="3783E6EA" w14:textId="6E6B315B" w:rsidR="0041784A" w:rsidRDefault="0041784A" w:rsidP="0041784A">
            <w:pPr>
              <w:jc w:val="center"/>
              <w:rPr>
                <w:rFonts w:ascii="Arial" w:eastAsia="Calibri" w:hAnsi="Arial" w:cs="Arial"/>
                <w:b/>
                <w:u w:val="single"/>
              </w:rPr>
            </w:pPr>
            <w:r>
              <w:rPr>
                <w:rFonts w:ascii="Arial" w:eastAsia="Calibri" w:hAnsi="Arial" w:cs="Arial"/>
                <w:b/>
                <w:u w:val="single"/>
              </w:rPr>
              <w:t>54.00%</w:t>
            </w:r>
          </w:p>
        </w:tc>
      </w:tr>
      <w:tr w:rsidR="003E44AF" w:rsidRPr="004B1294" w14:paraId="2C143E9C" w14:textId="77777777" w:rsidTr="00042E94">
        <w:tc>
          <w:tcPr>
            <w:tcW w:w="1550" w:type="dxa"/>
          </w:tcPr>
          <w:p w14:paraId="0530D080" w14:textId="309FC527" w:rsidR="003E44AF" w:rsidRDefault="003E44AF" w:rsidP="002551C6">
            <w:pPr>
              <w:jc w:val="center"/>
              <w:rPr>
                <w:rFonts w:ascii="Arial" w:hAnsi="Arial" w:cs="Arial"/>
                <w:b/>
              </w:rPr>
            </w:pPr>
            <w:r>
              <w:rPr>
                <w:rFonts w:ascii="Arial" w:hAnsi="Arial" w:cs="Arial"/>
                <w:b/>
              </w:rPr>
              <w:lastRenderedPageBreak/>
              <w:t>116</w:t>
            </w:r>
          </w:p>
        </w:tc>
        <w:tc>
          <w:tcPr>
            <w:tcW w:w="3255" w:type="dxa"/>
          </w:tcPr>
          <w:p w14:paraId="058B1403" w14:textId="77777777" w:rsidR="003E44AF" w:rsidRDefault="003E44AF" w:rsidP="0041784A">
            <w:pPr>
              <w:jc w:val="both"/>
              <w:rPr>
                <w:rFonts w:ascii="Arial" w:hAnsi="Arial" w:cs="Arial"/>
                <w:b/>
                <w:lang w:val="es-MX"/>
              </w:rPr>
            </w:pPr>
            <w:r w:rsidRPr="003E44AF">
              <w:rPr>
                <w:rFonts w:ascii="Arial" w:hAnsi="Arial" w:cs="Arial"/>
                <w:b/>
                <w:lang w:val="es-MX"/>
              </w:rPr>
              <w:t>ESCUELA SUPERIOR DE ADMINISTRACIÓN PÚBLICA - ESAP.</w:t>
            </w:r>
          </w:p>
          <w:p w14:paraId="73925623" w14:textId="77777777" w:rsidR="003E44AF" w:rsidRDefault="003E44AF" w:rsidP="0041784A">
            <w:pPr>
              <w:jc w:val="both"/>
              <w:rPr>
                <w:rFonts w:ascii="Arial" w:hAnsi="Arial" w:cs="Arial"/>
                <w:b/>
                <w:lang w:val="es-MX"/>
              </w:rPr>
            </w:pPr>
          </w:p>
          <w:p w14:paraId="1509793B" w14:textId="77777777" w:rsidR="003E44AF" w:rsidRDefault="003E44AF" w:rsidP="003E44AF">
            <w:pPr>
              <w:jc w:val="both"/>
              <w:rPr>
                <w:rFonts w:ascii="Arial" w:hAnsi="Arial" w:cs="Arial"/>
                <w:b/>
                <w:lang w:val="es-MX"/>
              </w:rPr>
            </w:pPr>
            <w:r>
              <w:rPr>
                <w:rFonts w:ascii="Arial" w:hAnsi="Arial" w:cs="Arial"/>
                <w:b/>
                <w:lang w:val="es-MX"/>
              </w:rPr>
              <w:t>FUNCIONAMIENTO</w:t>
            </w:r>
          </w:p>
          <w:p w14:paraId="277C8694" w14:textId="77777777" w:rsidR="003E44AF" w:rsidRDefault="003E44AF" w:rsidP="003E44AF">
            <w:pPr>
              <w:jc w:val="both"/>
              <w:rPr>
                <w:rFonts w:ascii="Arial" w:hAnsi="Arial" w:cs="Arial"/>
                <w:b/>
                <w:lang w:val="es-MX"/>
              </w:rPr>
            </w:pPr>
            <w:r>
              <w:rPr>
                <w:rFonts w:ascii="Arial" w:hAnsi="Arial" w:cs="Arial"/>
                <w:b/>
                <w:lang w:val="es-MX"/>
              </w:rPr>
              <w:t>INVERSIÓN</w:t>
            </w:r>
          </w:p>
          <w:p w14:paraId="6F43B3CE" w14:textId="77777777" w:rsidR="003E44AF" w:rsidRDefault="003E44AF" w:rsidP="003E44AF">
            <w:pPr>
              <w:jc w:val="both"/>
              <w:rPr>
                <w:rFonts w:ascii="Arial" w:hAnsi="Arial" w:cs="Arial"/>
                <w:b/>
                <w:lang w:val="es-MX"/>
              </w:rPr>
            </w:pPr>
          </w:p>
          <w:p w14:paraId="3CBB6324" w14:textId="1355D016" w:rsidR="003E44AF" w:rsidRPr="003E44AF" w:rsidRDefault="003E44AF" w:rsidP="003E44AF">
            <w:pPr>
              <w:jc w:val="both"/>
              <w:rPr>
                <w:rFonts w:ascii="Arial" w:hAnsi="Arial" w:cs="Arial"/>
                <w:b/>
                <w:lang w:val="es-MX"/>
              </w:rPr>
            </w:pPr>
            <w:r>
              <w:rPr>
                <w:rFonts w:ascii="Arial" w:hAnsi="Arial" w:cs="Arial"/>
                <w:b/>
                <w:lang w:val="es-MX"/>
              </w:rPr>
              <w:t>TOTAL PRESUPUESTO</w:t>
            </w:r>
          </w:p>
        </w:tc>
        <w:tc>
          <w:tcPr>
            <w:tcW w:w="1839" w:type="dxa"/>
          </w:tcPr>
          <w:p w14:paraId="1C9DA770" w14:textId="77777777" w:rsidR="003E44AF" w:rsidRDefault="003E44AF" w:rsidP="002551C6">
            <w:pPr>
              <w:jc w:val="center"/>
              <w:rPr>
                <w:rFonts w:ascii="Arial" w:eastAsia="Calibri" w:hAnsi="Arial" w:cs="Arial"/>
                <w:b/>
                <w:u w:val="single"/>
              </w:rPr>
            </w:pPr>
          </w:p>
          <w:p w14:paraId="603A1E60" w14:textId="77777777" w:rsidR="003E44AF" w:rsidRDefault="003E44AF" w:rsidP="002551C6">
            <w:pPr>
              <w:jc w:val="center"/>
              <w:rPr>
                <w:rFonts w:ascii="Arial" w:eastAsia="Calibri" w:hAnsi="Arial" w:cs="Arial"/>
                <w:b/>
                <w:u w:val="single"/>
              </w:rPr>
            </w:pPr>
          </w:p>
          <w:p w14:paraId="5E2504C0" w14:textId="77777777" w:rsidR="003E44AF" w:rsidRDefault="003E44AF" w:rsidP="002551C6">
            <w:pPr>
              <w:jc w:val="center"/>
              <w:rPr>
                <w:rFonts w:ascii="Arial" w:eastAsia="Calibri" w:hAnsi="Arial" w:cs="Arial"/>
                <w:b/>
                <w:u w:val="single"/>
              </w:rPr>
            </w:pPr>
          </w:p>
          <w:p w14:paraId="3DF44203" w14:textId="77777777" w:rsidR="003E44AF" w:rsidRDefault="003E44AF" w:rsidP="002551C6">
            <w:pPr>
              <w:jc w:val="center"/>
              <w:rPr>
                <w:rFonts w:ascii="Arial" w:eastAsia="Calibri" w:hAnsi="Arial" w:cs="Arial"/>
                <w:b/>
                <w:u w:val="single"/>
              </w:rPr>
            </w:pPr>
          </w:p>
          <w:p w14:paraId="46551500" w14:textId="630697AA" w:rsidR="003E44AF" w:rsidRDefault="003E44AF" w:rsidP="002551C6">
            <w:pPr>
              <w:jc w:val="center"/>
              <w:rPr>
                <w:rFonts w:ascii="Arial" w:eastAsia="Calibri" w:hAnsi="Arial" w:cs="Arial"/>
                <w:b/>
                <w:u w:val="single"/>
              </w:rPr>
            </w:pPr>
            <w:r>
              <w:rPr>
                <w:rFonts w:ascii="Arial" w:eastAsia="Calibri" w:hAnsi="Arial" w:cs="Arial"/>
                <w:b/>
                <w:u w:val="single"/>
              </w:rPr>
              <w:t>83.80%</w:t>
            </w:r>
          </w:p>
          <w:p w14:paraId="0A7FF1AB" w14:textId="3393FBC6" w:rsidR="003E44AF" w:rsidRDefault="003E44AF" w:rsidP="002551C6">
            <w:pPr>
              <w:jc w:val="center"/>
              <w:rPr>
                <w:rFonts w:ascii="Arial" w:eastAsia="Calibri" w:hAnsi="Arial" w:cs="Arial"/>
                <w:b/>
                <w:u w:val="single"/>
              </w:rPr>
            </w:pPr>
            <w:r>
              <w:rPr>
                <w:rFonts w:ascii="Arial" w:eastAsia="Calibri" w:hAnsi="Arial" w:cs="Arial"/>
                <w:b/>
                <w:u w:val="single"/>
              </w:rPr>
              <w:t>95.20%</w:t>
            </w:r>
          </w:p>
          <w:p w14:paraId="220937DB" w14:textId="77777777" w:rsidR="003E44AF" w:rsidRDefault="003E44AF" w:rsidP="002551C6">
            <w:pPr>
              <w:jc w:val="center"/>
              <w:rPr>
                <w:rFonts w:ascii="Arial" w:eastAsia="Calibri" w:hAnsi="Arial" w:cs="Arial"/>
                <w:b/>
                <w:u w:val="single"/>
              </w:rPr>
            </w:pPr>
          </w:p>
          <w:p w14:paraId="7BD72F18" w14:textId="2AF52DE5" w:rsidR="003E44AF" w:rsidRDefault="003E44AF" w:rsidP="002551C6">
            <w:pPr>
              <w:jc w:val="center"/>
              <w:rPr>
                <w:rFonts w:ascii="Arial" w:eastAsia="Calibri" w:hAnsi="Arial" w:cs="Arial"/>
                <w:b/>
                <w:u w:val="single"/>
              </w:rPr>
            </w:pPr>
            <w:r>
              <w:rPr>
                <w:rFonts w:ascii="Arial" w:eastAsia="Calibri" w:hAnsi="Arial" w:cs="Arial"/>
                <w:b/>
                <w:u w:val="single"/>
              </w:rPr>
              <w:t>91.90%</w:t>
            </w:r>
          </w:p>
        </w:tc>
        <w:tc>
          <w:tcPr>
            <w:tcW w:w="1804" w:type="dxa"/>
          </w:tcPr>
          <w:p w14:paraId="4268F735" w14:textId="77777777" w:rsidR="003E44AF" w:rsidRDefault="003E44AF" w:rsidP="002551C6">
            <w:pPr>
              <w:jc w:val="center"/>
              <w:rPr>
                <w:rFonts w:ascii="Arial" w:eastAsia="Calibri" w:hAnsi="Arial" w:cs="Arial"/>
                <w:b/>
                <w:u w:val="single"/>
              </w:rPr>
            </w:pPr>
          </w:p>
          <w:p w14:paraId="6F1B6E8D" w14:textId="77777777" w:rsidR="003E44AF" w:rsidRDefault="003E44AF" w:rsidP="002551C6">
            <w:pPr>
              <w:jc w:val="center"/>
              <w:rPr>
                <w:rFonts w:ascii="Arial" w:eastAsia="Calibri" w:hAnsi="Arial" w:cs="Arial"/>
                <w:b/>
                <w:u w:val="single"/>
              </w:rPr>
            </w:pPr>
          </w:p>
          <w:p w14:paraId="2CA6FB93" w14:textId="77777777" w:rsidR="003E44AF" w:rsidRDefault="003E44AF" w:rsidP="002551C6">
            <w:pPr>
              <w:jc w:val="center"/>
              <w:rPr>
                <w:rFonts w:ascii="Arial" w:eastAsia="Calibri" w:hAnsi="Arial" w:cs="Arial"/>
                <w:b/>
                <w:u w:val="single"/>
              </w:rPr>
            </w:pPr>
          </w:p>
          <w:p w14:paraId="794D78CB" w14:textId="77777777" w:rsidR="003E44AF" w:rsidRDefault="003E44AF" w:rsidP="002551C6">
            <w:pPr>
              <w:jc w:val="center"/>
              <w:rPr>
                <w:rFonts w:ascii="Arial" w:eastAsia="Calibri" w:hAnsi="Arial" w:cs="Arial"/>
                <w:b/>
                <w:u w:val="single"/>
              </w:rPr>
            </w:pPr>
          </w:p>
          <w:p w14:paraId="11E82426" w14:textId="3F282ACF" w:rsidR="003E44AF" w:rsidRDefault="003E44AF" w:rsidP="002551C6">
            <w:pPr>
              <w:jc w:val="center"/>
              <w:rPr>
                <w:rFonts w:ascii="Arial" w:eastAsia="Calibri" w:hAnsi="Arial" w:cs="Arial"/>
                <w:b/>
                <w:u w:val="single"/>
              </w:rPr>
            </w:pPr>
            <w:r>
              <w:rPr>
                <w:rFonts w:ascii="Arial" w:eastAsia="Calibri" w:hAnsi="Arial" w:cs="Arial"/>
                <w:b/>
                <w:u w:val="single"/>
              </w:rPr>
              <w:t>83.20%</w:t>
            </w:r>
          </w:p>
          <w:p w14:paraId="1679121C" w14:textId="08CF4D72" w:rsidR="003E44AF" w:rsidRDefault="003E44AF" w:rsidP="002551C6">
            <w:pPr>
              <w:jc w:val="center"/>
              <w:rPr>
                <w:rFonts w:ascii="Arial" w:eastAsia="Calibri" w:hAnsi="Arial" w:cs="Arial"/>
                <w:b/>
                <w:u w:val="single"/>
              </w:rPr>
            </w:pPr>
            <w:r>
              <w:rPr>
                <w:rFonts w:ascii="Arial" w:eastAsia="Calibri" w:hAnsi="Arial" w:cs="Arial"/>
                <w:b/>
                <w:u w:val="single"/>
              </w:rPr>
              <w:t>93.00%</w:t>
            </w:r>
          </w:p>
          <w:p w14:paraId="436C0A32" w14:textId="77777777" w:rsidR="003E44AF" w:rsidRDefault="003E44AF" w:rsidP="002551C6">
            <w:pPr>
              <w:jc w:val="center"/>
              <w:rPr>
                <w:rFonts w:ascii="Arial" w:eastAsia="Calibri" w:hAnsi="Arial" w:cs="Arial"/>
                <w:b/>
                <w:u w:val="single"/>
              </w:rPr>
            </w:pPr>
          </w:p>
          <w:p w14:paraId="0936B5D1" w14:textId="2A685F38" w:rsidR="003E44AF" w:rsidRDefault="003E44AF" w:rsidP="003E44AF">
            <w:pPr>
              <w:jc w:val="center"/>
              <w:rPr>
                <w:rFonts w:ascii="Arial" w:eastAsia="Calibri" w:hAnsi="Arial" w:cs="Arial"/>
                <w:b/>
                <w:u w:val="single"/>
              </w:rPr>
            </w:pPr>
            <w:r>
              <w:rPr>
                <w:rFonts w:ascii="Arial" w:eastAsia="Calibri" w:hAnsi="Arial" w:cs="Arial"/>
                <w:b/>
                <w:u w:val="single"/>
              </w:rPr>
              <w:t>89.50%</w:t>
            </w:r>
          </w:p>
        </w:tc>
        <w:tc>
          <w:tcPr>
            <w:tcW w:w="2042" w:type="dxa"/>
          </w:tcPr>
          <w:p w14:paraId="34A8EE3D" w14:textId="77777777" w:rsidR="003E44AF" w:rsidRDefault="003E44AF" w:rsidP="002551C6">
            <w:pPr>
              <w:jc w:val="center"/>
              <w:rPr>
                <w:rFonts w:ascii="Arial" w:eastAsia="Calibri" w:hAnsi="Arial" w:cs="Arial"/>
                <w:b/>
                <w:u w:val="single"/>
              </w:rPr>
            </w:pPr>
          </w:p>
          <w:p w14:paraId="057D4D87" w14:textId="77777777" w:rsidR="003E44AF" w:rsidRDefault="003E44AF" w:rsidP="002551C6">
            <w:pPr>
              <w:jc w:val="center"/>
              <w:rPr>
                <w:rFonts w:ascii="Arial" w:eastAsia="Calibri" w:hAnsi="Arial" w:cs="Arial"/>
                <w:b/>
                <w:u w:val="single"/>
              </w:rPr>
            </w:pPr>
          </w:p>
          <w:p w14:paraId="1E6A6AE7" w14:textId="77777777" w:rsidR="003E44AF" w:rsidRDefault="003E44AF" w:rsidP="002551C6">
            <w:pPr>
              <w:jc w:val="center"/>
              <w:rPr>
                <w:rFonts w:ascii="Arial" w:eastAsia="Calibri" w:hAnsi="Arial" w:cs="Arial"/>
                <w:b/>
                <w:u w:val="single"/>
              </w:rPr>
            </w:pPr>
          </w:p>
          <w:p w14:paraId="6527BAD3" w14:textId="77777777" w:rsidR="003E44AF" w:rsidRDefault="003E44AF" w:rsidP="002551C6">
            <w:pPr>
              <w:jc w:val="center"/>
              <w:rPr>
                <w:rFonts w:ascii="Arial" w:eastAsia="Calibri" w:hAnsi="Arial" w:cs="Arial"/>
                <w:b/>
                <w:u w:val="single"/>
              </w:rPr>
            </w:pPr>
          </w:p>
          <w:p w14:paraId="05F300C8" w14:textId="7B64BFCC" w:rsidR="003E44AF" w:rsidRDefault="003E44AF" w:rsidP="002551C6">
            <w:pPr>
              <w:jc w:val="center"/>
              <w:rPr>
                <w:rFonts w:ascii="Arial" w:eastAsia="Calibri" w:hAnsi="Arial" w:cs="Arial"/>
                <w:b/>
                <w:u w:val="single"/>
              </w:rPr>
            </w:pPr>
            <w:r>
              <w:rPr>
                <w:rFonts w:ascii="Arial" w:eastAsia="Calibri" w:hAnsi="Arial" w:cs="Arial"/>
                <w:b/>
                <w:u w:val="single"/>
              </w:rPr>
              <w:t>82.70%</w:t>
            </w:r>
          </w:p>
          <w:p w14:paraId="4E62D536" w14:textId="254418AF" w:rsidR="003E44AF" w:rsidRDefault="003E44AF" w:rsidP="002551C6">
            <w:pPr>
              <w:jc w:val="center"/>
              <w:rPr>
                <w:rFonts w:ascii="Arial" w:eastAsia="Calibri" w:hAnsi="Arial" w:cs="Arial"/>
                <w:b/>
                <w:u w:val="single"/>
              </w:rPr>
            </w:pPr>
            <w:r>
              <w:rPr>
                <w:rFonts w:ascii="Arial" w:eastAsia="Calibri" w:hAnsi="Arial" w:cs="Arial"/>
                <w:b/>
                <w:u w:val="single"/>
              </w:rPr>
              <w:t>91.70%</w:t>
            </w:r>
          </w:p>
          <w:p w14:paraId="66C00F20" w14:textId="77777777" w:rsidR="003E44AF" w:rsidRDefault="003E44AF" w:rsidP="002551C6">
            <w:pPr>
              <w:jc w:val="center"/>
              <w:rPr>
                <w:rFonts w:ascii="Arial" w:eastAsia="Calibri" w:hAnsi="Arial" w:cs="Arial"/>
                <w:b/>
                <w:u w:val="single"/>
              </w:rPr>
            </w:pPr>
          </w:p>
          <w:p w14:paraId="12E9BD6A" w14:textId="33C7924E" w:rsidR="003E44AF" w:rsidRDefault="003E44AF" w:rsidP="002551C6">
            <w:pPr>
              <w:jc w:val="center"/>
              <w:rPr>
                <w:rFonts w:ascii="Arial" w:eastAsia="Calibri" w:hAnsi="Arial" w:cs="Arial"/>
                <w:b/>
                <w:u w:val="single"/>
              </w:rPr>
            </w:pPr>
            <w:r>
              <w:rPr>
                <w:rFonts w:ascii="Arial" w:eastAsia="Calibri" w:hAnsi="Arial" w:cs="Arial"/>
                <w:b/>
                <w:u w:val="single"/>
              </w:rPr>
              <w:t>88.50%</w:t>
            </w:r>
          </w:p>
        </w:tc>
      </w:tr>
      <w:tr w:rsidR="00300EEA" w:rsidRPr="004B1294" w14:paraId="515231B0" w14:textId="77777777" w:rsidTr="00042E94">
        <w:tc>
          <w:tcPr>
            <w:tcW w:w="1550" w:type="dxa"/>
          </w:tcPr>
          <w:p w14:paraId="745FD80E" w14:textId="7C6AAFD4" w:rsidR="00300EEA" w:rsidRDefault="00300EEA" w:rsidP="002551C6">
            <w:pPr>
              <w:jc w:val="center"/>
              <w:rPr>
                <w:rFonts w:ascii="Arial" w:hAnsi="Arial" w:cs="Arial"/>
                <w:b/>
              </w:rPr>
            </w:pPr>
            <w:r>
              <w:rPr>
                <w:rFonts w:ascii="Arial" w:hAnsi="Arial" w:cs="Arial"/>
                <w:b/>
              </w:rPr>
              <w:t>118</w:t>
            </w:r>
          </w:p>
        </w:tc>
        <w:tc>
          <w:tcPr>
            <w:tcW w:w="3255" w:type="dxa"/>
          </w:tcPr>
          <w:p w14:paraId="052C0BE8" w14:textId="6E6A398E" w:rsidR="00300EEA" w:rsidRPr="00300EEA" w:rsidRDefault="00300EEA" w:rsidP="00300EEA">
            <w:pPr>
              <w:jc w:val="both"/>
              <w:rPr>
                <w:rFonts w:ascii="Arial" w:hAnsi="Arial" w:cs="Arial"/>
                <w:b/>
                <w:lang w:val="es-MX"/>
              </w:rPr>
            </w:pPr>
            <w:r w:rsidRPr="00300EEA">
              <w:rPr>
                <w:rFonts w:ascii="Arial" w:hAnsi="Arial" w:cs="Arial"/>
                <w:b/>
                <w:lang w:val="es-MX"/>
              </w:rPr>
              <w:t>CORPORACIÓN PARA EL DESARROLLO SOSTENIBLES DEL ARCHIPIELAGO DE SAN ANDRÉS, PROVIDENCIA Y SANTA CATALINA - CORALINA.</w:t>
            </w:r>
          </w:p>
          <w:p w14:paraId="3BD13105" w14:textId="77777777" w:rsidR="00300EEA" w:rsidRDefault="00300EEA" w:rsidP="0041784A">
            <w:pPr>
              <w:jc w:val="both"/>
              <w:rPr>
                <w:rFonts w:ascii="Arial" w:hAnsi="Arial" w:cs="Arial"/>
                <w:b/>
                <w:lang w:val="es-MX"/>
              </w:rPr>
            </w:pPr>
          </w:p>
          <w:p w14:paraId="3E0AEFF8" w14:textId="77777777" w:rsidR="00300EEA" w:rsidRDefault="00300EEA" w:rsidP="00300EEA">
            <w:pPr>
              <w:jc w:val="both"/>
              <w:rPr>
                <w:rFonts w:ascii="Arial" w:hAnsi="Arial" w:cs="Arial"/>
                <w:b/>
                <w:lang w:val="es-MX"/>
              </w:rPr>
            </w:pPr>
            <w:r>
              <w:rPr>
                <w:rFonts w:ascii="Arial" w:hAnsi="Arial" w:cs="Arial"/>
                <w:b/>
                <w:lang w:val="es-MX"/>
              </w:rPr>
              <w:t>FUNCIONAMIENTO</w:t>
            </w:r>
          </w:p>
          <w:p w14:paraId="44A4D7AF" w14:textId="77777777" w:rsidR="00300EEA" w:rsidRDefault="00300EEA" w:rsidP="00300EEA">
            <w:pPr>
              <w:jc w:val="both"/>
              <w:rPr>
                <w:rFonts w:ascii="Arial" w:hAnsi="Arial" w:cs="Arial"/>
                <w:b/>
                <w:lang w:val="es-MX"/>
              </w:rPr>
            </w:pPr>
            <w:r>
              <w:rPr>
                <w:rFonts w:ascii="Arial" w:hAnsi="Arial" w:cs="Arial"/>
                <w:b/>
                <w:lang w:val="es-MX"/>
              </w:rPr>
              <w:t>INVERSIÓN</w:t>
            </w:r>
          </w:p>
          <w:p w14:paraId="02F31F35" w14:textId="77777777" w:rsidR="00300EEA" w:rsidRDefault="00300EEA" w:rsidP="00300EEA">
            <w:pPr>
              <w:jc w:val="both"/>
              <w:rPr>
                <w:rFonts w:ascii="Arial" w:hAnsi="Arial" w:cs="Arial"/>
                <w:b/>
                <w:lang w:val="es-MX"/>
              </w:rPr>
            </w:pPr>
          </w:p>
          <w:p w14:paraId="1BF076C4" w14:textId="4400E46F" w:rsidR="00300EEA" w:rsidRPr="003E44AF" w:rsidRDefault="00300EEA" w:rsidP="00300EEA">
            <w:pPr>
              <w:jc w:val="both"/>
              <w:rPr>
                <w:rFonts w:ascii="Arial" w:hAnsi="Arial" w:cs="Arial"/>
                <w:b/>
                <w:lang w:val="es-MX"/>
              </w:rPr>
            </w:pPr>
            <w:r>
              <w:rPr>
                <w:rFonts w:ascii="Arial" w:hAnsi="Arial" w:cs="Arial"/>
                <w:b/>
                <w:lang w:val="es-MX"/>
              </w:rPr>
              <w:t>TOTAL PRESUPUESTO</w:t>
            </w:r>
          </w:p>
        </w:tc>
        <w:tc>
          <w:tcPr>
            <w:tcW w:w="1839" w:type="dxa"/>
          </w:tcPr>
          <w:p w14:paraId="5D26F80A" w14:textId="77777777" w:rsidR="00300EEA" w:rsidRDefault="00300EEA" w:rsidP="002551C6">
            <w:pPr>
              <w:jc w:val="center"/>
              <w:rPr>
                <w:rFonts w:ascii="Arial" w:eastAsia="Calibri" w:hAnsi="Arial" w:cs="Arial"/>
                <w:b/>
                <w:u w:val="single"/>
              </w:rPr>
            </w:pPr>
          </w:p>
          <w:p w14:paraId="21E753AF" w14:textId="77777777" w:rsidR="00300EEA" w:rsidRDefault="00300EEA" w:rsidP="002551C6">
            <w:pPr>
              <w:jc w:val="center"/>
              <w:rPr>
                <w:rFonts w:ascii="Arial" w:eastAsia="Calibri" w:hAnsi="Arial" w:cs="Arial"/>
                <w:b/>
                <w:u w:val="single"/>
              </w:rPr>
            </w:pPr>
          </w:p>
          <w:p w14:paraId="3B7E2139" w14:textId="77777777" w:rsidR="00300EEA" w:rsidRDefault="00300EEA" w:rsidP="002551C6">
            <w:pPr>
              <w:jc w:val="center"/>
              <w:rPr>
                <w:rFonts w:ascii="Arial" w:eastAsia="Calibri" w:hAnsi="Arial" w:cs="Arial"/>
                <w:b/>
                <w:u w:val="single"/>
              </w:rPr>
            </w:pPr>
          </w:p>
          <w:p w14:paraId="535FF6CE" w14:textId="77777777" w:rsidR="00300EEA" w:rsidRDefault="00300EEA" w:rsidP="002551C6">
            <w:pPr>
              <w:jc w:val="center"/>
              <w:rPr>
                <w:rFonts w:ascii="Arial" w:eastAsia="Calibri" w:hAnsi="Arial" w:cs="Arial"/>
                <w:b/>
                <w:u w:val="single"/>
              </w:rPr>
            </w:pPr>
          </w:p>
          <w:p w14:paraId="0A9514F1" w14:textId="77777777" w:rsidR="00300EEA" w:rsidRDefault="00300EEA" w:rsidP="002551C6">
            <w:pPr>
              <w:jc w:val="center"/>
              <w:rPr>
                <w:rFonts w:ascii="Arial" w:eastAsia="Calibri" w:hAnsi="Arial" w:cs="Arial"/>
                <w:b/>
                <w:u w:val="single"/>
              </w:rPr>
            </w:pPr>
          </w:p>
          <w:p w14:paraId="3E0FB71E" w14:textId="77777777" w:rsidR="00300EEA" w:rsidRDefault="00300EEA" w:rsidP="002551C6">
            <w:pPr>
              <w:jc w:val="center"/>
              <w:rPr>
                <w:rFonts w:ascii="Arial" w:eastAsia="Calibri" w:hAnsi="Arial" w:cs="Arial"/>
                <w:b/>
                <w:u w:val="single"/>
              </w:rPr>
            </w:pPr>
          </w:p>
          <w:p w14:paraId="575FDBCD" w14:textId="232CB38B" w:rsidR="00300EEA" w:rsidRDefault="00300EEA" w:rsidP="002551C6">
            <w:pPr>
              <w:jc w:val="center"/>
              <w:rPr>
                <w:rFonts w:ascii="Arial" w:eastAsia="Calibri" w:hAnsi="Arial" w:cs="Arial"/>
                <w:b/>
                <w:u w:val="single"/>
              </w:rPr>
            </w:pPr>
            <w:r>
              <w:rPr>
                <w:rFonts w:ascii="Arial" w:eastAsia="Calibri" w:hAnsi="Arial" w:cs="Arial"/>
                <w:b/>
                <w:u w:val="single"/>
              </w:rPr>
              <w:t>99.59%</w:t>
            </w:r>
          </w:p>
          <w:p w14:paraId="457174A8" w14:textId="0E82F78F" w:rsidR="00300EEA" w:rsidRDefault="00300EEA" w:rsidP="002551C6">
            <w:pPr>
              <w:jc w:val="center"/>
              <w:rPr>
                <w:rFonts w:ascii="Arial" w:eastAsia="Calibri" w:hAnsi="Arial" w:cs="Arial"/>
                <w:b/>
                <w:u w:val="single"/>
              </w:rPr>
            </w:pPr>
            <w:r>
              <w:rPr>
                <w:rFonts w:ascii="Arial" w:eastAsia="Calibri" w:hAnsi="Arial" w:cs="Arial"/>
                <w:b/>
                <w:u w:val="single"/>
              </w:rPr>
              <w:t>99.20%</w:t>
            </w:r>
          </w:p>
          <w:p w14:paraId="63F3F82A" w14:textId="77777777" w:rsidR="00300EEA" w:rsidRDefault="00300EEA" w:rsidP="002551C6">
            <w:pPr>
              <w:jc w:val="center"/>
              <w:rPr>
                <w:rFonts w:ascii="Arial" w:eastAsia="Calibri" w:hAnsi="Arial" w:cs="Arial"/>
                <w:b/>
                <w:u w:val="single"/>
              </w:rPr>
            </w:pPr>
          </w:p>
          <w:p w14:paraId="73090368" w14:textId="0F45B050" w:rsidR="00300EEA" w:rsidRDefault="00300EEA" w:rsidP="002551C6">
            <w:pPr>
              <w:jc w:val="center"/>
              <w:rPr>
                <w:rFonts w:ascii="Arial" w:eastAsia="Calibri" w:hAnsi="Arial" w:cs="Arial"/>
                <w:b/>
                <w:u w:val="single"/>
              </w:rPr>
            </w:pPr>
            <w:r>
              <w:rPr>
                <w:rFonts w:ascii="Arial" w:eastAsia="Calibri" w:hAnsi="Arial" w:cs="Arial"/>
                <w:b/>
                <w:u w:val="single"/>
              </w:rPr>
              <w:t>99.35%</w:t>
            </w:r>
          </w:p>
        </w:tc>
        <w:tc>
          <w:tcPr>
            <w:tcW w:w="1804" w:type="dxa"/>
          </w:tcPr>
          <w:p w14:paraId="5F6437E0" w14:textId="77777777" w:rsidR="00300EEA" w:rsidRDefault="00300EEA" w:rsidP="002551C6">
            <w:pPr>
              <w:jc w:val="center"/>
              <w:rPr>
                <w:rFonts w:ascii="Arial" w:eastAsia="Calibri" w:hAnsi="Arial" w:cs="Arial"/>
                <w:b/>
                <w:u w:val="single"/>
              </w:rPr>
            </w:pPr>
          </w:p>
          <w:p w14:paraId="00B2479A" w14:textId="77777777" w:rsidR="00300EEA" w:rsidRDefault="00300EEA" w:rsidP="002551C6">
            <w:pPr>
              <w:jc w:val="center"/>
              <w:rPr>
                <w:rFonts w:ascii="Arial" w:eastAsia="Calibri" w:hAnsi="Arial" w:cs="Arial"/>
                <w:b/>
                <w:u w:val="single"/>
              </w:rPr>
            </w:pPr>
          </w:p>
          <w:p w14:paraId="6A8747FA" w14:textId="77777777" w:rsidR="00300EEA" w:rsidRDefault="00300EEA" w:rsidP="002551C6">
            <w:pPr>
              <w:jc w:val="center"/>
              <w:rPr>
                <w:rFonts w:ascii="Arial" w:eastAsia="Calibri" w:hAnsi="Arial" w:cs="Arial"/>
                <w:b/>
                <w:u w:val="single"/>
              </w:rPr>
            </w:pPr>
          </w:p>
          <w:p w14:paraId="4E79CB49" w14:textId="77777777" w:rsidR="00300EEA" w:rsidRDefault="00300EEA" w:rsidP="002551C6">
            <w:pPr>
              <w:jc w:val="center"/>
              <w:rPr>
                <w:rFonts w:ascii="Arial" w:eastAsia="Calibri" w:hAnsi="Arial" w:cs="Arial"/>
                <w:b/>
                <w:u w:val="single"/>
              </w:rPr>
            </w:pPr>
          </w:p>
          <w:p w14:paraId="395B6AB9" w14:textId="77777777" w:rsidR="00300EEA" w:rsidRDefault="00300EEA" w:rsidP="002551C6">
            <w:pPr>
              <w:jc w:val="center"/>
              <w:rPr>
                <w:rFonts w:ascii="Arial" w:eastAsia="Calibri" w:hAnsi="Arial" w:cs="Arial"/>
                <w:b/>
                <w:u w:val="single"/>
              </w:rPr>
            </w:pPr>
          </w:p>
          <w:p w14:paraId="1B98FD3F" w14:textId="77777777" w:rsidR="00300EEA" w:rsidRDefault="00300EEA" w:rsidP="002551C6">
            <w:pPr>
              <w:jc w:val="center"/>
              <w:rPr>
                <w:rFonts w:ascii="Arial" w:eastAsia="Calibri" w:hAnsi="Arial" w:cs="Arial"/>
                <w:b/>
                <w:u w:val="single"/>
              </w:rPr>
            </w:pPr>
          </w:p>
          <w:p w14:paraId="610BAAB1" w14:textId="3FCE80EF" w:rsidR="00300EEA" w:rsidRDefault="00300EEA" w:rsidP="002551C6">
            <w:pPr>
              <w:jc w:val="center"/>
              <w:rPr>
                <w:rFonts w:ascii="Arial" w:eastAsia="Calibri" w:hAnsi="Arial" w:cs="Arial"/>
                <w:b/>
                <w:u w:val="single"/>
              </w:rPr>
            </w:pPr>
            <w:r>
              <w:rPr>
                <w:rFonts w:ascii="Arial" w:eastAsia="Calibri" w:hAnsi="Arial" w:cs="Arial"/>
                <w:b/>
                <w:u w:val="single"/>
              </w:rPr>
              <w:t>99.59%</w:t>
            </w:r>
          </w:p>
          <w:p w14:paraId="78C97C70" w14:textId="21BF1F89" w:rsidR="00300EEA" w:rsidRDefault="00300EEA" w:rsidP="002551C6">
            <w:pPr>
              <w:jc w:val="center"/>
              <w:rPr>
                <w:rFonts w:ascii="Arial" w:eastAsia="Calibri" w:hAnsi="Arial" w:cs="Arial"/>
                <w:b/>
                <w:u w:val="single"/>
              </w:rPr>
            </w:pPr>
            <w:r>
              <w:rPr>
                <w:rFonts w:ascii="Arial" w:eastAsia="Calibri" w:hAnsi="Arial" w:cs="Arial"/>
                <w:b/>
                <w:u w:val="single"/>
              </w:rPr>
              <w:t>82.49%</w:t>
            </w:r>
          </w:p>
          <w:p w14:paraId="375A0CE4" w14:textId="77777777" w:rsidR="00300EEA" w:rsidRDefault="00300EEA" w:rsidP="002551C6">
            <w:pPr>
              <w:jc w:val="center"/>
              <w:rPr>
                <w:rFonts w:ascii="Arial" w:eastAsia="Calibri" w:hAnsi="Arial" w:cs="Arial"/>
                <w:b/>
                <w:u w:val="single"/>
              </w:rPr>
            </w:pPr>
          </w:p>
          <w:p w14:paraId="3BD4B48D" w14:textId="314C7D36" w:rsidR="00300EEA" w:rsidRDefault="00300EEA" w:rsidP="002551C6">
            <w:pPr>
              <w:jc w:val="center"/>
              <w:rPr>
                <w:rFonts w:ascii="Arial" w:eastAsia="Calibri" w:hAnsi="Arial" w:cs="Arial"/>
                <w:b/>
                <w:u w:val="single"/>
              </w:rPr>
            </w:pPr>
            <w:r>
              <w:rPr>
                <w:rFonts w:ascii="Arial" w:eastAsia="Calibri" w:hAnsi="Arial" w:cs="Arial"/>
                <w:b/>
                <w:u w:val="single"/>
              </w:rPr>
              <w:t>89.16%</w:t>
            </w:r>
          </w:p>
        </w:tc>
        <w:tc>
          <w:tcPr>
            <w:tcW w:w="2042" w:type="dxa"/>
          </w:tcPr>
          <w:p w14:paraId="02F91FC4" w14:textId="77777777" w:rsidR="00300EEA" w:rsidRDefault="00300EEA" w:rsidP="002551C6">
            <w:pPr>
              <w:jc w:val="center"/>
              <w:rPr>
                <w:rFonts w:ascii="Arial" w:eastAsia="Calibri" w:hAnsi="Arial" w:cs="Arial"/>
                <w:b/>
                <w:u w:val="single"/>
              </w:rPr>
            </w:pPr>
          </w:p>
          <w:p w14:paraId="50628B77" w14:textId="77777777" w:rsidR="00300EEA" w:rsidRDefault="00300EEA" w:rsidP="002551C6">
            <w:pPr>
              <w:jc w:val="center"/>
              <w:rPr>
                <w:rFonts w:ascii="Arial" w:eastAsia="Calibri" w:hAnsi="Arial" w:cs="Arial"/>
                <w:b/>
                <w:u w:val="single"/>
              </w:rPr>
            </w:pPr>
          </w:p>
          <w:p w14:paraId="14A342D3" w14:textId="77777777" w:rsidR="00300EEA" w:rsidRDefault="00300EEA" w:rsidP="002551C6">
            <w:pPr>
              <w:jc w:val="center"/>
              <w:rPr>
                <w:rFonts w:ascii="Arial" w:eastAsia="Calibri" w:hAnsi="Arial" w:cs="Arial"/>
                <w:b/>
                <w:u w:val="single"/>
              </w:rPr>
            </w:pPr>
          </w:p>
          <w:p w14:paraId="1A309CA7" w14:textId="77777777" w:rsidR="00300EEA" w:rsidRDefault="00300EEA" w:rsidP="002551C6">
            <w:pPr>
              <w:jc w:val="center"/>
              <w:rPr>
                <w:rFonts w:ascii="Arial" w:eastAsia="Calibri" w:hAnsi="Arial" w:cs="Arial"/>
                <w:b/>
                <w:u w:val="single"/>
              </w:rPr>
            </w:pPr>
          </w:p>
          <w:p w14:paraId="258EF315" w14:textId="77777777" w:rsidR="00300EEA" w:rsidRDefault="00300EEA" w:rsidP="002551C6">
            <w:pPr>
              <w:jc w:val="center"/>
              <w:rPr>
                <w:rFonts w:ascii="Arial" w:eastAsia="Calibri" w:hAnsi="Arial" w:cs="Arial"/>
                <w:b/>
                <w:u w:val="single"/>
              </w:rPr>
            </w:pPr>
          </w:p>
          <w:p w14:paraId="5AE1B363" w14:textId="77777777" w:rsidR="00300EEA" w:rsidRDefault="00300EEA" w:rsidP="002551C6">
            <w:pPr>
              <w:jc w:val="center"/>
              <w:rPr>
                <w:rFonts w:ascii="Arial" w:eastAsia="Calibri" w:hAnsi="Arial" w:cs="Arial"/>
                <w:b/>
                <w:u w:val="single"/>
              </w:rPr>
            </w:pPr>
          </w:p>
          <w:p w14:paraId="0F3D44CE" w14:textId="3BA5E484" w:rsidR="00300EEA" w:rsidRDefault="00300EEA" w:rsidP="002551C6">
            <w:pPr>
              <w:jc w:val="center"/>
              <w:rPr>
                <w:rFonts w:ascii="Arial" w:eastAsia="Calibri" w:hAnsi="Arial" w:cs="Arial"/>
                <w:b/>
                <w:u w:val="single"/>
              </w:rPr>
            </w:pPr>
            <w:r>
              <w:rPr>
                <w:rFonts w:ascii="Arial" w:eastAsia="Calibri" w:hAnsi="Arial" w:cs="Arial"/>
                <w:b/>
                <w:u w:val="single"/>
              </w:rPr>
              <w:t>99.59%</w:t>
            </w:r>
          </w:p>
          <w:p w14:paraId="296EF518" w14:textId="41A913F6" w:rsidR="00300EEA" w:rsidRDefault="00300EEA" w:rsidP="002551C6">
            <w:pPr>
              <w:jc w:val="center"/>
              <w:rPr>
                <w:rFonts w:ascii="Arial" w:eastAsia="Calibri" w:hAnsi="Arial" w:cs="Arial"/>
                <w:b/>
                <w:u w:val="single"/>
              </w:rPr>
            </w:pPr>
            <w:r>
              <w:rPr>
                <w:rFonts w:ascii="Arial" w:eastAsia="Calibri" w:hAnsi="Arial" w:cs="Arial"/>
                <w:b/>
                <w:u w:val="single"/>
              </w:rPr>
              <w:t>81.86%</w:t>
            </w:r>
          </w:p>
          <w:p w14:paraId="1B450EDC" w14:textId="77777777" w:rsidR="00300EEA" w:rsidRDefault="00300EEA" w:rsidP="002551C6">
            <w:pPr>
              <w:jc w:val="center"/>
              <w:rPr>
                <w:rFonts w:ascii="Arial" w:eastAsia="Calibri" w:hAnsi="Arial" w:cs="Arial"/>
                <w:b/>
                <w:u w:val="single"/>
              </w:rPr>
            </w:pPr>
          </w:p>
          <w:p w14:paraId="6A1F6428" w14:textId="2960C216" w:rsidR="00300EEA" w:rsidRDefault="00300EEA" w:rsidP="002551C6">
            <w:pPr>
              <w:jc w:val="center"/>
              <w:rPr>
                <w:rFonts w:ascii="Arial" w:eastAsia="Calibri" w:hAnsi="Arial" w:cs="Arial"/>
                <w:b/>
                <w:u w:val="single"/>
              </w:rPr>
            </w:pPr>
            <w:r>
              <w:rPr>
                <w:rFonts w:ascii="Arial" w:eastAsia="Calibri" w:hAnsi="Arial" w:cs="Arial"/>
                <w:b/>
                <w:u w:val="single"/>
              </w:rPr>
              <w:t>88.78%</w:t>
            </w:r>
          </w:p>
        </w:tc>
      </w:tr>
      <w:tr w:rsidR="00E97A96" w:rsidRPr="004B1294" w14:paraId="012FE586" w14:textId="77777777" w:rsidTr="00042E94">
        <w:tc>
          <w:tcPr>
            <w:tcW w:w="1550" w:type="dxa"/>
          </w:tcPr>
          <w:p w14:paraId="3EC1097A" w14:textId="05020B73" w:rsidR="00E97A96" w:rsidRDefault="00E97A96" w:rsidP="002551C6">
            <w:pPr>
              <w:jc w:val="center"/>
              <w:rPr>
                <w:rFonts w:ascii="Arial" w:hAnsi="Arial" w:cs="Arial"/>
                <w:b/>
              </w:rPr>
            </w:pPr>
            <w:r>
              <w:rPr>
                <w:rFonts w:ascii="Arial" w:hAnsi="Arial" w:cs="Arial"/>
                <w:b/>
              </w:rPr>
              <w:t>121</w:t>
            </w:r>
          </w:p>
        </w:tc>
        <w:tc>
          <w:tcPr>
            <w:tcW w:w="3255" w:type="dxa"/>
          </w:tcPr>
          <w:p w14:paraId="3C423303" w14:textId="6E22A243" w:rsidR="00E97A96" w:rsidRPr="00E97A96" w:rsidRDefault="00E97A96" w:rsidP="00E97A96">
            <w:pPr>
              <w:jc w:val="both"/>
              <w:rPr>
                <w:rFonts w:ascii="Arial" w:hAnsi="Arial" w:cs="Arial"/>
                <w:b/>
                <w:lang w:val="es-MX"/>
              </w:rPr>
            </w:pPr>
            <w:r w:rsidRPr="00E97A96">
              <w:rPr>
                <w:rFonts w:ascii="Arial" w:hAnsi="Arial" w:cs="Arial"/>
                <w:b/>
                <w:lang w:val="es-MX"/>
              </w:rPr>
              <w:t xml:space="preserve">INSTITUTO NACIONAL DE FORMACIÓN TÉCNICA PROFESIONAL DE SAN JUAN DEL CESAR LA GUAJIRA – INFOTEP. </w:t>
            </w:r>
          </w:p>
          <w:p w14:paraId="186AFFDB" w14:textId="77777777" w:rsidR="00E97A96" w:rsidRDefault="00E97A96" w:rsidP="00300EEA">
            <w:pPr>
              <w:jc w:val="both"/>
              <w:rPr>
                <w:rFonts w:ascii="Arial" w:hAnsi="Arial" w:cs="Arial"/>
                <w:b/>
                <w:lang w:val="es-MX"/>
              </w:rPr>
            </w:pPr>
          </w:p>
          <w:p w14:paraId="7DD4F609" w14:textId="77777777" w:rsidR="00E97A96" w:rsidRDefault="00E97A96" w:rsidP="00E97A96">
            <w:pPr>
              <w:jc w:val="both"/>
              <w:rPr>
                <w:rFonts w:ascii="Arial" w:hAnsi="Arial" w:cs="Arial"/>
                <w:b/>
                <w:lang w:val="es-MX"/>
              </w:rPr>
            </w:pPr>
            <w:r>
              <w:rPr>
                <w:rFonts w:ascii="Arial" w:hAnsi="Arial" w:cs="Arial"/>
                <w:b/>
                <w:lang w:val="es-MX"/>
              </w:rPr>
              <w:t>FUNCIONAMIENTO</w:t>
            </w:r>
          </w:p>
          <w:p w14:paraId="6DEFAF14" w14:textId="77777777" w:rsidR="00E97A96" w:rsidRDefault="00E97A96" w:rsidP="00E97A96">
            <w:pPr>
              <w:jc w:val="both"/>
              <w:rPr>
                <w:rFonts w:ascii="Arial" w:hAnsi="Arial" w:cs="Arial"/>
                <w:b/>
                <w:lang w:val="es-MX"/>
              </w:rPr>
            </w:pPr>
            <w:r>
              <w:rPr>
                <w:rFonts w:ascii="Arial" w:hAnsi="Arial" w:cs="Arial"/>
                <w:b/>
                <w:lang w:val="es-MX"/>
              </w:rPr>
              <w:t>INVERSIÓN</w:t>
            </w:r>
          </w:p>
          <w:p w14:paraId="1F1C7D31" w14:textId="77777777" w:rsidR="00E97A96" w:rsidRDefault="00E97A96" w:rsidP="00E97A96">
            <w:pPr>
              <w:jc w:val="both"/>
              <w:rPr>
                <w:rFonts w:ascii="Arial" w:hAnsi="Arial" w:cs="Arial"/>
                <w:b/>
                <w:lang w:val="es-MX"/>
              </w:rPr>
            </w:pPr>
          </w:p>
          <w:p w14:paraId="0E956464" w14:textId="22FB7C12" w:rsidR="00E97A96" w:rsidRPr="00300EEA" w:rsidRDefault="00E97A96" w:rsidP="00E97A96">
            <w:pPr>
              <w:jc w:val="both"/>
              <w:rPr>
                <w:rFonts w:ascii="Arial" w:hAnsi="Arial" w:cs="Arial"/>
                <w:b/>
                <w:lang w:val="es-MX"/>
              </w:rPr>
            </w:pPr>
            <w:r>
              <w:rPr>
                <w:rFonts w:ascii="Arial" w:hAnsi="Arial" w:cs="Arial"/>
                <w:b/>
                <w:lang w:val="es-MX"/>
              </w:rPr>
              <w:t>TOTAL PRESUPUESTO</w:t>
            </w:r>
          </w:p>
        </w:tc>
        <w:tc>
          <w:tcPr>
            <w:tcW w:w="1839" w:type="dxa"/>
          </w:tcPr>
          <w:p w14:paraId="2DEBA01D" w14:textId="77777777" w:rsidR="00E97A96" w:rsidRDefault="00E97A96" w:rsidP="002551C6">
            <w:pPr>
              <w:jc w:val="center"/>
              <w:rPr>
                <w:rFonts w:ascii="Arial" w:eastAsia="Calibri" w:hAnsi="Arial" w:cs="Arial"/>
                <w:b/>
                <w:u w:val="single"/>
              </w:rPr>
            </w:pPr>
          </w:p>
          <w:p w14:paraId="1AB789C8" w14:textId="77777777" w:rsidR="00E97A96" w:rsidRDefault="00E97A96" w:rsidP="002551C6">
            <w:pPr>
              <w:jc w:val="center"/>
              <w:rPr>
                <w:rFonts w:ascii="Arial" w:eastAsia="Calibri" w:hAnsi="Arial" w:cs="Arial"/>
                <w:b/>
                <w:u w:val="single"/>
              </w:rPr>
            </w:pPr>
          </w:p>
          <w:p w14:paraId="055047C9" w14:textId="77777777" w:rsidR="00E97A96" w:rsidRDefault="00E97A96" w:rsidP="002551C6">
            <w:pPr>
              <w:jc w:val="center"/>
              <w:rPr>
                <w:rFonts w:ascii="Arial" w:eastAsia="Calibri" w:hAnsi="Arial" w:cs="Arial"/>
                <w:b/>
                <w:u w:val="single"/>
              </w:rPr>
            </w:pPr>
          </w:p>
          <w:p w14:paraId="25419ABD" w14:textId="77777777" w:rsidR="00E97A96" w:rsidRDefault="00E97A96" w:rsidP="002551C6">
            <w:pPr>
              <w:jc w:val="center"/>
              <w:rPr>
                <w:rFonts w:ascii="Arial" w:eastAsia="Calibri" w:hAnsi="Arial" w:cs="Arial"/>
                <w:b/>
                <w:u w:val="single"/>
              </w:rPr>
            </w:pPr>
          </w:p>
          <w:p w14:paraId="3BFE0A92" w14:textId="77777777" w:rsidR="00E97A96" w:rsidRDefault="00E97A96" w:rsidP="002551C6">
            <w:pPr>
              <w:jc w:val="center"/>
              <w:rPr>
                <w:rFonts w:ascii="Arial" w:eastAsia="Calibri" w:hAnsi="Arial" w:cs="Arial"/>
                <w:b/>
                <w:u w:val="single"/>
              </w:rPr>
            </w:pPr>
          </w:p>
          <w:p w14:paraId="2E67A20D" w14:textId="77777777" w:rsidR="00E97A96" w:rsidRDefault="00E97A96" w:rsidP="002551C6">
            <w:pPr>
              <w:jc w:val="center"/>
              <w:rPr>
                <w:rFonts w:ascii="Arial" w:eastAsia="Calibri" w:hAnsi="Arial" w:cs="Arial"/>
                <w:b/>
                <w:u w:val="single"/>
              </w:rPr>
            </w:pPr>
          </w:p>
          <w:p w14:paraId="6756E1EE" w14:textId="6322BB8F" w:rsidR="00E97A96" w:rsidRDefault="00E97A96" w:rsidP="002551C6">
            <w:pPr>
              <w:jc w:val="center"/>
              <w:rPr>
                <w:rFonts w:ascii="Arial" w:eastAsia="Calibri" w:hAnsi="Arial" w:cs="Arial"/>
                <w:b/>
                <w:u w:val="single"/>
              </w:rPr>
            </w:pPr>
            <w:r>
              <w:rPr>
                <w:rFonts w:ascii="Arial" w:eastAsia="Calibri" w:hAnsi="Arial" w:cs="Arial"/>
                <w:b/>
                <w:u w:val="single"/>
              </w:rPr>
              <w:t>100.00%</w:t>
            </w:r>
          </w:p>
          <w:p w14:paraId="3DE81B7D" w14:textId="22C2F0BC" w:rsidR="00E97A96" w:rsidRDefault="00E97A96" w:rsidP="002551C6">
            <w:pPr>
              <w:jc w:val="center"/>
              <w:rPr>
                <w:rFonts w:ascii="Arial" w:eastAsia="Calibri" w:hAnsi="Arial" w:cs="Arial"/>
                <w:b/>
                <w:u w:val="single"/>
              </w:rPr>
            </w:pPr>
            <w:r>
              <w:rPr>
                <w:rFonts w:ascii="Arial" w:eastAsia="Calibri" w:hAnsi="Arial" w:cs="Arial"/>
                <w:b/>
                <w:u w:val="single"/>
              </w:rPr>
              <w:t>99.99%</w:t>
            </w:r>
          </w:p>
          <w:p w14:paraId="6C04706A" w14:textId="77777777" w:rsidR="00E97A96" w:rsidRDefault="00E97A96" w:rsidP="002551C6">
            <w:pPr>
              <w:jc w:val="center"/>
              <w:rPr>
                <w:rFonts w:ascii="Arial" w:eastAsia="Calibri" w:hAnsi="Arial" w:cs="Arial"/>
                <w:b/>
                <w:u w:val="single"/>
              </w:rPr>
            </w:pPr>
          </w:p>
          <w:p w14:paraId="1439065B" w14:textId="5B704DB1" w:rsidR="00E97A96" w:rsidRDefault="00E97A96" w:rsidP="002551C6">
            <w:pPr>
              <w:jc w:val="center"/>
              <w:rPr>
                <w:rFonts w:ascii="Arial" w:eastAsia="Calibri" w:hAnsi="Arial" w:cs="Arial"/>
                <w:b/>
                <w:u w:val="single"/>
              </w:rPr>
            </w:pPr>
            <w:r>
              <w:rPr>
                <w:rFonts w:ascii="Arial" w:eastAsia="Calibri" w:hAnsi="Arial" w:cs="Arial"/>
                <w:b/>
                <w:u w:val="single"/>
              </w:rPr>
              <w:t>99.77%</w:t>
            </w:r>
          </w:p>
        </w:tc>
        <w:tc>
          <w:tcPr>
            <w:tcW w:w="1804" w:type="dxa"/>
          </w:tcPr>
          <w:p w14:paraId="75BFEAD8" w14:textId="77777777" w:rsidR="00E97A96" w:rsidRDefault="00E97A96" w:rsidP="002551C6">
            <w:pPr>
              <w:jc w:val="center"/>
              <w:rPr>
                <w:rFonts w:ascii="Arial" w:eastAsia="Calibri" w:hAnsi="Arial" w:cs="Arial"/>
                <w:b/>
                <w:u w:val="single"/>
              </w:rPr>
            </w:pPr>
          </w:p>
          <w:p w14:paraId="54877C04" w14:textId="77777777" w:rsidR="00E97A96" w:rsidRDefault="00E97A96" w:rsidP="002551C6">
            <w:pPr>
              <w:jc w:val="center"/>
              <w:rPr>
                <w:rFonts w:ascii="Arial" w:eastAsia="Calibri" w:hAnsi="Arial" w:cs="Arial"/>
                <w:b/>
                <w:u w:val="single"/>
              </w:rPr>
            </w:pPr>
          </w:p>
          <w:p w14:paraId="4ADC0905" w14:textId="77777777" w:rsidR="00E97A96" w:rsidRDefault="00E97A96" w:rsidP="002551C6">
            <w:pPr>
              <w:jc w:val="center"/>
              <w:rPr>
                <w:rFonts w:ascii="Arial" w:eastAsia="Calibri" w:hAnsi="Arial" w:cs="Arial"/>
                <w:b/>
                <w:u w:val="single"/>
              </w:rPr>
            </w:pPr>
          </w:p>
          <w:p w14:paraId="561F8907" w14:textId="77777777" w:rsidR="00E97A96" w:rsidRDefault="00E97A96" w:rsidP="002551C6">
            <w:pPr>
              <w:jc w:val="center"/>
              <w:rPr>
                <w:rFonts w:ascii="Arial" w:eastAsia="Calibri" w:hAnsi="Arial" w:cs="Arial"/>
                <w:b/>
                <w:u w:val="single"/>
              </w:rPr>
            </w:pPr>
          </w:p>
          <w:p w14:paraId="7D368540" w14:textId="77777777" w:rsidR="00E97A96" w:rsidRDefault="00E97A96" w:rsidP="002551C6">
            <w:pPr>
              <w:jc w:val="center"/>
              <w:rPr>
                <w:rFonts w:ascii="Arial" w:eastAsia="Calibri" w:hAnsi="Arial" w:cs="Arial"/>
                <w:b/>
                <w:u w:val="single"/>
              </w:rPr>
            </w:pPr>
          </w:p>
          <w:p w14:paraId="423AEA95" w14:textId="77777777" w:rsidR="00E97A96" w:rsidRDefault="00E97A96" w:rsidP="002551C6">
            <w:pPr>
              <w:jc w:val="center"/>
              <w:rPr>
                <w:rFonts w:ascii="Arial" w:eastAsia="Calibri" w:hAnsi="Arial" w:cs="Arial"/>
                <w:b/>
                <w:u w:val="single"/>
              </w:rPr>
            </w:pPr>
          </w:p>
          <w:p w14:paraId="19106636" w14:textId="1D7E3BD5" w:rsidR="00E97A96" w:rsidRDefault="00E97A96" w:rsidP="002551C6">
            <w:pPr>
              <w:jc w:val="center"/>
              <w:rPr>
                <w:rFonts w:ascii="Arial" w:eastAsia="Calibri" w:hAnsi="Arial" w:cs="Arial"/>
                <w:b/>
                <w:u w:val="single"/>
              </w:rPr>
            </w:pPr>
            <w:r>
              <w:rPr>
                <w:rFonts w:ascii="Arial" w:eastAsia="Calibri" w:hAnsi="Arial" w:cs="Arial"/>
                <w:b/>
                <w:u w:val="single"/>
              </w:rPr>
              <w:t>95.00%</w:t>
            </w:r>
          </w:p>
          <w:p w14:paraId="08B6A1DA" w14:textId="266DCCBA" w:rsidR="00E97A96" w:rsidRDefault="00E97A96" w:rsidP="002551C6">
            <w:pPr>
              <w:jc w:val="center"/>
              <w:rPr>
                <w:rFonts w:ascii="Arial" w:eastAsia="Calibri" w:hAnsi="Arial" w:cs="Arial"/>
                <w:b/>
                <w:u w:val="single"/>
              </w:rPr>
            </w:pPr>
            <w:r>
              <w:rPr>
                <w:rFonts w:ascii="Arial" w:eastAsia="Calibri" w:hAnsi="Arial" w:cs="Arial"/>
                <w:b/>
                <w:u w:val="single"/>
              </w:rPr>
              <w:t>50.00%</w:t>
            </w:r>
          </w:p>
          <w:p w14:paraId="50E1AAFD" w14:textId="77777777" w:rsidR="00E97A96" w:rsidRDefault="00E97A96" w:rsidP="002551C6">
            <w:pPr>
              <w:jc w:val="center"/>
              <w:rPr>
                <w:rFonts w:ascii="Arial" w:eastAsia="Calibri" w:hAnsi="Arial" w:cs="Arial"/>
                <w:b/>
                <w:u w:val="single"/>
              </w:rPr>
            </w:pPr>
          </w:p>
          <w:p w14:paraId="6AB5831C" w14:textId="0C769DB0" w:rsidR="00E97A96" w:rsidRDefault="00E97A96" w:rsidP="002551C6">
            <w:pPr>
              <w:jc w:val="center"/>
              <w:rPr>
                <w:rFonts w:ascii="Arial" w:eastAsia="Calibri" w:hAnsi="Arial" w:cs="Arial"/>
                <w:b/>
                <w:u w:val="single"/>
              </w:rPr>
            </w:pPr>
            <w:r>
              <w:rPr>
                <w:rFonts w:ascii="Arial" w:eastAsia="Calibri" w:hAnsi="Arial" w:cs="Arial"/>
                <w:b/>
                <w:u w:val="single"/>
              </w:rPr>
              <w:t>73.00%</w:t>
            </w:r>
          </w:p>
        </w:tc>
        <w:tc>
          <w:tcPr>
            <w:tcW w:w="2042" w:type="dxa"/>
          </w:tcPr>
          <w:p w14:paraId="3647C1BB" w14:textId="77777777" w:rsidR="00E97A96" w:rsidRDefault="00E97A96" w:rsidP="002551C6">
            <w:pPr>
              <w:jc w:val="center"/>
              <w:rPr>
                <w:rFonts w:ascii="Arial" w:eastAsia="Calibri" w:hAnsi="Arial" w:cs="Arial"/>
                <w:b/>
                <w:u w:val="single"/>
              </w:rPr>
            </w:pPr>
          </w:p>
          <w:p w14:paraId="500B4395" w14:textId="77777777" w:rsidR="00E97A96" w:rsidRDefault="00E97A96" w:rsidP="002551C6">
            <w:pPr>
              <w:jc w:val="center"/>
              <w:rPr>
                <w:rFonts w:ascii="Arial" w:eastAsia="Calibri" w:hAnsi="Arial" w:cs="Arial"/>
                <w:b/>
                <w:u w:val="single"/>
              </w:rPr>
            </w:pPr>
          </w:p>
          <w:p w14:paraId="38C3F3AD" w14:textId="77777777" w:rsidR="00E97A96" w:rsidRDefault="00E97A96" w:rsidP="002551C6">
            <w:pPr>
              <w:jc w:val="center"/>
              <w:rPr>
                <w:rFonts w:ascii="Arial" w:eastAsia="Calibri" w:hAnsi="Arial" w:cs="Arial"/>
                <w:b/>
                <w:u w:val="single"/>
              </w:rPr>
            </w:pPr>
          </w:p>
          <w:p w14:paraId="0BF335D7" w14:textId="77777777" w:rsidR="00E97A96" w:rsidRDefault="00E97A96" w:rsidP="002551C6">
            <w:pPr>
              <w:jc w:val="center"/>
              <w:rPr>
                <w:rFonts w:ascii="Arial" w:eastAsia="Calibri" w:hAnsi="Arial" w:cs="Arial"/>
                <w:b/>
                <w:u w:val="single"/>
              </w:rPr>
            </w:pPr>
          </w:p>
          <w:p w14:paraId="6D9D09B7" w14:textId="77777777" w:rsidR="00E97A96" w:rsidRDefault="00E97A96" w:rsidP="002551C6">
            <w:pPr>
              <w:jc w:val="center"/>
              <w:rPr>
                <w:rFonts w:ascii="Arial" w:eastAsia="Calibri" w:hAnsi="Arial" w:cs="Arial"/>
                <w:b/>
                <w:u w:val="single"/>
              </w:rPr>
            </w:pPr>
          </w:p>
          <w:p w14:paraId="35124E8E" w14:textId="77777777" w:rsidR="00E97A96" w:rsidRDefault="00E97A96" w:rsidP="002551C6">
            <w:pPr>
              <w:jc w:val="center"/>
              <w:rPr>
                <w:rFonts w:ascii="Arial" w:eastAsia="Calibri" w:hAnsi="Arial" w:cs="Arial"/>
                <w:b/>
                <w:u w:val="single"/>
              </w:rPr>
            </w:pPr>
          </w:p>
          <w:p w14:paraId="0EB0D290" w14:textId="0892672D" w:rsidR="00E97A96" w:rsidRDefault="00E97A96" w:rsidP="002551C6">
            <w:pPr>
              <w:jc w:val="center"/>
              <w:rPr>
                <w:rFonts w:ascii="Arial" w:eastAsia="Calibri" w:hAnsi="Arial" w:cs="Arial"/>
                <w:b/>
                <w:u w:val="single"/>
              </w:rPr>
            </w:pPr>
            <w:r>
              <w:rPr>
                <w:rFonts w:ascii="Arial" w:eastAsia="Calibri" w:hAnsi="Arial" w:cs="Arial"/>
                <w:b/>
                <w:u w:val="single"/>
              </w:rPr>
              <w:t>92.00%</w:t>
            </w:r>
          </w:p>
          <w:p w14:paraId="75136A86" w14:textId="1D928F60" w:rsidR="00E97A96" w:rsidRDefault="00E97A96" w:rsidP="002551C6">
            <w:pPr>
              <w:jc w:val="center"/>
              <w:rPr>
                <w:rFonts w:ascii="Arial" w:eastAsia="Calibri" w:hAnsi="Arial" w:cs="Arial"/>
                <w:b/>
                <w:u w:val="single"/>
              </w:rPr>
            </w:pPr>
            <w:r>
              <w:rPr>
                <w:rFonts w:ascii="Arial" w:eastAsia="Calibri" w:hAnsi="Arial" w:cs="Arial"/>
                <w:b/>
                <w:u w:val="single"/>
              </w:rPr>
              <w:t>50.00%</w:t>
            </w:r>
          </w:p>
          <w:p w14:paraId="23EC72A5" w14:textId="77777777" w:rsidR="00E97A96" w:rsidRDefault="00E97A96" w:rsidP="002551C6">
            <w:pPr>
              <w:jc w:val="center"/>
              <w:rPr>
                <w:rFonts w:ascii="Arial" w:eastAsia="Calibri" w:hAnsi="Arial" w:cs="Arial"/>
                <w:b/>
                <w:u w:val="single"/>
              </w:rPr>
            </w:pPr>
          </w:p>
          <w:p w14:paraId="5073AFE6" w14:textId="4E6E25E6" w:rsidR="00E97A96" w:rsidRDefault="00E97A96" w:rsidP="002551C6">
            <w:pPr>
              <w:jc w:val="center"/>
              <w:rPr>
                <w:rFonts w:ascii="Arial" w:eastAsia="Calibri" w:hAnsi="Arial" w:cs="Arial"/>
                <w:b/>
                <w:u w:val="single"/>
              </w:rPr>
            </w:pPr>
            <w:r>
              <w:rPr>
                <w:rFonts w:ascii="Arial" w:eastAsia="Calibri" w:hAnsi="Arial" w:cs="Arial"/>
                <w:b/>
                <w:u w:val="single"/>
              </w:rPr>
              <w:t>72.00%</w:t>
            </w:r>
          </w:p>
        </w:tc>
      </w:tr>
      <w:tr w:rsidR="00E903CB" w:rsidRPr="004B1294" w14:paraId="6E86AE72" w14:textId="77777777" w:rsidTr="00042E94">
        <w:tc>
          <w:tcPr>
            <w:tcW w:w="1550" w:type="dxa"/>
          </w:tcPr>
          <w:p w14:paraId="64478231" w14:textId="6B82902F" w:rsidR="00E903CB" w:rsidRDefault="00E903CB" w:rsidP="002551C6">
            <w:pPr>
              <w:jc w:val="center"/>
              <w:rPr>
                <w:rFonts w:ascii="Arial" w:hAnsi="Arial" w:cs="Arial"/>
                <w:b/>
              </w:rPr>
            </w:pPr>
            <w:r>
              <w:rPr>
                <w:rFonts w:ascii="Arial" w:hAnsi="Arial" w:cs="Arial"/>
                <w:b/>
              </w:rPr>
              <w:t>122</w:t>
            </w:r>
          </w:p>
        </w:tc>
        <w:tc>
          <w:tcPr>
            <w:tcW w:w="3255" w:type="dxa"/>
          </w:tcPr>
          <w:p w14:paraId="17028AA3" w14:textId="1E13960E" w:rsidR="00E903CB" w:rsidRPr="00E903CB" w:rsidRDefault="00E903CB" w:rsidP="00E903CB">
            <w:pPr>
              <w:jc w:val="both"/>
              <w:rPr>
                <w:rFonts w:ascii="Arial" w:hAnsi="Arial" w:cs="Arial"/>
                <w:b/>
                <w:lang w:val="es-MX"/>
              </w:rPr>
            </w:pPr>
            <w:r w:rsidRPr="00E903CB">
              <w:rPr>
                <w:rFonts w:ascii="Arial" w:hAnsi="Arial" w:cs="Arial"/>
                <w:b/>
                <w:lang w:val="es-MX"/>
              </w:rPr>
              <w:t xml:space="preserve">UNIDAD NACIONAL DE PROTECCIÓN – UNP. </w:t>
            </w:r>
          </w:p>
          <w:p w14:paraId="640C12A6" w14:textId="77777777" w:rsidR="00E903CB" w:rsidRDefault="00E903CB" w:rsidP="00E97A96">
            <w:pPr>
              <w:jc w:val="both"/>
              <w:rPr>
                <w:rFonts w:ascii="Arial" w:hAnsi="Arial" w:cs="Arial"/>
                <w:b/>
                <w:lang w:val="es-MX"/>
              </w:rPr>
            </w:pPr>
          </w:p>
          <w:p w14:paraId="26114459" w14:textId="77777777" w:rsidR="00E903CB" w:rsidRDefault="00E903CB" w:rsidP="00E903CB">
            <w:pPr>
              <w:jc w:val="both"/>
              <w:rPr>
                <w:rFonts w:ascii="Arial" w:hAnsi="Arial" w:cs="Arial"/>
                <w:b/>
                <w:lang w:val="es-MX"/>
              </w:rPr>
            </w:pPr>
            <w:r>
              <w:rPr>
                <w:rFonts w:ascii="Arial" w:hAnsi="Arial" w:cs="Arial"/>
                <w:b/>
                <w:lang w:val="es-MX"/>
              </w:rPr>
              <w:t>FUNCIONAMIENTO</w:t>
            </w:r>
          </w:p>
          <w:p w14:paraId="7F77DD59" w14:textId="77777777" w:rsidR="00E903CB" w:rsidRDefault="00E903CB" w:rsidP="00E903CB">
            <w:pPr>
              <w:jc w:val="both"/>
              <w:rPr>
                <w:rFonts w:ascii="Arial" w:hAnsi="Arial" w:cs="Arial"/>
                <w:b/>
                <w:lang w:val="es-MX"/>
              </w:rPr>
            </w:pPr>
            <w:r>
              <w:rPr>
                <w:rFonts w:ascii="Arial" w:hAnsi="Arial" w:cs="Arial"/>
                <w:b/>
                <w:lang w:val="es-MX"/>
              </w:rPr>
              <w:t>INVERSIÓN</w:t>
            </w:r>
          </w:p>
          <w:p w14:paraId="3473A96D" w14:textId="77777777" w:rsidR="00E903CB" w:rsidRDefault="00E903CB" w:rsidP="00E903CB">
            <w:pPr>
              <w:jc w:val="both"/>
              <w:rPr>
                <w:rFonts w:ascii="Arial" w:hAnsi="Arial" w:cs="Arial"/>
                <w:b/>
                <w:lang w:val="es-MX"/>
              </w:rPr>
            </w:pPr>
          </w:p>
          <w:p w14:paraId="265A7B74" w14:textId="54378B72" w:rsidR="00E903CB" w:rsidRPr="00E97A96" w:rsidRDefault="00E903CB" w:rsidP="00E903CB">
            <w:pPr>
              <w:jc w:val="both"/>
              <w:rPr>
                <w:rFonts w:ascii="Arial" w:hAnsi="Arial" w:cs="Arial"/>
                <w:b/>
                <w:lang w:val="es-MX"/>
              </w:rPr>
            </w:pPr>
            <w:r>
              <w:rPr>
                <w:rFonts w:ascii="Arial" w:hAnsi="Arial" w:cs="Arial"/>
                <w:b/>
                <w:lang w:val="es-MX"/>
              </w:rPr>
              <w:t>TOTAL PRESUPUESTO</w:t>
            </w:r>
          </w:p>
        </w:tc>
        <w:tc>
          <w:tcPr>
            <w:tcW w:w="1839" w:type="dxa"/>
          </w:tcPr>
          <w:p w14:paraId="206C4F6A" w14:textId="77777777" w:rsidR="00E903CB" w:rsidRDefault="00E903CB" w:rsidP="002551C6">
            <w:pPr>
              <w:jc w:val="center"/>
              <w:rPr>
                <w:rFonts w:ascii="Arial" w:eastAsia="Calibri" w:hAnsi="Arial" w:cs="Arial"/>
                <w:b/>
                <w:u w:val="single"/>
              </w:rPr>
            </w:pPr>
          </w:p>
          <w:p w14:paraId="22BAB6B0" w14:textId="77777777" w:rsidR="00E903CB" w:rsidRDefault="00E903CB" w:rsidP="002551C6">
            <w:pPr>
              <w:jc w:val="center"/>
              <w:rPr>
                <w:rFonts w:ascii="Arial" w:eastAsia="Calibri" w:hAnsi="Arial" w:cs="Arial"/>
                <w:b/>
                <w:u w:val="single"/>
              </w:rPr>
            </w:pPr>
          </w:p>
          <w:p w14:paraId="544EBB3B" w14:textId="77777777" w:rsidR="00E903CB" w:rsidRDefault="00E903CB" w:rsidP="002551C6">
            <w:pPr>
              <w:jc w:val="center"/>
              <w:rPr>
                <w:rFonts w:ascii="Arial" w:eastAsia="Calibri" w:hAnsi="Arial" w:cs="Arial"/>
                <w:b/>
                <w:u w:val="single"/>
              </w:rPr>
            </w:pPr>
          </w:p>
          <w:p w14:paraId="4887D393" w14:textId="50C6ED01" w:rsidR="00E903CB" w:rsidRDefault="00E903CB" w:rsidP="002551C6">
            <w:pPr>
              <w:jc w:val="center"/>
              <w:rPr>
                <w:rFonts w:ascii="Arial" w:eastAsia="Calibri" w:hAnsi="Arial" w:cs="Arial"/>
                <w:b/>
                <w:u w:val="single"/>
              </w:rPr>
            </w:pPr>
            <w:r>
              <w:rPr>
                <w:rFonts w:ascii="Arial" w:eastAsia="Calibri" w:hAnsi="Arial" w:cs="Arial"/>
                <w:b/>
                <w:u w:val="single"/>
              </w:rPr>
              <w:t>96.34%</w:t>
            </w:r>
          </w:p>
          <w:p w14:paraId="7B9AD6D4" w14:textId="6E95AF01" w:rsidR="00E903CB" w:rsidRDefault="00E903CB" w:rsidP="002551C6">
            <w:pPr>
              <w:jc w:val="center"/>
              <w:rPr>
                <w:rFonts w:ascii="Arial" w:eastAsia="Calibri" w:hAnsi="Arial" w:cs="Arial"/>
                <w:b/>
                <w:u w:val="single"/>
              </w:rPr>
            </w:pPr>
            <w:r>
              <w:rPr>
                <w:rFonts w:ascii="Arial" w:eastAsia="Calibri" w:hAnsi="Arial" w:cs="Arial"/>
                <w:b/>
                <w:u w:val="single"/>
              </w:rPr>
              <w:t>61.66%</w:t>
            </w:r>
          </w:p>
          <w:p w14:paraId="2E44E47D" w14:textId="77777777" w:rsidR="00E903CB" w:rsidRDefault="00E903CB" w:rsidP="002551C6">
            <w:pPr>
              <w:jc w:val="center"/>
              <w:rPr>
                <w:rFonts w:ascii="Arial" w:eastAsia="Calibri" w:hAnsi="Arial" w:cs="Arial"/>
                <w:b/>
                <w:u w:val="single"/>
              </w:rPr>
            </w:pPr>
          </w:p>
          <w:p w14:paraId="783EC8F6" w14:textId="14D92B80" w:rsidR="00E903CB" w:rsidRDefault="00E903CB" w:rsidP="002551C6">
            <w:pPr>
              <w:jc w:val="center"/>
              <w:rPr>
                <w:rFonts w:ascii="Arial" w:eastAsia="Calibri" w:hAnsi="Arial" w:cs="Arial"/>
                <w:b/>
                <w:u w:val="single"/>
              </w:rPr>
            </w:pPr>
            <w:r>
              <w:rPr>
                <w:rFonts w:ascii="Arial" w:eastAsia="Calibri" w:hAnsi="Arial" w:cs="Arial"/>
                <w:b/>
                <w:u w:val="single"/>
              </w:rPr>
              <w:t>96.29%</w:t>
            </w:r>
          </w:p>
        </w:tc>
        <w:tc>
          <w:tcPr>
            <w:tcW w:w="1804" w:type="dxa"/>
          </w:tcPr>
          <w:p w14:paraId="182C9CEB" w14:textId="77777777" w:rsidR="00E903CB" w:rsidRDefault="00E903CB" w:rsidP="002551C6">
            <w:pPr>
              <w:jc w:val="center"/>
              <w:rPr>
                <w:rFonts w:ascii="Arial" w:eastAsia="Calibri" w:hAnsi="Arial" w:cs="Arial"/>
                <w:b/>
                <w:u w:val="single"/>
              </w:rPr>
            </w:pPr>
          </w:p>
          <w:p w14:paraId="0A5CD31B" w14:textId="77777777" w:rsidR="00E903CB" w:rsidRDefault="00E903CB" w:rsidP="002551C6">
            <w:pPr>
              <w:jc w:val="center"/>
              <w:rPr>
                <w:rFonts w:ascii="Arial" w:eastAsia="Calibri" w:hAnsi="Arial" w:cs="Arial"/>
                <w:b/>
                <w:u w:val="single"/>
              </w:rPr>
            </w:pPr>
          </w:p>
          <w:p w14:paraId="1A8153A5" w14:textId="77777777" w:rsidR="00E903CB" w:rsidRDefault="00E903CB" w:rsidP="002551C6">
            <w:pPr>
              <w:jc w:val="center"/>
              <w:rPr>
                <w:rFonts w:ascii="Arial" w:eastAsia="Calibri" w:hAnsi="Arial" w:cs="Arial"/>
                <w:b/>
                <w:u w:val="single"/>
              </w:rPr>
            </w:pPr>
          </w:p>
          <w:p w14:paraId="11E01547" w14:textId="3F454206" w:rsidR="00E903CB" w:rsidRDefault="00E903CB" w:rsidP="002551C6">
            <w:pPr>
              <w:jc w:val="center"/>
              <w:rPr>
                <w:rFonts w:ascii="Arial" w:eastAsia="Calibri" w:hAnsi="Arial" w:cs="Arial"/>
                <w:b/>
                <w:u w:val="single"/>
              </w:rPr>
            </w:pPr>
            <w:r>
              <w:rPr>
                <w:rFonts w:ascii="Arial" w:eastAsia="Calibri" w:hAnsi="Arial" w:cs="Arial"/>
                <w:b/>
                <w:u w:val="single"/>
              </w:rPr>
              <w:t>84.30%</w:t>
            </w:r>
          </w:p>
          <w:p w14:paraId="3CB6FB06" w14:textId="3CC798CE" w:rsidR="00E903CB" w:rsidRDefault="00E903CB" w:rsidP="002551C6">
            <w:pPr>
              <w:jc w:val="center"/>
              <w:rPr>
                <w:rFonts w:ascii="Arial" w:eastAsia="Calibri" w:hAnsi="Arial" w:cs="Arial"/>
                <w:b/>
                <w:u w:val="single"/>
              </w:rPr>
            </w:pPr>
            <w:r>
              <w:rPr>
                <w:rFonts w:ascii="Arial" w:eastAsia="Calibri" w:hAnsi="Arial" w:cs="Arial"/>
                <w:b/>
                <w:u w:val="single"/>
              </w:rPr>
              <w:t>0.00%</w:t>
            </w:r>
          </w:p>
          <w:p w14:paraId="6D2B3C22" w14:textId="77777777" w:rsidR="00E903CB" w:rsidRDefault="00E903CB" w:rsidP="002551C6">
            <w:pPr>
              <w:jc w:val="center"/>
              <w:rPr>
                <w:rFonts w:ascii="Arial" w:eastAsia="Calibri" w:hAnsi="Arial" w:cs="Arial"/>
                <w:b/>
                <w:u w:val="single"/>
              </w:rPr>
            </w:pPr>
          </w:p>
          <w:p w14:paraId="1BB06B92" w14:textId="2799CE8A" w:rsidR="00E903CB" w:rsidRDefault="00E903CB" w:rsidP="002551C6">
            <w:pPr>
              <w:jc w:val="center"/>
              <w:rPr>
                <w:rFonts w:ascii="Arial" w:eastAsia="Calibri" w:hAnsi="Arial" w:cs="Arial"/>
                <w:b/>
                <w:u w:val="single"/>
              </w:rPr>
            </w:pPr>
            <w:r>
              <w:rPr>
                <w:rFonts w:ascii="Arial" w:eastAsia="Calibri" w:hAnsi="Arial" w:cs="Arial"/>
                <w:b/>
                <w:u w:val="single"/>
              </w:rPr>
              <w:t>84.19%</w:t>
            </w:r>
          </w:p>
        </w:tc>
        <w:tc>
          <w:tcPr>
            <w:tcW w:w="2042" w:type="dxa"/>
          </w:tcPr>
          <w:p w14:paraId="0A17C415" w14:textId="77777777" w:rsidR="00E903CB" w:rsidRDefault="00E903CB" w:rsidP="002551C6">
            <w:pPr>
              <w:jc w:val="center"/>
              <w:rPr>
                <w:rFonts w:ascii="Arial" w:eastAsia="Calibri" w:hAnsi="Arial" w:cs="Arial"/>
                <w:b/>
                <w:u w:val="single"/>
              </w:rPr>
            </w:pPr>
          </w:p>
          <w:p w14:paraId="77A7332F" w14:textId="77777777" w:rsidR="00E903CB" w:rsidRDefault="00E903CB" w:rsidP="002551C6">
            <w:pPr>
              <w:jc w:val="center"/>
              <w:rPr>
                <w:rFonts w:ascii="Arial" w:eastAsia="Calibri" w:hAnsi="Arial" w:cs="Arial"/>
                <w:b/>
                <w:u w:val="single"/>
              </w:rPr>
            </w:pPr>
          </w:p>
          <w:p w14:paraId="10F7DD75" w14:textId="77777777" w:rsidR="00E903CB" w:rsidRDefault="00E903CB" w:rsidP="002551C6">
            <w:pPr>
              <w:jc w:val="center"/>
              <w:rPr>
                <w:rFonts w:ascii="Arial" w:eastAsia="Calibri" w:hAnsi="Arial" w:cs="Arial"/>
                <w:b/>
                <w:u w:val="single"/>
              </w:rPr>
            </w:pPr>
          </w:p>
          <w:p w14:paraId="3015CF0C" w14:textId="4B608AFB" w:rsidR="00E903CB" w:rsidRDefault="00E903CB" w:rsidP="002551C6">
            <w:pPr>
              <w:jc w:val="center"/>
              <w:rPr>
                <w:rFonts w:ascii="Arial" w:eastAsia="Calibri" w:hAnsi="Arial" w:cs="Arial"/>
                <w:b/>
                <w:u w:val="single"/>
              </w:rPr>
            </w:pPr>
            <w:r>
              <w:rPr>
                <w:rFonts w:ascii="Arial" w:eastAsia="Calibri" w:hAnsi="Arial" w:cs="Arial"/>
                <w:b/>
                <w:u w:val="single"/>
              </w:rPr>
              <w:t>84.23%</w:t>
            </w:r>
          </w:p>
          <w:p w14:paraId="4F0DBB0B" w14:textId="501CBF9C" w:rsidR="00E903CB" w:rsidRDefault="00E903CB" w:rsidP="002551C6">
            <w:pPr>
              <w:jc w:val="center"/>
              <w:rPr>
                <w:rFonts w:ascii="Arial" w:eastAsia="Calibri" w:hAnsi="Arial" w:cs="Arial"/>
                <w:b/>
                <w:u w:val="single"/>
              </w:rPr>
            </w:pPr>
            <w:r>
              <w:rPr>
                <w:rFonts w:ascii="Arial" w:eastAsia="Calibri" w:hAnsi="Arial" w:cs="Arial"/>
                <w:b/>
                <w:u w:val="single"/>
              </w:rPr>
              <w:t>0.00%</w:t>
            </w:r>
          </w:p>
          <w:p w14:paraId="4F778EB7" w14:textId="77777777" w:rsidR="00E903CB" w:rsidRDefault="00E903CB" w:rsidP="002551C6">
            <w:pPr>
              <w:jc w:val="center"/>
              <w:rPr>
                <w:rFonts w:ascii="Arial" w:eastAsia="Calibri" w:hAnsi="Arial" w:cs="Arial"/>
                <w:b/>
                <w:u w:val="single"/>
              </w:rPr>
            </w:pPr>
          </w:p>
          <w:p w14:paraId="5A1B9096" w14:textId="50B354A9" w:rsidR="00E903CB" w:rsidRDefault="00E903CB" w:rsidP="002551C6">
            <w:pPr>
              <w:jc w:val="center"/>
              <w:rPr>
                <w:rFonts w:ascii="Arial" w:eastAsia="Calibri" w:hAnsi="Arial" w:cs="Arial"/>
                <w:b/>
                <w:u w:val="single"/>
              </w:rPr>
            </w:pPr>
            <w:r>
              <w:rPr>
                <w:rFonts w:ascii="Arial" w:eastAsia="Calibri" w:hAnsi="Arial" w:cs="Arial"/>
                <w:b/>
                <w:u w:val="single"/>
              </w:rPr>
              <w:t>84.11%</w:t>
            </w:r>
          </w:p>
        </w:tc>
      </w:tr>
      <w:tr w:rsidR="00F22060" w:rsidRPr="004B1294" w14:paraId="351FB6FF" w14:textId="77777777" w:rsidTr="00042E94">
        <w:tc>
          <w:tcPr>
            <w:tcW w:w="1550" w:type="dxa"/>
          </w:tcPr>
          <w:p w14:paraId="3494BDA5" w14:textId="4A51617D" w:rsidR="00F22060" w:rsidRDefault="00F22060" w:rsidP="002551C6">
            <w:pPr>
              <w:jc w:val="center"/>
              <w:rPr>
                <w:rFonts w:ascii="Arial" w:hAnsi="Arial" w:cs="Arial"/>
                <w:b/>
              </w:rPr>
            </w:pPr>
            <w:r>
              <w:rPr>
                <w:rFonts w:ascii="Arial" w:hAnsi="Arial" w:cs="Arial"/>
                <w:b/>
              </w:rPr>
              <w:t>123</w:t>
            </w:r>
          </w:p>
        </w:tc>
        <w:tc>
          <w:tcPr>
            <w:tcW w:w="3255" w:type="dxa"/>
          </w:tcPr>
          <w:p w14:paraId="0FE1F507" w14:textId="4B57DCED" w:rsidR="00F22060" w:rsidRPr="00F22060" w:rsidRDefault="00F22060" w:rsidP="00F22060">
            <w:pPr>
              <w:jc w:val="both"/>
              <w:rPr>
                <w:rFonts w:ascii="Arial" w:hAnsi="Arial" w:cs="Arial"/>
                <w:b/>
                <w:lang w:val="es-MX"/>
              </w:rPr>
            </w:pPr>
            <w:r w:rsidRPr="00F22060">
              <w:rPr>
                <w:rFonts w:ascii="Arial" w:hAnsi="Arial" w:cs="Arial"/>
                <w:b/>
                <w:lang w:val="es-MX"/>
              </w:rPr>
              <w:t>HOSPITAL MILITAR CENTRAL.</w:t>
            </w:r>
          </w:p>
          <w:p w14:paraId="65AC1C7A" w14:textId="77777777" w:rsidR="00F22060" w:rsidRDefault="00F22060" w:rsidP="00E903CB">
            <w:pPr>
              <w:jc w:val="both"/>
              <w:rPr>
                <w:rFonts w:ascii="Arial" w:hAnsi="Arial" w:cs="Arial"/>
                <w:b/>
                <w:lang w:val="es-MX"/>
              </w:rPr>
            </w:pPr>
          </w:p>
          <w:p w14:paraId="1E4D5251" w14:textId="77777777" w:rsidR="00F22060" w:rsidRDefault="00F22060" w:rsidP="00F22060">
            <w:pPr>
              <w:jc w:val="both"/>
              <w:rPr>
                <w:rFonts w:ascii="Arial" w:hAnsi="Arial" w:cs="Arial"/>
                <w:b/>
                <w:lang w:val="es-MX"/>
              </w:rPr>
            </w:pPr>
            <w:r>
              <w:rPr>
                <w:rFonts w:ascii="Arial" w:hAnsi="Arial" w:cs="Arial"/>
                <w:b/>
                <w:lang w:val="es-MX"/>
              </w:rPr>
              <w:t>FUNCIONAMIENTO</w:t>
            </w:r>
          </w:p>
          <w:p w14:paraId="175BBBCE" w14:textId="77777777" w:rsidR="00F22060" w:rsidRDefault="00F22060" w:rsidP="00F22060">
            <w:pPr>
              <w:jc w:val="both"/>
              <w:rPr>
                <w:rFonts w:ascii="Arial" w:hAnsi="Arial" w:cs="Arial"/>
                <w:b/>
                <w:lang w:val="es-MX"/>
              </w:rPr>
            </w:pPr>
            <w:r>
              <w:rPr>
                <w:rFonts w:ascii="Arial" w:hAnsi="Arial" w:cs="Arial"/>
                <w:b/>
                <w:lang w:val="es-MX"/>
              </w:rPr>
              <w:t>INVERSIÓN</w:t>
            </w:r>
          </w:p>
          <w:p w14:paraId="493C37E9" w14:textId="06A7EBFF" w:rsidR="00F22060" w:rsidRPr="00E903CB" w:rsidRDefault="00F22060" w:rsidP="00F22060">
            <w:pPr>
              <w:jc w:val="both"/>
              <w:rPr>
                <w:rFonts w:ascii="Arial" w:hAnsi="Arial" w:cs="Arial"/>
                <w:b/>
                <w:lang w:val="es-MX"/>
              </w:rPr>
            </w:pPr>
            <w:r>
              <w:rPr>
                <w:rFonts w:ascii="Arial" w:hAnsi="Arial" w:cs="Arial"/>
                <w:b/>
                <w:lang w:val="es-MX"/>
              </w:rPr>
              <w:t>TOTAL PRESUPUESTO</w:t>
            </w:r>
          </w:p>
        </w:tc>
        <w:tc>
          <w:tcPr>
            <w:tcW w:w="1839" w:type="dxa"/>
          </w:tcPr>
          <w:p w14:paraId="4207229A" w14:textId="77777777" w:rsidR="00F22060" w:rsidRDefault="00F22060" w:rsidP="002551C6">
            <w:pPr>
              <w:jc w:val="center"/>
              <w:rPr>
                <w:rFonts w:ascii="Arial" w:eastAsia="Calibri" w:hAnsi="Arial" w:cs="Arial"/>
                <w:b/>
                <w:u w:val="single"/>
              </w:rPr>
            </w:pPr>
          </w:p>
          <w:p w14:paraId="1FBE8982" w14:textId="77777777" w:rsidR="00F22060" w:rsidRDefault="00F22060" w:rsidP="002551C6">
            <w:pPr>
              <w:jc w:val="center"/>
              <w:rPr>
                <w:rFonts w:ascii="Arial" w:eastAsia="Calibri" w:hAnsi="Arial" w:cs="Arial"/>
                <w:b/>
                <w:u w:val="single"/>
              </w:rPr>
            </w:pPr>
          </w:p>
          <w:p w14:paraId="77337136" w14:textId="58687F5B" w:rsidR="00F22060" w:rsidRDefault="00F22060" w:rsidP="002551C6">
            <w:pPr>
              <w:jc w:val="center"/>
              <w:rPr>
                <w:rFonts w:ascii="Arial" w:eastAsia="Calibri" w:hAnsi="Arial" w:cs="Arial"/>
                <w:b/>
                <w:u w:val="single"/>
              </w:rPr>
            </w:pPr>
            <w:r>
              <w:rPr>
                <w:rFonts w:ascii="Arial" w:eastAsia="Calibri" w:hAnsi="Arial" w:cs="Arial"/>
                <w:b/>
                <w:u w:val="single"/>
              </w:rPr>
              <w:t>96.00%</w:t>
            </w:r>
          </w:p>
          <w:p w14:paraId="13E6B1CA" w14:textId="12A5CE39" w:rsidR="00F22060" w:rsidRDefault="00F22060" w:rsidP="002551C6">
            <w:pPr>
              <w:jc w:val="center"/>
              <w:rPr>
                <w:rFonts w:ascii="Arial" w:eastAsia="Calibri" w:hAnsi="Arial" w:cs="Arial"/>
                <w:b/>
                <w:u w:val="single"/>
              </w:rPr>
            </w:pPr>
            <w:r>
              <w:rPr>
                <w:rFonts w:ascii="Arial" w:eastAsia="Calibri" w:hAnsi="Arial" w:cs="Arial"/>
                <w:b/>
                <w:u w:val="single"/>
              </w:rPr>
              <w:t>100.00%</w:t>
            </w:r>
          </w:p>
          <w:p w14:paraId="2639BEBC" w14:textId="185FB50F" w:rsidR="00F22060" w:rsidRDefault="00F22060" w:rsidP="00F22060">
            <w:pPr>
              <w:jc w:val="center"/>
              <w:rPr>
                <w:rFonts w:ascii="Arial" w:eastAsia="Calibri" w:hAnsi="Arial" w:cs="Arial"/>
                <w:b/>
                <w:u w:val="single"/>
              </w:rPr>
            </w:pPr>
            <w:r>
              <w:rPr>
                <w:rFonts w:ascii="Arial" w:eastAsia="Calibri" w:hAnsi="Arial" w:cs="Arial"/>
                <w:b/>
                <w:u w:val="single"/>
              </w:rPr>
              <w:t>96.00%</w:t>
            </w:r>
          </w:p>
        </w:tc>
        <w:tc>
          <w:tcPr>
            <w:tcW w:w="1804" w:type="dxa"/>
          </w:tcPr>
          <w:p w14:paraId="4F9ADD79" w14:textId="77777777" w:rsidR="00F22060" w:rsidRDefault="00F22060" w:rsidP="002551C6">
            <w:pPr>
              <w:jc w:val="center"/>
              <w:rPr>
                <w:rFonts w:ascii="Arial" w:eastAsia="Calibri" w:hAnsi="Arial" w:cs="Arial"/>
                <w:b/>
                <w:u w:val="single"/>
              </w:rPr>
            </w:pPr>
          </w:p>
          <w:p w14:paraId="120BB98D" w14:textId="77777777" w:rsidR="00F22060" w:rsidRDefault="00F22060" w:rsidP="002551C6">
            <w:pPr>
              <w:jc w:val="center"/>
              <w:rPr>
                <w:rFonts w:ascii="Arial" w:eastAsia="Calibri" w:hAnsi="Arial" w:cs="Arial"/>
                <w:b/>
                <w:u w:val="single"/>
              </w:rPr>
            </w:pPr>
          </w:p>
          <w:p w14:paraId="3C1740F7" w14:textId="62E4902A" w:rsidR="00F22060" w:rsidRDefault="00F22060" w:rsidP="002551C6">
            <w:pPr>
              <w:jc w:val="center"/>
              <w:rPr>
                <w:rFonts w:ascii="Arial" w:eastAsia="Calibri" w:hAnsi="Arial" w:cs="Arial"/>
                <w:b/>
                <w:u w:val="single"/>
              </w:rPr>
            </w:pPr>
            <w:r>
              <w:rPr>
                <w:rFonts w:ascii="Arial" w:eastAsia="Calibri" w:hAnsi="Arial" w:cs="Arial"/>
                <w:b/>
                <w:u w:val="single"/>
              </w:rPr>
              <w:t>93.00%</w:t>
            </w:r>
          </w:p>
          <w:p w14:paraId="5379F95A" w14:textId="655F52F9" w:rsidR="00F22060" w:rsidRDefault="00F22060" w:rsidP="002551C6">
            <w:pPr>
              <w:jc w:val="center"/>
              <w:rPr>
                <w:rFonts w:ascii="Arial" w:eastAsia="Calibri" w:hAnsi="Arial" w:cs="Arial"/>
                <w:b/>
                <w:u w:val="single"/>
              </w:rPr>
            </w:pPr>
            <w:r>
              <w:rPr>
                <w:rFonts w:ascii="Arial" w:eastAsia="Calibri" w:hAnsi="Arial" w:cs="Arial"/>
                <w:b/>
                <w:u w:val="single"/>
              </w:rPr>
              <w:t>94.00%</w:t>
            </w:r>
          </w:p>
          <w:p w14:paraId="10570B04" w14:textId="20A357A1" w:rsidR="00F22060" w:rsidRDefault="00F22060" w:rsidP="00F22060">
            <w:pPr>
              <w:jc w:val="center"/>
              <w:rPr>
                <w:rFonts w:ascii="Arial" w:eastAsia="Calibri" w:hAnsi="Arial" w:cs="Arial"/>
                <w:b/>
                <w:u w:val="single"/>
              </w:rPr>
            </w:pPr>
            <w:r>
              <w:rPr>
                <w:rFonts w:ascii="Arial" w:eastAsia="Calibri" w:hAnsi="Arial" w:cs="Arial"/>
                <w:b/>
                <w:u w:val="single"/>
              </w:rPr>
              <w:t>93.00%</w:t>
            </w:r>
          </w:p>
        </w:tc>
        <w:tc>
          <w:tcPr>
            <w:tcW w:w="2042" w:type="dxa"/>
          </w:tcPr>
          <w:p w14:paraId="36E932D5" w14:textId="77777777" w:rsidR="00F22060" w:rsidRDefault="00F22060" w:rsidP="002551C6">
            <w:pPr>
              <w:jc w:val="center"/>
              <w:rPr>
                <w:rFonts w:ascii="Arial" w:eastAsia="Calibri" w:hAnsi="Arial" w:cs="Arial"/>
                <w:b/>
                <w:u w:val="single"/>
              </w:rPr>
            </w:pPr>
          </w:p>
          <w:p w14:paraId="35B5BFC1" w14:textId="77777777" w:rsidR="00F22060" w:rsidRDefault="00F22060" w:rsidP="002551C6">
            <w:pPr>
              <w:jc w:val="center"/>
              <w:rPr>
                <w:rFonts w:ascii="Arial" w:eastAsia="Calibri" w:hAnsi="Arial" w:cs="Arial"/>
                <w:b/>
                <w:u w:val="single"/>
              </w:rPr>
            </w:pPr>
          </w:p>
          <w:p w14:paraId="492B87A0" w14:textId="035C2626" w:rsidR="00F22060" w:rsidRDefault="00F22060" w:rsidP="002551C6">
            <w:pPr>
              <w:jc w:val="center"/>
              <w:rPr>
                <w:rFonts w:ascii="Arial" w:eastAsia="Calibri" w:hAnsi="Arial" w:cs="Arial"/>
                <w:b/>
                <w:u w:val="single"/>
              </w:rPr>
            </w:pPr>
            <w:r>
              <w:rPr>
                <w:rFonts w:ascii="Arial" w:eastAsia="Calibri" w:hAnsi="Arial" w:cs="Arial"/>
                <w:b/>
                <w:u w:val="single"/>
              </w:rPr>
              <w:t>86.00%</w:t>
            </w:r>
          </w:p>
          <w:p w14:paraId="35DDC50D" w14:textId="69204EC1" w:rsidR="00F22060" w:rsidRDefault="00F22060" w:rsidP="002551C6">
            <w:pPr>
              <w:jc w:val="center"/>
              <w:rPr>
                <w:rFonts w:ascii="Arial" w:eastAsia="Calibri" w:hAnsi="Arial" w:cs="Arial"/>
                <w:b/>
                <w:u w:val="single"/>
              </w:rPr>
            </w:pPr>
            <w:r>
              <w:rPr>
                <w:rFonts w:ascii="Arial" w:eastAsia="Calibri" w:hAnsi="Arial" w:cs="Arial"/>
                <w:b/>
                <w:u w:val="single"/>
              </w:rPr>
              <w:t>86.00%</w:t>
            </w:r>
          </w:p>
          <w:p w14:paraId="764E4E53" w14:textId="7B88EF51" w:rsidR="00F22060" w:rsidRDefault="00F22060" w:rsidP="00F22060">
            <w:pPr>
              <w:jc w:val="center"/>
              <w:rPr>
                <w:rFonts w:ascii="Arial" w:eastAsia="Calibri" w:hAnsi="Arial" w:cs="Arial"/>
                <w:b/>
                <w:u w:val="single"/>
              </w:rPr>
            </w:pPr>
            <w:r>
              <w:rPr>
                <w:rFonts w:ascii="Arial" w:eastAsia="Calibri" w:hAnsi="Arial" w:cs="Arial"/>
                <w:b/>
                <w:u w:val="single"/>
              </w:rPr>
              <w:t>86.00%</w:t>
            </w:r>
          </w:p>
        </w:tc>
      </w:tr>
      <w:tr w:rsidR="00C95525" w:rsidRPr="004B1294" w14:paraId="793BD91F" w14:textId="77777777" w:rsidTr="00042E94">
        <w:tc>
          <w:tcPr>
            <w:tcW w:w="1550" w:type="dxa"/>
          </w:tcPr>
          <w:p w14:paraId="045D61C5" w14:textId="1620DF7B" w:rsidR="00C95525" w:rsidRDefault="00C95525" w:rsidP="002551C6">
            <w:pPr>
              <w:jc w:val="center"/>
              <w:rPr>
                <w:rFonts w:ascii="Arial" w:hAnsi="Arial" w:cs="Arial"/>
                <w:b/>
              </w:rPr>
            </w:pPr>
            <w:r>
              <w:rPr>
                <w:rFonts w:ascii="Arial" w:hAnsi="Arial" w:cs="Arial"/>
                <w:b/>
              </w:rPr>
              <w:t>124</w:t>
            </w:r>
          </w:p>
        </w:tc>
        <w:tc>
          <w:tcPr>
            <w:tcW w:w="3255" w:type="dxa"/>
          </w:tcPr>
          <w:p w14:paraId="52DB7DED" w14:textId="001D363B" w:rsidR="00C95525" w:rsidRPr="00C95525" w:rsidRDefault="00C95525" w:rsidP="00C95525">
            <w:pPr>
              <w:tabs>
                <w:tab w:val="left" w:pos="1276"/>
              </w:tabs>
              <w:jc w:val="both"/>
              <w:rPr>
                <w:rFonts w:ascii="Arial" w:hAnsi="Arial" w:cs="Arial"/>
                <w:b/>
                <w:lang w:val="es-MX"/>
              </w:rPr>
            </w:pPr>
            <w:r w:rsidRPr="00C95525">
              <w:rPr>
                <w:rFonts w:ascii="Arial" w:hAnsi="Arial" w:cs="Arial"/>
                <w:b/>
              </w:rPr>
              <w:t>U.A.E. AGENCIA NACIONAL DE CONTRATACIÓN PÚBLICA - COLOMBIA COMPRA EFICIENTE</w:t>
            </w:r>
            <w:r w:rsidRPr="00C95525">
              <w:rPr>
                <w:rFonts w:ascii="Arial" w:hAnsi="Arial" w:cs="Arial"/>
                <w:b/>
                <w:lang w:val="es-MX"/>
              </w:rPr>
              <w:t xml:space="preserve">. </w:t>
            </w:r>
          </w:p>
          <w:p w14:paraId="3F985A65" w14:textId="77777777" w:rsidR="00C95525" w:rsidRDefault="00C95525" w:rsidP="00C95525">
            <w:pPr>
              <w:jc w:val="both"/>
              <w:rPr>
                <w:rFonts w:ascii="Arial" w:hAnsi="Arial" w:cs="Arial"/>
                <w:b/>
                <w:lang w:val="es-MX"/>
              </w:rPr>
            </w:pPr>
          </w:p>
          <w:p w14:paraId="301AB064" w14:textId="77777777" w:rsidR="00C95525" w:rsidRDefault="00C95525" w:rsidP="00C95525">
            <w:pPr>
              <w:jc w:val="both"/>
              <w:rPr>
                <w:rFonts w:ascii="Arial" w:hAnsi="Arial" w:cs="Arial"/>
                <w:b/>
                <w:lang w:val="es-MX"/>
              </w:rPr>
            </w:pPr>
            <w:r>
              <w:rPr>
                <w:rFonts w:ascii="Arial" w:hAnsi="Arial" w:cs="Arial"/>
                <w:b/>
                <w:lang w:val="es-MX"/>
              </w:rPr>
              <w:t>FUNCIONAMIENTO</w:t>
            </w:r>
          </w:p>
          <w:p w14:paraId="0AEDB1F1" w14:textId="77777777" w:rsidR="00C95525" w:rsidRDefault="00C95525" w:rsidP="00C95525">
            <w:pPr>
              <w:jc w:val="both"/>
              <w:rPr>
                <w:rFonts w:ascii="Arial" w:hAnsi="Arial" w:cs="Arial"/>
                <w:b/>
                <w:lang w:val="es-MX"/>
              </w:rPr>
            </w:pPr>
            <w:r>
              <w:rPr>
                <w:rFonts w:ascii="Arial" w:hAnsi="Arial" w:cs="Arial"/>
                <w:b/>
                <w:lang w:val="es-MX"/>
              </w:rPr>
              <w:t>INVERSIÓN</w:t>
            </w:r>
          </w:p>
          <w:p w14:paraId="5BD01436" w14:textId="77777777" w:rsidR="00C95525" w:rsidRDefault="00C95525" w:rsidP="00C95525">
            <w:pPr>
              <w:jc w:val="both"/>
              <w:rPr>
                <w:rFonts w:ascii="Arial" w:hAnsi="Arial" w:cs="Arial"/>
                <w:b/>
                <w:lang w:val="es-MX"/>
              </w:rPr>
            </w:pPr>
          </w:p>
          <w:p w14:paraId="0D7C6BC8" w14:textId="58A43528" w:rsidR="00C95525" w:rsidRPr="00C95525" w:rsidRDefault="00C95525" w:rsidP="00C95525">
            <w:pPr>
              <w:jc w:val="both"/>
              <w:rPr>
                <w:rFonts w:ascii="Arial" w:hAnsi="Arial" w:cs="Arial"/>
                <w:b/>
                <w:lang w:val="es-MX"/>
              </w:rPr>
            </w:pPr>
            <w:r>
              <w:rPr>
                <w:rFonts w:ascii="Arial" w:hAnsi="Arial" w:cs="Arial"/>
                <w:b/>
                <w:lang w:val="es-MX"/>
              </w:rPr>
              <w:t>TOTAL PRESUPUESTO</w:t>
            </w:r>
          </w:p>
        </w:tc>
        <w:tc>
          <w:tcPr>
            <w:tcW w:w="1839" w:type="dxa"/>
          </w:tcPr>
          <w:p w14:paraId="5A776DC1" w14:textId="77777777" w:rsidR="00C95525" w:rsidRDefault="00C95525" w:rsidP="00C95525">
            <w:pPr>
              <w:jc w:val="center"/>
              <w:rPr>
                <w:rFonts w:ascii="Arial" w:eastAsia="Calibri" w:hAnsi="Arial" w:cs="Arial"/>
                <w:b/>
                <w:u w:val="single"/>
              </w:rPr>
            </w:pPr>
          </w:p>
          <w:p w14:paraId="16FBD2A0" w14:textId="77777777" w:rsidR="00C95525" w:rsidRDefault="00C95525" w:rsidP="00C95525">
            <w:pPr>
              <w:jc w:val="center"/>
              <w:rPr>
                <w:rFonts w:ascii="Arial" w:eastAsia="Calibri" w:hAnsi="Arial" w:cs="Arial"/>
                <w:b/>
                <w:u w:val="single"/>
              </w:rPr>
            </w:pPr>
          </w:p>
          <w:p w14:paraId="665ECE0E" w14:textId="77777777" w:rsidR="00C95525" w:rsidRDefault="00C95525" w:rsidP="00C95525">
            <w:pPr>
              <w:jc w:val="center"/>
              <w:rPr>
                <w:rFonts w:ascii="Arial" w:eastAsia="Calibri" w:hAnsi="Arial" w:cs="Arial"/>
                <w:b/>
                <w:u w:val="single"/>
              </w:rPr>
            </w:pPr>
          </w:p>
          <w:p w14:paraId="6A58E730" w14:textId="77777777" w:rsidR="00C95525" w:rsidRDefault="00C95525" w:rsidP="00C95525">
            <w:pPr>
              <w:jc w:val="center"/>
              <w:rPr>
                <w:rFonts w:ascii="Arial" w:eastAsia="Calibri" w:hAnsi="Arial" w:cs="Arial"/>
                <w:b/>
                <w:u w:val="single"/>
              </w:rPr>
            </w:pPr>
          </w:p>
          <w:p w14:paraId="32B2E07E" w14:textId="77777777" w:rsidR="00C95525" w:rsidRDefault="00C95525" w:rsidP="00C95525">
            <w:pPr>
              <w:jc w:val="center"/>
              <w:rPr>
                <w:rFonts w:ascii="Arial" w:eastAsia="Calibri" w:hAnsi="Arial" w:cs="Arial"/>
                <w:b/>
                <w:u w:val="single"/>
              </w:rPr>
            </w:pPr>
          </w:p>
          <w:p w14:paraId="7B8B0E7D" w14:textId="72C5A475" w:rsidR="00C95525" w:rsidRDefault="00C95525" w:rsidP="00C95525">
            <w:pPr>
              <w:jc w:val="center"/>
              <w:rPr>
                <w:rFonts w:ascii="Arial" w:eastAsia="Calibri" w:hAnsi="Arial" w:cs="Arial"/>
                <w:b/>
                <w:u w:val="single"/>
              </w:rPr>
            </w:pPr>
            <w:r>
              <w:rPr>
                <w:rFonts w:ascii="Arial" w:eastAsia="Calibri" w:hAnsi="Arial" w:cs="Arial"/>
                <w:b/>
                <w:u w:val="single"/>
              </w:rPr>
              <w:t>98.90%</w:t>
            </w:r>
          </w:p>
          <w:p w14:paraId="4A503E94" w14:textId="1E0FF934" w:rsidR="00C95525" w:rsidRDefault="00C95525" w:rsidP="00C95525">
            <w:pPr>
              <w:jc w:val="center"/>
              <w:rPr>
                <w:rFonts w:ascii="Arial" w:eastAsia="Calibri" w:hAnsi="Arial" w:cs="Arial"/>
                <w:b/>
                <w:u w:val="single"/>
              </w:rPr>
            </w:pPr>
            <w:r>
              <w:rPr>
                <w:rFonts w:ascii="Arial" w:eastAsia="Calibri" w:hAnsi="Arial" w:cs="Arial"/>
                <w:b/>
                <w:u w:val="single"/>
              </w:rPr>
              <w:t>89.90%</w:t>
            </w:r>
          </w:p>
          <w:p w14:paraId="35037DF1" w14:textId="77777777" w:rsidR="00C95525" w:rsidRDefault="00C95525" w:rsidP="00C95525">
            <w:pPr>
              <w:jc w:val="center"/>
              <w:rPr>
                <w:rFonts w:ascii="Arial" w:eastAsia="Calibri" w:hAnsi="Arial" w:cs="Arial"/>
                <w:b/>
                <w:u w:val="single"/>
              </w:rPr>
            </w:pPr>
          </w:p>
          <w:p w14:paraId="793F8762" w14:textId="53673FD0" w:rsidR="00C95525" w:rsidRPr="00C95525" w:rsidRDefault="00C95525" w:rsidP="00C95525">
            <w:pPr>
              <w:jc w:val="center"/>
              <w:rPr>
                <w:rFonts w:ascii="Arial" w:eastAsia="Calibri" w:hAnsi="Arial" w:cs="Arial"/>
                <w:b/>
                <w:u w:val="single"/>
              </w:rPr>
            </w:pPr>
            <w:r>
              <w:rPr>
                <w:rFonts w:ascii="Arial" w:eastAsia="Calibri" w:hAnsi="Arial" w:cs="Arial"/>
                <w:b/>
                <w:u w:val="single"/>
              </w:rPr>
              <w:t>92.60%</w:t>
            </w:r>
          </w:p>
        </w:tc>
        <w:tc>
          <w:tcPr>
            <w:tcW w:w="1804" w:type="dxa"/>
          </w:tcPr>
          <w:p w14:paraId="31A5425D" w14:textId="77777777" w:rsidR="00C95525" w:rsidRDefault="00C95525" w:rsidP="002551C6">
            <w:pPr>
              <w:jc w:val="center"/>
              <w:rPr>
                <w:rFonts w:ascii="Arial" w:eastAsia="Calibri" w:hAnsi="Arial" w:cs="Arial"/>
                <w:b/>
                <w:u w:val="single"/>
              </w:rPr>
            </w:pPr>
          </w:p>
          <w:p w14:paraId="0ABD2523" w14:textId="77777777" w:rsidR="00C95525" w:rsidRDefault="00C95525" w:rsidP="002551C6">
            <w:pPr>
              <w:jc w:val="center"/>
              <w:rPr>
                <w:rFonts w:ascii="Arial" w:eastAsia="Calibri" w:hAnsi="Arial" w:cs="Arial"/>
                <w:b/>
                <w:u w:val="single"/>
              </w:rPr>
            </w:pPr>
          </w:p>
          <w:p w14:paraId="55B1580E" w14:textId="77777777" w:rsidR="00C95525" w:rsidRDefault="00C95525" w:rsidP="002551C6">
            <w:pPr>
              <w:jc w:val="center"/>
              <w:rPr>
                <w:rFonts w:ascii="Arial" w:eastAsia="Calibri" w:hAnsi="Arial" w:cs="Arial"/>
                <w:b/>
                <w:u w:val="single"/>
              </w:rPr>
            </w:pPr>
          </w:p>
          <w:p w14:paraId="3971341A" w14:textId="77777777" w:rsidR="00C95525" w:rsidRDefault="00C95525" w:rsidP="002551C6">
            <w:pPr>
              <w:jc w:val="center"/>
              <w:rPr>
                <w:rFonts w:ascii="Arial" w:eastAsia="Calibri" w:hAnsi="Arial" w:cs="Arial"/>
                <w:b/>
                <w:u w:val="single"/>
              </w:rPr>
            </w:pPr>
          </w:p>
          <w:p w14:paraId="552C9F14" w14:textId="77777777" w:rsidR="00C95525" w:rsidRDefault="00C95525" w:rsidP="002551C6">
            <w:pPr>
              <w:jc w:val="center"/>
              <w:rPr>
                <w:rFonts w:ascii="Arial" w:eastAsia="Calibri" w:hAnsi="Arial" w:cs="Arial"/>
                <w:b/>
                <w:u w:val="single"/>
              </w:rPr>
            </w:pPr>
          </w:p>
          <w:p w14:paraId="4DB891A5" w14:textId="7F1A17BF" w:rsidR="00C95525" w:rsidRDefault="00C95525" w:rsidP="002551C6">
            <w:pPr>
              <w:jc w:val="center"/>
              <w:rPr>
                <w:rFonts w:ascii="Arial" w:eastAsia="Calibri" w:hAnsi="Arial" w:cs="Arial"/>
                <w:b/>
                <w:u w:val="single"/>
              </w:rPr>
            </w:pPr>
            <w:r>
              <w:rPr>
                <w:rFonts w:ascii="Arial" w:eastAsia="Calibri" w:hAnsi="Arial" w:cs="Arial"/>
                <w:b/>
                <w:u w:val="single"/>
              </w:rPr>
              <w:t>98.30%</w:t>
            </w:r>
          </w:p>
          <w:p w14:paraId="22ADBC15" w14:textId="0621CCD9" w:rsidR="00C95525" w:rsidRDefault="00C95525" w:rsidP="002551C6">
            <w:pPr>
              <w:jc w:val="center"/>
              <w:rPr>
                <w:rFonts w:ascii="Arial" w:eastAsia="Calibri" w:hAnsi="Arial" w:cs="Arial"/>
                <w:b/>
                <w:u w:val="single"/>
              </w:rPr>
            </w:pPr>
            <w:r>
              <w:rPr>
                <w:rFonts w:ascii="Arial" w:eastAsia="Calibri" w:hAnsi="Arial" w:cs="Arial"/>
                <w:b/>
                <w:u w:val="single"/>
              </w:rPr>
              <w:t>81.60%</w:t>
            </w:r>
          </w:p>
          <w:p w14:paraId="41C6303E" w14:textId="77777777" w:rsidR="00C95525" w:rsidRDefault="00C95525" w:rsidP="002551C6">
            <w:pPr>
              <w:jc w:val="center"/>
              <w:rPr>
                <w:rFonts w:ascii="Arial" w:eastAsia="Calibri" w:hAnsi="Arial" w:cs="Arial"/>
                <w:b/>
                <w:u w:val="single"/>
              </w:rPr>
            </w:pPr>
          </w:p>
          <w:p w14:paraId="1539AF7E" w14:textId="4E53F095" w:rsidR="00C95525" w:rsidRDefault="00C95525" w:rsidP="002551C6">
            <w:pPr>
              <w:jc w:val="center"/>
              <w:rPr>
                <w:rFonts w:ascii="Arial" w:eastAsia="Calibri" w:hAnsi="Arial" w:cs="Arial"/>
                <w:b/>
                <w:u w:val="single"/>
              </w:rPr>
            </w:pPr>
            <w:r>
              <w:rPr>
                <w:rFonts w:ascii="Arial" w:eastAsia="Calibri" w:hAnsi="Arial" w:cs="Arial"/>
                <w:b/>
                <w:u w:val="single"/>
              </w:rPr>
              <w:t>86.60%</w:t>
            </w:r>
          </w:p>
        </w:tc>
        <w:tc>
          <w:tcPr>
            <w:tcW w:w="2042" w:type="dxa"/>
          </w:tcPr>
          <w:p w14:paraId="7DF12876" w14:textId="77777777" w:rsidR="00C95525" w:rsidRDefault="00C95525" w:rsidP="002551C6">
            <w:pPr>
              <w:jc w:val="center"/>
              <w:rPr>
                <w:rFonts w:ascii="Arial" w:eastAsia="Calibri" w:hAnsi="Arial" w:cs="Arial"/>
                <w:b/>
                <w:u w:val="single"/>
              </w:rPr>
            </w:pPr>
          </w:p>
          <w:p w14:paraId="6133BD2F" w14:textId="77777777" w:rsidR="00C95525" w:rsidRDefault="00C95525" w:rsidP="002551C6">
            <w:pPr>
              <w:jc w:val="center"/>
              <w:rPr>
                <w:rFonts w:ascii="Arial" w:eastAsia="Calibri" w:hAnsi="Arial" w:cs="Arial"/>
                <w:b/>
                <w:u w:val="single"/>
              </w:rPr>
            </w:pPr>
          </w:p>
          <w:p w14:paraId="5D0E949A" w14:textId="77777777" w:rsidR="00C95525" w:rsidRDefault="00C95525" w:rsidP="002551C6">
            <w:pPr>
              <w:jc w:val="center"/>
              <w:rPr>
                <w:rFonts w:ascii="Arial" w:eastAsia="Calibri" w:hAnsi="Arial" w:cs="Arial"/>
                <w:b/>
                <w:u w:val="single"/>
              </w:rPr>
            </w:pPr>
          </w:p>
          <w:p w14:paraId="5EE90559" w14:textId="77777777" w:rsidR="00C95525" w:rsidRDefault="00C95525" w:rsidP="002551C6">
            <w:pPr>
              <w:jc w:val="center"/>
              <w:rPr>
                <w:rFonts w:ascii="Arial" w:eastAsia="Calibri" w:hAnsi="Arial" w:cs="Arial"/>
                <w:b/>
                <w:u w:val="single"/>
              </w:rPr>
            </w:pPr>
          </w:p>
          <w:p w14:paraId="5E7E8CB1" w14:textId="77777777" w:rsidR="00C95525" w:rsidRDefault="00C95525" w:rsidP="002551C6">
            <w:pPr>
              <w:jc w:val="center"/>
              <w:rPr>
                <w:rFonts w:ascii="Arial" w:eastAsia="Calibri" w:hAnsi="Arial" w:cs="Arial"/>
                <w:b/>
                <w:u w:val="single"/>
              </w:rPr>
            </w:pPr>
          </w:p>
          <w:p w14:paraId="54FC360F" w14:textId="0CF8A543" w:rsidR="00C95525" w:rsidRDefault="00C95525" w:rsidP="002551C6">
            <w:pPr>
              <w:jc w:val="center"/>
              <w:rPr>
                <w:rFonts w:ascii="Arial" w:eastAsia="Calibri" w:hAnsi="Arial" w:cs="Arial"/>
                <w:b/>
                <w:u w:val="single"/>
              </w:rPr>
            </w:pPr>
            <w:r>
              <w:rPr>
                <w:rFonts w:ascii="Arial" w:eastAsia="Calibri" w:hAnsi="Arial" w:cs="Arial"/>
                <w:b/>
                <w:u w:val="single"/>
              </w:rPr>
              <w:t>97.40%</w:t>
            </w:r>
          </w:p>
          <w:p w14:paraId="6DB0D5F3" w14:textId="7E87DF2E" w:rsidR="00C95525" w:rsidRDefault="00C95525" w:rsidP="002551C6">
            <w:pPr>
              <w:jc w:val="center"/>
              <w:rPr>
                <w:rFonts w:ascii="Arial" w:eastAsia="Calibri" w:hAnsi="Arial" w:cs="Arial"/>
                <w:b/>
                <w:u w:val="single"/>
              </w:rPr>
            </w:pPr>
            <w:r>
              <w:rPr>
                <w:rFonts w:ascii="Arial" w:eastAsia="Calibri" w:hAnsi="Arial" w:cs="Arial"/>
                <w:b/>
                <w:u w:val="single"/>
              </w:rPr>
              <w:t>81.60%</w:t>
            </w:r>
          </w:p>
          <w:p w14:paraId="10E3EE4F" w14:textId="77777777" w:rsidR="00C95525" w:rsidRDefault="00C95525" w:rsidP="002551C6">
            <w:pPr>
              <w:jc w:val="center"/>
              <w:rPr>
                <w:rFonts w:ascii="Arial" w:eastAsia="Calibri" w:hAnsi="Arial" w:cs="Arial"/>
                <w:b/>
                <w:u w:val="single"/>
              </w:rPr>
            </w:pPr>
          </w:p>
          <w:p w14:paraId="610E3609" w14:textId="548BE6F5" w:rsidR="00C95525" w:rsidRDefault="00C95525" w:rsidP="002551C6">
            <w:pPr>
              <w:jc w:val="center"/>
              <w:rPr>
                <w:rFonts w:ascii="Arial" w:eastAsia="Calibri" w:hAnsi="Arial" w:cs="Arial"/>
                <w:b/>
                <w:u w:val="single"/>
              </w:rPr>
            </w:pPr>
            <w:r>
              <w:rPr>
                <w:rFonts w:ascii="Arial" w:eastAsia="Calibri" w:hAnsi="Arial" w:cs="Arial"/>
                <w:b/>
                <w:u w:val="single"/>
              </w:rPr>
              <w:t>86.30%</w:t>
            </w:r>
          </w:p>
        </w:tc>
      </w:tr>
      <w:tr w:rsidR="003963DC" w:rsidRPr="004B1294" w14:paraId="59C50A70" w14:textId="77777777" w:rsidTr="00042E94">
        <w:tc>
          <w:tcPr>
            <w:tcW w:w="1550" w:type="dxa"/>
          </w:tcPr>
          <w:p w14:paraId="42F7D257" w14:textId="0602E481" w:rsidR="003963DC" w:rsidRDefault="003963DC" w:rsidP="002551C6">
            <w:pPr>
              <w:jc w:val="center"/>
              <w:rPr>
                <w:rFonts w:ascii="Arial" w:hAnsi="Arial" w:cs="Arial"/>
                <w:b/>
              </w:rPr>
            </w:pPr>
            <w:r>
              <w:rPr>
                <w:rFonts w:ascii="Arial" w:hAnsi="Arial" w:cs="Arial"/>
                <w:b/>
              </w:rPr>
              <w:t>128</w:t>
            </w:r>
          </w:p>
        </w:tc>
        <w:tc>
          <w:tcPr>
            <w:tcW w:w="3255" w:type="dxa"/>
          </w:tcPr>
          <w:p w14:paraId="21C08A19" w14:textId="56BCCC35" w:rsidR="003963DC" w:rsidRPr="003963DC" w:rsidRDefault="003963DC" w:rsidP="003963DC">
            <w:pPr>
              <w:jc w:val="both"/>
              <w:rPr>
                <w:rFonts w:ascii="Arial" w:hAnsi="Arial" w:cs="Arial"/>
                <w:b/>
                <w:lang w:val="es-MX"/>
              </w:rPr>
            </w:pPr>
            <w:r w:rsidRPr="003963DC">
              <w:rPr>
                <w:rFonts w:ascii="Arial" w:hAnsi="Arial" w:cs="Arial"/>
                <w:b/>
                <w:lang w:val="es-MX"/>
              </w:rPr>
              <w:t>SUPERINTENDENCIA DE TRANSPORTE.</w:t>
            </w:r>
          </w:p>
          <w:p w14:paraId="00AB139B" w14:textId="77777777" w:rsidR="003963DC" w:rsidRDefault="003963DC" w:rsidP="00C95525">
            <w:pPr>
              <w:tabs>
                <w:tab w:val="left" w:pos="1276"/>
              </w:tabs>
              <w:jc w:val="both"/>
              <w:rPr>
                <w:rFonts w:ascii="Arial" w:hAnsi="Arial" w:cs="Arial"/>
                <w:b/>
              </w:rPr>
            </w:pPr>
          </w:p>
          <w:p w14:paraId="1CA7235B" w14:textId="77777777" w:rsidR="003963DC" w:rsidRDefault="003963DC" w:rsidP="003963DC">
            <w:pPr>
              <w:jc w:val="both"/>
              <w:rPr>
                <w:rFonts w:ascii="Arial" w:hAnsi="Arial" w:cs="Arial"/>
                <w:b/>
                <w:lang w:val="es-MX"/>
              </w:rPr>
            </w:pPr>
            <w:r>
              <w:rPr>
                <w:rFonts w:ascii="Arial" w:hAnsi="Arial" w:cs="Arial"/>
                <w:b/>
                <w:lang w:val="es-MX"/>
              </w:rPr>
              <w:t>FUNCIONAMIENTO</w:t>
            </w:r>
          </w:p>
          <w:p w14:paraId="530418FF" w14:textId="77777777" w:rsidR="003963DC" w:rsidRDefault="003963DC" w:rsidP="003963DC">
            <w:pPr>
              <w:jc w:val="both"/>
              <w:rPr>
                <w:rFonts w:ascii="Arial" w:hAnsi="Arial" w:cs="Arial"/>
                <w:b/>
                <w:lang w:val="es-MX"/>
              </w:rPr>
            </w:pPr>
            <w:r>
              <w:rPr>
                <w:rFonts w:ascii="Arial" w:hAnsi="Arial" w:cs="Arial"/>
                <w:b/>
                <w:lang w:val="es-MX"/>
              </w:rPr>
              <w:t>INVERSIÓN</w:t>
            </w:r>
          </w:p>
          <w:p w14:paraId="5F3FDEA7" w14:textId="77777777" w:rsidR="003963DC" w:rsidRDefault="003963DC" w:rsidP="003963DC">
            <w:pPr>
              <w:jc w:val="both"/>
              <w:rPr>
                <w:rFonts w:ascii="Arial" w:hAnsi="Arial" w:cs="Arial"/>
                <w:b/>
                <w:lang w:val="es-MX"/>
              </w:rPr>
            </w:pPr>
          </w:p>
          <w:p w14:paraId="384D395C" w14:textId="304D9BB7" w:rsidR="003963DC" w:rsidRPr="00C95525" w:rsidRDefault="003963DC" w:rsidP="003963DC">
            <w:pPr>
              <w:tabs>
                <w:tab w:val="left" w:pos="1276"/>
              </w:tabs>
              <w:jc w:val="both"/>
              <w:rPr>
                <w:rFonts w:ascii="Arial" w:hAnsi="Arial" w:cs="Arial"/>
                <w:b/>
              </w:rPr>
            </w:pPr>
            <w:r>
              <w:rPr>
                <w:rFonts w:ascii="Arial" w:hAnsi="Arial" w:cs="Arial"/>
                <w:b/>
                <w:lang w:val="es-MX"/>
              </w:rPr>
              <w:t>TOTAL PRESUPUESTO</w:t>
            </w:r>
          </w:p>
        </w:tc>
        <w:tc>
          <w:tcPr>
            <w:tcW w:w="1839" w:type="dxa"/>
          </w:tcPr>
          <w:p w14:paraId="6E4299A1" w14:textId="77777777" w:rsidR="003963DC" w:rsidRDefault="003963DC" w:rsidP="00C95525">
            <w:pPr>
              <w:jc w:val="center"/>
              <w:rPr>
                <w:rFonts w:ascii="Arial" w:eastAsia="Calibri" w:hAnsi="Arial" w:cs="Arial"/>
                <w:b/>
                <w:u w:val="single"/>
              </w:rPr>
            </w:pPr>
          </w:p>
          <w:p w14:paraId="36242ECC" w14:textId="77777777" w:rsidR="003963DC" w:rsidRDefault="003963DC" w:rsidP="00C95525">
            <w:pPr>
              <w:jc w:val="center"/>
              <w:rPr>
                <w:rFonts w:ascii="Arial" w:eastAsia="Calibri" w:hAnsi="Arial" w:cs="Arial"/>
                <w:b/>
                <w:u w:val="single"/>
              </w:rPr>
            </w:pPr>
          </w:p>
          <w:p w14:paraId="3E367367" w14:textId="77777777" w:rsidR="003963DC" w:rsidRDefault="003963DC" w:rsidP="00C95525">
            <w:pPr>
              <w:jc w:val="center"/>
              <w:rPr>
                <w:rFonts w:ascii="Arial" w:eastAsia="Calibri" w:hAnsi="Arial" w:cs="Arial"/>
                <w:b/>
                <w:u w:val="single"/>
              </w:rPr>
            </w:pPr>
          </w:p>
          <w:p w14:paraId="76C7940C" w14:textId="1519D62C" w:rsidR="003963DC" w:rsidRDefault="003963DC" w:rsidP="00C95525">
            <w:pPr>
              <w:jc w:val="center"/>
              <w:rPr>
                <w:rFonts w:ascii="Arial" w:eastAsia="Calibri" w:hAnsi="Arial" w:cs="Arial"/>
                <w:b/>
                <w:u w:val="single"/>
              </w:rPr>
            </w:pPr>
            <w:r>
              <w:rPr>
                <w:rFonts w:ascii="Arial" w:eastAsia="Calibri" w:hAnsi="Arial" w:cs="Arial"/>
                <w:b/>
                <w:u w:val="single"/>
              </w:rPr>
              <w:t>87.00%</w:t>
            </w:r>
          </w:p>
          <w:p w14:paraId="60652444" w14:textId="72074EDD" w:rsidR="003963DC" w:rsidRDefault="003963DC" w:rsidP="00C95525">
            <w:pPr>
              <w:jc w:val="center"/>
              <w:rPr>
                <w:rFonts w:ascii="Arial" w:eastAsia="Calibri" w:hAnsi="Arial" w:cs="Arial"/>
                <w:b/>
                <w:u w:val="single"/>
              </w:rPr>
            </w:pPr>
            <w:r>
              <w:rPr>
                <w:rFonts w:ascii="Arial" w:eastAsia="Calibri" w:hAnsi="Arial" w:cs="Arial"/>
                <w:b/>
                <w:u w:val="single"/>
              </w:rPr>
              <w:t>97.00%</w:t>
            </w:r>
          </w:p>
          <w:p w14:paraId="3A38C2BB" w14:textId="77777777" w:rsidR="003963DC" w:rsidRDefault="003963DC" w:rsidP="00C95525">
            <w:pPr>
              <w:jc w:val="center"/>
              <w:rPr>
                <w:rFonts w:ascii="Arial" w:eastAsia="Calibri" w:hAnsi="Arial" w:cs="Arial"/>
                <w:b/>
                <w:u w:val="single"/>
              </w:rPr>
            </w:pPr>
          </w:p>
          <w:p w14:paraId="059E4B87" w14:textId="14CFA0ED" w:rsidR="003963DC" w:rsidRDefault="003963DC" w:rsidP="003963DC">
            <w:pPr>
              <w:jc w:val="center"/>
              <w:rPr>
                <w:rFonts w:ascii="Arial" w:eastAsia="Calibri" w:hAnsi="Arial" w:cs="Arial"/>
                <w:b/>
                <w:u w:val="single"/>
              </w:rPr>
            </w:pPr>
            <w:r>
              <w:rPr>
                <w:rFonts w:ascii="Arial" w:eastAsia="Calibri" w:hAnsi="Arial" w:cs="Arial"/>
                <w:b/>
                <w:u w:val="single"/>
              </w:rPr>
              <w:t>89.00%</w:t>
            </w:r>
          </w:p>
        </w:tc>
        <w:tc>
          <w:tcPr>
            <w:tcW w:w="1804" w:type="dxa"/>
          </w:tcPr>
          <w:p w14:paraId="6563D30A" w14:textId="77777777" w:rsidR="003963DC" w:rsidRDefault="003963DC" w:rsidP="002551C6">
            <w:pPr>
              <w:jc w:val="center"/>
              <w:rPr>
                <w:rFonts w:ascii="Arial" w:eastAsia="Calibri" w:hAnsi="Arial" w:cs="Arial"/>
                <w:b/>
                <w:u w:val="single"/>
              </w:rPr>
            </w:pPr>
          </w:p>
          <w:p w14:paraId="5820032D" w14:textId="77777777" w:rsidR="003963DC" w:rsidRDefault="003963DC" w:rsidP="002551C6">
            <w:pPr>
              <w:jc w:val="center"/>
              <w:rPr>
                <w:rFonts w:ascii="Arial" w:eastAsia="Calibri" w:hAnsi="Arial" w:cs="Arial"/>
                <w:b/>
                <w:u w:val="single"/>
              </w:rPr>
            </w:pPr>
          </w:p>
          <w:p w14:paraId="5E99A301" w14:textId="77777777" w:rsidR="003963DC" w:rsidRDefault="003963DC" w:rsidP="002551C6">
            <w:pPr>
              <w:jc w:val="center"/>
              <w:rPr>
                <w:rFonts w:ascii="Arial" w:eastAsia="Calibri" w:hAnsi="Arial" w:cs="Arial"/>
                <w:b/>
                <w:u w:val="single"/>
              </w:rPr>
            </w:pPr>
          </w:p>
          <w:p w14:paraId="30162E4B" w14:textId="7F4F9DD7" w:rsidR="003963DC" w:rsidRDefault="003963DC" w:rsidP="002551C6">
            <w:pPr>
              <w:jc w:val="center"/>
              <w:rPr>
                <w:rFonts w:ascii="Arial" w:eastAsia="Calibri" w:hAnsi="Arial" w:cs="Arial"/>
                <w:b/>
                <w:u w:val="single"/>
              </w:rPr>
            </w:pPr>
            <w:r>
              <w:rPr>
                <w:rFonts w:ascii="Arial" w:eastAsia="Calibri" w:hAnsi="Arial" w:cs="Arial"/>
                <w:b/>
                <w:u w:val="single"/>
              </w:rPr>
              <w:t>86.00%</w:t>
            </w:r>
          </w:p>
          <w:p w14:paraId="15834B6E" w14:textId="495B1A17" w:rsidR="003963DC" w:rsidRDefault="003963DC" w:rsidP="002551C6">
            <w:pPr>
              <w:jc w:val="center"/>
              <w:rPr>
                <w:rFonts w:ascii="Arial" w:eastAsia="Calibri" w:hAnsi="Arial" w:cs="Arial"/>
                <w:b/>
                <w:u w:val="single"/>
              </w:rPr>
            </w:pPr>
            <w:r>
              <w:rPr>
                <w:rFonts w:ascii="Arial" w:eastAsia="Calibri" w:hAnsi="Arial" w:cs="Arial"/>
                <w:b/>
                <w:u w:val="single"/>
              </w:rPr>
              <w:t>97.00%</w:t>
            </w:r>
          </w:p>
          <w:p w14:paraId="408A908B" w14:textId="77777777" w:rsidR="003963DC" w:rsidRDefault="003963DC" w:rsidP="002551C6">
            <w:pPr>
              <w:jc w:val="center"/>
              <w:rPr>
                <w:rFonts w:ascii="Arial" w:eastAsia="Calibri" w:hAnsi="Arial" w:cs="Arial"/>
                <w:b/>
                <w:u w:val="single"/>
              </w:rPr>
            </w:pPr>
          </w:p>
          <w:p w14:paraId="24C42A00" w14:textId="1C501BED" w:rsidR="003963DC" w:rsidRDefault="003963DC" w:rsidP="002551C6">
            <w:pPr>
              <w:jc w:val="center"/>
              <w:rPr>
                <w:rFonts w:ascii="Arial" w:eastAsia="Calibri" w:hAnsi="Arial" w:cs="Arial"/>
                <w:b/>
                <w:u w:val="single"/>
              </w:rPr>
            </w:pPr>
            <w:r>
              <w:rPr>
                <w:rFonts w:ascii="Arial" w:eastAsia="Calibri" w:hAnsi="Arial" w:cs="Arial"/>
                <w:b/>
                <w:u w:val="single"/>
              </w:rPr>
              <w:t>89.00%</w:t>
            </w:r>
          </w:p>
        </w:tc>
        <w:tc>
          <w:tcPr>
            <w:tcW w:w="2042" w:type="dxa"/>
          </w:tcPr>
          <w:p w14:paraId="3678208C" w14:textId="77777777" w:rsidR="003963DC" w:rsidRDefault="003963DC" w:rsidP="002551C6">
            <w:pPr>
              <w:jc w:val="center"/>
              <w:rPr>
                <w:rFonts w:ascii="Arial" w:eastAsia="Calibri" w:hAnsi="Arial" w:cs="Arial"/>
                <w:b/>
                <w:u w:val="single"/>
              </w:rPr>
            </w:pPr>
          </w:p>
          <w:p w14:paraId="5EA5D9B6" w14:textId="77777777" w:rsidR="003963DC" w:rsidRDefault="003963DC" w:rsidP="002551C6">
            <w:pPr>
              <w:jc w:val="center"/>
              <w:rPr>
                <w:rFonts w:ascii="Arial" w:eastAsia="Calibri" w:hAnsi="Arial" w:cs="Arial"/>
                <w:b/>
                <w:u w:val="single"/>
              </w:rPr>
            </w:pPr>
          </w:p>
          <w:p w14:paraId="24481431" w14:textId="77777777" w:rsidR="003963DC" w:rsidRDefault="003963DC" w:rsidP="002551C6">
            <w:pPr>
              <w:jc w:val="center"/>
              <w:rPr>
                <w:rFonts w:ascii="Arial" w:eastAsia="Calibri" w:hAnsi="Arial" w:cs="Arial"/>
                <w:b/>
                <w:u w:val="single"/>
              </w:rPr>
            </w:pPr>
          </w:p>
          <w:p w14:paraId="0F9C8F7E" w14:textId="357F04EB" w:rsidR="003963DC" w:rsidRDefault="003963DC" w:rsidP="002551C6">
            <w:pPr>
              <w:jc w:val="center"/>
              <w:rPr>
                <w:rFonts w:ascii="Arial" w:eastAsia="Calibri" w:hAnsi="Arial" w:cs="Arial"/>
                <w:b/>
                <w:u w:val="single"/>
              </w:rPr>
            </w:pPr>
            <w:r>
              <w:rPr>
                <w:rFonts w:ascii="Arial" w:eastAsia="Calibri" w:hAnsi="Arial" w:cs="Arial"/>
                <w:b/>
                <w:u w:val="single"/>
              </w:rPr>
              <w:t>84.00%</w:t>
            </w:r>
          </w:p>
          <w:p w14:paraId="544F8EAD" w14:textId="04CDE2D7" w:rsidR="003963DC" w:rsidRDefault="003963DC" w:rsidP="002551C6">
            <w:pPr>
              <w:jc w:val="center"/>
              <w:rPr>
                <w:rFonts w:ascii="Arial" w:eastAsia="Calibri" w:hAnsi="Arial" w:cs="Arial"/>
                <w:b/>
                <w:u w:val="single"/>
              </w:rPr>
            </w:pPr>
            <w:r>
              <w:rPr>
                <w:rFonts w:ascii="Arial" w:eastAsia="Calibri" w:hAnsi="Arial" w:cs="Arial"/>
                <w:b/>
                <w:u w:val="single"/>
              </w:rPr>
              <w:t>95.00%</w:t>
            </w:r>
          </w:p>
          <w:p w14:paraId="50EB568A" w14:textId="77777777" w:rsidR="003963DC" w:rsidRDefault="003963DC" w:rsidP="002551C6">
            <w:pPr>
              <w:jc w:val="center"/>
              <w:rPr>
                <w:rFonts w:ascii="Arial" w:eastAsia="Calibri" w:hAnsi="Arial" w:cs="Arial"/>
                <w:b/>
                <w:u w:val="single"/>
              </w:rPr>
            </w:pPr>
          </w:p>
          <w:p w14:paraId="148BFF12" w14:textId="1D08BEF5" w:rsidR="003963DC" w:rsidRDefault="003963DC" w:rsidP="002551C6">
            <w:pPr>
              <w:jc w:val="center"/>
              <w:rPr>
                <w:rFonts w:ascii="Arial" w:eastAsia="Calibri" w:hAnsi="Arial" w:cs="Arial"/>
                <w:b/>
                <w:u w:val="single"/>
              </w:rPr>
            </w:pPr>
            <w:r>
              <w:rPr>
                <w:rFonts w:ascii="Arial" w:eastAsia="Calibri" w:hAnsi="Arial" w:cs="Arial"/>
                <w:b/>
                <w:u w:val="single"/>
              </w:rPr>
              <w:t>87.00%</w:t>
            </w:r>
          </w:p>
        </w:tc>
      </w:tr>
      <w:tr w:rsidR="00170F95" w:rsidRPr="004B1294" w14:paraId="053F078E" w14:textId="77777777" w:rsidTr="00042E94">
        <w:tc>
          <w:tcPr>
            <w:tcW w:w="1550" w:type="dxa"/>
          </w:tcPr>
          <w:p w14:paraId="3078F239" w14:textId="4E0D2319" w:rsidR="00170F95" w:rsidRDefault="00170F95" w:rsidP="002551C6">
            <w:pPr>
              <w:jc w:val="center"/>
              <w:rPr>
                <w:rFonts w:ascii="Arial" w:hAnsi="Arial" w:cs="Arial"/>
                <w:b/>
              </w:rPr>
            </w:pPr>
            <w:r>
              <w:rPr>
                <w:rFonts w:ascii="Arial" w:hAnsi="Arial" w:cs="Arial"/>
                <w:b/>
              </w:rPr>
              <w:t>129</w:t>
            </w:r>
          </w:p>
        </w:tc>
        <w:tc>
          <w:tcPr>
            <w:tcW w:w="3255" w:type="dxa"/>
          </w:tcPr>
          <w:p w14:paraId="3D4D2A85" w14:textId="77777777" w:rsidR="00170F95" w:rsidRDefault="00170F95" w:rsidP="00170F95">
            <w:pPr>
              <w:jc w:val="both"/>
              <w:rPr>
                <w:rFonts w:ascii="Arial" w:hAnsi="Arial" w:cs="Arial"/>
                <w:b/>
                <w:lang w:val="es-MX"/>
              </w:rPr>
            </w:pPr>
            <w:r w:rsidRPr="00170F95">
              <w:rPr>
                <w:rFonts w:ascii="Arial" w:hAnsi="Arial" w:cs="Arial"/>
                <w:b/>
              </w:rPr>
              <w:t xml:space="preserve">UNIDAD DE SERVICIOS PENITENCIARIOS Y </w:t>
            </w:r>
            <w:r w:rsidRPr="00170F95">
              <w:rPr>
                <w:rFonts w:ascii="Arial" w:hAnsi="Arial" w:cs="Arial"/>
                <w:b/>
              </w:rPr>
              <w:lastRenderedPageBreak/>
              <w:t>CARCELARIOS – USPEC</w:t>
            </w:r>
            <w:r w:rsidRPr="00170F95">
              <w:rPr>
                <w:rFonts w:ascii="Arial" w:hAnsi="Arial" w:cs="Arial"/>
                <w:b/>
                <w:lang w:val="es-MX"/>
              </w:rPr>
              <w:t>.</w:t>
            </w:r>
            <w:r>
              <w:rPr>
                <w:rFonts w:ascii="Arial" w:hAnsi="Arial" w:cs="Arial"/>
                <w:b/>
                <w:lang w:val="es-MX"/>
              </w:rPr>
              <w:t xml:space="preserve"> PRESUPUESTO</w:t>
            </w:r>
          </w:p>
          <w:p w14:paraId="795F1084" w14:textId="77777777" w:rsidR="00170F95" w:rsidRDefault="00170F95" w:rsidP="00170F95">
            <w:pPr>
              <w:jc w:val="both"/>
              <w:rPr>
                <w:rFonts w:ascii="Arial" w:hAnsi="Arial" w:cs="Arial"/>
                <w:b/>
                <w:lang w:val="es-MX"/>
              </w:rPr>
            </w:pPr>
          </w:p>
          <w:p w14:paraId="6DF8A757" w14:textId="77777777" w:rsidR="00170F95" w:rsidRDefault="00170F95" w:rsidP="00170F95">
            <w:pPr>
              <w:jc w:val="both"/>
              <w:rPr>
                <w:rFonts w:ascii="Arial" w:hAnsi="Arial" w:cs="Arial"/>
                <w:b/>
                <w:lang w:val="es-MX"/>
              </w:rPr>
            </w:pPr>
            <w:r>
              <w:rPr>
                <w:rFonts w:ascii="Arial" w:hAnsi="Arial" w:cs="Arial"/>
                <w:b/>
                <w:lang w:val="es-MX"/>
              </w:rPr>
              <w:t>FUNCIONAMIENTO</w:t>
            </w:r>
          </w:p>
          <w:p w14:paraId="7738B567" w14:textId="77777777" w:rsidR="00170F95" w:rsidRDefault="00170F95" w:rsidP="00170F95">
            <w:pPr>
              <w:jc w:val="both"/>
              <w:rPr>
                <w:rFonts w:ascii="Arial" w:hAnsi="Arial" w:cs="Arial"/>
                <w:b/>
                <w:lang w:val="es-MX"/>
              </w:rPr>
            </w:pPr>
            <w:r>
              <w:rPr>
                <w:rFonts w:ascii="Arial" w:hAnsi="Arial" w:cs="Arial"/>
                <w:b/>
                <w:lang w:val="es-MX"/>
              </w:rPr>
              <w:t>INVERSIÓN</w:t>
            </w:r>
          </w:p>
          <w:p w14:paraId="559439E9" w14:textId="77777777" w:rsidR="00170F95" w:rsidRDefault="00170F95" w:rsidP="00170F95">
            <w:pPr>
              <w:jc w:val="both"/>
              <w:rPr>
                <w:rFonts w:ascii="Arial" w:hAnsi="Arial" w:cs="Arial"/>
                <w:b/>
                <w:lang w:val="es-MX"/>
              </w:rPr>
            </w:pPr>
          </w:p>
          <w:p w14:paraId="2AF14482" w14:textId="327E8579" w:rsidR="00170F95" w:rsidRPr="003963DC" w:rsidRDefault="00170F95" w:rsidP="00170F95">
            <w:pPr>
              <w:jc w:val="both"/>
              <w:rPr>
                <w:rFonts w:ascii="Arial" w:hAnsi="Arial" w:cs="Arial"/>
                <w:b/>
                <w:lang w:val="es-MX"/>
              </w:rPr>
            </w:pPr>
            <w:r>
              <w:rPr>
                <w:rFonts w:ascii="Arial" w:hAnsi="Arial" w:cs="Arial"/>
                <w:b/>
                <w:lang w:val="es-MX"/>
              </w:rPr>
              <w:t>TOTAL PRESUPUESTO</w:t>
            </w:r>
          </w:p>
        </w:tc>
        <w:tc>
          <w:tcPr>
            <w:tcW w:w="1839" w:type="dxa"/>
          </w:tcPr>
          <w:p w14:paraId="277F26F1" w14:textId="7E4B1DD1" w:rsidR="00170F95" w:rsidRDefault="00170F95" w:rsidP="00C95525">
            <w:pPr>
              <w:jc w:val="center"/>
              <w:rPr>
                <w:rFonts w:ascii="Arial" w:eastAsia="Calibri" w:hAnsi="Arial" w:cs="Arial"/>
                <w:b/>
                <w:u w:val="single"/>
              </w:rPr>
            </w:pPr>
          </w:p>
          <w:p w14:paraId="22C3DCEE" w14:textId="2B676BC1" w:rsidR="00170F95" w:rsidRDefault="00170F95" w:rsidP="00C95525">
            <w:pPr>
              <w:jc w:val="center"/>
              <w:rPr>
                <w:rFonts w:ascii="Arial" w:eastAsia="Calibri" w:hAnsi="Arial" w:cs="Arial"/>
                <w:b/>
                <w:u w:val="single"/>
              </w:rPr>
            </w:pPr>
          </w:p>
          <w:p w14:paraId="399DA22E" w14:textId="7439AB6B" w:rsidR="00170F95" w:rsidRDefault="00170F95" w:rsidP="00C95525">
            <w:pPr>
              <w:jc w:val="center"/>
              <w:rPr>
                <w:rFonts w:ascii="Arial" w:eastAsia="Calibri" w:hAnsi="Arial" w:cs="Arial"/>
                <w:b/>
                <w:u w:val="single"/>
              </w:rPr>
            </w:pPr>
          </w:p>
          <w:p w14:paraId="637222AD" w14:textId="51356DD8" w:rsidR="00170F95" w:rsidRDefault="00170F95" w:rsidP="00C95525">
            <w:pPr>
              <w:jc w:val="center"/>
              <w:rPr>
                <w:rFonts w:ascii="Arial" w:eastAsia="Calibri" w:hAnsi="Arial" w:cs="Arial"/>
                <w:b/>
                <w:u w:val="single"/>
              </w:rPr>
            </w:pPr>
          </w:p>
          <w:p w14:paraId="09C3EAC9" w14:textId="74B417E3" w:rsidR="00170F95" w:rsidRDefault="00170F95" w:rsidP="00C95525">
            <w:pPr>
              <w:jc w:val="center"/>
              <w:rPr>
                <w:rFonts w:ascii="Arial" w:eastAsia="Calibri" w:hAnsi="Arial" w:cs="Arial"/>
                <w:b/>
                <w:u w:val="single"/>
              </w:rPr>
            </w:pPr>
          </w:p>
          <w:p w14:paraId="3C056477" w14:textId="35435F6D" w:rsidR="00170F95" w:rsidRDefault="00170F95" w:rsidP="00C95525">
            <w:pPr>
              <w:jc w:val="center"/>
              <w:rPr>
                <w:rFonts w:ascii="Arial" w:eastAsia="Calibri" w:hAnsi="Arial" w:cs="Arial"/>
                <w:b/>
                <w:u w:val="single"/>
              </w:rPr>
            </w:pPr>
            <w:r>
              <w:rPr>
                <w:rFonts w:ascii="Arial" w:eastAsia="Calibri" w:hAnsi="Arial" w:cs="Arial"/>
                <w:b/>
                <w:u w:val="single"/>
              </w:rPr>
              <w:t>99.15%</w:t>
            </w:r>
          </w:p>
          <w:p w14:paraId="14D30022" w14:textId="64758DC2" w:rsidR="00170F95" w:rsidRDefault="00170F95" w:rsidP="00C95525">
            <w:pPr>
              <w:jc w:val="center"/>
              <w:rPr>
                <w:rFonts w:ascii="Arial" w:eastAsia="Calibri" w:hAnsi="Arial" w:cs="Arial"/>
                <w:b/>
                <w:u w:val="single"/>
              </w:rPr>
            </w:pPr>
            <w:r>
              <w:rPr>
                <w:rFonts w:ascii="Arial" w:eastAsia="Calibri" w:hAnsi="Arial" w:cs="Arial"/>
                <w:b/>
                <w:u w:val="single"/>
              </w:rPr>
              <w:t>94.67%</w:t>
            </w:r>
          </w:p>
          <w:p w14:paraId="4490FE72" w14:textId="1D747731" w:rsidR="00170F95" w:rsidRDefault="00170F95" w:rsidP="00C95525">
            <w:pPr>
              <w:jc w:val="center"/>
              <w:rPr>
                <w:rFonts w:ascii="Arial" w:eastAsia="Calibri" w:hAnsi="Arial" w:cs="Arial"/>
                <w:b/>
                <w:u w:val="single"/>
              </w:rPr>
            </w:pPr>
          </w:p>
          <w:p w14:paraId="04DDF3DD" w14:textId="467BF69B" w:rsidR="00170F95" w:rsidRDefault="00170F95" w:rsidP="00170F95">
            <w:pPr>
              <w:jc w:val="center"/>
              <w:rPr>
                <w:rFonts w:ascii="Arial" w:eastAsia="Calibri" w:hAnsi="Arial" w:cs="Arial"/>
                <w:b/>
                <w:u w:val="single"/>
              </w:rPr>
            </w:pPr>
            <w:r>
              <w:rPr>
                <w:rFonts w:ascii="Arial" w:eastAsia="Calibri" w:hAnsi="Arial" w:cs="Arial"/>
                <w:b/>
                <w:u w:val="single"/>
              </w:rPr>
              <w:t>97.96%</w:t>
            </w:r>
          </w:p>
        </w:tc>
        <w:tc>
          <w:tcPr>
            <w:tcW w:w="1804" w:type="dxa"/>
          </w:tcPr>
          <w:p w14:paraId="474FD27D" w14:textId="2F86394D" w:rsidR="00170F95" w:rsidRDefault="00170F95" w:rsidP="002551C6">
            <w:pPr>
              <w:jc w:val="center"/>
              <w:rPr>
                <w:rFonts w:ascii="Arial" w:eastAsia="Calibri" w:hAnsi="Arial" w:cs="Arial"/>
                <w:b/>
                <w:u w:val="single"/>
              </w:rPr>
            </w:pPr>
          </w:p>
          <w:p w14:paraId="4B511C06" w14:textId="7493CA98" w:rsidR="00170F95" w:rsidRDefault="00170F95" w:rsidP="002551C6">
            <w:pPr>
              <w:jc w:val="center"/>
              <w:rPr>
                <w:rFonts w:ascii="Arial" w:eastAsia="Calibri" w:hAnsi="Arial" w:cs="Arial"/>
                <w:b/>
                <w:u w:val="single"/>
              </w:rPr>
            </w:pPr>
          </w:p>
          <w:p w14:paraId="64D01FF1" w14:textId="5421C8B3" w:rsidR="00170F95" w:rsidRDefault="00170F95" w:rsidP="002551C6">
            <w:pPr>
              <w:jc w:val="center"/>
              <w:rPr>
                <w:rFonts w:ascii="Arial" w:eastAsia="Calibri" w:hAnsi="Arial" w:cs="Arial"/>
                <w:b/>
                <w:u w:val="single"/>
              </w:rPr>
            </w:pPr>
          </w:p>
          <w:p w14:paraId="2F1D5518" w14:textId="1C49B2A5" w:rsidR="00170F95" w:rsidRDefault="00170F95" w:rsidP="002551C6">
            <w:pPr>
              <w:jc w:val="center"/>
              <w:rPr>
                <w:rFonts w:ascii="Arial" w:eastAsia="Calibri" w:hAnsi="Arial" w:cs="Arial"/>
                <w:b/>
                <w:u w:val="single"/>
              </w:rPr>
            </w:pPr>
          </w:p>
          <w:p w14:paraId="525724E7" w14:textId="2882D024" w:rsidR="00170F95" w:rsidRDefault="00170F95" w:rsidP="002551C6">
            <w:pPr>
              <w:jc w:val="center"/>
              <w:rPr>
                <w:rFonts w:ascii="Arial" w:eastAsia="Calibri" w:hAnsi="Arial" w:cs="Arial"/>
                <w:b/>
                <w:u w:val="single"/>
              </w:rPr>
            </w:pPr>
          </w:p>
          <w:p w14:paraId="3D77C51A" w14:textId="0508BF56" w:rsidR="00170F95" w:rsidRDefault="00170F95" w:rsidP="002551C6">
            <w:pPr>
              <w:jc w:val="center"/>
              <w:rPr>
                <w:rFonts w:ascii="Arial" w:eastAsia="Calibri" w:hAnsi="Arial" w:cs="Arial"/>
                <w:b/>
                <w:u w:val="single"/>
              </w:rPr>
            </w:pPr>
            <w:r>
              <w:rPr>
                <w:rFonts w:ascii="Arial" w:eastAsia="Calibri" w:hAnsi="Arial" w:cs="Arial"/>
                <w:b/>
                <w:u w:val="single"/>
              </w:rPr>
              <w:t>77.71%</w:t>
            </w:r>
          </w:p>
          <w:p w14:paraId="7397A5E5" w14:textId="2CBE95B8" w:rsidR="00170F95" w:rsidRDefault="00170F95" w:rsidP="002551C6">
            <w:pPr>
              <w:jc w:val="center"/>
              <w:rPr>
                <w:rFonts w:ascii="Arial" w:eastAsia="Calibri" w:hAnsi="Arial" w:cs="Arial"/>
                <w:b/>
                <w:u w:val="single"/>
              </w:rPr>
            </w:pPr>
            <w:r>
              <w:rPr>
                <w:rFonts w:ascii="Arial" w:eastAsia="Calibri" w:hAnsi="Arial" w:cs="Arial"/>
                <w:b/>
                <w:u w:val="single"/>
              </w:rPr>
              <w:t>20.65%</w:t>
            </w:r>
          </w:p>
          <w:p w14:paraId="278DC532" w14:textId="0B437C5E" w:rsidR="00170F95" w:rsidRDefault="00170F95" w:rsidP="002551C6">
            <w:pPr>
              <w:jc w:val="center"/>
              <w:rPr>
                <w:rFonts w:ascii="Arial" w:eastAsia="Calibri" w:hAnsi="Arial" w:cs="Arial"/>
                <w:b/>
                <w:u w:val="single"/>
              </w:rPr>
            </w:pPr>
          </w:p>
          <w:p w14:paraId="51E12772" w14:textId="175DB268" w:rsidR="00170F95" w:rsidRDefault="00170F95" w:rsidP="00170F95">
            <w:pPr>
              <w:jc w:val="center"/>
              <w:rPr>
                <w:rFonts w:ascii="Arial" w:eastAsia="Calibri" w:hAnsi="Arial" w:cs="Arial"/>
                <w:b/>
                <w:u w:val="single"/>
              </w:rPr>
            </w:pPr>
            <w:r>
              <w:rPr>
                <w:rFonts w:ascii="Arial" w:eastAsia="Calibri" w:hAnsi="Arial" w:cs="Arial"/>
                <w:b/>
                <w:u w:val="single"/>
              </w:rPr>
              <w:t>62.51%</w:t>
            </w:r>
          </w:p>
        </w:tc>
        <w:tc>
          <w:tcPr>
            <w:tcW w:w="2042" w:type="dxa"/>
          </w:tcPr>
          <w:p w14:paraId="1FFB56E8" w14:textId="77777777" w:rsidR="00170F95" w:rsidRDefault="00170F95" w:rsidP="002551C6">
            <w:pPr>
              <w:jc w:val="center"/>
              <w:rPr>
                <w:rFonts w:ascii="Arial" w:eastAsia="Calibri" w:hAnsi="Arial" w:cs="Arial"/>
                <w:b/>
                <w:u w:val="single"/>
              </w:rPr>
            </w:pPr>
          </w:p>
          <w:p w14:paraId="07A6370A" w14:textId="77777777" w:rsidR="00170F95" w:rsidRDefault="00170F95" w:rsidP="002551C6">
            <w:pPr>
              <w:jc w:val="center"/>
              <w:rPr>
                <w:rFonts w:ascii="Arial" w:eastAsia="Calibri" w:hAnsi="Arial" w:cs="Arial"/>
                <w:b/>
                <w:u w:val="single"/>
              </w:rPr>
            </w:pPr>
          </w:p>
          <w:p w14:paraId="30DBF65D" w14:textId="77777777" w:rsidR="00170F95" w:rsidRDefault="00170F95" w:rsidP="002551C6">
            <w:pPr>
              <w:jc w:val="center"/>
              <w:rPr>
                <w:rFonts w:ascii="Arial" w:eastAsia="Calibri" w:hAnsi="Arial" w:cs="Arial"/>
                <w:b/>
                <w:u w:val="single"/>
              </w:rPr>
            </w:pPr>
          </w:p>
          <w:p w14:paraId="33A99C25" w14:textId="77777777" w:rsidR="00170F95" w:rsidRDefault="00170F95" w:rsidP="002551C6">
            <w:pPr>
              <w:jc w:val="center"/>
              <w:rPr>
                <w:rFonts w:ascii="Arial" w:eastAsia="Calibri" w:hAnsi="Arial" w:cs="Arial"/>
                <w:b/>
                <w:u w:val="single"/>
              </w:rPr>
            </w:pPr>
          </w:p>
          <w:p w14:paraId="227A336A" w14:textId="77777777" w:rsidR="00170F95" w:rsidRDefault="00170F95" w:rsidP="002551C6">
            <w:pPr>
              <w:jc w:val="center"/>
              <w:rPr>
                <w:rFonts w:ascii="Arial" w:eastAsia="Calibri" w:hAnsi="Arial" w:cs="Arial"/>
                <w:b/>
                <w:u w:val="single"/>
              </w:rPr>
            </w:pPr>
          </w:p>
          <w:p w14:paraId="6DBA5526" w14:textId="08DB18A9" w:rsidR="00170F95" w:rsidRDefault="00170F95" w:rsidP="002551C6">
            <w:pPr>
              <w:jc w:val="center"/>
              <w:rPr>
                <w:rFonts w:ascii="Arial" w:eastAsia="Calibri" w:hAnsi="Arial" w:cs="Arial"/>
                <w:b/>
                <w:u w:val="single"/>
              </w:rPr>
            </w:pPr>
            <w:r>
              <w:rPr>
                <w:rFonts w:ascii="Arial" w:eastAsia="Calibri" w:hAnsi="Arial" w:cs="Arial"/>
                <w:b/>
                <w:u w:val="single"/>
              </w:rPr>
              <w:t>77.71%</w:t>
            </w:r>
          </w:p>
          <w:p w14:paraId="66F88CFF" w14:textId="422D5983" w:rsidR="00170F95" w:rsidRDefault="00170F95" w:rsidP="002551C6">
            <w:pPr>
              <w:jc w:val="center"/>
              <w:rPr>
                <w:rFonts w:ascii="Arial" w:eastAsia="Calibri" w:hAnsi="Arial" w:cs="Arial"/>
                <w:b/>
                <w:u w:val="single"/>
              </w:rPr>
            </w:pPr>
            <w:r>
              <w:rPr>
                <w:rFonts w:ascii="Arial" w:eastAsia="Calibri" w:hAnsi="Arial" w:cs="Arial"/>
                <w:b/>
                <w:u w:val="single"/>
              </w:rPr>
              <w:t>20.65%</w:t>
            </w:r>
          </w:p>
          <w:p w14:paraId="10357A84" w14:textId="77777777" w:rsidR="00170F95" w:rsidRDefault="00170F95" w:rsidP="002551C6">
            <w:pPr>
              <w:jc w:val="center"/>
              <w:rPr>
                <w:rFonts w:ascii="Arial" w:eastAsia="Calibri" w:hAnsi="Arial" w:cs="Arial"/>
                <w:b/>
                <w:u w:val="single"/>
              </w:rPr>
            </w:pPr>
          </w:p>
          <w:p w14:paraId="45B3292A" w14:textId="440C11C6" w:rsidR="00170F95" w:rsidRDefault="00170F95" w:rsidP="002551C6">
            <w:pPr>
              <w:jc w:val="center"/>
              <w:rPr>
                <w:rFonts w:ascii="Arial" w:eastAsia="Calibri" w:hAnsi="Arial" w:cs="Arial"/>
                <w:b/>
                <w:u w:val="single"/>
              </w:rPr>
            </w:pPr>
            <w:r>
              <w:rPr>
                <w:rFonts w:ascii="Arial" w:eastAsia="Calibri" w:hAnsi="Arial" w:cs="Arial"/>
                <w:b/>
                <w:u w:val="single"/>
              </w:rPr>
              <w:t>62.51%</w:t>
            </w:r>
          </w:p>
        </w:tc>
      </w:tr>
      <w:tr w:rsidR="00D4386F" w:rsidRPr="004B1294" w14:paraId="65C7BAAD" w14:textId="77777777" w:rsidTr="00042E94">
        <w:tc>
          <w:tcPr>
            <w:tcW w:w="1550" w:type="dxa"/>
          </w:tcPr>
          <w:p w14:paraId="5F6F083E" w14:textId="04694112" w:rsidR="00D4386F" w:rsidRDefault="00D4386F" w:rsidP="002551C6">
            <w:pPr>
              <w:jc w:val="center"/>
              <w:rPr>
                <w:rFonts w:ascii="Arial" w:hAnsi="Arial" w:cs="Arial"/>
                <w:b/>
              </w:rPr>
            </w:pPr>
            <w:r>
              <w:rPr>
                <w:rFonts w:ascii="Arial" w:hAnsi="Arial" w:cs="Arial"/>
                <w:b/>
              </w:rPr>
              <w:lastRenderedPageBreak/>
              <w:t>130</w:t>
            </w:r>
          </w:p>
        </w:tc>
        <w:tc>
          <w:tcPr>
            <w:tcW w:w="3255" w:type="dxa"/>
          </w:tcPr>
          <w:p w14:paraId="5FCA7857" w14:textId="117E6A01" w:rsidR="00D4386F" w:rsidRPr="00D4386F" w:rsidRDefault="00D4386F" w:rsidP="00D4386F">
            <w:pPr>
              <w:jc w:val="both"/>
              <w:rPr>
                <w:rFonts w:ascii="Arial" w:hAnsi="Arial" w:cs="Arial"/>
                <w:b/>
                <w:lang w:val="es-MX"/>
              </w:rPr>
            </w:pPr>
            <w:r w:rsidRPr="00D4386F">
              <w:rPr>
                <w:rFonts w:ascii="Arial" w:hAnsi="Arial" w:cs="Arial"/>
                <w:b/>
                <w:lang w:val="es-MX"/>
              </w:rPr>
              <w:t>U.A.E. JUNTA CENTRAL DE CONTADORES.</w:t>
            </w:r>
          </w:p>
          <w:p w14:paraId="07935259" w14:textId="77777777" w:rsidR="00D4386F" w:rsidRDefault="00D4386F" w:rsidP="00D4386F">
            <w:pPr>
              <w:ind w:firstLine="708"/>
              <w:jc w:val="both"/>
              <w:rPr>
                <w:rFonts w:ascii="Arial" w:hAnsi="Arial" w:cs="Arial"/>
                <w:b/>
              </w:rPr>
            </w:pPr>
          </w:p>
          <w:p w14:paraId="1B5F428E" w14:textId="77777777" w:rsidR="00D4386F" w:rsidRDefault="00D4386F" w:rsidP="00D4386F">
            <w:pPr>
              <w:jc w:val="both"/>
              <w:rPr>
                <w:rFonts w:ascii="Arial" w:hAnsi="Arial" w:cs="Arial"/>
                <w:b/>
                <w:lang w:val="es-MX"/>
              </w:rPr>
            </w:pPr>
            <w:r>
              <w:rPr>
                <w:rFonts w:ascii="Arial" w:hAnsi="Arial" w:cs="Arial"/>
                <w:b/>
                <w:lang w:val="es-MX"/>
              </w:rPr>
              <w:t>FUNCIONAMIENTO</w:t>
            </w:r>
          </w:p>
          <w:p w14:paraId="3088F091" w14:textId="77777777" w:rsidR="00D4386F" w:rsidRDefault="00D4386F" w:rsidP="00D4386F">
            <w:pPr>
              <w:jc w:val="both"/>
              <w:rPr>
                <w:rFonts w:ascii="Arial" w:hAnsi="Arial" w:cs="Arial"/>
                <w:b/>
                <w:lang w:val="es-MX"/>
              </w:rPr>
            </w:pPr>
            <w:r>
              <w:rPr>
                <w:rFonts w:ascii="Arial" w:hAnsi="Arial" w:cs="Arial"/>
                <w:b/>
                <w:lang w:val="es-MX"/>
              </w:rPr>
              <w:t>INVERSIÓN</w:t>
            </w:r>
          </w:p>
          <w:p w14:paraId="1081C03F" w14:textId="77777777" w:rsidR="00D4386F" w:rsidRDefault="00D4386F" w:rsidP="00D4386F">
            <w:pPr>
              <w:jc w:val="both"/>
              <w:rPr>
                <w:rFonts w:ascii="Arial" w:hAnsi="Arial" w:cs="Arial"/>
                <w:b/>
                <w:lang w:val="es-MX"/>
              </w:rPr>
            </w:pPr>
          </w:p>
          <w:p w14:paraId="419C27C9" w14:textId="5CB8F4FF" w:rsidR="00D4386F" w:rsidRPr="00170F95" w:rsidRDefault="00D4386F" w:rsidP="00D4386F">
            <w:pPr>
              <w:rPr>
                <w:rFonts w:ascii="Arial" w:hAnsi="Arial" w:cs="Arial"/>
                <w:b/>
              </w:rPr>
            </w:pPr>
            <w:r>
              <w:rPr>
                <w:rFonts w:ascii="Arial" w:hAnsi="Arial" w:cs="Arial"/>
                <w:b/>
                <w:lang w:val="es-MX"/>
              </w:rPr>
              <w:t>TOTAL PRESUPUESTO</w:t>
            </w:r>
          </w:p>
        </w:tc>
        <w:tc>
          <w:tcPr>
            <w:tcW w:w="1839" w:type="dxa"/>
          </w:tcPr>
          <w:p w14:paraId="1C3BFA07" w14:textId="77777777" w:rsidR="00D4386F" w:rsidRDefault="00D4386F" w:rsidP="00C95525">
            <w:pPr>
              <w:jc w:val="center"/>
              <w:rPr>
                <w:rFonts w:ascii="Arial" w:eastAsia="Calibri" w:hAnsi="Arial" w:cs="Arial"/>
                <w:b/>
                <w:u w:val="single"/>
              </w:rPr>
            </w:pPr>
          </w:p>
          <w:p w14:paraId="53661D72" w14:textId="77777777" w:rsidR="00D4386F" w:rsidRDefault="00D4386F" w:rsidP="00C95525">
            <w:pPr>
              <w:jc w:val="center"/>
              <w:rPr>
                <w:rFonts w:ascii="Arial" w:eastAsia="Calibri" w:hAnsi="Arial" w:cs="Arial"/>
                <w:b/>
                <w:u w:val="single"/>
              </w:rPr>
            </w:pPr>
          </w:p>
          <w:p w14:paraId="219B5488" w14:textId="77777777" w:rsidR="00D4386F" w:rsidRDefault="00D4386F" w:rsidP="00C95525">
            <w:pPr>
              <w:jc w:val="center"/>
              <w:rPr>
                <w:rFonts w:ascii="Arial" w:eastAsia="Calibri" w:hAnsi="Arial" w:cs="Arial"/>
                <w:b/>
                <w:u w:val="single"/>
              </w:rPr>
            </w:pPr>
          </w:p>
          <w:p w14:paraId="126951E4" w14:textId="42175144" w:rsidR="00D4386F" w:rsidRDefault="00D4386F" w:rsidP="00C95525">
            <w:pPr>
              <w:jc w:val="center"/>
              <w:rPr>
                <w:rFonts w:ascii="Arial" w:eastAsia="Calibri" w:hAnsi="Arial" w:cs="Arial"/>
                <w:b/>
                <w:u w:val="single"/>
              </w:rPr>
            </w:pPr>
            <w:r>
              <w:rPr>
                <w:rFonts w:ascii="Arial" w:eastAsia="Calibri" w:hAnsi="Arial" w:cs="Arial"/>
                <w:b/>
                <w:u w:val="single"/>
              </w:rPr>
              <w:t>80.18%</w:t>
            </w:r>
          </w:p>
          <w:p w14:paraId="45DCE750" w14:textId="4BC557F3" w:rsidR="00D4386F" w:rsidRDefault="00D4386F" w:rsidP="00C95525">
            <w:pPr>
              <w:jc w:val="center"/>
              <w:rPr>
                <w:rFonts w:ascii="Arial" w:eastAsia="Calibri" w:hAnsi="Arial" w:cs="Arial"/>
                <w:b/>
                <w:u w:val="single"/>
              </w:rPr>
            </w:pPr>
            <w:r>
              <w:rPr>
                <w:rFonts w:ascii="Arial" w:eastAsia="Calibri" w:hAnsi="Arial" w:cs="Arial"/>
                <w:b/>
                <w:u w:val="single"/>
              </w:rPr>
              <w:t>63.40%</w:t>
            </w:r>
          </w:p>
          <w:p w14:paraId="34DB89FB" w14:textId="77777777" w:rsidR="00D4386F" w:rsidRDefault="00D4386F" w:rsidP="00C95525">
            <w:pPr>
              <w:jc w:val="center"/>
              <w:rPr>
                <w:rFonts w:ascii="Arial" w:eastAsia="Calibri" w:hAnsi="Arial" w:cs="Arial"/>
                <w:b/>
                <w:u w:val="single"/>
              </w:rPr>
            </w:pPr>
          </w:p>
          <w:p w14:paraId="1EAF2E20" w14:textId="16F5C5BD" w:rsidR="00D4386F" w:rsidRDefault="00D4386F" w:rsidP="00C95525">
            <w:pPr>
              <w:jc w:val="center"/>
              <w:rPr>
                <w:rFonts w:ascii="Arial" w:eastAsia="Calibri" w:hAnsi="Arial" w:cs="Arial"/>
                <w:b/>
                <w:u w:val="single"/>
              </w:rPr>
            </w:pPr>
            <w:r>
              <w:rPr>
                <w:rFonts w:ascii="Arial" w:eastAsia="Calibri" w:hAnsi="Arial" w:cs="Arial"/>
                <w:b/>
                <w:u w:val="single"/>
              </w:rPr>
              <w:t>70.58%</w:t>
            </w:r>
          </w:p>
        </w:tc>
        <w:tc>
          <w:tcPr>
            <w:tcW w:w="1804" w:type="dxa"/>
          </w:tcPr>
          <w:p w14:paraId="20AB6DA4" w14:textId="77777777" w:rsidR="00D4386F" w:rsidRDefault="00D4386F" w:rsidP="002551C6">
            <w:pPr>
              <w:jc w:val="center"/>
              <w:rPr>
                <w:rFonts w:ascii="Arial" w:eastAsia="Calibri" w:hAnsi="Arial" w:cs="Arial"/>
                <w:b/>
                <w:u w:val="single"/>
              </w:rPr>
            </w:pPr>
          </w:p>
          <w:p w14:paraId="4B2CBCBF" w14:textId="77777777" w:rsidR="00D4386F" w:rsidRDefault="00D4386F" w:rsidP="002551C6">
            <w:pPr>
              <w:jc w:val="center"/>
              <w:rPr>
                <w:rFonts w:ascii="Arial" w:eastAsia="Calibri" w:hAnsi="Arial" w:cs="Arial"/>
                <w:b/>
                <w:u w:val="single"/>
              </w:rPr>
            </w:pPr>
          </w:p>
          <w:p w14:paraId="2B989E2C" w14:textId="77777777" w:rsidR="00D4386F" w:rsidRDefault="00D4386F" w:rsidP="002551C6">
            <w:pPr>
              <w:jc w:val="center"/>
              <w:rPr>
                <w:rFonts w:ascii="Arial" w:eastAsia="Calibri" w:hAnsi="Arial" w:cs="Arial"/>
                <w:b/>
                <w:u w:val="single"/>
              </w:rPr>
            </w:pPr>
          </w:p>
          <w:p w14:paraId="42286DAB" w14:textId="0CCE6D5B" w:rsidR="00D4386F" w:rsidRDefault="00D4386F" w:rsidP="002551C6">
            <w:pPr>
              <w:jc w:val="center"/>
              <w:rPr>
                <w:rFonts w:ascii="Arial" w:eastAsia="Calibri" w:hAnsi="Arial" w:cs="Arial"/>
                <w:b/>
                <w:u w:val="single"/>
              </w:rPr>
            </w:pPr>
            <w:r>
              <w:rPr>
                <w:rFonts w:ascii="Arial" w:eastAsia="Calibri" w:hAnsi="Arial" w:cs="Arial"/>
                <w:b/>
                <w:u w:val="single"/>
              </w:rPr>
              <w:t>77.65%</w:t>
            </w:r>
          </w:p>
          <w:p w14:paraId="25CD4ECD" w14:textId="2C33791E" w:rsidR="00D4386F" w:rsidRDefault="00D4386F" w:rsidP="002551C6">
            <w:pPr>
              <w:jc w:val="center"/>
              <w:rPr>
                <w:rFonts w:ascii="Arial" w:eastAsia="Calibri" w:hAnsi="Arial" w:cs="Arial"/>
                <w:b/>
                <w:u w:val="single"/>
              </w:rPr>
            </w:pPr>
            <w:r>
              <w:rPr>
                <w:rFonts w:ascii="Arial" w:eastAsia="Calibri" w:hAnsi="Arial" w:cs="Arial"/>
                <w:b/>
                <w:u w:val="single"/>
              </w:rPr>
              <w:t>61.71%</w:t>
            </w:r>
          </w:p>
          <w:p w14:paraId="21E99458" w14:textId="77777777" w:rsidR="00D4386F" w:rsidRDefault="00D4386F" w:rsidP="002551C6">
            <w:pPr>
              <w:jc w:val="center"/>
              <w:rPr>
                <w:rFonts w:ascii="Arial" w:eastAsia="Calibri" w:hAnsi="Arial" w:cs="Arial"/>
                <w:b/>
                <w:u w:val="single"/>
              </w:rPr>
            </w:pPr>
          </w:p>
          <w:p w14:paraId="41894EE0" w14:textId="04245166" w:rsidR="00D4386F" w:rsidRDefault="00D4386F" w:rsidP="002551C6">
            <w:pPr>
              <w:jc w:val="center"/>
              <w:rPr>
                <w:rFonts w:ascii="Arial" w:eastAsia="Calibri" w:hAnsi="Arial" w:cs="Arial"/>
                <w:b/>
                <w:u w:val="single"/>
              </w:rPr>
            </w:pPr>
            <w:r>
              <w:rPr>
                <w:rFonts w:ascii="Arial" w:eastAsia="Calibri" w:hAnsi="Arial" w:cs="Arial"/>
                <w:b/>
                <w:u w:val="single"/>
              </w:rPr>
              <w:t>68.52%</w:t>
            </w:r>
          </w:p>
        </w:tc>
        <w:tc>
          <w:tcPr>
            <w:tcW w:w="2042" w:type="dxa"/>
          </w:tcPr>
          <w:p w14:paraId="63D49936" w14:textId="77777777" w:rsidR="00D4386F" w:rsidRDefault="00D4386F" w:rsidP="002551C6">
            <w:pPr>
              <w:jc w:val="center"/>
              <w:rPr>
                <w:rFonts w:ascii="Arial" w:eastAsia="Calibri" w:hAnsi="Arial" w:cs="Arial"/>
                <w:b/>
                <w:u w:val="single"/>
              </w:rPr>
            </w:pPr>
          </w:p>
          <w:p w14:paraId="0AC41778" w14:textId="77777777" w:rsidR="00D4386F" w:rsidRDefault="00D4386F" w:rsidP="002551C6">
            <w:pPr>
              <w:jc w:val="center"/>
              <w:rPr>
                <w:rFonts w:ascii="Arial" w:eastAsia="Calibri" w:hAnsi="Arial" w:cs="Arial"/>
                <w:b/>
                <w:u w:val="single"/>
              </w:rPr>
            </w:pPr>
          </w:p>
          <w:p w14:paraId="51B743E9" w14:textId="77777777" w:rsidR="00D4386F" w:rsidRDefault="00D4386F" w:rsidP="002551C6">
            <w:pPr>
              <w:jc w:val="center"/>
              <w:rPr>
                <w:rFonts w:ascii="Arial" w:eastAsia="Calibri" w:hAnsi="Arial" w:cs="Arial"/>
                <w:b/>
                <w:u w:val="single"/>
              </w:rPr>
            </w:pPr>
          </w:p>
          <w:p w14:paraId="791FC679" w14:textId="15587246" w:rsidR="00D4386F" w:rsidRDefault="00D4386F" w:rsidP="002551C6">
            <w:pPr>
              <w:jc w:val="center"/>
              <w:rPr>
                <w:rFonts w:ascii="Arial" w:eastAsia="Calibri" w:hAnsi="Arial" w:cs="Arial"/>
                <w:b/>
                <w:u w:val="single"/>
              </w:rPr>
            </w:pPr>
            <w:r>
              <w:rPr>
                <w:rFonts w:ascii="Arial" w:eastAsia="Calibri" w:hAnsi="Arial" w:cs="Arial"/>
                <w:b/>
                <w:u w:val="single"/>
              </w:rPr>
              <w:t>73.20%</w:t>
            </w:r>
          </w:p>
          <w:p w14:paraId="5B72AA17" w14:textId="6E9E7EAD" w:rsidR="00D4386F" w:rsidRDefault="00D4386F" w:rsidP="002551C6">
            <w:pPr>
              <w:jc w:val="center"/>
              <w:rPr>
                <w:rFonts w:ascii="Arial" w:eastAsia="Calibri" w:hAnsi="Arial" w:cs="Arial"/>
                <w:b/>
                <w:u w:val="single"/>
              </w:rPr>
            </w:pPr>
            <w:r>
              <w:rPr>
                <w:rFonts w:ascii="Arial" w:eastAsia="Calibri" w:hAnsi="Arial" w:cs="Arial"/>
                <w:b/>
                <w:u w:val="single"/>
              </w:rPr>
              <w:t>55.81%</w:t>
            </w:r>
          </w:p>
          <w:p w14:paraId="762849F5" w14:textId="77777777" w:rsidR="00D4386F" w:rsidRDefault="00D4386F" w:rsidP="00D4386F">
            <w:pPr>
              <w:jc w:val="center"/>
              <w:rPr>
                <w:rFonts w:ascii="Arial" w:eastAsia="Calibri" w:hAnsi="Arial" w:cs="Arial"/>
                <w:b/>
                <w:u w:val="single"/>
              </w:rPr>
            </w:pPr>
          </w:p>
          <w:p w14:paraId="4BA3CBA1" w14:textId="30B41C75" w:rsidR="00D4386F" w:rsidRDefault="00D4386F" w:rsidP="00D4386F">
            <w:pPr>
              <w:jc w:val="center"/>
              <w:rPr>
                <w:rFonts w:ascii="Arial" w:eastAsia="Calibri" w:hAnsi="Arial" w:cs="Arial"/>
                <w:b/>
                <w:u w:val="single"/>
              </w:rPr>
            </w:pPr>
            <w:r>
              <w:rPr>
                <w:rFonts w:ascii="Arial" w:eastAsia="Calibri" w:hAnsi="Arial" w:cs="Arial"/>
                <w:b/>
                <w:u w:val="single"/>
              </w:rPr>
              <w:t>63.24%</w:t>
            </w:r>
          </w:p>
        </w:tc>
      </w:tr>
      <w:tr w:rsidR="008D05A2" w:rsidRPr="004B1294" w14:paraId="5090F3CC" w14:textId="77777777" w:rsidTr="00042E94">
        <w:tc>
          <w:tcPr>
            <w:tcW w:w="1550" w:type="dxa"/>
          </w:tcPr>
          <w:p w14:paraId="22DA0454" w14:textId="7481BAF8" w:rsidR="008D05A2" w:rsidRDefault="008D05A2" w:rsidP="002551C6">
            <w:pPr>
              <w:jc w:val="center"/>
              <w:rPr>
                <w:rFonts w:ascii="Arial" w:hAnsi="Arial" w:cs="Arial"/>
                <w:b/>
              </w:rPr>
            </w:pPr>
            <w:r>
              <w:rPr>
                <w:rFonts w:ascii="Arial" w:hAnsi="Arial" w:cs="Arial"/>
                <w:b/>
              </w:rPr>
              <w:t>133</w:t>
            </w:r>
          </w:p>
        </w:tc>
        <w:tc>
          <w:tcPr>
            <w:tcW w:w="3255" w:type="dxa"/>
          </w:tcPr>
          <w:p w14:paraId="63E5AEC0" w14:textId="332D5142" w:rsidR="008D05A2" w:rsidRPr="008D05A2" w:rsidRDefault="008D05A2" w:rsidP="008D05A2">
            <w:pPr>
              <w:jc w:val="both"/>
              <w:rPr>
                <w:rFonts w:ascii="Arial" w:hAnsi="Arial" w:cs="Arial"/>
                <w:b/>
              </w:rPr>
            </w:pPr>
            <w:r w:rsidRPr="008D05A2">
              <w:rPr>
                <w:rFonts w:ascii="Arial" w:hAnsi="Arial" w:cs="Arial"/>
                <w:b/>
                <w:lang w:val="es-MX"/>
              </w:rPr>
              <w:t>FONDO ADAPTACIÓN.</w:t>
            </w:r>
          </w:p>
          <w:p w14:paraId="61D64884" w14:textId="77777777" w:rsidR="008D05A2" w:rsidRDefault="008D05A2" w:rsidP="00D4386F">
            <w:pPr>
              <w:jc w:val="both"/>
              <w:rPr>
                <w:rFonts w:ascii="Arial" w:hAnsi="Arial" w:cs="Arial"/>
                <w:b/>
                <w:lang w:val="es-MX"/>
              </w:rPr>
            </w:pPr>
          </w:p>
          <w:p w14:paraId="303B30BC" w14:textId="77777777" w:rsidR="008D05A2" w:rsidRDefault="008D05A2" w:rsidP="008D05A2">
            <w:pPr>
              <w:jc w:val="both"/>
              <w:rPr>
                <w:rFonts w:ascii="Arial" w:hAnsi="Arial" w:cs="Arial"/>
                <w:b/>
                <w:lang w:val="es-MX"/>
              </w:rPr>
            </w:pPr>
            <w:r>
              <w:rPr>
                <w:rFonts w:ascii="Arial" w:hAnsi="Arial" w:cs="Arial"/>
                <w:b/>
                <w:lang w:val="es-MX"/>
              </w:rPr>
              <w:t>FUNCIONAMIENTO</w:t>
            </w:r>
          </w:p>
          <w:p w14:paraId="69C96EB7" w14:textId="77777777" w:rsidR="008D05A2" w:rsidRDefault="008D05A2" w:rsidP="008D05A2">
            <w:pPr>
              <w:jc w:val="both"/>
              <w:rPr>
                <w:rFonts w:ascii="Arial" w:hAnsi="Arial" w:cs="Arial"/>
                <w:b/>
                <w:lang w:val="es-MX"/>
              </w:rPr>
            </w:pPr>
            <w:r>
              <w:rPr>
                <w:rFonts w:ascii="Arial" w:hAnsi="Arial" w:cs="Arial"/>
                <w:b/>
                <w:lang w:val="es-MX"/>
              </w:rPr>
              <w:t>INVERSIÓN</w:t>
            </w:r>
          </w:p>
          <w:p w14:paraId="6FA95B30" w14:textId="77777777" w:rsidR="008D05A2" w:rsidRDefault="008D05A2" w:rsidP="008D05A2">
            <w:pPr>
              <w:jc w:val="both"/>
              <w:rPr>
                <w:rFonts w:ascii="Arial" w:hAnsi="Arial" w:cs="Arial"/>
                <w:b/>
                <w:lang w:val="es-MX"/>
              </w:rPr>
            </w:pPr>
          </w:p>
          <w:p w14:paraId="20E4D8BE" w14:textId="4F1C322E" w:rsidR="008D05A2" w:rsidRPr="00D4386F" w:rsidRDefault="008D05A2" w:rsidP="008D05A2">
            <w:pPr>
              <w:jc w:val="both"/>
              <w:rPr>
                <w:rFonts w:ascii="Arial" w:hAnsi="Arial" w:cs="Arial"/>
                <w:b/>
                <w:lang w:val="es-MX"/>
              </w:rPr>
            </w:pPr>
            <w:r>
              <w:rPr>
                <w:rFonts w:ascii="Arial" w:hAnsi="Arial" w:cs="Arial"/>
                <w:b/>
                <w:lang w:val="es-MX"/>
              </w:rPr>
              <w:t>TOTAL PRESUPUESTO</w:t>
            </w:r>
          </w:p>
        </w:tc>
        <w:tc>
          <w:tcPr>
            <w:tcW w:w="1839" w:type="dxa"/>
          </w:tcPr>
          <w:p w14:paraId="1A084C7C" w14:textId="77777777" w:rsidR="008D05A2" w:rsidRDefault="008D05A2" w:rsidP="00C95525">
            <w:pPr>
              <w:jc w:val="center"/>
              <w:rPr>
                <w:rFonts w:ascii="Arial" w:eastAsia="Calibri" w:hAnsi="Arial" w:cs="Arial"/>
                <w:b/>
                <w:u w:val="single"/>
              </w:rPr>
            </w:pPr>
          </w:p>
          <w:p w14:paraId="623D52C7" w14:textId="77777777" w:rsidR="008D05A2" w:rsidRDefault="008D05A2" w:rsidP="00C95525">
            <w:pPr>
              <w:jc w:val="center"/>
              <w:rPr>
                <w:rFonts w:ascii="Arial" w:eastAsia="Calibri" w:hAnsi="Arial" w:cs="Arial"/>
                <w:b/>
                <w:u w:val="single"/>
              </w:rPr>
            </w:pPr>
          </w:p>
          <w:p w14:paraId="65764043" w14:textId="70BD4BAD" w:rsidR="008D05A2" w:rsidRDefault="008D05A2" w:rsidP="00C95525">
            <w:pPr>
              <w:jc w:val="center"/>
              <w:rPr>
                <w:rFonts w:ascii="Arial" w:eastAsia="Calibri" w:hAnsi="Arial" w:cs="Arial"/>
                <w:b/>
                <w:u w:val="single"/>
              </w:rPr>
            </w:pPr>
            <w:r>
              <w:rPr>
                <w:rFonts w:ascii="Arial" w:eastAsia="Calibri" w:hAnsi="Arial" w:cs="Arial"/>
                <w:b/>
                <w:u w:val="single"/>
              </w:rPr>
              <w:t>72.00%</w:t>
            </w:r>
          </w:p>
          <w:p w14:paraId="1273E66F" w14:textId="15854F1D" w:rsidR="008D05A2" w:rsidRDefault="008D05A2" w:rsidP="00C95525">
            <w:pPr>
              <w:jc w:val="center"/>
              <w:rPr>
                <w:rFonts w:ascii="Arial" w:eastAsia="Calibri" w:hAnsi="Arial" w:cs="Arial"/>
                <w:b/>
                <w:u w:val="single"/>
              </w:rPr>
            </w:pPr>
            <w:r>
              <w:rPr>
                <w:rFonts w:ascii="Arial" w:eastAsia="Calibri" w:hAnsi="Arial" w:cs="Arial"/>
                <w:b/>
                <w:u w:val="single"/>
              </w:rPr>
              <w:t>100.00%</w:t>
            </w:r>
          </w:p>
          <w:p w14:paraId="01D6BBB8" w14:textId="77777777" w:rsidR="008D05A2" w:rsidRDefault="008D05A2" w:rsidP="00C95525">
            <w:pPr>
              <w:jc w:val="center"/>
              <w:rPr>
                <w:rFonts w:ascii="Arial" w:eastAsia="Calibri" w:hAnsi="Arial" w:cs="Arial"/>
                <w:b/>
                <w:u w:val="single"/>
              </w:rPr>
            </w:pPr>
          </w:p>
          <w:p w14:paraId="065BBCC8" w14:textId="25EC33E6" w:rsidR="008D05A2" w:rsidRDefault="008D05A2" w:rsidP="008D05A2">
            <w:pPr>
              <w:jc w:val="center"/>
              <w:rPr>
                <w:rFonts w:ascii="Arial" w:eastAsia="Calibri" w:hAnsi="Arial" w:cs="Arial"/>
                <w:b/>
                <w:u w:val="single"/>
              </w:rPr>
            </w:pPr>
            <w:r>
              <w:rPr>
                <w:rFonts w:ascii="Arial" w:eastAsia="Calibri" w:hAnsi="Arial" w:cs="Arial"/>
                <w:b/>
                <w:u w:val="single"/>
              </w:rPr>
              <w:t>94.00%</w:t>
            </w:r>
          </w:p>
        </w:tc>
        <w:tc>
          <w:tcPr>
            <w:tcW w:w="1804" w:type="dxa"/>
          </w:tcPr>
          <w:p w14:paraId="61FBE3A7" w14:textId="77777777" w:rsidR="008D05A2" w:rsidRDefault="008D05A2" w:rsidP="002551C6">
            <w:pPr>
              <w:jc w:val="center"/>
              <w:rPr>
                <w:rFonts w:ascii="Arial" w:eastAsia="Calibri" w:hAnsi="Arial" w:cs="Arial"/>
                <w:b/>
                <w:u w:val="single"/>
              </w:rPr>
            </w:pPr>
          </w:p>
          <w:p w14:paraId="5EE589B1" w14:textId="77777777" w:rsidR="008D05A2" w:rsidRDefault="008D05A2" w:rsidP="002551C6">
            <w:pPr>
              <w:jc w:val="center"/>
              <w:rPr>
                <w:rFonts w:ascii="Arial" w:eastAsia="Calibri" w:hAnsi="Arial" w:cs="Arial"/>
                <w:b/>
                <w:u w:val="single"/>
              </w:rPr>
            </w:pPr>
          </w:p>
          <w:p w14:paraId="01D232AD" w14:textId="2A7530CE" w:rsidR="008D05A2" w:rsidRDefault="008D05A2" w:rsidP="002551C6">
            <w:pPr>
              <w:jc w:val="center"/>
              <w:rPr>
                <w:rFonts w:ascii="Arial" w:eastAsia="Calibri" w:hAnsi="Arial" w:cs="Arial"/>
                <w:b/>
                <w:u w:val="single"/>
              </w:rPr>
            </w:pPr>
            <w:r>
              <w:rPr>
                <w:rFonts w:ascii="Arial" w:eastAsia="Calibri" w:hAnsi="Arial" w:cs="Arial"/>
                <w:b/>
                <w:u w:val="single"/>
              </w:rPr>
              <w:t>72.00%</w:t>
            </w:r>
          </w:p>
          <w:p w14:paraId="1BD5265C" w14:textId="136168ED" w:rsidR="008D05A2" w:rsidRDefault="008D05A2" w:rsidP="002551C6">
            <w:pPr>
              <w:jc w:val="center"/>
              <w:rPr>
                <w:rFonts w:ascii="Arial" w:eastAsia="Calibri" w:hAnsi="Arial" w:cs="Arial"/>
                <w:b/>
                <w:u w:val="single"/>
              </w:rPr>
            </w:pPr>
            <w:r>
              <w:rPr>
                <w:rFonts w:ascii="Arial" w:eastAsia="Calibri" w:hAnsi="Arial" w:cs="Arial"/>
                <w:b/>
                <w:u w:val="single"/>
              </w:rPr>
              <w:t>14.00%</w:t>
            </w:r>
          </w:p>
          <w:p w14:paraId="752BD960" w14:textId="77777777" w:rsidR="008D05A2" w:rsidRDefault="008D05A2" w:rsidP="002551C6">
            <w:pPr>
              <w:jc w:val="center"/>
              <w:rPr>
                <w:rFonts w:ascii="Arial" w:eastAsia="Calibri" w:hAnsi="Arial" w:cs="Arial"/>
                <w:b/>
                <w:u w:val="single"/>
              </w:rPr>
            </w:pPr>
          </w:p>
          <w:p w14:paraId="0865EA46" w14:textId="787F555B" w:rsidR="008D05A2" w:rsidRDefault="008D05A2" w:rsidP="002551C6">
            <w:pPr>
              <w:jc w:val="center"/>
              <w:rPr>
                <w:rFonts w:ascii="Arial" w:eastAsia="Calibri" w:hAnsi="Arial" w:cs="Arial"/>
                <w:b/>
                <w:u w:val="single"/>
              </w:rPr>
            </w:pPr>
            <w:r>
              <w:rPr>
                <w:rFonts w:ascii="Arial" w:eastAsia="Calibri" w:hAnsi="Arial" w:cs="Arial"/>
                <w:b/>
                <w:u w:val="single"/>
              </w:rPr>
              <w:t>25.00%</w:t>
            </w:r>
          </w:p>
        </w:tc>
        <w:tc>
          <w:tcPr>
            <w:tcW w:w="2042" w:type="dxa"/>
          </w:tcPr>
          <w:p w14:paraId="4B489E26" w14:textId="77777777" w:rsidR="008D05A2" w:rsidRDefault="008D05A2" w:rsidP="002551C6">
            <w:pPr>
              <w:jc w:val="center"/>
              <w:rPr>
                <w:rFonts w:ascii="Arial" w:eastAsia="Calibri" w:hAnsi="Arial" w:cs="Arial"/>
                <w:b/>
                <w:u w:val="single"/>
              </w:rPr>
            </w:pPr>
          </w:p>
          <w:p w14:paraId="4D05AEEA" w14:textId="77777777" w:rsidR="008D05A2" w:rsidRDefault="008D05A2" w:rsidP="002551C6">
            <w:pPr>
              <w:jc w:val="center"/>
              <w:rPr>
                <w:rFonts w:ascii="Arial" w:eastAsia="Calibri" w:hAnsi="Arial" w:cs="Arial"/>
                <w:b/>
                <w:u w:val="single"/>
              </w:rPr>
            </w:pPr>
          </w:p>
          <w:p w14:paraId="14D85B09" w14:textId="5B1312AE" w:rsidR="008D05A2" w:rsidRDefault="008D05A2" w:rsidP="002551C6">
            <w:pPr>
              <w:jc w:val="center"/>
              <w:rPr>
                <w:rFonts w:ascii="Arial" w:eastAsia="Calibri" w:hAnsi="Arial" w:cs="Arial"/>
                <w:b/>
                <w:u w:val="single"/>
              </w:rPr>
            </w:pPr>
            <w:r>
              <w:rPr>
                <w:rFonts w:ascii="Arial" w:eastAsia="Calibri" w:hAnsi="Arial" w:cs="Arial"/>
                <w:b/>
                <w:u w:val="single"/>
              </w:rPr>
              <w:t>68.00%</w:t>
            </w:r>
          </w:p>
          <w:p w14:paraId="01AA509E" w14:textId="13CC551B" w:rsidR="008D05A2" w:rsidRDefault="008D05A2" w:rsidP="002551C6">
            <w:pPr>
              <w:jc w:val="center"/>
              <w:rPr>
                <w:rFonts w:ascii="Arial" w:eastAsia="Calibri" w:hAnsi="Arial" w:cs="Arial"/>
                <w:b/>
                <w:u w:val="single"/>
              </w:rPr>
            </w:pPr>
            <w:r>
              <w:rPr>
                <w:rFonts w:ascii="Arial" w:eastAsia="Calibri" w:hAnsi="Arial" w:cs="Arial"/>
                <w:b/>
                <w:u w:val="single"/>
              </w:rPr>
              <w:t>14.00%</w:t>
            </w:r>
          </w:p>
          <w:p w14:paraId="17ECE461" w14:textId="77777777" w:rsidR="008D05A2" w:rsidRDefault="008D05A2" w:rsidP="002551C6">
            <w:pPr>
              <w:jc w:val="center"/>
              <w:rPr>
                <w:rFonts w:ascii="Arial" w:eastAsia="Calibri" w:hAnsi="Arial" w:cs="Arial"/>
                <w:b/>
                <w:u w:val="single"/>
              </w:rPr>
            </w:pPr>
          </w:p>
          <w:p w14:paraId="48D939F3" w14:textId="2B62DC7B" w:rsidR="008D05A2" w:rsidRDefault="008D05A2" w:rsidP="002551C6">
            <w:pPr>
              <w:jc w:val="center"/>
              <w:rPr>
                <w:rFonts w:ascii="Arial" w:eastAsia="Calibri" w:hAnsi="Arial" w:cs="Arial"/>
                <w:b/>
                <w:u w:val="single"/>
              </w:rPr>
            </w:pPr>
            <w:r>
              <w:rPr>
                <w:rFonts w:ascii="Arial" w:eastAsia="Calibri" w:hAnsi="Arial" w:cs="Arial"/>
                <w:b/>
                <w:u w:val="single"/>
              </w:rPr>
              <w:t>25.00%</w:t>
            </w:r>
          </w:p>
        </w:tc>
      </w:tr>
      <w:tr w:rsidR="00546F60" w:rsidRPr="004B1294" w14:paraId="4C182C46" w14:textId="77777777" w:rsidTr="00042E94">
        <w:tc>
          <w:tcPr>
            <w:tcW w:w="1550" w:type="dxa"/>
          </w:tcPr>
          <w:p w14:paraId="088EFE16" w14:textId="0036A8DC" w:rsidR="00546F60" w:rsidRDefault="00546F60" w:rsidP="002551C6">
            <w:pPr>
              <w:jc w:val="center"/>
              <w:rPr>
                <w:rFonts w:ascii="Arial" w:hAnsi="Arial" w:cs="Arial"/>
                <w:b/>
              </w:rPr>
            </w:pPr>
            <w:r>
              <w:rPr>
                <w:rFonts w:ascii="Arial" w:hAnsi="Arial" w:cs="Arial"/>
                <w:b/>
              </w:rPr>
              <w:t>138</w:t>
            </w:r>
          </w:p>
        </w:tc>
        <w:tc>
          <w:tcPr>
            <w:tcW w:w="3255" w:type="dxa"/>
          </w:tcPr>
          <w:p w14:paraId="3C56C427" w14:textId="77777777" w:rsidR="00546F60" w:rsidRDefault="00546F60" w:rsidP="00546F60">
            <w:pPr>
              <w:jc w:val="both"/>
              <w:rPr>
                <w:rFonts w:ascii="Arial" w:hAnsi="Arial" w:cs="Arial"/>
                <w:b/>
                <w:lang w:val="es-MX"/>
              </w:rPr>
            </w:pPr>
            <w:r w:rsidRPr="00546F60">
              <w:rPr>
                <w:rFonts w:ascii="Arial" w:hAnsi="Arial" w:cs="Arial"/>
                <w:b/>
                <w:lang w:val="es-MX"/>
              </w:rPr>
              <w:t xml:space="preserve"> INSTITUTO NACIONAL DE FORMACIÓN TÉCNICA PROFESIONAL DE SAN ANDRÉS, PROVIDENCIA Y SANTA CATALINA – INFOTEP.</w:t>
            </w:r>
          </w:p>
          <w:p w14:paraId="5FA50897" w14:textId="77777777" w:rsidR="00546F60" w:rsidRDefault="00546F60" w:rsidP="00546F60">
            <w:pPr>
              <w:jc w:val="both"/>
              <w:rPr>
                <w:rFonts w:ascii="Arial" w:hAnsi="Arial" w:cs="Arial"/>
                <w:b/>
                <w:lang w:val="es-MX"/>
              </w:rPr>
            </w:pPr>
          </w:p>
          <w:p w14:paraId="0AFF6856" w14:textId="77777777" w:rsidR="00546F60" w:rsidRDefault="00546F60" w:rsidP="00546F60">
            <w:pPr>
              <w:jc w:val="both"/>
              <w:rPr>
                <w:rFonts w:ascii="Arial" w:hAnsi="Arial" w:cs="Arial"/>
                <w:b/>
                <w:lang w:val="es-MX"/>
              </w:rPr>
            </w:pPr>
            <w:r>
              <w:rPr>
                <w:rFonts w:ascii="Arial" w:hAnsi="Arial" w:cs="Arial"/>
                <w:b/>
                <w:lang w:val="es-MX"/>
              </w:rPr>
              <w:t>FUNCIONAMIENTO</w:t>
            </w:r>
          </w:p>
          <w:p w14:paraId="03526BE9" w14:textId="77777777" w:rsidR="00546F60" w:rsidRDefault="00546F60" w:rsidP="00546F60">
            <w:pPr>
              <w:jc w:val="both"/>
              <w:rPr>
                <w:rFonts w:ascii="Arial" w:hAnsi="Arial" w:cs="Arial"/>
                <w:b/>
                <w:lang w:val="es-MX"/>
              </w:rPr>
            </w:pPr>
            <w:r>
              <w:rPr>
                <w:rFonts w:ascii="Arial" w:hAnsi="Arial" w:cs="Arial"/>
                <w:b/>
                <w:lang w:val="es-MX"/>
              </w:rPr>
              <w:t>INVERSIÓN</w:t>
            </w:r>
          </w:p>
          <w:p w14:paraId="0C0273C2" w14:textId="77777777" w:rsidR="00546F60" w:rsidRDefault="00546F60" w:rsidP="00546F60">
            <w:pPr>
              <w:jc w:val="both"/>
              <w:rPr>
                <w:rFonts w:ascii="Arial" w:hAnsi="Arial" w:cs="Arial"/>
                <w:b/>
                <w:lang w:val="es-MX"/>
              </w:rPr>
            </w:pPr>
          </w:p>
          <w:p w14:paraId="70B63488" w14:textId="551F901A" w:rsidR="00546F60" w:rsidRPr="00546F60" w:rsidRDefault="00546F60" w:rsidP="00546F60">
            <w:pPr>
              <w:jc w:val="both"/>
              <w:rPr>
                <w:rFonts w:ascii="Arial" w:hAnsi="Arial" w:cs="Arial"/>
                <w:b/>
                <w:lang w:val="es-MX"/>
              </w:rPr>
            </w:pPr>
            <w:r>
              <w:rPr>
                <w:rFonts w:ascii="Arial" w:hAnsi="Arial" w:cs="Arial"/>
                <w:b/>
                <w:lang w:val="es-MX"/>
              </w:rPr>
              <w:t>TOTAL PRESUPUESTO</w:t>
            </w:r>
          </w:p>
        </w:tc>
        <w:tc>
          <w:tcPr>
            <w:tcW w:w="1839" w:type="dxa"/>
          </w:tcPr>
          <w:p w14:paraId="6CFB6DED" w14:textId="36E80FE0" w:rsidR="00546F60" w:rsidRDefault="00546F60" w:rsidP="00C95525">
            <w:pPr>
              <w:jc w:val="center"/>
              <w:rPr>
                <w:rFonts w:ascii="Arial" w:eastAsia="Calibri" w:hAnsi="Arial" w:cs="Arial"/>
                <w:b/>
                <w:u w:val="single"/>
              </w:rPr>
            </w:pPr>
          </w:p>
          <w:p w14:paraId="7FB5D824" w14:textId="7E31E020" w:rsidR="00546F60" w:rsidRDefault="00546F60" w:rsidP="00C95525">
            <w:pPr>
              <w:jc w:val="center"/>
              <w:rPr>
                <w:rFonts w:ascii="Arial" w:eastAsia="Calibri" w:hAnsi="Arial" w:cs="Arial"/>
                <w:b/>
                <w:u w:val="single"/>
              </w:rPr>
            </w:pPr>
          </w:p>
          <w:p w14:paraId="5A701FFD" w14:textId="1A880A33" w:rsidR="00546F60" w:rsidRDefault="00546F60" w:rsidP="00C95525">
            <w:pPr>
              <w:jc w:val="center"/>
              <w:rPr>
                <w:rFonts w:ascii="Arial" w:eastAsia="Calibri" w:hAnsi="Arial" w:cs="Arial"/>
                <w:b/>
                <w:u w:val="single"/>
              </w:rPr>
            </w:pPr>
          </w:p>
          <w:p w14:paraId="6FFBFF78" w14:textId="3184A098" w:rsidR="00546F60" w:rsidRDefault="00546F60" w:rsidP="00C95525">
            <w:pPr>
              <w:jc w:val="center"/>
              <w:rPr>
                <w:rFonts w:ascii="Arial" w:eastAsia="Calibri" w:hAnsi="Arial" w:cs="Arial"/>
                <w:b/>
                <w:u w:val="single"/>
              </w:rPr>
            </w:pPr>
          </w:p>
          <w:p w14:paraId="4811C6C1" w14:textId="6D02A44A" w:rsidR="00546F60" w:rsidRDefault="00546F60" w:rsidP="00C95525">
            <w:pPr>
              <w:jc w:val="center"/>
              <w:rPr>
                <w:rFonts w:ascii="Arial" w:eastAsia="Calibri" w:hAnsi="Arial" w:cs="Arial"/>
                <w:b/>
                <w:u w:val="single"/>
              </w:rPr>
            </w:pPr>
          </w:p>
          <w:p w14:paraId="1965A458" w14:textId="6B5E8860" w:rsidR="00546F60" w:rsidRDefault="00546F60" w:rsidP="00C95525">
            <w:pPr>
              <w:jc w:val="center"/>
              <w:rPr>
                <w:rFonts w:ascii="Arial" w:eastAsia="Calibri" w:hAnsi="Arial" w:cs="Arial"/>
                <w:b/>
                <w:u w:val="single"/>
              </w:rPr>
            </w:pPr>
          </w:p>
          <w:p w14:paraId="24A2C4DC" w14:textId="1B75E07E" w:rsidR="00546F60" w:rsidRDefault="00546F60" w:rsidP="00C95525">
            <w:pPr>
              <w:jc w:val="center"/>
              <w:rPr>
                <w:rFonts w:ascii="Arial" w:eastAsia="Calibri" w:hAnsi="Arial" w:cs="Arial"/>
                <w:b/>
                <w:u w:val="single"/>
              </w:rPr>
            </w:pPr>
            <w:r>
              <w:rPr>
                <w:rFonts w:ascii="Arial" w:eastAsia="Calibri" w:hAnsi="Arial" w:cs="Arial"/>
                <w:b/>
                <w:u w:val="single"/>
              </w:rPr>
              <w:t>87.00%</w:t>
            </w:r>
          </w:p>
          <w:p w14:paraId="70AB6EA6" w14:textId="496B5A7B" w:rsidR="00546F60" w:rsidRDefault="00546F60" w:rsidP="00C95525">
            <w:pPr>
              <w:jc w:val="center"/>
              <w:rPr>
                <w:rFonts w:ascii="Arial" w:eastAsia="Calibri" w:hAnsi="Arial" w:cs="Arial"/>
                <w:b/>
                <w:u w:val="single"/>
              </w:rPr>
            </w:pPr>
            <w:r>
              <w:rPr>
                <w:rFonts w:ascii="Arial" w:eastAsia="Calibri" w:hAnsi="Arial" w:cs="Arial"/>
                <w:b/>
                <w:u w:val="single"/>
              </w:rPr>
              <w:t>87.00%</w:t>
            </w:r>
          </w:p>
          <w:p w14:paraId="2F4B527A" w14:textId="77A7D53A" w:rsidR="00546F60" w:rsidRDefault="00546F60" w:rsidP="00C95525">
            <w:pPr>
              <w:jc w:val="center"/>
              <w:rPr>
                <w:rFonts w:ascii="Arial" w:eastAsia="Calibri" w:hAnsi="Arial" w:cs="Arial"/>
                <w:b/>
                <w:u w:val="single"/>
              </w:rPr>
            </w:pPr>
          </w:p>
          <w:p w14:paraId="190A3B7F" w14:textId="11F60C70" w:rsidR="00546F60" w:rsidRDefault="00546F60" w:rsidP="00546F60">
            <w:pPr>
              <w:jc w:val="center"/>
              <w:rPr>
                <w:rFonts w:ascii="Arial" w:eastAsia="Calibri" w:hAnsi="Arial" w:cs="Arial"/>
                <w:b/>
                <w:u w:val="single"/>
              </w:rPr>
            </w:pPr>
            <w:r>
              <w:rPr>
                <w:rFonts w:ascii="Arial" w:eastAsia="Calibri" w:hAnsi="Arial" w:cs="Arial"/>
                <w:b/>
                <w:u w:val="single"/>
              </w:rPr>
              <w:t>87.00%</w:t>
            </w:r>
          </w:p>
        </w:tc>
        <w:tc>
          <w:tcPr>
            <w:tcW w:w="1804" w:type="dxa"/>
          </w:tcPr>
          <w:p w14:paraId="462B036D" w14:textId="77777777" w:rsidR="00546F60" w:rsidRDefault="00546F60" w:rsidP="002551C6">
            <w:pPr>
              <w:jc w:val="center"/>
              <w:rPr>
                <w:rFonts w:ascii="Arial" w:eastAsia="Calibri" w:hAnsi="Arial" w:cs="Arial"/>
                <w:b/>
                <w:u w:val="single"/>
              </w:rPr>
            </w:pPr>
          </w:p>
          <w:p w14:paraId="618E12C3" w14:textId="77777777" w:rsidR="00546F60" w:rsidRDefault="00546F60" w:rsidP="002551C6">
            <w:pPr>
              <w:jc w:val="center"/>
              <w:rPr>
                <w:rFonts w:ascii="Arial" w:eastAsia="Calibri" w:hAnsi="Arial" w:cs="Arial"/>
                <w:b/>
                <w:u w:val="single"/>
              </w:rPr>
            </w:pPr>
          </w:p>
          <w:p w14:paraId="223C4D86" w14:textId="77777777" w:rsidR="00546F60" w:rsidRDefault="00546F60" w:rsidP="002551C6">
            <w:pPr>
              <w:jc w:val="center"/>
              <w:rPr>
                <w:rFonts w:ascii="Arial" w:eastAsia="Calibri" w:hAnsi="Arial" w:cs="Arial"/>
                <w:b/>
                <w:u w:val="single"/>
              </w:rPr>
            </w:pPr>
          </w:p>
          <w:p w14:paraId="2DFC6046" w14:textId="77777777" w:rsidR="00546F60" w:rsidRDefault="00546F60" w:rsidP="002551C6">
            <w:pPr>
              <w:jc w:val="center"/>
              <w:rPr>
                <w:rFonts w:ascii="Arial" w:eastAsia="Calibri" w:hAnsi="Arial" w:cs="Arial"/>
                <w:b/>
                <w:u w:val="single"/>
              </w:rPr>
            </w:pPr>
          </w:p>
          <w:p w14:paraId="73335566" w14:textId="77777777" w:rsidR="00546F60" w:rsidRDefault="00546F60" w:rsidP="002551C6">
            <w:pPr>
              <w:jc w:val="center"/>
              <w:rPr>
                <w:rFonts w:ascii="Arial" w:eastAsia="Calibri" w:hAnsi="Arial" w:cs="Arial"/>
                <w:b/>
                <w:u w:val="single"/>
              </w:rPr>
            </w:pPr>
          </w:p>
          <w:p w14:paraId="66E0EA29" w14:textId="77777777" w:rsidR="00546F60" w:rsidRDefault="00546F60" w:rsidP="002551C6">
            <w:pPr>
              <w:jc w:val="center"/>
              <w:rPr>
                <w:rFonts w:ascii="Arial" w:eastAsia="Calibri" w:hAnsi="Arial" w:cs="Arial"/>
                <w:b/>
                <w:u w:val="single"/>
              </w:rPr>
            </w:pPr>
          </w:p>
          <w:p w14:paraId="2C7BD9B4" w14:textId="38D3B9FE" w:rsidR="00546F60" w:rsidRDefault="00546F60" w:rsidP="002551C6">
            <w:pPr>
              <w:jc w:val="center"/>
              <w:rPr>
                <w:rFonts w:ascii="Arial" w:eastAsia="Calibri" w:hAnsi="Arial" w:cs="Arial"/>
                <w:b/>
                <w:u w:val="single"/>
              </w:rPr>
            </w:pPr>
            <w:r>
              <w:rPr>
                <w:rFonts w:ascii="Arial" w:eastAsia="Calibri" w:hAnsi="Arial" w:cs="Arial"/>
                <w:b/>
                <w:u w:val="single"/>
              </w:rPr>
              <w:t>78.00%</w:t>
            </w:r>
          </w:p>
          <w:p w14:paraId="221E75F7" w14:textId="53E529E2" w:rsidR="00546F60" w:rsidRDefault="00546F60" w:rsidP="002551C6">
            <w:pPr>
              <w:jc w:val="center"/>
              <w:rPr>
                <w:rFonts w:ascii="Arial" w:eastAsia="Calibri" w:hAnsi="Arial" w:cs="Arial"/>
                <w:b/>
                <w:u w:val="single"/>
              </w:rPr>
            </w:pPr>
            <w:r>
              <w:rPr>
                <w:rFonts w:ascii="Arial" w:eastAsia="Calibri" w:hAnsi="Arial" w:cs="Arial"/>
                <w:b/>
                <w:u w:val="single"/>
              </w:rPr>
              <w:t>56.00%</w:t>
            </w:r>
          </w:p>
          <w:p w14:paraId="721152F6" w14:textId="77777777" w:rsidR="00546F60" w:rsidRDefault="00546F60" w:rsidP="002551C6">
            <w:pPr>
              <w:jc w:val="center"/>
              <w:rPr>
                <w:rFonts w:ascii="Arial" w:eastAsia="Calibri" w:hAnsi="Arial" w:cs="Arial"/>
                <w:b/>
                <w:u w:val="single"/>
              </w:rPr>
            </w:pPr>
          </w:p>
          <w:p w14:paraId="389934CE" w14:textId="0D727E3E" w:rsidR="00546F60" w:rsidRDefault="00546F60" w:rsidP="002551C6">
            <w:pPr>
              <w:jc w:val="center"/>
              <w:rPr>
                <w:rFonts w:ascii="Arial" w:eastAsia="Calibri" w:hAnsi="Arial" w:cs="Arial"/>
                <w:b/>
                <w:u w:val="single"/>
              </w:rPr>
            </w:pPr>
            <w:r>
              <w:rPr>
                <w:rFonts w:ascii="Arial" w:eastAsia="Calibri" w:hAnsi="Arial" w:cs="Arial"/>
                <w:b/>
                <w:u w:val="single"/>
              </w:rPr>
              <w:t>69.00%</w:t>
            </w:r>
          </w:p>
        </w:tc>
        <w:tc>
          <w:tcPr>
            <w:tcW w:w="2042" w:type="dxa"/>
          </w:tcPr>
          <w:p w14:paraId="69038B70" w14:textId="77777777" w:rsidR="00546F60" w:rsidRDefault="00546F60" w:rsidP="002551C6">
            <w:pPr>
              <w:jc w:val="center"/>
              <w:rPr>
                <w:rFonts w:ascii="Arial" w:eastAsia="Calibri" w:hAnsi="Arial" w:cs="Arial"/>
                <w:b/>
                <w:u w:val="single"/>
              </w:rPr>
            </w:pPr>
          </w:p>
          <w:p w14:paraId="24F87FF2" w14:textId="77777777" w:rsidR="00546F60" w:rsidRDefault="00546F60" w:rsidP="002551C6">
            <w:pPr>
              <w:jc w:val="center"/>
              <w:rPr>
                <w:rFonts w:ascii="Arial" w:eastAsia="Calibri" w:hAnsi="Arial" w:cs="Arial"/>
                <w:b/>
                <w:u w:val="single"/>
              </w:rPr>
            </w:pPr>
          </w:p>
          <w:p w14:paraId="001A8CBC" w14:textId="77777777" w:rsidR="00546F60" w:rsidRDefault="00546F60" w:rsidP="002551C6">
            <w:pPr>
              <w:jc w:val="center"/>
              <w:rPr>
                <w:rFonts w:ascii="Arial" w:eastAsia="Calibri" w:hAnsi="Arial" w:cs="Arial"/>
                <w:b/>
                <w:u w:val="single"/>
              </w:rPr>
            </w:pPr>
          </w:p>
          <w:p w14:paraId="2C3A6DA4" w14:textId="77777777" w:rsidR="00546F60" w:rsidRDefault="00546F60" w:rsidP="002551C6">
            <w:pPr>
              <w:jc w:val="center"/>
              <w:rPr>
                <w:rFonts w:ascii="Arial" w:eastAsia="Calibri" w:hAnsi="Arial" w:cs="Arial"/>
                <w:b/>
                <w:u w:val="single"/>
              </w:rPr>
            </w:pPr>
          </w:p>
          <w:p w14:paraId="30C34411" w14:textId="77777777" w:rsidR="00546F60" w:rsidRDefault="00546F60" w:rsidP="002551C6">
            <w:pPr>
              <w:jc w:val="center"/>
              <w:rPr>
                <w:rFonts w:ascii="Arial" w:eastAsia="Calibri" w:hAnsi="Arial" w:cs="Arial"/>
                <w:b/>
                <w:u w:val="single"/>
              </w:rPr>
            </w:pPr>
          </w:p>
          <w:p w14:paraId="663CC969" w14:textId="77777777" w:rsidR="00546F60" w:rsidRDefault="00546F60" w:rsidP="002551C6">
            <w:pPr>
              <w:jc w:val="center"/>
              <w:rPr>
                <w:rFonts w:ascii="Arial" w:eastAsia="Calibri" w:hAnsi="Arial" w:cs="Arial"/>
                <w:b/>
                <w:u w:val="single"/>
              </w:rPr>
            </w:pPr>
          </w:p>
          <w:p w14:paraId="50EE1A6A" w14:textId="1EC124B9" w:rsidR="00546F60" w:rsidRDefault="00546F60" w:rsidP="002551C6">
            <w:pPr>
              <w:jc w:val="center"/>
              <w:rPr>
                <w:rFonts w:ascii="Arial" w:eastAsia="Calibri" w:hAnsi="Arial" w:cs="Arial"/>
                <w:b/>
                <w:u w:val="single"/>
              </w:rPr>
            </w:pPr>
            <w:r>
              <w:rPr>
                <w:rFonts w:ascii="Arial" w:eastAsia="Calibri" w:hAnsi="Arial" w:cs="Arial"/>
                <w:b/>
                <w:u w:val="single"/>
              </w:rPr>
              <w:t>78.00%</w:t>
            </w:r>
          </w:p>
          <w:p w14:paraId="749F2698" w14:textId="20C51A3C" w:rsidR="00546F60" w:rsidRDefault="00546F60" w:rsidP="002551C6">
            <w:pPr>
              <w:jc w:val="center"/>
              <w:rPr>
                <w:rFonts w:ascii="Arial" w:eastAsia="Calibri" w:hAnsi="Arial" w:cs="Arial"/>
                <w:b/>
                <w:u w:val="single"/>
              </w:rPr>
            </w:pPr>
            <w:r>
              <w:rPr>
                <w:rFonts w:ascii="Arial" w:eastAsia="Calibri" w:hAnsi="Arial" w:cs="Arial"/>
                <w:b/>
                <w:u w:val="single"/>
              </w:rPr>
              <w:t>56.00%</w:t>
            </w:r>
          </w:p>
          <w:p w14:paraId="2E0B6031" w14:textId="77777777" w:rsidR="00546F60" w:rsidRDefault="00546F60" w:rsidP="002551C6">
            <w:pPr>
              <w:jc w:val="center"/>
              <w:rPr>
                <w:rFonts w:ascii="Arial" w:eastAsia="Calibri" w:hAnsi="Arial" w:cs="Arial"/>
                <w:b/>
                <w:u w:val="single"/>
              </w:rPr>
            </w:pPr>
          </w:p>
          <w:p w14:paraId="688B891E" w14:textId="2ECD384F" w:rsidR="00546F60" w:rsidRDefault="00546F60" w:rsidP="002551C6">
            <w:pPr>
              <w:jc w:val="center"/>
              <w:rPr>
                <w:rFonts w:ascii="Arial" w:eastAsia="Calibri" w:hAnsi="Arial" w:cs="Arial"/>
                <w:b/>
                <w:u w:val="single"/>
              </w:rPr>
            </w:pPr>
            <w:r>
              <w:rPr>
                <w:rFonts w:ascii="Arial" w:eastAsia="Calibri" w:hAnsi="Arial" w:cs="Arial"/>
                <w:b/>
                <w:u w:val="single"/>
              </w:rPr>
              <w:t>69.00%</w:t>
            </w:r>
          </w:p>
        </w:tc>
      </w:tr>
      <w:tr w:rsidR="00F27EF7" w:rsidRPr="004B1294" w14:paraId="1217BFC1" w14:textId="77777777" w:rsidTr="00042E94">
        <w:tc>
          <w:tcPr>
            <w:tcW w:w="1550" w:type="dxa"/>
          </w:tcPr>
          <w:p w14:paraId="7DFCB9FF" w14:textId="355B4FF6" w:rsidR="00F27EF7" w:rsidRDefault="00F27EF7" w:rsidP="002551C6">
            <w:pPr>
              <w:jc w:val="center"/>
              <w:rPr>
                <w:rFonts w:ascii="Arial" w:hAnsi="Arial" w:cs="Arial"/>
                <w:b/>
              </w:rPr>
            </w:pPr>
            <w:r>
              <w:rPr>
                <w:rFonts w:ascii="Arial" w:hAnsi="Arial" w:cs="Arial"/>
                <w:b/>
              </w:rPr>
              <w:t>148</w:t>
            </w:r>
          </w:p>
        </w:tc>
        <w:tc>
          <w:tcPr>
            <w:tcW w:w="3255" w:type="dxa"/>
          </w:tcPr>
          <w:p w14:paraId="1B50D9B0" w14:textId="77777777" w:rsidR="00F27EF7" w:rsidRDefault="00F27EF7" w:rsidP="00546F60">
            <w:pPr>
              <w:jc w:val="both"/>
              <w:rPr>
                <w:rFonts w:ascii="Arial" w:hAnsi="Arial" w:cs="Arial"/>
                <w:b/>
                <w:lang w:val="es-MX"/>
              </w:rPr>
            </w:pPr>
            <w:r w:rsidRPr="00F27EF7">
              <w:rPr>
                <w:rFonts w:ascii="Arial" w:hAnsi="Arial" w:cs="Arial"/>
                <w:b/>
                <w:lang w:val="es-MX"/>
              </w:rPr>
              <w:t>SUPERINTENDENCIA DE SERVICIOS PÚBLICOS DOMICILIARIOS - SUPERSERVICIOS.</w:t>
            </w:r>
          </w:p>
          <w:p w14:paraId="536D6707" w14:textId="77777777" w:rsidR="00F27EF7" w:rsidRDefault="00F27EF7" w:rsidP="00546F60">
            <w:pPr>
              <w:jc w:val="both"/>
              <w:rPr>
                <w:rFonts w:ascii="Arial" w:hAnsi="Arial" w:cs="Arial"/>
                <w:b/>
                <w:lang w:val="es-MX"/>
              </w:rPr>
            </w:pPr>
          </w:p>
          <w:p w14:paraId="6B655A14" w14:textId="77777777" w:rsidR="00F27EF7" w:rsidRDefault="00F27EF7" w:rsidP="00F27EF7">
            <w:pPr>
              <w:jc w:val="both"/>
              <w:rPr>
                <w:rFonts w:ascii="Arial" w:hAnsi="Arial" w:cs="Arial"/>
                <w:b/>
                <w:lang w:val="es-MX"/>
              </w:rPr>
            </w:pPr>
            <w:r>
              <w:rPr>
                <w:rFonts w:ascii="Arial" w:hAnsi="Arial" w:cs="Arial"/>
                <w:b/>
                <w:lang w:val="es-MX"/>
              </w:rPr>
              <w:t>FUNCIONAMIENTO</w:t>
            </w:r>
          </w:p>
          <w:p w14:paraId="2A3D9380" w14:textId="77777777" w:rsidR="00F27EF7" w:rsidRDefault="00F27EF7" w:rsidP="00F27EF7">
            <w:pPr>
              <w:jc w:val="both"/>
              <w:rPr>
                <w:rFonts w:ascii="Arial" w:hAnsi="Arial" w:cs="Arial"/>
                <w:b/>
                <w:lang w:val="es-MX"/>
              </w:rPr>
            </w:pPr>
            <w:r>
              <w:rPr>
                <w:rFonts w:ascii="Arial" w:hAnsi="Arial" w:cs="Arial"/>
                <w:b/>
                <w:lang w:val="es-MX"/>
              </w:rPr>
              <w:t>INVERSIÓN</w:t>
            </w:r>
          </w:p>
          <w:p w14:paraId="17504E13" w14:textId="77777777" w:rsidR="00F27EF7" w:rsidRDefault="00F27EF7" w:rsidP="00F27EF7">
            <w:pPr>
              <w:jc w:val="both"/>
              <w:rPr>
                <w:rFonts w:ascii="Arial" w:hAnsi="Arial" w:cs="Arial"/>
                <w:b/>
                <w:lang w:val="es-MX"/>
              </w:rPr>
            </w:pPr>
          </w:p>
          <w:p w14:paraId="63785835" w14:textId="7ECFE7B2" w:rsidR="00F27EF7" w:rsidRPr="00546F60" w:rsidRDefault="00F27EF7" w:rsidP="00F27EF7">
            <w:pPr>
              <w:jc w:val="both"/>
              <w:rPr>
                <w:rFonts w:ascii="Arial" w:hAnsi="Arial" w:cs="Arial"/>
                <w:b/>
                <w:lang w:val="es-MX"/>
              </w:rPr>
            </w:pPr>
            <w:r>
              <w:rPr>
                <w:rFonts w:ascii="Arial" w:hAnsi="Arial" w:cs="Arial"/>
                <w:b/>
                <w:lang w:val="es-MX"/>
              </w:rPr>
              <w:t>TOTAL PRESUPUESTO</w:t>
            </w:r>
          </w:p>
        </w:tc>
        <w:tc>
          <w:tcPr>
            <w:tcW w:w="1839" w:type="dxa"/>
          </w:tcPr>
          <w:p w14:paraId="42154659" w14:textId="77777777" w:rsidR="00F27EF7" w:rsidRDefault="00F27EF7" w:rsidP="00C95525">
            <w:pPr>
              <w:jc w:val="center"/>
              <w:rPr>
                <w:rFonts w:ascii="Arial" w:eastAsia="Calibri" w:hAnsi="Arial" w:cs="Arial"/>
                <w:b/>
                <w:u w:val="single"/>
              </w:rPr>
            </w:pPr>
          </w:p>
          <w:p w14:paraId="25A34BFB" w14:textId="77777777" w:rsidR="00F27EF7" w:rsidRDefault="00F27EF7" w:rsidP="00C95525">
            <w:pPr>
              <w:jc w:val="center"/>
              <w:rPr>
                <w:rFonts w:ascii="Arial" w:eastAsia="Calibri" w:hAnsi="Arial" w:cs="Arial"/>
                <w:b/>
                <w:u w:val="single"/>
              </w:rPr>
            </w:pPr>
          </w:p>
          <w:p w14:paraId="07D6160F" w14:textId="77777777" w:rsidR="00F27EF7" w:rsidRDefault="00F27EF7" w:rsidP="00C95525">
            <w:pPr>
              <w:jc w:val="center"/>
              <w:rPr>
                <w:rFonts w:ascii="Arial" w:eastAsia="Calibri" w:hAnsi="Arial" w:cs="Arial"/>
                <w:b/>
                <w:u w:val="single"/>
              </w:rPr>
            </w:pPr>
          </w:p>
          <w:p w14:paraId="455B773A" w14:textId="77777777" w:rsidR="00F27EF7" w:rsidRDefault="00F27EF7" w:rsidP="00C95525">
            <w:pPr>
              <w:jc w:val="center"/>
              <w:rPr>
                <w:rFonts w:ascii="Arial" w:eastAsia="Calibri" w:hAnsi="Arial" w:cs="Arial"/>
                <w:b/>
                <w:u w:val="single"/>
              </w:rPr>
            </w:pPr>
          </w:p>
          <w:p w14:paraId="6BFBCCDA" w14:textId="77777777" w:rsidR="00F27EF7" w:rsidRDefault="00F27EF7" w:rsidP="00C95525">
            <w:pPr>
              <w:jc w:val="center"/>
              <w:rPr>
                <w:rFonts w:ascii="Arial" w:eastAsia="Calibri" w:hAnsi="Arial" w:cs="Arial"/>
                <w:b/>
                <w:u w:val="single"/>
              </w:rPr>
            </w:pPr>
          </w:p>
          <w:p w14:paraId="2489C40C" w14:textId="6D6D7F38" w:rsidR="00F27EF7" w:rsidRDefault="00F27EF7" w:rsidP="00C95525">
            <w:pPr>
              <w:jc w:val="center"/>
              <w:rPr>
                <w:rFonts w:ascii="Arial" w:eastAsia="Calibri" w:hAnsi="Arial" w:cs="Arial"/>
                <w:b/>
                <w:u w:val="single"/>
              </w:rPr>
            </w:pPr>
            <w:r>
              <w:rPr>
                <w:rFonts w:ascii="Arial" w:eastAsia="Calibri" w:hAnsi="Arial" w:cs="Arial"/>
                <w:b/>
                <w:u w:val="single"/>
              </w:rPr>
              <w:t>93.00%</w:t>
            </w:r>
          </w:p>
          <w:p w14:paraId="3B90E33B" w14:textId="3CC7195E" w:rsidR="00F27EF7" w:rsidRDefault="00F27EF7" w:rsidP="00C95525">
            <w:pPr>
              <w:jc w:val="center"/>
              <w:rPr>
                <w:rFonts w:ascii="Arial" w:eastAsia="Calibri" w:hAnsi="Arial" w:cs="Arial"/>
                <w:b/>
                <w:u w:val="single"/>
              </w:rPr>
            </w:pPr>
            <w:r>
              <w:rPr>
                <w:rFonts w:ascii="Arial" w:eastAsia="Calibri" w:hAnsi="Arial" w:cs="Arial"/>
                <w:b/>
                <w:u w:val="single"/>
              </w:rPr>
              <w:t>71.00%</w:t>
            </w:r>
          </w:p>
          <w:p w14:paraId="405EDC38" w14:textId="77777777" w:rsidR="00F27EF7" w:rsidRDefault="00F27EF7" w:rsidP="00C95525">
            <w:pPr>
              <w:jc w:val="center"/>
              <w:rPr>
                <w:rFonts w:ascii="Arial" w:eastAsia="Calibri" w:hAnsi="Arial" w:cs="Arial"/>
                <w:b/>
                <w:u w:val="single"/>
              </w:rPr>
            </w:pPr>
          </w:p>
          <w:p w14:paraId="1ADCCABD" w14:textId="19B2D39F" w:rsidR="00F27EF7" w:rsidRDefault="00F27EF7" w:rsidP="00C95525">
            <w:pPr>
              <w:jc w:val="center"/>
              <w:rPr>
                <w:rFonts w:ascii="Arial" w:eastAsia="Calibri" w:hAnsi="Arial" w:cs="Arial"/>
                <w:b/>
                <w:u w:val="single"/>
              </w:rPr>
            </w:pPr>
            <w:r>
              <w:rPr>
                <w:rFonts w:ascii="Arial" w:eastAsia="Calibri" w:hAnsi="Arial" w:cs="Arial"/>
                <w:b/>
                <w:u w:val="single"/>
              </w:rPr>
              <w:t>91.00%</w:t>
            </w:r>
          </w:p>
        </w:tc>
        <w:tc>
          <w:tcPr>
            <w:tcW w:w="1804" w:type="dxa"/>
          </w:tcPr>
          <w:p w14:paraId="4EDACAC6" w14:textId="77777777" w:rsidR="00F27EF7" w:rsidRDefault="00F27EF7" w:rsidP="002551C6">
            <w:pPr>
              <w:jc w:val="center"/>
              <w:rPr>
                <w:rFonts w:ascii="Arial" w:eastAsia="Calibri" w:hAnsi="Arial" w:cs="Arial"/>
                <w:b/>
                <w:u w:val="single"/>
              </w:rPr>
            </w:pPr>
          </w:p>
          <w:p w14:paraId="7025A3A9" w14:textId="77777777" w:rsidR="00F27EF7" w:rsidRDefault="00F27EF7" w:rsidP="002551C6">
            <w:pPr>
              <w:jc w:val="center"/>
              <w:rPr>
                <w:rFonts w:ascii="Arial" w:eastAsia="Calibri" w:hAnsi="Arial" w:cs="Arial"/>
                <w:b/>
                <w:u w:val="single"/>
              </w:rPr>
            </w:pPr>
          </w:p>
          <w:p w14:paraId="1780385F" w14:textId="77777777" w:rsidR="00F27EF7" w:rsidRDefault="00F27EF7" w:rsidP="002551C6">
            <w:pPr>
              <w:jc w:val="center"/>
              <w:rPr>
                <w:rFonts w:ascii="Arial" w:eastAsia="Calibri" w:hAnsi="Arial" w:cs="Arial"/>
                <w:b/>
                <w:u w:val="single"/>
              </w:rPr>
            </w:pPr>
          </w:p>
          <w:p w14:paraId="58850610" w14:textId="77777777" w:rsidR="00F27EF7" w:rsidRDefault="00F27EF7" w:rsidP="002551C6">
            <w:pPr>
              <w:jc w:val="center"/>
              <w:rPr>
                <w:rFonts w:ascii="Arial" w:eastAsia="Calibri" w:hAnsi="Arial" w:cs="Arial"/>
                <w:b/>
                <w:u w:val="single"/>
              </w:rPr>
            </w:pPr>
          </w:p>
          <w:p w14:paraId="661F8C5A" w14:textId="77777777" w:rsidR="00F27EF7" w:rsidRDefault="00F27EF7" w:rsidP="002551C6">
            <w:pPr>
              <w:jc w:val="center"/>
              <w:rPr>
                <w:rFonts w:ascii="Arial" w:eastAsia="Calibri" w:hAnsi="Arial" w:cs="Arial"/>
                <w:b/>
                <w:u w:val="single"/>
              </w:rPr>
            </w:pPr>
          </w:p>
          <w:p w14:paraId="4B1E88DB" w14:textId="75655286" w:rsidR="00F27EF7" w:rsidRDefault="00F27EF7" w:rsidP="002551C6">
            <w:pPr>
              <w:jc w:val="center"/>
              <w:rPr>
                <w:rFonts w:ascii="Arial" w:eastAsia="Calibri" w:hAnsi="Arial" w:cs="Arial"/>
                <w:b/>
                <w:u w:val="single"/>
              </w:rPr>
            </w:pPr>
            <w:r>
              <w:rPr>
                <w:rFonts w:ascii="Arial" w:eastAsia="Calibri" w:hAnsi="Arial" w:cs="Arial"/>
                <w:b/>
                <w:u w:val="single"/>
              </w:rPr>
              <w:t>93.00%</w:t>
            </w:r>
          </w:p>
          <w:p w14:paraId="4047D849" w14:textId="4C1C6D37" w:rsidR="00F27EF7" w:rsidRDefault="00F27EF7" w:rsidP="002551C6">
            <w:pPr>
              <w:jc w:val="center"/>
              <w:rPr>
                <w:rFonts w:ascii="Arial" w:eastAsia="Calibri" w:hAnsi="Arial" w:cs="Arial"/>
                <w:b/>
                <w:u w:val="single"/>
              </w:rPr>
            </w:pPr>
            <w:r>
              <w:rPr>
                <w:rFonts w:ascii="Arial" w:eastAsia="Calibri" w:hAnsi="Arial" w:cs="Arial"/>
                <w:b/>
                <w:u w:val="single"/>
              </w:rPr>
              <w:t>70.00%</w:t>
            </w:r>
          </w:p>
          <w:p w14:paraId="26760B44" w14:textId="77777777" w:rsidR="00F27EF7" w:rsidRDefault="00F27EF7" w:rsidP="002551C6">
            <w:pPr>
              <w:jc w:val="center"/>
              <w:rPr>
                <w:rFonts w:ascii="Arial" w:eastAsia="Calibri" w:hAnsi="Arial" w:cs="Arial"/>
                <w:b/>
                <w:u w:val="single"/>
              </w:rPr>
            </w:pPr>
          </w:p>
          <w:p w14:paraId="235A7434" w14:textId="19D44A31" w:rsidR="00F27EF7" w:rsidRDefault="00F27EF7" w:rsidP="002551C6">
            <w:pPr>
              <w:jc w:val="center"/>
              <w:rPr>
                <w:rFonts w:ascii="Arial" w:eastAsia="Calibri" w:hAnsi="Arial" w:cs="Arial"/>
                <w:b/>
                <w:u w:val="single"/>
              </w:rPr>
            </w:pPr>
            <w:r>
              <w:rPr>
                <w:rFonts w:ascii="Arial" w:eastAsia="Calibri" w:hAnsi="Arial" w:cs="Arial"/>
                <w:b/>
                <w:u w:val="single"/>
              </w:rPr>
              <w:t>91.00%</w:t>
            </w:r>
          </w:p>
        </w:tc>
        <w:tc>
          <w:tcPr>
            <w:tcW w:w="2042" w:type="dxa"/>
          </w:tcPr>
          <w:p w14:paraId="6AC736CE" w14:textId="77777777" w:rsidR="00F27EF7" w:rsidRDefault="00F27EF7" w:rsidP="002551C6">
            <w:pPr>
              <w:jc w:val="center"/>
              <w:rPr>
                <w:rFonts w:ascii="Arial" w:eastAsia="Calibri" w:hAnsi="Arial" w:cs="Arial"/>
                <w:b/>
                <w:u w:val="single"/>
              </w:rPr>
            </w:pPr>
          </w:p>
          <w:p w14:paraId="2E65D124" w14:textId="77777777" w:rsidR="00F27EF7" w:rsidRDefault="00F27EF7" w:rsidP="002551C6">
            <w:pPr>
              <w:jc w:val="center"/>
              <w:rPr>
                <w:rFonts w:ascii="Arial" w:eastAsia="Calibri" w:hAnsi="Arial" w:cs="Arial"/>
                <w:b/>
                <w:u w:val="single"/>
              </w:rPr>
            </w:pPr>
          </w:p>
          <w:p w14:paraId="2EB5A2DF" w14:textId="77777777" w:rsidR="00F27EF7" w:rsidRDefault="00F27EF7" w:rsidP="002551C6">
            <w:pPr>
              <w:jc w:val="center"/>
              <w:rPr>
                <w:rFonts w:ascii="Arial" w:eastAsia="Calibri" w:hAnsi="Arial" w:cs="Arial"/>
                <w:b/>
                <w:u w:val="single"/>
              </w:rPr>
            </w:pPr>
          </w:p>
          <w:p w14:paraId="7A84374C" w14:textId="77777777" w:rsidR="00F27EF7" w:rsidRDefault="00F27EF7" w:rsidP="002551C6">
            <w:pPr>
              <w:jc w:val="center"/>
              <w:rPr>
                <w:rFonts w:ascii="Arial" w:eastAsia="Calibri" w:hAnsi="Arial" w:cs="Arial"/>
                <w:b/>
                <w:u w:val="single"/>
              </w:rPr>
            </w:pPr>
          </w:p>
          <w:p w14:paraId="68EAA5E5" w14:textId="77777777" w:rsidR="00F27EF7" w:rsidRDefault="00F27EF7" w:rsidP="002551C6">
            <w:pPr>
              <w:jc w:val="center"/>
              <w:rPr>
                <w:rFonts w:ascii="Arial" w:eastAsia="Calibri" w:hAnsi="Arial" w:cs="Arial"/>
                <w:b/>
                <w:u w:val="single"/>
              </w:rPr>
            </w:pPr>
          </w:p>
          <w:p w14:paraId="3473BB80" w14:textId="3384C042" w:rsidR="00F27EF7" w:rsidRDefault="00F27EF7" w:rsidP="002551C6">
            <w:pPr>
              <w:jc w:val="center"/>
              <w:rPr>
                <w:rFonts w:ascii="Arial" w:eastAsia="Calibri" w:hAnsi="Arial" w:cs="Arial"/>
                <w:b/>
                <w:u w:val="single"/>
              </w:rPr>
            </w:pPr>
            <w:r>
              <w:rPr>
                <w:rFonts w:ascii="Arial" w:eastAsia="Calibri" w:hAnsi="Arial" w:cs="Arial"/>
                <w:b/>
                <w:u w:val="single"/>
              </w:rPr>
              <w:t>92.00%</w:t>
            </w:r>
          </w:p>
          <w:p w14:paraId="58DA18CE" w14:textId="465B74DB" w:rsidR="00F27EF7" w:rsidRDefault="00F27EF7" w:rsidP="002551C6">
            <w:pPr>
              <w:jc w:val="center"/>
              <w:rPr>
                <w:rFonts w:ascii="Arial" w:eastAsia="Calibri" w:hAnsi="Arial" w:cs="Arial"/>
                <w:b/>
                <w:u w:val="single"/>
              </w:rPr>
            </w:pPr>
            <w:r>
              <w:rPr>
                <w:rFonts w:ascii="Arial" w:eastAsia="Calibri" w:hAnsi="Arial" w:cs="Arial"/>
                <w:b/>
                <w:u w:val="single"/>
              </w:rPr>
              <w:t>42.00%</w:t>
            </w:r>
          </w:p>
          <w:p w14:paraId="2A27622A" w14:textId="77777777" w:rsidR="00F27EF7" w:rsidRDefault="00F27EF7" w:rsidP="002551C6">
            <w:pPr>
              <w:jc w:val="center"/>
              <w:rPr>
                <w:rFonts w:ascii="Arial" w:eastAsia="Calibri" w:hAnsi="Arial" w:cs="Arial"/>
                <w:b/>
                <w:u w:val="single"/>
              </w:rPr>
            </w:pPr>
          </w:p>
          <w:p w14:paraId="6028A390" w14:textId="7B90AA99" w:rsidR="00F27EF7" w:rsidRDefault="00F27EF7" w:rsidP="002551C6">
            <w:pPr>
              <w:jc w:val="center"/>
              <w:rPr>
                <w:rFonts w:ascii="Arial" w:eastAsia="Calibri" w:hAnsi="Arial" w:cs="Arial"/>
                <w:b/>
                <w:u w:val="single"/>
              </w:rPr>
            </w:pPr>
            <w:r>
              <w:rPr>
                <w:rFonts w:ascii="Arial" w:eastAsia="Calibri" w:hAnsi="Arial" w:cs="Arial"/>
                <w:b/>
                <w:u w:val="single"/>
              </w:rPr>
              <w:t>88.00%</w:t>
            </w:r>
          </w:p>
        </w:tc>
      </w:tr>
      <w:tr w:rsidR="00E12CB6" w:rsidRPr="004B1294" w14:paraId="12211779" w14:textId="77777777" w:rsidTr="00042E94">
        <w:tc>
          <w:tcPr>
            <w:tcW w:w="1550" w:type="dxa"/>
          </w:tcPr>
          <w:p w14:paraId="3F461568" w14:textId="7E0A1D7B" w:rsidR="00E12CB6" w:rsidRDefault="00E12CB6" w:rsidP="002551C6">
            <w:pPr>
              <w:jc w:val="center"/>
              <w:rPr>
                <w:rFonts w:ascii="Arial" w:hAnsi="Arial" w:cs="Arial"/>
                <w:b/>
              </w:rPr>
            </w:pPr>
            <w:r>
              <w:rPr>
                <w:rFonts w:ascii="Arial" w:hAnsi="Arial" w:cs="Arial"/>
                <w:b/>
              </w:rPr>
              <w:t>149</w:t>
            </w:r>
          </w:p>
        </w:tc>
        <w:tc>
          <w:tcPr>
            <w:tcW w:w="3255" w:type="dxa"/>
          </w:tcPr>
          <w:p w14:paraId="1A8E47E3" w14:textId="70F506D5" w:rsidR="00E12CB6" w:rsidRDefault="00E12CB6" w:rsidP="00E12CB6">
            <w:pPr>
              <w:jc w:val="both"/>
              <w:rPr>
                <w:rFonts w:ascii="Arial" w:hAnsi="Arial" w:cs="Arial"/>
                <w:b/>
                <w:lang w:val="es-MX"/>
              </w:rPr>
            </w:pPr>
            <w:r w:rsidRPr="00E12CB6">
              <w:rPr>
                <w:rFonts w:ascii="Arial" w:hAnsi="Arial" w:cs="Arial"/>
                <w:b/>
                <w:lang w:val="es-MX"/>
              </w:rPr>
              <w:t>U.A.E. AERONAUTICA CIVIL - AEROCIVIL.</w:t>
            </w:r>
          </w:p>
          <w:p w14:paraId="031400EF" w14:textId="77777777" w:rsidR="00E12CB6" w:rsidRPr="00E12CB6" w:rsidRDefault="00E12CB6" w:rsidP="00E12CB6">
            <w:pPr>
              <w:jc w:val="both"/>
              <w:rPr>
                <w:rFonts w:ascii="Arial" w:hAnsi="Arial" w:cs="Arial"/>
                <w:b/>
                <w:lang w:val="es-MX"/>
              </w:rPr>
            </w:pPr>
          </w:p>
          <w:p w14:paraId="724DBEE5" w14:textId="77777777" w:rsidR="00E12CB6" w:rsidRDefault="00E12CB6" w:rsidP="00E12CB6">
            <w:pPr>
              <w:jc w:val="both"/>
              <w:rPr>
                <w:rFonts w:ascii="Arial" w:hAnsi="Arial" w:cs="Arial"/>
                <w:b/>
                <w:lang w:val="es-MX"/>
              </w:rPr>
            </w:pPr>
            <w:r>
              <w:rPr>
                <w:rFonts w:ascii="Arial" w:hAnsi="Arial" w:cs="Arial"/>
                <w:b/>
                <w:lang w:val="es-MX"/>
              </w:rPr>
              <w:t>FUNCIONAMIENTO</w:t>
            </w:r>
          </w:p>
          <w:p w14:paraId="2BA1590B" w14:textId="77777777" w:rsidR="00E12CB6" w:rsidRDefault="00E12CB6" w:rsidP="00E12CB6">
            <w:pPr>
              <w:jc w:val="both"/>
              <w:rPr>
                <w:rFonts w:ascii="Arial" w:hAnsi="Arial" w:cs="Arial"/>
                <w:b/>
                <w:lang w:val="es-MX"/>
              </w:rPr>
            </w:pPr>
            <w:r>
              <w:rPr>
                <w:rFonts w:ascii="Arial" w:hAnsi="Arial" w:cs="Arial"/>
                <w:b/>
                <w:lang w:val="es-MX"/>
              </w:rPr>
              <w:t>INVERSIÓN</w:t>
            </w:r>
          </w:p>
          <w:p w14:paraId="67E1CC97" w14:textId="77777777" w:rsidR="00E12CB6" w:rsidRDefault="00E12CB6" w:rsidP="00E12CB6">
            <w:pPr>
              <w:jc w:val="both"/>
              <w:rPr>
                <w:rFonts w:ascii="Arial" w:hAnsi="Arial" w:cs="Arial"/>
                <w:b/>
                <w:lang w:val="es-MX"/>
              </w:rPr>
            </w:pPr>
          </w:p>
          <w:p w14:paraId="7EB01ACF" w14:textId="5C72B5A3" w:rsidR="00E12CB6" w:rsidRPr="00F27EF7" w:rsidRDefault="00E12CB6" w:rsidP="00E12CB6">
            <w:pPr>
              <w:jc w:val="both"/>
              <w:rPr>
                <w:rFonts w:ascii="Arial" w:hAnsi="Arial" w:cs="Arial"/>
                <w:b/>
                <w:lang w:val="es-MX"/>
              </w:rPr>
            </w:pPr>
            <w:r>
              <w:rPr>
                <w:rFonts w:ascii="Arial" w:hAnsi="Arial" w:cs="Arial"/>
                <w:b/>
                <w:lang w:val="es-MX"/>
              </w:rPr>
              <w:t>TOTAL PRESUPUESTO</w:t>
            </w:r>
          </w:p>
        </w:tc>
        <w:tc>
          <w:tcPr>
            <w:tcW w:w="1839" w:type="dxa"/>
          </w:tcPr>
          <w:p w14:paraId="55751D79" w14:textId="77777777" w:rsidR="00E12CB6" w:rsidRDefault="00E12CB6" w:rsidP="00C95525">
            <w:pPr>
              <w:jc w:val="center"/>
              <w:rPr>
                <w:rFonts w:ascii="Arial" w:eastAsia="Calibri" w:hAnsi="Arial" w:cs="Arial"/>
                <w:b/>
                <w:u w:val="single"/>
              </w:rPr>
            </w:pPr>
          </w:p>
          <w:p w14:paraId="453E676A" w14:textId="77777777" w:rsidR="00E12CB6" w:rsidRDefault="00E12CB6" w:rsidP="00C95525">
            <w:pPr>
              <w:jc w:val="center"/>
              <w:rPr>
                <w:rFonts w:ascii="Arial" w:eastAsia="Calibri" w:hAnsi="Arial" w:cs="Arial"/>
                <w:b/>
                <w:u w:val="single"/>
              </w:rPr>
            </w:pPr>
          </w:p>
          <w:p w14:paraId="00685F6C" w14:textId="77777777" w:rsidR="00E12CB6" w:rsidRDefault="00E12CB6" w:rsidP="00C95525">
            <w:pPr>
              <w:jc w:val="center"/>
              <w:rPr>
                <w:rFonts w:ascii="Arial" w:eastAsia="Calibri" w:hAnsi="Arial" w:cs="Arial"/>
                <w:b/>
                <w:u w:val="single"/>
              </w:rPr>
            </w:pPr>
          </w:p>
          <w:p w14:paraId="010274E1" w14:textId="0F9C7E9A" w:rsidR="00E12CB6" w:rsidRDefault="00E12CB6" w:rsidP="00C95525">
            <w:pPr>
              <w:jc w:val="center"/>
              <w:rPr>
                <w:rFonts w:ascii="Arial" w:eastAsia="Calibri" w:hAnsi="Arial" w:cs="Arial"/>
                <w:b/>
                <w:u w:val="single"/>
              </w:rPr>
            </w:pPr>
            <w:r>
              <w:rPr>
                <w:rFonts w:ascii="Arial" w:eastAsia="Calibri" w:hAnsi="Arial" w:cs="Arial"/>
                <w:b/>
                <w:u w:val="single"/>
              </w:rPr>
              <w:t>88.70%</w:t>
            </w:r>
          </w:p>
          <w:p w14:paraId="045C8E8E" w14:textId="3603C84E" w:rsidR="00E12CB6" w:rsidRDefault="00E12CB6" w:rsidP="00C95525">
            <w:pPr>
              <w:jc w:val="center"/>
              <w:rPr>
                <w:rFonts w:ascii="Arial" w:eastAsia="Calibri" w:hAnsi="Arial" w:cs="Arial"/>
                <w:b/>
                <w:u w:val="single"/>
              </w:rPr>
            </w:pPr>
            <w:r>
              <w:rPr>
                <w:rFonts w:ascii="Arial" w:eastAsia="Calibri" w:hAnsi="Arial" w:cs="Arial"/>
                <w:b/>
                <w:u w:val="single"/>
              </w:rPr>
              <w:t>85.70%</w:t>
            </w:r>
          </w:p>
          <w:p w14:paraId="3624F93C" w14:textId="77777777" w:rsidR="00E12CB6" w:rsidRDefault="00E12CB6" w:rsidP="00C95525">
            <w:pPr>
              <w:jc w:val="center"/>
              <w:rPr>
                <w:rFonts w:ascii="Arial" w:eastAsia="Calibri" w:hAnsi="Arial" w:cs="Arial"/>
                <w:b/>
                <w:u w:val="single"/>
              </w:rPr>
            </w:pPr>
          </w:p>
          <w:p w14:paraId="450163D8" w14:textId="69C5DCF0" w:rsidR="00E12CB6" w:rsidRDefault="00E12CB6" w:rsidP="00C95525">
            <w:pPr>
              <w:jc w:val="center"/>
              <w:rPr>
                <w:rFonts w:ascii="Arial" w:eastAsia="Calibri" w:hAnsi="Arial" w:cs="Arial"/>
                <w:b/>
                <w:u w:val="single"/>
              </w:rPr>
            </w:pPr>
            <w:r>
              <w:rPr>
                <w:rFonts w:ascii="Arial" w:eastAsia="Calibri" w:hAnsi="Arial" w:cs="Arial"/>
                <w:b/>
                <w:u w:val="single"/>
              </w:rPr>
              <w:t>86.60%</w:t>
            </w:r>
          </w:p>
        </w:tc>
        <w:tc>
          <w:tcPr>
            <w:tcW w:w="1804" w:type="dxa"/>
          </w:tcPr>
          <w:p w14:paraId="43CFB26D" w14:textId="77777777" w:rsidR="00E12CB6" w:rsidRDefault="00E12CB6" w:rsidP="002551C6">
            <w:pPr>
              <w:jc w:val="center"/>
              <w:rPr>
                <w:rFonts w:ascii="Arial" w:eastAsia="Calibri" w:hAnsi="Arial" w:cs="Arial"/>
                <w:b/>
                <w:u w:val="single"/>
              </w:rPr>
            </w:pPr>
          </w:p>
          <w:p w14:paraId="29880DE2" w14:textId="77777777" w:rsidR="00E12CB6" w:rsidRDefault="00E12CB6" w:rsidP="002551C6">
            <w:pPr>
              <w:jc w:val="center"/>
              <w:rPr>
                <w:rFonts w:ascii="Arial" w:eastAsia="Calibri" w:hAnsi="Arial" w:cs="Arial"/>
                <w:b/>
                <w:u w:val="single"/>
              </w:rPr>
            </w:pPr>
          </w:p>
          <w:p w14:paraId="26F30AF0" w14:textId="77777777" w:rsidR="00E12CB6" w:rsidRDefault="00E12CB6" w:rsidP="002551C6">
            <w:pPr>
              <w:jc w:val="center"/>
              <w:rPr>
                <w:rFonts w:ascii="Arial" w:eastAsia="Calibri" w:hAnsi="Arial" w:cs="Arial"/>
                <w:b/>
                <w:u w:val="single"/>
              </w:rPr>
            </w:pPr>
          </w:p>
          <w:p w14:paraId="2FF9D3C6" w14:textId="12A69B5F" w:rsidR="00E12CB6" w:rsidRDefault="00E12CB6" w:rsidP="002551C6">
            <w:pPr>
              <w:jc w:val="center"/>
              <w:rPr>
                <w:rFonts w:ascii="Arial" w:eastAsia="Calibri" w:hAnsi="Arial" w:cs="Arial"/>
                <w:b/>
                <w:u w:val="single"/>
              </w:rPr>
            </w:pPr>
            <w:r>
              <w:rPr>
                <w:rFonts w:ascii="Arial" w:eastAsia="Calibri" w:hAnsi="Arial" w:cs="Arial"/>
                <w:b/>
                <w:u w:val="single"/>
              </w:rPr>
              <w:t>86.80%</w:t>
            </w:r>
          </w:p>
          <w:p w14:paraId="505429BE" w14:textId="028EC2EF" w:rsidR="00E12CB6" w:rsidRDefault="00E12CB6" w:rsidP="002551C6">
            <w:pPr>
              <w:jc w:val="center"/>
              <w:rPr>
                <w:rFonts w:ascii="Arial" w:eastAsia="Calibri" w:hAnsi="Arial" w:cs="Arial"/>
                <w:b/>
                <w:u w:val="single"/>
              </w:rPr>
            </w:pPr>
            <w:r>
              <w:rPr>
                <w:rFonts w:ascii="Arial" w:eastAsia="Calibri" w:hAnsi="Arial" w:cs="Arial"/>
                <w:b/>
                <w:u w:val="single"/>
              </w:rPr>
              <w:t>36.60%</w:t>
            </w:r>
          </w:p>
          <w:p w14:paraId="64DE802A" w14:textId="77777777" w:rsidR="00E12CB6" w:rsidRDefault="00E12CB6" w:rsidP="002551C6">
            <w:pPr>
              <w:jc w:val="center"/>
              <w:rPr>
                <w:rFonts w:ascii="Arial" w:eastAsia="Calibri" w:hAnsi="Arial" w:cs="Arial"/>
                <w:b/>
                <w:u w:val="single"/>
              </w:rPr>
            </w:pPr>
          </w:p>
          <w:p w14:paraId="61603DFE" w14:textId="38F0CB77" w:rsidR="00E12CB6" w:rsidRDefault="00E12CB6" w:rsidP="002551C6">
            <w:pPr>
              <w:jc w:val="center"/>
              <w:rPr>
                <w:rFonts w:ascii="Arial" w:eastAsia="Calibri" w:hAnsi="Arial" w:cs="Arial"/>
                <w:b/>
                <w:u w:val="single"/>
              </w:rPr>
            </w:pPr>
            <w:r>
              <w:rPr>
                <w:rFonts w:ascii="Arial" w:eastAsia="Calibri" w:hAnsi="Arial" w:cs="Arial"/>
                <w:b/>
                <w:u w:val="single"/>
              </w:rPr>
              <w:t>52.30%</w:t>
            </w:r>
          </w:p>
        </w:tc>
        <w:tc>
          <w:tcPr>
            <w:tcW w:w="2042" w:type="dxa"/>
          </w:tcPr>
          <w:p w14:paraId="433099AA" w14:textId="77777777" w:rsidR="00E12CB6" w:rsidRDefault="00E12CB6" w:rsidP="002551C6">
            <w:pPr>
              <w:jc w:val="center"/>
              <w:rPr>
                <w:rFonts w:ascii="Arial" w:eastAsia="Calibri" w:hAnsi="Arial" w:cs="Arial"/>
                <w:b/>
                <w:u w:val="single"/>
              </w:rPr>
            </w:pPr>
          </w:p>
          <w:p w14:paraId="6FB31BF2" w14:textId="77777777" w:rsidR="00E12CB6" w:rsidRDefault="00E12CB6" w:rsidP="002551C6">
            <w:pPr>
              <w:jc w:val="center"/>
              <w:rPr>
                <w:rFonts w:ascii="Arial" w:eastAsia="Calibri" w:hAnsi="Arial" w:cs="Arial"/>
                <w:b/>
                <w:u w:val="single"/>
              </w:rPr>
            </w:pPr>
          </w:p>
          <w:p w14:paraId="5AE12E38" w14:textId="77777777" w:rsidR="00E12CB6" w:rsidRDefault="00E12CB6" w:rsidP="002551C6">
            <w:pPr>
              <w:jc w:val="center"/>
              <w:rPr>
                <w:rFonts w:ascii="Arial" w:eastAsia="Calibri" w:hAnsi="Arial" w:cs="Arial"/>
                <w:b/>
                <w:u w:val="single"/>
              </w:rPr>
            </w:pPr>
          </w:p>
          <w:p w14:paraId="07A53F83" w14:textId="5B0E16C0" w:rsidR="00E12CB6" w:rsidRDefault="00E12CB6" w:rsidP="002551C6">
            <w:pPr>
              <w:jc w:val="center"/>
              <w:rPr>
                <w:rFonts w:ascii="Arial" w:eastAsia="Calibri" w:hAnsi="Arial" w:cs="Arial"/>
                <w:b/>
                <w:u w:val="single"/>
              </w:rPr>
            </w:pPr>
            <w:r>
              <w:rPr>
                <w:rFonts w:ascii="Arial" w:eastAsia="Calibri" w:hAnsi="Arial" w:cs="Arial"/>
                <w:b/>
                <w:u w:val="single"/>
              </w:rPr>
              <w:t>85.00%</w:t>
            </w:r>
          </w:p>
          <w:p w14:paraId="45DE3CA1" w14:textId="6E88BFFB" w:rsidR="00E12CB6" w:rsidRDefault="00E12CB6" w:rsidP="002551C6">
            <w:pPr>
              <w:jc w:val="center"/>
              <w:rPr>
                <w:rFonts w:ascii="Arial" w:eastAsia="Calibri" w:hAnsi="Arial" w:cs="Arial"/>
                <w:b/>
                <w:u w:val="single"/>
              </w:rPr>
            </w:pPr>
            <w:r>
              <w:rPr>
                <w:rFonts w:ascii="Arial" w:eastAsia="Calibri" w:hAnsi="Arial" w:cs="Arial"/>
                <w:b/>
                <w:u w:val="single"/>
              </w:rPr>
              <w:t>35.50%</w:t>
            </w:r>
          </w:p>
          <w:p w14:paraId="26A9B379" w14:textId="77777777" w:rsidR="00E12CB6" w:rsidRDefault="00E12CB6" w:rsidP="002551C6">
            <w:pPr>
              <w:jc w:val="center"/>
              <w:rPr>
                <w:rFonts w:ascii="Arial" w:eastAsia="Calibri" w:hAnsi="Arial" w:cs="Arial"/>
                <w:b/>
                <w:u w:val="single"/>
              </w:rPr>
            </w:pPr>
          </w:p>
          <w:p w14:paraId="44372206" w14:textId="643D85CC" w:rsidR="00E12CB6" w:rsidRDefault="00E12CB6" w:rsidP="002551C6">
            <w:pPr>
              <w:jc w:val="center"/>
              <w:rPr>
                <w:rFonts w:ascii="Arial" w:eastAsia="Calibri" w:hAnsi="Arial" w:cs="Arial"/>
                <w:b/>
                <w:u w:val="single"/>
              </w:rPr>
            </w:pPr>
            <w:r>
              <w:rPr>
                <w:rFonts w:ascii="Arial" w:eastAsia="Calibri" w:hAnsi="Arial" w:cs="Arial"/>
                <w:b/>
                <w:u w:val="single"/>
              </w:rPr>
              <w:t>51.10%</w:t>
            </w:r>
          </w:p>
        </w:tc>
      </w:tr>
      <w:tr w:rsidR="00AA79B6" w:rsidRPr="004B1294" w14:paraId="6E57D5CA" w14:textId="77777777" w:rsidTr="00042E94">
        <w:tc>
          <w:tcPr>
            <w:tcW w:w="1550" w:type="dxa"/>
          </w:tcPr>
          <w:p w14:paraId="686819B0" w14:textId="54385F1D" w:rsidR="00AA79B6" w:rsidRDefault="00AA79B6" w:rsidP="002551C6">
            <w:pPr>
              <w:jc w:val="center"/>
              <w:rPr>
                <w:rFonts w:ascii="Arial" w:hAnsi="Arial" w:cs="Arial"/>
                <w:b/>
              </w:rPr>
            </w:pPr>
            <w:r>
              <w:rPr>
                <w:rFonts w:ascii="Arial" w:hAnsi="Arial" w:cs="Arial"/>
                <w:b/>
              </w:rPr>
              <w:t>150</w:t>
            </w:r>
          </w:p>
        </w:tc>
        <w:tc>
          <w:tcPr>
            <w:tcW w:w="3255" w:type="dxa"/>
          </w:tcPr>
          <w:p w14:paraId="3E1FEF8F" w14:textId="77777777" w:rsidR="00AA79B6" w:rsidRDefault="00AA79B6" w:rsidP="00E12CB6">
            <w:pPr>
              <w:jc w:val="both"/>
              <w:rPr>
                <w:rFonts w:ascii="Arial" w:hAnsi="Arial" w:cs="Arial"/>
                <w:b/>
                <w:lang w:val="es-MX"/>
              </w:rPr>
            </w:pPr>
            <w:r w:rsidRPr="00AA79B6">
              <w:rPr>
                <w:rFonts w:ascii="Arial" w:hAnsi="Arial" w:cs="Arial"/>
                <w:b/>
                <w:lang w:val="es-MX"/>
              </w:rPr>
              <w:t>MINISTERIO DE JUSTICIA Y DEL DERECHO.</w:t>
            </w:r>
          </w:p>
          <w:p w14:paraId="38276F22" w14:textId="77777777" w:rsidR="00AA79B6" w:rsidRDefault="00AA79B6" w:rsidP="00E12CB6">
            <w:pPr>
              <w:jc w:val="both"/>
              <w:rPr>
                <w:rFonts w:ascii="Arial" w:hAnsi="Arial" w:cs="Arial"/>
                <w:b/>
                <w:lang w:val="es-MX"/>
              </w:rPr>
            </w:pPr>
          </w:p>
          <w:p w14:paraId="4B027EB6" w14:textId="77777777" w:rsidR="00AA79B6" w:rsidRDefault="00AA79B6" w:rsidP="00AA79B6">
            <w:pPr>
              <w:jc w:val="both"/>
              <w:rPr>
                <w:rFonts w:ascii="Arial" w:hAnsi="Arial" w:cs="Arial"/>
                <w:b/>
                <w:lang w:val="es-MX"/>
              </w:rPr>
            </w:pPr>
            <w:r>
              <w:rPr>
                <w:rFonts w:ascii="Arial" w:hAnsi="Arial" w:cs="Arial"/>
                <w:b/>
                <w:lang w:val="es-MX"/>
              </w:rPr>
              <w:t>FUNCIONAMIENTO</w:t>
            </w:r>
          </w:p>
          <w:p w14:paraId="39C3F697" w14:textId="77777777" w:rsidR="00AA79B6" w:rsidRDefault="00AA79B6" w:rsidP="00AA79B6">
            <w:pPr>
              <w:jc w:val="both"/>
              <w:rPr>
                <w:rFonts w:ascii="Arial" w:hAnsi="Arial" w:cs="Arial"/>
                <w:b/>
                <w:lang w:val="es-MX"/>
              </w:rPr>
            </w:pPr>
            <w:r>
              <w:rPr>
                <w:rFonts w:ascii="Arial" w:hAnsi="Arial" w:cs="Arial"/>
                <w:b/>
                <w:lang w:val="es-MX"/>
              </w:rPr>
              <w:t>INVERSIÓN</w:t>
            </w:r>
          </w:p>
          <w:p w14:paraId="2DD7DCF8" w14:textId="77777777" w:rsidR="00AA79B6" w:rsidRDefault="00AA79B6" w:rsidP="00AA79B6">
            <w:pPr>
              <w:jc w:val="both"/>
              <w:rPr>
                <w:rFonts w:ascii="Arial" w:hAnsi="Arial" w:cs="Arial"/>
                <w:b/>
                <w:lang w:val="es-MX"/>
              </w:rPr>
            </w:pPr>
          </w:p>
          <w:p w14:paraId="7CAE6301" w14:textId="4D44CEF7" w:rsidR="00AA79B6" w:rsidRPr="00AA79B6" w:rsidRDefault="00AA79B6" w:rsidP="00AA79B6">
            <w:pPr>
              <w:jc w:val="both"/>
              <w:rPr>
                <w:rFonts w:ascii="Arial" w:hAnsi="Arial" w:cs="Arial"/>
                <w:b/>
                <w:lang w:val="es-MX"/>
              </w:rPr>
            </w:pPr>
            <w:r>
              <w:rPr>
                <w:rFonts w:ascii="Arial" w:hAnsi="Arial" w:cs="Arial"/>
                <w:b/>
                <w:lang w:val="es-MX"/>
              </w:rPr>
              <w:t>TOTAL PRESUPUESTO</w:t>
            </w:r>
          </w:p>
        </w:tc>
        <w:tc>
          <w:tcPr>
            <w:tcW w:w="1839" w:type="dxa"/>
          </w:tcPr>
          <w:p w14:paraId="0B6362A3" w14:textId="77777777" w:rsidR="00AA79B6" w:rsidRDefault="00AA79B6" w:rsidP="00C95525">
            <w:pPr>
              <w:jc w:val="center"/>
              <w:rPr>
                <w:rFonts w:ascii="Arial" w:eastAsia="Calibri" w:hAnsi="Arial" w:cs="Arial"/>
                <w:b/>
                <w:u w:val="single"/>
              </w:rPr>
            </w:pPr>
          </w:p>
          <w:p w14:paraId="6B132F75" w14:textId="77777777" w:rsidR="00AA79B6" w:rsidRDefault="00AA79B6" w:rsidP="00C95525">
            <w:pPr>
              <w:jc w:val="center"/>
              <w:rPr>
                <w:rFonts w:ascii="Arial" w:eastAsia="Calibri" w:hAnsi="Arial" w:cs="Arial"/>
                <w:b/>
                <w:u w:val="single"/>
              </w:rPr>
            </w:pPr>
          </w:p>
          <w:p w14:paraId="4A044292" w14:textId="77777777" w:rsidR="00AA79B6" w:rsidRDefault="00AA79B6" w:rsidP="00C95525">
            <w:pPr>
              <w:jc w:val="center"/>
              <w:rPr>
                <w:rFonts w:ascii="Arial" w:eastAsia="Calibri" w:hAnsi="Arial" w:cs="Arial"/>
                <w:b/>
                <w:u w:val="single"/>
              </w:rPr>
            </w:pPr>
          </w:p>
          <w:p w14:paraId="1DD614C9" w14:textId="3F92D273" w:rsidR="00AA79B6" w:rsidRDefault="00AA79B6" w:rsidP="00C95525">
            <w:pPr>
              <w:jc w:val="center"/>
              <w:rPr>
                <w:rFonts w:ascii="Arial" w:eastAsia="Calibri" w:hAnsi="Arial" w:cs="Arial"/>
                <w:b/>
                <w:u w:val="single"/>
              </w:rPr>
            </w:pPr>
            <w:r>
              <w:rPr>
                <w:rFonts w:ascii="Arial" w:eastAsia="Calibri" w:hAnsi="Arial" w:cs="Arial"/>
                <w:b/>
                <w:u w:val="single"/>
              </w:rPr>
              <w:t>96.40%</w:t>
            </w:r>
          </w:p>
          <w:p w14:paraId="3B57B070" w14:textId="385AB875" w:rsidR="00AA79B6" w:rsidRDefault="00AA79B6" w:rsidP="00C95525">
            <w:pPr>
              <w:jc w:val="center"/>
              <w:rPr>
                <w:rFonts w:ascii="Arial" w:eastAsia="Calibri" w:hAnsi="Arial" w:cs="Arial"/>
                <w:b/>
                <w:u w:val="single"/>
              </w:rPr>
            </w:pPr>
            <w:r>
              <w:rPr>
                <w:rFonts w:ascii="Arial" w:eastAsia="Calibri" w:hAnsi="Arial" w:cs="Arial"/>
                <w:b/>
                <w:u w:val="single"/>
              </w:rPr>
              <w:t>97.70%</w:t>
            </w:r>
          </w:p>
          <w:p w14:paraId="7EF3BFA3" w14:textId="77777777" w:rsidR="00AA79B6" w:rsidRDefault="00AA79B6" w:rsidP="00C95525">
            <w:pPr>
              <w:jc w:val="center"/>
              <w:rPr>
                <w:rFonts w:ascii="Arial" w:eastAsia="Calibri" w:hAnsi="Arial" w:cs="Arial"/>
                <w:b/>
                <w:u w:val="single"/>
              </w:rPr>
            </w:pPr>
          </w:p>
          <w:p w14:paraId="4919170C" w14:textId="5A4C46C3" w:rsidR="00AA79B6" w:rsidRDefault="00AA79B6" w:rsidP="00C95525">
            <w:pPr>
              <w:jc w:val="center"/>
              <w:rPr>
                <w:rFonts w:ascii="Arial" w:eastAsia="Calibri" w:hAnsi="Arial" w:cs="Arial"/>
                <w:b/>
                <w:u w:val="single"/>
              </w:rPr>
            </w:pPr>
            <w:r>
              <w:rPr>
                <w:rFonts w:ascii="Arial" w:eastAsia="Calibri" w:hAnsi="Arial" w:cs="Arial"/>
                <w:b/>
                <w:u w:val="single"/>
              </w:rPr>
              <w:t>96.85%</w:t>
            </w:r>
          </w:p>
        </w:tc>
        <w:tc>
          <w:tcPr>
            <w:tcW w:w="1804" w:type="dxa"/>
          </w:tcPr>
          <w:p w14:paraId="24D4F23F" w14:textId="77777777" w:rsidR="00AA79B6" w:rsidRDefault="00AA79B6" w:rsidP="002551C6">
            <w:pPr>
              <w:jc w:val="center"/>
              <w:rPr>
                <w:rFonts w:ascii="Arial" w:eastAsia="Calibri" w:hAnsi="Arial" w:cs="Arial"/>
                <w:b/>
                <w:u w:val="single"/>
              </w:rPr>
            </w:pPr>
          </w:p>
          <w:p w14:paraId="70E8B770" w14:textId="77777777" w:rsidR="00AA79B6" w:rsidRDefault="00AA79B6" w:rsidP="002551C6">
            <w:pPr>
              <w:jc w:val="center"/>
              <w:rPr>
                <w:rFonts w:ascii="Arial" w:eastAsia="Calibri" w:hAnsi="Arial" w:cs="Arial"/>
                <w:b/>
                <w:u w:val="single"/>
              </w:rPr>
            </w:pPr>
          </w:p>
          <w:p w14:paraId="5E723FC9" w14:textId="77777777" w:rsidR="00AA79B6" w:rsidRDefault="00AA79B6" w:rsidP="002551C6">
            <w:pPr>
              <w:jc w:val="center"/>
              <w:rPr>
                <w:rFonts w:ascii="Arial" w:eastAsia="Calibri" w:hAnsi="Arial" w:cs="Arial"/>
                <w:b/>
                <w:u w:val="single"/>
              </w:rPr>
            </w:pPr>
          </w:p>
          <w:p w14:paraId="5CECEBCA" w14:textId="01F643A5" w:rsidR="00AA79B6" w:rsidRDefault="00AA79B6" w:rsidP="002551C6">
            <w:pPr>
              <w:jc w:val="center"/>
              <w:rPr>
                <w:rFonts w:ascii="Arial" w:eastAsia="Calibri" w:hAnsi="Arial" w:cs="Arial"/>
                <w:b/>
                <w:u w:val="single"/>
              </w:rPr>
            </w:pPr>
            <w:r>
              <w:rPr>
                <w:rFonts w:ascii="Arial" w:eastAsia="Calibri" w:hAnsi="Arial" w:cs="Arial"/>
                <w:b/>
                <w:u w:val="single"/>
              </w:rPr>
              <w:t>94.00%</w:t>
            </w:r>
          </w:p>
          <w:p w14:paraId="16E56AF9" w14:textId="3FA8F9CB" w:rsidR="00AA79B6" w:rsidRDefault="00AA79B6" w:rsidP="002551C6">
            <w:pPr>
              <w:jc w:val="center"/>
              <w:rPr>
                <w:rFonts w:ascii="Arial" w:eastAsia="Calibri" w:hAnsi="Arial" w:cs="Arial"/>
                <w:b/>
                <w:u w:val="single"/>
              </w:rPr>
            </w:pPr>
            <w:r>
              <w:rPr>
                <w:rFonts w:ascii="Arial" w:eastAsia="Calibri" w:hAnsi="Arial" w:cs="Arial"/>
                <w:b/>
                <w:u w:val="single"/>
              </w:rPr>
              <w:t>84.10%</w:t>
            </w:r>
          </w:p>
          <w:p w14:paraId="5B51EF6A" w14:textId="77777777" w:rsidR="00AA79B6" w:rsidRDefault="00AA79B6" w:rsidP="002551C6">
            <w:pPr>
              <w:jc w:val="center"/>
              <w:rPr>
                <w:rFonts w:ascii="Arial" w:eastAsia="Calibri" w:hAnsi="Arial" w:cs="Arial"/>
                <w:b/>
                <w:u w:val="single"/>
              </w:rPr>
            </w:pPr>
          </w:p>
          <w:p w14:paraId="62960099" w14:textId="14522B7D" w:rsidR="00AA79B6" w:rsidRDefault="00AA79B6" w:rsidP="002551C6">
            <w:pPr>
              <w:jc w:val="center"/>
              <w:rPr>
                <w:rFonts w:ascii="Arial" w:eastAsia="Calibri" w:hAnsi="Arial" w:cs="Arial"/>
                <w:b/>
                <w:u w:val="single"/>
              </w:rPr>
            </w:pPr>
            <w:r>
              <w:rPr>
                <w:rFonts w:ascii="Arial" w:eastAsia="Calibri" w:hAnsi="Arial" w:cs="Arial"/>
                <w:b/>
                <w:u w:val="single"/>
              </w:rPr>
              <w:t>90.72%</w:t>
            </w:r>
          </w:p>
        </w:tc>
        <w:tc>
          <w:tcPr>
            <w:tcW w:w="2042" w:type="dxa"/>
          </w:tcPr>
          <w:p w14:paraId="3A56D9B6" w14:textId="77777777" w:rsidR="00AA79B6" w:rsidRDefault="00AA79B6" w:rsidP="002551C6">
            <w:pPr>
              <w:jc w:val="center"/>
              <w:rPr>
                <w:rFonts w:ascii="Arial" w:eastAsia="Calibri" w:hAnsi="Arial" w:cs="Arial"/>
                <w:b/>
                <w:u w:val="single"/>
              </w:rPr>
            </w:pPr>
          </w:p>
          <w:p w14:paraId="4045B25E" w14:textId="77777777" w:rsidR="00AA79B6" w:rsidRDefault="00AA79B6" w:rsidP="002551C6">
            <w:pPr>
              <w:jc w:val="center"/>
              <w:rPr>
                <w:rFonts w:ascii="Arial" w:eastAsia="Calibri" w:hAnsi="Arial" w:cs="Arial"/>
                <w:b/>
                <w:u w:val="single"/>
              </w:rPr>
            </w:pPr>
          </w:p>
          <w:p w14:paraId="2AF4A377" w14:textId="77777777" w:rsidR="00AA79B6" w:rsidRDefault="00AA79B6" w:rsidP="002551C6">
            <w:pPr>
              <w:jc w:val="center"/>
              <w:rPr>
                <w:rFonts w:ascii="Arial" w:eastAsia="Calibri" w:hAnsi="Arial" w:cs="Arial"/>
                <w:b/>
                <w:u w:val="single"/>
              </w:rPr>
            </w:pPr>
          </w:p>
          <w:p w14:paraId="74B727EF" w14:textId="7ADF03CE" w:rsidR="00AA79B6" w:rsidRDefault="00AA79B6" w:rsidP="002551C6">
            <w:pPr>
              <w:jc w:val="center"/>
              <w:rPr>
                <w:rFonts w:ascii="Arial" w:eastAsia="Calibri" w:hAnsi="Arial" w:cs="Arial"/>
                <w:b/>
                <w:u w:val="single"/>
              </w:rPr>
            </w:pPr>
            <w:r>
              <w:rPr>
                <w:rFonts w:ascii="Arial" w:eastAsia="Calibri" w:hAnsi="Arial" w:cs="Arial"/>
                <w:b/>
                <w:u w:val="single"/>
              </w:rPr>
              <w:t>91.24%</w:t>
            </w:r>
          </w:p>
          <w:p w14:paraId="2F9C27F7" w14:textId="6B862347" w:rsidR="00AA79B6" w:rsidRDefault="00AA79B6" w:rsidP="002551C6">
            <w:pPr>
              <w:jc w:val="center"/>
              <w:rPr>
                <w:rFonts w:ascii="Arial" w:eastAsia="Calibri" w:hAnsi="Arial" w:cs="Arial"/>
                <w:b/>
                <w:u w:val="single"/>
              </w:rPr>
            </w:pPr>
            <w:r>
              <w:rPr>
                <w:rFonts w:ascii="Arial" w:eastAsia="Calibri" w:hAnsi="Arial" w:cs="Arial"/>
                <w:b/>
                <w:u w:val="single"/>
              </w:rPr>
              <w:t>84.07%</w:t>
            </w:r>
          </w:p>
          <w:p w14:paraId="220FAD48" w14:textId="77777777" w:rsidR="00AA79B6" w:rsidRDefault="00AA79B6" w:rsidP="002551C6">
            <w:pPr>
              <w:jc w:val="center"/>
              <w:rPr>
                <w:rFonts w:ascii="Arial" w:eastAsia="Calibri" w:hAnsi="Arial" w:cs="Arial"/>
                <w:b/>
                <w:u w:val="single"/>
              </w:rPr>
            </w:pPr>
          </w:p>
          <w:p w14:paraId="2FA1D43C" w14:textId="646A81EC" w:rsidR="00AA79B6" w:rsidRDefault="00AA79B6" w:rsidP="002551C6">
            <w:pPr>
              <w:jc w:val="center"/>
              <w:rPr>
                <w:rFonts w:ascii="Arial" w:eastAsia="Calibri" w:hAnsi="Arial" w:cs="Arial"/>
                <w:b/>
                <w:u w:val="single"/>
              </w:rPr>
            </w:pPr>
            <w:r>
              <w:rPr>
                <w:rFonts w:ascii="Arial" w:eastAsia="Calibri" w:hAnsi="Arial" w:cs="Arial"/>
                <w:b/>
                <w:u w:val="single"/>
              </w:rPr>
              <w:t>90.20%</w:t>
            </w:r>
          </w:p>
        </w:tc>
      </w:tr>
      <w:tr w:rsidR="0027032E" w:rsidRPr="004B1294" w14:paraId="7FEDC178" w14:textId="77777777" w:rsidTr="00042E94">
        <w:tc>
          <w:tcPr>
            <w:tcW w:w="1550" w:type="dxa"/>
          </w:tcPr>
          <w:p w14:paraId="222A08FD" w14:textId="497000F1" w:rsidR="0027032E" w:rsidRDefault="0027032E" w:rsidP="002551C6">
            <w:pPr>
              <w:jc w:val="center"/>
              <w:rPr>
                <w:rFonts w:ascii="Arial" w:hAnsi="Arial" w:cs="Arial"/>
                <w:b/>
              </w:rPr>
            </w:pPr>
            <w:r>
              <w:rPr>
                <w:rFonts w:ascii="Arial" w:hAnsi="Arial" w:cs="Arial"/>
                <w:b/>
              </w:rPr>
              <w:t>154</w:t>
            </w:r>
          </w:p>
        </w:tc>
        <w:tc>
          <w:tcPr>
            <w:tcW w:w="3255" w:type="dxa"/>
          </w:tcPr>
          <w:p w14:paraId="68E10B2B" w14:textId="71D3B4F0" w:rsidR="0027032E" w:rsidRPr="0027032E" w:rsidRDefault="0027032E" w:rsidP="0027032E">
            <w:pPr>
              <w:jc w:val="both"/>
              <w:rPr>
                <w:rFonts w:ascii="Arial" w:hAnsi="Arial" w:cs="Arial"/>
                <w:b/>
                <w:lang w:val="es-MX"/>
              </w:rPr>
            </w:pPr>
            <w:r w:rsidRPr="0027032E">
              <w:rPr>
                <w:rFonts w:ascii="Arial" w:hAnsi="Arial" w:cs="Arial"/>
                <w:b/>
                <w:lang w:val="es-MX"/>
              </w:rPr>
              <w:t>FONDO NACIONAL DE VIVIENDA - FONVIVIENDA.</w:t>
            </w:r>
          </w:p>
          <w:p w14:paraId="30B2FD3C" w14:textId="77777777" w:rsidR="0027032E" w:rsidRDefault="0027032E" w:rsidP="00E12CB6">
            <w:pPr>
              <w:jc w:val="both"/>
              <w:rPr>
                <w:rFonts w:ascii="Arial" w:hAnsi="Arial" w:cs="Arial"/>
                <w:b/>
                <w:lang w:val="es-MX"/>
              </w:rPr>
            </w:pPr>
          </w:p>
          <w:p w14:paraId="2C3AC5D4" w14:textId="77777777" w:rsidR="0027032E" w:rsidRDefault="0027032E" w:rsidP="0027032E">
            <w:pPr>
              <w:jc w:val="both"/>
              <w:rPr>
                <w:rFonts w:ascii="Arial" w:hAnsi="Arial" w:cs="Arial"/>
                <w:b/>
                <w:lang w:val="es-MX"/>
              </w:rPr>
            </w:pPr>
            <w:r>
              <w:rPr>
                <w:rFonts w:ascii="Arial" w:hAnsi="Arial" w:cs="Arial"/>
                <w:b/>
                <w:lang w:val="es-MX"/>
              </w:rPr>
              <w:t>FUNCIONAMIENTO</w:t>
            </w:r>
          </w:p>
          <w:p w14:paraId="65C420DE" w14:textId="77777777" w:rsidR="0027032E" w:rsidRDefault="0027032E" w:rsidP="0027032E">
            <w:pPr>
              <w:jc w:val="both"/>
              <w:rPr>
                <w:rFonts w:ascii="Arial" w:hAnsi="Arial" w:cs="Arial"/>
                <w:b/>
                <w:lang w:val="es-MX"/>
              </w:rPr>
            </w:pPr>
            <w:r>
              <w:rPr>
                <w:rFonts w:ascii="Arial" w:hAnsi="Arial" w:cs="Arial"/>
                <w:b/>
                <w:lang w:val="es-MX"/>
              </w:rPr>
              <w:t>INVERSIÓN</w:t>
            </w:r>
          </w:p>
          <w:p w14:paraId="41A79A4B" w14:textId="689514B0" w:rsidR="0027032E" w:rsidRPr="0027032E" w:rsidRDefault="0027032E" w:rsidP="0027032E">
            <w:pPr>
              <w:jc w:val="both"/>
              <w:rPr>
                <w:rFonts w:ascii="Arial" w:hAnsi="Arial" w:cs="Arial"/>
                <w:b/>
                <w:lang w:val="es-MX"/>
              </w:rPr>
            </w:pPr>
            <w:r>
              <w:rPr>
                <w:rFonts w:ascii="Arial" w:hAnsi="Arial" w:cs="Arial"/>
                <w:b/>
                <w:lang w:val="es-MX"/>
              </w:rPr>
              <w:lastRenderedPageBreak/>
              <w:t>TOTAL PRESUPUESTO</w:t>
            </w:r>
          </w:p>
        </w:tc>
        <w:tc>
          <w:tcPr>
            <w:tcW w:w="1839" w:type="dxa"/>
          </w:tcPr>
          <w:p w14:paraId="67F83BB1" w14:textId="77777777" w:rsidR="0027032E" w:rsidRDefault="0027032E" w:rsidP="00C95525">
            <w:pPr>
              <w:jc w:val="center"/>
              <w:rPr>
                <w:rFonts w:ascii="Arial" w:eastAsia="Calibri" w:hAnsi="Arial" w:cs="Arial"/>
                <w:b/>
                <w:u w:val="single"/>
              </w:rPr>
            </w:pPr>
          </w:p>
          <w:p w14:paraId="3B6E85BE" w14:textId="77777777" w:rsidR="0027032E" w:rsidRDefault="0027032E" w:rsidP="00C95525">
            <w:pPr>
              <w:jc w:val="center"/>
              <w:rPr>
                <w:rFonts w:ascii="Arial" w:eastAsia="Calibri" w:hAnsi="Arial" w:cs="Arial"/>
                <w:b/>
                <w:u w:val="single"/>
              </w:rPr>
            </w:pPr>
          </w:p>
          <w:p w14:paraId="165D1D98" w14:textId="77777777" w:rsidR="0027032E" w:rsidRDefault="0027032E" w:rsidP="00C95525">
            <w:pPr>
              <w:jc w:val="center"/>
              <w:rPr>
                <w:rFonts w:ascii="Arial" w:eastAsia="Calibri" w:hAnsi="Arial" w:cs="Arial"/>
                <w:b/>
                <w:u w:val="single"/>
              </w:rPr>
            </w:pPr>
          </w:p>
          <w:p w14:paraId="2A72436F" w14:textId="63123719" w:rsidR="0027032E" w:rsidRDefault="0027032E" w:rsidP="00C95525">
            <w:pPr>
              <w:jc w:val="center"/>
              <w:rPr>
                <w:rFonts w:ascii="Arial" w:eastAsia="Calibri" w:hAnsi="Arial" w:cs="Arial"/>
                <w:b/>
                <w:u w:val="single"/>
              </w:rPr>
            </w:pPr>
            <w:r>
              <w:rPr>
                <w:rFonts w:ascii="Arial" w:eastAsia="Calibri" w:hAnsi="Arial" w:cs="Arial"/>
                <w:b/>
                <w:u w:val="single"/>
              </w:rPr>
              <w:t>91.00%</w:t>
            </w:r>
          </w:p>
          <w:p w14:paraId="7FA137F9" w14:textId="63779FD3" w:rsidR="0027032E" w:rsidRDefault="0027032E" w:rsidP="00C95525">
            <w:pPr>
              <w:jc w:val="center"/>
              <w:rPr>
                <w:rFonts w:ascii="Arial" w:eastAsia="Calibri" w:hAnsi="Arial" w:cs="Arial"/>
                <w:b/>
                <w:u w:val="single"/>
              </w:rPr>
            </w:pPr>
            <w:r>
              <w:rPr>
                <w:rFonts w:ascii="Arial" w:eastAsia="Calibri" w:hAnsi="Arial" w:cs="Arial"/>
                <w:b/>
                <w:u w:val="single"/>
              </w:rPr>
              <w:t>100.00%</w:t>
            </w:r>
          </w:p>
          <w:p w14:paraId="55D6F48E" w14:textId="5C48003C" w:rsidR="0027032E" w:rsidRDefault="0027032E" w:rsidP="00C95525">
            <w:pPr>
              <w:jc w:val="center"/>
              <w:rPr>
                <w:rFonts w:ascii="Arial" w:eastAsia="Calibri" w:hAnsi="Arial" w:cs="Arial"/>
                <w:b/>
                <w:u w:val="single"/>
              </w:rPr>
            </w:pPr>
            <w:r>
              <w:rPr>
                <w:rFonts w:ascii="Arial" w:eastAsia="Calibri" w:hAnsi="Arial" w:cs="Arial"/>
                <w:b/>
                <w:u w:val="single"/>
              </w:rPr>
              <w:lastRenderedPageBreak/>
              <w:t>100.00%</w:t>
            </w:r>
          </w:p>
        </w:tc>
        <w:tc>
          <w:tcPr>
            <w:tcW w:w="1804" w:type="dxa"/>
          </w:tcPr>
          <w:p w14:paraId="13A3827C" w14:textId="77777777" w:rsidR="0027032E" w:rsidRDefault="0027032E" w:rsidP="002551C6">
            <w:pPr>
              <w:jc w:val="center"/>
              <w:rPr>
                <w:rFonts w:ascii="Arial" w:eastAsia="Calibri" w:hAnsi="Arial" w:cs="Arial"/>
                <w:b/>
                <w:u w:val="single"/>
              </w:rPr>
            </w:pPr>
          </w:p>
          <w:p w14:paraId="3D99DD0C" w14:textId="77777777" w:rsidR="0027032E" w:rsidRDefault="0027032E" w:rsidP="002551C6">
            <w:pPr>
              <w:jc w:val="center"/>
              <w:rPr>
                <w:rFonts w:ascii="Arial" w:eastAsia="Calibri" w:hAnsi="Arial" w:cs="Arial"/>
                <w:b/>
                <w:u w:val="single"/>
              </w:rPr>
            </w:pPr>
          </w:p>
          <w:p w14:paraId="73111693" w14:textId="77777777" w:rsidR="0027032E" w:rsidRDefault="0027032E" w:rsidP="002551C6">
            <w:pPr>
              <w:jc w:val="center"/>
              <w:rPr>
                <w:rFonts w:ascii="Arial" w:eastAsia="Calibri" w:hAnsi="Arial" w:cs="Arial"/>
                <w:b/>
                <w:u w:val="single"/>
              </w:rPr>
            </w:pPr>
          </w:p>
          <w:p w14:paraId="05BE8908" w14:textId="145EFB72" w:rsidR="0027032E" w:rsidRDefault="0027032E" w:rsidP="002551C6">
            <w:pPr>
              <w:jc w:val="center"/>
              <w:rPr>
                <w:rFonts w:ascii="Arial" w:eastAsia="Calibri" w:hAnsi="Arial" w:cs="Arial"/>
                <w:b/>
                <w:u w:val="single"/>
              </w:rPr>
            </w:pPr>
            <w:r>
              <w:rPr>
                <w:rFonts w:ascii="Arial" w:eastAsia="Calibri" w:hAnsi="Arial" w:cs="Arial"/>
                <w:b/>
                <w:u w:val="single"/>
              </w:rPr>
              <w:t>91.00%</w:t>
            </w:r>
          </w:p>
          <w:p w14:paraId="624A3472" w14:textId="389EBFF3" w:rsidR="0027032E" w:rsidRDefault="0027032E" w:rsidP="002551C6">
            <w:pPr>
              <w:jc w:val="center"/>
              <w:rPr>
                <w:rFonts w:ascii="Arial" w:eastAsia="Calibri" w:hAnsi="Arial" w:cs="Arial"/>
                <w:b/>
                <w:u w:val="single"/>
              </w:rPr>
            </w:pPr>
            <w:r>
              <w:rPr>
                <w:rFonts w:ascii="Arial" w:eastAsia="Calibri" w:hAnsi="Arial" w:cs="Arial"/>
                <w:b/>
                <w:u w:val="single"/>
              </w:rPr>
              <w:t>36.00%</w:t>
            </w:r>
          </w:p>
          <w:p w14:paraId="3270C61A" w14:textId="706179C8" w:rsidR="0027032E" w:rsidRDefault="0027032E" w:rsidP="002551C6">
            <w:pPr>
              <w:jc w:val="center"/>
              <w:rPr>
                <w:rFonts w:ascii="Arial" w:eastAsia="Calibri" w:hAnsi="Arial" w:cs="Arial"/>
                <w:b/>
                <w:u w:val="single"/>
              </w:rPr>
            </w:pPr>
            <w:r>
              <w:rPr>
                <w:rFonts w:ascii="Arial" w:eastAsia="Calibri" w:hAnsi="Arial" w:cs="Arial"/>
                <w:b/>
                <w:u w:val="single"/>
              </w:rPr>
              <w:lastRenderedPageBreak/>
              <w:t>36.00%</w:t>
            </w:r>
          </w:p>
        </w:tc>
        <w:tc>
          <w:tcPr>
            <w:tcW w:w="2042" w:type="dxa"/>
          </w:tcPr>
          <w:p w14:paraId="0B3971BC" w14:textId="77777777" w:rsidR="0027032E" w:rsidRDefault="0027032E" w:rsidP="002551C6">
            <w:pPr>
              <w:jc w:val="center"/>
              <w:rPr>
                <w:rFonts w:ascii="Arial" w:eastAsia="Calibri" w:hAnsi="Arial" w:cs="Arial"/>
                <w:b/>
                <w:u w:val="single"/>
              </w:rPr>
            </w:pPr>
          </w:p>
          <w:p w14:paraId="13D7A042" w14:textId="77777777" w:rsidR="0027032E" w:rsidRDefault="0027032E" w:rsidP="002551C6">
            <w:pPr>
              <w:jc w:val="center"/>
              <w:rPr>
                <w:rFonts w:ascii="Arial" w:eastAsia="Calibri" w:hAnsi="Arial" w:cs="Arial"/>
                <w:b/>
                <w:u w:val="single"/>
              </w:rPr>
            </w:pPr>
          </w:p>
          <w:p w14:paraId="71C7F335" w14:textId="77777777" w:rsidR="0027032E" w:rsidRDefault="0027032E" w:rsidP="002551C6">
            <w:pPr>
              <w:jc w:val="center"/>
              <w:rPr>
                <w:rFonts w:ascii="Arial" w:eastAsia="Calibri" w:hAnsi="Arial" w:cs="Arial"/>
                <w:b/>
                <w:u w:val="single"/>
              </w:rPr>
            </w:pPr>
          </w:p>
          <w:p w14:paraId="4CD3CA0C" w14:textId="5292B3AC" w:rsidR="0027032E" w:rsidRDefault="0027032E" w:rsidP="002551C6">
            <w:pPr>
              <w:jc w:val="center"/>
              <w:rPr>
                <w:rFonts w:ascii="Arial" w:eastAsia="Calibri" w:hAnsi="Arial" w:cs="Arial"/>
                <w:b/>
                <w:u w:val="single"/>
              </w:rPr>
            </w:pPr>
            <w:r>
              <w:rPr>
                <w:rFonts w:ascii="Arial" w:eastAsia="Calibri" w:hAnsi="Arial" w:cs="Arial"/>
                <w:b/>
                <w:u w:val="single"/>
              </w:rPr>
              <w:t>91.00%</w:t>
            </w:r>
          </w:p>
          <w:p w14:paraId="00178279" w14:textId="0B43EB2E" w:rsidR="0027032E" w:rsidRDefault="0027032E" w:rsidP="002551C6">
            <w:pPr>
              <w:jc w:val="center"/>
              <w:rPr>
                <w:rFonts w:ascii="Arial" w:eastAsia="Calibri" w:hAnsi="Arial" w:cs="Arial"/>
                <w:b/>
                <w:u w:val="single"/>
              </w:rPr>
            </w:pPr>
            <w:r>
              <w:rPr>
                <w:rFonts w:ascii="Arial" w:eastAsia="Calibri" w:hAnsi="Arial" w:cs="Arial"/>
                <w:b/>
                <w:u w:val="single"/>
              </w:rPr>
              <w:t>36.00%</w:t>
            </w:r>
          </w:p>
          <w:p w14:paraId="2B6C971B" w14:textId="4C58A043" w:rsidR="0027032E" w:rsidRDefault="0027032E" w:rsidP="002551C6">
            <w:pPr>
              <w:jc w:val="center"/>
              <w:rPr>
                <w:rFonts w:ascii="Arial" w:eastAsia="Calibri" w:hAnsi="Arial" w:cs="Arial"/>
                <w:b/>
                <w:u w:val="single"/>
              </w:rPr>
            </w:pPr>
            <w:r>
              <w:rPr>
                <w:rFonts w:ascii="Arial" w:eastAsia="Calibri" w:hAnsi="Arial" w:cs="Arial"/>
                <w:b/>
                <w:u w:val="single"/>
              </w:rPr>
              <w:lastRenderedPageBreak/>
              <w:t>36.00%</w:t>
            </w:r>
          </w:p>
        </w:tc>
      </w:tr>
      <w:tr w:rsidR="001F0ECB" w:rsidRPr="004B1294" w14:paraId="21782859" w14:textId="77777777" w:rsidTr="00042E94">
        <w:tc>
          <w:tcPr>
            <w:tcW w:w="1550" w:type="dxa"/>
          </w:tcPr>
          <w:p w14:paraId="5947E2E1" w14:textId="4792E600" w:rsidR="001F0ECB" w:rsidRDefault="001F0ECB" w:rsidP="002551C6">
            <w:pPr>
              <w:jc w:val="center"/>
              <w:rPr>
                <w:rFonts w:ascii="Arial" w:hAnsi="Arial" w:cs="Arial"/>
                <w:b/>
              </w:rPr>
            </w:pPr>
            <w:r>
              <w:rPr>
                <w:rFonts w:ascii="Arial" w:hAnsi="Arial" w:cs="Arial"/>
                <w:b/>
              </w:rPr>
              <w:lastRenderedPageBreak/>
              <w:t>158</w:t>
            </w:r>
          </w:p>
        </w:tc>
        <w:tc>
          <w:tcPr>
            <w:tcW w:w="3255" w:type="dxa"/>
          </w:tcPr>
          <w:p w14:paraId="19B0B0C1" w14:textId="6BDEE938" w:rsidR="001F0ECB" w:rsidRPr="001F0ECB" w:rsidRDefault="001F0ECB" w:rsidP="001F0ECB">
            <w:pPr>
              <w:jc w:val="both"/>
              <w:rPr>
                <w:rFonts w:ascii="Arial" w:hAnsi="Arial" w:cs="Arial"/>
                <w:b/>
                <w:lang w:val="es-MX"/>
              </w:rPr>
            </w:pPr>
            <w:r w:rsidRPr="001F0ECB">
              <w:rPr>
                <w:rFonts w:ascii="Arial" w:hAnsi="Arial" w:cs="Arial"/>
                <w:b/>
                <w:lang w:val="es-MX"/>
              </w:rPr>
              <w:t>CORPORACIÓN AUTÓNOMA REGIONAL DE NARIÑO – CORPONARIÑO.</w:t>
            </w:r>
          </w:p>
          <w:p w14:paraId="4B1FF447" w14:textId="77777777" w:rsidR="001F0ECB" w:rsidRDefault="001F0ECB" w:rsidP="0027032E">
            <w:pPr>
              <w:jc w:val="both"/>
              <w:rPr>
                <w:rFonts w:ascii="Arial" w:hAnsi="Arial" w:cs="Arial"/>
                <w:b/>
                <w:lang w:val="es-MX"/>
              </w:rPr>
            </w:pPr>
          </w:p>
          <w:p w14:paraId="1E3F8089" w14:textId="77777777" w:rsidR="001F0ECB" w:rsidRDefault="001F0ECB" w:rsidP="001F0ECB">
            <w:pPr>
              <w:jc w:val="both"/>
              <w:rPr>
                <w:rFonts w:ascii="Arial" w:hAnsi="Arial" w:cs="Arial"/>
                <w:b/>
                <w:lang w:val="es-MX"/>
              </w:rPr>
            </w:pPr>
            <w:r>
              <w:rPr>
                <w:rFonts w:ascii="Arial" w:hAnsi="Arial" w:cs="Arial"/>
                <w:b/>
                <w:lang w:val="es-MX"/>
              </w:rPr>
              <w:t>FUNCIONAMIENTO</w:t>
            </w:r>
          </w:p>
          <w:p w14:paraId="0AA73F20" w14:textId="61A34AE8" w:rsidR="001F0ECB" w:rsidRDefault="001F0ECB" w:rsidP="001F0ECB">
            <w:pPr>
              <w:jc w:val="both"/>
              <w:rPr>
                <w:rFonts w:ascii="Arial" w:hAnsi="Arial" w:cs="Arial"/>
                <w:b/>
                <w:lang w:val="es-MX"/>
              </w:rPr>
            </w:pPr>
            <w:r>
              <w:rPr>
                <w:rFonts w:ascii="Arial" w:hAnsi="Arial" w:cs="Arial"/>
                <w:b/>
                <w:lang w:val="es-MX"/>
              </w:rPr>
              <w:t>INVERSIÓN</w:t>
            </w:r>
          </w:p>
          <w:p w14:paraId="35D7BD69" w14:textId="4D2D65B2" w:rsidR="001F0ECB" w:rsidRPr="0027032E" w:rsidRDefault="001F0ECB" w:rsidP="001F0ECB">
            <w:pPr>
              <w:jc w:val="both"/>
              <w:rPr>
                <w:rFonts w:ascii="Arial" w:hAnsi="Arial" w:cs="Arial"/>
                <w:b/>
                <w:lang w:val="es-MX"/>
              </w:rPr>
            </w:pPr>
            <w:r>
              <w:rPr>
                <w:rFonts w:ascii="Arial" w:hAnsi="Arial" w:cs="Arial"/>
                <w:b/>
                <w:lang w:val="es-MX"/>
              </w:rPr>
              <w:t>TOTAL PRESUPUESTO</w:t>
            </w:r>
          </w:p>
        </w:tc>
        <w:tc>
          <w:tcPr>
            <w:tcW w:w="1839" w:type="dxa"/>
          </w:tcPr>
          <w:p w14:paraId="7E717FD6" w14:textId="77777777" w:rsidR="001F0ECB" w:rsidRDefault="001F0ECB" w:rsidP="00C95525">
            <w:pPr>
              <w:jc w:val="center"/>
              <w:rPr>
                <w:rFonts w:ascii="Arial" w:eastAsia="Calibri" w:hAnsi="Arial" w:cs="Arial"/>
                <w:b/>
                <w:u w:val="single"/>
              </w:rPr>
            </w:pPr>
          </w:p>
          <w:p w14:paraId="7F436AA8" w14:textId="77777777" w:rsidR="001F0ECB" w:rsidRDefault="001F0ECB" w:rsidP="00C95525">
            <w:pPr>
              <w:jc w:val="center"/>
              <w:rPr>
                <w:rFonts w:ascii="Arial" w:eastAsia="Calibri" w:hAnsi="Arial" w:cs="Arial"/>
                <w:b/>
                <w:u w:val="single"/>
              </w:rPr>
            </w:pPr>
          </w:p>
          <w:p w14:paraId="682615E3" w14:textId="77777777" w:rsidR="001F0ECB" w:rsidRDefault="001F0ECB" w:rsidP="00C95525">
            <w:pPr>
              <w:jc w:val="center"/>
              <w:rPr>
                <w:rFonts w:ascii="Arial" w:eastAsia="Calibri" w:hAnsi="Arial" w:cs="Arial"/>
                <w:b/>
                <w:u w:val="single"/>
              </w:rPr>
            </w:pPr>
          </w:p>
          <w:p w14:paraId="0088AD58" w14:textId="77777777" w:rsidR="001F0ECB" w:rsidRDefault="001F0ECB" w:rsidP="00C95525">
            <w:pPr>
              <w:jc w:val="center"/>
              <w:rPr>
                <w:rFonts w:ascii="Arial" w:eastAsia="Calibri" w:hAnsi="Arial" w:cs="Arial"/>
                <w:b/>
                <w:u w:val="single"/>
              </w:rPr>
            </w:pPr>
          </w:p>
          <w:p w14:paraId="3325FD3B" w14:textId="095F42EC" w:rsidR="001F0ECB" w:rsidRDefault="001F0ECB" w:rsidP="00C95525">
            <w:pPr>
              <w:jc w:val="center"/>
              <w:rPr>
                <w:rFonts w:ascii="Arial" w:eastAsia="Calibri" w:hAnsi="Arial" w:cs="Arial"/>
                <w:b/>
                <w:u w:val="single"/>
              </w:rPr>
            </w:pPr>
            <w:r>
              <w:rPr>
                <w:rFonts w:ascii="Arial" w:eastAsia="Calibri" w:hAnsi="Arial" w:cs="Arial"/>
                <w:b/>
                <w:u w:val="single"/>
              </w:rPr>
              <w:t>94.37%</w:t>
            </w:r>
          </w:p>
          <w:p w14:paraId="22A0283F" w14:textId="2FAFA39B" w:rsidR="001F0ECB" w:rsidRDefault="001F0ECB" w:rsidP="00C95525">
            <w:pPr>
              <w:jc w:val="center"/>
              <w:rPr>
                <w:rFonts w:ascii="Arial" w:eastAsia="Calibri" w:hAnsi="Arial" w:cs="Arial"/>
                <w:b/>
                <w:u w:val="single"/>
              </w:rPr>
            </w:pPr>
            <w:r>
              <w:rPr>
                <w:rFonts w:ascii="Arial" w:eastAsia="Calibri" w:hAnsi="Arial" w:cs="Arial"/>
                <w:b/>
                <w:u w:val="single"/>
              </w:rPr>
              <w:t>98.54%</w:t>
            </w:r>
          </w:p>
          <w:p w14:paraId="308A3FA9" w14:textId="7763E5F9" w:rsidR="001F0ECB" w:rsidRDefault="001F0ECB" w:rsidP="00C95525">
            <w:pPr>
              <w:jc w:val="center"/>
              <w:rPr>
                <w:rFonts w:ascii="Arial" w:eastAsia="Calibri" w:hAnsi="Arial" w:cs="Arial"/>
                <w:b/>
                <w:u w:val="single"/>
              </w:rPr>
            </w:pPr>
            <w:r>
              <w:rPr>
                <w:rFonts w:ascii="Arial" w:eastAsia="Calibri" w:hAnsi="Arial" w:cs="Arial"/>
                <w:b/>
                <w:u w:val="single"/>
              </w:rPr>
              <w:t>96.72%</w:t>
            </w:r>
          </w:p>
        </w:tc>
        <w:tc>
          <w:tcPr>
            <w:tcW w:w="1804" w:type="dxa"/>
          </w:tcPr>
          <w:p w14:paraId="0185D4CC" w14:textId="77777777" w:rsidR="001F0ECB" w:rsidRDefault="001F0ECB" w:rsidP="002551C6">
            <w:pPr>
              <w:jc w:val="center"/>
              <w:rPr>
                <w:rFonts w:ascii="Arial" w:eastAsia="Calibri" w:hAnsi="Arial" w:cs="Arial"/>
                <w:b/>
                <w:u w:val="single"/>
              </w:rPr>
            </w:pPr>
          </w:p>
          <w:p w14:paraId="10801EE1" w14:textId="77777777" w:rsidR="001F0ECB" w:rsidRDefault="001F0ECB" w:rsidP="002551C6">
            <w:pPr>
              <w:jc w:val="center"/>
              <w:rPr>
                <w:rFonts w:ascii="Arial" w:eastAsia="Calibri" w:hAnsi="Arial" w:cs="Arial"/>
                <w:b/>
                <w:u w:val="single"/>
              </w:rPr>
            </w:pPr>
          </w:p>
          <w:p w14:paraId="49B2B433" w14:textId="77777777" w:rsidR="001F0ECB" w:rsidRDefault="001F0ECB" w:rsidP="002551C6">
            <w:pPr>
              <w:jc w:val="center"/>
              <w:rPr>
                <w:rFonts w:ascii="Arial" w:eastAsia="Calibri" w:hAnsi="Arial" w:cs="Arial"/>
                <w:b/>
                <w:u w:val="single"/>
              </w:rPr>
            </w:pPr>
          </w:p>
          <w:p w14:paraId="1265F97D" w14:textId="77777777" w:rsidR="001F0ECB" w:rsidRDefault="001F0ECB" w:rsidP="002551C6">
            <w:pPr>
              <w:jc w:val="center"/>
              <w:rPr>
                <w:rFonts w:ascii="Arial" w:eastAsia="Calibri" w:hAnsi="Arial" w:cs="Arial"/>
                <w:b/>
                <w:u w:val="single"/>
              </w:rPr>
            </w:pPr>
          </w:p>
          <w:p w14:paraId="258AC255" w14:textId="3B0AB867" w:rsidR="001F0ECB" w:rsidRDefault="001F0ECB" w:rsidP="002551C6">
            <w:pPr>
              <w:jc w:val="center"/>
              <w:rPr>
                <w:rFonts w:ascii="Arial" w:eastAsia="Calibri" w:hAnsi="Arial" w:cs="Arial"/>
                <w:b/>
                <w:u w:val="single"/>
              </w:rPr>
            </w:pPr>
            <w:r>
              <w:rPr>
                <w:rFonts w:ascii="Arial" w:eastAsia="Calibri" w:hAnsi="Arial" w:cs="Arial"/>
                <w:b/>
                <w:u w:val="single"/>
              </w:rPr>
              <w:t>91.71%</w:t>
            </w:r>
          </w:p>
          <w:p w14:paraId="65A29A05" w14:textId="659F8E9F" w:rsidR="001F0ECB" w:rsidRDefault="001F0ECB" w:rsidP="002551C6">
            <w:pPr>
              <w:jc w:val="center"/>
              <w:rPr>
                <w:rFonts w:ascii="Arial" w:eastAsia="Calibri" w:hAnsi="Arial" w:cs="Arial"/>
                <w:b/>
                <w:u w:val="single"/>
              </w:rPr>
            </w:pPr>
            <w:r>
              <w:rPr>
                <w:rFonts w:ascii="Arial" w:eastAsia="Calibri" w:hAnsi="Arial" w:cs="Arial"/>
                <w:b/>
                <w:u w:val="single"/>
              </w:rPr>
              <w:t>68.87%</w:t>
            </w:r>
          </w:p>
          <w:p w14:paraId="42B8FA0E" w14:textId="0BD3B01F" w:rsidR="001F0ECB" w:rsidRDefault="001F0ECB" w:rsidP="002551C6">
            <w:pPr>
              <w:jc w:val="center"/>
              <w:rPr>
                <w:rFonts w:ascii="Arial" w:eastAsia="Calibri" w:hAnsi="Arial" w:cs="Arial"/>
                <w:b/>
                <w:u w:val="single"/>
              </w:rPr>
            </w:pPr>
            <w:r>
              <w:rPr>
                <w:rFonts w:ascii="Arial" w:eastAsia="Calibri" w:hAnsi="Arial" w:cs="Arial"/>
                <w:b/>
                <w:u w:val="single"/>
              </w:rPr>
              <w:t>77.74%</w:t>
            </w:r>
          </w:p>
        </w:tc>
        <w:tc>
          <w:tcPr>
            <w:tcW w:w="2042" w:type="dxa"/>
          </w:tcPr>
          <w:p w14:paraId="32F87465" w14:textId="77777777" w:rsidR="001F0ECB" w:rsidRDefault="001F0ECB" w:rsidP="002551C6">
            <w:pPr>
              <w:jc w:val="center"/>
              <w:rPr>
                <w:rFonts w:ascii="Arial" w:eastAsia="Calibri" w:hAnsi="Arial" w:cs="Arial"/>
                <w:b/>
                <w:u w:val="single"/>
              </w:rPr>
            </w:pPr>
          </w:p>
          <w:p w14:paraId="1620C47C" w14:textId="77777777" w:rsidR="001F0ECB" w:rsidRDefault="001F0ECB" w:rsidP="002551C6">
            <w:pPr>
              <w:jc w:val="center"/>
              <w:rPr>
                <w:rFonts w:ascii="Arial" w:eastAsia="Calibri" w:hAnsi="Arial" w:cs="Arial"/>
                <w:b/>
                <w:u w:val="single"/>
              </w:rPr>
            </w:pPr>
          </w:p>
          <w:p w14:paraId="66BE7C4D" w14:textId="77777777" w:rsidR="001F0ECB" w:rsidRDefault="001F0ECB" w:rsidP="002551C6">
            <w:pPr>
              <w:jc w:val="center"/>
              <w:rPr>
                <w:rFonts w:ascii="Arial" w:eastAsia="Calibri" w:hAnsi="Arial" w:cs="Arial"/>
                <w:b/>
                <w:u w:val="single"/>
              </w:rPr>
            </w:pPr>
          </w:p>
          <w:p w14:paraId="634CB1D5" w14:textId="77777777" w:rsidR="001F0ECB" w:rsidRDefault="001F0ECB" w:rsidP="002551C6">
            <w:pPr>
              <w:jc w:val="center"/>
              <w:rPr>
                <w:rFonts w:ascii="Arial" w:eastAsia="Calibri" w:hAnsi="Arial" w:cs="Arial"/>
                <w:b/>
                <w:u w:val="single"/>
              </w:rPr>
            </w:pPr>
          </w:p>
          <w:p w14:paraId="45A5B291" w14:textId="163769BA" w:rsidR="001F0ECB" w:rsidRDefault="001F0ECB" w:rsidP="002551C6">
            <w:pPr>
              <w:jc w:val="center"/>
              <w:rPr>
                <w:rFonts w:ascii="Arial" w:eastAsia="Calibri" w:hAnsi="Arial" w:cs="Arial"/>
                <w:b/>
                <w:u w:val="single"/>
              </w:rPr>
            </w:pPr>
            <w:r>
              <w:rPr>
                <w:rFonts w:ascii="Arial" w:eastAsia="Calibri" w:hAnsi="Arial" w:cs="Arial"/>
                <w:b/>
                <w:u w:val="single"/>
              </w:rPr>
              <w:t>91.71%</w:t>
            </w:r>
          </w:p>
          <w:p w14:paraId="691CEBC8" w14:textId="49B3F938" w:rsidR="001F0ECB" w:rsidRDefault="001F0ECB" w:rsidP="002551C6">
            <w:pPr>
              <w:jc w:val="center"/>
              <w:rPr>
                <w:rFonts w:ascii="Arial" w:eastAsia="Calibri" w:hAnsi="Arial" w:cs="Arial"/>
                <w:b/>
                <w:u w:val="single"/>
              </w:rPr>
            </w:pPr>
            <w:r>
              <w:rPr>
                <w:rFonts w:ascii="Arial" w:eastAsia="Calibri" w:hAnsi="Arial" w:cs="Arial"/>
                <w:b/>
                <w:u w:val="single"/>
              </w:rPr>
              <w:t>66.87%</w:t>
            </w:r>
          </w:p>
          <w:p w14:paraId="4D5DC5C0" w14:textId="0B4666EA" w:rsidR="001F0ECB" w:rsidRDefault="001F0ECB" w:rsidP="002551C6">
            <w:pPr>
              <w:jc w:val="center"/>
              <w:rPr>
                <w:rFonts w:ascii="Arial" w:eastAsia="Calibri" w:hAnsi="Arial" w:cs="Arial"/>
                <w:b/>
                <w:u w:val="single"/>
              </w:rPr>
            </w:pPr>
            <w:r>
              <w:rPr>
                <w:rFonts w:ascii="Arial" w:eastAsia="Calibri" w:hAnsi="Arial" w:cs="Arial"/>
                <w:b/>
                <w:u w:val="single"/>
              </w:rPr>
              <w:t>77.74%</w:t>
            </w:r>
          </w:p>
        </w:tc>
      </w:tr>
      <w:tr w:rsidR="00F047AB" w:rsidRPr="004B1294" w14:paraId="2BC42EB9" w14:textId="77777777" w:rsidTr="00042E94">
        <w:tc>
          <w:tcPr>
            <w:tcW w:w="1550" w:type="dxa"/>
          </w:tcPr>
          <w:p w14:paraId="77832539" w14:textId="002B29A1" w:rsidR="00F047AB" w:rsidRDefault="0020615D" w:rsidP="002551C6">
            <w:pPr>
              <w:jc w:val="center"/>
              <w:rPr>
                <w:rFonts w:ascii="Arial" w:hAnsi="Arial" w:cs="Arial"/>
                <w:b/>
              </w:rPr>
            </w:pPr>
            <w:r>
              <w:rPr>
                <w:rFonts w:ascii="Arial" w:hAnsi="Arial" w:cs="Arial"/>
                <w:b/>
              </w:rPr>
              <w:t>161</w:t>
            </w:r>
          </w:p>
        </w:tc>
        <w:tc>
          <w:tcPr>
            <w:tcW w:w="3255" w:type="dxa"/>
          </w:tcPr>
          <w:p w14:paraId="6B4EB853" w14:textId="77076E86" w:rsidR="0020615D" w:rsidRPr="0020615D" w:rsidRDefault="0020615D" w:rsidP="0020615D">
            <w:pPr>
              <w:jc w:val="both"/>
              <w:rPr>
                <w:rFonts w:ascii="Arial" w:hAnsi="Arial" w:cs="Arial"/>
                <w:b/>
                <w:lang w:val="es-MX"/>
              </w:rPr>
            </w:pPr>
            <w:r w:rsidRPr="0020615D">
              <w:rPr>
                <w:rFonts w:ascii="Arial" w:hAnsi="Arial" w:cs="Arial"/>
                <w:b/>
                <w:lang w:val="es-CO"/>
              </w:rPr>
              <w:t>U.A.E. AGENCIA NACIONAL DE HIDROCARBUROS – ANH.</w:t>
            </w:r>
          </w:p>
          <w:p w14:paraId="2A6EF651" w14:textId="77777777" w:rsidR="00F047AB" w:rsidRDefault="00F047AB" w:rsidP="00F047AB">
            <w:pPr>
              <w:jc w:val="both"/>
              <w:rPr>
                <w:rFonts w:ascii="Arial" w:hAnsi="Arial" w:cs="Arial"/>
                <w:b/>
                <w:lang w:val="es-MX"/>
              </w:rPr>
            </w:pPr>
          </w:p>
          <w:p w14:paraId="3CB12A26" w14:textId="77777777" w:rsidR="0020615D" w:rsidRDefault="0020615D" w:rsidP="0020615D">
            <w:pPr>
              <w:jc w:val="both"/>
              <w:rPr>
                <w:rFonts w:ascii="Arial" w:hAnsi="Arial" w:cs="Arial"/>
                <w:b/>
                <w:lang w:val="es-MX"/>
              </w:rPr>
            </w:pPr>
            <w:r>
              <w:rPr>
                <w:rFonts w:ascii="Arial" w:hAnsi="Arial" w:cs="Arial"/>
                <w:b/>
                <w:lang w:val="es-MX"/>
              </w:rPr>
              <w:t>FUNCIONAMIENTO</w:t>
            </w:r>
          </w:p>
          <w:p w14:paraId="73AAD5E2" w14:textId="77777777" w:rsidR="0020615D" w:rsidRDefault="0020615D" w:rsidP="0020615D">
            <w:pPr>
              <w:jc w:val="both"/>
              <w:rPr>
                <w:rFonts w:ascii="Arial" w:hAnsi="Arial" w:cs="Arial"/>
                <w:b/>
                <w:lang w:val="es-MX"/>
              </w:rPr>
            </w:pPr>
            <w:r>
              <w:rPr>
                <w:rFonts w:ascii="Arial" w:hAnsi="Arial" w:cs="Arial"/>
                <w:b/>
                <w:lang w:val="es-MX"/>
              </w:rPr>
              <w:t>INVERSIÓN</w:t>
            </w:r>
          </w:p>
          <w:p w14:paraId="7BDC3662" w14:textId="77777777" w:rsidR="0020615D" w:rsidRDefault="0020615D" w:rsidP="0020615D">
            <w:pPr>
              <w:jc w:val="both"/>
              <w:rPr>
                <w:rFonts w:ascii="Arial" w:hAnsi="Arial" w:cs="Arial"/>
                <w:b/>
                <w:lang w:val="es-MX"/>
              </w:rPr>
            </w:pPr>
          </w:p>
          <w:p w14:paraId="7D37E37B" w14:textId="4A1F5466" w:rsidR="0020615D" w:rsidRPr="001F0ECB" w:rsidRDefault="0020615D" w:rsidP="0020615D">
            <w:pPr>
              <w:jc w:val="both"/>
              <w:rPr>
                <w:rFonts w:ascii="Arial" w:hAnsi="Arial" w:cs="Arial"/>
                <w:b/>
                <w:lang w:val="es-MX"/>
              </w:rPr>
            </w:pPr>
            <w:r>
              <w:rPr>
                <w:rFonts w:ascii="Arial" w:hAnsi="Arial" w:cs="Arial"/>
                <w:b/>
                <w:lang w:val="es-MX"/>
              </w:rPr>
              <w:t>TOTAL PRESUPUESTO</w:t>
            </w:r>
          </w:p>
        </w:tc>
        <w:tc>
          <w:tcPr>
            <w:tcW w:w="1839" w:type="dxa"/>
          </w:tcPr>
          <w:p w14:paraId="1FC2FFDE" w14:textId="77777777" w:rsidR="00F047AB" w:rsidRPr="0020615D" w:rsidRDefault="00F047AB" w:rsidP="00C95525">
            <w:pPr>
              <w:jc w:val="center"/>
              <w:rPr>
                <w:rFonts w:ascii="Arial" w:eastAsia="Calibri" w:hAnsi="Arial" w:cs="Arial"/>
                <w:b/>
                <w:u w:val="single"/>
              </w:rPr>
            </w:pPr>
          </w:p>
          <w:p w14:paraId="77870E8C" w14:textId="77777777" w:rsidR="0020615D" w:rsidRPr="0020615D" w:rsidRDefault="0020615D" w:rsidP="00C95525">
            <w:pPr>
              <w:jc w:val="center"/>
              <w:rPr>
                <w:rFonts w:ascii="Arial" w:eastAsia="Calibri" w:hAnsi="Arial" w:cs="Arial"/>
                <w:b/>
                <w:u w:val="single"/>
              </w:rPr>
            </w:pPr>
          </w:p>
          <w:p w14:paraId="03A751F1" w14:textId="77777777" w:rsidR="0020615D" w:rsidRPr="0020615D" w:rsidRDefault="0020615D" w:rsidP="00C95525">
            <w:pPr>
              <w:jc w:val="center"/>
              <w:rPr>
                <w:rFonts w:ascii="Arial" w:eastAsia="Calibri" w:hAnsi="Arial" w:cs="Arial"/>
                <w:b/>
                <w:u w:val="single"/>
              </w:rPr>
            </w:pPr>
          </w:p>
          <w:p w14:paraId="0D439801" w14:textId="3B7188AA" w:rsidR="0020615D" w:rsidRPr="0020615D" w:rsidRDefault="0020615D" w:rsidP="00C95525">
            <w:pPr>
              <w:jc w:val="center"/>
              <w:rPr>
                <w:rFonts w:ascii="Arial" w:eastAsia="Calibri" w:hAnsi="Arial" w:cs="Arial"/>
                <w:b/>
                <w:u w:val="single"/>
              </w:rPr>
            </w:pPr>
            <w:r w:rsidRPr="0020615D">
              <w:rPr>
                <w:rFonts w:ascii="Arial" w:eastAsia="Calibri" w:hAnsi="Arial" w:cs="Arial"/>
                <w:b/>
                <w:u w:val="single"/>
              </w:rPr>
              <w:t>99.70%</w:t>
            </w:r>
          </w:p>
          <w:p w14:paraId="12C7FAB7" w14:textId="1CEE7F39" w:rsidR="0020615D" w:rsidRPr="0020615D" w:rsidRDefault="0020615D" w:rsidP="00C95525">
            <w:pPr>
              <w:jc w:val="center"/>
              <w:rPr>
                <w:rFonts w:ascii="Arial" w:eastAsia="Calibri" w:hAnsi="Arial" w:cs="Arial"/>
                <w:b/>
                <w:u w:val="single"/>
              </w:rPr>
            </w:pPr>
            <w:r w:rsidRPr="0020615D">
              <w:rPr>
                <w:rFonts w:ascii="Arial" w:eastAsia="Calibri" w:hAnsi="Arial" w:cs="Arial"/>
                <w:b/>
                <w:u w:val="single"/>
              </w:rPr>
              <w:t>96.00%</w:t>
            </w:r>
          </w:p>
          <w:p w14:paraId="59DC68AB" w14:textId="77777777" w:rsidR="0020615D" w:rsidRPr="0020615D" w:rsidRDefault="0020615D" w:rsidP="00C95525">
            <w:pPr>
              <w:jc w:val="center"/>
              <w:rPr>
                <w:rFonts w:ascii="Arial" w:eastAsia="Calibri" w:hAnsi="Arial" w:cs="Arial"/>
                <w:b/>
                <w:u w:val="single"/>
              </w:rPr>
            </w:pPr>
          </w:p>
          <w:p w14:paraId="641ED58D" w14:textId="77C065B0" w:rsidR="0020615D" w:rsidRPr="0020615D" w:rsidRDefault="0020615D" w:rsidP="00C95525">
            <w:pPr>
              <w:jc w:val="center"/>
              <w:rPr>
                <w:rFonts w:ascii="Arial" w:eastAsia="Calibri" w:hAnsi="Arial" w:cs="Arial"/>
                <w:b/>
                <w:u w:val="single"/>
              </w:rPr>
            </w:pPr>
            <w:r w:rsidRPr="0020615D">
              <w:rPr>
                <w:rFonts w:ascii="Arial" w:eastAsia="Calibri" w:hAnsi="Arial" w:cs="Arial"/>
                <w:b/>
                <w:u w:val="single"/>
              </w:rPr>
              <w:t>99.00%</w:t>
            </w:r>
          </w:p>
        </w:tc>
        <w:tc>
          <w:tcPr>
            <w:tcW w:w="1804" w:type="dxa"/>
          </w:tcPr>
          <w:p w14:paraId="107263F4" w14:textId="77777777" w:rsidR="00F047AB" w:rsidRPr="0020615D" w:rsidRDefault="00F047AB" w:rsidP="002551C6">
            <w:pPr>
              <w:jc w:val="center"/>
              <w:rPr>
                <w:rFonts w:ascii="Arial" w:eastAsia="Calibri" w:hAnsi="Arial" w:cs="Arial"/>
                <w:b/>
                <w:u w:val="single"/>
              </w:rPr>
            </w:pPr>
          </w:p>
          <w:p w14:paraId="0429D444" w14:textId="77777777" w:rsidR="0020615D" w:rsidRPr="0020615D" w:rsidRDefault="0020615D" w:rsidP="002551C6">
            <w:pPr>
              <w:jc w:val="center"/>
              <w:rPr>
                <w:rFonts w:ascii="Arial" w:eastAsia="Calibri" w:hAnsi="Arial" w:cs="Arial"/>
                <w:b/>
                <w:u w:val="single"/>
              </w:rPr>
            </w:pPr>
          </w:p>
          <w:p w14:paraId="2B9AB2BF" w14:textId="77777777" w:rsidR="0020615D" w:rsidRPr="0020615D" w:rsidRDefault="0020615D" w:rsidP="002551C6">
            <w:pPr>
              <w:jc w:val="center"/>
              <w:rPr>
                <w:rFonts w:ascii="Arial" w:eastAsia="Calibri" w:hAnsi="Arial" w:cs="Arial"/>
                <w:b/>
                <w:u w:val="single"/>
              </w:rPr>
            </w:pPr>
          </w:p>
          <w:p w14:paraId="5D13E6BF" w14:textId="5DD8DB1C" w:rsidR="0020615D" w:rsidRPr="0020615D" w:rsidRDefault="0020615D" w:rsidP="002551C6">
            <w:pPr>
              <w:jc w:val="center"/>
              <w:rPr>
                <w:rFonts w:ascii="Arial" w:eastAsia="Calibri" w:hAnsi="Arial" w:cs="Arial"/>
                <w:b/>
                <w:u w:val="single"/>
              </w:rPr>
            </w:pPr>
            <w:r w:rsidRPr="0020615D">
              <w:rPr>
                <w:rFonts w:ascii="Arial" w:eastAsia="Calibri" w:hAnsi="Arial" w:cs="Arial"/>
                <w:b/>
                <w:u w:val="single"/>
              </w:rPr>
              <w:t>99.50%</w:t>
            </w:r>
          </w:p>
          <w:p w14:paraId="02AC352D" w14:textId="2B7AEA9C" w:rsidR="0020615D" w:rsidRPr="0020615D" w:rsidRDefault="0020615D" w:rsidP="002551C6">
            <w:pPr>
              <w:jc w:val="center"/>
              <w:rPr>
                <w:rFonts w:ascii="Arial" w:eastAsia="Calibri" w:hAnsi="Arial" w:cs="Arial"/>
                <w:b/>
                <w:u w:val="single"/>
              </w:rPr>
            </w:pPr>
            <w:r w:rsidRPr="0020615D">
              <w:rPr>
                <w:rFonts w:ascii="Arial" w:eastAsia="Calibri" w:hAnsi="Arial" w:cs="Arial"/>
                <w:b/>
                <w:u w:val="single"/>
              </w:rPr>
              <w:t>64.00%</w:t>
            </w:r>
          </w:p>
          <w:p w14:paraId="18EC3643" w14:textId="77777777" w:rsidR="0020615D" w:rsidRPr="0020615D" w:rsidRDefault="0020615D" w:rsidP="002551C6">
            <w:pPr>
              <w:jc w:val="center"/>
              <w:rPr>
                <w:rFonts w:ascii="Arial" w:eastAsia="Calibri" w:hAnsi="Arial" w:cs="Arial"/>
                <w:b/>
                <w:u w:val="single"/>
              </w:rPr>
            </w:pPr>
          </w:p>
          <w:p w14:paraId="0DF36368" w14:textId="5699BAB9" w:rsidR="0020615D" w:rsidRPr="0020615D" w:rsidRDefault="0020615D" w:rsidP="002551C6">
            <w:pPr>
              <w:jc w:val="center"/>
              <w:rPr>
                <w:rFonts w:ascii="Arial" w:eastAsia="Calibri" w:hAnsi="Arial" w:cs="Arial"/>
                <w:b/>
                <w:u w:val="single"/>
              </w:rPr>
            </w:pPr>
            <w:r w:rsidRPr="0020615D">
              <w:rPr>
                <w:rFonts w:ascii="Arial" w:eastAsia="Calibri" w:hAnsi="Arial" w:cs="Arial"/>
                <w:b/>
                <w:u w:val="single"/>
              </w:rPr>
              <w:t>96.00%</w:t>
            </w:r>
          </w:p>
        </w:tc>
        <w:tc>
          <w:tcPr>
            <w:tcW w:w="2042" w:type="dxa"/>
          </w:tcPr>
          <w:p w14:paraId="165D5E39" w14:textId="77777777" w:rsidR="00F047AB" w:rsidRPr="0020615D" w:rsidRDefault="00F047AB" w:rsidP="002551C6">
            <w:pPr>
              <w:jc w:val="center"/>
              <w:rPr>
                <w:rFonts w:ascii="Arial" w:eastAsia="Calibri" w:hAnsi="Arial" w:cs="Arial"/>
                <w:b/>
                <w:u w:val="single"/>
              </w:rPr>
            </w:pPr>
          </w:p>
          <w:p w14:paraId="3B7A30CE" w14:textId="77777777" w:rsidR="0020615D" w:rsidRPr="0020615D" w:rsidRDefault="0020615D" w:rsidP="002551C6">
            <w:pPr>
              <w:jc w:val="center"/>
              <w:rPr>
                <w:rFonts w:ascii="Arial" w:eastAsia="Calibri" w:hAnsi="Arial" w:cs="Arial"/>
                <w:b/>
                <w:u w:val="single"/>
              </w:rPr>
            </w:pPr>
          </w:p>
          <w:p w14:paraId="2C964A9A" w14:textId="77777777" w:rsidR="0020615D" w:rsidRPr="0020615D" w:rsidRDefault="0020615D" w:rsidP="002551C6">
            <w:pPr>
              <w:jc w:val="center"/>
              <w:rPr>
                <w:rFonts w:ascii="Arial" w:eastAsia="Calibri" w:hAnsi="Arial" w:cs="Arial"/>
                <w:b/>
                <w:u w:val="single"/>
              </w:rPr>
            </w:pPr>
          </w:p>
          <w:p w14:paraId="78CBC667" w14:textId="7FB58AD5" w:rsidR="0020615D" w:rsidRPr="0020615D" w:rsidRDefault="0020615D" w:rsidP="002551C6">
            <w:pPr>
              <w:jc w:val="center"/>
              <w:rPr>
                <w:rFonts w:ascii="Arial" w:eastAsia="Calibri" w:hAnsi="Arial" w:cs="Arial"/>
                <w:b/>
                <w:u w:val="single"/>
              </w:rPr>
            </w:pPr>
            <w:r w:rsidRPr="0020615D">
              <w:rPr>
                <w:rFonts w:ascii="Arial" w:eastAsia="Calibri" w:hAnsi="Arial" w:cs="Arial"/>
                <w:b/>
                <w:u w:val="single"/>
              </w:rPr>
              <w:t>99.30%</w:t>
            </w:r>
          </w:p>
          <w:p w14:paraId="3186BE45" w14:textId="4A83FEAD" w:rsidR="0020615D" w:rsidRPr="0020615D" w:rsidRDefault="0020615D" w:rsidP="002551C6">
            <w:pPr>
              <w:jc w:val="center"/>
              <w:rPr>
                <w:rFonts w:ascii="Arial" w:eastAsia="Calibri" w:hAnsi="Arial" w:cs="Arial"/>
                <w:b/>
                <w:u w:val="single"/>
              </w:rPr>
            </w:pPr>
            <w:r w:rsidRPr="0020615D">
              <w:rPr>
                <w:rFonts w:ascii="Arial" w:eastAsia="Calibri" w:hAnsi="Arial" w:cs="Arial"/>
                <w:b/>
                <w:u w:val="single"/>
              </w:rPr>
              <w:t>46.00%</w:t>
            </w:r>
          </w:p>
          <w:p w14:paraId="0046710E" w14:textId="77777777" w:rsidR="0020615D" w:rsidRPr="0020615D" w:rsidRDefault="0020615D" w:rsidP="002551C6">
            <w:pPr>
              <w:jc w:val="center"/>
              <w:rPr>
                <w:rFonts w:ascii="Arial" w:eastAsia="Calibri" w:hAnsi="Arial" w:cs="Arial"/>
                <w:b/>
                <w:u w:val="single"/>
              </w:rPr>
            </w:pPr>
          </w:p>
          <w:p w14:paraId="4D3956CF" w14:textId="121DB057" w:rsidR="0020615D" w:rsidRPr="0020615D" w:rsidRDefault="0020615D" w:rsidP="002551C6">
            <w:pPr>
              <w:jc w:val="center"/>
              <w:rPr>
                <w:rFonts w:ascii="Arial" w:eastAsia="Calibri" w:hAnsi="Arial" w:cs="Arial"/>
                <w:b/>
                <w:u w:val="single"/>
              </w:rPr>
            </w:pPr>
            <w:r w:rsidRPr="0020615D">
              <w:rPr>
                <w:rFonts w:ascii="Arial" w:eastAsia="Calibri" w:hAnsi="Arial" w:cs="Arial"/>
                <w:b/>
                <w:u w:val="single"/>
              </w:rPr>
              <w:t>95.00%</w:t>
            </w:r>
          </w:p>
        </w:tc>
      </w:tr>
      <w:tr w:rsidR="004F452E" w:rsidRPr="004B1294" w14:paraId="0CD222CE" w14:textId="77777777" w:rsidTr="00042E94">
        <w:tc>
          <w:tcPr>
            <w:tcW w:w="1550" w:type="dxa"/>
          </w:tcPr>
          <w:p w14:paraId="22AF80E3" w14:textId="66C4369F" w:rsidR="004F452E" w:rsidRDefault="004F452E" w:rsidP="002551C6">
            <w:pPr>
              <w:jc w:val="center"/>
              <w:rPr>
                <w:rFonts w:ascii="Arial" w:hAnsi="Arial" w:cs="Arial"/>
                <w:b/>
              </w:rPr>
            </w:pPr>
            <w:r>
              <w:rPr>
                <w:rFonts w:ascii="Arial" w:hAnsi="Arial" w:cs="Arial"/>
                <w:b/>
              </w:rPr>
              <w:t>164</w:t>
            </w:r>
          </w:p>
        </w:tc>
        <w:tc>
          <w:tcPr>
            <w:tcW w:w="3255" w:type="dxa"/>
          </w:tcPr>
          <w:p w14:paraId="748DEF15" w14:textId="77777777" w:rsidR="004F452E" w:rsidRPr="004F452E" w:rsidRDefault="004F452E" w:rsidP="004F452E">
            <w:pPr>
              <w:jc w:val="both"/>
              <w:rPr>
                <w:rFonts w:ascii="Arial" w:hAnsi="Arial" w:cs="Arial"/>
                <w:b/>
                <w:lang w:val="es-MX"/>
              </w:rPr>
            </w:pPr>
            <w:r w:rsidRPr="004F452E">
              <w:rPr>
                <w:rFonts w:ascii="Arial" w:hAnsi="Arial" w:cs="Arial"/>
                <w:b/>
                <w:lang w:val="es-MX"/>
              </w:rPr>
              <w:t>164.- AGENCIA NACIONAL DE SEGURIDAD VIAL.</w:t>
            </w:r>
          </w:p>
          <w:p w14:paraId="502B51F4" w14:textId="77777777" w:rsidR="004F452E" w:rsidRDefault="004F452E" w:rsidP="0020615D">
            <w:pPr>
              <w:jc w:val="both"/>
              <w:rPr>
                <w:rFonts w:ascii="Arial" w:hAnsi="Arial" w:cs="Arial"/>
                <w:b/>
                <w:lang w:val="es-MX"/>
              </w:rPr>
            </w:pPr>
          </w:p>
          <w:p w14:paraId="61EA3F6D" w14:textId="77777777" w:rsidR="004F452E" w:rsidRDefault="004F452E" w:rsidP="004F452E">
            <w:pPr>
              <w:jc w:val="both"/>
              <w:rPr>
                <w:rFonts w:ascii="Arial" w:hAnsi="Arial" w:cs="Arial"/>
                <w:b/>
                <w:lang w:val="es-MX"/>
              </w:rPr>
            </w:pPr>
            <w:r>
              <w:rPr>
                <w:rFonts w:ascii="Arial" w:hAnsi="Arial" w:cs="Arial"/>
                <w:b/>
                <w:lang w:val="es-MX"/>
              </w:rPr>
              <w:t>FUNCIONAMIENTO</w:t>
            </w:r>
          </w:p>
          <w:p w14:paraId="729026E4" w14:textId="77777777" w:rsidR="004F452E" w:rsidRDefault="004F452E" w:rsidP="004F452E">
            <w:pPr>
              <w:jc w:val="both"/>
              <w:rPr>
                <w:rFonts w:ascii="Arial" w:hAnsi="Arial" w:cs="Arial"/>
                <w:b/>
                <w:lang w:val="es-MX"/>
              </w:rPr>
            </w:pPr>
            <w:r>
              <w:rPr>
                <w:rFonts w:ascii="Arial" w:hAnsi="Arial" w:cs="Arial"/>
                <w:b/>
                <w:lang w:val="es-MX"/>
              </w:rPr>
              <w:t>INVERSIÓN</w:t>
            </w:r>
          </w:p>
          <w:p w14:paraId="1F30E10E" w14:textId="77777777" w:rsidR="004F452E" w:rsidRDefault="004F452E" w:rsidP="004F452E">
            <w:pPr>
              <w:jc w:val="both"/>
              <w:rPr>
                <w:rFonts w:ascii="Arial" w:hAnsi="Arial" w:cs="Arial"/>
                <w:b/>
                <w:lang w:val="es-MX"/>
              </w:rPr>
            </w:pPr>
          </w:p>
          <w:p w14:paraId="41F0432E" w14:textId="3136A30A" w:rsidR="004F452E" w:rsidRPr="004F452E" w:rsidRDefault="004F452E" w:rsidP="004F452E">
            <w:pPr>
              <w:jc w:val="both"/>
              <w:rPr>
                <w:rFonts w:ascii="Arial" w:hAnsi="Arial" w:cs="Arial"/>
                <w:b/>
                <w:lang w:val="es-MX"/>
              </w:rPr>
            </w:pPr>
            <w:r>
              <w:rPr>
                <w:rFonts w:ascii="Arial" w:hAnsi="Arial" w:cs="Arial"/>
                <w:b/>
                <w:lang w:val="es-MX"/>
              </w:rPr>
              <w:t>TOTAL PRESUPUESTO</w:t>
            </w:r>
          </w:p>
        </w:tc>
        <w:tc>
          <w:tcPr>
            <w:tcW w:w="1839" w:type="dxa"/>
          </w:tcPr>
          <w:p w14:paraId="252A81C4" w14:textId="77777777" w:rsidR="004F452E" w:rsidRDefault="004F452E" w:rsidP="00C95525">
            <w:pPr>
              <w:jc w:val="center"/>
              <w:rPr>
                <w:rFonts w:ascii="Arial" w:eastAsia="Calibri" w:hAnsi="Arial" w:cs="Arial"/>
                <w:b/>
                <w:u w:val="single"/>
              </w:rPr>
            </w:pPr>
          </w:p>
          <w:p w14:paraId="06D196B9" w14:textId="77777777" w:rsidR="004F452E" w:rsidRDefault="004F452E" w:rsidP="00C95525">
            <w:pPr>
              <w:jc w:val="center"/>
              <w:rPr>
                <w:rFonts w:ascii="Arial" w:eastAsia="Calibri" w:hAnsi="Arial" w:cs="Arial"/>
                <w:b/>
                <w:u w:val="single"/>
              </w:rPr>
            </w:pPr>
          </w:p>
          <w:p w14:paraId="794AABD2" w14:textId="77777777" w:rsidR="004F452E" w:rsidRDefault="004F452E" w:rsidP="00C95525">
            <w:pPr>
              <w:jc w:val="center"/>
              <w:rPr>
                <w:rFonts w:ascii="Arial" w:eastAsia="Calibri" w:hAnsi="Arial" w:cs="Arial"/>
                <w:b/>
                <w:u w:val="single"/>
              </w:rPr>
            </w:pPr>
          </w:p>
          <w:p w14:paraId="03D9FB41" w14:textId="5E907DB8" w:rsidR="004F452E" w:rsidRDefault="004F452E" w:rsidP="00C95525">
            <w:pPr>
              <w:jc w:val="center"/>
              <w:rPr>
                <w:rFonts w:ascii="Arial" w:eastAsia="Calibri" w:hAnsi="Arial" w:cs="Arial"/>
                <w:b/>
                <w:u w:val="single"/>
              </w:rPr>
            </w:pPr>
            <w:r>
              <w:rPr>
                <w:rFonts w:ascii="Arial" w:eastAsia="Calibri" w:hAnsi="Arial" w:cs="Arial"/>
                <w:b/>
                <w:u w:val="single"/>
              </w:rPr>
              <w:t>84.18%</w:t>
            </w:r>
          </w:p>
          <w:p w14:paraId="7E479CFC" w14:textId="5BD23F1C" w:rsidR="004F452E" w:rsidRDefault="004F452E" w:rsidP="00C95525">
            <w:pPr>
              <w:jc w:val="center"/>
              <w:rPr>
                <w:rFonts w:ascii="Arial" w:eastAsia="Calibri" w:hAnsi="Arial" w:cs="Arial"/>
                <w:b/>
                <w:u w:val="single"/>
              </w:rPr>
            </w:pPr>
            <w:r>
              <w:rPr>
                <w:rFonts w:ascii="Arial" w:eastAsia="Calibri" w:hAnsi="Arial" w:cs="Arial"/>
                <w:b/>
                <w:u w:val="single"/>
              </w:rPr>
              <w:t>100.00%</w:t>
            </w:r>
          </w:p>
          <w:p w14:paraId="6C56DCEA" w14:textId="77777777" w:rsidR="004F452E" w:rsidRDefault="004F452E" w:rsidP="00C95525">
            <w:pPr>
              <w:jc w:val="center"/>
              <w:rPr>
                <w:rFonts w:ascii="Arial" w:eastAsia="Calibri" w:hAnsi="Arial" w:cs="Arial"/>
                <w:b/>
                <w:u w:val="single"/>
              </w:rPr>
            </w:pPr>
          </w:p>
          <w:p w14:paraId="394E16D3" w14:textId="38BAB0C2" w:rsidR="004F452E" w:rsidRPr="0020615D" w:rsidRDefault="004F452E" w:rsidP="00C95525">
            <w:pPr>
              <w:jc w:val="center"/>
              <w:rPr>
                <w:rFonts w:ascii="Arial" w:eastAsia="Calibri" w:hAnsi="Arial" w:cs="Arial"/>
                <w:b/>
                <w:u w:val="single"/>
              </w:rPr>
            </w:pPr>
            <w:r>
              <w:rPr>
                <w:rFonts w:ascii="Arial" w:eastAsia="Calibri" w:hAnsi="Arial" w:cs="Arial"/>
                <w:b/>
                <w:u w:val="single"/>
              </w:rPr>
              <w:t>97.83%</w:t>
            </w:r>
          </w:p>
        </w:tc>
        <w:tc>
          <w:tcPr>
            <w:tcW w:w="1804" w:type="dxa"/>
          </w:tcPr>
          <w:p w14:paraId="6EF29D80" w14:textId="77777777" w:rsidR="004F452E" w:rsidRDefault="004F452E" w:rsidP="002551C6">
            <w:pPr>
              <w:jc w:val="center"/>
              <w:rPr>
                <w:rFonts w:ascii="Arial" w:eastAsia="Calibri" w:hAnsi="Arial" w:cs="Arial"/>
                <w:b/>
                <w:u w:val="single"/>
              </w:rPr>
            </w:pPr>
          </w:p>
          <w:p w14:paraId="1AC7DE11" w14:textId="77777777" w:rsidR="004F452E" w:rsidRDefault="004F452E" w:rsidP="002551C6">
            <w:pPr>
              <w:jc w:val="center"/>
              <w:rPr>
                <w:rFonts w:ascii="Arial" w:eastAsia="Calibri" w:hAnsi="Arial" w:cs="Arial"/>
                <w:b/>
                <w:u w:val="single"/>
              </w:rPr>
            </w:pPr>
          </w:p>
          <w:p w14:paraId="6E3B628A" w14:textId="77777777" w:rsidR="004F452E" w:rsidRDefault="004F452E" w:rsidP="002551C6">
            <w:pPr>
              <w:jc w:val="center"/>
              <w:rPr>
                <w:rFonts w:ascii="Arial" w:eastAsia="Calibri" w:hAnsi="Arial" w:cs="Arial"/>
                <w:b/>
                <w:u w:val="single"/>
              </w:rPr>
            </w:pPr>
          </w:p>
          <w:p w14:paraId="76C5384D" w14:textId="2AA918FC" w:rsidR="004F452E" w:rsidRDefault="004F452E" w:rsidP="002551C6">
            <w:pPr>
              <w:jc w:val="center"/>
              <w:rPr>
                <w:rFonts w:ascii="Arial" w:eastAsia="Calibri" w:hAnsi="Arial" w:cs="Arial"/>
                <w:b/>
                <w:u w:val="single"/>
              </w:rPr>
            </w:pPr>
            <w:r>
              <w:rPr>
                <w:rFonts w:ascii="Arial" w:eastAsia="Calibri" w:hAnsi="Arial" w:cs="Arial"/>
                <w:b/>
                <w:u w:val="single"/>
              </w:rPr>
              <w:t>84.18%</w:t>
            </w:r>
          </w:p>
          <w:p w14:paraId="3C1A998B" w14:textId="49818EBB" w:rsidR="004F452E" w:rsidRDefault="004F452E" w:rsidP="002551C6">
            <w:pPr>
              <w:jc w:val="center"/>
              <w:rPr>
                <w:rFonts w:ascii="Arial" w:eastAsia="Calibri" w:hAnsi="Arial" w:cs="Arial"/>
                <w:b/>
                <w:u w:val="single"/>
              </w:rPr>
            </w:pPr>
            <w:r>
              <w:rPr>
                <w:rFonts w:ascii="Arial" w:eastAsia="Calibri" w:hAnsi="Arial" w:cs="Arial"/>
                <w:b/>
                <w:u w:val="single"/>
              </w:rPr>
              <w:t>100.00%</w:t>
            </w:r>
          </w:p>
          <w:p w14:paraId="6DAB5252" w14:textId="77777777" w:rsidR="004F452E" w:rsidRDefault="004F452E" w:rsidP="002551C6">
            <w:pPr>
              <w:jc w:val="center"/>
              <w:rPr>
                <w:rFonts w:ascii="Arial" w:eastAsia="Calibri" w:hAnsi="Arial" w:cs="Arial"/>
                <w:b/>
                <w:u w:val="single"/>
              </w:rPr>
            </w:pPr>
          </w:p>
          <w:p w14:paraId="03CE71B3" w14:textId="26D37EF2" w:rsidR="004F452E" w:rsidRPr="0020615D" w:rsidRDefault="004F452E" w:rsidP="002551C6">
            <w:pPr>
              <w:jc w:val="center"/>
              <w:rPr>
                <w:rFonts w:ascii="Arial" w:eastAsia="Calibri" w:hAnsi="Arial" w:cs="Arial"/>
                <w:b/>
                <w:u w:val="single"/>
              </w:rPr>
            </w:pPr>
            <w:r>
              <w:rPr>
                <w:rFonts w:ascii="Arial" w:eastAsia="Calibri" w:hAnsi="Arial" w:cs="Arial"/>
                <w:b/>
                <w:u w:val="single"/>
              </w:rPr>
              <w:t>87.83%</w:t>
            </w:r>
          </w:p>
        </w:tc>
        <w:tc>
          <w:tcPr>
            <w:tcW w:w="2042" w:type="dxa"/>
          </w:tcPr>
          <w:p w14:paraId="78A7B00E" w14:textId="77777777" w:rsidR="004F452E" w:rsidRDefault="004F452E" w:rsidP="002551C6">
            <w:pPr>
              <w:jc w:val="center"/>
              <w:rPr>
                <w:rFonts w:ascii="Arial" w:eastAsia="Calibri" w:hAnsi="Arial" w:cs="Arial"/>
                <w:b/>
                <w:u w:val="single"/>
              </w:rPr>
            </w:pPr>
          </w:p>
          <w:p w14:paraId="054AD490" w14:textId="77777777" w:rsidR="004F452E" w:rsidRDefault="004F452E" w:rsidP="002551C6">
            <w:pPr>
              <w:jc w:val="center"/>
              <w:rPr>
                <w:rFonts w:ascii="Arial" w:eastAsia="Calibri" w:hAnsi="Arial" w:cs="Arial"/>
                <w:b/>
                <w:u w:val="single"/>
              </w:rPr>
            </w:pPr>
          </w:p>
          <w:p w14:paraId="1FAF7315" w14:textId="77777777" w:rsidR="004F452E" w:rsidRDefault="004F452E" w:rsidP="002551C6">
            <w:pPr>
              <w:jc w:val="center"/>
              <w:rPr>
                <w:rFonts w:ascii="Arial" w:eastAsia="Calibri" w:hAnsi="Arial" w:cs="Arial"/>
                <w:b/>
                <w:u w:val="single"/>
              </w:rPr>
            </w:pPr>
          </w:p>
          <w:p w14:paraId="02AABB37" w14:textId="43E2ABA4" w:rsidR="004F452E" w:rsidRDefault="004F452E" w:rsidP="002551C6">
            <w:pPr>
              <w:jc w:val="center"/>
              <w:rPr>
                <w:rFonts w:ascii="Arial" w:eastAsia="Calibri" w:hAnsi="Arial" w:cs="Arial"/>
                <w:b/>
                <w:u w:val="single"/>
              </w:rPr>
            </w:pPr>
            <w:r>
              <w:rPr>
                <w:rFonts w:ascii="Arial" w:eastAsia="Calibri" w:hAnsi="Arial" w:cs="Arial"/>
                <w:b/>
                <w:u w:val="single"/>
              </w:rPr>
              <w:t>80.70%</w:t>
            </w:r>
          </w:p>
          <w:p w14:paraId="33DB79DD" w14:textId="586212FE" w:rsidR="004F452E" w:rsidRDefault="004F452E" w:rsidP="002551C6">
            <w:pPr>
              <w:jc w:val="center"/>
              <w:rPr>
                <w:rFonts w:ascii="Arial" w:eastAsia="Calibri" w:hAnsi="Arial" w:cs="Arial"/>
                <w:b/>
                <w:u w:val="single"/>
              </w:rPr>
            </w:pPr>
            <w:r>
              <w:rPr>
                <w:rFonts w:ascii="Arial" w:eastAsia="Calibri" w:hAnsi="Arial" w:cs="Arial"/>
                <w:b/>
                <w:u w:val="single"/>
              </w:rPr>
              <w:t>100.00%</w:t>
            </w:r>
          </w:p>
          <w:p w14:paraId="53B1BC81" w14:textId="77777777" w:rsidR="004F452E" w:rsidRDefault="004F452E" w:rsidP="002551C6">
            <w:pPr>
              <w:jc w:val="center"/>
              <w:rPr>
                <w:rFonts w:ascii="Arial" w:eastAsia="Calibri" w:hAnsi="Arial" w:cs="Arial"/>
                <w:b/>
                <w:u w:val="single"/>
              </w:rPr>
            </w:pPr>
          </w:p>
          <w:p w14:paraId="21EC99B9" w14:textId="1655BFDB" w:rsidR="004F452E" w:rsidRPr="0020615D" w:rsidRDefault="004F452E" w:rsidP="002551C6">
            <w:pPr>
              <w:jc w:val="center"/>
              <w:rPr>
                <w:rFonts w:ascii="Arial" w:eastAsia="Calibri" w:hAnsi="Arial" w:cs="Arial"/>
                <w:b/>
                <w:u w:val="single"/>
              </w:rPr>
            </w:pPr>
            <w:r>
              <w:rPr>
                <w:rFonts w:ascii="Arial" w:eastAsia="Calibri" w:hAnsi="Arial" w:cs="Arial"/>
                <w:b/>
                <w:u w:val="single"/>
              </w:rPr>
              <w:t>97.35%</w:t>
            </w:r>
          </w:p>
        </w:tc>
      </w:tr>
      <w:tr w:rsidR="00426177" w:rsidRPr="004B1294" w14:paraId="5D8597C2" w14:textId="77777777" w:rsidTr="00042E94">
        <w:tc>
          <w:tcPr>
            <w:tcW w:w="1550" w:type="dxa"/>
          </w:tcPr>
          <w:p w14:paraId="2F52AB6D" w14:textId="0FB899FD" w:rsidR="00426177" w:rsidRDefault="00426177" w:rsidP="002551C6">
            <w:pPr>
              <w:jc w:val="center"/>
              <w:rPr>
                <w:rFonts w:ascii="Arial" w:hAnsi="Arial" w:cs="Arial"/>
                <w:b/>
              </w:rPr>
            </w:pPr>
            <w:r>
              <w:rPr>
                <w:rFonts w:ascii="Arial" w:hAnsi="Arial" w:cs="Arial"/>
                <w:b/>
              </w:rPr>
              <w:t>172</w:t>
            </w:r>
          </w:p>
        </w:tc>
        <w:tc>
          <w:tcPr>
            <w:tcW w:w="3255" w:type="dxa"/>
          </w:tcPr>
          <w:p w14:paraId="691BC4EA" w14:textId="5269B142" w:rsidR="00426177" w:rsidRDefault="00426177" w:rsidP="00426177">
            <w:pPr>
              <w:ind w:left="-238"/>
              <w:jc w:val="both"/>
              <w:rPr>
                <w:rFonts w:ascii="Arial" w:hAnsi="Arial" w:cs="Arial"/>
                <w:b/>
                <w:lang w:val="es-MX"/>
              </w:rPr>
            </w:pPr>
            <w:r w:rsidRPr="00426177">
              <w:rPr>
                <w:rFonts w:ascii="Arial" w:hAnsi="Arial" w:cs="Arial"/>
                <w:b/>
                <w:lang w:val="es-MX"/>
              </w:rPr>
              <w:t xml:space="preserve">     POLICÍA NACIONAL.</w:t>
            </w:r>
          </w:p>
          <w:p w14:paraId="45757F82" w14:textId="77777777" w:rsidR="00426177" w:rsidRDefault="00426177" w:rsidP="004F452E">
            <w:pPr>
              <w:jc w:val="both"/>
              <w:rPr>
                <w:rFonts w:ascii="Arial" w:hAnsi="Arial" w:cs="Arial"/>
                <w:b/>
              </w:rPr>
            </w:pPr>
          </w:p>
          <w:p w14:paraId="70AC90C8" w14:textId="77777777" w:rsidR="00426177" w:rsidRDefault="00426177" w:rsidP="00426177">
            <w:pPr>
              <w:jc w:val="both"/>
              <w:rPr>
                <w:rFonts w:ascii="Arial" w:hAnsi="Arial" w:cs="Arial"/>
                <w:b/>
                <w:lang w:val="es-MX"/>
              </w:rPr>
            </w:pPr>
            <w:r>
              <w:rPr>
                <w:rFonts w:ascii="Arial" w:hAnsi="Arial" w:cs="Arial"/>
                <w:b/>
                <w:lang w:val="es-MX"/>
              </w:rPr>
              <w:t>FUNCIONAMIENTO</w:t>
            </w:r>
          </w:p>
          <w:p w14:paraId="273B3ED2" w14:textId="77777777" w:rsidR="00426177" w:rsidRDefault="00426177" w:rsidP="00426177">
            <w:pPr>
              <w:jc w:val="both"/>
              <w:rPr>
                <w:rFonts w:ascii="Arial" w:hAnsi="Arial" w:cs="Arial"/>
                <w:b/>
                <w:lang w:val="es-MX"/>
              </w:rPr>
            </w:pPr>
            <w:r>
              <w:rPr>
                <w:rFonts w:ascii="Arial" w:hAnsi="Arial" w:cs="Arial"/>
                <w:b/>
                <w:lang w:val="es-MX"/>
              </w:rPr>
              <w:t>INVERSIÓN</w:t>
            </w:r>
          </w:p>
          <w:p w14:paraId="26E5C300" w14:textId="77777777" w:rsidR="00426177" w:rsidRDefault="00426177" w:rsidP="00426177">
            <w:pPr>
              <w:jc w:val="both"/>
              <w:rPr>
                <w:rFonts w:ascii="Arial" w:hAnsi="Arial" w:cs="Arial"/>
                <w:b/>
                <w:lang w:val="es-MX"/>
              </w:rPr>
            </w:pPr>
          </w:p>
          <w:p w14:paraId="118738A3" w14:textId="5776A021" w:rsidR="00426177" w:rsidRPr="004F452E" w:rsidRDefault="00426177" w:rsidP="00426177">
            <w:pPr>
              <w:jc w:val="both"/>
              <w:rPr>
                <w:rFonts w:ascii="Arial" w:hAnsi="Arial" w:cs="Arial"/>
                <w:b/>
                <w:lang w:val="es-MX"/>
              </w:rPr>
            </w:pPr>
            <w:r>
              <w:rPr>
                <w:rFonts w:ascii="Arial" w:hAnsi="Arial" w:cs="Arial"/>
                <w:b/>
                <w:lang w:val="es-MX"/>
              </w:rPr>
              <w:t>TOTAL PRESUPUESTO</w:t>
            </w:r>
          </w:p>
        </w:tc>
        <w:tc>
          <w:tcPr>
            <w:tcW w:w="1839" w:type="dxa"/>
          </w:tcPr>
          <w:p w14:paraId="36A6E311" w14:textId="77777777" w:rsidR="00426177" w:rsidRDefault="00426177" w:rsidP="00C95525">
            <w:pPr>
              <w:jc w:val="center"/>
              <w:rPr>
                <w:rFonts w:ascii="Arial" w:eastAsia="Calibri" w:hAnsi="Arial" w:cs="Arial"/>
                <w:b/>
                <w:u w:val="single"/>
              </w:rPr>
            </w:pPr>
          </w:p>
          <w:p w14:paraId="31AB53AF" w14:textId="77777777" w:rsidR="00426177" w:rsidRDefault="00426177" w:rsidP="00C95525">
            <w:pPr>
              <w:jc w:val="center"/>
              <w:rPr>
                <w:rFonts w:ascii="Arial" w:eastAsia="Calibri" w:hAnsi="Arial" w:cs="Arial"/>
                <w:b/>
                <w:u w:val="single"/>
              </w:rPr>
            </w:pPr>
          </w:p>
          <w:p w14:paraId="29513B34" w14:textId="63F82E09" w:rsidR="00426177" w:rsidRDefault="00426177" w:rsidP="00C95525">
            <w:pPr>
              <w:jc w:val="center"/>
              <w:rPr>
                <w:rFonts w:ascii="Arial" w:eastAsia="Calibri" w:hAnsi="Arial" w:cs="Arial"/>
                <w:b/>
                <w:u w:val="single"/>
              </w:rPr>
            </w:pPr>
            <w:r>
              <w:rPr>
                <w:rFonts w:ascii="Arial" w:eastAsia="Calibri" w:hAnsi="Arial" w:cs="Arial"/>
                <w:b/>
                <w:u w:val="single"/>
              </w:rPr>
              <w:t>99.88%</w:t>
            </w:r>
          </w:p>
          <w:p w14:paraId="7084BC89" w14:textId="11AE8180" w:rsidR="00426177" w:rsidRDefault="00426177" w:rsidP="00C95525">
            <w:pPr>
              <w:jc w:val="center"/>
              <w:rPr>
                <w:rFonts w:ascii="Arial" w:eastAsia="Calibri" w:hAnsi="Arial" w:cs="Arial"/>
                <w:b/>
                <w:u w:val="single"/>
              </w:rPr>
            </w:pPr>
            <w:r>
              <w:rPr>
                <w:rFonts w:ascii="Arial" w:eastAsia="Calibri" w:hAnsi="Arial" w:cs="Arial"/>
                <w:b/>
                <w:u w:val="single"/>
              </w:rPr>
              <w:t>83.76%</w:t>
            </w:r>
          </w:p>
          <w:p w14:paraId="073AB993" w14:textId="77777777" w:rsidR="00426177" w:rsidRDefault="00426177" w:rsidP="00C95525">
            <w:pPr>
              <w:jc w:val="center"/>
              <w:rPr>
                <w:rFonts w:ascii="Arial" w:eastAsia="Calibri" w:hAnsi="Arial" w:cs="Arial"/>
                <w:b/>
                <w:u w:val="single"/>
              </w:rPr>
            </w:pPr>
          </w:p>
          <w:p w14:paraId="0B9475FF" w14:textId="0CC2BD28" w:rsidR="00426177" w:rsidRDefault="00426177" w:rsidP="00C95525">
            <w:pPr>
              <w:jc w:val="center"/>
              <w:rPr>
                <w:rFonts w:ascii="Arial" w:eastAsia="Calibri" w:hAnsi="Arial" w:cs="Arial"/>
                <w:b/>
                <w:u w:val="single"/>
              </w:rPr>
            </w:pPr>
            <w:r>
              <w:rPr>
                <w:rFonts w:ascii="Arial" w:eastAsia="Calibri" w:hAnsi="Arial" w:cs="Arial"/>
                <w:b/>
                <w:u w:val="single"/>
              </w:rPr>
              <w:t>99.21%</w:t>
            </w:r>
          </w:p>
        </w:tc>
        <w:tc>
          <w:tcPr>
            <w:tcW w:w="1804" w:type="dxa"/>
          </w:tcPr>
          <w:p w14:paraId="2F152585" w14:textId="77777777" w:rsidR="00426177" w:rsidRDefault="00426177" w:rsidP="002551C6">
            <w:pPr>
              <w:jc w:val="center"/>
              <w:rPr>
                <w:rFonts w:ascii="Arial" w:eastAsia="Calibri" w:hAnsi="Arial" w:cs="Arial"/>
                <w:b/>
                <w:u w:val="single"/>
              </w:rPr>
            </w:pPr>
          </w:p>
          <w:p w14:paraId="027406C2" w14:textId="77777777" w:rsidR="00426177" w:rsidRDefault="00426177" w:rsidP="002551C6">
            <w:pPr>
              <w:jc w:val="center"/>
              <w:rPr>
                <w:rFonts w:ascii="Arial" w:eastAsia="Calibri" w:hAnsi="Arial" w:cs="Arial"/>
                <w:b/>
                <w:u w:val="single"/>
              </w:rPr>
            </w:pPr>
          </w:p>
          <w:p w14:paraId="3DBAD6F3" w14:textId="2FBBA23B" w:rsidR="00426177" w:rsidRDefault="00426177" w:rsidP="002551C6">
            <w:pPr>
              <w:jc w:val="center"/>
              <w:rPr>
                <w:rFonts w:ascii="Arial" w:eastAsia="Calibri" w:hAnsi="Arial" w:cs="Arial"/>
                <w:b/>
                <w:u w:val="single"/>
              </w:rPr>
            </w:pPr>
            <w:r>
              <w:rPr>
                <w:rFonts w:ascii="Arial" w:eastAsia="Calibri" w:hAnsi="Arial" w:cs="Arial"/>
                <w:b/>
                <w:u w:val="single"/>
              </w:rPr>
              <w:t>93.71%</w:t>
            </w:r>
          </w:p>
          <w:p w14:paraId="5FAA9474" w14:textId="36C1BB5F" w:rsidR="00426177" w:rsidRDefault="00426177" w:rsidP="002551C6">
            <w:pPr>
              <w:jc w:val="center"/>
              <w:rPr>
                <w:rFonts w:ascii="Arial" w:eastAsia="Calibri" w:hAnsi="Arial" w:cs="Arial"/>
                <w:b/>
                <w:u w:val="single"/>
              </w:rPr>
            </w:pPr>
            <w:r>
              <w:rPr>
                <w:rFonts w:ascii="Arial" w:eastAsia="Calibri" w:hAnsi="Arial" w:cs="Arial"/>
                <w:b/>
                <w:u w:val="single"/>
              </w:rPr>
              <w:t>19.23%</w:t>
            </w:r>
          </w:p>
          <w:p w14:paraId="6DB148DB" w14:textId="77777777" w:rsidR="00426177" w:rsidRDefault="00426177" w:rsidP="002551C6">
            <w:pPr>
              <w:jc w:val="center"/>
              <w:rPr>
                <w:rFonts w:ascii="Arial" w:eastAsia="Calibri" w:hAnsi="Arial" w:cs="Arial"/>
                <w:b/>
                <w:u w:val="single"/>
              </w:rPr>
            </w:pPr>
          </w:p>
          <w:p w14:paraId="597F74A1" w14:textId="79F7B6CE" w:rsidR="00426177" w:rsidRDefault="00426177" w:rsidP="002551C6">
            <w:pPr>
              <w:jc w:val="center"/>
              <w:rPr>
                <w:rFonts w:ascii="Arial" w:eastAsia="Calibri" w:hAnsi="Arial" w:cs="Arial"/>
                <w:b/>
                <w:u w:val="single"/>
              </w:rPr>
            </w:pPr>
            <w:r>
              <w:rPr>
                <w:rFonts w:ascii="Arial" w:eastAsia="Calibri" w:hAnsi="Arial" w:cs="Arial"/>
                <w:b/>
                <w:u w:val="single"/>
              </w:rPr>
              <w:t>91.86%</w:t>
            </w:r>
          </w:p>
        </w:tc>
        <w:tc>
          <w:tcPr>
            <w:tcW w:w="2042" w:type="dxa"/>
          </w:tcPr>
          <w:p w14:paraId="01CFA3EF" w14:textId="77777777" w:rsidR="00426177" w:rsidRDefault="00426177" w:rsidP="002551C6">
            <w:pPr>
              <w:jc w:val="center"/>
              <w:rPr>
                <w:rFonts w:ascii="Arial" w:eastAsia="Calibri" w:hAnsi="Arial" w:cs="Arial"/>
                <w:b/>
                <w:u w:val="single"/>
              </w:rPr>
            </w:pPr>
          </w:p>
          <w:p w14:paraId="0315F181" w14:textId="77777777" w:rsidR="00426177" w:rsidRDefault="00426177" w:rsidP="002551C6">
            <w:pPr>
              <w:jc w:val="center"/>
              <w:rPr>
                <w:rFonts w:ascii="Arial" w:eastAsia="Calibri" w:hAnsi="Arial" w:cs="Arial"/>
                <w:b/>
                <w:u w:val="single"/>
              </w:rPr>
            </w:pPr>
          </w:p>
          <w:p w14:paraId="26B1E9A9" w14:textId="42D058CD" w:rsidR="00426177" w:rsidRDefault="00426177" w:rsidP="002551C6">
            <w:pPr>
              <w:jc w:val="center"/>
              <w:rPr>
                <w:rFonts w:ascii="Arial" w:eastAsia="Calibri" w:hAnsi="Arial" w:cs="Arial"/>
                <w:b/>
                <w:u w:val="single"/>
              </w:rPr>
            </w:pPr>
            <w:r>
              <w:rPr>
                <w:rFonts w:ascii="Arial" w:eastAsia="Calibri" w:hAnsi="Arial" w:cs="Arial"/>
                <w:b/>
                <w:u w:val="single"/>
              </w:rPr>
              <w:t>92.99%</w:t>
            </w:r>
          </w:p>
          <w:p w14:paraId="2F4993AB" w14:textId="0DA3F2E3" w:rsidR="00426177" w:rsidRDefault="00426177" w:rsidP="002551C6">
            <w:pPr>
              <w:jc w:val="center"/>
              <w:rPr>
                <w:rFonts w:ascii="Arial" w:eastAsia="Calibri" w:hAnsi="Arial" w:cs="Arial"/>
                <w:b/>
                <w:u w:val="single"/>
              </w:rPr>
            </w:pPr>
            <w:r>
              <w:rPr>
                <w:rFonts w:ascii="Arial" w:eastAsia="Calibri" w:hAnsi="Arial" w:cs="Arial"/>
                <w:b/>
                <w:u w:val="single"/>
              </w:rPr>
              <w:t>14.19%</w:t>
            </w:r>
          </w:p>
          <w:p w14:paraId="49903B87" w14:textId="77777777" w:rsidR="00426177" w:rsidRDefault="00426177" w:rsidP="002551C6">
            <w:pPr>
              <w:jc w:val="center"/>
              <w:rPr>
                <w:rFonts w:ascii="Arial" w:eastAsia="Calibri" w:hAnsi="Arial" w:cs="Arial"/>
                <w:b/>
                <w:u w:val="single"/>
              </w:rPr>
            </w:pPr>
          </w:p>
          <w:p w14:paraId="09AA18C9" w14:textId="5E31FC72" w:rsidR="00426177" w:rsidRDefault="00426177" w:rsidP="002551C6">
            <w:pPr>
              <w:jc w:val="center"/>
              <w:rPr>
                <w:rFonts w:ascii="Arial" w:eastAsia="Calibri" w:hAnsi="Arial" w:cs="Arial"/>
                <w:b/>
                <w:u w:val="single"/>
              </w:rPr>
            </w:pPr>
            <w:r>
              <w:rPr>
                <w:rFonts w:ascii="Arial" w:eastAsia="Calibri" w:hAnsi="Arial" w:cs="Arial"/>
                <w:b/>
                <w:u w:val="single"/>
              </w:rPr>
              <w:t>91.16%</w:t>
            </w:r>
          </w:p>
        </w:tc>
      </w:tr>
      <w:tr w:rsidR="000711E2" w:rsidRPr="004B1294" w14:paraId="6D6C183D" w14:textId="77777777" w:rsidTr="00042E94">
        <w:tc>
          <w:tcPr>
            <w:tcW w:w="1550" w:type="dxa"/>
          </w:tcPr>
          <w:p w14:paraId="73586145" w14:textId="5CB7D4F3" w:rsidR="000711E2" w:rsidRDefault="000711E2" w:rsidP="002551C6">
            <w:pPr>
              <w:jc w:val="center"/>
              <w:rPr>
                <w:rFonts w:ascii="Arial" w:hAnsi="Arial" w:cs="Arial"/>
                <w:b/>
              </w:rPr>
            </w:pPr>
            <w:r>
              <w:rPr>
                <w:rFonts w:ascii="Arial" w:hAnsi="Arial" w:cs="Arial"/>
                <w:b/>
              </w:rPr>
              <w:t>175</w:t>
            </w:r>
          </w:p>
        </w:tc>
        <w:tc>
          <w:tcPr>
            <w:tcW w:w="3255" w:type="dxa"/>
          </w:tcPr>
          <w:p w14:paraId="775E8551" w14:textId="77777777" w:rsidR="000711E2" w:rsidRDefault="000711E2" w:rsidP="000711E2">
            <w:pPr>
              <w:jc w:val="both"/>
              <w:rPr>
                <w:rFonts w:ascii="Arial" w:hAnsi="Arial" w:cs="Arial"/>
                <w:b/>
                <w:lang w:val="es-MX"/>
              </w:rPr>
            </w:pPr>
            <w:r w:rsidRPr="000711E2">
              <w:rPr>
                <w:rFonts w:ascii="Arial" w:hAnsi="Arial" w:cs="Arial"/>
                <w:b/>
                <w:lang w:val="es-MX"/>
              </w:rPr>
              <w:t>U.A.E. DE LA JUSTICIA PENAL MILITAR Y POLICIAL.</w:t>
            </w:r>
          </w:p>
          <w:p w14:paraId="6AA3B906" w14:textId="77777777" w:rsidR="000711E2" w:rsidRDefault="000711E2" w:rsidP="000711E2">
            <w:pPr>
              <w:jc w:val="both"/>
              <w:rPr>
                <w:rFonts w:ascii="Arial" w:hAnsi="Arial" w:cs="Arial"/>
                <w:b/>
                <w:lang w:val="es-MX"/>
              </w:rPr>
            </w:pPr>
          </w:p>
          <w:p w14:paraId="74002577" w14:textId="77777777" w:rsidR="000711E2" w:rsidRDefault="000711E2" w:rsidP="000711E2">
            <w:pPr>
              <w:jc w:val="both"/>
              <w:rPr>
                <w:rFonts w:ascii="Arial" w:hAnsi="Arial" w:cs="Arial"/>
                <w:b/>
                <w:lang w:val="es-MX"/>
              </w:rPr>
            </w:pPr>
            <w:r>
              <w:rPr>
                <w:rFonts w:ascii="Arial" w:hAnsi="Arial" w:cs="Arial"/>
                <w:b/>
                <w:lang w:val="es-MX"/>
              </w:rPr>
              <w:t>FUNCIONAMIENTO</w:t>
            </w:r>
          </w:p>
          <w:p w14:paraId="44AA4562" w14:textId="77777777" w:rsidR="000711E2" w:rsidRDefault="000711E2" w:rsidP="000711E2">
            <w:pPr>
              <w:jc w:val="both"/>
              <w:rPr>
                <w:rFonts w:ascii="Arial" w:hAnsi="Arial" w:cs="Arial"/>
                <w:b/>
                <w:lang w:val="es-MX"/>
              </w:rPr>
            </w:pPr>
            <w:r>
              <w:rPr>
                <w:rFonts w:ascii="Arial" w:hAnsi="Arial" w:cs="Arial"/>
                <w:b/>
                <w:lang w:val="es-MX"/>
              </w:rPr>
              <w:t>INVERSIÓN</w:t>
            </w:r>
          </w:p>
          <w:p w14:paraId="5334A3E1" w14:textId="77777777" w:rsidR="000711E2" w:rsidRDefault="000711E2" w:rsidP="000711E2">
            <w:pPr>
              <w:jc w:val="both"/>
              <w:rPr>
                <w:rFonts w:ascii="Arial" w:hAnsi="Arial" w:cs="Arial"/>
                <w:b/>
                <w:lang w:val="es-MX"/>
              </w:rPr>
            </w:pPr>
          </w:p>
          <w:p w14:paraId="209887AF" w14:textId="257FE26E" w:rsidR="000711E2" w:rsidRPr="00426177" w:rsidRDefault="000711E2" w:rsidP="000711E2">
            <w:pPr>
              <w:jc w:val="both"/>
              <w:rPr>
                <w:rFonts w:ascii="Arial" w:hAnsi="Arial" w:cs="Arial"/>
                <w:b/>
                <w:lang w:val="es-MX"/>
              </w:rPr>
            </w:pPr>
            <w:r>
              <w:rPr>
                <w:rFonts w:ascii="Arial" w:hAnsi="Arial" w:cs="Arial"/>
                <w:b/>
                <w:lang w:val="es-MX"/>
              </w:rPr>
              <w:t>TOTAL PRESUPUESTO</w:t>
            </w:r>
          </w:p>
        </w:tc>
        <w:tc>
          <w:tcPr>
            <w:tcW w:w="1839" w:type="dxa"/>
          </w:tcPr>
          <w:p w14:paraId="458F015B" w14:textId="77777777" w:rsidR="000711E2" w:rsidRDefault="000711E2" w:rsidP="00C95525">
            <w:pPr>
              <w:jc w:val="center"/>
              <w:rPr>
                <w:rFonts w:ascii="Arial" w:eastAsia="Calibri" w:hAnsi="Arial" w:cs="Arial"/>
                <w:b/>
                <w:u w:val="single"/>
              </w:rPr>
            </w:pPr>
          </w:p>
          <w:p w14:paraId="529CD9D4" w14:textId="77777777" w:rsidR="000711E2" w:rsidRDefault="000711E2" w:rsidP="00C95525">
            <w:pPr>
              <w:jc w:val="center"/>
              <w:rPr>
                <w:rFonts w:ascii="Arial" w:eastAsia="Calibri" w:hAnsi="Arial" w:cs="Arial"/>
                <w:b/>
                <w:u w:val="single"/>
              </w:rPr>
            </w:pPr>
          </w:p>
          <w:p w14:paraId="2C20D3FD" w14:textId="77777777" w:rsidR="000711E2" w:rsidRDefault="000711E2" w:rsidP="00C95525">
            <w:pPr>
              <w:jc w:val="center"/>
              <w:rPr>
                <w:rFonts w:ascii="Arial" w:eastAsia="Calibri" w:hAnsi="Arial" w:cs="Arial"/>
                <w:b/>
                <w:u w:val="single"/>
              </w:rPr>
            </w:pPr>
          </w:p>
          <w:p w14:paraId="514A79C1" w14:textId="2A9A7A3B" w:rsidR="000711E2" w:rsidRDefault="000711E2" w:rsidP="00C95525">
            <w:pPr>
              <w:jc w:val="center"/>
              <w:rPr>
                <w:rFonts w:ascii="Arial" w:eastAsia="Calibri" w:hAnsi="Arial" w:cs="Arial"/>
                <w:b/>
                <w:u w:val="single"/>
              </w:rPr>
            </w:pPr>
            <w:r>
              <w:rPr>
                <w:rFonts w:ascii="Arial" w:eastAsia="Calibri" w:hAnsi="Arial" w:cs="Arial"/>
                <w:b/>
                <w:u w:val="single"/>
              </w:rPr>
              <w:t>98.06%</w:t>
            </w:r>
          </w:p>
          <w:p w14:paraId="418415A9" w14:textId="3CA22DBE" w:rsidR="000711E2" w:rsidRDefault="000711E2" w:rsidP="00C95525">
            <w:pPr>
              <w:jc w:val="center"/>
              <w:rPr>
                <w:rFonts w:ascii="Arial" w:eastAsia="Calibri" w:hAnsi="Arial" w:cs="Arial"/>
                <w:b/>
                <w:u w:val="single"/>
              </w:rPr>
            </w:pPr>
            <w:r>
              <w:rPr>
                <w:rFonts w:ascii="Arial" w:eastAsia="Calibri" w:hAnsi="Arial" w:cs="Arial"/>
                <w:b/>
                <w:u w:val="single"/>
              </w:rPr>
              <w:t>87.36%</w:t>
            </w:r>
          </w:p>
          <w:p w14:paraId="43D46E94" w14:textId="77777777" w:rsidR="000711E2" w:rsidRDefault="000711E2" w:rsidP="00C95525">
            <w:pPr>
              <w:jc w:val="center"/>
              <w:rPr>
                <w:rFonts w:ascii="Arial" w:eastAsia="Calibri" w:hAnsi="Arial" w:cs="Arial"/>
                <w:b/>
                <w:u w:val="single"/>
              </w:rPr>
            </w:pPr>
          </w:p>
          <w:p w14:paraId="169A028B" w14:textId="0A0484EC" w:rsidR="000711E2" w:rsidRDefault="000711E2" w:rsidP="00C95525">
            <w:pPr>
              <w:jc w:val="center"/>
              <w:rPr>
                <w:rFonts w:ascii="Arial" w:eastAsia="Calibri" w:hAnsi="Arial" w:cs="Arial"/>
                <w:b/>
                <w:u w:val="single"/>
              </w:rPr>
            </w:pPr>
            <w:r>
              <w:rPr>
                <w:rFonts w:ascii="Arial" w:eastAsia="Calibri" w:hAnsi="Arial" w:cs="Arial"/>
                <w:b/>
                <w:u w:val="single"/>
              </w:rPr>
              <w:t>97.33%</w:t>
            </w:r>
          </w:p>
        </w:tc>
        <w:tc>
          <w:tcPr>
            <w:tcW w:w="1804" w:type="dxa"/>
          </w:tcPr>
          <w:p w14:paraId="52C2ADAA" w14:textId="77777777" w:rsidR="000711E2" w:rsidRDefault="000711E2" w:rsidP="002551C6">
            <w:pPr>
              <w:jc w:val="center"/>
              <w:rPr>
                <w:rFonts w:ascii="Arial" w:eastAsia="Calibri" w:hAnsi="Arial" w:cs="Arial"/>
                <w:b/>
                <w:u w:val="single"/>
              </w:rPr>
            </w:pPr>
          </w:p>
          <w:p w14:paraId="70CF316C" w14:textId="77777777" w:rsidR="000711E2" w:rsidRDefault="000711E2" w:rsidP="002551C6">
            <w:pPr>
              <w:jc w:val="center"/>
              <w:rPr>
                <w:rFonts w:ascii="Arial" w:eastAsia="Calibri" w:hAnsi="Arial" w:cs="Arial"/>
                <w:b/>
                <w:u w:val="single"/>
              </w:rPr>
            </w:pPr>
          </w:p>
          <w:p w14:paraId="61897212" w14:textId="77777777" w:rsidR="000711E2" w:rsidRDefault="000711E2" w:rsidP="002551C6">
            <w:pPr>
              <w:jc w:val="center"/>
              <w:rPr>
                <w:rFonts w:ascii="Arial" w:eastAsia="Calibri" w:hAnsi="Arial" w:cs="Arial"/>
                <w:b/>
                <w:u w:val="single"/>
              </w:rPr>
            </w:pPr>
          </w:p>
          <w:p w14:paraId="5F6EE16E" w14:textId="06347CF5" w:rsidR="000711E2" w:rsidRDefault="000711E2" w:rsidP="002551C6">
            <w:pPr>
              <w:jc w:val="center"/>
              <w:rPr>
                <w:rFonts w:ascii="Arial" w:eastAsia="Calibri" w:hAnsi="Arial" w:cs="Arial"/>
                <w:b/>
                <w:u w:val="single"/>
              </w:rPr>
            </w:pPr>
            <w:r>
              <w:rPr>
                <w:rFonts w:ascii="Arial" w:eastAsia="Calibri" w:hAnsi="Arial" w:cs="Arial"/>
                <w:b/>
                <w:u w:val="single"/>
              </w:rPr>
              <w:t>95.34%</w:t>
            </w:r>
          </w:p>
          <w:p w14:paraId="26AA6F70" w14:textId="56570BC2" w:rsidR="000711E2" w:rsidRDefault="000711E2" w:rsidP="002551C6">
            <w:pPr>
              <w:jc w:val="center"/>
              <w:rPr>
                <w:rFonts w:ascii="Arial" w:eastAsia="Calibri" w:hAnsi="Arial" w:cs="Arial"/>
                <w:b/>
                <w:u w:val="single"/>
              </w:rPr>
            </w:pPr>
            <w:r>
              <w:rPr>
                <w:rFonts w:ascii="Arial" w:eastAsia="Calibri" w:hAnsi="Arial" w:cs="Arial"/>
                <w:b/>
                <w:u w:val="single"/>
              </w:rPr>
              <w:t>63.81%</w:t>
            </w:r>
          </w:p>
          <w:p w14:paraId="78131A59" w14:textId="77777777" w:rsidR="000711E2" w:rsidRDefault="000711E2" w:rsidP="002551C6">
            <w:pPr>
              <w:jc w:val="center"/>
              <w:rPr>
                <w:rFonts w:ascii="Arial" w:eastAsia="Calibri" w:hAnsi="Arial" w:cs="Arial"/>
                <w:b/>
                <w:u w:val="single"/>
              </w:rPr>
            </w:pPr>
          </w:p>
          <w:p w14:paraId="2D604A4A" w14:textId="3EC91E04" w:rsidR="000711E2" w:rsidRDefault="000711E2" w:rsidP="000711E2">
            <w:pPr>
              <w:jc w:val="center"/>
              <w:rPr>
                <w:rFonts w:ascii="Arial" w:eastAsia="Calibri" w:hAnsi="Arial" w:cs="Arial"/>
                <w:b/>
                <w:u w:val="single"/>
              </w:rPr>
            </w:pPr>
            <w:r>
              <w:rPr>
                <w:rFonts w:ascii="Arial" w:eastAsia="Calibri" w:hAnsi="Arial" w:cs="Arial"/>
                <w:b/>
                <w:u w:val="single"/>
              </w:rPr>
              <w:t>93.17%</w:t>
            </w:r>
          </w:p>
        </w:tc>
        <w:tc>
          <w:tcPr>
            <w:tcW w:w="2042" w:type="dxa"/>
          </w:tcPr>
          <w:p w14:paraId="099AC72D" w14:textId="77777777" w:rsidR="000711E2" w:rsidRDefault="000711E2" w:rsidP="002551C6">
            <w:pPr>
              <w:jc w:val="center"/>
              <w:rPr>
                <w:rFonts w:ascii="Arial" w:eastAsia="Calibri" w:hAnsi="Arial" w:cs="Arial"/>
                <w:b/>
                <w:u w:val="single"/>
              </w:rPr>
            </w:pPr>
          </w:p>
          <w:p w14:paraId="1B966649" w14:textId="77777777" w:rsidR="000711E2" w:rsidRDefault="000711E2" w:rsidP="002551C6">
            <w:pPr>
              <w:jc w:val="center"/>
              <w:rPr>
                <w:rFonts w:ascii="Arial" w:eastAsia="Calibri" w:hAnsi="Arial" w:cs="Arial"/>
                <w:b/>
                <w:u w:val="single"/>
              </w:rPr>
            </w:pPr>
          </w:p>
          <w:p w14:paraId="42DDA41C" w14:textId="77777777" w:rsidR="000711E2" w:rsidRDefault="000711E2" w:rsidP="002551C6">
            <w:pPr>
              <w:jc w:val="center"/>
              <w:rPr>
                <w:rFonts w:ascii="Arial" w:eastAsia="Calibri" w:hAnsi="Arial" w:cs="Arial"/>
                <w:b/>
                <w:u w:val="single"/>
              </w:rPr>
            </w:pPr>
          </w:p>
          <w:p w14:paraId="746B786B" w14:textId="478163BF" w:rsidR="000711E2" w:rsidRDefault="000711E2" w:rsidP="002551C6">
            <w:pPr>
              <w:jc w:val="center"/>
              <w:rPr>
                <w:rFonts w:ascii="Arial" w:eastAsia="Calibri" w:hAnsi="Arial" w:cs="Arial"/>
                <w:b/>
                <w:u w:val="single"/>
              </w:rPr>
            </w:pPr>
            <w:r>
              <w:rPr>
                <w:rFonts w:ascii="Arial" w:eastAsia="Calibri" w:hAnsi="Arial" w:cs="Arial"/>
                <w:b/>
                <w:u w:val="single"/>
              </w:rPr>
              <w:t>94.85%</w:t>
            </w:r>
          </w:p>
          <w:p w14:paraId="07FD14EB" w14:textId="6C50D8B7" w:rsidR="000711E2" w:rsidRDefault="000711E2" w:rsidP="002551C6">
            <w:pPr>
              <w:jc w:val="center"/>
              <w:rPr>
                <w:rFonts w:ascii="Arial" w:eastAsia="Calibri" w:hAnsi="Arial" w:cs="Arial"/>
                <w:b/>
                <w:u w:val="single"/>
              </w:rPr>
            </w:pPr>
            <w:r>
              <w:rPr>
                <w:rFonts w:ascii="Arial" w:eastAsia="Calibri" w:hAnsi="Arial" w:cs="Arial"/>
                <w:b/>
                <w:u w:val="single"/>
              </w:rPr>
              <w:t>63.81%</w:t>
            </w:r>
          </w:p>
          <w:p w14:paraId="2073FBE5" w14:textId="77777777" w:rsidR="000711E2" w:rsidRDefault="000711E2" w:rsidP="002551C6">
            <w:pPr>
              <w:jc w:val="center"/>
              <w:rPr>
                <w:rFonts w:ascii="Arial" w:eastAsia="Calibri" w:hAnsi="Arial" w:cs="Arial"/>
                <w:b/>
                <w:u w:val="single"/>
              </w:rPr>
            </w:pPr>
          </w:p>
          <w:p w14:paraId="620ED0C6" w14:textId="41A025E1" w:rsidR="000711E2" w:rsidRDefault="000711E2" w:rsidP="002551C6">
            <w:pPr>
              <w:jc w:val="center"/>
              <w:rPr>
                <w:rFonts w:ascii="Arial" w:eastAsia="Calibri" w:hAnsi="Arial" w:cs="Arial"/>
                <w:b/>
                <w:u w:val="single"/>
              </w:rPr>
            </w:pPr>
            <w:r>
              <w:rPr>
                <w:rFonts w:ascii="Arial" w:eastAsia="Calibri" w:hAnsi="Arial" w:cs="Arial"/>
                <w:b/>
                <w:u w:val="single"/>
              </w:rPr>
              <w:t>92.71%</w:t>
            </w:r>
          </w:p>
        </w:tc>
      </w:tr>
      <w:tr w:rsidR="00912E16" w:rsidRPr="004B1294" w14:paraId="3C2842FE" w14:textId="77777777" w:rsidTr="00042E94">
        <w:tc>
          <w:tcPr>
            <w:tcW w:w="1550" w:type="dxa"/>
          </w:tcPr>
          <w:p w14:paraId="0E8F6D27" w14:textId="1B978432" w:rsidR="00912E16" w:rsidRDefault="00912E16" w:rsidP="002551C6">
            <w:pPr>
              <w:jc w:val="center"/>
              <w:rPr>
                <w:rFonts w:ascii="Arial" w:hAnsi="Arial" w:cs="Arial"/>
                <w:b/>
              </w:rPr>
            </w:pPr>
            <w:r>
              <w:rPr>
                <w:rFonts w:ascii="Arial" w:hAnsi="Arial" w:cs="Arial"/>
                <w:b/>
              </w:rPr>
              <w:t>181</w:t>
            </w:r>
          </w:p>
        </w:tc>
        <w:tc>
          <w:tcPr>
            <w:tcW w:w="3255" w:type="dxa"/>
          </w:tcPr>
          <w:p w14:paraId="5D45C024" w14:textId="77777777" w:rsidR="00912E16" w:rsidRDefault="00912E16" w:rsidP="000711E2">
            <w:pPr>
              <w:jc w:val="both"/>
              <w:rPr>
                <w:rFonts w:ascii="Arial" w:hAnsi="Arial" w:cs="Arial"/>
                <w:b/>
                <w:lang w:val="es-MX"/>
              </w:rPr>
            </w:pPr>
            <w:r w:rsidRPr="00912E16">
              <w:rPr>
                <w:rFonts w:ascii="Arial" w:hAnsi="Arial" w:cs="Arial"/>
                <w:b/>
                <w:lang w:val="es-MX"/>
              </w:rPr>
              <w:t>181.- AGENCIA DE DESARROLLO RURAL – ADR.</w:t>
            </w:r>
          </w:p>
          <w:p w14:paraId="22121D54" w14:textId="77777777" w:rsidR="00912E16" w:rsidRDefault="00912E16" w:rsidP="000711E2">
            <w:pPr>
              <w:jc w:val="both"/>
              <w:rPr>
                <w:rFonts w:ascii="Arial" w:hAnsi="Arial" w:cs="Arial"/>
                <w:b/>
                <w:lang w:val="es-MX"/>
              </w:rPr>
            </w:pPr>
          </w:p>
          <w:p w14:paraId="22E4B25C" w14:textId="77777777" w:rsidR="00912E16" w:rsidRDefault="00912E16" w:rsidP="00912E16">
            <w:pPr>
              <w:jc w:val="both"/>
              <w:rPr>
                <w:rFonts w:ascii="Arial" w:hAnsi="Arial" w:cs="Arial"/>
                <w:b/>
                <w:lang w:val="es-MX"/>
              </w:rPr>
            </w:pPr>
            <w:r>
              <w:rPr>
                <w:rFonts w:ascii="Arial" w:hAnsi="Arial" w:cs="Arial"/>
                <w:b/>
                <w:lang w:val="es-MX"/>
              </w:rPr>
              <w:t>FUNCIONAMIENTO</w:t>
            </w:r>
          </w:p>
          <w:p w14:paraId="3A9B2626" w14:textId="77777777" w:rsidR="00912E16" w:rsidRDefault="00912E16" w:rsidP="00912E16">
            <w:pPr>
              <w:jc w:val="both"/>
              <w:rPr>
                <w:rFonts w:ascii="Arial" w:hAnsi="Arial" w:cs="Arial"/>
                <w:b/>
                <w:lang w:val="es-MX"/>
              </w:rPr>
            </w:pPr>
            <w:r>
              <w:rPr>
                <w:rFonts w:ascii="Arial" w:hAnsi="Arial" w:cs="Arial"/>
                <w:b/>
                <w:lang w:val="es-MX"/>
              </w:rPr>
              <w:t>INVERSIÓN</w:t>
            </w:r>
          </w:p>
          <w:p w14:paraId="6D135884" w14:textId="77777777" w:rsidR="00912E16" w:rsidRDefault="00912E16" w:rsidP="00912E16">
            <w:pPr>
              <w:jc w:val="both"/>
              <w:rPr>
                <w:rFonts w:ascii="Arial" w:hAnsi="Arial" w:cs="Arial"/>
                <w:b/>
                <w:lang w:val="es-MX"/>
              </w:rPr>
            </w:pPr>
          </w:p>
          <w:p w14:paraId="2F5B22EC" w14:textId="1A37C28E" w:rsidR="00912E16" w:rsidRPr="00912E16" w:rsidRDefault="00912E16" w:rsidP="00912E16">
            <w:pPr>
              <w:jc w:val="both"/>
              <w:rPr>
                <w:rFonts w:ascii="Arial" w:hAnsi="Arial" w:cs="Arial"/>
                <w:b/>
                <w:lang w:val="es-MX"/>
              </w:rPr>
            </w:pPr>
            <w:r>
              <w:rPr>
                <w:rFonts w:ascii="Arial" w:hAnsi="Arial" w:cs="Arial"/>
                <w:b/>
                <w:lang w:val="es-MX"/>
              </w:rPr>
              <w:t>TOTAL PRESUPUESTO</w:t>
            </w:r>
          </w:p>
        </w:tc>
        <w:tc>
          <w:tcPr>
            <w:tcW w:w="1839" w:type="dxa"/>
          </w:tcPr>
          <w:p w14:paraId="032010A8" w14:textId="77777777" w:rsidR="00912E16" w:rsidRDefault="00912E16" w:rsidP="00C95525">
            <w:pPr>
              <w:jc w:val="center"/>
              <w:rPr>
                <w:rFonts w:ascii="Arial" w:eastAsia="Calibri" w:hAnsi="Arial" w:cs="Arial"/>
                <w:b/>
                <w:u w:val="single"/>
              </w:rPr>
            </w:pPr>
          </w:p>
          <w:p w14:paraId="268F835E" w14:textId="77777777" w:rsidR="00912E16" w:rsidRDefault="00912E16" w:rsidP="00C95525">
            <w:pPr>
              <w:jc w:val="center"/>
              <w:rPr>
                <w:rFonts w:ascii="Arial" w:eastAsia="Calibri" w:hAnsi="Arial" w:cs="Arial"/>
                <w:b/>
                <w:u w:val="single"/>
              </w:rPr>
            </w:pPr>
          </w:p>
          <w:p w14:paraId="6A9DD5AC" w14:textId="77777777" w:rsidR="00912E16" w:rsidRDefault="00912E16" w:rsidP="00C95525">
            <w:pPr>
              <w:jc w:val="center"/>
              <w:rPr>
                <w:rFonts w:ascii="Arial" w:eastAsia="Calibri" w:hAnsi="Arial" w:cs="Arial"/>
                <w:b/>
                <w:u w:val="single"/>
              </w:rPr>
            </w:pPr>
          </w:p>
          <w:p w14:paraId="5FD167FD" w14:textId="27A2568C" w:rsidR="00912E16" w:rsidRDefault="00912E16" w:rsidP="00C95525">
            <w:pPr>
              <w:jc w:val="center"/>
              <w:rPr>
                <w:rFonts w:ascii="Arial" w:eastAsia="Calibri" w:hAnsi="Arial" w:cs="Arial"/>
                <w:b/>
                <w:u w:val="single"/>
              </w:rPr>
            </w:pPr>
            <w:r>
              <w:rPr>
                <w:rFonts w:ascii="Arial" w:eastAsia="Calibri" w:hAnsi="Arial" w:cs="Arial"/>
                <w:b/>
                <w:u w:val="single"/>
              </w:rPr>
              <w:t>80.00%</w:t>
            </w:r>
          </w:p>
          <w:p w14:paraId="358AF032" w14:textId="335921D2" w:rsidR="00912E16" w:rsidRDefault="00912E16" w:rsidP="00C95525">
            <w:pPr>
              <w:jc w:val="center"/>
              <w:rPr>
                <w:rFonts w:ascii="Arial" w:eastAsia="Calibri" w:hAnsi="Arial" w:cs="Arial"/>
                <w:b/>
                <w:u w:val="single"/>
              </w:rPr>
            </w:pPr>
            <w:r>
              <w:rPr>
                <w:rFonts w:ascii="Arial" w:eastAsia="Calibri" w:hAnsi="Arial" w:cs="Arial"/>
                <w:b/>
                <w:u w:val="single"/>
              </w:rPr>
              <w:t>98.00%</w:t>
            </w:r>
          </w:p>
          <w:p w14:paraId="221DF32D" w14:textId="77777777" w:rsidR="00912E16" w:rsidRDefault="00912E16" w:rsidP="00C95525">
            <w:pPr>
              <w:jc w:val="center"/>
              <w:rPr>
                <w:rFonts w:ascii="Arial" w:eastAsia="Calibri" w:hAnsi="Arial" w:cs="Arial"/>
                <w:b/>
                <w:u w:val="single"/>
              </w:rPr>
            </w:pPr>
          </w:p>
          <w:p w14:paraId="56578296" w14:textId="633B27CD" w:rsidR="00912E16" w:rsidRDefault="00912E16" w:rsidP="00C95525">
            <w:pPr>
              <w:jc w:val="center"/>
              <w:rPr>
                <w:rFonts w:ascii="Arial" w:eastAsia="Calibri" w:hAnsi="Arial" w:cs="Arial"/>
                <w:b/>
                <w:u w:val="single"/>
              </w:rPr>
            </w:pPr>
            <w:r>
              <w:rPr>
                <w:rFonts w:ascii="Arial" w:eastAsia="Calibri" w:hAnsi="Arial" w:cs="Arial"/>
                <w:b/>
                <w:u w:val="single"/>
              </w:rPr>
              <w:t>97.00%</w:t>
            </w:r>
          </w:p>
        </w:tc>
        <w:tc>
          <w:tcPr>
            <w:tcW w:w="1804" w:type="dxa"/>
          </w:tcPr>
          <w:p w14:paraId="0C064D9D" w14:textId="77777777" w:rsidR="00912E16" w:rsidRDefault="00912E16" w:rsidP="002551C6">
            <w:pPr>
              <w:jc w:val="center"/>
              <w:rPr>
                <w:rFonts w:ascii="Arial" w:eastAsia="Calibri" w:hAnsi="Arial" w:cs="Arial"/>
                <w:b/>
                <w:u w:val="single"/>
              </w:rPr>
            </w:pPr>
          </w:p>
          <w:p w14:paraId="63F2EBC6" w14:textId="77777777" w:rsidR="00912E16" w:rsidRDefault="00912E16" w:rsidP="002551C6">
            <w:pPr>
              <w:jc w:val="center"/>
              <w:rPr>
                <w:rFonts w:ascii="Arial" w:eastAsia="Calibri" w:hAnsi="Arial" w:cs="Arial"/>
                <w:b/>
                <w:u w:val="single"/>
              </w:rPr>
            </w:pPr>
          </w:p>
          <w:p w14:paraId="7514ABDE" w14:textId="77777777" w:rsidR="00912E16" w:rsidRDefault="00912E16" w:rsidP="002551C6">
            <w:pPr>
              <w:jc w:val="center"/>
              <w:rPr>
                <w:rFonts w:ascii="Arial" w:eastAsia="Calibri" w:hAnsi="Arial" w:cs="Arial"/>
                <w:b/>
                <w:u w:val="single"/>
              </w:rPr>
            </w:pPr>
          </w:p>
          <w:p w14:paraId="19D31EE2" w14:textId="0389AE90" w:rsidR="00912E16" w:rsidRDefault="00912E16" w:rsidP="002551C6">
            <w:pPr>
              <w:jc w:val="center"/>
              <w:rPr>
                <w:rFonts w:ascii="Arial" w:eastAsia="Calibri" w:hAnsi="Arial" w:cs="Arial"/>
                <w:b/>
                <w:u w:val="single"/>
              </w:rPr>
            </w:pPr>
            <w:r>
              <w:rPr>
                <w:rFonts w:ascii="Arial" w:eastAsia="Calibri" w:hAnsi="Arial" w:cs="Arial"/>
                <w:b/>
                <w:u w:val="single"/>
              </w:rPr>
              <w:t>78.00%</w:t>
            </w:r>
          </w:p>
          <w:p w14:paraId="6987E56E" w14:textId="405E0713" w:rsidR="00912E16" w:rsidRDefault="00912E16" w:rsidP="002551C6">
            <w:pPr>
              <w:jc w:val="center"/>
              <w:rPr>
                <w:rFonts w:ascii="Arial" w:eastAsia="Calibri" w:hAnsi="Arial" w:cs="Arial"/>
                <w:b/>
                <w:u w:val="single"/>
              </w:rPr>
            </w:pPr>
            <w:r>
              <w:rPr>
                <w:rFonts w:ascii="Arial" w:eastAsia="Calibri" w:hAnsi="Arial" w:cs="Arial"/>
                <w:b/>
                <w:u w:val="single"/>
              </w:rPr>
              <w:t>48.00%</w:t>
            </w:r>
          </w:p>
          <w:p w14:paraId="5AE49041" w14:textId="77777777" w:rsidR="00912E16" w:rsidRDefault="00912E16" w:rsidP="002551C6">
            <w:pPr>
              <w:jc w:val="center"/>
              <w:rPr>
                <w:rFonts w:ascii="Arial" w:eastAsia="Calibri" w:hAnsi="Arial" w:cs="Arial"/>
                <w:b/>
                <w:u w:val="single"/>
              </w:rPr>
            </w:pPr>
          </w:p>
          <w:p w14:paraId="76399FF0" w14:textId="39DF857D" w:rsidR="00912E16" w:rsidRDefault="00912E16" w:rsidP="002551C6">
            <w:pPr>
              <w:jc w:val="center"/>
              <w:rPr>
                <w:rFonts w:ascii="Arial" w:eastAsia="Calibri" w:hAnsi="Arial" w:cs="Arial"/>
                <w:b/>
                <w:u w:val="single"/>
              </w:rPr>
            </w:pPr>
            <w:r>
              <w:rPr>
                <w:rFonts w:ascii="Arial" w:eastAsia="Calibri" w:hAnsi="Arial" w:cs="Arial"/>
                <w:b/>
                <w:u w:val="single"/>
              </w:rPr>
              <w:t>50.00%</w:t>
            </w:r>
          </w:p>
        </w:tc>
        <w:tc>
          <w:tcPr>
            <w:tcW w:w="2042" w:type="dxa"/>
          </w:tcPr>
          <w:p w14:paraId="5B0321F9" w14:textId="77777777" w:rsidR="00912E16" w:rsidRDefault="00912E16" w:rsidP="002551C6">
            <w:pPr>
              <w:jc w:val="center"/>
              <w:rPr>
                <w:rFonts w:ascii="Arial" w:eastAsia="Calibri" w:hAnsi="Arial" w:cs="Arial"/>
                <w:b/>
                <w:u w:val="single"/>
              </w:rPr>
            </w:pPr>
          </w:p>
          <w:p w14:paraId="52903E15" w14:textId="77777777" w:rsidR="00912E16" w:rsidRDefault="00912E16" w:rsidP="002551C6">
            <w:pPr>
              <w:jc w:val="center"/>
              <w:rPr>
                <w:rFonts w:ascii="Arial" w:eastAsia="Calibri" w:hAnsi="Arial" w:cs="Arial"/>
                <w:b/>
                <w:u w:val="single"/>
              </w:rPr>
            </w:pPr>
          </w:p>
          <w:p w14:paraId="63BDB388" w14:textId="77777777" w:rsidR="00912E16" w:rsidRDefault="00912E16" w:rsidP="002551C6">
            <w:pPr>
              <w:jc w:val="center"/>
              <w:rPr>
                <w:rFonts w:ascii="Arial" w:eastAsia="Calibri" w:hAnsi="Arial" w:cs="Arial"/>
                <w:b/>
                <w:u w:val="single"/>
              </w:rPr>
            </w:pPr>
          </w:p>
          <w:p w14:paraId="4F6DAEC7" w14:textId="46907E1C" w:rsidR="00912E16" w:rsidRDefault="00912E16" w:rsidP="002551C6">
            <w:pPr>
              <w:jc w:val="center"/>
              <w:rPr>
                <w:rFonts w:ascii="Arial" w:eastAsia="Calibri" w:hAnsi="Arial" w:cs="Arial"/>
                <w:b/>
                <w:u w:val="single"/>
              </w:rPr>
            </w:pPr>
            <w:r>
              <w:rPr>
                <w:rFonts w:ascii="Arial" w:eastAsia="Calibri" w:hAnsi="Arial" w:cs="Arial"/>
                <w:b/>
                <w:u w:val="single"/>
              </w:rPr>
              <w:t>76.00%</w:t>
            </w:r>
          </w:p>
          <w:p w14:paraId="766C1281" w14:textId="2BBBF2EC" w:rsidR="00912E16" w:rsidRDefault="00912E16" w:rsidP="002551C6">
            <w:pPr>
              <w:jc w:val="center"/>
              <w:rPr>
                <w:rFonts w:ascii="Arial" w:eastAsia="Calibri" w:hAnsi="Arial" w:cs="Arial"/>
                <w:b/>
                <w:u w:val="single"/>
              </w:rPr>
            </w:pPr>
            <w:r>
              <w:rPr>
                <w:rFonts w:ascii="Arial" w:eastAsia="Calibri" w:hAnsi="Arial" w:cs="Arial"/>
                <w:b/>
                <w:u w:val="single"/>
              </w:rPr>
              <w:t>48.00%</w:t>
            </w:r>
          </w:p>
          <w:p w14:paraId="74AD1FA0" w14:textId="77777777" w:rsidR="00912E16" w:rsidRDefault="00912E16" w:rsidP="002551C6">
            <w:pPr>
              <w:jc w:val="center"/>
              <w:rPr>
                <w:rFonts w:ascii="Arial" w:eastAsia="Calibri" w:hAnsi="Arial" w:cs="Arial"/>
                <w:b/>
                <w:u w:val="single"/>
              </w:rPr>
            </w:pPr>
          </w:p>
          <w:p w14:paraId="1BB9A629" w14:textId="76C1DB73" w:rsidR="00912E16" w:rsidRDefault="00912E16" w:rsidP="002551C6">
            <w:pPr>
              <w:jc w:val="center"/>
              <w:rPr>
                <w:rFonts w:ascii="Arial" w:eastAsia="Calibri" w:hAnsi="Arial" w:cs="Arial"/>
                <w:b/>
                <w:u w:val="single"/>
              </w:rPr>
            </w:pPr>
            <w:r>
              <w:rPr>
                <w:rFonts w:ascii="Arial" w:eastAsia="Calibri" w:hAnsi="Arial" w:cs="Arial"/>
                <w:b/>
                <w:u w:val="single"/>
              </w:rPr>
              <w:t>49.00%</w:t>
            </w:r>
          </w:p>
        </w:tc>
      </w:tr>
      <w:tr w:rsidR="00A12E27" w:rsidRPr="004B1294" w14:paraId="3F79CDCB" w14:textId="77777777" w:rsidTr="00042E94">
        <w:tc>
          <w:tcPr>
            <w:tcW w:w="1550" w:type="dxa"/>
          </w:tcPr>
          <w:p w14:paraId="62A54E75" w14:textId="06C416C5" w:rsidR="00A12E27" w:rsidRDefault="00A12E27" w:rsidP="002551C6">
            <w:pPr>
              <w:jc w:val="center"/>
              <w:rPr>
                <w:rFonts w:ascii="Arial" w:hAnsi="Arial" w:cs="Arial"/>
                <w:b/>
              </w:rPr>
            </w:pPr>
            <w:r>
              <w:rPr>
                <w:rFonts w:ascii="Arial" w:hAnsi="Arial" w:cs="Arial"/>
                <w:b/>
              </w:rPr>
              <w:t>182</w:t>
            </w:r>
          </w:p>
        </w:tc>
        <w:tc>
          <w:tcPr>
            <w:tcW w:w="3255" w:type="dxa"/>
          </w:tcPr>
          <w:p w14:paraId="3ED8B9DD" w14:textId="49E64506" w:rsidR="00A12E27" w:rsidRPr="00A12E27" w:rsidRDefault="00A12E27" w:rsidP="00A12E27">
            <w:pPr>
              <w:jc w:val="both"/>
              <w:rPr>
                <w:rFonts w:ascii="Arial" w:hAnsi="Arial" w:cs="Arial"/>
                <w:b/>
                <w:lang w:val="es-MX"/>
              </w:rPr>
            </w:pPr>
            <w:r w:rsidRPr="00A12E27">
              <w:rPr>
                <w:rFonts w:ascii="Arial" w:hAnsi="Arial" w:cs="Arial"/>
                <w:b/>
                <w:lang w:val="es-MX"/>
              </w:rPr>
              <w:t>1NSTITUTO DE PLANIFICACION Y PROMOCION DE SOLUCIONES ENERGETICAS - IPSE.</w:t>
            </w:r>
          </w:p>
          <w:p w14:paraId="68FA2163" w14:textId="77777777" w:rsidR="00A12E27" w:rsidRDefault="00A12E27" w:rsidP="000711E2">
            <w:pPr>
              <w:jc w:val="both"/>
              <w:rPr>
                <w:rFonts w:ascii="Arial" w:hAnsi="Arial" w:cs="Arial"/>
                <w:b/>
                <w:lang w:val="es-MX"/>
              </w:rPr>
            </w:pPr>
          </w:p>
          <w:p w14:paraId="7D07CA6F" w14:textId="77777777" w:rsidR="00A12E27" w:rsidRDefault="00A12E27" w:rsidP="00A12E27">
            <w:pPr>
              <w:jc w:val="both"/>
              <w:rPr>
                <w:rFonts w:ascii="Arial" w:hAnsi="Arial" w:cs="Arial"/>
                <w:b/>
                <w:lang w:val="es-MX"/>
              </w:rPr>
            </w:pPr>
            <w:r>
              <w:rPr>
                <w:rFonts w:ascii="Arial" w:hAnsi="Arial" w:cs="Arial"/>
                <w:b/>
                <w:lang w:val="es-MX"/>
              </w:rPr>
              <w:t>FUNCIONAMIENTO</w:t>
            </w:r>
          </w:p>
          <w:p w14:paraId="2EEDFB16" w14:textId="77777777" w:rsidR="00A12E27" w:rsidRDefault="00A12E27" w:rsidP="00A12E27">
            <w:pPr>
              <w:jc w:val="both"/>
              <w:rPr>
                <w:rFonts w:ascii="Arial" w:hAnsi="Arial" w:cs="Arial"/>
                <w:b/>
                <w:lang w:val="es-MX"/>
              </w:rPr>
            </w:pPr>
            <w:r>
              <w:rPr>
                <w:rFonts w:ascii="Arial" w:hAnsi="Arial" w:cs="Arial"/>
                <w:b/>
                <w:lang w:val="es-MX"/>
              </w:rPr>
              <w:t>INVERSIÓN</w:t>
            </w:r>
          </w:p>
          <w:p w14:paraId="7AC65115" w14:textId="77777777" w:rsidR="00A12E27" w:rsidRDefault="00A12E27" w:rsidP="00A12E27">
            <w:pPr>
              <w:jc w:val="both"/>
              <w:rPr>
                <w:rFonts w:ascii="Arial" w:hAnsi="Arial" w:cs="Arial"/>
                <w:b/>
                <w:lang w:val="es-MX"/>
              </w:rPr>
            </w:pPr>
          </w:p>
          <w:p w14:paraId="7ABFC501" w14:textId="25218785" w:rsidR="00A12E27" w:rsidRPr="00912E16" w:rsidRDefault="00A12E27" w:rsidP="00A12E27">
            <w:pPr>
              <w:jc w:val="both"/>
              <w:rPr>
                <w:rFonts w:ascii="Arial" w:hAnsi="Arial" w:cs="Arial"/>
                <w:b/>
                <w:lang w:val="es-MX"/>
              </w:rPr>
            </w:pPr>
            <w:r>
              <w:rPr>
                <w:rFonts w:ascii="Arial" w:hAnsi="Arial" w:cs="Arial"/>
                <w:b/>
                <w:lang w:val="es-MX"/>
              </w:rPr>
              <w:t>TOTAL PRESUPUESTO</w:t>
            </w:r>
          </w:p>
        </w:tc>
        <w:tc>
          <w:tcPr>
            <w:tcW w:w="1839" w:type="dxa"/>
          </w:tcPr>
          <w:p w14:paraId="70FAA19F" w14:textId="77777777" w:rsidR="00A12E27" w:rsidRDefault="00A12E27" w:rsidP="00C95525">
            <w:pPr>
              <w:jc w:val="center"/>
              <w:rPr>
                <w:rFonts w:ascii="Arial" w:eastAsia="Calibri" w:hAnsi="Arial" w:cs="Arial"/>
                <w:b/>
                <w:u w:val="single"/>
              </w:rPr>
            </w:pPr>
          </w:p>
          <w:p w14:paraId="4711D8F3" w14:textId="77777777" w:rsidR="00A12E27" w:rsidRDefault="00A12E27" w:rsidP="00C95525">
            <w:pPr>
              <w:jc w:val="center"/>
              <w:rPr>
                <w:rFonts w:ascii="Arial" w:eastAsia="Calibri" w:hAnsi="Arial" w:cs="Arial"/>
                <w:b/>
                <w:u w:val="single"/>
              </w:rPr>
            </w:pPr>
          </w:p>
          <w:p w14:paraId="6D19819D" w14:textId="77777777" w:rsidR="00A12E27" w:rsidRDefault="00A12E27" w:rsidP="00C95525">
            <w:pPr>
              <w:jc w:val="center"/>
              <w:rPr>
                <w:rFonts w:ascii="Arial" w:eastAsia="Calibri" w:hAnsi="Arial" w:cs="Arial"/>
                <w:b/>
                <w:u w:val="single"/>
              </w:rPr>
            </w:pPr>
          </w:p>
          <w:p w14:paraId="1AEE206E" w14:textId="77777777" w:rsidR="00A12E27" w:rsidRDefault="00A12E27" w:rsidP="00C95525">
            <w:pPr>
              <w:jc w:val="center"/>
              <w:rPr>
                <w:rFonts w:ascii="Arial" w:eastAsia="Calibri" w:hAnsi="Arial" w:cs="Arial"/>
                <w:b/>
                <w:u w:val="single"/>
              </w:rPr>
            </w:pPr>
          </w:p>
          <w:p w14:paraId="1F98C736" w14:textId="77777777" w:rsidR="00A12E27" w:rsidRDefault="00A12E27" w:rsidP="00C95525">
            <w:pPr>
              <w:jc w:val="center"/>
              <w:rPr>
                <w:rFonts w:ascii="Arial" w:eastAsia="Calibri" w:hAnsi="Arial" w:cs="Arial"/>
                <w:b/>
                <w:u w:val="single"/>
              </w:rPr>
            </w:pPr>
          </w:p>
          <w:p w14:paraId="1C57349B" w14:textId="021FD5B1" w:rsidR="00A12E27" w:rsidRDefault="00A12E27" w:rsidP="00C95525">
            <w:pPr>
              <w:jc w:val="center"/>
              <w:rPr>
                <w:rFonts w:ascii="Arial" w:eastAsia="Calibri" w:hAnsi="Arial" w:cs="Arial"/>
                <w:b/>
                <w:u w:val="single"/>
              </w:rPr>
            </w:pPr>
            <w:r>
              <w:rPr>
                <w:rFonts w:ascii="Arial" w:eastAsia="Calibri" w:hAnsi="Arial" w:cs="Arial"/>
                <w:b/>
                <w:u w:val="single"/>
              </w:rPr>
              <w:t>82.50%</w:t>
            </w:r>
          </w:p>
          <w:p w14:paraId="3D6F5918" w14:textId="4C425426" w:rsidR="00A12E27" w:rsidRDefault="00A12E27" w:rsidP="00C95525">
            <w:pPr>
              <w:jc w:val="center"/>
              <w:rPr>
                <w:rFonts w:ascii="Arial" w:eastAsia="Calibri" w:hAnsi="Arial" w:cs="Arial"/>
                <w:b/>
                <w:u w:val="single"/>
              </w:rPr>
            </w:pPr>
            <w:r>
              <w:rPr>
                <w:rFonts w:ascii="Arial" w:eastAsia="Calibri" w:hAnsi="Arial" w:cs="Arial"/>
                <w:b/>
                <w:u w:val="single"/>
              </w:rPr>
              <w:t>95.00%</w:t>
            </w:r>
          </w:p>
          <w:p w14:paraId="36CB05E9" w14:textId="77777777" w:rsidR="00A12E27" w:rsidRDefault="00A12E27" w:rsidP="00C95525">
            <w:pPr>
              <w:jc w:val="center"/>
              <w:rPr>
                <w:rFonts w:ascii="Arial" w:eastAsia="Calibri" w:hAnsi="Arial" w:cs="Arial"/>
                <w:b/>
                <w:u w:val="single"/>
              </w:rPr>
            </w:pPr>
          </w:p>
          <w:p w14:paraId="29F5A3C9" w14:textId="20BDC53C" w:rsidR="00A12E27" w:rsidRDefault="00A12E27" w:rsidP="00C95525">
            <w:pPr>
              <w:jc w:val="center"/>
              <w:rPr>
                <w:rFonts w:ascii="Arial" w:eastAsia="Calibri" w:hAnsi="Arial" w:cs="Arial"/>
                <w:b/>
                <w:u w:val="single"/>
              </w:rPr>
            </w:pPr>
            <w:r>
              <w:rPr>
                <w:rFonts w:ascii="Arial" w:eastAsia="Calibri" w:hAnsi="Arial" w:cs="Arial"/>
                <w:b/>
                <w:u w:val="single"/>
              </w:rPr>
              <w:t>93.80%</w:t>
            </w:r>
          </w:p>
        </w:tc>
        <w:tc>
          <w:tcPr>
            <w:tcW w:w="1804" w:type="dxa"/>
          </w:tcPr>
          <w:p w14:paraId="33AF9E7B" w14:textId="77777777" w:rsidR="00A12E27" w:rsidRDefault="00A12E27" w:rsidP="002551C6">
            <w:pPr>
              <w:jc w:val="center"/>
              <w:rPr>
                <w:rFonts w:ascii="Arial" w:eastAsia="Calibri" w:hAnsi="Arial" w:cs="Arial"/>
                <w:b/>
                <w:u w:val="single"/>
              </w:rPr>
            </w:pPr>
          </w:p>
          <w:p w14:paraId="381BE356" w14:textId="77777777" w:rsidR="00A12E27" w:rsidRDefault="00A12E27" w:rsidP="002551C6">
            <w:pPr>
              <w:jc w:val="center"/>
              <w:rPr>
                <w:rFonts w:ascii="Arial" w:eastAsia="Calibri" w:hAnsi="Arial" w:cs="Arial"/>
                <w:b/>
                <w:u w:val="single"/>
              </w:rPr>
            </w:pPr>
          </w:p>
          <w:p w14:paraId="45BD6945" w14:textId="77777777" w:rsidR="00A12E27" w:rsidRDefault="00A12E27" w:rsidP="002551C6">
            <w:pPr>
              <w:jc w:val="center"/>
              <w:rPr>
                <w:rFonts w:ascii="Arial" w:eastAsia="Calibri" w:hAnsi="Arial" w:cs="Arial"/>
                <w:b/>
                <w:u w:val="single"/>
              </w:rPr>
            </w:pPr>
          </w:p>
          <w:p w14:paraId="509CD21C" w14:textId="77777777" w:rsidR="00A12E27" w:rsidRDefault="00A12E27" w:rsidP="002551C6">
            <w:pPr>
              <w:jc w:val="center"/>
              <w:rPr>
                <w:rFonts w:ascii="Arial" w:eastAsia="Calibri" w:hAnsi="Arial" w:cs="Arial"/>
                <w:b/>
                <w:u w:val="single"/>
              </w:rPr>
            </w:pPr>
          </w:p>
          <w:p w14:paraId="3B565E8D" w14:textId="77777777" w:rsidR="00A12E27" w:rsidRDefault="00A12E27" w:rsidP="002551C6">
            <w:pPr>
              <w:jc w:val="center"/>
              <w:rPr>
                <w:rFonts w:ascii="Arial" w:eastAsia="Calibri" w:hAnsi="Arial" w:cs="Arial"/>
                <w:b/>
                <w:u w:val="single"/>
              </w:rPr>
            </w:pPr>
          </w:p>
          <w:p w14:paraId="7D5AFA6E" w14:textId="07F8C9ED" w:rsidR="00A12E27" w:rsidRDefault="00A12E27" w:rsidP="002551C6">
            <w:pPr>
              <w:jc w:val="center"/>
              <w:rPr>
                <w:rFonts w:ascii="Arial" w:eastAsia="Calibri" w:hAnsi="Arial" w:cs="Arial"/>
                <w:b/>
                <w:u w:val="single"/>
              </w:rPr>
            </w:pPr>
            <w:r>
              <w:rPr>
                <w:rFonts w:ascii="Arial" w:eastAsia="Calibri" w:hAnsi="Arial" w:cs="Arial"/>
                <w:b/>
                <w:u w:val="single"/>
              </w:rPr>
              <w:t>67.00%</w:t>
            </w:r>
          </w:p>
          <w:p w14:paraId="71C9F7A8" w14:textId="0DE649C1" w:rsidR="00A12E27" w:rsidRDefault="00A12E27" w:rsidP="002551C6">
            <w:pPr>
              <w:jc w:val="center"/>
              <w:rPr>
                <w:rFonts w:ascii="Arial" w:eastAsia="Calibri" w:hAnsi="Arial" w:cs="Arial"/>
                <w:b/>
                <w:u w:val="single"/>
              </w:rPr>
            </w:pPr>
            <w:r>
              <w:rPr>
                <w:rFonts w:ascii="Arial" w:eastAsia="Calibri" w:hAnsi="Arial" w:cs="Arial"/>
                <w:b/>
                <w:u w:val="single"/>
              </w:rPr>
              <w:t>12.40%</w:t>
            </w:r>
          </w:p>
          <w:p w14:paraId="5EC6B529" w14:textId="77777777" w:rsidR="00A12E27" w:rsidRDefault="00A12E27" w:rsidP="002551C6">
            <w:pPr>
              <w:jc w:val="center"/>
              <w:rPr>
                <w:rFonts w:ascii="Arial" w:eastAsia="Calibri" w:hAnsi="Arial" w:cs="Arial"/>
                <w:b/>
                <w:u w:val="single"/>
              </w:rPr>
            </w:pPr>
          </w:p>
          <w:p w14:paraId="4F992990" w14:textId="371D2454" w:rsidR="00A12E27" w:rsidRDefault="00A12E27" w:rsidP="002551C6">
            <w:pPr>
              <w:jc w:val="center"/>
              <w:rPr>
                <w:rFonts w:ascii="Arial" w:eastAsia="Calibri" w:hAnsi="Arial" w:cs="Arial"/>
                <w:b/>
                <w:u w:val="single"/>
              </w:rPr>
            </w:pPr>
            <w:r>
              <w:rPr>
                <w:rFonts w:ascii="Arial" w:eastAsia="Calibri" w:hAnsi="Arial" w:cs="Arial"/>
                <w:b/>
                <w:u w:val="single"/>
              </w:rPr>
              <w:t>17.60%</w:t>
            </w:r>
          </w:p>
        </w:tc>
        <w:tc>
          <w:tcPr>
            <w:tcW w:w="2042" w:type="dxa"/>
          </w:tcPr>
          <w:p w14:paraId="6D344C46" w14:textId="77777777" w:rsidR="00A12E27" w:rsidRDefault="00A12E27" w:rsidP="002551C6">
            <w:pPr>
              <w:jc w:val="center"/>
              <w:rPr>
                <w:rFonts w:ascii="Arial" w:eastAsia="Calibri" w:hAnsi="Arial" w:cs="Arial"/>
                <w:b/>
                <w:u w:val="single"/>
              </w:rPr>
            </w:pPr>
          </w:p>
          <w:p w14:paraId="7C41FAC9" w14:textId="77777777" w:rsidR="00A12E27" w:rsidRDefault="00A12E27" w:rsidP="002551C6">
            <w:pPr>
              <w:jc w:val="center"/>
              <w:rPr>
                <w:rFonts w:ascii="Arial" w:eastAsia="Calibri" w:hAnsi="Arial" w:cs="Arial"/>
                <w:b/>
                <w:u w:val="single"/>
              </w:rPr>
            </w:pPr>
          </w:p>
          <w:p w14:paraId="2C73C0F9" w14:textId="77777777" w:rsidR="00A12E27" w:rsidRDefault="00A12E27" w:rsidP="002551C6">
            <w:pPr>
              <w:jc w:val="center"/>
              <w:rPr>
                <w:rFonts w:ascii="Arial" w:eastAsia="Calibri" w:hAnsi="Arial" w:cs="Arial"/>
                <w:b/>
                <w:u w:val="single"/>
              </w:rPr>
            </w:pPr>
          </w:p>
          <w:p w14:paraId="0A37D6E6" w14:textId="77777777" w:rsidR="00A12E27" w:rsidRDefault="00A12E27" w:rsidP="002551C6">
            <w:pPr>
              <w:jc w:val="center"/>
              <w:rPr>
                <w:rFonts w:ascii="Arial" w:eastAsia="Calibri" w:hAnsi="Arial" w:cs="Arial"/>
                <w:b/>
                <w:u w:val="single"/>
              </w:rPr>
            </w:pPr>
          </w:p>
          <w:p w14:paraId="627EFF90" w14:textId="77777777" w:rsidR="00A12E27" w:rsidRDefault="00A12E27" w:rsidP="002551C6">
            <w:pPr>
              <w:jc w:val="center"/>
              <w:rPr>
                <w:rFonts w:ascii="Arial" w:eastAsia="Calibri" w:hAnsi="Arial" w:cs="Arial"/>
                <w:b/>
                <w:u w:val="single"/>
              </w:rPr>
            </w:pPr>
          </w:p>
          <w:p w14:paraId="6D51C649" w14:textId="181865C2" w:rsidR="00A12E27" w:rsidRDefault="00A12E27" w:rsidP="002551C6">
            <w:pPr>
              <w:jc w:val="center"/>
              <w:rPr>
                <w:rFonts w:ascii="Arial" w:eastAsia="Calibri" w:hAnsi="Arial" w:cs="Arial"/>
                <w:b/>
                <w:u w:val="single"/>
              </w:rPr>
            </w:pPr>
            <w:r>
              <w:rPr>
                <w:rFonts w:ascii="Arial" w:eastAsia="Calibri" w:hAnsi="Arial" w:cs="Arial"/>
                <w:b/>
                <w:u w:val="single"/>
              </w:rPr>
              <w:t>64.40%</w:t>
            </w:r>
          </w:p>
          <w:p w14:paraId="6A7C2363" w14:textId="478EA12F" w:rsidR="00A12E27" w:rsidRDefault="00A12E27" w:rsidP="002551C6">
            <w:pPr>
              <w:jc w:val="center"/>
              <w:rPr>
                <w:rFonts w:ascii="Arial" w:eastAsia="Calibri" w:hAnsi="Arial" w:cs="Arial"/>
                <w:b/>
                <w:u w:val="single"/>
              </w:rPr>
            </w:pPr>
            <w:r>
              <w:rPr>
                <w:rFonts w:ascii="Arial" w:eastAsia="Calibri" w:hAnsi="Arial" w:cs="Arial"/>
                <w:b/>
                <w:u w:val="single"/>
              </w:rPr>
              <w:t>12.40%</w:t>
            </w:r>
          </w:p>
          <w:p w14:paraId="74A437E5" w14:textId="77777777" w:rsidR="00A12E27" w:rsidRDefault="00A12E27" w:rsidP="002551C6">
            <w:pPr>
              <w:jc w:val="center"/>
              <w:rPr>
                <w:rFonts w:ascii="Arial" w:eastAsia="Calibri" w:hAnsi="Arial" w:cs="Arial"/>
                <w:b/>
                <w:u w:val="single"/>
              </w:rPr>
            </w:pPr>
          </w:p>
          <w:p w14:paraId="41DC6775" w14:textId="63021CD1" w:rsidR="00A12E27" w:rsidRDefault="00A12E27" w:rsidP="002551C6">
            <w:pPr>
              <w:jc w:val="center"/>
              <w:rPr>
                <w:rFonts w:ascii="Arial" w:eastAsia="Calibri" w:hAnsi="Arial" w:cs="Arial"/>
                <w:b/>
                <w:u w:val="single"/>
              </w:rPr>
            </w:pPr>
            <w:r>
              <w:rPr>
                <w:rFonts w:ascii="Arial" w:eastAsia="Calibri" w:hAnsi="Arial" w:cs="Arial"/>
                <w:b/>
                <w:u w:val="single"/>
              </w:rPr>
              <w:t>17.40%</w:t>
            </w:r>
          </w:p>
        </w:tc>
      </w:tr>
      <w:tr w:rsidR="00B02760" w:rsidRPr="004B1294" w14:paraId="2840DCBE" w14:textId="77777777" w:rsidTr="00042E94">
        <w:tc>
          <w:tcPr>
            <w:tcW w:w="1550" w:type="dxa"/>
          </w:tcPr>
          <w:p w14:paraId="1F9569CD" w14:textId="6F863094" w:rsidR="00B02760" w:rsidRDefault="00B02760" w:rsidP="002551C6">
            <w:pPr>
              <w:jc w:val="center"/>
              <w:rPr>
                <w:rFonts w:ascii="Arial" w:hAnsi="Arial" w:cs="Arial"/>
                <w:b/>
              </w:rPr>
            </w:pPr>
            <w:r>
              <w:rPr>
                <w:rFonts w:ascii="Arial" w:hAnsi="Arial" w:cs="Arial"/>
                <w:b/>
              </w:rPr>
              <w:t>183</w:t>
            </w:r>
          </w:p>
        </w:tc>
        <w:tc>
          <w:tcPr>
            <w:tcW w:w="3255" w:type="dxa"/>
          </w:tcPr>
          <w:p w14:paraId="5FF11B60" w14:textId="77777777" w:rsidR="00B02760" w:rsidRDefault="00B02760" w:rsidP="00A12E27">
            <w:pPr>
              <w:jc w:val="both"/>
              <w:rPr>
                <w:rFonts w:ascii="Arial" w:hAnsi="Arial" w:cs="Arial"/>
                <w:b/>
                <w:lang w:val="es-MX"/>
              </w:rPr>
            </w:pPr>
            <w:r w:rsidRPr="00B02760">
              <w:rPr>
                <w:rFonts w:ascii="Arial" w:hAnsi="Arial" w:cs="Arial"/>
                <w:b/>
                <w:lang w:val="es-MX"/>
              </w:rPr>
              <w:t xml:space="preserve">U.A.E. MIGRACIÓN COLOMBIA. </w:t>
            </w:r>
          </w:p>
          <w:p w14:paraId="7BF55D56" w14:textId="77777777" w:rsidR="00B02760" w:rsidRDefault="00B02760" w:rsidP="00A12E27">
            <w:pPr>
              <w:jc w:val="both"/>
              <w:rPr>
                <w:rFonts w:ascii="Arial" w:hAnsi="Arial" w:cs="Arial"/>
                <w:b/>
                <w:lang w:val="es-MX"/>
              </w:rPr>
            </w:pPr>
          </w:p>
          <w:p w14:paraId="613CD364" w14:textId="77777777" w:rsidR="00B02760" w:rsidRDefault="00B02760" w:rsidP="00B02760">
            <w:pPr>
              <w:jc w:val="both"/>
              <w:rPr>
                <w:rFonts w:ascii="Arial" w:hAnsi="Arial" w:cs="Arial"/>
                <w:b/>
                <w:lang w:val="es-MX"/>
              </w:rPr>
            </w:pPr>
            <w:r>
              <w:rPr>
                <w:rFonts w:ascii="Arial" w:hAnsi="Arial" w:cs="Arial"/>
                <w:b/>
                <w:lang w:val="es-MX"/>
              </w:rPr>
              <w:t>FUNCIONAMIENTO</w:t>
            </w:r>
          </w:p>
          <w:p w14:paraId="75867ED0" w14:textId="77777777" w:rsidR="00B02760" w:rsidRDefault="00B02760" w:rsidP="00B02760">
            <w:pPr>
              <w:jc w:val="both"/>
              <w:rPr>
                <w:rFonts w:ascii="Arial" w:hAnsi="Arial" w:cs="Arial"/>
                <w:b/>
                <w:lang w:val="es-MX"/>
              </w:rPr>
            </w:pPr>
            <w:r>
              <w:rPr>
                <w:rFonts w:ascii="Arial" w:hAnsi="Arial" w:cs="Arial"/>
                <w:b/>
                <w:lang w:val="es-MX"/>
              </w:rPr>
              <w:t>INVERSIÓN</w:t>
            </w:r>
          </w:p>
          <w:p w14:paraId="43BBE973" w14:textId="77777777" w:rsidR="00B02760" w:rsidRDefault="00B02760" w:rsidP="00B02760">
            <w:pPr>
              <w:jc w:val="both"/>
              <w:rPr>
                <w:rFonts w:ascii="Arial" w:hAnsi="Arial" w:cs="Arial"/>
                <w:b/>
                <w:lang w:val="es-MX"/>
              </w:rPr>
            </w:pPr>
          </w:p>
          <w:p w14:paraId="4208A1BC" w14:textId="1AF7AC3C" w:rsidR="00B02760" w:rsidRPr="00A12E27" w:rsidRDefault="00B02760" w:rsidP="00B02760">
            <w:pPr>
              <w:jc w:val="both"/>
              <w:rPr>
                <w:rFonts w:ascii="Arial" w:hAnsi="Arial" w:cs="Arial"/>
                <w:b/>
                <w:lang w:val="es-MX"/>
              </w:rPr>
            </w:pPr>
            <w:r>
              <w:rPr>
                <w:rFonts w:ascii="Arial" w:hAnsi="Arial" w:cs="Arial"/>
                <w:b/>
                <w:lang w:val="es-MX"/>
              </w:rPr>
              <w:t>TOTAL PRESUPUESTO</w:t>
            </w:r>
          </w:p>
        </w:tc>
        <w:tc>
          <w:tcPr>
            <w:tcW w:w="1839" w:type="dxa"/>
          </w:tcPr>
          <w:p w14:paraId="042F4DED" w14:textId="77777777" w:rsidR="00B02760" w:rsidRDefault="00B02760" w:rsidP="00C95525">
            <w:pPr>
              <w:jc w:val="center"/>
              <w:rPr>
                <w:rFonts w:ascii="Arial" w:eastAsia="Calibri" w:hAnsi="Arial" w:cs="Arial"/>
                <w:b/>
                <w:u w:val="single"/>
              </w:rPr>
            </w:pPr>
          </w:p>
          <w:p w14:paraId="4AC7B4D8" w14:textId="77777777" w:rsidR="00B02760" w:rsidRDefault="00B02760" w:rsidP="00C95525">
            <w:pPr>
              <w:jc w:val="center"/>
              <w:rPr>
                <w:rFonts w:ascii="Arial" w:eastAsia="Calibri" w:hAnsi="Arial" w:cs="Arial"/>
                <w:b/>
                <w:u w:val="single"/>
              </w:rPr>
            </w:pPr>
          </w:p>
          <w:p w14:paraId="222A8406" w14:textId="5AE426DD" w:rsidR="00B02760" w:rsidRDefault="00B02760" w:rsidP="00C95525">
            <w:pPr>
              <w:jc w:val="center"/>
              <w:rPr>
                <w:rFonts w:ascii="Arial" w:eastAsia="Calibri" w:hAnsi="Arial" w:cs="Arial"/>
                <w:b/>
                <w:u w:val="single"/>
              </w:rPr>
            </w:pPr>
            <w:r>
              <w:rPr>
                <w:rFonts w:ascii="Arial" w:eastAsia="Calibri" w:hAnsi="Arial" w:cs="Arial"/>
                <w:b/>
                <w:u w:val="single"/>
              </w:rPr>
              <w:t>98.45%</w:t>
            </w:r>
          </w:p>
          <w:p w14:paraId="268E189C" w14:textId="41868A94" w:rsidR="00B02760" w:rsidRDefault="00B02760" w:rsidP="00C95525">
            <w:pPr>
              <w:jc w:val="center"/>
              <w:rPr>
                <w:rFonts w:ascii="Arial" w:eastAsia="Calibri" w:hAnsi="Arial" w:cs="Arial"/>
                <w:b/>
                <w:u w:val="single"/>
              </w:rPr>
            </w:pPr>
            <w:r>
              <w:rPr>
                <w:rFonts w:ascii="Arial" w:eastAsia="Calibri" w:hAnsi="Arial" w:cs="Arial"/>
                <w:b/>
                <w:u w:val="single"/>
              </w:rPr>
              <w:t>88.76%</w:t>
            </w:r>
          </w:p>
          <w:p w14:paraId="6BB00E76" w14:textId="77777777" w:rsidR="00B02760" w:rsidRDefault="00B02760" w:rsidP="00C95525">
            <w:pPr>
              <w:jc w:val="center"/>
              <w:rPr>
                <w:rFonts w:ascii="Arial" w:eastAsia="Calibri" w:hAnsi="Arial" w:cs="Arial"/>
                <w:b/>
                <w:u w:val="single"/>
              </w:rPr>
            </w:pPr>
          </w:p>
          <w:p w14:paraId="60316EFB" w14:textId="655B3ECB" w:rsidR="00B02760" w:rsidRDefault="00B02760" w:rsidP="00C95525">
            <w:pPr>
              <w:jc w:val="center"/>
              <w:rPr>
                <w:rFonts w:ascii="Arial" w:eastAsia="Calibri" w:hAnsi="Arial" w:cs="Arial"/>
                <w:b/>
                <w:u w:val="single"/>
              </w:rPr>
            </w:pPr>
            <w:r>
              <w:rPr>
                <w:rFonts w:ascii="Arial" w:eastAsia="Calibri" w:hAnsi="Arial" w:cs="Arial"/>
                <w:b/>
                <w:u w:val="single"/>
              </w:rPr>
              <w:t>96.90%</w:t>
            </w:r>
          </w:p>
        </w:tc>
        <w:tc>
          <w:tcPr>
            <w:tcW w:w="1804" w:type="dxa"/>
          </w:tcPr>
          <w:p w14:paraId="7895A530" w14:textId="77777777" w:rsidR="00B02760" w:rsidRDefault="00B02760" w:rsidP="002551C6">
            <w:pPr>
              <w:jc w:val="center"/>
              <w:rPr>
                <w:rFonts w:ascii="Arial" w:eastAsia="Calibri" w:hAnsi="Arial" w:cs="Arial"/>
                <w:b/>
                <w:u w:val="single"/>
              </w:rPr>
            </w:pPr>
          </w:p>
          <w:p w14:paraId="3327E9E0" w14:textId="77777777" w:rsidR="00B02760" w:rsidRDefault="00B02760" w:rsidP="002551C6">
            <w:pPr>
              <w:jc w:val="center"/>
              <w:rPr>
                <w:rFonts w:ascii="Arial" w:eastAsia="Calibri" w:hAnsi="Arial" w:cs="Arial"/>
                <w:b/>
                <w:u w:val="single"/>
              </w:rPr>
            </w:pPr>
          </w:p>
          <w:p w14:paraId="577C7C29" w14:textId="1E8FB578" w:rsidR="00B02760" w:rsidRDefault="00B02760" w:rsidP="002551C6">
            <w:pPr>
              <w:jc w:val="center"/>
              <w:rPr>
                <w:rFonts w:ascii="Arial" w:eastAsia="Calibri" w:hAnsi="Arial" w:cs="Arial"/>
                <w:b/>
                <w:u w:val="single"/>
              </w:rPr>
            </w:pPr>
            <w:r>
              <w:rPr>
                <w:rFonts w:ascii="Arial" w:eastAsia="Calibri" w:hAnsi="Arial" w:cs="Arial"/>
                <w:b/>
                <w:u w:val="single"/>
              </w:rPr>
              <w:t>93.70%</w:t>
            </w:r>
          </w:p>
          <w:p w14:paraId="5F8DFA26" w14:textId="698E3308" w:rsidR="00B02760" w:rsidRDefault="00B02760" w:rsidP="002551C6">
            <w:pPr>
              <w:jc w:val="center"/>
              <w:rPr>
                <w:rFonts w:ascii="Arial" w:eastAsia="Calibri" w:hAnsi="Arial" w:cs="Arial"/>
                <w:b/>
                <w:u w:val="single"/>
              </w:rPr>
            </w:pPr>
            <w:r>
              <w:rPr>
                <w:rFonts w:ascii="Arial" w:eastAsia="Calibri" w:hAnsi="Arial" w:cs="Arial"/>
                <w:b/>
                <w:u w:val="single"/>
              </w:rPr>
              <w:t>82.50%</w:t>
            </w:r>
          </w:p>
          <w:p w14:paraId="10726A66" w14:textId="77777777" w:rsidR="00B02760" w:rsidRDefault="00B02760" w:rsidP="002551C6">
            <w:pPr>
              <w:jc w:val="center"/>
              <w:rPr>
                <w:rFonts w:ascii="Arial" w:eastAsia="Calibri" w:hAnsi="Arial" w:cs="Arial"/>
                <w:b/>
                <w:u w:val="single"/>
              </w:rPr>
            </w:pPr>
          </w:p>
          <w:p w14:paraId="637B6A2C" w14:textId="2DA283B6" w:rsidR="00B02760" w:rsidRDefault="00B02760" w:rsidP="002551C6">
            <w:pPr>
              <w:jc w:val="center"/>
              <w:rPr>
                <w:rFonts w:ascii="Arial" w:eastAsia="Calibri" w:hAnsi="Arial" w:cs="Arial"/>
                <w:b/>
                <w:u w:val="single"/>
              </w:rPr>
            </w:pPr>
            <w:r>
              <w:rPr>
                <w:rFonts w:ascii="Arial" w:eastAsia="Calibri" w:hAnsi="Arial" w:cs="Arial"/>
                <w:b/>
                <w:u w:val="single"/>
              </w:rPr>
              <w:t>91.91%</w:t>
            </w:r>
          </w:p>
        </w:tc>
        <w:tc>
          <w:tcPr>
            <w:tcW w:w="2042" w:type="dxa"/>
          </w:tcPr>
          <w:p w14:paraId="16ADB7D8" w14:textId="77777777" w:rsidR="00B02760" w:rsidRDefault="00B02760" w:rsidP="002551C6">
            <w:pPr>
              <w:jc w:val="center"/>
              <w:rPr>
                <w:rFonts w:ascii="Arial" w:eastAsia="Calibri" w:hAnsi="Arial" w:cs="Arial"/>
                <w:b/>
                <w:u w:val="single"/>
              </w:rPr>
            </w:pPr>
          </w:p>
          <w:p w14:paraId="44C6785E" w14:textId="77777777" w:rsidR="00B02760" w:rsidRDefault="00B02760" w:rsidP="002551C6">
            <w:pPr>
              <w:jc w:val="center"/>
              <w:rPr>
                <w:rFonts w:ascii="Arial" w:eastAsia="Calibri" w:hAnsi="Arial" w:cs="Arial"/>
                <w:b/>
                <w:u w:val="single"/>
              </w:rPr>
            </w:pPr>
          </w:p>
          <w:p w14:paraId="021E23DF" w14:textId="27A7F386" w:rsidR="00B02760" w:rsidRDefault="00B02760" w:rsidP="002551C6">
            <w:pPr>
              <w:jc w:val="center"/>
              <w:rPr>
                <w:rFonts w:ascii="Arial" w:eastAsia="Calibri" w:hAnsi="Arial" w:cs="Arial"/>
                <w:b/>
                <w:u w:val="single"/>
              </w:rPr>
            </w:pPr>
            <w:r>
              <w:rPr>
                <w:rFonts w:ascii="Arial" w:eastAsia="Calibri" w:hAnsi="Arial" w:cs="Arial"/>
                <w:b/>
                <w:u w:val="single"/>
              </w:rPr>
              <w:t>93.39%</w:t>
            </w:r>
          </w:p>
          <w:p w14:paraId="584B1FCD" w14:textId="732FD67F" w:rsidR="00B02760" w:rsidRDefault="00B02760" w:rsidP="002551C6">
            <w:pPr>
              <w:jc w:val="center"/>
              <w:rPr>
                <w:rFonts w:ascii="Arial" w:eastAsia="Calibri" w:hAnsi="Arial" w:cs="Arial"/>
                <w:b/>
                <w:u w:val="single"/>
              </w:rPr>
            </w:pPr>
            <w:r>
              <w:rPr>
                <w:rFonts w:ascii="Arial" w:eastAsia="Calibri" w:hAnsi="Arial" w:cs="Arial"/>
                <w:b/>
                <w:u w:val="single"/>
              </w:rPr>
              <w:t>81.70%</w:t>
            </w:r>
          </w:p>
          <w:p w14:paraId="5D379B8F" w14:textId="77777777" w:rsidR="00B02760" w:rsidRDefault="00B02760" w:rsidP="002551C6">
            <w:pPr>
              <w:jc w:val="center"/>
              <w:rPr>
                <w:rFonts w:ascii="Arial" w:eastAsia="Calibri" w:hAnsi="Arial" w:cs="Arial"/>
                <w:b/>
                <w:u w:val="single"/>
              </w:rPr>
            </w:pPr>
          </w:p>
          <w:p w14:paraId="10A515C5" w14:textId="620CBD7A" w:rsidR="00B02760" w:rsidRDefault="00B02760" w:rsidP="002551C6">
            <w:pPr>
              <w:jc w:val="center"/>
              <w:rPr>
                <w:rFonts w:ascii="Arial" w:eastAsia="Calibri" w:hAnsi="Arial" w:cs="Arial"/>
                <w:b/>
                <w:u w:val="single"/>
              </w:rPr>
            </w:pPr>
            <w:r>
              <w:rPr>
                <w:rFonts w:ascii="Arial" w:eastAsia="Calibri" w:hAnsi="Arial" w:cs="Arial"/>
                <w:b/>
                <w:u w:val="single"/>
              </w:rPr>
              <w:t>91.52%</w:t>
            </w:r>
          </w:p>
        </w:tc>
      </w:tr>
      <w:tr w:rsidR="00D9592D" w:rsidRPr="004B1294" w14:paraId="4464DDAC" w14:textId="77777777" w:rsidTr="00042E94">
        <w:tc>
          <w:tcPr>
            <w:tcW w:w="1550" w:type="dxa"/>
          </w:tcPr>
          <w:p w14:paraId="41FB4BDA" w14:textId="29980532" w:rsidR="00D9592D" w:rsidRDefault="00D9592D" w:rsidP="002551C6">
            <w:pPr>
              <w:jc w:val="center"/>
              <w:rPr>
                <w:rFonts w:ascii="Arial" w:hAnsi="Arial" w:cs="Arial"/>
                <w:b/>
              </w:rPr>
            </w:pPr>
            <w:r>
              <w:rPr>
                <w:rFonts w:ascii="Arial" w:hAnsi="Arial" w:cs="Arial"/>
                <w:b/>
              </w:rPr>
              <w:t>187</w:t>
            </w:r>
          </w:p>
        </w:tc>
        <w:tc>
          <w:tcPr>
            <w:tcW w:w="3255" w:type="dxa"/>
          </w:tcPr>
          <w:p w14:paraId="59BFE594" w14:textId="2C5746C9" w:rsidR="00D9592D" w:rsidRDefault="00D9592D" w:rsidP="00D9592D">
            <w:pPr>
              <w:jc w:val="both"/>
              <w:rPr>
                <w:rFonts w:ascii="Arial" w:hAnsi="Arial" w:cs="Arial"/>
                <w:b/>
              </w:rPr>
            </w:pPr>
            <w:r w:rsidRPr="00D9592D">
              <w:rPr>
                <w:rFonts w:ascii="Arial" w:hAnsi="Arial" w:cs="Arial"/>
                <w:b/>
              </w:rPr>
              <w:t xml:space="preserve">MINISTERIO DE CIENCIA, </w:t>
            </w:r>
            <w:r w:rsidRPr="00D9592D">
              <w:rPr>
                <w:rFonts w:ascii="Arial" w:hAnsi="Arial" w:cs="Arial"/>
                <w:b/>
              </w:rPr>
              <w:lastRenderedPageBreak/>
              <w:t>TECNOLOGÍA E INNOVACIÓN - MINCIENCIAS.</w:t>
            </w:r>
          </w:p>
          <w:p w14:paraId="2B4369C8" w14:textId="741ACFDB" w:rsidR="00D9592D" w:rsidRDefault="00D9592D" w:rsidP="00D9592D">
            <w:pPr>
              <w:jc w:val="both"/>
              <w:rPr>
                <w:rFonts w:ascii="Arial" w:hAnsi="Arial" w:cs="Arial"/>
                <w:b/>
              </w:rPr>
            </w:pPr>
          </w:p>
          <w:p w14:paraId="6E1BC723" w14:textId="77777777" w:rsidR="00D9592D" w:rsidRDefault="00D9592D" w:rsidP="00D9592D">
            <w:pPr>
              <w:jc w:val="both"/>
              <w:rPr>
                <w:rFonts w:ascii="Arial" w:hAnsi="Arial" w:cs="Arial"/>
                <w:b/>
                <w:lang w:val="es-MX"/>
              </w:rPr>
            </w:pPr>
            <w:r>
              <w:rPr>
                <w:rFonts w:ascii="Arial" w:hAnsi="Arial" w:cs="Arial"/>
                <w:b/>
                <w:lang w:val="es-MX"/>
              </w:rPr>
              <w:t>FUNCIONAMIENTO</w:t>
            </w:r>
          </w:p>
          <w:p w14:paraId="3AB37683" w14:textId="77777777" w:rsidR="00D9592D" w:rsidRDefault="00D9592D" w:rsidP="00D9592D">
            <w:pPr>
              <w:jc w:val="both"/>
              <w:rPr>
                <w:rFonts w:ascii="Arial" w:hAnsi="Arial" w:cs="Arial"/>
                <w:b/>
                <w:lang w:val="es-MX"/>
              </w:rPr>
            </w:pPr>
            <w:r>
              <w:rPr>
                <w:rFonts w:ascii="Arial" w:hAnsi="Arial" w:cs="Arial"/>
                <w:b/>
                <w:lang w:val="es-MX"/>
              </w:rPr>
              <w:t>INVERSIÓN</w:t>
            </w:r>
          </w:p>
          <w:p w14:paraId="11D64F8B" w14:textId="77777777" w:rsidR="00D9592D" w:rsidRDefault="00D9592D" w:rsidP="00D9592D">
            <w:pPr>
              <w:jc w:val="both"/>
              <w:rPr>
                <w:rFonts w:ascii="Arial" w:hAnsi="Arial" w:cs="Arial"/>
                <w:b/>
                <w:lang w:val="es-MX"/>
              </w:rPr>
            </w:pPr>
          </w:p>
          <w:p w14:paraId="6099B244" w14:textId="4D186F9F" w:rsidR="00D9592D" w:rsidRPr="00B02760" w:rsidRDefault="00D9592D" w:rsidP="00A12E27">
            <w:pPr>
              <w:jc w:val="both"/>
              <w:rPr>
                <w:rFonts w:ascii="Arial" w:hAnsi="Arial" w:cs="Arial"/>
                <w:b/>
                <w:lang w:val="es-MX"/>
              </w:rPr>
            </w:pPr>
            <w:r>
              <w:rPr>
                <w:rFonts w:ascii="Arial" w:hAnsi="Arial" w:cs="Arial"/>
                <w:b/>
                <w:lang w:val="es-MX"/>
              </w:rPr>
              <w:t>TOTAL PRESUPUESTO</w:t>
            </w:r>
          </w:p>
        </w:tc>
        <w:tc>
          <w:tcPr>
            <w:tcW w:w="1839" w:type="dxa"/>
          </w:tcPr>
          <w:p w14:paraId="68C368A0" w14:textId="77777777" w:rsidR="00D9592D" w:rsidRDefault="00D9592D" w:rsidP="00C95525">
            <w:pPr>
              <w:jc w:val="center"/>
              <w:rPr>
                <w:rFonts w:ascii="Arial" w:eastAsia="Calibri" w:hAnsi="Arial" w:cs="Arial"/>
                <w:b/>
                <w:u w:val="single"/>
              </w:rPr>
            </w:pPr>
          </w:p>
          <w:p w14:paraId="50232A15" w14:textId="77777777" w:rsidR="00D9592D" w:rsidRDefault="00D9592D" w:rsidP="00C95525">
            <w:pPr>
              <w:jc w:val="center"/>
              <w:rPr>
                <w:rFonts w:ascii="Arial" w:eastAsia="Calibri" w:hAnsi="Arial" w:cs="Arial"/>
                <w:b/>
                <w:u w:val="single"/>
              </w:rPr>
            </w:pPr>
          </w:p>
          <w:p w14:paraId="06CE4F9C" w14:textId="77777777" w:rsidR="00D9592D" w:rsidRDefault="00D9592D" w:rsidP="00C95525">
            <w:pPr>
              <w:jc w:val="center"/>
              <w:rPr>
                <w:rFonts w:ascii="Arial" w:eastAsia="Calibri" w:hAnsi="Arial" w:cs="Arial"/>
                <w:b/>
                <w:u w:val="single"/>
              </w:rPr>
            </w:pPr>
          </w:p>
          <w:p w14:paraId="4BD441EA" w14:textId="56642EFC" w:rsidR="00D9592D" w:rsidRDefault="00D9592D" w:rsidP="00C95525">
            <w:pPr>
              <w:jc w:val="center"/>
              <w:rPr>
                <w:rFonts w:ascii="Arial" w:eastAsia="Calibri" w:hAnsi="Arial" w:cs="Arial"/>
                <w:b/>
                <w:u w:val="single"/>
              </w:rPr>
            </w:pPr>
          </w:p>
          <w:p w14:paraId="5C6B6EE2" w14:textId="40B8566F" w:rsidR="00D9592D" w:rsidRDefault="00D9592D" w:rsidP="00C95525">
            <w:pPr>
              <w:jc w:val="center"/>
              <w:rPr>
                <w:rFonts w:ascii="Arial" w:eastAsia="Calibri" w:hAnsi="Arial" w:cs="Arial"/>
                <w:b/>
                <w:u w:val="single"/>
              </w:rPr>
            </w:pPr>
            <w:r>
              <w:rPr>
                <w:rFonts w:ascii="Arial" w:eastAsia="Calibri" w:hAnsi="Arial" w:cs="Arial"/>
                <w:b/>
                <w:u w:val="single"/>
              </w:rPr>
              <w:t>96.33%</w:t>
            </w:r>
          </w:p>
          <w:p w14:paraId="179B572E" w14:textId="5D42C0AC" w:rsidR="00D9592D" w:rsidRDefault="00D9592D" w:rsidP="00C95525">
            <w:pPr>
              <w:jc w:val="center"/>
              <w:rPr>
                <w:rFonts w:ascii="Arial" w:eastAsia="Calibri" w:hAnsi="Arial" w:cs="Arial"/>
                <w:b/>
                <w:u w:val="single"/>
              </w:rPr>
            </w:pPr>
            <w:r>
              <w:rPr>
                <w:rFonts w:ascii="Arial" w:eastAsia="Calibri" w:hAnsi="Arial" w:cs="Arial"/>
                <w:b/>
                <w:u w:val="single"/>
              </w:rPr>
              <w:t>98.24%</w:t>
            </w:r>
          </w:p>
          <w:p w14:paraId="25E993E1" w14:textId="77777777" w:rsidR="00D9592D" w:rsidRDefault="00D9592D" w:rsidP="00C95525">
            <w:pPr>
              <w:jc w:val="center"/>
              <w:rPr>
                <w:rFonts w:ascii="Arial" w:eastAsia="Calibri" w:hAnsi="Arial" w:cs="Arial"/>
                <w:b/>
                <w:u w:val="single"/>
              </w:rPr>
            </w:pPr>
          </w:p>
          <w:p w14:paraId="0358C195" w14:textId="6C6ABC9F" w:rsidR="00D9592D" w:rsidRDefault="00D9592D" w:rsidP="002E249E">
            <w:pPr>
              <w:jc w:val="center"/>
              <w:rPr>
                <w:rFonts w:ascii="Arial" w:eastAsia="Calibri" w:hAnsi="Arial" w:cs="Arial"/>
                <w:b/>
                <w:u w:val="single"/>
              </w:rPr>
            </w:pPr>
            <w:r>
              <w:rPr>
                <w:rFonts w:ascii="Arial" w:eastAsia="Calibri" w:hAnsi="Arial" w:cs="Arial"/>
                <w:b/>
                <w:u w:val="single"/>
              </w:rPr>
              <w:t>98.10%</w:t>
            </w:r>
          </w:p>
        </w:tc>
        <w:tc>
          <w:tcPr>
            <w:tcW w:w="1804" w:type="dxa"/>
          </w:tcPr>
          <w:p w14:paraId="77226BFE" w14:textId="77777777" w:rsidR="00D9592D" w:rsidRDefault="00D9592D" w:rsidP="002551C6">
            <w:pPr>
              <w:jc w:val="center"/>
              <w:rPr>
                <w:rFonts w:ascii="Arial" w:eastAsia="Calibri" w:hAnsi="Arial" w:cs="Arial"/>
                <w:b/>
                <w:u w:val="single"/>
              </w:rPr>
            </w:pPr>
          </w:p>
          <w:p w14:paraId="30626AE9" w14:textId="77777777" w:rsidR="00D9592D" w:rsidRDefault="00D9592D" w:rsidP="002551C6">
            <w:pPr>
              <w:jc w:val="center"/>
              <w:rPr>
                <w:rFonts w:ascii="Arial" w:eastAsia="Calibri" w:hAnsi="Arial" w:cs="Arial"/>
                <w:b/>
                <w:u w:val="single"/>
              </w:rPr>
            </w:pPr>
          </w:p>
          <w:p w14:paraId="2177D2C9" w14:textId="77777777" w:rsidR="00D9592D" w:rsidRDefault="00D9592D" w:rsidP="002551C6">
            <w:pPr>
              <w:jc w:val="center"/>
              <w:rPr>
                <w:rFonts w:ascii="Arial" w:eastAsia="Calibri" w:hAnsi="Arial" w:cs="Arial"/>
                <w:b/>
                <w:u w:val="single"/>
              </w:rPr>
            </w:pPr>
          </w:p>
          <w:p w14:paraId="33904AD2" w14:textId="77777777" w:rsidR="00D9592D" w:rsidRDefault="00D9592D" w:rsidP="002551C6">
            <w:pPr>
              <w:jc w:val="center"/>
              <w:rPr>
                <w:rFonts w:ascii="Arial" w:eastAsia="Calibri" w:hAnsi="Arial" w:cs="Arial"/>
                <w:b/>
                <w:u w:val="single"/>
              </w:rPr>
            </w:pPr>
          </w:p>
          <w:p w14:paraId="11F3A918" w14:textId="580AD4EE" w:rsidR="00D9592D" w:rsidRDefault="00D9592D" w:rsidP="002551C6">
            <w:pPr>
              <w:jc w:val="center"/>
              <w:rPr>
                <w:rFonts w:ascii="Arial" w:eastAsia="Calibri" w:hAnsi="Arial" w:cs="Arial"/>
                <w:b/>
                <w:u w:val="single"/>
              </w:rPr>
            </w:pPr>
            <w:r>
              <w:rPr>
                <w:rFonts w:ascii="Arial" w:eastAsia="Calibri" w:hAnsi="Arial" w:cs="Arial"/>
                <w:b/>
                <w:u w:val="single"/>
              </w:rPr>
              <w:t>94.23%</w:t>
            </w:r>
          </w:p>
          <w:p w14:paraId="1DB22CC0" w14:textId="73F4BBD3" w:rsidR="00D9592D" w:rsidRDefault="00D9592D" w:rsidP="002551C6">
            <w:pPr>
              <w:jc w:val="center"/>
              <w:rPr>
                <w:rFonts w:ascii="Arial" w:eastAsia="Calibri" w:hAnsi="Arial" w:cs="Arial"/>
                <w:b/>
                <w:u w:val="single"/>
              </w:rPr>
            </w:pPr>
            <w:r>
              <w:rPr>
                <w:rFonts w:ascii="Arial" w:eastAsia="Calibri" w:hAnsi="Arial" w:cs="Arial"/>
                <w:b/>
                <w:u w:val="single"/>
              </w:rPr>
              <w:t>86.90%</w:t>
            </w:r>
          </w:p>
          <w:p w14:paraId="04C27FB8" w14:textId="77777777" w:rsidR="00D9592D" w:rsidRDefault="00D9592D" w:rsidP="002551C6">
            <w:pPr>
              <w:jc w:val="center"/>
              <w:rPr>
                <w:rFonts w:ascii="Arial" w:eastAsia="Calibri" w:hAnsi="Arial" w:cs="Arial"/>
                <w:b/>
                <w:u w:val="single"/>
              </w:rPr>
            </w:pPr>
          </w:p>
          <w:p w14:paraId="7F0733A9" w14:textId="424057DB" w:rsidR="00D9592D" w:rsidRDefault="00D9592D" w:rsidP="002551C6">
            <w:pPr>
              <w:jc w:val="center"/>
              <w:rPr>
                <w:rFonts w:ascii="Arial" w:eastAsia="Calibri" w:hAnsi="Arial" w:cs="Arial"/>
                <w:b/>
                <w:u w:val="single"/>
              </w:rPr>
            </w:pPr>
            <w:r>
              <w:rPr>
                <w:rFonts w:ascii="Arial" w:eastAsia="Calibri" w:hAnsi="Arial" w:cs="Arial"/>
                <w:b/>
                <w:u w:val="single"/>
              </w:rPr>
              <w:t>87.44%</w:t>
            </w:r>
          </w:p>
        </w:tc>
        <w:tc>
          <w:tcPr>
            <w:tcW w:w="2042" w:type="dxa"/>
          </w:tcPr>
          <w:p w14:paraId="50665109" w14:textId="77777777" w:rsidR="00D9592D" w:rsidRDefault="00D9592D" w:rsidP="002551C6">
            <w:pPr>
              <w:jc w:val="center"/>
              <w:rPr>
                <w:rFonts w:ascii="Arial" w:eastAsia="Calibri" w:hAnsi="Arial" w:cs="Arial"/>
                <w:b/>
                <w:u w:val="single"/>
              </w:rPr>
            </w:pPr>
          </w:p>
          <w:p w14:paraId="40A4799E" w14:textId="77777777" w:rsidR="00D9592D" w:rsidRDefault="00D9592D" w:rsidP="002551C6">
            <w:pPr>
              <w:jc w:val="center"/>
              <w:rPr>
                <w:rFonts w:ascii="Arial" w:eastAsia="Calibri" w:hAnsi="Arial" w:cs="Arial"/>
                <w:b/>
                <w:u w:val="single"/>
              </w:rPr>
            </w:pPr>
          </w:p>
          <w:p w14:paraId="28DCDE57" w14:textId="77777777" w:rsidR="00D9592D" w:rsidRDefault="00D9592D" w:rsidP="002551C6">
            <w:pPr>
              <w:jc w:val="center"/>
              <w:rPr>
                <w:rFonts w:ascii="Arial" w:eastAsia="Calibri" w:hAnsi="Arial" w:cs="Arial"/>
                <w:b/>
                <w:u w:val="single"/>
              </w:rPr>
            </w:pPr>
          </w:p>
          <w:p w14:paraId="1EF48B2E" w14:textId="77777777" w:rsidR="00D9592D" w:rsidRDefault="00D9592D" w:rsidP="002551C6">
            <w:pPr>
              <w:jc w:val="center"/>
              <w:rPr>
                <w:rFonts w:ascii="Arial" w:eastAsia="Calibri" w:hAnsi="Arial" w:cs="Arial"/>
                <w:b/>
                <w:u w:val="single"/>
              </w:rPr>
            </w:pPr>
          </w:p>
          <w:p w14:paraId="1BC2F235" w14:textId="070546A1" w:rsidR="00D9592D" w:rsidRDefault="00D9592D" w:rsidP="002551C6">
            <w:pPr>
              <w:jc w:val="center"/>
              <w:rPr>
                <w:rFonts w:ascii="Arial" w:eastAsia="Calibri" w:hAnsi="Arial" w:cs="Arial"/>
                <w:b/>
                <w:u w:val="single"/>
              </w:rPr>
            </w:pPr>
            <w:r>
              <w:rPr>
                <w:rFonts w:ascii="Arial" w:eastAsia="Calibri" w:hAnsi="Arial" w:cs="Arial"/>
                <w:b/>
                <w:u w:val="single"/>
              </w:rPr>
              <w:t>91.05%</w:t>
            </w:r>
          </w:p>
          <w:p w14:paraId="6E10F48C" w14:textId="42B12B5D" w:rsidR="00D9592D" w:rsidRDefault="00D9592D" w:rsidP="002551C6">
            <w:pPr>
              <w:jc w:val="center"/>
              <w:rPr>
                <w:rFonts w:ascii="Arial" w:eastAsia="Calibri" w:hAnsi="Arial" w:cs="Arial"/>
                <w:b/>
                <w:u w:val="single"/>
              </w:rPr>
            </w:pPr>
            <w:r>
              <w:rPr>
                <w:rFonts w:ascii="Arial" w:eastAsia="Calibri" w:hAnsi="Arial" w:cs="Arial"/>
                <w:b/>
                <w:u w:val="single"/>
              </w:rPr>
              <w:t>86.42%</w:t>
            </w:r>
          </w:p>
          <w:p w14:paraId="7D84E6C9" w14:textId="77777777" w:rsidR="00D9592D" w:rsidRDefault="00D9592D" w:rsidP="002551C6">
            <w:pPr>
              <w:jc w:val="center"/>
              <w:rPr>
                <w:rFonts w:ascii="Arial" w:eastAsia="Calibri" w:hAnsi="Arial" w:cs="Arial"/>
                <w:b/>
                <w:u w:val="single"/>
              </w:rPr>
            </w:pPr>
          </w:p>
          <w:p w14:paraId="5255E5FC" w14:textId="1C1567B8" w:rsidR="00D9592D" w:rsidRDefault="00D9592D" w:rsidP="002551C6">
            <w:pPr>
              <w:jc w:val="center"/>
              <w:rPr>
                <w:rFonts w:ascii="Arial" w:eastAsia="Calibri" w:hAnsi="Arial" w:cs="Arial"/>
                <w:b/>
                <w:u w:val="single"/>
              </w:rPr>
            </w:pPr>
            <w:r>
              <w:rPr>
                <w:rFonts w:ascii="Arial" w:eastAsia="Calibri" w:hAnsi="Arial" w:cs="Arial"/>
                <w:b/>
                <w:u w:val="single"/>
              </w:rPr>
              <w:t>86.76%</w:t>
            </w:r>
          </w:p>
        </w:tc>
      </w:tr>
      <w:tr w:rsidR="002E249E" w:rsidRPr="004B1294" w14:paraId="36B8D973" w14:textId="77777777" w:rsidTr="00042E94">
        <w:tc>
          <w:tcPr>
            <w:tcW w:w="1550" w:type="dxa"/>
          </w:tcPr>
          <w:p w14:paraId="7C2ABADA" w14:textId="04063E8A" w:rsidR="002E249E" w:rsidRDefault="002E249E" w:rsidP="002551C6">
            <w:pPr>
              <w:jc w:val="center"/>
              <w:rPr>
                <w:rFonts w:ascii="Arial" w:hAnsi="Arial" w:cs="Arial"/>
                <w:b/>
              </w:rPr>
            </w:pPr>
            <w:r>
              <w:rPr>
                <w:rFonts w:ascii="Arial" w:hAnsi="Arial" w:cs="Arial"/>
                <w:b/>
              </w:rPr>
              <w:lastRenderedPageBreak/>
              <w:t>215</w:t>
            </w:r>
          </w:p>
        </w:tc>
        <w:tc>
          <w:tcPr>
            <w:tcW w:w="3255" w:type="dxa"/>
          </w:tcPr>
          <w:p w14:paraId="4F11A664" w14:textId="5B082A4A" w:rsidR="002E249E" w:rsidRPr="002E249E" w:rsidRDefault="002E249E" w:rsidP="002E249E">
            <w:pPr>
              <w:jc w:val="both"/>
              <w:rPr>
                <w:b/>
                <w:sz w:val="28"/>
                <w:szCs w:val="28"/>
                <w:lang w:val="es-MX"/>
              </w:rPr>
            </w:pPr>
            <w:r w:rsidRPr="002E249E">
              <w:rPr>
                <w:rFonts w:ascii="Arial" w:hAnsi="Arial" w:cs="Arial"/>
                <w:b/>
                <w:lang w:val="es-MX"/>
              </w:rPr>
              <w:t>MINISTERIO DE LAS CULTURAS, LAS ARTES Y LOS SABERES</w:t>
            </w:r>
            <w:r w:rsidRPr="002E249E">
              <w:rPr>
                <w:b/>
                <w:sz w:val="28"/>
                <w:szCs w:val="28"/>
                <w:lang w:val="es-MX"/>
              </w:rPr>
              <w:t>.</w:t>
            </w:r>
          </w:p>
          <w:p w14:paraId="2821879B" w14:textId="77777777" w:rsidR="002E249E" w:rsidRDefault="002E249E" w:rsidP="00D9592D">
            <w:pPr>
              <w:jc w:val="both"/>
              <w:rPr>
                <w:b/>
                <w:sz w:val="28"/>
                <w:szCs w:val="28"/>
                <w:lang w:val="es-MX"/>
              </w:rPr>
            </w:pPr>
          </w:p>
          <w:p w14:paraId="1F994913" w14:textId="77777777" w:rsidR="002E249E" w:rsidRDefault="002E249E" w:rsidP="002E249E">
            <w:pPr>
              <w:jc w:val="both"/>
              <w:rPr>
                <w:rFonts w:ascii="Arial" w:hAnsi="Arial" w:cs="Arial"/>
                <w:b/>
                <w:lang w:val="es-MX"/>
              </w:rPr>
            </w:pPr>
            <w:r>
              <w:rPr>
                <w:rFonts w:ascii="Arial" w:hAnsi="Arial" w:cs="Arial"/>
                <w:b/>
                <w:lang w:val="es-MX"/>
              </w:rPr>
              <w:t>FUNCIONAMIENTO</w:t>
            </w:r>
          </w:p>
          <w:p w14:paraId="5695302C" w14:textId="77777777" w:rsidR="002E249E" w:rsidRDefault="002E249E" w:rsidP="002E249E">
            <w:pPr>
              <w:jc w:val="both"/>
              <w:rPr>
                <w:rFonts w:ascii="Arial" w:hAnsi="Arial" w:cs="Arial"/>
                <w:b/>
                <w:lang w:val="es-MX"/>
              </w:rPr>
            </w:pPr>
            <w:r>
              <w:rPr>
                <w:rFonts w:ascii="Arial" w:hAnsi="Arial" w:cs="Arial"/>
                <w:b/>
                <w:lang w:val="es-MX"/>
              </w:rPr>
              <w:t>INVERSIÓN</w:t>
            </w:r>
          </w:p>
          <w:p w14:paraId="3465F2C2" w14:textId="77777777" w:rsidR="002E249E" w:rsidRDefault="002E249E" w:rsidP="002E249E">
            <w:pPr>
              <w:jc w:val="both"/>
              <w:rPr>
                <w:rFonts w:ascii="Arial" w:hAnsi="Arial" w:cs="Arial"/>
                <w:b/>
                <w:lang w:val="es-MX"/>
              </w:rPr>
            </w:pPr>
          </w:p>
          <w:p w14:paraId="0E4F2965" w14:textId="461ED019" w:rsidR="002E249E" w:rsidRPr="00D9592D" w:rsidRDefault="002E249E" w:rsidP="002E249E">
            <w:pPr>
              <w:jc w:val="both"/>
              <w:rPr>
                <w:rFonts w:ascii="Arial" w:hAnsi="Arial" w:cs="Arial"/>
                <w:b/>
              </w:rPr>
            </w:pPr>
            <w:r>
              <w:rPr>
                <w:rFonts w:ascii="Arial" w:hAnsi="Arial" w:cs="Arial"/>
                <w:b/>
                <w:lang w:val="es-MX"/>
              </w:rPr>
              <w:t>TOTAL PRESUPUESTO</w:t>
            </w:r>
          </w:p>
        </w:tc>
        <w:tc>
          <w:tcPr>
            <w:tcW w:w="1839" w:type="dxa"/>
          </w:tcPr>
          <w:p w14:paraId="56A98827" w14:textId="77777777" w:rsidR="002E249E" w:rsidRDefault="002E249E" w:rsidP="00C95525">
            <w:pPr>
              <w:jc w:val="center"/>
              <w:rPr>
                <w:rFonts w:ascii="Arial" w:eastAsia="Calibri" w:hAnsi="Arial" w:cs="Arial"/>
                <w:b/>
                <w:u w:val="single"/>
              </w:rPr>
            </w:pPr>
          </w:p>
          <w:p w14:paraId="71C66310" w14:textId="77777777" w:rsidR="002E249E" w:rsidRDefault="002E249E" w:rsidP="00C95525">
            <w:pPr>
              <w:jc w:val="center"/>
              <w:rPr>
                <w:rFonts w:ascii="Arial" w:eastAsia="Calibri" w:hAnsi="Arial" w:cs="Arial"/>
                <w:b/>
                <w:u w:val="single"/>
              </w:rPr>
            </w:pPr>
          </w:p>
          <w:p w14:paraId="71F679FE" w14:textId="77777777" w:rsidR="002E249E" w:rsidRDefault="002E249E" w:rsidP="00C95525">
            <w:pPr>
              <w:jc w:val="center"/>
              <w:rPr>
                <w:rFonts w:ascii="Arial" w:eastAsia="Calibri" w:hAnsi="Arial" w:cs="Arial"/>
                <w:b/>
                <w:u w:val="single"/>
              </w:rPr>
            </w:pPr>
          </w:p>
          <w:p w14:paraId="24EA0D78" w14:textId="77777777" w:rsidR="002E249E" w:rsidRDefault="002E249E" w:rsidP="00C95525">
            <w:pPr>
              <w:jc w:val="center"/>
              <w:rPr>
                <w:rFonts w:ascii="Arial" w:eastAsia="Calibri" w:hAnsi="Arial" w:cs="Arial"/>
                <w:b/>
                <w:u w:val="single"/>
              </w:rPr>
            </w:pPr>
          </w:p>
          <w:p w14:paraId="0E7C6E73" w14:textId="77777777" w:rsidR="002E249E" w:rsidRDefault="002E249E" w:rsidP="00C95525">
            <w:pPr>
              <w:jc w:val="center"/>
              <w:rPr>
                <w:rFonts w:ascii="Arial" w:eastAsia="Calibri" w:hAnsi="Arial" w:cs="Arial"/>
                <w:b/>
                <w:u w:val="single"/>
              </w:rPr>
            </w:pPr>
          </w:p>
          <w:p w14:paraId="2FB6E37A" w14:textId="52008447" w:rsidR="002E249E" w:rsidRDefault="002E249E" w:rsidP="00C95525">
            <w:pPr>
              <w:jc w:val="center"/>
              <w:rPr>
                <w:rFonts w:ascii="Arial" w:eastAsia="Calibri" w:hAnsi="Arial" w:cs="Arial"/>
                <w:b/>
                <w:u w:val="single"/>
              </w:rPr>
            </w:pPr>
            <w:r>
              <w:rPr>
                <w:rFonts w:ascii="Arial" w:eastAsia="Calibri" w:hAnsi="Arial" w:cs="Arial"/>
                <w:b/>
                <w:u w:val="single"/>
              </w:rPr>
              <w:t>93.43%</w:t>
            </w:r>
          </w:p>
          <w:p w14:paraId="6367FAFF" w14:textId="279AA506" w:rsidR="002E249E" w:rsidRDefault="002E249E" w:rsidP="00C95525">
            <w:pPr>
              <w:jc w:val="center"/>
              <w:rPr>
                <w:rFonts w:ascii="Arial" w:eastAsia="Calibri" w:hAnsi="Arial" w:cs="Arial"/>
                <w:b/>
                <w:u w:val="single"/>
              </w:rPr>
            </w:pPr>
            <w:r>
              <w:rPr>
                <w:rFonts w:ascii="Arial" w:eastAsia="Calibri" w:hAnsi="Arial" w:cs="Arial"/>
                <w:b/>
                <w:u w:val="single"/>
              </w:rPr>
              <w:t>99.26%</w:t>
            </w:r>
          </w:p>
          <w:p w14:paraId="2B10B9C9" w14:textId="77777777" w:rsidR="002E249E" w:rsidRDefault="002E249E" w:rsidP="00C95525">
            <w:pPr>
              <w:jc w:val="center"/>
              <w:rPr>
                <w:rFonts w:ascii="Arial" w:eastAsia="Calibri" w:hAnsi="Arial" w:cs="Arial"/>
                <w:b/>
                <w:u w:val="single"/>
              </w:rPr>
            </w:pPr>
          </w:p>
          <w:p w14:paraId="0DF3C643" w14:textId="367DF3B4" w:rsidR="002E249E" w:rsidRDefault="002E249E" w:rsidP="00C95525">
            <w:pPr>
              <w:jc w:val="center"/>
              <w:rPr>
                <w:rFonts w:ascii="Arial" w:eastAsia="Calibri" w:hAnsi="Arial" w:cs="Arial"/>
                <w:b/>
                <w:u w:val="single"/>
              </w:rPr>
            </w:pPr>
            <w:r>
              <w:rPr>
                <w:rFonts w:ascii="Arial" w:eastAsia="Calibri" w:hAnsi="Arial" w:cs="Arial"/>
                <w:b/>
                <w:u w:val="single"/>
              </w:rPr>
              <w:t>99.06%</w:t>
            </w:r>
          </w:p>
        </w:tc>
        <w:tc>
          <w:tcPr>
            <w:tcW w:w="1804" w:type="dxa"/>
          </w:tcPr>
          <w:p w14:paraId="1E0DA756" w14:textId="77777777" w:rsidR="002E249E" w:rsidRDefault="002E249E" w:rsidP="002551C6">
            <w:pPr>
              <w:jc w:val="center"/>
              <w:rPr>
                <w:rFonts w:ascii="Arial" w:eastAsia="Calibri" w:hAnsi="Arial" w:cs="Arial"/>
                <w:b/>
                <w:u w:val="single"/>
              </w:rPr>
            </w:pPr>
          </w:p>
          <w:p w14:paraId="4551F2A3" w14:textId="77777777" w:rsidR="002E249E" w:rsidRDefault="002E249E" w:rsidP="002551C6">
            <w:pPr>
              <w:jc w:val="center"/>
              <w:rPr>
                <w:rFonts w:ascii="Arial" w:eastAsia="Calibri" w:hAnsi="Arial" w:cs="Arial"/>
                <w:b/>
                <w:u w:val="single"/>
              </w:rPr>
            </w:pPr>
          </w:p>
          <w:p w14:paraId="44BB44E4" w14:textId="77777777" w:rsidR="002E249E" w:rsidRDefault="002E249E" w:rsidP="002551C6">
            <w:pPr>
              <w:jc w:val="center"/>
              <w:rPr>
                <w:rFonts w:ascii="Arial" w:eastAsia="Calibri" w:hAnsi="Arial" w:cs="Arial"/>
                <w:b/>
                <w:u w:val="single"/>
              </w:rPr>
            </w:pPr>
          </w:p>
          <w:p w14:paraId="60A1DDAD" w14:textId="77777777" w:rsidR="002E249E" w:rsidRDefault="002E249E" w:rsidP="002551C6">
            <w:pPr>
              <w:jc w:val="center"/>
              <w:rPr>
                <w:rFonts w:ascii="Arial" w:eastAsia="Calibri" w:hAnsi="Arial" w:cs="Arial"/>
                <w:b/>
                <w:u w:val="single"/>
              </w:rPr>
            </w:pPr>
          </w:p>
          <w:p w14:paraId="7A29850E" w14:textId="77777777" w:rsidR="002E249E" w:rsidRDefault="002E249E" w:rsidP="002551C6">
            <w:pPr>
              <w:jc w:val="center"/>
              <w:rPr>
                <w:rFonts w:ascii="Arial" w:eastAsia="Calibri" w:hAnsi="Arial" w:cs="Arial"/>
                <w:b/>
                <w:u w:val="single"/>
              </w:rPr>
            </w:pPr>
          </w:p>
          <w:p w14:paraId="4B6C12D5" w14:textId="2078DBFD" w:rsidR="002E249E" w:rsidRDefault="002E249E" w:rsidP="002551C6">
            <w:pPr>
              <w:jc w:val="center"/>
              <w:rPr>
                <w:rFonts w:ascii="Arial" w:eastAsia="Calibri" w:hAnsi="Arial" w:cs="Arial"/>
                <w:b/>
                <w:u w:val="single"/>
              </w:rPr>
            </w:pPr>
            <w:r>
              <w:rPr>
                <w:rFonts w:ascii="Arial" w:eastAsia="Calibri" w:hAnsi="Arial" w:cs="Arial"/>
                <w:b/>
                <w:u w:val="single"/>
              </w:rPr>
              <w:t>93.15%</w:t>
            </w:r>
          </w:p>
          <w:p w14:paraId="59230F6A" w14:textId="23A889BF" w:rsidR="002E249E" w:rsidRDefault="002E249E" w:rsidP="002551C6">
            <w:pPr>
              <w:jc w:val="center"/>
              <w:rPr>
                <w:rFonts w:ascii="Arial" w:eastAsia="Calibri" w:hAnsi="Arial" w:cs="Arial"/>
                <w:b/>
                <w:u w:val="single"/>
              </w:rPr>
            </w:pPr>
            <w:r>
              <w:rPr>
                <w:rFonts w:ascii="Arial" w:eastAsia="Calibri" w:hAnsi="Arial" w:cs="Arial"/>
                <w:b/>
                <w:u w:val="single"/>
              </w:rPr>
              <w:t>52.95%</w:t>
            </w:r>
          </w:p>
          <w:p w14:paraId="69FC160E" w14:textId="77777777" w:rsidR="002E249E" w:rsidRDefault="002E249E" w:rsidP="002551C6">
            <w:pPr>
              <w:jc w:val="center"/>
              <w:rPr>
                <w:rFonts w:ascii="Arial" w:eastAsia="Calibri" w:hAnsi="Arial" w:cs="Arial"/>
                <w:b/>
                <w:u w:val="single"/>
              </w:rPr>
            </w:pPr>
          </w:p>
          <w:p w14:paraId="5C099F27" w14:textId="00C0E95F" w:rsidR="002E249E" w:rsidRDefault="002E249E" w:rsidP="002551C6">
            <w:pPr>
              <w:jc w:val="center"/>
              <w:rPr>
                <w:rFonts w:ascii="Arial" w:eastAsia="Calibri" w:hAnsi="Arial" w:cs="Arial"/>
                <w:b/>
                <w:u w:val="single"/>
              </w:rPr>
            </w:pPr>
            <w:r>
              <w:rPr>
                <w:rFonts w:ascii="Arial" w:eastAsia="Calibri" w:hAnsi="Arial" w:cs="Arial"/>
                <w:b/>
                <w:u w:val="single"/>
              </w:rPr>
              <w:t>62.64%</w:t>
            </w:r>
          </w:p>
        </w:tc>
        <w:tc>
          <w:tcPr>
            <w:tcW w:w="2042" w:type="dxa"/>
          </w:tcPr>
          <w:p w14:paraId="01B88207" w14:textId="77777777" w:rsidR="002E249E" w:rsidRDefault="002E249E" w:rsidP="002551C6">
            <w:pPr>
              <w:jc w:val="center"/>
              <w:rPr>
                <w:rFonts w:ascii="Arial" w:eastAsia="Calibri" w:hAnsi="Arial" w:cs="Arial"/>
                <w:b/>
                <w:u w:val="single"/>
              </w:rPr>
            </w:pPr>
          </w:p>
          <w:p w14:paraId="79F55DCF" w14:textId="77777777" w:rsidR="002E249E" w:rsidRDefault="002E249E" w:rsidP="002551C6">
            <w:pPr>
              <w:jc w:val="center"/>
              <w:rPr>
                <w:rFonts w:ascii="Arial" w:eastAsia="Calibri" w:hAnsi="Arial" w:cs="Arial"/>
                <w:b/>
                <w:u w:val="single"/>
              </w:rPr>
            </w:pPr>
          </w:p>
          <w:p w14:paraId="5218CC2B" w14:textId="77777777" w:rsidR="002E249E" w:rsidRDefault="002E249E" w:rsidP="002551C6">
            <w:pPr>
              <w:jc w:val="center"/>
              <w:rPr>
                <w:rFonts w:ascii="Arial" w:eastAsia="Calibri" w:hAnsi="Arial" w:cs="Arial"/>
                <w:b/>
                <w:u w:val="single"/>
              </w:rPr>
            </w:pPr>
          </w:p>
          <w:p w14:paraId="76A043F8" w14:textId="77777777" w:rsidR="002E249E" w:rsidRDefault="002E249E" w:rsidP="002551C6">
            <w:pPr>
              <w:jc w:val="center"/>
              <w:rPr>
                <w:rFonts w:ascii="Arial" w:eastAsia="Calibri" w:hAnsi="Arial" w:cs="Arial"/>
                <w:b/>
                <w:u w:val="single"/>
              </w:rPr>
            </w:pPr>
          </w:p>
          <w:p w14:paraId="72292F08" w14:textId="77777777" w:rsidR="002E249E" w:rsidRDefault="002E249E" w:rsidP="002551C6">
            <w:pPr>
              <w:jc w:val="center"/>
              <w:rPr>
                <w:rFonts w:ascii="Arial" w:eastAsia="Calibri" w:hAnsi="Arial" w:cs="Arial"/>
                <w:b/>
                <w:u w:val="single"/>
              </w:rPr>
            </w:pPr>
          </w:p>
          <w:p w14:paraId="0A0BC7AB" w14:textId="7F0D765A" w:rsidR="002E249E" w:rsidRDefault="002E249E" w:rsidP="002551C6">
            <w:pPr>
              <w:jc w:val="center"/>
              <w:rPr>
                <w:rFonts w:ascii="Arial" w:eastAsia="Calibri" w:hAnsi="Arial" w:cs="Arial"/>
                <w:b/>
                <w:u w:val="single"/>
              </w:rPr>
            </w:pPr>
            <w:r>
              <w:rPr>
                <w:rFonts w:ascii="Arial" w:eastAsia="Calibri" w:hAnsi="Arial" w:cs="Arial"/>
                <w:b/>
                <w:u w:val="single"/>
              </w:rPr>
              <w:t>89.28%</w:t>
            </w:r>
          </w:p>
          <w:p w14:paraId="50FECEDA" w14:textId="77761A50" w:rsidR="002E249E" w:rsidRDefault="002E249E" w:rsidP="002551C6">
            <w:pPr>
              <w:jc w:val="center"/>
              <w:rPr>
                <w:rFonts w:ascii="Arial" w:eastAsia="Calibri" w:hAnsi="Arial" w:cs="Arial"/>
                <w:b/>
                <w:u w:val="single"/>
              </w:rPr>
            </w:pPr>
            <w:r>
              <w:rPr>
                <w:rFonts w:ascii="Arial" w:eastAsia="Calibri" w:hAnsi="Arial" w:cs="Arial"/>
                <w:b/>
                <w:u w:val="single"/>
              </w:rPr>
              <w:t>52.95%</w:t>
            </w:r>
          </w:p>
          <w:p w14:paraId="7B7904D4" w14:textId="77777777" w:rsidR="002E249E" w:rsidRDefault="002E249E" w:rsidP="002551C6">
            <w:pPr>
              <w:jc w:val="center"/>
              <w:rPr>
                <w:rFonts w:ascii="Arial" w:eastAsia="Calibri" w:hAnsi="Arial" w:cs="Arial"/>
                <w:b/>
                <w:u w:val="single"/>
              </w:rPr>
            </w:pPr>
          </w:p>
          <w:p w14:paraId="782B7873" w14:textId="282C6C22" w:rsidR="002E249E" w:rsidRDefault="002E249E" w:rsidP="002551C6">
            <w:pPr>
              <w:jc w:val="center"/>
              <w:rPr>
                <w:rFonts w:ascii="Arial" w:eastAsia="Calibri" w:hAnsi="Arial" w:cs="Arial"/>
                <w:b/>
                <w:u w:val="single"/>
              </w:rPr>
            </w:pPr>
            <w:r>
              <w:rPr>
                <w:rFonts w:ascii="Arial" w:eastAsia="Calibri" w:hAnsi="Arial" w:cs="Arial"/>
                <w:b/>
                <w:u w:val="single"/>
              </w:rPr>
              <w:t>61.71%</w:t>
            </w:r>
          </w:p>
        </w:tc>
      </w:tr>
      <w:tr w:rsidR="00382338" w:rsidRPr="004B1294" w14:paraId="090FF2F6" w14:textId="77777777" w:rsidTr="00042E94">
        <w:tc>
          <w:tcPr>
            <w:tcW w:w="1550" w:type="dxa"/>
          </w:tcPr>
          <w:p w14:paraId="5ECABB15" w14:textId="087F30D7" w:rsidR="00382338" w:rsidRDefault="00382338" w:rsidP="002551C6">
            <w:pPr>
              <w:jc w:val="center"/>
              <w:rPr>
                <w:rFonts w:ascii="Arial" w:hAnsi="Arial" w:cs="Arial"/>
                <w:b/>
              </w:rPr>
            </w:pPr>
            <w:r>
              <w:rPr>
                <w:rFonts w:ascii="Arial" w:hAnsi="Arial" w:cs="Arial"/>
                <w:b/>
              </w:rPr>
              <w:t>223</w:t>
            </w:r>
          </w:p>
        </w:tc>
        <w:tc>
          <w:tcPr>
            <w:tcW w:w="3255" w:type="dxa"/>
          </w:tcPr>
          <w:p w14:paraId="6A3C11AE" w14:textId="1170A3A7" w:rsidR="00382338" w:rsidRPr="00382338" w:rsidRDefault="00382338" w:rsidP="00382338">
            <w:pPr>
              <w:jc w:val="both"/>
              <w:rPr>
                <w:rFonts w:ascii="Arial" w:hAnsi="Arial" w:cs="Arial"/>
                <w:b/>
                <w:lang w:val="es-MX"/>
              </w:rPr>
            </w:pPr>
            <w:r w:rsidRPr="00382338">
              <w:rPr>
                <w:rFonts w:ascii="Arial" w:hAnsi="Arial" w:cs="Arial"/>
                <w:b/>
              </w:rPr>
              <w:t>INSTITUTO NACIONAL PENITENCIARIO Y CARCELARIO – INPEC</w:t>
            </w:r>
            <w:r w:rsidRPr="00382338">
              <w:rPr>
                <w:rFonts w:ascii="Arial" w:hAnsi="Arial" w:cs="Arial"/>
                <w:b/>
                <w:lang w:val="es-MX"/>
              </w:rPr>
              <w:t>.</w:t>
            </w:r>
          </w:p>
          <w:p w14:paraId="7BEBC769" w14:textId="77777777" w:rsidR="00382338" w:rsidRDefault="00382338" w:rsidP="002E249E">
            <w:pPr>
              <w:jc w:val="both"/>
              <w:rPr>
                <w:rFonts w:ascii="Arial" w:hAnsi="Arial" w:cs="Arial"/>
                <w:b/>
                <w:lang w:val="es-MX"/>
              </w:rPr>
            </w:pPr>
          </w:p>
          <w:p w14:paraId="255389CE" w14:textId="77777777" w:rsidR="00382338" w:rsidRDefault="00382338" w:rsidP="00382338">
            <w:pPr>
              <w:jc w:val="both"/>
              <w:rPr>
                <w:rFonts w:ascii="Arial" w:hAnsi="Arial" w:cs="Arial"/>
                <w:b/>
                <w:lang w:val="es-MX"/>
              </w:rPr>
            </w:pPr>
            <w:r>
              <w:rPr>
                <w:rFonts w:ascii="Arial" w:hAnsi="Arial" w:cs="Arial"/>
                <w:b/>
                <w:lang w:val="es-MX"/>
              </w:rPr>
              <w:t>FUNCIONAMIENTO</w:t>
            </w:r>
          </w:p>
          <w:p w14:paraId="262E88E3" w14:textId="77777777" w:rsidR="00382338" w:rsidRDefault="00382338" w:rsidP="00382338">
            <w:pPr>
              <w:jc w:val="both"/>
              <w:rPr>
                <w:rFonts w:ascii="Arial" w:hAnsi="Arial" w:cs="Arial"/>
                <w:b/>
                <w:lang w:val="es-MX"/>
              </w:rPr>
            </w:pPr>
          </w:p>
          <w:p w14:paraId="2277FF07" w14:textId="62463AEA" w:rsidR="00382338" w:rsidRPr="002E249E" w:rsidRDefault="00382338" w:rsidP="00382338">
            <w:pPr>
              <w:jc w:val="both"/>
              <w:rPr>
                <w:rFonts w:ascii="Arial" w:hAnsi="Arial" w:cs="Arial"/>
                <w:b/>
                <w:lang w:val="es-MX"/>
              </w:rPr>
            </w:pPr>
            <w:r>
              <w:rPr>
                <w:rFonts w:ascii="Arial" w:hAnsi="Arial" w:cs="Arial"/>
                <w:b/>
                <w:lang w:val="es-MX"/>
              </w:rPr>
              <w:t>TOTAL PRESUPUESTO</w:t>
            </w:r>
          </w:p>
        </w:tc>
        <w:tc>
          <w:tcPr>
            <w:tcW w:w="1839" w:type="dxa"/>
          </w:tcPr>
          <w:p w14:paraId="606AA056" w14:textId="77777777" w:rsidR="00382338" w:rsidRDefault="00382338" w:rsidP="00C95525">
            <w:pPr>
              <w:jc w:val="center"/>
              <w:rPr>
                <w:rFonts w:ascii="Arial" w:eastAsia="Calibri" w:hAnsi="Arial" w:cs="Arial"/>
                <w:b/>
                <w:u w:val="single"/>
              </w:rPr>
            </w:pPr>
          </w:p>
          <w:p w14:paraId="76A8C611" w14:textId="77777777" w:rsidR="00382338" w:rsidRDefault="00382338" w:rsidP="00C95525">
            <w:pPr>
              <w:jc w:val="center"/>
              <w:rPr>
                <w:rFonts w:ascii="Arial" w:eastAsia="Calibri" w:hAnsi="Arial" w:cs="Arial"/>
                <w:b/>
                <w:u w:val="single"/>
              </w:rPr>
            </w:pPr>
          </w:p>
          <w:p w14:paraId="4565F3D6" w14:textId="77777777" w:rsidR="00382338" w:rsidRDefault="00382338" w:rsidP="00C95525">
            <w:pPr>
              <w:jc w:val="center"/>
              <w:rPr>
                <w:rFonts w:ascii="Arial" w:eastAsia="Calibri" w:hAnsi="Arial" w:cs="Arial"/>
                <w:b/>
                <w:u w:val="single"/>
              </w:rPr>
            </w:pPr>
          </w:p>
          <w:p w14:paraId="126741E3" w14:textId="77777777" w:rsidR="00382338" w:rsidRDefault="00382338" w:rsidP="00C95525">
            <w:pPr>
              <w:jc w:val="center"/>
              <w:rPr>
                <w:rFonts w:ascii="Arial" w:eastAsia="Calibri" w:hAnsi="Arial" w:cs="Arial"/>
                <w:b/>
                <w:u w:val="single"/>
              </w:rPr>
            </w:pPr>
          </w:p>
          <w:p w14:paraId="378477FC" w14:textId="78F78442" w:rsidR="00382338" w:rsidRDefault="00382338" w:rsidP="00C95525">
            <w:pPr>
              <w:jc w:val="center"/>
              <w:rPr>
                <w:rFonts w:ascii="Arial" w:eastAsia="Calibri" w:hAnsi="Arial" w:cs="Arial"/>
                <w:b/>
                <w:u w:val="single"/>
              </w:rPr>
            </w:pPr>
            <w:r>
              <w:rPr>
                <w:rFonts w:ascii="Arial" w:eastAsia="Calibri" w:hAnsi="Arial" w:cs="Arial"/>
                <w:b/>
                <w:u w:val="single"/>
              </w:rPr>
              <w:t>98.37%</w:t>
            </w:r>
          </w:p>
          <w:p w14:paraId="34489B1C" w14:textId="77777777" w:rsidR="00382338" w:rsidRDefault="00382338" w:rsidP="00C95525">
            <w:pPr>
              <w:jc w:val="center"/>
              <w:rPr>
                <w:rFonts w:ascii="Arial" w:eastAsia="Calibri" w:hAnsi="Arial" w:cs="Arial"/>
                <w:b/>
                <w:u w:val="single"/>
              </w:rPr>
            </w:pPr>
          </w:p>
          <w:p w14:paraId="707F86AF" w14:textId="5BF997E2" w:rsidR="00382338" w:rsidRDefault="00382338" w:rsidP="00C95525">
            <w:pPr>
              <w:jc w:val="center"/>
              <w:rPr>
                <w:rFonts w:ascii="Arial" w:eastAsia="Calibri" w:hAnsi="Arial" w:cs="Arial"/>
                <w:b/>
                <w:u w:val="single"/>
              </w:rPr>
            </w:pPr>
            <w:r>
              <w:rPr>
                <w:rFonts w:ascii="Arial" w:eastAsia="Calibri" w:hAnsi="Arial" w:cs="Arial"/>
                <w:b/>
                <w:u w:val="single"/>
              </w:rPr>
              <w:t>98.38%</w:t>
            </w:r>
          </w:p>
        </w:tc>
        <w:tc>
          <w:tcPr>
            <w:tcW w:w="1804" w:type="dxa"/>
          </w:tcPr>
          <w:p w14:paraId="25AD06F4" w14:textId="77777777" w:rsidR="00382338" w:rsidRDefault="00382338" w:rsidP="002551C6">
            <w:pPr>
              <w:jc w:val="center"/>
              <w:rPr>
                <w:rFonts w:ascii="Arial" w:eastAsia="Calibri" w:hAnsi="Arial" w:cs="Arial"/>
                <w:b/>
                <w:u w:val="single"/>
              </w:rPr>
            </w:pPr>
          </w:p>
          <w:p w14:paraId="3E926844" w14:textId="77777777" w:rsidR="00382338" w:rsidRDefault="00382338" w:rsidP="002551C6">
            <w:pPr>
              <w:jc w:val="center"/>
              <w:rPr>
                <w:rFonts w:ascii="Arial" w:eastAsia="Calibri" w:hAnsi="Arial" w:cs="Arial"/>
                <w:b/>
                <w:u w:val="single"/>
              </w:rPr>
            </w:pPr>
          </w:p>
          <w:p w14:paraId="283F6759" w14:textId="77777777" w:rsidR="00382338" w:rsidRDefault="00382338" w:rsidP="002551C6">
            <w:pPr>
              <w:jc w:val="center"/>
              <w:rPr>
                <w:rFonts w:ascii="Arial" w:eastAsia="Calibri" w:hAnsi="Arial" w:cs="Arial"/>
                <w:b/>
                <w:u w:val="single"/>
              </w:rPr>
            </w:pPr>
          </w:p>
          <w:p w14:paraId="40C13CF7" w14:textId="77777777" w:rsidR="00382338" w:rsidRDefault="00382338" w:rsidP="002551C6">
            <w:pPr>
              <w:jc w:val="center"/>
              <w:rPr>
                <w:rFonts w:ascii="Arial" w:eastAsia="Calibri" w:hAnsi="Arial" w:cs="Arial"/>
                <w:b/>
                <w:u w:val="single"/>
              </w:rPr>
            </w:pPr>
          </w:p>
          <w:p w14:paraId="690CAC33" w14:textId="651C76C5" w:rsidR="00382338" w:rsidRDefault="00382338" w:rsidP="002551C6">
            <w:pPr>
              <w:jc w:val="center"/>
              <w:rPr>
                <w:rFonts w:ascii="Arial" w:eastAsia="Calibri" w:hAnsi="Arial" w:cs="Arial"/>
                <w:b/>
                <w:u w:val="single"/>
              </w:rPr>
            </w:pPr>
            <w:r>
              <w:rPr>
                <w:rFonts w:ascii="Arial" w:eastAsia="Calibri" w:hAnsi="Arial" w:cs="Arial"/>
                <w:b/>
                <w:u w:val="single"/>
              </w:rPr>
              <w:t>95.14%</w:t>
            </w:r>
          </w:p>
          <w:p w14:paraId="39BD0E1A" w14:textId="77777777" w:rsidR="00382338" w:rsidRDefault="00382338" w:rsidP="002551C6">
            <w:pPr>
              <w:jc w:val="center"/>
              <w:rPr>
                <w:rFonts w:ascii="Arial" w:eastAsia="Calibri" w:hAnsi="Arial" w:cs="Arial"/>
                <w:b/>
                <w:u w:val="single"/>
              </w:rPr>
            </w:pPr>
          </w:p>
          <w:p w14:paraId="675ECAED" w14:textId="2C9CB2D6" w:rsidR="00382338" w:rsidRDefault="00382338" w:rsidP="002551C6">
            <w:pPr>
              <w:jc w:val="center"/>
              <w:rPr>
                <w:rFonts w:ascii="Arial" w:eastAsia="Calibri" w:hAnsi="Arial" w:cs="Arial"/>
                <w:b/>
                <w:u w:val="single"/>
              </w:rPr>
            </w:pPr>
            <w:r>
              <w:rPr>
                <w:rFonts w:ascii="Arial" w:eastAsia="Calibri" w:hAnsi="Arial" w:cs="Arial"/>
                <w:b/>
                <w:u w:val="single"/>
              </w:rPr>
              <w:t>95.14%</w:t>
            </w:r>
          </w:p>
        </w:tc>
        <w:tc>
          <w:tcPr>
            <w:tcW w:w="2042" w:type="dxa"/>
          </w:tcPr>
          <w:p w14:paraId="0C6D69AA" w14:textId="77777777" w:rsidR="00382338" w:rsidRDefault="00382338" w:rsidP="002551C6">
            <w:pPr>
              <w:jc w:val="center"/>
              <w:rPr>
                <w:rFonts w:ascii="Arial" w:eastAsia="Calibri" w:hAnsi="Arial" w:cs="Arial"/>
                <w:b/>
                <w:u w:val="single"/>
              </w:rPr>
            </w:pPr>
          </w:p>
          <w:p w14:paraId="0F956C4C" w14:textId="77777777" w:rsidR="00382338" w:rsidRDefault="00382338" w:rsidP="002551C6">
            <w:pPr>
              <w:jc w:val="center"/>
              <w:rPr>
                <w:rFonts w:ascii="Arial" w:eastAsia="Calibri" w:hAnsi="Arial" w:cs="Arial"/>
                <w:b/>
                <w:u w:val="single"/>
              </w:rPr>
            </w:pPr>
          </w:p>
          <w:p w14:paraId="74327036" w14:textId="77777777" w:rsidR="00382338" w:rsidRDefault="00382338" w:rsidP="002551C6">
            <w:pPr>
              <w:jc w:val="center"/>
              <w:rPr>
                <w:rFonts w:ascii="Arial" w:eastAsia="Calibri" w:hAnsi="Arial" w:cs="Arial"/>
                <w:b/>
                <w:u w:val="single"/>
              </w:rPr>
            </w:pPr>
          </w:p>
          <w:p w14:paraId="0732770B" w14:textId="77777777" w:rsidR="00382338" w:rsidRDefault="00382338" w:rsidP="002551C6">
            <w:pPr>
              <w:jc w:val="center"/>
              <w:rPr>
                <w:rFonts w:ascii="Arial" w:eastAsia="Calibri" w:hAnsi="Arial" w:cs="Arial"/>
                <w:b/>
                <w:u w:val="single"/>
              </w:rPr>
            </w:pPr>
          </w:p>
          <w:p w14:paraId="3BC06625" w14:textId="46DD25D0" w:rsidR="00382338" w:rsidRDefault="00382338" w:rsidP="002551C6">
            <w:pPr>
              <w:jc w:val="center"/>
              <w:rPr>
                <w:rFonts w:ascii="Arial" w:eastAsia="Calibri" w:hAnsi="Arial" w:cs="Arial"/>
                <w:b/>
                <w:u w:val="single"/>
              </w:rPr>
            </w:pPr>
            <w:r>
              <w:rPr>
                <w:rFonts w:ascii="Arial" w:eastAsia="Calibri" w:hAnsi="Arial" w:cs="Arial"/>
                <w:b/>
                <w:u w:val="single"/>
              </w:rPr>
              <w:t>95.13%</w:t>
            </w:r>
          </w:p>
          <w:p w14:paraId="6B8E359C" w14:textId="77777777" w:rsidR="00382338" w:rsidRDefault="00382338" w:rsidP="002551C6">
            <w:pPr>
              <w:jc w:val="center"/>
              <w:rPr>
                <w:rFonts w:ascii="Arial" w:eastAsia="Calibri" w:hAnsi="Arial" w:cs="Arial"/>
                <w:b/>
                <w:u w:val="single"/>
              </w:rPr>
            </w:pPr>
          </w:p>
          <w:p w14:paraId="3A9BE0E8" w14:textId="417837DA" w:rsidR="00382338" w:rsidRDefault="00382338" w:rsidP="002551C6">
            <w:pPr>
              <w:jc w:val="center"/>
              <w:rPr>
                <w:rFonts w:ascii="Arial" w:eastAsia="Calibri" w:hAnsi="Arial" w:cs="Arial"/>
                <w:b/>
                <w:u w:val="single"/>
              </w:rPr>
            </w:pPr>
            <w:r>
              <w:rPr>
                <w:rFonts w:ascii="Arial" w:eastAsia="Calibri" w:hAnsi="Arial" w:cs="Arial"/>
                <w:b/>
                <w:u w:val="single"/>
              </w:rPr>
              <w:t>95.13%</w:t>
            </w:r>
          </w:p>
        </w:tc>
      </w:tr>
      <w:tr w:rsidR="009F5FA7" w:rsidRPr="004B1294" w14:paraId="3ED7CD16" w14:textId="77777777" w:rsidTr="00042E94">
        <w:tc>
          <w:tcPr>
            <w:tcW w:w="1550" w:type="dxa"/>
          </w:tcPr>
          <w:p w14:paraId="7CE6E84B" w14:textId="65D46834" w:rsidR="009F5FA7" w:rsidRDefault="009F5FA7" w:rsidP="002551C6">
            <w:pPr>
              <w:jc w:val="center"/>
              <w:rPr>
                <w:rFonts w:ascii="Arial" w:hAnsi="Arial" w:cs="Arial"/>
                <w:b/>
              </w:rPr>
            </w:pPr>
            <w:r>
              <w:rPr>
                <w:rFonts w:ascii="Arial" w:hAnsi="Arial" w:cs="Arial"/>
                <w:b/>
              </w:rPr>
              <w:t>224</w:t>
            </w:r>
          </w:p>
        </w:tc>
        <w:tc>
          <w:tcPr>
            <w:tcW w:w="3255" w:type="dxa"/>
          </w:tcPr>
          <w:p w14:paraId="77E39204" w14:textId="77777777" w:rsidR="009F5FA7" w:rsidRPr="009F5FA7" w:rsidRDefault="009F5FA7" w:rsidP="009F5FA7">
            <w:pPr>
              <w:jc w:val="both"/>
              <w:rPr>
                <w:rFonts w:ascii="Arial" w:hAnsi="Arial" w:cs="Arial"/>
                <w:b/>
                <w:lang w:val="es-MX"/>
              </w:rPr>
            </w:pPr>
            <w:r w:rsidRPr="009F5FA7">
              <w:rPr>
                <w:rFonts w:ascii="Arial" w:hAnsi="Arial" w:cs="Arial"/>
                <w:b/>
                <w:lang w:val="es-MX"/>
              </w:rPr>
              <w:t>224.- MINISTERIO DE MINAS Y ENERGÍA.</w:t>
            </w:r>
          </w:p>
          <w:p w14:paraId="12D56CF4" w14:textId="77777777" w:rsidR="009F5FA7" w:rsidRDefault="009F5FA7" w:rsidP="00382338">
            <w:pPr>
              <w:jc w:val="both"/>
              <w:rPr>
                <w:b/>
                <w:lang w:val="es-MX"/>
              </w:rPr>
            </w:pPr>
          </w:p>
          <w:p w14:paraId="7DC79FF6" w14:textId="77777777" w:rsidR="009F5FA7" w:rsidRDefault="009F5FA7" w:rsidP="009F5FA7">
            <w:pPr>
              <w:jc w:val="both"/>
              <w:rPr>
                <w:rFonts w:ascii="Arial" w:hAnsi="Arial" w:cs="Arial"/>
                <w:b/>
                <w:lang w:val="es-MX"/>
              </w:rPr>
            </w:pPr>
            <w:r>
              <w:rPr>
                <w:rFonts w:ascii="Arial" w:hAnsi="Arial" w:cs="Arial"/>
                <w:b/>
                <w:lang w:val="es-MX"/>
              </w:rPr>
              <w:t>FUNCIONAMIENTO</w:t>
            </w:r>
          </w:p>
          <w:p w14:paraId="6E50A0A4" w14:textId="77777777" w:rsidR="009F5FA7" w:rsidRDefault="009F5FA7" w:rsidP="009F5FA7">
            <w:pPr>
              <w:jc w:val="both"/>
              <w:rPr>
                <w:rFonts w:ascii="Arial" w:hAnsi="Arial" w:cs="Arial"/>
                <w:b/>
                <w:lang w:val="es-MX"/>
              </w:rPr>
            </w:pPr>
            <w:r>
              <w:rPr>
                <w:rFonts w:ascii="Arial" w:hAnsi="Arial" w:cs="Arial"/>
                <w:b/>
                <w:lang w:val="es-MX"/>
              </w:rPr>
              <w:t>INVERSIÓN</w:t>
            </w:r>
          </w:p>
          <w:p w14:paraId="262FB295" w14:textId="77777777" w:rsidR="009F5FA7" w:rsidRDefault="009F5FA7" w:rsidP="009F5FA7">
            <w:pPr>
              <w:jc w:val="both"/>
              <w:rPr>
                <w:rFonts w:ascii="Arial" w:hAnsi="Arial" w:cs="Arial"/>
                <w:b/>
                <w:lang w:val="es-MX"/>
              </w:rPr>
            </w:pPr>
          </w:p>
          <w:p w14:paraId="416A7A49" w14:textId="0EE2D37A" w:rsidR="009F5FA7" w:rsidRPr="009F5FA7" w:rsidRDefault="009F5FA7" w:rsidP="009F5FA7">
            <w:pPr>
              <w:jc w:val="both"/>
              <w:rPr>
                <w:rFonts w:ascii="Arial" w:hAnsi="Arial" w:cs="Arial"/>
                <w:b/>
                <w:lang w:val="es-MX"/>
              </w:rPr>
            </w:pPr>
            <w:r>
              <w:rPr>
                <w:rFonts w:ascii="Arial" w:hAnsi="Arial" w:cs="Arial"/>
                <w:b/>
                <w:lang w:val="es-MX"/>
              </w:rPr>
              <w:t>TOTAL PRESUPUESTO</w:t>
            </w:r>
          </w:p>
        </w:tc>
        <w:tc>
          <w:tcPr>
            <w:tcW w:w="1839" w:type="dxa"/>
          </w:tcPr>
          <w:p w14:paraId="20E96528" w14:textId="77777777" w:rsidR="009F5FA7" w:rsidRDefault="009F5FA7" w:rsidP="00C95525">
            <w:pPr>
              <w:jc w:val="center"/>
              <w:rPr>
                <w:rFonts w:ascii="Arial" w:eastAsia="Calibri" w:hAnsi="Arial" w:cs="Arial"/>
                <w:b/>
                <w:u w:val="single"/>
              </w:rPr>
            </w:pPr>
          </w:p>
          <w:p w14:paraId="39B8EE07" w14:textId="77777777" w:rsidR="009F5FA7" w:rsidRDefault="009F5FA7" w:rsidP="00C95525">
            <w:pPr>
              <w:jc w:val="center"/>
              <w:rPr>
                <w:rFonts w:ascii="Arial" w:eastAsia="Calibri" w:hAnsi="Arial" w:cs="Arial"/>
                <w:b/>
                <w:u w:val="single"/>
              </w:rPr>
            </w:pPr>
          </w:p>
          <w:p w14:paraId="6A6E9632" w14:textId="77777777" w:rsidR="009F5FA7" w:rsidRDefault="009F5FA7" w:rsidP="00C95525">
            <w:pPr>
              <w:jc w:val="center"/>
              <w:rPr>
                <w:rFonts w:ascii="Arial" w:eastAsia="Calibri" w:hAnsi="Arial" w:cs="Arial"/>
                <w:b/>
                <w:u w:val="single"/>
              </w:rPr>
            </w:pPr>
          </w:p>
          <w:p w14:paraId="185FFB87" w14:textId="6E4E9C96" w:rsidR="009F5FA7" w:rsidRDefault="009F5FA7" w:rsidP="00C95525">
            <w:pPr>
              <w:jc w:val="center"/>
              <w:rPr>
                <w:rFonts w:ascii="Arial" w:eastAsia="Calibri" w:hAnsi="Arial" w:cs="Arial"/>
                <w:b/>
                <w:u w:val="single"/>
              </w:rPr>
            </w:pPr>
            <w:r>
              <w:rPr>
                <w:rFonts w:ascii="Arial" w:eastAsia="Calibri" w:hAnsi="Arial" w:cs="Arial"/>
                <w:b/>
                <w:u w:val="single"/>
              </w:rPr>
              <w:t>94.80%</w:t>
            </w:r>
          </w:p>
          <w:p w14:paraId="1DE56B30" w14:textId="4CCB516C" w:rsidR="009F5FA7" w:rsidRDefault="009F5FA7" w:rsidP="00C95525">
            <w:pPr>
              <w:jc w:val="center"/>
              <w:rPr>
                <w:rFonts w:ascii="Arial" w:eastAsia="Calibri" w:hAnsi="Arial" w:cs="Arial"/>
                <w:b/>
                <w:u w:val="single"/>
              </w:rPr>
            </w:pPr>
            <w:r>
              <w:rPr>
                <w:rFonts w:ascii="Arial" w:eastAsia="Calibri" w:hAnsi="Arial" w:cs="Arial"/>
                <w:b/>
                <w:u w:val="single"/>
              </w:rPr>
              <w:t>97.20%</w:t>
            </w:r>
          </w:p>
          <w:p w14:paraId="181063C1" w14:textId="77777777" w:rsidR="009F5FA7" w:rsidRDefault="009F5FA7" w:rsidP="00C95525">
            <w:pPr>
              <w:jc w:val="center"/>
              <w:rPr>
                <w:rFonts w:ascii="Arial" w:eastAsia="Calibri" w:hAnsi="Arial" w:cs="Arial"/>
                <w:b/>
                <w:u w:val="single"/>
              </w:rPr>
            </w:pPr>
          </w:p>
          <w:p w14:paraId="2CE211DF" w14:textId="4CC1E684" w:rsidR="009F5FA7" w:rsidRDefault="009F5FA7" w:rsidP="00C95525">
            <w:pPr>
              <w:jc w:val="center"/>
              <w:rPr>
                <w:rFonts w:ascii="Arial" w:eastAsia="Calibri" w:hAnsi="Arial" w:cs="Arial"/>
                <w:b/>
                <w:u w:val="single"/>
              </w:rPr>
            </w:pPr>
            <w:r>
              <w:rPr>
                <w:rFonts w:ascii="Arial" w:eastAsia="Calibri" w:hAnsi="Arial" w:cs="Arial"/>
                <w:b/>
                <w:u w:val="single"/>
              </w:rPr>
              <w:t>97.10%</w:t>
            </w:r>
          </w:p>
        </w:tc>
        <w:tc>
          <w:tcPr>
            <w:tcW w:w="1804" w:type="dxa"/>
          </w:tcPr>
          <w:p w14:paraId="02ED83BA" w14:textId="77777777" w:rsidR="009F5FA7" w:rsidRDefault="009F5FA7" w:rsidP="002551C6">
            <w:pPr>
              <w:jc w:val="center"/>
              <w:rPr>
                <w:rFonts w:ascii="Arial" w:eastAsia="Calibri" w:hAnsi="Arial" w:cs="Arial"/>
                <w:b/>
                <w:u w:val="single"/>
              </w:rPr>
            </w:pPr>
          </w:p>
          <w:p w14:paraId="63D928A0" w14:textId="77777777" w:rsidR="009F5FA7" w:rsidRDefault="009F5FA7" w:rsidP="002551C6">
            <w:pPr>
              <w:jc w:val="center"/>
              <w:rPr>
                <w:rFonts w:ascii="Arial" w:eastAsia="Calibri" w:hAnsi="Arial" w:cs="Arial"/>
                <w:b/>
                <w:u w:val="single"/>
              </w:rPr>
            </w:pPr>
          </w:p>
          <w:p w14:paraId="7FC19AD4" w14:textId="77777777" w:rsidR="009F5FA7" w:rsidRDefault="009F5FA7" w:rsidP="002551C6">
            <w:pPr>
              <w:jc w:val="center"/>
              <w:rPr>
                <w:rFonts w:ascii="Arial" w:eastAsia="Calibri" w:hAnsi="Arial" w:cs="Arial"/>
                <w:b/>
                <w:u w:val="single"/>
              </w:rPr>
            </w:pPr>
          </w:p>
          <w:p w14:paraId="43842E81" w14:textId="210D99CA" w:rsidR="009F5FA7" w:rsidRDefault="009F5FA7" w:rsidP="002551C6">
            <w:pPr>
              <w:jc w:val="center"/>
              <w:rPr>
                <w:rFonts w:ascii="Arial" w:eastAsia="Calibri" w:hAnsi="Arial" w:cs="Arial"/>
                <w:b/>
                <w:u w:val="single"/>
              </w:rPr>
            </w:pPr>
            <w:r>
              <w:rPr>
                <w:rFonts w:ascii="Arial" w:eastAsia="Calibri" w:hAnsi="Arial" w:cs="Arial"/>
                <w:b/>
                <w:u w:val="single"/>
              </w:rPr>
              <w:t>82.00%</w:t>
            </w:r>
          </w:p>
          <w:p w14:paraId="278A3DA4" w14:textId="3E22DBB6" w:rsidR="009F5FA7" w:rsidRDefault="009F5FA7" w:rsidP="002551C6">
            <w:pPr>
              <w:jc w:val="center"/>
              <w:rPr>
                <w:rFonts w:ascii="Arial" w:eastAsia="Calibri" w:hAnsi="Arial" w:cs="Arial"/>
                <w:b/>
                <w:u w:val="single"/>
              </w:rPr>
            </w:pPr>
            <w:r>
              <w:rPr>
                <w:rFonts w:ascii="Arial" w:eastAsia="Calibri" w:hAnsi="Arial" w:cs="Arial"/>
                <w:b/>
                <w:u w:val="single"/>
              </w:rPr>
              <w:t>60.00%</w:t>
            </w:r>
          </w:p>
          <w:p w14:paraId="2259C559" w14:textId="77777777" w:rsidR="009F5FA7" w:rsidRDefault="009F5FA7" w:rsidP="002551C6">
            <w:pPr>
              <w:jc w:val="center"/>
              <w:rPr>
                <w:rFonts w:ascii="Arial" w:eastAsia="Calibri" w:hAnsi="Arial" w:cs="Arial"/>
                <w:b/>
                <w:u w:val="single"/>
              </w:rPr>
            </w:pPr>
          </w:p>
          <w:p w14:paraId="77D45932" w14:textId="1596E537" w:rsidR="009F5FA7" w:rsidRDefault="009F5FA7" w:rsidP="002551C6">
            <w:pPr>
              <w:jc w:val="center"/>
              <w:rPr>
                <w:rFonts w:ascii="Arial" w:eastAsia="Calibri" w:hAnsi="Arial" w:cs="Arial"/>
                <w:b/>
                <w:u w:val="single"/>
              </w:rPr>
            </w:pPr>
            <w:r>
              <w:rPr>
                <w:rFonts w:ascii="Arial" w:eastAsia="Calibri" w:hAnsi="Arial" w:cs="Arial"/>
                <w:b/>
                <w:u w:val="single"/>
              </w:rPr>
              <w:t>60.50%</w:t>
            </w:r>
          </w:p>
        </w:tc>
        <w:tc>
          <w:tcPr>
            <w:tcW w:w="2042" w:type="dxa"/>
          </w:tcPr>
          <w:p w14:paraId="0E7B9F7D" w14:textId="77777777" w:rsidR="009F5FA7" w:rsidRDefault="009F5FA7" w:rsidP="002551C6">
            <w:pPr>
              <w:jc w:val="center"/>
              <w:rPr>
                <w:rFonts w:ascii="Arial" w:eastAsia="Calibri" w:hAnsi="Arial" w:cs="Arial"/>
                <w:b/>
                <w:u w:val="single"/>
              </w:rPr>
            </w:pPr>
          </w:p>
          <w:p w14:paraId="67E73A87" w14:textId="77777777" w:rsidR="009F5FA7" w:rsidRDefault="009F5FA7" w:rsidP="002551C6">
            <w:pPr>
              <w:jc w:val="center"/>
              <w:rPr>
                <w:rFonts w:ascii="Arial" w:eastAsia="Calibri" w:hAnsi="Arial" w:cs="Arial"/>
                <w:b/>
                <w:u w:val="single"/>
              </w:rPr>
            </w:pPr>
          </w:p>
          <w:p w14:paraId="7104ECB3" w14:textId="77777777" w:rsidR="009F5FA7" w:rsidRDefault="009F5FA7" w:rsidP="002551C6">
            <w:pPr>
              <w:jc w:val="center"/>
              <w:rPr>
                <w:rFonts w:ascii="Arial" w:eastAsia="Calibri" w:hAnsi="Arial" w:cs="Arial"/>
                <w:b/>
                <w:u w:val="single"/>
              </w:rPr>
            </w:pPr>
          </w:p>
          <w:p w14:paraId="53DEE8DA" w14:textId="2C9A34F3" w:rsidR="009F5FA7" w:rsidRDefault="009F5FA7" w:rsidP="002551C6">
            <w:pPr>
              <w:jc w:val="center"/>
              <w:rPr>
                <w:rFonts w:ascii="Arial" w:eastAsia="Calibri" w:hAnsi="Arial" w:cs="Arial"/>
                <w:b/>
                <w:u w:val="single"/>
              </w:rPr>
            </w:pPr>
            <w:r>
              <w:rPr>
                <w:rFonts w:ascii="Arial" w:eastAsia="Calibri" w:hAnsi="Arial" w:cs="Arial"/>
                <w:b/>
                <w:u w:val="single"/>
              </w:rPr>
              <w:t>81.90%</w:t>
            </w:r>
          </w:p>
          <w:p w14:paraId="43A3D5C6" w14:textId="09F1FEEE" w:rsidR="009F5FA7" w:rsidRDefault="009F5FA7" w:rsidP="002551C6">
            <w:pPr>
              <w:jc w:val="center"/>
              <w:rPr>
                <w:rFonts w:ascii="Arial" w:eastAsia="Calibri" w:hAnsi="Arial" w:cs="Arial"/>
                <w:b/>
                <w:u w:val="single"/>
              </w:rPr>
            </w:pPr>
            <w:r>
              <w:rPr>
                <w:rFonts w:ascii="Arial" w:eastAsia="Calibri" w:hAnsi="Arial" w:cs="Arial"/>
                <w:b/>
                <w:u w:val="single"/>
              </w:rPr>
              <w:t>59.90%</w:t>
            </w:r>
          </w:p>
          <w:p w14:paraId="422A1D2A" w14:textId="77777777" w:rsidR="009F5FA7" w:rsidRDefault="009F5FA7" w:rsidP="002551C6">
            <w:pPr>
              <w:jc w:val="center"/>
              <w:rPr>
                <w:rFonts w:ascii="Arial" w:eastAsia="Calibri" w:hAnsi="Arial" w:cs="Arial"/>
                <w:b/>
                <w:u w:val="single"/>
              </w:rPr>
            </w:pPr>
          </w:p>
          <w:p w14:paraId="286ED46B" w14:textId="629CE295" w:rsidR="009F5FA7" w:rsidRDefault="009F5FA7" w:rsidP="002551C6">
            <w:pPr>
              <w:jc w:val="center"/>
              <w:rPr>
                <w:rFonts w:ascii="Arial" w:eastAsia="Calibri" w:hAnsi="Arial" w:cs="Arial"/>
                <w:b/>
                <w:u w:val="single"/>
              </w:rPr>
            </w:pPr>
            <w:r>
              <w:rPr>
                <w:rFonts w:ascii="Arial" w:eastAsia="Calibri" w:hAnsi="Arial" w:cs="Arial"/>
                <w:b/>
                <w:u w:val="single"/>
              </w:rPr>
              <w:t>60.50%</w:t>
            </w:r>
          </w:p>
        </w:tc>
      </w:tr>
      <w:tr w:rsidR="00321985" w:rsidRPr="004B1294" w14:paraId="16B20830" w14:textId="77777777" w:rsidTr="00042E94">
        <w:tc>
          <w:tcPr>
            <w:tcW w:w="1550" w:type="dxa"/>
          </w:tcPr>
          <w:p w14:paraId="08FD1EFE" w14:textId="7DC09706" w:rsidR="00321985" w:rsidRDefault="00321985" w:rsidP="002551C6">
            <w:pPr>
              <w:jc w:val="center"/>
              <w:rPr>
                <w:rFonts w:ascii="Arial" w:hAnsi="Arial" w:cs="Arial"/>
                <w:b/>
              </w:rPr>
            </w:pPr>
            <w:r>
              <w:rPr>
                <w:rFonts w:ascii="Arial" w:hAnsi="Arial" w:cs="Arial"/>
                <w:b/>
              </w:rPr>
              <w:t>227</w:t>
            </w:r>
          </w:p>
        </w:tc>
        <w:tc>
          <w:tcPr>
            <w:tcW w:w="3255" w:type="dxa"/>
          </w:tcPr>
          <w:p w14:paraId="15FF9003" w14:textId="18EBD0DB" w:rsidR="00321985" w:rsidRPr="00321985" w:rsidRDefault="00321985" w:rsidP="00321985">
            <w:pPr>
              <w:jc w:val="both"/>
              <w:rPr>
                <w:rFonts w:ascii="Arial" w:hAnsi="Arial" w:cs="Arial"/>
                <w:b/>
                <w:lang w:val="es-MX"/>
              </w:rPr>
            </w:pPr>
            <w:r w:rsidRPr="00321985">
              <w:rPr>
                <w:rFonts w:ascii="Arial" w:hAnsi="Arial" w:cs="Arial"/>
                <w:b/>
                <w:lang w:val="es-MX"/>
              </w:rPr>
              <w:t>DEPARTAMENTO ADMINISTRATIVO DE LA PRESIDENCIA DE LA REPÚBLICA – DAPRE.</w:t>
            </w:r>
          </w:p>
          <w:p w14:paraId="59D39094" w14:textId="77777777" w:rsidR="00321985" w:rsidRDefault="00321985" w:rsidP="00321985">
            <w:pPr>
              <w:jc w:val="both"/>
              <w:rPr>
                <w:rFonts w:ascii="Arial" w:hAnsi="Arial" w:cs="Arial"/>
                <w:b/>
                <w:lang w:val="es-MX"/>
              </w:rPr>
            </w:pPr>
          </w:p>
          <w:p w14:paraId="5BFD50C6" w14:textId="77777777" w:rsidR="00321985" w:rsidRDefault="00321985" w:rsidP="00321985">
            <w:pPr>
              <w:jc w:val="both"/>
              <w:rPr>
                <w:rFonts w:ascii="Arial" w:hAnsi="Arial" w:cs="Arial"/>
                <w:b/>
                <w:lang w:val="es-MX"/>
              </w:rPr>
            </w:pPr>
            <w:r>
              <w:rPr>
                <w:rFonts w:ascii="Arial" w:hAnsi="Arial" w:cs="Arial"/>
                <w:b/>
                <w:lang w:val="es-MX"/>
              </w:rPr>
              <w:t>FUNCIONAMIENTO</w:t>
            </w:r>
          </w:p>
          <w:p w14:paraId="201098D8" w14:textId="77777777" w:rsidR="00321985" w:rsidRDefault="00321985" w:rsidP="00321985">
            <w:pPr>
              <w:jc w:val="both"/>
              <w:rPr>
                <w:rFonts w:ascii="Arial" w:hAnsi="Arial" w:cs="Arial"/>
                <w:b/>
                <w:lang w:val="es-MX"/>
              </w:rPr>
            </w:pPr>
            <w:r>
              <w:rPr>
                <w:rFonts w:ascii="Arial" w:hAnsi="Arial" w:cs="Arial"/>
                <w:b/>
                <w:lang w:val="es-MX"/>
              </w:rPr>
              <w:t>INVERSIÓN</w:t>
            </w:r>
          </w:p>
          <w:p w14:paraId="37C452F0" w14:textId="77777777" w:rsidR="00321985" w:rsidRDefault="00321985" w:rsidP="00321985">
            <w:pPr>
              <w:jc w:val="both"/>
              <w:rPr>
                <w:rFonts w:ascii="Arial" w:hAnsi="Arial" w:cs="Arial"/>
                <w:b/>
                <w:lang w:val="es-MX"/>
              </w:rPr>
            </w:pPr>
          </w:p>
          <w:p w14:paraId="719AA40D" w14:textId="01AE8B12" w:rsidR="00321985" w:rsidRPr="009F5FA7" w:rsidRDefault="00321985" w:rsidP="00321985">
            <w:pPr>
              <w:jc w:val="both"/>
              <w:rPr>
                <w:rFonts w:ascii="Arial" w:hAnsi="Arial" w:cs="Arial"/>
                <w:b/>
                <w:lang w:val="es-MX"/>
              </w:rPr>
            </w:pPr>
            <w:r>
              <w:rPr>
                <w:rFonts w:ascii="Arial" w:hAnsi="Arial" w:cs="Arial"/>
                <w:b/>
                <w:lang w:val="es-MX"/>
              </w:rPr>
              <w:t>TOTAL PRESUPUESTO</w:t>
            </w:r>
          </w:p>
        </w:tc>
        <w:tc>
          <w:tcPr>
            <w:tcW w:w="1839" w:type="dxa"/>
          </w:tcPr>
          <w:p w14:paraId="46F1594C" w14:textId="77777777" w:rsidR="00321985" w:rsidRDefault="00321985" w:rsidP="00C95525">
            <w:pPr>
              <w:jc w:val="center"/>
              <w:rPr>
                <w:rFonts w:ascii="Arial" w:eastAsia="Calibri" w:hAnsi="Arial" w:cs="Arial"/>
                <w:b/>
                <w:u w:val="single"/>
              </w:rPr>
            </w:pPr>
          </w:p>
          <w:p w14:paraId="0C700376" w14:textId="77777777" w:rsidR="00321985" w:rsidRDefault="00321985" w:rsidP="00C95525">
            <w:pPr>
              <w:jc w:val="center"/>
              <w:rPr>
                <w:rFonts w:ascii="Arial" w:eastAsia="Calibri" w:hAnsi="Arial" w:cs="Arial"/>
                <w:b/>
                <w:u w:val="single"/>
              </w:rPr>
            </w:pPr>
          </w:p>
          <w:p w14:paraId="4BD02108" w14:textId="77777777" w:rsidR="00321985" w:rsidRDefault="00321985" w:rsidP="00C95525">
            <w:pPr>
              <w:jc w:val="center"/>
              <w:rPr>
                <w:rFonts w:ascii="Arial" w:eastAsia="Calibri" w:hAnsi="Arial" w:cs="Arial"/>
                <w:b/>
                <w:u w:val="single"/>
              </w:rPr>
            </w:pPr>
          </w:p>
          <w:p w14:paraId="5F131386" w14:textId="77777777" w:rsidR="00321985" w:rsidRDefault="00321985" w:rsidP="00C95525">
            <w:pPr>
              <w:jc w:val="center"/>
              <w:rPr>
                <w:rFonts w:ascii="Arial" w:eastAsia="Calibri" w:hAnsi="Arial" w:cs="Arial"/>
                <w:b/>
                <w:u w:val="single"/>
              </w:rPr>
            </w:pPr>
          </w:p>
          <w:p w14:paraId="4DC62E61" w14:textId="77777777" w:rsidR="00321985" w:rsidRDefault="00321985" w:rsidP="00C95525">
            <w:pPr>
              <w:jc w:val="center"/>
              <w:rPr>
                <w:rFonts w:ascii="Arial" w:eastAsia="Calibri" w:hAnsi="Arial" w:cs="Arial"/>
                <w:b/>
                <w:u w:val="single"/>
              </w:rPr>
            </w:pPr>
          </w:p>
          <w:p w14:paraId="24DE204F" w14:textId="30BFD068" w:rsidR="00321985" w:rsidRDefault="00321985" w:rsidP="00C95525">
            <w:pPr>
              <w:jc w:val="center"/>
              <w:rPr>
                <w:rFonts w:ascii="Arial" w:eastAsia="Calibri" w:hAnsi="Arial" w:cs="Arial"/>
                <w:b/>
                <w:u w:val="single"/>
              </w:rPr>
            </w:pPr>
            <w:r>
              <w:rPr>
                <w:rFonts w:ascii="Arial" w:eastAsia="Calibri" w:hAnsi="Arial" w:cs="Arial"/>
                <w:b/>
                <w:u w:val="single"/>
              </w:rPr>
              <w:t>98.11%</w:t>
            </w:r>
          </w:p>
          <w:p w14:paraId="2ADFFE72" w14:textId="203A90DF" w:rsidR="00321985" w:rsidRDefault="00321985" w:rsidP="00C95525">
            <w:pPr>
              <w:jc w:val="center"/>
              <w:rPr>
                <w:rFonts w:ascii="Arial" w:eastAsia="Calibri" w:hAnsi="Arial" w:cs="Arial"/>
                <w:b/>
                <w:u w:val="single"/>
              </w:rPr>
            </w:pPr>
            <w:r>
              <w:rPr>
                <w:rFonts w:ascii="Arial" w:eastAsia="Calibri" w:hAnsi="Arial" w:cs="Arial"/>
                <w:b/>
                <w:u w:val="single"/>
              </w:rPr>
              <w:t>89.86%</w:t>
            </w:r>
          </w:p>
          <w:p w14:paraId="5973EC9D" w14:textId="77777777" w:rsidR="00321985" w:rsidRDefault="00321985" w:rsidP="00C95525">
            <w:pPr>
              <w:jc w:val="center"/>
              <w:rPr>
                <w:rFonts w:ascii="Arial" w:eastAsia="Calibri" w:hAnsi="Arial" w:cs="Arial"/>
                <w:b/>
                <w:u w:val="single"/>
              </w:rPr>
            </w:pPr>
          </w:p>
          <w:p w14:paraId="54948640" w14:textId="36525859" w:rsidR="00321985" w:rsidRDefault="00321985" w:rsidP="00C95525">
            <w:pPr>
              <w:jc w:val="center"/>
              <w:rPr>
                <w:rFonts w:ascii="Arial" w:eastAsia="Calibri" w:hAnsi="Arial" w:cs="Arial"/>
                <w:b/>
                <w:u w:val="single"/>
              </w:rPr>
            </w:pPr>
            <w:r>
              <w:rPr>
                <w:rFonts w:ascii="Arial" w:eastAsia="Calibri" w:hAnsi="Arial" w:cs="Arial"/>
                <w:b/>
                <w:u w:val="single"/>
              </w:rPr>
              <w:t>94.72%</w:t>
            </w:r>
          </w:p>
        </w:tc>
        <w:tc>
          <w:tcPr>
            <w:tcW w:w="1804" w:type="dxa"/>
          </w:tcPr>
          <w:p w14:paraId="4DDB2992" w14:textId="77777777" w:rsidR="00321985" w:rsidRDefault="00321985" w:rsidP="002551C6">
            <w:pPr>
              <w:jc w:val="center"/>
              <w:rPr>
                <w:rFonts w:ascii="Arial" w:eastAsia="Calibri" w:hAnsi="Arial" w:cs="Arial"/>
                <w:b/>
                <w:u w:val="single"/>
              </w:rPr>
            </w:pPr>
          </w:p>
          <w:p w14:paraId="238DEC67" w14:textId="77777777" w:rsidR="00321985" w:rsidRDefault="00321985" w:rsidP="002551C6">
            <w:pPr>
              <w:jc w:val="center"/>
              <w:rPr>
                <w:rFonts w:ascii="Arial" w:eastAsia="Calibri" w:hAnsi="Arial" w:cs="Arial"/>
                <w:b/>
                <w:u w:val="single"/>
              </w:rPr>
            </w:pPr>
          </w:p>
          <w:p w14:paraId="54A7F354" w14:textId="77777777" w:rsidR="00321985" w:rsidRDefault="00321985" w:rsidP="002551C6">
            <w:pPr>
              <w:jc w:val="center"/>
              <w:rPr>
                <w:rFonts w:ascii="Arial" w:eastAsia="Calibri" w:hAnsi="Arial" w:cs="Arial"/>
                <w:b/>
                <w:u w:val="single"/>
              </w:rPr>
            </w:pPr>
          </w:p>
          <w:p w14:paraId="37832E7E" w14:textId="77777777" w:rsidR="00321985" w:rsidRDefault="00321985" w:rsidP="002551C6">
            <w:pPr>
              <w:jc w:val="center"/>
              <w:rPr>
                <w:rFonts w:ascii="Arial" w:eastAsia="Calibri" w:hAnsi="Arial" w:cs="Arial"/>
                <w:b/>
                <w:u w:val="single"/>
              </w:rPr>
            </w:pPr>
          </w:p>
          <w:p w14:paraId="15028C40" w14:textId="77777777" w:rsidR="00321985" w:rsidRDefault="00321985" w:rsidP="002551C6">
            <w:pPr>
              <w:jc w:val="center"/>
              <w:rPr>
                <w:rFonts w:ascii="Arial" w:eastAsia="Calibri" w:hAnsi="Arial" w:cs="Arial"/>
                <w:b/>
                <w:u w:val="single"/>
              </w:rPr>
            </w:pPr>
          </w:p>
          <w:p w14:paraId="18DC2E5A" w14:textId="3E193404" w:rsidR="00321985" w:rsidRDefault="00321985" w:rsidP="002551C6">
            <w:pPr>
              <w:jc w:val="center"/>
              <w:rPr>
                <w:rFonts w:ascii="Arial" w:eastAsia="Calibri" w:hAnsi="Arial" w:cs="Arial"/>
                <w:b/>
                <w:u w:val="single"/>
              </w:rPr>
            </w:pPr>
            <w:r>
              <w:rPr>
                <w:rFonts w:ascii="Arial" w:eastAsia="Calibri" w:hAnsi="Arial" w:cs="Arial"/>
                <w:b/>
                <w:u w:val="single"/>
              </w:rPr>
              <w:t>31.26%</w:t>
            </w:r>
          </w:p>
          <w:p w14:paraId="7ACF3A37" w14:textId="7B61FDE8" w:rsidR="00321985" w:rsidRDefault="00321985" w:rsidP="002551C6">
            <w:pPr>
              <w:jc w:val="center"/>
              <w:rPr>
                <w:rFonts w:ascii="Arial" w:eastAsia="Calibri" w:hAnsi="Arial" w:cs="Arial"/>
                <w:b/>
                <w:u w:val="single"/>
              </w:rPr>
            </w:pPr>
            <w:r>
              <w:rPr>
                <w:rFonts w:ascii="Arial" w:eastAsia="Calibri" w:hAnsi="Arial" w:cs="Arial"/>
                <w:b/>
                <w:u w:val="single"/>
              </w:rPr>
              <w:t>7.54%</w:t>
            </w:r>
          </w:p>
          <w:p w14:paraId="564B6B68" w14:textId="77777777" w:rsidR="00321985" w:rsidRDefault="00321985" w:rsidP="002551C6">
            <w:pPr>
              <w:jc w:val="center"/>
              <w:rPr>
                <w:rFonts w:ascii="Arial" w:eastAsia="Calibri" w:hAnsi="Arial" w:cs="Arial"/>
                <w:b/>
                <w:u w:val="single"/>
              </w:rPr>
            </w:pPr>
          </w:p>
          <w:p w14:paraId="60EF2515" w14:textId="173D3F37" w:rsidR="00321985" w:rsidRDefault="00321985" w:rsidP="002551C6">
            <w:pPr>
              <w:jc w:val="center"/>
              <w:rPr>
                <w:rFonts w:ascii="Arial" w:eastAsia="Calibri" w:hAnsi="Arial" w:cs="Arial"/>
                <w:b/>
                <w:u w:val="single"/>
              </w:rPr>
            </w:pPr>
            <w:r>
              <w:rPr>
                <w:rFonts w:ascii="Arial" w:eastAsia="Calibri" w:hAnsi="Arial" w:cs="Arial"/>
                <w:b/>
                <w:u w:val="single"/>
              </w:rPr>
              <w:t>21.50%</w:t>
            </w:r>
          </w:p>
        </w:tc>
        <w:tc>
          <w:tcPr>
            <w:tcW w:w="2042" w:type="dxa"/>
          </w:tcPr>
          <w:p w14:paraId="7F69A3AC" w14:textId="77777777" w:rsidR="00321985" w:rsidRDefault="00321985" w:rsidP="002551C6">
            <w:pPr>
              <w:jc w:val="center"/>
              <w:rPr>
                <w:rFonts w:ascii="Arial" w:eastAsia="Calibri" w:hAnsi="Arial" w:cs="Arial"/>
                <w:b/>
                <w:u w:val="single"/>
              </w:rPr>
            </w:pPr>
          </w:p>
          <w:p w14:paraId="1A0E21D2" w14:textId="77777777" w:rsidR="00321985" w:rsidRDefault="00321985" w:rsidP="002551C6">
            <w:pPr>
              <w:jc w:val="center"/>
              <w:rPr>
                <w:rFonts w:ascii="Arial" w:eastAsia="Calibri" w:hAnsi="Arial" w:cs="Arial"/>
                <w:b/>
                <w:u w:val="single"/>
              </w:rPr>
            </w:pPr>
          </w:p>
          <w:p w14:paraId="2A0D6320" w14:textId="77777777" w:rsidR="00321985" w:rsidRDefault="00321985" w:rsidP="002551C6">
            <w:pPr>
              <w:jc w:val="center"/>
              <w:rPr>
                <w:rFonts w:ascii="Arial" w:eastAsia="Calibri" w:hAnsi="Arial" w:cs="Arial"/>
                <w:b/>
                <w:u w:val="single"/>
              </w:rPr>
            </w:pPr>
          </w:p>
          <w:p w14:paraId="56915BB6" w14:textId="77777777" w:rsidR="00321985" w:rsidRDefault="00321985" w:rsidP="002551C6">
            <w:pPr>
              <w:jc w:val="center"/>
              <w:rPr>
                <w:rFonts w:ascii="Arial" w:eastAsia="Calibri" w:hAnsi="Arial" w:cs="Arial"/>
                <w:b/>
                <w:u w:val="single"/>
              </w:rPr>
            </w:pPr>
          </w:p>
          <w:p w14:paraId="27155448" w14:textId="77777777" w:rsidR="00321985" w:rsidRDefault="00321985" w:rsidP="002551C6">
            <w:pPr>
              <w:jc w:val="center"/>
              <w:rPr>
                <w:rFonts w:ascii="Arial" w:eastAsia="Calibri" w:hAnsi="Arial" w:cs="Arial"/>
                <w:b/>
                <w:u w:val="single"/>
              </w:rPr>
            </w:pPr>
          </w:p>
          <w:p w14:paraId="403BBF18" w14:textId="53C11121" w:rsidR="00321985" w:rsidRDefault="00321985" w:rsidP="002551C6">
            <w:pPr>
              <w:jc w:val="center"/>
              <w:rPr>
                <w:rFonts w:ascii="Arial" w:eastAsia="Calibri" w:hAnsi="Arial" w:cs="Arial"/>
                <w:b/>
                <w:u w:val="single"/>
              </w:rPr>
            </w:pPr>
            <w:r>
              <w:rPr>
                <w:rFonts w:ascii="Arial" w:eastAsia="Calibri" w:hAnsi="Arial" w:cs="Arial"/>
                <w:b/>
                <w:u w:val="single"/>
              </w:rPr>
              <w:t>31.16%</w:t>
            </w:r>
          </w:p>
          <w:p w14:paraId="5A509411" w14:textId="3C514929" w:rsidR="00321985" w:rsidRDefault="00321985" w:rsidP="002551C6">
            <w:pPr>
              <w:jc w:val="center"/>
              <w:rPr>
                <w:rFonts w:ascii="Arial" w:eastAsia="Calibri" w:hAnsi="Arial" w:cs="Arial"/>
                <w:b/>
                <w:u w:val="single"/>
              </w:rPr>
            </w:pPr>
            <w:r>
              <w:rPr>
                <w:rFonts w:ascii="Arial" w:eastAsia="Calibri" w:hAnsi="Arial" w:cs="Arial"/>
                <w:b/>
                <w:u w:val="single"/>
              </w:rPr>
              <w:t>7.53%</w:t>
            </w:r>
          </w:p>
          <w:p w14:paraId="17D91D00" w14:textId="77777777" w:rsidR="00321985" w:rsidRDefault="00321985" w:rsidP="002551C6">
            <w:pPr>
              <w:jc w:val="center"/>
              <w:rPr>
                <w:rFonts w:ascii="Arial" w:eastAsia="Calibri" w:hAnsi="Arial" w:cs="Arial"/>
                <w:b/>
                <w:u w:val="single"/>
              </w:rPr>
            </w:pPr>
          </w:p>
          <w:p w14:paraId="516E7CAE" w14:textId="60EBDA4F" w:rsidR="00321985" w:rsidRDefault="00321985" w:rsidP="002551C6">
            <w:pPr>
              <w:jc w:val="center"/>
              <w:rPr>
                <w:rFonts w:ascii="Arial" w:eastAsia="Calibri" w:hAnsi="Arial" w:cs="Arial"/>
                <w:b/>
                <w:u w:val="single"/>
              </w:rPr>
            </w:pPr>
            <w:r>
              <w:rPr>
                <w:rFonts w:ascii="Arial" w:eastAsia="Calibri" w:hAnsi="Arial" w:cs="Arial"/>
                <w:b/>
                <w:u w:val="single"/>
              </w:rPr>
              <w:t>21.45%</w:t>
            </w:r>
          </w:p>
        </w:tc>
      </w:tr>
      <w:tr w:rsidR="005D1736" w:rsidRPr="004B1294" w14:paraId="2305BADE" w14:textId="77777777" w:rsidTr="00042E94">
        <w:tc>
          <w:tcPr>
            <w:tcW w:w="1550" w:type="dxa"/>
          </w:tcPr>
          <w:p w14:paraId="52EB7780" w14:textId="53819B89" w:rsidR="005D1736" w:rsidRDefault="005D1736" w:rsidP="002551C6">
            <w:pPr>
              <w:jc w:val="center"/>
              <w:rPr>
                <w:rFonts w:ascii="Arial" w:hAnsi="Arial" w:cs="Arial"/>
                <w:b/>
              </w:rPr>
            </w:pPr>
            <w:r>
              <w:rPr>
                <w:rFonts w:ascii="Arial" w:hAnsi="Arial" w:cs="Arial"/>
                <w:b/>
              </w:rPr>
              <w:t>241</w:t>
            </w:r>
          </w:p>
        </w:tc>
        <w:tc>
          <w:tcPr>
            <w:tcW w:w="3255" w:type="dxa"/>
          </w:tcPr>
          <w:p w14:paraId="6CE67C2A" w14:textId="5BCC2A57" w:rsidR="005D1736" w:rsidRPr="005D1736" w:rsidRDefault="005D1736" w:rsidP="005D1736">
            <w:pPr>
              <w:jc w:val="both"/>
              <w:rPr>
                <w:rFonts w:ascii="Arial" w:hAnsi="Arial" w:cs="Arial"/>
                <w:b/>
                <w:lang w:val="es-MX"/>
              </w:rPr>
            </w:pPr>
            <w:r w:rsidRPr="005D1736">
              <w:rPr>
                <w:rFonts w:ascii="Arial" w:hAnsi="Arial" w:cs="Arial"/>
                <w:b/>
              </w:rPr>
              <w:t>CORPORACIÓN AUTÓNOMA REGIONAL PARA EL DESARROLLO SOSTENIBLE DEL CHOCÓ - CODECHOCÓ</w:t>
            </w:r>
            <w:r w:rsidRPr="005D1736">
              <w:rPr>
                <w:rFonts w:ascii="Arial" w:hAnsi="Arial" w:cs="Arial"/>
                <w:b/>
                <w:lang w:val="es-MX"/>
              </w:rPr>
              <w:t>.</w:t>
            </w:r>
          </w:p>
          <w:p w14:paraId="4BB4F70D" w14:textId="77777777" w:rsidR="005D1736" w:rsidRDefault="005D1736" w:rsidP="00321985">
            <w:pPr>
              <w:jc w:val="both"/>
              <w:rPr>
                <w:rFonts w:ascii="Arial" w:hAnsi="Arial" w:cs="Arial"/>
                <w:b/>
                <w:lang w:val="es-MX"/>
              </w:rPr>
            </w:pPr>
          </w:p>
          <w:p w14:paraId="1AD752BB" w14:textId="77777777" w:rsidR="005D1736" w:rsidRDefault="005D1736" w:rsidP="005D1736">
            <w:pPr>
              <w:jc w:val="both"/>
              <w:rPr>
                <w:rFonts w:ascii="Arial" w:hAnsi="Arial" w:cs="Arial"/>
                <w:b/>
                <w:lang w:val="es-MX"/>
              </w:rPr>
            </w:pPr>
            <w:r>
              <w:rPr>
                <w:rFonts w:ascii="Arial" w:hAnsi="Arial" w:cs="Arial"/>
                <w:b/>
                <w:lang w:val="es-MX"/>
              </w:rPr>
              <w:t>FUNCIONAMIENTO</w:t>
            </w:r>
          </w:p>
          <w:p w14:paraId="518D9637" w14:textId="77777777" w:rsidR="005D1736" w:rsidRDefault="005D1736" w:rsidP="005D1736">
            <w:pPr>
              <w:jc w:val="both"/>
              <w:rPr>
                <w:rFonts w:ascii="Arial" w:hAnsi="Arial" w:cs="Arial"/>
                <w:b/>
                <w:lang w:val="es-MX"/>
              </w:rPr>
            </w:pPr>
            <w:r>
              <w:rPr>
                <w:rFonts w:ascii="Arial" w:hAnsi="Arial" w:cs="Arial"/>
                <w:b/>
                <w:lang w:val="es-MX"/>
              </w:rPr>
              <w:t>INVERSIÓN</w:t>
            </w:r>
          </w:p>
          <w:p w14:paraId="3FC8A45B" w14:textId="77777777" w:rsidR="005D1736" w:rsidRDefault="005D1736" w:rsidP="005D1736">
            <w:pPr>
              <w:jc w:val="both"/>
              <w:rPr>
                <w:rFonts w:ascii="Arial" w:hAnsi="Arial" w:cs="Arial"/>
                <w:b/>
                <w:lang w:val="es-MX"/>
              </w:rPr>
            </w:pPr>
          </w:p>
          <w:p w14:paraId="2E5444FD" w14:textId="0F5611E0" w:rsidR="005D1736" w:rsidRPr="00321985" w:rsidRDefault="005D1736" w:rsidP="005D1736">
            <w:pPr>
              <w:jc w:val="both"/>
              <w:rPr>
                <w:rFonts w:ascii="Arial" w:hAnsi="Arial" w:cs="Arial"/>
                <w:b/>
                <w:lang w:val="es-MX"/>
              </w:rPr>
            </w:pPr>
            <w:r>
              <w:rPr>
                <w:rFonts w:ascii="Arial" w:hAnsi="Arial" w:cs="Arial"/>
                <w:b/>
                <w:lang w:val="es-MX"/>
              </w:rPr>
              <w:t>TOTAL PRESUPUESTO</w:t>
            </w:r>
          </w:p>
        </w:tc>
        <w:tc>
          <w:tcPr>
            <w:tcW w:w="1839" w:type="dxa"/>
          </w:tcPr>
          <w:p w14:paraId="4D8BD3FD" w14:textId="77777777" w:rsidR="005D1736" w:rsidRDefault="005D1736" w:rsidP="00C95525">
            <w:pPr>
              <w:jc w:val="center"/>
              <w:rPr>
                <w:rFonts w:ascii="Arial" w:eastAsia="Calibri" w:hAnsi="Arial" w:cs="Arial"/>
                <w:b/>
                <w:u w:val="single"/>
              </w:rPr>
            </w:pPr>
          </w:p>
          <w:p w14:paraId="38372366" w14:textId="77777777" w:rsidR="005D1736" w:rsidRDefault="005D1736" w:rsidP="00C95525">
            <w:pPr>
              <w:jc w:val="center"/>
              <w:rPr>
                <w:rFonts w:ascii="Arial" w:eastAsia="Calibri" w:hAnsi="Arial" w:cs="Arial"/>
                <w:b/>
                <w:u w:val="single"/>
              </w:rPr>
            </w:pPr>
          </w:p>
          <w:p w14:paraId="258A402A" w14:textId="77777777" w:rsidR="005D1736" w:rsidRDefault="005D1736" w:rsidP="00C95525">
            <w:pPr>
              <w:jc w:val="center"/>
              <w:rPr>
                <w:rFonts w:ascii="Arial" w:eastAsia="Calibri" w:hAnsi="Arial" w:cs="Arial"/>
                <w:b/>
                <w:u w:val="single"/>
              </w:rPr>
            </w:pPr>
          </w:p>
          <w:p w14:paraId="775AD732" w14:textId="77777777" w:rsidR="005D1736" w:rsidRDefault="005D1736" w:rsidP="00C95525">
            <w:pPr>
              <w:jc w:val="center"/>
              <w:rPr>
                <w:rFonts w:ascii="Arial" w:eastAsia="Calibri" w:hAnsi="Arial" w:cs="Arial"/>
                <w:b/>
                <w:u w:val="single"/>
              </w:rPr>
            </w:pPr>
          </w:p>
          <w:p w14:paraId="1BEE37F1" w14:textId="77777777" w:rsidR="005D1736" w:rsidRDefault="005D1736" w:rsidP="00C95525">
            <w:pPr>
              <w:jc w:val="center"/>
              <w:rPr>
                <w:rFonts w:ascii="Arial" w:eastAsia="Calibri" w:hAnsi="Arial" w:cs="Arial"/>
                <w:b/>
                <w:u w:val="single"/>
              </w:rPr>
            </w:pPr>
          </w:p>
          <w:p w14:paraId="3B24613D" w14:textId="574D4883" w:rsidR="005D1736" w:rsidRDefault="005D1736" w:rsidP="00C95525">
            <w:pPr>
              <w:jc w:val="center"/>
              <w:rPr>
                <w:rFonts w:ascii="Arial" w:eastAsia="Calibri" w:hAnsi="Arial" w:cs="Arial"/>
                <w:b/>
                <w:u w:val="single"/>
              </w:rPr>
            </w:pPr>
            <w:r>
              <w:rPr>
                <w:rFonts w:ascii="Arial" w:eastAsia="Calibri" w:hAnsi="Arial" w:cs="Arial"/>
                <w:b/>
                <w:u w:val="single"/>
              </w:rPr>
              <w:t>99.31%</w:t>
            </w:r>
          </w:p>
          <w:p w14:paraId="2D543714" w14:textId="311F2703" w:rsidR="005D1736" w:rsidRDefault="005D1736" w:rsidP="00C95525">
            <w:pPr>
              <w:jc w:val="center"/>
              <w:rPr>
                <w:rFonts w:ascii="Arial" w:eastAsia="Calibri" w:hAnsi="Arial" w:cs="Arial"/>
                <w:b/>
                <w:u w:val="single"/>
              </w:rPr>
            </w:pPr>
            <w:r>
              <w:rPr>
                <w:rFonts w:ascii="Arial" w:eastAsia="Calibri" w:hAnsi="Arial" w:cs="Arial"/>
                <w:b/>
                <w:u w:val="single"/>
              </w:rPr>
              <w:t>100.00%</w:t>
            </w:r>
          </w:p>
          <w:p w14:paraId="636DC062" w14:textId="77777777" w:rsidR="005D1736" w:rsidRDefault="005D1736" w:rsidP="00C95525">
            <w:pPr>
              <w:jc w:val="center"/>
              <w:rPr>
                <w:rFonts w:ascii="Arial" w:eastAsia="Calibri" w:hAnsi="Arial" w:cs="Arial"/>
                <w:b/>
                <w:u w:val="single"/>
              </w:rPr>
            </w:pPr>
          </w:p>
          <w:p w14:paraId="71E77AE5" w14:textId="0FBB98B4" w:rsidR="005D1736" w:rsidRDefault="005D1736" w:rsidP="00C95525">
            <w:pPr>
              <w:jc w:val="center"/>
              <w:rPr>
                <w:rFonts w:ascii="Arial" w:eastAsia="Calibri" w:hAnsi="Arial" w:cs="Arial"/>
                <w:b/>
                <w:u w:val="single"/>
              </w:rPr>
            </w:pPr>
            <w:r>
              <w:rPr>
                <w:rFonts w:ascii="Arial" w:eastAsia="Calibri" w:hAnsi="Arial" w:cs="Arial"/>
                <w:b/>
                <w:u w:val="single"/>
              </w:rPr>
              <w:t>99.76%</w:t>
            </w:r>
          </w:p>
        </w:tc>
        <w:tc>
          <w:tcPr>
            <w:tcW w:w="1804" w:type="dxa"/>
          </w:tcPr>
          <w:p w14:paraId="4238FAF7" w14:textId="77777777" w:rsidR="005D1736" w:rsidRDefault="005D1736" w:rsidP="002551C6">
            <w:pPr>
              <w:jc w:val="center"/>
              <w:rPr>
                <w:rFonts w:ascii="Arial" w:eastAsia="Calibri" w:hAnsi="Arial" w:cs="Arial"/>
                <w:b/>
                <w:u w:val="single"/>
              </w:rPr>
            </w:pPr>
          </w:p>
          <w:p w14:paraId="02608D69" w14:textId="77777777" w:rsidR="005D1736" w:rsidRDefault="005D1736" w:rsidP="002551C6">
            <w:pPr>
              <w:jc w:val="center"/>
              <w:rPr>
                <w:rFonts w:ascii="Arial" w:eastAsia="Calibri" w:hAnsi="Arial" w:cs="Arial"/>
                <w:b/>
                <w:u w:val="single"/>
              </w:rPr>
            </w:pPr>
          </w:p>
          <w:p w14:paraId="3566D9CD" w14:textId="77777777" w:rsidR="005D1736" w:rsidRDefault="005D1736" w:rsidP="002551C6">
            <w:pPr>
              <w:jc w:val="center"/>
              <w:rPr>
                <w:rFonts w:ascii="Arial" w:eastAsia="Calibri" w:hAnsi="Arial" w:cs="Arial"/>
                <w:b/>
                <w:u w:val="single"/>
              </w:rPr>
            </w:pPr>
          </w:p>
          <w:p w14:paraId="004E2A92" w14:textId="77777777" w:rsidR="005D1736" w:rsidRDefault="005D1736" w:rsidP="002551C6">
            <w:pPr>
              <w:jc w:val="center"/>
              <w:rPr>
                <w:rFonts w:ascii="Arial" w:eastAsia="Calibri" w:hAnsi="Arial" w:cs="Arial"/>
                <w:b/>
                <w:u w:val="single"/>
              </w:rPr>
            </w:pPr>
          </w:p>
          <w:p w14:paraId="2B2CE7A6" w14:textId="77777777" w:rsidR="005D1736" w:rsidRDefault="005D1736" w:rsidP="002551C6">
            <w:pPr>
              <w:jc w:val="center"/>
              <w:rPr>
                <w:rFonts w:ascii="Arial" w:eastAsia="Calibri" w:hAnsi="Arial" w:cs="Arial"/>
                <w:b/>
                <w:u w:val="single"/>
              </w:rPr>
            </w:pPr>
          </w:p>
          <w:p w14:paraId="7AA9E3FB" w14:textId="77777777" w:rsidR="005D1736" w:rsidRDefault="005D1736" w:rsidP="002551C6">
            <w:pPr>
              <w:jc w:val="center"/>
              <w:rPr>
                <w:rFonts w:ascii="Arial" w:eastAsia="Calibri" w:hAnsi="Arial" w:cs="Arial"/>
                <w:b/>
                <w:u w:val="single"/>
              </w:rPr>
            </w:pPr>
            <w:r>
              <w:rPr>
                <w:rFonts w:ascii="Arial" w:eastAsia="Calibri" w:hAnsi="Arial" w:cs="Arial"/>
                <w:b/>
                <w:u w:val="single"/>
              </w:rPr>
              <w:t>99.31%</w:t>
            </w:r>
          </w:p>
          <w:p w14:paraId="7460267A" w14:textId="41732D9E" w:rsidR="005D1736" w:rsidRDefault="005D1736" w:rsidP="002551C6">
            <w:pPr>
              <w:jc w:val="center"/>
              <w:rPr>
                <w:rFonts w:ascii="Arial" w:eastAsia="Calibri" w:hAnsi="Arial" w:cs="Arial"/>
                <w:b/>
                <w:u w:val="single"/>
              </w:rPr>
            </w:pPr>
            <w:r>
              <w:rPr>
                <w:rFonts w:ascii="Arial" w:eastAsia="Calibri" w:hAnsi="Arial" w:cs="Arial"/>
                <w:b/>
                <w:u w:val="single"/>
              </w:rPr>
              <w:t>70.14%</w:t>
            </w:r>
          </w:p>
          <w:p w14:paraId="6C74728B" w14:textId="77777777" w:rsidR="005D1736" w:rsidRDefault="005D1736" w:rsidP="002551C6">
            <w:pPr>
              <w:jc w:val="center"/>
              <w:rPr>
                <w:rFonts w:ascii="Arial" w:eastAsia="Calibri" w:hAnsi="Arial" w:cs="Arial"/>
                <w:b/>
                <w:u w:val="single"/>
              </w:rPr>
            </w:pPr>
          </w:p>
          <w:p w14:paraId="58628CFD" w14:textId="41648A36" w:rsidR="005D1736" w:rsidRDefault="005D1736" w:rsidP="005D1736">
            <w:pPr>
              <w:jc w:val="center"/>
              <w:rPr>
                <w:rFonts w:ascii="Arial" w:eastAsia="Calibri" w:hAnsi="Arial" w:cs="Arial"/>
                <w:b/>
                <w:u w:val="single"/>
              </w:rPr>
            </w:pPr>
            <w:r>
              <w:rPr>
                <w:rFonts w:ascii="Arial" w:eastAsia="Calibri" w:hAnsi="Arial" w:cs="Arial"/>
                <w:b/>
                <w:u w:val="single"/>
              </w:rPr>
              <w:t>80.18%</w:t>
            </w:r>
          </w:p>
        </w:tc>
        <w:tc>
          <w:tcPr>
            <w:tcW w:w="2042" w:type="dxa"/>
          </w:tcPr>
          <w:p w14:paraId="3524C6D8" w14:textId="77777777" w:rsidR="005D1736" w:rsidRDefault="005D1736" w:rsidP="002551C6">
            <w:pPr>
              <w:jc w:val="center"/>
              <w:rPr>
                <w:rFonts w:ascii="Arial" w:eastAsia="Calibri" w:hAnsi="Arial" w:cs="Arial"/>
                <w:b/>
                <w:u w:val="single"/>
              </w:rPr>
            </w:pPr>
          </w:p>
          <w:p w14:paraId="7E71DF5D" w14:textId="77777777" w:rsidR="005D1736" w:rsidRDefault="005D1736" w:rsidP="002551C6">
            <w:pPr>
              <w:jc w:val="center"/>
              <w:rPr>
                <w:rFonts w:ascii="Arial" w:eastAsia="Calibri" w:hAnsi="Arial" w:cs="Arial"/>
                <w:b/>
                <w:u w:val="single"/>
              </w:rPr>
            </w:pPr>
          </w:p>
          <w:p w14:paraId="21F623F3" w14:textId="77777777" w:rsidR="005D1736" w:rsidRDefault="005D1736" w:rsidP="002551C6">
            <w:pPr>
              <w:jc w:val="center"/>
              <w:rPr>
                <w:rFonts w:ascii="Arial" w:eastAsia="Calibri" w:hAnsi="Arial" w:cs="Arial"/>
                <w:b/>
                <w:u w:val="single"/>
              </w:rPr>
            </w:pPr>
          </w:p>
          <w:p w14:paraId="4CCC6898" w14:textId="77777777" w:rsidR="005D1736" w:rsidRDefault="005D1736" w:rsidP="002551C6">
            <w:pPr>
              <w:jc w:val="center"/>
              <w:rPr>
                <w:rFonts w:ascii="Arial" w:eastAsia="Calibri" w:hAnsi="Arial" w:cs="Arial"/>
                <w:b/>
                <w:u w:val="single"/>
              </w:rPr>
            </w:pPr>
          </w:p>
          <w:p w14:paraId="3AAA4997" w14:textId="77777777" w:rsidR="005D1736" w:rsidRDefault="005D1736" w:rsidP="002551C6">
            <w:pPr>
              <w:jc w:val="center"/>
              <w:rPr>
                <w:rFonts w:ascii="Arial" w:eastAsia="Calibri" w:hAnsi="Arial" w:cs="Arial"/>
                <w:b/>
                <w:u w:val="single"/>
              </w:rPr>
            </w:pPr>
          </w:p>
          <w:p w14:paraId="18E0AAC2" w14:textId="11FEC015" w:rsidR="005D1736" w:rsidRDefault="005D1736" w:rsidP="002551C6">
            <w:pPr>
              <w:jc w:val="center"/>
              <w:rPr>
                <w:rFonts w:ascii="Arial" w:eastAsia="Calibri" w:hAnsi="Arial" w:cs="Arial"/>
                <w:b/>
                <w:u w:val="single"/>
              </w:rPr>
            </w:pPr>
            <w:r>
              <w:rPr>
                <w:rFonts w:ascii="Arial" w:eastAsia="Calibri" w:hAnsi="Arial" w:cs="Arial"/>
                <w:b/>
                <w:u w:val="single"/>
              </w:rPr>
              <w:t>99.31%</w:t>
            </w:r>
          </w:p>
          <w:p w14:paraId="001DE6BD" w14:textId="7FD6C4BE" w:rsidR="005D1736" w:rsidRDefault="005D1736" w:rsidP="002551C6">
            <w:pPr>
              <w:jc w:val="center"/>
              <w:rPr>
                <w:rFonts w:ascii="Arial" w:eastAsia="Calibri" w:hAnsi="Arial" w:cs="Arial"/>
                <w:b/>
                <w:u w:val="single"/>
              </w:rPr>
            </w:pPr>
            <w:r>
              <w:rPr>
                <w:rFonts w:ascii="Arial" w:eastAsia="Calibri" w:hAnsi="Arial" w:cs="Arial"/>
                <w:b/>
                <w:u w:val="single"/>
              </w:rPr>
              <w:t>70.14%</w:t>
            </w:r>
          </w:p>
          <w:p w14:paraId="4D58C296" w14:textId="77777777" w:rsidR="005D1736" w:rsidRDefault="005D1736" w:rsidP="002551C6">
            <w:pPr>
              <w:jc w:val="center"/>
              <w:rPr>
                <w:rFonts w:ascii="Arial" w:eastAsia="Calibri" w:hAnsi="Arial" w:cs="Arial"/>
                <w:b/>
                <w:u w:val="single"/>
              </w:rPr>
            </w:pPr>
          </w:p>
          <w:p w14:paraId="57C7B208" w14:textId="3586CAE9" w:rsidR="005D1736" w:rsidRDefault="005D1736" w:rsidP="002551C6">
            <w:pPr>
              <w:jc w:val="center"/>
              <w:rPr>
                <w:rFonts w:ascii="Arial" w:eastAsia="Calibri" w:hAnsi="Arial" w:cs="Arial"/>
                <w:b/>
                <w:u w:val="single"/>
              </w:rPr>
            </w:pPr>
            <w:r>
              <w:rPr>
                <w:rFonts w:ascii="Arial" w:eastAsia="Calibri" w:hAnsi="Arial" w:cs="Arial"/>
                <w:b/>
                <w:u w:val="single"/>
              </w:rPr>
              <w:t>80.00%</w:t>
            </w:r>
          </w:p>
        </w:tc>
      </w:tr>
      <w:tr w:rsidR="003B65B9" w:rsidRPr="004B1294" w14:paraId="23F91891" w14:textId="77777777" w:rsidTr="00042E94">
        <w:tc>
          <w:tcPr>
            <w:tcW w:w="1550" w:type="dxa"/>
          </w:tcPr>
          <w:p w14:paraId="1F914C39" w14:textId="70DDBE85" w:rsidR="003B65B9" w:rsidRDefault="003B65B9" w:rsidP="002551C6">
            <w:pPr>
              <w:jc w:val="center"/>
              <w:rPr>
                <w:rFonts w:ascii="Arial" w:hAnsi="Arial" w:cs="Arial"/>
                <w:b/>
              </w:rPr>
            </w:pPr>
            <w:r>
              <w:rPr>
                <w:rFonts w:ascii="Arial" w:hAnsi="Arial" w:cs="Arial"/>
                <w:b/>
              </w:rPr>
              <w:t>247</w:t>
            </w:r>
          </w:p>
        </w:tc>
        <w:tc>
          <w:tcPr>
            <w:tcW w:w="3255" w:type="dxa"/>
          </w:tcPr>
          <w:p w14:paraId="2630410D" w14:textId="2FBEAF2A" w:rsidR="003B65B9" w:rsidRPr="003B65B9" w:rsidRDefault="003B65B9" w:rsidP="003B65B9">
            <w:pPr>
              <w:jc w:val="both"/>
              <w:rPr>
                <w:rFonts w:ascii="Arial" w:hAnsi="Arial" w:cs="Arial"/>
                <w:b/>
                <w:lang w:val="es-MX"/>
              </w:rPr>
            </w:pPr>
            <w:r w:rsidRPr="003B65B9">
              <w:rPr>
                <w:rFonts w:ascii="Arial" w:hAnsi="Arial" w:cs="Arial"/>
                <w:b/>
                <w:lang w:val="es-MX"/>
              </w:rPr>
              <w:t xml:space="preserve">INSTITUTO NACIONAL DE VIGILANCIA DE MEDICAMENTOS Y ALIMENTOS – INVIMA. </w:t>
            </w:r>
          </w:p>
          <w:p w14:paraId="5DE92673" w14:textId="77777777" w:rsidR="003B65B9" w:rsidRDefault="003B65B9" w:rsidP="005D1736">
            <w:pPr>
              <w:jc w:val="both"/>
              <w:rPr>
                <w:rFonts w:ascii="Arial" w:hAnsi="Arial" w:cs="Arial"/>
                <w:b/>
                <w:lang w:val="es-MX"/>
              </w:rPr>
            </w:pPr>
          </w:p>
          <w:p w14:paraId="1B15C564" w14:textId="77777777" w:rsidR="003B65B9" w:rsidRDefault="003B65B9" w:rsidP="003B65B9">
            <w:pPr>
              <w:jc w:val="both"/>
              <w:rPr>
                <w:rFonts w:ascii="Arial" w:hAnsi="Arial" w:cs="Arial"/>
                <w:b/>
                <w:lang w:val="es-MX"/>
              </w:rPr>
            </w:pPr>
            <w:r>
              <w:rPr>
                <w:rFonts w:ascii="Arial" w:hAnsi="Arial" w:cs="Arial"/>
                <w:b/>
                <w:lang w:val="es-MX"/>
              </w:rPr>
              <w:t>FUNCIONAMIENTO</w:t>
            </w:r>
          </w:p>
          <w:p w14:paraId="2D423EB5" w14:textId="77777777" w:rsidR="003B65B9" w:rsidRDefault="003B65B9" w:rsidP="003B65B9">
            <w:pPr>
              <w:jc w:val="both"/>
              <w:rPr>
                <w:rFonts w:ascii="Arial" w:hAnsi="Arial" w:cs="Arial"/>
                <w:b/>
                <w:lang w:val="es-MX"/>
              </w:rPr>
            </w:pPr>
            <w:r>
              <w:rPr>
                <w:rFonts w:ascii="Arial" w:hAnsi="Arial" w:cs="Arial"/>
                <w:b/>
                <w:lang w:val="es-MX"/>
              </w:rPr>
              <w:t>INVERSIÓN</w:t>
            </w:r>
          </w:p>
          <w:p w14:paraId="616C7421" w14:textId="77777777" w:rsidR="003B65B9" w:rsidRDefault="003B65B9" w:rsidP="003B65B9">
            <w:pPr>
              <w:jc w:val="both"/>
              <w:rPr>
                <w:rFonts w:ascii="Arial" w:hAnsi="Arial" w:cs="Arial"/>
                <w:b/>
                <w:lang w:val="es-MX"/>
              </w:rPr>
            </w:pPr>
          </w:p>
          <w:p w14:paraId="2425F5AF" w14:textId="18AFEFAE" w:rsidR="003B65B9" w:rsidRPr="003B65B9" w:rsidRDefault="003B65B9" w:rsidP="003B65B9">
            <w:pPr>
              <w:jc w:val="both"/>
              <w:rPr>
                <w:rFonts w:ascii="Arial" w:hAnsi="Arial" w:cs="Arial"/>
                <w:b/>
                <w:lang w:val="es-MX"/>
              </w:rPr>
            </w:pPr>
            <w:r>
              <w:rPr>
                <w:rFonts w:ascii="Arial" w:hAnsi="Arial" w:cs="Arial"/>
                <w:b/>
                <w:lang w:val="es-MX"/>
              </w:rPr>
              <w:t>TOTAL PRESUPUESTO</w:t>
            </w:r>
          </w:p>
        </w:tc>
        <w:tc>
          <w:tcPr>
            <w:tcW w:w="1839" w:type="dxa"/>
          </w:tcPr>
          <w:p w14:paraId="52A68A8B" w14:textId="77777777" w:rsidR="003B65B9" w:rsidRDefault="003B65B9" w:rsidP="00C95525">
            <w:pPr>
              <w:jc w:val="center"/>
              <w:rPr>
                <w:rFonts w:ascii="Arial" w:eastAsia="Calibri" w:hAnsi="Arial" w:cs="Arial"/>
                <w:b/>
                <w:u w:val="single"/>
              </w:rPr>
            </w:pPr>
          </w:p>
          <w:p w14:paraId="48B3B80A" w14:textId="77777777" w:rsidR="003B65B9" w:rsidRDefault="003B65B9" w:rsidP="00C95525">
            <w:pPr>
              <w:jc w:val="center"/>
              <w:rPr>
                <w:rFonts w:ascii="Arial" w:eastAsia="Calibri" w:hAnsi="Arial" w:cs="Arial"/>
                <w:b/>
                <w:u w:val="single"/>
              </w:rPr>
            </w:pPr>
          </w:p>
          <w:p w14:paraId="1AD833A4" w14:textId="77777777" w:rsidR="003B65B9" w:rsidRDefault="003B65B9" w:rsidP="00C95525">
            <w:pPr>
              <w:jc w:val="center"/>
              <w:rPr>
                <w:rFonts w:ascii="Arial" w:eastAsia="Calibri" w:hAnsi="Arial" w:cs="Arial"/>
                <w:b/>
                <w:u w:val="single"/>
              </w:rPr>
            </w:pPr>
          </w:p>
          <w:p w14:paraId="4305AD28" w14:textId="77777777" w:rsidR="003B65B9" w:rsidRDefault="003B65B9" w:rsidP="00C95525">
            <w:pPr>
              <w:jc w:val="center"/>
              <w:rPr>
                <w:rFonts w:ascii="Arial" w:eastAsia="Calibri" w:hAnsi="Arial" w:cs="Arial"/>
                <w:b/>
                <w:u w:val="single"/>
              </w:rPr>
            </w:pPr>
          </w:p>
          <w:p w14:paraId="20EF12A6" w14:textId="77777777" w:rsidR="003B65B9" w:rsidRDefault="003B65B9" w:rsidP="00C95525">
            <w:pPr>
              <w:jc w:val="center"/>
              <w:rPr>
                <w:rFonts w:ascii="Arial" w:eastAsia="Calibri" w:hAnsi="Arial" w:cs="Arial"/>
                <w:b/>
                <w:u w:val="single"/>
              </w:rPr>
            </w:pPr>
          </w:p>
          <w:p w14:paraId="5ACC97D6" w14:textId="7B9C26FF" w:rsidR="003B65B9" w:rsidRDefault="003B65B9" w:rsidP="00C95525">
            <w:pPr>
              <w:jc w:val="center"/>
              <w:rPr>
                <w:rFonts w:ascii="Arial" w:eastAsia="Calibri" w:hAnsi="Arial" w:cs="Arial"/>
                <w:b/>
                <w:u w:val="single"/>
              </w:rPr>
            </w:pPr>
            <w:r>
              <w:rPr>
                <w:rFonts w:ascii="Arial" w:eastAsia="Calibri" w:hAnsi="Arial" w:cs="Arial"/>
                <w:b/>
                <w:u w:val="single"/>
              </w:rPr>
              <w:t>97.00%</w:t>
            </w:r>
          </w:p>
          <w:p w14:paraId="27C12DC8" w14:textId="52CFA8DC" w:rsidR="003B65B9" w:rsidRDefault="003B65B9" w:rsidP="00C95525">
            <w:pPr>
              <w:jc w:val="center"/>
              <w:rPr>
                <w:rFonts w:ascii="Arial" w:eastAsia="Calibri" w:hAnsi="Arial" w:cs="Arial"/>
                <w:b/>
                <w:u w:val="single"/>
              </w:rPr>
            </w:pPr>
            <w:r>
              <w:rPr>
                <w:rFonts w:ascii="Arial" w:eastAsia="Calibri" w:hAnsi="Arial" w:cs="Arial"/>
                <w:b/>
                <w:u w:val="single"/>
              </w:rPr>
              <w:t>90.00%</w:t>
            </w:r>
          </w:p>
          <w:p w14:paraId="3955A020" w14:textId="77777777" w:rsidR="003B65B9" w:rsidRDefault="003B65B9" w:rsidP="00C95525">
            <w:pPr>
              <w:jc w:val="center"/>
              <w:rPr>
                <w:rFonts w:ascii="Arial" w:eastAsia="Calibri" w:hAnsi="Arial" w:cs="Arial"/>
                <w:b/>
                <w:u w:val="single"/>
              </w:rPr>
            </w:pPr>
          </w:p>
          <w:p w14:paraId="5F4EFF48" w14:textId="5D6FADA9" w:rsidR="003B65B9" w:rsidRDefault="003B65B9" w:rsidP="00C95525">
            <w:pPr>
              <w:jc w:val="center"/>
              <w:rPr>
                <w:rFonts w:ascii="Arial" w:eastAsia="Calibri" w:hAnsi="Arial" w:cs="Arial"/>
                <w:b/>
                <w:u w:val="single"/>
              </w:rPr>
            </w:pPr>
            <w:r>
              <w:rPr>
                <w:rFonts w:ascii="Arial" w:eastAsia="Calibri" w:hAnsi="Arial" w:cs="Arial"/>
                <w:b/>
                <w:u w:val="single"/>
              </w:rPr>
              <w:t>94.00%</w:t>
            </w:r>
          </w:p>
        </w:tc>
        <w:tc>
          <w:tcPr>
            <w:tcW w:w="1804" w:type="dxa"/>
          </w:tcPr>
          <w:p w14:paraId="28550F71" w14:textId="77777777" w:rsidR="003B65B9" w:rsidRDefault="003B65B9" w:rsidP="002551C6">
            <w:pPr>
              <w:jc w:val="center"/>
              <w:rPr>
                <w:rFonts w:ascii="Arial" w:eastAsia="Calibri" w:hAnsi="Arial" w:cs="Arial"/>
                <w:b/>
                <w:u w:val="single"/>
              </w:rPr>
            </w:pPr>
          </w:p>
          <w:p w14:paraId="05E60A06" w14:textId="77777777" w:rsidR="003B65B9" w:rsidRDefault="003B65B9" w:rsidP="002551C6">
            <w:pPr>
              <w:jc w:val="center"/>
              <w:rPr>
                <w:rFonts w:ascii="Arial" w:eastAsia="Calibri" w:hAnsi="Arial" w:cs="Arial"/>
                <w:b/>
                <w:u w:val="single"/>
              </w:rPr>
            </w:pPr>
          </w:p>
          <w:p w14:paraId="62C09733" w14:textId="77777777" w:rsidR="003B65B9" w:rsidRDefault="003B65B9" w:rsidP="002551C6">
            <w:pPr>
              <w:jc w:val="center"/>
              <w:rPr>
                <w:rFonts w:ascii="Arial" w:eastAsia="Calibri" w:hAnsi="Arial" w:cs="Arial"/>
                <w:b/>
                <w:u w:val="single"/>
              </w:rPr>
            </w:pPr>
          </w:p>
          <w:p w14:paraId="5FA72929" w14:textId="77777777" w:rsidR="003B65B9" w:rsidRDefault="003B65B9" w:rsidP="002551C6">
            <w:pPr>
              <w:jc w:val="center"/>
              <w:rPr>
                <w:rFonts w:ascii="Arial" w:eastAsia="Calibri" w:hAnsi="Arial" w:cs="Arial"/>
                <w:b/>
                <w:u w:val="single"/>
              </w:rPr>
            </w:pPr>
          </w:p>
          <w:p w14:paraId="61130941" w14:textId="77777777" w:rsidR="003B65B9" w:rsidRDefault="003B65B9" w:rsidP="002551C6">
            <w:pPr>
              <w:jc w:val="center"/>
              <w:rPr>
                <w:rFonts w:ascii="Arial" w:eastAsia="Calibri" w:hAnsi="Arial" w:cs="Arial"/>
                <w:b/>
                <w:u w:val="single"/>
              </w:rPr>
            </w:pPr>
          </w:p>
          <w:p w14:paraId="4D3C72CE" w14:textId="0C00DA45" w:rsidR="003B65B9" w:rsidRDefault="003B65B9" w:rsidP="002551C6">
            <w:pPr>
              <w:jc w:val="center"/>
              <w:rPr>
                <w:rFonts w:ascii="Arial" w:eastAsia="Calibri" w:hAnsi="Arial" w:cs="Arial"/>
                <w:b/>
                <w:u w:val="single"/>
              </w:rPr>
            </w:pPr>
            <w:r>
              <w:rPr>
                <w:rFonts w:ascii="Arial" w:eastAsia="Calibri" w:hAnsi="Arial" w:cs="Arial"/>
                <w:b/>
                <w:u w:val="single"/>
              </w:rPr>
              <w:t>95.00%</w:t>
            </w:r>
          </w:p>
          <w:p w14:paraId="4D73306E" w14:textId="7BCA8A69" w:rsidR="003B65B9" w:rsidRDefault="003B65B9" w:rsidP="002551C6">
            <w:pPr>
              <w:jc w:val="center"/>
              <w:rPr>
                <w:rFonts w:ascii="Arial" w:eastAsia="Calibri" w:hAnsi="Arial" w:cs="Arial"/>
                <w:b/>
                <w:u w:val="single"/>
              </w:rPr>
            </w:pPr>
            <w:r>
              <w:rPr>
                <w:rFonts w:ascii="Arial" w:eastAsia="Calibri" w:hAnsi="Arial" w:cs="Arial"/>
                <w:b/>
                <w:u w:val="single"/>
              </w:rPr>
              <w:t>83.00%</w:t>
            </w:r>
          </w:p>
          <w:p w14:paraId="77862FD5" w14:textId="77777777" w:rsidR="003B65B9" w:rsidRDefault="003B65B9" w:rsidP="002551C6">
            <w:pPr>
              <w:jc w:val="center"/>
              <w:rPr>
                <w:rFonts w:ascii="Arial" w:eastAsia="Calibri" w:hAnsi="Arial" w:cs="Arial"/>
                <w:b/>
                <w:u w:val="single"/>
              </w:rPr>
            </w:pPr>
          </w:p>
          <w:p w14:paraId="74A45CA6" w14:textId="60D4D8CF" w:rsidR="003B65B9" w:rsidRDefault="003B65B9" w:rsidP="002551C6">
            <w:pPr>
              <w:jc w:val="center"/>
              <w:rPr>
                <w:rFonts w:ascii="Arial" w:eastAsia="Calibri" w:hAnsi="Arial" w:cs="Arial"/>
                <w:b/>
                <w:u w:val="single"/>
              </w:rPr>
            </w:pPr>
            <w:r>
              <w:rPr>
                <w:rFonts w:ascii="Arial" w:eastAsia="Calibri" w:hAnsi="Arial" w:cs="Arial"/>
                <w:b/>
                <w:u w:val="single"/>
              </w:rPr>
              <w:t>91.00%</w:t>
            </w:r>
          </w:p>
        </w:tc>
        <w:tc>
          <w:tcPr>
            <w:tcW w:w="2042" w:type="dxa"/>
          </w:tcPr>
          <w:p w14:paraId="2067203D" w14:textId="77777777" w:rsidR="003B65B9" w:rsidRDefault="003B65B9" w:rsidP="002551C6">
            <w:pPr>
              <w:jc w:val="center"/>
              <w:rPr>
                <w:rFonts w:ascii="Arial" w:eastAsia="Calibri" w:hAnsi="Arial" w:cs="Arial"/>
                <w:b/>
                <w:u w:val="single"/>
              </w:rPr>
            </w:pPr>
          </w:p>
          <w:p w14:paraId="267C1886" w14:textId="77777777" w:rsidR="003B65B9" w:rsidRDefault="003B65B9" w:rsidP="002551C6">
            <w:pPr>
              <w:jc w:val="center"/>
              <w:rPr>
                <w:rFonts w:ascii="Arial" w:eastAsia="Calibri" w:hAnsi="Arial" w:cs="Arial"/>
                <w:b/>
                <w:u w:val="single"/>
              </w:rPr>
            </w:pPr>
          </w:p>
          <w:p w14:paraId="1264BE1A" w14:textId="77777777" w:rsidR="003B65B9" w:rsidRDefault="003B65B9" w:rsidP="002551C6">
            <w:pPr>
              <w:jc w:val="center"/>
              <w:rPr>
                <w:rFonts w:ascii="Arial" w:eastAsia="Calibri" w:hAnsi="Arial" w:cs="Arial"/>
                <w:b/>
                <w:u w:val="single"/>
              </w:rPr>
            </w:pPr>
          </w:p>
          <w:p w14:paraId="79DBEFC5" w14:textId="77777777" w:rsidR="003B65B9" w:rsidRDefault="003B65B9" w:rsidP="002551C6">
            <w:pPr>
              <w:jc w:val="center"/>
              <w:rPr>
                <w:rFonts w:ascii="Arial" w:eastAsia="Calibri" w:hAnsi="Arial" w:cs="Arial"/>
                <w:b/>
                <w:u w:val="single"/>
              </w:rPr>
            </w:pPr>
          </w:p>
          <w:p w14:paraId="24DE8D86" w14:textId="77777777" w:rsidR="003B65B9" w:rsidRDefault="003B65B9" w:rsidP="002551C6">
            <w:pPr>
              <w:jc w:val="center"/>
              <w:rPr>
                <w:rFonts w:ascii="Arial" w:eastAsia="Calibri" w:hAnsi="Arial" w:cs="Arial"/>
                <w:b/>
                <w:u w:val="single"/>
              </w:rPr>
            </w:pPr>
          </w:p>
          <w:p w14:paraId="49B1B3FC" w14:textId="53B04945" w:rsidR="003B65B9" w:rsidRDefault="003B65B9" w:rsidP="002551C6">
            <w:pPr>
              <w:jc w:val="center"/>
              <w:rPr>
                <w:rFonts w:ascii="Arial" w:eastAsia="Calibri" w:hAnsi="Arial" w:cs="Arial"/>
                <w:b/>
                <w:u w:val="single"/>
              </w:rPr>
            </w:pPr>
            <w:r>
              <w:rPr>
                <w:rFonts w:ascii="Arial" w:eastAsia="Calibri" w:hAnsi="Arial" w:cs="Arial"/>
                <w:b/>
                <w:u w:val="single"/>
              </w:rPr>
              <w:t>94.00%</w:t>
            </w:r>
          </w:p>
          <w:p w14:paraId="1AB598EC" w14:textId="6EC19121" w:rsidR="003B65B9" w:rsidRDefault="003B65B9" w:rsidP="002551C6">
            <w:pPr>
              <w:jc w:val="center"/>
              <w:rPr>
                <w:rFonts w:ascii="Arial" w:eastAsia="Calibri" w:hAnsi="Arial" w:cs="Arial"/>
                <w:b/>
                <w:u w:val="single"/>
              </w:rPr>
            </w:pPr>
            <w:r>
              <w:rPr>
                <w:rFonts w:ascii="Arial" w:eastAsia="Calibri" w:hAnsi="Arial" w:cs="Arial"/>
                <w:b/>
                <w:u w:val="single"/>
              </w:rPr>
              <w:t>72.00%</w:t>
            </w:r>
          </w:p>
          <w:p w14:paraId="14135DCB" w14:textId="77777777" w:rsidR="003B65B9" w:rsidRDefault="003B65B9" w:rsidP="002551C6">
            <w:pPr>
              <w:jc w:val="center"/>
              <w:rPr>
                <w:rFonts w:ascii="Arial" w:eastAsia="Calibri" w:hAnsi="Arial" w:cs="Arial"/>
                <w:b/>
                <w:u w:val="single"/>
              </w:rPr>
            </w:pPr>
          </w:p>
          <w:p w14:paraId="608330EF" w14:textId="5BC8CF1A" w:rsidR="003B65B9" w:rsidRDefault="003B65B9" w:rsidP="002551C6">
            <w:pPr>
              <w:jc w:val="center"/>
              <w:rPr>
                <w:rFonts w:ascii="Arial" w:eastAsia="Calibri" w:hAnsi="Arial" w:cs="Arial"/>
                <w:b/>
                <w:u w:val="single"/>
              </w:rPr>
            </w:pPr>
            <w:r>
              <w:rPr>
                <w:rFonts w:ascii="Arial" w:eastAsia="Calibri" w:hAnsi="Arial" w:cs="Arial"/>
                <w:b/>
                <w:u w:val="single"/>
              </w:rPr>
              <w:t>85.00%</w:t>
            </w:r>
          </w:p>
        </w:tc>
      </w:tr>
      <w:tr w:rsidR="00D108E0" w:rsidRPr="004B1294" w14:paraId="03F87BE6" w14:textId="77777777" w:rsidTr="00042E94">
        <w:tc>
          <w:tcPr>
            <w:tcW w:w="1550" w:type="dxa"/>
          </w:tcPr>
          <w:p w14:paraId="21203E08" w14:textId="2045137C" w:rsidR="00D108E0" w:rsidRDefault="00D108E0" w:rsidP="002551C6">
            <w:pPr>
              <w:jc w:val="center"/>
              <w:rPr>
                <w:rFonts w:ascii="Arial" w:hAnsi="Arial" w:cs="Arial"/>
                <w:b/>
              </w:rPr>
            </w:pPr>
            <w:r>
              <w:rPr>
                <w:rFonts w:ascii="Arial" w:hAnsi="Arial" w:cs="Arial"/>
                <w:b/>
              </w:rPr>
              <w:t>250</w:t>
            </w:r>
          </w:p>
        </w:tc>
        <w:tc>
          <w:tcPr>
            <w:tcW w:w="3255" w:type="dxa"/>
          </w:tcPr>
          <w:p w14:paraId="6EB5CBB7" w14:textId="456DCF76" w:rsidR="00D108E0" w:rsidRPr="00D108E0" w:rsidRDefault="00D108E0" w:rsidP="00D108E0">
            <w:pPr>
              <w:jc w:val="both"/>
              <w:rPr>
                <w:rFonts w:ascii="Arial" w:hAnsi="Arial" w:cs="Arial"/>
                <w:b/>
                <w:lang w:val="es-MX"/>
              </w:rPr>
            </w:pPr>
            <w:r w:rsidRPr="00D108E0">
              <w:rPr>
                <w:rFonts w:ascii="Arial" w:hAnsi="Arial" w:cs="Arial"/>
                <w:b/>
                <w:lang w:val="es-MX"/>
              </w:rPr>
              <w:t xml:space="preserve">MINISTERIO DE COMERCIO, </w:t>
            </w:r>
            <w:r w:rsidRPr="00D108E0">
              <w:rPr>
                <w:rFonts w:ascii="Arial" w:hAnsi="Arial" w:cs="Arial"/>
                <w:b/>
                <w:lang w:val="es-MX"/>
              </w:rPr>
              <w:lastRenderedPageBreak/>
              <w:t>INDUSTRIA Y TURISMO – MINCIT.</w:t>
            </w:r>
          </w:p>
          <w:p w14:paraId="6F8F1822" w14:textId="77777777" w:rsidR="00D108E0" w:rsidRDefault="00D108E0" w:rsidP="003B65B9">
            <w:pPr>
              <w:jc w:val="both"/>
              <w:rPr>
                <w:rFonts w:ascii="Arial" w:hAnsi="Arial" w:cs="Arial"/>
                <w:b/>
                <w:lang w:val="es-MX"/>
              </w:rPr>
            </w:pPr>
          </w:p>
          <w:p w14:paraId="410E72C2" w14:textId="77777777" w:rsidR="00D108E0" w:rsidRDefault="00D108E0" w:rsidP="00D108E0">
            <w:pPr>
              <w:jc w:val="both"/>
              <w:rPr>
                <w:rFonts w:ascii="Arial" w:hAnsi="Arial" w:cs="Arial"/>
                <w:b/>
                <w:lang w:val="es-MX"/>
              </w:rPr>
            </w:pPr>
            <w:r>
              <w:rPr>
                <w:rFonts w:ascii="Arial" w:hAnsi="Arial" w:cs="Arial"/>
                <w:b/>
                <w:lang w:val="es-MX"/>
              </w:rPr>
              <w:t>FUNCIONAMIENTO</w:t>
            </w:r>
          </w:p>
          <w:p w14:paraId="625544C8" w14:textId="77777777" w:rsidR="00D108E0" w:rsidRDefault="00D108E0" w:rsidP="00D108E0">
            <w:pPr>
              <w:jc w:val="both"/>
              <w:rPr>
                <w:rFonts w:ascii="Arial" w:hAnsi="Arial" w:cs="Arial"/>
                <w:b/>
                <w:lang w:val="es-MX"/>
              </w:rPr>
            </w:pPr>
            <w:r>
              <w:rPr>
                <w:rFonts w:ascii="Arial" w:hAnsi="Arial" w:cs="Arial"/>
                <w:b/>
                <w:lang w:val="es-MX"/>
              </w:rPr>
              <w:t>INVERSIÓN</w:t>
            </w:r>
          </w:p>
          <w:p w14:paraId="7C3C915B" w14:textId="77777777" w:rsidR="00D108E0" w:rsidRDefault="00D108E0" w:rsidP="00D108E0">
            <w:pPr>
              <w:jc w:val="both"/>
              <w:rPr>
                <w:rFonts w:ascii="Arial" w:hAnsi="Arial" w:cs="Arial"/>
                <w:b/>
                <w:lang w:val="es-MX"/>
              </w:rPr>
            </w:pPr>
          </w:p>
          <w:p w14:paraId="6CF88CC0" w14:textId="3AA1550F" w:rsidR="00D108E0" w:rsidRPr="003B65B9" w:rsidRDefault="00D108E0" w:rsidP="00D108E0">
            <w:pPr>
              <w:jc w:val="both"/>
              <w:rPr>
                <w:rFonts w:ascii="Arial" w:hAnsi="Arial" w:cs="Arial"/>
                <w:b/>
                <w:lang w:val="es-MX"/>
              </w:rPr>
            </w:pPr>
            <w:r>
              <w:rPr>
                <w:rFonts w:ascii="Arial" w:hAnsi="Arial" w:cs="Arial"/>
                <w:b/>
                <w:lang w:val="es-MX"/>
              </w:rPr>
              <w:t>TOTAL PRESUPUESTO</w:t>
            </w:r>
          </w:p>
        </w:tc>
        <w:tc>
          <w:tcPr>
            <w:tcW w:w="1839" w:type="dxa"/>
          </w:tcPr>
          <w:p w14:paraId="3958615A" w14:textId="77777777" w:rsidR="00D108E0" w:rsidRDefault="00D108E0" w:rsidP="00C95525">
            <w:pPr>
              <w:jc w:val="center"/>
              <w:rPr>
                <w:rFonts w:ascii="Arial" w:eastAsia="Calibri" w:hAnsi="Arial" w:cs="Arial"/>
                <w:b/>
                <w:u w:val="single"/>
              </w:rPr>
            </w:pPr>
          </w:p>
          <w:p w14:paraId="02B3F238" w14:textId="77777777" w:rsidR="00D108E0" w:rsidRDefault="00D108E0" w:rsidP="00C95525">
            <w:pPr>
              <w:jc w:val="center"/>
              <w:rPr>
                <w:rFonts w:ascii="Arial" w:eastAsia="Calibri" w:hAnsi="Arial" w:cs="Arial"/>
                <w:b/>
                <w:u w:val="single"/>
              </w:rPr>
            </w:pPr>
          </w:p>
          <w:p w14:paraId="1B2F9B96" w14:textId="77777777" w:rsidR="00D108E0" w:rsidRDefault="00D108E0" w:rsidP="00C95525">
            <w:pPr>
              <w:jc w:val="center"/>
              <w:rPr>
                <w:rFonts w:ascii="Arial" w:eastAsia="Calibri" w:hAnsi="Arial" w:cs="Arial"/>
                <w:b/>
                <w:u w:val="single"/>
              </w:rPr>
            </w:pPr>
          </w:p>
          <w:p w14:paraId="533D5ED7" w14:textId="77777777" w:rsidR="00D108E0" w:rsidRDefault="00D108E0" w:rsidP="00C95525">
            <w:pPr>
              <w:jc w:val="center"/>
              <w:rPr>
                <w:rFonts w:ascii="Arial" w:eastAsia="Calibri" w:hAnsi="Arial" w:cs="Arial"/>
                <w:b/>
                <w:u w:val="single"/>
              </w:rPr>
            </w:pPr>
          </w:p>
          <w:p w14:paraId="79FB0A6E" w14:textId="68A5B000" w:rsidR="00D108E0" w:rsidRDefault="00D108E0" w:rsidP="00C95525">
            <w:pPr>
              <w:jc w:val="center"/>
              <w:rPr>
                <w:rFonts w:ascii="Arial" w:eastAsia="Calibri" w:hAnsi="Arial" w:cs="Arial"/>
                <w:b/>
                <w:u w:val="single"/>
              </w:rPr>
            </w:pPr>
            <w:r>
              <w:rPr>
                <w:rFonts w:ascii="Arial" w:eastAsia="Calibri" w:hAnsi="Arial" w:cs="Arial"/>
                <w:b/>
                <w:u w:val="single"/>
              </w:rPr>
              <w:t>98.73%</w:t>
            </w:r>
          </w:p>
          <w:p w14:paraId="6968AF16" w14:textId="548414E7" w:rsidR="00D108E0" w:rsidRDefault="00D108E0" w:rsidP="00C95525">
            <w:pPr>
              <w:jc w:val="center"/>
              <w:rPr>
                <w:rFonts w:ascii="Arial" w:eastAsia="Calibri" w:hAnsi="Arial" w:cs="Arial"/>
                <w:b/>
                <w:u w:val="single"/>
              </w:rPr>
            </w:pPr>
            <w:r>
              <w:rPr>
                <w:rFonts w:ascii="Arial" w:eastAsia="Calibri" w:hAnsi="Arial" w:cs="Arial"/>
                <w:b/>
                <w:u w:val="single"/>
              </w:rPr>
              <w:t>98.07%</w:t>
            </w:r>
          </w:p>
          <w:p w14:paraId="76874B89" w14:textId="77777777" w:rsidR="00D108E0" w:rsidRDefault="00D108E0" w:rsidP="00C95525">
            <w:pPr>
              <w:jc w:val="center"/>
              <w:rPr>
                <w:rFonts w:ascii="Arial" w:eastAsia="Calibri" w:hAnsi="Arial" w:cs="Arial"/>
                <w:b/>
                <w:u w:val="single"/>
              </w:rPr>
            </w:pPr>
          </w:p>
          <w:p w14:paraId="163C8568" w14:textId="0E7EBCE1" w:rsidR="00D108E0" w:rsidRDefault="00D108E0" w:rsidP="00C95525">
            <w:pPr>
              <w:jc w:val="center"/>
              <w:rPr>
                <w:rFonts w:ascii="Arial" w:eastAsia="Calibri" w:hAnsi="Arial" w:cs="Arial"/>
                <w:b/>
                <w:u w:val="single"/>
              </w:rPr>
            </w:pPr>
            <w:r>
              <w:rPr>
                <w:rFonts w:ascii="Arial" w:eastAsia="Calibri" w:hAnsi="Arial" w:cs="Arial"/>
                <w:b/>
                <w:u w:val="single"/>
              </w:rPr>
              <w:t>98.61%</w:t>
            </w:r>
          </w:p>
        </w:tc>
        <w:tc>
          <w:tcPr>
            <w:tcW w:w="1804" w:type="dxa"/>
          </w:tcPr>
          <w:p w14:paraId="552EB0CB" w14:textId="77777777" w:rsidR="00D108E0" w:rsidRDefault="00D108E0" w:rsidP="002551C6">
            <w:pPr>
              <w:jc w:val="center"/>
              <w:rPr>
                <w:rFonts w:ascii="Arial" w:eastAsia="Calibri" w:hAnsi="Arial" w:cs="Arial"/>
                <w:b/>
                <w:u w:val="single"/>
              </w:rPr>
            </w:pPr>
          </w:p>
          <w:p w14:paraId="11131D43" w14:textId="77777777" w:rsidR="00D108E0" w:rsidRDefault="00D108E0" w:rsidP="002551C6">
            <w:pPr>
              <w:jc w:val="center"/>
              <w:rPr>
                <w:rFonts w:ascii="Arial" w:eastAsia="Calibri" w:hAnsi="Arial" w:cs="Arial"/>
                <w:b/>
                <w:u w:val="single"/>
              </w:rPr>
            </w:pPr>
          </w:p>
          <w:p w14:paraId="789FE056" w14:textId="77777777" w:rsidR="00D108E0" w:rsidRDefault="00D108E0" w:rsidP="002551C6">
            <w:pPr>
              <w:jc w:val="center"/>
              <w:rPr>
                <w:rFonts w:ascii="Arial" w:eastAsia="Calibri" w:hAnsi="Arial" w:cs="Arial"/>
                <w:b/>
                <w:u w:val="single"/>
              </w:rPr>
            </w:pPr>
          </w:p>
          <w:p w14:paraId="2A772EA5" w14:textId="77777777" w:rsidR="00D108E0" w:rsidRDefault="00D108E0" w:rsidP="002551C6">
            <w:pPr>
              <w:jc w:val="center"/>
              <w:rPr>
                <w:rFonts w:ascii="Arial" w:eastAsia="Calibri" w:hAnsi="Arial" w:cs="Arial"/>
                <w:b/>
                <w:u w:val="single"/>
              </w:rPr>
            </w:pPr>
          </w:p>
          <w:p w14:paraId="2E079F0D" w14:textId="499A3422" w:rsidR="00D108E0" w:rsidRDefault="00D108E0" w:rsidP="002551C6">
            <w:pPr>
              <w:jc w:val="center"/>
              <w:rPr>
                <w:rFonts w:ascii="Arial" w:eastAsia="Calibri" w:hAnsi="Arial" w:cs="Arial"/>
                <w:b/>
                <w:u w:val="single"/>
              </w:rPr>
            </w:pPr>
            <w:r>
              <w:rPr>
                <w:rFonts w:ascii="Arial" w:eastAsia="Calibri" w:hAnsi="Arial" w:cs="Arial"/>
                <w:b/>
                <w:u w:val="single"/>
              </w:rPr>
              <w:t>69.90%</w:t>
            </w:r>
          </w:p>
          <w:p w14:paraId="050451B1" w14:textId="2CA66806" w:rsidR="00D108E0" w:rsidRDefault="00D108E0" w:rsidP="002551C6">
            <w:pPr>
              <w:jc w:val="center"/>
              <w:rPr>
                <w:rFonts w:ascii="Arial" w:eastAsia="Calibri" w:hAnsi="Arial" w:cs="Arial"/>
                <w:b/>
                <w:u w:val="single"/>
              </w:rPr>
            </w:pPr>
            <w:r>
              <w:rPr>
                <w:rFonts w:ascii="Arial" w:eastAsia="Calibri" w:hAnsi="Arial" w:cs="Arial"/>
                <w:b/>
                <w:u w:val="single"/>
              </w:rPr>
              <w:t>22.29%</w:t>
            </w:r>
          </w:p>
          <w:p w14:paraId="573C928E" w14:textId="77777777" w:rsidR="00D108E0" w:rsidRDefault="00D108E0" w:rsidP="002551C6">
            <w:pPr>
              <w:jc w:val="center"/>
              <w:rPr>
                <w:rFonts w:ascii="Arial" w:eastAsia="Calibri" w:hAnsi="Arial" w:cs="Arial"/>
                <w:b/>
                <w:u w:val="single"/>
              </w:rPr>
            </w:pPr>
          </w:p>
          <w:p w14:paraId="2AD6B0BD" w14:textId="31920F03" w:rsidR="00D108E0" w:rsidRDefault="00D108E0" w:rsidP="002551C6">
            <w:pPr>
              <w:jc w:val="center"/>
              <w:rPr>
                <w:rFonts w:ascii="Arial" w:eastAsia="Calibri" w:hAnsi="Arial" w:cs="Arial"/>
                <w:b/>
                <w:u w:val="single"/>
              </w:rPr>
            </w:pPr>
            <w:r>
              <w:rPr>
                <w:rFonts w:ascii="Arial" w:eastAsia="Calibri" w:hAnsi="Arial" w:cs="Arial"/>
                <w:b/>
                <w:u w:val="single"/>
              </w:rPr>
              <w:t>60.74%</w:t>
            </w:r>
          </w:p>
        </w:tc>
        <w:tc>
          <w:tcPr>
            <w:tcW w:w="2042" w:type="dxa"/>
          </w:tcPr>
          <w:p w14:paraId="2C180264" w14:textId="77777777" w:rsidR="00D108E0" w:rsidRDefault="00D108E0" w:rsidP="002551C6">
            <w:pPr>
              <w:jc w:val="center"/>
              <w:rPr>
                <w:rFonts w:ascii="Arial" w:eastAsia="Calibri" w:hAnsi="Arial" w:cs="Arial"/>
                <w:b/>
                <w:u w:val="single"/>
              </w:rPr>
            </w:pPr>
          </w:p>
          <w:p w14:paraId="6AEEA2CF" w14:textId="77777777" w:rsidR="00D108E0" w:rsidRDefault="00D108E0" w:rsidP="002551C6">
            <w:pPr>
              <w:jc w:val="center"/>
              <w:rPr>
                <w:rFonts w:ascii="Arial" w:eastAsia="Calibri" w:hAnsi="Arial" w:cs="Arial"/>
                <w:b/>
                <w:u w:val="single"/>
              </w:rPr>
            </w:pPr>
          </w:p>
          <w:p w14:paraId="031D0C30" w14:textId="77777777" w:rsidR="00D108E0" w:rsidRDefault="00D108E0" w:rsidP="002551C6">
            <w:pPr>
              <w:jc w:val="center"/>
              <w:rPr>
                <w:rFonts w:ascii="Arial" w:eastAsia="Calibri" w:hAnsi="Arial" w:cs="Arial"/>
                <w:b/>
                <w:u w:val="single"/>
              </w:rPr>
            </w:pPr>
          </w:p>
          <w:p w14:paraId="3BF20DEF" w14:textId="77777777" w:rsidR="00D108E0" w:rsidRDefault="00D108E0" w:rsidP="002551C6">
            <w:pPr>
              <w:jc w:val="center"/>
              <w:rPr>
                <w:rFonts w:ascii="Arial" w:eastAsia="Calibri" w:hAnsi="Arial" w:cs="Arial"/>
                <w:b/>
                <w:u w:val="single"/>
              </w:rPr>
            </w:pPr>
          </w:p>
          <w:p w14:paraId="2C532AD1" w14:textId="7995077D" w:rsidR="00D108E0" w:rsidRDefault="00D108E0" w:rsidP="002551C6">
            <w:pPr>
              <w:jc w:val="center"/>
              <w:rPr>
                <w:rFonts w:ascii="Arial" w:eastAsia="Calibri" w:hAnsi="Arial" w:cs="Arial"/>
                <w:b/>
                <w:u w:val="single"/>
              </w:rPr>
            </w:pPr>
            <w:r>
              <w:rPr>
                <w:rFonts w:ascii="Arial" w:eastAsia="Calibri" w:hAnsi="Arial" w:cs="Arial"/>
                <w:b/>
                <w:u w:val="single"/>
              </w:rPr>
              <w:t>69.86%</w:t>
            </w:r>
          </w:p>
          <w:p w14:paraId="0F84654C" w14:textId="46D829F2" w:rsidR="00D108E0" w:rsidRDefault="00D108E0" w:rsidP="002551C6">
            <w:pPr>
              <w:jc w:val="center"/>
              <w:rPr>
                <w:rFonts w:ascii="Arial" w:eastAsia="Calibri" w:hAnsi="Arial" w:cs="Arial"/>
                <w:b/>
                <w:u w:val="single"/>
              </w:rPr>
            </w:pPr>
            <w:r>
              <w:rPr>
                <w:rFonts w:ascii="Arial" w:eastAsia="Calibri" w:hAnsi="Arial" w:cs="Arial"/>
                <w:b/>
                <w:u w:val="single"/>
              </w:rPr>
              <w:t>22.29%</w:t>
            </w:r>
          </w:p>
          <w:p w14:paraId="4D601571" w14:textId="77777777" w:rsidR="00D108E0" w:rsidRDefault="00D108E0" w:rsidP="002551C6">
            <w:pPr>
              <w:jc w:val="center"/>
              <w:rPr>
                <w:rFonts w:ascii="Arial" w:eastAsia="Calibri" w:hAnsi="Arial" w:cs="Arial"/>
                <w:b/>
                <w:u w:val="single"/>
              </w:rPr>
            </w:pPr>
          </w:p>
          <w:p w14:paraId="094700DB" w14:textId="16EB9080" w:rsidR="00D108E0" w:rsidRDefault="00D108E0" w:rsidP="002551C6">
            <w:pPr>
              <w:jc w:val="center"/>
              <w:rPr>
                <w:rFonts w:ascii="Arial" w:eastAsia="Calibri" w:hAnsi="Arial" w:cs="Arial"/>
                <w:b/>
                <w:u w:val="single"/>
              </w:rPr>
            </w:pPr>
            <w:r>
              <w:rPr>
                <w:rFonts w:ascii="Arial" w:eastAsia="Calibri" w:hAnsi="Arial" w:cs="Arial"/>
                <w:b/>
                <w:u w:val="single"/>
              </w:rPr>
              <w:t>60.74%</w:t>
            </w:r>
          </w:p>
        </w:tc>
      </w:tr>
      <w:tr w:rsidR="00203089" w:rsidRPr="004B1294" w14:paraId="21D2EB13" w14:textId="77777777" w:rsidTr="00042E94">
        <w:tc>
          <w:tcPr>
            <w:tcW w:w="1550" w:type="dxa"/>
          </w:tcPr>
          <w:p w14:paraId="2CC1067F" w14:textId="7468519D" w:rsidR="00203089" w:rsidRDefault="00203089" w:rsidP="002551C6">
            <w:pPr>
              <w:jc w:val="center"/>
              <w:rPr>
                <w:rFonts w:ascii="Arial" w:hAnsi="Arial" w:cs="Arial"/>
                <w:b/>
              </w:rPr>
            </w:pPr>
            <w:r>
              <w:rPr>
                <w:rFonts w:ascii="Arial" w:hAnsi="Arial" w:cs="Arial"/>
                <w:b/>
              </w:rPr>
              <w:lastRenderedPageBreak/>
              <w:t>253</w:t>
            </w:r>
          </w:p>
        </w:tc>
        <w:tc>
          <w:tcPr>
            <w:tcW w:w="3255" w:type="dxa"/>
          </w:tcPr>
          <w:p w14:paraId="3390E95C" w14:textId="4E7FBB64" w:rsidR="00203089" w:rsidRPr="00203089" w:rsidRDefault="00203089" w:rsidP="00203089">
            <w:pPr>
              <w:jc w:val="both"/>
              <w:rPr>
                <w:rFonts w:ascii="Arial" w:hAnsi="Arial" w:cs="Arial"/>
                <w:b/>
                <w:lang w:val="es-MX"/>
              </w:rPr>
            </w:pPr>
            <w:r w:rsidRPr="00203089">
              <w:rPr>
                <w:rFonts w:ascii="Arial" w:hAnsi="Arial" w:cs="Arial"/>
                <w:b/>
                <w:lang w:val="es-MX"/>
              </w:rPr>
              <w:t>UNIDAD PARA LA ATENCIÓN Y REPARACIÓN INTEGRAL A LAS VÍCTIMAS.</w:t>
            </w:r>
          </w:p>
          <w:p w14:paraId="036B7F94" w14:textId="77777777" w:rsidR="00203089" w:rsidRDefault="00203089" w:rsidP="00D108E0">
            <w:pPr>
              <w:jc w:val="both"/>
              <w:rPr>
                <w:rFonts w:ascii="Arial" w:hAnsi="Arial" w:cs="Arial"/>
                <w:b/>
                <w:lang w:val="es-MX"/>
              </w:rPr>
            </w:pPr>
          </w:p>
          <w:p w14:paraId="63DD5E61" w14:textId="77777777" w:rsidR="00203089" w:rsidRDefault="00203089" w:rsidP="00203089">
            <w:pPr>
              <w:jc w:val="both"/>
              <w:rPr>
                <w:rFonts w:ascii="Arial" w:hAnsi="Arial" w:cs="Arial"/>
                <w:b/>
                <w:lang w:val="es-MX"/>
              </w:rPr>
            </w:pPr>
            <w:r>
              <w:rPr>
                <w:rFonts w:ascii="Arial" w:hAnsi="Arial" w:cs="Arial"/>
                <w:b/>
                <w:lang w:val="es-MX"/>
              </w:rPr>
              <w:t>FUNCIONAMIENTO</w:t>
            </w:r>
          </w:p>
          <w:p w14:paraId="3E7AA434" w14:textId="77777777" w:rsidR="00203089" w:rsidRDefault="00203089" w:rsidP="00203089">
            <w:pPr>
              <w:jc w:val="both"/>
              <w:rPr>
                <w:rFonts w:ascii="Arial" w:hAnsi="Arial" w:cs="Arial"/>
                <w:b/>
                <w:lang w:val="es-MX"/>
              </w:rPr>
            </w:pPr>
            <w:r>
              <w:rPr>
                <w:rFonts w:ascii="Arial" w:hAnsi="Arial" w:cs="Arial"/>
                <w:b/>
                <w:lang w:val="es-MX"/>
              </w:rPr>
              <w:t>INVERSIÓN</w:t>
            </w:r>
          </w:p>
          <w:p w14:paraId="01FA2720" w14:textId="77777777" w:rsidR="00203089" w:rsidRDefault="00203089" w:rsidP="00203089">
            <w:pPr>
              <w:jc w:val="both"/>
              <w:rPr>
                <w:rFonts w:ascii="Arial" w:hAnsi="Arial" w:cs="Arial"/>
                <w:b/>
                <w:lang w:val="es-MX"/>
              </w:rPr>
            </w:pPr>
          </w:p>
          <w:p w14:paraId="0423033E" w14:textId="74BBADFE" w:rsidR="00203089" w:rsidRPr="00203089" w:rsidRDefault="00203089" w:rsidP="00203089">
            <w:pPr>
              <w:jc w:val="both"/>
              <w:rPr>
                <w:rFonts w:ascii="Arial" w:hAnsi="Arial" w:cs="Arial"/>
                <w:b/>
                <w:lang w:val="es-MX"/>
              </w:rPr>
            </w:pPr>
            <w:r>
              <w:rPr>
                <w:rFonts w:ascii="Arial" w:hAnsi="Arial" w:cs="Arial"/>
                <w:b/>
                <w:lang w:val="es-MX"/>
              </w:rPr>
              <w:t>TOTAL PRESUPUESTO</w:t>
            </w:r>
          </w:p>
        </w:tc>
        <w:tc>
          <w:tcPr>
            <w:tcW w:w="1839" w:type="dxa"/>
          </w:tcPr>
          <w:p w14:paraId="5B75E6AE" w14:textId="77777777" w:rsidR="00203089" w:rsidRDefault="00203089" w:rsidP="00C95525">
            <w:pPr>
              <w:jc w:val="center"/>
              <w:rPr>
                <w:rFonts w:ascii="Arial" w:eastAsia="Calibri" w:hAnsi="Arial" w:cs="Arial"/>
                <w:b/>
                <w:u w:val="single"/>
              </w:rPr>
            </w:pPr>
          </w:p>
          <w:p w14:paraId="349DC970" w14:textId="77777777" w:rsidR="00203089" w:rsidRDefault="00203089" w:rsidP="00C95525">
            <w:pPr>
              <w:jc w:val="center"/>
              <w:rPr>
                <w:rFonts w:ascii="Arial" w:eastAsia="Calibri" w:hAnsi="Arial" w:cs="Arial"/>
                <w:b/>
                <w:u w:val="single"/>
              </w:rPr>
            </w:pPr>
          </w:p>
          <w:p w14:paraId="1D97EA78" w14:textId="77777777" w:rsidR="00203089" w:rsidRDefault="00203089" w:rsidP="00C95525">
            <w:pPr>
              <w:jc w:val="center"/>
              <w:rPr>
                <w:rFonts w:ascii="Arial" w:eastAsia="Calibri" w:hAnsi="Arial" w:cs="Arial"/>
                <w:b/>
                <w:u w:val="single"/>
              </w:rPr>
            </w:pPr>
          </w:p>
          <w:p w14:paraId="00768BD7" w14:textId="77777777" w:rsidR="00203089" w:rsidRDefault="00203089" w:rsidP="00C95525">
            <w:pPr>
              <w:jc w:val="center"/>
              <w:rPr>
                <w:rFonts w:ascii="Arial" w:eastAsia="Calibri" w:hAnsi="Arial" w:cs="Arial"/>
                <w:b/>
                <w:u w:val="single"/>
              </w:rPr>
            </w:pPr>
          </w:p>
          <w:p w14:paraId="3BB54B8E" w14:textId="1EA0493F" w:rsidR="00203089" w:rsidRDefault="00203089" w:rsidP="00C95525">
            <w:pPr>
              <w:jc w:val="center"/>
              <w:rPr>
                <w:rFonts w:ascii="Arial" w:eastAsia="Calibri" w:hAnsi="Arial" w:cs="Arial"/>
                <w:b/>
                <w:u w:val="single"/>
              </w:rPr>
            </w:pPr>
            <w:r>
              <w:rPr>
                <w:rFonts w:ascii="Arial" w:eastAsia="Calibri" w:hAnsi="Arial" w:cs="Arial"/>
                <w:b/>
                <w:u w:val="single"/>
              </w:rPr>
              <w:t>96.00%</w:t>
            </w:r>
          </w:p>
          <w:p w14:paraId="32B06ED8" w14:textId="0F87AB16" w:rsidR="00203089" w:rsidRDefault="00203089" w:rsidP="00C95525">
            <w:pPr>
              <w:jc w:val="center"/>
              <w:rPr>
                <w:rFonts w:ascii="Arial" w:eastAsia="Calibri" w:hAnsi="Arial" w:cs="Arial"/>
                <w:b/>
                <w:u w:val="single"/>
              </w:rPr>
            </w:pPr>
            <w:r>
              <w:rPr>
                <w:rFonts w:ascii="Arial" w:eastAsia="Calibri" w:hAnsi="Arial" w:cs="Arial"/>
                <w:b/>
                <w:u w:val="single"/>
              </w:rPr>
              <w:t>98.00%</w:t>
            </w:r>
          </w:p>
          <w:p w14:paraId="4FC367AF" w14:textId="77777777" w:rsidR="00203089" w:rsidRDefault="00203089" w:rsidP="00C95525">
            <w:pPr>
              <w:jc w:val="center"/>
              <w:rPr>
                <w:rFonts w:ascii="Arial" w:eastAsia="Calibri" w:hAnsi="Arial" w:cs="Arial"/>
                <w:b/>
                <w:u w:val="single"/>
              </w:rPr>
            </w:pPr>
          </w:p>
          <w:p w14:paraId="4E40117A" w14:textId="50EEEFF1" w:rsidR="00203089" w:rsidRDefault="00203089" w:rsidP="00C95525">
            <w:pPr>
              <w:jc w:val="center"/>
              <w:rPr>
                <w:rFonts w:ascii="Arial" w:eastAsia="Calibri" w:hAnsi="Arial" w:cs="Arial"/>
                <w:b/>
                <w:u w:val="single"/>
              </w:rPr>
            </w:pPr>
            <w:r>
              <w:rPr>
                <w:rFonts w:ascii="Arial" w:eastAsia="Calibri" w:hAnsi="Arial" w:cs="Arial"/>
                <w:b/>
                <w:u w:val="single"/>
              </w:rPr>
              <w:t>97.00%</w:t>
            </w:r>
          </w:p>
        </w:tc>
        <w:tc>
          <w:tcPr>
            <w:tcW w:w="1804" w:type="dxa"/>
          </w:tcPr>
          <w:p w14:paraId="7FFF4C8A" w14:textId="77777777" w:rsidR="00203089" w:rsidRDefault="00203089" w:rsidP="002551C6">
            <w:pPr>
              <w:jc w:val="center"/>
              <w:rPr>
                <w:rFonts w:ascii="Arial" w:eastAsia="Calibri" w:hAnsi="Arial" w:cs="Arial"/>
                <w:b/>
                <w:u w:val="single"/>
              </w:rPr>
            </w:pPr>
          </w:p>
          <w:p w14:paraId="261D06F4" w14:textId="77777777" w:rsidR="00203089" w:rsidRDefault="00203089" w:rsidP="002551C6">
            <w:pPr>
              <w:jc w:val="center"/>
              <w:rPr>
                <w:rFonts w:ascii="Arial" w:eastAsia="Calibri" w:hAnsi="Arial" w:cs="Arial"/>
                <w:b/>
                <w:u w:val="single"/>
              </w:rPr>
            </w:pPr>
          </w:p>
          <w:p w14:paraId="252930B4" w14:textId="77777777" w:rsidR="00203089" w:rsidRDefault="00203089" w:rsidP="002551C6">
            <w:pPr>
              <w:jc w:val="center"/>
              <w:rPr>
                <w:rFonts w:ascii="Arial" w:eastAsia="Calibri" w:hAnsi="Arial" w:cs="Arial"/>
                <w:b/>
                <w:u w:val="single"/>
              </w:rPr>
            </w:pPr>
          </w:p>
          <w:p w14:paraId="42AC9966" w14:textId="77777777" w:rsidR="00203089" w:rsidRDefault="00203089" w:rsidP="002551C6">
            <w:pPr>
              <w:jc w:val="center"/>
              <w:rPr>
                <w:rFonts w:ascii="Arial" w:eastAsia="Calibri" w:hAnsi="Arial" w:cs="Arial"/>
                <w:b/>
                <w:u w:val="single"/>
              </w:rPr>
            </w:pPr>
          </w:p>
          <w:p w14:paraId="0C7CD9EE" w14:textId="38464F57" w:rsidR="00203089" w:rsidRDefault="00203089" w:rsidP="002551C6">
            <w:pPr>
              <w:jc w:val="center"/>
              <w:rPr>
                <w:rFonts w:ascii="Arial" w:eastAsia="Calibri" w:hAnsi="Arial" w:cs="Arial"/>
                <w:b/>
                <w:u w:val="single"/>
              </w:rPr>
            </w:pPr>
            <w:r>
              <w:rPr>
                <w:rFonts w:ascii="Arial" w:eastAsia="Calibri" w:hAnsi="Arial" w:cs="Arial"/>
                <w:b/>
                <w:u w:val="single"/>
              </w:rPr>
              <w:t>44.00%</w:t>
            </w:r>
          </w:p>
          <w:p w14:paraId="0C869EF2" w14:textId="2C455F50" w:rsidR="00203089" w:rsidRDefault="00203089" w:rsidP="002551C6">
            <w:pPr>
              <w:jc w:val="center"/>
              <w:rPr>
                <w:rFonts w:ascii="Arial" w:eastAsia="Calibri" w:hAnsi="Arial" w:cs="Arial"/>
                <w:b/>
                <w:u w:val="single"/>
              </w:rPr>
            </w:pPr>
            <w:r>
              <w:rPr>
                <w:rFonts w:ascii="Arial" w:eastAsia="Calibri" w:hAnsi="Arial" w:cs="Arial"/>
                <w:b/>
                <w:u w:val="single"/>
              </w:rPr>
              <w:t>59.00%</w:t>
            </w:r>
          </w:p>
          <w:p w14:paraId="5D76F983" w14:textId="77777777" w:rsidR="00203089" w:rsidRDefault="00203089" w:rsidP="002551C6">
            <w:pPr>
              <w:jc w:val="center"/>
              <w:rPr>
                <w:rFonts w:ascii="Arial" w:eastAsia="Calibri" w:hAnsi="Arial" w:cs="Arial"/>
                <w:b/>
                <w:u w:val="single"/>
              </w:rPr>
            </w:pPr>
          </w:p>
          <w:p w14:paraId="0AEB58C1" w14:textId="14D0CF31" w:rsidR="00203089" w:rsidRDefault="00203089" w:rsidP="002551C6">
            <w:pPr>
              <w:jc w:val="center"/>
              <w:rPr>
                <w:rFonts w:ascii="Arial" w:eastAsia="Calibri" w:hAnsi="Arial" w:cs="Arial"/>
                <w:b/>
                <w:u w:val="single"/>
              </w:rPr>
            </w:pPr>
            <w:r>
              <w:rPr>
                <w:rFonts w:ascii="Arial" w:eastAsia="Calibri" w:hAnsi="Arial" w:cs="Arial"/>
                <w:b/>
                <w:u w:val="single"/>
              </w:rPr>
              <w:t>52.00%</w:t>
            </w:r>
          </w:p>
        </w:tc>
        <w:tc>
          <w:tcPr>
            <w:tcW w:w="2042" w:type="dxa"/>
          </w:tcPr>
          <w:p w14:paraId="4A449CC9" w14:textId="77777777" w:rsidR="00203089" w:rsidRDefault="00203089" w:rsidP="002551C6">
            <w:pPr>
              <w:jc w:val="center"/>
              <w:rPr>
                <w:rFonts w:ascii="Arial" w:eastAsia="Calibri" w:hAnsi="Arial" w:cs="Arial"/>
                <w:b/>
                <w:u w:val="single"/>
              </w:rPr>
            </w:pPr>
          </w:p>
          <w:p w14:paraId="33EF7141" w14:textId="77777777" w:rsidR="00203089" w:rsidRDefault="00203089" w:rsidP="002551C6">
            <w:pPr>
              <w:jc w:val="center"/>
              <w:rPr>
                <w:rFonts w:ascii="Arial" w:eastAsia="Calibri" w:hAnsi="Arial" w:cs="Arial"/>
                <w:b/>
                <w:u w:val="single"/>
              </w:rPr>
            </w:pPr>
          </w:p>
          <w:p w14:paraId="253BB514" w14:textId="77777777" w:rsidR="00203089" w:rsidRDefault="00203089" w:rsidP="002551C6">
            <w:pPr>
              <w:jc w:val="center"/>
              <w:rPr>
                <w:rFonts w:ascii="Arial" w:eastAsia="Calibri" w:hAnsi="Arial" w:cs="Arial"/>
                <w:b/>
                <w:u w:val="single"/>
              </w:rPr>
            </w:pPr>
          </w:p>
          <w:p w14:paraId="23296AE6" w14:textId="77777777" w:rsidR="00203089" w:rsidRDefault="00203089" w:rsidP="002551C6">
            <w:pPr>
              <w:jc w:val="center"/>
              <w:rPr>
                <w:rFonts w:ascii="Arial" w:eastAsia="Calibri" w:hAnsi="Arial" w:cs="Arial"/>
                <w:b/>
                <w:u w:val="single"/>
              </w:rPr>
            </w:pPr>
          </w:p>
          <w:p w14:paraId="44BFAAE2" w14:textId="7F7FD46F" w:rsidR="00203089" w:rsidRDefault="00203089" w:rsidP="002551C6">
            <w:pPr>
              <w:jc w:val="center"/>
              <w:rPr>
                <w:rFonts w:ascii="Arial" w:eastAsia="Calibri" w:hAnsi="Arial" w:cs="Arial"/>
                <w:b/>
                <w:u w:val="single"/>
              </w:rPr>
            </w:pPr>
            <w:r>
              <w:rPr>
                <w:rFonts w:ascii="Arial" w:eastAsia="Calibri" w:hAnsi="Arial" w:cs="Arial"/>
                <w:b/>
                <w:u w:val="single"/>
              </w:rPr>
              <w:t>44.00%</w:t>
            </w:r>
          </w:p>
          <w:p w14:paraId="3A9FAC3E" w14:textId="78CDAF59" w:rsidR="00203089" w:rsidRDefault="00203089" w:rsidP="002551C6">
            <w:pPr>
              <w:jc w:val="center"/>
              <w:rPr>
                <w:rFonts w:ascii="Arial" w:eastAsia="Calibri" w:hAnsi="Arial" w:cs="Arial"/>
                <w:b/>
                <w:u w:val="single"/>
              </w:rPr>
            </w:pPr>
            <w:r>
              <w:rPr>
                <w:rFonts w:ascii="Arial" w:eastAsia="Calibri" w:hAnsi="Arial" w:cs="Arial"/>
                <w:b/>
                <w:u w:val="single"/>
              </w:rPr>
              <w:t>59.00%</w:t>
            </w:r>
          </w:p>
          <w:p w14:paraId="76D278BC" w14:textId="77777777" w:rsidR="00203089" w:rsidRDefault="00203089" w:rsidP="002551C6">
            <w:pPr>
              <w:jc w:val="center"/>
              <w:rPr>
                <w:rFonts w:ascii="Arial" w:eastAsia="Calibri" w:hAnsi="Arial" w:cs="Arial"/>
                <w:b/>
                <w:u w:val="single"/>
              </w:rPr>
            </w:pPr>
          </w:p>
          <w:p w14:paraId="01B89904" w14:textId="259E7A7C" w:rsidR="00203089" w:rsidRDefault="00203089" w:rsidP="002551C6">
            <w:pPr>
              <w:jc w:val="center"/>
              <w:rPr>
                <w:rFonts w:ascii="Arial" w:eastAsia="Calibri" w:hAnsi="Arial" w:cs="Arial"/>
                <w:b/>
                <w:u w:val="single"/>
              </w:rPr>
            </w:pPr>
            <w:r>
              <w:rPr>
                <w:rFonts w:ascii="Arial" w:eastAsia="Calibri" w:hAnsi="Arial" w:cs="Arial"/>
                <w:b/>
                <w:u w:val="single"/>
              </w:rPr>
              <w:t>52.00%</w:t>
            </w:r>
          </w:p>
        </w:tc>
      </w:tr>
      <w:tr w:rsidR="00AB743B" w:rsidRPr="004B1294" w14:paraId="21DEA3F8" w14:textId="77777777" w:rsidTr="00042E94">
        <w:tc>
          <w:tcPr>
            <w:tcW w:w="1550" w:type="dxa"/>
          </w:tcPr>
          <w:p w14:paraId="725793E9" w14:textId="1B0054DE" w:rsidR="00AB743B" w:rsidRDefault="00AB743B" w:rsidP="002551C6">
            <w:pPr>
              <w:jc w:val="center"/>
              <w:rPr>
                <w:rFonts w:ascii="Arial" w:hAnsi="Arial" w:cs="Arial"/>
                <w:b/>
              </w:rPr>
            </w:pPr>
            <w:r>
              <w:rPr>
                <w:rFonts w:ascii="Arial" w:hAnsi="Arial" w:cs="Arial"/>
                <w:b/>
              </w:rPr>
              <w:t>256</w:t>
            </w:r>
          </w:p>
        </w:tc>
        <w:tc>
          <w:tcPr>
            <w:tcW w:w="3255" w:type="dxa"/>
          </w:tcPr>
          <w:p w14:paraId="75451996" w14:textId="055FD414" w:rsidR="00AB743B" w:rsidRPr="00AB743B" w:rsidRDefault="00AB743B" w:rsidP="00AB743B">
            <w:pPr>
              <w:jc w:val="both"/>
              <w:rPr>
                <w:rFonts w:ascii="Arial" w:hAnsi="Arial" w:cs="Arial"/>
                <w:b/>
                <w:lang w:val="es-MX"/>
              </w:rPr>
            </w:pPr>
            <w:r w:rsidRPr="00AB743B">
              <w:rPr>
                <w:rFonts w:ascii="Arial" w:hAnsi="Arial" w:cs="Arial"/>
                <w:b/>
                <w:lang w:val="es-MX"/>
              </w:rPr>
              <w:t xml:space="preserve">U.A.E. DE GESTIÓN PENSIONAL Y CONTRIBUCIONES PARAFISCALES DE LA PROTECCIÓN SOCIAL – UGPP. </w:t>
            </w:r>
          </w:p>
          <w:p w14:paraId="05347835" w14:textId="77777777" w:rsidR="00AB743B" w:rsidRDefault="00AB743B" w:rsidP="00203089">
            <w:pPr>
              <w:jc w:val="both"/>
              <w:rPr>
                <w:rFonts w:ascii="Arial" w:hAnsi="Arial" w:cs="Arial"/>
                <w:b/>
                <w:lang w:val="es-MX"/>
              </w:rPr>
            </w:pPr>
          </w:p>
          <w:p w14:paraId="260FDB52" w14:textId="77777777" w:rsidR="00AB743B" w:rsidRDefault="00AB743B" w:rsidP="00AB743B">
            <w:pPr>
              <w:jc w:val="both"/>
              <w:rPr>
                <w:rFonts w:ascii="Arial" w:hAnsi="Arial" w:cs="Arial"/>
                <w:b/>
                <w:lang w:val="es-MX"/>
              </w:rPr>
            </w:pPr>
            <w:r>
              <w:rPr>
                <w:rFonts w:ascii="Arial" w:hAnsi="Arial" w:cs="Arial"/>
                <w:b/>
                <w:lang w:val="es-MX"/>
              </w:rPr>
              <w:t>FUNCIONAMIENTO</w:t>
            </w:r>
          </w:p>
          <w:p w14:paraId="495D9974" w14:textId="57EAF223" w:rsidR="00AB743B" w:rsidRDefault="00AB743B" w:rsidP="00AB743B">
            <w:pPr>
              <w:jc w:val="both"/>
              <w:rPr>
                <w:rFonts w:ascii="Arial" w:hAnsi="Arial" w:cs="Arial"/>
                <w:b/>
                <w:lang w:val="es-MX"/>
              </w:rPr>
            </w:pPr>
            <w:r>
              <w:rPr>
                <w:rFonts w:ascii="Arial" w:hAnsi="Arial" w:cs="Arial"/>
                <w:b/>
                <w:lang w:val="es-MX"/>
              </w:rPr>
              <w:t>INVERSIÓN</w:t>
            </w:r>
          </w:p>
          <w:p w14:paraId="6B5800D4" w14:textId="77777777" w:rsidR="00F6104B" w:rsidRDefault="00F6104B" w:rsidP="00AB743B">
            <w:pPr>
              <w:jc w:val="both"/>
              <w:rPr>
                <w:rFonts w:ascii="Arial" w:hAnsi="Arial" w:cs="Arial"/>
                <w:b/>
                <w:lang w:val="es-MX"/>
              </w:rPr>
            </w:pPr>
          </w:p>
          <w:p w14:paraId="24D25718" w14:textId="4BFAAF05" w:rsidR="00AB743B" w:rsidRPr="00203089" w:rsidRDefault="00AB743B" w:rsidP="00AB743B">
            <w:pPr>
              <w:jc w:val="both"/>
              <w:rPr>
                <w:rFonts w:ascii="Arial" w:hAnsi="Arial" w:cs="Arial"/>
                <w:b/>
                <w:lang w:val="es-MX"/>
              </w:rPr>
            </w:pPr>
            <w:r>
              <w:rPr>
                <w:rFonts w:ascii="Arial" w:hAnsi="Arial" w:cs="Arial"/>
                <w:b/>
                <w:lang w:val="es-MX"/>
              </w:rPr>
              <w:t>TOTAL PRESUPUESTO</w:t>
            </w:r>
          </w:p>
        </w:tc>
        <w:tc>
          <w:tcPr>
            <w:tcW w:w="1839" w:type="dxa"/>
          </w:tcPr>
          <w:p w14:paraId="42373F28" w14:textId="77777777" w:rsidR="00AB743B" w:rsidRDefault="00AB743B" w:rsidP="00C95525">
            <w:pPr>
              <w:jc w:val="center"/>
              <w:rPr>
                <w:rFonts w:ascii="Arial" w:eastAsia="Calibri" w:hAnsi="Arial" w:cs="Arial"/>
                <w:b/>
                <w:u w:val="single"/>
              </w:rPr>
            </w:pPr>
          </w:p>
          <w:p w14:paraId="0587F5F2" w14:textId="77777777" w:rsidR="00AB743B" w:rsidRDefault="00AB743B" w:rsidP="00C95525">
            <w:pPr>
              <w:jc w:val="center"/>
              <w:rPr>
                <w:rFonts w:ascii="Arial" w:eastAsia="Calibri" w:hAnsi="Arial" w:cs="Arial"/>
                <w:b/>
                <w:u w:val="single"/>
              </w:rPr>
            </w:pPr>
          </w:p>
          <w:p w14:paraId="4307A7D0" w14:textId="77777777" w:rsidR="00AB743B" w:rsidRDefault="00AB743B" w:rsidP="00C95525">
            <w:pPr>
              <w:jc w:val="center"/>
              <w:rPr>
                <w:rFonts w:ascii="Arial" w:eastAsia="Calibri" w:hAnsi="Arial" w:cs="Arial"/>
                <w:b/>
                <w:u w:val="single"/>
              </w:rPr>
            </w:pPr>
          </w:p>
          <w:p w14:paraId="6039D2B7" w14:textId="77777777" w:rsidR="00AB743B" w:rsidRDefault="00AB743B" w:rsidP="00C95525">
            <w:pPr>
              <w:jc w:val="center"/>
              <w:rPr>
                <w:rFonts w:ascii="Arial" w:eastAsia="Calibri" w:hAnsi="Arial" w:cs="Arial"/>
                <w:b/>
                <w:u w:val="single"/>
              </w:rPr>
            </w:pPr>
          </w:p>
          <w:p w14:paraId="5E15B0E4" w14:textId="77777777" w:rsidR="00AB743B" w:rsidRDefault="00AB743B" w:rsidP="00C95525">
            <w:pPr>
              <w:jc w:val="center"/>
              <w:rPr>
                <w:rFonts w:ascii="Arial" w:eastAsia="Calibri" w:hAnsi="Arial" w:cs="Arial"/>
                <w:b/>
                <w:u w:val="single"/>
              </w:rPr>
            </w:pPr>
          </w:p>
          <w:p w14:paraId="5D6FE0F4" w14:textId="77777777" w:rsidR="00F6104B" w:rsidRDefault="00F6104B" w:rsidP="00C95525">
            <w:pPr>
              <w:jc w:val="center"/>
              <w:rPr>
                <w:rFonts w:ascii="Arial" w:eastAsia="Calibri" w:hAnsi="Arial" w:cs="Arial"/>
                <w:b/>
                <w:u w:val="single"/>
              </w:rPr>
            </w:pPr>
          </w:p>
          <w:p w14:paraId="4C83DA59" w14:textId="2A24B63C" w:rsidR="00AB743B" w:rsidRDefault="00AB743B" w:rsidP="00C95525">
            <w:pPr>
              <w:jc w:val="center"/>
              <w:rPr>
                <w:rFonts w:ascii="Arial" w:eastAsia="Calibri" w:hAnsi="Arial" w:cs="Arial"/>
                <w:b/>
                <w:u w:val="single"/>
              </w:rPr>
            </w:pPr>
            <w:r>
              <w:rPr>
                <w:rFonts w:ascii="Arial" w:eastAsia="Calibri" w:hAnsi="Arial" w:cs="Arial"/>
                <w:b/>
                <w:u w:val="single"/>
              </w:rPr>
              <w:t>95.00%</w:t>
            </w:r>
          </w:p>
          <w:p w14:paraId="6B2301A4" w14:textId="4A7E1CE9" w:rsidR="00AB743B" w:rsidRDefault="00AB743B" w:rsidP="00C95525">
            <w:pPr>
              <w:jc w:val="center"/>
              <w:rPr>
                <w:rFonts w:ascii="Arial" w:eastAsia="Calibri" w:hAnsi="Arial" w:cs="Arial"/>
                <w:b/>
                <w:u w:val="single"/>
              </w:rPr>
            </w:pPr>
            <w:r>
              <w:rPr>
                <w:rFonts w:ascii="Arial" w:eastAsia="Calibri" w:hAnsi="Arial" w:cs="Arial"/>
                <w:b/>
                <w:u w:val="single"/>
              </w:rPr>
              <w:t>100.00%</w:t>
            </w:r>
          </w:p>
          <w:p w14:paraId="3F5ACBBC" w14:textId="77777777" w:rsidR="00AB743B" w:rsidRDefault="00AB743B" w:rsidP="00C95525">
            <w:pPr>
              <w:jc w:val="center"/>
              <w:rPr>
                <w:rFonts w:ascii="Arial" w:eastAsia="Calibri" w:hAnsi="Arial" w:cs="Arial"/>
                <w:b/>
                <w:u w:val="single"/>
              </w:rPr>
            </w:pPr>
          </w:p>
          <w:p w14:paraId="3463FA87" w14:textId="101C55A0" w:rsidR="00AB743B" w:rsidRDefault="00AB743B" w:rsidP="00C95525">
            <w:pPr>
              <w:jc w:val="center"/>
              <w:rPr>
                <w:rFonts w:ascii="Arial" w:eastAsia="Calibri" w:hAnsi="Arial" w:cs="Arial"/>
                <w:b/>
                <w:u w:val="single"/>
              </w:rPr>
            </w:pPr>
            <w:r>
              <w:rPr>
                <w:rFonts w:ascii="Arial" w:eastAsia="Calibri" w:hAnsi="Arial" w:cs="Arial"/>
                <w:b/>
                <w:u w:val="single"/>
              </w:rPr>
              <w:t>99.00%</w:t>
            </w:r>
          </w:p>
        </w:tc>
        <w:tc>
          <w:tcPr>
            <w:tcW w:w="1804" w:type="dxa"/>
          </w:tcPr>
          <w:p w14:paraId="48849E3A" w14:textId="77777777" w:rsidR="00AB743B" w:rsidRDefault="00AB743B" w:rsidP="002551C6">
            <w:pPr>
              <w:jc w:val="center"/>
              <w:rPr>
                <w:rFonts w:ascii="Arial" w:eastAsia="Calibri" w:hAnsi="Arial" w:cs="Arial"/>
                <w:b/>
                <w:u w:val="single"/>
              </w:rPr>
            </w:pPr>
          </w:p>
          <w:p w14:paraId="5EF19011" w14:textId="77777777" w:rsidR="00AB743B" w:rsidRDefault="00AB743B" w:rsidP="002551C6">
            <w:pPr>
              <w:jc w:val="center"/>
              <w:rPr>
                <w:rFonts w:ascii="Arial" w:eastAsia="Calibri" w:hAnsi="Arial" w:cs="Arial"/>
                <w:b/>
                <w:u w:val="single"/>
              </w:rPr>
            </w:pPr>
          </w:p>
          <w:p w14:paraId="0C5BE246" w14:textId="77777777" w:rsidR="00AB743B" w:rsidRDefault="00AB743B" w:rsidP="002551C6">
            <w:pPr>
              <w:jc w:val="center"/>
              <w:rPr>
                <w:rFonts w:ascii="Arial" w:eastAsia="Calibri" w:hAnsi="Arial" w:cs="Arial"/>
                <w:b/>
                <w:u w:val="single"/>
              </w:rPr>
            </w:pPr>
          </w:p>
          <w:p w14:paraId="0D6F644D" w14:textId="77777777" w:rsidR="00AB743B" w:rsidRDefault="00AB743B" w:rsidP="002551C6">
            <w:pPr>
              <w:jc w:val="center"/>
              <w:rPr>
                <w:rFonts w:ascii="Arial" w:eastAsia="Calibri" w:hAnsi="Arial" w:cs="Arial"/>
                <w:b/>
                <w:u w:val="single"/>
              </w:rPr>
            </w:pPr>
          </w:p>
          <w:p w14:paraId="6F4F90F3" w14:textId="77777777" w:rsidR="00AB743B" w:rsidRDefault="00AB743B" w:rsidP="002551C6">
            <w:pPr>
              <w:jc w:val="center"/>
              <w:rPr>
                <w:rFonts w:ascii="Arial" w:eastAsia="Calibri" w:hAnsi="Arial" w:cs="Arial"/>
                <w:b/>
                <w:u w:val="single"/>
              </w:rPr>
            </w:pPr>
          </w:p>
          <w:p w14:paraId="6AC89707" w14:textId="77777777" w:rsidR="00F6104B" w:rsidRDefault="00F6104B" w:rsidP="002551C6">
            <w:pPr>
              <w:jc w:val="center"/>
              <w:rPr>
                <w:rFonts w:ascii="Arial" w:eastAsia="Calibri" w:hAnsi="Arial" w:cs="Arial"/>
                <w:b/>
                <w:u w:val="single"/>
              </w:rPr>
            </w:pPr>
          </w:p>
          <w:p w14:paraId="34FD00A4" w14:textId="2815E395" w:rsidR="00AB743B" w:rsidRDefault="00AB743B" w:rsidP="002551C6">
            <w:pPr>
              <w:jc w:val="center"/>
              <w:rPr>
                <w:rFonts w:ascii="Arial" w:eastAsia="Calibri" w:hAnsi="Arial" w:cs="Arial"/>
                <w:b/>
                <w:u w:val="single"/>
              </w:rPr>
            </w:pPr>
            <w:r>
              <w:rPr>
                <w:rFonts w:ascii="Arial" w:eastAsia="Calibri" w:hAnsi="Arial" w:cs="Arial"/>
                <w:b/>
                <w:u w:val="single"/>
              </w:rPr>
              <w:t>95.00%</w:t>
            </w:r>
          </w:p>
          <w:p w14:paraId="67CAE796" w14:textId="5AE267C3" w:rsidR="00AB743B" w:rsidRDefault="00AB743B" w:rsidP="002551C6">
            <w:pPr>
              <w:jc w:val="center"/>
              <w:rPr>
                <w:rFonts w:ascii="Arial" w:eastAsia="Calibri" w:hAnsi="Arial" w:cs="Arial"/>
                <w:b/>
                <w:u w:val="single"/>
              </w:rPr>
            </w:pPr>
            <w:r>
              <w:rPr>
                <w:rFonts w:ascii="Arial" w:eastAsia="Calibri" w:hAnsi="Arial" w:cs="Arial"/>
                <w:b/>
                <w:u w:val="single"/>
              </w:rPr>
              <w:t>97.00%</w:t>
            </w:r>
          </w:p>
          <w:p w14:paraId="5CED6742" w14:textId="77777777" w:rsidR="00AB743B" w:rsidRDefault="00AB743B" w:rsidP="002551C6">
            <w:pPr>
              <w:jc w:val="center"/>
              <w:rPr>
                <w:rFonts w:ascii="Arial" w:eastAsia="Calibri" w:hAnsi="Arial" w:cs="Arial"/>
                <w:b/>
                <w:u w:val="single"/>
              </w:rPr>
            </w:pPr>
          </w:p>
          <w:p w14:paraId="7A8ED977" w14:textId="5E8922F3" w:rsidR="00AB743B" w:rsidRDefault="00AB743B" w:rsidP="002551C6">
            <w:pPr>
              <w:jc w:val="center"/>
              <w:rPr>
                <w:rFonts w:ascii="Arial" w:eastAsia="Calibri" w:hAnsi="Arial" w:cs="Arial"/>
                <w:b/>
                <w:u w:val="single"/>
              </w:rPr>
            </w:pPr>
            <w:r>
              <w:rPr>
                <w:rFonts w:ascii="Arial" w:eastAsia="Calibri" w:hAnsi="Arial" w:cs="Arial"/>
                <w:b/>
                <w:u w:val="single"/>
              </w:rPr>
              <w:t>95.00%</w:t>
            </w:r>
          </w:p>
        </w:tc>
        <w:tc>
          <w:tcPr>
            <w:tcW w:w="2042" w:type="dxa"/>
          </w:tcPr>
          <w:p w14:paraId="6BE4326F" w14:textId="77777777" w:rsidR="00AB743B" w:rsidRDefault="00AB743B" w:rsidP="002551C6">
            <w:pPr>
              <w:jc w:val="center"/>
              <w:rPr>
                <w:rFonts w:ascii="Arial" w:eastAsia="Calibri" w:hAnsi="Arial" w:cs="Arial"/>
                <w:b/>
                <w:u w:val="single"/>
              </w:rPr>
            </w:pPr>
          </w:p>
          <w:p w14:paraId="5531C961" w14:textId="77777777" w:rsidR="00AB743B" w:rsidRDefault="00AB743B" w:rsidP="002551C6">
            <w:pPr>
              <w:jc w:val="center"/>
              <w:rPr>
                <w:rFonts w:ascii="Arial" w:eastAsia="Calibri" w:hAnsi="Arial" w:cs="Arial"/>
                <w:b/>
                <w:u w:val="single"/>
              </w:rPr>
            </w:pPr>
          </w:p>
          <w:p w14:paraId="22922908" w14:textId="77777777" w:rsidR="00AB743B" w:rsidRDefault="00AB743B" w:rsidP="002551C6">
            <w:pPr>
              <w:jc w:val="center"/>
              <w:rPr>
                <w:rFonts w:ascii="Arial" w:eastAsia="Calibri" w:hAnsi="Arial" w:cs="Arial"/>
                <w:b/>
                <w:u w:val="single"/>
              </w:rPr>
            </w:pPr>
          </w:p>
          <w:p w14:paraId="27CB4CCE" w14:textId="77777777" w:rsidR="00AB743B" w:rsidRDefault="00AB743B" w:rsidP="002551C6">
            <w:pPr>
              <w:jc w:val="center"/>
              <w:rPr>
                <w:rFonts w:ascii="Arial" w:eastAsia="Calibri" w:hAnsi="Arial" w:cs="Arial"/>
                <w:b/>
                <w:u w:val="single"/>
              </w:rPr>
            </w:pPr>
          </w:p>
          <w:p w14:paraId="7CAC7536" w14:textId="77777777" w:rsidR="00AB743B" w:rsidRDefault="00AB743B" w:rsidP="002551C6">
            <w:pPr>
              <w:jc w:val="center"/>
              <w:rPr>
                <w:rFonts w:ascii="Arial" w:eastAsia="Calibri" w:hAnsi="Arial" w:cs="Arial"/>
                <w:b/>
                <w:u w:val="single"/>
              </w:rPr>
            </w:pPr>
          </w:p>
          <w:p w14:paraId="1D083BEF" w14:textId="77777777" w:rsidR="00F6104B" w:rsidRDefault="00F6104B" w:rsidP="002551C6">
            <w:pPr>
              <w:jc w:val="center"/>
              <w:rPr>
                <w:rFonts w:ascii="Arial" w:eastAsia="Calibri" w:hAnsi="Arial" w:cs="Arial"/>
                <w:b/>
                <w:u w:val="single"/>
              </w:rPr>
            </w:pPr>
          </w:p>
          <w:p w14:paraId="31583B9A" w14:textId="2C56E7D2" w:rsidR="00AB743B" w:rsidRDefault="00AB743B" w:rsidP="002551C6">
            <w:pPr>
              <w:jc w:val="center"/>
              <w:rPr>
                <w:rFonts w:ascii="Arial" w:eastAsia="Calibri" w:hAnsi="Arial" w:cs="Arial"/>
                <w:b/>
                <w:u w:val="single"/>
              </w:rPr>
            </w:pPr>
            <w:r>
              <w:rPr>
                <w:rFonts w:ascii="Arial" w:eastAsia="Calibri" w:hAnsi="Arial" w:cs="Arial"/>
                <w:b/>
                <w:u w:val="single"/>
              </w:rPr>
              <w:t>91.00%</w:t>
            </w:r>
          </w:p>
          <w:p w14:paraId="32EAE050" w14:textId="414547EE" w:rsidR="00AB743B" w:rsidRDefault="00AB743B" w:rsidP="002551C6">
            <w:pPr>
              <w:jc w:val="center"/>
              <w:rPr>
                <w:rFonts w:ascii="Arial" w:eastAsia="Calibri" w:hAnsi="Arial" w:cs="Arial"/>
                <w:b/>
                <w:u w:val="single"/>
              </w:rPr>
            </w:pPr>
            <w:r>
              <w:rPr>
                <w:rFonts w:ascii="Arial" w:eastAsia="Calibri" w:hAnsi="Arial" w:cs="Arial"/>
                <w:b/>
                <w:u w:val="single"/>
              </w:rPr>
              <w:t>76.00%</w:t>
            </w:r>
          </w:p>
          <w:p w14:paraId="24BD4DDA" w14:textId="77777777" w:rsidR="00AB743B" w:rsidRDefault="00AB743B" w:rsidP="002551C6">
            <w:pPr>
              <w:jc w:val="center"/>
              <w:rPr>
                <w:rFonts w:ascii="Arial" w:eastAsia="Calibri" w:hAnsi="Arial" w:cs="Arial"/>
                <w:b/>
                <w:u w:val="single"/>
              </w:rPr>
            </w:pPr>
          </w:p>
          <w:p w14:paraId="5539B4EC" w14:textId="14BC4BD9" w:rsidR="00AB743B" w:rsidRDefault="00AB743B" w:rsidP="002551C6">
            <w:pPr>
              <w:jc w:val="center"/>
              <w:rPr>
                <w:rFonts w:ascii="Arial" w:eastAsia="Calibri" w:hAnsi="Arial" w:cs="Arial"/>
                <w:b/>
                <w:u w:val="single"/>
              </w:rPr>
            </w:pPr>
            <w:r>
              <w:rPr>
                <w:rFonts w:ascii="Arial" w:eastAsia="Calibri" w:hAnsi="Arial" w:cs="Arial"/>
                <w:b/>
                <w:u w:val="single"/>
              </w:rPr>
              <w:t>91.00%</w:t>
            </w:r>
          </w:p>
        </w:tc>
      </w:tr>
      <w:tr w:rsidR="00F6104B" w:rsidRPr="004B1294" w14:paraId="0E73812A" w14:textId="77777777" w:rsidTr="00042E94">
        <w:tc>
          <w:tcPr>
            <w:tcW w:w="1550" w:type="dxa"/>
          </w:tcPr>
          <w:p w14:paraId="521D9AC1" w14:textId="2AB93445" w:rsidR="00F6104B" w:rsidRDefault="00F6104B" w:rsidP="002551C6">
            <w:pPr>
              <w:jc w:val="center"/>
              <w:rPr>
                <w:rFonts w:ascii="Arial" w:hAnsi="Arial" w:cs="Arial"/>
                <w:b/>
              </w:rPr>
            </w:pPr>
            <w:r>
              <w:rPr>
                <w:rFonts w:ascii="Arial" w:hAnsi="Arial" w:cs="Arial"/>
                <w:b/>
              </w:rPr>
              <w:t>257</w:t>
            </w:r>
          </w:p>
        </w:tc>
        <w:tc>
          <w:tcPr>
            <w:tcW w:w="3255" w:type="dxa"/>
          </w:tcPr>
          <w:p w14:paraId="002ED9DD" w14:textId="41B78E67" w:rsidR="00F6104B" w:rsidRPr="00F6104B" w:rsidRDefault="00F6104B" w:rsidP="00F6104B">
            <w:pPr>
              <w:jc w:val="both"/>
              <w:rPr>
                <w:rFonts w:ascii="Arial" w:hAnsi="Arial" w:cs="Arial"/>
                <w:b/>
                <w:lang w:val="es-MX"/>
              </w:rPr>
            </w:pPr>
            <w:r w:rsidRPr="00F6104B">
              <w:rPr>
                <w:rFonts w:ascii="Arial" w:hAnsi="Arial" w:cs="Arial"/>
                <w:b/>
                <w:lang w:val="es-MX"/>
              </w:rPr>
              <w:t>AGENCIA PARA LA REINCORPORACIÓN Y LA NORMALIZACIÓN – ARN.</w:t>
            </w:r>
          </w:p>
          <w:p w14:paraId="4A69CD04" w14:textId="77777777" w:rsidR="00F6104B" w:rsidRDefault="00F6104B" w:rsidP="00AB743B">
            <w:pPr>
              <w:jc w:val="both"/>
              <w:rPr>
                <w:rFonts w:ascii="Arial" w:hAnsi="Arial" w:cs="Arial"/>
                <w:b/>
                <w:lang w:val="es-MX"/>
              </w:rPr>
            </w:pPr>
          </w:p>
          <w:p w14:paraId="31EA9A0E" w14:textId="77777777" w:rsidR="00F6104B" w:rsidRDefault="00F6104B" w:rsidP="00F6104B">
            <w:pPr>
              <w:jc w:val="both"/>
              <w:rPr>
                <w:rFonts w:ascii="Arial" w:hAnsi="Arial" w:cs="Arial"/>
                <w:b/>
                <w:lang w:val="es-MX"/>
              </w:rPr>
            </w:pPr>
            <w:r>
              <w:rPr>
                <w:rFonts w:ascii="Arial" w:hAnsi="Arial" w:cs="Arial"/>
                <w:b/>
                <w:lang w:val="es-MX"/>
              </w:rPr>
              <w:t>FUNCIONAMIENTO</w:t>
            </w:r>
          </w:p>
          <w:p w14:paraId="1024CE00" w14:textId="77777777" w:rsidR="00F6104B" w:rsidRDefault="00F6104B" w:rsidP="00F6104B">
            <w:pPr>
              <w:jc w:val="both"/>
              <w:rPr>
                <w:rFonts w:ascii="Arial" w:hAnsi="Arial" w:cs="Arial"/>
                <w:b/>
                <w:lang w:val="es-MX"/>
              </w:rPr>
            </w:pPr>
            <w:r>
              <w:rPr>
                <w:rFonts w:ascii="Arial" w:hAnsi="Arial" w:cs="Arial"/>
                <w:b/>
                <w:lang w:val="es-MX"/>
              </w:rPr>
              <w:t>INVERSIÓN</w:t>
            </w:r>
          </w:p>
          <w:p w14:paraId="6EFF9157" w14:textId="77777777" w:rsidR="00F6104B" w:rsidRDefault="00F6104B" w:rsidP="00F6104B">
            <w:pPr>
              <w:jc w:val="both"/>
              <w:rPr>
                <w:rFonts w:ascii="Arial" w:hAnsi="Arial" w:cs="Arial"/>
                <w:b/>
                <w:lang w:val="es-MX"/>
              </w:rPr>
            </w:pPr>
          </w:p>
          <w:p w14:paraId="54C6C630" w14:textId="5D77B169" w:rsidR="00F6104B" w:rsidRPr="00AB743B" w:rsidRDefault="00F6104B" w:rsidP="00F6104B">
            <w:pPr>
              <w:jc w:val="both"/>
              <w:rPr>
                <w:rFonts w:ascii="Arial" w:hAnsi="Arial" w:cs="Arial"/>
                <w:b/>
                <w:lang w:val="es-MX"/>
              </w:rPr>
            </w:pPr>
            <w:r>
              <w:rPr>
                <w:rFonts w:ascii="Arial" w:hAnsi="Arial" w:cs="Arial"/>
                <w:b/>
                <w:lang w:val="es-MX"/>
              </w:rPr>
              <w:t>TOTAL PRESUPUESTO</w:t>
            </w:r>
          </w:p>
        </w:tc>
        <w:tc>
          <w:tcPr>
            <w:tcW w:w="1839" w:type="dxa"/>
          </w:tcPr>
          <w:p w14:paraId="06700026" w14:textId="77777777" w:rsidR="00F6104B" w:rsidRDefault="00F6104B" w:rsidP="00C95525">
            <w:pPr>
              <w:jc w:val="center"/>
              <w:rPr>
                <w:rFonts w:ascii="Arial" w:eastAsia="Calibri" w:hAnsi="Arial" w:cs="Arial"/>
                <w:b/>
                <w:u w:val="single"/>
              </w:rPr>
            </w:pPr>
          </w:p>
          <w:p w14:paraId="690D9454" w14:textId="77777777" w:rsidR="00F6104B" w:rsidRDefault="00F6104B" w:rsidP="00C95525">
            <w:pPr>
              <w:jc w:val="center"/>
              <w:rPr>
                <w:rFonts w:ascii="Arial" w:eastAsia="Calibri" w:hAnsi="Arial" w:cs="Arial"/>
                <w:b/>
                <w:u w:val="single"/>
              </w:rPr>
            </w:pPr>
          </w:p>
          <w:p w14:paraId="29274A3F" w14:textId="77777777" w:rsidR="00F6104B" w:rsidRDefault="00F6104B" w:rsidP="00C95525">
            <w:pPr>
              <w:jc w:val="center"/>
              <w:rPr>
                <w:rFonts w:ascii="Arial" w:eastAsia="Calibri" w:hAnsi="Arial" w:cs="Arial"/>
                <w:b/>
                <w:u w:val="single"/>
              </w:rPr>
            </w:pPr>
          </w:p>
          <w:p w14:paraId="48797016" w14:textId="77777777" w:rsidR="00F6104B" w:rsidRDefault="00F6104B" w:rsidP="00C95525">
            <w:pPr>
              <w:jc w:val="center"/>
              <w:rPr>
                <w:rFonts w:ascii="Arial" w:eastAsia="Calibri" w:hAnsi="Arial" w:cs="Arial"/>
                <w:b/>
                <w:u w:val="single"/>
              </w:rPr>
            </w:pPr>
          </w:p>
          <w:p w14:paraId="769686C5" w14:textId="42815C03" w:rsidR="00F6104B" w:rsidRDefault="00F6104B" w:rsidP="00C95525">
            <w:pPr>
              <w:jc w:val="center"/>
              <w:rPr>
                <w:rFonts w:ascii="Arial" w:eastAsia="Calibri" w:hAnsi="Arial" w:cs="Arial"/>
                <w:b/>
                <w:u w:val="single"/>
              </w:rPr>
            </w:pPr>
            <w:r>
              <w:rPr>
                <w:rFonts w:ascii="Arial" w:eastAsia="Calibri" w:hAnsi="Arial" w:cs="Arial"/>
                <w:b/>
                <w:u w:val="single"/>
              </w:rPr>
              <w:t>96.70%</w:t>
            </w:r>
          </w:p>
          <w:p w14:paraId="7E7DF512" w14:textId="58B1F799" w:rsidR="00F6104B" w:rsidRDefault="00F6104B" w:rsidP="00C95525">
            <w:pPr>
              <w:jc w:val="center"/>
              <w:rPr>
                <w:rFonts w:ascii="Arial" w:eastAsia="Calibri" w:hAnsi="Arial" w:cs="Arial"/>
                <w:b/>
                <w:u w:val="single"/>
              </w:rPr>
            </w:pPr>
            <w:r>
              <w:rPr>
                <w:rFonts w:ascii="Arial" w:eastAsia="Calibri" w:hAnsi="Arial" w:cs="Arial"/>
                <w:b/>
                <w:u w:val="single"/>
              </w:rPr>
              <w:t>100.00%</w:t>
            </w:r>
          </w:p>
          <w:p w14:paraId="5E7F6CCD" w14:textId="77777777" w:rsidR="00F6104B" w:rsidRDefault="00F6104B" w:rsidP="00C95525">
            <w:pPr>
              <w:jc w:val="center"/>
              <w:rPr>
                <w:rFonts w:ascii="Arial" w:eastAsia="Calibri" w:hAnsi="Arial" w:cs="Arial"/>
                <w:b/>
                <w:u w:val="single"/>
              </w:rPr>
            </w:pPr>
          </w:p>
          <w:p w14:paraId="68AE04BD" w14:textId="4699DBBA" w:rsidR="00F6104B" w:rsidRDefault="00F6104B" w:rsidP="00C95525">
            <w:pPr>
              <w:jc w:val="center"/>
              <w:rPr>
                <w:rFonts w:ascii="Arial" w:eastAsia="Calibri" w:hAnsi="Arial" w:cs="Arial"/>
                <w:b/>
                <w:u w:val="single"/>
              </w:rPr>
            </w:pPr>
            <w:r>
              <w:rPr>
                <w:rFonts w:ascii="Arial" w:eastAsia="Calibri" w:hAnsi="Arial" w:cs="Arial"/>
                <w:b/>
                <w:u w:val="single"/>
              </w:rPr>
              <w:t>96.00%</w:t>
            </w:r>
          </w:p>
        </w:tc>
        <w:tc>
          <w:tcPr>
            <w:tcW w:w="1804" w:type="dxa"/>
          </w:tcPr>
          <w:p w14:paraId="4B4F3A00" w14:textId="77777777" w:rsidR="00F6104B" w:rsidRDefault="00F6104B" w:rsidP="002551C6">
            <w:pPr>
              <w:jc w:val="center"/>
              <w:rPr>
                <w:rFonts w:ascii="Arial" w:eastAsia="Calibri" w:hAnsi="Arial" w:cs="Arial"/>
                <w:b/>
                <w:u w:val="single"/>
              </w:rPr>
            </w:pPr>
          </w:p>
          <w:p w14:paraId="3C7EC3FE" w14:textId="77777777" w:rsidR="00F6104B" w:rsidRDefault="00F6104B" w:rsidP="002551C6">
            <w:pPr>
              <w:jc w:val="center"/>
              <w:rPr>
                <w:rFonts w:ascii="Arial" w:eastAsia="Calibri" w:hAnsi="Arial" w:cs="Arial"/>
                <w:b/>
                <w:u w:val="single"/>
              </w:rPr>
            </w:pPr>
          </w:p>
          <w:p w14:paraId="1DDE664E" w14:textId="77777777" w:rsidR="00F6104B" w:rsidRDefault="00F6104B" w:rsidP="002551C6">
            <w:pPr>
              <w:jc w:val="center"/>
              <w:rPr>
                <w:rFonts w:ascii="Arial" w:eastAsia="Calibri" w:hAnsi="Arial" w:cs="Arial"/>
                <w:b/>
                <w:u w:val="single"/>
              </w:rPr>
            </w:pPr>
          </w:p>
          <w:p w14:paraId="5201DA96" w14:textId="77777777" w:rsidR="00F6104B" w:rsidRDefault="00F6104B" w:rsidP="002551C6">
            <w:pPr>
              <w:jc w:val="center"/>
              <w:rPr>
                <w:rFonts w:ascii="Arial" w:eastAsia="Calibri" w:hAnsi="Arial" w:cs="Arial"/>
                <w:b/>
                <w:u w:val="single"/>
              </w:rPr>
            </w:pPr>
          </w:p>
          <w:p w14:paraId="1CC1BD12" w14:textId="66B9DB4B" w:rsidR="00F6104B" w:rsidRDefault="00F6104B" w:rsidP="002551C6">
            <w:pPr>
              <w:jc w:val="center"/>
              <w:rPr>
                <w:rFonts w:ascii="Arial" w:eastAsia="Calibri" w:hAnsi="Arial" w:cs="Arial"/>
                <w:b/>
                <w:u w:val="single"/>
              </w:rPr>
            </w:pPr>
            <w:r>
              <w:rPr>
                <w:rFonts w:ascii="Arial" w:eastAsia="Calibri" w:hAnsi="Arial" w:cs="Arial"/>
                <w:b/>
                <w:u w:val="single"/>
              </w:rPr>
              <w:t>81.31%</w:t>
            </w:r>
          </w:p>
          <w:p w14:paraId="5AD70273" w14:textId="547E873E" w:rsidR="00F6104B" w:rsidRDefault="00F6104B" w:rsidP="002551C6">
            <w:pPr>
              <w:jc w:val="center"/>
              <w:rPr>
                <w:rFonts w:ascii="Arial" w:eastAsia="Calibri" w:hAnsi="Arial" w:cs="Arial"/>
                <w:b/>
                <w:u w:val="single"/>
              </w:rPr>
            </w:pPr>
            <w:r>
              <w:rPr>
                <w:rFonts w:ascii="Arial" w:eastAsia="Calibri" w:hAnsi="Arial" w:cs="Arial"/>
                <w:b/>
                <w:u w:val="single"/>
              </w:rPr>
              <w:t>92.00%</w:t>
            </w:r>
          </w:p>
          <w:p w14:paraId="797AB211" w14:textId="77777777" w:rsidR="00F6104B" w:rsidRDefault="00F6104B" w:rsidP="002551C6">
            <w:pPr>
              <w:jc w:val="center"/>
              <w:rPr>
                <w:rFonts w:ascii="Arial" w:eastAsia="Calibri" w:hAnsi="Arial" w:cs="Arial"/>
                <w:b/>
                <w:u w:val="single"/>
              </w:rPr>
            </w:pPr>
          </w:p>
          <w:p w14:paraId="76F8B6AD" w14:textId="7F1F19A2" w:rsidR="00F6104B" w:rsidRDefault="00F6104B" w:rsidP="002551C6">
            <w:pPr>
              <w:jc w:val="center"/>
              <w:rPr>
                <w:rFonts w:ascii="Arial" w:eastAsia="Calibri" w:hAnsi="Arial" w:cs="Arial"/>
                <w:b/>
                <w:u w:val="single"/>
              </w:rPr>
            </w:pPr>
            <w:r>
              <w:rPr>
                <w:rFonts w:ascii="Arial" w:eastAsia="Calibri" w:hAnsi="Arial" w:cs="Arial"/>
                <w:b/>
                <w:u w:val="single"/>
              </w:rPr>
              <w:t>81.40%</w:t>
            </w:r>
          </w:p>
        </w:tc>
        <w:tc>
          <w:tcPr>
            <w:tcW w:w="2042" w:type="dxa"/>
          </w:tcPr>
          <w:p w14:paraId="0337B9C4" w14:textId="77777777" w:rsidR="00F6104B" w:rsidRDefault="00F6104B" w:rsidP="002551C6">
            <w:pPr>
              <w:jc w:val="center"/>
              <w:rPr>
                <w:rFonts w:ascii="Arial" w:eastAsia="Calibri" w:hAnsi="Arial" w:cs="Arial"/>
                <w:b/>
                <w:u w:val="single"/>
              </w:rPr>
            </w:pPr>
          </w:p>
          <w:p w14:paraId="68627C0A" w14:textId="77777777" w:rsidR="00F6104B" w:rsidRDefault="00F6104B" w:rsidP="002551C6">
            <w:pPr>
              <w:jc w:val="center"/>
              <w:rPr>
                <w:rFonts w:ascii="Arial" w:eastAsia="Calibri" w:hAnsi="Arial" w:cs="Arial"/>
                <w:b/>
                <w:u w:val="single"/>
              </w:rPr>
            </w:pPr>
          </w:p>
          <w:p w14:paraId="435B3B39" w14:textId="77777777" w:rsidR="00F6104B" w:rsidRDefault="00F6104B" w:rsidP="002551C6">
            <w:pPr>
              <w:jc w:val="center"/>
              <w:rPr>
                <w:rFonts w:ascii="Arial" w:eastAsia="Calibri" w:hAnsi="Arial" w:cs="Arial"/>
                <w:b/>
                <w:u w:val="single"/>
              </w:rPr>
            </w:pPr>
          </w:p>
          <w:p w14:paraId="623FC466" w14:textId="77777777" w:rsidR="00F6104B" w:rsidRDefault="00F6104B" w:rsidP="002551C6">
            <w:pPr>
              <w:jc w:val="center"/>
              <w:rPr>
                <w:rFonts w:ascii="Arial" w:eastAsia="Calibri" w:hAnsi="Arial" w:cs="Arial"/>
                <w:b/>
                <w:u w:val="single"/>
              </w:rPr>
            </w:pPr>
          </w:p>
          <w:p w14:paraId="17A26510" w14:textId="2D018200" w:rsidR="00F6104B" w:rsidRDefault="00F6104B" w:rsidP="002551C6">
            <w:pPr>
              <w:jc w:val="center"/>
              <w:rPr>
                <w:rFonts w:ascii="Arial" w:eastAsia="Calibri" w:hAnsi="Arial" w:cs="Arial"/>
                <w:b/>
                <w:u w:val="single"/>
              </w:rPr>
            </w:pPr>
            <w:r>
              <w:rPr>
                <w:rFonts w:ascii="Arial" w:eastAsia="Calibri" w:hAnsi="Arial" w:cs="Arial"/>
                <w:b/>
                <w:u w:val="single"/>
              </w:rPr>
              <w:t>81.32%</w:t>
            </w:r>
          </w:p>
          <w:p w14:paraId="7ABE31AA" w14:textId="4083EE36" w:rsidR="00F6104B" w:rsidRDefault="00F6104B" w:rsidP="002551C6">
            <w:pPr>
              <w:jc w:val="center"/>
              <w:rPr>
                <w:rFonts w:ascii="Arial" w:eastAsia="Calibri" w:hAnsi="Arial" w:cs="Arial"/>
                <w:b/>
                <w:u w:val="single"/>
              </w:rPr>
            </w:pPr>
            <w:r>
              <w:rPr>
                <w:rFonts w:ascii="Arial" w:eastAsia="Calibri" w:hAnsi="Arial" w:cs="Arial"/>
                <w:b/>
                <w:u w:val="single"/>
              </w:rPr>
              <w:t>92.00%</w:t>
            </w:r>
          </w:p>
          <w:p w14:paraId="060AC40C" w14:textId="77777777" w:rsidR="00F6104B" w:rsidRDefault="00F6104B" w:rsidP="002551C6">
            <w:pPr>
              <w:jc w:val="center"/>
              <w:rPr>
                <w:rFonts w:ascii="Arial" w:eastAsia="Calibri" w:hAnsi="Arial" w:cs="Arial"/>
                <w:b/>
                <w:u w:val="single"/>
              </w:rPr>
            </w:pPr>
          </w:p>
          <w:p w14:paraId="3E84F9E4" w14:textId="25CC7C96" w:rsidR="00F6104B" w:rsidRDefault="00F6104B" w:rsidP="002551C6">
            <w:pPr>
              <w:jc w:val="center"/>
              <w:rPr>
                <w:rFonts w:ascii="Arial" w:eastAsia="Calibri" w:hAnsi="Arial" w:cs="Arial"/>
                <w:b/>
                <w:u w:val="single"/>
              </w:rPr>
            </w:pPr>
            <w:r>
              <w:rPr>
                <w:rFonts w:ascii="Arial" w:eastAsia="Calibri" w:hAnsi="Arial" w:cs="Arial"/>
                <w:b/>
                <w:u w:val="single"/>
              </w:rPr>
              <w:t>81.40%</w:t>
            </w:r>
          </w:p>
        </w:tc>
      </w:tr>
      <w:tr w:rsidR="00C83273" w:rsidRPr="004B1294" w14:paraId="5170B661" w14:textId="77777777" w:rsidTr="00042E94">
        <w:tc>
          <w:tcPr>
            <w:tcW w:w="1550" w:type="dxa"/>
          </w:tcPr>
          <w:p w14:paraId="717E23E4" w14:textId="789FE676" w:rsidR="00C83273" w:rsidRDefault="00C83273" w:rsidP="002551C6">
            <w:pPr>
              <w:jc w:val="center"/>
              <w:rPr>
                <w:rFonts w:ascii="Arial" w:hAnsi="Arial" w:cs="Arial"/>
                <w:b/>
              </w:rPr>
            </w:pPr>
            <w:r>
              <w:rPr>
                <w:rFonts w:ascii="Arial" w:hAnsi="Arial" w:cs="Arial"/>
                <w:b/>
              </w:rPr>
              <w:t>258</w:t>
            </w:r>
          </w:p>
        </w:tc>
        <w:tc>
          <w:tcPr>
            <w:tcW w:w="3255" w:type="dxa"/>
          </w:tcPr>
          <w:p w14:paraId="53E66FA2" w14:textId="77777777" w:rsidR="00C83273" w:rsidRDefault="00C83273" w:rsidP="00F6104B">
            <w:pPr>
              <w:jc w:val="both"/>
              <w:rPr>
                <w:rFonts w:ascii="Arial" w:hAnsi="Arial" w:cs="Arial"/>
                <w:b/>
                <w:lang w:val="es-MX"/>
              </w:rPr>
            </w:pPr>
            <w:r w:rsidRPr="00C83273">
              <w:rPr>
                <w:rFonts w:ascii="Arial" w:hAnsi="Arial" w:cs="Arial"/>
                <w:b/>
                <w:lang w:val="es-MX"/>
              </w:rPr>
              <w:t>COMPUTADORES PARA EDUCAR – CPE.</w:t>
            </w:r>
          </w:p>
          <w:p w14:paraId="4AE5433D" w14:textId="77777777" w:rsidR="00C83273" w:rsidRDefault="00C83273" w:rsidP="00F6104B">
            <w:pPr>
              <w:jc w:val="both"/>
              <w:rPr>
                <w:rFonts w:ascii="Arial" w:hAnsi="Arial" w:cs="Arial"/>
                <w:b/>
                <w:lang w:val="es-MX"/>
              </w:rPr>
            </w:pPr>
          </w:p>
          <w:p w14:paraId="25735F70" w14:textId="77777777" w:rsidR="00C83273" w:rsidRDefault="00C83273" w:rsidP="00C83273">
            <w:pPr>
              <w:jc w:val="both"/>
              <w:rPr>
                <w:rFonts w:ascii="Arial" w:hAnsi="Arial" w:cs="Arial"/>
                <w:b/>
                <w:lang w:val="es-MX"/>
              </w:rPr>
            </w:pPr>
            <w:r>
              <w:rPr>
                <w:rFonts w:ascii="Arial" w:hAnsi="Arial" w:cs="Arial"/>
                <w:b/>
                <w:lang w:val="es-MX"/>
              </w:rPr>
              <w:t>FUNCIONAMIENTO</w:t>
            </w:r>
          </w:p>
          <w:p w14:paraId="5620FF76" w14:textId="77777777" w:rsidR="00C83273" w:rsidRDefault="00C83273" w:rsidP="00C83273">
            <w:pPr>
              <w:jc w:val="both"/>
              <w:rPr>
                <w:rFonts w:ascii="Arial" w:hAnsi="Arial" w:cs="Arial"/>
                <w:b/>
                <w:lang w:val="es-MX"/>
              </w:rPr>
            </w:pPr>
            <w:r>
              <w:rPr>
                <w:rFonts w:ascii="Arial" w:hAnsi="Arial" w:cs="Arial"/>
                <w:b/>
                <w:lang w:val="es-MX"/>
              </w:rPr>
              <w:t>INVERSIÓN</w:t>
            </w:r>
          </w:p>
          <w:p w14:paraId="4AF53F69" w14:textId="77777777" w:rsidR="00C83273" w:rsidRDefault="00C83273" w:rsidP="00C83273">
            <w:pPr>
              <w:jc w:val="both"/>
              <w:rPr>
                <w:rFonts w:ascii="Arial" w:hAnsi="Arial" w:cs="Arial"/>
                <w:b/>
                <w:lang w:val="es-MX"/>
              </w:rPr>
            </w:pPr>
          </w:p>
          <w:p w14:paraId="0F33C796" w14:textId="3D8E8E6A" w:rsidR="00C83273" w:rsidRPr="00F6104B" w:rsidRDefault="00C83273" w:rsidP="00C83273">
            <w:pPr>
              <w:jc w:val="both"/>
              <w:rPr>
                <w:rFonts w:ascii="Arial" w:hAnsi="Arial" w:cs="Arial"/>
                <w:b/>
                <w:lang w:val="es-MX"/>
              </w:rPr>
            </w:pPr>
            <w:r>
              <w:rPr>
                <w:rFonts w:ascii="Arial" w:hAnsi="Arial" w:cs="Arial"/>
                <w:b/>
                <w:lang w:val="es-MX"/>
              </w:rPr>
              <w:t>TOTAL PRESUPUESTO</w:t>
            </w:r>
          </w:p>
        </w:tc>
        <w:tc>
          <w:tcPr>
            <w:tcW w:w="1839" w:type="dxa"/>
          </w:tcPr>
          <w:p w14:paraId="3CB1E377" w14:textId="77777777" w:rsidR="00C83273" w:rsidRDefault="00C83273" w:rsidP="00C95525">
            <w:pPr>
              <w:jc w:val="center"/>
              <w:rPr>
                <w:rFonts w:ascii="Arial" w:eastAsia="Calibri" w:hAnsi="Arial" w:cs="Arial"/>
                <w:b/>
                <w:u w:val="single"/>
              </w:rPr>
            </w:pPr>
          </w:p>
          <w:p w14:paraId="598313F7" w14:textId="77777777" w:rsidR="00C83273" w:rsidRDefault="00C83273" w:rsidP="00C95525">
            <w:pPr>
              <w:jc w:val="center"/>
              <w:rPr>
                <w:rFonts w:ascii="Arial" w:eastAsia="Calibri" w:hAnsi="Arial" w:cs="Arial"/>
                <w:b/>
                <w:u w:val="single"/>
              </w:rPr>
            </w:pPr>
          </w:p>
          <w:p w14:paraId="1D244508" w14:textId="77777777" w:rsidR="00C83273" w:rsidRDefault="00C83273" w:rsidP="00C95525">
            <w:pPr>
              <w:jc w:val="center"/>
              <w:rPr>
                <w:rFonts w:ascii="Arial" w:eastAsia="Calibri" w:hAnsi="Arial" w:cs="Arial"/>
                <w:b/>
                <w:u w:val="single"/>
              </w:rPr>
            </w:pPr>
          </w:p>
          <w:p w14:paraId="261E3517" w14:textId="3ABE1378" w:rsidR="00C83273" w:rsidRDefault="00C83273" w:rsidP="00C95525">
            <w:pPr>
              <w:jc w:val="center"/>
              <w:rPr>
                <w:rFonts w:ascii="Arial" w:eastAsia="Calibri" w:hAnsi="Arial" w:cs="Arial"/>
                <w:b/>
                <w:u w:val="single"/>
              </w:rPr>
            </w:pPr>
            <w:r>
              <w:rPr>
                <w:rFonts w:ascii="Arial" w:eastAsia="Calibri" w:hAnsi="Arial" w:cs="Arial"/>
                <w:b/>
                <w:u w:val="single"/>
              </w:rPr>
              <w:t>86.00%</w:t>
            </w:r>
          </w:p>
          <w:p w14:paraId="1DE78DF4" w14:textId="2D7BE5BD" w:rsidR="00C83273" w:rsidRDefault="00C83273" w:rsidP="00C95525">
            <w:pPr>
              <w:jc w:val="center"/>
              <w:rPr>
                <w:rFonts w:ascii="Arial" w:eastAsia="Calibri" w:hAnsi="Arial" w:cs="Arial"/>
                <w:b/>
                <w:u w:val="single"/>
              </w:rPr>
            </w:pPr>
            <w:r>
              <w:rPr>
                <w:rFonts w:ascii="Arial" w:eastAsia="Calibri" w:hAnsi="Arial" w:cs="Arial"/>
                <w:b/>
                <w:u w:val="single"/>
              </w:rPr>
              <w:t>68.00%</w:t>
            </w:r>
          </w:p>
          <w:p w14:paraId="71AD0340" w14:textId="77777777" w:rsidR="00C83273" w:rsidRDefault="00C83273" w:rsidP="00C95525">
            <w:pPr>
              <w:jc w:val="center"/>
              <w:rPr>
                <w:rFonts w:ascii="Arial" w:eastAsia="Calibri" w:hAnsi="Arial" w:cs="Arial"/>
                <w:b/>
                <w:u w:val="single"/>
              </w:rPr>
            </w:pPr>
          </w:p>
          <w:p w14:paraId="507C6C61" w14:textId="2E6EA227" w:rsidR="00C83273" w:rsidRDefault="00C83273" w:rsidP="00C95525">
            <w:pPr>
              <w:jc w:val="center"/>
              <w:rPr>
                <w:rFonts w:ascii="Arial" w:eastAsia="Calibri" w:hAnsi="Arial" w:cs="Arial"/>
                <w:b/>
                <w:u w:val="single"/>
              </w:rPr>
            </w:pPr>
            <w:r>
              <w:rPr>
                <w:rFonts w:ascii="Arial" w:eastAsia="Calibri" w:hAnsi="Arial" w:cs="Arial"/>
                <w:b/>
                <w:u w:val="single"/>
              </w:rPr>
              <w:t>69.00%</w:t>
            </w:r>
          </w:p>
        </w:tc>
        <w:tc>
          <w:tcPr>
            <w:tcW w:w="1804" w:type="dxa"/>
          </w:tcPr>
          <w:p w14:paraId="050DB26D" w14:textId="77777777" w:rsidR="00C83273" w:rsidRDefault="00C83273" w:rsidP="002551C6">
            <w:pPr>
              <w:jc w:val="center"/>
              <w:rPr>
                <w:rFonts w:ascii="Arial" w:eastAsia="Calibri" w:hAnsi="Arial" w:cs="Arial"/>
                <w:b/>
                <w:u w:val="single"/>
              </w:rPr>
            </w:pPr>
          </w:p>
          <w:p w14:paraId="279B0060" w14:textId="77777777" w:rsidR="00C83273" w:rsidRDefault="00C83273" w:rsidP="002551C6">
            <w:pPr>
              <w:jc w:val="center"/>
              <w:rPr>
                <w:rFonts w:ascii="Arial" w:eastAsia="Calibri" w:hAnsi="Arial" w:cs="Arial"/>
                <w:b/>
                <w:u w:val="single"/>
              </w:rPr>
            </w:pPr>
          </w:p>
          <w:p w14:paraId="04F31DD0" w14:textId="77777777" w:rsidR="00C83273" w:rsidRDefault="00C83273" w:rsidP="002551C6">
            <w:pPr>
              <w:jc w:val="center"/>
              <w:rPr>
                <w:rFonts w:ascii="Arial" w:eastAsia="Calibri" w:hAnsi="Arial" w:cs="Arial"/>
                <w:b/>
                <w:u w:val="single"/>
              </w:rPr>
            </w:pPr>
          </w:p>
          <w:p w14:paraId="0134CFDB" w14:textId="4421812A" w:rsidR="00C83273" w:rsidRDefault="00C83273" w:rsidP="002551C6">
            <w:pPr>
              <w:jc w:val="center"/>
              <w:rPr>
                <w:rFonts w:ascii="Arial" w:eastAsia="Calibri" w:hAnsi="Arial" w:cs="Arial"/>
                <w:b/>
                <w:u w:val="single"/>
              </w:rPr>
            </w:pPr>
            <w:r>
              <w:rPr>
                <w:rFonts w:ascii="Arial" w:eastAsia="Calibri" w:hAnsi="Arial" w:cs="Arial"/>
                <w:b/>
                <w:u w:val="single"/>
              </w:rPr>
              <w:t>86.00%</w:t>
            </w:r>
          </w:p>
          <w:p w14:paraId="1B4BD235" w14:textId="1B5B77AF" w:rsidR="00C83273" w:rsidRDefault="00C83273" w:rsidP="002551C6">
            <w:pPr>
              <w:jc w:val="center"/>
              <w:rPr>
                <w:rFonts w:ascii="Arial" w:eastAsia="Calibri" w:hAnsi="Arial" w:cs="Arial"/>
                <w:b/>
                <w:u w:val="single"/>
              </w:rPr>
            </w:pPr>
            <w:r>
              <w:rPr>
                <w:rFonts w:ascii="Arial" w:eastAsia="Calibri" w:hAnsi="Arial" w:cs="Arial"/>
                <w:b/>
                <w:u w:val="single"/>
              </w:rPr>
              <w:t>72.00%</w:t>
            </w:r>
          </w:p>
          <w:p w14:paraId="185BB011" w14:textId="77777777" w:rsidR="00C83273" w:rsidRDefault="00C83273" w:rsidP="002551C6">
            <w:pPr>
              <w:jc w:val="center"/>
              <w:rPr>
                <w:rFonts w:ascii="Arial" w:eastAsia="Calibri" w:hAnsi="Arial" w:cs="Arial"/>
                <w:b/>
                <w:u w:val="single"/>
              </w:rPr>
            </w:pPr>
          </w:p>
          <w:p w14:paraId="5056A97E" w14:textId="1C477D20" w:rsidR="00C83273" w:rsidRDefault="00C83273" w:rsidP="002551C6">
            <w:pPr>
              <w:jc w:val="center"/>
              <w:rPr>
                <w:rFonts w:ascii="Arial" w:eastAsia="Calibri" w:hAnsi="Arial" w:cs="Arial"/>
                <w:b/>
                <w:u w:val="single"/>
              </w:rPr>
            </w:pPr>
            <w:r>
              <w:rPr>
                <w:rFonts w:ascii="Arial" w:eastAsia="Calibri" w:hAnsi="Arial" w:cs="Arial"/>
                <w:b/>
                <w:u w:val="single"/>
              </w:rPr>
              <w:t>27.00%</w:t>
            </w:r>
          </w:p>
        </w:tc>
        <w:tc>
          <w:tcPr>
            <w:tcW w:w="2042" w:type="dxa"/>
          </w:tcPr>
          <w:p w14:paraId="54220966" w14:textId="77777777" w:rsidR="00C83273" w:rsidRDefault="00C83273" w:rsidP="002551C6">
            <w:pPr>
              <w:jc w:val="center"/>
              <w:rPr>
                <w:rFonts w:ascii="Arial" w:eastAsia="Calibri" w:hAnsi="Arial" w:cs="Arial"/>
                <w:b/>
                <w:u w:val="single"/>
              </w:rPr>
            </w:pPr>
          </w:p>
          <w:p w14:paraId="09FC54E8" w14:textId="77777777" w:rsidR="00C83273" w:rsidRDefault="00C83273" w:rsidP="002551C6">
            <w:pPr>
              <w:jc w:val="center"/>
              <w:rPr>
                <w:rFonts w:ascii="Arial" w:eastAsia="Calibri" w:hAnsi="Arial" w:cs="Arial"/>
                <w:b/>
                <w:u w:val="single"/>
              </w:rPr>
            </w:pPr>
          </w:p>
          <w:p w14:paraId="55ACA235" w14:textId="77777777" w:rsidR="00C83273" w:rsidRDefault="00C83273" w:rsidP="002551C6">
            <w:pPr>
              <w:jc w:val="center"/>
              <w:rPr>
                <w:rFonts w:ascii="Arial" w:eastAsia="Calibri" w:hAnsi="Arial" w:cs="Arial"/>
                <w:b/>
                <w:u w:val="single"/>
              </w:rPr>
            </w:pPr>
          </w:p>
          <w:p w14:paraId="1D69C0F4" w14:textId="487B249D" w:rsidR="00C83273" w:rsidRDefault="00C83273" w:rsidP="002551C6">
            <w:pPr>
              <w:jc w:val="center"/>
              <w:rPr>
                <w:rFonts w:ascii="Arial" w:eastAsia="Calibri" w:hAnsi="Arial" w:cs="Arial"/>
                <w:b/>
                <w:u w:val="single"/>
              </w:rPr>
            </w:pPr>
            <w:r>
              <w:rPr>
                <w:rFonts w:ascii="Arial" w:eastAsia="Calibri" w:hAnsi="Arial" w:cs="Arial"/>
                <w:b/>
                <w:u w:val="single"/>
              </w:rPr>
              <w:t>86.00%</w:t>
            </w:r>
          </w:p>
          <w:p w14:paraId="3A54BC5A" w14:textId="50F4CA8E" w:rsidR="00C83273" w:rsidRDefault="00C83273" w:rsidP="002551C6">
            <w:pPr>
              <w:jc w:val="center"/>
              <w:rPr>
                <w:rFonts w:ascii="Arial" w:eastAsia="Calibri" w:hAnsi="Arial" w:cs="Arial"/>
                <w:b/>
                <w:u w:val="single"/>
              </w:rPr>
            </w:pPr>
            <w:r>
              <w:rPr>
                <w:rFonts w:ascii="Arial" w:eastAsia="Calibri" w:hAnsi="Arial" w:cs="Arial"/>
                <w:b/>
                <w:u w:val="single"/>
              </w:rPr>
              <w:t>16.00%</w:t>
            </w:r>
          </w:p>
          <w:p w14:paraId="79630F1D" w14:textId="77777777" w:rsidR="00C83273" w:rsidRDefault="00C83273" w:rsidP="002551C6">
            <w:pPr>
              <w:jc w:val="center"/>
              <w:rPr>
                <w:rFonts w:ascii="Arial" w:eastAsia="Calibri" w:hAnsi="Arial" w:cs="Arial"/>
                <w:b/>
                <w:u w:val="single"/>
              </w:rPr>
            </w:pPr>
          </w:p>
          <w:p w14:paraId="27B121F7" w14:textId="46A3034B" w:rsidR="00C83273" w:rsidRDefault="00C83273" w:rsidP="002551C6">
            <w:pPr>
              <w:jc w:val="center"/>
              <w:rPr>
                <w:rFonts w:ascii="Arial" w:eastAsia="Calibri" w:hAnsi="Arial" w:cs="Arial"/>
                <w:b/>
                <w:u w:val="single"/>
              </w:rPr>
            </w:pPr>
            <w:r>
              <w:rPr>
                <w:rFonts w:ascii="Arial" w:eastAsia="Calibri" w:hAnsi="Arial" w:cs="Arial"/>
                <w:b/>
                <w:u w:val="single"/>
              </w:rPr>
              <w:t>21.00%</w:t>
            </w:r>
          </w:p>
        </w:tc>
      </w:tr>
      <w:tr w:rsidR="00241589" w:rsidRPr="004B1294" w14:paraId="3DD28518" w14:textId="77777777" w:rsidTr="00042E94">
        <w:tc>
          <w:tcPr>
            <w:tcW w:w="1550" w:type="dxa"/>
          </w:tcPr>
          <w:p w14:paraId="4AE31D45" w14:textId="34F08FC7" w:rsidR="00241589" w:rsidRDefault="00241589" w:rsidP="002551C6">
            <w:pPr>
              <w:jc w:val="center"/>
              <w:rPr>
                <w:rFonts w:ascii="Arial" w:hAnsi="Arial" w:cs="Arial"/>
                <w:b/>
              </w:rPr>
            </w:pPr>
            <w:r>
              <w:rPr>
                <w:rFonts w:ascii="Arial" w:hAnsi="Arial" w:cs="Arial"/>
                <w:b/>
              </w:rPr>
              <w:t>264</w:t>
            </w:r>
          </w:p>
        </w:tc>
        <w:tc>
          <w:tcPr>
            <w:tcW w:w="3255" w:type="dxa"/>
          </w:tcPr>
          <w:p w14:paraId="5048C581" w14:textId="676CA044" w:rsidR="00241589" w:rsidRPr="00241589" w:rsidRDefault="00241589" w:rsidP="00241589">
            <w:pPr>
              <w:jc w:val="both"/>
              <w:rPr>
                <w:rFonts w:ascii="Arial" w:hAnsi="Arial" w:cs="Arial"/>
                <w:b/>
                <w:lang w:val="es-MX"/>
              </w:rPr>
            </w:pPr>
            <w:r w:rsidRPr="00241589">
              <w:rPr>
                <w:rFonts w:ascii="Arial" w:hAnsi="Arial" w:cs="Arial"/>
                <w:b/>
                <w:lang w:val="es-MX"/>
              </w:rPr>
              <w:t>MINISTERIO DE EDUCACIÓN NACIONAL.</w:t>
            </w:r>
          </w:p>
          <w:p w14:paraId="00B44790" w14:textId="77777777" w:rsidR="00241589" w:rsidRDefault="00241589" w:rsidP="00F6104B">
            <w:pPr>
              <w:jc w:val="both"/>
              <w:rPr>
                <w:rFonts w:ascii="Arial" w:hAnsi="Arial" w:cs="Arial"/>
                <w:b/>
                <w:lang w:val="es-MX"/>
              </w:rPr>
            </w:pPr>
          </w:p>
          <w:p w14:paraId="776C10D5" w14:textId="77777777" w:rsidR="00241589" w:rsidRDefault="00241589" w:rsidP="00241589">
            <w:pPr>
              <w:jc w:val="both"/>
              <w:rPr>
                <w:rFonts w:ascii="Arial" w:hAnsi="Arial" w:cs="Arial"/>
                <w:b/>
                <w:lang w:val="es-MX"/>
              </w:rPr>
            </w:pPr>
            <w:r>
              <w:rPr>
                <w:rFonts w:ascii="Arial" w:hAnsi="Arial" w:cs="Arial"/>
                <w:b/>
                <w:lang w:val="es-MX"/>
              </w:rPr>
              <w:t>FUNCIONAMIENTO</w:t>
            </w:r>
          </w:p>
          <w:p w14:paraId="07CEB481" w14:textId="77777777" w:rsidR="00241589" w:rsidRDefault="00241589" w:rsidP="00241589">
            <w:pPr>
              <w:jc w:val="both"/>
              <w:rPr>
                <w:rFonts w:ascii="Arial" w:hAnsi="Arial" w:cs="Arial"/>
                <w:b/>
                <w:lang w:val="es-MX"/>
              </w:rPr>
            </w:pPr>
            <w:r>
              <w:rPr>
                <w:rFonts w:ascii="Arial" w:hAnsi="Arial" w:cs="Arial"/>
                <w:b/>
                <w:lang w:val="es-MX"/>
              </w:rPr>
              <w:t>INVERSIÓN</w:t>
            </w:r>
          </w:p>
          <w:p w14:paraId="1FEF7123" w14:textId="77777777" w:rsidR="00241589" w:rsidRDefault="00241589" w:rsidP="00241589">
            <w:pPr>
              <w:jc w:val="both"/>
              <w:rPr>
                <w:rFonts w:ascii="Arial" w:hAnsi="Arial" w:cs="Arial"/>
                <w:b/>
                <w:lang w:val="es-MX"/>
              </w:rPr>
            </w:pPr>
          </w:p>
          <w:p w14:paraId="05E6CCCB" w14:textId="3FD40F00" w:rsidR="00241589" w:rsidRPr="00C83273" w:rsidRDefault="00241589" w:rsidP="00241589">
            <w:pPr>
              <w:jc w:val="both"/>
              <w:rPr>
                <w:rFonts w:ascii="Arial" w:hAnsi="Arial" w:cs="Arial"/>
                <w:b/>
                <w:lang w:val="es-MX"/>
              </w:rPr>
            </w:pPr>
            <w:r>
              <w:rPr>
                <w:rFonts w:ascii="Arial" w:hAnsi="Arial" w:cs="Arial"/>
                <w:b/>
                <w:lang w:val="es-MX"/>
              </w:rPr>
              <w:t>TOTAL PRESUPUESTO</w:t>
            </w:r>
          </w:p>
        </w:tc>
        <w:tc>
          <w:tcPr>
            <w:tcW w:w="1839" w:type="dxa"/>
          </w:tcPr>
          <w:p w14:paraId="35475E47" w14:textId="77777777" w:rsidR="00241589" w:rsidRDefault="00241589" w:rsidP="00C95525">
            <w:pPr>
              <w:jc w:val="center"/>
              <w:rPr>
                <w:rFonts w:ascii="Arial" w:eastAsia="Calibri" w:hAnsi="Arial" w:cs="Arial"/>
                <w:b/>
                <w:u w:val="single"/>
              </w:rPr>
            </w:pPr>
          </w:p>
          <w:p w14:paraId="1545DF90" w14:textId="77777777" w:rsidR="00241589" w:rsidRDefault="00241589" w:rsidP="00C95525">
            <w:pPr>
              <w:jc w:val="center"/>
              <w:rPr>
                <w:rFonts w:ascii="Arial" w:eastAsia="Calibri" w:hAnsi="Arial" w:cs="Arial"/>
                <w:b/>
                <w:u w:val="single"/>
              </w:rPr>
            </w:pPr>
          </w:p>
          <w:p w14:paraId="396E249F" w14:textId="77777777" w:rsidR="00241589" w:rsidRDefault="00241589" w:rsidP="00C95525">
            <w:pPr>
              <w:jc w:val="center"/>
              <w:rPr>
                <w:rFonts w:ascii="Arial" w:eastAsia="Calibri" w:hAnsi="Arial" w:cs="Arial"/>
                <w:b/>
                <w:u w:val="single"/>
              </w:rPr>
            </w:pPr>
          </w:p>
          <w:p w14:paraId="2D4A0196" w14:textId="79990144" w:rsidR="00241589" w:rsidRDefault="00241589" w:rsidP="00C95525">
            <w:pPr>
              <w:jc w:val="center"/>
              <w:rPr>
                <w:rFonts w:ascii="Arial" w:eastAsia="Calibri" w:hAnsi="Arial" w:cs="Arial"/>
                <w:b/>
                <w:u w:val="single"/>
              </w:rPr>
            </w:pPr>
            <w:r>
              <w:rPr>
                <w:rFonts w:ascii="Arial" w:eastAsia="Calibri" w:hAnsi="Arial" w:cs="Arial"/>
                <w:b/>
                <w:u w:val="single"/>
              </w:rPr>
              <w:t>99.90%</w:t>
            </w:r>
          </w:p>
          <w:p w14:paraId="213CD53B" w14:textId="154F1F36" w:rsidR="00241589" w:rsidRDefault="00241589" w:rsidP="00C95525">
            <w:pPr>
              <w:jc w:val="center"/>
              <w:rPr>
                <w:rFonts w:ascii="Arial" w:eastAsia="Calibri" w:hAnsi="Arial" w:cs="Arial"/>
                <w:b/>
                <w:u w:val="single"/>
              </w:rPr>
            </w:pPr>
            <w:r>
              <w:rPr>
                <w:rFonts w:ascii="Arial" w:eastAsia="Calibri" w:hAnsi="Arial" w:cs="Arial"/>
                <w:b/>
                <w:u w:val="single"/>
              </w:rPr>
              <w:t>99.70%</w:t>
            </w:r>
          </w:p>
          <w:p w14:paraId="16AD5FD4" w14:textId="77777777" w:rsidR="00241589" w:rsidRDefault="00241589" w:rsidP="00C95525">
            <w:pPr>
              <w:jc w:val="center"/>
              <w:rPr>
                <w:rFonts w:ascii="Arial" w:eastAsia="Calibri" w:hAnsi="Arial" w:cs="Arial"/>
                <w:b/>
                <w:u w:val="single"/>
              </w:rPr>
            </w:pPr>
          </w:p>
          <w:p w14:paraId="024B2A5E" w14:textId="120C9D60" w:rsidR="00241589" w:rsidRDefault="00241589" w:rsidP="00C95525">
            <w:pPr>
              <w:jc w:val="center"/>
              <w:rPr>
                <w:rFonts w:ascii="Arial" w:eastAsia="Calibri" w:hAnsi="Arial" w:cs="Arial"/>
                <w:b/>
                <w:u w:val="single"/>
              </w:rPr>
            </w:pPr>
            <w:r>
              <w:rPr>
                <w:rFonts w:ascii="Arial" w:eastAsia="Calibri" w:hAnsi="Arial" w:cs="Arial"/>
                <w:b/>
                <w:u w:val="single"/>
              </w:rPr>
              <w:t>99.90%</w:t>
            </w:r>
          </w:p>
        </w:tc>
        <w:tc>
          <w:tcPr>
            <w:tcW w:w="1804" w:type="dxa"/>
          </w:tcPr>
          <w:p w14:paraId="45A6FC6C" w14:textId="77777777" w:rsidR="00241589" w:rsidRDefault="00241589" w:rsidP="002551C6">
            <w:pPr>
              <w:jc w:val="center"/>
              <w:rPr>
                <w:rFonts w:ascii="Arial" w:eastAsia="Calibri" w:hAnsi="Arial" w:cs="Arial"/>
                <w:b/>
                <w:u w:val="single"/>
              </w:rPr>
            </w:pPr>
          </w:p>
          <w:p w14:paraId="426FB0AD" w14:textId="77777777" w:rsidR="00241589" w:rsidRDefault="00241589" w:rsidP="002551C6">
            <w:pPr>
              <w:jc w:val="center"/>
              <w:rPr>
                <w:rFonts w:ascii="Arial" w:eastAsia="Calibri" w:hAnsi="Arial" w:cs="Arial"/>
                <w:b/>
                <w:u w:val="single"/>
              </w:rPr>
            </w:pPr>
          </w:p>
          <w:p w14:paraId="26372726" w14:textId="77777777" w:rsidR="00241589" w:rsidRDefault="00241589" w:rsidP="002551C6">
            <w:pPr>
              <w:jc w:val="center"/>
              <w:rPr>
                <w:rFonts w:ascii="Arial" w:eastAsia="Calibri" w:hAnsi="Arial" w:cs="Arial"/>
                <w:b/>
                <w:u w:val="single"/>
              </w:rPr>
            </w:pPr>
          </w:p>
          <w:p w14:paraId="00F64823" w14:textId="79F37BC8" w:rsidR="00241589" w:rsidRDefault="00241589" w:rsidP="002551C6">
            <w:pPr>
              <w:jc w:val="center"/>
              <w:rPr>
                <w:rFonts w:ascii="Arial" w:eastAsia="Calibri" w:hAnsi="Arial" w:cs="Arial"/>
                <w:b/>
                <w:u w:val="single"/>
              </w:rPr>
            </w:pPr>
            <w:r>
              <w:rPr>
                <w:rFonts w:ascii="Arial" w:eastAsia="Calibri" w:hAnsi="Arial" w:cs="Arial"/>
                <w:b/>
                <w:u w:val="single"/>
              </w:rPr>
              <w:t>99.80%</w:t>
            </w:r>
          </w:p>
          <w:p w14:paraId="68FFC4F8" w14:textId="109BD1D0" w:rsidR="00241589" w:rsidRDefault="00241589" w:rsidP="002551C6">
            <w:pPr>
              <w:jc w:val="center"/>
              <w:rPr>
                <w:rFonts w:ascii="Arial" w:eastAsia="Calibri" w:hAnsi="Arial" w:cs="Arial"/>
                <w:b/>
                <w:u w:val="single"/>
              </w:rPr>
            </w:pPr>
            <w:r>
              <w:rPr>
                <w:rFonts w:ascii="Arial" w:eastAsia="Calibri" w:hAnsi="Arial" w:cs="Arial"/>
                <w:b/>
                <w:u w:val="single"/>
              </w:rPr>
              <w:t>64.90%</w:t>
            </w:r>
          </w:p>
          <w:p w14:paraId="6CC0AF05" w14:textId="77777777" w:rsidR="00241589" w:rsidRDefault="00241589" w:rsidP="002551C6">
            <w:pPr>
              <w:jc w:val="center"/>
              <w:rPr>
                <w:rFonts w:ascii="Arial" w:eastAsia="Calibri" w:hAnsi="Arial" w:cs="Arial"/>
                <w:b/>
                <w:u w:val="single"/>
              </w:rPr>
            </w:pPr>
          </w:p>
          <w:p w14:paraId="18A5087B" w14:textId="7DBCD898" w:rsidR="00241589" w:rsidRDefault="00241589" w:rsidP="002551C6">
            <w:pPr>
              <w:jc w:val="center"/>
              <w:rPr>
                <w:rFonts w:ascii="Arial" w:eastAsia="Calibri" w:hAnsi="Arial" w:cs="Arial"/>
                <w:b/>
                <w:u w:val="single"/>
              </w:rPr>
            </w:pPr>
            <w:r>
              <w:rPr>
                <w:rFonts w:ascii="Arial" w:eastAsia="Calibri" w:hAnsi="Arial" w:cs="Arial"/>
                <w:b/>
                <w:u w:val="single"/>
              </w:rPr>
              <w:t>96.50%</w:t>
            </w:r>
          </w:p>
        </w:tc>
        <w:tc>
          <w:tcPr>
            <w:tcW w:w="2042" w:type="dxa"/>
          </w:tcPr>
          <w:p w14:paraId="2C25F9E0" w14:textId="77777777" w:rsidR="00241589" w:rsidRDefault="00241589" w:rsidP="002551C6">
            <w:pPr>
              <w:jc w:val="center"/>
              <w:rPr>
                <w:rFonts w:ascii="Arial" w:eastAsia="Calibri" w:hAnsi="Arial" w:cs="Arial"/>
                <w:b/>
                <w:u w:val="single"/>
              </w:rPr>
            </w:pPr>
          </w:p>
          <w:p w14:paraId="583D125E" w14:textId="77777777" w:rsidR="00241589" w:rsidRDefault="00241589" w:rsidP="002551C6">
            <w:pPr>
              <w:jc w:val="center"/>
              <w:rPr>
                <w:rFonts w:ascii="Arial" w:eastAsia="Calibri" w:hAnsi="Arial" w:cs="Arial"/>
                <w:b/>
                <w:u w:val="single"/>
              </w:rPr>
            </w:pPr>
          </w:p>
          <w:p w14:paraId="411A006B" w14:textId="77777777" w:rsidR="00241589" w:rsidRDefault="00241589" w:rsidP="002551C6">
            <w:pPr>
              <w:jc w:val="center"/>
              <w:rPr>
                <w:rFonts w:ascii="Arial" w:eastAsia="Calibri" w:hAnsi="Arial" w:cs="Arial"/>
                <w:b/>
                <w:u w:val="single"/>
              </w:rPr>
            </w:pPr>
          </w:p>
          <w:p w14:paraId="0B156EE4" w14:textId="5C65CB1A" w:rsidR="00241589" w:rsidRDefault="00241589" w:rsidP="002551C6">
            <w:pPr>
              <w:jc w:val="center"/>
              <w:rPr>
                <w:rFonts w:ascii="Arial" w:eastAsia="Calibri" w:hAnsi="Arial" w:cs="Arial"/>
                <w:b/>
                <w:u w:val="single"/>
              </w:rPr>
            </w:pPr>
            <w:r>
              <w:rPr>
                <w:rFonts w:ascii="Arial" w:eastAsia="Calibri" w:hAnsi="Arial" w:cs="Arial"/>
                <w:b/>
                <w:u w:val="single"/>
              </w:rPr>
              <w:t>99.80%</w:t>
            </w:r>
          </w:p>
          <w:p w14:paraId="09055B89" w14:textId="3B0E169E" w:rsidR="00241589" w:rsidRDefault="00241589" w:rsidP="002551C6">
            <w:pPr>
              <w:jc w:val="center"/>
              <w:rPr>
                <w:rFonts w:ascii="Arial" w:eastAsia="Calibri" w:hAnsi="Arial" w:cs="Arial"/>
                <w:b/>
                <w:u w:val="single"/>
              </w:rPr>
            </w:pPr>
            <w:r>
              <w:rPr>
                <w:rFonts w:ascii="Arial" w:eastAsia="Calibri" w:hAnsi="Arial" w:cs="Arial"/>
                <w:b/>
                <w:u w:val="single"/>
              </w:rPr>
              <w:t>63.20%</w:t>
            </w:r>
          </w:p>
          <w:p w14:paraId="54F4B18C" w14:textId="77777777" w:rsidR="00241589" w:rsidRDefault="00241589" w:rsidP="002551C6">
            <w:pPr>
              <w:jc w:val="center"/>
              <w:rPr>
                <w:rFonts w:ascii="Arial" w:eastAsia="Calibri" w:hAnsi="Arial" w:cs="Arial"/>
                <w:b/>
                <w:u w:val="single"/>
              </w:rPr>
            </w:pPr>
          </w:p>
          <w:p w14:paraId="0E43103C" w14:textId="7A24DA2F" w:rsidR="00241589" w:rsidRDefault="00241589" w:rsidP="002551C6">
            <w:pPr>
              <w:jc w:val="center"/>
              <w:rPr>
                <w:rFonts w:ascii="Arial" w:eastAsia="Calibri" w:hAnsi="Arial" w:cs="Arial"/>
                <w:b/>
                <w:u w:val="single"/>
              </w:rPr>
            </w:pPr>
            <w:r>
              <w:rPr>
                <w:rFonts w:ascii="Arial" w:eastAsia="Calibri" w:hAnsi="Arial" w:cs="Arial"/>
                <w:b/>
                <w:u w:val="single"/>
              </w:rPr>
              <w:t>96.30%</w:t>
            </w:r>
          </w:p>
        </w:tc>
      </w:tr>
      <w:tr w:rsidR="00042E94" w:rsidRPr="004B1294" w14:paraId="011E0B32" w14:textId="77777777" w:rsidTr="00042E94">
        <w:tc>
          <w:tcPr>
            <w:tcW w:w="1550" w:type="dxa"/>
          </w:tcPr>
          <w:p w14:paraId="169E7B08" w14:textId="6333ACFC" w:rsidR="00042E94" w:rsidRDefault="00042E94" w:rsidP="00042E94">
            <w:pPr>
              <w:jc w:val="center"/>
              <w:rPr>
                <w:rFonts w:ascii="Arial" w:hAnsi="Arial" w:cs="Arial"/>
                <w:b/>
              </w:rPr>
            </w:pPr>
            <w:r>
              <w:rPr>
                <w:rFonts w:ascii="Arial" w:hAnsi="Arial" w:cs="Arial"/>
                <w:b/>
              </w:rPr>
              <w:t>267</w:t>
            </w:r>
          </w:p>
        </w:tc>
        <w:tc>
          <w:tcPr>
            <w:tcW w:w="3255" w:type="dxa"/>
          </w:tcPr>
          <w:p w14:paraId="3518EAAE" w14:textId="77777777" w:rsidR="00042E94" w:rsidRDefault="00042E94" w:rsidP="00042E94">
            <w:pPr>
              <w:jc w:val="both"/>
              <w:rPr>
                <w:rFonts w:ascii="Arial" w:hAnsi="Arial" w:cs="Arial"/>
                <w:b/>
                <w:lang w:val="es-MX"/>
              </w:rPr>
            </w:pPr>
            <w:r>
              <w:rPr>
                <w:rFonts w:ascii="Arial" w:hAnsi="Arial" w:cs="Arial"/>
                <w:b/>
                <w:lang w:val="es-MX"/>
              </w:rPr>
              <w:t xml:space="preserve">UNIDAD </w:t>
            </w:r>
            <w:r w:rsidRPr="00241589">
              <w:rPr>
                <w:rFonts w:ascii="Arial" w:hAnsi="Arial" w:cs="Arial"/>
                <w:b/>
                <w:lang w:val="es-MX"/>
              </w:rPr>
              <w:t xml:space="preserve">DE </w:t>
            </w:r>
            <w:r>
              <w:rPr>
                <w:rFonts w:ascii="Arial" w:hAnsi="Arial" w:cs="Arial"/>
                <w:b/>
                <w:lang w:val="es-MX"/>
              </w:rPr>
              <w:t>PLANEACIÓN MINERO ENERGETICA – UPME.</w:t>
            </w:r>
          </w:p>
          <w:p w14:paraId="6A5C5B46" w14:textId="77777777" w:rsidR="00042E94" w:rsidRDefault="00042E94" w:rsidP="00042E94">
            <w:pPr>
              <w:jc w:val="both"/>
              <w:rPr>
                <w:rFonts w:ascii="Arial" w:hAnsi="Arial" w:cs="Arial"/>
                <w:b/>
                <w:lang w:val="es-MX"/>
              </w:rPr>
            </w:pPr>
          </w:p>
          <w:p w14:paraId="725B4B29" w14:textId="77777777" w:rsidR="00042E94" w:rsidRDefault="00042E94" w:rsidP="00042E94">
            <w:pPr>
              <w:jc w:val="both"/>
              <w:rPr>
                <w:rFonts w:ascii="Arial" w:hAnsi="Arial" w:cs="Arial"/>
                <w:b/>
                <w:lang w:val="es-MX"/>
              </w:rPr>
            </w:pPr>
            <w:r>
              <w:rPr>
                <w:rFonts w:ascii="Arial" w:hAnsi="Arial" w:cs="Arial"/>
                <w:b/>
                <w:lang w:val="es-MX"/>
              </w:rPr>
              <w:t>FUNCIONAMIENTO</w:t>
            </w:r>
          </w:p>
          <w:p w14:paraId="335F6556" w14:textId="77777777" w:rsidR="00042E94" w:rsidRDefault="00042E94" w:rsidP="00042E94">
            <w:pPr>
              <w:jc w:val="both"/>
              <w:rPr>
                <w:rFonts w:ascii="Arial" w:hAnsi="Arial" w:cs="Arial"/>
                <w:b/>
                <w:lang w:val="es-MX"/>
              </w:rPr>
            </w:pPr>
            <w:r>
              <w:rPr>
                <w:rFonts w:ascii="Arial" w:hAnsi="Arial" w:cs="Arial"/>
                <w:b/>
                <w:lang w:val="es-MX"/>
              </w:rPr>
              <w:t>INVERSIÓN</w:t>
            </w:r>
          </w:p>
          <w:p w14:paraId="6DBF52A8" w14:textId="77777777" w:rsidR="00042E94" w:rsidRDefault="00042E94" w:rsidP="00042E94">
            <w:pPr>
              <w:jc w:val="both"/>
              <w:rPr>
                <w:rFonts w:ascii="Arial" w:hAnsi="Arial" w:cs="Arial"/>
                <w:b/>
                <w:lang w:val="es-MX"/>
              </w:rPr>
            </w:pPr>
          </w:p>
          <w:p w14:paraId="58E2971B" w14:textId="5FD2DCA2" w:rsidR="00042E94" w:rsidRPr="00241589" w:rsidRDefault="00042E94" w:rsidP="00042E94">
            <w:pPr>
              <w:jc w:val="both"/>
              <w:rPr>
                <w:rFonts w:ascii="Arial" w:hAnsi="Arial" w:cs="Arial"/>
                <w:b/>
                <w:lang w:val="es-MX"/>
              </w:rPr>
            </w:pPr>
            <w:r>
              <w:rPr>
                <w:rFonts w:ascii="Arial" w:hAnsi="Arial" w:cs="Arial"/>
                <w:b/>
                <w:lang w:val="es-MX"/>
              </w:rPr>
              <w:t>TOTAL PRESUPUESTO</w:t>
            </w:r>
          </w:p>
        </w:tc>
        <w:tc>
          <w:tcPr>
            <w:tcW w:w="1839" w:type="dxa"/>
          </w:tcPr>
          <w:p w14:paraId="091F1FCD" w14:textId="77777777" w:rsidR="00042E94" w:rsidRDefault="00042E94" w:rsidP="00042E94">
            <w:pPr>
              <w:jc w:val="center"/>
              <w:rPr>
                <w:rFonts w:ascii="Arial" w:eastAsia="Calibri" w:hAnsi="Arial" w:cs="Arial"/>
                <w:b/>
                <w:u w:val="single"/>
              </w:rPr>
            </w:pPr>
          </w:p>
          <w:p w14:paraId="317EA2B1" w14:textId="77777777" w:rsidR="00042E94" w:rsidRDefault="00042E94" w:rsidP="00042E94">
            <w:pPr>
              <w:jc w:val="center"/>
              <w:rPr>
                <w:rFonts w:ascii="Arial" w:eastAsia="Calibri" w:hAnsi="Arial" w:cs="Arial"/>
                <w:b/>
                <w:u w:val="single"/>
              </w:rPr>
            </w:pPr>
          </w:p>
          <w:p w14:paraId="04B37647" w14:textId="77777777" w:rsidR="00042E94" w:rsidRDefault="00042E94" w:rsidP="00042E94">
            <w:pPr>
              <w:jc w:val="center"/>
              <w:rPr>
                <w:rFonts w:ascii="Arial" w:eastAsia="Calibri" w:hAnsi="Arial" w:cs="Arial"/>
                <w:b/>
                <w:u w:val="single"/>
              </w:rPr>
            </w:pPr>
          </w:p>
          <w:p w14:paraId="215C36EF" w14:textId="1926510B" w:rsidR="00042E94" w:rsidRDefault="00042E94" w:rsidP="00042E94">
            <w:pPr>
              <w:jc w:val="center"/>
              <w:rPr>
                <w:rFonts w:ascii="Arial" w:eastAsia="Calibri" w:hAnsi="Arial" w:cs="Arial"/>
                <w:b/>
                <w:u w:val="single"/>
              </w:rPr>
            </w:pPr>
            <w:r>
              <w:rPr>
                <w:rFonts w:ascii="Arial" w:eastAsia="Calibri" w:hAnsi="Arial" w:cs="Arial"/>
                <w:b/>
                <w:u w:val="single"/>
              </w:rPr>
              <w:t>81.00%</w:t>
            </w:r>
          </w:p>
          <w:p w14:paraId="3E443944" w14:textId="78982D86" w:rsidR="00042E94" w:rsidRDefault="00042E94" w:rsidP="00042E94">
            <w:pPr>
              <w:jc w:val="center"/>
              <w:rPr>
                <w:rFonts w:ascii="Arial" w:eastAsia="Calibri" w:hAnsi="Arial" w:cs="Arial"/>
                <w:b/>
                <w:u w:val="single"/>
              </w:rPr>
            </w:pPr>
            <w:r>
              <w:rPr>
                <w:rFonts w:ascii="Arial" w:eastAsia="Calibri" w:hAnsi="Arial" w:cs="Arial"/>
                <w:b/>
                <w:u w:val="single"/>
              </w:rPr>
              <w:t>99.00%</w:t>
            </w:r>
          </w:p>
          <w:p w14:paraId="269C496E" w14:textId="77777777" w:rsidR="00042E94" w:rsidRDefault="00042E94" w:rsidP="00042E94">
            <w:pPr>
              <w:jc w:val="center"/>
              <w:rPr>
                <w:rFonts w:ascii="Arial" w:eastAsia="Calibri" w:hAnsi="Arial" w:cs="Arial"/>
                <w:b/>
                <w:u w:val="single"/>
              </w:rPr>
            </w:pPr>
          </w:p>
          <w:p w14:paraId="07CBBF4D" w14:textId="583E0F5A" w:rsidR="00042E94" w:rsidRDefault="00042E94" w:rsidP="00042E94">
            <w:pPr>
              <w:jc w:val="center"/>
              <w:rPr>
                <w:rFonts w:ascii="Arial" w:eastAsia="Calibri" w:hAnsi="Arial" w:cs="Arial"/>
                <w:b/>
                <w:u w:val="single"/>
              </w:rPr>
            </w:pPr>
            <w:r>
              <w:rPr>
                <w:rFonts w:ascii="Arial" w:eastAsia="Calibri" w:hAnsi="Arial" w:cs="Arial"/>
                <w:b/>
                <w:u w:val="single"/>
              </w:rPr>
              <w:t>89.00%</w:t>
            </w:r>
          </w:p>
        </w:tc>
        <w:tc>
          <w:tcPr>
            <w:tcW w:w="1804" w:type="dxa"/>
          </w:tcPr>
          <w:p w14:paraId="7476F0E8" w14:textId="77777777" w:rsidR="00042E94" w:rsidRDefault="00042E94" w:rsidP="00042E94">
            <w:pPr>
              <w:jc w:val="center"/>
              <w:rPr>
                <w:rFonts w:ascii="Arial" w:eastAsia="Calibri" w:hAnsi="Arial" w:cs="Arial"/>
                <w:b/>
                <w:u w:val="single"/>
              </w:rPr>
            </w:pPr>
          </w:p>
          <w:p w14:paraId="6215D6F3" w14:textId="77777777" w:rsidR="00042E94" w:rsidRDefault="00042E94" w:rsidP="00042E94">
            <w:pPr>
              <w:jc w:val="center"/>
              <w:rPr>
                <w:rFonts w:ascii="Arial" w:eastAsia="Calibri" w:hAnsi="Arial" w:cs="Arial"/>
                <w:b/>
                <w:u w:val="single"/>
              </w:rPr>
            </w:pPr>
          </w:p>
          <w:p w14:paraId="19BBD8DB" w14:textId="77777777" w:rsidR="00042E94" w:rsidRDefault="00042E94" w:rsidP="00042E94">
            <w:pPr>
              <w:jc w:val="center"/>
              <w:rPr>
                <w:rFonts w:ascii="Arial" w:eastAsia="Calibri" w:hAnsi="Arial" w:cs="Arial"/>
                <w:b/>
                <w:u w:val="single"/>
              </w:rPr>
            </w:pPr>
          </w:p>
          <w:p w14:paraId="48DC81D6" w14:textId="46107C25" w:rsidR="00042E94" w:rsidRDefault="00042E94" w:rsidP="00042E94">
            <w:pPr>
              <w:jc w:val="center"/>
              <w:rPr>
                <w:rFonts w:ascii="Arial" w:eastAsia="Calibri" w:hAnsi="Arial" w:cs="Arial"/>
                <w:b/>
                <w:u w:val="single"/>
              </w:rPr>
            </w:pPr>
            <w:r>
              <w:rPr>
                <w:rFonts w:ascii="Arial" w:eastAsia="Calibri" w:hAnsi="Arial" w:cs="Arial"/>
                <w:b/>
                <w:u w:val="single"/>
              </w:rPr>
              <w:t>81.00%</w:t>
            </w:r>
          </w:p>
          <w:p w14:paraId="646A1129" w14:textId="0568E5FC" w:rsidR="00042E94" w:rsidRDefault="00042E94" w:rsidP="00042E94">
            <w:pPr>
              <w:jc w:val="center"/>
              <w:rPr>
                <w:rFonts w:ascii="Arial" w:eastAsia="Calibri" w:hAnsi="Arial" w:cs="Arial"/>
                <w:b/>
                <w:u w:val="single"/>
              </w:rPr>
            </w:pPr>
            <w:r>
              <w:rPr>
                <w:rFonts w:ascii="Arial" w:eastAsia="Calibri" w:hAnsi="Arial" w:cs="Arial"/>
                <w:b/>
                <w:u w:val="single"/>
              </w:rPr>
              <w:t>99.00%</w:t>
            </w:r>
          </w:p>
          <w:p w14:paraId="1C15693E" w14:textId="77777777" w:rsidR="00042E94" w:rsidRDefault="00042E94" w:rsidP="00042E94">
            <w:pPr>
              <w:jc w:val="center"/>
              <w:rPr>
                <w:rFonts w:ascii="Arial" w:eastAsia="Calibri" w:hAnsi="Arial" w:cs="Arial"/>
                <w:b/>
                <w:u w:val="single"/>
              </w:rPr>
            </w:pPr>
          </w:p>
          <w:p w14:paraId="2E76B44E" w14:textId="7D38B30B" w:rsidR="00042E94" w:rsidRDefault="00042E94" w:rsidP="00042E94">
            <w:pPr>
              <w:jc w:val="center"/>
              <w:rPr>
                <w:rFonts w:ascii="Arial" w:eastAsia="Calibri" w:hAnsi="Arial" w:cs="Arial"/>
                <w:b/>
                <w:u w:val="single"/>
              </w:rPr>
            </w:pPr>
            <w:r>
              <w:rPr>
                <w:rFonts w:ascii="Arial" w:eastAsia="Calibri" w:hAnsi="Arial" w:cs="Arial"/>
                <w:b/>
                <w:u w:val="single"/>
              </w:rPr>
              <w:t>89.00%</w:t>
            </w:r>
          </w:p>
        </w:tc>
        <w:tc>
          <w:tcPr>
            <w:tcW w:w="2042" w:type="dxa"/>
          </w:tcPr>
          <w:p w14:paraId="682F4760" w14:textId="77777777" w:rsidR="00042E94" w:rsidRDefault="00042E94" w:rsidP="00042E94">
            <w:pPr>
              <w:jc w:val="center"/>
              <w:rPr>
                <w:rFonts w:ascii="Arial" w:eastAsia="Calibri" w:hAnsi="Arial" w:cs="Arial"/>
                <w:b/>
                <w:u w:val="single"/>
              </w:rPr>
            </w:pPr>
          </w:p>
          <w:p w14:paraId="31C00CA1" w14:textId="77777777" w:rsidR="00042E94" w:rsidRDefault="00042E94" w:rsidP="00042E94">
            <w:pPr>
              <w:jc w:val="center"/>
              <w:rPr>
                <w:rFonts w:ascii="Arial" w:eastAsia="Calibri" w:hAnsi="Arial" w:cs="Arial"/>
                <w:b/>
                <w:u w:val="single"/>
              </w:rPr>
            </w:pPr>
          </w:p>
          <w:p w14:paraId="3FABB8D0" w14:textId="77777777" w:rsidR="00042E94" w:rsidRDefault="00042E94" w:rsidP="00042E94">
            <w:pPr>
              <w:jc w:val="center"/>
              <w:rPr>
                <w:rFonts w:ascii="Arial" w:eastAsia="Calibri" w:hAnsi="Arial" w:cs="Arial"/>
                <w:b/>
                <w:u w:val="single"/>
              </w:rPr>
            </w:pPr>
          </w:p>
          <w:p w14:paraId="0C646E0C" w14:textId="1AC1D287" w:rsidR="00042E94" w:rsidRDefault="00042E94" w:rsidP="00042E94">
            <w:pPr>
              <w:jc w:val="center"/>
              <w:rPr>
                <w:rFonts w:ascii="Arial" w:eastAsia="Calibri" w:hAnsi="Arial" w:cs="Arial"/>
                <w:b/>
                <w:u w:val="single"/>
              </w:rPr>
            </w:pPr>
            <w:r>
              <w:rPr>
                <w:rFonts w:ascii="Arial" w:eastAsia="Calibri" w:hAnsi="Arial" w:cs="Arial"/>
                <w:b/>
                <w:u w:val="single"/>
              </w:rPr>
              <w:t>81.00%</w:t>
            </w:r>
          </w:p>
          <w:p w14:paraId="0780EE3F" w14:textId="51669D0E" w:rsidR="00042E94" w:rsidRDefault="00042E94" w:rsidP="00042E94">
            <w:pPr>
              <w:jc w:val="center"/>
              <w:rPr>
                <w:rFonts w:ascii="Arial" w:eastAsia="Calibri" w:hAnsi="Arial" w:cs="Arial"/>
                <w:b/>
                <w:u w:val="single"/>
              </w:rPr>
            </w:pPr>
            <w:r>
              <w:rPr>
                <w:rFonts w:ascii="Arial" w:eastAsia="Calibri" w:hAnsi="Arial" w:cs="Arial"/>
                <w:b/>
                <w:u w:val="single"/>
              </w:rPr>
              <w:t>99.00%</w:t>
            </w:r>
          </w:p>
          <w:p w14:paraId="624EE95E" w14:textId="77777777" w:rsidR="00042E94" w:rsidRDefault="00042E94" w:rsidP="00042E94">
            <w:pPr>
              <w:jc w:val="center"/>
              <w:rPr>
                <w:rFonts w:ascii="Arial" w:eastAsia="Calibri" w:hAnsi="Arial" w:cs="Arial"/>
                <w:b/>
                <w:u w:val="single"/>
              </w:rPr>
            </w:pPr>
          </w:p>
          <w:p w14:paraId="1AEFEB2E" w14:textId="1531D5DC" w:rsidR="00042E94" w:rsidRDefault="00042E94" w:rsidP="00042E94">
            <w:pPr>
              <w:jc w:val="center"/>
              <w:rPr>
                <w:rFonts w:ascii="Arial" w:eastAsia="Calibri" w:hAnsi="Arial" w:cs="Arial"/>
                <w:b/>
                <w:u w:val="single"/>
              </w:rPr>
            </w:pPr>
            <w:r>
              <w:rPr>
                <w:rFonts w:ascii="Arial" w:eastAsia="Calibri" w:hAnsi="Arial" w:cs="Arial"/>
                <w:b/>
                <w:u w:val="single"/>
              </w:rPr>
              <w:t>89.00%</w:t>
            </w:r>
          </w:p>
        </w:tc>
      </w:tr>
      <w:tr w:rsidR="004512FA" w:rsidRPr="004B1294" w14:paraId="06D096BA" w14:textId="77777777" w:rsidTr="00042E94">
        <w:tc>
          <w:tcPr>
            <w:tcW w:w="1550" w:type="dxa"/>
          </w:tcPr>
          <w:p w14:paraId="57233103" w14:textId="39E25B88" w:rsidR="004512FA" w:rsidRDefault="004512FA" w:rsidP="00042E94">
            <w:pPr>
              <w:jc w:val="center"/>
              <w:rPr>
                <w:rFonts w:ascii="Arial" w:hAnsi="Arial" w:cs="Arial"/>
                <w:b/>
              </w:rPr>
            </w:pPr>
            <w:r>
              <w:rPr>
                <w:rFonts w:ascii="Arial" w:hAnsi="Arial" w:cs="Arial"/>
                <w:b/>
              </w:rPr>
              <w:t>268</w:t>
            </w:r>
          </w:p>
        </w:tc>
        <w:tc>
          <w:tcPr>
            <w:tcW w:w="3255" w:type="dxa"/>
          </w:tcPr>
          <w:p w14:paraId="0B3314B9" w14:textId="7ADCE794" w:rsidR="004512FA" w:rsidRDefault="004512FA" w:rsidP="004512FA">
            <w:pPr>
              <w:jc w:val="both"/>
              <w:rPr>
                <w:rFonts w:ascii="Arial" w:hAnsi="Arial" w:cs="Arial"/>
                <w:b/>
                <w:lang w:val="es-MX"/>
              </w:rPr>
            </w:pPr>
            <w:r w:rsidRPr="004512FA">
              <w:rPr>
                <w:rFonts w:ascii="Arial" w:hAnsi="Arial" w:cs="Arial"/>
                <w:b/>
                <w:lang w:val="es-MX"/>
              </w:rPr>
              <w:t>CORPORACIÓN AUTÓNOMA REGIONAL DEL SUR DE BOLÍVAR - CSB.</w:t>
            </w:r>
          </w:p>
          <w:p w14:paraId="07AD0C02" w14:textId="14B26A4B" w:rsidR="004512FA" w:rsidRDefault="004512FA" w:rsidP="004512FA">
            <w:pPr>
              <w:jc w:val="both"/>
              <w:rPr>
                <w:rFonts w:ascii="Arial" w:hAnsi="Arial" w:cs="Arial"/>
                <w:b/>
                <w:lang w:val="es-MX"/>
              </w:rPr>
            </w:pPr>
          </w:p>
          <w:p w14:paraId="12CF311C" w14:textId="06E18949" w:rsidR="004512FA" w:rsidRDefault="004512FA" w:rsidP="004512FA">
            <w:pPr>
              <w:jc w:val="both"/>
              <w:rPr>
                <w:rFonts w:ascii="Arial" w:hAnsi="Arial" w:cs="Arial"/>
                <w:b/>
                <w:lang w:val="es-MX"/>
              </w:rPr>
            </w:pPr>
            <w:r>
              <w:rPr>
                <w:rFonts w:ascii="Arial" w:hAnsi="Arial" w:cs="Arial"/>
                <w:b/>
                <w:lang w:val="es-MX"/>
              </w:rPr>
              <w:lastRenderedPageBreak/>
              <w:t>FUNCIONAMIENTO</w:t>
            </w:r>
          </w:p>
          <w:p w14:paraId="319BB353" w14:textId="77777777" w:rsidR="004512FA" w:rsidRDefault="004512FA" w:rsidP="004512FA">
            <w:pPr>
              <w:jc w:val="both"/>
              <w:rPr>
                <w:rFonts w:ascii="Arial" w:hAnsi="Arial" w:cs="Arial"/>
                <w:b/>
                <w:lang w:val="es-MX"/>
              </w:rPr>
            </w:pPr>
          </w:p>
          <w:p w14:paraId="7C1C3340" w14:textId="38B9848B" w:rsidR="004512FA" w:rsidRDefault="004512FA" w:rsidP="00042E94">
            <w:pPr>
              <w:jc w:val="both"/>
              <w:rPr>
                <w:rFonts w:ascii="Arial" w:hAnsi="Arial" w:cs="Arial"/>
                <w:b/>
                <w:lang w:val="es-MX"/>
              </w:rPr>
            </w:pPr>
            <w:r>
              <w:rPr>
                <w:rFonts w:ascii="Arial" w:hAnsi="Arial" w:cs="Arial"/>
                <w:b/>
                <w:lang w:val="es-MX"/>
              </w:rPr>
              <w:t>TOTAL PRESUPUESTO</w:t>
            </w:r>
          </w:p>
        </w:tc>
        <w:tc>
          <w:tcPr>
            <w:tcW w:w="1839" w:type="dxa"/>
          </w:tcPr>
          <w:p w14:paraId="156B6DDB" w14:textId="77777777" w:rsidR="004512FA" w:rsidRDefault="004512FA" w:rsidP="00042E94">
            <w:pPr>
              <w:jc w:val="center"/>
              <w:rPr>
                <w:rFonts w:ascii="Arial" w:eastAsia="Calibri" w:hAnsi="Arial" w:cs="Arial"/>
                <w:b/>
                <w:u w:val="single"/>
              </w:rPr>
            </w:pPr>
          </w:p>
          <w:p w14:paraId="2FD9746F" w14:textId="77777777" w:rsidR="004512FA" w:rsidRDefault="004512FA" w:rsidP="00042E94">
            <w:pPr>
              <w:jc w:val="center"/>
              <w:rPr>
                <w:rFonts w:ascii="Arial" w:eastAsia="Calibri" w:hAnsi="Arial" w:cs="Arial"/>
                <w:b/>
                <w:u w:val="single"/>
              </w:rPr>
            </w:pPr>
          </w:p>
          <w:p w14:paraId="7CED644C" w14:textId="77777777" w:rsidR="004512FA" w:rsidRDefault="004512FA" w:rsidP="00042E94">
            <w:pPr>
              <w:jc w:val="center"/>
              <w:rPr>
                <w:rFonts w:ascii="Arial" w:eastAsia="Calibri" w:hAnsi="Arial" w:cs="Arial"/>
                <w:b/>
                <w:u w:val="single"/>
              </w:rPr>
            </w:pPr>
          </w:p>
          <w:p w14:paraId="079550DE" w14:textId="77777777" w:rsidR="004512FA" w:rsidRDefault="004512FA" w:rsidP="00042E94">
            <w:pPr>
              <w:jc w:val="center"/>
              <w:rPr>
                <w:rFonts w:ascii="Arial" w:eastAsia="Calibri" w:hAnsi="Arial" w:cs="Arial"/>
                <w:b/>
                <w:u w:val="single"/>
              </w:rPr>
            </w:pPr>
          </w:p>
          <w:p w14:paraId="2D1A2E39" w14:textId="23FA6C08" w:rsidR="004512FA" w:rsidRDefault="004512FA" w:rsidP="00042E94">
            <w:pPr>
              <w:jc w:val="center"/>
              <w:rPr>
                <w:rFonts w:ascii="Arial" w:eastAsia="Calibri" w:hAnsi="Arial" w:cs="Arial"/>
                <w:b/>
                <w:u w:val="single"/>
              </w:rPr>
            </w:pPr>
            <w:r>
              <w:rPr>
                <w:rFonts w:ascii="Arial" w:eastAsia="Calibri" w:hAnsi="Arial" w:cs="Arial"/>
                <w:b/>
                <w:u w:val="single"/>
              </w:rPr>
              <w:lastRenderedPageBreak/>
              <w:t>92.00%</w:t>
            </w:r>
          </w:p>
          <w:p w14:paraId="2AD0C63C" w14:textId="77777777" w:rsidR="004512FA" w:rsidRDefault="004512FA" w:rsidP="00042E94">
            <w:pPr>
              <w:jc w:val="center"/>
              <w:rPr>
                <w:rFonts w:ascii="Arial" w:eastAsia="Calibri" w:hAnsi="Arial" w:cs="Arial"/>
                <w:b/>
                <w:u w:val="single"/>
              </w:rPr>
            </w:pPr>
          </w:p>
          <w:p w14:paraId="60E7256B" w14:textId="56F3DE72" w:rsidR="004512FA" w:rsidRDefault="004512FA" w:rsidP="00042E94">
            <w:pPr>
              <w:jc w:val="center"/>
              <w:rPr>
                <w:rFonts w:ascii="Arial" w:eastAsia="Calibri" w:hAnsi="Arial" w:cs="Arial"/>
                <w:b/>
                <w:u w:val="single"/>
              </w:rPr>
            </w:pPr>
            <w:r>
              <w:rPr>
                <w:rFonts w:ascii="Arial" w:eastAsia="Calibri" w:hAnsi="Arial" w:cs="Arial"/>
                <w:b/>
                <w:u w:val="single"/>
              </w:rPr>
              <w:t>92.00%</w:t>
            </w:r>
          </w:p>
        </w:tc>
        <w:tc>
          <w:tcPr>
            <w:tcW w:w="1804" w:type="dxa"/>
          </w:tcPr>
          <w:p w14:paraId="29E6F216" w14:textId="77777777" w:rsidR="004512FA" w:rsidRDefault="004512FA" w:rsidP="00042E94">
            <w:pPr>
              <w:jc w:val="center"/>
              <w:rPr>
                <w:rFonts w:ascii="Arial" w:eastAsia="Calibri" w:hAnsi="Arial" w:cs="Arial"/>
                <w:b/>
                <w:u w:val="single"/>
              </w:rPr>
            </w:pPr>
          </w:p>
          <w:p w14:paraId="49751C56" w14:textId="77777777" w:rsidR="004512FA" w:rsidRDefault="004512FA" w:rsidP="00042E94">
            <w:pPr>
              <w:jc w:val="center"/>
              <w:rPr>
                <w:rFonts w:ascii="Arial" w:eastAsia="Calibri" w:hAnsi="Arial" w:cs="Arial"/>
                <w:b/>
                <w:u w:val="single"/>
              </w:rPr>
            </w:pPr>
          </w:p>
          <w:p w14:paraId="4D332F7F" w14:textId="77777777" w:rsidR="004512FA" w:rsidRDefault="004512FA" w:rsidP="00042E94">
            <w:pPr>
              <w:jc w:val="center"/>
              <w:rPr>
                <w:rFonts w:ascii="Arial" w:eastAsia="Calibri" w:hAnsi="Arial" w:cs="Arial"/>
                <w:b/>
                <w:u w:val="single"/>
              </w:rPr>
            </w:pPr>
          </w:p>
          <w:p w14:paraId="2B183516" w14:textId="77777777" w:rsidR="004512FA" w:rsidRDefault="004512FA" w:rsidP="00042E94">
            <w:pPr>
              <w:jc w:val="center"/>
              <w:rPr>
                <w:rFonts w:ascii="Arial" w:eastAsia="Calibri" w:hAnsi="Arial" w:cs="Arial"/>
                <w:b/>
                <w:u w:val="single"/>
              </w:rPr>
            </w:pPr>
          </w:p>
          <w:p w14:paraId="7826C9E7" w14:textId="77777777" w:rsidR="004512FA" w:rsidRDefault="004512FA" w:rsidP="004512FA">
            <w:pPr>
              <w:jc w:val="center"/>
              <w:rPr>
                <w:rFonts w:ascii="Arial" w:eastAsia="Calibri" w:hAnsi="Arial" w:cs="Arial"/>
                <w:b/>
                <w:u w:val="single"/>
              </w:rPr>
            </w:pPr>
            <w:r>
              <w:rPr>
                <w:rFonts w:ascii="Arial" w:eastAsia="Calibri" w:hAnsi="Arial" w:cs="Arial"/>
                <w:b/>
                <w:u w:val="single"/>
              </w:rPr>
              <w:lastRenderedPageBreak/>
              <w:t>92.00%</w:t>
            </w:r>
          </w:p>
          <w:p w14:paraId="031C8C92" w14:textId="77777777" w:rsidR="004512FA" w:rsidRDefault="004512FA" w:rsidP="004512FA">
            <w:pPr>
              <w:jc w:val="center"/>
              <w:rPr>
                <w:rFonts w:ascii="Arial" w:eastAsia="Calibri" w:hAnsi="Arial" w:cs="Arial"/>
                <w:b/>
                <w:u w:val="single"/>
              </w:rPr>
            </w:pPr>
          </w:p>
          <w:p w14:paraId="1E936DCA" w14:textId="027A3C0D" w:rsidR="004512FA" w:rsidRDefault="004512FA" w:rsidP="004512FA">
            <w:pPr>
              <w:jc w:val="center"/>
              <w:rPr>
                <w:rFonts w:ascii="Arial" w:eastAsia="Calibri" w:hAnsi="Arial" w:cs="Arial"/>
                <w:b/>
                <w:u w:val="single"/>
              </w:rPr>
            </w:pPr>
            <w:r>
              <w:rPr>
                <w:rFonts w:ascii="Arial" w:eastAsia="Calibri" w:hAnsi="Arial" w:cs="Arial"/>
                <w:b/>
                <w:u w:val="single"/>
              </w:rPr>
              <w:t>92.00%</w:t>
            </w:r>
          </w:p>
        </w:tc>
        <w:tc>
          <w:tcPr>
            <w:tcW w:w="2042" w:type="dxa"/>
          </w:tcPr>
          <w:p w14:paraId="173A8EDE" w14:textId="77777777" w:rsidR="004512FA" w:rsidRDefault="004512FA" w:rsidP="00042E94">
            <w:pPr>
              <w:jc w:val="center"/>
              <w:rPr>
                <w:rFonts w:ascii="Arial" w:eastAsia="Calibri" w:hAnsi="Arial" w:cs="Arial"/>
                <w:b/>
                <w:u w:val="single"/>
              </w:rPr>
            </w:pPr>
          </w:p>
          <w:p w14:paraId="3B6F04BD" w14:textId="77777777" w:rsidR="004512FA" w:rsidRDefault="004512FA" w:rsidP="00042E94">
            <w:pPr>
              <w:jc w:val="center"/>
              <w:rPr>
                <w:rFonts w:ascii="Arial" w:eastAsia="Calibri" w:hAnsi="Arial" w:cs="Arial"/>
                <w:b/>
                <w:u w:val="single"/>
              </w:rPr>
            </w:pPr>
          </w:p>
          <w:p w14:paraId="338CCB39" w14:textId="77777777" w:rsidR="004512FA" w:rsidRDefault="004512FA" w:rsidP="00042E94">
            <w:pPr>
              <w:jc w:val="center"/>
              <w:rPr>
                <w:rFonts w:ascii="Arial" w:eastAsia="Calibri" w:hAnsi="Arial" w:cs="Arial"/>
                <w:b/>
                <w:u w:val="single"/>
              </w:rPr>
            </w:pPr>
          </w:p>
          <w:p w14:paraId="7CC81EF2" w14:textId="77777777" w:rsidR="004512FA" w:rsidRDefault="004512FA" w:rsidP="00042E94">
            <w:pPr>
              <w:jc w:val="center"/>
              <w:rPr>
                <w:rFonts w:ascii="Arial" w:eastAsia="Calibri" w:hAnsi="Arial" w:cs="Arial"/>
                <w:b/>
                <w:u w:val="single"/>
              </w:rPr>
            </w:pPr>
          </w:p>
          <w:p w14:paraId="121AC1DF" w14:textId="77777777" w:rsidR="004512FA" w:rsidRDefault="004512FA" w:rsidP="004512FA">
            <w:pPr>
              <w:jc w:val="center"/>
              <w:rPr>
                <w:rFonts w:ascii="Arial" w:eastAsia="Calibri" w:hAnsi="Arial" w:cs="Arial"/>
                <w:b/>
                <w:u w:val="single"/>
              </w:rPr>
            </w:pPr>
            <w:r>
              <w:rPr>
                <w:rFonts w:ascii="Arial" w:eastAsia="Calibri" w:hAnsi="Arial" w:cs="Arial"/>
                <w:b/>
                <w:u w:val="single"/>
              </w:rPr>
              <w:lastRenderedPageBreak/>
              <w:t>92.00%</w:t>
            </w:r>
          </w:p>
          <w:p w14:paraId="278C4109" w14:textId="77777777" w:rsidR="004512FA" w:rsidRDefault="004512FA" w:rsidP="004512FA">
            <w:pPr>
              <w:jc w:val="center"/>
              <w:rPr>
                <w:rFonts w:ascii="Arial" w:eastAsia="Calibri" w:hAnsi="Arial" w:cs="Arial"/>
                <w:b/>
                <w:u w:val="single"/>
              </w:rPr>
            </w:pPr>
          </w:p>
          <w:p w14:paraId="18E791C9" w14:textId="1E7826EE" w:rsidR="004512FA" w:rsidRDefault="004512FA" w:rsidP="004512FA">
            <w:pPr>
              <w:jc w:val="center"/>
              <w:rPr>
                <w:rFonts w:ascii="Arial" w:eastAsia="Calibri" w:hAnsi="Arial" w:cs="Arial"/>
                <w:b/>
                <w:u w:val="single"/>
              </w:rPr>
            </w:pPr>
            <w:r>
              <w:rPr>
                <w:rFonts w:ascii="Arial" w:eastAsia="Calibri" w:hAnsi="Arial" w:cs="Arial"/>
                <w:b/>
                <w:u w:val="single"/>
              </w:rPr>
              <w:t>92.00%</w:t>
            </w:r>
          </w:p>
        </w:tc>
      </w:tr>
      <w:tr w:rsidR="00C0385A" w:rsidRPr="004B1294" w14:paraId="6AD57DAF" w14:textId="77777777" w:rsidTr="00042E94">
        <w:tc>
          <w:tcPr>
            <w:tcW w:w="1550" w:type="dxa"/>
          </w:tcPr>
          <w:p w14:paraId="314CBE35" w14:textId="1C3CDAFF" w:rsidR="00C0385A" w:rsidRDefault="00C0385A" w:rsidP="00042E94">
            <w:pPr>
              <w:jc w:val="center"/>
              <w:rPr>
                <w:rFonts w:ascii="Arial" w:hAnsi="Arial" w:cs="Arial"/>
                <w:b/>
              </w:rPr>
            </w:pPr>
            <w:r>
              <w:rPr>
                <w:rFonts w:ascii="Arial" w:hAnsi="Arial" w:cs="Arial"/>
                <w:b/>
              </w:rPr>
              <w:lastRenderedPageBreak/>
              <w:t>269</w:t>
            </w:r>
          </w:p>
        </w:tc>
        <w:tc>
          <w:tcPr>
            <w:tcW w:w="3255" w:type="dxa"/>
          </w:tcPr>
          <w:p w14:paraId="1B4385EF" w14:textId="72158584" w:rsidR="00C0385A" w:rsidRPr="00C0385A" w:rsidRDefault="00C0385A" w:rsidP="00C0385A">
            <w:pPr>
              <w:jc w:val="both"/>
              <w:rPr>
                <w:rFonts w:ascii="Arial" w:hAnsi="Arial" w:cs="Arial"/>
                <w:b/>
                <w:lang w:val="es-MX"/>
              </w:rPr>
            </w:pPr>
            <w:r w:rsidRPr="00C0385A">
              <w:rPr>
                <w:rFonts w:ascii="Arial" w:hAnsi="Arial" w:cs="Arial"/>
                <w:b/>
                <w:lang w:val="es-MX"/>
              </w:rPr>
              <w:t>DEPARTAMENTO ADMINISTRATIVO NACIONAL DE ESTADÍSTICA - DANE.</w:t>
            </w:r>
          </w:p>
          <w:p w14:paraId="0212E41E" w14:textId="77777777" w:rsidR="00C0385A" w:rsidRDefault="00C0385A" w:rsidP="004512FA">
            <w:pPr>
              <w:jc w:val="both"/>
              <w:rPr>
                <w:rFonts w:ascii="Arial" w:hAnsi="Arial" w:cs="Arial"/>
                <w:b/>
                <w:lang w:val="es-MX"/>
              </w:rPr>
            </w:pPr>
          </w:p>
          <w:p w14:paraId="274F94D2" w14:textId="77777777" w:rsidR="00C0385A" w:rsidRDefault="00C0385A" w:rsidP="00C0385A">
            <w:pPr>
              <w:jc w:val="both"/>
              <w:rPr>
                <w:rFonts w:ascii="Arial" w:hAnsi="Arial" w:cs="Arial"/>
                <w:b/>
                <w:lang w:val="es-MX"/>
              </w:rPr>
            </w:pPr>
            <w:r>
              <w:rPr>
                <w:rFonts w:ascii="Arial" w:hAnsi="Arial" w:cs="Arial"/>
                <w:b/>
                <w:lang w:val="es-MX"/>
              </w:rPr>
              <w:t>FUNCIONAMIENTO</w:t>
            </w:r>
          </w:p>
          <w:p w14:paraId="330D130F" w14:textId="77777777" w:rsidR="00C0385A" w:rsidRDefault="00C0385A" w:rsidP="00C0385A">
            <w:pPr>
              <w:jc w:val="both"/>
              <w:rPr>
                <w:rFonts w:ascii="Arial" w:hAnsi="Arial" w:cs="Arial"/>
                <w:b/>
                <w:lang w:val="es-MX"/>
              </w:rPr>
            </w:pPr>
            <w:r>
              <w:rPr>
                <w:rFonts w:ascii="Arial" w:hAnsi="Arial" w:cs="Arial"/>
                <w:b/>
                <w:lang w:val="es-MX"/>
              </w:rPr>
              <w:t>INVERSIÓN</w:t>
            </w:r>
          </w:p>
          <w:p w14:paraId="17A0E6F7" w14:textId="77777777" w:rsidR="00C0385A" w:rsidRDefault="00C0385A" w:rsidP="00C0385A">
            <w:pPr>
              <w:jc w:val="both"/>
              <w:rPr>
                <w:rFonts w:ascii="Arial" w:hAnsi="Arial" w:cs="Arial"/>
                <w:b/>
                <w:lang w:val="es-MX"/>
              </w:rPr>
            </w:pPr>
          </w:p>
          <w:p w14:paraId="6829BFB5" w14:textId="12C95445" w:rsidR="00C0385A" w:rsidRPr="004512FA" w:rsidRDefault="00C0385A" w:rsidP="00C0385A">
            <w:pPr>
              <w:jc w:val="both"/>
              <w:rPr>
                <w:rFonts w:ascii="Arial" w:hAnsi="Arial" w:cs="Arial"/>
                <w:b/>
                <w:lang w:val="es-MX"/>
              </w:rPr>
            </w:pPr>
            <w:r>
              <w:rPr>
                <w:rFonts w:ascii="Arial" w:hAnsi="Arial" w:cs="Arial"/>
                <w:b/>
                <w:lang w:val="es-MX"/>
              </w:rPr>
              <w:t>TOTAL PRESUPUESTO</w:t>
            </w:r>
          </w:p>
        </w:tc>
        <w:tc>
          <w:tcPr>
            <w:tcW w:w="1839" w:type="dxa"/>
          </w:tcPr>
          <w:p w14:paraId="6EC82882" w14:textId="77777777" w:rsidR="00C0385A" w:rsidRDefault="00C0385A" w:rsidP="00042E94">
            <w:pPr>
              <w:jc w:val="center"/>
              <w:rPr>
                <w:rFonts w:ascii="Arial" w:eastAsia="Calibri" w:hAnsi="Arial" w:cs="Arial"/>
                <w:b/>
                <w:u w:val="single"/>
              </w:rPr>
            </w:pPr>
          </w:p>
          <w:p w14:paraId="5EE73B35" w14:textId="77777777" w:rsidR="00C0385A" w:rsidRDefault="00C0385A" w:rsidP="00042E94">
            <w:pPr>
              <w:jc w:val="center"/>
              <w:rPr>
                <w:rFonts w:ascii="Arial" w:eastAsia="Calibri" w:hAnsi="Arial" w:cs="Arial"/>
                <w:b/>
                <w:u w:val="single"/>
              </w:rPr>
            </w:pPr>
          </w:p>
          <w:p w14:paraId="4BD0235C" w14:textId="77777777" w:rsidR="00C0385A" w:rsidRDefault="00C0385A" w:rsidP="00042E94">
            <w:pPr>
              <w:jc w:val="center"/>
              <w:rPr>
                <w:rFonts w:ascii="Arial" w:eastAsia="Calibri" w:hAnsi="Arial" w:cs="Arial"/>
                <w:b/>
                <w:u w:val="single"/>
              </w:rPr>
            </w:pPr>
          </w:p>
          <w:p w14:paraId="3302477D" w14:textId="77777777" w:rsidR="00C0385A" w:rsidRDefault="00C0385A" w:rsidP="00042E94">
            <w:pPr>
              <w:jc w:val="center"/>
              <w:rPr>
                <w:rFonts w:ascii="Arial" w:eastAsia="Calibri" w:hAnsi="Arial" w:cs="Arial"/>
                <w:b/>
                <w:u w:val="single"/>
              </w:rPr>
            </w:pPr>
          </w:p>
          <w:p w14:paraId="5ABF9EF6" w14:textId="41BE78D1" w:rsidR="00C0385A" w:rsidRDefault="00C0385A" w:rsidP="00042E94">
            <w:pPr>
              <w:jc w:val="center"/>
              <w:rPr>
                <w:rFonts w:ascii="Arial" w:eastAsia="Calibri" w:hAnsi="Arial" w:cs="Arial"/>
                <w:b/>
                <w:u w:val="single"/>
              </w:rPr>
            </w:pPr>
            <w:r>
              <w:rPr>
                <w:rFonts w:ascii="Arial" w:eastAsia="Calibri" w:hAnsi="Arial" w:cs="Arial"/>
                <w:b/>
                <w:u w:val="single"/>
              </w:rPr>
              <w:t>96.98%</w:t>
            </w:r>
          </w:p>
          <w:p w14:paraId="7B891C55" w14:textId="45A8441A" w:rsidR="00C0385A" w:rsidRDefault="00C0385A" w:rsidP="00042E94">
            <w:pPr>
              <w:jc w:val="center"/>
              <w:rPr>
                <w:rFonts w:ascii="Arial" w:eastAsia="Calibri" w:hAnsi="Arial" w:cs="Arial"/>
                <w:b/>
                <w:u w:val="single"/>
              </w:rPr>
            </w:pPr>
            <w:r>
              <w:rPr>
                <w:rFonts w:ascii="Arial" w:eastAsia="Calibri" w:hAnsi="Arial" w:cs="Arial"/>
                <w:b/>
                <w:u w:val="single"/>
              </w:rPr>
              <w:t>96.02%</w:t>
            </w:r>
          </w:p>
          <w:p w14:paraId="5EAB8054" w14:textId="77777777" w:rsidR="00C0385A" w:rsidRDefault="00C0385A" w:rsidP="00042E94">
            <w:pPr>
              <w:jc w:val="center"/>
              <w:rPr>
                <w:rFonts w:ascii="Arial" w:eastAsia="Calibri" w:hAnsi="Arial" w:cs="Arial"/>
                <w:b/>
                <w:u w:val="single"/>
              </w:rPr>
            </w:pPr>
          </w:p>
          <w:p w14:paraId="24AC7565" w14:textId="3B382E68" w:rsidR="00C0385A" w:rsidRDefault="00C0385A" w:rsidP="00042E94">
            <w:pPr>
              <w:jc w:val="center"/>
              <w:rPr>
                <w:rFonts w:ascii="Arial" w:eastAsia="Calibri" w:hAnsi="Arial" w:cs="Arial"/>
                <w:b/>
                <w:u w:val="single"/>
              </w:rPr>
            </w:pPr>
            <w:r>
              <w:rPr>
                <w:rFonts w:ascii="Arial" w:eastAsia="Calibri" w:hAnsi="Arial" w:cs="Arial"/>
                <w:b/>
                <w:u w:val="single"/>
              </w:rPr>
              <w:t>96.25%</w:t>
            </w:r>
          </w:p>
        </w:tc>
        <w:tc>
          <w:tcPr>
            <w:tcW w:w="1804" w:type="dxa"/>
          </w:tcPr>
          <w:p w14:paraId="2C508289" w14:textId="77777777" w:rsidR="00C0385A" w:rsidRDefault="00C0385A" w:rsidP="00042E94">
            <w:pPr>
              <w:jc w:val="center"/>
              <w:rPr>
                <w:rFonts w:ascii="Arial" w:eastAsia="Calibri" w:hAnsi="Arial" w:cs="Arial"/>
                <w:b/>
                <w:u w:val="single"/>
              </w:rPr>
            </w:pPr>
          </w:p>
          <w:p w14:paraId="1F0C38B3" w14:textId="77777777" w:rsidR="00C0385A" w:rsidRDefault="00C0385A" w:rsidP="00042E94">
            <w:pPr>
              <w:jc w:val="center"/>
              <w:rPr>
                <w:rFonts w:ascii="Arial" w:eastAsia="Calibri" w:hAnsi="Arial" w:cs="Arial"/>
                <w:b/>
                <w:u w:val="single"/>
              </w:rPr>
            </w:pPr>
          </w:p>
          <w:p w14:paraId="041C0EDE" w14:textId="77777777" w:rsidR="00C0385A" w:rsidRDefault="00C0385A" w:rsidP="00042E94">
            <w:pPr>
              <w:jc w:val="center"/>
              <w:rPr>
                <w:rFonts w:ascii="Arial" w:eastAsia="Calibri" w:hAnsi="Arial" w:cs="Arial"/>
                <w:b/>
                <w:u w:val="single"/>
              </w:rPr>
            </w:pPr>
          </w:p>
          <w:p w14:paraId="2F7EB879" w14:textId="77777777" w:rsidR="00C0385A" w:rsidRDefault="00C0385A" w:rsidP="00042E94">
            <w:pPr>
              <w:jc w:val="center"/>
              <w:rPr>
                <w:rFonts w:ascii="Arial" w:eastAsia="Calibri" w:hAnsi="Arial" w:cs="Arial"/>
                <w:b/>
                <w:u w:val="single"/>
              </w:rPr>
            </w:pPr>
          </w:p>
          <w:p w14:paraId="2AE8FA1E" w14:textId="3E80BD5F" w:rsidR="00C0385A" w:rsidRDefault="00C0385A" w:rsidP="00042E94">
            <w:pPr>
              <w:jc w:val="center"/>
              <w:rPr>
                <w:rFonts w:ascii="Arial" w:eastAsia="Calibri" w:hAnsi="Arial" w:cs="Arial"/>
                <w:b/>
                <w:u w:val="single"/>
              </w:rPr>
            </w:pPr>
            <w:r>
              <w:rPr>
                <w:rFonts w:ascii="Arial" w:eastAsia="Calibri" w:hAnsi="Arial" w:cs="Arial"/>
                <w:b/>
                <w:u w:val="single"/>
              </w:rPr>
              <w:t>95.73%</w:t>
            </w:r>
          </w:p>
          <w:p w14:paraId="3705145F" w14:textId="273E3A0B" w:rsidR="00C0385A" w:rsidRDefault="00C0385A" w:rsidP="00042E94">
            <w:pPr>
              <w:jc w:val="center"/>
              <w:rPr>
                <w:rFonts w:ascii="Arial" w:eastAsia="Calibri" w:hAnsi="Arial" w:cs="Arial"/>
                <w:b/>
                <w:u w:val="single"/>
              </w:rPr>
            </w:pPr>
            <w:r>
              <w:rPr>
                <w:rFonts w:ascii="Arial" w:eastAsia="Calibri" w:hAnsi="Arial" w:cs="Arial"/>
                <w:b/>
                <w:u w:val="single"/>
              </w:rPr>
              <w:t>70.87%</w:t>
            </w:r>
          </w:p>
          <w:p w14:paraId="5949311B" w14:textId="77777777" w:rsidR="00C0385A" w:rsidRDefault="00C0385A" w:rsidP="00042E94">
            <w:pPr>
              <w:jc w:val="center"/>
              <w:rPr>
                <w:rFonts w:ascii="Arial" w:eastAsia="Calibri" w:hAnsi="Arial" w:cs="Arial"/>
                <w:b/>
                <w:u w:val="single"/>
              </w:rPr>
            </w:pPr>
          </w:p>
          <w:p w14:paraId="07207A16" w14:textId="176FA0B5" w:rsidR="00C0385A" w:rsidRDefault="00C0385A" w:rsidP="00042E94">
            <w:pPr>
              <w:jc w:val="center"/>
              <w:rPr>
                <w:rFonts w:ascii="Arial" w:eastAsia="Calibri" w:hAnsi="Arial" w:cs="Arial"/>
                <w:b/>
                <w:u w:val="single"/>
              </w:rPr>
            </w:pPr>
            <w:r>
              <w:rPr>
                <w:rFonts w:ascii="Arial" w:eastAsia="Calibri" w:hAnsi="Arial" w:cs="Arial"/>
                <w:b/>
                <w:u w:val="single"/>
              </w:rPr>
              <w:t>76.77%</w:t>
            </w:r>
          </w:p>
        </w:tc>
        <w:tc>
          <w:tcPr>
            <w:tcW w:w="2042" w:type="dxa"/>
          </w:tcPr>
          <w:p w14:paraId="26B74749" w14:textId="77777777" w:rsidR="00C0385A" w:rsidRDefault="00C0385A" w:rsidP="00042E94">
            <w:pPr>
              <w:jc w:val="center"/>
              <w:rPr>
                <w:rFonts w:ascii="Arial" w:eastAsia="Calibri" w:hAnsi="Arial" w:cs="Arial"/>
                <w:b/>
                <w:u w:val="single"/>
              </w:rPr>
            </w:pPr>
          </w:p>
          <w:p w14:paraId="27E78949" w14:textId="77777777" w:rsidR="00C0385A" w:rsidRDefault="00C0385A" w:rsidP="00042E94">
            <w:pPr>
              <w:jc w:val="center"/>
              <w:rPr>
                <w:rFonts w:ascii="Arial" w:eastAsia="Calibri" w:hAnsi="Arial" w:cs="Arial"/>
                <w:b/>
                <w:u w:val="single"/>
              </w:rPr>
            </w:pPr>
          </w:p>
          <w:p w14:paraId="765A11B6" w14:textId="77777777" w:rsidR="00C0385A" w:rsidRDefault="00C0385A" w:rsidP="00042E94">
            <w:pPr>
              <w:jc w:val="center"/>
              <w:rPr>
                <w:rFonts w:ascii="Arial" w:eastAsia="Calibri" w:hAnsi="Arial" w:cs="Arial"/>
                <w:b/>
                <w:u w:val="single"/>
              </w:rPr>
            </w:pPr>
          </w:p>
          <w:p w14:paraId="0D62E28A" w14:textId="77777777" w:rsidR="00C0385A" w:rsidRDefault="00C0385A" w:rsidP="00042E94">
            <w:pPr>
              <w:jc w:val="center"/>
              <w:rPr>
                <w:rFonts w:ascii="Arial" w:eastAsia="Calibri" w:hAnsi="Arial" w:cs="Arial"/>
                <w:b/>
                <w:u w:val="single"/>
              </w:rPr>
            </w:pPr>
          </w:p>
          <w:p w14:paraId="0D24D5F7" w14:textId="3EEDFEDE" w:rsidR="00C0385A" w:rsidRDefault="00C0385A" w:rsidP="00042E94">
            <w:pPr>
              <w:jc w:val="center"/>
              <w:rPr>
                <w:rFonts w:ascii="Arial" w:eastAsia="Calibri" w:hAnsi="Arial" w:cs="Arial"/>
                <w:b/>
                <w:u w:val="single"/>
              </w:rPr>
            </w:pPr>
            <w:r>
              <w:rPr>
                <w:rFonts w:ascii="Arial" w:eastAsia="Calibri" w:hAnsi="Arial" w:cs="Arial"/>
                <w:b/>
                <w:u w:val="single"/>
              </w:rPr>
              <w:t>95.61%</w:t>
            </w:r>
          </w:p>
          <w:p w14:paraId="4E8E177D" w14:textId="1B4EF87E" w:rsidR="00C0385A" w:rsidRDefault="00C0385A" w:rsidP="00042E94">
            <w:pPr>
              <w:jc w:val="center"/>
              <w:rPr>
                <w:rFonts w:ascii="Arial" w:eastAsia="Calibri" w:hAnsi="Arial" w:cs="Arial"/>
                <w:b/>
                <w:u w:val="single"/>
              </w:rPr>
            </w:pPr>
            <w:r>
              <w:rPr>
                <w:rFonts w:ascii="Arial" w:eastAsia="Calibri" w:hAnsi="Arial" w:cs="Arial"/>
                <w:b/>
                <w:u w:val="single"/>
              </w:rPr>
              <w:t>70.85%</w:t>
            </w:r>
          </w:p>
          <w:p w14:paraId="6668F431" w14:textId="77777777" w:rsidR="00C0385A" w:rsidRDefault="00C0385A" w:rsidP="00042E94">
            <w:pPr>
              <w:jc w:val="center"/>
              <w:rPr>
                <w:rFonts w:ascii="Arial" w:eastAsia="Calibri" w:hAnsi="Arial" w:cs="Arial"/>
                <w:b/>
                <w:u w:val="single"/>
              </w:rPr>
            </w:pPr>
          </w:p>
          <w:p w14:paraId="03F86208" w14:textId="2E2A020B" w:rsidR="00C0385A" w:rsidRDefault="00C0385A" w:rsidP="00042E94">
            <w:pPr>
              <w:jc w:val="center"/>
              <w:rPr>
                <w:rFonts w:ascii="Arial" w:eastAsia="Calibri" w:hAnsi="Arial" w:cs="Arial"/>
                <w:b/>
                <w:u w:val="single"/>
              </w:rPr>
            </w:pPr>
            <w:r>
              <w:rPr>
                <w:rFonts w:ascii="Arial" w:eastAsia="Calibri" w:hAnsi="Arial" w:cs="Arial"/>
                <w:b/>
                <w:u w:val="single"/>
              </w:rPr>
              <w:t>76.72%</w:t>
            </w:r>
          </w:p>
        </w:tc>
      </w:tr>
      <w:tr w:rsidR="00381E69" w:rsidRPr="004B1294" w14:paraId="33FAFA58" w14:textId="77777777" w:rsidTr="00042E94">
        <w:tc>
          <w:tcPr>
            <w:tcW w:w="1550" w:type="dxa"/>
          </w:tcPr>
          <w:p w14:paraId="01E65628" w14:textId="3293AAE8" w:rsidR="00381E69" w:rsidRDefault="00381E69" w:rsidP="00042E94">
            <w:pPr>
              <w:jc w:val="center"/>
              <w:rPr>
                <w:rFonts w:ascii="Arial" w:hAnsi="Arial" w:cs="Arial"/>
                <w:b/>
              </w:rPr>
            </w:pPr>
            <w:r>
              <w:rPr>
                <w:rFonts w:ascii="Arial" w:hAnsi="Arial" w:cs="Arial"/>
                <w:b/>
              </w:rPr>
              <w:t>273</w:t>
            </w:r>
          </w:p>
        </w:tc>
        <w:tc>
          <w:tcPr>
            <w:tcW w:w="3255" w:type="dxa"/>
          </w:tcPr>
          <w:p w14:paraId="655717FA" w14:textId="77777777" w:rsidR="00381E69" w:rsidRDefault="00381E69" w:rsidP="00C0385A">
            <w:pPr>
              <w:jc w:val="both"/>
              <w:rPr>
                <w:rFonts w:ascii="Arial" w:hAnsi="Arial" w:cs="Arial"/>
                <w:b/>
                <w:lang w:val="es-MX"/>
              </w:rPr>
            </w:pPr>
            <w:r w:rsidRPr="00381E69">
              <w:rPr>
                <w:rFonts w:ascii="Arial" w:hAnsi="Arial" w:cs="Arial"/>
                <w:b/>
                <w:lang w:val="es-MX"/>
              </w:rPr>
              <w:t>FISCALÍA GENERAL DE LA NACIÓN.</w:t>
            </w:r>
          </w:p>
          <w:p w14:paraId="7FB9A9BD" w14:textId="77777777" w:rsidR="00381E69" w:rsidRDefault="00381E69" w:rsidP="00C0385A">
            <w:pPr>
              <w:jc w:val="both"/>
              <w:rPr>
                <w:rFonts w:ascii="Arial" w:hAnsi="Arial" w:cs="Arial"/>
                <w:b/>
                <w:lang w:val="es-MX"/>
              </w:rPr>
            </w:pPr>
          </w:p>
          <w:p w14:paraId="4EDFA169" w14:textId="77777777" w:rsidR="00381E69" w:rsidRDefault="00381E69" w:rsidP="00381E69">
            <w:pPr>
              <w:jc w:val="both"/>
              <w:rPr>
                <w:rFonts w:ascii="Arial" w:hAnsi="Arial" w:cs="Arial"/>
                <w:b/>
                <w:lang w:val="es-MX"/>
              </w:rPr>
            </w:pPr>
            <w:r>
              <w:rPr>
                <w:rFonts w:ascii="Arial" w:hAnsi="Arial" w:cs="Arial"/>
                <w:b/>
                <w:lang w:val="es-MX"/>
              </w:rPr>
              <w:t>FUNCIONAMIENTO</w:t>
            </w:r>
          </w:p>
          <w:p w14:paraId="74400D96" w14:textId="77777777" w:rsidR="00381E69" w:rsidRDefault="00381E69" w:rsidP="00381E69">
            <w:pPr>
              <w:jc w:val="both"/>
              <w:rPr>
                <w:rFonts w:ascii="Arial" w:hAnsi="Arial" w:cs="Arial"/>
                <w:b/>
                <w:lang w:val="es-MX"/>
              </w:rPr>
            </w:pPr>
            <w:r>
              <w:rPr>
                <w:rFonts w:ascii="Arial" w:hAnsi="Arial" w:cs="Arial"/>
                <w:b/>
                <w:lang w:val="es-MX"/>
              </w:rPr>
              <w:t>INVERSIÓN</w:t>
            </w:r>
          </w:p>
          <w:p w14:paraId="58562887" w14:textId="77777777" w:rsidR="00381E69" w:rsidRDefault="00381E69" w:rsidP="00381E69">
            <w:pPr>
              <w:jc w:val="both"/>
              <w:rPr>
                <w:rFonts w:ascii="Arial" w:hAnsi="Arial" w:cs="Arial"/>
                <w:b/>
                <w:lang w:val="es-MX"/>
              </w:rPr>
            </w:pPr>
          </w:p>
          <w:p w14:paraId="7C83E597" w14:textId="7C5DB8C1" w:rsidR="00381E69" w:rsidRPr="00381E69" w:rsidRDefault="00381E69" w:rsidP="00381E69">
            <w:pPr>
              <w:jc w:val="both"/>
              <w:rPr>
                <w:rFonts w:ascii="Arial" w:hAnsi="Arial" w:cs="Arial"/>
                <w:b/>
                <w:lang w:val="es-MX"/>
              </w:rPr>
            </w:pPr>
            <w:r>
              <w:rPr>
                <w:rFonts w:ascii="Arial" w:hAnsi="Arial" w:cs="Arial"/>
                <w:b/>
                <w:lang w:val="es-MX"/>
              </w:rPr>
              <w:t>TOTAL PRESUPUESTO</w:t>
            </w:r>
          </w:p>
        </w:tc>
        <w:tc>
          <w:tcPr>
            <w:tcW w:w="1839" w:type="dxa"/>
          </w:tcPr>
          <w:p w14:paraId="17C22730" w14:textId="77777777" w:rsidR="00381E69" w:rsidRDefault="00381E69" w:rsidP="00042E94">
            <w:pPr>
              <w:jc w:val="center"/>
              <w:rPr>
                <w:rFonts w:ascii="Arial" w:eastAsia="Calibri" w:hAnsi="Arial" w:cs="Arial"/>
                <w:b/>
                <w:u w:val="single"/>
              </w:rPr>
            </w:pPr>
          </w:p>
          <w:p w14:paraId="7E0A03D4" w14:textId="77777777" w:rsidR="00381E69" w:rsidRDefault="00381E69" w:rsidP="00042E94">
            <w:pPr>
              <w:jc w:val="center"/>
              <w:rPr>
                <w:rFonts w:ascii="Arial" w:eastAsia="Calibri" w:hAnsi="Arial" w:cs="Arial"/>
                <w:b/>
                <w:u w:val="single"/>
              </w:rPr>
            </w:pPr>
          </w:p>
          <w:p w14:paraId="379B973A" w14:textId="77777777" w:rsidR="00381E69" w:rsidRDefault="00381E69" w:rsidP="00042E94">
            <w:pPr>
              <w:jc w:val="center"/>
              <w:rPr>
                <w:rFonts w:ascii="Arial" w:eastAsia="Calibri" w:hAnsi="Arial" w:cs="Arial"/>
                <w:b/>
                <w:u w:val="single"/>
              </w:rPr>
            </w:pPr>
          </w:p>
          <w:p w14:paraId="55FB039E" w14:textId="39138206" w:rsidR="00381E69" w:rsidRDefault="00381E69" w:rsidP="00042E94">
            <w:pPr>
              <w:jc w:val="center"/>
              <w:rPr>
                <w:rFonts w:ascii="Arial" w:eastAsia="Calibri" w:hAnsi="Arial" w:cs="Arial"/>
                <w:b/>
                <w:u w:val="single"/>
              </w:rPr>
            </w:pPr>
            <w:r>
              <w:rPr>
                <w:rFonts w:ascii="Arial" w:eastAsia="Calibri" w:hAnsi="Arial" w:cs="Arial"/>
                <w:b/>
                <w:u w:val="single"/>
              </w:rPr>
              <w:t>98.72%</w:t>
            </w:r>
          </w:p>
          <w:p w14:paraId="734CC05B" w14:textId="24940D69" w:rsidR="00381E69" w:rsidRDefault="00381E69" w:rsidP="00042E94">
            <w:pPr>
              <w:jc w:val="center"/>
              <w:rPr>
                <w:rFonts w:ascii="Arial" w:eastAsia="Calibri" w:hAnsi="Arial" w:cs="Arial"/>
                <w:b/>
                <w:u w:val="single"/>
              </w:rPr>
            </w:pPr>
            <w:r>
              <w:rPr>
                <w:rFonts w:ascii="Arial" w:eastAsia="Calibri" w:hAnsi="Arial" w:cs="Arial"/>
                <w:b/>
                <w:u w:val="single"/>
              </w:rPr>
              <w:t>99.91%</w:t>
            </w:r>
          </w:p>
          <w:p w14:paraId="578603D8" w14:textId="77777777" w:rsidR="00381E69" w:rsidRDefault="00381E69" w:rsidP="00042E94">
            <w:pPr>
              <w:jc w:val="center"/>
              <w:rPr>
                <w:rFonts w:ascii="Arial" w:eastAsia="Calibri" w:hAnsi="Arial" w:cs="Arial"/>
                <w:b/>
                <w:u w:val="single"/>
              </w:rPr>
            </w:pPr>
          </w:p>
          <w:p w14:paraId="6B0BC060" w14:textId="0F99E4F2" w:rsidR="00381E69" w:rsidRDefault="00381E69" w:rsidP="00042E94">
            <w:pPr>
              <w:jc w:val="center"/>
              <w:rPr>
                <w:rFonts w:ascii="Arial" w:eastAsia="Calibri" w:hAnsi="Arial" w:cs="Arial"/>
                <w:b/>
                <w:u w:val="single"/>
              </w:rPr>
            </w:pPr>
            <w:r>
              <w:rPr>
                <w:rFonts w:ascii="Arial" w:eastAsia="Calibri" w:hAnsi="Arial" w:cs="Arial"/>
                <w:b/>
                <w:u w:val="single"/>
              </w:rPr>
              <w:t>98.79%</w:t>
            </w:r>
          </w:p>
        </w:tc>
        <w:tc>
          <w:tcPr>
            <w:tcW w:w="1804" w:type="dxa"/>
          </w:tcPr>
          <w:p w14:paraId="1778ED89" w14:textId="77777777" w:rsidR="00381E69" w:rsidRDefault="00381E69" w:rsidP="00042E94">
            <w:pPr>
              <w:jc w:val="center"/>
              <w:rPr>
                <w:rFonts w:ascii="Arial" w:eastAsia="Calibri" w:hAnsi="Arial" w:cs="Arial"/>
                <w:b/>
                <w:u w:val="single"/>
              </w:rPr>
            </w:pPr>
          </w:p>
          <w:p w14:paraId="6FAD05D6" w14:textId="77777777" w:rsidR="00381E69" w:rsidRDefault="00381E69" w:rsidP="00042E94">
            <w:pPr>
              <w:jc w:val="center"/>
              <w:rPr>
                <w:rFonts w:ascii="Arial" w:eastAsia="Calibri" w:hAnsi="Arial" w:cs="Arial"/>
                <w:b/>
                <w:u w:val="single"/>
              </w:rPr>
            </w:pPr>
          </w:p>
          <w:p w14:paraId="50895C48" w14:textId="77777777" w:rsidR="00381E69" w:rsidRDefault="00381E69" w:rsidP="00042E94">
            <w:pPr>
              <w:jc w:val="center"/>
              <w:rPr>
                <w:rFonts w:ascii="Arial" w:eastAsia="Calibri" w:hAnsi="Arial" w:cs="Arial"/>
                <w:b/>
                <w:u w:val="single"/>
              </w:rPr>
            </w:pPr>
          </w:p>
          <w:p w14:paraId="3C702A71" w14:textId="37B6D2FF" w:rsidR="00381E69" w:rsidRDefault="00381E69" w:rsidP="00042E94">
            <w:pPr>
              <w:jc w:val="center"/>
              <w:rPr>
                <w:rFonts w:ascii="Arial" w:eastAsia="Calibri" w:hAnsi="Arial" w:cs="Arial"/>
                <w:b/>
                <w:u w:val="single"/>
              </w:rPr>
            </w:pPr>
            <w:r>
              <w:rPr>
                <w:rFonts w:ascii="Arial" w:eastAsia="Calibri" w:hAnsi="Arial" w:cs="Arial"/>
                <w:b/>
                <w:u w:val="single"/>
              </w:rPr>
              <w:t>93.67%</w:t>
            </w:r>
          </w:p>
          <w:p w14:paraId="77371BDB" w14:textId="0A2F8658" w:rsidR="00381E69" w:rsidRDefault="00381E69" w:rsidP="00042E94">
            <w:pPr>
              <w:jc w:val="center"/>
              <w:rPr>
                <w:rFonts w:ascii="Arial" w:eastAsia="Calibri" w:hAnsi="Arial" w:cs="Arial"/>
                <w:b/>
                <w:u w:val="single"/>
              </w:rPr>
            </w:pPr>
            <w:r>
              <w:rPr>
                <w:rFonts w:ascii="Arial" w:eastAsia="Calibri" w:hAnsi="Arial" w:cs="Arial"/>
                <w:b/>
                <w:u w:val="single"/>
              </w:rPr>
              <w:t>83.23%</w:t>
            </w:r>
          </w:p>
          <w:p w14:paraId="326D742D" w14:textId="77777777" w:rsidR="00381E69" w:rsidRDefault="00381E69" w:rsidP="00042E94">
            <w:pPr>
              <w:jc w:val="center"/>
              <w:rPr>
                <w:rFonts w:ascii="Arial" w:eastAsia="Calibri" w:hAnsi="Arial" w:cs="Arial"/>
                <w:b/>
                <w:u w:val="single"/>
              </w:rPr>
            </w:pPr>
          </w:p>
          <w:p w14:paraId="3CE010A5" w14:textId="1AAE2D5B" w:rsidR="00381E69" w:rsidRDefault="00381E69" w:rsidP="00042E94">
            <w:pPr>
              <w:jc w:val="center"/>
              <w:rPr>
                <w:rFonts w:ascii="Arial" w:eastAsia="Calibri" w:hAnsi="Arial" w:cs="Arial"/>
                <w:b/>
                <w:u w:val="single"/>
              </w:rPr>
            </w:pPr>
            <w:r>
              <w:rPr>
                <w:rFonts w:ascii="Arial" w:eastAsia="Calibri" w:hAnsi="Arial" w:cs="Arial"/>
                <w:b/>
                <w:u w:val="single"/>
              </w:rPr>
              <w:t>93.58%</w:t>
            </w:r>
          </w:p>
        </w:tc>
        <w:tc>
          <w:tcPr>
            <w:tcW w:w="2042" w:type="dxa"/>
          </w:tcPr>
          <w:p w14:paraId="4B61FA1A" w14:textId="77777777" w:rsidR="00381E69" w:rsidRDefault="00381E69" w:rsidP="00042E94">
            <w:pPr>
              <w:jc w:val="center"/>
              <w:rPr>
                <w:rFonts w:ascii="Arial" w:eastAsia="Calibri" w:hAnsi="Arial" w:cs="Arial"/>
                <w:b/>
                <w:u w:val="single"/>
              </w:rPr>
            </w:pPr>
          </w:p>
          <w:p w14:paraId="78B5C74D" w14:textId="77777777" w:rsidR="00381E69" w:rsidRDefault="00381E69" w:rsidP="00042E94">
            <w:pPr>
              <w:jc w:val="center"/>
              <w:rPr>
                <w:rFonts w:ascii="Arial" w:eastAsia="Calibri" w:hAnsi="Arial" w:cs="Arial"/>
                <w:b/>
                <w:u w:val="single"/>
              </w:rPr>
            </w:pPr>
          </w:p>
          <w:p w14:paraId="07DF368C" w14:textId="77777777" w:rsidR="00381E69" w:rsidRDefault="00381E69" w:rsidP="00042E94">
            <w:pPr>
              <w:jc w:val="center"/>
              <w:rPr>
                <w:rFonts w:ascii="Arial" w:eastAsia="Calibri" w:hAnsi="Arial" w:cs="Arial"/>
                <w:b/>
                <w:u w:val="single"/>
              </w:rPr>
            </w:pPr>
          </w:p>
          <w:p w14:paraId="03AFD2A6" w14:textId="4CF63890" w:rsidR="00381E69" w:rsidRDefault="00381E69" w:rsidP="00042E94">
            <w:pPr>
              <w:jc w:val="center"/>
              <w:rPr>
                <w:rFonts w:ascii="Arial" w:eastAsia="Calibri" w:hAnsi="Arial" w:cs="Arial"/>
                <w:b/>
                <w:u w:val="single"/>
              </w:rPr>
            </w:pPr>
            <w:r>
              <w:rPr>
                <w:rFonts w:ascii="Arial" w:eastAsia="Calibri" w:hAnsi="Arial" w:cs="Arial"/>
                <w:b/>
                <w:u w:val="single"/>
              </w:rPr>
              <w:t>93.65%</w:t>
            </w:r>
          </w:p>
          <w:p w14:paraId="6C2F1989" w14:textId="7EAF4A2C" w:rsidR="00381E69" w:rsidRDefault="00381E69" w:rsidP="00042E94">
            <w:pPr>
              <w:jc w:val="center"/>
              <w:rPr>
                <w:rFonts w:ascii="Arial" w:eastAsia="Calibri" w:hAnsi="Arial" w:cs="Arial"/>
                <w:b/>
                <w:u w:val="single"/>
              </w:rPr>
            </w:pPr>
            <w:r>
              <w:rPr>
                <w:rFonts w:ascii="Arial" w:eastAsia="Calibri" w:hAnsi="Arial" w:cs="Arial"/>
                <w:b/>
                <w:u w:val="single"/>
              </w:rPr>
              <w:t>83.23%</w:t>
            </w:r>
          </w:p>
          <w:p w14:paraId="25BD6BF4" w14:textId="6EE32DC1" w:rsidR="00E753D6" w:rsidRDefault="00E753D6" w:rsidP="00042E94">
            <w:pPr>
              <w:jc w:val="center"/>
              <w:rPr>
                <w:rFonts w:ascii="Arial" w:eastAsia="Calibri" w:hAnsi="Arial" w:cs="Arial"/>
                <w:b/>
                <w:u w:val="single"/>
              </w:rPr>
            </w:pPr>
          </w:p>
          <w:p w14:paraId="7AEB67D3" w14:textId="2B7D8188" w:rsidR="00381E69" w:rsidRDefault="00E753D6" w:rsidP="00E753D6">
            <w:pPr>
              <w:jc w:val="center"/>
              <w:rPr>
                <w:rFonts w:ascii="Arial" w:eastAsia="Calibri" w:hAnsi="Arial" w:cs="Arial"/>
                <w:b/>
                <w:u w:val="single"/>
              </w:rPr>
            </w:pPr>
            <w:r>
              <w:rPr>
                <w:rFonts w:ascii="Arial" w:eastAsia="Calibri" w:hAnsi="Arial" w:cs="Arial"/>
                <w:b/>
                <w:u w:val="single"/>
              </w:rPr>
              <w:t>93.57%</w:t>
            </w:r>
          </w:p>
        </w:tc>
      </w:tr>
      <w:tr w:rsidR="00DB283F" w:rsidRPr="004B1294" w14:paraId="4FA7FC58" w14:textId="77777777" w:rsidTr="00042E94">
        <w:tc>
          <w:tcPr>
            <w:tcW w:w="1550" w:type="dxa"/>
          </w:tcPr>
          <w:p w14:paraId="19DEA09C" w14:textId="12C084B2" w:rsidR="00DB283F" w:rsidRDefault="00DB283F" w:rsidP="00042E94">
            <w:pPr>
              <w:jc w:val="center"/>
              <w:rPr>
                <w:rFonts w:ascii="Arial" w:hAnsi="Arial" w:cs="Arial"/>
                <w:b/>
              </w:rPr>
            </w:pPr>
            <w:r>
              <w:rPr>
                <w:rFonts w:ascii="Arial" w:hAnsi="Arial" w:cs="Arial"/>
                <w:b/>
              </w:rPr>
              <w:t>27</w:t>
            </w:r>
            <w:r w:rsidR="00E753D6">
              <w:rPr>
                <w:rFonts w:ascii="Arial" w:hAnsi="Arial" w:cs="Arial"/>
                <w:b/>
              </w:rPr>
              <w:t>4</w:t>
            </w:r>
          </w:p>
        </w:tc>
        <w:tc>
          <w:tcPr>
            <w:tcW w:w="3255" w:type="dxa"/>
          </w:tcPr>
          <w:p w14:paraId="7A88A910" w14:textId="78EFB3EF" w:rsidR="00DB283F" w:rsidRPr="00DB283F" w:rsidRDefault="00DB283F" w:rsidP="00DB283F">
            <w:pPr>
              <w:jc w:val="both"/>
              <w:rPr>
                <w:rFonts w:ascii="Arial" w:hAnsi="Arial" w:cs="Arial"/>
                <w:b/>
                <w:lang w:val="es-MX"/>
              </w:rPr>
            </w:pPr>
            <w:r w:rsidRPr="00DB283F">
              <w:rPr>
                <w:rFonts w:ascii="Arial" w:hAnsi="Arial" w:cs="Arial"/>
                <w:b/>
                <w:lang w:val="es-MX"/>
              </w:rPr>
              <w:t xml:space="preserve">CONTRALORÍA GENERAL DE LA REPÚBLICA – CGR. </w:t>
            </w:r>
          </w:p>
          <w:p w14:paraId="30503724" w14:textId="77777777" w:rsidR="00DB283F" w:rsidRDefault="00DB283F" w:rsidP="00C0385A">
            <w:pPr>
              <w:jc w:val="both"/>
              <w:rPr>
                <w:rFonts w:ascii="Arial" w:hAnsi="Arial" w:cs="Arial"/>
                <w:b/>
                <w:lang w:val="es-MX"/>
              </w:rPr>
            </w:pPr>
          </w:p>
          <w:p w14:paraId="37C66C9B" w14:textId="77777777" w:rsidR="00DB283F" w:rsidRDefault="00DB283F" w:rsidP="00DB283F">
            <w:pPr>
              <w:jc w:val="both"/>
              <w:rPr>
                <w:rFonts w:ascii="Arial" w:hAnsi="Arial" w:cs="Arial"/>
                <w:b/>
                <w:lang w:val="es-MX"/>
              </w:rPr>
            </w:pPr>
            <w:r>
              <w:rPr>
                <w:rFonts w:ascii="Arial" w:hAnsi="Arial" w:cs="Arial"/>
                <w:b/>
                <w:lang w:val="es-MX"/>
              </w:rPr>
              <w:t>FUNCIONAMIENTO</w:t>
            </w:r>
          </w:p>
          <w:p w14:paraId="52413CAA" w14:textId="77777777" w:rsidR="00DB283F" w:rsidRDefault="00DB283F" w:rsidP="00DB283F">
            <w:pPr>
              <w:jc w:val="both"/>
              <w:rPr>
                <w:rFonts w:ascii="Arial" w:hAnsi="Arial" w:cs="Arial"/>
                <w:b/>
                <w:lang w:val="es-MX"/>
              </w:rPr>
            </w:pPr>
            <w:r>
              <w:rPr>
                <w:rFonts w:ascii="Arial" w:hAnsi="Arial" w:cs="Arial"/>
                <w:b/>
                <w:lang w:val="es-MX"/>
              </w:rPr>
              <w:t>INVERSIÓN</w:t>
            </w:r>
          </w:p>
          <w:p w14:paraId="2BC1351A" w14:textId="77777777" w:rsidR="00DB283F" w:rsidRDefault="00DB283F" w:rsidP="00DB283F">
            <w:pPr>
              <w:jc w:val="both"/>
              <w:rPr>
                <w:rFonts w:ascii="Arial" w:hAnsi="Arial" w:cs="Arial"/>
                <w:b/>
                <w:lang w:val="es-MX"/>
              </w:rPr>
            </w:pPr>
          </w:p>
          <w:p w14:paraId="0CC44EAD" w14:textId="2E1EFD24" w:rsidR="00DB283F" w:rsidRPr="00C0385A" w:rsidRDefault="00DB283F" w:rsidP="00DB283F">
            <w:pPr>
              <w:jc w:val="both"/>
              <w:rPr>
                <w:rFonts w:ascii="Arial" w:hAnsi="Arial" w:cs="Arial"/>
                <w:b/>
                <w:lang w:val="es-MX"/>
              </w:rPr>
            </w:pPr>
            <w:r>
              <w:rPr>
                <w:rFonts w:ascii="Arial" w:hAnsi="Arial" w:cs="Arial"/>
                <w:b/>
                <w:lang w:val="es-MX"/>
              </w:rPr>
              <w:t>TOTAL PRESUPUESTO</w:t>
            </w:r>
          </w:p>
        </w:tc>
        <w:tc>
          <w:tcPr>
            <w:tcW w:w="1839" w:type="dxa"/>
          </w:tcPr>
          <w:p w14:paraId="7B4B4BC7" w14:textId="77777777" w:rsidR="00DB283F" w:rsidRDefault="00DB283F" w:rsidP="00042E94">
            <w:pPr>
              <w:jc w:val="center"/>
              <w:rPr>
                <w:rFonts w:ascii="Arial" w:eastAsia="Calibri" w:hAnsi="Arial" w:cs="Arial"/>
                <w:b/>
                <w:u w:val="single"/>
              </w:rPr>
            </w:pPr>
          </w:p>
          <w:p w14:paraId="300073BF" w14:textId="77777777" w:rsidR="00DB283F" w:rsidRDefault="00DB283F" w:rsidP="00042E94">
            <w:pPr>
              <w:jc w:val="center"/>
              <w:rPr>
                <w:rFonts w:ascii="Arial" w:eastAsia="Calibri" w:hAnsi="Arial" w:cs="Arial"/>
                <w:b/>
                <w:u w:val="single"/>
              </w:rPr>
            </w:pPr>
          </w:p>
          <w:p w14:paraId="6F2D92FA" w14:textId="77777777" w:rsidR="00DB283F" w:rsidRDefault="00DB283F" w:rsidP="00042E94">
            <w:pPr>
              <w:jc w:val="center"/>
              <w:rPr>
                <w:rFonts w:ascii="Arial" w:eastAsia="Calibri" w:hAnsi="Arial" w:cs="Arial"/>
                <w:b/>
                <w:u w:val="single"/>
              </w:rPr>
            </w:pPr>
          </w:p>
          <w:p w14:paraId="57F1F11A" w14:textId="72D652F7" w:rsidR="00DB283F" w:rsidRDefault="00DB283F" w:rsidP="00042E94">
            <w:pPr>
              <w:jc w:val="center"/>
              <w:rPr>
                <w:rFonts w:ascii="Arial" w:eastAsia="Calibri" w:hAnsi="Arial" w:cs="Arial"/>
                <w:b/>
                <w:u w:val="single"/>
              </w:rPr>
            </w:pPr>
            <w:r>
              <w:rPr>
                <w:rFonts w:ascii="Arial" w:eastAsia="Calibri" w:hAnsi="Arial" w:cs="Arial"/>
                <w:b/>
                <w:u w:val="single"/>
              </w:rPr>
              <w:t>94.00%</w:t>
            </w:r>
          </w:p>
          <w:p w14:paraId="66AF8698" w14:textId="096F90C2" w:rsidR="00DB283F" w:rsidRDefault="00DB283F" w:rsidP="00042E94">
            <w:pPr>
              <w:jc w:val="center"/>
              <w:rPr>
                <w:rFonts w:ascii="Arial" w:eastAsia="Calibri" w:hAnsi="Arial" w:cs="Arial"/>
                <w:b/>
                <w:u w:val="single"/>
              </w:rPr>
            </w:pPr>
            <w:r>
              <w:rPr>
                <w:rFonts w:ascii="Arial" w:eastAsia="Calibri" w:hAnsi="Arial" w:cs="Arial"/>
                <w:b/>
                <w:u w:val="single"/>
              </w:rPr>
              <w:t>94.00%</w:t>
            </w:r>
          </w:p>
          <w:p w14:paraId="763C43B7" w14:textId="77777777" w:rsidR="00DB283F" w:rsidRDefault="00DB283F" w:rsidP="00042E94">
            <w:pPr>
              <w:jc w:val="center"/>
              <w:rPr>
                <w:rFonts w:ascii="Arial" w:eastAsia="Calibri" w:hAnsi="Arial" w:cs="Arial"/>
                <w:b/>
                <w:u w:val="single"/>
              </w:rPr>
            </w:pPr>
          </w:p>
          <w:p w14:paraId="620AF9B2" w14:textId="6CB7464F" w:rsidR="00DB283F" w:rsidRDefault="00DB283F" w:rsidP="00042E94">
            <w:pPr>
              <w:jc w:val="center"/>
              <w:rPr>
                <w:rFonts w:ascii="Arial" w:eastAsia="Calibri" w:hAnsi="Arial" w:cs="Arial"/>
                <w:b/>
                <w:u w:val="single"/>
              </w:rPr>
            </w:pPr>
            <w:r>
              <w:rPr>
                <w:rFonts w:ascii="Arial" w:eastAsia="Calibri" w:hAnsi="Arial" w:cs="Arial"/>
                <w:b/>
                <w:u w:val="single"/>
              </w:rPr>
              <w:t>94.00%</w:t>
            </w:r>
          </w:p>
        </w:tc>
        <w:tc>
          <w:tcPr>
            <w:tcW w:w="1804" w:type="dxa"/>
          </w:tcPr>
          <w:p w14:paraId="051D5FCF" w14:textId="77777777" w:rsidR="00DB283F" w:rsidRDefault="00DB283F" w:rsidP="00042E94">
            <w:pPr>
              <w:jc w:val="center"/>
              <w:rPr>
                <w:rFonts w:ascii="Arial" w:eastAsia="Calibri" w:hAnsi="Arial" w:cs="Arial"/>
                <w:b/>
                <w:u w:val="single"/>
              </w:rPr>
            </w:pPr>
          </w:p>
          <w:p w14:paraId="0999E3E6" w14:textId="77777777" w:rsidR="00DB283F" w:rsidRDefault="00DB283F" w:rsidP="00042E94">
            <w:pPr>
              <w:jc w:val="center"/>
              <w:rPr>
                <w:rFonts w:ascii="Arial" w:eastAsia="Calibri" w:hAnsi="Arial" w:cs="Arial"/>
                <w:b/>
                <w:u w:val="single"/>
              </w:rPr>
            </w:pPr>
          </w:p>
          <w:p w14:paraId="7C875AE6" w14:textId="77777777" w:rsidR="00DB283F" w:rsidRDefault="00DB283F" w:rsidP="00042E94">
            <w:pPr>
              <w:jc w:val="center"/>
              <w:rPr>
                <w:rFonts w:ascii="Arial" w:eastAsia="Calibri" w:hAnsi="Arial" w:cs="Arial"/>
                <w:b/>
                <w:u w:val="single"/>
              </w:rPr>
            </w:pPr>
          </w:p>
          <w:p w14:paraId="0924F674" w14:textId="77777777" w:rsidR="00DB283F" w:rsidRDefault="00DB283F" w:rsidP="00042E94">
            <w:pPr>
              <w:jc w:val="center"/>
              <w:rPr>
                <w:rFonts w:ascii="Arial" w:eastAsia="Calibri" w:hAnsi="Arial" w:cs="Arial"/>
                <w:b/>
                <w:u w:val="single"/>
              </w:rPr>
            </w:pPr>
            <w:r>
              <w:rPr>
                <w:rFonts w:ascii="Arial" w:eastAsia="Calibri" w:hAnsi="Arial" w:cs="Arial"/>
                <w:b/>
                <w:u w:val="single"/>
              </w:rPr>
              <w:t>92.00%</w:t>
            </w:r>
          </w:p>
          <w:p w14:paraId="4B9DA8FC" w14:textId="77777777" w:rsidR="00DB283F" w:rsidRDefault="00DB283F" w:rsidP="00042E94">
            <w:pPr>
              <w:jc w:val="center"/>
              <w:rPr>
                <w:rFonts w:ascii="Arial" w:eastAsia="Calibri" w:hAnsi="Arial" w:cs="Arial"/>
                <w:b/>
                <w:u w:val="single"/>
              </w:rPr>
            </w:pPr>
            <w:r>
              <w:rPr>
                <w:rFonts w:ascii="Arial" w:eastAsia="Calibri" w:hAnsi="Arial" w:cs="Arial"/>
                <w:b/>
                <w:u w:val="single"/>
              </w:rPr>
              <w:t>76.00%</w:t>
            </w:r>
          </w:p>
          <w:p w14:paraId="1D04E879" w14:textId="77777777" w:rsidR="00DB283F" w:rsidRDefault="00DB283F" w:rsidP="00042E94">
            <w:pPr>
              <w:jc w:val="center"/>
              <w:rPr>
                <w:rFonts w:ascii="Arial" w:eastAsia="Calibri" w:hAnsi="Arial" w:cs="Arial"/>
                <w:b/>
                <w:u w:val="single"/>
              </w:rPr>
            </w:pPr>
          </w:p>
          <w:p w14:paraId="5A19FA01" w14:textId="2B1CFDE6" w:rsidR="00DB283F" w:rsidRDefault="00DB283F" w:rsidP="00042E94">
            <w:pPr>
              <w:jc w:val="center"/>
              <w:rPr>
                <w:rFonts w:ascii="Arial" w:eastAsia="Calibri" w:hAnsi="Arial" w:cs="Arial"/>
                <w:b/>
                <w:u w:val="single"/>
              </w:rPr>
            </w:pPr>
            <w:r>
              <w:rPr>
                <w:rFonts w:ascii="Arial" w:eastAsia="Calibri" w:hAnsi="Arial" w:cs="Arial"/>
                <w:b/>
                <w:u w:val="single"/>
              </w:rPr>
              <w:t>89.00%</w:t>
            </w:r>
          </w:p>
        </w:tc>
        <w:tc>
          <w:tcPr>
            <w:tcW w:w="2042" w:type="dxa"/>
          </w:tcPr>
          <w:p w14:paraId="18A9D909" w14:textId="08DEFF99" w:rsidR="00DB283F" w:rsidRDefault="00DB283F" w:rsidP="00042E94">
            <w:pPr>
              <w:jc w:val="center"/>
              <w:rPr>
                <w:rFonts w:ascii="Arial" w:eastAsia="Calibri" w:hAnsi="Arial" w:cs="Arial"/>
                <w:b/>
                <w:u w:val="single"/>
              </w:rPr>
            </w:pPr>
          </w:p>
          <w:p w14:paraId="6E00451B" w14:textId="1B680350" w:rsidR="00E753D6" w:rsidRDefault="00E753D6" w:rsidP="00042E94">
            <w:pPr>
              <w:jc w:val="center"/>
              <w:rPr>
                <w:rFonts w:ascii="Arial" w:eastAsia="Calibri" w:hAnsi="Arial" w:cs="Arial"/>
                <w:b/>
                <w:u w:val="single"/>
              </w:rPr>
            </w:pPr>
          </w:p>
          <w:p w14:paraId="0053DA20" w14:textId="77777777" w:rsidR="00E753D6" w:rsidRDefault="00E753D6" w:rsidP="00042E94">
            <w:pPr>
              <w:jc w:val="center"/>
              <w:rPr>
                <w:rFonts w:ascii="Arial" w:eastAsia="Calibri" w:hAnsi="Arial" w:cs="Arial"/>
                <w:b/>
                <w:u w:val="single"/>
              </w:rPr>
            </w:pPr>
          </w:p>
          <w:p w14:paraId="30511A67" w14:textId="5D4FF92E" w:rsidR="00DB283F" w:rsidRDefault="00DB283F" w:rsidP="00042E94">
            <w:pPr>
              <w:jc w:val="center"/>
              <w:rPr>
                <w:rFonts w:ascii="Arial" w:eastAsia="Calibri" w:hAnsi="Arial" w:cs="Arial"/>
                <w:b/>
                <w:u w:val="single"/>
              </w:rPr>
            </w:pPr>
            <w:r>
              <w:rPr>
                <w:rFonts w:ascii="Arial" w:eastAsia="Calibri" w:hAnsi="Arial" w:cs="Arial"/>
                <w:b/>
                <w:u w:val="single"/>
              </w:rPr>
              <w:t>92.00%</w:t>
            </w:r>
          </w:p>
          <w:p w14:paraId="5B1E7B26" w14:textId="03518117" w:rsidR="00DB283F" w:rsidRDefault="00DB283F" w:rsidP="00042E94">
            <w:pPr>
              <w:jc w:val="center"/>
              <w:rPr>
                <w:rFonts w:ascii="Arial" w:eastAsia="Calibri" w:hAnsi="Arial" w:cs="Arial"/>
                <w:b/>
                <w:u w:val="single"/>
              </w:rPr>
            </w:pPr>
            <w:r>
              <w:rPr>
                <w:rFonts w:ascii="Arial" w:eastAsia="Calibri" w:hAnsi="Arial" w:cs="Arial"/>
                <w:b/>
                <w:u w:val="single"/>
              </w:rPr>
              <w:t>76.00%</w:t>
            </w:r>
          </w:p>
          <w:p w14:paraId="0629F09D" w14:textId="77777777" w:rsidR="00DB283F" w:rsidRDefault="00DB283F" w:rsidP="00042E94">
            <w:pPr>
              <w:jc w:val="center"/>
              <w:rPr>
                <w:rFonts w:ascii="Arial" w:eastAsia="Calibri" w:hAnsi="Arial" w:cs="Arial"/>
                <w:b/>
                <w:u w:val="single"/>
              </w:rPr>
            </w:pPr>
          </w:p>
          <w:p w14:paraId="3198D81F" w14:textId="394C19CF" w:rsidR="00DB283F" w:rsidRDefault="00DB283F" w:rsidP="00042E94">
            <w:pPr>
              <w:jc w:val="center"/>
              <w:rPr>
                <w:rFonts w:ascii="Arial" w:eastAsia="Calibri" w:hAnsi="Arial" w:cs="Arial"/>
                <w:b/>
                <w:u w:val="single"/>
              </w:rPr>
            </w:pPr>
            <w:r>
              <w:rPr>
                <w:rFonts w:ascii="Arial" w:eastAsia="Calibri" w:hAnsi="Arial" w:cs="Arial"/>
                <w:b/>
                <w:u w:val="single"/>
              </w:rPr>
              <w:t>89.00%</w:t>
            </w:r>
          </w:p>
        </w:tc>
      </w:tr>
      <w:tr w:rsidR="00B363F9" w:rsidRPr="004B1294" w14:paraId="159F8CB9" w14:textId="77777777" w:rsidTr="00042E94">
        <w:tc>
          <w:tcPr>
            <w:tcW w:w="1550" w:type="dxa"/>
          </w:tcPr>
          <w:p w14:paraId="56EA0129" w14:textId="08940576" w:rsidR="00B363F9" w:rsidRDefault="00B363F9" w:rsidP="00042E94">
            <w:pPr>
              <w:jc w:val="center"/>
              <w:rPr>
                <w:rFonts w:ascii="Arial" w:hAnsi="Arial" w:cs="Arial"/>
                <w:b/>
              </w:rPr>
            </w:pPr>
            <w:r>
              <w:rPr>
                <w:rFonts w:ascii="Arial" w:hAnsi="Arial" w:cs="Arial"/>
                <w:b/>
              </w:rPr>
              <w:t>275</w:t>
            </w:r>
          </w:p>
        </w:tc>
        <w:tc>
          <w:tcPr>
            <w:tcW w:w="3255" w:type="dxa"/>
          </w:tcPr>
          <w:p w14:paraId="1DFABA91" w14:textId="77777777" w:rsidR="00B363F9" w:rsidRDefault="00B363F9" w:rsidP="00DB283F">
            <w:pPr>
              <w:jc w:val="both"/>
              <w:rPr>
                <w:rFonts w:ascii="Arial" w:hAnsi="Arial" w:cs="Arial"/>
                <w:b/>
                <w:lang w:val="es-MX"/>
              </w:rPr>
            </w:pPr>
            <w:r w:rsidRPr="00B363F9">
              <w:rPr>
                <w:rFonts w:ascii="Arial" w:hAnsi="Arial" w:cs="Arial"/>
                <w:b/>
                <w:lang w:val="es-MX"/>
              </w:rPr>
              <w:t>CORPORACIÓN AUTÓNOMA REGIONAL DE LA GUAJIRA - CORPOGUAJIRA.</w:t>
            </w:r>
          </w:p>
          <w:p w14:paraId="7FF9941C" w14:textId="77777777" w:rsidR="00B363F9" w:rsidRDefault="00B363F9" w:rsidP="00DB283F">
            <w:pPr>
              <w:jc w:val="both"/>
              <w:rPr>
                <w:rFonts w:ascii="Arial" w:hAnsi="Arial" w:cs="Arial"/>
                <w:b/>
                <w:lang w:val="es-MX"/>
              </w:rPr>
            </w:pPr>
          </w:p>
          <w:p w14:paraId="37D42635" w14:textId="77777777" w:rsidR="00B363F9" w:rsidRDefault="00B363F9" w:rsidP="00B363F9">
            <w:pPr>
              <w:jc w:val="both"/>
              <w:rPr>
                <w:rFonts w:ascii="Arial" w:hAnsi="Arial" w:cs="Arial"/>
                <w:b/>
                <w:lang w:val="es-MX"/>
              </w:rPr>
            </w:pPr>
            <w:r>
              <w:rPr>
                <w:rFonts w:ascii="Arial" w:hAnsi="Arial" w:cs="Arial"/>
                <w:b/>
                <w:lang w:val="es-MX"/>
              </w:rPr>
              <w:t>FUNCIONAMIENTO</w:t>
            </w:r>
          </w:p>
          <w:p w14:paraId="60CA8C0E" w14:textId="77777777" w:rsidR="00B363F9" w:rsidRDefault="00B363F9" w:rsidP="00B363F9">
            <w:pPr>
              <w:jc w:val="both"/>
              <w:rPr>
                <w:rFonts w:ascii="Arial" w:hAnsi="Arial" w:cs="Arial"/>
                <w:b/>
                <w:lang w:val="es-MX"/>
              </w:rPr>
            </w:pPr>
            <w:r>
              <w:rPr>
                <w:rFonts w:ascii="Arial" w:hAnsi="Arial" w:cs="Arial"/>
                <w:b/>
                <w:lang w:val="es-MX"/>
              </w:rPr>
              <w:t>INVERSIÓN</w:t>
            </w:r>
          </w:p>
          <w:p w14:paraId="556BD5E4" w14:textId="77777777" w:rsidR="00B363F9" w:rsidRDefault="00B363F9" w:rsidP="00B363F9">
            <w:pPr>
              <w:jc w:val="both"/>
              <w:rPr>
                <w:rFonts w:ascii="Arial" w:hAnsi="Arial" w:cs="Arial"/>
                <w:b/>
                <w:lang w:val="es-MX"/>
              </w:rPr>
            </w:pPr>
          </w:p>
          <w:p w14:paraId="6A3B5CDB" w14:textId="24F97FBF" w:rsidR="00B363F9" w:rsidRPr="00DB283F" w:rsidRDefault="00B363F9" w:rsidP="00B363F9">
            <w:pPr>
              <w:jc w:val="both"/>
              <w:rPr>
                <w:rFonts w:ascii="Arial" w:hAnsi="Arial" w:cs="Arial"/>
                <w:b/>
                <w:lang w:val="es-MX"/>
              </w:rPr>
            </w:pPr>
            <w:r>
              <w:rPr>
                <w:rFonts w:ascii="Arial" w:hAnsi="Arial" w:cs="Arial"/>
                <w:b/>
                <w:lang w:val="es-MX"/>
              </w:rPr>
              <w:t>TOTAL PRESUPUESTO</w:t>
            </w:r>
          </w:p>
        </w:tc>
        <w:tc>
          <w:tcPr>
            <w:tcW w:w="1839" w:type="dxa"/>
          </w:tcPr>
          <w:p w14:paraId="17019117" w14:textId="77777777" w:rsidR="00B363F9" w:rsidRDefault="00B363F9" w:rsidP="00042E94">
            <w:pPr>
              <w:jc w:val="center"/>
              <w:rPr>
                <w:rFonts w:ascii="Arial" w:eastAsia="Calibri" w:hAnsi="Arial" w:cs="Arial"/>
                <w:b/>
                <w:u w:val="single"/>
              </w:rPr>
            </w:pPr>
          </w:p>
          <w:p w14:paraId="3D5CE0B7" w14:textId="77777777" w:rsidR="00B363F9" w:rsidRDefault="00B363F9" w:rsidP="00042E94">
            <w:pPr>
              <w:jc w:val="center"/>
              <w:rPr>
                <w:rFonts w:ascii="Arial" w:eastAsia="Calibri" w:hAnsi="Arial" w:cs="Arial"/>
                <w:b/>
                <w:u w:val="single"/>
              </w:rPr>
            </w:pPr>
          </w:p>
          <w:p w14:paraId="50D51BB2" w14:textId="77777777" w:rsidR="00B363F9" w:rsidRDefault="00B363F9" w:rsidP="00042E94">
            <w:pPr>
              <w:jc w:val="center"/>
              <w:rPr>
                <w:rFonts w:ascii="Arial" w:eastAsia="Calibri" w:hAnsi="Arial" w:cs="Arial"/>
                <w:b/>
                <w:u w:val="single"/>
              </w:rPr>
            </w:pPr>
          </w:p>
          <w:p w14:paraId="48675E9D" w14:textId="77777777" w:rsidR="00B363F9" w:rsidRDefault="00B363F9" w:rsidP="00042E94">
            <w:pPr>
              <w:jc w:val="center"/>
              <w:rPr>
                <w:rFonts w:ascii="Arial" w:eastAsia="Calibri" w:hAnsi="Arial" w:cs="Arial"/>
                <w:b/>
                <w:u w:val="single"/>
              </w:rPr>
            </w:pPr>
          </w:p>
          <w:p w14:paraId="26C44D1D" w14:textId="3D2F1652" w:rsidR="00B363F9" w:rsidRDefault="00B363F9" w:rsidP="00042E94">
            <w:pPr>
              <w:jc w:val="center"/>
              <w:rPr>
                <w:rFonts w:ascii="Arial" w:eastAsia="Calibri" w:hAnsi="Arial" w:cs="Arial"/>
                <w:b/>
                <w:u w:val="single"/>
              </w:rPr>
            </w:pPr>
            <w:r>
              <w:rPr>
                <w:rFonts w:ascii="Arial" w:eastAsia="Calibri" w:hAnsi="Arial" w:cs="Arial"/>
                <w:b/>
                <w:u w:val="single"/>
              </w:rPr>
              <w:t>99.00%</w:t>
            </w:r>
          </w:p>
          <w:p w14:paraId="1A68F67B" w14:textId="77777777" w:rsidR="00B363F9" w:rsidRDefault="00B363F9" w:rsidP="00B363F9">
            <w:pPr>
              <w:jc w:val="center"/>
              <w:rPr>
                <w:rFonts w:ascii="Arial" w:eastAsia="Calibri" w:hAnsi="Arial" w:cs="Arial"/>
                <w:b/>
                <w:u w:val="single"/>
              </w:rPr>
            </w:pPr>
            <w:r>
              <w:rPr>
                <w:rFonts w:ascii="Arial" w:eastAsia="Calibri" w:hAnsi="Arial" w:cs="Arial"/>
                <w:b/>
                <w:u w:val="single"/>
              </w:rPr>
              <w:t>99.00%</w:t>
            </w:r>
          </w:p>
          <w:p w14:paraId="73379BAE" w14:textId="77777777" w:rsidR="00B363F9" w:rsidRDefault="00B363F9" w:rsidP="00042E94">
            <w:pPr>
              <w:jc w:val="center"/>
              <w:rPr>
                <w:rFonts w:ascii="Arial" w:eastAsia="Calibri" w:hAnsi="Arial" w:cs="Arial"/>
                <w:b/>
                <w:u w:val="single"/>
              </w:rPr>
            </w:pPr>
          </w:p>
          <w:p w14:paraId="02662B08" w14:textId="5AA03D9B" w:rsidR="00B363F9" w:rsidRDefault="00B363F9" w:rsidP="00B363F9">
            <w:pPr>
              <w:jc w:val="center"/>
              <w:rPr>
                <w:rFonts w:ascii="Arial" w:eastAsia="Calibri" w:hAnsi="Arial" w:cs="Arial"/>
                <w:b/>
                <w:u w:val="single"/>
              </w:rPr>
            </w:pPr>
            <w:r>
              <w:rPr>
                <w:rFonts w:ascii="Arial" w:eastAsia="Calibri" w:hAnsi="Arial" w:cs="Arial"/>
                <w:b/>
                <w:u w:val="single"/>
              </w:rPr>
              <w:t>99.00%</w:t>
            </w:r>
          </w:p>
        </w:tc>
        <w:tc>
          <w:tcPr>
            <w:tcW w:w="1804" w:type="dxa"/>
          </w:tcPr>
          <w:p w14:paraId="6BD9C977" w14:textId="77777777" w:rsidR="00B363F9" w:rsidRDefault="00B363F9" w:rsidP="00042E94">
            <w:pPr>
              <w:jc w:val="center"/>
              <w:rPr>
                <w:rFonts w:ascii="Arial" w:eastAsia="Calibri" w:hAnsi="Arial" w:cs="Arial"/>
                <w:b/>
                <w:u w:val="single"/>
              </w:rPr>
            </w:pPr>
          </w:p>
          <w:p w14:paraId="7555DD09" w14:textId="77777777" w:rsidR="00B363F9" w:rsidRDefault="00B363F9" w:rsidP="00042E94">
            <w:pPr>
              <w:jc w:val="center"/>
              <w:rPr>
                <w:rFonts w:ascii="Arial" w:eastAsia="Calibri" w:hAnsi="Arial" w:cs="Arial"/>
                <w:b/>
                <w:u w:val="single"/>
              </w:rPr>
            </w:pPr>
          </w:p>
          <w:p w14:paraId="747897CF" w14:textId="77777777" w:rsidR="00B363F9" w:rsidRDefault="00B363F9" w:rsidP="00042E94">
            <w:pPr>
              <w:jc w:val="center"/>
              <w:rPr>
                <w:rFonts w:ascii="Arial" w:eastAsia="Calibri" w:hAnsi="Arial" w:cs="Arial"/>
                <w:b/>
                <w:u w:val="single"/>
              </w:rPr>
            </w:pPr>
          </w:p>
          <w:p w14:paraId="21C8D1CB" w14:textId="77777777" w:rsidR="00B363F9" w:rsidRDefault="00B363F9" w:rsidP="00042E94">
            <w:pPr>
              <w:jc w:val="center"/>
              <w:rPr>
                <w:rFonts w:ascii="Arial" w:eastAsia="Calibri" w:hAnsi="Arial" w:cs="Arial"/>
                <w:b/>
                <w:u w:val="single"/>
              </w:rPr>
            </w:pPr>
          </w:p>
          <w:p w14:paraId="1B8BB344" w14:textId="1CECB5EE" w:rsidR="00B363F9" w:rsidRDefault="00B363F9" w:rsidP="00042E94">
            <w:pPr>
              <w:jc w:val="center"/>
              <w:rPr>
                <w:rFonts w:ascii="Arial" w:eastAsia="Calibri" w:hAnsi="Arial" w:cs="Arial"/>
                <w:b/>
                <w:u w:val="single"/>
              </w:rPr>
            </w:pPr>
            <w:r>
              <w:rPr>
                <w:rFonts w:ascii="Arial" w:eastAsia="Calibri" w:hAnsi="Arial" w:cs="Arial"/>
                <w:b/>
                <w:u w:val="single"/>
              </w:rPr>
              <w:t>98.20%</w:t>
            </w:r>
          </w:p>
          <w:p w14:paraId="55AA6541" w14:textId="1FC9DCC6" w:rsidR="00B363F9" w:rsidRDefault="00B363F9" w:rsidP="00042E94">
            <w:pPr>
              <w:jc w:val="center"/>
              <w:rPr>
                <w:rFonts w:ascii="Arial" w:eastAsia="Calibri" w:hAnsi="Arial" w:cs="Arial"/>
                <w:b/>
                <w:u w:val="single"/>
              </w:rPr>
            </w:pPr>
            <w:r>
              <w:rPr>
                <w:rFonts w:ascii="Arial" w:eastAsia="Calibri" w:hAnsi="Arial" w:cs="Arial"/>
                <w:b/>
                <w:u w:val="single"/>
              </w:rPr>
              <w:t>20.00%</w:t>
            </w:r>
          </w:p>
          <w:p w14:paraId="38B82910" w14:textId="77777777" w:rsidR="00B363F9" w:rsidRDefault="00B363F9" w:rsidP="00042E94">
            <w:pPr>
              <w:jc w:val="center"/>
              <w:rPr>
                <w:rFonts w:ascii="Arial" w:eastAsia="Calibri" w:hAnsi="Arial" w:cs="Arial"/>
                <w:b/>
                <w:u w:val="single"/>
              </w:rPr>
            </w:pPr>
          </w:p>
          <w:p w14:paraId="248D93D8" w14:textId="1E275E11" w:rsidR="00B363F9" w:rsidRDefault="00B363F9" w:rsidP="00B363F9">
            <w:pPr>
              <w:jc w:val="center"/>
              <w:rPr>
                <w:rFonts w:ascii="Arial" w:eastAsia="Calibri" w:hAnsi="Arial" w:cs="Arial"/>
                <w:b/>
                <w:u w:val="single"/>
              </w:rPr>
            </w:pPr>
            <w:r>
              <w:rPr>
                <w:rFonts w:ascii="Arial" w:eastAsia="Calibri" w:hAnsi="Arial" w:cs="Arial"/>
                <w:b/>
                <w:u w:val="single"/>
              </w:rPr>
              <w:t>63.00%</w:t>
            </w:r>
          </w:p>
        </w:tc>
        <w:tc>
          <w:tcPr>
            <w:tcW w:w="2042" w:type="dxa"/>
          </w:tcPr>
          <w:p w14:paraId="1FD2A204" w14:textId="77777777" w:rsidR="00B363F9" w:rsidRDefault="00B363F9" w:rsidP="00042E94">
            <w:pPr>
              <w:jc w:val="center"/>
              <w:rPr>
                <w:rFonts w:ascii="Arial" w:eastAsia="Calibri" w:hAnsi="Arial" w:cs="Arial"/>
                <w:b/>
                <w:u w:val="single"/>
              </w:rPr>
            </w:pPr>
          </w:p>
          <w:p w14:paraId="451460F3" w14:textId="77777777" w:rsidR="00B363F9" w:rsidRDefault="00B363F9" w:rsidP="00042E94">
            <w:pPr>
              <w:jc w:val="center"/>
              <w:rPr>
                <w:rFonts w:ascii="Arial" w:eastAsia="Calibri" w:hAnsi="Arial" w:cs="Arial"/>
                <w:b/>
                <w:u w:val="single"/>
              </w:rPr>
            </w:pPr>
          </w:p>
          <w:p w14:paraId="36050C84" w14:textId="77777777" w:rsidR="00B363F9" w:rsidRDefault="00B363F9" w:rsidP="00042E94">
            <w:pPr>
              <w:jc w:val="center"/>
              <w:rPr>
                <w:rFonts w:ascii="Arial" w:eastAsia="Calibri" w:hAnsi="Arial" w:cs="Arial"/>
                <w:b/>
                <w:u w:val="single"/>
              </w:rPr>
            </w:pPr>
          </w:p>
          <w:p w14:paraId="65C9A5E6" w14:textId="77777777" w:rsidR="00B363F9" w:rsidRDefault="00B363F9" w:rsidP="00042E94">
            <w:pPr>
              <w:jc w:val="center"/>
              <w:rPr>
                <w:rFonts w:ascii="Arial" w:eastAsia="Calibri" w:hAnsi="Arial" w:cs="Arial"/>
                <w:b/>
                <w:u w:val="single"/>
              </w:rPr>
            </w:pPr>
          </w:p>
          <w:p w14:paraId="69B1C91D" w14:textId="4F24CBDC" w:rsidR="00B363F9" w:rsidRDefault="00B363F9" w:rsidP="00042E94">
            <w:pPr>
              <w:jc w:val="center"/>
              <w:rPr>
                <w:rFonts w:ascii="Arial" w:eastAsia="Calibri" w:hAnsi="Arial" w:cs="Arial"/>
                <w:b/>
                <w:u w:val="single"/>
              </w:rPr>
            </w:pPr>
            <w:r>
              <w:rPr>
                <w:rFonts w:ascii="Arial" w:eastAsia="Calibri" w:hAnsi="Arial" w:cs="Arial"/>
                <w:b/>
                <w:u w:val="single"/>
              </w:rPr>
              <w:t>96.00%</w:t>
            </w:r>
          </w:p>
          <w:p w14:paraId="38CCA9F8" w14:textId="7E550406" w:rsidR="00B363F9" w:rsidRDefault="00B363F9" w:rsidP="00042E94">
            <w:pPr>
              <w:jc w:val="center"/>
              <w:rPr>
                <w:rFonts w:ascii="Arial" w:eastAsia="Calibri" w:hAnsi="Arial" w:cs="Arial"/>
                <w:b/>
                <w:u w:val="single"/>
              </w:rPr>
            </w:pPr>
            <w:r>
              <w:rPr>
                <w:rFonts w:ascii="Arial" w:eastAsia="Calibri" w:hAnsi="Arial" w:cs="Arial"/>
                <w:b/>
                <w:u w:val="single"/>
              </w:rPr>
              <w:t>20.00%</w:t>
            </w:r>
          </w:p>
          <w:p w14:paraId="3262DD91" w14:textId="77777777" w:rsidR="00B363F9" w:rsidRDefault="00B363F9" w:rsidP="00042E94">
            <w:pPr>
              <w:jc w:val="center"/>
              <w:rPr>
                <w:rFonts w:ascii="Arial" w:eastAsia="Calibri" w:hAnsi="Arial" w:cs="Arial"/>
                <w:b/>
                <w:u w:val="single"/>
              </w:rPr>
            </w:pPr>
          </w:p>
          <w:p w14:paraId="666D9950" w14:textId="49303218" w:rsidR="00B363F9" w:rsidRDefault="00B363F9" w:rsidP="00042E94">
            <w:pPr>
              <w:jc w:val="center"/>
              <w:rPr>
                <w:rFonts w:ascii="Arial" w:eastAsia="Calibri" w:hAnsi="Arial" w:cs="Arial"/>
                <w:b/>
                <w:u w:val="single"/>
              </w:rPr>
            </w:pPr>
            <w:r>
              <w:rPr>
                <w:rFonts w:ascii="Arial" w:eastAsia="Calibri" w:hAnsi="Arial" w:cs="Arial"/>
                <w:b/>
                <w:u w:val="single"/>
              </w:rPr>
              <w:t>62.00%</w:t>
            </w:r>
          </w:p>
        </w:tc>
      </w:tr>
      <w:tr w:rsidR="003106E0" w:rsidRPr="004B1294" w14:paraId="4209B086" w14:textId="77777777" w:rsidTr="00042E94">
        <w:tc>
          <w:tcPr>
            <w:tcW w:w="1550" w:type="dxa"/>
          </w:tcPr>
          <w:p w14:paraId="71983BE3" w14:textId="2B6190D0" w:rsidR="003106E0" w:rsidRDefault="003106E0" w:rsidP="00042E94">
            <w:pPr>
              <w:jc w:val="center"/>
              <w:rPr>
                <w:rFonts w:ascii="Arial" w:hAnsi="Arial" w:cs="Arial"/>
                <w:b/>
              </w:rPr>
            </w:pPr>
            <w:r>
              <w:rPr>
                <w:rFonts w:ascii="Arial" w:hAnsi="Arial" w:cs="Arial"/>
                <w:b/>
              </w:rPr>
              <w:t>276</w:t>
            </w:r>
          </w:p>
        </w:tc>
        <w:tc>
          <w:tcPr>
            <w:tcW w:w="3255" w:type="dxa"/>
          </w:tcPr>
          <w:p w14:paraId="08C5DAC7" w14:textId="28E329B7" w:rsidR="003106E0" w:rsidRPr="003106E0" w:rsidRDefault="003106E0" w:rsidP="003106E0">
            <w:pPr>
              <w:jc w:val="both"/>
              <w:rPr>
                <w:rFonts w:ascii="Arial" w:hAnsi="Arial" w:cs="Arial"/>
                <w:b/>
                <w:lang w:val="es-MX"/>
              </w:rPr>
            </w:pPr>
            <w:r w:rsidRPr="003106E0">
              <w:rPr>
                <w:rFonts w:ascii="Arial" w:hAnsi="Arial" w:cs="Arial"/>
                <w:b/>
                <w:lang w:val="es-MX"/>
              </w:rPr>
              <w:t>INSTITUTO COLOMBIANO AGROPECUARIO – ICA.</w:t>
            </w:r>
          </w:p>
          <w:p w14:paraId="68FCA974" w14:textId="77777777" w:rsidR="003106E0" w:rsidRDefault="003106E0" w:rsidP="00DB283F">
            <w:pPr>
              <w:jc w:val="both"/>
              <w:rPr>
                <w:rFonts w:ascii="Arial" w:hAnsi="Arial" w:cs="Arial"/>
                <w:b/>
                <w:lang w:val="es-MX"/>
              </w:rPr>
            </w:pPr>
          </w:p>
          <w:p w14:paraId="3AC5EB72" w14:textId="77777777" w:rsidR="003106E0" w:rsidRDefault="003106E0" w:rsidP="003106E0">
            <w:pPr>
              <w:jc w:val="both"/>
              <w:rPr>
                <w:rFonts w:ascii="Arial" w:hAnsi="Arial" w:cs="Arial"/>
                <w:b/>
                <w:lang w:val="es-MX"/>
              </w:rPr>
            </w:pPr>
            <w:r>
              <w:rPr>
                <w:rFonts w:ascii="Arial" w:hAnsi="Arial" w:cs="Arial"/>
                <w:b/>
                <w:lang w:val="es-MX"/>
              </w:rPr>
              <w:t>FUNCIONAMIENTO</w:t>
            </w:r>
          </w:p>
          <w:p w14:paraId="55E6500D" w14:textId="77777777" w:rsidR="003106E0" w:rsidRDefault="003106E0" w:rsidP="003106E0">
            <w:pPr>
              <w:jc w:val="both"/>
              <w:rPr>
                <w:rFonts w:ascii="Arial" w:hAnsi="Arial" w:cs="Arial"/>
                <w:b/>
                <w:lang w:val="es-MX"/>
              </w:rPr>
            </w:pPr>
            <w:r>
              <w:rPr>
                <w:rFonts w:ascii="Arial" w:hAnsi="Arial" w:cs="Arial"/>
                <w:b/>
                <w:lang w:val="es-MX"/>
              </w:rPr>
              <w:t>INVERSIÓN</w:t>
            </w:r>
          </w:p>
          <w:p w14:paraId="7F99E22E" w14:textId="77777777" w:rsidR="003106E0" w:rsidRDefault="003106E0" w:rsidP="003106E0">
            <w:pPr>
              <w:jc w:val="both"/>
              <w:rPr>
                <w:rFonts w:ascii="Arial" w:hAnsi="Arial" w:cs="Arial"/>
                <w:b/>
                <w:lang w:val="es-MX"/>
              </w:rPr>
            </w:pPr>
          </w:p>
          <w:p w14:paraId="783E69B3" w14:textId="4D86E849" w:rsidR="003106E0" w:rsidRPr="00B363F9" w:rsidRDefault="003106E0" w:rsidP="003106E0">
            <w:pPr>
              <w:jc w:val="both"/>
              <w:rPr>
                <w:rFonts w:ascii="Arial" w:hAnsi="Arial" w:cs="Arial"/>
                <w:b/>
                <w:lang w:val="es-MX"/>
              </w:rPr>
            </w:pPr>
            <w:r>
              <w:rPr>
                <w:rFonts w:ascii="Arial" w:hAnsi="Arial" w:cs="Arial"/>
                <w:b/>
                <w:lang w:val="es-MX"/>
              </w:rPr>
              <w:t>TOTAL PRESUPUESTO</w:t>
            </w:r>
          </w:p>
        </w:tc>
        <w:tc>
          <w:tcPr>
            <w:tcW w:w="1839" w:type="dxa"/>
          </w:tcPr>
          <w:p w14:paraId="0A8D697F" w14:textId="77777777" w:rsidR="003106E0" w:rsidRDefault="003106E0" w:rsidP="00042E94">
            <w:pPr>
              <w:jc w:val="center"/>
              <w:rPr>
                <w:rFonts w:ascii="Arial" w:eastAsia="Calibri" w:hAnsi="Arial" w:cs="Arial"/>
                <w:b/>
                <w:u w:val="single"/>
              </w:rPr>
            </w:pPr>
          </w:p>
          <w:p w14:paraId="2FE8D081" w14:textId="77777777" w:rsidR="003106E0" w:rsidRDefault="003106E0" w:rsidP="00042E94">
            <w:pPr>
              <w:jc w:val="center"/>
              <w:rPr>
                <w:rFonts w:ascii="Arial" w:eastAsia="Calibri" w:hAnsi="Arial" w:cs="Arial"/>
                <w:b/>
                <w:u w:val="single"/>
              </w:rPr>
            </w:pPr>
          </w:p>
          <w:p w14:paraId="6AA36119" w14:textId="77777777" w:rsidR="003106E0" w:rsidRDefault="003106E0" w:rsidP="00042E94">
            <w:pPr>
              <w:jc w:val="center"/>
              <w:rPr>
                <w:rFonts w:ascii="Arial" w:eastAsia="Calibri" w:hAnsi="Arial" w:cs="Arial"/>
                <w:b/>
                <w:u w:val="single"/>
              </w:rPr>
            </w:pPr>
          </w:p>
          <w:p w14:paraId="2071BBFA" w14:textId="706D90EE" w:rsidR="003106E0" w:rsidRDefault="003106E0" w:rsidP="00042E94">
            <w:pPr>
              <w:jc w:val="center"/>
              <w:rPr>
                <w:rFonts w:ascii="Arial" w:eastAsia="Calibri" w:hAnsi="Arial" w:cs="Arial"/>
                <w:b/>
                <w:u w:val="single"/>
              </w:rPr>
            </w:pPr>
            <w:r>
              <w:rPr>
                <w:rFonts w:ascii="Arial" w:eastAsia="Calibri" w:hAnsi="Arial" w:cs="Arial"/>
                <w:b/>
                <w:u w:val="single"/>
              </w:rPr>
              <w:t>96.00%</w:t>
            </w:r>
          </w:p>
          <w:p w14:paraId="63FF493F" w14:textId="1CFD5685" w:rsidR="003106E0" w:rsidRDefault="003106E0" w:rsidP="00042E94">
            <w:pPr>
              <w:jc w:val="center"/>
              <w:rPr>
                <w:rFonts w:ascii="Arial" w:eastAsia="Calibri" w:hAnsi="Arial" w:cs="Arial"/>
                <w:b/>
                <w:u w:val="single"/>
              </w:rPr>
            </w:pPr>
            <w:r>
              <w:rPr>
                <w:rFonts w:ascii="Arial" w:eastAsia="Calibri" w:hAnsi="Arial" w:cs="Arial"/>
                <w:b/>
                <w:u w:val="single"/>
              </w:rPr>
              <w:t>94.00%</w:t>
            </w:r>
          </w:p>
          <w:p w14:paraId="35509BB5" w14:textId="77777777" w:rsidR="003106E0" w:rsidRDefault="003106E0" w:rsidP="00042E94">
            <w:pPr>
              <w:jc w:val="center"/>
              <w:rPr>
                <w:rFonts w:ascii="Arial" w:eastAsia="Calibri" w:hAnsi="Arial" w:cs="Arial"/>
                <w:b/>
                <w:u w:val="single"/>
              </w:rPr>
            </w:pPr>
          </w:p>
          <w:p w14:paraId="0D69EA26" w14:textId="72DF2EB1" w:rsidR="003106E0" w:rsidRDefault="003106E0" w:rsidP="00042E94">
            <w:pPr>
              <w:jc w:val="center"/>
              <w:rPr>
                <w:rFonts w:ascii="Arial" w:eastAsia="Calibri" w:hAnsi="Arial" w:cs="Arial"/>
                <w:b/>
                <w:u w:val="single"/>
              </w:rPr>
            </w:pPr>
            <w:r>
              <w:rPr>
                <w:rFonts w:ascii="Arial" w:eastAsia="Calibri" w:hAnsi="Arial" w:cs="Arial"/>
                <w:b/>
                <w:u w:val="single"/>
              </w:rPr>
              <w:t>95.00%</w:t>
            </w:r>
          </w:p>
        </w:tc>
        <w:tc>
          <w:tcPr>
            <w:tcW w:w="1804" w:type="dxa"/>
          </w:tcPr>
          <w:p w14:paraId="6AC2479D" w14:textId="77777777" w:rsidR="003106E0" w:rsidRDefault="003106E0" w:rsidP="00042E94">
            <w:pPr>
              <w:jc w:val="center"/>
              <w:rPr>
                <w:rFonts w:ascii="Arial" w:eastAsia="Calibri" w:hAnsi="Arial" w:cs="Arial"/>
                <w:b/>
                <w:u w:val="single"/>
              </w:rPr>
            </w:pPr>
          </w:p>
          <w:p w14:paraId="1AECDBC5" w14:textId="77777777" w:rsidR="003106E0" w:rsidRDefault="003106E0" w:rsidP="00042E94">
            <w:pPr>
              <w:jc w:val="center"/>
              <w:rPr>
                <w:rFonts w:ascii="Arial" w:eastAsia="Calibri" w:hAnsi="Arial" w:cs="Arial"/>
                <w:b/>
                <w:u w:val="single"/>
              </w:rPr>
            </w:pPr>
          </w:p>
          <w:p w14:paraId="259BD2FF" w14:textId="77777777" w:rsidR="003106E0" w:rsidRDefault="003106E0" w:rsidP="00042E94">
            <w:pPr>
              <w:jc w:val="center"/>
              <w:rPr>
                <w:rFonts w:ascii="Arial" w:eastAsia="Calibri" w:hAnsi="Arial" w:cs="Arial"/>
                <w:b/>
                <w:u w:val="single"/>
              </w:rPr>
            </w:pPr>
          </w:p>
          <w:p w14:paraId="4D546FB0" w14:textId="4595A81C" w:rsidR="003106E0" w:rsidRDefault="003106E0" w:rsidP="00042E94">
            <w:pPr>
              <w:jc w:val="center"/>
              <w:rPr>
                <w:rFonts w:ascii="Arial" w:eastAsia="Calibri" w:hAnsi="Arial" w:cs="Arial"/>
                <w:b/>
                <w:u w:val="single"/>
              </w:rPr>
            </w:pPr>
            <w:r>
              <w:rPr>
                <w:rFonts w:ascii="Arial" w:eastAsia="Calibri" w:hAnsi="Arial" w:cs="Arial"/>
                <w:b/>
                <w:u w:val="single"/>
              </w:rPr>
              <w:t>94.00%</w:t>
            </w:r>
          </w:p>
          <w:p w14:paraId="2707D805" w14:textId="6D1381D6" w:rsidR="003106E0" w:rsidRDefault="003106E0" w:rsidP="00042E94">
            <w:pPr>
              <w:jc w:val="center"/>
              <w:rPr>
                <w:rFonts w:ascii="Arial" w:eastAsia="Calibri" w:hAnsi="Arial" w:cs="Arial"/>
                <w:b/>
                <w:u w:val="single"/>
              </w:rPr>
            </w:pPr>
            <w:r>
              <w:rPr>
                <w:rFonts w:ascii="Arial" w:eastAsia="Calibri" w:hAnsi="Arial" w:cs="Arial"/>
                <w:b/>
                <w:u w:val="single"/>
              </w:rPr>
              <w:t>82.00%</w:t>
            </w:r>
          </w:p>
          <w:p w14:paraId="0B3F2DC7" w14:textId="77777777" w:rsidR="003106E0" w:rsidRDefault="003106E0" w:rsidP="00042E94">
            <w:pPr>
              <w:jc w:val="center"/>
              <w:rPr>
                <w:rFonts w:ascii="Arial" w:eastAsia="Calibri" w:hAnsi="Arial" w:cs="Arial"/>
                <w:b/>
                <w:u w:val="single"/>
              </w:rPr>
            </w:pPr>
          </w:p>
          <w:p w14:paraId="3348597F" w14:textId="4D32805D" w:rsidR="003106E0" w:rsidRDefault="003106E0" w:rsidP="00042E94">
            <w:pPr>
              <w:jc w:val="center"/>
              <w:rPr>
                <w:rFonts w:ascii="Arial" w:eastAsia="Calibri" w:hAnsi="Arial" w:cs="Arial"/>
                <w:b/>
                <w:u w:val="single"/>
              </w:rPr>
            </w:pPr>
            <w:r>
              <w:rPr>
                <w:rFonts w:ascii="Arial" w:eastAsia="Calibri" w:hAnsi="Arial" w:cs="Arial"/>
                <w:b/>
                <w:u w:val="single"/>
              </w:rPr>
              <w:t>88.00%</w:t>
            </w:r>
          </w:p>
        </w:tc>
        <w:tc>
          <w:tcPr>
            <w:tcW w:w="2042" w:type="dxa"/>
          </w:tcPr>
          <w:p w14:paraId="53849061" w14:textId="77777777" w:rsidR="003106E0" w:rsidRDefault="003106E0" w:rsidP="00042E94">
            <w:pPr>
              <w:jc w:val="center"/>
              <w:rPr>
                <w:rFonts w:ascii="Arial" w:eastAsia="Calibri" w:hAnsi="Arial" w:cs="Arial"/>
                <w:b/>
                <w:u w:val="single"/>
              </w:rPr>
            </w:pPr>
          </w:p>
          <w:p w14:paraId="65731F70" w14:textId="77777777" w:rsidR="003106E0" w:rsidRDefault="003106E0" w:rsidP="00042E94">
            <w:pPr>
              <w:jc w:val="center"/>
              <w:rPr>
                <w:rFonts w:ascii="Arial" w:eastAsia="Calibri" w:hAnsi="Arial" w:cs="Arial"/>
                <w:b/>
                <w:u w:val="single"/>
              </w:rPr>
            </w:pPr>
          </w:p>
          <w:p w14:paraId="22792F3C" w14:textId="77777777" w:rsidR="003106E0" w:rsidRDefault="003106E0" w:rsidP="00042E94">
            <w:pPr>
              <w:jc w:val="center"/>
              <w:rPr>
                <w:rFonts w:ascii="Arial" w:eastAsia="Calibri" w:hAnsi="Arial" w:cs="Arial"/>
                <w:b/>
                <w:u w:val="single"/>
              </w:rPr>
            </w:pPr>
          </w:p>
          <w:p w14:paraId="43D845F2" w14:textId="30BBE541" w:rsidR="003106E0" w:rsidRDefault="003106E0" w:rsidP="00042E94">
            <w:pPr>
              <w:jc w:val="center"/>
              <w:rPr>
                <w:rFonts w:ascii="Arial" w:eastAsia="Calibri" w:hAnsi="Arial" w:cs="Arial"/>
                <w:b/>
                <w:u w:val="single"/>
              </w:rPr>
            </w:pPr>
            <w:r>
              <w:rPr>
                <w:rFonts w:ascii="Arial" w:eastAsia="Calibri" w:hAnsi="Arial" w:cs="Arial"/>
                <w:b/>
                <w:u w:val="single"/>
              </w:rPr>
              <w:t>92.00%</w:t>
            </w:r>
          </w:p>
          <w:p w14:paraId="3313DC82" w14:textId="3CEAE7EE" w:rsidR="003106E0" w:rsidRDefault="003106E0" w:rsidP="00042E94">
            <w:pPr>
              <w:jc w:val="center"/>
              <w:rPr>
                <w:rFonts w:ascii="Arial" w:eastAsia="Calibri" w:hAnsi="Arial" w:cs="Arial"/>
                <w:b/>
                <w:u w:val="single"/>
              </w:rPr>
            </w:pPr>
            <w:r>
              <w:rPr>
                <w:rFonts w:ascii="Arial" w:eastAsia="Calibri" w:hAnsi="Arial" w:cs="Arial"/>
                <w:b/>
                <w:u w:val="single"/>
              </w:rPr>
              <w:t>77.00%</w:t>
            </w:r>
          </w:p>
          <w:p w14:paraId="287051DF" w14:textId="77777777" w:rsidR="003106E0" w:rsidRDefault="003106E0" w:rsidP="00042E94">
            <w:pPr>
              <w:jc w:val="center"/>
              <w:rPr>
                <w:rFonts w:ascii="Arial" w:eastAsia="Calibri" w:hAnsi="Arial" w:cs="Arial"/>
                <w:b/>
                <w:u w:val="single"/>
              </w:rPr>
            </w:pPr>
          </w:p>
          <w:p w14:paraId="799E1E9F" w14:textId="62F4E271" w:rsidR="003106E0" w:rsidRDefault="003106E0" w:rsidP="00042E94">
            <w:pPr>
              <w:jc w:val="center"/>
              <w:rPr>
                <w:rFonts w:ascii="Arial" w:eastAsia="Calibri" w:hAnsi="Arial" w:cs="Arial"/>
                <w:b/>
                <w:u w:val="single"/>
              </w:rPr>
            </w:pPr>
            <w:r>
              <w:rPr>
                <w:rFonts w:ascii="Arial" w:eastAsia="Calibri" w:hAnsi="Arial" w:cs="Arial"/>
                <w:b/>
                <w:u w:val="single"/>
              </w:rPr>
              <w:t>84.00%</w:t>
            </w:r>
          </w:p>
        </w:tc>
      </w:tr>
      <w:tr w:rsidR="009F2F50" w:rsidRPr="004B1294" w14:paraId="4F7383F8" w14:textId="77777777" w:rsidTr="00042E94">
        <w:tc>
          <w:tcPr>
            <w:tcW w:w="1550" w:type="dxa"/>
          </w:tcPr>
          <w:p w14:paraId="7ED79D02" w14:textId="15F15DB9" w:rsidR="009F2F50" w:rsidRDefault="009F2F50" w:rsidP="00042E94">
            <w:pPr>
              <w:jc w:val="center"/>
              <w:rPr>
                <w:rFonts w:ascii="Arial" w:hAnsi="Arial" w:cs="Arial"/>
                <w:b/>
              </w:rPr>
            </w:pPr>
            <w:r>
              <w:rPr>
                <w:rFonts w:ascii="Arial" w:hAnsi="Arial" w:cs="Arial"/>
                <w:b/>
              </w:rPr>
              <w:t>279</w:t>
            </w:r>
          </w:p>
        </w:tc>
        <w:tc>
          <w:tcPr>
            <w:tcW w:w="3255" w:type="dxa"/>
          </w:tcPr>
          <w:p w14:paraId="55D85D08" w14:textId="0C078079" w:rsidR="009F2F50" w:rsidRPr="009F2F50" w:rsidRDefault="009F2F50" w:rsidP="009F2F50">
            <w:pPr>
              <w:jc w:val="both"/>
              <w:rPr>
                <w:rFonts w:ascii="Arial" w:hAnsi="Arial" w:cs="Arial"/>
                <w:b/>
                <w:lang w:val="es-MX"/>
              </w:rPr>
            </w:pPr>
            <w:r w:rsidRPr="009F2F50">
              <w:rPr>
                <w:rFonts w:ascii="Arial" w:hAnsi="Arial" w:cs="Arial"/>
                <w:b/>
                <w:lang w:val="es-MX"/>
              </w:rPr>
              <w:t>FONDO ESPECIAL PARA LA ADMINISTRACIÓN DE BIENES DE LA FISCALÍA GENERAL DE LA NACIÓN.</w:t>
            </w:r>
          </w:p>
          <w:p w14:paraId="004B7A5F" w14:textId="77777777" w:rsidR="009F2F50" w:rsidRDefault="009F2F50" w:rsidP="003106E0">
            <w:pPr>
              <w:jc w:val="both"/>
              <w:rPr>
                <w:rFonts w:ascii="Arial" w:hAnsi="Arial" w:cs="Arial"/>
                <w:b/>
                <w:lang w:val="es-MX"/>
              </w:rPr>
            </w:pPr>
          </w:p>
          <w:p w14:paraId="1CF20167" w14:textId="77777777" w:rsidR="009F2F50" w:rsidRDefault="009F2F50" w:rsidP="009F2F50">
            <w:pPr>
              <w:jc w:val="both"/>
              <w:rPr>
                <w:rFonts w:ascii="Arial" w:hAnsi="Arial" w:cs="Arial"/>
                <w:b/>
                <w:lang w:val="es-MX"/>
              </w:rPr>
            </w:pPr>
            <w:r>
              <w:rPr>
                <w:rFonts w:ascii="Arial" w:hAnsi="Arial" w:cs="Arial"/>
                <w:b/>
                <w:lang w:val="es-MX"/>
              </w:rPr>
              <w:t>FUNCIONAMIENTO</w:t>
            </w:r>
          </w:p>
          <w:p w14:paraId="0B2C8272" w14:textId="77777777" w:rsidR="009F2F50" w:rsidRDefault="009F2F50" w:rsidP="009F2F50">
            <w:pPr>
              <w:jc w:val="both"/>
              <w:rPr>
                <w:rFonts w:ascii="Arial" w:hAnsi="Arial" w:cs="Arial"/>
                <w:b/>
                <w:lang w:val="es-MX"/>
              </w:rPr>
            </w:pPr>
            <w:r>
              <w:rPr>
                <w:rFonts w:ascii="Arial" w:hAnsi="Arial" w:cs="Arial"/>
                <w:b/>
                <w:lang w:val="es-MX"/>
              </w:rPr>
              <w:t>INVERSIÓN</w:t>
            </w:r>
          </w:p>
          <w:p w14:paraId="45950177" w14:textId="77777777" w:rsidR="009F2F50" w:rsidRDefault="009F2F50" w:rsidP="009F2F50">
            <w:pPr>
              <w:jc w:val="both"/>
              <w:rPr>
                <w:rFonts w:ascii="Arial" w:hAnsi="Arial" w:cs="Arial"/>
                <w:b/>
                <w:lang w:val="es-MX"/>
              </w:rPr>
            </w:pPr>
          </w:p>
          <w:p w14:paraId="30AF52A2" w14:textId="006618F6" w:rsidR="009F2F50" w:rsidRPr="003106E0" w:rsidRDefault="009F2F50" w:rsidP="009F2F50">
            <w:pPr>
              <w:jc w:val="both"/>
              <w:rPr>
                <w:rFonts w:ascii="Arial" w:hAnsi="Arial" w:cs="Arial"/>
                <w:b/>
                <w:lang w:val="es-MX"/>
              </w:rPr>
            </w:pPr>
            <w:r>
              <w:rPr>
                <w:rFonts w:ascii="Arial" w:hAnsi="Arial" w:cs="Arial"/>
                <w:b/>
                <w:lang w:val="es-MX"/>
              </w:rPr>
              <w:t>TOTAL PRESUPUESTO</w:t>
            </w:r>
          </w:p>
        </w:tc>
        <w:tc>
          <w:tcPr>
            <w:tcW w:w="1839" w:type="dxa"/>
          </w:tcPr>
          <w:p w14:paraId="699E4ADE" w14:textId="77777777" w:rsidR="009F2F50" w:rsidRDefault="009F2F50" w:rsidP="00042E94">
            <w:pPr>
              <w:jc w:val="center"/>
              <w:rPr>
                <w:rFonts w:ascii="Arial" w:eastAsia="Calibri" w:hAnsi="Arial" w:cs="Arial"/>
                <w:b/>
                <w:u w:val="single"/>
              </w:rPr>
            </w:pPr>
          </w:p>
          <w:p w14:paraId="0EAEB666" w14:textId="77777777" w:rsidR="009F2F50" w:rsidRDefault="009F2F50" w:rsidP="00042E94">
            <w:pPr>
              <w:jc w:val="center"/>
              <w:rPr>
                <w:rFonts w:ascii="Arial" w:eastAsia="Calibri" w:hAnsi="Arial" w:cs="Arial"/>
                <w:b/>
                <w:u w:val="single"/>
              </w:rPr>
            </w:pPr>
          </w:p>
          <w:p w14:paraId="705BB71A" w14:textId="77777777" w:rsidR="009F2F50" w:rsidRDefault="009F2F50" w:rsidP="00042E94">
            <w:pPr>
              <w:jc w:val="center"/>
              <w:rPr>
                <w:rFonts w:ascii="Arial" w:eastAsia="Calibri" w:hAnsi="Arial" w:cs="Arial"/>
                <w:b/>
                <w:u w:val="single"/>
              </w:rPr>
            </w:pPr>
          </w:p>
          <w:p w14:paraId="078A34EE" w14:textId="77777777" w:rsidR="009F2F50" w:rsidRDefault="009F2F50" w:rsidP="00042E94">
            <w:pPr>
              <w:jc w:val="center"/>
              <w:rPr>
                <w:rFonts w:ascii="Arial" w:eastAsia="Calibri" w:hAnsi="Arial" w:cs="Arial"/>
                <w:b/>
                <w:u w:val="single"/>
              </w:rPr>
            </w:pPr>
          </w:p>
          <w:p w14:paraId="2BFD183B" w14:textId="77777777" w:rsidR="009F2F50" w:rsidRDefault="009F2F50" w:rsidP="00042E94">
            <w:pPr>
              <w:jc w:val="center"/>
              <w:rPr>
                <w:rFonts w:ascii="Arial" w:eastAsia="Calibri" w:hAnsi="Arial" w:cs="Arial"/>
                <w:b/>
                <w:u w:val="single"/>
              </w:rPr>
            </w:pPr>
          </w:p>
          <w:p w14:paraId="6EC2888F" w14:textId="1759B644" w:rsidR="009F2F50" w:rsidRDefault="009F2F50" w:rsidP="00042E94">
            <w:pPr>
              <w:jc w:val="center"/>
              <w:rPr>
                <w:rFonts w:ascii="Arial" w:eastAsia="Calibri" w:hAnsi="Arial" w:cs="Arial"/>
                <w:b/>
                <w:u w:val="single"/>
              </w:rPr>
            </w:pPr>
            <w:r>
              <w:rPr>
                <w:rFonts w:ascii="Arial" w:eastAsia="Calibri" w:hAnsi="Arial" w:cs="Arial"/>
                <w:b/>
                <w:u w:val="single"/>
              </w:rPr>
              <w:t>92.54%</w:t>
            </w:r>
          </w:p>
          <w:p w14:paraId="7E780348" w14:textId="30D35F6B" w:rsidR="009F2F50" w:rsidRDefault="009F2F50" w:rsidP="00042E94">
            <w:pPr>
              <w:jc w:val="center"/>
              <w:rPr>
                <w:rFonts w:ascii="Arial" w:eastAsia="Calibri" w:hAnsi="Arial" w:cs="Arial"/>
                <w:b/>
                <w:u w:val="single"/>
              </w:rPr>
            </w:pPr>
            <w:r>
              <w:rPr>
                <w:rFonts w:ascii="Arial" w:eastAsia="Calibri" w:hAnsi="Arial" w:cs="Arial"/>
                <w:b/>
                <w:u w:val="single"/>
              </w:rPr>
              <w:t>99.97%</w:t>
            </w:r>
          </w:p>
          <w:p w14:paraId="474300B8" w14:textId="77777777" w:rsidR="009F2F50" w:rsidRDefault="009F2F50" w:rsidP="00042E94">
            <w:pPr>
              <w:jc w:val="center"/>
              <w:rPr>
                <w:rFonts w:ascii="Arial" w:eastAsia="Calibri" w:hAnsi="Arial" w:cs="Arial"/>
                <w:b/>
                <w:u w:val="single"/>
              </w:rPr>
            </w:pPr>
          </w:p>
          <w:p w14:paraId="5101E2E6" w14:textId="0291AC4D" w:rsidR="009F2F50" w:rsidRDefault="009F2F50" w:rsidP="00042E94">
            <w:pPr>
              <w:jc w:val="center"/>
              <w:rPr>
                <w:rFonts w:ascii="Arial" w:eastAsia="Calibri" w:hAnsi="Arial" w:cs="Arial"/>
                <w:b/>
                <w:u w:val="single"/>
              </w:rPr>
            </w:pPr>
            <w:r>
              <w:rPr>
                <w:rFonts w:ascii="Arial" w:eastAsia="Calibri" w:hAnsi="Arial" w:cs="Arial"/>
                <w:b/>
                <w:u w:val="single"/>
              </w:rPr>
              <w:t>96.51%</w:t>
            </w:r>
          </w:p>
        </w:tc>
        <w:tc>
          <w:tcPr>
            <w:tcW w:w="1804" w:type="dxa"/>
          </w:tcPr>
          <w:p w14:paraId="1B72577F" w14:textId="77777777" w:rsidR="009F2F50" w:rsidRDefault="009F2F50" w:rsidP="00042E94">
            <w:pPr>
              <w:jc w:val="center"/>
              <w:rPr>
                <w:rFonts w:ascii="Arial" w:eastAsia="Calibri" w:hAnsi="Arial" w:cs="Arial"/>
                <w:b/>
                <w:u w:val="single"/>
              </w:rPr>
            </w:pPr>
          </w:p>
          <w:p w14:paraId="70442387" w14:textId="77777777" w:rsidR="009F2F50" w:rsidRDefault="009F2F50" w:rsidP="00042E94">
            <w:pPr>
              <w:jc w:val="center"/>
              <w:rPr>
                <w:rFonts w:ascii="Arial" w:eastAsia="Calibri" w:hAnsi="Arial" w:cs="Arial"/>
                <w:b/>
                <w:u w:val="single"/>
              </w:rPr>
            </w:pPr>
          </w:p>
          <w:p w14:paraId="683535EC" w14:textId="77777777" w:rsidR="009F2F50" w:rsidRDefault="009F2F50" w:rsidP="00042E94">
            <w:pPr>
              <w:jc w:val="center"/>
              <w:rPr>
                <w:rFonts w:ascii="Arial" w:eastAsia="Calibri" w:hAnsi="Arial" w:cs="Arial"/>
                <w:b/>
                <w:u w:val="single"/>
              </w:rPr>
            </w:pPr>
          </w:p>
          <w:p w14:paraId="5B15DE8C" w14:textId="77777777" w:rsidR="009F2F50" w:rsidRDefault="009F2F50" w:rsidP="00042E94">
            <w:pPr>
              <w:jc w:val="center"/>
              <w:rPr>
                <w:rFonts w:ascii="Arial" w:eastAsia="Calibri" w:hAnsi="Arial" w:cs="Arial"/>
                <w:b/>
                <w:u w:val="single"/>
              </w:rPr>
            </w:pPr>
          </w:p>
          <w:p w14:paraId="6282CC4B" w14:textId="77777777" w:rsidR="009F2F50" w:rsidRDefault="009F2F50" w:rsidP="00042E94">
            <w:pPr>
              <w:jc w:val="center"/>
              <w:rPr>
                <w:rFonts w:ascii="Arial" w:eastAsia="Calibri" w:hAnsi="Arial" w:cs="Arial"/>
                <w:b/>
                <w:u w:val="single"/>
              </w:rPr>
            </w:pPr>
          </w:p>
          <w:p w14:paraId="18A38A30" w14:textId="5959A24F" w:rsidR="009F2F50" w:rsidRDefault="009F2F50" w:rsidP="00042E94">
            <w:pPr>
              <w:jc w:val="center"/>
              <w:rPr>
                <w:rFonts w:ascii="Arial" w:eastAsia="Calibri" w:hAnsi="Arial" w:cs="Arial"/>
                <w:b/>
                <w:u w:val="single"/>
              </w:rPr>
            </w:pPr>
            <w:r>
              <w:rPr>
                <w:rFonts w:ascii="Arial" w:eastAsia="Calibri" w:hAnsi="Arial" w:cs="Arial"/>
                <w:b/>
                <w:u w:val="single"/>
              </w:rPr>
              <w:t>92.54%</w:t>
            </w:r>
          </w:p>
          <w:p w14:paraId="56BEFD48" w14:textId="00BD3AF6" w:rsidR="009F2F50" w:rsidRDefault="009F2F50" w:rsidP="00042E94">
            <w:pPr>
              <w:jc w:val="center"/>
              <w:rPr>
                <w:rFonts w:ascii="Arial" w:eastAsia="Calibri" w:hAnsi="Arial" w:cs="Arial"/>
                <w:b/>
                <w:u w:val="single"/>
              </w:rPr>
            </w:pPr>
            <w:r>
              <w:rPr>
                <w:rFonts w:ascii="Arial" w:eastAsia="Calibri" w:hAnsi="Arial" w:cs="Arial"/>
                <w:b/>
                <w:u w:val="single"/>
              </w:rPr>
              <w:t>98.69%</w:t>
            </w:r>
          </w:p>
          <w:p w14:paraId="7B6C44BC" w14:textId="77777777" w:rsidR="009F2F50" w:rsidRDefault="009F2F50" w:rsidP="00042E94">
            <w:pPr>
              <w:jc w:val="center"/>
              <w:rPr>
                <w:rFonts w:ascii="Arial" w:eastAsia="Calibri" w:hAnsi="Arial" w:cs="Arial"/>
                <w:b/>
                <w:u w:val="single"/>
              </w:rPr>
            </w:pPr>
          </w:p>
          <w:p w14:paraId="506A676C" w14:textId="69DE5872" w:rsidR="009F2F50" w:rsidRDefault="009F2F50" w:rsidP="00042E94">
            <w:pPr>
              <w:jc w:val="center"/>
              <w:rPr>
                <w:rFonts w:ascii="Arial" w:eastAsia="Calibri" w:hAnsi="Arial" w:cs="Arial"/>
                <w:b/>
                <w:u w:val="single"/>
              </w:rPr>
            </w:pPr>
            <w:r>
              <w:rPr>
                <w:rFonts w:ascii="Arial" w:eastAsia="Calibri" w:hAnsi="Arial" w:cs="Arial"/>
                <w:b/>
                <w:u w:val="single"/>
              </w:rPr>
              <w:t>95.82%</w:t>
            </w:r>
          </w:p>
        </w:tc>
        <w:tc>
          <w:tcPr>
            <w:tcW w:w="2042" w:type="dxa"/>
          </w:tcPr>
          <w:p w14:paraId="11C11EEA" w14:textId="77777777" w:rsidR="009F2F50" w:rsidRDefault="009F2F50" w:rsidP="00042E94">
            <w:pPr>
              <w:jc w:val="center"/>
              <w:rPr>
                <w:rFonts w:ascii="Arial" w:eastAsia="Calibri" w:hAnsi="Arial" w:cs="Arial"/>
                <w:b/>
                <w:u w:val="single"/>
              </w:rPr>
            </w:pPr>
          </w:p>
          <w:p w14:paraId="741C1F72" w14:textId="77777777" w:rsidR="009F2F50" w:rsidRDefault="009F2F50" w:rsidP="00042E94">
            <w:pPr>
              <w:jc w:val="center"/>
              <w:rPr>
                <w:rFonts w:ascii="Arial" w:eastAsia="Calibri" w:hAnsi="Arial" w:cs="Arial"/>
                <w:b/>
                <w:u w:val="single"/>
              </w:rPr>
            </w:pPr>
          </w:p>
          <w:p w14:paraId="05C22BC4" w14:textId="77777777" w:rsidR="009F2F50" w:rsidRDefault="009F2F50" w:rsidP="00042E94">
            <w:pPr>
              <w:jc w:val="center"/>
              <w:rPr>
                <w:rFonts w:ascii="Arial" w:eastAsia="Calibri" w:hAnsi="Arial" w:cs="Arial"/>
                <w:b/>
                <w:u w:val="single"/>
              </w:rPr>
            </w:pPr>
          </w:p>
          <w:p w14:paraId="1DECE3B3" w14:textId="77777777" w:rsidR="009F2F50" w:rsidRDefault="009F2F50" w:rsidP="00042E94">
            <w:pPr>
              <w:jc w:val="center"/>
              <w:rPr>
                <w:rFonts w:ascii="Arial" w:eastAsia="Calibri" w:hAnsi="Arial" w:cs="Arial"/>
                <w:b/>
                <w:u w:val="single"/>
              </w:rPr>
            </w:pPr>
          </w:p>
          <w:p w14:paraId="20D6C663" w14:textId="77777777" w:rsidR="009F2F50" w:rsidRDefault="009F2F50" w:rsidP="00042E94">
            <w:pPr>
              <w:jc w:val="center"/>
              <w:rPr>
                <w:rFonts w:ascii="Arial" w:eastAsia="Calibri" w:hAnsi="Arial" w:cs="Arial"/>
                <w:b/>
                <w:u w:val="single"/>
              </w:rPr>
            </w:pPr>
          </w:p>
          <w:p w14:paraId="341E1765" w14:textId="2A111562" w:rsidR="009F2F50" w:rsidRDefault="009F2F50" w:rsidP="00042E94">
            <w:pPr>
              <w:jc w:val="center"/>
              <w:rPr>
                <w:rFonts w:ascii="Arial" w:eastAsia="Calibri" w:hAnsi="Arial" w:cs="Arial"/>
                <w:b/>
                <w:u w:val="single"/>
              </w:rPr>
            </w:pPr>
            <w:r>
              <w:rPr>
                <w:rFonts w:ascii="Arial" w:eastAsia="Calibri" w:hAnsi="Arial" w:cs="Arial"/>
                <w:b/>
                <w:u w:val="single"/>
              </w:rPr>
              <w:t>92.51%</w:t>
            </w:r>
          </w:p>
          <w:p w14:paraId="70E5DED2" w14:textId="512C55AC" w:rsidR="009F2F50" w:rsidRDefault="009F2F50" w:rsidP="00042E94">
            <w:pPr>
              <w:jc w:val="center"/>
              <w:rPr>
                <w:rFonts w:ascii="Arial" w:eastAsia="Calibri" w:hAnsi="Arial" w:cs="Arial"/>
                <w:b/>
                <w:u w:val="single"/>
              </w:rPr>
            </w:pPr>
            <w:r>
              <w:rPr>
                <w:rFonts w:ascii="Arial" w:eastAsia="Calibri" w:hAnsi="Arial" w:cs="Arial"/>
                <w:b/>
                <w:u w:val="single"/>
              </w:rPr>
              <w:t>97.66%</w:t>
            </w:r>
          </w:p>
          <w:p w14:paraId="7B1ED1D7" w14:textId="77777777" w:rsidR="009F2F50" w:rsidRDefault="009F2F50" w:rsidP="00042E94">
            <w:pPr>
              <w:jc w:val="center"/>
              <w:rPr>
                <w:rFonts w:ascii="Arial" w:eastAsia="Calibri" w:hAnsi="Arial" w:cs="Arial"/>
                <w:b/>
                <w:u w:val="single"/>
              </w:rPr>
            </w:pPr>
          </w:p>
          <w:p w14:paraId="1D0E7A38" w14:textId="73A7D072" w:rsidR="009F2F50" w:rsidRDefault="009F2F50" w:rsidP="00042E94">
            <w:pPr>
              <w:jc w:val="center"/>
              <w:rPr>
                <w:rFonts w:ascii="Arial" w:eastAsia="Calibri" w:hAnsi="Arial" w:cs="Arial"/>
                <w:b/>
                <w:u w:val="single"/>
              </w:rPr>
            </w:pPr>
            <w:r>
              <w:rPr>
                <w:rFonts w:ascii="Arial" w:eastAsia="Calibri" w:hAnsi="Arial" w:cs="Arial"/>
                <w:b/>
                <w:u w:val="single"/>
              </w:rPr>
              <w:t>95.26%</w:t>
            </w:r>
          </w:p>
        </w:tc>
      </w:tr>
      <w:tr w:rsidR="005F0B8C" w:rsidRPr="004B1294" w14:paraId="49739636" w14:textId="77777777" w:rsidTr="00042E94">
        <w:tc>
          <w:tcPr>
            <w:tcW w:w="1550" w:type="dxa"/>
          </w:tcPr>
          <w:p w14:paraId="23FCE656" w14:textId="3B5D8634" w:rsidR="005F0B8C" w:rsidRDefault="005F0B8C" w:rsidP="00042E94">
            <w:pPr>
              <w:jc w:val="center"/>
              <w:rPr>
                <w:rFonts w:ascii="Arial" w:hAnsi="Arial" w:cs="Arial"/>
                <w:b/>
              </w:rPr>
            </w:pPr>
            <w:r>
              <w:rPr>
                <w:rFonts w:ascii="Arial" w:hAnsi="Arial" w:cs="Arial"/>
                <w:b/>
              </w:rPr>
              <w:t>280</w:t>
            </w:r>
          </w:p>
        </w:tc>
        <w:tc>
          <w:tcPr>
            <w:tcW w:w="3255" w:type="dxa"/>
          </w:tcPr>
          <w:p w14:paraId="34AACF44" w14:textId="67B691BA" w:rsidR="005F0B8C" w:rsidRPr="005F0B8C" w:rsidRDefault="005F0B8C" w:rsidP="005F0B8C">
            <w:pPr>
              <w:jc w:val="both"/>
              <w:rPr>
                <w:rFonts w:ascii="Arial" w:hAnsi="Arial" w:cs="Arial"/>
                <w:b/>
                <w:lang w:val="es-MX"/>
              </w:rPr>
            </w:pPr>
            <w:r w:rsidRPr="005F0B8C">
              <w:rPr>
                <w:rFonts w:ascii="Arial" w:hAnsi="Arial" w:cs="Arial"/>
                <w:b/>
                <w:lang w:val="es-MX"/>
              </w:rPr>
              <w:t>AGENCIA LOGISTICA DE LAS FUERZAS MILITARES.</w:t>
            </w:r>
          </w:p>
          <w:p w14:paraId="7CAC652D" w14:textId="77777777" w:rsidR="005F0B8C" w:rsidRDefault="005F0B8C" w:rsidP="009F2F50">
            <w:pPr>
              <w:jc w:val="both"/>
              <w:rPr>
                <w:rFonts w:ascii="Arial" w:hAnsi="Arial" w:cs="Arial"/>
                <w:b/>
                <w:lang w:val="es-MX"/>
              </w:rPr>
            </w:pPr>
          </w:p>
          <w:p w14:paraId="42CEEEC6" w14:textId="77777777" w:rsidR="005F0B8C" w:rsidRDefault="005F0B8C" w:rsidP="005F0B8C">
            <w:pPr>
              <w:jc w:val="both"/>
              <w:rPr>
                <w:rFonts w:ascii="Arial" w:hAnsi="Arial" w:cs="Arial"/>
                <w:b/>
                <w:lang w:val="es-MX"/>
              </w:rPr>
            </w:pPr>
            <w:r>
              <w:rPr>
                <w:rFonts w:ascii="Arial" w:hAnsi="Arial" w:cs="Arial"/>
                <w:b/>
                <w:lang w:val="es-MX"/>
              </w:rPr>
              <w:t>FUNCIONAMIENTO</w:t>
            </w:r>
          </w:p>
          <w:p w14:paraId="17AAFACC" w14:textId="77777777" w:rsidR="005F0B8C" w:rsidRDefault="005F0B8C" w:rsidP="005F0B8C">
            <w:pPr>
              <w:jc w:val="both"/>
              <w:rPr>
                <w:rFonts w:ascii="Arial" w:hAnsi="Arial" w:cs="Arial"/>
                <w:b/>
                <w:lang w:val="es-MX"/>
              </w:rPr>
            </w:pPr>
            <w:r>
              <w:rPr>
                <w:rFonts w:ascii="Arial" w:hAnsi="Arial" w:cs="Arial"/>
                <w:b/>
                <w:lang w:val="es-MX"/>
              </w:rPr>
              <w:t>INVERSIÓN</w:t>
            </w:r>
          </w:p>
          <w:p w14:paraId="156427EC" w14:textId="77777777" w:rsidR="005F0B8C" w:rsidRDefault="005F0B8C" w:rsidP="005F0B8C">
            <w:pPr>
              <w:jc w:val="both"/>
              <w:rPr>
                <w:rFonts w:ascii="Arial" w:hAnsi="Arial" w:cs="Arial"/>
                <w:b/>
                <w:lang w:val="es-MX"/>
              </w:rPr>
            </w:pPr>
          </w:p>
          <w:p w14:paraId="0323FDE7" w14:textId="77777777" w:rsidR="005F0B8C" w:rsidRDefault="005F0B8C" w:rsidP="005F0B8C">
            <w:pPr>
              <w:jc w:val="both"/>
              <w:rPr>
                <w:rFonts w:ascii="Arial" w:hAnsi="Arial" w:cs="Arial"/>
                <w:b/>
                <w:lang w:val="es-MX"/>
              </w:rPr>
            </w:pPr>
            <w:r>
              <w:rPr>
                <w:rFonts w:ascii="Arial" w:hAnsi="Arial" w:cs="Arial"/>
                <w:b/>
                <w:lang w:val="es-MX"/>
              </w:rPr>
              <w:t>TOTAL PRESUPUESTO</w:t>
            </w:r>
          </w:p>
          <w:p w14:paraId="122B270C" w14:textId="77777777" w:rsidR="00597CEF" w:rsidRDefault="00597CEF" w:rsidP="005F0B8C">
            <w:pPr>
              <w:widowControl/>
              <w:autoSpaceDE/>
              <w:autoSpaceDN/>
              <w:jc w:val="both"/>
              <w:rPr>
                <w:rFonts w:ascii="Arial" w:eastAsiaTheme="minorHAnsi" w:hAnsi="Arial" w:cs="Arial"/>
                <w:b/>
                <w:lang w:val="es-CO"/>
              </w:rPr>
            </w:pPr>
          </w:p>
          <w:p w14:paraId="381D28D7" w14:textId="68EE1F14" w:rsidR="005F0B8C" w:rsidRPr="005F0B8C" w:rsidRDefault="005F0B8C" w:rsidP="005F0B8C">
            <w:pPr>
              <w:widowControl/>
              <w:autoSpaceDE/>
              <w:autoSpaceDN/>
              <w:jc w:val="both"/>
              <w:rPr>
                <w:rFonts w:ascii="Arial" w:eastAsiaTheme="minorHAnsi" w:hAnsi="Arial" w:cs="Arial"/>
                <w:b/>
                <w:lang w:val="es-CO"/>
              </w:rPr>
            </w:pPr>
            <w:r w:rsidRPr="005F0B8C">
              <w:rPr>
                <w:rFonts w:ascii="Arial" w:eastAsiaTheme="minorHAnsi" w:hAnsi="Arial" w:cs="Arial"/>
                <w:b/>
                <w:lang w:val="es-CO"/>
              </w:rPr>
              <w:lastRenderedPageBreak/>
              <w:t xml:space="preserve">NOTA: </w:t>
            </w:r>
            <w:r w:rsidRPr="005F0B8C">
              <w:rPr>
                <w:rFonts w:ascii="Arial" w:eastAsiaTheme="minorHAnsi" w:hAnsi="Arial" w:cs="Arial"/>
                <w:lang w:val="es-CO"/>
              </w:rPr>
              <w:t>La Entidad no totalizó</w:t>
            </w:r>
            <w:r w:rsidRPr="005F0B8C">
              <w:rPr>
                <w:rFonts w:ascii="Arial" w:eastAsiaTheme="minorHAnsi" w:hAnsi="Arial" w:cs="Arial"/>
                <w:b/>
                <w:lang w:val="es-CO"/>
              </w:rPr>
              <w:t xml:space="preserve"> </w:t>
            </w:r>
            <w:r w:rsidRPr="005F0B8C">
              <w:rPr>
                <w:rFonts w:ascii="Arial" w:eastAsiaTheme="minorHAnsi" w:hAnsi="Arial" w:cs="Arial"/>
                <w:lang w:val="es-CO"/>
              </w:rPr>
              <w:t>la cifra de Funcionamiento en los cuadros solicitados por la Comisión Legal de Cuentas.</w:t>
            </w:r>
          </w:p>
        </w:tc>
        <w:tc>
          <w:tcPr>
            <w:tcW w:w="1839" w:type="dxa"/>
          </w:tcPr>
          <w:p w14:paraId="673C3D40" w14:textId="77777777" w:rsidR="005F0B8C" w:rsidRDefault="005F0B8C" w:rsidP="00042E94">
            <w:pPr>
              <w:jc w:val="center"/>
              <w:rPr>
                <w:rFonts w:ascii="Arial" w:eastAsia="Calibri" w:hAnsi="Arial" w:cs="Arial"/>
                <w:b/>
                <w:u w:val="single"/>
              </w:rPr>
            </w:pPr>
          </w:p>
          <w:p w14:paraId="12A41AF7" w14:textId="77777777" w:rsidR="005F0B8C" w:rsidRDefault="005F0B8C" w:rsidP="00042E94">
            <w:pPr>
              <w:jc w:val="center"/>
              <w:rPr>
                <w:rFonts w:ascii="Arial" w:eastAsia="Calibri" w:hAnsi="Arial" w:cs="Arial"/>
                <w:b/>
                <w:u w:val="single"/>
              </w:rPr>
            </w:pPr>
          </w:p>
          <w:p w14:paraId="053E2A4E" w14:textId="77777777" w:rsidR="005F0B8C" w:rsidRDefault="005F0B8C" w:rsidP="00042E94">
            <w:pPr>
              <w:jc w:val="center"/>
              <w:rPr>
                <w:rFonts w:ascii="Arial" w:eastAsia="Calibri" w:hAnsi="Arial" w:cs="Arial"/>
                <w:b/>
                <w:u w:val="single"/>
              </w:rPr>
            </w:pPr>
          </w:p>
          <w:p w14:paraId="6462515D" w14:textId="105A32EA" w:rsidR="005F0B8C" w:rsidRDefault="00891565" w:rsidP="00042E94">
            <w:pPr>
              <w:jc w:val="center"/>
              <w:rPr>
                <w:rFonts w:ascii="Arial" w:eastAsia="Calibri" w:hAnsi="Arial" w:cs="Arial"/>
                <w:b/>
                <w:u w:val="single"/>
              </w:rPr>
            </w:pPr>
            <w:r>
              <w:rPr>
                <w:rFonts w:ascii="Arial" w:hAnsi="Arial" w:cs="Arial"/>
                <w:b/>
                <w:lang w:val="es-MX"/>
              </w:rPr>
              <w:t>-</w:t>
            </w:r>
          </w:p>
          <w:p w14:paraId="2A7FDCBF" w14:textId="7EA50C55" w:rsidR="005F0B8C" w:rsidRDefault="005F0B8C" w:rsidP="00042E94">
            <w:pPr>
              <w:jc w:val="center"/>
              <w:rPr>
                <w:rFonts w:ascii="Arial" w:eastAsia="Calibri" w:hAnsi="Arial" w:cs="Arial"/>
                <w:b/>
                <w:u w:val="single"/>
              </w:rPr>
            </w:pPr>
            <w:r>
              <w:rPr>
                <w:rFonts w:ascii="Arial" w:eastAsia="Calibri" w:hAnsi="Arial" w:cs="Arial"/>
                <w:b/>
                <w:u w:val="single"/>
              </w:rPr>
              <w:t>99.3%</w:t>
            </w:r>
          </w:p>
          <w:p w14:paraId="0C9A5690" w14:textId="77777777" w:rsidR="005F0B8C" w:rsidRDefault="005F0B8C" w:rsidP="00042E94">
            <w:pPr>
              <w:jc w:val="center"/>
              <w:rPr>
                <w:rFonts w:ascii="Arial" w:eastAsia="Calibri" w:hAnsi="Arial" w:cs="Arial"/>
                <w:b/>
                <w:u w:val="single"/>
              </w:rPr>
            </w:pPr>
          </w:p>
          <w:p w14:paraId="51B49167" w14:textId="53153325" w:rsidR="005F0B8C" w:rsidRDefault="005F0B8C" w:rsidP="00042E94">
            <w:pPr>
              <w:jc w:val="center"/>
              <w:rPr>
                <w:rFonts w:ascii="Arial" w:eastAsia="Calibri" w:hAnsi="Arial" w:cs="Arial"/>
                <w:b/>
                <w:u w:val="single"/>
              </w:rPr>
            </w:pPr>
            <w:r>
              <w:rPr>
                <w:rFonts w:ascii="Arial" w:eastAsia="Calibri" w:hAnsi="Arial" w:cs="Arial"/>
                <w:b/>
                <w:u w:val="single"/>
              </w:rPr>
              <w:t>95.00%</w:t>
            </w:r>
          </w:p>
        </w:tc>
        <w:tc>
          <w:tcPr>
            <w:tcW w:w="1804" w:type="dxa"/>
          </w:tcPr>
          <w:p w14:paraId="746F902E" w14:textId="77777777" w:rsidR="005F0B8C" w:rsidRDefault="005F0B8C" w:rsidP="00042E94">
            <w:pPr>
              <w:jc w:val="center"/>
              <w:rPr>
                <w:rFonts w:ascii="Arial" w:eastAsia="Calibri" w:hAnsi="Arial" w:cs="Arial"/>
                <w:b/>
                <w:u w:val="single"/>
              </w:rPr>
            </w:pPr>
          </w:p>
          <w:p w14:paraId="5CFC04D1" w14:textId="77777777" w:rsidR="005F0B8C" w:rsidRDefault="005F0B8C" w:rsidP="00042E94">
            <w:pPr>
              <w:jc w:val="center"/>
              <w:rPr>
                <w:rFonts w:ascii="Arial" w:eastAsia="Calibri" w:hAnsi="Arial" w:cs="Arial"/>
                <w:b/>
                <w:u w:val="single"/>
              </w:rPr>
            </w:pPr>
          </w:p>
          <w:p w14:paraId="0167C4EA" w14:textId="77777777" w:rsidR="005F0B8C" w:rsidRDefault="005F0B8C" w:rsidP="00042E94">
            <w:pPr>
              <w:jc w:val="center"/>
              <w:rPr>
                <w:rFonts w:ascii="Arial" w:eastAsia="Calibri" w:hAnsi="Arial" w:cs="Arial"/>
                <w:b/>
                <w:u w:val="single"/>
              </w:rPr>
            </w:pPr>
          </w:p>
          <w:p w14:paraId="4FE83C1A" w14:textId="657EBF7F" w:rsidR="005F0B8C" w:rsidRDefault="00891565" w:rsidP="00042E94">
            <w:pPr>
              <w:jc w:val="center"/>
              <w:rPr>
                <w:rFonts w:ascii="Arial" w:eastAsia="Calibri" w:hAnsi="Arial" w:cs="Arial"/>
                <w:b/>
                <w:u w:val="single"/>
              </w:rPr>
            </w:pPr>
            <w:r>
              <w:rPr>
                <w:rFonts w:ascii="Arial" w:hAnsi="Arial" w:cs="Arial"/>
                <w:b/>
                <w:lang w:val="es-MX"/>
              </w:rPr>
              <w:t>-</w:t>
            </w:r>
          </w:p>
          <w:p w14:paraId="113F8890" w14:textId="10A2F8AF" w:rsidR="005F0B8C" w:rsidRDefault="005F0B8C" w:rsidP="00042E94">
            <w:pPr>
              <w:jc w:val="center"/>
              <w:rPr>
                <w:rFonts w:ascii="Arial" w:eastAsia="Calibri" w:hAnsi="Arial" w:cs="Arial"/>
                <w:b/>
                <w:u w:val="single"/>
              </w:rPr>
            </w:pPr>
            <w:r>
              <w:rPr>
                <w:rFonts w:ascii="Arial" w:eastAsia="Calibri" w:hAnsi="Arial" w:cs="Arial"/>
                <w:b/>
                <w:u w:val="single"/>
              </w:rPr>
              <w:t>69.97%</w:t>
            </w:r>
          </w:p>
          <w:p w14:paraId="31B6E5AB" w14:textId="77777777" w:rsidR="005F0B8C" w:rsidRDefault="005F0B8C" w:rsidP="00042E94">
            <w:pPr>
              <w:jc w:val="center"/>
              <w:rPr>
                <w:rFonts w:ascii="Arial" w:eastAsia="Calibri" w:hAnsi="Arial" w:cs="Arial"/>
                <w:b/>
                <w:u w:val="single"/>
              </w:rPr>
            </w:pPr>
          </w:p>
          <w:p w14:paraId="173AF955" w14:textId="05D935FA" w:rsidR="005F0B8C" w:rsidRDefault="005F0B8C" w:rsidP="00042E94">
            <w:pPr>
              <w:jc w:val="center"/>
              <w:rPr>
                <w:rFonts w:ascii="Arial" w:eastAsia="Calibri" w:hAnsi="Arial" w:cs="Arial"/>
                <w:b/>
                <w:u w:val="single"/>
              </w:rPr>
            </w:pPr>
            <w:r>
              <w:rPr>
                <w:rFonts w:ascii="Arial" w:eastAsia="Calibri" w:hAnsi="Arial" w:cs="Arial"/>
                <w:b/>
                <w:u w:val="single"/>
              </w:rPr>
              <w:t>93.00%</w:t>
            </w:r>
          </w:p>
        </w:tc>
        <w:tc>
          <w:tcPr>
            <w:tcW w:w="2042" w:type="dxa"/>
          </w:tcPr>
          <w:p w14:paraId="6BC2F458" w14:textId="77777777" w:rsidR="005F0B8C" w:rsidRDefault="005F0B8C" w:rsidP="00042E94">
            <w:pPr>
              <w:jc w:val="center"/>
              <w:rPr>
                <w:rFonts w:ascii="Arial" w:eastAsia="Calibri" w:hAnsi="Arial" w:cs="Arial"/>
                <w:b/>
                <w:u w:val="single"/>
              </w:rPr>
            </w:pPr>
          </w:p>
          <w:p w14:paraId="4B646F29" w14:textId="77777777" w:rsidR="005F0B8C" w:rsidRDefault="005F0B8C" w:rsidP="00042E94">
            <w:pPr>
              <w:jc w:val="center"/>
              <w:rPr>
                <w:rFonts w:ascii="Arial" w:eastAsia="Calibri" w:hAnsi="Arial" w:cs="Arial"/>
                <w:b/>
                <w:u w:val="single"/>
              </w:rPr>
            </w:pPr>
          </w:p>
          <w:p w14:paraId="32AD98BE" w14:textId="77777777" w:rsidR="005F0B8C" w:rsidRDefault="005F0B8C" w:rsidP="00042E94">
            <w:pPr>
              <w:jc w:val="center"/>
              <w:rPr>
                <w:rFonts w:ascii="Arial" w:eastAsia="Calibri" w:hAnsi="Arial" w:cs="Arial"/>
                <w:b/>
                <w:u w:val="single"/>
              </w:rPr>
            </w:pPr>
          </w:p>
          <w:p w14:paraId="0A370B85" w14:textId="12059A66" w:rsidR="005F0B8C" w:rsidRDefault="00891565" w:rsidP="00042E94">
            <w:pPr>
              <w:jc w:val="center"/>
              <w:rPr>
                <w:rFonts w:ascii="Arial" w:eastAsia="Calibri" w:hAnsi="Arial" w:cs="Arial"/>
                <w:b/>
                <w:u w:val="single"/>
              </w:rPr>
            </w:pPr>
            <w:r>
              <w:rPr>
                <w:rFonts w:ascii="Arial" w:hAnsi="Arial" w:cs="Arial"/>
                <w:b/>
                <w:lang w:val="es-MX"/>
              </w:rPr>
              <w:t>-</w:t>
            </w:r>
          </w:p>
          <w:p w14:paraId="1AC44A6E" w14:textId="03A208DF" w:rsidR="005F0B8C" w:rsidRDefault="005F0B8C" w:rsidP="00042E94">
            <w:pPr>
              <w:jc w:val="center"/>
              <w:rPr>
                <w:rFonts w:ascii="Arial" w:eastAsia="Calibri" w:hAnsi="Arial" w:cs="Arial"/>
                <w:b/>
                <w:u w:val="single"/>
              </w:rPr>
            </w:pPr>
            <w:r>
              <w:rPr>
                <w:rFonts w:ascii="Arial" w:eastAsia="Calibri" w:hAnsi="Arial" w:cs="Arial"/>
                <w:b/>
                <w:u w:val="single"/>
              </w:rPr>
              <w:t>70.00%</w:t>
            </w:r>
          </w:p>
          <w:p w14:paraId="13622D81" w14:textId="77777777" w:rsidR="005F0B8C" w:rsidRDefault="005F0B8C" w:rsidP="00042E94">
            <w:pPr>
              <w:jc w:val="center"/>
              <w:rPr>
                <w:rFonts w:ascii="Arial" w:eastAsia="Calibri" w:hAnsi="Arial" w:cs="Arial"/>
                <w:b/>
                <w:u w:val="single"/>
              </w:rPr>
            </w:pPr>
          </w:p>
          <w:p w14:paraId="4C7BEE58" w14:textId="36EBAD65" w:rsidR="005F0B8C" w:rsidRDefault="005F0B8C" w:rsidP="00042E94">
            <w:pPr>
              <w:jc w:val="center"/>
              <w:rPr>
                <w:rFonts w:ascii="Arial" w:eastAsia="Calibri" w:hAnsi="Arial" w:cs="Arial"/>
                <w:b/>
                <w:u w:val="single"/>
              </w:rPr>
            </w:pPr>
            <w:r>
              <w:rPr>
                <w:rFonts w:ascii="Arial" w:eastAsia="Calibri" w:hAnsi="Arial" w:cs="Arial"/>
                <w:b/>
                <w:u w:val="single"/>
              </w:rPr>
              <w:t>83.00%</w:t>
            </w:r>
          </w:p>
        </w:tc>
      </w:tr>
      <w:tr w:rsidR="00A1043B" w:rsidRPr="004B1294" w14:paraId="2A3D1F96" w14:textId="77777777" w:rsidTr="00042E94">
        <w:tc>
          <w:tcPr>
            <w:tcW w:w="1550" w:type="dxa"/>
          </w:tcPr>
          <w:p w14:paraId="66400E6D" w14:textId="5B0F8D88" w:rsidR="00A1043B" w:rsidRDefault="00A1043B" w:rsidP="00042E94">
            <w:pPr>
              <w:jc w:val="center"/>
              <w:rPr>
                <w:rFonts w:ascii="Arial" w:hAnsi="Arial" w:cs="Arial"/>
                <w:b/>
              </w:rPr>
            </w:pPr>
            <w:r>
              <w:rPr>
                <w:rFonts w:ascii="Arial" w:hAnsi="Arial" w:cs="Arial"/>
                <w:b/>
              </w:rPr>
              <w:t>283</w:t>
            </w:r>
          </w:p>
        </w:tc>
        <w:tc>
          <w:tcPr>
            <w:tcW w:w="3255" w:type="dxa"/>
          </w:tcPr>
          <w:p w14:paraId="728B86D9" w14:textId="77777777" w:rsidR="00A1043B" w:rsidRDefault="00A1043B" w:rsidP="005F0B8C">
            <w:pPr>
              <w:jc w:val="both"/>
              <w:rPr>
                <w:rFonts w:ascii="Arial" w:hAnsi="Arial" w:cs="Arial"/>
                <w:b/>
                <w:lang w:val="es-MX"/>
              </w:rPr>
            </w:pPr>
            <w:r w:rsidRPr="00A1043B">
              <w:rPr>
                <w:rFonts w:ascii="Arial" w:hAnsi="Arial" w:cs="Arial"/>
                <w:b/>
                <w:lang w:val="es-MX"/>
              </w:rPr>
              <w:t>CORPORACIÓN PARA EL DESARROLLO SOSTENIBLE DEL SUR DE LA AMAZONÍA – CORPOAMAZONÍA.</w:t>
            </w:r>
          </w:p>
          <w:p w14:paraId="130DDA9C" w14:textId="77777777" w:rsidR="00A1043B" w:rsidRDefault="00A1043B" w:rsidP="00A1043B">
            <w:pPr>
              <w:jc w:val="both"/>
              <w:rPr>
                <w:rFonts w:ascii="Arial" w:hAnsi="Arial" w:cs="Arial"/>
                <w:b/>
                <w:lang w:val="es-MX"/>
              </w:rPr>
            </w:pPr>
            <w:r>
              <w:rPr>
                <w:rFonts w:ascii="Arial" w:hAnsi="Arial" w:cs="Arial"/>
                <w:b/>
                <w:lang w:val="es-MX"/>
              </w:rPr>
              <w:t>FUNCIONAMIENTO</w:t>
            </w:r>
          </w:p>
          <w:p w14:paraId="27F5119C" w14:textId="77777777" w:rsidR="00A1043B" w:rsidRDefault="00A1043B" w:rsidP="00A1043B">
            <w:pPr>
              <w:jc w:val="both"/>
              <w:rPr>
                <w:rFonts w:ascii="Arial" w:hAnsi="Arial" w:cs="Arial"/>
                <w:b/>
                <w:lang w:val="es-MX"/>
              </w:rPr>
            </w:pPr>
          </w:p>
          <w:p w14:paraId="4276492F" w14:textId="7FB144D1" w:rsidR="00A1043B" w:rsidRPr="00A1043B" w:rsidRDefault="00A1043B" w:rsidP="00A1043B">
            <w:pPr>
              <w:jc w:val="both"/>
              <w:rPr>
                <w:rFonts w:ascii="Arial" w:hAnsi="Arial" w:cs="Arial"/>
                <w:b/>
                <w:lang w:val="es-MX"/>
              </w:rPr>
            </w:pPr>
            <w:r>
              <w:rPr>
                <w:rFonts w:ascii="Arial" w:hAnsi="Arial" w:cs="Arial"/>
                <w:b/>
                <w:lang w:val="es-MX"/>
              </w:rPr>
              <w:t>TOTAL PRESUPUESTO</w:t>
            </w:r>
          </w:p>
        </w:tc>
        <w:tc>
          <w:tcPr>
            <w:tcW w:w="1839" w:type="dxa"/>
          </w:tcPr>
          <w:p w14:paraId="1551F99E" w14:textId="77777777" w:rsidR="00A1043B" w:rsidRDefault="00A1043B" w:rsidP="00042E94">
            <w:pPr>
              <w:jc w:val="center"/>
              <w:rPr>
                <w:rFonts w:ascii="Arial" w:eastAsia="Calibri" w:hAnsi="Arial" w:cs="Arial"/>
                <w:b/>
                <w:u w:val="single"/>
              </w:rPr>
            </w:pPr>
          </w:p>
          <w:p w14:paraId="5AF26BD9" w14:textId="77777777" w:rsidR="00A1043B" w:rsidRDefault="00A1043B" w:rsidP="00042E94">
            <w:pPr>
              <w:jc w:val="center"/>
              <w:rPr>
                <w:rFonts w:ascii="Arial" w:eastAsia="Calibri" w:hAnsi="Arial" w:cs="Arial"/>
                <w:b/>
                <w:u w:val="single"/>
              </w:rPr>
            </w:pPr>
          </w:p>
          <w:p w14:paraId="24FC95E1" w14:textId="77777777" w:rsidR="00A1043B" w:rsidRDefault="00A1043B" w:rsidP="00042E94">
            <w:pPr>
              <w:jc w:val="center"/>
              <w:rPr>
                <w:rFonts w:ascii="Arial" w:eastAsia="Calibri" w:hAnsi="Arial" w:cs="Arial"/>
                <w:b/>
                <w:u w:val="single"/>
              </w:rPr>
            </w:pPr>
          </w:p>
          <w:p w14:paraId="2F39C960" w14:textId="77777777" w:rsidR="00A1043B" w:rsidRDefault="00A1043B" w:rsidP="00042E94">
            <w:pPr>
              <w:jc w:val="center"/>
              <w:rPr>
                <w:rFonts w:ascii="Arial" w:eastAsia="Calibri" w:hAnsi="Arial" w:cs="Arial"/>
                <w:b/>
                <w:u w:val="single"/>
              </w:rPr>
            </w:pPr>
          </w:p>
          <w:p w14:paraId="3913C7BF" w14:textId="0B573123" w:rsidR="00A1043B" w:rsidRDefault="00A1043B" w:rsidP="00042E94">
            <w:pPr>
              <w:jc w:val="center"/>
              <w:rPr>
                <w:rFonts w:ascii="Arial" w:eastAsia="Calibri" w:hAnsi="Arial" w:cs="Arial"/>
                <w:b/>
                <w:u w:val="single"/>
              </w:rPr>
            </w:pPr>
            <w:r>
              <w:rPr>
                <w:rFonts w:ascii="Arial" w:eastAsia="Calibri" w:hAnsi="Arial" w:cs="Arial"/>
                <w:b/>
                <w:u w:val="single"/>
              </w:rPr>
              <w:t>100.00%</w:t>
            </w:r>
          </w:p>
          <w:p w14:paraId="5F75B516" w14:textId="77777777" w:rsidR="00A1043B" w:rsidRDefault="00A1043B" w:rsidP="00042E94">
            <w:pPr>
              <w:jc w:val="center"/>
              <w:rPr>
                <w:rFonts w:ascii="Arial" w:eastAsia="Calibri" w:hAnsi="Arial" w:cs="Arial"/>
                <w:b/>
                <w:u w:val="single"/>
              </w:rPr>
            </w:pPr>
          </w:p>
          <w:p w14:paraId="4EE264E4" w14:textId="02708015" w:rsidR="00A1043B" w:rsidRDefault="00A1043B" w:rsidP="00042E94">
            <w:pPr>
              <w:jc w:val="center"/>
              <w:rPr>
                <w:rFonts w:ascii="Arial" w:eastAsia="Calibri" w:hAnsi="Arial" w:cs="Arial"/>
                <w:b/>
                <w:u w:val="single"/>
              </w:rPr>
            </w:pPr>
            <w:r>
              <w:rPr>
                <w:rFonts w:ascii="Arial" w:eastAsia="Calibri" w:hAnsi="Arial" w:cs="Arial"/>
                <w:b/>
                <w:u w:val="single"/>
              </w:rPr>
              <w:t>95.00%</w:t>
            </w:r>
          </w:p>
        </w:tc>
        <w:tc>
          <w:tcPr>
            <w:tcW w:w="1804" w:type="dxa"/>
          </w:tcPr>
          <w:p w14:paraId="6BB1B837" w14:textId="77777777" w:rsidR="00A1043B" w:rsidRDefault="00A1043B" w:rsidP="00042E94">
            <w:pPr>
              <w:jc w:val="center"/>
              <w:rPr>
                <w:rFonts w:ascii="Arial" w:eastAsia="Calibri" w:hAnsi="Arial" w:cs="Arial"/>
                <w:b/>
                <w:u w:val="single"/>
              </w:rPr>
            </w:pPr>
          </w:p>
          <w:p w14:paraId="2C1D69CB" w14:textId="77777777" w:rsidR="00A1043B" w:rsidRDefault="00A1043B" w:rsidP="00042E94">
            <w:pPr>
              <w:jc w:val="center"/>
              <w:rPr>
                <w:rFonts w:ascii="Arial" w:eastAsia="Calibri" w:hAnsi="Arial" w:cs="Arial"/>
                <w:b/>
                <w:u w:val="single"/>
              </w:rPr>
            </w:pPr>
          </w:p>
          <w:p w14:paraId="739EFB11" w14:textId="77777777" w:rsidR="00A1043B" w:rsidRDefault="00A1043B" w:rsidP="00042E94">
            <w:pPr>
              <w:jc w:val="center"/>
              <w:rPr>
                <w:rFonts w:ascii="Arial" w:eastAsia="Calibri" w:hAnsi="Arial" w:cs="Arial"/>
                <w:b/>
                <w:u w:val="single"/>
              </w:rPr>
            </w:pPr>
          </w:p>
          <w:p w14:paraId="4B26F236" w14:textId="77777777" w:rsidR="00A1043B" w:rsidRDefault="00A1043B" w:rsidP="00042E94">
            <w:pPr>
              <w:jc w:val="center"/>
              <w:rPr>
                <w:rFonts w:ascii="Arial" w:eastAsia="Calibri" w:hAnsi="Arial" w:cs="Arial"/>
                <w:b/>
                <w:u w:val="single"/>
              </w:rPr>
            </w:pPr>
          </w:p>
          <w:p w14:paraId="57B56623" w14:textId="77777777" w:rsidR="00A1043B" w:rsidRDefault="00A1043B" w:rsidP="00A1043B">
            <w:pPr>
              <w:jc w:val="center"/>
              <w:rPr>
                <w:rFonts w:ascii="Arial" w:eastAsia="Calibri" w:hAnsi="Arial" w:cs="Arial"/>
                <w:b/>
                <w:u w:val="single"/>
              </w:rPr>
            </w:pPr>
            <w:r>
              <w:rPr>
                <w:rFonts w:ascii="Arial" w:eastAsia="Calibri" w:hAnsi="Arial" w:cs="Arial"/>
                <w:b/>
                <w:u w:val="single"/>
              </w:rPr>
              <w:t>100.00%</w:t>
            </w:r>
          </w:p>
          <w:p w14:paraId="651C255A" w14:textId="77777777" w:rsidR="00A1043B" w:rsidRDefault="00A1043B" w:rsidP="00A1043B">
            <w:pPr>
              <w:jc w:val="center"/>
              <w:rPr>
                <w:rFonts w:ascii="Arial" w:eastAsia="Calibri" w:hAnsi="Arial" w:cs="Arial"/>
                <w:b/>
                <w:u w:val="single"/>
              </w:rPr>
            </w:pPr>
          </w:p>
          <w:p w14:paraId="5E457058" w14:textId="6F532761" w:rsidR="00A1043B" w:rsidRDefault="00A1043B" w:rsidP="00A1043B">
            <w:pPr>
              <w:jc w:val="center"/>
              <w:rPr>
                <w:rFonts w:ascii="Arial" w:eastAsia="Calibri" w:hAnsi="Arial" w:cs="Arial"/>
                <w:b/>
                <w:u w:val="single"/>
              </w:rPr>
            </w:pPr>
            <w:r>
              <w:rPr>
                <w:rFonts w:ascii="Arial" w:eastAsia="Calibri" w:hAnsi="Arial" w:cs="Arial"/>
                <w:b/>
                <w:u w:val="single"/>
              </w:rPr>
              <w:t>95.00%</w:t>
            </w:r>
          </w:p>
        </w:tc>
        <w:tc>
          <w:tcPr>
            <w:tcW w:w="2042" w:type="dxa"/>
          </w:tcPr>
          <w:p w14:paraId="42A1B7A7" w14:textId="77777777" w:rsidR="00A1043B" w:rsidRDefault="00A1043B" w:rsidP="00042E94">
            <w:pPr>
              <w:jc w:val="center"/>
              <w:rPr>
                <w:rFonts w:ascii="Arial" w:eastAsia="Calibri" w:hAnsi="Arial" w:cs="Arial"/>
                <w:b/>
                <w:u w:val="single"/>
              </w:rPr>
            </w:pPr>
          </w:p>
          <w:p w14:paraId="30D551B5" w14:textId="77777777" w:rsidR="00A1043B" w:rsidRDefault="00A1043B" w:rsidP="00042E94">
            <w:pPr>
              <w:jc w:val="center"/>
              <w:rPr>
                <w:rFonts w:ascii="Arial" w:eastAsia="Calibri" w:hAnsi="Arial" w:cs="Arial"/>
                <w:b/>
                <w:u w:val="single"/>
              </w:rPr>
            </w:pPr>
          </w:p>
          <w:p w14:paraId="252274E5" w14:textId="77777777" w:rsidR="00A1043B" w:rsidRDefault="00A1043B" w:rsidP="00042E94">
            <w:pPr>
              <w:jc w:val="center"/>
              <w:rPr>
                <w:rFonts w:ascii="Arial" w:eastAsia="Calibri" w:hAnsi="Arial" w:cs="Arial"/>
                <w:b/>
                <w:u w:val="single"/>
              </w:rPr>
            </w:pPr>
          </w:p>
          <w:p w14:paraId="309D7B43" w14:textId="77777777" w:rsidR="00A1043B" w:rsidRDefault="00A1043B" w:rsidP="00042E94">
            <w:pPr>
              <w:jc w:val="center"/>
              <w:rPr>
                <w:rFonts w:ascii="Arial" w:eastAsia="Calibri" w:hAnsi="Arial" w:cs="Arial"/>
                <w:b/>
                <w:u w:val="single"/>
              </w:rPr>
            </w:pPr>
          </w:p>
          <w:p w14:paraId="16856E0A" w14:textId="77777777" w:rsidR="00A1043B" w:rsidRDefault="00A1043B" w:rsidP="00A1043B">
            <w:pPr>
              <w:jc w:val="center"/>
              <w:rPr>
                <w:rFonts w:ascii="Arial" w:eastAsia="Calibri" w:hAnsi="Arial" w:cs="Arial"/>
                <w:b/>
                <w:u w:val="single"/>
              </w:rPr>
            </w:pPr>
            <w:r>
              <w:rPr>
                <w:rFonts w:ascii="Arial" w:eastAsia="Calibri" w:hAnsi="Arial" w:cs="Arial"/>
                <w:b/>
                <w:u w:val="single"/>
              </w:rPr>
              <w:t>100.00%</w:t>
            </w:r>
          </w:p>
          <w:p w14:paraId="17DB3EEA" w14:textId="77777777" w:rsidR="00A1043B" w:rsidRDefault="00A1043B" w:rsidP="00A1043B">
            <w:pPr>
              <w:jc w:val="center"/>
              <w:rPr>
                <w:rFonts w:ascii="Arial" w:eastAsia="Calibri" w:hAnsi="Arial" w:cs="Arial"/>
                <w:b/>
                <w:u w:val="single"/>
              </w:rPr>
            </w:pPr>
          </w:p>
          <w:p w14:paraId="28F3C0ED" w14:textId="6274C51B" w:rsidR="00A1043B" w:rsidRDefault="00A1043B" w:rsidP="00A1043B">
            <w:pPr>
              <w:jc w:val="center"/>
              <w:rPr>
                <w:rFonts w:ascii="Arial" w:eastAsia="Calibri" w:hAnsi="Arial" w:cs="Arial"/>
                <w:b/>
                <w:u w:val="single"/>
              </w:rPr>
            </w:pPr>
            <w:r>
              <w:rPr>
                <w:rFonts w:ascii="Arial" w:eastAsia="Calibri" w:hAnsi="Arial" w:cs="Arial"/>
                <w:b/>
                <w:u w:val="single"/>
              </w:rPr>
              <w:t>95.00%</w:t>
            </w:r>
          </w:p>
        </w:tc>
      </w:tr>
      <w:tr w:rsidR="00C04CB7" w:rsidRPr="004B1294" w14:paraId="59435DAF" w14:textId="77777777" w:rsidTr="00042E94">
        <w:tc>
          <w:tcPr>
            <w:tcW w:w="1550" w:type="dxa"/>
          </w:tcPr>
          <w:p w14:paraId="782313B6" w14:textId="1B1C402F" w:rsidR="00C04CB7" w:rsidRDefault="00C04CB7" w:rsidP="00042E94">
            <w:pPr>
              <w:jc w:val="center"/>
              <w:rPr>
                <w:rFonts w:ascii="Arial" w:hAnsi="Arial" w:cs="Arial"/>
                <w:b/>
              </w:rPr>
            </w:pPr>
            <w:r>
              <w:rPr>
                <w:rFonts w:ascii="Arial" w:hAnsi="Arial" w:cs="Arial"/>
                <w:b/>
              </w:rPr>
              <w:t>285</w:t>
            </w:r>
          </w:p>
        </w:tc>
        <w:tc>
          <w:tcPr>
            <w:tcW w:w="3255" w:type="dxa"/>
          </w:tcPr>
          <w:p w14:paraId="2A277673" w14:textId="669EBC5E" w:rsidR="00C04CB7" w:rsidRPr="00C04CB7" w:rsidRDefault="00C04CB7" w:rsidP="00C04CB7">
            <w:pPr>
              <w:jc w:val="both"/>
              <w:rPr>
                <w:rFonts w:ascii="Arial" w:hAnsi="Arial" w:cs="Arial"/>
                <w:b/>
                <w:lang w:val="es-MX"/>
              </w:rPr>
            </w:pPr>
            <w:r w:rsidRPr="00C04CB7">
              <w:rPr>
                <w:rFonts w:ascii="Arial" w:hAnsi="Arial" w:cs="Arial"/>
                <w:b/>
                <w:lang w:val="es-CO"/>
              </w:rPr>
              <w:t>FONDO ROTATORIO DEL DEPARTAMENTO ADMINISTRATIVO NACIONAL DE ESTADÍSTICA – FONDANE.</w:t>
            </w:r>
            <w:r w:rsidRPr="00C04CB7">
              <w:rPr>
                <w:rFonts w:ascii="Arial" w:hAnsi="Arial" w:cs="Arial"/>
                <w:b/>
                <w:lang w:val="es-MX"/>
              </w:rPr>
              <w:t xml:space="preserve"> </w:t>
            </w:r>
          </w:p>
          <w:p w14:paraId="23A707D8" w14:textId="77777777" w:rsidR="00C04CB7" w:rsidRDefault="00C04CB7" w:rsidP="005F0B8C">
            <w:pPr>
              <w:jc w:val="both"/>
              <w:rPr>
                <w:rFonts w:ascii="Arial" w:hAnsi="Arial" w:cs="Arial"/>
                <w:b/>
                <w:lang w:val="es-MX"/>
              </w:rPr>
            </w:pPr>
          </w:p>
          <w:p w14:paraId="56C62BF6" w14:textId="77777777" w:rsidR="00C04CB7" w:rsidRDefault="00C04CB7" w:rsidP="00C04CB7">
            <w:pPr>
              <w:jc w:val="both"/>
              <w:rPr>
                <w:rFonts w:ascii="Arial" w:hAnsi="Arial" w:cs="Arial"/>
                <w:b/>
                <w:lang w:val="es-MX"/>
              </w:rPr>
            </w:pPr>
            <w:r>
              <w:rPr>
                <w:rFonts w:ascii="Arial" w:hAnsi="Arial" w:cs="Arial"/>
                <w:b/>
                <w:lang w:val="es-MX"/>
              </w:rPr>
              <w:t>FUNCIONAMIENTO</w:t>
            </w:r>
          </w:p>
          <w:p w14:paraId="0B9166D8" w14:textId="77777777" w:rsidR="00C04CB7" w:rsidRDefault="00C04CB7" w:rsidP="00C04CB7">
            <w:pPr>
              <w:jc w:val="both"/>
              <w:rPr>
                <w:rFonts w:ascii="Arial" w:hAnsi="Arial" w:cs="Arial"/>
                <w:b/>
                <w:lang w:val="es-MX"/>
              </w:rPr>
            </w:pPr>
            <w:r>
              <w:rPr>
                <w:rFonts w:ascii="Arial" w:hAnsi="Arial" w:cs="Arial"/>
                <w:b/>
                <w:lang w:val="es-MX"/>
              </w:rPr>
              <w:t>INVERSIÓN</w:t>
            </w:r>
          </w:p>
          <w:p w14:paraId="64232437" w14:textId="77777777" w:rsidR="00C04CB7" w:rsidRDefault="00C04CB7" w:rsidP="00C04CB7">
            <w:pPr>
              <w:jc w:val="both"/>
              <w:rPr>
                <w:rFonts w:ascii="Arial" w:hAnsi="Arial" w:cs="Arial"/>
                <w:b/>
                <w:lang w:val="es-MX"/>
              </w:rPr>
            </w:pPr>
          </w:p>
          <w:p w14:paraId="74B812DE" w14:textId="3F585477" w:rsidR="00C04CB7" w:rsidRPr="00A1043B" w:rsidRDefault="00C04CB7" w:rsidP="00C04CB7">
            <w:pPr>
              <w:jc w:val="both"/>
              <w:rPr>
                <w:rFonts w:ascii="Arial" w:hAnsi="Arial" w:cs="Arial"/>
                <w:b/>
                <w:lang w:val="es-MX"/>
              </w:rPr>
            </w:pPr>
            <w:r>
              <w:rPr>
                <w:rFonts w:ascii="Arial" w:hAnsi="Arial" w:cs="Arial"/>
                <w:b/>
                <w:lang w:val="es-MX"/>
              </w:rPr>
              <w:t>TOTAL PRESUPUESTO</w:t>
            </w:r>
            <w:r w:rsidR="00891565">
              <w:rPr>
                <w:rFonts w:ascii="Arial" w:hAnsi="Arial" w:cs="Arial"/>
                <w:b/>
                <w:lang w:val="es-MX"/>
              </w:rPr>
              <w:t xml:space="preserve"> -</w:t>
            </w:r>
          </w:p>
        </w:tc>
        <w:tc>
          <w:tcPr>
            <w:tcW w:w="1839" w:type="dxa"/>
          </w:tcPr>
          <w:p w14:paraId="2CB6B26C" w14:textId="77777777" w:rsidR="00C04CB7" w:rsidRDefault="00C04CB7" w:rsidP="00042E94">
            <w:pPr>
              <w:jc w:val="center"/>
              <w:rPr>
                <w:rFonts w:ascii="Arial" w:eastAsia="Calibri" w:hAnsi="Arial" w:cs="Arial"/>
                <w:b/>
                <w:u w:val="single"/>
              </w:rPr>
            </w:pPr>
          </w:p>
          <w:p w14:paraId="2143E47F" w14:textId="77777777" w:rsidR="00C04CB7" w:rsidRDefault="00C04CB7" w:rsidP="00042E94">
            <w:pPr>
              <w:jc w:val="center"/>
              <w:rPr>
                <w:rFonts w:ascii="Arial" w:eastAsia="Calibri" w:hAnsi="Arial" w:cs="Arial"/>
                <w:b/>
                <w:u w:val="single"/>
              </w:rPr>
            </w:pPr>
          </w:p>
          <w:p w14:paraId="1AFFE7C6" w14:textId="77777777" w:rsidR="00C04CB7" w:rsidRDefault="00C04CB7" w:rsidP="00042E94">
            <w:pPr>
              <w:jc w:val="center"/>
              <w:rPr>
                <w:rFonts w:ascii="Arial" w:eastAsia="Calibri" w:hAnsi="Arial" w:cs="Arial"/>
                <w:b/>
                <w:u w:val="single"/>
              </w:rPr>
            </w:pPr>
          </w:p>
          <w:p w14:paraId="111FA04C" w14:textId="77777777" w:rsidR="00C04CB7" w:rsidRDefault="00C04CB7" w:rsidP="00042E94">
            <w:pPr>
              <w:jc w:val="center"/>
              <w:rPr>
                <w:rFonts w:ascii="Arial" w:eastAsia="Calibri" w:hAnsi="Arial" w:cs="Arial"/>
                <w:b/>
                <w:u w:val="single"/>
              </w:rPr>
            </w:pPr>
          </w:p>
          <w:p w14:paraId="5C7DC046" w14:textId="77777777" w:rsidR="00C04CB7" w:rsidRDefault="00C04CB7" w:rsidP="00042E94">
            <w:pPr>
              <w:jc w:val="center"/>
              <w:rPr>
                <w:rFonts w:ascii="Arial" w:eastAsia="Calibri" w:hAnsi="Arial" w:cs="Arial"/>
                <w:b/>
                <w:u w:val="single"/>
              </w:rPr>
            </w:pPr>
          </w:p>
          <w:p w14:paraId="264FABC1" w14:textId="12BF3A13" w:rsidR="00C04CB7" w:rsidRDefault="00C04CB7" w:rsidP="00042E94">
            <w:pPr>
              <w:jc w:val="center"/>
              <w:rPr>
                <w:rFonts w:ascii="Arial" w:eastAsia="Calibri" w:hAnsi="Arial" w:cs="Arial"/>
                <w:b/>
                <w:u w:val="single"/>
              </w:rPr>
            </w:pPr>
            <w:r>
              <w:rPr>
                <w:rFonts w:ascii="Arial" w:eastAsia="Calibri" w:hAnsi="Arial" w:cs="Arial"/>
                <w:b/>
                <w:u w:val="single"/>
              </w:rPr>
              <w:t>89.41%</w:t>
            </w:r>
          </w:p>
          <w:p w14:paraId="0F46F7A3" w14:textId="73F20C6D" w:rsidR="00C04CB7" w:rsidRDefault="00C04CB7" w:rsidP="00042E94">
            <w:pPr>
              <w:jc w:val="center"/>
              <w:rPr>
                <w:rFonts w:ascii="Arial" w:eastAsia="Calibri" w:hAnsi="Arial" w:cs="Arial"/>
                <w:b/>
                <w:u w:val="single"/>
              </w:rPr>
            </w:pPr>
            <w:r>
              <w:rPr>
                <w:rFonts w:ascii="Arial" w:eastAsia="Calibri" w:hAnsi="Arial" w:cs="Arial"/>
                <w:b/>
                <w:u w:val="single"/>
              </w:rPr>
              <w:t>78.32%</w:t>
            </w:r>
          </w:p>
          <w:p w14:paraId="6C9930A5" w14:textId="77777777" w:rsidR="00C04CB7" w:rsidRDefault="00C04CB7" w:rsidP="00042E94">
            <w:pPr>
              <w:jc w:val="center"/>
              <w:rPr>
                <w:rFonts w:ascii="Arial" w:eastAsia="Calibri" w:hAnsi="Arial" w:cs="Arial"/>
                <w:b/>
                <w:u w:val="single"/>
              </w:rPr>
            </w:pPr>
          </w:p>
          <w:p w14:paraId="54B8C243" w14:textId="22D2CFE1" w:rsidR="00C04CB7" w:rsidRDefault="00C04CB7" w:rsidP="00042E94">
            <w:pPr>
              <w:jc w:val="center"/>
              <w:rPr>
                <w:rFonts w:ascii="Arial" w:eastAsia="Calibri" w:hAnsi="Arial" w:cs="Arial"/>
                <w:b/>
                <w:u w:val="single"/>
              </w:rPr>
            </w:pPr>
            <w:r>
              <w:rPr>
                <w:rFonts w:ascii="Arial" w:eastAsia="Calibri" w:hAnsi="Arial" w:cs="Arial"/>
                <w:b/>
                <w:u w:val="single"/>
              </w:rPr>
              <w:t>78.57%</w:t>
            </w:r>
          </w:p>
        </w:tc>
        <w:tc>
          <w:tcPr>
            <w:tcW w:w="1804" w:type="dxa"/>
          </w:tcPr>
          <w:p w14:paraId="19014D16" w14:textId="77777777" w:rsidR="00C04CB7" w:rsidRDefault="00C04CB7" w:rsidP="00042E94">
            <w:pPr>
              <w:jc w:val="center"/>
              <w:rPr>
                <w:rFonts w:ascii="Arial" w:eastAsia="Calibri" w:hAnsi="Arial" w:cs="Arial"/>
                <w:b/>
                <w:u w:val="single"/>
              </w:rPr>
            </w:pPr>
          </w:p>
          <w:p w14:paraId="6D36715F" w14:textId="77777777" w:rsidR="00C04CB7" w:rsidRDefault="00C04CB7" w:rsidP="00042E94">
            <w:pPr>
              <w:jc w:val="center"/>
              <w:rPr>
                <w:rFonts w:ascii="Arial" w:eastAsia="Calibri" w:hAnsi="Arial" w:cs="Arial"/>
                <w:b/>
                <w:u w:val="single"/>
              </w:rPr>
            </w:pPr>
          </w:p>
          <w:p w14:paraId="282E3388" w14:textId="77777777" w:rsidR="00C04CB7" w:rsidRDefault="00C04CB7" w:rsidP="00042E94">
            <w:pPr>
              <w:jc w:val="center"/>
              <w:rPr>
                <w:rFonts w:ascii="Arial" w:eastAsia="Calibri" w:hAnsi="Arial" w:cs="Arial"/>
                <w:b/>
                <w:u w:val="single"/>
              </w:rPr>
            </w:pPr>
          </w:p>
          <w:p w14:paraId="37F30573" w14:textId="77777777" w:rsidR="00C04CB7" w:rsidRDefault="00C04CB7" w:rsidP="00042E94">
            <w:pPr>
              <w:jc w:val="center"/>
              <w:rPr>
                <w:rFonts w:ascii="Arial" w:eastAsia="Calibri" w:hAnsi="Arial" w:cs="Arial"/>
                <w:b/>
                <w:u w:val="single"/>
              </w:rPr>
            </w:pPr>
          </w:p>
          <w:p w14:paraId="7EB18335" w14:textId="77777777" w:rsidR="00C04CB7" w:rsidRDefault="00C04CB7" w:rsidP="00042E94">
            <w:pPr>
              <w:jc w:val="center"/>
              <w:rPr>
                <w:rFonts w:ascii="Arial" w:eastAsia="Calibri" w:hAnsi="Arial" w:cs="Arial"/>
                <w:b/>
                <w:u w:val="single"/>
              </w:rPr>
            </w:pPr>
          </w:p>
          <w:p w14:paraId="71263A71" w14:textId="30D835C8" w:rsidR="00C04CB7" w:rsidRDefault="00C04CB7" w:rsidP="00042E94">
            <w:pPr>
              <w:jc w:val="center"/>
              <w:rPr>
                <w:rFonts w:ascii="Arial" w:eastAsia="Calibri" w:hAnsi="Arial" w:cs="Arial"/>
                <w:b/>
                <w:u w:val="single"/>
              </w:rPr>
            </w:pPr>
            <w:r>
              <w:rPr>
                <w:rFonts w:ascii="Arial" w:eastAsia="Calibri" w:hAnsi="Arial" w:cs="Arial"/>
                <w:b/>
                <w:u w:val="single"/>
              </w:rPr>
              <w:t>79.24%</w:t>
            </w:r>
          </w:p>
          <w:p w14:paraId="5023946A" w14:textId="6DA54FAA" w:rsidR="00C04CB7" w:rsidRDefault="00C04CB7" w:rsidP="00042E94">
            <w:pPr>
              <w:jc w:val="center"/>
              <w:rPr>
                <w:rFonts w:ascii="Arial" w:eastAsia="Calibri" w:hAnsi="Arial" w:cs="Arial"/>
                <w:b/>
                <w:u w:val="single"/>
              </w:rPr>
            </w:pPr>
            <w:r>
              <w:rPr>
                <w:rFonts w:ascii="Arial" w:eastAsia="Calibri" w:hAnsi="Arial" w:cs="Arial"/>
                <w:b/>
                <w:u w:val="single"/>
              </w:rPr>
              <w:t>75.83%</w:t>
            </w:r>
          </w:p>
          <w:p w14:paraId="256C06F2" w14:textId="77777777" w:rsidR="00C04CB7" w:rsidRDefault="00C04CB7" w:rsidP="00042E94">
            <w:pPr>
              <w:jc w:val="center"/>
              <w:rPr>
                <w:rFonts w:ascii="Arial" w:eastAsia="Calibri" w:hAnsi="Arial" w:cs="Arial"/>
                <w:b/>
                <w:u w:val="single"/>
              </w:rPr>
            </w:pPr>
          </w:p>
          <w:p w14:paraId="4F0168AB" w14:textId="0AE91C30" w:rsidR="00C04CB7" w:rsidRDefault="00C04CB7" w:rsidP="00042E94">
            <w:pPr>
              <w:jc w:val="center"/>
              <w:rPr>
                <w:rFonts w:ascii="Arial" w:eastAsia="Calibri" w:hAnsi="Arial" w:cs="Arial"/>
                <w:b/>
                <w:u w:val="single"/>
              </w:rPr>
            </w:pPr>
            <w:r>
              <w:rPr>
                <w:rFonts w:ascii="Arial" w:eastAsia="Calibri" w:hAnsi="Arial" w:cs="Arial"/>
                <w:b/>
                <w:u w:val="single"/>
              </w:rPr>
              <w:t>75.91%</w:t>
            </w:r>
          </w:p>
        </w:tc>
        <w:tc>
          <w:tcPr>
            <w:tcW w:w="2042" w:type="dxa"/>
          </w:tcPr>
          <w:p w14:paraId="4B2509BA" w14:textId="77777777" w:rsidR="00C04CB7" w:rsidRDefault="00C04CB7" w:rsidP="00042E94">
            <w:pPr>
              <w:jc w:val="center"/>
              <w:rPr>
                <w:rFonts w:ascii="Arial" w:eastAsia="Calibri" w:hAnsi="Arial" w:cs="Arial"/>
                <w:b/>
                <w:u w:val="single"/>
              </w:rPr>
            </w:pPr>
          </w:p>
          <w:p w14:paraId="2A50605A" w14:textId="77777777" w:rsidR="00C04CB7" w:rsidRDefault="00C04CB7" w:rsidP="00042E94">
            <w:pPr>
              <w:jc w:val="center"/>
              <w:rPr>
                <w:rFonts w:ascii="Arial" w:eastAsia="Calibri" w:hAnsi="Arial" w:cs="Arial"/>
                <w:b/>
                <w:u w:val="single"/>
              </w:rPr>
            </w:pPr>
          </w:p>
          <w:p w14:paraId="49F137E2" w14:textId="77777777" w:rsidR="00C04CB7" w:rsidRDefault="00C04CB7" w:rsidP="00042E94">
            <w:pPr>
              <w:jc w:val="center"/>
              <w:rPr>
                <w:rFonts w:ascii="Arial" w:eastAsia="Calibri" w:hAnsi="Arial" w:cs="Arial"/>
                <w:b/>
                <w:u w:val="single"/>
              </w:rPr>
            </w:pPr>
          </w:p>
          <w:p w14:paraId="1E124ABD" w14:textId="77777777" w:rsidR="00C04CB7" w:rsidRDefault="00C04CB7" w:rsidP="00042E94">
            <w:pPr>
              <w:jc w:val="center"/>
              <w:rPr>
                <w:rFonts w:ascii="Arial" w:eastAsia="Calibri" w:hAnsi="Arial" w:cs="Arial"/>
                <w:b/>
                <w:u w:val="single"/>
              </w:rPr>
            </w:pPr>
          </w:p>
          <w:p w14:paraId="7AEE2B50" w14:textId="77777777" w:rsidR="00C04CB7" w:rsidRDefault="00C04CB7" w:rsidP="00042E94">
            <w:pPr>
              <w:jc w:val="center"/>
              <w:rPr>
                <w:rFonts w:ascii="Arial" w:eastAsia="Calibri" w:hAnsi="Arial" w:cs="Arial"/>
                <w:b/>
                <w:u w:val="single"/>
              </w:rPr>
            </w:pPr>
          </w:p>
          <w:p w14:paraId="23208871" w14:textId="370EE484" w:rsidR="00C04CB7" w:rsidRDefault="00C04CB7" w:rsidP="00042E94">
            <w:pPr>
              <w:jc w:val="center"/>
              <w:rPr>
                <w:rFonts w:ascii="Arial" w:eastAsia="Calibri" w:hAnsi="Arial" w:cs="Arial"/>
                <w:b/>
                <w:u w:val="single"/>
              </w:rPr>
            </w:pPr>
            <w:r>
              <w:rPr>
                <w:rFonts w:ascii="Arial" w:eastAsia="Calibri" w:hAnsi="Arial" w:cs="Arial"/>
                <w:b/>
                <w:u w:val="single"/>
              </w:rPr>
              <w:t>71.41%</w:t>
            </w:r>
          </w:p>
          <w:p w14:paraId="21C62710" w14:textId="7B08DEC8" w:rsidR="00C04CB7" w:rsidRDefault="00C04CB7" w:rsidP="00042E94">
            <w:pPr>
              <w:jc w:val="center"/>
              <w:rPr>
                <w:rFonts w:ascii="Arial" w:eastAsia="Calibri" w:hAnsi="Arial" w:cs="Arial"/>
                <w:b/>
                <w:u w:val="single"/>
              </w:rPr>
            </w:pPr>
            <w:r>
              <w:rPr>
                <w:rFonts w:ascii="Arial" w:eastAsia="Calibri" w:hAnsi="Arial" w:cs="Arial"/>
                <w:b/>
                <w:u w:val="single"/>
              </w:rPr>
              <w:t>75.20%</w:t>
            </w:r>
          </w:p>
          <w:p w14:paraId="1FDC13AE" w14:textId="77777777" w:rsidR="00C04CB7" w:rsidRDefault="00C04CB7" w:rsidP="00042E94">
            <w:pPr>
              <w:jc w:val="center"/>
              <w:rPr>
                <w:rFonts w:ascii="Arial" w:eastAsia="Calibri" w:hAnsi="Arial" w:cs="Arial"/>
                <w:b/>
                <w:u w:val="single"/>
              </w:rPr>
            </w:pPr>
          </w:p>
          <w:p w14:paraId="04194A48" w14:textId="74B1DF59" w:rsidR="00C04CB7" w:rsidRDefault="00C04CB7" w:rsidP="00042E94">
            <w:pPr>
              <w:jc w:val="center"/>
              <w:rPr>
                <w:rFonts w:ascii="Arial" w:eastAsia="Calibri" w:hAnsi="Arial" w:cs="Arial"/>
                <w:b/>
                <w:u w:val="single"/>
              </w:rPr>
            </w:pPr>
            <w:r>
              <w:rPr>
                <w:rFonts w:ascii="Arial" w:eastAsia="Calibri" w:hAnsi="Arial" w:cs="Arial"/>
                <w:b/>
                <w:u w:val="single"/>
              </w:rPr>
              <w:t>75.11%</w:t>
            </w:r>
          </w:p>
        </w:tc>
      </w:tr>
      <w:tr w:rsidR="00891565" w:rsidRPr="004B1294" w14:paraId="77BEAF7C" w14:textId="77777777" w:rsidTr="00042E94">
        <w:tc>
          <w:tcPr>
            <w:tcW w:w="1550" w:type="dxa"/>
          </w:tcPr>
          <w:p w14:paraId="32C135C2" w14:textId="2AA5CB6E" w:rsidR="00891565" w:rsidRDefault="00891565" w:rsidP="00042E94">
            <w:pPr>
              <w:jc w:val="center"/>
              <w:rPr>
                <w:rFonts w:ascii="Arial" w:hAnsi="Arial" w:cs="Arial"/>
                <w:b/>
              </w:rPr>
            </w:pPr>
            <w:r>
              <w:rPr>
                <w:rFonts w:ascii="Arial" w:hAnsi="Arial" w:cs="Arial"/>
                <w:b/>
              </w:rPr>
              <w:t>287</w:t>
            </w:r>
          </w:p>
        </w:tc>
        <w:tc>
          <w:tcPr>
            <w:tcW w:w="3255" w:type="dxa"/>
          </w:tcPr>
          <w:p w14:paraId="33AEFA99" w14:textId="7B49CAD5" w:rsidR="00891565" w:rsidRPr="00891565" w:rsidRDefault="00891565" w:rsidP="00891565">
            <w:pPr>
              <w:jc w:val="both"/>
              <w:rPr>
                <w:rFonts w:ascii="Arial" w:hAnsi="Arial" w:cs="Arial"/>
                <w:b/>
                <w:lang w:val="es-MX"/>
              </w:rPr>
            </w:pPr>
            <w:r w:rsidRPr="00891565">
              <w:rPr>
                <w:rFonts w:ascii="Arial" w:hAnsi="Arial" w:cs="Arial"/>
                <w:b/>
                <w:lang w:val="es-MX"/>
              </w:rPr>
              <w:t>CORPORACION AUTONOMA REGIONAL DEL CESAR - CORPOCESAR.</w:t>
            </w:r>
          </w:p>
          <w:p w14:paraId="3F14DD72" w14:textId="77777777" w:rsidR="00891565" w:rsidRDefault="00891565" w:rsidP="00C04CB7">
            <w:pPr>
              <w:jc w:val="both"/>
              <w:rPr>
                <w:rFonts w:ascii="Arial" w:hAnsi="Arial" w:cs="Arial"/>
                <w:b/>
                <w:lang w:val="es-CO"/>
              </w:rPr>
            </w:pPr>
          </w:p>
          <w:p w14:paraId="15866A7D" w14:textId="77777777" w:rsidR="00891565" w:rsidRDefault="00891565" w:rsidP="00891565">
            <w:pPr>
              <w:jc w:val="both"/>
              <w:rPr>
                <w:rFonts w:ascii="Arial" w:hAnsi="Arial" w:cs="Arial"/>
                <w:b/>
                <w:lang w:val="es-MX"/>
              </w:rPr>
            </w:pPr>
            <w:r>
              <w:rPr>
                <w:rFonts w:ascii="Arial" w:hAnsi="Arial" w:cs="Arial"/>
                <w:b/>
                <w:lang w:val="es-MX"/>
              </w:rPr>
              <w:t>FUNCIONAMIENTO</w:t>
            </w:r>
          </w:p>
          <w:p w14:paraId="60AFEC3D" w14:textId="77777777" w:rsidR="00891565" w:rsidRDefault="00891565" w:rsidP="00891565">
            <w:pPr>
              <w:jc w:val="both"/>
              <w:rPr>
                <w:rFonts w:ascii="Arial" w:hAnsi="Arial" w:cs="Arial"/>
                <w:b/>
                <w:lang w:val="es-MX"/>
              </w:rPr>
            </w:pPr>
            <w:r>
              <w:rPr>
                <w:rFonts w:ascii="Arial" w:hAnsi="Arial" w:cs="Arial"/>
                <w:b/>
                <w:lang w:val="es-MX"/>
              </w:rPr>
              <w:t>INVERSIÓN</w:t>
            </w:r>
          </w:p>
          <w:p w14:paraId="5806CE27" w14:textId="77777777" w:rsidR="00891565" w:rsidRDefault="00891565" w:rsidP="00891565">
            <w:pPr>
              <w:jc w:val="both"/>
              <w:rPr>
                <w:rFonts w:ascii="Arial" w:hAnsi="Arial" w:cs="Arial"/>
                <w:b/>
                <w:lang w:val="es-MX"/>
              </w:rPr>
            </w:pPr>
          </w:p>
          <w:p w14:paraId="39382380" w14:textId="181FA0E3" w:rsidR="00891565" w:rsidRPr="00C04CB7" w:rsidRDefault="00891565" w:rsidP="00891565">
            <w:pPr>
              <w:jc w:val="both"/>
              <w:rPr>
                <w:rFonts w:ascii="Arial" w:hAnsi="Arial" w:cs="Arial"/>
                <w:b/>
                <w:lang w:val="es-CO"/>
              </w:rPr>
            </w:pPr>
            <w:r>
              <w:rPr>
                <w:rFonts w:ascii="Arial" w:hAnsi="Arial" w:cs="Arial"/>
                <w:b/>
                <w:lang w:val="es-MX"/>
              </w:rPr>
              <w:t>TOTAL PRESUPUESTO</w:t>
            </w:r>
          </w:p>
        </w:tc>
        <w:tc>
          <w:tcPr>
            <w:tcW w:w="1839" w:type="dxa"/>
          </w:tcPr>
          <w:p w14:paraId="1B71EBB4" w14:textId="77777777" w:rsidR="00891565" w:rsidRDefault="00891565" w:rsidP="00042E94">
            <w:pPr>
              <w:jc w:val="center"/>
              <w:rPr>
                <w:rFonts w:ascii="Arial" w:eastAsia="Calibri" w:hAnsi="Arial" w:cs="Arial"/>
                <w:b/>
                <w:u w:val="single"/>
              </w:rPr>
            </w:pPr>
          </w:p>
          <w:p w14:paraId="2AE1E04E" w14:textId="77777777" w:rsidR="00891565" w:rsidRDefault="00891565" w:rsidP="00042E94">
            <w:pPr>
              <w:jc w:val="center"/>
              <w:rPr>
                <w:rFonts w:ascii="Arial" w:eastAsia="Calibri" w:hAnsi="Arial" w:cs="Arial"/>
                <w:b/>
                <w:u w:val="single"/>
              </w:rPr>
            </w:pPr>
          </w:p>
          <w:p w14:paraId="1E072022" w14:textId="77777777" w:rsidR="00891565" w:rsidRDefault="00891565" w:rsidP="00042E94">
            <w:pPr>
              <w:jc w:val="center"/>
              <w:rPr>
                <w:rFonts w:ascii="Arial" w:eastAsia="Calibri" w:hAnsi="Arial" w:cs="Arial"/>
                <w:b/>
                <w:u w:val="single"/>
              </w:rPr>
            </w:pPr>
          </w:p>
          <w:p w14:paraId="1F8D8E5F" w14:textId="77777777" w:rsidR="00891565" w:rsidRDefault="00891565" w:rsidP="00042E94">
            <w:pPr>
              <w:jc w:val="center"/>
              <w:rPr>
                <w:rFonts w:ascii="Arial" w:eastAsia="Calibri" w:hAnsi="Arial" w:cs="Arial"/>
                <w:b/>
                <w:u w:val="single"/>
              </w:rPr>
            </w:pPr>
          </w:p>
          <w:p w14:paraId="1E8A3D1E" w14:textId="48607391" w:rsidR="00891565" w:rsidRDefault="00891565" w:rsidP="00042E94">
            <w:pPr>
              <w:jc w:val="center"/>
              <w:rPr>
                <w:rFonts w:ascii="Arial" w:eastAsia="Calibri" w:hAnsi="Arial" w:cs="Arial"/>
                <w:b/>
                <w:u w:val="single"/>
              </w:rPr>
            </w:pPr>
            <w:r>
              <w:rPr>
                <w:rFonts w:ascii="Arial" w:hAnsi="Arial" w:cs="Arial"/>
                <w:b/>
                <w:lang w:val="es-MX"/>
              </w:rPr>
              <w:t>-</w:t>
            </w:r>
          </w:p>
          <w:p w14:paraId="30554F15" w14:textId="5722C3D2" w:rsidR="00891565" w:rsidRDefault="00891565" w:rsidP="00042E94">
            <w:pPr>
              <w:jc w:val="center"/>
              <w:rPr>
                <w:rFonts w:ascii="Arial" w:eastAsia="Calibri" w:hAnsi="Arial" w:cs="Arial"/>
                <w:b/>
                <w:u w:val="single"/>
              </w:rPr>
            </w:pPr>
            <w:r>
              <w:rPr>
                <w:rFonts w:ascii="Arial" w:eastAsia="Calibri" w:hAnsi="Arial" w:cs="Arial"/>
                <w:b/>
                <w:u w:val="single"/>
              </w:rPr>
              <w:t>99.99%</w:t>
            </w:r>
          </w:p>
          <w:p w14:paraId="1CFD6167" w14:textId="77777777" w:rsidR="00891565" w:rsidRDefault="00891565" w:rsidP="00042E94">
            <w:pPr>
              <w:jc w:val="center"/>
              <w:rPr>
                <w:rFonts w:ascii="Arial" w:eastAsia="Calibri" w:hAnsi="Arial" w:cs="Arial"/>
                <w:b/>
                <w:u w:val="single"/>
              </w:rPr>
            </w:pPr>
          </w:p>
          <w:p w14:paraId="39B6BF0A" w14:textId="445D6FA4" w:rsidR="00891565" w:rsidRDefault="00891565" w:rsidP="00042E94">
            <w:pPr>
              <w:jc w:val="center"/>
              <w:rPr>
                <w:rFonts w:ascii="Arial" w:eastAsia="Calibri" w:hAnsi="Arial" w:cs="Arial"/>
                <w:b/>
                <w:u w:val="single"/>
              </w:rPr>
            </w:pPr>
            <w:r>
              <w:rPr>
                <w:rFonts w:ascii="Arial" w:eastAsia="Calibri" w:hAnsi="Arial" w:cs="Arial"/>
                <w:b/>
                <w:u w:val="single"/>
              </w:rPr>
              <w:t>99.99%</w:t>
            </w:r>
          </w:p>
        </w:tc>
        <w:tc>
          <w:tcPr>
            <w:tcW w:w="1804" w:type="dxa"/>
          </w:tcPr>
          <w:p w14:paraId="5C9C28C3" w14:textId="77777777" w:rsidR="00891565" w:rsidRDefault="00891565" w:rsidP="00042E94">
            <w:pPr>
              <w:jc w:val="center"/>
              <w:rPr>
                <w:rFonts w:ascii="Arial" w:eastAsia="Calibri" w:hAnsi="Arial" w:cs="Arial"/>
                <w:b/>
                <w:u w:val="single"/>
              </w:rPr>
            </w:pPr>
          </w:p>
          <w:p w14:paraId="1B4D6664" w14:textId="77777777" w:rsidR="00891565" w:rsidRDefault="00891565" w:rsidP="00042E94">
            <w:pPr>
              <w:jc w:val="center"/>
              <w:rPr>
                <w:rFonts w:ascii="Arial" w:eastAsia="Calibri" w:hAnsi="Arial" w:cs="Arial"/>
                <w:b/>
                <w:u w:val="single"/>
              </w:rPr>
            </w:pPr>
          </w:p>
          <w:p w14:paraId="2A892E4F" w14:textId="77777777" w:rsidR="00891565" w:rsidRDefault="00891565" w:rsidP="00042E94">
            <w:pPr>
              <w:jc w:val="center"/>
              <w:rPr>
                <w:rFonts w:ascii="Arial" w:eastAsia="Calibri" w:hAnsi="Arial" w:cs="Arial"/>
                <w:b/>
                <w:u w:val="single"/>
              </w:rPr>
            </w:pPr>
          </w:p>
          <w:p w14:paraId="18EB7DDC" w14:textId="77777777" w:rsidR="00891565" w:rsidRDefault="00891565" w:rsidP="00042E94">
            <w:pPr>
              <w:jc w:val="center"/>
              <w:rPr>
                <w:rFonts w:ascii="Arial" w:eastAsia="Calibri" w:hAnsi="Arial" w:cs="Arial"/>
                <w:b/>
                <w:u w:val="single"/>
              </w:rPr>
            </w:pPr>
          </w:p>
          <w:p w14:paraId="255350B5" w14:textId="6BCFDC1F" w:rsidR="00891565" w:rsidRDefault="00891565" w:rsidP="00042E94">
            <w:pPr>
              <w:jc w:val="center"/>
              <w:rPr>
                <w:rFonts w:ascii="Arial" w:eastAsia="Calibri" w:hAnsi="Arial" w:cs="Arial"/>
                <w:b/>
                <w:u w:val="single"/>
              </w:rPr>
            </w:pPr>
            <w:r>
              <w:rPr>
                <w:rFonts w:ascii="Arial" w:hAnsi="Arial" w:cs="Arial"/>
                <w:b/>
                <w:lang w:val="es-MX"/>
              </w:rPr>
              <w:t>-</w:t>
            </w:r>
          </w:p>
          <w:p w14:paraId="09F42DD4" w14:textId="677091C0" w:rsidR="00891565" w:rsidRDefault="00891565" w:rsidP="00042E94">
            <w:pPr>
              <w:jc w:val="center"/>
              <w:rPr>
                <w:rFonts w:ascii="Arial" w:eastAsia="Calibri" w:hAnsi="Arial" w:cs="Arial"/>
                <w:b/>
                <w:u w:val="single"/>
              </w:rPr>
            </w:pPr>
            <w:r>
              <w:rPr>
                <w:rFonts w:ascii="Arial" w:eastAsia="Calibri" w:hAnsi="Arial" w:cs="Arial"/>
                <w:b/>
                <w:u w:val="single"/>
              </w:rPr>
              <w:t>0.00%</w:t>
            </w:r>
          </w:p>
          <w:p w14:paraId="03E3F9E6" w14:textId="77777777" w:rsidR="00891565" w:rsidRDefault="00891565" w:rsidP="00042E94">
            <w:pPr>
              <w:jc w:val="center"/>
              <w:rPr>
                <w:rFonts w:ascii="Arial" w:eastAsia="Calibri" w:hAnsi="Arial" w:cs="Arial"/>
                <w:b/>
                <w:u w:val="single"/>
              </w:rPr>
            </w:pPr>
          </w:p>
          <w:p w14:paraId="32CBBECC" w14:textId="75381005" w:rsidR="00891565" w:rsidRDefault="00891565" w:rsidP="00042E94">
            <w:pPr>
              <w:jc w:val="center"/>
              <w:rPr>
                <w:rFonts w:ascii="Arial" w:eastAsia="Calibri" w:hAnsi="Arial" w:cs="Arial"/>
                <w:b/>
                <w:u w:val="single"/>
              </w:rPr>
            </w:pPr>
            <w:r>
              <w:rPr>
                <w:rFonts w:ascii="Arial" w:eastAsia="Calibri" w:hAnsi="Arial" w:cs="Arial"/>
                <w:b/>
                <w:u w:val="single"/>
              </w:rPr>
              <w:t>60.98%</w:t>
            </w:r>
          </w:p>
        </w:tc>
        <w:tc>
          <w:tcPr>
            <w:tcW w:w="2042" w:type="dxa"/>
          </w:tcPr>
          <w:p w14:paraId="5DE3A6A8" w14:textId="77777777" w:rsidR="00891565" w:rsidRDefault="00891565" w:rsidP="00042E94">
            <w:pPr>
              <w:jc w:val="center"/>
              <w:rPr>
                <w:rFonts w:ascii="Arial" w:eastAsia="Calibri" w:hAnsi="Arial" w:cs="Arial"/>
                <w:b/>
                <w:u w:val="single"/>
              </w:rPr>
            </w:pPr>
          </w:p>
          <w:p w14:paraId="1D91C851" w14:textId="77777777" w:rsidR="00891565" w:rsidRDefault="00891565" w:rsidP="00042E94">
            <w:pPr>
              <w:jc w:val="center"/>
              <w:rPr>
                <w:rFonts w:ascii="Arial" w:eastAsia="Calibri" w:hAnsi="Arial" w:cs="Arial"/>
                <w:b/>
                <w:u w:val="single"/>
              </w:rPr>
            </w:pPr>
          </w:p>
          <w:p w14:paraId="26F4C9D6" w14:textId="77777777" w:rsidR="00891565" w:rsidRDefault="00891565" w:rsidP="00042E94">
            <w:pPr>
              <w:jc w:val="center"/>
              <w:rPr>
                <w:rFonts w:ascii="Arial" w:eastAsia="Calibri" w:hAnsi="Arial" w:cs="Arial"/>
                <w:b/>
                <w:u w:val="single"/>
              </w:rPr>
            </w:pPr>
          </w:p>
          <w:p w14:paraId="7E34F45F" w14:textId="77777777" w:rsidR="00891565" w:rsidRDefault="00891565" w:rsidP="00042E94">
            <w:pPr>
              <w:jc w:val="center"/>
              <w:rPr>
                <w:rFonts w:ascii="Arial" w:eastAsia="Calibri" w:hAnsi="Arial" w:cs="Arial"/>
                <w:b/>
                <w:u w:val="single"/>
              </w:rPr>
            </w:pPr>
          </w:p>
          <w:p w14:paraId="069C4F24" w14:textId="2EA15B45" w:rsidR="00891565" w:rsidRDefault="00891565" w:rsidP="00042E94">
            <w:pPr>
              <w:jc w:val="center"/>
              <w:rPr>
                <w:rFonts w:ascii="Arial" w:eastAsia="Calibri" w:hAnsi="Arial" w:cs="Arial"/>
                <w:b/>
                <w:u w:val="single"/>
              </w:rPr>
            </w:pPr>
            <w:r>
              <w:rPr>
                <w:rFonts w:ascii="Arial" w:hAnsi="Arial" w:cs="Arial"/>
                <w:b/>
                <w:lang w:val="es-MX"/>
              </w:rPr>
              <w:t>-</w:t>
            </w:r>
          </w:p>
          <w:p w14:paraId="2638F550" w14:textId="2FEAC849" w:rsidR="00891565" w:rsidRDefault="00891565" w:rsidP="00042E94">
            <w:pPr>
              <w:jc w:val="center"/>
              <w:rPr>
                <w:rFonts w:ascii="Arial" w:eastAsia="Calibri" w:hAnsi="Arial" w:cs="Arial"/>
                <w:b/>
                <w:u w:val="single"/>
              </w:rPr>
            </w:pPr>
            <w:r>
              <w:rPr>
                <w:rFonts w:ascii="Arial" w:eastAsia="Calibri" w:hAnsi="Arial" w:cs="Arial"/>
                <w:b/>
                <w:u w:val="single"/>
              </w:rPr>
              <w:t>0.00%</w:t>
            </w:r>
          </w:p>
          <w:p w14:paraId="0F619007" w14:textId="77777777" w:rsidR="00891565" w:rsidRDefault="00891565" w:rsidP="00042E94">
            <w:pPr>
              <w:jc w:val="center"/>
              <w:rPr>
                <w:rFonts w:ascii="Arial" w:eastAsia="Calibri" w:hAnsi="Arial" w:cs="Arial"/>
                <w:b/>
                <w:u w:val="single"/>
              </w:rPr>
            </w:pPr>
          </w:p>
          <w:p w14:paraId="4D635B9F" w14:textId="0FCB1130" w:rsidR="00891565" w:rsidRDefault="00891565" w:rsidP="00042E94">
            <w:pPr>
              <w:jc w:val="center"/>
              <w:rPr>
                <w:rFonts w:ascii="Arial" w:eastAsia="Calibri" w:hAnsi="Arial" w:cs="Arial"/>
                <w:b/>
                <w:u w:val="single"/>
              </w:rPr>
            </w:pPr>
            <w:r>
              <w:rPr>
                <w:rFonts w:ascii="Arial" w:eastAsia="Calibri" w:hAnsi="Arial" w:cs="Arial"/>
                <w:b/>
                <w:u w:val="single"/>
              </w:rPr>
              <w:t>60.98%</w:t>
            </w:r>
          </w:p>
        </w:tc>
      </w:tr>
      <w:tr w:rsidR="00131025" w:rsidRPr="004B1294" w14:paraId="52669720" w14:textId="77777777" w:rsidTr="00042E94">
        <w:tc>
          <w:tcPr>
            <w:tcW w:w="1550" w:type="dxa"/>
          </w:tcPr>
          <w:p w14:paraId="09608148" w14:textId="2221E6DB" w:rsidR="00131025" w:rsidRDefault="00131025" w:rsidP="00042E94">
            <w:pPr>
              <w:jc w:val="center"/>
              <w:rPr>
                <w:rFonts w:ascii="Arial" w:hAnsi="Arial" w:cs="Arial"/>
                <w:b/>
              </w:rPr>
            </w:pPr>
            <w:r>
              <w:rPr>
                <w:rFonts w:ascii="Arial" w:hAnsi="Arial" w:cs="Arial"/>
                <w:b/>
              </w:rPr>
              <w:t>296</w:t>
            </w:r>
          </w:p>
        </w:tc>
        <w:tc>
          <w:tcPr>
            <w:tcW w:w="3255" w:type="dxa"/>
          </w:tcPr>
          <w:p w14:paraId="44C08988" w14:textId="524678F0" w:rsidR="00131025" w:rsidRPr="00131025" w:rsidRDefault="00131025" w:rsidP="00131025">
            <w:pPr>
              <w:jc w:val="both"/>
              <w:rPr>
                <w:rFonts w:ascii="Arial" w:hAnsi="Arial" w:cs="Arial"/>
                <w:b/>
                <w:lang w:val="es-MX"/>
              </w:rPr>
            </w:pPr>
            <w:r w:rsidRPr="00131025">
              <w:rPr>
                <w:rFonts w:ascii="Arial" w:hAnsi="Arial" w:cs="Arial"/>
                <w:b/>
                <w:lang w:val="es-MX"/>
              </w:rPr>
              <w:t>AGENCIA NACIONAL DE MINERIA - ANM.</w:t>
            </w:r>
          </w:p>
          <w:p w14:paraId="50A3A84E" w14:textId="77777777" w:rsidR="00131025" w:rsidRDefault="00131025" w:rsidP="00891565">
            <w:pPr>
              <w:jc w:val="both"/>
              <w:rPr>
                <w:rFonts w:ascii="Arial" w:hAnsi="Arial" w:cs="Arial"/>
                <w:b/>
                <w:lang w:val="es-MX"/>
              </w:rPr>
            </w:pPr>
          </w:p>
          <w:p w14:paraId="597CBCD8" w14:textId="77777777" w:rsidR="00131025" w:rsidRDefault="00131025" w:rsidP="00131025">
            <w:pPr>
              <w:jc w:val="both"/>
              <w:rPr>
                <w:rFonts w:ascii="Arial" w:hAnsi="Arial" w:cs="Arial"/>
                <w:b/>
                <w:lang w:val="es-MX"/>
              </w:rPr>
            </w:pPr>
            <w:r>
              <w:rPr>
                <w:rFonts w:ascii="Arial" w:hAnsi="Arial" w:cs="Arial"/>
                <w:b/>
                <w:lang w:val="es-MX"/>
              </w:rPr>
              <w:t>FUNCIONAMIENTO</w:t>
            </w:r>
          </w:p>
          <w:p w14:paraId="216582BD" w14:textId="77777777" w:rsidR="00131025" w:rsidRDefault="00131025" w:rsidP="00131025">
            <w:pPr>
              <w:jc w:val="both"/>
              <w:rPr>
                <w:rFonts w:ascii="Arial" w:hAnsi="Arial" w:cs="Arial"/>
                <w:b/>
                <w:lang w:val="es-MX"/>
              </w:rPr>
            </w:pPr>
            <w:r>
              <w:rPr>
                <w:rFonts w:ascii="Arial" w:hAnsi="Arial" w:cs="Arial"/>
                <w:b/>
                <w:lang w:val="es-MX"/>
              </w:rPr>
              <w:t>INVERSIÓN</w:t>
            </w:r>
          </w:p>
          <w:p w14:paraId="4E553F16" w14:textId="77777777" w:rsidR="00131025" w:rsidRDefault="00131025" w:rsidP="00131025">
            <w:pPr>
              <w:jc w:val="both"/>
              <w:rPr>
                <w:rFonts w:ascii="Arial" w:hAnsi="Arial" w:cs="Arial"/>
                <w:b/>
                <w:lang w:val="es-MX"/>
              </w:rPr>
            </w:pPr>
          </w:p>
          <w:p w14:paraId="564C5563" w14:textId="37621233" w:rsidR="00131025" w:rsidRPr="00891565" w:rsidRDefault="00131025" w:rsidP="00131025">
            <w:pPr>
              <w:jc w:val="both"/>
              <w:rPr>
                <w:rFonts w:ascii="Arial" w:hAnsi="Arial" w:cs="Arial"/>
                <w:b/>
                <w:lang w:val="es-MX"/>
              </w:rPr>
            </w:pPr>
            <w:r>
              <w:rPr>
                <w:rFonts w:ascii="Arial" w:hAnsi="Arial" w:cs="Arial"/>
                <w:b/>
                <w:lang w:val="es-MX"/>
              </w:rPr>
              <w:t>TOTAL PRESUPUESTO</w:t>
            </w:r>
          </w:p>
        </w:tc>
        <w:tc>
          <w:tcPr>
            <w:tcW w:w="1839" w:type="dxa"/>
          </w:tcPr>
          <w:p w14:paraId="4A9F7172" w14:textId="77777777" w:rsidR="00131025" w:rsidRDefault="00131025" w:rsidP="00042E94">
            <w:pPr>
              <w:jc w:val="center"/>
              <w:rPr>
                <w:rFonts w:ascii="Arial" w:eastAsia="Calibri" w:hAnsi="Arial" w:cs="Arial"/>
                <w:b/>
                <w:u w:val="single"/>
              </w:rPr>
            </w:pPr>
          </w:p>
          <w:p w14:paraId="029460B9" w14:textId="77777777" w:rsidR="00131025" w:rsidRDefault="00131025" w:rsidP="00042E94">
            <w:pPr>
              <w:jc w:val="center"/>
              <w:rPr>
                <w:rFonts w:ascii="Arial" w:eastAsia="Calibri" w:hAnsi="Arial" w:cs="Arial"/>
                <w:b/>
                <w:u w:val="single"/>
              </w:rPr>
            </w:pPr>
          </w:p>
          <w:p w14:paraId="275DC85C" w14:textId="77777777" w:rsidR="00131025" w:rsidRDefault="00131025" w:rsidP="00042E94">
            <w:pPr>
              <w:jc w:val="center"/>
              <w:rPr>
                <w:rFonts w:ascii="Arial" w:eastAsia="Calibri" w:hAnsi="Arial" w:cs="Arial"/>
                <w:b/>
                <w:u w:val="single"/>
              </w:rPr>
            </w:pPr>
          </w:p>
          <w:p w14:paraId="4001B768" w14:textId="1F34B46F" w:rsidR="00131025" w:rsidRDefault="00131025" w:rsidP="00042E94">
            <w:pPr>
              <w:jc w:val="center"/>
              <w:rPr>
                <w:rFonts w:ascii="Arial" w:eastAsia="Calibri" w:hAnsi="Arial" w:cs="Arial"/>
                <w:b/>
                <w:u w:val="single"/>
              </w:rPr>
            </w:pPr>
            <w:r>
              <w:rPr>
                <w:rFonts w:ascii="Arial" w:eastAsia="Calibri" w:hAnsi="Arial" w:cs="Arial"/>
                <w:b/>
                <w:u w:val="single"/>
              </w:rPr>
              <w:t>94.00%</w:t>
            </w:r>
          </w:p>
          <w:p w14:paraId="3C49BD38" w14:textId="60D7669B" w:rsidR="00131025" w:rsidRDefault="00131025" w:rsidP="00042E94">
            <w:pPr>
              <w:jc w:val="center"/>
              <w:rPr>
                <w:rFonts w:ascii="Arial" w:eastAsia="Calibri" w:hAnsi="Arial" w:cs="Arial"/>
                <w:b/>
                <w:u w:val="single"/>
              </w:rPr>
            </w:pPr>
            <w:r>
              <w:rPr>
                <w:rFonts w:ascii="Arial" w:eastAsia="Calibri" w:hAnsi="Arial" w:cs="Arial"/>
                <w:b/>
                <w:u w:val="single"/>
              </w:rPr>
              <w:t>92.00%</w:t>
            </w:r>
          </w:p>
          <w:p w14:paraId="5F90C8B9" w14:textId="77777777" w:rsidR="00131025" w:rsidRDefault="00131025" w:rsidP="00042E94">
            <w:pPr>
              <w:jc w:val="center"/>
              <w:rPr>
                <w:rFonts w:ascii="Arial" w:eastAsia="Calibri" w:hAnsi="Arial" w:cs="Arial"/>
                <w:b/>
                <w:u w:val="single"/>
              </w:rPr>
            </w:pPr>
          </w:p>
          <w:p w14:paraId="49749393" w14:textId="78942DFA" w:rsidR="00131025" w:rsidRDefault="00131025" w:rsidP="00042E94">
            <w:pPr>
              <w:jc w:val="center"/>
              <w:rPr>
                <w:rFonts w:ascii="Arial" w:eastAsia="Calibri" w:hAnsi="Arial" w:cs="Arial"/>
                <w:b/>
                <w:u w:val="single"/>
              </w:rPr>
            </w:pPr>
            <w:r>
              <w:rPr>
                <w:rFonts w:ascii="Arial" w:eastAsia="Calibri" w:hAnsi="Arial" w:cs="Arial"/>
                <w:b/>
                <w:u w:val="single"/>
              </w:rPr>
              <w:t>93.00%</w:t>
            </w:r>
          </w:p>
        </w:tc>
        <w:tc>
          <w:tcPr>
            <w:tcW w:w="1804" w:type="dxa"/>
          </w:tcPr>
          <w:p w14:paraId="252673AF" w14:textId="77777777" w:rsidR="00131025" w:rsidRDefault="00131025" w:rsidP="00042E94">
            <w:pPr>
              <w:jc w:val="center"/>
              <w:rPr>
                <w:rFonts w:ascii="Arial" w:eastAsia="Calibri" w:hAnsi="Arial" w:cs="Arial"/>
                <w:b/>
                <w:u w:val="single"/>
              </w:rPr>
            </w:pPr>
          </w:p>
          <w:p w14:paraId="1FD62A94" w14:textId="77777777" w:rsidR="00131025" w:rsidRDefault="00131025" w:rsidP="00042E94">
            <w:pPr>
              <w:jc w:val="center"/>
              <w:rPr>
                <w:rFonts w:ascii="Arial" w:eastAsia="Calibri" w:hAnsi="Arial" w:cs="Arial"/>
                <w:b/>
                <w:u w:val="single"/>
              </w:rPr>
            </w:pPr>
          </w:p>
          <w:p w14:paraId="19FFA8C7" w14:textId="77777777" w:rsidR="00131025" w:rsidRDefault="00131025" w:rsidP="00042E94">
            <w:pPr>
              <w:jc w:val="center"/>
              <w:rPr>
                <w:rFonts w:ascii="Arial" w:eastAsia="Calibri" w:hAnsi="Arial" w:cs="Arial"/>
                <w:b/>
                <w:u w:val="single"/>
              </w:rPr>
            </w:pPr>
          </w:p>
          <w:p w14:paraId="4E78DE0F" w14:textId="377F75E0" w:rsidR="00131025" w:rsidRDefault="00131025" w:rsidP="00042E94">
            <w:pPr>
              <w:jc w:val="center"/>
              <w:rPr>
                <w:rFonts w:ascii="Arial" w:eastAsia="Calibri" w:hAnsi="Arial" w:cs="Arial"/>
                <w:b/>
                <w:u w:val="single"/>
              </w:rPr>
            </w:pPr>
            <w:r>
              <w:rPr>
                <w:rFonts w:ascii="Arial" w:eastAsia="Calibri" w:hAnsi="Arial" w:cs="Arial"/>
                <w:b/>
                <w:u w:val="single"/>
              </w:rPr>
              <w:t>92.00%</w:t>
            </w:r>
          </w:p>
          <w:p w14:paraId="29E236DD" w14:textId="0F84AD89" w:rsidR="00131025" w:rsidRDefault="00131025" w:rsidP="00042E94">
            <w:pPr>
              <w:jc w:val="center"/>
              <w:rPr>
                <w:rFonts w:ascii="Arial" w:eastAsia="Calibri" w:hAnsi="Arial" w:cs="Arial"/>
                <w:b/>
                <w:u w:val="single"/>
              </w:rPr>
            </w:pPr>
            <w:r>
              <w:rPr>
                <w:rFonts w:ascii="Arial" w:eastAsia="Calibri" w:hAnsi="Arial" w:cs="Arial"/>
                <w:b/>
                <w:u w:val="single"/>
              </w:rPr>
              <w:t>85.00%</w:t>
            </w:r>
          </w:p>
          <w:p w14:paraId="7AE9E87C" w14:textId="77777777" w:rsidR="00131025" w:rsidRDefault="00131025" w:rsidP="00042E94">
            <w:pPr>
              <w:jc w:val="center"/>
              <w:rPr>
                <w:rFonts w:ascii="Arial" w:eastAsia="Calibri" w:hAnsi="Arial" w:cs="Arial"/>
                <w:b/>
                <w:u w:val="single"/>
              </w:rPr>
            </w:pPr>
          </w:p>
          <w:p w14:paraId="184E5BBA" w14:textId="4BA8C491" w:rsidR="00131025" w:rsidRDefault="00131025" w:rsidP="00042E94">
            <w:pPr>
              <w:jc w:val="center"/>
              <w:rPr>
                <w:rFonts w:ascii="Arial" w:eastAsia="Calibri" w:hAnsi="Arial" w:cs="Arial"/>
                <w:b/>
                <w:u w:val="single"/>
              </w:rPr>
            </w:pPr>
            <w:r>
              <w:rPr>
                <w:rFonts w:ascii="Arial" w:eastAsia="Calibri" w:hAnsi="Arial" w:cs="Arial"/>
                <w:b/>
                <w:u w:val="single"/>
              </w:rPr>
              <w:t>88.00%</w:t>
            </w:r>
          </w:p>
        </w:tc>
        <w:tc>
          <w:tcPr>
            <w:tcW w:w="2042" w:type="dxa"/>
          </w:tcPr>
          <w:p w14:paraId="6F4C359E" w14:textId="77777777" w:rsidR="00131025" w:rsidRDefault="00131025" w:rsidP="00042E94">
            <w:pPr>
              <w:jc w:val="center"/>
              <w:rPr>
                <w:rFonts w:ascii="Arial" w:eastAsia="Calibri" w:hAnsi="Arial" w:cs="Arial"/>
                <w:b/>
                <w:u w:val="single"/>
              </w:rPr>
            </w:pPr>
          </w:p>
          <w:p w14:paraId="15641203" w14:textId="77777777" w:rsidR="00131025" w:rsidRDefault="00131025" w:rsidP="00042E94">
            <w:pPr>
              <w:jc w:val="center"/>
              <w:rPr>
                <w:rFonts w:ascii="Arial" w:eastAsia="Calibri" w:hAnsi="Arial" w:cs="Arial"/>
                <w:b/>
                <w:u w:val="single"/>
              </w:rPr>
            </w:pPr>
          </w:p>
          <w:p w14:paraId="7F100955" w14:textId="77777777" w:rsidR="00131025" w:rsidRDefault="00131025" w:rsidP="00042E94">
            <w:pPr>
              <w:jc w:val="center"/>
              <w:rPr>
                <w:rFonts w:ascii="Arial" w:eastAsia="Calibri" w:hAnsi="Arial" w:cs="Arial"/>
                <w:b/>
                <w:u w:val="single"/>
              </w:rPr>
            </w:pPr>
          </w:p>
          <w:p w14:paraId="17D6043E" w14:textId="25DB35AC" w:rsidR="00131025" w:rsidRDefault="00131025" w:rsidP="00042E94">
            <w:pPr>
              <w:jc w:val="center"/>
              <w:rPr>
                <w:rFonts w:ascii="Arial" w:eastAsia="Calibri" w:hAnsi="Arial" w:cs="Arial"/>
                <w:b/>
                <w:u w:val="single"/>
              </w:rPr>
            </w:pPr>
            <w:r>
              <w:rPr>
                <w:rFonts w:ascii="Arial" w:eastAsia="Calibri" w:hAnsi="Arial" w:cs="Arial"/>
                <w:b/>
                <w:u w:val="single"/>
              </w:rPr>
              <w:t>91.00%</w:t>
            </w:r>
          </w:p>
          <w:p w14:paraId="6A87527D" w14:textId="2789299F" w:rsidR="00131025" w:rsidRDefault="00131025" w:rsidP="00042E94">
            <w:pPr>
              <w:jc w:val="center"/>
              <w:rPr>
                <w:rFonts w:ascii="Arial" w:eastAsia="Calibri" w:hAnsi="Arial" w:cs="Arial"/>
                <w:b/>
                <w:u w:val="single"/>
              </w:rPr>
            </w:pPr>
            <w:r>
              <w:rPr>
                <w:rFonts w:ascii="Arial" w:eastAsia="Calibri" w:hAnsi="Arial" w:cs="Arial"/>
                <w:b/>
                <w:u w:val="single"/>
              </w:rPr>
              <w:t>76.00%</w:t>
            </w:r>
          </w:p>
          <w:p w14:paraId="618AB3FF" w14:textId="77777777" w:rsidR="00131025" w:rsidRDefault="00131025" w:rsidP="00042E94">
            <w:pPr>
              <w:jc w:val="center"/>
              <w:rPr>
                <w:rFonts w:ascii="Arial" w:eastAsia="Calibri" w:hAnsi="Arial" w:cs="Arial"/>
                <w:b/>
                <w:u w:val="single"/>
              </w:rPr>
            </w:pPr>
          </w:p>
          <w:p w14:paraId="1121A293" w14:textId="6E8171CF" w:rsidR="00131025" w:rsidRDefault="00131025" w:rsidP="00042E94">
            <w:pPr>
              <w:jc w:val="center"/>
              <w:rPr>
                <w:rFonts w:ascii="Arial" w:eastAsia="Calibri" w:hAnsi="Arial" w:cs="Arial"/>
                <w:b/>
                <w:u w:val="single"/>
              </w:rPr>
            </w:pPr>
            <w:r>
              <w:rPr>
                <w:rFonts w:ascii="Arial" w:eastAsia="Calibri" w:hAnsi="Arial" w:cs="Arial"/>
                <w:b/>
                <w:u w:val="single"/>
              </w:rPr>
              <w:t>82.00%</w:t>
            </w:r>
          </w:p>
        </w:tc>
      </w:tr>
      <w:tr w:rsidR="00AD7546" w:rsidRPr="004B1294" w14:paraId="6BCB9DB3" w14:textId="77777777" w:rsidTr="00042E94">
        <w:tc>
          <w:tcPr>
            <w:tcW w:w="1550" w:type="dxa"/>
          </w:tcPr>
          <w:p w14:paraId="618DED29" w14:textId="43656FD4" w:rsidR="00AD7546" w:rsidRDefault="00AD7546" w:rsidP="00042E94">
            <w:pPr>
              <w:jc w:val="center"/>
              <w:rPr>
                <w:rFonts w:ascii="Arial" w:hAnsi="Arial" w:cs="Arial"/>
                <w:b/>
              </w:rPr>
            </w:pPr>
            <w:r>
              <w:rPr>
                <w:rFonts w:ascii="Arial" w:hAnsi="Arial" w:cs="Arial"/>
                <w:b/>
              </w:rPr>
              <w:t>300</w:t>
            </w:r>
          </w:p>
        </w:tc>
        <w:tc>
          <w:tcPr>
            <w:tcW w:w="3255" w:type="dxa"/>
          </w:tcPr>
          <w:p w14:paraId="7D6DBA35" w14:textId="602DF5BF" w:rsidR="00AD7546" w:rsidRPr="00AD7546" w:rsidRDefault="00AD7546" w:rsidP="00AD7546">
            <w:pPr>
              <w:jc w:val="both"/>
              <w:rPr>
                <w:rFonts w:ascii="Arial" w:hAnsi="Arial" w:cs="Arial"/>
                <w:b/>
                <w:lang w:val="es-MX"/>
              </w:rPr>
            </w:pPr>
            <w:r w:rsidRPr="00AD7546">
              <w:rPr>
                <w:rFonts w:ascii="Arial" w:hAnsi="Arial" w:cs="Arial"/>
                <w:b/>
                <w:lang w:val="es-MX"/>
              </w:rPr>
              <w:t>SUPERINTENDENCIA DE LA ECONOMIA SOLIDARIA - SUPERSOLIDARIA.</w:t>
            </w:r>
          </w:p>
          <w:p w14:paraId="36578849" w14:textId="77777777" w:rsidR="00AD7546" w:rsidRPr="00AD7546" w:rsidRDefault="00AD7546" w:rsidP="00131025">
            <w:pPr>
              <w:jc w:val="both"/>
              <w:rPr>
                <w:rFonts w:ascii="Arial" w:hAnsi="Arial" w:cs="Arial"/>
                <w:b/>
              </w:rPr>
            </w:pPr>
          </w:p>
          <w:p w14:paraId="28F8EF5B" w14:textId="77777777" w:rsidR="00AD7546" w:rsidRDefault="00AD7546" w:rsidP="00AD7546">
            <w:pPr>
              <w:jc w:val="both"/>
              <w:rPr>
                <w:rFonts w:ascii="Arial" w:hAnsi="Arial" w:cs="Arial"/>
                <w:b/>
                <w:lang w:val="es-MX"/>
              </w:rPr>
            </w:pPr>
            <w:r>
              <w:rPr>
                <w:rFonts w:ascii="Arial" w:hAnsi="Arial" w:cs="Arial"/>
                <w:b/>
                <w:lang w:val="es-MX"/>
              </w:rPr>
              <w:t>FUNCIONAMIENTO</w:t>
            </w:r>
          </w:p>
          <w:p w14:paraId="7103488D" w14:textId="77777777" w:rsidR="00AD7546" w:rsidRDefault="00AD7546" w:rsidP="00AD7546">
            <w:pPr>
              <w:jc w:val="both"/>
              <w:rPr>
                <w:rFonts w:ascii="Arial" w:hAnsi="Arial" w:cs="Arial"/>
                <w:b/>
                <w:lang w:val="es-MX"/>
              </w:rPr>
            </w:pPr>
            <w:r>
              <w:rPr>
                <w:rFonts w:ascii="Arial" w:hAnsi="Arial" w:cs="Arial"/>
                <w:b/>
                <w:lang w:val="es-MX"/>
              </w:rPr>
              <w:t>INVERSIÓN</w:t>
            </w:r>
          </w:p>
          <w:p w14:paraId="260348E7" w14:textId="77777777" w:rsidR="00AD7546" w:rsidRDefault="00AD7546" w:rsidP="00AD7546">
            <w:pPr>
              <w:jc w:val="both"/>
              <w:rPr>
                <w:rFonts w:ascii="Arial" w:hAnsi="Arial" w:cs="Arial"/>
                <w:b/>
                <w:lang w:val="es-MX"/>
              </w:rPr>
            </w:pPr>
          </w:p>
          <w:p w14:paraId="1CD03209" w14:textId="67108D2C" w:rsidR="00AD7546" w:rsidRPr="00AD7546" w:rsidRDefault="00AD7546" w:rsidP="00AD7546">
            <w:pPr>
              <w:jc w:val="both"/>
              <w:rPr>
                <w:rFonts w:ascii="Arial" w:hAnsi="Arial" w:cs="Arial"/>
                <w:b/>
              </w:rPr>
            </w:pPr>
            <w:r>
              <w:rPr>
                <w:rFonts w:ascii="Arial" w:hAnsi="Arial" w:cs="Arial"/>
                <w:b/>
                <w:lang w:val="es-MX"/>
              </w:rPr>
              <w:t>TOTAL PRESUPUESTO</w:t>
            </w:r>
          </w:p>
        </w:tc>
        <w:tc>
          <w:tcPr>
            <w:tcW w:w="1839" w:type="dxa"/>
          </w:tcPr>
          <w:p w14:paraId="2F5BA150" w14:textId="77777777" w:rsidR="00AD7546" w:rsidRDefault="00AD7546" w:rsidP="00042E94">
            <w:pPr>
              <w:jc w:val="center"/>
              <w:rPr>
                <w:rFonts w:ascii="Arial" w:eastAsia="Calibri" w:hAnsi="Arial" w:cs="Arial"/>
                <w:b/>
                <w:u w:val="single"/>
              </w:rPr>
            </w:pPr>
          </w:p>
          <w:p w14:paraId="129D3213" w14:textId="77777777" w:rsidR="00AD7546" w:rsidRDefault="00AD7546" w:rsidP="00042E94">
            <w:pPr>
              <w:jc w:val="center"/>
              <w:rPr>
                <w:rFonts w:ascii="Arial" w:eastAsia="Calibri" w:hAnsi="Arial" w:cs="Arial"/>
                <w:b/>
                <w:u w:val="single"/>
              </w:rPr>
            </w:pPr>
          </w:p>
          <w:p w14:paraId="392A0A0A" w14:textId="77777777" w:rsidR="00AD7546" w:rsidRDefault="00AD7546" w:rsidP="00042E94">
            <w:pPr>
              <w:jc w:val="center"/>
              <w:rPr>
                <w:rFonts w:ascii="Arial" w:eastAsia="Calibri" w:hAnsi="Arial" w:cs="Arial"/>
                <w:b/>
                <w:u w:val="single"/>
              </w:rPr>
            </w:pPr>
          </w:p>
          <w:p w14:paraId="6FD59ACF" w14:textId="77777777" w:rsidR="00AD7546" w:rsidRDefault="00AD7546" w:rsidP="00042E94">
            <w:pPr>
              <w:jc w:val="center"/>
              <w:rPr>
                <w:rFonts w:ascii="Arial" w:eastAsia="Calibri" w:hAnsi="Arial" w:cs="Arial"/>
                <w:b/>
                <w:u w:val="single"/>
              </w:rPr>
            </w:pPr>
          </w:p>
          <w:p w14:paraId="6AB01732" w14:textId="52BA2B9D" w:rsidR="00AD7546" w:rsidRDefault="00AD7546" w:rsidP="00042E94">
            <w:pPr>
              <w:jc w:val="center"/>
              <w:rPr>
                <w:rFonts w:ascii="Arial" w:eastAsia="Calibri" w:hAnsi="Arial" w:cs="Arial"/>
                <w:b/>
                <w:u w:val="single"/>
              </w:rPr>
            </w:pPr>
            <w:r>
              <w:rPr>
                <w:rFonts w:ascii="Arial" w:eastAsia="Calibri" w:hAnsi="Arial" w:cs="Arial"/>
                <w:b/>
                <w:u w:val="single"/>
              </w:rPr>
              <w:t>85.91%</w:t>
            </w:r>
          </w:p>
          <w:p w14:paraId="65AF742B" w14:textId="37C4D96A" w:rsidR="00AD7546" w:rsidRDefault="00AD7546" w:rsidP="00042E94">
            <w:pPr>
              <w:jc w:val="center"/>
              <w:rPr>
                <w:rFonts w:ascii="Arial" w:eastAsia="Calibri" w:hAnsi="Arial" w:cs="Arial"/>
                <w:b/>
                <w:u w:val="single"/>
              </w:rPr>
            </w:pPr>
            <w:r>
              <w:rPr>
                <w:rFonts w:ascii="Arial" w:eastAsia="Calibri" w:hAnsi="Arial" w:cs="Arial"/>
                <w:b/>
                <w:u w:val="single"/>
              </w:rPr>
              <w:t>93.88%</w:t>
            </w:r>
          </w:p>
          <w:p w14:paraId="3F34DF1E" w14:textId="77777777" w:rsidR="00AD7546" w:rsidRDefault="00AD7546" w:rsidP="00042E94">
            <w:pPr>
              <w:jc w:val="center"/>
              <w:rPr>
                <w:rFonts w:ascii="Arial" w:eastAsia="Calibri" w:hAnsi="Arial" w:cs="Arial"/>
                <w:b/>
                <w:u w:val="single"/>
              </w:rPr>
            </w:pPr>
          </w:p>
          <w:p w14:paraId="7A1C4B92" w14:textId="107D52BF" w:rsidR="00AD7546" w:rsidRDefault="00AD7546" w:rsidP="00042E94">
            <w:pPr>
              <w:jc w:val="center"/>
              <w:rPr>
                <w:rFonts w:ascii="Arial" w:eastAsia="Calibri" w:hAnsi="Arial" w:cs="Arial"/>
                <w:b/>
                <w:u w:val="single"/>
              </w:rPr>
            </w:pPr>
            <w:r>
              <w:rPr>
                <w:rFonts w:ascii="Arial" w:eastAsia="Calibri" w:hAnsi="Arial" w:cs="Arial"/>
                <w:b/>
                <w:u w:val="single"/>
              </w:rPr>
              <w:t>89.97%</w:t>
            </w:r>
          </w:p>
        </w:tc>
        <w:tc>
          <w:tcPr>
            <w:tcW w:w="1804" w:type="dxa"/>
          </w:tcPr>
          <w:p w14:paraId="0C05A659" w14:textId="77777777" w:rsidR="00AD7546" w:rsidRDefault="00AD7546" w:rsidP="00042E94">
            <w:pPr>
              <w:jc w:val="center"/>
              <w:rPr>
                <w:rFonts w:ascii="Arial" w:eastAsia="Calibri" w:hAnsi="Arial" w:cs="Arial"/>
                <w:b/>
                <w:u w:val="single"/>
              </w:rPr>
            </w:pPr>
          </w:p>
          <w:p w14:paraId="45AFA07C" w14:textId="77777777" w:rsidR="00AD7546" w:rsidRDefault="00AD7546" w:rsidP="00042E94">
            <w:pPr>
              <w:jc w:val="center"/>
              <w:rPr>
                <w:rFonts w:ascii="Arial" w:eastAsia="Calibri" w:hAnsi="Arial" w:cs="Arial"/>
                <w:b/>
                <w:u w:val="single"/>
              </w:rPr>
            </w:pPr>
          </w:p>
          <w:p w14:paraId="60AD43BB" w14:textId="77777777" w:rsidR="00AD7546" w:rsidRDefault="00AD7546" w:rsidP="00042E94">
            <w:pPr>
              <w:jc w:val="center"/>
              <w:rPr>
                <w:rFonts w:ascii="Arial" w:eastAsia="Calibri" w:hAnsi="Arial" w:cs="Arial"/>
                <w:b/>
                <w:u w:val="single"/>
              </w:rPr>
            </w:pPr>
          </w:p>
          <w:p w14:paraId="59A99B15" w14:textId="77777777" w:rsidR="00AD7546" w:rsidRDefault="00AD7546" w:rsidP="00042E94">
            <w:pPr>
              <w:jc w:val="center"/>
              <w:rPr>
                <w:rFonts w:ascii="Arial" w:eastAsia="Calibri" w:hAnsi="Arial" w:cs="Arial"/>
                <w:b/>
                <w:u w:val="single"/>
              </w:rPr>
            </w:pPr>
          </w:p>
          <w:p w14:paraId="159DFE06" w14:textId="27FDB6EE" w:rsidR="00AD7546" w:rsidRDefault="00AD7546" w:rsidP="00042E94">
            <w:pPr>
              <w:jc w:val="center"/>
              <w:rPr>
                <w:rFonts w:ascii="Arial" w:eastAsia="Calibri" w:hAnsi="Arial" w:cs="Arial"/>
                <w:b/>
                <w:u w:val="single"/>
              </w:rPr>
            </w:pPr>
            <w:r>
              <w:rPr>
                <w:rFonts w:ascii="Arial" w:eastAsia="Calibri" w:hAnsi="Arial" w:cs="Arial"/>
                <w:b/>
                <w:u w:val="single"/>
              </w:rPr>
              <w:t>85.21%</w:t>
            </w:r>
          </w:p>
          <w:p w14:paraId="13A9BE58" w14:textId="4446F0ED" w:rsidR="00AD7546" w:rsidRDefault="00AD7546" w:rsidP="00042E94">
            <w:pPr>
              <w:jc w:val="center"/>
              <w:rPr>
                <w:rFonts w:ascii="Arial" w:eastAsia="Calibri" w:hAnsi="Arial" w:cs="Arial"/>
                <w:b/>
                <w:u w:val="single"/>
              </w:rPr>
            </w:pPr>
            <w:r>
              <w:rPr>
                <w:rFonts w:ascii="Arial" w:eastAsia="Calibri" w:hAnsi="Arial" w:cs="Arial"/>
                <w:b/>
                <w:u w:val="single"/>
              </w:rPr>
              <w:t>92.63%</w:t>
            </w:r>
          </w:p>
          <w:p w14:paraId="4FE2FF27" w14:textId="77777777" w:rsidR="00AD7546" w:rsidRDefault="00AD7546" w:rsidP="00042E94">
            <w:pPr>
              <w:jc w:val="center"/>
              <w:rPr>
                <w:rFonts w:ascii="Arial" w:eastAsia="Calibri" w:hAnsi="Arial" w:cs="Arial"/>
                <w:b/>
                <w:u w:val="single"/>
              </w:rPr>
            </w:pPr>
          </w:p>
          <w:p w14:paraId="2A8C2B1C" w14:textId="40905F7A" w:rsidR="00AD7546" w:rsidRDefault="00AD7546" w:rsidP="00042E94">
            <w:pPr>
              <w:jc w:val="center"/>
              <w:rPr>
                <w:rFonts w:ascii="Arial" w:eastAsia="Calibri" w:hAnsi="Arial" w:cs="Arial"/>
                <w:b/>
                <w:u w:val="single"/>
              </w:rPr>
            </w:pPr>
            <w:r>
              <w:rPr>
                <w:rFonts w:ascii="Arial" w:eastAsia="Calibri" w:hAnsi="Arial" w:cs="Arial"/>
                <w:b/>
                <w:u w:val="single"/>
              </w:rPr>
              <w:t>88.99%</w:t>
            </w:r>
          </w:p>
        </w:tc>
        <w:tc>
          <w:tcPr>
            <w:tcW w:w="2042" w:type="dxa"/>
          </w:tcPr>
          <w:p w14:paraId="4930EED8" w14:textId="77777777" w:rsidR="00AD7546" w:rsidRDefault="00AD7546" w:rsidP="00042E94">
            <w:pPr>
              <w:jc w:val="center"/>
              <w:rPr>
                <w:rFonts w:ascii="Arial" w:eastAsia="Calibri" w:hAnsi="Arial" w:cs="Arial"/>
                <w:b/>
                <w:u w:val="single"/>
              </w:rPr>
            </w:pPr>
          </w:p>
          <w:p w14:paraId="5B558E98" w14:textId="77777777" w:rsidR="00AD7546" w:rsidRDefault="00AD7546" w:rsidP="00042E94">
            <w:pPr>
              <w:jc w:val="center"/>
              <w:rPr>
                <w:rFonts w:ascii="Arial" w:eastAsia="Calibri" w:hAnsi="Arial" w:cs="Arial"/>
                <w:b/>
                <w:u w:val="single"/>
              </w:rPr>
            </w:pPr>
          </w:p>
          <w:p w14:paraId="123C93E2" w14:textId="77777777" w:rsidR="00AD7546" w:rsidRDefault="00AD7546" w:rsidP="00042E94">
            <w:pPr>
              <w:jc w:val="center"/>
              <w:rPr>
                <w:rFonts w:ascii="Arial" w:eastAsia="Calibri" w:hAnsi="Arial" w:cs="Arial"/>
                <w:b/>
                <w:u w:val="single"/>
              </w:rPr>
            </w:pPr>
          </w:p>
          <w:p w14:paraId="1E2DFA79" w14:textId="77777777" w:rsidR="00AD7546" w:rsidRDefault="00AD7546" w:rsidP="00042E94">
            <w:pPr>
              <w:jc w:val="center"/>
              <w:rPr>
                <w:rFonts w:ascii="Arial" w:eastAsia="Calibri" w:hAnsi="Arial" w:cs="Arial"/>
                <w:b/>
                <w:u w:val="single"/>
              </w:rPr>
            </w:pPr>
          </w:p>
          <w:p w14:paraId="322CE3E9" w14:textId="7F5AEFF1" w:rsidR="00AD7546" w:rsidRDefault="00AD7546" w:rsidP="00042E94">
            <w:pPr>
              <w:jc w:val="center"/>
              <w:rPr>
                <w:rFonts w:ascii="Arial" w:eastAsia="Calibri" w:hAnsi="Arial" w:cs="Arial"/>
                <w:b/>
                <w:u w:val="single"/>
              </w:rPr>
            </w:pPr>
            <w:r>
              <w:rPr>
                <w:rFonts w:ascii="Arial" w:eastAsia="Calibri" w:hAnsi="Arial" w:cs="Arial"/>
                <w:b/>
                <w:u w:val="single"/>
              </w:rPr>
              <w:t>84.83%</w:t>
            </w:r>
          </w:p>
          <w:p w14:paraId="78CE510F" w14:textId="55B6B742" w:rsidR="00AD7546" w:rsidRDefault="00AD7546" w:rsidP="00042E94">
            <w:pPr>
              <w:jc w:val="center"/>
              <w:rPr>
                <w:rFonts w:ascii="Arial" w:eastAsia="Calibri" w:hAnsi="Arial" w:cs="Arial"/>
                <w:b/>
                <w:u w:val="single"/>
              </w:rPr>
            </w:pPr>
            <w:r>
              <w:rPr>
                <w:rFonts w:ascii="Arial" w:eastAsia="Calibri" w:hAnsi="Arial" w:cs="Arial"/>
                <w:b/>
                <w:u w:val="single"/>
              </w:rPr>
              <w:t>75.81%</w:t>
            </w:r>
          </w:p>
          <w:p w14:paraId="4E8C4C23" w14:textId="77777777" w:rsidR="00AD7546" w:rsidRDefault="00AD7546" w:rsidP="00042E94">
            <w:pPr>
              <w:jc w:val="center"/>
              <w:rPr>
                <w:rFonts w:ascii="Arial" w:eastAsia="Calibri" w:hAnsi="Arial" w:cs="Arial"/>
                <w:b/>
                <w:u w:val="single"/>
              </w:rPr>
            </w:pPr>
          </w:p>
          <w:p w14:paraId="5E5E8971" w14:textId="20ACCCD2" w:rsidR="00AD7546" w:rsidRDefault="00AD7546" w:rsidP="00042E94">
            <w:pPr>
              <w:jc w:val="center"/>
              <w:rPr>
                <w:rFonts w:ascii="Arial" w:eastAsia="Calibri" w:hAnsi="Arial" w:cs="Arial"/>
                <w:b/>
                <w:u w:val="single"/>
              </w:rPr>
            </w:pPr>
            <w:r>
              <w:rPr>
                <w:rFonts w:ascii="Arial" w:eastAsia="Calibri" w:hAnsi="Arial" w:cs="Arial"/>
                <w:b/>
                <w:u w:val="single"/>
              </w:rPr>
              <w:t>80.24%</w:t>
            </w:r>
          </w:p>
        </w:tc>
      </w:tr>
      <w:tr w:rsidR="005C4F76" w:rsidRPr="004B1294" w14:paraId="6ED73C0D" w14:textId="77777777" w:rsidTr="00042E94">
        <w:tc>
          <w:tcPr>
            <w:tcW w:w="1550" w:type="dxa"/>
          </w:tcPr>
          <w:p w14:paraId="311791A5" w14:textId="7C674B03" w:rsidR="005C4F76" w:rsidRDefault="005C4F76" w:rsidP="00042E94">
            <w:pPr>
              <w:jc w:val="center"/>
              <w:rPr>
                <w:rFonts w:ascii="Arial" w:hAnsi="Arial" w:cs="Arial"/>
                <w:b/>
              </w:rPr>
            </w:pPr>
            <w:r>
              <w:rPr>
                <w:rFonts w:ascii="Arial" w:hAnsi="Arial" w:cs="Arial"/>
                <w:b/>
              </w:rPr>
              <w:t>302</w:t>
            </w:r>
          </w:p>
        </w:tc>
        <w:tc>
          <w:tcPr>
            <w:tcW w:w="3255" w:type="dxa"/>
          </w:tcPr>
          <w:p w14:paraId="5227B136" w14:textId="452CBEA2" w:rsidR="005C4F76" w:rsidRPr="005C4F76" w:rsidRDefault="005C4F76" w:rsidP="005C4F76">
            <w:pPr>
              <w:jc w:val="both"/>
              <w:rPr>
                <w:rFonts w:ascii="Arial" w:hAnsi="Arial" w:cs="Arial"/>
                <w:b/>
                <w:lang w:val="es-MX"/>
              </w:rPr>
            </w:pPr>
            <w:r w:rsidRPr="005C4F76">
              <w:rPr>
                <w:rFonts w:ascii="Arial" w:hAnsi="Arial" w:cs="Arial"/>
                <w:b/>
                <w:lang w:val="es-MX"/>
              </w:rPr>
              <w:t>MINISTERIO DE SALUD Y PROTECCIÓN SOCIAL.</w:t>
            </w:r>
          </w:p>
          <w:p w14:paraId="57C6536F" w14:textId="77777777" w:rsidR="005C4F76" w:rsidRPr="005C4F76" w:rsidRDefault="005C4F76" w:rsidP="005C4F76">
            <w:pPr>
              <w:jc w:val="both"/>
              <w:rPr>
                <w:rFonts w:ascii="Arial" w:hAnsi="Arial" w:cs="Arial"/>
                <w:b/>
                <w:lang w:val="es-MX"/>
              </w:rPr>
            </w:pPr>
          </w:p>
          <w:p w14:paraId="5DCBC445" w14:textId="77777777" w:rsidR="005C4F76" w:rsidRDefault="005C4F76" w:rsidP="005C4F76">
            <w:pPr>
              <w:jc w:val="both"/>
              <w:rPr>
                <w:rFonts w:ascii="Arial" w:hAnsi="Arial" w:cs="Arial"/>
                <w:b/>
                <w:lang w:val="es-MX"/>
              </w:rPr>
            </w:pPr>
            <w:r>
              <w:rPr>
                <w:rFonts w:ascii="Arial" w:hAnsi="Arial" w:cs="Arial"/>
                <w:b/>
                <w:lang w:val="es-MX"/>
              </w:rPr>
              <w:t>FUNCIONAMIENTO</w:t>
            </w:r>
          </w:p>
          <w:p w14:paraId="6D357FA7" w14:textId="77777777" w:rsidR="005C4F76" w:rsidRDefault="005C4F76" w:rsidP="005C4F76">
            <w:pPr>
              <w:jc w:val="both"/>
              <w:rPr>
                <w:rFonts w:ascii="Arial" w:hAnsi="Arial" w:cs="Arial"/>
                <w:b/>
                <w:lang w:val="es-MX"/>
              </w:rPr>
            </w:pPr>
            <w:r>
              <w:rPr>
                <w:rFonts w:ascii="Arial" w:hAnsi="Arial" w:cs="Arial"/>
                <w:b/>
                <w:lang w:val="es-MX"/>
              </w:rPr>
              <w:t>INVERSIÓN</w:t>
            </w:r>
          </w:p>
          <w:p w14:paraId="386F1BC9" w14:textId="77777777" w:rsidR="005C4F76" w:rsidRDefault="005C4F76" w:rsidP="005C4F76">
            <w:pPr>
              <w:jc w:val="both"/>
              <w:rPr>
                <w:rFonts w:ascii="Arial" w:hAnsi="Arial" w:cs="Arial"/>
                <w:b/>
                <w:lang w:val="es-MX"/>
              </w:rPr>
            </w:pPr>
          </w:p>
          <w:p w14:paraId="703B3CBB" w14:textId="1989BA13" w:rsidR="005C4F76" w:rsidRPr="00AD7546" w:rsidRDefault="005C4F76" w:rsidP="005C4F76">
            <w:pPr>
              <w:jc w:val="both"/>
              <w:rPr>
                <w:rFonts w:ascii="Arial" w:hAnsi="Arial" w:cs="Arial"/>
                <w:b/>
                <w:lang w:val="es-MX"/>
              </w:rPr>
            </w:pPr>
            <w:r>
              <w:rPr>
                <w:rFonts w:ascii="Arial" w:hAnsi="Arial" w:cs="Arial"/>
                <w:b/>
                <w:lang w:val="es-MX"/>
              </w:rPr>
              <w:t>TOTAL PRESUPUESTO</w:t>
            </w:r>
          </w:p>
        </w:tc>
        <w:tc>
          <w:tcPr>
            <w:tcW w:w="1839" w:type="dxa"/>
          </w:tcPr>
          <w:p w14:paraId="4217C8BA" w14:textId="77777777" w:rsidR="005C4F76" w:rsidRDefault="005C4F76" w:rsidP="00042E94">
            <w:pPr>
              <w:jc w:val="center"/>
              <w:rPr>
                <w:rFonts w:ascii="Arial" w:eastAsia="Calibri" w:hAnsi="Arial" w:cs="Arial"/>
                <w:b/>
                <w:u w:val="single"/>
              </w:rPr>
            </w:pPr>
          </w:p>
          <w:p w14:paraId="2F1F316A" w14:textId="77777777" w:rsidR="005C4F76" w:rsidRDefault="005C4F76" w:rsidP="00042E94">
            <w:pPr>
              <w:jc w:val="center"/>
              <w:rPr>
                <w:rFonts w:ascii="Arial" w:eastAsia="Calibri" w:hAnsi="Arial" w:cs="Arial"/>
                <w:b/>
                <w:u w:val="single"/>
              </w:rPr>
            </w:pPr>
          </w:p>
          <w:p w14:paraId="4B0C304F" w14:textId="77777777" w:rsidR="005C4F76" w:rsidRDefault="005C4F76" w:rsidP="00042E94">
            <w:pPr>
              <w:jc w:val="center"/>
              <w:rPr>
                <w:rFonts w:ascii="Arial" w:eastAsia="Calibri" w:hAnsi="Arial" w:cs="Arial"/>
                <w:b/>
                <w:u w:val="single"/>
              </w:rPr>
            </w:pPr>
          </w:p>
          <w:p w14:paraId="5B09EAFB" w14:textId="34D376BC" w:rsidR="005C4F76" w:rsidRDefault="005C4F76" w:rsidP="00042E94">
            <w:pPr>
              <w:jc w:val="center"/>
              <w:rPr>
                <w:rFonts w:ascii="Arial" w:eastAsia="Calibri" w:hAnsi="Arial" w:cs="Arial"/>
                <w:b/>
                <w:u w:val="single"/>
              </w:rPr>
            </w:pPr>
            <w:r>
              <w:rPr>
                <w:rFonts w:ascii="Arial" w:eastAsia="Calibri" w:hAnsi="Arial" w:cs="Arial"/>
                <w:b/>
                <w:u w:val="single"/>
              </w:rPr>
              <w:t>98.82%</w:t>
            </w:r>
          </w:p>
          <w:p w14:paraId="60941EF0" w14:textId="7C5F23E4" w:rsidR="005C4F76" w:rsidRDefault="005C4F76" w:rsidP="00042E94">
            <w:pPr>
              <w:jc w:val="center"/>
              <w:rPr>
                <w:rFonts w:ascii="Arial" w:eastAsia="Calibri" w:hAnsi="Arial" w:cs="Arial"/>
                <w:b/>
                <w:u w:val="single"/>
              </w:rPr>
            </w:pPr>
            <w:r>
              <w:rPr>
                <w:rFonts w:ascii="Arial" w:eastAsia="Calibri" w:hAnsi="Arial" w:cs="Arial"/>
                <w:b/>
                <w:u w:val="single"/>
              </w:rPr>
              <w:t>96.91%</w:t>
            </w:r>
          </w:p>
          <w:p w14:paraId="502980B3" w14:textId="77777777" w:rsidR="005C4F76" w:rsidRDefault="005C4F76" w:rsidP="00042E94">
            <w:pPr>
              <w:jc w:val="center"/>
              <w:rPr>
                <w:rFonts w:ascii="Arial" w:eastAsia="Calibri" w:hAnsi="Arial" w:cs="Arial"/>
                <w:b/>
                <w:u w:val="single"/>
              </w:rPr>
            </w:pPr>
          </w:p>
          <w:p w14:paraId="2B95D150" w14:textId="64BC0EFB" w:rsidR="005C4F76" w:rsidRDefault="005C4F76" w:rsidP="00042E94">
            <w:pPr>
              <w:jc w:val="center"/>
              <w:rPr>
                <w:rFonts w:ascii="Arial" w:eastAsia="Calibri" w:hAnsi="Arial" w:cs="Arial"/>
                <w:b/>
                <w:u w:val="single"/>
              </w:rPr>
            </w:pPr>
            <w:r>
              <w:rPr>
                <w:rFonts w:ascii="Arial" w:eastAsia="Calibri" w:hAnsi="Arial" w:cs="Arial"/>
                <w:b/>
                <w:u w:val="single"/>
              </w:rPr>
              <w:t>98.76%</w:t>
            </w:r>
          </w:p>
        </w:tc>
        <w:tc>
          <w:tcPr>
            <w:tcW w:w="1804" w:type="dxa"/>
          </w:tcPr>
          <w:p w14:paraId="70772F58" w14:textId="77777777" w:rsidR="005C4F76" w:rsidRDefault="005C4F76" w:rsidP="00042E94">
            <w:pPr>
              <w:jc w:val="center"/>
              <w:rPr>
                <w:rFonts w:ascii="Arial" w:eastAsia="Calibri" w:hAnsi="Arial" w:cs="Arial"/>
                <w:b/>
                <w:u w:val="single"/>
              </w:rPr>
            </w:pPr>
          </w:p>
          <w:p w14:paraId="3037C09A" w14:textId="77777777" w:rsidR="005C4F76" w:rsidRDefault="005C4F76" w:rsidP="00042E94">
            <w:pPr>
              <w:jc w:val="center"/>
              <w:rPr>
                <w:rFonts w:ascii="Arial" w:eastAsia="Calibri" w:hAnsi="Arial" w:cs="Arial"/>
                <w:b/>
                <w:u w:val="single"/>
              </w:rPr>
            </w:pPr>
          </w:p>
          <w:p w14:paraId="0E2B8961" w14:textId="77777777" w:rsidR="005C4F76" w:rsidRDefault="005C4F76" w:rsidP="00042E94">
            <w:pPr>
              <w:jc w:val="center"/>
              <w:rPr>
                <w:rFonts w:ascii="Arial" w:eastAsia="Calibri" w:hAnsi="Arial" w:cs="Arial"/>
                <w:b/>
                <w:u w:val="single"/>
              </w:rPr>
            </w:pPr>
          </w:p>
          <w:p w14:paraId="7C0BE6D8" w14:textId="65A51BBE" w:rsidR="005C4F76" w:rsidRDefault="005C4F76" w:rsidP="00042E94">
            <w:pPr>
              <w:jc w:val="center"/>
              <w:rPr>
                <w:rFonts w:ascii="Arial" w:eastAsia="Calibri" w:hAnsi="Arial" w:cs="Arial"/>
                <w:b/>
                <w:u w:val="single"/>
              </w:rPr>
            </w:pPr>
            <w:r>
              <w:rPr>
                <w:rFonts w:ascii="Arial" w:eastAsia="Calibri" w:hAnsi="Arial" w:cs="Arial"/>
                <w:b/>
                <w:u w:val="single"/>
              </w:rPr>
              <w:t>95.81%</w:t>
            </w:r>
          </w:p>
          <w:p w14:paraId="7F706C28" w14:textId="3A7BBF2A" w:rsidR="005C4F76" w:rsidRDefault="005C4F76" w:rsidP="00042E94">
            <w:pPr>
              <w:jc w:val="center"/>
              <w:rPr>
                <w:rFonts w:ascii="Arial" w:eastAsia="Calibri" w:hAnsi="Arial" w:cs="Arial"/>
                <w:b/>
                <w:u w:val="single"/>
              </w:rPr>
            </w:pPr>
            <w:r>
              <w:rPr>
                <w:rFonts w:ascii="Arial" w:eastAsia="Calibri" w:hAnsi="Arial" w:cs="Arial"/>
                <w:b/>
                <w:u w:val="single"/>
              </w:rPr>
              <w:t>41.99%</w:t>
            </w:r>
          </w:p>
          <w:p w14:paraId="6362AB75" w14:textId="77777777" w:rsidR="005C4F76" w:rsidRDefault="005C4F76" w:rsidP="00042E94">
            <w:pPr>
              <w:jc w:val="center"/>
              <w:rPr>
                <w:rFonts w:ascii="Arial" w:eastAsia="Calibri" w:hAnsi="Arial" w:cs="Arial"/>
                <w:b/>
                <w:u w:val="single"/>
              </w:rPr>
            </w:pPr>
          </w:p>
          <w:p w14:paraId="2D8BBBD0" w14:textId="1A9033E7" w:rsidR="005C4F76" w:rsidRDefault="005C4F76" w:rsidP="00042E94">
            <w:pPr>
              <w:jc w:val="center"/>
              <w:rPr>
                <w:rFonts w:ascii="Arial" w:eastAsia="Calibri" w:hAnsi="Arial" w:cs="Arial"/>
                <w:b/>
                <w:u w:val="single"/>
              </w:rPr>
            </w:pPr>
            <w:r>
              <w:rPr>
                <w:rFonts w:ascii="Arial" w:eastAsia="Calibri" w:hAnsi="Arial" w:cs="Arial"/>
                <w:b/>
                <w:u w:val="single"/>
              </w:rPr>
              <w:t>94.17%</w:t>
            </w:r>
          </w:p>
        </w:tc>
        <w:tc>
          <w:tcPr>
            <w:tcW w:w="2042" w:type="dxa"/>
          </w:tcPr>
          <w:p w14:paraId="72D3402C" w14:textId="77777777" w:rsidR="005C4F76" w:rsidRDefault="005C4F76" w:rsidP="00042E94">
            <w:pPr>
              <w:jc w:val="center"/>
              <w:rPr>
                <w:rFonts w:ascii="Arial" w:eastAsia="Calibri" w:hAnsi="Arial" w:cs="Arial"/>
                <w:b/>
                <w:u w:val="single"/>
              </w:rPr>
            </w:pPr>
          </w:p>
          <w:p w14:paraId="3877D441" w14:textId="77777777" w:rsidR="005C4F76" w:rsidRDefault="005C4F76" w:rsidP="00042E94">
            <w:pPr>
              <w:jc w:val="center"/>
              <w:rPr>
                <w:rFonts w:ascii="Arial" w:eastAsia="Calibri" w:hAnsi="Arial" w:cs="Arial"/>
                <w:b/>
                <w:u w:val="single"/>
              </w:rPr>
            </w:pPr>
          </w:p>
          <w:p w14:paraId="48088F49" w14:textId="77777777" w:rsidR="005C4F76" w:rsidRDefault="005C4F76" w:rsidP="00042E94">
            <w:pPr>
              <w:jc w:val="center"/>
              <w:rPr>
                <w:rFonts w:ascii="Arial" w:eastAsia="Calibri" w:hAnsi="Arial" w:cs="Arial"/>
                <w:b/>
                <w:u w:val="single"/>
              </w:rPr>
            </w:pPr>
          </w:p>
          <w:p w14:paraId="0AB0337D" w14:textId="06534714" w:rsidR="005C4F76" w:rsidRDefault="005C4F76" w:rsidP="00042E94">
            <w:pPr>
              <w:jc w:val="center"/>
              <w:rPr>
                <w:rFonts w:ascii="Arial" w:eastAsia="Calibri" w:hAnsi="Arial" w:cs="Arial"/>
                <w:b/>
                <w:u w:val="single"/>
              </w:rPr>
            </w:pPr>
            <w:r>
              <w:rPr>
                <w:rFonts w:ascii="Arial" w:eastAsia="Calibri" w:hAnsi="Arial" w:cs="Arial"/>
                <w:b/>
                <w:u w:val="single"/>
              </w:rPr>
              <w:t>95.81%</w:t>
            </w:r>
          </w:p>
          <w:p w14:paraId="259C8645" w14:textId="7440C34A" w:rsidR="005C4F76" w:rsidRDefault="005C4F76" w:rsidP="00042E94">
            <w:pPr>
              <w:jc w:val="center"/>
              <w:rPr>
                <w:rFonts w:ascii="Arial" w:eastAsia="Calibri" w:hAnsi="Arial" w:cs="Arial"/>
                <w:b/>
                <w:u w:val="single"/>
              </w:rPr>
            </w:pPr>
            <w:r>
              <w:rPr>
                <w:rFonts w:ascii="Arial" w:eastAsia="Calibri" w:hAnsi="Arial" w:cs="Arial"/>
                <w:b/>
                <w:u w:val="single"/>
              </w:rPr>
              <w:t>41.99%</w:t>
            </w:r>
          </w:p>
          <w:p w14:paraId="7202B94F" w14:textId="77777777" w:rsidR="005C4F76" w:rsidRDefault="005C4F76" w:rsidP="00042E94">
            <w:pPr>
              <w:jc w:val="center"/>
              <w:rPr>
                <w:rFonts w:ascii="Arial" w:eastAsia="Calibri" w:hAnsi="Arial" w:cs="Arial"/>
                <w:b/>
                <w:u w:val="single"/>
              </w:rPr>
            </w:pPr>
          </w:p>
          <w:p w14:paraId="64B0D48E" w14:textId="71EF869A" w:rsidR="005C4F76" w:rsidRDefault="005C4F76" w:rsidP="00042E94">
            <w:pPr>
              <w:jc w:val="center"/>
              <w:rPr>
                <w:rFonts w:ascii="Arial" w:eastAsia="Calibri" w:hAnsi="Arial" w:cs="Arial"/>
                <w:b/>
                <w:u w:val="single"/>
              </w:rPr>
            </w:pPr>
            <w:r>
              <w:rPr>
                <w:rFonts w:ascii="Arial" w:eastAsia="Calibri" w:hAnsi="Arial" w:cs="Arial"/>
                <w:b/>
                <w:u w:val="single"/>
              </w:rPr>
              <w:t>94.17%</w:t>
            </w:r>
          </w:p>
        </w:tc>
      </w:tr>
      <w:tr w:rsidR="007B2606" w:rsidRPr="004B1294" w14:paraId="42D45A63" w14:textId="77777777" w:rsidTr="00042E94">
        <w:tc>
          <w:tcPr>
            <w:tcW w:w="1550" w:type="dxa"/>
          </w:tcPr>
          <w:p w14:paraId="13E3DDDC" w14:textId="536DF477" w:rsidR="007B2606" w:rsidRDefault="007B2606" w:rsidP="00042E94">
            <w:pPr>
              <w:jc w:val="center"/>
              <w:rPr>
                <w:rFonts w:ascii="Arial" w:hAnsi="Arial" w:cs="Arial"/>
                <w:b/>
              </w:rPr>
            </w:pPr>
            <w:r>
              <w:rPr>
                <w:rFonts w:ascii="Arial" w:hAnsi="Arial" w:cs="Arial"/>
                <w:b/>
              </w:rPr>
              <w:t>303</w:t>
            </w:r>
          </w:p>
        </w:tc>
        <w:tc>
          <w:tcPr>
            <w:tcW w:w="3255" w:type="dxa"/>
          </w:tcPr>
          <w:p w14:paraId="679C54F4" w14:textId="3C826C90" w:rsidR="007B2606" w:rsidRPr="007B2606" w:rsidRDefault="007B2606" w:rsidP="007B2606">
            <w:pPr>
              <w:jc w:val="both"/>
              <w:rPr>
                <w:rFonts w:ascii="Arial" w:hAnsi="Arial" w:cs="Arial"/>
                <w:b/>
                <w:lang w:val="es-MX"/>
              </w:rPr>
            </w:pPr>
            <w:r w:rsidRPr="007B2606">
              <w:rPr>
                <w:rFonts w:ascii="Arial" w:hAnsi="Arial" w:cs="Arial"/>
                <w:b/>
                <w:lang w:val="es-MX"/>
              </w:rPr>
              <w:t>MINISTERIO DE VIVIENDA, CIUDAD Y TERRITORIO.</w:t>
            </w:r>
          </w:p>
          <w:p w14:paraId="6F70B55A" w14:textId="77777777" w:rsidR="007B2606" w:rsidRDefault="007B2606" w:rsidP="005C4F76">
            <w:pPr>
              <w:jc w:val="both"/>
              <w:rPr>
                <w:rFonts w:ascii="Arial" w:hAnsi="Arial" w:cs="Arial"/>
                <w:b/>
                <w:lang w:val="es-MX"/>
              </w:rPr>
            </w:pPr>
          </w:p>
          <w:p w14:paraId="04E18C20" w14:textId="77777777" w:rsidR="007B2606" w:rsidRDefault="007B2606" w:rsidP="007B2606">
            <w:pPr>
              <w:jc w:val="both"/>
              <w:rPr>
                <w:rFonts w:ascii="Arial" w:hAnsi="Arial" w:cs="Arial"/>
                <w:b/>
                <w:lang w:val="es-MX"/>
              </w:rPr>
            </w:pPr>
            <w:r>
              <w:rPr>
                <w:rFonts w:ascii="Arial" w:hAnsi="Arial" w:cs="Arial"/>
                <w:b/>
                <w:lang w:val="es-MX"/>
              </w:rPr>
              <w:t>FUNCIONAMIENTO</w:t>
            </w:r>
          </w:p>
          <w:p w14:paraId="5BC9516F" w14:textId="77777777" w:rsidR="007B2606" w:rsidRDefault="007B2606" w:rsidP="007B2606">
            <w:pPr>
              <w:jc w:val="both"/>
              <w:rPr>
                <w:rFonts w:ascii="Arial" w:hAnsi="Arial" w:cs="Arial"/>
                <w:b/>
                <w:lang w:val="es-MX"/>
              </w:rPr>
            </w:pPr>
            <w:r>
              <w:rPr>
                <w:rFonts w:ascii="Arial" w:hAnsi="Arial" w:cs="Arial"/>
                <w:b/>
                <w:lang w:val="es-MX"/>
              </w:rPr>
              <w:t>INVERSIÓN</w:t>
            </w:r>
          </w:p>
          <w:p w14:paraId="5545F6CD" w14:textId="77777777" w:rsidR="007B2606" w:rsidRDefault="007B2606" w:rsidP="007B2606">
            <w:pPr>
              <w:jc w:val="both"/>
              <w:rPr>
                <w:rFonts w:ascii="Arial" w:hAnsi="Arial" w:cs="Arial"/>
                <w:b/>
                <w:lang w:val="es-MX"/>
              </w:rPr>
            </w:pPr>
          </w:p>
          <w:p w14:paraId="27C30B54" w14:textId="7819EA64" w:rsidR="007B2606" w:rsidRPr="005C4F76" w:rsidRDefault="007B2606" w:rsidP="007B2606">
            <w:pPr>
              <w:jc w:val="both"/>
              <w:rPr>
                <w:rFonts w:ascii="Arial" w:hAnsi="Arial" w:cs="Arial"/>
                <w:b/>
                <w:lang w:val="es-MX"/>
              </w:rPr>
            </w:pPr>
            <w:r>
              <w:rPr>
                <w:rFonts w:ascii="Arial" w:hAnsi="Arial" w:cs="Arial"/>
                <w:b/>
                <w:lang w:val="es-MX"/>
              </w:rPr>
              <w:t>TOTAL PRESUPUESTO</w:t>
            </w:r>
          </w:p>
        </w:tc>
        <w:tc>
          <w:tcPr>
            <w:tcW w:w="1839" w:type="dxa"/>
          </w:tcPr>
          <w:p w14:paraId="1C929E67" w14:textId="77777777" w:rsidR="007B2606" w:rsidRDefault="007B2606" w:rsidP="00042E94">
            <w:pPr>
              <w:jc w:val="center"/>
              <w:rPr>
                <w:rFonts w:ascii="Arial" w:eastAsia="Calibri" w:hAnsi="Arial" w:cs="Arial"/>
                <w:b/>
                <w:u w:val="single"/>
              </w:rPr>
            </w:pPr>
          </w:p>
          <w:p w14:paraId="31D5A3C0" w14:textId="77777777" w:rsidR="007B2606" w:rsidRDefault="007B2606" w:rsidP="00042E94">
            <w:pPr>
              <w:jc w:val="center"/>
              <w:rPr>
                <w:rFonts w:ascii="Arial" w:eastAsia="Calibri" w:hAnsi="Arial" w:cs="Arial"/>
                <w:b/>
                <w:u w:val="single"/>
              </w:rPr>
            </w:pPr>
          </w:p>
          <w:p w14:paraId="1E660B3A" w14:textId="77777777" w:rsidR="007B2606" w:rsidRDefault="007B2606" w:rsidP="00042E94">
            <w:pPr>
              <w:jc w:val="center"/>
              <w:rPr>
                <w:rFonts w:ascii="Arial" w:eastAsia="Calibri" w:hAnsi="Arial" w:cs="Arial"/>
                <w:b/>
                <w:u w:val="single"/>
              </w:rPr>
            </w:pPr>
          </w:p>
          <w:p w14:paraId="0B5B1CBD" w14:textId="7442F961" w:rsidR="007B2606" w:rsidRDefault="007B2606" w:rsidP="00042E94">
            <w:pPr>
              <w:jc w:val="center"/>
              <w:rPr>
                <w:rFonts w:ascii="Arial" w:eastAsia="Calibri" w:hAnsi="Arial" w:cs="Arial"/>
                <w:b/>
                <w:u w:val="single"/>
              </w:rPr>
            </w:pPr>
            <w:r>
              <w:rPr>
                <w:rFonts w:ascii="Arial" w:eastAsia="Calibri" w:hAnsi="Arial" w:cs="Arial"/>
                <w:b/>
                <w:u w:val="single"/>
              </w:rPr>
              <w:t>100.00%</w:t>
            </w:r>
          </w:p>
          <w:p w14:paraId="20B38A2B" w14:textId="0AF3D46F" w:rsidR="007B2606" w:rsidRDefault="007B2606" w:rsidP="00042E94">
            <w:pPr>
              <w:jc w:val="center"/>
              <w:rPr>
                <w:rFonts w:ascii="Arial" w:eastAsia="Calibri" w:hAnsi="Arial" w:cs="Arial"/>
                <w:b/>
                <w:u w:val="single"/>
              </w:rPr>
            </w:pPr>
            <w:r>
              <w:rPr>
                <w:rFonts w:ascii="Arial" w:eastAsia="Calibri" w:hAnsi="Arial" w:cs="Arial"/>
                <w:b/>
                <w:u w:val="single"/>
              </w:rPr>
              <w:t>97.00%</w:t>
            </w:r>
          </w:p>
          <w:p w14:paraId="78E6558B" w14:textId="77777777" w:rsidR="007B2606" w:rsidRDefault="007B2606" w:rsidP="00042E94">
            <w:pPr>
              <w:jc w:val="center"/>
              <w:rPr>
                <w:rFonts w:ascii="Arial" w:eastAsia="Calibri" w:hAnsi="Arial" w:cs="Arial"/>
                <w:b/>
                <w:u w:val="single"/>
              </w:rPr>
            </w:pPr>
          </w:p>
          <w:p w14:paraId="00965728" w14:textId="37388EEC" w:rsidR="007B2606" w:rsidRDefault="007B2606" w:rsidP="00042E94">
            <w:pPr>
              <w:jc w:val="center"/>
              <w:rPr>
                <w:rFonts w:ascii="Arial" w:eastAsia="Calibri" w:hAnsi="Arial" w:cs="Arial"/>
                <w:b/>
                <w:u w:val="single"/>
              </w:rPr>
            </w:pPr>
            <w:r>
              <w:rPr>
                <w:rFonts w:ascii="Arial" w:eastAsia="Calibri" w:hAnsi="Arial" w:cs="Arial"/>
                <w:b/>
                <w:u w:val="single"/>
              </w:rPr>
              <w:t>99.00%</w:t>
            </w:r>
          </w:p>
        </w:tc>
        <w:tc>
          <w:tcPr>
            <w:tcW w:w="1804" w:type="dxa"/>
          </w:tcPr>
          <w:p w14:paraId="5F8C30E5" w14:textId="77777777" w:rsidR="007B2606" w:rsidRDefault="007B2606" w:rsidP="00042E94">
            <w:pPr>
              <w:jc w:val="center"/>
              <w:rPr>
                <w:rFonts w:ascii="Arial" w:eastAsia="Calibri" w:hAnsi="Arial" w:cs="Arial"/>
                <w:b/>
                <w:u w:val="single"/>
              </w:rPr>
            </w:pPr>
          </w:p>
          <w:p w14:paraId="526D188C" w14:textId="77777777" w:rsidR="007B2606" w:rsidRDefault="007B2606" w:rsidP="00042E94">
            <w:pPr>
              <w:jc w:val="center"/>
              <w:rPr>
                <w:rFonts w:ascii="Arial" w:eastAsia="Calibri" w:hAnsi="Arial" w:cs="Arial"/>
                <w:b/>
                <w:u w:val="single"/>
              </w:rPr>
            </w:pPr>
          </w:p>
          <w:p w14:paraId="295FFD23" w14:textId="77777777" w:rsidR="007B2606" w:rsidRDefault="007B2606" w:rsidP="00042E94">
            <w:pPr>
              <w:jc w:val="center"/>
              <w:rPr>
                <w:rFonts w:ascii="Arial" w:eastAsia="Calibri" w:hAnsi="Arial" w:cs="Arial"/>
                <w:b/>
                <w:u w:val="single"/>
              </w:rPr>
            </w:pPr>
          </w:p>
          <w:p w14:paraId="3A3DFADC" w14:textId="522C24D5" w:rsidR="007B2606" w:rsidRDefault="007B2606" w:rsidP="00042E94">
            <w:pPr>
              <w:jc w:val="center"/>
              <w:rPr>
                <w:rFonts w:ascii="Arial" w:eastAsia="Calibri" w:hAnsi="Arial" w:cs="Arial"/>
                <w:b/>
                <w:u w:val="single"/>
              </w:rPr>
            </w:pPr>
            <w:r>
              <w:rPr>
                <w:rFonts w:ascii="Arial" w:eastAsia="Calibri" w:hAnsi="Arial" w:cs="Arial"/>
                <w:b/>
                <w:u w:val="single"/>
              </w:rPr>
              <w:t>100.00%</w:t>
            </w:r>
          </w:p>
          <w:p w14:paraId="468C89FE" w14:textId="1E490D1A" w:rsidR="007B2606" w:rsidRDefault="007B2606" w:rsidP="00042E94">
            <w:pPr>
              <w:jc w:val="center"/>
              <w:rPr>
                <w:rFonts w:ascii="Arial" w:eastAsia="Calibri" w:hAnsi="Arial" w:cs="Arial"/>
                <w:b/>
                <w:u w:val="single"/>
              </w:rPr>
            </w:pPr>
            <w:r>
              <w:rPr>
                <w:rFonts w:ascii="Arial" w:eastAsia="Calibri" w:hAnsi="Arial" w:cs="Arial"/>
                <w:b/>
                <w:u w:val="single"/>
              </w:rPr>
              <w:t>10.00%</w:t>
            </w:r>
          </w:p>
          <w:p w14:paraId="658F96D0" w14:textId="77777777" w:rsidR="007B2606" w:rsidRDefault="007B2606" w:rsidP="00042E94">
            <w:pPr>
              <w:jc w:val="center"/>
              <w:rPr>
                <w:rFonts w:ascii="Arial" w:eastAsia="Calibri" w:hAnsi="Arial" w:cs="Arial"/>
                <w:b/>
                <w:u w:val="single"/>
              </w:rPr>
            </w:pPr>
          </w:p>
          <w:p w14:paraId="229A5181" w14:textId="22D9CCA1" w:rsidR="007B2606" w:rsidRDefault="007B2606" w:rsidP="00042E94">
            <w:pPr>
              <w:jc w:val="center"/>
              <w:rPr>
                <w:rFonts w:ascii="Arial" w:eastAsia="Calibri" w:hAnsi="Arial" w:cs="Arial"/>
                <w:b/>
                <w:u w:val="single"/>
              </w:rPr>
            </w:pPr>
            <w:r>
              <w:rPr>
                <w:rFonts w:ascii="Arial" w:eastAsia="Calibri" w:hAnsi="Arial" w:cs="Arial"/>
                <w:b/>
                <w:u w:val="single"/>
              </w:rPr>
              <w:t>77.00%</w:t>
            </w:r>
          </w:p>
        </w:tc>
        <w:tc>
          <w:tcPr>
            <w:tcW w:w="2042" w:type="dxa"/>
          </w:tcPr>
          <w:p w14:paraId="2DCE4705" w14:textId="77777777" w:rsidR="007B2606" w:rsidRDefault="007B2606" w:rsidP="00042E94">
            <w:pPr>
              <w:jc w:val="center"/>
              <w:rPr>
                <w:rFonts w:ascii="Arial" w:eastAsia="Calibri" w:hAnsi="Arial" w:cs="Arial"/>
                <w:b/>
                <w:u w:val="single"/>
              </w:rPr>
            </w:pPr>
          </w:p>
          <w:p w14:paraId="2D139F61" w14:textId="77777777" w:rsidR="007B2606" w:rsidRDefault="007B2606" w:rsidP="00042E94">
            <w:pPr>
              <w:jc w:val="center"/>
              <w:rPr>
                <w:rFonts w:ascii="Arial" w:eastAsia="Calibri" w:hAnsi="Arial" w:cs="Arial"/>
                <w:b/>
                <w:u w:val="single"/>
              </w:rPr>
            </w:pPr>
          </w:p>
          <w:p w14:paraId="03B6BF04" w14:textId="77777777" w:rsidR="007B2606" w:rsidRDefault="007B2606" w:rsidP="00042E94">
            <w:pPr>
              <w:jc w:val="center"/>
              <w:rPr>
                <w:rFonts w:ascii="Arial" w:eastAsia="Calibri" w:hAnsi="Arial" w:cs="Arial"/>
                <w:b/>
                <w:u w:val="single"/>
              </w:rPr>
            </w:pPr>
          </w:p>
          <w:p w14:paraId="3CA9E7B5" w14:textId="21CE3854" w:rsidR="007B2606" w:rsidRDefault="007B2606" w:rsidP="00042E94">
            <w:pPr>
              <w:jc w:val="center"/>
              <w:rPr>
                <w:rFonts w:ascii="Arial" w:eastAsia="Calibri" w:hAnsi="Arial" w:cs="Arial"/>
                <w:b/>
                <w:u w:val="single"/>
              </w:rPr>
            </w:pPr>
            <w:r>
              <w:rPr>
                <w:rFonts w:ascii="Arial" w:eastAsia="Calibri" w:hAnsi="Arial" w:cs="Arial"/>
                <w:b/>
                <w:u w:val="single"/>
              </w:rPr>
              <w:t>100.00%</w:t>
            </w:r>
          </w:p>
          <w:p w14:paraId="4E1B14B9" w14:textId="50D7A429" w:rsidR="007B2606" w:rsidRDefault="007B2606" w:rsidP="00042E94">
            <w:pPr>
              <w:jc w:val="center"/>
              <w:rPr>
                <w:rFonts w:ascii="Arial" w:eastAsia="Calibri" w:hAnsi="Arial" w:cs="Arial"/>
                <w:b/>
                <w:u w:val="single"/>
              </w:rPr>
            </w:pPr>
            <w:r>
              <w:rPr>
                <w:rFonts w:ascii="Arial" w:eastAsia="Calibri" w:hAnsi="Arial" w:cs="Arial"/>
                <w:b/>
                <w:u w:val="single"/>
              </w:rPr>
              <w:t>10.00%</w:t>
            </w:r>
          </w:p>
          <w:p w14:paraId="3C11F41E" w14:textId="77777777" w:rsidR="007B2606" w:rsidRDefault="007B2606" w:rsidP="00042E94">
            <w:pPr>
              <w:jc w:val="center"/>
              <w:rPr>
                <w:rFonts w:ascii="Arial" w:eastAsia="Calibri" w:hAnsi="Arial" w:cs="Arial"/>
                <w:b/>
                <w:u w:val="single"/>
              </w:rPr>
            </w:pPr>
          </w:p>
          <w:p w14:paraId="15358FA5" w14:textId="764605B2" w:rsidR="007B2606" w:rsidRDefault="007B2606" w:rsidP="00042E94">
            <w:pPr>
              <w:jc w:val="center"/>
              <w:rPr>
                <w:rFonts w:ascii="Arial" w:eastAsia="Calibri" w:hAnsi="Arial" w:cs="Arial"/>
                <w:b/>
                <w:u w:val="single"/>
              </w:rPr>
            </w:pPr>
            <w:r>
              <w:rPr>
                <w:rFonts w:ascii="Arial" w:eastAsia="Calibri" w:hAnsi="Arial" w:cs="Arial"/>
                <w:b/>
                <w:u w:val="single"/>
              </w:rPr>
              <w:t>77.00%</w:t>
            </w:r>
          </w:p>
        </w:tc>
      </w:tr>
      <w:tr w:rsidR="007C66AB" w:rsidRPr="004B1294" w14:paraId="421F7ACF" w14:textId="77777777" w:rsidTr="00042E94">
        <w:tc>
          <w:tcPr>
            <w:tcW w:w="1550" w:type="dxa"/>
          </w:tcPr>
          <w:p w14:paraId="0685FD60" w14:textId="467B6D0B" w:rsidR="007C66AB" w:rsidRDefault="007C66AB" w:rsidP="00042E94">
            <w:pPr>
              <w:jc w:val="center"/>
              <w:rPr>
                <w:rFonts w:ascii="Arial" w:hAnsi="Arial" w:cs="Arial"/>
                <w:b/>
              </w:rPr>
            </w:pPr>
            <w:r>
              <w:rPr>
                <w:rFonts w:ascii="Arial" w:hAnsi="Arial" w:cs="Arial"/>
                <w:b/>
              </w:rPr>
              <w:t>304</w:t>
            </w:r>
          </w:p>
        </w:tc>
        <w:tc>
          <w:tcPr>
            <w:tcW w:w="3255" w:type="dxa"/>
          </w:tcPr>
          <w:p w14:paraId="4CB73C6D" w14:textId="04D6D5D6" w:rsidR="007C66AB" w:rsidRPr="007C66AB" w:rsidRDefault="007C66AB" w:rsidP="007C66AB">
            <w:pPr>
              <w:jc w:val="both"/>
              <w:rPr>
                <w:rFonts w:ascii="Arial" w:hAnsi="Arial" w:cs="Arial"/>
                <w:b/>
                <w:lang w:val="es-MX"/>
              </w:rPr>
            </w:pPr>
            <w:r w:rsidRPr="007C66AB">
              <w:rPr>
                <w:rFonts w:ascii="Arial" w:hAnsi="Arial" w:cs="Arial"/>
                <w:b/>
                <w:lang w:val="es-MX"/>
              </w:rPr>
              <w:t xml:space="preserve">FONDO ROTATORIO DE LA </w:t>
            </w:r>
            <w:r w:rsidRPr="007C66AB">
              <w:rPr>
                <w:rFonts w:ascii="Arial" w:hAnsi="Arial" w:cs="Arial"/>
                <w:b/>
                <w:lang w:val="es-MX"/>
              </w:rPr>
              <w:lastRenderedPageBreak/>
              <w:t>REGISTRADURÍA NACIONAL DEL ESTADO CIVIL.</w:t>
            </w:r>
          </w:p>
          <w:p w14:paraId="4DE809FC" w14:textId="77777777" w:rsidR="007C66AB" w:rsidRDefault="007C66AB" w:rsidP="007B2606">
            <w:pPr>
              <w:jc w:val="both"/>
              <w:rPr>
                <w:rFonts w:ascii="Arial" w:hAnsi="Arial" w:cs="Arial"/>
                <w:b/>
                <w:lang w:val="es-MX"/>
              </w:rPr>
            </w:pPr>
          </w:p>
          <w:p w14:paraId="20A89C9E" w14:textId="77777777" w:rsidR="007C66AB" w:rsidRDefault="007C66AB" w:rsidP="007C66AB">
            <w:pPr>
              <w:jc w:val="both"/>
              <w:rPr>
                <w:rFonts w:ascii="Arial" w:hAnsi="Arial" w:cs="Arial"/>
                <w:b/>
                <w:lang w:val="es-MX"/>
              </w:rPr>
            </w:pPr>
            <w:r>
              <w:rPr>
                <w:rFonts w:ascii="Arial" w:hAnsi="Arial" w:cs="Arial"/>
                <w:b/>
                <w:lang w:val="es-MX"/>
              </w:rPr>
              <w:t>FUNCIONAMIENTO</w:t>
            </w:r>
          </w:p>
          <w:p w14:paraId="7F8D2D8A" w14:textId="77777777" w:rsidR="007C66AB" w:rsidRDefault="007C66AB" w:rsidP="007C66AB">
            <w:pPr>
              <w:jc w:val="both"/>
              <w:rPr>
                <w:rFonts w:ascii="Arial" w:hAnsi="Arial" w:cs="Arial"/>
                <w:b/>
                <w:lang w:val="es-MX"/>
              </w:rPr>
            </w:pPr>
            <w:r>
              <w:rPr>
                <w:rFonts w:ascii="Arial" w:hAnsi="Arial" w:cs="Arial"/>
                <w:b/>
                <w:lang w:val="es-MX"/>
              </w:rPr>
              <w:t>INVERSIÓN</w:t>
            </w:r>
          </w:p>
          <w:p w14:paraId="661906A9" w14:textId="77777777" w:rsidR="007C66AB" w:rsidRDefault="007C66AB" w:rsidP="007C66AB">
            <w:pPr>
              <w:jc w:val="both"/>
              <w:rPr>
                <w:rFonts w:ascii="Arial" w:hAnsi="Arial" w:cs="Arial"/>
                <w:b/>
                <w:lang w:val="es-MX"/>
              </w:rPr>
            </w:pPr>
          </w:p>
          <w:p w14:paraId="5D55F8FB" w14:textId="6921613A" w:rsidR="007C66AB" w:rsidRPr="007B2606" w:rsidRDefault="007C66AB" w:rsidP="007C66AB">
            <w:pPr>
              <w:jc w:val="both"/>
              <w:rPr>
                <w:rFonts w:ascii="Arial" w:hAnsi="Arial" w:cs="Arial"/>
                <w:b/>
                <w:lang w:val="es-MX"/>
              </w:rPr>
            </w:pPr>
            <w:r>
              <w:rPr>
                <w:rFonts w:ascii="Arial" w:hAnsi="Arial" w:cs="Arial"/>
                <w:b/>
                <w:lang w:val="es-MX"/>
              </w:rPr>
              <w:t>TOTAL PRESUPUESTO</w:t>
            </w:r>
          </w:p>
        </w:tc>
        <w:tc>
          <w:tcPr>
            <w:tcW w:w="1839" w:type="dxa"/>
          </w:tcPr>
          <w:p w14:paraId="3525923D" w14:textId="77777777" w:rsidR="007C66AB" w:rsidRDefault="007C66AB" w:rsidP="00042E94">
            <w:pPr>
              <w:jc w:val="center"/>
              <w:rPr>
                <w:rFonts w:ascii="Arial" w:eastAsia="Calibri" w:hAnsi="Arial" w:cs="Arial"/>
                <w:b/>
                <w:u w:val="single"/>
              </w:rPr>
            </w:pPr>
          </w:p>
          <w:p w14:paraId="18083C34" w14:textId="77777777" w:rsidR="007C66AB" w:rsidRDefault="007C66AB" w:rsidP="00042E94">
            <w:pPr>
              <w:jc w:val="center"/>
              <w:rPr>
                <w:rFonts w:ascii="Arial" w:eastAsia="Calibri" w:hAnsi="Arial" w:cs="Arial"/>
                <w:b/>
                <w:u w:val="single"/>
              </w:rPr>
            </w:pPr>
          </w:p>
          <w:p w14:paraId="36E09D55" w14:textId="77777777" w:rsidR="007C66AB" w:rsidRDefault="007C66AB" w:rsidP="00042E94">
            <w:pPr>
              <w:jc w:val="center"/>
              <w:rPr>
                <w:rFonts w:ascii="Arial" w:eastAsia="Calibri" w:hAnsi="Arial" w:cs="Arial"/>
                <w:b/>
                <w:u w:val="single"/>
              </w:rPr>
            </w:pPr>
          </w:p>
          <w:p w14:paraId="4D2FE530" w14:textId="77777777" w:rsidR="007C66AB" w:rsidRDefault="007C66AB" w:rsidP="00042E94">
            <w:pPr>
              <w:jc w:val="center"/>
              <w:rPr>
                <w:rFonts w:ascii="Arial" w:eastAsia="Calibri" w:hAnsi="Arial" w:cs="Arial"/>
                <w:b/>
                <w:u w:val="single"/>
              </w:rPr>
            </w:pPr>
          </w:p>
          <w:p w14:paraId="3CFDBDD8" w14:textId="743C8467" w:rsidR="007C66AB" w:rsidRDefault="007C66AB" w:rsidP="00042E94">
            <w:pPr>
              <w:jc w:val="center"/>
              <w:rPr>
                <w:rFonts w:ascii="Arial" w:eastAsia="Calibri" w:hAnsi="Arial" w:cs="Arial"/>
                <w:b/>
                <w:u w:val="single"/>
              </w:rPr>
            </w:pPr>
            <w:r>
              <w:rPr>
                <w:rFonts w:ascii="Arial" w:eastAsia="Calibri" w:hAnsi="Arial" w:cs="Arial"/>
                <w:b/>
                <w:u w:val="single"/>
              </w:rPr>
              <w:t>73.00%</w:t>
            </w:r>
          </w:p>
          <w:p w14:paraId="6B7BA6A9" w14:textId="0F49771C" w:rsidR="007C66AB" w:rsidRDefault="007C66AB" w:rsidP="00042E94">
            <w:pPr>
              <w:jc w:val="center"/>
              <w:rPr>
                <w:rFonts w:ascii="Arial" w:eastAsia="Calibri" w:hAnsi="Arial" w:cs="Arial"/>
                <w:b/>
                <w:u w:val="single"/>
              </w:rPr>
            </w:pPr>
            <w:r>
              <w:rPr>
                <w:rFonts w:ascii="Arial" w:eastAsia="Calibri" w:hAnsi="Arial" w:cs="Arial"/>
                <w:b/>
                <w:u w:val="single"/>
              </w:rPr>
              <w:t>72.00%</w:t>
            </w:r>
          </w:p>
          <w:p w14:paraId="30613831" w14:textId="77777777" w:rsidR="007C66AB" w:rsidRDefault="007C66AB" w:rsidP="00042E94">
            <w:pPr>
              <w:jc w:val="center"/>
              <w:rPr>
                <w:rFonts w:ascii="Arial" w:eastAsia="Calibri" w:hAnsi="Arial" w:cs="Arial"/>
                <w:b/>
                <w:u w:val="single"/>
              </w:rPr>
            </w:pPr>
          </w:p>
          <w:p w14:paraId="463D9C5C" w14:textId="6165A582" w:rsidR="007C66AB" w:rsidRDefault="007C66AB" w:rsidP="00042E94">
            <w:pPr>
              <w:jc w:val="center"/>
              <w:rPr>
                <w:rFonts w:ascii="Arial" w:eastAsia="Calibri" w:hAnsi="Arial" w:cs="Arial"/>
                <w:b/>
                <w:u w:val="single"/>
              </w:rPr>
            </w:pPr>
            <w:r>
              <w:rPr>
                <w:rFonts w:ascii="Arial" w:eastAsia="Calibri" w:hAnsi="Arial" w:cs="Arial"/>
                <w:b/>
                <w:u w:val="single"/>
              </w:rPr>
              <w:t>72.00%</w:t>
            </w:r>
          </w:p>
        </w:tc>
        <w:tc>
          <w:tcPr>
            <w:tcW w:w="1804" w:type="dxa"/>
          </w:tcPr>
          <w:p w14:paraId="79E472F8" w14:textId="77777777" w:rsidR="007C66AB" w:rsidRDefault="007C66AB" w:rsidP="00042E94">
            <w:pPr>
              <w:jc w:val="center"/>
              <w:rPr>
                <w:rFonts w:ascii="Arial" w:eastAsia="Calibri" w:hAnsi="Arial" w:cs="Arial"/>
                <w:b/>
                <w:u w:val="single"/>
              </w:rPr>
            </w:pPr>
          </w:p>
          <w:p w14:paraId="56071C88" w14:textId="77777777" w:rsidR="007C66AB" w:rsidRDefault="007C66AB" w:rsidP="00042E94">
            <w:pPr>
              <w:jc w:val="center"/>
              <w:rPr>
                <w:rFonts w:ascii="Arial" w:eastAsia="Calibri" w:hAnsi="Arial" w:cs="Arial"/>
                <w:b/>
                <w:u w:val="single"/>
              </w:rPr>
            </w:pPr>
          </w:p>
          <w:p w14:paraId="1667B3D3" w14:textId="77777777" w:rsidR="007C66AB" w:rsidRDefault="007C66AB" w:rsidP="00042E94">
            <w:pPr>
              <w:jc w:val="center"/>
              <w:rPr>
                <w:rFonts w:ascii="Arial" w:eastAsia="Calibri" w:hAnsi="Arial" w:cs="Arial"/>
                <w:b/>
                <w:u w:val="single"/>
              </w:rPr>
            </w:pPr>
          </w:p>
          <w:p w14:paraId="456DD02E" w14:textId="77777777" w:rsidR="007C66AB" w:rsidRDefault="007C66AB" w:rsidP="00042E94">
            <w:pPr>
              <w:jc w:val="center"/>
              <w:rPr>
                <w:rFonts w:ascii="Arial" w:eastAsia="Calibri" w:hAnsi="Arial" w:cs="Arial"/>
                <w:b/>
                <w:u w:val="single"/>
              </w:rPr>
            </w:pPr>
          </w:p>
          <w:p w14:paraId="2763D0B6" w14:textId="60E3E307" w:rsidR="007C66AB" w:rsidRDefault="007C66AB" w:rsidP="00042E94">
            <w:pPr>
              <w:jc w:val="center"/>
              <w:rPr>
                <w:rFonts w:ascii="Arial" w:eastAsia="Calibri" w:hAnsi="Arial" w:cs="Arial"/>
                <w:b/>
                <w:u w:val="single"/>
              </w:rPr>
            </w:pPr>
            <w:r>
              <w:rPr>
                <w:rFonts w:ascii="Arial" w:eastAsia="Calibri" w:hAnsi="Arial" w:cs="Arial"/>
                <w:b/>
                <w:u w:val="single"/>
              </w:rPr>
              <w:t>65.00%</w:t>
            </w:r>
          </w:p>
          <w:p w14:paraId="3ABA8246" w14:textId="77599D01" w:rsidR="007C66AB" w:rsidRDefault="007C66AB" w:rsidP="00042E94">
            <w:pPr>
              <w:jc w:val="center"/>
              <w:rPr>
                <w:rFonts w:ascii="Arial" w:eastAsia="Calibri" w:hAnsi="Arial" w:cs="Arial"/>
                <w:b/>
                <w:u w:val="single"/>
              </w:rPr>
            </w:pPr>
            <w:r>
              <w:rPr>
                <w:rFonts w:ascii="Arial" w:eastAsia="Calibri" w:hAnsi="Arial" w:cs="Arial"/>
                <w:b/>
                <w:u w:val="single"/>
              </w:rPr>
              <w:t>46.00%</w:t>
            </w:r>
          </w:p>
          <w:p w14:paraId="32D5190C" w14:textId="77777777" w:rsidR="007C66AB" w:rsidRDefault="007C66AB" w:rsidP="00042E94">
            <w:pPr>
              <w:jc w:val="center"/>
              <w:rPr>
                <w:rFonts w:ascii="Arial" w:eastAsia="Calibri" w:hAnsi="Arial" w:cs="Arial"/>
                <w:b/>
                <w:u w:val="single"/>
              </w:rPr>
            </w:pPr>
          </w:p>
          <w:p w14:paraId="44A453D5" w14:textId="4C499CDC" w:rsidR="007C66AB" w:rsidRDefault="007C66AB" w:rsidP="00042E94">
            <w:pPr>
              <w:jc w:val="center"/>
              <w:rPr>
                <w:rFonts w:ascii="Arial" w:eastAsia="Calibri" w:hAnsi="Arial" w:cs="Arial"/>
                <w:b/>
                <w:u w:val="single"/>
              </w:rPr>
            </w:pPr>
            <w:r>
              <w:rPr>
                <w:rFonts w:ascii="Arial" w:eastAsia="Calibri" w:hAnsi="Arial" w:cs="Arial"/>
                <w:b/>
                <w:u w:val="single"/>
              </w:rPr>
              <w:t>53.00%</w:t>
            </w:r>
          </w:p>
        </w:tc>
        <w:tc>
          <w:tcPr>
            <w:tcW w:w="2042" w:type="dxa"/>
          </w:tcPr>
          <w:p w14:paraId="7BDF7297" w14:textId="77777777" w:rsidR="007C66AB" w:rsidRDefault="007C66AB" w:rsidP="00042E94">
            <w:pPr>
              <w:jc w:val="center"/>
              <w:rPr>
                <w:rFonts w:ascii="Arial" w:eastAsia="Calibri" w:hAnsi="Arial" w:cs="Arial"/>
                <w:b/>
                <w:u w:val="single"/>
              </w:rPr>
            </w:pPr>
          </w:p>
          <w:p w14:paraId="06BDC494" w14:textId="77777777" w:rsidR="007C66AB" w:rsidRDefault="007C66AB" w:rsidP="00042E94">
            <w:pPr>
              <w:jc w:val="center"/>
              <w:rPr>
                <w:rFonts w:ascii="Arial" w:eastAsia="Calibri" w:hAnsi="Arial" w:cs="Arial"/>
                <w:b/>
                <w:u w:val="single"/>
              </w:rPr>
            </w:pPr>
          </w:p>
          <w:p w14:paraId="4619CED7" w14:textId="77777777" w:rsidR="007C66AB" w:rsidRDefault="007C66AB" w:rsidP="00042E94">
            <w:pPr>
              <w:jc w:val="center"/>
              <w:rPr>
                <w:rFonts w:ascii="Arial" w:eastAsia="Calibri" w:hAnsi="Arial" w:cs="Arial"/>
                <w:b/>
                <w:u w:val="single"/>
              </w:rPr>
            </w:pPr>
          </w:p>
          <w:p w14:paraId="74CDDC51" w14:textId="77777777" w:rsidR="007C66AB" w:rsidRDefault="007C66AB" w:rsidP="00042E94">
            <w:pPr>
              <w:jc w:val="center"/>
              <w:rPr>
                <w:rFonts w:ascii="Arial" w:eastAsia="Calibri" w:hAnsi="Arial" w:cs="Arial"/>
                <w:b/>
                <w:u w:val="single"/>
              </w:rPr>
            </w:pPr>
          </w:p>
          <w:p w14:paraId="00532A2C" w14:textId="504B0C46" w:rsidR="007C66AB" w:rsidRDefault="007C66AB" w:rsidP="00042E94">
            <w:pPr>
              <w:jc w:val="center"/>
              <w:rPr>
                <w:rFonts w:ascii="Arial" w:eastAsia="Calibri" w:hAnsi="Arial" w:cs="Arial"/>
                <w:b/>
                <w:u w:val="single"/>
              </w:rPr>
            </w:pPr>
            <w:r>
              <w:rPr>
                <w:rFonts w:ascii="Arial" w:eastAsia="Calibri" w:hAnsi="Arial" w:cs="Arial"/>
                <w:b/>
                <w:u w:val="single"/>
              </w:rPr>
              <w:t>61.00%</w:t>
            </w:r>
          </w:p>
          <w:p w14:paraId="4B5FDBBD" w14:textId="0E952918" w:rsidR="007C66AB" w:rsidRDefault="007C66AB" w:rsidP="00042E94">
            <w:pPr>
              <w:jc w:val="center"/>
              <w:rPr>
                <w:rFonts w:ascii="Arial" w:eastAsia="Calibri" w:hAnsi="Arial" w:cs="Arial"/>
                <w:b/>
                <w:u w:val="single"/>
              </w:rPr>
            </w:pPr>
            <w:r>
              <w:rPr>
                <w:rFonts w:ascii="Arial" w:eastAsia="Calibri" w:hAnsi="Arial" w:cs="Arial"/>
                <w:b/>
                <w:u w:val="single"/>
              </w:rPr>
              <w:t>32.00%</w:t>
            </w:r>
          </w:p>
          <w:p w14:paraId="6EA50AAD" w14:textId="77777777" w:rsidR="007C66AB" w:rsidRDefault="007C66AB" w:rsidP="00042E94">
            <w:pPr>
              <w:jc w:val="center"/>
              <w:rPr>
                <w:rFonts w:ascii="Arial" w:eastAsia="Calibri" w:hAnsi="Arial" w:cs="Arial"/>
                <w:b/>
                <w:u w:val="single"/>
              </w:rPr>
            </w:pPr>
          </w:p>
          <w:p w14:paraId="6F30E71F" w14:textId="7BEDE725" w:rsidR="007C66AB" w:rsidRDefault="007C66AB" w:rsidP="00042E94">
            <w:pPr>
              <w:jc w:val="center"/>
              <w:rPr>
                <w:rFonts w:ascii="Arial" w:eastAsia="Calibri" w:hAnsi="Arial" w:cs="Arial"/>
                <w:b/>
                <w:u w:val="single"/>
              </w:rPr>
            </w:pPr>
            <w:r>
              <w:rPr>
                <w:rFonts w:ascii="Arial" w:eastAsia="Calibri" w:hAnsi="Arial" w:cs="Arial"/>
                <w:b/>
                <w:u w:val="single"/>
              </w:rPr>
              <w:t>43.00%</w:t>
            </w:r>
          </w:p>
        </w:tc>
      </w:tr>
      <w:tr w:rsidR="00A26438" w:rsidRPr="004B1294" w14:paraId="446F1AA7" w14:textId="77777777" w:rsidTr="00042E94">
        <w:tc>
          <w:tcPr>
            <w:tcW w:w="1550" w:type="dxa"/>
          </w:tcPr>
          <w:p w14:paraId="752A93B3" w14:textId="618FCF9F" w:rsidR="00A26438" w:rsidRDefault="00A26438" w:rsidP="00042E94">
            <w:pPr>
              <w:jc w:val="center"/>
              <w:rPr>
                <w:rFonts w:ascii="Arial" w:hAnsi="Arial" w:cs="Arial"/>
                <w:b/>
              </w:rPr>
            </w:pPr>
            <w:r>
              <w:rPr>
                <w:rFonts w:ascii="Arial" w:hAnsi="Arial" w:cs="Arial"/>
                <w:b/>
              </w:rPr>
              <w:lastRenderedPageBreak/>
              <w:t>305</w:t>
            </w:r>
          </w:p>
        </w:tc>
        <w:tc>
          <w:tcPr>
            <w:tcW w:w="3255" w:type="dxa"/>
          </w:tcPr>
          <w:p w14:paraId="755E43AB" w14:textId="08128FE2" w:rsidR="00A26438" w:rsidRPr="00A26438" w:rsidRDefault="00A26438" w:rsidP="00A26438">
            <w:pPr>
              <w:jc w:val="both"/>
              <w:rPr>
                <w:rFonts w:ascii="Arial" w:eastAsia="Calibri" w:hAnsi="Arial" w:cs="Arial"/>
                <w:b/>
                <w:lang w:val="es-MX"/>
              </w:rPr>
            </w:pPr>
            <w:r w:rsidRPr="00A26438">
              <w:rPr>
                <w:rFonts w:ascii="Arial" w:eastAsia="Calibri" w:hAnsi="Arial" w:cs="Arial"/>
                <w:b/>
                <w:lang w:val="es-MX"/>
              </w:rPr>
              <w:t>FONDO SOCIAL DE VIVIENDA - REGISTRADURÍA NACIONAL DEL ESTADO CIVIL.</w:t>
            </w:r>
          </w:p>
          <w:p w14:paraId="1FFB1077" w14:textId="77777777" w:rsidR="00A26438" w:rsidRDefault="00A26438" w:rsidP="007C66AB">
            <w:pPr>
              <w:jc w:val="both"/>
              <w:rPr>
                <w:rFonts w:ascii="Arial" w:hAnsi="Arial" w:cs="Arial"/>
                <w:b/>
                <w:lang w:val="es-MX"/>
              </w:rPr>
            </w:pPr>
          </w:p>
          <w:p w14:paraId="1C55E825" w14:textId="77777777" w:rsidR="00A26438" w:rsidRDefault="00A26438" w:rsidP="00A26438">
            <w:pPr>
              <w:jc w:val="both"/>
              <w:rPr>
                <w:rFonts w:ascii="Arial" w:hAnsi="Arial" w:cs="Arial"/>
                <w:b/>
                <w:lang w:val="es-MX"/>
              </w:rPr>
            </w:pPr>
            <w:r>
              <w:rPr>
                <w:rFonts w:ascii="Arial" w:hAnsi="Arial" w:cs="Arial"/>
                <w:b/>
                <w:lang w:val="es-MX"/>
              </w:rPr>
              <w:t>FUNCIONAMIENTO</w:t>
            </w:r>
          </w:p>
          <w:p w14:paraId="26B7930F" w14:textId="77777777" w:rsidR="00A26438" w:rsidRDefault="00A26438" w:rsidP="00A26438">
            <w:pPr>
              <w:jc w:val="both"/>
              <w:rPr>
                <w:rFonts w:ascii="Arial" w:hAnsi="Arial" w:cs="Arial"/>
                <w:b/>
                <w:lang w:val="es-MX"/>
              </w:rPr>
            </w:pPr>
            <w:r>
              <w:rPr>
                <w:rFonts w:ascii="Arial" w:hAnsi="Arial" w:cs="Arial"/>
                <w:b/>
                <w:lang w:val="es-MX"/>
              </w:rPr>
              <w:t>INVERSIÓN</w:t>
            </w:r>
          </w:p>
          <w:p w14:paraId="6B916217" w14:textId="77777777" w:rsidR="00A26438" w:rsidRDefault="00A26438" w:rsidP="00A26438">
            <w:pPr>
              <w:jc w:val="both"/>
              <w:rPr>
                <w:rFonts w:ascii="Arial" w:hAnsi="Arial" w:cs="Arial"/>
                <w:b/>
                <w:lang w:val="es-MX"/>
              </w:rPr>
            </w:pPr>
          </w:p>
          <w:p w14:paraId="7D7129BE" w14:textId="436CFCAC" w:rsidR="00A26438" w:rsidRPr="007C66AB" w:rsidRDefault="00A26438" w:rsidP="00A26438">
            <w:pPr>
              <w:jc w:val="both"/>
              <w:rPr>
                <w:rFonts w:ascii="Arial" w:hAnsi="Arial" w:cs="Arial"/>
                <w:b/>
                <w:lang w:val="es-MX"/>
              </w:rPr>
            </w:pPr>
            <w:r>
              <w:rPr>
                <w:rFonts w:ascii="Arial" w:hAnsi="Arial" w:cs="Arial"/>
                <w:b/>
                <w:lang w:val="es-MX"/>
              </w:rPr>
              <w:t>TOTAL PRESUPUESTO</w:t>
            </w:r>
          </w:p>
        </w:tc>
        <w:tc>
          <w:tcPr>
            <w:tcW w:w="1839" w:type="dxa"/>
          </w:tcPr>
          <w:p w14:paraId="201D2B34" w14:textId="77777777" w:rsidR="00A26438" w:rsidRDefault="00A26438" w:rsidP="00042E94">
            <w:pPr>
              <w:jc w:val="center"/>
              <w:rPr>
                <w:rFonts w:ascii="Arial" w:eastAsia="Calibri" w:hAnsi="Arial" w:cs="Arial"/>
                <w:b/>
                <w:u w:val="single"/>
              </w:rPr>
            </w:pPr>
          </w:p>
          <w:p w14:paraId="53E30E6B" w14:textId="77777777" w:rsidR="00A26438" w:rsidRDefault="00A26438" w:rsidP="00042E94">
            <w:pPr>
              <w:jc w:val="center"/>
              <w:rPr>
                <w:rFonts w:ascii="Arial" w:eastAsia="Calibri" w:hAnsi="Arial" w:cs="Arial"/>
                <w:b/>
                <w:u w:val="single"/>
              </w:rPr>
            </w:pPr>
          </w:p>
          <w:p w14:paraId="312F9460" w14:textId="77777777" w:rsidR="00A26438" w:rsidRDefault="00A26438" w:rsidP="00042E94">
            <w:pPr>
              <w:jc w:val="center"/>
              <w:rPr>
                <w:rFonts w:ascii="Arial" w:eastAsia="Calibri" w:hAnsi="Arial" w:cs="Arial"/>
                <w:b/>
                <w:u w:val="single"/>
              </w:rPr>
            </w:pPr>
          </w:p>
          <w:p w14:paraId="2510B225" w14:textId="77777777" w:rsidR="00A26438" w:rsidRDefault="00A26438" w:rsidP="00042E94">
            <w:pPr>
              <w:jc w:val="center"/>
              <w:rPr>
                <w:rFonts w:ascii="Arial" w:eastAsia="Calibri" w:hAnsi="Arial" w:cs="Arial"/>
                <w:b/>
                <w:u w:val="single"/>
              </w:rPr>
            </w:pPr>
          </w:p>
          <w:p w14:paraId="628745A9" w14:textId="7ECAEECC" w:rsidR="00A26438" w:rsidRDefault="00A26438" w:rsidP="00042E94">
            <w:pPr>
              <w:jc w:val="center"/>
              <w:rPr>
                <w:rFonts w:ascii="Arial" w:eastAsia="Calibri" w:hAnsi="Arial" w:cs="Arial"/>
                <w:b/>
                <w:u w:val="single"/>
              </w:rPr>
            </w:pPr>
            <w:r>
              <w:rPr>
                <w:rFonts w:ascii="Arial" w:eastAsia="Calibri" w:hAnsi="Arial" w:cs="Arial"/>
                <w:b/>
                <w:u w:val="single"/>
              </w:rPr>
              <w:t>88.00%</w:t>
            </w:r>
          </w:p>
          <w:p w14:paraId="5ADBF208" w14:textId="5A504FC2" w:rsidR="00A26438" w:rsidRDefault="00A26438" w:rsidP="00042E94">
            <w:pPr>
              <w:jc w:val="center"/>
              <w:rPr>
                <w:rFonts w:ascii="Arial" w:eastAsia="Calibri" w:hAnsi="Arial" w:cs="Arial"/>
                <w:b/>
                <w:u w:val="single"/>
              </w:rPr>
            </w:pPr>
            <w:r>
              <w:rPr>
                <w:rFonts w:ascii="Arial" w:eastAsia="Calibri" w:hAnsi="Arial" w:cs="Arial"/>
                <w:b/>
                <w:u w:val="single"/>
              </w:rPr>
              <w:t>62.00%</w:t>
            </w:r>
          </w:p>
          <w:p w14:paraId="4E972A54" w14:textId="77777777" w:rsidR="00A26438" w:rsidRDefault="00A26438" w:rsidP="00042E94">
            <w:pPr>
              <w:jc w:val="center"/>
              <w:rPr>
                <w:rFonts w:ascii="Arial" w:eastAsia="Calibri" w:hAnsi="Arial" w:cs="Arial"/>
                <w:b/>
                <w:u w:val="single"/>
              </w:rPr>
            </w:pPr>
          </w:p>
          <w:p w14:paraId="795B57A1" w14:textId="53C6C8C9" w:rsidR="00A26438" w:rsidRDefault="00A26438" w:rsidP="00042E94">
            <w:pPr>
              <w:jc w:val="center"/>
              <w:rPr>
                <w:rFonts w:ascii="Arial" w:eastAsia="Calibri" w:hAnsi="Arial" w:cs="Arial"/>
                <w:b/>
                <w:u w:val="single"/>
              </w:rPr>
            </w:pPr>
            <w:r>
              <w:rPr>
                <w:rFonts w:ascii="Arial" w:eastAsia="Calibri" w:hAnsi="Arial" w:cs="Arial"/>
                <w:b/>
                <w:u w:val="single"/>
              </w:rPr>
              <w:t>88.00%</w:t>
            </w:r>
          </w:p>
        </w:tc>
        <w:tc>
          <w:tcPr>
            <w:tcW w:w="1804" w:type="dxa"/>
          </w:tcPr>
          <w:p w14:paraId="616D3EEA" w14:textId="77777777" w:rsidR="00A26438" w:rsidRDefault="00A26438" w:rsidP="00042E94">
            <w:pPr>
              <w:jc w:val="center"/>
              <w:rPr>
                <w:rFonts w:ascii="Arial" w:eastAsia="Calibri" w:hAnsi="Arial" w:cs="Arial"/>
                <w:b/>
                <w:u w:val="single"/>
              </w:rPr>
            </w:pPr>
          </w:p>
          <w:p w14:paraId="0318E143" w14:textId="77777777" w:rsidR="00A26438" w:rsidRDefault="00A26438" w:rsidP="00042E94">
            <w:pPr>
              <w:jc w:val="center"/>
              <w:rPr>
                <w:rFonts w:ascii="Arial" w:eastAsia="Calibri" w:hAnsi="Arial" w:cs="Arial"/>
                <w:b/>
                <w:u w:val="single"/>
              </w:rPr>
            </w:pPr>
          </w:p>
          <w:p w14:paraId="7E6D323C" w14:textId="77777777" w:rsidR="00A26438" w:rsidRDefault="00A26438" w:rsidP="00042E94">
            <w:pPr>
              <w:jc w:val="center"/>
              <w:rPr>
                <w:rFonts w:ascii="Arial" w:eastAsia="Calibri" w:hAnsi="Arial" w:cs="Arial"/>
                <w:b/>
                <w:u w:val="single"/>
              </w:rPr>
            </w:pPr>
          </w:p>
          <w:p w14:paraId="64396732" w14:textId="77777777" w:rsidR="00A26438" w:rsidRDefault="00A26438" w:rsidP="00042E94">
            <w:pPr>
              <w:jc w:val="center"/>
              <w:rPr>
                <w:rFonts w:ascii="Arial" w:eastAsia="Calibri" w:hAnsi="Arial" w:cs="Arial"/>
                <w:b/>
                <w:u w:val="single"/>
              </w:rPr>
            </w:pPr>
          </w:p>
          <w:p w14:paraId="6394D867" w14:textId="1AE6C7C1" w:rsidR="00A26438" w:rsidRDefault="00A26438" w:rsidP="00042E94">
            <w:pPr>
              <w:jc w:val="center"/>
              <w:rPr>
                <w:rFonts w:ascii="Arial" w:eastAsia="Calibri" w:hAnsi="Arial" w:cs="Arial"/>
                <w:b/>
                <w:u w:val="single"/>
              </w:rPr>
            </w:pPr>
            <w:r>
              <w:rPr>
                <w:rFonts w:ascii="Arial" w:eastAsia="Calibri" w:hAnsi="Arial" w:cs="Arial"/>
                <w:b/>
                <w:u w:val="single"/>
              </w:rPr>
              <w:t>66.00%</w:t>
            </w:r>
          </w:p>
          <w:p w14:paraId="639FA61A" w14:textId="4BEDB716" w:rsidR="00A26438" w:rsidRDefault="00A26438" w:rsidP="00042E94">
            <w:pPr>
              <w:jc w:val="center"/>
              <w:rPr>
                <w:rFonts w:ascii="Arial" w:eastAsia="Calibri" w:hAnsi="Arial" w:cs="Arial"/>
                <w:b/>
                <w:u w:val="single"/>
              </w:rPr>
            </w:pPr>
            <w:r>
              <w:rPr>
                <w:rFonts w:ascii="Arial" w:eastAsia="Calibri" w:hAnsi="Arial" w:cs="Arial"/>
                <w:b/>
                <w:u w:val="single"/>
              </w:rPr>
              <w:t>62.00%</w:t>
            </w:r>
          </w:p>
          <w:p w14:paraId="5FB2F58E" w14:textId="77777777" w:rsidR="00A26438" w:rsidRDefault="00A26438" w:rsidP="00042E94">
            <w:pPr>
              <w:jc w:val="center"/>
              <w:rPr>
                <w:rFonts w:ascii="Arial" w:eastAsia="Calibri" w:hAnsi="Arial" w:cs="Arial"/>
                <w:b/>
                <w:u w:val="single"/>
              </w:rPr>
            </w:pPr>
          </w:p>
          <w:p w14:paraId="403DB433" w14:textId="1F7EB187" w:rsidR="00A26438" w:rsidRDefault="00A26438" w:rsidP="00042E94">
            <w:pPr>
              <w:jc w:val="center"/>
              <w:rPr>
                <w:rFonts w:ascii="Arial" w:eastAsia="Calibri" w:hAnsi="Arial" w:cs="Arial"/>
                <w:b/>
                <w:u w:val="single"/>
              </w:rPr>
            </w:pPr>
            <w:r>
              <w:rPr>
                <w:rFonts w:ascii="Arial" w:eastAsia="Calibri" w:hAnsi="Arial" w:cs="Arial"/>
                <w:b/>
                <w:u w:val="single"/>
              </w:rPr>
              <w:t>66.00%</w:t>
            </w:r>
          </w:p>
        </w:tc>
        <w:tc>
          <w:tcPr>
            <w:tcW w:w="2042" w:type="dxa"/>
          </w:tcPr>
          <w:p w14:paraId="18FF90E8" w14:textId="77777777" w:rsidR="00A26438" w:rsidRDefault="00A26438" w:rsidP="00042E94">
            <w:pPr>
              <w:jc w:val="center"/>
              <w:rPr>
                <w:rFonts w:ascii="Arial" w:eastAsia="Calibri" w:hAnsi="Arial" w:cs="Arial"/>
                <w:b/>
                <w:u w:val="single"/>
              </w:rPr>
            </w:pPr>
          </w:p>
          <w:p w14:paraId="43F63B90" w14:textId="77777777" w:rsidR="00A26438" w:rsidRDefault="00A26438" w:rsidP="00042E94">
            <w:pPr>
              <w:jc w:val="center"/>
              <w:rPr>
                <w:rFonts w:ascii="Arial" w:eastAsia="Calibri" w:hAnsi="Arial" w:cs="Arial"/>
                <w:b/>
                <w:u w:val="single"/>
              </w:rPr>
            </w:pPr>
          </w:p>
          <w:p w14:paraId="3F869EED" w14:textId="77777777" w:rsidR="00A26438" w:rsidRDefault="00A26438" w:rsidP="00042E94">
            <w:pPr>
              <w:jc w:val="center"/>
              <w:rPr>
                <w:rFonts w:ascii="Arial" w:eastAsia="Calibri" w:hAnsi="Arial" w:cs="Arial"/>
                <w:b/>
                <w:u w:val="single"/>
              </w:rPr>
            </w:pPr>
          </w:p>
          <w:p w14:paraId="4BB84496" w14:textId="77777777" w:rsidR="00A26438" w:rsidRDefault="00A26438" w:rsidP="00042E94">
            <w:pPr>
              <w:jc w:val="center"/>
              <w:rPr>
                <w:rFonts w:ascii="Arial" w:eastAsia="Calibri" w:hAnsi="Arial" w:cs="Arial"/>
                <w:b/>
                <w:u w:val="single"/>
              </w:rPr>
            </w:pPr>
          </w:p>
          <w:p w14:paraId="722295B3" w14:textId="5D2660BE" w:rsidR="00A26438" w:rsidRDefault="00A26438" w:rsidP="00042E94">
            <w:pPr>
              <w:jc w:val="center"/>
              <w:rPr>
                <w:rFonts w:ascii="Arial" w:eastAsia="Calibri" w:hAnsi="Arial" w:cs="Arial"/>
                <w:b/>
                <w:u w:val="single"/>
              </w:rPr>
            </w:pPr>
            <w:r>
              <w:rPr>
                <w:rFonts w:ascii="Arial" w:eastAsia="Calibri" w:hAnsi="Arial" w:cs="Arial"/>
                <w:b/>
                <w:u w:val="single"/>
              </w:rPr>
              <w:t>66.00%</w:t>
            </w:r>
          </w:p>
          <w:p w14:paraId="305260D7" w14:textId="61D0D4A3" w:rsidR="00A26438" w:rsidRDefault="00A26438" w:rsidP="00042E94">
            <w:pPr>
              <w:jc w:val="center"/>
              <w:rPr>
                <w:rFonts w:ascii="Arial" w:eastAsia="Calibri" w:hAnsi="Arial" w:cs="Arial"/>
                <w:b/>
                <w:u w:val="single"/>
              </w:rPr>
            </w:pPr>
            <w:r>
              <w:rPr>
                <w:rFonts w:ascii="Arial" w:eastAsia="Calibri" w:hAnsi="Arial" w:cs="Arial"/>
                <w:b/>
                <w:u w:val="single"/>
              </w:rPr>
              <w:t>62.00%</w:t>
            </w:r>
          </w:p>
          <w:p w14:paraId="09C0E3D4" w14:textId="77777777" w:rsidR="00A26438" w:rsidRDefault="00A26438" w:rsidP="00042E94">
            <w:pPr>
              <w:jc w:val="center"/>
              <w:rPr>
                <w:rFonts w:ascii="Arial" w:eastAsia="Calibri" w:hAnsi="Arial" w:cs="Arial"/>
                <w:b/>
                <w:u w:val="single"/>
              </w:rPr>
            </w:pPr>
          </w:p>
          <w:p w14:paraId="1A36D3FC" w14:textId="58F3B01A" w:rsidR="00A26438" w:rsidRDefault="00A26438" w:rsidP="00042E94">
            <w:pPr>
              <w:jc w:val="center"/>
              <w:rPr>
                <w:rFonts w:ascii="Arial" w:eastAsia="Calibri" w:hAnsi="Arial" w:cs="Arial"/>
                <w:b/>
                <w:u w:val="single"/>
              </w:rPr>
            </w:pPr>
            <w:r>
              <w:rPr>
                <w:rFonts w:ascii="Arial" w:eastAsia="Calibri" w:hAnsi="Arial" w:cs="Arial"/>
                <w:b/>
                <w:u w:val="single"/>
              </w:rPr>
              <w:t>66.00%</w:t>
            </w:r>
          </w:p>
        </w:tc>
      </w:tr>
      <w:tr w:rsidR="006C719C" w:rsidRPr="004B1294" w14:paraId="18F7E5DD" w14:textId="77777777" w:rsidTr="00042E94">
        <w:tc>
          <w:tcPr>
            <w:tcW w:w="1550" w:type="dxa"/>
          </w:tcPr>
          <w:p w14:paraId="2D28D07F" w14:textId="2F3A8582" w:rsidR="006C719C" w:rsidRDefault="006C719C" w:rsidP="00042E94">
            <w:pPr>
              <w:jc w:val="center"/>
              <w:rPr>
                <w:rFonts w:ascii="Arial" w:hAnsi="Arial" w:cs="Arial"/>
                <w:b/>
              </w:rPr>
            </w:pPr>
            <w:r>
              <w:rPr>
                <w:rFonts w:ascii="Arial" w:hAnsi="Arial" w:cs="Arial"/>
                <w:b/>
              </w:rPr>
              <w:t>306</w:t>
            </w:r>
          </w:p>
        </w:tc>
        <w:tc>
          <w:tcPr>
            <w:tcW w:w="3255" w:type="dxa"/>
          </w:tcPr>
          <w:p w14:paraId="793A1E55" w14:textId="1D4CA0A6" w:rsidR="006C719C" w:rsidRPr="006C719C" w:rsidRDefault="006C719C" w:rsidP="006C719C">
            <w:pPr>
              <w:jc w:val="both"/>
              <w:rPr>
                <w:rFonts w:ascii="Arial" w:hAnsi="Arial" w:cs="Arial"/>
                <w:b/>
                <w:lang w:val="es-MX"/>
              </w:rPr>
            </w:pPr>
            <w:r w:rsidRPr="006C719C">
              <w:rPr>
                <w:rFonts w:ascii="Arial" w:hAnsi="Arial" w:cs="Arial"/>
                <w:b/>
              </w:rPr>
              <w:t>MINISTERIO</w:t>
            </w:r>
            <w:r w:rsidRPr="006C719C">
              <w:rPr>
                <w:rFonts w:ascii="Arial" w:hAnsi="Arial" w:cs="Arial"/>
                <w:b/>
                <w:spacing w:val="-12"/>
              </w:rPr>
              <w:t xml:space="preserve"> </w:t>
            </w:r>
            <w:r w:rsidRPr="006C719C">
              <w:rPr>
                <w:rFonts w:ascii="Arial" w:hAnsi="Arial" w:cs="Arial"/>
                <w:b/>
              </w:rPr>
              <w:t>DE</w:t>
            </w:r>
            <w:r w:rsidRPr="006C719C">
              <w:rPr>
                <w:rFonts w:ascii="Arial" w:hAnsi="Arial" w:cs="Arial"/>
                <w:b/>
                <w:spacing w:val="-9"/>
              </w:rPr>
              <w:t xml:space="preserve"> </w:t>
            </w:r>
            <w:r w:rsidRPr="006C719C">
              <w:rPr>
                <w:rFonts w:ascii="Arial" w:hAnsi="Arial" w:cs="Arial"/>
                <w:b/>
              </w:rPr>
              <w:t>DEFENSA</w:t>
            </w:r>
            <w:r w:rsidRPr="006C719C">
              <w:rPr>
                <w:rFonts w:ascii="Arial" w:hAnsi="Arial" w:cs="Arial"/>
                <w:b/>
                <w:spacing w:val="-9"/>
              </w:rPr>
              <w:t xml:space="preserve"> </w:t>
            </w:r>
            <w:r w:rsidRPr="006C719C">
              <w:rPr>
                <w:rFonts w:ascii="Arial" w:hAnsi="Arial" w:cs="Arial"/>
                <w:b/>
              </w:rPr>
              <w:t>NACIONAL</w:t>
            </w:r>
            <w:r w:rsidRPr="006C719C">
              <w:rPr>
                <w:rFonts w:ascii="Arial" w:hAnsi="Arial" w:cs="Arial"/>
                <w:b/>
                <w:lang w:val="es-MX"/>
              </w:rPr>
              <w:t xml:space="preserve"> CONSOLIDADO.</w:t>
            </w:r>
          </w:p>
          <w:p w14:paraId="33F7809E" w14:textId="77777777" w:rsidR="006C719C" w:rsidRDefault="006C719C" w:rsidP="00A26438">
            <w:pPr>
              <w:jc w:val="both"/>
              <w:rPr>
                <w:rFonts w:ascii="Arial" w:eastAsia="Calibri" w:hAnsi="Arial" w:cs="Arial"/>
                <w:b/>
                <w:lang w:val="es-MX"/>
              </w:rPr>
            </w:pPr>
          </w:p>
          <w:p w14:paraId="71F8C540" w14:textId="77777777" w:rsidR="006C719C" w:rsidRDefault="006C719C" w:rsidP="006C719C">
            <w:pPr>
              <w:jc w:val="both"/>
              <w:rPr>
                <w:rFonts w:ascii="Arial" w:hAnsi="Arial" w:cs="Arial"/>
                <w:b/>
                <w:lang w:val="es-MX"/>
              </w:rPr>
            </w:pPr>
            <w:r>
              <w:rPr>
                <w:rFonts w:ascii="Arial" w:hAnsi="Arial" w:cs="Arial"/>
                <w:b/>
                <w:lang w:val="es-MX"/>
              </w:rPr>
              <w:t>FUNCIONAMIENTO</w:t>
            </w:r>
          </w:p>
          <w:p w14:paraId="6FB429CC" w14:textId="77777777" w:rsidR="006C719C" w:rsidRDefault="006C719C" w:rsidP="006C719C">
            <w:pPr>
              <w:jc w:val="both"/>
              <w:rPr>
                <w:rFonts w:ascii="Arial" w:hAnsi="Arial" w:cs="Arial"/>
                <w:b/>
                <w:lang w:val="es-MX"/>
              </w:rPr>
            </w:pPr>
            <w:r>
              <w:rPr>
                <w:rFonts w:ascii="Arial" w:hAnsi="Arial" w:cs="Arial"/>
                <w:b/>
                <w:lang w:val="es-MX"/>
              </w:rPr>
              <w:t>INVERSIÓN</w:t>
            </w:r>
          </w:p>
          <w:p w14:paraId="6DB4798F" w14:textId="77777777" w:rsidR="006C719C" w:rsidRDefault="006C719C" w:rsidP="006C719C">
            <w:pPr>
              <w:jc w:val="both"/>
              <w:rPr>
                <w:rFonts w:ascii="Arial" w:hAnsi="Arial" w:cs="Arial"/>
                <w:b/>
                <w:lang w:val="es-MX"/>
              </w:rPr>
            </w:pPr>
          </w:p>
          <w:p w14:paraId="11D36F95" w14:textId="3FA845EE" w:rsidR="006C719C" w:rsidRPr="00A26438" w:rsidRDefault="006C719C" w:rsidP="006C719C">
            <w:pPr>
              <w:jc w:val="both"/>
              <w:rPr>
                <w:rFonts w:ascii="Arial" w:eastAsia="Calibri" w:hAnsi="Arial" w:cs="Arial"/>
                <w:b/>
                <w:lang w:val="es-MX"/>
              </w:rPr>
            </w:pPr>
            <w:r>
              <w:rPr>
                <w:rFonts w:ascii="Arial" w:hAnsi="Arial" w:cs="Arial"/>
                <w:b/>
                <w:lang w:val="es-MX"/>
              </w:rPr>
              <w:t>TOTAL PRESUPUESTO</w:t>
            </w:r>
          </w:p>
        </w:tc>
        <w:tc>
          <w:tcPr>
            <w:tcW w:w="1839" w:type="dxa"/>
          </w:tcPr>
          <w:p w14:paraId="6014C001" w14:textId="77777777" w:rsidR="006C719C" w:rsidRDefault="006C719C" w:rsidP="00042E94">
            <w:pPr>
              <w:jc w:val="center"/>
              <w:rPr>
                <w:rFonts w:ascii="Arial" w:eastAsia="Calibri" w:hAnsi="Arial" w:cs="Arial"/>
                <w:b/>
                <w:u w:val="single"/>
              </w:rPr>
            </w:pPr>
          </w:p>
          <w:p w14:paraId="635628D5" w14:textId="77777777" w:rsidR="006C719C" w:rsidRDefault="006C719C" w:rsidP="00042E94">
            <w:pPr>
              <w:jc w:val="center"/>
              <w:rPr>
                <w:rFonts w:ascii="Arial" w:eastAsia="Calibri" w:hAnsi="Arial" w:cs="Arial"/>
                <w:b/>
                <w:u w:val="single"/>
              </w:rPr>
            </w:pPr>
          </w:p>
          <w:p w14:paraId="11E0EDBA" w14:textId="77777777" w:rsidR="006C719C" w:rsidRDefault="006C719C" w:rsidP="00042E94">
            <w:pPr>
              <w:jc w:val="center"/>
              <w:rPr>
                <w:rFonts w:ascii="Arial" w:eastAsia="Calibri" w:hAnsi="Arial" w:cs="Arial"/>
                <w:b/>
                <w:u w:val="single"/>
              </w:rPr>
            </w:pPr>
          </w:p>
          <w:p w14:paraId="69B29FB8" w14:textId="53117219" w:rsidR="006C719C" w:rsidRDefault="006C719C" w:rsidP="00042E94">
            <w:pPr>
              <w:jc w:val="center"/>
              <w:rPr>
                <w:rFonts w:ascii="Arial" w:eastAsia="Calibri" w:hAnsi="Arial" w:cs="Arial"/>
                <w:b/>
                <w:u w:val="single"/>
              </w:rPr>
            </w:pPr>
            <w:r>
              <w:rPr>
                <w:rFonts w:ascii="Arial" w:eastAsia="Calibri" w:hAnsi="Arial" w:cs="Arial"/>
                <w:b/>
                <w:u w:val="single"/>
              </w:rPr>
              <w:t>99.08%</w:t>
            </w:r>
          </w:p>
          <w:p w14:paraId="7AA1EEA7" w14:textId="62323F7A" w:rsidR="006C719C" w:rsidRDefault="006C719C" w:rsidP="00042E94">
            <w:pPr>
              <w:jc w:val="center"/>
              <w:rPr>
                <w:rFonts w:ascii="Arial" w:eastAsia="Calibri" w:hAnsi="Arial" w:cs="Arial"/>
                <w:b/>
                <w:u w:val="single"/>
              </w:rPr>
            </w:pPr>
            <w:r>
              <w:rPr>
                <w:rFonts w:ascii="Arial" w:eastAsia="Calibri" w:hAnsi="Arial" w:cs="Arial"/>
                <w:b/>
                <w:u w:val="single"/>
              </w:rPr>
              <w:t>94.58%</w:t>
            </w:r>
          </w:p>
          <w:p w14:paraId="019D2CB7" w14:textId="77777777" w:rsidR="006C719C" w:rsidRDefault="006C719C" w:rsidP="00042E94">
            <w:pPr>
              <w:jc w:val="center"/>
              <w:rPr>
                <w:rFonts w:ascii="Arial" w:eastAsia="Calibri" w:hAnsi="Arial" w:cs="Arial"/>
                <w:b/>
                <w:u w:val="single"/>
              </w:rPr>
            </w:pPr>
          </w:p>
          <w:p w14:paraId="776C59A1" w14:textId="183C6EE6" w:rsidR="006C719C" w:rsidRDefault="006C719C" w:rsidP="00042E94">
            <w:pPr>
              <w:jc w:val="center"/>
              <w:rPr>
                <w:rFonts w:ascii="Arial" w:eastAsia="Calibri" w:hAnsi="Arial" w:cs="Arial"/>
                <w:b/>
                <w:u w:val="single"/>
              </w:rPr>
            </w:pPr>
            <w:r>
              <w:rPr>
                <w:rFonts w:ascii="Arial" w:eastAsia="Calibri" w:hAnsi="Arial" w:cs="Arial"/>
                <w:b/>
                <w:u w:val="single"/>
              </w:rPr>
              <w:t>98.59%</w:t>
            </w:r>
          </w:p>
        </w:tc>
        <w:tc>
          <w:tcPr>
            <w:tcW w:w="1804" w:type="dxa"/>
          </w:tcPr>
          <w:p w14:paraId="0F73357B" w14:textId="77777777" w:rsidR="006C719C" w:rsidRDefault="006C719C" w:rsidP="00042E94">
            <w:pPr>
              <w:jc w:val="center"/>
              <w:rPr>
                <w:rFonts w:ascii="Arial" w:eastAsia="Calibri" w:hAnsi="Arial" w:cs="Arial"/>
                <w:b/>
                <w:u w:val="single"/>
              </w:rPr>
            </w:pPr>
          </w:p>
          <w:p w14:paraId="51AB90FE" w14:textId="77777777" w:rsidR="006C719C" w:rsidRDefault="006C719C" w:rsidP="00042E94">
            <w:pPr>
              <w:jc w:val="center"/>
              <w:rPr>
                <w:rFonts w:ascii="Arial" w:eastAsia="Calibri" w:hAnsi="Arial" w:cs="Arial"/>
                <w:b/>
                <w:u w:val="single"/>
              </w:rPr>
            </w:pPr>
          </w:p>
          <w:p w14:paraId="4655A4EE" w14:textId="77777777" w:rsidR="006C719C" w:rsidRDefault="006C719C" w:rsidP="00042E94">
            <w:pPr>
              <w:jc w:val="center"/>
              <w:rPr>
                <w:rFonts w:ascii="Arial" w:eastAsia="Calibri" w:hAnsi="Arial" w:cs="Arial"/>
                <w:b/>
                <w:u w:val="single"/>
              </w:rPr>
            </w:pPr>
          </w:p>
          <w:p w14:paraId="7CA26AA9" w14:textId="59056EA4" w:rsidR="006C719C" w:rsidRDefault="006C719C" w:rsidP="00042E94">
            <w:pPr>
              <w:jc w:val="center"/>
              <w:rPr>
                <w:rFonts w:ascii="Arial" w:eastAsia="Calibri" w:hAnsi="Arial" w:cs="Arial"/>
                <w:b/>
                <w:u w:val="single"/>
              </w:rPr>
            </w:pPr>
            <w:r>
              <w:rPr>
                <w:rFonts w:ascii="Arial" w:eastAsia="Calibri" w:hAnsi="Arial" w:cs="Arial"/>
                <w:b/>
                <w:u w:val="single"/>
              </w:rPr>
              <w:t>89.11%</w:t>
            </w:r>
          </w:p>
          <w:p w14:paraId="02CA1917" w14:textId="19101FD5" w:rsidR="006C719C" w:rsidRDefault="006C719C" w:rsidP="00042E94">
            <w:pPr>
              <w:jc w:val="center"/>
              <w:rPr>
                <w:rFonts w:ascii="Arial" w:eastAsia="Calibri" w:hAnsi="Arial" w:cs="Arial"/>
                <w:b/>
                <w:u w:val="single"/>
              </w:rPr>
            </w:pPr>
            <w:r>
              <w:rPr>
                <w:rFonts w:ascii="Arial" w:eastAsia="Calibri" w:hAnsi="Arial" w:cs="Arial"/>
                <w:b/>
                <w:u w:val="single"/>
              </w:rPr>
              <w:t>36.79%</w:t>
            </w:r>
          </w:p>
          <w:p w14:paraId="6290C4B5" w14:textId="77777777" w:rsidR="006C719C" w:rsidRDefault="006C719C" w:rsidP="00042E94">
            <w:pPr>
              <w:jc w:val="center"/>
              <w:rPr>
                <w:rFonts w:ascii="Arial" w:eastAsia="Calibri" w:hAnsi="Arial" w:cs="Arial"/>
                <w:b/>
                <w:u w:val="single"/>
              </w:rPr>
            </w:pPr>
          </w:p>
          <w:p w14:paraId="12B75FAA" w14:textId="5C56084A" w:rsidR="006C719C" w:rsidRDefault="006C719C" w:rsidP="00042E94">
            <w:pPr>
              <w:jc w:val="center"/>
              <w:rPr>
                <w:rFonts w:ascii="Arial" w:eastAsia="Calibri" w:hAnsi="Arial" w:cs="Arial"/>
                <w:b/>
                <w:u w:val="single"/>
              </w:rPr>
            </w:pPr>
            <w:r>
              <w:rPr>
                <w:rFonts w:ascii="Arial" w:eastAsia="Calibri" w:hAnsi="Arial" w:cs="Arial"/>
                <w:b/>
                <w:u w:val="single"/>
              </w:rPr>
              <w:t>83.58%</w:t>
            </w:r>
          </w:p>
        </w:tc>
        <w:tc>
          <w:tcPr>
            <w:tcW w:w="2042" w:type="dxa"/>
          </w:tcPr>
          <w:p w14:paraId="67F45247" w14:textId="77777777" w:rsidR="006C719C" w:rsidRDefault="006C719C" w:rsidP="00042E94">
            <w:pPr>
              <w:jc w:val="center"/>
              <w:rPr>
                <w:rFonts w:ascii="Arial" w:eastAsia="Calibri" w:hAnsi="Arial" w:cs="Arial"/>
                <w:b/>
                <w:u w:val="single"/>
              </w:rPr>
            </w:pPr>
          </w:p>
          <w:p w14:paraId="1E62EEF7" w14:textId="77777777" w:rsidR="006C719C" w:rsidRDefault="006C719C" w:rsidP="00042E94">
            <w:pPr>
              <w:jc w:val="center"/>
              <w:rPr>
                <w:rFonts w:ascii="Arial" w:eastAsia="Calibri" w:hAnsi="Arial" w:cs="Arial"/>
                <w:b/>
                <w:u w:val="single"/>
              </w:rPr>
            </w:pPr>
          </w:p>
          <w:p w14:paraId="542A0201" w14:textId="77777777" w:rsidR="006C719C" w:rsidRDefault="006C719C" w:rsidP="00042E94">
            <w:pPr>
              <w:jc w:val="center"/>
              <w:rPr>
                <w:rFonts w:ascii="Arial" w:eastAsia="Calibri" w:hAnsi="Arial" w:cs="Arial"/>
                <w:b/>
                <w:u w:val="single"/>
              </w:rPr>
            </w:pPr>
          </w:p>
          <w:p w14:paraId="7379CC1A" w14:textId="01779D69" w:rsidR="006C719C" w:rsidRDefault="006C719C" w:rsidP="00042E94">
            <w:pPr>
              <w:jc w:val="center"/>
              <w:rPr>
                <w:rFonts w:ascii="Arial" w:eastAsia="Calibri" w:hAnsi="Arial" w:cs="Arial"/>
                <w:b/>
                <w:u w:val="single"/>
              </w:rPr>
            </w:pPr>
            <w:r>
              <w:rPr>
                <w:rFonts w:ascii="Arial" w:eastAsia="Calibri" w:hAnsi="Arial" w:cs="Arial"/>
                <w:b/>
                <w:u w:val="single"/>
              </w:rPr>
              <w:t>88.79%</w:t>
            </w:r>
          </w:p>
          <w:p w14:paraId="3C367278" w14:textId="5BEF7EA6" w:rsidR="006C719C" w:rsidRDefault="006C719C" w:rsidP="00042E94">
            <w:pPr>
              <w:jc w:val="center"/>
              <w:rPr>
                <w:rFonts w:ascii="Arial" w:eastAsia="Calibri" w:hAnsi="Arial" w:cs="Arial"/>
                <w:b/>
                <w:u w:val="single"/>
              </w:rPr>
            </w:pPr>
            <w:r>
              <w:rPr>
                <w:rFonts w:ascii="Arial" w:eastAsia="Calibri" w:hAnsi="Arial" w:cs="Arial"/>
                <w:b/>
                <w:u w:val="single"/>
              </w:rPr>
              <w:t>36.62%</w:t>
            </w:r>
          </w:p>
          <w:p w14:paraId="0F347E5F" w14:textId="77777777" w:rsidR="006C719C" w:rsidRDefault="006C719C" w:rsidP="00042E94">
            <w:pPr>
              <w:jc w:val="center"/>
              <w:rPr>
                <w:rFonts w:ascii="Arial" w:eastAsia="Calibri" w:hAnsi="Arial" w:cs="Arial"/>
                <w:b/>
                <w:u w:val="single"/>
              </w:rPr>
            </w:pPr>
          </w:p>
          <w:p w14:paraId="1FDDBF12" w14:textId="38124EC5" w:rsidR="006C719C" w:rsidRDefault="006C719C" w:rsidP="00042E94">
            <w:pPr>
              <w:jc w:val="center"/>
              <w:rPr>
                <w:rFonts w:ascii="Arial" w:eastAsia="Calibri" w:hAnsi="Arial" w:cs="Arial"/>
                <w:b/>
                <w:u w:val="single"/>
              </w:rPr>
            </w:pPr>
            <w:r>
              <w:rPr>
                <w:rFonts w:ascii="Arial" w:eastAsia="Calibri" w:hAnsi="Arial" w:cs="Arial"/>
                <w:b/>
                <w:u w:val="single"/>
              </w:rPr>
              <w:t>83.44%</w:t>
            </w:r>
          </w:p>
        </w:tc>
      </w:tr>
      <w:tr w:rsidR="00D30401" w:rsidRPr="004B1294" w14:paraId="6D16DD5A" w14:textId="77777777" w:rsidTr="00042E94">
        <w:tc>
          <w:tcPr>
            <w:tcW w:w="1550" w:type="dxa"/>
          </w:tcPr>
          <w:p w14:paraId="519EF443" w14:textId="1EF6B9D4" w:rsidR="00D30401" w:rsidRDefault="00D30401" w:rsidP="00042E94">
            <w:pPr>
              <w:jc w:val="center"/>
              <w:rPr>
                <w:rFonts w:ascii="Arial" w:hAnsi="Arial" w:cs="Arial"/>
                <w:b/>
              </w:rPr>
            </w:pPr>
            <w:r>
              <w:rPr>
                <w:rFonts w:ascii="Arial" w:hAnsi="Arial" w:cs="Arial"/>
                <w:b/>
              </w:rPr>
              <w:t>307</w:t>
            </w:r>
          </w:p>
        </w:tc>
        <w:tc>
          <w:tcPr>
            <w:tcW w:w="3255" w:type="dxa"/>
          </w:tcPr>
          <w:p w14:paraId="2136ACF3" w14:textId="7FD2C544" w:rsidR="00D30401" w:rsidRPr="00D30401" w:rsidRDefault="00D30401" w:rsidP="00D30401">
            <w:pPr>
              <w:jc w:val="both"/>
              <w:rPr>
                <w:rFonts w:ascii="Arial" w:hAnsi="Arial" w:cs="Arial"/>
                <w:b/>
                <w:lang w:val="es-MX"/>
              </w:rPr>
            </w:pPr>
            <w:r w:rsidRPr="00D30401">
              <w:rPr>
                <w:rFonts w:ascii="Arial" w:hAnsi="Arial" w:cs="Arial"/>
                <w:b/>
                <w:lang w:val="es-MX"/>
              </w:rPr>
              <w:t>U.A.E. AGENCIA NACIONAL DE DEFENSA JURÍDICA DEL ESTADO.</w:t>
            </w:r>
          </w:p>
          <w:p w14:paraId="641E95FF" w14:textId="77777777" w:rsidR="00D30401" w:rsidRDefault="00D30401" w:rsidP="006C719C">
            <w:pPr>
              <w:jc w:val="both"/>
              <w:rPr>
                <w:rFonts w:ascii="Arial" w:hAnsi="Arial" w:cs="Arial"/>
                <w:b/>
                <w:lang w:val="es-MX"/>
              </w:rPr>
            </w:pPr>
          </w:p>
          <w:p w14:paraId="343A071C" w14:textId="77777777" w:rsidR="00D30401" w:rsidRDefault="00D30401" w:rsidP="00D30401">
            <w:pPr>
              <w:jc w:val="both"/>
              <w:rPr>
                <w:rFonts w:ascii="Arial" w:hAnsi="Arial" w:cs="Arial"/>
                <w:b/>
                <w:lang w:val="es-MX"/>
              </w:rPr>
            </w:pPr>
            <w:r>
              <w:rPr>
                <w:rFonts w:ascii="Arial" w:hAnsi="Arial" w:cs="Arial"/>
                <w:b/>
                <w:lang w:val="es-MX"/>
              </w:rPr>
              <w:t>FUNCIONAMIENTO</w:t>
            </w:r>
          </w:p>
          <w:p w14:paraId="312F9776" w14:textId="77777777" w:rsidR="00D30401" w:rsidRDefault="00D30401" w:rsidP="00D30401">
            <w:pPr>
              <w:jc w:val="both"/>
              <w:rPr>
                <w:rFonts w:ascii="Arial" w:hAnsi="Arial" w:cs="Arial"/>
                <w:b/>
                <w:lang w:val="es-MX"/>
              </w:rPr>
            </w:pPr>
            <w:r>
              <w:rPr>
                <w:rFonts w:ascii="Arial" w:hAnsi="Arial" w:cs="Arial"/>
                <w:b/>
                <w:lang w:val="es-MX"/>
              </w:rPr>
              <w:t>INVERSIÓN</w:t>
            </w:r>
          </w:p>
          <w:p w14:paraId="09D25EFD" w14:textId="77777777" w:rsidR="00D30401" w:rsidRDefault="00D30401" w:rsidP="00D30401">
            <w:pPr>
              <w:jc w:val="both"/>
              <w:rPr>
                <w:rFonts w:ascii="Arial" w:hAnsi="Arial" w:cs="Arial"/>
                <w:b/>
                <w:lang w:val="es-MX"/>
              </w:rPr>
            </w:pPr>
          </w:p>
          <w:p w14:paraId="5A0D80AF" w14:textId="6692D092" w:rsidR="00D30401" w:rsidRPr="00D30401" w:rsidRDefault="00D30401" w:rsidP="00D30401">
            <w:pPr>
              <w:jc w:val="both"/>
              <w:rPr>
                <w:rFonts w:ascii="Arial" w:hAnsi="Arial" w:cs="Arial"/>
                <w:b/>
                <w:lang w:val="es-MX"/>
              </w:rPr>
            </w:pPr>
            <w:r>
              <w:rPr>
                <w:rFonts w:ascii="Arial" w:hAnsi="Arial" w:cs="Arial"/>
                <w:b/>
                <w:lang w:val="es-MX"/>
              </w:rPr>
              <w:t>TOTAL PRESUPUESTO</w:t>
            </w:r>
          </w:p>
        </w:tc>
        <w:tc>
          <w:tcPr>
            <w:tcW w:w="1839" w:type="dxa"/>
          </w:tcPr>
          <w:p w14:paraId="739E87F7" w14:textId="77777777" w:rsidR="00D30401" w:rsidRDefault="00D30401" w:rsidP="00042E94">
            <w:pPr>
              <w:jc w:val="center"/>
              <w:rPr>
                <w:rFonts w:ascii="Arial" w:eastAsia="Calibri" w:hAnsi="Arial" w:cs="Arial"/>
                <w:b/>
                <w:u w:val="single"/>
              </w:rPr>
            </w:pPr>
          </w:p>
          <w:p w14:paraId="72C87A61" w14:textId="77777777" w:rsidR="00D30401" w:rsidRDefault="00D30401" w:rsidP="00042E94">
            <w:pPr>
              <w:jc w:val="center"/>
              <w:rPr>
                <w:rFonts w:ascii="Arial" w:eastAsia="Calibri" w:hAnsi="Arial" w:cs="Arial"/>
                <w:b/>
                <w:u w:val="single"/>
              </w:rPr>
            </w:pPr>
          </w:p>
          <w:p w14:paraId="300E4552" w14:textId="77777777" w:rsidR="00D30401" w:rsidRDefault="00D30401" w:rsidP="00042E94">
            <w:pPr>
              <w:jc w:val="center"/>
              <w:rPr>
                <w:rFonts w:ascii="Arial" w:eastAsia="Calibri" w:hAnsi="Arial" w:cs="Arial"/>
                <w:b/>
                <w:u w:val="single"/>
              </w:rPr>
            </w:pPr>
          </w:p>
          <w:p w14:paraId="6D337AF1" w14:textId="77777777" w:rsidR="00D30401" w:rsidRDefault="00D30401" w:rsidP="00042E94">
            <w:pPr>
              <w:jc w:val="center"/>
              <w:rPr>
                <w:rFonts w:ascii="Arial" w:eastAsia="Calibri" w:hAnsi="Arial" w:cs="Arial"/>
                <w:b/>
                <w:u w:val="single"/>
              </w:rPr>
            </w:pPr>
          </w:p>
          <w:p w14:paraId="0A95733F" w14:textId="3AB5CF3E" w:rsidR="00D30401" w:rsidRDefault="00D30401" w:rsidP="00042E94">
            <w:pPr>
              <w:jc w:val="center"/>
              <w:rPr>
                <w:rFonts w:ascii="Arial" w:eastAsia="Calibri" w:hAnsi="Arial" w:cs="Arial"/>
                <w:b/>
                <w:u w:val="single"/>
              </w:rPr>
            </w:pPr>
            <w:r>
              <w:rPr>
                <w:rFonts w:ascii="Arial" w:eastAsia="Calibri" w:hAnsi="Arial" w:cs="Arial"/>
                <w:b/>
                <w:u w:val="single"/>
              </w:rPr>
              <w:t>98.00%</w:t>
            </w:r>
          </w:p>
          <w:p w14:paraId="2DEA1E64" w14:textId="0BC0B87A" w:rsidR="00D30401" w:rsidRDefault="00D30401" w:rsidP="00042E94">
            <w:pPr>
              <w:jc w:val="center"/>
              <w:rPr>
                <w:rFonts w:ascii="Arial" w:eastAsia="Calibri" w:hAnsi="Arial" w:cs="Arial"/>
                <w:b/>
                <w:u w:val="single"/>
              </w:rPr>
            </w:pPr>
            <w:r>
              <w:rPr>
                <w:rFonts w:ascii="Arial" w:eastAsia="Calibri" w:hAnsi="Arial" w:cs="Arial"/>
                <w:b/>
                <w:u w:val="single"/>
              </w:rPr>
              <w:t>95.00%</w:t>
            </w:r>
          </w:p>
          <w:p w14:paraId="58B87FA9" w14:textId="77777777" w:rsidR="00D30401" w:rsidRDefault="00D30401" w:rsidP="00042E94">
            <w:pPr>
              <w:jc w:val="center"/>
              <w:rPr>
                <w:rFonts w:ascii="Arial" w:eastAsia="Calibri" w:hAnsi="Arial" w:cs="Arial"/>
                <w:b/>
                <w:u w:val="single"/>
              </w:rPr>
            </w:pPr>
          </w:p>
          <w:p w14:paraId="530EAB51" w14:textId="69585BF6" w:rsidR="00D30401" w:rsidRDefault="00D30401" w:rsidP="00042E94">
            <w:pPr>
              <w:jc w:val="center"/>
              <w:rPr>
                <w:rFonts w:ascii="Arial" w:eastAsia="Calibri" w:hAnsi="Arial" w:cs="Arial"/>
                <w:b/>
                <w:u w:val="single"/>
              </w:rPr>
            </w:pPr>
            <w:r>
              <w:rPr>
                <w:rFonts w:ascii="Arial" w:eastAsia="Calibri" w:hAnsi="Arial" w:cs="Arial"/>
                <w:b/>
                <w:u w:val="single"/>
              </w:rPr>
              <w:t>97.00%</w:t>
            </w:r>
          </w:p>
        </w:tc>
        <w:tc>
          <w:tcPr>
            <w:tcW w:w="1804" w:type="dxa"/>
          </w:tcPr>
          <w:p w14:paraId="4332549B" w14:textId="77777777" w:rsidR="00D30401" w:rsidRDefault="00D30401" w:rsidP="00042E94">
            <w:pPr>
              <w:jc w:val="center"/>
              <w:rPr>
                <w:rFonts w:ascii="Arial" w:eastAsia="Calibri" w:hAnsi="Arial" w:cs="Arial"/>
                <w:b/>
                <w:u w:val="single"/>
              </w:rPr>
            </w:pPr>
          </w:p>
          <w:p w14:paraId="6879FDCD" w14:textId="77777777" w:rsidR="00D30401" w:rsidRDefault="00D30401" w:rsidP="00042E94">
            <w:pPr>
              <w:jc w:val="center"/>
              <w:rPr>
                <w:rFonts w:ascii="Arial" w:eastAsia="Calibri" w:hAnsi="Arial" w:cs="Arial"/>
                <w:b/>
                <w:u w:val="single"/>
              </w:rPr>
            </w:pPr>
          </w:p>
          <w:p w14:paraId="517640B1" w14:textId="77777777" w:rsidR="00D30401" w:rsidRDefault="00D30401" w:rsidP="00042E94">
            <w:pPr>
              <w:jc w:val="center"/>
              <w:rPr>
                <w:rFonts w:ascii="Arial" w:eastAsia="Calibri" w:hAnsi="Arial" w:cs="Arial"/>
                <w:b/>
                <w:u w:val="single"/>
              </w:rPr>
            </w:pPr>
          </w:p>
          <w:p w14:paraId="555C03DE" w14:textId="77777777" w:rsidR="00D30401" w:rsidRDefault="00D30401" w:rsidP="00042E94">
            <w:pPr>
              <w:jc w:val="center"/>
              <w:rPr>
                <w:rFonts w:ascii="Arial" w:eastAsia="Calibri" w:hAnsi="Arial" w:cs="Arial"/>
                <w:b/>
                <w:u w:val="single"/>
              </w:rPr>
            </w:pPr>
          </w:p>
          <w:p w14:paraId="058A39E9" w14:textId="6EDCA6CB" w:rsidR="00D30401" w:rsidRDefault="00D30401" w:rsidP="00042E94">
            <w:pPr>
              <w:jc w:val="center"/>
              <w:rPr>
                <w:rFonts w:ascii="Arial" w:eastAsia="Calibri" w:hAnsi="Arial" w:cs="Arial"/>
                <w:b/>
                <w:u w:val="single"/>
              </w:rPr>
            </w:pPr>
            <w:r>
              <w:rPr>
                <w:rFonts w:ascii="Arial" w:eastAsia="Calibri" w:hAnsi="Arial" w:cs="Arial"/>
                <w:b/>
                <w:u w:val="single"/>
              </w:rPr>
              <w:t>84.00%</w:t>
            </w:r>
          </w:p>
          <w:p w14:paraId="7AC0CEAB" w14:textId="56AC60A4" w:rsidR="00D30401" w:rsidRDefault="00D30401" w:rsidP="00042E94">
            <w:pPr>
              <w:jc w:val="center"/>
              <w:rPr>
                <w:rFonts w:ascii="Arial" w:eastAsia="Calibri" w:hAnsi="Arial" w:cs="Arial"/>
                <w:b/>
                <w:u w:val="single"/>
              </w:rPr>
            </w:pPr>
            <w:r>
              <w:rPr>
                <w:rFonts w:ascii="Arial" w:eastAsia="Calibri" w:hAnsi="Arial" w:cs="Arial"/>
                <w:b/>
                <w:u w:val="single"/>
              </w:rPr>
              <w:t>93.00%</w:t>
            </w:r>
          </w:p>
          <w:p w14:paraId="21250B36" w14:textId="77777777" w:rsidR="00D30401" w:rsidRDefault="00D30401" w:rsidP="00042E94">
            <w:pPr>
              <w:jc w:val="center"/>
              <w:rPr>
                <w:rFonts w:ascii="Arial" w:eastAsia="Calibri" w:hAnsi="Arial" w:cs="Arial"/>
                <w:b/>
                <w:u w:val="single"/>
              </w:rPr>
            </w:pPr>
          </w:p>
          <w:p w14:paraId="74CF11EC" w14:textId="405C9CAA" w:rsidR="00D30401" w:rsidRDefault="00D30401" w:rsidP="00042E94">
            <w:pPr>
              <w:jc w:val="center"/>
              <w:rPr>
                <w:rFonts w:ascii="Arial" w:eastAsia="Calibri" w:hAnsi="Arial" w:cs="Arial"/>
                <w:b/>
                <w:u w:val="single"/>
              </w:rPr>
            </w:pPr>
            <w:r>
              <w:rPr>
                <w:rFonts w:ascii="Arial" w:eastAsia="Calibri" w:hAnsi="Arial" w:cs="Arial"/>
                <w:b/>
                <w:u w:val="single"/>
              </w:rPr>
              <w:t>85.00%</w:t>
            </w:r>
          </w:p>
        </w:tc>
        <w:tc>
          <w:tcPr>
            <w:tcW w:w="2042" w:type="dxa"/>
          </w:tcPr>
          <w:p w14:paraId="1BDAED8F" w14:textId="77777777" w:rsidR="00D30401" w:rsidRDefault="00D30401" w:rsidP="00042E94">
            <w:pPr>
              <w:jc w:val="center"/>
              <w:rPr>
                <w:rFonts w:ascii="Arial" w:eastAsia="Calibri" w:hAnsi="Arial" w:cs="Arial"/>
                <w:b/>
                <w:u w:val="single"/>
              </w:rPr>
            </w:pPr>
          </w:p>
          <w:p w14:paraId="5A041C3E" w14:textId="77777777" w:rsidR="00D30401" w:rsidRDefault="00D30401" w:rsidP="00042E94">
            <w:pPr>
              <w:jc w:val="center"/>
              <w:rPr>
                <w:rFonts w:ascii="Arial" w:eastAsia="Calibri" w:hAnsi="Arial" w:cs="Arial"/>
                <w:b/>
                <w:u w:val="single"/>
              </w:rPr>
            </w:pPr>
          </w:p>
          <w:p w14:paraId="58075310" w14:textId="77777777" w:rsidR="00D30401" w:rsidRDefault="00D30401" w:rsidP="00042E94">
            <w:pPr>
              <w:jc w:val="center"/>
              <w:rPr>
                <w:rFonts w:ascii="Arial" w:eastAsia="Calibri" w:hAnsi="Arial" w:cs="Arial"/>
                <w:b/>
                <w:u w:val="single"/>
              </w:rPr>
            </w:pPr>
          </w:p>
          <w:p w14:paraId="2A581511" w14:textId="77777777" w:rsidR="00D30401" w:rsidRDefault="00D30401" w:rsidP="00042E94">
            <w:pPr>
              <w:jc w:val="center"/>
              <w:rPr>
                <w:rFonts w:ascii="Arial" w:eastAsia="Calibri" w:hAnsi="Arial" w:cs="Arial"/>
                <w:b/>
                <w:u w:val="single"/>
              </w:rPr>
            </w:pPr>
          </w:p>
          <w:p w14:paraId="2ACC121E" w14:textId="141F221B" w:rsidR="00D30401" w:rsidRDefault="00D30401" w:rsidP="00042E94">
            <w:pPr>
              <w:jc w:val="center"/>
              <w:rPr>
                <w:rFonts w:ascii="Arial" w:eastAsia="Calibri" w:hAnsi="Arial" w:cs="Arial"/>
                <w:b/>
                <w:u w:val="single"/>
              </w:rPr>
            </w:pPr>
            <w:r>
              <w:rPr>
                <w:rFonts w:ascii="Arial" w:eastAsia="Calibri" w:hAnsi="Arial" w:cs="Arial"/>
                <w:b/>
                <w:u w:val="single"/>
              </w:rPr>
              <w:t>82.00%</w:t>
            </w:r>
          </w:p>
          <w:p w14:paraId="331334F7" w14:textId="371AE7A4" w:rsidR="00D30401" w:rsidRDefault="00D30401" w:rsidP="00042E94">
            <w:pPr>
              <w:jc w:val="center"/>
              <w:rPr>
                <w:rFonts w:ascii="Arial" w:eastAsia="Calibri" w:hAnsi="Arial" w:cs="Arial"/>
                <w:b/>
                <w:u w:val="single"/>
              </w:rPr>
            </w:pPr>
            <w:r>
              <w:rPr>
                <w:rFonts w:ascii="Arial" w:eastAsia="Calibri" w:hAnsi="Arial" w:cs="Arial"/>
                <w:b/>
                <w:u w:val="single"/>
              </w:rPr>
              <w:t>68.00%</w:t>
            </w:r>
          </w:p>
          <w:p w14:paraId="754F5DAD" w14:textId="77777777" w:rsidR="00D30401" w:rsidRDefault="00D30401" w:rsidP="00042E94">
            <w:pPr>
              <w:jc w:val="center"/>
              <w:rPr>
                <w:rFonts w:ascii="Arial" w:eastAsia="Calibri" w:hAnsi="Arial" w:cs="Arial"/>
                <w:b/>
                <w:u w:val="single"/>
              </w:rPr>
            </w:pPr>
          </w:p>
          <w:p w14:paraId="46EF8039" w14:textId="1E214837" w:rsidR="00D30401" w:rsidRDefault="00D30401" w:rsidP="00042E94">
            <w:pPr>
              <w:jc w:val="center"/>
              <w:rPr>
                <w:rFonts w:ascii="Arial" w:eastAsia="Calibri" w:hAnsi="Arial" w:cs="Arial"/>
                <w:b/>
                <w:u w:val="single"/>
              </w:rPr>
            </w:pPr>
            <w:r>
              <w:rPr>
                <w:rFonts w:ascii="Arial" w:eastAsia="Calibri" w:hAnsi="Arial" w:cs="Arial"/>
                <w:b/>
                <w:u w:val="single"/>
              </w:rPr>
              <w:t>80.00%</w:t>
            </w:r>
          </w:p>
        </w:tc>
      </w:tr>
      <w:tr w:rsidR="00547369" w:rsidRPr="004B1294" w14:paraId="150CEE67" w14:textId="77777777" w:rsidTr="00042E94">
        <w:tc>
          <w:tcPr>
            <w:tcW w:w="1550" w:type="dxa"/>
          </w:tcPr>
          <w:p w14:paraId="1AAECDE5" w14:textId="5A228932" w:rsidR="00547369" w:rsidRDefault="00547369" w:rsidP="00042E94">
            <w:pPr>
              <w:jc w:val="center"/>
              <w:rPr>
                <w:rFonts w:ascii="Arial" w:hAnsi="Arial" w:cs="Arial"/>
                <w:b/>
              </w:rPr>
            </w:pPr>
            <w:r>
              <w:rPr>
                <w:rFonts w:ascii="Arial" w:hAnsi="Arial" w:cs="Arial"/>
                <w:b/>
              </w:rPr>
              <w:t>308</w:t>
            </w:r>
          </w:p>
        </w:tc>
        <w:tc>
          <w:tcPr>
            <w:tcW w:w="3255" w:type="dxa"/>
          </w:tcPr>
          <w:p w14:paraId="2C22B25F" w14:textId="1A0B0537" w:rsidR="00547369" w:rsidRPr="00547369" w:rsidRDefault="00547369" w:rsidP="00547369">
            <w:pPr>
              <w:jc w:val="both"/>
              <w:rPr>
                <w:rFonts w:ascii="Arial" w:hAnsi="Arial" w:cs="Arial"/>
                <w:b/>
                <w:lang w:val="es-MX"/>
              </w:rPr>
            </w:pPr>
            <w:r w:rsidRPr="00547369">
              <w:rPr>
                <w:rFonts w:ascii="Arial" w:hAnsi="Arial" w:cs="Arial"/>
                <w:b/>
                <w:lang w:val="es-MX"/>
              </w:rPr>
              <w:t>U.A.E. DE ORGANIZACIONES SOLIDARIAS.</w:t>
            </w:r>
          </w:p>
          <w:p w14:paraId="0B3B032B" w14:textId="77777777" w:rsidR="00547369" w:rsidRDefault="00547369" w:rsidP="00D30401">
            <w:pPr>
              <w:jc w:val="both"/>
              <w:rPr>
                <w:rFonts w:ascii="Arial" w:hAnsi="Arial" w:cs="Arial"/>
                <w:b/>
                <w:lang w:val="es-MX"/>
              </w:rPr>
            </w:pPr>
          </w:p>
          <w:p w14:paraId="415A0CE4" w14:textId="77777777" w:rsidR="00547369" w:rsidRDefault="00547369" w:rsidP="00547369">
            <w:pPr>
              <w:jc w:val="both"/>
              <w:rPr>
                <w:rFonts w:ascii="Arial" w:hAnsi="Arial" w:cs="Arial"/>
                <w:b/>
                <w:lang w:val="es-MX"/>
              </w:rPr>
            </w:pPr>
            <w:r>
              <w:rPr>
                <w:rFonts w:ascii="Arial" w:hAnsi="Arial" w:cs="Arial"/>
                <w:b/>
                <w:lang w:val="es-MX"/>
              </w:rPr>
              <w:t>FUNCIONAMIENTO</w:t>
            </w:r>
          </w:p>
          <w:p w14:paraId="36AD56DA" w14:textId="77777777" w:rsidR="00547369" w:rsidRDefault="00547369" w:rsidP="00547369">
            <w:pPr>
              <w:jc w:val="both"/>
              <w:rPr>
                <w:rFonts w:ascii="Arial" w:hAnsi="Arial" w:cs="Arial"/>
                <w:b/>
                <w:lang w:val="es-MX"/>
              </w:rPr>
            </w:pPr>
            <w:r>
              <w:rPr>
                <w:rFonts w:ascii="Arial" w:hAnsi="Arial" w:cs="Arial"/>
                <w:b/>
                <w:lang w:val="es-MX"/>
              </w:rPr>
              <w:t>INVERSIÓN</w:t>
            </w:r>
          </w:p>
          <w:p w14:paraId="32E9C2BC" w14:textId="77777777" w:rsidR="00547369" w:rsidRDefault="00547369" w:rsidP="00547369">
            <w:pPr>
              <w:jc w:val="both"/>
              <w:rPr>
                <w:rFonts w:ascii="Arial" w:hAnsi="Arial" w:cs="Arial"/>
                <w:b/>
                <w:lang w:val="es-MX"/>
              </w:rPr>
            </w:pPr>
          </w:p>
          <w:p w14:paraId="3F1D8D8D" w14:textId="4CE08275" w:rsidR="00547369" w:rsidRPr="00D30401" w:rsidRDefault="00547369" w:rsidP="00547369">
            <w:pPr>
              <w:jc w:val="both"/>
              <w:rPr>
                <w:rFonts w:ascii="Arial" w:hAnsi="Arial" w:cs="Arial"/>
                <w:b/>
                <w:lang w:val="es-MX"/>
              </w:rPr>
            </w:pPr>
            <w:r>
              <w:rPr>
                <w:rFonts w:ascii="Arial" w:hAnsi="Arial" w:cs="Arial"/>
                <w:b/>
                <w:lang w:val="es-MX"/>
              </w:rPr>
              <w:t>TOTAL PRESUPUESTO</w:t>
            </w:r>
          </w:p>
        </w:tc>
        <w:tc>
          <w:tcPr>
            <w:tcW w:w="1839" w:type="dxa"/>
          </w:tcPr>
          <w:p w14:paraId="1456D1F8" w14:textId="77777777" w:rsidR="00547369" w:rsidRDefault="00547369" w:rsidP="00042E94">
            <w:pPr>
              <w:jc w:val="center"/>
              <w:rPr>
                <w:rFonts w:ascii="Arial" w:eastAsia="Calibri" w:hAnsi="Arial" w:cs="Arial"/>
                <w:b/>
                <w:u w:val="single"/>
              </w:rPr>
            </w:pPr>
          </w:p>
          <w:p w14:paraId="628514B6" w14:textId="77777777" w:rsidR="00547369" w:rsidRDefault="00547369" w:rsidP="00042E94">
            <w:pPr>
              <w:jc w:val="center"/>
              <w:rPr>
                <w:rFonts w:ascii="Arial" w:eastAsia="Calibri" w:hAnsi="Arial" w:cs="Arial"/>
                <w:b/>
                <w:u w:val="single"/>
              </w:rPr>
            </w:pPr>
          </w:p>
          <w:p w14:paraId="738E4073" w14:textId="77777777" w:rsidR="00547369" w:rsidRDefault="00547369" w:rsidP="00042E94">
            <w:pPr>
              <w:jc w:val="center"/>
              <w:rPr>
                <w:rFonts w:ascii="Arial" w:eastAsia="Calibri" w:hAnsi="Arial" w:cs="Arial"/>
                <w:b/>
                <w:u w:val="single"/>
              </w:rPr>
            </w:pPr>
          </w:p>
          <w:p w14:paraId="6FC3B63E" w14:textId="0ED2DAD3" w:rsidR="00547369" w:rsidRDefault="00547369" w:rsidP="00042E94">
            <w:pPr>
              <w:jc w:val="center"/>
              <w:rPr>
                <w:rFonts w:ascii="Arial" w:eastAsia="Calibri" w:hAnsi="Arial" w:cs="Arial"/>
                <w:b/>
                <w:u w:val="single"/>
              </w:rPr>
            </w:pPr>
            <w:r>
              <w:rPr>
                <w:rFonts w:ascii="Arial" w:eastAsia="Calibri" w:hAnsi="Arial" w:cs="Arial"/>
                <w:b/>
                <w:u w:val="single"/>
              </w:rPr>
              <w:t>97.41%</w:t>
            </w:r>
          </w:p>
          <w:p w14:paraId="459F436C" w14:textId="44BD1760" w:rsidR="00547369" w:rsidRDefault="00547369" w:rsidP="00042E94">
            <w:pPr>
              <w:jc w:val="center"/>
              <w:rPr>
                <w:rFonts w:ascii="Arial" w:eastAsia="Calibri" w:hAnsi="Arial" w:cs="Arial"/>
                <w:b/>
                <w:u w:val="single"/>
              </w:rPr>
            </w:pPr>
            <w:r>
              <w:rPr>
                <w:rFonts w:ascii="Arial" w:eastAsia="Calibri" w:hAnsi="Arial" w:cs="Arial"/>
                <w:b/>
                <w:u w:val="single"/>
              </w:rPr>
              <w:t>99.43%</w:t>
            </w:r>
          </w:p>
          <w:p w14:paraId="00F8991F" w14:textId="77777777" w:rsidR="00547369" w:rsidRDefault="00547369" w:rsidP="00042E94">
            <w:pPr>
              <w:jc w:val="center"/>
              <w:rPr>
                <w:rFonts w:ascii="Arial" w:eastAsia="Calibri" w:hAnsi="Arial" w:cs="Arial"/>
                <w:b/>
                <w:u w:val="single"/>
              </w:rPr>
            </w:pPr>
          </w:p>
          <w:p w14:paraId="6BCC3F60" w14:textId="7D3EAD28" w:rsidR="00547369" w:rsidRDefault="00547369" w:rsidP="00042E94">
            <w:pPr>
              <w:jc w:val="center"/>
              <w:rPr>
                <w:rFonts w:ascii="Arial" w:eastAsia="Calibri" w:hAnsi="Arial" w:cs="Arial"/>
                <w:b/>
                <w:u w:val="single"/>
              </w:rPr>
            </w:pPr>
            <w:r>
              <w:rPr>
                <w:rFonts w:ascii="Arial" w:eastAsia="Calibri" w:hAnsi="Arial" w:cs="Arial"/>
                <w:b/>
                <w:u w:val="single"/>
              </w:rPr>
              <w:t>98.97%</w:t>
            </w:r>
          </w:p>
        </w:tc>
        <w:tc>
          <w:tcPr>
            <w:tcW w:w="1804" w:type="dxa"/>
          </w:tcPr>
          <w:p w14:paraId="73B73F58" w14:textId="77777777" w:rsidR="00547369" w:rsidRDefault="00547369" w:rsidP="00042E94">
            <w:pPr>
              <w:jc w:val="center"/>
              <w:rPr>
                <w:rFonts w:ascii="Arial" w:eastAsia="Calibri" w:hAnsi="Arial" w:cs="Arial"/>
                <w:b/>
                <w:u w:val="single"/>
              </w:rPr>
            </w:pPr>
          </w:p>
          <w:p w14:paraId="7973EF40" w14:textId="77777777" w:rsidR="00547369" w:rsidRDefault="00547369" w:rsidP="00042E94">
            <w:pPr>
              <w:jc w:val="center"/>
              <w:rPr>
                <w:rFonts w:ascii="Arial" w:eastAsia="Calibri" w:hAnsi="Arial" w:cs="Arial"/>
                <w:b/>
                <w:u w:val="single"/>
              </w:rPr>
            </w:pPr>
          </w:p>
          <w:p w14:paraId="0E7675A7" w14:textId="77777777" w:rsidR="00547369" w:rsidRDefault="00547369" w:rsidP="00042E94">
            <w:pPr>
              <w:jc w:val="center"/>
              <w:rPr>
                <w:rFonts w:ascii="Arial" w:eastAsia="Calibri" w:hAnsi="Arial" w:cs="Arial"/>
                <w:b/>
                <w:u w:val="single"/>
              </w:rPr>
            </w:pPr>
          </w:p>
          <w:p w14:paraId="29E2E1D7" w14:textId="44AD6837" w:rsidR="00547369" w:rsidRDefault="00547369" w:rsidP="00042E94">
            <w:pPr>
              <w:jc w:val="center"/>
              <w:rPr>
                <w:rFonts w:ascii="Arial" w:eastAsia="Calibri" w:hAnsi="Arial" w:cs="Arial"/>
                <w:b/>
                <w:u w:val="single"/>
              </w:rPr>
            </w:pPr>
            <w:r>
              <w:rPr>
                <w:rFonts w:ascii="Arial" w:eastAsia="Calibri" w:hAnsi="Arial" w:cs="Arial"/>
                <w:b/>
                <w:u w:val="single"/>
              </w:rPr>
              <w:t>95.49%</w:t>
            </w:r>
          </w:p>
          <w:p w14:paraId="6D8F68FF" w14:textId="2B4301EB" w:rsidR="00547369" w:rsidRDefault="00547369" w:rsidP="00042E94">
            <w:pPr>
              <w:jc w:val="center"/>
              <w:rPr>
                <w:rFonts w:ascii="Arial" w:eastAsia="Calibri" w:hAnsi="Arial" w:cs="Arial"/>
                <w:b/>
                <w:u w:val="single"/>
              </w:rPr>
            </w:pPr>
            <w:r>
              <w:rPr>
                <w:rFonts w:ascii="Arial" w:eastAsia="Calibri" w:hAnsi="Arial" w:cs="Arial"/>
                <w:b/>
                <w:u w:val="single"/>
              </w:rPr>
              <w:t>89.33%</w:t>
            </w:r>
          </w:p>
          <w:p w14:paraId="13465A34" w14:textId="77777777" w:rsidR="00547369" w:rsidRDefault="00547369" w:rsidP="00042E94">
            <w:pPr>
              <w:jc w:val="center"/>
              <w:rPr>
                <w:rFonts w:ascii="Arial" w:eastAsia="Calibri" w:hAnsi="Arial" w:cs="Arial"/>
                <w:b/>
                <w:u w:val="single"/>
              </w:rPr>
            </w:pPr>
          </w:p>
          <w:p w14:paraId="15A827F6" w14:textId="1DE0B62B" w:rsidR="00547369" w:rsidRDefault="00547369" w:rsidP="00042E94">
            <w:pPr>
              <w:jc w:val="center"/>
              <w:rPr>
                <w:rFonts w:ascii="Arial" w:eastAsia="Calibri" w:hAnsi="Arial" w:cs="Arial"/>
                <w:b/>
                <w:u w:val="single"/>
              </w:rPr>
            </w:pPr>
            <w:r>
              <w:rPr>
                <w:rFonts w:ascii="Arial" w:eastAsia="Calibri" w:hAnsi="Arial" w:cs="Arial"/>
                <w:b/>
                <w:u w:val="single"/>
              </w:rPr>
              <w:t>90.74%</w:t>
            </w:r>
          </w:p>
        </w:tc>
        <w:tc>
          <w:tcPr>
            <w:tcW w:w="2042" w:type="dxa"/>
          </w:tcPr>
          <w:p w14:paraId="33938778" w14:textId="77777777" w:rsidR="00547369" w:rsidRDefault="00547369" w:rsidP="00042E94">
            <w:pPr>
              <w:jc w:val="center"/>
              <w:rPr>
                <w:rFonts w:ascii="Arial" w:eastAsia="Calibri" w:hAnsi="Arial" w:cs="Arial"/>
                <w:b/>
                <w:u w:val="single"/>
              </w:rPr>
            </w:pPr>
          </w:p>
          <w:p w14:paraId="2B5AB4E7" w14:textId="77777777" w:rsidR="00547369" w:rsidRDefault="00547369" w:rsidP="00042E94">
            <w:pPr>
              <w:jc w:val="center"/>
              <w:rPr>
                <w:rFonts w:ascii="Arial" w:eastAsia="Calibri" w:hAnsi="Arial" w:cs="Arial"/>
                <w:b/>
                <w:u w:val="single"/>
              </w:rPr>
            </w:pPr>
          </w:p>
          <w:p w14:paraId="52AF2459" w14:textId="77777777" w:rsidR="00547369" w:rsidRDefault="00547369" w:rsidP="00042E94">
            <w:pPr>
              <w:jc w:val="center"/>
              <w:rPr>
                <w:rFonts w:ascii="Arial" w:eastAsia="Calibri" w:hAnsi="Arial" w:cs="Arial"/>
                <w:b/>
                <w:u w:val="single"/>
              </w:rPr>
            </w:pPr>
          </w:p>
          <w:p w14:paraId="6D636B6B" w14:textId="4EB7D893" w:rsidR="00547369" w:rsidRDefault="00547369" w:rsidP="00042E94">
            <w:pPr>
              <w:jc w:val="center"/>
              <w:rPr>
                <w:rFonts w:ascii="Arial" w:eastAsia="Calibri" w:hAnsi="Arial" w:cs="Arial"/>
                <w:b/>
                <w:u w:val="single"/>
              </w:rPr>
            </w:pPr>
            <w:r>
              <w:rPr>
                <w:rFonts w:ascii="Arial" w:eastAsia="Calibri" w:hAnsi="Arial" w:cs="Arial"/>
                <w:b/>
                <w:u w:val="single"/>
              </w:rPr>
              <w:t>94.71%</w:t>
            </w:r>
          </w:p>
          <w:p w14:paraId="61171D33" w14:textId="6769EECE" w:rsidR="00547369" w:rsidRDefault="00547369" w:rsidP="00042E94">
            <w:pPr>
              <w:jc w:val="center"/>
              <w:rPr>
                <w:rFonts w:ascii="Arial" w:eastAsia="Calibri" w:hAnsi="Arial" w:cs="Arial"/>
                <w:b/>
                <w:u w:val="single"/>
              </w:rPr>
            </w:pPr>
            <w:r>
              <w:rPr>
                <w:rFonts w:ascii="Arial" w:eastAsia="Calibri" w:hAnsi="Arial" w:cs="Arial"/>
                <w:b/>
                <w:u w:val="single"/>
              </w:rPr>
              <w:t>87.94%</w:t>
            </w:r>
          </w:p>
          <w:p w14:paraId="6B1D0F54" w14:textId="77777777" w:rsidR="00547369" w:rsidRDefault="00547369" w:rsidP="00042E94">
            <w:pPr>
              <w:jc w:val="center"/>
              <w:rPr>
                <w:rFonts w:ascii="Arial" w:eastAsia="Calibri" w:hAnsi="Arial" w:cs="Arial"/>
                <w:b/>
                <w:u w:val="single"/>
              </w:rPr>
            </w:pPr>
          </w:p>
          <w:p w14:paraId="6F11B300" w14:textId="49BE5CE4" w:rsidR="00547369" w:rsidRDefault="00547369" w:rsidP="00042E94">
            <w:pPr>
              <w:jc w:val="center"/>
              <w:rPr>
                <w:rFonts w:ascii="Arial" w:eastAsia="Calibri" w:hAnsi="Arial" w:cs="Arial"/>
                <w:b/>
                <w:u w:val="single"/>
              </w:rPr>
            </w:pPr>
            <w:r>
              <w:rPr>
                <w:rFonts w:ascii="Arial" w:eastAsia="Calibri" w:hAnsi="Arial" w:cs="Arial"/>
                <w:b/>
                <w:u w:val="single"/>
              </w:rPr>
              <w:t>89.48%</w:t>
            </w:r>
          </w:p>
        </w:tc>
      </w:tr>
      <w:tr w:rsidR="000827E6" w:rsidRPr="004B1294" w14:paraId="2109D368" w14:textId="77777777" w:rsidTr="00042E94">
        <w:tc>
          <w:tcPr>
            <w:tcW w:w="1550" w:type="dxa"/>
          </w:tcPr>
          <w:p w14:paraId="1550B105" w14:textId="10D17D1A" w:rsidR="000827E6" w:rsidRDefault="000827E6" w:rsidP="00042E94">
            <w:pPr>
              <w:jc w:val="center"/>
              <w:rPr>
                <w:rFonts w:ascii="Arial" w:hAnsi="Arial" w:cs="Arial"/>
                <w:b/>
              </w:rPr>
            </w:pPr>
            <w:r>
              <w:rPr>
                <w:rFonts w:ascii="Arial" w:hAnsi="Arial" w:cs="Arial"/>
                <w:b/>
              </w:rPr>
              <w:t>309</w:t>
            </w:r>
          </w:p>
        </w:tc>
        <w:tc>
          <w:tcPr>
            <w:tcW w:w="3255" w:type="dxa"/>
          </w:tcPr>
          <w:p w14:paraId="10FFEDDD" w14:textId="09A967B1" w:rsidR="000827E6" w:rsidRPr="000827E6" w:rsidRDefault="000827E6" w:rsidP="000827E6">
            <w:pPr>
              <w:jc w:val="both"/>
              <w:rPr>
                <w:rFonts w:ascii="Arial" w:hAnsi="Arial" w:cs="Arial"/>
                <w:b/>
                <w:lang w:val="es-MX"/>
              </w:rPr>
            </w:pPr>
            <w:r w:rsidRPr="000827E6">
              <w:rPr>
                <w:rFonts w:ascii="Arial" w:hAnsi="Arial" w:cs="Arial"/>
                <w:b/>
                <w:lang w:val="es-MX"/>
              </w:rPr>
              <w:t xml:space="preserve">CORPORACIÓN AUTÓNOMA REGIONAL DEL GUAVIO – CORPOGUAVIO. </w:t>
            </w:r>
          </w:p>
          <w:p w14:paraId="46E69B6F" w14:textId="77777777" w:rsidR="000827E6" w:rsidRDefault="000827E6" w:rsidP="00547369">
            <w:pPr>
              <w:jc w:val="both"/>
              <w:rPr>
                <w:rFonts w:ascii="Arial" w:hAnsi="Arial" w:cs="Arial"/>
                <w:b/>
                <w:lang w:val="es-MX"/>
              </w:rPr>
            </w:pPr>
          </w:p>
          <w:p w14:paraId="34E3C8F3" w14:textId="77777777" w:rsidR="000827E6" w:rsidRDefault="000827E6" w:rsidP="000827E6">
            <w:pPr>
              <w:jc w:val="both"/>
              <w:rPr>
                <w:rFonts w:ascii="Arial" w:hAnsi="Arial" w:cs="Arial"/>
                <w:b/>
                <w:lang w:val="es-MX"/>
              </w:rPr>
            </w:pPr>
            <w:r>
              <w:rPr>
                <w:rFonts w:ascii="Arial" w:hAnsi="Arial" w:cs="Arial"/>
                <w:b/>
                <w:lang w:val="es-MX"/>
              </w:rPr>
              <w:t>FUNCIONAMIENTO</w:t>
            </w:r>
          </w:p>
          <w:p w14:paraId="21A0F15D" w14:textId="77777777" w:rsidR="000827E6" w:rsidRDefault="000827E6" w:rsidP="000827E6">
            <w:pPr>
              <w:jc w:val="both"/>
              <w:rPr>
                <w:rFonts w:ascii="Arial" w:hAnsi="Arial" w:cs="Arial"/>
                <w:b/>
                <w:lang w:val="es-MX"/>
              </w:rPr>
            </w:pPr>
            <w:r>
              <w:rPr>
                <w:rFonts w:ascii="Arial" w:hAnsi="Arial" w:cs="Arial"/>
                <w:b/>
                <w:lang w:val="es-MX"/>
              </w:rPr>
              <w:t>INVERSIÓN</w:t>
            </w:r>
          </w:p>
          <w:p w14:paraId="36584385" w14:textId="77777777" w:rsidR="000827E6" w:rsidRDefault="000827E6" w:rsidP="000827E6">
            <w:pPr>
              <w:jc w:val="both"/>
              <w:rPr>
                <w:rFonts w:ascii="Arial" w:hAnsi="Arial" w:cs="Arial"/>
                <w:b/>
                <w:lang w:val="es-MX"/>
              </w:rPr>
            </w:pPr>
          </w:p>
          <w:p w14:paraId="53A3D4E6" w14:textId="73230AC6" w:rsidR="000827E6" w:rsidRPr="00547369" w:rsidRDefault="000827E6" w:rsidP="000827E6">
            <w:pPr>
              <w:jc w:val="both"/>
              <w:rPr>
                <w:rFonts w:ascii="Arial" w:hAnsi="Arial" w:cs="Arial"/>
                <w:b/>
                <w:lang w:val="es-MX"/>
              </w:rPr>
            </w:pPr>
            <w:r>
              <w:rPr>
                <w:rFonts w:ascii="Arial" w:hAnsi="Arial" w:cs="Arial"/>
                <w:b/>
                <w:lang w:val="es-MX"/>
              </w:rPr>
              <w:t>TOTAL PRESUPUESTO</w:t>
            </w:r>
          </w:p>
        </w:tc>
        <w:tc>
          <w:tcPr>
            <w:tcW w:w="1839" w:type="dxa"/>
          </w:tcPr>
          <w:p w14:paraId="0670092C" w14:textId="77777777" w:rsidR="000827E6" w:rsidRDefault="000827E6" w:rsidP="00042E94">
            <w:pPr>
              <w:jc w:val="center"/>
              <w:rPr>
                <w:rFonts w:ascii="Arial" w:eastAsia="Calibri" w:hAnsi="Arial" w:cs="Arial"/>
                <w:b/>
                <w:u w:val="single"/>
              </w:rPr>
            </w:pPr>
          </w:p>
          <w:p w14:paraId="4C31D5C5" w14:textId="77777777" w:rsidR="000827E6" w:rsidRDefault="000827E6" w:rsidP="00042E94">
            <w:pPr>
              <w:jc w:val="center"/>
              <w:rPr>
                <w:rFonts w:ascii="Arial" w:eastAsia="Calibri" w:hAnsi="Arial" w:cs="Arial"/>
                <w:b/>
                <w:u w:val="single"/>
              </w:rPr>
            </w:pPr>
          </w:p>
          <w:p w14:paraId="4A8F17E1" w14:textId="77777777" w:rsidR="000827E6" w:rsidRDefault="000827E6" w:rsidP="00042E94">
            <w:pPr>
              <w:jc w:val="center"/>
              <w:rPr>
                <w:rFonts w:ascii="Arial" w:eastAsia="Calibri" w:hAnsi="Arial" w:cs="Arial"/>
                <w:b/>
                <w:u w:val="single"/>
              </w:rPr>
            </w:pPr>
          </w:p>
          <w:p w14:paraId="39C873E1" w14:textId="77777777" w:rsidR="000827E6" w:rsidRDefault="000827E6" w:rsidP="00042E94">
            <w:pPr>
              <w:jc w:val="center"/>
              <w:rPr>
                <w:rFonts w:ascii="Arial" w:eastAsia="Calibri" w:hAnsi="Arial" w:cs="Arial"/>
                <w:b/>
                <w:u w:val="single"/>
              </w:rPr>
            </w:pPr>
          </w:p>
          <w:p w14:paraId="0E8C240B" w14:textId="2245C905" w:rsidR="000827E6" w:rsidRDefault="000827E6" w:rsidP="00042E94">
            <w:pPr>
              <w:jc w:val="center"/>
              <w:rPr>
                <w:rFonts w:ascii="Arial" w:eastAsia="Calibri" w:hAnsi="Arial" w:cs="Arial"/>
                <w:b/>
                <w:u w:val="single"/>
              </w:rPr>
            </w:pPr>
            <w:r>
              <w:rPr>
                <w:rFonts w:ascii="Arial" w:eastAsia="Calibri" w:hAnsi="Arial" w:cs="Arial"/>
                <w:b/>
                <w:u w:val="single"/>
              </w:rPr>
              <w:t>98.00%</w:t>
            </w:r>
          </w:p>
          <w:p w14:paraId="4E6F94E8" w14:textId="2FDCDE8E" w:rsidR="000827E6" w:rsidRDefault="000827E6" w:rsidP="00042E94">
            <w:pPr>
              <w:jc w:val="center"/>
              <w:rPr>
                <w:rFonts w:ascii="Arial" w:eastAsia="Calibri" w:hAnsi="Arial" w:cs="Arial"/>
                <w:b/>
                <w:u w:val="single"/>
              </w:rPr>
            </w:pPr>
            <w:r>
              <w:rPr>
                <w:rFonts w:ascii="Arial" w:eastAsia="Calibri" w:hAnsi="Arial" w:cs="Arial"/>
                <w:b/>
                <w:u w:val="single"/>
              </w:rPr>
              <w:t>93.00%</w:t>
            </w:r>
          </w:p>
          <w:p w14:paraId="6DE7D9FC" w14:textId="77777777" w:rsidR="000827E6" w:rsidRDefault="000827E6" w:rsidP="00042E94">
            <w:pPr>
              <w:jc w:val="center"/>
              <w:rPr>
                <w:rFonts w:ascii="Arial" w:eastAsia="Calibri" w:hAnsi="Arial" w:cs="Arial"/>
                <w:b/>
                <w:u w:val="single"/>
              </w:rPr>
            </w:pPr>
          </w:p>
          <w:p w14:paraId="4F2B4B5A" w14:textId="4DF441FE" w:rsidR="000827E6" w:rsidRDefault="000827E6" w:rsidP="00042E94">
            <w:pPr>
              <w:jc w:val="center"/>
              <w:rPr>
                <w:rFonts w:ascii="Arial" w:eastAsia="Calibri" w:hAnsi="Arial" w:cs="Arial"/>
                <w:b/>
                <w:u w:val="single"/>
              </w:rPr>
            </w:pPr>
            <w:r>
              <w:rPr>
                <w:rFonts w:ascii="Arial" w:eastAsia="Calibri" w:hAnsi="Arial" w:cs="Arial"/>
                <w:b/>
                <w:u w:val="single"/>
              </w:rPr>
              <w:t>93.00%</w:t>
            </w:r>
          </w:p>
        </w:tc>
        <w:tc>
          <w:tcPr>
            <w:tcW w:w="1804" w:type="dxa"/>
          </w:tcPr>
          <w:p w14:paraId="5FF67016" w14:textId="77777777" w:rsidR="000827E6" w:rsidRDefault="000827E6" w:rsidP="00042E94">
            <w:pPr>
              <w:jc w:val="center"/>
              <w:rPr>
                <w:rFonts w:ascii="Arial" w:eastAsia="Calibri" w:hAnsi="Arial" w:cs="Arial"/>
                <w:b/>
                <w:u w:val="single"/>
              </w:rPr>
            </w:pPr>
          </w:p>
          <w:p w14:paraId="301A8E04" w14:textId="77777777" w:rsidR="000827E6" w:rsidRDefault="000827E6" w:rsidP="00042E94">
            <w:pPr>
              <w:jc w:val="center"/>
              <w:rPr>
                <w:rFonts w:ascii="Arial" w:eastAsia="Calibri" w:hAnsi="Arial" w:cs="Arial"/>
                <w:b/>
                <w:u w:val="single"/>
              </w:rPr>
            </w:pPr>
          </w:p>
          <w:p w14:paraId="3DD3A9E7" w14:textId="77777777" w:rsidR="000827E6" w:rsidRDefault="000827E6" w:rsidP="00042E94">
            <w:pPr>
              <w:jc w:val="center"/>
              <w:rPr>
                <w:rFonts w:ascii="Arial" w:eastAsia="Calibri" w:hAnsi="Arial" w:cs="Arial"/>
                <w:b/>
                <w:u w:val="single"/>
              </w:rPr>
            </w:pPr>
          </w:p>
          <w:p w14:paraId="6E76BF98" w14:textId="77777777" w:rsidR="000827E6" w:rsidRDefault="000827E6" w:rsidP="00042E94">
            <w:pPr>
              <w:jc w:val="center"/>
              <w:rPr>
                <w:rFonts w:ascii="Arial" w:eastAsia="Calibri" w:hAnsi="Arial" w:cs="Arial"/>
                <w:b/>
                <w:u w:val="single"/>
              </w:rPr>
            </w:pPr>
          </w:p>
          <w:p w14:paraId="2989F529" w14:textId="02B627E3" w:rsidR="000827E6" w:rsidRDefault="000827E6" w:rsidP="00042E94">
            <w:pPr>
              <w:jc w:val="center"/>
              <w:rPr>
                <w:rFonts w:ascii="Arial" w:eastAsia="Calibri" w:hAnsi="Arial" w:cs="Arial"/>
                <w:b/>
                <w:u w:val="single"/>
              </w:rPr>
            </w:pPr>
            <w:r>
              <w:rPr>
                <w:rFonts w:ascii="Arial" w:eastAsia="Calibri" w:hAnsi="Arial" w:cs="Arial"/>
                <w:b/>
                <w:u w:val="single"/>
              </w:rPr>
              <w:t>93.00%</w:t>
            </w:r>
          </w:p>
          <w:p w14:paraId="04184AEE" w14:textId="77B0B28D" w:rsidR="000827E6" w:rsidRDefault="000827E6" w:rsidP="00042E94">
            <w:pPr>
              <w:jc w:val="center"/>
              <w:rPr>
                <w:rFonts w:ascii="Arial" w:eastAsia="Calibri" w:hAnsi="Arial" w:cs="Arial"/>
                <w:b/>
                <w:u w:val="single"/>
              </w:rPr>
            </w:pPr>
            <w:r>
              <w:rPr>
                <w:rFonts w:ascii="Arial" w:eastAsia="Calibri" w:hAnsi="Arial" w:cs="Arial"/>
                <w:b/>
                <w:u w:val="single"/>
              </w:rPr>
              <w:t>23.00%</w:t>
            </w:r>
          </w:p>
          <w:p w14:paraId="06C2FAAA" w14:textId="77777777" w:rsidR="000827E6" w:rsidRDefault="000827E6" w:rsidP="00042E94">
            <w:pPr>
              <w:jc w:val="center"/>
              <w:rPr>
                <w:rFonts w:ascii="Arial" w:eastAsia="Calibri" w:hAnsi="Arial" w:cs="Arial"/>
                <w:b/>
                <w:u w:val="single"/>
              </w:rPr>
            </w:pPr>
          </w:p>
          <w:p w14:paraId="4AF6A6B1" w14:textId="5E27353C" w:rsidR="000827E6" w:rsidRDefault="000827E6" w:rsidP="00042E94">
            <w:pPr>
              <w:jc w:val="center"/>
              <w:rPr>
                <w:rFonts w:ascii="Arial" w:eastAsia="Calibri" w:hAnsi="Arial" w:cs="Arial"/>
                <w:b/>
                <w:u w:val="single"/>
              </w:rPr>
            </w:pPr>
            <w:r>
              <w:rPr>
                <w:rFonts w:ascii="Arial" w:eastAsia="Calibri" w:hAnsi="Arial" w:cs="Arial"/>
                <w:b/>
                <w:u w:val="single"/>
              </w:rPr>
              <w:t>37.00%</w:t>
            </w:r>
          </w:p>
        </w:tc>
        <w:tc>
          <w:tcPr>
            <w:tcW w:w="2042" w:type="dxa"/>
          </w:tcPr>
          <w:p w14:paraId="6892A641" w14:textId="77777777" w:rsidR="000827E6" w:rsidRDefault="000827E6" w:rsidP="00042E94">
            <w:pPr>
              <w:jc w:val="center"/>
              <w:rPr>
                <w:rFonts w:ascii="Arial" w:eastAsia="Calibri" w:hAnsi="Arial" w:cs="Arial"/>
                <w:b/>
                <w:u w:val="single"/>
              </w:rPr>
            </w:pPr>
          </w:p>
          <w:p w14:paraId="08DF3437" w14:textId="77777777" w:rsidR="000827E6" w:rsidRDefault="000827E6" w:rsidP="00042E94">
            <w:pPr>
              <w:jc w:val="center"/>
              <w:rPr>
                <w:rFonts w:ascii="Arial" w:eastAsia="Calibri" w:hAnsi="Arial" w:cs="Arial"/>
                <w:b/>
                <w:u w:val="single"/>
              </w:rPr>
            </w:pPr>
          </w:p>
          <w:p w14:paraId="1CD59C24" w14:textId="77777777" w:rsidR="000827E6" w:rsidRDefault="000827E6" w:rsidP="00042E94">
            <w:pPr>
              <w:jc w:val="center"/>
              <w:rPr>
                <w:rFonts w:ascii="Arial" w:eastAsia="Calibri" w:hAnsi="Arial" w:cs="Arial"/>
                <w:b/>
                <w:u w:val="single"/>
              </w:rPr>
            </w:pPr>
          </w:p>
          <w:p w14:paraId="5D5EBF4A" w14:textId="77777777" w:rsidR="000827E6" w:rsidRDefault="000827E6" w:rsidP="00042E94">
            <w:pPr>
              <w:jc w:val="center"/>
              <w:rPr>
                <w:rFonts w:ascii="Arial" w:eastAsia="Calibri" w:hAnsi="Arial" w:cs="Arial"/>
                <w:b/>
                <w:u w:val="single"/>
              </w:rPr>
            </w:pPr>
          </w:p>
          <w:p w14:paraId="179EA57B" w14:textId="77777777" w:rsidR="000827E6" w:rsidRDefault="000827E6" w:rsidP="000827E6">
            <w:pPr>
              <w:jc w:val="center"/>
              <w:rPr>
                <w:rFonts w:ascii="Arial" w:eastAsia="Calibri" w:hAnsi="Arial" w:cs="Arial"/>
                <w:b/>
                <w:u w:val="single"/>
              </w:rPr>
            </w:pPr>
            <w:r>
              <w:rPr>
                <w:rFonts w:ascii="Arial" w:eastAsia="Calibri" w:hAnsi="Arial" w:cs="Arial"/>
                <w:b/>
                <w:u w:val="single"/>
              </w:rPr>
              <w:t>93.00%</w:t>
            </w:r>
          </w:p>
          <w:p w14:paraId="3C3F1901" w14:textId="77777777" w:rsidR="000827E6" w:rsidRDefault="000827E6" w:rsidP="000827E6">
            <w:pPr>
              <w:jc w:val="center"/>
              <w:rPr>
                <w:rFonts w:ascii="Arial" w:eastAsia="Calibri" w:hAnsi="Arial" w:cs="Arial"/>
                <w:b/>
                <w:u w:val="single"/>
              </w:rPr>
            </w:pPr>
            <w:r>
              <w:rPr>
                <w:rFonts w:ascii="Arial" w:eastAsia="Calibri" w:hAnsi="Arial" w:cs="Arial"/>
                <w:b/>
                <w:u w:val="single"/>
              </w:rPr>
              <w:t>23.00%</w:t>
            </w:r>
          </w:p>
          <w:p w14:paraId="5BAF137A" w14:textId="77777777" w:rsidR="000827E6" w:rsidRDefault="000827E6" w:rsidP="000827E6">
            <w:pPr>
              <w:jc w:val="center"/>
              <w:rPr>
                <w:rFonts w:ascii="Arial" w:eastAsia="Calibri" w:hAnsi="Arial" w:cs="Arial"/>
                <w:b/>
                <w:u w:val="single"/>
              </w:rPr>
            </w:pPr>
          </w:p>
          <w:p w14:paraId="7365BCD3" w14:textId="026C1339" w:rsidR="000827E6" w:rsidRDefault="000827E6" w:rsidP="000827E6">
            <w:pPr>
              <w:jc w:val="center"/>
              <w:rPr>
                <w:rFonts w:ascii="Arial" w:eastAsia="Calibri" w:hAnsi="Arial" w:cs="Arial"/>
                <w:b/>
                <w:u w:val="single"/>
              </w:rPr>
            </w:pPr>
            <w:r>
              <w:rPr>
                <w:rFonts w:ascii="Arial" w:eastAsia="Calibri" w:hAnsi="Arial" w:cs="Arial"/>
                <w:b/>
                <w:u w:val="single"/>
              </w:rPr>
              <w:t>37.00%</w:t>
            </w:r>
          </w:p>
        </w:tc>
      </w:tr>
      <w:tr w:rsidR="009015CE" w:rsidRPr="004B1294" w14:paraId="18B76BBF" w14:textId="77777777" w:rsidTr="00042E94">
        <w:tc>
          <w:tcPr>
            <w:tcW w:w="1550" w:type="dxa"/>
          </w:tcPr>
          <w:p w14:paraId="787F62D3" w14:textId="39956A79" w:rsidR="009015CE" w:rsidRDefault="009015CE" w:rsidP="00042E94">
            <w:pPr>
              <w:jc w:val="center"/>
              <w:rPr>
                <w:rFonts w:ascii="Arial" w:hAnsi="Arial" w:cs="Arial"/>
                <w:b/>
              </w:rPr>
            </w:pPr>
            <w:r>
              <w:rPr>
                <w:rFonts w:ascii="Arial" w:hAnsi="Arial" w:cs="Arial"/>
                <w:b/>
              </w:rPr>
              <w:t>310</w:t>
            </w:r>
          </w:p>
        </w:tc>
        <w:tc>
          <w:tcPr>
            <w:tcW w:w="3255" w:type="dxa"/>
          </w:tcPr>
          <w:p w14:paraId="4FAD2BDE" w14:textId="7474E9D9" w:rsidR="009015CE" w:rsidRPr="009015CE" w:rsidRDefault="009015CE" w:rsidP="009015CE">
            <w:pPr>
              <w:jc w:val="both"/>
              <w:rPr>
                <w:rFonts w:ascii="Arial" w:hAnsi="Arial" w:cs="Arial"/>
                <w:b/>
                <w:lang w:val="es-MX"/>
              </w:rPr>
            </w:pPr>
            <w:r w:rsidRPr="009015CE">
              <w:rPr>
                <w:rFonts w:ascii="Arial" w:hAnsi="Arial" w:cs="Arial"/>
                <w:b/>
                <w:lang w:val="es-MX"/>
              </w:rPr>
              <w:t xml:space="preserve">INSTITUTO NACIONAL DE MEDICINA LEGAL Y CIENCIAS FORENSES </w:t>
            </w:r>
          </w:p>
          <w:p w14:paraId="1F333FE9" w14:textId="77777777" w:rsidR="009015CE" w:rsidRDefault="009015CE" w:rsidP="000827E6">
            <w:pPr>
              <w:jc w:val="both"/>
              <w:rPr>
                <w:b/>
                <w:lang w:val="es-MX"/>
              </w:rPr>
            </w:pPr>
          </w:p>
          <w:p w14:paraId="4EE3C550" w14:textId="77777777" w:rsidR="009015CE" w:rsidRDefault="009015CE" w:rsidP="009015CE">
            <w:pPr>
              <w:jc w:val="both"/>
              <w:rPr>
                <w:rFonts w:ascii="Arial" w:hAnsi="Arial" w:cs="Arial"/>
                <w:b/>
                <w:lang w:val="es-MX"/>
              </w:rPr>
            </w:pPr>
            <w:r>
              <w:rPr>
                <w:rFonts w:ascii="Arial" w:hAnsi="Arial" w:cs="Arial"/>
                <w:b/>
                <w:lang w:val="es-MX"/>
              </w:rPr>
              <w:t>FUNCIONAMIENTO</w:t>
            </w:r>
          </w:p>
          <w:p w14:paraId="1315794A" w14:textId="77777777" w:rsidR="009015CE" w:rsidRDefault="009015CE" w:rsidP="009015CE">
            <w:pPr>
              <w:jc w:val="both"/>
              <w:rPr>
                <w:rFonts w:ascii="Arial" w:hAnsi="Arial" w:cs="Arial"/>
                <w:b/>
                <w:lang w:val="es-MX"/>
              </w:rPr>
            </w:pPr>
            <w:r>
              <w:rPr>
                <w:rFonts w:ascii="Arial" w:hAnsi="Arial" w:cs="Arial"/>
                <w:b/>
                <w:lang w:val="es-MX"/>
              </w:rPr>
              <w:t>INVERSIÓN</w:t>
            </w:r>
          </w:p>
          <w:p w14:paraId="39DABC96" w14:textId="77777777" w:rsidR="009015CE" w:rsidRDefault="009015CE" w:rsidP="009015CE">
            <w:pPr>
              <w:jc w:val="both"/>
              <w:rPr>
                <w:rFonts w:ascii="Arial" w:hAnsi="Arial" w:cs="Arial"/>
                <w:b/>
                <w:lang w:val="es-MX"/>
              </w:rPr>
            </w:pPr>
          </w:p>
          <w:p w14:paraId="49FF3841" w14:textId="1781A2E2" w:rsidR="009015CE" w:rsidRPr="000827E6" w:rsidRDefault="009015CE" w:rsidP="009015CE">
            <w:pPr>
              <w:jc w:val="both"/>
              <w:rPr>
                <w:rFonts w:ascii="Arial" w:hAnsi="Arial" w:cs="Arial"/>
                <w:b/>
                <w:lang w:val="es-MX"/>
              </w:rPr>
            </w:pPr>
            <w:r>
              <w:rPr>
                <w:rFonts w:ascii="Arial" w:hAnsi="Arial" w:cs="Arial"/>
                <w:b/>
                <w:lang w:val="es-MX"/>
              </w:rPr>
              <w:t>TOTAL PRESUPUESTO</w:t>
            </w:r>
          </w:p>
        </w:tc>
        <w:tc>
          <w:tcPr>
            <w:tcW w:w="1839" w:type="dxa"/>
          </w:tcPr>
          <w:p w14:paraId="6BBF40E4" w14:textId="77777777" w:rsidR="009015CE" w:rsidRDefault="009015CE" w:rsidP="00042E94">
            <w:pPr>
              <w:jc w:val="center"/>
              <w:rPr>
                <w:rFonts w:ascii="Arial" w:eastAsia="Calibri" w:hAnsi="Arial" w:cs="Arial"/>
                <w:b/>
                <w:u w:val="single"/>
              </w:rPr>
            </w:pPr>
          </w:p>
          <w:p w14:paraId="072701CB" w14:textId="77777777" w:rsidR="009015CE" w:rsidRDefault="009015CE" w:rsidP="00042E94">
            <w:pPr>
              <w:jc w:val="center"/>
              <w:rPr>
                <w:rFonts w:ascii="Arial" w:eastAsia="Calibri" w:hAnsi="Arial" w:cs="Arial"/>
                <w:b/>
                <w:u w:val="single"/>
              </w:rPr>
            </w:pPr>
          </w:p>
          <w:p w14:paraId="07381995" w14:textId="77777777" w:rsidR="009015CE" w:rsidRDefault="009015CE" w:rsidP="00042E94">
            <w:pPr>
              <w:jc w:val="center"/>
              <w:rPr>
                <w:rFonts w:ascii="Arial" w:eastAsia="Calibri" w:hAnsi="Arial" w:cs="Arial"/>
                <w:b/>
                <w:u w:val="single"/>
              </w:rPr>
            </w:pPr>
          </w:p>
          <w:p w14:paraId="6800659D" w14:textId="77777777" w:rsidR="009015CE" w:rsidRDefault="009015CE" w:rsidP="00042E94">
            <w:pPr>
              <w:jc w:val="center"/>
              <w:rPr>
                <w:rFonts w:ascii="Arial" w:eastAsia="Calibri" w:hAnsi="Arial" w:cs="Arial"/>
                <w:b/>
                <w:u w:val="single"/>
              </w:rPr>
            </w:pPr>
          </w:p>
          <w:p w14:paraId="2FBE5F6C" w14:textId="7BD094DA" w:rsidR="009015CE" w:rsidRDefault="009015CE" w:rsidP="00042E94">
            <w:pPr>
              <w:jc w:val="center"/>
              <w:rPr>
                <w:rFonts w:ascii="Arial" w:eastAsia="Calibri" w:hAnsi="Arial" w:cs="Arial"/>
                <w:b/>
                <w:u w:val="single"/>
              </w:rPr>
            </w:pPr>
            <w:r>
              <w:rPr>
                <w:rFonts w:ascii="Arial" w:eastAsia="Calibri" w:hAnsi="Arial" w:cs="Arial"/>
                <w:b/>
                <w:u w:val="single"/>
              </w:rPr>
              <w:t>98.49%</w:t>
            </w:r>
          </w:p>
          <w:p w14:paraId="2B4320F5" w14:textId="54E0F8AE" w:rsidR="009015CE" w:rsidRDefault="009015CE" w:rsidP="00042E94">
            <w:pPr>
              <w:jc w:val="center"/>
              <w:rPr>
                <w:rFonts w:ascii="Arial" w:eastAsia="Calibri" w:hAnsi="Arial" w:cs="Arial"/>
                <w:b/>
                <w:u w:val="single"/>
              </w:rPr>
            </w:pPr>
            <w:r>
              <w:rPr>
                <w:rFonts w:ascii="Arial" w:eastAsia="Calibri" w:hAnsi="Arial" w:cs="Arial"/>
                <w:b/>
                <w:u w:val="single"/>
              </w:rPr>
              <w:t>94.61%</w:t>
            </w:r>
          </w:p>
          <w:p w14:paraId="3D52E69B" w14:textId="77777777" w:rsidR="009015CE" w:rsidRDefault="009015CE" w:rsidP="00042E94">
            <w:pPr>
              <w:jc w:val="center"/>
              <w:rPr>
                <w:rFonts w:ascii="Arial" w:eastAsia="Calibri" w:hAnsi="Arial" w:cs="Arial"/>
                <w:b/>
                <w:u w:val="single"/>
              </w:rPr>
            </w:pPr>
          </w:p>
          <w:p w14:paraId="5F1DFC57" w14:textId="155247E9" w:rsidR="009015CE" w:rsidRDefault="009015CE" w:rsidP="00042E94">
            <w:pPr>
              <w:jc w:val="center"/>
              <w:rPr>
                <w:rFonts w:ascii="Arial" w:eastAsia="Calibri" w:hAnsi="Arial" w:cs="Arial"/>
                <w:b/>
                <w:u w:val="single"/>
              </w:rPr>
            </w:pPr>
            <w:r>
              <w:rPr>
                <w:rFonts w:ascii="Arial" w:eastAsia="Calibri" w:hAnsi="Arial" w:cs="Arial"/>
                <w:b/>
                <w:u w:val="single"/>
              </w:rPr>
              <w:t>97.73%</w:t>
            </w:r>
          </w:p>
        </w:tc>
        <w:tc>
          <w:tcPr>
            <w:tcW w:w="1804" w:type="dxa"/>
          </w:tcPr>
          <w:p w14:paraId="481B45AE" w14:textId="77777777" w:rsidR="009015CE" w:rsidRDefault="009015CE" w:rsidP="00042E94">
            <w:pPr>
              <w:jc w:val="center"/>
              <w:rPr>
                <w:rFonts w:ascii="Arial" w:eastAsia="Calibri" w:hAnsi="Arial" w:cs="Arial"/>
                <w:b/>
                <w:u w:val="single"/>
              </w:rPr>
            </w:pPr>
          </w:p>
          <w:p w14:paraId="7B02BBA6" w14:textId="77777777" w:rsidR="009015CE" w:rsidRDefault="009015CE" w:rsidP="00042E94">
            <w:pPr>
              <w:jc w:val="center"/>
              <w:rPr>
                <w:rFonts w:ascii="Arial" w:eastAsia="Calibri" w:hAnsi="Arial" w:cs="Arial"/>
                <w:b/>
                <w:u w:val="single"/>
              </w:rPr>
            </w:pPr>
          </w:p>
          <w:p w14:paraId="33DB110C" w14:textId="77777777" w:rsidR="009015CE" w:rsidRDefault="009015CE" w:rsidP="00042E94">
            <w:pPr>
              <w:jc w:val="center"/>
              <w:rPr>
                <w:rFonts w:ascii="Arial" w:eastAsia="Calibri" w:hAnsi="Arial" w:cs="Arial"/>
                <w:b/>
                <w:u w:val="single"/>
              </w:rPr>
            </w:pPr>
          </w:p>
          <w:p w14:paraId="39DAE844" w14:textId="77777777" w:rsidR="009015CE" w:rsidRDefault="009015CE" w:rsidP="00042E94">
            <w:pPr>
              <w:jc w:val="center"/>
              <w:rPr>
                <w:rFonts w:ascii="Arial" w:eastAsia="Calibri" w:hAnsi="Arial" w:cs="Arial"/>
                <w:b/>
                <w:u w:val="single"/>
              </w:rPr>
            </w:pPr>
          </w:p>
          <w:p w14:paraId="7EC5BFF1" w14:textId="549ABA48" w:rsidR="009015CE" w:rsidRDefault="009015CE" w:rsidP="00042E94">
            <w:pPr>
              <w:jc w:val="center"/>
              <w:rPr>
                <w:rFonts w:ascii="Arial" w:eastAsia="Calibri" w:hAnsi="Arial" w:cs="Arial"/>
                <w:b/>
                <w:u w:val="single"/>
              </w:rPr>
            </w:pPr>
            <w:r>
              <w:rPr>
                <w:rFonts w:ascii="Arial" w:eastAsia="Calibri" w:hAnsi="Arial" w:cs="Arial"/>
                <w:b/>
                <w:u w:val="single"/>
              </w:rPr>
              <w:t>97.24%</w:t>
            </w:r>
          </w:p>
          <w:p w14:paraId="4F1F37A7" w14:textId="1D380D59" w:rsidR="009015CE" w:rsidRDefault="009015CE" w:rsidP="00042E94">
            <w:pPr>
              <w:jc w:val="center"/>
              <w:rPr>
                <w:rFonts w:ascii="Arial" w:eastAsia="Calibri" w:hAnsi="Arial" w:cs="Arial"/>
                <w:b/>
                <w:u w:val="single"/>
              </w:rPr>
            </w:pPr>
            <w:r>
              <w:rPr>
                <w:rFonts w:ascii="Arial" w:eastAsia="Calibri" w:hAnsi="Arial" w:cs="Arial"/>
                <w:b/>
                <w:u w:val="single"/>
              </w:rPr>
              <w:t>36.37%</w:t>
            </w:r>
          </w:p>
          <w:p w14:paraId="4B53FAFE" w14:textId="77777777" w:rsidR="009015CE" w:rsidRDefault="009015CE" w:rsidP="00042E94">
            <w:pPr>
              <w:jc w:val="center"/>
              <w:rPr>
                <w:rFonts w:ascii="Arial" w:eastAsia="Calibri" w:hAnsi="Arial" w:cs="Arial"/>
                <w:b/>
                <w:u w:val="single"/>
              </w:rPr>
            </w:pPr>
          </w:p>
          <w:p w14:paraId="1C667092" w14:textId="252B65E2" w:rsidR="009015CE" w:rsidRDefault="009015CE" w:rsidP="00042E94">
            <w:pPr>
              <w:jc w:val="center"/>
              <w:rPr>
                <w:rFonts w:ascii="Arial" w:eastAsia="Calibri" w:hAnsi="Arial" w:cs="Arial"/>
                <w:b/>
                <w:u w:val="single"/>
              </w:rPr>
            </w:pPr>
            <w:r>
              <w:rPr>
                <w:rFonts w:ascii="Arial" w:eastAsia="Calibri" w:hAnsi="Arial" w:cs="Arial"/>
                <w:b/>
                <w:u w:val="single"/>
              </w:rPr>
              <w:t>85.18%</w:t>
            </w:r>
          </w:p>
        </w:tc>
        <w:tc>
          <w:tcPr>
            <w:tcW w:w="2042" w:type="dxa"/>
          </w:tcPr>
          <w:p w14:paraId="372C266E" w14:textId="77777777" w:rsidR="009015CE" w:rsidRDefault="009015CE" w:rsidP="00042E94">
            <w:pPr>
              <w:jc w:val="center"/>
              <w:rPr>
                <w:rFonts w:ascii="Arial" w:eastAsia="Calibri" w:hAnsi="Arial" w:cs="Arial"/>
                <w:b/>
                <w:u w:val="single"/>
              </w:rPr>
            </w:pPr>
          </w:p>
          <w:p w14:paraId="127CC8E8" w14:textId="77777777" w:rsidR="009015CE" w:rsidRDefault="009015CE" w:rsidP="00042E94">
            <w:pPr>
              <w:jc w:val="center"/>
              <w:rPr>
                <w:rFonts w:ascii="Arial" w:eastAsia="Calibri" w:hAnsi="Arial" w:cs="Arial"/>
                <w:b/>
                <w:u w:val="single"/>
              </w:rPr>
            </w:pPr>
          </w:p>
          <w:p w14:paraId="65314A70" w14:textId="77777777" w:rsidR="009015CE" w:rsidRDefault="009015CE" w:rsidP="00042E94">
            <w:pPr>
              <w:jc w:val="center"/>
              <w:rPr>
                <w:rFonts w:ascii="Arial" w:eastAsia="Calibri" w:hAnsi="Arial" w:cs="Arial"/>
                <w:b/>
                <w:u w:val="single"/>
              </w:rPr>
            </w:pPr>
          </w:p>
          <w:p w14:paraId="6914F767" w14:textId="77777777" w:rsidR="009015CE" w:rsidRDefault="009015CE" w:rsidP="00042E94">
            <w:pPr>
              <w:jc w:val="center"/>
              <w:rPr>
                <w:rFonts w:ascii="Arial" w:eastAsia="Calibri" w:hAnsi="Arial" w:cs="Arial"/>
                <w:b/>
                <w:u w:val="single"/>
              </w:rPr>
            </w:pPr>
          </w:p>
          <w:p w14:paraId="6D79D8D5" w14:textId="7B7C0EAE" w:rsidR="009015CE" w:rsidRDefault="009015CE" w:rsidP="00042E94">
            <w:pPr>
              <w:jc w:val="center"/>
              <w:rPr>
                <w:rFonts w:ascii="Arial" w:eastAsia="Calibri" w:hAnsi="Arial" w:cs="Arial"/>
                <w:b/>
                <w:u w:val="single"/>
              </w:rPr>
            </w:pPr>
            <w:r>
              <w:rPr>
                <w:rFonts w:ascii="Arial" w:eastAsia="Calibri" w:hAnsi="Arial" w:cs="Arial"/>
                <w:b/>
                <w:u w:val="single"/>
              </w:rPr>
              <w:t>94.84%</w:t>
            </w:r>
          </w:p>
          <w:p w14:paraId="369B9B53" w14:textId="61272CC1" w:rsidR="009015CE" w:rsidRDefault="009015CE" w:rsidP="00042E94">
            <w:pPr>
              <w:jc w:val="center"/>
              <w:rPr>
                <w:rFonts w:ascii="Arial" w:eastAsia="Calibri" w:hAnsi="Arial" w:cs="Arial"/>
                <w:b/>
                <w:u w:val="single"/>
              </w:rPr>
            </w:pPr>
            <w:r>
              <w:rPr>
                <w:rFonts w:ascii="Arial" w:eastAsia="Calibri" w:hAnsi="Arial" w:cs="Arial"/>
                <w:b/>
                <w:u w:val="single"/>
              </w:rPr>
              <w:t>36.37%</w:t>
            </w:r>
          </w:p>
          <w:p w14:paraId="1A27A1B5" w14:textId="77777777" w:rsidR="009015CE" w:rsidRDefault="009015CE" w:rsidP="00042E94">
            <w:pPr>
              <w:jc w:val="center"/>
              <w:rPr>
                <w:rFonts w:ascii="Arial" w:eastAsia="Calibri" w:hAnsi="Arial" w:cs="Arial"/>
                <w:b/>
                <w:u w:val="single"/>
              </w:rPr>
            </w:pPr>
          </w:p>
          <w:p w14:paraId="20F95826" w14:textId="162BF87D" w:rsidR="009015CE" w:rsidRDefault="009015CE" w:rsidP="00042E94">
            <w:pPr>
              <w:jc w:val="center"/>
              <w:rPr>
                <w:rFonts w:ascii="Arial" w:eastAsia="Calibri" w:hAnsi="Arial" w:cs="Arial"/>
                <w:b/>
                <w:u w:val="single"/>
              </w:rPr>
            </w:pPr>
            <w:r>
              <w:rPr>
                <w:rFonts w:ascii="Arial" w:eastAsia="Calibri" w:hAnsi="Arial" w:cs="Arial"/>
                <w:b/>
                <w:u w:val="single"/>
              </w:rPr>
              <w:t>83.26%</w:t>
            </w:r>
          </w:p>
        </w:tc>
      </w:tr>
      <w:tr w:rsidR="00DC0BF8" w:rsidRPr="004B1294" w14:paraId="38E03615" w14:textId="77777777" w:rsidTr="00042E94">
        <w:tc>
          <w:tcPr>
            <w:tcW w:w="1550" w:type="dxa"/>
          </w:tcPr>
          <w:p w14:paraId="7CC72A3D" w14:textId="3F81A980" w:rsidR="00DC0BF8" w:rsidRDefault="00DC0BF8" w:rsidP="00042E94">
            <w:pPr>
              <w:jc w:val="center"/>
              <w:rPr>
                <w:rFonts w:ascii="Arial" w:hAnsi="Arial" w:cs="Arial"/>
                <w:b/>
              </w:rPr>
            </w:pPr>
            <w:r>
              <w:rPr>
                <w:rFonts w:ascii="Arial" w:hAnsi="Arial" w:cs="Arial"/>
                <w:b/>
              </w:rPr>
              <w:t>311</w:t>
            </w:r>
          </w:p>
        </w:tc>
        <w:tc>
          <w:tcPr>
            <w:tcW w:w="3255" w:type="dxa"/>
          </w:tcPr>
          <w:p w14:paraId="0C878438" w14:textId="3EC61E84" w:rsidR="00DC0BF8" w:rsidRPr="00DC0BF8" w:rsidRDefault="00DC0BF8" w:rsidP="00DC0BF8">
            <w:pPr>
              <w:jc w:val="both"/>
              <w:rPr>
                <w:rFonts w:ascii="Arial" w:hAnsi="Arial" w:cs="Arial"/>
                <w:b/>
                <w:lang w:val="es-MX"/>
              </w:rPr>
            </w:pPr>
            <w:r w:rsidRPr="00DC0BF8">
              <w:rPr>
                <w:rFonts w:ascii="Arial" w:hAnsi="Arial" w:cs="Arial"/>
                <w:b/>
                <w:lang w:val="es-MX"/>
              </w:rPr>
              <w:t>CORPORACIÓN PARA EL DESARROLLO SOSTENIBLE DE LA MOJANA Y EL SAN JORGE – CORPOMOJANA.</w:t>
            </w:r>
          </w:p>
          <w:p w14:paraId="4D28605B" w14:textId="77777777" w:rsidR="00DC0BF8" w:rsidRDefault="00DC0BF8" w:rsidP="009015CE">
            <w:pPr>
              <w:jc w:val="both"/>
              <w:rPr>
                <w:rFonts w:ascii="Arial" w:hAnsi="Arial" w:cs="Arial"/>
                <w:b/>
                <w:lang w:val="es-MX"/>
              </w:rPr>
            </w:pPr>
          </w:p>
          <w:p w14:paraId="7065D45F" w14:textId="77777777" w:rsidR="00DC0BF8" w:rsidRDefault="00DC0BF8" w:rsidP="00DC0BF8">
            <w:pPr>
              <w:jc w:val="both"/>
              <w:rPr>
                <w:rFonts w:ascii="Arial" w:hAnsi="Arial" w:cs="Arial"/>
                <w:b/>
                <w:lang w:val="es-MX"/>
              </w:rPr>
            </w:pPr>
            <w:r>
              <w:rPr>
                <w:rFonts w:ascii="Arial" w:hAnsi="Arial" w:cs="Arial"/>
                <w:b/>
                <w:lang w:val="es-MX"/>
              </w:rPr>
              <w:lastRenderedPageBreak/>
              <w:t>FUNCIONAMIENTO</w:t>
            </w:r>
          </w:p>
          <w:p w14:paraId="0D912CF0" w14:textId="77777777" w:rsidR="00DC0BF8" w:rsidRDefault="00DC0BF8" w:rsidP="00DC0BF8">
            <w:pPr>
              <w:jc w:val="both"/>
              <w:rPr>
                <w:rFonts w:ascii="Arial" w:hAnsi="Arial" w:cs="Arial"/>
                <w:b/>
                <w:lang w:val="es-MX"/>
              </w:rPr>
            </w:pPr>
            <w:r>
              <w:rPr>
                <w:rFonts w:ascii="Arial" w:hAnsi="Arial" w:cs="Arial"/>
                <w:b/>
                <w:lang w:val="es-MX"/>
              </w:rPr>
              <w:t>INVERSIÓN</w:t>
            </w:r>
          </w:p>
          <w:p w14:paraId="1575A05F" w14:textId="77777777" w:rsidR="00DC0BF8" w:rsidRDefault="00DC0BF8" w:rsidP="00DC0BF8">
            <w:pPr>
              <w:jc w:val="both"/>
              <w:rPr>
                <w:rFonts w:ascii="Arial" w:hAnsi="Arial" w:cs="Arial"/>
                <w:b/>
                <w:lang w:val="es-MX"/>
              </w:rPr>
            </w:pPr>
          </w:p>
          <w:p w14:paraId="7FAC5EB7" w14:textId="5C96244B" w:rsidR="00DC0BF8" w:rsidRPr="009015CE" w:rsidRDefault="00DC0BF8" w:rsidP="00DC0BF8">
            <w:pPr>
              <w:jc w:val="both"/>
              <w:rPr>
                <w:rFonts w:ascii="Arial" w:hAnsi="Arial" w:cs="Arial"/>
                <w:b/>
                <w:lang w:val="es-MX"/>
              </w:rPr>
            </w:pPr>
            <w:r>
              <w:rPr>
                <w:rFonts w:ascii="Arial" w:hAnsi="Arial" w:cs="Arial"/>
                <w:b/>
                <w:lang w:val="es-MX"/>
              </w:rPr>
              <w:t>TOTAL PRESUPUESTO</w:t>
            </w:r>
          </w:p>
        </w:tc>
        <w:tc>
          <w:tcPr>
            <w:tcW w:w="1839" w:type="dxa"/>
          </w:tcPr>
          <w:p w14:paraId="6CC1FBE3" w14:textId="77777777" w:rsidR="00DC0BF8" w:rsidRDefault="00DC0BF8" w:rsidP="00042E94">
            <w:pPr>
              <w:jc w:val="center"/>
              <w:rPr>
                <w:rFonts w:ascii="Arial" w:eastAsia="Calibri" w:hAnsi="Arial" w:cs="Arial"/>
                <w:b/>
                <w:u w:val="single"/>
              </w:rPr>
            </w:pPr>
          </w:p>
          <w:p w14:paraId="51AA2452" w14:textId="77777777" w:rsidR="00DC0BF8" w:rsidRDefault="00DC0BF8" w:rsidP="00042E94">
            <w:pPr>
              <w:jc w:val="center"/>
              <w:rPr>
                <w:rFonts w:ascii="Arial" w:eastAsia="Calibri" w:hAnsi="Arial" w:cs="Arial"/>
                <w:b/>
                <w:u w:val="single"/>
              </w:rPr>
            </w:pPr>
          </w:p>
          <w:p w14:paraId="4726FBB3" w14:textId="77777777" w:rsidR="00DC0BF8" w:rsidRDefault="00DC0BF8" w:rsidP="00042E94">
            <w:pPr>
              <w:jc w:val="center"/>
              <w:rPr>
                <w:rFonts w:ascii="Arial" w:eastAsia="Calibri" w:hAnsi="Arial" w:cs="Arial"/>
                <w:b/>
                <w:u w:val="single"/>
              </w:rPr>
            </w:pPr>
          </w:p>
          <w:p w14:paraId="48D5651E" w14:textId="77777777" w:rsidR="00DC0BF8" w:rsidRDefault="00DC0BF8" w:rsidP="00042E94">
            <w:pPr>
              <w:jc w:val="center"/>
              <w:rPr>
                <w:rFonts w:ascii="Arial" w:eastAsia="Calibri" w:hAnsi="Arial" w:cs="Arial"/>
                <w:b/>
                <w:u w:val="single"/>
              </w:rPr>
            </w:pPr>
          </w:p>
          <w:p w14:paraId="1B04F96D" w14:textId="77777777" w:rsidR="00DC0BF8" w:rsidRDefault="00DC0BF8" w:rsidP="00042E94">
            <w:pPr>
              <w:jc w:val="center"/>
              <w:rPr>
                <w:rFonts w:ascii="Arial" w:eastAsia="Calibri" w:hAnsi="Arial" w:cs="Arial"/>
                <w:b/>
                <w:u w:val="single"/>
              </w:rPr>
            </w:pPr>
          </w:p>
          <w:p w14:paraId="72239D3B" w14:textId="356C6289" w:rsidR="00DC0BF8" w:rsidRDefault="00DC0BF8" w:rsidP="00042E94">
            <w:pPr>
              <w:jc w:val="center"/>
              <w:rPr>
                <w:rFonts w:ascii="Arial" w:eastAsia="Calibri" w:hAnsi="Arial" w:cs="Arial"/>
                <w:b/>
                <w:u w:val="single"/>
              </w:rPr>
            </w:pPr>
            <w:r>
              <w:rPr>
                <w:rFonts w:ascii="Arial" w:eastAsia="Calibri" w:hAnsi="Arial" w:cs="Arial"/>
                <w:b/>
                <w:u w:val="single"/>
              </w:rPr>
              <w:lastRenderedPageBreak/>
              <w:t>98.67%</w:t>
            </w:r>
          </w:p>
          <w:p w14:paraId="1A0CF3D2" w14:textId="4E709A9E" w:rsidR="00DC0BF8" w:rsidRDefault="00DC0BF8" w:rsidP="00042E94">
            <w:pPr>
              <w:jc w:val="center"/>
              <w:rPr>
                <w:rFonts w:ascii="Arial" w:eastAsia="Calibri" w:hAnsi="Arial" w:cs="Arial"/>
                <w:b/>
                <w:u w:val="single"/>
              </w:rPr>
            </w:pPr>
            <w:r>
              <w:rPr>
                <w:rFonts w:ascii="Arial" w:eastAsia="Calibri" w:hAnsi="Arial" w:cs="Arial"/>
                <w:b/>
                <w:u w:val="single"/>
              </w:rPr>
              <w:t>99.68%</w:t>
            </w:r>
          </w:p>
          <w:p w14:paraId="3814EA9F" w14:textId="77777777" w:rsidR="00DC0BF8" w:rsidRDefault="00DC0BF8" w:rsidP="00042E94">
            <w:pPr>
              <w:jc w:val="center"/>
              <w:rPr>
                <w:rFonts w:ascii="Arial" w:eastAsia="Calibri" w:hAnsi="Arial" w:cs="Arial"/>
                <w:b/>
                <w:u w:val="single"/>
              </w:rPr>
            </w:pPr>
          </w:p>
          <w:p w14:paraId="12BA9CBA" w14:textId="18A3170E" w:rsidR="00DC0BF8" w:rsidRDefault="00DC0BF8" w:rsidP="00DC0BF8">
            <w:pPr>
              <w:jc w:val="center"/>
              <w:rPr>
                <w:rFonts w:ascii="Arial" w:eastAsia="Calibri" w:hAnsi="Arial" w:cs="Arial"/>
                <w:b/>
                <w:u w:val="single"/>
              </w:rPr>
            </w:pPr>
            <w:r>
              <w:rPr>
                <w:rFonts w:ascii="Arial" w:eastAsia="Calibri" w:hAnsi="Arial" w:cs="Arial"/>
                <w:b/>
                <w:u w:val="single"/>
              </w:rPr>
              <w:t>99.26%</w:t>
            </w:r>
          </w:p>
        </w:tc>
        <w:tc>
          <w:tcPr>
            <w:tcW w:w="1804" w:type="dxa"/>
          </w:tcPr>
          <w:p w14:paraId="53683B2C" w14:textId="77777777" w:rsidR="00DC0BF8" w:rsidRDefault="00DC0BF8" w:rsidP="00042E94">
            <w:pPr>
              <w:jc w:val="center"/>
              <w:rPr>
                <w:rFonts w:ascii="Arial" w:eastAsia="Calibri" w:hAnsi="Arial" w:cs="Arial"/>
                <w:b/>
                <w:u w:val="single"/>
              </w:rPr>
            </w:pPr>
          </w:p>
          <w:p w14:paraId="4D2AC500" w14:textId="77777777" w:rsidR="00DC0BF8" w:rsidRDefault="00DC0BF8" w:rsidP="00042E94">
            <w:pPr>
              <w:jc w:val="center"/>
              <w:rPr>
                <w:rFonts w:ascii="Arial" w:eastAsia="Calibri" w:hAnsi="Arial" w:cs="Arial"/>
                <w:b/>
                <w:u w:val="single"/>
              </w:rPr>
            </w:pPr>
          </w:p>
          <w:p w14:paraId="7C166BA5" w14:textId="77777777" w:rsidR="00DC0BF8" w:rsidRDefault="00DC0BF8" w:rsidP="00042E94">
            <w:pPr>
              <w:jc w:val="center"/>
              <w:rPr>
                <w:rFonts w:ascii="Arial" w:eastAsia="Calibri" w:hAnsi="Arial" w:cs="Arial"/>
                <w:b/>
                <w:u w:val="single"/>
              </w:rPr>
            </w:pPr>
          </w:p>
          <w:p w14:paraId="604F79F2" w14:textId="77777777" w:rsidR="00DC0BF8" w:rsidRDefault="00DC0BF8" w:rsidP="00042E94">
            <w:pPr>
              <w:jc w:val="center"/>
              <w:rPr>
                <w:rFonts w:ascii="Arial" w:eastAsia="Calibri" w:hAnsi="Arial" w:cs="Arial"/>
                <w:b/>
                <w:u w:val="single"/>
              </w:rPr>
            </w:pPr>
          </w:p>
          <w:p w14:paraId="5B93D60D" w14:textId="77777777" w:rsidR="00DC0BF8" w:rsidRDefault="00DC0BF8" w:rsidP="00042E94">
            <w:pPr>
              <w:jc w:val="center"/>
              <w:rPr>
                <w:rFonts w:ascii="Arial" w:eastAsia="Calibri" w:hAnsi="Arial" w:cs="Arial"/>
                <w:b/>
                <w:u w:val="single"/>
              </w:rPr>
            </w:pPr>
          </w:p>
          <w:p w14:paraId="575D0DAC" w14:textId="7273A914" w:rsidR="00DC0BF8" w:rsidRDefault="00DC0BF8" w:rsidP="00042E94">
            <w:pPr>
              <w:jc w:val="center"/>
              <w:rPr>
                <w:rFonts w:ascii="Arial" w:eastAsia="Calibri" w:hAnsi="Arial" w:cs="Arial"/>
                <w:b/>
                <w:u w:val="single"/>
              </w:rPr>
            </w:pPr>
            <w:r>
              <w:rPr>
                <w:rFonts w:ascii="Arial" w:eastAsia="Calibri" w:hAnsi="Arial" w:cs="Arial"/>
                <w:b/>
                <w:u w:val="single"/>
              </w:rPr>
              <w:lastRenderedPageBreak/>
              <w:t>98.06%</w:t>
            </w:r>
          </w:p>
          <w:p w14:paraId="35A5A77E" w14:textId="2C27162F" w:rsidR="00DC0BF8" w:rsidRDefault="00DC0BF8" w:rsidP="00042E94">
            <w:pPr>
              <w:jc w:val="center"/>
              <w:rPr>
                <w:rFonts w:ascii="Arial" w:eastAsia="Calibri" w:hAnsi="Arial" w:cs="Arial"/>
                <w:b/>
                <w:u w:val="single"/>
              </w:rPr>
            </w:pPr>
            <w:r>
              <w:rPr>
                <w:rFonts w:ascii="Arial" w:eastAsia="Calibri" w:hAnsi="Arial" w:cs="Arial"/>
                <w:b/>
                <w:u w:val="single"/>
              </w:rPr>
              <w:t>56.82%</w:t>
            </w:r>
          </w:p>
          <w:p w14:paraId="2DE57C6F" w14:textId="77777777" w:rsidR="00DC0BF8" w:rsidRDefault="00DC0BF8" w:rsidP="00042E94">
            <w:pPr>
              <w:jc w:val="center"/>
              <w:rPr>
                <w:rFonts w:ascii="Arial" w:eastAsia="Calibri" w:hAnsi="Arial" w:cs="Arial"/>
                <w:b/>
                <w:u w:val="single"/>
              </w:rPr>
            </w:pPr>
          </w:p>
          <w:p w14:paraId="1C1B43FE" w14:textId="2CF532EC" w:rsidR="00DC0BF8" w:rsidRDefault="00DC0BF8" w:rsidP="00042E94">
            <w:pPr>
              <w:jc w:val="center"/>
              <w:rPr>
                <w:rFonts w:ascii="Arial" w:eastAsia="Calibri" w:hAnsi="Arial" w:cs="Arial"/>
                <w:b/>
                <w:u w:val="single"/>
              </w:rPr>
            </w:pPr>
            <w:r>
              <w:rPr>
                <w:rFonts w:ascii="Arial" w:eastAsia="Calibri" w:hAnsi="Arial" w:cs="Arial"/>
                <w:b/>
                <w:u w:val="single"/>
              </w:rPr>
              <w:t>73.86%</w:t>
            </w:r>
          </w:p>
        </w:tc>
        <w:tc>
          <w:tcPr>
            <w:tcW w:w="2042" w:type="dxa"/>
          </w:tcPr>
          <w:p w14:paraId="4F1F429A" w14:textId="77777777" w:rsidR="00DC0BF8" w:rsidRDefault="00DC0BF8" w:rsidP="00042E94">
            <w:pPr>
              <w:jc w:val="center"/>
              <w:rPr>
                <w:rFonts w:ascii="Arial" w:eastAsia="Calibri" w:hAnsi="Arial" w:cs="Arial"/>
                <w:b/>
                <w:u w:val="single"/>
              </w:rPr>
            </w:pPr>
          </w:p>
          <w:p w14:paraId="3DFB5812" w14:textId="77777777" w:rsidR="00DC0BF8" w:rsidRDefault="00DC0BF8" w:rsidP="00042E94">
            <w:pPr>
              <w:jc w:val="center"/>
              <w:rPr>
                <w:rFonts w:ascii="Arial" w:eastAsia="Calibri" w:hAnsi="Arial" w:cs="Arial"/>
                <w:b/>
                <w:u w:val="single"/>
              </w:rPr>
            </w:pPr>
          </w:p>
          <w:p w14:paraId="20C24FF2" w14:textId="77777777" w:rsidR="00DC0BF8" w:rsidRDefault="00DC0BF8" w:rsidP="00042E94">
            <w:pPr>
              <w:jc w:val="center"/>
              <w:rPr>
                <w:rFonts w:ascii="Arial" w:eastAsia="Calibri" w:hAnsi="Arial" w:cs="Arial"/>
                <w:b/>
                <w:u w:val="single"/>
              </w:rPr>
            </w:pPr>
          </w:p>
          <w:p w14:paraId="6357D79D" w14:textId="77777777" w:rsidR="00DC0BF8" w:rsidRDefault="00DC0BF8" w:rsidP="00042E94">
            <w:pPr>
              <w:jc w:val="center"/>
              <w:rPr>
                <w:rFonts w:ascii="Arial" w:eastAsia="Calibri" w:hAnsi="Arial" w:cs="Arial"/>
                <w:b/>
                <w:u w:val="single"/>
              </w:rPr>
            </w:pPr>
          </w:p>
          <w:p w14:paraId="213847F6" w14:textId="77777777" w:rsidR="00DC0BF8" w:rsidRDefault="00DC0BF8" w:rsidP="00042E94">
            <w:pPr>
              <w:jc w:val="center"/>
              <w:rPr>
                <w:rFonts w:ascii="Arial" w:eastAsia="Calibri" w:hAnsi="Arial" w:cs="Arial"/>
                <w:b/>
                <w:u w:val="single"/>
              </w:rPr>
            </w:pPr>
          </w:p>
          <w:p w14:paraId="75AA16CA" w14:textId="40844406" w:rsidR="00DC0BF8" w:rsidRDefault="00DC0BF8" w:rsidP="00042E94">
            <w:pPr>
              <w:jc w:val="center"/>
              <w:rPr>
                <w:rFonts w:ascii="Arial" w:eastAsia="Calibri" w:hAnsi="Arial" w:cs="Arial"/>
                <w:b/>
                <w:u w:val="single"/>
              </w:rPr>
            </w:pPr>
            <w:r>
              <w:rPr>
                <w:rFonts w:ascii="Arial" w:eastAsia="Calibri" w:hAnsi="Arial" w:cs="Arial"/>
                <w:b/>
                <w:u w:val="single"/>
              </w:rPr>
              <w:lastRenderedPageBreak/>
              <w:t>98.06%</w:t>
            </w:r>
          </w:p>
          <w:p w14:paraId="41DA8628" w14:textId="1DD4CF46" w:rsidR="00DC0BF8" w:rsidRDefault="00DC0BF8" w:rsidP="00042E94">
            <w:pPr>
              <w:jc w:val="center"/>
              <w:rPr>
                <w:rFonts w:ascii="Arial" w:eastAsia="Calibri" w:hAnsi="Arial" w:cs="Arial"/>
                <w:b/>
                <w:u w:val="single"/>
              </w:rPr>
            </w:pPr>
            <w:r>
              <w:rPr>
                <w:rFonts w:ascii="Arial" w:eastAsia="Calibri" w:hAnsi="Arial" w:cs="Arial"/>
                <w:b/>
                <w:u w:val="single"/>
              </w:rPr>
              <w:t>56.82%</w:t>
            </w:r>
          </w:p>
          <w:p w14:paraId="418490AC" w14:textId="77777777" w:rsidR="00DC0BF8" w:rsidRDefault="00DC0BF8" w:rsidP="00042E94">
            <w:pPr>
              <w:jc w:val="center"/>
              <w:rPr>
                <w:rFonts w:ascii="Arial" w:eastAsia="Calibri" w:hAnsi="Arial" w:cs="Arial"/>
                <w:b/>
                <w:u w:val="single"/>
              </w:rPr>
            </w:pPr>
          </w:p>
          <w:p w14:paraId="5D0C387F" w14:textId="737640A5" w:rsidR="00DC0BF8" w:rsidRDefault="00DC0BF8" w:rsidP="00042E94">
            <w:pPr>
              <w:jc w:val="center"/>
              <w:rPr>
                <w:rFonts w:ascii="Arial" w:eastAsia="Calibri" w:hAnsi="Arial" w:cs="Arial"/>
                <w:b/>
                <w:u w:val="single"/>
              </w:rPr>
            </w:pPr>
            <w:r>
              <w:rPr>
                <w:rFonts w:ascii="Arial" w:eastAsia="Calibri" w:hAnsi="Arial" w:cs="Arial"/>
                <w:b/>
                <w:u w:val="single"/>
              </w:rPr>
              <w:t>73.86%</w:t>
            </w:r>
          </w:p>
        </w:tc>
      </w:tr>
      <w:tr w:rsidR="00F80B8C" w:rsidRPr="004B1294" w14:paraId="1E84B0A3" w14:textId="77777777" w:rsidTr="00042E94">
        <w:tc>
          <w:tcPr>
            <w:tcW w:w="1550" w:type="dxa"/>
          </w:tcPr>
          <w:p w14:paraId="3E08F17B" w14:textId="5995F927" w:rsidR="00F80B8C" w:rsidRDefault="00F80B8C" w:rsidP="00042E94">
            <w:pPr>
              <w:jc w:val="center"/>
              <w:rPr>
                <w:rFonts w:ascii="Arial" w:hAnsi="Arial" w:cs="Arial"/>
                <w:b/>
              </w:rPr>
            </w:pPr>
            <w:r>
              <w:rPr>
                <w:rFonts w:ascii="Arial" w:hAnsi="Arial" w:cs="Arial"/>
                <w:b/>
              </w:rPr>
              <w:lastRenderedPageBreak/>
              <w:t>312</w:t>
            </w:r>
          </w:p>
        </w:tc>
        <w:tc>
          <w:tcPr>
            <w:tcW w:w="3255" w:type="dxa"/>
          </w:tcPr>
          <w:p w14:paraId="637912DD" w14:textId="7157C621" w:rsidR="00F80B8C" w:rsidRPr="00F80B8C" w:rsidRDefault="00F80B8C" w:rsidP="00F80B8C">
            <w:pPr>
              <w:jc w:val="both"/>
              <w:rPr>
                <w:rFonts w:ascii="Arial" w:hAnsi="Arial" w:cs="Arial"/>
                <w:b/>
                <w:lang w:val="es-MX"/>
              </w:rPr>
            </w:pPr>
            <w:r w:rsidRPr="00F80B8C">
              <w:rPr>
                <w:rFonts w:ascii="Arial" w:hAnsi="Arial" w:cs="Arial"/>
                <w:b/>
                <w:lang w:val="es-MX"/>
              </w:rPr>
              <w:t>U.A.E. COMISIÓN DE REGULACIÓN DE COMUNICACIONES – CRC.</w:t>
            </w:r>
          </w:p>
          <w:p w14:paraId="20A03DE9" w14:textId="77777777" w:rsidR="00F80B8C" w:rsidRDefault="00F80B8C" w:rsidP="00DC0BF8">
            <w:pPr>
              <w:jc w:val="both"/>
              <w:rPr>
                <w:rFonts w:ascii="Arial" w:hAnsi="Arial" w:cs="Arial"/>
                <w:b/>
                <w:lang w:val="es-MX"/>
              </w:rPr>
            </w:pPr>
          </w:p>
          <w:p w14:paraId="34D54D95" w14:textId="77777777" w:rsidR="00F80B8C" w:rsidRDefault="00F80B8C" w:rsidP="00F80B8C">
            <w:pPr>
              <w:jc w:val="both"/>
              <w:rPr>
                <w:rFonts w:ascii="Arial" w:hAnsi="Arial" w:cs="Arial"/>
                <w:b/>
                <w:lang w:val="es-MX"/>
              </w:rPr>
            </w:pPr>
            <w:r>
              <w:rPr>
                <w:rFonts w:ascii="Arial" w:hAnsi="Arial" w:cs="Arial"/>
                <w:b/>
                <w:lang w:val="es-MX"/>
              </w:rPr>
              <w:t>FUNCIONAMIENTO</w:t>
            </w:r>
          </w:p>
          <w:p w14:paraId="760E0F70" w14:textId="77777777" w:rsidR="00F80B8C" w:rsidRDefault="00F80B8C" w:rsidP="00F80B8C">
            <w:pPr>
              <w:jc w:val="both"/>
              <w:rPr>
                <w:rFonts w:ascii="Arial" w:hAnsi="Arial" w:cs="Arial"/>
                <w:b/>
                <w:lang w:val="es-MX"/>
              </w:rPr>
            </w:pPr>
            <w:r>
              <w:rPr>
                <w:rFonts w:ascii="Arial" w:hAnsi="Arial" w:cs="Arial"/>
                <w:b/>
                <w:lang w:val="es-MX"/>
              </w:rPr>
              <w:t>INVERSIÓN</w:t>
            </w:r>
          </w:p>
          <w:p w14:paraId="14733260" w14:textId="77777777" w:rsidR="00F80B8C" w:rsidRDefault="00F80B8C" w:rsidP="00F80B8C">
            <w:pPr>
              <w:jc w:val="both"/>
              <w:rPr>
                <w:rFonts w:ascii="Arial" w:hAnsi="Arial" w:cs="Arial"/>
                <w:b/>
                <w:lang w:val="es-MX"/>
              </w:rPr>
            </w:pPr>
          </w:p>
          <w:p w14:paraId="7824DED0" w14:textId="22605BED" w:rsidR="00F80B8C" w:rsidRPr="00DC0BF8" w:rsidRDefault="00F80B8C" w:rsidP="00F80B8C">
            <w:pPr>
              <w:jc w:val="both"/>
              <w:rPr>
                <w:rFonts w:ascii="Arial" w:hAnsi="Arial" w:cs="Arial"/>
                <w:b/>
                <w:lang w:val="es-MX"/>
              </w:rPr>
            </w:pPr>
            <w:r>
              <w:rPr>
                <w:rFonts w:ascii="Arial" w:hAnsi="Arial" w:cs="Arial"/>
                <w:b/>
                <w:lang w:val="es-MX"/>
              </w:rPr>
              <w:t>TOTAL PRESUPUESTO</w:t>
            </w:r>
          </w:p>
        </w:tc>
        <w:tc>
          <w:tcPr>
            <w:tcW w:w="1839" w:type="dxa"/>
          </w:tcPr>
          <w:p w14:paraId="2D47BD4E" w14:textId="77777777" w:rsidR="00F80B8C" w:rsidRDefault="00F80B8C" w:rsidP="00042E94">
            <w:pPr>
              <w:jc w:val="center"/>
              <w:rPr>
                <w:rFonts w:ascii="Arial" w:eastAsia="Calibri" w:hAnsi="Arial" w:cs="Arial"/>
                <w:b/>
                <w:u w:val="single"/>
              </w:rPr>
            </w:pPr>
          </w:p>
          <w:p w14:paraId="1A42A5F8" w14:textId="77777777" w:rsidR="00F80B8C" w:rsidRDefault="00F80B8C" w:rsidP="00042E94">
            <w:pPr>
              <w:jc w:val="center"/>
              <w:rPr>
                <w:rFonts w:ascii="Arial" w:eastAsia="Calibri" w:hAnsi="Arial" w:cs="Arial"/>
                <w:b/>
                <w:u w:val="single"/>
              </w:rPr>
            </w:pPr>
          </w:p>
          <w:p w14:paraId="5018A9E0" w14:textId="77777777" w:rsidR="00F80B8C" w:rsidRDefault="00F80B8C" w:rsidP="00042E94">
            <w:pPr>
              <w:jc w:val="center"/>
              <w:rPr>
                <w:rFonts w:ascii="Arial" w:eastAsia="Calibri" w:hAnsi="Arial" w:cs="Arial"/>
                <w:b/>
                <w:u w:val="single"/>
              </w:rPr>
            </w:pPr>
          </w:p>
          <w:p w14:paraId="0DB382A1" w14:textId="77777777" w:rsidR="00F80B8C" w:rsidRDefault="00F80B8C" w:rsidP="00042E94">
            <w:pPr>
              <w:jc w:val="center"/>
              <w:rPr>
                <w:rFonts w:ascii="Arial" w:eastAsia="Calibri" w:hAnsi="Arial" w:cs="Arial"/>
                <w:b/>
                <w:u w:val="single"/>
              </w:rPr>
            </w:pPr>
          </w:p>
          <w:p w14:paraId="38731003" w14:textId="04C500F4" w:rsidR="00F80B8C" w:rsidRDefault="00F80B8C" w:rsidP="00042E94">
            <w:pPr>
              <w:jc w:val="center"/>
              <w:rPr>
                <w:rFonts w:ascii="Arial" w:eastAsia="Calibri" w:hAnsi="Arial" w:cs="Arial"/>
                <w:b/>
                <w:u w:val="single"/>
              </w:rPr>
            </w:pPr>
            <w:r>
              <w:rPr>
                <w:rFonts w:ascii="Arial" w:eastAsia="Calibri" w:hAnsi="Arial" w:cs="Arial"/>
                <w:b/>
                <w:u w:val="single"/>
              </w:rPr>
              <w:t>91.00%</w:t>
            </w:r>
          </w:p>
          <w:p w14:paraId="1BFC1914" w14:textId="0ECE2F9A" w:rsidR="00F80B8C" w:rsidRDefault="00F80B8C" w:rsidP="00042E94">
            <w:pPr>
              <w:jc w:val="center"/>
              <w:rPr>
                <w:rFonts w:ascii="Arial" w:eastAsia="Calibri" w:hAnsi="Arial" w:cs="Arial"/>
                <w:b/>
                <w:u w:val="single"/>
              </w:rPr>
            </w:pPr>
            <w:r>
              <w:rPr>
                <w:rFonts w:ascii="Arial" w:eastAsia="Calibri" w:hAnsi="Arial" w:cs="Arial"/>
                <w:b/>
                <w:u w:val="single"/>
              </w:rPr>
              <w:t>98.00%</w:t>
            </w:r>
          </w:p>
          <w:p w14:paraId="0306B1B1" w14:textId="77777777" w:rsidR="00F80B8C" w:rsidRDefault="00F80B8C" w:rsidP="00042E94">
            <w:pPr>
              <w:jc w:val="center"/>
              <w:rPr>
                <w:rFonts w:ascii="Arial" w:eastAsia="Calibri" w:hAnsi="Arial" w:cs="Arial"/>
                <w:b/>
                <w:u w:val="single"/>
              </w:rPr>
            </w:pPr>
          </w:p>
          <w:p w14:paraId="3984B751" w14:textId="0D211298" w:rsidR="00F80B8C" w:rsidRDefault="00F80B8C" w:rsidP="00042E94">
            <w:pPr>
              <w:jc w:val="center"/>
              <w:rPr>
                <w:rFonts w:ascii="Arial" w:eastAsia="Calibri" w:hAnsi="Arial" w:cs="Arial"/>
                <w:b/>
                <w:u w:val="single"/>
              </w:rPr>
            </w:pPr>
            <w:r>
              <w:rPr>
                <w:rFonts w:ascii="Arial" w:eastAsia="Calibri" w:hAnsi="Arial" w:cs="Arial"/>
                <w:b/>
                <w:u w:val="single"/>
              </w:rPr>
              <w:t>94.00%</w:t>
            </w:r>
          </w:p>
        </w:tc>
        <w:tc>
          <w:tcPr>
            <w:tcW w:w="1804" w:type="dxa"/>
          </w:tcPr>
          <w:p w14:paraId="28D7489A" w14:textId="77777777" w:rsidR="00F80B8C" w:rsidRDefault="00F80B8C" w:rsidP="00042E94">
            <w:pPr>
              <w:jc w:val="center"/>
              <w:rPr>
                <w:rFonts w:ascii="Arial" w:eastAsia="Calibri" w:hAnsi="Arial" w:cs="Arial"/>
                <w:b/>
                <w:u w:val="single"/>
              </w:rPr>
            </w:pPr>
          </w:p>
          <w:p w14:paraId="020EFA4E" w14:textId="77777777" w:rsidR="00F80B8C" w:rsidRDefault="00F80B8C" w:rsidP="00042E94">
            <w:pPr>
              <w:jc w:val="center"/>
              <w:rPr>
                <w:rFonts w:ascii="Arial" w:eastAsia="Calibri" w:hAnsi="Arial" w:cs="Arial"/>
                <w:b/>
                <w:u w:val="single"/>
              </w:rPr>
            </w:pPr>
          </w:p>
          <w:p w14:paraId="427050DC" w14:textId="77777777" w:rsidR="00F80B8C" w:rsidRDefault="00F80B8C" w:rsidP="00042E94">
            <w:pPr>
              <w:jc w:val="center"/>
              <w:rPr>
                <w:rFonts w:ascii="Arial" w:eastAsia="Calibri" w:hAnsi="Arial" w:cs="Arial"/>
                <w:b/>
                <w:u w:val="single"/>
              </w:rPr>
            </w:pPr>
          </w:p>
          <w:p w14:paraId="0D6723C4" w14:textId="77777777" w:rsidR="00F80B8C" w:rsidRDefault="00F80B8C" w:rsidP="00042E94">
            <w:pPr>
              <w:jc w:val="center"/>
              <w:rPr>
                <w:rFonts w:ascii="Arial" w:eastAsia="Calibri" w:hAnsi="Arial" w:cs="Arial"/>
                <w:b/>
                <w:u w:val="single"/>
              </w:rPr>
            </w:pPr>
          </w:p>
          <w:p w14:paraId="4D83459E" w14:textId="77777777" w:rsidR="00F80B8C" w:rsidRDefault="00F80B8C" w:rsidP="00F80B8C">
            <w:pPr>
              <w:jc w:val="center"/>
              <w:rPr>
                <w:rFonts w:ascii="Arial" w:eastAsia="Calibri" w:hAnsi="Arial" w:cs="Arial"/>
                <w:b/>
                <w:u w:val="single"/>
              </w:rPr>
            </w:pPr>
            <w:r>
              <w:rPr>
                <w:rFonts w:ascii="Arial" w:eastAsia="Calibri" w:hAnsi="Arial" w:cs="Arial"/>
                <w:b/>
                <w:u w:val="single"/>
              </w:rPr>
              <w:t>91.00%</w:t>
            </w:r>
          </w:p>
          <w:p w14:paraId="4012A7D3" w14:textId="77777777" w:rsidR="00F80B8C" w:rsidRDefault="00F80B8C" w:rsidP="00F80B8C">
            <w:pPr>
              <w:jc w:val="center"/>
              <w:rPr>
                <w:rFonts w:ascii="Arial" w:eastAsia="Calibri" w:hAnsi="Arial" w:cs="Arial"/>
                <w:b/>
                <w:u w:val="single"/>
              </w:rPr>
            </w:pPr>
            <w:r>
              <w:rPr>
                <w:rFonts w:ascii="Arial" w:eastAsia="Calibri" w:hAnsi="Arial" w:cs="Arial"/>
                <w:b/>
                <w:u w:val="single"/>
              </w:rPr>
              <w:t>98.00%</w:t>
            </w:r>
          </w:p>
          <w:p w14:paraId="26BD12EF" w14:textId="77777777" w:rsidR="00F80B8C" w:rsidRDefault="00F80B8C" w:rsidP="00F80B8C">
            <w:pPr>
              <w:jc w:val="center"/>
              <w:rPr>
                <w:rFonts w:ascii="Arial" w:eastAsia="Calibri" w:hAnsi="Arial" w:cs="Arial"/>
                <w:b/>
                <w:u w:val="single"/>
              </w:rPr>
            </w:pPr>
          </w:p>
          <w:p w14:paraId="33796BAE" w14:textId="05DFB0BD" w:rsidR="00F80B8C" w:rsidRDefault="00F80B8C" w:rsidP="00F80B8C">
            <w:pPr>
              <w:jc w:val="center"/>
              <w:rPr>
                <w:rFonts w:ascii="Arial" w:eastAsia="Calibri" w:hAnsi="Arial" w:cs="Arial"/>
                <w:b/>
                <w:u w:val="single"/>
              </w:rPr>
            </w:pPr>
            <w:r>
              <w:rPr>
                <w:rFonts w:ascii="Arial" w:eastAsia="Calibri" w:hAnsi="Arial" w:cs="Arial"/>
                <w:b/>
                <w:u w:val="single"/>
              </w:rPr>
              <w:t>94.00%</w:t>
            </w:r>
          </w:p>
        </w:tc>
        <w:tc>
          <w:tcPr>
            <w:tcW w:w="2042" w:type="dxa"/>
          </w:tcPr>
          <w:p w14:paraId="5494628C" w14:textId="77777777" w:rsidR="00F80B8C" w:rsidRDefault="00F80B8C" w:rsidP="00042E94">
            <w:pPr>
              <w:jc w:val="center"/>
              <w:rPr>
                <w:rFonts w:ascii="Arial" w:eastAsia="Calibri" w:hAnsi="Arial" w:cs="Arial"/>
                <w:b/>
                <w:u w:val="single"/>
              </w:rPr>
            </w:pPr>
          </w:p>
          <w:p w14:paraId="10BE83F1" w14:textId="77777777" w:rsidR="00F80B8C" w:rsidRDefault="00F80B8C" w:rsidP="00042E94">
            <w:pPr>
              <w:jc w:val="center"/>
              <w:rPr>
                <w:rFonts w:ascii="Arial" w:eastAsia="Calibri" w:hAnsi="Arial" w:cs="Arial"/>
                <w:b/>
                <w:u w:val="single"/>
              </w:rPr>
            </w:pPr>
          </w:p>
          <w:p w14:paraId="449460C8" w14:textId="77777777" w:rsidR="00F80B8C" w:rsidRDefault="00F80B8C" w:rsidP="00042E94">
            <w:pPr>
              <w:jc w:val="center"/>
              <w:rPr>
                <w:rFonts w:ascii="Arial" w:eastAsia="Calibri" w:hAnsi="Arial" w:cs="Arial"/>
                <w:b/>
                <w:u w:val="single"/>
              </w:rPr>
            </w:pPr>
          </w:p>
          <w:p w14:paraId="5AF6E440" w14:textId="77777777" w:rsidR="00F80B8C" w:rsidRDefault="00F80B8C" w:rsidP="00042E94">
            <w:pPr>
              <w:jc w:val="center"/>
              <w:rPr>
                <w:rFonts w:ascii="Arial" w:eastAsia="Calibri" w:hAnsi="Arial" w:cs="Arial"/>
                <w:b/>
                <w:u w:val="single"/>
              </w:rPr>
            </w:pPr>
          </w:p>
          <w:p w14:paraId="21C206F8" w14:textId="77777777" w:rsidR="00F80B8C" w:rsidRDefault="00F80B8C" w:rsidP="00F80B8C">
            <w:pPr>
              <w:jc w:val="center"/>
              <w:rPr>
                <w:rFonts w:ascii="Arial" w:eastAsia="Calibri" w:hAnsi="Arial" w:cs="Arial"/>
                <w:b/>
                <w:u w:val="single"/>
              </w:rPr>
            </w:pPr>
            <w:r>
              <w:rPr>
                <w:rFonts w:ascii="Arial" w:eastAsia="Calibri" w:hAnsi="Arial" w:cs="Arial"/>
                <w:b/>
                <w:u w:val="single"/>
              </w:rPr>
              <w:t>91.00%</w:t>
            </w:r>
          </w:p>
          <w:p w14:paraId="2B922040" w14:textId="77777777" w:rsidR="00F80B8C" w:rsidRDefault="00F80B8C" w:rsidP="00F80B8C">
            <w:pPr>
              <w:jc w:val="center"/>
              <w:rPr>
                <w:rFonts w:ascii="Arial" w:eastAsia="Calibri" w:hAnsi="Arial" w:cs="Arial"/>
                <w:b/>
                <w:u w:val="single"/>
              </w:rPr>
            </w:pPr>
            <w:r>
              <w:rPr>
                <w:rFonts w:ascii="Arial" w:eastAsia="Calibri" w:hAnsi="Arial" w:cs="Arial"/>
                <w:b/>
                <w:u w:val="single"/>
              </w:rPr>
              <w:t>98.00%</w:t>
            </w:r>
          </w:p>
          <w:p w14:paraId="1FEC0E05" w14:textId="77777777" w:rsidR="00F80B8C" w:rsidRDefault="00F80B8C" w:rsidP="00F80B8C">
            <w:pPr>
              <w:jc w:val="center"/>
              <w:rPr>
                <w:rFonts w:ascii="Arial" w:eastAsia="Calibri" w:hAnsi="Arial" w:cs="Arial"/>
                <w:b/>
                <w:u w:val="single"/>
              </w:rPr>
            </w:pPr>
          </w:p>
          <w:p w14:paraId="5424B01A" w14:textId="38ADFD6A" w:rsidR="00F80B8C" w:rsidRDefault="00F80B8C" w:rsidP="00F80B8C">
            <w:pPr>
              <w:jc w:val="center"/>
              <w:rPr>
                <w:rFonts w:ascii="Arial" w:eastAsia="Calibri" w:hAnsi="Arial" w:cs="Arial"/>
                <w:b/>
                <w:u w:val="single"/>
              </w:rPr>
            </w:pPr>
            <w:r>
              <w:rPr>
                <w:rFonts w:ascii="Arial" w:eastAsia="Calibri" w:hAnsi="Arial" w:cs="Arial"/>
                <w:b/>
                <w:u w:val="single"/>
              </w:rPr>
              <w:t>94.00%</w:t>
            </w:r>
          </w:p>
        </w:tc>
      </w:tr>
      <w:tr w:rsidR="00226188" w:rsidRPr="004B1294" w14:paraId="793814CE" w14:textId="77777777" w:rsidTr="00042E94">
        <w:tc>
          <w:tcPr>
            <w:tcW w:w="1550" w:type="dxa"/>
          </w:tcPr>
          <w:p w14:paraId="0C4F6487" w14:textId="2D15E3D9" w:rsidR="00226188" w:rsidRDefault="00226188" w:rsidP="00042E94">
            <w:pPr>
              <w:jc w:val="center"/>
              <w:rPr>
                <w:rFonts w:ascii="Arial" w:hAnsi="Arial" w:cs="Arial"/>
                <w:b/>
              </w:rPr>
            </w:pPr>
            <w:r>
              <w:rPr>
                <w:rFonts w:ascii="Arial" w:hAnsi="Arial" w:cs="Arial"/>
                <w:b/>
              </w:rPr>
              <w:t>313</w:t>
            </w:r>
          </w:p>
        </w:tc>
        <w:tc>
          <w:tcPr>
            <w:tcW w:w="3255" w:type="dxa"/>
          </w:tcPr>
          <w:p w14:paraId="77830A02" w14:textId="2D342208" w:rsidR="00226188" w:rsidRPr="00226188" w:rsidRDefault="00226188" w:rsidP="00226188">
            <w:pPr>
              <w:jc w:val="both"/>
              <w:rPr>
                <w:rFonts w:ascii="Arial" w:hAnsi="Arial" w:cs="Arial"/>
                <w:b/>
                <w:lang w:val="es-MX"/>
              </w:rPr>
            </w:pPr>
            <w:r w:rsidRPr="00226188">
              <w:rPr>
                <w:rFonts w:ascii="Arial" w:hAnsi="Arial" w:cs="Arial"/>
                <w:b/>
                <w:lang w:val="es-MX"/>
              </w:rPr>
              <w:t>INSTITUTO TÉCNICO NACIONAL DE COMERCIO “SIMÓN RODRÍGUEZ” DE CALI – INTENALCO.</w:t>
            </w:r>
          </w:p>
          <w:p w14:paraId="044BC645" w14:textId="77777777" w:rsidR="00226188" w:rsidRDefault="00226188" w:rsidP="00F80B8C">
            <w:pPr>
              <w:jc w:val="both"/>
              <w:rPr>
                <w:rFonts w:ascii="Arial" w:hAnsi="Arial" w:cs="Arial"/>
                <w:b/>
                <w:lang w:val="es-MX"/>
              </w:rPr>
            </w:pPr>
          </w:p>
          <w:p w14:paraId="6731DBE4" w14:textId="77777777" w:rsidR="00226188" w:rsidRDefault="00226188" w:rsidP="00226188">
            <w:pPr>
              <w:jc w:val="both"/>
              <w:rPr>
                <w:rFonts w:ascii="Arial" w:hAnsi="Arial" w:cs="Arial"/>
                <w:b/>
                <w:lang w:val="es-MX"/>
              </w:rPr>
            </w:pPr>
            <w:r>
              <w:rPr>
                <w:rFonts w:ascii="Arial" w:hAnsi="Arial" w:cs="Arial"/>
                <w:b/>
                <w:lang w:val="es-MX"/>
              </w:rPr>
              <w:t>FUNCIONAMIENTO</w:t>
            </w:r>
          </w:p>
          <w:p w14:paraId="7ECDB90E" w14:textId="77777777" w:rsidR="00226188" w:rsidRDefault="00226188" w:rsidP="00226188">
            <w:pPr>
              <w:jc w:val="both"/>
              <w:rPr>
                <w:rFonts w:ascii="Arial" w:hAnsi="Arial" w:cs="Arial"/>
                <w:b/>
                <w:lang w:val="es-MX"/>
              </w:rPr>
            </w:pPr>
            <w:r>
              <w:rPr>
                <w:rFonts w:ascii="Arial" w:hAnsi="Arial" w:cs="Arial"/>
                <w:b/>
                <w:lang w:val="es-MX"/>
              </w:rPr>
              <w:t>INVERSIÓN</w:t>
            </w:r>
          </w:p>
          <w:p w14:paraId="35413843" w14:textId="77777777" w:rsidR="00226188" w:rsidRDefault="00226188" w:rsidP="00226188">
            <w:pPr>
              <w:jc w:val="both"/>
              <w:rPr>
                <w:rFonts w:ascii="Arial" w:hAnsi="Arial" w:cs="Arial"/>
                <w:b/>
                <w:lang w:val="es-MX"/>
              </w:rPr>
            </w:pPr>
          </w:p>
          <w:p w14:paraId="5CD0503B" w14:textId="221824A7" w:rsidR="00226188" w:rsidRPr="00F80B8C" w:rsidRDefault="00226188" w:rsidP="00226188">
            <w:pPr>
              <w:jc w:val="both"/>
              <w:rPr>
                <w:rFonts w:ascii="Arial" w:hAnsi="Arial" w:cs="Arial"/>
                <w:b/>
                <w:lang w:val="es-MX"/>
              </w:rPr>
            </w:pPr>
            <w:r>
              <w:rPr>
                <w:rFonts w:ascii="Arial" w:hAnsi="Arial" w:cs="Arial"/>
                <w:b/>
                <w:lang w:val="es-MX"/>
              </w:rPr>
              <w:t>TOTAL PRESUPUESTO</w:t>
            </w:r>
          </w:p>
        </w:tc>
        <w:tc>
          <w:tcPr>
            <w:tcW w:w="1839" w:type="dxa"/>
          </w:tcPr>
          <w:p w14:paraId="093DE154" w14:textId="77777777" w:rsidR="00226188" w:rsidRDefault="00226188" w:rsidP="00042E94">
            <w:pPr>
              <w:jc w:val="center"/>
              <w:rPr>
                <w:rFonts w:ascii="Arial" w:eastAsia="Calibri" w:hAnsi="Arial" w:cs="Arial"/>
                <w:b/>
                <w:u w:val="single"/>
              </w:rPr>
            </w:pPr>
          </w:p>
          <w:p w14:paraId="01CBC864" w14:textId="77777777" w:rsidR="00226188" w:rsidRDefault="00226188" w:rsidP="00042E94">
            <w:pPr>
              <w:jc w:val="center"/>
              <w:rPr>
                <w:rFonts w:ascii="Arial" w:eastAsia="Calibri" w:hAnsi="Arial" w:cs="Arial"/>
                <w:b/>
                <w:u w:val="single"/>
              </w:rPr>
            </w:pPr>
          </w:p>
          <w:p w14:paraId="2588983E" w14:textId="77777777" w:rsidR="00226188" w:rsidRDefault="00226188" w:rsidP="00042E94">
            <w:pPr>
              <w:jc w:val="center"/>
              <w:rPr>
                <w:rFonts w:ascii="Arial" w:eastAsia="Calibri" w:hAnsi="Arial" w:cs="Arial"/>
                <w:b/>
                <w:u w:val="single"/>
              </w:rPr>
            </w:pPr>
          </w:p>
          <w:p w14:paraId="718DDB20" w14:textId="77777777" w:rsidR="00226188" w:rsidRDefault="00226188" w:rsidP="00042E94">
            <w:pPr>
              <w:jc w:val="center"/>
              <w:rPr>
                <w:rFonts w:ascii="Arial" w:eastAsia="Calibri" w:hAnsi="Arial" w:cs="Arial"/>
                <w:b/>
                <w:u w:val="single"/>
              </w:rPr>
            </w:pPr>
          </w:p>
          <w:p w14:paraId="59AAAD3B" w14:textId="77777777" w:rsidR="00226188" w:rsidRDefault="00226188" w:rsidP="00042E94">
            <w:pPr>
              <w:jc w:val="center"/>
              <w:rPr>
                <w:rFonts w:ascii="Arial" w:eastAsia="Calibri" w:hAnsi="Arial" w:cs="Arial"/>
                <w:b/>
                <w:u w:val="single"/>
              </w:rPr>
            </w:pPr>
          </w:p>
          <w:p w14:paraId="28A2B274" w14:textId="3CA696EE" w:rsidR="00226188" w:rsidRDefault="00226188" w:rsidP="00042E94">
            <w:pPr>
              <w:jc w:val="center"/>
              <w:rPr>
                <w:rFonts w:ascii="Arial" w:eastAsia="Calibri" w:hAnsi="Arial" w:cs="Arial"/>
                <w:b/>
                <w:u w:val="single"/>
              </w:rPr>
            </w:pPr>
            <w:r>
              <w:rPr>
                <w:rFonts w:ascii="Arial" w:eastAsia="Calibri" w:hAnsi="Arial" w:cs="Arial"/>
                <w:b/>
                <w:u w:val="single"/>
              </w:rPr>
              <w:t>98.84%</w:t>
            </w:r>
          </w:p>
          <w:p w14:paraId="4262DF06" w14:textId="29D4022B" w:rsidR="00226188" w:rsidRDefault="00226188" w:rsidP="00042E94">
            <w:pPr>
              <w:jc w:val="center"/>
              <w:rPr>
                <w:rFonts w:ascii="Arial" w:eastAsia="Calibri" w:hAnsi="Arial" w:cs="Arial"/>
                <w:b/>
                <w:u w:val="single"/>
              </w:rPr>
            </w:pPr>
            <w:r>
              <w:rPr>
                <w:rFonts w:ascii="Arial" w:eastAsia="Calibri" w:hAnsi="Arial" w:cs="Arial"/>
                <w:b/>
                <w:u w:val="single"/>
              </w:rPr>
              <w:t>100.00%</w:t>
            </w:r>
          </w:p>
          <w:p w14:paraId="4155D8D8" w14:textId="77777777" w:rsidR="00226188" w:rsidRDefault="00226188" w:rsidP="00042E94">
            <w:pPr>
              <w:jc w:val="center"/>
              <w:rPr>
                <w:rFonts w:ascii="Arial" w:eastAsia="Calibri" w:hAnsi="Arial" w:cs="Arial"/>
                <w:b/>
                <w:u w:val="single"/>
              </w:rPr>
            </w:pPr>
          </w:p>
          <w:p w14:paraId="3EA2C252" w14:textId="156CB482" w:rsidR="00226188" w:rsidRDefault="00226188" w:rsidP="00226188">
            <w:pPr>
              <w:jc w:val="center"/>
              <w:rPr>
                <w:rFonts w:ascii="Arial" w:eastAsia="Calibri" w:hAnsi="Arial" w:cs="Arial"/>
                <w:b/>
                <w:u w:val="single"/>
              </w:rPr>
            </w:pPr>
            <w:r>
              <w:rPr>
                <w:rFonts w:ascii="Arial" w:eastAsia="Calibri" w:hAnsi="Arial" w:cs="Arial"/>
                <w:b/>
                <w:u w:val="single"/>
              </w:rPr>
              <w:t>99.30%</w:t>
            </w:r>
          </w:p>
        </w:tc>
        <w:tc>
          <w:tcPr>
            <w:tcW w:w="1804" w:type="dxa"/>
          </w:tcPr>
          <w:p w14:paraId="263E3613" w14:textId="77777777" w:rsidR="00226188" w:rsidRDefault="00226188" w:rsidP="00042E94">
            <w:pPr>
              <w:jc w:val="center"/>
              <w:rPr>
                <w:rFonts w:ascii="Arial" w:eastAsia="Calibri" w:hAnsi="Arial" w:cs="Arial"/>
                <w:b/>
                <w:u w:val="single"/>
              </w:rPr>
            </w:pPr>
          </w:p>
          <w:p w14:paraId="01BA8950" w14:textId="77777777" w:rsidR="00226188" w:rsidRDefault="00226188" w:rsidP="00042E94">
            <w:pPr>
              <w:jc w:val="center"/>
              <w:rPr>
                <w:rFonts w:ascii="Arial" w:eastAsia="Calibri" w:hAnsi="Arial" w:cs="Arial"/>
                <w:b/>
                <w:u w:val="single"/>
              </w:rPr>
            </w:pPr>
          </w:p>
          <w:p w14:paraId="678ED866" w14:textId="77777777" w:rsidR="00226188" w:rsidRDefault="00226188" w:rsidP="00042E94">
            <w:pPr>
              <w:jc w:val="center"/>
              <w:rPr>
                <w:rFonts w:ascii="Arial" w:eastAsia="Calibri" w:hAnsi="Arial" w:cs="Arial"/>
                <w:b/>
                <w:u w:val="single"/>
              </w:rPr>
            </w:pPr>
          </w:p>
          <w:p w14:paraId="118E2CC6" w14:textId="77777777" w:rsidR="00226188" w:rsidRDefault="00226188" w:rsidP="00042E94">
            <w:pPr>
              <w:jc w:val="center"/>
              <w:rPr>
                <w:rFonts w:ascii="Arial" w:eastAsia="Calibri" w:hAnsi="Arial" w:cs="Arial"/>
                <w:b/>
                <w:u w:val="single"/>
              </w:rPr>
            </w:pPr>
          </w:p>
          <w:p w14:paraId="5AAB48EE" w14:textId="77777777" w:rsidR="00226188" w:rsidRDefault="00226188" w:rsidP="00042E94">
            <w:pPr>
              <w:jc w:val="center"/>
              <w:rPr>
                <w:rFonts w:ascii="Arial" w:eastAsia="Calibri" w:hAnsi="Arial" w:cs="Arial"/>
                <w:b/>
                <w:u w:val="single"/>
              </w:rPr>
            </w:pPr>
          </w:p>
          <w:p w14:paraId="0CF68C02" w14:textId="0C45789D" w:rsidR="00226188" w:rsidRDefault="00226188" w:rsidP="00042E94">
            <w:pPr>
              <w:jc w:val="center"/>
              <w:rPr>
                <w:rFonts w:ascii="Arial" w:eastAsia="Calibri" w:hAnsi="Arial" w:cs="Arial"/>
                <w:b/>
                <w:u w:val="single"/>
              </w:rPr>
            </w:pPr>
            <w:r>
              <w:rPr>
                <w:rFonts w:ascii="Arial" w:eastAsia="Calibri" w:hAnsi="Arial" w:cs="Arial"/>
                <w:b/>
                <w:u w:val="single"/>
              </w:rPr>
              <w:t>96.97%</w:t>
            </w:r>
          </w:p>
          <w:p w14:paraId="0594F35B" w14:textId="058C37B5" w:rsidR="00226188" w:rsidRDefault="00226188" w:rsidP="00042E94">
            <w:pPr>
              <w:jc w:val="center"/>
              <w:rPr>
                <w:rFonts w:ascii="Arial" w:eastAsia="Calibri" w:hAnsi="Arial" w:cs="Arial"/>
                <w:b/>
                <w:u w:val="single"/>
              </w:rPr>
            </w:pPr>
            <w:r>
              <w:rPr>
                <w:rFonts w:ascii="Arial" w:eastAsia="Calibri" w:hAnsi="Arial" w:cs="Arial"/>
                <w:b/>
                <w:u w:val="single"/>
              </w:rPr>
              <w:t>91.12%</w:t>
            </w:r>
          </w:p>
          <w:p w14:paraId="04F289E0" w14:textId="77777777" w:rsidR="00226188" w:rsidRDefault="00226188" w:rsidP="00042E94">
            <w:pPr>
              <w:jc w:val="center"/>
              <w:rPr>
                <w:rFonts w:ascii="Arial" w:eastAsia="Calibri" w:hAnsi="Arial" w:cs="Arial"/>
                <w:b/>
                <w:u w:val="single"/>
              </w:rPr>
            </w:pPr>
          </w:p>
          <w:p w14:paraId="0505AA4B" w14:textId="6F7E142F" w:rsidR="00226188" w:rsidRDefault="00226188" w:rsidP="00042E94">
            <w:pPr>
              <w:jc w:val="center"/>
              <w:rPr>
                <w:rFonts w:ascii="Arial" w:eastAsia="Calibri" w:hAnsi="Arial" w:cs="Arial"/>
                <w:b/>
                <w:u w:val="single"/>
              </w:rPr>
            </w:pPr>
            <w:r>
              <w:rPr>
                <w:rFonts w:ascii="Arial" w:eastAsia="Calibri" w:hAnsi="Arial" w:cs="Arial"/>
                <w:b/>
                <w:u w:val="single"/>
              </w:rPr>
              <w:t>94.65%</w:t>
            </w:r>
          </w:p>
        </w:tc>
        <w:tc>
          <w:tcPr>
            <w:tcW w:w="2042" w:type="dxa"/>
          </w:tcPr>
          <w:p w14:paraId="7F39DDCC" w14:textId="77777777" w:rsidR="00226188" w:rsidRDefault="00226188" w:rsidP="00042E94">
            <w:pPr>
              <w:jc w:val="center"/>
              <w:rPr>
                <w:rFonts w:ascii="Arial" w:eastAsia="Calibri" w:hAnsi="Arial" w:cs="Arial"/>
                <w:b/>
                <w:u w:val="single"/>
              </w:rPr>
            </w:pPr>
          </w:p>
          <w:p w14:paraId="724A1122" w14:textId="77777777" w:rsidR="00226188" w:rsidRDefault="00226188" w:rsidP="00042E94">
            <w:pPr>
              <w:jc w:val="center"/>
              <w:rPr>
                <w:rFonts w:ascii="Arial" w:eastAsia="Calibri" w:hAnsi="Arial" w:cs="Arial"/>
                <w:b/>
                <w:u w:val="single"/>
              </w:rPr>
            </w:pPr>
          </w:p>
          <w:p w14:paraId="37EB21ED" w14:textId="77777777" w:rsidR="00226188" w:rsidRDefault="00226188" w:rsidP="00042E94">
            <w:pPr>
              <w:jc w:val="center"/>
              <w:rPr>
                <w:rFonts w:ascii="Arial" w:eastAsia="Calibri" w:hAnsi="Arial" w:cs="Arial"/>
                <w:b/>
                <w:u w:val="single"/>
              </w:rPr>
            </w:pPr>
          </w:p>
          <w:p w14:paraId="45823244" w14:textId="77777777" w:rsidR="00226188" w:rsidRDefault="00226188" w:rsidP="00042E94">
            <w:pPr>
              <w:jc w:val="center"/>
              <w:rPr>
                <w:rFonts w:ascii="Arial" w:eastAsia="Calibri" w:hAnsi="Arial" w:cs="Arial"/>
                <w:b/>
                <w:u w:val="single"/>
              </w:rPr>
            </w:pPr>
          </w:p>
          <w:p w14:paraId="609ACD96" w14:textId="77777777" w:rsidR="00226188" w:rsidRDefault="00226188" w:rsidP="00042E94">
            <w:pPr>
              <w:jc w:val="center"/>
              <w:rPr>
                <w:rFonts w:ascii="Arial" w:eastAsia="Calibri" w:hAnsi="Arial" w:cs="Arial"/>
                <w:b/>
                <w:u w:val="single"/>
              </w:rPr>
            </w:pPr>
          </w:p>
          <w:p w14:paraId="4CB81720" w14:textId="2C5E4FCA" w:rsidR="00226188" w:rsidRDefault="00226188" w:rsidP="00042E94">
            <w:pPr>
              <w:jc w:val="center"/>
              <w:rPr>
                <w:rFonts w:ascii="Arial" w:eastAsia="Calibri" w:hAnsi="Arial" w:cs="Arial"/>
                <w:b/>
                <w:u w:val="single"/>
              </w:rPr>
            </w:pPr>
            <w:r>
              <w:rPr>
                <w:rFonts w:ascii="Arial" w:eastAsia="Calibri" w:hAnsi="Arial" w:cs="Arial"/>
                <w:b/>
                <w:u w:val="single"/>
              </w:rPr>
              <w:t>96.97%</w:t>
            </w:r>
          </w:p>
          <w:p w14:paraId="5F877003" w14:textId="2443C4B4" w:rsidR="00226188" w:rsidRDefault="00226188" w:rsidP="00042E94">
            <w:pPr>
              <w:jc w:val="center"/>
              <w:rPr>
                <w:rFonts w:ascii="Arial" w:eastAsia="Calibri" w:hAnsi="Arial" w:cs="Arial"/>
                <w:b/>
                <w:u w:val="single"/>
              </w:rPr>
            </w:pPr>
            <w:r>
              <w:rPr>
                <w:rFonts w:ascii="Arial" w:eastAsia="Calibri" w:hAnsi="Arial" w:cs="Arial"/>
                <w:b/>
                <w:u w:val="single"/>
              </w:rPr>
              <w:t>91.12%</w:t>
            </w:r>
          </w:p>
          <w:p w14:paraId="772EA9D0" w14:textId="77777777" w:rsidR="00226188" w:rsidRDefault="00226188" w:rsidP="00042E94">
            <w:pPr>
              <w:jc w:val="center"/>
              <w:rPr>
                <w:rFonts w:ascii="Arial" w:eastAsia="Calibri" w:hAnsi="Arial" w:cs="Arial"/>
                <w:b/>
                <w:u w:val="single"/>
              </w:rPr>
            </w:pPr>
          </w:p>
          <w:p w14:paraId="4562C54E" w14:textId="56FAF802" w:rsidR="00226188" w:rsidRDefault="00226188" w:rsidP="00042E94">
            <w:pPr>
              <w:jc w:val="center"/>
              <w:rPr>
                <w:rFonts w:ascii="Arial" w:eastAsia="Calibri" w:hAnsi="Arial" w:cs="Arial"/>
                <w:b/>
                <w:u w:val="single"/>
              </w:rPr>
            </w:pPr>
            <w:r>
              <w:rPr>
                <w:rFonts w:ascii="Arial" w:eastAsia="Calibri" w:hAnsi="Arial" w:cs="Arial"/>
                <w:b/>
                <w:u w:val="single"/>
              </w:rPr>
              <w:t>94.65%</w:t>
            </w:r>
          </w:p>
        </w:tc>
      </w:tr>
      <w:tr w:rsidR="00E52746" w:rsidRPr="004B1294" w14:paraId="043E3E32" w14:textId="77777777" w:rsidTr="00042E94">
        <w:tc>
          <w:tcPr>
            <w:tcW w:w="1550" w:type="dxa"/>
          </w:tcPr>
          <w:p w14:paraId="4EC8F35B" w14:textId="7B62A961" w:rsidR="00E52746" w:rsidRDefault="00E52746" w:rsidP="00042E94">
            <w:pPr>
              <w:jc w:val="center"/>
              <w:rPr>
                <w:rFonts w:ascii="Arial" w:hAnsi="Arial" w:cs="Arial"/>
                <w:b/>
              </w:rPr>
            </w:pPr>
            <w:r>
              <w:rPr>
                <w:rFonts w:ascii="Arial" w:hAnsi="Arial" w:cs="Arial"/>
                <w:b/>
              </w:rPr>
              <w:t>314</w:t>
            </w:r>
          </w:p>
        </w:tc>
        <w:tc>
          <w:tcPr>
            <w:tcW w:w="3255" w:type="dxa"/>
          </w:tcPr>
          <w:p w14:paraId="62E4ACB3" w14:textId="22B84F88" w:rsidR="00E52746" w:rsidRPr="00E52746" w:rsidRDefault="00E52746" w:rsidP="00E52746">
            <w:pPr>
              <w:jc w:val="both"/>
              <w:rPr>
                <w:rFonts w:ascii="Arial" w:hAnsi="Arial" w:cs="Arial"/>
                <w:b/>
                <w:lang w:val="es-MX"/>
              </w:rPr>
            </w:pPr>
            <w:r w:rsidRPr="00E52746">
              <w:rPr>
                <w:rFonts w:ascii="Arial" w:hAnsi="Arial" w:cs="Arial"/>
                <w:b/>
                <w:lang w:val="es-CO"/>
              </w:rPr>
              <w:t>UNIDAD ADMINISTRATIVA ESPECIAL DE GESTIÓN DE RESTITUCIÓN DE TIERRAS DESPOJADAS.</w:t>
            </w:r>
          </w:p>
          <w:p w14:paraId="77406524" w14:textId="77777777" w:rsidR="00E52746" w:rsidRDefault="00E52746" w:rsidP="00226188">
            <w:pPr>
              <w:jc w:val="both"/>
              <w:rPr>
                <w:rFonts w:ascii="Arial" w:hAnsi="Arial" w:cs="Arial"/>
                <w:b/>
                <w:lang w:val="es-MX"/>
              </w:rPr>
            </w:pPr>
          </w:p>
          <w:p w14:paraId="2AF50B22" w14:textId="77777777" w:rsidR="00E52746" w:rsidRDefault="00E52746" w:rsidP="00E52746">
            <w:pPr>
              <w:jc w:val="both"/>
              <w:rPr>
                <w:rFonts w:ascii="Arial" w:hAnsi="Arial" w:cs="Arial"/>
                <w:b/>
                <w:lang w:val="es-MX"/>
              </w:rPr>
            </w:pPr>
            <w:r>
              <w:rPr>
                <w:rFonts w:ascii="Arial" w:hAnsi="Arial" w:cs="Arial"/>
                <w:b/>
                <w:lang w:val="es-MX"/>
              </w:rPr>
              <w:t>FUNCIONAMIENTO</w:t>
            </w:r>
          </w:p>
          <w:p w14:paraId="15B8E0C9" w14:textId="77777777" w:rsidR="00E52746" w:rsidRDefault="00E52746" w:rsidP="00E52746">
            <w:pPr>
              <w:jc w:val="both"/>
              <w:rPr>
                <w:rFonts w:ascii="Arial" w:hAnsi="Arial" w:cs="Arial"/>
                <w:b/>
                <w:lang w:val="es-MX"/>
              </w:rPr>
            </w:pPr>
            <w:r>
              <w:rPr>
                <w:rFonts w:ascii="Arial" w:hAnsi="Arial" w:cs="Arial"/>
                <w:b/>
                <w:lang w:val="es-MX"/>
              </w:rPr>
              <w:t>INVERSIÓN</w:t>
            </w:r>
          </w:p>
          <w:p w14:paraId="709432CB" w14:textId="77777777" w:rsidR="00E52746" w:rsidRDefault="00E52746" w:rsidP="00E52746">
            <w:pPr>
              <w:jc w:val="both"/>
              <w:rPr>
                <w:rFonts w:ascii="Arial" w:hAnsi="Arial" w:cs="Arial"/>
                <w:b/>
                <w:lang w:val="es-MX"/>
              </w:rPr>
            </w:pPr>
          </w:p>
          <w:p w14:paraId="0E2CD343" w14:textId="006D834C" w:rsidR="00E52746" w:rsidRPr="00226188" w:rsidRDefault="00E52746" w:rsidP="00E52746">
            <w:pPr>
              <w:jc w:val="both"/>
              <w:rPr>
                <w:rFonts w:ascii="Arial" w:hAnsi="Arial" w:cs="Arial"/>
                <w:b/>
                <w:lang w:val="es-MX"/>
              </w:rPr>
            </w:pPr>
            <w:r>
              <w:rPr>
                <w:rFonts w:ascii="Arial" w:hAnsi="Arial" w:cs="Arial"/>
                <w:b/>
                <w:lang w:val="es-MX"/>
              </w:rPr>
              <w:t>TOTAL PRESUPUESTO</w:t>
            </w:r>
          </w:p>
        </w:tc>
        <w:tc>
          <w:tcPr>
            <w:tcW w:w="1839" w:type="dxa"/>
          </w:tcPr>
          <w:p w14:paraId="706970A2" w14:textId="77777777" w:rsidR="00E52746" w:rsidRDefault="00E52746" w:rsidP="00042E94">
            <w:pPr>
              <w:jc w:val="center"/>
              <w:rPr>
                <w:rFonts w:ascii="Arial" w:eastAsia="Calibri" w:hAnsi="Arial" w:cs="Arial"/>
                <w:b/>
                <w:u w:val="single"/>
              </w:rPr>
            </w:pPr>
          </w:p>
          <w:p w14:paraId="26E0B2DE" w14:textId="77777777" w:rsidR="00E52746" w:rsidRDefault="00E52746" w:rsidP="00042E94">
            <w:pPr>
              <w:jc w:val="center"/>
              <w:rPr>
                <w:rFonts w:ascii="Arial" w:eastAsia="Calibri" w:hAnsi="Arial" w:cs="Arial"/>
                <w:b/>
                <w:u w:val="single"/>
              </w:rPr>
            </w:pPr>
          </w:p>
          <w:p w14:paraId="0802796D" w14:textId="77777777" w:rsidR="00E52746" w:rsidRDefault="00E52746" w:rsidP="00042E94">
            <w:pPr>
              <w:jc w:val="center"/>
              <w:rPr>
                <w:rFonts w:ascii="Arial" w:eastAsia="Calibri" w:hAnsi="Arial" w:cs="Arial"/>
                <w:b/>
                <w:u w:val="single"/>
              </w:rPr>
            </w:pPr>
          </w:p>
          <w:p w14:paraId="2937C511" w14:textId="77777777" w:rsidR="00E52746" w:rsidRDefault="00E52746" w:rsidP="00042E94">
            <w:pPr>
              <w:jc w:val="center"/>
              <w:rPr>
                <w:rFonts w:ascii="Arial" w:eastAsia="Calibri" w:hAnsi="Arial" w:cs="Arial"/>
                <w:b/>
                <w:u w:val="single"/>
              </w:rPr>
            </w:pPr>
          </w:p>
          <w:p w14:paraId="39B9EC05" w14:textId="77777777" w:rsidR="00E52746" w:rsidRDefault="00E52746" w:rsidP="00042E94">
            <w:pPr>
              <w:jc w:val="center"/>
              <w:rPr>
                <w:rFonts w:ascii="Arial" w:eastAsia="Calibri" w:hAnsi="Arial" w:cs="Arial"/>
                <w:b/>
                <w:u w:val="single"/>
              </w:rPr>
            </w:pPr>
          </w:p>
          <w:p w14:paraId="1AEC6345" w14:textId="65939000" w:rsidR="00E52746" w:rsidRDefault="00E52746" w:rsidP="00042E94">
            <w:pPr>
              <w:jc w:val="center"/>
              <w:rPr>
                <w:rFonts w:ascii="Arial" w:eastAsia="Calibri" w:hAnsi="Arial" w:cs="Arial"/>
                <w:b/>
                <w:u w:val="single"/>
              </w:rPr>
            </w:pPr>
            <w:r>
              <w:rPr>
                <w:rFonts w:ascii="Arial" w:eastAsia="Calibri" w:hAnsi="Arial" w:cs="Arial"/>
                <w:b/>
                <w:u w:val="single"/>
              </w:rPr>
              <w:t>96.68%</w:t>
            </w:r>
          </w:p>
          <w:p w14:paraId="66B8001E" w14:textId="7F7420E1" w:rsidR="00E52746" w:rsidRDefault="00E52746" w:rsidP="00042E94">
            <w:pPr>
              <w:jc w:val="center"/>
              <w:rPr>
                <w:rFonts w:ascii="Arial" w:eastAsia="Calibri" w:hAnsi="Arial" w:cs="Arial"/>
                <w:b/>
                <w:u w:val="single"/>
              </w:rPr>
            </w:pPr>
            <w:r>
              <w:rPr>
                <w:rFonts w:ascii="Arial" w:eastAsia="Calibri" w:hAnsi="Arial" w:cs="Arial"/>
                <w:b/>
                <w:u w:val="single"/>
              </w:rPr>
              <w:t>95.38%</w:t>
            </w:r>
          </w:p>
          <w:p w14:paraId="070BA224" w14:textId="77777777" w:rsidR="00E52746" w:rsidRDefault="00E52746" w:rsidP="00042E94">
            <w:pPr>
              <w:jc w:val="center"/>
              <w:rPr>
                <w:rFonts w:ascii="Arial" w:eastAsia="Calibri" w:hAnsi="Arial" w:cs="Arial"/>
                <w:b/>
                <w:u w:val="single"/>
              </w:rPr>
            </w:pPr>
          </w:p>
          <w:p w14:paraId="68B165B6" w14:textId="384D9872" w:rsidR="00E52746" w:rsidRDefault="00E52746" w:rsidP="00042E94">
            <w:pPr>
              <w:jc w:val="center"/>
              <w:rPr>
                <w:rFonts w:ascii="Arial" w:eastAsia="Calibri" w:hAnsi="Arial" w:cs="Arial"/>
                <w:b/>
                <w:u w:val="single"/>
              </w:rPr>
            </w:pPr>
            <w:r>
              <w:rPr>
                <w:rFonts w:ascii="Arial" w:eastAsia="Calibri" w:hAnsi="Arial" w:cs="Arial"/>
                <w:b/>
                <w:u w:val="single"/>
              </w:rPr>
              <w:t>95.61%</w:t>
            </w:r>
          </w:p>
        </w:tc>
        <w:tc>
          <w:tcPr>
            <w:tcW w:w="1804" w:type="dxa"/>
          </w:tcPr>
          <w:p w14:paraId="1AFB9A8A" w14:textId="77777777" w:rsidR="00E52746" w:rsidRDefault="00E52746" w:rsidP="00042E94">
            <w:pPr>
              <w:jc w:val="center"/>
              <w:rPr>
                <w:rFonts w:ascii="Arial" w:eastAsia="Calibri" w:hAnsi="Arial" w:cs="Arial"/>
                <w:b/>
                <w:u w:val="single"/>
              </w:rPr>
            </w:pPr>
          </w:p>
          <w:p w14:paraId="42C583E0" w14:textId="77777777" w:rsidR="00E52746" w:rsidRDefault="00E52746" w:rsidP="00042E94">
            <w:pPr>
              <w:jc w:val="center"/>
              <w:rPr>
                <w:rFonts w:ascii="Arial" w:eastAsia="Calibri" w:hAnsi="Arial" w:cs="Arial"/>
                <w:b/>
                <w:u w:val="single"/>
              </w:rPr>
            </w:pPr>
          </w:p>
          <w:p w14:paraId="5B84BF4E" w14:textId="77777777" w:rsidR="00E52746" w:rsidRDefault="00E52746" w:rsidP="00042E94">
            <w:pPr>
              <w:jc w:val="center"/>
              <w:rPr>
                <w:rFonts w:ascii="Arial" w:eastAsia="Calibri" w:hAnsi="Arial" w:cs="Arial"/>
                <w:b/>
                <w:u w:val="single"/>
              </w:rPr>
            </w:pPr>
          </w:p>
          <w:p w14:paraId="76FB4EE5" w14:textId="77777777" w:rsidR="00E52746" w:rsidRDefault="00E52746" w:rsidP="00042E94">
            <w:pPr>
              <w:jc w:val="center"/>
              <w:rPr>
                <w:rFonts w:ascii="Arial" w:eastAsia="Calibri" w:hAnsi="Arial" w:cs="Arial"/>
                <w:b/>
                <w:u w:val="single"/>
              </w:rPr>
            </w:pPr>
          </w:p>
          <w:p w14:paraId="23224E84" w14:textId="77777777" w:rsidR="00E52746" w:rsidRDefault="00E52746" w:rsidP="00042E94">
            <w:pPr>
              <w:jc w:val="center"/>
              <w:rPr>
                <w:rFonts w:ascii="Arial" w:eastAsia="Calibri" w:hAnsi="Arial" w:cs="Arial"/>
                <w:b/>
                <w:u w:val="single"/>
              </w:rPr>
            </w:pPr>
          </w:p>
          <w:p w14:paraId="6540C8A8" w14:textId="072767CE" w:rsidR="00E52746" w:rsidRDefault="00E52746" w:rsidP="00042E94">
            <w:pPr>
              <w:jc w:val="center"/>
              <w:rPr>
                <w:rFonts w:ascii="Arial" w:eastAsia="Calibri" w:hAnsi="Arial" w:cs="Arial"/>
                <w:b/>
                <w:u w:val="single"/>
              </w:rPr>
            </w:pPr>
            <w:r>
              <w:rPr>
                <w:rFonts w:ascii="Arial" w:eastAsia="Calibri" w:hAnsi="Arial" w:cs="Arial"/>
                <w:b/>
                <w:u w:val="single"/>
              </w:rPr>
              <w:t>96.60%</w:t>
            </w:r>
          </w:p>
          <w:p w14:paraId="28BDAECE" w14:textId="0BBFFB13" w:rsidR="00E52746" w:rsidRDefault="00E52746" w:rsidP="00042E94">
            <w:pPr>
              <w:jc w:val="center"/>
              <w:rPr>
                <w:rFonts w:ascii="Arial" w:eastAsia="Calibri" w:hAnsi="Arial" w:cs="Arial"/>
                <w:b/>
                <w:u w:val="single"/>
              </w:rPr>
            </w:pPr>
            <w:r>
              <w:rPr>
                <w:rFonts w:ascii="Arial" w:eastAsia="Calibri" w:hAnsi="Arial" w:cs="Arial"/>
                <w:b/>
                <w:u w:val="single"/>
              </w:rPr>
              <w:t>87.93%</w:t>
            </w:r>
          </w:p>
          <w:p w14:paraId="4E634F8A" w14:textId="77777777" w:rsidR="00E52746" w:rsidRDefault="00E52746" w:rsidP="00042E94">
            <w:pPr>
              <w:jc w:val="center"/>
              <w:rPr>
                <w:rFonts w:ascii="Arial" w:eastAsia="Calibri" w:hAnsi="Arial" w:cs="Arial"/>
                <w:b/>
                <w:u w:val="single"/>
              </w:rPr>
            </w:pPr>
          </w:p>
          <w:p w14:paraId="7897F60B" w14:textId="0705CB3E" w:rsidR="00E52746" w:rsidRDefault="00E52746" w:rsidP="00042E94">
            <w:pPr>
              <w:jc w:val="center"/>
              <w:rPr>
                <w:rFonts w:ascii="Arial" w:eastAsia="Calibri" w:hAnsi="Arial" w:cs="Arial"/>
                <w:b/>
                <w:u w:val="single"/>
              </w:rPr>
            </w:pPr>
            <w:r>
              <w:rPr>
                <w:rFonts w:ascii="Arial" w:eastAsia="Calibri" w:hAnsi="Arial" w:cs="Arial"/>
                <w:b/>
                <w:u w:val="single"/>
              </w:rPr>
              <w:t>89.45%</w:t>
            </w:r>
          </w:p>
        </w:tc>
        <w:tc>
          <w:tcPr>
            <w:tcW w:w="2042" w:type="dxa"/>
          </w:tcPr>
          <w:p w14:paraId="4035F2E7" w14:textId="77777777" w:rsidR="00E52746" w:rsidRDefault="00E52746" w:rsidP="00042E94">
            <w:pPr>
              <w:jc w:val="center"/>
              <w:rPr>
                <w:rFonts w:ascii="Arial" w:eastAsia="Calibri" w:hAnsi="Arial" w:cs="Arial"/>
                <w:b/>
                <w:u w:val="single"/>
              </w:rPr>
            </w:pPr>
          </w:p>
          <w:p w14:paraId="5195F27A" w14:textId="77777777" w:rsidR="00E52746" w:rsidRDefault="00E52746" w:rsidP="00042E94">
            <w:pPr>
              <w:jc w:val="center"/>
              <w:rPr>
                <w:rFonts w:ascii="Arial" w:eastAsia="Calibri" w:hAnsi="Arial" w:cs="Arial"/>
                <w:b/>
                <w:u w:val="single"/>
              </w:rPr>
            </w:pPr>
          </w:p>
          <w:p w14:paraId="6706B937" w14:textId="77777777" w:rsidR="00E52746" w:rsidRDefault="00E52746" w:rsidP="00042E94">
            <w:pPr>
              <w:jc w:val="center"/>
              <w:rPr>
                <w:rFonts w:ascii="Arial" w:eastAsia="Calibri" w:hAnsi="Arial" w:cs="Arial"/>
                <w:b/>
                <w:u w:val="single"/>
              </w:rPr>
            </w:pPr>
          </w:p>
          <w:p w14:paraId="7A79F39B" w14:textId="77777777" w:rsidR="00E52746" w:rsidRDefault="00E52746" w:rsidP="00042E94">
            <w:pPr>
              <w:jc w:val="center"/>
              <w:rPr>
                <w:rFonts w:ascii="Arial" w:eastAsia="Calibri" w:hAnsi="Arial" w:cs="Arial"/>
                <w:b/>
                <w:u w:val="single"/>
              </w:rPr>
            </w:pPr>
          </w:p>
          <w:p w14:paraId="53C7D5E5" w14:textId="77777777" w:rsidR="00E52746" w:rsidRDefault="00E52746" w:rsidP="00042E94">
            <w:pPr>
              <w:jc w:val="center"/>
              <w:rPr>
                <w:rFonts w:ascii="Arial" w:eastAsia="Calibri" w:hAnsi="Arial" w:cs="Arial"/>
                <w:b/>
                <w:u w:val="single"/>
              </w:rPr>
            </w:pPr>
          </w:p>
          <w:p w14:paraId="3826F028" w14:textId="5BA8ED35" w:rsidR="00E52746" w:rsidRDefault="00E52746" w:rsidP="00042E94">
            <w:pPr>
              <w:jc w:val="center"/>
              <w:rPr>
                <w:rFonts w:ascii="Arial" w:eastAsia="Calibri" w:hAnsi="Arial" w:cs="Arial"/>
                <w:b/>
                <w:u w:val="single"/>
              </w:rPr>
            </w:pPr>
            <w:r>
              <w:rPr>
                <w:rFonts w:ascii="Arial" w:eastAsia="Calibri" w:hAnsi="Arial" w:cs="Arial"/>
                <w:b/>
                <w:u w:val="single"/>
              </w:rPr>
              <w:t>98.47%</w:t>
            </w:r>
          </w:p>
          <w:p w14:paraId="1F030183" w14:textId="17CDFA98" w:rsidR="00E52746" w:rsidRDefault="00E52746" w:rsidP="00042E94">
            <w:pPr>
              <w:jc w:val="center"/>
              <w:rPr>
                <w:rFonts w:ascii="Arial" w:eastAsia="Calibri" w:hAnsi="Arial" w:cs="Arial"/>
                <w:b/>
                <w:u w:val="single"/>
              </w:rPr>
            </w:pPr>
            <w:r>
              <w:rPr>
                <w:rFonts w:ascii="Arial" w:eastAsia="Calibri" w:hAnsi="Arial" w:cs="Arial"/>
                <w:b/>
                <w:u w:val="single"/>
              </w:rPr>
              <w:t>87.81%</w:t>
            </w:r>
          </w:p>
          <w:p w14:paraId="125FA988" w14:textId="77777777" w:rsidR="00E52746" w:rsidRDefault="00E52746" w:rsidP="00042E94">
            <w:pPr>
              <w:jc w:val="center"/>
              <w:rPr>
                <w:rFonts w:ascii="Arial" w:eastAsia="Calibri" w:hAnsi="Arial" w:cs="Arial"/>
                <w:b/>
                <w:u w:val="single"/>
              </w:rPr>
            </w:pPr>
          </w:p>
          <w:p w14:paraId="78C6F8A8" w14:textId="63A0AC23" w:rsidR="00E52746" w:rsidRDefault="00E52746" w:rsidP="00042E94">
            <w:pPr>
              <w:jc w:val="center"/>
              <w:rPr>
                <w:rFonts w:ascii="Arial" w:eastAsia="Calibri" w:hAnsi="Arial" w:cs="Arial"/>
                <w:b/>
                <w:u w:val="single"/>
              </w:rPr>
            </w:pPr>
            <w:r>
              <w:rPr>
                <w:rFonts w:ascii="Arial" w:eastAsia="Calibri" w:hAnsi="Arial" w:cs="Arial"/>
                <w:b/>
                <w:u w:val="single"/>
              </w:rPr>
              <w:t>89.26%</w:t>
            </w:r>
          </w:p>
        </w:tc>
      </w:tr>
      <w:tr w:rsidR="00B124EB" w:rsidRPr="004B1294" w14:paraId="181A8218" w14:textId="77777777" w:rsidTr="00042E94">
        <w:tc>
          <w:tcPr>
            <w:tcW w:w="1550" w:type="dxa"/>
          </w:tcPr>
          <w:p w14:paraId="1BA8A219" w14:textId="08276C38" w:rsidR="00B124EB" w:rsidRDefault="00B124EB" w:rsidP="00042E94">
            <w:pPr>
              <w:jc w:val="center"/>
              <w:rPr>
                <w:rFonts w:ascii="Arial" w:hAnsi="Arial" w:cs="Arial"/>
                <w:b/>
              </w:rPr>
            </w:pPr>
            <w:r>
              <w:rPr>
                <w:rFonts w:ascii="Arial" w:hAnsi="Arial" w:cs="Arial"/>
                <w:b/>
              </w:rPr>
              <w:t>316</w:t>
            </w:r>
          </w:p>
        </w:tc>
        <w:tc>
          <w:tcPr>
            <w:tcW w:w="3255" w:type="dxa"/>
          </w:tcPr>
          <w:p w14:paraId="4BFD9A20" w14:textId="0D13111B" w:rsidR="00B124EB" w:rsidRPr="00B124EB" w:rsidRDefault="00B124EB" w:rsidP="00B124EB">
            <w:pPr>
              <w:jc w:val="both"/>
              <w:rPr>
                <w:rFonts w:ascii="Arial" w:hAnsi="Arial" w:cs="Arial"/>
                <w:b/>
                <w:lang w:val="es-MX"/>
              </w:rPr>
            </w:pPr>
            <w:r w:rsidRPr="00B124EB">
              <w:rPr>
                <w:rFonts w:ascii="Arial" w:hAnsi="Arial" w:cs="Arial"/>
                <w:b/>
                <w:lang w:val="es-MX"/>
              </w:rPr>
              <w:t>SUPERINTENDENCIA</w:t>
            </w:r>
            <w:r>
              <w:rPr>
                <w:rFonts w:ascii="Arial" w:hAnsi="Arial" w:cs="Arial"/>
                <w:b/>
                <w:lang w:val="es-MX"/>
              </w:rPr>
              <w:t xml:space="preserve"> </w:t>
            </w:r>
            <w:r w:rsidRPr="00B124EB">
              <w:rPr>
                <w:rFonts w:ascii="Arial" w:hAnsi="Arial" w:cs="Arial"/>
                <w:b/>
                <w:lang w:val="es-MX"/>
              </w:rPr>
              <w:t xml:space="preserve">FINANCIERA DE COLOMBIA. </w:t>
            </w:r>
          </w:p>
          <w:p w14:paraId="5B0E9B6F" w14:textId="77777777" w:rsidR="00B124EB" w:rsidRPr="00B124EB" w:rsidRDefault="00B124EB" w:rsidP="00B124EB">
            <w:pPr>
              <w:jc w:val="both"/>
              <w:rPr>
                <w:rFonts w:ascii="Arial" w:hAnsi="Arial" w:cs="Arial"/>
                <w:b/>
                <w:lang w:val="es-MX"/>
              </w:rPr>
            </w:pPr>
          </w:p>
          <w:p w14:paraId="22EF0F38" w14:textId="77777777" w:rsidR="00B124EB" w:rsidRDefault="00B124EB" w:rsidP="00B124EB">
            <w:pPr>
              <w:jc w:val="both"/>
              <w:rPr>
                <w:rFonts w:ascii="Arial" w:hAnsi="Arial" w:cs="Arial"/>
                <w:b/>
                <w:lang w:val="es-MX"/>
              </w:rPr>
            </w:pPr>
            <w:r>
              <w:rPr>
                <w:rFonts w:ascii="Arial" w:hAnsi="Arial" w:cs="Arial"/>
                <w:b/>
                <w:lang w:val="es-MX"/>
              </w:rPr>
              <w:t>FUNCIONAMIENTO</w:t>
            </w:r>
          </w:p>
          <w:p w14:paraId="4827AF16" w14:textId="77777777" w:rsidR="00B124EB" w:rsidRDefault="00B124EB" w:rsidP="00B124EB">
            <w:pPr>
              <w:jc w:val="both"/>
              <w:rPr>
                <w:rFonts w:ascii="Arial" w:hAnsi="Arial" w:cs="Arial"/>
                <w:b/>
                <w:lang w:val="es-MX"/>
              </w:rPr>
            </w:pPr>
            <w:r>
              <w:rPr>
                <w:rFonts w:ascii="Arial" w:hAnsi="Arial" w:cs="Arial"/>
                <w:b/>
                <w:lang w:val="es-MX"/>
              </w:rPr>
              <w:t>INVERSIÓN</w:t>
            </w:r>
          </w:p>
          <w:p w14:paraId="3574AD5E" w14:textId="77777777" w:rsidR="00B124EB" w:rsidRDefault="00B124EB" w:rsidP="00B124EB">
            <w:pPr>
              <w:jc w:val="both"/>
              <w:rPr>
                <w:rFonts w:ascii="Arial" w:hAnsi="Arial" w:cs="Arial"/>
                <w:b/>
                <w:lang w:val="es-MX"/>
              </w:rPr>
            </w:pPr>
          </w:p>
          <w:p w14:paraId="2F5F58B3" w14:textId="582BC8D6" w:rsidR="00B124EB" w:rsidRPr="00E52746" w:rsidRDefault="00B124EB" w:rsidP="00B124EB">
            <w:pPr>
              <w:jc w:val="both"/>
              <w:rPr>
                <w:rFonts w:ascii="Arial" w:hAnsi="Arial" w:cs="Arial"/>
                <w:b/>
                <w:lang w:val="es-CO"/>
              </w:rPr>
            </w:pPr>
            <w:r>
              <w:rPr>
                <w:rFonts w:ascii="Arial" w:hAnsi="Arial" w:cs="Arial"/>
                <w:b/>
                <w:lang w:val="es-MX"/>
              </w:rPr>
              <w:t>TOTAL PRESUPUESTO</w:t>
            </w:r>
          </w:p>
        </w:tc>
        <w:tc>
          <w:tcPr>
            <w:tcW w:w="1839" w:type="dxa"/>
          </w:tcPr>
          <w:p w14:paraId="6CCE50BC" w14:textId="77777777" w:rsidR="00B124EB" w:rsidRDefault="00B124EB" w:rsidP="00042E94">
            <w:pPr>
              <w:jc w:val="center"/>
              <w:rPr>
                <w:rFonts w:ascii="Arial" w:eastAsia="Calibri" w:hAnsi="Arial" w:cs="Arial"/>
                <w:b/>
                <w:u w:val="single"/>
              </w:rPr>
            </w:pPr>
          </w:p>
          <w:p w14:paraId="02CF81AA" w14:textId="77777777" w:rsidR="00B124EB" w:rsidRDefault="00B124EB" w:rsidP="00042E94">
            <w:pPr>
              <w:jc w:val="center"/>
              <w:rPr>
                <w:rFonts w:ascii="Arial" w:eastAsia="Calibri" w:hAnsi="Arial" w:cs="Arial"/>
                <w:b/>
                <w:u w:val="single"/>
              </w:rPr>
            </w:pPr>
          </w:p>
          <w:p w14:paraId="493B8C6D" w14:textId="77777777" w:rsidR="00B124EB" w:rsidRDefault="00B124EB" w:rsidP="00042E94">
            <w:pPr>
              <w:jc w:val="center"/>
              <w:rPr>
                <w:rFonts w:ascii="Arial" w:eastAsia="Calibri" w:hAnsi="Arial" w:cs="Arial"/>
                <w:b/>
                <w:u w:val="single"/>
              </w:rPr>
            </w:pPr>
          </w:p>
          <w:p w14:paraId="3618FEFA" w14:textId="2C31547D" w:rsidR="00B124EB" w:rsidRDefault="00B124EB" w:rsidP="00042E94">
            <w:pPr>
              <w:jc w:val="center"/>
              <w:rPr>
                <w:rFonts w:ascii="Arial" w:eastAsia="Calibri" w:hAnsi="Arial" w:cs="Arial"/>
                <w:b/>
                <w:u w:val="single"/>
              </w:rPr>
            </w:pPr>
            <w:r>
              <w:rPr>
                <w:rFonts w:ascii="Arial" w:eastAsia="Calibri" w:hAnsi="Arial" w:cs="Arial"/>
                <w:b/>
                <w:u w:val="single"/>
              </w:rPr>
              <w:t>74.22%</w:t>
            </w:r>
          </w:p>
          <w:p w14:paraId="63DFDE26" w14:textId="569822EE" w:rsidR="00B124EB" w:rsidRDefault="00B124EB" w:rsidP="00042E94">
            <w:pPr>
              <w:jc w:val="center"/>
              <w:rPr>
                <w:rFonts w:ascii="Arial" w:eastAsia="Calibri" w:hAnsi="Arial" w:cs="Arial"/>
                <w:b/>
                <w:u w:val="single"/>
              </w:rPr>
            </w:pPr>
            <w:r>
              <w:rPr>
                <w:rFonts w:ascii="Arial" w:eastAsia="Calibri" w:hAnsi="Arial" w:cs="Arial"/>
                <w:b/>
                <w:u w:val="single"/>
              </w:rPr>
              <w:t>95.31%</w:t>
            </w:r>
          </w:p>
          <w:p w14:paraId="0A651C9C" w14:textId="569822EE" w:rsidR="00B124EB" w:rsidRDefault="00B124EB" w:rsidP="00042E94">
            <w:pPr>
              <w:jc w:val="center"/>
              <w:rPr>
                <w:rFonts w:ascii="Arial" w:eastAsia="Calibri" w:hAnsi="Arial" w:cs="Arial"/>
                <w:b/>
                <w:u w:val="single"/>
              </w:rPr>
            </w:pPr>
          </w:p>
          <w:p w14:paraId="77DA86AB" w14:textId="759F8A70" w:rsidR="00B124EB" w:rsidRDefault="00B124EB" w:rsidP="00042E94">
            <w:pPr>
              <w:jc w:val="center"/>
              <w:rPr>
                <w:rFonts w:ascii="Arial" w:eastAsia="Calibri" w:hAnsi="Arial" w:cs="Arial"/>
                <w:b/>
                <w:u w:val="single"/>
              </w:rPr>
            </w:pPr>
            <w:r>
              <w:rPr>
                <w:rFonts w:ascii="Arial" w:eastAsia="Calibri" w:hAnsi="Arial" w:cs="Arial"/>
                <w:b/>
                <w:u w:val="single"/>
              </w:rPr>
              <w:t>76.65%</w:t>
            </w:r>
          </w:p>
        </w:tc>
        <w:tc>
          <w:tcPr>
            <w:tcW w:w="1804" w:type="dxa"/>
          </w:tcPr>
          <w:p w14:paraId="060979E9" w14:textId="77777777" w:rsidR="00B124EB" w:rsidRDefault="00B124EB" w:rsidP="00042E94">
            <w:pPr>
              <w:jc w:val="center"/>
              <w:rPr>
                <w:rFonts w:ascii="Arial" w:eastAsia="Calibri" w:hAnsi="Arial" w:cs="Arial"/>
                <w:b/>
                <w:u w:val="single"/>
              </w:rPr>
            </w:pPr>
          </w:p>
          <w:p w14:paraId="0FD05B5A" w14:textId="77777777" w:rsidR="00B124EB" w:rsidRDefault="00B124EB" w:rsidP="00042E94">
            <w:pPr>
              <w:jc w:val="center"/>
              <w:rPr>
                <w:rFonts w:ascii="Arial" w:eastAsia="Calibri" w:hAnsi="Arial" w:cs="Arial"/>
                <w:b/>
                <w:u w:val="single"/>
              </w:rPr>
            </w:pPr>
          </w:p>
          <w:p w14:paraId="78919742" w14:textId="77777777" w:rsidR="00B124EB" w:rsidRDefault="00B124EB" w:rsidP="00042E94">
            <w:pPr>
              <w:jc w:val="center"/>
              <w:rPr>
                <w:rFonts w:ascii="Arial" w:eastAsia="Calibri" w:hAnsi="Arial" w:cs="Arial"/>
                <w:b/>
                <w:u w:val="single"/>
              </w:rPr>
            </w:pPr>
          </w:p>
          <w:p w14:paraId="26DC26E9" w14:textId="37B47129" w:rsidR="00B124EB" w:rsidRDefault="00B124EB" w:rsidP="00042E94">
            <w:pPr>
              <w:jc w:val="center"/>
              <w:rPr>
                <w:rFonts w:ascii="Arial" w:eastAsia="Calibri" w:hAnsi="Arial" w:cs="Arial"/>
                <w:b/>
                <w:u w:val="single"/>
              </w:rPr>
            </w:pPr>
            <w:r>
              <w:rPr>
                <w:rFonts w:ascii="Arial" w:eastAsia="Calibri" w:hAnsi="Arial" w:cs="Arial"/>
                <w:b/>
                <w:u w:val="single"/>
              </w:rPr>
              <w:t>74.20%</w:t>
            </w:r>
          </w:p>
          <w:p w14:paraId="73B0BC4C" w14:textId="0DD33C36" w:rsidR="00B124EB" w:rsidRDefault="00B124EB" w:rsidP="00042E94">
            <w:pPr>
              <w:jc w:val="center"/>
              <w:rPr>
                <w:rFonts w:ascii="Arial" w:eastAsia="Calibri" w:hAnsi="Arial" w:cs="Arial"/>
                <w:b/>
                <w:u w:val="single"/>
              </w:rPr>
            </w:pPr>
            <w:r>
              <w:rPr>
                <w:rFonts w:ascii="Arial" w:eastAsia="Calibri" w:hAnsi="Arial" w:cs="Arial"/>
                <w:b/>
                <w:u w:val="single"/>
              </w:rPr>
              <w:t>94.09%</w:t>
            </w:r>
          </w:p>
          <w:p w14:paraId="276063B1" w14:textId="77777777" w:rsidR="00B124EB" w:rsidRDefault="00B124EB" w:rsidP="00042E94">
            <w:pPr>
              <w:jc w:val="center"/>
              <w:rPr>
                <w:rFonts w:ascii="Arial" w:eastAsia="Calibri" w:hAnsi="Arial" w:cs="Arial"/>
                <w:b/>
                <w:u w:val="single"/>
              </w:rPr>
            </w:pPr>
          </w:p>
          <w:p w14:paraId="156D3E71" w14:textId="382C2595" w:rsidR="00B124EB" w:rsidRDefault="00B124EB" w:rsidP="00042E94">
            <w:pPr>
              <w:jc w:val="center"/>
              <w:rPr>
                <w:rFonts w:ascii="Arial" w:eastAsia="Calibri" w:hAnsi="Arial" w:cs="Arial"/>
                <w:b/>
                <w:u w:val="single"/>
              </w:rPr>
            </w:pPr>
            <w:r>
              <w:rPr>
                <w:rFonts w:ascii="Arial" w:eastAsia="Calibri" w:hAnsi="Arial" w:cs="Arial"/>
                <w:b/>
                <w:u w:val="single"/>
              </w:rPr>
              <w:t>76.49%</w:t>
            </w:r>
          </w:p>
        </w:tc>
        <w:tc>
          <w:tcPr>
            <w:tcW w:w="2042" w:type="dxa"/>
          </w:tcPr>
          <w:p w14:paraId="3EE98E55" w14:textId="77777777" w:rsidR="00B124EB" w:rsidRDefault="00B124EB" w:rsidP="00042E94">
            <w:pPr>
              <w:jc w:val="center"/>
              <w:rPr>
                <w:rFonts w:ascii="Arial" w:eastAsia="Calibri" w:hAnsi="Arial" w:cs="Arial"/>
                <w:b/>
                <w:u w:val="single"/>
              </w:rPr>
            </w:pPr>
          </w:p>
          <w:p w14:paraId="035ED27F" w14:textId="77777777" w:rsidR="00B124EB" w:rsidRDefault="00B124EB" w:rsidP="00042E94">
            <w:pPr>
              <w:jc w:val="center"/>
              <w:rPr>
                <w:rFonts w:ascii="Arial" w:eastAsia="Calibri" w:hAnsi="Arial" w:cs="Arial"/>
                <w:b/>
                <w:u w:val="single"/>
              </w:rPr>
            </w:pPr>
          </w:p>
          <w:p w14:paraId="7F744F01" w14:textId="77777777" w:rsidR="00B124EB" w:rsidRDefault="00B124EB" w:rsidP="00042E94">
            <w:pPr>
              <w:jc w:val="center"/>
              <w:rPr>
                <w:rFonts w:ascii="Arial" w:eastAsia="Calibri" w:hAnsi="Arial" w:cs="Arial"/>
                <w:b/>
                <w:u w:val="single"/>
              </w:rPr>
            </w:pPr>
          </w:p>
          <w:p w14:paraId="4674275A" w14:textId="76FD3C8A" w:rsidR="00B124EB" w:rsidRDefault="00B124EB" w:rsidP="00042E94">
            <w:pPr>
              <w:jc w:val="center"/>
              <w:rPr>
                <w:rFonts w:ascii="Arial" w:eastAsia="Calibri" w:hAnsi="Arial" w:cs="Arial"/>
                <w:b/>
                <w:u w:val="single"/>
              </w:rPr>
            </w:pPr>
            <w:r>
              <w:rPr>
                <w:rFonts w:ascii="Arial" w:eastAsia="Calibri" w:hAnsi="Arial" w:cs="Arial"/>
                <w:b/>
                <w:u w:val="single"/>
              </w:rPr>
              <w:t>73.78%</w:t>
            </w:r>
          </w:p>
          <w:p w14:paraId="09BBBC31" w14:textId="34629A62" w:rsidR="00B124EB" w:rsidRDefault="00B124EB" w:rsidP="00042E94">
            <w:pPr>
              <w:jc w:val="center"/>
              <w:rPr>
                <w:rFonts w:ascii="Arial" w:eastAsia="Calibri" w:hAnsi="Arial" w:cs="Arial"/>
                <w:b/>
                <w:u w:val="single"/>
              </w:rPr>
            </w:pPr>
            <w:r>
              <w:rPr>
                <w:rFonts w:ascii="Arial" w:eastAsia="Calibri" w:hAnsi="Arial" w:cs="Arial"/>
                <w:b/>
                <w:u w:val="single"/>
              </w:rPr>
              <w:t>79.66%</w:t>
            </w:r>
          </w:p>
          <w:p w14:paraId="6E42444E" w14:textId="42B72BBF" w:rsidR="00B124EB" w:rsidRDefault="00B124EB" w:rsidP="00042E94">
            <w:pPr>
              <w:jc w:val="center"/>
              <w:rPr>
                <w:rFonts w:ascii="Arial" w:eastAsia="Calibri" w:hAnsi="Arial" w:cs="Arial"/>
                <w:b/>
                <w:u w:val="single"/>
              </w:rPr>
            </w:pPr>
          </w:p>
          <w:p w14:paraId="1B013352" w14:textId="3FD2CF0C" w:rsidR="00B124EB" w:rsidRDefault="00B124EB" w:rsidP="00042E94">
            <w:pPr>
              <w:jc w:val="center"/>
              <w:rPr>
                <w:rFonts w:ascii="Arial" w:eastAsia="Calibri" w:hAnsi="Arial" w:cs="Arial"/>
                <w:b/>
                <w:u w:val="single"/>
              </w:rPr>
            </w:pPr>
            <w:r>
              <w:rPr>
                <w:rFonts w:ascii="Arial" w:eastAsia="Calibri" w:hAnsi="Arial" w:cs="Arial"/>
                <w:b/>
                <w:u w:val="single"/>
              </w:rPr>
              <w:t>74.45%</w:t>
            </w:r>
          </w:p>
        </w:tc>
      </w:tr>
      <w:tr w:rsidR="00AD1B3F" w:rsidRPr="004B1294" w14:paraId="60CE36DB" w14:textId="77777777" w:rsidTr="00042E94">
        <w:tc>
          <w:tcPr>
            <w:tcW w:w="1550" w:type="dxa"/>
          </w:tcPr>
          <w:p w14:paraId="0A0E93F3" w14:textId="15A9FB29" w:rsidR="00AD1B3F" w:rsidRDefault="00AD1B3F" w:rsidP="00042E94">
            <w:pPr>
              <w:jc w:val="center"/>
              <w:rPr>
                <w:rFonts w:ascii="Arial" w:hAnsi="Arial" w:cs="Arial"/>
                <w:b/>
              </w:rPr>
            </w:pPr>
            <w:r>
              <w:rPr>
                <w:rFonts w:ascii="Arial" w:hAnsi="Arial" w:cs="Arial"/>
                <w:b/>
              </w:rPr>
              <w:t>317</w:t>
            </w:r>
          </w:p>
        </w:tc>
        <w:tc>
          <w:tcPr>
            <w:tcW w:w="3255" w:type="dxa"/>
          </w:tcPr>
          <w:p w14:paraId="621B633F" w14:textId="563FEFD9" w:rsidR="00AD1B3F" w:rsidRPr="00AD1B3F" w:rsidRDefault="00AD1B3F" w:rsidP="00AD1B3F">
            <w:pPr>
              <w:jc w:val="both"/>
              <w:rPr>
                <w:rFonts w:ascii="Arial" w:hAnsi="Arial" w:cs="Arial"/>
                <w:b/>
                <w:lang w:val="es-MX"/>
              </w:rPr>
            </w:pPr>
            <w:r w:rsidRPr="00AD1B3F">
              <w:rPr>
                <w:rFonts w:ascii="Arial" w:hAnsi="Arial" w:cs="Arial"/>
                <w:b/>
                <w:lang w:val="es-MX"/>
              </w:rPr>
              <w:t>INSTITUTO COLOMBIANO DE ANTROPOLOGÍA E HISTORIA – ICANH.</w:t>
            </w:r>
          </w:p>
          <w:p w14:paraId="4E52CE67" w14:textId="77777777" w:rsidR="00AD1B3F" w:rsidRDefault="00AD1B3F" w:rsidP="00B124EB">
            <w:pPr>
              <w:jc w:val="both"/>
              <w:rPr>
                <w:rFonts w:ascii="Arial" w:hAnsi="Arial" w:cs="Arial"/>
                <w:b/>
                <w:lang w:val="es-MX"/>
              </w:rPr>
            </w:pPr>
          </w:p>
          <w:p w14:paraId="6DD4320C" w14:textId="77777777" w:rsidR="00AD1B3F" w:rsidRDefault="00AD1B3F" w:rsidP="00AD1B3F">
            <w:pPr>
              <w:jc w:val="both"/>
              <w:rPr>
                <w:rFonts w:ascii="Arial" w:hAnsi="Arial" w:cs="Arial"/>
                <w:b/>
                <w:lang w:val="es-MX"/>
              </w:rPr>
            </w:pPr>
            <w:r>
              <w:rPr>
                <w:rFonts w:ascii="Arial" w:hAnsi="Arial" w:cs="Arial"/>
                <w:b/>
                <w:lang w:val="es-MX"/>
              </w:rPr>
              <w:t>FUNCIONAMIENTO</w:t>
            </w:r>
          </w:p>
          <w:p w14:paraId="0090DA51" w14:textId="77777777" w:rsidR="00AD1B3F" w:rsidRDefault="00AD1B3F" w:rsidP="00AD1B3F">
            <w:pPr>
              <w:jc w:val="both"/>
              <w:rPr>
                <w:rFonts w:ascii="Arial" w:hAnsi="Arial" w:cs="Arial"/>
                <w:b/>
                <w:lang w:val="es-MX"/>
              </w:rPr>
            </w:pPr>
            <w:r>
              <w:rPr>
                <w:rFonts w:ascii="Arial" w:hAnsi="Arial" w:cs="Arial"/>
                <w:b/>
                <w:lang w:val="es-MX"/>
              </w:rPr>
              <w:t>INVERSIÓN</w:t>
            </w:r>
          </w:p>
          <w:p w14:paraId="501414E4" w14:textId="77777777" w:rsidR="00AD1B3F" w:rsidRDefault="00AD1B3F" w:rsidP="00AD1B3F">
            <w:pPr>
              <w:jc w:val="both"/>
              <w:rPr>
                <w:rFonts w:ascii="Arial" w:hAnsi="Arial" w:cs="Arial"/>
                <w:b/>
                <w:lang w:val="es-MX"/>
              </w:rPr>
            </w:pPr>
          </w:p>
          <w:p w14:paraId="6C4E86B3" w14:textId="2D7242E6" w:rsidR="00AD1B3F" w:rsidRPr="00B124EB" w:rsidRDefault="00AD1B3F" w:rsidP="00AD1B3F">
            <w:pPr>
              <w:jc w:val="both"/>
              <w:rPr>
                <w:rFonts w:ascii="Arial" w:hAnsi="Arial" w:cs="Arial"/>
                <w:b/>
                <w:lang w:val="es-MX"/>
              </w:rPr>
            </w:pPr>
            <w:r>
              <w:rPr>
                <w:rFonts w:ascii="Arial" w:hAnsi="Arial" w:cs="Arial"/>
                <w:b/>
                <w:lang w:val="es-MX"/>
              </w:rPr>
              <w:t>TOTAL PRESUPUESTO</w:t>
            </w:r>
          </w:p>
        </w:tc>
        <w:tc>
          <w:tcPr>
            <w:tcW w:w="1839" w:type="dxa"/>
          </w:tcPr>
          <w:p w14:paraId="4954CCC4" w14:textId="77777777" w:rsidR="00AD1B3F" w:rsidRDefault="00AD1B3F" w:rsidP="00042E94">
            <w:pPr>
              <w:jc w:val="center"/>
              <w:rPr>
                <w:rFonts w:ascii="Arial" w:eastAsia="Calibri" w:hAnsi="Arial" w:cs="Arial"/>
                <w:b/>
                <w:u w:val="single"/>
              </w:rPr>
            </w:pPr>
          </w:p>
          <w:p w14:paraId="22F996EA" w14:textId="77777777" w:rsidR="00AD1B3F" w:rsidRDefault="00AD1B3F" w:rsidP="00042E94">
            <w:pPr>
              <w:jc w:val="center"/>
              <w:rPr>
                <w:rFonts w:ascii="Arial" w:eastAsia="Calibri" w:hAnsi="Arial" w:cs="Arial"/>
                <w:b/>
                <w:u w:val="single"/>
              </w:rPr>
            </w:pPr>
          </w:p>
          <w:p w14:paraId="3BBE41BD" w14:textId="77777777" w:rsidR="00AD1B3F" w:rsidRDefault="00AD1B3F" w:rsidP="00042E94">
            <w:pPr>
              <w:jc w:val="center"/>
              <w:rPr>
                <w:rFonts w:ascii="Arial" w:eastAsia="Calibri" w:hAnsi="Arial" w:cs="Arial"/>
                <w:b/>
                <w:u w:val="single"/>
              </w:rPr>
            </w:pPr>
          </w:p>
          <w:p w14:paraId="711AFAC4" w14:textId="77777777" w:rsidR="00AD1B3F" w:rsidRDefault="00AD1B3F" w:rsidP="00042E94">
            <w:pPr>
              <w:jc w:val="center"/>
              <w:rPr>
                <w:rFonts w:ascii="Arial" w:eastAsia="Calibri" w:hAnsi="Arial" w:cs="Arial"/>
                <w:b/>
                <w:u w:val="single"/>
              </w:rPr>
            </w:pPr>
          </w:p>
          <w:p w14:paraId="01F0D964" w14:textId="7D4625F5" w:rsidR="00AD1B3F" w:rsidRDefault="00AD1B3F" w:rsidP="00042E94">
            <w:pPr>
              <w:jc w:val="center"/>
              <w:rPr>
                <w:rFonts w:ascii="Arial" w:eastAsia="Calibri" w:hAnsi="Arial" w:cs="Arial"/>
                <w:b/>
                <w:u w:val="single"/>
              </w:rPr>
            </w:pPr>
            <w:r>
              <w:rPr>
                <w:rFonts w:ascii="Arial" w:eastAsia="Calibri" w:hAnsi="Arial" w:cs="Arial"/>
                <w:b/>
                <w:u w:val="single"/>
              </w:rPr>
              <w:t>92.00%</w:t>
            </w:r>
          </w:p>
          <w:p w14:paraId="4F63AEE9" w14:textId="0FB2FA2A" w:rsidR="00AD1B3F" w:rsidRDefault="00AD1B3F" w:rsidP="00042E94">
            <w:pPr>
              <w:jc w:val="center"/>
              <w:rPr>
                <w:rFonts w:ascii="Arial" w:eastAsia="Calibri" w:hAnsi="Arial" w:cs="Arial"/>
                <w:b/>
                <w:u w:val="single"/>
              </w:rPr>
            </w:pPr>
            <w:r>
              <w:rPr>
                <w:rFonts w:ascii="Arial" w:eastAsia="Calibri" w:hAnsi="Arial" w:cs="Arial"/>
                <w:b/>
                <w:u w:val="single"/>
              </w:rPr>
              <w:t>86.00%</w:t>
            </w:r>
          </w:p>
          <w:p w14:paraId="55058DC8" w14:textId="77777777" w:rsidR="00AD1B3F" w:rsidRDefault="00AD1B3F" w:rsidP="00042E94">
            <w:pPr>
              <w:jc w:val="center"/>
              <w:rPr>
                <w:rFonts w:ascii="Arial" w:eastAsia="Calibri" w:hAnsi="Arial" w:cs="Arial"/>
                <w:b/>
                <w:u w:val="single"/>
              </w:rPr>
            </w:pPr>
          </w:p>
          <w:p w14:paraId="1B926E6D" w14:textId="59985A4D" w:rsidR="00AD1B3F" w:rsidRDefault="00AD1B3F" w:rsidP="00042E94">
            <w:pPr>
              <w:jc w:val="center"/>
              <w:rPr>
                <w:rFonts w:ascii="Arial" w:eastAsia="Calibri" w:hAnsi="Arial" w:cs="Arial"/>
                <w:b/>
                <w:u w:val="single"/>
              </w:rPr>
            </w:pPr>
            <w:r>
              <w:rPr>
                <w:rFonts w:ascii="Arial" w:eastAsia="Calibri" w:hAnsi="Arial" w:cs="Arial"/>
                <w:b/>
                <w:u w:val="single"/>
              </w:rPr>
              <w:t>88.00%</w:t>
            </w:r>
          </w:p>
        </w:tc>
        <w:tc>
          <w:tcPr>
            <w:tcW w:w="1804" w:type="dxa"/>
          </w:tcPr>
          <w:p w14:paraId="642C0357" w14:textId="77777777" w:rsidR="00AD1B3F" w:rsidRDefault="00AD1B3F" w:rsidP="00042E94">
            <w:pPr>
              <w:jc w:val="center"/>
              <w:rPr>
                <w:rFonts w:ascii="Arial" w:eastAsia="Calibri" w:hAnsi="Arial" w:cs="Arial"/>
                <w:b/>
                <w:u w:val="single"/>
              </w:rPr>
            </w:pPr>
          </w:p>
          <w:p w14:paraId="2DE2AEBE" w14:textId="77777777" w:rsidR="00AD1B3F" w:rsidRDefault="00AD1B3F" w:rsidP="00042E94">
            <w:pPr>
              <w:jc w:val="center"/>
              <w:rPr>
                <w:rFonts w:ascii="Arial" w:eastAsia="Calibri" w:hAnsi="Arial" w:cs="Arial"/>
                <w:b/>
                <w:u w:val="single"/>
              </w:rPr>
            </w:pPr>
          </w:p>
          <w:p w14:paraId="4B52400C" w14:textId="77777777" w:rsidR="00AD1B3F" w:rsidRDefault="00AD1B3F" w:rsidP="00042E94">
            <w:pPr>
              <w:jc w:val="center"/>
              <w:rPr>
                <w:rFonts w:ascii="Arial" w:eastAsia="Calibri" w:hAnsi="Arial" w:cs="Arial"/>
                <w:b/>
                <w:u w:val="single"/>
              </w:rPr>
            </w:pPr>
          </w:p>
          <w:p w14:paraId="3A88710F" w14:textId="77777777" w:rsidR="00AD1B3F" w:rsidRDefault="00AD1B3F" w:rsidP="00042E94">
            <w:pPr>
              <w:jc w:val="center"/>
              <w:rPr>
                <w:rFonts w:ascii="Arial" w:eastAsia="Calibri" w:hAnsi="Arial" w:cs="Arial"/>
                <w:b/>
                <w:u w:val="single"/>
              </w:rPr>
            </w:pPr>
          </w:p>
          <w:p w14:paraId="2D5BF09B" w14:textId="740EBD22" w:rsidR="00AD1B3F" w:rsidRDefault="00AD1B3F" w:rsidP="00042E94">
            <w:pPr>
              <w:jc w:val="center"/>
              <w:rPr>
                <w:rFonts w:ascii="Arial" w:eastAsia="Calibri" w:hAnsi="Arial" w:cs="Arial"/>
                <w:b/>
                <w:u w:val="single"/>
              </w:rPr>
            </w:pPr>
            <w:r>
              <w:rPr>
                <w:rFonts w:ascii="Arial" w:eastAsia="Calibri" w:hAnsi="Arial" w:cs="Arial"/>
                <w:b/>
                <w:u w:val="single"/>
              </w:rPr>
              <w:t>86.00%</w:t>
            </w:r>
          </w:p>
          <w:p w14:paraId="5FCA345F" w14:textId="07D66984" w:rsidR="00AD1B3F" w:rsidRDefault="00AD1B3F" w:rsidP="00042E94">
            <w:pPr>
              <w:jc w:val="center"/>
              <w:rPr>
                <w:rFonts w:ascii="Arial" w:eastAsia="Calibri" w:hAnsi="Arial" w:cs="Arial"/>
                <w:b/>
                <w:u w:val="single"/>
              </w:rPr>
            </w:pPr>
            <w:r>
              <w:rPr>
                <w:rFonts w:ascii="Arial" w:eastAsia="Calibri" w:hAnsi="Arial" w:cs="Arial"/>
                <w:b/>
                <w:u w:val="single"/>
              </w:rPr>
              <w:t>80.00%</w:t>
            </w:r>
          </w:p>
          <w:p w14:paraId="45B7C535" w14:textId="77777777" w:rsidR="00AD1B3F" w:rsidRDefault="00AD1B3F" w:rsidP="00042E94">
            <w:pPr>
              <w:jc w:val="center"/>
              <w:rPr>
                <w:rFonts w:ascii="Arial" w:eastAsia="Calibri" w:hAnsi="Arial" w:cs="Arial"/>
                <w:b/>
                <w:u w:val="single"/>
              </w:rPr>
            </w:pPr>
          </w:p>
          <w:p w14:paraId="5BA30691" w14:textId="41B7EE9D" w:rsidR="00AD1B3F" w:rsidRDefault="00AD1B3F" w:rsidP="00042E94">
            <w:pPr>
              <w:jc w:val="center"/>
              <w:rPr>
                <w:rFonts w:ascii="Arial" w:eastAsia="Calibri" w:hAnsi="Arial" w:cs="Arial"/>
                <w:b/>
                <w:u w:val="single"/>
              </w:rPr>
            </w:pPr>
            <w:r>
              <w:rPr>
                <w:rFonts w:ascii="Arial" w:eastAsia="Calibri" w:hAnsi="Arial" w:cs="Arial"/>
                <w:b/>
                <w:u w:val="single"/>
              </w:rPr>
              <w:t>82.00%</w:t>
            </w:r>
          </w:p>
        </w:tc>
        <w:tc>
          <w:tcPr>
            <w:tcW w:w="2042" w:type="dxa"/>
          </w:tcPr>
          <w:p w14:paraId="6EF339F0" w14:textId="77777777" w:rsidR="00AD1B3F" w:rsidRDefault="00AD1B3F" w:rsidP="00042E94">
            <w:pPr>
              <w:jc w:val="center"/>
              <w:rPr>
                <w:rFonts w:ascii="Arial" w:eastAsia="Calibri" w:hAnsi="Arial" w:cs="Arial"/>
                <w:b/>
                <w:u w:val="single"/>
              </w:rPr>
            </w:pPr>
          </w:p>
          <w:p w14:paraId="71E7B4C0" w14:textId="77777777" w:rsidR="00AD1B3F" w:rsidRDefault="00AD1B3F" w:rsidP="00042E94">
            <w:pPr>
              <w:jc w:val="center"/>
              <w:rPr>
                <w:rFonts w:ascii="Arial" w:eastAsia="Calibri" w:hAnsi="Arial" w:cs="Arial"/>
                <w:b/>
                <w:u w:val="single"/>
              </w:rPr>
            </w:pPr>
          </w:p>
          <w:p w14:paraId="753BC087" w14:textId="77777777" w:rsidR="00AD1B3F" w:rsidRDefault="00AD1B3F" w:rsidP="00042E94">
            <w:pPr>
              <w:jc w:val="center"/>
              <w:rPr>
                <w:rFonts w:ascii="Arial" w:eastAsia="Calibri" w:hAnsi="Arial" w:cs="Arial"/>
                <w:b/>
                <w:u w:val="single"/>
              </w:rPr>
            </w:pPr>
          </w:p>
          <w:p w14:paraId="4D3595FA" w14:textId="77777777" w:rsidR="00AD1B3F" w:rsidRDefault="00AD1B3F" w:rsidP="00042E94">
            <w:pPr>
              <w:jc w:val="center"/>
              <w:rPr>
                <w:rFonts w:ascii="Arial" w:eastAsia="Calibri" w:hAnsi="Arial" w:cs="Arial"/>
                <w:b/>
                <w:u w:val="single"/>
              </w:rPr>
            </w:pPr>
          </w:p>
          <w:p w14:paraId="4CC7D8EC" w14:textId="090D5A12" w:rsidR="00AD1B3F" w:rsidRDefault="00AD1B3F" w:rsidP="00042E94">
            <w:pPr>
              <w:jc w:val="center"/>
              <w:rPr>
                <w:rFonts w:ascii="Arial" w:eastAsia="Calibri" w:hAnsi="Arial" w:cs="Arial"/>
                <w:b/>
                <w:u w:val="single"/>
              </w:rPr>
            </w:pPr>
            <w:r>
              <w:rPr>
                <w:rFonts w:ascii="Arial" w:eastAsia="Calibri" w:hAnsi="Arial" w:cs="Arial"/>
                <w:b/>
                <w:u w:val="single"/>
              </w:rPr>
              <w:t>85.00%</w:t>
            </w:r>
          </w:p>
          <w:p w14:paraId="1D5CE128" w14:textId="038962EB" w:rsidR="00AD1B3F" w:rsidRDefault="00AD1B3F" w:rsidP="00042E94">
            <w:pPr>
              <w:jc w:val="center"/>
              <w:rPr>
                <w:rFonts w:ascii="Arial" w:eastAsia="Calibri" w:hAnsi="Arial" w:cs="Arial"/>
                <w:b/>
                <w:u w:val="single"/>
              </w:rPr>
            </w:pPr>
            <w:r>
              <w:rPr>
                <w:rFonts w:ascii="Arial" w:eastAsia="Calibri" w:hAnsi="Arial" w:cs="Arial"/>
                <w:b/>
                <w:u w:val="single"/>
              </w:rPr>
              <w:t>80.00%</w:t>
            </w:r>
          </w:p>
          <w:p w14:paraId="392A706C" w14:textId="77777777" w:rsidR="00AD1B3F" w:rsidRDefault="00AD1B3F" w:rsidP="00042E94">
            <w:pPr>
              <w:jc w:val="center"/>
              <w:rPr>
                <w:rFonts w:ascii="Arial" w:eastAsia="Calibri" w:hAnsi="Arial" w:cs="Arial"/>
                <w:b/>
                <w:u w:val="single"/>
              </w:rPr>
            </w:pPr>
          </w:p>
          <w:p w14:paraId="183FC0A5" w14:textId="3AC9985D" w:rsidR="00AD1B3F" w:rsidRDefault="00AD1B3F" w:rsidP="00042E94">
            <w:pPr>
              <w:jc w:val="center"/>
              <w:rPr>
                <w:rFonts w:ascii="Arial" w:eastAsia="Calibri" w:hAnsi="Arial" w:cs="Arial"/>
                <w:b/>
                <w:u w:val="single"/>
              </w:rPr>
            </w:pPr>
            <w:r>
              <w:rPr>
                <w:rFonts w:ascii="Arial" w:eastAsia="Calibri" w:hAnsi="Arial" w:cs="Arial"/>
                <w:b/>
                <w:u w:val="single"/>
              </w:rPr>
              <w:t>82.00%</w:t>
            </w:r>
          </w:p>
        </w:tc>
      </w:tr>
      <w:tr w:rsidR="00E30CE1" w:rsidRPr="004B1294" w14:paraId="2F058D46" w14:textId="77777777" w:rsidTr="00042E94">
        <w:tc>
          <w:tcPr>
            <w:tcW w:w="1550" w:type="dxa"/>
          </w:tcPr>
          <w:p w14:paraId="2EED806D" w14:textId="61871BFE" w:rsidR="00E30CE1" w:rsidRDefault="00E30CE1" w:rsidP="00042E94">
            <w:pPr>
              <w:jc w:val="center"/>
              <w:rPr>
                <w:rFonts w:ascii="Arial" w:hAnsi="Arial" w:cs="Arial"/>
                <w:b/>
              </w:rPr>
            </w:pPr>
            <w:r>
              <w:rPr>
                <w:rFonts w:ascii="Arial" w:hAnsi="Arial" w:cs="Arial"/>
                <w:b/>
              </w:rPr>
              <w:t>323</w:t>
            </w:r>
          </w:p>
        </w:tc>
        <w:tc>
          <w:tcPr>
            <w:tcW w:w="3255" w:type="dxa"/>
          </w:tcPr>
          <w:p w14:paraId="03098C87" w14:textId="5A1DA1EB" w:rsidR="00E30CE1" w:rsidRPr="00E30CE1" w:rsidRDefault="00E30CE1" w:rsidP="00E30CE1">
            <w:pPr>
              <w:jc w:val="both"/>
              <w:rPr>
                <w:rFonts w:ascii="Arial" w:hAnsi="Arial" w:cs="Arial"/>
                <w:b/>
                <w:lang w:val="es-MX"/>
              </w:rPr>
            </w:pPr>
            <w:r w:rsidRPr="00E30CE1">
              <w:rPr>
                <w:rFonts w:ascii="Arial" w:hAnsi="Arial" w:cs="Arial"/>
                <w:b/>
                <w:lang w:val="es-MX"/>
              </w:rPr>
              <w:t>MINISTERIO DE HACIENDA Y CRÉDITO PÚBLICO – GESTIÓN GENERAL.</w:t>
            </w:r>
          </w:p>
          <w:p w14:paraId="5F1A54D0" w14:textId="77777777" w:rsidR="00E30CE1" w:rsidRDefault="00E30CE1" w:rsidP="00AD1B3F">
            <w:pPr>
              <w:jc w:val="both"/>
              <w:rPr>
                <w:rFonts w:ascii="Arial" w:hAnsi="Arial" w:cs="Arial"/>
                <w:b/>
                <w:lang w:val="es-MX"/>
              </w:rPr>
            </w:pPr>
          </w:p>
          <w:p w14:paraId="553C9807" w14:textId="77777777" w:rsidR="00E30CE1" w:rsidRDefault="00E30CE1" w:rsidP="00E30CE1">
            <w:pPr>
              <w:jc w:val="both"/>
              <w:rPr>
                <w:rFonts w:ascii="Arial" w:hAnsi="Arial" w:cs="Arial"/>
                <w:b/>
                <w:lang w:val="es-MX"/>
              </w:rPr>
            </w:pPr>
            <w:r>
              <w:rPr>
                <w:rFonts w:ascii="Arial" w:hAnsi="Arial" w:cs="Arial"/>
                <w:b/>
                <w:lang w:val="es-MX"/>
              </w:rPr>
              <w:t>FUNCIONAMIENTO</w:t>
            </w:r>
          </w:p>
          <w:p w14:paraId="10A1389C" w14:textId="77777777" w:rsidR="00E30CE1" w:rsidRDefault="00E30CE1" w:rsidP="00E30CE1">
            <w:pPr>
              <w:jc w:val="both"/>
              <w:rPr>
                <w:rFonts w:ascii="Arial" w:hAnsi="Arial" w:cs="Arial"/>
                <w:b/>
                <w:lang w:val="es-MX"/>
              </w:rPr>
            </w:pPr>
            <w:r>
              <w:rPr>
                <w:rFonts w:ascii="Arial" w:hAnsi="Arial" w:cs="Arial"/>
                <w:b/>
                <w:lang w:val="es-MX"/>
              </w:rPr>
              <w:t>INVERSIÓN</w:t>
            </w:r>
          </w:p>
          <w:p w14:paraId="14057A03" w14:textId="77777777" w:rsidR="00E30CE1" w:rsidRDefault="00E30CE1" w:rsidP="00E30CE1">
            <w:pPr>
              <w:jc w:val="both"/>
              <w:rPr>
                <w:rFonts w:ascii="Arial" w:hAnsi="Arial" w:cs="Arial"/>
                <w:b/>
                <w:lang w:val="es-MX"/>
              </w:rPr>
            </w:pPr>
          </w:p>
          <w:p w14:paraId="6864AD09" w14:textId="3126878D" w:rsidR="00E30CE1" w:rsidRPr="00AD1B3F" w:rsidRDefault="00E30CE1" w:rsidP="00E30CE1">
            <w:pPr>
              <w:jc w:val="both"/>
              <w:rPr>
                <w:rFonts w:ascii="Arial" w:hAnsi="Arial" w:cs="Arial"/>
                <w:b/>
                <w:lang w:val="es-MX"/>
              </w:rPr>
            </w:pPr>
            <w:r>
              <w:rPr>
                <w:rFonts w:ascii="Arial" w:hAnsi="Arial" w:cs="Arial"/>
                <w:b/>
                <w:lang w:val="es-MX"/>
              </w:rPr>
              <w:t>TOTAL PRESUPUESTO</w:t>
            </w:r>
          </w:p>
        </w:tc>
        <w:tc>
          <w:tcPr>
            <w:tcW w:w="1839" w:type="dxa"/>
          </w:tcPr>
          <w:p w14:paraId="443DFDDB" w14:textId="77777777" w:rsidR="00E30CE1" w:rsidRDefault="00E30CE1" w:rsidP="00042E94">
            <w:pPr>
              <w:jc w:val="center"/>
              <w:rPr>
                <w:rFonts w:ascii="Arial" w:eastAsia="Calibri" w:hAnsi="Arial" w:cs="Arial"/>
                <w:b/>
                <w:u w:val="single"/>
              </w:rPr>
            </w:pPr>
          </w:p>
          <w:p w14:paraId="5B8755E0" w14:textId="77777777" w:rsidR="00E30CE1" w:rsidRDefault="00E30CE1" w:rsidP="00042E94">
            <w:pPr>
              <w:jc w:val="center"/>
              <w:rPr>
                <w:rFonts w:ascii="Arial" w:eastAsia="Calibri" w:hAnsi="Arial" w:cs="Arial"/>
                <w:b/>
                <w:u w:val="single"/>
              </w:rPr>
            </w:pPr>
          </w:p>
          <w:p w14:paraId="1215BD4D" w14:textId="77777777" w:rsidR="00E30CE1" w:rsidRDefault="00E30CE1" w:rsidP="00042E94">
            <w:pPr>
              <w:jc w:val="center"/>
              <w:rPr>
                <w:rFonts w:ascii="Arial" w:eastAsia="Calibri" w:hAnsi="Arial" w:cs="Arial"/>
                <w:b/>
                <w:u w:val="single"/>
              </w:rPr>
            </w:pPr>
          </w:p>
          <w:p w14:paraId="4EF6570D" w14:textId="77777777" w:rsidR="00E30CE1" w:rsidRDefault="00E30CE1" w:rsidP="00042E94">
            <w:pPr>
              <w:jc w:val="center"/>
              <w:rPr>
                <w:rFonts w:ascii="Arial" w:eastAsia="Calibri" w:hAnsi="Arial" w:cs="Arial"/>
                <w:b/>
                <w:u w:val="single"/>
              </w:rPr>
            </w:pPr>
          </w:p>
          <w:p w14:paraId="6A5E3ABD" w14:textId="521A2821" w:rsidR="00E30CE1" w:rsidRDefault="00E30CE1" w:rsidP="00042E94">
            <w:pPr>
              <w:jc w:val="center"/>
              <w:rPr>
                <w:rFonts w:ascii="Arial" w:eastAsia="Calibri" w:hAnsi="Arial" w:cs="Arial"/>
                <w:b/>
                <w:u w:val="single"/>
              </w:rPr>
            </w:pPr>
            <w:r>
              <w:rPr>
                <w:rFonts w:ascii="Arial" w:eastAsia="Calibri" w:hAnsi="Arial" w:cs="Arial"/>
                <w:b/>
                <w:u w:val="single"/>
              </w:rPr>
              <w:t>83.00%</w:t>
            </w:r>
          </w:p>
          <w:p w14:paraId="735BA449" w14:textId="2CDD5786" w:rsidR="00E30CE1" w:rsidRDefault="00E30CE1" w:rsidP="00042E94">
            <w:pPr>
              <w:jc w:val="center"/>
              <w:rPr>
                <w:rFonts w:ascii="Arial" w:eastAsia="Calibri" w:hAnsi="Arial" w:cs="Arial"/>
                <w:b/>
                <w:u w:val="single"/>
              </w:rPr>
            </w:pPr>
            <w:r>
              <w:rPr>
                <w:rFonts w:ascii="Arial" w:eastAsia="Calibri" w:hAnsi="Arial" w:cs="Arial"/>
                <w:b/>
                <w:u w:val="single"/>
              </w:rPr>
              <w:t>91.00%</w:t>
            </w:r>
          </w:p>
          <w:p w14:paraId="169C894D" w14:textId="77777777" w:rsidR="00E30CE1" w:rsidRDefault="00E30CE1" w:rsidP="00042E94">
            <w:pPr>
              <w:jc w:val="center"/>
              <w:rPr>
                <w:rFonts w:ascii="Arial" w:eastAsia="Calibri" w:hAnsi="Arial" w:cs="Arial"/>
                <w:b/>
                <w:u w:val="single"/>
              </w:rPr>
            </w:pPr>
          </w:p>
          <w:p w14:paraId="794F317F" w14:textId="51A0F787" w:rsidR="00E30CE1" w:rsidRDefault="00E30CE1" w:rsidP="00042E94">
            <w:pPr>
              <w:jc w:val="center"/>
              <w:rPr>
                <w:rFonts w:ascii="Arial" w:eastAsia="Calibri" w:hAnsi="Arial" w:cs="Arial"/>
                <w:b/>
                <w:u w:val="single"/>
              </w:rPr>
            </w:pPr>
            <w:r>
              <w:rPr>
                <w:rFonts w:ascii="Arial" w:eastAsia="Calibri" w:hAnsi="Arial" w:cs="Arial"/>
                <w:b/>
                <w:u w:val="single"/>
              </w:rPr>
              <w:t>84.00%</w:t>
            </w:r>
          </w:p>
        </w:tc>
        <w:tc>
          <w:tcPr>
            <w:tcW w:w="1804" w:type="dxa"/>
          </w:tcPr>
          <w:p w14:paraId="196AB4E3" w14:textId="77777777" w:rsidR="00E30CE1" w:rsidRDefault="00E30CE1" w:rsidP="00042E94">
            <w:pPr>
              <w:jc w:val="center"/>
              <w:rPr>
                <w:rFonts w:ascii="Arial" w:eastAsia="Calibri" w:hAnsi="Arial" w:cs="Arial"/>
                <w:b/>
                <w:u w:val="single"/>
              </w:rPr>
            </w:pPr>
          </w:p>
          <w:p w14:paraId="71EA9F20" w14:textId="77777777" w:rsidR="00E30CE1" w:rsidRDefault="00E30CE1" w:rsidP="00042E94">
            <w:pPr>
              <w:jc w:val="center"/>
              <w:rPr>
                <w:rFonts w:ascii="Arial" w:eastAsia="Calibri" w:hAnsi="Arial" w:cs="Arial"/>
                <w:b/>
                <w:u w:val="single"/>
              </w:rPr>
            </w:pPr>
          </w:p>
          <w:p w14:paraId="5CE0DE09" w14:textId="77777777" w:rsidR="00E30CE1" w:rsidRDefault="00E30CE1" w:rsidP="00042E94">
            <w:pPr>
              <w:jc w:val="center"/>
              <w:rPr>
                <w:rFonts w:ascii="Arial" w:eastAsia="Calibri" w:hAnsi="Arial" w:cs="Arial"/>
                <w:b/>
                <w:u w:val="single"/>
              </w:rPr>
            </w:pPr>
          </w:p>
          <w:p w14:paraId="20EBCE8E" w14:textId="77777777" w:rsidR="00E30CE1" w:rsidRDefault="00E30CE1" w:rsidP="00042E94">
            <w:pPr>
              <w:jc w:val="center"/>
              <w:rPr>
                <w:rFonts w:ascii="Arial" w:eastAsia="Calibri" w:hAnsi="Arial" w:cs="Arial"/>
                <w:b/>
                <w:u w:val="single"/>
              </w:rPr>
            </w:pPr>
          </w:p>
          <w:p w14:paraId="28D7CB74" w14:textId="7C968368" w:rsidR="00E30CE1" w:rsidRDefault="00E30CE1" w:rsidP="00042E94">
            <w:pPr>
              <w:jc w:val="center"/>
              <w:rPr>
                <w:rFonts w:ascii="Arial" w:eastAsia="Calibri" w:hAnsi="Arial" w:cs="Arial"/>
                <w:b/>
                <w:u w:val="single"/>
              </w:rPr>
            </w:pPr>
            <w:r>
              <w:rPr>
                <w:rFonts w:ascii="Arial" w:eastAsia="Calibri" w:hAnsi="Arial" w:cs="Arial"/>
                <w:b/>
                <w:u w:val="single"/>
              </w:rPr>
              <w:t>72.00$</w:t>
            </w:r>
          </w:p>
          <w:p w14:paraId="4706FA55" w14:textId="3782081A" w:rsidR="00E30CE1" w:rsidRDefault="00E30CE1" w:rsidP="00042E94">
            <w:pPr>
              <w:jc w:val="center"/>
              <w:rPr>
                <w:rFonts w:ascii="Arial" w:eastAsia="Calibri" w:hAnsi="Arial" w:cs="Arial"/>
                <w:b/>
                <w:u w:val="single"/>
              </w:rPr>
            </w:pPr>
            <w:r>
              <w:rPr>
                <w:rFonts w:ascii="Arial" w:eastAsia="Calibri" w:hAnsi="Arial" w:cs="Arial"/>
                <w:b/>
                <w:u w:val="single"/>
              </w:rPr>
              <w:t>28.00%</w:t>
            </w:r>
          </w:p>
          <w:p w14:paraId="31A4626E" w14:textId="77777777" w:rsidR="00E30CE1" w:rsidRDefault="00E30CE1" w:rsidP="00042E94">
            <w:pPr>
              <w:jc w:val="center"/>
              <w:rPr>
                <w:rFonts w:ascii="Arial" w:eastAsia="Calibri" w:hAnsi="Arial" w:cs="Arial"/>
                <w:b/>
                <w:u w:val="single"/>
              </w:rPr>
            </w:pPr>
          </w:p>
          <w:p w14:paraId="6E2ABF4F" w14:textId="13B05C09" w:rsidR="00E30CE1" w:rsidRDefault="00E30CE1" w:rsidP="00042E94">
            <w:pPr>
              <w:jc w:val="center"/>
              <w:rPr>
                <w:rFonts w:ascii="Arial" w:eastAsia="Calibri" w:hAnsi="Arial" w:cs="Arial"/>
                <w:b/>
                <w:u w:val="single"/>
              </w:rPr>
            </w:pPr>
            <w:r>
              <w:rPr>
                <w:rFonts w:ascii="Arial" w:eastAsia="Calibri" w:hAnsi="Arial" w:cs="Arial"/>
                <w:b/>
                <w:u w:val="single"/>
              </w:rPr>
              <w:t>68.00%</w:t>
            </w:r>
          </w:p>
        </w:tc>
        <w:tc>
          <w:tcPr>
            <w:tcW w:w="2042" w:type="dxa"/>
          </w:tcPr>
          <w:p w14:paraId="419D7703" w14:textId="77777777" w:rsidR="00E30CE1" w:rsidRDefault="00E30CE1" w:rsidP="00042E94">
            <w:pPr>
              <w:jc w:val="center"/>
              <w:rPr>
                <w:rFonts w:ascii="Arial" w:eastAsia="Calibri" w:hAnsi="Arial" w:cs="Arial"/>
                <w:b/>
                <w:u w:val="single"/>
              </w:rPr>
            </w:pPr>
          </w:p>
          <w:p w14:paraId="73C26A0C" w14:textId="77777777" w:rsidR="00E30CE1" w:rsidRDefault="00E30CE1" w:rsidP="00042E94">
            <w:pPr>
              <w:jc w:val="center"/>
              <w:rPr>
                <w:rFonts w:ascii="Arial" w:eastAsia="Calibri" w:hAnsi="Arial" w:cs="Arial"/>
                <w:b/>
                <w:u w:val="single"/>
              </w:rPr>
            </w:pPr>
          </w:p>
          <w:p w14:paraId="23A63C94" w14:textId="77777777" w:rsidR="00E30CE1" w:rsidRDefault="00E30CE1" w:rsidP="00042E94">
            <w:pPr>
              <w:jc w:val="center"/>
              <w:rPr>
                <w:rFonts w:ascii="Arial" w:eastAsia="Calibri" w:hAnsi="Arial" w:cs="Arial"/>
                <w:b/>
                <w:u w:val="single"/>
              </w:rPr>
            </w:pPr>
          </w:p>
          <w:p w14:paraId="236B6D7F" w14:textId="77777777" w:rsidR="00E30CE1" w:rsidRDefault="00E30CE1" w:rsidP="00042E94">
            <w:pPr>
              <w:jc w:val="center"/>
              <w:rPr>
                <w:rFonts w:ascii="Arial" w:eastAsia="Calibri" w:hAnsi="Arial" w:cs="Arial"/>
                <w:b/>
                <w:u w:val="single"/>
              </w:rPr>
            </w:pPr>
          </w:p>
          <w:p w14:paraId="314F546A" w14:textId="77777777" w:rsidR="00E30CE1" w:rsidRDefault="00E30CE1" w:rsidP="00E30CE1">
            <w:pPr>
              <w:jc w:val="center"/>
              <w:rPr>
                <w:rFonts w:ascii="Arial" w:eastAsia="Calibri" w:hAnsi="Arial" w:cs="Arial"/>
                <w:b/>
                <w:u w:val="single"/>
              </w:rPr>
            </w:pPr>
            <w:r>
              <w:rPr>
                <w:rFonts w:ascii="Arial" w:eastAsia="Calibri" w:hAnsi="Arial" w:cs="Arial"/>
                <w:b/>
                <w:u w:val="single"/>
              </w:rPr>
              <w:t>72.00$</w:t>
            </w:r>
          </w:p>
          <w:p w14:paraId="4B663901" w14:textId="77777777" w:rsidR="00E30CE1" w:rsidRDefault="00E30CE1" w:rsidP="00E30CE1">
            <w:pPr>
              <w:jc w:val="center"/>
              <w:rPr>
                <w:rFonts w:ascii="Arial" w:eastAsia="Calibri" w:hAnsi="Arial" w:cs="Arial"/>
                <w:b/>
                <w:u w:val="single"/>
              </w:rPr>
            </w:pPr>
            <w:r>
              <w:rPr>
                <w:rFonts w:ascii="Arial" w:eastAsia="Calibri" w:hAnsi="Arial" w:cs="Arial"/>
                <w:b/>
                <w:u w:val="single"/>
              </w:rPr>
              <w:t>28.00%</w:t>
            </w:r>
          </w:p>
          <w:p w14:paraId="2BA5B4AE" w14:textId="77777777" w:rsidR="00E30CE1" w:rsidRDefault="00E30CE1" w:rsidP="00E30CE1">
            <w:pPr>
              <w:jc w:val="center"/>
              <w:rPr>
                <w:rFonts w:ascii="Arial" w:eastAsia="Calibri" w:hAnsi="Arial" w:cs="Arial"/>
                <w:b/>
                <w:u w:val="single"/>
              </w:rPr>
            </w:pPr>
          </w:p>
          <w:p w14:paraId="78FA225F" w14:textId="23965178" w:rsidR="00E30CE1" w:rsidRDefault="00E30CE1" w:rsidP="00E30CE1">
            <w:pPr>
              <w:jc w:val="center"/>
              <w:rPr>
                <w:rFonts w:ascii="Arial" w:eastAsia="Calibri" w:hAnsi="Arial" w:cs="Arial"/>
                <w:b/>
                <w:u w:val="single"/>
              </w:rPr>
            </w:pPr>
            <w:r>
              <w:rPr>
                <w:rFonts w:ascii="Arial" w:eastAsia="Calibri" w:hAnsi="Arial" w:cs="Arial"/>
                <w:b/>
                <w:u w:val="single"/>
              </w:rPr>
              <w:t>68.00%</w:t>
            </w:r>
          </w:p>
        </w:tc>
      </w:tr>
      <w:tr w:rsidR="005D4809" w:rsidRPr="004B1294" w14:paraId="35551433" w14:textId="77777777" w:rsidTr="00042E94">
        <w:tc>
          <w:tcPr>
            <w:tcW w:w="1550" w:type="dxa"/>
          </w:tcPr>
          <w:p w14:paraId="016BCC17" w14:textId="20A20586" w:rsidR="005D4809" w:rsidRDefault="005D4809" w:rsidP="00042E94">
            <w:pPr>
              <w:jc w:val="center"/>
              <w:rPr>
                <w:rFonts w:ascii="Arial" w:hAnsi="Arial" w:cs="Arial"/>
                <w:b/>
              </w:rPr>
            </w:pPr>
            <w:r>
              <w:rPr>
                <w:rFonts w:ascii="Arial" w:hAnsi="Arial" w:cs="Arial"/>
                <w:b/>
              </w:rPr>
              <w:t>329</w:t>
            </w:r>
          </w:p>
        </w:tc>
        <w:tc>
          <w:tcPr>
            <w:tcW w:w="3255" w:type="dxa"/>
          </w:tcPr>
          <w:p w14:paraId="47670DC7" w14:textId="30FDE79A" w:rsidR="005D4809" w:rsidRPr="005D4809" w:rsidRDefault="005D4809" w:rsidP="005D4809">
            <w:pPr>
              <w:jc w:val="both"/>
              <w:rPr>
                <w:rFonts w:ascii="Arial" w:hAnsi="Arial" w:cs="Arial"/>
                <w:b/>
                <w:lang w:val="es-MX"/>
              </w:rPr>
            </w:pPr>
            <w:r w:rsidRPr="005D4809">
              <w:rPr>
                <w:rFonts w:ascii="Arial" w:hAnsi="Arial" w:cs="Arial"/>
                <w:b/>
                <w:lang w:val="es-MX"/>
              </w:rPr>
              <w:t xml:space="preserve">SERVICIO NACIONAL DE APRENDIZAJE – SENA. </w:t>
            </w:r>
          </w:p>
          <w:p w14:paraId="4E1A8CF7" w14:textId="77777777" w:rsidR="005D4809" w:rsidRDefault="005D4809" w:rsidP="00E30CE1">
            <w:pPr>
              <w:jc w:val="both"/>
              <w:rPr>
                <w:rFonts w:ascii="Arial" w:hAnsi="Arial" w:cs="Arial"/>
                <w:b/>
                <w:lang w:val="es-MX"/>
              </w:rPr>
            </w:pPr>
          </w:p>
          <w:p w14:paraId="5EF49CAF" w14:textId="77777777" w:rsidR="005D4809" w:rsidRDefault="005D4809" w:rsidP="005D4809">
            <w:pPr>
              <w:jc w:val="both"/>
              <w:rPr>
                <w:rFonts w:ascii="Arial" w:hAnsi="Arial" w:cs="Arial"/>
                <w:b/>
                <w:lang w:val="es-MX"/>
              </w:rPr>
            </w:pPr>
            <w:r>
              <w:rPr>
                <w:rFonts w:ascii="Arial" w:hAnsi="Arial" w:cs="Arial"/>
                <w:b/>
                <w:lang w:val="es-MX"/>
              </w:rPr>
              <w:t>FUNCIONAMIENTO</w:t>
            </w:r>
          </w:p>
          <w:p w14:paraId="692BC6E7" w14:textId="77777777" w:rsidR="005D4809" w:rsidRDefault="005D4809" w:rsidP="005D4809">
            <w:pPr>
              <w:jc w:val="both"/>
              <w:rPr>
                <w:rFonts w:ascii="Arial" w:hAnsi="Arial" w:cs="Arial"/>
                <w:b/>
                <w:lang w:val="es-MX"/>
              </w:rPr>
            </w:pPr>
            <w:r>
              <w:rPr>
                <w:rFonts w:ascii="Arial" w:hAnsi="Arial" w:cs="Arial"/>
                <w:b/>
                <w:lang w:val="es-MX"/>
              </w:rPr>
              <w:t>INVERSIÓN</w:t>
            </w:r>
          </w:p>
          <w:p w14:paraId="1F813F49" w14:textId="2B16762B" w:rsidR="005D4809" w:rsidRPr="00E30CE1" w:rsidRDefault="005D4809" w:rsidP="005D4809">
            <w:pPr>
              <w:jc w:val="both"/>
              <w:rPr>
                <w:rFonts w:ascii="Arial" w:hAnsi="Arial" w:cs="Arial"/>
                <w:b/>
                <w:lang w:val="es-MX"/>
              </w:rPr>
            </w:pPr>
            <w:r>
              <w:rPr>
                <w:rFonts w:ascii="Arial" w:hAnsi="Arial" w:cs="Arial"/>
                <w:b/>
                <w:lang w:val="es-MX"/>
              </w:rPr>
              <w:lastRenderedPageBreak/>
              <w:t>TOTAL PRESUPUESTO</w:t>
            </w:r>
          </w:p>
        </w:tc>
        <w:tc>
          <w:tcPr>
            <w:tcW w:w="1839" w:type="dxa"/>
          </w:tcPr>
          <w:p w14:paraId="0421CE10" w14:textId="77777777" w:rsidR="005D4809" w:rsidRDefault="005D4809" w:rsidP="00042E94">
            <w:pPr>
              <w:jc w:val="center"/>
              <w:rPr>
                <w:rFonts w:ascii="Arial" w:eastAsia="Calibri" w:hAnsi="Arial" w:cs="Arial"/>
                <w:b/>
                <w:u w:val="single"/>
              </w:rPr>
            </w:pPr>
          </w:p>
          <w:p w14:paraId="351479B1" w14:textId="77777777" w:rsidR="005D4809" w:rsidRDefault="005D4809" w:rsidP="00042E94">
            <w:pPr>
              <w:jc w:val="center"/>
              <w:rPr>
                <w:rFonts w:ascii="Arial" w:eastAsia="Calibri" w:hAnsi="Arial" w:cs="Arial"/>
                <w:b/>
                <w:u w:val="single"/>
              </w:rPr>
            </w:pPr>
          </w:p>
          <w:p w14:paraId="646145D3" w14:textId="77777777" w:rsidR="005D4809" w:rsidRDefault="005D4809" w:rsidP="00042E94">
            <w:pPr>
              <w:jc w:val="center"/>
              <w:rPr>
                <w:rFonts w:ascii="Arial" w:eastAsia="Calibri" w:hAnsi="Arial" w:cs="Arial"/>
                <w:b/>
                <w:u w:val="single"/>
              </w:rPr>
            </w:pPr>
          </w:p>
          <w:p w14:paraId="5C0FA42B" w14:textId="1B294B1D" w:rsidR="005D4809" w:rsidRDefault="005D4809" w:rsidP="00042E94">
            <w:pPr>
              <w:jc w:val="center"/>
              <w:rPr>
                <w:rFonts w:ascii="Arial" w:eastAsia="Calibri" w:hAnsi="Arial" w:cs="Arial"/>
                <w:b/>
                <w:u w:val="single"/>
              </w:rPr>
            </w:pPr>
            <w:r>
              <w:rPr>
                <w:rFonts w:ascii="Arial" w:eastAsia="Calibri" w:hAnsi="Arial" w:cs="Arial"/>
                <w:b/>
                <w:u w:val="single"/>
              </w:rPr>
              <w:t>90.25%</w:t>
            </w:r>
          </w:p>
          <w:p w14:paraId="6DDC7C75" w14:textId="4A44B061" w:rsidR="005D4809" w:rsidRDefault="005D4809" w:rsidP="00042E94">
            <w:pPr>
              <w:jc w:val="center"/>
              <w:rPr>
                <w:rFonts w:ascii="Arial" w:eastAsia="Calibri" w:hAnsi="Arial" w:cs="Arial"/>
                <w:b/>
                <w:u w:val="single"/>
              </w:rPr>
            </w:pPr>
            <w:r>
              <w:rPr>
                <w:rFonts w:ascii="Arial" w:eastAsia="Calibri" w:hAnsi="Arial" w:cs="Arial"/>
                <w:b/>
                <w:u w:val="single"/>
              </w:rPr>
              <w:t>97.90%</w:t>
            </w:r>
          </w:p>
          <w:p w14:paraId="3C659E73" w14:textId="3FD3F77A" w:rsidR="005D4809" w:rsidRDefault="005D4809" w:rsidP="00042E94">
            <w:pPr>
              <w:jc w:val="center"/>
              <w:rPr>
                <w:rFonts w:ascii="Arial" w:eastAsia="Calibri" w:hAnsi="Arial" w:cs="Arial"/>
                <w:b/>
                <w:u w:val="single"/>
              </w:rPr>
            </w:pPr>
            <w:r>
              <w:rPr>
                <w:rFonts w:ascii="Arial" w:eastAsia="Calibri" w:hAnsi="Arial" w:cs="Arial"/>
                <w:b/>
                <w:u w:val="single"/>
              </w:rPr>
              <w:lastRenderedPageBreak/>
              <w:t>97.70%</w:t>
            </w:r>
          </w:p>
        </w:tc>
        <w:tc>
          <w:tcPr>
            <w:tcW w:w="1804" w:type="dxa"/>
          </w:tcPr>
          <w:p w14:paraId="72DE4541" w14:textId="77777777" w:rsidR="005D4809" w:rsidRDefault="005D4809" w:rsidP="00042E94">
            <w:pPr>
              <w:jc w:val="center"/>
              <w:rPr>
                <w:rFonts w:ascii="Arial" w:eastAsia="Calibri" w:hAnsi="Arial" w:cs="Arial"/>
                <w:b/>
                <w:u w:val="single"/>
              </w:rPr>
            </w:pPr>
          </w:p>
          <w:p w14:paraId="7311F855" w14:textId="77777777" w:rsidR="005D4809" w:rsidRDefault="005D4809" w:rsidP="00042E94">
            <w:pPr>
              <w:jc w:val="center"/>
              <w:rPr>
                <w:rFonts w:ascii="Arial" w:eastAsia="Calibri" w:hAnsi="Arial" w:cs="Arial"/>
                <w:b/>
                <w:u w:val="single"/>
              </w:rPr>
            </w:pPr>
          </w:p>
          <w:p w14:paraId="2F3CE46C" w14:textId="77777777" w:rsidR="005D4809" w:rsidRDefault="005D4809" w:rsidP="00042E94">
            <w:pPr>
              <w:jc w:val="center"/>
              <w:rPr>
                <w:rFonts w:ascii="Arial" w:eastAsia="Calibri" w:hAnsi="Arial" w:cs="Arial"/>
                <w:b/>
                <w:u w:val="single"/>
              </w:rPr>
            </w:pPr>
          </w:p>
          <w:p w14:paraId="0948FA5D" w14:textId="06125CAF" w:rsidR="005D4809" w:rsidRDefault="005D4809" w:rsidP="00042E94">
            <w:pPr>
              <w:jc w:val="center"/>
              <w:rPr>
                <w:rFonts w:ascii="Arial" w:eastAsia="Calibri" w:hAnsi="Arial" w:cs="Arial"/>
                <w:b/>
                <w:u w:val="single"/>
              </w:rPr>
            </w:pPr>
            <w:r>
              <w:rPr>
                <w:rFonts w:ascii="Arial" w:eastAsia="Calibri" w:hAnsi="Arial" w:cs="Arial"/>
                <w:b/>
                <w:u w:val="single"/>
              </w:rPr>
              <w:t>88.05%</w:t>
            </w:r>
          </w:p>
          <w:p w14:paraId="7252F3D1" w14:textId="59F47ACF" w:rsidR="005D4809" w:rsidRDefault="005D4809" w:rsidP="00042E94">
            <w:pPr>
              <w:jc w:val="center"/>
              <w:rPr>
                <w:rFonts w:ascii="Arial" w:eastAsia="Calibri" w:hAnsi="Arial" w:cs="Arial"/>
                <w:b/>
                <w:u w:val="single"/>
              </w:rPr>
            </w:pPr>
            <w:r>
              <w:rPr>
                <w:rFonts w:ascii="Arial" w:eastAsia="Calibri" w:hAnsi="Arial" w:cs="Arial"/>
                <w:b/>
                <w:u w:val="single"/>
              </w:rPr>
              <w:t>84.50%</w:t>
            </w:r>
          </w:p>
          <w:p w14:paraId="217C7955" w14:textId="3A33B8BC" w:rsidR="005D4809" w:rsidRDefault="005D4809" w:rsidP="00042E94">
            <w:pPr>
              <w:jc w:val="center"/>
              <w:rPr>
                <w:rFonts w:ascii="Arial" w:eastAsia="Calibri" w:hAnsi="Arial" w:cs="Arial"/>
                <w:b/>
                <w:u w:val="single"/>
              </w:rPr>
            </w:pPr>
            <w:r>
              <w:rPr>
                <w:rFonts w:ascii="Arial" w:eastAsia="Calibri" w:hAnsi="Arial" w:cs="Arial"/>
                <w:b/>
                <w:u w:val="single"/>
              </w:rPr>
              <w:lastRenderedPageBreak/>
              <w:t>84.60%</w:t>
            </w:r>
          </w:p>
        </w:tc>
        <w:tc>
          <w:tcPr>
            <w:tcW w:w="2042" w:type="dxa"/>
          </w:tcPr>
          <w:p w14:paraId="3C7F954C" w14:textId="77777777" w:rsidR="005D4809" w:rsidRDefault="005D4809" w:rsidP="00042E94">
            <w:pPr>
              <w:jc w:val="center"/>
              <w:rPr>
                <w:rFonts w:ascii="Arial" w:eastAsia="Calibri" w:hAnsi="Arial" w:cs="Arial"/>
                <w:b/>
                <w:u w:val="single"/>
              </w:rPr>
            </w:pPr>
          </w:p>
          <w:p w14:paraId="312107D9" w14:textId="77777777" w:rsidR="005D4809" w:rsidRDefault="005D4809" w:rsidP="00042E94">
            <w:pPr>
              <w:jc w:val="center"/>
              <w:rPr>
                <w:rFonts w:ascii="Arial" w:eastAsia="Calibri" w:hAnsi="Arial" w:cs="Arial"/>
                <w:b/>
                <w:u w:val="single"/>
              </w:rPr>
            </w:pPr>
          </w:p>
          <w:p w14:paraId="7A101CE6" w14:textId="77777777" w:rsidR="005D4809" w:rsidRDefault="005D4809" w:rsidP="00042E94">
            <w:pPr>
              <w:jc w:val="center"/>
              <w:rPr>
                <w:rFonts w:ascii="Arial" w:eastAsia="Calibri" w:hAnsi="Arial" w:cs="Arial"/>
                <w:b/>
                <w:u w:val="single"/>
              </w:rPr>
            </w:pPr>
          </w:p>
          <w:p w14:paraId="5CD42F8E" w14:textId="543178E7" w:rsidR="005D4809" w:rsidRDefault="005D4809" w:rsidP="00042E94">
            <w:pPr>
              <w:jc w:val="center"/>
              <w:rPr>
                <w:rFonts w:ascii="Arial" w:eastAsia="Calibri" w:hAnsi="Arial" w:cs="Arial"/>
                <w:b/>
                <w:u w:val="single"/>
              </w:rPr>
            </w:pPr>
            <w:r>
              <w:rPr>
                <w:rFonts w:ascii="Arial" w:eastAsia="Calibri" w:hAnsi="Arial" w:cs="Arial"/>
                <w:b/>
                <w:u w:val="single"/>
              </w:rPr>
              <w:t>87.67%</w:t>
            </w:r>
          </w:p>
          <w:p w14:paraId="7AD2E84F" w14:textId="656B9C96" w:rsidR="005D4809" w:rsidRDefault="005D4809" w:rsidP="00042E94">
            <w:pPr>
              <w:jc w:val="center"/>
              <w:rPr>
                <w:rFonts w:ascii="Arial" w:eastAsia="Calibri" w:hAnsi="Arial" w:cs="Arial"/>
                <w:b/>
                <w:u w:val="single"/>
              </w:rPr>
            </w:pPr>
            <w:r>
              <w:rPr>
                <w:rFonts w:ascii="Arial" w:eastAsia="Calibri" w:hAnsi="Arial" w:cs="Arial"/>
                <w:b/>
                <w:u w:val="single"/>
              </w:rPr>
              <w:t>83.90%</w:t>
            </w:r>
          </w:p>
          <w:p w14:paraId="3F47820D" w14:textId="4AA85560" w:rsidR="005D4809" w:rsidRDefault="005D4809" w:rsidP="00042E94">
            <w:pPr>
              <w:jc w:val="center"/>
              <w:rPr>
                <w:rFonts w:ascii="Arial" w:eastAsia="Calibri" w:hAnsi="Arial" w:cs="Arial"/>
                <w:b/>
                <w:u w:val="single"/>
              </w:rPr>
            </w:pPr>
            <w:r>
              <w:rPr>
                <w:rFonts w:ascii="Arial" w:eastAsia="Calibri" w:hAnsi="Arial" w:cs="Arial"/>
                <w:b/>
                <w:u w:val="single"/>
              </w:rPr>
              <w:lastRenderedPageBreak/>
              <w:t>84.00%</w:t>
            </w:r>
          </w:p>
        </w:tc>
      </w:tr>
      <w:tr w:rsidR="00F75018" w:rsidRPr="004B1294" w14:paraId="5689A47A" w14:textId="77777777" w:rsidTr="00042E94">
        <w:tc>
          <w:tcPr>
            <w:tcW w:w="1550" w:type="dxa"/>
          </w:tcPr>
          <w:p w14:paraId="520EAA26" w14:textId="3F030BA0" w:rsidR="00F75018" w:rsidRDefault="00F75018" w:rsidP="00042E94">
            <w:pPr>
              <w:jc w:val="center"/>
              <w:rPr>
                <w:rFonts w:ascii="Arial" w:hAnsi="Arial" w:cs="Arial"/>
                <w:b/>
              </w:rPr>
            </w:pPr>
            <w:r>
              <w:rPr>
                <w:rFonts w:ascii="Arial" w:hAnsi="Arial" w:cs="Arial"/>
                <w:b/>
              </w:rPr>
              <w:lastRenderedPageBreak/>
              <w:t>330</w:t>
            </w:r>
          </w:p>
        </w:tc>
        <w:tc>
          <w:tcPr>
            <w:tcW w:w="3255" w:type="dxa"/>
          </w:tcPr>
          <w:p w14:paraId="4C724861" w14:textId="77777777" w:rsidR="00F75018" w:rsidRPr="00F75018" w:rsidRDefault="00F75018" w:rsidP="00F75018">
            <w:pPr>
              <w:jc w:val="both"/>
              <w:rPr>
                <w:rFonts w:ascii="Arial" w:hAnsi="Arial" w:cs="Arial"/>
                <w:b/>
                <w:lang w:val="es-MX"/>
              </w:rPr>
            </w:pPr>
            <w:r w:rsidRPr="00F75018">
              <w:rPr>
                <w:rFonts w:ascii="Arial" w:hAnsi="Arial" w:cs="Arial"/>
                <w:b/>
                <w:lang w:val="es-MX"/>
              </w:rPr>
              <w:t>330.- FONDO DE BIENESTAR SOCIAL CONTRALORÍA GENERAL DE LA REPÚBLICA.</w:t>
            </w:r>
          </w:p>
          <w:p w14:paraId="574F7F8A" w14:textId="77777777" w:rsidR="00F75018" w:rsidRPr="00F75018" w:rsidRDefault="00F75018" w:rsidP="00F75018">
            <w:pPr>
              <w:rPr>
                <w:rFonts w:ascii="Arial" w:hAnsi="Arial" w:cs="Arial"/>
                <w:b/>
                <w:lang w:val="es-MX"/>
              </w:rPr>
            </w:pPr>
          </w:p>
          <w:p w14:paraId="123DD734" w14:textId="77777777" w:rsidR="00F75018" w:rsidRDefault="00F75018" w:rsidP="00F75018">
            <w:pPr>
              <w:jc w:val="both"/>
              <w:rPr>
                <w:rFonts w:ascii="Arial" w:hAnsi="Arial" w:cs="Arial"/>
                <w:b/>
                <w:lang w:val="es-MX"/>
              </w:rPr>
            </w:pPr>
            <w:r>
              <w:rPr>
                <w:rFonts w:ascii="Arial" w:hAnsi="Arial" w:cs="Arial"/>
                <w:b/>
                <w:lang w:val="es-MX"/>
              </w:rPr>
              <w:t>FUNCIONAMIENTO</w:t>
            </w:r>
          </w:p>
          <w:p w14:paraId="61A024C4" w14:textId="33493B30" w:rsidR="00F75018" w:rsidRDefault="00F75018" w:rsidP="00F75018">
            <w:pPr>
              <w:jc w:val="both"/>
              <w:rPr>
                <w:rFonts w:ascii="Arial" w:hAnsi="Arial" w:cs="Arial"/>
                <w:b/>
                <w:lang w:val="es-MX"/>
              </w:rPr>
            </w:pPr>
            <w:r>
              <w:rPr>
                <w:rFonts w:ascii="Arial" w:hAnsi="Arial" w:cs="Arial"/>
                <w:b/>
                <w:lang w:val="es-MX"/>
              </w:rPr>
              <w:t>INVERSIÓN</w:t>
            </w:r>
          </w:p>
          <w:p w14:paraId="17A25DE8" w14:textId="57AF4D57" w:rsidR="00F75018" w:rsidRPr="005D4809" w:rsidRDefault="00F75018" w:rsidP="00F75018">
            <w:pPr>
              <w:rPr>
                <w:rFonts w:ascii="Arial" w:hAnsi="Arial" w:cs="Arial"/>
                <w:b/>
                <w:lang w:val="es-MX"/>
              </w:rPr>
            </w:pPr>
            <w:r>
              <w:rPr>
                <w:rFonts w:ascii="Arial" w:hAnsi="Arial" w:cs="Arial"/>
                <w:b/>
                <w:lang w:val="es-MX"/>
              </w:rPr>
              <w:t>TOTAL PRESUPUESTO</w:t>
            </w:r>
          </w:p>
        </w:tc>
        <w:tc>
          <w:tcPr>
            <w:tcW w:w="1839" w:type="dxa"/>
          </w:tcPr>
          <w:p w14:paraId="7B084E42" w14:textId="0945E26C" w:rsidR="00F75018" w:rsidRDefault="00F75018" w:rsidP="00042E94">
            <w:pPr>
              <w:jc w:val="center"/>
              <w:rPr>
                <w:rFonts w:ascii="Arial" w:eastAsia="Calibri" w:hAnsi="Arial" w:cs="Arial"/>
                <w:b/>
                <w:u w:val="single"/>
              </w:rPr>
            </w:pPr>
          </w:p>
          <w:p w14:paraId="590C0148" w14:textId="5A168962" w:rsidR="00F75018" w:rsidRDefault="00F75018" w:rsidP="00042E94">
            <w:pPr>
              <w:jc w:val="center"/>
              <w:rPr>
                <w:rFonts w:ascii="Arial" w:eastAsia="Calibri" w:hAnsi="Arial" w:cs="Arial"/>
                <w:b/>
                <w:u w:val="single"/>
              </w:rPr>
            </w:pPr>
          </w:p>
          <w:p w14:paraId="2DA152B7" w14:textId="725B4EF5" w:rsidR="00F75018" w:rsidRDefault="00F75018" w:rsidP="00042E94">
            <w:pPr>
              <w:jc w:val="center"/>
              <w:rPr>
                <w:rFonts w:ascii="Arial" w:eastAsia="Calibri" w:hAnsi="Arial" w:cs="Arial"/>
                <w:b/>
                <w:u w:val="single"/>
              </w:rPr>
            </w:pPr>
          </w:p>
          <w:p w14:paraId="33F10830" w14:textId="0DB09AA7" w:rsidR="00F75018" w:rsidRDefault="00F75018" w:rsidP="00042E94">
            <w:pPr>
              <w:jc w:val="center"/>
              <w:rPr>
                <w:rFonts w:ascii="Arial" w:eastAsia="Calibri" w:hAnsi="Arial" w:cs="Arial"/>
                <w:b/>
                <w:u w:val="single"/>
              </w:rPr>
            </w:pPr>
          </w:p>
          <w:p w14:paraId="4B29C41F" w14:textId="6818F5F9" w:rsidR="00F75018" w:rsidRDefault="00F75018" w:rsidP="00042E94">
            <w:pPr>
              <w:jc w:val="center"/>
              <w:rPr>
                <w:rFonts w:ascii="Arial" w:eastAsia="Calibri" w:hAnsi="Arial" w:cs="Arial"/>
                <w:b/>
                <w:u w:val="single"/>
              </w:rPr>
            </w:pPr>
            <w:r>
              <w:rPr>
                <w:rFonts w:ascii="Arial" w:eastAsia="Calibri" w:hAnsi="Arial" w:cs="Arial"/>
                <w:b/>
                <w:u w:val="single"/>
              </w:rPr>
              <w:t>98.61%</w:t>
            </w:r>
          </w:p>
          <w:p w14:paraId="0FAD13D6" w14:textId="70935535" w:rsidR="00F75018" w:rsidRDefault="00F75018" w:rsidP="00042E94">
            <w:pPr>
              <w:jc w:val="center"/>
              <w:rPr>
                <w:rFonts w:ascii="Arial" w:eastAsia="Calibri" w:hAnsi="Arial" w:cs="Arial"/>
                <w:b/>
                <w:u w:val="single"/>
              </w:rPr>
            </w:pPr>
            <w:r>
              <w:rPr>
                <w:rFonts w:ascii="Arial" w:eastAsia="Calibri" w:hAnsi="Arial" w:cs="Arial"/>
                <w:b/>
                <w:u w:val="single"/>
              </w:rPr>
              <w:t>0</w:t>
            </w:r>
          </w:p>
          <w:p w14:paraId="4AF9488D" w14:textId="60C62AD9" w:rsidR="00F75018" w:rsidRDefault="00F75018" w:rsidP="00F75018">
            <w:pPr>
              <w:jc w:val="center"/>
              <w:rPr>
                <w:rFonts w:ascii="Arial" w:eastAsia="Calibri" w:hAnsi="Arial" w:cs="Arial"/>
                <w:b/>
                <w:u w:val="single"/>
              </w:rPr>
            </w:pPr>
            <w:r>
              <w:rPr>
                <w:rFonts w:ascii="Arial" w:eastAsia="Calibri" w:hAnsi="Arial" w:cs="Arial"/>
                <w:b/>
                <w:u w:val="single"/>
              </w:rPr>
              <w:t>98.62%</w:t>
            </w:r>
          </w:p>
        </w:tc>
        <w:tc>
          <w:tcPr>
            <w:tcW w:w="1804" w:type="dxa"/>
          </w:tcPr>
          <w:p w14:paraId="6EC25AE2" w14:textId="77777777" w:rsidR="00F75018" w:rsidRDefault="00F75018" w:rsidP="00042E94">
            <w:pPr>
              <w:jc w:val="center"/>
              <w:rPr>
                <w:rFonts w:ascii="Arial" w:eastAsia="Calibri" w:hAnsi="Arial" w:cs="Arial"/>
                <w:b/>
                <w:u w:val="single"/>
              </w:rPr>
            </w:pPr>
          </w:p>
          <w:p w14:paraId="328F5E42" w14:textId="77777777" w:rsidR="00F75018" w:rsidRDefault="00F75018" w:rsidP="00042E94">
            <w:pPr>
              <w:jc w:val="center"/>
              <w:rPr>
                <w:rFonts w:ascii="Arial" w:eastAsia="Calibri" w:hAnsi="Arial" w:cs="Arial"/>
                <w:b/>
                <w:u w:val="single"/>
              </w:rPr>
            </w:pPr>
          </w:p>
          <w:p w14:paraId="0CA77D71" w14:textId="77777777" w:rsidR="00F75018" w:rsidRDefault="00F75018" w:rsidP="00042E94">
            <w:pPr>
              <w:jc w:val="center"/>
              <w:rPr>
                <w:rFonts w:ascii="Arial" w:eastAsia="Calibri" w:hAnsi="Arial" w:cs="Arial"/>
                <w:b/>
                <w:u w:val="single"/>
              </w:rPr>
            </w:pPr>
          </w:p>
          <w:p w14:paraId="3153D41C" w14:textId="77777777" w:rsidR="00F75018" w:rsidRDefault="00F75018" w:rsidP="00042E94">
            <w:pPr>
              <w:jc w:val="center"/>
              <w:rPr>
                <w:rFonts w:ascii="Arial" w:eastAsia="Calibri" w:hAnsi="Arial" w:cs="Arial"/>
                <w:b/>
                <w:u w:val="single"/>
              </w:rPr>
            </w:pPr>
          </w:p>
          <w:p w14:paraId="24B02386" w14:textId="3C2BC841" w:rsidR="00F75018" w:rsidRDefault="00F75018" w:rsidP="00042E94">
            <w:pPr>
              <w:jc w:val="center"/>
              <w:rPr>
                <w:rFonts w:ascii="Arial" w:eastAsia="Calibri" w:hAnsi="Arial" w:cs="Arial"/>
                <w:b/>
                <w:u w:val="single"/>
              </w:rPr>
            </w:pPr>
            <w:r>
              <w:rPr>
                <w:rFonts w:ascii="Arial" w:eastAsia="Calibri" w:hAnsi="Arial" w:cs="Arial"/>
                <w:b/>
                <w:u w:val="single"/>
              </w:rPr>
              <w:t>98.26%</w:t>
            </w:r>
          </w:p>
          <w:p w14:paraId="3C4054DC" w14:textId="6D3A06CD" w:rsidR="00F75018" w:rsidRDefault="00F75018" w:rsidP="00042E94">
            <w:pPr>
              <w:jc w:val="center"/>
              <w:rPr>
                <w:rFonts w:ascii="Arial" w:eastAsia="Calibri" w:hAnsi="Arial" w:cs="Arial"/>
                <w:b/>
                <w:u w:val="single"/>
              </w:rPr>
            </w:pPr>
            <w:r>
              <w:rPr>
                <w:rFonts w:ascii="Arial" w:eastAsia="Calibri" w:hAnsi="Arial" w:cs="Arial"/>
                <w:b/>
                <w:u w:val="single"/>
              </w:rPr>
              <w:t>0</w:t>
            </w:r>
          </w:p>
          <w:p w14:paraId="586116B3" w14:textId="46F456DB" w:rsidR="00F75018" w:rsidRDefault="00F75018" w:rsidP="00042E94">
            <w:pPr>
              <w:jc w:val="center"/>
              <w:rPr>
                <w:rFonts w:ascii="Arial" w:eastAsia="Calibri" w:hAnsi="Arial" w:cs="Arial"/>
                <w:b/>
                <w:u w:val="single"/>
              </w:rPr>
            </w:pPr>
            <w:r>
              <w:rPr>
                <w:rFonts w:ascii="Arial" w:eastAsia="Calibri" w:hAnsi="Arial" w:cs="Arial"/>
                <w:b/>
                <w:u w:val="single"/>
              </w:rPr>
              <w:t>98.26%</w:t>
            </w:r>
          </w:p>
        </w:tc>
        <w:tc>
          <w:tcPr>
            <w:tcW w:w="2042" w:type="dxa"/>
          </w:tcPr>
          <w:p w14:paraId="02524453" w14:textId="77777777" w:rsidR="00F75018" w:rsidRDefault="00F75018" w:rsidP="00042E94">
            <w:pPr>
              <w:jc w:val="center"/>
              <w:rPr>
                <w:rFonts w:ascii="Arial" w:eastAsia="Calibri" w:hAnsi="Arial" w:cs="Arial"/>
                <w:b/>
                <w:u w:val="single"/>
              </w:rPr>
            </w:pPr>
          </w:p>
          <w:p w14:paraId="5EE55266" w14:textId="77777777" w:rsidR="00F75018" w:rsidRDefault="00F75018" w:rsidP="00042E94">
            <w:pPr>
              <w:jc w:val="center"/>
              <w:rPr>
                <w:rFonts w:ascii="Arial" w:eastAsia="Calibri" w:hAnsi="Arial" w:cs="Arial"/>
                <w:b/>
                <w:u w:val="single"/>
              </w:rPr>
            </w:pPr>
          </w:p>
          <w:p w14:paraId="1D354225" w14:textId="77777777" w:rsidR="00F75018" w:rsidRDefault="00F75018" w:rsidP="00042E94">
            <w:pPr>
              <w:jc w:val="center"/>
              <w:rPr>
                <w:rFonts w:ascii="Arial" w:eastAsia="Calibri" w:hAnsi="Arial" w:cs="Arial"/>
                <w:b/>
                <w:u w:val="single"/>
              </w:rPr>
            </w:pPr>
          </w:p>
          <w:p w14:paraId="0624E245" w14:textId="77777777" w:rsidR="00F75018" w:rsidRDefault="00F75018" w:rsidP="00042E94">
            <w:pPr>
              <w:jc w:val="center"/>
              <w:rPr>
                <w:rFonts w:ascii="Arial" w:eastAsia="Calibri" w:hAnsi="Arial" w:cs="Arial"/>
                <w:b/>
                <w:u w:val="single"/>
              </w:rPr>
            </w:pPr>
          </w:p>
          <w:p w14:paraId="5A53EB0D" w14:textId="77777777" w:rsidR="00F75018" w:rsidRDefault="00F75018" w:rsidP="00042E94">
            <w:pPr>
              <w:jc w:val="center"/>
              <w:rPr>
                <w:rFonts w:ascii="Arial" w:eastAsia="Calibri" w:hAnsi="Arial" w:cs="Arial"/>
                <w:b/>
                <w:u w:val="single"/>
              </w:rPr>
            </w:pPr>
            <w:r>
              <w:rPr>
                <w:rFonts w:ascii="Arial" w:eastAsia="Calibri" w:hAnsi="Arial" w:cs="Arial"/>
                <w:b/>
                <w:u w:val="single"/>
              </w:rPr>
              <w:t>97.73%</w:t>
            </w:r>
          </w:p>
          <w:p w14:paraId="7B7C91AC" w14:textId="77777777" w:rsidR="00F75018" w:rsidRDefault="00F75018" w:rsidP="00042E94">
            <w:pPr>
              <w:jc w:val="center"/>
              <w:rPr>
                <w:rFonts w:ascii="Arial" w:eastAsia="Calibri" w:hAnsi="Arial" w:cs="Arial"/>
                <w:b/>
                <w:u w:val="single"/>
              </w:rPr>
            </w:pPr>
            <w:r>
              <w:rPr>
                <w:rFonts w:ascii="Arial" w:eastAsia="Calibri" w:hAnsi="Arial" w:cs="Arial"/>
                <w:b/>
                <w:u w:val="single"/>
              </w:rPr>
              <w:t>0</w:t>
            </w:r>
          </w:p>
          <w:p w14:paraId="1FB0A3D3" w14:textId="5F9B8493" w:rsidR="00F75018" w:rsidRDefault="00F75018" w:rsidP="00042E94">
            <w:pPr>
              <w:jc w:val="center"/>
              <w:rPr>
                <w:rFonts w:ascii="Arial" w:eastAsia="Calibri" w:hAnsi="Arial" w:cs="Arial"/>
                <w:b/>
                <w:u w:val="single"/>
              </w:rPr>
            </w:pPr>
            <w:r>
              <w:rPr>
                <w:rFonts w:ascii="Arial" w:eastAsia="Calibri" w:hAnsi="Arial" w:cs="Arial"/>
                <w:b/>
                <w:u w:val="single"/>
              </w:rPr>
              <w:t>97.73%</w:t>
            </w:r>
          </w:p>
        </w:tc>
      </w:tr>
      <w:tr w:rsidR="00F15082" w:rsidRPr="004B1294" w14:paraId="05B658B0" w14:textId="77777777" w:rsidTr="00042E94">
        <w:tc>
          <w:tcPr>
            <w:tcW w:w="1550" w:type="dxa"/>
          </w:tcPr>
          <w:p w14:paraId="062DF302" w14:textId="550CF6EE" w:rsidR="00F15082" w:rsidRDefault="00F15082" w:rsidP="00042E94">
            <w:pPr>
              <w:jc w:val="center"/>
              <w:rPr>
                <w:rFonts w:ascii="Arial" w:hAnsi="Arial" w:cs="Arial"/>
                <w:b/>
              </w:rPr>
            </w:pPr>
            <w:r>
              <w:rPr>
                <w:rFonts w:ascii="Arial" w:hAnsi="Arial" w:cs="Arial"/>
                <w:b/>
              </w:rPr>
              <w:t>331</w:t>
            </w:r>
          </w:p>
        </w:tc>
        <w:tc>
          <w:tcPr>
            <w:tcW w:w="3255" w:type="dxa"/>
          </w:tcPr>
          <w:p w14:paraId="6399C139" w14:textId="6AC304D5" w:rsidR="00F15082" w:rsidRPr="00F15082" w:rsidRDefault="00F15082" w:rsidP="00F15082">
            <w:pPr>
              <w:jc w:val="both"/>
              <w:rPr>
                <w:rFonts w:ascii="Arial" w:hAnsi="Arial" w:cs="Arial"/>
                <w:b/>
                <w:lang w:val="es-MX"/>
              </w:rPr>
            </w:pPr>
            <w:r w:rsidRPr="00F15082">
              <w:rPr>
                <w:rFonts w:ascii="Arial" w:hAnsi="Arial" w:cs="Arial"/>
                <w:b/>
                <w:lang w:val="es-MX"/>
              </w:rPr>
              <w:t>EMPRESA NACIONAL PROMOTORA DEL DESARROLLO TERRITORIAL S.A. – ENTERRITORIO.</w:t>
            </w:r>
          </w:p>
          <w:p w14:paraId="042CFC8F" w14:textId="77777777" w:rsidR="00F15082" w:rsidRDefault="00F15082" w:rsidP="00F75018">
            <w:pPr>
              <w:jc w:val="both"/>
              <w:rPr>
                <w:rFonts w:ascii="Arial" w:hAnsi="Arial" w:cs="Arial"/>
                <w:b/>
                <w:lang w:val="es-MX"/>
              </w:rPr>
            </w:pPr>
          </w:p>
          <w:p w14:paraId="6D2B3502" w14:textId="77777777" w:rsidR="00F15082" w:rsidRDefault="00F15082" w:rsidP="00F15082">
            <w:pPr>
              <w:jc w:val="both"/>
              <w:rPr>
                <w:rFonts w:ascii="Arial" w:hAnsi="Arial" w:cs="Arial"/>
                <w:b/>
                <w:lang w:val="es-MX"/>
              </w:rPr>
            </w:pPr>
            <w:r>
              <w:rPr>
                <w:rFonts w:ascii="Arial" w:hAnsi="Arial" w:cs="Arial"/>
                <w:b/>
                <w:lang w:val="es-MX"/>
              </w:rPr>
              <w:t>FUNCIONAMIENTO</w:t>
            </w:r>
          </w:p>
          <w:p w14:paraId="2D9D82B1" w14:textId="77777777" w:rsidR="00F15082" w:rsidRDefault="00F15082" w:rsidP="00F15082">
            <w:pPr>
              <w:jc w:val="both"/>
              <w:rPr>
                <w:rFonts w:ascii="Arial" w:hAnsi="Arial" w:cs="Arial"/>
                <w:b/>
                <w:lang w:val="es-MX"/>
              </w:rPr>
            </w:pPr>
            <w:r>
              <w:rPr>
                <w:rFonts w:ascii="Arial" w:hAnsi="Arial" w:cs="Arial"/>
                <w:b/>
                <w:lang w:val="es-MX"/>
              </w:rPr>
              <w:t>INVERSIÓN</w:t>
            </w:r>
          </w:p>
          <w:p w14:paraId="0EAB889C" w14:textId="77777777" w:rsidR="00F15082" w:rsidRDefault="00F15082" w:rsidP="00F15082">
            <w:pPr>
              <w:jc w:val="both"/>
              <w:rPr>
                <w:rFonts w:ascii="Arial" w:hAnsi="Arial" w:cs="Arial"/>
                <w:b/>
                <w:lang w:val="es-MX"/>
              </w:rPr>
            </w:pPr>
          </w:p>
          <w:p w14:paraId="2BD04B66" w14:textId="65A48703" w:rsidR="00F15082" w:rsidRPr="00F75018" w:rsidRDefault="00F15082" w:rsidP="00F15082">
            <w:pPr>
              <w:jc w:val="both"/>
              <w:rPr>
                <w:rFonts w:ascii="Arial" w:hAnsi="Arial" w:cs="Arial"/>
                <w:b/>
                <w:lang w:val="es-MX"/>
              </w:rPr>
            </w:pPr>
            <w:r>
              <w:rPr>
                <w:rFonts w:ascii="Arial" w:hAnsi="Arial" w:cs="Arial"/>
                <w:b/>
                <w:lang w:val="es-MX"/>
              </w:rPr>
              <w:t>TOTAL PRESUPUESTO</w:t>
            </w:r>
          </w:p>
        </w:tc>
        <w:tc>
          <w:tcPr>
            <w:tcW w:w="1839" w:type="dxa"/>
          </w:tcPr>
          <w:p w14:paraId="0ECF2101" w14:textId="77777777" w:rsidR="00F15082" w:rsidRDefault="00F15082" w:rsidP="00042E94">
            <w:pPr>
              <w:jc w:val="center"/>
              <w:rPr>
                <w:rFonts w:ascii="Arial" w:eastAsia="Calibri" w:hAnsi="Arial" w:cs="Arial"/>
                <w:b/>
                <w:u w:val="single"/>
              </w:rPr>
            </w:pPr>
          </w:p>
          <w:p w14:paraId="5CC4E510" w14:textId="77777777" w:rsidR="00F15082" w:rsidRDefault="00F15082" w:rsidP="00042E94">
            <w:pPr>
              <w:jc w:val="center"/>
              <w:rPr>
                <w:rFonts w:ascii="Arial" w:eastAsia="Calibri" w:hAnsi="Arial" w:cs="Arial"/>
                <w:b/>
                <w:u w:val="single"/>
              </w:rPr>
            </w:pPr>
          </w:p>
          <w:p w14:paraId="78525504" w14:textId="77777777" w:rsidR="00F15082" w:rsidRDefault="00F15082" w:rsidP="00042E94">
            <w:pPr>
              <w:jc w:val="center"/>
              <w:rPr>
                <w:rFonts w:ascii="Arial" w:eastAsia="Calibri" w:hAnsi="Arial" w:cs="Arial"/>
                <w:b/>
                <w:u w:val="single"/>
              </w:rPr>
            </w:pPr>
          </w:p>
          <w:p w14:paraId="1EAEEAAA" w14:textId="77777777" w:rsidR="00F15082" w:rsidRDefault="00F15082" w:rsidP="00042E94">
            <w:pPr>
              <w:jc w:val="center"/>
              <w:rPr>
                <w:rFonts w:ascii="Arial" w:eastAsia="Calibri" w:hAnsi="Arial" w:cs="Arial"/>
                <w:b/>
                <w:u w:val="single"/>
              </w:rPr>
            </w:pPr>
          </w:p>
          <w:p w14:paraId="19085F24" w14:textId="77777777" w:rsidR="00F15082" w:rsidRDefault="00F15082" w:rsidP="00042E94">
            <w:pPr>
              <w:jc w:val="center"/>
              <w:rPr>
                <w:rFonts w:ascii="Arial" w:eastAsia="Calibri" w:hAnsi="Arial" w:cs="Arial"/>
                <w:b/>
                <w:u w:val="single"/>
              </w:rPr>
            </w:pPr>
          </w:p>
          <w:p w14:paraId="789796D9" w14:textId="0D4D38F3" w:rsidR="00F15082" w:rsidRDefault="00F15082" w:rsidP="00042E94">
            <w:pPr>
              <w:jc w:val="center"/>
              <w:rPr>
                <w:rFonts w:ascii="Arial" w:eastAsia="Calibri" w:hAnsi="Arial" w:cs="Arial"/>
                <w:b/>
                <w:u w:val="single"/>
              </w:rPr>
            </w:pPr>
            <w:r>
              <w:rPr>
                <w:rFonts w:ascii="Arial" w:eastAsia="Calibri" w:hAnsi="Arial" w:cs="Arial"/>
                <w:b/>
                <w:u w:val="single"/>
              </w:rPr>
              <w:t>75.00%</w:t>
            </w:r>
          </w:p>
          <w:p w14:paraId="2685DA42" w14:textId="126E61C8" w:rsidR="00F15082" w:rsidRDefault="00F15082" w:rsidP="00042E94">
            <w:pPr>
              <w:jc w:val="center"/>
              <w:rPr>
                <w:rFonts w:ascii="Arial" w:eastAsia="Calibri" w:hAnsi="Arial" w:cs="Arial"/>
                <w:b/>
                <w:u w:val="single"/>
              </w:rPr>
            </w:pPr>
            <w:r>
              <w:rPr>
                <w:rFonts w:ascii="Arial" w:eastAsia="Calibri" w:hAnsi="Arial" w:cs="Arial"/>
                <w:b/>
                <w:u w:val="single"/>
              </w:rPr>
              <w:t>100.00%</w:t>
            </w:r>
          </w:p>
          <w:p w14:paraId="1FEC39BD" w14:textId="77777777" w:rsidR="00F15082" w:rsidRDefault="00F15082" w:rsidP="00042E94">
            <w:pPr>
              <w:jc w:val="center"/>
              <w:rPr>
                <w:rFonts w:ascii="Arial" w:eastAsia="Calibri" w:hAnsi="Arial" w:cs="Arial"/>
                <w:b/>
                <w:u w:val="single"/>
              </w:rPr>
            </w:pPr>
          </w:p>
          <w:p w14:paraId="70E96051" w14:textId="26CE9FEA" w:rsidR="00F15082" w:rsidRDefault="00F15082" w:rsidP="00042E94">
            <w:pPr>
              <w:jc w:val="center"/>
              <w:rPr>
                <w:rFonts w:ascii="Arial" w:eastAsia="Calibri" w:hAnsi="Arial" w:cs="Arial"/>
                <w:b/>
                <w:u w:val="single"/>
              </w:rPr>
            </w:pPr>
            <w:r>
              <w:rPr>
                <w:rFonts w:ascii="Arial" w:eastAsia="Calibri" w:hAnsi="Arial" w:cs="Arial"/>
                <w:b/>
                <w:u w:val="single"/>
              </w:rPr>
              <w:t>75.00%</w:t>
            </w:r>
          </w:p>
        </w:tc>
        <w:tc>
          <w:tcPr>
            <w:tcW w:w="1804" w:type="dxa"/>
          </w:tcPr>
          <w:p w14:paraId="6FC2930F" w14:textId="77777777" w:rsidR="00F15082" w:rsidRDefault="00F15082" w:rsidP="00042E94">
            <w:pPr>
              <w:jc w:val="center"/>
              <w:rPr>
                <w:rFonts w:ascii="Arial" w:eastAsia="Calibri" w:hAnsi="Arial" w:cs="Arial"/>
                <w:b/>
                <w:u w:val="single"/>
              </w:rPr>
            </w:pPr>
          </w:p>
          <w:p w14:paraId="6E7D5DA3" w14:textId="77777777" w:rsidR="00F15082" w:rsidRDefault="00F15082" w:rsidP="00042E94">
            <w:pPr>
              <w:jc w:val="center"/>
              <w:rPr>
                <w:rFonts w:ascii="Arial" w:eastAsia="Calibri" w:hAnsi="Arial" w:cs="Arial"/>
                <w:b/>
                <w:u w:val="single"/>
              </w:rPr>
            </w:pPr>
          </w:p>
          <w:p w14:paraId="0907E04E" w14:textId="77777777" w:rsidR="00F15082" w:rsidRDefault="00F15082" w:rsidP="00042E94">
            <w:pPr>
              <w:jc w:val="center"/>
              <w:rPr>
                <w:rFonts w:ascii="Arial" w:eastAsia="Calibri" w:hAnsi="Arial" w:cs="Arial"/>
                <w:b/>
                <w:u w:val="single"/>
              </w:rPr>
            </w:pPr>
          </w:p>
          <w:p w14:paraId="473D170E" w14:textId="77777777" w:rsidR="00F15082" w:rsidRDefault="00F15082" w:rsidP="00042E94">
            <w:pPr>
              <w:jc w:val="center"/>
              <w:rPr>
                <w:rFonts w:ascii="Arial" w:eastAsia="Calibri" w:hAnsi="Arial" w:cs="Arial"/>
                <w:b/>
                <w:u w:val="single"/>
              </w:rPr>
            </w:pPr>
          </w:p>
          <w:p w14:paraId="6EA4751B" w14:textId="77777777" w:rsidR="00F15082" w:rsidRDefault="00F15082" w:rsidP="00042E94">
            <w:pPr>
              <w:jc w:val="center"/>
              <w:rPr>
                <w:rFonts w:ascii="Arial" w:eastAsia="Calibri" w:hAnsi="Arial" w:cs="Arial"/>
                <w:b/>
                <w:u w:val="single"/>
              </w:rPr>
            </w:pPr>
          </w:p>
          <w:p w14:paraId="0B3DA6BF" w14:textId="1C827F6B" w:rsidR="00F15082" w:rsidRDefault="00F15082" w:rsidP="00042E94">
            <w:pPr>
              <w:jc w:val="center"/>
              <w:rPr>
                <w:rFonts w:ascii="Arial" w:eastAsia="Calibri" w:hAnsi="Arial" w:cs="Arial"/>
                <w:b/>
                <w:u w:val="single"/>
              </w:rPr>
            </w:pPr>
            <w:r>
              <w:rPr>
                <w:rFonts w:ascii="Arial" w:eastAsia="Calibri" w:hAnsi="Arial" w:cs="Arial"/>
                <w:b/>
                <w:u w:val="single"/>
              </w:rPr>
              <w:t>25.00%</w:t>
            </w:r>
          </w:p>
          <w:p w14:paraId="7939AC79" w14:textId="6F103D3D" w:rsidR="00F15082" w:rsidRDefault="00F15082" w:rsidP="00042E94">
            <w:pPr>
              <w:jc w:val="center"/>
              <w:rPr>
                <w:rFonts w:ascii="Arial" w:eastAsia="Calibri" w:hAnsi="Arial" w:cs="Arial"/>
                <w:b/>
                <w:u w:val="single"/>
              </w:rPr>
            </w:pPr>
            <w:r>
              <w:rPr>
                <w:rFonts w:ascii="Arial" w:eastAsia="Calibri" w:hAnsi="Arial" w:cs="Arial"/>
                <w:b/>
                <w:u w:val="single"/>
              </w:rPr>
              <w:t>12.00%</w:t>
            </w:r>
          </w:p>
          <w:p w14:paraId="57C7F9D3" w14:textId="77777777" w:rsidR="00F15082" w:rsidRDefault="00F15082" w:rsidP="00042E94">
            <w:pPr>
              <w:jc w:val="center"/>
              <w:rPr>
                <w:rFonts w:ascii="Arial" w:eastAsia="Calibri" w:hAnsi="Arial" w:cs="Arial"/>
                <w:b/>
                <w:u w:val="single"/>
              </w:rPr>
            </w:pPr>
          </w:p>
          <w:p w14:paraId="44210294" w14:textId="68614E43" w:rsidR="00F15082" w:rsidRDefault="00F15082" w:rsidP="00042E94">
            <w:pPr>
              <w:jc w:val="center"/>
              <w:rPr>
                <w:rFonts w:ascii="Arial" w:eastAsia="Calibri" w:hAnsi="Arial" w:cs="Arial"/>
                <w:b/>
                <w:u w:val="single"/>
              </w:rPr>
            </w:pPr>
            <w:r>
              <w:rPr>
                <w:rFonts w:ascii="Arial" w:eastAsia="Calibri" w:hAnsi="Arial" w:cs="Arial"/>
                <w:b/>
                <w:u w:val="single"/>
              </w:rPr>
              <w:t>25.00%</w:t>
            </w:r>
          </w:p>
        </w:tc>
        <w:tc>
          <w:tcPr>
            <w:tcW w:w="2042" w:type="dxa"/>
          </w:tcPr>
          <w:p w14:paraId="4B323722" w14:textId="77777777" w:rsidR="00F15082" w:rsidRDefault="00F15082" w:rsidP="00042E94">
            <w:pPr>
              <w:jc w:val="center"/>
              <w:rPr>
                <w:rFonts w:ascii="Arial" w:eastAsia="Calibri" w:hAnsi="Arial" w:cs="Arial"/>
                <w:b/>
                <w:u w:val="single"/>
              </w:rPr>
            </w:pPr>
          </w:p>
          <w:p w14:paraId="462D21F2" w14:textId="77777777" w:rsidR="00F15082" w:rsidRDefault="00F15082" w:rsidP="00042E94">
            <w:pPr>
              <w:jc w:val="center"/>
              <w:rPr>
                <w:rFonts w:ascii="Arial" w:eastAsia="Calibri" w:hAnsi="Arial" w:cs="Arial"/>
                <w:b/>
                <w:u w:val="single"/>
              </w:rPr>
            </w:pPr>
          </w:p>
          <w:p w14:paraId="582C85B0" w14:textId="77777777" w:rsidR="00F15082" w:rsidRDefault="00F15082" w:rsidP="00042E94">
            <w:pPr>
              <w:jc w:val="center"/>
              <w:rPr>
                <w:rFonts w:ascii="Arial" w:eastAsia="Calibri" w:hAnsi="Arial" w:cs="Arial"/>
                <w:b/>
                <w:u w:val="single"/>
              </w:rPr>
            </w:pPr>
          </w:p>
          <w:p w14:paraId="59220A7D" w14:textId="77777777" w:rsidR="00F15082" w:rsidRDefault="00F15082" w:rsidP="00042E94">
            <w:pPr>
              <w:jc w:val="center"/>
              <w:rPr>
                <w:rFonts w:ascii="Arial" w:eastAsia="Calibri" w:hAnsi="Arial" w:cs="Arial"/>
                <w:b/>
                <w:u w:val="single"/>
              </w:rPr>
            </w:pPr>
          </w:p>
          <w:p w14:paraId="417DC82B" w14:textId="77777777" w:rsidR="00F15082" w:rsidRDefault="00F15082" w:rsidP="00042E94">
            <w:pPr>
              <w:jc w:val="center"/>
              <w:rPr>
                <w:rFonts w:ascii="Arial" w:eastAsia="Calibri" w:hAnsi="Arial" w:cs="Arial"/>
                <w:b/>
                <w:u w:val="single"/>
              </w:rPr>
            </w:pPr>
          </w:p>
          <w:p w14:paraId="7120ED92" w14:textId="664F330C" w:rsidR="00F15082" w:rsidRDefault="00F15082" w:rsidP="00042E94">
            <w:pPr>
              <w:jc w:val="center"/>
              <w:rPr>
                <w:rFonts w:ascii="Arial" w:eastAsia="Calibri" w:hAnsi="Arial" w:cs="Arial"/>
                <w:b/>
                <w:u w:val="single"/>
              </w:rPr>
            </w:pPr>
            <w:r>
              <w:rPr>
                <w:rFonts w:ascii="Arial" w:eastAsia="Calibri" w:hAnsi="Arial" w:cs="Arial"/>
                <w:b/>
                <w:u w:val="single"/>
              </w:rPr>
              <w:t>25.00%</w:t>
            </w:r>
          </w:p>
          <w:p w14:paraId="4F3C2561" w14:textId="5F1BA368" w:rsidR="00F15082" w:rsidRDefault="00F15082" w:rsidP="00042E94">
            <w:pPr>
              <w:jc w:val="center"/>
              <w:rPr>
                <w:rFonts w:ascii="Arial" w:eastAsia="Calibri" w:hAnsi="Arial" w:cs="Arial"/>
                <w:b/>
                <w:u w:val="single"/>
              </w:rPr>
            </w:pPr>
            <w:r>
              <w:rPr>
                <w:rFonts w:ascii="Arial" w:eastAsia="Calibri" w:hAnsi="Arial" w:cs="Arial"/>
                <w:b/>
                <w:u w:val="single"/>
              </w:rPr>
              <w:t>12.00%</w:t>
            </w:r>
          </w:p>
          <w:p w14:paraId="46F25EAF" w14:textId="77777777" w:rsidR="00F15082" w:rsidRDefault="00F15082" w:rsidP="00042E94">
            <w:pPr>
              <w:jc w:val="center"/>
              <w:rPr>
                <w:rFonts w:ascii="Arial" w:eastAsia="Calibri" w:hAnsi="Arial" w:cs="Arial"/>
                <w:b/>
                <w:u w:val="single"/>
              </w:rPr>
            </w:pPr>
          </w:p>
          <w:p w14:paraId="416CCB0C" w14:textId="16FBF61A" w:rsidR="00F15082" w:rsidRDefault="00F15082" w:rsidP="00042E94">
            <w:pPr>
              <w:jc w:val="center"/>
              <w:rPr>
                <w:rFonts w:ascii="Arial" w:eastAsia="Calibri" w:hAnsi="Arial" w:cs="Arial"/>
                <w:b/>
                <w:u w:val="single"/>
              </w:rPr>
            </w:pPr>
            <w:r>
              <w:rPr>
                <w:rFonts w:ascii="Arial" w:eastAsia="Calibri" w:hAnsi="Arial" w:cs="Arial"/>
                <w:b/>
                <w:u w:val="single"/>
              </w:rPr>
              <w:t>25.00%</w:t>
            </w:r>
          </w:p>
        </w:tc>
      </w:tr>
      <w:tr w:rsidR="00F42BF4" w:rsidRPr="004B1294" w14:paraId="431FF961" w14:textId="77777777" w:rsidTr="00042E94">
        <w:tc>
          <w:tcPr>
            <w:tcW w:w="1550" w:type="dxa"/>
          </w:tcPr>
          <w:p w14:paraId="72C676BC" w14:textId="10062275" w:rsidR="00F42BF4" w:rsidRDefault="00F42BF4" w:rsidP="00042E94">
            <w:pPr>
              <w:jc w:val="center"/>
              <w:rPr>
                <w:rFonts w:ascii="Arial" w:hAnsi="Arial" w:cs="Arial"/>
                <w:b/>
              </w:rPr>
            </w:pPr>
            <w:r>
              <w:rPr>
                <w:rFonts w:ascii="Arial" w:hAnsi="Arial" w:cs="Arial"/>
                <w:b/>
              </w:rPr>
              <w:t>332</w:t>
            </w:r>
          </w:p>
        </w:tc>
        <w:tc>
          <w:tcPr>
            <w:tcW w:w="3255" w:type="dxa"/>
          </w:tcPr>
          <w:p w14:paraId="50AAF7FD" w14:textId="6E391D5E" w:rsidR="00F42BF4" w:rsidRPr="00F42BF4" w:rsidRDefault="00F42BF4" w:rsidP="00F42BF4">
            <w:pPr>
              <w:jc w:val="both"/>
              <w:rPr>
                <w:rFonts w:ascii="Arial" w:hAnsi="Arial" w:cs="Arial"/>
                <w:b/>
                <w:lang w:val="es-MX"/>
              </w:rPr>
            </w:pPr>
            <w:r w:rsidRPr="00F42BF4">
              <w:rPr>
                <w:rFonts w:ascii="Arial" w:hAnsi="Arial" w:cs="Arial"/>
                <w:b/>
                <w:lang w:val="es-MX"/>
              </w:rPr>
              <w:t xml:space="preserve">MINISTERIO DE RELACIONES EXTERIORES. </w:t>
            </w:r>
          </w:p>
          <w:p w14:paraId="4E88B597" w14:textId="77777777" w:rsidR="00F42BF4" w:rsidRDefault="00F42BF4" w:rsidP="00F15082">
            <w:pPr>
              <w:jc w:val="both"/>
              <w:rPr>
                <w:rFonts w:ascii="Arial" w:hAnsi="Arial" w:cs="Arial"/>
                <w:b/>
                <w:lang w:val="es-MX"/>
              </w:rPr>
            </w:pPr>
          </w:p>
          <w:p w14:paraId="27FF53F9" w14:textId="77777777" w:rsidR="00F42BF4" w:rsidRDefault="00F42BF4" w:rsidP="00F42BF4">
            <w:pPr>
              <w:jc w:val="both"/>
              <w:rPr>
                <w:rFonts w:ascii="Arial" w:hAnsi="Arial" w:cs="Arial"/>
                <w:b/>
                <w:lang w:val="es-MX"/>
              </w:rPr>
            </w:pPr>
            <w:r>
              <w:rPr>
                <w:rFonts w:ascii="Arial" w:hAnsi="Arial" w:cs="Arial"/>
                <w:b/>
                <w:lang w:val="es-MX"/>
              </w:rPr>
              <w:t>FUNCIONAMIENTO</w:t>
            </w:r>
          </w:p>
          <w:p w14:paraId="09455173" w14:textId="77777777" w:rsidR="00F42BF4" w:rsidRDefault="00F42BF4" w:rsidP="00F42BF4">
            <w:pPr>
              <w:jc w:val="both"/>
              <w:rPr>
                <w:rFonts w:ascii="Arial" w:hAnsi="Arial" w:cs="Arial"/>
                <w:b/>
                <w:lang w:val="es-MX"/>
              </w:rPr>
            </w:pPr>
            <w:r>
              <w:rPr>
                <w:rFonts w:ascii="Arial" w:hAnsi="Arial" w:cs="Arial"/>
                <w:b/>
                <w:lang w:val="es-MX"/>
              </w:rPr>
              <w:t>INVERSIÓN</w:t>
            </w:r>
          </w:p>
          <w:p w14:paraId="43526206" w14:textId="77777777" w:rsidR="00F42BF4" w:rsidRDefault="00F42BF4" w:rsidP="00F42BF4">
            <w:pPr>
              <w:jc w:val="both"/>
              <w:rPr>
                <w:rFonts w:ascii="Arial" w:hAnsi="Arial" w:cs="Arial"/>
                <w:b/>
                <w:lang w:val="es-MX"/>
              </w:rPr>
            </w:pPr>
          </w:p>
          <w:p w14:paraId="42C608A0" w14:textId="4A875154" w:rsidR="00F42BF4" w:rsidRPr="00F15082" w:rsidRDefault="00F42BF4" w:rsidP="00F42BF4">
            <w:pPr>
              <w:jc w:val="both"/>
              <w:rPr>
                <w:rFonts w:ascii="Arial" w:hAnsi="Arial" w:cs="Arial"/>
                <w:b/>
                <w:lang w:val="es-MX"/>
              </w:rPr>
            </w:pPr>
            <w:r>
              <w:rPr>
                <w:rFonts w:ascii="Arial" w:hAnsi="Arial" w:cs="Arial"/>
                <w:b/>
                <w:lang w:val="es-MX"/>
              </w:rPr>
              <w:t>TOTAL PRESUPUESTO</w:t>
            </w:r>
          </w:p>
        </w:tc>
        <w:tc>
          <w:tcPr>
            <w:tcW w:w="1839" w:type="dxa"/>
          </w:tcPr>
          <w:p w14:paraId="31EBCFA2" w14:textId="77777777" w:rsidR="00F42BF4" w:rsidRDefault="00F42BF4" w:rsidP="00042E94">
            <w:pPr>
              <w:jc w:val="center"/>
              <w:rPr>
                <w:rFonts w:ascii="Arial" w:eastAsia="Calibri" w:hAnsi="Arial" w:cs="Arial"/>
                <w:b/>
                <w:u w:val="single"/>
              </w:rPr>
            </w:pPr>
          </w:p>
          <w:p w14:paraId="782C96BE" w14:textId="77777777" w:rsidR="00F42BF4" w:rsidRDefault="00F42BF4" w:rsidP="00042E94">
            <w:pPr>
              <w:jc w:val="center"/>
              <w:rPr>
                <w:rFonts w:ascii="Arial" w:eastAsia="Calibri" w:hAnsi="Arial" w:cs="Arial"/>
                <w:b/>
                <w:u w:val="single"/>
              </w:rPr>
            </w:pPr>
          </w:p>
          <w:p w14:paraId="2B3D7173" w14:textId="77777777" w:rsidR="00F42BF4" w:rsidRDefault="00F42BF4" w:rsidP="00042E94">
            <w:pPr>
              <w:jc w:val="center"/>
              <w:rPr>
                <w:rFonts w:ascii="Arial" w:eastAsia="Calibri" w:hAnsi="Arial" w:cs="Arial"/>
                <w:b/>
                <w:u w:val="single"/>
              </w:rPr>
            </w:pPr>
          </w:p>
          <w:p w14:paraId="030401D9" w14:textId="19B6754A" w:rsidR="00F42BF4" w:rsidRDefault="00F42BF4" w:rsidP="00042E94">
            <w:pPr>
              <w:jc w:val="center"/>
              <w:rPr>
                <w:rFonts w:ascii="Arial" w:eastAsia="Calibri" w:hAnsi="Arial" w:cs="Arial"/>
                <w:b/>
                <w:u w:val="single"/>
              </w:rPr>
            </w:pPr>
            <w:r>
              <w:rPr>
                <w:rFonts w:ascii="Arial" w:eastAsia="Calibri" w:hAnsi="Arial" w:cs="Arial"/>
                <w:b/>
                <w:u w:val="single"/>
              </w:rPr>
              <w:t>94.00%</w:t>
            </w:r>
          </w:p>
          <w:p w14:paraId="5CEA008E" w14:textId="5E5B3716" w:rsidR="00F42BF4" w:rsidRDefault="00F42BF4" w:rsidP="00042E94">
            <w:pPr>
              <w:jc w:val="center"/>
              <w:rPr>
                <w:rFonts w:ascii="Arial" w:eastAsia="Calibri" w:hAnsi="Arial" w:cs="Arial"/>
                <w:b/>
                <w:u w:val="single"/>
              </w:rPr>
            </w:pPr>
            <w:r>
              <w:rPr>
                <w:rFonts w:ascii="Arial" w:eastAsia="Calibri" w:hAnsi="Arial" w:cs="Arial"/>
                <w:b/>
                <w:u w:val="single"/>
              </w:rPr>
              <w:t>0</w:t>
            </w:r>
          </w:p>
          <w:p w14:paraId="498A7C26" w14:textId="77777777" w:rsidR="00F42BF4" w:rsidRDefault="00F42BF4" w:rsidP="00042E94">
            <w:pPr>
              <w:jc w:val="center"/>
              <w:rPr>
                <w:rFonts w:ascii="Arial" w:eastAsia="Calibri" w:hAnsi="Arial" w:cs="Arial"/>
                <w:b/>
                <w:u w:val="single"/>
              </w:rPr>
            </w:pPr>
          </w:p>
          <w:p w14:paraId="4245C58E" w14:textId="21F252F9" w:rsidR="00F42BF4" w:rsidRDefault="00F42BF4" w:rsidP="00042E94">
            <w:pPr>
              <w:jc w:val="center"/>
              <w:rPr>
                <w:rFonts w:ascii="Arial" w:eastAsia="Calibri" w:hAnsi="Arial" w:cs="Arial"/>
                <w:b/>
                <w:u w:val="single"/>
              </w:rPr>
            </w:pPr>
            <w:r>
              <w:rPr>
                <w:rFonts w:ascii="Arial" w:eastAsia="Calibri" w:hAnsi="Arial" w:cs="Arial"/>
                <w:b/>
                <w:u w:val="single"/>
              </w:rPr>
              <w:t>94.00%</w:t>
            </w:r>
          </w:p>
        </w:tc>
        <w:tc>
          <w:tcPr>
            <w:tcW w:w="1804" w:type="dxa"/>
          </w:tcPr>
          <w:p w14:paraId="6937F71C" w14:textId="77777777" w:rsidR="00F42BF4" w:rsidRDefault="00F42BF4" w:rsidP="00042E94">
            <w:pPr>
              <w:jc w:val="center"/>
              <w:rPr>
                <w:rFonts w:ascii="Arial" w:eastAsia="Calibri" w:hAnsi="Arial" w:cs="Arial"/>
                <w:b/>
                <w:u w:val="single"/>
              </w:rPr>
            </w:pPr>
          </w:p>
          <w:p w14:paraId="6654FBAB" w14:textId="77777777" w:rsidR="00F42BF4" w:rsidRDefault="00F42BF4" w:rsidP="00042E94">
            <w:pPr>
              <w:jc w:val="center"/>
              <w:rPr>
                <w:rFonts w:ascii="Arial" w:eastAsia="Calibri" w:hAnsi="Arial" w:cs="Arial"/>
                <w:b/>
                <w:u w:val="single"/>
              </w:rPr>
            </w:pPr>
          </w:p>
          <w:p w14:paraId="65B232E0" w14:textId="77777777" w:rsidR="00F42BF4" w:rsidRDefault="00F42BF4" w:rsidP="00042E94">
            <w:pPr>
              <w:jc w:val="center"/>
              <w:rPr>
                <w:rFonts w:ascii="Arial" w:eastAsia="Calibri" w:hAnsi="Arial" w:cs="Arial"/>
                <w:b/>
                <w:u w:val="single"/>
              </w:rPr>
            </w:pPr>
          </w:p>
          <w:p w14:paraId="1A55A973" w14:textId="77777777" w:rsidR="00F42BF4" w:rsidRDefault="00F42BF4" w:rsidP="00F42BF4">
            <w:pPr>
              <w:jc w:val="center"/>
              <w:rPr>
                <w:rFonts w:ascii="Arial" w:eastAsia="Calibri" w:hAnsi="Arial" w:cs="Arial"/>
                <w:b/>
                <w:u w:val="single"/>
              </w:rPr>
            </w:pPr>
            <w:r>
              <w:rPr>
                <w:rFonts w:ascii="Arial" w:eastAsia="Calibri" w:hAnsi="Arial" w:cs="Arial"/>
                <w:b/>
                <w:u w:val="single"/>
              </w:rPr>
              <w:t>94.00%</w:t>
            </w:r>
          </w:p>
          <w:p w14:paraId="63526808" w14:textId="77777777" w:rsidR="00F42BF4" w:rsidRDefault="00F42BF4" w:rsidP="00F42BF4">
            <w:pPr>
              <w:jc w:val="center"/>
              <w:rPr>
                <w:rFonts w:ascii="Arial" w:eastAsia="Calibri" w:hAnsi="Arial" w:cs="Arial"/>
                <w:b/>
                <w:u w:val="single"/>
              </w:rPr>
            </w:pPr>
            <w:r>
              <w:rPr>
                <w:rFonts w:ascii="Arial" w:eastAsia="Calibri" w:hAnsi="Arial" w:cs="Arial"/>
                <w:b/>
                <w:u w:val="single"/>
              </w:rPr>
              <w:t>0</w:t>
            </w:r>
          </w:p>
          <w:p w14:paraId="6B6DF124" w14:textId="77777777" w:rsidR="00F42BF4" w:rsidRDefault="00F42BF4" w:rsidP="00F42BF4">
            <w:pPr>
              <w:jc w:val="center"/>
              <w:rPr>
                <w:rFonts w:ascii="Arial" w:eastAsia="Calibri" w:hAnsi="Arial" w:cs="Arial"/>
                <w:b/>
                <w:u w:val="single"/>
              </w:rPr>
            </w:pPr>
          </w:p>
          <w:p w14:paraId="09B8B3DA" w14:textId="6E0FAD67" w:rsidR="00F42BF4" w:rsidRDefault="00F42BF4" w:rsidP="00F42BF4">
            <w:pPr>
              <w:jc w:val="center"/>
              <w:rPr>
                <w:rFonts w:ascii="Arial" w:eastAsia="Calibri" w:hAnsi="Arial" w:cs="Arial"/>
                <w:b/>
                <w:u w:val="single"/>
              </w:rPr>
            </w:pPr>
            <w:r>
              <w:rPr>
                <w:rFonts w:ascii="Arial" w:eastAsia="Calibri" w:hAnsi="Arial" w:cs="Arial"/>
                <w:b/>
                <w:u w:val="single"/>
              </w:rPr>
              <w:t>94.00%</w:t>
            </w:r>
          </w:p>
        </w:tc>
        <w:tc>
          <w:tcPr>
            <w:tcW w:w="2042" w:type="dxa"/>
          </w:tcPr>
          <w:p w14:paraId="1E261D94" w14:textId="77777777" w:rsidR="00F42BF4" w:rsidRDefault="00F42BF4" w:rsidP="00042E94">
            <w:pPr>
              <w:jc w:val="center"/>
              <w:rPr>
                <w:rFonts w:ascii="Arial" w:eastAsia="Calibri" w:hAnsi="Arial" w:cs="Arial"/>
                <w:b/>
                <w:u w:val="single"/>
              </w:rPr>
            </w:pPr>
          </w:p>
          <w:p w14:paraId="5872D0CD" w14:textId="77777777" w:rsidR="00F42BF4" w:rsidRDefault="00F42BF4" w:rsidP="00042E94">
            <w:pPr>
              <w:jc w:val="center"/>
              <w:rPr>
                <w:rFonts w:ascii="Arial" w:eastAsia="Calibri" w:hAnsi="Arial" w:cs="Arial"/>
                <w:b/>
                <w:u w:val="single"/>
              </w:rPr>
            </w:pPr>
          </w:p>
          <w:p w14:paraId="3EF92A78" w14:textId="77777777" w:rsidR="00F42BF4" w:rsidRDefault="00F42BF4" w:rsidP="00042E94">
            <w:pPr>
              <w:jc w:val="center"/>
              <w:rPr>
                <w:rFonts w:ascii="Arial" w:eastAsia="Calibri" w:hAnsi="Arial" w:cs="Arial"/>
                <w:b/>
                <w:u w:val="single"/>
              </w:rPr>
            </w:pPr>
          </w:p>
          <w:p w14:paraId="03C62FF2" w14:textId="006ABAED" w:rsidR="00F42BF4" w:rsidRDefault="00F42BF4" w:rsidP="00F42BF4">
            <w:pPr>
              <w:jc w:val="center"/>
              <w:rPr>
                <w:rFonts w:ascii="Arial" w:eastAsia="Calibri" w:hAnsi="Arial" w:cs="Arial"/>
                <w:b/>
                <w:u w:val="single"/>
              </w:rPr>
            </w:pPr>
            <w:r>
              <w:rPr>
                <w:rFonts w:ascii="Arial" w:eastAsia="Calibri" w:hAnsi="Arial" w:cs="Arial"/>
                <w:b/>
                <w:u w:val="single"/>
              </w:rPr>
              <w:t>93.00%</w:t>
            </w:r>
          </w:p>
          <w:p w14:paraId="6529F8C8" w14:textId="77777777" w:rsidR="00F42BF4" w:rsidRDefault="00F42BF4" w:rsidP="00F42BF4">
            <w:pPr>
              <w:jc w:val="center"/>
              <w:rPr>
                <w:rFonts w:ascii="Arial" w:eastAsia="Calibri" w:hAnsi="Arial" w:cs="Arial"/>
                <w:b/>
                <w:u w:val="single"/>
              </w:rPr>
            </w:pPr>
            <w:r>
              <w:rPr>
                <w:rFonts w:ascii="Arial" w:eastAsia="Calibri" w:hAnsi="Arial" w:cs="Arial"/>
                <w:b/>
                <w:u w:val="single"/>
              </w:rPr>
              <w:t>0</w:t>
            </w:r>
          </w:p>
          <w:p w14:paraId="1639EE65" w14:textId="77777777" w:rsidR="00F42BF4" w:rsidRDefault="00F42BF4" w:rsidP="00F42BF4">
            <w:pPr>
              <w:jc w:val="center"/>
              <w:rPr>
                <w:rFonts w:ascii="Arial" w:eastAsia="Calibri" w:hAnsi="Arial" w:cs="Arial"/>
                <w:b/>
                <w:u w:val="single"/>
              </w:rPr>
            </w:pPr>
          </w:p>
          <w:p w14:paraId="0DD86ED1" w14:textId="0EEAD4A9" w:rsidR="00F42BF4" w:rsidRDefault="00F42BF4" w:rsidP="00F42BF4">
            <w:pPr>
              <w:jc w:val="center"/>
              <w:rPr>
                <w:rFonts w:ascii="Arial" w:eastAsia="Calibri" w:hAnsi="Arial" w:cs="Arial"/>
                <w:b/>
                <w:u w:val="single"/>
              </w:rPr>
            </w:pPr>
            <w:r>
              <w:rPr>
                <w:rFonts w:ascii="Arial" w:eastAsia="Calibri" w:hAnsi="Arial" w:cs="Arial"/>
                <w:b/>
                <w:u w:val="single"/>
              </w:rPr>
              <w:t>93.00%</w:t>
            </w:r>
          </w:p>
        </w:tc>
      </w:tr>
      <w:tr w:rsidR="0094456E" w:rsidRPr="004B1294" w14:paraId="20659B32" w14:textId="77777777" w:rsidTr="00042E94">
        <w:tc>
          <w:tcPr>
            <w:tcW w:w="1550" w:type="dxa"/>
          </w:tcPr>
          <w:p w14:paraId="7E45DE46" w14:textId="07C90C7E" w:rsidR="0094456E" w:rsidRDefault="0094456E" w:rsidP="00042E94">
            <w:pPr>
              <w:jc w:val="center"/>
              <w:rPr>
                <w:rFonts w:ascii="Arial" w:hAnsi="Arial" w:cs="Arial"/>
                <w:b/>
              </w:rPr>
            </w:pPr>
            <w:r>
              <w:rPr>
                <w:rFonts w:ascii="Arial" w:hAnsi="Arial" w:cs="Arial"/>
                <w:b/>
              </w:rPr>
              <w:t>333</w:t>
            </w:r>
          </w:p>
        </w:tc>
        <w:tc>
          <w:tcPr>
            <w:tcW w:w="3255" w:type="dxa"/>
          </w:tcPr>
          <w:p w14:paraId="5F2B6B88" w14:textId="5A386F41" w:rsidR="0094456E" w:rsidRPr="0094456E" w:rsidRDefault="0094456E" w:rsidP="0094456E">
            <w:pPr>
              <w:jc w:val="both"/>
              <w:rPr>
                <w:rFonts w:ascii="Arial" w:hAnsi="Arial" w:cs="Arial"/>
                <w:b/>
                <w:lang w:val="es-MX"/>
              </w:rPr>
            </w:pPr>
            <w:r w:rsidRPr="0094456E">
              <w:rPr>
                <w:rFonts w:ascii="Arial" w:hAnsi="Arial" w:cs="Arial"/>
                <w:b/>
                <w:lang w:val="es-MX"/>
              </w:rPr>
              <w:t>FONDO ROTATORIO DEL MINISTERIO DE RELACIONES EXTERIORES.</w:t>
            </w:r>
          </w:p>
          <w:p w14:paraId="6C5E025E" w14:textId="77777777" w:rsidR="0094456E" w:rsidRDefault="0094456E" w:rsidP="0094456E">
            <w:pPr>
              <w:jc w:val="both"/>
              <w:rPr>
                <w:rFonts w:ascii="Arial" w:hAnsi="Arial" w:cs="Arial"/>
                <w:b/>
                <w:lang w:val="es-MX"/>
              </w:rPr>
            </w:pPr>
          </w:p>
          <w:p w14:paraId="169AE059" w14:textId="77777777" w:rsidR="0094456E" w:rsidRDefault="0094456E" w:rsidP="0094456E">
            <w:pPr>
              <w:jc w:val="both"/>
              <w:rPr>
                <w:rFonts w:ascii="Arial" w:hAnsi="Arial" w:cs="Arial"/>
                <w:b/>
                <w:lang w:val="es-MX"/>
              </w:rPr>
            </w:pPr>
            <w:r>
              <w:rPr>
                <w:rFonts w:ascii="Arial" w:hAnsi="Arial" w:cs="Arial"/>
                <w:b/>
                <w:lang w:val="es-MX"/>
              </w:rPr>
              <w:t>FUNCIONAMIENTO</w:t>
            </w:r>
          </w:p>
          <w:p w14:paraId="4E9D76EB" w14:textId="77777777" w:rsidR="0094456E" w:rsidRDefault="0094456E" w:rsidP="0094456E">
            <w:pPr>
              <w:jc w:val="both"/>
              <w:rPr>
                <w:rFonts w:ascii="Arial" w:hAnsi="Arial" w:cs="Arial"/>
                <w:b/>
                <w:lang w:val="es-MX"/>
              </w:rPr>
            </w:pPr>
            <w:r>
              <w:rPr>
                <w:rFonts w:ascii="Arial" w:hAnsi="Arial" w:cs="Arial"/>
                <w:b/>
                <w:lang w:val="es-MX"/>
              </w:rPr>
              <w:t>INVERSIÓN</w:t>
            </w:r>
          </w:p>
          <w:p w14:paraId="09E8053E" w14:textId="77777777" w:rsidR="0094456E" w:rsidRDefault="0094456E" w:rsidP="0094456E">
            <w:pPr>
              <w:jc w:val="both"/>
              <w:rPr>
                <w:rFonts w:ascii="Arial" w:hAnsi="Arial" w:cs="Arial"/>
                <w:b/>
                <w:lang w:val="es-MX"/>
              </w:rPr>
            </w:pPr>
          </w:p>
          <w:p w14:paraId="596D129F" w14:textId="251DD645" w:rsidR="0094456E" w:rsidRPr="00F42BF4" w:rsidRDefault="0094456E" w:rsidP="0094456E">
            <w:pPr>
              <w:jc w:val="both"/>
              <w:rPr>
                <w:rFonts w:ascii="Arial" w:hAnsi="Arial" w:cs="Arial"/>
                <w:b/>
                <w:lang w:val="es-MX"/>
              </w:rPr>
            </w:pPr>
            <w:r>
              <w:rPr>
                <w:rFonts w:ascii="Arial" w:hAnsi="Arial" w:cs="Arial"/>
                <w:b/>
                <w:lang w:val="es-MX"/>
              </w:rPr>
              <w:t>TOTAL PRESUPUESTO</w:t>
            </w:r>
          </w:p>
        </w:tc>
        <w:tc>
          <w:tcPr>
            <w:tcW w:w="1839" w:type="dxa"/>
          </w:tcPr>
          <w:p w14:paraId="5314F2BB" w14:textId="77777777" w:rsidR="0094456E" w:rsidRDefault="0094456E" w:rsidP="00042E94">
            <w:pPr>
              <w:jc w:val="center"/>
              <w:rPr>
                <w:rFonts w:ascii="Arial" w:eastAsia="Calibri" w:hAnsi="Arial" w:cs="Arial"/>
                <w:b/>
                <w:u w:val="single"/>
              </w:rPr>
            </w:pPr>
          </w:p>
          <w:p w14:paraId="74FA9989" w14:textId="77777777" w:rsidR="0094456E" w:rsidRDefault="0094456E" w:rsidP="00042E94">
            <w:pPr>
              <w:jc w:val="center"/>
              <w:rPr>
                <w:rFonts w:ascii="Arial" w:eastAsia="Calibri" w:hAnsi="Arial" w:cs="Arial"/>
                <w:b/>
                <w:u w:val="single"/>
              </w:rPr>
            </w:pPr>
          </w:p>
          <w:p w14:paraId="5279E8C0" w14:textId="77777777" w:rsidR="0094456E" w:rsidRDefault="0094456E" w:rsidP="00042E94">
            <w:pPr>
              <w:jc w:val="center"/>
              <w:rPr>
                <w:rFonts w:ascii="Arial" w:eastAsia="Calibri" w:hAnsi="Arial" w:cs="Arial"/>
                <w:b/>
                <w:u w:val="single"/>
              </w:rPr>
            </w:pPr>
          </w:p>
          <w:p w14:paraId="10833C6D" w14:textId="77777777" w:rsidR="0094456E" w:rsidRDefault="0094456E" w:rsidP="00042E94">
            <w:pPr>
              <w:jc w:val="center"/>
              <w:rPr>
                <w:rFonts w:ascii="Arial" w:eastAsia="Calibri" w:hAnsi="Arial" w:cs="Arial"/>
                <w:b/>
                <w:u w:val="single"/>
              </w:rPr>
            </w:pPr>
          </w:p>
          <w:p w14:paraId="4EE0055D" w14:textId="5AC6320E" w:rsidR="0094456E" w:rsidRDefault="0094456E" w:rsidP="00042E94">
            <w:pPr>
              <w:jc w:val="center"/>
              <w:rPr>
                <w:rFonts w:ascii="Arial" w:eastAsia="Calibri" w:hAnsi="Arial" w:cs="Arial"/>
                <w:b/>
                <w:u w:val="single"/>
              </w:rPr>
            </w:pPr>
            <w:r>
              <w:rPr>
                <w:rFonts w:ascii="Arial" w:eastAsia="Calibri" w:hAnsi="Arial" w:cs="Arial"/>
                <w:b/>
                <w:u w:val="single"/>
              </w:rPr>
              <w:t>97.00%</w:t>
            </w:r>
          </w:p>
          <w:p w14:paraId="4ADA77B2" w14:textId="2F8FC364" w:rsidR="0094456E" w:rsidRDefault="0094456E" w:rsidP="00042E94">
            <w:pPr>
              <w:jc w:val="center"/>
              <w:rPr>
                <w:rFonts w:ascii="Arial" w:eastAsia="Calibri" w:hAnsi="Arial" w:cs="Arial"/>
                <w:b/>
                <w:u w:val="single"/>
              </w:rPr>
            </w:pPr>
            <w:r>
              <w:rPr>
                <w:rFonts w:ascii="Arial" w:eastAsia="Calibri" w:hAnsi="Arial" w:cs="Arial"/>
                <w:b/>
                <w:u w:val="single"/>
              </w:rPr>
              <w:t>93.00%</w:t>
            </w:r>
          </w:p>
          <w:p w14:paraId="74038AE2" w14:textId="77777777" w:rsidR="0094456E" w:rsidRDefault="0094456E" w:rsidP="00042E94">
            <w:pPr>
              <w:jc w:val="center"/>
              <w:rPr>
                <w:rFonts w:ascii="Arial" w:eastAsia="Calibri" w:hAnsi="Arial" w:cs="Arial"/>
                <w:b/>
                <w:u w:val="single"/>
              </w:rPr>
            </w:pPr>
          </w:p>
          <w:p w14:paraId="48704CE1" w14:textId="2F486709" w:rsidR="0094456E" w:rsidRDefault="0094456E" w:rsidP="00042E94">
            <w:pPr>
              <w:jc w:val="center"/>
              <w:rPr>
                <w:rFonts w:ascii="Arial" w:eastAsia="Calibri" w:hAnsi="Arial" w:cs="Arial"/>
                <w:b/>
                <w:u w:val="single"/>
              </w:rPr>
            </w:pPr>
            <w:r>
              <w:rPr>
                <w:rFonts w:ascii="Arial" w:eastAsia="Calibri" w:hAnsi="Arial" w:cs="Arial"/>
                <w:b/>
                <w:u w:val="single"/>
              </w:rPr>
              <w:t>96.00%</w:t>
            </w:r>
          </w:p>
        </w:tc>
        <w:tc>
          <w:tcPr>
            <w:tcW w:w="1804" w:type="dxa"/>
          </w:tcPr>
          <w:p w14:paraId="44C79BB4" w14:textId="77777777" w:rsidR="0094456E" w:rsidRDefault="0094456E" w:rsidP="00042E94">
            <w:pPr>
              <w:jc w:val="center"/>
              <w:rPr>
                <w:rFonts w:ascii="Arial" w:eastAsia="Calibri" w:hAnsi="Arial" w:cs="Arial"/>
                <w:b/>
                <w:u w:val="single"/>
              </w:rPr>
            </w:pPr>
          </w:p>
          <w:p w14:paraId="69DB70B1" w14:textId="77777777" w:rsidR="0094456E" w:rsidRDefault="0094456E" w:rsidP="00042E94">
            <w:pPr>
              <w:jc w:val="center"/>
              <w:rPr>
                <w:rFonts w:ascii="Arial" w:eastAsia="Calibri" w:hAnsi="Arial" w:cs="Arial"/>
                <w:b/>
                <w:u w:val="single"/>
              </w:rPr>
            </w:pPr>
          </w:p>
          <w:p w14:paraId="62F6CA1C" w14:textId="77777777" w:rsidR="0094456E" w:rsidRDefault="0094456E" w:rsidP="00042E94">
            <w:pPr>
              <w:jc w:val="center"/>
              <w:rPr>
                <w:rFonts w:ascii="Arial" w:eastAsia="Calibri" w:hAnsi="Arial" w:cs="Arial"/>
                <w:b/>
                <w:u w:val="single"/>
              </w:rPr>
            </w:pPr>
          </w:p>
          <w:p w14:paraId="4FCD76C7" w14:textId="77777777" w:rsidR="0094456E" w:rsidRDefault="0094456E" w:rsidP="00042E94">
            <w:pPr>
              <w:jc w:val="center"/>
              <w:rPr>
                <w:rFonts w:ascii="Arial" w:eastAsia="Calibri" w:hAnsi="Arial" w:cs="Arial"/>
                <w:b/>
                <w:u w:val="single"/>
              </w:rPr>
            </w:pPr>
          </w:p>
          <w:p w14:paraId="06C4B5BF" w14:textId="6DFFD36E" w:rsidR="0094456E" w:rsidRDefault="0094456E" w:rsidP="00042E94">
            <w:pPr>
              <w:jc w:val="center"/>
              <w:rPr>
                <w:rFonts w:ascii="Arial" w:eastAsia="Calibri" w:hAnsi="Arial" w:cs="Arial"/>
                <w:b/>
                <w:u w:val="single"/>
              </w:rPr>
            </w:pPr>
            <w:r>
              <w:rPr>
                <w:rFonts w:ascii="Arial" w:eastAsia="Calibri" w:hAnsi="Arial" w:cs="Arial"/>
                <w:b/>
                <w:u w:val="single"/>
              </w:rPr>
              <w:t>90.00%</w:t>
            </w:r>
          </w:p>
          <w:p w14:paraId="7A05353A" w14:textId="32811184" w:rsidR="0094456E" w:rsidRDefault="0094456E" w:rsidP="00042E94">
            <w:pPr>
              <w:jc w:val="center"/>
              <w:rPr>
                <w:rFonts w:ascii="Arial" w:eastAsia="Calibri" w:hAnsi="Arial" w:cs="Arial"/>
                <w:b/>
                <w:u w:val="single"/>
              </w:rPr>
            </w:pPr>
            <w:r>
              <w:rPr>
                <w:rFonts w:ascii="Arial" w:eastAsia="Calibri" w:hAnsi="Arial" w:cs="Arial"/>
                <w:b/>
                <w:u w:val="single"/>
              </w:rPr>
              <w:t>76.00%</w:t>
            </w:r>
          </w:p>
          <w:p w14:paraId="6539E693" w14:textId="77777777" w:rsidR="0094456E" w:rsidRDefault="0094456E" w:rsidP="00042E94">
            <w:pPr>
              <w:jc w:val="center"/>
              <w:rPr>
                <w:rFonts w:ascii="Arial" w:eastAsia="Calibri" w:hAnsi="Arial" w:cs="Arial"/>
                <w:b/>
                <w:u w:val="single"/>
              </w:rPr>
            </w:pPr>
          </w:p>
          <w:p w14:paraId="17423BE4" w14:textId="5D320055" w:rsidR="0094456E" w:rsidRDefault="0094456E" w:rsidP="00042E94">
            <w:pPr>
              <w:jc w:val="center"/>
              <w:rPr>
                <w:rFonts w:ascii="Arial" w:eastAsia="Calibri" w:hAnsi="Arial" w:cs="Arial"/>
                <w:b/>
                <w:u w:val="single"/>
              </w:rPr>
            </w:pPr>
            <w:r>
              <w:rPr>
                <w:rFonts w:ascii="Arial" w:eastAsia="Calibri" w:hAnsi="Arial" w:cs="Arial"/>
                <w:b/>
                <w:u w:val="single"/>
              </w:rPr>
              <w:t>89.00%</w:t>
            </w:r>
          </w:p>
        </w:tc>
        <w:tc>
          <w:tcPr>
            <w:tcW w:w="2042" w:type="dxa"/>
          </w:tcPr>
          <w:p w14:paraId="7B87C165" w14:textId="77777777" w:rsidR="0094456E" w:rsidRDefault="0094456E" w:rsidP="00042E94">
            <w:pPr>
              <w:jc w:val="center"/>
              <w:rPr>
                <w:rFonts w:ascii="Arial" w:eastAsia="Calibri" w:hAnsi="Arial" w:cs="Arial"/>
                <w:b/>
                <w:u w:val="single"/>
              </w:rPr>
            </w:pPr>
          </w:p>
          <w:p w14:paraId="48DD2E40" w14:textId="77777777" w:rsidR="0094456E" w:rsidRDefault="0094456E" w:rsidP="00042E94">
            <w:pPr>
              <w:jc w:val="center"/>
              <w:rPr>
                <w:rFonts w:ascii="Arial" w:eastAsia="Calibri" w:hAnsi="Arial" w:cs="Arial"/>
                <w:b/>
                <w:u w:val="single"/>
              </w:rPr>
            </w:pPr>
          </w:p>
          <w:p w14:paraId="560117F2" w14:textId="77777777" w:rsidR="0094456E" w:rsidRDefault="0094456E" w:rsidP="00042E94">
            <w:pPr>
              <w:jc w:val="center"/>
              <w:rPr>
                <w:rFonts w:ascii="Arial" w:eastAsia="Calibri" w:hAnsi="Arial" w:cs="Arial"/>
                <w:b/>
                <w:u w:val="single"/>
              </w:rPr>
            </w:pPr>
          </w:p>
          <w:p w14:paraId="268616C3" w14:textId="77777777" w:rsidR="0094456E" w:rsidRDefault="0094456E" w:rsidP="00042E94">
            <w:pPr>
              <w:jc w:val="center"/>
              <w:rPr>
                <w:rFonts w:ascii="Arial" w:eastAsia="Calibri" w:hAnsi="Arial" w:cs="Arial"/>
                <w:b/>
                <w:u w:val="single"/>
              </w:rPr>
            </w:pPr>
          </w:p>
          <w:p w14:paraId="794F6CF2" w14:textId="0EA6B958" w:rsidR="0094456E" w:rsidRDefault="0094456E" w:rsidP="00042E94">
            <w:pPr>
              <w:jc w:val="center"/>
              <w:rPr>
                <w:rFonts w:ascii="Arial" w:eastAsia="Calibri" w:hAnsi="Arial" w:cs="Arial"/>
                <w:b/>
                <w:u w:val="single"/>
              </w:rPr>
            </w:pPr>
            <w:r>
              <w:rPr>
                <w:rFonts w:ascii="Arial" w:eastAsia="Calibri" w:hAnsi="Arial" w:cs="Arial"/>
                <w:b/>
                <w:u w:val="single"/>
              </w:rPr>
              <w:t>88.00%</w:t>
            </w:r>
          </w:p>
          <w:p w14:paraId="7554ED5E" w14:textId="3F7155CC" w:rsidR="0094456E" w:rsidRDefault="0094456E" w:rsidP="00042E94">
            <w:pPr>
              <w:jc w:val="center"/>
              <w:rPr>
                <w:rFonts w:ascii="Arial" w:eastAsia="Calibri" w:hAnsi="Arial" w:cs="Arial"/>
                <w:b/>
                <w:u w:val="single"/>
              </w:rPr>
            </w:pPr>
            <w:r>
              <w:rPr>
                <w:rFonts w:ascii="Arial" w:eastAsia="Calibri" w:hAnsi="Arial" w:cs="Arial"/>
                <w:b/>
                <w:u w:val="single"/>
              </w:rPr>
              <w:t>73.00%</w:t>
            </w:r>
          </w:p>
          <w:p w14:paraId="7AC77F0B" w14:textId="77777777" w:rsidR="0094456E" w:rsidRDefault="0094456E" w:rsidP="00042E94">
            <w:pPr>
              <w:jc w:val="center"/>
              <w:rPr>
                <w:rFonts w:ascii="Arial" w:eastAsia="Calibri" w:hAnsi="Arial" w:cs="Arial"/>
                <w:b/>
                <w:u w:val="single"/>
              </w:rPr>
            </w:pPr>
          </w:p>
          <w:p w14:paraId="63005FBC" w14:textId="0054DAA9" w:rsidR="0094456E" w:rsidRDefault="0094456E" w:rsidP="00042E94">
            <w:pPr>
              <w:jc w:val="center"/>
              <w:rPr>
                <w:rFonts w:ascii="Arial" w:eastAsia="Calibri" w:hAnsi="Arial" w:cs="Arial"/>
                <w:b/>
                <w:u w:val="single"/>
              </w:rPr>
            </w:pPr>
            <w:r>
              <w:rPr>
                <w:rFonts w:ascii="Arial" w:eastAsia="Calibri" w:hAnsi="Arial" w:cs="Arial"/>
                <w:b/>
                <w:u w:val="single"/>
              </w:rPr>
              <w:t>87.00%</w:t>
            </w:r>
          </w:p>
        </w:tc>
      </w:tr>
      <w:tr w:rsidR="00BD3BD6" w:rsidRPr="004B1294" w14:paraId="5295483D" w14:textId="77777777" w:rsidTr="00042E94">
        <w:tc>
          <w:tcPr>
            <w:tcW w:w="1550" w:type="dxa"/>
          </w:tcPr>
          <w:p w14:paraId="1876EE4A" w14:textId="7CA6145E" w:rsidR="00BD3BD6" w:rsidRDefault="00BD3BD6" w:rsidP="00042E94">
            <w:pPr>
              <w:jc w:val="center"/>
              <w:rPr>
                <w:rFonts w:ascii="Arial" w:hAnsi="Arial" w:cs="Arial"/>
                <w:b/>
              </w:rPr>
            </w:pPr>
            <w:r>
              <w:rPr>
                <w:rFonts w:ascii="Arial" w:hAnsi="Arial" w:cs="Arial"/>
                <w:b/>
              </w:rPr>
              <w:t>334</w:t>
            </w:r>
          </w:p>
        </w:tc>
        <w:tc>
          <w:tcPr>
            <w:tcW w:w="3255" w:type="dxa"/>
          </w:tcPr>
          <w:p w14:paraId="18673414" w14:textId="6EF10D6C" w:rsidR="00BD3BD6" w:rsidRPr="00BD3BD6" w:rsidRDefault="00BD3BD6" w:rsidP="00BD3BD6">
            <w:pPr>
              <w:jc w:val="both"/>
              <w:rPr>
                <w:rFonts w:ascii="Arial" w:hAnsi="Arial" w:cs="Arial"/>
                <w:b/>
                <w:lang w:val="es-MX"/>
              </w:rPr>
            </w:pPr>
            <w:r w:rsidRPr="00BD3BD6">
              <w:rPr>
                <w:rFonts w:ascii="Arial" w:hAnsi="Arial" w:cs="Arial"/>
                <w:b/>
                <w:lang w:val="es-MX"/>
              </w:rPr>
              <w:t>UNIDAD DE BÚSQUEDA DE PERSONAS DADAS POR DESAPARECIDAS EN EL CONTEXTO Y EN RAZÓN DEL CONFLICTO ARMADO – UBPD.</w:t>
            </w:r>
          </w:p>
          <w:p w14:paraId="323CD867" w14:textId="77777777" w:rsidR="00BD3BD6" w:rsidRDefault="00BD3BD6" w:rsidP="0094456E">
            <w:pPr>
              <w:jc w:val="both"/>
              <w:rPr>
                <w:rFonts w:ascii="Arial" w:hAnsi="Arial" w:cs="Arial"/>
                <w:b/>
                <w:lang w:val="es-MX"/>
              </w:rPr>
            </w:pPr>
          </w:p>
          <w:p w14:paraId="3583E9C9" w14:textId="77777777" w:rsidR="00BD3BD6" w:rsidRDefault="00BD3BD6" w:rsidP="00BD3BD6">
            <w:pPr>
              <w:jc w:val="both"/>
              <w:rPr>
                <w:rFonts w:ascii="Arial" w:hAnsi="Arial" w:cs="Arial"/>
                <w:b/>
                <w:lang w:val="es-MX"/>
              </w:rPr>
            </w:pPr>
            <w:r>
              <w:rPr>
                <w:rFonts w:ascii="Arial" w:hAnsi="Arial" w:cs="Arial"/>
                <w:b/>
                <w:lang w:val="es-MX"/>
              </w:rPr>
              <w:t>FUNCIONAMIENTO</w:t>
            </w:r>
          </w:p>
          <w:p w14:paraId="20AC8A3B" w14:textId="77777777" w:rsidR="00BD3BD6" w:rsidRDefault="00BD3BD6" w:rsidP="00BD3BD6">
            <w:pPr>
              <w:jc w:val="both"/>
              <w:rPr>
                <w:rFonts w:ascii="Arial" w:hAnsi="Arial" w:cs="Arial"/>
                <w:b/>
                <w:lang w:val="es-MX"/>
              </w:rPr>
            </w:pPr>
            <w:r>
              <w:rPr>
                <w:rFonts w:ascii="Arial" w:hAnsi="Arial" w:cs="Arial"/>
                <w:b/>
                <w:lang w:val="es-MX"/>
              </w:rPr>
              <w:t>INVERSIÓN</w:t>
            </w:r>
          </w:p>
          <w:p w14:paraId="163FB47B" w14:textId="77777777" w:rsidR="00BD3BD6" w:rsidRDefault="00BD3BD6" w:rsidP="00BD3BD6">
            <w:pPr>
              <w:jc w:val="both"/>
              <w:rPr>
                <w:rFonts w:ascii="Arial" w:hAnsi="Arial" w:cs="Arial"/>
                <w:b/>
                <w:lang w:val="es-MX"/>
              </w:rPr>
            </w:pPr>
          </w:p>
          <w:p w14:paraId="25A04F45" w14:textId="24FB8B42" w:rsidR="00BD3BD6" w:rsidRPr="0094456E" w:rsidRDefault="00BD3BD6" w:rsidP="00BD3BD6">
            <w:pPr>
              <w:jc w:val="both"/>
              <w:rPr>
                <w:rFonts w:ascii="Arial" w:hAnsi="Arial" w:cs="Arial"/>
                <w:b/>
                <w:lang w:val="es-MX"/>
              </w:rPr>
            </w:pPr>
            <w:r>
              <w:rPr>
                <w:rFonts w:ascii="Arial" w:hAnsi="Arial" w:cs="Arial"/>
                <w:b/>
                <w:lang w:val="es-MX"/>
              </w:rPr>
              <w:t>TOTAL PRESUPUESTO</w:t>
            </w:r>
          </w:p>
        </w:tc>
        <w:tc>
          <w:tcPr>
            <w:tcW w:w="1839" w:type="dxa"/>
          </w:tcPr>
          <w:p w14:paraId="36375CB3" w14:textId="77777777" w:rsidR="00BD3BD6" w:rsidRDefault="00BD3BD6" w:rsidP="00042E94">
            <w:pPr>
              <w:jc w:val="center"/>
              <w:rPr>
                <w:rFonts w:ascii="Arial" w:eastAsia="Calibri" w:hAnsi="Arial" w:cs="Arial"/>
                <w:b/>
                <w:u w:val="single"/>
              </w:rPr>
            </w:pPr>
          </w:p>
          <w:p w14:paraId="376658C8" w14:textId="77777777" w:rsidR="00BD3BD6" w:rsidRDefault="00BD3BD6" w:rsidP="00042E94">
            <w:pPr>
              <w:jc w:val="center"/>
              <w:rPr>
                <w:rFonts w:ascii="Arial" w:eastAsia="Calibri" w:hAnsi="Arial" w:cs="Arial"/>
                <w:b/>
                <w:u w:val="single"/>
              </w:rPr>
            </w:pPr>
          </w:p>
          <w:p w14:paraId="20203E9B" w14:textId="77777777" w:rsidR="00BD3BD6" w:rsidRDefault="00BD3BD6" w:rsidP="00042E94">
            <w:pPr>
              <w:jc w:val="center"/>
              <w:rPr>
                <w:rFonts w:ascii="Arial" w:eastAsia="Calibri" w:hAnsi="Arial" w:cs="Arial"/>
                <w:b/>
                <w:u w:val="single"/>
              </w:rPr>
            </w:pPr>
          </w:p>
          <w:p w14:paraId="379CDE97" w14:textId="77777777" w:rsidR="00BD3BD6" w:rsidRDefault="00BD3BD6" w:rsidP="00042E94">
            <w:pPr>
              <w:jc w:val="center"/>
              <w:rPr>
                <w:rFonts w:ascii="Arial" w:eastAsia="Calibri" w:hAnsi="Arial" w:cs="Arial"/>
                <w:b/>
                <w:u w:val="single"/>
              </w:rPr>
            </w:pPr>
          </w:p>
          <w:p w14:paraId="6B88B720" w14:textId="77777777" w:rsidR="00BD3BD6" w:rsidRDefault="00BD3BD6" w:rsidP="00042E94">
            <w:pPr>
              <w:jc w:val="center"/>
              <w:rPr>
                <w:rFonts w:ascii="Arial" w:eastAsia="Calibri" w:hAnsi="Arial" w:cs="Arial"/>
                <w:b/>
                <w:u w:val="single"/>
              </w:rPr>
            </w:pPr>
          </w:p>
          <w:p w14:paraId="2B377156" w14:textId="77777777" w:rsidR="00BD3BD6" w:rsidRDefault="00BD3BD6" w:rsidP="00042E94">
            <w:pPr>
              <w:jc w:val="center"/>
              <w:rPr>
                <w:rFonts w:ascii="Arial" w:eastAsia="Calibri" w:hAnsi="Arial" w:cs="Arial"/>
                <w:b/>
                <w:u w:val="single"/>
              </w:rPr>
            </w:pPr>
          </w:p>
          <w:p w14:paraId="75A318C7" w14:textId="1EF12EA8" w:rsidR="00BD3BD6" w:rsidRDefault="00BD3BD6" w:rsidP="00042E94">
            <w:pPr>
              <w:jc w:val="center"/>
              <w:rPr>
                <w:rFonts w:ascii="Arial" w:eastAsia="Calibri" w:hAnsi="Arial" w:cs="Arial"/>
                <w:b/>
                <w:u w:val="single"/>
              </w:rPr>
            </w:pPr>
            <w:r>
              <w:rPr>
                <w:rFonts w:ascii="Arial" w:eastAsia="Calibri" w:hAnsi="Arial" w:cs="Arial"/>
                <w:b/>
                <w:u w:val="single"/>
              </w:rPr>
              <w:t>87.70%</w:t>
            </w:r>
          </w:p>
          <w:p w14:paraId="72180E62" w14:textId="37AB5B19" w:rsidR="00BD3BD6" w:rsidRDefault="00BD3BD6" w:rsidP="00042E94">
            <w:pPr>
              <w:jc w:val="center"/>
              <w:rPr>
                <w:rFonts w:ascii="Arial" w:eastAsia="Calibri" w:hAnsi="Arial" w:cs="Arial"/>
                <w:b/>
                <w:u w:val="single"/>
              </w:rPr>
            </w:pPr>
            <w:r>
              <w:rPr>
                <w:rFonts w:ascii="Arial" w:eastAsia="Calibri" w:hAnsi="Arial" w:cs="Arial"/>
                <w:b/>
                <w:u w:val="single"/>
              </w:rPr>
              <w:t>97.70%</w:t>
            </w:r>
          </w:p>
          <w:p w14:paraId="7231DDC7" w14:textId="77777777" w:rsidR="00BD3BD6" w:rsidRDefault="00BD3BD6" w:rsidP="00042E94">
            <w:pPr>
              <w:jc w:val="center"/>
              <w:rPr>
                <w:rFonts w:ascii="Arial" w:eastAsia="Calibri" w:hAnsi="Arial" w:cs="Arial"/>
                <w:b/>
                <w:u w:val="single"/>
              </w:rPr>
            </w:pPr>
          </w:p>
          <w:p w14:paraId="120DE15C" w14:textId="5C90DC16" w:rsidR="00BD3BD6" w:rsidRDefault="00BD3BD6" w:rsidP="00042E94">
            <w:pPr>
              <w:jc w:val="center"/>
              <w:rPr>
                <w:rFonts w:ascii="Arial" w:eastAsia="Calibri" w:hAnsi="Arial" w:cs="Arial"/>
                <w:b/>
                <w:u w:val="single"/>
              </w:rPr>
            </w:pPr>
            <w:r>
              <w:rPr>
                <w:rFonts w:ascii="Arial" w:eastAsia="Calibri" w:hAnsi="Arial" w:cs="Arial"/>
                <w:b/>
                <w:u w:val="single"/>
              </w:rPr>
              <w:t>97.70%</w:t>
            </w:r>
          </w:p>
        </w:tc>
        <w:tc>
          <w:tcPr>
            <w:tcW w:w="1804" w:type="dxa"/>
          </w:tcPr>
          <w:p w14:paraId="15541BA0" w14:textId="77777777" w:rsidR="00BD3BD6" w:rsidRDefault="00BD3BD6" w:rsidP="00042E94">
            <w:pPr>
              <w:jc w:val="center"/>
              <w:rPr>
                <w:rFonts w:ascii="Arial" w:eastAsia="Calibri" w:hAnsi="Arial" w:cs="Arial"/>
                <w:b/>
                <w:u w:val="single"/>
              </w:rPr>
            </w:pPr>
          </w:p>
          <w:p w14:paraId="3BE9B283" w14:textId="77777777" w:rsidR="00BD3BD6" w:rsidRDefault="00BD3BD6" w:rsidP="00042E94">
            <w:pPr>
              <w:jc w:val="center"/>
              <w:rPr>
                <w:rFonts w:ascii="Arial" w:eastAsia="Calibri" w:hAnsi="Arial" w:cs="Arial"/>
                <w:b/>
                <w:u w:val="single"/>
              </w:rPr>
            </w:pPr>
          </w:p>
          <w:p w14:paraId="411F6D9E" w14:textId="77777777" w:rsidR="00BD3BD6" w:rsidRDefault="00BD3BD6" w:rsidP="00042E94">
            <w:pPr>
              <w:jc w:val="center"/>
              <w:rPr>
                <w:rFonts w:ascii="Arial" w:eastAsia="Calibri" w:hAnsi="Arial" w:cs="Arial"/>
                <w:b/>
                <w:u w:val="single"/>
              </w:rPr>
            </w:pPr>
          </w:p>
          <w:p w14:paraId="2CAA0A5E" w14:textId="77777777" w:rsidR="00BD3BD6" w:rsidRDefault="00BD3BD6" w:rsidP="00042E94">
            <w:pPr>
              <w:jc w:val="center"/>
              <w:rPr>
                <w:rFonts w:ascii="Arial" w:eastAsia="Calibri" w:hAnsi="Arial" w:cs="Arial"/>
                <w:b/>
                <w:u w:val="single"/>
              </w:rPr>
            </w:pPr>
          </w:p>
          <w:p w14:paraId="61C0EAAA" w14:textId="77777777" w:rsidR="00BD3BD6" w:rsidRDefault="00BD3BD6" w:rsidP="00042E94">
            <w:pPr>
              <w:jc w:val="center"/>
              <w:rPr>
                <w:rFonts w:ascii="Arial" w:eastAsia="Calibri" w:hAnsi="Arial" w:cs="Arial"/>
                <w:b/>
                <w:u w:val="single"/>
              </w:rPr>
            </w:pPr>
          </w:p>
          <w:p w14:paraId="5ACFA4EA" w14:textId="77777777" w:rsidR="00BD3BD6" w:rsidRDefault="00BD3BD6" w:rsidP="00042E94">
            <w:pPr>
              <w:jc w:val="center"/>
              <w:rPr>
                <w:rFonts w:ascii="Arial" w:eastAsia="Calibri" w:hAnsi="Arial" w:cs="Arial"/>
                <w:b/>
                <w:u w:val="single"/>
              </w:rPr>
            </w:pPr>
          </w:p>
          <w:p w14:paraId="7EB8B5A0" w14:textId="3373A87A" w:rsidR="00BD3BD6" w:rsidRDefault="00BD3BD6" w:rsidP="00042E94">
            <w:pPr>
              <w:jc w:val="center"/>
              <w:rPr>
                <w:rFonts w:ascii="Arial" w:eastAsia="Calibri" w:hAnsi="Arial" w:cs="Arial"/>
                <w:b/>
                <w:u w:val="single"/>
              </w:rPr>
            </w:pPr>
            <w:r>
              <w:rPr>
                <w:rFonts w:ascii="Arial" w:eastAsia="Calibri" w:hAnsi="Arial" w:cs="Arial"/>
                <w:b/>
                <w:u w:val="single"/>
              </w:rPr>
              <w:t>97.00%</w:t>
            </w:r>
          </w:p>
          <w:p w14:paraId="64775B7B" w14:textId="3C55335C" w:rsidR="00BD3BD6" w:rsidRDefault="00BD3BD6" w:rsidP="00042E94">
            <w:pPr>
              <w:jc w:val="center"/>
              <w:rPr>
                <w:rFonts w:ascii="Arial" w:eastAsia="Calibri" w:hAnsi="Arial" w:cs="Arial"/>
                <w:b/>
                <w:u w:val="single"/>
              </w:rPr>
            </w:pPr>
            <w:r>
              <w:rPr>
                <w:rFonts w:ascii="Arial" w:eastAsia="Calibri" w:hAnsi="Arial" w:cs="Arial"/>
                <w:b/>
                <w:u w:val="single"/>
              </w:rPr>
              <w:t>79.60%</w:t>
            </w:r>
          </w:p>
          <w:p w14:paraId="6B47FAF8" w14:textId="77777777" w:rsidR="00BD3BD6" w:rsidRDefault="00BD3BD6" w:rsidP="00042E94">
            <w:pPr>
              <w:jc w:val="center"/>
              <w:rPr>
                <w:rFonts w:ascii="Arial" w:eastAsia="Calibri" w:hAnsi="Arial" w:cs="Arial"/>
                <w:b/>
                <w:u w:val="single"/>
              </w:rPr>
            </w:pPr>
          </w:p>
          <w:p w14:paraId="398B515A" w14:textId="50A79EC3" w:rsidR="00BD3BD6" w:rsidRDefault="00BD3BD6" w:rsidP="00042E94">
            <w:pPr>
              <w:jc w:val="center"/>
              <w:rPr>
                <w:rFonts w:ascii="Arial" w:eastAsia="Calibri" w:hAnsi="Arial" w:cs="Arial"/>
                <w:b/>
                <w:u w:val="single"/>
              </w:rPr>
            </w:pPr>
            <w:r>
              <w:rPr>
                <w:rFonts w:ascii="Arial" w:eastAsia="Calibri" w:hAnsi="Arial" w:cs="Arial"/>
                <w:b/>
                <w:u w:val="single"/>
              </w:rPr>
              <w:t>89.70%</w:t>
            </w:r>
          </w:p>
        </w:tc>
        <w:tc>
          <w:tcPr>
            <w:tcW w:w="2042" w:type="dxa"/>
          </w:tcPr>
          <w:p w14:paraId="54D02468" w14:textId="77777777" w:rsidR="00BD3BD6" w:rsidRDefault="00BD3BD6" w:rsidP="00042E94">
            <w:pPr>
              <w:jc w:val="center"/>
              <w:rPr>
                <w:rFonts w:ascii="Arial" w:eastAsia="Calibri" w:hAnsi="Arial" w:cs="Arial"/>
                <w:b/>
                <w:u w:val="single"/>
              </w:rPr>
            </w:pPr>
          </w:p>
          <w:p w14:paraId="155426B7" w14:textId="77777777" w:rsidR="00BD3BD6" w:rsidRDefault="00BD3BD6" w:rsidP="00042E94">
            <w:pPr>
              <w:jc w:val="center"/>
              <w:rPr>
                <w:rFonts w:ascii="Arial" w:eastAsia="Calibri" w:hAnsi="Arial" w:cs="Arial"/>
                <w:b/>
                <w:u w:val="single"/>
              </w:rPr>
            </w:pPr>
          </w:p>
          <w:p w14:paraId="648F2500" w14:textId="77777777" w:rsidR="00BD3BD6" w:rsidRDefault="00BD3BD6" w:rsidP="00042E94">
            <w:pPr>
              <w:jc w:val="center"/>
              <w:rPr>
                <w:rFonts w:ascii="Arial" w:eastAsia="Calibri" w:hAnsi="Arial" w:cs="Arial"/>
                <w:b/>
                <w:u w:val="single"/>
              </w:rPr>
            </w:pPr>
          </w:p>
          <w:p w14:paraId="0E9E52E1" w14:textId="77777777" w:rsidR="00BD3BD6" w:rsidRDefault="00BD3BD6" w:rsidP="00042E94">
            <w:pPr>
              <w:jc w:val="center"/>
              <w:rPr>
                <w:rFonts w:ascii="Arial" w:eastAsia="Calibri" w:hAnsi="Arial" w:cs="Arial"/>
                <w:b/>
                <w:u w:val="single"/>
              </w:rPr>
            </w:pPr>
          </w:p>
          <w:p w14:paraId="228E15BF" w14:textId="77777777" w:rsidR="00BD3BD6" w:rsidRDefault="00BD3BD6" w:rsidP="00042E94">
            <w:pPr>
              <w:jc w:val="center"/>
              <w:rPr>
                <w:rFonts w:ascii="Arial" w:eastAsia="Calibri" w:hAnsi="Arial" w:cs="Arial"/>
                <w:b/>
                <w:u w:val="single"/>
              </w:rPr>
            </w:pPr>
          </w:p>
          <w:p w14:paraId="25FC1C12" w14:textId="77777777" w:rsidR="00BD3BD6" w:rsidRDefault="00BD3BD6" w:rsidP="00042E94">
            <w:pPr>
              <w:jc w:val="center"/>
              <w:rPr>
                <w:rFonts w:ascii="Arial" w:eastAsia="Calibri" w:hAnsi="Arial" w:cs="Arial"/>
                <w:b/>
                <w:u w:val="single"/>
              </w:rPr>
            </w:pPr>
          </w:p>
          <w:p w14:paraId="3B8210C9" w14:textId="24F9C916" w:rsidR="00BD3BD6" w:rsidRDefault="00BD3BD6" w:rsidP="00042E94">
            <w:pPr>
              <w:jc w:val="center"/>
              <w:rPr>
                <w:rFonts w:ascii="Arial" w:eastAsia="Calibri" w:hAnsi="Arial" w:cs="Arial"/>
                <w:b/>
                <w:u w:val="single"/>
              </w:rPr>
            </w:pPr>
            <w:r>
              <w:rPr>
                <w:rFonts w:ascii="Arial" w:eastAsia="Calibri" w:hAnsi="Arial" w:cs="Arial"/>
                <w:b/>
                <w:u w:val="single"/>
              </w:rPr>
              <w:t>95.10%</w:t>
            </w:r>
          </w:p>
          <w:p w14:paraId="139D43DF" w14:textId="2B371BB8" w:rsidR="00BD3BD6" w:rsidRDefault="00BD3BD6" w:rsidP="00042E94">
            <w:pPr>
              <w:jc w:val="center"/>
              <w:rPr>
                <w:rFonts w:ascii="Arial" w:eastAsia="Calibri" w:hAnsi="Arial" w:cs="Arial"/>
                <w:b/>
                <w:u w:val="single"/>
              </w:rPr>
            </w:pPr>
            <w:r>
              <w:rPr>
                <w:rFonts w:ascii="Arial" w:eastAsia="Calibri" w:hAnsi="Arial" w:cs="Arial"/>
                <w:b/>
                <w:u w:val="single"/>
              </w:rPr>
              <w:t>78.70%</w:t>
            </w:r>
          </w:p>
          <w:p w14:paraId="19758B5F" w14:textId="77777777" w:rsidR="00BD3BD6" w:rsidRDefault="00BD3BD6" w:rsidP="00042E94">
            <w:pPr>
              <w:jc w:val="center"/>
              <w:rPr>
                <w:rFonts w:ascii="Arial" w:eastAsia="Calibri" w:hAnsi="Arial" w:cs="Arial"/>
                <w:b/>
                <w:u w:val="single"/>
              </w:rPr>
            </w:pPr>
          </w:p>
          <w:p w14:paraId="30BCB5C0" w14:textId="0A7C71A6" w:rsidR="00BD3BD6" w:rsidRDefault="00BD3BD6" w:rsidP="00042E94">
            <w:pPr>
              <w:jc w:val="center"/>
              <w:rPr>
                <w:rFonts w:ascii="Arial" w:eastAsia="Calibri" w:hAnsi="Arial" w:cs="Arial"/>
                <w:b/>
                <w:u w:val="single"/>
              </w:rPr>
            </w:pPr>
            <w:r>
              <w:rPr>
                <w:rFonts w:ascii="Arial" w:eastAsia="Calibri" w:hAnsi="Arial" w:cs="Arial"/>
                <w:b/>
                <w:u w:val="single"/>
              </w:rPr>
              <w:t>88.20%</w:t>
            </w:r>
          </w:p>
        </w:tc>
      </w:tr>
      <w:tr w:rsidR="00552B68" w:rsidRPr="004B1294" w14:paraId="3E0C6E98" w14:textId="77777777" w:rsidTr="00042E94">
        <w:tc>
          <w:tcPr>
            <w:tcW w:w="1550" w:type="dxa"/>
          </w:tcPr>
          <w:p w14:paraId="66A61F03" w14:textId="08111619" w:rsidR="00552B68" w:rsidRDefault="00552B68" w:rsidP="00042E94">
            <w:pPr>
              <w:jc w:val="center"/>
              <w:rPr>
                <w:rFonts w:ascii="Arial" w:hAnsi="Arial" w:cs="Arial"/>
                <w:b/>
              </w:rPr>
            </w:pPr>
            <w:r>
              <w:rPr>
                <w:rFonts w:ascii="Arial" w:hAnsi="Arial" w:cs="Arial"/>
                <w:b/>
              </w:rPr>
              <w:t>335</w:t>
            </w:r>
          </w:p>
        </w:tc>
        <w:tc>
          <w:tcPr>
            <w:tcW w:w="3255" w:type="dxa"/>
          </w:tcPr>
          <w:p w14:paraId="3F0CAB45" w14:textId="4D3037BA" w:rsidR="00552B68" w:rsidRPr="00552B68" w:rsidRDefault="00552B68" w:rsidP="00552B68">
            <w:pPr>
              <w:pStyle w:val="Prrafodelista"/>
              <w:ind w:left="0"/>
              <w:jc w:val="both"/>
              <w:rPr>
                <w:rFonts w:ascii="Arial" w:hAnsi="Arial" w:cs="Arial"/>
                <w:b/>
                <w:lang w:val="es-MX"/>
              </w:rPr>
            </w:pPr>
            <w:r w:rsidRPr="00552B68">
              <w:rPr>
                <w:rFonts w:ascii="Arial" w:hAnsi="Arial" w:cs="Arial"/>
                <w:b/>
                <w:lang w:val="es-MX"/>
              </w:rPr>
              <w:t>FONDO DE PASIVO SOCIAL FERROCARRILES NACIONALES DE COLOMBIA.</w:t>
            </w:r>
          </w:p>
          <w:p w14:paraId="3634860F" w14:textId="77777777" w:rsidR="00552B68" w:rsidRDefault="00552B68" w:rsidP="00BD3BD6">
            <w:pPr>
              <w:jc w:val="both"/>
              <w:rPr>
                <w:rFonts w:ascii="Arial" w:hAnsi="Arial" w:cs="Arial"/>
                <w:b/>
                <w:lang w:val="es-MX"/>
              </w:rPr>
            </w:pPr>
          </w:p>
          <w:p w14:paraId="298F1EF6" w14:textId="77777777" w:rsidR="00552B68" w:rsidRDefault="00552B68" w:rsidP="00552B68">
            <w:pPr>
              <w:jc w:val="both"/>
              <w:rPr>
                <w:rFonts w:ascii="Arial" w:hAnsi="Arial" w:cs="Arial"/>
                <w:b/>
                <w:lang w:val="es-MX"/>
              </w:rPr>
            </w:pPr>
            <w:r>
              <w:rPr>
                <w:rFonts w:ascii="Arial" w:hAnsi="Arial" w:cs="Arial"/>
                <w:b/>
                <w:lang w:val="es-MX"/>
              </w:rPr>
              <w:t>FUNCIONAMIENTO</w:t>
            </w:r>
          </w:p>
          <w:p w14:paraId="72A3975C" w14:textId="77777777" w:rsidR="00552B68" w:rsidRDefault="00552B68" w:rsidP="00552B68">
            <w:pPr>
              <w:jc w:val="both"/>
              <w:rPr>
                <w:rFonts w:ascii="Arial" w:hAnsi="Arial" w:cs="Arial"/>
                <w:b/>
                <w:lang w:val="es-MX"/>
              </w:rPr>
            </w:pPr>
            <w:r>
              <w:rPr>
                <w:rFonts w:ascii="Arial" w:hAnsi="Arial" w:cs="Arial"/>
                <w:b/>
                <w:lang w:val="es-MX"/>
              </w:rPr>
              <w:t>INVERSIÓN</w:t>
            </w:r>
          </w:p>
          <w:p w14:paraId="08F29604" w14:textId="77777777" w:rsidR="00552B68" w:rsidRDefault="00552B68" w:rsidP="00552B68">
            <w:pPr>
              <w:jc w:val="both"/>
              <w:rPr>
                <w:rFonts w:ascii="Arial" w:hAnsi="Arial" w:cs="Arial"/>
                <w:b/>
                <w:lang w:val="es-MX"/>
              </w:rPr>
            </w:pPr>
          </w:p>
          <w:p w14:paraId="0E00A630" w14:textId="5D71D904" w:rsidR="00552B68" w:rsidRPr="00BD3BD6" w:rsidRDefault="00552B68" w:rsidP="00552B68">
            <w:pPr>
              <w:jc w:val="both"/>
              <w:rPr>
                <w:rFonts w:ascii="Arial" w:hAnsi="Arial" w:cs="Arial"/>
                <w:b/>
                <w:lang w:val="es-MX"/>
              </w:rPr>
            </w:pPr>
            <w:r>
              <w:rPr>
                <w:rFonts w:ascii="Arial" w:hAnsi="Arial" w:cs="Arial"/>
                <w:b/>
                <w:lang w:val="es-MX"/>
              </w:rPr>
              <w:t>TOTAL PRESUPUESTO</w:t>
            </w:r>
          </w:p>
        </w:tc>
        <w:tc>
          <w:tcPr>
            <w:tcW w:w="1839" w:type="dxa"/>
          </w:tcPr>
          <w:p w14:paraId="6D0DED03" w14:textId="77777777" w:rsidR="00552B68" w:rsidRDefault="00552B68" w:rsidP="00042E94">
            <w:pPr>
              <w:jc w:val="center"/>
              <w:rPr>
                <w:rFonts w:ascii="Arial" w:eastAsia="Calibri" w:hAnsi="Arial" w:cs="Arial"/>
                <w:b/>
                <w:u w:val="single"/>
              </w:rPr>
            </w:pPr>
          </w:p>
          <w:p w14:paraId="71C1FD98" w14:textId="77777777" w:rsidR="00552B68" w:rsidRDefault="00552B68" w:rsidP="00042E94">
            <w:pPr>
              <w:jc w:val="center"/>
              <w:rPr>
                <w:rFonts w:ascii="Arial" w:eastAsia="Calibri" w:hAnsi="Arial" w:cs="Arial"/>
                <w:b/>
                <w:u w:val="single"/>
              </w:rPr>
            </w:pPr>
          </w:p>
          <w:p w14:paraId="3C14CE48" w14:textId="77777777" w:rsidR="00552B68" w:rsidRDefault="00552B68" w:rsidP="00042E94">
            <w:pPr>
              <w:jc w:val="center"/>
              <w:rPr>
                <w:rFonts w:ascii="Arial" w:eastAsia="Calibri" w:hAnsi="Arial" w:cs="Arial"/>
                <w:b/>
                <w:u w:val="single"/>
              </w:rPr>
            </w:pPr>
          </w:p>
          <w:p w14:paraId="618F0D83" w14:textId="77777777" w:rsidR="00552B68" w:rsidRDefault="00552B68" w:rsidP="00042E94">
            <w:pPr>
              <w:jc w:val="center"/>
              <w:rPr>
                <w:rFonts w:ascii="Arial" w:eastAsia="Calibri" w:hAnsi="Arial" w:cs="Arial"/>
                <w:b/>
                <w:u w:val="single"/>
              </w:rPr>
            </w:pPr>
          </w:p>
          <w:p w14:paraId="179C9580" w14:textId="5C4B00A8" w:rsidR="00552B68" w:rsidRDefault="00552B68" w:rsidP="00042E94">
            <w:pPr>
              <w:jc w:val="center"/>
              <w:rPr>
                <w:rFonts w:ascii="Arial" w:eastAsia="Calibri" w:hAnsi="Arial" w:cs="Arial"/>
                <w:b/>
                <w:u w:val="single"/>
              </w:rPr>
            </w:pPr>
            <w:r>
              <w:rPr>
                <w:rFonts w:ascii="Arial" w:eastAsia="Calibri" w:hAnsi="Arial" w:cs="Arial"/>
                <w:b/>
                <w:u w:val="single"/>
              </w:rPr>
              <w:t>99.00%</w:t>
            </w:r>
          </w:p>
          <w:p w14:paraId="24DCA14F" w14:textId="4251F0F7" w:rsidR="00552B68" w:rsidRDefault="00552B68" w:rsidP="00042E94">
            <w:pPr>
              <w:jc w:val="center"/>
              <w:rPr>
                <w:rFonts w:ascii="Arial" w:eastAsia="Calibri" w:hAnsi="Arial" w:cs="Arial"/>
                <w:b/>
                <w:u w:val="single"/>
              </w:rPr>
            </w:pPr>
            <w:r>
              <w:rPr>
                <w:rFonts w:ascii="Arial" w:eastAsia="Calibri" w:hAnsi="Arial" w:cs="Arial"/>
                <w:b/>
                <w:u w:val="single"/>
              </w:rPr>
              <w:t>92.00%</w:t>
            </w:r>
          </w:p>
          <w:p w14:paraId="015C5285" w14:textId="77777777" w:rsidR="00552B68" w:rsidRDefault="00552B68" w:rsidP="00042E94">
            <w:pPr>
              <w:jc w:val="center"/>
              <w:rPr>
                <w:rFonts w:ascii="Arial" w:eastAsia="Calibri" w:hAnsi="Arial" w:cs="Arial"/>
                <w:b/>
                <w:u w:val="single"/>
              </w:rPr>
            </w:pPr>
          </w:p>
          <w:p w14:paraId="49F428B9" w14:textId="740262CC" w:rsidR="00552B68" w:rsidRDefault="00552B68" w:rsidP="00042E94">
            <w:pPr>
              <w:jc w:val="center"/>
              <w:rPr>
                <w:rFonts w:ascii="Arial" w:eastAsia="Calibri" w:hAnsi="Arial" w:cs="Arial"/>
                <w:b/>
                <w:u w:val="single"/>
              </w:rPr>
            </w:pPr>
            <w:r>
              <w:rPr>
                <w:rFonts w:ascii="Arial" w:eastAsia="Calibri" w:hAnsi="Arial" w:cs="Arial"/>
                <w:b/>
                <w:u w:val="single"/>
              </w:rPr>
              <w:t>99.00%</w:t>
            </w:r>
          </w:p>
        </w:tc>
        <w:tc>
          <w:tcPr>
            <w:tcW w:w="1804" w:type="dxa"/>
          </w:tcPr>
          <w:p w14:paraId="1AA87A84" w14:textId="77777777" w:rsidR="00552B68" w:rsidRDefault="00552B68" w:rsidP="00042E94">
            <w:pPr>
              <w:jc w:val="center"/>
              <w:rPr>
                <w:rFonts w:ascii="Arial" w:eastAsia="Calibri" w:hAnsi="Arial" w:cs="Arial"/>
                <w:b/>
                <w:u w:val="single"/>
              </w:rPr>
            </w:pPr>
          </w:p>
          <w:p w14:paraId="658AFA60" w14:textId="77777777" w:rsidR="00552B68" w:rsidRDefault="00552B68" w:rsidP="00042E94">
            <w:pPr>
              <w:jc w:val="center"/>
              <w:rPr>
                <w:rFonts w:ascii="Arial" w:eastAsia="Calibri" w:hAnsi="Arial" w:cs="Arial"/>
                <w:b/>
                <w:u w:val="single"/>
              </w:rPr>
            </w:pPr>
          </w:p>
          <w:p w14:paraId="2E23C190" w14:textId="77777777" w:rsidR="00552B68" w:rsidRDefault="00552B68" w:rsidP="00042E94">
            <w:pPr>
              <w:jc w:val="center"/>
              <w:rPr>
                <w:rFonts w:ascii="Arial" w:eastAsia="Calibri" w:hAnsi="Arial" w:cs="Arial"/>
                <w:b/>
                <w:u w:val="single"/>
              </w:rPr>
            </w:pPr>
          </w:p>
          <w:p w14:paraId="69775DBA" w14:textId="77777777" w:rsidR="00552B68" w:rsidRDefault="00552B68" w:rsidP="00042E94">
            <w:pPr>
              <w:jc w:val="center"/>
              <w:rPr>
                <w:rFonts w:ascii="Arial" w:eastAsia="Calibri" w:hAnsi="Arial" w:cs="Arial"/>
                <w:b/>
                <w:u w:val="single"/>
              </w:rPr>
            </w:pPr>
          </w:p>
          <w:p w14:paraId="52FF87F8" w14:textId="77777777" w:rsidR="00552B68" w:rsidRDefault="00552B68" w:rsidP="00042E94">
            <w:pPr>
              <w:jc w:val="center"/>
              <w:rPr>
                <w:rFonts w:ascii="Arial" w:eastAsia="Calibri" w:hAnsi="Arial" w:cs="Arial"/>
                <w:b/>
                <w:u w:val="single"/>
              </w:rPr>
            </w:pPr>
            <w:r>
              <w:rPr>
                <w:rFonts w:ascii="Arial" w:eastAsia="Calibri" w:hAnsi="Arial" w:cs="Arial"/>
                <w:b/>
                <w:u w:val="single"/>
              </w:rPr>
              <w:t>99.00%</w:t>
            </w:r>
          </w:p>
          <w:p w14:paraId="04EE895E" w14:textId="77777777" w:rsidR="00552B68" w:rsidRDefault="00552B68" w:rsidP="00042E94">
            <w:pPr>
              <w:jc w:val="center"/>
              <w:rPr>
                <w:rFonts w:ascii="Arial" w:eastAsia="Calibri" w:hAnsi="Arial" w:cs="Arial"/>
                <w:b/>
                <w:u w:val="single"/>
              </w:rPr>
            </w:pPr>
            <w:r>
              <w:rPr>
                <w:rFonts w:ascii="Arial" w:eastAsia="Calibri" w:hAnsi="Arial" w:cs="Arial"/>
                <w:b/>
                <w:u w:val="single"/>
              </w:rPr>
              <w:t>78.00%</w:t>
            </w:r>
          </w:p>
          <w:p w14:paraId="07613D26" w14:textId="77777777" w:rsidR="00552B68" w:rsidRDefault="00552B68" w:rsidP="00042E94">
            <w:pPr>
              <w:jc w:val="center"/>
              <w:rPr>
                <w:rFonts w:ascii="Arial" w:eastAsia="Calibri" w:hAnsi="Arial" w:cs="Arial"/>
                <w:b/>
                <w:u w:val="single"/>
              </w:rPr>
            </w:pPr>
          </w:p>
          <w:p w14:paraId="36CB1E45" w14:textId="78EC3D7E" w:rsidR="00552B68" w:rsidRDefault="00552B68" w:rsidP="00042E94">
            <w:pPr>
              <w:jc w:val="center"/>
              <w:rPr>
                <w:rFonts w:ascii="Arial" w:eastAsia="Calibri" w:hAnsi="Arial" w:cs="Arial"/>
                <w:b/>
                <w:u w:val="single"/>
              </w:rPr>
            </w:pPr>
            <w:r>
              <w:rPr>
                <w:rFonts w:ascii="Arial" w:eastAsia="Calibri" w:hAnsi="Arial" w:cs="Arial"/>
                <w:b/>
                <w:u w:val="single"/>
              </w:rPr>
              <w:t>92.00%</w:t>
            </w:r>
          </w:p>
        </w:tc>
        <w:tc>
          <w:tcPr>
            <w:tcW w:w="2042" w:type="dxa"/>
          </w:tcPr>
          <w:p w14:paraId="7367520E" w14:textId="77777777" w:rsidR="00552B68" w:rsidRDefault="00552B68" w:rsidP="00042E94">
            <w:pPr>
              <w:jc w:val="center"/>
              <w:rPr>
                <w:rFonts w:ascii="Arial" w:eastAsia="Calibri" w:hAnsi="Arial" w:cs="Arial"/>
                <w:b/>
                <w:u w:val="single"/>
              </w:rPr>
            </w:pPr>
          </w:p>
          <w:p w14:paraId="0F1D9426" w14:textId="77777777" w:rsidR="00552B68" w:rsidRDefault="00552B68" w:rsidP="00042E94">
            <w:pPr>
              <w:jc w:val="center"/>
              <w:rPr>
                <w:rFonts w:ascii="Arial" w:eastAsia="Calibri" w:hAnsi="Arial" w:cs="Arial"/>
                <w:b/>
                <w:u w:val="single"/>
              </w:rPr>
            </w:pPr>
          </w:p>
          <w:p w14:paraId="28A9FA5E" w14:textId="77777777" w:rsidR="00552B68" w:rsidRDefault="00552B68" w:rsidP="00042E94">
            <w:pPr>
              <w:jc w:val="center"/>
              <w:rPr>
                <w:rFonts w:ascii="Arial" w:eastAsia="Calibri" w:hAnsi="Arial" w:cs="Arial"/>
                <w:b/>
                <w:u w:val="single"/>
              </w:rPr>
            </w:pPr>
          </w:p>
          <w:p w14:paraId="67A8B65D" w14:textId="77777777" w:rsidR="00552B68" w:rsidRDefault="00552B68" w:rsidP="00042E94">
            <w:pPr>
              <w:jc w:val="center"/>
              <w:rPr>
                <w:rFonts w:ascii="Arial" w:eastAsia="Calibri" w:hAnsi="Arial" w:cs="Arial"/>
                <w:b/>
                <w:u w:val="single"/>
              </w:rPr>
            </w:pPr>
          </w:p>
          <w:p w14:paraId="229641DE" w14:textId="77777777" w:rsidR="00552B68" w:rsidRDefault="00552B68" w:rsidP="00552B68">
            <w:pPr>
              <w:jc w:val="center"/>
              <w:rPr>
                <w:rFonts w:ascii="Arial" w:eastAsia="Calibri" w:hAnsi="Arial" w:cs="Arial"/>
                <w:b/>
                <w:u w:val="single"/>
              </w:rPr>
            </w:pPr>
            <w:r>
              <w:rPr>
                <w:rFonts w:ascii="Arial" w:eastAsia="Calibri" w:hAnsi="Arial" w:cs="Arial"/>
                <w:b/>
                <w:u w:val="single"/>
              </w:rPr>
              <w:t>92.00%</w:t>
            </w:r>
          </w:p>
          <w:p w14:paraId="7969B4BE" w14:textId="77777777" w:rsidR="00552B68" w:rsidRDefault="00552B68" w:rsidP="00552B68">
            <w:pPr>
              <w:jc w:val="center"/>
              <w:rPr>
                <w:rFonts w:ascii="Arial" w:eastAsia="Calibri" w:hAnsi="Arial" w:cs="Arial"/>
                <w:b/>
                <w:u w:val="single"/>
              </w:rPr>
            </w:pPr>
            <w:r>
              <w:rPr>
                <w:rFonts w:ascii="Arial" w:eastAsia="Calibri" w:hAnsi="Arial" w:cs="Arial"/>
                <w:b/>
                <w:u w:val="single"/>
              </w:rPr>
              <w:t>60.00%</w:t>
            </w:r>
          </w:p>
          <w:p w14:paraId="6747C7B8" w14:textId="77777777" w:rsidR="00552B68" w:rsidRDefault="00552B68" w:rsidP="00552B68">
            <w:pPr>
              <w:jc w:val="center"/>
              <w:rPr>
                <w:rFonts w:ascii="Arial" w:eastAsia="Calibri" w:hAnsi="Arial" w:cs="Arial"/>
                <w:b/>
                <w:u w:val="single"/>
              </w:rPr>
            </w:pPr>
          </w:p>
          <w:p w14:paraId="29550779" w14:textId="218A5F7A" w:rsidR="00552B68" w:rsidRDefault="00552B68" w:rsidP="00552B68">
            <w:pPr>
              <w:jc w:val="center"/>
              <w:rPr>
                <w:rFonts w:ascii="Arial" w:eastAsia="Calibri" w:hAnsi="Arial" w:cs="Arial"/>
                <w:b/>
                <w:u w:val="single"/>
              </w:rPr>
            </w:pPr>
            <w:r>
              <w:rPr>
                <w:rFonts w:ascii="Arial" w:eastAsia="Calibri" w:hAnsi="Arial" w:cs="Arial"/>
                <w:b/>
                <w:u w:val="single"/>
              </w:rPr>
              <w:t>92.00%</w:t>
            </w:r>
          </w:p>
        </w:tc>
      </w:tr>
      <w:tr w:rsidR="00A84F8B" w:rsidRPr="004B1294" w14:paraId="3BBFC38F" w14:textId="77777777" w:rsidTr="00042E94">
        <w:tc>
          <w:tcPr>
            <w:tcW w:w="1550" w:type="dxa"/>
          </w:tcPr>
          <w:p w14:paraId="122E61DE" w14:textId="18170380" w:rsidR="00A84F8B" w:rsidRDefault="00A84F8B" w:rsidP="00042E94">
            <w:pPr>
              <w:jc w:val="center"/>
              <w:rPr>
                <w:rFonts w:ascii="Arial" w:hAnsi="Arial" w:cs="Arial"/>
                <w:b/>
              </w:rPr>
            </w:pPr>
            <w:r>
              <w:rPr>
                <w:rFonts w:ascii="Arial" w:hAnsi="Arial" w:cs="Arial"/>
                <w:b/>
              </w:rPr>
              <w:t>342</w:t>
            </w:r>
          </w:p>
        </w:tc>
        <w:tc>
          <w:tcPr>
            <w:tcW w:w="3255" w:type="dxa"/>
          </w:tcPr>
          <w:p w14:paraId="48884CF9" w14:textId="1C30A579" w:rsidR="00A84F8B" w:rsidRPr="00A84F8B" w:rsidRDefault="00A84F8B" w:rsidP="00A84F8B">
            <w:pPr>
              <w:jc w:val="both"/>
              <w:rPr>
                <w:rFonts w:ascii="Arial" w:hAnsi="Arial" w:cs="Arial"/>
                <w:b/>
                <w:lang w:val="es-MX"/>
              </w:rPr>
            </w:pPr>
            <w:r w:rsidRPr="00A84F8B">
              <w:rPr>
                <w:rFonts w:ascii="Arial" w:hAnsi="Arial" w:cs="Arial"/>
                <w:b/>
                <w:lang w:val="es-MX"/>
              </w:rPr>
              <w:t>MINISTERIO DEL TRABAJO.</w:t>
            </w:r>
          </w:p>
          <w:p w14:paraId="680D690A" w14:textId="77777777" w:rsidR="00A84F8B" w:rsidRDefault="00A84F8B" w:rsidP="00552B68">
            <w:pPr>
              <w:pStyle w:val="Prrafodelista"/>
              <w:ind w:left="0"/>
              <w:jc w:val="both"/>
              <w:rPr>
                <w:rFonts w:ascii="Arial" w:hAnsi="Arial" w:cs="Arial"/>
                <w:b/>
                <w:lang w:val="es-MX"/>
              </w:rPr>
            </w:pPr>
          </w:p>
          <w:p w14:paraId="10CD3F3C" w14:textId="77777777" w:rsidR="00A84F8B" w:rsidRDefault="00A84F8B" w:rsidP="00A84F8B">
            <w:pPr>
              <w:jc w:val="both"/>
              <w:rPr>
                <w:rFonts w:ascii="Arial" w:hAnsi="Arial" w:cs="Arial"/>
                <w:b/>
                <w:lang w:val="es-MX"/>
              </w:rPr>
            </w:pPr>
            <w:r>
              <w:rPr>
                <w:rFonts w:ascii="Arial" w:hAnsi="Arial" w:cs="Arial"/>
                <w:b/>
                <w:lang w:val="es-MX"/>
              </w:rPr>
              <w:t>FUNCIONAMIENTO</w:t>
            </w:r>
          </w:p>
          <w:p w14:paraId="2CFF8AC2" w14:textId="77777777" w:rsidR="00A84F8B" w:rsidRDefault="00A84F8B" w:rsidP="00A84F8B">
            <w:pPr>
              <w:jc w:val="both"/>
              <w:rPr>
                <w:rFonts w:ascii="Arial" w:hAnsi="Arial" w:cs="Arial"/>
                <w:b/>
                <w:lang w:val="es-MX"/>
              </w:rPr>
            </w:pPr>
            <w:r>
              <w:rPr>
                <w:rFonts w:ascii="Arial" w:hAnsi="Arial" w:cs="Arial"/>
                <w:b/>
                <w:lang w:val="es-MX"/>
              </w:rPr>
              <w:t>INVERSIÓN</w:t>
            </w:r>
          </w:p>
          <w:p w14:paraId="627B0386" w14:textId="77777777" w:rsidR="00A84F8B" w:rsidRDefault="00A84F8B" w:rsidP="00A84F8B">
            <w:pPr>
              <w:jc w:val="both"/>
              <w:rPr>
                <w:rFonts w:ascii="Arial" w:hAnsi="Arial" w:cs="Arial"/>
                <w:b/>
                <w:lang w:val="es-MX"/>
              </w:rPr>
            </w:pPr>
          </w:p>
          <w:p w14:paraId="186D43AA" w14:textId="24431DB9" w:rsidR="00A84F8B" w:rsidRPr="00552B68" w:rsidRDefault="00A84F8B" w:rsidP="00A84F8B">
            <w:pPr>
              <w:pStyle w:val="Prrafodelista"/>
              <w:ind w:left="0"/>
              <w:jc w:val="both"/>
              <w:rPr>
                <w:rFonts w:ascii="Arial" w:hAnsi="Arial" w:cs="Arial"/>
                <w:b/>
                <w:lang w:val="es-MX"/>
              </w:rPr>
            </w:pPr>
            <w:r>
              <w:rPr>
                <w:rFonts w:ascii="Arial" w:hAnsi="Arial" w:cs="Arial"/>
                <w:b/>
                <w:lang w:val="es-MX"/>
              </w:rPr>
              <w:t>TOTAL PRESUPUESTO</w:t>
            </w:r>
          </w:p>
        </w:tc>
        <w:tc>
          <w:tcPr>
            <w:tcW w:w="1839" w:type="dxa"/>
          </w:tcPr>
          <w:p w14:paraId="3F03562E" w14:textId="77777777" w:rsidR="00A84F8B" w:rsidRDefault="00A84F8B" w:rsidP="00042E94">
            <w:pPr>
              <w:jc w:val="center"/>
              <w:rPr>
                <w:rFonts w:ascii="Arial" w:eastAsia="Calibri" w:hAnsi="Arial" w:cs="Arial"/>
                <w:b/>
                <w:u w:val="single"/>
              </w:rPr>
            </w:pPr>
          </w:p>
          <w:p w14:paraId="42A83D46" w14:textId="77777777" w:rsidR="00A84F8B" w:rsidRDefault="00A84F8B" w:rsidP="00042E94">
            <w:pPr>
              <w:jc w:val="center"/>
              <w:rPr>
                <w:rFonts w:ascii="Arial" w:eastAsia="Calibri" w:hAnsi="Arial" w:cs="Arial"/>
                <w:b/>
                <w:u w:val="single"/>
              </w:rPr>
            </w:pPr>
          </w:p>
          <w:p w14:paraId="100F1480" w14:textId="693C5FD1" w:rsidR="00A84F8B" w:rsidRDefault="00A84F8B" w:rsidP="00042E94">
            <w:pPr>
              <w:jc w:val="center"/>
              <w:rPr>
                <w:rFonts w:ascii="Arial" w:eastAsia="Calibri" w:hAnsi="Arial" w:cs="Arial"/>
                <w:b/>
                <w:u w:val="single"/>
              </w:rPr>
            </w:pPr>
            <w:r>
              <w:rPr>
                <w:rFonts w:ascii="Arial" w:eastAsia="Calibri" w:hAnsi="Arial" w:cs="Arial"/>
                <w:b/>
                <w:u w:val="single"/>
              </w:rPr>
              <w:t>90.88%</w:t>
            </w:r>
          </w:p>
          <w:p w14:paraId="1D2CFDA0" w14:textId="2A9C2EF6" w:rsidR="00A84F8B" w:rsidRDefault="00A84F8B" w:rsidP="00042E94">
            <w:pPr>
              <w:jc w:val="center"/>
              <w:rPr>
                <w:rFonts w:ascii="Arial" w:eastAsia="Calibri" w:hAnsi="Arial" w:cs="Arial"/>
                <w:b/>
                <w:u w:val="single"/>
              </w:rPr>
            </w:pPr>
            <w:r>
              <w:rPr>
                <w:rFonts w:ascii="Arial" w:eastAsia="Calibri" w:hAnsi="Arial" w:cs="Arial"/>
                <w:b/>
                <w:u w:val="single"/>
              </w:rPr>
              <w:t>81.15%</w:t>
            </w:r>
          </w:p>
          <w:p w14:paraId="7CE7F2E7" w14:textId="77777777" w:rsidR="00A84F8B" w:rsidRDefault="00A84F8B" w:rsidP="00042E94">
            <w:pPr>
              <w:jc w:val="center"/>
              <w:rPr>
                <w:rFonts w:ascii="Arial" w:eastAsia="Calibri" w:hAnsi="Arial" w:cs="Arial"/>
                <w:b/>
                <w:u w:val="single"/>
              </w:rPr>
            </w:pPr>
          </w:p>
          <w:p w14:paraId="32C98535" w14:textId="01691C5F" w:rsidR="00A84F8B" w:rsidRDefault="00A84F8B" w:rsidP="00042E94">
            <w:pPr>
              <w:jc w:val="center"/>
              <w:rPr>
                <w:rFonts w:ascii="Arial" w:eastAsia="Calibri" w:hAnsi="Arial" w:cs="Arial"/>
                <w:b/>
                <w:u w:val="single"/>
              </w:rPr>
            </w:pPr>
            <w:r>
              <w:rPr>
                <w:rFonts w:ascii="Arial" w:eastAsia="Calibri" w:hAnsi="Arial" w:cs="Arial"/>
                <w:b/>
                <w:u w:val="single"/>
              </w:rPr>
              <w:t>90.87%</w:t>
            </w:r>
          </w:p>
        </w:tc>
        <w:tc>
          <w:tcPr>
            <w:tcW w:w="1804" w:type="dxa"/>
          </w:tcPr>
          <w:p w14:paraId="35213726" w14:textId="77777777" w:rsidR="00A84F8B" w:rsidRDefault="00A84F8B" w:rsidP="00042E94">
            <w:pPr>
              <w:jc w:val="center"/>
              <w:rPr>
                <w:rFonts w:ascii="Arial" w:eastAsia="Calibri" w:hAnsi="Arial" w:cs="Arial"/>
                <w:b/>
                <w:u w:val="single"/>
              </w:rPr>
            </w:pPr>
          </w:p>
          <w:p w14:paraId="05AD61B2" w14:textId="77777777" w:rsidR="00A84F8B" w:rsidRDefault="00A84F8B" w:rsidP="00042E94">
            <w:pPr>
              <w:jc w:val="center"/>
              <w:rPr>
                <w:rFonts w:ascii="Arial" w:eastAsia="Calibri" w:hAnsi="Arial" w:cs="Arial"/>
                <w:b/>
                <w:u w:val="single"/>
              </w:rPr>
            </w:pPr>
          </w:p>
          <w:p w14:paraId="6105EBCD" w14:textId="60286420" w:rsidR="00A84F8B" w:rsidRDefault="00A84F8B" w:rsidP="00042E94">
            <w:pPr>
              <w:jc w:val="center"/>
              <w:rPr>
                <w:rFonts w:ascii="Arial" w:eastAsia="Calibri" w:hAnsi="Arial" w:cs="Arial"/>
                <w:b/>
                <w:u w:val="single"/>
              </w:rPr>
            </w:pPr>
            <w:r>
              <w:rPr>
                <w:rFonts w:ascii="Arial" w:eastAsia="Calibri" w:hAnsi="Arial" w:cs="Arial"/>
                <w:b/>
                <w:u w:val="single"/>
              </w:rPr>
              <w:t>80.10%</w:t>
            </w:r>
          </w:p>
          <w:p w14:paraId="6D8EA92C" w14:textId="4C37DDAA" w:rsidR="00A84F8B" w:rsidRDefault="00A84F8B" w:rsidP="00042E94">
            <w:pPr>
              <w:jc w:val="center"/>
              <w:rPr>
                <w:rFonts w:ascii="Arial" w:eastAsia="Calibri" w:hAnsi="Arial" w:cs="Arial"/>
                <w:b/>
                <w:u w:val="single"/>
              </w:rPr>
            </w:pPr>
            <w:r>
              <w:rPr>
                <w:rFonts w:ascii="Arial" w:eastAsia="Calibri" w:hAnsi="Arial" w:cs="Arial"/>
                <w:b/>
                <w:u w:val="single"/>
              </w:rPr>
              <w:t>73.30%</w:t>
            </w:r>
          </w:p>
          <w:p w14:paraId="1E9408B4" w14:textId="77777777" w:rsidR="00A84F8B" w:rsidRDefault="00A84F8B" w:rsidP="00042E94">
            <w:pPr>
              <w:jc w:val="center"/>
              <w:rPr>
                <w:rFonts w:ascii="Arial" w:eastAsia="Calibri" w:hAnsi="Arial" w:cs="Arial"/>
                <w:b/>
                <w:u w:val="single"/>
              </w:rPr>
            </w:pPr>
          </w:p>
          <w:p w14:paraId="780821C9" w14:textId="45C0F7FA" w:rsidR="00A84F8B" w:rsidRDefault="00A84F8B" w:rsidP="00042E94">
            <w:pPr>
              <w:jc w:val="center"/>
              <w:rPr>
                <w:rFonts w:ascii="Arial" w:eastAsia="Calibri" w:hAnsi="Arial" w:cs="Arial"/>
                <w:b/>
                <w:u w:val="single"/>
              </w:rPr>
            </w:pPr>
            <w:r>
              <w:rPr>
                <w:rFonts w:ascii="Arial" w:eastAsia="Calibri" w:hAnsi="Arial" w:cs="Arial"/>
                <w:b/>
                <w:u w:val="single"/>
              </w:rPr>
              <w:t>80.02%</w:t>
            </w:r>
          </w:p>
        </w:tc>
        <w:tc>
          <w:tcPr>
            <w:tcW w:w="2042" w:type="dxa"/>
          </w:tcPr>
          <w:p w14:paraId="329FD755" w14:textId="77777777" w:rsidR="00A84F8B" w:rsidRDefault="00A84F8B" w:rsidP="00042E94">
            <w:pPr>
              <w:jc w:val="center"/>
              <w:rPr>
                <w:rFonts w:ascii="Arial" w:eastAsia="Calibri" w:hAnsi="Arial" w:cs="Arial"/>
                <w:b/>
                <w:u w:val="single"/>
              </w:rPr>
            </w:pPr>
          </w:p>
          <w:p w14:paraId="53717DB4" w14:textId="77777777" w:rsidR="00A84F8B" w:rsidRDefault="00A84F8B" w:rsidP="00042E94">
            <w:pPr>
              <w:jc w:val="center"/>
              <w:rPr>
                <w:rFonts w:ascii="Arial" w:eastAsia="Calibri" w:hAnsi="Arial" w:cs="Arial"/>
                <w:b/>
                <w:u w:val="single"/>
              </w:rPr>
            </w:pPr>
          </w:p>
          <w:p w14:paraId="7B790888" w14:textId="3112C3DB" w:rsidR="00A84F8B" w:rsidRDefault="00A84F8B" w:rsidP="00042E94">
            <w:pPr>
              <w:jc w:val="center"/>
              <w:rPr>
                <w:rFonts w:ascii="Arial" w:eastAsia="Calibri" w:hAnsi="Arial" w:cs="Arial"/>
                <w:b/>
                <w:u w:val="single"/>
              </w:rPr>
            </w:pPr>
            <w:r>
              <w:rPr>
                <w:rFonts w:ascii="Arial" w:eastAsia="Calibri" w:hAnsi="Arial" w:cs="Arial"/>
                <w:b/>
                <w:u w:val="single"/>
              </w:rPr>
              <w:t>80.09%</w:t>
            </w:r>
          </w:p>
          <w:p w14:paraId="43C627B1" w14:textId="72ED9176" w:rsidR="00A84F8B" w:rsidRDefault="00A84F8B" w:rsidP="00042E94">
            <w:pPr>
              <w:jc w:val="center"/>
              <w:rPr>
                <w:rFonts w:ascii="Arial" w:eastAsia="Calibri" w:hAnsi="Arial" w:cs="Arial"/>
                <w:b/>
                <w:u w:val="single"/>
              </w:rPr>
            </w:pPr>
            <w:r>
              <w:rPr>
                <w:rFonts w:ascii="Arial" w:eastAsia="Calibri" w:hAnsi="Arial" w:cs="Arial"/>
                <w:b/>
                <w:u w:val="single"/>
              </w:rPr>
              <w:t>71.37%</w:t>
            </w:r>
          </w:p>
          <w:p w14:paraId="20BED9E9" w14:textId="77777777" w:rsidR="00A84F8B" w:rsidRDefault="00A84F8B" w:rsidP="00042E94">
            <w:pPr>
              <w:jc w:val="center"/>
              <w:rPr>
                <w:rFonts w:ascii="Arial" w:eastAsia="Calibri" w:hAnsi="Arial" w:cs="Arial"/>
                <w:b/>
                <w:u w:val="single"/>
              </w:rPr>
            </w:pPr>
          </w:p>
          <w:p w14:paraId="6B050C8F" w14:textId="275BE67E" w:rsidR="00A84F8B" w:rsidRDefault="00A84F8B" w:rsidP="00042E94">
            <w:pPr>
              <w:jc w:val="center"/>
              <w:rPr>
                <w:rFonts w:ascii="Arial" w:eastAsia="Calibri" w:hAnsi="Arial" w:cs="Arial"/>
                <w:b/>
                <w:u w:val="single"/>
              </w:rPr>
            </w:pPr>
            <w:r>
              <w:rPr>
                <w:rFonts w:ascii="Arial" w:eastAsia="Calibri" w:hAnsi="Arial" w:cs="Arial"/>
                <w:b/>
                <w:u w:val="single"/>
              </w:rPr>
              <w:t>80.00%</w:t>
            </w:r>
          </w:p>
        </w:tc>
      </w:tr>
      <w:tr w:rsidR="003D35A3" w:rsidRPr="004B1294" w14:paraId="4629A999" w14:textId="77777777" w:rsidTr="00042E94">
        <w:tc>
          <w:tcPr>
            <w:tcW w:w="1550" w:type="dxa"/>
          </w:tcPr>
          <w:p w14:paraId="2E16BF6D" w14:textId="7DD28394" w:rsidR="003D35A3" w:rsidRDefault="003D35A3" w:rsidP="00042E94">
            <w:pPr>
              <w:jc w:val="center"/>
              <w:rPr>
                <w:rFonts w:ascii="Arial" w:hAnsi="Arial" w:cs="Arial"/>
                <w:b/>
              </w:rPr>
            </w:pPr>
            <w:r>
              <w:rPr>
                <w:rFonts w:ascii="Arial" w:hAnsi="Arial" w:cs="Arial"/>
                <w:b/>
              </w:rPr>
              <w:t>343</w:t>
            </w:r>
          </w:p>
        </w:tc>
        <w:tc>
          <w:tcPr>
            <w:tcW w:w="3255" w:type="dxa"/>
          </w:tcPr>
          <w:p w14:paraId="4627A2B2" w14:textId="2D3A7A5D" w:rsidR="003D35A3" w:rsidRPr="003D35A3" w:rsidRDefault="003D35A3" w:rsidP="003D35A3">
            <w:pPr>
              <w:jc w:val="both"/>
              <w:rPr>
                <w:rFonts w:ascii="Arial" w:hAnsi="Arial" w:cs="Arial"/>
                <w:b/>
                <w:lang w:val="es-MX"/>
              </w:rPr>
            </w:pPr>
            <w:r w:rsidRPr="003D35A3">
              <w:rPr>
                <w:rFonts w:ascii="Arial" w:hAnsi="Arial" w:cs="Arial"/>
                <w:b/>
                <w:lang w:val="es-MX"/>
              </w:rPr>
              <w:t>AGENCIA NACIONAL DE TIERRAS - ANT.</w:t>
            </w:r>
          </w:p>
          <w:p w14:paraId="7D3E1FC9" w14:textId="77777777" w:rsidR="003D35A3" w:rsidRDefault="003D35A3" w:rsidP="003D35A3">
            <w:pPr>
              <w:jc w:val="both"/>
              <w:rPr>
                <w:rFonts w:ascii="Arial" w:hAnsi="Arial" w:cs="Arial"/>
                <w:b/>
                <w:lang w:val="es-MX"/>
              </w:rPr>
            </w:pPr>
            <w:r>
              <w:rPr>
                <w:rFonts w:ascii="Arial" w:hAnsi="Arial" w:cs="Arial"/>
                <w:b/>
                <w:lang w:val="es-MX"/>
              </w:rPr>
              <w:lastRenderedPageBreak/>
              <w:t>FUNCIONAMIENTO</w:t>
            </w:r>
          </w:p>
          <w:p w14:paraId="535656D5" w14:textId="77777777" w:rsidR="003D35A3" w:rsidRDefault="003D35A3" w:rsidP="003D35A3">
            <w:pPr>
              <w:jc w:val="both"/>
              <w:rPr>
                <w:rFonts w:ascii="Arial" w:hAnsi="Arial" w:cs="Arial"/>
                <w:b/>
                <w:lang w:val="es-MX"/>
              </w:rPr>
            </w:pPr>
            <w:r>
              <w:rPr>
                <w:rFonts w:ascii="Arial" w:hAnsi="Arial" w:cs="Arial"/>
                <w:b/>
                <w:lang w:val="es-MX"/>
              </w:rPr>
              <w:t>INVERSIÓN</w:t>
            </w:r>
          </w:p>
          <w:p w14:paraId="324E0A1D" w14:textId="77777777" w:rsidR="003D35A3" w:rsidRDefault="003D35A3" w:rsidP="003D35A3">
            <w:pPr>
              <w:jc w:val="both"/>
              <w:rPr>
                <w:rFonts w:ascii="Arial" w:hAnsi="Arial" w:cs="Arial"/>
                <w:b/>
                <w:lang w:val="es-MX"/>
              </w:rPr>
            </w:pPr>
          </w:p>
          <w:p w14:paraId="39BA754A" w14:textId="76E6C11D" w:rsidR="003D35A3" w:rsidRPr="00A84F8B" w:rsidRDefault="003D35A3" w:rsidP="003D35A3">
            <w:pPr>
              <w:jc w:val="both"/>
              <w:rPr>
                <w:rFonts w:ascii="Arial" w:hAnsi="Arial" w:cs="Arial"/>
                <w:b/>
                <w:lang w:val="es-MX"/>
              </w:rPr>
            </w:pPr>
            <w:r>
              <w:rPr>
                <w:rFonts w:ascii="Arial" w:hAnsi="Arial" w:cs="Arial"/>
                <w:b/>
                <w:lang w:val="es-MX"/>
              </w:rPr>
              <w:t>TOTAL PRESUPUESTO</w:t>
            </w:r>
          </w:p>
        </w:tc>
        <w:tc>
          <w:tcPr>
            <w:tcW w:w="1839" w:type="dxa"/>
          </w:tcPr>
          <w:p w14:paraId="50767777" w14:textId="77777777" w:rsidR="003D35A3" w:rsidRDefault="003D35A3" w:rsidP="00042E94">
            <w:pPr>
              <w:jc w:val="center"/>
              <w:rPr>
                <w:rFonts w:ascii="Arial" w:eastAsia="Calibri" w:hAnsi="Arial" w:cs="Arial"/>
                <w:b/>
                <w:u w:val="single"/>
              </w:rPr>
            </w:pPr>
          </w:p>
          <w:p w14:paraId="06864017" w14:textId="77777777" w:rsidR="003D35A3" w:rsidRDefault="003D35A3" w:rsidP="00042E94">
            <w:pPr>
              <w:jc w:val="center"/>
              <w:rPr>
                <w:rFonts w:ascii="Arial" w:eastAsia="Calibri" w:hAnsi="Arial" w:cs="Arial"/>
                <w:b/>
                <w:u w:val="single"/>
              </w:rPr>
            </w:pPr>
          </w:p>
          <w:p w14:paraId="43A4E065" w14:textId="77BBA1F9" w:rsidR="003D35A3" w:rsidRDefault="003D35A3" w:rsidP="00042E94">
            <w:pPr>
              <w:jc w:val="center"/>
              <w:rPr>
                <w:rFonts w:ascii="Arial" w:eastAsia="Calibri" w:hAnsi="Arial" w:cs="Arial"/>
                <w:b/>
                <w:u w:val="single"/>
              </w:rPr>
            </w:pPr>
            <w:r>
              <w:rPr>
                <w:rFonts w:ascii="Arial" w:eastAsia="Calibri" w:hAnsi="Arial" w:cs="Arial"/>
                <w:b/>
                <w:u w:val="single"/>
              </w:rPr>
              <w:lastRenderedPageBreak/>
              <w:t>98.00%</w:t>
            </w:r>
          </w:p>
          <w:p w14:paraId="43AC891C" w14:textId="5EBB571A" w:rsidR="003D35A3" w:rsidRDefault="003D35A3" w:rsidP="00042E94">
            <w:pPr>
              <w:jc w:val="center"/>
              <w:rPr>
                <w:rFonts w:ascii="Arial" w:eastAsia="Calibri" w:hAnsi="Arial" w:cs="Arial"/>
                <w:b/>
                <w:u w:val="single"/>
              </w:rPr>
            </w:pPr>
            <w:r>
              <w:rPr>
                <w:rFonts w:ascii="Arial" w:eastAsia="Calibri" w:hAnsi="Arial" w:cs="Arial"/>
                <w:b/>
                <w:u w:val="single"/>
              </w:rPr>
              <w:t>98.00%</w:t>
            </w:r>
          </w:p>
          <w:p w14:paraId="1B54CDBC" w14:textId="77777777" w:rsidR="003D35A3" w:rsidRDefault="003D35A3" w:rsidP="00042E94">
            <w:pPr>
              <w:jc w:val="center"/>
              <w:rPr>
                <w:rFonts w:ascii="Arial" w:eastAsia="Calibri" w:hAnsi="Arial" w:cs="Arial"/>
                <w:b/>
                <w:u w:val="single"/>
              </w:rPr>
            </w:pPr>
          </w:p>
          <w:p w14:paraId="413276AB" w14:textId="559A43FD" w:rsidR="003D35A3" w:rsidRDefault="003D35A3" w:rsidP="00042E94">
            <w:pPr>
              <w:jc w:val="center"/>
              <w:rPr>
                <w:rFonts w:ascii="Arial" w:eastAsia="Calibri" w:hAnsi="Arial" w:cs="Arial"/>
                <w:b/>
                <w:u w:val="single"/>
              </w:rPr>
            </w:pPr>
            <w:r>
              <w:rPr>
                <w:rFonts w:ascii="Arial" w:eastAsia="Calibri" w:hAnsi="Arial" w:cs="Arial"/>
                <w:b/>
                <w:u w:val="single"/>
              </w:rPr>
              <w:t>98.00%</w:t>
            </w:r>
          </w:p>
        </w:tc>
        <w:tc>
          <w:tcPr>
            <w:tcW w:w="1804" w:type="dxa"/>
          </w:tcPr>
          <w:p w14:paraId="1661479E" w14:textId="77777777" w:rsidR="003D35A3" w:rsidRDefault="003D35A3" w:rsidP="00042E94">
            <w:pPr>
              <w:jc w:val="center"/>
              <w:rPr>
                <w:rFonts w:ascii="Arial" w:eastAsia="Calibri" w:hAnsi="Arial" w:cs="Arial"/>
                <w:b/>
                <w:u w:val="single"/>
              </w:rPr>
            </w:pPr>
          </w:p>
          <w:p w14:paraId="07E4332B" w14:textId="77777777" w:rsidR="003D35A3" w:rsidRDefault="003D35A3" w:rsidP="00042E94">
            <w:pPr>
              <w:jc w:val="center"/>
              <w:rPr>
                <w:rFonts w:ascii="Arial" w:eastAsia="Calibri" w:hAnsi="Arial" w:cs="Arial"/>
                <w:b/>
                <w:u w:val="single"/>
              </w:rPr>
            </w:pPr>
          </w:p>
          <w:p w14:paraId="1B87FA4B" w14:textId="1936A03E" w:rsidR="003D35A3" w:rsidRDefault="003D35A3" w:rsidP="00042E94">
            <w:pPr>
              <w:jc w:val="center"/>
              <w:rPr>
                <w:rFonts w:ascii="Arial" w:eastAsia="Calibri" w:hAnsi="Arial" w:cs="Arial"/>
                <w:b/>
                <w:u w:val="single"/>
              </w:rPr>
            </w:pPr>
            <w:r>
              <w:rPr>
                <w:rFonts w:ascii="Arial" w:eastAsia="Calibri" w:hAnsi="Arial" w:cs="Arial"/>
                <w:b/>
                <w:u w:val="single"/>
              </w:rPr>
              <w:lastRenderedPageBreak/>
              <w:t>55.00%</w:t>
            </w:r>
          </w:p>
          <w:p w14:paraId="5F4E981F" w14:textId="4444FB47" w:rsidR="003D35A3" w:rsidRDefault="003D35A3" w:rsidP="00042E94">
            <w:pPr>
              <w:jc w:val="center"/>
              <w:rPr>
                <w:rFonts w:ascii="Arial" w:eastAsia="Calibri" w:hAnsi="Arial" w:cs="Arial"/>
                <w:b/>
                <w:u w:val="single"/>
              </w:rPr>
            </w:pPr>
            <w:r>
              <w:rPr>
                <w:rFonts w:ascii="Arial" w:eastAsia="Calibri" w:hAnsi="Arial" w:cs="Arial"/>
                <w:b/>
                <w:u w:val="single"/>
              </w:rPr>
              <w:t>20.00%</w:t>
            </w:r>
          </w:p>
          <w:p w14:paraId="2325D99A" w14:textId="77777777" w:rsidR="003D35A3" w:rsidRDefault="003D35A3" w:rsidP="00042E94">
            <w:pPr>
              <w:jc w:val="center"/>
              <w:rPr>
                <w:rFonts w:ascii="Arial" w:eastAsia="Calibri" w:hAnsi="Arial" w:cs="Arial"/>
                <w:b/>
                <w:u w:val="single"/>
              </w:rPr>
            </w:pPr>
          </w:p>
          <w:p w14:paraId="47FF4F58" w14:textId="65F4910F" w:rsidR="003D35A3" w:rsidRDefault="003D35A3" w:rsidP="00042E94">
            <w:pPr>
              <w:jc w:val="center"/>
              <w:rPr>
                <w:rFonts w:ascii="Arial" w:eastAsia="Calibri" w:hAnsi="Arial" w:cs="Arial"/>
                <w:b/>
                <w:u w:val="single"/>
              </w:rPr>
            </w:pPr>
            <w:r>
              <w:rPr>
                <w:rFonts w:ascii="Arial" w:eastAsia="Calibri" w:hAnsi="Arial" w:cs="Arial"/>
                <w:b/>
                <w:u w:val="single"/>
              </w:rPr>
              <w:t>21.00%</w:t>
            </w:r>
          </w:p>
        </w:tc>
        <w:tc>
          <w:tcPr>
            <w:tcW w:w="2042" w:type="dxa"/>
          </w:tcPr>
          <w:p w14:paraId="05FF5796" w14:textId="77777777" w:rsidR="003D35A3" w:rsidRDefault="003D35A3" w:rsidP="00042E94">
            <w:pPr>
              <w:jc w:val="center"/>
              <w:rPr>
                <w:rFonts w:ascii="Arial" w:eastAsia="Calibri" w:hAnsi="Arial" w:cs="Arial"/>
                <w:b/>
                <w:u w:val="single"/>
              </w:rPr>
            </w:pPr>
          </w:p>
          <w:p w14:paraId="7F45ABFB" w14:textId="77777777" w:rsidR="003D35A3" w:rsidRDefault="003D35A3" w:rsidP="00042E94">
            <w:pPr>
              <w:jc w:val="center"/>
              <w:rPr>
                <w:rFonts w:ascii="Arial" w:eastAsia="Calibri" w:hAnsi="Arial" w:cs="Arial"/>
                <w:b/>
                <w:u w:val="single"/>
              </w:rPr>
            </w:pPr>
          </w:p>
          <w:p w14:paraId="5BE5FAAB" w14:textId="025CE341" w:rsidR="003D35A3" w:rsidRDefault="003D35A3" w:rsidP="00042E94">
            <w:pPr>
              <w:jc w:val="center"/>
              <w:rPr>
                <w:rFonts w:ascii="Arial" w:eastAsia="Calibri" w:hAnsi="Arial" w:cs="Arial"/>
                <w:b/>
                <w:u w:val="single"/>
              </w:rPr>
            </w:pPr>
            <w:r>
              <w:rPr>
                <w:rFonts w:ascii="Arial" w:eastAsia="Calibri" w:hAnsi="Arial" w:cs="Arial"/>
                <w:b/>
                <w:u w:val="single"/>
              </w:rPr>
              <w:lastRenderedPageBreak/>
              <w:t>55.00%</w:t>
            </w:r>
          </w:p>
          <w:p w14:paraId="07F961D9" w14:textId="7DA2B530" w:rsidR="003D35A3" w:rsidRDefault="003D35A3" w:rsidP="00042E94">
            <w:pPr>
              <w:jc w:val="center"/>
              <w:rPr>
                <w:rFonts w:ascii="Arial" w:eastAsia="Calibri" w:hAnsi="Arial" w:cs="Arial"/>
                <w:b/>
                <w:u w:val="single"/>
              </w:rPr>
            </w:pPr>
            <w:r>
              <w:rPr>
                <w:rFonts w:ascii="Arial" w:eastAsia="Calibri" w:hAnsi="Arial" w:cs="Arial"/>
                <w:b/>
                <w:u w:val="single"/>
              </w:rPr>
              <w:t>20.00%</w:t>
            </w:r>
          </w:p>
          <w:p w14:paraId="0F521962" w14:textId="77777777" w:rsidR="003D35A3" w:rsidRDefault="003D35A3" w:rsidP="00042E94">
            <w:pPr>
              <w:jc w:val="center"/>
              <w:rPr>
                <w:rFonts w:ascii="Arial" w:eastAsia="Calibri" w:hAnsi="Arial" w:cs="Arial"/>
                <w:b/>
                <w:u w:val="single"/>
              </w:rPr>
            </w:pPr>
          </w:p>
          <w:p w14:paraId="2893B8EA" w14:textId="7C6E2B77" w:rsidR="003D35A3" w:rsidRDefault="003D35A3" w:rsidP="00042E94">
            <w:pPr>
              <w:jc w:val="center"/>
              <w:rPr>
                <w:rFonts w:ascii="Arial" w:eastAsia="Calibri" w:hAnsi="Arial" w:cs="Arial"/>
                <w:b/>
                <w:u w:val="single"/>
              </w:rPr>
            </w:pPr>
            <w:r>
              <w:rPr>
                <w:rFonts w:ascii="Arial" w:eastAsia="Calibri" w:hAnsi="Arial" w:cs="Arial"/>
                <w:b/>
                <w:u w:val="single"/>
              </w:rPr>
              <w:t>21.00%</w:t>
            </w:r>
          </w:p>
        </w:tc>
      </w:tr>
      <w:tr w:rsidR="00E6244E" w:rsidRPr="004B1294" w14:paraId="7C6D5F36" w14:textId="77777777" w:rsidTr="00042E94">
        <w:tc>
          <w:tcPr>
            <w:tcW w:w="1550" w:type="dxa"/>
          </w:tcPr>
          <w:p w14:paraId="79FF7676" w14:textId="27181261" w:rsidR="00E6244E" w:rsidRDefault="00E6244E" w:rsidP="00042E94">
            <w:pPr>
              <w:jc w:val="center"/>
              <w:rPr>
                <w:rFonts w:ascii="Arial" w:hAnsi="Arial" w:cs="Arial"/>
                <w:b/>
              </w:rPr>
            </w:pPr>
            <w:r>
              <w:rPr>
                <w:rFonts w:ascii="Arial" w:hAnsi="Arial" w:cs="Arial"/>
                <w:b/>
              </w:rPr>
              <w:lastRenderedPageBreak/>
              <w:t>344</w:t>
            </w:r>
          </w:p>
        </w:tc>
        <w:tc>
          <w:tcPr>
            <w:tcW w:w="3255" w:type="dxa"/>
          </w:tcPr>
          <w:p w14:paraId="1A6A2AF9" w14:textId="62DE2E4E" w:rsidR="00E6244E" w:rsidRPr="00E6244E" w:rsidRDefault="00E6244E" w:rsidP="00E6244E">
            <w:pPr>
              <w:jc w:val="both"/>
              <w:rPr>
                <w:rFonts w:ascii="Arial" w:hAnsi="Arial" w:cs="Arial"/>
                <w:b/>
                <w:lang w:val="es-MX"/>
              </w:rPr>
            </w:pPr>
            <w:r w:rsidRPr="00E6244E">
              <w:rPr>
                <w:rFonts w:ascii="Arial" w:hAnsi="Arial" w:cs="Arial"/>
                <w:b/>
                <w:lang w:val="es-MX"/>
              </w:rPr>
              <w:t>SUPERINTENDENCIA DE NOTARIADO Y REGISTRO.</w:t>
            </w:r>
          </w:p>
          <w:p w14:paraId="4F2239C4" w14:textId="77777777" w:rsidR="00E6244E" w:rsidRDefault="00E6244E" w:rsidP="003D35A3">
            <w:pPr>
              <w:jc w:val="both"/>
              <w:rPr>
                <w:rFonts w:ascii="Arial" w:hAnsi="Arial" w:cs="Arial"/>
                <w:b/>
                <w:lang w:val="es-MX"/>
              </w:rPr>
            </w:pPr>
          </w:p>
          <w:p w14:paraId="6B98EC2A" w14:textId="77777777" w:rsidR="00E6244E" w:rsidRDefault="00E6244E" w:rsidP="00E6244E">
            <w:pPr>
              <w:jc w:val="both"/>
              <w:rPr>
                <w:rFonts w:ascii="Arial" w:hAnsi="Arial" w:cs="Arial"/>
                <w:b/>
                <w:lang w:val="es-MX"/>
              </w:rPr>
            </w:pPr>
            <w:r>
              <w:rPr>
                <w:rFonts w:ascii="Arial" w:hAnsi="Arial" w:cs="Arial"/>
                <w:b/>
                <w:lang w:val="es-MX"/>
              </w:rPr>
              <w:t>FUNCIONAMIENTO</w:t>
            </w:r>
          </w:p>
          <w:p w14:paraId="64A8FF97" w14:textId="77777777" w:rsidR="00E6244E" w:rsidRDefault="00E6244E" w:rsidP="00E6244E">
            <w:pPr>
              <w:jc w:val="both"/>
              <w:rPr>
                <w:rFonts w:ascii="Arial" w:hAnsi="Arial" w:cs="Arial"/>
                <w:b/>
                <w:lang w:val="es-MX"/>
              </w:rPr>
            </w:pPr>
            <w:r>
              <w:rPr>
                <w:rFonts w:ascii="Arial" w:hAnsi="Arial" w:cs="Arial"/>
                <w:b/>
                <w:lang w:val="es-MX"/>
              </w:rPr>
              <w:t>INVERSIÓN</w:t>
            </w:r>
          </w:p>
          <w:p w14:paraId="42623945" w14:textId="77777777" w:rsidR="00E6244E" w:rsidRDefault="00E6244E" w:rsidP="00E6244E">
            <w:pPr>
              <w:jc w:val="both"/>
              <w:rPr>
                <w:rFonts w:ascii="Arial" w:hAnsi="Arial" w:cs="Arial"/>
                <w:b/>
                <w:lang w:val="es-MX"/>
              </w:rPr>
            </w:pPr>
          </w:p>
          <w:p w14:paraId="587095C3" w14:textId="4D3BD7BE" w:rsidR="00E6244E" w:rsidRPr="003D35A3" w:rsidRDefault="00E6244E" w:rsidP="00E6244E">
            <w:pPr>
              <w:jc w:val="both"/>
              <w:rPr>
                <w:rFonts w:ascii="Arial" w:hAnsi="Arial" w:cs="Arial"/>
                <w:b/>
                <w:lang w:val="es-MX"/>
              </w:rPr>
            </w:pPr>
            <w:r>
              <w:rPr>
                <w:rFonts w:ascii="Arial" w:hAnsi="Arial" w:cs="Arial"/>
                <w:b/>
                <w:lang w:val="es-MX"/>
              </w:rPr>
              <w:t>TOTAL PRESUPUESTO</w:t>
            </w:r>
          </w:p>
        </w:tc>
        <w:tc>
          <w:tcPr>
            <w:tcW w:w="1839" w:type="dxa"/>
          </w:tcPr>
          <w:p w14:paraId="70A2D4F1" w14:textId="77777777" w:rsidR="00E6244E" w:rsidRDefault="00E6244E" w:rsidP="00042E94">
            <w:pPr>
              <w:jc w:val="center"/>
              <w:rPr>
                <w:rFonts w:ascii="Arial" w:eastAsia="Calibri" w:hAnsi="Arial" w:cs="Arial"/>
                <w:b/>
                <w:u w:val="single"/>
              </w:rPr>
            </w:pPr>
          </w:p>
          <w:p w14:paraId="5AF8AD07" w14:textId="77777777" w:rsidR="00E6244E" w:rsidRDefault="00E6244E" w:rsidP="00042E94">
            <w:pPr>
              <w:jc w:val="center"/>
              <w:rPr>
                <w:rFonts w:ascii="Arial" w:eastAsia="Calibri" w:hAnsi="Arial" w:cs="Arial"/>
                <w:b/>
                <w:u w:val="single"/>
              </w:rPr>
            </w:pPr>
          </w:p>
          <w:p w14:paraId="1F1B7F15" w14:textId="77777777" w:rsidR="00E6244E" w:rsidRDefault="00E6244E" w:rsidP="00042E94">
            <w:pPr>
              <w:jc w:val="center"/>
              <w:rPr>
                <w:rFonts w:ascii="Arial" w:eastAsia="Calibri" w:hAnsi="Arial" w:cs="Arial"/>
                <w:b/>
                <w:u w:val="single"/>
              </w:rPr>
            </w:pPr>
          </w:p>
          <w:p w14:paraId="080B4F48" w14:textId="50E09DB0" w:rsidR="00E6244E" w:rsidRDefault="00E6244E" w:rsidP="00042E94">
            <w:pPr>
              <w:jc w:val="center"/>
              <w:rPr>
                <w:rFonts w:ascii="Arial" w:eastAsia="Calibri" w:hAnsi="Arial" w:cs="Arial"/>
                <w:b/>
                <w:u w:val="single"/>
              </w:rPr>
            </w:pPr>
            <w:r>
              <w:rPr>
                <w:rFonts w:ascii="Arial" w:eastAsia="Calibri" w:hAnsi="Arial" w:cs="Arial"/>
                <w:b/>
                <w:u w:val="single"/>
              </w:rPr>
              <w:t>68.00%</w:t>
            </w:r>
          </w:p>
          <w:p w14:paraId="6B09D28D" w14:textId="776A1325" w:rsidR="00E6244E" w:rsidRDefault="00E6244E" w:rsidP="00042E94">
            <w:pPr>
              <w:jc w:val="center"/>
              <w:rPr>
                <w:rFonts w:ascii="Arial" w:eastAsia="Calibri" w:hAnsi="Arial" w:cs="Arial"/>
                <w:b/>
                <w:u w:val="single"/>
              </w:rPr>
            </w:pPr>
            <w:r>
              <w:rPr>
                <w:rFonts w:ascii="Arial" w:eastAsia="Calibri" w:hAnsi="Arial" w:cs="Arial"/>
                <w:b/>
                <w:u w:val="single"/>
              </w:rPr>
              <w:t>91.00%</w:t>
            </w:r>
          </w:p>
          <w:p w14:paraId="0A07E875" w14:textId="77777777" w:rsidR="00E6244E" w:rsidRDefault="00E6244E" w:rsidP="00042E94">
            <w:pPr>
              <w:jc w:val="center"/>
              <w:rPr>
                <w:rFonts w:ascii="Arial" w:eastAsia="Calibri" w:hAnsi="Arial" w:cs="Arial"/>
                <w:b/>
                <w:u w:val="single"/>
              </w:rPr>
            </w:pPr>
          </w:p>
          <w:p w14:paraId="722E2E48" w14:textId="3E60BC4E" w:rsidR="00E6244E" w:rsidRDefault="00E6244E" w:rsidP="00042E94">
            <w:pPr>
              <w:jc w:val="center"/>
              <w:rPr>
                <w:rFonts w:ascii="Arial" w:eastAsia="Calibri" w:hAnsi="Arial" w:cs="Arial"/>
                <w:b/>
                <w:u w:val="single"/>
              </w:rPr>
            </w:pPr>
            <w:r>
              <w:rPr>
                <w:rFonts w:ascii="Arial" w:eastAsia="Calibri" w:hAnsi="Arial" w:cs="Arial"/>
                <w:b/>
                <w:u w:val="single"/>
              </w:rPr>
              <w:t>72.00%</w:t>
            </w:r>
          </w:p>
        </w:tc>
        <w:tc>
          <w:tcPr>
            <w:tcW w:w="1804" w:type="dxa"/>
          </w:tcPr>
          <w:p w14:paraId="11F30004" w14:textId="77777777" w:rsidR="00E6244E" w:rsidRDefault="00E6244E" w:rsidP="00042E94">
            <w:pPr>
              <w:jc w:val="center"/>
              <w:rPr>
                <w:rFonts w:ascii="Arial" w:eastAsia="Calibri" w:hAnsi="Arial" w:cs="Arial"/>
                <w:b/>
                <w:u w:val="single"/>
              </w:rPr>
            </w:pPr>
          </w:p>
          <w:p w14:paraId="456F0C2E" w14:textId="77777777" w:rsidR="00E6244E" w:rsidRDefault="00E6244E" w:rsidP="00042E94">
            <w:pPr>
              <w:jc w:val="center"/>
              <w:rPr>
                <w:rFonts w:ascii="Arial" w:eastAsia="Calibri" w:hAnsi="Arial" w:cs="Arial"/>
                <w:b/>
                <w:u w:val="single"/>
              </w:rPr>
            </w:pPr>
          </w:p>
          <w:p w14:paraId="3BD784CB" w14:textId="77777777" w:rsidR="00E6244E" w:rsidRDefault="00E6244E" w:rsidP="00042E94">
            <w:pPr>
              <w:jc w:val="center"/>
              <w:rPr>
                <w:rFonts w:ascii="Arial" w:eastAsia="Calibri" w:hAnsi="Arial" w:cs="Arial"/>
                <w:b/>
                <w:u w:val="single"/>
              </w:rPr>
            </w:pPr>
          </w:p>
          <w:p w14:paraId="79095DC7" w14:textId="40B8A4FB" w:rsidR="00E6244E" w:rsidRDefault="00E6244E" w:rsidP="00042E94">
            <w:pPr>
              <w:jc w:val="center"/>
              <w:rPr>
                <w:rFonts w:ascii="Arial" w:eastAsia="Calibri" w:hAnsi="Arial" w:cs="Arial"/>
                <w:b/>
                <w:u w:val="single"/>
              </w:rPr>
            </w:pPr>
            <w:r>
              <w:rPr>
                <w:rFonts w:ascii="Arial" w:eastAsia="Calibri" w:hAnsi="Arial" w:cs="Arial"/>
                <w:b/>
                <w:u w:val="single"/>
              </w:rPr>
              <w:t>67.00%</w:t>
            </w:r>
          </w:p>
          <w:p w14:paraId="5FA952EB" w14:textId="76222841" w:rsidR="00E6244E" w:rsidRDefault="00E6244E" w:rsidP="00042E94">
            <w:pPr>
              <w:jc w:val="center"/>
              <w:rPr>
                <w:rFonts w:ascii="Arial" w:eastAsia="Calibri" w:hAnsi="Arial" w:cs="Arial"/>
                <w:b/>
                <w:u w:val="single"/>
              </w:rPr>
            </w:pPr>
            <w:r>
              <w:rPr>
                <w:rFonts w:ascii="Arial" w:eastAsia="Calibri" w:hAnsi="Arial" w:cs="Arial"/>
                <w:b/>
                <w:u w:val="single"/>
              </w:rPr>
              <w:t>78.00%</w:t>
            </w:r>
          </w:p>
          <w:p w14:paraId="45310C8D" w14:textId="77777777" w:rsidR="00E6244E" w:rsidRDefault="00E6244E" w:rsidP="00042E94">
            <w:pPr>
              <w:jc w:val="center"/>
              <w:rPr>
                <w:rFonts w:ascii="Arial" w:eastAsia="Calibri" w:hAnsi="Arial" w:cs="Arial"/>
                <w:b/>
                <w:u w:val="single"/>
              </w:rPr>
            </w:pPr>
          </w:p>
          <w:p w14:paraId="70B27531" w14:textId="1CBA5DBE" w:rsidR="00E6244E" w:rsidRDefault="00E6244E" w:rsidP="00042E94">
            <w:pPr>
              <w:jc w:val="center"/>
              <w:rPr>
                <w:rFonts w:ascii="Arial" w:eastAsia="Calibri" w:hAnsi="Arial" w:cs="Arial"/>
                <w:b/>
                <w:u w:val="single"/>
              </w:rPr>
            </w:pPr>
            <w:r>
              <w:rPr>
                <w:rFonts w:ascii="Arial" w:eastAsia="Calibri" w:hAnsi="Arial" w:cs="Arial"/>
                <w:b/>
                <w:u w:val="single"/>
              </w:rPr>
              <w:t>69.00%</w:t>
            </w:r>
          </w:p>
        </w:tc>
        <w:tc>
          <w:tcPr>
            <w:tcW w:w="2042" w:type="dxa"/>
          </w:tcPr>
          <w:p w14:paraId="7F3E4D2A" w14:textId="77777777" w:rsidR="00E6244E" w:rsidRDefault="00E6244E" w:rsidP="00042E94">
            <w:pPr>
              <w:jc w:val="center"/>
              <w:rPr>
                <w:rFonts w:ascii="Arial" w:eastAsia="Calibri" w:hAnsi="Arial" w:cs="Arial"/>
                <w:b/>
                <w:u w:val="single"/>
              </w:rPr>
            </w:pPr>
          </w:p>
          <w:p w14:paraId="79A262AA" w14:textId="77777777" w:rsidR="00E6244E" w:rsidRDefault="00E6244E" w:rsidP="00042E94">
            <w:pPr>
              <w:jc w:val="center"/>
              <w:rPr>
                <w:rFonts w:ascii="Arial" w:eastAsia="Calibri" w:hAnsi="Arial" w:cs="Arial"/>
                <w:b/>
                <w:u w:val="single"/>
              </w:rPr>
            </w:pPr>
          </w:p>
          <w:p w14:paraId="628234AE" w14:textId="77777777" w:rsidR="00E6244E" w:rsidRDefault="00E6244E" w:rsidP="00042E94">
            <w:pPr>
              <w:jc w:val="center"/>
              <w:rPr>
                <w:rFonts w:ascii="Arial" w:eastAsia="Calibri" w:hAnsi="Arial" w:cs="Arial"/>
                <w:b/>
                <w:u w:val="single"/>
              </w:rPr>
            </w:pPr>
          </w:p>
          <w:p w14:paraId="0CEF6147" w14:textId="3A3BBE16" w:rsidR="00E6244E" w:rsidRDefault="00E6244E" w:rsidP="00042E94">
            <w:pPr>
              <w:jc w:val="center"/>
              <w:rPr>
                <w:rFonts w:ascii="Arial" w:eastAsia="Calibri" w:hAnsi="Arial" w:cs="Arial"/>
                <w:b/>
                <w:u w:val="single"/>
              </w:rPr>
            </w:pPr>
            <w:r>
              <w:rPr>
                <w:rFonts w:ascii="Arial" w:eastAsia="Calibri" w:hAnsi="Arial" w:cs="Arial"/>
                <w:b/>
                <w:u w:val="single"/>
              </w:rPr>
              <w:t>66.00%</w:t>
            </w:r>
          </w:p>
          <w:p w14:paraId="5B687A60" w14:textId="29A37CE8" w:rsidR="00E6244E" w:rsidRDefault="00E6244E" w:rsidP="00042E94">
            <w:pPr>
              <w:jc w:val="center"/>
              <w:rPr>
                <w:rFonts w:ascii="Arial" w:eastAsia="Calibri" w:hAnsi="Arial" w:cs="Arial"/>
                <w:b/>
                <w:u w:val="single"/>
              </w:rPr>
            </w:pPr>
            <w:r>
              <w:rPr>
                <w:rFonts w:ascii="Arial" w:eastAsia="Calibri" w:hAnsi="Arial" w:cs="Arial"/>
                <w:b/>
                <w:u w:val="single"/>
              </w:rPr>
              <w:t>64.00%</w:t>
            </w:r>
          </w:p>
          <w:p w14:paraId="482C0617" w14:textId="77777777" w:rsidR="00E6244E" w:rsidRDefault="00E6244E" w:rsidP="00042E94">
            <w:pPr>
              <w:jc w:val="center"/>
              <w:rPr>
                <w:rFonts w:ascii="Arial" w:eastAsia="Calibri" w:hAnsi="Arial" w:cs="Arial"/>
                <w:b/>
                <w:u w:val="single"/>
              </w:rPr>
            </w:pPr>
          </w:p>
          <w:p w14:paraId="0946CE84" w14:textId="6C804C81" w:rsidR="00E6244E" w:rsidRDefault="00E6244E" w:rsidP="00042E94">
            <w:pPr>
              <w:jc w:val="center"/>
              <w:rPr>
                <w:rFonts w:ascii="Arial" w:eastAsia="Calibri" w:hAnsi="Arial" w:cs="Arial"/>
                <w:b/>
                <w:u w:val="single"/>
              </w:rPr>
            </w:pPr>
            <w:r>
              <w:rPr>
                <w:rFonts w:ascii="Arial" w:eastAsia="Calibri" w:hAnsi="Arial" w:cs="Arial"/>
                <w:b/>
                <w:u w:val="single"/>
              </w:rPr>
              <w:t>65.00%</w:t>
            </w:r>
          </w:p>
        </w:tc>
      </w:tr>
      <w:tr w:rsidR="007803BE" w:rsidRPr="004B1294" w14:paraId="5EDE4872" w14:textId="77777777" w:rsidTr="00042E94">
        <w:tc>
          <w:tcPr>
            <w:tcW w:w="1550" w:type="dxa"/>
          </w:tcPr>
          <w:p w14:paraId="6AD80A40" w14:textId="2AB2B271" w:rsidR="007803BE" w:rsidRDefault="007803BE" w:rsidP="00042E94">
            <w:pPr>
              <w:jc w:val="center"/>
              <w:rPr>
                <w:rFonts w:ascii="Arial" w:hAnsi="Arial" w:cs="Arial"/>
                <w:b/>
              </w:rPr>
            </w:pPr>
            <w:r>
              <w:rPr>
                <w:rFonts w:ascii="Arial" w:hAnsi="Arial" w:cs="Arial"/>
                <w:b/>
              </w:rPr>
              <w:t>348</w:t>
            </w:r>
          </w:p>
        </w:tc>
        <w:tc>
          <w:tcPr>
            <w:tcW w:w="3255" w:type="dxa"/>
          </w:tcPr>
          <w:p w14:paraId="48EA2D76" w14:textId="7AA19FE3" w:rsidR="007803BE" w:rsidRPr="007803BE" w:rsidRDefault="007803BE" w:rsidP="007803BE">
            <w:pPr>
              <w:jc w:val="both"/>
              <w:rPr>
                <w:rFonts w:ascii="Arial" w:hAnsi="Arial" w:cs="Arial"/>
                <w:b/>
                <w:lang w:val="es-MX"/>
              </w:rPr>
            </w:pPr>
            <w:r w:rsidRPr="007803BE">
              <w:rPr>
                <w:rFonts w:ascii="Arial" w:hAnsi="Arial" w:cs="Arial"/>
                <w:b/>
                <w:lang w:val="es-MX"/>
              </w:rPr>
              <w:t>CORPORACION PARA EL DESARROLLO SOSTENIBLE DEL NORTE Y EL ORIENTE AMAZONICO - C.D.A.</w:t>
            </w:r>
          </w:p>
          <w:p w14:paraId="2790DC7A" w14:textId="77777777" w:rsidR="007803BE" w:rsidRDefault="007803BE" w:rsidP="00E6244E">
            <w:pPr>
              <w:jc w:val="both"/>
              <w:rPr>
                <w:rFonts w:ascii="Arial" w:hAnsi="Arial" w:cs="Arial"/>
                <w:b/>
                <w:lang w:val="es-MX"/>
              </w:rPr>
            </w:pPr>
          </w:p>
          <w:p w14:paraId="6E50C2EF" w14:textId="77777777" w:rsidR="007803BE" w:rsidRDefault="007803BE" w:rsidP="007803BE">
            <w:pPr>
              <w:jc w:val="both"/>
              <w:rPr>
                <w:rFonts w:ascii="Arial" w:hAnsi="Arial" w:cs="Arial"/>
                <w:b/>
                <w:lang w:val="es-MX"/>
              </w:rPr>
            </w:pPr>
            <w:r>
              <w:rPr>
                <w:rFonts w:ascii="Arial" w:hAnsi="Arial" w:cs="Arial"/>
                <w:b/>
                <w:lang w:val="es-MX"/>
              </w:rPr>
              <w:t>FUNCIONAMIENTO</w:t>
            </w:r>
          </w:p>
          <w:p w14:paraId="2B533081" w14:textId="77777777" w:rsidR="007803BE" w:rsidRDefault="007803BE" w:rsidP="007803BE">
            <w:pPr>
              <w:jc w:val="both"/>
              <w:rPr>
                <w:rFonts w:ascii="Arial" w:hAnsi="Arial" w:cs="Arial"/>
                <w:b/>
                <w:lang w:val="es-MX"/>
              </w:rPr>
            </w:pPr>
            <w:r>
              <w:rPr>
                <w:rFonts w:ascii="Arial" w:hAnsi="Arial" w:cs="Arial"/>
                <w:b/>
                <w:lang w:val="es-MX"/>
              </w:rPr>
              <w:t>INVERSIÓN</w:t>
            </w:r>
          </w:p>
          <w:p w14:paraId="31788B13" w14:textId="77777777" w:rsidR="007803BE" w:rsidRDefault="007803BE" w:rsidP="007803BE">
            <w:pPr>
              <w:jc w:val="both"/>
              <w:rPr>
                <w:rFonts w:ascii="Arial" w:hAnsi="Arial" w:cs="Arial"/>
                <w:b/>
                <w:lang w:val="es-MX"/>
              </w:rPr>
            </w:pPr>
          </w:p>
          <w:p w14:paraId="7D0E18B5" w14:textId="787C12F1" w:rsidR="007803BE" w:rsidRPr="00E6244E" w:rsidRDefault="007803BE" w:rsidP="007803BE">
            <w:pPr>
              <w:jc w:val="both"/>
              <w:rPr>
                <w:rFonts w:ascii="Arial" w:hAnsi="Arial" w:cs="Arial"/>
                <w:b/>
                <w:lang w:val="es-MX"/>
              </w:rPr>
            </w:pPr>
            <w:r>
              <w:rPr>
                <w:rFonts w:ascii="Arial" w:hAnsi="Arial" w:cs="Arial"/>
                <w:b/>
                <w:lang w:val="es-MX"/>
              </w:rPr>
              <w:t>TOTAL PRESUPUESTO</w:t>
            </w:r>
          </w:p>
        </w:tc>
        <w:tc>
          <w:tcPr>
            <w:tcW w:w="1839" w:type="dxa"/>
          </w:tcPr>
          <w:p w14:paraId="498EFFF6" w14:textId="77777777" w:rsidR="007803BE" w:rsidRDefault="007803BE" w:rsidP="00042E94">
            <w:pPr>
              <w:jc w:val="center"/>
              <w:rPr>
                <w:rFonts w:ascii="Arial" w:eastAsia="Calibri" w:hAnsi="Arial" w:cs="Arial"/>
                <w:b/>
                <w:u w:val="single"/>
              </w:rPr>
            </w:pPr>
          </w:p>
          <w:p w14:paraId="53EB4C59" w14:textId="77777777" w:rsidR="007803BE" w:rsidRDefault="007803BE" w:rsidP="00042E94">
            <w:pPr>
              <w:jc w:val="center"/>
              <w:rPr>
                <w:rFonts w:ascii="Arial" w:eastAsia="Calibri" w:hAnsi="Arial" w:cs="Arial"/>
                <w:b/>
                <w:u w:val="single"/>
              </w:rPr>
            </w:pPr>
          </w:p>
          <w:p w14:paraId="2E0DBEA1" w14:textId="77777777" w:rsidR="007803BE" w:rsidRDefault="007803BE" w:rsidP="00042E94">
            <w:pPr>
              <w:jc w:val="center"/>
              <w:rPr>
                <w:rFonts w:ascii="Arial" w:eastAsia="Calibri" w:hAnsi="Arial" w:cs="Arial"/>
                <w:b/>
                <w:u w:val="single"/>
              </w:rPr>
            </w:pPr>
          </w:p>
          <w:p w14:paraId="48AABB7A" w14:textId="77777777" w:rsidR="007803BE" w:rsidRDefault="007803BE" w:rsidP="00042E94">
            <w:pPr>
              <w:jc w:val="center"/>
              <w:rPr>
                <w:rFonts w:ascii="Arial" w:eastAsia="Calibri" w:hAnsi="Arial" w:cs="Arial"/>
                <w:b/>
                <w:u w:val="single"/>
              </w:rPr>
            </w:pPr>
          </w:p>
          <w:p w14:paraId="2FA04552" w14:textId="77777777" w:rsidR="007803BE" w:rsidRDefault="007803BE" w:rsidP="00042E94">
            <w:pPr>
              <w:jc w:val="center"/>
              <w:rPr>
                <w:rFonts w:ascii="Arial" w:eastAsia="Calibri" w:hAnsi="Arial" w:cs="Arial"/>
                <w:b/>
                <w:u w:val="single"/>
              </w:rPr>
            </w:pPr>
          </w:p>
          <w:p w14:paraId="0BFDCB2F" w14:textId="492DA32A" w:rsidR="007803BE" w:rsidRDefault="007803BE" w:rsidP="00042E94">
            <w:pPr>
              <w:jc w:val="center"/>
              <w:rPr>
                <w:rFonts w:ascii="Arial" w:eastAsia="Calibri" w:hAnsi="Arial" w:cs="Arial"/>
                <w:b/>
                <w:u w:val="single"/>
              </w:rPr>
            </w:pPr>
            <w:r>
              <w:rPr>
                <w:rFonts w:ascii="Arial" w:eastAsia="Calibri" w:hAnsi="Arial" w:cs="Arial"/>
                <w:b/>
                <w:u w:val="single"/>
              </w:rPr>
              <w:t>94.33%</w:t>
            </w:r>
          </w:p>
          <w:p w14:paraId="446688C8" w14:textId="5FD44BC8" w:rsidR="007803BE" w:rsidRDefault="007803BE" w:rsidP="00042E94">
            <w:pPr>
              <w:jc w:val="center"/>
              <w:rPr>
                <w:rFonts w:ascii="Arial" w:eastAsia="Calibri" w:hAnsi="Arial" w:cs="Arial"/>
                <w:b/>
                <w:u w:val="single"/>
              </w:rPr>
            </w:pPr>
            <w:r>
              <w:rPr>
                <w:rFonts w:ascii="Arial" w:eastAsia="Calibri" w:hAnsi="Arial" w:cs="Arial"/>
                <w:b/>
                <w:u w:val="single"/>
              </w:rPr>
              <w:t>99.90%</w:t>
            </w:r>
          </w:p>
          <w:p w14:paraId="4E1AD76D" w14:textId="77777777" w:rsidR="007803BE" w:rsidRDefault="007803BE" w:rsidP="00042E94">
            <w:pPr>
              <w:jc w:val="center"/>
              <w:rPr>
                <w:rFonts w:ascii="Arial" w:eastAsia="Calibri" w:hAnsi="Arial" w:cs="Arial"/>
                <w:b/>
                <w:u w:val="single"/>
              </w:rPr>
            </w:pPr>
          </w:p>
          <w:p w14:paraId="20D6C17B" w14:textId="1BF92AAF" w:rsidR="007803BE" w:rsidRDefault="007803BE" w:rsidP="00042E94">
            <w:pPr>
              <w:jc w:val="center"/>
              <w:rPr>
                <w:rFonts w:ascii="Arial" w:eastAsia="Calibri" w:hAnsi="Arial" w:cs="Arial"/>
                <w:b/>
                <w:u w:val="single"/>
              </w:rPr>
            </w:pPr>
            <w:r>
              <w:rPr>
                <w:rFonts w:ascii="Arial" w:eastAsia="Calibri" w:hAnsi="Arial" w:cs="Arial"/>
                <w:b/>
                <w:u w:val="single"/>
              </w:rPr>
              <w:t>97.77%</w:t>
            </w:r>
          </w:p>
        </w:tc>
        <w:tc>
          <w:tcPr>
            <w:tcW w:w="1804" w:type="dxa"/>
          </w:tcPr>
          <w:p w14:paraId="5E3CBE01" w14:textId="77777777" w:rsidR="007803BE" w:rsidRDefault="007803BE" w:rsidP="00042E94">
            <w:pPr>
              <w:jc w:val="center"/>
              <w:rPr>
                <w:rFonts w:ascii="Arial" w:eastAsia="Calibri" w:hAnsi="Arial" w:cs="Arial"/>
                <w:b/>
                <w:u w:val="single"/>
              </w:rPr>
            </w:pPr>
          </w:p>
          <w:p w14:paraId="7BD237A3" w14:textId="77777777" w:rsidR="007803BE" w:rsidRDefault="007803BE" w:rsidP="00042E94">
            <w:pPr>
              <w:jc w:val="center"/>
              <w:rPr>
                <w:rFonts w:ascii="Arial" w:eastAsia="Calibri" w:hAnsi="Arial" w:cs="Arial"/>
                <w:b/>
                <w:u w:val="single"/>
              </w:rPr>
            </w:pPr>
          </w:p>
          <w:p w14:paraId="6E1AF5E6" w14:textId="77777777" w:rsidR="007803BE" w:rsidRDefault="007803BE" w:rsidP="00042E94">
            <w:pPr>
              <w:jc w:val="center"/>
              <w:rPr>
                <w:rFonts w:ascii="Arial" w:eastAsia="Calibri" w:hAnsi="Arial" w:cs="Arial"/>
                <w:b/>
                <w:u w:val="single"/>
              </w:rPr>
            </w:pPr>
          </w:p>
          <w:p w14:paraId="0A971A26" w14:textId="77777777" w:rsidR="007803BE" w:rsidRDefault="007803BE" w:rsidP="00042E94">
            <w:pPr>
              <w:jc w:val="center"/>
              <w:rPr>
                <w:rFonts w:ascii="Arial" w:eastAsia="Calibri" w:hAnsi="Arial" w:cs="Arial"/>
                <w:b/>
                <w:u w:val="single"/>
              </w:rPr>
            </w:pPr>
          </w:p>
          <w:p w14:paraId="19AC09E9" w14:textId="77777777" w:rsidR="007803BE" w:rsidRDefault="007803BE" w:rsidP="00042E94">
            <w:pPr>
              <w:jc w:val="center"/>
              <w:rPr>
                <w:rFonts w:ascii="Arial" w:eastAsia="Calibri" w:hAnsi="Arial" w:cs="Arial"/>
                <w:b/>
                <w:u w:val="single"/>
              </w:rPr>
            </w:pPr>
          </w:p>
          <w:p w14:paraId="34480B82" w14:textId="26BF8639" w:rsidR="007803BE" w:rsidRDefault="007803BE" w:rsidP="00042E94">
            <w:pPr>
              <w:jc w:val="center"/>
              <w:rPr>
                <w:rFonts w:ascii="Arial" w:eastAsia="Calibri" w:hAnsi="Arial" w:cs="Arial"/>
                <w:b/>
                <w:u w:val="single"/>
              </w:rPr>
            </w:pPr>
            <w:r>
              <w:rPr>
                <w:rFonts w:ascii="Arial" w:eastAsia="Calibri" w:hAnsi="Arial" w:cs="Arial"/>
                <w:b/>
                <w:u w:val="single"/>
              </w:rPr>
              <w:t>94.10%</w:t>
            </w:r>
          </w:p>
          <w:p w14:paraId="0047EA4D" w14:textId="60F0E9FB" w:rsidR="007803BE" w:rsidRDefault="007803BE" w:rsidP="00042E94">
            <w:pPr>
              <w:jc w:val="center"/>
              <w:rPr>
                <w:rFonts w:ascii="Arial" w:eastAsia="Calibri" w:hAnsi="Arial" w:cs="Arial"/>
                <w:b/>
                <w:u w:val="single"/>
              </w:rPr>
            </w:pPr>
            <w:r>
              <w:rPr>
                <w:rFonts w:ascii="Arial" w:eastAsia="Calibri" w:hAnsi="Arial" w:cs="Arial"/>
                <w:b/>
                <w:u w:val="single"/>
              </w:rPr>
              <w:t>38.10%</w:t>
            </w:r>
          </w:p>
          <w:p w14:paraId="70C91E03" w14:textId="77777777" w:rsidR="007803BE" w:rsidRDefault="007803BE" w:rsidP="00042E94">
            <w:pPr>
              <w:jc w:val="center"/>
              <w:rPr>
                <w:rFonts w:ascii="Arial" w:eastAsia="Calibri" w:hAnsi="Arial" w:cs="Arial"/>
                <w:b/>
                <w:u w:val="single"/>
              </w:rPr>
            </w:pPr>
          </w:p>
          <w:p w14:paraId="69C94A8C" w14:textId="178FB5F2" w:rsidR="007803BE" w:rsidRDefault="007803BE" w:rsidP="00042E94">
            <w:pPr>
              <w:jc w:val="center"/>
              <w:rPr>
                <w:rFonts w:ascii="Arial" w:eastAsia="Calibri" w:hAnsi="Arial" w:cs="Arial"/>
                <w:b/>
                <w:u w:val="single"/>
              </w:rPr>
            </w:pPr>
            <w:r>
              <w:rPr>
                <w:rFonts w:ascii="Arial" w:eastAsia="Calibri" w:hAnsi="Arial" w:cs="Arial"/>
                <w:b/>
                <w:u w:val="single"/>
              </w:rPr>
              <w:t>59.49%</w:t>
            </w:r>
          </w:p>
        </w:tc>
        <w:tc>
          <w:tcPr>
            <w:tcW w:w="2042" w:type="dxa"/>
          </w:tcPr>
          <w:p w14:paraId="242F0173" w14:textId="77777777" w:rsidR="007803BE" w:rsidRDefault="007803BE" w:rsidP="00042E94">
            <w:pPr>
              <w:jc w:val="center"/>
              <w:rPr>
                <w:rFonts w:ascii="Arial" w:eastAsia="Calibri" w:hAnsi="Arial" w:cs="Arial"/>
                <w:b/>
                <w:u w:val="single"/>
              </w:rPr>
            </w:pPr>
          </w:p>
          <w:p w14:paraId="2BCD6906" w14:textId="77777777" w:rsidR="007803BE" w:rsidRDefault="007803BE" w:rsidP="00042E94">
            <w:pPr>
              <w:jc w:val="center"/>
              <w:rPr>
                <w:rFonts w:ascii="Arial" w:eastAsia="Calibri" w:hAnsi="Arial" w:cs="Arial"/>
                <w:b/>
                <w:u w:val="single"/>
              </w:rPr>
            </w:pPr>
          </w:p>
          <w:p w14:paraId="3E55001D" w14:textId="77777777" w:rsidR="007803BE" w:rsidRDefault="007803BE" w:rsidP="00042E94">
            <w:pPr>
              <w:jc w:val="center"/>
              <w:rPr>
                <w:rFonts w:ascii="Arial" w:eastAsia="Calibri" w:hAnsi="Arial" w:cs="Arial"/>
                <w:b/>
                <w:u w:val="single"/>
              </w:rPr>
            </w:pPr>
          </w:p>
          <w:p w14:paraId="27A66588" w14:textId="77777777" w:rsidR="007803BE" w:rsidRDefault="007803BE" w:rsidP="00042E94">
            <w:pPr>
              <w:jc w:val="center"/>
              <w:rPr>
                <w:rFonts w:ascii="Arial" w:eastAsia="Calibri" w:hAnsi="Arial" w:cs="Arial"/>
                <w:b/>
                <w:u w:val="single"/>
              </w:rPr>
            </w:pPr>
          </w:p>
          <w:p w14:paraId="7CE7E3AB" w14:textId="77777777" w:rsidR="007803BE" w:rsidRDefault="007803BE" w:rsidP="00042E94">
            <w:pPr>
              <w:jc w:val="center"/>
              <w:rPr>
                <w:rFonts w:ascii="Arial" w:eastAsia="Calibri" w:hAnsi="Arial" w:cs="Arial"/>
                <w:b/>
                <w:u w:val="single"/>
              </w:rPr>
            </w:pPr>
          </w:p>
          <w:p w14:paraId="197777BF" w14:textId="2482FCAB" w:rsidR="007803BE" w:rsidRDefault="007803BE" w:rsidP="00042E94">
            <w:pPr>
              <w:jc w:val="center"/>
              <w:rPr>
                <w:rFonts w:ascii="Arial" w:eastAsia="Calibri" w:hAnsi="Arial" w:cs="Arial"/>
                <w:b/>
                <w:u w:val="single"/>
              </w:rPr>
            </w:pPr>
            <w:r>
              <w:rPr>
                <w:rFonts w:ascii="Arial" w:eastAsia="Calibri" w:hAnsi="Arial" w:cs="Arial"/>
                <w:b/>
                <w:u w:val="single"/>
              </w:rPr>
              <w:t>93.88%</w:t>
            </w:r>
          </w:p>
          <w:p w14:paraId="4A9C467C" w14:textId="24046C1A" w:rsidR="007803BE" w:rsidRDefault="007803BE" w:rsidP="00042E94">
            <w:pPr>
              <w:jc w:val="center"/>
              <w:rPr>
                <w:rFonts w:ascii="Arial" w:eastAsia="Calibri" w:hAnsi="Arial" w:cs="Arial"/>
                <w:b/>
                <w:u w:val="single"/>
              </w:rPr>
            </w:pPr>
            <w:r>
              <w:rPr>
                <w:rFonts w:ascii="Arial" w:eastAsia="Calibri" w:hAnsi="Arial" w:cs="Arial"/>
                <w:b/>
                <w:u w:val="single"/>
              </w:rPr>
              <w:t>38.06%</w:t>
            </w:r>
          </w:p>
          <w:p w14:paraId="60EC93AC" w14:textId="77777777" w:rsidR="007803BE" w:rsidRDefault="007803BE" w:rsidP="00042E94">
            <w:pPr>
              <w:jc w:val="center"/>
              <w:rPr>
                <w:rFonts w:ascii="Arial" w:eastAsia="Calibri" w:hAnsi="Arial" w:cs="Arial"/>
                <w:b/>
                <w:u w:val="single"/>
              </w:rPr>
            </w:pPr>
          </w:p>
          <w:p w14:paraId="6A3DC5E8" w14:textId="7F6EC2B4" w:rsidR="007803BE" w:rsidRDefault="007803BE" w:rsidP="00042E94">
            <w:pPr>
              <w:jc w:val="center"/>
              <w:rPr>
                <w:rFonts w:ascii="Arial" w:eastAsia="Calibri" w:hAnsi="Arial" w:cs="Arial"/>
                <w:b/>
                <w:u w:val="single"/>
              </w:rPr>
            </w:pPr>
            <w:r>
              <w:rPr>
                <w:rFonts w:ascii="Arial" w:eastAsia="Calibri" w:hAnsi="Arial" w:cs="Arial"/>
                <w:b/>
                <w:u w:val="single"/>
              </w:rPr>
              <w:t>59.38%</w:t>
            </w:r>
          </w:p>
        </w:tc>
      </w:tr>
      <w:tr w:rsidR="00211E68" w:rsidRPr="004B1294" w14:paraId="19FF3303" w14:textId="77777777" w:rsidTr="00042E94">
        <w:tc>
          <w:tcPr>
            <w:tcW w:w="1550" w:type="dxa"/>
          </w:tcPr>
          <w:p w14:paraId="67EBA05B" w14:textId="7B5E035B" w:rsidR="00211E68" w:rsidRDefault="00211E68" w:rsidP="00042E94">
            <w:pPr>
              <w:jc w:val="center"/>
              <w:rPr>
                <w:rFonts w:ascii="Arial" w:hAnsi="Arial" w:cs="Arial"/>
                <w:b/>
              </w:rPr>
            </w:pPr>
            <w:r>
              <w:rPr>
                <w:rFonts w:ascii="Arial" w:hAnsi="Arial" w:cs="Arial"/>
                <w:b/>
              </w:rPr>
              <w:t>350</w:t>
            </w:r>
          </w:p>
        </w:tc>
        <w:tc>
          <w:tcPr>
            <w:tcW w:w="3255" w:type="dxa"/>
          </w:tcPr>
          <w:p w14:paraId="49447D75" w14:textId="1882622C" w:rsidR="00211E68" w:rsidRPr="00211E68" w:rsidRDefault="00211E68" w:rsidP="00211E68">
            <w:pPr>
              <w:jc w:val="both"/>
              <w:rPr>
                <w:rFonts w:ascii="Arial" w:hAnsi="Arial" w:cs="Arial"/>
                <w:b/>
                <w:lang w:val="es-MX"/>
              </w:rPr>
            </w:pPr>
            <w:r w:rsidRPr="00211E68">
              <w:rPr>
                <w:rFonts w:ascii="Arial" w:hAnsi="Arial" w:cs="Arial"/>
                <w:b/>
                <w:lang w:val="es-MX"/>
              </w:rPr>
              <w:t>CORPORACION PARA EL DESARROLLO SOSTENIBLE DEL URABA - CORPOURABA.</w:t>
            </w:r>
          </w:p>
          <w:p w14:paraId="72268FAF" w14:textId="77777777" w:rsidR="00211E68" w:rsidRDefault="00211E68" w:rsidP="007803BE">
            <w:pPr>
              <w:jc w:val="both"/>
              <w:rPr>
                <w:rFonts w:ascii="Arial" w:hAnsi="Arial" w:cs="Arial"/>
                <w:b/>
                <w:lang w:val="es-MX"/>
              </w:rPr>
            </w:pPr>
          </w:p>
          <w:p w14:paraId="29B92F32" w14:textId="77777777" w:rsidR="00211E68" w:rsidRDefault="00211E68" w:rsidP="00211E68">
            <w:pPr>
              <w:jc w:val="both"/>
              <w:rPr>
                <w:rFonts w:ascii="Arial" w:hAnsi="Arial" w:cs="Arial"/>
                <w:b/>
                <w:lang w:val="es-MX"/>
              </w:rPr>
            </w:pPr>
            <w:r>
              <w:rPr>
                <w:rFonts w:ascii="Arial" w:hAnsi="Arial" w:cs="Arial"/>
                <w:b/>
                <w:lang w:val="es-MX"/>
              </w:rPr>
              <w:t>FUNCIONAMIENTO</w:t>
            </w:r>
          </w:p>
          <w:p w14:paraId="40546CE0" w14:textId="77777777" w:rsidR="00211E68" w:rsidRDefault="00211E68" w:rsidP="00211E68">
            <w:pPr>
              <w:jc w:val="both"/>
              <w:rPr>
                <w:rFonts w:ascii="Arial" w:hAnsi="Arial" w:cs="Arial"/>
                <w:b/>
                <w:lang w:val="es-MX"/>
              </w:rPr>
            </w:pPr>
            <w:r>
              <w:rPr>
                <w:rFonts w:ascii="Arial" w:hAnsi="Arial" w:cs="Arial"/>
                <w:b/>
                <w:lang w:val="es-MX"/>
              </w:rPr>
              <w:t>INVERSIÓN</w:t>
            </w:r>
          </w:p>
          <w:p w14:paraId="01E1B3CE" w14:textId="77777777" w:rsidR="00211E68" w:rsidRDefault="00211E68" w:rsidP="00211E68">
            <w:pPr>
              <w:jc w:val="both"/>
              <w:rPr>
                <w:rFonts w:ascii="Arial" w:hAnsi="Arial" w:cs="Arial"/>
                <w:b/>
                <w:lang w:val="es-MX"/>
              </w:rPr>
            </w:pPr>
          </w:p>
          <w:p w14:paraId="5573BA0B" w14:textId="4ABBA4ED" w:rsidR="00211E68" w:rsidRPr="007803BE" w:rsidRDefault="00211E68" w:rsidP="00211E68">
            <w:pPr>
              <w:jc w:val="both"/>
              <w:rPr>
                <w:rFonts w:ascii="Arial" w:hAnsi="Arial" w:cs="Arial"/>
                <w:b/>
                <w:lang w:val="es-MX"/>
              </w:rPr>
            </w:pPr>
            <w:r>
              <w:rPr>
                <w:rFonts w:ascii="Arial" w:hAnsi="Arial" w:cs="Arial"/>
                <w:b/>
                <w:lang w:val="es-MX"/>
              </w:rPr>
              <w:t>TOTAL PRESUPUESTO</w:t>
            </w:r>
          </w:p>
        </w:tc>
        <w:tc>
          <w:tcPr>
            <w:tcW w:w="1839" w:type="dxa"/>
          </w:tcPr>
          <w:p w14:paraId="5E1BBAEF" w14:textId="77777777" w:rsidR="00211E68" w:rsidRDefault="00211E68" w:rsidP="00042E94">
            <w:pPr>
              <w:jc w:val="center"/>
              <w:rPr>
                <w:rFonts w:ascii="Arial" w:eastAsia="Calibri" w:hAnsi="Arial" w:cs="Arial"/>
                <w:b/>
                <w:u w:val="single"/>
              </w:rPr>
            </w:pPr>
          </w:p>
          <w:p w14:paraId="02707146" w14:textId="77777777" w:rsidR="00211E68" w:rsidRDefault="00211E68" w:rsidP="00042E94">
            <w:pPr>
              <w:jc w:val="center"/>
              <w:rPr>
                <w:rFonts w:ascii="Arial" w:eastAsia="Calibri" w:hAnsi="Arial" w:cs="Arial"/>
                <w:b/>
                <w:u w:val="single"/>
              </w:rPr>
            </w:pPr>
          </w:p>
          <w:p w14:paraId="7355D1DE" w14:textId="77777777" w:rsidR="00211E68" w:rsidRDefault="00211E68" w:rsidP="00042E94">
            <w:pPr>
              <w:jc w:val="center"/>
              <w:rPr>
                <w:rFonts w:ascii="Arial" w:eastAsia="Calibri" w:hAnsi="Arial" w:cs="Arial"/>
                <w:b/>
                <w:u w:val="single"/>
              </w:rPr>
            </w:pPr>
          </w:p>
          <w:p w14:paraId="7E03E08A" w14:textId="77777777" w:rsidR="00211E68" w:rsidRDefault="00211E68" w:rsidP="00042E94">
            <w:pPr>
              <w:jc w:val="center"/>
              <w:rPr>
                <w:rFonts w:ascii="Arial" w:eastAsia="Calibri" w:hAnsi="Arial" w:cs="Arial"/>
                <w:b/>
                <w:u w:val="single"/>
              </w:rPr>
            </w:pPr>
          </w:p>
          <w:p w14:paraId="0087D7B8" w14:textId="5521219F" w:rsidR="00211E68" w:rsidRDefault="00211E68" w:rsidP="00042E94">
            <w:pPr>
              <w:jc w:val="center"/>
              <w:rPr>
                <w:rFonts w:ascii="Arial" w:eastAsia="Calibri" w:hAnsi="Arial" w:cs="Arial"/>
                <w:b/>
                <w:u w:val="single"/>
              </w:rPr>
            </w:pPr>
            <w:r>
              <w:rPr>
                <w:rFonts w:ascii="Arial" w:eastAsia="Calibri" w:hAnsi="Arial" w:cs="Arial"/>
                <w:b/>
                <w:u w:val="single"/>
              </w:rPr>
              <w:t>97.00%</w:t>
            </w:r>
          </w:p>
          <w:p w14:paraId="56811D1A" w14:textId="6F878187" w:rsidR="00211E68" w:rsidRDefault="00211E68" w:rsidP="00042E94">
            <w:pPr>
              <w:jc w:val="center"/>
              <w:rPr>
                <w:rFonts w:ascii="Arial" w:eastAsia="Calibri" w:hAnsi="Arial" w:cs="Arial"/>
                <w:b/>
                <w:u w:val="single"/>
              </w:rPr>
            </w:pPr>
            <w:r>
              <w:rPr>
                <w:rFonts w:ascii="Arial" w:eastAsia="Calibri" w:hAnsi="Arial" w:cs="Arial"/>
                <w:b/>
                <w:u w:val="single"/>
              </w:rPr>
              <w:t>100.00%</w:t>
            </w:r>
          </w:p>
          <w:p w14:paraId="6A1EA41A" w14:textId="77777777" w:rsidR="00211E68" w:rsidRDefault="00211E68" w:rsidP="00042E94">
            <w:pPr>
              <w:jc w:val="center"/>
              <w:rPr>
                <w:rFonts w:ascii="Arial" w:eastAsia="Calibri" w:hAnsi="Arial" w:cs="Arial"/>
                <w:b/>
                <w:u w:val="single"/>
              </w:rPr>
            </w:pPr>
          </w:p>
          <w:p w14:paraId="53B522EB" w14:textId="1A8D0E7D" w:rsidR="00211E68" w:rsidRDefault="00211E68" w:rsidP="00042E94">
            <w:pPr>
              <w:jc w:val="center"/>
              <w:rPr>
                <w:rFonts w:ascii="Arial" w:eastAsia="Calibri" w:hAnsi="Arial" w:cs="Arial"/>
                <w:b/>
                <w:u w:val="single"/>
              </w:rPr>
            </w:pPr>
            <w:r>
              <w:rPr>
                <w:rFonts w:ascii="Arial" w:eastAsia="Calibri" w:hAnsi="Arial" w:cs="Arial"/>
                <w:b/>
                <w:u w:val="single"/>
              </w:rPr>
              <w:t>98.41%</w:t>
            </w:r>
          </w:p>
        </w:tc>
        <w:tc>
          <w:tcPr>
            <w:tcW w:w="1804" w:type="dxa"/>
          </w:tcPr>
          <w:p w14:paraId="52DF3249" w14:textId="77777777" w:rsidR="00211E68" w:rsidRDefault="00211E68" w:rsidP="00042E94">
            <w:pPr>
              <w:jc w:val="center"/>
              <w:rPr>
                <w:rFonts w:ascii="Arial" w:eastAsia="Calibri" w:hAnsi="Arial" w:cs="Arial"/>
                <w:b/>
                <w:u w:val="single"/>
              </w:rPr>
            </w:pPr>
          </w:p>
          <w:p w14:paraId="04F9116A" w14:textId="77777777" w:rsidR="00211E68" w:rsidRDefault="00211E68" w:rsidP="00042E94">
            <w:pPr>
              <w:jc w:val="center"/>
              <w:rPr>
                <w:rFonts w:ascii="Arial" w:eastAsia="Calibri" w:hAnsi="Arial" w:cs="Arial"/>
                <w:b/>
                <w:u w:val="single"/>
              </w:rPr>
            </w:pPr>
          </w:p>
          <w:p w14:paraId="07180851" w14:textId="77777777" w:rsidR="00211E68" w:rsidRDefault="00211E68" w:rsidP="00042E94">
            <w:pPr>
              <w:jc w:val="center"/>
              <w:rPr>
                <w:rFonts w:ascii="Arial" w:eastAsia="Calibri" w:hAnsi="Arial" w:cs="Arial"/>
                <w:b/>
                <w:u w:val="single"/>
              </w:rPr>
            </w:pPr>
          </w:p>
          <w:p w14:paraId="5BFB2372" w14:textId="77777777" w:rsidR="00211E68" w:rsidRDefault="00211E68" w:rsidP="00042E94">
            <w:pPr>
              <w:jc w:val="center"/>
              <w:rPr>
                <w:rFonts w:ascii="Arial" w:eastAsia="Calibri" w:hAnsi="Arial" w:cs="Arial"/>
                <w:b/>
                <w:u w:val="single"/>
              </w:rPr>
            </w:pPr>
          </w:p>
          <w:p w14:paraId="64C437C9" w14:textId="19F837D2" w:rsidR="00211E68" w:rsidRDefault="00211E68" w:rsidP="00042E94">
            <w:pPr>
              <w:jc w:val="center"/>
              <w:rPr>
                <w:rFonts w:ascii="Arial" w:eastAsia="Calibri" w:hAnsi="Arial" w:cs="Arial"/>
                <w:b/>
                <w:u w:val="single"/>
              </w:rPr>
            </w:pPr>
            <w:r>
              <w:rPr>
                <w:rFonts w:ascii="Arial" w:eastAsia="Calibri" w:hAnsi="Arial" w:cs="Arial"/>
                <w:b/>
                <w:u w:val="single"/>
              </w:rPr>
              <w:t>97.00%</w:t>
            </w:r>
          </w:p>
          <w:p w14:paraId="06958269" w14:textId="66DC2B67" w:rsidR="00211E68" w:rsidRDefault="00211E68" w:rsidP="00042E94">
            <w:pPr>
              <w:jc w:val="center"/>
              <w:rPr>
                <w:rFonts w:ascii="Arial" w:eastAsia="Calibri" w:hAnsi="Arial" w:cs="Arial"/>
                <w:b/>
                <w:u w:val="single"/>
              </w:rPr>
            </w:pPr>
            <w:r>
              <w:rPr>
                <w:rFonts w:ascii="Arial" w:eastAsia="Calibri" w:hAnsi="Arial" w:cs="Arial"/>
                <w:b/>
                <w:u w:val="single"/>
              </w:rPr>
              <w:t>34.24%</w:t>
            </w:r>
          </w:p>
          <w:p w14:paraId="515B9C7E" w14:textId="77777777" w:rsidR="00211E68" w:rsidRDefault="00211E68" w:rsidP="00042E94">
            <w:pPr>
              <w:jc w:val="center"/>
              <w:rPr>
                <w:rFonts w:ascii="Arial" w:eastAsia="Calibri" w:hAnsi="Arial" w:cs="Arial"/>
                <w:b/>
                <w:u w:val="single"/>
              </w:rPr>
            </w:pPr>
          </w:p>
          <w:p w14:paraId="670972ED" w14:textId="0602EB2B" w:rsidR="00211E68" w:rsidRDefault="00211E68" w:rsidP="00042E94">
            <w:pPr>
              <w:jc w:val="center"/>
              <w:rPr>
                <w:rFonts w:ascii="Arial" w:eastAsia="Calibri" w:hAnsi="Arial" w:cs="Arial"/>
                <w:b/>
                <w:u w:val="single"/>
              </w:rPr>
            </w:pPr>
            <w:r>
              <w:rPr>
                <w:rFonts w:ascii="Arial" w:eastAsia="Calibri" w:hAnsi="Arial" w:cs="Arial"/>
                <w:b/>
                <w:u w:val="single"/>
              </w:rPr>
              <w:t>67.32%</w:t>
            </w:r>
          </w:p>
        </w:tc>
        <w:tc>
          <w:tcPr>
            <w:tcW w:w="2042" w:type="dxa"/>
          </w:tcPr>
          <w:p w14:paraId="7B633757" w14:textId="77777777" w:rsidR="00211E68" w:rsidRDefault="00211E68" w:rsidP="00042E94">
            <w:pPr>
              <w:jc w:val="center"/>
              <w:rPr>
                <w:rFonts w:ascii="Arial" w:eastAsia="Calibri" w:hAnsi="Arial" w:cs="Arial"/>
                <w:b/>
                <w:u w:val="single"/>
              </w:rPr>
            </w:pPr>
          </w:p>
          <w:p w14:paraId="749CF0F6" w14:textId="77777777" w:rsidR="00211E68" w:rsidRDefault="00211E68" w:rsidP="00042E94">
            <w:pPr>
              <w:jc w:val="center"/>
              <w:rPr>
                <w:rFonts w:ascii="Arial" w:eastAsia="Calibri" w:hAnsi="Arial" w:cs="Arial"/>
                <w:b/>
                <w:u w:val="single"/>
              </w:rPr>
            </w:pPr>
          </w:p>
          <w:p w14:paraId="3D44C753" w14:textId="77777777" w:rsidR="00211E68" w:rsidRDefault="00211E68" w:rsidP="00042E94">
            <w:pPr>
              <w:jc w:val="center"/>
              <w:rPr>
                <w:rFonts w:ascii="Arial" w:eastAsia="Calibri" w:hAnsi="Arial" w:cs="Arial"/>
                <w:b/>
                <w:u w:val="single"/>
              </w:rPr>
            </w:pPr>
          </w:p>
          <w:p w14:paraId="65BF3D1D" w14:textId="77777777" w:rsidR="00211E68" w:rsidRDefault="00211E68" w:rsidP="00042E94">
            <w:pPr>
              <w:jc w:val="center"/>
              <w:rPr>
                <w:rFonts w:ascii="Arial" w:eastAsia="Calibri" w:hAnsi="Arial" w:cs="Arial"/>
                <w:b/>
                <w:u w:val="single"/>
              </w:rPr>
            </w:pPr>
          </w:p>
          <w:p w14:paraId="6B74731D" w14:textId="528A9CDA" w:rsidR="00211E68" w:rsidRDefault="00211E68" w:rsidP="00042E94">
            <w:pPr>
              <w:jc w:val="center"/>
              <w:rPr>
                <w:rFonts w:ascii="Arial" w:eastAsia="Calibri" w:hAnsi="Arial" w:cs="Arial"/>
                <w:b/>
                <w:u w:val="single"/>
              </w:rPr>
            </w:pPr>
            <w:r>
              <w:rPr>
                <w:rFonts w:ascii="Arial" w:eastAsia="Calibri" w:hAnsi="Arial" w:cs="Arial"/>
                <w:b/>
                <w:u w:val="single"/>
              </w:rPr>
              <w:t>96.13%</w:t>
            </w:r>
          </w:p>
          <w:p w14:paraId="35FC88B5" w14:textId="5F936C92" w:rsidR="00211E68" w:rsidRDefault="00211E68" w:rsidP="00042E94">
            <w:pPr>
              <w:jc w:val="center"/>
              <w:rPr>
                <w:rFonts w:ascii="Arial" w:eastAsia="Calibri" w:hAnsi="Arial" w:cs="Arial"/>
                <w:b/>
                <w:u w:val="single"/>
              </w:rPr>
            </w:pPr>
            <w:r>
              <w:rPr>
                <w:rFonts w:ascii="Arial" w:eastAsia="Calibri" w:hAnsi="Arial" w:cs="Arial"/>
                <w:b/>
                <w:u w:val="single"/>
              </w:rPr>
              <w:t>21.45%</w:t>
            </w:r>
          </w:p>
          <w:p w14:paraId="2FABABA5" w14:textId="77777777" w:rsidR="00211E68" w:rsidRDefault="00211E68" w:rsidP="00042E94">
            <w:pPr>
              <w:jc w:val="center"/>
              <w:rPr>
                <w:rFonts w:ascii="Arial" w:eastAsia="Calibri" w:hAnsi="Arial" w:cs="Arial"/>
                <w:b/>
                <w:u w:val="single"/>
              </w:rPr>
            </w:pPr>
          </w:p>
          <w:p w14:paraId="708ADAF7" w14:textId="34E4AFA8" w:rsidR="00211E68" w:rsidRDefault="00211E68" w:rsidP="00042E94">
            <w:pPr>
              <w:jc w:val="center"/>
              <w:rPr>
                <w:rFonts w:ascii="Arial" w:eastAsia="Calibri" w:hAnsi="Arial" w:cs="Arial"/>
                <w:b/>
                <w:u w:val="single"/>
              </w:rPr>
            </w:pPr>
            <w:r>
              <w:rPr>
                <w:rFonts w:ascii="Arial" w:eastAsia="Calibri" w:hAnsi="Arial" w:cs="Arial"/>
                <w:b/>
                <w:u w:val="single"/>
              </w:rPr>
              <w:t>61.13%</w:t>
            </w:r>
          </w:p>
        </w:tc>
      </w:tr>
    </w:tbl>
    <w:p w14:paraId="5E776647" w14:textId="47FAD8C3" w:rsidR="00A7741B" w:rsidRDefault="00552B68" w:rsidP="00DE5C48">
      <w:pPr>
        <w:ind w:left="-284" w:right="-518"/>
        <w:jc w:val="both"/>
        <w:rPr>
          <w:rFonts w:ascii="Arial" w:hAnsi="Arial" w:cs="Arial"/>
          <w:sz w:val="16"/>
          <w:szCs w:val="16"/>
        </w:rPr>
      </w:pPr>
      <w:r>
        <w:rPr>
          <w:rFonts w:ascii="Arial" w:hAnsi="Arial" w:cs="Arial"/>
          <w:sz w:val="16"/>
          <w:szCs w:val="16"/>
        </w:rPr>
        <w:t>F</w:t>
      </w:r>
      <w:r w:rsidR="00DE5C48" w:rsidRPr="004B1294">
        <w:rPr>
          <w:rFonts w:ascii="Arial" w:hAnsi="Arial" w:cs="Arial"/>
          <w:sz w:val="16"/>
          <w:szCs w:val="16"/>
        </w:rPr>
        <w:t xml:space="preserve">uente: Informes presupuestales presentados por las </w:t>
      </w:r>
      <w:r w:rsidR="00C35E07">
        <w:rPr>
          <w:rFonts w:ascii="Arial" w:hAnsi="Arial" w:cs="Arial"/>
          <w:sz w:val="16"/>
          <w:szCs w:val="16"/>
        </w:rPr>
        <w:t>Unidades E</w:t>
      </w:r>
      <w:r w:rsidR="00DE5C48" w:rsidRPr="004B1294">
        <w:rPr>
          <w:rFonts w:ascii="Arial" w:hAnsi="Arial" w:cs="Arial"/>
          <w:sz w:val="16"/>
          <w:szCs w:val="16"/>
        </w:rPr>
        <w:t xml:space="preserve">jecutoras del presupuesto a la Comisión Legal de Cuentas vigencia fiscal </w:t>
      </w:r>
      <w:r>
        <w:rPr>
          <w:rFonts w:ascii="Arial" w:hAnsi="Arial" w:cs="Arial"/>
          <w:sz w:val="16"/>
          <w:szCs w:val="16"/>
        </w:rPr>
        <w:t>2024.</w:t>
      </w:r>
    </w:p>
    <w:p w14:paraId="4A64B80E" w14:textId="77777777" w:rsidR="00B351D8" w:rsidRDefault="00B351D8" w:rsidP="007E2F9F">
      <w:pPr>
        <w:ind w:left="-284" w:right="-234"/>
        <w:jc w:val="both"/>
        <w:rPr>
          <w:rFonts w:ascii="Arial" w:hAnsi="Arial" w:cs="Arial"/>
          <w:b/>
          <w:sz w:val="28"/>
          <w:szCs w:val="28"/>
        </w:rPr>
      </w:pPr>
    </w:p>
    <w:p w14:paraId="00DAE85E" w14:textId="464E717E" w:rsidR="007E2F9F" w:rsidRPr="00C80868" w:rsidRDefault="007E2F9F" w:rsidP="008A43C3">
      <w:pPr>
        <w:ind w:left="-284" w:right="-234"/>
        <w:jc w:val="center"/>
        <w:rPr>
          <w:rFonts w:ascii="Arial" w:hAnsi="Arial" w:cs="Arial"/>
          <w:b/>
          <w:sz w:val="28"/>
          <w:szCs w:val="28"/>
        </w:rPr>
      </w:pPr>
      <w:r w:rsidRPr="00924F66">
        <w:rPr>
          <w:rFonts w:ascii="Arial" w:hAnsi="Arial" w:cs="Arial"/>
          <w:b/>
          <w:sz w:val="28"/>
          <w:szCs w:val="28"/>
          <w:u w:val="single"/>
        </w:rPr>
        <w:t>2.- UNIDADES EJECUTORAS DEL PRESUPUESTO GENERAL DE LA NACIÓN QUE PRESENTARON PÉRDIDAS DE APROPIACIÓN A 31 DE DICIEMBRE DE 2024</w:t>
      </w:r>
      <w:r w:rsidRPr="00C80868">
        <w:rPr>
          <w:rFonts w:ascii="Arial" w:hAnsi="Arial" w:cs="Arial"/>
          <w:b/>
          <w:sz w:val="28"/>
          <w:szCs w:val="28"/>
        </w:rPr>
        <w:t>.</w:t>
      </w:r>
    </w:p>
    <w:p w14:paraId="691117D7" w14:textId="77777777" w:rsidR="007E2F9F" w:rsidRPr="00C80868" w:rsidRDefault="007E2F9F" w:rsidP="007E2F9F">
      <w:pPr>
        <w:ind w:left="-284" w:right="-234"/>
        <w:jc w:val="both"/>
        <w:rPr>
          <w:rFonts w:ascii="Arial" w:hAnsi="Arial" w:cs="Arial"/>
          <w:b/>
          <w:sz w:val="28"/>
          <w:szCs w:val="28"/>
        </w:rPr>
      </w:pPr>
    </w:p>
    <w:p w14:paraId="539D60C4" w14:textId="77777777" w:rsidR="007E2F9F" w:rsidRPr="00C80868" w:rsidRDefault="007E2F9F" w:rsidP="007E2F9F">
      <w:pPr>
        <w:widowControl/>
        <w:autoSpaceDE/>
        <w:autoSpaceDN/>
        <w:spacing w:line="259" w:lineRule="auto"/>
        <w:ind w:left="-284" w:right="-234"/>
        <w:jc w:val="both"/>
        <w:rPr>
          <w:rFonts w:ascii="Arial" w:hAnsi="Arial" w:cs="Arial"/>
          <w:b/>
          <w:sz w:val="28"/>
          <w:szCs w:val="28"/>
          <w:u w:val="single"/>
        </w:rPr>
      </w:pPr>
      <w:r w:rsidRPr="00C80868">
        <w:rPr>
          <w:rFonts w:ascii="Arial" w:hAnsi="Arial" w:cs="Arial"/>
          <w:b/>
          <w:sz w:val="28"/>
          <w:szCs w:val="28"/>
          <w:u w:val="single"/>
        </w:rPr>
        <w:t>Las pérdidas de apropiación son el reflejo de la mala planificación, programación y ejecución presupuestal, por parte de las diferentes Unidades Ejecutoras del Presupuesto General de la Nación.</w:t>
      </w:r>
    </w:p>
    <w:p w14:paraId="57962F38" w14:textId="77777777" w:rsidR="007E2F9F" w:rsidRPr="00C80868" w:rsidRDefault="007E2F9F" w:rsidP="007E2F9F">
      <w:pPr>
        <w:widowControl/>
        <w:autoSpaceDE/>
        <w:autoSpaceDN/>
        <w:spacing w:line="259" w:lineRule="auto"/>
        <w:ind w:left="-284" w:right="-234"/>
        <w:jc w:val="both"/>
        <w:rPr>
          <w:rFonts w:ascii="Arial" w:hAnsi="Arial" w:cs="Arial"/>
          <w:b/>
          <w:sz w:val="28"/>
          <w:szCs w:val="28"/>
          <w:u w:val="single"/>
        </w:rPr>
      </w:pPr>
    </w:p>
    <w:p w14:paraId="346C947F" w14:textId="77777777" w:rsidR="007E2F9F" w:rsidRPr="00C80868" w:rsidRDefault="007E2F9F" w:rsidP="007E2F9F">
      <w:pPr>
        <w:ind w:left="-284" w:right="-234"/>
        <w:jc w:val="both"/>
        <w:rPr>
          <w:rFonts w:ascii="Arial" w:hAnsi="Arial" w:cs="Arial"/>
          <w:b/>
          <w:sz w:val="28"/>
          <w:szCs w:val="28"/>
          <w:lang w:val="es-MX"/>
        </w:rPr>
      </w:pPr>
      <w:r w:rsidRPr="00C80868">
        <w:rPr>
          <w:rFonts w:ascii="Arial" w:hAnsi="Arial" w:cs="Arial"/>
          <w:b/>
          <w:sz w:val="28"/>
          <w:szCs w:val="28"/>
          <w:lang w:val="es-MX"/>
        </w:rPr>
        <w:t>2 U.A.E. DIRECCIÓN DE IMPUESTOS Y ADUANAS NACIONALES – DIAN FUNCIÓN PAGADORA.</w:t>
      </w:r>
    </w:p>
    <w:p w14:paraId="4489980A" w14:textId="77777777" w:rsidR="007E2F9F" w:rsidRPr="00C80868" w:rsidRDefault="007E2F9F" w:rsidP="007E2F9F">
      <w:pPr>
        <w:pStyle w:val="Prrafodelista"/>
        <w:ind w:left="-284" w:right="-234"/>
        <w:jc w:val="both"/>
        <w:rPr>
          <w:rFonts w:ascii="Arial" w:hAnsi="Arial" w:cs="Arial"/>
          <w:b/>
          <w:sz w:val="24"/>
          <w:lang w:val="es-MX"/>
        </w:rPr>
      </w:pPr>
    </w:p>
    <w:p w14:paraId="6D9A918B" w14:textId="77777777" w:rsidR="007E2F9F" w:rsidRPr="00C80868" w:rsidRDefault="007E2F9F" w:rsidP="007E2F9F">
      <w:pPr>
        <w:pStyle w:val="Prrafodelista"/>
        <w:ind w:left="-284" w:right="-234"/>
        <w:jc w:val="center"/>
        <w:rPr>
          <w:rFonts w:ascii="Arial" w:hAnsi="Arial" w:cs="Arial"/>
          <w:b/>
          <w:sz w:val="24"/>
          <w:szCs w:val="24"/>
        </w:rPr>
      </w:pPr>
      <w:r w:rsidRPr="00C80868">
        <w:rPr>
          <w:rFonts w:ascii="Arial" w:hAnsi="Arial" w:cs="Arial"/>
          <w:b/>
          <w:sz w:val="24"/>
          <w:szCs w:val="24"/>
        </w:rPr>
        <w:t xml:space="preserve">Pérdidas de Apropiación en la vigencia 2024. </w:t>
      </w:r>
    </w:p>
    <w:p w14:paraId="5DCE8080" w14:textId="77777777" w:rsidR="007E2F9F" w:rsidRPr="00C80868" w:rsidRDefault="007E2F9F" w:rsidP="007E2F9F">
      <w:pPr>
        <w:pStyle w:val="Prrafodelista"/>
        <w:ind w:left="-284" w:right="-234"/>
        <w:jc w:val="center"/>
        <w:rPr>
          <w:rFonts w:ascii="Arial" w:hAnsi="Arial" w:cs="Arial"/>
          <w:sz w:val="24"/>
          <w:szCs w:val="24"/>
        </w:rPr>
      </w:pPr>
      <w:r w:rsidRPr="00C80868">
        <w:rPr>
          <w:rFonts w:ascii="Arial" w:hAnsi="Arial" w:cs="Arial"/>
          <w:sz w:val="24"/>
          <w:szCs w:val="24"/>
        </w:rPr>
        <w:t>(Cifras en miles de</w:t>
      </w:r>
      <w:r w:rsidRPr="00C80868">
        <w:rPr>
          <w:rFonts w:ascii="Arial" w:hAnsi="Arial" w:cs="Arial"/>
          <w:spacing w:val="-11"/>
          <w:sz w:val="24"/>
          <w:szCs w:val="24"/>
        </w:rPr>
        <w:t xml:space="preserve"> </w:t>
      </w:r>
      <w:r w:rsidRPr="00C80868">
        <w:rPr>
          <w:rFonts w:ascii="Arial" w:hAnsi="Arial" w:cs="Arial"/>
          <w:sz w:val="24"/>
          <w:szCs w:val="24"/>
        </w:rPr>
        <w:t>pesos).</w:t>
      </w:r>
    </w:p>
    <w:p w14:paraId="562483D8" w14:textId="77777777" w:rsidR="007E2F9F" w:rsidRPr="00C80868" w:rsidRDefault="007E2F9F" w:rsidP="007E2F9F">
      <w:pPr>
        <w:pStyle w:val="Prrafodelista"/>
        <w:ind w:left="-284" w:right="-234"/>
        <w:jc w:val="center"/>
        <w:rPr>
          <w:rFonts w:ascii="Arial" w:hAnsi="Arial" w:cs="Arial"/>
          <w:sz w:val="28"/>
          <w:szCs w:val="28"/>
        </w:rPr>
      </w:pPr>
    </w:p>
    <w:tbl>
      <w:tblPr>
        <w:tblStyle w:val="Tablaconcuadrcula"/>
        <w:tblW w:w="10485" w:type="dxa"/>
        <w:tblInd w:w="-284" w:type="dxa"/>
        <w:tblLook w:val="04A0" w:firstRow="1" w:lastRow="0" w:firstColumn="1" w:lastColumn="0" w:noHBand="0" w:noVBand="1"/>
      </w:tblPr>
      <w:tblGrid>
        <w:gridCol w:w="5099"/>
        <w:gridCol w:w="1984"/>
        <w:gridCol w:w="1774"/>
        <w:gridCol w:w="1628"/>
      </w:tblGrid>
      <w:tr w:rsidR="007E2F9F" w:rsidRPr="00C80868" w14:paraId="0C0D3719" w14:textId="77777777" w:rsidTr="006548F8">
        <w:tc>
          <w:tcPr>
            <w:tcW w:w="5099" w:type="dxa"/>
          </w:tcPr>
          <w:p w14:paraId="51E2CB09" w14:textId="77777777" w:rsidR="007E2F9F" w:rsidRPr="00C80868" w:rsidRDefault="007E2F9F" w:rsidP="006548F8">
            <w:pPr>
              <w:pStyle w:val="Prrafodelista"/>
              <w:ind w:left="0" w:right="-234"/>
              <w:jc w:val="center"/>
              <w:rPr>
                <w:rFonts w:ascii="Arial" w:hAnsi="Arial" w:cs="Arial"/>
                <w:b/>
                <w:bCs/>
              </w:rPr>
            </w:pPr>
            <w:r w:rsidRPr="00C80868">
              <w:rPr>
                <w:rFonts w:ascii="Arial" w:hAnsi="Arial" w:cs="Arial"/>
                <w:b/>
                <w:bCs/>
              </w:rPr>
              <w:t>TIPO DE GASTO</w:t>
            </w:r>
          </w:p>
        </w:tc>
        <w:tc>
          <w:tcPr>
            <w:tcW w:w="1984" w:type="dxa"/>
          </w:tcPr>
          <w:p w14:paraId="049402BF" w14:textId="77777777" w:rsidR="007E2F9F" w:rsidRPr="00C80868" w:rsidRDefault="007E2F9F" w:rsidP="006548F8">
            <w:pPr>
              <w:jc w:val="center"/>
              <w:rPr>
                <w:rFonts w:ascii="Arial" w:hAnsi="Arial" w:cs="Arial"/>
                <w:b/>
                <w:lang w:val="es-MX"/>
              </w:rPr>
            </w:pPr>
            <w:r w:rsidRPr="00C80868">
              <w:rPr>
                <w:rFonts w:ascii="Arial" w:hAnsi="Arial" w:cs="Arial"/>
                <w:b/>
                <w:lang w:val="es-MX"/>
              </w:rPr>
              <w:t>APROPIACIÓN</w:t>
            </w:r>
          </w:p>
          <w:p w14:paraId="3D3A1122" w14:textId="77777777" w:rsidR="007E2F9F" w:rsidRPr="00C80868" w:rsidRDefault="007E2F9F" w:rsidP="006548F8">
            <w:pPr>
              <w:jc w:val="center"/>
              <w:rPr>
                <w:rFonts w:ascii="Arial" w:hAnsi="Arial" w:cs="Arial"/>
                <w:b/>
                <w:lang w:val="es-MX"/>
              </w:rPr>
            </w:pPr>
            <w:r w:rsidRPr="00C80868">
              <w:rPr>
                <w:rFonts w:ascii="Arial" w:hAnsi="Arial" w:cs="Arial"/>
                <w:b/>
                <w:lang w:val="es-MX"/>
              </w:rPr>
              <w:t>DEFINITIVA</w:t>
            </w:r>
          </w:p>
          <w:p w14:paraId="77B02495" w14:textId="77777777" w:rsidR="007E2F9F" w:rsidRPr="00C80868" w:rsidRDefault="007E2F9F" w:rsidP="006548F8">
            <w:pPr>
              <w:jc w:val="center"/>
              <w:rPr>
                <w:rFonts w:ascii="Arial" w:hAnsi="Arial" w:cs="Arial"/>
                <w:b/>
                <w:lang w:val="es-MX"/>
              </w:rPr>
            </w:pPr>
          </w:p>
          <w:p w14:paraId="3B786329" w14:textId="77777777" w:rsidR="007E2F9F" w:rsidRPr="00C80868" w:rsidRDefault="007E2F9F" w:rsidP="006548F8">
            <w:pPr>
              <w:jc w:val="center"/>
              <w:rPr>
                <w:rFonts w:ascii="Arial" w:hAnsi="Arial" w:cs="Arial"/>
                <w:b/>
                <w:lang w:val="es-MX"/>
              </w:rPr>
            </w:pPr>
          </w:p>
          <w:p w14:paraId="1480FFA1" w14:textId="77777777" w:rsidR="007E2F9F" w:rsidRPr="00C80868" w:rsidRDefault="007E2F9F" w:rsidP="006548F8">
            <w:pPr>
              <w:pStyle w:val="Prrafodelista"/>
              <w:ind w:left="0" w:right="-234"/>
              <w:jc w:val="center"/>
              <w:rPr>
                <w:rFonts w:ascii="Arial" w:hAnsi="Arial" w:cs="Arial"/>
              </w:rPr>
            </w:pPr>
            <w:r w:rsidRPr="00C80868">
              <w:rPr>
                <w:rFonts w:ascii="Arial" w:hAnsi="Arial" w:cs="Arial"/>
                <w:b/>
                <w:lang w:val="es-MX"/>
              </w:rPr>
              <w:t>1</w:t>
            </w:r>
          </w:p>
        </w:tc>
        <w:tc>
          <w:tcPr>
            <w:tcW w:w="1774" w:type="dxa"/>
          </w:tcPr>
          <w:p w14:paraId="33DB6DE6" w14:textId="77777777" w:rsidR="007E2F9F" w:rsidRPr="00C80868" w:rsidRDefault="007E2F9F" w:rsidP="006548F8">
            <w:pPr>
              <w:jc w:val="center"/>
              <w:rPr>
                <w:rFonts w:ascii="Arial" w:hAnsi="Arial" w:cs="Arial"/>
                <w:b/>
                <w:lang w:val="es-MX"/>
              </w:rPr>
            </w:pPr>
            <w:r w:rsidRPr="00C80868">
              <w:rPr>
                <w:rFonts w:ascii="Arial" w:hAnsi="Arial" w:cs="Arial"/>
                <w:b/>
                <w:lang w:val="es-MX"/>
              </w:rPr>
              <w:t>EJECUCIÓN</w:t>
            </w:r>
          </w:p>
          <w:p w14:paraId="0413E30E" w14:textId="77777777" w:rsidR="007E2F9F" w:rsidRPr="00C80868" w:rsidRDefault="007E2F9F" w:rsidP="006548F8">
            <w:pPr>
              <w:jc w:val="center"/>
              <w:rPr>
                <w:rFonts w:ascii="Arial" w:hAnsi="Arial" w:cs="Arial"/>
                <w:b/>
                <w:lang w:val="es-MX"/>
              </w:rPr>
            </w:pPr>
            <w:r w:rsidRPr="00C80868">
              <w:rPr>
                <w:rFonts w:ascii="Arial" w:hAnsi="Arial" w:cs="Arial"/>
                <w:b/>
                <w:lang w:val="es-MX"/>
              </w:rPr>
              <w:t>COMPROMISOS</w:t>
            </w:r>
          </w:p>
          <w:p w14:paraId="09FA430A" w14:textId="77777777" w:rsidR="007E2F9F" w:rsidRPr="00C80868" w:rsidRDefault="007E2F9F" w:rsidP="006548F8">
            <w:pPr>
              <w:jc w:val="center"/>
              <w:rPr>
                <w:rFonts w:ascii="Arial" w:hAnsi="Arial" w:cs="Arial"/>
                <w:b/>
                <w:lang w:val="es-MX"/>
              </w:rPr>
            </w:pPr>
          </w:p>
          <w:p w14:paraId="60EA9DE3" w14:textId="77777777" w:rsidR="007E2F9F" w:rsidRPr="00C80868" w:rsidRDefault="007E2F9F" w:rsidP="006548F8">
            <w:pPr>
              <w:jc w:val="center"/>
              <w:rPr>
                <w:rFonts w:ascii="Arial" w:hAnsi="Arial" w:cs="Arial"/>
                <w:b/>
                <w:lang w:val="es-MX"/>
              </w:rPr>
            </w:pPr>
          </w:p>
          <w:p w14:paraId="23B803B4" w14:textId="77777777" w:rsidR="007E2F9F" w:rsidRPr="00C80868" w:rsidRDefault="007E2F9F" w:rsidP="006548F8">
            <w:pPr>
              <w:pStyle w:val="Prrafodelista"/>
              <w:ind w:left="0" w:right="-234"/>
              <w:jc w:val="center"/>
              <w:rPr>
                <w:rFonts w:ascii="Arial" w:hAnsi="Arial" w:cs="Arial"/>
              </w:rPr>
            </w:pPr>
            <w:r w:rsidRPr="00C80868">
              <w:rPr>
                <w:rFonts w:ascii="Arial" w:hAnsi="Arial" w:cs="Arial"/>
                <w:b/>
                <w:lang w:val="es-MX"/>
              </w:rPr>
              <w:t>2</w:t>
            </w:r>
          </w:p>
        </w:tc>
        <w:tc>
          <w:tcPr>
            <w:tcW w:w="1628" w:type="dxa"/>
          </w:tcPr>
          <w:p w14:paraId="6572DBFE" w14:textId="77777777" w:rsidR="007E2F9F" w:rsidRPr="00C80868" w:rsidRDefault="007E2F9F" w:rsidP="006548F8">
            <w:pPr>
              <w:jc w:val="center"/>
              <w:rPr>
                <w:rFonts w:ascii="Arial" w:hAnsi="Arial" w:cs="Arial"/>
                <w:b/>
                <w:lang w:val="es-MX"/>
              </w:rPr>
            </w:pPr>
            <w:r w:rsidRPr="00C80868">
              <w:rPr>
                <w:rFonts w:ascii="Arial" w:hAnsi="Arial" w:cs="Arial"/>
                <w:b/>
                <w:lang w:val="es-MX"/>
              </w:rPr>
              <w:t xml:space="preserve">PÉRDIDAS </w:t>
            </w:r>
          </w:p>
          <w:p w14:paraId="026E83AE" w14:textId="77777777" w:rsidR="007E2F9F" w:rsidRPr="00C80868" w:rsidRDefault="007E2F9F" w:rsidP="006548F8">
            <w:pPr>
              <w:jc w:val="center"/>
              <w:rPr>
                <w:rFonts w:ascii="Arial" w:hAnsi="Arial" w:cs="Arial"/>
                <w:b/>
                <w:lang w:val="es-MX"/>
              </w:rPr>
            </w:pPr>
            <w:r w:rsidRPr="00C80868">
              <w:rPr>
                <w:rFonts w:ascii="Arial" w:hAnsi="Arial" w:cs="Arial"/>
                <w:b/>
                <w:lang w:val="es-MX"/>
              </w:rPr>
              <w:t>DE</w:t>
            </w:r>
          </w:p>
          <w:p w14:paraId="64BE6CF8" w14:textId="77777777" w:rsidR="007E2F9F" w:rsidRPr="00C80868" w:rsidRDefault="007E2F9F" w:rsidP="006548F8">
            <w:pPr>
              <w:jc w:val="center"/>
              <w:rPr>
                <w:rFonts w:ascii="Arial" w:hAnsi="Arial" w:cs="Arial"/>
                <w:b/>
                <w:lang w:val="es-MX"/>
              </w:rPr>
            </w:pPr>
            <w:r w:rsidRPr="00C80868">
              <w:rPr>
                <w:rFonts w:ascii="Arial" w:hAnsi="Arial" w:cs="Arial"/>
                <w:b/>
                <w:lang w:val="es-MX"/>
              </w:rPr>
              <w:t>APROPIACIÓN</w:t>
            </w:r>
          </w:p>
          <w:p w14:paraId="7867603A" w14:textId="77777777" w:rsidR="007E2F9F" w:rsidRPr="00C80868" w:rsidRDefault="007E2F9F" w:rsidP="006548F8">
            <w:pPr>
              <w:jc w:val="center"/>
              <w:rPr>
                <w:rFonts w:ascii="Arial" w:hAnsi="Arial" w:cs="Arial"/>
                <w:b/>
                <w:lang w:val="es-MX"/>
              </w:rPr>
            </w:pPr>
          </w:p>
          <w:p w14:paraId="30E384C3" w14:textId="77777777" w:rsidR="007E2F9F" w:rsidRPr="00C80868" w:rsidRDefault="007E2F9F" w:rsidP="006548F8">
            <w:pPr>
              <w:pStyle w:val="Prrafodelista"/>
              <w:ind w:left="0" w:right="-234"/>
              <w:jc w:val="center"/>
              <w:rPr>
                <w:rFonts w:ascii="Arial" w:hAnsi="Arial" w:cs="Arial"/>
                <w:b/>
                <w:lang w:val="es-MX"/>
              </w:rPr>
            </w:pPr>
            <w:r w:rsidRPr="00C80868">
              <w:rPr>
                <w:rFonts w:ascii="Arial" w:hAnsi="Arial" w:cs="Arial"/>
                <w:b/>
                <w:lang w:val="es-MX"/>
              </w:rPr>
              <w:t>3</w:t>
            </w:r>
            <w:proofErr w:type="gramStart"/>
            <w:r w:rsidRPr="00C80868">
              <w:rPr>
                <w:rFonts w:ascii="Arial" w:hAnsi="Arial" w:cs="Arial"/>
                <w:b/>
                <w:lang w:val="es-MX"/>
              </w:rPr>
              <w:t>=(</w:t>
            </w:r>
            <w:proofErr w:type="gramEnd"/>
            <w:r w:rsidRPr="00C80868">
              <w:rPr>
                <w:rFonts w:ascii="Arial" w:hAnsi="Arial" w:cs="Arial"/>
                <w:b/>
                <w:lang w:val="es-MX"/>
              </w:rPr>
              <w:t>1-2)</w:t>
            </w:r>
          </w:p>
          <w:p w14:paraId="2368F1B3" w14:textId="77777777" w:rsidR="007E2F9F" w:rsidRPr="00C80868" w:rsidRDefault="007E2F9F" w:rsidP="006548F8">
            <w:pPr>
              <w:pStyle w:val="Prrafodelista"/>
              <w:ind w:left="0" w:right="-234"/>
              <w:jc w:val="center"/>
              <w:rPr>
                <w:rFonts w:ascii="Arial" w:hAnsi="Arial" w:cs="Arial"/>
              </w:rPr>
            </w:pPr>
          </w:p>
        </w:tc>
      </w:tr>
      <w:tr w:rsidR="007E2F9F" w:rsidRPr="00C80868" w14:paraId="7835E3FD" w14:textId="77777777" w:rsidTr="006548F8">
        <w:tc>
          <w:tcPr>
            <w:tcW w:w="5099" w:type="dxa"/>
          </w:tcPr>
          <w:p w14:paraId="7207701A" w14:textId="77777777" w:rsidR="007E2F9F" w:rsidRPr="00C80868" w:rsidRDefault="007E2F9F" w:rsidP="006548F8">
            <w:pPr>
              <w:jc w:val="both"/>
              <w:rPr>
                <w:rFonts w:ascii="Arial" w:hAnsi="Arial" w:cs="Arial"/>
                <w:b/>
                <w:lang w:val="es-MX"/>
              </w:rPr>
            </w:pPr>
            <w:r w:rsidRPr="00C80868">
              <w:rPr>
                <w:rFonts w:ascii="Arial" w:hAnsi="Arial" w:cs="Arial"/>
                <w:b/>
                <w:lang w:val="es-MX"/>
              </w:rPr>
              <w:t>FUNCIONAMIENTO</w:t>
            </w:r>
          </w:p>
        </w:tc>
        <w:tc>
          <w:tcPr>
            <w:tcW w:w="1984" w:type="dxa"/>
            <w:vAlign w:val="center"/>
          </w:tcPr>
          <w:p w14:paraId="2264943A" w14:textId="77777777" w:rsidR="007E2F9F" w:rsidRPr="00A2765F" w:rsidRDefault="007E2F9F" w:rsidP="006548F8">
            <w:pPr>
              <w:jc w:val="right"/>
              <w:rPr>
                <w:rFonts w:ascii="Arial" w:hAnsi="Arial" w:cs="Arial"/>
                <w:bCs/>
                <w:lang w:val="es-MX"/>
              </w:rPr>
            </w:pPr>
            <w:r w:rsidRPr="00A2765F">
              <w:rPr>
                <w:rFonts w:ascii="Arial" w:hAnsi="Arial" w:cs="Arial"/>
                <w:bCs/>
                <w:color w:val="000000"/>
              </w:rPr>
              <w:t>2.745.157,131</w:t>
            </w:r>
          </w:p>
        </w:tc>
        <w:tc>
          <w:tcPr>
            <w:tcW w:w="1774" w:type="dxa"/>
            <w:vAlign w:val="center"/>
          </w:tcPr>
          <w:p w14:paraId="07973570" w14:textId="77777777" w:rsidR="007E2F9F" w:rsidRPr="00A2765F" w:rsidRDefault="007E2F9F" w:rsidP="006548F8">
            <w:pPr>
              <w:jc w:val="right"/>
              <w:rPr>
                <w:rFonts w:ascii="Arial" w:hAnsi="Arial" w:cs="Arial"/>
                <w:bCs/>
                <w:lang w:val="es-MX"/>
              </w:rPr>
            </w:pPr>
            <w:r w:rsidRPr="00A2765F">
              <w:rPr>
                <w:rFonts w:ascii="Arial" w:hAnsi="Arial" w:cs="Arial"/>
                <w:bCs/>
                <w:color w:val="000000"/>
              </w:rPr>
              <w:t>2.534.335,036</w:t>
            </w:r>
          </w:p>
        </w:tc>
        <w:tc>
          <w:tcPr>
            <w:tcW w:w="1628" w:type="dxa"/>
            <w:vAlign w:val="center"/>
          </w:tcPr>
          <w:p w14:paraId="4EE9BE49" w14:textId="77777777" w:rsidR="007E2F9F" w:rsidRPr="00A2765F" w:rsidRDefault="007E2F9F" w:rsidP="006548F8">
            <w:pPr>
              <w:jc w:val="right"/>
              <w:rPr>
                <w:rFonts w:ascii="Arial" w:hAnsi="Arial" w:cs="Arial"/>
                <w:bCs/>
                <w:lang w:val="es-MX"/>
              </w:rPr>
            </w:pPr>
            <w:r w:rsidRPr="00A2765F">
              <w:rPr>
                <w:rFonts w:ascii="Arial" w:hAnsi="Arial" w:cs="Arial"/>
                <w:bCs/>
                <w:color w:val="000000"/>
              </w:rPr>
              <w:t>10.822,094</w:t>
            </w:r>
          </w:p>
        </w:tc>
      </w:tr>
      <w:tr w:rsidR="007E2F9F" w:rsidRPr="00C80868" w14:paraId="3F61E3AA" w14:textId="77777777" w:rsidTr="006548F8">
        <w:tc>
          <w:tcPr>
            <w:tcW w:w="5099" w:type="dxa"/>
          </w:tcPr>
          <w:p w14:paraId="46784936" w14:textId="77777777" w:rsidR="007E2F9F" w:rsidRPr="00C80868" w:rsidRDefault="007E2F9F" w:rsidP="006548F8">
            <w:pPr>
              <w:jc w:val="both"/>
              <w:rPr>
                <w:rFonts w:ascii="Arial" w:hAnsi="Arial" w:cs="Arial"/>
                <w:b/>
                <w:lang w:val="es-MX"/>
              </w:rPr>
            </w:pPr>
            <w:r w:rsidRPr="00C80868">
              <w:rPr>
                <w:rFonts w:ascii="Arial" w:hAnsi="Arial" w:cs="Arial"/>
                <w:b/>
                <w:lang w:val="es-MX"/>
              </w:rPr>
              <w:t>INVERSIÓN</w:t>
            </w:r>
          </w:p>
        </w:tc>
        <w:tc>
          <w:tcPr>
            <w:tcW w:w="1984" w:type="dxa"/>
            <w:vAlign w:val="center"/>
          </w:tcPr>
          <w:p w14:paraId="0F9D7077" w14:textId="77777777" w:rsidR="007E2F9F" w:rsidRPr="00A2765F" w:rsidRDefault="007E2F9F" w:rsidP="006548F8">
            <w:pPr>
              <w:jc w:val="right"/>
              <w:rPr>
                <w:rFonts w:ascii="Arial" w:hAnsi="Arial" w:cs="Arial"/>
                <w:bCs/>
                <w:lang w:val="es-MX"/>
              </w:rPr>
            </w:pPr>
            <w:r w:rsidRPr="00A2765F">
              <w:rPr>
                <w:rFonts w:ascii="Arial" w:hAnsi="Arial" w:cs="Arial"/>
                <w:bCs/>
                <w:color w:val="000000"/>
              </w:rPr>
              <w:t>111.231,487</w:t>
            </w:r>
          </w:p>
        </w:tc>
        <w:tc>
          <w:tcPr>
            <w:tcW w:w="1774" w:type="dxa"/>
            <w:vAlign w:val="center"/>
          </w:tcPr>
          <w:p w14:paraId="25F04286" w14:textId="77777777" w:rsidR="007E2F9F" w:rsidRPr="00A2765F" w:rsidRDefault="007E2F9F" w:rsidP="006548F8">
            <w:pPr>
              <w:jc w:val="right"/>
              <w:rPr>
                <w:rFonts w:ascii="Arial" w:hAnsi="Arial" w:cs="Arial"/>
                <w:bCs/>
                <w:lang w:val="es-MX"/>
              </w:rPr>
            </w:pPr>
            <w:r w:rsidRPr="00A2765F">
              <w:rPr>
                <w:rFonts w:ascii="Arial" w:hAnsi="Arial" w:cs="Arial"/>
                <w:bCs/>
                <w:color w:val="000000"/>
              </w:rPr>
              <w:t>107.887,270</w:t>
            </w:r>
          </w:p>
        </w:tc>
        <w:tc>
          <w:tcPr>
            <w:tcW w:w="1628" w:type="dxa"/>
            <w:vAlign w:val="center"/>
          </w:tcPr>
          <w:p w14:paraId="0D34D87D" w14:textId="77777777" w:rsidR="007E2F9F" w:rsidRPr="00A2765F" w:rsidRDefault="007E2F9F" w:rsidP="006548F8">
            <w:pPr>
              <w:jc w:val="right"/>
              <w:rPr>
                <w:rFonts w:ascii="Arial" w:hAnsi="Arial" w:cs="Arial"/>
                <w:bCs/>
                <w:lang w:val="es-MX"/>
              </w:rPr>
            </w:pPr>
            <w:r w:rsidRPr="00A2765F">
              <w:rPr>
                <w:rFonts w:ascii="Arial" w:hAnsi="Arial" w:cs="Arial"/>
                <w:bCs/>
                <w:color w:val="000000"/>
              </w:rPr>
              <w:t>.344,217</w:t>
            </w:r>
          </w:p>
        </w:tc>
      </w:tr>
      <w:tr w:rsidR="007E2F9F" w:rsidRPr="00C80868" w14:paraId="58AA2C2E" w14:textId="77777777" w:rsidTr="006548F8">
        <w:tc>
          <w:tcPr>
            <w:tcW w:w="5099" w:type="dxa"/>
          </w:tcPr>
          <w:p w14:paraId="2967C9B3" w14:textId="77777777" w:rsidR="007E2F9F" w:rsidRPr="00C80868" w:rsidRDefault="007E2F9F" w:rsidP="006548F8">
            <w:pPr>
              <w:jc w:val="both"/>
              <w:rPr>
                <w:rFonts w:ascii="Arial" w:hAnsi="Arial" w:cs="Arial"/>
                <w:b/>
                <w:u w:val="single"/>
                <w:lang w:val="es-MX"/>
              </w:rPr>
            </w:pPr>
            <w:r w:rsidRPr="00C80868">
              <w:rPr>
                <w:rFonts w:ascii="Arial" w:hAnsi="Arial" w:cs="Arial"/>
                <w:b/>
                <w:u w:val="single"/>
                <w:lang w:val="es-MX"/>
              </w:rPr>
              <w:lastRenderedPageBreak/>
              <w:t>TOTAL PÉRDIDAS DE APROPIACIÓN</w:t>
            </w:r>
          </w:p>
        </w:tc>
        <w:tc>
          <w:tcPr>
            <w:tcW w:w="1984" w:type="dxa"/>
            <w:vAlign w:val="center"/>
          </w:tcPr>
          <w:p w14:paraId="0DB1A2CF" w14:textId="77777777" w:rsidR="007E2F9F" w:rsidRPr="00C80868" w:rsidRDefault="007E2F9F" w:rsidP="006548F8">
            <w:pPr>
              <w:jc w:val="right"/>
              <w:rPr>
                <w:rFonts w:ascii="Arial" w:hAnsi="Arial" w:cs="Arial"/>
                <w:b/>
                <w:u w:val="single"/>
                <w:lang w:val="es-MX"/>
              </w:rPr>
            </w:pPr>
            <w:r w:rsidRPr="00C80868">
              <w:rPr>
                <w:rFonts w:ascii="Arial" w:hAnsi="Arial" w:cs="Arial"/>
                <w:b/>
                <w:color w:val="000000"/>
                <w:u w:val="single"/>
              </w:rPr>
              <w:t>2.856.388,618</w:t>
            </w:r>
          </w:p>
        </w:tc>
        <w:tc>
          <w:tcPr>
            <w:tcW w:w="1774" w:type="dxa"/>
            <w:vAlign w:val="center"/>
          </w:tcPr>
          <w:p w14:paraId="72BF9D50" w14:textId="77777777" w:rsidR="007E2F9F" w:rsidRPr="00C80868" w:rsidRDefault="007E2F9F" w:rsidP="006548F8">
            <w:pPr>
              <w:jc w:val="right"/>
              <w:rPr>
                <w:rFonts w:ascii="Arial" w:hAnsi="Arial" w:cs="Arial"/>
                <w:b/>
                <w:u w:val="single"/>
                <w:lang w:val="es-MX"/>
              </w:rPr>
            </w:pPr>
            <w:r w:rsidRPr="00C80868">
              <w:rPr>
                <w:rFonts w:ascii="Arial" w:hAnsi="Arial" w:cs="Arial"/>
                <w:b/>
                <w:color w:val="000000"/>
                <w:u w:val="single"/>
              </w:rPr>
              <w:t>2.642.222,306</w:t>
            </w:r>
          </w:p>
        </w:tc>
        <w:tc>
          <w:tcPr>
            <w:tcW w:w="1628" w:type="dxa"/>
            <w:vAlign w:val="center"/>
          </w:tcPr>
          <w:p w14:paraId="3C02F628" w14:textId="77777777" w:rsidR="007E2F9F" w:rsidRPr="00C80868" w:rsidRDefault="007E2F9F" w:rsidP="006548F8">
            <w:pPr>
              <w:jc w:val="right"/>
              <w:rPr>
                <w:rFonts w:ascii="Arial" w:hAnsi="Arial" w:cs="Arial"/>
                <w:b/>
                <w:u w:val="single"/>
                <w:lang w:val="es-MX"/>
              </w:rPr>
            </w:pPr>
            <w:r w:rsidRPr="00C80868">
              <w:rPr>
                <w:rFonts w:ascii="Arial" w:hAnsi="Arial" w:cs="Arial"/>
                <w:b/>
                <w:color w:val="000000"/>
                <w:u w:val="single"/>
              </w:rPr>
              <w:t>14.166,312</w:t>
            </w:r>
          </w:p>
        </w:tc>
      </w:tr>
    </w:tbl>
    <w:p w14:paraId="136DBDC6" w14:textId="77777777" w:rsidR="007E2F9F" w:rsidRPr="00C80868" w:rsidRDefault="007E2F9F" w:rsidP="007E2F9F">
      <w:pPr>
        <w:ind w:left="-284"/>
        <w:jc w:val="both"/>
        <w:rPr>
          <w:rFonts w:ascii="Arial" w:hAnsi="Arial" w:cs="Arial"/>
          <w:b/>
          <w:sz w:val="28"/>
          <w:szCs w:val="28"/>
          <w:lang w:val="es-MX"/>
        </w:rPr>
      </w:pPr>
    </w:p>
    <w:p w14:paraId="74161F55"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3.- SUPERINTENDENCIA DE VIGILANCIA Y SEGURIDAD PRIVADA.</w:t>
      </w:r>
    </w:p>
    <w:p w14:paraId="0FBCE7E2" w14:textId="77777777" w:rsidR="007E2F9F" w:rsidRPr="00C80868" w:rsidRDefault="007E2F9F" w:rsidP="007E2F9F">
      <w:pPr>
        <w:ind w:left="-284" w:right="-234"/>
        <w:jc w:val="both"/>
        <w:rPr>
          <w:rFonts w:ascii="Arial" w:hAnsi="Arial" w:cs="Arial"/>
          <w:b/>
          <w:sz w:val="28"/>
          <w:szCs w:val="28"/>
          <w:u w:val="single"/>
          <w:lang w:val="es-MX"/>
        </w:rPr>
      </w:pPr>
    </w:p>
    <w:p w14:paraId="5D188112"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 xml:space="preserve">Pérdidas de Apropiación en la vigencia 2024. </w:t>
      </w:r>
    </w:p>
    <w:p w14:paraId="101C83AE"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30F47285" w14:textId="77777777" w:rsidR="007E2F9F" w:rsidRPr="00C80868" w:rsidRDefault="007E2F9F" w:rsidP="007E2F9F">
      <w:pPr>
        <w:pStyle w:val="Prrafodelista"/>
        <w:ind w:left="0"/>
        <w:rPr>
          <w:rFonts w:ascii="Arial" w:hAnsi="Arial" w:cs="Arial"/>
          <w:sz w:val="24"/>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4"/>
        <w:gridCol w:w="1984"/>
        <w:gridCol w:w="1843"/>
        <w:gridCol w:w="1559"/>
      </w:tblGrid>
      <w:tr w:rsidR="007E2F9F" w:rsidRPr="00C80868" w14:paraId="51EAF577" w14:textId="77777777" w:rsidTr="006548F8">
        <w:trPr>
          <w:trHeight w:val="675"/>
        </w:trPr>
        <w:tc>
          <w:tcPr>
            <w:tcW w:w="5104" w:type="dxa"/>
            <w:shd w:val="clear" w:color="auto" w:fill="auto"/>
            <w:vAlign w:val="center"/>
            <w:hideMark/>
          </w:tcPr>
          <w:p w14:paraId="2CDA16A9" w14:textId="77777777" w:rsidR="007E2F9F" w:rsidRPr="00C80868" w:rsidRDefault="007E2F9F" w:rsidP="006548F8">
            <w:pPr>
              <w:jc w:val="cente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TIPO DE GASTO</w:t>
            </w:r>
          </w:p>
        </w:tc>
        <w:tc>
          <w:tcPr>
            <w:tcW w:w="1984" w:type="dxa"/>
            <w:shd w:val="clear" w:color="auto" w:fill="auto"/>
            <w:hideMark/>
          </w:tcPr>
          <w:p w14:paraId="45A409AA" w14:textId="77777777" w:rsidR="007E2F9F" w:rsidRPr="00C80868" w:rsidRDefault="007E2F9F" w:rsidP="006548F8">
            <w:pPr>
              <w:jc w:val="cente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 xml:space="preserve">APROPIACION DEFINITIVA </w:t>
            </w:r>
            <w:r w:rsidRPr="00C80868">
              <w:rPr>
                <w:rFonts w:ascii="Arial" w:eastAsia="Times New Roman" w:hAnsi="Arial" w:cs="Arial"/>
                <w:b/>
                <w:bCs/>
                <w:color w:val="000000"/>
                <w:sz w:val="20"/>
                <w:szCs w:val="20"/>
                <w:lang w:eastAsia="es-CO"/>
              </w:rPr>
              <w:br/>
              <w:t>(1)</w:t>
            </w:r>
          </w:p>
        </w:tc>
        <w:tc>
          <w:tcPr>
            <w:tcW w:w="1843" w:type="dxa"/>
            <w:shd w:val="clear" w:color="auto" w:fill="auto"/>
            <w:hideMark/>
          </w:tcPr>
          <w:p w14:paraId="4113A868" w14:textId="77777777" w:rsidR="007E2F9F" w:rsidRPr="00C80868" w:rsidRDefault="007E2F9F" w:rsidP="006548F8">
            <w:pPr>
              <w:jc w:val="cente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EJECUCION COMPROMISOS</w:t>
            </w:r>
            <w:r w:rsidRPr="00C80868">
              <w:rPr>
                <w:rFonts w:ascii="Arial" w:eastAsia="Times New Roman" w:hAnsi="Arial" w:cs="Arial"/>
                <w:b/>
                <w:bCs/>
                <w:color w:val="000000"/>
                <w:sz w:val="20"/>
                <w:szCs w:val="20"/>
                <w:lang w:eastAsia="es-CO"/>
              </w:rPr>
              <w:br/>
              <w:t>(2)</w:t>
            </w:r>
          </w:p>
        </w:tc>
        <w:tc>
          <w:tcPr>
            <w:tcW w:w="1559" w:type="dxa"/>
            <w:shd w:val="clear" w:color="auto" w:fill="auto"/>
            <w:hideMark/>
          </w:tcPr>
          <w:p w14:paraId="2A307BF8" w14:textId="77777777" w:rsidR="007E2F9F" w:rsidRPr="00C80868" w:rsidRDefault="007E2F9F" w:rsidP="006548F8">
            <w:pPr>
              <w:jc w:val="cente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 xml:space="preserve">PERDIDAS DE </w:t>
            </w:r>
          </w:p>
          <w:p w14:paraId="211098EF" w14:textId="77777777" w:rsidR="007E2F9F" w:rsidRDefault="007E2F9F" w:rsidP="006548F8">
            <w:pPr>
              <w:jc w:val="cente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APROPIACION</w:t>
            </w:r>
            <w:r w:rsidRPr="00C80868">
              <w:rPr>
                <w:rFonts w:ascii="Arial" w:eastAsia="Times New Roman" w:hAnsi="Arial" w:cs="Arial"/>
                <w:b/>
                <w:bCs/>
                <w:color w:val="000000"/>
                <w:sz w:val="20"/>
                <w:szCs w:val="20"/>
                <w:lang w:eastAsia="es-CO"/>
              </w:rPr>
              <w:br/>
              <w:t xml:space="preserve"> (3) = (1-2)</w:t>
            </w:r>
          </w:p>
          <w:p w14:paraId="14C7D960" w14:textId="77777777" w:rsidR="007E2F9F" w:rsidRPr="00C80868" w:rsidRDefault="007E2F9F" w:rsidP="006548F8">
            <w:pPr>
              <w:jc w:val="center"/>
              <w:rPr>
                <w:rFonts w:ascii="Arial" w:eastAsia="Times New Roman" w:hAnsi="Arial" w:cs="Arial"/>
                <w:b/>
                <w:bCs/>
                <w:color w:val="000000"/>
                <w:sz w:val="20"/>
                <w:szCs w:val="20"/>
                <w:lang w:eastAsia="es-CO"/>
              </w:rPr>
            </w:pPr>
          </w:p>
        </w:tc>
      </w:tr>
      <w:tr w:rsidR="007E2F9F" w:rsidRPr="00C80868" w14:paraId="37C737B2" w14:textId="77777777" w:rsidTr="006548F8">
        <w:trPr>
          <w:trHeight w:val="300"/>
        </w:trPr>
        <w:tc>
          <w:tcPr>
            <w:tcW w:w="5104" w:type="dxa"/>
            <w:shd w:val="clear" w:color="auto" w:fill="auto"/>
            <w:noWrap/>
            <w:vAlign w:val="center"/>
            <w:hideMark/>
          </w:tcPr>
          <w:p w14:paraId="3DD7BBE9" w14:textId="77777777" w:rsidR="007E2F9F" w:rsidRPr="00C80868" w:rsidRDefault="007E2F9F" w:rsidP="006548F8">
            <w:pP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FUNCIONAMIENTO</w:t>
            </w:r>
          </w:p>
        </w:tc>
        <w:tc>
          <w:tcPr>
            <w:tcW w:w="1984" w:type="dxa"/>
            <w:shd w:val="clear" w:color="auto" w:fill="auto"/>
            <w:noWrap/>
            <w:vAlign w:val="center"/>
            <w:hideMark/>
          </w:tcPr>
          <w:p w14:paraId="18509FC8"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29.744.000</w:t>
            </w:r>
          </w:p>
        </w:tc>
        <w:tc>
          <w:tcPr>
            <w:tcW w:w="1843" w:type="dxa"/>
            <w:shd w:val="clear" w:color="auto" w:fill="auto"/>
            <w:noWrap/>
            <w:vAlign w:val="center"/>
            <w:hideMark/>
          </w:tcPr>
          <w:p w14:paraId="680E6FBB"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23.209.053</w:t>
            </w:r>
          </w:p>
        </w:tc>
        <w:tc>
          <w:tcPr>
            <w:tcW w:w="1559" w:type="dxa"/>
            <w:shd w:val="clear" w:color="auto" w:fill="auto"/>
            <w:noWrap/>
            <w:vAlign w:val="center"/>
            <w:hideMark/>
          </w:tcPr>
          <w:p w14:paraId="0CE13BFE"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6.534.947</w:t>
            </w:r>
          </w:p>
        </w:tc>
      </w:tr>
      <w:tr w:rsidR="007E2F9F" w:rsidRPr="00C80868" w14:paraId="212E9A79" w14:textId="77777777" w:rsidTr="006548F8">
        <w:trPr>
          <w:trHeight w:val="300"/>
        </w:trPr>
        <w:tc>
          <w:tcPr>
            <w:tcW w:w="5104" w:type="dxa"/>
            <w:shd w:val="clear" w:color="auto" w:fill="auto"/>
            <w:noWrap/>
            <w:vAlign w:val="center"/>
          </w:tcPr>
          <w:p w14:paraId="70B078E2" w14:textId="77777777" w:rsidR="007E2F9F" w:rsidRPr="00C80868" w:rsidRDefault="007E2F9F" w:rsidP="006548F8">
            <w:pP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INVERSION</w:t>
            </w:r>
          </w:p>
        </w:tc>
        <w:tc>
          <w:tcPr>
            <w:tcW w:w="1984" w:type="dxa"/>
            <w:shd w:val="clear" w:color="auto" w:fill="auto"/>
            <w:noWrap/>
            <w:vAlign w:val="center"/>
          </w:tcPr>
          <w:p w14:paraId="3D1A7268"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color w:val="000000"/>
                <w:sz w:val="20"/>
                <w:szCs w:val="20"/>
                <w:lang w:eastAsia="es-CO"/>
              </w:rPr>
              <w:t>5.506.000</w:t>
            </w:r>
          </w:p>
        </w:tc>
        <w:tc>
          <w:tcPr>
            <w:tcW w:w="1843" w:type="dxa"/>
            <w:shd w:val="clear" w:color="auto" w:fill="auto"/>
            <w:noWrap/>
            <w:vAlign w:val="center"/>
          </w:tcPr>
          <w:p w14:paraId="3AA3E6CF"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color w:val="000000"/>
                <w:sz w:val="20"/>
                <w:szCs w:val="20"/>
                <w:lang w:eastAsia="es-CO"/>
              </w:rPr>
              <w:t>4.979.716</w:t>
            </w:r>
          </w:p>
        </w:tc>
        <w:tc>
          <w:tcPr>
            <w:tcW w:w="1559" w:type="dxa"/>
            <w:shd w:val="clear" w:color="auto" w:fill="auto"/>
            <w:noWrap/>
            <w:vAlign w:val="center"/>
          </w:tcPr>
          <w:p w14:paraId="3CDA63AC"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color w:val="000000"/>
                <w:sz w:val="20"/>
                <w:szCs w:val="20"/>
                <w:lang w:eastAsia="es-CO"/>
              </w:rPr>
              <w:t>526.284</w:t>
            </w:r>
          </w:p>
        </w:tc>
      </w:tr>
      <w:tr w:rsidR="007E2F9F" w:rsidRPr="00C80868" w14:paraId="1ACFFAEB" w14:textId="77777777" w:rsidTr="006548F8">
        <w:trPr>
          <w:trHeight w:val="300"/>
        </w:trPr>
        <w:tc>
          <w:tcPr>
            <w:tcW w:w="5104" w:type="dxa"/>
            <w:shd w:val="clear" w:color="auto" w:fill="auto"/>
            <w:noWrap/>
            <w:vAlign w:val="center"/>
            <w:hideMark/>
          </w:tcPr>
          <w:p w14:paraId="13E8D765" w14:textId="77777777" w:rsidR="007E2F9F" w:rsidRPr="00C80868" w:rsidRDefault="007E2F9F" w:rsidP="006548F8">
            <w:pPr>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TOTAL PERDIDAS DE APROPIACION</w:t>
            </w:r>
          </w:p>
        </w:tc>
        <w:tc>
          <w:tcPr>
            <w:tcW w:w="1984" w:type="dxa"/>
            <w:shd w:val="clear" w:color="auto" w:fill="auto"/>
            <w:noWrap/>
            <w:vAlign w:val="center"/>
            <w:hideMark/>
          </w:tcPr>
          <w:p w14:paraId="669C0373"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35.250.000</w:t>
            </w:r>
          </w:p>
        </w:tc>
        <w:tc>
          <w:tcPr>
            <w:tcW w:w="1843" w:type="dxa"/>
            <w:shd w:val="clear" w:color="auto" w:fill="auto"/>
            <w:noWrap/>
            <w:vAlign w:val="center"/>
            <w:hideMark/>
          </w:tcPr>
          <w:p w14:paraId="0A3D30BE"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28.188.769</w:t>
            </w:r>
          </w:p>
        </w:tc>
        <w:tc>
          <w:tcPr>
            <w:tcW w:w="1559" w:type="dxa"/>
            <w:shd w:val="clear" w:color="auto" w:fill="auto"/>
            <w:noWrap/>
            <w:vAlign w:val="center"/>
            <w:hideMark/>
          </w:tcPr>
          <w:p w14:paraId="688393F5" w14:textId="77777777" w:rsidR="007E2F9F" w:rsidRPr="00C80868" w:rsidRDefault="007E2F9F" w:rsidP="006548F8">
            <w:pPr>
              <w:jc w:val="right"/>
              <w:rPr>
                <w:rFonts w:ascii="Arial" w:eastAsia="Times New Roman" w:hAnsi="Arial" w:cs="Arial"/>
                <w:b/>
                <w:bCs/>
                <w:color w:val="000000"/>
                <w:sz w:val="20"/>
                <w:szCs w:val="20"/>
                <w:lang w:eastAsia="es-CO"/>
              </w:rPr>
            </w:pPr>
            <w:r w:rsidRPr="00C80868">
              <w:rPr>
                <w:rFonts w:ascii="Arial" w:eastAsia="Times New Roman" w:hAnsi="Arial" w:cs="Arial"/>
                <w:b/>
                <w:bCs/>
                <w:color w:val="000000"/>
                <w:sz w:val="20"/>
                <w:szCs w:val="20"/>
                <w:lang w:eastAsia="es-CO"/>
              </w:rPr>
              <w:t>7.061.231</w:t>
            </w:r>
          </w:p>
        </w:tc>
      </w:tr>
    </w:tbl>
    <w:p w14:paraId="37D9C5D7" w14:textId="77777777" w:rsidR="007E2F9F" w:rsidRPr="00C80868" w:rsidRDefault="007E2F9F" w:rsidP="007E2F9F">
      <w:pPr>
        <w:ind w:left="-284" w:right="-234"/>
        <w:jc w:val="both"/>
        <w:rPr>
          <w:rFonts w:ascii="Arial" w:hAnsi="Arial" w:cs="Arial"/>
          <w:b/>
          <w:sz w:val="28"/>
          <w:szCs w:val="28"/>
          <w:u w:val="single"/>
          <w:lang w:val="es-MX"/>
        </w:rPr>
      </w:pPr>
    </w:p>
    <w:p w14:paraId="388792FC" w14:textId="77777777" w:rsidR="007E2F9F" w:rsidRPr="00C80868" w:rsidRDefault="007E2F9F" w:rsidP="007E2F9F">
      <w:pPr>
        <w:ind w:left="-284" w:right="-234"/>
        <w:jc w:val="both"/>
        <w:rPr>
          <w:rFonts w:ascii="Arial" w:hAnsi="Arial" w:cs="Arial"/>
          <w:b/>
          <w:sz w:val="28"/>
          <w:szCs w:val="28"/>
          <w:lang w:val="es-MX"/>
        </w:rPr>
      </w:pPr>
      <w:r w:rsidRPr="00C80868">
        <w:rPr>
          <w:rFonts w:ascii="Arial" w:hAnsi="Arial" w:cs="Arial"/>
          <w:b/>
          <w:sz w:val="28"/>
          <w:szCs w:val="28"/>
          <w:lang w:val="es-MX"/>
        </w:rPr>
        <w:t>5.- UNIDAD ADMINISTRATIVA ESPECIAL DEL SERVICIO PÚBLICO DE EMPLEO.</w:t>
      </w:r>
    </w:p>
    <w:p w14:paraId="326B8F4F" w14:textId="77777777" w:rsidR="00B351D8" w:rsidRDefault="00B351D8" w:rsidP="007E2F9F">
      <w:pPr>
        <w:pStyle w:val="Prrafodelista"/>
        <w:ind w:left="0"/>
        <w:jc w:val="center"/>
        <w:rPr>
          <w:rFonts w:ascii="Arial" w:hAnsi="Arial" w:cs="Arial"/>
          <w:b/>
          <w:sz w:val="24"/>
        </w:rPr>
      </w:pPr>
    </w:p>
    <w:p w14:paraId="441EAB22" w14:textId="14F5BD4A"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67980C2B"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4F17BF23" w14:textId="77777777" w:rsidR="007E2F9F" w:rsidRPr="00C80868" w:rsidRDefault="007E2F9F" w:rsidP="007E2F9F">
      <w:pPr>
        <w:pStyle w:val="Prrafodelista"/>
        <w:ind w:left="-142"/>
        <w:rPr>
          <w:rFonts w:ascii="Arial" w:hAnsi="Arial" w:cs="Arial"/>
          <w:sz w:val="24"/>
        </w:rPr>
      </w:pPr>
    </w:p>
    <w:tbl>
      <w:tblPr>
        <w:tblStyle w:val="Tablaconcuadrcula"/>
        <w:tblW w:w="10490" w:type="dxa"/>
        <w:tblInd w:w="-289" w:type="dxa"/>
        <w:tblLook w:val="04A0" w:firstRow="1" w:lastRow="0" w:firstColumn="1" w:lastColumn="0" w:noHBand="0" w:noVBand="1"/>
      </w:tblPr>
      <w:tblGrid>
        <w:gridCol w:w="4395"/>
        <w:gridCol w:w="1843"/>
        <w:gridCol w:w="1984"/>
        <w:gridCol w:w="2268"/>
      </w:tblGrid>
      <w:tr w:rsidR="007E2F9F" w:rsidRPr="00C80868" w14:paraId="55BFF2F0" w14:textId="77777777" w:rsidTr="006548F8">
        <w:tc>
          <w:tcPr>
            <w:tcW w:w="4395" w:type="dxa"/>
          </w:tcPr>
          <w:p w14:paraId="5D0C82AC"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843" w:type="dxa"/>
          </w:tcPr>
          <w:p w14:paraId="43FDDBF9"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7CECB0FA"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1F4E58A4"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1BAB3BC2" w14:textId="77777777" w:rsidR="007E2F9F" w:rsidRPr="00C80868" w:rsidRDefault="007E2F9F" w:rsidP="006548F8">
            <w:pPr>
              <w:jc w:val="center"/>
              <w:rPr>
                <w:rFonts w:ascii="Arial" w:hAnsi="Arial" w:cs="Arial"/>
                <w:b/>
                <w:lang w:val="es-ES_tradnl"/>
              </w:rPr>
            </w:pPr>
          </w:p>
        </w:tc>
        <w:tc>
          <w:tcPr>
            <w:tcW w:w="1984" w:type="dxa"/>
          </w:tcPr>
          <w:p w14:paraId="13205374"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5A2E31AD"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39349DF4"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329C66E5"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35241D15"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457C89D1"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51AB5EBE" w14:textId="77777777" w:rsidTr="006548F8">
        <w:tc>
          <w:tcPr>
            <w:tcW w:w="4395" w:type="dxa"/>
          </w:tcPr>
          <w:p w14:paraId="3FD7BD20"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843" w:type="dxa"/>
          </w:tcPr>
          <w:p w14:paraId="527F4998" w14:textId="77777777" w:rsidR="007E2F9F" w:rsidRPr="00A2765F" w:rsidRDefault="007E2F9F" w:rsidP="006548F8">
            <w:pPr>
              <w:pStyle w:val="Prrafodelista"/>
              <w:ind w:left="0"/>
              <w:jc w:val="right"/>
              <w:rPr>
                <w:rFonts w:ascii="Arial" w:hAnsi="Arial" w:cs="Arial"/>
              </w:rPr>
            </w:pPr>
            <w:r w:rsidRPr="00A2765F">
              <w:rPr>
                <w:rFonts w:ascii="Arial" w:eastAsia="Calibri" w:hAnsi="Arial" w:cs="Arial"/>
                <w:lang w:val="es-CO"/>
              </w:rPr>
              <w:t>13.879.157</w:t>
            </w:r>
          </w:p>
        </w:tc>
        <w:tc>
          <w:tcPr>
            <w:tcW w:w="1984" w:type="dxa"/>
          </w:tcPr>
          <w:p w14:paraId="7837254E" w14:textId="77777777" w:rsidR="007E2F9F" w:rsidRPr="00A2765F" w:rsidRDefault="007E2F9F" w:rsidP="006548F8">
            <w:pPr>
              <w:pStyle w:val="Prrafodelista"/>
              <w:ind w:left="0"/>
              <w:jc w:val="right"/>
              <w:rPr>
                <w:rFonts w:ascii="Arial" w:hAnsi="Arial" w:cs="Arial"/>
              </w:rPr>
            </w:pPr>
            <w:r w:rsidRPr="00A2765F">
              <w:rPr>
                <w:rFonts w:ascii="Arial" w:eastAsia="Calibri" w:hAnsi="Arial" w:cs="Arial"/>
                <w:lang w:val="es-CO"/>
              </w:rPr>
              <w:t>13.460.368</w:t>
            </w:r>
          </w:p>
        </w:tc>
        <w:tc>
          <w:tcPr>
            <w:tcW w:w="2268" w:type="dxa"/>
          </w:tcPr>
          <w:p w14:paraId="769F2069" w14:textId="77777777" w:rsidR="007E2F9F" w:rsidRPr="00A2765F" w:rsidRDefault="007E2F9F" w:rsidP="006548F8">
            <w:pPr>
              <w:pStyle w:val="Prrafodelista"/>
              <w:ind w:left="0"/>
              <w:jc w:val="right"/>
              <w:rPr>
                <w:rFonts w:ascii="Arial" w:hAnsi="Arial" w:cs="Arial"/>
              </w:rPr>
            </w:pPr>
            <w:r w:rsidRPr="00A2765F">
              <w:rPr>
                <w:rFonts w:ascii="Arial" w:hAnsi="Arial" w:cs="Arial"/>
              </w:rPr>
              <w:t>418.789</w:t>
            </w:r>
          </w:p>
        </w:tc>
      </w:tr>
      <w:tr w:rsidR="007E2F9F" w:rsidRPr="00C80868" w14:paraId="41B903C6" w14:textId="77777777" w:rsidTr="006548F8">
        <w:tc>
          <w:tcPr>
            <w:tcW w:w="4395" w:type="dxa"/>
          </w:tcPr>
          <w:p w14:paraId="365E8FF1"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843" w:type="dxa"/>
          </w:tcPr>
          <w:p w14:paraId="64C4E01F" w14:textId="77777777" w:rsidR="007E2F9F" w:rsidRPr="00A2765F" w:rsidRDefault="007E2F9F" w:rsidP="006548F8">
            <w:pPr>
              <w:pStyle w:val="Prrafodelista"/>
              <w:ind w:left="0"/>
              <w:jc w:val="right"/>
              <w:rPr>
                <w:rFonts w:ascii="Arial" w:hAnsi="Arial" w:cs="Arial"/>
              </w:rPr>
            </w:pPr>
            <w:r w:rsidRPr="00A2765F">
              <w:rPr>
                <w:rFonts w:ascii="Arial" w:eastAsia="Calibri" w:hAnsi="Arial" w:cs="Arial"/>
                <w:lang w:val="es-CO"/>
              </w:rPr>
              <w:t>16.715.998</w:t>
            </w:r>
          </w:p>
        </w:tc>
        <w:tc>
          <w:tcPr>
            <w:tcW w:w="1984" w:type="dxa"/>
          </w:tcPr>
          <w:p w14:paraId="6FD701B7" w14:textId="77777777" w:rsidR="007E2F9F" w:rsidRPr="00A2765F" w:rsidRDefault="007E2F9F" w:rsidP="006548F8">
            <w:pPr>
              <w:pStyle w:val="Prrafodelista"/>
              <w:ind w:left="0"/>
              <w:jc w:val="right"/>
              <w:rPr>
                <w:rFonts w:ascii="Arial" w:hAnsi="Arial" w:cs="Arial"/>
              </w:rPr>
            </w:pPr>
            <w:r w:rsidRPr="00A2765F">
              <w:rPr>
                <w:rFonts w:ascii="Arial" w:eastAsia="Calibri" w:hAnsi="Arial" w:cs="Arial"/>
                <w:lang w:val="es-CO"/>
              </w:rPr>
              <w:t>16.548.650</w:t>
            </w:r>
          </w:p>
        </w:tc>
        <w:tc>
          <w:tcPr>
            <w:tcW w:w="2268" w:type="dxa"/>
          </w:tcPr>
          <w:p w14:paraId="2669BE5F" w14:textId="77777777" w:rsidR="007E2F9F" w:rsidRPr="00A2765F" w:rsidRDefault="007E2F9F" w:rsidP="006548F8">
            <w:pPr>
              <w:pStyle w:val="Prrafodelista"/>
              <w:ind w:left="0"/>
              <w:jc w:val="right"/>
              <w:rPr>
                <w:rFonts w:ascii="Arial" w:hAnsi="Arial" w:cs="Arial"/>
              </w:rPr>
            </w:pPr>
            <w:r w:rsidRPr="00A2765F">
              <w:rPr>
                <w:rFonts w:ascii="Arial" w:hAnsi="Arial" w:cs="Arial"/>
              </w:rPr>
              <w:t>167.348</w:t>
            </w:r>
          </w:p>
        </w:tc>
      </w:tr>
      <w:tr w:rsidR="007E2F9F" w:rsidRPr="00C80868" w14:paraId="70F9FCE7" w14:textId="77777777" w:rsidTr="006548F8">
        <w:tc>
          <w:tcPr>
            <w:tcW w:w="4395" w:type="dxa"/>
          </w:tcPr>
          <w:p w14:paraId="71D2A4C9"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843" w:type="dxa"/>
          </w:tcPr>
          <w:p w14:paraId="39089567"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30.595.155</w:t>
            </w:r>
          </w:p>
        </w:tc>
        <w:tc>
          <w:tcPr>
            <w:tcW w:w="1984" w:type="dxa"/>
          </w:tcPr>
          <w:p w14:paraId="195856EE"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30.009.018</w:t>
            </w:r>
          </w:p>
        </w:tc>
        <w:tc>
          <w:tcPr>
            <w:tcW w:w="2268" w:type="dxa"/>
          </w:tcPr>
          <w:p w14:paraId="6D0B9903"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586.137</w:t>
            </w:r>
          </w:p>
        </w:tc>
      </w:tr>
    </w:tbl>
    <w:p w14:paraId="41680AA7" w14:textId="77777777" w:rsidR="007E2F9F" w:rsidRPr="00C80868" w:rsidRDefault="007E2F9F" w:rsidP="007E2F9F">
      <w:pPr>
        <w:ind w:left="-284" w:right="-234"/>
        <w:jc w:val="both"/>
        <w:rPr>
          <w:rFonts w:ascii="Arial" w:hAnsi="Arial" w:cs="Arial"/>
          <w:b/>
          <w:sz w:val="28"/>
          <w:szCs w:val="28"/>
          <w:u w:val="single"/>
        </w:rPr>
      </w:pPr>
    </w:p>
    <w:p w14:paraId="4F6D6F53"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6.- ARCHIVO GENERAL DE LA NACIÓN JORGE PALACIOS PRECIADO.</w:t>
      </w:r>
    </w:p>
    <w:p w14:paraId="3454A802" w14:textId="77777777" w:rsidR="007E2F9F" w:rsidRPr="00C80868" w:rsidRDefault="007E2F9F" w:rsidP="007E2F9F">
      <w:pPr>
        <w:ind w:left="-284" w:right="-234"/>
        <w:jc w:val="both"/>
        <w:rPr>
          <w:rFonts w:ascii="Arial" w:hAnsi="Arial" w:cs="Arial"/>
          <w:b/>
          <w:sz w:val="28"/>
          <w:szCs w:val="28"/>
          <w:u w:val="single"/>
          <w:lang w:val="es-MX"/>
        </w:rPr>
      </w:pPr>
    </w:p>
    <w:p w14:paraId="2EBE1AF0"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4E1C243B"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28A6CA5F" w14:textId="77777777" w:rsidR="007E2F9F" w:rsidRPr="00C80868" w:rsidRDefault="007E2F9F" w:rsidP="007E2F9F">
      <w:pPr>
        <w:pStyle w:val="Prrafodelista"/>
        <w:ind w:left="-142"/>
        <w:rPr>
          <w:rFonts w:ascii="Arial" w:hAnsi="Arial" w:cs="Arial"/>
          <w:sz w:val="24"/>
        </w:rPr>
      </w:pPr>
    </w:p>
    <w:tbl>
      <w:tblPr>
        <w:tblStyle w:val="Tablaconcuadrcula"/>
        <w:tblW w:w="10490" w:type="dxa"/>
        <w:tblInd w:w="-289" w:type="dxa"/>
        <w:tblLook w:val="04A0" w:firstRow="1" w:lastRow="0" w:firstColumn="1" w:lastColumn="0" w:noHBand="0" w:noVBand="1"/>
      </w:tblPr>
      <w:tblGrid>
        <w:gridCol w:w="4395"/>
        <w:gridCol w:w="1843"/>
        <w:gridCol w:w="1984"/>
        <w:gridCol w:w="2268"/>
      </w:tblGrid>
      <w:tr w:rsidR="007E2F9F" w:rsidRPr="00C80868" w14:paraId="7D4C41B8" w14:textId="77777777" w:rsidTr="006548F8">
        <w:tc>
          <w:tcPr>
            <w:tcW w:w="4395" w:type="dxa"/>
          </w:tcPr>
          <w:p w14:paraId="21AE574F"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843" w:type="dxa"/>
          </w:tcPr>
          <w:p w14:paraId="38583F67"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2C8513C2"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0853BBF1"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0F5DC473" w14:textId="77777777" w:rsidR="007E2F9F" w:rsidRPr="00C80868" w:rsidRDefault="007E2F9F" w:rsidP="006548F8">
            <w:pPr>
              <w:jc w:val="center"/>
              <w:rPr>
                <w:rFonts w:ascii="Arial" w:hAnsi="Arial" w:cs="Arial"/>
                <w:b/>
                <w:lang w:val="es-ES_tradnl"/>
              </w:rPr>
            </w:pPr>
          </w:p>
        </w:tc>
        <w:tc>
          <w:tcPr>
            <w:tcW w:w="1984" w:type="dxa"/>
          </w:tcPr>
          <w:p w14:paraId="1B463696"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6FA8E4E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3D62EFB3"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17928843"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6B822AD5"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7BB22BEE"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1C7CDCC5" w14:textId="77777777" w:rsidTr="006548F8">
        <w:tc>
          <w:tcPr>
            <w:tcW w:w="4395" w:type="dxa"/>
          </w:tcPr>
          <w:p w14:paraId="71821E36"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843" w:type="dxa"/>
          </w:tcPr>
          <w:p w14:paraId="27CDECE3"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19.262.323</w:t>
            </w:r>
          </w:p>
        </w:tc>
        <w:tc>
          <w:tcPr>
            <w:tcW w:w="1984" w:type="dxa"/>
          </w:tcPr>
          <w:p w14:paraId="22059044"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18.511.620</w:t>
            </w:r>
          </w:p>
        </w:tc>
        <w:tc>
          <w:tcPr>
            <w:tcW w:w="2268" w:type="dxa"/>
          </w:tcPr>
          <w:p w14:paraId="4A7C4556"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750.703</w:t>
            </w:r>
          </w:p>
        </w:tc>
      </w:tr>
      <w:tr w:rsidR="007E2F9F" w:rsidRPr="00C80868" w14:paraId="2818ADDF" w14:textId="77777777" w:rsidTr="006548F8">
        <w:tc>
          <w:tcPr>
            <w:tcW w:w="4395" w:type="dxa"/>
          </w:tcPr>
          <w:p w14:paraId="7D2E33F3"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843" w:type="dxa"/>
          </w:tcPr>
          <w:p w14:paraId="708BEEEE"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26.718.339</w:t>
            </w:r>
          </w:p>
        </w:tc>
        <w:tc>
          <w:tcPr>
            <w:tcW w:w="1984" w:type="dxa"/>
          </w:tcPr>
          <w:p w14:paraId="435A11D4"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26.091.748</w:t>
            </w:r>
          </w:p>
        </w:tc>
        <w:tc>
          <w:tcPr>
            <w:tcW w:w="2268" w:type="dxa"/>
          </w:tcPr>
          <w:p w14:paraId="716AC51C"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626.591</w:t>
            </w:r>
          </w:p>
        </w:tc>
      </w:tr>
      <w:tr w:rsidR="007E2F9F" w:rsidRPr="00C80868" w14:paraId="2C5E52BC" w14:textId="77777777" w:rsidTr="006548F8">
        <w:tc>
          <w:tcPr>
            <w:tcW w:w="4395" w:type="dxa"/>
          </w:tcPr>
          <w:p w14:paraId="55D310AA"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843" w:type="dxa"/>
          </w:tcPr>
          <w:p w14:paraId="1D331CA2"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45.980.662</w:t>
            </w:r>
          </w:p>
        </w:tc>
        <w:tc>
          <w:tcPr>
            <w:tcW w:w="1984" w:type="dxa"/>
          </w:tcPr>
          <w:p w14:paraId="4CDE2248"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44.603.368</w:t>
            </w:r>
          </w:p>
        </w:tc>
        <w:tc>
          <w:tcPr>
            <w:tcW w:w="2268" w:type="dxa"/>
          </w:tcPr>
          <w:p w14:paraId="00D5FD2D"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1.377.294</w:t>
            </w:r>
          </w:p>
        </w:tc>
      </w:tr>
    </w:tbl>
    <w:p w14:paraId="3998B04B" w14:textId="77777777" w:rsidR="007E2F9F" w:rsidRPr="00C80868" w:rsidRDefault="007E2F9F" w:rsidP="007E2F9F">
      <w:pPr>
        <w:ind w:left="-284" w:right="-234"/>
        <w:jc w:val="both"/>
        <w:rPr>
          <w:rFonts w:ascii="Arial" w:hAnsi="Arial" w:cs="Arial"/>
          <w:b/>
          <w:sz w:val="28"/>
          <w:szCs w:val="28"/>
          <w:u w:val="single"/>
          <w:lang w:val="es-MX"/>
        </w:rPr>
      </w:pPr>
    </w:p>
    <w:p w14:paraId="31B002DA"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7.- INSTITUTO NACIONAL DE SALUD - INS.</w:t>
      </w:r>
    </w:p>
    <w:p w14:paraId="486A4002" w14:textId="77777777" w:rsidR="007E2F9F" w:rsidRPr="00C80868" w:rsidRDefault="007E2F9F" w:rsidP="007E2F9F">
      <w:pPr>
        <w:ind w:left="-284" w:right="-234"/>
        <w:jc w:val="both"/>
        <w:rPr>
          <w:rFonts w:ascii="Arial" w:hAnsi="Arial" w:cs="Arial"/>
          <w:b/>
          <w:sz w:val="28"/>
          <w:szCs w:val="28"/>
          <w:u w:val="single"/>
          <w:lang w:val="es-MX"/>
        </w:rPr>
      </w:pPr>
    </w:p>
    <w:p w14:paraId="2F266C43"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70141084"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4CCA9169" w14:textId="77777777" w:rsidR="007E2F9F" w:rsidRPr="00C80868"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395"/>
        <w:gridCol w:w="1843"/>
        <w:gridCol w:w="1984"/>
        <w:gridCol w:w="2268"/>
      </w:tblGrid>
      <w:tr w:rsidR="007E2F9F" w:rsidRPr="00C80868" w14:paraId="445CBF8D" w14:textId="77777777" w:rsidTr="006548F8">
        <w:tc>
          <w:tcPr>
            <w:tcW w:w="4395" w:type="dxa"/>
          </w:tcPr>
          <w:p w14:paraId="123953EC"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843" w:type="dxa"/>
          </w:tcPr>
          <w:p w14:paraId="3C5531FE"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2B6BAC06"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5CB33859"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628583D3" w14:textId="77777777" w:rsidR="007E2F9F" w:rsidRPr="00C80868" w:rsidRDefault="007E2F9F" w:rsidP="006548F8">
            <w:pPr>
              <w:jc w:val="center"/>
              <w:rPr>
                <w:rFonts w:ascii="Arial" w:hAnsi="Arial" w:cs="Arial"/>
                <w:b/>
                <w:lang w:val="es-ES_tradnl"/>
              </w:rPr>
            </w:pPr>
          </w:p>
        </w:tc>
        <w:tc>
          <w:tcPr>
            <w:tcW w:w="1984" w:type="dxa"/>
          </w:tcPr>
          <w:p w14:paraId="371F1928"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3F14F5C3"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222518B4"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04316339"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75B82D2A"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35A98B96"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61CF0778" w14:textId="77777777" w:rsidTr="006548F8">
        <w:tc>
          <w:tcPr>
            <w:tcW w:w="4395" w:type="dxa"/>
          </w:tcPr>
          <w:p w14:paraId="352D57B2"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lastRenderedPageBreak/>
              <w:t>FUNCIONAMIENTO</w:t>
            </w:r>
          </w:p>
        </w:tc>
        <w:tc>
          <w:tcPr>
            <w:tcW w:w="1843" w:type="dxa"/>
          </w:tcPr>
          <w:p w14:paraId="278A087B" w14:textId="77777777" w:rsidR="007E2F9F" w:rsidRPr="00A2765F" w:rsidRDefault="007E2F9F" w:rsidP="006548F8">
            <w:pPr>
              <w:pStyle w:val="Prrafodelista"/>
              <w:ind w:left="0"/>
              <w:jc w:val="right"/>
              <w:rPr>
                <w:rFonts w:ascii="Arial" w:hAnsi="Arial" w:cs="Arial"/>
              </w:rPr>
            </w:pPr>
            <w:r w:rsidRPr="00A2765F">
              <w:rPr>
                <w:rFonts w:ascii="Arial" w:hAnsi="Arial" w:cs="Arial"/>
                <w:color w:val="000000"/>
              </w:rPr>
              <w:t>54.576.559,00</w:t>
            </w:r>
          </w:p>
        </w:tc>
        <w:tc>
          <w:tcPr>
            <w:tcW w:w="1984" w:type="dxa"/>
          </w:tcPr>
          <w:p w14:paraId="75740EBA" w14:textId="77777777" w:rsidR="007E2F9F" w:rsidRPr="00A2765F" w:rsidRDefault="007E2F9F" w:rsidP="006548F8">
            <w:pPr>
              <w:pStyle w:val="Prrafodelista"/>
              <w:ind w:left="0"/>
              <w:jc w:val="right"/>
              <w:rPr>
                <w:rFonts w:ascii="Arial" w:hAnsi="Arial" w:cs="Arial"/>
              </w:rPr>
            </w:pPr>
            <w:r w:rsidRPr="00A2765F">
              <w:rPr>
                <w:rFonts w:ascii="Arial" w:hAnsi="Arial" w:cs="Arial"/>
                <w:color w:val="000000"/>
              </w:rPr>
              <w:t>48.857.287,95</w:t>
            </w:r>
          </w:p>
        </w:tc>
        <w:tc>
          <w:tcPr>
            <w:tcW w:w="2268" w:type="dxa"/>
          </w:tcPr>
          <w:p w14:paraId="0065F0AF" w14:textId="77777777" w:rsidR="007E2F9F" w:rsidRPr="00A2765F" w:rsidRDefault="007E2F9F" w:rsidP="006548F8">
            <w:pPr>
              <w:pStyle w:val="Prrafodelista"/>
              <w:ind w:left="0"/>
              <w:jc w:val="right"/>
              <w:rPr>
                <w:rFonts w:ascii="Arial" w:hAnsi="Arial" w:cs="Arial"/>
              </w:rPr>
            </w:pPr>
            <w:r w:rsidRPr="00A2765F">
              <w:rPr>
                <w:rFonts w:ascii="Arial" w:hAnsi="Arial" w:cs="Arial"/>
                <w:color w:val="000000"/>
              </w:rPr>
              <w:t>5.719.271,05</w:t>
            </w:r>
          </w:p>
        </w:tc>
      </w:tr>
      <w:tr w:rsidR="007E2F9F" w:rsidRPr="00C80868" w14:paraId="157647EB" w14:textId="77777777" w:rsidTr="006548F8">
        <w:tc>
          <w:tcPr>
            <w:tcW w:w="4395" w:type="dxa"/>
          </w:tcPr>
          <w:p w14:paraId="5E5E72A4"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843" w:type="dxa"/>
          </w:tcPr>
          <w:p w14:paraId="6860E2F4" w14:textId="77777777" w:rsidR="007E2F9F" w:rsidRPr="00A2765F" w:rsidRDefault="007E2F9F" w:rsidP="006548F8">
            <w:pPr>
              <w:pStyle w:val="Prrafodelista"/>
              <w:ind w:left="0"/>
              <w:jc w:val="right"/>
              <w:rPr>
                <w:rFonts w:ascii="Arial" w:hAnsi="Arial" w:cs="Arial"/>
              </w:rPr>
            </w:pPr>
            <w:r w:rsidRPr="00A2765F">
              <w:rPr>
                <w:rFonts w:ascii="Arial" w:hAnsi="Arial" w:cs="Arial"/>
                <w:color w:val="000000"/>
              </w:rPr>
              <w:t>64.560.182,90</w:t>
            </w:r>
          </w:p>
        </w:tc>
        <w:tc>
          <w:tcPr>
            <w:tcW w:w="1984" w:type="dxa"/>
          </w:tcPr>
          <w:p w14:paraId="67EFA1A0" w14:textId="77777777" w:rsidR="007E2F9F" w:rsidRPr="00A2765F" w:rsidRDefault="007E2F9F" w:rsidP="006548F8">
            <w:pPr>
              <w:pStyle w:val="Prrafodelista"/>
              <w:ind w:left="0"/>
              <w:jc w:val="right"/>
              <w:rPr>
                <w:rFonts w:ascii="Arial" w:hAnsi="Arial" w:cs="Arial"/>
              </w:rPr>
            </w:pPr>
            <w:r w:rsidRPr="00A2765F">
              <w:rPr>
                <w:rFonts w:ascii="Arial" w:hAnsi="Arial" w:cs="Arial"/>
                <w:color w:val="000000"/>
              </w:rPr>
              <w:t>61.992.157,44</w:t>
            </w:r>
          </w:p>
        </w:tc>
        <w:tc>
          <w:tcPr>
            <w:tcW w:w="2268" w:type="dxa"/>
          </w:tcPr>
          <w:p w14:paraId="6F18620C" w14:textId="77777777" w:rsidR="007E2F9F" w:rsidRPr="00A2765F" w:rsidRDefault="007E2F9F" w:rsidP="006548F8">
            <w:pPr>
              <w:pStyle w:val="Prrafodelista"/>
              <w:ind w:left="0"/>
              <w:jc w:val="right"/>
              <w:rPr>
                <w:rFonts w:ascii="Arial" w:hAnsi="Arial" w:cs="Arial"/>
              </w:rPr>
            </w:pPr>
            <w:r w:rsidRPr="00A2765F">
              <w:rPr>
                <w:rFonts w:ascii="Arial" w:hAnsi="Arial" w:cs="Arial"/>
                <w:color w:val="000000"/>
              </w:rPr>
              <w:t>2.568.025,45</w:t>
            </w:r>
          </w:p>
        </w:tc>
      </w:tr>
      <w:tr w:rsidR="007E2F9F" w:rsidRPr="00C80868" w14:paraId="3398461A" w14:textId="77777777" w:rsidTr="006548F8">
        <w:tc>
          <w:tcPr>
            <w:tcW w:w="4395" w:type="dxa"/>
          </w:tcPr>
          <w:p w14:paraId="75B1C907"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843" w:type="dxa"/>
          </w:tcPr>
          <w:p w14:paraId="4079F666" w14:textId="77777777" w:rsidR="007E2F9F" w:rsidRPr="00C80868" w:rsidRDefault="007E2F9F" w:rsidP="006548F8">
            <w:pPr>
              <w:pStyle w:val="Prrafodelista"/>
              <w:ind w:left="0"/>
              <w:jc w:val="right"/>
              <w:rPr>
                <w:rFonts w:ascii="Arial" w:hAnsi="Arial" w:cs="Arial"/>
                <w:b/>
              </w:rPr>
            </w:pPr>
            <w:r w:rsidRPr="00C80868">
              <w:rPr>
                <w:rFonts w:ascii="Arial" w:hAnsi="Arial" w:cs="Arial"/>
                <w:b/>
                <w:bCs/>
                <w:color w:val="000000"/>
              </w:rPr>
              <w:t>119.136.741,90</w:t>
            </w:r>
          </w:p>
        </w:tc>
        <w:tc>
          <w:tcPr>
            <w:tcW w:w="1984" w:type="dxa"/>
          </w:tcPr>
          <w:p w14:paraId="21EE6D6A" w14:textId="77777777" w:rsidR="007E2F9F" w:rsidRPr="00C80868" w:rsidRDefault="007E2F9F" w:rsidP="006548F8">
            <w:pPr>
              <w:pStyle w:val="Prrafodelista"/>
              <w:ind w:left="0"/>
              <w:jc w:val="right"/>
              <w:rPr>
                <w:rFonts w:ascii="Arial" w:hAnsi="Arial" w:cs="Arial"/>
                <w:b/>
              </w:rPr>
            </w:pPr>
            <w:r w:rsidRPr="00C80868">
              <w:rPr>
                <w:rFonts w:ascii="Arial" w:hAnsi="Arial" w:cs="Arial"/>
                <w:b/>
                <w:bCs/>
                <w:color w:val="000000"/>
              </w:rPr>
              <w:t>110.849.445,40</w:t>
            </w:r>
          </w:p>
        </w:tc>
        <w:tc>
          <w:tcPr>
            <w:tcW w:w="2268" w:type="dxa"/>
          </w:tcPr>
          <w:p w14:paraId="52E8447D"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bCs/>
                <w:color w:val="000000"/>
              </w:rPr>
              <w:t>8.287.296,50</w:t>
            </w:r>
          </w:p>
        </w:tc>
      </w:tr>
    </w:tbl>
    <w:p w14:paraId="73C6335A" w14:textId="77777777" w:rsidR="007E2F9F" w:rsidRPr="00C80868" w:rsidRDefault="007E2F9F" w:rsidP="007E2F9F">
      <w:pPr>
        <w:pStyle w:val="Prrafodelista"/>
        <w:ind w:left="0" w:right="-234"/>
        <w:jc w:val="center"/>
        <w:rPr>
          <w:rFonts w:ascii="Arial" w:hAnsi="Arial" w:cs="Arial"/>
          <w:sz w:val="24"/>
        </w:rPr>
      </w:pPr>
    </w:p>
    <w:p w14:paraId="15ACF0B8" w14:textId="77777777" w:rsidR="007E2F9F" w:rsidRPr="00C80868" w:rsidRDefault="007E2F9F" w:rsidP="007E2F9F">
      <w:pPr>
        <w:ind w:left="-284" w:right="-234"/>
        <w:jc w:val="both"/>
        <w:rPr>
          <w:rFonts w:ascii="Arial" w:hAnsi="Arial" w:cs="Arial"/>
          <w:b/>
          <w:sz w:val="28"/>
          <w:szCs w:val="28"/>
          <w:lang w:val="es-MX"/>
        </w:rPr>
      </w:pPr>
      <w:r w:rsidRPr="00C80868">
        <w:rPr>
          <w:rFonts w:ascii="Arial" w:hAnsi="Arial" w:cs="Arial"/>
          <w:b/>
          <w:sz w:val="28"/>
          <w:szCs w:val="28"/>
          <w:lang w:val="es-MX"/>
        </w:rPr>
        <w:t>8.- DEPARTAMENTO ADMINISTRATIVO DIRECCIÓN NACIONAL DE INTELIGENCIA.</w:t>
      </w:r>
    </w:p>
    <w:p w14:paraId="269B8169" w14:textId="77777777" w:rsidR="007E2F9F" w:rsidRPr="00C80868" w:rsidRDefault="007E2F9F" w:rsidP="007E2F9F">
      <w:pPr>
        <w:ind w:left="-284" w:right="-234"/>
        <w:jc w:val="both"/>
        <w:rPr>
          <w:rFonts w:ascii="Arial" w:hAnsi="Arial" w:cs="Arial"/>
          <w:b/>
          <w:sz w:val="28"/>
          <w:szCs w:val="28"/>
          <w:u w:val="single"/>
          <w:lang w:val="es-MX"/>
        </w:rPr>
      </w:pPr>
    </w:p>
    <w:p w14:paraId="36C06652"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0E223514"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515AF936" w14:textId="77777777" w:rsidR="007E2F9F" w:rsidRPr="00C80868"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395"/>
        <w:gridCol w:w="1843"/>
        <w:gridCol w:w="1984"/>
        <w:gridCol w:w="2268"/>
      </w:tblGrid>
      <w:tr w:rsidR="007E2F9F" w:rsidRPr="00C80868" w14:paraId="6B2FA0DF" w14:textId="77777777" w:rsidTr="006548F8">
        <w:tc>
          <w:tcPr>
            <w:tcW w:w="4395" w:type="dxa"/>
          </w:tcPr>
          <w:p w14:paraId="2A176842"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843" w:type="dxa"/>
          </w:tcPr>
          <w:p w14:paraId="5F076512"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39BD4D1D"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2E4428C1"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07DC3814" w14:textId="77777777" w:rsidR="007E2F9F" w:rsidRPr="00C80868" w:rsidRDefault="007E2F9F" w:rsidP="006548F8">
            <w:pPr>
              <w:jc w:val="center"/>
              <w:rPr>
                <w:rFonts w:ascii="Arial" w:hAnsi="Arial" w:cs="Arial"/>
                <w:b/>
                <w:lang w:val="es-ES_tradnl"/>
              </w:rPr>
            </w:pPr>
          </w:p>
        </w:tc>
        <w:tc>
          <w:tcPr>
            <w:tcW w:w="1984" w:type="dxa"/>
          </w:tcPr>
          <w:p w14:paraId="26600114"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4C161D61"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0771E629"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37977728"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48C2FF37"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7BC5B7F8"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0F3EB117" w14:textId="77777777" w:rsidTr="006548F8">
        <w:tc>
          <w:tcPr>
            <w:tcW w:w="4395" w:type="dxa"/>
          </w:tcPr>
          <w:p w14:paraId="1D3B8DEA"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843" w:type="dxa"/>
          </w:tcPr>
          <w:p w14:paraId="10C00A13"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128.047.000</w:t>
            </w:r>
          </w:p>
        </w:tc>
        <w:tc>
          <w:tcPr>
            <w:tcW w:w="1984" w:type="dxa"/>
          </w:tcPr>
          <w:p w14:paraId="324F39FE"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123.835.208</w:t>
            </w:r>
          </w:p>
        </w:tc>
        <w:tc>
          <w:tcPr>
            <w:tcW w:w="2268" w:type="dxa"/>
          </w:tcPr>
          <w:p w14:paraId="24709CDE"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4.211.792</w:t>
            </w:r>
          </w:p>
        </w:tc>
      </w:tr>
      <w:tr w:rsidR="007E2F9F" w:rsidRPr="00C80868" w14:paraId="72497139" w14:textId="77777777" w:rsidTr="006548F8">
        <w:tc>
          <w:tcPr>
            <w:tcW w:w="4395" w:type="dxa"/>
          </w:tcPr>
          <w:p w14:paraId="731C7AEC"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843" w:type="dxa"/>
          </w:tcPr>
          <w:p w14:paraId="26A49916"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40.538.191</w:t>
            </w:r>
          </w:p>
        </w:tc>
        <w:tc>
          <w:tcPr>
            <w:tcW w:w="1984" w:type="dxa"/>
          </w:tcPr>
          <w:p w14:paraId="1391A375"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39.428.571</w:t>
            </w:r>
          </w:p>
        </w:tc>
        <w:tc>
          <w:tcPr>
            <w:tcW w:w="2268" w:type="dxa"/>
          </w:tcPr>
          <w:p w14:paraId="55387766"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1.109.620</w:t>
            </w:r>
          </w:p>
        </w:tc>
      </w:tr>
      <w:tr w:rsidR="007E2F9F" w:rsidRPr="00C80868" w14:paraId="79F17BDE" w14:textId="77777777" w:rsidTr="006548F8">
        <w:tc>
          <w:tcPr>
            <w:tcW w:w="4395" w:type="dxa"/>
          </w:tcPr>
          <w:p w14:paraId="06898A80"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843" w:type="dxa"/>
          </w:tcPr>
          <w:p w14:paraId="65930E77"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168.585.191</w:t>
            </w:r>
          </w:p>
        </w:tc>
        <w:tc>
          <w:tcPr>
            <w:tcW w:w="1984" w:type="dxa"/>
          </w:tcPr>
          <w:p w14:paraId="559ECD63"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163.263.778</w:t>
            </w:r>
          </w:p>
        </w:tc>
        <w:tc>
          <w:tcPr>
            <w:tcW w:w="2268" w:type="dxa"/>
          </w:tcPr>
          <w:p w14:paraId="483A26DB"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5.321.413</w:t>
            </w:r>
          </w:p>
        </w:tc>
      </w:tr>
    </w:tbl>
    <w:p w14:paraId="4029EB76" w14:textId="77777777" w:rsidR="007E2F9F" w:rsidRDefault="007E2F9F" w:rsidP="007E2F9F">
      <w:pPr>
        <w:ind w:left="-284"/>
        <w:jc w:val="both"/>
        <w:rPr>
          <w:rFonts w:ascii="Arial" w:hAnsi="Arial" w:cs="Arial"/>
          <w:b/>
          <w:sz w:val="28"/>
          <w:szCs w:val="28"/>
          <w:lang w:val="es-MX"/>
        </w:rPr>
      </w:pPr>
    </w:p>
    <w:p w14:paraId="233AD26E"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9.- CENTRO NACIONAL DE MEMORIA HISTÓRICA.</w:t>
      </w:r>
    </w:p>
    <w:p w14:paraId="22A78128" w14:textId="77777777" w:rsidR="007E2F9F" w:rsidRPr="00C80868" w:rsidRDefault="007E2F9F" w:rsidP="007E2F9F">
      <w:pPr>
        <w:ind w:left="-284" w:right="-234"/>
        <w:jc w:val="both"/>
        <w:rPr>
          <w:rFonts w:ascii="Arial" w:hAnsi="Arial" w:cs="Arial"/>
          <w:b/>
          <w:sz w:val="28"/>
          <w:szCs w:val="28"/>
          <w:u w:val="single"/>
          <w:lang w:val="es-MX"/>
        </w:rPr>
      </w:pPr>
    </w:p>
    <w:p w14:paraId="0F12A20B"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58DF308C"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05565FAD" w14:textId="77777777" w:rsidR="007E2F9F" w:rsidRPr="00C80868"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395"/>
        <w:gridCol w:w="1843"/>
        <w:gridCol w:w="1984"/>
        <w:gridCol w:w="2268"/>
      </w:tblGrid>
      <w:tr w:rsidR="007E2F9F" w:rsidRPr="00C80868" w14:paraId="5AB73C24" w14:textId="77777777" w:rsidTr="006548F8">
        <w:tc>
          <w:tcPr>
            <w:tcW w:w="4395" w:type="dxa"/>
          </w:tcPr>
          <w:p w14:paraId="5DA12A24"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843" w:type="dxa"/>
          </w:tcPr>
          <w:p w14:paraId="0ADA8D0F"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7D623417"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3B7546AC"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1D25191E" w14:textId="77777777" w:rsidR="007E2F9F" w:rsidRPr="00C80868" w:rsidRDefault="007E2F9F" w:rsidP="006548F8">
            <w:pPr>
              <w:jc w:val="center"/>
              <w:rPr>
                <w:rFonts w:ascii="Arial" w:hAnsi="Arial" w:cs="Arial"/>
                <w:b/>
                <w:lang w:val="es-ES_tradnl"/>
              </w:rPr>
            </w:pPr>
          </w:p>
        </w:tc>
        <w:tc>
          <w:tcPr>
            <w:tcW w:w="1984" w:type="dxa"/>
          </w:tcPr>
          <w:p w14:paraId="33414534"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6A08A34C"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686D786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4AB18A98"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181ECE60"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70DFF497"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0769ADE6" w14:textId="77777777" w:rsidTr="006548F8">
        <w:tc>
          <w:tcPr>
            <w:tcW w:w="4395" w:type="dxa"/>
          </w:tcPr>
          <w:p w14:paraId="428B1183"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843" w:type="dxa"/>
          </w:tcPr>
          <w:p w14:paraId="6C2B9FA9"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16.746.047</w:t>
            </w:r>
          </w:p>
        </w:tc>
        <w:tc>
          <w:tcPr>
            <w:tcW w:w="1984" w:type="dxa"/>
          </w:tcPr>
          <w:p w14:paraId="609904C3"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16.275.198</w:t>
            </w:r>
          </w:p>
        </w:tc>
        <w:tc>
          <w:tcPr>
            <w:tcW w:w="2268" w:type="dxa"/>
          </w:tcPr>
          <w:p w14:paraId="69589C1B"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470.849</w:t>
            </w:r>
          </w:p>
        </w:tc>
      </w:tr>
      <w:tr w:rsidR="007E2F9F" w:rsidRPr="00C80868" w14:paraId="61070F31" w14:textId="77777777" w:rsidTr="006548F8">
        <w:tc>
          <w:tcPr>
            <w:tcW w:w="4395" w:type="dxa"/>
          </w:tcPr>
          <w:p w14:paraId="7C410E38"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843" w:type="dxa"/>
          </w:tcPr>
          <w:p w14:paraId="66CB66FD"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36.554.974</w:t>
            </w:r>
          </w:p>
        </w:tc>
        <w:tc>
          <w:tcPr>
            <w:tcW w:w="1984" w:type="dxa"/>
          </w:tcPr>
          <w:p w14:paraId="243AE070"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36.175.157</w:t>
            </w:r>
          </w:p>
        </w:tc>
        <w:tc>
          <w:tcPr>
            <w:tcW w:w="2268" w:type="dxa"/>
          </w:tcPr>
          <w:p w14:paraId="01C0EB14" w14:textId="77777777" w:rsidR="007E2F9F" w:rsidRPr="00A2765F" w:rsidRDefault="007E2F9F" w:rsidP="006548F8">
            <w:pPr>
              <w:pStyle w:val="Prrafodelista"/>
              <w:ind w:left="0"/>
              <w:jc w:val="right"/>
              <w:rPr>
                <w:rFonts w:ascii="Arial" w:hAnsi="Arial" w:cs="Arial"/>
                <w:bCs/>
              </w:rPr>
            </w:pPr>
            <w:r w:rsidRPr="00A2765F">
              <w:rPr>
                <w:rFonts w:ascii="Arial" w:hAnsi="Arial" w:cs="Arial"/>
                <w:bCs/>
              </w:rPr>
              <w:t>379.817</w:t>
            </w:r>
          </w:p>
        </w:tc>
      </w:tr>
      <w:tr w:rsidR="007E2F9F" w:rsidRPr="00C80868" w14:paraId="06023556" w14:textId="77777777" w:rsidTr="006548F8">
        <w:tc>
          <w:tcPr>
            <w:tcW w:w="4395" w:type="dxa"/>
          </w:tcPr>
          <w:p w14:paraId="66DEBC18"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843" w:type="dxa"/>
          </w:tcPr>
          <w:p w14:paraId="09E2C7C7"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53.301.021</w:t>
            </w:r>
          </w:p>
        </w:tc>
        <w:tc>
          <w:tcPr>
            <w:tcW w:w="1984" w:type="dxa"/>
          </w:tcPr>
          <w:p w14:paraId="5C16D5B6"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52.450.355</w:t>
            </w:r>
          </w:p>
        </w:tc>
        <w:tc>
          <w:tcPr>
            <w:tcW w:w="2268" w:type="dxa"/>
          </w:tcPr>
          <w:p w14:paraId="73119EB3"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850.666</w:t>
            </w:r>
          </w:p>
        </w:tc>
      </w:tr>
    </w:tbl>
    <w:p w14:paraId="1DC4E4E8" w14:textId="77777777" w:rsidR="007E2F9F" w:rsidRPr="00C80868" w:rsidRDefault="007E2F9F" w:rsidP="007E2F9F">
      <w:pPr>
        <w:ind w:left="-284" w:right="-234"/>
        <w:jc w:val="both"/>
        <w:rPr>
          <w:rFonts w:ascii="Arial" w:hAnsi="Arial" w:cs="Arial"/>
          <w:b/>
          <w:sz w:val="28"/>
          <w:szCs w:val="28"/>
          <w:u w:val="single"/>
        </w:rPr>
      </w:pPr>
    </w:p>
    <w:p w14:paraId="258E68C2" w14:textId="77777777" w:rsidR="007E2F9F" w:rsidRPr="00C80868" w:rsidRDefault="007E2F9F" w:rsidP="007E2F9F">
      <w:pPr>
        <w:ind w:left="-284" w:right="-234"/>
        <w:jc w:val="both"/>
        <w:rPr>
          <w:rFonts w:ascii="Arial" w:hAnsi="Arial" w:cs="Arial"/>
          <w:b/>
          <w:sz w:val="28"/>
          <w:szCs w:val="28"/>
          <w:lang w:val="es-MX"/>
        </w:rPr>
      </w:pPr>
      <w:r w:rsidRPr="00C80868">
        <w:rPr>
          <w:rFonts w:ascii="Arial" w:hAnsi="Arial" w:cs="Arial"/>
          <w:b/>
          <w:sz w:val="28"/>
          <w:szCs w:val="28"/>
          <w:lang w:val="es-MX"/>
        </w:rPr>
        <w:t>12.- FONDO DE PREVISIÓN SOCIAL DEL CONGRESO DE LA REPÚBLICA – ADMINISTRADORA DE PENSIONES Y CESANTÍAS – FONPRECON.</w:t>
      </w:r>
    </w:p>
    <w:p w14:paraId="63559119" w14:textId="77777777" w:rsidR="007E2F9F" w:rsidRPr="00C80868" w:rsidRDefault="007E2F9F" w:rsidP="007E2F9F">
      <w:pPr>
        <w:ind w:left="-284" w:right="-234"/>
        <w:jc w:val="both"/>
        <w:rPr>
          <w:rFonts w:ascii="Arial" w:hAnsi="Arial" w:cs="Arial"/>
          <w:b/>
          <w:sz w:val="28"/>
          <w:szCs w:val="28"/>
          <w:lang w:val="es-MX"/>
        </w:rPr>
      </w:pPr>
    </w:p>
    <w:p w14:paraId="64AC55E1"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426784DC"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1860C9E2" w14:textId="77777777" w:rsidR="007E2F9F" w:rsidRPr="00C80868"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395"/>
        <w:gridCol w:w="1843"/>
        <w:gridCol w:w="1984"/>
        <w:gridCol w:w="2268"/>
      </w:tblGrid>
      <w:tr w:rsidR="007E2F9F" w:rsidRPr="00C80868" w14:paraId="1EF867CC" w14:textId="77777777" w:rsidTr="006548F8">
        <w:tc>
          <w:tcPr>
            <w:tcW w:w="4395" w:type="dxa"/>
          </w:tcPr>
          <w:p w14:paraId="542DB466"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843" w:type="dxa"/>
          </w:tcPr>
          <w:p w14:paraId="786E89F6"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43AFAB90"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45557D44"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7BB37E41" w14:textId="77777777" w:rsidR="007E2F9F" w:rsidRPr="00C80868" w:rsidRDefault="007E2F9F" w:rsidP="006548F8">
            <w:pPr>
              <w:jc w:val="center"/>
              <w:rPr>
                <w:rFonts w:ascii="Arial" w:hAnsi="Arial" w:cs="Arial"/>
                <w:b/>
                <w:lang w:val="es-ES_tradnl"/>
              </w:rPr>
            </w:pPr>
          </w:p>
        </w:tc>
        <w:tc>
          <w:tcPr>
            <w:tcW w:w="1984" w:type="dxa"/>
          </w:tcPr>
          <w:p w14:paraId="2FFF7AAD"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77120A73"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0A27C22F"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325147D6"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733DB082"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20A96E47"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094E6E82" w14:textId="77777777" w:rsidTr="006548F8">
        <w:trPr>
          <w:trHeight w:val="230"/>
        </w:trPr>
        <w:tc>
          <w:tcPr>
            <w:tcW w:w="4395" w:type="dxa"/>
          </w:tcPr>
          <w:p w14:paraId="3AB2B3F5"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843" w:type="dxa"/>
            <w:vAlign w:val="bottom"/>
          </w:tcPr>
          <w:p w14:paraId="74AE9657"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color w:val="000000"/>
                <w:lang w:val="es-CO"/>
              </w:rPr>
              <w:t xml:space="preserve">410.188.200,00 </w:t>
            </w:r>
          </w:p>
        </w:tc>
        <w:tc>
          <w:tcPr>
            <w:tcW w:w="1984" w:type="dxa"/>
            <w:vAlign w:val="bottom"/>
          </w:tcPr>
          <w:p w14:paraId="68CA8DBA"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color w:val="000000"/>
                <w:lang w:val="es-CO"/>
              </w:rPr>
              <w:t xml:space="preserve">  403.729.605,04 </w:t>
            </w:r>
          </w:p>
        </w:tc>
        <w:tc>
          <w:tcPr>
            <w:tcW w:w="2268" w:type="dxa"/>
          </w:tcPr>
          <w:p w14:paraId="3DABF7CE"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6.458.594.96</w:t>
            </w:r>
          </w:p>
        </w:tc>
      </w:tr>
      <w:tr w:rsidR="007E2F9F" w:rsidRPr="00C80868" w14:paraId="20F60F9F" w14:textId="77777777" w:rsidTr="006548F8">
        <w:tc>
          <w:tcPr>
            <w:tcW w:w="4395" w:type="dxa"/>
          </w:tcPr>
          <w:p w14:paraId="20F22E72"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843" w:type="dxa"/>
          </w:tcPr>
          <w:p w14:paraId="05EC8E41"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307.000.00</w:t>
            </w:r>
          </w:p>
        </w:tc>
        <w:tc>
          <w:tcPr>
            <w:tcW w:w="1984" w:type="dxa"/>
          </w:tcPr>
          <w:p w14:paraId="5F1A07FD"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299.843.03</w:t>
            </w:r>
          </w:p>
        </w:tc>
        <w:tc>
          <w:tcPr>
            <w:tcW w:w="2268" w:type="dxa"/>
          </w:tcPr>
          <w:p w14:paraId="04B14D7B"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7.156.93</w:t>
            </w:r>
          </w:p>
        </w:tc>
      </w:tr>
      <w:tr w:rsidR="007E2F9F" w:rsidRPr="00C80868" w14:paraId="6E7EF65E" w14:textId="77777777" w:rsidTr="006548F8">
        <w:tc>
          <w:tcPr>
            <w:tcW w:w="4395" w:type="dxa"/>
          </w:tcPr>
          <w:p w14:paraId="1AC2197C"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843" w:type="dxa"/>
          </w:tcPr>
          <w:p w14:paraId="235871E8"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color w:val="000000"/>
                <w:lang w:val="es-CO"/>
              </w:rPr>
              <w:t>410.495.200,00</w:t>
            </w:r>
          </w:p>
        </w:tc>
        <w:tc>
          <w:tcPr>
            <w:tcW w:w="1984" w:type="dxa"/>
          </w:tcPr>
          <w:p w14:paraId="13168C2E" w14:textId="77777777" w:rsidR="007E2F9F" w:rsidRPr="00C80868" w:rsidRDefault="007E2F9F" w:rsidP="006548F8">
            <w:pPr>
              <w:pStyle w:val="Prrafodelista"/>
              <w:ind w:left="0"/>
              <w:jc w:val="right"/>
              <w:rPr>
                <w:rFonts w:ascii="Arial" w:hAnsi="Arial" w:cs="Arial"/>
                <w:b/>
              </w:rPr>
            </w:pPr>
            <w:r w:rsidRPr="00C80868">
              <w:rPr>
                <w:rFonts w:ascii="Arial" w:hAnsi="Arial" w:cs="Arial"/>
                <w:b/>
                <w:color w:val="000000"/>
              </w:rPr>
              <w:t>404.029.448,07</w:t>
            </w:r>
          </w:p>
        </w:tc>
        <w:tc>
          <w:tcPr>
            <w:tcW w:w="2268" w:type="dxa"/>
          </w:tcPr>
          <w:p w14:paraId="630C6B58"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6.465.751.93</w:t>
            </w:r>
          </w:p>
        </w:tc>
      </w:tr>
    </w:tbl>
    <w:p w14:paraId="17BE6777" w14:textId="77777777" w:rsidR="007E2F9F" w:rsidRPr="00C80868" w:rsidRDefault="007E2F9F" w:rsidP="007E2F9F">
      <w:pPr>
        <w:ind w:left="-284" w:right="-234"/>
        <w:jc w:val="both"/>
        <w:rPr>
          <w:rFonts w:ascii="Arial" w:hAnsi="Arial" w:cs="Arial"/>
          <w:b/>
          <w:sz w:val="28"/>
          <w:szCs w:val="28"/>
          <w:u w:val="single"/>
        </w:rPr>
      </w:pPr>
    </w:p>
    <w:p w14:paraId="7E9408AF"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17.- SUPERINTENDENCIA DE INDUSTRIA Y COMERCIO.</w:t>
      </w:r>
    </w:p>
    <w:p w14:paraId="101E1438" w14:textId="77777777" w:rsidR="007E2F9F" w:rsidRPr="00C80868" w:rsidRDefault="007E2F9F" w:rsidP="007E2F9F">
      <w:pPr>
        <w:rPr>
          <w:rFonts w:ascii="Arial" w:hAnsi="Arial" w:cs="Arial"/>
          <w:sz w:val="28"/>
          <w:szCs w:val="28"/>
        </w:rPr>
      </w:pPr>
    </w:p>
    <w:p w14:paraId="6CFA5885"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5B22DEA6"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tbl>
      <w:tblPr>
        <w:tblStyle w:val="Tablaconcuadrcula"/>
        <w:tblW w:w="10490" w:type="dxa"/>
        <w:tblInd w:w="-289" w:type="dxa"/>
        <w:tblLook w:val="04A0" w:firstRow="1" w:lastRow="0" w:firstColumn="1" w:lastColumn="0" w:noHBand="0" w:noVBand="1"/>
      </w:tblPr>
      <w:tblGrid>
        <w:gridCol w:w="4248"/>
        <w:gridCol w:w="1996"/>
        <w:gridCol w:w="2002"/>
        <w:gridCol w:w="2244"/>
      </w:tblGrid>
      <w:tr w:rsidR="007E2F9F" w:rsidRPr="00C80868" w14:paraId="2252449B" w14:textId="77777777" w:rsidTr="006E2952">
        <w:tc>
          <w:tcPr>
            <w:tcW w:w="4248" w:type="dxa"/>
          </w:tcPr>
          <w:p w14:paraId="03CB0D86"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96" w:type="dxa"/>
          </w:tcPr>
          <w:p w14:paraId="1FD292B1"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6C524EF0"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lastRenderedPageBreak/>
              <w:t>DEFINITIVA</w:t>
            </w:r>
          </w:p>
          <w:p w14:paraId="2CAB47B2"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41EA50E7" w14:textId="77777777" w:rsidR="007E2F9F" w:rsidRPr="00C80868" w:rsidRDefault="007E2F9F" w:rsidP="006548F8">
            <w:pPr>
              <w:jc w:val="center"/>
              <w:rPr>
                <w:rFonts w:ascii="Arial" w:hAnsi="Arial" w:cs="Arial"/>
                <w:b/>
                <w:lang w:val="es-ES_tradnl"/>
              </w:rPr>
            </w:pPr>
          </w:p>
        </w:tc>
        <w:tc>
          <w:tcPr>
            <w:tcW w:w="2002" w:type="dxa"/>
          </w:tcPr>
          <w:p w14:paraId="552E9492"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lastRenderedPageBreak/>
              <w:t>EJECUCIÓN</w:t>
            </w:r>
          </w:p>
          <w:p w14:paraId="77067908"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lastRenderedPageBreak/>
              <w:t>COMPROMISOS</w:t>
            </w:r>
          </w:p>
          <w:p w14:paraId="4E5E197F"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44" w:type="dxa"/>
          </w:tcPr>
          <w:p w14:paraId="0B050511"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lastRenderedPageBreak/>
              <w:t>PÉRDIDAS DE</w:t>
            </w:r>
          </w:p>
          <w:p w14:paraId="5AA00E2D"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lastRenderedPageBreak/>
              <w:t>APROPIACIÓN</w:t>
            </w:r>
          </w:p>
          <w:p w14:paraId="494CCC9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13AFC9A5" w14:textId="77777777" w:rsidTr="006E2952">
        <w:trPr>
          <w:trHeight w:val="230"/>
        </w:trPr>
        <w:tc>
          <w:tcPr>
            <w:tcW w:w="4248" w:type="dxa"/>
          </w:tcPr>
          <w:p w14:paraId="491EB02C"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lastRenderedPageBreak/>
              <w:t>FUNCIONAMIENTO</w:t>
            </w:r>
          </w:p>
        </w:tc>
        <w:tc>
          <w:tcPr>
            <w:tcW w:w="1996" w:type="dxa"/>
            <w:vAlign w:val="center"/>
          </w:tcPr>
          <w:p w14:paraId="395954DD"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182.998.712.110,00</w:t>
            </w:r>
          </w:p>
        </w:tc>
        <w:tc>
          <w:tcPr>
            <w:tcW w:w="2002" w:type="dxa"/>
            <w:vAlign w:val="center"/>
          </w:tcPr>
          <w:p w14:paraId="331963B3"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152.190.234.354,67</w:t>
            </w:r>
          </w:p>
        </w:tc>
        <w:tc>
          <w:tcPr>
            <w:tcW w:w="2244" w:type="dxa"/>
          </w:tcPr>
          <w:p w14:paraId="70129374"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30.808.477.755.33</w:t>
            </w:r>
          </w:p>
        </w:tc>
      </w:tr>
      <w:tr w:rsidR="007E2F9F" w:rsidRPr="00C80868" w14:paraId="08FFDE79" w14:textId="77777777" w:rsidTr="006E2952">
        <w:tc>
          <w:tcPr>
            <w:tcW w:w="4248" w:type="dxa"/>
          </w:tcPr>
          <w:p w14:paraId="59D78632"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96" w:type="dxa"/>
            <w:vAlign w:val="center"/>
          </w:tcPr>
          <w:p w14:paraId="3C442267"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110.124.446.000,00</w:t>
            </w:r>
          </w:p>
        </w:tc>
        <w:tc>
          <w:tcPr>
            <w:tcW w:w="2002" w:type="dxa"/>
            <w:vAlign w:val="center"/>
          </w:tcPr>
          <w:p w14:paraId="1CE89506"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101.917.934.246,67</w:t>
            </w:r>
          </w:p>
        </w:tc>
        <w:tc>
          <w:tcPr>
            <w:tcW w:w="2244" w:type="dxa"/>
          </w:tcPr>
          <w:p w14:paraId="21A9C539"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8.206.511.753.33</w:t>
            </w:r>
          </w:p>
        </w:tc>
      </w:tr>
      <w:tr w:rsidR="007E2F9F" w:rsidRPr="00C80868" w14:paraId="00C49882" w14:textId="77777777" w:rsidTr="006E2952">
        <w:tc>
          <w:tcPr>
            <w:tcW w:w="4248" w:type="dxa"/>
          </w:tcPr>
          <w:p w14:paraId="5B06755D"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96" w:type="dxa"/>
            <w:vAlign w:val="center"/>
          </w:tcPr>
          <w:p w14:paraId="21D14D79"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293.123.158.110,00</w:t>
            </w:r>
          </w:p>
        </w:tc>
        <w:tc>
          <w:tcPr>
            <w:tcW w:w="2002" w:type="dxa"/>
            <w:vAlign w:val="center"/>
          </w:tcPr>
          <w:p w14:paraId="7595E8E1"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254.108.168.601,34</w:t>
            </w:r>
          </w:p>
        </w:tc>
        <w:tc>
          <w:tcPr>
            <w:tcW w:w="2244" w:type="dxa"/>
          </w:tcPr>
          <w:p w14:paraId="1313FC59"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39.014.989.508.66</w:t>
            </w:r>
          </w:p>
        </w:tc>
      </w:tr>
    </w:tbl>
    <w:p w14:paraId="111B7338" w14:textId="77777777" w:rsidR="007E2F9F" w:rsidRPr="00C80868" w:rsidRDefault="007E2F9F" w:rsidP="007E2F9F">
      <w:pPr>
        <w:rPr>
          <w:rFonts w:ascii="Arial" w:hAnsi="Arial" w:cs="Arial"/>
          <w:sz w:val="28"/>
          <w:szCs w:val="28"/>
        </w:rPr>
      </w:pPr>
    </w:p>
    <w:p w14:paraId="651FE377" w14:textId="77777777" w:rsidR="007E2F9F" w:rsidRPr="00C80868" w:rsidRDefault="007E2F9F" w:rsidP="007E2F9F">
      <w:pPr>
        <w:ind w:left="-284" w:right="-234"/>
        <w:jc w:val="both"/>
        <w:rPr>
          <w:rFonts w:ascii="Arial" w:hAnsi="Arial" w:cs="Arial"/>
          <w:bCs/>
          <w:sz w:val="24"/>
          <w:szCs w:val="24"/>
        </w:rPr>
      </w:pPr>
      <w:r w:rsidRPr="00C80868">
        <w:rPr>
          <w:rFonts w:ascii="Arial" w:hAnsi="Arial" w:cs="Arial"/>
          <w:b/>
          <w:sz w:val="24"/>
          <w:szCs w:val="24"/>
        </w:rPr>
        <w:t xml:space="preserve">NOTA: </w:t>
      </w:r>
      <w:r w:rsidRPr="00C80868">
        <w:rPr>
          <w:rFonts w:ascii="Arial" w:hAnsi="Arial" w:cs="Arial"/>
          <w:bCs/>
          <w:sz w:val="24"/>
          <w:szCs w:val="24"/>
        </w:rPr>
        <w:t>De acuerdo con esta auditoría las cifras expresadas en las tablas de presupuesto no están en miles, con lo informa la entidad.</w:t>
      </w:r>
    </w:p>
    <w:p w14:paraId="13663372" w14:textId="77777777" w:rsidR="007E2F9F" w:rsidRPr="00C80868" w:rsidRDefault="007E2F9F" w:rsidP="007E2F9F">
      <w:pPr>
        <w:rPr>
          <w:rFonts w:ascii="Arial" w:hAnsi="Arial" w:cs="Arial"/>
          <w:sz w:val="28"/>
          <w:szCs w:val="28"/>
        </w:rPr>
      </w:pPr>
    </w:p>
    <w:p w14:paraId="52D06B17"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18.- DEPARTAMENTO ADMINISTRATIVO DE LA FUNCIÓN PÚBLICA - DAFP.</w:t>
      </w:r>
    </w:p>
    <w:p w14:paraId="20A9208F" w14:textId="77777777" w:rsidR="007E2F9F" w:rsidRPr="00C80868" w:rsidRDefault="007E2F9F" w:rsidP="007E2F9F">
      <w:pPr>
        <w:rPr>
          <w:rFonts w:ascii="Arial" w:hAnsi="Arial" w:cs="Arial"/>
          <w:sz w:val="28"/>
          <w:szCs w:val="28"/>
        </w:rPr>
      </w:pPr>
    </w:p>
    <w:p w14:paraId="1352C134"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68CAA4A8"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411BA6C9"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4249C5B1" w14:textId="77777777" w:rsidTr="006548F8">
        <w:tc>
          <w:tcPr>
            <w:tcW w:w="4253" w:type="dxa"/>
          </w:tcPr>
          <w:p w14:paraId="5CDA3A1F"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3AF48D94"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52E84A32"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34733B6E"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43BBA794" w14:textId="77777777" w:rsidR="007E2F9F" w:rsidRPr="00C80868" w:rsidRDefault="007E2F9F" w:rsidP="006548F8">
            <w:pPr>
              <w:jc w:val="center"/>
              <w:rPr>
                <w:rFonts w:ascii="Arial" w:hAnsi="Arial" w:cs="Arial"/>
                <w:b/>
                <w:lang w:val="es-ES_tradnl"/>
              </w:rPr>
            </w:pPr>
          </w:p>
        </w:tc>
        <w:tc>
          <w:tcPr>
            <w:tcW w:w="1984" w:type="dxa"/>
          </w:tcPr>
          <w:p w14:paraId="1118B096"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7B3B1978"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254D0C87"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17E65B4E"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7B498504"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4E80E7CF"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61AC2FB0" w14:textId="77777777" w:rsidTr="006548F8">
        <w:trPr>
          <w:trHeight w:val="230"/>
        </w:trPr>
        <w:tc>
          <w:tcPr>
            <w:tcW w:w="4253" w:type="dxa"/>
          </w:tcPr>
          <w:p w14:paraId="2331FACF"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985" w:type="dxa"/>
          </w:tcPr>
          <w:p w14:paraId="4F6F9311"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35.820.723.785.00</w:t>
            </w:r>
          </w:p>
        </w:tc>
        <w:tc>
          <w:tcPr>
            <w:tcW w:w="1984" w:type="dxa"/>
          </w:tcPr>
          <w:p w14:paraId="0669D20A"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33.689.787.873.41</w:t>
            </w:r>
          </w:p>
        </w:tc>
        <w:tc>
          <w:tcPr>
            <w:tcW w:w="2268" w:type="dxa"/>
          </w:tcPr>
          <w:p w14:paraId="24AB7B76"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2.130.935.911.59</w:t>
            </w:r>
          </w:p>
        </w:tc>
      </w:tr>
      <w:tr w:rsidR="007E2F9F" w:rsidRPr="00C80868" w14:paraId="51FC7C95" w14:textId="77777777" w:rsidTr="006548F8">
        <w:tc>
          <w:tcPr>
            <w:tcW w:w="4253" w:type="dxa"/>
          </w:tcPr>
          <w:p w14:paraId="25AE5A44"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tcPr>
          <w:p w14:paraId="2CC9A8B0"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18.299.953.403.00</w:t>
            </w:r>
          </w:p>
        </w:tc>
        <w:tc>
          <w:tcPr>
            <w:tcW w:w="1984" w:type="dxa"/>
          </w:tcPr>
          <w:p w14:paraId="4F593470"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17.151.603.400.90</w:t>
            </w:r>
          </w:p>
        </w:tc>
        <w:tc>
          <w:tcPr>
            <w:tcW w:w="2268" w:type="dxa"/>
          </w:tcPr>
          <w:p w14:paraId="2C3D97FD"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1.148.350.002.10</w:t>
            </w:r>
          </w:p>
        </w:tc>
      </w:tr>
      <w:tr w:rsidR="007E2F9F" w:rsidRPr="00C80868" w14:paraId="7928BF6A" w14:textId="77777777" w:rsidTr="006548F8">
        <w:tc>
          <w:tcPr>
            <w:tcW w:w="4253" w:type="dxa"/>
          </w:tcPr>
          <w:p w14:paraId="5E443865"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tcPr>
          <w:p w14:paraId="7A34537A"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54.120.677.188.00</w:t>
            </w:r>
          </w:p>
        </w:tc>
        <w:tc>
          <w:tcPr>
            <w:tcW w:w="1984" w:type="dxa"/>
          </w:tcPr>
          <w:p w14:paraId="447378E4"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lang w:val="es-CO"/>
              </w:rPr>
              <w:t>50.841.391.274.31</w:t>
            </w:r>
          </w:p>
        </w:tc>
        <w:tc>
          <w:tcPr>
            <w:tcW w:w="2268" w:type="dxa"/>
          </w:tcPr>
          <w:p w14:paraId="1CF18930"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3.279.285.913.69</w:t>
            </w:r>
          </w:p>
        </w:tc>
      </w:tr>
    </w:tbl>
    <w:p w14:paraId="2B444291" w14:textId="77777777" w:rsidR="007E2F9F" w:rsidRPr="00C80868" w:rsidRDefault="007E2F9F" w:rsidP="007E2F9F">
      <w:pPr>
        <w:rPr>
          <w:rFonts w:ascii="Arial" w:hAnsi="Arial" w:cs="Arial"/>
          <w:sz w:val="28"/>
          <w:szCs w:val="28"/>
        </w:rPr>
      </w:pPr>
    </w:p>
    <w:p w14:paraId="74BA6E4B" w14:textId="77777777" w:rsidR="007E2F9F" w:rsidRPr="00C80868" w:rsidRDefault="007E2F9F" w:rsidP="007E2F9F">
      <w:pPr>
        <w:pStyle w:val="Prrafodelista"/>
        <w:ind w:left="-284" w:right="-234"/>
        <w:jc w:val="both"/>
        <w:rPr>
          <w:rFonts w:ascii="Arial" w:hAnsi="Arial" w:cs="Arial"/>
          <w:sz w:val="24"/>
        </w:rPr>
      </w:pPr>
      <w:r w:rsidRPr="00C80868">
        <w:rPr>
          <w:rFonts w:ascii="Arial" w:hAnsi="Arial" w:cs="Arial"/>
          <w:b/>
          <w:sz w:val="24"/>
        </w:rPr>
        <w:t xml:space="preserve">NOTA: </w:t>
      </w:r>
      <w:r w:rsidRPr="00C80868">
        <w:rPr>
          <w:rFonts w:ascii="Arial" w:hAnsi="Arial" w:cs="Arial"/>
          <w:sz w:val="24"/>
        </w:rPr>
        <w:t>De acuerdo con esta auditoria las cifras expresadas en las tablas de presupuesto, no están en miles como lo indica la entidad.</w:t>
      </w:r>
    </w:p>
    <w:p w14:paraId="2F26273D" w14:textId="77777777" w:rsidR="007E2F9F" w:rsidRPr="00C80868" w:rsidRDefault="007E2F9F" w:rsidP="007E2F9F">
      <w:pPr>
        <w:jc w:val="both"/>
        <w:rPr>
          <w:rFonts w:ascii="Arial" w:hAnsi="Arial" w:cs="Arial"/>
          <w:sz w:val="28"/>
          <w:szCs w:val="28"/>
        </w:rPr>
      </w:pPr>
    </w:p>
    <w:p w14:paraId="65BC0987"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19.- DEFENSORÍA DEL PUEBLO.</w:t>
      </w:r>
    </w:p>
    <w:p w14:paraId="79C66CFC" w14:textId="77777777" w:rsidR="007E2F9F" w:rsidRPr="00C80868" w:rsidRDefault="007E2F9F" w:rsidP="007E2F9F">
      <w:pPr>
        <w:jc w:val="both"/>
        <w:rPr>
          <w:rFonts w:ascii="Arial" w:hAnsi="Arial" w:cs="Arial"/>
          <w:sz w:val="28"/>
          <w:szCs w:val="28"/>
        </w:rPr>
      </w:pPr>
    </w:p>
    <w:p w14:paraId="4C5003CB"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34AE7384"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23925098"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3FF3041D" w14:textId="77777777" w:rsidTr="006548F8">
        <w:tc>
          <w:tcPr>
            <w:tcW w:w="4253" w:type="dxa"/>
          </w:tcPr>
          <w:p w14:paraId="3F2A8F31"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5EC41893"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23EFAE13"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3CF5CD3E"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3CCFA229" w14:textId="77777777" w:rsidR="007E2F9F" w:rsidRPr="00C80868" w:rsidRDefault="007E2F9F" w:rsidP="006548F8">
            <w:pPr>
              <w:jc w:val="center"/>
              <w:rPr>
                <w:rFonts w:ascii="Arial" w:hAnsi="Arial" w:cs="Arial"/>
                <w:b/>
                <w:lang w:val="es-ES_tradnl"/>
              </w:rPr>
            </w:pPr>
          </w:p>
        </w:tc>
        <w:tc>
          <w:tcPr>
            <w:tcW w:w="1984" w:type="dxa"/>
          </w:tcPr>
          <w:p w14:paraId="048CC22F"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27023CE6"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1BE70365"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087A0A3E"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4CE7AA1D"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6E760036"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38947E07" w14:textId="77777777" w:rsidTr="006548F8">
        <w:trPr>
          <w:trHeight w:val="230"/>
        </w:trPr>
        <w:tc>
          <w:tcPr>
            <w:tcW w:w="4253" w:type="dxa"/>
          </w:tcPr>
          <w:p w14:paraId="68F1A6F9"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985" w:type="dxa"/>
          </w:tcPr>
          <w:p w14:paraId="199F8184"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lang w:val="es-CO"/>
              </w:rPr>
              <w:t>1.141.091.000</w:t>
            </w:r>
          </w:p>
        </w:tc>
        <w:tc>
          <w:tcPr>
            <w:tcW w:w="1984" w:type="dxa"/>
          </w:tcPr>
          <w:p w14:paraId="17385D60"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lang w:val="es-CO"/>
              </w:rPr>
              <w:t>1.003.509.844</w:t>
            </w:r>
          </w:p>
        </w:tc>
        <w:tc>
          <w:tcPr>
            <w:tcW w:w="2268" w:type="dxa"/>
          </w:tcPr>
          <w:p w14:paraId="6862FD18"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137.581.156</w:t>
            </w:r>
          </w:p>
        </w:tc>
      </w:tr>
      <w:tr w:rsidR="007E2F9F" w:rsidRPr="00C80868" w14:paraId="53E3F56E" w14:textId="77777777" w:rsidTr="006548F8">
        <w:tc>
          <w:tcPr>
            <w:tcW w:w="4253" w:type="dxa"/>
          </w:tcPr>
          <w:p w14:paraId="33B39322"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tcPr>
          <w:p w14:paraId="0B2048DC"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lang w:val="es-CO"/>
              </w:rPr>
              <w:t>162.351.505</w:t>
            </w:r>
          </w:p>
        </w:tc>
        <w:tc>
          <w:tcPr>
            <w:tcW w:w="1984" w:type="dxa"/>
          </w:tcPr>
          <w:p w14:paraId="7097DAAA"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lang w:val="es-CO"/>
              </w:rPr>
              <w:t>149.784.525</w:t>
            </w:r>
          </w:p>
        </w:tc>
        <w:tc>
          <w:tcPr>
            <w:tcW w:w="2268" w:type="dxa"/>
          </w:tcPr>
          <w:p w14:paraId="0CAC952F"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12.566.980</w:t>
            </w:r>
          </w:p>
        </w:tc>
      </w:tr>
      <w:tr w:rsidR="007E2F9F" w:rsidRPr="00C80868" w14:paraId="213E311D" w14:textId="77777777" w:rsidTr="006548F8">
        <w:tc>
          <w:tcPr>
            <w:tcW w:w="4253" w:type="dxa"/>
          </w:tcPr>
          <w:p w14:paraId="6B4B5021"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tcPr>
          <w:p w14:paraId="434DF3A8" w14:textId="77777777" w:rsidR="007E2F9F" w:rsidRPr="00C80868" w:rsidRDefault="007E2F9F" w:rsidP="006548F8">
            <w:pPr>
              <w:pStyle w:val="Prrafodelista"/>
              <w:ind w:left="0"/>
              <w:jc w:val="right"/>
              <w:rPr>
                <w:rFonts w:ascii="Arial" w:hAnsi="Arial" w:cs="Arial"/>
                <w:b/>
                <w:u w:val="single"/>
              </w:rPr>
            </w:pPr>
            <w:r w:rsidRPr="00C80868">
              <w:rPr>
                <w:rFonts w:ascii="Arial" w:eastAsia="Calibri" w:hAnsi="Arial" w:cs="Arial"/>
                <w:b/>
                <w:u w:val="single"/>
                <w:lang w:val="es-CO"/>
              </w:rPr>
              <w:t>1.303.442.505</w:t>
            </w:r>
          </w:p>
        </w:tc>
        <w:tc>
          <w:tcPr>
            <w:tcW w:w="1984" w:type="dxa"/>
          </w:tcPr>
          <w:p w14:paraId="20893CA4" w14:textId="77777777" w:rsidR="007E2F9F" w:rsidRPr="00C80868" w:rsidRDefault="007E2F9F" w:rsidP="006548F8">
            <w:pPr>
              <w:pStyle w:val="Prrafodelista"/>
              <w:ind w:left="0"/>
              <w:jc w:val="right"/>
              <w:rPr>
                <w:rFonts w:ascii="Arial" w:hAnsi="Arial" w:cs="Arial"/>
                <w:b/>
                <w:u w:val="single"/>
              </w:rPr>
            </w:pPr>
            <w:r w:rsidRPr="00C80868">
              <w:rPr>
                <w:rFonts w:ascii="Arial" w:eastAsia="Calibri" w:hAnsi="Arial" w:cs="Arial"/>
                <w:b/>
                <w:u w:val="single"/>
                <w:lang w:val="es-CO"/>
              </w:rPr>
              <w:t>1.153.294.369</w:t>
            </w:r>
          </w:p>
        </w:tc>
        <w:tc>
          <w:tcPr>
            <w:tcW w:w="2268" w:type="dxa"/>
          </w:tcPr>
          <w:p w14:paraId="4BE8136E"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150.148.136</w:t>
            </w:r>
          </w:p>
        </w:tc>
      </w:tr>
    </w:tbl>
    <w:p w14:paraId="69EEEA51" w14:textId="77777777" w:rsidR="007E2F9F" w:rsidRPr="00C80868" w:rsidRDefault="007E2F9F" w:rsidP="007E2F9F">
      <w:pPr>
        <w:rPr>
          <w:rFonts w:ascii="Arial" w:hAnsi="Arial" w:cs="Arial"/>
          <w:sz w:val="28"/>
          <w:szCs w:val="28"/>
        </w:rPr>
      </w:pPr>
    </w:p>
    <w:p w14:paraId="0DA01BE4" w14:textId="77777777" w:rsidR="007E2F9F" w:rsidRPr="00C80868" w:rsidRDefault="007E2F9F" w:rsidP="007E2F9F">
      <w:pPr>
        <w:ind w:left="-284" w:right="-234"/>
        <w:jc w:val="both"/>
        <w:rPr>
          <w:rFonts w:ascii="Arial" w:hAnsi="Arial" w:cs="Arial"/>
          <w:b/>
          <w:sz w:val="28"/>
          <w:szCs w:val="28"/>
          <w:lang w:val="es-MX"/>
        </w:rPr>
      </w:pPr>
      <w:r w:rsidRPr="00C80868">
        <w:rPr>
          <w:rFonts w:ascii="Arial" w:hAnsi="Arial" w:cs="Arial"/>
          <w:b/>
          <w:sz w:val="28"/>
          <w:szCs w:val="28"/>
          <w:lang w:val="es-MX"/>
        </w:rPr>
        <w:t>20.- INSTITUTO DE HIDROLOGÍA METEOROLOGÍA Y ESTUDIOS AMBIENTALES - IDEAM.</w:t>
      </w:r>
    </w:p>
    <w:p w14:paraId="525AB3F9" w14:textId="77777777" w:rsidR="007E2F9F" w:rsidRPr="00C80868" w:rsidRDefault="007E2F9F" w:rsidP="007E2F9F">
      <w:pPr>
        <w:jc w:val="both"/>
        <w:rPr>
          <w:rFonts w:ascii="Arial" w:hAnsi="Arial" w:cs="Arial"/>
          <w:sz w:val="28"/>
          <w:szCs w:val="28"/>
        </w:rPr>
      </w:pPr>
    </w:p>
    <w:p w14:paraId="7CB72F7F"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1AA60563"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6E297051"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08157244" w14:textId="77777777" w:rsidTr="006548F8">
        <w:tc>
          <w:tcPr>
            <w:tcW w:w="4253" w:type="dxa"/>
          </w:tcPr>
          <w:p w14:paraId="46C6CCF6"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53B1C4D2"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65D882C1"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3E1D177B"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7D1A9CB3" w14:textId="77777777" w:rsidR="007E2F9F" w:rsidRPr="00C80868" w:rsidRDefault="007E2F9F" w:rsidP="006548F8">
            <w:pPr>
              <w:jc w:val="center"/>
              <w:rPr>
                <w:rFonts w:ascii="Arial" w:hAnsi="Arial" w:cs="Arial"/>
                <w:b/>
                <w:lang w:val="es-ES_tradnl"/>
              </w:rPr>
            </w:pPr>
          </w:p>
        </w:tc>
        <w:tc>
          <w:tcPr>
            <w:tcW w:w="1984" w:type="dxa"/>
          </w:tcPr>
          <w:p w14:paraId="00FA8920"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266B3B1C"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7AC77AA2"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51B89FE9"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32DB840A"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2A6537A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61F07C1D" w14:textId="77777777" w:rsidTr="006548F8">
        <w:trPr>
          <w:trHeight w:val="230"/>
        </w:trPr>
        <w:tc>
          <w:tcPr>
            <w:tcW w:w="4253" w:type="dxa"/>
          </w:tcPr>
          <w:p w14:paraId="39CD57B2"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lastRenderedPageBreak/>
              <w:t>FUNCIONAMIENTO</w:t>
            </w:r>
          </w:p>
        </w:tc>
        <w:tc>
          <w:tcPr>
            <w:tcW w:w="1985" w:type="dxa"/>
            <w:vAlign w:val="center"/>
          </w:tcPr>
          <w:p w14:paraId="15AA1BF6"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62.344.927</w:t>
            </w:r>
          </w:p>
        </w:tc>
        <w:tc>
          <w:tcPr>
            <w:tcW w:w="1984" w:type="dxa"/>
            <w:vAlign w:val="center"/>
          </w:tcPr>
          <w:p w14:paraId="39FF6D1B"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61.610.111</w:t>
            </w:r>
          </w:p>
        </w:tc>
        <w:tc>
          <w:tcPr>
            <w:tcW w:w="2268" w:type="dxa"/>
          </w:tcPr>
          <w:p w14:paraId="17097C41"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734.816</w:t>
            </w:r>
          </w:p>
        </w:tc>
      </w:tr>
      <w:tr w:rsidR="007E2F9F" w:rsidRPr="00C80868" w14:paraId="54502162" w14:textId="77777777" w:rsidTr="006548F8">
        <w:tc>
          <w:tcPr>
            <w:tcW w:w="4253" w:type="dxa"/>
          </w:tcPr>
          <w:p w14:paraId="61D64EB5"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vAlign w:val="center"/>
          </w:tcPr>
          <w:p w14:paraId="75965E5A"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35.417.428</w:t>
            </w:r>
          </w:p>
        </w:tc>
        <w:tc>
          <w:tcPr>
            <w:tcW w:w="1984" w:type="dxa"/>
            <w:vAlign w:val="center"/>
          </w:tcPr>
          <w:p w14:paraId="24AE926A"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b/>
                <w:bCs/>
              </w:rPr>
              <w:t>33.678.724</w:t>
            </w:r>
          </w:p>
        </w:tc>
        <w:tc>
          <w:tcPr>
            <w:tcW w:w="2268" w:type="dxa"/>
          </w:tcPr>
          <w:p w14:paraId="5833BFC1" w14:textId="77777777" w:rsidR="007E2F9F" w:rsidRPr="00C80868" w:rsidRDefault="007E2F9F" w:rsidP="006548F8">
            <w:pPr>
              <w:pStyle w:val="Prrafodelista"/>
              <w:ind w:left="0"/>
              <w:jc w:val="right"/>
              <w:rPr>
                <w:rFonts w:ascii="Arial" w:hAnsi="Arial" w:cs="Arial"/>
                <w:b/>
              </w:rPr>
            </w:pPr>
            <w:r w:rsidRPr="00C80868">
              <w:rPr>
                <w:rFonts w:ascii="Arial" w:hAnsi="Arial" w:cs="Arial"/>
                <w:b/>
              </w:rPr>
              <w:t>1.738.704</w:t>
            </w:r>
          </w:p>
        </w:tc>
      </w:tr>
      <w:tr w:rsidR="007E2F9F" w:rsidRPr="00C80868" w14:paraId="0324A980" w14:textId="77777777" w:rsidTr="006548F8">
        <w:tc>
          <w:tcPr>
            <w:tcW w:w="4253" w:type="dxa"/>
          </w:tcPr>
          <w:p w14:paraId="211D9760"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vAlign w:val="center"/>
          </w:tcPr>
          <w:p w14:paraId="07451180" w14:textId="77777777" w:rsidR="007E2F9F" w:rsidRPr="00C80868" w:rsidRDefault="007E2F9F" w:rsidP="006548F8">
            <w:pPr>
              <w:pStyle w:val="Prrafodelista"/>
              <w:ind w:left="0"/>
              <w:jc w:val="right"/>
              <w:rPr>
                <w:rFonts w:ascii="Arial" w:hAnsi="Arial" w:cs="Arial"/>
                <w:b/>
                <w:u w:val="single"/>
              </w:rPr>
            </w:pPr>
            <w:r w:rsidRPr="00C80868">
              <w:rPr>
                <w:rFonts w:ascii="Arial" w:eastAsia="Calibri" w:hAnsi="Arial" w:cs="Arial"/>
                <w:b/>
                <w:bCs/>
                <w:u w:val="single"/>
              </w:rPr>
              <w:t>97.762.355</w:t>
            </w:r>
          </w:p>
        </w:tc>
        <w:tc>
          <w:tcPr>
            <w:tcW w:w="1984" w:type="dxa"/>
            <w:vAlign w:val="center"/>
          </w:tcPr>
          <w:p w14:paraId="7FBD03E2" w14:textId="77777777" w:rsidR="007E2F9F" w:rsidRPr="00C80868" w:rsidRDefault="007E2F9F" w:rsidP="006548F8">
            <w:pPr>
              <w:pStyle w:val="Prrafodelista"/>
              <w:ind w:left="0"/>
              <w:jc w:val="right"/>
              <w:rPr>
                <w:rFonts w:ascii="Arial" w:hAnsi="Arial" w:cs="Arial"/>
                <w:b/>
                <w:u w:val="single"/>
              </w:rPr>
            </w:pPr>
            <w:r w:rsidRPr="00C80868">
              <w:rPr>
                <w:rFonts w:ascii="Arial" w:eastAsia="Calibri" w:hAnsi="Arial" w:cs="Arial"/>
                <w:b/>
                <w:bCs/>
                <w:u w:val="single"/>
              </w:rPr>
              <w:t>95.288.835</w:t>
            </w:r>
          </w:p>
        </w:tc>
        <w:tc>
          <w:tcPr>
            <w:tcW w:w="2268" w:type="dxa"/>
          </w:tcPr>
          <w:p w14:paraId="114AF1A3"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u w:val="single"/>
              </w:rPr>
              <w:t>2.473.520</w:t>
            </w:r>
          </w:p>
        </w:tc>
      </w:tr>
    </w:tbl>
    <w:p w14:paraId="30873837" w14:textId="77777777" w:rsidR="007E2F9F" w:rsidRPr="00C80868" w:rsidRDefault="007E2F9F" w:rsidP="007E2F9F">
      <w:pPr>
        <w:jc w:val="both"/>
        <w:rPr>
          <w:rFonts w:ascii="Arial" w:hAnsi="Arial" w:cs="Arial"/>
          <w:sz w:val="28"/>
          <w:szCs w:val="28"/>
        </w:rPr>
      </w:pPr>
    </w:p>
    <w:p w14:paraId="4E846FF9"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21.- MINISTERIO DEL INTERIOR.</w:t>
      </w:r>
    </w:p>
    <w:p w14:paraId="49C873B4" w14:textId="77777777" w:rsidR="007E2F9F" w:rsidRPr="00C80868" w:rsidRDefault="007E2F9F" w:rsidP="007E2F9F">
      <w:pPr>
        <w:jc w:val="both"/>
        <w:rPr>
          <w:rFonts w:ascii="Arial" w:hAnsi="Arial" w:cs="Arial"/>
          <w:sz w:val="28"/>
          <w:szCs w:val="28"/>
        </w:rPr>
      </w:pPr>
    </w:p>
    <w:p w14:paraId="2A0BAED6"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1D3F178B"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1876F422"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52AC2511" w14:textId="77777777" w:rsidTr="006548F8">
        <w:tc>
          <w:tcPr>
            <w:tcW w:w="4253" w:type="dxa"/>
          </w:tcPr>
          <w:p w14:paraId="26807E84"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2A825057"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6450F0E5"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1036727C"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13D2CB1A" w14:textId="77777777" w:rsidR="007E2F9F" w:rsidRPr="00C80868" w:rsidRDefault="007E2F9F" w:rsidP="006548F8">
            <w:pPr>
              <w:jc w:val="center"/>
              <w:rPr>
                <w:rFonts w:ascii="Arial" w:hAnsi="Arial" w:cs="Arial"/>
                <w:b/>
                <w:lang w:val="es-ES_tradnl"/>
              </w:rPr>
            </w:pPr>
          </w:p>
        </w:tc>
        <w:tc>
          <w:tcPr>
            <w:tcW w:w="1984" w:type="dxa"/>
          </w:tcPr>
          <w:p w14:paraId="18C665EF"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0E41523A"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7AFC2AB9"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36FFE921"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129F5C73"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06AA69DE"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322E1FB7" w14:textId="77777777" w:rsidTr="006548F8">
        <w:trPr>
          <w:trHeight w:val="230"/>
        </w:trPr>
        <w:tc>
          <w:tcPr>
            <w:tcW w:w="4253" w:type="dxa"/>
          </w:tcPr>
          <w:p w14:paraId="3116D897"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985" w:type="dxa"/>
            <w:vAlign w:val="bottom"/>
          </w:tcPr>
          <w:p w14:paraId="547FE368" w14:textId="77777777" w:rsidR="007E2F9F" w:rsidRPr="00FC0AF9" w:rsidRDefault="007E2F9F" w:rsidP="006548F8">
            <w:pPr>
              <w:pStyle w:val="Prrafodelista"/>
              <w:ind w:left="0"/>
              <w:jc w:val="right"/>
              <w:rPr>
                <w:rFonts w:ascii="Arial" w:hAnsi="Arial" w:cs="Arial"/>
                <w:b/>
              </w:rPr>
            </w:pPr>
            <w:r w:rsidRPr="00FC0AF9">
              <w:rPr>
                <w:rFonts w:ascii="Arial" w:hAnsi="Arial" w:cs="Arial"/>
                <w:b/>
              </w:rPr>
              <w:t>821.684.131</w:t>
            </w:r>
          </w:p>
        </w:tc>
        <w:tc>
          <w:tcPr>
            <w:tcW w:w="1984" w:type="dxa"/>
            <w:vAlign w:val="bottom"/>
          </w:tcPr>
          <w:p w14:paraId="494402B8" w14:textId="77777777" w:rsidR="007E2F9F" w:rsidRPr="00FC0AF9" w:rsidRDefault="007E2F9F" w:rsidP="006548F8">
            <w:pPr>
              <w:pStyle w:val="Prrafodelista"/>
              <w:ind w:left="0"/>
              <w:jc w:val="right"/>
              <w:rPr>
                <w:rFonts w:ascii="Arial" w:hAnsi="Arial" w:cs="Arial"/>
                <w:b/>
              </w:rPr>
            </w:pPr>
            <w:r w:rsidRPr="00FC0AF9">
              <w:rPr>
                <w:rFonts w:ascii="Arial" w:hAnsi="Arial" w:cs="Arial"/>
                <w:b/>
              </w:rPr>
              <w:t>582.409.176</w:t>
            </w:r>
          </w:p>
        </w:tc>
        <w:tc>
          <w:tcPr>
            <w:tcW w:w="2268" w:type="dxa"/>
            <w:vAlign w:val="bottom"/>
          </w:tcPr>
          <w:p w14:paraId="512922F0" w14:textId="77777777" w:rsidR="007E2F9F" w:rsidRPr="00FC0AF9" w:rsidRDefault="007E2F9F" w:rsidP="006548F8">
            <w:pPr>
              <w:pStyle w:val="Prrafodelista"/>
              <w:ind w:left="0"/>
              <w:jc w:val="right"/>
              <w:rPr>
                <w:rFonts w:ascii="Arial" w:hAnsi="Arial" w:cs="Arial"/>
                <w:b/>
              </w:rPr>
            </w:pPr>
            <w:r w:rsidRPr="00FC0AF9">
              <w:rPr>
                <w:rFonts w:ascii="Arial" w:hAnsi="Arial" w:cs="Arial"/>
                <w:b/>
              </w:rPr>
              <w:t>239.274.955</w:t>
            </w:r>
          </w:p>
        </w:tc>
      </w:tr>
      <w:tr w:rsidR="007E2F9F" w:rsidRPr="00C80868" w14:paraId="0B23779E" w14:textId="77777777" w:rsidTr="006548F8">
        <w:tc>
          <w:tcPr>
            <w:tcW w:w="4253" w:type="dxa"/>
          </w:tcPr>
          <w:p w14:paraId="2E8370BF"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vAlign w:val="bottom"/>
          </w:tcPr>
          <w:p w14:paraId="03890AE2" w14:textId="77777777" w:rsidR="007E2F9F" w:rsidRPr="00FC0AF9" w:rsidRDefault="007E2F9F" w:rsidP="006548F8">
            <w:pPr>
              <w:pStyle w:val="Prrafodelista"/>
              <w:ind w:left="0"/>
              <w:jc w:val="right"/>
              <w:rPr>
                <w:rFonts w:ascii="Arial" w:hAnsi="Arial" w:cs="Arial"/>
                <w:b/>
              </w:rPr>
            </w:pPr>
            <w:r w:rsidRPr="00FC0AF9">
              <w:rPr>
                <w:rFonts w:ascii="Arial" w:hAnsi="Arial" w:cs="Arial"/>
                <w:b/>
              </w:rPr>
              <w:t>484.561.833</w:t>
            </w:r>
          </w:p>
        </w:tc>
        <w:tc>
          <w:tcPr>
            <w:tcW w:w="1984" w:type="dxa"/>
            <w:vAlign w:val="bottom"/>
          </w:tcPr>
          <w:p w14:paraId="3B733C1F" w14:textId="77777777" w:rsidR="007E2F9F" w:rsidRPr="00FC0AF9" w:rsidRDefault="007E2F9F" w:rsidP="006548F8">
            <w:pPr>
              <w:pStyle w:val="Prrafodelista"/>
              <w:ind w:left="0"/>
              <w:jc w:val="right"/>
              <w:rPr>
                <w:rFonts w:ascii="Arial" w:hAnsi="Arial" w:cs="Arial"/>
                <w:b/>
              </w:rPr>
            </w:pPr>
            <w:r w:rsidRPr="00FC0AF9">
              <w:rPr>
                <w:rFonts w:ascii="Arial" w:hAnsi="Arial" w:cs="Arial"/>
                <w:b/>
              </w:rPr>
              <w:t>417.520.254</w:t>
            </w:r>
          </w:p>
        </w:tc>
        <w:tc>
          <w:tcPr>
            <w:tcW w:w="2268" w:type="dxa"/>
            <w:vAlign w:val="bottom"/>
          </w:tcPr>
          <w:p w14:paraId="4ED637B2" w14:textId="77777777" w:rsidR="007E2F9F" w:rsidRPr="00FC0AF9" w:rsidRDefault="007E2F9F" w:rsidP="006548F8">
            <w:pPr>
              <w:pStyle w:val="Prrafodelista"/>
              <w:ind w:left="0"/>
              <w:jc w:val="right"/>
              <w:rPr>
                <w:rFonts w:ascii="Arial" w:hAnsi="Arial" w:cs="Arial"/>
                <w:b/>
              </w:rPr>
            </w:pPr>
            <w:r w:rsidRPr="00FC0AF9">
              <w:rPr>
                <w:rFonts w:ascii="Arial" w:hAnsi="Arial" w:cs="Arial"/>
                <w:b/>
              </w:rPr>
              <w:t>67.041.579</w:t>
            </w:r>
          </w:p>
        </w:tc>
      </w:tr>
      <w:tr w:rsidR="007E2F9F" w:rsidRPr="00C80868" w14:paraId="324915C8" w14:textId="77777777" w:rsidTr="006548F8">
        <w:tc>
          <w:tcPr>
            <w:tcW w:w="4253" w:type="dxa"/>
          </w:tcPr>
          <w:p w14:paraId="6AB0949B"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vAlign w:val="bottom"/>
          </w:tcPr>
          <w:p w14:paraId="1341DE98" w14:textId="77777777" w:rsidR="007E2F9F" w:rsidRPr="00FC0AF9" w:rsidRDefault="007E2F9F" w:rsidP="006548F8">
            <w:pPr>
              <w:pStyle w:val="Prrafodelista"/>
              <w:ind w:left="0"/>
              <w:jc w:val="right"/>
              <w:rPr>
                <w:rFonts w:ascii="Arial" w:hAnsi="Arial" w:cs="Arial"/>
                <w:b/>
                <w:u w:val="single"/>
              </w:rPr>
            </w:pPr>
            <w:r w:rsidRPr="00FC0AF9">
              <w:rPr>
                <w:rFonts w:ascii="Arial" w:hAnsi="Arial" w:cs="Arial"/>
                <w:b/>
                <w:u w:val="single"/>
              </w:rPr>
              <w:t>1.306.245.964</w:t>
            </w:r>
          </w:p>
        </w:tc>
        <w:tc>
          <w:tcPr>
            <w:tcW w:w="1984" w:type="dxa"/>
            <w:vAlign w:val="bottom"/>
          </w:tcPr>
          <w:p w14:paraId="6105305A" w14:textId="77777777" w:rsidR="007E2F9F" w:rsidRPr="00FC0AF9" w:rsidRDefault="007E2F9F" w:rsidP="006548F8">
            <w:pPr>
              <w:pStyle w:val="Prrafodelista"/>
              <w:ind w:left="0"/>
              <w:jc w:val="right"/>
              <w:rPr>
                <w:rFonts w:ascii="Arial" w:hAnsi="Arial" w:cs="Arial"/>
                <w:b/>
                <w:u w:val="single"/>
              </w:rPr>
            </w:pPr>
            <w:r w:rsidRPr="00FC0AF9">
              <w:rPr>
                <w:rFonts w:ascii="Arial" w:hAnsi="Arial" w:cs="Arial"/>
                <w:b/>
                <w:u w:val="single"/>
              </w:rPr>
              <w:t>999.929.430</w:t>
            </w:r>
          </w:p>
        </w:tc>
        <w:tc>
          <w:tcPr>
            <w:tcW w:w="2268" w:type="dxa"/>
            <w:vAlign w:val="bottom"/>
          </w:tcPr>
          <w:p w14:paraId="1F1CE34F" w14:textId="77777777" w:rsidR="007E2F9F" w:rsidRPr="00FC0AF9" w:rsidRDefault="007E2F9F" w:rsidP="006548F8">
            <w:pPr>
              <w:pStyle w:val="Prrafodelista"/>
              <w:ind w:left="0"/>
              <w:jc w:val="right"/>
              <w:rPr>
                <w:rFonts w:ascii="Arial" w:hAnsi="Arial" w:cs="Arial"/>
                <w:b/>
                <w:u w:val="single"/>
              </w:rPr>
            </w:pPr>
            <w:r w:rsidRPr="00FC0AF9">
              <w:rPr>
                <w:rFonts w:ascii="Arial" w:hAnsi="Arial" w:cs="Arial"/>
                <w:b/>
                <w:u w:val="single"/>
              </w:rPr>
              <w:t>306.316.534</w:t>
            </w:r>
          </w:p>
        </w:tc>
      </w:tr>
    </w:tbl>
    <w:p w14:paraId="38D56975" w14:textId="77777777" w:rsidR="007E2F9F" w:rsidRPr="00C80868" w:rsidRDefault="007E2F9F" w:rsidP="007E2F9F">
      <w:pPr>
        <w:jc w:val="both"/>
        <w:rPr>
          <w:rFonts w:ascii="Arial" w:hAnsi="Arial" w:cs="Arial"/>
          <w:sz w:val="28"/>
          <w:szCs w:val="28"/>
        </w:rPr>
      </w:pPr>
    </w:p>
    <w:p w14:paraId="6E3B7223"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22.- DIRECCIÓN NACIONAL DE BOMBEROS DE COLOMBIA - DNBC.</w:t>
      </w:r>
    </w:p>
    <w:p w14:paraId="7996913D" w14:textId="77777777" w:rsidR="007E2F9F" w:rsidRPr="00C80868" w:rsidRDefault="007E2F9F" w:rsidP="007E2F9F">
      <w:pPr>
        <w:jc w:val="both"/>
        <w:rPr>
          <w:rFonts w:ascii="Arial" w:hAnsi="Arial" w:cs="Arial"/>
          <w:sz w:val="28"/>
          <w:szCs w:val="28"/>
          <w:lang w:val="es-MX"/>
        </w:rPr>
      </w:pPr>
    </w:p>
    <w:p w14:paraId="204EB9FD"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0741D6E3"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03DD69E2"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0A791E81" w14:textId="77777777" w:rsidTr="006548F8">
        <w:tc>
          <w:tcPr>
            <w:tcW w:w="4253" w:type="dxa"/>
          </w:tcPr>
          <w:p w14:paraId="6033A50B"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384F7BB3"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5C4960A9"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060E1D0C"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667D0D2E" w14:textId="77777777" w:rsidR="007E2F9F" w:rsidRPr="00C80868" w:rsidRDefault="007E2F9F" w:rsidP="006548F8">
            <w:pPr>
              <w:jc w:val="center"/>
              <w:rPr>
                <w:rFonts w:ascii="Arial" w:hAnsi="Arial" w:cs="Arial"/>
                <w:b/>
                <w:lang w:val="es-ES_tradnl"/>
              </w:rPr>
            </w:pPr>
          </w:p>
        </w:tc>
        <w:tc>
          <w:tcPr>
            <w:tcW w:w="1984" w:type="dxa"/>
          </w:tcPr>
          <w:p w14:paraId="666F83E9"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5F24788E"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1531C38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31276AD0"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503973B2"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47184E1A"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44D66B14" w14:textId="77777777" w:rsidTr="006548F8">
        <w:tc>
          <w:tcPr>
            <w:tcW w:w="4253" w:type="dxa"/>
          </w:tcPr>
          <w:p w14:paraId="6393F348"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vAlign w:val="bottom"/>
          </w:tcPr>
          <w:p w14:paraId="3DE908BE" w14:textId="77777777" w:rsidR="007E2F9F" w:rsidRPr="00FC0AF9" w:rsidRDefault="007E2F9F" w:rsidP="006548F8">
            <w:pPr>
              <w:pStyle w:val="Prrafodelista"/>
              <w:ind w:left="0"/>
              <w:jc w:val="right"/>
              <w:rPr>
                <w:rFonts w:ascii="Arial" w:hAnsi="Arial" w:cs="Arial"/>
                <w:b/>
                <w:bCs/>
              </w:rPr>
            </w:pPr>
            <w:r w:rsidRPr="00FC0AF9">
              <w:rPr>
                <w:rFonts w:ascii="Arial" w:hAnsi="Arial" w:cs="Arial"/>
                <w:b/>
                <w:bCs/>
                <w:color w:val="000000"/>
                <w:sz w:val="16"/>
                <w:szCs w:val="16"/>
              </w:rPr>
              <w:t>62.050.000,00</w:t>
            </w:r>
          </w:p>
        </w:tc>
        <w:tc>
          <w:tcPr>
            <w:tcW w:w="1984" w:type="dxa"/>
            <w:vAlign w:val="bottom"/>
          </w:tcPr>
          <w:p w14:paraId="300136F8" w14:textId="77777777" w:rsidR="007E2F9F" w:rsidRPr="00FC0AF9" w:rsidRDefault="007E2F9F" w:rsidP="006548F8">
            <w:pPr>
              <w:pStyle w:val="Prrafodelista"/>
              <w:ind w:left="0"/>
              <w:jc w:val="right"/>
              <w:rPr>
                <w:rFonts w:ascii="Arial" w:hAnsi="Arial" w:cs="Arial"/>
                <w:b/>
                <w:bCs/>
              </w:rPr>
            </w:pPr>
            <w:r w:rsidRPr="00FC0AF9">
              <w:rPr>
                <w:rFonts w:ascii="Arial" w:hAnsi="Arial" w:cs="Arial"/>
                <w:b/>
                <w:bCs/>
                <w:color w:val="000000"/>
                <w:sz w:val="16"/>
                <w:szCs w:val="16"/>
              </w:rPr>
              <w:t>57.001.341,06</w:t>
            </w:r>
          </w:p>
        </w:tc>
        <w:tc>
          <w:tcPr>
            <w:tcW w:w="2268" w:type="dxa"/>
            <w:vAlign w:val="bottom"/>
          </w:tcPr>
          <w:p w14:paraId="39A688AF" w14:textId="77777777" w:rsidR="007E2F9F" w:rsidRPr="00FC0AF9" w:rsidRDefault="007E2F9F" w:rsidP="006548F8">
            <w:pPr>
              <w:pStyle w:val="Prrafodelista"/>
              <w:ind w:left="0"/>
              <w:jc w:val="right"/>
              <w:rPr>
                <w:rFonts w:ascii="Arial" w:hAnsi="Arial" w:cs="Arial"/>
                <w:b/>
                <w:bCs/>
              </w:rPr>
            </w:pPr>
            <w:r w:rsidRPr="00FC0AF9">
              <w:rPr>
                <w:rFonts w:ascii="Arial" w:hAnsi="Arial" w:cs="Arial"/>
                <w:b/>
                <w:bCs/>
                <w:color w:val="000000"/>
                <w:sz w:val="16"/>
                <w:szCs w:val="16"/>
              </w:rPr>
              <w:t>5.048.658,94</w:t>
            </w:r>
          </w:p>
        </w:tc>
      </w:tr>
      <w:tr w:rsidR="007E2F9F" w:rsidRPr="00C80868" w14:paraId="2DCE5E4C" w14:textId="77777777" w:rsidTr="006548F8">
        <w:tc>
          <w:tcPr>
            <w:tcW w:w="4253" w:type="dxa"/>
          </w:tcPr>
          <w:p w14:paraId="70D6BF5F"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vAlign w:val="bottom"/>
          </w:tcPr>
          <w:p w14:paraId="797888EF" w14:textId="77777777" w:rsidR="007E2F9F" w:rsidRPr="00FC0AF9" w:rsidRDefault="007E2F9F" w:rsidP="006548F8">
            <w:pPr>
              <w:pStyle w:val="Prrafodelista"/>
              <w:ind w:left="0"/>
              <w:jc w:val="right"/>
              <w:rPr>
                <w:rFonts w:ascii="Arial" w:hAnsi="Arial" w:cs="Arial"/>
                <w:b/>
                <w:bCs/>
                <w:u w:val="single"/>
              </w:rPr>
            </w:pPr>
            <w:r w:rsidRPr="00FC0AF9">
              <w:rPr>
                <w:rFonts w:ascii="Arial" w:hAnsi="Arial" w:cs="Arial"/>
                <w:b/>
                <w:bCs/>
                <w:sz w:val="16"/>
                <w:szCs w:val="16"/>
              </w:rPr>
              <w:t>68.908.788,81</w:t>
            </w:r>
          </w:p>
        </w:tc>
        <w:tc>
          <w:tcPr>
            <w:tcW w:w="1984" w:type="dxa"/>
            <w:vAlign w:val="bottom"/>
          </w:tcPr>
          <w:p w14:paraId="202A288B" w14:textId="77777777" w:rsidR="007E2F9F" w:rsidRPr="00FC0AF9" w:rsidRDefault="007E2F9F" w:rsidP="006548F8">
            <w:pPr>
              <w:pStyle w:val="Prrafodelista"/>
              <w:ind w:left="0"/>
              <w:jc w:val="right"/>
              <w:rPr>
                <w:rFonts w:ascii="Arial" w:hAnsi="Arial" w:cs="Arial"/>
                <w:b/>
                <w:bCs/>
                <w:u w:val="single"/>
              </w:rPr>
            </w:pPr>
            <w:r w:rsidRPr="00FC0AF9">
              <w:rPr>
                <w:rFonts w:ascii="Arial" w:hAnsi="Arial" w:cs="Arial"/>
                <w:b/>
                <w:bCs/>
                <w:sz w:val="16"/>
                <w:szCs w:val="16"/>
              </w:rPr>
              <w:t>63.488.673,29</w:t>
            </w:r>
          </w:p>
        </w:tc>
        <w:tc>
          <w:tcPr>
            <w:tcW w:w="2268" w:type="dxa"/>
            <w:vAlign w:val="bottom"/>
          </w:tcPr>
          <w:p w14:paraId="0C622FBF" w14:textId="77777777" w:rsidR="007E2F9F" w:rsidRPr="00FC0AF9" w:rsidRDefault="007E2F9F" w:rsidP="006548F8">
            <w:pPr>
              <w:pStyle w:val="Prrafodelista"/>
              <w:ind w:left="0"/>
              <w:jc w:val="right"/>
              <w:rPr>
                <w:rFonts w:ascii="Arial" w:hAnsi="Arial" w:cs="Arial"/>
                <w:b/>
                <w:bCs/>
                <w:u w:val="single"/>
              </w:rPr>
            </w:pPr>
            <w:r w:rsidRPr="00FC0AF9">
              <w:rPr>
                <w:rFonts w:ascii="Arial" w:hAnsi="Arial" w:cs="Arial"/>
                <w:b/>
                <w:bCs/>
                <w:sz w:val="16"/>
                <w:szCs w:val="16"/>
              </w:rPr>
              <w:t>5.420.115,52</w:t>
            </w:r>
          </w:p>
        </w:tc>
      </w:tr>
    </w:tbl>
    <w:p w14:paraId="61044E04" w14:textId="77777777" w:rsidR="007E2F9F" w:rsidRPr="00C80868" w:rsidRDefault="007E2F9F" w:rsidP="007E2F9F">
      <w:pPr>
        <w:jc w:val="both"/>
        <w:rPr>
          <w:rFonts w:ascii="Arial" w:hAnsi="Arial" w:cs="Arial"/>
          <w:sz w:val="28"/>
          <w:szCs w:val="28"/>
        </w:rPr>
      </w:pPr>
    </w:p>
    <w:p w14:paraId="7D31E96F" w14:textId="77777777" w:rsidR="007E2F9F" w:rsidRPr="00C80868" w:rsidRDefault="007E2F9F" w:rsidP="007E2F9F">
      <w:pPr>
        <w:tabs>
          <w:tab w:val="left" w:pos="875"/>
        </w:tabs>
        <w:ind w:left="-284" w:right="-234"/>
        <w:jc w:val="both"/>
        <w:rPr>
          <w:rFonts w:ascii="Arial" w:hAnsi="Arial" w:cs="Arial"/>
          <w:bCs/>
          <w:sz w:val="24"/>
        </w:rPr>
      </w:pPr>
      <w:r w:rsidRPr="00C80868">
        <w:rPr>
          <w:rFonts w:ascii="Arial" w:hAnsi="Arial" w:cs="Arial"/>
          <w:b/>
          <w:sz w:val="24"/>
        </w:rPr>
        <w:t xml:space="preserve">NOTA: </w:t>
      </w:r>
      <w:r w:rsidRPr="00C80868">
        <w:rPr>
          <w:rFonts w:ascii="Arial" w:hAnsi="Arial" w:cs="Arial"/>
          <w:bCs/>
          <w:sz w:val="24"/>
        </w:rPr>
        <w:t>Esta auditoría observa, que la entidad, no totalizó los valores de funcionamiento, en la columna de Apropiación definitiva, ejecución de compromisos y pérdidas de apropiación.</w:t>
      </w:r>
    </w:p>
    <w:p w14:paraId="7ED53C6F" w14:textId="77777777" w:rsidR="007E2F9F" w:rsidRPr="00C80868" w:rsidRDefault="007E2F9F" w:rsidP="007E2F9F">
      <w:pPr>
        <w:jc w:val="both"/>
        <w:rPr>
          <w:rFonts w:ascii="Arial" w:hAnsi="Arial" w:cs="Arial"/>
          <w:sz w:val="28"/>
          <w:szCs w:val="28"/>
        </w:rPr>
      </w:pPr>
    </w:p>
    <w:p w14:paraId="557C6AEE" w14:textId="77777777" w:rsidR="007E2F9F" w:rsidRPr="00C80868" w:rsidRDefault="007E2F9F" w:rsidP="007E2F9F">
      <w:pPr>
        <w:ind w:left="-284"/>
        <w:jc w:val="both"/>
        <w:rPr>
          <w:rFonts w:ascii="Arial" w:hAnsi="Arial" w:cs="Arial"/>
          <w:b/>
          <w:sz w:val="32"/>
          <w:szCs w:val="32"/>
          <w:lang w:val="es-MX"/>
        </w:rPr>
      </w:pPr>
      <w:r w:rsidRPr="00C80868">
        <w:rPr>
          <w:rFonts w:ascii="Arial" w:hAnsi="Arial" w:cs="Arial"/>
          <w:b/>
          <w:sz w:val="32"/>
          <w:szCs w:val="32"/>
          <w:lang w:val="es-MX"/>
        </w:rPr>
        <w:t>23.- INSTITUTO NACIONAL DE VÍAS - INVÍAS.</w:t>
      </w:r>
    </w:p>
    <w:p w14:paraId="211F0900" w14:textId="77777777" w:rsidR="007E2F9F" w:rsidRPr="00C80868" w:rsidRDefault="007E2F9F" w:rsidP="007E2F9F">
      <w:pPr>
        <w:jc w:val="both"/>
        <w:rPr>
          <w:rFonts w:ascii="Arial" w:hAnsi="Arial" w:cs="Arial"/>
          <w:sz w:val="28"/>
          <w:szCs w:val="28"/>
          <w:lang w:val="es-MX"/>
        </w:rPr>
      </w:pPr>
    </w:p>
    <w:p w14:paraId="3EA904FD"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75313C64"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7CE6CA66"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262D0F24" w14:textId="77777777" w:rsidTr="006548F8">
        <w:tc>
          <w:tcPr>
            <w:tcW w:w="4253" w:type="dxa"/>
          </w:tcPr>
          <w:p w14:paraId="3CEFB7D8"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536CBEFF"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0DE81B33"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1C682FD9"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640053C6" w14:textId="77777777" w:rsidR="007E2F9F" w:rsidRPr="00C80868" w:rsidRDefault="007E2F9F" w:rsidP="006548F8">
            <w:pPr>
              <w:jc w:val="center"/>
              <w:rPr>
                <w:rFonts w:ascii="Arial" w:hAnsi="Arial" w:cs="Arial"/>
                <w:b/>
                <w:lang w:val="es-ES_tradnl"/>
              </w:rPr>
            </w:pPr>
          </w:p>
        </w:tc>
        <w:tc>
          <w:tcPr>
            <w:tcW w:w="1984" w:type="dxa"/>
          </w:tcPr>
          <w:p w14:paraId="7B9AB8C1"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79AEBE8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3FD0D335"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494363B5"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3954ED39"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0A1D6EB7"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36656C56" w14:textId="77777777" w:rsidTr="006548F8">
        <w:trPr>
          <w:trHeight w:val="230"/>
        </w:trPr>
        <w:tc>
          <w:tcPr>
            <w:tcW w:w="4253" w:type="dxa"/>
          </w:tcPr>
          <w:p w14:paraId="29AA9572"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985" w:type="dxa"/>
            <w:vAlign w:val="bottom"/>
          </w:tcPr>
          <w:p w14:paraId="10340731" w14:textId="77777777" w:rsidR="007E2F9F" w:rsidRPr="00C80868" w:rsidRDefault="007E2F9F" w:rsidP="006548F8">
            <w:pPr>
              <w:pStyle w:val="Prrafodelista"/>
              <w:ind w:left="0"/>
              <w:jc w:val="right"/>
              <w:rPr>
                <w:rFonts w:ascii="Arial" w:hAnsi="Arial" w:cs="Arial"/>
                <w:b/>
              </w:rPr>
            </w:pPr>
            <w:r w:rsidRPr="00C80868">
              <w:rPr>
                <w:rFonts w:ascii="Arial" w:hAnsi="Arial" w:cs="Arial"/>
                <w:bCs/>
                <w:sz w:val="16"/>
                <w:szCs w:val="16"/>
              </w:rPr>
              <w:t>207.175.024</w:t>
            </w:r>
          </w:p>
        </w:tc>
        <w:tc>
          <w:tcPr>
            <w:tcW w:w="1984" w:type="dxa"/>
            <w:vAlign w:val="bottom"/>
          </w:tcPr>
          <w:p w14:paraId="37048EEF" w14:textId="77777777" w:rsidR="007E2F9F" w:rsidRPr="00C80868" w:rsidRDefault="007E2F9F" w:rsidP="006548F8">
            <w:pPr>
              <w:pStyle w:val="Prrafodelista"/>
              <w:ind w:left="0"/>
              <w:jc w:val="right"/>
              <w:rPr>
                <w:rFonts w:ascii="Arial" w:hAnsi="Arial" w:cs="Arial"/>
                <w:b/>
              </w:rPr>
            </w:pPr>
            <w:r w:rsidRPr="00C80868">
              <w:rPr>
                <w:rFonts w:ascii="Arial" w:hAnsi="Arial" w:cs="Arial"/>
                <w:bCs/>
                <w:sz w:val="16"/>
                <w:szCs w:val="16"/>
              </w:rPr>
              <w:t>187.761.075</w:t>
            </w:r>
          </w:p>
        </w:tc>
        <w:tc>
          <w:tcPr>
            <w:tcW w:w="2268" w:type="dxa"/>
            <w:vAlign w:val="bottom"/>
          </w:tcPr>
          <w:p w14:paraId="44EC4024" w14:textId="77777777" w:rsidR="007E2F9F" w:rsidRPr="00C80868" w:rsidRDefault="007E2F9F" w:rsidP="006548F8">
            <w:pPr>
              <w:pStyle w:val="Prrafodelista"/>
              <w:ind w:left="0"/>
              <w:jc w:val="right"/>
              <w:rPr>
                <w:rFonts w:ascii="Arial" w:hAnsi="Arial" w:cs="Arial"/>
                <w:b/>
              </w:rPr>
            </w:pPr>
            <w:r w:rsidRPr="00C80868">
              <w:rPr>
                <w:rFonts w:ascii="Arial" w:hAnsi="Arial" w:cs="Arial"/>
                <w:bCs/>
                <w:sz w:val="16"/>
                <w:szCs w:val="16"/>
              </w:rPr>
              <w:t>19.413.949</w:t>
            </w:r>
          </w:p>
        </w:tc>
      </w:tr>
      <w:tr w:rsidR="007E2F9F" w:rsidRPr="00C80868" w14:paraId="7C798186" w14:textId="77777777" w:rsidTr="006548F8">
        <w:tc>
          <w:tcPr>
            <w:tcW w:w="4253" w:type="dxa"/>
          </w:tcPr>
          <w:p w14:paraId="6BF9EF1D"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vAlign w:val="bottom"/>
          </w:tcPr>
          <w:p w14:paraId="6E571D80" w14:textId="77777777" w:rsidR="007E2F9F" w:rsidRPr="00C80868" w:rsidRDefault="007E2F9F" w:rsidP="006548F8">
            <w:pPr>
              <w:pStyle w:val="Prrafodelista"/>
              <w:ind w:left="0"/>
              <w:jc w:val="right"/>
              <w:rPr>
                <w:rFonts w:ascii="Arial" w:hAnsi="Arial" w:cs="Arial"/>
                <w:b/>
              </w:rPr>
            </w:pPr>
            <w:r w:rsidRPr="00C80868">
              <w:rPr>
                <w:rFonts w:ascii="Arial" w:hAnsi="Arial" w:cs="Arial"/>
                <w:color w:val="000000"/>
                <w:sz w:val="16"/>
                <w:szCs w:val="16"/>
              </w:rPr>
              <w:t>4.405.405.210</w:t>
            </w:r>
          </w:p>
        </w:tc>
        <w:tc>
          <w:tcPr>
            <w:tcW w:w="1984" w:type="dxa"/>
            <w:vAlign w:val="bottom"/>
          </w:tcPr>
          <w:p w14:paraId="1F139BFB" w14:textId="77777777" w:rsidR="007E2F9F" w:rsidRPr="00C80868" w:rsidRDefault="007E2F9F" w:rsidP="006548F8">
            <w:pPr>
              <w:pStyle w:val="Prrafodelista"/>
              <w:ind w:left="0"/>
              <w:jc w:val="right"/>
              <w:rPr>
                <w:rFonts w:ascii="Arial" w:hAnsi="Arial" w:cs="Arial"/>
                <w:b/>
              </w:rPr>
            </w:pPr>
            <w:r w:rsidRPr="00C80868">
              <w:rPr>
                <w:rFonts w:ascii="Arial" w:hAnsi="Arial" w:cs="Arial"/>
                <w:color w:val="000000"/>
                <w:sz w:val="16"/>
                <w:szCs w:val="16"/>
              </w:rPr>
              <w:t>4.269.013.820</w:t>
            </w:r>
          </w:p>
        </w:tc>
        <w:tc>
          <w:tcPr>
            <w:tcW w:w="2268" w:type="dxa"/>
            <w:vAlign w:val="bottom"/>
          </w:tcPr>
          <w:p w14:paraId="4E53B5FD" w14:textId="77777777" w:rsidR="007E2F9F" w:rsidRPr="00C80868" w:rsidRDefault="007E2F9F" w:rsidP="006548F8">
            <w:pPr>
              <w:pStyle w:val="Prrafodelista"/>
              <w:ind w:left="0"/>
              <w:jc w:val="right"/>
              <w:rPr>
                <w:rFonts w:ascii="Arial" w:hAnsi="Arial" w:cs="Arial"/>
                <w:b/>
              </w:rPr>
            </w:pPr>
            <w:r w:rsidRPr="00C80868">
              <w:rPr>
                <w:rFonts w:ascii="Arial" w:hAnsi="Arial" w:cs="Arial"/>
                <w:color w:val="000000"/>
                <w:sz w:val="16"/>
                <w:szCs w:val="16"/>
              </w:rPr>
              <w:t>136.391.390</w:t>
            </w:r>
          </w:p>
        </w:tc>
      </w:tr>
      <w:tr w:rsidR="007E2F9F" w:rsidRPr="00C80868" w14:paraId="2BF7EDFB" w14:textId="77777777" w:rsidTr="006548F8">
        <w:tc>
          <w:tcPr>
            <w:tcW w:w="4253" w:type="dxa"/>
          </w:tcPr>
          <w:p w14:paraId="5C6AF0FB"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vAlign w:val="bottom"/>
          </w:tcPr>
          <w:p w14:paraId="0DABBE67"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sz w:val="16"/>
                <w:szCs w:val="16"/>
                <w:u w:val="single"/>
              </w:rPr>
              <w:t>4.613.182.110</w:t>
            </w:r>
          </w:p>
        </w:tc>
        <w:tc>
          <w:tcPr>
            <w:tcW w:w="1984" w:type="dxa"/>
            <w:vAlign w:val="bottom"/>
          </w:tcPr>
          <w:p w14:paraId="10B43A81"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sz w:val="16"/>
                <w:szCs w:val="16"/>
                <w:u w:val="single"/>
              </w:rPr>
              <w:t>4.457.376.771</w:t>
            </w:r>
          </w:p>
        </w:tc>
        <w:tc>
          <w:tcPr>
            <w:tcW w:w="2268" w:type="dxa"/>
            <w:vAlign w:val="bottom"/>
          </w:tcPr>
          <w:p w14:paraId="6D352C78"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sz w:val="16"/>
                <w:szCs w:val="16"/>
                <w:u w:val="single"/>
              </w:rPr>
              <w:t>155.805.339</w:t>
            </w:r>
          </w:p>
        </w:tc>
      </w:tr>
    </w:tbl>
    <w:p w14:paraId="61718FB9" w14:textId="77777777" w:rsidR="007E2F9F" w:rsidRPr="00C80868" w:rsidRDefault="007E2F9F" w:rsidP="007E2F9F">
      <w:pPr>
        <w:jc w:val="both"/>
        <w:rPr>
          <w:rFonts w:ascii="Arial" w:hAnsi="Arial" w:cs="Arial"/>
          <w:sz w:val="28"/>
          <w:szCs w:val="28"/>
          <w:lang w:val="es-MX"/>
        </w:rPr>
      </w:pPr>
    </w:p>
    <w:p w14:paraId="5CA3885E"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24.- ESCUELA TECNOLOGICA INSTITUTO TECNICO CENTRAL.</w:t>
      </w:r>
    </w:p>
    <w:p w14:paraId="08B36807" w14:textId="77777777" w:rsidR="007E2F9F" w:rsidRPr="00C80868" w:rsidRDefault="007E2F9F" w:rsidP="007E2F9F">
      <w:pPr>
        <w:pStyle w:val="Prrafodelista"/>
        <w:spacing w:before="92"/>
        <w:ind w:left="-142"/>
        <w:rPr>
          <w:rFonts w:ascii="Arial" w:hAnsi="Arial" w:cs="Arial"/>
          <w:b/>
          <w:sz w:val="24"/>
        </w:rPr>
      </w:pPr>
    </w:p>
    <w:p w14:paraId="65AA7AE7"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5839F01E"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lastRenderedPageBreak/>
        <w:t>(Cifras en miles de</w:t>
      </w:r>
      <w:r w:rsidRPr="00C80868">
        <w:rPr>
          <w:rFonts w:ascii="Arial" w:hAnsi="Arial" w:cs="Arial"/>
          <w:spacing w:val="-11"/>
          <w:sz w:val="24"/>
        </w:rPr>
        <w:t xml:space="preserve"> </w:t>
      </w:r>
      <w:r w:rsidRPr="00C80868">
        <w:rPr>
          <w:rFonts w:ascii="Arial" w:hAnsi="Arial" w:cs="Arial"/>
          <w:sz w:val="24"/>
        </w:rPr>
        <w:t>pesos).</w:t>
      </w:r>
    </w:p>
    <w:p w14:paraId="41BDA6EF"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69088B3B" w14:textId="77777777" w:rsidTr="006548F8">
        <w:tc>
          <w:tcPr>
            <w:tcW w:w="4253" w:type="dxa"/>
          </w:tcPr>
          <w:p w14:paraId="23B9F837"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30742435"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729DD101"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2B6805B5"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50AFAB6C" w14:textId="77777777" w:rsidR="007E2F9F" w:rsidRPr="00C80868" w:rsidRDefault="007E2F9F" w:rsidP="006548F8">
            <w:pPr>
              <w:jc w:val="center"/>
              <w:rPr>
                <w:rFonts w:ascii="Arial" w:hAnsi="Arial" w:cs="Arial"/>
                <w:b/>
                <w:lang w:val="es-ES_tradnl"/>
              </w:rPr>
            </w:pPr>
          </w:p>
        </w:tc>
        <w:tc>
          <w:tcPr>
            <w:tcW w:w="1984" w:type="dxa"/>
          </w:tcPr>
          <w:p w14:paraId="7E5030B0"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6568C3B3"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7F289C4A"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5400C329"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3C4BD489"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4425610A"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7C22EB0E" w14:textId="77777777" w:rsidTr="006548F8">
        <w:trPr>
          <w:trHeight w:val="230"/>
        </w:trPr>
        <w:tc>
          <w:tcPr>
            <w:tcW w:w="4253" w:type="dxa"/>
          </w:tcPr>
          <w:p w14:paraId="07D24508"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985" w:type="dxa"/>
          </w:tcPr>
          <w:p w14:paraId="28AEFB48"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sz w:val="16"/>
                <w:szCs w:val="16"/>
                <w:lang w:val="es-CO"/>
              </w:rPr>
              <w:t>45.792.134.760</w:t>
            </w:r>
          </w:p>
        </w:tc>
        <w:tc>
          <w:tcPr>
            <w:tcW w:w="1984" w:type="dxa"/>
          </w:tcPr>
          <w:p w14:paraId="5BEAB58C"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sz w:val="16"/>
                <w:szCs w:val="16"/>
                <w:lang w:val="es-CO"/>
              </w:rPr>
              <w:t>43.944.471.720</w:t>
            </w:r>
          </w:p>
        </w:tc>
        <w:tc>
          <w:tcPr>
            <w:tcW w:w="2268" w:type="dxa"/>
          </w:tcPr>
          <w:p w14:paraId="5643A522" w14:textId="77777777" w:rsidR="007E2F9F" w:rsidRPr="00C80868" w:rsidRDefault="007E2F9F" w:rsidP="006548F8">
            <w:pPr>
              <w:pStyle w:val="Prrafodelista"/>
              <w:ind w:left="0"/>
              <w:jc w:val="right"/>
              <w:rPr>
                <w:rFonts w:ascii="Arial" w:hAnsi="Arial" w:cs="Arial"/>
                <w:b/>
              </w:rPr>
            </w:pPr>
            <w:r w:rsidRPr="00C80868">
              <w:rPr>
                <w:rFonts w:ascii="Arial" w:hAnsi="Arial" w:cs="Arial"/>
                <w:b/>
                <w:sz w:val="16"/>
                <w:szCs w:val="16"/>
              </w:rPr>
              <w:t>1.847.663.040</w:t>
            </w:r>
          </w:p>
        </w:tc>
      </w:tr>
      <w:tr w:rsidR="007E2F9F" w:rsidRPr="00C80868" w14:paraId="7A0C06D2" w14:textId="77777777" w:rsidTr="006548F8">
        <w:tc>
          <w:tcPr>
            <w:tcW w:w="4253" w:type="dxa"/>
          </w:tcPr>
          <w:p w14:paraId="62A072E4"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tcPr>
          <w:p w14:paraId="406489F1"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sz w:val="16"/>
                <w:szCs w:val="16"/>
                <w:lang w:val="es-CO"/>
              </w:rPr>
              <w:t>16.839.979.859</w:t>
            </w:r>
          </w:p>
        </w:tc>
        <w:tc>
          <w:tcPr>
            <w:tcW w:w="1984" w:type="dxa"/>
          </w:tcPr>
          <w:p w14:paraId="6C0CB8B7" w14:textId="77777777" w:rsidR="007E2F9F" w:rsidRPr="00C80868" w:rsidRDefault="007E2F9F" w:rsidP="006548F8">
            <w:pPr>
              <w:pStyle w:val="Prrafodelista"/>
              <w:ind w:left="0"/>
              <w:jc w:val="right"/>
              <w:rPr>
                <w:rFonts w:ascii="Arial" w:hAnsi="Arial" w:cs="Arial"/>
                <w:b/>
              </w:rPr>
            </w:pPr>
            <w:r w:rsidRPr="00C80868">
              <w:rPr>
                <w:rFonts w:ascii="Arial" w:eastAsia="Calibri" w:hAnsi="Arial" w:cs="Arial"/>
                <w:sz w:val="16"/>
                <w:szCs w:val="16"/>
                <w:lang w:val="es-CO"/>
              </w:rPr>
              <w:t>16.595.905.069</w:t>
            </w:r>
          </w:p>
        </w:tc>
        <w:tc>
          <w:tcPr>
            <w:tcW w:w="2268" w:type="dxa"/>
          </w:tcPr>
          <w:p w14:paraId="3F174056" w14:textId="77777777" w:rsidR="007E2F9F" w:rsidRPr="00C80868" w:rsidRDefault="007E2F9F" w:rsidP="006548F8">
            <w:pPr>
              <w:pStyle w:val="Prrafodelista"/>
              <w:ind w:left="0"/>
              <w:jc w:val="right"/>
              <w:rPr>
                <w:rFonts w:ascii="Arial" w:hAnsi="Arial" w:cs="Arial"/>
                <w:b/>
              </w:rPr>
            </w:pPr>
            <w:r w:rsidRPr="00C80868">
              <w:rPr>
                <w:rFonts w:ascii="Arial" w:hAnsi="Arial" w:cs="Arial"/>
                <w:b/>
                <w:sz w:val="16"/>
                <w:szCs w:val="16"/>
              </w:rPr>
              <w:t>244.074.790</w:t>
            </w:r>
          </w:p>
        </w:tc>
      </w:tr>
      <w:tr w:rsidR="007E2F9F" w:rsidRPr="00C80868" w14:paraId="4584A749" w14:textId="77777777" w:rsidTr="006548F8">
        <w:tc>
          <w:tcPr>
            <w:tcW w:w="4253" w:type="dxa"/>
          </w:tcPr>
          <w:p w14:paraId="3A6E8F7D"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tcPr>
          <w:p w14:paraId="3E838926" w14:textId="77777777" w:rsidR="007E2F9F" w:rsidRPr="00C80868" w:rsidRDefault="007E2F9F" w:rsidP="006548F8">
            <w:pPr>
              <w:pStyle w:val="Prrafodelista"/>
              <w:ind w:left="0"/>
              <w:jc w:val="right"/>
              <w:rPr>
                <w:rFonts w:ascii="Arial" w:hAnsi="Arial" w:cs="Arial"/>
                <w:b/>
                <w:u w:val="single"/>
              </w:rPr>
            </w:pPr>
            <w:r w:rsidRPr="00C80868">
              <w:rPr>
                <w:rFonts w:ascii="Arial" w:eastAsia="Calibri" w:hAnsi="Arial" w:cs="Arial"/>
                <w:b/>
                <w:sz w:val="16"/>
                <w:szCs w:val="16"/>
                <w:lang w:val="es-CO"/>
              </w:rPr>
              <w:t>62.632.114.619</w:t>
            </w:r>
          </w:p>
        </w:tc>
        <w:tc>
          <w:tcPr>
            <w:tcW w:w="1984" w:type="dxa"/>
          </w:tcPr>
          <w:p w14:paraId="57314F5E" w14:textId="77777777" w:rsidR="007E2F9F" w:rsidRPr="00C80868" w:rsidRDefault="007E2F9F" w:rsidP="006548F8">
            <w:pPr>
              <w:pStyle w:val="Prrafodelista"/>
              <w:ind w:left="0"/>
              <w:jc w:val="right"/>
              <w:rPr>
                <w:rFonts w:ascii="Arial" w:hAnsi="Arial" w:cs="Arial"/>
                <w:b/>
                <w:u w:val="single"/>
              </w:rPr>
            </w:pPr>
            <w:r w:rsidRPr="00C80868">
              <w:rPr>
                <w:rFonts w:ascii="Arial" w:eastAsia="Calibri" w:hAnsi="Arial" w:cs="Arial"/>
                <w:b/>
                <w:sz w:val="16"/>
                <w:szCs w:val="16"/>
                <w:lang w:val="es-CO"/>
              </w:rPr>
              <w:t>60.540.376.789</w:t>
            </w:r>
          </w:p>
        </w:tc>
        <w:tc>
          <w:tcPr>
            <w:tcW w:w="2268" w:type="dxa"/>
          </w:tcPr>
          <w:p w14:paraId="19BEBDD0"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sz w:val="16"/>
                <w:szCs w:val="16"/>
                <w:u w:val="single"/>
              </w:rPr>
              <w:t>2.091.737.830</w:t>
            </w:r>
          </w:p>
        </w:tc>
      </w:tr>
    </w:tbl>
    <w:p w14:paraId="0D126361" w14:textId="77777777" w:rsidR="007E2F9F" w:rsidRPr="00C80868" w:rsidRDefault="007E2F9F" w:rsidP="007E2F9F">
      <w:pPr>
        <w:jc w:val="both"/>
        <w:rPr>
          <w:rFonts w:ascii="Arial" w:hAnsi="Arial" w:cs="Arial"/>
          <w:sz w:val="28"/>
          <w:szCs w:val="28"/>
        </w:rPr>
      </w:pPr>
    </w:p>
    <w:p w14:paraId="157B3B23" w14:textId="77777777" w:rsidR="007E2F9F" w:rsidRPr="00C80868" w:rsidRDefault="007E2F9F" w:rsidP="007E2F9F">
      <w:pPr>
        <w:ind w:left="-284"/>
        <w:jc w:val="both"/>
        <w:rPr>
          <w:rFonts w:ascii="Arial" w:hAnsi="Arial" w:cs="Arial"/>
          <w:b/>
          <w:sz w:val="28"/>
          <w:szCs w:val="28"/>
          <w:lang w:val="es-MX"/>
        </w:rPr>
      </w:pPr>
      <w:r w:rsidRPr="00C80868">
        <w:rPr>
          <w:rFonts w:ascii="Arial" w:hAnsi="Arial" w:cs="Arial"/>
          <w:b/>
          <w:sz w:val="28"/>
          <w:szCs w:val="28"/>
          <w:lang w:val="es-MX"/>
        </w:rPr>
        <w:t>25.- COMISIÓN NACIONAL DEL SERVICIO CIVIL - CNSC.</w:t>
      </w:r>
    </w:p>
    <w:p w14:paraId="3398585A" w14:textId="77777777" w:rsidR="007E2F9F" w:rsidRPr="00C80868" w:rsidRDefault="007E2F9F" w:rsidP="007E2F9F">
      <w:pPr>
        <w:jc w:val="both"/>
        <w:rPr>
          <w:rFonts w:ascii="Arial" w:hAnsi="Arial" w:cs="Arial"/>
          <w:sz w:val="28"/>
          <w:szCs w:val="28"/>
          <w:lang w:val="es-MX"/>
        </w:rPr>
      </w:pPr>
    </w:p>
    <w:p w14:paraId="768235BB"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7C543A3F"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464B71B5"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80868" w14:paraId="75F8225D" w14:textId="77777777" w:rsidTr="006548F8">
        <w:tc>
          <w:tcPr>
            <w:tcW w:w="4253" w:type="dxa"/>
          </w:tcPr>
          <w:p w14:paraId="5755F91B" w14:textId="77777777" w:rsidR="007E2F9F" w:rsidRPr="00C80868" w:rsidRDefault="007E2F9F" w:rsidP="006548F8">
            <w:pPr>
              <w:ind w:left="1169" w:right="-1440"/>
              <w:rPr>
                <w:rFonts w:ascii="Arial" w:hAnsi="Arial" w:cs="Arial"/>
                <w:b/>
                <w:lang w:val="es-ES_tradnl"/>
              </w:rPr>
            </w:pPr>
            <w:r w:rsidRPr="00C80868">
              <w:rPr>
                <w:rFonts w:ascii="Arial" w:hAnsi="Arial" w:cs="Arial"/>
                <w:b/>
                <w:lang w:val="es-ES_tradnl"/>
              </w:rPr>
              <w:t>TIPO DE GASTO</w:t>
            </w:r>
          </w:p>
        </w:tc>
        <w:tc>
          <w:tcPr>
            <w:tcW w:w="1985" w:type="dxa"/>
          </w:tcPr>
          <w:p w14:paraId="18425E2C"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APROPIACIÓN</w:t>
            </w:r>
          </w:p>
          <w:p w14:paraId="45237DE6"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DEFINITIVA</w:t>
            </w:r>
          </w:p>
          <w:p w14:paraId="7DA1B811" w14:textId="77777777" w:rsidR="007E2F9F" w:rsidRPr="00C80868" w:rsidRDefault="007E2F9F" w:rsidP="006548F8">
            <w:pPr>
              <w:jc w:val="center"/>
              <w:rPr>
                <w:rFonts w:ascii="Arial" w:hAnsi="Arial" w:cs="Arial"/>
                <w:b/>
                <w:lang w:val="es-ES_tradnl"/>
              </w:rPr>
            </w:pPr>
            <w:r w:rsidRPr="00C80868">
              <w:rPr>
                <w:rFonts w:ascii="Arial" w:hAnsi="Arial" w:cs="Arial"/>
                <w:b/>
                <w:lang w:val="es-ES_tradnl"/>
              </w:rPr>
              <w:t>(1)</w:t>
            </w:r>
          </w:p>
          <w:p w14:paraId="401F6A5F" w14:textId="77777777" w:rsidR="007E2F9F" w:rsidRPr="00C80868" w:rsidRDefault="007E2F9F" w:rsidP="006548F8">
            <w:pPr>
              <w:jc w:val="center"/>
              <w:rPr>
                <w:rFonts w:ascii="Arial" w:hAnsi="Arial" w:cs="Arial"/>
                <w:b/>
                <w:lang w:val="es-ES_tradnl"/>
              </w:rPr>
            </w:pPr>
          </w:p>
        </w:tc>
        <w:tc>
          <w:tcPr>
            <w:tcW w:w="1984" w:type="dxa"/>
          </w:tcPr>
          <w:p w14:paraId="1040A4A4" w14:textId="77777777" w:rsidR="007E2F9F" w:rsidRPr="00C80868" w:rsidRDefault="007E2F9F" w:rsidP="006548F8">
            <w:pPr>
              <w:ind w:left="145" w:right="184"/>
              <w:jc w:val="center"/>
              <w:rPr>
                <w:rFonts w:ascii="Arial" w:hAnsi="Arial" w:cs="Arial"/>
                <w:b/>
                <w:lang w:val="es-ES_tradnl"/>
              </w:rPr>
            </w:pPr>
            <w:r w:rsidRPr="00C80868">
              <w:rPr>
                <w:rFonts w:ascii="Arial" w:hAnsi="Arial" w:cs="Arial"/>
                <w:b/>
                <w:lang w:val="es-ES_tradnl"/>
              </w:rPr>
              <w:t>EJECUCIÓN</w:t>
            </w:r>
          </w:p>
          <w:p w14:paraId="1AF8F129"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COMPROMISOS</w:t>
            </w:r>
          </w:p>
          <w:p w14:paraId="5B48739B"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(2)</w:t>
            </w:r>
          </w:p>
        </w:tc>
        <w:tc>
          <w:tcPr>
            <w:tcW w:w="2268" w:type="dxa"/>
          </w:tcPr>
          <w:p w14:paraId="0587E69E" w14:textId="77777777" w:rsidR="007E2F9F" w:rsidRPr="00C80868" w:rsidRDefault="007E2F9F" w:rsidP="006548F8">
            <w:pPr>
              <w:ind w:left="25" w:right="34"/>
              <w:jc w:val="center"/>
              <w:rPr>
                <w:rFonts w:ascii="Arial" w:hAnsi="Arial" w:cs="Arial"/>
                <w:b/>
                <w:lang w:val="es-ES_tradnl"/>
              </w:rPr>
            </w:pPr>
            <w:r w:rsidRPr="00C80868">
              <w:rPr>
                <w:rFonts w:ascii="Arial" w:hAnsi="Arial" w:cs="Arial"/>
                <w:b/>
                <w:lang w:val="es-ES_tradnl"/>
              </w:rPr>
              <w:t>PÉRDIDAS DE</w:t>
            </w:r>
          </w:p>
          <w:p w14:paraId="49A6DEB0"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APROPIACIÓN</w:t>
            </w:r>
          </w:p>
          <w:p w14:paraId="21B9F4FC" w14:textId="77777777" w:rsidR="007E2F9F" w:rsidRPr="00C80868" w:rsidRDefault="007E2F9F" w:rsidP="006548F8">
            <w:pPr>
              <w:ind w:right="34"/>
              <w:jc w:val="center"/>
              <w:rPr>
                <w:rFonts w:ascii="Arial" w:hAnsi="Arial" w:cs="Arial"/>
                <w:b/>
                <w:lang w:val="es-ES_tradnl"/>
              </w:rPr>
            </w:pPr>
            <w:r w:rsidRPr="00C80868">
              <w:rPr>
                <w:rFonts w:ascii="Arial" w:hAnsi="Arial" w:cs="Arial"/>
                <w:b/>
                <w:lang w:val="es-ES_tradnl"/>
              </w:rPr>
              <w:t>3 = (1-2)</w:t>
            </w:r>
          </w:p>
        </w:tc>
      </w:tr>
      <w:tr w:rsidR="007E2F9F" w:rsidRPr="00C80868" w14:paraId="631EFE64" w14:textId="77777777" w:rsidTr="006548F8">
        <w:trPr>
          <w:trHeight w:val="230"/>
        </w:trPr>
        <w:tc>
          <w:tcPr>
            <w:tcW w:w="4253" w:type="dxa"/>
          </w:tcPr>
          <w:p w14:paraId="4B4B3A2D"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FUNCIONAMIENTO</w:t>
            </w:r>
          </w:p>
        </w:tc>
        <w:tc>
          <w:tcPr>
            <w:tcW w:w="1985" w:type="dxa"/>
            <w:vAlign w:val="center"/>
          </w:tcPr>
          <w:p w14:paraId="2003BBDF"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bCs/>
                <w:color w:val="000000"/>
                <w:sz w:val="18"/>
                <w:szCs w:val="18"/>
                <w:lang w:eastAsia="es-ES"/>
              </w:rPr>
              <w:t>34.382.308</w:t>
            </w:r>
          </w:p>
        </w:tc>
        <w:tc>
          <w:tcPr>
            <w:tcW w:w="1984" w:type="dxa"/>
            <w:vAlign w:val="center"/>
          </w:tcPr>
          <w:p w14:paraId="4A4B2697"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bCs/>
                <w:color w:val="000000"/>
                <w:sz w:val="18"/>
                <w:szCs w:val="18"/>
                <w:lang w:eastAsia="es-ES"/>
              </w:rPr>
              <w:t>30.528.263</w:t>
            </w:r>
          </w:p>
        </w:tc>
        <w:tc>
          <w:tcPr>
            <w:tcW w:w="2268" w:type="dxa"/>
          </w:tcPr>
          <w:p w14:paraId="40143AC2" w14:textId="77777777" w:rsidR="007E2F9F" w:rsidRPr="00C80868" w:rsidRDefault="007E2F9F" w:rsidP="006548F8">
            <w:pPr>
              <w:pStyle w:val="Prrafodelista"/>
              <w:ind w:left="0"/>
              <w:jc w:val="right"/>
              <w:rPr>
                <w:rFonts w:ascii="Arial" w:hAnsi="Arial" w:cs="Arial"/>
                <w:b/>
              </w:rPr>
            </w:pPr>
            <w:r w:rsidRPr="00C80868">
              <w:rPr>
                <w:rFonts w:ascii="Arial" w:hAnsi="Arial" w:cs="Arial"/>
                <w:b/>
                <w:bCs/>
                <w:sz w:val="18"/>
                <w:szCs w:val="18"/>
              </w:rPr>
              <w:t>3.854.045</w:t>
            </w:r>
          </w:p>
        </w:tc>
      </w:tr>
      <w:tr w:rsidR="007E2F9F" w:rsidRPr="00C80868" w14:paraId="184524E7" w14:textId="77777777" w:rsidTr="006548F8">
        <w:tc>
          <w:tcPr>
            <w:tcW w:w="4253" w:type="dxa"/>
          </w:tcPr>
          <w:p w14:paraId="37121AF8"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INVERSIÓN</w:t>
            </w:r>
          </w:p>
        </w:tc>
        <w:tc>
          <w:tcPr>
            <w:tcW w:w="1985" w:type="dxa"/>
            <w:vAlign w:val="center"/>
          </w:tcPr>
          <w:p w14:paraId="4CA1715D"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bCs/>
                <w:color w:val="000000"/>
                <w:sz w:val="18"/>
                <w:szCs w:val="18"/>
                <w:lang w:eastAsia="es-ES"/>
              </w:rPr>
              <w:t>104.270.494</w:t>
            </w:r>
          </w:p>
        </w:tc>
        <w:tc>
          <w:tcPr>
            <w:tcW w:w="1984" w:type="dxa"/>
            <w:vAlign w:val="center"/>
          </w:tcPr>
          <w:p w14:paraId="6886CB62" w14:textId="77777777" w:rsidR="007E2F9F" w:rsidRPr="00C80868" w:rsidRDefault="007E2F9F" w:rsidP="006548F8">
            <w:pPr>
              <w:pStyle w:val="Prrafodelista"/>
              <w:ind w:left="0"/>
              <w:jc w:val="right"/>
              <w:rPr>
                <w:rFonts w:ascii="Arial" w:hAnsi="Arial" w:cs="Arial"/>
                <w:b/>
              </w:rPr>
            </w:pPr>
            <w:r w:rsidRPr="00C80868">
              <w:rPr>
                <w:rFonts w:ascii="Arial" w:eastAsia="Times New Roman" w:hAnsi="Arial" w:cs="Arial"/>
                <w:b/>
                <w:bCs/>
                <w:color w:val="000000"/>
                <w:sz w:val="18"/>
                <w:szCs w:val="18"/>
                <w:lang w:eastAsia="es-ES"/>
              </w:rPr>
              <w:t>74.568.893</w:t>
            </w:r>
          </w:p>
        </w:tc>
        <w:tc>
          <w:tcPr>
            <w:tcW w:w="2268" w:type="dxa"/>
          </w:tcPr>
          <w:p w14:paraId="16355D33" w14:textId="77777777" w:rsidR="007E2F9F" w:rsidRPr="00C80868" w:rsidRDefault="007E2F9F" w:rsidP="006548F8">
            <w:pPr>
              <w:pStyle w:val="Prrafodelista"/>
              <w:ind w:left="0"/>
              <w:jc w:val="right"/>
              <w:rPr>
                <w:rFonts w:ascii="Arial" w:hAnsi="Arial" w:cs="Arial"/>
                <w:b/>
              </w:rPr>
            </w:pPr>
            <w:r w:rsidRPr="00C80868">
              <w:rPr>
                <w:rFonts w:ascii="Arial" w:hAnsi="Arial" w:cs="Arial"/>
                <w:b/>
                <w:sz w:val="18"/>
                <w:szCs w:val="18"/>
              </w:rPr>
              <w:t>29.701601</w:t>
            </w:r>
          </w:p>
        </w:tc>
      </w:tr>
      <w:tr w:rsidR="007E2F9F" w:rsidRPr="00C80868" w14:paraId="7E0BD610" w14:textId="77777777" w:rsidTr="006548F8">
        <w:tc>
          <w:tcPr>
            <w:tcW w:w="4253" w:type="dxa"/>
          </w:tcPr>
          <w:p w14:paraId="2FA56E50" w14:textId="77777777" w:rsidR="007E2F9F" w:rsidRPr="00C80868" w:rsidRDefault="007E2F9F" w:rsidP="006548F8">
            <w:pPr>
              <w:ind w:right="-1440"/>
              <w:jc w:val="both"/>
              <w:rPr>
                <w:rFonts w:ascii="Arial" w:hAnsi="Arial" w:cs="Arial"/>
                <w:b/>
                <w:lang w:val="es-ES_tradnl"/>
              </w:rPr>
            </w:pPr>
            <w:r w:rsidRPr="00C80868">
              <w:rPr>
                <w:rFonts w:ascii="Arial" w:hAnsi="Arial" w:cs="Arial"/>
                <w:b/>
                <w:lang w:val="es-ES_tradnl"/>
              </w:rPr>
              <w:t>TOTAL PÉRDIDAS DE APROPIACIÓN</w:t>
            </w:r>
          </w:p>
        </w:tc>
        <w:tc>
          <w:tcPr>
            <w:tcW w:w="1985" w:type="dxa"/>
            <w:vAlign w:val="center"/>
          </w:tcPr>
          <w:p w14:paraId="7885B5F8" w14:textId="77777777" w:rsidR="007E2F9F" w:rsidRPr="00C80868" w:rsidRDefault="007E2F9F" w:rsidP="006548F8">
            <w:pPr>
              <w:pStyle w:val="Prrafodelista"/>
              <w:ind w:left="0"/>
              <w:jc w:val="right"/>
              <w:rPr>
                <w:rFonts w:ascii="Arial" w:hAnsi="Arial" w:cs="Arial"/>
                <w:b/>
                <w:u w:val="single"/>
              </w:rPr>
            </w:pPr>
            <w:r w:rsidRPr="00C80868">
              <w:rPr>
                <w:rFonts w:ascii="Arial" w:eastAsia="Times New Roman" w:hAnsi="Arial" w:cs="Arial"/>
                <w:b/>
                <w:bCs/>
                <w:color w:val="000000"/>
                <w:sz w:val="18"/>
                <w:szCs w:val="18"/>
                <w:lang w:eastAsia="es-ES"/>
              </w:rPr>
              <w:t>138.652.803</w:t>
            </w:r>
          </w:p>
        </w:tc>
        <w:tc>
          <w:tcPr>
            <w:tcW w:w="1984" w:type="dxa"/>
            <w:vAlign w:val="center"/>
          </w:tcPr>
          <w:p w14:paraId="3CA2F32A" w14:textId="77777777" w:rsidR="007E2F9F" w:rsidRPr="00C80868" w:rsidRDefault="007E2F9F" w:rsidP="006548F8">
            <w:pPr>
              <w:pStyle w:val="Prrafodelista"/>
              <w:ind w:left="0"/>
              <w:jc w:val="right"/>
              <w:rPr>
                <w:rFonts w:ascii="Arial" w:hAnsi="Arial" w:cs="Arial"/>
                <w:b/>
                <w:u w:val="single"/>
              </w:rPr>
            </w:pPr>
            <w:r w:rsidRPr="00C80868">
              <w:rPr>
                <w:rFonts w:ascii="Arial" w:eastAsia="Times New Roman" w:hAnsi="Arial" w:cs="Arial"/>
                <w:b/>
                <w:bCs/>
                <w:color w:val="000000"/>
                <w:sz w:val="18"/>
                <w:szCs w:val="18"/>
                <w:lang w:eastAsia="es-ES"/>
              </w:rPr>
              <w:t>105.097.156</w:t>
            </w:r>
          </w:p>
        </w:tc>
        <w:tc>
          <w:tcPr>
            <w:tcW w:w="2268" w:type="dxa"/>
          </w:tcPr>
          <w:p w14:paraId="525766B4" w14:textId="77777777" w:rsidR="007E2F9F" w:rsidRPr="00C80868" w:rsidRDefault="007E2F9F" w:rsidP="006548F8">
            <w:pPr>
              <w:pStyle w:val="Prrafodelista"/>
              <w:ind w:left="0"/>
              <w:jc w:val="right"/>
              <w:rPr>
                <w:rFonts w:ascii="Arial" w:hAnsi="Arial" w:cs="Arial"/>
                <w:b/>
                <w:u w:val="single"/>
              </w:rPr>
            </w:pPr>
            <w:r w:rsidRPr="00C80868">
              <w:rPr>
                <w:rFonts w:ascii="Arial" w:hAnsi="Arial" w:cs="Arial"/>
                <w:b/>
                <w:sz w:val="18"/>
                <w:szCs w:val="18"/>
                <w:u w:val="single"/>
              </w:rPr>
              <w:t>33.555.647</w:t>
            </w:r>
          </w:p>
        </w:tc>
      </w:tr>
    </w:tbl>
    <w:p w14:paraId="27201960" w14:textId="77777777" w:rsidR="007E2F9F" w:rsidRDefault="007E2F9F" w:rsidP="007E2F9F">
      <w:pPr>
        <w:jc w:val="both"/>
        <w:rPr>
          <w:rFonts w:ascii="Arial" w:hAnsi="Arial" w:cs="Arial"/>
          <w:sz w:val="28"/>
          <w:szCs w:val="28"/>
          <w:lang w:val="es-MX"/>
        </w:rPr>
      </w:pPr>
    </w:p>
    <w:p w14:paraId="157A5191" w14:textId="77777777" w:rsidR="007E2F9F" w:rsidRPr="00EB7145" w:rsidRDefault="007E2F9F" w:rsidP="007E2F9F">
      <w:pPr>
        <w:ind w:left="-284"/>
        <w:jc w:val="both"/>
        <w:rPr>
          <w:rFonts w:ascii="Arial" w:hAnsi="Arial" w:cs="Arial"/>
          <w:b/>
          <w:sz w:val="28"/>
          <w:szCs w:val="28"/>
          <w:lang w:val="es-MX"/>
        </w:rPr>
      </w:pPr>
      <w:r w:rsidRPr="00EB7145">
        <w:rPr>
          <w:rFonts w:ascii="Arial" w:hAnsi="Arial" w:cs="Arial"/>
          <w:b/>
          <w:sz w:val="28"/>
          <w:szCs w:val="28"/>
          <w:lang w:val="es-MX"/>
        </w:rPr>
        <w:t>26.- AGENCIA NACIONAL INMOBILIARIA VIRGILIO BARCO.</w:t>
      </w:r>
    </w:p>
    <w:p w14:paraId="1097EB6A" w14:textId="77777777" w:rsidR="007E2F9F" w:rsidRDefault="007E2F9F" w:rsidP="007E2F9F">
      <w:pPr>
        <w:pStyle w:val="Prrafodelista"/>
        <w:ind w:left="0"/>
        <w:jc w:val="center"/>
        <w:rPr>
          <w:rFonts w:ascii="Arial" w:hAnsi="Arial" w:cs="Arial"/>
          <w:b/>
          <w:sz w:val="24"/>
        </w:rPr>
      </w:pPr>
    </w:p>
    <w:p w14:paraId="2F2EFCC7"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38A42BC5"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0D2FF75E"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512284" w14:paraId="4F05A519" w14:textId="77777777" w:rsidTr="006548F8">
        <w:tc>
          <w:tcPr>
            <w:tcW w:w="4253" w:type="dxa"/>
          </w:tcPr>
          <w:p w14:paraId="0431799D" w14:textId="77777777" w:rsidR="007E2F9F" w:rsidRPr="00512284" w:rsidRDefault="007E2F9F" w:rsidP="006548F8">
            <w:pPr>
              <w:ind w:left="1169" w:right="-1440"/>
              <w:rPr>
                <w:rFonts w:ascii="Arial" w:hAnsi="Arial" w:cs="Arial"/>
                <w:b/>
                <w:sz w:val="18"/>
                <w:szCs w:val="18"/>
                <w:lang w:val="es-ES_tradnl"/>
              </w:rPr>
            </w:pPr>
            <w:r w:rsidRPr="00512284">
              <w:rPr>
                <w:rFonts w:ascii="Arial" w:hAnsi="Arial" w:cs="Arial"/>
                <w:b/>
                <w:sz w:val="18"/>
                <w:szCs w:val="18"/>
                <w:lang w:val="es-ES_tradnl"/>
              </w:rPr>
              <w:t>TIPO DE GASTO</w:t>
            </w:r>
          </w:p>
        </w:tc>
        <w:tc>
          <w:tcPr>
            <w:tcW w:w="1985" w:type="dxa"/>
          </w:tcPr>
          <w:p w14:paraId="791332CE" w14:textId="77777777" w:rsidR="007E2F9F" w:rsidRPr="00512284" w:rsidRDefault="007E2F9F" w:rsidP="006548F8">
            <w:pPr>
              <w:jc w:val="center"/>
              <w:rPr>
                <w:rFonts w:ascii="Arial" w:hAnsi="Arial" w:cs="Arial"/>
                <w:b/>
                <w:sz w:val="18"/>
                <w:szCs w:val="18"/>
                <w:lang w:val="es-ES_tradnl"/>
              </w:rPr>
            </w:pPr>
            <w:r w:rsidRPr="00512284">
              <w:rPr>
                <w:rFonts w:ascii="Arial" w:hAnsi="Arial" w:cs="Arial"/>
                <w:b/>
                <w:sz w:val="18"/>
                <w:szCs w:val="18"/>
                <w:lang w:val="es-ES_tradnl"/>
              </w:rPr>
              <w:t>APROPIACIÓN</w:t>
            </w:r>
          </w:p>
          <w:p w14:paraId="70910092" w14:textId="77777777" w:rsidR="007E2F9F" w:rsidRPr="00512284" w:rsidRDefault="007E2F9F" w:rsidP="006548F8">
            <w:pPr>
              <w:jc w:val="center"/>
              <w:rPr>
                <w:rFonts w:ascii="Arial" w:hAnsi="Arial" w:cs="Arial"/>
                <w:b/>
                <w:sz w:val="18"/>
                <w:szCs w:val="18"/>
                <w:lang w:val="es-ES_tradnl"/>
              </w:rPr>
            </w:pPr>
            <w:r w:rsidRPr="00512284">
              <w:rPr>
                <w:rFonts w:ascii="Arial" w:hAnsi="Arial" w:cs="Arial"/>
                <w:b/>
                <w:sz w:val="18"/>
                <w:szCs w:val="18"/>
                <w:lang w:val="es-ES_tradnl"/>
              </w:rPr>
              <w:t>DEFINITIVA</w:t>
            </w:r>
          </w:p>
          <w:p w14:paraId="05CFC512" w14:textId="77777777" w:rsidR="007E2F9F" w:rsidRPr="00512284" w:rsidRDefault="007E2F9F" w:rsidP="006548F8">
            <w:pPr>
              <w:jc w:val="center"/>
              <w:rPr>
                <w:rFonts w:ascii="Arial" w:hAnsi="Arial" w:cs="Arial"/>
                <w:b/>
                <w:sz w:val="18"/>
                <w:szCs w:val="18"/>
                <w:lang w:val="es-ES_tradnl"/>
              </w:rPr>
            </w:pPr>
            <w:r w:rsidRPr="00512284">
              <w:rPr>
                <w:rFonts w:ascii="Arial" w:hAnsi="Arial" w:cs="Arial"/>
                <w:b/>
                <w:sz w:val="18"/>
                <w:szCs w:val="18"/>
                <w:lang w:val="es-ES_tradnl"/>
              </w:rPr>
              <w:t>(1)</w:t>
            </w:r>
          </w:p>
          <w:p w14:paraId="0EC809E6" w14:textId="77777777" w:rsidR="007E2F9F" w:rsidRPr="00512284" w:rsidRDefault="007E2F9F" w:rsidP="006548F8">
            <w:pPr>
              <w:jc w:val="center"/>
              <w:rPr>
                <w:rFonts w:ascii="Arial" w:hAnsi="Arial" w:cs="Arial"/>
                <w:b/>
                <w:sz w:val="18"/>
                <w:szCs w:val="18"/>
                <w:lang w:val="es-ES_tradnl"/>
              </w:rPr>
            </w:pPr>
          </w:p>
        </w:tc>
        <w:tc>
          <w:tcPr>
            <w:tcW w:w="1984" w:type="dxa"/>
          </w:tcPr>
          <w:p w14:paraId="2B308589" w14:textId="77777777" w:rsidR="007E2F9F" w:rsidRPr="00512284" w:rsidRDefault="007E2F9F" w:rsidP="006548F8">
            <w:pPr>
              <w:ind w:left="145" w:right="184"/>
              <w:jc w:val="center"/>
              <w:rPr>
                <w:rFonts w:ascii="Arial" w:hAnsi="Arial" w:cs="Arial"/>
                <w:b/>
                <w:sz w:val="18"/>
                <w:szCs w:val="18"/>
                <w:lang w:val="es-ES_tradnl"/>
              </w:rPr>
            </w:pPr>
            <w:r w:rsidRPr="00512284">
              <w:rPr>
                <w:rFonts w:ascii="Arial" w:hAnsi="Arial" w:cs="Arial"/>
                <w:b/>
                <w:sz w:val="18"/>
                <w:szCs w:val="18"/>
                <w:lang w:val="es-ES_tradnl"/>
              </w:rPr>
              <w:t>EJECUCIÓN</w:t>
            </w:r>
          </w:p>
          <w:p w14:paraId="7F7FAF75" w14:textId="77777777" w:rsidR="007E2F9F" w:rsidRPr="00512284" w:rsidRDefault="007E2F9F" w:rsidP="006548F8">
            <w:pPr>
              <w:ind w:right="34"/>
              <w:jc w:val="center"/>
              <w:rPr>
                <w:rFonts w:ascii="Arial" w:hAnsi="Arial" w:cs="Arial"/>
                <w:b/>
                <w:sz w:val="18"/>
                <w:szCs w:val="18"/>
                <w:lang w:val="es-ES_tradnl"/>
              </w:rPr>
            </w:pPr>
            <w:r w:rsidRPr="00512284">
              <w:rPr>
                <w:rFonts w:ascii="Arial" w:hAnsi="Arial" w:cs="Arial"/>
                <w:b/>
                <w:sz w:val="18"/>
                <w:szCs w:val="18"/>
                <w:lang w:val="es-ES_tradnl"/>
              </w:rPr>
              <w:t>COMPROMISOS</w:t>
            </w:r>
          </w:p>
          <w:p w14:paraId="607B21C6" w14:textId="77777777" w:rsidR="007E2F9F" w:rsidRPr="00512284" w:rsidRDefault="007E2F9F" w:rsidP="006548F8">
            <w:pPr>
              <w:ind w:right="34"/>
              <w:jc w:val="center"/>
              <w:rPr>
                <w:rFonts w:ascii="Arial" w:hAnsi="Arial" w:cs="Arial"/>
                <w:b/>
                <w:sz w:val="18"/>
                <w:szCs w:val="18"/>
                <w:lang w:val="es-ES_tradnl"/>
              </w:rPr>
            </w:pPr>
            <w:r w:rsidRPr="00512284">
              <w:rPr>
                <w:rFonts w:ascii="Arial" w:hAnsi="Arial" w:cs="Arial"/>
                <w:b/>
                <w:sz w:val="18"/>
                <w:szCs w:val="18"/>
                <w:lang w:val="es-ES_tradnl"/>
              </w:rPr>
              <w:t>(2)</w:t>
            </w:r>
          </w:p>
        </w:tc>
        <w:tc>
          <w:tcPr>
            <w:tcW w:w="2268" w:type="dxa"/>
          </w:tcPr>
          <w:p w14:paraId="6ECB95F3" w14:textId="77777777" w:rsidR="007E2F9F" w:rsidRPr="00512284" w:rsidRDefault="007E2F9F" w:rsidP="006548F8">
            <w:pPr>
              <w:ind w:left="25" w:right="34"/>
              <w:jc w:val="center"/>
              <w:rPr>
                <w:rFonts w:ascii="Arial" w:hAnsi="Arial" w:cs="Arial"/>
                <w:b/>
                <w:sz w:val="18"/>
                <w:szCs w:val="18"/>
                <w:lang w:val="es-ES_tradnl"/>
              </w:rPr>
            </w:pPr>
            <w:r w:rsidRPr="00512284">
              <w:rPr>
                <w:rFonts w:ascii="Arial" w:hAnsi="Arial" w:cs="Arial"/>
                <w:b/>
                <w:sz w:val="18"/>
                <w:szCs w:val="18"/>
                <w:lang w:val="es-ES_tradnl"/>
              </w:rPr>
              <w:t>PÉRDIDAS DE</w:t>
            </w:r>
          </w:p>
          <w:p w14:paraId="13447022" w14:textId="77777777" w:rsidR="007E2F9F" w:rsidRPr="00512284" w:rsidRDefault="007E2F9F" w:rsidP="006548F8">
            <w:pPr>
              <w:ind w:right="34"/>
              <w:jc w:val="center"/>
              <w:rPr>
                <w:rFonts w:ascii="Arial" w:hAnsi="Arial" w:cs="Arial"/>
                <w:b/>
                <w:sz w:val="18"/>
                <w:szCs w:val="18"/>
                <w:lang w:val="es-ES_tradnl"/>
              </w:rPr>
            </w:pPr>
            <w:r w:rsidRPr="00512284">
              <w:rPr>
                <w:rFonts w:ascii="Arial" w:hAnsi="Arial" w:cs="Arial"/>
                <w:b/>
                <w:sz w:val="18"/>
                <w:szCs w:val="18"/>
                <w:lang w:val="es-ES_tradnl"/>
              </w:rPr>
              <w:t>APROPIACIÓN</w:t>
            </w:r>
          </w:p>
          <w:p w14:paraId="438E8EB6" w14:textId="77777777" w:rsidR="007E2F9F" w:rsidRPr="00512284" w:rsidRDefault="007E2F9F" w:rsidP="006548F8">
            <w:pPr>
              <w:ind w:right="34"/>
              <w:jc w:val="center"/>
              <w:rPr>
                <w:rFonts w:ascii="Arial" w:hAnsi="Arial" w:cs="Arial"/>
                <w:b/>
                <w:sz w:val="18"/>
                <w:szCs w:val="18"/>
                <w:lang w:val="es-ES_tradnl"/>
              </w:rPr>
            </w:pPr>
            <w:r w:rsidRPr="00512284">
              <w:rPr>
                <w:rFonts w:ascii="Arial" w:hAnsi="Arial" w:cs="Arial"/>
                <w:b/>
                <w:sz w:val="18"/>
                <w:szCs w:val="18"/>
                <w:lang w:val="es-ES_tradnl"/>
              </w:rPr>
              <w:t>3 = (1-2)</w:t>
            </w:r>
          </w:p>
        </w:tc>
      </w:tr>
      <w:tr w:rsidR="007E2F9F" w:rsidRPr="00512284" w14:paraId="76EA86DE" w14:textId="77777777" w:rsidTr="006548F8">
        <w:trPr>
          <w:trHeight w:val="230"/>
        </w:trPr>
        <w:tc>
          <w:tcPr>
            <w:tcW w:w="4253" w:type="dxa"/>
          </w:tcPr>
          <w:p w14:paraId="269B86C7" w14:textId="77777777" w:rsidR="007E2F9F" w:rsidRPr="00512284" w:rsidRDefault="007E2F9F" w:rsidP="006548F8">
            <w:pPr>
              <w:ind w:right="-1440"/>
              <w:jc w:val="both"/>
              <w:rPr>
                <w:rFonts w:ascii="Arial" w:hAnsi="Arial" w:cs="Arial"/>
                <w:b/>
                <w:sz w:val="18"/>
                <w:szCs w:val="18"/>
                <w:lang w:val="es-ES_tradnl"/>
              </w:rPr>
            </w:pPr>
            <w:r w:rsidRPr="00512284">
              <w:rPr>
                <w:rFonts w:ascii="Arial" w:hAnsi="Arial" w:cs="Arial"/>
                <w:b/>
                <w:sz w:val="18"/>
                <w:szCs w:val="18"/>
                <w:lang w:val="es-ES_tradnl"/>
              </w:rPr>
              <w:t>FUNCIONAMIENTO</w:t>
            </w:r>
          </w:p>
        </w:tc>
        <w:tc>
          <w:tcPr>
            <w:tcW w:w="1985" w:type="dxa"/>
          </w:tcPr>
          <w:p w14:paraId="378E39D7" w14:textId="77777777" w:rsidR="007E2F9F" w:rsidRPr="00512284" w:rsidRDefault="007E2F9F" w:rsidP="006548F8">
            <w:pPr>
              <w:pStyle w:val="Prrafodelista"/>
              <w:ind w:left="0"/>
              <w:jc w:val="right"/>
              <w:rPr>
                <w:rFonts w:ascii="Arial" w:hAnsi="Arial" w:cs="Arial"/>
                <w:b/>
                <w:sz w:val="18"/>
                <w:szCs w:val="18"/>
              </w:rPr>
            </w:pPr>
            <w:r w:rsidRPr="00512284">
              <w:rPr>
                <w:rFonts w:ascii="Arial" w:eastAsia="Times New Roman" w:hAnsi="Arial" w:cs="Arial"/>
                <w:b/>
                <w:bCs/>
                <w:color w:val="000000"/>
                <w:sz w:val="18"/>
                <w:szCs w:val="18"/>
              </w:rPr>
              <w:t xml:space="preserve">  8.104.100   </w:t>
            </w:r>
          </w:p>
        </w:tc>
        <w:tc>
          <w:tcPr>
            <w:tcW w:w="1984" w:type="dxa"/>
          </w:tcPr>
          <w:p w14:paraId="664DB3C3" w14:textId="77777777" w:rsidR="007E2F9F" w:rsidRPr="00512284" w:rsidRDefault="007E2F9F" w:rsidP="006548F8">
            <w:pPr>
              <w:pStyle w:val="Prrafodelista"/>
              <w:ind w:left="0"/>
              <w:jc w:val="right"/>
              <w:rPr>
                <w:rFonts w:ascii="Arial" w:hAnsi="Arial" w:cs="Arial"/>
                <w:b/>
                <w:sz w:val="18"/>
                <w:szCs w:val="18"/>
              </w:rPr>
            </w:pPr>
            <w:r w:rsidRPr="00512284">
              <w:rPr>
                <w:rFonts w:ascii="Arial" w:eastAsia="Times New Roman" w:hAnsi="Arial" w:cs="Arial"/>
                <w:b/>
                <w:bCs/>
                <w:color w:val="000000"/>
                <w:sz w:val="18"/>
                <w:szCs w:val="18"/>
              </w:rPr>
              <w:t xml:space="preserve">           7.263.903   </w:t>
            </w:r>
          </w:p>
        </w:tc>
        <w:tc>
          <w:tcPr>
            <w:tcW w:w="2268" w:type="dxa"/>
          </w:tcPr>
          <w:p w14:paraId="4DF624B1" w14:textId="77777777" w:rsidR="007E2F9F" w:rsidRPr="00512284" w:rsidRDefault="007E2F9F" w:rsidP="006548F8">
            <w:pPr>
              <w:pStyle w:val="Prrafodelista"/>
              <w:ind w:left="0"/>
              <w:jc w:val="right"/>
              <w:rPr>
                <w:rFonts w:ascii="Arial" w:hAnsi="Arial" w:cs="Arial"/>
                <w:b/>
                <w:sz w:val="18"/>
                <w:szCs w:val="18"/>
              </w:rPr>
            </w:pPr>
            <w:r w:rsidRPr="00512284">
              <w:rPr>
                <w:rFonts w:ascii="Arial" w:hAnsi="Arial" w:cs="Arial"/>
                <w:b/>
                <w:sz w:val="18"/>
                <w:szCs w:val="18"/>
              </w:rPr>
              <w:t>840.197</w:t>
            </w:r>
          </w:p>
        </w:tc>
      </w:tr>
      <w:tr w:rsidR="007E2F9F" w:rsidRPr="00512284" w14:paraId="6A094104" w14:textId="77777777" w:rsidTr="006548F8">
        <w:tc>
          <w:tcPr>
            <w:tcW w:w="4253" w:type="dxa"/>
          </w:tcPr>
          <w:p w14:paraId="1E44FA6C" w14:textId="77777777" w:rsidR="007E2F9F" w:rsidRPr="00512284" w:rsidRDefault="007E2F9F" w:rsidP="006548F8">
            <w:pPr>
              <w:ind w:right="-1440"/>
              <w:jc w:val="both"/>
              <w:rPr>
                <w:rFonts w:ascii="Arial" w:hAnsi="Arial" w:cs="Arial"/>
                <w:b/>
                <w:sz w:val="18"/>
                <w:szCs w:val="18"/>
                <w:lang w:val="es-ES_tradnl"/>
              </w:rPr>
            </w:pPr>
            <w:r w:rsidRPr="00512284">
              <w:rPr>
                <w:rFonts w:ascii="Arial" w:hAnsi="Arial" w:cs="Arial"/>
                <w:b/>
                <w:sz w:val="18"/>
                <w:szCs w:val="18"/>
                <w:lang w:val="es-ES_tradnl"/>
              </w:rPr>
              <w:t>INVERSIÓN</w:t>
            </w:r>
          </w:p>
        </w:tc>
        <w:tc>
          <w:tcPr>
            <w:tcW w:w="1985" w:type="dxa"/>
          </w:tcPr>
          <w:p w14:paraId="5747B9CE" w14:textId="77777777" w:rsidR="007E2F9F" w:rsidRPr="00512284" w:rsidRDefault="007E2F9F" w:rsidP="006548F8">
            <w:pPr>
              <w:pStyle w:val="Prrafodelista"/>
              <w:ind w:left="0"/>
              <w:jc w:val="right"/>
              <w:rPr>
                <w:rFonts w:ascii="Arial" w:hAnsi="Arial" w:cs="Arial"/>
                <w:b/>
                <w:sz w:val="18"/>
                <w:szCs w:val="18"/>
              </w:rPr>
            </w:pPr>
            <w:r w:rsidRPr="00512284">
              <w:rPr>
                <w:rFonts w:ascii="Arial" w:eastAsia="Times New Roman" w:hAnsi="Arial" w:cs="Arial"/>
                <w:b/>
                <w:bCs/>
                <w:color w:val="000000"/>
                <w:sz w:val="18"/>
                <w:szCs w:val="18"/>
              </w:rPr>
              <w:t xml:space="preserve">60.375.975   </w:t>
            </w:r>
          </w:p>
        </w:tc>
        <w:tc>
          <w:tcPr>
            <w:tcW w:w="1984" w:type="dxa"/>
          </w:tcPr>
          <w:p w14:paraId="75AFF2FE" w14:textId="77777777" w:rsidR="007E2F9F" w:rsidRPr="00512284" w:rsidRDefault="007E2F9F" w:rsidP="006548F8">
            <w:pPr>
              <w:pStyle w:val="Prrafodelista"/>
              <w:ind w:left="0"/>
              <w:jc w:val="right"/>
              <w:rPr>
                <w:rFonts w:ascii="Arial" w:hAnsi="Arial" w:cs="Arial"/>
                <w:b/>
                <w:sz w:val="18"/>
                <w:szCs w:val="18"/>
              </w:rPr>
            </w:pPr>
            <w:r w:rsidRPr="00512284">
              <w:rPr>
                <w:rFonts w:ascii="Arial" w:eastAsia="Times New Roman" w:hAnsi="Arial" w:cs="Arial"/>
                <w:b/>
                <w:bCs/>
                <w:color w:val="000000"/>
                <w:sz w:val="18"/>
                <w:szCs w:val="18"/>
              </w:rPr>
              <w:t xml:space="preserve">         60.372.217   </w:t>
            </w:r>
          </w:p>
        </w:tc>
        <w:tc>
          <w:tcPr>
            <w:tcW w:w="2268" w:type="dxa"/>
          </w:tcPr>
          <w:p w14:paraId="7A09EE56" w14:textId="77777777" w:rsidR="007E2F9F" w:rsidRPr="00512284" w:rsidRDefault="007E2F9F" w:rsidP="006548F8">
            <w:pPr>
              <w:pStyle w:val="Prrafodelista"/>
              <w:ind w:left="0"/>
              <w:jc w:val="right"/>
              <w:rPr>
                <w:rFonts w:ascii="Arial" w:hAnsi="Arial" w:cs="Arial"/>
                <w:b/>
                <w:sz w:val="18"/>
                <w:szCs w:val="18"/>
              </w:rPr>
            </w:pPr>
            <w:r w:rsidRPr="00512284">
              <w:rPr>
                <w:rFonts w:ascii="Arial" w:hAnsi="Arial" w:cs="Arial"/>
                <w:b/>
                <w:sz w:val="18"/>
                <w:szCs w:val="18"/>
              </w:rPr>
              <w:t>3.758</w:t>
            </w:r>
          </w:p>
        </w:tc>
      </w:tr>
      <w:tr w:rsidR="007E2F9F" w:rsidRPr="00512284" w14:paraId="79A2FFD8" w14:textId="77777777" w:rsidTr="006548F8">
        <w:tc>
          <w:tcPr>
            <w:tcW w:w="4253" w:type="dxa"/>
          </w:tcPr>
          <w:p w14:paraId="00102653" w14:textId="77777777" w:rsidR="007E2F9F" w:rsidRPr="00512284" w:rsidRDefault="007E2F9F" w:rsidP="006548F8">
            <w:pPr>
              <w:ind w:right="-1440"/>
              <w:jc w:val="both"/>
              <w:rPr>
                <w:rFonts w:ascii="Arial" w:hAnsi="Arial" w:cs="Arial"/>
                <w:b/>
                <w:sz w:val="18"/>
                <w:szCs w:val="18"/>
                <w:lang w:val="es-ES_tradnl"/>
              </w:rPr>
            </w:pPr>
            <w:r w:rsidRPr="00512284">
              <w:rPr>
                <w:rFonts w:ascii="Arial" w:hAnsi="Arial" w:cs="Arial"/>
                <w:b/>
                <w:sz w:val="18"/>
                <w:szCs w:val="18"/>
                <w:lang w:val="es-ES_tradnl"/>
              </w:rPr>
              <w:t>TOTAL PÉRDIDAS DE APROPIACIÓN</w:t>
            </w:r>
          </w:p>
        </w:tc>
        <w:tc>
          <w:tcPr>
            <w:tcW w:w="1985" w:type="dxa"/>
          </w:tcPr>
          <w:p w14:paraId="069AF8E6" w14:textId="77777777" w:rsidR="007E2F9F" w:rsidRPr="00512284" w:rsidRDefault="007E2F9F" w:rsidP="006548F8">
            <w:pPr>
              <w:pStyle w:val="Prrafodelista"/>
              <w:ind w:left="0"/>
              <w:jc w:val="right"/>
              <w:rPr>
                <w:rFonts w:ascii="Arial" w:hAnsi="Arial" w:cs="Arial"/>
                <w:b/>
                <w:sz w:val="18"/>
                <w:szCs w:val="18"/>
                <w:u w:val="single"/>
              </w:rPr>
            </w:pPr>
            <w:r w:rsidRPr="00512284">
              <w:rPr>
                <w:rFonts w:ascii="Arial" w:eastAsia="Times New Roman" w:hAnsi="Arial" w:cs="Arial"/>
                <w:b/>
                <w:bCs/>
                <w:color w:val="000000"/>
                <w:sz w:val="18"/>
                <w:szCs w:val="18"/>
              </w:rPr>
              <w:t xml:space="preserve">68.480.075   </w:t>
            </w:r>
          </w:p>
        </w:tc>
        <w:tc>
          <w:tcPr>
            <w:tcW w:w="1984" w:type="dxa"/>
          </w:tcPr>
          <w:p w14:paraId="024B529F" w14:textId="77777777" w:rsidR="007E2F9F" w:rsidRPr="00512284" w:rsidRDefault="007E2F9F" w:rsidP="006548F8">
            <w:pPr>
              <w:pStyle w:val="Prrafodelista"/>
              <w:ind w:left="0"/>
              <w:jc w:val="right"/>
              <w:rPr>
                <w:rFonts w:ascii="Arial" w:hAnsi="Arial" w:cs="Arial"/>
                <w:b/>
                <w:sz w:val="18"/>
                <w:szCs w:val="18"/>
                <w:u w:val="single"/>
              </w:rPr>
            </w:pPr>
            <w:r w:rsidRPr="00512284">
              <w:rPr>
                <w:rFonts w:ascii="Arial" w:eastAsia="Times New Roman" w:hAnsi="Arial" w:cs="Arial"/>
                <w:b/>
                <w:bCs/>
                <w:color w:val="000000"/>
                <w:sz w:val="18"/>
                <w:szCs w:val="18"/>
              </w:rPr>
              <w:t xml:space="preserve">         67.636.120   </w:t>
            </w:r>
          </w:p>
        </w:tc>
        <w:tc>
          <w:tcPr>
            <w:tcW w:w="2268" w:type="dxa"/>
          </w:tcPr>
          <w:p w14:paraId="1EAD4E56" w14:textId="77777777" w:rsidR="007E2F9F" w:rsidRPr="00512284" w:rsidRDefault="007E2F9F" w:rsidP="006548F8">
            <w:pPr>
              <w:pStyle w:val="Prrafodelista"/>
              <w:ind w:left="0"/>
              <w:jc w:val="right"/>
              <w:rPr>
                <w:rFonts w:ascii="Arial" w:hAnsi="Arial" w:cs="Arial"/>
                <w:b/>
                <w:sz w:val="18"/>
                <w:szCs w:val="18"/>
                <w:u w:val="single"/>
              </w:rPr>
            </w:pPr>
            <w:r w:rsidRPr="00512284">
              <w:rPr>
                <w:rFonts w:ascii="Arial" w:hAnsi="Arial" w:cs="Arial"/>
                <w:b/>
                <w:sz w:val="18"/>
                <w:szCs w:val="18"/>
                <w:u w:val="single"/>
              </w:rPr>
              <w:t>843.955</w:t>
            </w:r>
          </w:p>
        </w:tc>
      </w:tr>
    </w:tbl>
    <w:p w14:paraId="7D3DEE7C" w14:textId="77777777" w:rsidR="007E2F9F" w:rsidRDefault="007E2F9F" w:rsidP="007E2F9F">
      <w:pPr>
        <w:jc w:val="both"/>
        <w:rPr>
          <w:rFonts w:ascii="Arial" w:hAnsi="Arial" w:cs="Arial"/>
          <w:sz w:val="28"/>
          <w:szCs w:val="28"/>
          <w:lang w:val="es-MX"/>
        </w:rPr>
      </w:pPr>
    </w:p>
    <w:p w14:paraId="4BF31657" w14:textId="77777777" w:rsidR="007E2F9F" w:rsidRPr="00C946EE" w:rsidRDefault="007E2F9F" w:rsidP="007E2F9F">
      <w:pPr>
        <w:ind w:left="-284"/>
        <w:jc w:val="both"/>
        <w:rPr>
          <w:rFonts w:ascii="Arial" w:hAnsi="Arial" w:cs="Arial"/>
          <w:b/>
          <w:sz w:val="28"/>
          <w:szCs w:val="28"/>
          <w:lang w:val="es-MX"/>
        </w:rPr>
      </w:pPr>
      <w:r w:rsidRPr="00C946EE">
        <w:rPr>
          <w:rFonts w:ascii="Arial" w:hAnsi="Arial" w:cs="Arial"/>
          <w:b/>
          <w:sz w:val="28"/>
          <w:szCs w:val="28"/>
          <w:lang w:val="es-MX"/>
        </w:rPr>
        <w:t>27.- INSTITUTO NACIONAL DE METROLOGÍA DE COLOMBIA - INMC.</w:t>
      </w:r>
    </w:p>
    <w:p w14:paraId="47ACD4DB" w14:textId="77777777" w:rsidR="007E2F9F" w:rsidRDefault="007E2F9F" w:rsidP="007E2F9F">
      <w:pPr>
        <w:jc w:val="both"/>
        <w:rPr>
          <w:rFonts w:ascii="Arial" w:hAnsi="Arial" w:cs="Arial"/>
          <w:sz w:val="28"/>
          <w:szCs w:val="28"/>
          <w:lang w:val="es-MX"/>
        </w:rPr>
      </w:pPr>
    </w:p>
    <w:p w14:paraId="4C6EB9D0" w14:textId="77777777" w:rsidR="007E2F9F" w:rsidRPr="00C80868" w:rsidRDefault="007E2F9F" w:rsidP="007E2F9F">
      <w:pPr>
        <w:pStyle w:val="Prrafodelista"/>
        <w:ind w:left="0"/>
        <w:jc w:val="center"/>
        <w:rPr>
          <w:rFonts w:ascii="Arial" w:hAnsi="Arial" w:cs="Arial"/>
          <w:b/>
          <w:sz w:val="24"/>
        </w:rPr>
      </w:pPr>
      <w:r w:rsidRPr="00C80868">
        <w:rPr>
          <w:rFonts w:ascii="Arial" w:hAnsi="Arial" w:cs="Arial"/>
          <w:b/>
          <w:sz w:val="24"/>
        </w:rPr>
        <w:t>Pérdidas de Apropiación en la vigencia 2024.</w:t>
      </w:r>
    </w:p>
    <w:p w14:paraId="4EDB3BC0" w14:textId="77777777" w:rsidR="007E2F9F" w:rsidRPr="00C80868" w:rsidRDefault="007E2F9F" w:rsidP="007E2F9F">
      <w:pPr>
        <w:pStyle w:val="Prrafodelista"/>
        <w:ind w:left="0"/>
        <w:jc w:val="center"/>
        <w:rPr>
          <w:rFonts w:ascii="Arial" w:hAnsi="Arial" w:cs="Arial"/>
          <w:sz w:val="24"/>
        </w:rPr>
      </w:pPr>
      <w:r w:rsidRPr="00C80868">
        <w:rPr>
          <w:rFonts w:ascii="Arial" w:hAnsi="Arial" w:cs="Arial"/>
          <w:sz w:val="24"/>
        </w:rPr>
        <w:t>(Cifras en miles de</w:t>
      </w:r>
      <w:r w:rsidRPr="00C80868">
        <w:rPr>
          <w:rFonts w:ascii="Arial" w:hAnsi="Arial" w:cs="Arial"/>
          <w:spacing w:val="-11"/>
          <w:sz w:val="24"/>
        </w:rPr>
        <w:t xml:space="preserve"> </w:t>
      </w:r>
      <w:r w:rsidRPr="00C80868">
        <w:rPr>
          <w:rFonts w:ascii="Arial" w:hAnsi="Arial" w:cs="Arial"/>
          <w:sz w:val="24"/>
        </w:rPr>
        <w:t>pesos).</w:t>
      </w:r>
    </w:p>
    <w:p w14:paraId="4B9010C3" w14:textId="77777777" w:rsidR="007E2F9F" w:rsidRPr="00C80868"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9D7797" w14:paraId="570EF5B4" w14:textId="77777777" w:rsidTr="006548F8">
        <w:tc>
          <w:tcPr>
            <w:tcW w:w="4253" w:type="dxa"/>
          </w:tcPr>
          <w:p w14:paraId="70DFE4C6" w14:textId="77777777" w:rsidR="007E2F9F" w:rsidRPr="009D7797" w:rsidRDefault="007E2F9F" w:rsidP="006548F8">
            <w:pPr>
              <w:ind w:left="1169" w:right="-1440"/>
              <w:rPr>
                <w:rFonts w:ascii="Arial" w:hAnsi="Arial" w:cs="Arial"/>
                <w:b/>
                <w:sz w:val="18"/>
                <w:szCs w:val="18"/>
                <w:lang w:val="es-ES_tradnl"/>
              </w:rPr>
            </w:pPr>
            <w:r w:rsidRPr="009D7797">
              <w:rPr>
                <w:rFonts w:ascii="Arial" w:hAnsi="Arial" w:cs="Arial"/>
                <w:b/>
                <w:sz w:val="18"/>
                <w:szCs w:val="18"/>
                <w:lang w:val="es-ES_tradnl"/>
              </w:rPr>
              <w:t>TIPO DE GASTO</w:t>
            </w:r>
          </w:p>
        </w:tc>
        <w:tc>
          <w:tcPr>
            <w:tcW w:w="1985" w:type="dxa"/>
          </w:tcPr>
          <w:p w14:paraId="58587B43" w14:textId="77777777" w:rsidR="007E2F9F" w:rsidRPr="009D7797" w:rsidRDefault="007E2F9F" w:rsidP="006548F8">
            <w:pPr>
              <w:jc w:val="center"/>
              <w:rPr>
                <w:rFonts w:ascii="Arial" w:hAnsi="Arial" w:cs="Arial"/>
                <w:b/>
                <w:sz w:val="18"/>
                <w:szCs w:val="18"/>
                <w:lang w:val="es-ES_tradnl"/>
              </w:rPr>
            </w:pPr>
            <w:r w:rsidRPr="009D7797">
              <w:rPr>
                <w:rFonts w:ascii="Arial" w:hAnsi="Arial" w:cs="Arial"/>
                <w:b/>
                <w:sz w:val="18"/>
                <w:szCs w:val="18"/>
                <w:lang w:val="es-ES_tradnl"/>
              </w:rPr>
              <w:t>APROPIACIÓN</w:t>
            </w:r>
          </w:p>
          <w:p w14:paraId="557D9294" w14:textId="77777777" w:rsidR="007E2F9F" w:rsidRPr="009D7797" w:rsidRDefault="007E2F9F" w:rsidP="006548F8">
            <w:pPr>
              <w:jc w:val="center"/>
              <w:rPr>
                <w:rFonts w:ascii="Arial" w:hAnsi="Arial" w:cs="Arial"/>
                <w:b/>
                <w:sz w:val="18"/>
                <w:szCs w:val="18"/>
                <w:lang w:val="es-ES_tradnl"/>
              </w:rPr>
            </w:pPr>
            <w:r w:rsidRPr="009D7797">
              <w:rPr>
                <w:rFonts w:ascii="Arial" w:hAnsi="Arial" w:cs="Arial"/>
                <w:b/>
                <w:sz w:val="18"/>
                <w:szCs w:val="18"/>
                <w:lang w:val="es-ES_tradnl"/>
              </w:rPr>
              <w:t>DEFINITIVA</w:t>
            </w:r>
          </w:p>
          <w:p w14:paraId="4D6D1E6B" w14:textId="77777777" w:rsidR="007E2F9F" w:rsidRPr="009D7797" w:rsidRDefault="007E2F9F" w:rsidP="006548F8">
            <w:pPr>
              <w:jc w:val="center"/>
              <w:rPr>
                <w:rFonts w:ascii="Arial" w:hAnsi="Arial" w:cs="Arial"/>
                <w:b/>
                <w:sz w:val="18"/>
                <w:szCs w:val="18"/>
                <w:lang w:val="es-ES_tradnl"/>
              </w:rPr>
            </w:pPr>
            <w:r w:rsidRPr="009D7797">
              <w:rPr>
                <w:rFonts w:ascii="Arial" w:hAnsi="Arial" w:cs="Arial"/>
                <w:b/>
                <w:sz w:val="18"/>
                <w:szCs w:val="18"/>
                <w:lang w:val="es-ES_tradnl"/>
              </w:rPr>
              <w:t>(1)</w:t>
            </w:r>
          </w:p>
          <w:p w14:paraId="6E34C2DD" w14:textId="77777777" w:rsidR="007E2F9F" w:rsidRPr="009D7797" w:rsidRDefault="007E2F9F" w:rsidP="006548F8">
            <w:pPr>
              <w:jc w:val="center"/>
              <w:rPr>
                <w:rFonts w:ascii="Arial" w:hAnsi="Arial" w:cs="Arial"/>
                <w:b/>
                <w:sz w:val="18"/>
                <w:szCs w:val="18"/>
                <w:lang w:val="es-ES_tradnl"/>
              </w:rPr>
            </w:pPr>
          </w:p>
        </w:tc>
        <w:tc>
          <w:tcPr>
            <w:tcW w:w="1984" w:type="dxa"/>
          </w:tcPr>
          <w:p w14:paraId="792489E0" w14:textId="77777777" w:rsidR="007E2F9F" w:rsidRPr="009D7797" w:rsidRDefault="007E2F9F" w:rsidP="006548F8">
            <w:pPr>
              <w:ind w:left="145" w:right="184"/>
              <w:jc w:val="center"/>
              <w:rPr>
                <w:rFonts w:ascii="Arial" w:hAnsi="Arial" w:cs="Arial"/>
                <w:b/>
                <w:sz w:val="18"/>
                <w:szCs w:val="18"/>
                <w:lang w:val="es-ES_tradnl"/>
              </w:rPr>
            </w:pPr>
            <w:r w:rsidRPr="009D7797">
              <w:rPr>
                <w:rFonts w:ascii="Arial" w:hAnsi="Arial" w:cs="Arial"/>
                <w:b/>
                <w:sz w:val="18"/>
                <w:szCs w:val="18"/>
                <w:lang w:val="es-ES_tradnl"/>
              </w:rPr>
              <w:t>EJECUCIÓN</w:t>
            </w:r>
          </w:p>
          <w:p w14:paraId="09CA3E4E" w14:textId="77777777" w:rsidR="007E2F9F" w:rsidRPr="009D7797" w:rsidRDefault="007E2F9F" w:rsidP="006548F8">
            <w:pPr>
              <w:ind w:right="34"/>
              <w:jc w:val="center"/>
              <w:rPr>
                <w:rFonts w:ascii="Arial" w:hAnsi="Arial" w:cs="Arial"/>
                <w:b/>
                <w:sz w:val="18"/>
                <w:szCs w:val="18"/>
                <w:lang w:val="es-ES_tradnl"/>
              </w:rPr>
            </w:pPr>
            <w:r w:rsidRPr="009D7797">
              <w:rPr>
                <w:rFonts w:ascii="Arial" w:hAnsi="Arial" w:cs="Arial"/>
                <w:b/>
                <w:sz w:val="18"/>
                <w:szCs w:val="18"/>
                <w:lang w:val="es-ES_tradnl"/>
              </w:rPr>
              <w:t>COMPROMISOS</w:t>
            </w:r>
          </w:p>
          <w:p w14:paraId="2EC4E76A" w14:textId="77777777" w:rsidR="007E2F9F" w:rsidRPr="009D7797" w:rsidRDefault="007E2F9F" w:rsidP="006548F8">
            <w:pPr>
              <w:ind w:right="34"/>
              <w:jc w:val="center"/>
              <w:rPr>
                <w:rFonts w:ascii="Arial" w:hAnsi="Arial" w:cs="Arial"/>
                <w:b/>
                <w:sz w:val="18"/>
                <w:szCs w:val="18"/>
                <w:lang w:val="es-ES_tradnl"/>
              </w:rPr>
            </w:pPr>
            <w:r w:rsidRPr="009D7797">
              <w:rPr>
                <w:rFonts w:ascii="Arial" w:hAnsi="Arial" w:cs="Arial"/>
                <w:b/>
                <w:sz w:val="18"/>
                <w:szCs w:val="18"/>
                <w:lang w:val="es-ES_tradnl"/>
              </w:rPr>
              <w:t>(2)</w:t>
            </w:r>
          </w:p>
        </w:tc>
        <w:tc>
          <w:tcPr>
            <w:tcW w:w="2268" w:type="dxa"/>
          </w:tcPr>
          <w:p w14:paraId="52EEA65F" w14:textId="77777777" w:rsidR="007E2F9F" w:rsidRPr="009D7797" w:rsidRDefault="007E2F9F" w:rsidP="006548F8">
            <w:pPr>
              <w:ind w:left="25" w:right="34"/>
              <w:jc w:val="center"/>
              <w:rPr>
                <w:rFonts w:ascii="Arial" w:hAnsi="Arial" w:cs="Arial"/>
                <w:b/>
                <w:sz w:val="18"/>
                <w:szCs w:val="18"/>
                <w:lang w:val="es-ES_tradnl"/>
              </w:rPr>
            </w:pPr>
            <w:r w:rsidRPr="009D7797">
              <w:rPr>
                <w:rFonts w:ascii="Arial" w:hAnsi="Arial" w:cs="Arial"/>
                <w:b/>
                <w:sz w:val="18"/>
                <w:szCs w:val="18"/>
                <w:lang w:val="es-ES_tradnl"/>
              </w:rPr>
              <w:t>PÉRDIDAS DE</w:t>
            </w:r>
          </w:p>
          <w:p w14:paraId="287174B0" w14:textId="77777777" w:rsidR="007E2F9F" w:rsidRPr="009D7797" w:rsidRDefault="007E2F9F" w:rsidP="006548F8">
            <w:pPr>
              <w:ind w:right="34"/>
              <w:jc w:val="center"/>
              <w:rPr>
                <w:rFonts w:ascii="Arial" w:hAnsi="Arial" w:cs="Arial"/>
                <w:b/>
                <w:sz w:val="18"/>
                <w:szCs w:val="18"/>
                <w:lang w:val="es-ES_tradnl"/>
              </w:rPr>
            </w:pPr>
            <w:r w:rsidRPr="009D7797">
              <w:rPr>
                <w:rFonts w:ascii="Arial" w:hAnsi="Arial" w:cs="Arial"/>
                <w:b/>
                <w:sz w:val="18"/>
                <w:szCs w:val="18"/>
                <w:lang w:val="es-ES_tradnl"/>
              </w:rPr>
              <w:t>APROPIACIÓN</w:t>
            </w:r>
          </w:p>
          <w:p w14:paraId="2396462D" w14:textId="77777777" w:rsidR="007E2F9F" w:rsidRPr="009D7797" w:rsidRDefault="007E2F9F" w:rsidP="006548F8">
            <w:pPr>
              <w:ind w:right="34"/>
              <w:jc w:val="center"/>
              <w:rPr>
                <w:rFonts w:ascii="Arial" w:hAnsi="Arial" w:cs="Arial"/>
                <w:b/>
                <w:sz w:val="18"/>
                <w:szCs w:val="18"/>
                <w:lang w:val="es-ES_tradnl"/>
              </w:rPr>
            </w:pPr>
            <w:r w:rsidRPr="009D7797">
              <w:rPr>
                <w:rFonts w:ascii="Arial" w:hAnsi="Arial" w:cs="Arial"/>
                <w:b/>
                <w:sz w:val="18"/>
                <w:szCs w:val="18"/>
                <w:lang w:val="es-ES_tradnl"/>
              </w:rPr>
              <w:t>3 = (1-2)</w:t>
            </w:r>
          </w:p>
        </w:tc>
      </w:tr>
      <w:tr w:rsidR="007E2F9F" w:rsidRPr="009D7797" w14:paraId="19D4D9EB" w14:textId="77777777" w:rsidTr="006548F8">
        <w:trPr>
          <w:trHeight w:val="230"/>
        </w:trPr>
        <w:tc>
          <w:tcPr>
            <w:tcW w:w="4253" w:type="dxa"/>
          </w:tcPr>
          <w:p w14:paraId="73F4CD8F" w14:textId="77777777" w:rsidR="007E2F9F" w:rsidRPr="009D7797" w:rsidRDefault="007E2F9F" w:rsidP="006548F8">
            <w:pPr>
              <w:ind w:right="-1440"/>
              <w:jc w:val="both"/>
              <w:rPr>
                <w:rFonts w:ascii="Arial" w:hAnsi="Arial" w:cs="Arial"/>
                <w:b/>
                <w:sz w:val="18"/>
                <w:szCs w:val="18"/>
                <w:lang w:val="es-ES_tradnl"/>
              </w:rPr>
            </w:pPr>
            <w:r w:rsidRPr="009D7797">
              <w:rPr>
                <w:rFonts w:ascii="Arial" w:hAnsi="Arial" w:cs="Arial"/>
                <w:b/>
                <w:sz w:val="18"/>
                <w:szCs w:val="18"/>
                <w:lang w:val="es-ES_tradnl"/>
              </w:rPr>
              <w:t>FUNCIONAMIENTO</w:t>
            </w:r>
          </w:p>
        </w:tc>
        <w:tc>
          <w:tcPr>
            <w:tcW w:w="1985" w:type="dxa"/>
            <w:vAlign w:val="center"/>
          </w:tcPr>
          <w:p w14:paraId="117ED89E" w14:textId="77777777" w:rsidR="007E2F9F" w:rsidRPr="009D7797" w:rsidRDefault="007E2F9F" w:rsidP="006548F8">
            <w:pPr>
              <w:pStyle w:val="Prrafodelista"/>
              <w:ind w:left="0"/>
              <w:jc w:val="right"/>
              <w:rPr>
                <w:rFonts w:ascii="Arial" w:hAnsi="Arial" w:cs="Arial"/>
                <w:b/>
                <w:sz w:val="18"/>
                <w:szCs w:val="18"/>
              </w:rPr>
            </w:pPr>
            <w:r w:rsidRPr="009D7797">
              <w:rPr>
                <w:rFonts w:ascii="Arial" w:hAnsi="Arial" w:cs="Arial"/>
                <w:b/>
                <w:bCs/>
                <w:color w:val="000000"/>
                <w:sz w:val="18"/>
                <w:szCs w:val="18"/>
              </w:rPr>
              <w:t>22.416.042</w:t>
            </w:r>
          </w:p>
        </w:tc>
        <w:tc>
          <w:tcPr>
            <w:tcW w:w="1984" w:type="dxa"/>
            <w:vAlign w:val="center"/>
          </w:tcPr>
          <w:p w14:paraId="4A48EE01" w14:textId="77777777" w:rsidR="007E2F9F" w:rsidRPr="009D7797" w:rsidRDefault="007E2F9F" w:rsidP="006548F8">
            <w:pPr>
              <w:pStyle w:val="Prrafodelista"/>
              <w:ind w:left="0"/>
              <w:jc w:val="right"/>
              <w:rPr>
                <w:rFonts w:ascii="Arial" w:hAnsi="Arial" w:cs="Arial"/>
                <w:b/>
                <w:sz w:val="18"/>
                <w:szCs w:val="18"/>
              </w:rPr>
            </w:pPr>
            <w:r w:rsidRPr="009D7797">
              <w:rPr>
                <w:rFonts w:ascii="Arial" w:hAnsi="Arial" w:cs="Arial"/>
                <w:b/>
                <w:bCs/>
                <w:color w:val="000000"/>
                <w:sz w:val="18"/>
                <w:szCs w:val="18"/>
              </w:rPr>
              <w:t>21.075.439</w:t>
            </w:r>
          </w:p>
        </w:tc>
        <w:tc>
          <w:tcPr>
            <w:tcW w:w="2268" w:type="dxa"/>
            <w:vAlign w:val="center"/>
          </w:tcPr>
          <w:p w14:paraId="6ADF7693" w14:textId="77777777" w:rsidR="007E2F9F" w:rsidRPr="009D7797" w:rsidRDefault="007E2F9F" w:rsidP="006548F8">
            <w:pPr>
              <w:pStyle w:val="Prrafodelista"/>
              <w:ind w:left="0"/>
              <w:jc w:val="right"/>
              <w:rPr>
                <w:rFonts w:ascii="Arial" w:hAnsi="Arial" w:cs="Arial"/>
                <w:b/>
                <w:sz w:val="18"/>
                <w:szCs w:val="18"/>
              </w:rPr>
            </w:pPr>
            <w:r w:rsidRPr="009D7797">
              <w:rPr>
                <w:rFonts w:ascii="Arial" w:hAnsi="Arial" w:cs="Arial"/>
                <w:b/>
                <w:bCs/>
                <w:color w:val="000000"/>
                <w:sz w:val="18"/>
                <w:szCs w:val="18"/>
              </w:rPr>
              <w:t>1.340.602</w:t>
            </w:r>
          </w:p>
        </w:tc>
      </w:tr>
      <w:tr w:rsidR="007E2F9F" w:rsidRPr="009D7797" w14:paraId="72BF4B55" w14:textId="77777777" w:rsidTr="006548F8">
        <w:tc>
          <w:tcPr>
            <w:tcW w:w="4253" w:type="dxa"/>
          </w:tcPr>
          <w:p w14:paraId="15B8D13C" w14:textId="77777777" w:rsidR="007E2F9F" w:rsidRPr="009D7797" w:rsidRDefault="007E2F9F" w:rsidP="006548F8">
            <w:pPr>
              <w:ind w:right="-1440"/>
              <w:jc w:val="both"/>
              <w:rPr>
                <w:rFonts w:ascii="Arial" w:hAnsi="Arial" w:cs="Arial"/>
                <w:b/>
                <w:sz w:val="18"/>
                <w:szCs w:val="18"/>
                <w:lang w:val="es-ES_tradnl"/>
              </w:rPr>
            </w:pPr>
            <w:r w:rsidRPr="009D7797">
              <w:rPr>
                <w:rFonts w:ascii="Arial" w:hAnsi="Arial" w:cs="Arial"/>
                <w:b/>
                <w:sz w:val="18"/>
                <w:szCs w:val="18"/>
                <w:lang w:val="es-ES_tradnl"/>
              </w:rPr>
              <w:t>INVERSIÓN</w:t>
            </w:r>
          </w:p>
        </w:tc>
        <w:tc>
          <w:tcPr>
            <w:tcW w:w="1985" w:type="dxa"/>
            <w:vAlign w:val="center"/>
          </w:tcPr>
          <w:p w14:paraId="6E3F9B7F" w14:textId="77777777" w:rsidR="007E2F9F" w:rsidRPr="009D7797" w:rsidRDefault="007E2F9F" w:rsidP="006548F8">
            <w:pPr>
              <w:pStyle w:val="Prrafodelista"/>
              <w:ind w:left="0"/>
              <w:jc w:val="right"/>
              <w:rPr>
                <w:rFonts w:ascii="Arial" w:hAnsi="Arial" w:cs="Arial"/>
                <w:b/>
                <w:sz w:val="18"/>
                <w:szCs w:val="18"/>
              </w:rPr>
            </w:pPr>
            <w:r w:rsidRPr="009D7797">
              <w:rPr>
                <w:rFonts w:ascii="Arial" w:hAnsi="Arial" w:cs="Arial"/>
                <w:b/>
                <w:bCs/>
                <w:color w:val="000000"/>
                <w:sz w:val="18"/>
                <w:szCs w:val="18"/>
              </w:rPr>
              <w:t>15.629.203</w:t>
            </w:r>
          </w:p>
        </w:tc>
        <w:tc>
          <w:tcPr>
            <w:tcW w:w="1984" w:type="dxa"/>
            <w:vAlign w:val="center"/>
          </w:tcPr>
          <w:p w14:paraId="193D59E4" w14:textId="77777777" w:rsidR="007E2F9F" w:rsidRPr="009D7797" w:rsidRDefault="007E2F9F" w:rsidP="006548F8">
            <w:pPr>
              <w:pStyle w:val="Prrafodelista"/>
              <w:ind w:left="0"/>
              <w:jc w:val="right"/>
              <w:rPr>
                <w:rFonts w:ascii="Arial" w:hAnsi="Arial" w:cs="Arial"/>
                <w:b/>
                <w:sz w:val="18"/>
                <w:szCs w:val="18"/>
              </w:rPr>
            </w:pPr>
            <w:r w:rsidRPr="009D7797">
              <w:rPr>
                <w:rFonts w:ascii="Arial" w:hAnsi="Arial" w:cs="Arial"/>
                <w:b/>
                <w:bCs/>
                <w:color w:val="000000"/>
                <w:sz w:val="18"/>
                <w:szCs w:val="18"/>
              </w:rPr>
              <w:t>15.019.975</w:t>
            </w:r>
          </w:p>
        </w:tc>
        <w:tc>
          <w:tcPr>
            <w:tcW w:w="2268" w:type="dxa"/>
            <w:vAlign w:val="center"/>
          </w:tcPr>
          <w:p w14:paraId="61AE31F4" w14:textId="77777777" w:rsidR="007E2F9F" w:rsidRPr="009D7797" w:rsidRDefault="007E2F9F" w:rsidP="006548F8">
            <w:pPr>
              <w:pStyle w:val="Prrafodelista"/>
              <w:ind w:left="0"/>
              <w:jc w:val="right"/>
              <w:rPr>
                <w:rFonts w:ascii="Arial" w:hAnsi="Arial" w:cs="Arial"/>
                <w:b/>
                <w:sz w:val="18"/>
                <w:szCs w:val="18"/>
              </w:rPr>
            </w:pPr>
            <w:r w:rsidRPr="009D7797">
              <w:rPr>
                <w:rFonts w:ascii="Arial" w:hAnsi="Arial" w:cs="Arial"/>
                <w:color w:val="000000"/>
                <w:sz w:val="18"/>
                <w:szCs w:val="18"/>
              </w:rPr>
              <w:t>609.228</w:t>
            </w:r>
          </w:p>
        </w:tc>
      </w:tr>
      <w:tr w:rsidR="007E2F9F" w:rsidRPr="009D7797" w14:paraId="6AE23848" w14:textId="77777777" w:rsidTr="006548F8">
        <w:tc>
          <w:tcPr>
            <w:tcW w:w="4253" w:type="dxa"/>
          </w:tcPr>
          <w:p w14:paraId="2FB9F916" w14:textId="77777777" w:rsidR="007E2F9F" w:rsidRPr="009D7797" w:rsidRDefault="007E2F9F" w:rsidP="006548F8">
            <w:pPr>
              <w:ind w:right="-1440"/>
              <w:jc w:val="both"/>
              <w:rPr>
                <w:rFonts w:ascii="Arial" w:hAnsi="Arial" w:cs="Arial"/>
                <w:b/>
                <w:sz w:val="18"/>
                <w:szCs w:val="18"/>
                <w:lang w:val="es-ES_tradnl"/>
              </w:rPr>
            </w:pPr>
            <w:r w:rsidRPr="009D7797">
              <w:rPr>
                <w:rFonts w:ascii="Arial" w:hAnsi="Arial" w:cs="Arial"/>
                <w:b/>
                <w:sz w:val="18"/>
                <w:szCs w:val="18"/>
                <w:lang w:val="es-ES_tradnl"/>
              </w:rPr>
              <w:t>TOTAL PÉRDIDAS DE APROPIACIÓN</w:t>
            </w:r>
          </w:p>
        </w:tc>
        <w:tc>
          <w:tcPr>
            <w:tcW w:w="1985" w:type="dxa"/>
            <w:vAlign w:val="center"/>
          </w:tcPr>
          <w:p w14:paraId="0C95888D" w14:textId="77777777" w:rsidR="007E2F9F" w:rsidRPr="009D7797" w:rsidRDefault="007E2F9F" w:rsidP="006548F8">
            <w:pPr>
              <w:pStyle w:val="Prrafodelista"/>
              <w:ind w:left="0"/>
              <w:jc w:val="right"/>
              <w:rPr>
                <w:rFonts w:ascii="Arial" w:hAnsi="Arial" w:cs="Arial"/>
                <w:b/>
                <w:sz w:val="18"/>
                <w:szCs w:val="18"/>
                <w:u w:val="single"/>
              </w:rPr>
            </w:pPr>
            <w:r w:rsidRPr="009D7797">
              <w:rPr>
                <w:rFonts w:ascii="Arial" w:hAnsi="Arial" w:cs="Arial"/>
                <w:b/>
                <w:bCs/>
                <w:color w:val="000000"/>
                <w:sz w:val="18"/>
                <w:szCs w:val="18"/>
              </w:rPr>
              <w:t>38.045.244</w:t>
            </w:r>
          </w:p>
        </w:tc>
        <w:tc>
          <w:tcPr>
            <w:tcW w:w="1984" w:type="dxa"/>
            <w:vAlign w:val="center"/>
          </w:tcPr>
          <w:p w14:paraId="5FA44E9B" w14:textId="77777777" w:rsidR="007E2F9F" w:rsidRPr="009D7797" w:rsidRDefault="007E2F9F" w:rsidP="006548F8">
            <w:pPr>
              <w:pStyle w:val="Prrafodelista"/>
              <w:ind w:left="0"/>
              <w:jc w:val="right"/>
              <w:rPr>
                <w:rFonts w:ascii="Arial" w:hAnsi="Arial" w:cs="Arial"/>
                <w:b/>
                <w:sz w:val="18"/>
                <w:szCs w:val="18"/>
                <w:u w:val="single"/>
              </w:rPr>
            </w:pPr>
            <w:r w:rsidRPr="009D7797">
              <w:rPr>
                <w:rFonts w:ascii="Arial" w:hAnsi="Arial" w:cs="Arial"/>
                <w:b/>
                <w:bCs/>
                <w:color w:val="000000"/>
                <w:sz w:val="18"/>
                <w:szCs w:val="18"/>
              </w:rPr>
              <w:t>36.095.414</w:t>
            </w:r>
          </w:p>
        </w:tc>
        <w:tc>
          <w:tcPr>
            <w:tcW w:w="2268" w:type="dxa"/>
            <w:vAlign w:val="center"/>
          </w:tcPr>
          <w:p w14:paraId="3D6871CA" w14:textId="77777777" w:rsidR="007E2F9F" w:rsidRPr="009D7797" w:rsidRDefault="007E2F9F" w:rsidP="006548F8">
            <w:pPr>
              <w:pStyle w:val="Prrafodelista"/>
              <w:ind w:left="0"/>
              <w:jc w:val="right"/>
              <w:rPr>
                <w:rFonts w:ascii="Arial" w:hAnsi="Arial" w:cs="Arial"/>
                <w:b/>
                <w:sz w:val="18"/>
                <w:szCs w:val="18"/>
                <w:u w:val="single"/>
              </w:rPr>
            </w:pPr>
            <w:r w:rsidRPr="009D7797">
              <w:rPr>
                <w:rFonts w:ascii="Arial" w:hAnsi="Arial" w:cs="Arial"/>
                <w:b/>
                <w:bCs/>
                <w:color w:val="000000"/>
                <w:sz w:val="18"/>
                <w:szCs w:val="18"/>
                <w:u w:val="single"/>
              </w:rPr>
              <w:t>1.949.830</w:t>
            </w:r>
          </w:p>
        </w:tc>
      </w:tr>
    </w:tbl>
    <w:p w14:paraId="03962390" w14:textId="77777777" w:rsidR="007E2F9F" w:rsidRDefault="007E2F9F" w:rsidP="007E2F9F">
      <w:pPr>
        <w:jc w:val="both"/>
        <w:rPr>
          <w:rFonts w:ascii="Arial" w:hAnsi="Arial" w:cs="Arial"/>
          <w:sz w:val="28"/>
          <w:szCs w:val="28"/>
          <w:lang w:val="es-MX"/>
        </w:rPr>
      </w:pPr>
    </w:p>
    <w:p w14:paraId="31DEF31A" w14:textId="77777777" w:rsidR="007E2F9F" w:rsidRPr="00BB33EA" w:rsidRDefault="007E2F9F" w:rsidP="007E2F9F">
      <w:pPr>
        <w:ind w:left="-284"/>
        <w:jc w:val="both"/>
        <w:rPr>
          <w:rFonts w:ascii="Arial" w:hAnsi="Arial" w:cs="Arial"/>
          <w:b/>
          <w:sz w:val="28"/>
          <w:szCs w:val="28"/>
          <w:lang w:val="es-MX"/>
        </w:rPr>
      </w:pPr>
      <w:r w:rsidRPr="00BB33EA">
        <w:rPr>
          <w:rFonts w:ascii="Arial" w:hAnsi="Arial" w:cs="Arial"/>
          <w:b/>
          <w:sz w:val="28"/>
          <w:szCs w:val="28"/>
          <w:lang w:val="es-MX"/>
        </w:rPr>
        <w:t>28.- SUPERINTENDENCIA DE SOCIEDADES - SUPERSOCIEDADES.</w:t>
      </w:r>
    </w:p>
    <w:p w14:paraId="77D33487"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7C9325E9"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lastRenderedPageBreak/>
        <w:t>(Cifras en miles de</w:t>
      </w:r>
      <w:r w:rsidRPr="000568EF">
        <w:rPr>
          <w:rFonts w:ascii="Arial" w:hAnsi="Arial" w:cs="Arial"/>
          <w:spacing w:val="-11"/>
          <w:sz w:val="24"/>
        </w:rPr>
        <w:t xml:space="preserve"> </w:t>
      </w:r>
      <w:r w:rsidRPr="000568EF">
        <w:rPr>
          <w:rFonts w:ascii="Arial" w:hAnsi="Arial" w:cs="Arial"/>
          <w:sz w:val="24"/>
        </w:rPr>
        <w:t>pesos).</w:t>
      </w:r>
    </w:p>
    <w:p w14:paraId="34225A0D"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0568EF" w14:paraId="66D1575B" w14:textId="77777777" w:rsidTr="006548F8">
        <w:tc>
          <w:tcPr>
            <w:tcW w:w="4253" w:type="dxa"/>
          </w:tcPr>
          <w:p w14:paraId="24E568AF" w14:textId="77777777" w:rsidR="007E2F9F" w:rsidRPr="000568EF" w:rsidRDefault="007E2F9F" w:rsidP="006548F8">
            <w:pPr>
              <w:ind w:left="1169" w:right="-1440"/>
              <w:rPr>
                <w:rFonts w:ascii="Arial" w:hAnsi="Arial" w:cs="Arial"/>
                <w:b/>
                <w:sz w:val="18"/>
                <w:szCs w:val="18"/>
                <w:lang w:val="es-ES_tradnl"/>
              </w:rPr>
            </w:pPr>
            <w:r w:rsidRPr="000568EF">
              <w:rPr>
                <w:rFonts w:ascii="Arial" w:hAnsi="Arial" w:cs="Arial"/>
                <w:b/>
                <w:sz w:val="18"/>
                <w:szCs w:val="18"/>
                <w:lang w:val="es-ES_tradnl"/>
              </w:rPr>
              <w:t>TIPO DE GASTO</w:t>
            </w:r>
          </w:p>
        </w:tc>
        <w:tc>
          <w:tcPr>
            <w:tcW w:w="1985" w:type="dxa"/>
          </w:tcPr>
          <w:p w14:paraId="0FEDD1C0" w14:textId="77777777" w:rsidR="007E2F9F" w:rsidRPr="000568EF" w:rsidRDefault="007E2F9F" w:rsidP="006548F8">
            <w:pPr>
              <w:jc w:val="center"/>
              <w:rPr>
                <w:rFonts w:ascii="Arial" w:hAnsi="Arial" w:cs="Arial"/>
                <w:b/>
                <w:sz w:val="18"/>
                <w:szCs w:val="18"/>
                <w:lang w:val="es-ES_tradnl"/>
              </w:rPr>
            </w:pPr>
            <w:r w:rsidRPr="000568EF">
              <w:rPr>
                <w:rFonts w:ascii="Arial" w:hAnsi="Arial" w:cs="Arial"/>
                <w:b/>
                <w:sz w:val="18"/>
                <w:szCs w:val="18"/>
                <w:lang w:val="es-ES_tradnl"/>
              </w:rPr>
              <w:t>APROPIACIÓN</w:t>
            </w:r>
          </w:p>
          <w:p w14:paraId="319473DD" w14:textId="77777777" w:rsidR="007E2F9F" w:rsidRPr="000568EF" w:rsidRDefault="007E2F9F" w:rsidP="006548F8">
            <w:pPr>
              <w:jc w:val="center"/>
              <w:rPr>
                <w:rFonts w:ascii="Arial" w:hAnsi="Arial" w:cs="Arial"/>
                <w:b/>
                <w:sz w:val="18"/>
                <w:szCs w:val="18"/>
                <w:lang w:val="es-ES_tradnl"/>
              </w:rPr>
            </w:pPr>
            <w:r w:rsidRPr="000568EF">
              <w:rPr>
                <w:rFonts w:ascii="Arial" w:hAnsi="Arial" w:cs="Arial"/>
                <w:b/>
                <w:sz w:val="18"/>
                <w:szCs w:val="18"/>
                <w:lang w:val="es-ES_tradnl"/>
              </w:rPr>
              <w:t>DEFINITIVA</w:t>
            </w:r>
          </w:p>
          <w:p w14:paraId="272DB935" w14:textId="77777777" w:rsidR="007E2F9F" w:rsidRPr="000568EF" w:rsidRDefault="007E2F9F" w:rsidP="006548F8">
            <w:pPr>
              <w:jc w:val="center"/>
              <w:rPr>
                <w:rFonts w:ascii="Arial" w:hAnsi="Arial" w:cs="Arial"/>
                <w:b/>
                <w:sz w:val="18"/>
                <w:szCs w:val="18"/>
                <w:lang w:val="es-ES_tradnl"/>
              </w:rPr>
            </w:pPr>
            <w:r w:rsidRPr="000568EF">
              <w:rPr>
                <w:rFonts w:ascii="Arial" w:hAnsi="Arial" w:cs="Arial"/>
                <w:b/>
                <w:sz w:val="18"/>
                <w:szCs w:val="18"/>
                <w:lang w:val="es-ES_tradnl"/>
              </w:rPr>
              <w:t>(1)</w:t>
            </w:r>
          </w:p>
          <w:p w14:paraId="2026EA84" w14:textId="77777777" w:rsidR="007E2F9F" w:rsidRPr="000568EF" w:rsidRDefault="007E2F9F" w:rsidP="006548F8">
            <w:pPr>
              <w:jc w:val="center"/>
              <w:rPr>
                <w:rFonts w:ascii="Arial" w:hAnsi="Arial" w:cs="Arial"/>
                <w:b/>
                <w:sz w:val="18"/>
                <w:szCs w:val="18"/>
                <w:lang w:val="es-ES_tradnl"/>
              </w:rPr>
            </w:pPr>
          </w:p>
        </w:tc>
        <w:tc>
          <w:tcPr>
            <w:tcW w:w="1984" w:type="dxa"/>
          </w:tcPr>
          <w:p w14:paraId="0FFF8FA4" w14:textId="77777777" w:rsidR="007E2F9F" w:rsidRPr="000568EF" w:rsidRDefault="007E2F9F" w:rsidP="006548F8">
            <w:pPr>
              <w:ind w:left="145" w:right="184"/>
              <w:jc w:val="center"/>
              <w:rPr>
                <w:rFonts w:ascii="Arial" w:hAnsi="Arial" w:cs="Arial"/>
                <w:b/>
                <w:sz w:val="18"/>
                <w:szCs w:val="18"/>
                <w:lang w:val="es-ES_tradnl"/>
              </w:rPr>
            </w:pPr>
            <w:r w:rsidRPr="000568EF">
              <w:rPr>
                <w:rFonts w:ascii="Arial" w:hAnsi="Arial" w:cs="Arial"/>
                <w:b/>
                <w:sz w:val="18"/>
                <w:szCs w:val="18"/>
                <w:lang w:val="es-ES_tradnl"/>
              </w:rPr>
              <w:t>EJECUCIÓN</w:t>
            </w:r>
          </w:p>
          <w:p w14:paraId="5A363735" w14:textId="77777777" w:rsidR="007E2F9F" w:rsidRPr="000568EF" w:rsidRDefault="007E2F9F" w:rsidP="006548F8">
            <w:pPr>
              <w:ind w:right="34"/>
              <w:jc w:val="center"/>
              <w:rPr>
                <w:rFonts w:ascii="Arial" w:hAnsi="Arial" w:cs="Arial"/>
                <w:b/>
                <w:sz w:val="18"/>
                <w:szCs w:val="18"/>
                <w:lang w:val="es-ES_tradnl"/>
              </w:rPr>
            </w:pPr>
            <w:r w:rsidRPr="000568EF">
              <w:rPr>
                <w:rFonts w:ascii="Arial" w:hAnsi="Arial" w:cs="Arial"/>
                <w:b/>
                <w:sz w:val="18"/>
                <w:szCs w:val="18"/>
                <w:lang w:val="es-ES_tradnl"/>
              </w:rPr>
              <w:t>COMPROMISOS</w:t>
            </w:r>
          </w:p>
          <w:p w14:paraId="6CF0C1AB" w14:textId="77777777" w:rsidR="007E2F9F" w:rsidRPr="000568EF" w:rsidRDefault="007E2F9F" w:rsidP="006548F8">
            <w:pPr>
              <w:ind w:right="34"/>
              <w:jc w:val="center"/>
              <w:rPr>
                <w:rFonts w:ascii="Arial" w:hAnsi="Arial" w:cs="Arial"/>
                <w:b/>
                <w:sz w:val="18"/>
                <w:szCs w:val="18"/>
                <w:lang w:val="es-ES_tradnl"/>
              </w:rPr>
            </w:pPr>
            <w:r w:rsidRPr="000568EF">
              <w:rPr>
                <w:rFonts w:ascii="Arial" w:hAnsi="Arial" w:cs="Arial"/>
                <w:b/>
                <w:sz w:val="18"/>
                <w:szCs w:val="18"/>
                <w:lang w:val="es-ES_tradnl"/>
              </w:rPr>
              <w:t>(2)</w:t>
            </w:r>
          </w:p>
        </w:tc>
        <w:tc>
          <w:tcPr>
            <w:tcW w:w="2268" w:type="dxa"/>
          </w:tcPr>
          <w:p w14:paraId="6B42C005" w14:textId="77777777" w:rsidR="007E2F9F" w:rsidRPr="000568EF" w:rsidRDefault="007E2F9F" w:rsidP="006548F8">
            <w:pPr>
              <w:ind w:left="25" w:right="34"/>
              <w:jc w:val="center"/>
              <w:rPr>
                <w:rFonts w:ascii="Arial" w:hAnsi="Arial" w:cs="Arial"/>
                <w:b/>
                <w:sz w:val="18"/>
                <w:szCs w:val="18"/>
                <w:lang w:val="es-ES_tradnl"/>
              </w:rPr>
            </w:pPr>
            <w:r w:rsidRPr="000568EF">
              <w:rPr>
                <w:rFonts w:ascii="Arial" w:hAnsi="Arial" w:cs="Arial"/>
                <w:b/>
                <w:sz w:val="18"/>
                <w:szCs w:val="18"/>
                <w:lang w:val="es-ES_tradnl"/>
              </w:rPr>
              <w:t>PÉRDIDAS DE</w:t>
            </w:r>
          </w:p>
          <w:p w14:paraId="7ACD663D" w14:textId="77777777" w:rsidR="007E2F9F" w:rsidRPr="000568EF" w:rsidRDefault="007E2F9F" w:rsidP="006548F8">
            <w:pPr>
              <w:ind w:right="34"/>
              <w:jc w:val="center"/>
              <w:rPr>
                <w:rFonts w:ascii="Arial" w:hAnsi="Arial" w:cs="Arial"/>
                <w:b/>
                <w:sz w:val="18"/>
                <w:szCs w:val="18"/>
                <w:lang w:val="es-ES_tradnl"/>
              </w:rPr>
            </w:pPr>
            <w:r w:rsidRPr="000568EF">
              <w:rPr>
                <w:rFonts w:ascii="Arial" w:hAnsi="Arial" w:cs="Arial"/>
                <w:b/>
                <w:sz w:val="18"/>
                <w:szCs w:val="18"/>
                <w:lang w:val="es-ES_tradnl"/>
              </w:rPr>
              <w:t>APROPIACIÓN</w:t>
            </w:r>
          </w:p>
          <w:p w14:paraId="34D83E0D" w14:textId="77777777" w:rsidR="007E2F9F" w:rsidRPr="000568EF" w:rsidRDefault="007E2F9F" w:rsidP="006548F8">
            <w:pPr>
              <w:ind w:right="34"/>
              <w:jc w:val="center"/>
              <w:rPr>
                <w:rFonts w:ascii="Arial" w:hAnsi="Arial" w:cs="Arial"/>
                <w:b/>
                <w:sz w:val="18"/>
                <w:szCs w:val="18"/>
                <w:lang w:val="es-ES_tradnl"/>
              </w:rPr>
            </w:pPr>
            <w:r w:rsidRPr="000568EF">
              <w:rPr>
                <w:rFonts w:ascii="Arial" w:hAnsi="Arial" w:cs="Arial"/>
                <w:b/>
                <w:sz w:val="18"/>
                <w:szCs w:val="18"/>
                <w:lang w:val="es-ES_tradnl"/>
              </w:rPr>
              <w:t>3 = (1-2)</w:t>
            </w:r>
          </w:p>
        </w:tc>
      </w:tr>
      <w:tr w:rsidR="007E2F9F" w:rsidRPr="000568EF" w14:paraId="0D37DE55" w14:textId="77777777" w:rsidTr="006548F8">
        <w:trPr>
          <w:trHeight w:val="230"/>
        </w:trPr>
        <w:tc>
          <w:tcPr>
            <w:tcW w:w="4253" w:type="dxa"/>
          </w:tcPr>
          <w:p w14:paraId="081127B6" w14:textId="77777777" w:rsidR="007E2F9F" w:rsidRPr="000568EF" w:rsidRDefault="007E2F9F" w:rsidP="006548F8">
            <w:pPr>
              <w:ind w:right="-1440"/>
              <w:jc w:val="both"/>
              <w:rPr>
                <w:rFonts w:ascii="Arial" w:hAnsi="Arial" w:cs="Arial"/>
                <w:b/>
                <w:sz w:val="18"/>
                <w:szCs w:val="18"/>
                <w:lang w:val="es-ES_tradnl"/>
              </w:rPr>
            </w:pPr>
            <w:r w:rsidRPr="000568EF">
              <w:rPr>
                <w:rFonts w:ascii="Arial" w:hAnsi="Arial" w:cs="Arial"/>
                <w:b/>
                <w:sz w:val="18"/>
                <w:szCs w:val="18"/>
                <w:lang w:val="es-ES_tradnl"/>
              </w:rPr>
              <w:t>FUNCIONAMIENTO</w:t>
            </w:r>
          </w:p>
        </w:tc>
        <w:tc>
          <w:tcPr>
            <w:tcW w:w="1985" w:type="dxa"/>
          </w:tcPr>
          <w:p w14:paraId="152D28F1" w14:textId="77777777" w:rsidR="007E2F9F" w:rsidRPr="000568EF" w:rsidRDefault="007E2F9F" w:rsidP="006548F8">
            <w:pPr>
              <w:pStyle w:val="Prrafodelista"/>
              <w:ind w:left="0"/>
              <w:jc w:val="right"/>
              <w:rPr>
                <w:rFonts w:ascii="Arial" w:hAnsi="Arial" w:cs="Arial"/>
                <w:b/>
                <w:sz w:val="18"/>
                <w:szCs w:val="18"/>
              </w:rPr>
            </w:pPr>
            <w:r w:rsidRPr="000568EF">
              <w:rPr>
                <w:rFonts w:ascii="Arial" w:eastAsia="Calibri" w:hAnsi="Arial" w:cs="Arial"/>
                <w:b/>
                <w:sz w:val="16"/>
                <w:szCs w:val="16"/>
                <w:lang w:val="es-CO"/>
              </w:rPr>
              <w:t>167.459.097,0</w:t>
            </w:r>
          </w:p>
        </w:tc>
        <w:tc>
          <w:tcPr>
            <w:tcW w:w="1984" w:type="dxa"/>
          </w:tcPr>
          <w:p w14:paraId="00886565" w14:textId="77777777" w:rsidR="007E2F9F" w:rsidRPr="000568EF" w:rsidRDefault="007E2F9F" w:rsidP="006548F8">
            <w:pPr>
              <w:pStyle w:val="Prrafodelista"/>
              <w:ind w:left="0"/>
              <w:jc w:val="right"/>
              <w:rPr>
                <w:rFonts w:ascii="Arial" w:hAnsi="Arial" w:cs="Arial"/>
                <w:b/>
                <w:sz w:val="18"/>
                <w:szCs w:val="18"/>
              </w:rPr>
            </w:pPr>
            <w:r w:rsidRPr="000568EF">
              <w:rPr>
                <w:rFonts w:ascii="Arial" w:eastAsia="Calibri" w:hAnsi="Arial" w:cs="Arial"/>
                <w:b/>
                <w:sz w:val="16"/>
                <w:szCs w:val="16"/>
                <w:lang w:val="es-CO"/>
              </w:rPr>
              <w:t>161.686.307,4</w:t>
            </w:r>
          </w:p>
        </w:tc>
        <w:tc>
          <w:tcPr>
            <w:tcW w:w="2268" w:type="dxa"/>
          </w:tcPr>
          <w:p w14:paraId="0BA67DE1" w14:textId="77777777" w:rsidR="007E2F9F" w:rsidRPr="000568EF" w:rsidRDefault="007E2F9F" w:rsidP="006548F8">
            <w:pPr>
              <w:pStyle w:val="Prrafodelista"/>
              <w:ind w:left="0"/>
              <w:jc w:val="right"/>
              <w:rPr>
                <w:rFonts w:ascii="Arial" w:hAnsi="Arial" w:cs="Arial"/>
                <w:b/>
                <w:sz w:val="18"/>
                <w:szCs w:val="18"/>
              </w:rPr>
            </w:pPr>
            <w:r w:rsidRPr="000568EF">
              <w:rPr>
                <w:rFonts w:ascii="Arial" w:hAnsi="Arial" w:cs="Arial"/>
                <w:b/>
                <w:sz w:val="16"/>
                <w:szCs w:val="16"/>
              </w:rPr>
              <w:t>5.772.789,6</w:t>
            </w:r>
          </w:p>
        </w:tc>
      </w:tr>
      <w:tr w:rsidR="007E2F9F" w:rsidRPr="000568EF" w14:paraId="75A88B3C" w14:textId="77777777" w:rsidTr="006548F8">
        <w:tc>
          <w:tcPr>
            <w:tcW w:w="4253" w:type="dxa"/>
          </w:tcPr>
          <w:p w14:paraId="33592DB2" w14:textId="77777777" w:rsidR="007E2F9F" w:rsidRPr="000568EF" w:rsidRDefault="007E2F9F" w:rsidP="006548F8">
            <w:pPr>
              <w:ind w:right="-1440"/>
              <w:jc w:val="both"/>
              <w:rPr>
                <w:rFonts w:ascii="Arial" w:hAnsi="Arial" w:cs="Arial"/>
                <w:b/>
                <w:sz w:val="18"/>
                <w:szCs w:val="18"/>
                <w:lang w:val="es-ES_tradnl"/>
              </w:rPr>
            </w:pPr>
            <w:r w:rsidRPr="000568EF">
              <w:rPr>
                <w:rFonts w:ascii="Arial" w:hAnsi="Arial" w:cs="Arial"/>
                <w:b/>
                <w:sz w:val="18"/>
                <w:szCs w:val="18"/>
                <w:lang w:val="es-ES_tradnl"/>
              </w:rPr>
              <w:t>INVERSIÓN</w:t>
            </w:r>
          </w:p>
        </w:tc>
        <w:tc>
          <w:tcPr>
            <w:tcW w:w="1985" w:type="dxa"/>
          </w:tcPr>
          <w:p w14:paraId="7F3ADA71" w14:textId="77777777" w:rsidR="007E2F9F" w:rsidRPr="000568EF" w:rsidRDefault="007E2F9F" w:rsidP="006548F8">
            <w:pPr>
              <w:pStyle w:val="Prrafodelista"/>
              <w:ind w:left="0"/>
              <w:jc w:val="right"/>
              <w:rPr>
                <w:rFonts w:ascii="Arial" w:hAnsi="Arial" w:cs="Arial"/>
                <w:b/>
                <w:sz w:val="18"/>
                <w:szCs w:val="18"/>
              </w:rPr>
            </w:pPr>
            <w:r w:rsidRPr="000568EF">
              <w:rPr>
                <w:rFonts w:ascii="Arial" w:eastAsia="Calibri" w:hAnsi="Arial" w:cs="Arial"/>
                <w:b/>
                <w:sz w:val="16"/>
                <w:szCs w:val="16"/>
                <w:lang w:val="es-CO"/>
              </w:rPr>
              <w:t>32.309.457,6</w:t>
            </w:r>
          </w:p>
        </w:tc>
        <w:tc>
          <w:tcPr>
            <w:tcW w:w="1984" w:type="dxa"/>
          </w:tcPr>
          <w:p w14:paraId="0FDB2245" w14:textId="77777777" w:rsidR="007E2F9F" w:rsidRPr="000568EF" w:rsidRDefault="007E2F9F" w:rsidP="006548F8">
            <w:pPr>
              <w:pStyle w:val="Prrafodelista"/>
              <w:ind w:left="0"/>
              <w:jc w:val="right"/>
              <w:rPr>
                <w:rFonts w:ascii="Arial" w:hAnsi="Arial" w:cs="Arial"/>
                <w:b/>
                <w:sz w:val="18"/>
                <w:szCs w:val="18"/>
              </w:rPr>
            </w:pPr>
            <w:r w:rsidRPr="000568EF">
              <w:rPr>
                <w:rFonts w:ascii="Arial" w:eastAsia="Calibri" w:hAnsi="Arial" w:cs="Arial"/>
                <w:b/>
                <w:sz w:val="16"/>
                <w:szCs w:val="16"/>
                <w:lang w:val="es-CO"/>
              </w:rPr>
              <w:t>31.324.076,7</w:t>
            </w:r>
          </w:p>
        </w:tc>
        <w:tc>
          <w:tcPr>
            <w:tcW w:w="2268" w:type="dxa"/>
          </w:tcPr>
          <w:p w14:paraId="64BE5AA6" w14:textId="77777777" w:rsidR="007E2F9F" w:rsidRPr="000568EF" w:rsidRDefault="007E2F9F" w:rsidP="006548F8">
            <w:pPr>
              <w:pStyle w:val="Prrafodelista"/>
              <w:ind w:left="0"/>
              <w:jc w:val="right"/>
              <w:rPr>
                <w:rFonts w:ascii="Arial" w:hAnsi="Arial" w:cs="Arial"/>
                <w:b/>
                <w:sz w:val="18"/>
                <w:szCs w:val="18"/>
              </w:rPr>
            </w:pPr>
            <w:r w:rsidRPr="000568EF">
              <w:rPr>
                <w:rFonts w:ascii="Arial" w:hAnsi="Arial" w:cs="Arial"/>
                <w:b/>
                <w:sz w:val="16"/>
                <w:szCs w:val="16"/>
              </w:rPr>
              <w:t>985.380,9</w:t>
            </w:r>
          </w:p>
        </w:tc>
      </w:tr>
      <w:tr w:rsidR="007E2F9F" w:rsidRPr="000568EF" w14:paraId="40EC05B6" w14:textId="77777777" w:rsidTr="006548F8">
        <w:tc>
          <w:tcPr>
            <w:tcW w:w="4253" w:type="dxa"/>
          </w:tcPr>
          <w:p w14:paraId="5DF28371" w14:textId="77777777" w:rsidR="007E2F9F" w:rsidRPr="000568EF" w:rsidRDefault="007E2F9F" w:rsidP="006548F8">
            <w:pPr>
              <w:ind w:right="-1440"/>
              <w:jc w:val="both"/>
              <w:rPr>
                <w:rFonts w:ascii="Arial" w:hAnsi="Arial" w:cs="Arial"/>
                <w:b/>
                <w:sz w:val="18"/>
                <w:szCs w:val="18"/>
                <w:lang w:val="es-ES_tradnl"/>
              </w:rPr>
            </w:pPr>
            <w:r w:rsidRPr="000568EF">
              <w:rPr>
                <w:rFonts w:ascii="Arial" w:hAnsi="Arial" w:cs="Arial"/>
                <w:b/>
                <w:sz w:val="18"/>
                <w:szCs w:val="18"/>
                <w:lang w:val="es-ES_tradnl"/>
              </w:rPr>
              <w:t>TOTAL PÉRDIDAS DE APROPIACIÓN</w:t>
            </w:r>
          </w:p>
        </w:tc>
        <w:tc>
          <w:tcPr>
            <w:tcW w:w="1985" w:type="dxa"/>
          </w:tcPr>
          <w:p w14:paraId="3BA96FA0" w14:textId="77777777" w:rsidR="007E2F9F" w:rsidRPr="000568EF" w:rsidRDefault="007E2F9F" w:rsidP="006548F8">
            <w:pPr>
              <w:pStyle w:val="Prrafodelista"/>
              <w:ind w:left="0"/>
              <w:jc w:val="right"/>
              <w:rPr>
                <w:rFonts w:ascii="Arial" w:hAnsi="Arial" w:cs="Arial"/>
                <w:b/>
                <w:sz w:val="18"/>
                <w:szCs w:val="18"/>
                <w:u w:val="single"/>
              </w:rPr>
            </w:pPr>
            <w:r w:rsidRPr="000568EF">
              <w:rPr>
                <w:rFonts w:ascii="Arial" w:eastAsia="Calibri" w:hAnsi="Arial" w:cs="Arial"/>
                <w:b/>
                <w:sz w:val="16"/>
                <w:szCs w:val="16"/>
                <w:lang w:val="es-CO"/>
              </w:rPr>
              <w:t>199.768.554,6</w:t>
            </w:r>
          </w:p>
        </w:tc>
        <w:tc>
          <w:tcPr>
            <w:tcW w:w="1984" w:type="dxa"/>
          </w:tcPr>
          <w:p w14:paraId="6E2C2457" w14:textId="77777777" w:rsidR="007E2F9F" w:rsidRPr="000568EF" w:rsidRDefault="007E2F9F" w:rsidP="006548F8">
            <w:pPr>
              <w:pStyle w:val="Prrafodelista"/>
              <w:ind w:left="0"/>
              <w:jc w:val="right"/>
              <w:rPr>
                <w:rFonts w:ascii="Arial" w:hAnsi="Arial" w:cs="Arial"/>
                <w:b/>
                <w:sz w:val="18"/>
                <w:szCs w:val="18"/>
                <w:u w:val="single"/>
              </w:rPr>
            </w:pPr>
            <w:r w:rsidRPr="000568EF">
              <w:rPr>
                <w:rFonts w:ascii="Arial" w:eastAsia="Calibri" w:hAnsi="Arial" w:cs="Arial"/>
                <w:b/>
                <w:sz w:val="16"/>
                <w:szCs w:val="16"/>
                <w:lang w:val="es-CO"/>
              </w:rPr>
              <w:t>193.010.384,1</w:t>
            </w:r>
          </w:p>
        </w:tc>
        <w:tc>
          <w:tcPr>
            <w:tcW w:w="2268" w:type="dxa"/>
          </w:tcPr>
          <w:p w14:paraId="2E7B07EE" w14:textId="77777777" w:rsidR="007E2F9F" w:rsidRPr="000568EF" w:rsidRDefault="007E2F9F" w:rsidP="006548F8">
            <w:pPr>
              <w:pStyle w:val="Prrafodelista"/>
              <w:ind w:left="0"/>
              <w:jc w:val="right"/>
              <w:rPr>
                <w:rFonts w:ascii="Arial" w:hAnsi="Arial" w:cs="Arial"/>
                <w:b/>
                <w:sz w:val="18"/>
                <w:szCs w:val="18"/>
                <w:u w:val="single"/>
              </w:rPr>
            </w:pPr>
            <w:r w:rsidRPr="000568EF">
              <w:rPr>
                <w:rFonts w:ascii="Arial" w:hAnsi="Arial" w:cs="Arial"/>
                <w:b/>
                <w:sz w:val="16"/>
                <w:szCs w:val="16"/>
                <w:u w:val="single"/>
              </w:rPr>
              <w:t>6.758.170,5</w:t>
            </w:r>
          </w:p>
        </w:tc>
      </w:tr>
    </w:tbl>
    <w:p w14:paraId="39A3DF33" w14:textId="77777777" w:rsidR="007E2F9F" w:rsidRDefault="007E2F9F" w:rsidP="007E2F9F">
      <w:pPr>
        <w:jc w:val="both"/>
        <w:rPr>
          <w:rFonts w:ascii="Arial" w:hAnsi="Arial" w:cs="Arial"/>
          <w:sz w:val="28"/>
          <w:szCs w:val="28"/>
          <w:lang w:val="es-MX"/>
        </w:rPr>
      </w:pPr>
    </w:p>
    <w:p w14:paraId="5EB67753" w14:textId="77777777" w:rsidR="007E2F9F" w:rsidRPr="00A02198" w:rsidRDefault="007E2F9F" w:rsidP="007E2F9F">
      <w:pPr>
        <w:ind w:left="-284"/>
        <w:jc w:val="both"/>
        <w:rPr>
          <w:rFonts w:ascii="Arial" w:hAnsi="Arial" w:cs="Arial"/>
          <w:b/>
          <w:sz w:val="28"/>
          <w:szCs w:val="28"/>
          <w:lang w:val="es-MX"/>
        </w:rPr>
      </w:pPr>
      <w:r w:rsidRPr="00A02198">
        <w:rPr>
          <w:rFonts w:ascii="Arial" w:hAnsi="Arial" w:cs="Arial"/>
          <w:b/>
          <w:sz w:val="28"/>
          <w:szCs w:val="28"/>
          <w:lang w:val="es-MX"/>
        </w:rPr>
        <w:t>30.- JURISDICCION ESPECIAL PARA LA PAZ - JEP.</w:t>
      </w:r>
    </w:p>
    <w:p w14:paraId="190C9627" w14:textId="77777777" w:rsidR="007E2F9F" w:rsidRDefault="007E2F9F" w:rsidP="007E2F9F">
      <w:pPr>
        <w:jc w:val="both"/>
        <w:rPr>
          <w:rFonts w:ascii="Arial" w:hAnsi="Arial" w:cs="Arial"/>
          <w:sz w:val="28"/>
          <w:szCs w:val="28"/>
          <w:lang w:val="es-MX"/>
        </w:rPr>
      </w:pPr>
    </w:p>
    <w:p w14:paraId="12E91855"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13573745"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3F002FF"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995D4F" w14:paraId="045A1291" w14:textId="77777777" w:rsidTr="006548F8">
        <w:tc>
          <w:tcPr>
            <w:tcW w:w="4253" w:type="dxa"/>
          </w:tcPr>
          <w:p w14:paraId="79AFBB90" w14:textId="77777777" w:rsidR="007E2F9F" w:rsidRPr="00995D4F" w:rsidRDefault="007E2F9F" w:rsidP="006548F8">
            <w:pPr>
              <w:ind w:left="1169" w:right="-1440"/>
              <w:rPr>
                <w:rFonts w:ascii="Arial" w:hAnsi="Arial" w:cs="Arial"/>
                <w:b/>
                <w:sz w:val="18"/>
                <w:szCs w:val="18"/>
                <w:lang w:val="es-ES_tradnl"/>
              </w:rPr>
            </w:pPr>
            <w:r w:rsidRPr="00995D4F">
              <w:rPr>
                <w:rFonts w:ascii="Arial" w:hAnsi="Arial" w:cs="Arial"/>
                <w:b/>
                <w:sz w:val="18"/>
                <w:szCs w:val="18"/>
                <w:lang w:val="es-ES_tradnl"/>
              </w:rPr>
              <w:t>TIPO DE GASTO</w:t>
            </w:r>
          </w:p>
        </w:tc>
        <w:tc>
          <w:tcPr>
            <w:tcW w:w="1985" w:type="dxa"/>
          </w:tcPr>
          <w:p w14:paraId="65BB75BA" w14:textId="77777777" w:rsidR="007E2F9F" w:rsidRPr="00995D4F" w:rsidRDefault="007E2F9F" w:rsidP="006548F8">
            <w:pPr>
              <w:jc w:val="center"/>
              <w:rPr>
                <w:rFonts w:ascii="Arial" w:hAnsi="Arial" w:cs="Arial"/>
                <w:b/>
                <w:sz w:val="18"/>
                <w:szCs w:val="18"/>
                <w:lang w:val="es-ES_tradnl"/>
              </w:rPr>
            </w:pPr>
            <w:r w:rsidRPr="00995D4F">
              <w:rPr>
                <w:rFonts w:ascii="Arial" w:hAnsi="Arial" w:cs="Arial"/>
                <w:b/>
                <w:sz w:val="18"/>
                <w:szCs w:val="18"/>
                <w:lang w:val="es-ES_tradnl"/>
              </w:rPr>
              <w:t>APROPIACIÓN</w:t>
            </w:r>
          </w:p>
          <w:p w14:paraId="63A0487E" w14:textId="77777777" w:rsidR="007E2F9F" w:rsidRPr="00995D4F" w:rsidRDefault="007E2F9F" w:rsidP="006548F8">
            <w:pPr>
              <w:jc w:val="center"/>
              <w:rPr>
                <w:rFonts w:ascii="Arial" w:hAnsi="Arial" w:cs="Arial"/>
                <w:b/>
                <w:sz w:val="18"/>
                <w:szCs w:val="18"/>
                <w:lang w:val="es-ES_tradnl"/>
              </w:rPr>
            </w:pPr>
            <w:r w:rsidRPr="00995D4F">
              <w:rPr>
                <w:rFonts w:ascii="Arial" w:hAnsi="Arial" w:cs="Arial"/>
                <w:b/>
                <w:sz w:val="18"/>
                <w:szCs w:val="18"/>
                <w:lang w:val="es-ES_tradnl"/>
              </w:rPr>
              <w:t>DEFINITIVA</w:t>
            </w:r>
          </w:p>
          <w:p w14:paraId="170A0782" w14:textId="77777777" w:rsidR="007E2F9F" w:rsidRPr="00995D4F" w:rsidRDefault="007E2F9F" w:rsidP="006548F8">
            <w:pPr>
              <w:jc w:val="center"/>
              <w:rPr>
                <w:rFonts w:ascii="Arial" w:hAnsi="Arial" w:cs="Arial"/>
                <w:b/>
                <w:sz w:val="18"/>
                <w:szCs w:val="18"/>
                <w:lang w:val="es-ES_tradnl"/>
              </w:rPr>
            </w:pPr>
            <w:r w:rsidRPr="00995D4F">
              <w:rPr>
                <w:rFonts w:ascii="Arial" w:hAnsi="Arial" w:cs="Arial"/>
                <w:b/>
                <w:sz w:val="18"/>
                <w:szCs w:val="18"/>
                <w:lang w:val="es-ES_tradnl"/>
              </w:rPr>
              <w:t>(1)</w:t>
            </w:r>
          </w:p>
          <w:p w14:paraId="76CEB1C2" w14:textId="77777777" w:rsidR="007E2F9F" w:rsidRPr="00995D4F" w:rsidRDefault="007E2F9F" w:rsidP="006548F8">
            <w:pPr>
              <w:jc w:val="center"/>
              <w:rPr>
                <w:rFonts w:ascii="Arial" w:hAnsi="Arial" w:cs="Arial"/>
                <w:b/>
                <w:sz w:val="18"/>
                <w:szCs w:val="18"/>
                <w:lang w:val="es-ES_tradnl"/>
              </w:rPr>
            </w:pPr>
          </w:p>
        </w:tc>
        <w:tc>
          <w:tcPr>
            <w:tcW w:w="1984" w:type="dxa"/>
          </w:tcPr>
          <w:p w14:paraId="72864DC5" w14:textId="77777777" w:rsidR="007E2F9F" w:rsidRPr="00995D4F" w:rsidRDefault="007E2F9F" w:rsidP="006548F8">
            <w:pPr>
              <w:ind w:left="145" w:right="184"/>
              <w:jc w:val="center"/>
              <w:rPr>
                <w:rFonts w:ascii="Arial" w:hAnsi="Arial" w:cs="Arial"/>
                <w:b/>
                <w:sz w:val="18"/>
                <w:szCs w:val="18"/>
                <w:lang w:val="es-ES_tradnl"/>
              </w:rPr>
            </w:pPr>
            <w:r w:rsidRPr="00995D4F">
              <w:rPr>
                <w:rFonts w:ascii="Arial" w:hAnsi="Arial" w:cs="Arial"/>
                <w:b/>
                <w:sz w:val="18"/>
                <w:szCs w:val="18"/>
                <w:lang w:val="es-ES_tradnl"/>
              </w:rPr>
              <w:t>EJECUCIÓN</w:t>
            </w:r>
          </w:p>
          <w:p w14:paraId="256266CB" w14:textId="77777777" w:rsidR="007E2F9F" w:rsidRPr="00995D4F" w:rsidRDefault="007E2F9F" w:rsidP="006548F8">
            <w:pPr>
              <w:ind w:right="34"/>
              <w:jc w:val="center"/>
              <w:rPr>
                <w:rFonts w:ascii="Arial" w:hAnsi="Arial" w:cs="Arial"/>
                <w:b/>
                <w:sz w:val="18"/>
                <w:szCs w:val="18"/>
                <w:lang w:val="es-ES_tradnl"/>
              </w:rPr>
            </w:pPr>
            <w:r w:rsidRPr="00995D4F">
              <w:rPr>
                <w:rFonts w:ascii="Arial" w:hAnsi="Arial" w:cs="Arial"/>
                <w:b/>
                <w:sz w:val="18"/>
                <w:szCs w:val="18"/>
                <w:lang w:val="es-ES_tradnl"/>
              </w:rPr>
              <w:t>COMPROMISOS</w:t>
            </w:r>
          </w:p>
          <w:p w14:paraId="4B0E46B2" w14:textId="77777777" w:rsidR="007E2F9F" w:rsidRPr="00995D4F" w:rsidRDefault="007E2F9F" w:rsidP="006548F8">
            <w:pPr>
              <w:ind w:right="34"/>
              <w:jc w:val="center"/>
              <w:rPr>
                <w:rFonts w:ascii="Arial" w:hAnsi="Arial" w:cs="Arial"/>
                <w:b/>
                <w:sz w:val="18"/>
                <w:szCs w:val="18"/>
                <w:lang w:val="es-ES_tradnl"/>
              </w:rPr>
            </w:pPr>
            <w:r w:rsidRPr="00995D4F">
              <w:rPr>
                <w:rFonts w:ascii="Arial" w:hAnsi="Arial" w:cs="Arial"/>
                <w:b/>
                <w:sz w:val="18"/>
                <w:szCs w:val="18"/>
                <w:lang w:val="es-ES_tradnl"/>
              </w:rPr>
              <w:t>(2)</w:t>
            </w:r>
          </w:p>
        </w:tc>
        <w:tc>
          <w:tcPr>
            <w:tcW w:w="2268" w:type="dxa"/>
          </w:tcPr>
          <w:p w14:paraId="7DBB0968" w14:textId="77777777" w:rsidR="007E2F9F" w:rsidRPr="00995D4F" w:rsidRDefault="007E2F9F" w:rsidP="006548F8">
            <w:pPr>
              <w:ind w:left="25" w:right="34"/>
              <w:jc w:val="center"/>
              <w:rPr>
                <w:rFonts w:ascii="Arial" w:hAnsi="Arial" w:cs="Arial"/>
                <w:b/>
                <w:sz w:val="18"/>
                <w:szCs w:val="18"/>
                <w:lang w:val="es-ES_tradnl"/>
              </w:rPr>
            </w:pPr>
            <w:r w:rsidRPr="00995D4F">
              <w:rPr>
                <w:rFonts w:ascii="Arial" w:hAnsi="Arial" w:cs="Arial"/>
                <w:b/>
                <w:sz w:val="18"/>
                <w:szCs w:val="18"/>
                <w:lang w:val="es-ES_tradnl"/>
              </w:rPr>
              <w:t>PÉRDIDAS DE</w:t>
            </w:r>
          </w:p>
          <w:p w14:paraId="0B64C675" w14:textId="77777777" w:rsidR="007E2F9F" w:rsidRPr="00995D4F" w:rsidRDefault="007E2F9F" w:rsidP="006548F8">
            <w:pPr>
              <w:ind w:right="34"/>
              <w:jc w:val="center"/>
              <w:rPr>
                <w:rFonts w:ascii="Arial" w:hAnsi="Arial" w:cs="Arial"/>
                <w:b/>
                <w:sz w:val="18"/>
                <w:szCs w:val="18"/>
                <w:lang w:val="es-ES_tradnl"/>
              </w:rPr>
            </w:pPr>
            <w:r w:rsidRPr="00995D4F">
              <w:rPr>
                <w:rFonts w:ascii="Arial" w:hAnsi="Arial" w:cs="Arial"/>
                <w:b/>
                <w:sz w:val="18"/>
                <w:szCs w:val="18"/>
                <w:lang w:val="es-ES_tradnl"/>
              </w:rPr>
              <w:t>APROPIACIÓN</w:t>
            </w:r>
          </w:p>
          <w:p w14:paraId="341E2ABB" w14:textId="77777777" w:rsidR="007E2F9F" w:rsidRPr="00995D4F" w:rsidRDefault="007E2F9F" w:rsidP="006548F8">
            <w:pPr>
              <w:ind w:right="34"/>
              <w:jc w:val="center"/>
              <w:rPr>
                <w:rFonts w:ascii="Arial" w:hAnsi="Arial" w:cs="Arial"/>
                <w:b/>
                <w:sz w:val="18"/>
                <w:szCs w:val="18"/>
                <w:lang w:val="es-ES_tradnl"/>
              </w:rPr>
            </w:pPr>
            <w:r w:rsidRPr="00995D4F">
              <w:rPr>
                <w:rFonts w:ascii="Arial" w:hAnsi="Arial" w:cs="Arial"/>
                <w:b/>
                <w:sz w:val="18"/>
                <w:szCs w:val="18"/>
                <w:lang w:val="es-ES_tradnl"/>
              </w:rPr>
              <w:t>3 = (1-2)</w:t>
            </w:r>
          </w:p>
        </w:tc>
      </w:tr>
      <w:tr w:rsidR="007E2F9F" w:rsidRPr="00995D4F" w14:paraId="6717934D" w14:textId="77777777" w:rsidTr="006548F8">
        <w:trPr>
          <w:trHeight w:val="230"/>
        </w:trPr>
        <w:tc>
          <w:tcPr>
            <w:tcW w:w="4253" w:type="dxa"/>
          </w:tcPr>
          <w:p w14:paraId="0E86F4DC" w14:textId="77777777" w:rsidR="007E2F9F" w:rsidRPr="00995D4F" w:rsidRDefault="007E2F9F" w:rsidP="006548F8">
            <w:pPr>
              <w:ind w:right="-1440"/>
              <w:jc w:val="both"/>
              <w:rPr>
                <w:rFonts w:ascii="Arial" w:hAnsi="Arial" w:cs="Arial"/>
                <w:b/>
                <w:sz w:val="18"/>
                <w:szCs w:val="18"/>
                <w:lang w:val="es-ES_tradnl"/>
              </w:rPr>
            </w:pPr>
            <w:r w:rsidRPr="00995D4F">
              <w:rPr>
                <w:rFonts w:ascii="Arial" w:hAnsi="Arial" w:cs="Arial"/>
                <w:b/>
                <w:sz w:val="18"/>
                <w:szCs w:val="18"/>
                <w:lang w:val="es-ES_tradnl"/>
              </w:rPr>
              <w:t>FUNCIONAMIENTO</w:t>
            </w:r>
          </w:p>
        </w:tc>
        <w:tc>
          <w:tcPr>
            <w:tcW w:w="1985" w:type="dxa"/>
            <w:vAlign w:val="bottom"/>
          </w:tcPr>
          <w:p w14:paraId="6A6C4787" w14:textId="77777777" w:rsidR="007E2F9F" w:rsidRPr="00995D4F" w:rsidRDefault="007E2F9F" w:rsidP="006548F8">
            <w:pPr>
              <w:pStyle w:val="Prrafodelista"/>
              <w:ind w:left="0"/>
              <w:jc w:val="right"/>
              <w:rPr>
                <w:rFonts w:ascii="Arial" w:hAnsi="Arial" w:cs="Arial"/>
                <w:b/>
                <w:sz w:val="18"/>
                <w:szCs w:val="18"/>
              </w:rPr>
            </w:pPr>
            <w:r w:rsidRPr="00995D4F">
              <w:rPr>
                <w:rFonts w:ascii="Arial" w:eastAsia="Times New Roman" w:hAnsi="Arial" w:cs="Arial"/>
                <w:b/>
                <w:bCs/>
                <w:color w:val="000000"/>
                <w:sz w:val="18"/>
                <w:szCs w:val="18"/>
                <w:lang w:val="es-MX" w:eastAsia="es-MX"/>
              </w:rPr>
              <w:t>494.224.971</w:t>
            </w:r>
          </w:p>
        </w:tc>
        <w:tc>
          <w:tcPr>
            <w:tcW w:w="1984" w:type="dxa"/>
            <w:vAlign w:val="bottom"/>
          </w:tcPr>
          <w:p w14:paraId="5700FB4E" w14:textId="77777777" w:rsidR="007E2F9F" w:rsidRPr="00995D4F" w:rsidRDefault="007E2F9F" w:rsidP="006548F8">
            <w:pPr>
              <w:pStyle w:val="Prrafodelista"/>
              <w:ind w:left="0"/>
              <w:jc w:val="right"/>
              <w:rPr>
                <w:rFonts w:ascii="Arial" w:hAnsi="Arial" w:cs="Arial"/>
                <w:b/>
                <w:sz w:val="18"/>
                <w:szCs w:val="18"/>
              </w:rPr>
            </w:pPr>
            <w:r w:rsidRPr="00995D4F">
              <w:rPr>
                <w:rFonts w:ascii="Arial" w:eastAsia="Times New Roman" w:hAnsi="Arial" w:cs="Arial"/>
                <w:b/>
                <w:bCs/>
                <w:color w:val="000000"/>
                <w:sz w:val="18"/>
                <w:szCs w:val="18"/>
                <w:lang w:val="es-MX" w:eastAsia="es-MX"/>
              </w:rPr>
              <w:t>488.167.188</w:t>
            </w:r>
          </w:p>
        </w:tc>
        <w:tc>
          <w:tcPr>
            <w:tcW w:w="2268" w:type="dxa"/>
            <w:vAlign w:val="bottom"/>
          </w:tcPr>
          <w:p w14:paraId="5BB5C370" w14:textId="77777777" w:rsidR="007E2F9F" w:rsidRPr="00995D4F" w:rsidRDefault="007E2F9F" w:rsidP="006548F8">
            <w:pPr>
              <w:pStyle w:val="Prrafodelista"/>
              <w:ind w:left="0"/>
              <w:jc w:val="right"/>
              <w:rPr>
                <w:rFonts w:ascii="Arial" w:hAnsi="Arial" w:cs="Arial"/>
                <w:b/>
                <w:sz w:val="18"/>
                <w:szCs w:val="18"/>
              </w:rPr>
            </w:pPr>
            <w:r w:rsidRPr="00995D4F">
              <w:rPr>
                <w:rFonts w:ascii="Arial" w:eastAsia="Times New Roman" w:hAnsi="Arial" w:cs="Arial"/>
                <w:b/>
                <w:bCs/>
                <w:color w:val="000000"/>
                <w:sz w:val="18"/>
                <w:szCs w:val="18"/>
                <w:lang w:val="es-MX" w:eastAsia="es-MX"/>
              </w:rPr>
              <w:t>6.057.783</w:t>
            </w:r>
          </w:p>
        </w:tc>
      </w:tr>
      <w:tr w:rsidR="007E2F9F" w:rsidRPr="00995D4F" w14:paraId="358282CD" w14:textId="77777777" w:rsidTr="006548F8">
        <w:tc>
          <w:tcPr>
            <w:tcW w:w="4253" w:type="dxa"/>
          </w:tcPr>
          <w:p w14:paraId="0E7AD53B" w14:textId="77777777" w:rsidR="007E2F9F" w:rsidRPr="00995D4F" w:rsidRDefault="007E2F9F" w:rsidP="006548F8">
            <w:pPr>
              <w:ind w:right="-1440"/>
              <w:jc w:val="both"/>
              <w:rPr>
                <w:rFonts w:ascii="Arial" w:hAnsi="Arial" w:cs="Arial"/>
                <w:b/>
                <w:sz w:val="18"/>
                <w:szCs w:val="18"/>
                <w:lang w:val="es-ES_tradnl"/>
              </w:rPr>
            </w:pPr>
            <w:r w:rsidRPr="00995D4F">
              <w:rPr>
                <w:rFonts w:ascii="Arial" w:hAnsi="Arial" w:cs="Arial"/>
                <w:b/>
                <w:sz w:val="18"/>
                <w:szCs w:val="18"/>
                <w:lang w:val="es-ES_tradnl"/>
              </w:rPr>
              <w:t>INVERSIÓN</w:t>
            </w:r>
          </w:p>
        </w:tc>
        <w:tc>
          <w:tcPr>
            <w:tcW w:w="1985" w:type="dxa"/>
            <w:vAlign w:val="bottom"/>
          </w:tcPr>
          <w:p w14:paraId="1952ED43" w14:textId="77777777" w:rsidR="007E2F9F" w:rsidRPr="00995D4F" w:rsidRDefault="007E2F9F" w:rsidP="006548F8">
            <w:pPr>
              <w:pStyle w:val="Prrafodelista"/>
              <w:ind w:left="0"/>
              <w:jc w:val="right"/>
              <w:rPr>
                <w:rFonts w:ascii="Arial" w:hAnsi="Arial" w:cs="Arial"/>
                <w:b/>
                <w:sz w:val="18"/>
                <w:szCs w:val="18"/>
              </w:rPr>
            </w:pPr>
            <w:r w:rsidRPr="00995D4F">
              <w:rPr>
                <w:rFonts w:ascii="Arial" w:eastAsia="Times New Roman" w:hAnsi="Arial" w:cs="Arial"/>
                <w:b/>
                <w:bCs/>
                <w:color w:val="000000"/>
                <w:sz w:val="18"/>
                <w:szCs w:val="18"/>
                <w:lang w:val="es-MX" w:eastAsia="es-MX"/>
              </w:rPr>
              <w:t>177.875.028</w:t>
            </w:r>
          </w:p>
        </w:tc>
        <w:tc>
          <w:tcPr>
            <w:tcW w:w="1984" w:type="dxa"/>
            <w:vAlign w:val="bottom"/>
          </w:tcPr>
          <w:p w14:paraId="1D64D8FE" w14:textId="77777777" w:rsidR="007E2F9F" w:rsidRPr="00995D4F" w:rsidRDefault="007E2F9F" w:rsidP="006548F8">
            <w:pPr>
              <w:pStyle w:val="Prrafodelista"/>
              <w:ind w:left="0"/>
              <w:jc w:val="right"/>
              <w:rPr>
                <w:rFonts w:ascii="Arial" w:hAnsi="Arial" w:cs="Arial"/>
                <w:b/>
                <w:sz w:val="18"/>
                <w:szCs w:val="18"/>
              </w:rPr>
            </w:pPr>
            <w:r w:rsidRPr="00995D4F">
              <w:rPr>
                <w:rFonts w:ascii="Arial" w:eastAsia="Times New Roman" w:hAnsi="Arial" w:cs="Arial"/>
                <w:b/>
                <w:bCs/>
                <w:color w:val="000000"/>
                <w:sz w:val="18"/>
                <w:szCs w:val="18"/>
                <w:lang w:val="es-MX" w:eastAsia="es-MX"/>
              </w:rPr>
              <w:t>173.049.164</w:t>
            </w:r>
          </w:p>
        </w:tc>
        <w:tc>
          <w:tcPr>
            <w:tcW w:w="2268" w:type="dxa"/>
            <w:vAlign w:val="bottom"/>
          </w:tcPr>
          <w:p w14:paraId="40E53DD9" w14:textId="77777777" w:rsidR="007E2F9F" w:rsidRPr="00995D4F" w:rsidRDefault="007E2F9F" w:rsidP="006548F8">
            <w:pPr>
              <w:pStyle w:val="Prrafodelista"/>
              <w:ind w:left="0"/>
              <w:jc w:val="right"/>
              <w:rPr>
                <w:rFonts w:ascii="Arial" w:hAnsi="Arial" w:cs="Arial"/>
                <w:b/>
                <w:sz w:val="18"/>
                <w:szCs w:val="18"/>
              </w:rPr>
            </w:pPr>
            <w:r w:rsidRPr="00995D4F">
              <w:rPr>
                <w:rFonts w:ascii="Arial" w:eastAsia="Times New Roman" w:hAnsi="Arial" w:cs="Arial"/>
                <w:b/>
                <w:bCs/>
                <w:color w:val="000000"/>
                <w:sz w:val="18"/>
                <w:szCs w:val="18"/>
                <w:lang w:val="es-MX" w:eastAsia="es-MX"/>
              </w:rPr>
              <w:t>4.825.865</w:t>
            </w:r>
          </w:p>
        </w:tc>
      </w:tr>
      <w:tr w:rsidR="007E2F9F" w:rsidRPr="00995D4F" w14:paraId="43C6E252" w14:textId="77777777" w:rsidTr="006548F8">
        <w:tc>
          <w:tcPr>
            <w:tcW w:w="4253" w:type="dxa"/>
          </w:tcPr>
          <w:p w14:paraId="6AE0CB8F" w14:textId="77777777" w:rsidR="007E2F9F" w:rsidRPr="00995D4F" w:rsidRDefault="007E2F9F" w:rsidP="006548F8">
            <w:pPr>
              <w:ind w:right="-1440"/>
              <w:jc w:val="both"/>
              <w:rPr>
                <w:rFonts w:ascii="Arial" w:hAnsi="Arial" w:cs="Arial"/>
                <w:b/>
                <w:sz w:val="18"/>
                <w:szCs w:val="18"/>
                <w:lang w:val="es-ES_tradnl"/>
              </w:rPr>
            </w:pPr>
            <w:r w:rsidRPr="00995D4F">
              <w:rPr>
                <w:rFonts w:ascii="Arial" w:hAnsi="Arial" w:cs="Arial"/>
                <w:b/>
                <w:sz w:val="18"/>
                <w:szCs w:val="18"/>
                <w:lang w:val="es-ES_tradnl"/>
              </w:rPr>
              <w:t>TOTAL PÉRDIDAS DE APROPIACIÓN</w:t>
            </w:r>
          </w:p>
        </w:tc>
        <w:tc>
          <w:tcPr>
            <w:tcW w:w="1985" w:type="dxa"/>
            <w:vAlign w:val="bottom"/>
          </w:tcPr>
          <w:p w14:paraId="4CEE2C07" w14:textId="77777777" w:rsidR="007E2F9F" w:rsidRPr="00995D4F" w:rsidRDefault="007E2F9F" w:rsidP="006548F8">
            <w:pPr>
              <w:pStyle w:val="Prrafodelista"/>
              <w:ind w:left="0"/>
              <w:jc w:val="right"/>
              <w:rPr>
                <w:rFonts w:ascii="Arial" w:hAnsi="Arial" w:cs="Arial"/>
                <w:b/>
                <w:sz w:val="18"/>
                <w:szCs w:val="18"/>
                <w:u w:val="single"/>
              </w:rPr>
            </w:pPr>
            <w:r w:rsidRPr="00995D4F">
              <w:rPr>
                <w:rFonts w:ascii="Arial" w:eastAsia="Times New Roman" w:hAnsi="Arial" w:cs="Arial"/>
                <w:b/>
                <w:bCs/>
                <w:color w:val="000000"/>
                <w:sz w:val="18"/>
                <w:szCs w:val="18"/>
                <w:lang w:val="es-MX" w:eastAsia="es-MX"/>
              </w:rPr>
              <w:t>672.099.999</w:t>
            </w:r>
          </w:p>
        </w:tc>
        <w:tc>
          <w:tcPr>
            <w:tcW w:w="1984" w:type="dxa"/>
            <w:vAlign w:val="bottom"/>
          </w:tcPr>
          <w:p w14:paraId="681BE4C7" w14:textId="77777777" w:rsidR="007E2F9F" w:rsidRPr="00995D4F" w:rsidRDefault="007E2F9F" w:rsidP="006548F8">
            <w:pPr>
              <w:pStyle w:val="Prrafodelista"/>
              <w:ind w:left="0"/>
              <w:jc w:val="right"/>
              <w:rPr>
                <w:rFonts w:ascii="Arial" w:hAnsi="Arial" w:cs="Arial"/>
                <w:b/>
                <w:sz w:val="18"/>
                <w:szCs w:val="18"/>
                <w:u w:val="single"/>
              </w:rPr>
            </w:pPr>
            <w:r w:rsidRPr="00995D4F">
              <w:rPr>
                <w:rFonts w:ascii="Arial" w:eastAsia="Times New Roman" w:hAnsi="Arial" w:cs="Arial"/>
                <w:b/>
                <w:bCs/>
                <w:color w:val="000000"/>
                <w:sz w:val="18"/>
                <w:szCs w:val="18"/>
                <w:lang w:val="es-MX" w:eastAsia="es-MX"/>
              </w:rPr>
              <w:t>661.216.351</w:t>
            </w:r>
          </w:p>
        </w:tc>
        <w:tc>
          <w:tcPr>
            <w:tcW w:w="2268" w:type="dxa"/>
            <w:vAlign w:val="bottom"/>
          </w:tcPr>
          <w:p w14:paraId="11249723" w14:textId="77777777" w:rsidR="007E2F9F" w:rsidRPr="00995D4F" w:rsidRDefault="007E2F9F" w:rsidP="006548F8">
            <w:pPr>
              <w:pStyle w:val="Prrafodelista"/>
              <w:ind w:left="0"/>
              <w:jc w:val="right"/>
              <w:rPr>
                <w:rFonts w:ascii="Arial" w:hAnsi="Arial" w:cs="Arial"/>
                <w:b/>
                <w:sz w:val="18"/>
                <w:szCs w:val="18"/>
                <w:u w:val="single"/>
              </w:rPr>
            </w:pPr>
            <w:r w:rsidRPr="00995D4F">
              <w:rPr>
                <w:rFonts w:ascii="Arial" w:eastAsia="Times New Roman" w:hAnsi="Arial" w:cs="Arial"/>
                <w:b/>
                <w:bCs/>
                <w:color w:val="000000"/>
                <w:sz w:val="18"/>
                <w:szCs w:val="18"/>
                <w:u w:val="single"/>
                <w:lang w:val="es-MX" w:eastAsia="es-MX"/>
              </w:rPr>
              <w:t>10.883.648</w:t>
            </w:r>
          </w:p>
        </w:tc>
      </w:tr>
    </w:tbl>
    <w:p w14:paraId="3FE53E01" w14:textId="77777777" w:rsidR="007E2F9F" w:rsidRDefault="007E2F9F" w:rsidP="007E2F9F">
      <w:pPr>
        <w:jc w:val="both"/>
        <w:rPr>
          <w:rFonts w:ascii="Arial" w:hAnsi="Arial" w:cs="Arial"/>
          <w:sz w:val="28"/>
          <w:szCs w:val="28"/>
          <w:lang w:val="es-MX"/>
        </w:rPr>
      </w:pPr>
    </w:p>
    <w:p w14:paraId="58887A83" w14:textId="77777777" w:rsidR="007E2F9F" w:rsidRPr="00537ADD" w:rsidRDefault="007E2F9F" w:rsidP="007E2F9F">
      <w:pPr>
        <w:ind w:left="-284"/>
        <w:jc w:val="both"/>
        <w:rPr>
          <w:rFonts w:ascii="Arial" w:hAnsi="Arial" w:cs="Arial"/>
          <w:b/>
          <w:sz w:val="28"/>
          <w:szCs w:val="28"/>
          <w:lang w:val="es-MX"/>
        </w:rPr>
      </w:pPr>
      <w:r w:rsidRPr="00537ADD">
        <w:rPr>
          <w:rFonts w:ascii="Arial" w:hAnsi="Arial" w:cs="Arial"/>
          <w:b/>
          <w:sz w:val="28"/>
          <w:szCs w:val="28"/>
          <w:lang w:val="es-MX"/>
        </w:rPr>
        <w:t>31.- INSTITUTO CARO Y CUERVO.</w:t>
      </w:r>
    </w:p>
    <w:p w14:paraId="06D0DEBE" w14:textId="77777777" w:rsidR="007E2F9F" w:rsidRDefault="007E2F9F" w:rsidP="007E2F9F">
      <w:pPr>
        <w:jc w:val="both"/>
        <w:rPr>
          <w:rFonts w:ascii="Arial" w:hAnsi="Arial" w:cs="Arial"/>
          <w:sz w:val="28"/>
          <w:szCs w:val="28"/>
          <w:lang w:val="es-MX"/>
        </w:rPr>
      </w:pPr>
    </w:p>
    <w:p w14:paraId="15FDC8C3"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440B9AFC"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0C458D97"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9C31C5" w14:paraId="3B353D1E" w14:textId="77777777" w:rsidTr="006548F8">
        <w:tc>
          <w:tcPr>
            <w:tcW w:w="4253" w:type="dxa"/>
          </w:tcPr>
          <w:p w14:paraId="63559DBD" w14:textId="77777777" w:rsidR="007E2F9F" w:rsidRPr="009C31C5" w:rsidRDefault="007E2F9F" w:rsidP="006548F8">
            <w:pPr>
              <w:ind w:left="1169" w:right="-1440"/>
              <w:rPr>
                <w:rFonts w:ascii="Arial" w:hAnsi="Arial" w:cs="Arial"/>
                <w:b/>
                <w:sz w:val="18"/>
                <w:szCs w:val="18"/>
                <w:lang w:val="es-ES_tradnl"/>
              </w:rPr>
            </w:pPr>
            <w:r w:rsidRPr="009C31C5">
              <w:rPr>
                <w:rFonts w:ascii="Arial" w:hAnsi="Arial" w:cs="Arial"/>
                <w:b/>
                <w:sz w:val="18"/>
                <w:szCs w:val="18"/>
                <w:lang w:val="es-ES_tradnl"/>
              </w:rPr>
              <w:t>TIPO DE GASTO</w:t>
            </w:r>
          </w:p>
        </w:tc>
        <w:tc>
          <w:tcPr>
            <w:tcW w:w="1985" w:type="dxa"/>
          </w:tcPr>
          <w:p w14:paraId="66914B3A" w14:textId="77777777" w:rsidR="007E2F9F" w:rsidRPr="009C31C5" w:rsidRDefault="007E2F9F" w:rsidP="006548F8">
            <w:pPr>
              <w:jc w:val="center"/>
              <w:rPr>
                <w:rFonts w:ascii="Arial" w:hAnsi="Arial" w:cs="Arial"/>
                <w:b/>
                <w:sz w:val="18"/>
                <w:szCs w:val="18"/>
                <w:lang w:val="es-ES_tradnl"/>
              </w:rPr>
            </w:pPr>
            <w:r w:rsidRPr="009C31C5">
              <w:rPr>
                <w:rFonts w:ascii="Arial" w:hAnsi="Arial" w:cs="Arial"/>
                <w:b/>
                <w:sz w:val="18"/>
                <w:szCs w:val="18"/>
                <w:lang w:val="es-ES_tradnl"/>
              </w:rPr>
              <w:t>APROPIACIÓN</w:t>
            </w:r>
          </w:p>
          <w:p w14:paraId="6EFFDBAA" w14:textId="77777777" w:rsidR="007E2F9F" w:rsidRPr="009C31C5" w:rsidRDefault="007E2F9F" w:rsidP="006548F8">
            <w:pPr>
              <w:jc w:val="center"/>
              <w:rPr>
                <w:rFonts w:ascii="Arial" w:hAnsi="Arial" w:cs="Arial"/>
                <w:b/>
                <w:sz w:val="18"/>
                <w:szCs w:val="18"/>
                <w:lang w:val="es-ES_tradnl"/>
              </w:rPr>
            </w:pPr>
            <w:r w:rsidRPr="009C31C5">
              <w:rPr>
                <w:rFonts w:ascii="Arial" w:hAnsi="Arial" w:cs="Arial"/>
                <w:b/>
                <w:sz w:val="18"/>
                <w:szCs w:val="18"/>
                <w:lang w:val="es-ES_tradnl"/>
              </w:rPr>
              <w:t>DEFINITIVA</w:t>
            </w:r>
          </w:p>
          <w:p w14:paraId="689B02AA" w14:textId="77777777" w:rsidR="007E2F9F" w:rsidRPr="009C31C5" w:rsidRDefault="007E2F9F" w:rsidP="006548F8">
            <w:pPr>
              <w:jc w:val="center"/>
              <w:rPr>
                <w:rFonts w:ascii="Arial" w:hAnsi="Arial" w:cs="Arial"/>
                <w:b/>
                <w:sz w:val="18"/>
                <w:szCs w:val="18"/>
                <w:lang w:val="es-ES_tradnl"/>
              </w:rPr>
            </w:pPr>
            <w:r w:rsidRPr="009C31C5">
              <w:rPr>
                <w:rFonts w:ascii="Arial" w:hAnsi="Arial" w:cs="Arial"/>
                <w:b/>
                <w:sz w:val="18"/>
                <w:szCs w:val="18"/>
                <w:lang w:val="es-ES_tradnl"/>
              </w:rPr>
              <w:t>(1)</w:t>
            </w:r>
          </w:p>
          <w:p w14:paraId="1DC221FB" w14:textId="77777777" w:rsidR="007E2F9F" w:rsidRPr="009C31C5" w:rsidRDefault="007E2F9F" w:rsidP="006548F8">
            <w:pPr>
              <w:jc w:val="center"/>
              <w:rPr>
                <w:rFonts w:ascii="Arial" w:hAnsi="Arial" w:cs="Arial"/>
                <w:b/>
                <w:sz w:val="18"/>
                <w:szCs w:val="18"/>
                <w:lang w:val="es-ES_tradnl"/>
              </w:rPr>
            </w:pPr>
          </w:p>
        </w:tc>
        <w:tc>
          <w:tcPr>
            <w:tcW w:w="1984" w:type="dxa"/>
          </w:tcPr>
          <w:p w14:paraId="3B9E5514" w14:textId="77777777" w:rsidR="007E2F9F" w:rsidRPr="009C31C5" w:rsidRDefault="007E2F9F" w:rsidP="006548F8">
            <w:pPr>
              <w:ind w:left="145" w:right="184"/>
              <w:jc w:val="center"/>
              <w:rPr>
                <w:rFonts w:ascii="Arial" w:hAnsi="Arial" w:cs="Arial"/>
                <w:b/>
                <w:sz w:val="18"/>
                <w:szCs w:val="18"/>
                <w:lang w:val="es-ES_tradnl"/>
              </w:rPr>
            </w:pPr>
            <w:r w:rsidRPr="009C31C5">
              <w:rPr>
                <w:rFonts w:ascii="Arial" w:hAnsi="Arial" w:cs="Arial"/>
                <w:b/>
                <w:sz w:val="18"/>
                <w:szCs w:val="18"/>
                <w:lang w:val="es-ES_tradnl"/>
              </w:rPr>
              <w:t>EJECUCIÓN</w:t>
            </w:r>
          </w:p>
          <w:p w14:paraId="4432B143" w14:textId="77777777" w:rsidR="007E2F9F" w:rsidRPr="009C31C5" w:rsidRDefault="007E2F9F" w:rsidP="006548F8">
            <w:pPr>
              <w:ind w:right="34"/>
              <w:jc w:val="center"/>
              <w:rPr>
                <w:rFonts w:ascii="Arial" w:hAnsi="Arial" w:cs="Arial"/>
                <w:b/>
                <w:sz w:val="18"/>
                <w:szCs w:val="18"/>
                <w:lang w:val="es-ES_tradnl"/>
              </w:rPr>
            </w:pPr>
            <w:r w:rsidRPr="009C31C5">
              <w:rPr>
                <w:rFonts w:ascii="Arial" w:hAnsi="Arial" w:cs="Arial"/>
                <w:b/>
                <w:sz w:val="18"/>
                <w:szCs w:val="18"/>
                <w:lang w:val="es-ES_tradnl"/>
              </w:rPr>
              <w:t>COMPROMISOS</w:t>
            </w:r>
          </w:p>
          <w:p w14:paraId="67C73EBD" w14:textId="77777777" w:rsidR="007E2F9F" w:rsidRPr="009C31C5" w:rsidRDefault="007E2F9F" w:rsidP="006548F8">
            <w:pPr>
              <w:ind w:right="34"/>
              <w:jc w:val="center"/>
              <w:rPr>
                <w:rFonts w:ascii="Arial" w:hAnsi="Arial" w:cs="Arial"/>
                <w:b/>
                <w:sz w:val="18"/>
                <w:szCs w:val="18"/>
                <w:lang w:val="es-ES_tradnl"/>
              </w:rPr>
            </w:pPr>
            <w:r w:rsidRPr="009C31C5">
              <w:rPr>
                <w:rFonts w:ascii="Arial" w:hAnsi="Arial" w:cs="Arial"/>
                <w:b/>
                <w:sz w:val="18"/>
                <w:szCs w:val="18"/>
                <w:lang w:val="es-ES_tradnl"/>
              </w:rPr>
              <w:t>(2)</w:t>
            </w:r>
          </w:p>
        </w:tc>
        <w:tc>
          <w:tcPr>
            <w:tcW w:w="2268" w:type="dxa"/>
          </w:tcPr>
          <w:p w14:paraId="61BECBF9" w14:textId="77777777" w:rsidR="007E2F9F" w:rsidRPr="009C31C5" w:rsidRDefault="007E2F9F" w:rsidP="006548F8">
            <w:pPr>
              <w:ind w:left="25" w:right="34"/>
              <w:jc w:val="center"/>
              <w:rPr>
                <w:rFonts w:ascii="Arial" w:hAnsi="Arial" w:cs="Arial"/>
                <w:b/>
                <w:sz w:val="18"/>
                <w:szCs w:val="18"/>
                <w:lang w:val="es-ES_tradnl"/>
              </w:rPr>
            </w:pPr>
            <w:r w:rsidRPr="009C31C5">
              <w:rPr>
                <w:rFonts w:ascii="Arial" w:hAnsi="Arial" w:cs="Arial"/>
                <w:b/>
                <w:sz w:val="18"/>
                <w:szCs w:val="18"/>
                <w:lang w:val="es-ES_tradnl"/>
              </w:rPr>
              <w:t>PÉRDIDAS DE</w:t>
            </w:r>
          </w:p>
          <w:p w14:paraId="6FA3FE33" w14:textId="77777777" w:rsidR="007E2F9F" w:rsidRPr="009C31C5" w:rsidRDefault="007E2F9F" w:rsidP="006548F8">
            <w:pPr>
              <w:ind w:right="34"/>
              <w:jc w:val="center"/>
              <w:rPr>
                <w:rFonts w:ascii="Arial" w:hAnsi="Arial" w:cs="Arial"/>
                <w:b/>
                <w:sz w:val="18"/>
                <w:szCs w:val="18"/>
                <w:lang w:val="es-ES_tradnl"/>
              </w:rPr>
            </w:pPr>
            <w:r w:rsidRPr="009C31C5">
              <w:rPr>
                <w:rFonts w:ascii="Arial" w:hAnsi="Arial" w:cs="Arial"/>
                <w:b/>
                <w:sz w:val="18"/>
                <w:szCs w:val="18"/>
                <w:lang w:val="es-ES_tradnl"/>
              </w:rPr>
              <w:t>APROPIACIÓN</w:t>
            </w:r>
          </w:p>
          <w:p w14:paraId="015BD634" w14:textId="77777777" w:rsidR="007E2F9F" w:rsidRPr="009C31C5" w:rsidRDefault="007E2F9F" w:rsidP="006548F8">
            <w:pPr>
              <w:ind w:right="34"/>
              <w:jc w:val="center"/>
              <w:rPr>
                <w:rFonts w:ascii="Arial" w:hAnsi="Arial" w:cs="Arial"/>
                <w:b/>
                <w:sz w:val="18"/>
                <w:szCs w:val="18"/>
                <w:lang w:val="es-ES_tradnl"/>
              </w:rPr>
            </w:pPr>
            <w:r w:rsidRPr="009C31C5">
              <w:rPr>
                <w:rFonts w:ascii="Arial" w:hAnsi="Arial" w:cs="Arial"/>
                <w:b/>
                <w:sz w:val="18"/>
                <w:szCs w:val="18"/>
                <w:lang w:val="es-ES_tradnl"/>
              </w:rPr>
              <w:t>3 = (1-2)</w:t>
            </w:r>
          </w:p>
        </w:tc>
      </w:tr>
      <w:tr w:rsidR="007E2F9F" w:rsidRPr="009C31C5" w14:paraId="78786C1D" w14:textId="77777777" w:rsidTr="006548F8">
        <w:trPr>
          <w:trHeight w:val="230"/>
        </w:trPr>
        <w:tc>
          <w:tcPr>
            <w:tcW w:w="4253" w:type="dxa"/>
          </w:tcPr>
          <w:p w14:paraId="04767288" w14:textId="77777777" w:rsidR="007E2F9F" w:rsidRPr="009C31C5" w:rsidRDefault="007E2F9F" w:rsidP="006548F8">
            <w:pPr>
              <w:ind w:right="-1440"/>
              <w:jc w:val="both"/>
              <w:rPr>
                <w:rFonts w:ascii="Arial" w:hAnsi="Arial" w:cs="Arial"/>
                <w:b/>
                <w:sz w:val="18"/>
                <w:szCs w:val="18"/>
                <w:lang w:val="es-ES_tradnl"/>
              </w:rPr>
            </w:pPr>
            <w:r w:rsidRPr="009C31C5">
              <w:rPr>
                <w:rFonts w:ascii="Arial" w:hAnsi="Arial" w:cs="Arial"/>
                <w:b/>
                <w:sz w:val="18"/>
                <w:szCs w:val="18"/>
                <w:lang w:val="es-ES_tradnl"/>
              </w:rPr>
              <w:t>FUNCIONAMIENTO</w:t>
            </w:r>
          </w:p>
        </w:tc>
        <w:tc>
          <w:tcPr>
            <w:tcW w:w="1985" w:type="dxa"/>
          </w:tcPr>
          <w:p w14:paraId="4F14870C" w14:textId="77777777" w:rsidR="007E2F9F" w:rsidRPr="009C31C5" w:rsidRDefault="007E2F9F" w:rsidP="006548F8">
            <w:pPr>
              <w:pStyle w:val="Prrafodelista"/>
              <w:ind w:left="0"/>
              <w:jc w:val="right"/>
              <w:rPr>
                <w:rFonts w:ascii="Arial" w:hAnsi="Arial" w:cs="Arial"/>
                <w:b/>
                <w:sz w:val="18"/>
                <w:szCs w:val="18"/>
              </w:rPr>
            </w:pPr>
            <w:r w:rsidRPr="009C31C5">
              <w:rPr>
                <w:rFonts w:ascii="Arial" w:eastAsia="Calibri" w:hAnsi="Arial" w:cs="Arial"/>
                <w:b/>
                <w:sz w:val="18"/>
                <w:szCs w:val="18"/>
                <w:lang w:val="es-CO"/>
              </w:rPr>
              <w:t>11.749.096</w:t>
            </w:r>
          </w:p>
        </w:tc>
        <w:tc>
          <w:tcPr>
            <w:tcW w:w="1984" w:type="dxa"/>
          </w:tcPr>
          <w:p w14:paraId="618DC7AD" w14:textId="77777777" w:rsidR="007E2F9F" w:rsidRPr="009C31C5" w:rsidRDefault="007E2F9F" w:rsidP="006548F8">
            <w:pPr>
              <w:pStyle w:val="Prrafodelista"/>
              <w:ind w:left="0"/>
              <w:jc w:val="right"/>
              <w:rPr>
                <w:rFonts w:ascii="Arial" w:hAnsi="Arial" w:cs="Arial"/>
                <w:b/>
                <w:sz w:val="18"/>
                <w:szCs w:val="18"/>
              </w:rPr>
            </w:pPr>
            <w:r w:rsidRPr="009C31C5">
              <w:rPr>
                <w:rFonts w:ascii="Arial" w:eastAsia="Calibri" w:hAnsi="Arial" w:cs="Arial"/>
                <w:b/>
                <w:sz w:val="18"/>
                <w:szCs w:val="18"/>
                <w:lang w:val="es-CO"/>
              </w:rPr>
              <w:t>11.313.442</w:t>
            </w:r>
          </w:p>
        </w:tc>
        <w:tc>
          <w:tcPr>
            <w:tcW w:w="2268" w:type="dxa"/>
          </w:tcPr>
          <w:p w14:paraId="17321C67" w14:textId="77777777" w:rsidR="007E2F9F" w:rsidRPr="009C31C5" w:rsidRDefault="007E2F9F" w:rsidP="006548F8">
            <w:pPr>
              <w:pStyle w:val="Prrafodelista"/>
              <w:ind w:left="0"/>
              <w:jc w:val="right"/>
              <w:rPr>
                <w:rFonts w:ascii="Arial" w:hAnsi="Arial" w:cs="Arial"/>
                <w:b/>
                <w:sz w:val="18"/>
                <w:szCs w:val="18"/>
              </w:rPr>
            </w:pPr>
            <w:r w:rsidRPr="009C31C5">
              <w:rPr>
                <w:rFonts w:ascii="Arial" w:hAnsi="Arial" w:cs="Arial"/>
                <w:b/>
                <w:sz w:val="18"/>
                <w:szCs w:val="18"/>
              </w:rPr>
              <w:t>435.654.00</w:t>
            </w:r>
          </w:p>
        </w:tc>
      </w:tr>
      <w:tr w:rsidR="007E2F9F" w:rsidRPr="009C31C5" w14:paraId="4F1D1898" w14:textId="77777777" w:rsidTr="006548F8">
        <w:tc>
          <w:tcPr>
            <w:tcW w:w="4253" w:type="dxa"/>
          </w:tcPr>
          <w:p w14:paraId="3ED8866D" w14:textId="77777777" w:rsidR="007E2F9F" w:rsidRPr="009C31C5" w:rsidRDefault="007E2F9F" w:rsidP="006548F8">
            <w:pPr>
              <w:ind w:right="-1440"/>
              <w:jc w:val="both"/>
              <w:rPr>
                <w:rFonts w:ascii="Arial" w:hAnsi="Arial" w:cs="Arial"/>
                <w:b/>
                <w:sz w:val="18"/>
                <w:szCs w:val="18"/>
                <w:lang w:val="es-ES_tradnl"/>
              </w:rPr>
            </w:pPr>
            <w:r w:rsidRPr="009C31C5">
              <w:rPr>
                <w:rFonts w:ascii="Arial" w:hAnsi="Arial" w:cs="Arial"/>
                <w:b/>
                <w:sz w:val="18"/>
                <w:szCs w:val="18"/>
                <w:lang w:val="es-ES_tradnl"/>
              </w:rPr>
              <w:t>INVERSIÓN</w:t>
            </w:r>
          </w:p>
        </w:tc>
        <w:tc>
          <w:tcPr>
            <w:tcW w:w="1985" w:type="dxa"/>
          </w:tcPr>
          <w:p w14:paraId="13A9E109" w14:textId="77777777" w:rsidR="007E2F9F" w:rsidRPr="009C31C5" w:rsidRDefault="007E2F9F" w:rsidP="006548F8">
            <w:pPr>
              <w:pStyle w:val="Prrafodelista"/>
              <w:ind w:left="0"/>
              <w:jc w:val="right"/>
              <w:rPr>
                <w:rFonts w:ascii="Arial" w:hAnsi="Arial" w:cs="Arial"/>
                <w:b/>
                <w:sz w:val="18"/>
                <w:szCs w:val="18"/>
              </w:rPr>
            </w:pPr>
            <w:r w:rsidRPr="009C31C5">
              <w:rPr>
                <w:rFonts w:ascii="Arial" w:eastAsia="Calibri" w:hAnsi="Arial" w:cs="Arial"/>
                <w:b/>
                <w:sz w:val="18"/>
                <w:szCs w:val="18"/>
                <w:lang w:val="es-CO"/>
              </w:rPr>
              <w:t>11.774.907</w:t>
            </w:r>
          </w:p>
        </w:tc>
        <w:tc>
          <w:tcPr>
            <w:tcW w:w="1984" w:type="dxa"/>
          </w:tcPr>
          <w:p w14:paraId="772ADD26" w14:textId="77777777" w:rsidR="007E2F9F" w:rsidRPr="009C31C5" w:rsidRDefault="007E2F9F" w:rsidP="006548F8">
            <w:pPr>
              <w:pStyle w:val="Prrafodelista"/>
              <w:ind w:left="0"/>
              <w:jc w:val="right"/>
              <w:rPr>
                <w:rFonts w:ascii="Arial" w:hAnsi="Arial" w:cs="Arial"/>
                <w:b/>
                <w:sz w:val="18"/>
                <w:szCs w:val="18"/>
              </w:rPr>
            </w:pPr>
            <w:r w:rsidRPr="009C31C5">
              <w:rPr>
                <w:rFonts w:ascii="Arial" w:eastAsia="Calibri" w:hAnsi="Arial" w:cs="Arial"/>
                <w:b/>
                <w:sz w:val="18"/>
                <w:szCs w:val="18"/>
                <w:lang w:val="es-CO"/>
              </w:rPr>
              <w:t>10.952.366</w:t>
            </w:r>
          </w:p>
        </w:tc>
        <w:tc>
          <w:tcPr>
            <w:tcW w:w="2268" w:type="dxa"/>
          </w:tcPr>
          <w:p w14:paraId="4272F490" w14:textId="77777777" w:rsidR="007E2F9F" w:rsidRPr="009C31C5" w:rsidRDefault="007E2F9F" w:rsidP="006548F8">
            <w:pPr>
              <w:pStyle w:val="Prrafodelista"/>
              <w:ind w:left="0"/>
              <w:jc w:val="right"/>
              <w:rPr>
                <w:rFonts w:ascii="Arial" w:hAnsi="Arial" w:cs="Arial"/>
                <w:b/>
                <w:sz w:val="18"/>
                <w:szCs w:val="18"/>
              </w:rPr>
            </w:pPr>
            <w:r w:rsidRPr="009C31C5">
              <w:rPr>
                <w:rFonts w:ascii="Arial" w:hAnsi="Arial" w:cs="Arial"/>
                <w:b/>
                <w:sz w:val="18"/>
                <w:szCs w:val="18"/>
              </w:rPr>
              <w:t>822.542.00</w:t>
            </w:r>
          </w:p>
        </w:tc>
      </w:tr>
      <w:tr w:rsidR="007E2F9F" w:rsidRPr="009C31C5" w14:paraId="0476E125" w14:textId="77777777" w:rsidTr="006548F8">
        <w:tc>
          <w:tcPr>
            <w:tcW w:w="4253" w:type="dxa"/>
          </w:tcPr>
          <w:p w14:paraId="2A4568B8" w14:textId="77777777" w:rsidR="007E2F9F" w:rsidRPr="009C31C5" w:rsidRDefault="007E2F9F" w:rsidP="006548F8">
            <w:pPr>
              <w:ind w:right="-1440"/>
              <w:jc w:val="both"/>
              <w:rPr>
                <w:rFonts w:ascii="Arial" w:hAnsi="Arial" w:cs="Arial"/>
                <w:b/>
                <w:sz w:val="18"/>
                <w:szCs w:val="18"/>
                <w:lang w:val="es-ES_tradnl"/>
              </w:rPr>
            </w:pPr>
            <w:r w:rsidRPr="009C31C5">
              <w:rPr>
                <w:rFonts w:ascii="Arial" w:hAnsi="Arial" w:cs="Arial"/>
                <w:b/>
                <w:sz w:val="18"/>
                <w:szCs w:val="18"/>
                <w:lang w:val="es-ES_tradnl"/>
              </w:rPr>
              <w:t>TOTAL PÉRDIDAS DE APROPIACIÓN</w:t>
            </w:r>
          </w:p>
        </w:tc>
        <w:tc>
          <w:tcPr>
            <w:tcW w:w="1985" w:type="dxa"/>
          </w:tcPr>
          <w:p w14:paraId="43CF2B18" w14:textId="77777777" w:rsidR="007E2F9F" w:rsidRPr="009C31C5" w:rsidRDefault="007E2F9F" w:rsidP="006548F8">
            <w:pPr>
              <w:pStyle w:val="Prrafodelista"/>
              <w:ind w:left="0"/>
              <w:jc w:val="right"/>
              <w:rPr>
                <w:rFonts w:ascii="Arial" w:hAnsi="Arial" w:cs="Arial"/>
                <w:b/>
                <w:sz w:val="18"/>
                <w:szCs w:val="18"/>
                <w:u w:val="single"/>
              </w:rPr>
            </w:pPr>
            <w:r w:rsidRPr="009C31C5">
              <w:rPr>
                <w:rFonts w:ascii="Arial" w:eastAsia="Calibri" w:hAnsi="Arial" w:cs="Arial"/>
                <w:b/>
                <w:sz w:val="18"/>
                <w:szCs w:val="18"/>
                <w:lang w:val="es-CO"/>
              </w:rPr>
              <w:t>23.524.003</w:t>
            </w:r>
          </w:p>
        </w:tc>
        <w:tc>
          <w:tcPr>
            <w:tcW w:w="1984" w:type="dxa"/>
          </w:tcPr>
          <w:p w14:paraId="7DB4FFCC" w14:textId="77777777" w:rsidR="007E2F9F" w:rsidRPr="009C31C5" w:rsidRDefault="007E2F9F" w:rsidP="006548F8">
            <w:pPr>
              <w:pStyle w:val="Prrafodelista"/>
              <w:ind w:left="0"/>
              <w:jc w:val="right"/>
              <w:rPr>
                <w:rFonts w:ascii="Arial" w:hAnsi="Arial" w:cs="Arial"/>
                <w:b/>
                <w:sz w:val="18"/>
                <w:szCs w:val="18"/>
                <w:u w:val="single"/>
              </w:rPr>
            </w:pPr>
            <w:r w:rsidRPr="009C31C5">
              <w:rPr>
                <w:rFonts w:ascii="Arial" w:eastAsia="Calibri" w:hAnsi="Arial" w:cs="Arial"/>
                <w:b/>
                <w:sz w:val="18"/>
                <w:szCs w:val="18"/>
                <w:lang w:val="es-CO"/>
              </w:rPr>
              <w:t>22.265.808</w:t>
            </w:r>
          </w:p>
        </w:tc>
        <w:tc>
          <w:tcPr>
            <w:tcW w:w="2268" w:type="dxa"/>
          </w:tcPr>
          <w:p w14:paraId="23C62B46" w14:textId="77777777" w:rsidR="007E2F9F" w:rsidRPr="009C31C5" w:rsidRDefault="007E2F9F" w:rsidP="006548F8">
            <w:pPr>
              <w:pStyle w:val="Prrafodelista"/>
              <w:ind w:left="0"/>
              <w:jc w:val="right"/>
              <w:rPr>
                <w:rFonts w:ascii="Arial" w:hAnsi="Arial" w:cs="Arial"/>
                <w:b/>
                <w:sz w:val="18"/>
                <w:szCs w:val="18"/>
                <w:u w:val="single"/>
              </w:rPr>
            </w:pPr>
            <w:r w:rsidRPr="009C31C5">
              <w:rPr>
                <w:rFonts w:ascii="Arial" w:hAnsi="Arial" w:cs="Arial"/>
                <w:b/>
                <w:sz w:val="18"/>
                <w:szCs w:val="18"/>
                <w:u w:val="single"/>
              </w:rPr>
              <w:t>1.258.195.00</w:t>
            </w:r>
          </w:p>
        </w:tc>
      </w:tr>
    </w:tbl>
    <w:p w14:paraId="5FA7EB35" w14:textId="77777777" w:rsidR="007E2F9F" w:rsidRDefault="007E2F9F" w:rsidP="007E2F9F">
      <w:pPr>
        <w:jc w:val="both"/>
        <w:rPr>
          <w:rFonts w:ascii="Arial" w:hAnsi="Arial" w:cs="Arial"/>
          <w:sz w:val="28"/>
          <w:szCs w:val="28"/>
          <w:lang w:val="es-MX"/>
        </w:rPr>
      </w:pPr>
    </w:p>
    <w:p w14:paraId="47F734E2" w14:textId="77777777" w:rsidR="007E2F9F" w:rsidRPr="00977EFB" w:rsidRDefault="007E2F9F" w:rsidP="007E2F9F">
      <w:pPr>
        <w:ind w:left="-284"/>
        <w:jc w:val="both"/>
        <w:rPr>
          <w:rFonts w:ascii="Arial" w:hAnsi="Arial" w:cs="Arial"/>
          <w:b/>
          <w:sz w:val="28"/>
          <w:szCs w:val="28"/>
          <w:lang w:val="es-MX"/>
        </w:rPr>
      </w:pPr>
      <w:r w:rsidRPr="00977EFB">
        <w:rPr>
          <w:rFonts w:ascii="Arial" w:hAnsi="Arial" w:cs="Arial"/>
          <w:b/>
          <w:sz w:val="28"/>
          <w:szCs w:val="28"/>
          <w:lang w:val="es-MX"/>
        </w:rPr>
        <w:t>32.- AUDITORÍA GENERAL DE LA REPÚBLICA.</w:t>
      </w:r>
    </w:p>
    <w:p w14:paraId="71B499C4" w14:textId="77777777" w:rsidR="007E2F9F" w:rsidRDefault="007E2F9F" w:rsidP="007E2F9F">
      <w:pPr>
        <w:jc w:val="both"/>
        <w:rPr>
          <w:rFonts w:ascii="Arial" w:hAnsi="Arial" w:cs="Arial"/>
          <w:sz w:val="28"/>
          <w:szCs w:val="28"/>
          <w:lang w:val="es-MX"/>
        </w:rPr>
      </w:pPr>
    </w:p>
    <w:p w14:paraId="387BE1F9"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0398EB59"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C89594D"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977EFB" w14:paraId="016C82E5" w14:textId="77777777" w:rsidTr="006548F8">
        <w:tc>
          <w:tcPr>
            <w:tcW w:w="4253" w:type="dxa"/>
          </w:tcPr>
          <w:p w14:paraId="5C3399A4" w14:textId="77777777" w:rsidR="007E2F9F" w:rsidRPr="00977EFB" w:rsidRDefault="007E2F9F" w:rsidP="006548F8">
            <w:pPr>
              <w:ind w:left="1169" w:right="-1440"/>
              <w:rPr>
                <w:rFonts w:ascii="Arial" w:hAnsi="Arial" w:cs="Arial"/>
                <w:b/>
                <w:sz w:val="18"/>
                <w:szCs w:val="18"/>
                <w:lang w:val="es-ES_tradnl"/>
              </w:rPr>
            </w:pPr>
            <w:r w:rsidRPr="00977EFB">
              <w:rPr>
                <w:rFonts w:ascii="Arial" w:hAnsi="Arial" w:cs="Arial"/>
                <w:b/>
                <w:sz w:val="18"/>
                <w:szCs w:val="18"/>
                <w:lang w:val="es-ES_tradnl"/>
              </w:rPr>
              <w:t>TIPO DE GASTO</w:t>
            </w:r>
          </w:p>
        </w:tc>
        <w:tc>
          <w:tcPr>
            <w:tcW w:w="1985" w:type="dxa"/>
          </w:tcPr>
          <w:p w14:paraId="429A0B09" w14:textId="77777777" w:rsidR="007E2F9F" w:rsidRPr="00977EFB" w:rsidRDefault="007E2F9F" w:rsidP="006548F8">
            <w:pPr>
              <w:jc w:val="center"/>
              <w:rPr>
                <w:rFonts w:ascii="Arial" w:hAnsi="Arial" w:cs="Arial"/>
                <w:b/>
                <w:sz w:val="18"/>
                <w:szCs w:val="18"/>
                <w:lang w:val="es-ES_tradnl"/>
              </w:rPr>
            </w:pPr>
            <w:r w:rsidRPr="00977EFB">
              <w:rPr>
                <w:rFonts w:ascii="Arial" w:hAnsi="Arial" w:cs="Arial"/>
                <w:b/>
                <w:sz w:val="18"/>
                <w:szCs w:val="18"/>
                <w:lang w:val="es-ES_tradnl"/>
              </w:rPr>
              <w:t>APROPIACIÓN</w:t>
            </w:r>
          </w:p>
          <w:p w14:paraId="2AA625AC" w14:textId="77777777" w:rsidR="007E2F9F" w:rsidRPr="00977EFB" w:rsidRDefault="007E2F9F" w:rsidP="006548F8">
            <w:pPr>
              <w:jc w:val="center"/>
              <w:rPr>
                <w:rFonts w:ascii="Arial" w:hAnsi="Arial" w:cs="Arial"/>
                <w:b/>
                <w:sz w:val="18"/>
                <w:szCs w:val="18"/>
                <w:lang w:val="es-ES_tradnl"/>
              </w:rPr>
            </w:pPr>
            <w:r w:rsidRPr="00977EFB">
              <w:rPr>
                <w:rFonts w:ascii="Arial" w:hAnsi="Arial" w:cs="Arial"/>
                <w:b/>
                <w:sz w:val="18"/>
                <w:szCs w:val="18"/>
                <w:lang w:val="es-ES_tradnl"/>
              </w:rPr>
              <w:t>DEFINITIVA</w:t>
            </w:r>
          </w:p>
          <w:p w14:paraId="43000350" w14:textId="77777777" w:rsidR="007E2F9F" w:rsidRPr="00977EFB" w:rsidRDefault="007E2F9F" w:rsidP="006548F8">
            <w:pPr>
              <w:jc w:val="center"/>
              <w:rPr>
                <w:rFonts w:ascii="Arial" w:hAnsi="Arial" w:cs="Arial"/>
                <w:b/>
                <w:sz w:val="18"/>
                <w:szCs w:val="18"/>
                <w:lang w:val="es-ES_tradnl"/>
              </w:rPr>
            </w:pPr>
            <w:r w:rsidRPr="00977EFB">
              <w:rPr>
                <w:rFonts w:ascii="Arial" w:hAnsi="Arial" w:cs="Arial"/>
                <w:b/>
                <w:sz w:val="18"/>
                <w:szCs w:val="18"/>
                <w:lang w:val="es-ES_tradnl"/>
              </w:rPr>
              <w:t>(1)</w:t>
            </w:r>
          </w:p>
          <w:p w14:paraId="728BE701" w14:textId="77777777" w:rsidR="007E2F9F" w:rsidRPr="00977EFB" w:rsidRDefault="007E2F9F" w:rsidP="006548F8">
            <w:pPr>
              <w:jc w:val="center"/>
              <w:rPr>
                <w:rFonts w:ascii="Arial" w:hAnsi="Arial" w:cs="Arial"/>
                <w:b/>
                <w:sz w:val="18"/>
                <w:szCs w:val="18"/>
                <w:lang w:val="es-ES_tradnl"/>
              </w:rPr>
            </w:pPr>
          </w:p>
        </w:tc>
        <w:tc>
          <w:tcPr>
            <w:tcW w:w="1984" w:type="dxa"/>
          </w:tcPr>
          <w:p w14:paraId="7C2A147C" w14:textId="77777777" w:rsidR="007E2F9F" w:rsidRPr="00977EFB" w:rsidRDefault="007E2F9F" w:rsidP="006548F8">
            <w:pPr>
              <w:ind w:left="145" w:right="184"/>
              <w:jc w:val="center"/>
              <w:rPr>
                <w:rFonts w:ascii="Arial" w:hAnsi="Arial" w:cs="Arial"/>
                <w:b/>
                <w:sz w:val="18"/>
                <w:szCs w:val="18"/>
                <w:lang w:val="es-ES_tradnl"/>
              </w:rPr>
            </w:pPr>
            <w:r w:rsidRPr="00977EFB">
              <w:rPr>
                <w:rFonts w:ascii="Arial" w:hAnsi="Arial" w:cs="Arial"/>
                <w:b/>
                <w:sz w:val="18"/>
                <w:szCs w:val="18"/>
                <w:lang w:val="es-ES_tradnl"/>
              </w:rPr>
              <w:t>EJECUCIÓN</w:t>
            </w:r>
          </w:p>
          <w:p w14:paraId="7560D473" w14:textId="77777777" w:rsidR="007E2F9F" w:rsidRPr="00977EFB" w:rsidRDefault="007E2F9F" w:rsidP="006548F8">
            <w:pPr>
              <w:ind w:right="34"/>
              <w:jc w:val="center"/>
              <w:rPr>
                <w:rFonts w:ascii="Arial" w:hAnsi="Arial" w:cs="Arial"/>
                <w:b/>
                <w:sz w:val="18"/>
                <w:szCs w:val="18"/>
                <w:lang w:val="es-ES_tradnl"/>
              </w:rPr>
            </w:pPr>
            <w:r w:rsidRPr="00977EFB">
              <w:rPr>
                <w:rFonts w:ascii="Arial" w:hAnsi="Arial" w:cs="Arial"/>
                <w:b/>
                <w:sz w:val="18"/>
                <w:szCs w:val="18"/>
                <w:lang w:val="es-ES_tradnl"/>
              </w:rPr>
              <w:t>COMPROMISOS</w:t>
            </w:r>
          </w:p>
          <w:p w14:paraId="1EC34647" w14:textId="77777777" w:rsidR="007E2F9F" w:rsidRPr="00977EFB" w:rsidRDefault="007E2F9F" w:rsidP="006548F8">
            <w:pPr>
              <w:ind w:right="34"/>
              <w:jc w:val="center"/>
              <w:rPr>
                <w:rFonts w:ascii="Arial" w:hAnsi="Arial" w:cs="Arial"/>
                <w:b/>
                <w:sz w:val="18"/>
                <w:szCs w:val="18"/>
                <w:lang w:val="es-ES_tradnl"/>
              </w:rPr>
            </w:pPr>
            <w:r w:rsidRPr="00977EFB">
              <w:rPr>
                <w:rFonts w:ascii="Arial" w:hAnsi="Arial" w:cs="Arial"/>
                <w:b/>
                <w:sz w:val="18"/>
                <w:szCs w:val="18"/>
                <w:lang w:val="es-ES_tradnl"/>
              </w:rPr>
              <w:t>(2)</w:t>
            </w:r>
          </w:p>
        </w:tc>
        <w:tc>
          <w:tcPr>
            <w:tcW w:w="2268" w:type="dxa"/>
          </w:tcPr>
          <w:p w14:paraId="446BC711" w14:textId="77777777" w:rsidR="007E2F9F" w:rsidRPr="00977EFB" w:rsidRDefault="007E2F9F" w:rsidP="006548F8">
            <w:pPr>
              <w:ind w:left="25" w:right="34"/>
              <w:jc w:val="center"/>
              <w:rPr>
                <w:rFonts w:ascii="Arial" w:hAnsi="Arial" w:cs="Arial"/>
                <w:b/>
                <w:sz w:val="18"/>
                <w:szCs w:val="18"/>
                <w:lang w:val="es-ES_tradnl"/>
              </w:rPr>
            </w:pPr>
            <w:r w:rsidRPr="00977EFB">
              <w:rPr>
                <w:rFonts w:ascii="Arial" w:hAnsi="Arial" w:cs="Arial"/>
                <w:b/>
                <w:sz w:val="18"/>
                <w:szCs w:val="18"/>
                <w:lang w:val="es-ES_tradnl"/>
              </w:rPr>
              <w:t>PÉRDIDAS DE</w:t>
            </w:r>
          </w:p>
          <w:p w14:paraId="75C0B6A2" w14:textId="77777777" w:rsidR="007E2F9F" w:rsidRPr="00977EFB" w:rsidRDefault="007E2F9F" w:rsidP="006548F8">
            <w:pPr>
              <w:ind w:right="34"/>
              <w:jc w:val="center"/>
              <w:rPr>
                <w:rFonts w:ascii="Arial" w:hAnsi="Arial" w:cs="Arial"/>
                <w:b/>
                <w:sz w:val="18"/>
                <w:szCs w:val="18"/>
                <w:lang w:val="es-ES_tradnl"/>
              </w:rPr>
            </w:pPr>
            <w:r w:rsidRPr="00977EFB">
              <w:rPr>
                <w:rFonts w:ascii="Arial" w:hAnsi="Arial" w:cs="Arial"/>
                <w:b/>
                <w:sz w:val="18"/>
                <w:szCs w:val="18"/>
                <w:lang w:val="es-ES_tradnl"/>
              </w:rPr>
              <w:t>APROPIACIÓN</w:t>
            </w:r>
          </w:p>
          <w:p w14:paraId="7D2B4E6C" w14:textId="77777777" w:rsidR="007E2F9F" w:rsidRPr="00977EFB" w:rsidRDefault="007E2F9F" w:rsidP="006548F8">
            <w:pPr>
              <w:ind w:right="34"/>
              <w:jc w:val="center"/>
              <w:rPr>
                <w:rFonts w:ascii="Arial" w:hAnsi="Arial" w:cs="Arial"/>
                <w:b/>
                <w:sz w:val="18"/>
                <w:szCs w:val="18"/>
                <w:lang w:val="es-ES_tradnl"/>
              </w:rPr>
            </w:pPr>
            <w:r w:rsidRPr="00977EFB">
              <w:rPr>
                <w:rFonts w:ascii="Arial" w:hAnsi="Arial" w:cs="Arial"/>
                <w:b/>
                <w:sz w:val="18"/>
                <w:szCs w:val="18"/>
                <w:lang w:val="es-ES_tradnl"/>
              </w:rPr>
              <w:t>3 = (1-2)</w:t>
            </w:r>
          </w:p>
        </w:tc>
      </w:tr>
      <w:tr w:rsidR="007E2F9F" w:rsidRPr="00977EFB" w14:paraId="5412FB83" w14:textId="77777777" w:rsidTr="006548F8">
        <w:trPr>
          <w:trHeight w:val="230"/>
        </w:trPr>
        <w:tc>
          <w:tcPr>
            <w:tcW w:w="4253" w:type="dxa"/>
          </w:tcPr>
          <w:p w14:paraId="3AE62FD5" w14:textId="77777777" w:rsidR="007E2F9F" w:rsidRPr="00977EFB" w:rsidRDefault="007E2F9F" w:rsidP="006548F8">
            <w:pPr>
              <w:ind w:right="-1440"/>
              <w:jc w:val="both"/>
              <w:rPr>
                <w:rFonts w:ascii="Arial" w:hAnsi="Arial" w:cs="Arial"/>
                <w:b/>
                <w:sz w:val="18"/>
                <w:szCs w:val="18"/>
                <w:lang w:val="es-ES_tradnl"/>
              </w:rPr>
            </w:pPr>
            <w:r w:rsidRPr="00977EFB">
              <w:rPr>
                <w:rFonts w:ascii="Arial" w:hAnsi="Arial" w:cs="Arial"/>
                <w:b/>
                <w:sz w:val="18"/>
                <w:szCs w:val="18"/>
                <w:lang w:val="es-ES_tradnl"/>
              </w:rPr>
              <w:t>FUNCIONAMIENTO</w:t>
            </w:r>
          </w:p>
        </w:tc>
        <w:tc>
          <w:tcPr>
            <w:tcW w:w="1985" w:type="dxa"/>
          </w:tcPr>
          <w:p w14:paraId="2BC5D167" w14:textId="77777777" w:rsidR="007E2F9F" w:rsidRPr="00977EFB" w:rsidRDefault="007E2F9F" w:rsidP="006548F8">
            <w:pPr>
              <w:pStyle w:val="Prrafodelista"/>
              <w:ind w:left="0"/>
              <w:jc w:val="right"/>
              <w:rPr>
                <w:rFonts w:ascii="Arial" w:hAnsi="Arial" w:cs="Arial"/>
                <w:b/>
                <w:sz w:val="18"/>
                <w:szCs w:val="18"/>
              </w:rPr>
            </w:pPr>
            <w:r w:rsidRPr="00977EFB">
              <w:rPr>
                <w:rFonts w:ascii="Arial" w:eastAsia="Calibri" w:hAnsi="Arial" w:cs="Arial"/>
                <w:b/>
                <w:sz w:val="16"/>
                <w:szCs w:val="16"/>
                <w:lang w:val="es-CO"/>
              </w:rPr>
              <w:t>48.568.666</w:t>
            </w:r>
          </w:p>
        </w:tc>
        <w:tc>
          <w:tcPr>
            <w:tcW w:w="1984" w:type="dxa"/>
          </w:tcPr>
          <w:p w14:paraId="5EFF253F" w14:textId="77777777" w:rsidR="007E2F9F" w:rsidRPr="00977EFB" w:rsidRDefault="007E2F9F" w:rsidP="006548F8">
            <w:pPr>
              <w:pStyle w:val="Prrafodelista"/>
              <w:ind w:left="0"/>
              <w:jc w:val="right"/>
              <w:rPr>
                <w:rFonts w:ascii="Arial" w:hAnsi="Arial" w:cs="Arial"/>
                <w:b/>
                <w:sz w:val="18"/>
                <w:szCs w:val="18"/>
              </w:rPr>
            </w:pPr>
            <w:r w:rsidRPr="00977EFB">
              <w:rPr>
                <w:rFonts w:ascii="Arial" w:eastAsia="Calibri" w:hAnsi="Arial" w:cs="Arial"/>
                <w:b/>
                <w:sz w:val="16"/>
                <w:szCs w:val="16"/>
                <w:lang w:val="es-CO"/>
              </w:rPr>
              <w:t>48.274.990</w:t>
            </w:r>
          </w:p>
        </w:tc>
        <w:tc>
          <w:tcPr>
            <w:tcW w:w="2268" w:type="dxa"/>
          </w:tcPr>
          <w:p w14:paraId="7D44D101" w14:textId="77777777" w:rsidR="007E2F9F" w:rsidRPr="00977EFB" w:rsidRDefault="007E2F9F" w:rsidP="006548F8">
            <w:pPr>
              <w:pStyle w:val="Prrafodelista"/>
              <w:ind w:left="0"/>
              <w:jc w:val="right"/>
              <w:rPr>
                <w:rFonts w:ascii="Arial" w:hAnsi="Arial" w:cs="Arial"/>
                <w:b/>
                <w:sz w:val="18"/>
                <w:szCs w:val="18"/>
              </w:rPr>
            </w:pPr>
            <w:r w:rsidRPr="00977EFB">
              <w:rPr>
                <w:rFonts w:ascii="Arial" w:hAnsi="Arial" w:cs="Arial"/>
                <w:b/>
                <w:sz w:val="16"/>
                <w:szCs w:val="16"/>
              </w:rPr>
              <w:t>293.676</w:t>
            </w:r>
          </w:p>
        </w:tc>
      </w:tr>
      <w:tr w:rsidR="007E2F9F" w:rsidRPr="00977EFB" w14:paraId="74862BCB" w14:textId="77777777" w:rsidTr="006548F8">
        <w:tc>
          <w:tcPr>
            <w:tcW w:w="4253" w:type="dxa"/>
          </w:tcPr>
          <w:p w14:paraId="7747BD02" w14:textId="77777777" w:rsidR="007E2F9F" w:rsidRPr="00977EFB" w:rsidRDefault="007E2F9F" w:rsidP="006548F8">
            <w:pPr>
              <w:ind w:right="-1440"/>
              <w:jc w:val="both"/>
              <w:rPr>
                <w:rFonts w:ascii="Arial" w:hAnsi="Arial" w:cs="Arial"/>
                <w:b/>
                <w:sz w:val="18"/>
                <w:szCs w:val="18"/>
                <w:lang w:val="es-ES_tradnl"/>
              </w:rPr>
            </w:pPr>
            <w:r w:rsidRPr="00977EFB">
              <w:rPr>
                <w:rFonts w:ascii="Arial" w:hAnsi="Arial" w:cs="Arial"/>
                <w:b/>
                <w:sz w:val="18"/>
                <w:szCs w:val="18"/>
                <w:lang w:val="es-ES_tradnl"/>
              </w:rPr>
              <w:t>INVERSIÓN</w:t>
            </w:r>
          </w:p>
        </w:tc>
        <w:tc>
          <w:tcPr>
            <w:tcW w:w="1985" w:type="dxa"/>
          </w:tcPr>
          <w:p w14:paraId="162AEF90" w14:textId="77777777" w:rsidR="007E2F9F" w:rsidRPr="00977EFB" w:rsidRDefault="007E2F9F" w:rsidP="006548F8">
            <w:pPr>
              <w:pStyle w:val="Prrafodelista"/>
              <w:ind w:left="0"/>
              <w:jc w:val="right"/>
              <w:rPr>
                <w:rFonts w:ascii="Arial" w:hAnsi="Arial" w:cs="Arial"/>
                <w:b/>
                <w:sz w:val="18"/>
                <w:szCs w:val="18"/>
              </w:rPr>
            </w:pPr>
            <w:r w:rsidRPr="00977EFB">
              <w:rPr>
                <w:rFonts w:ascii="Arial" w:eastAsia="Calibri" w:hAnsi="Arial" w:cs="Arial"/>
                <w:b/>
                <w:sz w:val="16"/>
                <w:szCs w:val="16"/>
                <w:lang w:val="es-CO"/>
              </w:rPr>
              <w:t>11.967.787</w:t>
            </w:r>
          </w:p>
        </w:tc>
        <w:tc>
          <w:tcPr>
            <w:tcW w:w="1984" w:type="dxa"/>
          </w:tcPr>
          <w:p w14:paraId="08352847" w14:textId="77777777" w:rsidR="007E2F9F" w:rsidRPr="00977EFB" w:rsidRDefault="007E2F9F" w:rsidP="006548F8">
            <w:pPr>
              <w:pStyle w:val="Prrafodelista"/>
              <w:ind w:left="0"/>
              <w:jc w:val="right"/>
              <w:rPr>
                <w:rFonts w:ascii="Arial" w:hAnsi="Arial" w:cs="Arial"/>
                <w:b/>
                <w:sz w:val="18"/>
                <w:szCs w:val="18"/>
              </w:rPr>
            </w:pPr>
            <w:r w:rsidRPr="00977EFB">
              <w:rPr>
                <w:rFonts w:ascii="Arial" w:eastAsia="Calibri" w:hAnsi="Arial" w:cs="Arial"/>
                <w:b/>
                <w:sz w:val="16"/>
                <w:szCs w:val="16"/>
                <w:lang w:val="es-CO"/>
              </w:rPr>
              <w:t>11.952.401</w:t>
            </w:r>
          </w:p>
        </w:tc>
        <w:tc>
          <w:tcPr>
            <w:tcW w:w="2268" w:type="dxa"/>
          </w:tcPr>
          <w:p w14:paraId="7A56F1C6" w14:textId="77777777" w:rsidR="007E2F9F" w:rsidRPr="00977EFB" w:rsidRDefault="007E2F9F" w:rsidP="006548F8">
            <w:pPr>
              <w:pStyle w:val="Prrafodelista"/>
              <w:ind w:left="0"/>
              <w:jc w:val="right"/>
              <w:rPr>
                <w:rFonts w:ascii="Arial" w:hAnsi="Arial" w:cs="Arial"/>
                <w:b/>
                <w:sz w:val="18"/>
                <w:szCs w:val="18"/>
              </w:rPr>
            </w:pPr>
            <w:r w:rsidRPr="00977EFB">
              <w:rPr>
                <w:rFonts w:ascii="Arial" w:hAnsi="Arial" w:cs="Arial"/>
                <w:b/>
                <w:sz w:val="16"/>
                <w:szCs w:val="16"/>
              </w:rPr>
              <w:t>15.386</w:t>
            </w:r>
          </w:p>
        </w:tc>
      </w:tr>
      <w:tr w:rsidR="007E2F9F" w:rsidRPr="00977EFB" w14:paraId="798273B4" w14:textId="77777777" w:rsidTr="006548F8">
        <w:tc>
          <w:tcPr>
            <w:tcW w:w="4253" w:type="dxa"/>
          </w:tcPr>
          <w:p w14:paraId="5A4AF61E" w14:textId="77777777" w:rsidR="007E2F9F" w:rsidRPr="00977EFB" w:rsidRDefault="007E2F9F" w:rsidP="006548F8">
            <w:pPr>
              <w:ind w:right="-1440"/>
              <w:jc w:val="both"/>
              <w:rPr>
                <w:rFonts w:ascii="Arial" w:hAnsi="Arial" w:cs="Arial"/>
                <w:b/>
                <w:sz w:val="18"/>
                <w:szCs w:val="18"/>
                <w:lang w:val="es-ES_tradnl"/>
              </w:rPr>
            </w:pPr>
            <w:r w:rsidRPr="00977EFB">
              <w:rPr>
                <w:rFonts w:ascii="Arial" w:hAnsi="Arial" w:cs="Arial"/>
                <w:b/>
                <w:sz w:val="18"/>
                <w:szCs w:val="18"/>
                <w:lang w:val="es-ES_tradnl"/>
              </w:rPr>
              <w:t>TOTAL PÉRDIDAS DE APROPIACIÓN</w:t>
            </w:r>
          </w:p>
        </w:tc>
        <w:tc>
          <w:tcPr>
            <w:tcW w:w="1985" w:type="dxa"/>
          </w:tcPr>
          <w:p w14:paraId="08D0C1FB" w14:textId="77777777" w:rsidR="007E2F9F" w:rsidRPr="00977EFB" w:rsidRDefault="007E2F9F" w:rsidP="006548F8">
            <w:pPr>
              <w:pStyle w:val="Prrafodelista"/>
              <w:ind w:left="0"/>
              <w:jc w:val="right"/>
              <w:rPr>
                <w:rFonts w:ascii="Arial" w:hAnsi="Arial" w:cs="Arial"/>
                <w:b/>
                <w:sz w:val="18"/>
                <w:szCs w:val="18"/>
                <w:u w:val="single"/>
              </w:rPr>
            </w:pPr>
            <w:r w:rsidRPr="00977EFB">
              <w:rPr>
                <w:rFonts w:ascii="Arial" w:eastAsia="Calibri" w:hAnsi="Arial" w:cs="Arial"/>
                <w:b/>
                <w:sz w:val="16"/>
                <w:szCs w:val="16"/>
                <w:lang w:val="es-CO"/>
              </w:rPr>
              <w:t>60.536.454</w:t>
            </w:r>
          </w:p>
        </w:tc>
        <w:tc>
          <w:tcPr>
            <w:tcW w:w="1984" w:type="dxa"/>
          </w:tcPr>
          <w:p w14:paraId="4BAE6EEF" w14:textId="77777777" w:rsidR="007E2F9F" w:rsidRPr="00977EFB" w:rsidRDefault="007E2F9F" w:rsidP="006548F8">
            <w:pPr>
              <w:pStyle w:val="Prrafodelista"/>
              <w:ind w:left="0"/>
              <w:jc w:val="right"/>
              <w:rPr>
                <w:rFonts w:ascii="Arial" w:hAnsi="Arial" w:cs="Arial"/>
                <w:b/>
                <w:sz w:val="18"/>
                <w:szCs w:val="18"/>
                <w:u w:val="single"/>
              </w:rPr>
            </w:pPr>
            <w:r w:rsidRPr="00977EFB">
              <w:rPr>
                <w:rFonts w:ascii="Arial" w:eastAsia="Calibri" w:hAnsi="Arial" w:cs="Arial"/>
                <w:b/>
                <w:sz w:val="16"/>
                <w:szCs w:val="16"/>
                <w:lang w:val="es-CO"/>
              </w:rPr>
              <w:t>60.227.391</w:t>
            </w:r>
          </w:p>
        </w:tc>
        <w:tc>
          <w:tcPr>
            <w:tcW w:w="2268" w:type="dxa"/>
          </w:tcPr>
          <w:p w14:paraId="7DE29BDD" w14:textId="77777777" w:rsidR="007E2F9F" w:rsidRPr="00977EFB" w:rsidRDefault="007E2F9F" w:rsidP="006548F8">
            <w:pPr>
              <w:pStyle w:val="Prrafodelista"/>
              <w:ind w:left="0"/>
              <w:jc w:val="right"/>
              <w:rPr>
                <w:rFonts w:ascii="Arial" w:hAnsi="Arial" w:cs="Arial"/>
                <w:b/>
                <w:sz w:val="18"/>
                <w:szCs w:val="18"/>
                <w:u w:val="single"/>
              </w:rPr>
            </w:pPr>
            <w:r w:rsidRPr="00977EFB">
              <w:rPr>
                <w:rFonts w:ascii="Arial" w:hAnsi="Arial" w:cs="Arial"/>
                <w:b/>
                <w:sz w:val="16"/>
                <w:szCs w:val="16"/>
                <w:u w:val="single"/>
              </w:rPr>
              <w:t>309.062</w:t>
            </w:r>
          </w:p>
        </w:tc>
      </w:tr>
    </w:tbl>
    <w:p w14:paraId="1C9DBB80" w14:textId="77777777" w:rsidR="007E2F9F" w:rsidRDefault="007E2F9F" w:rsidP="007E2F9F">
      <w:pPr>
        <w:jc w:val="both"/>
        <w:rPr>
          <w:rFonts w:ascii="Arial" w:hAnsi="Arial" w:cs="Arial"/>
          <w:sz w:val="28"/>
          <w:szCs w:val="28"/>
          <w:lang w:val="es-MX"/>
        </w:rPr>
      </w:pPr>
    </w:p>
    <w:p w14:paraId="6A2EE1C2" w14:textId="77777777" w:rsidR="007E2F9F" w:rsidRPr="006C79C6" w:rsidRDefault="007E2F9F" w:rsidP="007E2F9F">
      <w:pPr>
        <w:ind w:left="-284"/>
        <w:jc w:val="both"/>
        <w:rPr>
          <w:rFonts w:ascii="Arial" w:hAnsi="Arial" w:cs="Arial"/>
          <w:b/>
          <w:sz w:val="28"/>
          <w:szCs w:val="28"/>
          <w:lang w:val="es-MX"/>
        </w:rPr>
      </w:pPr>
      <w:r w:rsidRPr="006C79C6">
        <w:rPr>
          <w:rFonts w:ascii="Arial" w:hAnsi="Arial" w:cs="Arial"/>
          <w:b/>
          <w:sz w:val="28"/>
          <w:szCs w:val="28"/>
          <w:lang w:val="es-MX"/>
        </w:rPr>
        <w:t>34.- INSTITUTO DE CASAS FISCALES DEL EJERCITO.</w:t>
      </w:r>
    </w:p>
    <w:p w14:paraId="2397BB86" w14:textId="77777777" w:rsidR="007E2F9F" w:rsidRDefault="007E2F9F" w:rsidP="007E2F9F">
      <w:pPr>
        <w:jc w:val="both"/>
        <w:rPr>
          <w:rFonts w:ascii="Arial" w:hAnsi="Arial" w:cs="Arial"/>
          <w:sz w:val="28"/>
          <w:szCs w:val="28"/>
          <w:lang w:val="es-MX"/>
        </w:rPr>
      </w:pPr>
    </w:p>
    <w:p w14:paraId="0F01DAAD"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552ECDE7"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lastRenderedPageBreak/>
        <w:t>(Cifras en miles de</w:t>
      </w:r>
      <w:r w:rsidRPr="000568EF">
        <w:rPr>
          <w:rFonts w:ascii="Arial" w:hAnsi="Arial" w:cs="Arial"/>
          <w:spacing w:val="-11"/>
          <w:sz w:val="24"/>
        </w:rPr>
        <w:t xml:space="preserve"> </w:t>
      </w:r>
      <w:r w:rsidRPr="000568EF">
        <w:rPr>
          <w:rFonts w:ascii="Arial" w:hAnsi="Arial" w:cs="Arial"/>
          <w:sz w:val="24"/>
        </w:rPr>
        <w:t>pesos).</w:t>
      </w:r>
    </w:p>
    <w:p w14:paraId="7F9DF373"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9A2F47" w14:paraId="7AC3F65D" w14:textId="77777777" w:rsidTr="006548F8">
        <w:tc>
          <w:tcPr>
            <w:tcW w:w="4253" w:type="dxa"/>
          </w:tcPr>
          <w:p w14:paraId="69918F7E" w14:textId="77777777" w:rsidR="007E2F9F" w:rsidRPr="009A2F47" w:rsidRDefault="007E2F9F" w:rsidP="006548F8">
            <w:pPr>
              <w:ind w:left="1169" w:right="-1440"/>
              <w:rPr>
                <w:rFonts w:ascii="Arial" w:hAnsi="Arial" w:cs="Arial"/>
                <w:b/>
                <w:sz w:val="18"/>
                <w:szCs w:val="18"/>
                <w:lang w:val="es-ES_tradnl"/>
              </w:rPr>
            </w:pPr>
            <w:r w:rsidRPr="009A2F47">
              <w:rPr>
                <w:rFonts w:ascii="Arial" w:hAnsi="Arial" w:cs="Arial"/>
                <w:b/>
                <w:sz w:val="18"/>
                <w:szCs w:val="18"/>
                <w:lang w:val="es-ES_tradnl"/>
              </w:rPr>
              <w:t>TIPO DE GASTO</w:t>
            </w:r>
          </w:p>
        </w:tc>
        <w:tc>
          <w:tcPr>
            <w:tcW w:w="1985" w:type="dxa"/>
          </w:tcPr>
          <w:p w14:paraId="103AB369" w14:textId="77777777" w:rsidR="007E2F9F" w:rsidRPr="009A2F47" w:rsidRDefault="007E2F9F" w:rsidP="006548F8">
            <w:pPr>
              <w:jc w:val="center"/>
              <w:rPr>
                <w:rFonts w:ascii="Arial" w:hAnsi="Arial" w:cs="Arial"/>
                <w:b/>
                <w:sz w:val="18"/>
                <w:szCs w:val="18"/>
                <w:lang w:val="es-ES_tradnl"/>
              </w:rPr>
            </w:pPr>
            <w:r w:rsidRPr="009A2F47">
              <w:rPr>
                <w:rFonts w:ascii="Arial" w:hAnsi="Arial" w:cs="Arial"/>
                <w:b/>
                <w:sz w:val="18"/>
                <w:szCs w:val="18"/>
                <w:lang w:val="es-ES_tradnl"/>
              </w:rPr>
              <w:t>APROPIACIÓN</w:t>
            </w:r>
          </w:p>
          <w:p w14:paraId="3701866E" w14:textId="77777777" w:rsidR="007E2F9F" w:rsidRPr="009A2F47" w:rsidRDefault="007E2F9F" w:rsidP="006548F8">
            <w:pPr>
              <w:jc w:val="center"/>
              <w:rPr>
                <w:rFonts w:ascii="Arial" w:hAnsi="Arial" w:cs="Arial"/>
                <w:b/>
                <w:sz w:val="18"/>
                <w:szCs w:val="18"/>
                <w:lang w:val="es-ES_tradnl"/>
              </w:rPr>
            </w:pPr>
            <w:r w:rsidRPr="009A2F47">
              <w:rPr>
                <w:rFonts w:ascii="Arial" w:hAnsi="Arial" w:cs="Arial"/>
                <w:b/>
                <w:sz w:val="18"/>
                <w:szCs w:val="18"/>
                <w:lang w:val="es-ES_tradnl"/>
              </w:rPr>
              <w:t>DEFINITIVA</w:t>
            </w:r>
          </w:p>
          <w:p w14:paraId="508F0825" w14:textId="77777777" w:rsidR="007E2F9F" w:rsidRPr="009A2F47" w:rsidRDefault="007E2F9F" w:rsidP="006548F8">
            <w:pPr>
              <w:jc w:val="center"/>
              <w:rPr>
                <w:rFonts w:ascii="Arial" w:hAnsi="Arial" w:cs="Arial"/>
                <w:b/>
                <w:sz w:val="18"/>
                <w:szCs w:val="18"/>
                <w:lang w:val="es-ES_tradnl"/>
              </w:rPr>
            </w:pPr>
            <w:r w:rsidRPr="009A2F47">
              <w:rPr>
                <w:rFonts w:ascii="Arial" w:hAnsi="Arial" w:cs="Arial"/>
                <w:b/>
                <w:sz w:val="18"/>
                <w:szCs w:val="18"/>
                <w:lang w:val="es-ES_tradnl"/>
              </w:rPr>
              <w:t>(1)</w:t>
            </w:r>
          </w:p>
          <w:p w14:paraId="1A3859A5" w14:textId="77777777" w:rsidR="007E2F9F" w:rsidRPr="009A2F47" w:rsidRDefault="007E2F9F" w:rsidP="006548F8">
            <w:pPr>
              <w:jc w:val="center"/>
              <w:rPr>
                <w:rFonts w:ascii="Arial" w:hAnsi="Arial" w:cs="Arial"/>
                <w:b/>
                <w:sz w:val="18"/>
                <w:szCs w:val="18"/>
                <w:lang w:val="es-ES_tradnl"/>
              </w:rPr>
            </w:pPr>
          </w:p>
        </w:tc>
        <w:tc>
          <w:tcPr>
            <w:tcW w:w="1984" w:type="dxa"/>
          </w:tcPr>
          <w:p w14:paraId="7ED3DF7C" w14:textId="77777777" w:rsidR="007E2F9F" w:rsidRPr="009A2F47" w:rsidRDefault="007E2F9F" w:rsidP="006548F8">
            <w:pPr>
              <w:ind w:left="145" w:right="184"/>
              <w:jc w:val="center"/>
              <w:rPr>
                <w:rFonts w:ascii="Arial" w:hAnsi="Arial" w:cs="Arial"/>
                <w:b/>
                <w:sz w:val="18"/>
                <w:szCs w:val="18"/>
                <w:lang w:val="es-ES_tradnl"/>
              </w:rPr>
            </w:pPr>
            <w:r w:rsidRPr="009A2F47">
              <w:rPr>
                <w:rFonts w:ascii="Arial" w:hAnsi="Arial" w:cs="Arial"/>
                <w:b/>
                <w:sz w:val="18"/>
                <w:szCs w:val="18"/>
                <w:lang w:val="es-ES_tradnl"/>
              </w:rPr>
              <w:t>EJECUCIÓN</w:t>
            </w:r>
          </w:p>
          <w:p w14:paraId="2131A25E" w14:textId="77777777" w:rsidR="007E2F9F" w:rsidRPr="009A2F47" w:rsidRDefault="007E2F9F" w:rsidP="006548F8">
            <w:pPr>
              <w:ind w:right="34"/>
              <w:jc w:val="center"/>
              <w:rPr>
                <w:rFonts w:ascii="Arial" w:hAnsi="Arial" w:cs="Arial"/>
                <w:b/>
                <w:sz w:val="18"/>
                <w:szCs w:val="18"/>
                <w:lang w:val="es-ES_tradnl"/>
              </w:rPr>
            </w:pPr>
            <w:r w:rsidRPr="009A2F47">
              <w:rPr>
                <w:rFonts w:ascii="Arial" w:hAnsi="Arial" w:cs="Arial"/>
                <w:b/>
                <w:sz w:val="18"/>
                <w:szCs w:val="18"/>
                <w:lang w:val="es-ES_tradnl"/>
              </w:rPr>
              <w:t>COMPROMISOS</w:t>
            </w:r>
          </w:p>
          <w:p w14:paraId="082EAF9E" w14:textId="77777777" w:rsidR="007E2F9F" w:rsidRPr="009A2F47" w:rsidRDefault="007E2F9F" w:rsidP="006548F8">
            <w:pPr>
              <w:ind w:right="34"/>
              <w:jc w:val="center"/>
              <w:rPr>
                <w:rFonts w:ascii="Arial" w:hAnsi="Arial" w:cs="Arial"/>
                <w:b/>
                <w:sz w:val="18"/>
                <w:szCs w:val="18"/>
                <w:lang w:val="es-ES_tradnl"/>
              </w:rPr>
            </w:pPr>
            <w:r w:rsidRPr="009A2F47">
              <w:rPr>
                <w:rFonts w:ascii="Arial" w:hAnsi="Arial" w:cs="Arial"/>
                <w:b/>
                <w:sz w:val="18"/>
                <w:szCs w:val="18"/>
                <w:lang w:val="es-ES_tradnl"/>
              </w:rPr>
              <w:t>(2)</w:t>
            </w:r>
          </w:p>
        </w:tc>
        <w:tc>
          <w:tcPr>
            <w:tcW w:w="2268" w:type="dxa"/>
          </w:tcPr>
          <w:p w14:paraId="0213EE1C" w14:textId="77777777" w:rsidR="007E2F9F" w:rsidRPr="009A2F47" w:rsidRDefault="007E2F9F" w:rsidP="006548F8">
            <w:pPr>
              <w:ind w:left="25" w:right="34"/>
              <w:jc w:val="center"/>
              <w:rPr>
                <w:rFonts w:ascii="Arial" w:hAnsi="Arial" w:cs="Arial"/>
                <w:b/>
                <w:sz w:val="18"/>
                <w:szCs w:val="18"/>
                <w:lang w:val="es-ES_tradnl"/>
              </w:rPr>
            </w:pPr>
            <w:r w:rsidRPr="009A2F47">
              <w:rPr>
                <w:rFonts w:ascii="Arial" w:hAnsi="Arial" w:cs="Arial"/>
                <w:b/>
                <w:sz w:val="18"/>
                <w:szCs w:val="18"/>
                <w:lang w:val="es-ES_tradnl"/>
              </w:rPr>
              <w:t>PÉRDIDAS DE</w:t>
            </w:r>
          </w:p>
          <w:p w14:paraId="51A25401" w14:textId="77777777" w:rsidR="007E2F9F" w:rsidRPr="009A2F47" w:rsidRDefault="007E2F9F" w:rsidP="006548F8">
            <w:pPr>
              <w:ind w:right="34"/>
              <w:jc w:val="center"/>
              <w:rPr>
                <w:rFonts w:ascii="Arial" w:hAnsi="Arial" w:cs="Arial"/>
                <w:b/>
                <w:sz w:val="18"/>
                <w:szCs w:val="18"/>
                <w:lang w:val="es-ES_tradnl"/>
              </w:rPr>
            </w:pPr>
            <w:r w:rsidRPr="009A2F47">
              <w:rPr>
                <w:rFonts w:ascii="Arial" w:hAnsi="Arial" w:cs="Arial"/>
                <w:b/>
                <w:sz w:val="18"/>
                <w:szCs w:val="18"/>
                <w:lang w:val="es-ES_tradnl"/>
              </w:rPr>
              <w:t>APROPIACIÓN</w:t>
            </w:r>
          </w:p>
          <w:p w14:paraId="5B7D8E2B" w14:textId="77777777" w:rsidR="007E2F9F" w:rsidRPr="009A2F47" w:rsidRDefault="007E2F9F" w:rsidP="006548F8">
            <w:pPr>
              <w:ind w:right="34"/>
              <w:jc w:val="center"/>
              <w:rPr>
                <w:rFonts w:ascii="Arial" w:hAnsi="Arial" w:cs="Arial"/>
                <w:b/>
                <w:sz w:val="18"/>
                <w:szCs w:val="18"/>
                <w:lang w:val="es-ES_tradnl"/>
              </w:rPr>
            </w:pPr>
            <w:r w:rsidRPr="009A2F47">
              <w:rPr>
                <w:rFonts w:ascii="Arial" w:hAnsi="Arial" w:cs="Arial"/>
                <w:b/>
                <w:sz w:val="18"/>
                <w:szCs w:val="18"/>
                <w:lang w:val="es-ES_tradnl"/>
              </w:rPr>
              <w:t>3 = (1-2)</w:t>
            </w:r>
          </w:p>
        </w:tc>
      </w:tr>
      <w:tr w:rsidR="007E2F9F" w:rsidRPr="009A2F47" w14:paraId="7D399258" w14:textId="77777777" w:rsidTr="006548F8">
        <w:trPr>
          <w:trHeight w:val="230"/>
        </w:trPr>
        <w:tc>
          <w:tcPr>
            <w:tcW w:w="4253" w:type="dxa"/>
          </w:tcPr>
          <w:p w14:paraId="4ACF3975" w14:textId="77777777" w:rsidR="007E2F9F" w:rsidRPr="009A2F47" w:rsidRDefault="007E2F9F" w:rsidP="006548F8">
            <w:pPr>
              <w:ind w:right="-1440"/>
              <w:jc w:val="both"/>
              <w:rPr>
                <w:rFonts w:ascii="Arial" w:hAnsi="Arial" w:cs="Arial"/>
                <w:b/>
                <w:sz w:val="18"/>
                <w:szCs w:val="18"/>
                <w:lang w:val="es-ES_tradnl"/>
              </w:rPr>
            </w:pPr>
            <w:r w:rsidRPr="009A2F47">
              <w:rPr>
                <w:rFonts w:ascii="Arial" w:hAnsi="Arial" w:cs="Arial"/>
                <w:b/>
                <w:sz w:val="18"/>
                <w:szCs w:val="18"/>
                <w:lang w:val="es-ES_tradnl"/>
              </w:rPr>
              <w:t>FUNCIONAMIENTO</w:t>
            </w:r>
          </w:p>
        </w:tc>
        <w:tc>
          <w:tcPr>
            <w:tcW w:w="1985" w:type="dxa"/>
          </w:tcPr>
          <w:p w14:paraId="0ADC1819" w14:textId="77777777" w:rsidR="007E2F9F" w:rsidRPr="009A2F47" w:rsidRDefault="007E2F9F" w:rsidP="006548F8">
            <w:pPr>
              <w:pStyle w:val="Prrafodelista"/>
              <w:ind w:left="0"/>
              <w:jc w:val="right"/>
              <w:rPr>
                <w:rFonts w:ascii="Arial" w:hAnsi="Arial" w:cs="Arial"/>
                <w:b/>
                <w:sz w:val="18"/>
                <w:szCs w:val="18"/>
              </w:rPr>
            </w:pPr>
            <w:r w:rsidRPr="009A2F47">
              <w:rPr>
                <w:rFonts w:ascii="Arial" w:hAnsi="Arial" w:cs="Arial"/>
                <w:b/>
                <w:sz w:val="16"/>
              </w:rPr>
              <w:tab/>
            </w:r>
            <w:r w:rsidRPr="009A2F47">
              <w:rPr>
                <w:rFonts w:ascii="Arial" w:hAnsi="Arial" w:cs="Arial"/>
                <w:b/>
                <w:spacing w:val="-2"/>
                <w:sz w:val="16"/>
              </w:rPr>
              <w:t>32.728.000,00</w:t>
            </w:r>
          </w:p>
        </w:tc>
        <w:tc>
          <w:tcPr>
            <w:tcW w:w="1984" w:type="dxa"/>
          </w:tcPr>
          <w:p w14:paraId="38951B59" w14:textId="77777777" w:rsidR="007E2F9F" w:rsidRPr="009A2F47" w:rsidRDefault="007E2F9F" w:rsidP="006548F8">
            <w:pPr>
              <w:pStyle w:val="Prrafodelista"/>
              <w:ind w:left="0"/>
              <w:jc w:val="right"/>
              <w:rPr>
                <w:rFonts w:ascii="Arial" w:hAnsi="Arial" w:cs="Arial"/>
                <w:b/>
                <w:sz w:val="18"/>
                <w:szCs w:val="18"/>
              </w:rPr>
            </w:pPr>
            <w:r w:rsidRPr="009A2F47">
              <w:rPr>
                <w:rFonts w:ascii="Arial" w:hAnsi="Arial" w:cs="Arial"/>
                <w:b/>
                <w:sz w:val="16"/>
              </w:rPr>
              <w:tab/>
            </w:r>
            <w:r w:rsidRPr="009A2F47">
              <w:rPr>
                <w:rFonts w:ascii="Arial" w:hAnsi="Arial" w:cs="Arial"/>
                <w:b/>
                <w:spacing w:val="-2"/>
                <w:sz w:val="16"/>
              </w:rPr>
              <w:t>30.729.173,00</w:t>
            </w:r>
          </w:p>
        </w:tc>
        <w:tc>
          <w:tcPr>
            <w:tcW w:w="2268" w:type="dxa"/>
          </w:tcPr>
          <w:p w14:paraId="4B46FBE0" w14:textId="77777777" w:rsidR="007E2F9F" w:rsidRPr="009A2F47" w:rsidRDefault="007E2F9F" w:rsidP="006548F8">
            <w:pPr>
              <w:pStyle w:val="Prrafodelista"/>
              <w:ind w:left="0"/>
              <w:jc w:val="right"/>
              <w:rPr>
                <w:rFonts w:ascii="Arial" w:hAnsi="Arial" w:cs="Arial"/>
                <w:b/>
                <w:sz w:val="18"/>
                <w:szCs w:val="18"/>
              </w:rPr>
            </w:pPr>
            <w:r w:rsidRPr="009A2F47">
              <w:rPr>
                <w:rFonts w:ascii="Arial" w:hAnsi="Arial" w:cs="Arial"/>
                <w:b/>
                <w:sz w:val="16"/>
              </w:rPr>
              <w:tab/>
            </w:r>
            <w:r w:rsidRPr="009A2F47">
              <w:rPr>
                <w:rFonts w:ascii="Arial" w:hAnsi="Arial" w:cs="Arial"/>
                <w:b/>
                <w:spacing w:val="-2"/>
                <w:sz w:val="16"/>
              </w:rPr>
              <w:t>1.998.827,00</w:t>
            </w:r>
          </w:p>
        </w:tc>
      </w:tr>
      <w:tr w:rsidR="007E2F9F" w:rsidRPr="009A2F47" w14:paraId="32ACFCF3" w14:textId="77777777" w:rsidTr="006548F8">
        <w:tc>
          <w:tcPr>
            <w:tcW w:w="4253" w:type="dxa"/>
          </w:tcPr>
          <w:p w14:paraId="24B02F3C" w14:textId="77777777" w:rsidR="007E2F9F" w:rsidRPr="009A2F47" w:rsidRDefault="007E2F9F" w:rsidP="006548F8">
            <w:pPr>
              <w:ind w:right="-1440"/>
              <w:jc w:val="both"/>
              <w:rPr>
                <w:rFonts w:ascii="Arial" w:hAnsi="Arial" w:cs="Arial"/>
                <w:b/>
                <w:sz w:val="18"/>
                <w:szCs w:val="18"/>
                <w:lang w:val="es-ES_tradnl"/>
              </w:rPr>
            </w:pPr>
            <w:r w:rsidRPr="009A2F47">
              <w:rPr>
                <w:rFonts w:ascii="Arial" w:hAnsi="Arial" w:cs="Arial"/>
                <w:b/>
                <w:sz w:val="18"/>
                <w:szCs w:val="18"/>
                <w:lang w:val="es-ES_tradnl"/>
              </w:rPr>
              <w:t>INVERSIÓN</w:t>
            </w:r>
          </w:p>
        </w:tc>
        <w:tc>
          <w:tcPr>
            <w:tcW w:w="1985" w:type="dxa"/>
          </w:tcPr>
          <w:p w14:paraId="1610CE9E" w14:textId="77777777" w:rsidR="007E2F9F" w:rsidRPr="009A2F47" w:rsidRDefault="007E2F9F" w:rsidP="006548F8">
            <w:pPr>
              <w:pStyle w:val="Prrafodelista"/>
              <w:ind w:left="0"/>
              <w:jc w:val="right"/>
              <w:rPr>
                <w:rFonts w:ascii="Arial" w:hAnsi="Arial" w:cs="Arial"/>
                <w:b/>
                <w:sz w:val="18"/>
                <w:szCs w:val="18"/>
              </w:rPr>
            </w:pPr>
            <w:r w:rsidRPr="009A2F47">
              <w:rPr>
                <w:rFonts w:ascii="Arial" w:hAnsi="Arial" w:cs="Arial"/>
                <w:spacing w:val="-10"/>
                <w:sz w:val="16"/>
              </w:rPr>
              <w:t xml:space="preserve">    </w:t>
            </w:r>
            <w:r w:rsidRPr="009A2F47">
              <w:rPr>
                <w:rFonts w:ascii="Arial" w:hAnsi="Arial" w:cs="Arial"/>
                <w:sz w:val="16"/>
              </w:rPr>
              <w:tab/>
            </w:r>
            <w:r w:rsidRPr="009A2F47">
              <w:rPr>
                <w:rFonts w:ascii="Arial" w:hAnsi="Arial" w:cs="Arial"/>
                <w:spacing w:val="-2"/>
                <w:sz w:val="16"/>
              </w:rPr>
              <w:t>38.560.000,00</w:t>
            </w:r>
          </w:p>
        </w:tc>
        <w:tc>
          <w:tcPr>
            <w:tcW w:w="1984" w:type="dxa"/>
          </w:tcPr>
          <w:p w14:paraId="1DD33142" w14:textId="77777777" w:rsidR="007E2F9F" w:rsidRPr="009A2F47" w:rsidRDefault="007E2F9F" w:rsidP="006548F8">
            <w:pPr>
              <w:pStyle w:val="Prrafodelista"/>
              <w:ind w:left="0"/>
              <w:jc w:val="right"/>
              <w:rPr>
                <w:rFonts w:ascii="Arial" w:hAnsi="Arial" w:cs="Arial"/>
                <w:b/>
                <w:sz w:val="18"/>
                <w:szCs w:val="18"/>
              </w:rPr>
            </w:pPr>
            <w:r w:rsidRPr="009A2F47">
              <w:rPr>
                <w:rFonts w:ascii="Arial" w:hAnsi="Arial" w:cs="Arial"/>
                <w:sz w:val="16"/>
              </w:rPr>
              <w:tab/>
            </w:r>
            <w:r w:rsidRPr="009A2F47">
              <w:rPr>
                <w:rFonts w:ascii="Arial" w:hAnsi="Arial" w:cs="Arial"/>
                <w:spacing w:val="-2"/>
                <w:sz w:val="16"/>
              </w:rPr>
              <w:t>28.513.820,00</w:t>
            </w:r>
          </w:p>
        </w:tc>
        <w:tc>
          <w:tcPr>
            <w:tcW w:w="2268" w:type="dxa"/>
          </w:tcPr>
          <w:p w14:paraId="4A156ABF" w14:textId="77777777" w:rsidR="007E2F9F" w:rsidRPr="009A2F47" w:rsidRDefault="007E2F9F" w:rsidP="006548F8">
            <w:pPr>
              <w:pStyle w:val="Prrafodelista"/>
              <w:ind w:left="0"/>
              <w:jc w:val="right"/>
              <w:rPr>
                <w:rFonts w:ascii="Arial" w:hAnsi="Arial" w:cs="Arial"/>
                <w:b/>
                <w:sz w:val="18"/>
                <w:szCs w:val="18"/>
              </w:rPr>
            </w:pPr>
            <w:r w:rsidRPr="009A2F47">
              <w:rPr>
                <w:rFonts w:ascii="Arial" w:hAnsi="Arial" w:cs="Arial"/>
                <w:sz w:val="16"/>
              </w:rPr>
              <w:tab/>
            </w:r>
            <w:r w:rsidRPr="009A2F47">
              <w:rPr>
                <w:rFonts w:ascii="Arial" w:hAnsi="Arial" w:cs="Arial"/>
                <w:spacing w:val="-2"/>
                <w:sz w:val="16"/>
              </w:rPr>
              <w:t>10.046.180,00</w:t>
            </w:r>
          </w:p>
        </w:tc>
      </w:tr>
      <w:tr w:rsidR="007E2F9F" w:rsidRPr="009A2F47" w14:paraId="4C9B248C" w14:textId="77777777" w:rsidTr="006548F8">
        <w:tc>
          <w:tcPr>
            <w:tcW w:w="4253" w:type="dxa"/>
          </w:tcPr>
          <w:p w14:paraId="3170CEC5" w14:textId="77777777" w:rsidR="007E2F9F" w:rsidRPr="009A2F47" w:rsidRDefault="007E2F9F" w:rsidP="006548F8">
            <w:pPr>
              <w:ind w:right="-1440"/>
              <w:jc w:val="both"/>
              <w:rPr>
                <w:rFonts w:ascii="Arial" w:hAnsi="Arial" w:cs="Arial"/>
                <w:b/>
                <w:sz w:val="18"/>
                <w:szCs w:val="18"/>
                <w:lang w:val="es-ES_tradnl"/>
              </w:rPr>
            </w:pPr>
            <w:r w:rsidRPr="009A2F47">
              <w:rPr>
                <w:rFonts w:ascii="Arial" w:hAnsi="Arial" w:cs="Arial"/>
                <w:b/>
                <w:sz w:val="18"/>
                <w:szCs w:val="18"/>
                <w:lang w:val="es-ES_tradnl"/>
              </w:rPr>
              <w:t>TOTAL PÉRDIDAS DE APROPIACIÓN</w:t>
            </w:r>
          </w:p>
        </w:tc>
        <w:tc>
          <w:tcPr>
            <w:tcW w:w="1985" w:type="dxa"/>
          </w:tcPr>
          <w:p w14:paraId="4FB922E6" w14:textId="77777777" w:rsidR="007E2F9F" w:rsidRPr="009A2F47" w:rsidRDefault="007E2F9F" w:rsidP="006548F8">
            <w:pPr>
              <w:pStyle w:val="Prrafodelista"/>
              <w:ind w:left="0"/>
              <w:jc w:val="right"/>
              <w:rPr>
                <w:rFonts w:ascii="Arial" w:hAnsi="Arial" w:cs="Arial"/>
                <w:b/>
                <w:sz w:val="18"/>
                <w:szCs w:val="18"/>
                <w:u w:val="single"/>
              </w:rPr>
            </w:pPr>
            <w:r w:rsidRPr="009A2F47">
              <w:rPr>
                <w:rFonts w:ascii="Arial" w:hAnsi="Arial" w:cs="Arial"/>
                <w:b/>
                <w:spacing w:val="-10"/>
                <w:sz w:val="16"/>
              </w:rPr>
              <w:t xml:space="preserve">            </w:t>
            </w:r>
            <w:r w:rsidRPr="009A2F47">
              <w:rPr>
                <w:rFonts w:ascii="Arial" w:hAnsi="Arial" w:cs="Arial"/>
                <w:b/>
                <w:sz w:val="16"/>
              </w:rPr>
              <w:t xml:space="preserve">        </w:t>
            </w:r>
            <w:r w:rsidRPr="009A2F47">
              <w:rPr>
                <w:rFonts w:ascii="Arial" w:hAnsi="Arial" w:cs="Arial"/>
                <w:b/>
                <w:spacing w:val="-2"/>
                <w:sz w:val="16"/>
              </w:rPr>
              <w:t xml:space="preserve">32.728.000,00  </w:t>
            </w:r>
          </w:p>
        </w:tc>
        <w:tc>
          <w:tcPr>
            <w:tcW w:w="1984" w:type="dxa"/>
          </w:tcPr>
          <w:p w14:paraId="0C7CA866" w14:textId="77777777" w:rsidR="007E2F9F" w:rsidRPr="009A2F47" w:rsidRDefault="007E2F9F" w:rsidP="006548F8">
            <w:pPr>
              <w:pStyle w:val="Prrafodelista"/>
              <w:ind w:left="0"/>
              <w:jc w:val="right"/>
              <w:rPr>
                <w:rFonts w:ascii="Arial" w:hAnsi="Arial" w:cs="Arial"/>
                <w:b/>
                <w:sz w:val="18"/>
                <w:szCs w:val="18"/>
                <w:u w:val="single"/>
              </w:rPr>
            </w:pPr>
            <w:r w:rsidRPr="009A2F47">
              <w:rPr>
                <w:rFonts w:ascii="Arial" w:hAnsi="Arial" w:cs="Arial"/>
                <w:b/>
                <w:spacing w:val="-10"/>
                <w:sz w:val="16"/>
              </w:rPr>
              <w:t xml:space="preserve">           </w:t>
            </w:r>
            <w:r w:rsidRPr="009A2F47">
              <w:rPr>
                <w:rFonts w:ascii="Arial" w:hAnsi="Arial" w:cs="Arial"/>
                <w:b/>
                <w:sz w:val="16"/>
              </w:rPr>
              <w:tab/>
            </w:r>
            <w:r w:rsidRPr="009A2F47">
              <w:rPr>
                <w:rFonts w:ascii="Arial" w:hAnsi="Arial" w:cs="Arial"/>
                <w:b/>
                <w:spacing w:val="-2"/>
                <w:sz w:val="16"/>
              </w:rPr>
              <w:t>30.729.173,00</w:t>
            </w:r>
          </w:p>
        </w:tc>
        <w:tc>
          <w:tcPr>
            <w:tcW w:w="2268" w:type="dxa"/>
          </w:tcPr>
          <w:p w14:paraId="2555188A" w14:textId="77777777" w:rsidR="007E2F9F" w:rsidRPr="009A2F47" w:rsidRDefault="007E2F9F" w:rsidP="006548F8">
            <w:pPr>
              <w:pStyle w:val="Prrafodelista"/>
              <w:ind w:left="0"/>
              <w:jc w:val="right"/>
              <w:rPr>
                <w:rFonts w:ascii="Arial" w:hAnsi="Arial" w:cs="Arial"/>
                <w:b/>
                <w:sz w:val="18"/>
                <w:szCs w:val="18"/>
                <w:u w:val="single"/>
              </w:rPr>
            </w:pPr>
            <w:r w:rsidRPr="009A2F47">
              <w:rPr>
                <w:rFonts w:ascii="Arial" w:hAnsi="Arial" w:cs="Arial"/>
                <w:b/>
                <w:spacing w:val="-10"/>
                <w:sz w:val="16"/>
              </w:rPr>
              <w:t xml:space="preserve">                                </w:t>
            </w:r>
            <w:r w:rsidRPr="009A2F47">
              <w:rPr>
                <w:rFonts w:ascii="Arial" w:hAnsi="Arial" w:cs="Arial"/>
                <w:b/>
                <w:spacing w:val="-2"/>
                <w:sz w:val="16"/>
              </w:rPr>
              <w:t>1.998.827,00</w:t>
            </w:r>
          </w:p>
        </w:tc>
      </w:tr>
    </w:tbl>
    <w:p w14:paraId="76D5F476" w14:textId="77777777" w:rsidR="007E2F9F" w:rsidRDefault="007E2F9F" w:rsidP="007E2F9F">
      <w:pPr>
        <w:jc w:val="both"/>
        <w:rPr>
          <w:rFonts w:ascii="Arial" w:hAnsi="Arial" w:cs="Arial"/>
          <w:sz w:val="28"/>
          <w:szCs w:val="28"/>
          <w:lang w:val="es-MX"/>
        </w:rPr>
      </w:pPr>
    </w:p>
    <w:p w14:paraId="09103866" w14:textId="77777777" w:rsidR="007E2F9F" w:rsidRPr="00FE16A1" w:rsidRDefault="007E2F9F" w:rsidP="007E2F9F">
      <w:pPr>
        <w:ind w:left="-284"/>
        <w:jc w:val="both"/>
        <w:rPr>
          <w:rFonts w:ascii="Arial" w:hAnsi="Arial" w:cs="Arial"/>
          <w:b/>
          <w:sz w:val="28"/>
          <w:szCs w:val="28"/>
          <w:lang w:val="es-MX"/>
        </w:rPr>
      </w:pPr>
      <w:r w:rsidRPr="00FE16A1">
        <w:rPr>
          <w:rFonts w:ascii="Arial" w:hAnsi="Arial" w:cs="Arial"/>
          <w:b/>
          <w:sz w:val="28"/>
          <w:szCs w:val="28"/>
          <w:lang w:val="es-MX"/>
        </w:rPr>
        <w:t>36.- U.A.E. AGENCIA NACIONAL DEL ESPECTRO – ANE.</w:t>
      </w:r>
    </w:p>
    <w:p w14:paraId="4E505953" w14:textId="77777777" w:rsidR="007E2F9F" w:rsidRDefault="007E2F9F" w:rsidP="007E2F9F">
      <w:pPr>
        <w:jc w:val="both"/>
        <w:rPr>
          <w:rFonts w:ascii="Arial" w:hAnsi="Arial" w:cs="Arial"/>
          <w:sz w:val="28"/>
          <w:szCs w:val="28"/>
          <w:lang w:val="es-MX"/>
        </w:rPr>
      </w:pPr>
    </w:p>
    <w:p w14:paraId="7B7FAECC"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C61CCA8"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7EF52F4E"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FE16A1" w14:paraId="289255FD" w14:textId="77777777" w:rsidTr="006548F8">
        <w:tc>
          <w:tcPr>
            <w:tcW w:w="4253" w:type="dxa"/>
          </w:tcPr>
          <w:p w14:paraId="1F24C14B" w14:textId="77777777" w:rsidR="007E2F9F" w:rsidRPr="00FE16A1" w:rsidRDefault="007E2F9F" w:rsidP="006548F8">
            <w:pPr>
              <w:ind w:left="1169" w:right="-1440"/>
              <w:rPr>
                <w:rFonts w:ascii="Arial" w:hAnsi="Arial" w:cs="Arial"/>
                <w:b/>
                <w:sz w:val="18"/>
                <w:szCs w:val="18"/>
                <w:lang w:val="es-ES_tradnl"/>
              </w:rPr>
            </w:pPr>
            <w:r w:rsidRPr="00FE16A1">
              <w:rPr>
                <w:rFonts w:ascii="Arial" w:hAnsi="Arial" w:cs="Arial"/>
                <w:b/>
                <w:sz w:val="18"/>
                <w:szCs w:val="18"/>
                <w:lang w:val="es-ES_tradnl"/>
              </w:rPr>
              <w:t>TIPO DE GASTO</w:t>
            </w:r>
          </w:p>
        </w:tc>
        <w:tc>
          <w:tcPr>
            <w:tcW w:w="1985" w:type="dxa"/>
          </w:tcPr>
          <w:p w14:paraId="60181AC2" w14:textId="77777777" w:rsidR="007E2F9F" w:rsidRPr="00FE16A1" w:rsidRDefault="007E2F9F" w:rsidP="006548F8">
            <w:pPr>
              <w:jc w:val="center"/>
              <w:rPr>
                <w:rFonts w:ascii="Arial" w:hAnsi="Arial" w:cs="Arial"/>
                <w:b/>
                <w:sz w:val="18"/>
                <w:szCs w:val="18"/>
                <w:lang w:val="es-ES_tradnl"/>
              </w:rPr>
            </w:pPr>
            <w:r w:rsidRPr="00FE16A1">
              <w:rPr>
                <w:rFonts w:ascii="Arial" w:hAnsi="Arial" w:cs="Arial"/>
                <w:b/>
                <w:sz w:val="18"/>
                <w:szCs w:val="18"/>
                <w:lang w:val="es-ES_tradnl"/>
              </w:rPr>
              <w:t>APROPIACIÓN</w:t>
            </w:r>
          </w:p>
          <w:p w14:paraId="17C76D61" w14:textId="77777777" w:rsidR="007E2F9F" w:rsidRPr="00FE16A1" w:rsidRDefault="007E2F9F" w:rsidP="006548F8">
            <w:pPr>
              <w:jc w:val="center"/>
              <w:rPr>
                <w:rFonts w:ascii="Arial" w:hAnsi="Arial" w:cs="Arial"/>
                <w:b/>
                <w:sz w:val="18"/>
                <w:szCs w:val="18"/>
                <w:lang w:val="es-ES_tradnl"/>
              </w:rPr>
            </w:pPr>
            <w:r w:rsidRPr="00FE16A1">
              <w:rPr>
                <w:rFonts w:ascii="Arial" w:hAnsi="Arial" w:cs="Arial"/>
                <w:b/>
                <w:sz w:val="18"/>
                <w:szCs w:val="18"/>
                <w:lang w:val="es-ES_tradnl"/>
              </w:rPr>
              <w:t>DEFINITIVA</w:t>
            </w:r>
          </w:p>
          <w:p w14:paraId="58BBE11A" w14:textId="77777777" w:rsidR="007E2F9F" w:rsidRPr="00FE16A1" w:rsidRDefault="007E2F9F" w:rsidP="006548F8">
            <w:pPr>
              <w:jc w:val="center"/>
              <w:rPr>
                <w:rFonts w:ascii="Arial" w:hAnsi="Arial" w:cs="Arial"/>
                <w:b/>
                <w:sz w:val="18"/>
                <w:szCs w:val="18"/>
                <w:lang w:val="es-ES_tradnl"/>
              </w:rPr>
            </w:pPr>
            <w:r w:rsidRPr="00FE16A1">
              <w:rPr>
                <w:rFonts w:ascii="Arial" w:hAnsi="Arial" w:cs="Arial"/>
                <w:b/>
                <w:sz w:val="18"/>
                <w:szCs w:val="18"/>
                <w:lang w:val="es-ES_tradnl"/>
              </w:rPr>
              <w:t>(1)</w:t>
            </w:r>
          </w:p>
          <w:p w14:paraId="3AB78B7F" w14:textId="77777777" w:rsidR="007E2F9F" w:rsidRPr="00FE16A1" w:rsidRDefault="007E2F9F" w:rsidP="006548F8">
            <w:pPr>
              <w:jc w:val="center"/>
              <w:rPr>
                <w:rFonts w:ascii="Arial" w:hAnsi="Arial" w:cs="Arial"/>
                <w:b/>
                <w:sz w:val="18"/>
                <w:szCs w:val="18"/>
                <w:lang w:val="es-ES_tradnl"/>
              </w:rPr>
            </w:pPr>
          </w:p>
        </w:tc>
        <w:tc>
          <w:tcPr>
            <w:tcW w:w="1984" w:type="dxa"/>
          </w:tcPr>
          <w:p w14:paraId="2E6F53F1" w14:textId="77777777" w:rsidR="007E2F9F" w:rsidRPr="00FE16A1" w:rsidRDefault="007E2F9F" w:rsidP="006548F8">
            <w:pPr>
              <w:ind w:left="145" w:right="184"/>
              <w:jc w:val="center"/>
              <w:rPr>
                <w:rFonts w:ascii="Arial" w:hAnsi="Arial" w:cs="Arial"/>
                <w:b/>
                <w:sz w:val="18"/>
                <w:szCs w:val="18"/>
                <w:lang w:val="es-ES_tradnl"/>
              </w:rPr>
            </w:pPr>
            <w:r w:rsidRPr="00FE16A1">
              <w:rPr>
                <w:rFonts w:ascii="Arial" w:hAnsi="Arial" w:cs="Arial"/>
                <w:b/>
                <w:sz w:val="18"/>
                <w:szCs w:val="18"/>
                <w:lang w:val="es-ES_tradnl"/>
              </w:rPr>
              <w:t>EJECUCIÓN</w:t>
            </w:r>
          </w:p>
          <w:p w14:paraId="7FF3FEFE" w14:textId="77777777" w:rsidR="007E2F9F" w:rsidRPr="00FE16A1" w:rsidRDefault="007E2F9F" w:rsidP="006548F8">
            <w:pPr>
              <w:ind w:right="34"/>
              <w:jc w:val="center"/>
              <w:rPr>
                <w:rFonts w:ascii="Arial" w:hAnsi="Arial" w:cs="Arial"/>
                <w:b/>
                <w:sz w:val="18"/>
                <w:szCs w:val="18"/>
                <w:lang w:val="es-ES_tradnl"/>
              </w:rPr>
            </w:pPr>
            <w:r w:rsidRPr="00FE16A1">
              <w:rPr>
                <w:rFonts w:ascii="Arial" w:hAnsi="Arial" w:cs="Arial"/>
                <w:b/>
                <w:sz w:val="18"/>
                <w:szCs w:val="18"/>
                <w:lang w:val="es-ES_tradnl"/>
              </w:rPr>
              <w:t>COMPROMISOS</w:t>
            </w:r>
          </w:p>
          <w:p w14:paraId="4E8A4A30" w14:textId="77777777" w:rsidR="007E2F9F" w:rsidRPr="00FE16A1" w:rsidRDefault="007E2F9F" w:rsidP="006548F8">
            <w:pPr>
              <w:ind w:right="34"/>
              <w:jc w:val="center"/>
              <w:rPr>
                <w:rFonts w:ascii="Arial" w:hAnsi="Arial" w:cs="Arial"/>
                <w:b/>
                <w:sz w:val="18"/>
                <w:szCs w:val="18"/>
                <w:lang w:val="es-ES_tradnl"/>
              </w:rPr>
            </w:pPr>
            <w:r w:rsidRPr="00FE16A1">
              <w:rPr>
                <w:rFonts w:ascii="Arial" w:hAnsi="Arial" w:cs="Arial"/>
                <w:b/>
                <w:sz w:val="18"/>
                <w:szCs w:val="18"/>
                <w:lang w:val="es-ES_tradnl"/>
              </w:rPr>
              <w:t>(2)</w:t>
            </w:r>
          </w:p>
        </w:tc>
        <w:tc>
          <w:tcPr>
            <w:tcW w:w="2268" w:type="dxa"/>
          </w:tcPr>
          <w:p w14:paraId="2A4CED47" w14:textId="77777777" w:rsidR="007E2F9F" w:rsidRPr="00FE16A1" w:rsidRDefault="007E2F9F" w:rsidP="006548F8">
            <w:pPr>
              <w:ind w:left="25" w:right="34"/>
              <w:jc w:val="center"/>
              <w:rPr>
                <w:rFonts w:ascii="Arial" w:hAnsi="Arial" w:cs="Arial"/>
                <w:b/>
                <w:sz w:val="18"/>
                <w:szCs w:val="18"/>
                <w:lang w:val="es-ES_tradnl"/>
              </w:rPr>
            </w:pPr>
            <w:r w:rsidRPr="00FE16A1">
              <w:rPr>
                <w:rFonts w:ascii="Arial" w:hAnsi="Arial" w:cs="Arial"/>
                <w:b/>
                <w:sz w:val="18"/>
                <w:szCs w:val="18"/>
                <w:lang w:val="es-ES_tradnl"/>
              </w:rPr>
              <w:t>PÉRDIDAS DE</w:t>
            </w:r>
          </w:p>
          <w:p w14:paraId="64378E77" w14:textId="77777777" w:rsidR="007E2F9F" w:rsidRPr="00FE16A1" w:rsidRDefault="007E2F9F" w:rsidP="006548F8">
            <w:pPr>
              <w:ind w:right="34"/>
              <w:jc w:val="center"/>
              <w:rPr>
                <w:rFonts w:ascii="Arial" w:hAnsi="Arial" w:cs="Arial"/>
                <w:b/>
                <w:sz w:val="18"/>
                <w:szCs w:val="18"/>
                <w:lang w:val="es-ES_tradnl"/>
              </w:rPr>
            </w:pPr>
            <w:r w:rsidRPr="00FE16A1">
              <w:rPr>
                <w:rFonts w:ascii="Arial" w:hAnsi="Arial" w:cs="Arial"/>
                <w:b/>
                <w:sz w:val="18"/>
                <w:szCs w:val="18"/>
                <w:lang w:val="es-ES_tradnl"/>
              </w:rPr>
              <w:t>APROPIACIÓN</w:t>
            </w:r>
          </w:p>
          <w:p w14:paraId="4261449F" w14:textId="77777777" w:rsidR="007E2F9F" w:rsidRPr="00FE16A1" w:rsidRDefault="007E2F9F" w:rsidP="006548F8">
            <w:pPr>
              <w:ind w:right="34"/>
              <w:jc w:val="center"/>
              <w:rPr>
                <w:rFonts w:ascii="Arial" w:hAnsi="Arial" w:cs="Arial"/>
                <w:b/>
                <w:sz w:val="18"/>
                <w:szCs w:val="18"/>
                <w:lang w:val="es-ES_tradnl"/>
              </w:rPr>
            </w:pPr>
            <w:r w:rsidRPr="00FE16A1">
              <w:rPr>
                <w:rFonts w:ascii="Arial" w:hAnsi="Arial" w:cs="Arial"/>
                <w:b/>
                <w:sz w:val="18"/>
                <w:szCs w:val="18"/>
                <w:lang w:val="es-ES_tradnl"/>
              </w:rPr>
              <w:t>3 = (1-2)</w:t>
            </w:r>
          </w:p>
        </w:tc>
      </w:tr>
      <w:tr w:rsidR="007E2F9F" w:rsidRPr="00FE16A1" w14:paraId="074EE615" w14:textId="77777777" w:rsidTr="006548F8">
        <w:trPr>
          <w:trHeight w:val="230"/>
        </w:trPr>
        <w:tc>
          <w:tcPr>
            <w:tcW w:w="4253" w:type="dxa"/>
          </w:tcPr>
          <w:p w14:paraId="10F996AA" w14:textId="77777777" w:rsidR="007E2F9F" w:rsidRPr="00FE16A1" w:rsidRDefault="007E2F9F" w:rsidP="006548F8">
            <w:pPr>
              <w:ind w:right="-1440"/>
              <w:jc w:val="both"/>
              <w:rPr>
                <w:rFonts w:ascii="Arial" w:hAnsi="Arial" w:cs="Arial"/>
                <w:b/>
                <w:sz w:val="18"/>
                <w:szCs w:val="18"/>
                <w:lang w:val="es-ES_tradnl"/>
              </w:rPr>
            </w:pPr>
            <w:r w:rsidRPr="00FE16A1">
              <w:rPr>
                <w:rFonts w:ascii="Arial" w:hAnsi="Arial" w:cs="Arial"/>
                <w:b/>
                <w:sz w:val="18"/>
                <w:szCs w:val="18"/>
                <w:lang w:val="es-ES_tradnl"/>
              </w:rPr>
              <w:t>FUNCIONAMIENTO</w:t>
            </w:r>
          </w:p>
        </w:tc>
        <w:tc>
          <w:tcPr>
            <w:tcW w:w="1985" w:type="dxa"/>
          </w:tcPr>
          <w:p w14:paraId="5215C3BC" w14:textId="77777777" w:rsidR="007E2F9F" w:rsidRPr="00FE16A1" w:rsidRDefault="007E2F9F" w:rsidP="006548F8">
            <w:pPr>
              <w:pStyle w:val="Prrafodelista"/>
              <w:ind w:left="0"/>
              <w:jc w:val="right"/>
              <w:rPr>
                <w:rFonts w:ascii="Arial" w:hAnsi="Arial" w:cs="Arial"/>
                <w:b/>
                <w:sz w:val="18"/>
                <w:szCs w:val="18"/>
              </w:rPr>
            </w:pPr>
            <w:r w:rsidRPr="00FE16A1">
              <w:rPr>
                <w:rFonts w:ascii="Arial" w:eastAsia="Calibri" w:hAnsi="Arial" w:cs="Arial"/>
                <w:sz w:val="16"/>
                <w:szCs w:val="16"/>
                <w:lang w:val="es-CO"/>
              </w:rPr>
              <w:t>20.197.057</w:t>
            </w:r>
          </w:p>
        </w:tc>
        <w:tc>
          <w:tcPr>
            <w:tcW w:w="1984" w:type="dxa"/>
          </w:tcPr>
          <w:p w14:paraId="2802E42E" w14:textId="77777777" w:rsidR="007E2F9F" w:rsidRPr="00FE16A1" w:rsidRDefault="007E2F9F" w:rsidP="006548F8">
            <w:pPr>
              <w:pStyle w:val="Prrafodelista"/>
              <w:ind w:left="0"/>
              <w:jc w:val="right"/>
              <w:rPr>
                <w:rFonts w:ascii="Arial" w:hAnsi="Arial" w:cs="Arial"/>
                <w:b/>
                <w:sz w:val="18"/>
                <w:szCs w:val="18"/>
              </w:rPr>
            </w:pPr>
            <w:r w:rsidRPr="00FE16A1">
              <w:rPr>
                <w:rFonts w:ascii="Arial" w:eastAsia="Calibri" w:hAnsi="Arial" w:cs="Arial"/>
                <w:sz w:val="16"/>
                <w:szCs w:val="16"/>
                <w:lang w:val="es-CO"/>
              </w:rPr>
              <w:t>17.602.607</w:t>
            </w:r>
          </w:p>
        </w:tc>
        <w:tc>
          <w:tcPr>
            <w:tcW w:w="2268" w:type="dxa"/>
          </w:tcPr>
          <w:p w14:paraId="11F88D3C" w14:textId="77777777" w:rsidR="007E2F9F" w:rsidRPr="00FE16A1" w:rsidRDefault="007E2F9F" w:rsidP="006548F8">
            <w:pPr>
              <w:pStyle w:val="Prrafodelista"/>
              <w:ind w:left="0"/>
              <w:jc w:val="right"/>
              <w:rPr>
                <w:rFonts w:ascii="Arial" w:hAnsi="Arial" w:cs="Arial"/>
                <w:b/>
                <w:sz w:val="18"/>
                <w:szCs w:val="18"/>
              </w:rPr>
            </w:pPr>
            <w:r w:rsidRPr="00FE16A1">
              <w:rPr>
                <w:rFonts w:ascii="Arial" w:hAnsi="Arial" w:cs="Arial"/>
                <w:b/>
                <w:sz w:val="16"/>
                <w:szCs w:val="16"/>
              </w:rPr>
              <w:t>2.594.450</w:t>
            </w:r>
          </w:p>
        </w:tc>
      </w:tr>
      <w:tr w:rsidR="007E2F9F" w:rsidRPr="00FE16A1" w14:paraId="2EF206F1" w14:textId="77777777" w:rsidTr="006548F8">
        <w:tc>
          <w:tcPr>
            <w:tcW w:w="4253" w:type="dxa"/>
          </w:tcPr>
          <w:p w14:paraId="78DD5857" w14:textId="77777777" w:rsidR="007E2F9F" w:rsidRPr="00FE16A1" w:rsidRDefault="007E2F9F" w:rsidP="006548F8">
            <w:pPr>
              <w:ind w:right="-1440"/>
              <w:jc w:val="both"/>
              <w:rPr>
                <w:rFonts w:ascii="Arial" w:hAnsi="Arial" w:cs="Arial"/>
                <w:b/>
                <w:sz w:val="18"/>
                <w:szCs w:val="18"/>
                <w:lang w:val="es-ES_tradnl"/>
              </w:rPr>
            </w:pPr>
            <w:r w:rsidRPr="00FE16A1">
              <w:rPr>
                <w:rFonts w:ascii="Arial" w:hAnsi="Arial" w:cs="Arial"/>
                <w:b/>
                <w:sz w:val="18"/>
                <w:szCs w:val="18"/>
                <w:lang w:val="es-ES_tradnl"/>
              </w:rPr>
              <w:t>INVERSIÓN</w:t>
            </w:r>
          </w:p>
        </w:tc>
        <w:tc>
          <w:tcPr>
            <w:tcW w:w="1985" w:type="dxa"/>
          </w:tcPr>
          <w:p w14:paraId="5E9301F5" w14:textId="77777777" w:rsidR="007E2F9F" w:rsidRPr="00FE16A1" w:rsidRDefault="007E2F9F" w:rsidP="006548F8">
            <w:pPr>
              <w:pStyle w:val="Prrafodelista"/>
              <w:ind w:left="0"/>
              <w:jc w:val="right"/>
              <w:rPr>
                <w:rFonts w:ascii="Arial" w:hAnsi="Arial" w:cs="Arial"/>
                <w:b/>
                <w:sz w:val="18"/>
                <w:szCs w:val="18"/>
              </w:rPr>
            </w:pPr>
            <w:r w:rsidRPr="00FE16A1">
              <w:rPr>
                <w:rFonts w:ascii="Arial" w:eastAsia="Calibri" w:hAnsi="Arial" w:cs="Arial"/>
                <w:sz w:val="16"/>
                <w:szCs w:val="16"/>
                <w:lang w:val="es-CO"/>
              </w:rPr>
              <w:t>28.186.407</w:t>
            </w:r>
          </w:p>
        </w:tc>
        <w:tc>
          <w:tcPr>
            <w:tcW w:w="1984" w:type="dxa"/>
          </w:tcPr>
          <w:p w14:paraId="48BEF3B0" w14:textId="77777777" w:rsidR="007E2F9F" w:rsidRPr="00FE16A1" w:rsidRDefault="007E2F9F" w:rsidP="006548F8">
            <w:pPr>
              <w:pStyle w:val="Prrafodelista"/>
              <w:ind w:left="0"/>
              <w:jc w:val="right"/>
              <w:rPr>
                <w:rFonts w:ascii="Arial" w:hAnsi="Arial" w:cs="Arial"/>
                <w:b/>
                <w:sz w:val="18"/>
                <w:szCs w:val="18"/>
              </w:rPr>
            </w:pPr>
            <w:r w:rsidRPr="00FE16A1">
              <w:rPr>
                <w:rFonts w:ascii="Arial" w:eastAsia="Calibri" w:hAnsi="Arial" w:cs="Arial"/>
                <w:sz w:val="16"/>
                <w:szCs w:val="16"/>
                <w:lang w:val="es-CO"/>
              </w:rPr>
              <w:t>26.686.561</w:t>
            </w:r>
          </w:p>
        </w:tc>
        <w:tc>
          <w:tcPr>
            <w:tcW w:w="2268" w:type="dxa"/>
          </w:tcPr>
          <w:p w14:paraId="60977F0D" w14:textId="77777777" w:rsidR="007E2F9F" w:rsidRPr="00FE16A1" w:rsidRDefault="007E2F9F" w:rsidP="006548F8">
            <w:pPr>
              <w:pStyle w:val="Prrafodelista"/>
              <w:ind w:left="0"/>
              <w:jc w:val="right"/>
              <w:rPr>
                <w:rFonts w:ascii="Arial" w:hAnsi="Arial" w:cs="Arial"/>
                <w:b/>
                <w:sz w:val="18"/>
                <w:szCs w:val="18"/>
              </w:rPr>
            </w:pPr>
            <w:r w:rsidRPr="00FE16A1">
              <w:rPr>
                <w:rFonts w:ascii="Arial" w:hAnsi="Arial" w:cs="Arial"/>
                <w:b/>
                <w:sz w:val="16"/>
                <w:szCs w:val="16"/>
              </w:rPr>
              <w:t>1.499.846</w:t>
            </w:r>
          </w:p>
        </w:tc>
      </w:tr>
      <w:tr w:rsidR="007E2F9F" w:rsidRPr="00FE16A1" w14:paraId="1FC60834" w14:textId="77777777" w:rsidTr="006548F8">
        <w:tc>
          <w:tcPr>
            <w:tcW w:w="4253" w:type="dxa"/>
          </w:tcPr>
          <w:p w14:paraId="160110A3" w14:textId="77777777" w:rsidR="007E2F9F" w:rsidRPr="00FE16A1" w:rsidRDefault="007E2F9F" w:rsidP="006548F8">
            <w:pPr>
              <w:ind w:right="-1440"/>
              <w:jc w:val="both"/>
              <w:rPr>
                <w:rFonts w:ascii="Arial" w:hAnsi="Arial" w:cs="Arial"/>
                <w:b/>
                <w:sz w:val="18"/>
                <w:szCs w:val="18"/>
                <w:lang w:val="es-ES_tradnl"/>
              </w:rPr>
            </w:pPr>
            <w:r w:rsidRPr="00FE16A1">
              <w:rPr>
                <w:rFonts w:ascii="Arial" w:hAnsi="Arial" w:cs="Arial"/>
                <w:b/>
                <w:sz w:val="18"/>
                <w:szCs w:val="18"/>
                <w:lang w:val="es-ES_tradnl"/>
              </w:rPr>
              <w:t>TOTAL PÉRDIDAS DE APROPIACIÓN</w:t>
            </w:r>
          </w:p>
        </w:tc>
        <w:tc>
          <w:tcPr>
            <w:tcW w:w="1985" w:type="dxa"/>
          </w:tcPr>
          <w:p w14:paraId="41E802D3" w14:textId="77777777" w:rsidR="007E2F9F" w:rsidRPr="00FE16A1" w:rsidRDefault="007E2F9F" w:rsidP="006548F8">
            <w:pPr>
              <w:pStyle w:val="Prrafodelista"/>
              <w:ind w:left="0"/>
              <w:jc w:val="right"/>
              <w:rPr>
                <w:rFonts w:ascii="Arial" w:hAnsi="Arial" w:cs="Arial"/>
                <w:b/>
                <w:sz w:val="18"/>
                <w:szCs w:val="18"/>
                <w:u w:val="single"/>
              </w:rPr>
            </w:pPr>
            <w:r w:rsidRPr="00FE16A1">
              <w:rPr>
                <w:rFonts w:ascii="Arial" w:eastAsia="Calibri" w:hAnsi="Arial" w:cs="Arial"/>
                <w:b/>
                <w:sz w:val="16"/>
                <w:szCs w:val="16"/>
                <w:lang w:val="es-CO"/>
              </w:rPr>
              <w:t>48.383.464</w:t>
            </w:r>
          </w:p>
        </w:tc>
        <w:tc>
          <w:tcPr>
            <w:tcW w:w="1984" w:type="dxa"/>
          </w:tcPr>
          <w:p w14:paraId="7CC128AC" w14:textId="77777777" w:rsidR="007E2F9F" w:rsidRPr="00FE16A1" w:rsidRDefault="007E2F9F" w:rsidP="006548F8">
            <w:pPr>
              <w:pStyle w:val="Prrafodelista"/>
              <w:ind w:left="0"/>
              <w:jc w:val="right"/>
              <w:rPr>
                <w:rFonts w:ascii="Arial" w:hAnsi="Arial" w:cs="Arial"/>
                <w:b/>
                <w:sz w:val="18"/>
                <w:szCs w:val="18"/>
                <w:u w:val="single"/>
              </w:rPr>
            </w:pPr>
            <w:r w:rsidRPr="00FE16A1">
              <w:rPr>
                <w:rFonts w:ascii="Arial" w:eastAsia="Calibri" w:hAnsi="Arial" w:cs="Arial"/>
                <w:b/>
                <w:sz w:val="16"/>
                <w:szCs w:val="16"/>
                <w:lang w:val="es-CO"/>
              </w:rPr>
              <w:t>44.289.168</w:t>
            </w:r>
          </w:p>
        </w:tc>
        <w:tc>
          <w:tcPr>
            <w:tcW w:w="2268" w:type="dxa"/>
          </w:tcPr>
          <w:p w14:paraId="19424E64" w14:textId="77777777" w:rsidR="007E2F9F" w:rsidRPr="00FE16A1" w:rsidRDefault="007E2F9F" w:rsidP="006548F8">
            <w:pPr>
              <w:pStyle w:val="Prrafodelista"/>
              <w:ind w:left="0"/>
              <w:jc w:val="right"/>
              <w:rPr>
                <w:rFonts w:ascii="Arial" w:hAnsi="Arial" w:cs="Arial"/>
                <w:b/>
                <w:sz w:val="18"/>
                <w:szCs w:val="18"/>
                <w:u w:val="single"/>
              </w:rPr>
            </w:pPr>
            <w:r w:rsidRPr="00FE16A1">
              <w:rPr>
                <w:rFonts w:ascii="Arial" w:hAnsi="Arial" w:cs="Arial"/>
                <w:b/>
                <w:sz w:val="16"/>
                <w:szCs w:val="16"/>
                <w:u w:val="single"/>
              </w:rPr>
              <w:t>4.094.296</w:t>
            </w:r>
          </w:p>
        </w:tc>
      </w:tr>
    </w:tbl>
    <w:p w14:paraId="0B357D5F" w14:textId="77777777" w:rsidR="007E2F9F" w:rsidRDefault="007E2F9F" w:rsidP="007E2F9F">
      <w:pPr>
        <w:jc w:val="both"/>
        <w:rPr>
          <w:rFonts w:ascii="Arial" w:hAnsi="Arial" w:cs="Arial"/>
          <w:sz w:val="28"/>
          <w:szCs w:val="28"/>
          <w:lang w:val="es-MX"/>
        </w:rPr>
      </w:pPr>
    </w:p>
    <w:p w14:paraId="1E176E1F" w14:textId="77777777" w:rsidR="007E2F9F" w:rsidRPr="00930E51" w:rsidRDefault="007E2F9F" w:rsidP="007E2F9F">
      <w:pPr>
        <w:ind w:left="-284"/>
        <w:jc w:val="both"/>
        <w:rPr>
          <w:rFonts w:ascii="Arial" w:hAnsi="Arial" w:cs="Arial"/>
          <w:b/>
          <w:sz w:val="32"/>
          <w:szCs w:val="32"/>
        </w:rPr>
      </w:pPr>
      <w:r w:rsidRPr="00930E51">
        <w:rPr>
          <w:rFonts w:ascii="Arial" w:hAnsi="Arial" w:cs="Arial"/>
          <w:b/>
          <w:sz w:val="28"/>
          <w:szCs w:val="28"/>
          <w:lang w:val="es-MX"/>
        </w:rPr>
        <w:t xml:space="preserve">37.- </w:t>
      </w:r>
      <w:r w:rsidRPr="00930E51">
        <w:rPr>
          <w:rFonts w:ascii="Arial" w:hAnsi="Arial" w:cs="Arial"/>
          <w:b/>
          <w:sz w:val="28"/>
          <w:szCs w:val="28"/>
        </w:rPr>
        <w:t>AGENCIA NACIONAL DE INFRAESTRUCTURA - ANI.</w:t>
      </w:r>
    </w:p>
    <w:p w14:paraId="03E84F1E" w14:textId="77777777" w:rsidR="007E2F9F" w:rsidRDefault="007E2F9F" w:rsidP="007E2F9F">
      <w:pPr>
        <w:jc w:val="both"/>
        <w:rPr>
          <w:rFonts w:ascii="Arial" w:hAnsi="Arial" w:cs="Arial"/>
          <w:sz w:val="28"/>
          <w:szCs w:val="28"/>
        </w:rPr>
      </w:pPr>
    </w:p>
    <w:p w14:paraId="022FD9B1"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00BEF9BA"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397EFE4F"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FC05A1" w14:paraId="2DAE3BB5" w14:textId="77777777" w:rsidTr="006548F8">
        <w:tc>
          <w:tcPr>
            <w:tcW w:w="4253" w:type="dxa"/>
          </w:tcPr>
          <w:p w14:paraId="57EEEDD7" w14:textId="77777777" w:rsidR="007E2F9F" w:rsidRPr="00FC05A1" w:rsidRDefault="007E2F9F" w:rsidP="006548F8">
            <w:pPr>
              <w:ind w:left="1169" w:right="-1440"/>
              <w:rPr>
                <w:rFonts w:ascii="Arial" w:hAnsi="Arial" w:cs="Arial"/>
                <w:b/>
                <w:sz w:val="18"/>
                <w:szCs w:val="18"/>
                <w:lang w:val="es-ES_tradnl"/>
              </w:rPr>
            </w:pPr>
            <w:r w:rsidRPr="00FC05A1">
              <w:rPr>
                <w:rFonts w:ascii="Arial" w:hAnsi="Arial" w:cs="Arial"/>
                <w:b/>
                <w:sz w:val="18"/>
                <w:szCs w:val="18"/>
                <w:lang w:val="es-ES_tradnl"/>
              </w:rPr>
              <w:t>TIPO DE GASTO</w:t>
            </w:r>
          </w:p>
        </w:tc>
        <w:tc>
          <w:tcPr>
            <w:tcW w:w="1985" w:type="dxa"/>
          </w:tcPr>
          <w:p w14:paraId="04273357" w14:textId="77777777" w:rsidR="007E2F9F" w:rsidRPr="00FC05A1" w:rsidRDefault="007E2F9F" w:rsidP="006548F8">
            <w:pPr>
              <w:jc w:val="center"/>
              <w:rPr>
                <w:rFonts w:ascii="Arial" w:hAnsi="Arial" w:cs="Arial"/>
                <w:b/>
                <w:sz w:val="18"/>
                <w:szCs w:val="18"/>
                <w:lang w:val="es-ES_tradnl"/>
              </w:rPr>
            </w:pPr>
            <w:r w:rsidRPr="00FC05A1">
              <w:rPr>
                <w:rFonts w:ascii="Arial" w:hAnsi="Arial" w:cs="Arial"/>
                <w:b/>
                <w:sz w:val="18"/>
                <w:szCs w:val="18"/>
                <w:lang w:val="es-ES_tradnl"/>
              </w:rPr>
              <w:t>APROPIACIÓN</w:t>
            </w:r>
          </w:p>
          <w:p w14:paraId="6EE94919" w14:textId="77777777" w:rsidR="007E2F9F" w:rsidRPr="00FC05A1" w:rsidRDefault="007E2F9F" w:rsidP="006548F8">
            <w:pPr>
              <w:jc w:val="center"/>
              <w:rPr>
                <w:rFonts w:ascii="Arial" w:hAnsi="Arial" w:cs="Arial"/>
                <w:b/>
                <w:sz w:val="18"/>
                <w:szCs w:val="18"/>
                <w:lang w:val="es-ES_tradnl"/>
              </w:rPr>
            </w:pPr>
            <w:r w:rsidRPr="00FC05A1">
              <w:rPr>
                <w:rFonts w:ascii="Arial" w:hAnsi="Arial" w:cs="Arial"/>
                <w:b/>
                <w:sz w:val="18"/>
                <w:szCs w:val="18"/>
                <w:lang w:val="es-ES_tradnl"/>
              </w:rPr>
              <w:t>DEFINITIVA</w:t>
            </w:r>
          </w:p>
          <w:p w14:paraId="06A642A4" w14:textId="77777777" w:rsidR="007E2F9F" w:rsidRPr="00FC05A1" w:rsidRDefault="007E2F9F" w:rsidP="006548F8">
            <w:pPr>
              <w:jc w:val="center"/>
              <w:rPr>
                <w:rFonts w:ascii="Arial" w:hAnsi="Arial" w:cs="Arial"/>
                <w:b/>
                <w:sz w:val="18"/>
                <w:szCs w:val="18"/>
                <w:lang w:val="es-ES_tradnl"/>
              </w:rPr>
            </w:pPr>
            <w:r w:rsidRPr="00FC05A1">
              <w:rPr>
                <w:rFonts w:ascii="Arial" w:hAnsi="Arial" w:cs="Arial"/>
                <w:b/>
                <w:sz w:val="18"/>
                <w:szCs w:val="18"/>
                <w:lang w:val="es-ES_tradnl"/>
              </w:rPr>
              <w:t>(1)</w:t>
            </w:r>
          </w:p>
          <w:p w14:paraId="3357391D" w14:textId="77777777" w:rsidR="007E2F9F" w:rsidRPr="00FC05A1" w:rsidRDefault="007E2F9F" w:rsidP="006548F8">
            <w:pPr>
              <w:jc w:val="center"/>
              <w:rPr>
                <w:rFonts w:ascii="Arial" w:hAnsi="Arial" w:cs="Arial"/>
                <w:b/>
                <w:sz w:val="18"/>
                <w:szCs w:val="18"/>
                <w:lang w:val="es-ES_tradnl"/>
              </w:rPr>
            </w:pPr>
          </w:p>
        </w:tc>
        <w:tc>
          <w:tcPr>
            <w:tcW w:w="1984" w:type="dxa"/>
          </w:tcPr>
          <w:p w14:paraId="3436D578" w14:textId="77777777" w:rsidR="007E2F9F" w:rsidRPr="00FC05A1" w:rsidRDefault="007E2F9F" w:rsidP="006548F8">
            <w:pPr>
              <w:ind w:left="145" w:right="184"/>
              <w:jc w:val="center"/>
              <w:rPr>
                <w:rFonts w:ascii="Arial" w:hAnsi="Arial" w:cs="Arial"/>
                <w:b/>
                <w:sz w:val="18"/>
                <w:szCs w:val="18"/>
                <w:lang w:val="es-ES_tradnl"/>
              </w:rPr>
            </w:pPr>
            <w:r w:rsidRPr="00FC05A1">
              <w:rPr>
                <w:rFonts w:ascii="Arial" w:hAnsi="Arial" w:cs="Arial"/>
                <w:b/>
                <w:sz w:val="18"/>
                <w:szCs w:val="18"/>
                <w:lang w:val="es-ES_tradnl"/>
              </w:rPr>
              <w:t>EJECUCIÓN</w:t>
            </w:r>
          </w:p>
          <w:p w14:paraId="36A81E75" w14:textId="77777777" w:rsidR="007E2F9F" w:rsidRPr="00FC05A1" w:rsidRDefault="007E2F9F" w:rsidP="006548F8">
            <w:pPr>
              <w:ind w:right="34"/>
              <w:jc w:val="center"/>
              <w:rPr>
                <w:rFonts w:ascii="Arial" w:hAnsi="Arial" w:cs="Arial"/>
                <w:b/>
                <w:sz w:val="18"/>
                <w:szCs w:val="18"/>
                <w:lang w:val="es-ES_tradnl"/>
              </w:rPr>
            </w:pPr>
            <w:r w:rsidRPr="00FC05A1">
              <w:rPr>
                <w:rFonts w:ascii="Arial" w:hAnsi="Arial" w:cs="Arial"/>
                <w:b/>
                <w:sz w:val="18"/>
                <w:szCs w:val="18"/>
                <w:lang w:val="es-ES_tradnl"/>
              </w:rPr>
              <w:t>COMPROMISOS</w:t>
            </w:r>
          </w:p>
          <w:p w14:paraId="6AA53B61" w14:textId="77777777" w:rsidR="007E2F9F" w:rsidRPr="00FC05A1" w:rsidRDefault="007E2F9F" w:rsidP="006548F8">
            <w:pPr>
              <w:ind w:right="34"/>
              <w:jc w:val="center"/>
              <w:rPr>
                <w:rFonts w:ascii="Arial" w:hAnsi="Arial" w:cs="Arial"/>
                <w:b/>
                <w:sz w:val="18"/>
                <w:szCs w:val="18"/>
                <w:lang w:val="es-ES_tradnl"/>
              </w:rPr>
            </w:pPr>
            <w:r w:rsidRPr="00FC05A1">
              <w:rPr>
                <w:rFonts w:ascii="Arial" w:hAnsi="Arial" w:cs="Arial"/>
                <w:b/>
                <w:sz w:val="18"/>
                <w:szCs w:val="18"/>
                <w:lang w:val="es-ES_tradnl"/>
              </w:rPr>
              <w:t>(2)</w:t>
            </w:r>
          </w:p>
        </w:tc>
        <w:tc>
          <w:tcPr>
            <w:tcW w:w="2268" w:type="dxa"/>
          </w:tcPr>
          <w:p w14:paraId="5FE3E003" w14:textId="77777777" w:rsidR="007E2F9F" w:rsidRPr="00FC05A1" w:rsidRDefault="007E2F9F" w:rsidP="006548F8">
            <w:pPr>
              <w:ind w:left="25" w:right="34"/>
              <w:jc w:val="center"/>
              <w:rPr>
                <w:rFonts w:ascii="Arial" w:hAnsi="Arial" w:cs="Arial"/>
                <w:b/>
                <w:sz w:val="18"/>
                <w:szCs w:val="18"/>
                <w:lang w:val="es-ES_tradnl"/>
              </w:rPr>
            </w:pPr>
            <w:r w:rsidRPr="00FC05A1">
              <w:rPr>
                <w:rFonts w:ascii="Arial" w:hAnsi="Arial" w:cs="Arial"/>
                <w:b/>
                <w:sz w:val="18"/>
                <w:szCs w:val="18"/>
                <w:lang w:val="es-ES_tradnl"/>
              </w:rPr>
              <w:t>PÉRDIDAS DE</w:t>
            </w:r>
          </w:p>
          <w:p w14:paraId="4415C2E2" w14:textId="77777777" w:rsidR="007E2F9F" w:rsidRPr="00FC05A1" w:rsidRDefault="007E2F9F" w:rsidP="006548F8">
            <w:pPr>
              <w:ind w:right="34"/>
              <w:jc w:val="center"/>
              <w:rPr>
                <w:rFonts w:ascii="Arial" w:hAnsi="Arial" w:cs="Arial"/>
                <w:b/>
                <w:sz w:val="18"/>
                <w:szCs w:val="18"/>
                <w:lang w:val="es-ES_tradnl"/>
              </w:rPr>
            </w:pPr>
            <w:r w:rsidRPr="00FC05A1">
              <w:rPr>
                <w:rFonts w:ascii="Arial" w:hAnsi="Arial" w:cs="Arial"/>
                <w:b/>
                <w:sz w:val="18"/>
                <w:szCs w:val="18"/>
                <w:lang w:val="es-ES_tradnl"/>
              </w:rPr>
              <w:t>APROPIACIÓN</w:t>
            </w:r>
          </w:p>
          <w:p w14:paraId="11E2323E" w14:textId="77777777" w:rsidR="007E2F9F" w:rsidRPr="00FC05A1" w:rsidRDefault="007E2F9F" w:rsidP="006548F8">
            <w:pPr>
              <w:ind w:right="34"/>
              <w:jc w:val="center"/>
              <w:rPr>
                <w:rFonts w:ascii="Arial" w:hAnsi="Arial" w:cs="Arial"/>
                <w:b/>
                <w:sz w:val="18"/>
                <w:szCs w:val="18"/>
                <w:lang w:val="es-ES_tradnl"/>
              </w:rPr>
            </w:pPr>
            <w:r w:rsidRPr="00FC05A1">
              <w:rPr>
                <w:rFonts w:ascii="Arial" w:hAnsi="Arial" w:cs="Arial"/>
                <w:b/>
                <w:sz w:val="18"/>
                <w:szCs w:val="18"/>
                <w:lang w:val="es-ES_tradnl"/>
              </w:rPr>
              <w:t>3 = (1-2)</w:t>
            </w:r>
          </w:p>
        </w:tc>
      </w:tr>
      <w:tr w:rsidR="007E2F9F" w:rsidRPr="00FC05A1" w14:paraId="1E05B967" w14:textId="77777777" w:rsidTr="006548F8">
        <w:trPr>
          <w:trHeight w:val="230"/>
        </w:trPr>
        <w:tc>
          <w:tcPr>
            <w:tcW w:w="4253" w:type="dxa"/>
          </w:tcPr>
          <w:p w14:paraId="103557AA" w14:textId="77777777" w:rsidR="007E2F9F" w:rsidRPr="00FC05A1" w:rsidRDefault="007E2F9F" w:rsidP="006548F8">
            <w:pPr>
              <w:ind w:right="-1440"/>
              <w:jc w:val="both"/>
              <w:rPr>
                <w:rFonts w:ascii="Arial" w:hAnsi="Arial" w:cs="Arial"/>
                <w:b/>
                <w:sz w:val="18"/>
                <w:szCs w:val="18"/>
                <w:lang w:val="es-ES_tradnl"/>
              </w:rPr>
            </w:pPr>
            <w:r w:rsidRPr="00FC05A1">
              <w:rPr>
                <w:rFonts w:ascii="Arial" w:hAnsi="Arial" w:cs="Arial"/>
                <w:b/>
                <w:sz w:val="18"/>
                <w:szCs w:val="18"/>
                <w:lang w:val="es-ES_tradnl"/>
              </w:rPr>
              <w:t>FUNCIONAMIENTO</w:t>
            </w:r>
          </w:p>
        </w:tc>
        <w:tc>
          <w:tcPr>
            <w:tcW w:w="1985" w:type="dxa"/>
          </w:tcPr>
          <w:p w14:paraId="6970BE1E" w14:textId="77777777" w:rsidR="007E2F9F" w:rsidRPr="00FC05A1" w:rsidRDefault="007E2F9F" w:rsidP="006548F8">
            <w:pPr>
              <w:pStyle w:val="Prrafodelista"/>
              <w:ind w:left="0"/>
              <w:jc w:val="right"/>
              <w:rPr>
                <w:rFonts w:ascii="Arial" w:hAnsi="Arial" w:cs="Arial"/>
                <w:b/>
                <w:sz w:val="18"/>
                <w:szCs w:val="18"/>
              </w:rPr>
            </w:pPr>
            <w:r w:rsidRPr="00FC05A1">
              <w:rPr>
                <w:rFonts w:ascii="Arial" w:eastAsia="Calibri" w:hAnsi="Arial" w:cs="Arial"/>
                <w:b/>
                <w:sz w:val="16"/>
                <w:szCs w:val="16"/>
                <w:lang w:val="es-CO"/>
              </w:rPr>
              <w:t>129.839.105,09</w:t>
            </w:r>
          </w:p>
        </w:tc>
        <w:tc>
          <w:tcPr>
            <w:tcW w:w="1984" w:type="dxa"/>
          </w:tcPr>
          <w:p w14:paraId="253A68EE" w14:textId="77777777" w:rsidR="007E2F9F" w:rsidRPr="00FC05A1" w:rsidRDefault="007E2F9F" w:rsidP="006548F8">
            <w:pPr>
              <w:pStyle w:val="Prrafodelista"/>
              <w:ind w:left="0"/>
              <w:jc w:val="right"/>
              <w:rPr>
                <w:rFonts w:ascii="Arial" w:hAnsi="Arial" w:cs="Arial"/>
                <w:b/>
                <w:sz w:val="18"/>
                <w:szCs w:val="18"/>
              </w:rPr>
            </w:pPr>
            <w:r w:rsidRPr="00FC05A1">
              <w:rPr>
                <w:rFonts w:ascii="Arial" w:eastAsia="Calibri" w:hAnsi="Arial" w:cs="Arial"/>
                <w:b/>
                <w:sz w:val="16"/>
                <w:szCs w:val="16"/>
                <w:lang w:val="es-CO"/>
              </w:rPr>
              <w:t>118.392.884,22</w:t>
            </w:r>
          </w:p>
        </w:tc>
        <w:tc>
          <w:tcPr>
            <w:tcW w:w="2268" w:type="dxa"/>
          </w:tcPr>
          <w:p w14:paraId="4CD838BE" w14:textId="77777777" w:rsidR="007E2F9F" w:rsidRPr="00FC05A1" w:rsidRDefault="007E2F9F" w:rsidP="006548F8">
            <w:pPr>
              <w:pStyle w:val="Prrafodelista"/>
              <w:ind w:left="0"/>
              <w:jc w:val="right"/>
              <w:rPr>
                <w:rFonts w:ascii="Arial" w:hAnsi="Arial" w:cs="Arial"/>
                <w:b/>
                <w:sz w:val="18"/>
                <w:szCs w:val="18"/>
              </w:rPr>
            </w:pPr>
            <w:r w:rsidRPr="00FC05A1">
              <w:rPr>
                <w:rFonts w:ascii="Arial" w:hAnsi="Arial" w:cs="Arial"/>
                <w:b/>
                <w:sz w:val="16"/>
                <w:szCs w:val="16"/>
              </w:rPr>
              <w:t>11.446.220,87</w:t>
            </w:r>
          </w:p>
        </w:tc>
      </w:tr>
      <w:tr w:rsidR="007E2F9F" w:rsidRPr="00FC05A1" w14:paraId="6ECFE331" w14:textId="77777777" w:rsidTr="006548F8">
        <w:tc>
          <w:tcPr>
            <w:tcW w:w="4253" w:type="dxa"/>
          </w:tcPr>
          <w:p w14:paraId="5CA658DE" w14:textId="77777777" w:rsidR="007E2F9F" w:rsidRPr="00FC05A1" w:rsidRDefault="007E2F9F" w:rsidP="006548F8">
            <w:pPr>
              <w:ind w:right="-1440"/>
              <w:jc w:val="both"/>
              <w:rPr>
                <w:rFonts w:ascii="Arial" w:hAnsi="Arial" w:cs="Arial"/>
                <w:b/>
                <w:sz w:val="18"/>
                <w:szCs w:val="18"/>
                <w:lang w:val="es-ES_tradnl"/>
              </w:rPr>
            </w:pPr>
            <w:r w:rsidRPr="00FC05A1">
              <w:rPr>
                <w:rFonts w:ascii="Arial" w:hAnsi="Arial" w:cs="Arial"/>
                <w:b/>
                <w:sz w:val="18"/>
                <w:szCs w:val="18"/>
                <w:lang w:val="es-ES_tradnl"/>
              </w:rPr>
              <w:t>INVERSIÓN</w:t>
            </w:r>
          </w:p>
        </w:tc>
        <w:tc>
          <w:tcPr>
            <w:tcW w:w="1985" w:type="dxa"/>
          </w:tcPr>
          <w:p w14:paraId="74AC1C2E" w14:textId="77777777" w:rsidR="007E2F9F" w:rsidRPr="00FC05A1" w:rsidRDefault="007E2F9F" w:rsidP="006548F8">
            <w:pPr>
              <w:pStyle w:val="Prrafodelista"/>
              <w:ind w:left="0"/>
              <w:jc w:val="right"/>
              <w:rPr>
                <w:rFonts w:ascii="Arial" w:hAnsi="Arial" w:cs="Arial"/>
                <w:b/>
                <w:sz w:val="18"/>
                <w:szCs w:val="18"/>
              </w:rPr>
            </w:pPr>
            <w:r w:rsidRPr="00FC05A1">
              <w:rPr>
                <w:rFonts w:ascii="Arial" w:eastAsia="Calibri" w:hAnsi="Arial" w:cs="Arial"/>
                <w:b/>
                <w:sz w:val="16"/>
                <w:szCs w:val="16"/>
                <w:lang w:val="es-CO"/>
              </w:rPr>
              <w:t>6.207.569.139,49</w:t>
            </w:r>
          </w:p>
        </w:tc>
        <w:tc>
          <w:tcPr>
            <w:tcW w:w="1984" w:type="dxa"/>
          </w:tcPr>
          <w:p w14:paraId="09C20142" w14:textId="77777777" w:rsidR="007E2F9F" w:rsidRPr="00FC05A1" w:rsidRDefault="007E2F9F" w:rsidP="006548F8">
            <w:pPr>
              <w:pStyle w:val="Prrafodelista"/>
              <w:ind w:left="0"/>
              <w:jc w:val="right"/>
              <w:rPr>
                <w:rFonts w:ascii="Arial" w:hAnsi="Arial" w:cs="Arial"/>
                <w:b/>
                <w:sz w:val="18"/>
                <w:szCs w:val="18"/>
              </w:rPr>
            </w:pPr>
            <w:r w:rsidRPr="00FC05A1">
              <w:rPr>
                <w:rFonts w:ascii="Arial" w:eastAsia="Calibri" w:hAnsi="Arial" w:cs="Arial"/>
                <w:b/>
                <w:sz w:val="16"/>
                <w:szCs w:val="16"/>
                <w:lang w:val="es-CO"/>
              </w:rPr>
              <w:t>6.129.639.501,49</w:t>
            </w:r>
          </w:p>
        </w:tc>
        <w:tc>
          <w:tcPr>
            <w:tcW w:w="2268" w:type="dxa"/>
          </w:tcPr>
          <w:p w14:paraId="72B6EDDB" w14:textId="77777777" w:rsidR="007E2F9F" w:rsidRPr="00FC05A1" w:rsidRDefault="007E2F9F" w:rsidP="006548F8">
            <w:pPr>
              <w:pStyle w:val="Prrafodelista"/>
              <w:ind w:left="0"/>
              <w:jc w:val="right"/>
              <w:rPr>
                <w:rFonts w:ascii="Arial" w:hAnsi="Arial" w:cs="Arial"/>
                <w:b/>
                <w:sz w:val="18"/>
                <w:szCs w:val="18"/>
              </w:rPr>
            </w:pPr>
            <w:r w:rsidRPr="00FC05A1">
              <w:rPr>
                <w:rFonts w:ascii="Arial" w:hAnsi="Arial" w:cs="Arial"/>
                <w:b/>
                <w:sz w:val="16"/>
                <w:szCs w:val="16"/>
              </w:rPr>
              <w:t>77.929.637,99</w:t>
            </w:r>
          </w:p>
        </w:tc>
      </w:tr>
      <w:tr w:rsidR="007E2F9F" w:rsidRPr="00FC05A1" w14:paraId="37FF18EC" w14:textId="77777777" w:rsidTr="006548F8">
        <w:tc>
          <w:tcPr>
            <w:tcW w:w="4253" w:type="dxa"/>
          </w:tcPr>
          <w:p w14:paraId="384BB9B9" w14:textId="77777777" w:rsidR="007E2F9F" w:rsidRPr="00FC05A1" w:rsidRDefault="007E2F9F" w:rsidP="006548F8">
            <w:pPr>
              <w:ind w:right="-1440"/>
              <w:jc w:val="both"/>
              <w:rPr>
                <w:rFonts w:ascii="Arial" w:hAnsi="Arial" w:cs="Arial"/>
                <w:b/>
                <w:sz w:val="18"/>
                <w:szCs w:val="18"/>
                <w:lang w:val="es-ES_tradnl"/>
              </w:rPr>
            </w:pPr>
            <w:r w:rsidRPr="00FC05A1">
              <w:rPr>
                <w:rFonts w:ascii="Arial" w:hAnsi="Arial" w:cs="Arial"/>
                <w:b/>
                <w:sz w:val="18"/>
                <w:szCs w:val="18"/>
                <w:lang w:val="es-ES_tradnl"/>
              </w:rPr>
              <w:t>TOTAL PÉRDIDAS DE APROPIACIÓN</w:t>
            </w:r>
          </w:p>
        </w:tc>
        <w:tc>
          <w:tcPr>
            <w:tcW w:w="1985" w:type="dxa"/>
          </w:tcPr>
          <w:p w14:paraId="4C20CFD7" w14:textId="77777777" w:rsidR="007E2F9F" w:rsidRPr="00FC05A1" w:rsidRDefault="007E2F9F" w:rsidP="006548F8">
            <w:pPr>
              <w:pStyle w:val="Prrafodelista"/>
              <w:ind w:left="0"/>
              <w:jc w:val="right"/>
              <w:rPr>
                <w:rFonts w:ascii="Arial" w:hAnsi="Arial" w:cs="Arial"/>
                <w:b/>
                <w:sz w:val="18"/>
                <w:szCs w:val="18"/>
                <w:u w:val="single"/>
              </w:rPr>
            </w:pPr>
            <w:r w:rsidRPr="00FC05A1">
              <w:rPr>
                <w:rFonts w:ascii="Arial" w:eastAsia="Calibri" w:hAnsi="Arial" w:cs="Arial"/>
                <w:b/>
                <w:sz w:val="16"/>
                <w:szCs w:val="16"/>
                <w:lang w:val="es-CO"/>
              </w:rPr>
              <w:t>7.876.920.815,58</w:t>
            </w:r>
          </w:p>
        </w:tc>
        <w:tc>
          <w:tcPr>
            <w:tcW w:w="1984" w:type="dxa"/>
          </w:tcPr>
          <w:p w14:paraId="21D23895" w14:textId="77777777" w:rsidR="007E2F9F" w:rsidRPr="00FC05A1" w:rsidRDefault="007E2F9F" w:rsidP="006548F8">
            <w:pPr>
              <w:pStyle w:val="Prrafodelista"/>
              <w:ind w:left="0"/>
              <w:jc w:val="right"/>
              <w:rPr>
                <w:rFonts w:ascii="Arial" w:hAnsi="Arial" w:cs="Arial"/>
                <w:b/>
                <w:sz w:val="18"/>
                <w:szCs w:val="18"/>
                <w:u w:val="single"/>
              </w:rPr>
            </w:pPr>
            <w:r w:rsidRPr="00FC05A1">
              <w:rPr>
                <w:rFonts w:ascii="Arial" w:eastAsia="Calibri" w:hAnsi="Arial" w:cs="Arial"/>
                <w:b/>
                <w:sz w:val="16"/>
                <w:szCs w:val="16"/>
                <w:lang w:val="es-CO"/>
              </w:rPr>
              <w:t>7.787.544.956,72</w:t>
            </w:r>
          </w:p>
        </w:tc>
        <w:tc>
          <w:tcPr>
            <w:tcW w:w="2268" w:type="dxa"/>
          </w:tcPr>
          <w:p w14:paraId="18D17EED" w14:textId="77777777" w:rsidR="007E2F9F" w:rsidRPr="00FC05A1" w:rsidRDefault="007E2F9F" w:rsidP="006548F8">
            <w:pPr>
              <w:pStyle w:val="Prrafodelista"/>
              <w:ind w:left="0"/>
              <w:jc w:val="right"/>
              <w:rPr>
                <w:rFonts w:ascii="Arial" w:hAnsi="Arial" w:cs="Arial"/>
                <w:b/>
                <w:sz w:val="18"/>
                <w:szCs w:val="18"/>
                <w:u w:val="single"/>
              </w:rPr>
            </w:pPr>
            <w:r w:rsidRPr="00FC05A1">
              <w:rPr>
                <w:rFonts w:ascii="Arial" w:hAnsi="Arial" w:cs="Arial"/>
                <w:b/>
                <w:sz w:val="16"/>
                <w:szCs w:val="16"/>
                <w:u w:val="single"/>
              </w:rPr>
              <w:t>89.375.858,86</w:t>
            </w:r>
          </w:p>
        </w:tc>
      </w:tr>
    </w:tbl>
    <w:p w14:paraId="506BF2DF" w14:textId="77777777" w:rsidR="007E2F9F" w:rsidRDefault="007E2F9F" w:rsidP="007E2F9F">
      <w:pPr>
        <w:jc w:val="both"/>
        <w:rPr>
          <w:rFonts w:ascii="Arial" w:hAnsi="Arial" w:cs="Arial"/>
          <w:sz w:val="28"/>
          <w:szCs w:val="28"/>
        </w:rPr>
      </w:pPr>
    </w:p>
    <w:p w14:paraId="58512662" w14:textId="77777777" w:rsidR="007E2F9F" w:rsidRPr="004979B4" w:rsidRDefault="007E2F9F" w:rsidP="007E2F9F">
      <w:pPr>
        <w:ind w:left="-284"/>
        <w:jc w:val="both"/>
        <w:rPr>
          <w:rFonts w:ascii="Arial" w:hAnsi="Arial" w:cs="Arial"/>
          <w:b/>
          <w:sz w:val="28"/>
          <w:szCs w:val="28"/>
          <w:lang w:val="es-MX"/>
        </w:rPr>
      </w:pPr>
      <w:r w:rsidRPr="004979B4">
        <w:rPr>
          <w:rFonts w:ascii="Arial" w:hAnsi="Arial" w:cs="Arial"/>
          <w:b/>
          <w:sz w:val="28"/>
          <w:szCs w:val="28"/>
          <w:lang w:val="es-MX"/>
        </w:rPr>
        <w:t xml:space="preserve">38.- SUPERINTENDENCIA NACIONAL DE SALUD – SUPERSALUD. </w:t>
      </w:r>
    </w:p>
    <w:p w14:paraId="3C3A617B" w14:textId="77777777" w:rsidR="007E2F9F" w:rsidRDefault="007E2F9F" w:rsidP="007E2F9F">
      <w:pPr>
        <w:jc w:val="both"/>
        <w:rPr>
          <w:rFonts w:ascii="Arial" w:hAnsi="Arial" w:cs="Arial"/>
          <w:sz w:val="28"/>
          <w:szCs w:val="28"/>
          <w:lang w:val="es-MX"/>
        </w:rPr>
      </w:pPr>
    </w:p>
    <w:p w14:paraId="26BA8A65"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5D5C0EF2"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2FB633FB"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A2689C" w14:paraId="55665F82" w14:textId="77777777" w:rsidTr="006548F8">
        <w:tc>
          <w:tcPr>
            <w:tcW w:w="4253" w:type="dxa"/>
          </w:tcPr>
          <w:p w14:paraId="7BF4E465" w14:textId="77777777" w:rsidR="007E2F9F" w:rsidRPr="00A2689C" w:rsidRDefault="007E2F9F" w:rsidP="006548F8">
            <w:pPr>
              <w:ind w:left="1169" w:right="-1440"/>
              <w:rPr>
                <w:rFonts w:ascii="Arial" w:hAnsi="Arial" w:cs="Arial"/>
                <w:b/>
                <w:sz w:val="18"/>
                <w:szCs w:val="18"/>
                <w:lang w:val="es-ES_tradnl"/>
              </w:rPr>
            </w:pPr>
            <w:r w:rsidRPr="00A2689C">
              <w:rPr>
                <w:rFonts w:ascii="Arial" w:hAnsi="Arial" w:cs="Arial"/>
                <w:b/>
                <w:sz w:val="18"/>
                <w:szCs w:val="18"/>
                <w:lang w:val="es-ES_tradnl"/>
              </w:rPr>
              <w:t>TIPO DE GASTO</w:t>
            </w:r>
          </w:p>
        </w:tc>
        <w:tc>
          <w:tcPr>
            <w:tcW w:w="1985" w:type="dxa"/>
          </w:tcPr>
          <w:p w14:paraId="7CEAEA14" w14:textId="77777777" w:rsidR="007E2F9F" w:rsidRPr="00A2689C" w:rsidRDefault="007E2F9F" w:rsidP="006548F8">
            <w:pPr>
              <w:jc w:val="center"/>
              <w:rPr>
                <w:rFonts w:ascii="Arial" w:hAnsi="Arial" w:cs="Arial"/>
                <w:b/>
                <w:sz w:val="18"/>
                <w:szCs w:val="18"/>
                <w:lang w:val="es-ES_tradnl"/>
              </w:rPr>
            </w:pPr>
            <w:r w:rsidRPr="00A2689C">
              <w:rPr>
                <w:rFonts w:ascii="Arial" w:hAnsi="Arial" w:cs="Arial"/>
                <w:b/>
                <w:sz w:val="18"/>
                <w:szCs w:val="18"/>
                <w:lang w:val="es-ES_tradnl"/>
              </w:rPr>
              <w:t>APROPIACIÓN</w:t>
            </w:r>
          </w:p>
          <w:p w14:paraId="5B22F6FA" w14:textId="77777777" w:rsidR="007E2F9F" w:rsidRPr="00A2689C" w:rsidRDefault="007E2F9F" w:rsidP="006548F8">
            <w:pPr>
              <w:jc w:val="center"/>
              <w:rPr>
                <w:rFonts w:ascii="Arial" w:hAnsi="Arial" w:cs="Arial"/>
                <w:b/>
                <w:sz w:val="18"/>
                <w:szCs w:val="18"/>
                <w:lang w:val="es-ES_tradnl"/>
              </w:rPr>
            </w:pPr>
            <w:r w:rsidRPr="00A2689C">
              <w:rPr>
                <w:rFonts w:ascii="Arial" w:hAnsi="Arial" w:cs="Arial"/>
                <w:b/>
                <w:sz w:val="18"/>
                <w:szCs w:val="18"/>
                <w:lang w:val="es-ES_tradnl"/>
              </w:rPr>
              <w:t>DEFINITIVA</w:t>
            </w:r>
          </w:p>
          <w:p w14:paraId="6769BC72" w14:textId="77777777" w:rsidR="007E2F9F" w:rsidRPr="00A2689C" w:rsidRDefault="007E2F9F" w:rsidP="006548F8">
            <w:pPr>
              <w:jc w:val="center"/>
              <w:rPr>
                <w:rFonts w:ascii="Arial" w:hAnsi="Arial" w:cs="Arial"/>
                <w:b/>
                <w:sz w:val="18"/>
                <w:szCs w:val="18"/>
                <w:lang w:val="es-ES_tradnl"/>
              </w:rPr>
            </w:pPr>
            <w:r w:rsidRPr="00A2689C">
              <w:rPr>
                <w:rFonts w:ascii="Arial" w:hAnsi="Arial" w:cs="Arial"/>
                <w:b/>
                <w:sz w:val="18"/>
                <w:szCs w:val="18"/>
                <w:lang w:val="es-ES_tradnl"/>
              </w:rPr>
              <w:t>(1)</w:t>
            </w:r>
          </w:p>
          <w:p w14:paraId="5E6F4345" w14:textId="77777777" w:rsidR="007E2F9F" w:rsidRPr="00A2689C" w:rsidRDefault="007E2F9F" w:rsidP="006548F8">
            <w:pPr>
              <w:jc w:val="center"/>
              <w:rPr>
                <w:rFonts w:ascii="Arial" w:hAnsi="Arial" w:cs="Arial"/>
                <w:b/>
                <w:sz w:val="18"/>
                <w:szCs w:val="18"/>
                <w:lang w:val="es-ES_tradnl"/>
              </w:rPr>
            </w:pPr>
          </w:p>
        </w:tc>
        <w:tc>
          <w:tcPr>
            <w:tcW w:w="1984" w:type="dxa"/>
          </w:tcPr>
          <w:p w14:paraId="6D749072" w14:textId="77777777" w:rsidR="007E2F9F" w:rsidRPr="00A2689C" w:rsidRDefault="007E2F9F" w:rsidP="006548F8">
            <w:pPr>
              <w:ind w:left="145" w:right="184"/>
              <w:jc w:val="center"/>
              <w:rPr>
                <w:rFonts w:ascii="Arial" w:hAnsi="Arial" w:cs="Arial"/>
                <w:b/>
                <w:sz w:val="18"/>
                <w:szCs w:val="18"/>
                <w:lang w:val="es-ES_tradnl"/>
              </w:rPr>
            </w:pPr>
            <w:r w:rsidRPr="00A2689C">
              <w:rPr>
                <w:rFonts w:ascii="Arial" w:hAnsi="Arial" w:cs="Arial"/>
                <w:b/>
                <w:sz w:val="18"/>
                <w:szCs w:val="18"/>
                <w:lang w:val="es-ES_tradnl"/>
              </w:rPr>
              <w:t>EJECUCIÓN</w:t>
            </w:r>
          </w:p>
          <w:p w14:paraId="2BD65236" w14:textId="77777777" w:rsidR="007E2F9F" w:rsidRPr="00A2689C" w:rsidRDefault="007E2F9F" w:rsidP="006548F8">
            <w:pPr>
              <w:ind w:right="34"/>
              <w:jc w:val="center"/>
              <w:rPr>
                <w:rFonts w:ascii="Arial" w:hAnsi="Arial" w:cs="Arial"/>
                <w:b/>
                <w:sz w:val="18"/>
                <w:szCs w:val="18"/>
                <w:lang w:val="es-ES_tradnl"/>
              </w:rPr>
            </w:pPr>
            <w:r w:rsidRPr="00A2689C">
              <w:rPr>
                <w:rFonts w:ascii="Arial" w:hAnsi="Arial" w:cs="Arial"/>
                <w:b/>
                <w:sz w:val="18"/>
                <w:szCs w:val="18"/>
                <w:lang w:val="es-ES_tradnl"/>
              </w:rPr>
              <w:t>COMPROMISOS</w:t>
            </w:r>
          </w:p>
          <w:p w14:paraId="581CB191" w14:textId="77777777" w:rsidR="007E2F9F" w:rsidRPr="00A2689C" w:rsidRDefault="007E2F9F" w:rsidP="006548F8">
            <w:pPr>
              <w:ind w:right="34"/>
              <w:jc w:val="center"/>
              <w:rPr>
                <w:rFonts w:ascii="Arial" w:hAnsi="Arial" w:cs="Arial"/>
                <w:b/>
                <w:sz w:val="18"/>
                <w:szCs w:val="18"/>
                <w:lang w:val="es-ES_tradnl"/>
              </w:rPr>
            </w:pPr>
            <w:r w:rsidRPr="00A2689C">
              <w:rPr>
                <w:rFonts w:ascii="Arial" w:hAnsi="Arial" w:cs="Arial"/>
                <w:b/>
                <w:sz w:val="18"/>
                <w:szCs w:val="18"/>
                <w:lang w:val="es-ES_tradnl"/>
              </w:rPr>
              <w:t>(2)</w:t>
            </w:r>
          </w:p>
        </w:tc>
        <w:tc>
          <w:tcPr>
            <w:tcW w:w="2268" w:type="dxa"/>
          </w:tcPr>
          <w:p w14:paraId="5FD4DA3F" w14:textId="77777777" w:rsidR="007E2F9F" w:rsidRPr="00A2689C" w:rsidRDefault="007E2F9F" w:rsidP="006548F8">
            <w:pPr>
              <w:ind w:left="25" w:right="34"/>
              <w:jc w:val="center"/>
              <w:rPr>
                <w:rFonts w:ascii="Arial" w:hAnsi="Arial" w:cs="Arial"/>
                <w:b/>
                <w:sz w:val="18"/>
                <w:szCs w:val="18"/>
                <w:lang w:val="es-ES_tradnl"/>
              </w:rPr>
            </w:pPr>
            <w:r w:rsidRPr="00A2689C">
              <w:rPr>
                <w:rFonts w:ascii="Arial" w:hAnsi="Arial" w:cs="Arial"/>
                <w:b/>
                <w:sz w:val="18"/>
                <w:szCs w:val="18"/>
                <w:lang w:val="es-ES_tradnl"/>
              </w:rPr>
              <w:t>PÉRDIDAS DE</w:t>
            </w:r>
          </w:p>
          <w:p w14:paraId="03C5832C" w14:textId="77777777" w:rsidR="007E2F9F" w:rsidRPr="00A2689C" w:rsidRDefault="007E2F9F" w:rsidP="006548F8">
            <w:pPr>
              <w:ind w:right="34"/>
              <w:jc w:val="center"/>
              <w:rPr>
                <w:rFonts w:ascii="Arial" w:hAnsi="Arial" w:cs="Arial"/>
                <w:b/>
                <w:sz w:val="18"/>
                <w:szCs w:val="18"/>
                <w:lang w:val="es-ES_tradnl"/>
              </w:rPr>
            </w:pPr>
            <w:r w:rsidRPr="00A2689C">
              <w:rPr>
                <w:rFonts w:ascii="Arial" w:hAnsi="Arial" w:cs="Arial"/>
                <w:b/>
                <w:sz w:val="18"/>
                <w:szCs w:val="18"/>
                <w:lang w:val="es-ES_tradnl"/>
              </w:rPr>
              <w:t>APROPIACIÓN</w:t>
            </w:r>
          </w:p>
          <w:p w14:paraId="4B45F21F" w14:textId="77777777" w:rsidR="007E2F9F" w:rsidRPr="00A2689C" w:rsidRDefault="007E2F9F" w:rsidP="006548F8">
            <w:pPr>
              <w:ind w:right="34"/>
              <w:jc w:val="center"/>
              <w:rPr>
                <w:rFonts w:ascii="Arial" w:hAnsi="Arial" w:cs="Arial"/>
                <w:b/>
                <w:sz w:val="18"/>
                <w:szCs w:val="18"/>
                <w:lang w:val="es-ES_tradnl"/>
              </w:rPr>
            </w:pPr>
            <w:r w:rsidRPr="00A2689C">
              <w:rPr>
                <w:rFonts w:ascii="Arial" w:hAnsi="Arial" w:cs="Arial"/>
                <w:b/>
                <w:sz w:val="18"/>
                <w:szCs w:val="18"/>
                <w:lang w:val="es-ES_tradnl"/>
              </w:rPr>
              <w:t>3 = (1-2)</w:t>
            </w:r>
          </w:p>
        </w:tc>
      </w:tr>
      <w:tr w:rsidR="007E2F9F" w:rsidRPr="00A2689C" w14:paraId="78E4E60C" w14:textId="77777777" w:rsidTr="006548F8">
        <w:trPr>
          <w:trHeight w:val="230"/>
        </w:trPr>
        <w:tc>
          <w:tcPr>
            <w:tcW w:w="4253" w:type="dxa"/>
          </w:tcPr>
          <w:p w14:paraId="536AECAC" w14:textId="77777777" w:rsidR="007E2F9F" w:rsidRPr="00A2689C" w:rsidRDefault="007E2F9F" w:rsidP="006548F8">
            <w:pPr>
              <w:ind w:right="-1440"/>
              <w:jc w:val="both"/>
              <w:rPr>
                <w:rFonts w:ascii="Arial" w:hAnsi="Arial" w:cs="Arial"/>
                <w:b/>
                <w:sz w:val="18"/>
                <w:szCs w:val="18"/>
                <w:lang w:val="es-ES_tradnl"/>
              </w:rPr>
            </w:pPr>
            <w:r w:rsidRPr="00A2689C">
              <w:rPr>
                <w:rFonts w:ascii="Arial" w:hAnsi="Arial" w:cs="Arial"/>
                <w:b/>
                <w:sz w:val="18"/>
                <w:szCs w:val="18"/>
                <w:lang w:val="es-ES_tradnl"/>
              </w:rPr>
              <w:t>FUNCIONAMIENTO</w:t>
            </w:r>
          </w:p>
        </w:tc>
        <w:tc>
          <w:tcPr>
            <w:tcW w:w="1985" w:type="dxa"/>
            <w:vAlign w:val="bottom"/>
          </w:tcPr>
          <w:p w14:paraId="48065248" w14:textId="77777777" w:rsidR="007E2F9F" w:rsidRPr="00A2689C" w:rsidRDefault="007E2F9F" w:rsidP="006548F8">
            <w:pPr>
              <w:pStyle w:val="Prrafodelista"/>
              <w:ind w:left="0"/>
              <w:jc w:val="right"/>
              <w:rPr>
                <w:rFonts w:ascii="Arial" w:hAnsi="Arial" w:cs="Arial"/>
                <w:b/>
                <w:sz w:val="18"/>
                <w:szCs w:val="18"/>
              </w:rPr>
            </w:pPr>
            <w:r w:rsidRPr="00A2689C">
              <w:rPr>
                <w:rFonts w:ascii="Arial" w:hAnsi="Arial" w:cs="Arial"/>
                <w:bCs/>
                <w:sz w:val="16"/>
                <w:szCs w:val="16"/>
              </w:rPr>
              <w:t>229.182.705</w:t>
            </w:r>
          </w:p>
        </w:tc>
        <w:tc>
          <w:tcPr>
            <w:tcW w:w="1984" w:type="dxa"/>
            <w:vAlign w:val="bottom"/>
          </w:tcPr>
          <w:p w14:paraId="358F7F28" w14:textId="77777777" w:rsidR="007E2F9F" w:rsidRPr="00A2689C" w:rsidRDefault="007E2F9F" w:rsidP="006548F8">
            <w:pPr>
              <w:pStyle w:val="Prrafodelista"/>
              <w:ind w:left="0"/>
              <w:jc w:val="right"/>
              <w:rPr>
                <w:rFonts w:ascii="Arial" w:hAnsi="Arial" w:cs="Arial"/>
                <w:b/>
                <w:sz w:val="18"/>
                <w:szCs w:val="18"/>
              </w:rPr>
            </w:pPr>
            <w:r w:rsidRPr="00A2689C">
              <w:rPr>
                <w:rFonts w:ascii="Arial" w:hAnsi="Arial" w:cs="Arial"/>
                <w:bCs/>
                <w:sz w:val="16"/>
                <w:szCs w:val="16"/>
              </w:rPr>
              <w:t>198.043.936</w:t>
            </w:r>
          </w:p>
        </w:tc>
        <w:tc>
          <w:tcPr>
            <w:tcW w:w="2268" w:type="dxa"/>
            <w:vAlign w:val="bottom"/>
          </w:tcPr>
          <w:p w14:paraId="5D0DE3B1" w14:textId="77777777" w:rsidR="007E2F9F" w:rsidRPr="00A2689C" w:rsidRDefault="007E2F9F" w:rsidP="006548F8">
            <w:pPr>
              <w:pStyle w:val="Prrafodelista"/>
              <w:ind w:left="0"/>
              <w:jc w:val="right"/>
              <w:rPr>
                <w:rFonts w:ascii="Arial" w:hAnsi="Arial" w:cs="Arial"/>
                <w:b/>
                <w:sz w:val="18"/>
                <w:szCs w:val="18"/>
              </w:rPr>
            </w:pPr>
            <w:r w:rsidRPr="00A2689C">
              <w:rPr>
                <w:rFonts w:ascii="Arial" w:hAnsi="Arial" w:cs="Arial"/>
                <w:bCs/>
                <w:sz w:val="16"/>
                <w:szCs w:val="16"/>
              </w:rPr>
              <w:t>31.138.769</w:t>
            </w:r>
          </w:p>
        </w:tc>
      </w:tr>
      <w:tr w:rsidR="007E2F9F" w:rsidRPr="00A2689C" w14:paraId="029FCB17" w14:textId="77777777" w:rsidTr="006548F8">
        <w:tc>
          <w:tcPr>
            <w:tcW w:w="4253" w:type="dxa"/>
          </w:tcPr>
          <w:p w14:paraId="005A5805" w14:textId="77777777" w:rsidR="007E2F9F" w:rsidRPr="00A2689C" w:rsidRDefault="007E2F9F" w:rsidP="006548F8">
            <w:pPr>
              <w:ind w:right="-1440"/>
              <w:jc w:val="both"/>
              <w:rPr>
                <w:rFonts w:ascii="Arial" w:hAnsi="Arial" w:cs="Arial"/>
                <w:b/>
                <w:sz w:val="18"/>
                <w:szCs w:val="18"/>
                <w:lang w:val="es-ES_tradnl"/>
              </w:rPr>
            </w:pPr>
            <w:r w:rsidRPr="00A2689C">
              <w:rPr>
                <w:rFonts w:ascii="Arial" w:hAnsi="Arial" w:cs="Arial"/>
                <w:b/>
                <w:sz w:val="18"/>
                <w:szCs w:val="18"/>
                <w:lang w:val="es-ES_tradnl"/>
              </w:rPr>
              <w:t>INVERSIÓN</w:t>
            </w:r>
          </w:p>
        </w:tc>
        <w:tc>
          <w:tcPr>
            <w:tcW w:w="1985" w:type="dxa"/>
            <w:vAlign w:val="bottom"/>
          </w:tcPr>
          <w:p w14:paraId="24EF5C75" w14:textId="77777777" w:rsidR="007E2F9F" w:rsidRPr="00A2689C" w:rsidRDefault="007E2F9F" w:rsidP="006548F8">
            <w:pPr>
              <w:pStyle w:val="Prrafodelista"/>
              <w:ind w:left="0"/>
              <w:jc w:val="right"/>
              <w:rPr>
                <w:rFonts w:ascii="Arial" w:hAnsi="Arial" w:cs="Arial"/>
                <w:b/>
                <w:sz w:val="18"/>
                <w:szCs w:val="18"/>
              </w:rPr>
            </w:pPr>
            <w:r w:rsidRPr="00A2689C">
              <w:rPr>
                <w:rFonts w:ascii="Arial" w:hAnsi="Arial" w:cs="Arial"/>
                <w:color w:val="000000"/>
                <w:sz w:val="16"/>
                <w:szCs w:val="16"/>
              </w:rPr>
              <w:t>79.713.191</w:t>
            </w:r>
          </w:p>
        </w:tc>
        <w:tc>
          <w:tcPr>
            <w:tcW w:w="1984" w:type="dxa"/>
            <w:vAlign w:val="bottom"/>
          </w:tcPr>
          <w:p w14:paraId="0DBAC788" w14:textId="77777777" w:rsidR="007E2F9F" w:rsidRPr="00A2689C" w:rsidRDefault="007E2F9F" w:rsidP="006548F8">
            <w:pPr>
              <w:pStyle w:val="Prrafodelista"/>
              <w:ind w:left="0"/>
              <w:jc w:val="right"/>
              <w:rPr>
                <w:rFonts w:ascii="Arial" w:hAnsi="Arial" w:cs="Arial"/>
                <w:b/>
                <w:sz w:val="18"/>
                <w:szCs w:val="18"/>
              </w:rPr>
            </w:pPr>
            <w:r w:rsidRPr="00A2689C">
              <w:rPr>
                <w:rFonts w:ascii="Arial" w:hAnsi="Arial" w:cs="Arial"/>
                <w:color w:val="000000"/>
                <w:sz w:val="16"/>
                <w:szCs w:val="16"/>
              </w:rPr>
              <w:t>63.766.133</w:t>
            </w:r>
          </w:p>
        </w:tc>
        <w:tc>
          <w:tcPr>
            <w:tcW w:w="2268" w:type="dxa"/>
            <w:vAlign w:val="bottom"/>
          </w:tcPr>
          <w:p w14:paraId="518551CB" w14:textId="77777777" w:rsidR="007E2F9F" w:rsidRPr="00A2689C" w:rsidRDefault="007E2F9F" w:rsidP="006548F8">
            <w:pPr>
              <w:pStyle w:val="Prrafodelista"/>
              <w:ind w:left="0"/>
              <w:jc w:val="right"/>
              <w:rPr>
                <w:rFonts w:ascii="Arial" w:hAnsi="Arial" w:cs="Arial"/>
                <w:b/>
                <w:sz w:val="18"/>
                <w:szCs w:val="18"/>
              </w:rPr>
            </w:pPr>
            <w:r w:rsidRPr="00A2689C">
              <w:rPr>
                <w:rFonts w:ascii="Arial" w:hAnsi="Arial" w:cs="Arial"/>
                <w:color w:val="000000"/>
                <w:sz w:val="16"/>
                <w:szCs w:val="16"/>
              </w:rPr>
              <w:t>15.947.057</w:t>
            </w:r>
          </w:p>
        </w:tc>
      </w:tr>
      <w:tr w:rsidR="007E2F9F" w:rsidRPr="00A2689C" w14:paraId="435EE4B6" w14:textId="77777777" w:rsidTr="006548F8">
        <w:tc>
          <w:tcPr>
            <w:tcW w:w="4253" w:type="dxa"/>
          </w:tcPr>
          <w:p w14:paraId="473EEBE0" w14:textId="77777777" w:rsidR="007E2F9F" w:rsidRPr="00A2689C" w:rsidRDefault="007E2F9F" w:rsidP="006548F8">
            <w:pPr>
              <w:ind w:right="-1440"/>
              <w:jc w:val="both"/>
              <w:rPr>
                <w:rFonts w:ascii="Arial" w:hAnsi="Arial" w:cs="Arial"/>
                <w:b/>
                <w:sz w:val="18"/>
                <w:szCs w:val="18"/>
                <w:lang w:val="es-ES_tradnl"/>
              </w:rPr>
            </w:pPr>
            <w:r w:rsidRPr="00A2689C">
              <w:rPr>
                <w:rFonts w:ascii="Arial" w:hAnsi="Arial" w:cs="Arial"/>
                <w:b/>
                <w:sz w:val="18"/>
                <w:szCs w:val="18"/>
                <w:lang w:val="es-ES_tradnl"/>
              </w:rPr>
              <w:t>TOTAL PÉRDIDAS DE APROPIACIÓN</w:t>
            </w:r>
          </w:p>
        </w:tc>
        <w:tc>
          <w:tcPr>
            <w:tcW w:w="1985" w:type="dxa"/>
            <w:vAlign w:val="bottom"/>
          </w:tcPr>
          <w:p w14:paraId="53EBC4E5" w14:textId="77777777" w:rsidR="007E2F9F" w:rsidRPr="00A2689C" w:rsidRDefault="007E2F9F" w:rsidP="006548F8">
            <w:pPr>
              <w:pStyle w:val="Prrafodelista"/>
              <w:ind w:left="0"/>
              <w:jc w:val="right"/>
              <w:rPr>
                <w:rFonts w:ascii="Arial" w:hAnsi="Arial" w:cs="Arial"/>
                <w:b/>
                <w:sz w:val="18"/>
                <w:szCs w:val="18"/>
                <w:u w:val="single"/>
              </w:rPr>
            </w:pPr>
            <w:r w:rsidRPr="00A2689C">
              <w:rPr>
                <w:rFonts w:ascii="Arial" w:hAnsi="Arial" w:cs="Arial"/>
                <w:bCs/>
                <w:sz w:val="16"/>
                <w:szCs w:val="16"/>
              </w:rPr>
              <w:t>308.895.896</w:t>
            </w:r>
          </w:p>
        </w:tc>
        <w:tc>
          <w:tcPr>
            <w:tcW w:w="1984" w:type="dxa"/>
            <w:vAlign w:val="bottom"/>
          </w:tcPr>
          <w:p w14:paraId="16ED71D7" w14:textId="77777777" w:rsidR="007E2F9F" w:rsidRPr="00A2689C" w:rsidRDefault="007E2F9F" w:rsidP="006548F8">
            <w:pPr>
              <w:pStyle w:val="Prrafodelista"/>
              <w:ind w:left="0"/>
              <w:jc w:val="right"/>
              <w:rPr>
                <w:rFonts w:ascii="Arial" w:hAnsi="Arial" w:cs="Arial"/>
                <w:b/>
                <w:sz w:val="18"/>
                <w:szCs w:val="18"/>
                <w:u w:val="single"/>
              </w:rPr>
            </w:pPr>
            <w:r w:rsidRPr="00A2689C">
              <w:rPr>
                <w:rFonts w:ascii="Arial" w:hAnsi="Arial" w:cs="Arial"/>
                <w:bCs/>
                <w:sz w:val="16"/>
                <w:szCs w:val="16"/>
              </w:rPr>
              <w:t>261.810.069</w:t>
            </w:r>
          </w:p>
        </w:tc>
        <w:tc>
          <w:tcPr>
            <w:tcW w:w="2268" w:type="dxa"/>
            <w:vAlign w:val="bottom"/>
          </w:tcPr>
          <w:p w14:paraId="2E35071E" w14:textId="77777777" w:rsidR="007E2F9F" w:rsidRPr="00A2689C" w:rsidRDefault="007E2F9F" w:rsidP="006548F8">
            <w:pPr>
              <w:pStyle w:val="Prrafodelista"/>
              <w:ind w:left="0"/>
              <w:jc w:val="right"/>
              <w:rPr>
                <w:rFonts w:ascii="Arial" w:hAnsi="Arial" w:cs="Arial"/>
                <w:b/>
                <w:sz w:val="18"/>
                <w:szCs w:val="18"/>
                <w:u w:val="single"/>
              </w:rPr>
            </w:pPr>
            <w:r w:rsidRPr="00A2689C">
              <w:rPr>
                <w:rFonts w:ascii="Arial" w:hAnsi="Arial" w:cs="Arial"/>
                <w:bCs/>
                <w:sz w:val="16"/>
                <w:szCs w:val="16"/>
              </w:rPr>
              <w:t>47.085.827</w:t>
            </w:r>
          </w:p>
        </w:tc>
      </w:tr>
    </w:tbl>
    <w:p w14:paraId="2A78F9A7" w14:textId="77777777" w:rsidR="007E2F9F" w:rsidRDefault="007E2F9F" w:rsidP="007E2F9F">
      <w:pPr>
        <w:jc w:val="both"/>
        <w:rPr>
          <w:rFonts w:ascii="Arial" w:hAnsi="Arial" w:cs="Arial"/>
          <w:sz w:val="28"/>
          <w:szCs w:val="28"/>
          <w:lang w:val="es-MX"/>
        </w:rPr>
      </w:pPr>
    </w:p>
    <w:p w14:paraId="7E0E45D8" w14:textId="77777777" w:rsidR="007E2F9F" w:rsidRPr="00752AEF" w:rsidRDefault="007E2F9F" w:rsidP="007E2F9F">
      <w:pPr>
        <w:ind w:left="-284"/>
        <w:jc w:val="both"/>
        <w:rPr>
          <w:rFonts w:ascii="Arial" w:hAnsi="Arial" w:cs="Arial"/>
          <w:b/>
          <w:sz w:val="28"/>
          <w:szCs w:val="28"/>
          <w:lang w:val="es-MX"/>
        </w:rPr>
      </w:pPr>
      <w:r w:rsidRPr="00752AEF">
        <w:rPr>
          <w:rFonts w:ascii="Arial" w:hAnsi="Arial" w:cs="Arial"/>
          <w:b/>
          <w:sz w:val="28"/>
          <w:szCs w:val="28"/>
          <w:lang w:val="es-MX"/>
        </w:rPr>
        <w:t>39.- MINISTERIO DE IGUALDAD Y EQUIDAD.</w:t>
      </w:r>
    </w:p>
    <w:p w14:paraId="049A68EE" w14:textId="77777777" w:rsidR="007E2F9F" w:rsidRDefault="007E2F9F" w:rsidP="007E2F9F">
      <w:pPr>
        <w:jc w:val="both"/>
        <w:rPr>
          <w:rFonts w:ascii="Arial" w:hAnsi="Arial" w:cs="Arial"/>
          <w:sz w:val="28"/>
          <w:szCs w:val="28"/>
          <w:lang w:val="es-MX"/>
        </w:rPr>
      </w:pPr>
    </w:p>
    <w:p w14:paraId="32B836DF"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01DDCA1"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lastRenderedPageBreak/>
        <w:t>(Cifras en miles de</w:t>
      </w:r>
      <w:r w:rsidRPr="000568EF">
        <w:rPr>
          <w:rFonts w:ascii="Arial" w:hAnsi="Arial" w:cs="Arial"/>
          <w:spacing w:val="-11"/>
          <w:sz w:val="24"/>
        </w:rPr>
        <w:t xml:space="preserve"> </w:t>
      </w:r>
      <w:r w:rsidRPr="000568EF">
        <w:rPr>
          <w:rFonts w:ascii="Arial" w:hAnsi="Arial" w:cs="Arial"/>
          <w:sz w:val="24"/>
        </w:rPr>
        <w:t>pesos).</w:t>
      </w:r>
    </w:p>
    <w:p w14:paraId="74A60199"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C545FF" w14:paraId="771DDEDD" w14:textId="77777777" w:rsidTr="006548F8">
        <w:tc>
          <w:tcPr>
            <w:tcW w:w="4253" w:type="dxa"/>
          </w:tcPr>
          <w:p w14:paraId="1F98471D" w14:textId="77777777" w:rsidR="007E2F9F" w:rsidRPr="00C545FF" w:rsidRDefault="007E2F9F" w:rsidP="006548F8">
            <w:pPr>
              <w:ind w:left="1169" w:right="-1440"/>
              <w:rPr>
                <w:rFonts w:ascii="Arial" w:hAnsi="Arial" w:cs="Arial"/>
                <w:b/>
                <w:sz w:val="18"/>
                <w:szCs w:val="18"/>
                <w:lang w:val="es-ES_tradnl"/>
              </w:rPr>
            </w:pPr>
            <w:r w:rsidRPr="00C545FF">
              <w:rPr>
                <w:rFonts w:ascii="Arial" w:hAnsi="Arial" w:cs="Arial"/>
                <w:b/>
                <w:sz w:val="18"/>
                <w:szCs w:val="18"/>
                <w:lang w:val="es-ES_tradnl"/>
              </w:rPr>
              <w:t>TIPO DE GASTO</w:t>
            </w:r>
          </w:p>
        </w:tc>
        <w:tc>
          <w:tcPr>
            <w:tcW w:w="1985" w:type="dxa"/>
          </w:tcPr>
          <w:p w14:paraId="2FECF92E" w14:textId="77777777" w:rsidR="007E2F9F" w:rsidRPr="00C545FF" w:rsidRDefault="007E2F9F" w:rsidP="006548F8">
            <w:pPr>
              <w:jc w:val="center"/>
              <w:rPr>
                <w:rFonts w:ascii="Arial" w:hAnsi="Arial" w:cs="Arial"/>
                <w:b/>
                <w:sz w:val="18"/>
                <w:szCs w:val="18"/>
                <w:lang w:val="es-ES_tradnl"/>
              </w:rPr>
            </w:pPr>
            <w:r w:rsidRPr="00C545FF">
              <w:rPr>
                <w:rFonts w:ascii="Arial" w:hAnsi="Arial" w:cs="Arial"/>
                <w:b/>
                <w:sz w:val="18"/>
                <w:szCs w:val="18"/>
                <w:lang w:val="es-ES_tradnl"/>
              </w:rPr>
              <w:t>APROPIACIÓN</w:t>
            </w:r>
          </w:p>
          <w:p w14:paraId="312024CA" w14:textId="77777777" w:rsidR="007E2F9F" w:rsidRPr="00C545FF" w:rsidRDefault="007E2F9F" w:rsidP="006548F8">
            <w:pPr>
              <w:jc w:val="center"/>
              <w:rPr>
                <w:rFonts w:ascii="Arial" w:hAnsi="Arial" w:cs="Arial"/>
                <w:b/>
                <w:sz w:val="18"/>
                <w:szCs w:val="18"/>
                <w:lang w:val="es-ES_tradnl"/>
              </w:rPr>
            </w:pPr>
            <w:r w:rsidRPr="00C545FF">
              <w:rPr>
                <w:rFonts w:ascii="Arial" w:hAnsi="Arial" w:cs="Arial"/>
                <w:b/>
                <w:sz w:val="18"/>
                <w:szCs w:val="18"/>
                <w:lang w:val="es-ES_tradnl"/>
              </w:rPr>
              <w:t>DEFINITIVA</w:t>
            </w:r>
          </w:p>
          <w:p w14:paraId="3930335F" w14:textId="77777777" w:rsidR="007E2F9F" w:rsidRPr="00C545FF" w:rsidRDefault="007E2F9F" w:rsidP="006548F8">
            <w:pPr>
              <w:jc w:val="center"/>
              <w:rPr>
                <w:rFonts w:ascii="Arial" w:hAnsi="Arial" w:cs="Arial"/>
                <w:b/>
                <w:sz w:val="18"/>
                <w:szCs w:val="18"/>
                <w:lang w:val="es-ES_tradnl"/>
              </w:rPr>
            </w:pPr>
            <w:r w:rsidRPr="00C545FF">
              <w:rPr>
                <w:rFonts w:ascii="Arial" w:hAnsi="Arial" w:cs="Arial"/>
                <w:b/>
                <w:sz w:val="18"/>
                <w:szCs w:val="18"/>
                <w:lang w:val="es-ES_tradnl"/>
              </w:rPr>
              <w:t>(1)</w:t>
            </w:r>
          </w:p>
          <w:p w14:paraId="092FA320" w14:textId="77777777" w:rsidR="007E2F9F" w:rsidRPr="00C545FF" w:rsidRDefault="007E2F9F" w:rsidP="006548F8">
            <w:pPr>
              <w:jc w:val="center"/>
              <w:rPr>
                <w:rFonts w:ascii="Arial" w:hAnsi="Arial" w:cs="Arial"/>
                <w:b/>
                <w:sz w:val="18"/>
                <w:szCs w:val="18"/>
                <w:lang w:val="es-ES_tradnl"/>
              </w:rPr>
            </w:pPr>
          </w:p>
        </w:tc>
        <w:tc>
          <w:tcPr>
            <w:tcW w:w="1984" w:type="dxa"/>
          </w:tcPr>
          <w:p w14:paraId="0391AD6A" w14:textId="77777777" w:rsidR="007E2F9F" w:rsidRPr="00C545FF" w:rsidRDefault="007E2F9F" w:rsidP="006548F8">
            <w:pPr>
              <w:ind w:left="145" w:right="184"/>
              <w:jc w:val="center"/>
              <w:rPr>
                <w:rFonts w:ascii="Arial" w:hAnsi="Arial" w:cs="Arial"/>
                <w:b/>
                <w:sz w:val="18"/>
                <w:szCs w:val="18"/>
                <w:lang w:val="es-ES_tradnl"/>
              </w:rPr>
            </w:pPr>
            <w:r w:rsidRPr="00C545FF">
              <w:rPr>
                <w:rFonts w:ascii="Arial" w:hAnsi="Arial" w:cs="Arial"/>
                <w:b/>
                <w:sz w:val="18"/>
                <w:szCs w:val="18"/>
                <w:lang w:val="es-ES_tradnl"/>
              </w:rPr>
              <w:t>EJECUCIÓN</w:t>
            </w:r>
          </w:p>
          <w:p w14:paraId="06B6641F" w14:textId="77777777" w:rsidR="007E2F9F" w:rsidRPr="00C545FF" w:rsidRDefault="007E2F9F" w:rsidP="006548F8">
            <w:pPr>
              <w:ind w:right="34"/>
              <w:jc w:val="center"/>
              <w:rPr>
                <w:rFonts w:ascii="Arial" w:hAnsi="Arial" w:cs="Arial"/>
                <w:b/>
                <w:sz w:val="18"/>
                <w:szCs w:val="18"/>
                <w:lang w:val="es-ES_tradnl"/>
              </w:rPr>
            </w:pPr>
            <w:r w:rsidRPr="00C545FF">
              <w:rPr>
                <w:rFonts w:ascii="Arial" w:hAnsi="Arial" w:cs="Arial"/>
                <w:b/>
                <w:sz w:val="18"/>
                <w:szCs w:val="18"/>
                <w:lang w:val="es-ES_tradnl"/>
              </w:rPr>
              <w:t>COMPROMISOS</w:t>
            </w:r>
          </w:p>
          <w:p w14:paraId="1E2BBDF9" w14:textId="77777777" w:rsidR="007E2F9F" w:rsidRPr="00C545FF" w:rsidRDefault="007E2F9F" w:rsidP="006548F8">
            <w:pPr>
              <w:ind w:right="34"/>
              <w:jc w:val="center"/>
              <w:rPr>
                <w:rFonts w:ascii="Arial" w:hAnsi="Arial" w:cs="Arial"/>
                <w:b/>
                <w:sz w:val="18"/>
                <w:szCs w:val="18"/>
                <w:lang w:val="es-ES_tradnl"/>
              </w:rPr>
            </w:pPr>
            <w:r w:rsidRPr="00C545FF">
              <w:rPr>
                <w:rFonts w:ascii="Arial" w:hAnsi="Arial" w:cs="Arial"/>
                <w:b/>
                <w:sz w:val="18"/>
                <w:szCs w:val="18"/>
                <w:lang w:val="es-ES_tradnl"/>
              </w:rPr>
              <w:t>(2)</w:t>
            </w:r>
          </w:p>
        </w:tc>
        <w:tc>
          <w:tcPr>
            <w:tcW w:w="2268" w:type="dxa"/>
          </w:tcPr>
          <w:p w14:paraId="0F23C297" w14:textId="77777777" w:rsidR="007E2F9F" w:rsidRPr="00C545FF" w:rsidRDefault="007E2F9F" w:rsidP="006548F8">
            <w:pPr>
              <w:ind w:left="25" w:right="34"/>
              <w:jc w:val="center"/>
              <w:rPr>
                <w:rFonts w:ascii="Arial" w:hAnsi="Arial" w:cs="Arial"/>
                <w:b/>
                <w:sz w:val="18"/>
                <w:szCs w:val="18"/>
                <w:lang w:val="es-ES_tradnl"/>
              </w:rPr>
            </w:pPr>
            <w:r w:rsidRPr="00C545FF">
              <w:rPr>
                <w:rFonts w:ascii="Arial" w:hAnsi="Arial" w:cs="Arial"/>
                <w:b/>
                <w:sz w:val="18"/>
                <w:szCs w:val="18"/>
                <w:lang w:val="es-ES_tradnl"/>
              </w:rPr>
              <w:t>PÉRDIDAS DE</w:t>
            </w:r>
          </w:p>
          <w:p w14:paraId="69ECD91E" w14:textId="77777777" w:rsidR="007E2F9F" w:rsidRPr="00C545FF" w:rsidRDefault="007E2F9F" w:rsidP="006548F8">
            <w:pPr>
              <w:ind w:right="34"/>
              <w:jc w:val="center"/>
              <w:rPr>
                <w:rFonts w:ascii="Arial" w:hAnsi="Arial" w:cs="Arial"/>
                <w:b/>
                <w:sz w:val="18"/>
                <w:szCs w:val="18"/>
                <w:lang w:val="es-ES_tradnl"/>
              </w:rPr>
            </w:pPr>
            <w:r w:rsidRPr="00C545FF">
              <w:rPr>
                <w:rFonts w:ascii="Arial" w:hAnsi="Arial" w:cs="Arial"/>
                <w:b/>
                <w:sz w:val="18"/>
                <w:szCs w:val="18"/>
                <w:lang w:val="es-ES_tradnl"/>
              </w:rPr>
              <w:t>APROPIACIÓN</w:t>
            </w:r>
          </w:p>
          <w:p w14:paraId="3E5251EE" w14:textId="77777777" w:rsidR="007E2F9F" w:rsidRPr="00C545FF" w:rsidRDefault="007E2F9F" w:rsidP="006548F8">
            <w:pPr>
              <w:ind w:right="34"/>
              <w:jc w:val="center"/>
              <w:rPr>
                <w:rFonts w:ascii="Arial" w:hAnsi="Arial" w:cs="Arial"/>
                <w:b/>
                <w:sz w:val="18"/>
                <w:szCs w:val="18"/>
                <w:lang w:val="es-ES_tradnl"/>
              </w:rPr>
            </w:pPr>
            <w:r w:rsidRPr="00C545FF">
              <w:rPr>
                <w:rFonts w:ascii="Arial" w:hAnsi="Arial" w:cs="Arial"/>
                <w:b/>
                <w:sz w:val="18"/>
                <w:szCs w:val="18"/>
                <w:lang w:val="es-ES_tradnl"/>
              </w:rPr>
              <w:t>3 = (1-2)</w:t>
            </w:r>
          </w:p>
        </w:tc>
      </w:tr>
      <w:tr w:rsidR="007E2F9F" w:rsidRPr="00C545FF" w14:paraId="1E5A9A4F" w14:textId="77777777" w:rsidTr="006548F8">
        <w:trPr>
          <w:trHeight w:val="230"/>
        </w:trPr>
        <w:tc>
          <w:tcPr>
            <w:tcW w:w="4253" w:type="dxa"/>
          </w:tcPr>
          <w:p w14:paraId="4FFBC875" w14:textId="77777777" w:rsidR="007E2F9F" w:rsidRPr="00C545FF" w:rsidRDefault="007E2F9F" w:rsidP="006548F8">
            <w:pPr>
              <w:ind w:right="-1440"/>
              <w:jc w:val="both"/>
              <w:rPr>
                <w:rFonts w:ascii="Arial" w:hAnsi="Arial" w:cs="Arial"/>
                <w:b/>
                <w:sz w:val="18"/>
                <w:szCs w:val="18"/>
                <w:lang w:val="es-ES_tradnl"/>
              </w:rPr>
            </w:pPr>
            <w:r w:rsidRPr="00C545FF">
              <w:rPr>
                <w:rFonts w:ascii="Arial" w:hAnsi="Arial" w:cs="Arial"/>
                <w:b/>
                <w:sz w:val="18"/>
                <w:szCs w:val="18"/>
                <w:lang w:val="es-ES_tradnl"/>
              </w:rPr>
              <w:t>FUNCIONAMIENTO</w:t>
            </w:r>
          </w:p>
        </w:tc>
        <w:tc>
          <w:tcPr>
            <w:tcW w:w="1985" w:type="dxa"/>
          </w:tcPr>
          <w:p w14:paraId="09461A3B" w14:textId="77777777" w:rsidR="007E2F9F" w:rsidRPr="00C545FF" w:rsidRDefault="007E2F9F" w:rsidP="006548F8">
            <w:pPr>
              <w:jc w:val="right"/>
              <w:rPr>
                <w:rFonts w:ascii="Arial" w:eastAsia="Calibri" w:hAnsi="Arial" w:cs="Arial"/>
                <w:sz w:val="18"/>
                <w:szCs w:val="18"/>
                <w:lang w:val="es-CO"/>
              </w:rPr>
            </w:pPr>
            <w:r w:rsidRPr="00C545FF">
              <w:rPr>
                <w:rFonts w:ascii="Arial" w:eastAsia="Calibri" w:hAnsi="Arial" w:cs="Arial"/>
                <w:sz w:val="18"/>
                <w:szCs w:val="18"/>
                <w:lang w:val="es-CO"/>
              </w:rPr>
              <w:t>1.366.214.985,76</w:t>
            </w:r>
          </w:p>
        </w:tc>
        <w:tc>
          <w:tcPr>
            <w:tcW w:w="1984" w:type="dxa"/>
          </w:tcPr>
          <w:p w14:paraId="61690839" w14:textId="77777777" w:rsidR="007E2F9F" w:rsidRPr="00C545FF" w:rsidRDefault="007E2F9F" w:rsidP="006548F8">
            <w:pPr>
              <w:pStyle w:val="Prrafodelista"/>
              <w:ind w:left="0"/>
              <w:jc w:val="right"/>
              <w:rPr>
                <w:rFonts w:ascii="Arial" w:hAnsi="Arial" w:cs="Arial"/>
                <w:b/>
                <w:sz w:val="18"/>
                <w:szCs w:val="18"/>
              </w:rPr>
            </w:pPr>
            <w:r w:rsidRPr="00C545FF">
              <w:rPr>
                <w:rFonts w:ascii="Arial" w:eastAsia="Calibri" w:hAnsi="Arial" w:cs="Arial"/>
                <w:sz w:val="18"/>
                <w:szCs w:val="18"/>
                <w:lang w:val="es-CO"/>
              </w:rPr>
              <w:t>1.357.075.968,09</w:t>
            </w:r>
          </w:p>
        </w:tc>
        <w:tc>
          <w:tcPr>
            <w:tcW w:w="2268" w:type="dxa"/>
          </w:tcPr>
          <w:p w14:paraId="156D54CB" w14:textId="77777777" w:rsidR="007E2F9F" w:rsidRPr="00C545FF" w:rsidRDefault="007E2F9F" w:rsidP="006548F8">
            <w:pPr>
              <w:pStyle w:val="Prrafodelista"/>
              <w:ind w:left="0"/>
              <w:jc w:val="right"/>
              <w:rPr>
                <w:rFonts w:ascii="Arial" w:hAnsi="Arial" w:cs="Arial"/>
                <w:b/>
                <w:sz w:val="18"/>
                <w:szCs w:val="18"/>
              </w:rPr>
            </w:pPr>
            <w:r w:rsidRPr="00C545FF">
              <w:rPr>
                <w:rFonts w:ascii="Arial" w:hAnsi="Arial" w:cs="Arial"/>
                <w:b/>
                <w:sz w:val="18"/>
                <w:szCs w:val="18"/>
              </w:rPr>
              <w:t>9.139.017,67</w:t>
            </w:r>
          </w:p>
        </w:tc>
      </w:tr>
      <w:tr w:rsidR="007E2F9F" w:rsidRPr="00C545FF" w14:paraId="4957D2E8" w14:textId="77777777" w:rsidTr="006548F8">
        <w:tc>
          <w:tcPr>
            <w:tcW w:w="4253" w:type="dxa"/>
          </w:tcPr>
          <w:p w14:paraId="14DE82C6" w14:textId="77777777" w:rsidR="007E2F9F" w:rsidRPr="00C545FF" w:rsidRDefault="007E2F9F" w:rsidP="006548F8">
            <w:pPr>
              <w:ind w:right="-1440"/>
              <w:jc w:val="both"/>
              <w:rPr>
                <w:rFonts w:ascii="Arial" w:hAnsi="Arial" w:cs="Arial"/>
                <w:b/>
                <w:sz w:val="18"/>
                <w:szCs w:val="18"/>
                <w:lang w:val="es-ES_tradnl"/>
              </w:rPr>
            </w:pPr>
            <w:r w:rsidRPr="00C545FF">
              <w:rPr>
                <w:rFonts w:ascii="Arial" w:hAnsi="Arial" w:cs="Arial"/>
                <w:b/>
                <w:sz w:val="18"/>
                <w:szCs w:val="18"/>
                <w:lang w:val="es-ES_tradnl"/>
              </w:rPr>
              <w:t>INVERSIÓN</w:t>
            </w:r>
          </w:p>
        </w:tc>
        <w:tc>
          <w:tcPr>
            <w:tcW w:w="1985" w:type="dxa"/>
          </w:tcPr>
          <w:p w14:paraId="374B90A4" w14:textId="77777777" w:rsidR="007E2F9F" w:rsidRPr="00C545FF" w:rsidRDefault="007E2F9F" w:rsidP="006548F8">
            <w:pPr>
              <w:pStyle w:val="Prrafodelista"/>
              <w:ind w:left="0"/>
              <w:jc w:val="right"/>
              <w:rPr>
                <w:rFonts w:ascii="Arial" w:hAnsi="Arial" w:cs="Arial"/>
                <w:b/>
                <w:sz w:val="18"/>
                <w:szCs w:val="18"/>
              </w:rPr>
            </w:pPr>
            <w:r w:rsidRPr="00C545FF">
              <w:rPr>
                <w:rFonts w:ascii="Arial" w:eastAsia="Calibri" w:hAnsi="Arial" w:cs="Arial"/>
                <w:sz w:val="18"/>
                <w:szCs w:val="18"/>
                <w:lang w:val="es-CO"/>
              </w:rPr>
              <w:t>182.052.743,41</w:t>
            </w:r>
          </w:p>
        </w:tc>
        <w:tc>
          <w:tcPr>
            <w:tcW w:w="1984" w:type="dxa"/>
          </w:tcPr>
          <w:p w14:paraId="68F8AB95" w14:textId="77777777" w:rsidR="007E2F9F" w:rsidRPr="00C545FF" w:rsidRDefault="007E2F9F" w:rsidP="006548F8">
            <w:pPr>
              <w:pStyle w:val="Prrafodelista"/>
              <w:ind w:left="0"/>
              <w:jc w:val="right"/>
              <w:rPr>
                <w:rFonts w:ascii="Arial" w:hAnsi="Arial" w:cs="Arial"/>
                <w:b/>
                <w:sz w:val="18"/>
                <w:szCs w:val="18"/>
              </w:rPr>
            </w:pPr>
            <w:r w:rsidRPr="00C545FF">
              <w:rPr>
                <w:rFonts w:ascii="Arial" w:eastAsia="Calibri" w:hAnsi="Arial" w:cs="Arial"/>
                <w:sz w:val="18"/>
                <w:szCs w:val="18"/>
                <w:lang w:val="es-CO"/>
              </w:rPr>
              <w:t>178.475.510,07</w:t>
            </w:r>
          </w:p>
        </w:tc>
        <w:tc>
          <w:tcPr>
            <w:tcW w:w="2268" w:type="dxa"/>
          </w:tcPr>
          <w:p w14:paraId="26DB6253" w14:textId="77777777" w:rsidR="007E2F9F" w:rsidRPr="00C545FF" w:rsidRDefault="007E2F9F" w:rsidP="006548F8">
            <w:pPr>
              <w:pStyle w:val="Prrafodelista"/>
              <w:ind w:left="0"/>
              <w:jc w:val="right"/>
              <w:rPr>
                <w:rFonts w:ascii="Arial" w:hAnsi="Arial" w:cs="Arial"/>
                <w:b/>
                <w:sz w:val="18"/>
                <w:szCs w:val="18"/>
              </w:rPr>
            </w:pPr>
            <w:r w:rsidRPr="00C545FF">
              <w:rPr>
                <w:rFonts w:ascii="Arial" w:hAnsi="Arial" w:cs="Arial"/>
                <w:b/>
                <w:sz w:val="18"/>
                <w:szCs w:val="18"/>
              </w:rPr>
              <w:t>3.577.233,34</w:t>
            </w:r>
          </w:p>
        </w:tc>
      </w:tr>
      <w:tr w:rsidR="007E2F9F" w:rsidRPr="00C545FF" w14:paraId="48B8F87C" w14:textId="77777777" w:rsidTr="006548F8">
        <w:tc>
          <w:tcPr>
            <w:tcW w:w="4253" w:type="dxa"/>
          </w:tcPr>
          <w:p w14:paraId="4942F66E" w14:textId="77777777" w:rsidR="007E2F9F" w:rsidRPr="00C545FF" w:rsidRDefault="007E2F9F" w:rsidP="006548F8">
            <w:pPr>
              <w:ind w:right="-1440"/>
              <w:jc w:val="both"/>
              <w:rPr>
                <w:rFonts w:ascii="Arial" w:hAnsi="Arial" w:cs="Arial"/>
                <w:b/>
                <w:sz w:val="18"/>
                <w:szCs w:val="18"/>
                <w:lang w:val="es-ES_tradnl"/>
              </w:rPr>
            </w:pPr>
            <w:r w:rsidRPr="00C545FF">
              <w:rPr>
                <w:rFonts w:ascii="Arial" w:hAnsi="Arial" w:cs="Arial"/>
                <w:b/>
                <w:sz w:val="18"/>
                <w:szCs w:val="18"/>
                <w:lang w:val="es-ES_tradnl"/>
              </w:rPr>
              <w:t>TOTAL PÉRDIDAS DE APROPIACIÓN</w:t>
            </w:r>
          </w:p>
        </w:tc>
        <w:tc>
          <w:tcPr>
            <w:tcW w:w="1985" w:type="dxa"/>
          </w:tcPr>
          <w:p w14:paraId="28F4C63C" w14:textId="77777777" w:rsidR="007E2F9F" w:rsidRPr="00C545FF" w:rsidRDefault="007E2F9F" w:rsidP="006548F8">
            <w:pPr>
              <w:pStyle w:val="Prrafodelista"/>
              <w:ind w:left="0"/>
              <w:jc w:val="right"/>
              <w:rPr>
                <w:rFonts w:ascii="Arial" w:hAnsi="Arial" w:cs="Arial"/>
                <w:b/>
                <w:sz w:val="18"/>
                <w:szCs w:val="18"/>
                <w:u w:val="single"/>
              </w:rPr>
            </w:pPr>
            <w:r w:rsidRPr="00C545FF">
              <w:rPr>
                <w:rFonts w:ascii="Arial" w:eastAsia="Calibri" w:hAnsi="Arial" w:cs="Arial"/>
                <w:b/>
                <w:sz w:val="18"/>
                <w:szCs w:val="18"/>
                <w:lang w:val="es-CO"/>
              </w:rPr>
              <w:t>1.548.267.729,16</w:t>
            </w:r>
          </w:p>
        </w:tc>
        <w:tc>
          <w:tcPr>
            <w:tcW w:w="1984" w:type="dxa"/>
          </w:tcPr>
          <w:p w14:paraId="5165B154" w14:textId="77777777" w:rsidR="007E2F9F" w:rsidRPr="00C545FF" w:rsidRDefault="007E2F9F" w:rsidP="006548F8">
            <w:pPr>
              <w:pStyle w:val="Prrafodelista"/>
              <w:ind w:left="0"/>
              <w:jc w:val="right"/>
              <w:rPr>
                <w:rFonts w:ascii="Arial" w:hAnsi="Arial" w:cs="Arial"/>
                <w:b/>
                <w:sz w:val="18"/>
                <w:szCs w:val="18"/>
                <w:u w:val="single"/>
              </w:rPr>
            </w:pPr>
            <w:r w:rsidRPr="00C545FF">
              <w:rPr>
                <w:rFonts w:ascii="Arial" w:eastAsia="Calibri" w:hAnsi="Arial" w:cs="Arial"/>
                <w:b/>
                <w:sz w:val="18"/>
                <w:szCs w:val="18"/>
                <w:lang w:val="es-CO"/>
              </w:rPr>
              <w:t>1.535.551.478,16</w:t>
            </w:r>
          </w:p>
        </w:tc>
        <w:tc>
          <w:tcPr>
            <w:tcW w:w="2268" w:type="dxa"/>
          </w:tcPr>
          <w:p w14:paraId="4550D2EF" w14:textId="77777777" w:rsidR="007E2F9F" w:rsidRPr="00C545FF" w:rsidRDefault="007E2F9F" w:rsidP="006548F8">
            <w:pPr>
              <w:pStyle w:val="Prrafodelista"/>
              <w:ind w:left="0"/>
              <w:jc w:val="right"/>
              <w:rPr>
                <w:rFonts w:ascii="Arial" w:hAnsi="Arial" w:cs="Arial"/>
                <w:b/>
                <w:sz w:val="18"/>
                <w:szCs w:val="18"/>
                <w:u w:val="single"/>
              </w:rPr>
            </w:pPr>
            <w:r w:rsidRPr="00C545FF">
              <w:rPr>
                <w:rFonts w:ascii="Arial" w:hAnsi="Arial" w:cs="Arial"/>
                <w:b/>
                <w:sz w:val="18"/>
                <w:szCs w:val="18"/>
                <w:u w:val="single"/>
              </w:rPr>
              <w:t>12.716.251,00</w:t>
            </w:r>
          </w:p>
        </w:tc>
      </w:tr>
    </w:tbl>
    <w:p w14:paraId="7B2188D5" w14:textId="77777777" w:rsidR="007E2F9F" w:rsidRDefault="007E2F9F" w:rsidP="007E2F9F">
      <w:pPr>
        <w:jc w:val="both"/>
        <w:rPr>
          <w:rFonts w:ascii="Arial" w:hAnsi="Arial" w:cs="Arial"/>
          <w:sz w:val="28"/>
          <w:szCs w:val="28"/>
          <w:lang w:val="es-MX"/>
        </w:rPr>
      </w:pPr>
    </w:p>
    <w:p w14:paraId="508B40C6" w14:textId="77777777" w:rsidR="007E2F9F" w:rsidRPr="00447042" w:rsidRDefault="007E2F9F" w:rsidP="007E2F9F">
      <w:pPr>
        <w:ind w:left="-284"/>
        <w:jc w:val="both"/>
        <w:rPr>
          <w:rFonts w:ascii="Arial" w:eastAsia="Arial" w:hAnsi="Arial" w:cs="Arial"/>
          <w:b/>
          <w:sz w:val="28"/>
          <w:szCs w:val="28"/>
          <w:lang w:val="es-MX"/>
        </w:rPr>
      </w:pPr>
      <w:r w:rsidRPr="00447042">
        <w:rPr>
          <w:rFonts w:ascii="Arial" w:hAnsi="Arial" w:cs="Arial"/>
          <w:b/>
          <w:sz w:val="28"/>
          <w:szCs w:val="28"/>
          <w:lang w:val="es-MX"/>
        </w:rPr>
        <w:t>40.- MINISTERIO DE TRANSPORTE.</w:t>
      </w:r>
    </w:p>
    <w:p w14:paraId="0940CD44" w14:textId="77777777" w:rsidR="007E2F9F" w:rsidRDefault="007E2F9F" w:rsidP="007E2F9F">
      <w:pPr>
        <w:jc w:val="both"/>
        <w:rPr>
          <w:rFonts w:ascii="Arial" w:hAnsi="Arial" w:cs="Arial"/>
          <w:sz w:val="28"/>
          <w:szCs w:val="28"/>
          <w:lang w:val="es-MX"/>
        </w:rPr>
      </w:pPr>
    </w:p>
    <w:p w14:paraId="160F5B4F"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62EA29D"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262154BA"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253"/>
        <w:gridCol w:w="1985"/>
        <w:gridCol w:w="1984"/>
        <w:gridCol w:w="2268"/>
      </w:tblGrid>
      <w:tr w:rsidR="007E2F9F" w:rsidRPr="00DF5C34" w14:paraId="42F56D1C" w14:textId="77777777" w:rsidTr="006548F8">
        <w:tc>
          <w:tcPr>
            <w:tcW w:w="4253" w:type="dxa"/>
          </w:tcPr>
          <w:p w14:paraId="67BC286D" w14:textId="77777777" w:rsidR="007E2F9F" w:rsidRPr="00DF5C34" w:rsidRDefault="007E2F9F" w:rsidP="006548F8">
            <w:pPr>
              <w:ind w:left="1169" w:right="-1440"/>
              <w:rPr>
                <w:rFonts w:ascii="Arial" w:hAnsi="Arial" w:cs="Arial"/>
                <w:b/>
                <w:sz w:val="18"/>
                <w:szCs w:val="18"/>
                <w:lang w:val="es-ES_tradnl"/>
              </w:rPr>
            </w:pPr>
            <w:r w:rsidRPr="00DF5C34">
              <w:rPr>
                <w:rFonts w:ascii="Arial" w:hAnsi="Arial" w:cs="Arial"/>
                <w:b/>
                <w:sz w:val="18"/>
                <w:szCs w:val="18"/>
                <w:lang w:val="es-ES_tradnl"/>
              </w:rPr>
              <w:t>TIPO DE GASTO</w:t>
            </w:r>
          </w:p>
        </w:tc>
        <w:tc>
          <w:tcPr>
            <w:tcW w:w="1985" w:type="dxa"/>
          </w:tcPr>
          <w:p w14:paraId="3867DB07" w14:textId="77777777" w:rsidR="007E2F9F" w:rsidRPr="00DF5C34" w:rsidRDefault="007E2F9F" w:rsidP="006548F8">
            <w:pPr>
              <w:jc w:val="center"/>
              <w:rPr>
                <w:rFonts w:ascii="Arial" w:hAnsi="Arial" w:cs="Arial"/>
                <w:b/>
                <w:sz w:val="18"/>
                <w:szCs w:val="18"/>
                <w:lang w:val="es-ES_tradnl"/>
              </w:rPr>
            </w:pPr>
            <w:r w:rsidRPr="00DF5C34">
              <w:rPr>
                <w:rFonts w:ascii="Arial" w:hAnsi="Arial" w:cs="Arial"/>
                <w:b/>
                <w:sz w:val="18"/>
                <w:szCs w:val="18"/>
                <w:lang w:val="es-ES_tradnl"/>
              </w:rPr>
              <w:t>APROPIACIÓN</w:t>
            </w:r>
          </w:p>
          <w:p w14:paraId="034A77EF" w14:textId="77777777" w:rsidR="007E2F9F" w:rsidRPr="00DF5C34" w:rsidRDefault="007E2F9F" w:rsidP="006548F8">
            <w:pPr>
              <w:jc w:val="center"/>
              <w:rPr>
                <w:rFonts w:ascii="Arial" w:hAnsi="Arial" w:cs="Arial"/>
                <w:b/>
                <w:sz w:val="18"/>
                <w:szCs w:val="18"/>
                <w:lang w:val="es-ES_tradnl"/>
              </w:rPr>
            </w:pPr>
            <w:r w:rsidRPr="00DF5C34">
              <w:rPr>
                <w:rFonts w:ascii="Arial" w:hAnsi="Arial" w:cs="Arial"/>
                <w:b/>
                <w:sz w:val="18"/>
                <w:szCs w:val="18"/>
                <w:lang w:val="es-ES_tradnl"/>
              </w:rPr>
              <w:t>DEFINITIVA</w:t>
            </w:r>
          </w:p>
          <w:p w14:paraId="5AE7BDE0" w14:textId="77777777" w:rsidR="007E2F9F" w:rsidRPr="00DF5C34" w:rsidRDefault="007E2F9F" w:rsidP="006548F8">
            <w:pPr>
              <w:jc w:val="center"/>
              <w:rPr>
                <w:rFonts w:ascii="Arial" w:hAnsi="Arial" w:cs="Arial"/>
                <w:b/>
                <w:sz w:val="18"/>
                <w:szCs w:val="18"/>
                <w:lang w:val="es-ES_tradnl"/>
              </w:rPr>
            </w:pPr>
            <w:r w:rsidRPr="00DF5C34">
              <w:rPr>
                <w:rFonts w:ascii="Arial" w:hAnsi="Arial" w:cs="Arial"/>
                <w:b/>
                <w:sz w:val="18"/>
                <w:szCs w:val="18"/>
                <w:lang w:val="es-ES_tradnl"/>
              </w:rPr>
              <w:t>(1)</w:t>
            </w:r>
          </w:p>
          <w:p w14:paraId="076C211C" w14:textId="77777777" w:rsidR="007E2F9F" w:rsidRPr="00DF5C34" w:rsidRDefault="007E2F9F" w:rsidP="006548F8">
            <w:pPr>
              <w:jc w:val="center"/>
              <w:rPr>
                <w:rFonts w:ascii="Arial" w:hAnsi="Arial" w:cs="Arial"/>
                <w:b/>
                <w:sz w:val="18"/>
                <w:szCs w:val="18"/>
                <w:lang w:val="es-ES_tradnl"/>
              </w:rPr>
            </w:pPr>
          </w:p>
        </w:tc>
        <w:tc>
          <w:tcPr>
            <w:tcW w:w="1984" w:type="dxa"/>
          </w:tcPr>
          <w:p w14:paraId="5A3ED469" w14:textId="77777777" w:rsidR="007E2F9F" w:rsidRPr="00DF5C34" w:rsidRDefault="007E2F9F" w:rsidP="006548F8">
            <w:pPr>
              <w:ind w:left="145" w:right="184"/>
              <w:jc w:val="center"/>
              <w:rPr>
                <w:rFonts w:ascii="Arial" w:hAnsi="Arial" w:cs="Arial"/>
                <w:b/>
                <w:sz w:val="18"/>
                <w:szCs w:val="18"/>
                <w:lang w:val="es-ES_tradnl"/>
              </w:rPr>
            </w:pPr>
            <w:r w:rsidRPr="00DF5C34">
              <w:rPr>
                <w:rFonts w:ascii="Arial" w:hAnsi="Arial" w:cs="Arial"/>
                <w:b/>
                <w:sz w:val="18"/>
                <w:szCs w:val="18"/>
                <w:lang w:val="es-ES_tradnl"/>
              </w:rPr>
              <w:t>EJECUCIÓN</w:t>
            </w:r>
          </w:p>
          <w:p w14:paraId="3767A48D" w14:textId="77777777" w:rsidR="007E2F9F" w:rsidRPr="00DF5C34" w:rsidRDefault="007E2F9F" w:rsidP="006548F8">
            <w:pPr>
              <w:ind w:right="34"/>
              <w:jc w:val="center"/>
              <w:rPr>
                <w:rFonts w:ascii="Arial" w:hAnsi="Arial" w:cs="Arial"/>
                <w:b/>
                <w:sz w:val="18"/>
                <w:szCs w:val="18"/>
                <w:lang w:val="es-ES_tradnl"/>
              </w:rPr>
            </w:pPr>
            <w:r w:rsidRPr="00DF5C34">
              <w:rPr>
                <w:rFonts w:ascii="Arial" w:hAnsi="Arial" w:cs="Arial"/>
                <w:b/>
                <w:sz w:val="18"/>
                <w:szCs w:val="18"/>
                <w:lang w:val="es-ES_tradnl"/>
              </w:rPr>
              <w:t>COMPROMISOS</w:t>
            </w:r>
          </w:p>
          <w:p w14:paraId="1E2077FC" w14:textId="77777777" w:rsidR="007E2F9F" w:rsidRPr="00DF5C34" w:rsidRDefault="007E2F9F" w:rsidP="006548F8">
            <w:pPr>
              <w:ind w:right="34"/>
              <w:jc w:val="center"/>
              <w:rPr>
                <w:rFonts w:ascii="Arial" w:hAnsi="Arial" w:cs="Arial"/>
                <w:b/>
                <w:sz w:val="18"/>
                <w:szCs w:val="18"/>
                <w:lang w:val="es-ES_tradnl"/>
              </w:rPr>
            </w:pPr>
            <w:r w:rsidRPr="00DF5C34">
              <w:rPr>
                <w:rFonts w:ascii="Arial" w:hAnsi="Arial" w:cs="Arial"/>
                <w:b/>
                <w:sz w:val="18"/>
                <w:szCs w:val="18"/>
                <w:lang w:val="es-ES_tradnl"/>
              </w:rPr>
              <w:t>(2)</w:t>
            </w:r>
          </w:p>
        </w:tc>
        <w:tc>
          <w:tcPr>
            <w:tcW w:w="2268" w:type="dxa"/>
          </w:tcPr>
          <w:p w14:paraId="5EA7D251" w14:textId="77777777" w:rsidR="007E2F9F" w:rsidRPr="00DF5C34" w:rsidRDefault="007E2F9F" w:rsidP="006548F8">
            <w:pPr>
              <w:ind w:left="25" w:right="34"/>
              <w:jc w:val="center"/>
              <w:rPr>
                <w:rFonts w:ascii="Arial" w:hAnsi="Arial" w:cs="Arial"/>
                <w:b/>
                <w:sz w:val="18"/>
                <w:szCs w:val="18"/>
                <w:lang w:val="es-ES_tradnl"/>
              </w:rPr>
            </w:pPr>
            <w:r w:rsidRPr="00DF5C34">
              <w:rPr>
                <w:rFonts w:ascii="Arial" w:hAnsi="Arial" w:cs="Arial"/>
                <w:b/>
                <w:sz w:val="18"/>
                <w:szCs w:val="18"/>
                <w:lang w:val="es-ES_tradnl"/>
              </w:rPr>
              <w:t>PÉRDIDAS DE</w:t>
            </w:r>
          </w:p>
          <w:p w14:paraId="673C4A1C" w14:textId="77777777" w:rsidR="007E2F9F" w:rsidRPr="00DF5C34" w:rsidRDefault="007E2F9F" w:rsidP="006548F8">
            <w:pPr>
              <w:ind w:right="34"/>
              <w:jc w:val="center"/>
              <w:rPr>
                <w:rFonts w:ascii="Arial" w:hAnsi="Arial" w:cs="Arial"/>
                <w:b/>
                <w:sz w:val="18"/>
                <w:szCs w:val="18"/>
                <w:lang w:val="es-ES_tradnl"/>
              </w:rPr>
            </w:pPr>
            <w:r w:rsidRPr="00DF5C34">
              <w:rPr>
                <w:rFonts w:ascii="Arial" w:hAnsi="Arial" w:cs="Arial"/>
                <w:b/>
                <w:sz w:val="18"/>
                <w:szCs w:val="18"/>
                <w:lang w:val="es-ES_tradnl"/>
              </w:rPr>
              <w:t>APROPIACIÓN</w:t>
            </w:r>
          </w:p>
          <w:p w14:paraId="0EF40877" w14:textId="77777777" w:rsidR="007E2F9F" w:rsidRPr="00DF5C34" w:rsidRDefault="007E2F9F" w:rsidP="006548F8">
            <w:pPr>
              <w:ind w:right="34"/>
              <w:jc w:val="center"/>
              <w:rPr>
                <w:rFonts w:ascii="Arial" w:hAnsi="Arial" w:cs="Arial"/>
                <w:b/>
                <w:sz w:val="18"/>
                <w:szCs w:val="18"/>
                <w:lang w:val="es-ES_tradnl"/>
              </w:rPr>
            </w:pPr>
            <w:r w:rsidRPr="00DF5C34">
              <w:rPr>
                <w:rFonts w:ascii="Arial" w:hAnsi="Arial" w:cs="Arial"/>
                <w:b/>
                <w:sz w:val="18"/>
                <w:szCs w:val="18"/>
                <w:lang w:val="es-ES_tradnl"/>
              </w:rPr>
              <w:t>3 = (1-2)</w:t>
            </w:r>
          </w:p>
        </w:tc>
      </w:tr>
      <w:tr w:rsidR="007E2F9F" w:rsidRPr="00DF5C34" w14:paraId="1633AD11" w14:textId="77777777" w:rsidTr="006548F8">
        <w:trPr>
          <w:trHeight w:val="230"/>
        </w:trPr>
        <w:tc>
          <w:tcPr>
            <w:tcW w:w="4253" w:type="dxa"/>
          </w:tcPr>
          <w:p w14:paraId="5C67A7A2" w14:textId="77777777" w:rsidR="007E2F9F" w:rsidRPr="00DF5C34" w:rsidRDefault="007E2F9F" w:rsidP="006548F8">
            <w:pPr>
              <w:ind w:right="-1440"/>
              <w:jc w:val="both"/>
              <w:rPr>
                <w:rFonts w:ascii="Arial" w:hAnsi="Arial" w:cs="Arial"/>
                <w:b/>
                <w:sz w:val="18"/>
                <w:szCs w:val="18"/>
                <w:lang w:val="es-ES_tradnl"/>
              </w:rPr>
            </w:pPr>
            <w:r w:rsidRPr="00DF5C34">
              <w:rPr>
                <w:rFonts w:ascii="Arial" w:hAnsi="Arial" w:cs="Arial"/>
                <w:b/>
                <w:sz w:val="18"/>
                <w:szCs w:val="18"/>
                <w:lang w:val="es-ES_tradnl"/>
              </w:rPr>
              <w:t>FUNCIONAMIENTO</w:t>
            </w:r>
          </w:p>
        </w:tc>
        <w:tc>
          <w:tcPr>
            <w:tcW w:w="1985" w:type="dxa"/>
          </w:tcPr>
          <w:p w14:paraId="0F96D13D" w14:textId="77777777" w:rsidR="007E2F9F" w:rsidRPr="00DF5C34" w:rsidRDefault="007E2F9F" w:rsidP="006548F8">
            <w:pPr>
              <w:jc w:val="right"/>
              <w:rPr>
                <w:rFonts w:ascii="Arial" w:eastAsia="Calibri" w:hAnsi="Arial" w:cs="Arial"/>
                <w:sz w:val="18"/>
                <w:szCs w:val="18"/>
                <w:lang w:val="es-CO"/>
              </w:rPr>
            </w:pPr>
            <w:r w:rsidRPr="00DF5C34">
              <w:rPr>
                <w:rFonts w:ascii="Arial" w:eastAsia="Calibri" w:hAnsi="Arial" w:cs="Arial"/>
                <w:b/>
                <w:sz w:val="16"/>
                <w:szCs w:val="16"/>
                <w:lang w:val="es-CO"/>
              </w:rPr>
              <w:t>310.798.604</w:t>
            </w:r>
          </w:p>
        </w:tc>
        <w:tc>
          <w:tcPr>
            <w:tcW w:w="1984" w:type="dxa"/>
          </w:tcPr>
          <w:p w14:paraId="27E5CD68" w14:textId="77777777" w:rsidR="007E2F9F" w:rsidRPr="00DF5C34" w:rsidRDefault="007E2F9F" w:rsidP="006548F8">
            <w:pPr>
              <w:pStyle w:val="Prrafodelista"/>
              <w:ind w:left="0"/>
              <w:jc w:val="right"/>
              <w:rPr>
                <w:rFonts w:ascii="Arial" w:hAnsi="Arial" w:cs="Arial"/>
                <w:b/>
                <w:sz w:val="18"/>
                <w:szCs w:val="18"/>
              </w:rPr>
            </w:pPr>
            <w:r w:rsidRPr="00DF5C34">
              <w:rPr>
                <w:rFonts w:ascii="Arial" w:eastAsia="Calibri" w:hAnsi="Arial" w:cs="Arial"/>
                <w:b/>
                <w:sz w:val="16"/>
                <w:szCs w:val="16"/>
                <w:lang w:val="es-CO"/>
              </w:rPr>
              <w:t>309.647.668</w:t>
            </w:r>
          </w:p>
        </w:tc>
        <w:tc>
          <w:tcPr>
            <w:tcW w:w="2268" w:type="dxa"/>
          </w:tcPr>
          <w:p w14:paraId="3605C3C2" w14:textId="77777777" w:rsidR="007E2F9F" w:rsidRPr="00DF5C34" w:rsidRDefault="007E2F9F" w:rsidP="006548F8">
            <w:pPr>
              <w:pStyle w:val="Prrafodelista"/>
              <w:ind w:left="0"/>
              <w:jc w:val="right"/>
              <w:rPr>
                <w:rFonts w:ascii="Arial" w:hAnsi="Arial" w:cs="Arial"/>
                <w:b/>
                <w:sz w:val="18"/>
                <w:szCs w:val="18"/>
              </w:rPr>
            </w:pPr>
            <w:r w:rsidRPr="00DF5C34">
              <w:rPr>
                <w:rFonts w:ascii="Arial" w:hAnsi="Arial" w:cs="Arial"/>
                <w:b/>
                <w:sz w:val="16"/>
                <w:szCs w:val="16"/>
              </w:rPr>
              <w:t>1.150.936</w:t>
            </w:r>
          </w:p>
        </w:tc>
      </w:tr>
      <w:tr w:rsidR="007E2F9F" w:rsidRPr="00DF5C34" w14:paraId="4221A3C8" w14:textId="77777777" w:rsidTr="006548F8">
        <w:tc>
          <w:tcPr>
            <w:tcW w:w="4253" w:type="dxa"/>
          </w:tcPr>
          <w:p w14:paraId="57831282" w14:textId="77777777" w:rsidR="007E2F9F" w:rsidRPr="00DF5C34" w:rsidRDefault="007E2F9F" w:rsidP="006548F8">
            <w:pPr>
              <w:ind w:right="-1440"/>
              <w:jc w:val="both"/>
              <w:rPr>
                <w:rFonts w:ascii="Arial" w:hAnsi="Arial" w:cs="Arial"/>
                <w:b/>
                <w:sz w:val="18"/>
                <w:szCs w:val="18"/>
                <w:lang w:val="es-ES_tradnl"/>
              </w:rPr>
            </w:pPr>
            <w:r w:rsidRPr="00DF5C34">
              <w:rPr>
                <w:rFonts w:ascii="Arial" w:hAnsi="Arial" w:cs="Arial"/>
                <w:b/>
                <w:sz w:val="18"/>
                <w:szCs w:val="18"/>
                <w:lang w:val="es-ES_tradnl"/>
              </w:rPr>
              <w:t>INVERSIÓN</w:t>
            </w:r>
          </w:p>
        </w:tc>
        <w:tc>
          <w:tcPr>
            <w:tcW w:w="1985" w:type="dxa"/>
          </w:tcPr>
          <w:p w14:paraId="5A69DAF1" w14:textId="77777777" w:rsidR="007E2F9F" w:rsidRPr="00DF5C34" w:rsidRDefault="007E2F9F" w:rsidP="006548F8">
            <w:pPr>
              <w:pStyle w:val="Prrafodelista"/>
              <w:ind w:left="0"/>
              <w:jc w:val="right"/>
              <w:rPr>
                <w:rFonts w:ascii="Arial" w:hAnsi="Arial" w:cs="Arial"/>
                <w:b/>
                <w:sz w:val="18"/>
                <w:szCs w:val="18"/>
              </w:rPr>
            </w:pPr>
            <w:r w:rsidRPr="00DF5C34">
              <w:rPr>
                <w:rFonts w:ascii="Arial" w:eastAsia="Calibri" w:hAnsi="Arial" w:cs="Arial"/>
                <w:b/>
                <w:sz w:val="16"/>
                <w:szCs w:val="16"/>
                <w:lang w:val="es-CO"/>
              </w:rPr>
              <w:t>189.098.467</w:t>
            </w:r>
          </w:p>
        </w:tc>
        <w:tc>
          <w:tcPr>
            <w:tcW w:w="1984" w:type="dxa"/>
          </w:tcPr>
          <w:p w14:paraId="2A0147F6" w14:textId="77777777" w:rsidR="007E2F9F" w:rsidRPr="00DF5C34" w:rsidRDefault="007E2F9F" w:rsidP="006548F8">
            <w:pPr>
              <w:pStyle w:val="Prrafodelista"/>
              <w:ind w:left="0"/>
              <w:jc w:val="right"/>
              <w:rPr>
                <w:rFonts w:ascii="Arial" w:hAnsi="Arial" w:cs="Arial"/>
                <w:b/>
                <w:sz w:val="18"/>
                <w:szCs w:val="18"/>
              </w:rPr>
            </w:pPr>
            <w:r w:rsidRPr="00DF5C34">
              <w:rPr>
                <w:rFonts w:ascii="Arial" w:eastAsia="Calibri" w:hAnsi="Arial" w:cs="Arial"/>
                <w:b/>
                <w:sz w:val="16"/>
                <w:szCs w:val="16"/>
                <w:lang w:val="es-CO"/>
              </w:rPr>
              <w:t>185.347.713</w:t>
            </w:r>
          </w:p>
        </w:tc>
        <w:tc>
          <w:tcPr>
            <w:tcW w:w="2268" w:type="dxa"/>
          </w:tcPr>
          <w:p w14:paraId="0E327E3D" w14:textId="77777777" w:rsidR="007E2F9F" w:rsidRPr="00DF5C34" w:rsidRDefault="007E2F9F" w:rsidP="006548F8">
            <w:pPr>
              <w:pStyle w:val="Prrafodelista"/>
              <w:ind w:left="0"/>
              <w:jc w:val="right"/>
              <w:rPr>
                <w:rFonts w:ascii="Arial" w:hAnsi="Arial" w:cs="Arial"/>
                <w:b/>
                <w:sz w:val="18"/>
                <w:szCs w:val="18"/>
              </w:rPr>
            </w:pPr>
            <w:r w:rsidRPr="00DF5C34">
              <w:rPr>
                <w:rFonts w:ascii="Arial" w:hAnsi="Arial" w:cs="Arial"/>
                <w:b/>
                <w:sz w:val="16"/>
                <w:szCs w:val="16"/>
              </w:rPr>
              <w:t>3.750.754</w:t>
            </w:r>
          </w:p>
        </w:tc>
      </w:tr>
      <w:tr w:rsidR="007E2F9F" w:rsidRPr="00DF5C34" w14:paraId="7ECA073B" w14:textId="77777777" w:rsidTr="006548F8">
        <w:tc>
          <w:tcPr>
            <w:tcW w:w="4253" w:type="dxa"/>
          </w:tcPr>
          <w:p w14:paraId="1F94FD49" w14:textId="77777777" w:rsidR="007E2F9F" w:rsidRPr="00DF5C34" w:rsidRDefault="007E2F9F" w:rsidP="006548F8">
            <w:pPr>
              <w:ind w:right="-1440"/>
              <w:jc w:val="both"/>
              <w:rPr>
                <w:rFonts w:ascii="Arial" w:hAnsi="Arial" w:cs="Arial"/>
                <w:b/>
                <w:sz w:val="18"/>
                <w:szCs w:val="18"/>
                <w:lang w:val="es-ES_tradnl"/>
              </w:rPr>
            </w:pPr>
            <w:r w:rsidRPr="00DF5C34">
              <w:rPr>
                <w:rFonts w:ascii="Arial" w:hAnsi="Arial" w:cs="Arial"/>
                <w:b/>
                <w:sz w:val="18"/>
                <w:szCs w:val="18"/>
                <w:lang w:val="es-ES_tradnl"/>
              </w:rPr>
              <w:t>TOTAL PÉRDIDAS DE APROPIACIÓN</w:t>
            </w:r>
          </w:p>
        </w:tc>
        <w:tc>
          <w:tcPr>
            <w:tcW w:w="1985" w:type="dxa"/>
          </w:tcPr>
          <w:p w14:paraId="31C593E4" w14:textId="77777777" w:rsidR="007E2F9F" w:rsidRPr="00DF5C34" w:rsidRDefault="007E2F9F" w:rsidP="006548F8">
            <w:pPr>
              <w:pStyle w:val="Prrafodelista"/>
              <w:ind w:left="0"/>
              <w:jc w:val="right"/>
              <w:rPr>
                <w:rFonts w:ascii="Arial" w:hAnsi="Arial" w:cs="Arial"/>
                <w:b/>
                <w:sz w:val="18"/>
                <w:szCs w:val="18"/>
                <w:u w:val="single"/>
              </w:rPr>
            </w:pPr>
            <w:r w:rsidRPr="00DF5C34">
              <w:rPr>
                <w:rFonts w:ascii="Arial" w:eastAsia="Calibri" w:hAnsi="Arial" w:cs="Arial"/>
                <w:b/>
                <w:sz w:val="16"/>
                <w:szCs w:val="16"/>
                <w:lang w:val="es-CO"/>
              </w:rPr>
              <w:t>504.969.105</w:t>
            </w:r>
          </w:p>
        </w:tc>
        <w:tc>
          <w:tcPr>
            <w:tcW w:w="1984" w:type="dxa"/>
          </w:tcPr>
          <w:p w14:paraId="03C7586A" w14:textId="77777777" w:rsidR="007E2F9F" w:rsidRPr="00DF5C34" w:rsidRDefault="007E2F9F" w:rsidP="006548F8">
            <w:pPr>
              <w:pStyle w:val="Prrafodelista"/>
              <w:ind w:left="0"/>
              <w:jc w:val="right"/>
              <w:rPr>
                <w:rFonts w:ascii="Arial" w:hAnsi="Arial" w:cs="Arial"/>
                <w:b/>
                <w:sz w:val="18"/>
                <w:szCs w:val="18"/>
                <w:u w:val="single"/>
              </w:rPr>
            </w:pPr>
            <w:r w:rsidRPr="00DF5C34">
              <w:rPr>
                <w:rFonts w:ascii="Arial" w:eastAsia="Calibri" w:hAnsi="Arial" w:cs="Arial"/>
                <w:b/>
                <w:sz w:val="16"/>
                <w:szCs w:val="16"/>
                <w:lang w:val="es-CO"/>
              </w:rPr>
              <w:t>500.067.415</w:t>
            </w:r>
          </w:p>
        </w:tc>
        <w:tc>
          <w:tcPr>
            <w:tcW w:w="2268" w:type="dxa"/>
          </w:tcPr>
          <w:p w14:paraId="11979208" w14:textId="77777777" w:rsidR="007E2F9F" w:rsidRPr="00DF5C34" w:rsidRDefault="007E2F9F" w:rsidP="006548F8">
            <w:pPr>
              <w:pStyle w:val="Prrafodelista"/>
              <w:ind w:left="0"/>
              <w:jc w:val="right"/>
              <w:rPr>
                <w:rFonts w:ascii="Arial" w:hAnsi="Arial" w:cs="Arial"/>
                <w:b/>
                <w:sz w:val="18"/>
                <w:szCs w:val="18"/>
                <w:u w:val="single"/>
              </w:rPr>
            </w:pPr>
            <w:r w:rsidRPr="00DF5C34">
              <w:rPr>
                <w:rFonts w:ascii="Arial" w:hAnsi="Arial" w:cs="Arial"/>
                <w:b/>
                <w:sz w:val="16"/>
                <w:szCs w:val="16"/>
                <w:u w:val="single"/>
              </w:rPr>
              <w:t>4.901.690</w:t>
            </w:r>
          </w:p>
        </w:tc>
      </w:tr>
    </w:tbl>
    <w:p w14:paraId="278469D5" w14:textId="77777777" w:rsidR="007E2F9F" w:rsidRDefault="007E2F9F" w:rsidP="007E2F9F">
      <w:pPr>
        <w:jc w:val="both"/>
        <w:rPr>
          <w:rFonts w:ascii="Arial" w:hAnsi="Arial" w:cs="Arial"/>
          <w:sz w:val="28"/>
          <w:szCs w:val="28"/>
          <w:lang w:val="es-MX"/>
        </w:rPr>
      </w:pPr>
    </w:p>
    <w:p w14:paraId="1DDCCC8C" w14:textId="77777777" w:rsidR="007E2F9F" w:rsidRPr="00675B5E" w:rsidRDefault="007E2F9F" w:rsidP="007E2F9F">
      <w:pPr>
        <w:ind w:left="-284"/>
        <w:jc w:val="both"/>
        <w:rPr>
          <w:rFonts w:ascii="Arial" w:hAnsi="Arial" w:cs="Arial"/>
          <w:b/>
          <w:sz w:val="32"/>
          <w:szCs w:val="32"/>
        </w:rPr>
      </w:pPr>
      <w:r w:rsidRPr="00675B5E">
        <w:rPr>
          <w:rFonts w:ascii="Arial" w:hAnsi="Arial" w:cs="Arial"/>
          <w:b/>
          <w:sz w:val="28"/>
          <w:szCs w:val="28"/>
          <w:lang w:val="es-MX"/>
        </w:rPr>
        <w:t xml:space="preserve">42.- </w:t>
      </w:r>
      <w:r w:rsidRPr="00675B5E">
        <w:rPr>
          <w:rFonts w:ascii="Arial" w:hAnsi="Arial" w:cs="Arial"/>
          <w:b/>
          <w:sz w:val="28"/>
          <w:szCs w:val="28"/>
        </w:rPr>
        <w:t>MINISTERIO DE AMBIENTE Y DESARROLLO SOSTENIBLE</w:t>
      </w:r>
      <w:r w:rsidRPr="00675B5E">
        <w:rPr>
          <w:rFonts w:ascii="Arial" w:hAnsi="Arial" w:cs="Arial"/>
          <w:b/>
          <w:sz w:val="32"/>
          <w:szCs w:val="32"/>
        </w:rPr>
        <w:t>.</w:t>
      </w:r>
    </w:p>
    <w:p w14:paraId="3A9FEB3B" w14:textId="77777777" w:rsidR="007E2F9F" w:rsidRDefault="007E2F9F" w:rsidP="007E2F9F">
      <w:pPr>
        <w:jc w:val="both"/>
        <w:rPr>
          <w:rFonts w:ascii="Arial" w:hAnsi="Arial" w:cs="Arial"/>
          <w:sz w:val="28"/>
          <w:szCs w:val="28"/>
        </w:rPr>
      </w:pPr>
    </w:p>
    <w:p w14:paraId="240FFE24"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14957E67"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461EE84B"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F5529A" w14:paraId="290B91B6" w14:textId="77777777" w:rsidTr="006548F8">
        <w:tc>
          <w:tcPr>
            <w:tcW w:w="4161" w:type="dxa"/>
          </w:tcPr>
          <w:p w14:paraId="2AC26BE6" w14:textId="77777777" w:rsidR="007E2F9F" w:rsidRPr="00F5529A" w:rsidRDefault="007E2F9F" w:rsidP="006548F8">
            <w:pPr>
              <w:ind w:left="1169" w:right="-1440"/>
              <w:rPr>
                <w:rFonts w:ascii="Arial" w:hAnsi="Arial" w:cs="Arial"/>
                <w:b/>
                <w:sz w:val="18"/>
                <w:szCs w:val="18"/>
                <w:lang w:val="es-ES_tradnl"/>
              </w:rPr>
            </w:pPr>
            <w:r w:rsidRPr="00F5529A">
              <w:rPr>
                <w:rFonts w:ascii="Arial" w:hAnsi="Arial" w:cs="Arial"/>
                <w:b/>
                <w:sz w:val="18"/>
                <w:szCs w:val="18"/>
                <w:lang w:val="es-ES_tradnl"/>
              </w:rPr>
              <w:t>TIPO DE GASTO</w:t>
            </w:r>
          </w:p>
        </w:tc>
        <w:tc>
          <w:tcPr>
            <w:tcW w:w="2040" w:type="dxa"/>
          </w:tcPr>
          <w:p w14:paraId="7FB22A8C" w14:textId="77777777" w:rsidR="007E2F9F" w:rsidRPr="00F5529A" w:rsidRDefault="007E2F9F" w:rsidP="006548F8">
            <w:pPr>
              <w:jc w:val="center"/>
              <w:rPr>
                <w:rFonts w:ascii="Arial" w:hAnsi="Arial" w:cs="Arial"/>
                <w:b/>
                <w:sz w:val="18"/>
                <w:szCs w:val="18"/>
                <w:lang w:val="es-ES_tradnl"/>
              </w:rPr>
            </w:pPr>
            <w:r w:rsidRPr="00F5529A">
              <w:rPr>
                <w:rFonts w:ascii="Arial" w:hAnsi="Arial" w:cs="Arial"/>
                <w:b/>
                <w:sz w:val="18"/>
                <w:szCs w:val="18"/>
                <w:lang w:val="es-ES_tradnl"/>
              </w:rPr>
              <w:t>APROPIACIÓN</w:t>
            </w:r>
          </w:p>
          <w:p w14:paraId="71172E73" w14:textId="77777777" w:rsidR="007E2F9F" w:rsidRPr="00F5529A" w:rsidRDefault="007E2F9F" w:rsidP="006548F8">
            <w:pPr>
              <w:jc w:val="center"/>
              <w:rPr>
                <w:rFonts w:ascii="Arial" w:hAnsi="Arial" w:cs="Arial"/>
                <w:b/>
                <w:sz w:val="18"/>
                <w:szCs w:val="18"/>
                <w:lang w:val="es-ES_tradnl"/>
              </w:rPr>
            </w:pPr>
            <w:r w:rsidRPr="00F5529A">
              <w:rPr>
                <w:rFonts w:ascii="Arial" w:hAnsi="Arial" w:cs="Arial"/>
                <w:b/>
                <w:sz w:val="18"/>
                <w:szCs w:val="18"/>
                <w:lang w:val="es-ES_tradnl"/>
              </w:rPr>
              <w:t>DEFINITIVA</w:t>
            </w:r>
          </w:p>
          <w:p w14:paraId="215DD9B5" w14:textId="77777777" w:rsidR="007E2F9F" w:rsidRPr="00F5529A" w:rsidRDefault="007E2F9F" w:rsidP="006548F8">
            <w:pPr>
              <w:jc w:val="center"/>
              <w:rPr>
                <w:rFonts w:ascii="Arial" w:hAnsi="Arial" w:cs="Arial"/>
                <w:b/>
                <w:sz w:val="18"/>
                <w:szCs w:val="18"/>
                <w:lang w:val="es-ES_tradnl"/>
              </w:rPr>
            </w:pPr>
            <w:r w:rsidRPr="00F5529A">
              <w:rPr>
                <w:rFonts w:ascii="Arial" w:hAnsi="Arial" w:cs="Arial"/>
                <w:b/>
                <w:sz w:val="18"/>
                <w:szCs w:val="18"/>
                <w:lang w:val="es-ES_tradnl"/>
              </w:rPr>
              <w:t>(1)</w:t>
            </w:r>
          </w:p>
          <w:p w14:paraId="2875A5D5" w14:textId="77777777" w:rsidR="007E2F9F" w:rsidRPr="00F5529A" w:rsidRDefault="007E2F9F" w:rsidP="006548F8">
            <w:pPr>
              <w:jc w:val="center"/>
              <w:rPr>
                <w:rFonts w:ascii="Arial" w:hAnsi="Arial" w:cs="Arial"/>
                <w:b/>
                <w:sz w:val="18"/>
                <w:szCs w:val="18"/>
                <w:lang w:val="es-ES_tradnl"/>
              </w:rPr>
            </w:pPr>
          </w:p>
        </w:tc>
        <w:tc>
          <w:tcPr>
            <w:tcW w:w="2040" w:type="dxa"/>
          </w:tcPr>
          <w:p w14:paraId="4467B53E" w14:textId="77777777" w:rsidR="007E2F9F" w:rsidRPr="00F5529A" w:rsidRDefault="007E2F9F" w:rsidP="006548F8">
            <w:pPr>
              <w:ind w:left="145" w:right="184"/>
              <w:jc w:val="center"/>
              <w:rPr>
                <w:rFonts w:ascii="Arial" w:hAnsi="Arial" w:cs="Arial"/>
                <w:b/>
                <w:sz w:val="18"/>
                <w:szCs w:val="18"/>
                <w:lang w:val="es-ES_tradnl"/>
              </w:rPr>
            </w:pPr>
            <w:r w:rsidRPr="00F5529A">
              <w:rPr>
                <w:rFonts w:ascii="Arial" w:hAnsi="Arial" w:cs="Arial"/>
                <w:b/>
                <w:sz w:val="18"/>
                <w:szCs w:val="18"/>
                <w:lang w:val="es-ES_tradnl"/>
              </w:rPr>
              <w:t>EJECUCIÓN</w:t>
            </w:r>
          </w:p>
          <w:p w14:paraId="59A0F5B2"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COMPROMISOS</w:t>
            </w:r>
          </w:p>
          <w:p w14:paraId="0EFE9644"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(2)</w:t>
            </w:r>
          </w:p>
        </w:tc>
        <w:tc>
          <w:tcPr>
            <w:tcW w:w="2249" w:type="dxa"/>
          </w:tcPr>
          <w:p w14:paraId="57D7780F" w14:textId="77777777" w:rsidR="007E2F9F" w:rsidRPr="00F5529A" w:rsidRDefault="007E2F9F" w:rsidP="006548F8">
            <w:pPr>
              <w:ind w:left="25" w:right="34"/>
              <w:jc w:val="center"/>
              <w:rPr>
                <w:rFonts w:ascii="Arial" w:hAnsi="Arial" w:cs="Arial"/>
                <w:b/>
                <w:sz w:val="18"/>
                <w:szCs w:val="18"/>
                <w:lang w:val="es-ES_tradnl"/>
              </w:rPr>
            </w:pPr>
            <w:r w:rsidRPr="00F5529A">
              <w:rPr>
                <w:rFonts w:ascii="Arial" w:hAnsi="Arial" w:cs="Arial"/>
                <w:b/>
                <w:sz w:val="18"/>
                <w:szCs w:val="18"/>
                <w:lang w:val="es-ES_tradnl"/>
              </w:rPr>
              <w:t>PÉRDIDAS DE</w:t>
            </w:r>
          </w:p>
          <w:p w14:paraId="0025AAA0"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APROPIACIÓN</w:t>
            </w:r>
          </w:p>
          <w:p w14:paraId="400F6111"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3 = (1-2)</w:t>
            </w:r>
          </w:p>
        </w:tc>
      </w:tr>
      <w:tr w:rsidR="007E2F9F" w:rsidRPr="00F5529A" w14:paraId="5DEBF72B" w14:textId="77777777" w:rsidTr="006548F8">
        <w:trPr>
          <w:trHeight w:val="230"/>
        </w:trPr>
        <w:tc>
          <w:tcPr>
            <w:tcW w:w="4161" w:type="dxa"/>
          </w:tcPr>
          <w:p w14:paraId="3BE1AE63" w14:textId="77777777" w:rsidR="007E2F9F" w:rsidRPr="00F5529A" w:rsidRDefault="007E2F9F" w:rsidP="006548F8">
            <w:pPr>
              <w:ind w:right="-1440"/>
              <w:jc w:val="both"/>
              <w:rPr>
                <w:rFonts w:ascii="Arial" w:hAnsi="Arial" w:cs="Arial"/>
                <w:b/>
                <w:sz w:val="18"/>
                <w:szCs w:val="18"/>
                <w:lang w:val="es-ES_tradnl"/>
              </w:rPr>
            </w:pPr>
            <w:r w:rsidRPr="00F5529A">
              <w:rPr>
                <w:rFonts w:ascii="Arial" w:hAnsi="Arial" w:cs="Arial"/>
                <w:b/>
                <w:sz w:val="18"/>
                <w:szCs w:val="18"/>
                <w:lang w:val="es-ES_tradnl"/>
              </w:rPr>
              <w:t>FUNCIONAMIENTO</w:t>
            </w:r>
          </w:p>
        </w:tc>
        <w:tc>
          <w:tcPr>
            <w:tcW w:w="2040" w:type="dxa"/>
          </w:tcPr>
          <w:p w14:paraId="5BEBD970" w14:textId="77777777" w:rsidR="007E2F9F" w:rsidRPr="00F5529A" w:rsidRDefault="007E2F9F" w:rsidP="006548F8">
            <w:pPr>
              <w:jc w:val="right"/>
              <w:rPr>
                <w:rFonts w:ascii="Arial" w:eastAsia="Calibri" w:hAnsi="Arial" w:cs="Arial"/>
                <w:sz w:val="18"/>
                <w:szCs w:val="18"/>
                <w:lang w:val="es-CO"/>
              </w:rPr>
            </w:pPr>
            <w:r w:rsidRPr="00F5529A">
              <w:rPr>
                <w:rFonts w:ascii="Arial" w:eastAsia="Calibri" w:hAnsi="Arial" w:cs="Arial"/>
                <w:b/>
                <w:sz w:val="16"/>
                <w:szCs w:val="16"/>
                <w:lang w:val="es-CO"/>
              </w:rPr>
              <w:t>163.581.208.419,00</w:t>
            </w:r>
          </w:p>
        </w:tc>
        <w:tc>
          <w:tcPr>
            <w:tcW w:w="2040" w:type="dxa"/>
          </w:tcPr>
          <w:p w14:paraId="020196DA" w14:textId="77777777" w:rsidR="007E2F9F" w:rsidRPr="00F5529A" w:rsidRDefault="007E2F9F" w:rsidP="006548F8">
            <w:pPr>
              <w:pStyle w:val="Prrafodelista"/>
              <w:ind w:left="0"/>
              <w:jc w:val="right"/>
              <w:rPr>
                <w:rFonts w:ascii="Arial" w:hAnsi="Arial" w:cs="Arial"/>
                <w:b/>
                <w:sz w:val="18"/>
                <w:szCs w:val="18"/>
              </w:rPr>
            </w:pPr>
            <w:r w:rsidRPr="00F5529A">
              <w:rPr>
                <w:rFonts w:ascii="Arial" w:eastAsia="Calibri" w:hAnsi="Arial" w:cs="Arial"/>
                <w:b/>
                <w:sz w:val="16"/>
                <w:szCs w:val="16"/>
                <w:lang w:val="es-CO"/>
              </w:rPr>
              <w:t>161.848.852.175,57</w:t>
            </w:r>
          </w:p>
        </w:tc>
        <w:tc>
          <w:tcPr>
            <w:tcW w:w="2249" w:type="dxa"/>
          </w:tcPr>
          <w:p w14:paraId="1204D1A9" w14:textId="77777777" w:rsidR="007E2F9F" w:rsidRPr="00F5529A" w:rsidRDefault="007E2F9F" w:rsidP="006548F8">
            <w:pPr>
              <w:pStyle w:val="Prrafodelista"/>
              <w:ind w:left="0"/>
              <w:jc w:val="right"/>
              <w:rPr>
                <w:rFonts w:ascii="Arial" w:hAnsi="Arial" w:cs="Arial"/>
                <w:b/>
                <w:sz w:val="18"/>
                <w:szCs w:val="18"/>
              </w:rPr>
            </w:pPr>
            <w:r w:rsidRPr="00F5529A">
              <w:rPr>
                <w:rFonts w:ascii="Arial" w:hAnsi="Arial" w:cs="Arial"/>
                <w:b/>
                <w:sz w:val="16"/>
                <w:szCs w:val="16"/>
              </w:rPr>
              <w:t>1.732.356.243,43</w:t>
            </w:r>
          </w:p>
        </w:tc>
      </w:tr>
      <w:tr w:rsidR="007E2F9F" w:rsidRPr="00F5529A" w14:paraId="5CEC449E" w14:textId="77777777" w:rsidTr="006548F8">
        <w:tc>
          <w:tcPr>
            <w:tcW w:w="4161" w:type="dxa"/>
          </w:tcPr>
          <w:p w14:paraId="407614FF" w14:textId="77777777" w:rsidR="007E2F9F" w:rsidRPr="00F5529A" w:rsidRDefault="007E2F9F" w:rsidP="006548F8">
            <w:pPr>
              <w:ind w:right="-1440"/>
              <w:jc w:val="both"/>
              <w:rPr>
                <w:rFonts w:ascii="Arial" w:hAnsi="Arial" w:cs="Arial"/>
                <w:b/>
                <w:sz w:val="18"/>
                <w:szCs w:val="18"/>
                <w:lang w:val="es-ES_tradnl"/>
              </w:rPr>
            </w:pPr>
            <w:r w:rsidRPr="00F5529A">
              <w:rPr>
                <w:rFonts w:ascii="Arial" w:hAnsi="Arial" w:cs="Arial"/>
                <w:b/>
                <w:sz w:val="18"/>
                <w:szCs w:val="18"/>
                <w:lang w:val="es-ES_tradnl"/>
              </w:rPr>
              <w:t>INVERSIÓN</w:t>
            </w:r>
          </w:p>
        </w:tc>
        <w:tc>
          <w:tcPr>
            <w:tcW w:w="2040" w:type="dxa"/>
          </w:tcPr>
          <w:p w14:paraId="0D105574" w14:textId="77777777" w:rsidR="007E2F9F" w:rsidRPr="00F5529A" w:rsidRDefault="007E2F9F" w:rsidP="006548F8">
            <w:pPr>
              <w:pStyle w:val="Prrafodelista"/>
              <w:ind w:left="0"/>
              <w:jc w:val="right"/>
              <w:rPr>
                <w:rFonts w:ascii="Arial" w:hAnsi="Arial" w:cs="Arial"/>
                <w:b/>
                <w:sz w:val="18"/>
                <w:szCs w:val="18"/>
              </w:rPr>
            </w:pPr>
            <w:r w:rsidRPr="00F5529A">
              <w:rPr>
                <w:rFonts w:ascii="Arial" w:eastAsia="Calibri" w:hAnsi="Arial" w:cs="Arial"/>
                <w:b/>
                <w:sz w:val="16"/>
                <w:szCs w:val="16"/>
                <w:lang w:val="es-CO"/>
              </w:rPr>
              <w:t>1.030.471.987.849,00</w:t>
            </w:r>
          </w:p>
        </w:tc>
        <w:tc>
          <w:tcPr>
            <w:tcW w:w="2040" w:type="dxa"/>
          </w:tcPr>
          <w:p w14:paraId="46AAFC50" w14:textId="77777777" w:rsidR="007E2F9F" w:rsidRPr="00F5529A" w:rsidRDefault="007E2F9F" w:rsidP="006548F8">
            <w:pPr>
              <w:pStyle w:val="Prrafodelista"/>
              <w:ind w:left="0"/>
              <w:jc w:val="right"/>
              <w:rPr>
                <w:rFonts w:ascii="Arial" w:hAnsi="Arial" w:cs="Arial"/>
                <w:b/>
                <w:sz w:val="18"/>
                <w:szCs w:val="18"/>
              </w:rPr>
            </w:pPr>
            <w:r w:rsidRPr="00F5529A">
              <w:rPr>
                <w:rFonts w:ascii="Arial" w:eastAsia="Calibri" w:hAnsi="Arial" w:cs="Arial"/>
                <w:b/>
                <w:sz w:val="16"/>
                <w:szCs w:val="16"/>
                <w:lang w:val="es-CO"/>
              </w:rPr>
              <w:t>1.029.659.889.505,51</w:t>
            </w:r>
          </w:p>
        </w:tc>
        <w:tc>
          <w:tcPr>
            <w:tcW w:w="2249" w:type="dxa"/>
          </w:tcPr>
          <w:p w14:paraId="289E533E" w14:textId="77777777" w:rsidR="007E2F9F" w:rsidRPr="00F5529A" w:rsidRDefault="007E2F9F" w:rsidP="006548F8">
            <w:pPr>
              <w:pStyle w:val="Prrafodelista"/>
              <w:ind w:left="0"/>
              <w:jc w:val="right"/>
              <w:rPr>
                <w:rFonts w:ascii="Arial" w:hAnsi="Arial" w:cs="Arial"/>
                <w:b/>
                <w:sz w:val="18"/>
                <w:szCs w:val="18"/>
              </w:rPr>
            </w:pPr>
            <w:r w:rsidRPr="00F5529A">
              <w:rPr>
                <w:rFonts w:ascii="Arial" w:hAnsi="Arial" w:cs="Arial"/>
                <w:b/>
                <w:sz w:val="16"/>
                <w:szCs w:val="16"/>
              </w:rPr>
              <w:t>227.422.869.625,07</w:t>
            </w:r>
          </w:p>
        </w:tc>
      </w:tr>
      <w:tr w:rsidR="007E2F9F" w:rsidRPr="00F5529A" w14:paraId="3BFEEA6A" w14:textId="77777777" w:rsidTr="006548F8">
        <w:tc>
          <w:tcPr>
            <w:tcW w:w="4161" w:type="dxa"/>
          </w:tcPr>
          <w:p w14:paraId="6F114C18" w14:textId="77777777" w:rsidR="007E2F9F" w:rsidRPr="00F5529A" w:rsidRDefault="007E2F9F" w:rsidP="006548F8">
            <w:pPr>
              <w:ind w:right="-1440"/>
              <w:jc w:val="both"/>
              <w:rPr>
                <w:rFonts w:ascii="Arial" w:hAnsi="Arial" w:cs="Arial"/>
                <w:b/>
                <w:sz w:val="18"/>
                <w:szCs w:val="18"/>
                <w:lang w:val="es-ES_tradnl"/>
              </w:rPr>
            </w:pPr>
            <w:r w:rsidRPr="00F5529A">
              <w:rPr>
                <w:rFonts w:ascii="Arial" w:hAnsi="Arial" w:cs="Arial"/>
                <w:b/>
                <w:sz w:val="18"/>
                <w:szCs w:val="18"/>
                <w:lang w:val="es-ES_tradnl"/>
              </w:rPr>
              <w:t>TOTAL PÉRDIDAS DE APROPIACIÓN</w:t>
            </w:r>
          </w:p>
        </w:tc>
        <w:tc>
          <w:tcPr>
            <w:tcW w:w="2040" w:type="dxa"/>
          </w:tcPr>
          <w:p w14:paraId="05A127BD" w14:textId="77777777" w:rsidR="007E2F9F" w:rsidRPr="00F5529A" w:rsidRDefault="007E2F9F" w:rsidP="006548F8">
            <w:pPr>
              <w:pStyle w:val="Prrafodelista"/>
              <w:ind w:left="0"/>
              <w:jc w:val="right"/>
              <w:rPr>
                <w:rFonts w:ascii="Arial" w:hAnsi="Arial" w:cs="Arial"/>
                <w:b/>
                <w:sz w:val="18"/>
                <w:szCs w:val="18"/>
                <w:u w:val="single"/>
              </w:rPr>
            </w:pPr>
            <w:r w:rsidRPr="00F5529A">
              <w:rPr>
                <w:rFonts w:ascii="Arial" w:eastAsia="Calibri" w:hAnsi="Arial" w:cs="Arial"/>
                <w:b/>
                <w:sz w:val="16"/>
                <w:szCs w:val="16"/>
                <w:lang w:val="es-CO"/>
              </w:rPr>
              <w:t>1.194.053.196.268,00</w:t>
            </w:r>
          </w:p>
        </w:tc>
        <w:tc>
          <w:tcPr>
            <w:tcW w:w="2040" w:type="dxa"/>
          </w:tcPr>
          <w:p w14:paraId="127E2A3F" w14:textId="77777777" w:rsidR="007E2F9F" w:rsidRPr="00F5529A" w:rsidRDefault="007E2F9F" w:rsidP="006548F8">
            <w:pPr>
              <w:pStyle w:val="Prrafodelista"/>
              <w:ind w:left="0"/>
              <w:jc w:val="right"/>
              <w:rPr>
                <w:rFonts w:ascii="Arial" w:hAnsi="Arial" w:cs="Arial"/>
                <w:b/>
                <w:sz w:val="18"/>
                <w:szCs w:val="18"/>
                <w:u w:val="single"/>
              </w:rPr>
            </w:pPr>
            <w:r w:rsidRPr="00F5529A">
              <w:rPr>
                <w:rFonts w:ascii="Arial" w:eastAsia="Calibri" w:hAnsi="Arial" w:cs="Arial"/>
                <w:b/>
                <w:sz w:val="16"/>
                <w:szCs w:val="16"/>
                <w:lang w:val="es-CO"/>
              </w:rPr>
              <w:t>1.191.508.741.681,08</w:t>
            </w:r>
          </w:p>
        </w:tc>
        <w:tc>
          <w:tcPr>
            <w:tcW w:w="2249" w:type="dxa"/>
          </w:tcPr>
          <w:p w14:paraId="0D27694A" w14:textId="77777777" w:rsidR="007E2F9F" w:rsidRPr="00F5529A" w:rsidRDefault="007E2F9F" w:rsidP="006548F8">
            <w:pPr>
              <w:pStyle w:val="Prrafodelista"/>
              <w:ind w:left="0"/>
              <w:jc w:val="right"/>
              <w:rPr>
                <w:rFonts w:ascii="Arial" w:hAnsi="Arial" w:cs="Arial"/>
                <w:b/>
                <w:sz w:val="18"/>
                <w:szCs w:val="18"/>
                <w:u w:val="single"/>
              </w:rPr>
            </w:pPr>
            <w:r w:rsidRPr="00F5529A">
              <w:rPr>
                <w:rFonts w:ascii="Arial" w:hAnsi="Arial" w:cs="Arial"/>
                <w:b/>
                <w:sz w:val="16"/>
                <w:szCs w:val="16"/>
                <w:u w:val="single"/>
              </w:rPr>
              <w:t>229.155.225.868,50</w:t>
            </w:r>
          </w:p>
        </w:tc>
      </w:tr>
    </w:tbl>
    <w:p w14:paraId="3D73B6A1" w14:textId="77777777" w:rsidR="007E2F9F" w:rsidRDefault="007E2F9F" w:rsidP="007E2F9F">
      <w:pPr>
        <w:jc w:val="both"/>
        <w:rPr>
          <w:rFonts w:ascii="Arial" w:hAnsi="Arial" w:cs="Arial"/>
          <w:sz w:val="28"/>
          <w:szCs w:val="28"/>
        </w:rPr>
      </w:pPr>
    </w:p>
    <w:p w14:paraId="1B321B54" w14:textId="77777777" w:rsidR="007E2F9F" w:rsidRPr="00F5529A" w:rsidRDefault="007E2F9F" w:rsidP="00B7112E">
      <w:pPr>
        <w:pStyle w:val="Prrafodelista"/>
        <w:ind w:left="-284" w:right="-234"/>
        <w:jc w:val="both"/>
        <w:rPr>
          <w:rFonts w:ascii="Arial" w:hAnsi="Arial" w:cs="Arial"/>
          <w:sz w:val="24"/>
        </w:rPr>
      </w:pPr>
      <w:r w:rsidRPr="00F5529A">
        <w:rPr>
          <w:rFonts w:ascii="Arial" w:hAnsi="Arial" w:cs="Arial"/>
          <w:b/>
          <w:sz w:val="24"/>
        </w:rPr>
        <w:t xml:space="preserve">NOTA: NOTA: </w:t>
      </w:r>
      <w:r w:rsidRPr="00F5529A">
        <w:rPr>
          <w:rFonts w:ascii="Arial" w:hAnsi="Arial" w:cs="Arial"/>
          <w:sz w:val="24"/>
        </w:rPr>
        <w:t>Esta auditoría considera que las cifras están presentadas en pesos y no en miles como lo reporta la entidad.</w:t>
      </w:r>
    </w:p>
    <w:p w14:paraId="6C4F1B03" w14:textId="77777777" w:rsidR="007E2F9F" w:rsidRPr="00F5529A" w:rsidRDefault="007E2F9F" w:rsidP="00B7112E">
      <w:pPr>
        <w:pStyle w:val="Prrafodelista"/>
        <w:ind w:left="-284" w:right="-234"/>
        <w:jc w:val="both"/>
        <w:rPr>
          <w:rFonts w:ascii="Arial" w:hAnsi="Arial" w:cs="Arial"/>
          <w:sz w:val="24"/>
        </w:rPr>
      </w:pPr>
    </w:p>
    <w:p w14:paraId="31CC3674" w14:textId="77777777" w:rsidR="007E2F9F" w:rsidRPr="00F5529A" w:rsidRDefault="007E2F9F" w:rsidP="007E2F9F">
      <w:pPr>
        <w:tabs>
          <w:tab w:val="left" w:pos="875"/>
        </w:tabs>
        <w:ind w:left="-284" w:right="-234"/>
        <w:jc w:val="both"/>
        <w:rPr>
          <w:rFonts w:ascii="Arial" w:hAnsi="Arial" w:cs="Arial"/>
          <w:sz w:val="24"/>
        </w:rPr>
      </w:pPr>
      <w:r w:rsidRPr="00F5529A">
        <w:rPr>
          <w:rFonts w:ascii="Arial" w:hAnsi="Arial" w:cs="Arial"/>
          <w:sz w:val="24"/>
        </w:rPr>
        <w:t>La cifra de pérdida de apropiación por inversión esta errada, la cifra correcta es $812.098.343,49, por lo cual el total de pérdidas de apropiación también esta errada, la cifra correcta es $2.544.454.586,92.</w:t>
      </w:r>
    </w:p>
    <w:p w14:paraId="0251DD6E" w14:textId="77777777" w:rsidR="007E2F9F" w:rsidRPr="00F5529A" w:rsidRDefault="007E2F9F" w:rsidP="007E2F9F">
      <w:pPr>
        <w:tabs>
          <w:tab w:val="left" w:pos="875"/>
        </w:tabs>
        <w:ind w:left="-142" w:right="49"/>
        <w:jc w:val="both"/>
        <w:rPr>
          <w:rFonts w:ascii="Arial" w:hAnsi="Arial" w:cs="Arial"/>
          <w:sz w:val="24"/>
        </w:rPr>
      </w:pPr>
    </w:p>
    <w:tbl>
      <w:tblPr>
        <w:tblStyle w:val="Tablaconcuadrcula"/>
        <w:tblW w:w="10490" w:type="dxa"/>
        <w:tblInd w:w="-289" w:type="dxa"/>
        <w:tblLayout w:type="fixed"/>
        <w:tblLook w:val="04A0" w:firstRow="1" w:lastRow="0" w:firstColumn="1" w:lastColumn="0" w:noHBand="0" w:noVBand="1"/>
      </w:tblPr>
      <w:tblGrid>
        <w:gridCol w:w="4253"/>
        <w:gridCol w:w="1985"/>
        <w:gridCol w:w="2028"/>
        <w:gridCol w:w="2224"/>
      </w:tblGrid>
      <w:tr w:rsidR="007E2F9F" w:rsidRPr="00F5529A" w14:paraId="238B67A7" w14:textId="77777777" w:rsidTr="006548F8">
        <w:tc>
          <w:tcPr>
            <w:tcW w:w="4253" w:type="dxa"/>
          </w:tcPr>
          <w:p w14:paraId="19A87DE9" w14:textId="77777777" w:rsidR="007E2F9F" w:rsidRPr="00F5529A" w:rsidRDefault="007E2F9F" w:rsidP="006548F8">
            <w:pPr>
              <w:ind w:left="1169" w:right="-1440"/>
              <w:rPr>
                <w:rFonts w:ascii="Arial" w:hAnsi="Arial" w:cs="Arial"/>
                <w:b/>
                <w:sz w:val="18"/>
                <w:szCs w:val="18"/>
                <w:lang w:val="es-ES_tradnl"/>
              </w:rPr>
            </w:pPr>
            <w:r w:rsidRPr="00F5529A">
              <w:rPr>
                <w:rFonts w:ascii="Arial" w:hAnsi="Arial" w:cs="Arial"/>
                <w:b/>
                <w:sz w:val="18"/>
                <w:szCs w:val="18"/>
                <w:lang w:val="es-ES_tradnl"/>
              </w:rPr>
              <w:t>TIPO DE GASTO</w:t>
            </w:r>
          </w:p>
        </w:tc>
        <w:tc>
          <w:tcPr>
            <w:tcW w:w="1985" w:type="dxa"/>
          </w:tcPr>
          <w:p w14:paraId="6FF308EB" w14:textId="77777777" w:rsidR="007E2F9F" w:rsidRPr="00F5529A" w:rsidRDefault="007E2F9F" w:rsidP="006548F8">
            <w:pPr>
              <w:jc w:val="center"/>
              <w:rPr>
                <w:rFonts w:ascii="Arial" w:hAnsi="Arial" w:cs="Arial"/>
                <w:b/>
                <w:sz w:val="18"/>
                <w:szCs w:val="18"/>
                <w:lang w:val="es-ES_tradnl"/>
              </w:rPr>
            </w:pPr>
            <w:r w:rsidRPr="00F5529A">
              <w:rPr>
                <w:rFonts w:ascii="Arial" w:hAnsi="Arial" w:cs="Arial"/>
                <w:b/>
                <w:sz w:val="18"/>
                <w:szCs w:val="18"/>
                <w:lang w:val="es-ES_tradnl"/>
              </w:rPr>
              <w:t>APROPIACIÓN</w:t>
            </w:r>
          </w:p>
          <w:p w14:paraId="59AA15D5" w14:textId="77777777" w:rsidR="007E2F9F" w:rsidRPr="00F5529A" w:rsidRDefault="007E2F9F" w:rsidP="006548F8">
            <w:pPr>
              <w:jc w:val="center"/>
              <w:rPr>
                <w:rFonts w:ascii="Arial" w:hAnsi="Arial" w:cs="Arial"/>
                <w:b/>
                <w:sz w:val="18"/>
                <w:szCs w:val="18"/>
                <w:lang w:val="es-ES_tradnl"/>
              </w:rPr>
            </w:pPr>
            <w:r w:rsidRPr="00F5529A">
              <w:rPr>
                <w:rFonts w:ascii="Arial" w:hAnsi="Arial" w:cs="Arial"/>
                <w:b/>
                <w:sz w:val="18"/>
                <w:szCs w:val="18"/>
                <w:lang w:val="es-ES_tradnl"/>
              </w:rPr>
              <w:t>DEFINITIVA</w:t>
            </w:r>
          </w:p>
          <w:p w14:paraId="6D146CF6" w14:textId="77777777" w:rsidR="007E2F9F" w:rsidRPr="00F5529A" w:rsidRDefault="007E2F9F" w:rsidP="006548F8">
            <w:pPr>
              <w:jc w:val="center"/>
              <w:rPr>
                <w:rFonts w:ascii="Arial" w:hAnsi="Arial" w:cs="Arial"/>
                <w:b/>
                <w:sz w:val="18"/>
                <w:szCs w:val="18"/>
                <w:lang w:val="es-ES_tradnl"/>
              </w:rPr>
            </w:pPr>
            <w:r w:rsidRPr="00F5529A">
              <w:rPr>
                <w:rFonts w:ascii="Arial" w:hAnsi="Arial" w:cs="Arial"/>
                <w:b/>
                <w:sz w:val="18"/>
                <w:szCs w:val="18"/>
                <w:lang w:val="es-ES_tradnl"/>
              </w:rPr>
              <w:t>(1)</w:t>
            </w:r>
          </w:p>
          <w:p w14:paraId="43A4F860" w14:textId="77777777" w:rsidR="007E2F9F" w:rsidRPr="00F5529A" w:rsidRDefault="007E2F9F" w:rsidP="006548F8">
            <w:pPr>
              <w:jc w:val="center"/>
              <w:rPr>
                <w:rFonts w:ascii="Arial" w:hAnsi="Arial" w:cs="Arial"/>
                <w:b/>
                <w:sz w:val="18"/>
                <w:szCs w:val="18"/>
                <w:lang w:val="es-ES_tradnl"/>
              </w:rPr>
            </w:pPr>
          </w:p>
        </w:tc>
        <w:tc>
          <w:tcPr>
            <w:tcW w:w="2028" w:type="dxa"/>
          </w:tcPr>
          <w:p w14:paraId="2AD96101" w14:textId="77777777" w:rsidR="007E2F9F" w:rsidRPr="00F5529A" w:rsidRDefault="007E2F9F" w:rsidP="006548F8">
            <w:pPr>
              <w:ind w:left="145" w:right="184"/>
              <w:jc w:val="center"/>
              <w:rPr>
                <w:rFonts w:ascii="Arial" w:hAnsi="Arial" w:cs="Arial"/>
                <w:b/>
                <w:sz w:val="18"/>
                <w:szCs w:val="18"/>
                <w:lang w:val="es-ES_tradnl"/>
              </w:rPr>
            </w:pPr>
            <w:r w:rsidRPr="00F5529A">
              <w:rPr>
                <w:rFonts w:ascii="Arial" w:hAnsi="Arial" w:cs="Arial"/>
                <w:b/>
                <w:sz w:val="18"/>
                <w:szCs w:val="18"/>
                <w:lang w:val="es-ES_tradnl"/>
              </w:rPr>
              <w:t>EJECUCIÓN</w:t>
            </w:r>
          </w:p>
          <w:p w14:paraId="706B2CF1"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COMPROMISOS</w:t>
            </w:r>
          </w:p>
          <w:p w14:paraId="5AA801A0"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(2)</w:t>
            </w:r>
          </w:p>
        </w:tc>
        <w:tc>
          <w:tcPr>
            <w:tcW w:w="2224" w:type="dxa"/>
          </w:tcPr>
          <w:p w14:paraId="7A533C80" w14:textId="77777777" w:rsidR="007E2F9F" w:rsidRPr="00F5529A" w:rsidRDefault="007E2F9F" w:rsidP="006548F8">
            <w:pPr>
              <w:ind w:left="25" w:right="34"/>
              <w:jc w:val="center"/>
              <w:rPr>
                <w:rFonts w:ascii="Arial" w:hAnsi="Arial" w:cs="Arial"/>
                <w:b/>
                <w:sz w:val="18"/>
                <w:szCs w:val="18"/>
                <w:lang w:val="es-ES_tradnl"/>
              </w:rPr>
            </w:pPr>
            <w:r w:rsidRPr="00F5529A">
              <w:rPr>
                <w:rFonts w:ascii="Arial" w:hAnsi="Arial" w:cs="Arial"/>
                <w:b/>
                <w:sz w:val="18"/>
                <w:szCs w:val="18"/>
                <w:lang w:val="es-ES_tradnl"/>
              </w:rPr>
              <w:t>PÉRDIDAS DE</w:t>
            </w:r>
          </w:p>
          <w:p w14:paraId="6644F17C"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APROPIACIÓN</w:t>
            </w:r>
          </w:p>
          <w:p w14:paraId="7DF10CF7" w14:textId="77777777" w:rsidR="007E2F9F" w:rsidRPr="00F5529A" w:rsidRDefault="007E2F9F" w:rsidP="006548F8">
            <w:pPr>
              <w:ind w:right="34"/>
              <w:jc w:val="center"/>
              <w:rPr>
                <w:rFonts w:ascii="Arial" w:hAnsi="Arial" w:cs="Arial"/>
                <w:b/>
                <w:sz w:val="18"/>
                <w:szCs w:val="18"/>
                <w:lang w:val="es-ES_tradnl"/>
              </w:rPr>
            </w:pPr>
            <w:r w:rsidRPr="00F5529A">
              <w:rPr>
                <w:rFonts w:ascii="Arial" w:hAnsi="Arial" w:cs="Arial"/>
                <w:b/>
                <w:sz w:val="18"/>
                <w:szCs w:val="18"/>
                <w:lang w:val="es-ES_tradnl"/>
              </w:rPr>
              <w:t>3 = (1-2)</w:t>
            </w:r>
          </w:p>
        </w:tc>
      </w:tr>
      <w:tr w:rsidR="007E2F9F" w:rsidRPr="00F5529A" w14:paraId="31AFE35E" w14:textId="77777777" w:rsidTr="006548F8">
        <w:tc>
          <w:tcPr>
            <w:tcW w:w="4253" w:type="dxa"/>
          </w:tcPr>
          <w:p w14:paraId="36143854" w14:textId="77777777" w:rsidR="007E2F9F" w:rsidRPr="00F5529A" w:rsidRDefault="007E2F9F" w:rsidP="006548F8">
            <w:pPr>
              <w:ind w:right="-1440"/>
              <w:jc w:val="both"/>
              <w:rPr>
                <w:rFonts w:ascii="Arial" w:hAnsi="Arial" w:cs="Arial"/>
                <w:b/>
                <w:sz w:val="18"/>
                <w:szCs w:val="18"/>
                <w:lang w:val="es-ES_tradnl"/>
              </w:rPr>
            </w:pPr>
            <w:r w:rsidRPr="00F5529A">
              <w:rPr>
                <w:rFonts w:ascii="Arial" w:hAnsi="Arial" w:cs="Arial"/>
                <w:b/>
                <w:sz w:val="18"/>
                <w:szCs w:val="18"/>
                <w:lang w:val="es-ES_tradnl"/>
              </w:rPr>
              <w:t>FUNCIONAMIENTO</w:t>
            </w:r>
          </w:p>
        </w:tc>
        <w:tc>
          <w:tcPr>
            <w:tcW w:w="1985" w:type="dxa"/>
          </w:tcPr>
          <w:p w14:paraId="40C1AD02" w14:textId="77777777" w:rsidR="007E2F9F" w:rsidRPr="00F5529A" w:rsidRDefault="007E2F9F" w:rsidP="006548F8">
            <w:pPr>
              <w:pStyle w:val="Prrafodelista"/>
              <w:ind w:left="0"/>
              <w:jc w:val="right"/>
              <w:rPr>
                <w:rFonts w:ascii="Arial" w:hAnsi="Arial" w:cs="Arial"/>
                <w:b/>
                <w:sz w:val="16"/>
                <w:szCs w:val="16"/>
              </w:rPr>
            </w:pPr>
            <w:r w:rsidRPr="00F5529A">
              <w:rPr>
                <w:rFonts w:ascii="Arial" w:eastAsia="Calibri" w:hAnsi="Arial" w:cs="Arial"/>
                <w:b/>
                <w:sz w:val="16"/>
                <w:szCs w:val="16"/>
                <w:lang w:val="es-CO"/>
              </w:rPr>
              <w:t>163.581.208.419,00</w:t>
            </w:r>
          </w:p>
        </w:tc>
        <w:tc>
          <w:tcPr>
            <w:tcW w:w="2028" w:type="dxa"/>
          </w:tcPr>
          <w:p w14:paraId="6116EBEF" w14:textId="77777777" w:rsidR="007E2F9F" w:rsidRPr="00F5529A" w:rsidRDefault="007E2F9F" w:rsidP="006548F8">
            <w:pPr>
              <w:pStyle w:val="Prrafodelista"/>
              <w:ind w:left="0"/>
              <w:jc w:val="right"/>
              <w:rPr>
                <w:rFonts w:ascii="Arial" w:hAnsi="Arial" w:cs="Arial"/>
                <w:b/>
                <w:sz w:val="16"/>
                <w:szCs w:val="16"/>
              </w:rPr>
            </w:pPr>
            <w:r w:rsidRPr="00F5529A">
              <w:rPr>
                <w:rFonts w:ascii="Arial" w:eastAsia="Calibri" w:hAnsi="Arial" w:cs="Arial"/>
                <w:b/>
                <w:sz w:val="16"/>
                <w:szCs w:val="16"/>
                <w:lang w:val="es-CO"/>
              </w:rPr>
              <w:t>161.848.852.175,57</w:t>
            </w:r>
          </w:p>
        </w:tc>
        <w:tc>
          <w:tcPr>
            <w:tcW w:w="2224" w:type="dxa"/>
          </w:tcPr>
          <w:p w14:paraId="4766113B" w14:textId="77777777" w:rsidR="007E2F9F" w:rsidRPr="00F5529A" w:rsidRDefault="007E2F9F" w:rsidP="006548F8">
            <w:pPr>
              <w:pStyle w:val="Prrafodelista"/>
              <w:ind w:left="0"/>
              <w:jc w:val="right"/>
              <w:rPr>
                <w:rFonts w:ascii="Arial" w:hAnsi="Arial" w:cs="Arial"/>
                <w:b/>
                <w:sz w:val="16"/>
                <w:szCs w:val="16"/>
              </w:rPr>
            </w:pPr>
            <w:r w:rsidRPr="00F5529A">
              <w:rPr>
                <w:rFonts w:ascii="Arial" w:hAnsi="Arial" w:cs="Arial"/>
                <w:b/>
                <w:sz w:val="16"/>
                <w:szCs w:val="16"/>
              </w:rPr>
              <w:t>1.732.356.243,43</w:t>
            </w:r>
          </w:p>
        </w:tc>
      </w:tr>
      <w:tr w:rsidR="007E2F9F" w:rsidRPr="00F5529A" w14:paraId="1925E973" w14:textId="77777777" w:rsidTr="006548F8">
        <w:tc>
          <w:tcPr>
            <w:tcW w:w="4253" w:type="dxa"/>
          </w:tcPr>
          <w:p w14:paraId="43B26C4F" w14:textId="77777777" w:rsidR="007E2F9F" w:rsidRPr="00F5529A" w:rsidRDefault="007E2F9F" w:rsidP="006548F8">
            <w:pPr>
              <w:ind w:right="-1440"/>
              <w:jc w:val="both"/>
              <w:rPr>
                <w:rFonts w:ascii="Arial" w:hAnsi="Arial" w:cs="Arial"/>
                <w:b/>
                <w:sz w:val="18"/>
                <w:szCs w:val="18"/>
                <w:lang w:val="es-ES_tradnl"/>
              </w:rPr>
            </w:pPr>
            <w:r w:rsidRPr="00F5529A">
              <w:rPr>
                <w:rFonts w:ascii="Arial" w:hAnsi="Arial" w:cs="Arial"/>
                <w:b/>
                <w:sz w:val="18"/>
                <w:szCs w:val="18"/>
                <w:lang w:val="es-ES_tradnl"/>
              </w:rPr>
              <w:t>INVERSIÓN</w:t>
            </w:r>
          </w:p>
        </w:tc>
        <w:tc>
          <w:tcPr>
            <w:tcW w:w="1985" w:type="dxa"/>
          </w:tcPr>
          <w:p w14:paraId="2EF1E067" w14:textId="77777777" w:rsidR="007E2F9F" w:rsidRPr="00F5529A" w:rsidRDefault="007E2F9F" w:rsidP="006548F8">
            <w:pPr>
              <w:pStyle w:val="Prrafodelista"/>
              <w:ind w:left="0"/>
              <w:jc w:val="right"/>
              <w:rPr>
                <w:rFonts w:ascii="Arial" w:hAnsi="Arial" w:cs="Arial"/>
                <w:b/>
                <w:sz w:val="16"/>
                <w:szCs w:val="16"/>
              </w:rPr>
            </w:pPr>
            <w:r w:rsidRPr="00F5529A">
              <w:rPr>
                <w:rFonts w:ascii="Arial" w:eastAsia="Calibri" w:hAnsi="Arial" w:cs="Arial"/>
                <w:b/>
                <w:sz w:val="16"/>
                <w:szCs w:val="16"/>
                <w:lang w:val="es-CO"/>
              </w:rPr>
              <w:t>1.030.471.987.849,00</w:t>
            </w:r>
          </w:p>
        </w:tc>
        <w:tc>
          <w:tcPr>
            <w:tcW w:w="2028" w:type="dxa"/>
          </w:tcPr>
          <w:p w14:paraId="103A90C2" w14:textId="77777777" w:rsidR="007E2F9F" w:rsidRPr="00F5529A" w:rsidRDefault="007E2F9F" w:rsidP="006548F8">
            <w:pPr>
              <w:pStyle w:val="Prrafodelista"/>
              <w:ind w:left="0"/>
              <w:jc w:val="right"/>
              <w:rPr>
                <w:rFonts w:ascii="Arial" w:hAnsi="Arial" w:cs="Arial"/>
                <w:b/>
                <w:sz w:val="16"/>
                <w:szCs w:val="16"/>
              </w:rPr>
            </w:pPr>
            <w:r w:rsidRPr="00F5529A">
              <w:rPr>
                <w:rFonts w:ascii="Arial" w:eastAsia="Calibri" w:hAnsi="Arial" w:cs="Arial"/>
                <w:b/>
                <w:sz w:val="16"/>
                <w:szCs w:val="16"/>
                <w:lang w:val="es-CO"/>
              </w:rPr>
              <w:t>1.029.659.889.505,51</w:t>
            </w:r>
          </w:p>
        </w:tc>
        <w:tc>
          <w:tcPr>
            <w:tcW w:w="2224" w:type="dxa"/>
          </w:tcPr>
          <w:p w14:paraId="31D024F0" w14:textId="77777777" w:rsidR="007E2F9F" w:rsidRPr="00F5529A" w:rsidRDefault="007E2F9F" w:rsidP="006548F8">
            <w:pPr>
              <w:pStyle w:val="Prrafodelista"/>
              <w:ind w:left="0"/>
              <w:jc w:val="right"/>
              <w:rPr>
                <w:rFonts w:ascii="Arial" w:hAnsi="Arial" w:cs="Arial"/>
                <w:b/>
                <w:sz w:val="16"/>
                <w:szCs w:val="16"/>
                <w:highlight w:val="yellow"/>
              </w:rPr>
            </w:pPr>
            <w:r w:rsidRPr="00F5529A">
              <w:rPr>
                <w:rFonts w:ascii="Arial" w:hAnsi="Arial" w:cs="Arial"/>
                <w:b/>
                <w:sz w:val="16"/>
                <w:szCs w:val="16"/>
                <w:highlight w:val="yellow"/>
              </w:rPr>
              <w:t>812.098.343.49</w:t>
            </w:r>
          </w:p>
        </w:tc>
      </w:tr>
      <w:tr w:rsidR="007E2F9F" w:rsidRPr="00F5529A" w14:paraId="1AF86BD7" w14:textId="77777777" w:rsidTr="006548F8">
        <w:tc>
          <w:tcPr>
            <w:tcW w:w="4253" w:type="dxa"/>
          </w:tcPr>
          <w:p w14:paraId="5E79A795" w14:textId="77777777" w:rsidR="007E2F9F" w:rsidRPr="00F5529A" w:rsidRDefault="007E2F9F" w:rsidP="006548F8">
            <w:pPr>
              <w:ind w:right="-1440"/>
              <w:jc w:val="both"/>
              <w:rPr>
                <w:rFonts w:ascii="Arial" w:hAnsi="Arial" w:cs="Arial"/>
                <w:b/>
                <w:sz w:val="18"/>
                <w:szCs w:val="18"/>
                <w:lang w:val="es-ES_tradnl"/>
              </w:rPr>
            </w:pPr>
            <w:r w:rsidRPr="00F5529A">
              <w:rPr>
                <w:rFonts w:ascii="Arial" w:hAnsi="Arial" w:cs="Arial"/>
                <w:b/>
                <w:sz w:val="18"/>
                <w:szCs w:val="18"/>
                <w:lang w:val="es-ES_tradnl"/>
              </w:rPr>
              <w:t>TOTAL PÉRDIDAS DE APROPIACIÓN</w:t>
            </w:r>
          </w:p>
        </w:tc>
        <w:tc>
          <w:tcPr>
            <w:tcW w:w="1985" w:type="dxa"/>
          </w:tcPr>
          <w:p w14:paraId="7C1EF1EA" w14:textId="77777777" w:rsidR="007E2F9F" w:rsidRPr="00F5529A" w:rsidRDefault="007E2F9F" w:rsidP="006548F8">
            <w:pPr>
              <w:pStyle w:val="Prrafodelista"/>
              <w:ind w:left="0"/>
              <w:jc w:val="right"/>
              <w:rPr>
                <w:rFonts w:ascii="Arial" w:hAnsi="Arial" w:cs="Arial"/>
                <w:b/>
                <w:sz w:val="16"/>
                <w:szCs w:val="16"/>
              </w:rPr>
            </w:pPr>
            <w:r w:rsidRPr="00F5529A">
              <w:rPr>
                <w:rFonts w:ascii="Arial" w:eastAsia="Calibri" w:hAnsi="Arial" w:cs="Arial"/>
                <w:b/>
                <w:sz w:val="16"/>
                <w:szCs w:val="16"/>
                <w:lang w:val="es-CO"/>
              </w:rPr>
              <w:t>1.194.053.196.268,00</w:t>
            </w:r>
          </w:p>
        </w:tc>
        <w:tc>
          <w:tcPr>
            <w:tcW w:w="2028" w:type="dxa"/>
          </w:tcPr>
          <w:p w14:paraId="4A33A8B3" w14:textId="77777777" w:rsidR="007E2F9F" w:rsidRPr="00F5529A" w:rsidRDefault="007E2F9F" w:rsidP="006548F8">
            <w:pPr>
              <w:pStyle w:val="Prrafodelista"/>
              <w:ind w:left="0"/>
              <w:jc w:val="right"/>
              <w:rPr>
                <w:rFonts w:ascii="Arial" w:hAnsi="Arial" w:cs="Arial"/>
                <w:b/>
                <w:sz w:val="16"/>
                <w:szCs w:val="16"/>
              </w:rPr>
            </w:pPr>
            <w:r w:rsidRPr="00F5529A">
              <w:rPr>
                <w:rFonts w:ascii="Arial" w:eastAsia="Calibri" w:hAnsi="Arial" w:cs="Arial"/>
                <w:b/>
                <w:sz w:val="16"/>
                <w:szCs w:val="16"/>
                <w:lang w:val="es-CO"/>
              </w:rPr>
              <w:t>1.191.508.741.681,08</w:t>
            </w:r>
          </w:p>
        </w:tc>
        <w:tc>
          <w:tcPr>
            <w:tcW w:w="2224" w:type="dxa"/>
          </w:tcPr>
          <w:p w14:paraId="3ADBBD42" w14:textId="77777777" w:rsidR="007E2F9F" w:rsidRPr="00F5529A" w:rsidRDefault="007E2F9F" w:rsidP="006548F8">
            <w:pPr>
              <w:pStyle w:val="Prrafodelista"/>
              <w:ind w:left="0"/>
              <w:jc w:val="right"/>
              <w:rPr>
                <w:rFonts w:ascii="Arial" w:hAnsi="Arial" w:cs="Arial"/>
                <w:b/>
                <w:sz w:val="16"/>
                <w:szCs w:val="16"/>
                <w:highlight w:val="yellow"/>
                <w:u w:val="single"/>
              </w:rPr>
            </w:pPr>
            <w:r w:rsidRPr="00F5529A">
              <w:rPr>
                <w:rFonts w:ascii="Arial" w:hAnsi="Arial" w:cs="Arial"/>
                <w:b/>
                <w:sz w:val="16"/>
                <w:szCs w:val="16"/>
                <w:highlight w:val="yellow"/>
                <w:u w:val="single"/>
              </w:rPr>
              <w:t>2.544.454.586.92</w:t>
            </w:r>
          </w:p>
        </w:tc>
      </w:tr>
    </w:tbl>
    <w:p w14:paraId="474DC8EF" w14:textId="77777777" w:rsidR="007E2F9F" w:rsidRDefault="007E2F9F" w:rsidP="007E2F9F">
      <w:pPr>
        <w:tabs>
          <w:tab w:val="left" w:pos="875"/>
        </w:tabs>
        <w:ind w:left="-142" w:right="49"/>
        <w:jc w:val="both"/>
        <w:rPr>
          <w:sz w:val="24"/>
        </w:rPr>
      </w:pPr>
    </w:p>
    <w:p w14:paraId="0E224AA6" w14:textId="77777777" w:rsidR="007E2F9F" w:rsidRPr="00604D79" w:rsidRDefault="007E2F9F" w:rsidP="007E2F9F">
      <w:pPr>
        <w:ind w:left="-284"/>
        <w:jc w:val="both"/>
        <w:rPr>
          <w:rFonts w:ascii="Arial" w:hAnsi="Arial" w:cs="Arial"/>
          <w:b/>
          <w:sz w:val="28"/>
          <w:szCs w:val="28"/>
          <w:lang w:val="es-MX"/>
        </w:rPr>
      </w:pPr>
      <w:r w:rsidRPr="00604D79">
        <w:rPr>
          <w:rFonts w:ascii="Arial" w:hAnsi="Arial" w:cs="Arial"/>
          <w:b/>
          <w:sz w:val="28"/>
          <w:szCs w:val="28"/>
          <w:lang w:val="es-MX"/>
        </w:rPr>
        <w:t>43.- CÁMARA DE REPRESENTANTES.</w:t>
      </w:r>
    </w:p>
    <w:p w14:paraId="54968344" w14:textId="77777777" w:rsidR="007E2F9F" w:rsidRDefault="007E2F9F" w:rsidP="007E2F9F">
      <w:pPr>
        <w:jc w:val="both"/>
        <w:rPr>
          <w:rFonts w:ascii="Arial" w:hAnsi="Arial" w:cs="Arial"/>
          <w:sz w:val="28"/>
          <w:szCs w:val="28"/>
        </w:rPr>
      </w:pPr>
    </w:p>
    <w:p w14:paraId="2D36B40D"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26A6233A"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4EA22D01"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9D1ABF" w14:paraId="14656C79" w14:textId="77777777" w:rsidTr="006548F8">
        <w:tc>
          <w:tcPr>
            <w:tcW w:w="4161" w:type="dxa"/>
          </w:tcPr>
          <w:p w14:paraId="3EA55D66" w14:textId="77777777" w:rsidR="007E2F9F" w:rsidRPr="009D1ABF" w:rsidRDefault="007E2F9F" w:rsidP="006548F8">
            <w:pPr>
              <w:ind w:left="1169" w:right="-1440"/>
              <w:rPr>
                <w:rFonts w:ascii="Arial" w:hAnsi="Arial" w:cs="Arial"/>
                <w:b/>
                <w:sz w:val="18"/>
                <w:szCs w:val="18"/>
                <w:lang w:val="es-ES_tradnl"/>
              </w:rPr>
            </w:pPr>
            <w:r w:rsidRPr="009D1ABF">
              <w:rPr>
                <w:rFonts w:ascii="Arial" w:hAnsi="Arial" w:cs="Arial"/>
                <w:b/>
                <w:sz w:val="18"/>
                <w:szCs w:val="18"/>
                <w:lang w:val="es-ES_tradnl"/>
              </w:rPr>
              <w:t>TIPO DE GASTO</w:t>
            </w:r>
          </w:p>
        </w:tc>
        <w:tc>
          <w:tcPr>
            <w:tcW w:w="2040" w:type="dxa"/>
          </w:tcPr>
          <w:p w14:paraId="68FCEA51" w14:textId="77777777" w:rsidR="007E2F9F" w:rsidRPr="009D1ABF" w:rsidRDefault="007E2F9F" w:rsidP="006548F8">
            <w:pPr>
              <w:jc w:val="center"/>
              <w:rPr>
                <w:rFonts w:ascii="Arial" w:hAnsi="Arial" w:cs="Arial"/>
                <w:b/>
                <w:sz w:val="18"/>
                <w:szCs w:val="18"/>
                <w:lang w:val="es-ES_tradnl"/>
              </w:rPr>
            </w:pPr>
            <w:r w:rsidRPr="009D1ABF">
              <w:rPr>
                <w:rFonts w:ascii="Arial" w:hAnsi="Arial" w:cs="Arial"/>
                <w:b/>
                <w:sz w:val="18"/>
                <w:szCs w:val="18"/>
                <w:lang w:val="es-ES_tradnl"/>
              </w:rPr>
              <w:t>APROPIACIÓN</w:t>
            </w:r>
          </w:p>
          <w:p w14:paraId="49B62494" w14:textId="77777777" w:rsidR="007E2F9F" w:rsidRPr="009D1ABF" w:rsidRDefault="007E2F9F" w:rsidP="006548F8">
            <w:pPr>
              <w:jc w:val="center"/>
              <w:rPr>
                <w:rFonts w:ascii="Arial" w:hAnsi="Arial" w:cs="Arial"/>
                <w:b/>
                <w:sz w:val="18"/>
                <w:szCs w:val="18"/>
                <w:lang w:val="es-ES_tradnl"/>
              </w:rPr>
            </w:pPr>
            <w:r w:rsidRPr="009D1ABF">
              <w:rPr>
                <w:rFonts w:ascii="Arial" w:hAnsi="Arial" w:cs="Arial"/>
                <w:b/>
                <w:sz w:val="18"/>
                <w:szCs w:val="18"/>
                <w:lang w:val="es-ES_tradnl"/>
              </w:rPr>
              <w:t>DEFINITIVA</w:t>
            </w:r>
          </w:p>
          <w:p w14:paraId="6BA624F8" w14:textId="77777777" w:rsidR="007E2F9F" w:rsidRPr="009D1ABF" w:rsidRDefault="007E2F9F" w:rsidP="006548F8">
            <w:pPr>
              <w:jc w:val="center"/>
              <w:rPr>
                <w:rFonts w:ascii="Arial" w:hAnsi="Arial" w:cs="Arial"/>
                <w:b/>
                <w:sz w:val="18"/>
                <w:szCs w:val="18"/>
                <w:lang w:val="es-ES_tradnl"/>
              </w:rPr>
            </w:pPr>
            <w:r w:rsidRPr="009D1ABF">
              <w:rPr>
                <w:rFonts w:ascii="Arial" w:hAnsi="Arial" w:cs="Arial"/>
                <w:b/>
                <w:sz w:val="18"/>
                <w:szCs w:val="18"/>
                <w:lang w:val="es-ES_tradnl"/>
              </w:rPr>
              <w:t>(1)</w:t>
            </w:r>
          </w:p>
          <w:p w14:paraId="5FE52AD0" w14:textId="77777777" w:rsidR="007E2F9F" w:rsidRPr="009D1ABF" w:rsidRDefault="007E2F9F" w:rsidP="006548F8">
            <w:pPr>
              <w:jc w:val="center"/>
              <w:rPr>
                <w:rFonts w:ascii="Arial" w:hAnsi="Arial" w:cs="Arial"/>
                <w:b/>
                <w:sz w:val="18"/>
                <w:szCs w:val="18"/>
                <w:lang w:val="es-ES_tradnl"/>
              </w:rPr>
            </w:pPr>
          </w:p>
        </w:tc>
        <w:tc>
          <w:tcPr>
            <w:tcW w:w="2040" w:type="dxa"/>
          </w:tcPr>
          <w:p w14:paraId="75A85CFA" w14:textId="77777777" w:rsidR="007E2F9F" w:rsidRPr="009D1ABF" w:rsidRDefault="007E2F9F" w:rsidP="006548F8">
            <w:pPr>
              <w:ind w:left="145" w:right="184"/>
              <w:jc w:val="center"/>
              <w:rPr>
                <w:rFonts w:ascii="Arial" w:hAnsi="Arial" w:cs="Arial"/>
                <w:b/>
                <w:sz w:val="18"/>
                <w:szCs w:val="18"/>
                <w:lang w:val="es-ES_tradnl"/>
              </w:rPr>
            </w:pPr>
            <w:r w:rsidRPr="009D1ABF">
              <w:rPr>
                <w:rFonts w:ascii="Arial" w:hAnsi="Arial" w:cs="Arial"/>
                <w:b/>
                <w:sz w:val="18"/>
                <w:szCs w:val="18"/>
                <w:lang w:val="es-ES_tradnl"/>
              </w:rPr>
              <w:t>EJECUCIÓN</w:t>
            </w:r>
          </w:p>
          <w:p w14:paraId="5703E6D8" w14:textId="77777777" w:rsidR="007E2F9F" w:rsidRPr="009D1ABF" w:rsidRDefault="007E2F9F" w:rsidP="006548F8">
            <w:pPr>
              <w:ind w:right="34"/>
              <w:jc w:val="center"/>
              <w:rPr>
                <w:rFonts w:ascii="Arial" w:hAnsi="Arial" w:cs="Arial"/>
                <w:b/>
                <w:sz w:val="18"/>
                <w:szCs w:val="18"/>
                <w:lang w:val="es-ES_tradnl"/>
              </w:rPr>
            </w:pPr>
            <w:r w:rsidRPr="009D1ABF">
              <w:rPr>
                <w:rFonts w:ascii="Arial" w:hAnsi="Arial" w:cs="Arial"/>
                <w:b/>
                <w:sz w:val="18"/>
                <w:szCs w:val="18"/>
                <w:lang w:val="es-ES_tradnl"/>
              </w:rPr>
              <w:t>COMPROMISOS</w:t>
            </w:r>
          </w:p>
          <w:p w14:paraId="4BBBC868" w14:textId="77777777" w:rsidR="007E2F9F" w:rsidRPr="009D1ABF" w:rsidRDefault="007E2F9F" w:rsidP="006548F8">
            <w:pPr>
              <w:ind w:right="34"/>
              <w:jc w:val="center"/>
              <w:rPr>
                <w:rFonts w:ascii="Arial" w:hAnsi="Arial" w:cs="Arial"/>
                <w:b/>
                <w:sz w:val="18"/>
                <w:szCs w:val="18"/>
                <w:lang w:val="es-ES_tradnl"/>
              </w:rPr>
            </w:pPr>
            <w:r w:rsidRPr="009D1ABF">
              <w:rPr>
                <w:rFonts w:ascii="Arial" w:hAnsi="Arial" w:cs="Arial"/>
                <w:b/>
                <w:sz w:val="18"/>
                <w:szCs w:val="18"/>
                <w:lang w:val="es-ES_tradnl"/>
              </w:rPr>
              <w:t>(2)</w:t>
            </w:r>
          </w:p>
        </w:tc>
        <w:tc>
          <w:tcPr>
            <w:tcW w:w="2249" w:type="dxa"/>
          </w:tcPr>
          <w:p w14:paraId="7E0412BF" w14:textId="77777777" w:rsidR="007E2F9F" w:rsidRPr="009D1ABF" w:rsidRDefault="007E2F9F" w:rsidP="006548F8">
            <w:pPr>
              <w:ind w:left="25" w:right="34"/>
              <w:jc w:val="center"/>
              <w:rPr>
                <w:rFonts w:ascii="Arial" w:hAnsi="Arial" w:cs="Arial"/>
                <w:b/>
                <w:sz w:val="18"/>
                <w:szCs w:val="18"/>
                <w:lang w:val="es-ES_tradnl"/>
              </w:rPr>
            </w:pPr>
            <w:r w:rsidRPr="009D1ABF">
              <w:rPr>
                <w:rFonts w:ascii="Arial" w:hAnsi="Arial" w:cs="Arial"/>
                <w:b/>
                <w:sz w:val="18"/>
                <w:szCs w:val="18"/>
                <w:lang w:val="es-ES_tradnl"/>
              </w:rPr>
              <w:t>PÉRDIDAS DE</w:t>
            </w:r>
          </w:p>
          <w:p w14:paraId="7D5028D6" w14:textId="77777777" w:rsidR="007E2F9F" w:rsidRPr="009D1ABF" w:rsidRDefault="007E2F9F" w:rsidP="006548F8">
            <w:pPr>
              <w:ind w:right="34"/>
              <w:jc w:val="center"/>
              <w:rPr>
                <w:rFonts w:ascii="Arial" w:hAnsi="Arial" w:cs="Arial"/>
                <w:b/>
                <w:sz w:val="18"/>
                <w:szCs w:val="18"/>
                <w:lang w:val="es-ES_tradnl"/>
              </w:rPr>
            </w:pPr>
            <w:r w:rsidRPr="009D1ABF">
              <w:rPr>
                <w:rFonts w:ascii="Arial" w:hAnsi="Arial" w:cs="Arial"/>
                <w:b/>
                <w:sz w:val="18"/>
                <w:szCs w:val="18"/>
                <w:lang w:val="es-ES_tradnl"/>
              </w:rPr>
              <w:t>APROPIACIÓN</w:t>
            </w:r>
          </w:p>
          <w:p w14:paraId="073B98E6" w14:textId="77777777" w:rsidR="007E2F9F" w:rsidRPr="009D1ABF" w:rsidRDefault="007E2F9F" w:rsidP="006548F8">
            <w:pPr>
              <w:ind w:right="34"/>
              <w:jc w:val="center"/>
              <w:rPr>
                <w:rFonts w:ascii="Arial" w:hAnsi="Arial" w:cs="Arial"/>
                <w:b/>
                <w:sz w:val="18"/>
                <w:szCs w:val="18"/>
                <w:lang w:val="es-ES_tradnl"/>
              </w:rPr>
            </w:pPr>
            <w:r w:rsidRPr="009D1ABF">
              <w:rPr>
                <w:rFonts w:ascii="Arial" w:hAnsi="Arial" w:cs="Arial"/>
                <w:b/>
                <w:sz w:val="18"/>
                <w:szCs w:val="18"/>
                <w:lang w:val="es-ES_tradnl"/>
              </w:rPr>
              <w:t>3 = (1-2)</w:t>
            </w:r>
          </w:p>
        </w:tc>
      </w:tr>
      <w:tr w:rsidR="007E2F9F" w:rsidRPr="009D1ABF" w14:paraId="2DB771A0" w14:textId="77777777" w:rsidTr="006548F8">
        <w:trPr>
          <w:trHeight w:val="230"/>
        </w:trPr>
        <w:tc>
          <w:tcPr>
            <w:tcW w:w="4161" w:type="dxa"/>
          </w:tcPr>
          <w:p w14:paraId="11FF2B49" w14:textId="77777777" w:rsidR="007E2F9F" w:rsidRPr="009D1ABF" w:rsidRDefault="007E2F9F" w:rsidP="006548F8">
            <w:pPr>
              <w:ind w:right="-1440"/>
              <w:jc w:val="both"/>
              <w:rPr>
                <w:rFonts w:ascii="Arial" w:hAnsi="Arial" w:cs="Arial"/>
                <w:b/>
                <w:sz w:val="18"/>
                <w:szCs w:val="18"/>
                <w:lang w:val="es-ES_tradnl"/>
              </w:rPr>
            </w:pPr>
            <w:r w:rsidRPr="009D1ABF">
              <w:rPr>
                <w:rFonts w:ascii="Arial" w:hAnsi="Arial" w:cs="Arial"/>
                <w:b/>
                <w:sz w:val="18"/>
                <w:szCs w:val="18"/>
                <w:lang w:val="es-ES_tradnl"/>
              </w:rPr>
              <w:t>FUNCIONAMIENTO</w:t>
            </w:r>
          </w:p>
        </w:tc>
        <w:tc>
          <w:tcPr>
            <w:tcW w:w="2040" w:type="dxa"/>
            <w:vAlign w:val="center"/>
          </w:tcPr>
          <w:p w14:paraId="052C5462" w14:textId="77777777" w:rsidR="007E2F9F" w:rsidRPr="009D1ABF" w:rsidRDefault="007E2F9F" w:rsidP="006548F8">
            <w:pPr>
              <w:jc w:val="right"/>
              <w:rPr>
                <w:rFonts w:ascii="Arial" w:eastAsia="Calibri" w:hAnsi="Arial" w:cs="Arial"/>
                <w:sz w:val="18"/>
                <w:szCs w:val="18"/>
                <w:lang w:val="es-CO"/>
              </w:rPr>
            </w:pPr>
            <w:r w:rsidRPr="009D1ABF">
              <w:rPr>
                <w:rFonts w:ascii="Arial" w:eastAsia="Calibri" w:hAnsi="Arial" w:cs="Arial"/>
                <w:b/>
                <w:sz w:val="16"/>
                <w:szCs w:val="16"/>
                <w:lang w:val="es-CO"/>
              </w:rPr>
              <w:t>682.309.000.000</w:t>
            </w:r>
          </w:p>
        </w:tc>
        <w:tc>
          <w:tcPr>
            <w:tcW w:w="2040" w:type="dxa"/>
            <w:vAlign w:val="center"/>
          </w:tcPr>
          <w:p w14:paraId="10ADE44F" w14:textId="77777777" w:rsidR="007E2F9F" w:rsidRPr="009D1ABF" w:rsidRDefault="007E2F9F" w:rsidP="006548F8">
            <w:pPr>
              <w:pStyle w:val="Prrafodelista"/>
              <w:ind w:left="0"/>
              <w:jc w:val="right"/>
              <w:rPr>
                <w:rFonts w:ascii="Arial" w:hAnsi="Arial" w:cs="Arial"/>
                <w:b/>
                <w:sz w:val="18"/>
                <w:szCs w:val="18"/>
              </w:rPr>
            </w:pPr>
            <w:r w:rsidRPr="009D1ABF">
              <w:rPr>
                <w:rFonts w:ascii="Arial" w:eastAsia="Calibri" w:hAnsi="Arial" w:cs="Arial"/>
                <w:b/>
                <w:sz w:val="16"/>
                <w:szCs w:val="16"/>
                <w:lang w:val="es-CO"/>
              </w:rPr>
              <w:t>646.276.123.185</w:t>
            </w:r>
          </w:p>
        </w:tc>
        <w:tc>
          <w:tcPr>
            <w:tcW w:w="2249" w:type="dxa"/>
          </w:tcPr>
          <w:p w14:paraId="7A1C60B8" w14:textId="77777777" w:rsidR="007E2F9F" w:rsidRPr="009D1ABF" w:rsidRDefault="007E2F9F" w:rsidP="006548F8">
            <w:pPr>
              <w:pStyle w:val="Prrafodelista"/>
              <w:ind w:left="0"/>
              <w:jc w:val="right"/>
              <w:rPr>
                <w:rFonts w:ascii="Arial" w:hAnsi="Arial" w:cs="Arial"/>
                <w:b/>
                <w:sz w:val="18"/>
                <w:szCs w:val="18"/>
              </w:rPr>
            </w:pPr>
            <w:r w:rsidRPr="009D1ABF">
              <w:rPr>
                <w:rFonts w:ascii="Arial" w:hAnsi="Arial" w:cs="Arial"/>
                <w:b/>
                <w:sz w:val="16"/>
                <w:szCs w:val="16"/>
              </w:rPr>
              <w:t>36.032.876.815</w:t>
            </w:r>
          </w:p>
        </w:tc>
      </w:tr>
      <w:tr w:rsidR="007E2F9F" w:rsidRPr="009D1ABF" w14:paraId="23CC23AD" w14:textId="77777777" w:rsidTr="006548F8">
        <w:tc>
          <w:tcPr>
            <w:tcW w:w="4161" w:type="dxa"/>
          </w:tcPr>
          <w:p w14:paraId="718EC77C" w14:textId="77777777" w:rsidR="007E2F9F" w:rsidRPr="009D1ABF" w:rsidRDefault="007E2F9F" w:rsidP="006548F8">
            <w:pPr>
              <w:ind w:right="-1440"/>
              <w:jc w:val="both"/>
              <w:rPr>
                <w:rFonts w:ascii="Arial" w:hAnsi="Arial" w:cs="Arial"/>
                <w:b/>
                <w:sz w:val="18"/>
                <w:szCs w:val="18"/>
                <w:lang w:val="es-ES_tradnl"/>
              </w:rPr>
            </w:pPr>
            <w:r w:rsidRPr="009D1ABF">
              <w:rPr>
                <w:rFonts w:ascii="Arial" w:hAnsi="Arial" w:cs="Arial"/>
                <w:b/>
                <w:sz w:val="18"/>
                <w:szCs w:val="18"/>
                <w:lang w:val="es-ES_tradnl"/>
              </w:rPr>
              <w:t>INVERSIÓN</w:t>
            </w:r>
          </w:p>
        </w:tc>
        <w:tc>
          <w:tcPr>
            <w:tcW w:w="2040" w:type="dxa"/>
            <w:vAlign w:val="center"/>
          </w:tcPr>
          <w:p w14:paraId="0D87E160" w14:textId="77777777" w:rsidR="007E2F9F" w:rsidRPr="009D1ABF" w:rsidRDefault="007E2F9F" w:rsidP="006548F8">
            <w:pPr>
              <w:pStyle w:val="Prrafodelista"/>
              <w:ind w:left="0"/>
              <w:jc w:val="right"/>
              <w:rPr>
                <w:rFonts w:ascii="Arial" w:hAnsi="Arial" w:cs="Arial"/>
                <w:b/>
                <w:sz w:val="18"/>
                <w:szCs w:val="18"/>
              </w:rPr>
            </w:pPr>
            <w:r w:rsidRPr="009D1ABF">
              <w:rPr>
                <w:rFonts w:ascii="Arial" w:eastAsia="Calibri" w:hAnsi="Arial" w:cs="Arial"/>
                <w:b/>
                <w:sz w:val="16"/>
                <w:szCs w:val="16"/>
                <w:lang w:val="es-CO"/>
              </w:rPr>
              <w:t>163.000.000</w:t>
            </w:r>
          </w:p>
        </w:tc>
        <w:tc>
          <w:tcPr>
            <w:tcW w:w="2040" w:type="dxa"/>
            <w:vAlign w:val="center"/>
          </w:tcPr>
          <w:p w14:paraId="30DDE722" w14:textId="77777777" w:rsidR="007E2F9F" w:rsidRPr="009D1ABF" w:rsidRDefault="007E2F9F" w:rsidP="006548F8">
            <w:pPr>
              <w:pStyle w:val="Prrafodelista"/>
              <w:ind w:left="0"/>
              <w:jc w:val="right"/>
              <w:rPr>
                <w:rFonts w:ascii="Arial" w:hAnsi="Arial" w:cs="Arial"/>
                <w:b/>
                <w:sz w:val="18"/>
                <w:szCs w:val="18"/>
              </w:rPr>
            </w:pPr>
            <w:r w:rsidRPr="009D1ABF">
              <w:rPr>
                <w:rFonts w:ascii="Arial" w:eastAsia="Calibri" w:hAnsi="Arial" w:cs="Arial"/>
                <w:b/>
                <w:sz w:val="16"/>
                <w:szCs w:val="16"/>
                <w:lang w:val="es-CO"/>
              </w:rPr>
              <w:t>162.997.833.329</w:t>
            </w:r>
          </w:p>
        </w:tc>
        <w:tc>
          <w:tcPr>
            <w:tcW w:w="2249" w:type="dxa"/>
          </w:tcPr>
          <w:p w14:paraId="4BF8D33A" w14:textId="77777777" w:rsidR="007E2F9F" w:rsidRPr="009D1ABF" w:rsidRDefault="007E2F9F" w:rsidP="006548F8">
            <w:pPr>
              <w:pStyle w:val="Prrafodelista"/>
              <w:ind w:left="0"/>
              <w:jc w:val="right"/>
              <w:rPr>
                <w:rFonts w:ascii="Arial" w:hAnsi="Arial" w:cs="Arial"/>
                <w:b/>
                <w:sz w:val="18"/>
                <w:szCs w:val="18"/>
              </w:rPr>
            </w:pPr>
            <w:r w:rsidRPr="009D1ABF">
              <w:rPr>
                <w:rFonts w:ascii="Arial" w:hAnsi="Arial" w:cs="Arial"/>
                <w:b/>
                <w:sz w:val="16"/>
                <w:szCs w:val="16"/>
              </w:rPr>
              <w:t>2.166.671</w:t>
            </w:r>
          </w:p>
        </w:tc>
      </w:tr>
      <w:tr w:rsidR="007E2F9F" w:rsidRPr="009D1ABF" w14:paraId="4F859D7D" w14:textId="77777777" w:rsidTr="006548F8">
        <w:tc>
          <w:tcPr>
            <w:tcW w:w="4161" w:type="dxa"/>
          </w:tcPr>
          <w:p w14:paraId="698161E3" w14:textId="77777777" w:rsidR="007E2F9F" w:rsidRPr="009D1ABF" w:rsidRDefault="007E2F9F" w:rsidP="006548F8">
            <w:pPr>
              <w:ind w:right="-1440"/>
              <w:jc w:val="both"/>
              <w:rPr>
                <w:rFonts w:ascii="Arial" w:hAnsi="Arial" w:cs="Arial"/>
                <w:b/>
                <w:sz w:val="18"/>
                <w:szCs w:val="18"/>
                <w:lang w:val="es-ES_tradnl"/>
              </w:rPr>
            </w:pPr>
            <w:r w:rsidRPr="009D1ABF">
              <w:rPr>
                <w:rFonts w:ascii="Arial" w:hAnsi="Arial" w:cs="Arial"/>
                <w:b/>
                <w:sz w:val="18"/>
                <w:szCs w:val="18"/>
                <w:lang w:val="es-ES_tradnl"/>
              </w:rPr>
              <w:t>TOTAL PÉRDIDAS DE APROPIACIÓN</w:t>
            </w:r>
          </w:p>
        </w:tc>
        <w:tc>
          <w:tcPr>
            <w:tcW w:w="2040" w:type="dxa"/>
            <w:vAlign w:val="center"/>
          </w:tcPr>
          <w:p w14:paraId="23952A97" w14:textId="77777777" w:rsidR="007E2F9F" w:rsidRPr="009D1ABF" w:rsidRDefault="007E2F9F" w:rsidP="006548F8">
            <w:pPr>
              <w:pStyle w:val="Prrafodelista"/>
              <w:ind w:left="0"/>
              <w:jc w:val="right"/>
              <w:rPr>
                <w:rFonts w:ascii="Arial" w:hAnsi="Arial" w:cs="Arial"/>
                <w:b/>
                <w:sz w:val="18"/>
                <w:szCs w:val="18"/>
                <w:u w:val="single"/>
              </w:rPr>
            </w:pPr>
            <w:r w:rsidRPr="009D1ABF">
              <w:rPr>
                <w:rFonts w:ascii="Arial" w:eastAsia="Calibri" w:hAnsi="Arial" w:cs="Arial"/>
                <w:b/>
                <w:sz w:val="16"/>
                <w:szCs w:val="16"/>
                <w:lang w:val="es-CO"/>
              </w:rPr>
              <w:t>845.309.000.000</w:t>
            </w:r>
          </w:p>
        </w:tc>
        <w:tc>
          <w:tcPr>
            <w:tcW w:w="2040" w:type="dxa"/>
            <w:vAlign w:val="center"/>
          </w:tcPr>
          <w:p w14:paraId="2C8FB6A0" w14:textId="77777777" w:rsidR="007E2F9F" w:rsidRPr="009D1ABF" w:rsidRDefault="007E2F9F" w:rsidP="006548F8">
            <w:pPr>
              <w:pStyle w:val="Prrafodelista"/>
              <w:ind w:left="0"/>
              <w:jc w:val="right"/>
              <w:rPr>
                <w:rFonts w:ascii="Arial" w:hAnsi="Arial" w:cs="Arial"/>
                <w:b/>
                <w:sz w:val="18"/>
                <w:szCs w:val="18"/>
                <w:u w:val="single"/>
              </w:rPr>
            </w:pPr>
            <w:r w:rsidRPr="009D1ABF">
              <w:rPr>
                <w:rFonts w:ascii="Arial" w:eastAsia="Calibri" w:hAnsi="Arial" w:cs="Arial"/>
                <w:b/>
                <w:sz w:val="16"/>
                <w:szCs w:val="16"/>
                <w:lang w:val="es-CO"/>
              </w:rPr>
              <w:t>809.273.956.514</w:t>
            </w:r>
          </w:p>
        </w:tc>
        <w:tc>
          <w:tcPr>
            <w:tcW w:w="2249" w:type="dxa"/>
          </w:tcPr>
          <w:p w14:paraId="205DF4D0" w14:textId="77777777" w:rsidR="007E2F9F" w:rsidRPr="009D1ABF" w:rsidRDefault="007E2F9F" w:rsidP="006548F8">
            <w:pPr>
              <w:pStyle w:val="Prrafodelista"/>
              <w:ind w:left="0"/>
              <w:jc w:val="right"/>
              <w:rPr>
                <w:rFonts w:ascii="Arial" w:hAnsi="Arial" w:cs="Arial"/>
                <w:b/>
                <w:sz w:val="18"/>
                <w:szCs w:val="18"/>
                <w:u w:val="single"/>
              </w:rPr>
            </w:pPr>
            <w:r w:rsidRPr="009D1ABF">
              <w:rPr>
                <w:rFonts w:ascii="Arial" w:hAnsi="Arial" w:cs="Arial"/>
                <w:b/>
                <w:sz w:val="16"/>
                <w:szCs w:val="16"/>
                <w:u w:val="single"/>
              </w:rPr>
              <w:t>36.035.043.486</w:t>
            </w:r>
          </w:p>
        </w:tc>
      </w:tr>
    </w:tbl>
    <w:p w14:paraId="53F79AA7" w14:textId="77777777" w:rsidR="007E2F9F" w:rsidRDefault="007E2F9F" w:rsidP="007E2F9F">
      <w:pPr>
        <w:jc w:val="both"/>
        <w:rPr>
          <w:rFonts w:ascii="Arial" w:hAnsi="Arial" w:cs="Arial"/>
          <w:sz w:val="28"/>
          <w:szCs w:val="28"/>
        </w:rPr>
      </w:pPr>
    </w:p>
    <w:p w14:paraId="5CF4D521" w14:textId="77777777" w:rsidR="007E2F9F" w:rsidRPr="00D52C33" w:rsidRDefault="007E2F9F" w:rsidP="007E2F9F">
      <w:pPr>
        <w:ind w:left="-284"/>
        <w:jc w:val="both"/>
        <w:rPr>
          <w:rFonts w:ascii="Arial" w:hAnsi="Arial" w:cs="Arial"/>
          <w:b/>
          <w:sz w:val="28"/>
          <w:szCs w:val="28"/>
          <w:lang w:val="es-MX"/>
        </w:rPr>
      </w:pPr>
      <w:r w:rsidRPr="00D52C33">
        <w:rPr>
          <w:rFonts w:ascii="Arial" w:hAnsi="Arial" w:cs="Arial"/>
          <w:b/>
          <w:sz w:val="28"/>
          <w:szCs w:val="28"/>
          <w:lang w:val="es-MX"/>
        </w:rPr>
        <w:t>44.- UNIDAD DE INFORMACION Y ANALISIS FINANCIERO - UIAF.</w:t>
      </w:r>
    </w:p>
    <w:p w14:paraId="37A1325F" w14:textId="77777777" w:rsidR="007E2F9F" w:rsidRDefault="007E2F9F" w:rsidP="007E2F9F">
      <w:pPr>
        <w:jc w:val="both"/>
        <w:rPr>
          <w:rFonts w:ascii="Arial" w:hAnsi="Arial" w:cs="Arial"/>
          <w:sz w:val="28"/>
          <w:szCs w:val="28"/>
          <w:lang w:val="es-MX"/>
        </w:rPr>
      </w:pPr>
    </w:p>
    <w:p w14:paraId="3E16491E" w14:textId="77777777" w:rsidR="007E2F9F" w:rsidRDefault="007E2F9F" w:rsidP="007E2F9F">
      <w:pPr>
        <w:ind w:left="-284" w:right="-234"/>
        <w:jc w:val="both"/>
        <w:rPr>
          <w:rFonts w:ascii="Arial" w:hAnsi="Arial" w:cs="Arial"/>
          <w:b/>
          <w:bCs/>
          <w:sz w:val="28"/>
          <w:szCs w:val="28"/>
          <w:lang w:val="es-MX"/>
        </w:rPr>
      </w:pPr>
      <w:r w:rsidRPr="00D52C33">
        <w:rPr>
          <w:rFonts w:ascii="Arial" w:hAnsi="Arial" w:cs="Arial"/>
          <w:b/>
          <w:bCs/>
          <w:sz w:val="28"/>
          <w:szCs w:val="28"/>
          <w:lang w:val="es-MX"/>
        </w:rPr>
        <w:t>NOTA; EJECUCION PRESUPUESTAL CON ERRORES DE SUMA Y PORCENTAJES MAL CÁLCULADOS</w:t>
      </w:r>
      <w:r>
        <w:rPr>
          <w:rFonts w:ascii="Arial" w:hAnsi="Arial" w:cs="Arial"/>
          <w:b/>
          <w:bCs/>
          <w:sz w:val="28"/>
          <w:szCs w:val="28"/>
          <w:lang w:val="es-MX"/>
        </w:rPr>
        <w:t>.</w:t>
      </w:r>
    </w:p>
    <w:p w14:paraId="77FFDF3C" w14:textId="77777777" w:rsidR="007E2F9F" w:rsidRDefault="007E2F9F" w:rsidP="007E2F9F">
      <w:pPr>
        <w:ind w:left="-284" w:right="-234"/>
        <w:jc w:val="both"/>
        <w:rPr>
          <w:rFonts w:ascii="Arial" w:hAnsi="Arial" w:cs="Arial"/>
          <w:b/>
          <w:bCs/>
          <w:sz w:val="28"/>
          <w:szCs w:val="28"/>
          <w:lang w:val="es-MX"/>
        </w:rPr>
      </w:pPr>
    </w:p>
    <w:p w14:paraId="2E23EABF" w14:textId="77777777" w:rsidR="007E2F9F" w:rsidRPr="009D1ABF" w:rsidRDefault="007E2F9F" w:rsidP="007E2F9F">
      <w:pPr>
        <w:ind w:left="-284"/>
        <w:jc w:val="both"/>
        <w:rPr>
          <w:rFonts w:ascii="Arial" w:hAnsi="Arial" w:cs="Arial"/>
          <w:b/>
          <w:sz w:val="28"/>
          <w:szCs w:val="28"/>
          <w:lang w:val="es-MX"/>
        </w:rPr>
      </w:pPr>
      <w:r w:rsidRPr="009D1ABF">
        <w:rPr>
          <w:rFonts w:ascii="Arial" w:hAnsi="Arial" w:cs="Arial"/>
          <w:b/>
          <w:sz w:val="28"/>
          <w:szCs w:val="28"/>
          <w:lang w:val="es-MX"/>
        </w:rPr>
        <w:t>45.- U.A.E INSTITUTO NACIONAL DE ACUICULTURA Y PESCA - AUNAP.</w:t>
      </w:r>
    </w:p>
    <w:p w14:paraId="32F1753C" w14:textId="77777777" w:rsidR="007E2F9F" w:rsidRDefault="007E2F9F" w:rsidP="007E2F9F">
      <w:pPr>
        <w:ind w:left="-284" w:right="-234"/>
        <w:jc w:val="both"/>
        <w:rPr>
          <w:rFonts w:ascii="Arial" w:hAnsi="Arial" w:cs="Arial"/>
          <w:b/>
          <w:bCs/>
          <w:sz w:val="28"/>
          <w:szCs w:val="28"/>
          <w:lang w:val="es-MX"/>
        </w:rPr>
      </w:pPr>
    </w:p>
    <w:p w14:paraId="742B3C16"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9AD0829"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3E1EE396"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8F30EF" w14:paraId="56103055" w14:textId="77777777" w:rsidTr="006548F8">
        <w:tc>
          <w:tcPr>
            <w:tcW w:w="4161" w:type="dxa"/>
          </w:tcPr>
          <w:p w14:paraId="420DD167" w14:textId="77777777" w:rsidR="007E2F9F" w:rsidRPr="008F30EF" w:rsidRDefault="007E2F9F" w:rsidP="006548F8">
            <w:pPr>
              <w:ind w:left="1169" w:right="-1440"/>
              <w:rPr>
                <w:rFonts w:ascii="Arial" w:hAnsi="Arial" w:cs="Arial"/>
                <w:b/>
                <w:sz w:val="18"/>
                <w:szCs w:val="18"/>
                <w:lang w:val="es-ES_tradnl"/>
              </w:rPr>
            </w:pPr>
            <w:r w:rsidRPr="008F30EF">
              <w:rPr>
                <w:rFonts w:ascii="Arial" w:hAnsi="Arial" w:cs="Arial"/>
                <w:b/>
                <w:sz w:val="18"/>
                <w:szCs w:val="18"/>
                <w:lang w:val="es-ES_tradnl"/>
              </w:rPr>
              <w:t>TIPO DE GASTO</w:t>
            </w:r>
          </w:p>
        </w:tc>
        <w:tc>
          <w:tcPr>
            <w:tcW w:w="2040" w:type="dxa"/>
          </w:tcPr>
          <w:p w14:paraId="27272314" w14:textId="77777777" w:rsidR="007E2F9F" w:rsidRPr="008F30EF" w:rsidRDefault="007E2F9F" w:rsidP="006548F8">
            <w:pPr>
              <w:jc w:val="center"/>
              <w:rPr>
                <w:rFonts w:ascii="Arial" w:hAnsi="Arial" w:cs="Arial"/>
                <w:b/>
                <w:sz w:val="18"/>
                <w:szCs w:val="18"/>
                <w:lang w:val="es-ES_tradnl"/>
              </w:rPr>
            </w:pPr>
            <w:r w:rsidRPr="008F30EF">
              <w:rPr>
                <w:rFonts w:ascii="Arial" w:hAnsi="Arial" w:cs="Arial"/>
                <w:b/>
                <w:sz w:val="18"/>
                <w:szCs w:val="18"/>
                <w:lang w:val="es-ES_tradnl"/>
              </w:rPr>
              <w:t>APROPIACIÓN</w:t>
            </w:r>
          </w:p>
          <w:p w14:paraId="237974C2" w14:textId="77777777" w:rsidR="007E2F9F" w:rsidRPr="008F30EF" w:rsidRDefault="007E2F9F" w:rsidP="006548F8">
            <w:pPr>
              <w:jc w:val="center"/>
              <w:rPr>
                <w:rFonts w:ascii="Arial" w:hAnsi="Arial" w:cs="Arial"/>
                <w:b/>
                <w:sz w:val="18"/>
                <w:szCs w:val="18"/>
                <w:lang w:val="es-ES_tradnl"/>
              </w:rPr>
            </w:pPr>
            <w:r w:rsidRPr="008F30EF">
              <w:rPr>
                <w:rFonts w:ascii="Arial" w:hAnsi="Arial" w:cs="Arial"/>
                <w:b/>
                <w:sz w:val="18"/>
                <w:szCs w:val="18"/>
                <w:lang w:val="es-ES_tradnl"/>
              </w:rPr>
              <w:t>DEFINITIVA</w:t>
            </w:r>
          </w:p>
          <w:p w14:paraId="0580FCB0" w14:textId="77777777" w:rsidR="007E2F9F" w:rsidRPr="008F30EF" w:rsidRDefault="007E2F9F" w:rsidP="006548F8">
            <w:pPr>
              <w:jc w:val="center"/>
              <w:rPr>
                <w:rFonts w:ascii="Arial" w:hAnsi="Arial" w:cs="Arial"/>
                <w:b/>
                <w:sz w:val="18"/>
                <w:szCs w:val="18"/>
                <w:lang w:val="es-ES_tradnl"/>
              </w:rPr>
            </w:pPr>
            <w:r w:rsidRPr="008F30EF">
              <w:rPr>
                <w:rFonts w:ascii="Arial" w:hAnsi="Arial" w:cs="Arial"/>
                <w:b/>
                <w:sz w:val="18"/>
                <w:szCs w:val="18"/>
                <w:lang w:val="es-ES_tradnl"/>
              </w:rPr>
              <w:t>(1)</w:t>
            </w:r>
          </w:p>
          <w:p w14:paraId="406AA6FB" w14:textId="77777777" w:rsidR="007E2F9F" w:rsidRPr="008F30EF" w:rsidRDefault="007E2F9F" w:rsidP="006548F8">
            <w:pPr>
              <w:jc w:val="center"/>
              <w:rPr>
                <w:rFonts w:ascii="Arial" w:hAnsi="Arial" w:cs="Arial"/>
                <w:b/>
                <w:sz w:val="18"/>
                <w:szCs w:val="18"/>
                <w:lang w:val="es-ES_tradnl"/>
              </w:rPr>
            </w:pPr>
          </w:p>
        </w:tc>
        <w:tc>
          <w:tcPr>
            <w:tcW w:w="2040" w:type="dxa"/>
          </w:tcPr>
          <w:p w14:paraId="5694CA1E" w14:textId="77777777" w:rsidR="007E2F9F" w:rsidRPr="008F30EF" w:rsidRDefault="007E2F9F" w:rsidP="006548F8">
            <w:pPr>
              <w:ind w:left="145" w:right="184"/>
              <w:jc w:val="center"/>
              <w:rPr>
                <w:rFonts w:ascii="Arial" w:hAnsi="Arial" w:cs="Arial"/>
                <w:b/>
                <w:sz w:val="18"/>
                <w:szCs w:val="18"/>
                <w:lang w:val="es-ES_tradnl"/>
              </w:rPr>
            </w:pPr>
            <w:r w:rsidRPr="008F30EF">
              <w:rPr>
                <w:rFonts w:ascii="Arial" w:hAnsi="Arial" w:cs="Arial"/>
                <w:b/>
                <w:sz w:val="18"/>
                <w:szCs w:val="18"/>
                <w:lang w:val="es-ES_tradnl"/>
              </w:rPr>
              <w:t>EJECUCIÓN</w:t>
            </w:r>
          </w:p>
          <w:p w14:paraId="251AC00F" w14:textId="77777777" w:rsidR="007E2F9F" w:rsidRPr="008F30EF" w:rsidRDefault="007E2F9F" w:rsidP="006548F8">
            <w:pPr>
              <w:ind w:right="34"/>
              <w:jc w:val="center"/>
              <w:rPr>
                <w:rFonts w:ascii="Arial" w:hAnsi="Arial" w:cs="Arial"/>
                <w:b/>
                <w:sz w:val="18"/>
                <w:szCs w:val="18"/>
                <w:lang w:val="es-ES_tradnl"/>
              </w:rPr>
            </w:pPr>
            <w:r w:rsidRPr="008F30EF">
              <w:rPr>
                <w:rFonts w:ascii="Arial" w:hAnsi="Arial" w:cs="Arial"/>
                <w:b/>
                <w:sz w:val="18"/>
                <w:szCs w:val="18"/>
                <w:lang w:val="es-ES_tradnl"/>
              </w:rPr>
              <w:t>COMPROMISOS</w:t>
            </w:r>
          </w:p>
          <w:p w14:paraId="0E46CD27" w14:textId="77777777" w:rsidR="007E2F9F" w:rsidRPr="008F30EF" w:rsidRDefault="007E2F9F" w:rsidP="006548F8">
            <w:pPr>
              <w:ind w:right="34"/>
              <w:jc w:val="center"/>
              <w:rPr>
                <w:rFonts w:ascii="Arial" w:hAnsi="Arial" w:cs="Arial"/>
                <w:b/>
                <w:sz w:val="18"/>
                <w:szCs w:val="18"/>
                <w:lang w:val="es-ES_tradnl"/>
              </w:rPr>
            </w:pPr>
            <w:r w:rsidRPr="008F30EF">
              <w:rPr>
                <w:rFonts w:ascii="Arial" w:hAnsi="Arial" w:cs="Arial"/>
                <w:b/>
                <w:sz w:val="18"/>
                <w:szCs w:val="18"/>
                <w:lang w:val="es-ES_tradnl"/>
              </w:rPr>
              <w:t>(2)</w:t>
            </w:r>
          </w:p>
        </w:tc>
        <w:tc>
          <w:tcPr>
            <w:tcW w:w="2249" w:type="dxa"/>
          </w:tcPr>
          <w:p w14:paraId="4D391281" w14:textId="77777777" w:rsidR="007E2F9F" w:rsidRPr="008F30EF" w:rsidRDefault="007E2F9F" w:rsidP="006548F8">
            <w:pPr>
              <w:ind w:left="25" w:right="34"/>
              <w:jc w:val="center"/>
              <w:rPr>
                <w:rFonts w:ascii="Arial" w:hAnsi="Arial" w:cs="Arial"/>
                <w:b/>
                <w:sz w:val="18"/>
                <w:szCs w:val="18"/>
                <w:lang w:val="es-ES_tradnl"/>
              </w:rPr>
            </w:pPr>
            <w:r w:rsidRPr="008F30EF">
              <w:rPr>
                <w:rFonts w:ascii="Arial" w:hAnsi="Arial" w:cs="Arial"/>
                <w:b/>
                <w:sz w:val="18"/>
                <w:szCs w:val="18"/>
                <w:lang w:val="es-ES_tradnl"/>
              </w:rPr>
              <w:t>PÉRDIDAS DE</w:t>
            </w:r>
          </w:p>
          <w:p w14:paraId="2187C7B1" w14:textId="77777777" w:rsidR="007E2F9F" w:rsidRPr="008F30EF" w:rsidRDefault="007E2F9F" w:rsidP="006548F8">
            <w:pPr>
              <w:ind w:right="34"/>
              <w:jc w:val="center"/>
              <w:rPr>
                <w:rFonts w:ascii="Arial" w:hAnsi="Arial" w:cs="Arial"/>
                <w:b/>
                <w:sz w:val="18"/>
                <w:szCs w:val="18"/>
                <w:lang w:val="es-ES_tradnl"/>
              </w:rPr>
            </w:pPr>
            <w:r w:rsidRPr="008F30EF">
              <w:rPr>
                <w:rFonts w:ascii="Arial" w:hAnsi="Arial" w:cs="Arial"/>
                <w:b/>
                <w:sz w:val="18"/>
                <w:szCs w:val="18"/>
                <w:lang w:val="es-ES_tradnl"/>
              </w:rPr>
              <w:t>APROPIACIÓN</w:t>
            </w:r>
          </w:p>
          <w:p w14:paraId="71048932" w14:textId="77777777" w:rsidR="007E2F9F" w:rsidRPr="008F30EF" w:rsidRDefault="007E2F9F" w:rsidP="006548F8">
            <w:pPr>
              <w:ind w:right="34"/>
              <w:jc w:val="center"/>
              <w:rPr>
                <w:rFonts w:ascii="Arial" w:hAnsi="Arial" w:cs="Arial"/>
                <w:b/>
                <w:sz w:val="18"/>
                <w:szCs w:val="18"/>
                <w:lang w:val="es-ES_tradnl"/>
              </w:rPr>
            </w:pPr>
            <w:r w:rsidRPr="008F30EF">
              <w:rPr>
                <w:rFonts w:ascii="Arial" w:hAnsi="Arial" w:cs="Arial"/>
                <w:b/>
                <w:sz w:val="18"/>
                <w:szCs w:val="18"/>
                <w:lang w:val="es-ES_tradnl"/>
              </w:rPr>
              <w:t>3 = (1-2)</w:t>
            </w:r>
          </w:p>
        </w:tc>
      </w:tr>
      <w:tr w:rsidR="007E2F9F" w:rsidRPr="008F30EF" w14:paraId="54F1D029" w14:textId="77777777" w:rsidTr="006548F8">
        <w:trPr>
          <w:trHeight w:val="230"/>
        </w:trPr>
        <w:tc>
          <w:tcPr>
            <w:tcW w:w="4161" w:type="dxa"/>
          </w:tcPr>
          <w:p w14:paraId="461B1FBE" w14:textId="77777777" w:rsidR="007E2F9F" w:rsidRPr="008F30EF" w:rsidRDefault="007E2F9F" w:rsidP="006548F8">
            <w:pPr>
              <w:ind w:right="-1440"/>
              <w:jc w:val="both"/>
              <w:rPr>
                <w:rFonts w:ascii="Arial" w:hAnsi="Arial" w:cs="Arial"/>
                <w:b/>
                <w:sz w:val="18"/>
                <w:szCs w:val="18"/>
                <w:lang w:val="es-ES_tradnl"/>
              </w:rPr>
            </w:pPr>
            <w:r w:rsidRPr="008F30EF">
              <w:rPr>
                <w:rFonts w:ascii="Arial" w:hAnsi="Arial" w:cs="Arial"/>
                <w:b/>
                <w:sz w:val="18"/>
                <w:szCs w:val="18"/>
                <w:lang w:val="es-ES_tradnl"/>
              </w:rPr>
              <w:t>FUNCIONAMIENTO</w:t>
            </w:r>
          </w:p>
        </w:tc>
        <w:tc>
          <w:tcPr>
            <w:tcW w:w="2040" w:type="dxa"/>
          </w:tcPr>
          <w:p w14:paraId="199DA753" w14:textId="77777777" w:rsidR="007E2F9F" w:rsidRPr="008F30EF" w:rsidRDefault="007E2F9F" w:rsidP="006548F8">
            <w:pPr>
              <w:jc w:val="right"/>
              <w:rPr>
                <w:rFonts w:ascii="Arial" w:eastAsia="Calibri" w:hAnsi="Arial" w:cs="Arial"/>
                <w:sz w:val="18"/>
                <w:szCs w:val="18"/>
                <w:lang w:val="es-CO"/>
              </w:rPr>
            </w:pPr>
            <w:r w:rsidRPr="008F30EF">
              <w:rPr>
                <w:rFonts w:ascii="Arial" w:eastAsia="Calibri" w:hAnsi="Arial" w:cs="Arial"/>
                <w:sz w:val="16"/>
                <w:szCs w:val="16"/>
                <w:lang w:val="es-CO"/>
              </w:rPr>
              <w:t>22.096.299</w:t>
            </w:r>
          </w:p>
        </w:tc>
        <w:tc>
          <w:tcPr>
            <w:tcW w:w="2040" w:type="dxa"/>
          </w:tcPr>
          <w:p w14:paraId="5028D2D3" w14:textId="77777777" w:rsidR="007E2F9F" w:rsidRPr="008F30EF" w:rsidRDefault="007E2F9F" w:rsidP="006548F8">
            <w:pPr>
              <w:pStyle w:val="Prrafodelista"/>
              <w:ind w:left="0"/>
              <w:jc w:val="right"/>
              <w:rPr>
                <w:rFonts w:ascii="Arial" w:hAnsi="Arial" w:cs="Arial"/>
                <w:b/>
                <w:sz w:val="18"/>
                <w:szCs w:val="18"/>
              </w:rPr>
            </w:pPr>
            <w:r w:rsidRPr="008F30EF">
              <w:rPr>
                <w:rFonts w:ascii="Arial" w:eastAsia="Calibri" w:hAnsi="Arial" w:cs="Arial"/>
                <w:sz w:val="16"/>
                <w:szCs w:val="16"/>
                <w:lang w:val="es-CO"/>
              </w:rPr>
              <w:t>21.064.099</w:t>
            </w:r>
          </w:p>
        </w:tc>
        <w:tc>
          <w:tcPr>
            <w:tcW w:w="2249" w:type="dxa"/>
          </w:tcPr>
          <w:p w14:paraId="492CC0EB" w14:textId="77777777" w:rsidR="007E2F9F" w:rsidRPr="008F30EF" w:rsidRDefault="007E2F9F" w:rsidP="006548F8">
            <w:pPr>
              <w:pStyle w:val="Prrafodelista"/>
              <w:ind w:left="0"/>
              <w:jc w:val="right"/>
              <w:rPr>
                <w:rFonts w:ascii="Arial" w:hAnsi="Arial" w:cs="Arial"/>
                <w:b/>
                <w:sz w:val="18"/>
                <w:szCs w:val="18"/>
              </w:rPr>
            </w:pPr>
            <w:r w:rsidRPr="008F30EF">
              <w:rPr>
                <w:rFonts w:ascii="Arial" w:hAnsi="Arial" w:cs="Arial"/>
                <w:b/>
                <w:sz w:val="16"/>
                <w:szCs w:val="16"/>
              </w:rPr>
              <w:t>1.032.290</w:t>
            </w:r>
          </w:p>
        </w:tc>
      </w:tr>
      <w:tr w:rsidR="007E2F9F" w:rsidRPr="008F30EF" w14:paraId="09FAA34F" w14:textId="77777777" w:rsidTr="006548F8">
        <w:tc>
          <w:tcPr>
            <w:tcW w:w="4161" w:type="dxa"/>
          </w:tcPr>
          <w:p w14:paraId="5BCB9819" w14:textId="77777777" w:rsidR="007E2F9F" w:rsidRPr="008F30EF" w:rsidRDefault="007E2F9F" w:rsidP="006548F8">
            <w:pPr>
              <w:ind w:right="-1440"/>
              <w:jc w:val="both"/>
              <w:rPr>
                <w:rFonts w:ascii="Arial" w:hAnsi="Arial" w:cs="Arial"/>
                <w:b/>
                <w:sz w:val="18"/>
                <w:szCs w:val="18"/>
                <w:lang w:val="es-ES_tradnl"/>
              </w:rPr>
            </w:pPr>
            <w:r w:rsidRPr="008F30EF">
              <w:rPr>
                <w:rFonts w:ascii="Arial" w:hAnsi="Arial" w:cs="Arial"/>
                <w:b/>
                <w:sz w:val="18"/>
                <w:szCs w:val="18"/>
                <w:lang w:val="es-ES_tradnl"/>
              </w:rPr>
              <w:t>INVERSIÓN</w:t>
            </w:r>
          </w:p>
        </w:tc>
        <w:tc>
          <w:tcPr>
            <w:tcW w:w="2040" w:type="dxa"/>
          </w:tcPr>
          <w:p w14:paraId="2C96E3CE" w14:textId="77777777" w:rsidR="007E2F9F" w:rsidRPr="008F30EF" w:rsidRDefault="007E2F9F" w:rsidP="006548F8">
            <w:pPr>
              <w:pStyle w:val="Prrafodelista"/>
              <w:ind w:left="0"/>
              <w:jc w:val="right"/>
              <w:rPr>
                <w:rFonts w:ascii="Arial" w:hAnsi="Arial" w:cs="Arial"/>
                <w:b/>
                <w:sz w:val="18"/>
                <w:szCs w:val="18"/>
              </w:rPr>
            </w:pPr>
            <w:r w:rsidRPr="008F30EF">
              <w:rPr>
                <w:rFonts w:ascii="Arial" w:eastAsia="Calibri" w:hAnsi="Arial" w:cs="Arial"/>
                <w:sz w:val="16"/>
                <w:szCs w:val="16"/>
                <w:lang w:val="es-CO"/>
              </w:rPr>
              <w:t>138.224.974</w:t>
            </w:r>
          </w:p>
        </w:tc>
        <w:tc>
          <w:tcPr>
            <w:tcW w:w="2040" w:type="dxa"/>
          </w:tcPr>
          <w:p w14:paraId="33AE1ED1" w14:textId="77777777" w:rsidR="007E2F9F" w:rsidRPr="008F30EF" w:rsidRDefault="007E2F9F" w:rsidP="006548F8">
            <w:pPr>
              <w:pStyle w:val="Prrafodelista"/>
              <w:ind w:left="0"/>
              <w:jc w:val="right"/>
              <w:rPr>
                <w:rFonts w:ascii="Arial" w:hAnsi="Arial" w:cs="Arial"/>
                <w:b/>
                <w:sz w:val="18"/>
                <w:szCs w:val="18"/>
              </w:rPr>
            </w:pPr>
            <w:r w:rsidRPr="008F30EF">
              <w:rPr>
                <w:rFonts w:ascii="Arial" w:eastAsia="Calibri" w:hAnsi="Arial" w:cs="Arial"/>
                <w:sz w:val="16"/>
                <w:szCs w:val="16"/>
                <w:lang w:val="es-CO"/>
              </w:rPr>
              <w:t>122.957.215</w:t>
            </w:r>
          </w:p>
        </w:tc>
        <w:tc>
          <w:tcPr>
            <w:tcW w:w="2249" w:type="dxa"/>
          </w:tcPr>
          <w:p w14:paraId="39E10E9E" w14:textId="77777777" w:rsidR="007E2F9F" w:rsidRPr="008F30EF" w:rsidRDefault="007E2F9F" w:rsidP="006548F8">
            <w:pPr>
              <w:pStyle w:val="Prrafodelista"/>
              <w:ind w:left="0"/>
              <w:jc w:val="right"/>
              <w:rPr>
                <w:rFonts w:ascii="Arial" w:hAnsi="Arial" w:cs="Arial"/>
                <w:b/>
                <w:sz w:val="18"/>
                <w:szCs w:val="18"/>
              </w:rPr>
            </w:pPr>
            <w:r w:rsidRPr="008F30EF">
              <w:rPr>
                <w:rFonts w:ascii="Arial" w:hAnsi="Arial" w:cs="Arial"/>
                <w:b/>
                <w:sz w:val="16"/>
                <w:szCs w:val="16"/>
              </w:rPr>
              <w:t>15.267.759</w:t>
            </w:r>
          </w:p>
        </w:tc>
      </w:tr>
      <w:tr w:rsidR="007E2F9F" w:rsidRPr="008F30EF" w14:paraId="473651AE" w14:textId="77777777" w:rsidTr="006548F8">
        <w:tc>
          <w:tcPr>
            <w:tcW w:w="4161" w:type="dxa"/>
          </w:tcPr>
          <w:p w14:paraId="6F57D45B" w14:textId="77777777" w:rsidR="007E2F9F" w:rsidRPr="008F30EF" w:rsidRDefault="007E2F9F" w:rsidP="006548F8">
            <w:pPr>
              <w:ind w:right="-1440"/>
              <w:jc w:val="both"/>
              <w:rPr>
                <w:rFonts w:ascii="Arial" w:hAnsi="Arial" w:cs="Arial"/>
                <w:b/>
                <w:sz w:val="18"/>
                <w:szCs w:val="18"/>
                <w:lang w:val="es-ES_tradnl"/>
              </w:rPr>
            </w:pPr>
            <w:r w:rsidRPr="008F30EF">
              <w:rPr>
                <w:rFonts w:ascii="Arial" w:hAnsi="Arial" w:cs="Arial"/>
                <w:b/>
                <w:sz w:val="18"/>
                <w:szCs w:val="18"/>
                <w:lang w:val="es-ES_tradnl"/>
              </w:rPr>
              <w:t>TOTAL PÉRDIDAS DE APROPIACIÓN</w:t>
            </w:r>
          </w:p>
        </w:tc>
        <w:tc>
          <w:tcPr>
            <w:tcW w:w="2040" w:type="dxa"/>
          </w:tcPr>
          <w:p w14:paraId="177A8BEA" w14:textId="77777777" w:rsidR="007E2F9F" w:rsidRPr="008F30EF" w:rsidRDefault="007E2F9F" w:rsidP="006548F8">
            <w:pPr>
              <w:pStyle w:val="Prrafodelista"/>
              <w:ind w:left="0"/>
              <w:jc w:val="right"/>
              <w:rPr>
                <w:rFonts w:ascii="Arial" w:hAnsi="Arial" w:cs="Arial"/>
                <w:b/>
                <w:sz w:val="18"/>
                <w:szCs w:val="18"/>
                <w:u w:val="single"/>
              </w:rPr>
            </w:pPr>
            <w:r w:rsidRPr="008F30EF">
              <w:rPr>
                <w:rFonts w:ascii="Arial" w:eastAsia="Calibri" w:hAnsi="Arial" w:cs="Arial"/>
                <w:b/>
                <w:sz w:val="16"/>
                <w:szCs w:val="16"/>
                <w:lang w:val="es-CO"/>
              </w:rPr>
              <w:t>160.321.273</w:t>
            </w:r>
          </w:p>
        </w:tc>
        <w:tc>
          <w:tcPr>
            <w:tcW w:w="2040" w:type="dxa"/>
          </w:tcPr>
          <w:p w14:paraId="5356565D" w14:textId="77777777" w:rsidR="007E2F9F" w:rsidRPr="008F30EF" w:rsidRDefault="007E2F9F" w:rsidP="006548F8">
            <w:pPr>
              <w:pStyle w:val="Prrafodelista"/>
              <w:ind w:left="0"/>
              <w:jc w:val="right"/>
              <w:rPr>
                <w:rFonts w:ascii="Arial" w:hAnsi="Arial" w:cs="Arial"/>
                <w:b/>
                <w:sz w:val="18"/>
                <w:szCs w:val="18"/>
                <w:u w:val="single"/>
              </w:rPr>
            </w:pPr>
            <w:r w:rsidRPr="008F30EF">
              <w:rPr>
                <w:rFonts w:ascii="Arial" w:eastAsia="Calibri" w:hAnsi="Arial" w:cs="Arial"/>
                <w:b/>
                <w:sz w:val="16"/>
                <w:szCs w:val="16"/>
                <w:lang w:val="es-CO"/>
              </w:rPr>
              <w:t>144.021.314</w:t>
            </w:r>
          </w:p>
        </w:tc>
        <w:tc>
          <w:tcPr>
            <w:tcW w:w="2249" w:type="dxa"/>
          </w:tcPr>
          <w:p w14:paraId="323C1D21" w14:textId="77777777" w:rsidR="007E2F9F" w:rsidRPr="008F30EF" w:rsidRDefault="007E2F9F" w:rsidP="006548F8">
            <w:pPr>
              <w:pStyle w:val="Prrafodelista"/>
              <w:ind w:left="0"/>
              <w:jc w:val="right"/>
              <w:rPr>
                <w:rFonts w:ascii="Arial" w:hAnsi="Arial" w:cs="Arial"/>
                <w:b/>
                <w:sz w:val="18"/>
                <w:szCs w:val="18"/>
                <w:u w:val="single"/>
              </w:rPr>
            </w:pPr>
            <w:r w:rsidRPr="008F30EF">
              <w:rPr>
                <w:rFonts w:ascii="Arial" w:hAnsi="Arial" w:cs="Arial"/>
                <w:b/>
                <w:sz w:val="16"/>
                <w:szCs w:val="16"/>
                <w:u w:val="single"/>
              </w:rPr>
              <w:t>16.299.959</w:t>
            </w:r>
          </w:p>
        </w:tc>
      </w:tr>
    </w:tbl>
    <w:p w14:paraId="09E8601F" w14:textId="77777777" w:rsidR="007E2F9F" w:rsidRDefault="007E2F9F" w:rsidP="007E2F9F">
      <w:pPr>
        <w:ind w:left="-284" w:right="-234"/>
        <w:jc w:val="both"/>
        <w:rPr>
          <w:rFonts w:ascii="Arial" w:hAnsi="Arial" w:cs="Arial"/>
          <w:b/>
          <w:bCs/>
          <w:sz w:val="28"/>
          <w:szCs w:val="28"/>
          <w:lang w:val="es-MX"/>
        </w:rPr>
      </w:pPr>
    </w:p>
    <w:p w14:paraId="32BC4BEC" w14:textId="77777777" w:rsidR="007E2F9F" w:rsidRPr="00FB36DC" w:rsidRDefault="007E2F9F" w:rsidP="007E2F9F">
      <w:pPr>
        <w:ind w:left="-284" w:right="-234"/>
        <w:jc w:val="both"/>
        <w:rPr>
          <w:rFonts w:ascii="Arial" w:hAnsi="Arial" w:cs="Arial"/>
          <w:b/>
          <w:sz w:val="32"/>
          <w:szCs w:val="32"/>
        </w:rPr>
      </w:pPr>
      <w:r w:rsidRPr="00FB36DC">
        <w:rPr>
          <w:rFonts w:ascii="Arial" w:hAnsi="Arial" w:cs="Arial"/>
          <w:b/>
          <w:sz w:val="28"/>
          <w:szCs w:val="28"/>
          <w:lang w:val="es-MX"/>
        </w:rPr>
        <w:t xml:space="preserve">46.- </w:t>
      </w:r>
      <w:r w:rsidRPr="00FB36DC">
        <w:rPr>
          <w:rFonts w:ascii="Arial" w:hAnsi="Arial" w:cs="Arial"/>
          <w:b/>
          <w:sz w:val="28"/>
          <w:szCs w:val="28"/>
        </w:rPr>
        <w:t>MINISTERIO DE TECNOLOGÍAS DE LA INFORMACIÓN Y LAS COMUNICACIONES – MINTIC.</w:t>
      </w:r>
    </w:p>
    <w:p w14:paraId="7CB95B39" w14:textId="77777777" w:rsidR="007E2F9F" w:rsidRPr="00FB36DC" w:rsidRDefault="007E2F9F" w:rsidP="007E2F9F">
      <w:pPr>
        <w:rPr>
          <w:rFonts w:ascii="Arial" w:hAnsi="Arial" w:cs="Arial"/>
          <w:b/>
          <w:sz w:val="28"/>
          <w:szCs w:val="28"/>
        </w:rPr>
      </w:pPr>
    </w:p>
    <w:p w14:paraId="6DED8647"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4C453346"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5CCEA69"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FB36DC" w14:paraId="3F42888B" w14:textId="77777777" w:rsidTr="006548F8">
        <w:tc>
          <w:tcPr>
            <w:tcW w:w="4161" w:type="dxa"/>
          </w:tcPr>
          <w:p w14:paraId="714979C9" w14:textId="77777777" w:rsidR="007E2F9F" w:rsidRPr="00FB36DC" w:rsidRDefault="007E2F9F" w:rsidP="006548F8">
            <w:pPr>
              <w:ind w:left="1169" w:right="-1440"/>
              <w:rPr>
                <w:rFonts w:ascii="Arial" w:hAnsi="Arial" w:cs="Arial"/>
                <w:b/>
                <w:sz w:val="18"/>
                <w:szCs w:val="18"/>
                <w:lang w:val="es-ES_tradnl"/>
              </w:rPr>
            </w:pPr>
            <w:r w:rsidRPr="00FB36DC">
              <w:rPr>
                <w:rFonts w:ascii="Arial" w:hAnsi="Arial" w:cs="Arial"/>
                <w:b/>
                <w:sz w:val="18"/>
                <w:szCs w:val="18"/>
                <w:lang w:val="es-ES_tradnl"/>
              </w:rPr>
              <w:t>TIPO DE GASTO</w:t>
            </w:r>
          </w:p>
        </w:tc>
        <w:tc>
          <w:tcPr>
            <w:tcW w:w="2040" w:type="dxa"/>
          </w:tcPr>
          <w:p w14:paraId="2AD20457" w14:textId="77777777" w:rsidR="007E2F9F" w:rsidRPr="00FB36DC" w:rsidRDefault="007E2F9F" w:rsidP="006548F8">
            <w:pPr>
              <w:jc w:val="center"/>
              <w:rPr>
                <w:rFonts w:ascii="Arial" w:hAnsi="Arial" w:cs="Arial"/>
                <w:b/>
                <w:sz w:val="18"/>
                <w:szCs w:val="18"/>
                <w:lang w:val="es-ES_tradnl"/>
              </w:rPr>
            </w:pPr>
            <w:r w:rsidRPr="00FB36DC">
              <w:rPr>
                <w:rFonts w:ascii="Arial" w:hAnsi="Arial" w:cs="Arial"/>
                <w:b/>
                <w:sz w:val="18"/>
                <w:szCs w:val="18"/>
                <w:lang w:val="es-ES_tradnl"/>
              </w:rPr>
              <w:t>APROPIACIÓN</w:t>
            </w:r>
          </w:p>
          <w:p w14:paraId="55FD3BDF" w14:textId="77777777" w:rsidR="007E2F9F" w:rsidRPr="00FB36DC" w:rsidRDefault="007E2F9F" w:rsidP="006548F8">
            <w:pPr>
              <w:jc w:val="center"/>
              <w:rPr>
                <w:rFonts w:ascii="Arial" w:hAnsi="Arial" w:cs="Arial"/>
                <w:b/>
                <w:sz w:val="18"/>
                <w:szCs w:val="18"/>
                <w:lang w:val="es-ES_tradnl"/>
              </w:rPr>
            </w:pPr>
            <w:r w:rsidRPr="00FB36DC">
              <w:rPr>
                <w:rFonts w:ascii="Arial" w:hAnsi="Arial" w:cs="Arial"/>
                <w:b/>
                <w:sz w:val="18"/>
                <w:szCs w:val="18"/>
                <w:lang w:val="es-ES_tradnl"/>
              </w:rPr>
              <w:t>DEFINITIVA</w:t>
            </w:r>
          </w:p>
          <w:p w14:paraId="6EEEB1AD" w14:textId="77777777" w:rsidR="007E2F9F" w:rsidRPr="00FB36DC" w:rsidRDefault="007E2F9F" w:rsidP="006548F8">
            <w:pPr>
              <w:jc w:val="center"/>
              <w:rPr>
                <w:rFonts w:ascii="Arial" w:hAnsi="Arial" w:cs="Arial"/>
                <w:b/>
                <w:sz w:val="18"/>
                <w:szCs w:val="18"/>
                <w:lang w:val="es-ES_tradnl"/>
              </w:rPr>
            </w:pPr>
            <w:r w:rsidRPr="00FB36DC">
              <w:rPr>
                <w:rFonts w:ascii="Arial" w:hAnsi="Arial" w:cs="Arial"/>
                <w:b/>
                <w:sz w:val="18"/>
                <w:szCs w:val="18"/>
                <w:lang w:val="es-ES_tradnl"/>
              </w:rPr>
              <w:t>(1)</w:t>
            </w:r>
          </w:p>
          <w:p w14:paraId="5623279E" w14:textId="77777777" w:rsidR="007E2F9F" w:rsidRPr="00FB36DC" w:rsidRDefault="007E2F9F" w:rsidP="006548F8">
            <w:pPr>
              <w:jc w:val="center"/>
              <w:rPr>
                <w:rFonts w:ascii="Arial" w:hAnsi="Arial" w:cs="Arial"/>
                <w:b/>
                <w:sz w:val="18"/>
                <w:szCs w:val="18"/>
                <w:lang w:val="es-ES_tradnl"/>
              </w:rPr>
            </w:pPr>
          </w:p>
        </w:tc>
        <w:tc>
          <w:tcPr>
            <w:tcW w:w="2040" w:type="dxa"/>
          </w:tcPr>
          <w:p w14:paraId="1DB3B649" w14:textId="77777777" w:rsidR="007E2F9F" w:rsidRPr="00FB36DC" w:rsidRDefault="007E2F9F" w:rsidP="006548F8">
            <w:pPr>
              <w:ind w:left="145" w:right="184"/>
              <w:jc w:val="center"/>
              <w:rPr>
                <w:rFonts w:ascii="Arial" w:hAnsi="Arial" w:cs="Arial"/>
                <w:b/>
                <w:sz w:val="18"/>
                <w:szCs w:val="18"/>
                <w:lang w:val="es-ES_tradnl"/>
              </w:rPr>
            </w:pPr>
            <w:r w:rsidRPr="00FB36DC">
              <w:rPr>
                <w:rFonts w:ascii="Arial" w:hAnsi="Arial" w:cs="Arial"/>
                <w:b/>
                <w:sz w:val="18"/>
                <w:szCs w:val="18"/>
                <w:lang w:val="es-ES_tradnl"/>
              </w:rPr>
              <w:t>EJECUCIÓN</w:t>
            </w:r>
          </w:p>
          <w:p w14:paraId="1264D8DA" w14:textId="77777777" w:rsidR="007E2F9F" w:rsidRPr="00FB36DC" w:rsidRDefault="007E2F9F" w:rsidP="006548F8">
            <w:pPr>
              <w:ind w:right="34"/>
              <w:jc w:val="center"/>
              <w:rPr>
                <w:rFonts w:ascii="Arial" w:hAnsi="Arial" w:cs="Arial"/>
                <w:b/>
                <w:sz w:val="18"/>
                <w:szCs w:val="18"/>
                <w:lang w:val="es-ES_tradnl"/>
              </w:rPr>
            </w:pPr>
            <w:r w:rsidRPr="00FB36DC">
              <w:rPr>
                <w:rFonts w:ascii="Arial" w:hAnsi="Arial" w:cs="Arial"/>
                <w:b/>
                <w:sz w:val="18"/>
                <w:szCs w:val="18"/>
                <w:lang w:val="es-ES_tradnl"/>
              </w:rPr>
              <w:t>COMPROMISOS</w:t>
            </w:r>
          </w:p>
          <w:p w14:paraId="41DFDDDD" w14:textId="77777777" w:rsidR="007E2F9F" w:rsidRPr="00FB36DC" w:rsidRDefault="007E2F9F" w:rsidP="006548F8">
            <w:pPr>
              <w:ind w:right="34"/>
              <w:jc w:val="center"/>
              <w:rPr>
                <w:rFonts w:ascii="Arial" w:hAnsi="Arial" w:cs="Arial"/>
                <w:b/>
                <w:sz w:val="18"/>
                <w:szCs w:val="18"/>
                <w:lang w:val="es-ES_tradnl"/>
              </w:rPr>
            </w:pPr>
            <w:r w:rsidRPr="00FB36DC">
              <w:rPr>
                <w:rFonts w:ascii="Arial" w:hAnsi="Arial" w:cs="Arial"/>
                <w:b/>
                <w:sz w:val="18"/>
                <w:szCs w:val="18"/>
                <w:lang w:val="es-ES_tradnl"/>
              </w:rPr>
              <w:t>(2)</w:t>
            </w:r>
          </w:p>
        </w:tc>
        <w:tc>
          <w:tcPr>
            <w:tcW w:w="2249" w:type="dxa"/>
          </w:tcPr>
          <w:p w14:paraId="444F49BE" w14:textId="77777777" w:rsidR="007E2F9F" w:rsidRPr="00FB36DC" w:rsidRDefault="007E2F9F" w:rsidP="006548F8">
            <w:pPr>
              <w:ind w:left="25" w:right="34"/>
              <w:jc w:val="center"/>
              <w:rPr>
                <w:rFonts w:ascii="Arial" w:hAnsi="Arial" w:cs="Arial"/>
                <w:b/>
                <w:sz w:val="18"/>
                <w:szCs w:val="18"/>
                <w:lang w:val="es-ES_tradnl"/>
              </w:rPr>
            </w:pPr>
            <w:r w:rsidRPr="00FB36DC">
              <w:rPr>
                <w:rFonts w:ascii="Arial" w:hAnsi="Arial" w:cs="Arial"/>
                <w:b/>
                <w:sz w:val="18"/>
                <w:szCs w:val="18"/>
                <w:lang w:val="es-ES_tradnl"/>
              </w:rPr>
              <w:t>PÉRDIDAS DE</w:t>
            </w:r>
          </w:p>
          <w:p w14:paraId="30CCCB6D" w14:textId="77777777" w:rsidR="007E2F9F" w:rsidRPr="00FB36DC" w:rsidRDefault="007E2F9F" w:rsidP="006548F8">
            <w:pPr>
              <w:ind w:right="34"/>
              <w:jc w:val="center"/>
              <w:rPr>
                <w:rFonts w:ascii="Arial" w:hAnsi="Arial" w:cs="Arial"/>
                <w:b/>
                <w:sz w:val="18"/>
                <w:szCs w:val="18"/>
                <w:lang w:val="es-ES_tradnl"/>
              </w:rPr>
            </w:pPr>
            <w:r w:rsidRPr="00FB36DC">
              <w:rPr>
                <w:rFonts w:ascii="Arial" w:hAnsi="Arial" w:cs="Arial"/>
                <w:b/>
                <w:sz w:val="18"/>
                <w:szCs w:val="18"/>
                <w:lang w:val="es-ES_tradnl"/>
              </w:rPr>
              <w:t>APROPIACIÓN</w:t>
            </w:r>
          </w:p>
          <w:p w14:paraId="3BA4E06D" w14:textId="77777777" w:rsidR="007E2F9F" w:rsidRPr="00FB36DC" w:rsidRDefault="007E2F9F" w:rsidP="006548F8">
            <w:pPr>
              <w:ind w:right="34"/>
              <w:jc w:val="center"/>
              <w:rPr>
                <w:rFonts w:ascii="Arial" w:hAnsi="Arial" w:cs="Arial"/>
                <w:b/>
                <w:sz w:val="18"/>
                <w:szCs w:val="18"/>
                <w:lang w:val="es-ES_tradnl"/>
              </w:rPr>
            </w:pPr>
            <w:r w:rsidRPr="00FB36DC">
              <w:rPr>
                <w:rFonts w:ascii="Arial" w:hAnsi="Arial" w:cs="Arial"/>
                <w:b/>
                <w:sz w:val="18"/>
                <w:szCs w:val="18"/>
                <w:lang w:val="es-ES_tradnl"/>
              </w:rPr>
              <w:t>3 = (1-2)</w:t>
            </w:r>
          </w:p>
        </w:tc>
      </w:tr>
      <w:tr w:rsidR="007E2F9F" w:rsidRPr="00FB36DC" w14:paraId="26F75E31" w14:textId="77777777" w:rsidTr="006548F8">
        <w:trPr>
          <w:trHeight w:val="230"/>
        </w:trPr>
        <w:tc>
          <w:tcPr>
            <w:tcW w:w="4161" w:type="dxa"/>
          </w:tcPr>
          <w:p w14:paraId="767D1941" w14:textId="77777777" w:rsidR="007E2F9F" w:rsidRPr="00FB36DC" w:rsidRDefault="007E2F9F" w:rsidP="006548F8">
            <w:pPr>
              <w:ind w:right="-1440"/>
              <w:jc w:val="both"/>
              <w:rPr>
                <w:rFonts w:ascii="Arial" w:hAnsi="Arial" w:cs="Arial"/>
                <w:b/>
                <w:sz w:val="18"/>
                <w:szCs w:val="18"/>
                <w:lang w:val="es-ES_tradnl"/>
              </w:rPr>
            </w:pPr>
            <w:r w:rsidRPr="00FB36DC">
              <w:rPr>
                <w:rFonts w:ascii="Arial" w:hAnsi="Arial" w:cs="Arial"/>
                <w:b/>
                <w:sz w:val="18"/>
                <w:szCs w:val="18"/>
                <w:lang w:val="es-ES_tradnl"/>
              </w:rPr>
              <w:t>FUNCIONAMIENTO</w:t>
            </w:r>
          </w:p>
        </w:tc>
        <w:tc>
          <w:tcPr>
            <w:tcW w:w="2040" w:type="dxa"/>
          </w:tcPr>
          <w:p w14:paraId="383ECDDF" w14:textId="77777777" w:rsidR="007E2F9F" w:rsidRPr="00FB36DC" w:rsidRDefault="007E2F9F" w:rsidP="006548F8">
            <w:pPr>
              <w:jc w:val="right"/>
              <w:rPr>
                <w:rFonts w:ascii="Arial" w:eastAsia="Calibri" w:hAnsi="Arial" w:cs="Arial"/>
                <w:sz w:val="18"/>
                <w:szCs w:val="18"/>
                <w:lang w:val="es-CO"/>
              </w:rPr>
            </w:pPr>
            <w:r w:rsidRPr="00FB36DC">
              <w:rPr>
                <w:rFonts w:ascii="Arial" w:eastAsia="Calibri" w:hAnsi="Arial" w:cs="Arial"/>
                <w:b/>
                <w:sz w:val="16"/>
                <w:szCs w:val="16"/>
                <w:lang w:val="es-CO"/>
              </w:rPr>
              <w:t>120.086.000</w:t>
            </w:r>
          </w:p>
        </w:tc>
        <w:tc>
          <w:tcPr>
            <w:tcW w:w="2040" w:type="dxa"/>
          </w:tcPr>
          <w:p w14:paraId="5C6CB635" w14:textId="77777777" w:rsidR="007E2F9F" w:rsidRPr="00FB36DC" w:rsidRDefault="007E2F9F" w:rsidP="006548F8">
            <w:pPr>
              <w:pStyle w:val="Prrafodelista"/>
              <w:ind w:left="0"/>
              <w:jc w:val="right"/>
              <w:rPr>
                <w:rFonts w:ascii="Arial" w:hAnsi="Arial" w:cs="Arial"/>
                <w:b/>
                <w:sz w:val="18"/>
                <w:szCs w:val="18"/>
              </w:rPr>
            </w:pPr>
            <w:r w:rsidRPr="00FB36DC">
              <w:rPr>
                <w:rFonts w:ascii="Arial" w:eastAsia="Calibri" w:hAnsi="Arial" w:cs="Arial"/>
                <w:b/>
                <w:sz w:val="16"/>
                <w:szCs w:val="16"/>
                <w:lang w:val="es-CO"/>
              </w:rPr>
              <w:t>113.063.743</w:t>
            </w:r>
          </w:p>
        </w:tc>
        <w:tc>
          <w:tcPr>
            <w:tcW w:w="2249" w:type="dxa"/>
          </w:tcPr>
          <w:p w14:paraId="5196F30F" w14:textId="77777777" w:rsidR="007E2F9F" w:rsidRPr="00FB36DC" w:rsidRDefault="007E2F9F" w:rsidP="006548F8">
            <w:pPr>
              <w:pStyle w:val="Prrafodelista"/>
              <w:ind w:left="0"/>
              <w:jc w:val="right"/>
              <w:rPr>
                <w:rFonts w:ascii="Arial" w:hAnsi="Arial" w:cs="Arial"/>
                <w:b/>
                <w:sz w:val="18"/>
                <w:szCs w:val="18"/>
              </w:rPr>
            </w:pPr>
            <w:r w:rsidRPr="00FB36DC">
              <w:rPr>
                <w:rFonts w:ascii="Arial" w:hAnsi="Arial" w:cs="Arial"/>
                <w:b/>
                <w:sz w:val="16"/>
                <w:szCs w:val="16"/>
              </w:rPr>
              <w:t>7.022.257</w:t>
            </w:r>
          </w:p>
        </w:tc>
      </w:tr>
      <w:tr w:rsidR="007E2F9F" w:rsidRPr="00FB36DC" w14:paraId="5A798A05" w14:textId="77777777" w:rsidTr="006548F8">
        <w:tc>
          <w:tcPr>
            <w:tcW w:w="4161" w:type="dxa"/>
          </w:tcPr>
          <w:p w14:paraId="7AE54C2C" w14:textId="77777777" w:rsidR="007E2F9F" w:rsidRPr="00FB36DC" w:rsidRDefault="007E2F9F" w:rsidP="006548F8">
            <w:pPr>
              <w:ind w:right="-1440"/>
              <w:jc w:val="both"/>
              <w:rPr>
                <w:rFonts w:ascii="Arial" w:hAnsi="Arial" w:cs="Arial"/>
                <w:b/>
                <w:sz w:val="18"/>
                <w:szCs w:val="18"/>
                <w:lang w:val="es-ES_tradnl"/>
              </w:rPr>
            </w:pPr>
            <w:r w:rsidRPr="00FB36DC">
              <w:rPr>
                <w:rFonts w:ascii="Arial" w:hAnsi="Arial" w:cs="Arial"/>
                <w:b/>
                <w:sz w:val="18"/>
                <w:szCs w:val="18"/>
                <w:lang w:val="es-ES_tradnl"/>
              </w:rPr>
              <w:t>TOTAL PÉRDIDAS DE APROPIACIÓN</w:t>
            </w:r>
          </w:p>
        </w:tc>
        <w:tc>
          <w:tcPr>
            <w:tcW w:w="2040" w:type="dxa"/>
          </w:tcPr>
          <w:p w14:paraId="49A83409" w14:textId="77777777" w:rsidR="007E2F9F" w:rsidRPr="00FB36DC" w:rsidRDefault="007E2F9F" w:rsidP="006548F8">
            <w:pPr>
              <w:pStyle w:val="Prrafodelista"/>
              <w:ind w:left="0"/>
              <w:jc w:val="right"/>
              <w:rPr>
                <w:rFonts w:ascii="Arial" w:hAnsi="Arial" w:cs="Arial"/>
                <w:b/>
                <w:sz w:val="18"/>
                <w:szCs w:val="18"/>
                <w:u w:val="single"/>
              </w:rPr>
            </w:pPr>
            <w:r w:rsidRPr="00FB36DC">
              <w:rPr>
                <w:rFonts w:ascii="Arial" w:eastAsia="Calibri" w:hAnsi="Arial" w:cs="Arial"/>
                <w:b/>
                <w:sz w:val="16"/>
                <w:szCs w:val="16"/>
                <w:lang w:val="es-CO"/>
              </w:rPr>
              <w:t>120.086.000</w:t>
            </w:r>
          </w:p>
        </w:tc>
        <w:tc>
          <w:tcPr>
            <w:tcW w:w="2040" w:type="dxa"/>
          </w:tcPr>
          <w:p w14:paraId="54E12771" w14:textId="77777777" w:rsidR="007E2F9F" w:rsidRPr="00FB36DC" w:rsidRDefault="007E2F9F" w:rsidP="006548F8">
            <w:pPr>
              <w:pStyle w:val="Prrafodelista"/>
              <w:ind w:left="0"/>
              <w:jc w:val="right"/>
              <w:rPr>
                <w:rFonts w:ascii="Arial" w:hAnsi="Arial" w:cs="Arial"/>
                <w:b/>
                <w:sz w:val="18"/>
                <w:szCs w:val="18"/>
                <w:u w:val="single"/>
              </w:rPr>
            </w:pPr>
            <w:r w:rsidRPr="00FB36DC">
              <w:rPr>
                <w:rFonts w:ascii="Arial" w:eastAsia="Calibri" w:hAnsi="Arial" w:cs="Arial"/>
                <w:b/>
                <w:sz w:val="16"/>
                <w:szCs w:val="16"/>
                <w:lang w:val="es-CO"/>
              </w:rPr>
              <w:t>113.063.743</w:t>
            </w:r>
          </w:p>
        </w:tc>
        <w:tc>
          <w:tcPr>
            <w:tcW w:w="2249" w:type="dxa"/>
          </w:tcPr>
          <w:p w14:paraId="5CB302A6" w14:textId="77777777" w:rsidR="007E2F9F" w:rsidRPr="00FB36DC" w:rsidRDefault="007E2F9F" w:rsidP="006548F8">
            <w:pPr>
              <w:pStyle w:val="Prrafodelista"/>
              <w:ind w:left="0"/>
              <w:jc w:val="right"/>
              <w:rPr>
                <w:rFonts w:ascii="Arial" w:hAnsi="Arial" w:cs="Arial"/>
                <w:b/>
                <w:sz w:val="18"/>
                <w:szCs w:val="18"/>
                <w:u w:val="single"/>
              </w:rPr>
            </w:pPr>
            <w:r w:rsidRPr="00FB36DC">
              <w:rPr>
                <w:rFonts w:ascii="Arial" w:hAnsi="Arial" w:cs="Arial"/>
                <w:b/>
                <w:sz w:val="16"/>
                <w:szCs w:val="16"/>
                <w:u w:val="single"/>
              </w:rPr>
              <w:t>7.022.257</w:t>
            </w:r>
          </w:p>
        </w:tc>
      </w:tr>
    </w:tbl>
    <w:p w14:paraId="03B0DB5B" w14:textId="77777777" w:rsidR="007E2F9F" w:rsidRDefault="007E2F9F" w:rsidP="007E2F9F">
      <w:pPr>
        <w:ind w:left="-284" w:right="-234"/>
        <w:jc w:val="both"/>
        <w:rPr>
          <w:rFonts w:ascii="Arial" w:hAnsi="Arial" w:cs="Arial"/>
          <w:b/>
          <w:bCs/>
          <w:sz w:val="28"/>
          <w:szCs w:val="28"/>
        </w:rPr>
      </w:pPr>
    </w:p>
    <w:p w14:paraId="32DBD700" w14:textId="77777777" w:rsidR="007E2F9F" w:rsidRPr="00AF0A22" w:rsidRDefault="007E2F9F" w:rsidP="007E2F9F">
      <w:pPr>
        <w:ind w:left="-284"/>
        <w:jc w:val="both"/>
        <w:rPr>
          <w:rFonts w:ascii="Arial" w:hAnsi="Arial" w:cs="Arial"/>
          <w:b/>
          <w:sz w:val="28"/>
          <w:szCs w:val="28"/>
          <w:lang w:val="es-MX"/>
        </w:rPr>
      </w:pPr>
      <w:r w:rsidRPr="00AF0A22">
        <w:rPr>
          <w:rFonts w:ascii="Arial" w:hAnsi="Arial" w:cs="Arial"/>
          <w:b/>
          <w:sz w:val="28"/>
          <w:szCs w:val="28"/>
          <w:lang w:val="es-MX"/>
        </w:rPr>
        <w:t>47.- INSTITUTO COLOMBIANO DE BIENESTAR FAMILIAR – ICBF.</w:t>
      </w:r>
    </w:p>
    <w:p w14:paraId="36D3E388" w14:textId="77777777" w:rsidR="007E2F9F" w:rsidRDefault="007E2F9F" w:rsidP="007E2F9F">
      <w:pPr>
        <w:ind w:left="-284" w:right="-234"/>
        <w:jc w:val="both"/>
        <w:rPr>
          <w:rFonts w:ascii="Arial" w:hAnsi="Arial" w:cs="Arial"/>
          <w:b/>
          <w:bCs/>
          <w:sz w:val="28"/>
          <w:szCs w:val="28"/>
          <w:lang w:val="es-MX"/>
        </w:rPr>
      </w:pPr>
    </w:p>
    <w:p w14:paraId="79CCABA6"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BE1F7F1"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66F19D1C"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2B7C8F" w14:paraId="7A81F80B" w14:textId="77777777" w:rsidTr="006548F8">
        <w:tc>
          <w:tcPr>
            <w:tcW w:w="4161" w:type="dxa"/>
          </w:tcPr>
          <w:p w14:paraId="5E251CBA" w14:textId="77777777" w:rsidR="007E2F9F" w:rsidRPr="002B7C8F" w:rsidRDefault="007E2F9F" w:rsidP="006548F8">
            <w:pPr>
              <w:ind w:left="1169" w:right="-1440"/>
              <w:rPr>
                <w:rFonts w:ascii="Arial" w:hAnsi="Arial" w:cs="Arial"/>
                <w:b/>
                <w:sz w:val="18"/>
                <w:szCs w:val="18"/>
                <w:lang w:val="es-ES_tradnl"/>
              </w:rPr>
            </w:pPr>
            <w:r w:rsidRPr="002B7C8F">
              <w:rPr>
                <w:rFonts w:ascii="Arial" w:hAnsi="Arial" w:cs="Arial"/>
                <w:b/>
                <w:sz w:val="18"/>
                <w:szCs w:val="18"/>
                <w:lang w:val="es-ES_tradnl"/>
              </w:rPr>
              <w:t>TIPO DE GASTO</w:t>
            </w:r>
          </w:p>
        </w:tc>
        <w:tc>
          <w:tcPr>
            <w:tcW w:w="2040" w:type="dxa"/>
          </w:tcPr>
          <w:p w14:paraId="50CBF871" w14:textId="77777777" w:rsidR="007E2F9F" w:rsidRPr="002B7C8F" w:rsidRDefault="007E2F9F" w:rsidP="006548F8">
            <w:pPr>
              <w:jc w:val="center"/>
              <w:rPr>
                <w:rFonts w:ascii="Arial" w:hAnsi="Arial" w:cs="Arial"/>
                <w:b/>
                <w:sz w:val="18"/>
                <w:szCs w:val="18"/>
                <w:lang w:val="es-ES_tradnl"/>
              </w:rPr>
            </w:pPr>
            <w:r w:rsidRPr="002B7C8F">
              <w:rPr>
                <w:rFonts w:ascii="Arial" w:hAnsi="Arial" w:cs="Arial"/>
                <w:b/>
                <w:sz w:val="18"/>
                <w:szCs w:val="18"/>
                <w:lang w:val="es-ES_tradnl"/>
              </w:rPr>
              <w:t>APROPIACIÓN</w:t>
            </w:r>
          </w:p>
          <w:p w14:paraId="3C06DDF8" w14:textId="77777777" w:rsidR="007E2F9F" w:rsidRPr="002B7C8F" w:rsidRDefault="007E2F9F" w:rsidP="006548F8">
            <w:pPr>
              <w:jc w:val="center"/>
              <w:rPr>
                <w:rFonts w:ascii="Arial" w:hAnsi="Arial" w:cs="Arial"/>
                <w:b/>
                <w:sz w:val="18"/>
                <w:szCs w:val="18"/>
                <w:lang w:val="es-ES_tradnl"/>
              </w:rPr>
            </w:pPr>
            <w:r w:rsidRPr="002B7C8F">
              <w:rPr>
                <w:rFonts w:ascii="Arial" w:hAnsi="Arial" w:cs="Arial"/>
                <w:b/>
                <w:sz w:val="18"/>
                <w:szCs w:val="18"/>
                <w:lang w:val="es-ES_tradnl"/>
              </w:rPr>
              <w:t>DEFINITIVA</w:t>
            </w:r>
          </w:p>
          <w:p w14:paraId="6E7E418B" w14:textId="77777777" w:rsidR="007E2F9F" w:rsidRPr="002B7C8F" w:rsidRDefault="007E2F9F" w:rsidP="006548F8">
            <w:pPr>
              <w:jc w:val="center"/>
              <w:rPr>
                <w:rFonts w:ascii="Arial" w:hAnsi="Arial" w:cs="Arial"/>
                <w:b/>
                <w:sz w:val="18"/>
                <w:szCs w:val="18"/>
                <w:lang w:val="es-ES_tradnl"/>
              </w:rPr>
            </w:pPr>
            <w:r w:rsidRPr="002B7C8F">
              <w:rPr>
                <w:rFonts w:ascii="Arial" w:hAnsi="Arial" w:cs="Arial"/>
                <w:b/>
                <w:sz w:val="18"/>
                <w:szCs w:val="18"/>
                <w:lang w:val="es-ES_tradnl"/>
              </w:rPr>
              <w:lastRenderedPageBreak/>
              <w:t>(1)</w:t>
            </w:r>
          </w:p>
          <w:p w14:paraId="7CA55226" w14:textId="77777777" w:rsidR="007E2F9F" w:rsidRPr="002B7C8F" w:rsidRDefault="007E2F9F" w:rsidP="006548F8">
            <w:pPr>
              <w:jc w:val="center"/>
              <w:rPr>
                <w:rFonts w:ascii="Arial" w:hAnsi="Arial" w:cs="Arial"/>
                <w:b/>
                <w:sz w:val="18"/>
                <w:szCs w:val="18"/>
                <w:lang w:val="es-ES_tradnl"/>
              </w:rPr>
            </w:pPr>
          </w:p>
        </w:tc>
        <w:tc>
          <w:tcPr>
            <w:tcW w:w="2040" w:type="dxa"/>
          </w:tcPr>
          <w:p w14:paraId="6D4D884B" w14:textId="77777777" w:rsidR="007E2F9F" w:rsidRPr="002B7C8F" w:rsidRDefault="007E2F9F" w:rsidP="006548F8">
            <w:pPr>
              <w:ind w:left="145" w:right="184"/>
              <w:jc w:val="center"/>
              <w:rPr>
                <w:rFonts w:ascii="Arial" w:hAnsi="Arial" w:cs="Arial"/>
                <w:b/>
                <w:sz w:val="18"/>
                <w:szCs w:val="18"/>
                <w:lang w:val="es-ES_tradnl"/>
              </w:rPr>
            </w:pPr>
            <w:r w:rsidRPr="002B7C8F">
              <w:rPr>
                <w:rFonts w:ascii="Arial" w:hAnsi="Arial" w:cs="Arial"/>
                <w:b/>
                <w:sz w:val="18"/>
                <w:szCs w:val="18"/>
                <w:lang w:val="es-ES_tradnl"/>
              </w:rPr>
              <w:lastRenderedPageBreak/>
              <w:t>EJECUCIÓN</w:t>
            </w:r>
          </w:p>
          <w:p w14:paraId="52729543" w14:textId="77777777" w:rsidR="007E2F9F" w:rsidRPr="002B7C8F" w:rsidRDefault="007E2F9F" w:rsidP="006548F8">
            <w:pPr>
              <w:ind w:right="34"/>
              <w:jc w:val="center"/>
              <w:rPr>
                <w:rFonts w:ascii="Arial" w:hAnsi="Arial" w:cs="Arial"/>
                <w:b/>
                <w:sz w:val="18"/>
                <w:szCs w:val="18"/>
                <w:lang w:val="es-ES_tradnl"/>
              </w:rPr>
            </w:pPr>
            <w:r w:rsidRPr="002B7C8F">
              <w:rPr>
                <w:rFonts w:ascii="Arial" w:hAnsi="Arial" w:cs="Arial"/>
                <w:b/>
                <w:sz w:val="18"/>
                <w:szCs w:val="18"/>
                <w:lang w:val="es-ES_tradnl"/>
              </w:rPr>
              <w:t>COMPROMISOS</w:t>
            </w:r>
          </w:p>
          <w:p w14:paraId="10D51A76" w14:textId="77777777" w:rsidR="007E2F9F" w:rsidRPr="002B7C8F" w:rsidRDefault="007E2F9F" w:rsidP="006548F8">
            <w:pPr>
              <w:ind w:right="34"/>
              <w:jc w:val="center"/>
              <w:rPr>
                <w:rFonts w:ascii="Arial" w:hAnsi="Arial" w:cs="Arial"/>
                <w:b/>
                <w:sz w:val="18"/>
                <w:szCs w:val="18"/>
                <w:lang w:val="es-ES_tradnl"/>
              </w:rPr>
            </w:pPr>
            <w:r w:rsidRPr="002B7C8F">
              <w:rPr>
                <w:rFonts w:ascii="Arial" w:hAnsi="Arial" w:cs="Arial"/>
                <w:b/>
                <w:sz w:val="18"/>
                <w:szCs w:val="18"/>
                <w:lang w:val="es-ES_tradnl"/>
              </w:rPr>
              <w:lastRenderedPageBreak/>
              <w:t>(2)</w:t>
            </w:r>
          </w:p>
        </w:tc>
        <w:tc>
          <w:tcPr>
            <w:tcW w:w="2249" w:type="dxa"/>
          </w:tcPr>
          <w:p w14:paraId="5A64E2A7" w14:textId="77777777" w:rsidR="007E2F9F" w:rsidRPr="002B7C8F" w:rsidRDefault="007E2F9F" w:rsidP="006548F8">
            <w:pPr>
              <w:ind w:left="25" w:right="34"/>
              <w:jc w:val="center"/>
              <w:rPr>
                <w:rFonts w:ascii="Arial" w:hAnsi="Arial" w:cs="Arial"/>
                <w:b/>
                <w:sz w:val="18"/>
                <w:szCs w:val="18"/>
                <w:lang w:val="es-ES_tradnl"/>
              </w:rPr>
            </w:pPr>
            <w:r w:rsidRPr="002B7C8F">
              <w:rPr>
                <w:rFonts w:ascii="Arial" w:hAnsi="Arial" w:cs="Arial"/>
                <w:b/>
                <w:sz w:val="18"/>
                <w:szCs w:val="18"/>
                <w:lang w:val="es-ES_tradnl"/>
              </w:rPr>
              <w:lastRenderedPageBreak/>
              <w:t>PÉRDIDAS DE</w:t>
            </w:r>
          </w:p>
          <w:p w14:paraId="6B580CF0" w14:textId="77777777" w:rsidR="007E2F9F" w:rsidRPr="002B7C8F" w:rsidRDefault="007E2F9F" w:rsidP="006548F8">
            <w:pPr>
              <w:ind w:right="34"/>
              <w:jc w:val="center"/>
              <w:rPr>
                <w:rFonts w:ascii="Arial" w:hAnsi="Arial" w:cs="Arial"/>
                <w:b/>
                <w:sz w:val="18"/>
                <w:szCs w:val="18"/>
                <w:lang w:val="es-ES_tradnl"/>
              </w:rPr>
            </w:pPr>
            <w:r w:rsidRPr="002B7C8F">
              <w:rPr>
                <w:rFonts w:ascii="Arial" w:hAnsi="Arial" w:cs="Arial"/>
                <w:b/>
                <w:sz w:val="18"/>
                <w:szCs w:val="18"/>
                <w:lang w:val="es-ES_tradnl"/>
              </w:rPr>
              <w:t>APROPIACIÓN</w:t>
            </w:r>
          </w:p>
          <w:p w14:paraId="2BF53F16" w14:textId="77777777" w:rsidR="007E2F9F" w:rsidRPr="002B7C8F" w:rsidRDefault="007E2F9F" w:rsidP="006548F8">
            <w:pPr>
              <w:ind w:right="34"/>
              <w:jc w:val="center"/>
              <w:rPr>
                <w:rFonts w:ascii="Arial" w:hAnsi="Arial" w:cs="Arial"/>
                <w:b/>
                <w:sz w:val="18"/>
                <w:szCs w:val="18"/>
                <w:lang w:val="es-ES_tradnl"/>
              </w:rPr>
            </w:pPr>
            <w:r w:rsidRPr="002B7C8F">
              <w:rPr>
                <w:rFonts w:ascii="Arial" w:hAnsi="Arial" w:cs="Arial"/>
                <w:b/>
                <w:sz w:val="18"/>
                <w:szCs w:val="18"/>
                <w:lang w:val="es-ES_tradnl"/>
              </w:rPr>
              <w:lastRenderedPageBreak/>
              <w:t>3 = (1-2)</w:t>
            </w:r>
          </w:p>
        </w:tc>
      </w:tr>
      <w:tr w:rsidR="007E2F9F" w:rsidRPr="002B7C8F" w14:paraId="091EA390" w14:textId="77777777" w:rsidTr="006548F8">
        <w:trPr>
          <w:trHeight w:val="230"/>
        </w:trPr>
        <w:tc>
          <w:tcPr>
            <w:tcW w:w="4161" w:type="dxa"/>
          </w:tcPr>
          <w:p w14:paraId="6715C205" w14:textId="77777777" w:rsidR="007E2F9F" w:rsidRPr="002B7C8F" w:rsidRDefault="007E2F9F" w:rsidP="006548F8">
            <w:pPr>
              <w:ind w:right="-1440"/>
              <w:jc w:val="both"/>
              <w:rPr>
                <w:rFonts w:ascii="Arial" w:hAnsi="Arial" w:cs="Arial"/>
                <w:b/>
                <w:sz w:val="18"/>
                <w:szCs w:val="18"/>
                <w:lang w:val="es-ES_tradnl"/>
              </w:rPr>
            </w:pPr>
            <w:r w:rsidRPr="002B7C8F">
              <w:rPr>
                <w:rFonts w:ascii="Arial" w:hAnsi="Arial" w:cs="Arial"/>
                <w:b/>
                <w:sz w:val="18"/>
                <w:szCs w:val="18"/>
                <w:lang w:val="es-ES_tradnl"/>
              </w:rPr>
              <w:lastRenderedPageBreak/>
              <w:t>FUNCIONAMIENTO</w:t>
            </w:r>
          </w:p>
        </w:tc>
        <w:tc>
          <w:tcPr>
            <w:tcW w:w="2040" w:type="dxa"/>
            <w:vAlign w:val="bottom"/>
          </w:tcPr>
          <w:p w14:paraId="48C115C1" w14:textId="77777777" w:rsidR="007E2F9F" w:rsidRPr="002B7C8F" w:rsidRDefault="007E2F9F" w:rsidP="006548F8">
            <w:pPr>
              <w:jc w:val="right"/>
              <w:rPr>
                <w:rFonts w:ascii="Arial" w:eastAsia="Calibri" w:hAnsi="Arial" w:cs="Arial"/>
                <w:sz w:val="18"/>
                <w:szCs w:val="18"/>
                <w:lang w:val="es-CO"/>
              </w:rPr>
            </w:pPr>
            <w:r w:rsidRPr="002B7C8F">
              <w:rPr>
                <w:rFonts w:ascii="Arial" w:hAnsi="Arial" w:cs="Arial"/>
                <w:bCs/>
                <w:sz w:val="16"/>
                <w:szCs w:val="16"/>
              </w:rPr>
              <w:t>1.066.543.526</w:t>
            </w:r>
          </w:p>
        </w:tc>
        <w:tc>
          <w:tcPr>
            <w:tcW w:w="2040" w:type="dxa"/>
            <w:vAlign w:val="bottom"/>
          </w:tcPr>
          <w:p w14:paraId="326C6215" w14:textId="77777777" w:rsidR="007E2F9F" w:rsidRPr="002B7C8F" w:rsidRDefault="007E2F9F" w:rsidP="006548F8">
            <w:pPr>
              <w:pStyle w:val="Prrafodelista"/>
              <w:ind w:left="0"/>
              <w:jc w:val="right"/>
              <w:rPr>
                <w:rFonts w:ascii="Arial" w:hAnsi="Arial" w:cs="Arial"/>
                <w:b/>
                <w:sz w:val="18"/>
                <w:szCs w:val="18"/>
              </w:rPr>
            </w:pPr>
            <w:r w:rsidRPr="002B7C8F">
              <w:rPr>
                <w:rFonts w:ascii="Arial" w:hAnsi="Arial" w:cs="Arial"/>
                <w:bCs/>
                <w:sz w:val="16"/>
                <w:szCs w:val="16"/>
              </w:rPr>
              <w:t>884.186.320</w:t>
            </w:r>
          </w:p>
        </w:tc>
        <w:tc>
          <w:tcPr>
            <w:tcW w:w="2249" w:type="dxa"/>
            <w:vAlign w:val="bottom"/>
          </w:tcPr>
          <w:p w14:paraId="02FB98B9" w14:textId="77777777" w:rsidR="007E2F9F" w:rsidRPr="002B7C8F" w:rsidRDefault="007E2F9F" w:rsidP="006548F8">
            <w:pPr>
              <w:pStyle w:val="Prrafodelista"/>
              <w:ind w:left="0"/>
              <w:jc w:val="right"/>
              <w:rPr>
                <w:rFonts w:ascii="Arial" w:hAnsi="Arial" w:cs="Arial"/>
                <w:b/>
                <w:sz w:val="18"/>
                <w:szCs w:val="18"/>
              </w:rPr>
            </w:pPr>
            <w:r w:rsidRPr="002B7C8F">
              <w:rPr>
                <w:rFonts w:ascii="Arial" w:hAnsi="Arial" w:cs="Arial"/>
                <w:bCs/>
                <w:sz w:val="16"/>
                <w:szCs w:val="16"/>
              </w:rPr>
              <w:t>182.357.206</w:t>
            </w:r>
          </w:p>
        </w:tc>
      </w:tr>
      <w:tr w:rsidR="007E2F9F" w:rsidRPr="002B7C8F" w14:paraId="58A889B2" w14:textId="77777777" w:rsidTr="006548F8">
        <w:tc>
          <w:tcPr>
            <w:tcW w:w="4161" w:type="dxa"/>
          </w:tcPr>
          <w:p w14:paraId="7775812F" w14:textId="77777777" w:rsidR="007E2F9F" w:rsidRPr="002B7C8F" w:rsidRDefault="007E2F9F" w:rsidP="006548F8">
            <w:pPr>
              <w:ind w:right="-1440"/>
              <w:jc w:val="both"/>
              <w:rPr>
                <w:rFonts w:ascii="Arial" w:hAnsi="Arial" w:cs="Arial"/>
                <w:b/>
                <w:sz w:val="18"/>
                <w:szCs w:val="18"/>
                <w:lang w:val="es-ES_tradnl"/>
              </w:rPr>
            </w:pPr>
            <w:r w:rsidRPr="002B7C8F">
              <w:rPr>
                <w:rFonts w:ascii="Arial" w:hAnsi="Arial" w:cs="Arial"/>
                <w:b/>
                <w:sz w:val="18"/>
                <w:szCs w:val="18"/>
                <w:lang w:val="es-ES_tradnl"/>
              </w:rPr>
              <w:t>INVERSIÓN</w:t>
            </w:r>
          </w:p>
        </w:tc>
        <w:tc>
          <w:tcPr>
            <w:tcW w:w="2040" w:type="dxa"/>
            <w:vAlign w:val="bottom"/>
          </w:tcPr>
          <w:p w14:paraId="71E9EFE8" w14:textId="77777777" w:rsidR="007E2F9F" w:rsidRPr="002B7C8F" w:rsidRDefault="007E2F9F" w:rsidP="006548F8">
            <w:pPr>
              <w:pStyle w:val="Prrafodelista"/>
              <w:ind w:left="0"/>
              <w:jc w:val="right"/>
              <w:rPr>
                <w:rFonts w:ascii="Arial" w:hAnsi="Arial" w:cs="Arial"/>
                <w:b/>
                <w:sz w:val="18"/>
                <w:szCs w:val="18"/>
              </w:rPr>
            </w:pPr>
            <w:r w:rsidRPr="002B7C8F">
              <w:rPr>
                <w:rFonts w:ascii="Arial" w:hAnsi="Arial" w:cs="Arial"/>
                <w:color w:val="000000"/>
                <w:sz w:val="16"/>
                <w:szCs w:val="16"/>
              </w:rPr>
              <w:t>9.775.303.396</w:t>
            </w:r>
          </w:p>
        </w:tc>
        <w:tc>
          <w:tcPr>
            <w:tcW w:w="2040" w:type="dxa"/>
            <w:vAlign w:val="bottom"/>
          </w:tcPr>
          <w:p w14:paraId="36A59456" w14:textId="77777777" w:rsidR="007E2F9F" w:rsidRPr="002B7C8F" w:rsidRDefault="007E2F9F" w:rsidP="006548F8">
            <w:pPr>
              <w:pStyle w:val="Prrafodelista"/>
              <w:ind w:left="0"/>
              <w:jc w:val="right"/>
              <w:rPr>
                <w:rFonts w:ascii="Arial" w:hAnsi="Arial" w:cs="Arial"/>
                <w:b/>
                <w:sz w:val="18"/>
                <w:szCs w:val="18"/>
              </w:rPr>
            </w:pPr>
            <w:r w:rsidRPr="002B7C8F">
              <w:rPr>
                <w:rFonts w:ascii="Arial" w:hAnsi="Arial" w:cs="Arial"/>
                <w:color w:val="000000"/>
                <w:sz w:val="16"/>
                <w:szCs w:val="16"/>
              </w:rPr>
              <w:t>9.689.076.420</w:t>
            </w:r>
          </w:p>
        </w:tc>
        <w:tc>
          <w:tcPr>
            <w:tcW w:w="2249" w:type="dxa"/>
            <w:vAlign w:val="bottom"/>
          </w:tcPr>
          <w:p w14:paraId="0938873B" w14:textId="77777777" w:rsidR="007E2F9F" w:rsidRPr="002B7C8F" w:rsidRDefault="007E2F9F" w:rsidP="006548F8">
            <w:pPr>
              <w:pStyle w:val="Prrafodelista"/>
              <w:ind w:left="0"/>
              <w:jc w:val="right"/>
              <w:rPr>
                <w:rFonts w:ascii="Arial" w:hAnsi="Arial" w:cs="Arial"/>
                <w:b/>
                <w:sz w:val="18"/>
                <w:szCs w:val="18"/>
              </w:rPr>
            </w:pPr>
            <w:r w:rsidRPr="002B7C8F">
              <w:rPr>
                <w:rFonts w:ascii="Arial" w:hAnsi="Arial" w:cs="Arial"/>
                <w:color w:val="000000"/>
                <w:sz w:val="16"/>
                <w:szCs w:val="16"/>
              </w:rPr>
              <w:t>86.226.976</w:t>
            </w:r>
          </w:p>
        </w:tc>
      </w:tr>
      <w:tr w:rsidR="007E2F9F" w:rsidRPr="002B7C8F" w14:paraId="33C73FF7" w14:textId="77777777" w:rsidTr="006548F8">
        <w:tc>
          <w:tcPr>
            <w:tcW w:w="4161" w:type="dxa"/>
          </w:tcPr>
          <w:p w14:paraId="54B75265" w14:textId="77777777" w:rsidR="007E2F9F" w:rsidRPr="002B7C8F" w:rsidRDefault="007E2F9F" w:rsidP="006548F8">
            <w:pPr>
              <w:ind w:right="-1440"/>
              <w:jc w:val="both"/>
              <w:rPr>
                <w:rFonts w:ascii="Arial" w:hAnsi="Arial" w:cs="Arial"/>
                <w:b/>
                <w:sz w:val="18"/>
                <w:szCs w:val="18"/>
                <w:lang w:val="es-ES_tradnl"/>
              </w:rPr>
            </w:pPr>
            <w:r w:rsidRPr="002B7C8F">
              <w:rPr>
                <w:rFonts w:ascii="Arial" w:hAnsi="Arial" w:cs="Arial"/>
                <w:b/>
                <w:sz w:val="18"/>
                <w:szCs w:val="18"/>
                <w:lang w:val="es-ES_tradnl"/>
              </w:rPr>
              <w:t>TOTAL PÉRDIDAS DE APROPIACIÓN</w:t>
            </w:r>
          </w:p>
        </w:tc>
        <w:tc>
          <w:tcPr>
            <w:tcW w:w="2040" w:type="dxa"/>
            <w:vAlign w:val="bottom"/>
          </w:tcPr>
          <w:p w14:paraId="17E0D9A4" w14:textId="77777777" w:rsidR="007E2F9F" w:rsidRPr="002B7C8F" w:rsidRDefault="007E2F9F" w:rsidP="006548F8">
            <w:pPr>
              <w:pStyle w:val="Prrafodelista"/>
              <w:ind w:left="0"/>
              <w:jc w:val="right"/>
              <w:rPr>
                <w:rFonts w:ascii="Arial" w:hAnsi="Arial" w:cs="Arial"/>
                <w:b/>
                <w:sz w:val="18"/>
                <w:szCs w:val="18"/>
                <w:u w:val="single"/>
              </w:rPr>
            </w:pPr>
            <w:r w:rsidRPr="002B7C8F">
              <w:rPr>
                <w:rFonts w:ascii="Arial" w:hAnsi="Arial" w:cs="Arial"/>
                <w:bCs/>
                <w:sz w:val="16"/>
                <w:szCs w:val="16"/>
              </w:rPr>
              <w:t>10.841.846.923</w:t>
            </w:r>
          </w:p>
        </w:tc>
        <w:tc>
          <w:tcPr>
            <w:tcW w:w="2040" w:type="dxa"/>
            <w:vAlign w:val="bottom"/>
          </w:tcPr>
          <w:p w14:paraId="280A201A" w14:textId="77777777" w:rsidR="007E2F9F" w:rsidRPr="002B7C8F" w:rsidRDefault="007E2F9F" w:rsidP="006548F8">
            <w:pPr>
              <w:pStyle w:val="Prrafodelista"/>
              <w:ind w:left="0"/>
              <w:jc w:val="right"/>
              <w:rPr>
                <w:rFonts w:ascii="Arial" w:hAnsi="Arial" w:cs="Arial"/>
                <w:b/>
                <w:sz w:val="18"/>
                <w:szCs w:val="18"/>
                <w:u w:val="single"/>
              </w:rPr>
            </w:pPr>
            <w:r w:rsidRPr="002B7C8F">
              <w:rPr>
                <w:rFonts w:ascii="Arial" w:hAnsi="Arial" w:cs="Arial"/>
                <w:bCs/>
                <w:sz w:val="16"/>
                <w:szCs w:val="16"/>
              </w:rPr>
              <w:t>10.573.262.741</w:t>
            </w:r>
          </w:p>
        </w:tc>
        <w:tc>
          <w:tcPr>
            <w:tcW w:w="2249" w:type="dxa"/>
            <w:vAlign w:val="bottom"/>
          </w:tcPr>
          <w:p w14:paraId="277E4FC7" w14:textId="77777777" w:rsidR="007E2F9F" w:rsidRPr="002B7C8F" w:rsidRDefault="007E2F9F" w:rsidP="006548F8">
            <w:pPr>
              <w:pStyle w:val="Prrafodelista"/>
              <w:ind w:left="0"/>
              <w:jc w:val="right"/>
              <w:rPr>
                <w:rFonts w:ascii="Arial" w:hAnsi="Arial" w:cs="Arial"/>
                <w:b/>
                <w:sz w:val="18"/>
                <w:szCs w:val="18"/>
                <w:u w:val="single"/>
              </w:rPr>
            </w:pPr>
            <w:r w:rsidRPr="002B7C8F">
              <w:rPr>
                <w:rFonts w:ascii="Arial" w:hAnsi="Arial" w:cs="Arial"/>
                <w:bCs/>
                <w:sz w:val="16"/>
                <w:szCs w:val="16"/>
                <w:u w:val="single"/>
              </w:rPr>
              <w:t>268.584.181</w:t>
            </w:r>
          </w:p>
        </w:tc>
      </w:tr>
    </w:tbl>
    <w:p w14:paraId="7DEDA2D2" w14:textId="77777777" w:rsidR="007E2F9F" w:rsidRDefault="007E2F9F" w:rsidP="007E2F9F">
      <w:pPr>
        <w:ind w:left="-284" w:right="-234"/>
        <w:jc w:val="both"/>
        <w:rPr>
          <w:rFonts w:ascii="Arial" w:hAnsi="Arial" w:cs="Arial"/>
          <w:b/>
          <w:bCs/>
          <w:sz w:val="28"/>
          <w:szCs w:val="28"/>
          <w:lang w:val="es-MX"/>
        </w:rPr>
      </w:pPr>
    </w:p>
    <w:p w14:paraId="208C460E" w14:textId="77777777" w:rsidR="007E2F9F" w:rsidRPr="000557BB" w:rsidRDefault="007E2F9F" w:rsidP="007E2F9F">
      <w:pPr>
        <w:ind w:left="-284" w:right="-234"/>
        <w:jc w:val="both"/>
        <w:rPr>
          <w:rFonts w:ascii="Arial" w:hAnsi="Arial" w:cs="Arial"/>
          <w:b/>
          <w:sz w:val="28"/>
          <w:szCs w:val="28"/>
          <w:lang w:val="es-MX"/>
        </w:rPr>
      </w:pPr>
      <w:r w:rsidRPr="000557BB">
        <w:rPr>
          <w:rFonts w:ascii="Arial" w:hAnsi="Arial" w:cs="Arial"/>
          <w:b/>
          <w:sz w:val="28"/>
          <w:szCs w:val="28"/>
          <w:lang w:val="es-MX"/>
        </w:rPr>
        <w:t>50.- CORPORACIÓN AUTÓNOMA REGIONAL DE CHIVOR – CORPOCHIVOR.</w:t>
      </w:r>
    </w:p>
    <w:p w14:paraId="406852FD" w14:textId="77777777" w:rsidR="007E2F9F" w:rsidRDefault="007E2F9F" w:rsidP="007E2F9F">
      <w:pPr>
        <w:pStyle w:val="Prrafodelista"/>
        <w:ind w:left="0"/>
        <w:rPr>
          <w:b/>
          <w:sz w:val="24"/>
        </w:rPr>
      </w:pPr>
    </w:p>
    <w:p w14:paraId="7D448DD2"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4A01B04B"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3DD50297"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0557BB" w14:paraId="7570D8CA" w14:textId="77777777" w:rsidTr="006548F8">
        <w:tc>
          <w:tcPr>
            <w:tcW w:w="4161" w:type="dxa"/>
          </w:tcPr>
          <w:p w14:paraId="2FD1306D" w14:textId="77777777" w:rsidR="007E2F9F" w:rsidRPr="000557BB" w:rsidRDefault="007E2F9F" w:rsidP="006548F8">
            <w:pPr>
              <w:ind w:left="1169" w:right="-1440"/>
              <w:rPr>
                <w:rFonts w:ascii="Arial" w:hAnsi="Arial" w:cs="Arial"/>
                <w:b/>
                <w:sz w:val="18"/>
                <w:szCs w:val="18"/>
                <w:lang w:val="es-ES_tradnl"/>
              </w:rPr>
            </w:pPr>
            <w:r w:rsidRPr="000557BB">
              <w:rPr>
                <w:rFonts w:ascii="Arial" w:hAnsi="Arial" w:cs="Arial"/>
                <w:b/>
                <w:sz w:val="18"/>
                <w:szCs w:val="18"/>
                <w:lang w:val="es-ES_tradnl"/>
              </w:rPr>
              <w:t>TIPO DE GASTO</w:t>
            </w:r>
          </w:p>
        </w:tc>
        <w:tc>
          <w:tcPr>
            <w:tcW w:w="2040" w:type="dxa"/>
          </w:tcPr>
          <w:p w14:paraId="073B89B6" w14:textId="77777777" w:rsidR="007E2F9F" w:rsidRPr="000557BB" w:rsidRDefault="007E2F9F" w:rsidP="006548F8">
            <w:pPr>
              <w:jc w:val="center"/>
              <w:rPr>
                <w:rFonts w:ascii="Arial" w:hAnsi="Arial" w:cs="Arial"/>
                <w:b/>
                <w:sz w:val="18"/>
                <w:szCs w:val="18"/>
                <w:lang w:val="es-ES_tradnl"/>
              </w:rPr>
            </w:pPr>
            <w:r w:rsidRPr="000557BB">
              <w:rPr>
                <w:rFonts w:ascii="Arial" w:hAnsi="Arial" w:cs="Arial"/>
                <w:b/>
                <w:sz w:val="18"/>
                <w:szCs w:val="18"/>
                <w:lang w:val="es-ES_tradnl"/>
              </w:rPr>
              <w:t>APROPIACIÓN</w:t>
            </w:r>
          </w:p>
          <w:p w14:paraId="121EC2DE" w14:textId="77777777" w:rsidR="007E2F9F" w:rsidRPr="000557BB" w:rsidRDefault="007E2F9F" w:rsidP="006548F8">
            <w:pPr>
              <w:jc w:val="center"/>
              <w:rPr>
                <w:rFonts w:ascii="Arial" w:hAnsi="Arial" w:cs="Arial"/>
                <w:b/>
                <w:sz w:val="18"/>
                <w:szCs w:val="18"/>
                <w:lang w:val="es-ES_tradnl"/>
              </w:rPr>
            </w:pPr>
            <w:r w:rsidRPr="000557BB">
              <w:rPr>
                <w:rFonts w:ascii="Arial" w:hAnsi="Arial" w:cs="Arial"/>
                <w:b/>
                <w:sz w:val="18"/>
                <w:szCs w:val="18"/>
                <w:lang w:val="es-ES_tradnl"/>
              </w:rPr>
              <w:t>DEFINITIVA</w:t>
            </w:r>
          </w:p>
          <w:p w14:paraId="41267785" w14:textId="77777777" w:rsidR="007E2F9F" w:rsidRPr="000557BB" w:rsidRDefault="007E2F9F" w:rsidP="006548F8">
            <w:pPr>
              <w:jc w:val="center"/>
              <w:rPr>
                <w:rFonts w:ascii="Arial" w:hAnsi="Arial" w:cs="Arial"/>
                <w:b/>
                <w:sz w:val="18"/>
                <w:szCs w:val="18"/>
                <w:lang w:val="es-ES_tradnl"/>
              </w:rPr>
            </w:pPr>
            <w:r w:rsidRPr="000557BB">
              <w:rPr>
                <w:rFonts w:ascii="Arial" w:hAnsi="Arial" w:cs="Arial"/>
                <w:b/>
                <w:sz w:val="18"/>
                <w:szCs w:val="18"/>
                <w:lang w:val="es-ES_tradnl"/>
              </w:rPr>
              <w:t>(1)</w:t>
            </w:r>
          </w:p>
          <w:p w14:paraId="7BC3FDFB" w14:textId="77777777" w:rsidR="007E2F9F" w:rsidRPr="000557BB" w:rsidRDefault="007E2F9F" w:rsidP="006548F8">
            <w:pPr>
              <w:jc w:val="center"/>
              <w:rPr>
                <w:rFonts w:ascii="Arial" w:hAnsi="Arial" w:cs="Arial"/>
                <w:b/>
                <w:sz w:val="18"/>
                <w:szCs w:val="18"/>
                <w:lang w:val="es-ES_tradnl"/>
              </w:rPr>
            </w:pPr>
          </w:p>
        </w:tc>
        <w:tc>
          <w:tcPr>
            <w:tcW w:w="2040" w:type="dxa"/>
          </w:tcPr>
          <w:p w14:paraId="28F39021" w14:textId="77777777" w:rsidR="007E2F9F" w:rsidRPr="000557BB" w:rsidRDefault="007E2F9F" w:rsidP="006548F8">
            <w:pPr>
              <w:ind w:left="145" w:right="184"/>
              <w:jc w:val="center"/>
              <w:rPr>
                <w:rFonts w:ascii="Arial" w:hAnsi="Arial" w:cs="Arial"/>
                <w:b/>
                <w:sz w:val="18"/>
                <w:szCs w:val="18"/>
                <w:lang w:val="es-ES_tradnl"/>
              </w:rPr>
            </w:pPr>
            <w:r w:rsidRPr="000557BB">
              <w:rPr>
                <w:rFonts w:ascii="Arial" w:hAnsi="Arial" w:cs="Arial"/>
                <w:b/>
                <w:sz w:val="18"/>
                <w:szCs w:val="18"/>
                <w:lang w:val="es-ES_tradnl"/>
              </w:rPr>
              <w:t>EJECUCIÓN</w:t>
            </w:r>
          </w:p>
          <w:p w14:paraId="22ED04E7" w14:textId="77777777" w:rsidR="007E2F9F" w:rsidRPr="000557BB" w:rsidRDefault="007E2F9F" w:rsidP="006548F8">
            <w:pPr>
              <w:ind w:right="34"/>
              <w:jc w:val="center"/>
              <w:rPr>
                <w:rFonts w:ascii="Arial" w:hAnsi="Arial" w:cs="Arial"/>
                <w:b/>
                <w:sz w:val="18"/>
                <w:szCs w:val="18"/>
                <w:lang w:val="es-ES_tradnl"/>
              </w:rPr>
            </w:pPr>
            <w:r w:rsidRPr="000557BB">
              <w:rPr>
                <w:rFonts w:ascii="Arial" w:hAnsi="Arial" w:cs="Arial"/>
                <w:b/>
                <w:sz w:val="18"/>
                <w:szCs w:val="18"/>
                <w:lang w:val="es-ES_tradnl"/>
              </w:rPr>
              <w:t>COMPROMISOS</w:t>
            </w:r>
          </w:p>
          <w:p w14:paraId="79E1CD42" w14:textId="77777777" w:rsidR="007E2F9F" w:rsidRPr="000557BB" w:rsidRDefault="007E2F9F" w:rsidP="006548F8">
            <w:pPr>
              <w:ind w:right="34"/>
              <w:jc w:val="center"/>
              <w:rPr>
                <w:rFonts w:ascii="Arial" w:hAnsi="Arial" w:cs="Arial"/>
                <w:b/>
                <w:sz w:val="18"/>
                <w:szCs w:val="18"/>
                <w:lang w:val="es-ES_tradnl"/>
              </w:rPr>
            </w:pPr>
            <w:r w:rsidRPr="000557BB">
              <w:rPr>
                <w:rFonts w:ascii="Arial" w:hAnsi="Arial" w:cs="Arial"/>
                <w:b/>
                <w:sz w:val="18"/>
                <w:szCs w:val="18"/>
                <w:lang w:val="es-ES_tradnl"/>
              </w:rPr>
              <w:t>(2)</w:t>
            </w:r>
          </w:p>
        </w:tc>
        <w:tc>
          <w:tcPr>
            <w:tcW w:w="2249" w:type="dxa"/>
          </w:tcPr>
          <w:p w14:paraId="668C57C8" w14:textId="77777777" w:rsidR="007E2F9F" w:rsidRPr="000557BB" w:rsidRDefault="007E2F9F" w:rsidP="006548F8">
            <w:pPr>
              <w:ind w:left="25" w:right="34"/>
              <w:jc w:val="center"/>
              <w:rPr>
                <w:rFonts w:ascii="Arial" w:hAnsi="Arial" w:cs="Arial"/>
                <w:b/>
                <w:sz w:val="18"/>
                <w:szCs w:val="18"/>
                <w:lang w:val="es-ES_tradnl"/>
              </w:rPr>
            </w:pPr>
            <w:r w:rsidRPr="000557BB">
              <w:rPr>
                <w:rFonts w:ascii="Arial" w:hAnsi="Arial" w:cs="Arial"/>
                <w:b/>
                <w:sz w:val="18"/>
                <w:szCs w:val="18"/>
                <w:lang w:val="es-ES_tradnl"/>
              </w:rPr>
              <w:t>PÉRDIDAS DE</w:t>
            </w:r>
          </w:p>
          <w:p w14:paraId="311088C5" w14:textId="77777777" w:rsidR="007E2F9F" w:rsidRPr="000557BB" w:rsidRDefault="007E2F9F" w:rsidP="006548F8">
            <w:pPr>
              <w:ind w:right="34"/>
              <w:jc w:val="center"/>
              <w:rPr>
                <w:rFonts w:ascii="Arial" w:hAnsi="Arial" w:cs="Arial"/>
                <w:b/>
                <w:sz w:val="18"/>
                <w:szCs w:val="18"/>
                <w:lang w:val="es-ES_tradnl"/>
              </w:rPr>
            </w:pPr>
            <w:r w:rsidRPr="000557BB">
              <w:rPr>
                <w:rFonts w:ascii="Arial" w:hAnsi="Arial" w:cs="Arial"/>
                <w:b/>
                <w:sz w:val="18"/>
                <w:szCs w:val="18"/>
                <w:lang w:val="es-ES_tradnl"/>
              </w:rPr>
              <w:t>APROPIACIÓN</w:t>
            </w:r>
          </w:p>
          <w:p w14:paraId="625BC3BB" w14:textId="77777777" w:rsidR="007E2F9F" w:rsidRPr="000557BB" w:rsidRDefault="007E2F9F" w:rsidP="006548F8">
            <w:pPr>
              <w:ind w:right="34"/>
              <w:jc w:val="center"/>
              <w:rPr>
                <w:rFonts w:ascii="Arial" w:hAnsi="Arial" w:cs="Arial"/>
                <w:b/>
                <w:sz w:val="18"/>
                <w:szCs w:val="18"/>
                <w:lang w:val="es-ES_tradnl"/>
              </w:rPr>
            </w:pPr>
            <w:r w:rsidRPr="000557BB">
              <w:rPr>
                <w:rFonts w:ascii="Arial" w:hAnsi="Arial" w:cs="Arial"/>
                <w:b/>
                <w:sz w:val="18"/>
                <w:szCs w:val="18"/>
                <w:lang w:val="es-ES_tradnl"/>
              </w:rPr>
              <w:t>3 = (1-2)</w:t>
            </w:r>
          </w:p>
        </w:tc>
      </w:tr>
      <w:tr w:rsidR="007E2F9F" w:rsidRPr="000557BB" w14:paraId="42DD39E9" w14:textId="77777777" w:rsidTr="006548F8">
        <w:trPr>
          <w:trHeight w:val="230"/>
        </w:trPr>
        <w:tc>
          <w:tcPr>
            <w:tcW w:w="4161" w:type="dxa"/>
          </w:tcPr>
          <w:p w14:paraId="0539A0E4" w14:textId="77777777" w:rsidR="007E2F9F" w:rsidRPr="000557BB" w:rsidRDefault="007E2F9F" w:rsidP="006548F8">
            <w:pPr>
              <w:ind w:right="-1440"/>
              <w:jc w:val="both"/>
              <w:rPr>
                <w:rFonts w:ascii="Arial" w:hAnsi="Arial" w:cs="Arial"/>
                <w:b/>
                <w:sz w:val="18"/>
                <w:szCs w:val="18"/>
                <w:lang w:val="es-ES_tradnl"/>
              </w:rPr>
            </w:pPr>
            <w:r w:rsidRPr="000557BB">
              <w:rPr>
                <w:rFonts w:ascii="Arial" w:hAnsi="Arial" w:cs="Arial"/>
                <w:b/>
                <w:sz w:val="18"/>
                <w:szCs w:val="18"/>
                <w:lang w:val="es-ES_tradnl"/>
              </w:rPr>
              <w:t>FUNCIONAMIENTO</w:t>
            </w:r>
          </w:p>
        </w:tc>
        <w:tc>
          <w:tcPr>
            <w:tcW w:w="2040" w:type="dxa"/>
          </w:tcPr>
          <w:p w14:paraId="0EDE06B3" w14:textId="77777777" w:rsidR="007E2F9F" w:rsidRPr="000557BB" w:rsidRDefault="007E2F9F" w:rsidP="006548F8">
            <w:pPr>
              <w:jc w:val="right"/>
              <w:rPr>
                <w:rFonts w:ascii="Arial" w:eastAsia="Calibri" w:hAnsi="Arial" w:cs="Arial"/>
                <w:sz w:val="18"/>
                <w:szCs w:val="18"/>
                <w:lang w:val="es-CO"/>
              </w:rPr>
            </w:pPr>
            <w:r w:rsidRPr="000557BB">
              <w:rPr>
                <w:rFonts w:ascii="Arial" w:eastAsia="Calibri" w:hAnsi="Arial" w:cs="Arial"/>
                <w:lang w:val="es-CO"/>
              </w:rPr>
              <w:t>2.882.838</w:t>
            </w:r>
          </w:p>
        </w:tc>
        <w:tc>
          <w:tcPr>
            <w:tcW w:w="2040" w:type="dxa"/>
          </w:tcPr>
          <w:p w14:paraId="76B3B985" w14:textId="77777777" w:rsidR="007E2F9F" w:rsidRPr="000557BB" w:rsidRDefault="007E2F9F" w:rsidP="006548F8">
            <w:pPr>
              <w:pStyle w:val="Prrafodelista"/>
              <w:ind w:left="0"/>
              <w:jc w:val="right"/>
              <w:rPr>
                <w:rFonts w:ascii="Arial" w:hAnsi="Arial" w:cs="Arial"/>
                <w:b/>
                <w:sz w:val="18"/>
                <w:szCs w:val="18"/>
              </w:rPr>
            </w:pPr>
            <w:r w:rsidRPr="000557BB">
              <w:rPr>
                <w:rFonts w:ascii="Arial" w:eastAsia="Calibri" w:hAnsi="Arial" w:cs="Arial"/>
                <w:lang w:val="es-CO"/>
              </w:rPr>
              <w:t>2.876.937</w:t>
            </w:r>
          </w:p>
        </w:tc>
        <w:tc>
          <w:tcPr>
            <w:tcW w:w="2249" w:type="dxa"/>
          </w:tcPr>
          <w:p w14:paraId="67E121DE" w14:textId="77777777" w:rsidR="007E2F9F" w:rsidRPr="000557BB" w:rsidRDefault="007E2F9F" w:rsidP="006548F8">
            <w:pPr>
              <w:pStyle w:val="Prrafodelista"/>
              <w:ind w:left="0"/>
              <w:jc w:val="right"/>
              <w:rPr>
                <w:rFonts w:ascii="Arial" w:hAnsi="Arial" w:cs="Arial"/>
                <w:b/>
                <w:sz w:val="18"/>
                <w:szCs w:val="18"/>
              </w:rPr>
            </w:pPr>
            <w:r w:rsidRPr="000557BB">
              <w:rPr>
                <w:rFonts w:ascii="Arial" w:hAnsi="Arial" w:cs="Arial"/>
                <w:b/>
              </w:rPr>
              <w:t>5.901</w:t>
            </w:r>
          </w:p>
        </w:tc>
      </w:tr>
      <w:tr w:rsidR="007E2F9F" w:rsidRPr="000557BB" w14:paraId="62624FBE" w14:textId="77777777" w:rsidTr="006548F8">
        <w:tc>
          <w:tcPr>
            <w:tcW w:w="4161" w:type="dxa"/>
          </w:tcPr>
          <w:p w14:paraId="3C036794" w14:textId="77777777" w:rsidR="007E2F9F" w:rsidRPr="000557BB" w:rsidRDefault="007E2F9F" w:rsidP="006548F8">
            <w:pPr>
              <w:ind w:right="-1440"/>
              <w:jc w:val="both"/>
              <w:rPr>
                <w:rFonts w:ascii="Arial" w:hAnsi="Arial" w:cs="Arial"/>
                <w:b/>
                <w:sz w:val="18"/>
                <w:szCs w:val="18"/>
                <w:lang w:val="es-ES_tradnl"/>
              </w:rPr>
            </w:pPr>
            <w:r w:rsidRPr="000557BB">
              <w:rPr>
                <w:rFonts w:ascii="Arial" w:hAnsi="Arial" w:cs="Arial"/>
                <w:b/>
                <w:sz w:val="18"/>
                <w:szCs w:val="18"/>
                <w:lang w:val="es-ES_tradnl"/>
              </w:rPr>
              <w:t>TOTAL PÉRDIDAS DE APROPIACIÓN</w:t>
            </w:r>
          </w:p>
        </w:tc>
        <w:tc>
          <w:tcPr>
            <w:tcW w:w="2040" w:type="dxa"/>
          </w:tcPr>
          <w:p w14:paraId="69A95AA0" w14:textId="77777777" w:rsidR="007E2F9F" w:rsidRPr="000557BB" w:rsidRDefault="007E2F9F" w:rsidP="006548F8">
            <w:pPr>
              <w:pStyle w:val="Prrafodelista"/>
              <w:ind w:left="0"/>
              <w:jc w:val="right"/>
              <w:rPr>
                <w:rFonts w:ascii="Arial" w:hAnsi="Arial" w:cs="Arial"/>
                <w:b/>
                <w:sz w:val="18"/>
                <w:szCs w:val="18"/>
                <w:u w:val="single"/>
              </w:rPr>
            </w:pPr>
            <w:r w:rsidRPr="000557BB">
              <w:rPr>
                <w:rFonts w:ascii="Arial" w:eastAsia="Calibri" w:hAnsi="Arial" w:cs="Arial"/>
                <w:b/>
                <w:lang w:val="es-CO"/>
              </w:rPr>
              <w:t>2.882.838</w:t>
            </w:r>
          </w:p>
        </w:tc>
        <w:tc>
          <w:tcPr>
            <w:tcW w:w="2040" w:type="dxa"/>
          </w:tcPr>
          <w:p w14:paraId="21069F5E" w14:textId="77777777" w:rsidR="007E2F9F" w:rsidRPr="000557BB" w:rsidRDefault="007E2F9F" w:rsidP="006548F8">
            <w:pPr>
              <w:pStyle w:val="Prrafodelista"/>
              <w:ind w:left="0"/>
              <w:jc w:val="right"/>
              <w:rPr>
                <w:rFonts w:ascii="Arial" w:hAnsi="Arial" w:cs="Arial"/>
                <w:b/>
                <w:sz w:val="18"/>
                <w:szCs w:val="18"/>
                <w:u w:val="single"/>
              </w:rPr>
            </w:pPr>
            <w:r w:rsidRPr="000557BB">
              <w:rPr>
                <w:rFonts w:ascii="Arial" w:eastAsia="Calibri" w:hAnsi="Arial" w:cs="Arial"/>
                <w:b/>
                <w:lang w:val="es-CO"/>
              </w:rPr>
              <w:t>2.876.937</w:t>
            </w:r>
          </w:p>
        </w:tc>
        <w:tc>
          <w:tcPr>
            <w:tcW w:w="2249" w:type="dxa"/>
          </w:tcPr>
          <w:p w14:paraId="161C9A90" w14:textId="77777777" w:rsidR="007E2F9F" w:rsidRPr="000557BB" w:rsidRDefault="007E2F9F" w:rsidP="006548F8">
            <w:pPr>
              <w:pStyle w:val="Prrafodelista"/>
              <w:ind w:left="0"/>
              <w:jc w:val="right"/>
              <w:rPr>
                <w:rFonts w:ascii="Arial" w:hAnsi="Arial" w:cs="Arial"/>
                <w:b/>
                <w:sz w:val="18"/>
                <w:szCs w:val="18"/>
                <w:u w:val="single"/>
              </w:rPr>
            </w:pPr>
            <w:r w:rsidRPr="000557BB">
              <w:rPr>
                <w:rFonts w:ascii="Arial" w:hAnsi="Arial" w:cs="Arial"/>
                <w:b/>
                <w:u w:val="single"/>
              </w:rPr>
              <w:t>5.901</w:t>
            </w:r>
          </w:p>
        </w:tc>
      </w:tr>
    </w:tbl>
    <w:p w14:paraId="709A0629" w14:textId="77777777" w:rsidR="007E2F9F" w:rsidRDefault="007E2F9F" w:rsidP="007E2F9F">
      <w:pPr>
        <w:ind w:left="-284" w:right="-234"/>
        <w:jc w:val="both"/>
        <w:rPr>
          <w:rFonts w:ascii="Arial" w:hAnsi="Arial" w:cs="Arial"/>
          <w:b/>
          <w:bCs/>
          <w:sz w:val="28"/>
          <w:szCs w:val="28"/>
        </w:rPr>
      </w:pPr>
    </w:p>
    <w:p w14:paraId="5FEB4070" w14:textId="77777777" w:rsidR="007E2F9F" w:rsidRPr="00F95C93" w:rsidRDefault="007E2F9F" w:rsidP="007E2F9F">
      <w:pPr>
        <w:ind w:left="-284"/>
        <w:jc w:val="both"/>
        <w:rPr>
          <w:rFonts w:ascii="Arial" w:hAnsi="Arial" w:cs="Arial"/>
          <w:b/>
          <w:sz w:val="28"/>
          <w:szCs w:val="28"/>
          <w:lang w:val="es-MX"/>
        </w:rPr>
      </w:pPr>
      <w:r w:rsidRPr="00F95C93">
        <w:rPr>
          <w:rFonts w:ascii="Arial" w:hAnsi="Arial" w:cs="Arial"/>
          <w:b/>
          <w:sz w:val="28"/>
          <w:szCs w:val="28"/>
          <w:lang w:val="es-MX"/>
        </w:rPr>
        <w:t>51.- INSTITUTO GEOGRÁFICO AGUSTIN CODAZZI - IGAC.</w:t>
      </w:r>
    </w:p>
    <w:p w14:paraId="5F13F81B" w14:textId="77777777" w:rsidR="007E2F9F" w:rsidRDefault="007E2F9F" w:rsidP="007E2F9F">
      <w:pPr>
        <w:ind w:left="-284" w:right="-234"/>
        <w:jc w:val="both"/>
        <w:rPr>
          <w:rFonts w:ascii="Arial" w:hAnsi="Arial" w:cs="Arial"/>
          <w:b/>
          <w:bCs/>
          <w:sz w:val="28"/>
          <w:szCs w:val="28"/>
        </w:rPr>
      </w:pPr>
    </w:p>
    <w:p w14:paraId="1C220179"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5F9F3461"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79A95AA1"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1E51F5" w14:paraId="08F5E6BA" w14:textId="77777777" w:rsidTr="006548F8">
        <w:tc>
          <w:tcPr>
            <w:tcW w:w="4161" w:type="dxa"/>
          </w:tcPr>
          <w:p w14:paraId="7106DA2E" w14:textId="77777777" w:rsidR="007E2F9F" w:rsidRPr="001E51F5" w:rsidRDefault="007E2F9F" w:rsidP="006548F8">
            <w:pPr>
              <w:ind w:left="1169" w:right="-1440"/>
              <w:rPr>
                <w:rFonts w:ascii="Arial" w:hAnsi="Arial" w:cs="Arial"/>
                <w:b/>
                <w:sz w:val="18"/>
                <w:szCs w:val="18"/>
                <w:lang w:val="es-ES_tradnl"/>
              </w:rPr>
            </w:pPr>
            <w:r w:rsidRPr="001E51F5">
              <w:rPr>
                <w:rFonts w:ascii="Arial" w:hAnsi="Arial" w:cs="Arial"/>
                <w:b/>
                <w:sz w:val="18"/>
                <w:szCs w:val="18"/>
                <w:lang w:val="es-ES_tradnl"/>
              </w:rPr>
              <w:t>TIPO DE GASTO</w:t>
            </w:r>
          </w:p>
        </w:tc>
        <w:tc>
          <w:tcPr>
            <w:tcW w:w="2040" w:type="dxa"/>
          </w:tcPr>
          <w:p w14:paraId="2EED151E" w14:textId="77777777" w:rsidR="007E2F9F" w:rsidRPr="001E51F5" w:rsidRDefault="007E2F9F" w:rsidP="006548F8">
            <w:pPr>
              <w:jc w:val="center"/>
              <w:rPr>
                <w:rFonts w:ascii="Arial" w:hAnsi="Arial" w:cs="Arial"/>
                <w:b/>
                <w:sz w:val="18"/>
                <w:szCs w:val="18"/>
                <w:lang w:val="es-ES_tradnl"/>
              </w:rPr>
            </w:pPr>
            <w:r w:rsidRPr="001E51F5">
              <w:rPr>
                <w:rFonts w:ascii="Arial" w:hAnsi="Arial" w:cs="Arial"/>
                <w:b/>
                <w:sz w:val="18"/>
                <w:szCs w:val="18"/>
                <w:lang w:val="es-ES_tradnl"/>
              </w:rPr>
              <w:t>APROPIACIÓN</w:t>
            </w:r>
          </w:p>
          <w:p w14:paraId="584FE3DB" w14:textId="77777777" w:rsidR="007E2F9F" w:rsidRPr="001E51F5" w:rsidRDefault="007E2F9F" w:rsidP="006548F8">
            <w:pPr>
              <w:jc w:val="center"/>
              <w:rPr>
                <w:rFonts w:ascii="Arial" w:hAnsi="Arial" w:cs="Arial"/>
                <w:b/>
                <w:sz w:val="18"/>
                <w:szCs w:val="18"/>
                <w:lang w:val="es-ES_tradnl"/>
              </w:rPr>
            </w:pPr>
            <w:r w:rsidRPr="001E51F5">
              <w:rPr>
                <w:rFonts w:ascii="Arial" w:hAnsi="Arial" w:cs="Arial"/>
                <w:b/>
                <w:sz w:val="18"/>
                <w:szCs w:val="18"/>
                <w:lang w:val="es-ES_tradnl"/>
              </w:rPr>
              <w:t>DEFINITIVA</w:t>
            </w:r>
          </w:p>
          <w:p w14:paraId="0BE53F19" w14:textId="77777777" w:rsidR="007E2F9F" w:rsidRPr="001E51F5" w:rsidRDefault="007E2F9F" w:rsidP="006548F8">
            <w:pPr>
              <w:jc w:val="center"/>
              <w:rPr>
                <w:rFonts w:ascii="Arial" w:hAnsi="Arial" w:cs="Arial"/>
                <w:b/>
                <w:sz w:val="18"/>
                <w:szCs w:val="18"/>
                <w:lang w:val="es-ES_tradnl"/>
              </w:rPr>
            </w:pPr>
            <w:r w:rsidRPr="001E51F5">
              <w:rPr>
                <w:rFonts w:ascii="Arial" w:hAnsi="Arial" w:cs="Arial"/>
                <w:b/>
                <w:sz w:val="18"/>
                <w:szCs w:val="18"/>
                <w:lang w:val="es-ES_tradnl"/>
              </w:rPr>
              <w:t>(1)</w:t>
            </w:r>
          </w:p>
          <w:p w14:paraId="74B26331" w14:textId="77777777" w:rsidR="007E2F9F" w:rsidRPr="001E51F5" w:rsidRDefault="007E2F9F" w:rsidP="006548F8">
            <w:pPr>
              <w:jc w:val="center"/>
              <w:rPr>
                <w:rFonts w:ascii="Arial" w:hAnsi="Arial" w:cs="Arial"/>
                <w:b/>
                <w:sz w:val="18"/>
                <w:szCs w:val="18"/>
                <w:lang w:val="es-ES_tradnl"/>
              </w:rPr>
            </w:pPr>
          </w:p>
        </w:tc>
        <w:tc>
          <w:tcPr>
            <w:tcW w:w="2040" w:type="dxa"/>
          </w:tcPr>
          <w:p w14:paraId="7A944915" w14:textId="77777777" w:rsidR="007E2F9F" w:rsidRPr="001E51F5" w:rsidRDefault="007E2F9F" w:rsidP="006548F8">
            <w:pPr>
              <w:ind w:left="145" w:right="184"/>
              <w:jc w:val="center"/>
              <w:rPr>
                <w:rFonts w:ascii="Arial" w:hAnsi="Arial" w:cs="Arial"/>
                <w:b/>
                <w:sz w:val="18"/>
                <w:szCs w:val="18"/>
                <w:lang w:val="es-ES_tradnl"/>
              </w:rPr>
            </w:pPr>
            <w:r w:rsidRPr="001E51F5">
              <w:rPr>
                <w:rFonts w:ascii="Arial" w:hAnsi="Arial" w:cs="Arial"/>
                <w:b/>
                <w:sz w:val="18"/>
                <w:szCs w:val="18"/>
                <w:lang w:val="es-ES_tradnl"/>
              </w:rPr>
              <w:t>EJECUCIÓN</w:t>
            </w:r>
          </w:p>
          <w:p w14:paraId="25C49541" w14:textId="77777777" w:rsidR="007E2F9F" w:rsidRPr="001E51F5" w:rsidRDefault="007E2F9F" w:rsidP="006548F8">
            <w:pPr>
              <w:ind w:right="34"/>
              <w:jc w:val="center"/>
              <w:rPr>
                <w:rFonts w:ascii="Arial" w:hAnsi="Arial" w:cs="Arial"/>
                <w:b/>
                <w:sz w:val="18"/>
                <w:szCs w:val="18"/>
                <w:lang w:val="es-ES_tradnl"/>
              </w:rPr>
            </w:pPr>
            <w:r w:rsidRPr="001E51F5">
              <w:rPr>
                <w:rFonts w:ascii="Arial" w:hAnsi="Arial" w:cs="Arial"/>
                <w:b/>
                <w:sz w:val="18"/>
                <w:szCs w:val="18"/>
                <w:lang w:val="es-ES_tradnl"/>
              </w:rPr>
              <w:t>COMPROMISOS</w:t>
            </w:r>
          </w:p>
          <w:p w14:paraId="019EA460" w14:textId="77777777" w:rsidR="007E2F9F" w:rsidRPr="001E51F5" w:rsidRDefault="007E2F9F" w:rsidP="006548F8">
            <w:pPr>
              <w:ind w:right="34"/>
              <w:jc w:val="center"/>
              <w:rPr>
                <w:rFonts w:ascii="Arial" w:hAnsi="Arial" w:cs="Arial"/>
                <w:b/>
                <w:sz w:val="18"/>
                <w:szCs w:val="18"/>
                <w:lang w:val="es-ES_tradnl"/>
              </w:rPr>
            </w:pPr>
            <w:r w:rsidRPr="001E51F5">
              <w:rPr>
                <w:rFonts w:ascii="Arial" w:hAnsi="Arial" w:cs="Arial"/>
                <w:b/>
                <w:sz w:val="18"/>
                <w:szCs w:val="18"/>
                <w:lang w:val="es-ES_tradnl"/>
              </w:rPr>
              <w:t>(2)</w:t>
            </w:r>
          </w:p>
        </w:tc>
        <w:tc>
          <w:tcPr>
            <w:tcW w:w="2249" w:type="dxa"/>
          </w:tcPr>
          <w:p w14:paraId="3E14AE79" w14:textId="77777777" w:rsidR="007E2F9F" w:rsidRPr="001E51F5" w:rsidRDefault="007E2F9F" w:rsidP="006548F8">
            <w:pPr>
              <w:ind w:left="25" w:right="34"/>
              <w:jc w:val="center"/>
              <w:rPr>
                <w:rFonts w:ascii="Arial" w:hAnsi="Arial" w:cs="Arial"/>
                <w:b/>
                <w:sz w:val="18"/>
                <w:szCs w:val="18"/>
                <w:lang w:val="es-ES_tradnl"/>
              </w:rPr>
            </w:pPr>
            <w:r w:rsidRPr="001E51F5">
              <w:rPr>
                <w:rFonts w:ascii="Arial" w:hAnsi="Arial" w:cs="Arial"/>
                <w:b/>
                <w:sz w:val="18"/>
                <w:szCs w:val="18"/>
                <w:lang w:val="es-ES_tradnl"/>
              </w:rPr>
              <w:t>PÉRDIDAS DE</w:t>
            </w:r>
          </w:p>
          <w:p w14:paraId="3A762942" w14:textId="77777777" w:rsidR="007E2F9F" w:rsidRPr="001E51F5" w:rsidRDefault="007E2F9F" w:rsidP="006548F8">
            <w:pPr>
              <w:ind w:right="34"/>
              <w:jc w:val="center"/>
              <w:rPr>
                <w:rFonts w:ascii="Arial" w:hAnsi="Arial" w:cs="Arial"/>
                <w:b/>
                <w:sz w:val="18"/>
                <w:szCs w:val="18"/>
                <w:lang w:val="es-ES_tradnl"/>
              </w:rPr>
            </w:pPr>
            <w:r w:rsidRPr="001E51F5">
              <w:rPr>
                <w:rFonts w:ascii="Arial" w:hAnsi="Arial" w:cs="Arial"/>
                <w:b/>
                <w:sz w:val="18"/>
                <w:szCs w:val="18"/>
                <w:lang w:val="es-ES_tradnl"/>
              </w:rPr>
              <w:t>APROPIACIÓN</w:t>
            </w:r>
          </w:p>
          <w:p w14:paraId="62198AFD" w14:textId="77777777" w:rsidR="007E2F9F" w:rsidRPr="001E51F5" w:rsidRDefault="007E2F9F" w:rsidP="006548F8">
            <w:pPr>
              <w:ind w:right="34"/>
              <w:jc w:val="center"/>
              <w:rPr>
                <w:rFonts w:ascii="Arial" w:hAnsi="Arial" w:cs="Arial"/>
                <w:b/>
                <w:sz w:val="18"/>
                <w:szCs w:val="18"/>
                <w:lang w:val="es-ES_tradnl"/>
              </w:rPr>
            </w:pPr>
            <w:r w:rsidRPr="001E51F5">
              <w:rPr>
                <w:rFonts w:ascii="Arial" w:hAnsi="Arial" w:cs="Arial"/>
                <w:b/>
                <w:sz w:val="18"/>
                <w:szCs w:val="18"/>
                <w:lang w:val="es-ES_tradnl"/>
              </w:rPr>
              <w:t>3 = (1-2)</w:t>
            </w:r>
          </w:p>
        </w:tc>
      </w:tr>
      <w:tr w:rsidR="007E2F9F" w:rsidRPr="001E51F5" w14:paraId="536C0D8A" w14:textId="77777777" w:rsidTr="006548F8">
        <w:trPr>
          <w:trHeight w:val="230"/>
        </w:trPr>
        <w:tc>
          <w:tcPr>
            <w:tcW w:w="4161" w:type="dxa"/>
          </w:tcPr>
          <w:p w14:paraId="5CA126BD" w14:textId="77777777" w:rsidR="007E2F9F" w:rsidRPr="001E51F5" w:rsidRDefault="007E2F9F" w:rsidP="006548F8">
            <w:pPr>
              <w:ind w:right="-1440"/>
              <w:jc w:val="both"/>
              <w:rPr>
                <w:rFonts w:ascii="Arial" w:hAnsi="Arial" w:cs="Arial"/>
                <w:b/>
                <w:sz w:val="18"/>
                <w:szCs w:val="18"/>
                <w:lang w:val="es-ES_tradnl"/>
              </w:rPr>
            </w:pPr>
            <w:r w:rsidRPr="001E51F5">
              <w:rPr>
                <w:rFonts w:ascii="Arial" w:hAnsi="Arial" w:cs="Arial"/>
                <w:b/>
                <w:sz w:val="18"/>
                <w:szCs w:val="18"/>
                <w:lang w:val="es-ES_tradnl"/>
              </w:rPr>
              <w:t>FUNCIONAMIENTO</w:t>
            </w:r>
          </w:p>
        </w:tc>
        <w:tc>
          <w:tcPr>
            <w:tcW w:w="2040" w:type="dxa"/>
          </w:tcPr>
          <w:p w14:paraId="2D581134" w14:textId="77777777" w:rsidR="007E2F9F" w:rsidRPr="001E51F5" w:rsidRDefault="007E2F9F" w:rsidP="006548F8">
            <w:pPr>
              <w:jc w:val="right"/>
              <w:rPr>
                <w:rFonts w:ascii="Arial" w:eastAsia="Calibri" w:hAnsi="Arial" w:cs="Arial"/>
                <w:sz w:val="18"/>
                <w:szCs w:val="18"/>
                <w:lang w:val="es-CO"/>
              </w:rPr>
            </w:pPr>
            <w:r w:rsidRPr="001E51F5">
              <w:rPr>
                <w:rFonts w:ascii="Arial" w:eastAsia="Calibri" w:hAnsi="Arial" w:cs="Arial"/>
                <w:sz w:val="16"/>
                <w:szCs w:val="16"/>
                <w:lang w:val="es-CO"/>
              </w:rPr>
              <w:t>112.753.000</w:t>
            </w:r>
          </w:p>
        </w:tc>
        <w:tc>
          <w:tcPr>
            <w:tcW w:w="2040" w:type="dxa"/>
          </w:tcPr>
          <w:p w14:paraId="2698CAFD" w14:textId="77777777" w:rsidR="007E2F9F" w:rsidRPr="001E51F5" w:rsidRDefault="007E2F9F" w:rsidP="006548F8">
            <w:pPr>
              <w:pStyle w:val="Prrafodelista"/>
              <w:ind w:left="0"/>
              <w:jc w:val="right"/>
              <w:rPr>
                <w:rFonts w:ascii="Arial" w:hAnsi="Arial" w:cs="Arial"/>
                <w:b/>
                <w:sz w:val="18"/>
                <w:szCs w:val="18"/>
              </w:rPr>
            </w:pPr>
            <w:r w:rsidRPr="001E51F5">
              <w:rPr>
                <w:rFonts w:ascii="Arial" w:eastAsia="Calibri" w:hAnsi="Arial" w:cs="Arial"/>
                <w:sz w:val="16"/>
                <w:szCs w:val="16"/>
                <w:lang w:val="es-CO"/>
              </w:rPr>
              <w:t>105.558.639</w:t>
            </w:r>
          </w:p>
        </w:tc>
        <w:tc>
          <w:tcPr>
            <w:tcW w:w="2249" w:type="dxa"/>
          </w:tcPr>
          <w:p w14:paraId="4EB0103F" w14:textId="77777777" w:rsidR="007E2F9F" w:rsidRPr="001E51F5" w:rsidRDefault="007E2F9F" w:rsidP="006548F8">
            <w:pPr>
              <w:pStyle w:val="Prrafodelista"/>
              <w:ind w:left="0"/>
              <w:jc w:val="right"/>
              <w:rPr>
                <w:rFonts w:ascii="Arial" w:hAnsi="Arial" w:cs="Arial"/>
                <w:b/>
                <w:sz w:val="18"/>
                <w:szCs w:val="18"/>
              </w:rPr>
            </w:pPr>
            <w:r w:rsidRPr="001E51F5">
              <w:rPr>
                <w:rFonts w:ascii="Arial" w:hAnsi="Arial" w:cs="Arial"/>
                <w:b/>
                <w:sz w:val="16"/>
                <w:szCs w:val="16"/>
              </w:rPr>
              <w:t>7.194.361</w:t>
            </w:r>
          </w:p>
        </w:tc>
      </w:tr>
      <w:tr w:rsidR="007E2F9F" w:rsidRPr="001E51F5" w14:paraId="0875B590" w14:textId="77777777" w:rsidTr="006548F8">
        <w:tc>
          <w:tcPr>
            <w:tcW w:w="4161" w:type="dxa"/>
          </w:tcPr>
          <w:p w14:paraId="73503A00" w14:textId="77777777" w:rsidR="007E2F9F" w:rsidRPr="001E51F5" w:rsidRDefault="007E2F9F" w:rsidP="006548F8">
            <w:pPr>
              <w:ind w:right="-1440"/>
              <w:jc w:val="both"/>
              <w:rPr>
                <w:rFonts w:ascii="Arial" w:hAnsi="Arial" w:cs="Arial"/>
                <w:b/>
                <w:sz w:val="18"/>
                <w:szCs w:val="18"/>
                <w:lang w:val="es-ES_tradnl"/>
              </w:rPr>
            </w:pPr>
            <w:r w:rsidRPr="001E51F5">
              <w:rPr>
                <w:rFonts w:ascii="Arial" w:hAnsi="Arial" w:cs="Arial"/>
                <w:b/>
                <w:sz w:val="18"/>
                <w:szCs w:val="18"/>
                <w:lang w:val="es-ES_tradnl"/>
              </w:rPr>
              <w:t>INVERSIÓN</w:t>
            </w:r>
          </w:p>
        </w:tc>
        <w:tc>
          <w:tcPr>
            <w:tcW w:w="2040" w:type="dxa"/>
          </w:tcPr>
          <w:p w14:paraId="67CE0E27" w14:textId="77777777" w:rsidR="007E2F9F" w:rsidRPr="001E51F5" w:rsidRDefault="007E2F9F" w:rsidP="006548F8">
            <w:pPr>
              <w:pStyle w:val="Prrafodelista"/>
              <w:ind w:left="0"/>
              <w:jc w:val="right"/>
              <w:rPr>
                <w:rFonts w:ascii="Arial" w:hAnsi="Arial" w:cs="Arial"/>
                <w:b/>
                <w:sz w:val="18"/>
                <w:szCs w:val="18"/>
              </w:rPr>
            </w:pPr>
            <w:r w:rsidRPr="001E51F5">
              <w:rPr>
                <w:rFonts w:ascii="Arial" w:eastAsia="Calibri" w:hAnsi="Arial" w:cs="Arial"/>
                <w:sz w:val="16"/>
                <w:szCs w:val="16"/>
                <w:lang w:val="es-CO"/>
              </w:rPr>
              <w:t>564.868.605</w:t>
            </w:r>
          </w:p>
        </w:tc>
        <w:tc>
          <w:tcPr>
            <w:tcW w:w="2040" w:type="dxa"/>
          </w:tcPr>
          <w:p w14:paraId="6701ED9E" w14:textId="77777777" w:rsidR="007E2F9F" w:rsidRPr="001E51F5" w:rsidRDefault="007E2F9F" w:rsidP="006548F8">
            <w:pPr>
              <w:pStyle w:val="Prrafodelista"/>
              <w:ind w:left="0"/>
              <w:jc w:val="right"/>
              <w:rPr>
                <w:rFonts w:ascii="Arial" w:hAnsi="Arial" w:cs="Arial"/>
                <w:b/>
                <w:sz w:val="18"/>
                <w:szCs w:val="18"/>
              </w:rPr>
            </w:pPr>
            <w:r w:rsidRPr="001E51F5">
              <w:rPr>
                <w:rFonts w:ascii="Arial" w:eastAsia="Calibri" w:hAnsi="Arial" w:cs="Arial"/>
                <w:sz w:val="16"/>
                <w:szCs w:val="16"/>
                <w:lang w:val="es-CO"/>
              </w:rPr>
              <w:t>533.789.677</w:t>
            </w:r>
          </w:p>
        </w:tc>
        <w:tc>
          <w:tcPr>
            <w:tcW w:w="2249" w:type="dxa"/>
          </w:tcPr>
          <w:p w14:paraId="5005C57A" w14:textId="77777777" w:rsidR="007E2F9F" w:rsidRPr="001E51F5" w:rsidRDefault="007E2F9F" w:rsidP="006548F8">
            <w:pPr>
              <w:pStyle w:val="Prrafodelista"/>
              <w:ind w:left="0"/>
              <w:jc w:val="right"/>
              <w:rPr>
                <w:rFonts w:ascii="Arial" w:hAnsi="Arial" w:cs="Arial"/>
                <w:b/>
                <w:sz w:val="18"/>
                <w:szCs w:val="18"/>
              </w:rPr>
            </w:pPr>
            <w:r w:rsidRPr="001E51F5">
              <w:rPr>
                <w:rFonts w:ascii="Arial" w:hAnsi="Arial" w:cs="Arial"/>
                <w:b/>
                <w:sz w:val="16"/>
                <w:szCs w:val="16"/>
              </w:rPr>
              <w:t>31.078.928</w:t>
            </w:r>
          </w:p>
        </w:tc>
      </w:tr>
      <w:tr w:rsidR="007E2F9F" w:rsidRPr="001E51F5" w14:paraId="5D8B4B0B" w14:textId="77777777" w:rsidTr="006548F8">
        <w:tc>
          <w:tcPr>
            <w:tcW w:w="4161" w:type="dxa"/>
          </w:tcPr>
          <w:p w14:paraId="26C2F96E" w14:textId="77777777" w:rsidR="007E2F9F" w:rsidRPr="001E51F5" w:rsidRDefault="007E2F9F" w:rsidP="006548F8">
            <w:pPr>
              <w:ind w:right="-1440"/>
              <w:jc w:val="both"/>
              <w:rPr>
                <w:rFonts w:ascii="Arial" w:hAnsi="Arial" w:cs="Arial"/>
                <w:b/>
                <w:sz w:val="18"/>
                <w:szCs w:val="18"/>
                <w:lang w:val="es-ES_tradnl"/>
              </w:rPr>
            </w:pPr>
            <w:r w:rsidRPr="001E51F5">
              <w:rPr>
                <w:rFonts w:ascii="Arial" w:hAnsi="Arial" w:cs="Arial"/>
                <w:b/>
                <w:sz w:val="18"/>
                <w:szCs w:val="18"/>
                <w:lang w:val="es-ES_tradnl"/>
              </w:rPr>
              <w:t>TOTAL PÉRDIDAS DE APROPIACIÓN</w:t>
            </w:r>
          </w:p>
        </w:tc>
        <w:tc>
          <w:tcPr>
            <w:tcW w:w="2040" w:type="dxa"/>
          </w:tcPr>
          <w:p w14:paraId="20E7B992" w14:textId="77777777" w:rsidR="007E2F9F" w:rsidRPr="001E51F5" w:rsidRDefault="007E2F9F" w:rsidP="006548F8">
            <w:pPr>
              <w:pStyle w:val="Prrafodelista"/>
              <w:ind w:left="0"/>
              <w:jc w:val="right"/>
              <w:rPr>
                <w:rFonts w:ascii="Arial" w:hAnsi="Arial" w:cs="Arial"/>
                <w:b/>
                <w:sz w:val="18"/>
                <w:szCs w:val="18"/>
                <w:u w:val="single"/>
              </w:rPr>
            </w:pPr>
            <w:r w:rsidRPr="001E51F5">
              <w:rPr>
                <w:rFonts w:ascii="Arial" w:eastAsia="Calibri" w:hAnsi="Arial" w:cs="Arial"/>
                <w:b/>
                <w:sz w:val="16"/>
                <w:szCs w:val="16"/>
                <w:lang w:val="es-CO"/>
              </w:rPr>
              <w:t>677.621.605</w:t>
            </w:r>
          </w:p>
        </w:tc>
        <w:tc>
          <w:tcPr>
            <w:tcW w:w="2040" w:type="dxa"/>
          </w:tcPr>
          <w:p w14:paraId="74C6C9E3" w14:textId="77777777" w:rsidR="007E2F9F" w:rsidRPr="001E51F5" w:rsidRDefault="007E2F9F" w:rsidP="006548F8">
            <w:pPr>
              <w:pStyle w:val="Prrafodelista"/>
              <w:ind w:left="0"/>
              <w:jc w:val="right"/>
              <w:rPr>
                <w:rFonts w:ascii="Arial" w:hAnsi="Arial" w:cs="Arial"/>
                <w:b/>
                <w:sz w:val="18"/>
                <w:szCs w:val="18"/>
                <w:u w:val="single"/>
              </w:rPr>
            </w:pPr>
            <w:r w:rsidRPr="001E51F5">
              <w:rPr>
                <w:rFonts w:ascii="Arial" w:eastAsia="Calibri" w:hAnsi="Arial" w:cs="Arial"/>
                <w:b/>
                <w:sz w:val="16"/>
                <w:szCs w:val="16"/>
                <w:lang w:val="es-CO"/>
              </w:rPr>
              <w:t>639.348.316</w:t>
            </w:r>
          </w:p>
        </w:tc>
        <w:tc>
          <w:tcPr>
            <w:tcW w:w="2249" w:type="dxa"/>
          </w:tcPr>
          <w:p w14:paraId="093BFDFB" w14:textId="77777777" w:rsidR="007E2F9F" w:rsidRPr="001E51F5" w:rsidRDefault="007E2F9F" w:rsidP="006548F8">
            <w:pPr>
              <w:pStyle w:val="Prrafodelista"/>
              <w:ind w:left="0"/>
              <w:jc w:val="right"/>
              <w:rPr>
                <w:rFonts w:ascii="Arial" w:hAnsi="Arial" w:cs="Arial"/>
                <w:b/>
                <w:sz w:val="18"/>
                <w:szCs w:val="18"/>
                <w:u w:val="single"/>
              </w:rPr>
            </w:pPr>
            <w:r w:rsidRPr="001E51F5">
              <w:rPr>
                <w:rFonts w:ascii="Arial" w:hAnsi="Arial" w:cs="Arial"/>
                <w:b/>
                <w:sz w:val="16"/>
                <w:szCs w:val="16"/>
                <w:u w:val="single"/>
              </w:rPr>
              <w:t>38.273.289</w:t>
            </w:r>
          </w:p>
        </w:tc>
      </w:tr>
    </w:tbl>
    <w:p w14:paraId="43CABC10" w14:textId="77777777" w:rsidR="007E2F9F" w:rsidRDefault="007E2F9F" w:rsidP="007E2F9F">
      <w:pPr>
        <w:ind w:left="-284" w:right="-234"/>
        <w:jc w:val="both"/>
        <w:rPr>
          <w:rFonts w:ascii="Arial" w:hAnsi="Arial" w:cs="Arial"/>
          <w:b/>
          <w:bCs/>
          <w:sz w:val="28"/>
          <w:szCs w:val="28"/>
        </w:rPr>
      </w:pPr>
    </w:p>
    <w:p w14:paraId="539D8E33" w14:textId="77777777" w:rsidR="007E2F9F" w:rsidRPr="006B62EF" w:rsidRDefault="007E2F9F" w:rsidP="007E2F9F">
      <w:pPr>
        <w:ind w:left="-284"/>
        <w:jc w:val="both"/>
        <w:rPr>
          <w:rFonts w:ascii="Arial" w:hAnsi="Arial" w:cs="Arial"/>
          <w:b/>
          <w:sz w:val="28"/>
          <w:szCs w:val="28"/>
          <w:lang w:val="es-MX"/>
        </w:rPr>
      </w:pPr>
      <w:r w:rsidRPr="006B62EF">
        <w:rPr>
          <w:rFonts w:ascii="Arial" w:hAnsi="Arial" w:cs="Arial"/>
          <w:b/>
          <w:sz w:val="28"/>
          <w:szCs w:val="28"/>
          <w:lang w:val="es-MX"/>
        </w:rPr>
        <w:t>52.- CLUB MILITAR DE OFICIALES.</w:t>
      </w:r>
    </w:p>
    <w:p w14:paraId="5E6512F1" w14:textId="77777777" w:rsidR="007E2F9F" w:rsidRDefault="007E2F9F" w:rsidP="007E2F9F">
      <w:pPr>
        <w:ind w:left="-284" w:right="-234"/>
        <w:jc w:val="both"/>
        <w:rPr>
          <w:rFonts w:ascii="Arial" w:hAnsi="Arial" w:cs="Arial"/>
          <w:b/>
          <w:bCs/>
          <w:sz w:val="28"/>
          <w:szCs w:val="28"/>
        </w:rPr>
      </w:pPr>
    </w:p>
    <w:p w14:paraId="66948E47"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C2314C1"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8E01D96"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E655BB" w14:paraId="1DCE0CE7" w14:textId="77777777" w:rsidTr="006548F8">
        <w:tc>
          <w:tcPr>
            <w:tcW w:w="4161" w:type="dxa"/>
          </w:tcPr>
          <w:p w14:paraId="68DBC580" w14:textId="77777777" w:rsidR="007E2F9F" w:rsidRPr="00E655BB" w:rsidRDefault="007E2F9F" w:rsidP="006548F8">
            <w:pPr>
              <w:ind w:left="1169" w:right="-1440"/>
              <w:rPr>
                <w:rFonts w:ascii="Arial" w:hAnsi="Arial" w:cs="Arial"/>
                <w:b/>
                <w:sz w:val="18"/>
                <w:szCs w:val="18"/>
                <w:lang w:val="es-ES_tradnl"/>
              </w:rPr>
            </w:pPr>
            <w:r w:rsidRPr="00E655BB">
              <w:rPr>
                <w:rFonts w:ascii="Arial" w:hAnsi="Arial" w:cs="Arial"/>
                <w:b/>
                <w:sz w:val="18"/>
                <w:szCs w:val="18"/>
                <w:lang w:val="es-ES_tradnl"/>
              </w:rPr>
              <w:t>TIPO DE GASTO</w:t>
            </w:r>
          </w:p>
        </w:tc>
        <w:tc>
          <w:tcPr>
            <w:tcW w:w="2040" w:type="dxa"/>
          </w:tcPr>
          <w:p w14:paraId="5234C0AD" w14:textId="77777777" w:rsidR="007E2F9F" w:rsidRPr="00E655BB" w:rsidRDefault="007E2F9F" w:rsidP="006548F8">
            <w:pPr>
              <w:jc w:val="center"/>
              <w:rPr>
                <w:rFonts w:ascii="Arial" w:hAnsi="Arial" w:cs="Arial"/>
                <w:b/>
                <w:sz w:val="18"/>
                <w:szCs w:val="18"/>
                <w:lang w:val="es-ES_tradnl"/>
              </w:rPr>
            </w:pPr>
            <w:r w:rsidRPr="00E655BB">
              <w:rPr>
                <w:rFonts w:ascii="Arial" w:hAnsi="Arial" w:cs="Arial"/>
                <w:b/>
                <w:sz w:val="18"/>
                <w:szCs w:val="18"/>
                <w:lang w:val="es-ES_tradnl"/>
              </w:rPr>
              <w:t>APROPIACIÓN</w:t>
            </w:r>
          </w:p>
          <w:p w14:paraId="4CD08C61" w14:textId="77777777" w:rsidR="007E2F9F" w:rsidRPr="00E655BB" w:rsidRDefault="007E2F9F" w:rsidP="006548F8">
            <w:pPr>
              <w:jc w:val="center"/>
              <w:rPr>
                <w:rFonts w:ascii="Arial" w:hAnsi="Arial" w:cs="Arial"/>
                <w:b/>
                <w:sz w:val="18"/>
                <w:szCs w:val="18"/>
                <w:lang w:val="es-ES_tradnl"/>
              </w:rPr>
            </w:pPr>
            <w:r w:rsidRPr="00E655BB">
              <w:rPr>
                <w:rFonts w:ascii="Arial" w:hAnsi="Arial" w:cs="Arial"/>
                <w:b/>
                <w:sz w:val="18"/>
                <w:szCs w:val="18"/>
                <w:lang w:val="es-ES_tradnl"/>
              </w:rPr>
              <w:t>DEFINITIVA</w:t>
            </w:r>
          </w:p>
          <w:p w14:paraId="77A655C7" w14:textId="77777777" w:rsidR="007E2F9F" w:rsidRPr="00E655BB" w:rsidRDefault="007E2F9F" w:rsidP="006548F8">
            <w:pPr>
              <w:jc w:val="center"/>
              <w:rPr>
                <w:rFonts w:ascii="Arial" w:hAnsi="Arial" w:cs="Arial"/>
                <w:b/>
                <w:sz w:val="18"/>
                <w:szCs w:val="18"/>
                <w:lang w:val="es-ES_tradnl"/>
              </w:rPr>
            </w:pPr>
            <w:r w:rsidRPr="00E655BB">
              <w:rPr>
                <w:rFonts w:ascii="Arial" w:hAnsi="Arial" w:cs="Arial"/>
                <w:b/>
                <w:sz w:val="18"/>
                <w:szCs w:val="18"/>
                <w:lang w:val="es-ES_tradnl"/>
              </w:rPr>
              <w:t>(1)</w:t>
            </w:r>
          </w:p>
          <w:p w14:paraId="4335ACC0" w14:textId="77777777" w:rsidR="007E2F9F" w:rsidRPr="00E655BB" w:rsidRDefault="007E2F9F" w:rsidP="006548F8">
            <w:pPr>
              <w:jc w:val="center"/>
              <w:rPr>
                <w:rFonts w:ascii="Arial" w:hAnsi="Arial" w:cs="Arial"/>
                <w:b/>
                <w:sz w:val="18"/>
                <w:szCs w:val="18"/>
                <w:lang w:val="es-ES_tradnl"/>
              </w:rPr>
            </w:pPr>
          </w:p>
        </w:tc>
        <w:tc>
          <w:tcPr>
            <w:tcW w:w="2040" w:type="dxa"/>
          </w:tcPr>
          <w:p w14:paraId="7D312C85" w14:textId="77777777" w:rsidR="007E2F9F" w:rsidRPr="00E655BB" w:rsidRDefault="007E2F9F" w:rsidP="006548F8">
            <w:pPr>
              <w:ind w:left="145" w:right="184"/>
              <w:jc w:val="center"/>
              <w:rPr>
                <w:rFonts w:ascii="Arial" w:hAnsi="Arial" w:cs="Arial"/>
                <w:b/>
                <w:sz w:val="18"/>
                <w:szCs w:val="18"/>
                <w:lang w:val="es-ES_tradnl"/>
              </w:rPr>
            </w:pPr>
            <w:r w:rsidRPr="00E655BB">
              <w:rPr>
                <w:rFonts w:ascii="Arial" w:hAnsi="Arial" w:cs="Arial"/>
                <w:b/>
                <w:sz w:val="18"/>
                <w:szCs w:val="18"/>
                <w:lang w:val="es-ES_tradnl"/>
              </w:rPr>
              <w:t>EJECUCIÓN</w:t>
            </w:r>
          </w:p>
          <w:p w14:paraId="6285E44C" w14:textId="77777777" w:rsidR="007E2F9F" w:rsidRPr="00E655BB" w:rsidRDefault="007E2F9F" w:rsidP="006548F8">
            <w:pPr>
              <w:ind w:right="34"/>
              <w:jc w:val="center"/>
              <w:rPr>
                <w:rFonts w:ascii="Arial" w:hAnsi="Arial" w:cs="Arial"/>
                <w:b/>
                <w:sz w:val="18"/>
                <w:szCs w:val="18"/>
                <w:lang w:val="es-ES_tradnl"/>
              </w:rPr>
            </w:pPr>
            <w:r w:rsidRPr="00E655BB">
              <w:rPr>
                <w:rFonts w:ascii="Arial" w:hAnsi="Arial" w:cs="Arial"/>
                <w:b/>
                <w:sz w:val="18"/>
                <w:szCs w:val="18"/>
                <w:lang w:val="es-ES_tradnl"/>
              </w:rPr>
              <w:t>COMPROMISOS</w:t>
            </w:r>
          </w:p>
          <w:p w14:paraId="45942CB9" w14:textId="77777777" w:rsidR="007E2F9F" w:rsidRPr="00E655BB" w:rsidRDefault="007E2F9F" w:rsidP="006548F8">
            <w:pPr>
              <w:ind w:right="34"/>
              <w:jc w:val="center"/>
              <w:rPr>
                <w:rFonts w:ascii="Arial" w:hAnsi="Arial" w:cs="Arial"/>
                <w:b/>
                <w:sz w:val="18"/>
                <w:szCs w:val="18"/>
                <w:lang w:val="es-ES_tradnl"/>
              </w:rPr>
            </w:pPr>
            <w:r w:rsidRPr="00E655BB">
              <w:rPr>
                <w:rFonts w:ascii="Arial" w:hAnsi="Arial" w:cs="Arial"/>
                <w:b/>
                <w:sz w:val="18"/>
                <w:szCs w:val="18"/>
                <w:lang w:val="es-ES_tradnl"/>
              </w:rPr>
              <w:t>(2)</w:t>
            </w:r>
          </w:p>
        </w:tc>
        <w:tc>
          <w:tcPr>
            <w:tcW w:w="2249" w:type="dxa"/>
          </w:tcPr>
          <w:p w14:paraId="60848B5F" w14:textId="77777777" w:rsidR="007E2F9F" w:rsidRPr="00E655BB" w:rsidRDefault="007E2F9F" w:rsidP="006548F8">
            <w:pPr>
              <w:ind w:left="25" w:right="34"/>
              <w:jc w:val="center"/>
              <w:rPr>
                <w:rFonts w:ascii="Arial" w:hAnsi="Arial" w:cs="Arial"/>
                <w:b/>
                <w:sz w:val="18"/>
                <w:szCs w:val="18"/>
                <w:lang w:val="es-ES_tradnl"/>
              </w:rPr>
            </w:pPr>
            <w:r w:rsidRPr="00E655BB">
              <w:rPr>
                <w:rFonts w:ascii="Arial" w:hAnsi="Arial" w:cs="Arial"/>
                <w:b/>
                <w:sz w:val="18"/>
                <w:szCs w:val="18"/>
                <w:lang w:val="es-ES_tradnl"/>
              </w:rPr>
              <w:t>PÉRDIDAS DE</w:t>
            </w:r>
          </w:p>
          <w:p w14:paraId="57E3B75E" w14:textId="77777777" w:rsidR="007E2F9F" w:rsidRPr="00E655BB" w:rsidRDefault="007E2F9F" w:rsidP="006548F8">
            <w:pPr>
              <w:ind w:right="34"/>
              <w:jc w:val="center"/>
              <w:rPr>
                <w:rFonts w:ascii="Arial" w:hAnsi="Arial" w:cs="Arial"/>
                <w:b/>
                <w:sz w:val="18"/>
                <w:szCs w:val="18"/>
                <w:lang w:val="es-ES_tradnl"/>
              </w:rPr>
            </w:pPr>
            <w:r w:rsidRPr="00E655BB">
              <w:rPr>
                <w:rFonts w:ascii="Arial" w:hAnsi="Arial" w:cs="Arial"/>
                <w:b/>
                <w:sz w:val="18"/>
                <w:szCs w:val="18"/>
                <w:lang w:val="es-ES_tradnl"/>
              </w:rPr>
              <w:t>APROPIACIÓN</w:t>
            </w:r>
          </w:p>
          <w:p w14:paraId="55FE74A7" w14:textId="77777777" w:rsidR="007E2F9F" w:rsidRPr="00E655BB" w:rsidRDefault="007E2F9F" w:rsidP="006548F8">
            <w:pPr>
              <w:ind w:right="34"/>
              <w:jc w:val="center"/>
              <w:rPr>
                <w:rFonts w:ascii="Arial" w:hAnsi="Arial" w:cs="Arial"/>
                <w:b/>
                <w:sz w:val="18"/>
                <w:szCs w:val="18"/>
                <w:lang w:val="es-ES_tradnl"/>
              </w:rPr>
            </w:pPr>
            <w:r w:rsidRPr="00E655BB">
              <w:rPr>
                <w:rFonts w:ascii="Arial" w:hAnsi="Arial" w:cs="Arial"/>
                <w:b/>
                <w:sz w:val="18"/>
                <w:szCs w:val="18"/>
                <w:lang w:val="es-ES_tradnl"/>
              </w:rPr>
              <w:t>3 = (1-2)</w:t>
            </w:r>
          </w:p>
        </w:tc>
      </w:tr>
      <w:tr w:rsidR="007E2F9F" w:rsidRPr="00E655BB" w14:paraId="7F7EDEE0" w14:textId="77777777" w:rsidTr="006548F8">
        <w:trPr>
          <w:trHeight w:val="230"/>
        </w:trPr>
        <w:tc>
          <w:tcPr>
            <w:tcW w:w="4161" w:type="dxa"/>
          </w:tcPr>
          <w:p w14:paraId="04D1B26B" w14:textId="77777777" w:rsidR="007E2F9F" w:rsidRPr="00E655BB" w:rsidRDefault="007E2F9F" w:rsidP="006548F8">
            <w:pPr>
              <w:ind w:right="-1440"/>
              <w:jc w:val="both"/>
              <w:rPr>
                <w:rFonts w:ascii="Arial" w:hAnsi="Arial" w:cs="Arial"/>
                <w:b/>
                <w:sz w:val="18"/>
                <w:szCs w:val="18"/>
                <w:lang w:val="es-ES_tradnl"/>
              </w:rPr>
            </w:pPr>
            <w:r w:rsidRPr="00E655BB">
              <w:rPr>
                <w:rFonts w:ascii="Arial" w:hAnsi="Arial" w:cs="Arial"/>
                <w:b/>
                <w:sz w:val="18"/>
                <w:szCs w:val="18"/>
                <w:lang w:val="es-ES_tradnl"/>
              </w:rPr>
              <w:t>FUNCIONAMIENTO</w:t>
            </w:r>
          </w:p>
        </w:tc>
        <w:tc>
          <w:tcPr>
            <w:tcW w:w="2040" w:type="dxa"/>
          </w:tcPr>
          <w:p w14:paraId="7BB664B2" w14:textId="77777777" w:rsidR="007E2F9F" w:rsidRPr="00E655BB" w:rsidRDefault="007E2F9F" w:rsidP="006548F8">
            <w:pPr>
              <w:jc w:val="right"/>
              <w:rPr>
                <w:rFonts w:ascii="Arial" w:eastAsia="Calibri" w:hAnsi="Arial" w:cs="Arial"/>
                <w:sz w:val="18"/>
                <w:szCs w:val="18"/>
                <w:lang w:val="es-CO"/>
              </w:rPr>
            </w:pPr>
            <w:r w:rsidRPr="00E655BB">
              <w:rPr>
                <w:rFonts w:ascii="Arial" w:eastAsia="Calibri" w:hAnsi="Arial" w:cs="Arial"/>
                <w:sz w:val="16"/>
                <w:szCs w:val="16"/>
                <w:lang w:val="es-CO"/>
              </w:rPr>
              <w:t>59.154.000</w:t>
            </w:r>
          </w:p>
        </w:tc>
        <w:tc>
          <w:tcPr>
            <w:tcW w:w="2040" w:type="dxa"/>
          </w:tcPr>
          <w:p w14:paraId="1F41F8DA" w14:textId="77777777" w:rsidR="007E2F9F" w:rsidRPr="00E655BB" w:rsidRDefault="007E2F9F" w:rsidP="006548F8">
            <w:pPr>
              <w:pStyle w:val="Prrafodelista"/>
              <w:ind w:left="0"/>
              <w:jc w:val="right"/>
              <w:rPr>
                <w:rFonts w:ascii="Arial" w:hAnsi="Arial" w:cs="Arial"/>
                <w:b/>
                <w:sz w:val="18"/>
                <w:szCs w:val="18"/>
              </w:rPr>
            </w:pPr>
            <w:r w:rsidRPr="00E655BB">
              <w:rPr>
                <w:rFonts w:ascii="Arial" w:eastAsia="Calibri" w:hAnsi="Arial" w:cs="Arial"/>
                <w:sz w:val="16"/>
                <w:szCs w:val="16"/>
                <w:lang w:val="es-CO"/>
              </w:rPr>
              <w:t>47.268.863</w:t>
            </w:r>
          </w:p>
        </w:tc>
        <w:tc>
          <w:tcPr>
            <w:tcW w:w="2249" w:type="dxa"/>
          </w:tcPr>
          <w:p w14:paraId="40F48429" w14:textId="77777777" w:rsidR="007E2F9F" w:rsidRPr="00E655BB" w:rsidRDefault="007E2F9F" w:rsidP="006548F8">
            <w:pPr>
              <w:pStyle w:val="Prrafodelista"/>
              <w:ind w:left="0"/>
              <w:jc w:val="right"/>
              <w:rPr>
                <w:rFonts w:ascii="Arial" w:hAnsi="Arial" w:cs="Arial"/>
                <w:b/>
                <w:sz w:val="18"/>
                <w:szCs w:val="18"/>
              </w:rPr>
            </w:pPr>
            <w:r w:rsidRPr="00E655BB">
              <w:rPr>
                <w:rFonts w:ascii="Arial" w:hAnsi="Arial" w:cs="Arial"/>
                <w:b/>
                <w:sz w:val="16"/>
                <w:szCs w:val="16"/>
              </w:rPr>
              <w:t>11.885.137</w:t>
            </w:r>
          </w:p>
        </w:tc>
      </w:tr>
      <w:tr w:rsidR="007E2F9F" w:rsidRPr="00E655BB" w14:paraId="695DCB1F" w14:textId="77777777" w:rsidTr="006548F8">
        <w:tc>
          <w:tcPr>
            <w:tcW w:w="4161" w:type="dxa"/>
          </w:tcPr>
          <w:p w14:paraId="41392A3E" w14:textId="77777777" w:rsidR="007E2F9F" w:rsidRPr="00E655BB" w:rsidRDefault="007E2F9F" w:rsidP="006548F8">
            <w:pPr>
              <w:ind w:right="-1440"/>
              <w:jc w:val="both"/>
              <w:rPr>
                <w:rFonts w:ascii="Arial" w:hAnsi="Arial" w:cs="Arial"/>
                <w:b/>
                <w:sz w:val="18"/>
                <w:szCs w:val="18"/>
                <w:lang w:val="es-ES_tradnl"/>
              </w:rPr>
            </w:pPr>
            <w:r w:rsidRPr="00E655BB">
              <w:rPr>
                <w:rFonts w:ascii="Arial" w:hAnsi="Arial" w:cs="Arial"/>
                <w:b/>
                <w:sz w:val="18"/>
                <w:szCs w:val="18"/>
                <w:lang w:val="es-ES_tradnl"/>
              </w:rPr>
              <w:t>INVERSIÓN</w:t>
            </w:r>
          </w:p>
        </w:tc>
        <w:tc>
          <w:tcPr>
            <w:tcW w:w="2040" w:type="dxa"/>
          </w:tcPr>
          <w:p w14:paraId="49165188" w14:textId="77777777" w:rsidR="007E2F9F" w:rsidRPr="00E655BB" w:rsidRDefault="007E2F9F" w:rsidP="006548F8">
            <w:pPr>
              <w:pStyle w:val="Prrafodelista"/>
              <w:ind w:left="0"/>
              <w:jc w:val="right"/>
              <w:rPr>
                <w:rFonts w:ascii="Arial" w:hAnsi="Arial" w:cs="Arial"/>
                <w:b/>
                <w:sz w:val="18"/>
                <w:szCs w:val="18"/>
              </w:rPr>
            </w:pPr>
            <w:r w:rsidRPr="00E655BB">
              <w:rPr>
                <w:rFonts w:ascii="Arial" w:eastAsia="Calibri" w:hAnsi="Arial" w:cs="Arial"/>
                <w:sz w:val="16"/>
                <w:szCs w:val="16"/>
                <w:lang w:val="es-CO"/>
              </w:rPr>
              <w:t>13.870.000</w:t>
            </w:r>
          </w:p>
        </w:tc>
        <w:tc>
          <w:tcPr>
            <w:tcW w:w="2040" w:type="dxa"/>
          </w:tcPr>
          <w:p w14:paraId="7842B368" w14:textId="77777777" w:rsidR="007E2F9F" w:rsidRPr="00E655BB" w:rsidRDefault="007E2F9F" w:rsidP="006548F8">
            <w:pPr>
              <w:pStyle w:val="Prrafodelista"/>
              <w:ind w:left="0"/>
              <w:jc w:val="right"/>
              <w:rPr>
                <w:rFonts w:ascii="Arial" w:hAnsi="Arial" w:cs="Arial"/>
                <w:b/>
                <w:sz w:val="18"/>
                <w:szCs w:val="18"/>
              </w:rPr>
            </w:pPr>
            <w:r w:rsidRPr="00E655BB">
              <w:rPr>
                <w:rFonts w:ascii="Arial" w:eastAsia="Calibri" w:hAnsi="Arial" w:cs="Arial"/>
                <w:sz w:val="16"/>
                <w:szCs w:val="16"/>
                <w:lang w:val="es-CO"/>
              </w:rPr>
              <w:t>13.869.957</w:t>
            </w:r>
          </w:p>
        </w:tc>
        <w:tc>
          <w:tcPr>
            <w:tcW w:w="2249" w:type="dxa"/>
          </w:tcPr>
          <w:p w14:paraId="31E9974A" w14:textId="77777777" w:rsidR="007E2F9F" w:rsidRPr="00E655BB" w:rsidRDefault="007E2F9F" w:rsidP="006548F8">
            <w:pPr>
              <w:pStyle w:val="Prrafodelista"/>
              <w:ind w:left="0"/>
              <w:jc w:val="right"/>
              <w:rPr>
                <w:rFonts w:ascii="Arial" w:hAnsi="Arial" w:cs="Arial"/>
                <w:b/>
                <w:sz w:val="18"/>
                <w:szCs w:val="18"/>
              </w:rPr>
            </w:pPr>
            <w:r w:rsidRPr="00E655BB">
              <w:rPr>
                <w:rFonts w:ascii="Arial" w:hAnsi="Arial" w:cs="Arial"/>
                <w:b/>
                <w:sz w:val="16"/>
                <w:szCs w:val="16"/>
              </w:rPr>
              <w:t>43</w:t>
            </w:r>
          </w:p>
        </w:tc>
      </w:tr>
      <w:tr w:rsidR="007E2F9F" w:rsidRPr="00E655BB" w14:paraId="78595405" w14:textId="77777777" w:rsidTr="006548F8">
        <w:tc>
          <w:tcPr>
            <w:tcW w:w="4161" w:type="dxa"/>
          </w:tcPr>
          <w:p w14:paraId="4E464AEA" w14:textId="77777777" w:rsidR="007E2F9F" w:rsidRPr="00E655BB" w:rsidRDefault="007E2F9F" w:rsidP="006548F8">
            <w:pPr>
              <w:ind w:right="-1440"/>
              <w:jc w:val="both"/>
              <w:rPr>
                <w:rFonts w:ascii="Arial" w:hAnsi="Arial" w:cs="Arial"/>
                <w:b/>
                <w:sz w:val="18"/>
                <w:szCs w:val="18"/>
                <w:lang w:val="es-ES_tradnl"/>
              </w:rPr>
            </w:pPr>
            <w:r w:rsidRPr="00E655BB">
              <w:rPr>
                <w:rFonts w:ascii="Arial" w:hAnsi="Arial" w:cs="Arial"/>
                <w:b/>
                <w:sz w:val="18"/>
                <w:szCs w:val="18"/>
                <w:lang w:val="es-ES_tradnl"/>
              </w:rPr>
              <w:t>TOTAL PÉRDIDAS DE APROPIACIÓN</w:t>
            </w:r>
          </w:p>
        </w:tc>
        <w:tc>
          <w:tcPr>
            <w:tcW w:w="2040" w:type="dxa"/>
          </w:tcPr>
          <w:p w14:paraId="79B4C700" w14:textId="77777777" w:rsidR="007E2F9F" w:rsidRPr="00E655BB" w:rsidRDefault="007E2F9F" w:rsidP="006548F8">
            <w:pPr>
              <w:pStyle w:val="Prrafodelista"/>
              <w:ind w:left="0"/>
              <w:jc w:val="right"/>
              <w:rPr>
                <w:rFonts w:ascii="Arial" w:hAnsi="Arial" w:cs="Arial"/>
                <w:b/>
                <w:sz w:val="18"/>
                <w:szCs w:val="18"/>
                <w:u w:val="single"/>
              </w:rPr>
            </w:pPr>
            <w:r w:rsidRPr="00E655BB">
              <w:rPr>
                <w:rFonts w:ascii="Arial" w:eastAsia="Calibri" w:hAnsi="Arial" w:cs="Arial"/>
                <w:b/>
                <w:sz w:val="16"/>
                <w:szCs w:val="16"/>
                <w:lang w:val="es-CO"/>
              </w:rPr>
              <w:t>73.024.000</w:t>
            </w:r>
          </w:p>
        </w:tc>
        <w:tc>
          <w:tcPr>
            <w:tcW w:w="2040" w:type="dxa"/>
          </w:tcPr>
          <w:p w14:paraId="27433C98" w14:textId="77777777" w:rsidR="007E2F9F" w:rsidRPr="00E655BB" w:rsidRDefault="007E2F9F" w:rsidP="006548F8">
            <w:pPr>
              <w:pStyle w:val="Prrafodelista"/>
              <w:ind w:left="0"/>
              <w:jc w:val="right"/>
              <w:rPr>
                <w:rFonts w:ascii="Arial" w:hAnsi="Arial" w:cs="Arial"/>
                <w:b/>
                <w:sz w:val="18"/>
                <w:szCs w:val="18"/>
                <w:u w:val="single"/>
              </w:rPr>
            </w:pPr>
            <w:r w:rsidRPr="00E655BB">
              <w:rPr>
                <w:rFonts w:ascii="Arial" w:eastAsia="Calibri" w:hAnsi="Arial" w:cs="Arial"/>
                <w:b/>
                <w:sz w:val="16"/>
                <w:szCs w:val="16"/>
                <w:lang w:val="es-CO"/>
              </w:rPr>
              <w:t>61.138.819</w:t>
            </w:r>
          </w:p>
        </w:tc>
        <w:tc>
          <w:tcPr>
            <w:tcW w:w="2249" w:type="dxa"/>
          </w:tcPr>
          <w:p w14:paraId="597854C8" w14:textId="77777777" w:rsidR="007E2F9F" w:rsidRPr="00E655BB" w:rsidRDefault="007E2F9F" w:rsidP="006548F8">
            <w:pPr>
              <w:pStyle w:val="Prrafodelista"/>
              <w:ind w:left="0"/>
              <w:jc w:val="right"/>
              <w:rPr>
                <w:rFonts w:ascii="Arial" w:hAnsi="Arial" w:cs="Arial"/>
                <w:b/>
                <w:sz w:val="18"/>
                <w:szCs w:val="18"/>
                <w:u w:val="single"/>
              </w:rPr>
            </w:pPr>
            <w:r w:rsidRPr="00E655BB">
              <w:rPr>
                <w:rFonts w:ascii="Arial" w:hAnsi="Arial" w:cs="Arial"/>
                <w:b/>
                <w:sz w:val="16"/>
                <w:szCs w:val="16"/>
                <w:u w:val="single"/>
              </w:rPr>
              <w:t>11.885.181</w:t>
            </w:r>
          </w:p>
        </w:tc>
      </w:tr>
    </w:tbl>
    <w:p w14:paraId="15F93C14" w14:textId="77777777" w:rsidR="007E2F9F" w:rsidRDefault="007E2F9F" w:rsidP="007E2F9F">
      <w:pPr>
        <w:jc w:val="both"/>
        <w:rPr>
          <w:b/>
          <w:sz w:val="28"/>
          <w:szCs w:val="28"/>
        </w:rPr>
      </w:pPr>
    </w:p>
    <w:p w14:paraId="15829346" w14:textId="77777777" w:rsidR="007E2F9F" w:rsidRPr="00615554" w:rsidRDefault="007E2F9F" w:rsidP="007E2F9F">
      <w:pPr>
        <w:ind w:left="-284"/>
        <w:jc w:val="both"/>
        <w:rPr>
          <w:rFonts w:ascii="Arial" w:hAnsi="Arial" w:cs="Arial"/>
          <w:b/>
          <w:sz w:val="28"/>
          <w:szCs w:val="28"/>
          <w:lang w:val="es-MX"/>
        </w:rPr>
      </w:pPr>
      <w:r w:rsidRPr="00615554">
        <w:rPr>
          <w:rFonts w:ascii="Arial" w:hAnsi="Arial" w:cs="Arial"/>
          <w:b/>
          <w:sz w:val="28"/>
          <w:szCs w:val="28"/>
          <w:lang w:val="es-MX"/>
        </w:rPr>
        <w:t xml:space="preserve">54.- </w:t>
      </w:r>
      <w:r w:rsidRPr="00615554">
        <w:rPr>
          <w:rFonts w:ascii="Arial" w:hAnsi="Arial" w:cs="Arial"/>
          <w:b/>
          <w:sz w:val="28"/>
          <w:szCs w:val="28"/>
        </w:rPr>
        <w:t>FONDO NACIONAL AMBIENTAL - FONAM.</w:t>
      </w:r>
    </w:p>
    <w:p w14:paraId="4D58AD42" w14:textId="77777777" w:rsidR="007E2F9F" w:rsidRDefault="007E2F9F" w:rsidP="007E2F9F">
      <w:pPr>
        <w:ind w:left="-284" w:right="-234"/>
        <w:jc w:val="both"/>
        <w:rPr>
          <w:rFonts w:ascii="Arial" w:hAnsi="Arial" w:cs="Arial"/>
          <w:b/>
          <w:bCs/>
          <w:sz w:val="28"/>
          <w:szCs w:val="28"/>
        </w:rPr>
      </w:pPr>
    </w:p>
    <w:p w14:paraId="5DFBAC18"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1B05FCDF"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4FC2BCEB"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AB04BD" w14:paraId="5FD1F1FB" w14:textId="77777777" w:rsidTr="006548F8">
        <w:tc>
          <w:tcPr>
            <w:tcW w:w="4161" w:type="dxa"/>
          </w:tcPr>
          <w:p w14:paraId="7CD66F44" w14:textId="77777777" w:rsidR="007E2F9F" w:rsidRPr="00AB04BD" w:rsidRDefault="007E2F9F" w:rsidP="006548F8">
            <w:pPr>
              <w:ind w:left="1169" w:right="-1440"/>
              <w:rPr>
                <w:rFonts w:ascii="Arial" w:hAnsi="Arial" w:cs="Arial"/>
                <w:b/>
                <w:sz w:val="18"/>
                <w:szCs w:val="18"/>
                <w:lang w:val="es-ES_tradnl"/>
              </w:rPr>
            </w:pPr>
            <w:r w:rsidRPr="00AB04BD">
              <w:rPr>
                <w:rFonts w:ascii="Arial" w:hAnsi="Arial" w:cs="Arial"/>
                <w:b/>
                <w:sz w:val="18"/>
                <w:szCs w:val="18"/>
                <w:lang w:val="es-ES_tradnl"/>
              </w:rPr>
              <w:t>TIPO DE GASTO</w:t>
            </w:r>
          </w:p>
        </w:tc>
        <w:tc>
          <w:tcPr>
            <w:tcW w:w="2040" w:type="dxa"/>
          </w:tcPr>
          <w:p w14:paraId="4977731F" w14:textId="77777777" w:rsidR="007E2F9F" w:rsidRPr="00AB04BD" w:rsidRDefault="007E2F9F" w:rsidP="006548F8">
            <w:pPr>
              <w:jc w:val="center"/>
              <w:rPr>
                <w:rFonts w:ascii="Arial" w:hAnsi="Arial" w:cs="Arial"/>
                <w:b/>
                <w:sz w:val="18"/>
                <w:szCs w:val="18"/>
                <w:lang w:val="es-ES_tradnl"/>
              </w:rPr>
            </w:pPr>
            <w:r w:rsidRPr="00AB04BD">
              <w:rPr>
                <w:rFonts w:ascii="Arial" w:hAnsi="Arial" w:cs="Arial"/>
                <w:b/>
                <w:sz w:val="18"/>
                <w:szCs w:val="18"/>
                <w:lang w:val="es-ES_tradnl"/>
              </w:rPr>
              <w:t>APROPIACIÓN</w:t>
            </w:r>
          </w:p>
          <w:p w14:paraId="06884A00" w14:textId="77777777" w:rsidR="007E2F9F" w:rsidRPr="00AB04BD" w:rsidRDefault="007E2F9F" w:rsidP="006548F8">
            <w:pPr>
              <w:jc w:val="center"/>
              <w:rPr>
                <w:rFonts w:ascii="Arial" w:hAnsi="Arial" w:cs="Arial"/>
                <w:b/>
                <w:sz w:val="18"/>
                <w:szCs w:val="18"/>
                <w:lang w:val="es-ES_tradnl"/>
              </w:rPr>
            </w:pPr>
            <w:r w:rsidRPr="00AB04BD">
              <w:rPr>
                <w:rFonts w:ascii="Arial" w:hAnsi="Arial" w:cs="Arial"/>
                <w:b/>
                <w:sz w:val="18"/>
                <w:szCs w:val="18"/>
                <w:lang w:val="es-ES_tradnl"/>
              </w:rPr>
              <w:t>DEFINITIVA</w:t>
            </w:r>
          </w:p>
          <w:p w14:paraId="358B9E65" w14:textId="77777777" w:rsidR="007E2F9F" w:rsidRPr="00AB04BD" w:rsidRDefault="007E2F9F" w:rsidP="006548F8">
            <w:pPr>
              <w:jc w:val="center"/>
              <w:rPr>
                <w:rFonts w:ascii="Arial" w:hAnsi="Arial" w:cs="Arial"/>
                <w:b/>
                <w:sz w:val="18"/>
                <w:szCs w:val="18"/>
                <w:lang w:val="es-ES_tradnl"/>
              </w:rPr>
            </w:pPr>
            <w:r w:rsidRPr="00AB04BD">
              <w:rPr>
                <w:rFonts w:ascii="Arial" w:hAnsi="Arial" w:cs="Arial"/>
                <w:b/>
                <w:sz w:val="18"/>
                <w:szCs w:val="18"/>
                <w:lang w:val="es-ES_tradnl"/>
              </w:rPr>
              <w:lastRenderedPageBreak/>
              <w:t>(1)</w:t>
            </w:r>
          </w:p>
          <w:p w14:paraId="48484B9A" w14:textId="77777777" w:rsidR="007E2F9F" w:rsidRPr="00AB04BD" w:rsidRDefault="007E2F9F" w:rsidP="006548F8">
            <w:pPr>
              <w:jc w:val="center"/>
              <w:rPr>
                <w:rFonts w:ascii="Arial" w:hAnsi="Arial" w:cs="Arial"/>
                <w:b/>
                <w:sz w:val="18"/>
                <w:szCs w:val="18"/>
                <w:lang w:val="es-ES_tradnl"/>
              </w:rPr>
            </w:pPr>
          </w:p>
        </w:tc>
        <w:tc>
          <w:tcPr>
            <w:tcW w:w="2040" w:type="dxa"/>
          </w:tcPr>
          <w:p w14:paraId="188934A8" w14:textId="77777777" w:rsidR="007E2F9F" w:rsidRPr="00AB04BD" w:rsidRDefault="007E2F9F" w:rsidP="006548F8">
            <w:pPr>
              <w:ind w:left="145" w:right="184"/>
              <w:jc w:val="center"/>
              <w:rPr>
                <w:rFonts w:ascii="Arial" w:hAnsi="Arial" w:cs="Arial"/>
                <w:b/>
                <w:sz w:val="18"/>
                <w:szCs w:val="18"/>
                <w:lang w:val="es-ES_tradnl"/>
              </w:rPr>
            </w:pPr>
            <w:r w:rsidRPr="00AB04BD">
              <w:rPr>
                <w:rFonts w:ascii="Arial" w:hAnsi="Arial" w:cs="Arial"/>
                <w:b/>
                <w:sz w:val="18"/>
                <w:szCs w:val="18"/>
                <w:lang w:val="es-ES_tradnl"/>
              </w:rPr>
              <w:lastRenderedPageBreak/>
              <w:t>EJECUCIÓN</w:t>
            </w:r>
          </w:p>
          <w:p w14:paraId="62B5BF1C" w14:textId="77777777" w:rsidR="007E2F9F" w:rsidRPr="00AB04BD" w:rsidRDefault="007E2F9F" w:rsidP="006548F8">
            <w:pPr>
              <w:ind w:right="34"/>
              <w:jc w:val="center"/>
              <w:rPr>
                <w:rFonts w:ascii="Arial" w:hAnsi="Arial" w:cs="Arial"/>
                <w:b/>
                <w:sz w:val="18"/>
                <w:szCs w:val="18"/>
                <w:lang w:val="es-ES_tradnl"/>
              </w:rPr>
            </w:pPr>
            <w:r w:rsidRPr="00AB04BD">
              <w:rPr>
                <w:rFonts w:ascii="Arial" w:hAnsi="Arial" w:cs="Arial"/>
                <w:b/>
                <w:sz w:val="18"/>
                <w:szCs w:val="18"/>
                <w:lang w:val="es-ES_tradnl"/>
              </w:rPr>
              <w:t>COMPROMISOS</w:t>
            </w:r>
          </w:p>
          <w:p w14:paraId="71718A35" w14:textId="77777777" w:rsidR="007E2F9F" w:rsidRPr="00AB04BD" w:rsidRDefault="007E2F9F" w:rsidP="006548F8">
            <w:pPr>
              <w:ind w:right="34"/>
              <w:jc w:val="center"/>
              <w:rPr>
                <w:rFonts w:ascii="Arial" w:hAnsi="Arial" w:cs="Arial"/>
                <w:b/>
                <w:sz w:val="18"/>
                <w:szCs w:val="18"/>
                <w:lang w:val="es-ES_tradnl"/>
              </w:rPr>
            </w:pPr>
            <w:r w:rsidRPr="00AB04BD">
              <w:rPr>
                <w:rFonts w:ascii="Arial" w:hAnsi="Arial" w:cs="Arial"/>
                <w:b/>
                <w:sz w:val="18"/>
                <w:szCs w:val="18"/>
                <w:lang w:val="es-ES_tradnl"/>
              </w:rPr>
              <w:lastRenderedPageBreak/>
              <w:t>(2)</w:t>
            </w:r>
          </w:p>
        </w:tc>
        <w:tc>
          <w:tcPr>
            <w:tcW w:w="2249" w:type="dxa"/>
          </w:tcPr>
          <w:p w14:paraId="2BD008D1" w14:textId="77777777" w:rsidR="007E2F9F" w:rsidRPr="00AB04BD" w:rsidRDefault="007E2F9F" w:rsidP="006548F8">
            <w:pPr>
              <w:ind w:left="25" w:right="34"/>
              <w:jc w:val="center"/>
              <w:rPr>
                <w:rFonts w:ascii="Arial" w:hAnsi="Arial" w:cs="Arial"/>
                <w:b/>
                <w:sz w:val="18"/>
                <w:szCs w:val="18"/>
                <w:lang w:val="es-ES_tradnl"/>
              </w:rPr>
            </w:pPr>
            <w:r w:rsidRPr="00AB04BD">
              <w:rPr>
                <w:rFonts w:ascii="Arial" w:hAnsi="Arial" w:cs="Arial"/>
                <w:b/>
                <w:sz w:val="18"/>
                <w:szCs w:val="18"/>
                <w:lang w:val="es-ES_tradnl"/>
              </w:rPr>
              <w:lastRenderedPageBreak/>
              <w:t>PÉRDIDAS DE</w:t>
            </w:r>
          </w:p>
          <w:p w14:paraId="66EF139D" w14:textId="77777777" w:rsidR="007E2F9F" w:rsidRPr="00AB04BD" w:rsidRDefault="007E2F9F" w:rsidP="006548F8">
            <w:pPr>
              <w:ind w:right="34"/>
              <w:jc w:val="center"/>
              <w:rPr>
                <w:rFonts w:ascii="Arial" w:hAnsi="Arial" w:cs="Arial"/>
                <w:b/>
                <w:sz w:val="18"/>
                <w:szCs w:val="18"/>
                <w:lang w:val="es-ES_tradnl"/>
              </w:rPr>
            </w:pPr>
            <w:r w:rsidRPr="00AB04BD">
              <w:rPr>
                <w:rFonts w:ascii="Arial" w:hAnsi="Arial" w:cs="Arial"/>
                <w:b/>
                <w:sz w:val="18"/>
                <w:szCs w:val="18"/>
                <w:lang w:val="es-ES_tradnl"/>
              </w:rPr>
              <w:t>APROPIACIÓN</w:t>
            </w:r>
          </w:p>
          <w:p w14:paraId="7CD05821" w14:textId="77777777" w:rsidR="007E2F9F" w:rsidRPr="00AB04BD" w:rsidRDefault="007E2F9F" w:rsidP="006548F8">
            <w:pPr>
              <w:ind w:right="34"/>
              <w:jc w:val="center"/>
              <w:rPr>
                <w:rFonts w:ascii="Arial" w:hAnsi="Arial" w:cs="Arial"/>
                <w:b/>
                <w:sz w:val="18"/>
                <w:szCs w:val="18"/>
                <w:lang w:val="es-ES_tradnl"/>
              </w:rPr>
            </w:pPr>
            <w:r w:rsidRPr="00AB04BD">
              <w:rPr>
                <w:rFonts w:ascii="Arial" w:hAnsi="Arial" w:cs="Arial"/>
                <w:b/>
                <w:sz w:val="18"/>
                <w:szCs w:val="18"/>
                <w:lang w:val="es-ES_tradnl"/>
              </w:rPr>
              <w:lastRenderedPageBreak/>
              <w:t>3 = (1-2)</w:t>
            </w:r>
          </w:p>
        </w:tc>
      </w:tr>
      <w:tr w:rsidR="007E2F9F" w:rsidRPr="00AB04BD" w14:paraId="4927C602" w14:textId="77777777" w:rsidTr="006548F8">
        <w:trPr>
          <w:trHeight w:val="230"/>
        </w:trPr>
        <w:tc>
          <w:tcPr>
            <w:tcW w:w="4161" w:type="dxa"/>
          </w:tcPr>
          <w:p w14:paraId="143D1E1A" w14:textId="77777777" w:rsidR="007E2F9F" w:rsidRPr="00AB04BD" w:rsidRDefault="007E2F9F" w:rsidP="006548F8">
            <w:pPr>
              <w:ind w:right="-1440"/>
              <w:jc w:val="both"/>
              <w:rPr>
                <w:rFonts w:ascii="Arial" w:hAnsi="Arial" w:cs="Arial"/>
                <w:b/>
                <w:sz w:val="18"/>
                <w:szCs w:val="18"/>
                <w:lang w:val="es-ES_tradnl"/>
              </w:rPr>
            </w:pPr>
            <w:r w:rsidRPr="00AB04BD">
              <w:rPr>
                <w:rFonts w:ascii="Arial" w:hAnsi="Arial" w:cs="Arial"/>
                <w:b/>
                <w:sz w:val="18"/>
                <w:szCs w:val="18"/>
                <w:lang w:val="es-ES_tradnl"/>
              </w:rPr>
              <w:lastRenderedPageBreak/>
              <w:t>FUNCIONAMIENTO</w:t>
            </w:r>
          </w:p>
        </w:tc>
        <w:tc>
          <w:tcPr>
            <w:tcW w:w="2040" w:type="dxa"/>
          </w:tcPr>
          <w:p w14:paraId="07B87EDA" w14:textId="77777777" w:rsidR="007E2F9F" w:rsidRPr="00AB04BD" w:rsidRDefault="007E2F9F" w:rsidP="006548F8">
            <w:pPr>
              <w:jc w:val="right"/>
              <w:rPr>
                <w:rFonts w:ascii="Arial" w:eastAsia="Calibri" w:hAnsi="Arial" w:cs="Arial"/>
                <w:sz w:val="18"/>
                <w:szCs w:val="18"/>
                <w:lang w:val="es-CO"/>
              </w:rPr>
            </w:pPr>
            <w:r w:rsidRPr="00AB04BD">
              <w:rPr>
                <w:rFonts w:ascii="Arial" w:eastAsia="Calibri" w:hAnsi="Arial" w:cs="Arial"/>
                <w:b/>
                <w:sz w:val="16"/>
                <w:szCs w:val="16"/>
                <w:lang w:val="es-CO"/>
              </w:rPr>
              <w:t>94.262.862.000,00</w:t>
            </w:r>
          </w:p>
        </w:tc>
        <w:tc>
          <w:tcPr>
            <w:tcW w:w="2040" w:type="dxa"/>
          </w:tcPr>
          <w:p w14:paraId="4BE71589" w14:textId="77777777" w:rsidR="007E2F9F" w:rsidRPr="00AB04BD" w:rsidRDefault="007E2F9F" w:rsidP="006548F8">
            <w:pPr>
              <w:pStyle w:val="Prrafodelista"/>
              <w:ind w:left="0"/>
              <w:jc w:val="right"/>
              <w:rPr>
                <w:rFonts w:ascii="Arial" w:hAnsi="Arial" w:cs="Arial"/>
                <w:b/>
                <w:sz w:val="18"/>
                <w:szCs w:val="18"/>
              </w:rPr>
            </w:pPr>
            <w:r w:rsidRPr="00AB04BD">
              <w:rPr>
                <w:rFonts w:ascii="Arial" w:eastAsia="Calibri" w:hAnsi="Arial" w:cs="Arial"/>
                <w:b/>
                <w:sz w:val="16"/>
                <w:szCs w:val="16"/>
                <w:lang w:val="es-CO"/>
              </w:rPr>
              <w:t>93.368.973.295,00</w:t>
            </w:r>
          </w:p>
        </w:tc>
        <w:tc>
          <w:tcPr>
            <w:tcW w:w="2249" w:type="dxa"/>
          </w:tcPr>
          <w:p w14:paraId="7B320647" w14:textId="77777777" w:rsidR="007E2F9F" w:rsidRPr="00AB04BD" w:rsidRDefault="007E2F9F" w:rsidP="006548F8">
            <w:pPr>
              <w:pStyle w:val="Prrafodelista"/>
              <w:ind w:left="0"/>
              <w:jc w:val="right"/>
              <w:rPr>
                <w:rFonts w:ascii="Arial" w:hAnsi="Arial" w:cs="Arial"/>
                <w:b/>
                <w:sz w:val="18"/>
                <w:szCs w:val="18"/>
              </w:rPr>
            </w:pPr>
            <w:r w:rsidRPr="00AB04BD">
              <w:rPr>
                <w:rFonts w:ascii="Arial" w:hAnsi="Arial" w:cs="Arial"/>
                <w:b/>
                <w:sz w:val="16"/>
                <w:szCs w:val="16"/>
              </w:rPr>
              <w:t>893.888.705,00</w:t>
            </w:r>
          </w:p>
        </w:tc>
      </w:tr>
      <w:tr w:rsidR="007E2F9F" w:rsidRPr="00AB04BD" w14:paraId="1679A86C" w14:textId="77777777" w:rsidTr="006548F8">
        <w:tc>
          <w:tcPr>
            <w:tcW w:w="4161" w:type="dxa"/>
          </w:tcPr>
          <w:p w14:paraId="15E40A14" w14:textId="77777777" w:rsidR="007E2F9F" w:rsidRPr="00AB04BD" w:rsidRDefault="007E2F9F" w:rsidP="006548F8">
            <w:pPr>
              <w:ind w:right="-1440"/>
              <w:jc w:val="both"/>
              <w:rPr>
                <w:rFonts w:ascii="Arial" w:hAnsi="Arial" w:cs="Arial"/>
                <w:b/>
                <w:sz w:val="18"/>
                <w:szCs w:val="18"/>
                <w:lang w:val="es-ES_tradnl"/>
              </w:rPr>
            </w:pPr>
            <w:r w:rsidRPr="00AB04BD">
              <w:rPr>
                <w:rFonts w:ascii="Arial" w:hAnsi="Arial" w:cs="Arial"/>
                <w:b/>
                <w:sz w:val="18"/>
                <w:szCs w:val="18"/>
                <w:lang w:val="es-ES_tradnl"/>
              </w:rPr>
              <w:t>INVERSIÓN</w:t>
            </w:r>
          </w:p>
        </w:tc>
        <w:tc>
          <w:tcPr>
            <w:tcW w:w="2040" w:type="dxa"/>
          </w:tcPr>
          <w:p w14:paraId="68636273" w14:textId="77777777" w:rsidR="007E2F9F" w:rsidRPr="00AB04BD" w:rsidRDefault="007E2F9F" w:rsidP="006548F8">
            <w:pPr>
              <w:pStyle w:val="Prrafodelista"/>
              <w:ind w:left="0"/>
              <w:jc w:val="right"/>
              <w:rPr>
                <w:rFonts w:ascii="Arial" w:hAnsi="Arial" w:cs="Arial"/>
                <w:b/>
                <w:sz w:val="18"/>
                <w:szCs w:val="18"/>
              </w:rPr>
            </w:pPr>
            <w:r w:rsidRPr="00AB04BD">
              <w:rPr>
                <w:rFonts w:ascii="Arial" w:eastAsia="Calibri" w:hAnsi="Arial" w:cs="Arial"/>
                <w:b/>
                <w:sz w:val="16"/>
                <w:szCs w:val="16"/>
                <w:lang w:val="es-CO"/>
              </w:rPr>
              <w:t>179.088.697.454,00</w:t>
            </w:r>
          </w:p>
        </w:tc>
        <w:tc>
          <w:tcPr>
            <w:tcW w:w="2040" w:type="dxa"/>
          </w:tcPr>
          <w:p w14:paraId="47C4D707" w14:textId="77777777" w:rsidR="007E2F9F" w:rsidRPr="00AB04BD" w:rsidRDefault="007E2F9F" w:rsidP="006548F8">
            <w:pPr>
              <w:pStyle w:val="Prrafodelista"/>
              <w:ind w:left="0"/>
              <w:jc w:val="right"/>
              <w:rPr>
                <w:rFonts w:ascii="Arial" w:hAnsi="Arial" w:cs="Arial"/>
                <w:b/>
                <w:sz w:val="18"/>
                <w:szCs w:val="18"/>
              </w:rPr>
            </w:pPr>
            <w:r w:rsidRPr="00AB04BD">
              <w:rPr>
                <w:rFonts w:ascii="Arial" w:eastAsia="Calibri" w:hAnsi="Arial" w:cs="Arial"/>
                <w:b/>
                <w:sz w:val="16"/>
                <w:szCs w:val="16"/>
                <w:lang w:val="es-CO"/>
              </w:rPr>
              <w:t>148.791.279.021,98</w:t>
            </w:r>
          </w:p>
        </w:tc>
        <w:tc>
          <w:tcPr>
            <w:tcW w:w="2249" w:type="dxa"/>
          </w:tcPr>
          <w:p w14:paraId="657A0E0B" w14:textId="77777777" w:rsidR="007E2F9F" w:rsidRPr="00AB04BD" w:rsidRDefault="007E2F9F" w:rsidP="006548F8">
            <w:pPr>
              <w:pStyle w:val="Prrafodelista"/>
              <w:ind w:left="0"/>
              <w:jc w:val="right"/>
              <w:rPr>
                <w:rFonts w:ascii="Arial" w:hAnsi="Arial" w:cs="Arial"/>
                <w:b/>
                <w:sz w:val="18"/>
                <w:szCs w:val="18"/>
              </w:rPr>
            </w:pPr>
            <w:r w:rsidRPr="00AB04BD">
              <w:rPr>
                <w:rFonts w:ascii="Arial" w:hAnsi="Arial" w:cs="Arial"/>
                <w:b/>
                <w:sz w:val="16"/>
                <w:szCs w:val="16"/>
                <w:highlight w:val="yellow"/>
              </w:rPr>
              <w:t>227.422.869.625,07</w:t>
            </w:r>
          </w:p>
        </w:tc>
      </w:tr>
      <w:tr w:rsidR="007E2F9F" w:rsidRPr="00AB04BD" w14:paraId="4679A4FE" w14:textId="77777777" w:rsidTr="006548F8">
        <w:tc>
          <w:tcPr>
            <w:tcW w:w="4161" w:type="dxa"/>
          </w:tcPr>
          <w:p w14:paraId="543EE457" w14:textId="77777777" w:rsidR="007E2F9F" w:rsidRPr="00AB04BD" w:rsidRDefault="007E2F9F" w:rsidP="006548F8">
            <w:pPr>
              <w:ind w:right="-1440"/>
              <w:jc w:val="both"/>
              <w:rPr>
                <w:rFonts w:ascii="Arial" w:hAnsi="Arial" w:cs="Arial"/>
                <w:b/>
                <w:sz w:val="18"/>
                <w:szCs w:val="18"/>
                <w:lang w:val="es-ES_tradnl"/>
              </w:rPr>
            </w:pPr>
            <w:r w:rsidRPr="00AB04BD">
              <w:rPr>
                <w:rFonts w:ascii="Arial" w:hAnsi="Arial" w:cs="Arial"/>
                <w:b/>
                <w:sz w:val="18"/>
                <w:szCs w:val="18"/>
                <w:lang w:val="es-ES_tradnl"/>
              </w:rPr>
              <w:t>TOTAL PÉRDIDAS DE APROPIACIÓN</w:t>
            </w:r>
          </w:p>
        </w:tc>
        <w:tc>
          <w:tcPr>
            <w:tcW w:w="2040" w:type="dxa"/>
          </w:tcPr>
          <w:p w14:paraId="0BCAC4C9" w14:textId="77777777" w:rsidR="007E2F9F" w:rsidRPr="00AB04BD" w:rsidRDefault="007E2F9F" w:rsidP="006548F8">
            <w:pPr>
              <w:pStyle w:val="Prrafodelista"/>
              <w:ind w:left="0"/>
              <w:jc w:val="right"/>
              <w:rPr>
                <w:rFonts w:ascii="Arial" w:hAnsi="Arial" w:cs="Arial"/>
                <w:b/>
                <w:sz w:val="18"/>
                <w:szCs w:val="18"/>
                <w:u w:val="single"/>
              </w:rPr>
            </w:pPr>
            <w:r w:rsidRPr="00AB04BD">
              <w:rPr>
                <w:rFonts w:ascii="Arial" w:eastAsia="Calibri" w:hAnsi="Arial" w:cs="Arial"/>
                <w:b/>
                <w:sz w:val="16"/>
                <w:szCs w:val="16"/>
                <w:lang w:val="es-CO"/>
              </w:rPr>
              <w:t>273.351.559.454,00</w:t>
            </w:r>
          </w:p>
        </w:tc>
        <w:tc>
          <w:tcPr>
            <w:tcW w:w="2040" w:type="dxa"/>
          </w:tcPr>
          <w:p w14:paraId="7CEC0B10" w14:textId="77777777" w:rsidR="007E2F9F" w:rsidRPr="00AB04BD" w:rsidRDefault="007E2F9F" w:rsidP="006548F8">
            <w:pPr>
              <w:pStyle w:val="Prrafodelista"/>
              <w:ind w:left="0"/>
              <w:jc w:val="right"/>
              <w:rPr>
                <w:rFonts w:ascii="Arial" w:hAnsi="Arial" w:cs="Arial"/>
                <w:b/>
                <w:sz w:val="18"/>
                <w:szCs w:val="18"/>
                <w:u w:val="single"/>
              </w:rPr>
            </w:pPr>
            <w:r w:rsidRPr="00AB04BD">
              <w:rPr>
                <w:rFonts w:ascii="Arial" w:eastAsia="Calibri" w:hAnsi="Arial" w:cs="Arial"/>
                <w:b/>
                <w:sz w:val="16"/>
                <w:szCs w:val="16"/>
                <w:lang w:val="es-CO"/>
              </w:rPr>
              <w:t>242.160.252.316,98</w:t>
            </w:r>
          </w:p>
        </w:tc>
        <w:tc>
          <w:tcPr>
            <w:tcW w:w="2249" w:type="dxa"/>
          </w:tcPr>
          <w:p w14:paraId="06715FEC" w14:textId="77777777" w:rsidR="007E2F9F" w:rsidRPr="00AB04BD" w:rsidRDefault="007E2F9F" w:rsidP="006548F8">
            <w:pPr>
              <w:pStyle w:val="Prrafodelista"/>
              <w:ind w:left="0"/>
              <w:jc w:val="right"/>
              <w:rPr>
                <w:rFonts w:ascii="Arial" w:hAnsi="Arial" w:cs="Arial"/>
                <w:b/>
                <w:sz w:val="18"/>
                <w:szCs w:val="18"/>
                <w:u w:val="single"/>
              </w:rPr>
            </w:pPr>
            <w:r w:rsidRPr="00AB04BD">
              <w:rPr>
                <w:rFonts w:ascii="Arial" w:hAnsi="Arial" w:cs="Arial"/>
                <w:b/>
                <w:sz w:val="16"/>
                <w:szCs w:val="16"/>
                <w:highlight w:val="yellow"/>
                <w:u w:val="single"/>
              </w:rPr>
              <w:t>228.316.758.330,07</w:t>
            </w:r>
          </w:p>
        </w:tc>
      </w:tr>
    </w:tbl>
    <w:p w14:paraId="43BB9052" w14:textId="77777777" w:rsidR="007E2F9F" w:rsidRDefault="007E2F9F" w:rsidP="007E2F9F">
      <w:pPr>
        <w:ind w:left="-284" w:right="-234"/>
        <w:jc w:val="both"/>
        <w:rPr>
          <w:rFonts w:ascii="Arial" w:hAnsi="Arial" w:cs="Arial"/>
          <w:b/>
          <w:bCs/>
          <w:sz w:val="28"/>
          <w:szCs w:val="28"/>
        </w:rPr>
      </w:pPr>
    </w:p>
    <w:p w14:paraId="0D9C70C9" w14:textId="77777777" w:rsidR="007E2F9F" w:rsidRPr="001109E2" w:rsidRDefault="007E2F9F" w:rsidP="007E2F9F">
      <w:pPr>
        <w:tabs>
          <w:tab w:val="left" w:pos="875"/>
        </w:tabs>
        <w:ind w:left="-284" w:right="-234"/>
        <w:jc w:val="both"/>
        <w:rPr>
          <w:rFonts w:ascii="Arial" w:hAnsi="Arial" w:cs="Arial"/>
          <w:sz w:val="24"/>
        </w:rPr>
      </w:pPr>
      <w:r w:rsidRPr="001109E2">
        <w:rPr>
          <w:rFonts w:ascii="Arial" w:hAnsi="Arial" w:cs="Arial"/>
          <w:b/>
          <w:sz w:val="24"/>
        </w:rPr>
        <w:t xml:space="preserve">NOTA: </w:t>
      </w:r>
      <w:r w:rsidRPr="001109E2">
        <w:rPr>
          <w:rFonts w:ascii="Arial" w:hAnsi="Arial" w:cs="Arial"/>
          <w:sz w:val="24"/>
        </w:rPr>
        <w:t>La cifra de pérdidas de apropiación por inversión está errada, la cifra correcta es $30.297.418.432,02, por lo cual el total de pérdidas de apropiación también esta errada, la cifra correcta es $31.191.307.137,02.</w:t>
      </w:r>
    </w:p>
    <w:p w14:paraId="459F7E13" w14:textId="77777777" w:rsidR="007E2F9F" w:rsidRDefault="007E2F9F" w:rsidP="007E2F9F">
      <w:pPr>
        <w:ind w:left="-284" w:right="-234"/>
        <w:jc w:val="both"/>
        <w:rPr>
          <w:rFonts w:ascii="Arial" w:hAnsi="Arial" w:cs="Arial"/>
          <w:b/>
          <w:bCs/>
          <w:sz w:val="28"/>
          <w:szCs w:val="28"/>
        </w:rPr>
      </w:pPr>
    </w:p>
    <w:p w14:paraId="12B47B71"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0F05E0A"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054841F"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5227AE" w14:paraId="359BB3E1" w14:textId="77777777" w:rsidTr="006548F8">
        <w:tc>
          <w:tcPr>
            <w:tcW w:w="4161" w:type="dxa"/>
          </w:tcPr>
          <w:p w14:paraId="155D4E9D" w14:textId="77777777" w:rsidR="007E2F9F" w:rsidRPr="005227AE" w:rsidRDefault="007E2F9F" w:rsidP="006548F8">
            <w:pPr>
              <w:ind w:left="1169" w:right="-1440"/>
              <w:rPr>
                <w:rFonts w:ascii="Arial" w:hAnsi="Arial" w:cs="Arial"/>
                <w:b/>
                <w:sz w:val="18"/>
                <w:szCs w:val="18"/>
                <w:lang w:val="es-ES_tradnl"/>
              </w:rPr>
            </w:pPr>
            <w:r w:rsidRPr="005227AE">
              <w:rPr>
                <w:rFonts w:ascii="Arial" w:hAnsi="Arial" w:cs="Arial"/>
                <w:b/>
                <w:sz w:val="18"/>
                <w:szCs w:val="18"/>
                <w:lang w:val="es-ES_tradnl"/>
              </w:rPr>
              <w:t>TIPO DE GASTO</w:t>
            </w:r>
          </w:p>
        </w:tc>
        <w:tc>
          <w:tcPr>
            <w:tcW w:w="2040" w:type="dxa"/>
          </w:tcPr>
          <w:p w14:paraId="379D9D1A" w14:textId="77777777" w:rsidR="007E2F9F" w:rsidRPr="005227AE" w:rsidRDefault="007E2F9F" w:rsidP="006548F8">
            <w:pPr>
              <w:jc w:val="center"/>
              <w:rPr>
                <w:rFonts w:ascii="Arial" w:hAnsi="Arial" w:cs="Arial"/>
                <w:b/>
                <w:sz w:val="18"/>
                <w:szCs w:val="18"/>
                <w:lang w:val="es-ES_tradnl"/>
              </w:rPr>
            </w:pPr>
            <w:r w:rsidRPr="005227AE">
              <w:rPr>
                <w:rFonts w:ascii="Arial" w:hAnsi="Arial" w:cs="Arial"/>
                <w:b/>
                <w:sz w:val="18"/>
                <w:szCs w:val="18"/>
                <w:lang w:val="es-ES_tradnl"/>
              </w:rPr>
              <w:t>APROPIACIÓN</w:t>
            </w:r>
          </w:p>
          <w:p w14:paraId="34A0AD89" w14:textId="77777777" w:rsidR="007E2F9F" w:rsidRPr="005227AE" w:rsidRDefault="007E2F9F" w:rsidP="006548F8">
            <w:pPr>
              <w:jc w:val="center"/>
              <w:rPr>
                <w:rFonts w:ascii="Arial" w:hAnsi="Arial" w:cs="Arial"/>
                <w:b/>
                <w:sz w:val="18"/>
                <w:szCs w:val="18"/>
                <w:lang w:val="es-ES_tradnl"/>
              </w:rPr>
            </w:pPr>
            <w:r w:rsidRPr="005227AE">
              <w:rPr>
                <w:rFonts w:ascii="Arial" w:hAnsi="Arial" w:cs="Arial"/>
                <w:b/>
                <w:sz w:val="18"/>
                <w:szCs w:val="18"/>
                <w:lang w:val="es-ES_tradnl"/>
              </w:rPr>
              <w:t>DEFINITIVA</w:t>
            </w:r>
          </w:p>
          <w:p w14:paraId="132E385D" w14:textId="77777777" w:rsidR="007E2F9F" w:rsidRPr="005227AE" w:rsidRDefault="007E2F9F" w:rsidP="006548F8">
            <w:pPr>
              <w:jc w:val="center"/>
              <w:rPr>
                <w:rFonts w:ascii="Arial" w:hAnsi="Arial" w:cs="Arial"/>
                <w:b/>
                <w:sz w:val="18"/>
                <w:szCs w:val="18"/>
                <w:lang w:val="es-ES_tradnl"/>
              </w:rPr>
            </w:pPr>
            <w:r w:rsidRPr="005227AE">
              <w:rPr>
                <w:rFonts w:ascii="Arial" w:hAnsi="Arial" w:cs="Arial"/>
                <w:b/>
                <w:sz w:val="18"/>
                <w:szCs w:val="18"/>
                <w:lang w:val="es-ES_tradnl"/>
              </w:rPr>
              <w:t>(1)</w:t>
            </w:r>
          </w:p>
        </w:tc>
        <w:tc>
          <w:tcPr>
            <w:tcW w:w="2040" w:type="dxa"/>
          </w:tcPr>
          <w:p w14:paraId="6F350839" w14:textId="77777777" w:rsidR="007E2F9F" w:rsidRPr="005227AE" w:rsidRDefault="007E2F9F" w:rsidP="006548F8">
            <w:pPr>
              <w:ind w:left="145" w:right="184"/>
              <w:jc w:val="center"/>
              <w:rPr>
                <w:rFonts w:ascii="Arial" w:hAnsi="Arial" w:cs="Arial"/>
                <w:b/>
                <w:sz w:val="18"/>
                <w:szCs w:val="18"/>
                <w:lang w:val="es-ES_tradnl"/>
              </w:rPr>
            </w:pPr>
            <w:r w:rsidRPr="005227AE">
              <w:rPr>
                <w:rFonts w:ascii="Arial" w:hAnsi="Arial" w:cs="Arial"/>
                <w:b/>
                <w:sz w:val="18"/>
                <w:szCs w:val="18"/>
                <w:lang w:val="es-ES_tradnl"/>
              </w:rPr>
              <w:t>EJECUCIÓN</w:t>
            </w:r>
          </w:p>
          <w:p w14:paraId="608954A3" w14:textId="77777777" w:rsidR="007E2F9F" w:rsidRPr="005227AE" w:rsidRDefault="007E2F9F" w:rsidP="006548F8">
            <w:pPr>
              <w:ind w:right="34"/>
              <w:jc w:val="center"/>
              <w:rPr>
                <w:rFonts w:ascii="Arial" w:hAnsi="Arial" w:cs="Arial"/>
                <w:b/>
                <w:sz w:val="18"/>
                <w:szCs w:val="18"/>
                <w:lang w:val="es-ES_tradnl"/>
              </w:rPr>
            </w:pPr>
            <w:r w:rsidRPr="005227AE">
              <w:rPr>
                <w:rFonts w:ascii="Arial" w:hAnsi="Arial" w:cs="Arial"/>
                <w:b/>
                <w:sz w:val="18"/>
                <w:szCs w:val="18"/>
                <w:lang w:val="es-ES_tradnl"/>
              </w:rPr>
              <w:t>COMPROMISOS</w:t>
            </w:r>
          </w:p>
          <w:p w14:paraId="0F80DAA4" w14:textId="77777777" w:rsidR="007E2F9F" w:rsidRPr="005227AE" w:rsidRDefault="007E2F9F" w:rsidP="006548F8">
            <w:pPr>
              <w:ind w:right="34"/>
              <w:jc w:val="center"/>
              <w:rPr>
                <w:rFonts w:ascii="Arial" w:hAnsi="Arial" w:cs="Arial"/>
                <w:b/>
                <w:sz w:val="18"/>
                <w:szCs w:val="18"/>
                <w:lang w:val="es-ES_tradnl"/>
              </w:rPr>
            </w:pPr>
            <w:r w:rsidRPr="005227AE">
              <w:rPr>
                <w:rFonts w:ascii="Arial" w:hAnsi="Arial" w:cs="Arial"/>
                <w:b/>
                <w:sz w:val="18"/>
                <w:szCs w:val="18"/>
                <w:lang w:val="es-ES_tradnl"/>
              </w:rPr>
              <w:t>(2)</w:t>
            </w:r>
          </w:p>
        </w:tc>
        <w:tc>
          <w:tcPr>
            <w:tcW w:w="2249" w:type="dxa"/>
          </w:tcPr>
          <w:p w14:paraId="5D508EDB" w14:textId="77777777" w:rsidR="007E2F9F" w:rsidRPr="005227AE" w:rsidRDefault="007E2F9F" w:rsidP="006548F8">
            <w:pPr>
              <w:ind w:left="25" w:right="34"/>
              <w:jc w:val="center"/>
              <w:rPr>
                <w:rFonts w:ascii="Arial" w:hAnsi="Arial" w:cs="Arial"/>
                <w:b/>
                <w:sz w:val="18"/>
                <w:szCs w:val="18"/>
                <w:lang w:val="es-ES_tradnl"/>
              </w:rPr>
            </w:pPr>
            <w:r w:rsidRPr="005227AE">
              <w:rPr>
                <w:rFonts w:ascii="Arial" w:hAnsi="Arial" w:cs="Arial"/>
                <w:b/>
                <w:sz w:val="18"/>
                <w:szCs w:val="18"/>
                <w:lang w:val="es-ES_tradnl"/>
              </w:rPr>
              <w:t>PÉRDIDAS DE</w:t>
            </w:r>
          </w:p>
          <w:p w14:paraId="76855A1F" w14:textId="77777777" w:rsidR="007E2F9F" w:rsidRPr="005227AE" w:rsidRDefault="007E2F9F" w:rsidP="006548F8">
            <w:pPr>
              <w:ind w:right="34"/>
              <w:jc w:val="center"/>
              <w:rPr>
                <w:rFonts w:ascii="Arial" w:hAnsi="Arial" w:cs="Arial"/>
                <w:b/>
                <w:sz w:val="18"/>
                <w:szCs w:val="18"/>
                <w:lang w:val="es-ES_tradnl"/>
              </w:rPr>
            </w:pPr>
            <w:r w:rsidRPr="005227AE">
              <w:rPr>
                <w:rFonts w:ascii="Arial" w:hAnsi="Arial" w:cs="Arial"/>
                <w:b/>
                <w:sz w:val="18"/>
                <w:szCs w:val="18"/>
                <w:lang w:val="es-ES_tradnl"/>
              </w:rPr>
              <w:t>APROPIACIÓN</w:t>
            </w:r>
          </w:p>
          <w:p w14:paraId="74DF4D0C" w14:textId="77777777" w:rsidR="007E2F9F" w:rsidRPr="005227AE" w:rsidRDefault="007E2F9F" w:rsidP="006548F8">
            <w:pPr>
              <w:ind w:right="34"/>
              <w:jc w:val="center"/>
              <w:rPr>
                <w:rFonts w:ascii="Arial" w:hAnsi="Arial" w:cs="Arial"/>
                <w:b/>
                <w:sz w:val="18"/>
                <w:szCs w:val="18"/>
                <w:lang w:val="es-ES_tradnl"/>
              </w:rPr>
            </w:pPr>
            <w:r w:rsidRPr="005227AE">
              <w:rPr>
                <w:rFonts w:ascii="Arial" w:hAnsi="Arial" w:cs="Arial"/>
                <w:b/>
                <w:sz w:val="18"/>
                <w:szCs w:val="18"/>
                <w:lang w:val="es-ES_tradnl"/>
              </w:rPr>
              <w:t>3 = (1-2)</w:t>
            </w:r>
          </w:p>
        </w:tc>
      </w:tr>
      <w:tr w:rsidR="007E2F9F" w:rsidRPr="005227AE" w14:paraId="03E5A4A4" w14:textId="77777777" w:rsidTr="006548F8">
        <w:trPr>
          <w:trHeight w:val="230"/>
        </w:trPr>
        <w:tc>
          <w:tcPr>
            <w:tcW w:w="4161" w:type="dxa"/>
          </w:tcPr>
          <w:p w14:paraId="31509595" w14:textId="77777777" w:rsidR="007E2F9F" w:rsidRPr="005227AE" w:rsidRDefault="007E2F9F" w:rsidP="006548F8">
            <w:pPr>
              <w:ind w:right="-1440"/>
              <w:jc w:val="both"/>
              <w:rPr>
                <w:rFonts w:ascii="Arial" w:hAnsi="Arial" w:cs="Arial"/>
                <w:b/>
                <w:sz w:val="18"/>
                <w:szCs w:val="18"/>
                <w:lang w:val="es-ES_tradnl"/>
              </w:rPr>
            </w:pPr>
            <w:r w:rsidRPr="005227AE">
              <w:rPr>
                <w:rFonts w:ascii="Arial" w:hAnsi="Arial" w:cs="Arial"/>
                <w:b/>
                <w:sz w:val="18"/>
                <w:szCs w:val="18"/>
                <w:lang w:val="es-ES_tradnl"/>
              </w:rPr>
              <w:t>FUNCIONAMIENTO</w:t>
            </w:r>
          </w:p>
        </w:tc>
        <w:tc>
          <w:tcPr>
            <w:tcW w:w="2040" w:type="dxa"/>
          </w:tcPr>
          <w:p w14:paraId="7B873C9B" w14:textId="77777777" w:rsidR="007E2F9F" w:rsidRPr="005227AE" w:rsidRDefault="007E2F9F" w:rsidP="006548F8">
            <w:pPr>
              <w:jc w:val="right"/>
              <w:rPr>
                <w:rFonts w:ascii="Arial" w:eastAsia="Calibri" w:hAnsi="Arial" w:cs="Arial"/>
                <w:sz w:val="18"/>
                <w:szCs w:val="18"/>
                <w:lang w:val="es-CO"/>
              </w:rPr>
            </w:pPr>
            <w:r w:rsidRPr="005227AE">
              <w:rPr>
                <w:rFonts w:ascii="Arial" w:eastAsia="Calibri" w:hAnsi="Arial" w:cs="Arial"/>
                <w:b/>
                <w:sz w:val="16"/>
                <w:szCs w:val="16"/>
                <w:lang w:val="es-CO"/>
              </w:rPr>
              <w:t>94.262.862.000,00</w:t>
            </w:r>
          </w:p>
        </w:tc>
        <w:tc>
          <w:tcPr>
            <w:tcW w:w="2040" w:type="dxa"/>
          </w:tcPr>
          <w:p w14:paraId="0E2D1174" w14:textId="77777777" w:rsidR="007E2F9F" w:rsidRPr="005227AE" w:rsidRDefault="007E2F9F" w:rsidP="006548F8">
            <w:pPr>
              <w:pStyle w:val="Prrafodelista"/>
              <w:ind w:left="0"/>
              <w:jc w:val="right"/>
              <w:rPr>
                <w:rFonts w:ascii="Arial" w:hAnsi="Arial" w:cs="Arial"/>
                <w:b/>
                <w:sz w:val="18"/>
                <w:szCs w:val="18"/>
              </w:rPr>
            </w:pPr>
            <w:r w:rsidRPr="005227AE">
              <w:rPr>
                <w:rFonts w:ascii="Arial" w:eastAsia="Calibri" w:hAnsi="Arial" w:cs="Arial"/>
                <w:b/>
                <w:sz w:val="16"/>
                <w:szCs w:val="16"/>
                <w:lang w:val="es-CO"/>
              </w:rPr>
              <w:t>93.368.973.295,00</w:t>
            </w:r>
          </w:p>
        </w:tc>
        <w:tc>
          <w:tcPr>
            <w:tcW w:w="2249" w:type="dxa"/>
          </w:tcPr>
          <w:p w14:paraId="72034E74" w14:textId="77777777" w:rsidR="007E2F9F" w:rsidRPr="005227AE" w:rsidRDefault="007E2F9F" w:rsidP="006548F8">
            <w:pPr>
              <w:pStyle w:val="Prrafodelista"/>
              <w:ind w:left="0"/>
              <w:jc w:val="right"/>
              <w:rPr>
                <w:rFonts w:ascii="Arial" w:hAnsi="Arial" w:cs="Arial"/>
                <w:b/>
                <w:sz w:val="18"/>
                <w:szCs w:val="18"/>
              </w:rPr>
            </w:pPr>
            <w:r w:rsidRPr="005227AE">
              <w:rPr>
                <w:rFonts w:ascii="Arial" w:hAnsi="Arial" w:cs="Arial"/>
                <w:b/>
                <w:sz w:val="16"/>
                <w:szCs w:val="16"/>
              </w:rPr>
              <w:t>893.888.705,00</w:t>
            </w:r>
          </w:p>
        </w:tc>
      </w:tr>
      <w:tr w:rsidR="007E2F9F" w:rsidRPr="005227AE" w14:paraId="6F2C61F3" w14:textId="77777777" w:rsidTr="006548F8">
        <w:tc>
          <w:tcPr>
            <w:tcW w:w="4161" w:type="dxa"/>
          </w:tcPr>
          <w:p w14:paraId="1BE9DBA8" w14:textId="77777777" w:rsidR="007E2F9F" w:rsidRPr="005227AE" w:rsidRDefault="007E2F9F" w:rsidP="006548F8">
            <w:pPr>
              <w:ind w:right="-1440"/>
              <w:jc w:val="both"/>
              <w:rPr>
                <w:rFonts w:ascii="Arial" w:hAnsi="Arial" w:cs="Arial"/>
                <w:b/>
                <w:sz w:val="18"/>
                <w:szCs w:val="18"/>
                <w:lang w:val="es-ES_tradnl"/>
              </w:rPr>
            </w:pPr>
            <w:r w:rsidRPr="005227AE">
              <w:rPr>
                <w:rFonts w:ascii="Arial" w:hAnsi="Arial" w:cs="Arial"/>
                <w:b/>
                <w:sz w:val="18"/>
                <w:szCs w:val="18"/>
                <w:lang w:val="es-ES_tradnl"/>
              </w:rPr>
              <w:t>INVERSIÓN</w:t>
            </w:r>
          </w:p>
        </w:tc>
        <w:tc>
          <w:tcPr>
            <w:tcW w:w="2040" w:type="dxa"/>
          </w:tcPr>
          <w:p w14:paraId="759C78B8" w14:textId="77777777" w:rsidR="007E2F9F" w:rsidRPr="005227AE" w:rsidRDefault="007E2F9F" w:rsidP="006548F8">
            <w:pPr>
              <w:pStyle w:val="Prrafodelista"/>
              <w:ind w:left="0"/>
              <w:jc w:val="right"/>
              <w:rPr>
                <w:rFonts w:ascii="Arial" w:hAnsi="Arial" w:cs="Arial"/>
                <w:b/>
                <w:sz w:val="18"/>
                <w:szCs w:val="18"/>
              </w:rPr>
            </w:pPr>
            <w:r w:rsidRPr="005227AE">
              <w:rPr>
                <w:rFonts w:ascii="Arial" w:eastAsia="Calibri" w:hAnsi="Arial" w:cs="Arial"/>
                <w:b/>
                <w:sz w:val="16"/>
                <w:szCs w:val="16"/>
                <w:lang w:val="es-CO"/>
              </w:rPr>
              <w:t>179.088.697.454,00</w:t>
            </w:r>
          </w:p>
        </w:tc>
        <w:tc>
          <w:tcPr>
            <w:tcW w:w="2040" w:type="dxa"/>
          </w:tcPr>
          <w:p w14:paraId="0ED02FFF" w14:textId="77777777" w:rsidR="007E2F9F" w:rsidRPr="005227AE" w:rsidRDefault="007E2F9F" w:rsidP="006548F8">
            <w:pPr>
              <w:pStyle w:val="Prrafodelista"/>
              <w:ind w:left="0"/>
              <w:jc w:val="right"/>
              <w:rPr>
                <w:rFonts w:ascii="Arial" w:hAnsi="Arial" w:cs="Arial"/>
                <w:b/>
                <w:sz w:val="18"/>
                <w:szCs w:val="18"/>
              </w:rPr>
            </w:pPr>
            <w:r w:rsidRPr="005227AE">
              <w:rPr>
                <w:rFonts w:ascii="Arial" w:eastAsia="Calibri" w:hAnsi="Arial" w:cs="Arial"/>
                <w:b/>
                <w:sz w:val="16"/>
                <w:szCs w:val="16"/>
                <w:lang w:val="es-CO"/>
              </w:rPr>
              <w:t>148.791.279.021,98</w:t>
            </w:r>
          </w:p>
        </w:tc>
        <w:tc>
          <w:tcPr>
            <w:tcW w:w="2249" w:type="dxa"/>
          </w:tcPr>
          <w:p w14:paraId="63CDF492" w14:textId="77777777" w:rsidR="007E2F9F" w:rsidRPr="005227AE" w:rsidRDefault="007E2F9F" w:rsidP="006548F8">
            <w:pPr>
              <w:pStyle w:val="Prrafodelista"/>
              <w:ind w:left="0"/>
              <w:jc w:val="right"/>
              <w:rPr>
                <w:rFonts w:ascii="Arial" w:hAnsi="Arial" w:cs="Arial"/>
                <w:b/>
                <w:sz w:val="18"/>
                <w:szCs w:val="18"/>
              </w:rPr>
            </w:pPr>
            <w:r w:rsidRPr="005227AE">
              <w:rPr>
                <w:rFonts w:ascii="Arial" w:hAnsi="Arial" w:cs="Arial"/>
                <w:b/>
                <w:sz w:val="16"/>
                <w:szCs w:val="16"/>
                <w:highlight w:val="yellow"/>
              </w:rPr>
              <w:t>30.297.418.432.02</w:t>
            </w:r>
          </w:p>
        </w:tc>
      </w:tr>
      <w:tr w:rsidR="007E2F9F" w:rsidRPr="005227AE" w14:paraId="18B80EC0" w14:textId="77777777" w:rsidTr="006548F8">
        <w:tc>
          <w:tcPr>
            <w:tcW w:w="4161" w:type="dxa"/>
          </w:tcPr>
          <w:p w14:paraId="14B68A1C" w14:textId="77777777" w:rsidR="007E2F9F" w:rsidRPr="005227AE" w:rsidRDefault="007E2F9F" w:rsidP="006548F8">
            <w:pPr>
              <w:ind w:right="-1440"/>
              <w:jc w:val="both"/>
              <w:rPr>
                <w:rFonts w:ascii="Arial" w:hAnsi="Arial" w:cs="Arial"/>
                <w:b/>
                <w:sz w:val="18"/>
                <w:szCs w:val="18"/>
                <w:lang w:val="es-ES_tradnl"/>
              </w:rPr>
            </w:pPr>
            <w:r w:rsidRPr="005227AE">
              <w:rPr>
                <w:rFonts w:ascii="Arial" w:hAnsi="Arial" w:cs="Arial"/>
                <w:b/>
                <w:sz w:val="18"/>
                <w:szCs w:val="18"/>
                <w:lang w:val="es-ES_tradnl"/>
              </w:rPr>
              <w:t>TOTAL PÉRDIDAS DE APROPIACIÓN</w:t>
            </w:r>
          </w:p>
        </w:tc>
        <w:tc>
          <w:tcPr>
            <w:tcW w:w="2040" w:type="dxa"/>
          </w:tcPr>
          <w:p w14:paraId="39DD1E20" w14:textId="77777777" w:rsidR="007E2F9F" w:rsidRPr="005227AE" w:rsidRDefault="007E2F9F" w:rsidP="006548F8">
            <w:pPr>
              <w:pStyle w:val="Prrafodelista"/>
              <w:ind w:left="0"/>
              <w:jc w:val="right"/>
              <w:rPr>
                <w:rFonts w:ascii="Arial" w:hAnsi="Arial" w:cs="Arial"/>
                <w:b/>
                <w:sz w:val="18"/>
                <w:szCs w:val="18"/>
                <w:u w:val="single"/>
              </w:rPr>
            </w:pPr>
            <w:r w:rsidRPr="005227AE">
              <w:rPr>
                <w:rFonts w:ascii="Arial" w:eastAsia="Calibri" w:hAnsi="Arial" w:cs="Arial"/>
                <w:b/>
                <w:sz w:val="16"/>
                <w:szCs w:val="16"/>
                <w:lang w:val="es-CO"/>
              </w:rPr>
              <w:t>273.351.559.454,00</w:t>
            </w:r>
          </w:p>
        </w:tc>
        <w:tc>
          <w:tcPr>
            <w:tcW w:w="2040" w:type="dxa"/>
          </w:tcPr>
          <w:p w14:paraId="72D9962D" w14:textId="77777777" w:rsidR="007E2F9F" w:rsidRPr="005227AE" w:rsidRDefault="007E2F9F" w:rsidP="006548F8">
            <w:pPr>
              <w:pStyle w:val="Prrafodelista"/>
              <w:ind w:left="0"/>
              <w:jc w:val="right"/>
              <w:rPr>
                <w:rFonts w:ascii="Arial" w:hAnsi="Arial" w:cs="Arial"/>
                <w:b/>
                <w:sz w:val="18"/>
                <w:szCs w:val="18"/>
                <w:u w:val="single"/>
              </w:rPr>
            </w:pPr>
            <w:r w:rsidRPr="005227AE">
              <w:rPr>
                <w:rFonts w:ascii="Arial" w:eastAsia="Calibri" w:hAnsi="Arial" w:cs="Arial"/>
                <w:b/>
                <w:sz w:val="16"/>
                <w:szCs w:val="16"/>
                <w:lang w:val="es-CO"/>
              </w:rPr>
              <w:t>242.160.252.316,98</w:t>
            </w:r>
          </w:p>
        </w:tc>
        <w:tc>
          <w:tcPr>
            <w:tcW w:w="2249" w:type="dxa"/>
          </w:tcPr>
          <w:p w14:paraId="20633369" w14:textId="77777777" w:rsidR="007E2F9F" w:rsidRPr="005227AE" w:rsidRDefault="007E2F9F" w:rsidP="006548F8">
            <w:pPr>
              <w:pStyle w:val="Prrafodelista"/>
              <w:ind w:left="0"/>
              <w:jc w:val="right"/>
              <w:rPr>
                <w:rFonts w:ascii="Arial" w:hAnsi="Arial" w:cs="Arial"/>
                <w:b/>
                <w:sz w:val="18"/>
                <w:szCs w:val="18"/>
                <w:u w:val="single"/>
              </w:rPr>
            </w:pPr>
            <w:r w:rsidRPr="005227AE">
              <w:rPr>
                <w:rFonts w:ascii="Arial" w:hAnsi="Arial" w:cs="Arial"/>
                <w:b/>
                <w:sz w:val="16"/>
                <w:szCs w:val="16"/>
                <w:highlight w:val="yellow"/>
                <w:u w:val="single"/>
              </w:rPr>
              <w:t>31.191.307.137.02</w:t>
            </w:r>
          </w:p>
        </w:tc>
      </w:tr>
    </w:tbl>
    <w:p w14:paraId="681A99CA" w14:textId="77777777" w:rsidR="007E2F9F" w:rsidRDefault="007E2F9F" w:rsidP="007E2F9F">
      <w:pPr>
        <w:ind w:left="-284" w:right="-234"/>
        <w:jc w:val="both"/>
        <w:rPr>
          <w:rFonts w:ascii="Arial" w:hAnsi="Arial" w:cs="Arial"/>
          <w:b/>
          <w:bCs/>
          <w:sz w:val="28"/>
          <w:szCs w:val="28"/>
        </w:rPr>
      </w:pPr>
    </w:p>
    <w:p w14:paraId="5F8AC381" w14:textId="77777777" w:rsidR="007E2F9F" w:rsidRPr="00613821" w:rsidRDefault="007E2F9F" w:rsidP="007E2F9F">
      <w:pPr>
        <w:ind w:left="-284" w:right="-234"/>
        <w:jc w:val="both"/>
        <w:rPr>
          <w:rFonts w:ascii="Arial" w:hAnsi="Arial" w:cs="Arial"/>
          <w:b/>
          <w:sz w:val="32"/>
          <w:szCs w:val="32"/>
        </w:rPr>
      </w:pPr>
      <w:r w:rsidRPr="00613821">
        <w:rPr>
          <w:rFonts w:ascii="Arial" w:hAnsi="Arial" w:cs="Arial"/>
          <w:b/>
          <w:sz w:val="28"/>
          <w:szCs w:val="28"/>
          <w:lang w:val="es-MX"/>
        </w:rPr>
        <w:t xml:space="preserve">59.- </w:t>
      </w:r>
      <w:r w:rsidRPr="00613821">
        <w:rPr>
          <w:rFonts w:ascii="Arial" w:hAnsi="Arial" w:cs="Arial"/>
          <w:b/>
          <w:sz w:val="28"/>
          <w:szCs w:val="28"/>
        </w:rPr>
        <w:t>FONDO UNICO DE TECNOLOGÍAS DE LA INFORMACIÓN Y LAS COMUNICACIONES – FUTIC.</w:t>
      </w:r>
    </w:p>
    <w:p w14:paraId="697B25FF" w14:textId="77777777" w:rsidR="007E2F9F" w:rsidRPr="00613821" w:rsidRDefault="007E2F9F" w:rsidP="007E2F9F">
      <w:pPr>
        <w:ind w:left="-284" w:right="-234"/>
        <w:jc w:val="both"/>
        <w:rPr>
          <w:rFonts w:ascii="Arial" w:hAnsi="Arial" w:cs="Arial"/>
          <w:b/>
          <w:bCs/>
          <w:sz w:val="28"/>
          <w:szCs w:val="28"/>
        </w:rPr>
      </w:pPr>
    </w:p>
    <w:p w14:paraId="346D8453"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87A3213"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32DFFF82"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F5352A" w14:paraId="7FCD0F1C" w14:textId="77777777" w:rsidTr="006548F8">
        <w:tc>
          <w:tcPr>
            <w:tcW w:w="4161" w:type="dxa"/>
          </w:tcPr>
          <w:p w14:paraId="5659FAB0" w14:textId="77777777" w:rsidR="007E2F9F" w:rsidRPr="00F5352A" w:rsidRDefault="007E2F9F" w:rsidP="006548F8">
            <w:pPr>
              <w:ind w:left="1169" w:right="-1440"/>
              <w:rPr>
                <w:rFonts w:ascii="Arial" w:hAnsi="Arial" w:cs="Arial"/>
                <w:b/>
                <w:sz w:val="18"/>
                <w:szCs w:val="18"/>
                <w:lang w:val="es-ES_tradnl"/>
              </w:rPr>
            </w:pPr>
            <w:r w:rsidRPr="00F5352A">
              <w:rPr>
                <w:rFonts w:ascii="Arial" w:hAnsi="Arial" w:cs="Arial"/>
                <w:b/>
                <w:sz w:val="18"/>
                <w:szCs w:val="18"/>
                <w:lang w:val="es-ES_tradnl"/>
              </w:rPr>
              <w:t>TIPO DE GASTO</w:t>
            </w:r>
          </w:p>
        </w:tc>
        <w:tc>
          <w:tcPr>
            <w:tcW w:w="2040" w:type="dxa"/>
          </w:tcPr>
          <w:p w14:paraId="54F31152"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APROPIACIÓN</w:t>
            </w:r>
          </w:p>
          <w:p w14:paraId="0BEC5966"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DEFINITIVA</w:t>
            </w:r>
          </w:p>
          <w:p w14:paraId="052E5308"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(1)</w:t>
            </w:r>
          </w:p>
          <w:p w14:paraId="5D341D7D" w14:textId="77777777" w:rsidR="007E2F9F" w:rsidRPr="00F5352A" w:rsidRDefault="007E2F9F" w:rsidP="006548F8">
            <w:pPr>
              <w:jc w:val="center"/>
              <w:rPr>
                <w:rFonts w:ascii="Arial" w:hAnsi="Arial" w:cs="Arial"/>
                <w:b/>
                <w:sz w:val="18"/>
                <w:szCs w:val="18"/>
                <w:lang w:val="es-ES_tradnl"/>
              </w:rPr>
            </w:pPr>
          </w:p>
        </w:tc>
        <w:tc>
          <w:tcPr>
            <w:tcW w:w="2040" w:type="dxa"/>
          </w:tcPr>
          <w:p w14:paraId="335C3E78" w14:textId="77777777" w:rsidR="007E2F9F" w:rsidRPr="00F5352A" w:rsidRDefault="007E2F9F" w:rsidP="006548F8">
            <w:pPr>
              <w:ind w:left="145" w:right="184"/>
              <w:jc w:val="center"/>
              <w:rPr>
                <w:rFonts w:ascii="Arial" w:hAnsi="Arial" w:cs="Arial"/>
                <w:b/>
                <w:sz w:val="18"/>
                <w:szCs w:val="18"/>
                <w:lang w:val="es-ES_tradnl"/>
              </w:rPr>
            </w:pPr>
            <w:r w:rsidRPr="00F5352A">
              <w:rPr>
                <w:rFonts w:ascii="Arial" w:hAnsi="Arial" w:cs="Arial"/>
                <w:b/>
                <w:sz w:val="18"/>
                <w:szCs w:val="18"/>
                <w:lang w:val="es-ES_tradnl"/>
              </w:rPr>
              <w:t>EJECUCIÓN</w:t>
            </w:r>
          </w:p>
          <w:p w14:paraId="74D5574F"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COMPROMISOS</w:t>
            </w:r>
          </w:p>
          <w:p w14:paraId="37836A1C"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(2)</w:t>
            </w:r>
          </w:p>
        </w:tc>
        <w:tc>
          <w:tcPr>
            <w:tcW w:w="2249" w:type="dxa"/>
          </w:tcPr>
          <w:p w14:paraId="478A8A1D" w14:textId="77777777" w:rsidR="007E2F9F" w:rsidRPr="00F5352A" w:rsidRDefault="007E2F9F" w:rsidP="006548F8">
            <w:pPr>
              <w:ind w:left="25" w:right="34"/>
              <w:jc w:val="center"/>
              <w:rPr>
                <w:rFonts w:ascii="Arial" w:hAnsi="Arial" w:cs="Arial"/>
                <w:b/>
                <w:sz w:val="18"/>
                <w:szCs w:val="18"/>
                <w:lang w:val="es-ES_tradnl"/>
              </w:rPr>
            </w:pPr>
            <w:r w:rsidRPr="00F5352A">
              <w:rPr>
                <w:rFonts w:ascii="Arial" w:hAnsi="Arial" w:cs="Arial"/>
                <w:b/>
                <w:sz w:val="18"/>
                <w:szCs w:val="18"/>
                <w:lang w:val="es-ES_tradnl"/>
              </w:rPr>
              <w:t>PÉRDIDAS DE</w:t>
            </w:r>
          </w:p>
          <w:p w14:paraId="28E1617D"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APROPIACIÓN</w:t>
            </w:r>
          </w:p>
          <w:p w14:paraId="6965C1EA"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3 = (1-2)</w:t>
            </w:r>
          </w:p>
        </w:tc>
      </w:tr>
      <w:tr w:rsidR="007E2F9F" w:rsidRPr="00F5352A" w14:paraId="0EC288CB" w14:textId="77777777" w:rsidTr="006548F8">
        <w:trPr>
          <w:trHeight w:val="230"/>
        </w:trPr>
        <w:tc>
          <w:tcPr>
            <w:tcW w:w="4161" w:type="dxa"/>
          </w:tcPr>
          <w:p w14:paraId="78C9B4F5"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FUNCIONAMIENTO</w:t>
            </w:r>
          </w:p>
        </w:tc>
        <w:tc>
          <w:tcPr>
            <w:tcW w:w="2040" w:type="dxa"/>
          </w:tcPr>
          <w:p w14:paraId="6D300AB8" w14:textId="77777777" w:rsidR="007E2F9F" w:rsidRPr="00F5352A" w:rsidRDefault="007E2F9F" w:rsidP="006548F8">
            <w:pPr>
              <w:jc w:val="right"/>
              <w:rPr>
                <w:rFonts w:ascii="Arial" w:eastAsia="Calibri" w:hAnsi="Arial" w:cs="Arial"/>
                <w:sz w:val="18"/>
                <w:szCs w:val="18"/>
                <w:lang w:val="es-CO"/>
              </w:rPr>
            </w:pPr>
            <w:r w:rsidRPr="00F5352A">
              <w:rPr>
                <w:rFonts w:ascii="Arial" w:eastAsia="Calibri" w:hAnsi="Arial" w:cs="Arial"/>
                <w:b/>
                <w:sz w:val="16"/>
                <w:szCs w:val="16"/>
                <w:lang w:val="es-CO"/>
              </w:rPr>
              <w:t>590.536.481</w:t>
            </w:r>
          </w:p>
        </w:tc>
        <w:tc>
          <w:tcPr>
            <w:tcW w:w="2040" w:type="dxa"/>
          </w:tcPr>
          <w:p w14:paraId="67182E73" w14:textId="77777777" w:rsidR="007E2F9F" w:rsidRPr="00F5352A" w:rsidRDefault="007E2F9F" w:rsidP="006548F8">
            <w:pPr>
              <w:pStyle w:val="Prrafodelista"/>
              <w:ind w:left="0"/>
              <w:jc w:val="right"/>
              <w:rPr>
                <w:rFonts w:ascii="Arial" w:hAnsi="Arial" w:cs="Arial"/>
                <w:b/>
                <w:sz w:val="18"/>
                <w:szCs w:val="18"/>
              </w:rPr>
            </w:pPr>
            <w:r w:rsidRPr="00F5352A">
              <w:rPr>
                <w:rFonts w:ascii="Arial" w:eastAsia="Calibri" w:hAnsi="Arial" w:cs="Arial"/>
                <w:b/>
                <w:sz w:val="16"/>
                <w:szCs w:val="16"/>
                <w:lang w:val="es-CO"/>
              </w:rPr>
              <w:t>571.496.821</w:t>
            </w:r>
          </w:p>
        </w:tc>
        <w:tc>
          <w:tcPr>
            <w:tcW w:w="2249" w:type="dxa"/>
          </w:tcPr>
          <w:p w14:paraId="25BAEA7D" w14:textId="77777777" w:rsidR="007E2F9F" w:rsidRPr="00F5352A" w:rsidRDefault="007E2F9F" w:rsidP="006548F8">
            <w:pPr>
              <w:pStyle w:val="Prrafodelista"/>
              <w:ind w:left="0"/>
              <w:jc w:val="right"/>
              <w:rPr>
                <w:rFonts w:ascii="Arial" w:hAnsi="Arial" w:cs="Arial"/>
                <w:b/>
                <w:sz w:val="18"/>
                <w:szCs w:val="18"/>
              </w:rPr>
            </w:pPr>
            <w:r w:rsidRPr="00F5352A">
              <w:rPr>
                <w:rFonts w:ascii="Arial" w:hAnsi="Arial" w:cs="Arial"/>
                <w:b/>
                <w:sz w:val="16"/>
                <w:szCs w:val="16"/>
              </w:rPr>
              <w:t>19.039.661</w:t>
            </w:r>
          </w:p>
        </w:tc>
      </w:tr>
      <w:tr w:rsidR="007E2F9F" w:rsidRPr="00F5352A" w14:paraId="66FC8A4F" w14:textId="77777777" w:rsidTr="006548F8">
        <w:tc>
          <w:tcPr>
            <w:tcW w:w="4161" w:type="dxa"/>
          </w:tcPr>
          <w:p w14:paraId="58067CE1"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INVERSIÓN</w:t>
            </w:r>
          </w:p>
        </w:tc>
        <w:tc>
          <w:tcPr>
            <w:tcW w:w="2040" w:type="dxa"/>
          </w:tcPr>
          <w:p w14:paraId="0BF1B93B" w14:textId="77777777" w:rsidR="007E2F9F" w:rsidRPr="00F5352A" w:rsidRDefault="007E2F9F" w:rsidP="006548F8">
            <w:pPr>
              <w:pStyle w:val="Prrafodelista"/>
              <w:ind w:left="0"/>
              <w:jc w:val="right"/>
              <w:rPr>
                <w:rFonts w:ascii="Arial" w:hAnsi="Arial" w:cs="Arial"/>
                <w:b/>
                <w:sz w:val="18"/>
                <w:szCs w:val="18"/>
              </w:rPr>
            </w:pPr>
            <w:r w:rsidRPr="00F5352A">
              <w:rPr>
                <w:rFonts w:ascii="Arial" w:eastAsia="Calibri" w:hAnsi="Arial" w:cs="Arial"/>
                <w:b/>
                <w:sz w:val="16"/>
                <w:szCs w:val="16"/>
                <w:lang w:val="es-CO"/>
              </w:rPr>
              <w:t>2.833.137.741</w:t>
            </w:r>
          </w:p>
        </w:tc>
        <w:tc>
          <w:tcPr>
            <w:tcW w:w="2040" w:type="dxa"/>
          </w:tcPr>
          <w:p w14:paraId="535BB8B7" w14:textId="77777777" w:rsidR="007E2F9F" w:rsidRPr="00F5352A" w:rsidRDefault="007E2F9F" w:rsidP="006548F8">
            <w:pPr>
              <w:pStyle w:val="Prrafodelista"/>
              <w:ind w:left="0"/>
              <w:jc w:val="right"/>
              <w:rPr>
                <w:rFonts w:ascii="Arial" w:hAnsi="Arial" w:cs="Arial"/>
                <w:b/>
                <w:sz w:val="18"/>
                <w:szCs w:val="18"/>
              </w:rPr>
            </w:pPr>
            <w:r w:rsidRPr="00F5352A">
              <w:rPr>
                <w:rFonts w:ascii="Arial" w:eastAsia="Calibri" w:hAnsi="Arial" w:cs="Arial"/>
                <w:b/>
                <w:sz w:val="16"/>
                <w:szCs w:val="16"/>
                <w:lang w:val="es-CO"/>
              </w:rPr>
              <w:t>2.765.192.062</w:t>
            </w:r>
          </w:p>
        </w:tc>
        <w:tc>
          <w:tcPr>
            <w:tcW w:w="2249" w:type="dxa"/>
          </w:tcPr>
          <w:p w14:paraId="00CA2BBC" w14:textId="77777777" w:rsidR="007E2F9F" w:rsidRPr="00F5352A" w:rsidRDefault="007E2F9F" w:rsidP="006548F8">
            <w:pPr>
              <w:pStyle w:val="Prrafodelista"/>
              <w:ind w:left="0"/>
              <w:jc w:val="right"/>
              <w:rPr>
                <w:rFonts w:ascii="Arial" w:hAnsi="Arial" w:cs="Arial"/>
                <w:b/>
                <w:sz w:val="18"/>
                <w:szCs w:val="18"/>
              </w:rPr>
            </w:pPr>
            <w:r w:rsidRPr="00F5352A">
              <w:rPr>
                <w:rFonts w:ascii="Arial" w:hAnsi="Arial" w:cs="Arial"/>
                <w:b/>
                <w:sz w:val="16"/>
                <w:szCs w:val="16"/>
              </w:rPr>
              <w:t>67.945.679</w:t>
            </w:r>
          </w:p>
        </w:tc>
      </w:tr>
      <w:tr w:rsidR="007E2F9F" w:rsidRPr="00F5352A" w14:paraId="1AA2B524" w14:textId="77777777" w:rsidTr="006548F8">
        <w:tc>
          <w:tcPr>
            <w:tcW w:w="4161" w:type="dxa"/>
          </w:tcPr>
          <w:p w14:paraId="0152EFB1"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TOTAL PÉRDIDAS DE APROPIACIÓN</w:t>
            </w:r>
          </w:p>
        </w:tc>
        <w:tc>
          <w:tcPr>
            <w:tcW w:w="2040" w:type="dxa"/>
          </w:tcPr>
          <w:p w14:paraId="65C202F5" w14:textId="77777777" w:rsidR="007E2F9F" w:rsidRPr="00F5352A" w:rsidRDefault="007E2F9F" w:rsidP="006548F8">
            <w:pPr>
              <w:pStyle w:val="Prrafodelista"/>
              <w:ind w:left="0"/>
              <w:jc w:val="right"/>
              <w:rPr>
                <w:rFonts w:ascii="Arial" w:hAnsi="Arial" w:cs="Arial"/>
                <w:b/>
                <w:sz w:val="18"/>
                <w:szCs w:val="18"/>
                <w:u w:val="single"/>
              </w:rPr>
            </w:pPr>
            <w:r w:rsidRPr="00F5352A">
              <w:rPr>
                <w:rFonts w:ascii="Arial" w:eastAsia="Calibri" w:hAnsi="Arial" w:cs="Arial"/>
                <w:b/>
                <w:sz w:val="16"/>
                <w:szCs w:val="16"/>
                <w:lang w:val="es-CO"/>
              </w:rPr>
              <w:t>3.423.674.222</w:t>
            </w:r>
          </w:p>
        </w:tc>
        <w:tc>
          <w:tcPr>
            <w:tcW w:w="2040" w:type="dxa"/>
          </w:tcPr>
          <w:p w14:paraId="5EF870E8" w14:textId="77777777" w:rsidR="007E2F9F" w:rsidRPr="00F5352A" w:rsidRDefault="007E2F9F" w:rsidP="006548F8">
            <w:pPr>
              <w:pStyle w:val="Prrafodelista"/>
              <w:ind w:left="0"/>
              <w:jc w:val="right"/>
              <w:rPr>
                <w:rFonts w:ascii="Arial" w:hAnsi="Arial" w:cs="Arial"/>
                <w:b/>
                <w:sz w:val="18"/>
                <w:szCs w:val="18"/>
                <w:u w:val="single"/>
              </w:rPr>
            </w:pPr>
            <w:r w:rsidRPr="00F5352A">
              <w:rPr>
                <w:rFonts w:ascii="Arial" w:eastAsia="Calibri" w:hAnsi="Arial" w:cs="Arial"/>
                <w:b/>
                <w:sz w:val="16"/>
                <w:szCs w:val="16"/>
                <w:lang w:val="es-CO"/>
              </w:rPr>
              <w:t>3.336.688.882</w:t>
            </w:r>
          </w:p>
        </w:tc>
        <w:tc>
          <w:tcPr>
            <w:tcW w:w="2249" w:type="dxa"/>
          </w:tcPr>
          <w:p w14:paraId="7C105BE7" w14:textId="77777777" w:rsidR="007E2F9F" w:rsidRPr="00F5352A" w:rsidRDefault="007E2F9F" w:rsidP="006548F8">
            <w:pPr>
              <w:pStyle w:val="Prrafodelista"/>
              <w:ind w:left="0"/>
              <w:jc w:val="right"/>
              <w:rPr>
                <w:rFonts w:ascii="Arial" w:hAnsi="Arial" w:cs="Arial"/>
                <w:b/>
                <w:sz w:val="18"/>
                <w:szCs w:val="18"/>
                <w:u w:val="single"/>
              </w:rPr>
            </w:pPr>
            <w:r w:rsidRPr="00F5352A">
              <w:rPr>
                <w:rFonts w:ascii="Arial" w:hAnsi="Arial" w:cs="Arial"/>
                <w:b/>
                <w:sz w:val="16"/>
                <w:szCs w:val="16"/>
                <w:u w:val="single"/>
              </w:rPr>
              <w:t>86.985.340</w:t>
            </w:r>
          </w:p>
        </w:tc>
      </w:tr>
    </w:tbl>
    <w:p w14:paraId="6F0BE23E" w14:textId="77777777" w:rsidR="007E2F9F" w:rsidRDefault="007E2F9F" w:rsidP="007E2F9F">
      <w:pPr>
        <w:ind w:left="-284" w:right="-234"/>
        <w:jc w:val="both"/>
        <w:rPr>
          <w:rFonts w:ascii="Arial" w:hAnsi="Arial" w:cs="Arial"/>
          <w:b/>
          <w:bCs/>
          <w:sz w:val="28"/>
          <w:szCs w:val="28"/>
        </w:rPr>
      </w:pPr>
    </w:p>
    <w:p w14:paraId="35F35F42" w14:textId="77777777" w:rsidR="007E2F9F" w:rsidRPr="004A6385" w:rsidRDefault="007E2F9F" w:rsidP="007E2F9F">
      <w:pPr>
        <w:ind w:left="-284"/>
        <w:jc w:val="both"/>
        <w:rPr>
          <w:rFonts w:ascii="Arial" w:hAnsi="Arial" w:cs="Arial"/>
          <w:b/>
          <w:sz w:val="28"/>
          <w:szCs w:val="28"/>
          <w:lang w:val="es-MX"/>
        </w:rPr>
      </w:pPr>
      <w:r w:rsidRPr="004A6385">
        <w:rPr>
          <w:rFonts w:ascii="Arial" w:hAnsi="Arial" w:cs="Arial"/>
          <w:b/>
          <w:sz w:val="28"/>
          <w:szCs w:val="28"/>
          <w:lang w:val="es-MX"/>
        </w:rPr>
        <w:t>60.- CAJA DE SUELDOS DE RETIRO DE LA POLICIA NACIONAL – CASUR.</w:t>
      </w:r>
    </w:p>
    <w:p w14:paraId="549A2ED5" w14:textId="77777777" w:rsidR="007E2F9F" w:rsidRPr="004A6385" w:rsidRDefault="007E2F9F" w:rsidP="007E2F9F">
      <w:pPr>
        <w:pStyle w:val="Prrafodelista"/>
        <w:ind w:left="-284"/>
        <w:rPr>
          <w:rFonts w:ascii="Arial" w:hAnsi="Arial" w:cs="Arial"/>
          <w:b/>
          <w:sz w:val="24"/>
        </w:rPr>
      </w:pPr>
    </w:p>
    <w:p w14:paraId="3A0382A3"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3B77837"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208B9705"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F5352A" w14:paraId="345D0510" w14:textId="77777777" w:rsidTr="006548F8">
        <w:tc>
          <w:tcPr>
            <w:tcW w:w="4161" w:type="dxa"/>
          </w:tcPr>
          <w:p w14:paraId="262D67C5" w14:textId="77777777" w:rsidR="007E2F9F" w:rsidRPr="00F5352A" w:rsidRDefault="007E2F9F" w:rsidP="006548F8">
            <w:pPr>
              <w:ind w:left="1169" w:right="-1440"/>
              <w:rPr>
                <w:rFonts w:ascii="Arial" w:hAnsi="Arial" w:cs="Arial"/>
                <w:b/>
                <w:sz w:val="18"/>
                <w:szCs w:val="18"/>
                <w:lang w:val="es-ES_tradnl"/>
              </w:rPr>
            </w:pPr>
            <w:r w:rsidRPr="00F5352A">
              <w:rPr>
                <w:rFonts w:ascii="Arial" w:hAnsi="Arial" w:cs="Arial"/>
                <w:b/>
                <w:sz w:val="18"/>
                <w:szCs w:val="18"/>
                <w:lang w:val="es-ES_tradnl"/>
              </w:rPr>
              <w:t>TIPO DE GASTO</w:t>
            </w:r>
          </w:p>
        </w:tc>
        <w:tc>
          <w:tcPr>
            <w:tcW w:w="2040" w:type="dxa"/>
          </w:tcPr>
          <w:p w14:paraId="36F2B8F3"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APROPIACIÓN</w:t>
            </w:r>
          </w:p>
          <w:p w14:paraId="18AE0797"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DEFINITIVA</w:t>
            </w:r>
          </w:p>
          <w:p w14:paraId="6765E001"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(1)</w:t>
            </w:r>
          </w:p>
          <w:p w14:paraId="4A4F7063" w14:textId="77777777" w:rsidR="007E2F9F" w:rsidRPr="00F5352A" w:rsidRDefault="007E2F9F" w:rsidP="006548F8">
            <w:pPr>
              <w:jc w:val="center"/>
              <w:rPr>
                <w:rFonts w:ascii="Arial" w:hAnsi="Arial" w:cs="Arial"/>
                <w:b/>
                <w:sz w:val="18"/>
                <w:szCs w:val="18"/>
                <w:lang w:val="es-ES_tradnl"/>
              </w:rPr>
            </w:pPr>
          </w:p>
        </w:tc>
        <w:tc>
          <w:tcPr>
            <w:tcW w:w="2040" w:type="dxa"/>
          </w:tcPr>
          <w:p w14:paraId="649760A0" w14:textId="77777777" w:rsidR="007E2F9F" w:rsidRPr="00F5352A" w:rsidRDefault="007E2F9F" w:rsidP="006548F8">
            <w:pPr>
              <w:ind w:left="145" w:right="184"/>
              <w:jc w:val="center"/>
              <w:rPr>
                <w:rFonts w:ascii="Arial" w:hAnsi="Arial" w:cs="Arial"/>
                <w:b/>
                <w:sz w:val="18"/>
                <w:szCs w:val="18"/>
                <w:lang w:val="es-ES_tradnl"/>
              </w:rPr>
            </w:pPr>
            <w:r w:rsidRPr="00F5352A">
              <w:rPr>
                <w:rFonts w:ascii="Arial" w:hAnsi="Arial" w:cs="Arial"/>
                <w:b/>
                <w:sz w:val="18"/>
                <w:szCs w:val="18"/>
                <w:lang w:val="es-ES_tradnl"/>
              </w:rPr>
              <w:t>EJECUCIÓN</w:t>
            </w:r>
          </w:p>
          <w:p w14:paraId="1E62D216"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COMPROMISOS</w:t>
            </w:r>
          </w:p>
          <w:p w14:paraId="5022686A"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(2)</w:t>
            </w:r>
          </w:p>
        </w:tc>
        <w:tc>
          <w:tcPr>
            <w:tcW w:w="2249" w:type="dxa"/>
          </w:tcPr>
          <w:p w14:paraId="530C7CDA" w14:textId="77777777" w:rsidR="007E2F9F" w:rsidRPr="00F5352A" w:rsidRDefault="007E2F9F" w:rsidP="006548F8">
            <w:pPr>
              <w:ind w:left="25" w:right="34"/>
              <w:jc w:val="center"/>
              <w:rPr>
                <w:rFonts w:ascii="Arial" w:hAnsi="Arial" w:cs="Arial"/>
                <w:b/>
                <w:sz w:val="18"/>
                <w:szCs w:val="18"/>
                <w:lang w:val="es-ES_tradnl"/>
              </w:rPr>
            </w:pPr>
            <w:r w:rsidRPr="00F5352A">
              <w:rPr>
                <w:rFonts w:ascii="Arial" w:hAnsi="Arial" w:cs="Arial"/>
                <w:b/>
                <w:sz w:val="18"/>
                <w:szCs w:val="18"/>
                <w:lang w:val="es-ES_tradnl"/>
              </w:rPr>
              <w:t>PÉRDIDAS DE</w:t>
            </w:r>
          </w:p>
          <w:p w14:paraId="211EA8F0"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APROPIACIÓN</w:t>
            </w:r>
          </w:p>
          <w:p w14:paraId="3043CEB0"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3 = (1-2)</w:t>
            </w:r>
          </w:p>
        </w:tc>
      </w:tr>
      <w:tr w:rsidR="007E2F9F" w:rsidRPr="00F5352A" w14:paraId="5AC92865" w14:textId="77777777" w:rsidTr="006548F8">
        <w:trPr>
          <w:trHeight w:val="230"/>
        </w:trPr>
        <w:tc>
          <w:tcPr>
            <w:tcW w:w="4161" w:type="dxa"/>
          </w:tcPr>
          <w:p w14:paraId="6F980975"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FUNCIONAMIENTO</w:t>
            </w:r>
          </w:p>
        </w:tc>
        <w:tc>
          <w:tcPr>
            <w:tcW w:w="2040" w:type="dxa"/>
          </w:tcPr>
          <w:p w14:paraId="36AFB4C2" w14:textId="77777777" w:rsidR="007E2F9F" w:rsidRPr="00F5352A" w:rsidRDefault="007E2F9F" w:rsidP="006548F8">
            <w:pPr>
              <w:jc w:val="right"/>
              <w:rPr>
                <w:rFonts w:ascii="Arial" w:eastAsia="Calibri" w:hAnsi="Arial" w:cs="Arial"/>
                <w:sz w:val="18"/>
                <w:szCs w:val="18"/>
                <w:lang w:val="es-CO"/>
              </w:rPr>
            </w:pPr>
            <w:r>
              <w:rPr>
                <w:rFonts w:ascii="Arial" w:eastAsia="Calibri" w:hAnsi="Arial" w:cs="Arial"/>
                <w:sz w:val="18"/>
                <w:szCs w:val="18"/>
                <w:lang w:val="es-CO"/>
              </w:rPr>
              <w:t>6.564.829.287</w:t>
            </w:r>
          </w:p>
        </w:tc>
        <w:tc>
          <w:tcPr>
            <w:tcW w:w="2040" w:type="dxa"/>
          </w:tcPr>
          <w:p w14:paraId="0DB635A5"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6.453.815.221</w:t>
            </w:r>
          </w:p>
        </w:tc>
        <w:tc>
          <w:tcPr>
            <w:tcW w:w="2249" w:type="dxa"/>
          </w:tcPr>
          <w:p w14:paraId="2234B324"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111.014.066</w:t>
            </w:r>
          </w:p>
        </w:tc>
      </w:tr>
      <w:tr w:rsidR="007E2F9F" w:rsidRPr="00F5352A" w14:paraId="6AA7B477" w14:textId="77777777" w:rsidTr="006548F8">
        <w:tc>
          <w:tcPr>
            <w:tcW w:w="4161" w:type="dxa"/>
          </w:tcPr>
          <w:p w14:paraId="721F8CFF"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INVERSIÓN</w:t>
            </w:r>
          </w:p>
        </w:tc>
        <w:tc>
          <w:tcPr>
            <w:tcW w:w="2040" w:type="dxa"/>
          </w:tcPr>
          <w:p w14:paraId="3F70F877"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10.540.000</w:t>
            </w:r>
          </w:p>
        </w:tc>
        <w:tc>
          <w:tcPr>
            <w:tcW w:w="2040" w:type="dxa"/>
          </w:tcPr>
          <w:p w14:paraId="6BF8C15F"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8.572.324</w:t>
            </w:r>
          </w:p>
        </w:tc>
        <w:tc>
          <w:tcPr>
            <w:tcW w:w="2249" w:type="dxa"/>
          </w:tcPr>
          <w:p w14:paraId="411F590A"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1.967.676</w:t>
            </w:r>
          </w:p>
        </w:tc>
      </w:tr>
      <w:tr w:rsidR="007E2F9F" w:rsidRPr="00F5352A" w14:paraId="2DEC3F9E" w14:textId="77777777" w:rsidTr="006548F8">
        <w:tc>
          <w:tcPr>
            <w:tcW w:w="4161" w:type="dxa"/>
          </w:tcPr>
          <w:p w14:paraId="3EC31F48"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TOTAL PÉRDIDAS DE APROPIACIÓN</w:t>
            </w:r>
          </w:p>
        </w:tc>
        <w:tc>
          <w:tcPr>
            <w:tcW w:w="2040" w:type="dxa"/>
          </w:tcPr>
          <w:p w14:paraId="5E93F621" w14:textId="77777777" w:rsidR="007E2F9F" w:rsidRPr="00F5352A" w:rsidRDefault="007E2F9F" w:rsidP="006548F8">
            <w:pPr>
              <w:pStyle w:val="Prrafodelista"/>
              <w:ind w:left="0"/>
              <w:jc w:val="right"/>
              <w:rPr>
                <w:rFonts w:ascii="Arial" w:hAnsi="Arial" w:cs="Arial"/>
                <w:b/>
                <w:sz w:val="18"/>
                <w:szCs w:val="18"/>
                <w:u w:val="single"/>
              </w:rPr>
            </w:pPr>
            <w:r>
              <w:rPr>
                <w:rFonts w:ascii="Arial" w:hAnsi="Arial" w:cs="Arial"/>
                <w:b/>
                <w:sz w:val="18"/>
                <w:szCs w:val="18"/>
                <w:u w:val="single"/>
              </w:rPr>
              <w:t>6.575.369.287</w:t>
            </w:r>
          </w:p>
        </w:tc>
        <w:tc>
          <w:tcPr>
            <w:tcW w:w="2040" w:type="dxa"/>
          </w:tcPr>
          <w:p w14:paraId="6D563C2F" w14:textId="77777777" w:rsidR="007E2F9F" w:rsidRPr="00F5352A" w:rsidRDefault="007E2F9F" w:rsidP="006548F8">
            <w:pPr>
              <w:pStyle w:val="Prrafodelista"/>
              <w:ind w:left="0"/>
              <w:jc w:val="right"/>
              <w:rPr>
                <w:rFonts w:ascii="Arial" w:hAnsi="Arial" w:cs="Arial"/>
                <w:b/>
                <w:sz w:val="18"/>
                <w:szCs w:val="18"/>
                <w:u w:val="single"/>
              </w:rPr>
            </w:pPr>
            <w:r>
              <w:rPr>
                <w:rFonts w:ascii="Arial" w:hAnsi="Arial" w:cs="Arial"/>
                <w:b/>
                <w:sz w:val="18"/>
                <w:szCs w:val="18"/>
                <w:u w:val="single"/>
              </w:rPr>
              <w:t>6.462.387.545</w:t>
            </w:r>
          </w:p>
        </w:tc>
        <w:tc>
          <w:tcPr>
            <w:tcW w:w="2249" w:type="dxa"/>
          </w:tcPr>
          <w:p w14:paraId="204FBC01" w14:textId="77777777" w:rsidR="007E2F9F" w:rsidRPr="00F5352A" w:rsidRDefault="007E2F9F" w:rsidP="006548F8">
            <w:pPr>
              <w:pStyle w:val="Prrafodelista"/>
              <w:ind w:left="0"/>
              <w:jc w:val="right"/>
              <w:rPr>
                <w:rFonts w:ascii="Arial" w:hAnsi="Arial" w:cs="Arial"/>
                <w:b/>
                <w:sz w:val="18"/>
                <w:szCs w:val="18"/>
                <w:u w:val="single"/>
              </w:rPr>
            </w:pPr>
            <w:r>
              <w:rPr>
                <w:rFonts w:ascii="Arial" w:hAnsi="Arial" w:cs="Arial"/>
                <w:b/>
                <w:sz w:val="18"/>
                <w:szCs w:val="18"/>
                <w:u w:val="single"/>
              </w:rPr>
              <w:t>112.981.742</w:t>
            </w:r>
          </w:p>
        </w:tc>
      </w:tr>
    </w:tbl>
    <w:p w14:paraId="5B514E4A" w14:textId="77777777" w:rsidR="007E2F9F" w:rsidRDefault="007E2F9F" w:rsidP="007E2F9F">
      <w:pPr>
        <w:ind w:left="-284" w:right="-234"/>
        <w:jc w:val="both"/>
        <w:rPr>
          <w:rFonts w:ascii="Arial" w:hAnsi="Arial" w:cs="Arial"/>
          <w:b/>
          <w:bCs/>
          <w:sz w:val="28"/>
          <w:szCs w:val="28"/>
        </w:rPr>
      </w:pPr>
    </w:p>
    <w:p w14:paraId="59354812" w14:textId="77777777" w:rsidR="007E2F9F" w:rsidRDefault="007E2F9F" w:rsidP="007E2F9F">
      <w:pPr>
        <w:pStyle w:val="Ttulo6"/>
        <w:tabs>
          <w:tab w:val="left" w:pos="8505"/>
        </w:tabs>
        <w:spacing w:before="0"/>
        <w:ind w:left="-284" w:right="-234" w:firstLine="0"/>
        <w:jc w:val="both"/>
        <w:rPr>
          <w:rFonts w:ascii="Arial" w:hAnsi="Arial" w:cs="Arial"/>
          <w:b/>
          <w:i w:val="0"/>
          <w:iCs w:val="0"/>
          <w:color w:val="auto"/>
          <w:spacing w:val="-2"/>
          <w:sz w:val="28"/>
          <w:szCs w:val="28"/>
        </w:rPr>
      </w:pPr>
      <w:r w:rsidRPr="00116592">
        <w:rPr>
          <w:rFonts w:ascii="Arial" w:hAnsi="Arial" w:cs="Arial"/>
          <w:b/>
          <w:i w:val="0"/>
          <w:iCs w:val="0"/>
          <w:color w:val="auto"/>
          <w:sz w:val="28"/>
          <w:szCs w:val="28"/>
          <w:lang w:val="es-MX"/>
        </w:rPr>
        <w:t xml:space="preserve">61.- </w:t>
      </w:r>
      <w:r w:rsidRPr="00116592">
        <w:rPr>
          <w:rFonts w:ascii="Arial" w:hAnsi="Arial" w:cs="Arial"/>
          <w:b/>
          <w:i w:val="0"/>
          <w:iCs w:val="0"/>
          <w:color w:val="auto"/>
          <w:sz w:val="28"/>
          <w:szCs w:val="28"/>
        </w:rPr>
        <w:t xml:space="preserve">UNIDAD NACIONAL PARA LA GESTIÓN DEL RIESGO DE DESASTRES - </w:t>
      </w:r>
      <w:r w:rsidRPr="00116592">
        <w:rPr>
          <w:rFonts w:ascii="Arial" w:hAnsi="Arial" w:cs="Arial"/>
          <w:b/>
          <w:i w:val="0"/>
          <w:iCs w:val="0"/>
          <w:color w:val="auto"/>
          <w:spacing w:val="-2"/>
          <w:sz w:val="28"/>
          <w:szCs w:val="28"/>
        </w:rPr>
        <w:t>UNGRD.</w:t>
      </w:r>
    </w:p>
    <w:p w14:paraId="6C1AB68C" w14:textId="77777777" w:rsidR="007E2F9F" w:rsidRDefault="007E2F9F" w:rsidP="007E2F9F"/>
    <w:p w14:paraId="57DA1B29"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550C8F0"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lastRenderedPageBreak/>
        <w:t>(Cifras en miles de</w:t>
      </w:r>
      <w:r w:rsidRPr="000568EF">
        <w:rPr>
          <w:rFonts w:ascii="Arial" w:hAnsi="Arial" w:cs="Arial"/>
          <w:spacing w:val="-11"/>
          <w:sz w:val="24"/>
        </w:rPr>
        <w:t xml:space="preserve"> </w:t>
      </w:r>
      <w:r w:rsidRPr="000568EF">
        <w:rPr>
          <w:rFonts w:ascii="Arial" w:hAnsi="Arial" w:cs="Arial"/>
          <w:sz w:val="24"/>
        </w:rPr>
        <w:t>pesos).</w:t>
      </w:r>
    </w:p>
    <w:p w14:paraId="67397F3E"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F5352A" w14:paraId="70E7926A" w14:textId="77777777" w:rsidTr="006548F8">
        <w:tc>
          <w:tcPr>
            <w:tcW w:w="4161" w:type="dxa"/>
          </w:tcPr>
          <w:p w14:paraId="23D3687C" w14:textId="77777777" w:rsidR="007E2F9F" w:rsidRPr="00F5352A" w:rsidRDefault="007E2F9F" w:rsidP="006548F8">
            <w:pPr>
              <w:ind w:left="1169" w:right="-1440"/>
              <w:rPr>
                <w:rFonts w:ascii="Arial" w:hAnsi="Arial" w:cs="Arial"/>
                <w:b/>
                <w:sz w:val="18"/>
                <w:szCs w:val="18"/>
                <w:lang w:val="es-ES_tradnl"/>
              </w:rPr>
            </w:pPr>
            <w:r w:rsidRPr="00F5352A">
              <w:rPr>
                <w:rFonts w:ascii="Arial" w:hAnsi="Arial" w:cs="Arial"/>
                <w:b/>
                <w:sz w:val="18"/>
                <w:szCs w:val="18"/>
                <w:lang w:val="es-ES_tradnl"/>
              </w:rPr>
              <w:t>TIPO DE GASTO</w:t>
            </w:r>
          </w:p>
        </w:tc>
        <w:tc>
          <w:tcPr>
            <w:tcW w:w="2040" w:type="dxa"/>
          </w:tcPr>
          <w:p w14:paraId="005C134D"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APROPIACIÓN</w:t>
            </w:r>
          </w:p>
          <w:p w14:paraId="675D1190"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DEFINITIVA</w:t>
            </w:r>
          </w:p>
          <w:p w14:paraId="7877C20A"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(1)</w:t>
            </w:r>
          </w:p>
          <w:p w14:paraId="255BE41C" w14:textId="77777777" w:rsidR="007E2F9F" w:rsidRPr="00F5352A" w:rsidRDefault="007E2F9F" w:rsidP="006548F8">
            <w:pPr>
              <w:jc w:val="center"/>
              <w:rPr>
                <w:rFonts w:ascii="Arial" w:hAnsi="Arial" w:cs="Arial"/>
                <w:b/>
                <w:sz w:val="18"/>
                <w:szCs w:val="18"/>
                <w:lang w:val="es-ES_tradnl"/>
              </w:rPr>
            </w:pPr>
          </w:p>
        </w:tc>
        <w:tc>
          <w:tcPr>
            <w:tcW w:w="2040" w:type="dxa"/>
          </w:tcPr>
          <w:p w14:paraId="514ABDFE" w14:textId="77777777" w:rsidR="007E2F9F" w:rsidRPr="00F5352A" w:rsidRDefault="007E2F9F" w:rsidP="006548F8">
            <w:pPr>
              <w:ind w:left="145" w:right="184"/>
              <w:jc w:val="center"/>
              <w:rPr>
                <w:rFonts w:ascii="Arial" w:hAnsi="Arial" w:cs="Arial"/>
                <w:b/>
                <w:sz w:val="18"/>
                <w:szCs w:val="18"/>
                <w:lang w:val="es-ES_tradnl"/>
              </w:rPr>
            </w:pPr>
            <w:r w:rsidRPr="00F5352A">
              <w:rPr>
                <w:rFonts w:ascii="Arial" w:hAnsi="Arial" w:cs="Arial"/>
                <w:b/>
                <w:sz w:val="18"/>
                <w:szCs w:val="18"/>
                <w:lang w:val="es-ES_tradnl"/>
              </w:rPr>
              <w:t>EJECUCIÓN</w:t>
            </w:r>
          </w:p>
          <w:p w14:paraId="3B679F7A"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COMPROMISOS</w:t>
            </w:r>
          </w:p>
          <w:p w14:paraId="115DDBDF"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(2)</w:t>
            </w:r>
          </w:p>
        </w:tc>
        <w:tc>
          <w:tcPr>
            <w:tcW w:w="2249" w:type="dxa"/>
          </w:tcPr>
          <w:p w14:paraId="58C8B79A" w14:textId="77777777" w:rsidR="007E2F9F" w:rsidRPr="00F5352A" w:rsidRDefault="007E2F9F" w:rsidP="006548F8">
            <w:pPr>
              <w:ind w:left="25" w:right="34"/>
              <w:jc w:val="center"/>
              <w:rPr>
                <w:rFonts w:ascii="Arial" w:hAnsi="Arial" w:cs="Arial"/>
                <w:b/>
                <w:sz w:val="18"/>
                <w:szCs w:val="18"/>
                <w:lang w:val="es-ES_tradnl"/>
              </w:rPr>
            </w:pPr>
            <w:r w:rsidRPr="00F5352A">
              <w:rPr>
                <w:rFonts w:ascii="Arial" w:hAnsi="Arial" w:cs="Arial"/>
                <w:b/>
                <w:sz w:val="18"/>
                <w:szCs w:val="18"/>
                <w:lang w:val="es-ES_tradnl"/>
              </w:rPr>
              <w:t>PÉRDIDAS DE</w:t>
            </w:r>
          </w:p>
          <w:p w14:paraId="273874A0"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APROPIACIÓN</w:t>
            </w:r>
          </w:p>
          <w:p w14:paraId="3BDEE442"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3 = (1-2)</w:t>
            </w:r>
          </w:p>
        </w:tc>
      </w:tr>
      <w:tr w:rsidR="007E2F9F" w:rsidRPr="00F5352A" w14:paraId="57F2910A" w14:textId="77777777" w:rsidTr="006548F8">
        <w:trPr>
          <w:trHeight w:val="230"/>
        </w:trPr>
        <w:tc>
          <w:tcPr>
            <w:tcW w:w="4161" w:type="dxa"/>
          </w:tcPr>
          <w:p w14:paraId="7EE8CF8F"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FUNCIONAMIENTO</w:t>
            </w:r>
          </w:p>
        </w:tc>
        <w:tc>
          <w:tcPr>
            <w:tcW w:w="2040" w:type="dxa"/>
          </w:tcPr>
          <w:p w14:paraId="446FA63F" w14:textId="77777777" w:rsidR="007E2F9F" w:rsidRPr="00F5352A" w:rsidRDefault="007E2F9F" w:rsidP="006548F8">
            <w:pPr>
              <w:jc w:val="right"/>
              <w:rPr>
                <w:rFonts w:ascii="Arial" w:eastAsia="Calibri" w:hAnsi="Arial" w:cs="Arial"/>
                <w:sz w:val="18"/>
                <w:szCs w:val="18"/>
                <w:lang w:val="es-CO"/>
              </w:rPr>
            </w:pPr>
            <w:r>
              <w:rPr>
                <w:rFonts w:eastAsia="Calibri"/>
                <w:b/>
                <w:sz w:val="16"/>
                <w:szCs w:val="16"/>
                <w:lang w:val="es-CO"/>
              </w:rPr>
              <w:t>810.352.766,96</w:t>
            </w:r>
          </w:p>
        </w:tc>
        <w:tc>
          <w:tcPr>
            <w:tcW w:w="2040" w:type="dxa"/>
          </w:tcPr>
          <w:p w14:paraId="0A499E20" w14:textId="77777777" w:rsidR="007E2F9F" w:rsidRPr="00F5352A" w:rsidRDefault="007E2F9F" w:rsidP="006548F8">
            <w:pPr>
              <w:pStyle w:val="Prrafodelista"/>
              <w:ind w:left="0"/>
              <w:jc w:val="right"/>
              <w:rPr>
                <w:rFonts w:ascii="Arial" w:hAnsi="Arial" w:cs="Arial"/>
                <w:b/>
                <w:sz w:val="18"/>
                <w:szCs w:val="18"/>
              </w:rPr>
            </w:pPr>
            <w:r>
              <w:rPr>
                <w:rFonts w:eastAsia="Calibri"/>
                <w:b/>
                <w:sz w:val="16"/>
                <w:szCs w:val="16"/>
                <w:lang w:val="es-CO"/>
              </w:rPr>
              <w:t>767.585.422,04</w:t>
            </w:r>
          </w:p>
        </w:tc>
        <w:tc>
          <w:tcPr>
            <w:tcW w:w="2249" w:type="dxa"/>
          </w:tcPr>
          <w:p w14:paraId="4543DFEE"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42.767.344.92</w:t>
            </w:r>
          </w:p>
        </w:tc>
      </w:tr>
      <w:tr w:rsidR="007E2F9F" w:rsidRPr="00F5352A" w14:paraId="2B83BD21" w14:textId="77777777" w:rsidTr="006548F8">
        <w:tc>
          <w:tcPr>
            <w:tcW w:w="4161" w:type="dxa"/>
          </w:tcPr>
          <w:p w14:paraId="0FB315D6"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INVERSIÓN</w:t>
            </w:r>
          </w:p>
        </w:tc>
        <w:tc>
          <w:tcPr>
            <w:tcW w:w="2040" w:type="dxa"/>
          </w:tcPr>
          <w:p w14:paraId="6459671D" w14:textId="77777777" w:rsidR="007E2F9F" w:rsidRPr="00F5352A" w:rsidRDefault="007E2F9F" w:rsidP="006548F8">
            <w:pPr>
              <w:pStyle w:val="Prrafodelista"/>
              <w:ind w:left="0"/>
              <w:jc w:val="right"/>
              <w:rPr>
                <w:rFonts w:ascii="Arial" w:hAnsi="Arial" w:cs="Arial"/>
                <w:b/>
                <w:sz w:val="18"/>
                <w:szCs w:val="18"/>
              </w:rPr>
            </w:pPr>
            <w:r>
              <w:rPr>
                <w:rFonts w:eastAsia="Calibri"/>
                <w:b/>
                <w:sz w:val="16"/>
                <w:szCs w:val="16"/>
                <w:lang w:val="es-CO"/>
              </w:rPr>
              <w:t>24.935.640,39</w:t>
            </w:r>
          </w:p>
        </w:tc>
        <w:tc>
          <w:tcPr>
            <w:tcW w:w="2040" w:type="dxa"/>
          </w:tcPr>
          <w:p w14:paraId="54D5C276" w14:textId="77777777" w:rsidR="007E2F9F" w:rsidRPr="00F5352A" w:rsidRDefault="007E2F9F" w:rsidP="006548F8">
            <w:pPr>
              <w:pStyle w:val="Prrafodelista"/>
              <w:ind w:left="0"/>
              <w:jc w:val="right"/>
              <w:rPr>
                <w:rFonts w:ascii="Arial" w:hAnsi="Arial" w:cs="Arial"/>
                <w:b/>
                <w:sz w:val="18"/>
                <w:szCs w:val="18"/>
              </w:rPr>
            </w:pPr>
            <w:r>
              <w:rPr>
                <w:rFonts w:eastAsia="Calibri"/>
                <w:b/>
                <w:sz w:val="16"/>
                <w:szCs w:val="16"/>
                <w:lang w:val="es-CO"/>
              </w:rPr>
              <w:t>24.867.780,92</w:t>
            </w:r>
          </w:p>
        </w:tc>
        <w:tc>
          <w:tcPr>
            <w:tcW w:w="2249" w:type="dxa"/>
          </w:tcPr>
          <w:p w14:paraId="27921D88" w14:textId="77777777" w:rsidR="007E2F9F" w:rsidRPr="00F5352A" w:rsidRDefault="007E2F9F" w:rsidP="006548F8">
            <w:pPr>
              <w:pStyle w:val="Prrafodelista"/>
              <w:ind w:left="0"/>
              <w:jc w:val="right"/>
              <w:rPr>
                <w:rFonts w:ascii="Arial" w:hAnsi="Arial" w:cs="Arial"/>
                <w:b/>
                <w:sz w:val="18"/>
                <w:szCs w:val="18"/>
              </w:rPr>
            </w:pPr>
            <w:r>
              <w:rPr>
                <w:rFonts w:ascii="Arial" w:hAnsi="Arial" w:cs="Arial"/>
                <w:b/>
                <w:sz w:val="18"/>
                <w:szCs w:val="18"/>
              </w:rPr>
              <w:t>67.859.47</w:t>
            </w:r>
          </w:p>
        </w:tc>
      </w:tr>
      <w:tr w:rsidR="007E2F9F" w:rsidRPr="00F5352A" w14:paraId="4AE2FE00" w14:textId="77777777" w:rsidTr="006548F8">
        <w:tc>
          <w:tcPr>
            <w:tcW w:w="4161" w:type="dxa"/>
          </w:tcPr>
          <w:p w14:paraId="77FB62D7"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TOTAL PÉRDIDAS DE APROPIACIÓN</w:t>
            </w:r>
          </w:p>
        </w:tc>
        <w:tc>
          <w:tcPr>
            <w:tcW w:w="2040" w:type="dxa"/>
          </w:tcPr>
          <w:p w14:paraId="020BD9BB" w14:textId="77777777" w:rsidR="007E2F9F" w:rsidRPr="00F5352A" w:rsidRDefault="007E2F9F" w:rsidP="006548F8">
            <w:pPr>
              <w:pStyle w:val="Prrafodelista"/>
              <w:ind w:left="0"/>
              <w:jc w:val="right"/>
              <w:rPr>
                <w:rFonts w:ascii="Arial" w:hAnsi="Arial" w:cs="Arial"/>
                <w:b/>
                <w:sz w:val="18"/>
                <w:szCs w:val="18"/>
                <w:u w:val="single"/>
              </w:rPr>
            </w:pPr>
            <w:r>
              <w:rPr>
                <w:rFonts w:eastAsia="Calibri"/>
                <w:b/>
                <w:sz w:val="16"/>
                <w:szCs w:val="16"/>
                <w:lang w:val="es-CO"/>
              </w:rPr>
              <w:t>835.288.407,35</w:t>
            </w:r>
          </w:p>
        </w:tc>
        <w:tc>
          <w:tcPr>
            <w:tcW w:w="2040" w:type="dxa"/>
          </w:tcPr>
          <w:p w14:paraId="1BAC85B8" w14:textId="77777777" w:rsidR="007E2F9F" w:rsidRPr="00F5352A" w:rsidRDefault="007E2F9F" w:rsidP="006548F8">
            <w:pPr>
              <w:pStyle w:val="Prrafodelista"/>
              <w:ind w:left="0"/>
              <w:jc w:val="right"/>
              <w:rPr>
                <w:rFonts w:ascii="Arial" w:hAnsi="Arial" w:cs="Arial"/>
                <w:b/>
                <w:sz w:val="18"/>
                <w:szCs w:val="18"/>
                <w:u w:val="single"/>
              </w:rPr>
            </w:pPr>
            <w:r>
              <w:rPr>
                <w:rFonts w:eastAsia="Calibri"/>
                <w:b/>
                <w:sz w:val="16"/>
                <w:szCs w:val="16"/>
                <w:lang w:val="es-CO"/>
              </w:rPr>
              <w:t>792.453.202,96</w:t>
            </w:r>
          </w:p>
        </w:tc>
        <w:tc>
          <w:tcPr>
            <w:tcW w:w="2249" w:type="dxa"/>
          </w:tcPr>
          <w:p w14:paraId="4492B2D2" w14:textId="77777777" w:rsidR="007E2F9F" w:rsidRPr="00F5352A" w:rsidRDefault="007E2F9F" w:rsidP="006548F8">
            <w:pPr>
              <w:pStyle w:val="Prrafodelista"/>
              <w:ind w:left="0"/>
              <w:jc w:val="right"/>
              <w:rPr>
                <w:rFonts w:ascii="Arial" w:hAnsi="Arial" w:cs="Arial"/>
                <w:b/>
                <w:sz w:val="18"/>
                <w:szCs w:val="18"/>
                <w:u w:val="single"/>
              </w:rPr>
            </w:pPr>
            <w:r>
              <w:rPr>
                <w:rFonts w:ascii="Arial" w:hAnsi="Arial" w:cs="Arial"/>
                <w:b/>
                <w:sz w:val="18"/>
                <w:szCs w:val="18"/>
                <w:u w:val="single"/>
              </w:rPr>
              <w:t>42.835.204.39</w:t>
            </w:r>
          </w:p>
        </w:tc>
      </w:tr>
    </w:tbl>
    <w:p w14:paraId="01372C6E" w14:textId="77777777" w:rsidR="007E2F9F" w:rsidRPr="00116592" w:rsidRDefault="007E2F9F" w:rsidP="007E2F9F"/>
    <w:p w14:paraId="3CB0370D" w14:textId="77777777" w:rsidR="007E2F9F" w:rsidRPr="006E15FA" w:rsidRDefault="007E2F9F" w:rsidP="007E2F9F">
      <w:pPr>
        <w:ind w:left="-284"/>
        <w:rPr>
          <w:rFonts w:ascii="Arial" w:hAnsi="Arial" w:cs="Arial"/>
          <w:b/>
          <w:sz w:val="28"/>
          <w:szCs w:val="28"/>
          <w:lang w:val="es-MX"/>
        </w:rPr>
      </w:pPr>
      <w:r w:rsidRPr="006E15FA">
        <w:rPr>
          <w:rFonts w:ascii="Arial" w:hAnsi="Arial" w:cs="Arial"/>
          <w:b/>
          <w:sz w:val="28"/>
          <w:szCs w:val="28"/>
        </w:rPr>
        <w:t>63.- AGENCIA DE RENOVACIÓN DE TERRITORIO - ART.</w:t>
      </w:r>
    </w:p>
    <w:p w14:paraId="4F3CC550" w14:textId="77777777" w:rsidR="007E2F9F" w:rsidRDefault="007E2F9F" w:rsidP="007E2F9F">
      <w:pPr>
        <w:ind w:left="-284" w:right="-234"/>
        <w:jc w:val="both"/>
        <w:rPr>
          <w:rFonts w:ascii="Arial" w:hAnsi="Arial" w:cs="Arial"/>
          <w:b/>
          <w:bCs/>
          <w:sz w:val="28"/>
          <w:szCs w:val="28"/>
        </w:rPr>
      </w:pPr>
    </w:p>
    <w:p w14:paraId="696A8053"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5C9F06E"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F19849A"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F5352A" w14:paraId="0A37300D" w14:textId="77777777" w:rsidTr="006548F8">
        <w:tc>
          <w:tcPr>
            <w:tcW w:w="4161" w:type="dxa"/>
          </w:tcPr>
          <w:p w14:paraId="3100DD37" w14:textId="77777777" w:rsidR="007E2F9F" w:rsidRPr="00F5352A" w:rsidRDefault="007E2F9F" w:rsidP="006548F8">
            <w:pPr>
              <w:ind w:left="1169" w:right="-1440"/>
              <w:rPr>
                <w:rFonts w:ascii="Arial" w:hAnsi="Arial" w:cs="Arial"/>
                <w:b/>
                <w:sz w:val="18"/>
                <w:szCs w:val="18"/>
                <w:lang w:val="es-ES_tradnl"/>
              </w:rPr>
            </w:pPr>
            <w:r w:rsidRPr="00F5352A">
              <w:rPr>
                <w:rFonts w:ascii="Arial" w:hAnsi="Arial" w:cs="Arial"/>
                <w:b/>
                <w:sz w:val="18"/>
                <w:szCs w:val="18"/>
                <w:lang w:val="es-ES_tradnl"/>
              </w:rPr>
              <w:t>TIPO DE GASTO</w:t>
            </w:r>
          </w:p>
        </w:tc>
        <w:tc>
          <w:tcPr>
            <w:tcW w:w="2040" w:type="dxa"/>
          </w:tcPr>
          <w:p w14:paraId="09335595"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APROPIACIÓN</w:t>
            </w:r>
          </w:p>
          <w:p w14:paraId="1166FD5D"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DEFINITIVA</w:t>
            </w:r>
          </w:p>
          <w:p w14:paraId="37129028" w14:textId="77777777" w:rsidR="007E2F9F" w:rsidRPr="00F5352A" w:rsidRDefault="007E2F9F" w:rsidP="006548F8">
            <w:pPr>
              <w:jc w:val="center"/>
              <w:rPr>
                <w:rFonts w:ascii="Arial" w:hAnsi="Arial" w:cs="Arial"/>
                <w:b/>
                <w:sz w:val="18"/>
                <w:szCs w:val="18"/>
                <w:lang w:val="es-ES_tradnl"/>
              </w:rPr>
            </w:pPr>
            <w:r w:rsidRPr="00F5352A">
              <w:rPr>
                <w:rFonts w:ascii="Arial" w:hAnsi="Arial" w:cs="Arial"/>
                <w:b/>
                <w:sz w:val="18"/>
                <w:szCs w:val="18"/>
                <w:lang w:val="es-ES_tradnl"/>
              </w:rPr>
              <w:t>(1)</w:t>
            </w:r>
          </w:p>
          <w:p w14:paraId="5E313149" w14:textId="77777777" w:rsidR="007E2F9F" w:rsidRPr="00F5352A" w:rsidRDefault="007E2F9F" w:rsidP="006548F8">
            <w:pPr>
              <w:jc w:val="center"/>
              <w:rPr>
                <w:rFonts w:ascii="Arial" w:hAnsi="Arial" w:cs="Arial"/>
                <w:b/>
                <w:sz w:val="18"/>
                <w:szCs w:val="18"/>
                <w:lang w:val="es-ES_tradnl"/>
              </w:rPr>
            </w:pPr>
          </w:p>
        </w:tc>
        <w:tc>
          <w:tcPr>
            <w:tcW w:w="2040" w:type="dxa"/>
          </w:tcPr>
          <w:p w14:paraId="203CA6CC" w14:textId="77777777" w:rsidR="007E2F9F" w:rsidRPr="00F5352A" w:rsidRDefault="007E2F9F" w:rsidP="006548F8">
            <w:pPr>
              <w:ind w:left="145" w:right="184"/>
              <w:jc w:val="center"/>
              <w:rPr>
                <w:rFonts w:ascii="Arial" w:hAnsi="Arial" w:cs="Arial"/>
                <w:b/>
                <w:sz w:val="18"/>
                <w:szCs w:val="18"/>
                <w:lang w:val="es-ES_tradnl"/>
              </w:rPr>
            </w:pPr>
            <w:r w:rsidRPr="00F5352A">
              <w:rPr>
                <w:rFonts w:ascii="Arial" w:hAnsi="Arial" w:cs="Arial"/>
                <w:b/>
                <w:sz w:val="18"/>
                <w:szCs w:val="18"/>
                <w:lang w:val="es-ES_tradnl"/>
              </w:rPr>
              <w:t>EJECUCIÓN</w:t>
            </w:r>
          </w:p>
          <w:p w14:paraId="51D79B74"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COMPROMISOS</w:t>
            </w:r>
          </w:p>
          <w:p w14:paraId="57738595"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(2)</w:t>
            </w:r>
          </w:p>
        </w:tc>
        <w:tc>
          <w:tcPr>
            <w:tcW w:w="2249" w:type="dxa"/>
          </w:tcPr>
          <w:p w14:paraId="05D89A2C" w14:textId="77777777" w:rsidR="007E2F9F" w:rsidRPr="00F5352A" w:rsidRDefault="007E2F9F" w:rsidP="006548F8">
            <w:pPr>
              <w:ind w:left="25" w:right="34"/>
              <w:jc w:val="center"/>
              <w:rPr>
                <w:rFonts w:ascii="Arial" w:hAnsi="Arial" w:cs="Arial"/>
                <w:b/>
                <w:sz w:val="18"/>
                <w:szCs w:val="18"/>
                <w:lang w:val="es-ES_tradnl"/>
              </w:rPr>
            </w:pPr>
            <w:r w:rsidRPr="00F5352A">
              <w:rPr>
                <w:rFonts w:ascii="Arial" w:hAnsi="Arial" w:cs="Arial"/>
                <w:b/>
                <w:sz w:val="18"/>
                <w:szCs w:val="18"/>
                <w:lang w:val="es-ES_tradnl"/>
              </w:rPr>
              <w:t>PÉRDIDAS DE</w:t>
            </w:r>
          </w:p>
          <w:p w14:paraId="619F32D2"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APROPIACIÓN</w:t>
            </w:r>
          </w:p>
          <w:p w14:paraId="336D7BE8" w14:textId="77777777" w:rsidR="007E2F9F" w:rsidRPr="00F5352A" w:rsidRDefault="007E2F9F" w:rsidP="006548F8">
            <w:pPr>
              <w:ind w:right="34"/>
              <w:jc w:val="center"/>
              <w:rPr>
                <w:rFonts w:ascii="Arial" w:hAnsi="Arial" w:cs="Arial"/>
                <w:b/>
                <w:sz w:val="18"/>
                <w:szCs w:val="18"/>
                <w:lang w:val="es-ES_tradnl"/>
              </w:rPr>
            </w:pPr>
            <w:r w:rsidRPr="00F5352A">
              <w:rPr>
                <w:rFonts w:ascii="Arial" w:hAnsi="Arial" w:cs="Arial"/>
                <w:b/>
                <w:sz w:val="18"/>
                <w:szCs w:val="18"/>
                <w:lang w:val="es-ES_tradnl"/>
              </w:rPr>
              <w:t>3 = (1-2)</w:t>
            </w:r>
          </w:p>
        </w:tc>
      </w:tr>
      <w:tr w:rsidR="007E2F9F" w:rsidRPr="00F5352A" w14:paraId="01B82F4E" w14:textId="77777777" w:rsidTr="006548F8">
        <w:trPr>
          <w:trHeight w:val="230"/>
        </w:trPr>
        <w:tc>
          <w:tcPr>
            <w:tcW w:w="4161" w:type="dxa"/>
          </w:tcPr>
          <w:p w14:paraId="023B221E"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FUNCIONAMIENTO</w:t>
            </w:r>
          </w:p>
        </w:tc>
        <w:tc>
          <w:tcPr>
            <w:tcW w:w="2040" w:type="dxa"/>
            <w:vAlign w:val="bottom"/>
          </w:tcPr>
          <w:p w14:paraId="31987FA3" w14:textId="77777777" w:rsidR="007E2F9F" w:rsidRPr="00F5352A" w:rsidRDefault="007E2F9F" w:rsidP="006548F8">
            <w:pPr>
              <w:jc w:val="right"/>
              <w:rPr>
                <w:rFonts w:ascii="Arial" w:eastAsia="Calibri" w:hAnsi="Arial" w:cs="Arial"/>
                <w:sz w:val="18"/>
                <w:szCs w:val="18"/>
                <w:lang w:val="es-CO"/>
              </w:rPr>
            </w:pPr>
            <w:r w:rsidRPr="00FC0368">
              <w:rPr>
                <w:rFonts w:ascii="Arial" w:hAnsi="Arial" w:cs="Arial"/>
                <w:b/>
                <w:bCs/>
                <w:sz w:val="16"/>
                <w:szCs w:val="16"/>
              </w:rPr>
              <w:t>65.891.000</w:t>
            </w:r>
          </w:p>
        </w:tc>
        <w:tc>
          <w:tcPr>
            <w:tcW w:w="2040" w:type="dxa"/>
            <w:vAlign w:val="bottom"/>
          </w:tcPr>
          <w:p w14:paraId="42656689" w14:textId="77777777" w:rsidR="007E2F9F" w:rsidRPr="00F5352A" w:rsidRDefault="007E2F9F" w:rsidP="006548F8">
            <w:pPr>
              <w:pStyle w:val="Prrafodelista"/>
              <w:ind w:left="0"/>
              <w:jc w:val="right"/>
              <w:rPr>
                <w:rFonts w:ascii="Arial" w:hAnsi="Arial" w:cs="Arial"/>
                <w:b/>
                <w:sz w:val="18"/>
                <w:szCs w:val="18"/>
              </w:rPr>
            </w:pPr>
            <w:r w:rsidRPr="00FC0368">
              <w:rPr>
                <w:rFonts w:ascii="Arial" w:hAnsi="Arial" w:cs="Arial"/>
                <w:b/>
                <w:bCs/>
                <w:sz w:val="16"/>
                <w:szCs w:val="16"/>
              </w:rPr>
              <w:t>62.899.057</w:t>
            </w:r>
          </w:p>
        </w:tc>
        <w:tc>
          <w:tcPr>
            <w:tcW w:w="2249" w:type="dxa"/>
            <w:vAlign w:val="bottom"/>
          </w:tcPr>
          <w:p w14:paraId="471B69D7" w14:textId="77777777" w:rsidR="007E2F9F" w:rsidRPr="00F5352A" w:rsidRDefault="007E2F9F" w:rsidP="006548F8">
            <w:pPr>
              <w:pStyle w:val="Prrafodelista"/>
              <w:ind w:left="0"/>
              <w:jc w:val="right"/>
              <w:rPr>
                <w:rFonts w:ascii="Arial" w:hAnsi="Arial" w:cs="Arial"/>
                <w:b/>
                <w:sz w:val="18"/>
                <w:szCs w:val="18"/>
              </w:rPr>
            </w:pPr>
            <w:r w:rsidRPr="00FC0368">
              <w:rPr>
                <w:rFonts w:ascii="Arial" w:hAnsi="Arial" w:cs="Arial"/>
                <w:b/>
                <w:bCs/>
                <w:sz w:val="16"/>
                <w:szCs w:val="16"/>
              </w:rPr>
              <w:t>2.991.943,00</w:t>
            </w:r>
          </w:p>
        </w:tc>
      </w:tr>
      <w:tr w:rsidR="007E2F9F" w:rsidRPr="00F5352A" w14:paraId="6D71BEE3" w14:textId="77777777" w:rsidTr="006548F8">
        <w:tc>
          <w:tcPr>
            <w:tcW w:w="4161" w:type="dxa"/>
          </w:tcPr>
          <w:p w14:paraId="11FB80C8"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INVERSIÓN</w:t>
            </w:r>
          </w:p>
        </w:tc>
        <w:tc>
          <w:tcPr>
            <w:tcW w:w="2040" w:type="dxa"/>
            <w:vAlign w:val="bottom"/>
          </w:tcPr>
          <w:p w14:paraId="78882A09" w14:textId="77777777" w:rsidR="007E2F9F" w:rsidRPr="00F5352A" w:rsidRDefault="007E2F9F" w:rsidP="006548F8">
            <w:pPr>
              <w:pStyle w:val="Prrafodelista"/>
              <w:ind w:left="0"/>
              <w:jc w:val="right"/>
              <w:rPr>
                <w:rFonts w:ascii="Arial" w:hAnsi="Arial" w:cs="Arial"/>
                <w:b/>
                <w:sz w:val="18"/>
                <w:szCs w:val="18"/>
              </w:rPr>
            </w:pPr>
            <w:r w:rsidRPr="00FC0368">
              <w:rPr>
                <w:rFonts w:ascii="Arial" w:hAnsi="Arial" w:cs="Arial"/>
                <w:color w:val="000000"/>
                <w:sz w:val="16"/>
                <w:szCs w:val="16"/>
              </w:rPr>
              <w:t>62.131.919</w:t>
            </w:r>
          </w:p>
        </w:tc>
        <w:tc>
          <w:tcPr>
            <w:tcW w:w="2040" w:type="dxa"/>
            <w:vAlign w:val="bottom"/>
          </w:tcPr>
          <w:p w14:paraId="1AC180A6" w14:textId="77777777" w:rsidR="007E2F9F" w:rsidRPr="00F5352A" w:rsidRDefault="007E2F9F" w:rsidP="006548F8">
            <w:pPr>
              <w:pStyle w:val="Prrafodelista"/>
              <w:ind w:left="0"/>
              <w:jc w:val="right"/>
              <w:rPr>
                <w:rFonts w:ascii="Arial" w:hAnsi="Arial" w:cs="Arial"/>
                <w:b/>
                <w:sz w:val="18"/>
                <w:szCs w:val="18"/>
              </w:rPr>
            </w:pPr>
            <w:r w:rsidRPr="00FC0368">
              <w:rPr>
                <w:rFonts w:ascii="Arial" w:hAnsi="Arial" w:cs="Arial"/>
                <w:color w:val="000000"/>
                <w:sz w:val="16"/>
                <w:szCs w:val="16"/>
              </w:rPr>
              <w:t>52.947.423</w:t>
            </w:r>
          </w:p>
        </w:tc>
        <w:tc>
          <w:tcPr>
            <w:tcW w:w="2249" w:type="dxa"/>
            <w:vAlign w:val="bottom"/>
          </w:tcPr>
          <w:p w14:paraId="0C713102" w14:textId="77777777" w:rsidR="007E2F9F" w:rsidRPr="00F5352A" w:rsidRDefault="007E2F9F" w:rsidP="006548F8">
            <w:pPr>
              <w:pStyle w:val="Prrafodelista"/>
              <w:ind w:left="0"/>
              <w:jc w:val="right"/>
              <w:rPr>
                <w:rFonts w:ascii="Arial" w:hAnsi="Arial" w:cs="Arial"/>
                <w:b/>
                <w:sz w:val="18"/>
                <w:szCs w:val="18"/>
              </w:rPr>
            </w:pPr>
            <w:r w:rsidRPr="00FC0368">
              <w:rPr>
                <w:rFonts w:ascii="Arial" w:hAnsi="Arial" w:cs="Arial"/>
                <w:color w:val="000000"/>
                <w:sz w:val="16"/>
                <w:szCs w:val="16"/>
              </w:rPr>
              <w:t>9.184.496,00</w:t>
            </w:r>
          </w:p>
        </w:tc>
      </w:tr>
      <w:tr w:rsidR="007E2F9F" w:rsidRPr="00F5352A" w14:paraId="6EC1834A" w14:textId="77777777" w:rsidTr="006548F8">
        <w:tc>
          <w:tcPr>
            <w:tcW w:w="4161" w:type="dxa"/>
          </w:tcPr>
          <w:p w14:paraId="3FB50E44" w14:textId="77777777" w:rsidR="007E2F9F" w:rsidRPr="00F5352A" w:rsidRDefault="007E2F9F" w:rsidP="006548F8">
            <w:pPr>
              <w:ind w:right="-1440"/>
              <w:jc w:val="both"/>
              <w:rPr>
                <w:rFonts w:ascii="Arial" w:hAnsi="Arial" w:cs="Arial"/>
                <w:b/>
                <w:sz w:val="18"/>
                <w:szCs w:val="18"/>
                <w:lang w:val="es-ES_tradnl"/>
              </w:rPr>
            </w:pPr>
            <w:r w:rsidRPr="00F5352A">
              <w:rPr>
                <w:rFonts w:ascii="Arial" w:hAnsi="Arial" w:cs="Arial"/>
                <w:b/>
                <w:sz w:val="18"/>
                <w:szCs w:val="18"/>
                <w:lang w:val="es-ES_tradnl"/>
              </w:rPr>
              <w:t>TOTAL PÉRDIDAS DE APROPIACIÓN</w:t>
            </w:r>
          </w:p>
        </w:tc>
        <w:tc>
          <w:tcPr>
            <w:tcW w:w="2040" w:type="dxa"/>
            <w:vAlign w:val="bottom"/>
          </w:tcPr>
          <w:p w14:paraId="1FF10DAA" w14:textId="77777777" w:rsidR="007E2F9F" w:rsidRPr="00F5352A" w:rsidRDefault="007E2F9F" w:rsidP="006548F8">
            <w:pPr>
              <w:pStyle w:val="Prrafodelista"/>
              <w:ind w:left="0"/>
              <w:jc w:val="right"/>
              <w:rPr>
                <w:rFonts w:ascii="Arial" w:hAnsi="Arial" w:cs="Arial"/>
                <w:b/>
                <w:sz w:val="18"/>
                <w:szCs w:val="18"/>
                <w:u w:val="single"/>
              </w:rPr>
            </w:pPr>
            <w:r w:rsidRPr="00FC0368">
              <w:rPr>
                <w:rFonts w:ascii="Arial" w:hAnsi="Arial" w:cs="Arial"/>
                <w:b/>
                <w:bCs/>
                <w:sz w:val="16"/>
                <w:szCs w:val="16"/>
              </w:rPr>
              <w:t>128.022.919</w:t>
            </w:r>
          </w:p>
        </w:tc>
        <w:tc>
          <w:tcPr>
            <w:tcW w:w="2040" w:type="dxa"/>
            <w:vAlign w:val="bottom"/>
          </w:tcPr>
          <w:p w14:paraId="7DA5E6C1" w14:textId="77777777" w:rsidR="007E2F9F" w:rsidRPr="00F5352A" w:rsidRDefault="007E2F9F" w:rsidP="006548F8">
            <w:pPr>
              <w:pStyle w:val="Prrafodelista"/>
              <w:ind w:left="0"/>
              <w:jc w:val="right"/>
              <w:rPr>
                <w:rFonts w:ascii="Arial" w:hAnsi="Arial" w:cs="Arial"/>
                <w:b/>
                <w:sz w:val="18"/>
                <w:szCs w:val="18"/>
                <w:u w:val="single"/>
              </w:rPr>
            </w:pPr>
            <w:r w:rsidRPr="00FC0368">
              <w:rPr>
                <w:rFonts w:ascii="Arial" w:hAnsi="Arial" w:cs="Arial"/>
                <w:b/>
                <w:bCs/>
                <w:sz w:val="16"/>
                <w:szCs w:val="16"/>
              </w:rPr>
              <w:t>115.846.480</w:t>
            </w:r>
          </w:p>
        </w:tc>
        <w:tc>
          <w:tcPr>
            <w:tcW w:w="2249" w:type="dxa"/>
            <w:vAlign w:val="bottom"/>
          </w:tcPr>
          <w:p w14:paraId="60927C90" w14:textId="77777777" w:rsidR="007E2F9F" w:rsidRPr="00F5352A" w:rsidRDefault="007E2F9F" w:rsidP="006548F8">
            <w:pPr>
              <w:pStyle w:val="Prrafodelista"/>
              <w:ind w:left="0"/>
              <w:jc w:val="right"/>
              <w:rPr>
                <w:rFonts w:ascii="Arial" w:hAnsi="Arial" w:cs="Arial"/>
                <w:b/>
                <w:sz w:val="18"/>
                <w:szCs w:val="18"/>
                <w:u w:val="single"/>
              </w:rPr>
            </w:pPr>
            <w:r w:rsidRPr="005B1FC5">
              <w:rPr>
                <w:rFonts w:ascii="Arial" w:hAnsi="Arial" w:cs="Arial"/>
                <w:b/>
                <w:bCs/>
                <w:sz w:val="16"/>
                <w:szCs w:val="16"/>
                <w:u w:val="single"/>
              </w:rPr>
              <w:t>12.176.439,00</w:t>
            </w:r>
          </w:p>
        </w:tc>
      </w:tr>
    </w:tbl>
    <w:p w14:paraId="10D6AC11" w14:textId="77777777" w:rsidR="007E2F9F" w:rsidRDefault="007E2F9F" w:rsidP="007E2F9F">
      <w:pPr>
        <w:ind w:left="-284" w:right="-234"/>
        <w:jc w:val="both"/>
        <w:rPr>
          <w:rFonts w:ascii="Arial" w:hAnsi="Arial" w:cs="Arial"/>
          <w:b/>
          <w:bCs/>
          <w:sz w:val="28"/>
          <w:szCs w:val="28"/>
        </w:rPr>
      </w:pPr>
    </w:p>
    <w:p w14:paraId="1693B729" w14:textId="77777777" w:rsidR="007E2F9F" w:rsidRPr="009173FE" w:rsidRDefault="007E2F9F" w:rsidP="007E2F9F">
      <w:pPr>
        <w:ind w:left="-284" w:right="-234"/>
        <w:jc w:val="both"/>
        <w:rPr>
          <w:rFonts w:ascii="Arial" w:hAnsi="Arial" w:cs="Arial"/>
          <w:b/>
          <w:sz w:val="28"/>
          <w:szCs w:val="28"/>
        </w:rPr>
      </w:pPr>
      <w:r w:rsidRPr="009173FE">
        <w:rPr>
          <w:rFonts w:ascii="Arial" w:hAnsi="Arial" w:cs="Arial"/>
          <w:b/>
          <w:sz w:val="28"/>
          <w:szCs w:val="28"/>
          <w:lang w:val="es-MX"/>
        </w:rPr>
        <w:t xml:space="preserve">64.- </w:t>
      </w:r>
      <w:r w:rsidRPr="009173FE">
        <w:rPr>
          <w:rFonts w:ascii="Arial" w:hAnsi="Arial" w:cs="Arial"/>
          <w:b/>
          <w:sz w:val="28"/>
          <w:szCs w:val="28"/>
        </w:rPr>
        <w:t>AGENCIA PRESIDENCIAL DE COOPERACIÓN INTERNACIONAL DE COLOMBIA APC - COLOMBIA.</w:t>
      </w:r>
    </w:p>
    <w:p w14:paraId="3BE64F1A" w14:textId="77777777" w:rsidR="007E2F9F" w:rsidRDefault="007E2F9F" w:rsidP="007E2F9F">
      <w:pPr>
        <w:ind w:left="-284" w:right="-234"/>
        <w:jc w:val="both"/>
        <w:rPr>
          <w:rFonts w:ascii="Arial" w:hAnsi="Arial" w:cs="Arial"/>
          <w:b/>
          <w:bCs/>
          <w:sz w:val="28"/>
          <w:szCs w:val="28"/>
        </w:rPr>
      </w:pPr>
    </w:p>
    <w:p w14:paraId="0D755C8F"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A6C91B2"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621E38E5"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EC1C38" w14:paraId="254FE209" w14:textId="77777777" w:rsidTr="006548F8">
        <w:tc>
          <w:tcPr>
            <w:tcW w:w="4161" w:type="dxa"/>
          </w:tcPr>
          <w:p w14:paraId="3C79A439" w14:textId="77777777" w:rsidR="007E2F9F" w:rsidRPr="00EC1C38" w:rsidRDefault="007E2F9F" w:rsidP="006548F8">
            <w:pPr>
              <w:ind w:left="1169" w:right="-1440"/>
              <w:rPr>
                <w:rFonts w:ascii="Arial" w:hAnsi="Arial" w:cs="Arial"/>
                <w:b/>
                <w:sz w:val="18"/>
                <w:szCs w:val="18"/>
                <w:lang w:val="es-ES_tradnl"/>
              </w:rPr>
            </w:pPr>
            <w:r w:rsidRPr="00EC1C38">
              <w:rPr>
                <w:rFonts w:ascii="Arial" w:hAnsi="Arial" w:cs="Arial"/>
                <w:b/>
                <w:sz w:val="18"/>
                <w:szCs w:val="18"/>
                <w:lang w:val="es-ES_tradnl"/>
              </w:rPr>
              <w:t>TIPO DE GASTO</w:t>
            </w:r>
          </w:p>
        </w:tc>
        <w:tc>
          <w:tcPr>
            <w:tcW w:w="2040" w:type="dxa"/>
          </w:tcPr>
          <w:p w14:paraId="219E024A" w14:textId="77777777" w:rsidR="007E2F9F" w:rsidRPr="00EC1C38" w:rsidRDefault="007E2F9F" w:rsidP="006548F8">
            <w:pPr>
              <w:jc w:val="center"/>
              <w:rPr>
                <w:rFonts w:ascii="Arial" w:hAnsi="Arial" w:cs="Arial"/>
                <w:b/>
                <w:sz w:val="18"/>
                <w:szCs w:val="18"/>
                <w:lang w:val="es-ES_tradnl"/>
              </w:rPr>
            </w:pPr>
            <w:r w:rsidRPr="00EC1C38">
              <w:rPr>
                <w:rFonts w:ascii="Arial" w:hAnsi="Arial" w:cs="Arial"/>
                <w:b/>
                <w:sz w:val="18"/>
                <w:szCs w:val="18"/>
                <w:lang w:val="es-ES_tradnl"/>
              </w:rPr>
              <w:t>APROPIACIÓN</w:t>
            </w:r>
          </w:p>
          <w:p w14:paraId="45CA93B8" w14:textId="77777777" w:rsidR="007E2F9F" w:rsidRPr="00EC1C38" w:rsidRDefault="007E2F9F" w:rsidP="006548F8">
            <w:pPr>
              <w:jc w:val="center"/>
              <w:rPr>
                <w:rFonts w:ascii="Arial" w:hAnsi="Arial" w:cs="Arial"/>
                <w:b/>
                <w:sz w:val="18"/>
                <w:szCs w:val="18"/>
                <w:lang w:val="es-ES_tradnl"/>
              </w:rPr>
            </w:pPr>
            <w:r w:rsidRPr="00EC1C38">
              <w:rPr>
                <w:rFonts w:ascii="Arial" w:hAnsi="Arial" w:cs="Arial"/>
                <w:b/>
                <w:sz w:val="18"/>
                <w:szCs w:val="18"/>
                <w:lang w:val="es-ES_tradnl"/>
              </w:rPr>
              <w:t>DEFINITIVA</w:t>
            </w:r>
          </w:p>
          <w:p w14:paraId="0791D496" w14:textId="77777777" w:rsidR="007E2F9F" w:rsidRPr="00EC1C38" w:rsidRDefault="007E2F9F" w:rsidP="006548F8">
            <w:pPr>
              <w:jc w:val="center"/>
              <w:rPr>
                <w:rFonts w:ascii="Arial" w:hAnsi="Arial" w:cs="Arial"/>
                <w:b/>
                <w:sz w:val="18"/>
                <w:szCs w:val="18"/>
                <w:lang w:val="es-ES_tradnl"/>
              </w:rPr>
            </w:pPr>
            <w:r w:rsidRPr="00EC1C38">
              <w:rPr>
                <w:rFonts w:ascii="Arial" w:hAnsi="Arial" w:cs="Arial"/>
                <w:b/>
                <w:sz w:val="18"/>
                <w:szCs w:val="18"/>
                <w:lang w:val="es-ES_tradnl"/>
              </w:rPr>
              <w:t>(1)</w:t>
            </w:r>
          </w:p>
          <w:p w14:paraId="009530B3" w14:textId="77777777" w:rsidR="007E2F9F" w:rsidRPr="00EC1C38" w:rsidRDefault="007E2F9F" w:rsidP="006548F8">
            <w:pPr>
              <w:jc w:val="center"/>
              <w:rPr>
                <w:rFonts w:ascii="Arial" w:hAnsi="Arial" w:cs="Arial"/>
                <w:b/>
                <w:sz w:val="18"/>
                <w:szCs w:val="18"/>
                <w:lang w:val="es-ES_tradnl"/>
              </w:rPr>
            </w:pPr>
          </w:p>
        </w:tc>
        <w:tc>
          <w:tcPr>
            <w:tcW w:w="2040" w:type="dxa"/>
          </w:tcPr>
          <w:p w14:paraId="7679EAF6" w14:textId="77777777" w:rsidR="007E2F9F" w:rsidRPr="00EC1C38" w:rsidRDefault="007E2F9F" w:rsidP="006548F8">
            <w:pPr>
              <w:ind w:left="145" w:right="184"/>
              <w:jc w:val="center"/>
              <w:rPr>
                <w:rFonts w:ascii="Arial" w:hAnsi="Arial" w:cs="Arial"/>
                <w:b/>
                <w:sz w:val="18"/>
                <w:szCs w:val="18"/>
                <w:lang w:val="es-ES_tradnl"/>
              </w:rPr>
            </w:pPr>
            <w:r w:rsidRPr="00EC1C38">
              <w:rPr>
                <w:rFonts w:ascii="Arial" w:hAnsi="Arial" w:cs="Arial"/>
                <w:b/>
                <w:sz w:val="18"/>
                <w:szCs w:val="18"/>
                <w:lang w:val="es-ES_tradnl"/>
              </w:rPr>
              <w:t>EJECUCIÓN</w:t>
            </w:r>
          </w:p>
          <w:p w14:paraId="3E37D874" w14:textId="77777777" w:rsidR="007E2F9F" w:rsidRPr="00EC1C38" w:rsidRDefault="007E2F9F" w:rsidP="006548F8">
            <w:pPr>
              <w:ind w:right="34"/>
              <w:jc w:val="center"/>
              <w:rPr>
                <w:rFonts w:ascii="Arial" w:hAnsi="Arial" w:cs="Arial"/>
                <w:b/>
                <w:sz w:val="18"/>
                <w:szCs w:val="18"/>
                <w:lang w:val="es-ES_tradnl"/>
              </w:rPr>
            </w:pPr>
            <w:r w:rsidRPr="00EC1C38">
              <w:rPr>
                <w:rFonts w:ascii="Arial" w:hAnsi="Arial" w:cs="Arial"/>
                <w:b/>
                <w:sz w:val="18"/>
                <w:szCs w:val="18"/>
                <w:lang w:val="es-ES_tradnl"/>
              </w:rPr>
              <w:t>COMPROMISOS</w:t>
            </w:r>
          </w:p>
          <w:p w14:paraId="7F77AD88" w14:textId="77777777" w:rsidR="007E2F9F" w:rsidRPr="00EC1C38" w:rsidRDefault="007E2F9F" w:rsidP="006548F8">
            <w:pPr>
              <w:ind w:right="34"/>
              <w:jc w:val="center"/>
              <w:rPr>
                <w:rFonts w:ascii="Arial" w:hAnsi="Arial" w:cs="Arial"/>
                <w:b/>
                <w:sz w:val="18"/>
                <w:szCs w:val="18"/>
                <w:lang w:val="es-ES_tradnl"/>
              </w:rPr>
            </w:pPr>
            <w:r w:rsidRPr="00EC1C38">
              <w:rPr>
                <w:rFonts w:ascii="Arial" w:hAnsi="Arial" w:cs="Arial"/>
                <w:b/>
                <w:sz w:val="18"/>
                <w:szCs w:val="18"/>
                <w:lang w:val="es-ES_tradnl"/>
              </w:rPr>
              <w:t>(2)</w:t>
            </w:r>
          </w:p>
        </w:tc>
        <w:tc>
          <w:tcPr>
            <w:tcW w:w="2249" w:type="dxa"/>
          </w:tcPr>
          <w:p w14:paraId="2D4940FB" w14:textId="77777777" w:rsidR="007E2F9F" w:rsidRPr="00EC1C38" w:rsidRDefault="007E2F9F" w:rsidP="006548F8">
            <w:pPr>
              <w:ind w:left="25" w:right="34"/>
              <w:jc w:val="center"/>
              <w:rPr>
                <w:rFonts w:ascii="Arial" w:hAnsi="Arial" w:cs="Arial"/>
                <w:b/>
                <w:sz w:val="18"/>
                <w:szCs w:val="18"/>
                <w:lang w:val="es-ES_tradnl"/>
              </w:rPr>
            </w:pPr>
            <w:r w:rsidRPr="00EC1C38">
              <w:rPr>
                <w:rFonts w:ascii="Arial" w:hAnsi="Arial" w:cs="Arial"/>
                <w:b/>
                <w:sz w:val="18"/>
                <w:szCs w:val="18"/>
                <w:lang w:val="es-ES_tradnl"/>
              </w:rPr>
              <w:t>PÉRDIDAS DE</w:t>
            </w:r>
          </w:p>
          <w:p w14:paraId="6E4E9959" w14:textId="77777777" w:rsidR="007E2F9F" w:rsidRPr="00EC1C38" w:rsidRDefault="007E2F9F" w:rsidP="006548F8">
            <w:pPr>
              <w:ind w:right="34"/>
              <w:jc w:val="center"/>
              <w:rPr>
                <w:rFonts w:ascii="Arial" w:hAnsi="Arial" w:cs="Arial"/>
                <w:b/>
                <w:sz w:val="18"/>
                <w:szCs w:val="18"/>
                <w:lang w:val="es-ES_tradnl"/>
              </w:rPr>
            </w:pPr>
            <w:r w:rsidRPr="00EC1C38">
              <w:rPr>
                <w:rFonts w:ascii="Arial" w:hAnsi="Arial" w:cs="Arial"/>
                <w:b/>
                <w:sz w:val="18"/>
                <w:szCs w:val="18"/>
                <w:lang w:val="es-ES_tradnl"/>
              </w:rPr>
              <w:t>APROPIACIÓN</w:t>
            </w:r>
          </w:p>
          <w:p w14:paraId="585DE610" w14:textId="77777777" w:rsidR="007E2F9F" w:rsidRPr="00EC1C38" w:rsidRDefault="007E2F9F" w:rsidP="006548F8">
            <w:pPr>
              <w:ind w:right="34"/>
              <w:jc w:val="center"/>
              <w:rPr>
                <w:rFonts w:ascii="Arial" w:hAnsi="Arial" w:cs="Arial"/>
                <w:b/>
                <w:sz w:val="18"/>
                <w:szCs w:val="18"/>
                <w:lang w:val="es-ES_tradnl"/>
              </w:rPr>
            </w:pPr>
            <w:r w:rsidRPr="00EC1C38">
              <w:rPr>
                <w:rFonts w:ascii="Arial" w:hAnsi="Arial" w:cs="Arial"/>
                <w:b/>
                <w:sz w:val="18"/>
                <w:szCs w:val="18"/>
                <w:lang w:val="es-ES_tradnl"/>
              </w:rPr>
              <w:t>3 = (1-2)</w:t>
            </w:r>
          </w:p>
        </w:tc>
      </w:tr>
      <w:tr w:rsidR="007E2F9F" w:rsidRPr="00EC1C38" w14:paraId="1E6D132A" w14:textId="77777777" w:rsidTr="006548F8">
        <w:trPr>
          <w:trHeight w:val="230"/>
        </w:trPr>
        <w:tc>
          <w:tcPr>
            <w:tcW w:w="4161" w:type="dxa"/>
          </w:tcPr>
          <w:p w14:paraId="049F2E2B" w14:textId="77777777" w:rsidR="007E2F9F" w:rsidRPr="00EC1C38" w:rsidRDefault="007E2F9F" w:rsidP="006548F8">
            <w:pPr>
              <w:ind w:right="-1440"/>
              <w:jc w:val="both"/>
              <w:rPr>
                <w:rFonts w:ascii="Arial" w:hAnsi="Arial" w:cs="Arial"/>
                <w:b/>
                <w:sz w:val="18"/>
                <w:szCs w:val="18"/>
                <w:lang w:val="es-ES_tradnl"/>
              </w:rPr>
            </w:pPr>
            <w:r w:rsidRPr="00EC1C38">
              <w:rPr>
                <w:rFonts w:ascii="Arial" w:hAnsi="Arial" w:cs="Arial"/>
                <w:b/>
                <w:sz w:val="18"/>
                <w:szCs w:val="18"/>
                <w:lang w:val="es-ES_tradnl"/>
              </w:rPr>
              <w:t>FUNCIONAMIENTO</w:t>
            </w:r>
          </w:p>
        </w:tc>
        <w:tc>
          <w:tcPr>
            <w:tcW w:w="2040" w:type="dxa"/>
          </w:tcPr>
          <w:p w14:paraId="69BAD241" w14:textId="77777777" w:rsidR="007E2F9F" w:rsidRPr="00EC1C38" w:rsidRDefault="007E2F9F" w:rsidP="006548F8">
            <w:pPr>
              <w:jc w:val="right"/>
              <w:rPr>
                <w:rFonts w:ascii="Arial" w:eastAsia="Calibri" w:hAnsi="Arial" w:cs="Arial"/>
                <w:sz w:val="18"/>
                <w:szCs w:val="18"/>
                <w:lang w:val="es-CO"/>
              </w:rPr>
            </w:pPr>
            <w:r w:rsidRPr="00EC1C38">
              <w:rPr>
                <w:rFonts w:ascii="Arial" w:eastAsia="Calibri" w:hAnsi="Arial" w:cs="Arial"/>
                <w:b/>
                <w:sz w:val="16"/>
                <w:szCs w:val="16"/>
                <w:lang w:val="es-CO"/>
              </w:rPr>
              <w:t>40.116.904,60</w:t>
            </w:r>
          </w:p>
        </w:tc>
        <w:tc>
          <w:tcPr>
            <w:tcW w:w="2040" w:type="dxa"/>
          </w:tcPr>
          <w:p w14:paraId="3F20EF04" w14:textId="77777777" w:rsidR="007E2F9F" w:rsidRPr="00EC1C38" w:rsidRDefault="007E2F9F" w:rsidP="006548F8">
            <w:pPr>
              <w:pStyle w:val="Prrafodelista"/>
              <w:ind w:left="0"/>
              <w:jc w:val="right"/>
              <w:rPr>
                <w:rFonts w:ascii="Arial" w:hAnsi="Arial" w:cs="Arial"/>
                <w:b/>
                <w:sz w:val="18"/>
                <w:szCs w:val="18"/>
              </w:rPr>
            </w:pPr>
            <w:r w:rsidRPr="00EC1C38">
              <w:rPr>
                <w:rFonts w:ascii="Arial" w:eastAsia="Calibri" w:hAnsi="Arial" w:cs="Arial"/>
                <w:b/>
                <w:sz w:val="16"/>
                <w:szCs w:val="16"/>
                <w:lang w:val="es-CO"/>
              </w:rPr>
              <w:t>39.697.648,00</w:t>
            </w:r>
          </w:p>
        </w:tc>
        <w:tc>
          <w:tcPr>
            <w:tcW w:w="2249" w:type="dxa"/>
          </w:tcPr>
          <w:p w14:paraId="6D7E3967" w14:textId="77777777" w:rsidR="007E2F9F" w:rsidRPr="00EC1C38" w:rsidRDefault="007E2F9F" w:rsidP="006548F8">
            <w:pPr>
              <w:pStyle w:val="Prrafodelista"/>
              <w:ind w:left="0"/>
              <w:jc w:val="right"/>
              <w:rPr>
                <w:rFonts w:ascii="Arial" w:hAnsi="Arial" w:cs="Arial"/>
                <w:b/>
                <w:sz w:val="18"/>
                <w:szCs w:val="18"/>
              </w:rPr>
            </w:pPr>
            <w:r w:rsidRPr="00EC1C38">
              <w:rPr>
                <w:rFonts w:ascii="Arial" w:hAnsi="Arial" w:cs="Arial"/>
                <w:b/>
                <w:sz w:val="16"/>
                <w:szCs w:val="16"/>
              </w:rPr>
              <w:t>419.255,60</w:t>
            </w:r>
          </w:p>
        </w:tc>
      </w:tr>
      <w:tr w:rsidR="007E2F9F" w:rsidRPr="00EC1C38" w14:paraId="1A8C69BE" w14:textId="77777777" w:rsidTr="006548F8">
        <w:tc>
          <w:tcPr>
            <w:tcW w:w="4161" w:type="dxa"/>
          </w:tcPr>
          <w:p w14:paraId="5984F7B7" w14:textId="77777777" w:rsidR="007E2F9F" w:rsidRPr="00EC1C38" w:rsidRDefault="007E2F9F" w:rsidP="006548F8">
            <w:pPr>
              <w:ind w:right="-1440"/>
              <w:jc w:val="both"/>
              <w:rPr>
                <w:rFonts w:ascii="Arial" w:hAnsi="Arial" w:cs="Arial"/>
                <w:b/>
                <w:sz w:val="18"/>
                <w:szCs w:val="18"/>
                <w:lang w:val="es-ES_tradnl"/>
              </w:rPr>
            </w:pPr>
            <w:r w:rsidRPr="00EC1C38">
              <w:rPr>
                <w:rFonts w:ascii="Arial" w:hAnsi="Arial" w:cs="Arial"/>
                <w:b/>
                <w:sz w:val="18"/>
                <w:szCs w:val="18"/>
                <w:lang w:val="es-ES_tradnl"/>
              </w:rPr>
              <w:t>INVERSIÓN</w:t>
            </w:r>
          </w:p>
        </w:tc>
        <w:tc>
          <w:tcPr>
            <w:tcW w:w="2040" w:type="dxa"/>
          </w:tcPr>
          <w:p w14:paraId="5D200FEE" w14:textId="77777777" w:rsidR="007E2F9F" w:rsidRPr="00EC1C38" w:rsidRDefault="007E2F9F" w:rsidP="006548F8">
            <w:pPr>
              <w:pStyle w:val="Prrafodelista"/>
              <w:ind w:left="0"/>
              <w:jc w:val="right"/>
              <w:rPr>
                <w:rFonts w:ascii="Arial" w:hAnsi="Arial" w:cs="Arial"/>
                <w:b/>
                <w:sz w:val="18"/>
                <w:szCs w:val="18"/>
              </w:rPr>
            </w:pPr>
            <w:r w:rsidRPr="00EC1C38">
              <w:rPr>
                <w:rFonts w:ascii="Arial" w:eastAsia="Calibri" w:hAnsi="Arial" w:cs="Arial"/>
                <w:b/>
                <w:sz w:val="16"/>
                <w:szCs w:val="16"/>
                <w:lang w:val="es-CO"/>
              </w:rPr>
              <w:t>56.630.439,32</w:t>
            </w:r>
          </w:p>
        </w:tc>
        <w:tc>
          <w:tcPr>
            <w:tcW w:w="2040" w:type="dxa"/>
          </w:tcPr>
          <w:p w14:paraId="320FFF3E" w14:textId="77777777" w:rsidR="007E2F9F" w:rsidRPr="00EC1C38" w:rsidRDefault="007E2F9F" w:rsidP="006548F8">
            <w:pPr>
              <w:pStyle w:val="Prrafodelista"/>
              <w:ind w:left="0"/>
              <w:jc w:val="right"/>
              <w:rPr>
                <w:rFonts w:ascii="Arial" w:hAnsi="Arial" w:cs="Arial"/>
                <w:b/>
                <w:sz w:val="18"/>
                <w:szCs w:val="18"/>
              </w:rPr>
            </w:pPr>
            <w:r w:rsidRPr="00EC1C38">
              <w:rPr>
                <w:rFonts w:ascii="Arial" w:eastAsia="Calibri" w:hAnsi="Arial" w:cs="Arial"/>
                <w:b/>
                <w:sz w:val="16"/>
                <w:szCs w:val="16"/>
                <w:lang w:val="es-CO"/>
              </w:rPr>
              <w:t>10.475.971,70</w:t>
            </w:r>
          </w:p>
        </w:tc>
        <w:tc>
          <w:tcPr>
            <w:tcW w:w="2249" w:type="dxa"/>
          </w:tcPr>
          <w:p w14:paraId="2ABFC8F0" w14:textId="77777777" w:rsidR="007E2F9F" w:rsidRPr="00EC1C38" w:rsidRDefault="007E2F9F" w:rsidP="006548F8">
            <w:pPr>
              <w:pStyle w:val="Prrafodelista"/>
              <w:ind w:left="0"/>
              <w:jc w:val="right"/>
              <w:rPr>
                <w:rFonts w:ascii="Arial" w:hAnsi="Arial" w:cs="Arial"/>
                <w:b/>
                <w:sz w:val="18"/>
                <w:szCs w:val="18"/>
              </w:rPr>
            </w:pPr>
            <w:r w:rsidRPr="00EC1C38">
              <w:rPr>
                <w:rFonts w:ascii="Arial" w:hAnsi="Arial" w:cs="Arial"/>
                <w:b/>
                <w:sz w:val="16"/>
                <w:szCs w:val="16"/>
              </w:rPr>
              <w:t>46.154.468,61</w:t>
            </w:r>
          </w:p>
        </w:tc>
      </w:tr>
      <w:tr w:rsidR="007E2F9F" w:rsidRPr="00EC1C38" w14:paraId="728DD392" w14:textId="77777777" w:rsidTr="006548F8">
        <w:tc>
          <w:tcPr>
            <w:tcW w:w="4161" w:type="dxa"/>
          </w:tcPr>
          <w:p w14:paraId="17C16D9A" w14:textId="77777777" w:rsidR="007E2F9F" w:rsidRPr="00EC1C38" w:rsidRDefault="007E2F9F" w:rsidP="006548F8">
            <w:pPr>
              <w:ind w:right="-1440"/>
              <w:jc w:val="both"/>
              <w:rPr>
                <w:rFonts w:ascii="Arial" w:hAnsi="Arial" w:cs="Arial"/>
                <w:b/>
                <w:sz w:val="18"/>
                <w:szCs w:val="18"/>
                <w:lang w:val="es-ES_tradnl"/>
              </w:rPr>
            </w:pPr>
            <w:r w:rsidRPr="00EC1C38">
              <w:rPr>
                <w:rFonts w:ascii="Arial" w:hAnsi="Arial" w:cs="Arial"/>
                <w:b/>
                <w:sz w:val="18"/>
                <w:szCs w:val="18"/>
                <w:lang w:val="es-ES_tradnl"/>
              </w:rPr>
              <w:t>TOTAL PÉRDIDAS DE APROPIACIÓN</w:t>
            </w:r>
          </w:p>
        </w:tc>
        <w:tc>
          <w:tcPr>
            <w:tcW w:w="2040" w:type="dxa"/>
          </w:tcPr>
          <w:p w14:paraId="72965CAC" w14:textId="77777777" w:rsidR="007E2F9F" w:rsidRPr="00EC1C38" w:rsidRDefault="007E2F9F" w:rsidP="006548F8">
            <w:pPr>
              <w:pStyle w:val="Prrafodelista"/>
              <w:ind w:left="0"/>
              <w:jc w:val="right"/>
              <w:rPr>
                <w:rFonts w:ascii="Arial" w:hAnsi="Arial" w:cs="Arial"/>
                <w:b/>
                <w:sz w:val="18"/>
                <w:szCs w:val="18"/>
                <w:u w:val="single"/>
              </w:rPr>
            </w:pPr>
            <w:r w:rsidRPr="00EC1C38">
              <w:rPr>
                <w:rFonts w:ascii="Arial" w:eastAsia="Calibri" w:hAnsi="Arial" w:cs="Arial"/>
                <w:b/>
                <w:sz w:val="16"/>
                <w:szCs w:val="16"/>
                <w:lang w:val="es-CO"/>
              </w:rPr>
              <w:t>96.747.343,92</w:t>
            </w:r>
          </w:p>
        </w:tc>
        <w:tc>
          <w:tcPr>
            <w:tcW w:w="2040" w:type="dxa"/>
          </w:tcPr>
          <w:p w14:paraId="0D6E2760" w14:textId="77777777" w:rsidR="007E2F9F" w:rsidRPr="00EC1C38" w:rsidRDefault="007E2F9F" w:rsidP="006548F8">
            <w:pPr>
              <w:pStyle w:val="Prrafodelista"/>
              <w:ind w:left="0"/>
              <w:jc w:val="right"/>
              <w:rPr>
                <w:rFonts w:ascii="Arial" w:hAnsi="Arial" w:cs="Arial"/>
                <w:b/>
                <w:sz w:val="18"/>
                <w:szCs w:val="18"/>
                <w:u w:val="single"/>
              </w:rPr>
            </w:pPr>
            <w:r w:rsidRPr="00EC1C38">
              <w:rPr>
                <w:rFonts w:ascii="Arial" w:eastAsia="Calibri" w:hAnsi="Arial" w:cs="Arial"/>
                <w:b/>
                <w:sz w:val="16"/>
                <w:szCs w:val="16"/>
                <w:lang w:val="es-CO"/>
              </w:rPr>
              <w:t>50.173.619,70</w:t>
            </w:r>
          </w:p>
        </w:tc>
        <w:tc>
          <w:tcPr>
            <w:tcW w:w="2249" w:type="dxa"/>
          </w:tcPr>
          <w:p w14:paraId="55E94F23" w14:textId="77777777" w:rsidR="007E2F9F" w:rsidRPr="00EC1C38" w:rsidRDefault="007E2F9F" w:rsidP="006548F8">
            <w:pPr>
              <w:pStyle w:val="Prrafodelista"/>
              <w:ind w:left="0"/>
              <w:jc w:val="right"/>
              <w:rPr>
                <w:rFonts w:ascii="Arial" w:hAnsi="Arial" w:cs="Arial"/>
                <w:b/>
                <w:sz w:val="18"/>
                <w:szCs w:val="18"/>
                <w:u w:val="single"/>
              </w:rPr>
            </w:pPr>
            <w:r w:rsidRPr="00EC1C38">
              <w:rPr>
                <w:rFonts w:ascii="Arial" w:hAnsi="Arial" w:cs="Arial"/>
                <w:b/>
                <w:sz w:val="16"/>
                <w:szCs w:val="16"/>
                <w:u w:val="single"/>
              </w:rPr>
              <w:t>46.573.724,21</w:t>
            </w:r>
          </w:p>
        </w:tc>
      </w:tr>
    </w:tbl>
    <w:p w14:paraId="45FA6A6B" w14:textId="77777777" w:rsidR="007E2F9F" w:rsidRDefault="007E2F9F" w:rsidP="007E2F9F">
      <w:pPr>
        <w:ind w:left="-284" w:right="-234"/>
        <w:jc w:val="both"/>
        <w:rPr>
          <w:rFonts w:ascii="Arial" w:hAnsi="Arial" w:cs="Arial"/>
          <w:b/>
          <w:bCs/>
          <w:sz w:val="28"/>
          <w:szCs w:val="28"/>
        </w:rPr>
      </w:pPr>
    </w:p>
    <w:p w14:paraId="32D177BE" w14:textId="77777777" w:rsidR="007E2F9F" w:rsidRPr="00990959" w:rsidRDefault="007E2F9F" w:rsidP="007E2F9F">
      <w:pPr>
        <w:ind w:left="-284"/>
        <w:jc w:val="both"/>
        <w:rPr>
          <w:rFonts w:ascii="Arial" w:hAnsi="Arial" w:cs="Arial"/>
          <w:b/>
          <w:sz w:val="28"/>
          <w:szCs w:val="28"/>
          <w:lang w:val="es-MX"/>
        </w:rPr>
      </w:pPr>
      <w:r w:rsidRPr="00990959">
        <w:rPr>
          <w:rFonts w:ascii="Arial" w:hAnsi="Arial" w:cs="Arial"/>
          <w:b/>
          <w:sz w:val="28"/>
          <w:szCs w:val="28"/>
          <w:lang w:val="es-MX"/>
        </w:rPr>
        <w:t>65.- RAMA JUDICIAL - CONSEJO SUPERIOR DE LA JUDICATURA.</w:t>
      </w:r>
    </w:p>
    <w:p w14:paraId="28EB8AF1" w14:textId="77777777" w:rsidR="007E2F9F" w:rsidRDefault="007E2F9F" w:rsidP="007E2F9F">
      <w:pPr>
        <w:ind w:left="-284" w:right="-234"/>
        <w:jc w:val="both"/>
        <w:rPr>
          <w:rFonts w:ascii="Arial" w:hAnsi="Arial" w:cs="Arial"/>
          <w:b/>
          <w:bCs/>
          <w:sz w:val="28"/>
          <w:szCs w:val="28"/>
        </w:rPr>
      </w:pPr>
    </w:p>
    <w:p w14:paraId="6F3E0E00"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AABF6A8"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72227128"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990959" w14:paraId="6E3A3DD6" w14:textId="77777777" w:rsidTr="006548F8">
        <w:tc>
          <w:tcPr>
            <w:tcW w:w="4161" w:type="dxa"/>
          </w:tcPr>
          <w:p w14:paraId="2E5BFB7A" w14:textId="77777777" w:rsidR="007E2F9F" w:rsidRPr="00990959" w:rsidRDefault="007E2F9F" w:rsidP="006548F8">
            <w:pPr>
              <w:ind w:left="1169" w:right="-1440"/>
              <w:rPr>
                <w:rFonts w:ascii="Arial" w:hAnsi="Arial" w:cs="Arial"/>
                <w:b/>
                <w:sz w:val="18"/>
                <w:szCs w:val="18"/>
                <w:lang w:val="es-ES_tradnl"/>
              </w:rPr>
            </w:pPr>
            <w:r w:rsidRPr="00990959">
              <w:rPr>
                <w:rFonts w:ascii="Arial" w:hAnsi="Arial" w:cs="Arial"/>
                <w:b/>
                <w:sz w:val="18"/>
                <w:szCs w:val="18"/>
                <w:lang w:val="es-ES_tradnl"/>
              </w:rPr>
              <w:t>TIPO DE GASTO</w:t>
            </w:r>
          </w:p>
        </w:tc>
        <w:tc>
          <w:tcPr>
            <w:tcW w:w="2040" w:type="dxa"/>
          </w:tcPr>
          <w:p w14:paraId="19CB392F" w14:textId="77777777" w:rsidR="007E2F9F" w:rsidRPr="00990959" w:rsidRDefault="007E2F9F" w:rsidP="006548F8">
            <w:pPr>
              <w:jc w:val="center"/>
              <w:rPr>
                <w:rFonts w:ascii="Arial" w:hAnsi="Arial" w:cs="Arial"/>
                <w:b/>
                <w:sz w:val="18"/>
                <w:szCs w:val="18"/>
                <w:lang w:val="es-ES_tradnl"/>
              </w:rPr>
            </w:pPr>
            <w:r w:rsidRPr="00990959">
              <w:rPr>
                <w:rFonts w:ascii="Arial" w:hAnsi="Arial" w:cs="Arial"/>
                <w:b/>
                <w:sz w:val="18"/>
                <w:szCs w:val="18"/>
                <w:lang w:val="es-ES_tradnl"/>
              </w:rPr>
              <w:t>APROPIACIÓN</w:t>
            </w:r>
          </w:p>
          <w:p w14:paraId="245D8CF4" w14:textId="77777777" w:rsidR="007E2F9F" w:rsidRPr="00990959" w:rsidRDefault="007E2F9F" w:rsidP="006548F8">
            <w:pPr>
              <w:jc w:val="center"/>
              <w:rPr>
                <w:rFonts w:ascii="Arial" w:hAnsi="Arial" w:cs="Arial"/>
                <w:b/>
                <w:sz w:val="18"/>
                <w:szCs w:val="18"/>
                <w:lang w:val="es-ES_tradnl"/>
              </w:rPr>
            </w:pPr>
            <w:r w:rsidRPr="00990959">
              <w:rPr>
                <w:rFonts w:ascii="Arial" w:hAnsi="Arial" w:cs="Arial"/>
                <w:b/>
                <w:sz w:val="18"/>
                <w:szCs w:val="18"/>
                <w:lang w:val="es-ES_tradnl"/>
              </w:rPr>
              <w:t>DEFINITIVA</w:t>
            </w:r>
          </w:p>
          <w:p w14:paraId="33F52E0E" w14:textId="77777777" w:rsidR="007E2F9F" w:rsidRPr="00990959" w:rsidRDefault="007E2F9F" w:rsidP="006548F8">
            <w:pPr>
              <w:jc w:val="center"/>
              <w:rPr>
                <w:rFonts w:ascii="Arial" w:hAnsi="Arial" w:cs="Arial"/>
                <w:b/>
                <w:sz w:val="18"/>
                <w:szCs w:val="18"/>
                <w:lang w:val="es-ES_tradnl"/>
              </w:rPr>
            </w:pPr>
            <w:r w:rsidRPr="00990959">
              <w:rPr>
                <w:rFonts w:ascii="Arial" w:hAnsi="Arial" w:cs="Arial"/>
                <w:b/>
                <w:sz w:val="18"/>
                <w:szCs w:val="18"/>
                <w:lang w:val="es-ES_tradnl"/>
              </w:rPr>
              <w:t>(1)</w:t>
            </w:r>
          </w:p>
          <w:p w14:paraId="5FF49884" w14:textId="77777777" w:rsidR="007E2F9F" w:rsidRPr="00990959" w:rsidRDefault="007E2F9F" w:rsidP="006548F8">
            <w:pPr>
              <w:jc w:val="center"/>
              <w:rPr>
                <w:rFonts w:ascii="Arial" w:hAnsi="Arial" w:cs="Arial"/>
                <w:b/>
                <w:sz w:val="18"/>
                <w:szCs w:val="18"/>
                <w:lang w:val="es-ES_tradnl"/>
              </w:rPr>
            </w:pPr>
          </w:p>
        </w:tc>
        <w:tc>
          <w:tcPr>
            <w:tcW w:w="2040" w:type="dxa"/>
          </w:tcPr>
          <w:p w14:paraId="458BDA18" w14:textId="77777777" w:rsidR="007E2F9F" w:rsidRPr="00990959" w:rsidRDefault="007E2F9F" w:rsidP="006548F8">
            <w:pPr>
              <w:ind w:left="145" w:right="184"/>
              <w:jc w:val="center"/>
              <w:rPr>
                <w:rFonts w:ascii="Arial" w:hAnsi="Arial" w:cs="Arial"/>
                <w:b/>
                <w:sz w:val="18"/>
                <w:szCs w:val="18"/>
                <w:lang w:val="es-ES_tradnl"/>
              </w:rPr>
            </w:pPr>
            <w:r w:rsidRPr="00990959">
              <w:rPr>
                <w:rFonts w:ascii="Arial" w:hAnsi="Arial" w:cs="Arial"/>
                <w:b/>
                <w:sz w:val="18"/>
                <w:szCs w:val="18"/>
                <w:lang w:val="es-ES_tradnl"/>
              </w:rPr>
              <w:t>EJECUCIÓN</w:t>
            </w:r>
          </w:p>
          <w:p w14:paraId="213A91E7" w14:textId="77777777" w:rsidR="007E2F9F" w:rsidRPr="00990959" w:rsidRDefault="007E2F9F" w:rsidP="006548F8">
            <w:pPr>
              <w:ind w:right="34"/>
              <w:jc w:val="center"/>
              <w:rPr>
                <w:rFonts w:ascii="Arial" w:hAnsi="Arial" w:cs="Arial"/>
                <w:b/>
                <w:sz w:val="18"/>
                <w:szCs w:val="18"/>
                <w:lang w:val="es-ES_tradnl"/>
              </w:rPr>
            </w:pPr>
            <w:r w:rsidRPr="00990959">
              <w:rPr>
                <w:rFonts w:ascii="Arial" w:hAnsi="Arial" w:cs="Arial"/>
                <w:b/>
                <w:sz w:val="18"/>
                <w:szCs w:val="18"/>
                <w:lang w:val="es-ES_tradnl"/>
              </w:rPr>
              <w:t>COMPROMISOS</w:t>
            </w:r>
          </w:p>
          <w:p w14:paraId="5EFC13D2" w14:textId="77777777" w:rsidR="007E2F9F" w:rsidRPr="00990959" w:rsidRDefault="007E2F9F" w:rsidP="006548F8">
            <w:pPr>
              <w:ind w:right="34"/>
              <w:jc w:val="center"/>
              <w:rPr>
                <w:rFonts w:ascii="Arial" w:hAnsi="Arial" w:cs="Arial"/>
                <w:b/>
                <w:sz w:val="18"/>
                <w:szCs w:val="18"/>
                <w:lang w:val="es-ES_tradnl"/>
              </w:rPr>
            </w:pPr>
            <w:r w:rsidRPr="00990959">
              <w:rPr>
                <w:rFonts w:ascii="Arial" w:hAnsi="Arial" w:cs="Arial"/>
                <w:b/>
                <w:sz w:val="18"/>
                <w:szCs w:val="18"/>
                <w:lang w:val="es-ES_tradnl"/>
              </w:rPr>
              <w:t>(2)</w:t>
            </w:r>
          </w:p>
        </w:tc>
        <w:tc>
          <w:tcPr>
            <w:tcW w:w="2249" w:type="dxa"/>
          </w:tcPr>
          <w:p w14:paraId="07915561" w14:textId="77777777" w:rsidR="007E2F9F" w:rsidRPr="00990959" w:rsidRDefault="007E2F9F" w:rsidP="006548F8">
            <w:pPr>
              <w:ind w:left="25" w:right="34"/>
              <w:jc w:val="center"/>
              <w:rPr>
                <w:rFonts w:ascii="Arial" w:hAnsi="Arial" w:cs="Arial"/>
                <w:b/>
                <w:sz w:val="18"/>
                <w:szCs w:val="18"/>
                <w:lang w:val="es-ES_tradnl"/>
              </w:rPr>
            </w:pPr>
            <w:r w:rsidRPr="00990959">
              <w:rPr>
                <w:rFonts w:ascii="Arial" w:hAnsi="Arial" w:cs="Arial"/>
                <w:b/>
                <w:sz w:val="18"/>
                <w:szCs w:val="18"/>
                <w:lang w:val="es-ES_tradnl"/>
              </w:rPr>
              <w:t>PÉRDIDAS DE</w:t>
            </w:r>
          </w:p>
          <w:p w14:paraId="6D8527E7" w14:textId="77777777" w:rsidR="007E2F9F" w:rsidRPr="00990959" w:rsidRDefault="007E2F9F" w:rsidP="006548F8">
            <w:pPr>
              <w:ind w:right="34"/>
              <w:jc w:val="center"/>
              <w:rPr>
                <w:rFonts w:ascii="Arial" w:hAnsi="Arial" w:cs="Arial"/>
                <w:b/>
                <w:sz w:val="18"/>
                <w:szCs w:val="18"/>
                <w:lang w:val="es-ES_tradnl"/>
              </w:rPr>
            </w:pPr>
            <w:r w:rsidRPr="00990959">
              <w:rPr>
                <w:rFonts w:ascii="Arial" w:hAnsi="Arial" w:cs="Arial"/>
                <w:b/>
                <w:sz w:val="18"/>
                <w:szCs w:val="18"/>
                <w:lang w:val="es-ES_tradnl"/>
              </w:rPr>
              <w:t>APROPIACIÓN</w:t>
            </w:r>
          </w:p>
          <w:p w14:paraId="2858B591" w14:textId="77777777" w:rsidR="007E2F9F" w:rsidRPr="00990959" w:rsidRDefault="007E2F9F" w:rsidP="006548F8">
            <w:pPr>
              <w:ind w:right="34"/>
              <w:jc w:val="center"/>
              <w:rPr>
                <w:rFonts w:ascii="Arial" w:hAnsi="Arial" w:cs="Arial"/>
                <w:b/>
                <w:sz w:val="18"/>
                <w:szCs w:val="18"/>
                <w:lang w:val="es-ES_tradnl"/>
              </w:rPr>
            </w:pPr>
            <w:r w:rsidRPr="00990959">
              <w:rPr>
                <w:rFonts w:ascii="Arial" w:hAnsi="Arial" w:cs="Arial"/>
                <w:b/>
                <w:sz w:val="18"/>
                <w:szCs w:val="18"/>
                <w:lang w:val="es-ES_tradnl"/>
              </w:rPr>
              <w:t>3 = (1-2)</w:t>
            </w:r>
          </w:p>
        </w:tc>
      </w:tr>
      <w:tr w:rsidR="007E2F9F" w:rsidRPr="00990959" w14:paraId="0C401A2E" w14:textId="77777777" w:rsidTr="006548F8">
        <w:trPr>
          <w:trHeight w:val="230"/>
        </w:trPr>
        <w:tc>
          <w:tcPr>
            <w:tcW w:w="4161" w:type="dxa"/>
          </w:tcPr>
          <w:p w14:paraId="4B63237E" w14:textId="77777777" w:rsidR="007E2F9F" w:rsidRPr="00990959" w:rsidRDefault="007E2F9F" w:rsidP="006548F8">
            <w:pPr>
              <w:ind w:right="-1440"/>
              <w:jc w:val="both"/>
              <w:rPr>
                <w:rFonts w:ascii="Arial" w:hAnsi="Arial" w:cs="Arial"/>
                <w:b/>
                <w:sz w:val="18"/>
                <w:szCs w:val="18"/>
                <w:lang w:val="es-ES_tradnl"/>
              </w:rPr>
            </w:pPr>
            <w:r w:rsidRPr="00990959">
              <w:rPr>
                <w:rFonts w:ascii="Arial" w:hAnsi="Arial" w:cs="Arial"/>
                <w:b/>
                <w:sz w:val="18"/>
                <w:szCs w:val="18"/>
                <w:lang w:val="es-ES_tradnl"/>
              </w:rPr>
              <w:t>FUNCIONAMIENTO</w:t>
            </w:r>
          </w:p>
        </w:tc>
        <w:tc>
          <w:tcPr>
            <w:tcW w:w="2040" w:type="dxa"/>
            <w:vAlign w:val="bottom"/>
          </w:tcPr>
          <w:p w14:paraId="35557037" w14:textId="77777777" w:rsidR="007E2F9F" w:rsidRPr="007E4447" w:rsidRDefault="007E2F9F" w:rsidP="006548F8">
            <w:pPr>
              <w:jc w:val="right"/>
              <w:rPr>
                <w:rFonts w:ascii="Arial" w:eastAsia="Calibri" w:hAnsi="Arial" w:cs="Arial"/>
                <w:b/>
                <w:sz w:val="16"/>
                <w:szCs w:val="16"/>
                <w:lang w:val="es-CO"/>
              </w:rPr>
            </w:pPr>
            <w:r w:rsidRPr="007E4447">
              <w:rPr>
                <w:rFonts w:ascii="Arial" w:hAnsi="Arial" w:cs="Arial"/>
                <w:b/>
                <w:bCs/>
                <w:color w:val="000000"/>
                <w:sz w:val="16"/>
                <w:szCs w:val="16"/>
                <w:lang w:val="es-CO"/>
              </w:rPr>
              <w:t>8.192.580.013,30</w:t>
            </w:r>
          </w:p>
        </w:tc>
        <w:tc>
          <w:tcPr>
            <w:tcW w:w="2040" w:type="dxa"/>
            <w:vAlign w:val="bottom"/>
          </w:tcPr>
          <w:p w14:paraId="29BEC6D9" w14:textId="77777777" w:rsidR="007E2F9F" w:rsidRPr="007E4447" w:rsidRDefault="007E2F9F" w:rsidP="006548F8">
            <w:pPr>
              <w:pStyle w:val="Prrafodelista"/>
              <w:ind w:left="0"/>
              <w:jc w:val="right"/>
              <w:rPr>
                <w:rFonts w:ascii="Arial" w:hAnsi="Arial" w:cs="Arial"/>
                <w:b/>
                <w:sz w:val="16"/>
                <w:szCs w:val="16"/>
              </w:rPr>
            </w:pPr>
            <w:r w:rsidRPr="007E4447">
              <w:rPr>
                <w:rFonts w:ascii="Arial" w:hAnsi="Arial" w:cs="Arial"/>
                <w:b/>
                <w:bCs/>
                <w:color w:val="000000"/>
                <w:sz w:val="16"/>
                <w:szCs w:val="16"/>
                <w:lang w:val="es-CO"/>
              </w:rPr>
              <w:t>8.054.699.866,38</w:t>
            </w:r>
          </w:p>
        </w:tc>
        <w:tc>
          <w:tcPr>
            <w:tcW w:w="2249" w:type="dxa"/>
            <w:vAlign w:val="bottom"/>
          </w:tcPr>
          <w:p w14:paraId="16DF36A5" w14:textId="77777777" w:rsidR="007E2F9F" w:rsidRPr="007E4447" w:rsidRDefault="007E2F9F" w:rsidP="006548F8">
            <w:pPr>
              <w:pStyle w:val="Prrafodelista"/>
              <w:ind w:left="0"/>
              <w:jc w:val="right"/>
              <w:rPr>
                <w:rFonts w:ascii="Arial" w:hAnsi="Arial" w:cs="Arial"/>
                <w:b/>
                <w:sz w:val="16"/>
                <w:szCs w:val="16"/>
              </w:rPr>
            </w:pPr>
            <w:r w:rsidRPr="007E4447">
              <w:rPr>
                <w:rFonts w:ascii="Arial" w:hAnsi="Arial" w:cs="Arial"/>
                <w:b/>
                <w:bCs/>
                <w:color w:val="000000"/>
                <w:sz w:val="16"/>
                <w:szCs w:val="16"/>
                <w:lang w:val="es-CO"/>
              </w:rPr>
              <w:t>137.880.146,92</w:t>
            </w:r>
          </w:p>
        </w:tc>
      </w:tr>
      <w:tr w:rsidR="007E2F9F" w:rsidRPr="00990959" w14:paraId="617497A1" w14:textId="77777777" w:rsidTr="006548F8">
        <w:tc>
          <w:tcPr>
            <w:tcW w:w="4161" w:type="dxa"/>
          </w:tcPr>
          <w:p w14:paraId="12392012" w14:textId="77777777" w:rsidR="007E2F9F" w:rsidRPr="00990959" w:rsidRDefault="007E2F9F" w:rsidP="006548F8">
            <w:pPr>
              <w:ind w:right="-1440"/>
              <w:jc w:val="both"/>
              <w:rPr>
                <w:rFonts w:ascii="Arial" w:hAnsi="Arial" w:cs="Arial"/>
                <w:b/>
                <w:sz w:val="18"/>
                <w:szCs w:val="18"/>
                <w:lang w:val="es-ES_tradnl"/>
              </w:rPr>
            </w:pPr>
            <w:r w:rsidRPr="00990959">
              <w:rPr>
                <w:rFonts w:ascii="Arial" w:hAnsi="Arial" w:cs="Arial"/>
                <w:b/>
                <w:sz w:val="18"/>
                <w:szCs w:val="18"/>
                <w:lang w:val="es-ES_tradnl"/>
              </w:rPr>
              <w:t>INVERSIÓN</w:t>
            </w:r>
          </w:p>
        </w:tc>
        <w:tc>
          <w:tcPr>
            <w:tcW w:w="2040" w:type="dxa"/>
            <w:vAlign w:val="bottom"/>
          </w:tcPr>
          <w:p w14:paraId="348FFF59" w14:textId="77777777" w:rsidR="007E2F9F" w:rsidRPr="007E4447" w:rsidRDefault="007E2F9F" w:rsidP="006548F8">
            <w:pPr>
              <w:pStyle w:val="Prrafodelista"/>
              <w:ind w:left="0"/>
              <w:jc w:val="right"/>
              <w:rPr>
                <w:rFonts w:ascii="Arial" w:hAnsi="Arial" w:cs="Arial"/>
                <w:b/>
                <w:sz w:val="16"/>
                <w:szCs w:val="16"/>
              </w:rPr>
            </w:pPr>
            <w:r w:rsidRPr="007E4447">
              <w:rPr>
                <w:rFonts w:ascii="Arial" w:hAnsi="Arial" w:cs="Arial"/>
                <w:b/>
                <w:sz w:val="16"/>
                <w:szCs w:val="16"/>
                <w:lang w:val="es-CO"/>
              </w:rPr>
              <w:t>1.137.039.817,89</w:t>
            </w:r>
          </w:p>
        </w:tc>
        <w:tc>
          <w:tcPr>
            <w:tcW w:w="2040" w:type="dxa"/>
            <w:vAlign w:val="bottom"/>
          </w:tcPr>
          <w:p w14:paraId="1343C4A3" w14:textId="77777777" w:rsidR="007E2F9F" w:rsidRPr="007E4447" w:rsidRDefault="007E2F9F" w:rsidP="006548F8">
            <w:pPr>
              <w:pStyle w:val="Prrafodelista"/>
              <w:ind w:left="0"/>
              <w:jc w:val="right"/>
              <w:rPr>
                <w:rFonts w:ascii="Arial" w:hAnsi="Arial" w:cs="Arial"/>
                <w:b/>
                <w:sz w:val="16"/>
                <w:szCs w:val="16"/>
              </w:rPr>
            </w:pPr>
            <w:r w:rsidRPr="007E4447">
              <w:rPr>
                <w:rFonts w:ascii="Arial" w:hAnsi="Arial" w:cs="Arial"/>
                <w:b/>
                <w:sz w:val="16"/>
                <w:szCs w:val="16"/>
                <w:lang w:val="es-CO"/>
              </w:rPr>
              <w:t>993.701.711,95</w:t>
            </w:r>
          </w:p>
        </w:tc>
        <w:tc>
          <w:tcPr>
            <w:tcW w:w="2249" w:type="dxa"/>
            <w:vAlign w:val="bottom"/>
          </w:tcPr>
          <w:p w14:paraId="29DB69BF" w14:textId="77777777" w:rsidR="007E2F9F" w:rsidRPr="007E4447" w:rsidRDefault="007E2F9F" w:rsidP="006548F8">
            <w:pPr>
              <w:pStyle w:val="Prrafodelista"/>
              <w:ind w:left="0"/>
              <w:jc w:val="right"/>
              <w:rPr>
                <w:rFonts w:ascii="Arial" w:hAnsi="Arial" w:cs="Arial"/>
                <w:b/>
                <w:sz w:val="16"/>
                <w:szCs w:val="16"/>
              </w:rPr>
            </w:pPr>
            <w:r w:rsidRPr="007E4447">
              <w:rPr>
                <w:rFonts w:ascii="Arial" w:hAnsi="Arial" w:cs="Arial"/>
                <w:b/>
                <w:sz w:val="16"/>
                <w:szCs w:val="16"/>
                <w:lang w:val="es-CO"/>
              </w:rPr>
              <w:t>143.338.105,93</w:t>
            </w:r>
          </w:p>
        </w:tc>
      </w:tr>
      <w:tr w:rsidR="007E2F9F" w:rsidRPr="00990959" w14:paraId="1CCA08F0" w14:textId="77777777" w:rsidTr="006548F8">
        <w:tc>
          <w:tcPr>
            <w:tcW w:w="4161" w:type="dxa"/>
          </w:tcPr>
          <w:p w14:paraId="50E9F41F" w14:textId="77777777" w:rsidR="007E2F9F" w:rsidRPr="00990959" w:rsidRDefault="007E2F9F" w:rsidP="006548F8">
            <w:pPr>
              <w:ind w:right="-1440"/>
              <w:jc w:val="both"/>
              <w:rPr>
                <w:rFonts w:ascii="Arial" w:hAnsi="Arial" w:cs="Arial"/>
                <w:b/>
                <w:sz w:val="18"/>
                <w:szCs w:val="18"/>
                <w:lang w:val="es-ES_tradnl"/>
              </w:rPr>
            </w:pPr>
            <w:r w:rsidRPr="00990959">
              <w:rPr>
                <w:rFonts w:ascii="Arial" w:hAnsi="Arial" w:cs="Arial"/>
                <w:b/>
                <w:sz w:val="18"/>
                <w:szCs w:val="18"/>
                <w:lang w:val="es-ES_tradnl"/>
              </w:rPr>
              <w:t>TOTAL PÉRDIDAS DE APROPIACIÓN</w:t>
            </w:r>
          </w:p>
        </w:tc>
        <w:tc>
          <w:tcPr>
            <w:tcW w:w="2040" w:type="dxa"/>
            <w:vAlign w:val="bottom"/>
          </w:tcPr>
          <w:p w14:paraId="3A473409" w14:textId="77777777" w:rsidR="007E2F9F" w:rsidRPr="007E4447" w:rsidRDefault="007E2F9F" w:rsidP="006548F8">
            <w:pPr>
              <w:pStyle w:val="Prrafodelista"/>
              <w:ind w:left="0"/>
              <w:jc w:val="right"/>
              <w:rPr>
                <w:rFonts w:ascii="Arial" w:hAnsi="Arial" w:cs="Arial"/>
                <w:b/>
                <w:sz w:val="16"/>
                <w:szCs w:val="16"/>
                <w:u w:val="single"/>
              </w:rPr>
            </w:pPr>
            <w:r w:rsidRPr="007E4447">
              <w:rPr>
                <w:rFonts w:ascii="Arial" w:hAnsi="Arial" w:cs="Arial"/>
                <w:b/>
                <w:bCs/>
                <w:sz w:val="16"/>
                <w:szCs w:val="16"/>
                <w:lang w:val="es-CO"/>
              </w:rPr>
              <w:t>9.347.315.409,33</w:t>
            </w:r>
          </w:p>
        </w:tc>
        <w:tc>
          <w:tcPr>
            <w:tcW w:w="2040" w:type="dxa"/>
            <w:vAlign w:val="bottom"/>
          </w:tcPr>
          <w:p w14:paraId="58A410E3" w14:textId="77777777" w:rsidR="007E2F9F" w:rsidRPr="007E4447" w:rsidRDefault="007E2F9F" w:rsidP="006548F8">
            <w:pPr>
              <w:pStyle w:val="Prrafodelista"/>
              <w:ind w:left="0"/>
              <w:jc w:val="right"/>
              <w:rPr>
                <w:rFonts w:ascii="Arial" w:hAnsi="Arial" w:cs="Arial"/>
                <w:b/>
                <w:sz w:val="16"/>
                <w:szCs w:val="16"/>
                <w:u w:val="single"/>
              </w:rPr>
            </w:pPr>
            <w:r w:rsidRPr="007E4447">
              <w:rPr>
                <w:rFonts w:ascii="Arial" w:hAnsi="Arial" w:cs="Arial"/>
                <w:b/>
                <w:bCs/>
                <w:sz w:val="16"/>
                <w:szCs w:val="16"/>
                <w:lang w:val="es-CO"/>
              </w:rPr>
              <w:t>9.066.097.156,47</w:t>
            </w:r>
          </w:p>
        </w:tc>
        <w:tc>
          <w:tcPr>
            <w:tcW w:w="2249" w:type="dxa"/>
            <w:vAlign w:val="bottom"/>
          </w:tcPr>
          <w:p w14:paraId="2928C994" w14:textId="77777777" w:rsidR="007E2F9F" w:rsidRPr="007E4447" w:rsidRDefault="007E2F9F" w:rsidP="006548F8">
            <w:pPr>
              <w:pStyle w:val="Prrafodelista"/>
              <w:ind w:left="0"/>
              <w:jc w:val="right"/>
              <w:rPr>
                <w:rFonts w:ascii="Arial" w:hAnsi="Arial" w:cs="Arial"/>
                <w:b/>
                <w:sz w:val="16"/>
                <w:szCs w:val="16"/>
                <w:u w:val="single"/>
              </w:rPr>
            </w:pPr>
            <w:r w:rsidRPr="007E4447">
              <w:rPr>
                <w:rFonts w:ascii="Arial" w:hAnsi="Arial" w:cs="Arial"/>
                <w:b/>
                <w:bCs/>
                <w:sz w:val="16"/>
                <w:szCs w:val="16"/>
                <w:u w:val="single"/>
                <w:lang w:val="es-CO"/>
              </w:rPr>
              <w:t>281.218.252,86</w:t>
            </w:r>
          </w:p>
        </w:tc>
      </w:tr>
    </w:tbl>
    <w:p w14:paraId="0DC58E52" w14:textId="77777777" w:rsidR="007E2F9F" w:rsidRDefault="007E2F9F" w:rsidP="007E2F9F">
      <w:pPr>
        <w:ind w:left="-284" w:right="-234"/>
        <w:jc w:val="both"/>
        <w:rPr>
          <w:rFonts w:ascii="Arial" w:hAnsi="Arial" w:cs="Arial"/>
          <w:b/>
          <w:bCs/>
          <w:sz w:val="28"/>
          <w:szCs w:val="28"/>
        </w:rPr>
      </w:pPr>
    </w:p>
    <w:p w14:paraId="6EF19CEE" w14:textId="77777777" w:rsidR="007E2F9F" w:rsidRPr="007E4447" w:rsidRDefault="007E2F9F" w:rsidP="007E2F9F">
      <w:pPr>
        <w:ind w:left="-284"/>
        <w:jc w:val="both"/>
        <w:rPr>
          <w:rFonts w:ascii="Arial" w:hAnsi="Arial" w:cs="Arial"/>
          <w:b/>
          <w:sz w:val="28"/>
          <w:szCs w:val="28"/>
          <w:lang w:val="es-MX"/>
        </w:rPr>
      </w:pPr>
      <w:r w:rsidRPr="007E4447">
        <w:rPr>
          <w:rFonts w:ascii="Arial" w:hAnsi="Arial" w:cs="Arial"/>
          <w:b/>
          <w:sz w:val="28"/>
          <w:szCs w:val="28"/>
          <w:lang w:val="es-MX"/>
        </w:rPr>
        <w:t>67.- CONSEJO NACIONAL ELECTORAL - CNE.</w:t>
      </w:r>
    </w:p>
    <w:p w14:paraId="461E38B1" w14:textId="77777777" w:rsidR="007E2F9F" w:rsidRDefault="007E2F9F" w:rsidP="007E2F9F">
      <w:pPr>
        <w:ind w:left="-284" w:right="-234"/>
        <w:jc w:val="both"/>
        <w:rPr>
          <w:rFonts w:ascii="Arial" w:hAnsi="Arial" w:cs="Arial"/>
          <w:b/>
          <w:bCs/>
          <w:sz w:val="28"/>
          <w:szCs w:val="28"/>
        </w:rPr>
      </w:pPr>
    </w:p>
    <w:p w14:paraId="1071BD3D"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lastRenderedPageBreak/>
        <w:t>Pérdidas de Apropiación en la vigencia 2024.</w:t>
      </w:r>
    </w:p>
    <w:p w14:paraId="767585F4" w14:textId="77777777" w:rsidR="007E2F9F" w:rsidRPr="000568E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5A0D5B5" w14:textId="77777777" w:rsidR="007E2F9F" w:rsidRPr="000568EF" w:rsidRDefault="007E2F9F" w:rsidP="007E2F9F">
      <w:pP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7E4447" w14:paraId="5A7FA5E4" w14:textId="77777777" w:rsidTr="006548F8">
        <w:tc>
          <w:tcPr>
            <w:tcW w:w="4161" w:type="dxa"/>
          </w:tcPr>
          <w:p w14:paraId="5633422A" w14:textId="77777777" w:rsidR="007E2F9F" w:rsidRPr="007E4447" w:rsidRDefault="007E2F9F" w:rsidP="006548F8">
            <w:pPr>
              <w:ind w:left="1169" w:right="-1440"/>
              <w:rPr>
                <w:rFonts w:ascii="Arial" w:hAnsi="Arial" w:cs="Arial"/>
                <w:b/>
                <w:sz w:val="18"/>
                <w:szCs w:val="18"/>
                <w:lang w:val="es-ES_tradnl"/>
              </w:rPr>
            </w:pPr>
            <w:r w:rsidRPr="007E4447">
              <w:rPr>
                <w:rFonts w:ascii="Arial" w:hAnsi="Arial" w:cs="Arial"/>
                <w:b/>
                <w:sz w:val="18"/>
                <w:szCs w:val="18"/>
                <w:lang w:val="es-ES_tradnl"/>
              </w:rPr>
              <w:t>TIPO DE GASTO</w:t>
            </w:r>
          </w:p>
        </w:tc>
        <w:tc>
          <w:tcPr>
            <w:tcW w:w="2040" w:type="dxa"/>
          </w:tcPr>
          <w:p w14:paraId="077E350E" w14:textId="77777777" w:rsidR="007E2F9F" w:rsidRPr="007E4447" w:rsidRDefault="007E2F9F" w:rsidP="006548F8">
            <w:pPr>
              <w:jc w:val="center"/>
              <w:rPr>
                <w:rFonts w:ascii="Arial" w:hAnsi="Arial" w:cs="Arial"/>
                <w:b/>
                <w:sz w:val="18"/>
                <w:szCs w:val="18"/>
                <w:lang w:val="es-ES_tradnl"/>
              </w:rPr>
            </w:pPr>
            <w:r w:rsidRPr="007E4447">
              <w:rPr>
                <w:rFonts w:ascii="Arial" w:hAnsi="Arial" w:cs="Arial"/>
                <w:b/>
                <w:sz w:val="18"/>
                <w:szCs w:val="18"/>
                <w:lang w:val="es-ES_tradnl"/>
              </w:rPr>
              <w:t>APROPIACIÓN</w:t>
            </w:r>
          </w:p>
          <w:p w14:paraId="0FC60DDD" w14:textId="77777777" w:rsidR="007E2F9F" w:rsidRPr="007E4447" w:rsidRDefault="007E2F9F" w:rsidP="006548F8">
            <w:pPr>
              <w:jc w:val="center"/>
              <w:rPr>
                <w:rFonts w:ascii="Arial" w:hAnsi="Arial" w:cs="Arial"/>
                <w:b/>
                <w:sz w:val="18"/>
                <w:szCs w:val="18"/>
                <w:lang w:val="es-ES_tradnl"/>
              </w:rPr>
            </w:pPr>
            <w:r w:rsidRPr="007E4447">
              <w:rPr>
                <w:rFonts w:ascii="Arial" w:hAnsi="Arial" w:cs="Arial"/>
                <w:b/>
                <w:sz w:val="18"/>
                <w:szCs w:val="18"/>
                <w:lang w:val="es-ES_tradnl"/>
              </w:rPr>
              <w:t>DEFINITIVA</w:t>
            </w:r>
          </w:p>
          <w:p w14:paraId="3C0E9E78" w14:textId="77777777" w:rsidR="007E2F9F" w:rsidRPr="007E4447" w:rsidRDefault="007E2F9F" w:rsidP="006548F8">
            <w:pPr>
              <w:jc w:val="center"/>
              <w:rPr>
                <w:rFonts w:ascii="Arial" w:hAnsi="Arial" w:cs="Arial"/>
                <w:b/>
                <w:sz w:val="18"/>
                <w:szCs w:val="18"/>
                <w:lang w:val="es-ES_tradnl"/>
              </w:rPr>
            </w:pPr>
            <w:r w:rsidRPr="007E4447">
              <w:rPr>
                <w:rFonts w:ascii="Arial" w:hAnsi="Arial" w:cs="Arial"/>
                <w:b/>
                <w:sz w:val="18"/>
                <w:szCs w:val="18"/>
                <w:lang w:val="es-ES_tradnl"/>
              </w:rPr>
              <w:t>(1)</w:t>
            </w:r>
          </w:p>
          <w:p w14:paraId="17E22A80" w14:textId="77777777" w:rsidR="007E2F9F" w:rsidRPr="007E4447" w:rsidRDefault="007E2F9F" w:rsidP="006548F8">
            <w:pPr>
              <w:jc w:val="center"/>
              <w:rPr>
                <w:rFonts w:ascii="Arial" w:hAnsi="Arial" w:cs="Arial"/>
                <w:b/>
                <w:sz w:val="18"/>
                <w:szCs w:val="18"/>
                <w:lang w:val="es-ES_tradnl"/>
              </w:rPr>
            </w:pPr>
          </w:p>
        </w:tc>
        <w:tc>
          <w:tcPr>
            <w:tcW w:w="2040" w:type="dxa"/>
          </w:tcPr>
          <w:p w14:paraId="5A854039" w14:textId="77777777" w:rsidR="007E2F9F" w:rsidRPr="007E4447" w:rsidRDefault="007E2F9F" w:rsidP="006548F8">
            <w:pPr>
              <w:ind w:left="145" w:right="184"/>
              <w:jc w:val="center"/>
              <w:rPr>
                <w:rFonts w:ascii="Arial" w:hAnsi="Arial" w:cs="Arial"/>
                <w:b/>
                <w:sz w:val="18"/>
                <w:szCs w:val="18"/>
                <w:lang w:val="es-ES_tradnl"/>
              </w:rPr>
            </w:pPr>
            <w:r w:rsidRPr="007E4447">
              <w:rPr>
                <w:rFonts w:ascii="Arial" w:hAnsi="Arial" w:cs="Arial"/>
                <w:b/>
                <w:sz w:val="18"/>
                <w:szCs w:val="18"/>
                <w:lang w:val="es-ES_tradnl"/>
              </w:rPr>
              <w:t>EJECUCIÓN</w:t>
            </w:r>
          </w:p>
          <w:p w14:paraId="44FDAEBC" w14:textId="77777777" w:rsidR="007E2F9F" w:rsidRPr="007E4447" w:rsidRDefault="007E2F9F" w:rsidP="006548F8">
            <w:pPr>
              <w:ind w:right="34"/>
              <w:jc w:val="center"/>
              <w:rPr>
                <w:rFonts w:ascii="Arial" w:hAnsi="Arial" w:cs="Arial"/>
                <w:b/>
                <w:sz w:val="18"/>
                <w:szCs w:val="18"/>
                <w:lang w:val="es-ES_tradnl"/>
              </w:rPr>
            </w:pPr>
            <w:r w:rsidRPr="007E4447">
              <w:rPr>
                <w:rFonts w:ascii="Arial" w:hAnsi="Arial" w:cs="Arial"/>
                <w:b/>
                <w:sz w:val="18"/>
                <w:szCs w:val="18"/>
                <w:lang w:val="es-ES_tradnl"/>
              </w:rPr>
              <w:t>COMPROMISOS</w:t>
            </w:r>
          </w:p>
          <w:p w14:paraId="53254EF1" w14:textId="77777777" w:rsidR="007E2F9F" w:rsidRPr="007E4447" w:rsidRDefault="007E2F9F" w:rsidP="006548F8">
            <w:pPr>
              <w:ind w:right="34"/>
              <w:jc w:val="center"/>
              <w:rPr>
                <w:rFonts w:ascii="Arial" w:hAnsi="Arial" w:cs="Arial"/>
                <w:b/>
                <w:sz w:val="18"/>
                <w:szCs w:val="18"/>
                <w:lang w:val="es-ES_tradnl"/>
              </w:rPr>
            </w:pPr>
            <w:r w:rsidRPr="007E4447">
              <w:rPr>
                <w:rFonts w:ascii="Arial" w:hAnsi="Arial" w:cs="Arial"/>
                <w:b/>
                <w:sz w:val="18"/>
                <w:szCs w:val="18"/>
                <w:lang w:val="es-ES_tradnl"/>
              </w:rPr>
              <w:t>(2)</w:t>
            </w:r>
          </w:p>
        </w:tc>
        <w:tc>
          <w:tcPr>
            <w:tcW w:w="2249" w:type="dxa"/>
          </w:tcPr>
          <w:p w14:paraId="59525BED" w14:textId="77777777" w:rsidR="007E2F9F" w:rsidRPr="007E4447" w:rsidRDefault="007E2F9F" w:rsidP="006548F8">
            <w:pPr>
              <w:ind w:left="25" w:right="34"/>
              <w:jc w:val="center"/>
              <w:rPr>
                <w:rFonts w:ascii="Arial" w:hAnsi="Arial" w:cs="Arial"/>
                <w:b/>
                <w:sz w:val="18"/>
                <w:szCs w:val="18"/>
                <w:lang w:val="es-ES_tradnl"/>
              </w:rPr>
            </w:pPr>
            <w:r w:rsidRPr="007E4447">
              <w:rPr>
                <w:rFonts w:ascii="Arial" w:hAnsi="Arial" w:cs="Arial"/>
                <w:b/>
                <w:sz w:val="18"/>
                <w:szCs w:val="18"/>
                <w:lang w:val="es-ES_tradnl"/>
              </w:rPr>
              <w:t>PÉRDIDAS DE</w:t>
            </w:r>
          </w:p>
          <w:p w14:paraId="479D6DE9" w14:textId="77777777" w:rsidR="007E2F9F" w:rsidRPr="007E4447" w:rsidRDefault="007E2F9F" w:rsidP="006548F8">
            <w:pPr>
              <w:ind w:right="34"/>
              <w:jc w:val="center"/>
              <w:rPr>
                <w:rFonts w:ascii="Arial" w:hAnsi="Arial" w:cs="Arial"/>
                <w:b/>
                <w:sz w:val="18"/>
                <w:szCs w:val="18"/>
                <w:lang w:val="es-ES_tradnl"/>
              </w:rPr>
            </w:pPr>
            <w:r w:rsidRPr="007E4447">
              <w:rPr>
                <w:rFonts w:ascii="Arial" w:hAnsi="Arial" w:cs="Arial"/>
                <w:b/>
                <w:sz w:val="18"/>
                <w:szCs w:val="18"/>
                <w:lang w:val="es-ES_tradnl"/>
              </w:rPr>
              <w:t>APROPIACIÓN</w:t>
            </w:r>
          </w:p>
          <w:p w14:paraId="7D8E632D" w14:textId="77777777" w:rsidR="007E2F9F" w:rsidRPr="007E4447" w:rsidRDefault="007E2F9F" w:rsidP="006548F8">
            <w:pPr>
              <w:ind w:right="34"/>
              <w:jc w:val="center"/>
              <w:rPr>
                <w:rFonts w:ascii="Arial" w:hAnsi="Arial" w:cs="Arial"/>
                <w:b/>
                <w:sz w:val="18"/>
                <w:szCs w:val="18"/>
                <w:lang w:val="es-ES_tradnl"/>
              </w:rPr>
            </w:pPr>
            <w:r w:rsidRPr="007E4447">
              <w:rPr>
                <w:rFonts w:ascii="Arial" w:hAnsi="Arial" w:cs="Arial"/>
                <w:b/>
                <w:sz w:val="18"/>
                <w:szCs w:val="18"/>
                <w:lang w:val="es-ES_tradnl"/>
              </w:rPr>
              <w:t>3 = (1-2)</w:t>
            </w:r>
          </w:p>
        </w:tc>
      </w:tr>
      <w:tr w:rsidR="007E2F9F" w:rsidRPr="007E4447" w14:paraId="7012779C" w14:textId="77777777" w:rsidTr="006548F8">
        <w:trPr>
          <w:trHeight w:val="230"/>
        </w:trPr>
        <w:tc>
          <w:tcPr>
            <w:tcW w:w="4161" w:type="dxa"/>
          </w:tcPr>
          <w:p w14:paraId="6E0BEF12" w14:textId="77777777" w:rsidR="007E2F9F" w:rsidRPr="007E4447" w:rsidRDefault="007E2F9F" w:rsidP="006548F8">
            <w:pPr>
              <w:ind w:right="-1440"/>
              <w:jc w:val="both"/>
              <w:rPr>
                <w:rFonts w:ascii="Arial" w:hAnsi="Arial" w:cs="Arial"/>
                <w:b/>
                <w:sz w:val="18"/>
                <w:szCs w:val="18"/>
                <w:lang w:val="es-ES_tradnl"/>
              </w:rPr>
            </w:pPr>
            <w:r w:rsidRPr="007E4447">
              <w:rPr>
                <w:rFonts w:ascii="Arial" w:hAnsi="Arial" w:cs="Arial"/>
                <w:b/>
                <w:sz w:val="18"/>
                <w:szCs w:val="18"/>
                <w:lang w:val="es-ES_tradnl"/>
              </w:rPr>
              <w:t>FUNCIONAMIENTO</w:t>
            </w:r>
          </w:p>
        </w:tc>
        <w:tc>
          <w:tcPr>
            <w:tcW w:w="2040" w:type="dxa"/>
          </w:tcPr>
          <w:p w14:paraId="5ADF7E2C" w14:textId="77777777" w:rsidR="007E2F9F" w:rsidRPr="007E4447" w:rsidRDefault="007E2F9F" w:rsidP="006548F8">
            <w:pPr>
              <w:jc w:val="right"/>
              <w:rPr>
                <w:rFonts w:ascii="Arial" w:eastAsia="Calibri" w:hAnsi="Arial" w:cs="Arial"/>
                <w:sz w:val="16"/>
                <w:szCs w:val="16"/>
                <w:lang w:val="es-CO"/>
              </w:rPr>
            </w:pPr>
            <w:r w:rsidRPr="007E4447">
              <w:rPr>
                <w:rFonts w:ascii="Arial" w:eastAsia="Calibri" w:hAnsi="Arial" w:cs="Arial"/>
                <w:b/>
                <w:bCs/>
                <w:sz w:val="16"/>
                <w:szCs w:val="16"/>
                <w:lang w:val="es-CO"/>
              </w:rPr>
              <w:t>267.706.753</w:t>
            </w:r>
          </w:p>
        </w:tc>
        <w:tc>
          <w:tcPr>
            <w:tcW w:w="2040" w:type="dxa"/>
          </w:tcPr>
          <w:p w14:paraId="4AF848E8" w14:textId="77777777" w:rsidR="007E2F9F" w:rsidRPr="007E4447" w:rsidRDefault="007E2F9F" w:rsidP="006548F8">
            <w:pPr>
              <w:pStyle w:val="Prrafodelista"/>
              <w:ind w:left="0"/>
              <w:jc w:val="right"/>
              <w:rPr>
                <w:rFonts w:ascii="Arial" w:hAnsi="Arial" w:cs="Arial"/>
                <w:sz w:val="16"/>
                <w:szCs w:val="16"/>
              </w:rPr>
            </w:pPr>
            <w:r w:rsidRPr="007E4447">
              <w:rPr>
                <w:rFonts w:ascii="Arial" w:eastAsia="Calibri" w:hAnsi="Arial" w:cs="Arial"/>
                <w:b/>
                <w:bCs/>
                <w:sz w:val="16"/>
                <w:szCs w:val="16"/>
                <w:lang w:val="es-CO"/>
              </w:rPr>
              <w:t>228.479.675</w:t>
            </w:r>
          </w:p>
        </w:tc>
        <w:tc>
          <w:tcPr>
            <w:tcW w:w="2249" w:type="dxa"/>
          </w:tcPr>
          <w:p w14:paraId="3211CDD7" w14:textId="77777777" w:rsidR="007E2F9F" w:rsidRPr="007E4447" w:rsidRDefault="007E2F9F" w:rsidP="006548F8">
            <w:pPr>
              <w:pStyle w:val="Prrafodelista"/>
              <w:ind w:left="0"/>
              <w:jc w:val="right"/>
              <w:rPr>
                <w:rFonts w:ascii="Arial" w:hAnsi="Arial" w:cs="Arial"/>
                <w:sz w:val="16"/>
                <w:szCs w:val="16"/>
              </w:rPr>
            </w:pPr>
            <w:r w:rsidRPr="007E4447">
              <w:rPr>
                <w:rFonts w:ascii="Arial" w:hAnsi="Arial" w:cs="Arial"/>
                <w:b/>
                <w:bCs/>
                <w:sz w:val="16"/>
                <w:szCs w:val="16"/>
              </w:rPr>
              <w:t>39.227.078</w:t>
            </w:r>
          </w:p>
        </w:tc>
      </w:tr>
      <w:tr w:rsidR="007E2F9F" w:rsidRPr="007E4447" w14:paraId="27FCE12F" w14:textId="77777777" w:rsidTr="006548F8">
        <w:tc>
          <w:tcPr>
            <w:tcW w:w="4161" w:type="dxa"/>
          </w:tcPr>
          <w:p w14:paraId="0F8398F5" w14:textId="77777777" w:rsidR="007E2F9F" w:rsidRPr="007E4447" w:rsidRDefault="007E2F9F" w:rsidP="006548F8">
            <w:pPr>
              <w:ind w:right="-1440"/>
              <w:jc w:val="both"/>
              <w:rPr>
                <w:rFonts w:ascii="Arial" w:hAnsi="Arial" w:cs="Arial"/>
                <w:b/>
                <w:sz w:val="18"/>
                <w:szCs w:val="18"/>
                <w:lang w:val="es-ES_tradnl"/>
              </w:rPr>
            </w:pPr>
            <w:r w:rsidRPr="007E4447">
              <w:rPr>
                <w:rFonts w:ascii="Arial" w:hAnsi="Arial" w:cs="Arial"/>
                <w:b/>
                <w:sz w:val="18"/>
                <w:szCs w:val="18"/>
                <w:lang w:val="es-ES_tradnl"/>
              </w:rPr>
              <w:t>INVERSIÓN</w:t>
            </w:r>
          </w:p>
        </w:tc>
        <w:tc>
          <w:tcPr>
            <w:tcW w:w="2040" w:type="dxa"/>
          </w:tcPr>
          <w:p w14:paraId="468F9717" w14:textId="77777777" w:rsidR="007E2F9F" w:rsidRPr="007E4447" w:rsidRDefault="007E2F9F" w:rsidP="006548F8">
            <w:pPr>
              <w:pStyle w:val="Prrafodelista"/>
              <w:ind w:left="0"/>
              <w:jc w:val="right"/>
              <w:rPr>
                <w:rFonts w:ascii="Arial" w:hAnsi="Arial" w:cs="Arial"/>
                <w:sz w:val="16"/>
                <w:szCs w:val="16"/>
              </w:rPr>
            </w:pPr>
            <w:r w:rsidRPr="007E4447">
              <w:rPr>
                <w:rFonts w:ascii="Arial" w:eastAsia="Calibri" w:hAnsi="Arial" w:cs="Arial"/>
                <w:b/>
                <w:bCs/>
                <w:sz w:val="16"/>
                <w:szCs w:val="16"/>
                <w:lang w:val="es-CO"/>
              </w:rPr>
              <w:t>690.706</w:t>
            </w:r>
          </w:p>
        </w:tc>
        <w:tc>
          <w:tcPr>
            <w:tcW w:w="2040" w:type="dxa"/>
          </w:tcPr>
          <w:p w14:paraId="0DA42E04" w14:textId="77777777" w:rsidR="007E2F9F" w:rsidRPr="007E4447" w:rsidRDefault="007E2F9F" w:rsidP="006548F8">
            <w:pPr>
              <w:pStyle w:val="Prrafodelista"/>
              <w:ind w:left="0"/>
              <w:jc w:val="right"/>
              <w:rPr>
                <w:rFonts w:ascii="Arial" w:hAnsi="Arial" w:cs="Arial"/>
                <w:sz w:val="16"/>
                <w:szCs w:val="16"/>
              </w:rPr>
            </w:pPr>
            <w:r w:rsidRPr="007E4447">
              <w:rPr>
                <w:rFonts w:ascii="Arial" w:eastAsia="Calibri" w:hAnsi="Arial" w:cs="Arial"/>
                <w:b/>
                <w:bCs/>
                <w:sz w:val="16"/>
                <w:szCs w:val="16"/>
                <w:lang w:val="es-CO"/>
              </w:rPr>
              <w:t>0</w:t>
            </w:r>
          </w:p>
        </w:tc>
        <w:tc>
          <w:tcPr>
            <w:tcW w:w="2249" w:type="dxa"/>
          </w:tcPr>
          <w:p w14:paraId="6E860F11" w14:textId="77777777" w:rsidR="007E2F9F" w:rsidRPr="007E4447" w:rsidRDefault="007E2F9F" w:rsidP="006548F8">
            <w:pPr>
              <w:pStyle w:val="Prrafodelista"/>
              <w:ind w:left="0"/>
              <w:jc w:val="right"/>
              <w:rPr>
                <w:rFonts w:ascii="Arial" w:hAnsi="Arial" w:cs="Arial"/>
                <w:b/>
                <w:sz w:val="16"/>
                <w:szCs w:val="16"/>
              </w:rPr>
            </w:pPr>
            <w:r w:rsidRPr="007E4447">
              <w:rPr>
                <w:rFonts w:ascii="Arial" w:hAnsi="Arial" w:cs="Arial"/>
                <w:b/>
                <w:sz w:val="16"/>
                <w:szCs w:val="16"/>
              </w:rPr>
              <w:t>690.706</w:t>
            </w:r>
          </w:p>
        </w:tc>
      </w:tr>
      <w:tr w:rsidR="007E2F9F" w:rsidRPr="007E4447" w14:paraId="6A124A82" w14:textId="77777777" w:rsidTr="006548F8">
        <w:tc>
          <w:tcPr>
            <w:tcW w:w="4161" w:type="dxa"/>
          </w:tcPr>
          <w:p w14:paraId="2B579208" w14:textId="77777777" w:rsidR="007E2F9F" w:rsidRPr="007E4447" w:rsidRDefault="007E2F9F" w:rsidP="006548F8">
            <w:pPr>
              <w:ind w:right="-1440"/>
              <w:jc w:val="both"/>
              <w:rPr>
                <w:rFonts w:ascii="Arial" w:hAnsi="Arial" w:cs="Arial"/>
                <w:b/>
                <w:sz w:val="18"/>
                <w:szCs w:val="18"/>
                <w:lang w:val="es-ES_tradnl"/>
              </w:rPr>
            </w:pPr>
            <w:r w:rsidRPr="007E4447">
              <w:rPr>
                <w:rFonts w:ascii="Arial" w:hAnsi="Arial" w:cs="Arial"/>
                <w:b/>
                <w:sz w:val="18"/>
                <w:szCs w:val="18"/>
                <w:lang w:val="es-ES_tradnl"/>
              </w:rPr>
              <w:t>TOTAL PÉRDIDAS DE APROPIACIÓN</w:t>
            </w:r>
          </w:p>
        </w:tc>
        <w:tc>
          <w:tcPr>
            <w:tcW w:w="2040" w:type="dxa"/>
          </w:tcPr>
          <w:p w14:paraId="5989FB18" w14:textId="77777777" w:rsidR="007E2F9F" w:rsidRPr="007E4447" w:rsidRDefault="007E2F9F" w:rsidP="006548F8">
            <w:pPr>
              <w:pStyle w:val="Prrafodelista"/>
              <w:ind w:left="0"/>
              <w:jc w:val="right"/>
              <w:rPr>
                <w:rFonts w:ascii="Arial" w:hAnsi="Arial" w:cs="Arial"/>
                <w:sz w:val="16"/>
                <w:szCs w:val="16"/>
                <w:u w:val="single"/>
              </w:rPr>
            </w:pPr>
            <w:r w:rsidRPr="007E4447">
              <w:rPr>
                <w:rFonts w:ascii="Arial" w:eastAsia="Calibri" w:hAnsi="Arial" w:cs="Arial"/>
                <w:b/>
                <w:sz w:val="16"/>
                <w:szCs w:val="16"/>
                <w:lang w:val="es-CO"/>
              </w:rPr>
              <w:t>268.397.459</w:t>
            </w:r>
          </w:p>
        </w:tc>
        <w:tc>
          <w:tcPr>
            <w:tcW w:w="2040" w:type="dxa"/>
          </w:tcPr>
          <w:p w14:paraId="1D72BEC8" w14:textId="77777777" w:rsidR="007E2F9F" w:rsidRPr="007E4447" w:rsidRDefault="007E2F9F" w:rsidP="006548F8">
            <w:pPr>
              <w:pStyle w:val="Prrafodelista"/>
              <w:ind w:left="0"/>
              <w:jc w:val="right"/>
              <w:rPr>
                <w:rFonts w:ascii="Arial" w:hAnsi="Arial" w:cs="Arial"/>
                <w:sz w:val="16"/>
                <w:szCs w:val="16"/>
                <w:u w:val="single"/>
              </w:rPr>
            </w:pPr>
            <w:r w:rsidRPr="007E4447">
              <w:rPr>
                <w:rFonts w:ascii="Arial" w:eastAsia="Calibri" w:hAnsi="Arial" w:cs="Arial"/>
                <w:b/>
                <w:sz w:val="16"/>
                <w:szCs w:val="16"/>
                <w:lang w:val="es-CO"/>
              </w:rPr>
              <w:t>228.479.675</w:t>
            </w:r>
          </w:p>
        </w:tc>
        <w:tc>
          <w:tcPr>
            <w:tcW w:w="2249" w:type="dxa"/>
          </w:tcPr>
          <w:p w14:paraId="560DCA2F" w14:textId="77777777" w:rsidR="007E2F9F" w:rsidRPr="007E4447" w:rsidRDefault="007E2F9F" w:rsidP="006548F8">
            <w:pPr>
              <w:pStyle w:val="Prrafodelista"/>
              <w:ind w:left="0"/>
              <w:jc w:val="right"/>
              <w:rPr>
                <w:rFonts w:ascii="Arial" w:hAnsi="Arial" w:cs="Arial"/>
                <w:b/>
                <w:sz w:val="16"/>
                <w:szCs w:val="16"/>
                <w:u w:val="single"/>
              </w:rPr>
            </w:pPr>
            <w:r w:rsidRPr="007E4447">
              <w:rPr>
                <w:rFonts w:ascii="Arial" w:hAnsi="Arial" w:cs="Arial"/>
                <w:b/>
                <w:sz w:val="16"/>
                <w:szCs w:val="16"/>
                <w:u w:val="single"/>
              </w:rPr>
              <w:t>39.917.785</w:t>
            </w:r>
          </w:p>
        </w:tc>
      </w:tr>
    </w:tbl>
    <w:p w14:paraId="5AC14A78" w14:textId="77777777" w:rsidR="007E2F9F" w:rsidRDefault="007E2F9F" w:rsidP="007E2F9F">
      <w:pPr>
        <w:ind w:left="-284" w:right="-234"/>
        <w:jc w:val="both"/>
        <w:rPr>
          <w:rFonts w:ascii="Arial" w:hAnsi="Arial" w:cs="Arial"/>
          <w:b/>
          <w:bCs/>
          <w:sz w:val="28"/>
          <w:szCs w:val="28"/>
        </w:rPr>
      </w:pPr>
    </w:p>
    <w:p w14:paraId="4452D75A" w14:textId="77777777" w:rsidR="007E2F9F" w:rsidRPr="00C911EA" w:rsidRDefault="007E2F9F" w:rsidP="007E2F9F">
      <w:pPr>
        <w:ind w:left="-284"/>
        <w:jc w:val="both"/>
        <w:rPr>
          <w:rFonts w:ascii="Arial" w:hAnsi="Arial" w:cs="Arial"/>
          <w:b/>
          <w:sz w:val="28"/>
          <w:szCs w:val="28"/>
          <w:lang w:val="es-MX"/>
        </w:rPr>
      </w:pPr>
      <w:r w:rsidRPr="00C911EA">
        <w:rPr>
          <w:rFonts w:ascii="Arial" w:hAnsi="Arial" w:cs="Arial"/>
          <w:b/>
          <w:sz w:val="28"/>
          <w:szCs w:val="28"/>
          <w:lang w:val="es-MX"/>
        </w:rPr>
        <w:t xml:space="preserve">68.- PROCURADURÍA GENERAL DE LA NACIÓN. </w:t>
      </w:r>
    </w:p>
    <w:p w14:paraId="391C77E7" w14:textId="77777777" w:rsidR="007E2F9F" w:rsidRDefault="007E2F9F" w:rsidP="007E2F9F">
      <w:pPr>
        <w:ind w:left="-284" w:right="-234"/>
        <w:jc w:val="both"/>
        <w:rPr>
          <w:rFonts w:ascii="Arial" w:hAnsi="Arial" w:cs="Arial"/>
          <w:b/>
          <w:bCs/>
          <w:sz w:val="28"/>
          <w:szCs w:val="28"/>
        </w:rPr>
      </w:pPr>
    </w:p>
    <w:p w14:paraId="1430BB74"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2C93FF26" w14:textId="324CA1B3"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40E41B1B" w14:textId="77777777" w:rsidR="00B7112E" w:rsidRPr="000568EF" w:rsidRDefault="00B7112E"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815DEF" w14:paraId="6767D8A8" w14:textId="77777777" w:rsidTr="006548F8">
        <w:tc>
          <w:tcPr>
            <w:tcW w:w="4161" w:type="dxa"/>
          </w:tcPr>
          <w:p w14:paraId="44B01C83" w14:textId="77777777" w:rsidR="007E2F9F" w:rsidRPr="00815DEF" w:rsidRDefault="007E2F9F" w:rsidP="006548F8">
            <w:pPr>
              <w:ind w:left="1169" w:right="-1440"/>
              <w:rPr>
                <w:rFonts w:ascii="Arial" w:hAnsi="Arial" w:cs="Arial"/>
                <w:b/>
                <w:sz w:val="18"/>
                <w:szCs w:val="18"/>
                <w:lang w:val="es-ES_tradnl"/>
              </w:rPr>
            </w:pPr>
            <w:r w:rsidRPr="00815DEF">
              <w:rPr>
                <w:rFonts w:ascii="Arial" w:hAnsi="Arial" w:cs="Arial"/>
                <w:b/>
                <w:sz w:val="18"/>
                <w:szCs w:val="18"/>
                <w:lang w:val="es-ES_tradnl"/>
              </w:rPr>
              <w:t>TIPO DE GASTO</w:t>
            </w:r>
          </w:p>
        </w:tc>
        <w:tc>
          <w:tcPr>
            <w:tcW w:w="2040" w:type="dxa"/>
          </w:tcPr>
          <w:p w14:paraId="3342A0E9" w14:textId="77777777" w:rsidR="007E2F9F" w:rsidRPr="00815DEF" w:rsidRDefault="007E2F9F" w:rsidP="006548F8">
            <w:pPr>
              <w:jc w:val="center"/>
              <w:rPr>
                <w:rFonts w:ascii="Arial" w:hAnsi="Arial" w:cs="Arial"/>
                <w:b/>
                <w:sz w:val="18"/>
                <w:szCs w:val="18"/>
                <w:lang w:val="es-ES_tradnl"/>
              </w:rPr>
            </w:pPr>
            <w:r w:rsidRPr="00815DEF">
              <w:rPr>
                <w:rFonts w:ascii="Arial" w:hAnsi="Arial" w:cs="Arial"/>
                <w:b/>
                <w:sz w:val="18"/>
                <w:szCs w:val="18"/>
                <w:lang w:val="es-ES_tradnl"/>
              </w:rPr>
              <w:t>APROPIACIÓN</w:t>
            </w:r>
          </w:p>
          <w:p w14:paraId="1E23E3E3" w14:textId="77777777" w:rsidR="007E2F9F" w:rsidRPr="00815DEF" w:rsidRDefault="007E2F9F" w:rsidP="006548F8">
            <w:pPr>
              <w:jc w:val="center"/>
              <w:rPr>
                <w:rFonts w:ascii="Arial" w:hAnsi="Arial" w:cs="Arial"/>
                <w:b/>
                <w:sz w:val="18"/>
                <w:szCs w:val="18"/>
                <w:lang w:val="es-ES_tradnl"/>
              </w:rPr>
            </w:pPr>
            <w:r w:rsidRPr="00815DEF">
              <w:rPr>
                <w:rFonts w:ascii="Arial" w:hAnsi="Arial" w:cs="Arial"/>
                <w:b/>
                <w:sz w:val="18"/>
                <w:szCs w:val="18"/>
                <w:lang w:val="es-ES_tradnl"/>
              </w:rPr>
              <w:t>DEFINITIVA</w:t>
            </w:r>
          </w:p>
          <w:p w14:paraId="61EA3BC0" w14:textId="77777777" w:rsidR="007E2F9F" w:rsidRPr="00815DEF" w:rsidRDefault="007E2F9F" w:rsidP="006548F8">
            <w:pPr>
              <w:jc w:val="center"/>
              <w:rPr>
                <w:rFonts w:ascii="Arial" w:hAnsi="Arial" w:cs="Arial"/>
                <w:b/>
                <w:sz w:val="18"/>
                <w:szCs w:val="18"/>
                <w:lang w:val="es-ES_tradnl"/>
              </w:rPr>
            </w:pPr>
            <w:r w:rsidRPr="00815DEF">
              <w:rPr>
                <w:rFonts w:ascii="Arial" w:hAnsi="Arial" w:cs="Arial"/>
                <w:b/>
                <w:sz w:val="18"/>
                <w:szCs w:val="18"/>
                <w:lang w:val="es-ES_tradnl"/>
              </w:rPr>
              <w:t>(1)</w:t>
            </w:r>
          </w:p>
          <w:p w14:paraId="72032F1B" w14:textId="77777777" w:rsidR="007E2F9F" w:rsidRPr="00815DEF" w:rsidRDefault="007E2F9F" w:rsidP="006548F8">
            <w:pPr>
              <w:jc w:val="center"/>
              <w:rPr>
                <w:rFonts w:ascii="Arial" w:hAnsi="Arial" w:cs="Arial"/>
                <w:b/>
                <w:sz w:val="18"/>
                <w:szCs w:val="18"/>
                <w:lang w:val="es-ES_tradnl"/>
              </w:rPr>
            </w:pPr>
          </w:p>
        </w:tc>
        <w:tc>
          <w:tcPr>
            <w:tcW w:w="2040" w:type="dxa"/>
          </w:tcPr>
          <w:p w14:paraId="7F331065" w14:textId="77777777" w:rsidR="007E2F9F" w:rsidRPr="00815DEF" w:rsidRDefault="007E2F9F" w:rsidP="006548F8">
            <w:pPr>
              <w:ind w:left="145" w:right="184"/>
              <w:jc w:val="center"/>
              <w:rPr>
                <w:rFonts w:ascii="Arial" w:hAnsi="Arial" w:cs="Arial"/>
                <w:b/>
                <w:sz w:val="18"/>
                <w:szCs w:val="18"/>
                <w:lang w:val="es-ES_tradnl"/>
              </w:rPr>
            </w:pPr>
            <w:r w:rsidRPr="00815DEF">
              <w:rPr>
                <w:rFonts w:ascii="Arial" w:hAnsi="Arial" w:cs="Arial"/>
                <w:b/>
                <w:sz w:val="18"/>
                <w:szCs w:val="18"/>
                <w:lang w:val="es-ES_tradnl"/>
              </w:rPr>
              <w:t>EJECUCIÓN</w:t>
            </w:r>
          </w:p>
          <w:p w14:paraId="650900FA" w14:textId="77777777" w:rsidR="007E2F9F" w:rsidRPr="00815DEF" w:rsidRDefault="007E2F9F" w:rsidP="006548F8">
            <w:pPr>
              <w:ind w:right="34"/>
              <w:jc w:val="center"/>
              <w:rPr>
                <w:rFonts w:ascii="Arial" w:hAnsi="Arial" w:cs="Arial"/>
                <w:b/>
                <w:sz w:val="18"/>
                <w:szCs w:val="18"/>
                <w:lang w:val="es-ES_tradnl"/>
              </w:rPr>
            </w:pPr>
            <w:r w:rsidRPr="00815DEF">
              <w:rPr>
                <w:rFonts w:ascii="Arial" w:hAnsi="Arial" w:cs="Arial"/>
                <w:b/>
                <w:sz w:val="18"/>
                <w:szCs w:val="18"/>
                <w:lang w:val="es-ES_tradnl"/>
              </w:rPr>
              <w:t>COMPROMISOS</w:t>
            </w:r>
          </w:p>
          <w:p w14:paraId="257774A0" w14:textId="77777777" w:rsidR="007E2F9F" w:rsidRPr="00815DEF" w:rsidRDefault="007E2F9F" w:rsidP="006548F8">
            <w:pPr>
              <w:ind w:right="34"/>
              <w:jc w:val="center"/>
              <w:rPr>
                <w:rFonts w:ascii="Arial" w:hAnsi="Arial" w:cs="Arial"/>
                <w:b/>
                <w:sz w:val="18"/>
                <w:szCs w:val="18"/>
                <w:lang w:val="es-ES_tradnl"/>
              </w:rPr>
            </w:pPr>
            <w:r w:rsidRPr="00815DEF">
              <w:rPr>
                <w:rFonts w:ascii="Arial" w:hAnsi="Arial" w:cs="Arial"/>
                <w:b/>
                <w:sz w:val="18"/>
                <w:szCs w:val="18"/>
                <w:lang w:val="es-ES_tradnl"/>
              </w:rPr>
              <w:t>(2)</w:t>
            </w:r>
          </w:p>
        </w:tc>
        <w:tc>
          <w:tcPr>
            <w:tcW w:w="2249" w:type="dxa"/>
          </w:tcPr>
          <w:p w14:paraId="72C1F6FD" w14:textId="77777777" w:rsidR="007E2F9F" w:rsidRPr="00815DEF" w:rsidRDefault="007E2F9F" w:rsidP="006548F8">
            <w:pPr>
              <w:ind w:left="25" w:right="34"/>
              <w:jc w:val="center"/>
              <w:rPr>
                <w:rFonts w:ascii="Arial" w:hAnsi="Arial" w:cs="Arial"/>
                <w:b/>
                <w:sz w:val="18"/>
                <w:szCs w:val="18"/>
                <w:lang w:val="es-ES_tradnl"/>
              </w:rPr>
            </w:pPr>
            <w:r w:rsidRPr="00815DEF">
              <w:rPr>
                <w:rFonts w:ascii="Arial" w:hAnsi="Arial" w:cs="Arial"/>
                <w:b/>
                <w:sz w:val="18"/>
                <w:szCs w:val="18"/>
                <w:lang w:val="es-ES_tradnl"/>
              </w:rPr>
              <w:t>PÉRDIDAS DE</w:t>
            </w:r>
          </w:p>
          <w:p w14:paraId="162D3216" w14:textId="77777777" w:rsidR="007E2F9F" w:rsidRPr="00815DEF" w:rsidRDefault="007E2F9F" w:rsidP="006548F8">
            <w:pPr>
              <w:ind w:right="34"/>
              <w:jc w:val="center"/>
              <w:rPr>
                <w:rFonts w:ascii="Arial" w:hAnsi="Arial" w:cs="Arial"/>
                <w:b/>
                <w:sz w:val="18"/>
                <w:szCs w:val="18"/>
                <w:lang w:val="es-ES_tradnl"/>
              </w:rPr>
            </w:pPr>
            <w:r w:rsidRPr="00815DEF">
              <w:rPr>
                <w:rFonts w:ascii="Arial" w:hAnsi="Arial" w:cs="Arial"/>
                <w:b/>
                <w:sz w:val="18"/>
                <w:szCs w:val="18"/>
                <w:lang w:val="es-ES_tradnl"/>
              </w:rPr>
              <w:t>APROPIACIÓN</w:t>
            </w:r>
          </w:p>
          <w:p w14:paraId="5EE7384D" w14:textId="77777777" w:rsidR="007E2F9F" w:rsidRPr="00815DEF" w:rsidRDefault="007E2F9F" w:rsidP="006548F8">
            <w:pPr>
              <w:ind w:right="34"/>
              <w:jc w:val="center"/>
              <w:rPr>
                <w:rFonts w:ascii="Arial" w:hAnsi="Arial" w:cs="Arial"/>
                <w:b/>
                <w:sz w:val="18"/>
                <w:szCs w:val="18"/>
                <w:lang w:val="es-ES_tradnl"/>
              </w:rPr>
            </w:pPr>
            <w:r w:rsidRPr="00815DEF">
              <w:rPr>
                <w:rFonts w:ascii="Arial" w:hAnsi="Arial" w:cs="Arial"/>
                <w:b/>
                <w:sz w:val="18"/>
                <w:szCs w:val="18"/>
                <w:lang w:val="es-ES_tradnl"/>
              </w:rPr>
              <w:t>3 = (1-2)</w:t>
            </w:r>
          </w:p>
        </w:tc>
      </w:tr>
      <w:tr w:rsidR="007E2F9F" w:rsidRPr="00815DEF" w14:paraId="1F7C338D" w14:textId="77777777" w:rsidTr="006548F8">
        <w:trPr>
          <w:trHeight w:val="230"/>
        </w:trPr>
        <w:tc>
          <w:tcPr>
            <w:tcW w:w="4161" w:type="dxa"/>
          </w:tcPr>
          <w:p w14:paraId="15EF9A72" w14:textId="77777777" w:rsidR="007E2F9F" w:rsidRPr="00815DEF" w:rsidRDefault="007E2F9F" w:rsidP="006548F8">
            <w:pPr>
              <w:ind w:right="-1440"/>
              <w:jc w:val="both"/>
              <w:rPr>
                <w:rFonts w:ascii="Arial" w:hAnsi="Arial" w:cs="Arial"/>
                <w:b/>
                <w:sz w:val="18"/>
                <w:szCs w:val="18"/>
                <w:lang w:val="es-ES_tradnl"/>
              </w:rPr>
            </w:pPr>
            <w:r w:rsidRPr="00815DEF">
              <w:rPr>
                <w:rFonts w:ascii="Arial" w:hAnsi="Arial" w:cs="Arial"/>
                <w:b/>
                <w:sz w:val="18"/>
                <w:szCs w:val="18"/>
                <w:lang w:val="es-ES_tradnl"/>
              </w:rPr>
              <w:t>FUNCIONAMIENTO</w:t>
            </w:r>
          </w:p>
        </w:tc>
        <w:tc>
          <w:tcPr>
            <w:tcW w:w="2040" w:type="dxa"/>
          </w:tcPr>
          <w:p w14:paraId="2404D318" w14:textId="77777777" w:rsidR="007E2F9F" w:rsidRPr="00815DEF" w:rsidRDefault="007E2F9F" w:rsidP="006548F8">
            <w:pPr>
              <w:jc w:val="right"/>
              <w:rPr>
                <w:rFonts w:ascii="Arial" w:eastAsia="Calibri" w:hAnsi="Arial" w:cs="Arial"/>
                <w:sz w:val="16"/>
                <w:szCs w:val="16"/>
                <w:lang w:val="es-CO"/>
              </w:rPr>
            </w:pPr>
            <w:r w:rsidRPr="00815DEF">
              <w:rPr>
                <w:rFonts w:ascii="Arial" w:hAnsi="Arial" w:cs="Arial"/>
                <w:b/>
                <w:sz w:val="16"/>
                <w:szCs w:val="16"/>
              </w:rPr>
              <w:t>1.222.308.000</w:t>
            </w:r>
          </w:p>
        </w:tc>
        <w:tc>
          <w:tcPr>
            <w:tcW w:w="2040" w:type="dxa"/>
          </w:tcPr>
          <w:p w14:paraId="682304BA" w14:textId="77777777" w:rsidR="007E2F9F" w:rsidRPr="00815DEF" w:rsidRDefault="007E2F9F" w:rsidP="006548F8">
            <w:pPr>
              <w:pStyle w:val="Prrafodelista"/>
              <w:ind w:left="0"/>
              <w:jc w:val="right"/>
              <w:rPr>
                <w:rFonts w:ascii="Arial" w:hAnsi="Arial" w:cs="Arial"/>
                <w:sz w:val="16"/>
                <w:szCs w:val="16"/>
              </w:rPr>
            </w:pPr>
            <w:r w:rsidRPr="00815DEF">
              <w:rPr>
                <w:rFonts w:ascii="Arial" w:hAnsi="Arial" w:cs="Arial"/>
                <w:b/>
                <w:sz w:val="16"/>
                <w:szCs w:val="16"/>
              </w:rPr>
              <w:t>1.118.528.919</w:t>
            </w:r>
          </w:p>
        </w:tc>
        <w:tc>
          <w:tcPr>
            <w:tcW w:w="2249" w:type="dxa"/>
          </w:tcPr>
          <w:p w14:paraId="22793893" w14:textId="77777777" w:rsidR="007E2F9F" w:rsidRPr="00815DEF" w:rsidRDefault="007E2F9F" w:rsidP="006548F8">
            <w:pPr>
              <w:pStyle w:val="Prrafodelista"/>
              <w:ind w:left="0"/>
              <w:jc w:val="right"/>
              <w:rPr>
                <w:rFonts w:ascii="Arial" w:hAnsi="Arial" w:cs="Arial"/>
                <w:sz w:val="16"/>
                <w:szCs w:val="16"/>
              </w:rPr>
            </w:pPr>
            <w:r w:rsidRPr="00815DEF">
              <w:rPr>
                <w:rFonts w:ascii="Arial" w:hAnsi="Arial" w:cs="Arial"/>
                <w:b/>
                <w:sz w:val="16"/>
                <w:szCs w:val="16"/>
              </w:rPr>
              <w:t>103.779.081</w:t>
            </w:r>
          </w:p>
        </w:tc>
      </w:tr>
      <w:tr w:rsidR="007E2F9F" w:rsidRPr="00815DEF" w14:paraId="5377E846" w14:textId="77777777" w:rsidTr="006548F8">
        <w:tc>
          <w:tcPr>
            <w:tcW w:w="4161" w:type="dxa"/>
          </w:tcPr>
          <w:p w14:paraId="7AD25B05" w14:textId="77777777" w:rsidR="007E2F9F" w:rsidRPr="00815DEF" w:rsidRDefault="007E2F9F" w:rsidP="006548F8">
            <w:pPr>
              <w:ind w:right="-1440"/>
              <w:jc w:val="both"/>
              <w:rPr>
                <w:rFonts w:ascii="Arial" w:hAnsi="Arial" w:cs="Arial"/>
                <w:b/>
                <w:sz w:val="18"/>
                <w:szCs w:val="18"/>
                <w:lang w:val="es-ES_tradnl"/>
              </w:rPr>
            </w:pPr>
            <w:r w:rsidRPr="00815DEF">
              <w:rPr>
                <w:rFonts w:ascii="Arial" w:hAnsi="Arial" w:cs="Arial"/>
                <w:b/>
                <w:sz w:val="18"/>
                <w:szCs w:val="18"/>
                <w:lang w:val="es-ES_tradnl"/>
              </w:rPr>
              <w:t>INVERSIÓN</w:t>
            </w:r>
          </w:p>
        </w:tc>
        <w:tc>
          <w:tcPr>
            <w:tcW w:w="2040" w:type="dxa"/>
            <w:vAlign w:val="center"/>
          </w:tcPr>
          <w:p w14:paraId="72FAD4DC" w14:textId="77777777" w:rsidR="007E2F9F" w:rsidRPr="00815DEF" w:rsidRDefault="007E2F9F" w:rsidP="006548F8">
            <w:pPr>
              <w:pStyle w:val="Prrafodelista"/>
              <w:ind w:left="0"/>
              <w:jc w:val="right"/>
              <w:rPr>
                <w:rFonts w:ascii="Arial" w:hAnsi="Arial" w:cs="Arial"/>
                <w:sz w:val="16"/>
                <w:szCs w:val="16"/>
              </w:rPr>
            </w:pPr>
            <w:r w:rsidRPr="00815DEF">
              <w:rPr>
                <w:rFonts w:ascii="Arial" w:eastAsia="Times New Roman" w:hAnsi="Arial" w:cs="Arial"/>
                <w:b/>
                <w:bCs/>
                <w:color w:val="000000"/>
                <w:sz w:val="16"/>
                <w:szCs w:val="16"/>
                <w:lang w:eastAsia="es-ES"/>
              </w:rPr>
              <w:t>112.549.781</w:t>
            </w:r>
          </w:p>
        </w:tc>
        <w:tc>
          <w:tcPr>
            <w:tcW w:w="2040" w:type="dxa"/>
            <w:vAlign w:val="center"/>
          </w:tcPr>
          <w:p w14:paraId="1BC4FA7A" w14:textId="77777777" w:rsidR="007E2F9F" w:rsidRPr="00815DEF" w:rsidRDefault="007E2F9F" w:rsidP="006548F8">
            <w:pPr>
              <w:pStyle w:val="Prrafodelista"/>
              <w:ind w:left="0"/>
              <w:jc w:val="right"/>
              <w:rPr>
                <w:rFonts w:ascii="Arial" w:hAnsi="Arial" w:cs="Arial"/>
                <w:sz w:val="16"/>
                <w:szCs w:val="16"/>
              </w:rPr>
            </w:pPr>
            <w:r w:rsidRPr="00815DEF">
              <w:rPr>
                <w:rFonts w:ascii="Arial" w:eastAsia="Times New Roman" w:hAnsi="Arial" w:cs="Arial"/>
                <w:b/>
                <w:bCs/>
                <w:color w:val="000000"/>
                <w:sz w:val="16"/>
                <w:szCs w:val="16"/>
                <w:lang w:eastAsia="es-ES"/>
              </w:rPr>
              <w:t>86.230.433</w:t>
            </w:r>
          </w:p>
        </w:tc>
        <w:tc>
          <w:tcPr>
            <w:tcW w:w="2249" w:type="dxa"/>
          </w:tcPr>
          <w:p w14:paraId="6EC9EC37" w14:textId="77777777" w:rsidR="007E2F9F" w:rsidRPr="00815DEF" w:rsidRDefault="007E2F9F" w:rsidP="006548F8">
            <w:pPr>
              <w:pStyle w:val="Prrafodelista"/>
              <w:ind w:left="0"/>
              <w:jc w:val="right"/>
              <w:rPr>
                <w:rFonts w:ascii="Arial" w:hAnsi="Arial" w:cs="Arial"/>
                <w:b/>
                <w:sz w:val="16"/>
                <w:szCs w:val="16"/>
              </w:rPr>
            </w:pPr>
            <w:r w:rsidRPr="00815DEF">
              <w:rPr>
                <w:rFonts w:ascii="Arial" w:hAnsi="Arial" w:cs="Arial"/>
                <w:b/>
                <w:bCs/>
                <w:color w:val="000000"/>
                <w:sz w:val="16"/>
                <w:szCs w:val="16"/>
              </w:rPr>
              <w:t>26.319.348</w:t>
            </w:r>
          </w:p>
        </w:tc>
      </w:tr>
      <w:tr w:rsidR="007E2F9F" w:rsidRPr="00815DEF" w14:paraId="22A29FE1" w14:textId="77777777" w:rsidTr="006548F8">
        <w:tc>
          <w:tcPr>
            <w:tcW w:w="4161" w:type="dxa"/>
          </w:tcPr>
          <w:p w14:paraId="3A16ADA8" w14:textId="77777777" w:rsidR="007E2F9F" w:rsidRPr="00815DEF" w:rsidRDefault="007E2F9F" w:rsidP="006548F8">
            <w:pPr>
              <w:ind w:right="-1440"/>
              <w:jc w:val="both"/>
              <w:rPr>
                <w:rFonts w:ascii="Arial" w:hAnsi="Arial" w:cs="Arial"/>
                <w:b/>
                <w:sz w:val="18"/>
                <w:szCs w:val="18"/>
                <w:lang w:val="es-ES_tradnl"/>
              </w:rPr>
            </w:pPr>
            <w:r w:rsidRPr="00815DEF">
              <w:rPr>
                <w:rFonts w:ascii="Arial" w:hAnsi="Arial" w:cs="Arial"/>
                <w:b/>
                <w:sz w:val="18"/>
                <w:szCs w:val="18"/>
                <w:lang w:val="es-ES_tradnl"/>
              </w:rPr>
              <w:t>TOTAL PÉRDIDAS DE APROPIACIÓN</w:t>
            </w:r>
          </w:p>
        </w:tc>
        <w:tc>
          <w:tcPr>
            <w:tcW w:w="2040" w:type="dxa"/>
            <w:vAlign w:val="center"/>
          </w:tcPr>
          <w:p w14:paraId="1310D2E9" w14:textId="77777777" w:rsidR="007E2F9F" w:rsidRPr="00815DEF" w:rsidRDefault="007E2F9F" w:rsidP="006548F8">
            <w:pPr>
              <w:pStyle w:val="Prrafodelista"/>
              <w:ind w:left="0"/>
              <w:jc w:val="right"/>
              <w:rPr>
                <w:rFonts w:ascii="Arial" w:hAnsi="Arial" w:cs="Arial"/>
                <w:sz w:val="16"/>
                <w:szCs w:val="16"/>
                <w:u w:val="single"/>
              </w:rPr>
            </w:pPr>
            <w:r w:rsidRPr="00815DEF">
              <w:rPr>
                <w:rFonts w:ascii="Arial" w:eastAsia="Times New Roman" w:hAnsi="Arial" w:cs="Arial"/>
                <w:b/>
                <w:bCs/>
                <w:color w:val="000000"/>
                <w:sz w:val="16"/>
                <w:szCs w:val="16"/>
                <w:lang w:eastAsia="es-ES"/>
              </w:rPr>
              <w:t>1.334.857.781</w:t>
            </w:r>
          </w:p>
        </w:tc>
        <w:tc>
          <w:tcPr>
            <w:tcW w:w="2040" w:type="dxa"/>
            <w:vAlign w:val="center"/>
          </w:tcPr>
          <w:p w14:paraId="0777F610" w14:textId="77777777" w:rsidR="007E2F9F" w:rsidRPr="00815DEF" w:rsidRDefault="007E2F9F" w:rsidP="006548F8">
            <w:pPr>
              <w:pStyle w:val="Prrafodelista"/>
              <w:ind w:left="0"/>
              <w:jc w:val="right"/>
              <w:rPr>
                <w:rFonts w:ascii="Arial" w:hAnsi="Arial" w:cs="Arial"/>
                <w:sz w:val="16"/>
                <w:szCs w:val="16"/>
                <w:u w:val="single"/>
              </w:rPr>
            </w:pPr>
            <w:r w:rsidRPr="00815DEF">
              <w:rPr>
                <w:rFonts w:ascii="Arial" w:eastAsia="Times New Roman" w:hAnsi="Arial" w:cs="Arial"/>
                <w:b/>
                <w:bCs/>
                <w:color w:val="000000"/>
                <w:sz w:val="16"/>
                <w:szCs w:val="16"/>
                <w:lang w:eastAsia="es-ES"/>
              </w:rPr>
              <w:t>1.203.759.349</w:t>
            </w:r>
          </w:p>
        </w:tc>
        <w:tc>
          <w:tcPr>
            <w:tcW w:w="2249" w:type="dxa"/>
          </w:tcPr>
          <w:p w14:paraId="202766E2" w14:textId="77777777" w:rsidR="007E2F9F" w:rsidRPr="00815DEF" w:rsidRDefault="007E2F9F" w:rsidP="006548F8">
            <w:pPr>
              <w:pStyle w:val="Prrafodelista"/>
              <w:ind w:left="0"/>
              <w:jc w:val="right"/>
              <w:rPr>
                <w:rFonts w:ascii="Arial" w:hAnsi="Arial" w:cs="Arial"/>
                <w:b/>
                <w:sz w:val="16"/>
                <w:szCs w:val="16"/>
                <w:u w:val="single"/>
              </w:rPr>
            </w:pPr>
            <w:r w:rsidRPr="00815DEF">
              <w:rPr>
                <w:rFonts w:ascii="Arial" w:hAnsi="Arial" w:cs="Arial"/>
                <w:b/>
                <w:bCs/>
                <w:color w:val="000000"/>
                <w:sz w:val="16"/>
                <w:szCs w:val="16"/>
                <w:u w:val="single"/>
              </w:rPr>
              <w:t>131.098.432</w:t>
            </w:r>
          </w:p>
        </w:tc>
      </w:tr>
    </w:tbl>
    <w:p w14:paraId="53DC41EB" w14:textId="77777777" w:rsidR="007E2F9F" w:rsidRDefault="007E2F9F" w:rsidP="007E2F9F">
      <w:pPr>
        <w:ind w:left="-284" w:right="-234"/>
        <w:jc w:val="both"/>
        <w:rPr>
          <w:rFonts w:ascii="Arial" w:hAnsi="Arial" w:cs="Arial"/>
          <w:b/>
          <w:bCs/>
          <w:sz w:val="28"/>
          <w:szCs w:val="28"/>
        </w:rPr>
      </w:pPr>
    </w:p>
    <w:p w14:paraId="43D9C3A4" w14:textId="77777777" w:rsidR="007E2F9F" w:rsidRPr="004676E1" w:rsidRDefault="007E2F9F" w:rsidP="007E2F9F">
      <w:pPr>
        <w:ind w:left="-284"/>
        <w:jc w:val="both"/>
        <w:rPr>
          <w:rFonts w:ascii="Arial" w:hAnsi="Arial" w:cs="Arial"/>
          <w:b/>
          <w:sz w:val="28"/>
          <w:szCs w:val="28"/>
          <w:lang w:val="es-MX"/>
        </w:rPr>
      </w:pPr>
      <w:r w:rsidRPr="004676E1">
        <w:rPr>
          <w:rFonts w:ascii="Arial" w:hAnsi="Arial" w:cs="Arial"/>
          <w:b/>
          <w:sz w:val="28"/>
          <w:szCs w:val="28"/>
          <w:lang w:val="es-MX"/>
        </w:rPr>
        <w:t>70.- INSTITUTO NACIONAL PARA CIEGOS - INCI.</w:t>
      </w:r>
    </w:p>
    <w:p w14:paraId="14333A4E" w14:textId="77777777" w:rsidR="007E2F9F" w:rsidRDefault="007E2F9F" w:rsidP="007E2F9F">
      <w:pPr>
        <w:ind w:left="-284" w:right="-234"/>
        <w:jc w:val="both"/>
        <w:rPr>
          <w:rFonts w:ascii="Arial" w:hAnsi="Arial" w:cs="Arial"/>
          <w:b/>
          <w:bCs/>
          <w:sz w:val="28"/>
          <w:szCs w:val="28"/>
        </w:rPr>
      </w:pPr>
    </w:p>
    <w:p w14:paraId="0C508001"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074B6CA6"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7393DE50"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073676" w14:paraId="3058994E" w14:textId="77777777" w:rsidTr="006548F8">
        <w:tc>
          <w:tcPr>
            <w:tcW w:w="4161" w:type="dxa"/>
          </w:tcPr>
          <w:p w14:paraId="0AC4A43E" w14:textId="77777777" w:rsidR="007E2F9F" w:rsidRPr="00073676" w:rsidRDefault="007E2F9F" w:rsidP="006548F8">
            <w:pPr>
              <w:ind w:left="1169" w:right="-1440"/>
              <w:rPr>
                <w:rFonts w:ascii="Arial" w:hAnsi="Arial" w:cs="Arial"/>
                <w:b/>
                <w:sz w:val="18"/>
                <w:szCs w:val="18"/>
                <w:lang w:val="es-ES_tradnl"/>
              </w:rPr>
            </w:pPr>
            <w:r w:rsidRPr="00073676">
              <w:rPr>
                <w:rFonts w:ascii="Arial" w:hAnsi="Arial" w:cs="Arial"/>
                <w:b/>
                <w:sz w:val="18"/>
                <w:szCs w:val="18"/>
                <w:lang w:val="es-ES_tradnl"/>
              </w:rPr>
              <w:t>TIPO DE GASTO</w:t>
            </w:r>
          </w:p>
        </w:tc>
        <w:tc>
          <w:tcPr>
            <w:tcW w:w="2040" w:type="dxa"/>
          </w:tcPr>
          <w:p w14:paraId="34DD97B2" w14:textId="77777777" w:rsidR="007E2F9F" w:rsidRPr="00073676" w:rsidRDefault="007E2F9F" w:rsidP="006548F8">
            <w:pPr>
              <w:jc w:val="center"/>
              <w:rPr>
                <w:rFonts w:ascii="Arial" w:hAnsi="Arial" w:cs="Arial"/>
                <w:b/>
                <w:sz w:val="18"/>
                <w:szCs w:val="18"/>
                <w:lang w:val="es-ES_tradnl"/>
              </w:rPr>
            </w:pPr>
            <w:r w:rsidRPr="00073676">
              <w:rPr>
                <w:rFonts w:ascii="Arial" w:hAnsi="Arial" w:cs="Arial"/>
                <w:b/>
                <w:sz w:val="18"/>
                <w:szCs w:val="18"/>
                <w:lang w:val="es-ES_tradnl"/>
              </w:rPr>
              <w:t>APROPIACIÓN</w:t>
            </w:r>
          </w:p>
          <w:p w14:paraId="341151D8" w14:textId="77777777" w:rsidR="007E2F9F" w:rsidRPr="00073676" w:rsidRDefault="007E2F9F" w:rsidP="006548F8">
            <w:pPr>
              <w:jc w:val="center"/>
              <w:rPr>
                <w:rFonts w:ascii="Arial" w:hAnsi="Arial" w:cs="Arial"/>
                <w:b/>
                <w:sz w:val="18"/>
                <w:szCs w:val="18"/>
                <w:lang w:val="es-ES_tradnl"/>
              </w:rPr>
            </w:pPr>
            <w:r w:rsidRPr="00073676">
              <w:rPr>
                <w:rFonts w:ascii="Arial" w:hAnsi="Arial" w:cs="Arial"/>
                <w:b/>
                <w:sz w:val="18"/>
                <w:szCs w:val="18"/>
                <w:lang w:val="es-ES_tradnl"/>
              </w:rPr>
              <w:t>DEFINITIVA</w:t>
            </w:r>
          </w:p>
          <w:p w14:paraId="177D9E91" w14:textId="77777777" w:rsidR="007E2F9F" w:rsidRPr="00073676" w:rsidRDefault="007E2F9F" w:rsidP="006548F8">
            <w:pPr>
              <w:jc w:val="center"/>
              <w:rPr>
                <w:rFonts w:ascii="Arial" w:hAnsi="Arial" w:cs="Arial"/>
                <w:b/>
                <w:sz w:val="18"/>
                <w:szCs w:val="18"/>
                <w:lang w:val="es-ES_tradnl"/>
              </w:rPr>
            </w:pPr>
            <w:r w:rsidRPr="00073676">
              <w:rPr>
                <w:rFonts w:ascii="Arial" w:hAnsi="Arial" w:cs="Arial"/>
                <w:b/>
                <w:sz w:val="18"/>
                <w:szCs w:val="18"/>
                <w:lang w:val="es-ES_tradnl"/>
              </w:rPr>
              <w:t>(1)</w:t>
            </w:r>
          </w:p>
          <w:p w14:paraId="4938E503" w14:textId="77777777" w:rsidR="007E2F9F" w:rsidRPr="00073676" w:rsidRDefault="007E2F9F" w:rsidP="006548F8">
            <w:pPr>
              <w:jc w:val="center"/>
              <w:rPr>
                <w:rFonts w:ascii="Arial" w:hAnsi="Arial" w:cs="Arial"/>
                <w:b/>
                <w:sz w:val="18"/>
                <w:szCs w:val="18"/>
                <w:lang w:val="es-ES_tradnl"/>
              </w:rPr>
            </w:pPr>
          </w:p>
        </w:tc>
        <w:tc>
          <w:tcPr>
            <w:tcW w:w="2040" w:type="dxa"/>
          </w:tcPr>
          <w:p w14:paraId="26B670BE" w14:textId="77777777" w:rsidR="007E2F9F" w:rsidRPr="00073676" w:rsidRDefault="007E2F9F" w:rsidP="006548F8">
            <w:pPr>
              <w:ind w:left="145" w:right="184"/>
              <w:jc w:val="center"/>
              <w:rPr>
                <w:rFonts w:ascii="Arial" w:hAnsi="Arial" w:cs="Arial"/>
                <w:b/>
                <w:sz w:val="18"/>
                <w:szCs w:val="18"/>
                <w:lang w:val="es-ES_tradnl"/>
              </w:rPr>
            </w:pPr>
            <w:r w:rsidRPr="00073676">
              <w:rPr>
                <w:rFonts w:ascii="Arial" w:hAnsi="Arial" w:cs="Arial"/>
                <w:b/>
                <w:sz w:val="18"/>
                <w:szCs w:val="18"/>
                <w:lang w:val="es-ES_tradnl"/>
              </w:rPr>
              <w:t>EJECUCIÓN</w:t>
            </w:r>
          </w:p>
          <w:p w14:paraId="400FFBE5" w14:textId="77777777" w:rsidR="007E2F9F" w:rsidRPr="00073676" w:rsidRDefault="007E2F9F" w:rsidP="006548F8">
            <w:pPr>
              <w:ind w:right="34"/>
              <w:jc w:val="center"/>
              <w:rPr>
                <w:rFonts w:ascii="Arial" w:hAnsi="Arial" w:cs="Arial"/>
                <w:b/>
                <w:sz w:val="18"/>
                <w:szCs w:val="18"/>
                <w:lang w:val="es-ES_tradnl"/>
              </w:rPr>
            </w:pPr>
            <w:r w:rsidRPr="00073676">
              <w:rPr>
                <w:rFonts w:ascii="Arial" w:hAnsi="Arial" w:cs="Arial"/>
                <w:b/>
                <w:sz w:val="18"/>
                <w:szCs w:val="18"/>
                <w:lang w:val="es-ES_tradnl"/>
              </w:rPr>
              <w:t>COMPROMISOS</w:t>
            </w:r>
          </w:p>
          <w:p w14:paraId="403F55FC" w14:textId="77777777" w:rsidR="007E2F9F" w:rsidRPr="00073676" w:rsidRDefault="007E2F9F" w:rsidP="006548F8">
            <w:pPr>
              <w:ind w:right="34"/>
              <w:jc w:val="center"/>
              <w:rPr>
                <w:rFonts w:ascii="Arial" w:hAnsi="Arial" w:cs="Arial"/>
                <w:b/>
                <w:sz w:val="18"/>
                <w:szCs w:val="18"/>
                <w:lang w:val="es-ES_tradnl"/>
              </w:rPr>
            </w:pPr>
            <w:r w:rsidRPr="00073676">
              <w:rPr>
                <w:rFonts w:ascii="Arial" w:hAnsi="Arial" w:cs="Arial"/>
                <w:b/>
                <w:sz w:val="18"/>
                <w:szCs w:val="18"/>
                <w:lang w:val="es-ES_tradnl"/>
              </w:rPr>
              <w:t>(2)</w:t>
            </w:r>
          </w:p>
        </w:tc>
        <w:tc>
          <w:tcPr>
            <w:tcW w:w="2249" w:type="dxa"/>
          </w:tcPr>
          <w:p w14:paraId="58D27D8F" w14:textId="77777777" w:rsidR="007E2F9F" w:rsidRPr="00073676" w:rsidRDefault="007E2F9F" w:rsidP="006548F8">
            <w:pPr>
              <w:ind w:left="25" w:right="34"/>
              <w:jc w:val="center"/>
              <w:rPr>
                <w:rFonts w:ascii="Arial" w:hAnsi="Arial" w:cs="Arial"/>
                <w:b/>
                <w:sz w:val="18"/>
                <w:szCs w:val="18"/>
                <w:lang w:val="es-ES_tradnl"/>
              </w:rPr>
            </w:pPr>
            <w:r w:rsidRPr="00073676">
              <w:rPr>
                <w:rFonts w:ascii="Arial" w:hAnsi="Arial" w:cs="Arial"/>
                <w:b/>
                <w:sz w:val="18"/>
                <w:szCs w:val="18"/>
                <w:lang w:val="es-ES_tradnl"/>
              </w:rPr>
              <w:t>PÉRDIDAS DE</w:t>
            </w:r>
          </w:p>
          <w:p w14:paraId="1E27CF10" w14:textId="77777777" w:rsidR="007E2F9F" w:rsidRPr="00073676" w:rsidRDefault="007E2F9F" w:rsidP="006548F8">
            <w:pPr>
              <w:ind w:right="34"/>
              <w:jc w:val="center"/>
              <w:rPr>
                <w:rFonts w:ascii="Arial" w:hAnsi="Arial" w:cs="Arial"/>
                <w:b/>
                <w:sz w:val="18"/>
                <w:szCs w:val="18"/>
                <w:lang w:val="es-ES_tradnl"/>
              </w:rPr>
            </w:pPr>
            <w:r w:rsidRPr="00073676">
              <w:rPr>
                <w:rFonts w:ascii="Arial" w:hAnsi="Arial" w:cs="Arial"/>
                <w:b/>
                <w:sz w:val="18"/>
                <w:szCs w:val="18"/>
                <w:lang w:val="es-ES_tradnl"/>
              </w:rPr>
              <w:t>APROPIACIÓN</w:t>
            </w:r>
          </w:p>
          <w:p w14:paraId="783F52CE" w14:textId="77777777" w:rsidR="007E2F9F" w:rsidRPr="00073676" w:rsidRDefault="007E2F9F" w:rsidP="006548F8">
            <w:pPr>
              <w:ind w:right="34"/>
              <w:jc w:val="center"/>
              <w:rPr>
                <w:rFonts w:ascii="Arial" w:hAnsi="Arial" w:cs="Arial"/>
                <w:b/>
                <w:sz w:val="18"/>
                <w:szCs w:val="18"/>
                <w:lang w:val="es-ES_tradnl"/>
              </w:rPr>
            </w:pPr>
            <w:r w:rsidRPr="00073676">
              <w:rPr>
                <w:rFonts w:ascii="Arial" w:hAnsi="Arial" w:cs="Arial"/>
                <w:b/>
                <w:sz w:val="18"/>
                <w:szCs w:val="18"/>
                <w:lang w:val="es-ES_tradnl"/>
              </w:rPr>
              <w:t>3 = (1-2)</w:t>
            </w:r>
          </w:p>
        </w:tc>
      </w:tr>
      <w:tr w:rsidR="007E2F9F" w:rsidRPr="00073676" w14:paraId="4D1DC047" w14:textId="77777777" w:rsidTr="006548F8">
        <w:trPr>
          <w:trHeight w:val="230"/>
        </w:trPr>
        <w:tc>
          <w:tcPr>
            <w:tcW w:w="4161" w:type="dxa"/>
          </w:tcPr>
          <w:p w14:paraId="51FE118A" w14:textId="77777777" w:rsidR="007E2F9F" w:rsidRPr="00073676" w:rsidRDefault="007E2F9F" w:rsidP="006548F8">
            <w:pPr>
              <w:ind w:right="-1440"/>
              <w:jc w:val="both"/>
              <w:rPr>
                <w:rFonts w:ascii="Arial" w:hAnsi="Arial" w:cs="Arial"/>
                <w:b/>
                <w:sz w:val="18"/>
                <w:szCs w:val="18"/>
                <w:lang w:val="es-ES_tradnl"/>
              </w:rPr>
            </w:pPr>
            <w:r w:rsidRPr="00073676">
              <w:rPr>
                <w:rFonts w:ascii="Arial" w:hAnsi="Arial" w:cs="Arial"/>
                <w:b/>
                <w:sz w:val="18"/>
                <w:szCs w:val="18"/>
                <w:lang w:val="es-ES_tradnl"/>
              </w:rPr>
              <w:t>FUNCIONAMIENTO</w:t>
            </w:r>
          </w:p>
        </w:tc>
        <w:tc>
          <w:tcPr>
            <w:tcW w:w="2040" w:type="dxa"/>
          </w:tcPr>
          <w:p w14:paraId="1AF3AA8F" w14:textId="77777777" w:rsidR="007E2F9F" w:rsidRPr="00073676" w:rsidRDefault="007E2F9F" w:rsidP="006548F8">
            <w:pPr>
              <w:jc w:val="right"/>
              <w:rPr>
                <w:rFonts w:ascii="Arial" w:eastAsia="Calibri" w:hAnsi="Arial" w:cs="Arial"/>
                <w:b/>
                <w:sz w:val="16"/>
                <w:szCs w:val="16"/>
                <w:lang w:val="es-CO"/>
              </w:rPr>
            </w:pPr>
            <w:r w:rsidRPr="00073676">
              <w:rPr>
                <w:rFonts w:ascii="Arial" w:eastAsia="Calibri" w:hAnsi="Arial" w:cs="Arial"/>
                <w:b/>
                <w:sz w:val="16"/>
                <w:szCs w:val="16"/>
                <w:lang w:val="es-CO"/>
              </w:rPr>
              <w:t>7.621.173.06</w:t>
            </w:r>
          </w:p>
        </w:tc>
        <w:tc>
          <w:tcPr>
            <w:tcW w:w="2040" w:type="dxa"/>
          </w:tcPr>
          <w:p w14:paraId="10E2F81C" w14:textId="77777777" w:rsidR="007E2F9F" w:rsidRPr="00073676" w:rsidRDefault="007E2F9F" w:rsidP="006548F8">
            <w:pPr>
              <w:pStyle w:val="Prrafodelista"/>
              <w:ind w:left="0"/>
              <w:jc w:val="right"/>
              <w:rPr>
                <w:rFonts w:ascii="Arial" w:hAnsi="Arial" w:cs="Arial"/>
                <w:b/>
                <w:sz w:val="16"/>
                <w:szCs w:val="16"/>
              </w:rPr>
            </w:pPr>
            <w:r w:rsidRPr="00073676">
              <w:rPr>
                <w:rFonts w:ascii="Arial" w:eastAsia="Calibri" w:hAnsi="Arial" w:cs="Arial"/>
                <w:b/>
                <w:sz w:val="16"/>
                <w:szCs w:val="16"/>
                <w:lang w:val="es-CO"/>
              </w:rPr>
              <w:t>7.092.665.32</w:t>
            </w:r>
          </w:p>
        </w:tc>
        <w:tc>
          <w:tcPr>
            <w:tcW w:w="2249" w:type="dxa"/>
          </w:tcPr>
          <w:p w14:paraId="6E54FA93" w14:textId="77777777" w:rsidR="007E2F9F" w:rsidRPr="00073676" w:rsidRDefault="007E2F9F" w:rsidP="006548F8">
            <w:pPr>
              <w:pStyle w:val="Prrafodelista"/>
              <w:ind w:left="0"/>
              <w:jc w:val="right"/>
              <w:rPr>
                <w:rFonts w:ascii="Arial" w:hAnsi="Arial" w:cs="Arial"/>
                <w:b/>
                <w:sz w:val="16"/>
                <w:szCs w:val="16"/>
              </w:rPr>
            </w:pPr>
            <w:r w:rsidRPr="00073676">
              <w:rPr>
                <w:rFonts w:ascii="Arial" w:hAnsi="Arial" w:cs="Arial"/>
                <w:b/>
                <w:sz w:val="16"/>
                <w:szCs w:val="16"/>
              </w:rPr>
              <w:t>528.507.74</w:t>
            </w:r>
          </w:p>
        </w:tc>
      </w:tr>
      <w:tr w:rsidR="007E2F9F" w:rsidRPr="00073676" w14:paraId="5FC2BE7E" w14:textId="77777777" w:rsidTr="006548F8">
        <w:tc>
          <w:tcPr>
            <w:tcW w:w="4161" w:type="dxa"/>
          </w:tcPr>
          <w:p w14:paraId="09664CC5" w14:textId="77777777" w:rsidR="007E2F9F" w:rsidRPr="00073676" w:rsidRDefault="007E2F9F" w:rsidP="006548F8">
            <w:pPr>
              <w:ind w:right="-1440"/>
              <w:jc w:val="both"/>
              <w:rPr>
                <w:rFonts w:ascii="Arial" w:hAnsi="Arial" w:cs="Arial"/>
                <w:b/>
                <w:sz w:val="18"/>
                <w:szCs w:val="18"/>
                <w:lang w:val="es-ES_tradnl"/>
              </w:rPr>
            </w:pPr>
            <w:r w:rsidRPr="00073676">
              <w:rPr>
                <w:rFonts w:ascii="Arial" w:hAnsi="Arial" w:cs="Arial"/>
                <w:b/>
                <w:sz w:val="18"/>
                <w:szCs w:val="18"/>
                <w:lang w:val="es-ES_tradnl"/>
              </w:rPr>
              <w:t>INVERSIÓN</w:t>
            </w:r>
          </w:p>
        </w:tc>
        <w:tc>
          <w:tcPr>
            <w:tcW w:w="2040" w:type="dxa"/>
          </w:tcPr>
          <w:p w14:paraId="349BE767" w14:textId="77777777" w:rsidR="007E2F9F" w:rsidRPr="00073676" w:rsidRDefault="007E2F9F" w:rsidP="006548F8">
            <w:pPr>
              <w:pStyle w:val="Prrafodelista"/>
              <w:ind w:left="0"/>
              <w:jc w:val="right"/>
              <w:rPr>
                <w:rFonts w:ascii="Arial" w:hAnsi="Arial" w:cs="Arial"/>
                <w:b/>
                <w:sz w:val="16"/>
                <w:szCs w:val="16"/>
              </w:rPr>
            </w:pPr>
            <w:r w:rsidRPr="00073676">
              <w:rPr>
                <w:rFonts w:ascii="Arial" w:eastAsia="Calibri" w:hAnsi="Arial" w:cs="Arial"/>
                <w:b/>
                <w:sz w:val="16"/>
                <w:szCs w:val="16"/>
                <w:lang w:val="es-CO"/>
              </w:rPr>
              <w:t>3.039.174.72</w:t>
            </w:r>
          </w:p>
        </w:tc>
        <w:tc>
          <w:tcPr>
            <w:tcW w:w="2040" w:type="dxa"/>
          </w:tcPr>
          <w:p w14:paraId="5C0918FB" w14:textId="77777777" w:rsidR="007E2F9F" w:rsidRPr="00073676" w:rsidRDefault="007E2F9F" w:rsidP="006548F8">
            <w:pPr>
              <w:pStyle w:val="Prrafodelista"/>
              <w:ind w:left="0"/>
              <w:jc w:val="right"/>
              <w:rPr>
                <w:rFonts w:ascii="Arial" w:hAnsi="Arial" w:cs="Arial"/>
                <w:b/>
                <w:sz w:val="16"/>
                <w:szCs w:val="16"/>
              </w:rPr>
            </w:pPr>
            <w:r w:rsidRPr="00073676">
              <w:rPr>
                <w:rFonts w:ascii="Arial" w:eastAsia="Calibri" w:hAnsi="Arial" w:cs="Arial"/>
                <w:b/>
                <w:sz w:val="16"/>
                <w:szCs w:val="16"/>
                <w:lang w:val="es-CO"/>
              </w:rPr>
              <w:t>2.440.104.43</w:t>
            </w:r>
          </w:p>
        </w:tc>
        <w:tc>
          <w:tcPr>
            <w:tcW w:w="2249" w:type="dxa"/>
          </w:tcPr>
          <w:p w14:paraId="641048B9" w14:textId="77777777" w:rsidR="007E2F9F" w:rsidRPr="00073676" w:rsidRDefault="007E2F9F" w:rsidP="006548F8">
            <w:pPr>
              <w:pStyle w:val="Prrafodelista"/>
              <w:ind w:left="0"/>
              <w:jc w:val="right"/>
              <w:rPr>
                <w:rFonts w:ascii="Arial" w:hAnsi="Arial" w:cs="Arial"/>
                <w:b/>
                <w:sz w:val="16"/>
                <w:szCs w:val="16"/>
              </w:rPr>
            </w:pPr>
            <w:r w:rsidRPr="00073676">
              <w:rPr>
                <w:rFonts w:ascii="Arial" w:hAnsi="Arial" w:cs="Arial"/>
                <w:b/>
                <w:sz w:val="16"/>
                <w:szCs w:val="16"/>
              </w:rPr>
              <w:t>599.070.29</w:t>
            </w:r>
          </w:p>
        </w:tc>
      </w:tr>
      <w:tr w:rsidR="007E2F9F" w:rsidRPr="00073676" w14:paraId="3687F4D0" w14:textId="77777777" w:rsidTr="006548F8">
        <w:tc>
          <w:tcPr>
            <w:tcW w:w="4161" w:type="dxa"/>
          </w:tcPr>
          <w:p w14:paraId="4D12C715" w14:textId="77777777" w:rsidR="007E2F9F" w:rsidRPr="00073676" w:rsidRDefault="007E2F9F" w:rsidP="006548F8">
            <w:pPr>
              <w:ind w:right="-1440"/>
              <w:jc w:val="both"/>
              <w:rPr>
                <w:rFonts w:ascii="Arial" w:hAnsi="Arial" w:cs="Arial"/>
                <w:b/>
                <w:sz w:val="18"/>
                <w:szCs w:val="18"/>
                <w:lang w:val="es-ES_tradnl"/>
              </w:rPr>
            </w:pPr>
            <w:r w:rsidRPr="00073676">
              <w:rPr>
                <w:rFonts w:ascii="Arial" w:hAnsi="Arial" w:cs="Arial"/>
                <w:b/>
                <w:sz w:val="18"/>
                <w:szCs w:val="18"/>
                <w:lang w:val="es-ES_tradnl"/>
              </w:rPr>
              <w:t>TOTAL PÉRDIDAS DE APROPIACIÓN</w:t>
            </w:r>
          </w:p>
        </w:tc>
        <w:tc>
          <w:tcPr>
            <w:tcW w:w="2040" w:type="dxa"/>
          </w:tcPr>
          <w:p w14:paraId="646C4C44" w14:textId="77777777" w:rsidR="007E2F9F" w:rsidRPr="00073676" w:rsidRDefault="007E2F9F" w:rsidP="006548F8">
            <w:pPr>
              <w:pStyle w:val="Prrafodelista"/>
              <w:ind w:left="0"/>
              <w:jc w:val="right"/>
              <w:rPr>
                <w:rFonts w:ascii="Arial" w:hAnsi="Arial" w:cs="Arial"/>
                <w:b/>
                <w:sz w:val="16"/>
                <w:szCs w:val="16"/>
                <w:u w:val="single"/>
              </w:rPr>
            </w:pPr>
            <w:r w:rsidRPr="00073676">
              <w:rPr>
                <w:rFonts w:ascii="Arial" w:eastAsia="Calibri" w:hAnsi="Arial" w:cs="Arial"/>
                <w:b/>
                <w:sz w:val="16"/>
                <w:szCs w:val="16"/>
                <w:lang w:val="es-CO"/>
              </w:rPr>
              <w:t>10.660.347.78</w:t>
            </w:r>
          </w:p>
        </w:tc>
        <w:tc>
          <w:tcPr>
            <w:tcW w:w="2040" w:type="dxa"/>
          </w:tcPr>
          <w:p w14:paraId="29B6AC2A" w14:textId="77777777" w:rsidR="007E2F9F" w:rsidRPr="00073676" w:rsidRDefault="007E2F9F" w:rsidP="006548F8">
            <w:pPr>
              <w:pStyle w:val="Prrafodelista"/>
              <w:ind w:left="0"/>
              <w:jc w:val="right"/>
              <w:rPr>
                <w:rFonts w:ascii="Arial" w:hAnsi="Arial" w:cs="Arial"/>
                <w:b/>
                <w:sz w:val="16"/>
                <w:szCs w:val="16"/>
                <w:u w:val="single"/>
              </w:rPr>
            </w:pPr>
            <w:r w:rsidRPr="00073676">
              <w:rPr>
                <w:rFonts w:ascii="Arial" w:eastAsia="Calibri" w:hAnsi="Arial" w:cs="Arial"/>
                <w:b/>
                <w:sz w:val="16"/>
                <w:szCs w:val="16"/>
                <w:lang w:val="es-CO"/>
              </w:rPr>
              <w:t>9.532.769.75</w:t>
            </w:r>
          </w:p>
        </w:tc>
        <w:tc>
          <w:tcPr>
            <w:tcW w:w="2249" w:type="dxa"/>
          </w:tcPr>
          <w:p w14:paraId="5FF78A78" w14:textId="77777777" w:rsidR="007E2F9F" w:rsidRPr="00073676" w:rsidRDefault="007E2F9F" w:rsidP="006548F8">
            <w:pPr>
              <w:pStyle w:val="Prrafodelista"/>
              <w:ind w:left="0"/>
              <w:jc w:val="right"/>
              <w:rPr>
                <w:rFonts w:ascii="Arial" w:hAnsi="Arial" w:cs="Arial"/>
                <w:b/>
                <w:sz w:val="16"/>
                <w:szCs w:val="16"/>
                <w:u w:val="single"/>
              </w:rPr>
            </w:pPr>
            <w:r w:rsidRPr="00073676">
              <w:rPr>
                <w:rFonts w:ascii="Arial" w:hAnsi="Arial" w:cs="Arial"/>
                <w:b/>
                <w:sz w:val="16"/>
                <w:szCs w:val="16"/>
                <w:u w:val="single"/>
              </w:rPr>
              <w:t>1.127.578.03</w:t>
            </w:r>
          </w:p>
        </w:tc>
      </w:tr>
    </w:tbl>
    <w:p w14:paraId="18C79386" w14:textId="77777777" w:rsidR="007E2F9F" w:rsidRDefault="007E2F9F" w:rsidP="007E2F9F">
      <w:pPr>
        <w:ind w:left="-284" w:right="-234"/>
        <w:jc w:val="both"/>
        <w:rPr>
          <w:rFonts w:ascii="Arial" w:hAnsi="Arial" w:cs="Arial"/>
          <w:b/>
          <w:bCs/>
          <w:sz w:val="28"/>
          <w:szCs w:val="28"/>
        </w:rPr>
      </w:pPr>
    </w:p>
    <w:p w14:paraId="3B734BDB" w14:textId="77777777" w:rsidR="007E2F9F" w:rsidRPr="00CE224C" w:rsidRDefault="007E2F9F" w:rsidP="007E2F9F">
      <w:pPr>
        <w:ind w:left="-284"/>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5131D1AC" w14:textId="77777777" w:rsidR="007E2F9F" w:rsidRDefault="007E2F9F" w:rsidP="007E2F9F">
      <w:pPr>
        <w:ind w:left="-284" w:right="-234"/>
        <w:jc w:val="both"/>
        <w:rPr>
          <w:rFonts w:ascii="Arial" w:hAnsi="Arial" w:cs="Arial"/>
          <w:b/>
          <w:bCs/>
          <w:sz w:val="28"/>
          <w:szCs w:val="28"/>
        </w:rPr>
      </w:pPr>
    </w:p>
    <w:p w14:paraId="7F458767"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2968650B"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24F91CC2"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CE224C" w14:paraId="6A923F75" w14:textId="77777777" w:rsidTr="006548F8">
        <w:tc>
          <w:tcPr>
            <w:tcW w:w="4161" w:type="dxa"/>
          </w:tcPr>
          <w:p w14:paraId="03D0F614" w14:textId="77777777" w:rsidR="007E2F9F" w:rsidRPr="00CE224C" w:rsidRDefault="007E2F9F" w:rsidP="006548F8">
            <w:pPr>
              <w:ind w:left="1169" w:right="-1440"/>
              <w:rPr>
                <w:rFonts w:ascii="Arial" w:hAnsi="Arial" w:cs="Arial"/>
                <w:b/>
                <w:sz w:val="18"/>
                <w:szCs w:val="18"/>
                <w:lang w:val="es-ES_tradnl"/>
              </w:rPr>
            </w:pPr>
            <w:r w:rsidRPr="00CE224C">
              <w:rPr>
                <w:rFonts w:ascii="Arial" w:hAnsi="Arial" w:cs="Arial"/>
                <w:b/>
                <w:sz w:val="18"/>
                <w:szCs w:val="18"/>
                <w:lang w:val="es-ES_tradnl"/>
              </w:rPr>
              <w:t>TIPO DE GASTO</w:t>
            </w:r>
          </w:p>
        </w:tc>
        <w:tc>
          <w:tcPr>
            <w:tcW w:w="2040" w:type="dxa"/>
          </w:tcPr>
          <w:p w14:paraId="027D0834" w14:textId="77777777" w:rsidR="007E2F9F" w:rsidRPr="00CE224C" w:rsidRDefault="007E2F9F" w:rsidP="006548F8">
            <w:pPr>
              <w:jc w:val="center"/>
              <w:rPr>
                <w:rFonts w:ascii="Arial" w:hAnsi="Arial" w:cs="Arial"/>
                <w:b/>
                <w:sz w:val="18"/>
                <w:szCs w:val="18"/>
                <w:lang w:val="es-ES_tradnl"/>
              </w:rPr>
            </w:pPr>
            <w:r w:rsidRPr="00CE224C">
              <w:rPr>
                <w:rFonts w:ascii="Arial" w:hAnsi="Arial" w:cs="Arial"/>
                <w:b/>
                <w:sz w:val="18"/>
                <w:szCs w:val="18"/>
                <w:lang w:val="es-ES_tradnl"/>
              </w:rPr>
              <w:t>APROPIACIÓN</w:t>
            </w:r>
          </w:p>
          <w:p w14:paraId="11B06971" w14:textId="77777777" w:rsidR="007E2F9F" w:rsidRPr="00CE224C" w:rsidRDefault="007E2F9F" w:rsidP="006548F8">
            <w:pPr>
              <w:jc w:val="center"/>
              <w:rPr>
                <w:rFonts w:ascii="Arial" w:hAnsi="Arial" w:cs="Arial"/>
                <w:b/>
                <w:sz w:val="18"/>
                <w:szCs w:val="18"/>
                <w:lang w:val="es-ES_tradnl"/>
              </w:rPr>
            </w:pPr>
            <w:r w:rsidRPr="00CE224C">
              <w:rPr>
                <w:rFonts w:ascii="Arial" w:hAnsi="Arial" w:cs="Arial"/>
                <w:b/>
                <w:sz w:val="18"/>
                <w:szCs w:val="18"/>
                <w:lang w:val="es-ES_tradnl"/>
              </w:rPr>
              <w:t>DEFINITIVA</w:t>
            </w:r>
          </w:p>
          <w:p w14:paraId="37C9D085" w14:textId="77777777" w:rsidR="007E2F9F" w:rsidRPr="00CE224C" w:rsidRDefault="007E2F9F" w:rsidP="006548F8">
            <w:pPr>
              <w:jc w:val="center"/>
              <w:rPr>
                <w:rFonts w:ascii="Arial" w:hAnsi="Arial" w:cs="Arial"/>
                <w:b/>
                <w:sz w:val="18"/>
                <w:szCs w:val="18"/>
                <w:lang w:val="es-ES_tradnl"/>
              </w:rPr>
            </w:pPr>
            <w:r w:rsidRPr="00CE224C">
              <w:rPr>
                <w:rFonts w:ascii="Arial" w:hAnsi="Arial" w:cs="Arial"/>
                <w:b/>
                <w:sz w:val="18"/>
                <w:szCs w:val="18"/>
                <w:lang w:val="es-ES_tradnl"/>
              </w:rPr>
              <w:t>(1)</w:t>
            </w:r>
          </w:p>
          <w:p w14:paraId="54515F33" w14:textId="77777777" w:rsidR="007E2F9F" w:rsidRPr="00CE224C" w:rsidRDefault="007E2F9F" w:rsidP="006548F8">
            <w:pPr>
              <w:jc w:val="center"/>
              <w:rPr>
                <w:rFonts w:ascii="Arial" w:hAnsi="Arial" w:cs="Arial"/>
                <w:b/>
                <w:sz w:val="18"/>
                <w:szCs w:val="18"/>
                <w:lang w:val="es-ES_tradnl"/>
              </w:rPr>
            </w:pPr>
          </w:p>
        </w:tc>
        <w:tc>
          <w:tcPr>
            <w:tcW w:w="2040" w:type="dxa"/>
          </w:tcPr>
          <w:p w14:paraId="50BDFC0C" w14:textId="77777777" w:rsidR="007E2F9F" w:rsidRPr="00CE224C" w:rsidRDefault="007E2F9F" w:rsidP="006548F8">
            <w:pPr>
              <w:ind w:left="145" w:right="184"/>
              <w:jc w:val="center"/>
              <w:rPr>
                <w:rFonts w:ascii="Arial" w:hAnsi="Arial" w:cs="Arial"/>
                <w:b/>
                <w:sz w:val="18"/>
                <w:szCs w:val="18"/>
                <w:lang w:val="es-ES_tradnl"/>
              </w:rPr>
            </w:pPr>
            <w:r w:rsidRPr="00CE224C">
              <w:rPr>
                <w:rFonts w:ascii="Arial" w:hAnsi="Arial" w:cs="Arial"/>
                <w:b/>
                <w:sz w:val="18"/>
                <w:szCs w:val="18"/>
                <w:lang w:val="es-ES_tradnl"/>
              </w:rPr>
              <w:t>EJECUCIÓN</w:t>
            </w:r>
          </w:p>
          <w:p w14:paraId="237B2E01" w14:textId="77777777" w:rsidR="007E2F9F" w:rsidRPr="00CE224C" w:rsidRDefault="007E2F9F" w:rsidP="006548F8">
            <w:pPr>
              <w:ind w:right="34"/>
              <w:jc w:val="center"/>
              <w:rPr>
                <w:rFonts w:ascii="Arial" w:hAnsi="Arial" w:cs="Arial"/>
                <w:b/>
                <w:sz w:val="18"/>
                <w:szCs w:val="18"/>
                <w:lang w:val="es-ES_tradnl"/>
              </w:rPr>
            </w:pPr>
            <w:r w:rsidRPr="00CE224C">
              <w:rPr>
                <w:rFonts w:ascii="Arial" w:hAnsi="Arial" w:cs="Arial"/>
                <w:b/>
                <w:sz w:val="18"/>
                <w:szCs w:val="18"/>
                <w:lang w:val="es-ES_tradnl"/>
              </w:rPr>
              <w:t>COMPROMISOS</w:t>
            </w:r>
          </w:p>
          <w:p w14:paraId="47A0A771" w14:textId="77777777" w:rsidR="007E2F9F" w:rsidRPr="00CE224C" w:rsidRDefault="007E2F9F" w:rsidP="006548F8">
            <w:pPr>
              <w:ind w:right="34"/>
              <w:jc w:val="center"/>
              <w:rPr>
                <w:rFonts w:ascii="Arial" w:hAnsi="Arial" w:cs="Arial"/>
                <w:b/>
                <w:sz w:val="18"/>
                <w:szCs w:val="18"/>
                <w:lang w:val="es-ES_tradnl"/>
              </w:rPr>
            </w:pPr>
            <w:r w:rsidRPr="00CE224C">
              <w:rPr>
                <w:rFonts w:ascii="Arial" w:hAnsi="Arial" w:cs="Arial"/>
                <w:b/>
                <w:sz w:val="18"/>
                <w:szCs w:val="18"/>
                <w:lang w:val="es-ES_tradnl"/>
              </w:rPr>
              <w:t>(2)</w:t>
            </w:r>
          </w:p>
        </w:tc>
        <w:tc>
          <w:tcPr>
            <w:tcW w:w="2249" w:type="dxa"/>
          </w:tcPr>
          <w:p w14:paraId="79447409" w14:textId="77777777" w:rsidR="007E2F9F" w:rsidRPr="00CE224C" w:rsidRDefault="007E2F9F" w:rsidP="006548F8">
            <w:pPr>
              <w:ind w:left="25" w:right="34"/>
              <w:jc w:val="center"/>
              <w:rPr>
                <w:rFonts w:ascii="Arial" w:hAnsi="Arial" w:cs="Arial"/>
                <w:b/>
                <w:sz w:val="18"/>
                <w:szCs w:val="18"/>
                <w:lang w:val="es-ES_tradnl"/>
              </w:rPr>
            </w:pPr>
            <w:r w:rsidRPr="00CE224C">
              <w:rPr>
                <w:rFonts w:ascii="Arial" w:hAnsi="Arial" w:cs="Arial"/>
                <w:b/>
                <w:sz w:val="18"/>
                <w:szCs w:val="18"/>
                <w:lang w:val="es-ES_tradnl"/>
              </w:rPr>
              <w:t>PÉRDIDAS DE</w:t>
            </w:r>
          </w:p>
          <w:p w14:paraId="5224833E" w14:textId="77777777" w:rsidR="007E2F9F" w:rsidRPr="00CE224C" w:rsidRDefault="007E2F9F" w:rsidP="006548F8">
            <w:pPr>
              <w:ind w:right="34"/>
              <w:jc w:val="center"/>
              <w:rPr>
                <w:rFonts w:ascii="Arial" w:hAnsi="Arial" w:cs="Arial"/>
                <w:b/>
                <w:sz w:val="18"/>
                <w:szCs w:val="18"/>
                <w:lang w:val="es-ES_tradnl"/>
              </w:rPr>
            </w:pPr>
            <w:r w:rsidRPr="00CE224C">
              <w:rPr>
                <w:rFonts w:ascii="Arial" w:hAnsi="Arial" w:cs="Arial"/>
                <w:b/>
                <w:sz w:val="18"/>
                <w:szCs w:val="18"/>
                <w:lang w:val="es-ES_tradnl"/>
              </w:rPr>
              <w:t>APROPIACIÓN</w:t>
            </w:r>
          </w:p>
          <w:p w14:paraId="5DCBB2AB" w14:textId="77777777" w:rsidR="007E2F9F" w:rsidRPr="00CE224C" w:rsidRDefault="007E2F9F" w:rsidP="006548F8">
            <w:pPr>
              <w:ind w:right="34"/>
              <w:jc w:val="center"/>
              <w:rPr>
                <w:rFonts w:ascii="Arial" w:hAnsi="Arial" w:cs="Arial"/>
                <w:b/>
                <w:sz w:val="18"/>
                <w:szCs w:val="18"/>
                <w:lang w:val="es-ES_tradnl"/>
              </w:rPr>
            </w:pPr>
            <w:r w:rsidRPr="00CE224C">
              <w:rPr>
                <w:rFonts w:ascii="Arial" w:hAnsi="Arial" w:cs="Arial"/>
                <w:b/>
                <w:sz w:val="18"/>
                <w:szCs w:val="18"/>
                <w:lang w:val="es-ES_tradnl"/>
              </w:rPr>
              <w:t>3 = (1-2)</w:t>
            </w:r>
          </w:p>
        </w:tc>
      </w:tr>
      <w:tr w:rsidR="007E2F9F" w:rsidRPr="00CE224C" w14:paraId="0ADDD290" w14:textId="77777777" w:rsidTr="006548F8">
        <w:trPr>
          <w:trHeight w:val="230"/>
        </w:trPr>
        <w:tc>
          <w:tcPr>
            <w:tcW w:w="4161" w:type="dxa"/>
          </w:tcPr>
          <w:p w14:paraId="07995695" w14:textId="77777777" w:rsidR="007E2F9F" w:rsidRPr="00CE224C" w:rsidRDefault="007E2F9F" w:rsidP="006548F8">
            <w:pPr>
              <w:ind w:right="-1440"/>
              <w:jc w:val="both"/>
              <w:rPr>
                <w:rFonts w:ascii="Arial" w:hAnsi="Arial" w:cs="Arial"/>
                <w:b/>
                <w:sz w:val="18"/>
                <w:szCs w:val="18"/>
                <w:lang w:val="es-ES_tradnl"/>
              </w:rPr>
            </w:pPr>
            <w:r w:rsidRPr="00CE224C">
              <w:rPr>
                <w:rFonts w:ascii="Arial" w:hAnsi="Arial" w:cs="Arial"/>
                <w:b/>
                <w:sz w:val="18"/>
                <w:szCs w:val="18"/>
                <w:lang w:val="es-ES_tradnl"/>
              </w:rPr>
              <w:t>FUNCIONAMIENTO</w:t>
            </w:r>
          </w:p>
        </w:tc>
        <w:tc>
          <w:tcPr>
            <w:tcW w:w="2040" w:type="dxa"/>
          </w:tcPr>
          <w:p w14:paraId="209B34E6" w14:textId="77777777" w:rsidR="007E2F9F" w:rsidRPr="00CE224C" w:rsidRDefault="007E2F9F" w:rsidP="006548F8">
            <w:pPr>
              <w:jc w:val="right"/>
              <w:rPr>
                <w:rFonts w:ascii="Arial" w:eastAsia="Calibri" w:hAnsi="Arial" w:cs="Arial"/>
                <w:b/>
                <w:sz w:val="16"/>
                <w:szCs w:val="16"/>
                <w:lang w:val="es-CO"/>
              </w:rPr>
            </w:pPr>
            <w:r w:rsidRPr="00CE224C">
              <w:rPr>
                <w:rFonts w:ascii="Arial" w:hAnsi="Arial" w:cs="Arial"/>
                <w:b/>
                <w:sz w:val="16"/>
                <w:szCs w:val="16"/>
              </w:rPr>
              <w:t>74.509.646</w:t>
            </w:r>
          </w:p>
        </w:tc>
        <w:tc>
          <w:tcPr>
            <w:tcW w:w="2040" w:type="dxa"/>
          </w:tcPr>
          <w:p w14:paraId="7D4919D1" w14:textId="77777777" w:rsidR="007E2F9F" w:rsidRPr="00CE224C" w:rsidRDefault="007E2F9F" w:rsidP="006548F8">
            <w:pPr>
              <w:pStyle w:val="Prrafodelista"/>
              <w:ind w:left="0"/>
              <w:jc w:val="right"/>
              <w:rPr>
                <w:rFonts w:ascii="Arial" w:hAnsi="Arial" w:cs="Arial"/>
                <w:b/>
                <w:sz w:val="16"/>
                <w:szCs w:val="16"/>
              </w:rPr>
            </w:pPr>
            <w:r w:rsidRPr="00CE224C">
              <w:rPr>
                <w:rFonts w:ascii="Arial" w:eastAsia="Calibri" w:hAnsi="Arial" w:cs="Arial"/>
                <w:sz w:val="16"/>
                <w:szCs w:val="16"/>
                <w:lang w:val="es-CO"/>
              </w:rPr>
              <w:t>70.451.053</w:t>
            </w:r>
          </w:p>
        </w:tc>
        <w:tc>
          <w:tcPr>
            <w:tcW w:w="2249" w:type="dxa"/>
          </w:tcPr>
          <w:p w14:paraId="787064F4" w14:textId="77777777" w:rsidR="007E2F9F" w:rsidRPr="00CE224C" w:rsidRDefault="007E2F9F" w:rsidP="006548F8">
            <w:pPr>
              <w:pStyle w:val="Prrafodelista"/>
              <w:ind w:left="0"/>
              <w:jc w:val="right"/>
              <w:rPr>
                <w:rFonts w:ascii="Arial" w:hAnsi="Arial" w:cs="Arial"/>
                <w:b/>
                <w:sz w:val="16"/>
                <w:szCs w:val="16"/>
              </w:rPr>
            </w:pPr>
            <w:r w:rsidRPr="00CE224C">
              <w:rPr>
                <w:rFonts w:ascii="Arial" w:hAnsi="Arial" w:cs="Arial"/>
                <w:b/>
                <w:sz w:val="16"/>
                <w:szCs w:val="16"/>
              </w:rPr>
              <w:t>4.058.593</w:t>
            </w:r>
          </w:p>
        </w:tc>
      </w:tr>
      <w:tr w:rsidR="007E2F9F" w:rsidRPr="00CE224C" w14:paraId="255D571B" w14:textId="77777777" w:rsidTr="006548F8">
        <w:tc>
          <w:tcPr>
            <w:tcW w:w="4161" w:type="dxa"/>
          </w:tcPr>
          <w:p w14:paraId="7AE3A3C5" w14:textId="77777777" w:rsidR="007E2F9F" w:rsidRPr="00CE224C" w:rsidRDefault="007E2F9F" w:rsidP="006548F8">
            <w:pPr>
              <w:ind w:right="-1440"/>
              <w:jc w:val="both"/>
              <w:rPr>
                <w:rFonts w:ascii="Arial" w:hAnsi="Arial" w:cs="Arial"/>
                <w:b/>
                <w:sz w:val="18"/>
                <w:szCs w:val="18"/>
                <w:lang w:val="es-ES_tradnl"/>
              </w:rPr>
            </w:pPr>
            <w:r w:rsidRPr="00CE224C">
              <w:rPr>
                <w:rFonts w:ascii="Arial" w:hAnsi="Arial" w:cs="Arial"/>
                <w:b/>
                <w:sz w:val="18"/>
                <w:szCs w:val="18"/>
                <w:lang w:val="es-ES_tradnl"/>
              </w:rPr>
              <w:t>INVERSIÓN</w:t>
            </w:r>
          </w:p>
        </w:tc>
        <w:tc>
          <w:tcPr>
            <w:tcW w:w="2040" w:type="dxa"/>
          </w:tcPr>
          <w:p w14:paraId="0A0EA505" w14:textId="77777777" w:rsidR="007E2F9F" w:rsidRPr="00CE224C" w:rsidRDefault="007E2F9F" w:rsidP="006548F8">
            <w:pPr>
              <w:pStyle w:val="Prrafodelista"/>
              <w:ind w:left="0"/>
              <w:jc w:val="right"/>
              <w:rPr>
                <w:rFonts w:ascii="Arial" w:hAnsi="Arial" w:cs="Arial"/>
                <w:b/>
                <w:sz w:val="16"/>
                <w:szCs w:val="16"/>
              </w:rPr>
            </w:pPr>
            <w:r w:rsidRPr="00CE224C">
              <w:rPr>
                <w:rFonts w:ascii="Arial" w:eastAsia="Calibri" w:hAnsi="Arial" w:cs="Arial"/>
                <w:sz w:val="16"/>
                <w:szCs w:val="16"/>
                <w:lang w:val="es-CO"/>
              </w:rPr>
              <w:t>57.434.377</w:t>
            </w:r>
          </w:p>
        </w:tc>
        <w:tc>
          <w:tcPr>
            <w:tcW w:w="2040" w:type="dxa"/>
          </w:tcPr>
          <w:p w14:paraId="6EDD6C62" w14:textId="77777777" w:rsidR="007E2F9F" w:rsidRPr="00CE224C" w:rsidRDefault="007E2F9F" w:rsidP="006548F8">
            <w:pPr>
              <w:pStyle w:val="Prrafodelista"/>
              <w:ind w:left="0"/>
              <w:jc w:val="right"/>
              <w:rPr>
                <w:rFonts w:ascii="Arial" w:hAnsi="Arial" w:cs="Arial"/>
                <w:b/>
                <w:sz w:val="16"/>
                <w:szCs w:val="16"/>
              </w:rPr>
            </w:pPr>
            <w:r w:rsidRPr="00CE224C">
              <w:rPr>
                <w:rFonts w:ascii="Arial" w:eastAsia="Calibri" w:hAnsi="Arial" w:cs="Arial"/>
                <w:sz w:val="16"/>
                <w:szCs w:val="16"/>
                <w:lang w:val="es-CO"/>
              </w:rPr>
              <w:t>50.057.891</w:t>
            </w:r>
          </w:p>
        </w:tc>
        <w:tc>
          <w:tcPr>
            <w:tcW w:w="2249" w:type="dxa"/>
          </w:tcPr>
          <w:p w14:paraId="3F93D4F3" w14:textId="77777777" w:rsidR="007E2F9F" w:rsidRPr="00CE224C" w:rsidRDefault="007E2F9F" w:rsidP="006548F8">
            <w:pPr>
              <w:pStyle w:val="Prrafodelista"/>
              <w:ind w:left="0"/>
              <w:jc w:val="right"/>
              <w:rPr>
                <w:rFonts w:ascii="Arial" w:hAnsi="Arial" w:cs="Arial"/>
                <w:b/>
                <w:sz w:val="16"/>
                <w:szCs w:val="16"/>
              </w:rPr>
            </w:pPr>
            <w:r w:rsidRPr="00CE224C">
              <w:rPr>
                <w:rFonts w:ascii="Arial" w:hAnsi="Arial" w:cs="Arial"/>
                <w:b/>
                <w:sz w:val="16"/>
                <w:szCs w:val="16"/>
              </w:rPr>
              <w:t>7.376.486</w:t>
            </w:r>
          </w:p>
        </w:tc>
      </w:tr>
      <w:tr w:rsidR="007E2F9F" w:rsidRPr="00CE224C" w14:paraId="27F60611" w14:textId="77777777" w:rsidTr="006548F8">
        <w:tc>
          <w:tcPr>
            <w:tcW w:w="4161" w:type="dxa"/>
          </w:tcPr>
          <w:p w14:paraId="08E35EB5" w14:textId="77777777" w:rsidR="007E2F9F" w:rsidRPr="00CE224C" w:rsidRDefault="007E2F9F" w:rsidP="006548F8">
            <w:pPr>
              <w:ind w:right="-1440"/>
              <w:jc w:val="both"/>
              <w:rPr>
                <w:rFonts w:ascii="Arial" w:hAnsi="Arial" w:cs="Arial"/>
                <w:b/>
                <w:sz w:val="18"/>
                <w:szCs w:val="18"/>
                <w:lang w:val="es-ES_tradnl"/>
              </w:rPr>
            </w:pPr>
            <w:r w:rsidRPr="00CE224C">
              <w:rPr>
                <w:rFonts w:ascii="Arial" w:hAnsi="Arial" w:cs="Arial"/>
                <w:b/>
                <w:sz w:val="18"/>
                <w:szCs w:val="18"/>
                <w:lang w:val="es-ES_tradnl"/>
              </w:rPr>
              <w:t>TOTAL PÉRDIDAS DE APROPIACIÓN</w:t>
            </w:r>
          </w:p>
        </w:tc>
        <w:tc>
          <w:tcPr>
            <w:tcW w:w="2040" w:type="dxa"/>
          </w:tcPr>
          <w:p w14:paraId="15B50C90" w14:textId="77777777" w:rsidR="007E2F9F" w:rsidRPr="00CE224C" w:rsidRDefault="007E2F9F" w:rsidP="006548F8">
            <w:pPr>
              <w:pStyle w:val="Prrafodelista"/>
              <w:ind w:left="0"/>
              <w:jc w:val="right"/>
              <w:rPr>
                <w:rFonts w:ascii="Arial" w:hAnsi="Arial" w:cs="Arial"/>
                <w:b/>
                <w:sz w:val="16"/>
                <w:szCs w:val="16"/>
                <w:u w:val="single"/>
              </w:rPr>
            </w:pPr>
            <w:r w:rsidRPr="00CE224C">
              <w:rPr>
                <w:rFonts w:ascii="Arial" w:eastAsia="Calibri" w:hAnsi="Arial" w:cs="Arial"/>
                <w:b/>
                <w:sz w:val="16"/>
                <w:szCs w:val="16"/>
                <w:lang w:val="es-CO"/>
              </w:rPr>
              <w:t>131.944.023</w:t>
            </w:r>
          </w:p>
        </w:tc>
        <w:tc>
          <w:tcPr>
            <w:tcW w:w="2040" w:type="dxa"/>
          </w:tcPr>
          <w:p w14:paraId="5DAFBCBD" w14:textId="77777777" w:rsidR="007E2F9F" w:rsidRPr="00CE224C" w:rsidRDefault="007E2F9F" w:rsidP="006548F8">
            <w:pPr>
              <w:pStyle w:val="Prrafodelista"/>
              <w:ind w:left="0"/>
              <w:jc w:val="right"/>
              <w:rPr>
                <w:rFonts w:ascii="Arial" w:hAnsi="Arial" w:cs="Arial"/>
                <w:b/>
                <w:sz w:val="16"/>
                <w:szCs w:val="16"/>
                <w:u w:val="single"/>
              </w:rPr>
            </w:pPr>
            <w:r w:rsidRPr="00CE224C">
              <w:rPr>
                <w:rFonts w:ascii="Arial" w:eastAsia="Calibri" w:hAnsi="Arial" w:cs="Arial"/>
                <w:b/>
                <w:sz w:val="16"/>
                <w:szCs w:val="16"/>
                <w:lang w:val="es-CO"/>
              </w:rPr>
              <w:t>120.508.944</w:t>
            </w:r>
          </w:p>
        </w:tc>
        <w:tc>
          <w:tcPr>
            <w:tcW w:w="2249" w:type="dxa"/>
          </w:tcPr>
          <w:p w14:paraId="39E882FD" w14:textId="77777777" w:rsidR="007E2F9F" w:rsidRPr="00CE224C" w:rsidRDefault="007E2F9F" w:rsidP="006548F8">
            <w:pPr>
              <w:pStyle w:val="Prrafodelista"/>
              <w:ind w:left="0"/>
              <w:jc w:val="right"/>
              <w:rPr>
                <w:rFonts w:ascii="Arial" w:hAnsi="Arial" w:cs="Arial"/>
                <w:b/>
                <w:sz w:val="16"/>
                <w:szCs w:val="16"/>
                <w:u w:val="single"/>
              </w:rPr>
            </w:pPr>
            <w:r w:rsidRPr="00CE224C">
              <w:rPr>
                <w:rFonts w:ascii="Arial" w:hAnsi="Arial" w:cs="Arial"/>
                <w:b/>
                <w:sz w:val="16"/>
                <w:szCs w:val="16"/>
                <w:u w:val="single"/>
              </w:rPr>
              <w:t>11.435.079</w:t>
            </w:r>
          </w:p>
        </w:tc>
      </w:tr>
    </w:tbl>
    <w:p w14:paraId="24539212" w14:textId="77777777" w:rsidR="007E2F9F" w:rsidRDefault="007E2F9F" w:rsidP="007E2F9F">
      <w:pPr>
        <w:ind w:left="-284" w:right="-234"/>
        <w:jc w:val="both"/>
        <w:rPr>
          <w:rFonts w:ascii="Arial" w:hAnsi="Arial" w:cs="Arial"/>
          <w:b/>
          <w:bCs/>
          <w:sz w:val="28"/>
          <w:szCs w:val="28"/>
        </w:rPr>
      </w:pPr>
    </w:p>
    <w:p w14:paraId="3517727D" w14:textId="77777777" w:rsidR="007E2F9F" w:rsidRPr="00BE21C4" w:rsidRDefault="007E2F9F" w:rsidP="007E2F9F">
      <w:pPr>
        <w:ind w:left="-284"/>
        <w:jc w:val="both"/>
        <w:rPr>
          <w:rFonts w:ascii="Arial" w:hAnsi="Arial" w:cs="Arial"/>
          <w:b/>
          <w:sz w:val="28"/>
          <w:szCs w:val="28"/>
          <w:lang w:val="es-MX"/>
        </w:rPr>
      </w:pPr>
      <w:r w:rsidRPr="00BE21C4">
        <w:rPr>
          <w:rFonts w:ascii="Arial" w:hAnsi="Arial" w:cs="Arial"/>
          <w:b/>
          <w:sz w:val="28"/>
          <w:szCs w:val="28"/>
          <w:lang w:val="es-MX"/>
        </w:rPr>
        <w:t>74.- MINISTERIO DE AGRICULTURA Y DESARROLLO RURAL.</w:t>
      </w:r>
    </w:p>
    <w:p w14:paraId="5F8FF6DB" w14:textId="77777777" w:rsidR="007E2F9F" w:rsidRDefault="007E2F9F" w:rsidP="007E2F9F">
      <w:pPr>
        <w:ind w:left="-284" w:right="-234"/>
        <w:jc w:val="both"/>
        <w:rPr>
          <w:rFonts w:ascii="Arial" w:hAnsi="Arial" w:cs="Arial"/>
          <w:b/>
          <w:bCs/>
          <w:sz w:val="28"/>
          <w:szCs w:val="28"/>
        </w:rPr>
      </w:pPr>
    </w:p>
    <w:p w14:paraId="30FE1A68"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lastRenderedPageBreak/>
        <w:t>Pérdidas de Apropiación en la vigencia 2024.</w:t>
      </w:r>
    </w:p>
    <w:p w14:paraId="1F47E25F"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23C42124"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BE21C4" w14:paraId="53A0435B" w14:textId="77777777" w:rsidTr="006548F8">
        <w:tc>
          <w:tcPr>
            <w:tcW w:w="4161" w:type="dxa"/>
          </w:tcPr>
          <w:p w14:paraId="3638389F" w14:textId="77777777" w:rsidR="007E2F9F" w:rsidRPr="00BE21C4" w:rsidRDefault="007E2F9F" w:rsidP="006548F8">
            <w:pPr>
              <w:ind w:left="1169" w:right="-1440"/>
              <w:rPr>
                <w:rFonts w:ascii="Arial" w:hAnsi="Arial" w:cs="Arial"/>
                <w:b/>
                <w:sz w:val="18"/>
                <w:szCs w:val="18"/>
                <w:lang w:val="es-ES_tradnl"/>
              </w:rPr>
            </w:pPr>
            <w:r w:rsidRPr="00BE21C4">
              <w:rPr>
                <w:rFonts w:ascii="Arial" w:hAnsi="Arial" w:cs="Arial"/>
                <w:b/>
                <w:sz w:val="18"/>
                <w:szCs w:val="18"/>
                <w:lang w:val="es-ES_tradnl"/>
              </w:rPr>
              <w:t>TIPO DE GASTO</w:t>
            </w:r>
          </w:p>
        </w:tc>
        <w:tc>
          <w:tcPr>
            <w:tcW w:w="2040" w:type="dxa"/>
          </w:tcPr>
          <w:p w14:paraId="25E0FDBC" w14:textId="77777777" w:rsidR="007E2F9F" w:rsidRPr="00BE21C4" w:rsidRDefault="007E2F9F" w:rsidP="006548F8">
            <w:pPr>
              <w:jc w:val="center"/>
              <w:rPr>
                <w:rFonts w:ascii="Arial" w:hAnsi="Arial" w:cs="Arial"/>
                <w:b/>
                <w:sz w:val="18"/>
                <w:szCs w:val="18"/>
                <w:lang w:val="es-ES_tradnl"/>
              </w:rPr>
            </w:pPr>
            <w:r w:rsidRPr="00BE21C4">
              <w:rPr>
                <w:rFonts w:ascii="Arial" w:hAnsi="Arial" w:cs="Arial"/>
                <w:b/>
                <w:sz w:val="18"/>
                <w:szCs w:val="18"/>
                <w:lang w:val="es-ES_tradnl"/>
              </w:rPr>
              <w:t>APROPIACIÓN</w:t>
            </w:r>
          </w:p>
          <w:p w14:paraId="4372E432" w14:textId="77777777" w:rsidR="007E2F9F" w:rsidRPr="00BE21C4" w:rsidRDefault="007E2F9F" w:rsidP="006548F8">
            <w:pPr>
              <w:jc w:val="center"/>
              <w:rPr>
                <w:rFonts w:ascii="Arial" w:hAnsi="Arial" w:cs="Arial"/>
                <w:b/>
                <w:sz w:val="18"/>
                <w:szCs w:val="18"/>
                <w:lang w:val="es-ES_tradnl"/>
              </w:rPr>
            </w:pPr>
            <w:r w:rsidRPr="00BE21C4">
              <w:rPr>
                <w:rFonts w:ascii="Arial" w:hAnsi="Arial" w:cs="Arial"/>
                <w:b/>
                <w:sz w:val="18"/>
                <w:szCs w:val="18"/>
                <w:lang w:val="es-ES_tradnl"/>
              </w:rPr>
              <w:t>DEFINITIVA</w:t>
            </w:r>
          </w:p>
          <w:p w14:paraId="29A93645" w14:textId="77777777" w:rsidR="007E2F9F" w:rsidRPr="00BE21C4" w:rsidRDefault="007E2F9F" w:rsidP="006548F8">
            <w:pPr>
              <w:jc w:val="center"/>
              <w:rPr>
                <w:rFonts w:ascii="Arial" w:hAnsi="Arial" w:cs="Arial"/>
                <w:b/>
                <w:sz w:val="18"/>
                <w:szCs w:val="18"/>
                <w:lang w:val="es-ES_tradnl"/>
              </w:rPr>
            </w:pPr>
            <w:r w:rsidRPr="00BE21C4">
              <w:rPr>
                <w:rFonts w:ascii="Arial" w:hAnsi="Arial" w:cs="Arial"/>
                <w:b/>
                <w:sz w:val="18"/>
                <w:szCs w:val="18"/>
                <w:lang w:val="es-ES_tradnl"/>
              </w:rPr>
              <w:t>(1)</w:t>
            </w:r>
          </w:p>
          <w:p w14:paraId="5B93C251" w14:textId="77777777" w:rsidR="007E2F9F" w:rsidRPr="00BE21C4" w:rsidRDefault="007E2F9F" w:rsidP="006548F8">
            <w:pPr>
              <w:jc w:val="center"/>
              <w:rPr>
                <w:rFonts w:ascii="Arial" w:hAnsi="Arial" w:cs="Arial"/>
                <w:b/>
                <w:sz w:val="18"/>
                <w:szCs w:val="18"/>
                <w:lang w:val="es-ES_tradnl"/>
              </w:rPr>
            </w:pPr>
          </w:p>
        </w:tc>
        <w:tc>
          <w:tcPr>
            <w:tcW w:w="2040" w:type="dxa"/>
          </w:tcPr>
          <w:p w14:paraId="4E9281AE" w14:textId="77777777" w:rsidR="007E2F9F" w:rsidRPr="00BE21C4" w:rsidRDefault="007E2F9F" w:rsidP="006548F8">
            <w:pPr>
              <w:ind w:left="145" w:right="184"/>
              <w:jc w:val="center"/>
              <w:rPr>
                <w:rFonts w:ascii="Arial" w:hAnsi="Arial" w:cs="Arial"/>
                <w:b/>
                <w:sz w:val="18"/>
                <w:szCs w:val="18"/>
                <w:lang w:val="es-ES_tradnl"/>
              </w:rPr>
            </w:pPr>
            <w:r w:rsidRPr="00BE21C4">
              <w:rPr>
                <w:rFonts w:ascii="Arial" w:hAnsi="Arial" w:cs="Arial"/>
                <w:b/>
                <w:sz w:val="18"/>
                <w:szCs w:val="18"/>
                <w:lang w:val="es-ES_tradnl"/>
              </w:rPr>
              <w:t>EJECUCIÓN</w:t>
            </w:r>
          </w:p>
          <w:p w14:paraId="6585CB66" w14:textId="77777777" w:rsidR="007E2F9F" w:rsidRPr="00BE21C4" w:rsidRDefault="007E2F9F" w:rsidP="006548F8">
            <w:pPr>
              <w:ind w:right="34"/>
              <w:jc w:val="center"/>
              <w:rPr>
                <w:rFonts w:ascii="Arial" w:hAnsi="Arial" w:cs="Arial"/>
                <w:b/>
                <w:sz w:val="18"/>
                <w:szCs w:val="18"/>
                <w:lang w:val="es-ES_tradnl"/>
              </w:rPr>
            </w:pPr>
            <w:r w:rsidRPr="00BE21C4">
              <w:rPr>
                <w:rFonts w:ascii="Arial" w:hAnsi="Arial" w:cs="Arial"/>
                <w:b/>
                <w:sz w:val="18"/>
                <w:szCs w:val="18"/>
                <w:lang w:val="es-ES_tradnl"/>
              </w:rPr>
              <w:t>COMPROMISOS</w:t>
            </w:r>
          </w:p>
          <w:p w14:paraId="58D8E411" w14:textId="77777777" w:rsidR="007E2F9F" w:rsidRPr="00BE21C4" w:rsidRDefault="007E2F9F" w:rsidP="006548F8">
            <w:pPr>
              <w:ind w:right="34"/>
              <w:jc w:val="center"/>
              <w:rPr>
                <w:rFonts w:ascii="Arial" w:hAnsi="Arial" w:cs="Arial"/>
                <w:b/>
                <w:sz w:val="18"/>
                <w:szCs w:val="18"/>
                <w:lang w:val="es-ES_tradnl"/>
              </w:rPr>
            </w:pPr>
            <w:r w:rsidRPr="00BE21C4">
              <w:rPr>
                <w:rFonts w:ascii="Arial" w:hAnsi="Arial" w:cs="Arial"/>
                <w:b/>
                <w:sz w:val="18"/>
                <w:szCs w:val="18"/>
                <w:lang w:val="es-ES_tradnl"/>
              </w:rPr>
              <w:t>(2)</w:t>
            </w:r>
          </w:p>
        </w:tc>
        <w:tc>
          <w:tcPr>
            <w:tcW w:w="2249" w:type="dxa"/>
          </w:tcPr>
          <w:p w14:paraId="13B23C1E" w14:textId="77777777" w:rsidR="007E2F9F" w:rsidRPr="00BE21C4" w:rsidRDefault="007E2F9F" w:rsidP="006548F8">
            <w:pPr>
              <w:ind w:left="25" w:right="34"/>
              <w:jc w:val="center"/>
              <w:rPr>
                <w:rFonts w:ascii="Arial" w:hAnsi="Arial" w:cs="Arial"/>
                <w:b/>
                <w:sz w:val="18"/>
                <w:szCs w:val="18"/>
                <w:lang w:val="es-ES_tradnl"/>
              </w:rPr>
            </w:pPr>
            <w:r w:rsidRPr="00BE21C4">
              <w:rPr>
                <w:rFonts w:ascii="Arial" w:hAnsi="Arial" w:cs="Arial"/>
                <w:b/>
                <w:sz w:val="18"/>
                <w:szCs w:val="18"/>
                <w:lang w:val="es-ES_tradnl"/>
              </w:rPr>
              <w:t>PÉRDIDAS DE</w:t>
            </w:r>
          </w:p>
          <w:p w14:paraId="37B8F981" w14:textId="77777777" w:rsidR="007E2F9F" w:rsidRPr="00BE21C4" w:rsidRDefault="007E2F9F" w:rsidP="006548F8">
            <w:pPr>
              <w:ind w:right="34"/>
              <w:jc w:val="center"/>
              <w:rPr>
                <w:rFonts w:ascii="Arial" w:hAnsi="Arial" w:cs="Arial"/>
                <w:b/>
                <w:sz w:val="18"/>
                <w:szCs w:val="18"/>
                <w:lang w:val="es-ES_tradnl"/>
              </w:rPr>
            </w:pPr>
            <w:r w:rsidRPr="00BE21C4">
              <w:rPr>
                <w:rFonts w:ascii="Arial" w:hAnsi="Arial" w:cs="Arial"/>
                <w:b/>
                <w:sz w:val="18"/>
                <w:szCs w:val="18"/>
                <w:lang w:val="es-ES_tradnl"/>
              </w:rPr>
              <w:t>APROPIACIÓN</w:t>
            </w:r>
          </w:p>
          <w:p w14:paraId="4E48A2F4" w14:textId="77777777" w:rsidR="007E2F9F" w:rsidRPr="00BE21C4" w:rsidRDefault="007E2F9F" w:rsidP="006548F8">
            <w:pPr>
              <w:ind w:right="34"/>
              <w:jc w:val="center"/>
              <w:rPr>
                <w:rFonts w:ascii="Arial" w:hAnsi="Arial" w:cs="Arial"/>
                <w:b/>
                <w:sz w:val="18"/>
                <w:szCs w:val="18"/>
                <w:lang w:val="es-ES_tradnl"/>
              </w:rPr>
            </w:pPr>
            <w:r w:rsidRPr="00BE21C4">
              <w:rPr>
                <w:rFonts w:ascii="Arial" w:hAnsi="Arial" w:cs="Arial"/>
                <w:b/>
                <w:sz w:val="18"/>
                <w:szCs w:val="18"/>
                <w:lang w:val="es-ES_tradnl"/>
              </w:rPr>
              <w:t>3 = (1-2)</w:t>
            </w:r>
          </w:p>
        </w:tc>
      </w:tr>
      <w:tr w:rsidR="007E2F9F" w:rsidRPr="00BE21C4" w14:paraId="03A1C348" w14:textId="77777777" w:rsidTr="006548F8">
        <w:trPr>
          <w:trHeight w:val="230"/>
        </w:trPr>
        <w:tc>
          <w:tcPr>
            <w:tcW w:w="4161" w:type="dxa"/>
          </w:tcPr>
          <w:p w14:paraId="4644D64C" w14:textId="77777777" w:rsidR="007E2F9F" w:rsidRPr="00BE21C4" w:rsidRDefault="007E2F9F" w:rsidP="006548F8">
            <w:pPr>
              <w:ind w:right="-1440"/>
              <w:jc w:val="both"/>
              <w:rPr>
                <w:rFonts w:ascii="Arial" w:hAnsi="Arial" w:cs="Arial"/>
                <w:b/>
                <w:sz w:val="18"/>
                <w:szCs w:val="18"/>
                <w:lang w:val="es-ES_tradnl"/>
              </w:rPr>
            </w:pPr>
            <w:r w:rsidRPr="00BE21C4">
              <w:rPr>
                <w:rFonts w:ascii="Arial" w:hAnsi="Arial" w:cs="Arial"/>
                <w:b/>
                <w:sz w:val="18"/>
                <w:szCs w:val="18"/>
                <w:lang w:val="es-ES_tradnl"/>
              </w:rPr>
              <w:t>FUNCIONAMIENTO</w:t>
            </w:r>
          </w:p>
        </w:tc>
        <w:tc>
          <w:tcPr>
            <w:tcW w:w="2040" w:type="dxa"/>
            <w:vAlign w:val="bottom"/>
          </w:tcPr>
          <w:p w14:paraId="59DDEC16" w14:textId="77777777" w:rsidR="007E2F9F" w:rsidRPr="00BE21C4" w:rsidRDefault="007E2F9F" w:rsidP="006548F8">
            <w:pPr>
              <w:jc w:val="right"/>
              <w:rPr>
                <w:rFonts w:ascii="Arial" w:eastAsia="Calibri" w:hAnsi="Arial" w:cs="Arial"/>
                <w:b/>
                <w:sz w:val="16"/>
                <w:szCs w:val="16"/>
                <w:lang w:val="es-CO"/>
              </w:rPr>
            </w:pPr>
            <w:r w:rsidRPr="00BE21C4">
              <w:rPr>
                <w:rFonts w:ascii="Arial" w:hAnsi="Arial" w:cs="Arial"/>
                <w:bCs/>
                <w:sz w:val="16"/>
                <w:szCs w:val="16"/>
              </w:rPr>
              <w:t>546.834.593,73</w:t>
            </w:r>
          </w:p>
        </w:tc>
        <w:tc>
          <w:tcPr>
            <w:tcW w:w="2040" w:type="dxa"/>
            <w:vAlign w:val="bottom"/>
          </w:tcPr>
          <w:p w14:paraId="31B6F6F6" w14:textId="77777777" w:rsidR="007E2F9F" w:rsidRPr="00BE21C4" w:rsidRDefault="007E2F9F" w:rsidP="006548F8">
            <w:pPr>
              <w:pStyle w:val="Prrafodelista"/>
              <w:ind w:left="0"/>
              <w:jc w:val="right"/>
              <w:rPr>
                <w:rFonts w:ascii="Arial" w:hAnsi="Arial" w:cs="Arial"/>
                <w:b/>
                <w:sz w:val="16"/>
                <w:szCs w:val="16"/>
              </w:rPr>
            </w:pPr>
            <w:r w:rsidRPr="00BE21C4">
              <w:rPr>
                <w:rFonts w:ascii="Arial" w:hAnsi="Arial" w:cs="Arial"/>
                <w:bCs/>
                <w:sz w:val="16"/>
                <w:szCs w:val="16"/>
              </w:rPr>
              <w:t>538.309.220,85</w:t>
            </w:r>
          </w:p>
        </w:tc>
        <w:tc>
          <w:tcPr>
            <w:tcW w:w="2249" w:type="dxa"/>
            <w:vAlign w:val="bottom"/>
          </w:tcPr>
          <w:p w14:paraId="532D1594" w14:textId="77777777" w:rsidR="007E2F9F" w:rsidRPr="00BE21C4" w:rsidRDefault="007E2F9F" w:rsidP="006548F8">
            <w:pPr>
              <w:pStyle w:val="Prrafodelista"/>
              <w:ind w:left="0"/>
              <w:jc w:val="right"/>
              <w:rPr>
                <w:rFonts w:ascii="Arial" w:hAnsi="Arial" w:cs="Arial"/>
                <w:b/>
                <w:sz w:val="16"/>
                <w:szCs w:val="16"/>
              </w:rPr>
            </w:pPr>
            <w:r w:rsidRPr="00BE21C4">
              <w:rPr>
                <w:rFonts w:ascii="Arial" w:hAnsi="Arial" w:cs="Arial"/>
                <w:bCs/>
                <w:sz w:val="16"/>
                <w:szCs w:val="16"/>
              </w:rPr>
              <w:t>8.525.372,88</w:t>
            </w:r>
          </w:p>
        </w:tc>
      </w:tr>
      <w:tr w:rsidR="007E2F9F" w:rsidRPr="00BE21C4" w14:paraId="02AC5517" w14:textId="77777777" w:rsidTr="006548F8">
        <w:tc>
          <w:tcPr>
            <w:tcW w:w="4161" w:type="dxa"/>
          </w:tcPr>
          <w:p w14:paraId="6FCD65F0" w14:textId="77777777" w:rsidR="007E2F9F" w:rsidRPr="00BE21C4" w:rsidRDefault="007E2F9F" w:rsidP="006548F8">
            <w:pPr>
              <w:ind w:right="-1440"/>
              <w:jc w:val="both"/>
              <w:rPr>
                <w:rFonts w:ascii="Arial" w:hAnsi="Arial" w:cs="Arial"/>
                <w:b/>
                <w:sz w:val="18"/>
                <w:szCs w:val="18"/>
                <w:lang w:val="es-ES_tradnl"/>
              </w:rPr>
            </w:pPr>
            <w:r w:rsidRPr="00BE21C4">
              <w:rPr>
                <w:rFonts w:ascii="Arial" w:hAnsi="Arial" w:cs="Arial"/>
                <w:b/>
                <w:sz w:val="18"/>
                <w:szCs w:val="18"/>
                <w:lang w:val="es-ES_tradnl"/>
              </w:rPr>
              <w:t>INVERSIÓN</w:t>
            </w:r>
          </w:p>
        </w:tc>
        <w:tc>
          <w:tcPr>
            <w:tcW w:w="2040" w:type="dxa"/>
            <w:vAlign w:val="bottom"/>
          </w:tcPr>
          <w:p w14:paraId="35CC9EA6" w14:textId="77777777" w:rsidR="007E2F9F" w:rsidRPr="00BE21C4" w:rsidRDefault="007E2F9F" w:rsidP="006548F8">
            <w:pPr>
              <w:pStyle w:val="Prrafodelista"/>
              <w:ind w:left="0"/>
              <w:jc w:val="right"/>
              <w:rPr>
                <w:rFonts w:ascii="Arial" w:hAnsi="Arial" w:cs="Arial"/>
                <w:b/>
                <w:sz w:val="16"/>
                <w:szCs w:val="16"/>
              </w:rPr>
            </w:pPr>
            <w:r w:rsidRPr="00BE21C4">
              <w:rPr>
                <w:rFonts w:ascii="Arial" w:hAnsi="Arial" w:cs="Arial"/>
                <w:color w:val="000000"/>
                <w:sz w:val="16"/>
                <w:szCs w:val="16"/>
              </w:rPr>
              <w:t>1.106.413.150,45</w:t>
            </w:r>
          </w:p>
        </w:tc>
        <w:tc>
          <w:tcPr>
            <w:tcW w:w="2040" w:type="dxa"/>
            <w:vAlign w:val="bottom"/>
          </w:tcPr>
          <w:p w14:paraId="05EF26E4" w14:textId="77777777" w:rsidR="007E2F9F" w:rsidRPr="00BE21C4" w:rsidRDefault="007E2F9F" w:rsidP="006548F8">
            <w:pPr>
              <w:pStyle w:val="Prrafodelista"/>
              <w:ind w:left="0"/>
              <w:jc w:val="right"/>
              <w:rPr>
                <w:rFonts w:ascii="Arial" w:hAnsi="Arial" w:cs="Arial"/>
                <w:b/>
                <w:sz w:val="16"/>
                <w:szCs w:val="16"/>
              </w:rPr>
            </w:pPr>
            <w:r w:rsidRPr="00BE21C4">
              <w:rPr>
                <w:rFonts w:ascii="Arial" w:hAnsi="Arial" w:cs="Arial"/>
                <w:color w:val="000000"/>
                <w:sz w:val="16"/>
                <w:szCs w:val="16"/>
              </w:rPr>
              <w:t>1.057.695.867,47</w:t>
            </w:r>
          </w:p>
        </w:tc>
        <w:tc>
          <w:tcPr>
            <w:tcW w:w="2249" w:type="dxa"/>
            <w:vAlign w:val="bottom"/>
          </w:tcPr>
          <w:p w14:paraId="42B3B179" w14:textId="77777777" w:rsidR="007E2F9F" w:rsidRPr="00BE21C4" w:rsidRDefault="007E2F9F" w:rsidP="006548F8">
            <w:pPr>
              <w:pStyle w:val="Prrafodelista"/>
              <w:ind w:left="0"/>
              <w:jc w:val="right"/>
              <w:rPr>
                <w:rFonts w:ascii="Arial" w:hAnsi="Arial" w:cs="Arial"/>
                <w:b/>
                <w:sz w:val="16"/>
                <w:szCs w:val="16"/>
              </w:rPr>
            </w:pPr>
            <w:r w:rsidRPr="00BE21C4">
              <w:rPr>
                <w:rFonts w:ascii="Arial" w:hAnsi="Arial" w:cs="Arial"/>
                <w:color w:val="000000"/>
                <w:sz w:val="16"/>
                <w:szCs w:val="16"/>
              </w:rPr>
              <w:t>48.717.282,98</w:t>
            </w:r>
          </w:p>
        </w:tc>
      </w:tr>
      <w:tr w:rsidR="007E2F9F" w:rsidRPr="00BE21C4" w14:paraId="42ED02F4" w14:textId="77777777" w:rsidTr="006548F8">
        <w:tc>
          <w:tcPr>
            <w:tcW w:w="4161" w:type="dxa"/>
          </w:tcPr>
          <w:p w14:paraId="2848F693" w14:textId="77777777" w:rsidR="007E2F9F" w:rsidRPr="00BE21C4" w:rsidRDefault="007E2F9F" w:rsidP="006548F8">
            <w:pPr>
              <w:ind w:right="-1440"/>
              <w:jc w:val="both"/>
              <w:rPr>
                <w:rFonts w:ascii="Arial" w:hAnsi="Arial" w:cs="Arial"/>
                <w:b/>
                <w:sz w:val="18"/>
                <w:szCs w:val="18"/>
                <w:lang w:val="es-ES_tradnl"/>
              </w:rPr>
            </w:pPr>
            <w:r w:rsidRPr="00BE21C4">
              <w:rPr>
                <w:rFonts w:ascii="Arial" w:hAnsi="Arial" w:cs="Arial"/>
                <w:b/>
                <w:sz w:val="18"/>
                <w:szCs w:val="18"/>
                <w:lang w:val="es-ES_tradnl"/>
              </w:rPr>
              <w:t>TOTAL PÉRDIDAS DE APROPIACIÓN</w:t>
            </w:r>
          </w:p>
        </w:tc>
        <w:tc>
          <w:tcPr>
            <w:tcW w:w="2040" w:type="dxa"/>
            <w:vAlign w:val="bottom"/>
          </w:tcPr>
          <w:p w14:paraId="1228271F" w14:textId="77777777" w:rsidR="007E2F9F" w:rsidRPr="00BE21C4" w:rsidRDefault="007E2F9F" w:rsidP="006548F8">
            <w:pPr>
              <w:pStyle w:val="Prrafodelista"/>
              <w:ind w:left="0"/>
              <w:jc w:val="right"/>
              <w:rPr>
                <w:rFonts w:ascii="Arial" w:hAnsi="Arial" w:cs="Arial"/>
                <w:b/>
                <w:sz w:val="16"/>
                <w:szCs w:val="16"/>
                <w:u w:val="single"/>
              </w:rPr>
            </w:pPr>
            <w:r w:rsidRPr="00BE21C4">
              <w:rPr>
                <w:rFonts w:ascii="Arial" w:hAnsi="Arial" w:cs="Arial"/>
                <w:bCs/>
                <w:sz w:val="16"/>
                <w:szCs w:val="16"/>
              </w:rPr>
              <w:t>1.653.247.744,18</w:t>
            </w:r>
          </w:p>
        </w:tc>
        <w:tc>
          <w:tcPr>
            <w:tcW w:w="2040" w:type="dxa"/>
            <w:vAlign w:val="bottom"/>
          </w:tcPr>
          <w:p w14:paraId="29717FD8" w14:textId="77777777" w:rsidR="007E2F9F" w:rsidRPr="00BE21C4" w:rsidRDefault="007E2F9F" w:rsidP="006548F8">
            <w:pPr>
              <w:pStyle w:val="Prrafodelista"/>
              <w:ind w:left="0"/>
              <w:jc w:val="right"/>
              <w:rPr>
                <w:rFonts w:ascii="Arial" w:hAnsi="Arial" w:cs="Arial"/>
                <w:b/>
                <w:sz w:val="16"/>
                <w:szCs w:val="16"/>
                <w:u w:val="single"/>
              </w:rPr>
            </w:pPr>
            <w:r w:rsidRPr="00BE21C4">
              <w:rPr>
                <w:rFonts w:ascii="Arial" w:hAnsi="Arial" w:cs="Arial"/>
                <w:bCs/>
                <w:sz w:val="16"/>
                <w:szCs w:val="16"/>
              </w:rPr>
              <w:t>1.596.005.088,31</w:t>
            </w:r>
          </w:p>
        </w:tc>
        <w:tc>
          <w:tcPr>
            <w:tcW w:w="2249" w:type="dxa"/>
            <w:vAlign w:val="bottom"/>
          </w:tcPr>
          <w:p w14:paraId="02424210" w14:textId="77777777" w:rsidR="007E2F9F" w:rsidRPr="00BE21C4" w:rsidRDefault="007E2F9F" w:rsidP="006548F8">
            <w:pPr>
              <w:pStyle w:val="Prrafodelista"/>
              <w:ind w:left="0"/>
              <w:jc w:val="right"/>
              <w:rPr>
                <w:rFonts w:ascii="Arial" w:hAnsi="Arial" w:cs="Arial"/>
                <w:b/>
                <w:sz w:val="16"/>
                <w:szCs w:val="16"/>
                <w:u w:val="single"/>
              </w:rPr>
            </w:pPr>
            <w:r w:rsidRPr="00BE21C4">
              <w:rPr>
                <w:rFonts w:ascii="Arial" w:hAnsi="Arial" w:cs="Arial"/>
                <w:b/>
                <w:bCs/>
                <w:sz w:val="16"/>
                <w:szCs w:val="16"/>
                <w:u w:val="single"/>
              </w:rPr>
              <w:t>57.242.655,87</w:t>
            </w:r>
          </w:p>
        </w:tc>
      </w:tr>
    </w:tbl>
    <w:p w14:paraId="19972BC1" w14:textId="77777777" w:rsidR="007E2F9F" w:rsidRDefault="007E2F9F" w:rsidP="007E2F9F">
      <w:pPr>
        <w:ind w:left="-284" w:right="-234"/>
        <w:jc w:val="both"/>
        <w:rPr>
          <w:rFonts w:ascii="Arial" w:hAnsi="Arial" w:cs="Arial"/>
          <w:b/>
          <w:bCs/>
          <w:sz w:val="28"/>
          <w:szCs w:val="28"/>
        </w:rPr>
      </w:pPr>
    </w:p>
    <w:p w14:paraId="57763ED0" w14:textId="77777777" w:rsidR="007E2F9F" w:rsidRPr="001D0D31" w:rsidRDefault="007E2F9F" w:rsidP="007E2F9F">
      <w:pPr>
        <w:ind w:left="-284"/>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6E549823" w14:textId="77777777" w:rsidR="007E2F9F" w:rsidRPr="001D0D31" w:rsidRDefault="007E2F9F" w:rsidP="007E2F9F">
      <w:pPr>
        <w:jc w:val="both"/>
        <w:rPr>
          <w:rFonts w:ascii="Arial" w:hAnsi="Arial" w:cs="Arial"/>
          <w:b/>
          <w:sz w:val="28"/>
          <w:szCs w:val="28"/>
          <w:lang w:val="es-MX"/>
        </w:rPr>
      </w:pPr>
    </w:p>
    <w:p w14:paraId="3E5D6A1B"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20BC5D29"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754EAF14"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1D0D31" w14:paraId="0C2D3275" w14:textId="77777777" w:rsidTr="006548F8">
        <w:tc>
          <w:tcPr>
            <w:tcW w:w="4161" w:type="dxa"/>
          </w:tcPr>
          <w:p w14:paraId="669F9384" w14:textId="77777777" w:rsidR="007E2F9F" w:rsidRPr="001D0D31" w:rsidRDefault="007E2F9F" w:rsidP="006548F8">
            <w:pPr>
              <w:ind w:left="1169" w:right="-1440"/>
              <w:rPr>
                <w:rFonts w:ascii="Arial" w:hAnsi="Arial" w:cs="Arial"/>
                <w:b/>
                <w:sz w:val="18"/>
                <w:szCs w:val="18"/>
                <w:lang w:val="es-ES_tradnl"/>
              </w:rPr>
            </w:pPr>
            <w:r w:rsidRPr="001D0D31">
              <w:rPr>
                <w:rFonts w:ascii="Arial" w:hAnsi="Arial" w:cs="Arial"/>
                <w:b/>
                <w:sz w:val="18"/>
                <w:szCs w:val="18"/>
                <w:lang w:val="es-ES_tradnl"/>
              </w:rPr>
              <w:t>TIPO DE GASTO</w:t>
            </w:r>
          </w:p>
        </w:tc>
        <w:tc>
          <w:tcPr>
            <w:tcW w:w="2040" w:type="dxa"/>
          </w:tcPr>
          <w:p w14:paraId="12EB1588" w14:textId="77777777" w:rsidR="007E2F9F" w:rsidRPr="001D0D31" w:rsidRDefault="007E2F9F" w:rsidP="006548F8">
            <w:pPr>
              <w:jc w:val="center"/>
              <w:rPr>
                <w:rFonts w:ascii="Arial" w:hAnsi="Arial" w:cs="Arial"/>
                <w:b/>
                <w:sz w:val="18"/>
                <w:szCs w:val="18"/>
                <w:lang w:val="es-ES_tradnl"/>
              </w:rPr>
            </w:pPr>
            <w:r w:rsidRPr="001D0D31">
              <w:rPr>
                <w:rFonts w:ascii="Arial" w:hAnsi="Arial" w:cs="Arial"/>
                <w:b/>
                <w:sz w:val="18"/>
                <w:szCs w:val="18"/>
                <w:lang w:val="es-ES_tradnl"/>
              </w:rPr>
              <w:t>APROPIACIÓN</w:t>
            </w:r>
          </w:p>
          <w:p w14:paraId="5FA5CF6E" w14:textId="77777777" w:rsidR="007E2F9F" w:rsidRPr="001D0D31" w:rsidRDefault="007E2F9F" w:rsidP="006548F8">
            <w:pPr>
              <w:jc w:val="center"/>
              <w:rPr>
                <w:rFonts w:ascii="Arial" w:hAnsi="Arial" w:cs="Arial"/>
                <w:b/>
                <w:sz w:val="18"/>
                <w:szCs w:val="18"/>
                <w:lang w:val="es-ES_tradnl"/>
              </w:rPr>
            </w:pPr>
            <w:r w:rsidRPr="001D0D31">
              <w:rPr>
                <w:rFonts w:ascii="Arial" w:hAnsi="Arial" w:cs="Arial"/>
                <w:b/>
                <w:sz w:val="18"/>
                <w:szCs w:val="18"/>
                <w:lang w:val="es-ES_tradnl"/>
              </w:rPr>
              <w:t>DEFINITIVA</w:t>
            </w:r>
          </w:p>
          <w:p w14:paraId="7713A4AC" w14:textId="77777777" w:rsidR="007E2F9F" w:rsidRPr="001D0D31" w:rsidRDefault="007E2F9F" w:rsidP="006548F8">
            <w:pPr>
              <w:jc w:val="center"/>
              <w:rPr>
                <w:rFonts w:ascii="Arial" w:hAnsi="Arial" w:cs="Arial"/>
                <w:b/>
                <w:sz w:val="18"/>
                <w:szCs w:val="18"/>
                <w:lang w:val="es-ES_tradnl"/>
              </w:rPr>
            </w:pPr>
            <w:r w:rsidRPr="001D0D31">
              <w:rPr>
                <w:rFonts w:ascii="Arial" w:hAnsi="Arial" w:cs="Arial"/>
                <w:b/>
                <w:sz w:val="18"/>
                <w:szCs w:val="18"/>
                <w:lang w:val="es-ES_tradnl"/>
              </w:rPr>
              <w:t>(1)</w:t>
            </w:r>
          </w:p>
          <w:p w14:paraId="47A14209" w14:textId="77777777" w:rsidR="007E2F9F" w:rsidRPr="001D0D31" w:rsidRDefault="007E2F9F" w:rsidP="006548F8">
            <w:pPr>
              <w:jc w:val="center"/>
              <w:rPr>
                <w:rFonts w:ascii="Arial" w:hAnsi="Arial" w:cs="Arial"/>
                <w:b/>
                <w:sz w:val="18"/>
                <w:szCs w:val="18"/>
                <w:lang w:val="es-ES_tradnl"/>
              </w:rPr>
            </w:pPr>
          </w:p>
        </w:tc>
        <w:tc>
          <w:tcPr>
            <w:tcW w:w="2040" w:type="dxa"/>
          </w:tcPr>
          <w:p w14:paraId="106F2E50" w14:textId="77777777" w:rsidR="007E2F9F" w:rsidRPr="001D0D31" w:rsidRDefault="007E2F9F" w:rsidP="006548F8">
            <w:pPr>
              <w:ind w:left="145" w:right="184"/>
              <w:jc w:val="center"/>
              <w:rPr>
                <w:rFonts w:ascii="Arial" w:hAnsi="Arial" w:cs="Arial"/>
                <w:b/>
                <w:sz w:val="18"/>
                <w:szCs w:val="18"/>
                <w:lang w:val="es-ES_tradnl"/>
              </w:rPr>
            </w:pPr>
            <w:r w:rsidRPr="001D0D31">
              <w:rPr>
                <w:rFonts w:ascii="Arial" w:hAnsi="Arial" w:cs="Arial"/>
                <w:b/>
                <w:sz w:val="18"/>
                <w:szCs w:val="18"/>
                <w:lang w:val="es-ES_tradnl"/>
              </w:rPr>
              <w:t>EJECUCIÓN</w:t>
            </w:r>
          </w:p>
          <w:p w14:paraId="14505AC7" w14:textId="77777777" w:rsidR="007E2F9F" w:rsidRPr="001D0D31" w:rsidRDefault="007E2F9F" w:rsidP="006548F8">
            <w:pPr>
              <w:ind w:right="34"/>
              <w:jc w:val="center"/>
              <w:rPr>
                <w:rFonts w:ascii="Arial" w:hAnsi="Arial" w:cs="Arial"/>
                <w:b/>
                <w:sz w:val="18"/>
                <w:szCs w:val="18"/>
                <w:lang w:val="es-ES_tradnl"/>
              </w:rPr>
            </w:pPr>
            <w:r w:rsidRPr="001D0D31">
              <w:rPr>
                <w:rFonts w:ascii="Arial" w:hAnsi="Arial" w:cs="Arial"/>
                <w:b/>
                <w:sz w:val="18"/>
                <w:szCs w:val="18"/>
                <w:lang w:val="es-ES_tradnl"/>
              </w:rPr>
              <w:t>COMPROMISOS</w:t>
            </w:r>
          </w:p>
          <w:p w14:paraId="69B7421B" w14:textId="77777777" w:rsidR="007E2F9F" w:rsidRPr="001D0D31" w:rsidRDefault="007E2F9F" w:rsidP="006548F8">
            <w:pPr>
              <w:ind w:right="34"/>
              <w:jc w:val="center"/>
              <w:rPr>
                <w:rFonts w:ascii="Arial" w:hAnsi="Arial" w:cs="Arial"/>
                <w:b/>
                <w:sz w:val="18"/>
                <w:szCs w:val="18"/>
                <w:lang w:val="es-ES_tradnl"/>
              </w:rPr>
            </w:pPr>
            <w:r w:rsidRPr="001D0D31">
              <w:rPr>
                <w:rFonts w:ascii="Arial" w:hAnsi="Arial" w:cs="Arial"/>
                <w:b/>
                <w:sz w:val="18"/>
                <w:szCs w:val="18"/>
                <w:lang w:val="es-ES_tradnl"/>
              </w:rPr>
              <w:t>(2)</w:t>
            </w:r>
          </w:p>
        </w:tc>
        <w:tc>
          <w:tcPr>
            <w:tcW w:w="2249" w:type="dxa"/>
          </w:tcPr>
          <w:p w14:paraId="36700064" w14:textId="77777777" w:rsidR="007E2F9F" w:rsidRPr="001D0D31" w:rsidRDefault="007E2F9F" w:rsidP="006548F8">
            <w:pPr>
              <w:ind w:left="25" w:right="34"/>
              <w:jc w:val="center"/>
              <w:rPr>
                <w:rFonts w:ascii="Arial" w:hAnsi="Arial" w:cs="Arial"/>
                <w:b/>
                <w:sz w:val="18"/>
                <w:szCs w:val="18"/>
                <w:lang w:val="es-ES_tradnl"/>
              </w:rPr>
            </w:pPr>
            <w:r w:rsidRPr="001D0D31">
              <w:rPr>
                <w:rFonts w:ascii="Arial" w:hAnsi="Arial" w:cs="Arial"/>
                <w:b/>
                <w:sz w:val="18"/>
                <w:szCs w:val="18"/>
                <w:lang w:val="es-ES_tradnl"/>
              </w:rPr>
              <w:t>PÉRDIDAS DE</w:t>
            </w:r>
          </w:p>
          <w:p w14:paraId="01CBDC77" w14:textId="77777777" w:rsidR="007E2F9F" w:rsidRPr="001D0D31" w:rsidRDefault="007E2F9F" w:rsidP="006548F8">
            <w:pPr>
              <w:ind w:right="34"/>
              <w:jc w:val="center"/>
              <w:rPr>
                <w:rFonts w:ascii="Arial" w:hAnsi="Arial" w:cs="Arial"/>
                <w:b/>
                <w:sz w:val="18"/>
                <w:szCs w:val="18"/>
                <w:lang w:val="es-ES_tradnl"/>
              </w:rPr>
            </w:pPr>
            <w:r w:rsidRPr="001D0D31">
              <w:rPr>
                <w:rFonts w:ascii="Arial" w:hAnsi="Arial" w:cs="Arial"/>
                <w:b/>
                <w:sz w:val="18"/>
                <w:szCs w:val="18"/>
                <w:lang w:val="es-ES_tradnl"/>
              </w:rPr>
              <w:t>APROPIACIÓN</w:t>
            </w:r>
          </w:p>
          <w:p w14:paraId="04D5766F" w14:textId="77777777" w:rsidR="007E2F9F" w:rsidRPr="001D0D31" w:rsidRDefault="007E2F9F" w:rsidP="006548F8">
            <w:pPr>
              <w:ind w:right="34"/>
              <w:jc w:val="center"/>
              <w:rPr>
                <w:rFonts w:ascii="Arial" w:hAnsi="Arial" w:cs="Arial"/>
                <w:b/>
                <w:sz w:val="18"/>
                <w:szCs w:val="18"/>
                <w:lang w:val="es-ES_tradnl"/>
              </w:rPr>
            </w:pPr>
            <w:r w:rsidRPr="001D0D31">
              <w:rPr>
                <w:rFonts w:ascii="Arial" w:hAnsi="Arial" w:cs="Arial"/>
                <w:b/>
                <w:sz w:val="18"/>
                <w:szCs w:val="18"/>
                <w:lang w:val="es-ES_tradnl"/>
              </w:rPr>
              <w:t>3 = (1-2)</w:t>
            </w:r>
          </w:p>
        </w:tc>
      </w:tr>
      <w:tr w:rsidR="007E2F9F" w:rsidRPr="001D0D31" w14:paraId="203BBA13" w14:textId="77777777" w:rsidTr="006548F8">
        <w:trPr>
          <w:trHeight w:val="230"/>
        </w:trPr>
        <w:tc>
          <w:tcPr>
            <w:tcW w:w="4161" w:type="dxa"/>
          </w:tcPr>
          <w:p w14:paraId="3CF56A77" w14:textId="77777777" w:rsidR="007E2F9F" w:rsidRPr="001D0D31" w:rsidRDefault="007E2F9F" w:rsidP="006548F8">
            <w:pPr>
              <w:ind w:right="-1440"/>
              <w:jc w:val="both"/>
              <w:rPr>
                <w:rFonts w:ascii="Arial" w:hAnsi="Arial" w:cs="Arial"/>
                <w:b/>
                <w:sz w:val="18"/>
                <w:szCs w:val="18"/>
                <w:lang w:val="es-ES_tradnl"/>
              </w:rPr>
            </w:pPr>
            <w:r w:rsidRPr="001D0D31">
              <w:rPr>
                <w:rFonts w:ascii="Arial" w:hAnsi="Arial" w:cs="Arial"/>
                <w:b/>
                <w:sz w:val="18"/>
                <w:szCs w:val="18"/>
                <w:lang w:val="es-ES_tradnl"/>
              </w:rPr>
              <w:t>FUNCIONAMIENTO</w:t>
            </w:r>
          </w:p>
        </w:tc>
        <w:tc>
          <w:tcPr>
            <w:tcW w:w="2040" w:type="dxa"/>
          </w:tcPr>
          <w:p w14:paraId="2E023C1D" w14:textId="77777777" w:rsidR="007E2F9F" w:rsidRPr="001D0D31" w:rsidRDefault="007E2F9F" w:rsidP="006548F8">
            <w:pPr>
              <w:jc w:val="right"/>
              <w:rPr>
                <w:rFonts w:ascii="Arial" w:eastAsia="Calibri" w:hAnsi="Arial" w:cs="Arial"/>
                <w:b/>
                <w:sz w:val="16"/>
                <w:szCs w:val="16"/>
                <w:lang w:val="es-CO"/>
              </w:rPr>
            </w:pPr>
            <w:r w:rsidRPr="001D0D31">
              <w:rPr>
                <w:rFonts w:ascii="Arial" w:eastAsia="Calibri" w:hAnsi="Arial" w:cs="Arial"/>
                <w:b/>
                <w:sz w:val="16"/>
                <w:szCs w:val="16"/>
                <w:lang w:val="es-CO"/>
              </w:rPr>
              <w:t>126.964.690.122,00</w:t>
            </w:r>
          </w:p>
        </w:tc>
        <w:tc>
          <w:tcPr>
            <w:tcW w:w="2040" w:type="dxa"/>
          </w:tcPr>
          <w:p w14:paraId="26C8F22A" w14:textId="77777777" w:rsidR="007E2F9F" w:rsidRPr="001D0D31" w:rsidRDefault="007E2F9F" w:rsidP="006548F8">
            <w:pPr>
              <w:pStyle w:val="Prrafodelista"/>
              <w:ind w:left="0"/>
              <w:jc w:val="right"/>
              <w:rPr>
                <w:rFonts w:ascii="Arial" w:hAnsi="Arial" w:cs="Arial"/>
                <w:b/>
                <w:sz w:val="16"/>
                <w:szCs w:val="16"/>
              </w:rPr>
            </w:pPr>
            <w:r w:rsidRPr="001D0D31">
              <w:rPr>
                <w:rFonts w:ascii="Arial" w:eastAsia="Calibri" w:hAnsi="Arial" w:cs="Arial"/>
                <w:b/>
                <w:sz w:val="16"/>
                <w:szCs w:val="16"/>
                <w:lang w:val="es-CO"/>
              </w:rPr>
              <w:t>105.222.351.211,50</w:t>
            </w:r>
          </w:p>
        </w:tc>
        <w:tc>
          <w:tcPr>
            <w:tcW w:w="2249" w:type="dxa"/>
          </w:tcPr>
          <w:p w14:paraId="05FEEFA1" w14:textId="77777777" w:rsidR="007E2F9F" w:rsidRPr="001D0D31" w:rsidRDefault="007E2F9F" w:rsidP="006548F8">
            <w:pPr>
              <w:pStyle w:val="Prrafodelista"/>
              <w:ind w:left="0"/>
              <w:jc w:val="right"/>
              <w:rPr>
                <w:rFonts w:ascii="Arial" w:hAnsi="Arial" w:cs="Arial"/>
                <w:b/>
                <w:sz w:val="16"/>
                <w:szCs w:val="16"/>
              </w:rPr>
            </w:pPr>
            <w:r w:rsidRPr="001D0D31">
              <w:rPr>
                <w:rFonts w:ascii="Arial" w:hAnsi="Arial" w:cs="Arial"/>
                <w:b/>
                <w:sz w:val="16"/>
                <w:szCs w:val="16"/>
              </w:rPr>
              <w:t>21.742.338.910,50</w:t>
            </w:r>
          </w:p>
        </w:tc>
      </w:tr>
      <w:tr w:rsidR="007E2F9F" w:rsidRPr="001D0D31" w14:paraId="53F470AF" w14:textId="77777777" w:rsidTr="006548F8">
        <w:tc>
          <w:tcPr>
            <w:tcW w:w="4161" w:type="dxa"/>
          </w:tcPr>
          <w:p w14:paraId="2E5E226D" w14:textId="77777777" w:rsidR="007E2F9F" w:rsidRPr="001D0D31" w:rsidRDefault="007E2F9F" w:rsidP="006548F8">
            <w:pPr>
              <w:ind w:right="-1440"/>
              <w:jc w:val="both"/>
              <w:rPr>
                <w:rFonts w:ascii="Arial" w:hAnsi="Arial" w:cs="Arial"/>
                <w:b/>
                <w:sz w:val="18"/>
                <w:szCs w:val="18"/>
                <w:lang w:val="es-ES_tradnl"/>
              </w:rPr>
            </w:pPr>
            <w:r w:rsidRPr="001D0D31">
              <w:rPr>
                <w:rFonts w:ascii="Arial" w:hAnsi="Arial" w:cs="Arial"/>
                <w:b/>
                <w:sz w:val="18"/>
                <w:szCs w:val="18"/>
                <w:lang w:val="es-ES_tradnl"/>
              </w:rPr>
              <w:t>INVERSIÓN</w:t>
            </w:r>
          </w:p>
        </w:tc>
        <w:tc>
          <w:tcPr>
            <w:tcW w:w="2040" w:type="dxa"/>
          </w:tcPr>
          <w:p w14:paraId="6C5B79ED" w14:textId="77777777" w:rsidR="007E2F9F" w:rsidRPr="001D0D31" w:rsidRDefault="007E2F9F" w:rsidP="006548F8">
            <w:pPr>
              <w:pStyle w:val="Prrafodelista"/>
              <w:ind w:left="0"/>
              <w:jc w:val="right"/>
              <w:rPr>
                <w:rFonts w:ascii="Arial" w:hAnsi="Arial" w:cs="Arial"/>
                <w:b/>
                <w:sz w:val="16"/>
                <w:szCs w:val="16"/>
              </w:rPr>
            </w:pPr>
            <w:r w:rsidRPr="001D0D31">
              <w:rPr>
                <w:rFonts w:ascii="Arial" w:eastAsia="Calibri" w:hAnsi="Arial" w:cs="Arial"/>
                <w:b/>
                <w:sz w:val="16"/>
                <w:szCs w:val="16"/>
                <w:lang w:val="es-CO"/>
              </w:rPr>
              <w:t>888.852.969.687,00</w:t>
            </w:r>
          </w:p>
        </w:tc>
        <w:tc>
          <w:tcPr>
            <w:tcW w:w="2040" w:type="dxa"/>
          </w:tcPr>
          <w:p w14:paraId="0C615A22" w14:textId="77777777" w:rsidR="007E2F9F" w:rsidRPr="001D0D31" w:rsidRDefault="007E2F9F" w:rsidP="006548F8">
            <w:pPr>
              <w:pStyle w:val="Prrafodelista"/>
              <w:ind w:left="0"/>
              <w:jc w:val="right"/>
              <w:rPr>
                <w:rFonts w:ascii="Arial" w:hAnsi="Arial" w:cs="Arial"/>
                <w:b/>
                <w:sz w:val="16"/>
                <w:szCs w:val="16"/>
              </w:rPr>
            </w:pPr>
            <w:r w:rsidRPr="001D0D31">
              <w:rPr>
                <w:rFonts w:ascii="Arial" w:eastAsia="Calibri" w:hAnsi="Arial" w:cs="Arial"/>
                <w:b/>
                <w:sz w:val="16"/>
                <w:szCs w:val="16"/>
                <w:lang w:val="es-CO"/>
              </w:rPr>
              <w:t>762.685.653.149,50</w:t>
            </w:r>
          </w:p>
        </w:tc>
        <w:tc>
          <w:tcPr>
            <w:tcW w:w="2249" w:type="dxa"/>
          </w:tcPr>
          <w:p w14:paraId="0DCB8686" w14:textId="77777777" w:rsidR="007E2F9F" w:rsidRPr="001D0D31" w:rsidRDefault="007E2F9F" w:rsidP="006548F8">
            <w:pPr>
              <w:pStyle w:val="Prrafodelista"/>
              <w:ind w:left="0"/>
              <w:jc w:val="right"/>
              <w:rPr>
                <w:rFonts w:ascii="Arial" w:hAnsi="Arial" w:cs="Arial"/>
                <w:b/>
                <w:sz w:val="16"/>
                <w:szCs w:val="16"/>
              </w:rPr>
            </w:pPr>
            <w:r w:rsidRPr="001D0D31">
              <w:rPr>
                <w:rFonts w:ascii="Arial" w:hAnsi="Arial" w:cs="Arial"/>
                <w:b/>
                <w:sz w:val="16"/>
                <w:szCs w:val="16"/>
              </w:rPr>
              <w:t>126.167.316.537,50</w:t>
            </w:r>
          </w:p>
        </w:tc>
      </w:tr>
      <w:tr w:rsidR="007E2F9F" w:rsidRPr="001D0D31" w14:paraId="6F79A3DD" w14:textId="77777777" w:rsidTr="006548F8">
        <w:tc>
          <w:tcPr>
            <w:tcW w:w="4161" w:type="dxa"/>
          </w:tcPr>
          <w:p w14:paraId="6393D7A4" w14:textId="77777777" w:rsidR="007E2F9F" w:rsidRPr="001D0D31" w:rsidRDefault="007E2F9F" w:rsidP="006548F8">
            <w:pPr>
              <w:ind w:right="-1440"/>
              <w:jc w:val="both"/>
              <w:rPr>
                <w:rFonts w:ascii="Arial" w:hAnsi="Arial" w:cs="Arial"/>
                <w:b/>
                <w:sz w:val="18"/>
                <w:szCs w:val="18"/>
                <w:lang w:val="es-ES_tradnl"/>
              </w:rPr>
            </w:pPr>
            <w:r w:rsidRPr="001D0D31">
              <w:rPr>
                <w:rFonts w:ascii="Arial" w:hAnsi="Arial" w:cs="Arial"/>
                <w:b/>
                <w:sz w:val="18"/>
                <w:szCs w:val="18"/>
                <w:lang w:val="es-ES_tradnl"/>
              </w:rPr>
              <w:t>TOTAL PÉRDIDAS DE APROPIACIÓN</w:t>
            </w:r>
          </w:p>
        </w:tc>
        <w:tc>
          <w:tcPr>
            <w:tcW w:w="2040" w:type="dxa"/>
          </w:tcPr>
          <w:p w14:paraId="39C4A843" w14:textId="77777777" w:rsidR="007E2F9F" w:rsidRPr="001D0D31" w:rsidRDefault="007E2F9F" w:rsidP="006548F8">
            <w:pPr>
              <w:pStyle w:val="Prrafodelista"/>
              <w:ind w:left="0"/>
              <w:jc w:val="right"/>
              <w:rPr>
                <w:rFonts w:ascii="Arial" w:hAnsi="Arial" w:cs="Arial"/>
                <w:b/>
                <w:sz w:val="16"/>
                <w:szCs w:val="16"/>
                <w:u w:val="single"/>
              </w:rPr>
            </w:pPr>
            <w:r w:rsidRPr="001D0D31">
              <w:rPr>
                <w:rFonts w:ascii="Arial" w:eastAsia="Calibri" w:hAnsi="Arial" w:cs="Arial"/>
                <w:b/>
                <w:sz w:val="16"/>
                <w:szCs w:val="16"/>
                <w:lang w:val="es-CO"/>
              </w:rPr>
              <w:t>1.015.817.659.809,00</w:t>
            </w:r>
          </w:p>
        </w:tc>
        <w:tc>
          <w:tcPr>
            <w:tcW w:w="2040" w:type="dxa"/>
          </w:tcPr>
          <w:p w14:paraId="4877EB94" w14:textId="77777777" w:rsidR="007E2F9F" w:rsidRPr="001D0D31" w:rsidRDefault="007E2F9F" w:rsidP="006548F8">
            <w:pPr>
              <w:pStyle w:val="Prrafodelista"/>
              <w:ind w:left="0"/>
              <w:jc w:val="right"/>
              <w:rPr>
                <w:rFonts w:ascii="Arial" w:hAnsi="Arial" w:cs="Arial"/>
                <w:b/>
                <w:sz w:val="16"/>
                <w:szCs w:val="16"/>
                <w:u w:val="single"/>
              </w:rPr>
            </w:pPr>
            <w:r w:rsidRPr="001D0D31">
              <w:rPr>
                <w:rFonts w:ascii="Arial" w:eastAsia="Calibri" w:hAnsi="Arial" w:cs="Arial"/>
                <w:b/>
                <w:sz w:val="16"/>
                <w:szCs w:val="16"/>
                <w:lang w:val="es-CO"/>
              </w:rPr>
              <w:t>867.908.004.361,00</w:t>
            </w:r>
          </w:p>
        </w:tc>
        <w:tc>
          <w:tcPr>
            <w:tcW w:w="2249" w:type="dxa"/>
          </w:tcPr>
          <w:p w14:paraId="3B95736B" w14:textId="77777777" w:rsidR="007E2F9F" w:rsidRPr="001D0D31" w:rsidRDefault="007E2F9F" w:rsidP="006548F8">
            <w:pPr>
              <w:pStyle w:val="Prrafodelista"/>
              <w:ind w:left="0"/>
              <w:jc w:val="right"/>
              <w:rPr>
                <w:rFonts w:ascii="Arial" w:hAnsi="Arial" w:cs="Arial"/>
                <w:b/>
                <w:sz w:val="16"/>
                <w:szCs w:val="16"/>
                <w:u w:val="single"/>
              </w:rPr>
            </w:pPr>
            <w:r w:rsidRPr="001D0D31">
              <w:rPr>
                <w:rFonts w:ascii="Arial" w:hAnsi="Arial" w:cs="Arial"/>
                <w:b/>
                <w:sz w:val="16"/>
                <w:szCs w:val="16"/>
                <w:u w:val="single"/>
              </w:rPr>
              <w:t>147.909.655.448,00</w:t>
            </w:r>
          </w:p>
        </w:tc>
      </w:tr>
    </w:tbl>
    <w:p w14:paraId="289046E1" w14:textId="77777777" w:rsidR="007E2F9F" w:rsidRDefault="007E2F9F" w:rsidP="007E2F9F">
      <w:pPr>
        <w:ind w:left="-284" w:right="-234"/>
        <w:jc w:val="both"/>
        <w:rPr>
          <w:rFonts w:ascii="Arial" w:hAnsi="Arial" w:cs="Arial"/>
          <w:b/>
          <w:bCs/>
          <w:sz w:val="28"/>
          <w:szCs w:val="28"/>
        </w:rPr>
      </w:pPr>
    </w:p>
    <w:p w14:paraId="41FBE74D" w14:textId="77777777" w:rsidR="007E2F9F" w:rsidRPr="008E61CD" w:rsidRDefault="007E2F9F" w:rsidP="007E2F9F">
      <w:pPr>
        <w:ind w:left="-284" w:right="-234"/>
        <w:jc w:val="both"/>
        <w:rPr>
          <w:rFonts w:ascii="Arial" w:hAnsi="Arial" w:cs="Arial"/>
          <w:b/>
          <w:sz w:val="28"/>
          <w:szCs w:val="28"/>
        </w:rPr>
      </w:pPr>
      <w:r w:rsidRPr="008E61CD">
        <w:rPr>
          <w:rFonts w:ascii="Arial" w:hAnsi="Arial" w:cs="Arial"/>
          <w:b/>
          <w:sz w:val="28"/>
          <w:szCs w:val="28"/>
          <w:lang w:val="es-MX"/>
        </w:rPr>
        <w:t xml:space="preserve">76.- </w:t>
      </w:r>
      <w:r w:rsidRPr="008E61CD">
        <w:rPr>
          <w:rFonts w:ascii="Arial" w:hAnsi="Arial" w:cs="Arial"/>
          <w:b/>
          <w:sz w:val="28"/>
          <w:szCs w:val="28"/>
        </w:rPr>
        <w:t>CORPORACIÓN AUTÓNOMA REGIONAL DE LOS VALLES DEL SINÚ Y SAN JORGE – CVS.</w:t>
      </w:r>
    </w:p>
    <w:p w14:paraId="77E54C56" w14:textId="77777777" w:rsidR="007E2F9F" w:rsidRDefault="007E2F9F" w:rsidP="007E2F9F">
      <w:pPr>
        <w:ind w:left="-284" w:right="-234"/>
        <w:jc w:val="both"/>
        <w:rPr>
          <w:rFonts w:ascii="Arial" w:hAnsi="Arial" w:cs="Arial"/>
          <w:b/>
          <w:bCs/>
          <w:sz w:val="28"/>
          <w:szCs w:val="28"/>
        </w:rPr>
      </w:pPr>
    </w:p>
    <w:p w14:paraId="32AE7781"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6A2B57DE"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BD6CED8"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4161"/>
        <w:gridCol w:w="2040"/>
        <w:gridCol w:w="2040"/>
        <w:gridCol w:w="2249"/>
      </w:tblGrid>
      <w:tr w:rsidR="007E2F9F" w:rsidRPr="008E61CD" w14:paraId="7472656E" w14:textId="77777777" w:rsidTr="006548F8">
        <w:tc>
          <w:tcPr>
            <w:tcW w:w="4161" w:type="dxa"/>
          </w:tcPr>
          <w:p w14:paraId="1AC9FD3A" w14:textId="77777777" w:rsidR="007E2F9F" w:rsidRPr="008E61CD" w:rsidRDefault="007E2F9F" w:rsidP="006548F8">
            <w:pPr>
              <w:ind w:left="1169" w:right="-1440"/>
              <w:rPr>
                <w:rFonts w:ascii="Arial" w:hAnsi="Arial" w:cs="Arial"/>
                <w:b/>
                <w:sz w:val="18"/>
                <w:szCs w:val="18"/>
                <w:lang w:val="es-ES_tradnl"/>
              </w:rPr>
            </w:pPr>
            <w:r w:rsidRPr="008E61CD">
              <w:rPr>
                <w:rFonts w:ascii="Arial" w:hAnsi="Arial" w:cs="Arial"/>
                <w:b/>
                <w:sz w:val="18"/>
                <w:szCs w:val="18"/>
                <w:lang w:val="es-ES_tradnl"/>
              </w:rPr>
              <w:t>TIPO DE GASTO</w:t>
            </w:r>
          </w:p>
        </w:tc>
        <w:tc>
          <w:tcPr>
            <w:tcW w:w="2040" w:type="dxa"/>
          </w:tcPr>
          <w:p w14:paraId="52045BDB" w14:textId="77777777" w:rsidR="007E2F9F" w:rsidRPr="008E61CD" w:rsidRDefault="007E2F9F" w:rsidP="006548F8">
            <w:pPr>
              <w:jc w:val="center"/>
              <w:rPr>
                <w:rFonts w:ascii="Arial" w:hAnsi="Arial" w:cs="Arial"/>
                <w:b/>
                <w:sz w:val="18"/>
                <w:szCs w:val="18"/>
                <w:lang w:val="es-ES_tradnl"/>
              </w:rPr>
            </w:pPr>
            <w:r w:rsidRPr="008E61CD">
              <w:rPr>
                <w:rFonts w:ascii="Arial" w:hAnsi="Arial" w:cs="Arial"/>
                <w:b/>
                <w:sz w:val="18"/>
                <w:szCs w:val="18"/>
                <w:lang w:val="es-ES_tradnl"/>
              </w:rPr>
              <w:t>APROPIACIÓN</w:t>
            </w:r>
          </w:p>
          <w:p w14:paraId="0C44CCD5" w14:textId="77777777" w:rsidR="007E2F9F" w:rsidRPr="008E61CD" w:rsidRDefault="007E2F9F" w:rsidP="006548F8">
            <w:pPr>
              <w:jc w:val="center"/>
              <w:rPr>
                <w:rFonts w:ascii="Arial" w:hAnsi="Arial" w:cs="Arial"/>
                <w:b/>
                <w:sz w:val="18"/>
                <w:szCs w:val="18"/>
                <w:lang w:val="es-ES_tradnl"/>
              </w:rPr>
            </w:pPr>
            <w:r w:rsidRPr="008E61CD">
              <w:rPr>
                <w:rFonts w:ascii="Arial" w:hAnsi="Arial" w:cs="Arial"/>
                <w:b/>
                <w:sz w:val="18"/>
                <w:szCs w:val="18"/>
                <w:lang w:val="es-ES_tradnl"/>
              </w:rPr>
              <w:t>DEFINITIVA</w:t>
            </w:r>
          </w:p>
          <w:p w14:paraId="4672CCEA" w14:textId="77777777" w:rsidR="007E2F9F" w:rsidRPr="008E61CD" w:rsidRDefault="007E2F9F" w:rsidP="006548F8">
            <w:pPr>
              <w:jc w:val="center"/>
              <w:rPr>
                <w:rFonts w:ascii="Arial" w:hAnsi="Arial" w:cs="Arial"/>
                <w:b/>
                <w:sz w:val="18"/>
                <w:szCs w:val="18"/>
                <w:lang w:val="es-ES_tradnl"/>
              </w:rPr>
            </w:pPr>
            <w:r w:rsidRPr="008E61CD">
              <w:rPr>
                <w:rFonts w:ascii="Arial" w:hAnsi="Arial" w:cs="Arial"/>
                <w:b/>
                <w:sz w:val="18"/>
                <w:szCs w:val="18"/>
                <w:lang w:val="es-ES_tradnl"/>
              </w:rPr>
              <w:t>(1)</w:t>
            </w:r>
          </w:p>
          <w:p w14:paraId="3D2BF610" w14:textId="77777777" w:rsidR="007E2F9F" w:rsidRPr="008E61CD" w:rsidRDefault="007E2F9F" w:rsidP="006548F8">
            <w:pPr>
              <w:jc w:val="center"/>
              <w:rPr>
                <w:rFonts w:ascii="Arial" w:hAnsi="Arial" w:cs="Arial"/>
                <w:b/>
                <w:sz w:val="18"/>
                <w:szCs w:val="18"/>
                <w:lang w:val="es-ES_tradnl"/>
              </w:rPr>
            </w:pPr>
          </w:p>
        </w:tc>
        <w:tc>
          <w:tcPr>
            <w:tcW w:w="2040" w:type="dxa"/>
          </w:tcPr>
          <w:p w14:paraId="5A8BA179" w14:textId="77777777" w:rsidR="007E2F9F" w:rsidRPr="008E61CD" w:rsidRDefault="007E2F9F" w:rsidP="006548F8">
            <w:pPr>
              <w:ind w:left="145" w:right="184"/>
              <w:jc w:val="center"/>
              <w:rPr>
                <w:rFonts w:ascii="Arial" w:hAnsi="Arial" w:cs="Arial"/>
                <w:b/>
                <w:sz w:val="18"/>
                <w:szCs w:val="18"/>
                <w:lang w:val="es-ES_tradnl"/>
              </w:rPr>
            </w:pPr>
            <w:r w:rsidRPr="008E61CD">
              <w:rPr>
                <w:rFonts w:ascii="Arial" w:hAnsi="Arial" w:cs="Arial"/>
                <w:b/>
                <w:sz w:val="18"/>
                <w:szCs w:val="18"/>
                <w:lang w:val="es-ES_tradnl"/>
              </w:rPr>
              <w:t>EJECUCIÓN</w:t>
            </w:r>
          </w:p>
          <w:p w14:paraId="39BE7ABF" w14:textId="77777777" w:rsidR="007E2F9F" w:rsidRPr="008E61CD" w:rsidRDefault="007E2F9F" w:rsidP="006548F8">
            <w:pPr>
              <w:ind w:right="34"/>
              <w:jc w:val="center"/>
              <w:rPr>
                <w:rFonts w:ascii="Arial" w:hAnsi="Arial" w:cs="Arial"/>
                <w:b/>
                <w:sz w:val="18"/>
                <w:szCs w:val="18"/>
                <w:lang w:val="es-ES_tradnl"/>
              </w:rPr>
            </w:pPr>
            <w:r w:rsidRPr="008E61CD">
              <w:rPr>
                <w:rFonts w:ascii="Arial" w:hAnsi="Arial" w:cs="Arial"/>
                <w:b/>
                <w:sz w:val="18"/>
                <w:szCs w:val="18"/>
                <w:lang w:val="es-ES_tradnl"/>
              </w:rPr>
              <w:t>COMPROMISOS</w:t>
            </w:r>
          </w:p>
          <w:p w14:paraId="5B77B86B" w14:textId="77777777" w:rsidR="007E2F9F" w:rsidRPr="008E61CD" w:rsidRDefault="007E2F9F" w:rsidP="006548F8">
            <w:pPr>
              <w:ind w:right="34"/>
              <w:jc w:val="center"/>
              <w:rPr>
                <w:rFonts w:ascii="Arial" w:hAnsi="Arial" w:cs="Arial"/>
                <w:b/>
                <w:sz w:val="18"/>
                <w:szCs w:val="18"/>
                <w:lang w:val="es-ES_tradnl"/>
              </w:rPr>
            </w:pPr>
            <w:r w:rsidRPr="008E61CD">
              <w:rPr>
                <w:rFonts w:ascii="Arial" w:hAnsi="Arial" w:cs="Arial"/>
                <w:b/>
                <w:sz w:val="18"/>
                <w:szCs w:val="18"/>
                <w:lang w:val="es-ES_tradnl"/>
              </w:rPr>
              <w:t>(2)</w:t>
            </w:r>
          </w:p>
        </w:tc>
        <w:tc>
          <w:tcPr>
            <w:tcW w:w="2249" w:type="dxa"/>
          </w:tcPr>
          <w:p w14:paraId="1AEAC235" w14:textId="77777777" w:rsidR="007E2F9F" w:rsidRPr="008E61CD" w:rsidRDefault="007E2F9F" w:rsidP="006548F8">
            <w:pPr>
              <w:ind w:left="25" w:right="34"/>
              <w:jc w:val="center"/>
              <w:rPr>
                <w:rFonts w:ascii="Arial" w:hAnsi="Arial" w:cs="Arial"/>
                <w:b/>
                <w:sz w:val="18"/>
                <w:szCs w:val="18"/>
                <w:lang w:val="es-ES_tradnl"/>
              </w:rPr>
            </w:pPr>
            <w:r w:rsidRPr="008E61CD">
              <w:rPr>
                <w:rFonts w:ascii="Arial" w:hAnsi="Arial" w:cs="Arial"/>
                <w:b/>
                <w:sz w:val="18"/>
                <w:szCs w:val="18"/>
                <w:lang w:val="es-ES_tradnl"/>
              </w:rPr>
              <w:t>PÉRDIDAS DE</w:t>
            </w:r>
          </w:p>
          <w:p w14:paraId="3B291CDB" w14:textId="77777777" w:rsidR="007E2F9F" w:rsidRPr="008E61CD" w:rsidRDefault="007E2F9F" w:rsidP="006548F8">
            <w:pPr>
              <w:ind w:right="34"/>
              <w:jc w:val="center"/>
              <w:rPr>
                <w:rFonts w:ascii="Arial" w:hAnsi="Arial" w:cs="Arial"/>
                <w:b/>
                <w:sz w:val="18"/>
                <w:szCs w:val="18"/>
                <w:lang w:val="es-ES_tradnl"/>
              </w:rPr>
            </w:pPr>
            <w:r w:rsidRPr="008E61CD">
              <w:rPr>
                <w:rFonts w:ascii="Arial" w:hAnsi="Arial" w:cs="Arial"/>
                <w:b/>
                <w:sz w:val="18"/>
                <w:szCs w:val="18"/>
                <w:lang w:val="es-ES_tradnl"/>
              </w:rPr>
              <w:t>APROPIACIÓN</w:t>
            </w:r>
          </w:p>
          <w:p w14:paraId="3344E0D7" w14:textId="77777777" w:rsidR="007E2F9F" w:rsidRPr="008E61CD" w:rsidRDefault="007E2F9F" w:rsidP="006548F8">
            <w:pPr>
              <w:ind w:right="34"/>
              <w:jc w:val="center"/>
              <w:rPr>
                <w:rFonts w:ascii="Arial" w:hAnsi="Arial" w:cs="Arial"/>
                <w:b/>
                <w:sz w:val="18"/>
                <w:szCs w:val="18"/>
                <w:lang w:val="es-ES_tradnl"/>
              </w:rPr>
            </w:pPr>
            <w:r w:rsidRPr="008E61CD">
              <w:rPr>
                <w:rFonts w:ascii="Arial" w:hAnsi="Arial" w:cs="Arial"/>
                <w:b/>
                <w:sz w:val="18"/>
                <w:szCs w:val="18"/>
                <w:lang w:val="es-ES_tradnl"/>
              </w:rPr>
              <w:t>3 = (1-2)</w:t>
            </w:r>
          </w:p>
        </w:tc>
      </w:tr>
      <w:tr w:rsidR="007E2F9F" w:rsidRPr="008E61CD" w14:paraId="640FD4DE" w14:textId="77777777" w:rsidTr="006548F8">
        <w:trPr>
          <w:trHeight w:val="230"/>
        </w:trPr>
        <w:tc>
          <w:tcPr>
            <w:tcW w:w="4161" w:type="dxa"/>
          </w:tcPr>
          <w:p w14:paraId="63AA182E" w14:textId="77777777" w:rsidR="007E2F9F" w:rsidRPr="008E61CD" w:rsidRDefault="007E2F9F" w:rsidP="006548F8">
            <w:pPr>
              <w:ind w:right="-1440"/>
              <w:jc w:val="both"/>
              <w:rPr>
                <w:rFonts w:ascii="Arial" w:hAnsi="Arial" w:cs="Arial"/>
                <w:b/>
                <w:sz w:val="18"/>
                <w:szCs w:val="18"/>
                <w:lang w:val="es-ES_tradnl"/>
              </w:rPr>
            </w:pPr>
            <w:r w:rsidRPr="008E61CD">
              <w:rPr>
                <w:rFonts w:ascii="Arial" w:hAnsi="Arial" w:cs="Arial"/>
                <w:b/>
                <w:sz w:val="18"/>
                <w:szCs w:val="18"/>
                <w:lang w:val="es-ES_tradnl"/>
              </w:rPr>
              <w:t>FUNCIONAMIENTO</w:t>
            </w:r>
          </w:p>
        </w:tc>
        <w:tc>
          <w:tcPr>
            <w:tcW w:w="2040" w:type="dxa"/>
          </w:tcPr>
          <w:p w14:paraId="0F6E9A38" w14:textId="77777777" w:rsidR="007E2F9F" w:rsidRPr="008E61CD" w:rsidRDefault="007E2F9F" w:rsidP="006548F8">
            <w:pPr>
              <w:jc w:val="right"/>
              <w:rPr>
                <w:rFonts w:ascii="Arial" w:eastAsia="Calibri" w:hAnsi="Arial" w:cs="Arial"/>
                <w:b/>
                <w:sz w:val="16"/>
                <w:szCs w:val="16"/>
                <w:lang w:val="es-CO"/>
              </w:rPr>
            </w:pPr>
            <w:r w:rsidRPr="008E61CD">
              <w:rPr>
                <w:rFonts w:ascii="Arial" w:eastAsia="Calibri" w:hAnsi="Arial" w:cs="Arial"/>
                <w:b/>
                <w:sz w:val="16"/>
                <w:szCs w:val="16"/>
                <w:lang w:val="es-CO"/>
              </w:rPr>
              <w:t>5.034.303</w:t>
            </w:r>
          </w:p>
        </w:tc>
        <w:tc>
          <w:tcPr>
            <w:tcW w:w="2040" w:type="dxa"/>
          </w:tcPr>
          <w:p w14:paraId="211F1356" w14:textId="77777777" w:rsidR="007E2F9F" w:rsidRPr="008E61CD" w:rsidRDefault="007E2F9F" w:rsidP="006548F8">
            <w:pPr>
              <w:pStyle w:val="Prrafodelista"/>
              <w:ind w:left="0"/>
              <w:jc w:val="right"/>
              <w:rPr>
                <w:rFonts w:ascii="Arial" w:hAnsi="Arial" w:cs="Arial"/>
                <w:b/>
                <w:sz w:val="16"/>
                <w:szCs w:val="16"/>
              </w:rPr>
            </w:pPr>
            <w:r w:rsidRPr="008E61CD">
              <w:rPr>
                <w:rFonts w:ascii="Arial" w:eastAsia="Calibri" w:hAnsi="Arial" w:cs="Arial"/>
                <w:b/>
                <w:sz w:val="16"/>
                <w:szCs w:val="16"/>
                <w:lang w:val="es-CO"/>
              </w:rPr>
              <w:t>5.021.048</w:t>
            </w:r>
          </w:p>
        </w:tc>
        <w:tc>
          <w:tcPr>
            <w:tcW w:w="2249" w:type="dxa"/>
          </w:tcPr>
          <w:p w14:paraId="40359E89" w14:textId="77777777" w:rsidR="007E2F9F" w:rsidRPr="008E61CD" w:rsidRDefault="007E2F9F" w:rsidP="006548F8">
            <w:pPr>
              <w:pStyle w:val="Prrafodelista"/>
              <w:ind w:left="0"/>
              <w:jc w:val="right"/>
              <w:rPr>
                <w:rFonts w:ascii="Arial" w:hAnsi="Arial" w:cs="Arial"/>
                <w:b/>
                <w:sz w:val="16"/>
                <w:szCs w:val="16"/>
              </w:rPr>
            </w:pPr>
            <w:r w:rsidRPr="008E61CD">
              <w:rPr>
                <w:rFonts w:ascii="Arial" w:hAnsi="Arial" w:cs="Arial"/>
                <w:b/>
                <w:sz w:val="16"/>
                <w:szCs w:val="16"/>
              </w:rPr>
              <w:t>13.254</w:t>
            </w:r>
          </w:p>
        </w:tc>
      </w:tr>
      <w:tr w:rsidR="007E2F9F" w:rsidRPr="008E61CD" w14:paraId="6D4A92DD" w14:textId="77777777" w:rsidTr="006548F8">
        <w:tc>
          <w:tcPr>
            <w:tcW w:w="4161" w:type="dxa"/>
          </w:tcPr>
          <w:p w14:paraId="4E664674" w14:textId="77777777" w:rsidR="007E2F9F" w:rsidRPr="008E61CD" w:rsidRDefault="007E2F9F" w:rsidP="006548F8">
            <w:pPr>
              <w:ind w:right="-1440"/>
              <w:jc w:val="both"/>
              <w:rPr>
                <w:rFonts w:ascii="Arial" w:hAnsi="Arial" w:cs="Arial"/>
                <w:b/>
                <w:sz w:val="18"/>
                <w:szCs w:val="18"/>
                <w:lang w:val="es-ES_tradnl"/>
              </w:rPr>
            </w:pPr>
            <w:r w:rsidRPr="008E61CD">
              <w:rPr>
                <w:rFonts w:ascii="Arial" w:hAnsi="Arial" w:cs="Arial"/>
                <w:b/>
                <w:sz w:val="18"/>
                <w:szCs w:val="18"/>
                <w:lang w:val="es-ES_tradnl"/>
              </w:rPr>
              <w:t>INVERSIÓN</w:t>
            </w:r>
          </w:p>
        </w:tc>
        <w:tc>
          <w:tcPr>
            <w:tcW w:w="2040" w:type="dxa"/>
          </w:tcPr>
          <w:p w14:paraId="44A9A901" w14:textId="77777777" w:rsidR="007E2F9F" w:rsidRPr="008E61CD" w:rsidRDefault="007E2F9F" w:rsidP="006548F8">
            <w:pPr>
              <w:pStyle w:val="Prrafodelista"/>
              <w:ind w:left="0"/>
              <w:jc w:val="right"/>
              <w:rPr>
                <w:rFonts w:ascii="Arial" w:hAnsi="Arial" w:cs="Arial"/>
                <w:b/>
                <w:sz w:val="16"/>
                <w:szCs w:val="16"/>
              </w:rPr>
            </w:pPr>
            <w:r w:rsidRPr="008E61CD">
              <w:rPr>
                <w:rFonts w:ascii="Arial" w:eastAsia="Calibri" w:hAnsi="Arial" w:cs="Arial"/>
                <w:b/>
                <w:sz w:val="16"/>
                <w:szCs w:val="16"/>
                <w:lang w:val="es-CO"/>
              </w:rPr>
              <w:t>4.877.923</w:t>
            </w:r>
          </w:p>
        </w:tc>
        <w:tc>
          <w:tcPr>
            <w:tcW w:w="2040" w:type="dxa"/>
          </w:tcPr>
          <w:p w14:paraId="3BC5758A" w14:textId="77777777" w:rsidR="007E2F9F" w:rsidRPr="008E61CD" w:rsidRDefault="007E2F9F" w:rsidP="006548F8">
            <w:pPr>
              <w:pStyle w:val="Prrafodelista"/>
              <w:ind w:left="0"/>
              <w:jc w:val="right"/>
              <w:rPr>
                <w:rFonts w:ascii="Arial" w:hAnsi="Arial" w:cs="Arial"/>
                <w:b/>
                <w:sz w:val="16"/>
                <w:szCs w:val="16"/>
              </w:rPr>
            </w:pPr>
            <w:r w:rsidRPr="008E61CD">
              <w:rPr>
                <w:rFonts w:ascii="Arial" w:eastAsia="Calibri" w:hAnsi="Arial" w:cs="Arial"/>
                <w:b/>
                <w:sz w:val="16"/>
                <w:szCs w:val="16"/>
                <w:lang w:val="es-CO"/>
              </w:rPr>
              <w:t>4.701.193</w:t>
            </w:r>
          </w:p>
        </w:tc>
        <w:tc>
          <w:tcPr>
            <w:tcW w:w="2249" w:type="dxa"/>
          </w:tcPr>
          <w:p w14:paraId="213AF15F" w14:textId="77777777" w:rsidR="007E2F9F" w:rsidRPr="008E61CD" w:rsidRDefault="007E2F9F" w:rsidP="006548F8">
            <w:pPr>
              <w:pStyle w:val="Prrafodelista"/>
              <w:ind w:left="0"/>
              <w:jc w:val="right"/>
              <w:rPr>
                <w:rFonts w:ascii="Arial" w:hAnsi="Arial" w:cs="Arial"/>
                <w:b/>
                <w:sz w:val="16"/>
                <w:szCs w:val="16"/>
              </w:rPr>
            </w:pPr>
            <w:r w:rsidRPr="008E61CD">
              <w:rPr>
                <w:rFonts w:ascii="Arial" w:hAnsi="Arial" w:cs="Arial"/>
                <w:b/>
                <w:sz w:val="16"/>
                <w:szCs w:val="16"/>
              </w:rPr>
              <w:t>176.730</w:t>
            </w:r>
          </w:p>
        </w:tc>
      </w:tr>
      <w:tr w:rsidR="007E2F9F" w:rsidRPr="008E61CD" w14:paraId="0B4E6851" w14:textId="77777777" w:rsidTr="006548F8">
        <w:tc>
          <w:tcPr>
            <w:tcW w:w="4161" w:type="dxa"/>
          </w:tcPr>
          <w:p w14:paraId="60F121D1" w14:textId="77777777" w:rsidR="007E2F9F" w:rsidRPr="008E61CD" w:rsidRDefault="007E2F9F" w:rsidP="006548F8">
            <w:pPr>
              <w:ind w:right="-1440"/>
              <w:jc w:val="both"/>
              <w:rPr>
                <w:rFonts w:ascii="Arial" w:hAnsi="Arial" w:cs="Arial"/>
                <w:b/>
                <w:sz w:val="18"/>
                <w:szCs w:val="18"/>
                <w:lang w:val="es-ES_tradnl"/>
              </w:rPr>
            </w:pPr>
            <w:r w:rsidRPr="008E61CD">
              <w:rPr>
                <w:rFonts w:ascii="Arial" w:hAnsi="Arial" w:cs="Arial"/>
                <w:b/>
                <w:sz w:val="18"/>
                <w:szCs w:val="18"/>
                <w:lang w:val="es-ES_tradnl"/>
              </w:rPr>
              <w:t>TOTAL PÉRDIDAS DE APROPIACIÓN</w:t>
            </w:r>
          </w:p>
        </w:tc>
        <w:tc>
          <w:tcPr>
            <w:tcW w:w="2040" w:type="dxa"/>
          </w:tcPr>
          <w:p w14:paraId="1DAB40BF" w14:textId="77777777" w:rsidR="007E2F9F" w:rsidRPr="008E61CD" w:rsidRDefault="007E2F9F" w:rsidP="006548F8">
            <w:pPr>
              <w:pStyle w:val="Prrafodelista"/>
              <w:ind w:left="0"/>
              <w:jc w:val="right"/>
              <w:rPr>
                <w:rFonts w:ascii="Arial" w:hAnsi="Arial" w:cs="Arial"/>
                <w:b/>
                <w:sz w:val="16"/>
                <w:szCs w:val="16"/>
                <w:u w:val="single"/>
              </w:rPr>
            </w:pPr>
            <w:r w:rsidRPr="008E61CD">
              <w:rPr>
                <w:rFonts w:ascii="Arial" w:eastAsia="Calibri" w:hAnsi="Arial" w:cs="Arial"/>
                <w:b/>
                <w:sz w:val="16"/>
                <w:szCs w:val="16"/>
                <w:lang w:val="es-CO"/>
              </w:rPr>
              <w:t>9.912.226</w:t>
            </w:r>
          </w:p>
        </w:tc>
        <w:tc>
          <w:tcPr>
            <w:tcW w:w="2040" w:type="dxa"/>
          </w:tcPr>
          <w:p w14:paraId="4DDF8F7D" w14:textId="77777777" w:rsidR="007E2F9F" w:rsidRPr="008E61CD" w:rsidRDefault="007E2F9F" w:rsidP="006548F8">
            <w:pPr>
              <w:pStyle w:val="Prrafodelista"/>
              <w:ind w:left="0"/>
              <w:jc w:val="right"/>
              <w:rPr>
                <w:rFonts w:ascii="Arial" w:hAnsi="Arial" w:cs="Arial"/>
                <w:b/>
                <w:sz w:val="16"/>
                <w:szCs w:val="16"/>
                <w:u w:val="single"/>
              </w:rPr>
            </w:pPr>
            <w:r w:rsidRPr="008E61CD">
              <w:rPr>
                <w:rFonts w:ascii="Arial" w:eastAsia="Calibri" w:hAnsi="Arial" w:cs="Arial"/>
                <w:b/>
                <w:sz w:val="16"/>
                <w:szCs w:val="16"/>
                <w:lang w:val="es-CO"/>
              </w:rPr>
              <w:t>9.722.241</w:t>
            </w:r>
          </w:p>
        </w:tc>
        <w:tc>
          <w:tcPr>
            <w:tcW w:w="2249" w:type="dxa"/>
          </w:tcPr>
          <w:p w14:paraId="14909FC8" w14:textId="77777777" w:rsidR="007E2F9F" w:rsidRPr="008E61CD" w:rsidRDefault="007E2F9F" w:rsidP="006548F8">
            <w:pPr>
              <w:pStyle w:val="Prrafodelista"/>
              <w:ind w:left="0"/>
              <w:jc w:val="right"/>
              <w:rPr>
                <w:rFonts w:ascii="Arial" w:hAnsi="Arial" w:cs="Arial"/>
                <w:b/>
                <w:sz w:val="16"/>
                <w:szCs w:val="16"/>
                <w:u w:val="single"/>
              </w:rPr>
            </w:pPr>
            <w:r w:rsidRPr="008E61CD">
              <w:rPr>
                <w:rFonts w:ascii="Arial" w:hAnsi="Arial" w:cs="Arial"/>
                <w:b/>
                <w:sz w:val="16"/>
                <w:szCs w:val="16"/>
                <w:u w:val="single"/>
              </w:rPr>
              <w:t>189.985</w:t>
            </w:r>
          </w:p>
        </w:tc>
      </w:tr>
    </w:tbl>
    <w:p w14:paraId="5A04A8CA" w14:textId="77777777" w:rsidR="007E2F9F" w:rsidRDefault="007E2F9F" w:rsidP="007E2F9F">
      <w:pPr>
        <w:ind w:left="-284" w:right="-234"/>
        <w:jc w:val="both"/>
        <w:rPr>
          <w:rFonts w:ascii="Arial" w:hAnsi="Arial" w:cs="Arial"/>
          <w:b/>
          <w:bCs/>
          <w:sz w:val="28"/>
          <w:szCs w:val="28"/>
        </w:rPr>
      </w:pPr>
    </w:p>
    <w:p w14:paraId="7FCC4484" w14:textId="77777777" w:rsidR="007E2F9F" w:rsidRPr="00951D28" w:rsidRDefault="007E2F9F" w:rsidP="007E2F9F">
      <w:pPr>
        <w:ind w:left="-284"/>
        <w:jc w:val="both"/>
        <w:rPr>
          <w:rFonts w:ascii="Arial" w:hAnsi="Arial" w:cs="Arial"/>
          <w:b/>
          <w:sz w:val="28"/>
          <w:szCs w:val="28"/>
          <w:lang w:val="es-MX"/>
        </w:rPr>
      </w:pPr>
      <w:r w:rsidRPr="00951D28">
        <w:rPr>
          <w:rFonts w:ascii="Arial" w:hAnsi="Arial" w:cs="Arial"/>
          <w:b/>
          <w:sz w:val="28"/>
          <w:szCs w:val="28"/>
          <w:lang w:val="es-MX"/>
        </w:rPr>
        <w:t>79.- MINISTERIO DEL DEPORTE.</w:t>
      </w:r>
    </w:p>
    <w:p w14:paraId="5A6D74D0" w14:textId="77777777" w:rsidR="007E2F9F" w:rsidRPr="00951D28" w:rsidRDefault="007E2F9F" w:rsidP="007E2F9F">
      <w:pPr>
        <w:ind w:left="-284" w:right="-234"/>
        <w:jc w:val="both"/>
        <w:rPr>
          <w:rFonts w:ascii="Arial" w:hAnsi="Arial" w:cs="Arial"/>
          <w:b/>
          <w:bCs/>
          <w:sz w:val="28"/>
          <w:szCs w:val="28"/>
        </w:rPr>
      </w:pPr>
    </w:p>
    <w:p w14:paraId="342728F4"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5D5AE6DD"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03579E68"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51D28" w14:paraId="5642C1D3" w14:textId="77777777" w:rsidTr="006548F8">
        <w:tc>
          <w:tcPr>
            <w:tcW w:w="3544" w:type="dxa"/>
          </w:tcPr>
          <w:p w14:paraId="5364A165" w14:textId="77777777" w:rsidR="007E2F9F" w:rsidRPr="00951D28" w:rsidRDefault="007E2F9F" w:rsidP="006548F8">
            <w:pPr>
              <w:ind w:left="1169" w:right="-1440"/>
              <w:rPr>
                <w:rFonts w:ascii="Arial" w:hAnsi="Arial" w:cs="Arial"/>
                <w:b/>
                <w:sz w:val="18"/>
                <w:szCs w:val="18"/>
                <w:lang w:val="es-ES_tradnl"/>
              </w:rPr>
            </w:pPr>
            <w:r w:rsidRPr="00951D28">
              <w:rPr>
                <w:rFonts w:ascii="Arial" w:hAnsi="Arial" w:cs="Arial"/>
                <w:b/>
                <w:sz w:val="18"/>
                <w:szCs w:val="18"/>
                <w:lang w:val="es-ES_tradnl"/>
              </w:rPr>
              <w:t>TIPO DE GASTO</w:t>
            </w:r>
          </w:p>
        </w:tc>
        <w:tc>
          <w:tcPr>
            <w:tcW w:w="2354" w:type="dxa"/>
          </w:tcPr>
          <w:p w14:paraId="56908093" w14:textId="77777777" w:rsidR="007E2F9F" w:rsidRPr="00951D28" w:rsidRDefault="007E2F9F" w:rsidP="006548F8">
            <w:pPr>
              <w:jc w:val="center"/>
              <w:rPr>
                <w:rFonts w:ascii="Arial" w:hAnsi="Arial" w:cs="Arial"/>
                <w:b/>
                <w:sz w:val="18"/>
                <w:szCs w:val="18"/>
                <w:lang w:val="es-ES_tradnl"/>
              </w:rPr>
            </w:pPr>
            <w:r w:rsidRPr="00951D28">
              <w:rPr>
                <w:rFonts w:ascii="Arial" w:hAnsi="Arial" w:cs="Arial"/>
                <w:b/>
                <w:sz w:val="18"/>
                <w:szCs w:val="18"/>
                <w:lang w:val="es-ES_tradnl"/>
              </w:rPr>
              <w:t>APROPIACIÓN</w:t>
            </w:r>
          </w:p>
          <w:p w14:paraId="00A15BED" w14:textId="77777777" w:rsidR="007E2F9F" w:rsidRPr="00951D28" w:rsidRDefault="007E2F9F" w:rsidP="006548F8">
            <w:pPr>
              <w:jc w:val="center"/>
              <w:rPr>
                <w:rFonts w:ascii="Arial" w:hAnsi="Arial" w:cs="Arial"/>
                <w:b/>
                <w:sz w:val="18"/>
                <w:szCs w:val="18"/>
                <w:lang w:val="es-ES_tradnl"/>
              </w:rPr>
            </w:pPr>
            <w:r w:rsidRPr="00951D28">
              <w:rPr>
                <w:rFonts w:ascii="Arial" w:hAnsi="Arial" w:cs="Arial"/>
                <w:b/>
                <w:sz w:val="18"/>
                <w:szCs w:val="18"/>
                <w:lang w:val="es-ES_tradnl"/>
              </w:rPr>
              <w:t>DEFINITIVA</w:t>
            </w:r>
          </w:p>
          <w:p w14:paraId="49504261" w14:textId="77777777" w:rsidR="007E2F9F" w:rsidRPr="00951D28" w:rsidRDefault="007E2F9F" w:rsidP="006548F8">
            <w:pPr>
              <w:jc w:val="center"/>
              <w:rPr>
                <w:rFonts w:ascii="Arial" w:hAnsi="Arial" w:cs="Arial"/>
                <w:b/>
                <w:sz w:val="18"/>
                <w:szCs w:val="18"/>
                <w:lang w:val="es-ES_tradnl"/>
              </w:rPr>
            </w:pPr>
            <w:r w:rsidRPr="00951D28">
              <w:rPr>
                <w:rFonts w:ascii="Arial" w:hAnsi="Arial" w:cs="Arial"/>
                <w:b/>
                <w:sz w:val="18"/>
                <w:szCs w:val="18"/>
                <w:lang w:val="es-ES_tradnl"/>
              </w:rPr>
              <w:t>(1)</w:t>
            </w:r>
          </w:p>
          <w:p w14:paraId="270F4E52" w14:textId="77777777" w:rsidR="007E2F9F" w:rsidRPr="00951D28" w:rsidRDefault="007E2F9F" w:rsidP="006548F8">
            <w:pPr>
              <w:jc w:val="center"/>
              <w:rPr>
                <w:rFonts w:ascii="Arial" w:hAnsi="Arial" w:cs="Arial"/>
                <w:b/>
                <w:sz w:val="18"/>
                <w:szCs w:val="18"/>
                <w:lang w:val="es-ES_tradnl"/>
              </w:rPr>
            </w:pPr>
          </w:p>
        </w:tc>
        <w:tc>
          <w:tcPr>
            <w:tcW w:w="2354" w:type="dxa"/>
          </w:tcPr>
          <w:p w14:paraId="113C5EE2" w14:textId="77777777" w:rsidR="007E2F9F" w:rsidRPr="00951D28" w:rsidRDefault="007E2F9F" w:rsidP="006548F8">
            <w:pPr>
              <w:ind w:left="145" w:right="184"/>
              <w:jc w:val="center"/>
              <w:rPr>
                <w:rFonts w:ascii="Arial" w:hAnsi="Arial" w:cs="Arial"/>
                <w:b/>
                <w:sz w:val="18"/>
                <w:szCs w:val="18"/>
                <w:lang w:val="es-ES_tradnl"/>
              </w:rPr>
            </w:pPr>
            <w:r w:rsidRPr="00951D28">
              <w:rPr>
                <w:rFonts w:ascii="Arial" w:hAnsi="Arial" w:cs="Arial"/>
                <w:b/>
                <w:sz w:val="18"/>
                <w:szCs w:val="18"/>
                <w:lang w:val="es-ES_tradnl"/>
              </w:rPr>
              <w:t>EJECUCIÓN</w:t>
            </w:r>
          </w:p>
          <w:p w14:paraId="5410B554" w14:textId="77777777" w:rsidR="007E2F9F" w:rsidRPr="00951D28" w:rsidRDefault="007E2F9F" w:rsidP="006548F8">
            <w:pPr>
              <w:ind w:right="34"/>
              <w:jc w:val="center"/>
              <w:rPr>
                <w:rFonts w:ascii="Arial" w:hAnsi="Arial" w:cs="Arial"/>
                <w:b/>
                <w:sz w:val="18"/>
                <w:szCs w:val="18"/>
                <w:lang w:val="es-ES_tradnl"/>
              </w:rPr>
            </w:pPr>
            <w:r w:rsidRPr="00951D28">
              <w:rPr>
                <w:rFonts w:ascii="Arial" w:hAnsi="Arial" w:cs="Arial"/>
                <w:b/>
                <w:sz w:val="18"/>
                <w:szCs w:val="18"/>
                <w:lang w:val="es-ES_tradnl"/>
              </w:rPr>
              <w:t>COMPROMISOS</w:t>
            </w:r>
          </w:p>
          <w:p w14:paraId="20093E52" w14:textId="77777777" w:rsidR="007E2F9F" w:rsidRPr="00951D28" w:rsidRDefault="007E2F9F" w:rsidP="006548F8">
            <w:pPr>
              <w:ind w:right="34"/>
              <w:jc w:val="center"/>
              <w:rPr>
                <w:rFonts w:ascii="Arial" w:hAnsi="Arial" w:cs="Arial"/>
                <w:b/>
                <w:sz w:val="18"/>
                <w:szCs w:val="18"/>
                <w:lang w:val="es-ES_tradnl"/>
              </w:rPr>
            </w:pPr>
            <w:r w:rsidRPr="00951D28">
              <w:rPr>
                <w:rFonts w:ascii="Arial" w:hAnsi="Arial" w:cs="Arial"/>
                <w:b/>
                <w:sz w:val="18"/>
                <w:szCs w:val="18"/>
                <w:lang w:val="es-ES_tradnl"/>
              </w:rPr>
              <w:t>(2)</w:t>
            </w:r>
          </w:p>
        </w:tc>
        <w:tc>
          <w:tcPr>
            <w:tcW w:w="2238" w:type="dxa"/>
          </w:tcPr>
          <w:p w14:paraId="1DA88B5C" w14:textId="77777777" w:rsidR="007E2F9F" w:rsidRPr="00951D28" w:rsidRDefault="007E2F9F" w:rsidP="006548F8">
            <w:pPr>
              <w:ind w:left="25" w:right="34"/>
              <w:jc w:val="center"/>
              <w:rPr>
                <w:rFonts w:ascii="Arial" w:hAnsi="Arial" w:cs="Arial"/>
                <w:b/>
                <w:sz w:val="18"/>
                <w:szCs w:val="18"/>
                <w:lang w:val="es-ES_tradnl"/>
              </w:rPr>
            </w:pPr>
            <w:r w:rsidRPr="00951D28">
              <w:rPr>
                <w:rFonts w:ascii="Arial" w:hAnsi="Arial" w:cs="Arial"/>
                <w:b/>
                <w:sz w:val="18"/>
                <w:szCs w:val="18"/>
                <w:lang w:val="es-ES_tradnl"/>
              </w:rPr>
              <w:t>PÉRDIDAS DE</w:t>
            </w:r>
          </w:p>
          <w:p w14:paraId="65F70B68" w14:textId="77777777" w:rsidR="007E2F9F" w:rsidRPr="00951D28" w:rsidRDefault="007E2F9F" w:rsidP="006548F8">
            <w:pPr>
              <w:ind w:right="34"/>
              <w:jc w:val="center"/>
              <w:rPr>
                <w:rFonts w:ascii="Arial" w:hAnsi="Arial" w:cs="Arial"/>
                <w:b/>
                <w:sz w:val="18"/>
                <w:szCs w:val="18"/>
                <w:lang w:val="es-ES_tradnl"/>
              </w:rPr>
            </w:pPr>
            <w:r w:rsidRPr="00951D28">
              <w:rPr>
                <w:rFonts w:ascii="Arial" w:hAnsi="Arial" w:cs="Arial"/>
                <w:b/>
                <w:sz w:val="18"/>
                <w:szCs w:val="18"/>
                <w:lang w:val="es-ES_tradnl"/>
              </w:rPr>
              <w:t>APROPIACIÓN</w:t>
            </w:r>
          </w:p>
          <w:p w14:paraId="517D7D75" w14:textId="77777777" w:rsidR="007E2F9F" w:rsidRPr="00951D28" w:rsidRDefault="007E2F9F" w:rsidP="006548F8">
            <w:pPr>
              <w:ind w:right="34"/>
              <w:jc w:val="center"/>
              <w:rPr>
                <w:rFonts w:ascii="Arial" w:hAnsi="Arial" w:cs="Arial"/>
                <w:b/>
                <w:sz w:val="18"/>
                <w:szCs w:val="18"/>
                <w:lang w:val="es-ES_tradnl"/>
              </w:rPr>
            </w:pPr>
            <w:r w:rsidRPr="00951D28">
              <w:rPr>
                <w:rFonts w:ascii="Arial" w:hAnsi="Arial" w:cs="Arial"/>
                <w:b/>
                <w:sz w:val="18"/>
                <w:szCs w:val="18"/>
                <w:lang w:val="es-ES_tradnl"/>
              </w:rPr>
              <w:t>3 = (1-2)</w:t>
            </w:r>
          </w:p>
        </w:tc>
      </w:tr>
      <w:tr w:rsidR="007E2F9F" w:rsidRPr="00951D28" w14:paraId="699BA45A" w14:textId="77777777" w:rsidTr="006548F8">
        <w:trPr>
          <w:trHeight w:val="230"/>
        </w:trPr>
        <w:tc>
          <w:tcPr>
            <w:tcW w:w="3544" w:type="dxa"/>
          </w:tcPr>
          <w:p w14:paraId="5A12B110" w14:textId="77777777" w:rsidR="007E2F9F" w:rsidRPr="00951D28" w:rsidRDefault="007E2F9F" w:rsidP="006548F8">
            <w:pPr>
              <w:ind w:right="-1440"/>
              <w:jc w:val="both"/>
              <w:rPr>
                <w:rFonts w:ascii="Arial" w:hAnsi="Arial" w:cs="Arial"/>
                <w:b/>
                <w:sz w:val="18"/>
                <w:szCs w:val="18"/>
                <w:lang w:val="es-ES_tradnl"/>
              </w:rPr>
            </w:pPr>
            <w:r w:rsidRPr="00951D28">
              <w:rPr>
                <w:rFonts w:ascii="Arial" w:hAnsi="Arial" w:cs="Arial"/>
                <w:b/>
                <w:sz w:val="18"/>
                <w:szCs w:val="18"/>
                <w:lang w:val="es-ES_tradnl"/>
              </w:rPr>
              <w:t>FUNCIONAMIENTO</w:t>
            </w:r>
          </w:p>
        </w:tc>
        <w:tc>
          <w:tcPr>
            <w:tcW w:w="2354" w:type="dxa"/>
          </w:tcPr>
          <w:p w14:paraId="1A1FA4DB" w14:textId="77777777" w:rsidR="007E2F9F" w:rsidRPr="00951D28" w:rsidRDefault="007E2F9F" w:rsidP="006548F8">
            <w:pPr>
              <w:jc w:val="right"/>
              <w:rPr>
                <w:rFonts w:ascii="Arial" w:eastAsia="Calibri" w:hAnsi="Arial" w:cs="Arial"/>
                <w:b/>
                <w:sz w:val="16"/>
                <w:szCs w:val="16"/>
                <w:lang w:val="es-CO"/>
              </w:rPr>
            </w:pPr>
            <w:r w:rsidRPr="00951D28">
              <w:rPr>
                <w:rFonts w:ascii="Arial" w:eastAsia="Calibri" w:hAnsi="Arial" w:cs="Arial"/>
                <w:b/>
                <w:bCs/>
                <w:lang w:val="es-CO"/>
              </w:rPr>
              <w:t>64.627.885.666.00</w:t>
            </w:r>
          </w:p>
        </w:tc>
        <w:tc>
          <w:tcPr>
            <w:tcW w:w="2354" w:type="dxa"/>
          </w:tcPr>
          <w:p w14:paraId="4B042A91" w14:textId="77777777" w:rsidR="007E2F9F" w:rsidRPr="00951D28" w:rsidRDefault="007E2F9F" w:rsidP="006548F8">
            <w:pPr>
              <w:pStyle w:val="Prrafodelista"/>
              <w:ind w:left="0"/>
              <w:jc w:val="right"/>
              <w:rPr>
                <w:rFonts w:ascii="Arial" w:hAnsi="Arial" w:cs="Arial"/>
                <w:b/>
                <w:sz w:val="16"/>
                <w:szCs w:val="16"/>
              </w:rPr>
            </w:pPr>
            <w:r w:rsidRPr="00951D28">
              <w:rPr>
                <w:rFonts w:ascii="Arial" w:eastAsia="Calibri" w:hAnsi="Arial" w:cs="Arial"/>
                <w:b/>
                <w:bCs/>
                <w:lang w:val="es-CO"/>
              </w:rPr>
              <w:t>62.416.143.123.80</w:t>
            </w:r>
          </w:p>
        </w:tc>
        <w:tc>
          <w:tcPr>
            <w:tcW w:w="2238" w:type="dxa"/>
          </w:tcPr>
          <w:p w14:paraId="79E1E1AD" w14:textId="77777777" w:rsidR="007E2F9F" w:rsidRPr="00951D28" w:rsidRDefault="007E2F9F" w:rsidP="006548F8">
            <w:pPr>
              <w:pStyle w:val="Prrafodelista"/>
              <w:ind w:left="0"/>
              <w:jc w:val="right"/>
              <w:rPr>
                <w:rFonts w:ascii="Arial" w:hAnsi="Arial" w:cs="Arial"/>
                <w:b/>
                <w:sz w:val="16"/>
                <w:szCs w:val="16"/>
              </w:rPr>
            </w:pPr>
            <w:r w:rsidRPr="00951D28">
              <w:rPr>
                <w:rFonts w:ascii="Arial" w:hAnsi="Arial" w:cs="Arial"/>
                <w:b/>
              </w:rPr>
              <w:t>2.211.742.542.20</w:t>
            </w:r>
          </w:p>
        </w:tc>
      </w:tr>
      <w:tr w:rsidR="007E2F9F" w:rsidRPr="00951D28" w14:paraId="5D74E985" w14:textId="77777777" w:rsidTr="006548F8">
        <w:tc>
          <w:tcPr>
            <w:tcW w:w="3544" w:type="dxa"/>
          </w:tcPr>
          <w:p w14:paraId="12FD104D" w14:textId="77777777" w:rsidR="007E2F9F" w:rsidRPr="00951D28" w:rsidRDefault="007E2F9F" w:rsidP="006548F8">
            <w:pPr>
              <w:ind w:right="-1440"/>
              <w:jc w:val="both"/>
              <w:rPr>
                <w:rFonts w:ascii="Arial" w:hAnsi="Arial" w:cs="Arial"/>
                <w:b/>
                <w:sz w:val="18"/>
                <w:szCs w:val="18"/>
                <w:lang w:val="es-ES_tradnl"/>
              </w:rPr>
            </w:pPr>
            <w:r w:rsidRPr="00951D28">
              <w:rPr>
                <w:rFonts w:ascii="Arial" w:hAnsi="Arial" w:cs="Arial"/>
                <w:b/>
                <w:sz w:val="18"/>
                <w:szCs w:val="18"/>
                <w:lang w:val="es-ES_tradnl"/>
              </w:rPr>
              <w:t>INVERSIÓN</w:t>
            </w:r>
          </w:p>
        </w:tc>
        <w:tc>
          <w:tcPr>
            <w:tcW w:w="2354" w:type="dxa"/>
          </w:tcPr>
          <w:p w14:paraId="11671A44" w14:textId="77777777" w:rsidR="007E2F9F" w:rsidRPr="00951D28" w:rsidRDefault="007E2F9F" w:rsidP="006548F8">
            <w:pPr>
              <w:pStyle w:val="Prrafodelista"/>
              <w:ind w:left="0"/>
              <w:jc w:val="right"/>
              <w:rPr>
                <w:rFonts w:ascii="Arial" w:hAnsi="Arial" w:cs="Arial"/>
                <w:b/>
                <w:sz w:val="16"/>
                <w:szCs w:val="16"/>
              </w:rPr>
            </w:pPr>
            <w:r w:rsidRPr="00951D28">
              <w:rPr>
                <w:rFonts w:ascii="Arial" w:eastAsia="Calibri" w:hAnsi="Arial" w:cs="Arial"/>
                <w:b/>
                <w:bCs/>
                <w:lang w:val="es-CO"/>
              </w:rPr>
              <w:t>994.038.873.889.23</w:t>
            </w:r>
          </w:p>
        </w:tc>
        <w:tc>
          <w:tcPr>
            <w:tcW w:w="2354" w:type="dxa"/>
          </w:tcPr>
          <w:p w14:paraId="3B675056" w14:textId="77777777" w:rsidR="007E2F9F" w:rsidRPr="00951D28" w:rsidRDefault="007E2F9F" w:rsidP="006548F8">
            <w:pPr>
              <w:pStyle w:val="Prrafodelista"/>
              <w:ind w:left="0"/>
              <w:jc w:val="right"/>
              <w:rPr>
                <w:rFonts w:ascii="Arial" w:hAnsi="Arial" w:cs="Arial"/>
                <w:b/>
                <w:sz w:val="16"/>
                <w:szCs w:val="16"/>
              </w:rPr>
            </w:pPr>
            <w:r w:rsidRPr="00951D28">
              <w:rPr>
                <w:rFonts w:ascii="Arial" w:eastAsia="Calibri" w:hAnsi="Arial" w:cs="Arial"/>
                <w:b/>
                <w:bCs/>
                <w:lang w:val="es-CO"/>
              </w:rPr>
              <w:t>929.657.622.366.39</w:t>
            </w:r>
          </w:p>
        </w:tc>
        <w:tc>
          <w:tcPr>
            <w:tcW w:w="2238" w:type="dxa"/>
          </w:tcPr>
          <w:p w14:paraId="0581BE79" w14:textId="77777777" w:rsidR="007E2F9F" w:rsidRPr="00951D28" w:rsidRDefault="007E2F9F" w:rsidP="006548F8">
            <w:pPr>
              <w:pStyle w:val="Prrafodelista"/>
              <w:ind w:left="0"/>
              <w:jc w:val="right"/>
              <w:rPr>
                <w:rFonts w:ascii="Arial" w:hAnsi="Arial" w:cs="Arial"/>
                <w:b/>
                <w:sz w:val="16"/>
                <w:szCs w:val="16"/>
              </w:rPr>
            </w:pPr>
            <w:r w:rsidRPr="00951D28">
              <w:rPr>
                <w:rFonts w:ascii="Arial" w:hAnsi="Arial" w:cs="Arial"/>
                <w:b/>
              </w:rPr>
              <w:t>64.381.251.522.84</w:t>
            </w:r>
          </w:p>
        </w:tc>
      </w:tr>
      <w:tr w:rsidR="007E2F9F" w:rsidRPr="00951D28" w14:paraId="333BC141" w14:textId="77777777" w:rsidTr="006548F8">
        <w:tc>
          <w:tcPr>
            <w:tcW w:w="3544" w:type="dxa"/>
          </w:tcPr>
          <w:p w14:paraId="692F6AAE" w14:textId="77777777" w:rsidR="007E2F9F" w:rsidRPr="00951D28" w:rsidRDefault="007E2F9F" w:rsidP="006548F8">
            <w:pPr>
              <w:ind w:right="-1440"/>
              <w:jc w:val="both"/>
              <w:rPr>
                <w:rFonts w:ascii="Arial" w:hAnsi="Arial" w:cs="Arial"/>
                <w:b/>
                <w:sz w:val="18"/>
                <w:szCs w:val="18"/>
                <w:lang w:val="es-ES_tradnl"/>
              </w:rPr>
            </w:pPr>
            <w:r w:rsidRPr="00951D28">
              <w:rPr>
                <w:rFonts w:ascii="Arial" w:hAnsi="Arial" w:cs="Arial"/>
                <w:b/>
                <w:sz w:val="18"/>
                <w:szCs w:val="18"/>
                <w:lang w:val="es-ES_tradnl"/>
              </w:rPr>
              <w:t>TOTAL PÉRDIDAS DE APROPIACIÓN</w:t>
            </w:r>
          </w:p>
        </w:tc>
        <w:tc>
          <w:tcPr>
            <w:tcW w:w="2354" w:type="dxa"/>
          </w:tcPr>
          <w:p w14:paraId="5B1C8D78" w14:textId="77777777" w:rsidR="007E2F9F" w:rsidRPr="00951D28" w:rsidRDefault="007E2F9F" w:rsidP="006548F8">
            <w:pPr>
              <w:pStyle w:val="Prrafodelista"/>
              <w:ind w:left="0"/>
              <w:jc w:val="right"/>
              <w:rPr>
                <w:rFonts w:ascii="Arial" w:hAnsi="Arial" w:cs="Arial"/>
                <w:b/>
                <w:sz w:val="16"/>
                <w:szCs w:val="16"/>
                <w:u w:val="single"/>
              </w:rPr>
            </w:pPr>
            <w:r w:rsidRPr="00951D28">
              <w:rPr>
                <w:rFonts w:ascii="Arial" w:eastAsia="Calibri" w:hAnsi="Arial" w:cs="Arial"/>
                <w:b/>
                <w:lang w:val="es-CO"/>
              </w:rPr>
              <w:t>1.058.666.759.555.23</w:t>
            </w:r>
          </w:p>
        </w:tc>
        <w:tc>
          <w:tcPr>
            <w:tcW w:w="2354" w:type="dxa"/>
          </w:tcPr>
          <w:p w14:paraId="716C22E3" w14:textId="77777777" w:rsidR="007E2F9F" w:rsidRPr="00951D28" w:rsidRDefault="007E2F9F" w:rsidP="006548F8">
            <w:pPr>
              <w:pStyle w:val="Prrafodelista"/>
              <w:ind w:left="0"/>
              <w:jc w:val="right"/>
              <w:rPr>
                <w:rFonts w:ascii="Arial" w:hAnsi="Arial" w:cs="Arial"/>
                <w:b/>
                <w:sz w:val="16"/>
                <w:szCs w:val="16"/>
                <w:u w:val="single"/>
              </w:rPr>
            </w:pPr>
            <w:r w:rsidRPr="00951D28">
              <w:rPr>
                <w:rFonts w:ascii="Arial" w:eastAsia="Calibri" w:hAnsi="Arial" w:cs="Arial"/>
                <w:b/>
                <w:lang w:val="es-CO"/>
              </w:rPr>
              <w:t>992.073.765.490.19</w:t>
            </w:r>
          </w:p>
        </w:tc>
        <w:tc>
          <w:tcPr>
            <w:tcW w:w="2238" w:type="dxa"/>
          </w:tcPr>
          <w:p w14:paraId="5C8346B0" w14:textId="77777777" w:rsidR="007E2F9F" w:rsidRPr="00951D28" w:rsidRDefault="007E2F9F" w:rsidP="006548F8">
            <w:pPr>
              <w:pStyle w:val="Prrafodelista"/>
              <w:ind w:left="0"/>
              <w:jc w:val="right"/>
              <w:rPr>
                <w:rFonts w:ascii="Arial" w:hAnsi="Arial" w:cs="Arial"/>
                <w:b/>
                <w:sz w:val="16"/>
                <w:szCs w:val="16"/>
                <w:u w:val="single"/>
              </w:rPr>
            </w:pPr>
            <w:r w:rsidRPr="00951D28">
              <w:rPr>
                <w:rFonts w:ascii="Arial" w:hAnsi="Arial" w:cs="Arial"/>
                <w:b/>
                <w:u w:val="single"/>
              </w:rPr>
              <w:t>66.592.994.065.04</w:t>
            </w:r>
          </w:p>
        </w:tc>
      </w:tr>
    </w:tbl>
    <w:p w14:paraId="1671A2FF" w14:textId="77777777" w:rsidR="007E2F9F" w:rsidRDefault="007E2F9F" w:rsidP="007E2F9F">
      <w:pPr>
        <w:ind w:left="-284" w:right="-234"/>
        <w:jc w:val="both"/>
        <w:rPr>
          <w:rFonts w:ascii="Arial" w:hAnsi="Arial" w:cs="Arial"/>
          <w:b/>
          <w:bCs/>
          <w:sz w:val="28"/>
          <w:szCs w:val="28"/>
        </w:rPr>
      </w:pPr>
    </w:p>
    <w:p w14:paraId="2086D5F3" w14:textId="77777777" w:rsidR="007E2F9F" w:rsidRPr="00951D28" w:rsidRDefault="007E2F9F" w:rsidP="007E2F9F">
      <w:pPr>
        <w:tabs>
          <w:tab w:val="left" w:pos="875"/>
        </w:tabs>
        <w:ind w:left="-284" w:right="157"/>
        <w:rPr>
          <w:rFonts w:ascii="Arial" w:hAnsi="Arial" w:cs="Arial"/>
          <w:bCs/>
          <w:sz w:val="24"/>
        </w:rPr>
      </w:pPr>
      <w:r w:rsidRPr="00951D28">
        <w:rPr>
          <w:rFonts w:ascii="Arial" w:hAnsi="Arial" w:cs="Arial"/>
          <w:b/>
          <w:sz w:val="24"/>
        </w:rPr>
        <w:t xml:space="preserve">NOTA. </w:t>
      </w:r>
      <w:r w:rsidRPr="00951D28">
        <w:rPr>
          <w:rFonts w:ascii="Arial" w:hAnsi="Arial" w:cs="Arial"/>
          <w:bCs/>
          <w:sz w:val="24"/>
        </w:rPr>
        <w:t>Cifras presentadas en pesos.</w:t>
      </w:r>
    </w:p>
    <w:p w14:paraId="4687629F" w14:textId="77777777" w:rsidR="007E2F9F" w:rsidRDefault="007E2F9F" w:rsidP="007E2F9F">
      <w:pPr>
        <w:ind w:left="-284" w:right="-234"/>
        <w:jc w:val="both"/>
        <w:rPr>
          <w:rFonts w:ascii="Arial" w:hAnsi="Arial" w:cs="Arial"/>
          <w:b/>
          <w:sz w:val="24"/>
        </w:rPr>
      </w:pPr>
      <w:r w:rsidRPr="00253E61">
        <w:rPr>
          <w:rFonts w:ascii="Arial" w:hAnsi="Arial" w:cs="Arial"/>
          <w:b/>
          <w:sz w:val="28"/>
          <w:szCs w:val="28"/>
        </w:rPr>
        <w:lastRenderedPageBreak/>
        <w:t>80.- UNIDAD ADMINISTRATIVA ESPECIAL DE ALIMENTACIÓN ESCOLAR - ALIMENTOS PARA APRENDER</w:t>
      </w:r>
      <w:r w:rsidRPr="00253E61">
        <w:rPr>
          <w:rFonts w:ascii="Arial" w:hAnsi="Arial" w:cs="Arial"/>
          <w:b/>
          <w:sz w:val="24"/>
        </w:rPr>
        <w:t xml:space="preserve">. </w:t>
      </w:r>
    </w:p>
    <w:p w14:paraId="52DF4880" w14:textId="77777777" w:rsidR="007E2F9F" w:rsidRDefault="007E2F9F" w:rsidP="007E2F9F">
      <w:pPr>
        <w:ind w:left="-284" w:right="-234"/>
        <w:jc w:val="both"/>
        <w:rPr>
          <w:rFonts w:ascii="Arial" w:hAnsi="Arial" w:cs="Arial"/>
          <w:b/>
          <w:sz w:val="24"/>
        </w:rPr>
      </w:pPr>
    </w:p>
    <w:p w14:paraId="5AED2F10"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58336D7A"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47FBB40A"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07C8C" w14:paraId="27C9DE82" w14:textId="77777777" w:rsidTr="006548F8">
        <w:tc>
          <w:tcPr>
            <w:tcW w:w="3544" w:type="dxa"/>
          </w:tcPr>
          <w:p w14:paraId="1E36D1DB" w14:textId="77777777" w:rsidR="007E2F9F" w:rsidRPr="00C07C8C" w:rsidRDefault="007E2F9F" w:rsidP="006548F8">
            <w:pPr>
              <w:ind w:left="1169" w:right="-1440"/>
              <w:rPr>
                <w:rFonts w:ascii="Arial" w:hAnsi="Arial" w:cs="Arial"/>
                <w:b/>
                <w:sz w:val="18"/>
                <w:szCs w:val="18"/>
                <w:lang w:val="es-ES_tradnl"/>
              </w:rPr>
            </w:pPr>
            <w:r w:rsidRPr="00C07C8C">
              <w:rPr>
                <w:rFonts w:ascii="Arial" w:hAnsi="Arial" w:cs="Arial"/>
                <w:b/>
                <w:sz w:val="18"/>
                <w:szCs w:val="18"/>
                <w:lang w:val="es-ES_tradnl"/>
              </w:rPr>
              <w:t>TIPO DE GASTO</w:t>
            </w:r>
          </w:p>
        </w:tc>
        <w:tc>
          <w:tcPr>
            <w:tcW w:w="2354" w:type="dxa"/>
          </w:tcPr>
          <w:p w14:paraId="381D7974" w14:textId="77777777" w:rsidR="007E2F9F" w:rsidRPr="00C07C8C" w:rsidRDefault="007E2F9F" w:rsidP="006548F8">
            <w:pPr>
              <w:jc w:val="center"/>
              <w:rPr>
                <w:rFonts w:ascii="Arial" w:hAnsi="Arial" w:cs="Arial"/>
                <w:b/>
                <w:sz w:val="18"/>
                <w:szCs w:val="18"/>
                <w:lang w:val="es-ES_tradnl"/>
              </w:rPr>
            </w:pPr>
            <w:r w:rsidRPr="00C07C8C">
              <w:rPr>
                <w:rFonts w:ascii="Arial" w:hAnsi="Arial" w:cs="Arial"/>
                <w:b/>
                <w:sz w:val="18"/>
                <w:szCs w:val="18"/>
                <w:lang w:val="es-ES_tradnl"/>
              </w:rPr>
              <w:t>APROPIACIÓN</w:t>
            </w:r>
          </w:p>
          <w:p w14:paraId="5DC92823" w14:textId="77777777" w:rsidR="007E2F9F" w:rsidRPr="00C07C8C" w:rsidRDefault="007E2F9F" w:rsidP="006548F8">
            <w:pPr>
              <w:jc w:val="center"/>
              <w:rPr>
                <w:rFonts w:ascii="Arial" w:hAnsi="Arial" w:cs="Arial"/>
                <w:b/>
                <w:sz w:val="18"/>
                <w:szCs w:val="18"/>
                <w:lang w:val="es-ES_tradnl"/>
              </w:rPr>
            </w:pPr>
            <w:r w:rsidRPr="00C07C8C">
              <w:rPr>
                <w:rFonts w:ascii="Arial" w:hAnsi="Arial" w:cs="Arial"/>
                <w:b/>
                <w:sz w:val="18"/>
                <w:szCs w:val="18"/>
                <w:lang w:val="es-ES_tradnl"/>
              </w:rPr>
              <w:t>DEFINITIVA</w:t>
            </w:r>
          </w:p>
          <w:p w14:paraId="0915AE1F" w14:textId="77777777" w:rsidR="007E2F9F" w:rsidRPr="00C07C8C" w:rsidRDefault="007E2F9F" w:rsidP="006548F8">
            <w:pPr>
              <w:jc w:val="center"/>
              <w:rPr>
                <w:rFonts w:ascii="Arial" w:hAnsi="Arial" w:cs="Arial"/>
                <w:b/>
                <w:sz w:val="18"/>
                <w:szCs w:val="18"/>
                <w:lang w:val="es-ES_tradnl"/>
              </w:rPr>
            </w:pPr>
            <w:r w:rsidRPr="00C07C8C">
              <w:rPr>
                <w:rFonts w:ascii="Arial" w:hAnsi="Arial" w:cs="Arial"/>
                <w:b/>
                <w:sz w:val="18"/>
                <w:szCs w:val="18"/>
                <w:lang w:val="es-ES_tradnl"/>
              </w:rPr>
              <w:t>(1)</w:t>
            </w:r>
          </w:p>
          <w:p w14:paraId="1FC581DA" w14:textId="77777777" w:rsidR="007E2F9F" w:rsidRPr="00C07C8C" w:rsidRDefault="007E2F9F" w:rsidP="006548F8">
            <w:pPr>
              <w:jc w:val="center"/>
              <w:rPr>
                <w:rFonts w:ascii="Arial" w:hAnsi="Arial" w:cs="Arial"/>
                <w:b/>
                <w:sz w:val="18"/>
                <w:szCs w:val="18"/>
                <w:lang w:val="es-ES_tradnl"/>
              </w:rPr>
            </w:pPr>
          </w:p>
        </w:tc>
        <w:tc>
          <w:tcPr>
            <w:tcW w:w="2354" w:type="dxa"/>
          </w:tcPr>
          <w:p w14:paraId="77135093" w14:textId="77777777" w:rsidR="007E2F9F" w:rsidRPr="00C07C8C" w:rsidRDefault="007E2F9F" w:rsidP="006548F8">
            <w:pPr>
              <w:ind w:left="145" w:right="184"/>
              <w:jc w:val="center"/>
              <w:rPr>
                <w:rFonts w:ascii="Arial" w:hAnsi="Arial" w:cs="Arial"/>
                <w:b/>
                <w:sz w:val="18"/>
                <w:szCs w:val="18"/>
                <w:lang w:val="es-ES_tradnl"/>
              </w:rPr>
            </w:pPr>
            <w:r w:rsidRPr="00C07C8C">
              <w:rPr>
                <w:rFonts w:ascii="Arial" w:hAnsi="Arial" w:cs="Arial"/>
                <w:b/>
                <w:sz w:val="18"/>
                <w:szCs w:val="18"/>
                <w:lang w:val="es-ES_tradnl"/>
              </w:rPr>
              <w:t>EJECUCIÓN</w:t>
            </w:r>
          </w:p>
          <w:p w14:paraId="3B070313" w14:textId="77777777" w:rsidR="007E2F9F" w:rsidRPr="00C07C8C" w:rsidRDefault="007E2F9F" w:rsidP="006548F8">
            <w:pPr>
              <w:ind w:right="34"/>
              <w:jc w:val="center"/>
              <w:rPr>
                <w:rFonts w:ascii="Arial" w:hAnsi="Arial" w:cs="Arial"/>
                <w:b/>
                <w:sz w:val="18"/>
                <w:szCs w:val="18"/>
                <w:lang w:val="es-ES_tradnl"/>
              </w:rPr>
            </w:pPr>
            <w:r w:rsidRPr="00C07C8C">
              <w:rPr>
                <w:rFonts w:ascii="Arial" w:hAnsi="Arial" w:cs="Arial"/>
                <w:b/>
                <w:sz w:val="18"/>
                <w:szCs w:val="18"/>
                <w:lang w:val="es-ES_tradnl"/>
              </w:rPr>
              <w:t>COMPROMISOS</w:t>
            </w:r>
          </w:p>
          <w:p w14:paraId="170DCA7E" w14:textId="77777777" w:rsidR="007E2F9F" w:rsidRPr="00C07C8C" w:rsidRDefault="007E2F9F" w:rsidP="006548F8">
            <w:pPr>
              <w:ind w:right="34"/>
              <w:jc w:val="center"/>
              <w:rPr>
                <w:rFonts w:ascii="Arial" w:hAnsi="Arial" w:cs="Arial"/>
                <w:b/>
                <w:sz w:val="18"/>
                <w:szCs w:val="18"/>
                <w:lang w:val="es-ES_tradnl"/>
              </w:rPr>
            </w:pPr>
            <w:r w:rsidRPr="00C07C8C">
              <w:rPr>
                <w:rFonts w:ascii="Arial" w:hAnsi="Arial" w:cs="Arial"/>
                <w:b/>
                <w:sz w:val="18"/>
                <w:szCs w:val="18"/>
                <w:lang w:val="es-ES_tradnl"/>
              </w:rPr>
              <w:t>(2)</w:t>
            </w:r>
          </w:p>
        </w:tc>
        <w:tc>
          <w:tcPr>
            <w:tcW w:w="2238" w:type="dxa"/>
          </w:tcPr>
          <w:p w14:paraId="071E0E68" w14:textId="77777777" w:rsidR="007E2F9F" w:rsidRPr="00C07C8C" w:rsidRDefault="007E2F9F" w:rsidP="006548F8">
            <w:pPr>
              <w:ind w:left="25" w:right="34"/>
              <w:jc w:val="center"/>
              <w:rPr>
                <w:rFonts w:ascii="Arial" w:hAnsi="Arial" w:cs="Arial"/>
                <w:b/>
                <w:sz w:val="18"/>
                <w:szCs w:val="18"/>
                <w:lang w:val="es-ES_tradnl"/>
              </w:rPr>
            </w:pPr>
            <w:r w:rsidRPr="00C07C8C">
              <w:rPr>
                <w:rFonts w:ascii="Arial" w:hAnsi="Arial" w:cs="Arial"/>
                <w:b/>
                <w:sz w:val="18"/>
                <w:szCs w:val="18"/>
                <w:lang w:val="es-ES_tradnl"/>
              </w:rPr>
              <w:t>PÉRDIDAS DE</w:t>
            </w:r>
          </w:p>
          <w:p w14:paraId="271B5BF6" w14:textId="77777777" w:rsidR="007E2F9F" w:rsidRPr="00C07C8C" w:rsidRDefault="007E2F9F" w:rsidP="006548F8">
            <w:pPr>
              <w:ind w:right="34"/>
              <w:jc w:val="center"/>
              <w:rPr>
                <w:rFonts w:ascii="Arial" w:hAnsi="Arial" w:cs="Arial"/>
                <w:b/>
                <w:sz w:val="18"/>
                <w:szCs w:val="18"/>
                <w:lang w:val="es-ES_tradnl"/>
              </w:rPr>
            </w:pPr>
            <w:r w:rsidRPr="00C07C8C">
              <w:rPr>
                <w:rFonts w:ascii="Arial" w:hAnsi="Arial" w:cs="Arial"/>
                <w:b/>
                <w:sz w:val="18"/>
                <w:szCs w:val="18"/>
                <w:lang w:val="es-ES_tradnl"/>
              </w:rPr>
              <w:t>APROPIACIÓN</w:t>
            </w:r>
          </w:p>
          <w:p w14:paraId="5FA3BE56" w14:textId="77777777" w:rsidR="007E2F9F" w:rsidRPr="00C07C8C" w:rsidRDefault="007E2F9F" w:rsidP="006548F8">
            <w:pPr>
              <w:ind w:right="34"/>
              <w:jc w:val="center"/>
              <w:rPr>
                <w:rFonts w:ascii="Arial" w:hAnsi="Arial" w:cs="Arial"/>
                <w:b/>
                <w:sz w:val="18"/>
                <w:szCs w:val="18"/>
                <w:lang w:val="es-ES_tradnl"/>
              </w:rPr>
            </w:pPr>
            <w:r w:rsidRPr="00C07C8C">
              <w:rPr>
                <w:rFonts w:ascii="Arial" w:hAnsi="Arial" w:cs="Arial"/>
                <w:b/>
                <w:sz w:val="18"/>
                <w:szCs w:val="18"/>
                <w:lang w:val="es-ES_tradnl"/>
              </w:rPr>
              <w:t>3 = (1-2)</w:t>
            </w:r>
          </w:p>
        </w:tc>
      </w:tr>
      <w:tr w:rsidR="007E2F9F" w:rsidRPr="00C07C8C" w14:paraId="4DE2A334" w14:textId="77777777" w:rsidTr="006548F8">
        <w:trPr>
          <w:trHeight w:val="230"/>
        </w:trPr>
        <w:tc>
          <w:tcPr>
            <w:tcW w:w="3544" w:type="dxa"/>
          </w:tcPr>
          <w:p w14:paraId="0669DEF9" w14:textId="77777777" w:rsidR="007E2F9F" w:rsidRPr="00C07C8C" w:rsidRDefault="007E2F9F" w:rsidP="006548F8">
            <w:pPr>
              <w:ind w:right="-1440"/>
              <w:jc w:val="both"/>
              <w:rPr>
                <w:rFonts w:ascii="Arial" w:hAnsi="Arial" w:cs="Arial"/>
                <w:b/>
                <w:sz w:val="18"/>
                <w:szCs w:val="18"/>
                <w:lang w:val="es-ES_tradnl"/>
              </w:rPr>
            </w:pPr>
            <w:r w:rsidRPr="00C07C8C">
              <w:rPr>
                <w:rFonts w:ascii="Arial" w:hAnsi="Arial" w:cs="Arial"/>
                <w:b/>
                <w:sz w:val="18"/>
                <w:szCs w:val="18"/>
                <w:lang w:val="es-ES_tradnl"/>
              </w:rPr>
              <w:t>FUNCIONAMIENTO</w:t>
            </w:r>
          </w:p>
        </w:tc>
        <w:tc>
          <w:tcPr>
            <w:tcW w:w="2354" w:type="dxa"/>
            <w:vAlign w:val="center"/>
          </w:tcPr>
          <w:p w14:paraId="269B9D59" w14:textId="77777777" w:rsidR="007E2F9F" w:rsidRPr="00C07C8C" w:rsidRDefault="007E2F9F" w:rsidP="006548F8">
            <w:pPr>
              <w:jc w:val="right"/>
              <w:rPr>
                <w:rFonts w:ascii="Arial" w:eastAsia="Calibri" w:hAnsi="Arial" w:cs="Arial"/>
                <w:b/>
                <w:sz w:val="16"/>
                <w:szCs w:val="16"/>
                <w:lang w:val="es-CO"/>
              </w:rPr>
            </w:pPr>
            <w:r w:rsidRPr="00C07C8C">
              <w:rPr>
                <w:rFonts w:ascii="Arial" w:hAnsi="Arial" w:cs="Arial"/>
                <w:b/>
                <w:bCs/>
                <w:color w:val="000000" w:themeColor="text1"/>
                <w:sz w:val="18"/>
                <w:szCs w:val="18"/>
              </w:rPr>
              <w:t>15.817.624</w:t>
            </w:r>
          </w:p>
        </w:tc>
        <w:tc>
          <w:tcPr>
            <w:tcW w:w="2354" w:type="dxa"/>
            <w:vAlign w:val="center"/>
          </w:tcPr>
          <w:p w14:paraId="3AF01D39" w14:textId="77777777" w:rsidR="007E2F9F" w:rsidRPr="00C07C8C" w:rsidRDefault="007E2F9F" w:rsidP="006548F8">
            <w:pPr>
              <w:pStyle w:val="Prrafodelista"/>
              <w:ind w:left="0"/>
              <w:jc w:val="right"/>
              <w:rPr>
                <w:rFonts w:ascii="Arial" w:hAnsi="Arial" w:cs="Arial"/>
                <w:b/>
                <w:sz w:val="16"/>
                <w:szCs w:val="16"/>
              </w:rPr>
            </w:pPr>
            <w:r w:rsidRPr="00C07C8C">
              <w:rPr>
                <w:rFonts w:ascii="Arial" w:hAnsi="Arial" w:cs="Arial"/>
                <w:b/>
                <w:bCs/>
                <w:color w:val="000000" w:themeColor="text1"/>
                <w:sz w:val="18"/>
                <w:szCs w:val="18"/>
              </w:rPr>
              <w:t>11.164.399</w:t>
            </w:r>
          </w:p>
        </w:tc>
        <w:tc>
          <w:tcPr>
            <w:tcW w:w="2238" w:type="dxa"/>
            <w:vAlign w:val="center"/>
          </w:tcPr>
          <w:p w14:paraId="289DEEE6" w14:textId="77777777" w:rsidR="007E2F9F" w:rsidRPr="00C07C8C" w:rsidRDefault="007E2F9F" w:rsidP="006548F8">
            <w:pPr>
              <w:pStyle w:val="Prrafodelista"/>
              <w:ind w:left="0"/>
              <w:jc w:val="right"/>
              <w:rPr>
                <w:rFonts w:ascii="Arial" w:hAnsi="Arial" w:cs="Arial"/>
                <w:b/>
                <w:sz w:val="16"/>
                <w:szCs w:val="16"/>
              </w:rPr>
            </w:pPr>
            <w:r w:rsidRPr="00C07C8C">
              <w:rPr>
                <w:rFonts w:ascii="Arial" w:hAnsi="Arial" w:cs="Arial"/>
                <w:b/>
                <w:bCs/>
                <w:color w:val="000000" w:themeColor="text1"/>
                <w:sz w:val="18"/>
                <w:szCs w:val="18"/>
              </w:rPr>
              <w:t>4.653.225</w:t>
            </w:r>
          </w:p>
        </w:tc>
      </w:tr>
      <w:tr w:rsidR="007E2F9F" w:rsidRPr="00C07C8C" w14:paraId="15727DB3" w14:textId="77777777" w:rsidTr="006548F8">
        <w:tc>
          <w:tcPr>
            <w:tcW w:w="3544" w:type="dxa"/>
          </w:tcPr>
          <w:p w14:paraId="0A9BDDD5" w14:textId="77777777" w:rsidR="007E2F9F" w:rsidRPr="00C07C8C" w:rsidRDefault="007E2F9F" w:rsidP="006548F8">
            <w:pPr>
              <w:ind w:right="-1440"/>
              <w:jc w:val="both"/>
              <w:rPr>
                <w:rFonts w:ascii="Arial" w:hAnsi="Arial" w:cs="Arial"/>
                <w:b/>
                <w:sz w:val="18"/>
                <w:szCs w:val="18"/>
                <w:lang w:val="es-ES_tradnl"/>
              </w:rPr>
            </w:pPr>
            <w:r w:rsidRPr="00C07C8C">
              <w:rPr>
                <w:rFonts w:ascii="Arial" w:hAnsi="Arial" w:cs="Arial"/>
                <w:b/>
                <w:sz w:val="18"/>
                <w:szCs w:val="18"/>
                <w:lang w:val="es-ES_tradnl"/>
              </w:rPr>
              <w:t>INVERSIÓN</w:t>
            </w:r>
          </w:p>
        </w:tc>
        <w:tc>
          <w:tcPr>
            <w:tcW w:w="2354" w:type="dxa"/>
            <w:vAlign w:val="center"/>
          </w:tcPr>
          <w:p w14:paraId="1899E2FD" w14:textId="77777777" w:rsidR="007E2F9F" w:rsidRPr="00C07C8C" w:rsidRDefault="007E2F9F" w:rsidP="006548F8">
            <w:pPr>
              <w:pStyle w:val="Prrafodelista"/>
              <w:ind w:left="0"/>
              <w:jc w:val="right"/>
              <w:rPr>
                <w:rFonts w:ascii="Arial" w:hAnsi="Arial" w:cs="Arial"/>
                <w:b/>
                <w:sz w:val="16"/>
                <w:szCs w:val="16"/>
              </w:rPr>
            </w:pPr>
            <w:r w:rsidRPr="00C07C8C">
              <w:rPr>
                <w:rFonts w:ascii="Arial" w:hAnsi="Arial" w:cs="Arial"/>
                <w:b/>
                <w:bCs/>
                <w:color w:val="000000" w:themeColor="text1"/>
                <w:sz w:val="18"/>
                <w:szCs w:val="18"/>
              </w:rPr>
              <w:t>2.000.000.000</w:t>
            </w:r>
          </w:p>
        </w:tc>
        <w:tc>
          <w:tcPr>
            <w:tcW w:w="2354" w:type="dxa"/>
            <w:vAlign w:val="center"/>
          </w:tcPr>
          <w:p w14:paraId="62A5B6A3" w14:textId="77777777" w:rsidR="007E2F9F" w:rsidRPr="00C07C8C" w:rsidRDefault="007E2F9F" w:rsidP="006548F8">
            <w:pPr>
              <w:pStyle w:val="Prrafodelista"/>
              <w:ind w:left="0"/>
              <w:jc w:val="right"/>
              <w:rPr>
                <w:rFonts w:ascii="Arial" w:hAnsi="Arial" w:cs="Arial"/>
                <w:b/>
                <w:sz w:val="16"/>
                <w:szCs w:val="16"/>
              </w:rPr>
            </w:pPr>
            <w:r w:rsidRPr="00C07C8C">
              <w:rPr>
                <w:rFonts w:ascii="Arial" w:hAnsi="Arial" w:cs="Arial"/>
                <w:b/>
                <w:bCs/>
                <w:color w:val="000000" w:themeColor="text1"/>
                <w:sz w:val="18"/>
                <w:szCs w:val="18"/>
              </w:rPr>
              <w:t>1.991.766.899</w:t>
            </w:r>
          </w:p>
        </w:tc>
        <w:tc>
          <w:tcPr>
            <w:tcW w:w="2238" w:type="dxa"/>
            <w:vAlign w:val="center"/>
          </w:tcPr>
          <w:p w14:paraId="0A5C63EF" w14:textId="77777777" w:rsidR="007E2F9F" w:rsidRPr="00C07C8C" w:rsidRDefault="007E2F9F" w:rsidP="006548F8">
            <w:pPr>
              <w:pStyle w:val="Prrafodelista"/>
              <w:ind w:left="0"/>
              <w:jc w:val="right"/>
              <w:rPr>
                <w:rFonts w:ascii="Arial" w:hAnsi="Arial" w:cs="Arial"/>
                <w:b/>
                <w:sz w:val="16"/>
                <w:szCs w:val="16"/>
              </w:rPr>
            </w:pPr>
            <w:r w:rsidRPr="00C07C8C">
              <w:rPr>
                <w:rFonts w:ascii="Arial" w:hAnsi="Arial" w:cs="Arial"/>
                <w:b/>
                <w:bCs/>
                <w:color w:val="000000" w:themeColor="text1"/>
                <w:sz w:val="18"/>
                <w:szCs w:val="18"/>
              </w:rPr>
              <w:t>8.233.101</w:t>
            </w:r>
          </w:p>
        </w:tc>
      </w:tr>
      <w:tr w:rsidR="007E2F9F" w:rsidRPr="00C07C8C" w14:paraId="3303044C" w14:textId="77777777" w:rsidTr="006548F8">
        <w:tc>
          <w:tcPr>
            <w:tcW w:w="3544" w:type="dxa"/>
          </w:tcPr>
          <w:p w14:paraId="644D0681" w14:textId="77777777" w:rsidR="007E2F9F" w:rsidRPr="00C07C8C" w:rsidRDefault="007E2F9F" w:rsidP="006548F8">
            <w:pPr>
              <w:ind w:right="-1440"/>
              <w:jc w:val="both"/>
              <w:rPr>
                <w:rFonts w:ascii="Arial" w:hAnsi="Arial" w:cs="Arial"/>
                <w:b/>
                <w:sz w:val="18"/>
                <w:szCs w:val="18"/>
                <w:lang w:val="es-ES_tradnl"/>
              </w:rPr>
            </w:pPr>
            <w:r w:rsidRPr="00C07C8C">
              <w:rPr>
                <w:rFonts w:ascii="Arial" w:hAnsi="Arial" w:cs="Arial"/>
                <w:b/>
                <w:sz w:val="18"/>
                <w:szCs w:val="18"/>
                <w:lang w:val="es-ES_tradnl"/>
              </w:rPr>
              <w:t>TOTAL PÉRDIDAS DE APROPIACIÓN</w:t>
            </w:r>
          </w:p>
        </w:tc>
        <w:tc>
          <w:tcPr>
            <w:tcW w:w="2354" w:type="dxa"/>
            <w:vAlign w:val="center"/>
          </w:tcPr>
          <w:p w14:paraId="79FF71D4" w14:textId="77777777" w:rsidR="007E2F9F" w:rsidRPr="00C07C8C" w:rsidRDefault="007E2F9F" w:rsidP="006548F8">
            <w:pPr>
              <w:pStyle w:val="Prrafodelista"/>
              <w:ind w:left="0"/>
              <w:jc w:val="right"/>
              <w:rPr>
                <w:rFonts w:ascii="Arial" w:hAnsi="Arial" w:cs="Arial"/>
                <w:b/>
                <w:sz w:val="16"/>
                <w:szCs w:val="16"/>
                <w:u w:val="single"/>
              </w:rPr>
            </w:pPr>
            <w:r w:rsidRPr="00C07C8C">
              <w:rPr>
                <w:rFonts w:ascii="Arial" w:hAnsi="Arial" w:cs="Arial"/>
                <w:b/>
                <w:bCs/>
                <w:color w:val="000000" w:themeColor="text1"/>
                <w:sz w:val="18"/>
                <w:szCs w:val="18"/>
              </w:rPr>
              <w:t>2.015.817.624</w:t>
            </w:r>
          </w:p>
        </w:tc>
        <w:tc>
          <w:tcPr>
            <w:tcW w:w="2354" w:type="dxa"/>
            <w:vAlign w:val="center"/>
          </w:tcPr>
          <w:p w14:paraId="57BED297" w14:textId="77777777" w:rsidR="007E2F9F" w:rsidRPr="00C07C8C" w:rsidRDefault="007E2F9F" w:rsidP="006548F8">
            <w:pPr>
              <w:pStyle w:val="Prrafodelista"/>
              <w:ind w:left="0"/>
              <w:jc w:val="right"/>
              <w:rPr>
                <w:rFonts w:ascii="Arial" w:hAnsi="Arial" w:cs="Arial"/>
                <w:b/>
                <w:sz w:val="16"/>
                <w:szCs w:val="16"/>
                <w:u w:val="single"/>
              </w:rPr>
            </w:pPr>
            <w:r w:rsidRPr="00C07C8C">
              <w:rPr>
                <w:rFonts w:ascii="Arial" w:hAnsi="Arial" w:cs="Arial"/>
                <w:b/>
                <w:bCs/>
                <w:color w:val="000000" w:themeColor="text1"/>
                <w:sz w:val="18"/>
                <w:szCs w:val="18"/>
              </w:rPr>
              <w:t>2.002.931.298</w:t>
            </w:r>
          </w:p>
        </w:tc>
        <w:tc>
          <w:tcPr>
            <w:tcW w:w="2238" w:type="dxa"/>
            <w:vAlign w:val="center"/>
          </w:tcPr>
          <w:p w14:paraId="4EA1DF5E" w14:textId="77777777" w:rsidR="007E2F9F" w:rsidRPr="00C07C8C" w:rsidRDefault="007E2F9F" w:rsidP="006548F8">
            <w:pPr>
              <w:pStyle w:val="Prrafodelista"/>
              <w:ind w:left="0"/>
              <w:jc w:val="right"/>
              <w:rPr>
                <w:rFonts w:ascii="Arial" w:hAnsi="Arial" w:cs="Arial"/>
                <w:b/>
                <w:sz w:val="16"/>
                <w:szCs w:val="16"/>
                <w:u w:val="single"/>
              </w:rPr>
            </w:pPr>
            <w:r w:rsidRPr="00C07C8C">
              <w:rPr>
                <w:rFonts w:ascii="Arial" w:hAnsi="Arial" w:cs="Arial"/>
                <w:b/>
                <w:bCs/>
                <w:color w:val="000000" w:themeColor="text1"/>
                <w:sz w:val="18"/>
                <w:szCs w:val="18"/>
                <w:u w:val="single"/>
              </w:rPr>
              <w:t>12.886.326</w:t>
            </w:r>
          </w:p>
        </w:tc>
      </w:tr>
    </w:tbl>
    <w:p w14:paraId="15C8A7B6" w14:textId="77777777" w:rsidR="007E2F9F" w:rsidRDefault="007E2F9F" w:rsidP="007E2F9F">
      <w:pPr>
        <w:ind w:left="-284" w:right="-234"/>
        <w:jc w:val="both"/>
        <w:rPr>
          <w:rFonts w:ascii="Arial" w:hAnsi="Arial" w:cs="Arial"/>
          <w:b/>
          <w:bCs/>
          <w:sz w:val="28"/>
          <w:szCs w:val="28"/>
        </w:rPr>
      </w:pPr>
    </w:p>
    <w:p w14:paraId="06C2D07E" w14:textId="77777777" w:rsidR="007E2F9F" w:rsidRPr="00042476" w:rsidRDefault="007E2F9F" w:rsidP="007E2F9F">
      <w:pPr>
        <w:ind w:left="-284"/>
        <w:jc w:val="both"/>
        <w:rPr>
          <w:rFonts w:ascii="Arial" w:hAnsi="Arial" w:cs="Arial"/>
          <w:b/>
          <w:sz w:val="28"/>
          <w:szCs w:val="28"/>
          <w:lang w:val="es-MX"/>
        </w:rPr>
      </w:pPr>
      <w:r w:rsidRPr="00042476">
        <w:rPr>
          <w:rFonts w:ascii="Arial" w:hAnsi="Arial" w:cs="Arial"/>
          <w:b/>
          <w:sz w:val="28"/>
          <w:szCs w:val="28"/>
          <w:lang w:val="es-MX"/>
        </w:rPr>
        <w:t>85.- CONTADURÍA GENERAL DE LA NACIÓN.</w:t>
      </w:r>
    </w:p>
    <w:p w14:paraId="7AC5149D" w14:textId="77777777" w:rsidR="007E2F9F" w:rsidRDefault="007E2F9F" w:rsidP="007E2F9F">
      <w:pPr>
        <w:jc w:val="both"/>
        <w:rPr>
          <w:b/>
          <w:sz w:val="28"/>
          <w:szCs w:val="28"/>
          <w:lang w:val="es-MX"/>
        </w:rPr>
      </w:pPr>
    </w:p>
    <w:p w14:paraId="75B4B6A1"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30CF3866"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18B368EA"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042476" w14:paraId="76A7749A" w14:textId="77777777" w:rsidTr="006548F8">
        <w:tc>
          <w:tcPr>
            <w:tcW w:w="3544" w:type="dxa"/>
          </w:tcPr>
          <w:p w14:paraId="35CC93E7" w14:textId="77777777" w:rsidR="007E2F9F" w:rsidRPr="00042476" w:rsidRDefault="007E2F9F" w:rsidP="006548F8">
            <w:pPr>
              <w:ind w:left="1169" w:right="-1440"/>
              <w:rPr>
                <w:rFonts w:ascii="Arial" w:hAnsi="Arial" w:cs="Arial"/>
                <w:b/>
                <w:sz w:val="18"/>
                <w:szCs w:val="18"/>
                <w:lang w:val="es-ES_tradnl"/>
              </w:rPr>
            </w:pPr>
            <w:r w:rsidRPr="00042476">
              <w:rPr>
                <w:rFonts w:ascii="Arial" w:hAnsi="Arial" w:cs="Arial"/>
                <w:b/>
                <w:sz w:val="18"/>
                <w:szCs w:val="18"/>
                <w:lang w:val="es-ES_tradnl"/>
              </w:rPr>
              <w:t>TIPO DE GASTO</w:t>
            </w:r>
          </w:p>
        </w:tc>
        <w:tc>
          <w:tcPr>
            <w:tcW w:w="2354" w:type="dxa"/>
          </w:tcPr>
          <w:p w14:paraId="0452D5EB" w14:textId="77777777" w:rsidR="007E2F9F" w:rsidRPr="00042476" w:rsidRDefault="007E2F9F" w:rsidP="006548F8">
            <w:pPr>
              <w:jc w:val="center"/>
              <w:rPr>
                <w:rFonts w:ascii="Arial" w:hAnsi="Arial" w:cs="Arial"/>
                <w:b/>
                <w:sz w:val="18"/>
                <w:szCs w:val="18"/>
                <w:lang w:val="es-ES_tradnl"/>
              </w:rPr>
            </w:pPr>
            <w:r w:rsidRPr="00042476">
              <w:rPr>
                <w:rFonts w:ascii="Arial" w:hAnsi="Arial" w:cs="Arial"/>
                <w:b/>
                <w:sz w:val="18"/>
                <w:szCs w:val="18"/>
                <w:lang w:val="es-ES_tradnl"/>
              </w:rPr>
              <w:t>APROPIACIÓN</w:t>
            </w:r>
          </w:p>
          <w:p w14:paraId="78E55968" w14:textId="77777777" w:rsidR="007E2F9F" w:rsidRPr="00042476" w:rsidRDefault="007E2F9F" w:rsidP="006548F8">
            <w:pPr>
              <w:jc w:val="center"/>
              <w:rPr>
                <w:rFonts w:ascii="Arial" w:hAnsi="Arial" w:cs="Arial"/>
                <w:b/>
                <w:sz w:val="18"/>
                <w:szCs w:val="18"/>
                <w:lang w:val="es-ES_tradnl"/>
              </w:rPr>
            </w:pPr>
            <w:r w:rsidRPr="00042476">
              <w:rPr>
                <w:rFonts w:ascii="Arial" w:hAnsi="Arial" w:cs="Arial"/>
                <w:b/>
                <w:sz w:val="18"/>
                <w:szCs w:val="18"/>
                <w:lang w:val="es-ES_tradnl"/>
              </w:rPr>
              <w:t>DEFINITIVA</w:t>
            </w:r>
          </w:p>
          <w:p w14:paraId="11A3DE19" w14:textId="77777777" w:rsidR="007E2F9F" w:rsidRPr="00042476" w:rsidRDefault="007E2F9F" w:rsidP="006548F8">
            <w:pPr>
              <w:jc w:val="center"/>
              <w:rPr>
                <w:rFonts w:ascii="Arial" w:hAnsi="Arial" w:cs="Arial"/>
                <w:b/>
                <w:sz w:val="18"/>
                <w:szCs w:val="18"/>
                <w:lang w:val="es-ES_tradnl"/>
              </w:rPr>
            </w:pPr>
            <w:r w:rsidRPr="00042476">
              <w:rPr>
                <w:rFonts w:ascii="Arial" w:hAnsi="Arial" w:cs="Arial"/>
                <w:b/>
                <w:sz w:val="18"/>
                <w:szCs w:val="18"/>
                <w:lang w:val="es-ES_tradnl"/>
              </w:rPr>
              <w:t>(1)</w:t>
            </w:r>
          </w:p>
          <w:p w14:paraId="568C2D89" w14:textId="77777777" w:rsidR="007E2F9F" w:rsidRPr="00042476" w:rsidRDefault="007E2F9F" w:rsidP="006548F8">
            <w:pPr>
              <w:jc w:val="center"/>
              <w:rPr>
                <w:rFonts w:ascii="Arial" w:hAnsi="Arial" w:cs="Arial"/>
                <w:b/>
                <w:sz w:val="18"/>
                <w:szCs w:val="18"/>
                <w:lang w:val="es-ES_tradnl"/>
              </w:rPr>
            </w:pPr>
          </w:p>
        </w:tc>
        <w:tc>
          <w:tcPr>
            <w:tcW w:w="2354" w:type="dxa"/>
          </w:tcPr>
          <w:p w14:paraId="5ABBD369" w14:textId="77777777" w:rsidR="007E2F9F" w:rsidRPr="00042476" w:rsidRDefault="007E2F9F" w:rsidP="006548F8">
            <w:pPr>
              <w:ind w:left="145" w:right="184"/>
              <w:jc w:val="center"/>
              <w:rPr>
                <w:rFonts w:ascii="Arial" w:hAnsi="Arial" w:cs="Arial"/>
                <w:b/>
                <w:sz w:val="18"/>
                <w:szCs w:val="18"/>
                <w:lang w:val="es-ES_tradnl"/>
              </w:rPr>
            </w:pPr>
            <w:r w:rsidRPr="00042476">
              <w:rPr>
                <w:rFonts w:ascii="Arial" w:hAnsi="Arial" w:cs="Arial"/>
                <w:b/>
                <w:sz w:val="18"/>
                <w:szCs w:val="18"/>
                <w:lang w:val="es-ES_tradnl"/>
              </w:rPr>
              <w:t>EJECUCIÓN</w:t>
            </w:r>
          </w:p>
          <w:p w14:paraId="72AA3989"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COMPROMISOS</w:t>
            </w:r>
          </w:p>
          <w:p w14:paraId="076E272C"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(2)</w:t>
            </w:r>
          </w:p>
        </w:tc>
        <w:tc>
          <w:tcPr>
            <w:tcW w:w="2238" w:type="dxa"/>
          </w:tcPr>
          <w:p w14:paraId="27E173C4" w14:textId="77777777" w:rsidR="007E2F9F" w:rsidRPr="00042476" w:rsidRDefault="007E2F9F" w:rsidP="006548F8">
            <w:pPr>
              <w:ind w:left="25" w:right="34"/>
              <w:jc w:val="center"/>
              <w:rPr>
                <w:rFonts w:ascii="Arial" w:hAnsi="Arial" w:cs="Arial"/>
                <w:b/>
                <w:sz w:val="18"/>
                <w:szCs w:val="18"/>
                <w:lang w:val="es-ES_tradnl"/>
              </w:rPr>
            </w:pPr>
            <w:r w:rsidRPr="00042476">
              <w:rPr>
                <w:rFonts w:ascii="Arial" w:hAnsi="Arial" w:cs="Arial"/>
                <w:b/>
                <w:sz w:val="18"/>
                <w:szCs w:val="18"/>
                <w:lang w:val="es-ES_tradnl"/>
              </w:rPr>
              <w:t>PÉRDIDAS DE</w:t>
            </w:r>
          </w:p>
          <w:p w14:paraId="0F22E333"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APROPIACIÓN</w:t>
            </w:r>
          </w:p>
          <w:p w14:paraId="4872C975"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3 = (1-2)</w:t>
            </w:r>
          </w:p>
        </w:tc>
      </w:tr>
      <w:tr w:rsidR="007E2F9F" w:rsidRPr="00042476" w14:paraId="4E0BD41E" w14:textId="77777777" w:rsidTr="006548F8">
        <w:trPr>
          <w:trHeight w:val="230"/>
        </w:trPr>
        <w:tc>
          <w:tcPr>
            <w:tcW w:w="3544" w:type="dxa"/>
          </w:tcPr>
          <w:p w14:paraId="113135C1" w14:textId="77777777" w:rsidR="007E2F9F" w:rsidRPr="00042476" w:rsidRDefault="007E2F9F" w:rsidP="006548F8">
            <w:pPr>
              <w:ind w:right="-1440"/>
              <w:jc w:val="both"/>
              <w:rPr>
                <w:rFonts w:ascii="Arial" w:hAnsi="Arial" w:cs="Arial"/>
                <w:b/>
                <w:sz w:val="18"/>
                <w:szCs w:val="18"/>
                <w:lang w:val="es-ES_tradnl"/>
              </w:rPr>
            </w:pPr>
            <w:r w:rsidRPr="00042476">
              <w:rPr>
                <w:rFonts w:ascii="Arial" w:hAnsi="Arial" w:cs="Arial"/>
                <w:b/>
                <w:sz w:val="18"/>
                <w:szCs w:val="18"/>
                <w:lang w:val="es-ES_tradnl"/>
              </w:rPr>
              <w:t>FUNCIONAMIENTO</w:t>
            </w:r>
          </w:p>
        </w:tc>
        <w:tc>
          <w:tcPr>
            <w:tcW w:w="2354" w:type="dxa"/>
            <w:vAlign w:val="bottom"/>
          </w:tcPr>
          <w:p w14:paraId="27E7DFB1" w14:textId="77777777" w:rsidR="007E2F9F" w:rsidRPr="00042476" w:rsidRDefault="007E2F9F" w:rsidP="006548F8">
            <w:pPr>
              <w:jc w:val="right"/>
              <w:rPr>
                <w:rFonts w:ascii="Arial" w:eastAsia="Calibri" w:hAnsi="Arial" w:cs="Arial"/>
                <w:b/>
                <w:sz w:val="16"/>
                <w:szCs w:val="16"/>
                <w:lang w:val="es-CO"/>
              </w:rPr>
            </w:pPr>
            <w:r w:rsidRPr="00042476">
              <w:rPr>
                <w:rFonts w:ascii="Arial" w:hAnsi="Arial" w:cs="Arial"/>
                <w:b/>
                <w:bCs/>
                <w:iCs/>
                <w:color w:val="000000"/>
                <w:sz w:val="16"/>
                <w:szCs w:val="16"/>
              </w:rPr>
              <w:t>18.446.970</w:t>
            </w:r>
          </w:p>
        </w:tc>
        <w:tc>
          <w:tcPr>
            <w:tcW w:w="2354" w:type="dxa"/>
            <w:vAlign w:val="bottom"/>
          </w:tcPr>
          <w:p w14:paraId="057D5415" w14:textId="77777777" w:rsidR="007E2F9F" w:rsidRPr="00042476" w:rsidRDefault="007E2F9F" w:rsidP="006548F8">
            <w:pPr>
              <w:pStyle w:val="Prrafodelista"/>
              <w:ind w:left="0"/>
              <w:jc w:val="right"/>
              <w:rPr>
                <w:rFonts w:ascii="Arial" w:hAnsi="Arial" w:cs="Arial"/>
                <w:b/>
                <w:sz w:val="16"/>
                <w:szCs w:val="16"/>
              </w:rPr>
            </w:pPr>
            <w:r w:rsidRPr="00042476">
              <w:rPr>
                <w:rFonts w:ascii="Arial" w:hAnsi="Arial" w:cs="Arial"/>
                <w:b/>
                <w:bCs/>
                <w:iCs/>
                <w:color w:val="000000"/>
                <w:sz w:val="16"/>
                <w:szCs w:val="16"/>
              </w:rPr>
              <w:t>17.371.171</w:t>
            </w:r>
          </w:p>
        </w:tc>
        <w:tc>
          <w:tcPr>
            <w:tcW w:w="2238" w:type="dxa"/>
          </w:tcPr>
          <w:p w14:paraId="340F67BF" w14:textId="77777777" w:rsidR="007E2F9F" w:rsidRPr="00042476" w:rsidRDefault="007E2F9F" w:rsidP="006548F8">
            <w:pPr>
              <w:pStyle w:val="Prrafodelista"/>
              <w:ind w:left="0"/>
              <w:jc w:val="right"/>
              <w:rPr>
                <w:rFonts w:ascii="Arial" w:hAnsi="Arial" w:cs="Arial"/>
                <w:b/>
                <w:sz w:val="16"/>
                <w:szCs w:val="16"/>
              </w:rPr>
            </w:pPr>
            <w:r w:rsidRPr="00042476">
              <w:rPr>
                <w:rFonts w:ascii="Arial" w:hAnsi="Arial" w:cs="Arial"/>
                <w:b/>
                <w:sz w:val="16"/>
                <w:szCs w:val="16"/>
              </w:rPr>
              <w:t>1.075.799</w:t>
            </w:r>
          </w:p>
        </w:tc>
      </w:tr>
      <w:tr w:rsidR="007E2F9F" w:rsidRPr="00042476" w14:paraId="6582A5D0" w14:textId="77777777" w:rsidTr="006548F8">
        <w:tc>
          <w:tcPr>
            <w:tcW w:w="3544" w:type="dxa"/>
          </w:tcPr>
          <w:p w14:paraId="36D5528C" w14:textId="77777777" w:rsidR="007E2F9F" w:rsidRPr="00042476" w:rsidRDefault="007E2F9F" w:rsidP="006548F8">
            <w:pPr>
              <w:ind w:right="-1440"/>
              <w:jc w:val="both"/>
              <w:rPr>
                <w:rFonts w:ascii="Arial" w:hAnsi="Arial" w:cs="Arial"/>
                <w:b/>
                <w:sz w:val="18"/>
                <w:szCs w:val="18"/>
                <w:lang w:val="es-ES_tradnl"/>
              </w:rPr>
            </w:pPr>
            <w:r w:rsidRPr="00042476">
              <w:rPr>
                <w:rFonts w:ascii="Arial" w:hAnsi="Arial" w:cs="Arial"/>
                <w:b/>
                <w:sz w:val="18"/>
                <w:szCs w:val="18"/>
                <w:lang w:val="es-ES_tradnl"/>
              </w:rPr>
              <w:t>INVERSIÓN</w:t>
            </w:r>
          </w:p>
        </w:tc>
        <w:tc>
          <w:tcPr>
            <w:tcW w:w="2354" w:type="dxa"/>
            <w:vAlign w:val="bottom"/>
          </w:tcPr>
          <w:p w14:paraId="30CCA1EC" w14:textId="77777777" w:rsidR="007E2F9F" w:rsidRPr="00042476" w:rsidRDefault="007E2F9F" w:rsidP="006548F8">
            <w:pPr>
              <w:pStyle w:val="Prrafodelista"/>
              <w:ind w:left="0"/>
              <w:jc w:val="right"/>
              <w:rPr>
                <w:rFonts w:ascii="Arial" w:hAnsi="Arial" w:cs="Arial"/>
                <w:b/>
                <w:sz w:val="16"/>
                <w:szCs w:val="16"/>
              </w:rPr>
            </w:pPr>
            <w:r w:rsidRPr="00042476">
              <w:rPr>
                <w:rFonts w:ascii="Arial" w:hAnsi="Arial" w:cs="Arial"/>
                <w:b/>
                <w:bCs/>
                <w:iCs/>
                <w:color w:val="000000"/>
                <w:sz w:val="16"/>
                <w:szCs w:val="16"/>
              </w:rPr>
              <w:t>7.644.374</w:t>
            </w:r>
          </w:p>
        </w:tc>
        <w:tc>
          <w:tcPr>
            <w:tcW w:w="2354" w:type="dxa"/>
            <w:vAlign w:val="bottom"/>
          </w:tcPr>
          <w:p w14:paraId="356CA524" w14:textId="77777777" w:rsidR="007E2F9F" w:rsidRPr="00042476" w:rsidRDefault="007E2F9F" w:rsidP="006548F8">
            <w:pPr>
              <w:pStyle w:val="Prrafodelista"/>
              <w:ind w:left="0"/>
              <w:jc w:val="right"/>
              <w:rPr>
                <w:rFonts w:ascii="Arial" w:hAnsi="Arial" w:cs="Arial"/>
                <w:b/>
                <w:sz w:val="16"/>
                <w:szCs w:val="16"/>
              </w:rPr>
            </w:pPr>
            <w:r w:rsidRPr="00042476">
              <w:rPr>
                <w:rFonts w:ascii="Arial" w:hAnsi="Arial" w:cs="Arial"/>
                <w:b/>
                <w:bCs/>
                <w:iCs/>
                <w:color w:val="000000"/>
                <w:sz w:val="16"/>
                <w:szCs w:val="16"/>
              </w:rPr>
              <w:t>7.583.378</w:t>
            </w:r>
          </w:p>
        </w:tc>
        <w:tc>
          <w:tcPr>
            <w:tcW w:w="2238" w:type="dxa"/>
          </w:tcPr>
          <w:p w14:paraId="240817B8" w14:textId="77777777" w:rsidR="007E2F9F" w:rsidRPr="00042476" w:rsidRDefault="007E2F9F" w:rsidP="006548F8">
            <w:pPr>
              <w:pStyle w:val="Prrafodelista"/>
              <w:ind w:left="0"/>
              <w:jc w:val="right"/>
              <w:rPr>
                <w:rFonts w:ascii="Arial" w:hAnsi="Arial" w:cs="Arial"/>
                <w:b/>
                <w:sz w:val="16"/>
                <w:szCs w:val="16"/>
              </w:rPr>
            </w:pPr>
            <w:r w:rsidRPr="00042476">
              <w:rPr>
                <w:rFonts w:ascii="Arial" w:hAnsi="Arial" w:cs="Arial"/>
                <w:b/>
                <w:sz w:val="16"/>
                <w:szCs w:val="16"/>
              </w:rPr>
              <w:t>60.996</w:t>
            </w:r>
          </w:p>
        </w:tc>
      </w:tr>
      <w:tr w:rsidR="007E2F9F" w:rsidRPr="00042476" w14:paraId="35773462" w14:textId="77777777" w:rsidTr="006548F8">
        <w:tc>
          <w:tcPr>
            <w:tcW w:w="3544" w:type="dxa"/>
          </w:tcPr>
          <w:p w14:paraId="602010B3" w14:textId="77777777" w:rsidR="007E2F9F" w:rsidRPr="00042476" w:rsidRDefault="007E2F9F" w:rsidP="006548F8">
            <w:pPr>
              <w:ind w:right="-1440"/>
              <w:jc w:val="both"/>
              <w:rPr>
                <w:rFonts w:ascii="Arial" w:hAnsi="Arial" w:cs="Arial"/>
                <w:b/>
                <w:sz w:val="18"/>
                <w:szCs w:val="18"/>
                <w:lang w:val="es-ES_tradnl"/>
              </w:rPr>
            </w:pPr>
            <w:r w:rsidRPr="00042476">
              <w:rPr>
                <w:rFonts w:ascii="Arial" w:hAnsi="Arial" w:cs="Arial"/>
                <w:b/>
                <w:sz w:val="18"/>
                <w:szCs w:val="18"/>
                <w:lang w:val="es-ES_tradnl"/>
              </w:rPr>
              <w:t>TOTAL PÉRDIDAS DE APROPIACIÓN</w:t>
            </w:r>
          </w:p>
        </w:tc>
        <w:tc>
          <w:tcPr>
            <w:tcW w:w="2354" w:type="dxa"/>
            <w:vAlign w:val="bottom"/>
          </w:tcPr>
          <w:p w14:paraId="492D91B2" w14:textId="77777777" w:rsidR="007E2F9F" w:rsidRPr="00042476" w:rsidRDefault="007E2F9F" w:rsidP="006548F8">
            <w:pPr>
              <w:pStyle w:val="Prrafodelista"/>
              <w:ind w:left="0"/>
              <w:jc w:val="right"/>
              <w:rPr>
                <w:rFonts w:ascii="Arial" w:hAnsi="Arial" w:cs="Arial"/>
                <w:b/>
                <w:sz w:val="16"/>
                <w:szCs w:val="16"/>
                <w:u w:val="single"/>
              </w:rPr>
            </w:pPr>
            <w:r w:rsidRPr="00042476">
              <w:rPr>
                <w:rFonts w:ascii="Arial" w:hAnsi="Arial" w:cs="Arial"/>
                <w:b/>
                <w:bCs/>
                <w:iCs/>
                <w:color w:val="000000"/>
                <w:sz w:val="16"/>
                <w:szCs w:val="16"/>
              </w:rPr>
              <w:t>26.091.344</w:t>
            </w:r>
          </w:p>
        </w:tc>
        <w:tc>
          <w:tcPr>
            <w:tcW w:w="2354" w:type="dxa"/>
            <w:vAlign w:val="bottom"/>
          </w:tcPr>
          <w:p w14:paraId="743B3E5D" w14:textId="77777777" w:rsidR="007E2F9F" w:rsidRPr="00042476" w:rsidRDefault="007E2F9F" w:rsidP="006548F8">
            <w:pPr>
              <w:pStyle w:val="Prrafodelista"/>
              <w:ind w:left="0"/>
              <w:jc w:val="right"/>
              <w:rPr>
                <w:rFonts w:ascii="Arial" w:hAnsi="Arial" w:cs="Arial"/>
                <w:b/>
                <w:sz w:val="16"/>
                <w:szCs w:val="16"/>
                <w:u w:val="single"/>
              </w:rPr>
            </w:pPr>
            <w:r w:rsidRPr="00042476">
              <w:rPr>
                <w:rFonts w:ascii="Arial" w:hAnsi="Arial" w:cs="Arial"/>
                <w:b/>
                <w:bCs/>
                <w:iCs/>
                <w:color w:val="000000"/>
                <w:sz w:val="16"/>
                <w:szCs w:val="16"/>
              </w:rPr>
              <w:t>24.954.549</w:t>
            </w:r>
          </w:p>
        </w:tc>
        <w:tc>
          <w:tcPr>
            <w:tcW w:w="2238" w:type="dxa"/>
          </w:tcPr>
          <w:p w14:paraId="1FD47AC9" w14:textId="77777777" w:rsidR="007E2F9F" w:rsidRPr="00042476" w:rsidRDefault="007E2F9F" w:rsidP="006548F8">
            <w:pPr>
              <w:pStyle w:val="Prrafodelista"/>
              <w:ind w:left="0"/>
              <w:jc w:val="right"/>
              <w:rPr>
                <w:rFonts w:ascii="Arial" w:hAnsi="Arial" w:cs="Arial"/>
                <w:b/>
                <w:sz w:val="16"/>
                <w:szCs w:val="16"/>
                <w:u w:val="single"/>
              </w:rPr>
            </w:pPr>
            <w:r w:rsidRPr="00042476">
              <w:rPr>
                <w:rFonts w:ascii="Arial" w:hAnsi="Arial" w:cs="Arial"/>
                <w:b/>
                <w:sz w:val="16"/>
                <w:szCs w:val="16"/>
                <w:u w:val="single"/>
              </w:rPr>
              <w:t>1.136.795</w:t>
            </w:r>
          </w:p>
        </w:tc>
      </w:tr>
    </w:tbl>
    <w:p w14:paraId="39215264" w14:textId="77777777" w:rsidR="007E2F9F" w:rsidRDefault="007E2F9F" w:rsidP="007E2F9F">
      <w:pPr>
        <w:ind w:left="-284" w:right="-234"/>
        <w:jc w:val="both"/>
        <w:rPr>
          <w:rFonts w:ascii="Arial" w:hAnsi="Arial" w:cs="Arial"/>
          <w:b/>
          <w:bCs/>
          <w:sz w:val="28"/>
          <w:szCs w:val="28"/>
        </w:rPr>
      </w:pPr>
    </w:p>
    <w:p w14:paraId="4E62A869" w14:textId="77777777" w:rsidR="007E2F9F" w:rsidRPr="00941F73" w:rsidRDefault="007E2F9F" w:rsidP="007E2F9F">
      <w:pPr>
        <w:ind w:left="-284"/>
        <w:jc w:val="both"/>
        <w:rPr>
          <w:rFonts w:ascii="Arial" w:eastAsia="Arial" w:hAnsi="Arial" w:cs="Arial"/>
          <w:b/>
          <w:sz w:val="28"/>
          <w:szCs w:val="28"/>
          <w:lang w:val="es-MX"/>
        </w:rPr>
      </w:pPr>
      <w:bookmarkStart w:id="1" w:name="_Hlk198200500"/>
      <w:r w:rsidRPr="00941F73">
        <w:rPr>
          <w:rFonts w:ascii="Arial" w:hAnsi="Arial" w:cs="Arial"/>
          <w:b/>
          <w:sz w:val="28"/>
          <w:szCs w:val="28"/>
          <w:lang w:val="es-MX"/>
        </w:rPr>
        <w:t xml:space="preserve">86.- DEFENSA CIVIL COLOMBIANA </w:t>
      </w:r>
      <w:r w:rsidRPr="00941F73">
        <w:rPr>
          <w:rFonts w:ascii="Arial" w:hAnsi="Arial" w:cs="Arial"/>
          <w:b/>
          <w:sz w:val="28"/>
          <w:szCs w:val="28"/>
        </w:rPr>
        <w:t>– GUILLERMO LEÓN VALENCIA.</w:t>
      </w:r>
    </w:p>
    <w:bookmarkEnd w:id="1"/>
    <w:p w14:paraId="39E39511" w14:textId="77777777" w:rsidR="007E2F9F" w:rsidRDefault="007E2F9F" w:rsidP="007E2F9F">
      <w:pPr>
        <w:jc w:val="both"/>
        <w:rPr>
          <w:b/>
          <w:sz w:val="28"/>
          <w:szCs w:val="28"/>
          <w:lang w:val="es-MX"/>
        </w:rPr>
      </w:pPr>
    </w:p>
    <w:p w14:paraId="6ADA8D9B"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5D776ABE"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4946E98B"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042476" w14:paraId="618247B2" w14:textId="77777777" w:rsidTr="006548F8">
        <w:tc>
          <w:tcPr>
            <w:tcW w:w="3544" w:type="dxa"/>
          </w:tcPr>
          <w:p w14:paraId="407A5043" w14:textId="77777777" w:rsidR="007E2F9F" w:rsidRPr="00042476" w:rsidRDefault="007E2F9F" w:rsidP="006548F8">
            <w:pPr>
              <w:ind w:left="1169" w:right="-1440"/>
              <w:rPr>
                <w:rFonts w:ascii="Arial" w:hAnsi="Arial" w:cs="Arial"/>
                <w:b/>
                <w:sz w:val="18"/>
                <w:szCs w:val="18"/>
                <w:lang w:val="es-ES_tradnl"/>
              </w:rPr>
            </w:pPr>
            <w:r w:rsidRPr="00042476">
              <w:rPr>
                <w:rFonts w:ascii="Arial" w:hAnsi="Arial" w:cs="Arial"/>
                <w:b/>
                <w:sz w:val="18"/>
                <w:szCs w:val="18"/>
                <w:lang w:val="es-ES_tradnl"/>
              </w:rPr>
              <w:t>TIPO DE GASTO</w:t>
            </w:r>
          </w:p>
        </w:tc>
        <w:tc>
          <w:tcPr>
            <w:tcW w:w="2354" w:type="dxa"/>
          </w:tcPr>
          <w:p w14:paraId="2F660138" w14:textId="77777777" w:rsidR="007E2F9F" w:rsidRPr="00042476" w:rsidRDefault="007E2F9F" w:rsidP="006548F8">
            <w:pPr>
              <w:jc w:val="center"/>
              <w:rPr>
                <w:rFonts w:ascii="Arial" w:hAnsi="Arial" w:cs="Arial"/>
                <w:b/>
                <w:sz w:val="18"/>
                <w:szCs w:val="18"/>
                <w:lang w:val="es-ES_tradnl"/>
              </w:rPr>
            </w:pPr>
            <w:r w:rsidRPr="00042476">
              <w:rPr>
                <w:rFonts w:ascii="Arial" w:hAnsi="Arial" w:cs="Arial"/>
                <w:b/>
                <w:sz w:val="18"/>
                <w:szCs w:val="18"/>
                <w:lang w:val="es-ES_tradnl"/>
              </w:rPr>
              <w:t>APROPIACIÓN</w:t>
            </w:r>
          </w:p>
          <w:p w14:paraId="774983E1" w14:textId="77777777" w:rsidR="007E2F9F" w:rsidRPr="00042476" w:rsidRDefault="007E2F9F" w:rsidP="006548F8">
            <w:pPr>
              <w:jc w:val="center"/>
              <w:rPr>
                <w:rFonts w:ascii="Arial" w:hAnsi="Arial" w:cs="Arial"/>
                <w:b/>
                <w:sz w:val="18"/>
                <w:szCs w:val="18"/>
                <w:lang w:val="es-ES_tradnl"/>
              </w:rPr>
            </w:pPr>
            <w:r w:rsidRPr="00042476">
              <w:rPr>
                <w:rFonts w:ascii="Arial" w:hAnsi="Arial" w:cs="Arial"/>
                <w:b/>
                <w:sz w:val="18"/>
                <w:szCs w:val="18"/>
                <w:lang w:val="es-ES_tradnl"/>
              </w:rPr>
              <w:t>DEFINITIVA</w:t>
            </w:r>
          </w:p>
          <w:p w14:paraId="5A5533F7" w14:textId="77777777" w:rsidR="007E2F9F" w:rsidRPr="00042476" w:rsidRDefault="007E2F9F" w:rsidP="006548F8">
            <w:pPr>
              <w:jc w:val="center"/>
              <w:rPr>
                <w:rFonts w:ascii="Arial" w:hAnsi="Arial" w:cs="Arial"/>
                <w:b/>
                <w:sz w:val="18"/>
                <w:szCs w:val="18"/>
                <w:lang w:val="es-ES_tradnl"/>
              </w:rPr>
            </w:pPr>
            <w:r w:rsidRPr="00042476">
              <w:rPr>
                <w:rFonts w:ascii="Arial" w:hAnsi="Arial" w:cs="Arial"/>
                <w:b/>
                <w:sz w:val="18"/>
                <w:szCs w:val="18"/>
                <w:lang w:val="es-ES_tradnl"/>
              </w:rPr>
              <w:t>(1)</w:t>
            </w:r>
          </w:p>
          <w:p w14:paraId="11B773DC" w14:textId="77777777" w:rsidR="007E2F9F" w:rsidRPr="00042476" w:rsidRDefault="007E2F9F" w:rsidP="006548F8">
            <w:pPr>
              <w:jc w:val="center"/>
              <w:rPr>
                <w:rFonts w:ascii="Arial" w:hAnsi="Arial" w:cs="Arial"/>
                <w:b/>
                <w:sz w:val="18"/>
                <w:szCs w:val="18"/>
                <w:lang w:val="es-ES_tradnl"/>
              </w:rPr>
            </w:pPr>
          </w:p>
        </w:tc>
        <w:tc>
          <w:tcPr>
            <w:tcW w:w="2354" w:type="dxa"/>
          </w:tcPr>
          <w:p w14:paraId="45E46C54" w14:textId="77777777" w:rsidR="007E2F9F" w:rsidRPr="00042476" w:rsidRDefault="007E2F9F" w:rsidP="006548F8">
            <w:pPr>
              <w:ind w:left="145" w:right="184"/>
              <w:jc w:val="center"/>
              <w:rPr>
                <w:rFonts w:ascii="Arial" w:hAnsi="Arial" w:cs="Arial"/>
                <w:b/>
                <w:sz w:val="18"/>
                <w:szCs w:val="18"/>
                <w:lang w:val="es-ES_tradnl"/>
              </w:rPr>
            </w:pPr>
            <w:r w:rsidRPr="00042476">
              <w:rPr>
                <w:rFonts w:ascii="Arial" w:hAnsi="Arial" w:cs="Arial"/>
                <w:b/>
                <w:sz w:val="18"/>
                <w:szCs w:val="18"/>
                <w:lang w:val="es-ES_tradnl"/>
              </w:rPr>
              <w:t>EJECUCIÓN</w:t>
            </w:r>
          </w:p>
          <w:p w14:paraId="671CAF33"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COMPROMISOS</w:t>
            </w:r>
          </w:p>
          <w:p w14:paraId="527A2BD1"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(2)</w:t>
            </w:r>
          </w:p>
        </w:tc>
        <w:tc>
          <w:tcPr>
            <w:tcW w:w="2238" w:type="dxa"/>
          </w:tcPr>
          <w:p w14:paraId="33EFC72B" w14:textId="77777777" w:rsidR="007E2F9F" w:rsidRPr="00042476" w:rsidRDefault="007E2F9F" w:rsidP="006548F8">
            <w:pPr>
              <w:ind w:left="25" w:right="34"/>
              <w:jc w:val="center"/>
              <w:rPr>
                <w:rFonts w:ascii="Arial" w:hAnsi="Arial" w:cs="Arial"/>
                <w:b/>
                <w:sz w:val="18"/>
                <w:szCs w:val="18"/>
                <w:lang w:val="es-ES_tradnl"/>
              </w:rPr>
            </w:pPr>
            <w:r w:rsidRPr="00042476">
              <w:rPr>
                <w:rFonts w:ascii="Arial" w:hAnsi="Arial" w:cs="Arial"/>
                <w:b/>
                <w:sz w:val="18"/>
                <w:szCs w:val="18"/>
                <w:lang w:val="es-ES_tradnl"/>
              </w:rPr>
              <w:t>PÉRDIDAS DE</w:t>
            </w:r>
          </w:p>
          <w:p w14:paraId="10B89916"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APROPIACIÓN</w:t>
            </w:r>
          </w:p>
          <w:p w14:paraId="14D59A04" w14:textId="77777777" w:rsidR="007E2F9F" w:rsidRPr="00042476" w:rsidRDefault="007E2F9F" w:rsidP="006548F8">
            <w:pPr>
              <w:ind w:right="34"/>
              <w:jc w:val="center"/>
              <w:rPr>
                <w:rFonts w:ascii="Arial" w:hAnsi="Arial" w:cs="Arial"/>
                <w:b/>
                <w:sz w:val="18"/>
                <w:szCs w:val="18"/>
                <w:lang w:val="es-ES_tradnl"/>
              </w:rPr>
            </w:pPr>
            <w:r w:rsidRPr="00042476">
              <w:rPr>
                <w:rFonts w:ascii="Arial" w:hAnsi="Arial" w:cs="Arial"/>
                <w:b/>
                <w:sz w:val="18"/>
                <w:szCs w:val="18"/>
                <w:lang w:val="es-ES_tradnl"/>
              </w:rPr>
              <w:t>3 = (1-2)</w:t>
            </w:r>
          </w:p>
        </w:tc>
      </w:tr>
      <w:tr w:rsidR="007E2F9F" w:rsidRPr="00042476" w14:paraId="13A79366" w14:textId="77777777" w:rsidTr="006548F8">
        <w:trPr>
          <w:trHeight w:val="230"/>
        </w:trPr>
        <w:tc>
          <w:tcPr>
            <w:tcW w:w="3544" w:type="dxa"/>
          </w:tcPr>
          <w:p w14:paraId="5E055300" w14:textId="77777777" w:rsidR="007E2F9F" w:rsidRPr="00941F73" w:rsidRDefault="007E2F9F" w:rsidP="006548F8">
            <w:pPr>
              <w:ind w:right="-1440"/>
              <w:jc w:val="both"/>
              <w:rPr>
                <w:rFonts w:ascii="Arial" w:hAnsi="Arial" w:cs="Arial"/>
                <w:b/>
                <w:sz w:val="18"/>
                <w:szCs w:val="18"/>
                <w:lang w:val="es-ES_tradnl"/>
              </w:rPr>
            </w:pPr>
            <w:r w:rsidRPr="00941F73">
              <w:rPr>
                <w:rFonts w:ascii="Arial" w:hAnsi="Arial" w:cs="Arial"/>
                <w:b/>
                <w:sz w:val="18"/>
                <w:szCs w:val="18"/>
                <w:lang w:val="es-ES_tradnl"/>
              </w:rPr>
              <w:t>FUNCIONAMIENTO</w:t>
            </w:r>
          </w:p>
        </w:tc>
        <w:tc>
          <w:tcPr>
            <w:tcW w:w="2354" w:type="dxa"/>
          </w:tcPr>
          <w:p w14:paraId="0D4E10F4" w14:textId="77777777" w:rsidR="007E2F9F" w:rsidRPr="00941F73" w:rsidRDefault="007E2F9F" w:rsidP="006548F8">
            <w:pPr>
              <w:jc w:val="right"/>
              <w:rPr>
                <w:rFonts w:ascii="Arial" w:eastAsia="Calibri" w:hAnsi="Arial" w:cs="Arial"/>
                <w:b/>
                <w:sz w:val="16"/>
                <w:szCs w:val="16"/>
                <w:lang w:val="es-CO"/>
              </w:rPr>
            </w:pPr>
            <w:r w:rsidRPr="00941F73">
              <w:rPr>
                <w:rFonts w:ascii="Arial" w:hAnsi="Arial" w:cs="Arial"/>
                <w:b/>
                <w:sz w:val="16"/>
                <w:szCs w:val="16"/>
              </w:rPr>
              <w:t>35.860.139</w:t>
            </w:r>
          </w:p>
        </w:tc>
        <w:tc>
          <w:tcPr>
            <w:tcW w:w="2354" w:type="dxa"/>
          </w:tcPr>
          <w:p w14:paraId="06ED0DFA" w14:textId="77777777" w:rsidR="007E2F9F" w:rsidRPr="00941F73" w:rsidRDefault="007E2F9F" w:rsidP="006548F8">
            <w:pPr>
              <w:pStyle w:val="Prrafodelista"/>
              <w:ind w:left="0"/>
              <w:jc w:val="right"/>
              <w:rPr>
                <w:rFonts w:ascii="Arial" w:hAnsi="Arial" w:cs="Arial"/>
                <w:b/>
                <w:sz w:val="16"/>
                <w:szCs w:val="16"/>
              </w:rPr>
            </w:pPr>
            <w:r w:rsidRPr="00941F73">
              <w:rPr>
                <w:rFonts w:ascii="Arial" w:hAnsi="Arial" w:cs="Arial"/>
                <w:b/>
                <w:sz w:val="16"/>
                <w:szCs w:val="16"/>
              </w:rPr>
              <w:t>33.127.368</w:t>
            </w:r>
          </w:p>
        </w:tc>
        <w:tc>
          <w:tcPr>
            <w:tcW w:w="2238" w:type="dxa"/>
          </w:tcPr>
          <w:p w14:paraId="4F3DDF2D" w14:textId="77777777" w:rsidR="007E2F9F" w:rsidRPr="00941F73" w:rsidRDefault="007E2F9F" w:rsidP="006548F8">
            <w:pPr>
              <w:pStyle w:val="Prrafodelista"/>
              <w:ind w:left="0"/>
              <w:jc w:val="right"/>
              <w:rPr>
                <w:rFonts w:ascii="Arial" w:hAnsi="Arial" w:cs="Arial"/>
                <w:b/>
                <w:sz w:val="16"/>
                <w:szCs w:val="16"/>
              </w:rPr>
            </w:pPr>
            <w:r w:rsidRPr="00941F73">
              <w:rPr>
                <w:rFonts w:ascii="Arial" w:hAnsi="Arial" w:cs="Arial"/>
                <w:b/>
                <w:sz w:val="16"/>
                <w:szCs w:val="16"/>
              </w:rPr>
              <w:t>2.732.771</w:t>
            </w:r>
          </w:p>
        </w:tc>
      </w:tr>
      <w:tr w:rsidR="007E2F9F" w:rsidRPr="00042476" w14:paraId="6692B23F" w14:textId="77777777" w:rsidTr="006548F8">
        <w:tc>
          <w:tcPr>
            <w:tcW w:w="3544" w:type="dxa"/>
          </w:tcPr>
          <w:p w14:paraId="1ECE5F90" w14:textId="77777777" w:rsidR="007E2F9F" w:rsidRPr="00941F73" w:rsidRDefault="007E2F9F" w:rsidP="006548F8">
            <w:pPr>
              <w:ind w:right="-1440"/>
              <w:jc w:val="both"/>
              <w:rPr>
                <w:rFonts w:ascii="Arial" w:hAnsi="Arial" w:cs="Arial"/>
                <w:b/>
                <w:sz w:val="18"/>
                <w:szCs w:val="18"/>
                <w:lang w:val="es-ES_tradnl"/>
              </w:rPr>
            </w:pPr>
            <w:r w:rsidRPr="00941F73">
              <w:rPr>
                <w:rFonts w:ascii="Arial" w:hAnsi="Arial" w:cs="Arial"/>
                <w:b/>
                <w:sz w:val="18"/>
                <w:szCs w:val="18"/>
                <w:lang w:val="es-ES_tradnl"/>
              </w:rPr>
              <w:t>INVERSIÓN</w:t>
            </w:r>
          </w:p>
        </w:tc>
        <w:tc>
          <w:tcPr>
            <w:tcW w:w="2354" w:type="dxa"/>
          </w:tcPr>
          <w:p w14:paraId="6E34D0EE" w14:textId="77777777" w:rsidR="007E2F9F" w:rsidRPr="00941F73" w:rsidRDefault="007E2F9F" w:rsidP="006548F8">
            <w:pPr>
              <w:pStyle w:val="Prrafodelista"/>
              <w:ind w:left="0"/>
              <w:jc w:val="right"/>
              <w:rPr>
                <w:rFonts w:ascii="Arial" w:hAnsi="Arial" w:cs="Arial"/>
                <w:b/>
                <w:sz w:val="16"/>
                <w:szCs w:val="16"/>
              </w:rPr>
            </w:pPr>
            <w:r w:rsidRPr="00941F73">
              <w:rPr>
                <w:rFonts w:ascii="Arial" w:hAnsi="Arial" w:cs="Arial"/>
                <w:sz w:val="16"/>
                <w:szCs w:val="16"/>
              </w:rPr>
              <w:t>8.102.000</w:t>
            </w:r>
          </w:p>
        </w:tc>
        <w:tc>
          <w:tcPr>
            <w:tcW w:w="2354" w:type="dxa"/>
          </w:tcPr>
          <w:p w14:paraId="7B402E72" w14:textId="77777777" w:rsidR="007E2F9F" w:rsidRPr="00941F73" w:rsidRDefault="007E2F9F" w:rsidP="006548F8">
            <w:pPr>
              <w:pStyle w:val="Prrafodelista"/>
              <w:ind w:left="0"/>
              <w:jc w:val="right"/>
              <w:rPr>
                <w:rFonts w:ascii="Arial" w:hAnsi="Arial" w:cs="Arial"/>
                <w:b/>
                <w:sz w:val="16"/>
                <w:szCs w:val="16"/>
              </w:rPr>
            </w:pPr>
            <w:r w:rsidRPr="00941F73">
              <w:rPr>
                <w:rFonts w:ascii="Arial" w:hAnsi="Arial" w:cs="Arial"/>
                <w:sz w:val="16"/>
                <w:szCs w:val="16"/>
              </w:rPr>
              <w:t>8.090.715</w:t>
            </w:r>
          </w:p>
        </w:tc>
        <w:tc>
          <w:tcPr>
            <w:tcW w:w="2238" w:type="dxa"/>
          </w:tcPr>
          <w:p w14:paraId="6842D282" w14:textId="77777777" w:rsidR="007E2F9F" w:rsidRPr="00941F73" w:rsidRDefault="007E2F9F" w:rsidP="006548F8">
            <w:pPr>
              <w:pStyle w:val="Prrafodelista"/>
              <w:ind w:left="0"/>
              <w:jc w:val="right"/>
              <w:rPr>
                <w:rFonts w:ascii="Arial" w:hAnsi="Arial" w:cs="Arial"/>
                <w:b/>
                <w:sz w:val="16"/>
                <w:szCs w:val="16"/>
              </w:rPr>
            </w:pPr>
            <w:r w:rsidRPr="00941F73">
              <w:rPr>
                <w:rFonts w:ascii="Arial" w:hAnsi="Arial" w:cs="Arial"/>
                <w:b/>
                <w:sz w:val="16"/>
                <w:szCs w:val="16"/>
              </w:rPr>
              <w:t>11.285</w:t>
            </w:r>
          </w:p>
        </w:tc>
      </w:tr>
      <w:tr w:rsidR="007E2F9F" w:rsidRPr="00042476" w14:paraId="54BA9BCA" w14:textId="77777777" w:rsidTr="006548F8">
        <w:tc>
          <w:tcPr>
            <w:tcW w:w="3544" w:type="dxa"/>
          </w:tcPr>
          <w:p w14:paraId="24CCFFBE" w14:textId="77777777" w:rsidR="007E2F9F" w:rsidRPr="00941F73" w:rsidRDefault="007E2F9F" w:rsidP="006548F8">
            <w:pPr>
              <w:ind w:right="-1440"/>
              <w:jc w:val="both"/>
              <w:rPr>
                <w:rFonts w:ascii="Arial" w:hAnsi="Arial" w:cs="Arial"/>
                <w:b/>
                <w:sz w:val="18"/>
                <w:szCs w:val="18"/>
                <w:lang w:val="es-ES_tradnl"/>
              </w:rPr>
            </w:pPr>
            <w:r w:rsidRPr="00941F73">
              <w:rPr>
                <w:rFonts w:ascii="Arial" w:hAnsi="Arial" w:cs="Arial"/>
                <w:b/>
                <w:sz w:val="18"/>
                <w:szCs w:val="18"/>
                <w:lang w:val="es-ES_tradnl"/>
              </w:rPr>
              <w:t>TOTAL PÉRDIDAS DE APROPIACIÓN</w:t>
            </w:r>
          </w:p>
        </w:tc>
        <w:tc>
          <w:tcPr>
            <w:tcW w:w="2354" w:type="dxa"/>
          </w:tcPr>
          <w:p w14:paraId="677BE23B" w14:textId="77777777" w:rsidR="007E2F9F" w:rsidRPr="00941F73" w:rsidRDefault="007E2F9F" w:rsidP="006548F8">
            <w:pPr>
              <w:pStyle w:val="Prrafodelista"/>
              <w:ind w:left="0"/>
              <w:jc w:val="right"/>
              <w:rPr>
                <w:rFonts w:ascii="Arial" w:hAnsi="Arial" w:cs="Arial"/>
                <w:b/>
                <w:sz w:val="16"/>
                <w:szCs w:val="16"/>
                <w:u w:val="single"/>
              </w:rPr>
            </w:pPr>
            <w:r w:rsidRPr="00941F73">
              <w:rPr>
                <w:rFonts w:ascii="Arial" w:hAnsi="Arial" w:cs="Arial"/>
                <w:b/>
                <w:sz w:val="16"/>
                <w:szCs w:val="16"/>
              </w:rPr>
              <w:t>43.962.139</w:t>
            </w:r>
          </w:p>
        </w:tc>
        <w:tc>
          <w:tcPr>
            <w:tcW w:w="2354" w:type="dxa"/>
          </w:tcPr>
          <w:p w14:paraId="16A2D2D8" w14:textId="77777777" w:rsidR="007E2F9F" w:rsidRPr="00941F73" w:rsidRDefault="007E2F9F" w:rsidP="006548F8">
            <w:pPr>
              <w:pStyle w:val="Prrafodelista"/>
              <w:ind w:left="0"/>
              <w:jc w:val="right"/>
              <w:rPr>
                <w:rFonts w:ascii="Arial" w:hAnsi="Arial" w:cs="Arial"/>
                <w:b/>
                <w:sz w:val="16"/>
                <w:szCs w:val="16"/>
                <w:u w:val="single"/>
              </w:rPr>
            </w:pPr>
            <w:r w:rsidRPr="00941F73">
              <w:rPr>
                <w:rFonts w:ascii="Arial" w:hAnsi="Arial" w:cs="Arial"/>
                <w:b/>
                <w:sz w:val="16"/>
                <w:szCs w:val="16"/>
              </w:rPr>
              <w:t>41.218.083</w:t>
            </w:r>
          </w:p>
        </w:tc>
        <w:tc>
          <w:tcPr>
            <w:tcW w:w="2238" w:type="dxa"/>
          </w:tcPr>
          <w:p w14:paraId="7F7F6109" w14:textId="77777777" w:rsidR="007E2F9F" w:rsidRPr="00941F73" w:rsidRDefault="007E2F9F" w:rsidP="006548F8">
            <w:pPr>
              <w:pStyle w:val="Prrafodelista"/>
              <w:ind w:left="0"/>
              <w:jc w:val="right"/>
              <w:rPr>
                <w:rFonts w:ascii="Arial" w:hAnsi="Arial" w:cs="Arial"/>
                <w:b/>
                <w:sz w:val="16"/>
                <w:szCs w:val="16"/>
                <w:u w:val="single"/>
              </w:rPr>
            </w:pPr>
            <w:r w:rsidRPr="00941F73">
              <w:rPr>
                <w:rFonts w:ascii="Arial" w:hAnsi="Arial" w:cs="Arial"/>
                <w:b/>
                <w:sz w:val="16"/>
                <w:szCs w:val="16"/>
                <w:u w:val="single"/>
              </w:rPr>
              <w:t>2.744.056</w:t>
            </w:r>
          </w:p>
        </w:tc>
      </w:tr>
    </w:tbl>
    <w:p w14:paraId="15F78899" w14:textId="77777777" w:rsidR="007E2F9F" w:rsidRDefault="007E2F9F" w:rsidP="007E2F9F">
      <w:pPr>
        <w:ind w:left="-284" w:right="-234"/>
        <w:jc w:val="both"/>
        <w:rPr>
          <w:rFonts w:ascii="Arial" w:hAnsi="Arial" w:cs="Arial"/>
          <w:b/>
          <w:bCs/>
          <w:sz w:val="28"/>
          <w:szCs w:val="28"/>
          <w:lang w:val="es-MX"/>
        </w:rPr>
      </w:pPr>
    </w:p>
    <w:p w14:paraId="544024DB" w14:textId="77777777" w:rsidR="007E2F9F" w:rsidRPr="00652482" w:rsidRDefault="007E2F9F" w:rsidP="007E2F9F">
      <w:pPr>
        <w:ind w:left="-284"/>
        <w:jc w:val="both"/>
        <w:rPr>
          <w:rFonts w:ascii="Arial" w:hAnsi="Arial" w:cs="Arial"/>
          <w:b/>
          <w:sz w:val="28"/>
          <w:szCs w:val="28"/>
          <w:lang w:val="es-MX"/>
        </w:rPr>
      </w:pPr>
      <w:r w:rsidRPr="00652482">
        <w:rPr>
          <w:rFonts w:ascii="Arial" w:hAnsi="Arial" w:cs="Arial"/>
          <w:b/>
          <w:sz w:val="28"/>
          <w:szCs w:val="28"/>
          <w:lang w:val="es-MX"/>
        </w:rPr>
        <w:t>88.- SENADO DE LA REPÚBLICA.</w:t>
      </w:r>
    </w:p>
    <w:p w14:paraId="3BD2C624" w14:textId="77777777" w:rsidR="007E2F9F" w:rsidRDefault="007E2F9F" w:rsidP="007E2F9F">
      <w:pPr>
        <w:ind w:left="-284" w:right="-234"/>
        <w:jc w:val="both"/>
        <w:rPr>
          <w:rFonts w:ascii="Arial" w:hAnsi="Arial" w:cs="Arial"/>
          <w:b/>
          <w:bCs/>
          <w:sz w:val="28"/>
          <w:szCs w:val="28"/>
          <w:lang w:val="es-MX"/>
        </w:rPr>
      </w:pPr>
    </w:p>
    <w:p w14:paraId="20083217"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75765C1E"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58B8DAD7"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FC2C90" w14:paraId="308E5E31" w14:textId="77777777" w:rsidTr="006548F8">
        <w:tc>
          <w:tcPr>
            <w:tcW w:w="3544" w:type="dxa"/>
          </w:tcPr>
          <w:p w14:paraId="46B05255" w14:textId="77777777" w:rsidR="007E2F9F" w:rsidRPr="00FC2C90" w:rsidRDefault="007E2F9F" w:rsidP="006548F8">
            <w:pPr>
              <w:ind w:left="1169" w:right="-1440"/>
              <w:rPr>
                <w:rFonts w:ascii="Arial" w:hAnsi="Arial" w:cs="Arial"/>
                <w:b/>
                <w:sz w:val="18"/>
                <w:szCs w:val="18"/>
                <w:lang w:val="es-ES_tradnl"/>
              </w:rPr>
            </w:pPr>
            <w:r w:rsidRPr="00FC2C90">
              <w:rPr>
                <w:rFonts w:ascii="Arial" w:hAnsi="Arial" w:cs="Arial"/>
                <w:b/>
                <w:sz w:val="18"/>
                <w:szCs w:val="18"/>
                <w:lang w:val="es-ES_tradnl"/>
              </w:rPr>
              <w:t>TIPO DE GASTO</w:t>
            </w:r>
          </w:p>
        </w:tc>
        <w:tc>
          <w:tcPr>
            <w:tcW w:w="2354" w:type="dxa"/>
          </w:tcPr>
          <w:p w14:paraId="755353C1" w14:textId="77777777" w:rsidR="007E2F9F" w:rsidRPr="00FC2C90" w:rsidRDefault="007E2F9F" w:rsidP="006548F8">
            <w:pPr>
              <w:jc w:val="center"/>
              <w:rPr>
                <w:rFonts w:ascii="Arial" w:hAnsi="Arial" w:cs="Arial"/>
                <w:b/>
                <w:sz w:val="18"/>
                <w:szCs w:val="18"/>
                <w:lang w:val="es-ES_tradnl"/>
              </w:rPr>
            </w:pPr>
            <w:r w:rsidRPr="00FC2C90">
              <w:rPr>
                <w:rFonts w:ascii="Arial" w:hAnsi="Arial" w:cs="Arial"/>
                <w:b/>
                <w:sz w:val="18"/>
                <w:szCs w:val="18"/>
                <w:lang w:val="es-ES_tradnl"/>
              </w:rPr>
              <w:t>APROPIACIÓN</w:t>
            </w:r>
          </w:p>
          <w:p w14:paraId="18C0FAE4" w14:textId="77777777" w:rsidR="007E2F9F" w:rsidRPr="00FC2C90" w:rsidRDefault="007E2F9F" w:rsidP="006548F8">
            <w:pPr>
              <w:jc w:val="center"/>
              <w:rPr>
                <w:rFonts w:ascii="Arial" w:hAnsi="Arial" w:cs="Arial"/>
                <w:b/>
                <w:sz w:val="18"/>
                <w:szCs w:val="18"/>
                <w:lang w:val="es-ES_tradnl"/>
              </w:rPr>
            </w:pPr>
            <w:r w:rsidRPr="00FC2C90">
              <w:rPr>
                <w:rFonts w:ascii="Arial" w:hAnsi="Arial" w:cs="Arial"/>
                <w:b/>
                <w:sz w:val="18"/>
                <w:szCs w:val="18"/>
                <w:lang w:val="es-ES_tradnl"/>
              </w:rPr>
              <w:t>DEFINITIVA</w:t>
            </w:r>
          </w:p>
          <w:p w14:paraId="3E65C655" w14:textId="77777777" w:rsidR="007E2F9F" w:rsidRPr="00FC2C90" w:rsidRDefault="007E2F9F" w:rsidP="006548F8">
            <w:pPr>
              <w:jc w:val="center"/>
              <w:rPr>
                <w:rFonts w:ascii="Arial" w:hAnsi="Arial" w:cs="Arial"/>
                <w:b/>
                <w:sz w:val="18"/>
                <w:szCs w:val="18"/>
                <w:lang w:val="es-ES_tradnl"/>
              </w:rPr>
            </w:pPr>
            <w:r w:rsidRPr="00FC2C90">
              <w:rPr>
                <w:rFonts w:ascii="Arial" w:hAnsi="Arial" w:cs="Arial"/>
                <w:b/>
                <w:sz w:val="18"/>
                <w:szCs w:val="18"/>
                <w:lang w:val="es-ES_tradnl"/>
              </w:rPr>
              <w:t>(1)</w:t>
            </w:r>
          </w:p>
          <w:p w14:paraId="61768BFC" w14:textId="77777777" w:rsidR="007E2F9F" w:rsidRPr="00FC2C90" w:rsidRDefault="007E2F9F" w:rsidP="006548F8">
            <w:pPr>
              <w:jc w:val="center"/>
              <w:rPr>
                <w:rFonts w:ascii="Arial" w:hAnsi="Arial" w:cs="Arial"/>
                <w:b/>
                <w:sz w:val="18"/>
                <w:szCs w:val="18"/>
                <w:lang w:val="es-ES_tradnl"/>
              </w:rPr>
            </w:pPr>
          </w:p>
        </w:tc>
        <w:tc>
          <w:tcPr>
            <w:tcW w:w="2354" w:type="dxa"/>
          </w:tcPr>
          <w:p w14:paraId="1BE52BF9" w14:textId="77777777" w:rsidR="007E2F9F" w:rsidRPr="00FC2C90" w:rsidRDefault="007E2F9F" w:rsidP="006548F8">
            <w:pPr>
              <w:ind w:left="145" w:right="184"/>
              <w:jc w:val="center"/>
              <w:rPr>
                <w:rFonts w:ascii="Arial" w:hAnsi="Arial" w:cs="Arial"/>
                <w:b/>
                <w:sz w:val="18"/>
                <w:szCs w:val="18"/>
                <w:lang w:val="es-ES_tradnl"/>
              </w:rPr>
            </w:pPr>
            <w:r w:rsidRPr="00FC2C90">
              <w:rPr>
                <w:rFonts w:ascii="Arial" w:hAnsi="Arial" w:cs="Arial"/>
                <w:b/>
                <w:sz w:val="18"/>
                <w:szCs w:val="18"/>
                <w:lang w:val="es-ES_tradnl"/>
              </w:rPr>
              <w:t>EJECUCIÓN</w:t>
            </w:r>
          </w:p>
          <w:p w14:paraId="41D4B8BD"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COMPROMISOS</w:t>
            </w:r>
          </w:p>
          <w:p w14:paraId="18BFF6DD"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(2)</w:t>
            </w:r>
          </w:p>
        </w:tc>
        <w:tc>
          <w:tcPr>
            <w:tcW w:w="2238" w:type="dxa"/>
          </w:tcPr>
          <w:p w14:paraId="176E4BB6" w14:textId="77777777" w:rsidR="007E2F9F" w:rsidRPr="00FC2C90" w:rsidRDefault="007E2F9F" w:rsidP="006548F8">
            <w:pPr>
              <w:ind w:left="25" w:right="34"/>
              <w:jc w:val="center"/>
              <w:rPr>
                <w:rFonts w:ascii="Arial" w:hAnsi="Arial" w:cs="Arial"/>
                <w:b/>
                <w:sz w:val="18"/>
                <w:szCs w:val="18"/>
                <w:lang w:val="es-ES_tradnl"/>
              </w:rPr>
            </w:pPr>
            <w:r w:rsidRPr="00FC2C90">
              <w:rPr>
                <w:rFonts w:ascii="Arial" w:hAnsi="Arial" w:cs="Arial"/>
                <w:b/>
                <w:sz w:val="18"/>
                <w:szCs w:val="18"/>
                <w:lang w:val="es-ES_tradnl"/>
              </w:rPr>
              <w:t>PÉRDIDAS DE</w:t>
            </w:r>
          </w:p>
          <w:p w14:paraId="7D5B4D45"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APROPIACIÓN</w:t>
            </w:r>
          </w:p>
          <w:p w14:paraId="32B04D33"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3 = (1-2)</w:t>
            </w:r>
          </w:p>
        </w:tc>
      </w:tr>
      <w:tr w:rsidR="007E2F9F" w:rsidRPr="00FC2C90" w14:paraId="6A95AE76" w14:textId="77777777" w:rsidTr="006548F8">
        <w:trPr>
          <w:trHeight w:val="230"/>
        </w:trPr>
        <w:tc>
          <w:tcPr>
            <w:tcW w:w="3544" w:type="dxa"/>
          </w:tcPr>
          <w:p w14:paraId="60C04E46" w14:textId="77777777" w:rsidR="007E2F9F" w:rsidRPr="00FC2C90" w:rsidRDefault="007E2F9F" w:rsidP="006548F8">
            <w:pPr>
              <w:ind w:right="-1440"/>
              <w:jc w:val="both"/>
              <w:rPr>
                <w:rFonts w:ascii="Arial" w:hAnsi="Arial" w:cs="Arial"/>
                <w:b/>
                <w:sz w:val="18"/>
                <w:szCs w:val="18"/>
                <w:lang w:val="es-ES_tradnl"/>
              </w:rPr>
            </w:pPr>
            <w:r w:rsidRPr="00FC2C90">
              <w:rPr>
                <w:rFonts w:ascii="Arial" w:hAnsi="Arial" w:cs="Arial"/>
                <w:b/>
                <w:sz w:val="18"/>
                <w:szCs w:val="18"/>
                <w:lang w:val="es-ES_tradnl"/>
              </w:rPr>
              <w:t>FUNCIONAMIENTO</w:t>
            </w:r>
          </w:p>
        </w:tc>
        <w:tc>
          <w:tcPr>
            <w:tcW w:w="2354" w:type="dxa"/>
          </w:tcPr>
          <w:p w14:paraId="4C87B06A" w14:textId="77777777" w:rsidR="007E2F9F" w:rsidRPr="00FC2C90" w:rsidRDefault="007E2F9F" w:rsidP="006548F8">
            <w:pPr>
              <w:jc w:val="right"/>
              <w:rPr>
                <w:rFonts w:ascii="Arial" w:eastAsia="Calibri" w:hAnsi="Arial" w:cs="Arial"/>
                <w:b/>
                <w:sz w:val="16"/>
                <w:szCs w:val="16"/>
                <w:lang w:val="es-CO"/>
              </w:rPr>
            </w:pPr>
            <w:r w:rsidRPr="00FC2C90">
              <w:rPr>
                <w:rFonts w:ascii="Arial" w:eastAsia="Calibri" w:hAnsi="Arial" w:cs="Arial"/>
                <w:sz w:val="16"/>
                <w:szCs w:val="16"/>
                <w:lang w:val="es-CO"/>
              </w:rPr>
              <w:t>426.298.500</w:t>
            </w:r>
          </w:p>
        </w:tc>
        <w:tc>
          <w:tcPr>
            <w:tcW w:w="2354" w:type="dxa"/>
          </w:tcPr>
          <w:p w14:paraId="0C87BC4F" w14:textId="77777777" w:rsidR="007E2F9F" w:rsidRPr="00FC2C90" w:rsidRDefault="007E2F9F" w:rsidP="006548F8">
            <w:pPr>
              <w:pStyle w:val="Prrafodelista"/>
              <w:ind w:left="0"/>
              <w:jc w:val="right"/>
              <w:rPr>
                <w:rFonts w:ascii="Arial" w:hAnsi="Arial" w:cs="Arial"/>
                <w:b/>
                <w:sz w:val="16"/>
                <w:szCs w:val="16"/>
              </w:rPr>
            </w:pPr>
            <w:r w:rsidRPr="00FC2C90">
              <w:rPr>
                <w:rFonts w:ascii="Arial" w:eastAsia="Calibri" w:hAnsi="Arial" w:cs="Arial"/>
                <w:sz w:val="16"/>
                <w:szCs w:val="16"/>
                <w:lang w:val="es-CO"/>
              </w:rPr>
              <w:t>397.516.199</w:t>
            </w:r>
          </w:p>
        </w:tc>
        <w:tc>
          <w:tcPr>
            <w:tcW w:w="2238" w:type="dxa"/>
          </w:tcPr>
          <w:p w14:paraId="4E4FE875" w14:textId="77777777" w:rsidR="007E2F9F" w:rsidRPr="00FC2C90" w:rsidRDefault="007E2F9F" w:rsidP="006548F8">
            <w:pPr>
              <w:pStyle w:val="Prrafodelista"/>
              <w:ind w:left="0"/>
              <w:jc w:val="right"/>
              <w:rPr>
                <w:rFonts w:ascii="Arial" w:hAnsi="Arial" w:cs="Arial"/>
                <w:b/>
                <w:sz w:val="16"/>
                <w:szCs w:val="16"/>
              </w:rPr>
            </w:pPr>
            <w:r w:rsidRPr="00FC2C90">
              <w:rPr>
                <w:rFonts w:ascii="Arial" w:hAnsi="Arial" w:cs="Arial"/>
                <w:b/>
                <w:sz w:val="16"/>
                <w:szCs w:val="16"/>
              </w:rPr>
              <w:t>28.782.301</w:t>
            </w:r>
          </w:p>
        </w:tc>
      </w:tr>
      <w:tr w:rsidR="007E2F9F" w:rsidRPr="00FC2C90" w14:paraId="20CBA854" w14:textId="77777777" w:rsidTr="006548F8">
        <w:tc>
          <w:tcPr>
            <w:tcW w:w="3544" w:type="dxa"/>
          </w:tcPr>
          <w:p w14:paraId="0B52DC88" w14:textId="77777777" w:rsidR="007E2F9F" w:rsidRPr="00FC2C90" w:rsidRDefault="007E2F9F" w:rsidP="006548F8">
            <w:pPr>
              <w:ind w:right="-1440"/>
              <w:jc w:val="both"/>
              <w:rPr>
                <w:rFonts w:ascii="Arial" w:hAnsi="Arial" w:cs="Arial"/>
                <w:b/>
                <w:sz w:val="18"/>
                <w:szCs w:val="18"/>
                <w:lang w:val="es-ES_tradnl"/>
              </w:rPr>
            </w:pPr>
            <w:r w:rsidRPr="00FC2C90">
              <w:rPr>
                <w:rFonts w:ascii="Arial" w:hAnsi="Arial" w:cs="Arial"/>
                <w:b/>
                <w:sz w:val="18"/>
                <w:szCs w:val="18"/>
                <w:lang w:val="es-ES_tradnl"/>
              </w:rPr>
              <w:t>INVERSIÓN</w:t>
            </w:r>
          </w:p>
        </w:tc>
        <w:tc>
          <w:tcPr>
            <w:tcW w:w="2354" w:type="dxa"/>
          </w:tcPr>
          <w:p w14:paraId="04E303F5" w14:textId="77777777" w:rsidR="007E2F9F" w:rsidRPr="00FC2C90" w:rsidRDefault="007E2F9F" w:rsidP="006548F8">
            <w:pPr>
              <w:pStyle w:val="Prrafodelista"/>
              <w:ind w:left="0"/>
              <w:jc w:val="right"/>
              <w:rPr>
                <w:rFonts w:ascii="Arial" w:hAnsi="Arial" w:cs="Arial"/>
                <w:b/>
                <w:sz w:val="16"/>
                <w:szCs w:val="16"/>
              </w:rPr>
            </w:pPr>
            <w:r w:rsidRPr="00FC2C90">
              <w:rPr>
                <w:rFonts w:ascii="Arial" w:eastAsia="Calibri" w:hAnsi="Arial" w:cs="Arial"/>
                <w:sz w:val="16"/>
                <w:szCs w:val="16"/>
                <w:lang w:val="es-CO"/>
              </w:rPr>
              <w:t>100.000.000</w:t>
            </w:r>
          </w:p>
        </w:tc>
        <w:tc>
          <w:tcPr>
            <w:tcW w:w="2354" w:type="dxa"/>
          </w:tcPr>
          <w:p w14:paraId="141B8A79" w14:textId="77777777" w:rsidR="007E2F9F" w:rsidRPr="00FC2C90" w:rsidRDefault="007E2F9F" w:rsidP="006548F8">
            <w:pPr>
              <w:pStyle w:val="Prrafodelista"/>
              <w:ind w:left="0"/>
              <w:jc w:val="right"/>
              <w:rPr>
                <w:rFonts w:ascii="Arial" w:hAnsi="Arial" w:cs="Arial"/>
                <w:b/>
                <w:sz w:val="16"/>
                <w:szCs w:val="16"/>
              </w:rPr>
            </w:pPr>
            <w:r w:rsidRPr="00FC2C90">
              <w:rPr>
                <w:rFonts w:ascii="Arial" w:eastAsia="Calibri" w:hAnsi="Arial" w:cs="Arial"/>
                <w:sz w:val="16"/>
                <w:szCs w:val="16"/>
                <w:lang w:val="es-CO"/>
              </w:rPr>
              <w:t>97.204.599</w:t>
            </w:r>
          </w:p>
        </w:tc>
        <w:tc>
          <w:tcPr>
            <w:tcW w:w="2238" w:type="dxa"/>
          </w:tcPr>
          <w:p w14:paraId="7F9C0DD5" w14:textId="77777777" w:rsidR="007E2F9F" w:rsidRPr="00FC2C90" w:rsidRDefault="007E2F9F" w:rsidP="006548F8">
            <w:pPr>
              <w:pStyle w:val="Prrafodelista"/>
              <w:ind w:left="0"/>
              <w:jc w:val="right"/>
              <w:rPr>
                <w:rFonts w:ascii="Arial" w:hAnsi="Arial" w:cs="Arial"/>
                <w:b/>
                <w:sz w:val="16"/>
                <w:szCs w:val="16"/>
              </w:rPr>
            </w:pPr>
            <w:r w:rsidRPr="00FC2C90">
              <w:rPr>
                <w:rFonts w:ascii="Arial" w:hAnsi="Arial" w:cs="Arial"/>
                <w:b/>
                <w:sz w:val="16"/>
                <w:szCs w:val="16"/>
              </w:rPr>
              <w:t>2.795.401</w:t>
            </w:r>
          </w:p>
        </w:tc>
      </w:tr>
      <w:tr w:rsidR="007E2F9F" w:rsidRPr="00FC2C90" w14:paraId="23A0A7A4" w14:textId="77777777" w:rsidTr="006548F8">
        <w:tc>
          <w:tcPr>
            <w:tcW w:w="3544" w:type="dxa"/>
          </w:tcPr>
          <w:p w14:paraId="40057369" w14:textId="77777777" w:rsidR="007E2F9F" w:rsidRPr="00FC2C90" w:rsidRDefault="007E2F9F" w:rsidP="006548F8">
            <w:pPr>
              <w:ind w:right="-1440"/>
              <w:jc w:val="both"/>
              <w:rPr>
                <w:rFonts w:ascii="Arial" w:hAnsi="Arial" w:cs="Arial"/>
                <w:b/>
                <w:sz w:val="18"/>
                <w:szCs w:val="18"/>
                <w:lang w:val="es-ES_tradnl"/>
              </w:rPr>
            </w:pPr>
            <w:r w:rsidRPr="00FC2C90">
              <w:rPr>
                <w:rFonts w:ascii="Arial" w:hAnsi="Arial" w:cs="Arial"/>
                <w:b/>
                <w:sz w:val="18"/>
                <w:szCs w:val="18"/>
                <w:lang w:val="es-ES_tradnl"/>
              </w:rPr>
              <w:t>TOTAL PÉRDIDAS DE APROPIACIÓN</w:t>
            </w:r>
          </w:p>
        </w:tc>
        <w:tc>
          <w:tcPr>
            <w:tcW w:w="2354" w:type="dxa"/>
          </w:tcPr>
          <w:p w14:paraId="2C295544" w14:textId="77777777" w:rsidR="007E2F9F" w:rsidRPr="00FC2C90" w:rsidRDefault="007E2F9F" w:rsidP="006548F8">
            <w:pPr>
              <w:pStyle w:val="Prrafodelista"/>
              <w:ind w:left="0"/>
              <w:jc w:val="right"/>
              <w:rPr>
                <w:rFonts w:ascii="Arial" w:hAnsi="Arial" w:cs="Arial"/>
                <w:b/>
                <w:sz w:val="16"/>
                <w:szCs w:val="16"/>
                <w:u w:val="single"/>
              </w:rPr>
            </w:pPr>
            <w:r w:rsidRPr="00FC2C90">
              <w:rPr>
                <w:rFonts w:ascii="Arial" w:hAnsi="Arial" w:cs="Arial"/>
                <w:b/>
                <w:sz w:val="16"/>
                <w:szCs w:val="16"/>
              </w:rPr>
              <w:t>527.404.500</w:t>
            </w:r>
          </w:p>
        </w:tc>
        <w:tc>
          <w:tcPr>
            <w:tcW w:w="2354" w:type="dxa"/>
          </w:tcPr>
          <w:p w14:paraId="48B8EE8A" w14:textId="77777777" w:rsidR="007E2F9F" w:rsidRPr="00FC2C90" w:rsidRDefault="007E2F9F" w:rsidP="006548F8">
            <w:pPr>
              <w:pStyle w:val="Prrafodelista"/>
              <w:ind w:left="0"/>
              <w:jc w:val="right"/>
              <w:rPr>
                <w:rFonts w:ascii="Arial" w:hAnsi="Arial" w:cs="Arial"/>
                <w:b/>
                <w:sz w:val="16"/>
                <w:szCs w:val="16"/>
                <w:u w:val="single"/>
              </w:rPr>
            </w:pPr>
            <w:r w:rsidRPr="00FC2C90">
              <w:rPr>
                <w:rFonts w:ascii="Arial" w:hAnsi="Arial" w:cs="Arial"/>
                <w:b/>
                <w:sz w:val="16"/>
                <w:szCs w:val="16"/>
              </w:rPr>
              <w:t>495.826.449</w:t>
            </w:r>
          </w:p>
        </w:tc>
        <w:tc>
          <w:tcPr>
            <w:tcW w:w="2238" w:type="dxa"/>
          </w:tcPr>
          <w:p w14:paraId="79A3FFFE" w14:textId="77777777" w:rsidR="007E2F9F" w:rsidRPr="00FC2C90" w:rsidRDefault="007E2F9F" w:rsidP="006548F8">
            <w:pPr>
              <w:pStyle w:val="Prrafodelista"/>
              <w:ind w:left="0"/>
              <w:jc w:val="right"/>
              <w:rPr>
                <w:rFonts w:ascii="Arial" w:hAnsi="Arial" w:cs="Arial"/>
                <w:b/>
                <w:sz w:val="16"/>
                <w:szCs w:val="16"/>
                <w:u w:val="single"/>
              </w:rPr>
            </w:pPr>
            <w:r w:rsidRPr="00FC2C90">
              <w:rPr>
                <w:rFonts w:ascii="Arial" w:hAnsi="Arial" w:cs="Arial"/>
                <w:b/>
                <w:sz w:val="16"/>
                <w:szCs w:val="16"/>
                <w:u w:val="single"/>
              </w:rPr>
              <w:t>31.578.051</w:t>
            </w:r>
          </w:p>
        </w:tc>
      </w:tr>
    </w:tbl>
    <w:p w14:paraId="2E160ECF" w14:textId="77777777" w:rsidR="007E2F9F" w:rsidRPr="00C23C0F" w:rsidRDefault="007E2F9F" w:rsidP="007E2F9F">
      <w:pPr>
        <w:ind w:left="-284"/>
        <w:jc w:val="both"/>
        <w:rPr>
          <w:rFonts w:ascii="Arial" w:hAnsi="Arial" w:cs="Arial"/>
          <w:b/>
          <w:sz w:val="28"/>
          <w:szCs w:val="28"/>
          <w:lang w:val="es-MX"/>
        </w:rPr>
      </w:pPr>
      <w:r w:rsidRPr="00C23C0F">
        <w:rPr>
          <w:rFonts w:ascii="Arial" w:hAnsi="Arial" w:cs="Arial"/>
          <w:b/>
          <w:sz w:val="28"/>
          <w:szCs w:val="28"/>
          <w:lang w:val="es-MX"/>
        </w:rPr>
        <w:lastRenderedPageBreak/>
        <w:t>89.- CORPORACIÓN AGENCIA NACIONAL DE GOBIERNO DIGITAL - AND.</w:t>
      </w:r>
    </w:p>
    <w:p w14:paraId="1F42F6D7" w14:textId="77777777" w:rsidR="007E2F9F" w:rsidRDefault="007E2F9F" w:rsidP="007E2F9F">
      <w:pPr>
        <w:ind w:left="-284" w:right="-234"/>
        <w:jc w:val="both"/>
        <w:rPr>
          <w:rFonts w:ascii="Arial" w:hAnsi="Arial" w:cs="Arial"/>
          <w:b/>
          <w:bCs/>
          <w:sz w:val="28"/>
          <w:szCs w:val="28"/>
          <w:lang w:val="es-MX"/>
        </w:rPr>
      </w:pPr>
    </w:p>
    <w:p w14:paraId="67044F33"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2B5F411A"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005159AB"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FC2C90" w14:paraId="6E881CE9" w14:textId="77777777" w:rsidTr="006548F8">
        <w:tc>
          <w:tcPr>
            <w:tcW w:w="3544" w:type="dxa"/>
          </w:tcPr>
          <w:p w14:paraId="4BE992B8" w14:textId="77777777" w:rsidR="007E2F9F" w:rsidRPr="00FC2C90" w:rsidRDefault="007E2F9F" w:rsidP="006548F8">
            <w:pPr>
              <w:ind w:left="1169" w:right="-1440"/>
              <w:rPr>
                <w:rFonts w:ascii="Arial" w:hAnsi="Arial" w:cs="Arial"/>
                <w:b/>
                <w:sz w:val="18"/>
                <w:szCs w:val="18"/>
                <w:lang w:val="es-ES_tradnl"/>
              </w:rPr>
            </w:pPr>
            <w:r w:rsidRPr="00FC2C90">
              <w:rPr>
                <w:rFonts w:ascii="Arial" w:hAnsi="Arial" w:cs="Arial"/>
                <w:b/>
                <w:sz w:val="18"/>
                <w:szCs w:val="18"/>
                <w:lang w:val="es-ES_tradnl"/>
              </w:rPr>
              <w:t>TIPO DE GASTO</w:t>
            </w:r>
          </w:p>
        </w:tc>
        <w:tc>
          <w:tcPr>
            <w:tcW w:w="2354" w:type="dxa"/>
          </w:tcPr>
          <w:p w14:paraId="5AAE6D04" w14:textId="77777777" w:rsidR="007E2F9F" w:rsidRPr="00FC2C90" w:rsidRDefault="007E2F9F" w:rsidP="006548F8">
            <w:pPr>
              <w:jc w:val="center"/>
              <w:rPr>
                <w:rFonts w:ascii="Arial" w:hAnsi="Arial" w:cs="Arial"/>
                <w:b/>
                <w:sz w:val="18"/>
                <w:szCs w:val="18"/>
                <w:lang w:val="es-ES_tradnl"/>
              </w:rPr>
            </w:pPr>
            <w:r w:rsidRPr="00FC2C90">
              <w:rPr>
                <w:rFonts w:ascii="Arial" w:hAnsi="Arial" w:cs="Arial"/>
                <w:b/>
                <w:sz w:val="18"/>
                <w:szCs w:val="18"/>
                <w:lang w:val="es-ES_tradnl"/>
              </w:rPr>
              <w:t>APROPIACIÓN</w:t>
            </w:r>
          </w:p>
          <w:p w14:paraId="70992850" w14:textId="77777777" w:rsidR="007E2F9F" w:rsidRPr="00FC2C90" w:rsidRDefault="007E2F9F" w:rsidP="006548F8">
            <w:pPr>
              <w:jc w:val="center"/>
              <w:rPr>
                <w:rFonts w:ascii="Arial" w:hAnsi="Arial" w:cs="Arial"/>
                <w:b/>
                <w:sz w:val="18"/>
                <w:szCs w:val="18"/>
                <w:lang w:val="es-ES_tradnl"/>
              </w:rPr>
            </w:pPr>
            <w:r w:rsidRPr="00FC2C90">
              <w:rPr>
                <w:rFonts w:ascii="Arial" w:hAnsi="Arial" w:cs="Arial"/>
                <w:b/>
                <w:sz w:val="18"/>
                <w:szCs w:val="18"/>
                <w:lang w:val="es-ES_tradnl"/>
              </w:rPr>
              <w:t>DEFINITIVA</w:t>
            </w:r>
          </w:p>
          <w:p w14:paraId="3EAC7A8D" w14:textId="77777777" w:rsidR="007E2F9F" w:rsidRPr="00FC2C90" w:rsidRDefault="007E2F9F" w:rsidP="006548F8">
            <w:pPr>
              <w:jc w:val="center"/>
              <w:rPr>
                <w:rFonts w:ascii="Arial" w:hAnsi="Arial" w:cs="Arial"/>
                <w:b/>
                <w:sz w:val="18"/>
                <w:szCs w:val="18"/>
                <w:lang w:val="es-ES_tradnl"/>
              </w:rPr>
            </w:pPr>
            <w:r w:rsidRPr="00FC2C90">
              <w:rPr>
                <w:rFonts w:ascii="Arial" w:hAnsi="Arial" w:cs="Arial"/>
                <w:b/>
                <w:sz w:val="18"/>
                <w:szCs w:val="18"/>
                <w:lang w:val="es-ES_tradnl"/>
              </w:rPr>
              <w:t>(1)</w:t>
            </w:r>
          </w:p>
          <w:p w14:paraId="79E645DE" w14:textId="77777777" w:rsidR="007E2F9F" w:rsidRPr="00FC2C90" w:rsidRDefault="007E2F9F" w:rsidP="006548F8">
            <w:pPr>
              <w:jc w:val="center"/>
              <w:rPr>
                <w:rFonts w:ascii="Arial" w:hAnsi="Arial" w:cs="Arial"/>
                <w:b/>
                <w:sz w:val="18"/>
                <w:szCs w:val="18"/>
                <w:lang w:val="es-ES_tradnl"/>
              </w:rPr>
            </w:pPr>
          </w:p>
        </w:tc>
        <w:tc>
          <w:tcPr>
            <w:tcW w:w="2354" w:type="dxa"/>
          </w:tcPr>
          <w:p w14:paraId="12133CE7" w14:textId="77777777" w:rsidR="007E2F9F" w:rsidRPr="00FC2C90" w:rsidRDefault="007E2F9F" w:rsidP="006548F8">
            <w:pPr>
              <w:ind w:left="145" w:right="184"/>
              <w:jc w:val="center"/>
              <w:rPr>
                <w:rFonts w:ascii="Arial" w:hAnsi="Arial" w:cs="Arial"/>
                <w:b/>
                <w:sz w:val="18"/>
                <w:szCs w:val="18"/>
                <w:lang w:val="es-ES_tradnl"/>
              </w:rPr>
            </w:pPr>
            <w:r w:rsidRPr="00FC2C90">
              <w:rPr>
                <w:rFonts w:ascii="Arial" w:hAnsi="Arial" w:cs="Arial"/>
                <w:b/>
                <w:sz w:val="18"/>
                <w:szCs w:val="18"/>
                <w:lang w:val="es-ES_tradnl"/>
              </w:rPr>
              <w:t>EJECUCIÓN</w:t>
            </w:r>
          </w:p>
          <w:p w14:paraId="07142916"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COMPROMISOS</w:t>
            </w:r>
          </w:p>
          <w:p w14:paraId="2B78E931"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(2)</w:t>
            </w:r>
          </w:p>
        </w:tc>
        <w:tc>
          <w:tcPr>
            <w:tcW w:w="2238" w:type="dxa"/>
          </w:tcPr>
          <w:p w14:paraId="5896B91E" w14:textId="77777777" w:rsidR="007E2F9F" w:rsidRPr="00FC2C90" w:rsidRDefault="007E2F9F" w:rsidP="006548F8">
            <w:pPr>
              <w:ind w:left="25" w:right="34"/>
              <w:jc w:val="center"/>
              <w:rPr>
                <w:rFonts w:ascii="Arial" w:hAnsi="Arial" w:cs="Arial"/>
                <w:b/>
                <w:sz w:val="18"/>
                <w:szCs w:val="18"/>
                <w:lang w:val="es-ES_tradnl"/>
              </w:rPr>
            </w:pPr>
            <w:r w:rsidRPr="00FC2C90">
              <w:rPr>
                <w:rFonts w:ascii="Arial" w:hAnsi="Arial" w:cs="Arial"/>
                <w:b/>
                <w:sz w:val="18"/>
                <w:szCs w:val="18"/>
                <w:lang w:val="es-ES_tradnl"/>
              </w:rPr>
              <w:t>PÉRDIDAS DE</w:t>
            </w:r>
          </w:p>
          <w:p w14:paraId="29489635"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APROPIACIÓN</w:t>
            </w:r>
          </w:p>
          <w:p w14:paraId="60B72EB7" w14:textId="77777777" w:rsidR="007E2F9F" w:rsidRPr="00FC2C90" w:rsidRDefault="007E2F9F" w:rsidP="006548F8">
            <w:pPr>
              <w:ind w:right="34"/>
              <w:jc w:val="center"/>
              <w:rPr>
                <w:rFonts w:ascii="Arial" w:hAnsi="Arial" w:cs="Arial"/>
                <w:b/>
                <w:sz w:val="18"/>
                <w:szCs w:val="18"/>
                <w:lang w:val="es-ES_tradnl"/>
              </w:rPr>
            </w:pPr>
            <w:r w:rsidRPr="00FC2C90">
              <w:rPr>
                <w:rFonts w:ascii="Arial" w:hAnsi="Arial" w:cs="Arial"/>
                <w:b/>
                <w:sz w:val="18"/>
                <w:szCs w:val="18"/>
                <w:lang w:val="es-ES_tradnl"/>
              </w:rPr>
              <w:t>3 = (1-2)</w:t>
            </w:r>
          </w:p>
        </w:tc>
      </w:tr>
      <w:tr w:rsidR="007E2F9F" w:rsidRPr="00FC2C90" w14:paraId="579F2F50" w14:textId="77777777" w:rsidTr="006548F8">
        <w:trPr>
          <w:trHeight w:val="230"/>
        </w:trPr>
        <w:tc>
          <w:tcPr>
            <w:tcW w:w="3544" w:type="dxa"/>
          </w:tcPr>
          <w:p w14:paraId="76CA0F33" w14:textId="77777777" w:rsidR="007E2F9F" w:rsidRPr="00FC2C90" w:rsidRDefault="007E2F9F" w:rsidP="006548F8">
            <w:pPr>
              <w:ind w:right="-1440"/>
              <w:jc w:val="both"/>
              <w:rPr>
                <w:rFonts w:ascii="Arial" w:hAnsi="Arial" w:cs="Arial"/>
                <w:b/>
                <w:sz w:val="18"/>
                <w:szCs w:val="18"/>
                <w:lang w:val="es-ES_tradnl"/>
              </w:rPr>
            </w:pPr>
            <w:r w:rsidRPr="00FC2C90">
              <w:rPr>
                <w:rFonts w:ascii="Arial" w:hAnsi="Arial" w:cs="Arial"/>
                <w:b/>
                <w:sz w:val="18"/>
                <w:szCs w:val="18"/>
                <w:lang w:val="es-ES_tradnl"/>
              </w:rPr>
              <w:t>FUNCIONAMIENTO</w:t>
            </w:r>
          </w:p>
        </w:tc>
        <w:tc>
          <w:tcPr>
            <w:tcW w:w="2354" w:type="dxa"/>
            <w:vAlign w:val="center"/>
          </w:tcPr>
          <w:p w14:paraId="40B621C5" w14:textId="77777777" w:rsidR="007E2F9F" w:rsidRPr="00FC2C90" w:rsidRDefault="007E2F9F" w:rsidP="006548F8">
            <w:pPr>
              <w:jc w:val="right"/>
              <w:rPr>
                <w:rFonts w:ascii="Arial" w:eastAsia="Calibri" w:hAnsi="Arial" w:cs="Arial"/>
                <w:b/>
                <w:sz w:val="16"/>
                <w:szCs w:val="16"/>
                <w:lang w:val="es-CO"/>
              </w:rPr>
            </w:pPr>
            <w:r w:rsidRPr="1D4AF0C3">
              <w:rPr>
                <w:rFonts w:ascii="Arial" w:hAnsi="Arial" w:cs="Arial"/>
                <w:b/>
                <w:bCs/>
                <w:color w:val="44546A" w:themeColor="text2"/>
              </w:rPr>
              <w:t>4.678.278</w:t>
            </w:r>
          </w:p>
        </w:tc>
        <w:tc>
          <w:tcPr>
            <w:tcW w:w="2354" w:type="dxa"/>
            <w:vAlign w:val="center"/>
          </w:tcPr>
          <w:p w14:paraId="263A615A" w14:textId="77777777" w:rsidR="007E2F9F" w:rsidRPr="00FC2C90" w:rsidRDefault="007E2F9F" w:rsidP="006548F8">
            <w:pPr>
              <w:pStyle w:val="Prrafodelista"/>
              <w:ind w:left="0"/>
              <w:jc w:val="right"/>
              <w:rPr>
                <w:rFonts w:ascii="Arial" w:hAnsi="Arial" w:cs="Arial"/>
                <w:b/>
                <w:sz w:val="16"/>
                <w:szCs w:val="16"/>
              </w:rPr>
            </w:pPr>
            <w:r w:rsidRPr="1D4AF0C3">
              <w:rPr>
                <w:rFonts w:ascii="Arial" w:hAnsi="Arial" w:cs="Arial"/>
                <w:b/>
                <w:bCs/>
                <w:color w:val="44546A" w:themeColor="text2"/>
              </w:rPr>
              <w:t>3.029.737</w:t>
            </w:r>
          </w:p>
        </w:tc>
        <w:tc>
          <w:tcPr>
            <w:tcW w:w="2238" w:type="dxa"/>
            <w:vAlign w:val="center"/>
          </w:tcPr>
          <w:p w14:paraId="28B58AEB" w14:textId="77777777" w:rsidR="007E2F9F" w:rsidRPr="00FC2C90" w:rsidRDefault="007E2F9F" w:rsidP="006548F8">
            <w:pPr>
              <w:pStyle w:val="Prrafodelista"/>
              <w:ind w:left="0"/>
              <w:jc w:val="right"/>
              <w:rPr>
                <w:rFonts w:ascii="Arial" w:hAnsi="Arial" w:cs="Arial"/>
                <w:b/>
                <w:sz w:val="16"/>
                <w:szCs w:val="16"/>
              </w:rPr>
            </w:pPr>
            <w:r w:rsidRPr="1D4AF0C3">
              <w:rPr>
                <w:rFonts w:ascii="Arial" w:hAnsi="Arial" w:cs="Arial"/>
                <w:b/>
                <w:bCs/>
                <w:color w:val="44546A" w:themeColor="text2"/>
              </w:rPr>
              <w:t>1.648.542</w:t>
            </w:r>
          </w:p>
        </w:tc>
      </w:tr>
      <w:tr w:rsidR="007E2F9F" w:rsidRPr="00FC2C90" w14:paraId="35486EF0" w14:textId="77777777" w:rsidTr="006548F8">
        <w:tc>
          <w:tcPr>
            <w:tcW w:w="3544" w:type="dxa"/>
          </w:tcPr>
          <w:p w14:paraId="10E6F704" w14:textId="77777777" w:rsidR="007E2F9F" w:rsidRPr="00FC2C90" w:rsidRDefault="007E2F9F" w:rsidP="006548F8">
            <w:pPr>
              <w:ind w:right="-1440"/>
              <w:jc w:val="both"/>
              <w:rPr>
                <w:rFonts w:ascii="Arial" w:hAnsi="Arial" w:cs="Arial"/>
                <w:b/>
                <w:sz w:val="18"/>
                <w:szCs w:val="18"/>
                <w:lang w:val="es-ES_tradnl"/>
              </w:rPr>
            </w:pPr>
            <w:r w:rsidRPr="00FC2C90">
              <w:rPr>
                <w:rFonts w:ascii="Arial" w:hAnsi="Arial" w:cs="Arial"/>
                <w:b/>
                <w:sz w:val="18"/>
                <w:szCs w:val="18"/>
                <w:lang w:val="es-ES_tradnl"/>
              </w:rPr>
              <w:t>INVERSIÓN</w:t>
            </w:r>
          </w:p>
        </w:tc>
        <w:tc>
          <w:tcPr>
            <w:tcW w:w="2354" w:type="dxa"/>
            <w:vAlign w:val="center"/>
          </w:tcPr>
          <w:p w14:paraId="079F1DF6" w14:textId="77777777" w:rsidR="007E2F9F" w:rsidRPr="00FC2C90" w:rsidRDefault="007E2F9F" w:rsidP="006548F8">
            <w:pPr>
              <w:pStyle w:val="Prrafodelista"/>
              <w:ind w:left="0"/>
              <w:jc w:val="right"/>
              <w:rPr>
                <w:rFonts w:ascii="Arial" w:hAnsi="Arial" w:cs="Arial"/>
                <w:b/>
                <w:sz w:val="16"/>
                <w:szCs w:val="16"/>
              </w:rPr>
            </w:pPr>
            <w:r w:rsidRPr="1D4AF0C3">
              <w:rPr>
                <w:rFonts w:ascii="Arial" w:hAnsi="Arial" w:cs="Arial"/>
                <w:b/>
                <w:bCs/>
                <w:color w:val="44546A" w:themeColor="text2"/>
              </w:rPr>
              <w:t>45.436.021</w:t>
            </w:r>
          </w:p>
        </w:tc>
        <w:tc>
          <w:tcPr>
            <w:tcW w:w="2354" w:type="dxa"/>
            <w:vAlign w:val="center"/>
          </w:tcPr>
          <w:p w14:paraId="7E4D211C" w14:textId="77777777" w:rsidR="007E2F9F" w:rsidRPr="00FC2C90" w:rsidRDefault="007E2F9F" w:rsidP="006548F8">
            <w:pPr>
              <w:pStyle w:val="Prrafodelista"/>
              <w:ind w:left="0"/>
              <w:jc w:val="right"/>
              <w:rPr>
                <w:rFonts w:ascii="Arial" w:hAnsi="Arial" w:cs="Arial"/>
                <w:b/>
                <w:sz w:val="16"/>
                <w:szCs w:val="16"/>
              </w:rPr>
            </w:pPr>
            <w:r w:rsidRPr="1D4AF0C3">
              <w:rPr>
                <w:rFonts w:ascii="Arial" w:hAnsi="Arial" w:cs="Arial"/>
                <w:b/>
                <w:bCs/>
                <w:color w:val="44546A" w:themeColor="text2"/>
              </w:rPr>
              <w:t>30.349.397</w:t>
            </w:r>
          </w:p>
        </w:tc>
        <w:tc>
          <w:tcPr>
            <w:tcW w:w="2238" w:type="dxa"/>
            <w:vAlign w:val="center"/>
          </w:tcPr>
          <w:p w14:paraId="6FFC1898" w14:textId="77777777" w:rsidR="007E2F9F" w:rsidRPr="00FC2C90" w:rsidRDefault="007E2F9F" w:rsidP="006548F8">
            <w:pPr>
              <w:pStyle w:val="Prrafodelista"/>
              <w:ind w:left="0"/>
              <w:jc w:val="right"/>
              <w:rPr>
                <w:rFonts w:ascii="Arial" w:hAnsi="Arial" w:cs="Arial"/>
                <w:b/>
                <w:sz w:val="16"/>
                <w:szCs w:val="16"/>
              </w:rPr>
            </w:pPr>
            <w:r w:rsidRPr="1D4AF0C3">
              <w:rPr>
                <w:rFonts w:ascii="Arial" w:hAnsi="Arial" w:cs="Arial"/>
                <w:b/>
                <w:bCs/>
                <w:color w:val="44546A" w:themeColor="text2"/>
              </w:rPr>
              <w:t>15.086.623</w:t>
            </w:r>
          </w:p>
        </w:tc>
      </w:tr>
      <w:tr w:rsidR="007E2F9F" w:rsidRPr="00FC2C90" w14:paraId="453493F1" w14:textId="77777777" w:rsidTr="006548F8">
        <w:tc>
          <w:tcPr>
            <w:tcW w:w="3544" w:type="dxa"/>
          </w:tcPr>
          <w:p w14:paraId="36D4C06F" w14:textId="77777777" w:rsidR="007E2F9F" w:rsidRPr="00FC2C90" w:rsidRDefault="007E2F9F" w:rsidP="006548F8">
            <w:pPr>
              <w:ind w:right="-1440"/>
              <w:jc w:val="both"/>
              <w:rPr>
                <w:rFonts w:ascii="Arial" w:hAnsi="Arial" w:cs="Arial"/>
                <w:b/>
                <w:sz w:val="18"/>
                <w:szCs w:val="18"/>
                <w:lang w:val="es-ES_tradnl"/>
              </w:rPr>
            </w:pPr>
            <w:r w:rsidRPr="00FC2C90">
              <w:rPr>
                <w:rFonts w:ascii="Arial" w:hAnsi="Arial" w:cs="Arial"/>
                <w:b/>
                <w:sz w:val="18"/>
                <w:szCs w:val="18"/>
                <w:lang w:val="es-ES_tradnl"/>
              </w:rPr>
              <w:t>TOTAL PÉRDIDAS DE APROPIACIÓN</w:t>
            </w:r>
          </w:p>
        </w:tc>
        <w:tc>
          <w:tcPr>
            <w:tcW w:w="2354" w:type="dxa"/>
            <w:vAlign w:val="center"/>
          </w:tcPr>
          <w:p w14:paraId="1AE73499" w14:textId="77777777" w:rsidR="007E2F9F" w:rsidRPr="00FC2C90" w:rsidRDefault="007E2F9F" w:rsidP="006548F8">
            <w:pPr>
              <w:pStyle w:val="Prrafodelista"/>
              <w:ind w:left="0"/>
              <w:jc w:val="right"/>
              <w:rPr>
                <w:rFonts w:ascii="Arial" w:hAnsi="Arial" w:cs="Arial"/>
                <w:b/>
                <w:sz w:val="16"/>
                <w:szCs w:val="16"/>
                <w:u w:val="single"/>
              </w:rPr>
            </w:pPr>
            <w:r w:rsidRPr="1D4AF0C3">
              <w:rPr>
                <w:rFonts w:ascii="Arial" w:hAnsi="Arial" w:cs="Arial"/>
                <w:b/>
                <w:bCs/>
                <w:color w:val="44546A" w:themeColor="text2"/>
              </w:rPr>
              <w:t>50.114.299</w:t>
            </w:r>
          </w:p>
        </w:tc>
        <w:tc>
          <w:tcPr>
            <w:tcW w:w="2354" w:type="dxa"/>
            <w:vAlign w:val="center"/>
          </w:tcPr>
          <w:p w14:paraId="32D995FE" w14:textId="77777777" w:rsidR="007E2F9F" w:rsidRPr="00FC2C90" w:rsidRDefault="007E2F9F" w:rsidP="006548F8">
            <w:pPr>
              <w:pStyle w:val="Prrafodelista"/>
              <w:ind w:left="0"/>
              <w:jc w:val="right"/>
              <w:rPr>
                <w:rFonts w:ascii="Arial" w:hAnsi="Arial" w:cs="Arial"/>
                <w:b/>
                <w:sz w:val="16"/>
                <w:szCs w:val="16"/>
                <w:u w:val="single"/>
              </w:rPr>
            </w:pPr>
            <w:r w:rsidRPr="1D4AF0C3">
              <w:rPr>
                <w:rFonts w:ascii="Arial" w:hAnsi="Arial" w:cs="Arial"/>
                <w:b/>
                <w:bCs/>
                <w:color w:val="44546A" w:themeColor="text2"/>
              </w:rPr>
              <w:t>33.379.134</w:t>
            </w:r>
          </w:p>
        </w:tc>
        <w:tc>
          <w:tcPr>
            <w:tcW w:w="2238" w:type="dxa"/>
            <w:vAlign w:val="center"/>
          </w:tcPr>
          <w:p w14:paraId="605C04E4" w14:textId="77777777" w:rsidR="007E2F9F" w:rsidRPr="00FC2C90" w:rsidRDefault="007E2F9F" w:rsidP="006548F8">
            <w:pPr>
              <w:pStyle w:val="Prrafodelista"/>
              <w:ind w:left="0"/>
              <w:jc w:val="right"/>
              <w:rPr>
                <w:rFonts w:ascii="Arial" w:hAnsi="Arial" w:cs="Arial"/>
                <w:b/>
                <w:sz w:val="16"/>
                <w:szCs w:val="16"/>
                <w:u w:val="single"/>
              </w:rPr>
            </w:pPr>
            <w:r w:rsidRPr="1D4AF0C3">
              <w:rPr>
                <w:rFonts w:ascii="Arial" w:hAnsi="Arial" w:cs="Arial"/>
                <w:b/>
                <w:bCs/>
                <w:color w:val="44546A" w:themeColor="text2"/>
              </w:rPr>
              <w:t>16.735.165</w:t>
            </w:r>
          </w:p>
        </w:tc>
      </w:tr>
    </w:tbl>
    <w:p w14:paraId="7254D5B7" w14:textId="77777777" w:rsidR="00B7112E" w:rsidRDefault="00B7112E" w:rsidP="007E2F9F">
      <w:pPr>
        <w:ind w:left="-284"/>
        <w:jc w:val="both"/>
        <w:rPr>
          <w:rFonts w:ascii="Arial" w:hAnsi="Arial" w:cs="Arial"/>
          <w:b/>
          <w:sz w:val="28"/>
          <w:szCs w:val="28"/>
          <w:lang w:val="es-MX"/>
        </w:rPr>
      </w:pPr>
    </w:p>
    <w:p w14:paraId="0D1C5AB9" w14:textId="09F0B4CD" w:rsidR="007E2F9F" w:rsidRPr="001A1E07" w:rsidRDefault="007E2F9F" w:rsidP="007E2F9F">
      <w:pPr>
        <w:ind w:left="-284"/>
        <w:jc w:val="both"/>
        <w:rPr>
          <w:rFonts w:ascii="Arial" w:hAnsi="Arial" w:cs="Arial"/>
          <w:b/>
          <w:sz w:val="28"/>
          <w:szCs w:val="28"/>
          <w:lang w:val="es-MX"/>
        </w:rPr>
      </w:pPr>
      <w:r w:rsidRPr="001A1E07">
        <w:rPr>
          <w:rFonts w:ascii="Arial" w:hAnsi="Arial" w:cs="Arial"/>
          <w:b/>
          <w:sz w:val="28"/>
          <w:szCs w:val="28"/>
          <w:lang w:val="es-MX"/>
        </w:rPr>
        <w:t>94.- CORPORACIÓN AUTÓNOMA REGIONAL DE RISARALDA - CARDER.</w:t>
      </w:r>
    </w:p>
    <w:p w14:paraId="13D11A57" w14:textId="77777777" w:rsidR="007E2F9F" w:rsidRDefault="007E2F9F" w:rsidP="007E2F9F">
      <w:pPr>
        <w:ind w:left="-284" w:right="-234"/>
        <w:jc w:val="both"/>
        <w:rPr>
          <w:rFonts w:ascii="Arial" w:hAnsi="Arial" w:cs="Arial"/>
          <w:b/>
          <w:bCs/>
          <w:sz w:val="28"/>
          <w:szCs w:val="28"/>
          <w:lang w:val="es-MX"/>
        </w:rPr>
      </w:pPr>
    </w:p>
    <w:p w14:paraId="57EC38BF" w14:textId="77777777" w:rsidR="007E2F9F" w:rsidRPr="000568EF" w:rsidRDefault="007E2F9F" w:rsidP="007E2F9F">
      <w:pPr>
        <w:pStyle w:val="Prrafodelista"/>
        <w:ind w:left="0"/>
        <w:jc w:val="center"/>
        <w:rPr>
          <w:rFonts w:ascii="Arial" w:hAnsi="Arial" w:cs="Arial"/>
          <w:b/>
          <w:sz w:val="24"/>
        </w:rPr>
      </w:pPr>
      <w:r w:rsidRPr="000568EF">
        <w:rPr>
          <w:rFonts w:ascii="Arial" w:hAnsi="Arial" w:cs="Arial"/>
          <w:b/>
          <w:sz w:val="24"/>
        </w:rPr>
        <w:t>Pérdidas de Apropiación en la vigencia 2024.</w:t>
      </w:r>
    </w:p>
    <w:p w14:paraId="1C49D99F" w14:textId="77777777" w:rsidR="007E2F9F" w:rsidRDefault="007E2F9F" w:rsidP="007E2F9F">
      <w:pPr>
        <w:pStyle w:val="Prrafodelista"/>
        <w:ind w:left="0"/>
        <w:jc w:val="center"/>
        <w:rPr>
          <w:rFonts w:ascii="Arial" w:hAnsi="Arial" w:cs="Arial"/>
          <w:sz w:val="24"/>
        </w:rPr>
      </w:pPr>
      <w:r w:rsidRPr="000568EF">
        <w:rPr>
          <w:rFonts w:ascii="Arial" w:hAnsi="Arial" w:cs="Arial"/>
          <w:sz w:val="24"/>
        </w:rPr>
        <w:t>(Cifras en miles de</w:t>
      </w:r>
      <w:r w:rsidRPr="000568EF">
        <w:rPr>
          <w:rFonts w:ascii="Arial" w:hAnsi="Arial" w:cs="Arial"/>
          <w:spacing w:val="-11"/>
          <w:sz w:val="24"/>
        </w:rPr>
        <w:t xml:space="preserve"> </w:t>
      </w:r>
      <w:r w:rsidRPr="000568EF">
        <w:rPr>
          <w:rFonts w:ascii="Arial" w:hAnsi="Arial" w:cs="Arial"/>
          <w:sz w:val="24"/>
        </w:rPr>
        <w:t>pesos).</w:t>
      </w:r>
    </w:p>
    <w:p w14:paraId="582E6142" w14:textId="77777777" w:rsidR="007E2F9F" w:rsidRPr="000568EF"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1A1E07" w14:paraId="22B8A9FC" w14:textId="77777777" w:rsidTr="006548F8">
        <w:tc>
          <w:tcPr>
            <w:tcW w:w="3544" w:type="dxa"/>
          </w:tcPr>
          <w:p w14:paraId="0655F92C" w14:textId="77777777" w:rsidR="007E2F9F" w:rsidRPr="001A1E07" w:rsidRDefault="007E2F9F" w:rsidP="006548F8">
            <w:pPr>
              <w:ind w:left="1169" w:right="-1440"/>
              <w:rPr>
                <w:rFonts w:ascii="Arial" w:hAnsi="Arial" w:cs="Arial"/>
                <w:b/>
                <w:sz w:val="18"/>
                <w:szCs w:val="18"/>
                <w:lang w:val="es-ES_tradnl"/>
              </w:rPr>
            </w:pPr>
            <w:r w:rsidRPr="001A1E07">
              <w:rPr>
                <w:rFonts w:ascii="Arial" w:hAnsi="Arial" w:cs="Arial"/>
                <w:b/>
                <w:sz w:val="18"/>
                <w:szCs w:val="18"/>
                <w:lang w:val="es-ES_tradnl"/>
              </w:rPr>
              <w:t>TIPO DE GASTO</w:t>
            </w:r>
          </w:p>
        </w:tc>
        <w:tc>
          <w:tcPr>
            <w:tcW w:w="2354" w:type="dxa"/>
          </w:tcPr>
          <w:p w14:paraId="2B44B872" w14:textId="77777777" w:rsidR="007E2F9F" w:rsidRPr="001A1E07" w:rsidRDefault="007E2F9F" w:rsidP="006548F8">
            <w:pPr>
              <w:jc w:val="center"/>
              <w:rPr>
                <w:rFonts w:ascii="Arial" w:hAnsi="Arial" w:cs="Arial"/>
                <w:b/>
                <w:sz w:val="18"/>
                <w:szCs w:val="18"/>
                <w:lang w:val="es-ES_tradnl"/>
              </w:rPr>
            </w:pPr>
            <w:r w:rsidRPr="001A1E07">
              <w:rPr>
                <w:rFonts w:ascii="Arial" w:hAnsi="Arial" w:cs="Arial"/>
                <w:b/>
                <w:sz w:val="18"/>
                <w:szCs w:val="18"/>
                <w:lang w:val="es-ES_tradnl"/>
              </w:rPr>
              <w:t>APROPIACIÓN</w:t>
            </w:r>
          </w:p>
          <w:p w14:paraId="0664AE61" w14:textId="77777777" w:rsidR="007E2F9F" w:rsidRPr="001A1E07" w:rsidRDefault="007E2F9F" w:rsidP="006548F8">
            <w:pPr>
              <w:jc w:val="center"/>
              <w:rPr>
                <w:rFonts w:ascii="Arial" w:hAnsi="Arial" w:cs="Arial"/>
                <w:b/>
                <w:sz w:val="18"/>
                <w:szCs w:val="18"/>
                <w:lang w:val="es-ES_tradnl"/>
              </w:rPr>
            </w:pPr>
            <w:r w:rsidRPr="001A1E07">
              <w:rPr>
                <w:rFonts w:ascii="Arial" w:hAnsi="Arial" w:cs="Arial"/>
                <w:b/>
                <w:sz w:val="18"/>
                <w:szCs w:val="18"/>
                <w:lang w:val="es-ES_tradnl"/>
              </w:rPr>
              <w:t>DEFINITIVA</w:t>
            </w:r>
          </w:p>
          <w:p w14:paraId="5F828538" w14:textId="77777777" w:rsidR="007E2F9F" w:rsidRPr="001A1E07" w:rsidRDefault="007E2F9F" w:rsidP="006548F8">
            <w:pPr>
              <w:jc w:val="center"/>
              <w:rPr>
                <w:rFonts w:ascii="Arial" w:hAnsi="Arial" w:cs="Arial"/>
                <w:b/>
                <w:sz w:val="18"/>
                <w:szCs w:val="18"/>
                <w:lang w:val="es-ES_tradnl"/>
              </w:rPr>
            </w:pPr>
            <w:r w:rsidRPr="001A1E07">
              <w:rPr>
                <w:rFonts w:ascii="Arial" w:hAnsi="Arial" w:cs="Arial"/>
                <w:b/>
                <w:sz w:val="18"/>
                <w:szCs w:val="18"/>
                <w:lang w:val="es-ES_tradnl"/>
              </w:rPr>
              <w:t>(1)</w:t>
            </w:r>
          </w:p>
          <w:p w14:paraId="2D3DA836" w14:textId="77777777" w:rsidR="007E2F9F" w:rsidRPr="001A1E07" w:rsidRDefault="007E2F9F" w:rsidP="006548F8">
            <w:pPr>
              <w:jc w:val="center"/>
              <w:rPr>
                <w:rFonts w:ascii="Arial" w:hAnsi="Arial" w:cs="Arial"/>
                <w:b/>
                <w:sz w:val="18"/>
                <w:szCs w:val="18"/>
                <w:lang w:val="es-ES_tradnl"/>
              </w:rPr>
            </w:pPr>
          </w:p>
        </w:tc>
        <w:tc>
          <w:tcPr>
            <w:tcW w:w="2354" w:type="dxa"/>
          </w:tcPr>
          <w:p w14:paraId="316AE48D" w14:textId="77777777" w:rsidR="007E2F9F" w:rsidRPr="001A1E07" w:rsidRDefault="007E2F9F" w:rsidP="006548F8">
            <w:pPr>
              <w:ind w:left="145" w:right="184"/>
              <w:jc w:val="center"/>
              <w:rPr>
                <w:rFonts w:ascii="Arial" w:hAnsi="Arial" w:cs="Arial"/>
                <w:b/>
                <w:sz w:val="18"/>
                <w:szCs w:val="18"/>
                <w:lang w:val="es-ES_tradnl"/>
              </w:rPr>
            </w:pPr>
            <w:r w:rsidRPr="001A1E07">
              <w:rPr>
                <w:rFonts w:ascii="Arial" w:hAnsi="Arial" w:cs="Arial"/>
                <w:b/>
                <w:sz w:val="18"/>
                <w:szCs w:val="18"/>
                <w:lang w:val="es-ES_tradnl"/>
              </w:rPr>
              <w:t>EJECUCIÓN</w:t>
            </w:r>
          </w:p>
          <w:p w14:paraId="6CCED341" w14:textId="77777777" w:rsidR="007E2F9F" w:rsidRPr="001A1E07" w:rsidRDefault="007E2F9F" w:rsidP="006548F8">
            <w:pPr>
              <w:ind w:right="34"/>
              <w:jc w:val="center"/>
              <w:rPr>
                <w:rFonts w:ascii="Arial" w:hAnsi="Arial" w:cs="Arial"/>
                <w:b/>
                <w:sz w:val="18"/>
                <w:szCs w:val="18"/>
                <w:lang w:val="es-ES_tradnl"/>
              </w:rPr>
            </w:pPr>
            <w:r w:rsidRPr="001A1E07">
              <w:rPr>
                <w:rFonts w:ascii="Arial" w:hAnsi="Arial" w:cs="Arial"/>
                <w:b/>
                <w:sz w:val="18"/>
                <w:szCs w:val="18"/>
                <w:lang w:val="es-ES_tradnl"/>
              </w:rPr>
              <w:t>COMPROMISOS</w:t>
            </w:r>
          </w:p>
          <w:p w14:paraId="558B633E" w14:textId="77777777" w:rsidR="007E2F9F" w:rsidRPr="001A1E07" w:rsidRDefault="007E2F9F" w:rsidP="006548F8">
            <w:pPr>
              <w:ind w:right="34"/>
              <w:jc w:val="center"/>
              <w:rPr>
                <w:rFonts w:ascii="Arial" w:hAnsi="Arial" w:cs="Arial"/>
                <w:b/>
                <w:sz w:val="18"/>
                <w:szCs w:val="18"/>
                <w:lang w:val="es-ES_tradnl"/>
              </w:rPr>
            </w:pPr>
            <w:r w:rsidRPr="001A1E07">
              <w:rPr>
                <w:rFonts w:ascii="Arial" w:hAnsi="Arial" w:cs="Arial"/>
                <w:b/>
                <w:sz w:val="18"/>
                <w:szCs w:val="18"/>
                <w:lang w:val="es-ES_tradnl"/>
              </w:rPr>
              <w:t>(2)</w:t>
            </w:r>
          </w:p>
        </w:tc>
        <w:tc>
          <w:tcPr>
            <w:tcW w:w="2238" w:type="dxa"/>
          </w:tcPr>
          <w:p w14:paraId="5F6B1A76" w14:textId="77777777" w:rsidR="007E2F9F" w:rsidRPr="001A1E07" w:rsidRDefault="007E2F9F" w:rsidP="006548F8">
            <w:pPr>
              <w:ind w:left="25" w:right="34"/>
              <w:jc w:val="center"/>
              <w:rPr>
                <w:rFonts w:ascii="Arial" w:hAnsi="Arial" w:cs="Arial"/>
                <w:b/>
                <w:sz w:val="18"/>
                <w:szCs w:val="18"/>
                <w:lang w:val="es-ES_tradnl"/>
              </w:rPr>
            </w:pPr>
            <w:r w:rsidRPr="001A1E07">
              <w:rPr>
                <w:rFonts w:ascii="Arial" w:hAnsi="Arial" w:cs="Arial"/>
                <w:b/>
                <w:sz w:val="18"/>
                <w:szCs w:val="18"/>
                <w:lang w:val="es-ES_tradnl"/>
              </w:rPr>
              <w:t>PÉRDIDAS DE</w:t>
            </w:r>
          </w:p>
          <w:p w14:paraId="2AE31203" w14:textId="77777777" w:rsidR="007E2F9F" w:rsidRPr="001A1E07" w:rsidRDefault="007E2F9F" w:rsidP="006548F8">
            <w:pPr>
              <w:ind w:right="34"/>
              <w:jc w:val="center"/>
              <w:rPr>
                <w:rFonts w:ascii="Arial" w:hAnsi="Arial" w:cs="Arial"/>
                <w:b/>
                <w:sz w:val="18"/>
                <w:szCs w:val="18"/>
                <w:lang w:val="es-ES_tradnl"/>
              </w:rPr>
            </w:pPr>
            <w:r w:rsidRPr="001A1E07">
              <w:rPr>
                <w:rFonts w:ascii="Arial" w:hAnsi="Arial" w:cs="Arial"/>
                <w:b/>
                <w:sz w:val="18"/>
                <w:szCs w:val="18"/>
                <w:lang w:val="es-ES_tradnl"/>
              </w:rPr>
              <w:t>APROPIACIÓN</w:t>
            </w:r>
          </w:p>
          <w:p w14:paraId="6436BB34" w14:textId="77777777" w:rsidR="007E2F9F" w:rsidRPr="001A1E07" w:rsidRDefault="007E2F9F" w:rsidP="006548F8">
            <w:pPr>
              <w:ind w:right="34"/>
              <w:jc w:val="center"/>
              <w:rPr>
                <w:rFonts w:ascii="Arial" w:hAnsi="Arial" w:cs="Arial"/>
                <w:b/>
                <w:sz w:val="18"/>
                <w:szCs w:val="18"/>
                <w:lang w:val="es-ES_tradnl"/>
              </w:rPr>
            </w:pPr>
            <w:r w:rsidRPr="001A1E07">
              <w:rPr>
                <w:rFonts w:ascii="Arial" w:hAnsi="Arial" w:cs="Arial"/>
                <w:b/>
                <w:sz w:val="18"/>
                <w:szCs w:val="18"/>
                <w:lang w:val="es-ES_tradnl"/>
              </w:rPr>
              <w:t>3 = (1-2)</w:t>
            </w:r>
          </w:p>
        </w:tc>
      </w:tr>
      <w:tr w:rsidR="007E2F9F" w:rsidRPr="001A1E07" w14:paraId="7177AC56" w14:textId="77777777" w:rsidTr="006548F8">
        <w:trPr>
          <w:trHeight w:val="230"/>
        </w:trPr>
        <w:tc>
          <w:tcPr>
            <w:tcW w:w="3544" w:type="dxa"/>
          </w:tcPr>
          <w:p w14:paraId="215DF833" w14:textId="77777777" w:rsidR="007E2F9F" w:rsidRPr="001A1E07" w:rsidRDefault="007E2F9F" w:rsidP="006548F8">
            <w:pPr>
              <w:ind w:right="-1440"/>
              <w:jc w:val="both"/>
              <w:rPr>
                <w:rFonts w:ascii="Arial" w:hAnsi="Arial" w:cs="Arial"/>
                <w:b/>
                <w:sz w:val="18"/>
                <w:szCs w:val="18"/>
                <w:lang w:val="es-ES_tradnl"/>
              </w:rPr>
            </w:pPr>
            <w:r w:rsidRPr="001A1E07">
              <w:rPr>
                <w:rFonts w:ascii="Arial" w:hAnsi="Arial" w:cs="Arial"/>
                <w:b/>
                <w:sz w:val="18"/>
                <w:szCs w:val="18"/>
                <w:lang w:val="es-ES_tradnl"/>
              </w:rPr>
              <w:t>FUNCIONAMIENTO</w:t>
            </w:r>
          </w:p>
        </w:tc>
        <w:tc>
          <w:tcPr>
            <w:tcW w:w="2354" w:type="dxa"/>
          </w:tcPr>
          <w:p w14:paraId="2D07733A" w14:textId="77777777" w:rsidR="007E2F9F" w:rsidRPr="001A1E07" w:rsidRDefault="007E2F9F" w:rsidP="006548F8">
            <w:pPr>
              <w:jc w:val="right"/>
              <w:rPr>
                <w:rFonts w:ascii="Arial" w:eastAsia="Calibri" w:hAnsi="Arial" w:cs="Arial"/>
                <w:b/>
                <w:sz w:val="16"/>
                <w:szCs w:val="16"/>
                <w:lang w:val="es-CO"/>
              </w:rPr>
            </w:pPr>
            <w:r w:rsidRPr="001A1E07">
              <w:rPr>
                <w:rFonts w:ascii="Arial" w:eastAsia="Calibri" w:hAnsi="Arial" w:cs="Arial"/>
                <w:b/>
                <w:sz w:val="16"/>
                <w:szCs w:val="16"/>
                <w:lang w:val="es-CO"/>
              </w:rPr>
              <w:t>3.183.319.000,00</w:t>
            </w:r>
          </w:p>
        </w:tc>
        <w:tc>
          <w:tcPr>
            <w:tcW w:w="2354" w:type="dxa"/>
          </w:tcPr>
          <w:p w14:paraId="11DC427A" w14:textId="77777777" w:rsidR="007E2F9F" w:rsidRPr="001A1E07" w:rsidRDefault="007E2F9F" w:rsidP="006548F8">
            <w:pPr>
              <w:pStyle w:val="Prrafodelista"/>
              <w:ind w:left="0"/>
              <w:jc w:val="right"/>
              <w:rPr>
                <w:rFonts w:ascii="Arial" w:hAnsi="Arial" w:cs="Arial"/>
                <w:b/>
                <w:sz w:val="16"/>
                <w:szCs w:val="16"/>
              </w:rPr>
            </w:pPr>
            <w:r w:rsidRPr="001A1E07">
              <w:rPr>
                <w:rFonts w:ascii="Arial" w:eastAsia="Calibri" w:hAnsi="Arial" w:cs="Arial"/>
                <w:b/>
                <w:sz w:val="16"/>
                <w:szCs w:val="16"/>
                <w:lang w:val="es-CO"/>
              </w:rPr>
              <w:t>3.173.732.511,84</w:t>
            </w:r>
          </w:p>
        </w:tc>
        <w:tc>
          <w:tcPr>
            <w:tcW w:w="2238" w:type="dxa"/>
          </w:tcPr>
          <w:p w14:paraId="49EF03F5" w14:textId="77777777" w:rsidR="007E2F9F" w:rsidRPr="001A1E07" w:rsidRDefault="007E2F9F" w:rsidP="006548F8">
            <w:pPr>
              <w:pStyle w:val="Prrafodelista"/>
              <w:ind w:left="0"/>
              <w:jc w:val="right"/>
              <w:rPr>
                <w:rFonts w:ascii="Arial" w:hAnsi="Arial" w:cs="Arial"/>
                <w:b/>
                <w:sz w:val="16"/>
                <w:szCs w:val="16"/>
              </w:rPr>
            </w:pPr>
            <w:r w:rsidRPr="001A1E07">
              <w:rPr>
                <w:rFonts w:ascii="Arial" w:hAnsi="Arial" w:cs="Arial"/>
                <w:b/>
                <w:sz w:val="16"/>
                <w:szCs w:val="16"/>
              </w:rPr>
              <w:t>9.586.488,16</w:t>
            </w:r>
          </w:p>
        </w:tc>
      </w:tr>
      <w:tr w:rsidR="007E2F9F" w:rsidRPr="001A1E07" w14:paraId="33C546C4" w14:textId="77777777" w:rsidTr="006548F8">
        <w:tc>
          <w:tcPr>
            <w:tcW w:w="3544" w:type="dxa"/>
          </w:tcPr>
          <w:p w14:paraId="171B5362" w14:textId="77777777" w:rsidR="007E2F9F" w:rsidRPr="001A1E07" w:rsidRDefault="007E2F9F" w:rsidP="006548F8">
            <w:pPr>
              <w:ind w:right="-1440"/>
              <w:jc w:val="both"/>
              <w:rPr>
                <w:rFonts w:ascii="Arial" w:hAnsi="Arial" w:cs="Arial"/>
                <w:b/>
                <w:sz w:val="18"/>
                <w:szCs w:val="18"/>
                <w:lang w:val="es-ES_tradnl"/>
              </w:rPr>
            </w:pPr>
            <w:r w:rsidRPr="001A1E07">
              <w:rPr>
                <w:rFonts w:ascii="Arial" w:hAnsi="Arial" w:cs="Arial"/>
                <w:b/>
                <w:sz w:val="18"/>
                <w:szCs w:val="18"/>
                <w:lang w:val="es-ES_tradnl"/>
              </w:rPr>
              <w:t>INVERSIÓN</w:t>
            </w:r>
          </w:p>
        </w:tc>
        <w:tc>
          <w:tcPr>
            <w:tcW w:w="2354" w:type="dxa"/>
          </w:tcPr>
          <w:p w14:paraId="0E5A9F10" w14:textId="77777777" w:rsidR="007E2F9F" w:rsidRPr="001A1E07" w:rsidRDefault="007E2F9F" w:rsidP="006548F8">
            <w:pPr>
              <w:pStyle w:val="Prrafodelista"/>
              <w:ind w:left="0"/>
              <w:jc w:val="right"/>
              <w:rPr>
                <w:rFonts w:ascii="Arial" w:hAnsi="Arial" w:cs="Arial"/>
                <w:b/>
                <w:sz w:val="16"/>
                <w:szCs w:val="16"/>
              </w:rPr>
            </w:pPr>
            <w:r w:rsidRPr="001A1E07">
              <w:rPr>
                <w:rFonts w:ascii="Arial" w:eastAsia="Calibri" w:hAnsi="Arial" w:cs="Arial"/>
                <w:sz w:val="16"/>
                <w:szCs w:val="16"/>
                <w:lang w:val="es-CO"/>
              </w:rPr>
              <w:t>62.127.000,00</w:t>
            </w:r>
          </w:p>
        </w:tc>
        <w:tc>
          <w:tcPr>
            <w:tcW w:w="2354" w:type="dxa"/>
          </w:tcPr>
          <w:p w14:paraId="4594CEBA" w14:textId="77777777" w:rsidR="007E2F9F" w:rsidRPr="001A1E07" w:rsidRDefault="007E2F9F" w:rsidP="006548F8">
            <w:pPr>
              <w:pStyle w:val="Prrafodelista"/>
              <w:ind w:left="0"/>
              <w:jc w:val="right"/>
              <w:rPr>
                <w:rFonts w:ascii="Arial" w:hAnsi="Arial" w:cs="Arial"/>
                <w:b/>
                <w:sz w:val="16"/>
                <w:szCs w:val="16"/>
              </w:rPr>
            </w:pPr>
            <w:r w:rsidRPr="001A1E07">
              <w:rPr>
                <w:rFonts w:ascii="Arial" w:eastAsia="Calibri" w:hAnsi="Arial" w:cs="Arial"/>
                <w:sz w:val="16"/>
                <w:szCs w:val="16"/>
                <w:lang w:val="es-CO"/>
              </w:rPr>
              <w:t>62.127.000,00</w:t>
            </w:r>
          </w:p>
        </w:tc>
        <w:tc>
          <w:tcPr>
            <w:tcW w:w="2238" w:type="dxa"/>
          </w:tcPr>
          <w:p w14:paraId="78CB8BF6" w14:textId="77777777" w:rsidR="007E2F9F" w:rsidRPr="001A1E07" w:rsidRDefault="007E2F9F" w:rsidP="006548F8">
            <w:pPr>
              <w:pStyle w:val="Prrafodelista"/>
              <w:ind w:left="0"/>
              <w:jc w:val="right"/>
              <w:rPr>
                <w:rFonts w:ascii="Arial" w:hAnsi="Arial" w:cs="Arial"/>
                <w:b/>
                <w:sz w:val="16"/>
                <w:szCs w:val="16"/>
              </w:rPr>
            </w:pPr>
            <w:r w:rsidRPr="001A1E07">
              <w:rPr>
                <w:rFonts w:ascii="Arial" w:hAnsi="Arial" w:cs="Arial"/>
                <w:sz w:val="16"/>
                <w:szCs w:val="16"/>
              </w:rPr>
              <w:t>0</w:t>
            </w:r>
          </w:p>
        </w:tc>
      </w:tr>
      <w:tr w:rsidR="007E2F9F" w:rsidRPr="001A1E07" w14:paraId="6C0BD264" w14:textId="77777777" w:rsidTr="006548F8">
        <w:tc>
          <w:tcPr>
            <w:tcW w:w="3544" w:type="dxa"/>
          </w:tcPr>
          <w:p w14:paraId="3238A459" w14:textId="77777777" w:rsidR="007E2F9F" w:rsidRPr="001A1E07" w:rsidRDefault="007E2F9F" w:rsidP="006548F8">
            <w:pPr>
              <w:ind w:right="-1440"/>
              <w:jc w:val="both"/>
              <w:rPr>
                <w:rFonts w:ascii="Arial" w:hAnsi="Arial" w:cs="Arial"/>
                <w:b/>
                <w:sz w:val="18"/>
                <w:szCs w:val="18"/>
                <w:lang w:val="es-ES_tradnl"/>
              </w:rPr>
            </w:pPr>
            <w:r w:rsidRPr="001A1E07">
              <w:rPr>
                <w:rFonts w:ascii="Arial" w:hAnsi="Arial" w:cs="Arial"/>
                <w:b/>
                <w:sz w:val="18"/>
                <w:szCs w:val="18"/>
                <w:lang w:val="es-ES_tradnl"/>
              </w:rPr>
              <w:t>TOTAL PÉRDIDAS DE APROPIACIÓN</w:t>
            </w:r>
          </w:p>
        </w:tc>
        <w:tc>
          <w:tcPr>
            <w:tcW w:w="2354" w:type="dxa"/>
          </w:tcPr>
          <w:p w14:paraId="4205A753" w14:textId="77777777" w:rsidR="007E2F9F" w:rsidRPr="001A1E07" w:rsidRDefault="007E2F9F" w:rsidP="006548F8">
            <w:pPr>
              <w:pStyle w:val="Prrafodelista"/>
              <w:ind w:left="0"/>
              <w:jc w:val="right"/>
              <w:rPr>
                <w:rFonts w:ascii="Arial" w:hAnsi="Arial" w:cs="Arial"/>
                <w:b/>
                <w:sz w:val="16"/>
                <w:szCs w:val="16"/>
                <w:u w:val="single"/>
              </w:rPr>
            </w:pPr>
            <w:r w:rsidRPr="001A1E07">
              <w:rPr>
                <w:rFonts w:ascii="Arial" w:eastAsia="Calibri" w:hAnsi="Arial" w:cs="Arial"/>
                <w:b/>
                <w:sz w:val="16"/>
                <w:szCs w:val="16"/>
                <w:lang w:val="es-CO"/>
              </w:rPr>
              <w:t>3.183.319.000,00</w:t>
            </w:r>
          </w:p>
        </w:tc>
        <w:tc>
          <w:tcPr>
            <w:tcW w:w="2354" w:type="dxa"/>
          </w:tcPr>
          <w:p w14:paraId="6DF0EF72" w14:textId="77777777" w:rsidR="007E2F9F" w:rsidRPr="001A1E07" w:rsidRDefault="007E2F9F" w:rsidP="006548F8">
            <w:pPr>
              <w:pStyle w:val="Prrafodelista"/>
              <w:ind w:left="0"/>
              <w:jc w:val="right"/>
              <w:rPr>
                <w:rFonts w:ascii="Arial" w:hAnsi="Arial" w:cs="Arial"/>
                <w:b/>
                <w:sz w:val="16"/>
                <w:szCs w:val="16"/>
                <w:u w:val="single"/>
              </w:rPr>
            </w:pPr>
            <w:r w:rsidRPr="001A1E07">
              <w:rPr>
                <w:rFonts w:ascii="Arial" w:eastAsia="Calibri" w:hAnsi="Arial" w:cs="Arial"/>
                <w:b/>
                <w:sz w:val="16"/>
                <w:szCs w:val="16"/>
                <w:lang w:val="es-CO"/>
              </w:rPr>
              <w:t>3.173.732.511,84</w:t>
            </w:r>
          </w:p>
        </w:tc>
        <w:tc>
          <w:tcPr>
            <w:tcW w:w="2238" w:type="dxa"/>
          </w:tcPr>
          <w:p w14:paraId="4F1ECF84" w14:textId="77777777" w:rsidR="007E2F9F" w:rsidRPr="001A1E07" w:rsidRDefault="007E2F9F" w:rsidP="006548F8">
            <w:pPr>
              <w:pStyle w:val="Prrafodelista"/>
              <w:ind w:left="0"/>
              <w:jc w:val="right"/>
              <w:rPr>
                <w:rFonts w:ascii="Arial" w:hAnsi="Arial" w:cs="Arial"/>
                <w:b/>
                <w:sz w:val="16"/>
                <w:szCs w:val="16"/>
                <w:u w:val="single"/>
              </w:rPr>
            </w:pPr>
            <w:r w:rsidRPr="001A1E07">
              <w:rPr>
                <w:rFonts w:ascii="Arial" w:hAnsi="Arial" w:cs="Arial"/>
                <w:b/>
                <w:sz w:val="16"/>
                <w:szCs w:val="16"/>
                <w:u w:val="single"/>
              </w:rPr>
              <w:t>9.586.488,16</w:t>
            </w:r>
          </w:p>
        </w:tc>
      </w:tr>
    </w:tbl>
    <w:p w14:paraId="1C93458F" w14:textId="77777777" w:rsidR="007E2F9F" w:rsidRDefault="007E2F9F" w:rsidP="007E2F9F">
      <w:pPr>
        <w:ind w:left="-284" w:right="-234"/>
        <w:jc w:val="both"/>
        <w:rPr>
          <w:rFonts w:ascii="Arial" w:hAnsi="Arial" w:cs="Arial"/>
          <w:b/>
          <w:bCs/>
          <w:sz w:val="28"/>
          <w:szCs w:val="28"/>
          <w:lang w:val="es-MX"/>
        </w:rPr>
      </w:pPr>
    </w:p>
    <w:p w14:paraId="58E042E8" w14:textId="77777777" w:rsidR="007E2F9F" w:rsidRPr="00103309" w:rsidRDefault="007E2F9F" w:rsidP="007E2F9F">
      <w:pPr>
        <w:ind w:left="-284" w:right="-234"/>
        <w:jc w:val="both"/>
        <w:rPr>
          <w:rFonts w:ascii="Arial" w:hAnsi="Arial" w:cs="Arial"/>
          <w:b/>
          <w:sz w:val="28"/>
          <w:szCs w:val="28"/>
          <w:lang w:val="es-MX"/>
        </w:rPr>
      </w:pPr>
      <w:r w:rsidRPr="00103309">
        <w:rPr>
          <w:rFonts w:ascii="Arial" w:hAnsi="Arial" w:cs="Arial"/>
          <w:b/>
          <w:sz w:val="28"/>
          <w:szCs w:val="28"/>
          <w:lang w:val="es-MX"/>
        </w:rPr>
        <w:t xml:space="preserve">96.- </w:t>
      </w:r>
      <w:r w:rsidRPr="00103309">
        <w:rPr>
          <w:rFonts w:ascii="Arial" w:hAnsi="Arial" w:cs="Arial"/>
          <w:b/>
          <w:sz w:val="28"/>
          <w:szCs w:val="28"/>
        </w:rPr>
        <w:t>CORPORACIÓN NACIONAL PARA LA RECONSTRUCCIÒN DE LA CUENCA DEL RIO PAEZ Y ZONAS ALEDAÑAS - NASA KIWE.</w:t>
      </w:r>
    </w:p>
    <w:p w14:paraId="2E73B4D2" w14:textId="77777777" w:rsidR="007E2F9F" w:rsidRDefault="007E2F9F" w:rsidP="007E2F9F">
      <w:pPr>
        <w:ind w:left="-284" w:right="-234"/>
        <w:jc w:val="both"/>
        <w:rPr>
          <w:rFonts w:ascii="Arial" w:hAnsi="Arial" w:cs="Arial"/>
          <w:b/>
          <w:bCs/>
          <w:sz w:val="28"/>
          <w:szCs w:val="28"/>
          <w:lang w:val="es-MX"/>
        </w:rPr>
      </w:pPr>
    </w:p>
    <w:p w14:paraId="27EC9D67" w14:textId="77777777" w:rsidR="007E2F9F" w:rsidRPr="00103309" w:rsidRDefault="007E2F9F" w:rsidP="007E2F9F">
      <w:pPr>
        <w:pStyle w:val="Prrafodelista"/>
        <w:ind w:left="0"/>
        <w:jc w:val="center"/>
        <w:rPr>
          <w:rFonts w:ascii="Arial" w:hAnsi="Arial" w:cs="Arial"/>
          <w:b/>
          <w:sz w:val="24"/>
        </w:rPr>
      </w:pPr>
      <w:r w:rsidRPr="00103309">
        <w:rPr>
          <w:rFonts w:ascii="Arial" w:hAnsi="Arial" w:cs="Arial"/>
          <w:b/>
          <w:sz w:val="24"/>
        </w:rPr>
        <w:t>Pérdidas de Apropiación en la vigencia 2024.</w:t>
      </w:r>
    </w:p>
    <w:p w14:paraId="3B5F4C57" w14:textId="77777777" w:rsidR="007E2F9F" w:rsidRPr="00103309" w:rsidRDefault="007E2F9F" w:rsidP="007E2F9F">
      <w:pPr>
        <w:pStyle w:val="Prrafodelista"/>
        <w:ind w:left="0"/>
        <w:jc w:val="center"/>
        <w:rPr>
          <w:rFonts w:ascii="Arial" w:hAnsi="Arial" w:cs="Arial"/>
          <w:sz w:val="24"/>
        </w:rPr>
      </w:pPr>
      <w:r w:rsidRPr="00103309">
        <w:rPr>
          <w:rFonts w:ascii="Arial" w:hAnsi="Arial" w:cs="Arial"/>
          <w:sz w:val="24"/>
        </w:rPr>
        <w:t>(Cifras en miles de</w:t>
      </w:r>
      <w:r w:rsidRPr="00103309">
        <w:rPr>
          <w:rFonts w:ascii="Arial" w:hAnsi="Arial" w:cs="Arial"/>
          <w:spacing w:val="-11"/>
          <w:sz w:val="24"/>
        </w:rPr>
        <w:t xml:space="preserve"> </w:t>
      </w:r>
      <w:r w:rsidRPr="00103309">
        <w:rPr>
          <w:rFonts w:ascii="Arial" w:hAnsi="Arial" w:cs="Arial"/>
          <w:sz w:val="24"/>
        </w:rPr>
        <w:t>pesos).</w:t>
      </w:r>
    </w:p>
    <w:p w14:paraId="520069DD" w14:textId="77777777" w:rsidR="007E2F9F" w:rsidRPr="00103309"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103309" w14:paraId="79603527" w14:textId="77777777" w:rsidTr="006548F8">
        <w:tc>
          <w:tcPr>
            <w:tcW w:w="3544" w:type="dxa"/>
          </w:tcPr>
          <w:p w14:paraId="74EA2F54" w14:textId="77777777" w:rsidR="007E2F9F" w:rsidRPr="00103309" w:rsidRDefault="007E2F9F" w:rsidP="006548F8">
            <w:pPr>
              <w:ind w:left="1169" w:right="-1440"/>
              <w:rPr>
                <w:rFonts w:ascii="Arial" w:hAnsi="Arial" w:cs="Arial"/>
                <w:b/>
                <w:sz w:val="18"/>
                <w:szCs w:val="18"/>
                <w:lang w:val="es-ES_tradnl"/>
              </w:rPr>
            </w:pPr>
            <w:r w:rsidRPr="00103309">
              <w:rPr>
                <w:rFonts w:ascii="Arial" w:hAnsi="Arial" w:cs="Arial"/>
                <w:b/>
                <w:sz w:val="18"/>
                <w:szCs w:val="18"/>
                <w:lang w:val="es-ES_tradnl"/>
              </w:rPr>
              <w:t>TIPO DE GASTO</w:t>
            </w:r>
          </w:p>
        </w:tc>
        <w:tc>
          <w:tcPr>
            <w:tcW w:w="2354" w:type="dxa"/>
          </w:tcPr>
          <w:p w14:paraId="5726A6DF" w14:textId="77777777" w:rsidR="007E2F9F" w:rsidRPr="00103309" w:rsidRDefault="007E2F9F" w:rsidP="006548F8">
            <w:pPr>
              <w:jc w:val="center"/>
              <w:rPr>
                <w:rFonts w:ascii="Arial" w:hAnsi="Arial" w:cs="Arial"/>
                <w:b/>
                <w:sz w:val="18"/>
                <w:szCs w:val="18"/>
                <w:lang w:val="es-ES_tradnl"/>
              </w:rPr>
            </w:pPr>
            <w:r w:rsidRPr="00103309">
              <w:rPr>
                <w:rFonts w:ascii="Arial" w:hAnsi="Arial" w:cs="Arial"/>
                <w:b/>
                <w:sz w:val="18"/>
                <w:szCs w:val="18"/>
                <w:lang w:val="es-ES_tradnl"/>
              </w:rPr>
              <w:t>APROPIACIÓN</w:t>
            </w:r>
          </w:p>
          <w:p w14:paraId="00DC8E82" w14:textId="77777777" w:rsidR="007E2F9F" w:rsidRPr="00103309" w:rsidRDefault="007E2F9F" w:rsidP="006548F8">
            <w:pPr>
              <w:jc w:val="center"/>
              <w:rPr>
                <w:rFonts w:ascii="Arial" w:hAnsi="Arial" w:cs="Arial"/>
                <w:b/>
                <w:sz w:val="18"/>
                <w:szCs w:val="18"/>
                <w:lang w:val="es-ES_tradnl"/>
              </w:rPr>
            </w:pPr>
            <w:r w:rsidRPr="00103309">
              <w:rPr>
                <w:rFonts w:ascii="Arial" w:hAnsi="Arial" w:cs="Arial"/>
                <w:b/>
                <w:sz w:val="18"/>
                <w:szCs w:val="18"/>
                <w:lang w:val="es-ES_tradnl"/>
              </w:rPr>
              <w:t>DEFINITIVA</w:t>
            </w:r>
          </w:p>
          <w:p w14:paraId="2853CE5F" w14:textId="77777777" w:rsidR="007E2F9F" w:rsidRPr="00103309" w:rsidRDefault="007E2F9F" w:rsidP="006548F8">
            <w:pPr>
              <w:jc w:val="center"/>
              <w:rPr>
                <w:rFonts w:ascii="Arial" w:hAnsi="Arial" w:cs="Arial"/>
                <w:b/>
                <w:sz w:val="18"/>
                <w:szCs w:val="18"/>
                <w:lang w:val="es-ES_tradnl"/>
              </w:rPr>
            </w:pPr>
            <w:r w:rsidRPr="00103309">
              <w:rPr>
                <w:rFonts w:ascii="Arial" w:hAnsi="Arial" w:cs="Arial"/>
                <w:b/>
                <w:sz w:val="18"/>
                <w:szCs w:val="18"/>
                <w:lang w:val="es-ES_tradnl"/>
              </w:rPr>
              <w:t>(1)</w:t>
            </w:r>
          </w:p>
          <w:p w14:paraId="3220CE62" w14:textId="77777777" w:rsidR="007E2F9F" w:rsidRPr="00103309" w:rsidRDefault="007E2F9F" w:rsidP="006548F8">
            <w:pPr>
              <w:jc w:val="center"/>
              <w:rPr>
                <w:rFonts w:ascii="Arial" w:hAnsi="Arial" w:cs="Arial"/>
                <w:b/>
                <w:sz w:val="18"/>
                <w:szCs w:val="18"/>
                <w:lang w:val="es-ES_tradnl"/>
              </w:rPr>
            </w:pPr>
          </w:p>
        </w:tc>
        <w:tc>
          <w:tcPr>
            <w:tcW w:w="2354" w:type="dxa"/>
          </w:tcPr>
          <w:p w14:paraId="2F9A499A" w14:textId="77777777" w:rsidR="007E2F9F" w:rsidRPr="00103309" w:rsidRDefault="007E2F9F" w:rsidP="006548F8">
            <w:pPr>
              <w:ind w:left="145" w:right="184"/>
              <w:jc w:val="center"/>
              <w:rPr>
                <w:rFonts w:ascii="Arial" w:hAnsi="Arial" w:cs="Arial"/>
                <w:b/>
                <w:sz w:val="18"/>
                <w:szCs w:val="18"/>
                <w:lang w:val="es-ES_tradnl"/>
              </w:rPr>
            </w:pPr>
            <w:r w:rsidRPr="00103309">
              <w:rPr>
                <w:rFonts w:ascii="Arial" w:hAnsi="Arial" w:cs="Arial"/>
                <w:b/>
                <w:sz w:val="18"/>
                <w:szCs w:val="18"/>
                <w:lang w:val="es-ES_tradnl"/>
              </w:rPr>
              <w:t>EJECUCIÓN</w:t>
            </w:r>
          </w:p>
          <w:p w14:paraId="4D06596C" w14:textId="77777777" w:rsidR="007E2F9F" w:rsidRPr="00103309" w:rsidRDefault="007E2F9F" w:rsidP="006548F8">
            <w:pPr>
              <w:ind w:right="34"/>
              <w:jc w:val="center"/>
              <w:rPr>
                <w:rFonts w:ascii="Arial" w:hAnsi="Arial" w:cs="Arial"/>
                <w:b/>
                <w:sz w:val="18"/>
                <w:szCs w:val="18"/>
                <w:lang w:val="es-ES_tradnl"/>
              </w:rPr>
            </w:pPr>
            <w:r w:rsidRPr="00103309">
              <w:rPr>
                <w:rFonts w:ascii="Arial" w:hAnsi="Arial" w:cs="Arial"/>
                <w:b/>
                <w:sz w:val="18"/>
                <w:szCs w:val="18"/>
                <w:lang w:val="es-ES_tradnl"/>
              </w:rPr>
              <w:t>COMPROMISOS</w:t>
            </w:r>
          </w:p>
          <w:p w14:paraId="07A15679" w14:textId="77777777" w:rsidR="007E2F9F" w:rsidRPr="00103309" w:rsidRDefault="007E2F9F" w:rsidP="006548F8">
            <w:pPr>
              <w:ind w:right="34"/>
              <w:jc w:val="center"/>
              <w:rPr>
                <w:rFonts w:ascii="Arial" w:hAnsi="Arial" w:cs="Arial"/>
                <w:b/>
                <w:sz w:val="18"/>
                <w:szCs w:val="18"/>
                <w:lang w:val="es-ES_tradnl"/>
              </w:rPr>
            </w:pPr>
            <w:r w:rsidRPr="00103309">
              <w:rPr>
                <w:rFonts w:ascii="Arial" w:hAnsi="Arial" w:cs="Arial"/>
                <w:b/>
                <w:sz w:val="18"/>
                <w:szCs w:val="18"/>
                <w:lang w:val="es-ES_tradnl"/>
              </w:rPr>
              <w:t>(2)</w:t>
            </w:r>
          </w:p>
        </w:tc>
        <w:tc>
          <w:tcPr>
            <w:tcW w:w="2238" w:type="dxa"/>
          </w:tcPr>
          <w:p w14:paraId="537F0DAA" w14:textId="77777777" w:rsidR="007E2F9F" w:rsidRPr="00103309" w:rsidRDefault="007E2F9F" w:rsidP="006548F8">
            <w:pPr>
              <w:ind w:left="25" w:right="34"/>
              <w:jc w:val="center"/>
              <w:rPr>
                <w:rFonts w:ascii="Arial" w:hAnsi="Arial" w:cs="Arial"/>
                <w:b/>
                <w:sz w:val="18"/>
                <w:szCs w:val="18"/>
                <w:lang w:val="es-ES_tradnl"/>
              </w:rPr>
            </w:pPr>
            <w:r w:rsidRPr="00103309">
              <w:rPr>
                <w:rFonts w:ascii="Arial" w:hAnsi="Arial" w:cs="Arial"/>
                <w:b/>
                <w:sz w:val="18"/>
                <w:szCs w:val="18"/>
                <w:lang w:val="es-ES_tradnl"/>
              </w:rPr>
              <w:t>PÉRDIDAS DE</w:t>
            </w:r>
          </w:p>
          <w:p w14:paraId="4C3C04F4" w14:textId="77777777" w:rsidR="007E2F9F" w:rsidRPr="00103309" w:rsidRDefault="007E2F9F" w:rsidP="006548F8">
            <w:pPr>
              <w:ind w:right="34"/>
              <w:jc w:val="center"/>
              <w:rPr>
                <w:rFonts w:ascii="Arial" w:hAnsi="Arial" w:cs="Arial"/>
                <w:b/>
                <w:sz w:val="18"/>
                <w:szCs w:val="18"/>
                <w:lang w:val="es-ES_tradnl"/>
              </w:rPr>
            </w:pPr>
            <w:r w:rsidRPr="00103309">
              <w:rPr>
                <w:rFonts w:ascii="Arial" w:hAnsi="Arial" w:cs="Arial"/>
                <w:b/>
                <w:sz w:val="18"/>
                <w:szCs w:val="18"/>
                <w:lang w:val="es-ES_tradnl"/>
              </w:rPr>
              <w:t>APROPIACIÓN</w:t>
            </w:r>
          </w:p>
          <w:p w14:paraId="3596E872" w14:textId="77777777" w:rsidR="007E2F9F" w:rsidRPr="00103309" w:rsidRDefault="007E2F9F" w:rsidP="006548F8">
            <w:pPr>
              <w:ind w:right="34"/>
              <w:jc w:val="center"/>
              <w:rPr>
                <w:rFonts w:ascii="Arial" w:hAnsi="Arial" w:cs="Arial"/>
                <w:b/>
                <w:sz w:val="18"/>
                <w:szCs w:val="18"/>
                <w:lang w:val="es-ES_tradnl"/>
              </w:rPr>
            </w:pPr>
            <w:r w:rsidRPr="00103309">
              <w:rPr>
                <w:rFonts w:ascii="Arial" w:hAnsi="Arial" w:cs="Arial"/>
                <w:b/>
                <w:sz w:val="18"/>
                <w:szCs w:val="18"/>
                <w:lang w:val="es-ES_tradnl"/>
              </w:rPr>
              <w:t>3 = (1-2)</w:t>
            </w:r>
          </w:p>
        </w:tc>
      </w:tr>
      <w:tr w:rsidR="007E2F9F" w:rsidRPr="00103309" w14:paraId="7CE09118" w14:textId="77777777" w:rsidTr="006548F8">
        <w:trPr>
          <w:trHeight w:val="230"/>
        </w:trPr>
        <w:tc>
          <w:tcPr>
            <w:tcW w:w="3544" w:type="dxa"/>
          </w:tcPr>
          <w:p w14:paraId="7AE40DE7" w14:textId="77777777" w:rsidR="007E2F9F" w:rsidRPr="00103309" w:rsidRDefault="007E2F9F" w:rsidP="006548F8">
            <w:pPr>
              <w:ind w:right="-1440"/>
              <w:jc w:val="both"/>
              <w:rPr>
                <w:rFonts w:ascii="Arial" w:hAnsi="Arial" w:cs="Arial"/>
                <w:b/>
                <w:sz w:val="18"/>
                <w:szCs w:val="18"/>
                <w:lang w:val="es-ES_tradnl"/>
              </w:rPr>
            </w:pPr>
            <w:r w:rsidRPr="00103309">
              <w:rPr>
                <w:rFonts w:ascii="Arial" w:hAnsi="Arial" w:cs="Arial"/>
                <w:b/>
                <w:sz w:val="18"/>
                <w:szCs w:val="18"/>
                <w:lang w:val="es-ES_tradnl"/>
              </w:rPr>
              <w:t>FUNCIONAMIENTO</w:t>
            </w:r>
          </w:p>
        </w:tc>
        <w:tc>
          <w:tcPr>
            <w:tcW w:w="2354" w:type="dxa"/>
          </w:tcPr>
          <w:p w14:paraId="19F6571F" w14:textId="77777777" w:rsidR="007E2F9F" w:rsidRPr="00103309" w:rsidRDefault="007E2F9F" w:rsidP="006548F8">
            <w:pPr>
              <w:jc w:val="right"/>
              <w:rPr>
                <w:rFonts w:ascii="Arial" w:eastAsia="Calibri" w:hAnsi="Arial" w:cs="Arial"/>
                <w:b/>
                <w:sz w:val="16"/>
                <w:szCs w:val="16"/>
                <w:lang w:val="es-CO"/>
              </w:rPr>
            </w:pPr>
            <w:r w:rsidRPr="00103309">
              <w:rPr>
                <w:rFonts w:ascii="Arial" w:eastAsia="Calibri" w:hAnsi="Arial" w:cs="Arial"/>
                <w:b/>
                <w:sz w:val="16"/>
                <w:szCs w:val="16"/>
                <w:lang w:val="es-CO"/>
              </w:rPr>
              <w:t>4.347.400</w:t>
            </w:r>
          </w:p>
        </w:tc>
        <w:tc>
          <w:tcPr>
            <w:tcW w:w="2354" w:type="dxa"/>
          </w:tcPr>
          <w:p w14:paraId="1A791203" w14:textId="77777777" w:rsidR="007E2F9F" w:rsidRPr="00103309" w:rsidRDefault="007E2F9F" w:rsidP="006548F8">
            <w:pPr>
              <w:pStyle w:val="Prrafodelista"/>
              <w:ind w:left="0"/>
              <w:jc w:val="right"/>
              <w:rPr>
                <w:rFonts w:ascii="Arial" w:hAnsi="Arial" w:cs="Arial"/>
                <w:b/>
                <w:sz w:val="16"/>
                <w:szCs w:val="16"/>
              </w:rPr>
            </w:pPr>
            <w:r w:rsidRPr="00103309">
              <w:rPr>
                <w:rFonts w:ascii="Arial" w:eastAsia="Calibri" w:hAnsi="Arial" w:cs="Arial"/>
                <w:b/>
                <w:sz w:val="16"/>
                <w:szCs w:val="16"/>
                <w:lang w:val="es-CO"/>
              </w:rPr>
              <w:t>4.153.218</w:t>
            </w:r>
          </w:p>
        </w:tc>
        <w:tc>
          <w:tcPr>
            <w:tcW w:w="2238" w:type="dxa"/>
          </w:tcPr>
          <w:p w14:paraId="31B4B716" w14:textId="77777777" w:rsidR="007E2F9F" w:rsidRPr="00103309" w:rsidRDefault="007E2F9F" w:rsidP="006548F8">
            <w:pPr>
              <w:pStyle w:val="Prrafodelista"/>
              <w:ind w:left="0"/>
              <w:jc w:val="right"/>
              <w:rPr>
                <w:rFonts w:ascii="Arial" w:hAnsi="Arial" w:cs="Arial"/>
                <w:b/>
                <w:sz w:val="16"/>
                <w:szCs w:val="16"/>
              </w:rPr>
            </w:pPr>
            <w:r w:rsidRPr="00103309">
              <w:rPr>
                <w:rFonts w:ascii="Arial" w:hAnsi="Arial" w:cs="Arial"/>
                <w:b/>
                <w:sz w:val="16"/>
                <w:szCs w:val="16"/>
              </w:rPr>
              <w:t>194.182</w:t>
            </w:r>
          </w:p>
        </w:tc>
      </w:tr>
      <w:tr w:rsidR="007E2F9F" w:rsidRPr="00103309" w14:paraId="71562395" w14:textId="77777777" w:rsidTr="006548F8">
        <w:tc>
          <w:tcPr>
            <w:tcW w:w="3544" w:type="dxa"/>
          </w:tcPr>
          <w:p w14:paraId="4E2B3835" w14:textId="77777777" w:rsidR="007E2F9F" w:rsidRPr="00103309" w:rsidRDefault="007E2F9F" w:rsidP="006548F8">
            <w:pPr>
              <w:ind w:right="-1440"/>
              <w:jc w:val="both"/>
              <w:rPr>
                <w:rFonts w:ascii="Arial" w:hAnsi="Arial" w:cs="Arial"/>
                <w:b/>
                <w:sz w:val="18"/>
                <w:szCs w:val="18"/>
                <w:lang w:val="es-ES_tradnl"/>
              </w:rPr>
            </w:pPr>
            <w:r w:rsidRPr="00103309">
              <w:rPr>
                <w:rFonts w:ascii="Arial" w:hAnsi="Arial" w:cs="Arial"/>
                <w:b/>
                <w:sz w:val="18"/>
                <w:szCs w:val="18"/>
                <w:lang w:val="es-ES_tradnl"/>
              </w:rPr>
              <w:t>INVERSIÓN</w:t>
            </w:r>
          </w:p>
        </w:tc>
        <w:tc>
          <w:tcPr>
            <w:tcW w:w="2354" w:type="dxa"/>
          </w:tcPr>
          <w:p w14:paraId="6B183812" w14:textId="77777777" w:rsidR="007E2F9F" w:rsidRPr="00103309" w:rsidRDefault="007E2F9F" w:rsidP="006548F8">
            <w:pPr>
              <w:pStyle w:val="Prrafodelista"/>
              <w:ind w:left="0"/>
              <w:jc w:val="right"/>
              <w:rPr>
                <w:rFonts w:ascii="Arial" w:hAnsi="Arial" w:cs="Arial"/>
                <w:b/>
                <w:sz w:val="16"/>
                <w:szCs w:val="16"/>
              </w:rPr>
            </w:pPr>
            <w:r w:rsidRPr="00103309">
              <w:rPr>
                <w:rFonts w:ascii="Arial" w:eastAsia="Calibri" w:hAnsi="Arial" w:cs="Arial"/>
                <w:b/>
                <w:sz w:val="16"/>
                <w:szCs w:val="16"/>
                <w:lang w:val="es-CO"/>
              </w:rPr>
              <w:t>9.475.845</w:t>
            </w:r>
          </w:p>
        </w:tc>
        <w:tc>
          <w:tcPr>
            <w:tcW w:w="2354" w:type="dxa"/>
          </w:tcPr>
          <w:p w14:paraId="1B2BFD2F" w14:textId="77777777" w:rsidR="007E2F9F" w:rsidRPr="00103309" w:rsidRDefault="007E2F9F" w:rsidP="006548F8">
            <w:pPr>
              <w:pStyle w:val="Prrafodelista"/>
              <w:ind w:left="0"/>
              <w:jc w:val="right"/>
              <w:rPr>
                <w:rFonts w:ascii="Arial" w:hAnsi="Arial" w:cs="Arial"/>
                <w:b/>
                <w:sz w:val="16"/>
                <w:szCs w:val="16"/>
              </w:rPr>
            </w:pPr>
            <w:r w:rsidRPr="00103309">
              <w:rPr>
                <w:rFonts w:ascii="Arial" w:eastAsia="Calibri" w:hAnsi="Arial" w:cs="Arial"/>
                <w:b/>
                <w:sz w:val="16"/>
                <w:szCs w:val="16"/>
                <w:lang w:val="es-CO"/>
              </w:rPr>
              <w:t>9.089.248</w:t>
            </w:r>
          </w:p>
        </w:tc>
        <w:tc>
          <w:tcPr>
            <w:tcW w:w="2238" w:type="dxa"/>
          </w:tcPr>
          <w:p w14:paraId="019CA442" w14:textId="77777777" w:rsidR="007E2F9F" w:rsidRPr="00103309" w:rsidRDefault="007E2F9F" w:rsidP="006548F8">
            <w:pPr>
              <w:pStyle w:val="Prrafodelista"/>
              <w:ind w:left="0"/>
              <w:jc w:val="right"/>
              <w:rPr>
                <w:rFonts w:ascii="Arial" w:hAnsi="Arial" w:cs="Arial"/>
                <w:b/>
                <w:sz w:val="16"/>
                <w:szCs w:val="16"/>
              </w:rPr>
            </w:pPr>
            <w:r w:rsidRPr="00103309">
              <w:rPr>
                <w:rFonts w:ascii="Arial" w:hAnsi="Arial" w:cs="Arial"/>
                <w:b/>
                <w:sz w:val="16"/>
                <w:szCs w:val="16"/>
              </w:rPr>
              <w:t>386.597</w:t>
            </w:r>
          </w:p>
        </w:tc>
      </w:tr>
      <w:tr w:rsidR="007E2F9F" w:rsidRPr="00103309" w14:paraId="5C267DA5" w14:textId="77777777" w:rsidTr="006548F8">
        <w:tc>
          <w:tcPr>
            <w:tcW w:w="3544" w:type="dxa"/>
          </w:tcPr>
          <w:p w14:paraId="10A00065" w14:textId="77777777" w:rsidR="007E2F9F" w:rsidRPr="00103309" w:rsidRDefault="007E2F9F" w:rsidP="006548F8">
            <w:pPr>
              <w:ind w:right="-1440"/>
              <w:jc w:val="both"/>
              <w:rPr>
                <w:rFonts w:ascii="Arial" w:hAnsi="Arial" w:cs="Arial"/>
                <w:b/>
                <w:sz w:val="18"/>
                <w:szCs w:val="18"/>
                <w:lang w:val="es-ES_tradnl"/>
              </w:rPr>
            </w:pPr>
            <w:r w:rsidRPr="00103309">
              <w:rPr>
                <w:rFonts w:ascii="Arial" w:hAnsi="Arial" w:cs="Arial"/>
                <w:b/>
                <w:sz w:val="18"/>
                <w:szCs w:val="18"/>
                <w:lang w:val="es-ES_tradnl"/>
              </w:rPr>
              <w:t>TOTAL PÉRDIDAS DE APROPIACIÓN</w:t>
            </w:r>
          </w:p>
        </w:tc>
        <w:tc>
          <w:tcPr>
            <w:tcW w:w="2354" w:type="dxa"/>
          </w:tcPr>
          <w:p w14:paraId="653BEC0B" w14:textId="77777777" w:rsidR="007E2F9F" w:rsidRPr="00103309" w:rsidRDefault="007E2F9F" w:rsidP="006548F8">
            <w:pPr>
              <w:pStyle w:val="Prrafodelista"/>
              <w:ind w:left="0"/>
              <w:jc w:val="right"/>
              <w:rPr>
                <w:rFonts w:ascii="Arial" w:hAnsi="Arial" w:cs="Arial"/>
                <w:b/>
                <w:sz w:val="16"/>
                <w:szCs w:val="16"/>
                <w:u w:val="single"/>
              </w:rPr>
            </w:pPr>
            <w:r w:rsidRPr="00103309">
              <w:rPr>
                <w:rFonts w:ascii="Arial" w:eastAsia="Calibri" w:hAnsi="Arial" w:cs="Arial"/>
                <w:b/>
                <w:sz w:val="16"/>
                <w:szCs w:val="16"/>
                <w:lang w:val="es-CO"/>
              </w:rPr>
              <w:t>13.823.245</w:t>
            </w:r>
          </w:p>
        </w:tc>
        <w:tc>
          <w:tcPr>
            <w:tcW w:w="2354" w:type="dxa"/>
          </w:tcPr>
          <w:p w14:paraId="46DB5B88" w14:textId="77777777" w:rsidR="007E2F9F" w:rsidRPr="00103309" w:rsidRDefault="007E2F9F" w:rsidP="006548F8">
            <w:pPr>
              <w:pStyle w:val="Prrafodelista"/>
              <w:ind w:left="0"/>
              <w:jc w:val="right"/>
              <w:rPr>
                <w:rFonts w:ascii="Arial" w:hAnsi="Arial" w:cs="Arial"/>
                <w:b/>
                <w:sz w:val="16"/>
                <w:szCs w:val="16"/>
                <w:u w:val="single"/>
              </w:rPr>
            </w:pPr>
            <w:r w:rsidRPr="00103309">
              <w:rPr>
                <w:rFonts w:ascii="Arial" w:eastAsia="Calibri" w:hAnsi="Arial" w:cs="Arial"/>
                <w:b/>
                <w:sz w:val="16"/>
                <w:szCs w:val="16"/>
                <w:lang w:val="es-CO"/>
              </w:rPr>
              <w:t>13.242.466</w:t>
            </w:r>
          </w:p>
        </w:tc>
        <w:tc>
          <w:tcPr>
            <w:tcW w:w="2238" w:type="dxa"/>
          </w:tcPr>
          <w:p w14:paraId="68533BB5" w14:textId="77777777" w:rsidR="007E2F9F" w:rsidRPr="00103309" w:rsidRDefault="007E2F9F" w:rsidP="006548F8">
            <w:pPr>
              <w:pStyle w:val="Prrafodelista"/>
              <w:ind w:left="0"/>
              <w:jc w:val="right"/>
              <w:rPr>
                <w:rFonts w:ascii="Arial" w:hAnsi="Arial" w:cs="Arial"/>
                <w:b/>
                <w:sz w:val="16"/>
                <w:szCs w:val="16"/>
                <w:u w:val="single"/>
              </w:rPr>
            </w:pPr>
            <w:r w:rsidRPr="00103309">
              <w:rPr>
                <w:rFonts w:ascii="Arial" w:hAnsi="Arial" w:cs="Arial"/>
                <w:b/>
                <w:sz w:val="16"/>
                <w:szCs w:val="16"/>
                <w:u w:val="single"/>
              </w:rPr>
              <w:t>580.779</w:t>
            </w:r>
          </w:p>
        </w:tc>
      </w:tr>
    </w:tbl>
    <w:p w14:paraId="4BAF1C8D" w14:textId="77777777" w:rsidR="007E2F9F" w:rsidRPr="00103309" w:rsidRDefault="007E2F9F" w:rsidP="007E2F9F">
      <w:pPr>
        <w:ind w:left="-284" w:right="-234"/>
        <w:jc w:val="both"/>
        <w:rPr>
          <w:rFonts w:ascii="Arial" w:hAnsi="Arial" w:cs="Arial"/>
          <w:b/>
          <w:bCs/>
          <w:sz w:val="28"/>
          <w:szCs w:val="28"/>
          <w:lang w:val="es-MX"/>
        </w:rPr>
      </w:pPr>
    </w:p>
    <w:p w14:paraId="17E71F7F" w14:textId="77777777" w:rsidR="007E2F9F" w:rsidRPr="006A3E45" w:rsidRDefault="007E2F9F" w:rsidP="007E2F9F">
      <w:pPr>
        <w:ind w:left="-284"/>
        <w:jc w:val="both"/>
        <w:rPr>
          <w:rFonts w:ascii="Arial" w:hAnsi="Arial" w:cs="Arial"/>
          <w:b/>
          <w:sz w:val="28"/>
          <w:szCs w:val="28"/>
          <w:lang w:val="es-MX"/>
        </w:rPr>
      </w:pPr>
      <w:r w:rsidRPr="006A3E45">
        <w:rPr>
          <w:rFonts w:ascii="Arial" w:hAnsi="Arial" w:cs="Arial"/>
          <w:b/>
          <w:sz w:val="28"/>
          <w:szCs w:val="28"/>
          <w:lang w:val="es-MX"/>
        </w:rPr>
        <w:t xml:space="preserve">98.- </w:t>
      </w:r>
      <w:r w:rsidRPr="006A3E45">
        <w:rPr>
          <w:rFonts w:ascii="Arial" w:hAnsi="Arial" w:cs="Arial"/>
          <w:b/>
          <w:sz w:val="28"/>
          <w:szCs w:val="28"/>
        </w:rPr>
        <w:t>CORPORACIÓN AUTÓNOMA REGIONAL DEL QUINDIO – CRQ</w:t>
      </w:r>
      <w:r w:rsidRPr="006A3E45">
        <w:rPr>
          <w:rFonts w:ascii="Arial" w:hAnsi="Arial" w:cs="Arial"/>
          <w:b/>
          <w:sz w:val="28"/>
          <w:szCs w:val="28"/>
          <w:lang w:val="es-MX"/>
        </w:rPr>
        <w:t>.</w:t>
      </w:r>
    </w:p>
    <w:p w14:paraId="18B00F8D" w14:textId="77777777" w:rsidR="007E2F9F" w:rsidRDefault="007E2F9F" w:rsidP="007E2F9F">
      <w:pPr>
        <w:ind w:left="-284" w:right="-234"/>
        <w:jc w:val="both"/>
        <w:rPr>
          <w:rFonts w:ascii="Arial" w:hAnsi="Arial" w:cs="Arial"/>
          <w:b/>
          <w:bCs/>
          <w:sz w:val="28"/>
          <w:szCs w:val="28"/>
          <w:lang w:val="es-MX"/>
        </w:rPr>
      </w:pPr>
    </w:p>
    <w:p w14:paraId="3551417B" w14:textId="77777777" w:rsidR="007E2F9F" w:rsidRPr="00103309" w:rsidRDefault="007E2F9F" w:rsidP="007E2F9F">
      <w:pPr>
        <w:pStyle w:val="Prrafodelista"/>
        <w:ind w:left="0"/>
        <w:jc w:val="center"/>
        <w:rPr>
          <w:rFonts w:ascii="Arial" w:hAnsi="Arial" w:cs="Arial"/>
          <w:b/>
          <w:sz w:val="24"/>
        </w:rPr>
      </w:pPr>
      <w:r w:rsidRPr="00103309">
        <w:rPr>
          <w:rFonts w:ascii="Arial" w:hAnsi="Arial" w:cs="Arial"/>
          <w:b/>
          <w:sz w:val="24"/>
        </w:rPr>
        <w:t>Pérdidas de Apropiación en la vigencia 2024.</w:t>
      </w:r>
    </w:p>
    <w:p w14:paraId="0949DA70" w14:textId="77777777" w:rsidR="007E2F9F" w:rsidRPr="00103309" w:rsidRDefault="007E2F9F" w:rsidP="007E2F9F">
      <w:pPr>
        <w:pStyle w:val="Prrafodelista"/>
        <w:ind w:left="0"/>
        <w:jc w:val="center"/>
        <w:rPr>
          <w:rFonts w:ascii="Arial" w:hAnsi="Arial" w:cs="Arial"/>
          <w:sz w:val="24"/>
        </w:rPr>
      </w:pPr>
      <w:r w:rsidRPr="00103309">
        <w:rPr>
          <w:rFonts w:ascii="Arial" w:hAnsi="Arial" w:cs="Arial"/>
          <w:sz w:val="24"/>
        </w:rPr>
        <w:t>(Cifras en miles de</w:t>
      </w:r>
      <w:r w:rsidRPr="00103309">
        <w:rPr>
          <w:rFonts w:ascii="Arial" w:hAnsi="Arial" w:cs="Arial"/>
          <w:spacing w:val="-11"/>
          <w:sz w:val="24"/>
        </w:rPr>
        <w:t xml:space="preserve"> </w:t>
      </w:r>
      <w:r w:rsidRPr="00103309">
        <w:rPr>
          <w:rFonts w:ascii="Arial" w:hAnsi="Arial" w:cs="Arial"/>
          <w:sz w:val="24"/>
        </w:rPr>
        <w:t>pesos).</w:t>
      </w: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6A3E45" w14:paraId="1B6AF61B" w14:textId="77777777" w:rsidTr="006548F8">
        <w:tc>
          <w:tcPr>
            <w:tcW w:w="3544" w:type="dxa"/>
          </w:tcPr>
          <w:p w14:paraId="4B927944" w14:textId="77777777" w:rsidR="007E2F9F" w:rsidRPr="006A3E45" w:rsidRDefault="007E2F9F" w:rsidP="006548F8">
            <w:pPr>
              <w:ind w:left="1169" w:right="-1440"/>
              <w:rPr>
                <w:rFonts w:ascii="Arial" w:hAnsi="Arial" w:cs="Arial"/>
                <w:b/>
                <w:sz w:val="18"/>
                <w:szCs w:val="18"/>
                <w:lang w:val="es-ES_tradnl"/>
              </w:rPr>
            </w:pPr>
            <w:r w:rsidRPr="006A3E45">
              <w:rPr>
                <w:rFonts w:ascii="Arial" w:hAnsi="Arial" w:cs="Arial"/>
                <w:b/>
                <w:sz w:val="18"/>
                <w:szCs w:val="18"/>
                <w:lang w:val="es-ES_tradnl"/>
              </w:rPr>
              <w:t>TIPO DE GASTO</w:t>
            </w:r>
          </w:p>
        </w:tc>
        <w:tc>
          <w:tcPr>
            <w:tcW w:w="2354" w:type="dxa"/>
          </w:tcPr>
          <w:p w14:paraId="4D430948" w14:textId="77777777" w:rsidR="007E2F9F" w:rsidRPr="006A3E45" w:rsidRDefault="007E2F9F" w:rsidP="006548F8">
            <w:pPr>
              <w:jc w:val="center"/>
              <w:rPr>
                <w:rFonts w:ascii="Arial" w:hAnsi="Arial" w:cs="Arial"/>
                <w:b/>
                <w:sz w:val="18"/>
                <w:szCs w:val="18"/>
                <w:lang w:val="es-ES_tradnl"/>
              </w:rPr>
            </w:pPr>
            <w:r w:rsidRPr="006A3E45">
              <w:rPr>
                <w:rFonts w:ascii="Arial" w:hAnsi="Arial" w:cs="Arial"/>
                <w:b/>
                <w:sz w:val="18"/>
                <w:szCs w:val="18"/>
                <w:lang w:val="es-ES_tradnl"/>
              </w:rPr>
              <w:t>APROPIACIÓN</w:t>
            </w:r>
          </w:p>
          <w:p w14:paraId="1FC7F85C" w14:textId="77777777" w:rsidR="007E2F9F" w:rsidRPr="006A3E45" w:rsidRDefault="007E2F9F" w:rsidP="006548F8">
            <w:pPr>
              <w:jc w:val="center"/>
              <w:rPr>
                <w:rFonts w:ascii="Arial" w:hAnsi="Arial" w:cs="Arial"/>
                <w:b/>
                <w:sz w:val="18"/>
                <w:szCs w:val="18"/>
                <w:lang w:val="es-ES_tradnl"/>
              </w:rPr>
            </w:pPr>
            <w:r w:rsidRPr="006A3E45">
              <w:rPr>
                <w:rFonts w:ascii="Arial" w:hAnsi="Arial" w:cs="Arial"/>
                <w:b/>
                <w:sz w:val="18"/>
                <w:szCs w:val="18"/>
                <w:lang w:val="es-ES_tradnl"/>
              </w:rPr>
              <w:t>DEFINITIVA</w:t>
            </w:r>
          </w:p>
          <w:p w14:paraId="558F95CC" w14:textId="77777777" w:rsidR="007E2F9F" w:rsidRPr="006A3E45" w:rsidRDefault="007E2F9F" w:rsidP="006548F8">
            <w:pPr>
              <w:jc w:val="center"/>
              <w:rPr>
                <w:rFonts w:ascii="Arial" w:hAnsi="Arial" w:cs="Arial"/>
                <w:b/>
                <w:sz w:val="18"/>
                <w:szCs w:val="18"/>
                <w:lang w:val="es-ES_tradnl"/>
              </w:rPr>
            </w:pPr>
            <w:r w:rsidRPr="006A3E45">
              <w:rPr>
                <w:rFonts w:ascii="Arial" w:hAnsi="Arial" w:cs="Arial"/>
                <w:b/>
                <w:sz w:val="18"/>
                <w:szCs w:val="18"/>
                <w:lang w:val="es-ES_tradnl"/>
              </w:rPr>
              <w:t>(1)</w:t>
            </w:r>
          </w:p>
          <w:p w14:paraId="00728BAE" w14:textId="77777777" w:rsidR="007E2F9F" w:rsidRPr="006A3E45" w:rsidRDefault="007E2F9F" w:rsidP="006548F8">
            <w:pPr>
              <w:jc w:val="center"/>
              <w:rPr>
                <w:rFonts w:ascii="Arial" w:hAnsi="Arial" w:cs="Arial"/>
                <w:b/>
                <w:sz w:val="18"/>
                <w:szCs w:val="18"/>
                <w:lang w:val="es-ES_tradnl"/>
              </w:rPr>
            </w:pPr>
          </w:p>
        </w:tc>
        <w:tc>
          <w:tcPr>
            <w:tcW w:w="2354" w:type="dxa"/>
          </w:tcPr>
          <w:p w14:paraId="45653A26" w14:textId="77777777" w:rsidR="007E2F9F" w:rsidRPr="006A3E45" w:rsidRDefault="007E2F9F" w:rsidP="006548F8">
            <w:pPr>
              <w:ind w:left="145" w:right="184"/>
              <w:jc w:val="center"/>
              <w:rPr>
                <w:rFonts w:ascii="Arial" w:hAnsi="Arial" w:cs="Arial"/>
                <w:b/>
                <w:sz w:val="18"/>
                <w:szCs w:val="18"/>
                <w:lang w:val="es-ES_tradnl"/>
              </w:rPr>
            </w:pPr>
            <w:r w:rsidRPr="006A3E45">
              <w:rPr>
                <w:rFonts w:ascii="Arial" w:hAnsi="Arial" w:cs="Arial"/>
                <w:b/>
                <w:sz w:val="18"/>
                <w:szCs w:val="18"/>
                <w:lang w:val="es-ES_tradnl"/>
              </w:rPr>
              <w:t>EJECUCIÓN</w:t>
            </w:r>
          </w:p>
          <w:p w14:paraId="57749687" w14:textId="77777777" w:rsidR="007E2F9F" w:rsidRPr="006A3E45" w:rsidRDefault="007E2F9F" w:rsidP="006548F8">
            <w:pPr>
              <w:ind w:right="34"/>
              <w:jc w:val="center"/>
              <w:rPr>
                <w:rFonts w:ascii="Arial" w:hAnsi="Arial" w:cs="Arial"/>
                <w:b/>
                <w:sz w:val="18"/>
                <w:szCs w:val="18"/>
                <w:lang w:val="es-ES_tradnl"/>
              </w:rPr>
            </w:pPr>
            <w:r w:rsidRPr="006A3E45">
              <w:rPr>
                <w:rFonts w:ascii="Arial" w:hAnsi="Arial" w:cs="Arial"/>
                <w:b/>
                <w:sz w:val="18"/>
                <w:szCs w:val="18"/>
                <w:lang w:val="es-ES_tradnl"/>
              </w:rPr>
              <w:t>COMPROMISOS</w:t>
            </w:r>
          </w:p>
          <w:p w14:paraId="2EBF8C5D" w14:textId="77777777" w:rsidR="007E2F9F" w:rsidRPr="006A3E45" w:rsidRDefault="007E2F9F" w:rsidP="006548F8">
            <w:pPr>
              <w:ind w:right="34"/>
              <w:jc w:val="center"/>
              <w:rPr>
                <w:rFonts w:ascii="Arial" w:hAnsi="Arial" w:cs="Arial"/>
                <w:b/>
                <w:sz w:val="18"/>
                <w:szCs w:val="18"/>
                <w:lang w:val="es-ES_tradnl"/>
              </w:rPr>
            </w:pPr>
            <w:r w:rsidRPr="006A3E45">
              <w:rPr>
                <w:rFonts w:ascii="Arial" w:hAnsi="Arial" w:cs="Arial"/>
                <w:b/>
                <w:sz w:val="18"/>
                <w:szCs w:val="18"/>
                <w:lang w:val="es-ES_tradnl"/>
              </w:rPr>
              <w:t>(2)</w:t>
            </w:r>
          </w:p>
        </w:tc>
        <w:tc>
          <w:tcPr>
            <w:tcW w:w="2238" w:type="dxa"/>
          </w:tcPr>
          <w:p w14:paraId="0578A507" w14:textId="77777777" w:rsidR="007E2F9F" w:rsidRPr="006A3E45" w:rsidRDefault="007E2F9F" w:rsidP="006548F8">
            <w:pPr>
              <w:ind w:left="25" w:right="34"/>
              <w:jc w:val="center"/>
              <w:rPr>
                <w:rFonts w:ascii="Arial" w:hAnsi="Arial" w:cs="Arial"/>
                <w:b/>
                <w:sz w:val="18"/>
                <w:szCs w:val="18"/>
                <w:lang w:val="es-ES_tradnl"/>
              </w:rPr>
            </w:pPr>
            <w:r w:rsidRPr="006A3E45">
              <w:rPr>
                <w:rFonts w:ascii="Arial" w:hAnsi="Arial" w:cs="Arial"/>
                <w:b/>
                <w:sz w:val="18"/>
                <w:szCs w:val="18"/>
                <w:lang w:val="es-ES_tradnl"/>
              </w:rPr>
              <w:t>PÉRDIDAS DE</w:t>
            </w:r>
          </w:p>
          <w:p w14:paraId="005FBDD6" w14:textId="77777777" w:rsidR="007E2F9F" w:rsidRPr="006A3E45" w:rsidRDefault="007E2F9F" w:rsidP="006548F8">
            <w:pPr>
              <w:ind w:right="34"/>
              <w:jc w:val="center"/>
              <w:rPr>
                <w:rFonts w:ascii="Arial" w:hAnsi="Arial" w:cs="Arial"/>
                <w:b/>
                <w:sz w:val="18"/>
                <w:szCs w:val="18"/>
                <w:lang w:val="es-ES_tradnl"/>
              </w:rPr>
            </w:pPr>
            <w:r w:rsidRPr="006A3E45">
              <w:rPr>
                <w:rFonts w:ascii="Arial" w:hAnsi="Arial" w:cs="Arial"/>
                <w:b/>
                <w:sz w:val="18"/>
                <w:szCs w:val="18"/>
                <w:lang w:val="es-ES_tradnl"/>
              </w:rPr>
              <w:t>APROPIACIÓN</w:t>
            </w:r>
          </w:p>
          <w:p w14:paraId="7402685F" w14:textId="77777777" w:rsidR="007E2F9F" w:rsidRPr="006A3E45" w:rsidRDefault="007E2F9F" w:rsidP="006548F8">
            <w:pPr>
              <w:ind w:right="34"/>
              <w:jc w:val="center"/>
              <w:rPr>
                <w:rFonts w:ascii="Arial" w:hAnsi="Arial" w:cs="Arial"/>
                <w:b/>
                <w:sz w:val="18"/>
                <w:szCs w:val="18"/>
                <w:lang w:val="es-ES_tradnl"/>
              </w:rPr>
            </w:pPr>
            <w:r w:rsidRPr="006A3E45">
              <w:rPr>
                <w:rFonts w:ascii="Arial" w:hAnsi="Arial" w:cs="Arial"/>
                <w:b/>
                <w:sz w:val="18"/>
                <w:szCs w:val="18"/>
                <w:lang w:val="es-ES_tradnl"/>
              </w:rPr>
              <w:t>3 = (1-2)</w:t>
            </w:r>
          </w:p>
        </w:tc>
      </w:tr>
      <w:tr w:rsidR="007E2F9F" w:rsidRPr="006A3E45" w14:paraId="3193FA2B" w14:textId="77777777" w:rsidTr="006548F8">
        <w:trPr>
          <w:trHeight w:val="230"/>
        </w:trPr>
        <w:tc>
          <w:tcPr>
            <w:tcW w:w="3544" w:type="dxa"/>
          </w:tcPr>
          <w:p w14:paraId="717039C1" w14:textId="77777777" w:rsidR="007E2F9F" w:rsidRPr="006A3E45" w:rsidRDefault="007E2F9F" w:rsidP="006548F8">
            <w:pPr>
              <w:ind w:right="-1440"/>
              <w:jc w:val="both"/>
              <w:rPr>
                <w:rFonts w:ascii="Arial" w:hAnsi="Arial" w:cs="Arial"/>
                <w:b/>
                <w:sz w:val="18"/>
                <w:szCs w:val="18"/>
                <w:lang w:val="es-ES_tradnl"/>
              </w:rPr>
            </w:pPr>
            <w:r w:rsidRPr="006A3E45">
              <w:rPr>
                <w:rFonts w:ascii="Arial" w:hAnsi="Arial" w:cs="Arial"/>
                <w:b/>
                <w:sz w:val="18"/>
                <w:szCs w:val="18"/>
                <w:lang w:val="es-ES_tradnl"/>
              </w:rPr>
              <w:t>FUNCIONAMIENTO</w:t>
            </w:r>
          </w:p>
        </w:tc>
        <w:tc>
          <w:tcPr>
            <w:tcW w:w="2354" w:type="dxa"/>
          </w:tcPr>
          <w:p w14:paraId="79649A0B" w14:textId="77777777" w:rsidR="007E2F9F" w:rsidRPr="006A3E45" w:rsidRDefault="007E2F9F" w:rsidP="006548F8">
            <w:pPr>
              <w:jc w:val="right"/>
              <w:rPr>
                <w:rFonts w:ascii="Arial" w:eastAsia="Calibri" w:hAnsi="Arial" w:cs="Arial"/>
                <w:b/>
                <w:sz w:val="16"/>
                <w:szCs w:val="16"/>
                <w:lang w:val="es-CO"/>
              </w:rPr>
            </w:pPr>
            <w:r w:rsidRPr="006A3E45">
              <w:rPr>
                <w:rFonts w:ascii="Arial" w:hAnsi="Arial" w:cs="Arial"/>
                <w:b/>
                <w:sz w:val="16"/>
                <w:szCs w:val="16"/>
              </w:rPr>
              <w:t>6.545.623.600</w:t>
            </w:r>
          </w:p>
        </w:tc>
        <w:tc>
          <w:tcPr>
            <w:tcW w:w="2354" w:type="dxa"/>
          </w:tcPr>
          <w:p w14:paraId="23769ECB" w14:textId="77777777" w:rsidR="007E2F9F" w:rsidRPr="006A3E45" w:rsidRDefault="007E2F9F" w:rsidP="006548F8">
            <w:pPr>
              <w:pStyle w:val="Prrafodelista"/>
              <w:ind w:left="0"/>
              <w:jc w:val="right"/>
              <w:rPr>
                <w:rFonts w:ascii="Arial" w:hAnsi="Arial" w:cs="Arial"/>
                <w:b/>
                <w:sz w:val="16"/>
                <w:szCs w:val="16"/>
              </w:rPr>
            </w:pPr>
            <w:r w:rsidRPr="006A3E45">
              <w:rPr>
                <w:rFonts w:ascii="Arial" w:hAnsi="Arial" w:cs="Arial"/>
                <w:b/>
                <w:sz w:val="16"/>
                <w:szCs w:val="16"/>
              </w:rPr>
              <w:t>6.456.058.823</w:t>
            </w:r>
          </w:p>
        </w:tc>
        <w:tc>
          <w:tcPr>
            <w:tcW w:w="2238" w:type="dxa"/>
          </w:tcPr>
          <w:p w14:paraId="18B6A2E5" w14:textId="77777777" w:rsidR="007E2F9F" w:rsidRPr="006A3E45" w:rsidRDefault="007E2F9F" w:rsidP="006548F8">
            <w:pPr>
              <w:pStyle w:val="Prrafodelista"/>
              <w:ind w:left="0"/>
              <w:jc w:val="right"/>
              <w:rPr>
                <w:rFonts w:ascii="Arial" w:hAnsi="Arial" w:cs="Arial"/>
                <w:b/>
                <w:sz w:val="16"/>
                <w:szCs w:val="16"/>
              </w:rPr>
            </w:pPr>
            <w:r w:rsidRPr="006A3E45">
              <w:rPr>
                <w:rFonts w:ascii="Arial" w:hAnsi="Arial" w:cs="Arial"/>
                <w:b/>
                <w:sz w:val="16"/>
                <w:szCs w:val="16"/>
              </w:rPr>
              <w:t>89.564.777</w:t>
            </w:r>
          </w:p>
        </w:tc>
      </w:tr>
      <w:tr w:rsidR="007E2F9F" w:rsidRPr="006A3E45" w14:paraId="689D77D8" w14:textId="77777777" w:rsidTr="006548F8">
        <w:tc>
          <w:tcPr>
            <w:tcW w:w="3544" w:type="dxa"/>
          </w:tcPr>
          <w:p w14:paraId="14F10855" w14:textId="77777777" w:rsidR="007E2F9F" w:rsidRPr="006A3E45" w:rsidRDefault="007E2F9F" w:rsidP="006548F8">
            <w:pPr>
              <w:ind w:right="-1440"/>
              <w:jc w:val="both"/>
              <w:rPr>
                <w:rFonts w:ascii="Arial" w:hAnsi="Arial" w:cs="Arial"/>
                <w:b/>
                <w:sz w:val="18"/>
                <w:szCs w:val="18"/>
                <w:lang w:val="es-ES_tradnl"/>
              </w:rPr>
            </w:pPr>
            <w:r w:rsidRPr="006A3E45">
              <w:rPr>
                <w:rFonts w:ascii="Arial" w:hAnsi="Arial" w:cs="Arial"/>
                <w:b/>
                <w:sz w:val="18"/>
                <w:szCs w:val="18"/>
                <w:lang w:val="es-ES_tradnl"/>
              </w:rPr>
              <w:t>TOTAL PÉRDIDAS DE APROPIACIÓN</w:t>
            </w:r>
          </w:p>
        </w:tc>
        <w:tc>
          <w:tcPr>
            <w:tcW w:w="2354" w:type="dxa"/>
          </w:tcPr>
          <w:p w14:paraId="7DD96E01" w14:textId="77777777" w:rsidR="007E2F9F" w:rsidRPr="006A3E45" w:rsidRDefault="007E2F9F" w:rsidP="006548F8">
            <w:pPr>
              <w:pStyle w:val="Prrafodelista"/>
              <w:ind w:left="0"/>
              <w:jc w:val="right"/>
              <w:rPr>
                <w:rFonts w:ascii="Arial" w:hAnsi="Arial" w:cs="Arial"/>
                <w:b/>
                <w:sz w:val="16"/>
                <w:szCs w:val="16"/>
                <w:u w:val="single"/>
              </w:rPr>
            </w:pPr>
            <w:r w:rsidRPr="006A3E45">
              <w:rPr>
                <w:rFonts w:ascii="Arial" w:hAnsi="Arial" w:cs="Arial"/>
                <w:b/>
                <w:sz w:val="16"/>
                <w:szCs w:val="16"/>
              </w:rPr>
              <w:t>6.545.623.600</w:t>
            </w:r>
          </w:p>
        </w:tc>
        <w:tc>
          <w:tcPr>
            <w:tcW w:w="2354" w:type="dxa"/>
          </w:tcPr>
          <w:p w14:paraId="195E275C" w14:textId="77777777" w:rsidR="007E2F9F" w:rsidRPr="006A3E45" w:rsidRDefault="007E2F9F" w:rsidP="006548F8">
            <w:pPr>
              <w:pStyle w:val="Prrafodelista"/>
              <w:ind w:left="0"/>
              <w:jc w:val="right"/>
              <w:rPr>
                <w:rFonts w:ascii="Arial" w:hAnsi="Arial" w:cs="Arial"/>
                <w:b/>
                <w:sz w:val="16"/>
                <w:szCs w:val="16"/>
                <w:u w:val="single"/>
              </w:rPr>
            </w:pPr>
            <w:r w:rsidRPr="006A3E45">
              <w:rPr>
                <w:rFonts w:ascii="Arial" w:hAnsi="Arial" w:cs="Arial"/>
                <w:b/>
                <w:sz w:val="16"/>
                <w:szCs w:val="16"/>
              </w:rPr>
              <w:t>6.456.058.823</w:t>
            </w:r>
          </w:p>
        </w:tc>
        <w:tc>
          <w:tcPr>
            <w:tcW w:w="2238" w:type="dxa"/>
          </w:tcPr>
          <w:p w14:paraId="4C18A5CD" w14:textId="77777777" w:rsidR="007E2F9F" w:rsidRPr="006A3E45" w:rsidRDefault="007E2F9F" w:rsidP="006548F8">
            <w:pPr>
              <w:pStyle w:val="Prrafodelista"/>
              <w:ind w:left="0"/>
              <w:jc w:val="right"/>
              <w:rPr>
                <w:rFonts w:ascii="Arial" w:hAnsi="Arial" w:cs="Arial"/>
                <w:b/>
                <w:sz w:val="16"/>
                <w:szCs w:val="16"/>
                <w:u w:val="single"/>
              </w:rPr>
            </w:pPr>
            <w:r w:rsidRPr="006A3E45">
              <w:rPr>
                <w:rFonts w:ascii="Arial" w:hAnsi="Arial" w:cs="Arial"/>
                <w:b/>
                <w:sz w:val="16"/>
                <w:szCs w:val="16"/>
                <w:u w:val="single"/>
              </w:rPr>
              <w:t>89.564.777</w:t>
            </w:r>
          </w:p>
        </w:tc>
      </w:tr>
    </w:tbl>
    <w:p w14:paraId="7C0B9985" w14:textId="77777777" w:rsidR="007E2F9F" w:rsidRDefault="007E2F9F" w:rsidP="007E2F9F">
      <w:pPr>
        <w:ind w:left="-284" w:right="-234"/>
        <w:jc w:val="both"/>
        <w:rPr>
          <w:rFonts w:ascii="Arial" w:hAnsi="Arial" w:cs="Arial"/>
          <w:b/>
          <w:bCs/>
          <w:sz w:val="28"/>
          <w:szCs w:val="28"/>
          <w:lang w:val="es-MX"/>
        </w:rPr>
      </w:pPr>
    </w:p>
    <w:p w14:paraId="640D6D6A" w14:textId="77777777" w:rsidR="007E2F9F" w:rsidRPr="004C1CAF" w:rsidRDefault="007E2F9F" w:rsidP="007E2F9F">
      <w:pPr>
        <w:ind w:left="-284" w:right="-234"/>
        <w:jc w:val="both"/>
        <w:rPr>
          <w:rFonts w:ascii="Arial" w:hAnsi="Arial" w:cs="Arial"/>
          <w:b/>
          <w:sz w:val="28"/>
          <w:szCs w:val="28"/>
          <w:lang w:val="es-MX"/>
        </w:rPr>
      </w:pPr>
      <w:r w:rsidRPr="004C1CAF">
        <w:rPr>
          <w:rFonts w:ascii="Arial" w:hAnsi="Arial" w:cs="Arial"/>
          <w:b/>
          <w:sz w:val="28"/>
          <w:szCs w:val="28"/>
          <w:lang w:val="es-MX"/>
        </w:rPr>
        <w:t xml:space="preserve">99.- DEPARTAMENTO ADMINISTRATIVO PARA LA PROSPERIDAD SOCIAL - </w:t>
      </w:r>
      <w:r w:rsidRPr="004C1CAF">
        <w:rPr>
          <w:rFonts w:ascii="Arial" w:hAnsi="Arial" w:cs="Arial"/>
          <w:b/>
          <w:sz w:val="28"/>
          <w:szCs w:val="28"/>
          <w:lang w:val="es-MX"/>
        </w:rPr>
        <w:lastRenderedPageBreak/>
        <w:t>DPS.</w:t>
      </w:r>
    </w:p>
    <w:p w14:paraId="722B5D23" w14:textId="77777777" w:rsidR="007E2F9F" w:rsidRDefault="007E2F9F" w:rsidP="007E2F9F">
      <w:pPr>
        <w:ind w:left="-284" w:right="-234"/>
        <w:jc w:val="both"/>
        <w:rPr>
          <w:rFonts w:ascii="Arial" w:hAnsi="Arial" w:cs="Arial"/>
          <w:b/>
          <w:bCs/>
          <w:sz w:val="28"/>
          <w:szCs w:val="28"/>
          <w:lang w:val="es-MX"/>
        </w:rPr>
      </w:pPr>
    </w:p>
    <w:p w14:paraId="04A0FB8F" w14:textId="77777777" w:rsidR="007E2F9F" w:rsidRPr="00103309" w:rsidRDefault="007E2F9F" w:rsidP="007E2F9F">
      <w:pPr>
        <w:pStyle w:val="Prrafodelista"/>
        <w:ind w:left="0"/>
        <w:jc w:val="center"/>
        <w:rPr>
          <w:rFonts w:ascii="Arial" w:hAnsi="Arial" w:cs="Arial"/>
          <w:b/>
          <w:sz w:val="24"/>
        </w:rPr>
      </w:pPr>
      <w:r w:rsidRPr="00103309">
        <w:rPr>
          <w:rFonts w:ascii="Arial" w:hAnsi="Arial" w:cs="Arial"/>
          <w:b/>
          <w:sz w:val="24"/>
        </w:rPr>
        <w:t>Pérdidas de Apropiación en la vigencia 2024.</w:t>
      </w:r>
    </w:p>
    <w:p w14:paraId="2EDF4988" w14:textId="77777777" w:rsidR="007E2F9F" w:rsidRPr="00103309" w:rsidRDefault="007E2F9F" w:rsidP="007E2F9F">
      <w:pPr>
        <w:pStyle w:val="Prrafodelista"/>
        <w:ind w:left="0"/>
        <w:jc w:val="center"/>
        <w:rPr>
          <w:rFonts w:ascii="Arial" w:hAnsi="Arial" w:cs="Arial"/>
          <w:sz w:val="24"/>
        </w:rPr>
      </w:pPr>
      <w:r w:rsidRPr="00103309">
        <w:rPr>
          <w:rFonts w:ascii="Arial" w:hAnsi="Arial" w:cs="Arial"/>
          <w:sz w:val="24"/>
        </w:rPr>
        <w:t>(Cifras en miles de</w:t>
      </w:r>
      <w:r w:rsidRPr="00103309">
        <w:rPr>
          <w:rFonts w:ascii="Arial" w:hAnsi="Arial" w:cs="Arial"/>
          <w:spacing w:val="-11"/>
          <w:sz w:val="24"/>
        </w:rPr>
        <w:t xml:space="preserve"> </w:t>
      </w:r>
      <w:r w:rsidRPr="00103309">
        <w:rPr>
          <w:rFonts w:ascii="Arial" w:hAnsi="Arial" w:cs="Arial"/>
          <w:sz w:val="24"/>
        </w:rPr>
        <w:t>pesos).</w:t>
      </w:r>
    </w:p>
    <w:p w14:paraId="4714C32B" w14:textId="77777777" w:rsidR="007E2F9F" w:rsidRPr="00103309"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4C1CAF" w14:paraId="4F0E2D58" w14:textId="77777777" w:rsidTr="006548F8">
        <w:tc>
          <w:tcPr>
            <w:tcW w:w="3544" w:type="dxa"/>
          </w:tcPr>
          <w:p w14:paraId="02901D85" w14:textId="77777777" w:rsidR="007E2F9F" w:rsidRPr="004C1CAF" w:rsidRDefault="007E2F9F" w:rsidP="006548F8">
            <w:pPr>
              <w:ind w:left="1169" w:right="-1440"/>
              <w:rPr>
                <w:rFonts w:ascii="Arial" w:hAnsi="Arial" w:cs="Arial"/>
                <w:b/>
                <w:sz w:val="18"/>
                <w:szCs w:val="18"/>
                <w:lang w:val="es-ES_tradnl"/>
              </w:rPr>
            </w:pPr>
            <w:r w:rsidRPr="004C1CAF">
              <w:rPr>
                <w:rFonts w:ascii="Arial" w:hAnsi="Arial" w:cs="Arial"/>
                <w:b/>
                <w:sz w:val="18"/>
                <w:szCs w:val="18"/>
                <w:lang w:val="es-ES_tradnl"/>
              </w:rPr>
              <w:t>TIPO DE GASTO</w:t>
            </w:r>
          </w:p>
        </w:tc>
        <w:tc>
          <w:tcPr>
            <w:tcW w:w="2354" w:type="dxa"/>
          </w:tcPr>
          <w:p w14:paraId="6DC92312" w14:textId="77777777" w:rsidR="007E2F9F" w:rsidRPr="004C1CAF" w:rsidRDefault="007E2F9F" w:rsidP="006548F8">
            <w:pPr>
              <w:jc w:val="center"/>
              <w:rPr>
                <w:rFonts w:ascii="Arial" w:hAnsi="Arial" w:cs="Arial"/>
                <w:b/>
                <w:sz w:val="18"/>
                <w:szCs w:val="18"/>
                <w:lang w:val="es-ES_tradnl"/>
              </w:rPr>
            </w:pPr>
            <w:r w:rsidRPr="004C1CAF">
              <w:rPr>
                <w:rFonts w:ascii="Arial" w:hAnsi="Arial" w:cs="Arial"/>
                <w:b/>
                <w:sz w:val="18"/>
                <w:szCs w:val="18"/>
                <w:lang w:val="es-ES_tradnl"/>
              </w:rPr>
              <w:t>APROPIACIÓN</w:t>
            </w:r>
          </w:p>
          <w:p w14:paraId="58536CBD" w14:textId="77777777" w:rsidR="007E2F9F" w:rsidRPr="004C1CAF" w:rsidRDefault="007E2F9F" w:rsidP="006548F8">
            <w:pPr>
              <w:jc w:val="center"/>
              <w:rPr>
                <w:rFonts w:ascii="Arial" w:hAnsi="Arial" w:cs="Arial"/>
                <w:b/>
                <w:sz w:val="18"/>
                <w:szCs w:val="18"/>
                <w:lang w:val="es-ES_tradnl"/>
              </w:rPr>
            </w:pPr>
            <w:r w:rsidRPr="004C1CAF">
              <w:rPr>
                <w:rFonts w:ascii="Arial" w:hAnsi="Arial" w:cs="Arial"/>
                <w:b/>
                <w:sz w:val="18"/>
                <w:szCs w:val="18"/>
                <w:lang w:val="es-ES_tradnl"/>
              </w:rPr>
              <w:t>DEFINITIVA</w:t>
            </w:r>
          </w:p>
          <w:p w14:paraId="137F8187" w14:textId="77777777" w:rsidR="007E2F9F" w:rsidRPr="004C1CAF" w:rsidRDefault="007E2F9F" w:rsidP="006548F8">
            <w:pPr>
              <w:jc w:val="center"/>
              <w:rPr>
                <w:rFonts w:ascii="Arial" w:hAnsi="Arial" w:cs="Arial"/>
                <w:b/>
                <w:sz w:val="18"/>
                <w:szCs w:val="18"/>
                <w:lang w:val="es-ES_tradnl"/>
              </w:rPr>
            </w:pPr>
            <w:r w:rsidRPr="004C1CAF">
              <w:rPr>
                <w:rFonts w:ascii="Arial" w:hAnsi="Arial" w:cs="Arial"/>
                <w:b/>
                <w:sz w:val="18"/>
                <w:szCs w:val="18"/>
                <w:lang w:val="es-ES_tradnl"/>
              </w:rPr>
              <w:t>(1)</w:t>
            </w:r>
          </w:p>
          <w:p w14:paraId="1D98DCFB" w14:textId="77777777" w:rsidR="007E2F9F" w:rsidRPr="004C1CAF" w:rsidRDefault="007E2F9F" w:rsidP="006548F8">
            <w:pPr>
              <w:jc w:val="center"/>
              <w:rPr>
                <w:rFonts w:ascii="Arial" w:hAnsi="Arial" w:cs="Arial"/>
                <w:b/>
                <w:sz w:val="18"/>
                <w:szCs w:val="18"/>
                <w:lang w:val="es-ES_tradnl"/>
              </w:rPr>
            </w:pPr>
          </w:p>
        </w:tc>
        <w:tc>
          <w:tcPr>
            <w:tcW w:w="2354" w:type="dxa"/>
          </w:tcPr>
          <w:p w14:paraId="0C6240DC" w14:textId="77777777" w:rsidR="007E2F9F" w:rsidRPr="004C1CAF" w:rsidRDefault="007E2F9F" w:rsidP="006548F8">
            <w:pPr>
              <w:ind w:left="145" w:right="184"/>
              <w:jc w:val="center"/>
              <w:rPr>
                <w:rFonts w:ascii="Arial" w:hAnsi="Arial" w:cs="Arial"/>
                <w:b/>
                <w:sz w:val="18"/>
                <w:szCs w:val="18"/>
                <w:lang w:val="es-ES_tradnl"/>
              </w:rPr>
            </w:pPr>
            <w:r w:rsidRPr="004C1CAF">
              <w:rPr>
                <w:rFonts w:ascii="Arial" w:hAnsi="Arial" w:cs="Arial"/>
                <w:b/>
                <w:sz w:val="18"/>
                <w:szCs w:val="18"/>
                <w:lang w:val="es-ES_tradnl"/>
              </w:rPr>
              <w:t>EJECUCIÓN</w:t>
            </w:r>
          </w:p>
          <w:p w14:paraId="305EE9D3" w14:textId="77777777" w:rsidR="007E2F9F" w:rsidRPr="004C1CAF" w:rsidRDefault="007E2F9F" w:rsidP="006548F8">
            <w:pPr>
              <w:ind w:right="34"/>
              <w:jc w:val="center"/>
              <w:rPr>
                <w:rFonts w:ascii="Arial" w:hAnsi="Arial" w:cs="Arial"/>
                <w:b/>
                <w:sz w:val="18"/>
                <w:szCs w:val="18"/>
                <w:lang w:val="es-ES_tradnl"/>
              </w:rPr>
            </w:pPr>
            <w:r w:rsidRPr="004C1CAF">
              <w:rPr>
                <w:rFonts w:ascii="Arial" w:hAnsi="Arial" w:cs="Arial"/>
                <w:b/>
                <w:sz w:val="18"/>
                <w:szCs w:val="18"/>
                <w:lang w:val="es-ES_tradnl"/>
              </w:rPr>
              <w:t>COMPROMISOS</w:t>
            </w:r>
          </w:p>
          <w:p w14:paraId="443D1C71" w14:textId="77777777" w:rsidR="007E2F9F" w:rsidRPr="004C1CAF" w:rsidRDefault="007E2F9F" w:rsidP="006548F8">
            <w:pPr>
              <w:ind w:right="34"/>
              <w:jc w:val="center"/>
              <w:rPr>
                <w:rFonts w:ascii="Arial" w:hAnsi="Arial" w:cs="Arial"/>
                <w:b/>
                <w:sz w:val="18"/>
                <w:szCs w:val="18"/>
                <w:lang w:val="es-ES_tradnl"/>
              </w:rPr>
            </w:pPr>
            <w:r w:rsidRPr="004C1CAF">
              <w:rPr>
                <w:rFonts w:ascii="Arial" w:hAnsi="Arial" w:cs="Arial"/>
                <w:b/>
                <w:sz w:val="18"/>
                <w:szCs w:val="18"/>
                <w:lang w:val="es-ES_tradnl"/>
              </w:rPr>
              <w:t>(2)</w:t>
            </w:r>
          </w:p>
        </w:tc>
        <w:tc>
          <w:tcPr>
            <w:tcW w:w="2238" w:type="dxa"/>
          </w:tcPr>
          <w:p w14:paraId="7778FE41" w14:textId="77777777" w:rsidR="007E2F9F" w:rsidRPr="004C1CAF" w:rsidRDefault="007E2F9F" w:rsidP="006548F8">
            <w:pPr>
              <w:ind w:left="25" w:right="34"/>
              <w:jc w:val="center"/>
              <w:rPr>
                <w:rFonts w:ascii="Arial" w:hAnsi="Arial" w:cs="Arial"/>
                <w:b/>
                <w:sz w:val="18"/>
                <w:szCs w:val="18"/>
                <w:lang w:val="es-ES_tradnl"/>
              </w:rPr>
            </w:pPr>
            <w:r w:rsidRPr="004C1CAF">
              <w:rPr>
                <w:rFonts w:ascii="Arial" w:hAnsi="Arial" w:cs="Arial"/>
                <w:b/>
                <w:sz w:val="18"/>
                <w:szCs w:val="18"/>
                <w:lang w:val="es-ES_tradnl"/>
              </w:rPr>
              <w:t>PÉRDIDAS DE</w:t>
            </w:r>
          </w:p>
          <w:p w14:paraId="77BEF055" w14:textId="77777777" w:rsidR="007E2F9F" w:rsidRPr="004C1CAF" w:rsidRDefault="007E2F9F" w:rsidP="006548F8">
            <w:pPr>
              <w:ind w:right="34"/>
              <w:jc w:val="center"/>
              <w:rPr>
                <w:rFonts w:ascii="Arial" w:hAnsi="Arial" w:cs="Arial"/>
                <w:b/>
                <w:sz w:val="18"/>
                <w:szCs w:val="18"/>
                <w:lang w:val="es-ES_tradnl"/>
              </w:rPr>
            </w:pPr>
            <w:r w:rsidRPr="004C1CAF">
              <w:rPr>
                <w:rFonts w:ascii="Arial" w:hAnsi="Arial" w:cs="Arial"/>
                <w:b/>
                <w:sz w:val="18"/>
                <w:szCs w:val="18"/>
                <w:lang w:val="es-ES_tradnl"/>
              </w:rPr>
              <w:t>APROPIACIÓN</w:t>
            </w:r>
          </w:p>
          <w:p w14:paraId="7316DC4B" w14:textId="77777777" w:rsidR="007E2F9F" w:rsidRPr="004C1CAF" w:rsidRDefault="007E2F9F" w:rsidP="006548F8">
            <w:pPr>
              <w:ind w:right="34"/>
              <w:jc w:val="center"/>
              <w:rPr>
                <w:rFonts w:ascii="Arial" w:hAnsi="Arial" w:cs="Arial"/>
                <w:b/>
                <w:sz w:val="18"/>
                <w:szCs w:val="18"/>
                <w:lang w:val="es-ES_tradnl"/>
              </w:rPr>
            </w:pPr>
            <w:r w:rsidRPr="004C1CAF">
              <w:rPr>
                <w:rFonts w:ascii="Arial" w:hAnsi="Arial" w:cs="Arial"/>
                <w:b/>
                <w:sz w:val="18"/>
                <w:szCs w:val="18"/>
                <w:lang w:val="es-ES_tradnl"/>
              </w:rPr>
              <w:t>3 = (1-2)</w:t>
            </w:r>
          </w:p>
        </w:tc>
      </w:tr>
      <w:tr w:rsidR="007E2F9F" w:rsidRPr="004C1CAF" w14:paraId="6B08EAA0" w14:textId="77777777" w:rsidTr="006548F8">
        <w:trPr>
          <w:trHeight w:val="230"/>
        </w:trPr>
        <w:tc>
          <w:tcPr>
            <w:tcW w:w="3544" w:type="dxa"/>
          </w:tcPr>
          <w:p w14:paraId="6DEE6BCC" w14:textId="77777777" w:rsidR="007E2F9F" w:rsidRPr="004C1CAF" w:rsidRDefault="007E2F9F" w:rsidP="006548F8">
            <w:pPr>
              <w:ind w:right="-1440"/>
              <w:jc w:val="both"/>
              <w:rPr>
                <w:rFonts w:ascii="Arial" w:hAnsi="Arial" w:cs="Arial"/>
                <w:b/>
                <w:sz w:val="18"/>
                <w:szCs w:val="18"/>
                <w:lang w:val="es-ES_tradnl"/>
              </w:rPr>
            </w:pPr>
            <w:r w:rsidRPr="004C1CAF">
              <w:rPr>
                <w:rFonts w:ascii="Arial" w:hAnsi="Arial" w:cs="Arial"/>
                <w:b/>
                <w:sz w:val="18"/>
                <w:szCs w:val="18"/>
                <w:lang w:val="es-ES_tradnl"/>
              </w:rPr>
              <w:t>FUNCIONAMIENTO</w:t>
            </w:r>
          </w:p>
        </w:tc>
        <w:tc>
          <w:tcPr>
            <w:tcW w:w="2354" w:type="dxa"/>
            <w:vAlign w:val="center"/>
          </w:tcPr>
          <w:p w14:paraId="6EAA6159" w14:textId="77777777" w:rsidR="007E2F9F" w:rsidRPr="004C1CAF" w:rsidRDefault="007E2F9F" w:rsidP="006548F8">
            <w:pPr>
              <w:jc w:val="right"/>
              <w:rPr>
                <w:rFonts w:ascii="Arial" w:eastAsia="Calibri" w:hAnsi="Arial" w:cs="Arial"/>
                <w:b/>
                <w:sz w:val="16"/>
                <w:szCs w:val="16"/>
                <w:lang w:val="es-CO"/>
              </w:rPr>
            </w:pPr>
            <w:r w:rsidRPr="004C1CAF">
              <w:rPr>
                <w:rFonts w:ascii="Arial" w:hAnsi="Arial" w:cs="Arial"/>
                <w:b/>
                <w:bCs/>
              </w:rPr>
              <w:t xml:space="preserve"> 245.489.820 </w:t>
            </w:r>
          </w:p>
        </w:tc>
        <w:tc>
          <w:tcPr>
            <w:tcW w:w="2354" w:type="dxa"/>
            <w:vAlign w:val="center"/>
          </w:tcPr>
          <w:p w14:paraId="1965976F" w14:textId="77777777" w:rsidR="007E2F9F" w:rsidRPr="004C1CAF" w:rsidRDefault="007E2F9F" w:rsidP="006548F8">
            <w:pPr>
              <w:pStyle w:val="Prrafodelista"/>
              <w:ind w:left="0"/>
              <w:jc w:val="right"/>
              <w:rPr>
                <w:rFonts w:ascii="Arial" w:hAnsi="Arial" w:cs="Arial"/>
                <w:b/>
                <w:sz w:val="16"/>
                <w:szCs w:val="16"/>
              </w:rPr>
            </w:pPr>
            <w:r w:rsidRPr="004C1CAF">
              <w:rPr>
                <w:rFonts w:ascii="Arial" w:hAnsi="Arial" w:cs="Arial"/>
                <w:b/>
                <w:bCs/>
              </w:rPr>
              <w:t xml:space="preserve"> 194.294.378 </w:t>
            </w:r>
          </w:p>
        </w:tc>
        <w:tc>
          <w:tcPr>
            <w:tcW w:w="2238" w:type="dxa"/>
            <w:vAlign w:val="center"/>
          </w:tcPr>
          <w:p w14:paraId="696F39CA" w14:textId="77777777" w:rsidR="007E2F9F" w:rsidRPr="004C1CAF" w:rsidRDefault="007E2F9F" w:rsidP="006548F8">
            <w:pPr>
              <w:pStyle w:val="Prrafodelista"/>
              <w:ind w:left="0"/>
              <w:jc w:val="right"/>
              <w:rPr>
                <w:rFonts w:ascii="Arial" w:hAnsi="Arial" w:cs="Arial"/>
                <w:b/>
                <w:sz w:val="16"/>
                <w:szCs w:val="16"/>
              </w:rPr>
            </w:pPr>
            <w:r w:rsidRPr="004C1CAF">
              <w:rPr>
                <w:rFonts w:ascii="Arial" w:hAnsi="Arial" w:cs="Arial"/>
                <w:b/>
                <w:bCs/>
              </w:rPr>
              <w:t xml:space="preserve"> 51.195.442 </w:t>
            </w:r>
          </w:p>
        </w:tc>
      </w:tr>
      <w:tr w:rsidR="007E2F9F" w:rsidRPr="004C1CAF" w14:paraId="3ADCBF01" w14:textId="77777777" w:rsidTr="006548F8">
        <w:tc>
          <w:tcPr>
            <w:tcW w:w="3544" w:type="dxa"/>
          </w:tcPr>
          <w:p w14:paraId="501DD9B6" w14:textId="77777777" w:rsidR="007E2F9F" w:rsidRPr="004C1CAF" w:rsidRDefault="007E2F9F" w:rsidP="006548F8">
            <w:pPr>
              <w:ind w:right="-1440"/>
              <w:jc w:val="both"/>
              <w:rPr>
                <w:rFonts w:ascii="Arial" w:hAnsi="Arial" w:cs="Arial"/>
                <w:b/>
                <w:sz w:val="18"/>
                <w:szCs w:val="18"/>
                <w:lang w:val="es-ES_tradnl"/>
              </w:rPr>
            </w:pPr>
            <w:r w:rsidRPr="004C1CAF">
              <w:rPr>
                <w:rFonts w:ascii="Arial" w:hAnsi="Arial" w:cs="Arial"/>
                <w:b/>
                <w:sz w:val="18"/>
                <w:szCs w:val="18"/>
                <w:lang w:val="es-ES_tradnl"/>
              </w:rPr>
              <w:t>INVERSIÓN</w:t>
            </w:r>
          </w:p>
        </w:tc>
        <w:tc>
          <w:tcPr>
            <w:tcW w:w="2354" w:type="dxa"/>
            <w:vAlign w:val="center"/>
          </w:tcPr>
          <w:p w14:paraId="2435F003" w14:textId="77777777" w:rsidR="007E2F9F" w:rsidRPr="004C1CAF" w:rsidRDefault="007E2F9F" w:rsidP="006548F8">
            <w:pPr>
              <w:pStyle w:val="Prrafodelista"/>
              <w:ind w:left="0"/>
              <w:jc w:val="right"/>
              <w:rPr>
                <w:rFonts w:ascii="Arial" w:hAnsi="Arial" w:cs="Arial"/>
                <w:b/>
                <w:sz w:val="16"/>
                <w:szCs w:val="16"/>
              </w:rPr>
            </w:pPr>
            <w:r w:rsidRPr="004C1CAF">
              <w:rPr>
                <w:rFonts w:ascii="Arial" w:hAnsi="Arial" w:cs="Arial"/>
                <w:b/>
                <w:bCs/>
              </w:rPr>
              <w:t xml:space="preserve"> 8.731.767.712 </w:t>
            </w:r>
          </w:p>
        </w:tc>
        <w:tc>
          <w:tcPr>
            <w:tcW w:w="2354" w:type="dxa"/>
            <w:vAlign w:val="center"/>
          </w:tcPr>
          <w:p w14:paraId="44457536" w14:textId="77777777" w:rsidR="007E2F9F" w:rsidRPr="004C1CAF" w:rsidRDefault="007E2F9F" w:rsidP="006548F8">
            <w:pPr>
              <w:pStyle w:val="Prrafodelista"/>
              <w:ind w:left="0"/>
              <w:jc w:val="right"/>
              <w:rPr>
                <w:rFonts w:ascii="Arial" w:hAnsi="Arial" w:cs="Arial"/>
                <w:b/>
                <w:sz w:val="16"/>
                <w:szCs w:val="16"/>
              </w:rPr>
            </w:pPr>
            <w:r w:rsidRPr="004C1CAF">
              <w:rPr>
                <w:rFonts w:ascii="Arial" w:hAnsi="Arial" w:cs="Arial"/>
                <w:b/>
                <w:bCs/>
              </w:rPr>
              <w:t xml:space="preserve"> 8.482.453.699 </w:t>
            </w:r>
          </w:p>
        </w:tc>
        <w:tc>
          <w:tcPr>
            <w:tcW w:w="2238" w:type="dxa"/>
            <w:vAlign w:val="center"/>
          </w:tcPr>
          <w:p w14:paraId="37AE7574" w14:textId="77777777" w:rsidR="007E2F9F" w:rsidRPr="004C1CAF" w:rsidRDefault="007E2F9F" w:rsidP="006548F8">
            <w:pPr>
              <w:pStyle w:val="Prrafodelista"/>
              <w:ind w:left="0"/>
              <w:jc w:val="right"/>
              <w:rPr>
                <w:rFonts w:ascii="Arial" w:hAnsi="Arial" w:cs="Arial"/>
                <w:b/>
                <w:sz w:val="16"/>
                <w:szCs w:val="16"/>
              </w:rPr>
            </w:pPr>
            <w:r w:rsidRPr="004C1CAF">
              <w:rPr>
                <w:rFonts w:ascii="Arial" w:hAnsi="Arial" w:cs="Arial"/>
                <w:b/>
                <w:bCs/>
              </w:rPr>
              <w:t xml:space="preserve"> 249.314.013 </w:t>
            </w:r>
          </w:p>
        </w:tc>
      </w:tr>
      <w:tr w:rsidR="007E2F9F" w:rsidRPr="004C1CAF" w14:paraId="46E24BD9" w14:textId="77777777" w:rsidTr="006548F8">
        <w:tc>
          <w:tcPr>
            <w:tcW w:w="3544" w:type="dxa"/>
          </w:tcPr>
          <w:p w14:paraId="4198575D" w14:textId="77777777" w:rsidR="007E2F9F" w:rsidRPr="004C1CAF" w:rsidRDefault="007E2F9F" w:rsidP="006548F8">
            <w:pPr>
              <w:ind w:right="-1440"/>
              <w:jc w:val="both"/>
              <w:rPr>
                <w:rFonts w:ascii="Arial" w:hAnsi="Arial" w:cs="Arial"/>
                <w:b/>
                <w:sz w:val="18"/>
                <w:szCs w:val="18"/>
                <w:lang w:val="es-ES_tradnl"/>
              </w:rPr>
            </w:pPr>
            <w:r w:rsidRPr="004C1CAF">
              <w:rPr>
                <w:rFonts w:ascii="Arial" w:hAnsi="Arial" w:cs="Arial"/>
                <w:b/>
                <w:sz w:val="18"/>
                <w:szCs w:val="18"/>
                <w:lang w:val="es-ES_tradnl"/>
              </w:rPr>
              <w:t>TOTAL PÉRDIDAS DE APROPIACIÓN</w:t>
            </w:r>
          </w:p>
        </w:tc>
        <w:tc>
          <w:tcPr>
            <w:tcW w:w="2354" w:type="dxa"/>
            <w:vAlign w:val="center"/>
          </w:tcPr>
          <w:p w14:paraId="0C5C6800" w14:textId="77777777" w:rsidR="007E2F9F" w:rsidRPr="004C1CAF" w:rsidRDefault="007E2F9F" w:rsidP="006548F8">
            <w:pPr>
              <w:pStyle w:val="Prrafodelista"/>
              <w:ind w:left="0"/>
              <w:jc w:val="right"/>
              <w:rPr>
                <w:rFonts w:ascii="Arial" w:hAnsi="Arial" w:cs="Arial"/>
                <w:b/>
                <w:sz w:val="16"/>
                <w:szCs w:val="16"/>
                <w:u w:val="single"/>
              </w:rPr>
            </w:pPr>
            <w:r w:rsidRPr="004C1CAF">
              <w:rPr>
                <w:rFonts w:ascii="Arial" w:hAnsi="Arial" w:cs="Arial"/>
                <w:b/>
                <w:bCs/>
              </w:rPr>
              <w:t xml:space="preserve"> 8.977.257.532 </w:t>
            </w:r>
          </w:p>
        </w:tc>
        <w:tc>
          <w:tcPr>
            <w:tcW w:w="2354" w:type="dxa"/>
            <w:vAlign w:val="center"/>
          </w:tcPr>
          <w:p w14:paraId="500E79FA" w14:textId="77777777" w:rsidR="007E2F9F" w:rsidRPr="004C1CAF" w:rsidRDefault="007E2F9F" w:rsidP="006548F8">
            <w:pPr>
              <w:pStyle w:val="Prrafodelista"/>
              <w:ind w:left="0"/>
              <w:jc w:val="right"/>
              <w:rPr>
                <w:rFonts w:ascii="Arial" w:hAnsi="Arial" w:cs="Arial"/>
                <w:b/>
                <w:sz w:val="16"/>
                <w:szCs w:val="16"/>
                <w:u w:val="single"/>
              </w:rPr>
            </w:pPr>
            <w:r w:rsidRPr="004C1CAF">
              <w:rPr>
                <w:rFonts w:ascii="Arial" w:hAnsi="Arial" w:cs="Arial"/>
                <w:b/>
                <w:bCs/>
              </w:rPr>
              <w:t xml:space="preserve"> 8.676.748.077 </w:t>
            </w:r>
          </w:p>
        </w:tc>
        <w:tc>
          <w:tcPr>
            <w:tcW w:w="2238" w:type="dxa"/>
            <w:vAlign w:val="center"/>
          </w:tcPr>
          <w:p w14:paraId="566A4B94" w14:textId="77777777" w:rsidR="007E2F9F" w:rsidRPr="004C1CAF" w:rsidRDefault="007E2F9F" w:rsidP="006548F8">
            <w:pPr>
              <w:pStyle w:val="Prrafodelista"/>
              <w:ind w:left="0"/>
              <w:jc w:val="right"/>
              <w:rPr>
                <w:rFonts w:ascii="Arial" w:hAnsi="Arial" w:cs="Arial"/>
                <w:b/>
                <w:sz w:val="16"/>
                <w:szCs w:val="16"/>
                <w:u w:val="single"/>
              </w:rPr>
            </w:pPr>
            <w:r w:rsidRPr="004C1CAF">
              <w:rPr>
                <w:rFonts w:ascii="Arial" w:hAnsi="Arial" w:cs="Arial"/>
                <w:b/>
                <w:bCs/>
              </w:rPr>
              <w:t xml:space="preserve"> </w:t>
            </w:r>
            <w:r w:rsidRPr="004C1CAF">
              <w:rPr>
                <w:rFonts w:ascii="Arial" w:hAnsi="Arial" w:cs="Arial"/>
                <w:b/>
                <w:bCs/>
                <w:u w:val="single"/>
              </w:rPr>
              <w:t xml:space="preserve">300.509.455 </w:t>
            </w:r>
          </w:p>
        </w:tc>
      </w:tr>
    </w:tbl>
    <w:p w14:paraId="2272C957" w14:textId="77777777" w:rsidR="00683308" w:rsidRDefault="00683308" w:rsidP="007E2F9F">
      <w:pPr>
        <w:ind w:left="-284" w:right="-234"/>
        <w:jc w:val="both"/>
        <w:rPr>
          <w:rFonts w:ascii="Arial" w:hAnsi="Arial" w:cs="Arial"/>
          <w:b/>
          <w:sz w:val="28"/>
          <w:szCs w:val="28"/>
          <w:lang w:val="es-MX"/>
        </w:rPr>
      </w:pPr>
    </w:p>
    <w:p w14:paraId="7284B0ED" w14:textId="1C4F1F5C" w:rsidR="007E2F9F" w:rsidRPr="005F202B" w:rsidRDefault="007E2F9F" w:rsidP="007E2F9F">
      <w:pPr>
        <w:ind w:left="-284" w:right="-234"/>
        <w:jc w:val="both"/>
        <w:rPr>
          <w:rFonts w:ascii="Arial" w:hAnsi="Arial" w:cs="Arial"/>
          <w:b/>
          <w:sz w:val="28"/>
          <w:szCs w:val="28"/>
          <w:lang w:val="es-MX"/>
        </w:rPr>
      </w:pPr>
      <w:r w:rsidRPr="005F202B">
        <w:rPr>
          <w:rFonts w:ascii="Arial" w:hAnsi="Arial" w:cs="Arial"/>
          <w:b/>
          <w:sz w:val="28"/>
          <w:szCs w:val="28"/>
          <w:lang w:val="es-MX"/>
        </w:rPr>
        <w:t>106.- UNIDAD DE PLANEACIÓN DE INFRAESTRUCTURA DE TRANSPORTE - UPIT.</w:t>
      </w:r>
    </w:p>
    <w:p w14:paraId="67845FEB" w14:textId="77777777" w:rsidR="007E2F9F" w:rsidRDefault="007E2F9F" w:rsidP="007E2F9F">
      <w:pPr>
        <w:ind w:left="-284" w:right="-234"/>
        <w:jc w:val="both"/>
        <w:rPr>
          <w:rFonts w:ascii="Arial" w:hAnsi="Arial" w:cs="Arial"/>
          <w:b/>
          <w:bCs/>
          <w:sz w:val="28"/>
          <w:szCs w:val="28"/>
          <w:lang w:val="es-MX"/>
        </w:rPr>
      </w:pPr>
    </w:p>
    <w:p w14:paraId="5C60A2E5"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25613F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B47DBD8"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5F202B" w14:paraId="21405598" w14:textId="77777777" w:rsidTr="006548F8">
        <w:tc>
          <w:tcPr>
            <w:tcW w:w="3544" w:type="dxa"/>
          </w:tcPr>
          <w:p w14:paraId="4EC9B866" w14:textId="77777777" w:rsidR="007E2F9F" w:rsidRPr="005F202B" w:rsidRDefault="007E2F9F" w:rsidP="006548F8">
            <w:pPr>
              <w:ind w:left="1169" w:right="-1440"/>
              <w:rPr>
                <w:rFonts w:ascii="Arial" w:hAnsi="Arial" w:cs="Arial"/>
                <w:b/>
                <w:sz w:val="18"/>
                <w:szCs w:val="18"/>
                <w:lang w:val="es-ES_tradnl"/>
              </w:rPr>
            </w:pPr>
            <w:r w:rsidRPr="005F202B">
              <w:rPr>
                <w:rFonts w:ascii="Arial" w:hAnsi="Arial" w:cs="Arial"/>
                <w:b/>
                <w:sz w:val="18"/>
                <w:szCs w:val="18"/>
                <w:lang w:val="es-ES_tradnl"/>
              </w:rPr>
              <w:t>TIPO DE GASTO</w:t>
            </w:r>
          </w:p>
        </w:tc>
        <w:tc>
          <w:tcPr>
            <w:tcW w:w="2354" w:type="dxa"/>
          </w:tcPr>
          <w:p w14:paraId="2BB4041D" w14:textId="77777777" w:rsidR="007E2F9F" w:rsidRPr="005F202B" w:rsidRDefault="007E2F9F" w:rsidP="006548F8">
            <w:pPr>
              <w:jc w:val="center"/>
              <w:rPr>
                <w:rFonts w:ascii="Arial" w:hAnsi="Arial" w:cs="Arial"/>
                <w:b/>
                <w:sz w:val="18"/>
                <w:szCs w:val="18"/>
                <w:lang w:val="es-ES_tradnl"/>
              </w:rPr>
            </w:pPr>
            <w:r w:rsidRPr="005F202B">
              <w:rPr>
                <w:rFonts w:ascii="Arial" w:hAnsi="Arial" w:cs="Arial"/>
                <w:b/>
                <w:sz w:val="18"/>
                <w:szCs w:val="18"/>
                <w:lang w:val="es-ES_tradnl"/>
              </w:rPr>
              <w:t>APROPIACIÓN</w:t>
            </w:r>
          </w:p>
          <w:p w14:paraId="340E84F5" w14:textId="77777777" w:rsidR="007E2F9F" w:rsidRPr="005F202B" w:rsidRDefault="007E2F9F" w:rsidP="006548F8">
            <w:pPr>
              <w:jc w:val="center"/>
              <w:rPr>
                <w:rFonts w:ascii="Arial" w:hAnsi="Arial" w:cs="Arial"/>
                <w:b/>
                <w:sz w:val="18"/>
                <w:szCs w:val="18"/>
                <w:lang w:val="es-ES_tradnl"/>
              </w:rPr>
            </w:pPr>
            <w:r w:rsidRPr="005F202B">
              <w:rPr>
                <w:rFonts w:ascii="Arial" w:hAnsi="Arial" w:cs="Arial"/>
                <w:b/>
                <w:sz w:val="18"/>
                <w:szCs w:val="18"/>
                <w:lang w:val="es-ES_tradnl"/>
              </w:rPr>
              <w:t>DEFINITIVA</w:t>
            </w:r>
          </w:p>
          <w:p w14:paraId="2C0F7C3A" w14:textId="77777777" w:rsidR="007E2F9F" w:rsidRPr="005F202B" w:rsidRDefault="007E2F9F" w:rsidP="006548F8">
            <w:pPr>
              <w:jc w:val="center"/>
              <w:rPr>
                <w:rFonts w:ascii="Arial" w:hAnsi="Arial" w:cs="Arial"/>
                <w:b/>
                <w:sz w:val="18"/>
                <w:szCs w:val="18"/>
                <w:lang w:val="es-ES_tradnl"/>
              </w:rPr>
            </w:pPr>
            <w:r w:rsidRPr="005F202B">
              <w:rPr>
                <w:rFonts w:ascii="Arial" w:hAnsi="Arial" w:cs="Arial"/>
                <w:b/>
                <w:sz w:val="18"/>
                <w:szCs w:val="18"/>
                <w:lang w:val="es-ES_tradnl"/>
              </w:rPr>
              <w:t>(1)</w:t>
            </w:r>
          </w:p>
          <w:p w14:paraId="691D9303" w14:textId="77777777" w:rsidR="007E2F9F" w:rsidRPr="005F202B" w:rsidRDefault="007E2F9F" w:rsidP="006548F8">
            <w:pPr>
              <w:jc w:val="center"/>
              <w:rPr>
                <w:rFonts w:ascii="Arial" w:hAnsi="Arial" w:cs="Arial"/>
                <w:b/>
                <w:sz w:val="18"/>
                <w:szCs w:val="18"/>
                <w:lang w:val="es-ES_tradnl"/>
              </w:rPr>
            </w:pPr>
          </w:p>
        </w:tc>
        <w:tc>
          <w:tcPr>
            <w:tcW w:w="2354" w:type="dxa"/>
          </w:tcPr>
          <w:p w14:paraId="2E9DC10B" w14:textId="77777777" w:rsidR="007E2F9F" w:rsidRPr="005F202B" w:rsidRDefault="007E2F9F" w:rsidP="006548F8">
            <w:pPr>
              <w:ind w:left="145" w:right="184"/>
              <w:jc w:val="center"/>
              <w:rPr>
                <w:rFonts w:ascii="Arial" w:hAnsi="Arial" w:cs="Arial"/>
                <w:b/>
                <w:sz w:val="18"/>
                <w:szCs w:val="18"/>
                <w:lang w:val="es-ES_tradnl"/>
              </w:rPr>
            </w:pPr>
            <w:r w:rsidRPr="005F202B">
              <w:rPr>
                <w:rFonts w:ascii="Arial" w:hAnsi="Arial" w:cs="Arial"/>
                <w:b/>
                <w:sz w:val="18"/>
                <w:szCs w:val="18"/>
                <w:lang w:val="es-ES_tradnl"/>
              </w:rPr>
              <w:t>EJECUCIÓN</w:t>
            </w:r>
          </w:p>
          <w:p w14:paraId="75038C7F" w14:textId="77777777" w:rsidR="007E2F9F" w:rsidRPr="005F202B" w:rsidRDefault="007E2F9F" w:rsidP="006548F8">
            <w:pPr>
              <w:ind w:right="34"/>
              <w:jc w:val="center"/>
              <w:rPr>
                <w:rFonts w:ascii="Arial" w:hAnsi="Arial" w:cs="Arial"/>
                <w:b/>
                <w:sz w:val="18"/>
                <w:szCs w:val="18"/>
                <w:lang w:val="es-ES_tradnl"/>
              </w:rPr>
            </w:pPr>
            <w:r w:rsidRPr="005F202B">
              <w:rPr>
                <w:rFonts w:ascii="Arial" w:hAnsi="Arial" w:cs="Arial"/>
                <w:b/>
                <w:sz w:val="18"/>
                <w:szCs w:val="18"/>
                <w:lang w:val="es-ES_tradnl"/>
              </w:rPr>
              <w:t>COMPROMISOS</w:t>
            </w:r>
          </w:p>
          <w:p w14:paraId="2431EB9C" w14:textId="77777777" w:rsidR="007E2F9F" w:rsidRPr="005F202B" w:rsidRDefault="007E2F9F" w:rsidP="006548F8">
            <w:pPr>
              <w:ind w:right="34"/>
              <w:jc w:val="center"/>
              <w:rPr>
                <w:rFonts w:ascii="Arial" w:hAnsi="Arial" w:cs="Arial"/>
                <w:b/>
                <w:sz w:val="18"/>
                <w:szCs w:val="18"/>
                <w:lang w:val="es-ES_tradnl"/>
              </w:rPr>
            </w:pPr>
            <w:r w:rsidRPr="005F202B">
              <w:rPr>
                <w:rFonts w:ascii="Arial" w:hAnsi="Arial" w:cs="Arial"/>
                <w:b/>
                <w:sz w:val="18"/>
                <w:szCs w:val="18"/>
                <w:lang w:val="es-ES_tradnl"/>
              </w:rPr>
              <w:t>(2)</w:t>
            </w:r>
          </w:p>
        </w:tc>
        <w:tc>
          <w:tcPr>
            <w:tcW w:w="2238" w:type="dxa"/>
          </w:tcPr>
          <w:p w14:paraId="2A2882BC" w14:textId="77777777" w:rsidR="007E2F9F" w:rsidRPr="005F202B" w:rsidRDefault="007E2F9F" w:rsidP="006548F8">
            <w:pPr>
              <w:ind w:left="25" w:right="34"/>
              <w:jc w:val="center"/>
              <w:rPr>
                <w:rFonts w:ascii="Arial" w:hAnsi="Arial" w:cs="Arial"/>
                <w:b/>
                <w:sz w:val="18"/>
                <w:szCs w:val="18"/>
                <w:lang w:val="es-ES_tradnl"/>
              </w:rPr>
            </w:pPr>
            <w:r w:rsidRPr="005F202B">
              <w:rPr>
                <w:rFonts w:ascii="Arial" w:hAnsi="Arial" w:cs="Arial"/>
                <w:b/>
                <w:sz w:val="18"/>
                <w:szCs w:val="18"/>
                <w:lang w:val="es-ES_tradnl"/>
              </w:rPr>
              <w:t>PÉRDIDAS DE</w:t>
            </w:r>
          </w:p>
          <w:p w14:paraId="6F2C2F93" w14:textId="77777777" w:rsidR="007E2F9F" w:rsidRPr="005F202B" w:rsidRDefault="007E2F9F" w:rsidP="006548F8">
            <w:pPr>
              <w:ind w:right="34"/>
              <w:jc w:val="center"/>
              <w:rPr>
                <w:rFonts w:ascii="Arial" w:hAnsi="Arial" w:cs="Arial"/>
                <w:b/>
                <w:sz w:val="18"/>
                <w:szCs w:val="18"/>
                <w:lang w:val="es-ES_tradnl"/>
              </w:rPr>
            </w:pPr>
            <w:r w:rsidRPr="005F202B">
              <w:rPr>
                <w:rFonts w:ascii="Arial" w:hAnsi="Arial" w:cs="Arial"/>
                <w:b/>
                <w:sz w:val="18"/>
                <w:szCs w:val="18"/>
                <w:lang w:val="es-ES_tradnl"/>
              </w:rPr>
              <w:t>APROPIACIÓN</w:t>
            </w:r>
          </w:p>
          <w:p w14:paraId="0D2A0CF9" w14:textId="77777777" w:rsidR="007E2F9F" w:rsidRPr="005F202B" w:rsidRDefault="007E2F9F" w:rsidP="006548F8">
            <w:pPr>
              <w:ind w:right="34"/>
              <w:jc w:val="center"/>
              <w:rPr>
                <w:rFonts w:ascii="Arial" w:hAnsi="Arial" w:cs="Arial"/>
                <w:b/>
                <w:sz w:val="18"/>
                <w:szCs w:val="18"/>
                <w:lang w:val="es-ES_tradnl"/>
              </w:rPr>
            </w:pPr>
            <w:r w:rsidRPr="005F202B">
              <w:rPr>
                <w:rFonts w:ascii="Arial" w:hAnsi="Arial" w:cs="Arial"/>
                <w:b/>
                <w:sz w:val="18"/>
                <w:szCs w:val="18"/>
                <w:lang w:val="es-ES_tradnl"/>
              </w:rPr>
              <w:t>3 = (1-2)</w:t>
            </w:r>
          </w:p>
        </w:tc>
      </w:tr>
      <w:tr w:rsidR="007E2F9F" w:rsidRPr="005F202B" w14:paraId="48BA382D" w14:textId="77777777" w:rsidTr="006548F8">
        <w:trPr>
          <w:trHeight w:val="230"/>
        </w:trPr>
        <w:tc>
          <w:tcPr>
            <w:tcW w:w="3544" w:type="dxa"/>
          </w:tcPr>
          <w:p w14:paraId="3C207758" w14:textId="77777777" w:rsidR="007E2F9F" w:rsidRPr="005F202B" w:rsidRDefault="007E2F9F" w:rsidP="006548F8">
            <w:pPr>
              <w:ind w:right="-1440"/>
              <w:jc w:val="both"/>
              <w:rPr>
                <w:rFonts w:ascii="Arial" w:hAnsi="Arial" w:cs="Arial"/>
                <w:b/>
                <w:sz w:val="18"/>
                <w:szCs w:val="18"/>
                <w:lang w:val="es-ES_tradnl"/>
              </w:rPr>
            </w:pPr>
            <w:r w:rsidRPr="005F202B">
              <w:rPr>
                <w:rFonts w:ascii="Arial" w:hAnsi="Arial" w:cs="Arial"/>
                <w:b/>
                <w:sz w:val="18"/>
                <w:szCs w:val="18"/>
                <w:lang w:val="es-ES_tradnl"/>
              </w:rPr>
              <w:t>FUNCIONAMIENTO</w:t>
            </w:r>
          </w:p>
        </w:tc>
        <w:tc>
          <w:tcPr>
            <w:tcW w:w="2354" w:type="dxa"/>
            <w:vAlign w:val="bottom"/>
          </w:tcPr>
          <w:p w14:paraId="448F3D9D" w14:textId="77777777" w:rsidR="007E2F9F" w:rsidRPr="005F202B" w:rsidRDefault="007E2F9F" w:rsidP="006548F8">
            <w:pPr>
              <w:jc w:val="right"/>
              <w:rPr>
                <w:rFonts w:ascii="Arial" w:eastAsia="Calibri" w:hAnsi="Arial" w:cs="Arial"/>
                <w:b/>
                <w:sz w:val="16"/>
                <w:szCs w:val="16"/>
                <w:lang w:val="es-CO"/>
              </w:rPr>
            </w:pPr>
            <w:r w:rsidRPr="005F202B">
              <w:rPr>
                <w:rFonts w:ascii="Arial" w:eastAsia="Calibri" w:hAnsi="Arial" w:cs="Arial"/>
                <w:b/>
              </w:rPr>
              <w:t>17.097.628,00</w:t>
            </w:r>
          </w:p>
        </w:tc>
        <w:tc>
          <w:tcPr>
            <w:tcW w:w="2354" w:type="dxa"/>
            <w:vAlign w:val="bottom"/>
          </w:tcPr>
          <w:p w14:paraId="463B9749" w14:textId="77777777" w:rsidR="007E2F9F" w:rsidRPr="005F202B" w:rsidRDefault="007E2F9F" w:rsidP="006548F8">
            <w:pPr>
              <w:pStyle w:val="Prrafodelista"/>
              <w:ind w:left="0"/>
              <w:jc w:val="right"/>
              <w:rPr>
                <w:rFonts w:ascii="Arial" w:hAnsi="Arial" w:cs="Arial"/>
                <w:b/>
                <w:sz w:val="16"/>
                <w:szCs w:val="16"/>
              </w:rPr>
            </w:pPr>
            <w:r w:rsidRPr="005F202B">
              <w:rPr>
                <w:rFonts w:ascii="Arial" w:eastAsia="Calibri" w:hAnsi="Arial" w:cs="Arial"/>
                <w:b/>
              </w:rPr>
              <w:t>16.721.332,27</w:t>
            </w:r>
          </w:p>
        </w:tc>
        <w:tc>
          <w:tcPr>
            <w:tcW w:w="2238" w:type="dxa"/>
            <w:vAlign w:val="bottom"/>
          </w:tcPr>
          <w:p w14:paraId="7727B0E5" w14:textId="77777777" w:rsidR="007E2F9F" w:rsidRPr="005F202B" w:rsidRDefault="007E2F9F" w:rsidP="006548F8">
            <w:pPr>
              <w:pStyle w:val="Prrafodelista"/>
              <w:ind w:left="0"/>
              <w:jc w:val="right"/>
              <w:rPr>
                <w:rFonts w:ascii="Arial" w:hAnsi="Arial" w:cs="Arial"/>
                <w:b/>
                <w:sz w:val="16"/>
                <w:szCs w:val="16"/>
              </w:rPr>
            </w:pPr>
            <w:r w:rsidRPr="005F202B">
              <w:rPr>
                <w:rFonts w:ascii="Arial" w:eastAsia="Calibri" w:hAnsi="Arial" w:cs="Arial"/>
                <w:b/>
              </w:rPr>
              <w:t>376.295,73</w:t>
            </w:r>
          </w:p>
        </w:tc>
      </w:tr>
      <w:tr w:rsidR="007E2F9F" w:rsidRPr="005F202B" w14:paraId="48548604" w14:textId="77777777" w:rsidTr="006548F8">
        <w:tc>
          <w:tcPr>
            <w:tcW w:w="3544" w:type="dxa"/>
          </w:tcPr>
          <w:p w14:paraId="2B0A0146" w14:textId="77777777" w:rsidR="007E2F9F" w:rsidRPr="005F202B" w:rsidRDefault="007E2F9F" w:rsidP="006548F8">
            <w:pPr>
              <w:ind w:right="-1440"/>
              <w:jc w:val="both"/>
              <w:rPr>
                <w:rFonts w:ascii="Arial" w:hAnsi="Arial" w:cs="Arial"/>
                <w:b/>
                <w:sz w:val="18"/>
                <w:szCs w:val="18"/>
                <w:lang w:val="es-ES_tradnl"/>
              </w:rPr>
            </w:pPr>
            <w:r w:rsidRPr="005F202B">
              <w:rPr>
                <w:rFonts w:ascii="Arial" w:hAnsi="Arial" w:cs="Arial"/>
                <w:b/>
                <w:sz w:val="18"/>
                <w:szCs w:val="18"/>
                <w:lang w:val="es-ES_tradnl"/>
              </w:rPr>
              <w:t>INVERSIÓN</w:t>
            </w:r>
          </w:p>
        </w:tc>
        <w:tc>
          <w:tcPr>
            <w:tcW w:w="2354" w:type="dxa"/>
            <w:vAlign w:val="bottom"/>
          </w:tcPr>
          <w:p w14:paraId="39DF95A0" w14:textId="77777777" w:rsidR="007E2F9F" w:rsidRPr="005F202B" w:rsidRDefault="007E2F9F" w:rsidP="006548F8">
            <w:pPr>
              <w:pStyle w:val="Prrafodelista"/>
              <w:ind w:left="0"/>
              <w:jc w:val="right"/>
              <w:rPr>
                <w:rFonts w:ascii="Arial" w:hAnsi="Arial" w:cs="Arial"/>
                <w:b/>
                <w:sz w:val="16"/>
                <w:szCs w:val="16"/>
              </w:rPr>
            </w:pPr>
            <w:r w:rsidRPr="005F202B">
              <w:rPr>
                <w:rFonts w:ascii="Arial" w:eastAsia="Calibri" w:hAnsi="Arial" w:cs="Arial"/>
                <w:b/>
              </w:rPr>
              <w:t>33.643.741,95</w:t>
            </w:r>
          </w:p>
        </w:tc>
        <w:tc>
          <w:tcPr>
            <w:tcW w:w="2354" w:type="dxa"/>
            <w:vAlign w:val="bottom"/>
          </w:tcPr>
          <w:p w14:paraId="517BE1A2" w14:textId="77777777" w:rsidR="007E2F9F" w:rsidRPr="005F202B" w:rsidRDefault="007E2F9F" w:rsidP="006548F8">
            <w:pPr>
              <w:pStyle w:val="Prrafodelista"/>
              <w:ind w:left="0"/>
              <w:jc w:val="right"/>
              <w:rPr>
                <w:rFonts w:ascii="Arial" w:hAnsi="Arial" w:cs="Arial"/>
                <w:b/>
                <w:sz w:val="16"/>
                <w:szCs w:val="16"/>
              </w:rPr>
            </w:pPr>
            <w:r w:rsidRPr="005F202B">
              <w:rPr>
                <w:rFonts w:ascii="Arial" w:eastAsia="Calibri" w:hAnsi="Arial" w:cs="Arial"/>
                <w:b/>
              </w:rPr>
              <w:t>32.991.189,59</w:t>
            </w:r>
          </w:p>
        </w:tc>
        <w:tc>
          <w:tcPr>
            <w:tcW w:w="2238" w:type="dxa"/>
            <w:vAlign w:val="bottom"/>
          </w:tcPr>
          <w:p w14:paraId="188BDAC5" w14:textId="77777777" w:rsidR="007E2F9F" w:rsidRPr="005F202B" w:rsidRDefault="007E2F9F" w:rsidP="006548F8">
            <w:pPr>
              <w:pStyle w:val="Prrafodelista"/>
              <w:ind w:left="0"/>
              <w:jc w:val="right"/>
              <w:rPr>
                <w:rFonts w:ascii="Arial" w:hAnsi="Arial" w:cs="Arial"/>
                <w:b/>
                <w:sz w:val="16"/>
                <w:szCs w:val="16"/>
              </w:rPr>
            </w:pPr>
            <w:r w:rsidRPr="005F202B">
              <w:rPr>
                <w:rFonts w:ascii="Arial" w:eastAsia="Calibri" w:hAnsi="Arial" w:cs="Arial"/>
                <w:b/>
              </w:rPr>
              <w:t>652.552,35</w:t>
            </w:r>
          </w:p>
        </w:tc>
      </w:tr>
      <w:tr w:rsidR="007E2F9F" w:rsidRPr="005F202B" w14:paraId="1CADA266" w14:textId="77777777" w:rsidTr="006548F8">
        <w:tc>
          <w:tcPr>
            <w:tcW w:w="3544" w:type="dxa"/>
          </w:tcPr>
          <w:p w14:paraId="6DA6281C" w14:textId="77777777" w:rsidR="007E2F9F" w:rsidRPr="005F202B" w:rsidRDefault="007E2F9F" w:rsidP="006548F8">
            <w:pPr>
              <w:ind w:right="-1440"/>
              <w:jc w:val="both"/>
              <w:rPr>
                <w:rFonts w:ascii="Arial" w:hAnsi="Arial" w:cs="Arial"/>
                <w:b/>
                <w:sz w:val="18"/>
                <w:szCs w:val="18"/>
                <w:lang w:val="es-ES_tradnl"/>
              </w:rPr>
            </w:pPr>
            <w:r w:rsidRPr="005F202B">
              <w:rPr>
                <w:rFonts w:ascii="Arial" w:hAnsi="Arial" w:cs="Arial"/>
                <w:b/>
                <w:sz w:val="18"/>
                <w:szCs w:val="18"/>
                <w:lang w:val="es-ES_tradnl"/>
              </w:rPr>
              <w:t>TOTAL PÉRDIDAS DE APROPIACIÓN</w:t>
            </w:r>
          </w:p>
        </w:tc>
        <w:tc>
          <w:tcPr>
            <w:tcW w:w="2354" w:type="dxa"/>
            <w:vAlign w:val="bottom"/>
          </w:tcPr>
          <w:p w14:paraId="1A5DA027" w14:textId="77777777" w:rsidR="007E2F9F" w:rsidRPr="005F202B" w:rsidRDefault="007E2F9F" w:rsidP="006548F8">
            <w:pPr>
              <w:pStyle w:val="Prrafodelista"/>
              <w:ind w:left="0"/>
              <w:jc w:val="right"/>
              <w:rPr>
                <w:rFonts w:ascii="Arial" w:hAnsi="Arial" w:cs="Arial"/>
                <w:b/>
                <w:sz w:val="16"/>
                <w:szCs w:val="16"/>
                <w:u w:val="single"/>
              </w:rPr>
            </w:pPr>
            <w:r w:rsidRPr="005F202B">
              <w:rPr>
                <w:rFonts w:ascii="Arial" w:eastAsia="Calibri" w:hAnsi="Arial" w:cs="Arial"/>
                <w:b/>
              </w:rPr>
              <w:t>652.552,35</w:t>
            </w:r>
          </w:p>
        </w:tc>
        <w:tc>
          <w:tcPr>
            <w:tcW w:w="2354" w:type="dxa"/>
            <w:vAlign w:val="bottom"/>
          </w:tcPr>
          <w:p w14:paraId="14D5B3E4" w14:textId="77777777" w:rsidR="007E2F9F" w:rsidRPr="005F202B" w:rsidRDefault="007E2F9F" w:rsidP="006548F8">
            <w:pPr>
              <w:pStyle w:val="Prrafodelista"/>
              <w:ind w:left="0"/>
              <w:jc w:val="right"/>
              <w:rPr>
                <w:rFonts w:ascii="Arial" w:hAnsi="Arial" w:cs="Arial"/>
                <w:b/>
                <w:sz w:val="16"/>
                <w:szCs w:val="16"/>
                <w:u w:val="single"/>
              </w:rPr>
            </w:pPr>
            <w:r w:rsidRPr="005F202B">
              <w:rPr>
                <w:rFonts w:ascii="Arial" w:eastAsia="Calibri" w:hAnsi="Arial" w:cs="Arial"/>
                <w:b/>
              </w:rPr>
              <w:t>652.552,35</w:t>
            </w:r>
          </w:p>
        </w:tc>
        <w:tc>
          <w:tcPr>
            <w:tcW w:w="2238" w:type="dxa"/>
            <w:vAlign w:val="bottom"/>
          </w:tcPr>
          <w:p w14:paraId="6562DC63" w14:textId="77777777" w:rsidR="007E2F9F" w:rsidRPr="005F202B" w:rsidRDefault="007E2F9F" w:rsidP="006548F8">
            <w:pPr>
              <w:pStyle w:val="Prrafodelista"/>
              <w:ind w:left="0"/>
              <w:jc w:val="right"/>
              <w:rPr>
                <w:rFonts w:ascii="Arial" w:hAnsi="Arial" w:cs="Arial"/>
                <w:b/>
                <w:sz w:val="16"/>
                <w:szCs w:val="16"/>
                <w:u w:val="single"/>
              </w:rPr>
            </w:pPr>
            <w:r w:rsidRPr="005F202B">
              <w:rPr>
                <w:rFonts w:ascii="Arial" w:eastAsia="Calibri" w:hAnsi="Arial" w:cs="Arial"/>
                <w:b/>
              </w:rPr>
              <w:t>652.552,35</w:t>
            </w:r>
          </w:p>
        </w:tc>
      </w:tr>
    </w:tbl>
    <w:p w14:paraId="4C3BF420" w14:textId="77777777" w:rsidR="007E2F9F" w:rsidRDefault="007E2F9F" w:rsidP="007E2F9F">
      <w:pPr>
        <w:ind w:left="-284" w:right="-234"/>
        <w:jc w:val="both"/>
        <w:rPr>
          <w:rFonts w:ascii="Arial" w:hAnsi="Arial" w:cs="Arial"/>
          <w:b/>
          <w:bCs/>
          <w:sz w:val="28"/>
          <w:szCs w:val="28"/>
          <w:lang w:val="es-MX"/>
        </w:rPr>
      </w:pPr>
    </w:p>
    <w:p w14:paraId="33115DFF" w14:textId="77777777" w:rsidR="007E2F9F" w:rsidRPr="00C46627" w:rsidRDefault="007E2F9F" w:rsidP="007E2F9F">
      <w:pPr>
        <w:ind w:left="-284" w:right="-234"/>
        <w:jc w:val="both"/>
        <w:rPr>
          <w:rFonts w:ascii="Arial" w:hAnsi="Arial" w:cs="Arial"/>
          <w:b/>
          <w:sz w:val="28"/>
          <w:szCs w:val="28"/>
          <w:lang w:val="es-MX"/>
        </w:rPr>
      </w:pPr>
      <w:r w:rsidRPr="00C46627">
        <w:rPr>
          <w:rFonts w:ascii="Arial" w:hAnsi="Arial" w:cs="Arial"/>
          <w:b/>
          <w:sz w:val="28"/>
          <w:szCs w:val="28"/>
          <w:lang w:val="es-MX"/>
        </w:rPr>
        <w:t xml:space="preserve">109.- INSTITUTO TOLIMENSE DE FORMACIÓN TÉCNICA PROFESIONAL – ITFIP. </w:t>
      </w:r>
    </w:p>
    <w:p w14:paraId="3C4FC878" w14:textId="77777777" w:rsidR="007E2F9F" w:rsidRDefault="007E2F9F" w:rsidP="007E2F9F">
      <w:pPr>
        <w:pStyle w:val="Prrafodelista"/>
        <w:ind w:left="0"/>
        <w:jc w:val="center"/>
        <w:rPr>
          <w:rFonts w:ascii="Arial" w:hAnsi="Arial" w:cs="Arial"/>
          <w:b/>
          <w:sz w:val="24"/>
        </w:rPr>
      </w:pPr>
    </w:p>
    <w:p w14:paraId="5BCA6C5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FAB7A7B"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086ACF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D3F21" w14:paraId="419DAB1C" w14:textId="77777777" w:rsidTr="006548F8">
        <w:tc>
          <w:tcPr>
            <w:tcW w:w="3544" w:type="dxa"/>
          </w:tcPr>
          <w:p w14:paraId="79A5F89C" w14:textId="77777777" w:rsidR="007E2F9F" w:rsidRPr="002D3F21" w:rsidRDefault="007E2F9F" w:rsidP="006548F8">
            <w:pPr>
              <w:ind w:left="1169" w:right="-1440"/>
              <w:rPr>
                <w:rFonts w:ascii="Arial" w:hAnsi="Arial" w:cs="Arial"/>
                <w:b/>
                <w:sz w:val="18"/>
                <w:szCs w:val="18"/>
                <w:lang w:val="es-ES_tradnl"/>
              </w:rPr>
            </w:pPr>
            <w:r w:rsidRPr="002D3F21">
              <w:rPr>
                <w:rFonts w:ascii="Arial" w:hAnsi="Arial" w:cs="Arial"/>
                <w:b/>
                <w:sz w:val="18"/>
                <w:szCs w:val="18"/>
                <w:lang w:val="es-ES_tradnl"/>
              </w:rPr>
              <w:t>TIPO DE GASTO</w:t>
            </w:r>
          </w:p>
        </w:tc>
        <w:tc>
          <w:tcPr>
            <w:tcW w:w="2354" w:type="dxa"/>
          </w:tcPr>
          <w:p w14:paraId="6F3F6F22"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APROPIACIÓN</w:t>
            </w:r>
          </w:p>
          <w:p w14:paraId="6F974BEE"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DEFINITIVA</w:t>
            </w:r>
          </w:p>
          <w:p w14:paraId="1A48EEE9"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(1)</w:t>
            </w:r>
          </w:p>
          <w:p w14:paraId="7B022773" w14:textId="77777777" w:rsidR="007E2F9F" w:rsidRPr="002D3F21" w:rsidRDefault="007E2F9F" w:rsidP="006548F8">
            <w:pPr>
              <w:jc w:val="center"/>
              <w:rPr>
                <w:rFonts w:ascii="Arial" w:hAnsi="Arial" w:cs="Arial"/>
                <w:b/>
                <w:sz w:val="18"/>
                <w:szCs w:val="18"/>
                <w:lang w:val="es-ES_tradnl"/>
              </w:rPr>
            </w:pPr>
          </w:p>
        </w:tc>
        <w:tc>
          <w:tcPr>
            <w:tcW w:w="2354" w:type="dxa"/>
          </w:tcPr>
          <w:p w14:paraId="1CB05992" w14:textId="77777777" w:rsidR="007E2F9F" w:rsidRPr="002D3F21" w:rsidRDefault="007E2F9F" w:rsidP="006548F8">
            <w:pPr>
              <w:ind w:left="145" w:right="184"/>
              <w:jc w:val="center"/>
              <w:rPr>
                <w:rFonts w:ascii="Arial" w:hAnsi="Arial" w:cs="Arial"/>
                <w:b/>
                <w:sz w:val="18"/>
                <w:szCs w:val="18"/>
                <w:lang w:val="es-ES_tradnl"/>
              </w:rPr>
            </w:pPr>
            <w:r w:rsidRPr="002D3F21">
              <w:rPr>
                <w:rFonts w:ascii="Arial" w:hAnsi="Arial" w:cs="Arial"/>
                <w:b/>
                <w:sz w:val="18"/>
                <w:szCs w:val="18"/>
                <w:lang w:val="es-ES_tradnl"/>
              </w:rPr>
              <w:t>EJECUCIÓN</w:t>
            </w:r>
          </w:p>
          <w:p w14:paraId="3468F401"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COMPROMISOS</w:t>
            </w:r>
          </w:p>
          <w:p w14:paraId="3965AC85"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(2)</w:t>
            </w:r>
          </w:p>
        </w:tc>
        <w:tc>
          <w:tcPr>
            <w:tcW w:w="2238" w:type="dxa"/>
          </w:tcPr>
          <w:p w14:paraId="0C984236" w14:textId="77777777" w:rsidR="007E2F9F" w:rsidRPr="002D3F21" w:rsidRDefault="007E2F9F" w:rsidP="006548F8">
            <w:pPr>
              <w:ind w:left="25" w:right="34"/>
              <w:jc w:val="center"/>
              <w:rPr>
                <w:rFonts w:ascii="Arial" w:hAnsi="Arial" w:cs="Arial"/>
                <w:b/>
                <w:sz w:val="18"/>
                <w:szCs w:val="18"/>
                <w:lang w:val="es-ES_tradnl"/>
              </w:rPr>
            </w:pPr>
            <w:r w:rsidRPr="002D3F21">
              <w:rPr>
                <w:rFonts w:ascii="Arial" w:hAnsi="Arial" w:cs="Arial"/>
                <w:b/>
                <w:sz w:val="18"/>
                <w:szCs w:val="18"/>
                <w:lang w:val="es-ES_tradnl"/>
              </w:rPr>
              <w:t>PÉRDIDAS DE</w:t>
            </w:r>
          </w:p>
          <w:p w14:paraId="4830C791"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APROPIACIÓN</w:t>
            </w:r>
          </w:p>
          <w:p w14:paraId="1264D720"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3 = (1-2)</w:t>
            </w:r>
          </w:p>
        </w:tc>
      </w:tr>
      <w:tr w:rsidR="007E2F9F" w:rsidRPr="002D3F21" w14:paraId="63CAEAB5" w14:textId="77777777" w:rsidTr="006548F8">
        <w:trPr>
          <w:trHeight w:val="230"/>
        </w:trPr>
        <w:tc>
          <w:tcPr>
            <w:tcW w:w="3544" w:type="dxa"/>
          </w:tcPr>
          <w:p w14:paraId="58BA2BC2"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bottom"/>
          </w:tcPr>
          <w:p w14:paraId="792DA277" w14:textId="77777777" w:rsidR="007E2F9F" w:rsidRPr="002D3F21" w:rsidRDefault="007E2F9F" w:rsidP="006548F8">
            <w:pPr>
              <w:jc w:val="right"/>
              <w:rPr>
                <w:rFonts w:ascii="Arial" w:eastAsia="Calibri" w:hAnsi="Arial" w:cs="Arial"/>
                <w:b/>
                <w:bCs/>
                <w:sz w:val="18"/>
                <w:szCs w:val="18"/>
                <w:lang w:val="es-CO"/>
              </w:rPr>
            </w:pPr>
            <w:r w:rsidRPr="002D3F21">
              <w:rPr>
                <w:rFonts w:ascii="Arial" w:hAnsi="Arial" w:cs="Arial"/>
                <w:b/>
                <w:bCs/>
                <w:sz w:val="18"/>
                <w:szCs w:val="18"/>
              </w:rPr>
              <w:t>27.744.712.630</w:t>
            </w:r>
          </w:p>
        </w:tc>
        <w:tc>
          <w:tcPr>
            <w:tcW w:w="2354" w:type="dxa"/>
            <w:vAlign w:val="bottom"/>
          </w:tcPr>
          <w:p w14:paraId="66BEAC22"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sz w:val="18"/>
                <w:szCs w:val="18"/>
              </w:rPr>
              <w:t>24.456.014.371</w:t>
            </w:r>
          </w:p>
        </w:tc>
        <w:tc>
          <w:tcPr>
            <w:tcW w:w="2238" w:type="dxa"/>
            <w:vAlign w:val="bottom"/>
          </w:tcPr>
          <w:p w14:paraId="3BDE8CC3"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sz w:val="18"/>
                <w:szCs w:val="18"/>
              </w:rPr>
              <w:t>3.288.698.259</w:t>
            </w:r>
          </w:p>
        </w:tc>
      </w:tr>
      <w:tr w:rsidR="007E2F9F" w:rsidRPr="002D3F21" w14:paraId="329ADA0D" w14:textId="77777777" w:rsidTr="006548F8">
        <w:tc>
          <w:tcPr>
            <w:tcW w:w="3544" w:type="dxa"/>
          </w:tcPr>
          <w:p w14:paraId="7A9B01BC"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vAlign w:val="bottom"/>
          </w:tcPr>
          <w:p w14:paraId="279E7D4A"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10.631.908.034</w:t>
            </w:r>
          </w:p>
        </w:tc>
        <w:tc>
          <w:tcPr>
            <w:tcW w:w="2354" w:type="dxa"/>
            <w:vAlign w:val="bottom"/>
          </w:tcPr>
          <w:p w14:paraId="06393A41"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10.573.178.521</w:t>
            </w:r>
          </w:p>
        </w:tc>
        <w:tc>
          <w:tcPr>
            <w:tcW w:w="2238" w:type="dxa"/>
            <w:vAlign w:val="bottom"/>
          </w:tcPr>
          <w:p w14:paraId="5C7C9632"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58.729.513</w:t>
            </w:r>
          </w:p>
        </w:tc>
      </w:tr>
      <w:tr w:rsidR="007E2F9F" w:rsidRPr="002D3F21" w14:paraId="556356EB" w14:textId="77777777" w:rsidTr="006548F8">
        <w:tc>
          <w:tcPr>
            <w:tcW w:w="3544" w:type="dxa"/>
          </w:tcPr>
          <w:p w14:paraId="79ABEF0C"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TOTAL PÉRDIDAS DE APROPIACIÓN</w:t>
            </w:r>
          </w:p>
        </w:tc>
        <w:tc>
          <w:tcPr>
            <w:tcW w:w="2354" w:type="dxa"/>
            <w:vAlign w:val="bottom"/>
          </w:tcPr>
          <w:p w14:paraId="53FEA6C1"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sz w:val="18"/>
                <w:szCs w:val="18"/>
              </w:rPr>
              <w:t>38.376.620.664</w:t>
            </w:r>
          </w:p>
        </w:tc>
        <w:tc>
          <w:tcPr>
            <w:tcW w:w="2354" w:type="dxa"/>
            <w:vAlign w:val="bottom"/>
          </w:tcPr>
          <w:p w14:paraId="6B501CA4"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sz w:val="18"/>
                <w:szCs w:val="18"/>
              </w:rPr>
              <w:t>35.029.192.892</w:t>
            </w:r>
          </w:p>
        </w:tc>
        <w:tc>
          <w:tcPr>
            <w:tcW w:w="2238" w:type="dxa"/>
            <w:vAlign w:val="bottom"/>
          </w:tcPr>
          <w:p w14:paraId="7B67BA4F"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sz w:val="18"/>
                <w:szCs w:val="18"/>
                <w:u w:val="single"/>
              </w:rPr>
              <w:t>3.347.427.772</w:t>
            </w:r>
          </w:p>
        </w:tc>
      </w:tr>
    </w:tbl>
    <w:p w14:paraId="5F0A56B4" w14:textId="77777777" w:rsidR="007E2F9F" w:rsidRPr="00AE1AF7" w:rsidRDefault="007E2F9F" w:rsidP="007E2F9F">
      <w:pPr>
        <w:ind w:left="-284" w:right="-234"/>
        <w:jc w:val="both"/>
        <w:rPr>
          <w:rFonts w:ascii="Arial" w:hAnsi="Arial" w:cs="Arial"/>
          <w:b/>
          <w:bCs/>
          <w:sz w:val="28"/>
          <w:szCs w:val="28"/>
          <w:lang w:val="es-MX"/>
        </w:rPr>
      </w:pPr>
    </w:p>
    <w:p w14:paraId="2AAD0F5C" w14:textId="77777777" w:rsidR="007E2F9F" w:rsidRPr="00AE1AF7" w:rsidRDefault="007E2F9F" w:rsidP="007E2F9F">
      <w:pPr>
        <w:ind w:left="-284"/>
        <w:jc w:val="both"/>
        <w:rPr>
          <w:rFonts w:ascii="Arial" w:hAnsi="Arial" w:cs="Arial"/>
          <w:b/>
          <w:sz w:val="28"/>
          <w:szCs w:val="28"/>
          <w:lang w:val="es-MX"/>
        </w:rPr>
      </w:pPr>
      <w:r w:rsidRPr="00AE1AF7">
        <w:rPr>
          <w:rFonts w:ascii="Arial" w:hAnsi="Arial" w:cs="Arial"/>
          <w:b/>
          <w:sz w:val="28"/>
          <w:szCs w:val="28"/>
          <w:lang w:val="es-MX"/>
        </w:rPr>
        <w:t>113.- REGISTRADURÍA NACIONAL DEL ESTADO CIVIL.</w:t>
      </w:r>
    </w:p>
    <w:p w14:paraId="4C32F957" w14:textId="77777777" w:rsidR="007E2F9F" w:rsidRDefault="007E2F9F" w:rsidP="007E2F9F">
      <w:pPr>
        <w:ind w:left="-284" w:right="-234"/>
        <w:jc w:val="both"/>
        <w:rPr>
          <w:rFonts w:ascii="Arial" w:hAnsi="Arial" w:cs="Arial"/>
          <w:b/>
          <w:bCs/>
          <w:sz w:val="28"/>
          <w:szCs w:val="28"/>
          <w:lang w:val="es-MX"/>
        </w:rPr>
      </w:pPr>
    </w:p>
    <w:p w14:paraId="5A944BE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631D4B0"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AE1AF7" w14:paraId="56785F73" w14:textId="77777777" w:rsidTr="006548F8">
        <w:tc>
          <w:tcPr>
            <w:tcW w:w="3544" w:type="dxa"/>
          </w:tcPr>
          <w:p w14:paraId="1759B3F8" w14:textId="77777777" w:rsidR="007E2F9F" w:rsidRPr="00AE1AF7" w:rsidRDefault="007E2F9F" w:rsidP="006548F8">
            <w:pPr>
              <w:ind w:left="1169" w:right="-1440"/>
              <w:rPr>
                <w:rFonts w:ascii="Arial" w:hAnsi="Arial" w:cs="Arial"/>
                <w:b/>
                <w:lang w:val="es-ES_tradnl"/>
              </w:rPr>
            </w:pPr>
            <w:r w:rsidRPr="00AE1AF7">
              <w:rPr>
                <w:rFonts w:ascii="Arial" w:hAnsi="Arial" w:cs="Arial"/>
                <w:b/>
                <w:lang w:val="es-ES_tradnl"/>
              </w:rPr>
              <w:t>TIPO DE GASTO</w:t>
            </w:r>
          </w:p>
        </w:tc>
        <w:tc>
          <w:tcPr>
            <w:tcW w:w="2354" w:type="dxa"/>
          </w:tcPr>
          <w:p w14:paraId="6759E325" w14:textId="77777777" w:rsidR="007E2F9F" w:rsidRPr="00AE1AF7" w:rsidRDefault="007E2F9F" w:rsidP="006548F8">
            <w:pPr>
              <w:jc w:val="center"/>
              <w:rPr>
                <w:rFonts w:ascii="Arial" w:hAnsi="Arial" w:cs="Arial"/>
                <w:b/>
                <w:lang w:val="es-ES_tradnl"/>
              </w:rPr>
            </w:pPr>
            <w:r w:rsidRPr="00AE1AF7">
              <w:rPr>
                <w:rFonts w:ascii="Arial" w:hAnsi="Arial" w:cs="Arial"/>
                <w:b/>
                <w:lang w:val="es-ES_tradnl"/>
              </w:rPr>
              <w:t>APROPIACIÓN</w:t>
            </w:r>
          </w:p>
          <w:p w14:paraId="7E6BE92A" w14:textId="77777777" w:rsidR="007E2F9F" w:rsidRPr="00AE1AF7" w:rsidRDefault="007E2F9F" w:rsidP="006548F8">
            <w:pPr>
              <w:jc w:val="center"/>
              <w:rPr>
                <w:rFonts w:ascii="Arial" w:hAnsi="Arial" w:cs="Arial"/>
                <w:b/>
                <w:lang w:val="es-ES_tradnl"/>
              </w:rPr>
            </w:pPr>
            <w:r w:rsidRPr="00AE1AF7">
              <w:rPr>
                <w:rFonts w:ascii="Arial" w:hAnsi="Arial" w:cs="Arial"/>
                <w:b/>
                <w:lang w:val="es-ES_tradnl"/>
              </w:rPr>
              <w:t>DEFINITIVA</w:t>
            </w:r>
          </w:p>
          <w:p w14:paraId="0CDCF196" w14:textId="77777777" w:rsidR="007E2F9F" w:rsidRPr="00AE1AF7" w:rsidRDefault="007E2F9F" w:rsidP="006548F8">
            <w:pPr>
              <w:jc w:val="center"/>
              <w:rPr>
                <w:rFonts w:ascii="Arial" w:hAnsi="Arial" w:cs="Arial"/>
                <w:b/>
                <w:lang w:val="es-ES_tradnl"/>
              </w:rPr>
            </w:pPr>
            <w:r w:rsidRPr="00AE1AF7">
              <w:rPr>
                <w:rFonts w:ascii="Arial" w:hAnsi="Arial" w:cs="Arial"/>
                <w:b/>
                <w:lang w:val="es-ES_tradnl"/>
              </w:rPr>
              <w:t>(1)</w:t>
            </w:r>
          </w:p>
          <w:p w14:paraId="132CCEC1" w14:textId="77777777" w:rsidR="007E2F9F" w:rsidRPr="00AE1AF7" w:rsidRDefault="007E2F9F" w:rsidP="006548F8">
            <w:pPr>
              <w:jc w:val="center"/>
              <w:rPr>
                <w:rFonts w:ascii="Arial" w:hAnsi="Arial" w:cs="Arial"/>
                <w:b/>
                <w:lang w:val="es-ES_tradnl"/>
              </w:rPr>
            </w:pPr>
          </w:p>
        </w:tc>
        <w:tc>
          <w:tcPr>
            <w:tcW w:w="2354" w:type="dxa"/>
          </w:tcPr>
          <w:p w14:paraId="39046BA0" w14:textId="77777777" w:rsidR="007E2F9F" w:rsidRPr="00AE1AF7" w:rsidRDefault="007E2F9F" w:rsidP="006548F8">
            <w:pPr>
              <w:ind w:left="145" w:right="184"/>
              <w:jc w:val="center"/>
              <w:rPr>
                <w:rFonts w:ascii="Arial" w:hAnsi="Arial" w:cs="Arial"/>
                <w:b/>
                <w:lang w:val="es-ES_tradnl"/>
              </w:rPr>
            </w:pPr>
            <w:r w:rsidRPr="00AE1AF7">
              <w:rPr>
                <w:rFonts w:ascii="Arial" w:hAnsi="Arial" w:cs="Arial"/>
                <w:b/>
                <w:lang w:val="es-ES_tradnl"/>
              </w:rPr>
              <w:t>EJECUCIÓN</w:t>
            </w:r>
          </w:p>
          <w:p w14:paraId="79A1A4B9" w14:textId="77777777" w:rsidR="007E2F9F" w:rsidRPr="00AE1AF7" w:rsidRDefault="007E2F9F" w:rsidP="006548F8">
            <w:pPr>
              <w:ind w:right="34"/>
              <w:jc w:val="center"/>
              <w:rPr>
                <w:rFonts w:ascii="Arial" w:hAnsi="Arial" w:cs="Arial"/>
                <w:b/>
                <w:lang w:val="es-ES_tradnl"/>
              </w:rPr>
            </w:pPr>
            <w:r w:rsidRPr="00AE1AF7">
              <w:rPr>
                <w:rFonts w:ascii="Arial" w:hAnsi="Arial" w:cs="Arial"/>
                <w:b/>
                <w:lang w:val="es-ES_tradnl"/>
              </w:rPr>
              <w:t>COMPROMISOS</w:t>
            </w:r>
          </w:p>
          <w:p w14:paraId="493957F9" w14:textId="77777777" w:rsidR="007E2F9F" w:rsidRPr="00AE1AF7" w:rsidRDefault="007E2F9F" w:rsidP="006548F8">
            <w:pPr>
              <w:ind w:right="34"/>
              <w:jc w:val="center"/>
              <w:rPr>
                <w:rFonts w:ascii="Arial" w:hAnsi="Arial" w:cs="Arial"/>
                <w:b/>
                <w:lang w:val="es-ES_tradnl"/>
              </w:rPr>
            </w:pPr>
            <w:r w:rsidRPr="00AE1AF7">
              <w:rPr>
                <w:rFonts w:ascii="Arial" w:hAnsi="Arial" w:cs="Arial"/>
                <w:b/>
                <w:lang w:val="es-ES_tradnl"/>
              </w:rPr>
              <w:t>(2)</w:t>
            </w:r>
          </w:p>
        </w:tc>
        <w:tc>
          <w:tcPr>
            <w:tcW w:w="2238" w:type="dxa"/>
          </w:tcPr>
          <w:p w14:paraId="37F0D495" w14:textId="77777777" w:rsidR="007E2F9F" w:rsidRPr="00AE1AF7" w:rsidRDefault="007E2F9F" w:rsidP="006548F8">
            <w:pPr>
              <w:ind w:left="25" w:right="34"/>
              <w:jc w:val="center"/>
              <w:rPr>
                <w:rFonts w:ascii="Arial" w:hAnsi="Arial" w:cs="Arial"/>
                <w:b/>
                <w:lang w:val="es-ES_tradnl"/>
              </w:rPr>
            </w:pPr>
            <w:r w:rsidRPr="00AE1AF7">
              <w:rPr>
                <w:rFonts w:ascii="Arial" w:hAnsi="Arial" w:cs="Arial"/>
                <w:b/>
                <w:lang w:val="es-ES_tradnl"/>
              </w:rPr>
              <w:t>PÉRDIDAS DE</w:t>
            </w:r>
          </w:p>
          <w:p w14:paraId="2D182BE6" w14:textId="77777777" w:rsidR="007E2F9F" w:rsidRPr="00AE1AF7" w:rsidRDefault="007E2F9F" w:rsidP="006548F8">
            <w:pPr>
              <w:ind w:right="34"/>
              <w:jc w:val="center"/>
              <w:rPr>
                <w:rFonts w:ascii="Arial" w:hAnsi="Arial" w:cs="Arial"/>
                <w:b/>
                <w:lang w:val="es-ES_tradnl"/>
              </w:rPr>
            </w:pPr>
            <w:r w:rsidRPr="00AE1AF7">
              <w:rPr>
                <w:rFonts w:ascii="Arial" w:hAnsi="Arial" w:cs="Arial"/>
                <w:b/>
                <w:lang w:val="es-ES_tradnl"/>
              </w:rPr>
              <w:t>APROPIACIÓN</w:t>
            </w:r>
          </w:p>
          <w:p w14:paraId="1358F33E" w14:textId="77777777" w:rsidR="007E2F9F" w:rsidRPr="00AE1AF7" w:rsidRDefault="007E2F9F" w:rsidP="006548F8">
            <w:pPr>
              <w:ind w:right="34"/>
              <w:jc w:val="center"/>
              <w:rPr>
                <w:rFonts w:ascii="Arial" w:hAnsi="Arial" w:cs="Arial"/>
                <w:b/>
                <w:lang w:val="es-ES_tradnl"/>
              </w:rPr>
            </w:pPr>
            <w:r w:rsidRPr="00AE1AF7">
              <w:rPr>
                <w:rFonts w:ascii="Arial" w:hAnsi="Arial" w:cs="Arial"/>
                <w:b/>
                <w:lang w:val="es-ES_tradnl"/>
              </w:rPr>
              <w:t>3 = (1-2)</w:t>
            </w:r>
          </w:p>
        </w:tc>
      </w:tr>
      <w:tr w:rsidR="007E2F9F" w:rsidRPr="00AE1AF7" w14:paraId="786217FA" w14:textId="77777777" w:rsidTr="006548F8">
        <w:trPr>
          <w:trHeight w:val="230"/>
        </w:trPr>
        <w:tc>
          <w:tcPr>
            <w:tcW w:w="3544" w:type="dxa"/>
          </w:tcPr>
          <w:p w14:paraId="62F29505"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center"/>
          </w:tcPr>
          <w:p w14:paraId="0F4BBD48" w14:textId="77777777" w:rsidR="007E2F9F" w:rsidRPr="002D3F21" w:rsidRDefault="007E2F9F" w:rsidP="006548F8">
            <w:pPr>
              <w:jc w:val="right"/>
              <w:rPr>
                <w:rFonts w:ascii="Arial" w:eastAsia="Calibri" w:hAnsi="Arial" w:cs="Arial"/>
                <w:b/>
                <w:bCs/>
                <w:sz w:val="18"/>
                <w:szCs w:val="18"/>
                <w:lang w:val="es-CO"/>
              </w:rPr>
            </w:pPr>
            <w:r w:rsidRPr="002D3F21">
              <w:rPr>
                <w:rFonts w:ascii="Arial" w:hAnsi="Arial" w:cs="Arial"/>
                <w:b/>
                <w:bCs/>
                <w:color w:val="000000"/>
                <w:sz w:val="18"/>
                <w:szCs w:val="18"/>
              </w:rPr>
              <w:t>980.135.425</w:t>
            </w:r>
          </w:p>
        </w:tc>
        <w:tc>
          <w:tcPr>
            <w:tcW w:w="2354" w:type="dxa"/>
            <w:vAlign w:val="center"/>
          </w:tcPr>
          <w:p w14:paraId="67A92C2D"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571.350.125</w:t>
            </w:r>
          </w:p>
        </w:tc>
        <w:tc>
          <w:tcPr>
            <w:tcW w:w="2238" w:type="dxa"/>
            <w:vAlign w:val="center"/>
          </w:tcPr>
          <w:p w14:paraId="60109CF4"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408.785.300</w:t>
            </w:r>
          </w:p>
        </w:tc>
      </w:tr>
      <w:tr w:rsidR="007E2F9F" w:rsidRPr="00AE1AF7" w14:paraId="09DCF36A" w14:textId="77777777" w:rsidTr="006548F8">
        <w:tc>
          <w:tcPr>
            <w:tcW w:w="3544" w:type="dxa"/>
          </w:tcPr>
          <w:p w14:paraId="663EBBC4"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vAlign w:val="center"/>
          </w:tcPr>
          <w:p w14:paraId="0FB6486A"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174.199.573</w:t>
            </w:r>
          </w:p>
        </w:tc>
        <w:tc>
          <w:tcPr>
            <w:tcW w:w="2354" w:type="dxa"/>
            <w:vAlign w:val="center"/>
          </w:tcPr>
          <w:p w14:paraId="5F04C7CC"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169.347.136</w:t>
            </w:r>
          </w:p>
        </w:tc>
        <w:tc>
          <w:tcPr>
            <w:tcW w:w="2238" w:type="dxa"/>
            <w:vAlign w:val="center"/>
          </w:tcPr>
          <w:p w14:paraId="5571CD47"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color w:val="000000"/>
                <w:sz w:val="18"/>
                <w:szCs w:val="18"/>
              </w:rPr>
              <w:t>4.852.437</w:t>
            </w:r>
          </w:p>
        </w:tc>
      </w:tr>
      <w:tr w:rsidR="007E2F9F" w:rsidRPr="00AE1AF7" w14:paraId="3B86D7F0" w14:textId="77777777" w:rsidTr="006548F8">
        <w:tc>
          <w:tcPr>
            <w:tcW w:w="3544" w:type="dxa"/>
          </w:tcPr>
          <w:p w14:paraId="7C72DC15"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TOTAL PÉRDIDAS DE APROPIACIÓN</w:t>
            </w:r>
          </w:p>
        </w:tc>
        <w:tc>
          <w:tcPr>
            <w:tcW w:w="2354" w:type="dxa"/>
            <w:vAlign w:val="center"/>
          </w:tcPr>
          <w:p w14:paraId="5D7202C5"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color w:val="000000"/>
                <w:sz w:val="18"/>
                <w:szCs w:val="18"/>
              </w:rPr>
              <w:t>1.154.334.998</w:t>
            </w:r>
          </w:p>
        </w:tc>
        <w:tc>
          <w:tcPr>
            <w:tcW w:w="2354" w:type="dxa"/>
            <w:vAlign w:val="center"/>
          </w:tcPr>
          <w:p w14:paraId="79E12431"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color w:val="000000"/>
                <w:sz w:val="18"/>
                <w:szCs w:val="18"/>
              </w:rPr>
              <w:t>740.697.261</w:t>
            </w:r>
          </w:p>
        </w:tc>
        <w:tc>
          <w:tcPr>
            <w:tcW w:w="2238" w:type="dxa"/>
            <w:vAlign w:val="center"/>
          </w:tcPr>
          <w:p w14:paraId="4D3669D4"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color w:val="000000"/>
                <w:sz w:val="18"/>
                <w:szCs w:val="18"/>
                <w:u w:val="single"/>
              </w:rPr>
              <w:t>413.637.737</w:t>
            </w:r>
          </w:p>
        </w:tc>
      </w:tr>
    </w:tbl>
    <w:p w14:paraId="3F16D792" w14:textId="77777777" w:rsidR="007E2F9F" w:rsidRDefault="007E2F9F" w:rsidP="007E2F9F">
      <w:pPr>
        <w:ind w:left="-284" w:right="-234"/>
        <w:jc w:val="both"/>
        <w:rPr>
          <w:rFonts w:ascii="Arial" w:hAnsi="Arial" w:cs="Arial"/>
          <w:b/>
          <w:bCs/>
          <w:sz w:val="28"/>
          <w:szCs w:val="28"/>
          <w:lang w:val="es-MX"/>
        </w:rPr>
      </w:pPr>
    </w:p>
    <w:p w14:paraId="6A58DD85" w14:textId="77777777" w:rsidR="007E2F9F" w:rsidRDefault="007E2F9F" w:rsidP="007E2F9F">
      <w:pPr>
        <w:ind w:left="-284" w:right="-234"/>
        <w:jc w:val="both"/>
        <w:rPr>
          <w:rFonts w:ascii="Arial" w:hAnsi="Arial" w:cs="Arial"/>
          <w:b/>
          <w:sz w:val="28"/>
          <w:szCs w:val="28"/>
          <w:lang w:val="es-MX"/>
        </w:rPr>
      </w:pPr>
      <w:r w:rsidRPr="00DD2850">
        <w:rPr>
          <w:rFonts w:ascii="Arial" w:hAnsi="Arial" w:cs="Arial"/>
          <w:b/>
          <w:sz w:val="28"/>
          <w:szCs w:val="28"/>
          <w:lang w:val="es-MX"/>
        </w:rPr>
        <w:lastRenderedPageBreak/>
        <w:t>116.- ESCUELA SUPERIOR DE ADMINISTRACIÓN PÚBLICA - ESAP.</w:t>
      </w:r>
    </w:p>
    <w:p w14:paraId="5368C861"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5DC25C0"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9A121E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D3F21" w14:paraId="0BB8AE57" w14:textId="77777777" w:rsidTr="006548F8">
        <w:tc>
          <w:tcPr>
            <w:tcW w:w="3544" w:type="dxa"/>
          </w:tcPr>
          <w:p w14:paraId="559E44CD" w14:textId="77777777" w:rsidR="007E2F9F" w:rsidRPr="002D3F21" w:rsidRDefault="007E2F9F" w:rsidP="006548F8">
            <w:pPr>
              <w:ind w:left="1169" w:right="-1440"/>
              <w:rPr>
                <w:rFonts w:ascii="Arial" w:hAnsi="Arial" w:cs="Arial"/>
                <w:b/>
                <w:sz w:val="18"/>
                <w:szCs w:val="18"/>
                <w:lang w:val="es-ES_tradnl"/>
              </w:rPr>
            </w:pPr>
            <w:r w:rsidRPr="002D3F21">
              <w:rPr>
                <w:rFonts w:ascii="Arial" w:hAnsi="Arial" w:cs="Arial"/>
                <w:b/>
                <w:sz w:val="18"/>
                <w:szCs w:val="18"/>
                <w:lang w:val="es-ES_tradnl"/>
              </w:rPr>
              <w:t>TIPO DE GASTO</w:t>
            </w:r>
          </w:p>
        </w:tc>
        <w:tc>
          <w:tcPr>
            <w:tcW w:w="2354" w:type="dxa"/>
          </w:tcPr>
          <w:p w14:paraId="33C25AEB"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APROPIACIÓN</w:t>
            </w:r>
          </w:p>
          <w:p w14:paraId="4226B92B"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DEFINITIVA</w:t>
            </w:r>
          </w:p>
          <w:p w14:paraId="629A919E"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(1)</w:t>
            </w:r>
          </w:p>
          <w:p w14:paraId="5ED142EC" w14:textId="77777777" w:rsidR="007E2F9F" w:rsidRPr="002D3F21" w:rsidRDefault="007E2F9F" w:rsidP="006548F8">
            <w:pPr>
              <w:jc w:val="center"/>
              <w:rPr>
                <w:rFonts w:ascii="Arial" w:hAnsi="Arial" w:cs="Arial"/>
                <w:b/>
                <w:sz w:val="18"/>
                <w:szCs w:val="18"/>
                <w:lang w:val="es-ES_tradnl"/>
              </w:rPr>
            </w:pPr>
          </w:p>
        </w:tc>
        <w:tc>
          <w:tcPr>
            <w:tcW w:w="2354" w:type="dxa"/>
          </w:tcPr>
          <w:p w14:paraId="1D01407D" w14:textId="77777777" w:rsidR="007E2F9F" w:rsidRPr="002D3F21" w:rsidRDefault="007E2F9F" w:rsidP="006548F8">
            <w:pPr>
              <w:ind w:left="145" w:right="184"/>
              <w:jc w:val="center"/>
              <w:rPr>
                <w:rFonts w:ascii="Arial" w:hAnsi="Arial" w:cs="Arial"/>
                <w:b/>
                <w:sz w:val="18"/>
                <w:szCs w:val="18"/>
                <w:lang w:val="es-ES_tradnl"/>
              </w:rPr>
            </w:pPr>
            <w:r w:rsidRPr="002D3F21">
              <w:rPr>
                <w:rFonts w:ascii="Arial" w:hAnsi="Arial" w:cs="Arial"/>
                <w:b/>
                <w:sz w:val="18"/>
                <w:szCs w:val="18"/>
                <w:lang w:val="es-ES_tradnl"/>
              </w:rPr>
              <w:t>EJECUCIÓN</w:t>
            </w:r>
          </w:p>
          <w:p w14:paraId="5413AC56"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COMPROMISOS</w:t>
            </w:r>
          </w:p>
          <w:p w14:paraId="11C75089"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(2)</w:t>
            </w:r>
          </w:p>
        </w:tc>
        <w:tc>
          <w:tcPr>
            <w:tcW w:w="2238" w:type="dxa"/>
          </w:tcPr>
          <w:p w14:paraId="266963D3" w14:textId="77777777" w:rsidR="007E2F9F" w:rsidRPr="002D3F21" w:rsidRDefault="007E2F9F" w:rsidP="006548F8">
            <w:pPr>
              <w:ind w:left="25" w:right="34"/>
              <w:jc w:val="center"/>
              <w:rPr>
                <w:rFonts w:ascii="Arial" w:hAnsi="Arial" w:cs="Arial"/>
                <w:b/>
                <w:sz w:val="18"/>
                <w:szCs w:val="18"/>
                <w:lang w:val="es-ES_tradnl"/>
              </w:rPr>
            </w:pPr>
            <w:r w:rsidRPr="002D3F21">
              <w:rPr>
                <w:rFonts w:ascii="Arial" w:hAnsi="Arial" w:cs="Arial"/>
                <w:b/>
                <w:sz w:val="18"/>
                <w:szCs w:val="18"/>
                <w:lang w:val="es-ES_tradnl"/>
              </w:rPr>
              <w:t>PÉRDIDAS DE</w:t>
            </w:r>
          </w:p>
          <w:p w14:paraId="34275724"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APROPIACIÓN</w:t>
            </w:r>
          </w:p>
          <w:p w14:paraId="6446D079"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3 = (1-2)</w:t>
            </w:r>
          </w:p>
        </w:tc>
      </w:tr>
      <w:tr w:rsidR="007E2F9F" w:rsidRPr="002D3F21" w14:paraId="6EADACBB" w14:textId="77777777" w:rsidTr="006548F8">
        <w:trPr>
          <w:trHeight w:val="230"/>
        </w:trPr>
        <w:tc>
          <w:tcPr>
            <w:tcW w:w="3544" w:type="dxa"/>
          </w:tcPr>
          <w:p w14:paraId="47050729"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center"/>
          </w:tcPr>
          <w:p w14:paraId="26F09BA5" w14:textId="77777777" w:rsidR="007E2F9F" w:rsidRPr="002D3F21" w:rsidRDefault="007E2F9F" w:rsidP="006548F8">
            <w:pPr>
              <w:jc w:val="right"/>
              <w:rPr>
                <w:rFonts w:ascii="Arial" w:eastAsia="Calibri" w:hAnsi="Arial" w:cs="Arial"/>
                <w:b/>
                <w:bCs/>
                <w:sz w:val="18"/>
                <w:szCs w:val="18"/>
                <w:lang w:val="es-CO"/>
              </w:rPr>
            </w:pPr>
            <w:r w:rsidRPr="002D3F21">
              <w:rPr>
                <w:rFonts w:ascii="Arial" w:hAnsi="Arial" w:cs="Arial"/>
                <w:b/>
                <w:bCs/>
                <w:sz w:val="18"/>
                <w:szCs w:val="18"/>
              </w:rPr>
              <w:t xml:space="preserve"> 138.722.971</w:t>
            </w:r>
          </w:p>
        </w:tc>
        <w:tc>
          <w:tcPr>
            <w:tcW w:w="2354" w:type="dxa"/>
            <w:vAlign w:val="center"/>
          </w:tcPr>
          <w:p w14:paraId="778FC40F"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sz w:val="18"/>
                <w:szCs w:val="18"/>
              </w:rPr>
              <w:t xml:space="preserve">     116.231.581</w:t>
            </w:r>
          </w:p>
        </w:tc>
        <w:tc>
          <w:tcPr>
            <w:tcW w:w="2238" w:type="dxa"/>
            <w:vAlign w:val="center"/>
          </w:tcPr>
          <w:p w14:paraId="6161595A"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sz w:val="18"/>
                <w:szCs w:val="18"/>
              </w:rPr>
              <w:t xml:space="preserve">  </w:t>
            </w:r>
            <w:r w:rsidRPr="002D3F21">
              <w:rPr>
                <w:rFonts w:ascii="Arial" w:hAnsi="Arial" w:cs="Arial"/>
                <w:b/>
                <w:bCs/>
                <w:sz w:val="18"/>
                <w:szCs w:val="18"/>
              </w:rPr>
              <w:t xml:space="preserve"> 22.491.390</w:t>
            </w:r>
          </w:p>
        </w:tc>
      </w:tr>
      <w:tr w:rsidR="007E2F9F" w:rsidRPr="002D3F21" w14:paraId="4B37393F" w14:textId="77777777" w:rsidTr="006548F8">
        <w:tc>
          <w:tcPr>
            <w:tcW w:w="3544" w:type="dxa"/>
          </w:tcPr>
          <w:p w14:paraId="17C87660"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tcPr>
          <w:p w14:paraId="0071FED8"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sz w:val="18"/>
                <w:szCs w:val="18"/>
              </w:rPr>
              <w:t>252.589.819</w:t>
            </w:r>
          </w:p>
        </w:tc>
        <w:tc>
          <w:tcPr>
            <w:tcW w:w="2354" w:type="dxa"/>
          </w:tcPr>
          <w:p w14:paraId="304A6043"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sz w:val="18"/>
                <w:szCs w:val="18"/>
              </w:rPr>
              <w:t>240.435.923</w:t>
            </w:r>
          </w:p>
        </w:tc>
        <w:tc>
          <w:tcPr>
            <w:tcW w:w="2238" w:type="dxa"/>
          </w:tcPr>
          <w:p w14:paraId="305BC23C"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bCs/>
                <w:sz w:val="18"/>
                <w:szCs w:val="18"/>
              </w:rPr>
              <w:t>12.153.895</w:t>
            </w:r>
          </w:p>
        </w:tc>
      </w:tr>
      <w:tr w:rsidR="007E2F9F" w:rsidRPr="002D3F21" w14:paraId="32F052F7" w14:textId="77777777" w:rsidTr="006548F8">
        <w:tc>
          <w:tcPr>
            <w:tcW w:w="3544" w:type="dxa"/>
          </w:tcPr>
          <w:p w14:paraId="209C05FC"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TOTAL PÉRDIDAS DE APROPIACIÓN</w:t>
            </w:r>
          </w:p>
        </w:tc>
        <w:tc>
          <w:tcPr>
            <w:tcW w:w="2354" w:type="dxa"/>
          </w:tcPr>
          <w:p w14:paraId="1C9E597C"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sz w:val="18"/>
                <w:szCs w:val="18"/>
              </w:rPr>
              <w:t>391.312.789</w:t>
            </w:r>
          </w:p>
        </w:tc>
        <w:tc>
          <w:tcPr>
            <w:tcW w:w="2354" w:type="dxa"/>
          </w:tcPr>
          <w:p w14:paraId="01DBA1B9"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sz w:val="18"/>
                <w:szCs w:val="18"/>
              </w:rPr>
              <w:t>356.667.504</w:t>
            </w:r>
          </w:p>
        </w:tc>
        <w:tc>
          <w:tcPr>
            <w:tcW w:w="2238" w:type="dxa"/>
          </w:tcPr>
          <w:p w14:paraId="61D7E81C"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bCs/>
                <w:sz w:val="18"/>
                <w:szCs w:val="18"/>
                <w:u w:val="single"/>
              </w:rPr>
              <w:t>34.645.285</w:t>
            </w:r>
          </w:p>
        </w:tc>
      </w:tr>
    </w:tbl>
    <w:p w14:paraId="48ABA193" w14:textId="77777777" w:rsidR="007E2F9F" w:rsidRDefault="007E2F9F" w:rsidP="007E2F9F">
      <w:pPr>
        <w:ind w:left="-284" w:right="-234"/>
        <w:jc w:val="both"/>
        <w:rPr>
          <w:rFonts w:ascii="Arial" w:hAnsi="Arial" w:cs="Arial"/>
          <w:b/>
          <w:sz w:val="28"/>
          <w:szCs w:val="28"/>
          <w:lang w:val="es-MX"/>
        </w:rPr>
      </w:pPr>
    </w:p>
    <w:p w14:paraId="7B62680E" w14:textId="77777777" w:rsidR="007E2F9F" w:rsidRPr="00642A55" w:rsidRDefault="007E2F9F" w:rsidP="007E2F9F">
      <w:pPr>
        <w:ind w:left="-284" w:right="-234"/>
        <w:jc w:val="both"/>
        <w:rPr>
          <w:rFonts w:ascii="Arial" w:hAnsi="Arial" w:cs="Arial"/>
          <w:b/>
          <w:sz w:val="28"/>
          <w:szCs w:val="28"/>
          <w:lang w:val="es-MX"/>
        </w:rPr>
      </w:pPr>
      <w:r w:rsidRPr="00642A55">
        <w:rPr>
          <w:rFonts w:ascii="Arial" w:hAnsi="Arial" w:cs="Arial"/>
          <w:b/>
          <w:sz w:val="28"/>
          <w:szCs w:val="28"/>
          <w:lang w:val="es-MX"/>
        </w:rPr>
        <w:t>118.- CORPORACIÓN PARA EL DESARROLLO SOSTENIBLES DEL ARCHIPIELAGO DE SAN ANDRÉS, PROVIDENCIA Y SANTA CATALINA - CORALINA.</w:t>
      </w:r>
    </w:p>
    <w:p w14:paraId="093ED142" w14:textId="77777777" w:rsidR="007E2F9F" w:rsidRDefault="007E2F9F" w:rsidP="007E2F9F">
      <w:pPr>
        <w:ind w:left="-284" w:right="-234"/>
        <w:jc w:val="both"/>
        <w:rPr>
          <w:rFonts w:ascii="Arial" w:hAnsi="Arial" w:cs="Arial"/>
          <w:b/>
          <w:bCs/>
          <w:sz w:val="28"/>
          <w:szCs w:val="28"/>
          <w:lang w:val="es-MX"/>
        </w:rPr>
      </w:pPr>
    </w:p>
    <w:p w14:paraId="49EE814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5DE36D3E"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8E2D08A"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D3F21" w14:paraId="74DB4BB5" w14:textId="77777777" w:rsidTr="006548F8">
        <w:tc>
          <w:tcPr>
            <w:tcW w:w="3544" w:type="dxa"/>
          </w:tcPr>
          <w:p w14:paraId="3067495A" w14:textId="77777777" w:rsidR="007E2F9F" w:rsidRPr="002D3F21" w:rsidRDefault="007E2F9F" w:rsidP="006548F8">
            <w:pPr>
              <w:ind w:left="1169" w:right="-1440"/>
              <w:rPr>
                <w:rFonts w:ascii="Arial" w:hAnsi="Arial" w:cs="Arial"/>
                <w:b/>
                <w:sz w:val="18"/>
                <w:szCs w:val="18"/>
                <w:lang w:val="es-ES_tradnl"/>
              </w:rPr>
            </w:pPr>
            <w:r w:rsidRPr="002D3F21">
              <w:rPr>
                <w:rFonts w:ascii="Arial" w:hAnsi="Arial" w:cs="Arial"/>
                <w:b/>
                <w:sz w:val="18"/>
                <w:szCs w:val="18"/>
                <w:lang w:val="es-ES_tradnl"/>
              </w:rPr>
              <w:t>TIPO DE GASTO</w:t>
            </w:r>
          </w:p>
        </w:tc>
        <w:tc>
          <w:tcPr>
            <w:tcW w:w="2354" w:type="dxa"/>
          </w:tcPr>
          <w:p w14:paraId="0575C80F"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APROPIACIÓN</w:t>
            </w:r>
          </w:p>
          <w:p w14:paraId="12888A12"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DEFINITIVA</w:t>
            </w:r>
          </w:p>
          <w:p w14:paraId="1B2584DF"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(1)</w:t>
            </w:r>
          </w:p>
          <w:p w14:paraId="0967188F" w14:textId="77777777" w:rsidR="007E2F9F" w:rsidRPr="002D3F21" w:rsidRDefault="007E2F9F" w:rsidP="006548F8">
            <w:pPr>
              <w:jc w:val="center"/>
              <w:rPr>
                <w:rFonts w:ascii="Arial" w:hAnsi="Arial" w:cs="Arial"/>
                <w:b/>
                <w:sz w:val="18"/>
                <w:szCs w:val="18"/>
                <w:lang w:val="es-ES_tradnl"/>
              </w:rPr>
            </w:pPr>
          </w:p>
        </w:tc>
        <w:tc>
          <w:tcPr>
            <w:tcW w:w="2354" w:type="dxa"/>
          </w:tcPr>
          <w:p w14:paraId="5325EC9B" w14:textId="77777777" w:rsidR="007E2F9F" w:rsidRPr="002D3F21" w:rsidRDefault="007E2F9F" w:rsidP="006548F8">
            <w:pPr>
              <w:ind w:left="145" w:right="184"/>
              <w:jc w:val="center"/>
              <w:rPr>
                <w:rFonts w:ascii="Arial" w:hAnsi="Arial" w:cs="Arial"/>
                <w:b/>
                <w:sz w:val="18"/>
                <w:szCs w:val="18"/>
                <w:lang w:val="es-ES_tradnl"/>
              </w:rPr>
            </w:pPr>
            <w:r w:rsidRPr="002D3F21">
              <w:rPr>
                <w:rFonts w:ascii="Arial" w:hAnsi="Arial" w:cs="Arial"/>
                <w:b/>
                <w:sz w:val="18"/>
                <w:szCs w:val="18"/>
                <w:lang w:val="es-ES_tradnl"/>
              </w:rPr>
              <w:t>EJECUCIÓN</w:t>
            </w:r>
          </w:p>
          <w:p w14:paraId="70F2DB29"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COMPROMISOS</w:t>
            </w:r>
          </w:p>
          <w:p w14:paraId="2FCEA078"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(2)</w:t>
            </w:r>
          </w:p>
        </w:tc>
        <w:tc>
          <w:tcPr>
            <w:tcW w:w="2238" w:type="dxa"/>
          </w:tcPr>
          <w:p w14:paraId="24EED6B7" w14:textId="77777777" w:rsidR="007E2F9F" w:rsidRPr="002D3F21" w:rsidRDefault="007E2F9F" w:rsidP="006548F8">
            <w:pPr>
              <w:ind w:left="25" w:right="34"/>
              <w:jc w:val="center"/>
              <w:rPr>
                <w:rFonts w:ascii="Arial" w:hAnsi="Arial" w:cs="Arial"/>
                <w:b/>
                <w:sz w:val="18"/>
                <w:szCs w:val="18"/>
                <w:lang w:val="es-ES_tradnl"/>
              </w:rPr>
            </w:pPr>
            <w:r w:rsidRPr="002D3F21">
              <w:rPr>
                <w:rFonts w:ascii="Arial" w:hAnsi="Arial" w:cs="Arial"/>
                <w:b/>
                <w:sz w:val="18"/>
                <w:szCs w:val="18"/>
                <w:lang w:val="es-ES_tradnl"/>
              </w:rPr>
              <w:t>PÉRDIDAS DE</w:t>
            </w:r>
          </w:p>
          <w:p w14:paraId="79AFEA04"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APROPIACIÓN</w:t>
            </w:r>
          </w:p>
          <w:p w14:paraId="6CB19CDA"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3 = (1-2)</w:t>
            </w:r>
          </w:p>
        </w:tc>
      </w:tr>
      <w:tr w:rsidR="007E2F9F" w:rsidRPr="002D3F21" w14:paraId="598B289A" w14:textId="77777777" w:rsidTr="006548F8">
        <w:trPr>
          <w:trHeight w:val="230"/>
        </w:trPr>
        <w:tc>
          <w:tcPr>
            <w:tcW w:w="3544" w:type="dxa"/>
          </w:tcPr>
          <w:p w14:paraId="1BF449FB"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center"/>
          </w:tcPr>
          <w:p w14:paraId="05C6D2F7" w14:textId="77777777" w:rsidR="007E2F9F" w:rsidRPr="002D3F21" w:rsidRDefault="007E2F9F" w:rsidP="006548F8">
            <w:pPr>
              <w:jc w:val="right"/>
              <w:rPr>
                <w:rFonts w:ascii="Arial" w:eastAsia="Calibri" w:hAnsi="Arial" w:cs="Arial"/>
                <w:b/>
                <w:bCs/>
                <w:sz w:val="18"/>
                <w:szCs w:val="18"/>
                <w:lang w:val="es-CO"/>
              </w:rPr>
            </w:pPr>
            <w:r w:rsidRPr="002D3F21">
              <w:rPr>
                <w:rFonts w:ascii="Arial" w:eastAsia="Times New Roman" w:hAnsi="Arial" w:cs="Arial"/>
                <w:b/>
                <w:bCs/>
                <w:color w:val="000000"/>
                <w:sz w:val="18"/>
                <w:szCs w:val="18"/>
                <w:lang w:val="es-CO"/>
              </w:rPr>
              <w:t xml:space="preserve">       3.761.947</w:t>
            </w:r>
          </w:p>
        </w:tc>
        <w:tc>
          <w:tcPr>
            <w:tcW w:w="2354" w:type="dxa"/>
            <w:vAlign w:val="center"/>
          </w:tcPr>
          <w:p w14:paraId="37980AB9" w14:textId="77777777" w:rsidR="007E2F9F" w:rsidRPr="002D3F21" w:rsidRDefault="007E2F9F" w:rsidP="006548F8">
            <w:pPr>
              <w:pStyle w:val="Prrafodelista"/>
              <w:ind w:left="0"/>
              <w:jc w:val="right"/>
              <w:rPr>
                <w:rFonts w:ascii="Arial" w:hAnsi="Arial" w:cs="Arial"/>
                <w:b/>
                <w:bCs/>
                <w:sz w:val="18"/>
                <w:szCs w:val="18"/>
              </w:rPr>
            </w:pPr>
            <w:r w:rsidRPr="002D3F21">
              <w:rPr>
                <w:rFonts w:ascii="Arial" w:eastAsia="Times New Roman" w:hAnsi="Arial" w:cs="Arial"/>
                <w:b/>
                <w:bCs/>
                <w:color w:val="000000"/>
                <w:sz w:val="18"/>
                <w:szCs w:val="18"/>
                <w:lang w:val="es-CO"/>
              </w:rPr>
              <w:t xml:space="preserve">       3.746.676</w:t>
            </w:r>
          </w:p>
        </w:tc>
        <w:tc>
          <w:tcPr>
            <w:tcW w:w="2238" w:type="dxa"/>
            <w:vAlign w:val="center"/>
          </w:tcPr>
          <w:p w14:paraId="5EE02F80" w14:textId="77777777" w:rsidR="007E2F9F" w:rsidRPr="002D3F21" w:rsidRDefault="007E2F9F" w:rsidP="006548F8">
            <w:pPr>
              <w:pStyle w:val="Prrafodelista"/>
              <w:ind w:left="0"/>
              <w:jc w:val="right"/>
              <w:rPr>
                <w:rFonts w:ascii="Arial" w:hAnsi="Arial" w:cs="Arial"/>
                <w:b/>
                <w:bCs/>
                <w:sz w:val="18"/>
                <w:szCs w:val="18"/>
              </w:rPr>
            </w:pPr>
            <w:r w:rsidRPr="002D3F21">
              <w:rPr>
                <w:rFonts w:ascii="Arial" w:eastAsia="Times New Roman" w:hAnsi="Arial" w:cs="Arial"/>
                <w:b/>
                <w:bCs/>
                <w:color w:val="000000"/>
                <w:sz w:val="18"/>
                <w:szCs w:val="18"/>
                <w:lang w:val="es-CO"/>
              </w:rPr>
              <w:t xml:space="preserve">           15.271</w:t>
            </w:r>
          </w:p>
        </w:tc>
      </w:tr>
      <w:tr w:rsidR="007E2F9F" w:rsidRPr="002D3F21" w14:paraId="260E6AFD" w14:textId="77777777" w:rsidTr="006548F8">
        <w:tc>
          <w:tcPr>
            <w:tcW w:w="3544" w:type="dxa"/>
          </w:tcPr>
          <w:p w14:paraId="4AA17363"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vAlign w:val="center"/>
          </w:tcPr>
          <w:p w14:paraId="2ED475D5" w14:textId="77777777" w:rsidR="007E2F9F" w:rsidRPr="002D3F21" w:rsidRDefault="007E2F9F" w:rsidP="006548F8">
            <w:pPr>
              <w:pStyle w:val="Prrafodelista"/>
              <w:ind w:left="0"/>
              <w:jc w:val="right"/>
              <w:rPr>
                <w:rFonts w:ascii="Arial" w:hAnsi="Arial" w:cs="Arial"/>
                <w:b/>
                <w:bCs/>
                <w:sz w:val="18"/>
                <w:szCs w:val="18"/>
              </w:rPr>
            </w:pPr>
            <w:r w:rsidRPr="002D3F21">
              <w:rPr>
                <w:rFonts w:ascii="Arial" w:eastAsia="Times New Roman" w:hAnsi="Arial" w:cs="Arial"/>
                <w:b/>
                <w:bCs/>
                <w:color w:val="000000"/>
                <w:sz w:val="18"/>
                <w:szCs w:val="18"/>
                <w:lang w:val="es-CO"/>
              </w:rPr>
              <w:t xml:space="preserve">       5.882.210 </w:t>
            </w:r>
          </w:p>
        </w:tc>
        <w:tc>
          <w:tcPr>
            <w:tcW w:w="2354" w:type="dxa"/>
            <w:vAlign w:val="center"/>
          </w:tcPr>
          <w:p w14:paraId="27B93031" w14:textId="77777777" w:rsidR="007E2F9F" w:rsidRPr="002D3F21" w:rsidRDefault="007E2F9F" w:rsidP="006548F8">
            <w:pPr>
              <w:pStyle w:val="Prrafodelista"/>
              <w:ind w:left="0"/>
              <w:jc w:val="right"/>
              <w:rPr>
                <w:rFonts w:ascii="Arial" w:hAnsi="Arial" w:cs="Arial"/>
                <w:b/>
                <w:bCs/>
                <w:sz w:val="18"/>
                <w:szCs w:val="18"/>
              </w:rPr>
            </w:pPr>
            <w:r w:rsidRPr="002D3F21">
              <w:rPr>
                <w:rFonts w:ascii="Arial" w:eastAsia="Times New Roman" w:hAnsi="Arial" w:cs="Arial"/>
                <w:b/>
                <w:bCs/>
                <w:color w:val="000000"/>
                <w:sz w:val="18"/>
                <w:szCs w:val="18"/>
                <w:lang w:val="es-CO"/>
              </w:rPr>
              <w:t xml:space="preserve">       5.834.859 </w:t>
            </w:r>
          </w:p>
        </w:tc>
        <w:tc>
          <w:tcPr>
            <w:tcW w:w="2238" w:type="dxa"/>
            <w:vAlign w:val="center"/>
          </w:tcPr>
          <w:p w14:paraId="067A8A0B" w14:textId="77777777" w:rsidR="007E2F9F" w:rsidRPr="002D3F21" w:rsidRDefault="007E2F9F" w:rsidP="006548F8">
            <w:pPr>
              <w:pStyle w:val="Prrafodelista"/>
              <w:ind w:left="0"/>
              <w:jc w:val="right"/>
              <w:rPr>
                <w:rFonts w:ascii="Arial" w:hAnsi="Arial" w:cs="Arial"/>
                <w:b/>
                <w:bCs/>
                <w:sz w:val="18"/>
                <w:szCs w:val="18"/>
              </w:rPr>
            </w:pPr>
            <w:r w:rsidRPr="002D3F21">
              <w:rPr>
                <w:rFonts w:ascii="Arial" w:eastAsia="Times New Roman" w:hAnsi="Arial" w:cs="Arial"/>
                <w:b/>
                <w:bCs/>
                <w:color w:val="000000"/>
                <w:sz w:val="18"/>
                <w:szCs w:val="18"/>
                <w:lang w:val="es-CO"/>
              </w:rPr>
              <w:t xml:space="preserve">           47.351 </w:t>
            </w:r>
          </w:p>
        </w:tc>
      </w:tr>
      <w:tr w:rsidR="007E2F9F" w:rsidRPr="002D3F21" w14:paraId="28CDA09C" w14:textId="77777777" w:rsidTr="006548F8">
        <w:tc>
          <w:tcPr>
            <w:tcW w:w="3544" w:type="dxa"/>
          </w:tcPr>
          <w:p w14:paraId="122B3F15"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TOTAL PÉRDIDAS DE APROPIACIÓN</w:t>
            </w:r>
          </w:p>
        </w:tc>
        <w:tc>
          <w:tcPr>
            <w:tcW w:w="2354" w:type="dxa"/>
            <w:vAlign w:val="center"/>
          </w:tcPr>
          <w:p w14:paraId="201FD3EF"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eastAsia="Times New Roman" w:hAnsi="Arial" w:cs="Arial"/>
                <w:b/>
                <w:bCs/>
                <w:color w:val="000000"/>
                <w:sz w:val="18"/>
                <w:szCs w:val="18"/>
                <w:lang w:val="es-CO"/>
              </w:rPr>
              <w:t xml:space="preserve">       9.644.157</w:t>
            </w:r>
          </w:p>
        </w:tc>
        <w:tc>
          <w:tcPr>
            <w:tcW w:w="2354" w:type="dxa"/>
            <w:vAlign w:val="center"/>
          </w:tcPr>
          <w:p w14:paraId="0012405C"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eastAsia="Times New Roman" w:hAnsi="Arial" w:cs="Arial"/>
                <w:b/>
                <w:bCs/>
                <w:color w:val="000000"/>
                <w:sz w:val="18"/>
                <w:szCs w:val="18"/>
                <w:lang w:val="es-CO"/>
              </w:rPr>
              <w:t xml:space="preserve">       9.581.535</w:t>
            </w:r>
          </w:p>
        </w:tc>
        <w:tc>
          <w:tcPr>
            <w:tcW w:w="2238" w:type="dxa"/>
            <w:vAlign w:val="center"/>
          </w:tcPr>
          <w:p w14:paraId="573BB64E"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eastAsia="Times New Roman" w:hAnsi="Arial" w:cs="Arial"/>
                <w:b/>
                <w:bCs/>
                <w:color w:val="000000"/>
                <w:sz w:val="18"/>
                <w:szCs w:val="18"/>
                <w:u w:val="single"/>
                <w:lang w:val="es-CO"/>
              </w:rPr>
              <w:t xml:space="preserve">62.622           </w:t>
            </w:r>
          </w:p>
        </w:tc>
      </w:tr>
    </w:tbl>
    <w:p w14:paraId="739752B7" w14:textId="77777777" w:rsidR="007E2F9F" w:rsidRDefault="007E2F9F" w:rsidP="007E2F9F">
      <w:pPr>
        <w:ind w:left="-284" w:right="-234"/>
        <w:jc w:val="both"/>
        <w:rPr>
          <w:rFonts w:ascii="Arial" w:hAnsi="Arial" w:cs="Arial"/>
          <w:b/>
          <w:sz w:val="28"/>
          <w:szCs w:val="28"/>
          <w:lang w:val="es-MX"/>
        </w:rPr>
      </w:pPr>
    </w:p>
    <w:p w14:paraId="0F4D32B7" w14:textId="77777777" w:rsidR="007E2F9F" w:rsidRDefault="007E2F9F" w:rsidP="007E2F9F">
      <w:pPr>
        <w:ind w:left="-284" w:right="-234"/>
        <w:jc w:val="both"/>
        <w:rPr>
          <w:rFonts w:ascii="Arial" w:hAnsi="Arial" w:cs="Arial"/>
          <w:b/>
          <w:sz w:val="28"/>
          <w:szCs w:val="28"/>
          <w:lang w:val="es-MX"/>
        </w:rPr>
      </w:pPr>
      <w:r w:rsidRPr="00ED54D5">
        <w:rPr>
          <w:rFonts w:ascii="Arial" w:hAnsi="Arial" w:cs="Arial"/>
          <w:b/>
          <w:sz w:val="28"/>
          <w:szCs w:val="28"/>
          <w:lang w:val="es-MX"/>
        </w:rPr>
        <w:t xml:space="preserve">121.- INSTITUTO NACIONAL DE FORMACIÓN TÉCNICA PROFESIONAL DE SAN JUAN DEL CESAR LA GUAJIRA – INFOTEP. </w:t>
      </w:r>
    </w:p>
    <w:p w14:paraId="1F9F5041" w14:textId="77777777" w:rsidR="007E2F9F" w:rsidRDefault="007E2F9F" w:rsidP="007E2F9F">
      <w:pPr>
        <w:ind w:left="-284" w:right="-234"/>
        <w:jc w:val="both"/>
        <w:rPr>
          <w:rFonts w:ascii="Arial" w:hAnsi="Arial" w:cs="Arial"/>
          <w:b/>
          <w:sz w:val="28"/>
          <w:szCs w:val="28"/>
          <w:lang w:val="es-MX"/>
        </w:rPr>
      </w:pPr>
    </w:p>
    <w:p w14:paraId="3DD682D0"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9653E0D"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C0A666A"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D3F21" w14:paraId="5D937AF9" w14:textId="77777777" w:rsidTr="006548F8">
        <w:tc>
          <w:tcPr>
            <w:tcW w:w="3544" w:type="dxa"/>
          </w:tcPr>
          <w:p w14:paraId="6607EDB6" w14:textId="77777777" w:rsidR="007E2F9F" w:rsidRPr="002D3F21" w:rsidRDefault="007E2F9F" w:rsidP="006548F8">
            <w:pPr>
              <w:ind w:left="1169" w:right="-1440"/>
              <w:rPr>
                <w:rFonts w:ascii="Arial" w:hAnsi="Arial" w:cs="Arial"/>
                <w:b/>
                <w:sz w:val="18"/>
                <w:szCs w:val="18"/>
                <w:lang w:val="es-ES_tradnl"/>
              </w:rPr>
            </w:pPr>
            <w:r w:rsidRPr="002D3F21">
              <w:rPr>
                <w:rFonts w:ascii="Arial" w:hAnsi="Arial" w:cs="Arial"/>
                <w:b/>
                <w:sz w:val="18"/>
                <w:szCs w:val="18"/>
                <w:lang w:val="es-ES_tradnl"/>
              </w:rPr>
              <w:t>TIPO DE GASTO</w:t>
            </w:r>
          </w:p>
        </w:tc>
        <w:tc>
          <w:tcPr>
            <w:tcW w:w="2354" w:type="dxa"/>
          </w:tcPr>
          <w:p w14:paraId="59374D09"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APROPIACIÓN</w:t>
            </w:r>
          </w:p>
          <w:p w14:paraId="39933E04"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DEFINITIVA</w:t>
            </w:r>
          </w:p>
          <w:p w14:paraId="60BF00EF"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(1)</w:t>
            </w:r>
          </w:p>
          <w:p w14:paraId="1A93B6BB" w14:textId="77777777" w:rsidR="007E2F9F" w:rsidRPr="002D3F21" w:rsidRDefault="007E2F9F" w:rsidP="006548F8">
            <w:pPr>
              <w:jc w:val="center"/>
              <w:rPr>
                <w:rFonts w:ascii="Arial" w:hAnsi="Arial" w:cs="Arial"/>
                <w:b/>
                <w:sz w:val="18"/>
                <w:szCs w:val="18"/>
                <w:lang w:val="es-ES_tradnl"/>
              </w:rPr>
            </w:pPr>
          </w:p>
        </w:tc>
        <w:tc>
          <w:tcPr>
            <w:tcW w:w="2354" w:type="dxa"/>
          </w:tcPr>
          <w:p w14:paraId="2FD5D89C" w14:textId="77777777" w:rsidR="007E2F9F" w:rsidRPr="002D3F21" w:rsidRDefault="007E2F9F" w:rsidP="006548F8">
            <w:pPr>
              <w:ind w:left="145" w:right="184"/>
              <w:jc w:val="center"/>
              <w:rPr>
                <w:rFonts w:ascii="Arial" w:hAnsi="Arial" w:cs="Arial"/>
                <w:b/>
                <w:sz w:val="18"/>
                <w:szCs w:val="18"/>
                <w:lang w:val="es-ES_tradnl"/>
              </w:rPr>
            </w:pPr>
            <w:r w:rsidRPr="002D3F21">
              <w:rPr>
                <w:rFonts w:ascii="Arial" w:hAnsi="Arial" w:cs="Arial"/>
                <w:b/>
                <w:sz w:val="18"/>
                <w:szCs w:val="18"/>
                <w:lang w:val="es-ES_tradnl"/>
              </w:rPr>
              <w:t>EJECUCIÓN</w:t>
            </w:r>
          </w:p>
          <w:p w14:paraId="39E3A6BF"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COMPROMISOS</w:t>
            </w:r>
          </w:p>
          <w:p w14:paraId="6D80D190"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(2)</w:t>
            </w:r>
          </w:p>
        </w:tc>
        <w:tc>
          <w:tcPr>
            <w:tcW w:w="2238" w:type="dxa"/>
          </w:tcPr>
          <w:p w14:paraId="01F47BE6" w14:textId="77777777" w:rsidR="007E2F9F" w:rsidRPr="002D3F21" w:rsidRDefault="007E2F9F" w:rsidP="006548F8">
            <w:pPr>
              <w:ind w:left="25" w:right="34"/>
              <w:jc w:val="center"/>
              <w:rPr>
                <w:rFonts w:ascii="Arial" w:hAnsi="Arial" w:cs="Arial"/>
                <w:b/>
                <w:sz w:val="18"/>
                <w:szCs w:val="18"/>
                <w:lang w:val="es-ES_tradnl"/>
              </w:rPr>
            </w:pPr>
            <w:r w:rsidRPr="002D3F21">
              <w:rPr>
                <w:rFonts w:ascii="Arial" w:hAnsi="Arial" w:cs="Arial"/>
                <w:b/>
                <w:sz w:val="18"/>
                <w:szCs w:val="18"/>
                <w:lang w:val="es-ES_tradnl"/>
              </w:rPr>
              <w:t>PÉRDIDAS DE</w:t>
            </w:r>
          </w:p>
          <w:p w14:paraId="1B41E054"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APROPIACIÓN</w:t>
            </w:r>
          </w:p>
          <w:p w14:paraId="4947ABB8"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3 = (1-2)</w:t>
            </w:r>
          </w:p>
        </w:tc>
      </w:tr>
      <w:tr w:rsidR="007E2F9F" w:rsidRPr="002D3F21" w14:paraId="04F355AA" w14:textId="77777777" w:rsidTr="006548F8">
        <w:trPr>
          <w:trHeight w:val="230"/>
        </w:trPr>
        <w:tc>
          <w:tcPr>
            <w:tcW w:w="3544" w:type="dxa"/>
          </w:tcPr>
          <w:p w14:paraId="7DE18715"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bottom"/>
          </w:tcPr>
          <w:p w14:paraId="50082EA8" w14:textId="77777777" w:rsidR="007E2F9F" w:rsidRPr="002D3F21" w:rsidRDefault="007E2F9F" w:rsidP="006548F8">
            <w:pPr>
              <w:jc w:val="right"/>
              <w:rPr>
                <w:rFonts w:ascii="Arial" w:eastAsia="Calibri" w:hAnsi="Arial" w:cs="Arial"/>
                <w:b/>
                <w:bCs/>
                <w:sz w:val="18"/>
                <w:szCs w:val="18"/>
                <w:lang w:val="es-CO"/>
              </w:rPr>
            </w:pPr>
            <w:r w:rsidRPr="002D3F21">
              <w:rPr>
                <w:rFonts w:ascii="Arial" w:hAnsi="Arial" w:cs="Arial"/>
                <w:b/>
                <w:color w:val="000000"/>
                <w:sz w:val="18"/>
                <w:szCs w:val="18"/>
              </w:rPr>
              <w:t>10.607.387</w:t>
            </w:r>
          </w:p>
        </w:tc>
        <w:tc>
          <w:tcPr>
            <w:tcW w:w="2354" w:type="dxa"/>
            <w:vAlign w:val="bottom"/>
          </w:tcPr>
          <w:p w14:paraId="64F2D0F3"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8"/>
                <w:szCs w:val="18"/>
              </w:rPr>
              <w:t>10.606.753</w:t>
            </w:r>
          </w:p>
        </w:tc>
        <w:tc>
          <w:tcPr>
            <w:tcW w:w="2238" w:type="dxa"/>
            <w:vAlign w:val="bottom"/>
          </w:tcPr>
          <w:p w14:paraId="5246E606"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8"/>
                <w:szCs w:val="18"/>
              </w:rPr>
              <w:t>634</w:t>
            </w:r>
          </w:p>
        </w:tc>
      </w:tr>
      <w:tr w:rsidR="007E2F9F" w:rsidRPr="002D3F21" w14:paraId="450B8417" w14:textId="77777777" w:rsidTr="006548F8">
        <w:tc>
          <w:tcPr>
            <w:tcW w:w="3544" w:type="dxa"/>
          </w:tcPr>
          <w:p w14:paraId="062A1A4D"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vAlign w:val="bottom"/>
          </w:tcPr>
          <w:p w14:paraId="183FB0A6"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8"/>
                <w:szCs w:val="18"/>
              </w:rPr>
              <w:t>22.258.184</w:t>
            </w:r>
          </w:p>
        </w:tc>
        <w:tc>
          <w:tcPr>
            <w:tcW w:w="2354" w:type="dxa"/>
            <w:vAlign w:val="bottom"/>
          </w:tcPr>
          <w:p w14:paraId="5E689E61"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8"/>
                <w:szCs w:val="18"/>
              </w:rPr>
              <w:t>22.252.727</w:t>
            </w:r>
          </w:p>
        </w:tc>
        <w:tc>
          <w:tcPr>
            <w:tcW w:w="2238" w:type="dxa"/>
            <w:vAlign w:val="bottom"/>
          </w:tcPr>
          <w:p w14:paraId="6E90D36A"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8"/>
                <w:szCs w:val="18"/>
              </w:rPr>
              <w:t>5.457</w:t>
            </w:r>
          </w:p>
        </w:tc>
      </w:tr>
      <w:tr w:rsidR="007E2F9F" w:rsidRPr="002D3F21" w14:paraId="5BEA8083" w14:textId="77777777" w:rsidTr="006548F8">
        <w:tc>
          <w:tcPr>
            <w:tcW w:w="3544" w:type="dxa"/>
          </w:tcPr>
          <w:p w14:paraId="65D7467D"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TOTAL PÉRDIDAS DE APROPIACIÓN</w:t>
            </w:r>
          </w:p>
        </w:tc>
        <w:tc>
          <w:tcPr>
            <w:tcW w:w="2354" w:type="dxa"/>
            <w:vAlign w:val="bottom"/>
          </w:tcPr>
          <w:p w14:paraId="0EB804FA"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color w:val="000000"/>
                <w:sz w:val="18"/>
                <w:szCs w:val="18"/>
              </w:rPr>
              <w:t>10.607.387</w:t>
            </w:r>
          </w:p>
        </w:tc>
        <w:tc>
          <w:tcPr>
            <w:tcW w:w="2354" w:type="dxa"/>
            <w:vAlign w:val="bottom"/>
          </w:tcPr>
          <w:p w14:paraId="44A39CF3"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color w:val="000000"/>
                <w:sz w:val="18"/>
                <w:szCs w:val="18"/>
              </w:rPr>
              <w:t>10.606.753</w:t>
            </w:r>
          </w:p>
        </w:tc>
        <w:tc>
          <w:tcPr>
            <w:tcW w:w="2238" w:type="dxa"/>
            <w:vAlign w:val="bottom"/>
          </w:tcPr>
          <w:p w14:paraId="53C8DD9C"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color w:val="000000"/>
                <w:sz w:val="18"/>
                <w:szCs w:val="18"/>
                <w:u w:val="single"/>
              </w:rPr>
              <w:t>634</w:t>
            </w:r>
          </w:p>
        </w:tc>
      </w:tr>
    </w:tbl>
    <w:p w14:paraId="4E510F6F" w14:textId="77777777" w:rsidR="007E2F9F" w:rsidRDefault="007E2F9F" w:rsidP="007E2F9F">
      <w:pPr>
        <w:ind w:left="-284" w:right="-234"/>
        <w:jc w:val="both"/>
        <w:rPr>
          <w:rFonts w:ascii="Arial" w:hAnsi="Arial" w:cs="Arial"/>
          <w:b/>
          <w:sz w:val="28"/>
          <w:szCs w:val="28"/>
          <w:lang w:val="es-MX"/>
        </w:rPr>
      </w:pPr>
    </w:p>
    <w:p w14:paraId="16C9FA1B" w14:textId="77777777" w:rsidR="007E2F9F" w:rsidRPr="00C20C20" w:rsidRDefault="007E2F9F" w:rsidP="007E2F9F">
      <w:pPr>
        <w:ind w:left="-426" w:firstLine="142"/>
        <w:jc w:val="both"/>
        <w:rPr>
          <w:rFonts w:ascii="Arial" w:hAnsi="Arial" w:cs="Arial"/>
          <w:b/>
          <w:sz w:val="28"/>
          <w:szCs w:val="28"/>
          <w:lang w:val="es-MX"/>
        </w:rPr>
      </w:pPr>
      <w:r w:rsidRPr="00C20C20">
        <w:rPr>
          <w:rFonts w:ascii="Arial" w:hAnsi="Arial" w:cs="Arial"/>
          <w:b/>
          <w:sz w:val="28"/>
          <w:szCs w:val="28"/>
          <w:lang w:val="es-MX"/>
        </w:rPr>
        <w:t xml:space="preserve">122.- UNIDAD NACIONAL DE PROTECCIÓN – UNP. </w:t>
      </w:r>
    </w:p>
    <w:p w14:paraId="5D8C9D0C" w14:textId="77777777" w:rsidR="007E2F9F" w:rsidRDefault="007E2F9F" w:rsidP="007E2F9F">
      <w:pPr>
        <w:ind w:left="-284" w:right="-234"/>
        <w:jc w:val="both"/>
        <w:rPr>
          <w:rFonts w:ascii="Arial" w:hAnsi="Arial" w:cs="Arial"/>
          <w:b/>
          <w:sz w:val="28"/>
          <w:szCs w:val="28"/>
          <w:lang w:val="es-MX"/>
        </w:rPr>
      </w:pPr>
    </w:p>
    <w:p w14:paraId="7671BAE2"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41B7507"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C654A03"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D3F21" w14:paraId="22FC5D0B" w14:textId="77777777" w:rsidTr="006548F8">
        <w:tc>
          <w:tcPr>
            <w:tcW w:w="3544" w:type="dxa"/>
          </w:tcPr>
          <w:p w14:paraId="44D51EF8" w14:textId="77777777" w:rsidR="007E2F9F" w:rsidRPr="002D3F21" w:rsidRDefault="007E2F9F" w:rsidP="006548F8">
            <w:pPr>
              <w:ind w:left="1169" w:right="-1440"/>
              <w:rPr>
                <w:rFonts w:ascii="Arial" w:hAnsi="Arial" w:cs="Arial"/>
                <w:b/>
                <w:sz w:val="18"/>
                <w:szCs w:val="18"/>
                <w:lang w:val="es-ES_tradnl"/>
              </w:rPr>
            </w:pPr>
            <w:r w:rsidRPr="002D3F21">
              <w:rPr>
                <w:rFonts w:ascii="Arial" w:hAnsi="Arial" w:cs="Arial"/>
                <w:b/>
                <w:sz w:val="18"/>
                <w:szCs w:val="18"/>
                <w:lang w:val="es-ES_tradnl"/>
              </w:rPr>
              <w:t>TIPO DE GASTO</w:t>
            </w:r>
          </w:p>
        </w:tc>
        <w:tc>
          <w:tcPr>
            <w:tcW w:w="2354" w:type="dxa"/>
          </w:tcPr>
          <w:p w14:paraId="3F11EDAE"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APROPIACIÓN</w:t>
            </w:r>
          </w:p>
          <w:p w14:paraId="2DD80108"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DEFINITIVA</w:t>
            </w:r>
          </w:p>
          <w:p w14:paraId="52AC5B0F"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(1)</w:t>
            </w:r>
          </w:p>
          <w:p w14:paraId="392E2F68" w14:textId="77777777" w:rsidR="007E2F9F" w:rsidRPr="002D3F21" w:rsidRDefault="007E2F9F" w:rsidP="006548F8">
            <w:pPr>
              <w:jc w:val="center"/>
              <w:rPr>
                <w:rFonts w:ascii="Arial" w:hAnsi="Arial" w:cs="Arial"/>
                <w:b/>
                <w:sz w:val="18"/>
                <w:szCs w:val="18"/>
                <w:lang w:val="es-ES_tradnl"/>
              </w:rPr>
            </w:pPr>
          </w:p>
        </w:tc>
        <w:tc>
          <w:tcPr>
            <w:tcW w:w="2354" w:type="dxa"/>
          </w:tcPr>
          <w:p w14:paraId="3BDD8445" w14:textId="77777777" w:rsidR="007E2F9F" w:rsidRPr="002D3F21" w:rsidRDefault="007E2F9F" w:rsidP="006548F8">
            <w:pPr>
              <w:ind w:left="145" w:right="184"/>
              <w:jc w:val="center"/>
              <w:rPr>
                <w:rFonts w:ascii="Arial" w:hAnsi="Arial" w:cs="Arial"/>
                <w:b/>
                <w:sz w:val="18"/>
                <w:szCs w:val="18"/>
                <w:lang w:val="es-ES_tradnl"/>
              </w:rPr>
            </w:pPr>
            <w:r w:rsidRPr="002D3F21">
              <w:rPr>
                <w:rFonts w:ascii="Arial" w:hAnsi="Arial" w:cs="Arial"/>
                <w:b/>
                <w:sz w:val="18"/>
                <w:szCs w:val="18"/>
                <w:lang w:val="es-ES_tradnl"/>
              </w:rPr>
              <w:t>EJECUCIÓN</w:t>
            </w:r>
          </w:p>
          <w:p w14:paraId="3C281C97"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COMPROMISOS</w:t>
            </w:r>
          </w:p>
          <w:p w14:paraId="69DD984E"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(2)</w:t>
            </w:r>
          </w:p>
        </w:tc>
        <w:tc>
          <w:tcPr>
            <w:tcW w:w="2238" w:type="dxa"/>
          </w:tcPr>
          <w:p w14:paraId="7528E52A" w14:textId="77777777" w:rsidR="007E2F9F" w:rsidRPr="002D3F21" w:rsidRDefault="007E2F9F" w:rsidP="006548F8">
            <w:pPr>
              <w:ind w:left="25" w:right="34"/>
              <w:jc w:val="center"/>
              <w:rPr>
                <w:rFonts w:ascii="Arial" w:hAnsi="Arial" w:cs="Arial"/>
                <w:b/>
                <w:sz w:val="18"/>
                <w:szCs w:val="18"/>
                <w:lang w:val="es-ES_tradnl"/>
              </w:rPr>
            </w:pPr>
            <w:r w:rsidRPr="002D3F21">
              <w:rPr>
                <w:rFonts w:ascii="Arial" w:hAnsi="Arial" w:cs="Arial"/>
                <w:b/>
                <w:sz w:val="18"/>
                <w:szCs w:val="18"/>
                <w:lang w:val="es-ES_tradnl"/>
              </w:rPr>
              <w:t>PÉRDIDAS DE</w:t>
            </w:r>
          </w:p>
          <w:p w14:paraId="3CEC6DA0"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APROPIACIÓN</w:t>
            </w:r>
          </w:p>
          <w:p w14:paraId="55366638"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3 = (1-2)</w:t>
            </w:r>
          </w:p>
        </w:tc>
      </w:tr>
      <w:tr w:rsidR="007E2F9F" w:rsidRPr="002D3F21" w14:paraId="61B3CE77" w14:textId="77777777" w:rsidTr="006548F8">
        <w:trPr>
          <w:trHeight w:val="230"/>
        </w:trPr>
        <w:tc>
          <w:tcPr>
            <w:tcW w:w="3544" w:type="dxa"/>
          </w:tcPr>
          <w:p w14:paraId="468A3BA6"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bottom"/>
          </w:tcPr>
          <w:p w14:paraId="401F222D" w14:textId="77777777" w:rsidR="007E2F9F" w:rsidRPr="002D3F21" w:rsidRDefault="007E2F9F" w:rsidP="006548F8">
            <w:pPr>
              <w:jc w:val="right"/>
              <w:rPr>
                <w:rFonts w:ascii="Arial" w:eastAsia="Calibri" w:hAnsi="Arial" w:cs="Arial"/>
                <w:b/>
                <w:bCs/>
                <w:sz w:val="18"/>
                <w:szCs w:val="18"/>
                <w:lang w:val="es-CO"/>
              </w:rPr>
            </w:pPr>
            <w:r w:rsidRPr="002D3F21">
              <w:rPr>
                <w:rFonts w:ascii="Arial" w:hAnsi="Arial" w:cs="Arial"/>
                <w:b/>
                <w:sz w:val="18"/>
                <w:szCs w:val="18"/>
              </w:rPr>
              <w:t>2.718.048.087</w:t>
            </w:r>
          </w:p>
        </w:tc>
        <w:tc>
          <w:tcPr>
            <w:tcW w:w="2354" w:type="dxa"/>
            <w:vAlign w:val="bottom"/>
          </w:tcPr>
          <w:p w14:paraId="056EEE25"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8"/>
                <w:szCs w:val="18"/>
              </w:rPr>
              <w:t>2.618.533.180</w:t>
            </w:r>
          </w:p>
        </w:tc>
        <w:tc>
          <w:tcPr>
            <w:tcW w:w="2238" w:type="dxa"/>
            <w:vAlign w:val="bottom"/>
          </w:tcPr>
          <w:p w14:paraId="0BB2B419"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8"/>
                <w:szCs w:val="18"/>
              </w:rPr>
              <w:t>99.514.907</w:t>
            </w:r>
          </w:p>
        </w:tc>
      </w:tr>
      <w:tr w:rsidR="007E2F9F" w:rsidRPr="002D3F21" w14:paraId="7B78617E" w14:textId="77777777" w:rsidTr="006548F8">
        <w:tc>
          <w:tcPr>
            <w:tcW w:w="3544" w:type="dxa"/>
          </w:tcPr>
          <w:p w14:paraId="4A048B97"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vAlign w:val="bottom"/>
          </w:tcPr>
          <w:p w14:paraId="2B6BE9F6"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8"/>
                <w:szCs w:val="18"/>
              </w:rPr>
              <w:t>4.403.314</w:t>
            </w:r>
          </w:p>
        </w:tc>
        <w:tc>
          <w:tcPr>
            <w:tcW w:w="2354" w:type="dxa"/>
            <w:vAlign w:val="bottom"/>
          </w:tcPr>
          <w:p w14:paraId="65FB4E7E"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8"/>
                <w:szCs w:val="18"/>
              </w:rPr>
              <w:t>2.715.000</w:t>
            </w:r>
          </w:p>
        </w:tc>
        <w:tc>
          <w:tcPr>
            <w:tcW w:w="2238" w:type="dxa"/>
            <w:vAlign w:val="bottom"/>
          </w:tcPr>
          <w:p w14:paraId="74FF2697"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8"/>
                <w:szCs w:val="18"/>
              </w:rPr>
              <w:t>1.688.314</w:t>
            </w:r>
          </w:p>
        </w:tc>
      </w:tr>
      <w:tr w:rsidR="007E2F9F" w:rsidRPr="002D3F21" w14:paraId="48DC7AC4" w14:textId="77777777" w:rsidTr="006548F8">
        <w:tc>
          <w:tcPr>
            <w:tcW w:w="3544" w:type="dxa"/>
          </w:tcPr>
          <w:p w14:paraId="54411BAE"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lastRenderedPageBreak/>
              <w:t>TOTAL PÉRDIDAS DE APROPIACIÓN</w:t>
            </w:r>
          </w:p>
        </w:tc>
        <w:tc>
          <w:tcPr>
            <w:tcW w:w="2354" w:type="dxa"/>
            <w:vAlign w:val="bottom"/>
          </w:tcPr>
          <w:p w14:paraId="60CFB441"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sz w:val="18"/>
                <w:szCs w:val="18"/>
              </w:rPr>
              <w:t>2.726.062.113</w:t>
            </w:r>
          </w:p>
        </w:tc>
        <w:tc>
          <w:tcPr>
            <w:tcW w:w="2354" w:type="dxa"/>
            <w:vAlign w:val="bottom"/>
          </w:tcPr>
          <w:p w14:paraId="1B431DD9"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sz w:val="18"/>
                <w:szCs w:val="18"/>
              </w:rPr>
              <w:t>2.624.858.892</w:t>
            </w:r>
          </w:p>
        </w:tc>
        <w:tc>
          <w:tcPr>
            <w:tcW w:w="2238" w:type="dxa"/>
            <w:vAlign w:val="bottom"/>
          </w:tcPr>
          <w:p w14:paraId="78DCC773"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sz w:val="18"/>
                <w:szCs w:val="18"/>
                <w:u w:val="single"/>
              </w:rPr>
              <w:t>101.203.221</w:t>
            </w:r>
          </w:p>
        </w:tc>
      </w:tr>
    </w:tbl>
    <w:p w14:paraId="0ADC24B0" w14:textId="77777777" w:rsidR="00683308" w:rsidRDefault="00683308" w:rsidP="007E2F9F">
      <w:pPr>
        <w:ind w:left="-284"/>
        <w:jc w:val="both"/>
        <w:rPr>
          <w:rFonts w:ascii="Arial" w:hAnsi="Arial" w:cs="Arial"/>
          <w:b/>
          <w:sz w:val="28"/>
          <w:szCs w:val="28"/>
          <w:lang w:val="es-MX"/>
        </w:rPr>
      </w:pPr>
    </w:p>
    <w:p w14:paraId="40116AC5" w14:textId="28A2DBEF" w:rsidR="007E2F9F" w:rsidRPr="002D3F21" w:rsidRDefault="007E2F9F" w:rsidP="007E2F9F">
      <w:pPr>
        <w:ind w:left="-284"/>
        <w:jc w:val="both"/>
        <w:rPr>
          <w:rFonts w:ascii="Arial" w:hAnsi="Arial" w:cs="Arial"/>
          <w:b/>
          <w:sz w:val="28"/>
          <w:szCs w:val="28"/>
          <w:lang w:val="es-MX"/>
        </w:rPr>
      </w:pPr>
      <w:r w:rsidRPr="002D3F21">
        <w:rPr>
          <w:rFonts w:ascii="Arial" w:hAnsi="Arial" w:cs="Arial"/>
          <w:b/>
          <w:sz w:val="28"/>
          <w:szCs w:val="28"/>
          <w:lang w:val="es-MX"/>
        </w:rPr>
        <w:t>123.- HOSPITAL MILITAR CENTRAL.</w:t>
      </w:r>
    </w:p>
    <w:p w14:paraId="7739E573" w14:textId="77777777" w:rsidR="007E2F9F" w:rsidRDefault="007E2F9F" w:rsidP="007E2F9F">
      <w:pPr>
        <w:ind w:left="-284" w:right="-234"/>
        <w:jc w:val="both"/>
        <w:rPr>
          <w:rFonts w:ascii="Arial" w:hAnsi="Arial" w:cs="Arial"/>
          <w:b/>
          <w:sz w:val="28"/>
          <w:szCs w:val="28"/>
          <w:lang w:val="es-MX"/>
        </w:rPr>
      </w:pPr>
    </w:p>
    <w:p w14:paraId="03245D7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522A5A1"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D38CD95"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D3F21" w14:paraId="735FE714" w14:textId="77777777" w:rsidTr="006548F8">
        <w:tc>
          <w:tcPr>
            <w:tcW w:w="3544" w:type="dxa"/>
          </w:tcPr>
          <w:p w14:paraId="4733B188" w14:textId="77777777" w:rsidR="007E2F9F" w:rsidRPr="002D3F21" w:rsidRDefault="007E2F9F" w:rsidP="006548F8">
            <w:pPr>
              <w:ind w:left="1169" w:right="-1440"/>
              <w:rPr>
                <w:rFonts w:ascii="Arial" w:hAnsi="Arial" w:cs="Arial"/>
                <w:b/>
                <w:sz w:val="18"/>
                <w:szCs w:val="18"/>
                <w:lang w:val="es-ES_tradnl"/>
              </w:rPr>
            </w:pPr>
            <w:r w:rsidRPr="002D3F21">
              <w:rPr>
                <w:rFonts w:ascii="Arial" w:hAnsi="Arial" w:cs="Arial"/>
                <w:b/>
                <w:sz w:val="18"/>
                <w:szCs w:val="18"/>
                <w:lang w:val="es-ES_tradnl"/>
              </w:rPr>
              <w:t>TIPO DE GASTO</w:t>
            </w:r>
          </w:p>
        </w:tc>
        <w:tc>
          <w:tcPr>
            <w:tcW w:w="2354" w:type="dxa"/>
          </w:tcPr>
          <w:p w14:paraId="252E9788"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APROPIACIÓN</w:t>
            </w:r>
          </w:p>
          <w:p w14:paraId="0778102E"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DEFINITIVA</w:t>
            </w:r>
          </w:p>
          <w:p w14:paraId="24116B09" w14:textId="77777777" w:rsidR="007E2F9F" w:rsidRPr="002D3F21" w:rsidRDefault="007E2F9F" w:rsidP="006548F8">
            <w:pPr>
              <w:jc w:val="center"/>
              <w:rPr>
                <w:rFonts w:ascii="Arial" w:hAnsi="Arial" w:cs="Arial"/>
                <w:b/>
                <w:sz w:val="18"/>
                <w:szCs w:val="18"/>
                <w:lang w:val="es-ES_tradnl"/>
              </w:rPr>
            </w:pPr>
            <w:r w:rsidRPr="002D3F21">
              <w:rPr>
                <w:rFonts w:ascii="Arial" w:hAnsi="Arial" w:cs="Arial"/>
                <w:b/>
                <w:sz w:val="18"/>
                <w:szCs w:val="18"/>
                <w:lang w:val="es-ES_tradnl"/>
              </w:rPr>
              <w:t>(1)</w:t>
            </w:r>
          </w:p>
          <w:p w14:paraId="4B440632" w14:textId="77777777" w:rsidR="007E2F9F" w:rsidRPr="002D3F21" w:rsidRDefault="007E2F9F" w:rsidP="006548F8">
            <w:pPr>
              <w:jc w:val="center"/>
              <w:rPr>
                <w:rFonts w:ascii="Arial" w:hAnsi="Arial" w:cs="Arial"/>
                <w:b/>
                <w:sz w:val="18"/>
                <w:szCs w:val="18"/>
                <w:lang w:val="es-ES_tradnl"/>
              </w:rPr>
            </w:pPr>
          </w:p>
        </w:tc>
        <w:tc>
          <w:tcPr>
            <w:tcW w:w="2354" w:type="dxa"/>
          </w:tcPr>
          <w:p w14:paraId="0BAE8269" w14:textId="77777777" w:rsidR="007E2F9F" w:rsidRPr="002D3F21" w:rsidRDefault="007E2F9F" w:rsidP="006548F8">
            <w:pPr>
              <w:ind w:left="145" w:right="184"/>
              <w:jc w:val="center"/>
              <w:rPr>
                <w:rFonts w:ascii="Arial" w:hAnsi="Arial" w:cs="Arial"/>
                <w:b/>
                <w:sz w:val="18"/>
                <w:szCs w:val="18"/>
                <w:lang w:val="es-ES_tradnl"/>
              </w:rPr>
            </w:pPr>
            <w:r w:rsidRPr="002D3F21">
              <w:rPr>
                <w:rFonts w:ascii="Arial" w:hAnsi="Arial" w:cs="Arial"/>
                <w:b/>
                <w:sz w:val="18"/>
                <w:szCs w:val="18"/>
                <w:lang w:val="es-ES_tradnl"/>
              </w:rPr>
              <w:t>EJECUCIÓN</w:t>
            </w:r>
          </w:p>
          <w:p w14:paraId="40CDAC3E"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COMPROMISOS</w:t>
            </w:r>
          </w:p>
          <w:p w14:paraId="2D55A5E9"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(2)</w:t>
            </w:r>
          </w:p>
        </w:tc>
        <w:tc>
          <w:tcPr>
            <w:tcW w:w="2238" w:type="dxa"/>
          </w:tcPr>
          <w:p w14:paraId="49CA97E3" w14:textId="77777777" w:rsidR="007E2F9F" w:rsidRPr="002D3F21" w:rsidRDefault="007E2F9F" w:rsidP="006548F8">
            <w:pPr>
              <w:ind w:left="25" w:right="34"/>
              <w:jc w:val="center"/>
              <w:rPr>
                <w:rFonts w:ascii="Arial" w:hAnsi="Arial" w:cs="Arial"/>
                <w:b/>
                <w:sz w:val="18"/>
                <w:szCs w:val="18"/>
                <w:lang w:val="es-ES_tradnl"/>
              </w:rPr>
            </w:pPr>
            <w:r w:rsidRPr="002D3F21">
              <w:rPr>
                <w:rFonts w:ascii="Arial" w:hAnsi="Arial" w:cs="Arial"/>
                <w:b/>
                <w:sz w:val="18"/>
                <w:szCs w:val="18"/>
                <w:lang w:val="es-ES_tradnl"/>
              </w:rPr>
              <w:t>PÉRDIDAS DE</w:t>
            </w:r>
          </w:p>
          <w:p w14:paraId="7C31BACD"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APROPIACIÓN</w:t>
            </w:r>
          </w:p>
          <w:p w14:paraId="1AD8346D" w14:textId="77777777" w:rsidR="007E2F9F" w:rsidRPr="002D3F21" w:rsidRDefault="007E2F9F" w:rsidP="006548F8">
            <w:pPr>
              <w:ind w:right="34"/>
              <w:jc w:val="center"/>
              <w:rPr>
                <w:rFonts w:ascii="Arial" w:hAnsi="Arial" w:cs="Arial"/>
                <w:b/>
                <w:sz w:val="18"/>
                <w:szCs w:val="18"/>
                <w:lang w:val="es-ES_tradnl"/>
              </w:rPr>
            </w:pPr>
            <w:r w:rsidRPr="002D3F21">
              <w:rPr>
                <w:rFonts w:ascii="Arial" w:hAnsi="Arial" w:cs="Arial"/>
                <w:b/>
                <w:sz w:val="18"/>
                <w:szCs w:val="18"/>
                <w:lang w:val="es-ES_tradnl"/>
              </w:rPr>
              <w:t>3 = (1-2)</w:t>
            </w:r>
          </w:p>
        </w:tc>
      </w:tr>
      <w:tr w:rsidR="007E2F9F" w:rsidRPr="002D3F21" w14:paraId="7BD21B7B" w14:textId="77777777" w:rsidTr="006548F8">
        <w:trPr>
          <w:trHeight w:val="230"/>
        </w:trPr>
        <w:tc>
          <w:tcPr>
            <w:tcW w:w="3544" w:type="dxa"/>
          </w:tcPr>
          <w:p w14:paraId="4130CDEC"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FUNCIONAMIENTO</w:t>
            </w:r>
          </w:p>
        </w:tc>
        <w:tc>
          <w:tcPr>
            <w:tcW w:w="2354" w:type="dxa"/>
            <w:vAlign w:val="bottom"/>
          </w:tcPr>
          <w:p w14:paraId="0858A0B1" w14:textId="77777777" w:rsidR="007E2F9F" w:rsidRPr="002D3F21" w:rsidRDefault="007E2F9F" w:rsidP="006548F8">
            <w:pPr>
              <w:jc w:val="right"/>
              <w:rPr>
                <w:rFonts w:ascii="Arial" w:eastAsia="Calibri" w:hAnsi="Arial" w:cs="Arial"/>
                <w:b/>
                <w:bCs/>
                <w:sz w:val="18"/>
                <w:szCs w:val="18"/>
                <w:lang w:val="es-CO"/>
              </w:rPr>
            </w:pPr>
            <w:r w:rsidRPr="002D3F21">
              <w:rPr>
                <w:rFonts w:ascii="Arial" w:hAnsi="Arial" w:cs="Arial"/>
                <w:b/>
                <w:sz w:val="16"/>
                <w:szCs w:val="16"/>
              </w:rPr>
              <w:t>506.283.000</w:t>
            </w:r>
          </w:p>
        </w:tc>
        <w:tc>
          <w:tcPr>
            <w:tcW w:w="2354" w:type="dxa"/>
            <w:vAlign w:val="bottom"/>
          </w:tcPr>
          <w:p w14:paraId="4B19647E"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6"/>
                <w:szCs w:val="16"/>
              </w:rPr>
              <w:t>485.559.320</w:t>
            </w:r>
          </w:p>
        </w:tc>
        <w:tc>
          <w:tcPr>
            <w:tcW w:w="2238" w:type="dxa"/>
            <w:vAlign w:val="bottom"/>
          </w:tcPr>
          <w:p w14:paraId="28310679"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sz w:val="16"/>
                <w:szCs w:val="16"/>
              </w:rPr>
              <w:t>20.723.680</w:t>
            </w:r>
          </w:p>
        </w:tc>
      </w:tr>
      <w:tr w:rsidR="007E2F9F" w:rsidRPr="002D3F21" w14:paraId="0946DC04" w14:textId="77777777" w:rsidTr="006548F8">
        <w:tc>
          <w:tcPr>
            <w:tcW w:w="3544" w:type="dxa"/>
          </w:tcPr>
          <w:p w14:paraId="4675417B"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INVERSIÓN</w:t>
            </w:r>
          </w:p>
        </w:tc>
        <w:tc>
          <w:tcPr>
            <w:tcW w:w="2354" w:type="dxa"/>
            <w:vAlign w:val="bottom"/>
          </w:tcPr>
          <w:p w14:paraId="1B5DF902"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6"/>
                <w:szCs w:val="16"/>
              </w:rPr>
              <w:t>19.971.042</w:t>
            </w:r>
          </w:p>
        </w:tc>
        <w:tc>
          <w:tcPr>
            <w:tcW w:w="2354" w:type="dxa"/>
            <w:vAlign w:val="bottom"/>
          </w:tcPr>
          <w:p w14:paraId="7F2675B9"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6"/>
                <w:szCs w:val="16"/>
              </w:rPr>
              <w:t>19.959.144</w:t>
            </w:r>
          </w:p>
        </w:tc>
        <w:tc>
          <w:tcPr>
            <w:tcW w:w="2238" w:type="dxa"/>
            <w:vAlign w:val="bottom"/>
          </w:tcPr>
          <w:p w14:paraId="017F3CA9" w14:textId="77777777" w:rsidR="007E2F9F" w:rsidRPr="002D3F21" w:rsidRDefault="007E2F9F" w:rsidP="006548F8">
            <w:pPr>
              <w:pStyle w:val="Prrafodelista"/>
              <w:ind w:left="0"/>
              <w:jc w:val="right"/>
              <w:rPr>
                <w:rFonts w:ascii="Arial" w:hAnsi="Arial" w:cs="Arial"/>
                <w:b/>
                <w:bCs/>
                <w:sz w:val="18"/>
                <w:szCs w:val="18"/>
              </w:rPr>
            </w:pPr>
            <w:r w:rsidRPr="002D3F21">
              <w:rPr>
                <w:rFonts w:ascii="Arial" w:hAnsi="Arial" w:cs="Arial"/>
                <w:b/>
                <w:color w:val="000000"/>
                <w:sz w:val="16"/>
                <w:szCs w:val="16"/>
              </w:rPr>
              <w:t>11.897</w:t>
            </w:r>
          </w:p>
        </w:tc>
      </w:tr>
      <w:tr w:rsidR="007E2F9F" w:rsidRPr="002D3F21" w14:paraId="49C28A00" w14:textId="77777777" w:rsidTr="006548F8">
        <w:tc>
          <w:tcPr>
            <w:tcW w:w="3544" w:type="dxa"/>
          </w:tcPr>
          <w:p w14:paraId="7E7336E7" w14:textId="77777777" w:rsidR="007E2F9F" w:rsidRPr="002D3F21" w:rsidRDefault="007E2F9F" w:rsidP="006548F8">
            <w:pPr>
              <w:ind w:right="-1440"/>
              <w:jc w:val="both"/>
              <w:rPr>
                <w:rFonts w:ascii="Arial" w:hAnsi="Arial" w:cs="Arial"/>
                <w:b/>
                <w:sz w:val="18"/>
                <w:szCs w:val="18"/>
                <w:lang w:val="es-ES_tradnl"/>
              </w:rPr>
            </w:pPr>
            <w:r w:rsidRPr="002D3F21">
              <w:rPr>
                <w:rFonts w:ascii="Arial" w:hAnsi="Arial" w:cs="Arial"/>
                <w:b/>
                <w:sz w:val="18"/>
                <w:szCs w:val="18"/>
                <w:lang w:val="es-ES_tradnl"/>
              </w:rPr>
              <w:t>TOTAL PÉRDIDAS DE APROPIACIÓN</w:t>
            </w:r>
          </w:p>
        </w:tc>
        <w:tc>
          <w:tcPr>
            <w:tcW w:w="2354" w:type="dxa"/>
            <w:vAlign w:val="bottom"/>
          </w:tcPr>
          <w:p w14:paraId="250E4321"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sz w:val="16"/>
                <w:szCs w:val="16"/>
              </w:rPr>
              <w:t>526.254.042</w:t>
            </w:r>
          </w:p>
        </w:tc>
        <w:tc>
          <w:tcPr>
            <w:tcW w:w="2354" w:type="dxa"/>
            <w:vAlign w:val="bottom"/>
          </w:tcPr>
          <w:p w14:paraId="2F3206F5"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sz w:val="16"/>
                <w:szCs w:val="16"/>
              </w:rPr>
              <w:t>505.518.464</w:t>
            </w:r>
          </w:p>
        </w:tc>
        <w:tc>
          <w:tcPr>
            <w:tcW w:w="2238" w:type="dxa"/>
            <w:vAlign w:val="bottom"/>
          </w:tcPr>
          <w:p w14:paraId="2D41A0CC" w14:textId="77777777" w:rsidR="007E2F9F" w:rsidRPr="002D3F21" w:rsidRDefault="007E2F9F" w:rsidP="006548F8">
            <w:pPr>
              <w:pStyle w:val="Prrafodelista"/>
              <w:ind w:left="0"/>
              <w:jc w:val="right"/>
              <w:rPr>
                <w:rFonts w:ascii="Arial" w:hAnsi="Arial" w:cs="Arial"/>
                <w:b/>
                <w:bCs/>
                <w:sz w:val="18"/>
                <w:szCs w:val="18"/>
                <w:u w:val="single"/>
              </w:rPr>
            </w:pPr>
            <w:r w:rsidRPr="002D3F21">
              <w:rPr>
                <w:rFonts w:ascii="Arial" w:hAnsi="Arial" w:cs="Arial"/>
                <w:b/>
                <w:sz w:val="16"/>
                <w:szCs w:val="16"/>
                <w:u w:val="single"/>
              </w:rPr>
              <w:t>20.735.577</w:t>
            </w:r>
          </w:p>
        </w:tc>
      </w:tr>
    </w:tbl>
    <w:p w14:paraId="4734FE50" w14:textId="77777777" w:rsidR="007E2F9F" w:rsidRDefault="007E2F9F" w:rsidP="007E2F9F">
      <w:pPr>
        <w:ind w:left="-284" w:right="-234"/>
        <w:jc w:val="both"/>
        <w:rPr>
          <w:rFonts w:ascii="Arial" w:hAnsi="Arial" w:cs="Arial"/>
          <w:b/>
          <w:sz w:val="28"/>
          <w:szCs w:val="28"/>
          <w:lang w:val="es-MX"/>
        </w:rPr>
      </w:pPr>
    </w:p>
    <w:p w14:paraId="570D1482" w14:textId="77777777" w:rsidR="007E2F9F" w:rsidRPr="00FB63E0" w:rsidRDefault="007E2F9F" w:rsidP="007E2F9F">
      <w:pPr>
        <w:tabs>
          <w:tab w:val="left" w:pos="1276"/>
        </w:tabs>
        <w:ind w:left="-284" w:right="-284"/>
        <w:jc w:val="both"/>
        <w:rPr>
          <w:rFonts w:ascii="Arial" w:hAnsi="Arial" w:cs="Arial"/>
          <w:b/>
          <w:sz w:val="28"/>
          <w:szCs w:val="28"/>
          <w:lang w:val="es-MX"/>
        </w:rPr>
      </w:pPr>
      <w:r w:rsidRPr="00FB63E0">
        <w:rPr>
          <w:rFonts w:ascii="Arial" w:hAnsi="Arial" w:cs="Arial"/>
          <w:b/>
          <w:sz w:val="28"/>
          <w:szCs w:val="28"/>
        </w:rPr>
        <w:t>124.- U.A.E. AGENCIA NACIONAL DE CONTRATACIÓN PÚBLICA - COLOMBIA COMPRA EFICIENTE</w:t>
      </w:r>
      <w:r w:rsidRPr="00FB63E0">
        <w:rPr>
          <w:rFonts w:ascii="Arial" w:hAnsi="Arial" w:cs="Arial"/>
          <w:b/>
          <w:sz w:val="28"/>
          <w:szCs w:val="28"/>
          <w:lang w:val="es-MX"/>
        </w:rPr>
        <w:t xml:space="preserve">. </w:t>
      </w:r>
    </w:p>
    <w:p w14:paraId="2BD8AA13" w14:textId="77777777" w:rsidR="007E2F9F" w:rsidRDefault="007E2F9F" w:rsidP="007E2F9F">
      <w:pPr>
        <w:ind w:left="-284" w:right="-234"/>
        <w:jc w:val="both"/>
        <w:rPr>
          <w:rFonts w:ascii="Arial" w:hAnsi="Arial" w:cs="Arial"/>
          <w:b/>
          <w:sz w:val="28"/>
          <w:szCs w:val="28"/>
          <w:lang w:val="es-MX"/>
        </w:rPr>
      </w:pPr>
    </w:p>
    <w:p w14:paraId="3201757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D052D66"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AAB9EF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FB63E0" w14:paraId="5C047962" w14:textId="77777777" w:rsidTr="006548F8">
        <w:tc>
          <w:tcPr>
            <w:tcW w:w="3544" w:type="dxa"/>
          </w:tcPr>
          <w:p w14:paraId="34FE156A" w14:textId="77777777" w:rsidR="007E2F9F" w:rsidRPr="00FB63E0" w:rsidRDefault="007E2F9F" w:rsidP="006548F8">
            <w:pPr>
              <w:ind w:left="1169" w:right="-1440"/>
              <w:rPr>
                <w:rFonts w:ascii="Arial" w:hAnsi="Arial" w:cs="Arial"/>
                <w:b/>
                <w:sz w:val="18"/>
                <w:szCs w:val="18"/>
                <w:lang w:val="es-ES_tradnl"/>
              </w:rPr>
            </w:pPr>
            <w:r w:rsidRPr="00FB63E0">
              <w:rPr>
                <w:rFonts w:ascii="Arial" w:hAnsi="Arial" w:cs="Arial"/>
                <w:b/>
                <w:sz w:val="18"/>
                <w:szCs w:val="18"/>
                <w:lang w:val="es-ES_tradnl"/>
              </w:rPr>
              <w:t>TIPO DE GASTO</w:t>
            </w:r>
          </w:p>
        </w:tc>
        <w:tc>
          <w:tcPr>
            <w:tcW w:w="2354" w:type="dxa"/>
          </w:tcPr>
          <w:p w14:paraId="12885961" w14:textId="77777777" w:rsidR="007E2F9F" w:rsidRPr="00FB63E0" w:rsidRDefault="007E2F9F" w:rsidP="006548F8">
            <w:pPr>
              <w:jc w:val="center"/>
              <w:rPr>
                <w:rFonts w:ascii="Arial" w:hAnsi="Arial" w:cs="Arial"/>
                <w:b/>
                <w:sz w:val="18"/>
                <w:szCs w:val="18"/>
                <w:lang w:val="es-ES_tradnl"/>
              </w:rPr>
            </w:pPr>
            <w:r w:rsidRPr="00FB63E0">
              <w:rPr>
                <w:rFonts w:ascii="Arial" w:hAnsi="Arial" w:cs="Arial"/>
                <w:b/>
                <w:sz w:val="18"/>
                <w:szCs w:val="18"/>
                <w:lang w:val="es-ES_tradnl"/>
              </w:rPr>
              <w:t>APROPIACIÓN</w:t>
            </w:r>
          </w:p>
          <w:p w14:paraId="13D997DC" w14:textId="77777777" w:rsidR="007E2F9F" w:rsidRPr="00FB63E0" w:rsidRDefault="007E2F9F" w:rsidP="006548F8">
            <w:pPr>
              <w:jc w:val="center"/>
              <w:rPr>
                <w:rFonts w:ascii="Arial" w:hAnsi="Arial" w:cs="Arial"/>
                <w:b/>
                <w:sz w:val="18"/>
                <w:szCs w:val="18"/>
                <w:lang w:val="es-ES_tradnl"/>
              </w:rPr>
            </w:pPr>
            <w:r w:rsidRPr="00FB63E0">
              <w:rPr>
                <w:rFonts w:ascii="Arial" w:hAnsi="Arial" w:cs="Arial"/>
                <w:b/>
                <w:sz w:val="18"/>
                <w:szCs w:val="18"/>
                <w:lang w:val="es-ES_tradnl"/>
              </w:rPr>
              <w:t>DEFINITIVA</w:t>
            </w:r>
          </w:p>
          <w:p w14:paraId="1DA3A08D" w14:textId="77777777" w:rsidR="007E2F9F" w:rsidRPr="00FB63E0" w:rsidRDefault="007E2F9F" w:rsidP="006548F8">
            <w:pPr>
              <w:jc w:val="center"/>
              <w:rPr>
                <w:rFonts w:ascii="Arial" w:hAnsi="Arial" w:cs="Arial"/>
                <w:b/>
                <w:sz w:val="18"/>
                <w:szCs w:val="18"/>
                <w:lang w:val="es-ES_tradnl"/>
              </w:rPr>
            </w:pPr>
            <w:r w:rsidRPr="00FB63E0">
              <w:rPr>
                <w:rFonts w:ascii="Arial" w:hAnsi="Arial" w:cs="Arial"/>
                <w:b/>
                <w:sz w:val="18"/>
                <w:szCs w:val="18"/>
                <w:lang w:val="es-ES_tradnl"/>
              </w:rPr>
              <w:t>(1)</w:t>
            </w:r>
          </w:p>
          <w:p w14:paraId="2952FB98" w14:textId="77777777" w:rsidR="007E2F9F" w:rsidRPr="00FB63E0" w:rsidRDefault="007E2F9F" w:rsidP="006548F8">
            <w:pPr>
              <w:jc w:val="center"/>
              <w:rPr>
                <w:rFonts w:ascii="Arial" w:hAnsi="Arial" w:cs="Arial"/>
                <w:b/>
                <w:sz w:val="18"/>
                <w:szCs w:val="18"/>
                <w:lang w:val="es-ES_tradnl"/>
              </w:rPr>
            </w:pPr>
          </w:p>
        </w:tc>
        <w:tc>
          <w:tcPr>
            <w:tcW w:w="2354" w:type="dxa"/>
          </w:tcPr>
          <w:p w14:paraId="6F8ABCCC" w14:textId="77777777" w:rsidR="007E2F9F" w:rsidRPr="00FB63E0" w:rsidRDefault="007E2F9F" w:rsidP="006548F8">
            <w:pPr>
              <w:ind w:left="145" w:right="184"/>
              <w:jc w:val="center"/>
              <w:rPr>
                <w:rFonts w:ascii="Arial" w:hAnsi="Arial" w:cs="Arial"/>
                <w:b/>
                <w:sz w:val="18"/>
                <w:szCs w:val="18"/>
                <w:lang w:val="es-ES_tradnl"/>
              </w:rPr>
            </w:pPr>
            <w:r w:rsidRPr="00FB63E0">
              <w:rPr>
                <w:rFonts w:ascii="Arial" w:hAnsi="Arial" w:cs="Arial"/>
                <w:b/>
                <w:sz w:val="18"/>
                <w:szCs w:val="18"/>
                <w:lang w:val="es-ES_tradnl"/>
              </w:rPr>
              <w:t>EJECUCIÓN</w:t>
            </w:r>
          </w:p>
          <w:p w14:paraId="3879E25C" w14:textId="77777777" w:rsidR="007E2F9F" w:rsidRPr="00FB63E0" w:rsidRDefault="007E2F9F" w:rsidP="006548F8">
            <w:pPr>
              <w:ind w:right="34"/>
              <w:jc w:val="center"/>
              <w:rPr>
                <w:rFonts w:ascii="Arial" w:hAnsi="Arial" w:cs="Arial"/>
                <w:b/>
                <w:sz w:val="18"/>
                <w:szCs w:val="18"/>
                <w:lang w:val="es-ES_tradnl"/>
              </w:rPr>
            </w:pPr>
            <w:r w:rsidRPr="00FB63E0">
              <w:rPr>
                <w:rFonts w:ascii="Arial" w:hAnsi="Arial" w:cs="Arial"/>
                <w:b/>
                <w:sz w:val="18"/>
                <w:szCs w:val="18"/>
                <w:lang w:val="es-ES_tradnl"/>
              </w:rPr>
              <w:t>COMPROMISOS</w:t>
            </w:r>
          </w:p>
          <w:p w14:paraId="36EDADD4" w14:textId="77777777" w:rsidR="007E2F9F" w:rsidRPr="00FB63E0" w:rsidRDefault="007E2F9F" w:rsidP="006548F8">
            <w:pPr>
              <w:ind w:right="34"/>
              <w:jc w:val="center"/>
              <w:rPr>
                <w:rFonts w:ascii="Arial" w:hAnsi="Arial" w:cs="Arial"/>
                <w:b/>
                <w:sz w:val="18"/>
                <w:szCs w:val="18"/>
                <w:lang w:val="es-ES_tradnl"/>
              </w:rPr>
            </w:pPr>
            <w:r w:rsidRPr="00FB63E0">
              <w:rPr>
                <w:rFonts w:ascii="Arial" w:hAnsi="Arial" w:cs="Arial"/>
                <w:b/>
                <w:sz w:val="18"/>
                <w:szCs w:val="18"/>
                <w:lang w:val="es-ES_tradnl"/>
              </w:rPr>
              <w:t>(2)</w:t>
            </w:r>
          </w:p>
        </w:tc>
        <w:tc>
          <w:tcPr>
            <w:tcW w:w="2238" w:type="dxa"/>
          </w:tcPr>
          <w:p w14:paraId="57325FA7" w14:textId="77777777" w:rsidR="007E2F9F" w:rsidRPr="00FB63E0" w:rsidRDefault="007E2F9F" w:rsidP="006548F8">
            <w:pPr>
              <w:ind w:left="25" w:right="34"/>
              <w:jc w:val="center"/>
              <w:rPr>
                <w:rFonts w:ascii="Arial" w:hAnsi="Arial" w:cs="Arial"/>
                <w:b/>
                <w:sz w:val="18"/>
                <w:szCs w:val="18"/>
                <w:lang w:val="es-ES_tradnl"/>
              </w:rPr>
            </w:pPr>
            <w:r w:rsidRPr="00FB63E0">
              <w:rPr>
                <w:rFonts w:ascii="Arial" w:hAnsi="Arial" w:cs="Arial"/>
                <w:b/>
                <w:sz w:val="18"/>
                <w:szCs w:val="18"/>
                <w:lang w:val="es-ES_tradnl"/>
              </w:rPr>
              <w:t>PÉRDIDAS DE</w:t>
            </w:r>
          </w:p>
          <w:p w14:paraId="428C6801" w14:textId="77777777" w:rsidR="007E2F9F" w:rsidRPr="00FB63E0" w:rsidRDefault="007E2F9F" w:rsidP="006548F8">
            <w:pPr>
              <w:ind w:right="34"/>
              <w:jc w:val="center"/>
              <w:rPr>
                <w:rFonts w:ascii="Arial" w:hAnsi="Arial" w:cs="Arial"/>
                <w:b/>
                <w:sz w:val="18"/>
                <w:szCs w:val="18"/>
                <w:lang w:val="es-ES_tradnl"/>
              </w:rPr>
            </w:pPr>
            <w:r w:rsidRPr="00FB63E0">
              <w:rPr>
                <w:rFonts w:ascii="Arial" w:hAnsi="Arial" w:cs="Arial"/>
                <w:b/>
                <w:sz w:val="18"/>
                <w:szCs w:val="18"/>
                <w:lang w:val="es-ES_tradnl"/>
              </w:rPr>
              <w:t>APROPIACIÓN</w:t>
            </w:r>
          </w:p>
          <w:p w14:paraId="1F7EBC24" w14:textId="77777777" w:rsidR="007E2F9F" w:rsidRPr="00FB63E0" w:rsidRDefault="007E2F9F" w:rsidP="006548F8">
            <w:pPr>
              <w:ind w:right="34"/>
              <w:jc w:val="center"/>
              <w:rPr>
                <w:rFonts w:ascii="Arial" w:hAnsi="Arial" w:cs="Arial"/>
                <w:b/>
                <w:sz w:val="18"/>
                <w:szCs w:val="18"/>
                <w:lang w:val="es-ES_tradnl"/>
              </w:rPr>
            </w:pPr>
            <w:r w:rsidRPr="00FB63E0">
              <w:rPr>
                <w:rFonts w:ascii="Arial" w:hAnsi="Arial" w:cs="Arial"/>
                <w:b/>
                <w:sz w:val="18"/>
                <w:szCs w:val="18"/>
                <w:lang w:val="es-ES_tradnl"/>
              </w:rPr>
              <w:t>3 = (1-2)</w:t>
            </w:r>
          </w:p>
        </w:tc>
      </w:tr>
      <w:tr w:rsidR="007E2F9F" w:rsidRPr="00FB63E0" w14:paraId="4CD5FC75" w14:textId="77777777" w:rsidTr="006548F8">
        <w:trPr>
          <w:trHeight w:val="230"/>
        </w:trPr>
        <w:tc>
          <w:tcPr>
            <w:tcW w:w="3544" w:type="dxa"/>
          </w:tcPr>
          <w:p w14:paraId="32B1894E" w14:textId="77777777" w:rsidR="007E2F9F" w:rsidRPr="00FB63E0" w:rsidRDefault="007E2F9F" w:rsidP="006548F8">
            <w:pPr>
              <w:ind w:right="-1440"/>
              <w:jc w:val="both"/>
              <w:rPr>
                <w:rFonts w:ascii="Arial" w:hAnsi="Arial" w:cs="Arial"/>
                <w:b/>
                <w:sz w:val="18"/>
                <w:szCs w:val="18"/>
                <w:lang w:val="es-ES_tradnl"/>
              </w:rPr>
            </w:pPr>
            <w:r w:rsidRPr="00FB63E0">
              <w:rPr>
                <w:rFonts w:ascii="Arial" w:hAnsi="Arial" w:cs="Arial"/>
                <w:b/>
                <w:sz w:val="18"/>
                <w:szCs w:val="18"/>
                <w:lang w:val="es-ES_tradnl"/>
              </w:rPr>
              <w:t>FUNCIONAMIENTO</w:t>
            </w:r>
          </w:p>
        </w:tc>
        <w:tc>
          <w:tcPr>
            <w:tcW w:w="2354" w:type="dxa"/>
          </w:tcPr>
          <w:p w14:paraId="5FED53F8" w14:textId="77777777" w:rsidR="007E2F9F" w:rsidRPr="00FB63E0" w:rsidRDefault="007E2F9F" w:rsidP="006548F8">
            <w:pPr>
              <w:jc w:val="right"/>
              <w:rPr>
                <w:rFonts w:ascii="Arial" w:eastAsia="Calibri" w:hAnsi="Arial" w:cs="Arial"/>
                <w:b/>
                <w:bCs/>
                <w:sz w:val="18"/>
                <w:szCs w:val="18"/>
                <w:lang w:val="es-CO"/>
              </w:rPr>
            </w:pPr>
            <w:r w:rsidRPr="00FB63E0">
              <w:rPr>
                <w:rFonts w:ascii="Arial" w:eastAsia="Calibri" w:hAnsi="Arial" w:cs="Arial"/>
                <w:b/>
                <w:sz w:val="18"/>
                <w:szCs w:val="18"/>
                <w:lang w:val="es-CO"/>
              </w:rPr>
              <w:t>25.681.000,00</w:t>
            </w:r>
          </w:p>
        </w:tc>
        <w:tc>
          <w:tcPr>
            <w:tcW w:w="2354" w:type="dxa"/>
          </w:tcPr>
          <w:p w14:paraId="2EBB3ABE" w14:textId="77777777" w:rsidR="007E2F9F" w:rsidRPr="00FB63E0" w:rsidRDefault="007E2F9F" w:rsidP="006548F8">
            <w:pPr>
              <w:pStyle w:val="Prrafodelista"/>
              <w:ind w:left="0"/>
              <w:jc w:val="right"/>
              <w:rPr>
                <w:rFonts w:ascii="Arial" w:hAnsi="Arial" w:cs="Arial"/>
                <w:b/>
                <w:bCs/>
                <w:sz w:val="18"/>
                <w:szCs w:val="18"/>
              </w:rPr>
            </w:pPr>
            <w:r w:rsidRPr="00FB63E0">
              <w:rPr>
                <w:rFonts w:ascii="Arial" w:eastAsia="Calibri" w:hAnsi="Arial" w:cs="Arial"/>
                <w:b/>
                <w:sz w:val="18"/>
                <w:szCs w:val="18"/>
                <w:lang w:val="es-CO"/>
              </w:rPr>
              <w:t>25.388.081,85</w:t>
            </w:r>
          </w:p>
        </w:tc>
        <w:tc>
          <w:tcPr>
            <w:tcW w:w="2238" w:type="dxa"/>
          </w:tcPr>
          <w:p w14:paraId="5FC96935" w14:textId="77777777" w:rsidR="007E2F9F" w:rsidRPr="00FB63E0" w:rsidRDefault="007E2F9F" w:rsidP="006548F8">
            <w:pPr>
              <w:pStyle w:val="Prrafodelista"/>
              <w:ind w:left="0"/>
              <w:jc w:val="right"/>
              <w:rPr>
                <w:rFonts w:ascii="Arial" w:hAnsi="Arial" w:cs="Arial"/>
                <w:b/>
                <w:bCs/>
                <w:sz w:val="18"/>
                <w:szCs w:val="18"/>
              </w:rPr>
            </w:pPr>
            <w:r w:rsidRPr="00FB63E0">
              <w:rPr>
                <w:rFonts w:ascii="Arial" w:hAnsi="Arial" w:cs="Arial"/>
                <w:b/>
                <w:sz w:val="18"/>
                <w:szCs w:val="18"/>
              </w:rPr>
              <w:t>292.918,15</w:t>
            </w:r>
          </w:p>
        </w:tc>
      </w:tr>
      <w:tr w:rsidR="007E2F9F" w:rsidRPr="00FB63E0" w14:paraId="0DF5FACA" w14:textId="77777777" w:rsidTr="006548F8">
        <w:tc>
          <w:tcPr>
            <w:tcW w:w="3544" w:type="dxa"/>
          </w:tcPr>
          <w:p w14:paraId="4842E50D" w14:textId="77777777" w:rsidR="007E2F9F" w:rsidRPr="00FB63E0" w:rsidRDefault="007E2F9F" w:rsidP="006548F8">
            <w:pPr>
              <w:ind w:right="-1440"/>
              <w:jc w:val="both"/>
              <w:rPr>
                <w:rFonts w:ascii="Arial" w:hAnsi="Arial" w:cs="Arial"/>
                <w:b/>
                <w:sz w:val="18"/>
                <w:szCs w:val="18"/>
                <w:lang w:val="es-ES_tradnl"/>
              </w:rPr>
            </w:pPr>
            <w:r w:rsidRPr="00FB63E0">
              <w:rPr>
                <w:rFonts w:ascii="Arial" w:hAnsi="Arial" w:cs="Arial"/>
                <w:b/>
                <w:sz w:val="18"/>
                <w:szCs w:val="18"/>
                <w:lang w:val="es-ES_tradnl"/>
              </w:rPr>
              <w:t>INVERSIÓN</w:t>
            </w:r>
          </w:p>
        </w:tc>
        <w:tc>
          <w:tcPr>
            <w:tcW w:w="2354" w:type="dxa"/>
          </w:tcPr>
          <w:p w14:paraId="495A07AD" w14:textId="77777777" w:rsidR="007E2F9F" w:rsidRPr="00FB63E0" w:rsidRDefault="007E2F9F" w:rsidP="006548F8">
            <w:pPr>
              <w:pStyle w:val="Prrafodelista"/>
              <w:ind w:left="0"/>
              <w:jc w:val="right"/>
              <w:rPr>
                <w:rFonts w:ascii="Arial" w:hAnsi="Arial" w:cs="Arial"/>
                <w:b/>
                <w:bCs/>
                <w:sz w:val="18"/>
                <w:szCs w:val="18"/>
              </w:rPr>
            </w:pPr>
            <w:r w:rsidRPr="00FB63E0">
              <w:rPr>
                <w:rFonts w:ascii="Arial" w:eastAsia="Calibri" w:hAnsi="Arial" w:cs="Arial"/>
                <w:b/>
                <w:sz w:val="18"/>
                <w:szCs w:val="18"/>
                <w:lang w:val="es-CO"/>
              </w:rPr>
              <w:t>60.574.288,65</w:t>
            </w:r>
          </w:p>
        </w:tc>
        <w:tc>
          <w:tcPr>
            <w:tcW w:w="2354" w:type="dxa"/>
          </w:tcPr>
          <w:p w14:paraId="1DE55D87" w14:textId="77777777" w:rsidR="007E2F9F" w:rsidRPr="00FB63E0" w:rsidRDefault="007E2F9F" w:rsidP="006548F8">
            <w:pPr>
              <w:pStyle w:val="Prrafodelista"/>
              <w:ind w:left="0"/>
              <w:jc w:val="right"/>
              <w:rPr>
                <w:rFonts w:ascii="Arial" w:hAnsi="Arial" w:cs="Arial"/>
                <w:b/>
                <w:bCs/>
                <w:sz w:val="18"/>
                <w:szCs w:val="18"/>
              </w:rPr>
            </w:pPr>
            <w:r w:rsidRPr="00FB63E0">
              <w:rPr>
                <w:rFonts w:ascii="Arial" w:eastAsia="Calibri" w:hAnsi="Arial" w:cs="Arial"/>
                <w:b/>
                <w:sz w:val="18"/>
                <w:szCs w:val="18"/>
                <w:lang w:val="es-CO"/>
              </w:rPr>
              <w:t>54.446.606,14</w:t>
            </w:r>
          </w:p>
        </w:tc>
        <w:tc>
          <w:tcPr>
            <w:tcW w:w="2238" w:type="dxa"/>
          </w:tcPr>
          <w:p w14:paraId="0341CA2E" w14:textId="77777777" w:rsidR="007E2F9F" w:rsidRPr="00FB63E0" w:rsidRDefault="007E2F9F" w:rsidP="006548F8">
            <w:pPr>
              <w:pStyle w:val="Prrafodelista"/>
              <w:ind w:left="0"/>
              <w:jc w:val="right"/>
              <w:rPr>
                <w:rFonts w:ascii="Arial" w:hAnsi="Arial" w:cs="Arial"/>
                <w:b/>
                <w:bCs/>
                <w:sz w:val="18"/>
                <w:szCs w:val="18"/>
              </w:rPr>
            </w:pPr>
            <w:r w:rsidRPr="00FB63E0">
              <w:rPr>
                <w:rFonts w:ascii="Arial" w:hAnsi="Arial" w:cs="Arial"/>
                <w:b/>
                <w:sz w:val="18"/>
                <w:szCs w:val="18"/>
              </w:rPr>
              <w:t>6.127.682,50</w:t>
            </w:r>
          </w:p>
        </w:tc>
      </w:tr>
      <w:tr w:rsidR="007E2F9F" w:rsidRPr="00FB63E0" w14:paraId="6228F8D0" w14:textId="77777777" w:rsidTr="006548F8">
        <w:tc>
          <w:tcPr>
            <w:tcW w:w="3544" w:type="dxa"/>
          </w:tcPr>
          <w:p w14:paraId="30A2D414" w14:textId="77777777" w:rsidR="007E2F9F" w:rsidRPr="00FB63E0" w:rsidRDefault="007E2F9F" w:rsidP="006548F8">
            <w:pPr>
              <w:ind w:right="-1440"/>
              <w:jc w:val="both"/>
              <w:rPr>
                <w:rFonts w:ascii="Arial" w:hAnsi="Arial" w:cs="Arial"/>
                <w:b/>
                <w:sz w:val="18"/>
                <w:szCs w:val="18"/>
                <w:lang w:val="es-ES_tradnl"/>
              </w:rPr>
            </w:pPr>
            <w:r w:rsidRPr="00FB63E0">
              <w:rPr>
                <w:rFonts w:ascii="Arial" w:hAnsi="Arial" w:cs="Arial"/>
                <w:b/>
                <w:sz w:val="18"/>
                <w:szCs w:val="18"/>
                <w:lang w:val="es-ES_tradnl"/>
              </w:rPr>
              <w:t>TOTAL PÉRDIDAS DE APROPIACIÓN</w:t>
            </w:r>
          </w:p>
        </w:tc>
        <w:tc>
          <w:tcPr>
            <w:tcW w:w="2354" w:type="dxa"/>
          </w:tcPr>
          <w:p w14:paraId="71AED2B0" w14:textId="77777777" w:rsidR="007E2F9F" w:rsidRPr="00FB63E0" w:rsidRDefault="007E2F9F" w:rsidP="006548F8">
            <w:pPr>
              <w:pStyle w:val="Prrafodelista"/>
              <w:ind w:left="0"/>
              <w:jc w:val="right"/>
              <w:rPr>
                <w:rFonts w:ascii="Arial" w:hAnsi="Arial" w:cs="Arial"/>
                <w:b/>
                <w:bCs/>
                <w:sz w:val="18"/>
                <w:szCs w:val="18"/>
                <w:u w:val="single"/>
              </w:rPr>
            </w:pPr>
            <w:r w:rsidRPr="00FB63E0">
              <w:rPr>
                <w:rFonts w:ascii="Arial" w:eastAsia="Calibri" w:hAnsi="Arial" w:cs="Arial"/>
                <w:b/>
                <w:sz w:val="18"/>
                <w:szCs w:val="18"/>
                <w:lang w:val="es-CO"/>
              </w:rPr>
              <w:t>86.255.288,65</w:t>
            </w:r>
          </w:p>
        </w:tc>
        <w:tc>
          <w:tcPr>
            <w:tcW w:w="2354" w:type="dxa"/>
          </w:tcPr>
          <w:p w14:paraId="5AD59875" w14:textId="77777777" w:rsidR="007E2F9F" w:rsidRPr="00FB63E0" w:rsidRDefault="007E2F9F" w:rsidP="006548F8">
            <w:pPr>
              <w:pStyle w:val="Prrafodelista"/>
              <w:ind w:left="0"/>
              <w:jc w:val="right"/>
              <w:rPr>
                <w:rFonts w:ascii="Arial" w:hAnsi="Arial" w:cs="Arial"/>
                <w:b/>
                <w:bCs/>
                <w:sz w:val="18"/>
                <w:szCs w:val="18"/>
                <w:u w:val="single"/>
              </w:rPr>
            </w:pPr>
            <w:r w:rsidRPr="00FB63E0">
              <w:rPr>
                <w:rFonts w:ascii="Arial" w:eastAsia="Calibri" w:hAnsi="Arial" w:cs="Arial"/>
                <w:b/>
                <w:sz w:val="18"/>
                <w:szCs w:val="18"/>
                <w:lang w:val="es-CO"/>
              </w:rPr>
              <w:t>79.834.687,99</w:t>
            </w:r>
          </w:p>
        </w:tc>
        <w:tc>
          <w:tcPr>
            <w:tcW w:w="2238" w:type="dxa"/>
          </w:tcPr>
          <w:p w14:paraId="4F469758" w14:textId="77777777" w:rsidR="007E2F9F" w:rsidRPr="00FB63E0" w:rsidRDefault="007E2F9F" w:rsidP="006548F8">
            <w:pPr>
              <w:pStyle w:val="Prrafodelista"/>
              <w:ind w:left="0"/>
              <w:jc w:val="right"/>
              <w:rPr>
                <w:rFonts w:ascii="Arial" w:hAnsi="Arial" w:cs="Arial"/>
                <w:b/>
                <w:bCs/>
                <w:sz w:val="18"/>
                <w:szCs w:val="18"/>
                <w:u w:val="single"/>
              </w:rPr>
            </w:pPr>
            <w:r w:rsidRPr="00FB63E0">
              <w:rPr>
                <w:rFonts w:ascii="Arial" w:hAnsi="Arial" w:cs="Arial"/>
                <w:b/>
                <w:sz w:val="18"/>
                <w:szCs w:val="18"/>
                <w:u w:val="single"/>
              </w:rPr>
              <w:t>6.420.600,66</w:t>
            </w:r>
          </w:p>
        </w:tc>
      </w:tr>
    </w:tbl>
    <w:p w14:paraId="58DE2857" w14:textId="77777777" w:rsidR="007E2F9F" w:rsidRPr="00FB63E0" w:rsidRDefault="007E2F9F" w:rsidP="007E2F9F">
      <w:pPr>
        <w:ind w:left="-284" w:right="-234"/>
        <w:jc w:val="both"/>
        <w:rPr>
          <w:rFonts w:ascii="Arial" w:hAnsi="Arial" w:cs="Arial"/>
          <w:b/>
          <w:sz w:val="28"/>
          <w:szCs w:val="28"/>
          <w:lang w:val="es-MX"/>
        </w:rPr>
      </w:pPr>
    </w:p>
    <w:p w14:paraId="5DBE7735" w14:textId="77777777" w:rsidR="007E2F9F" w:rsidRPr="008217F4" w:rsidRDefault="007E2F9F" w:rsidP="007E2F9F">
      <w:pPr>
        <w:ind w:left="-284"/>
        <w:jc w:val="both"/>
        <w:rPr>
          <w:rFonts w:ascii="Arial" w:hAnsi="Arial" w:cs="Arial"/>
          <w:b/>
          <w:sz w:val="32"/>
          <w:szCs w:val="32"/>
        </w:rPr>
      </w:pPr>
      <w:r w:rsidRPr="008217F4">
        <w:rPr>
          <w:rFonts w:ascii="Arial" w:hAnsi="Arial" w:cs="Arial"/>
          <w:b/>
          <w:sz w:val="28"/>
          <w:szCs w:val="28"/>
          <w:lang w:val="es-MX"/>
        </w:rPr>
        <w:t xml:space="preserve">125.- </w:t>
      </w:r>
      <w:r w:rsidRPr="008217F4">
        <w:rPr>
          <w:rFonts w:ascii="Arial" w:hAnsi="Arial" w:cs="Arial"/>
          <w:b/>
          <w:sz w:val="28"/>
          <w:szCs w:val="28"/>
        </w:rPr>
        <w:t>CORPORACIÓN AUTÓNOMA REGIONAL DE SANTANDER – CAS.</w:t>
      </w:r>
    </w:p>
    <w:p w14:paraId="6EF011C7" w14:textId="77777777" w:rsidR="007E2F9F" w:rsidRPr="008217F4" w:rsidRDefault="007E2F9F" w:rsidP="007E2F9F">
      <w:pPr>
        <w:ind w:left="-284" w:right="-234"/>
        <w:jc w:val="both"/>
        <w:rPr>
          <w:rFonts w:ascii="Arial" w:hAnsi="Arial" w:cs="Arial"/>
          <w:b/>
          <w:sz w:val="28"/>
          <w:szCs w:val="28"/>
          <w:lang w:val="es-MX"/>
        </w:rPr>
      </w:pPr>
    </w:p>
    <w:p w14:paraId="0AE70438"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5B9994CF"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DEEB971"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8217F4" w14:paraId="5E046A89" w14:textId="77777777" w:rsidTr="006548F8">
        <w:tc>
          <w:tcPr>
            <w:tcW w:w="3544" w:type="dxa"/>
          </w:tcPr>
          <w:p w14:paraId="3A4D01A3" w14:textId="77777777" w:rsidR="007E2F9F" w:rsidRPr="008217F4" w:rsidRDefault="007E2F9F" w:rsidP="006548F8">
            <w:pPr>
              <w:ind w:left="1169" w:right="-1440"/>
              <w:rPr>
                <w:rFonts w:ascii="Arial" w:hAnsi="Arial" w:cs="Arial"/>
                <w:b/>
                <w:sz w:val="18"/>
                <w:szCs w:val="18"/>
                <w:lang w:val="es-ES_tradnl"/>
              </w:rPr>
            </w:pPr>
            <w:r w:rsidRPr="008217F4">
              <w:rPr>
                <w:rFonts w:ascii="Arial" w:hAnsi="Arial" w:cs="Arial"/>
                <w:b/>
                <w:sz w:val="18"/>
                <w:szCs w:val="18"/>
                <w:lang w:val="es-ES_tradnl"/>
              </w:rPr>
              <w:t>TIPO DE GASTO</w:t>
            </w:r>
          </w:p>
        </w:tc>
        <w:tc>
          <w:tcPr>
            <w:tcW w:w="2354" w:type="dxa"/>
          </w:tcPr>
          <w:p w14:paraId="37449F09" w14:textId="77777777" w:rsidR="007E2F9F" w:rsidRPr="008217F4" w:rsidRDefault="007E2F9F" w:rsidP="006548F8">
            <w:pPr>
              <w:jc w:val="center"/>
              <w:rPr>
                <w:rFonts w:ascii="Arial" w:hAnsi="Arial" w:cs="Arial"/>
                <w:b/>
                <w:sz w:val="18"/>
                <w:szCs w:val="18"/>
                <w:lang w:val="es-ES_tradnl"/>
              </w:rPr>
            </w:pPr>
            <w:r w:rsidRPr="008217F4">
              <w:rPr>
                <w:rFonts w:ascii="Arial" w:hAnsi="Arial" w:cs="Arial"/>
                <w:b/>
                <w:sz w:val="18"/>
                <w:szCs w:val="18"/>
                <w:lang w:val="es-ES_tradnl"/>
              </w:rPr>
              <w:t>APROPIACIÓN</w:t>
            </w:r>
          </w:p>
          <w:p w14:paraId="5E95E76C" w14:textId="77777777" w:rsidR="007E2F9F" w:rsidRPr="008217F4" w:rsidRDefault="007E2F9F" w:rsidP="006548F8">
            <w:pPr>
              <w:jc w:val="center"/>
              <w:rPr>
                <w:rFonts w:ascii="Arial" w:hAnsi="Arial" w:cs="Arial"/>
                <w:b/>
                <w:sz w:val="18"/>
                <w:szCs w:val="18"/>
                <w:lang w:val="es-ES_tradnl"/>
              </w:rPr>
            </w:pPr>
            <w:r w:rsidRPr="008217F4">
              <w:rPr>
                <w:rFonts w:ascii="Arial" w:hAnsi="Arial" w:cs="Arial"/>
                <w:b/>
                <w:sz w:val="18"/>
                <w:szCs w:val="18"/>
                <w:lang w:val="es-ES_tradnl"/>
              </w:rPr>
              <w:t>DEFINITIVA</w:t>
            </w:r>
          </w:p>
          <w:p w14:paraId="37DBFB31" w14:textId="77777777" w:rsidR="007E2F9F" w:rsidRPr="008217F4" w:rsidRDefault="007E2F9F" w:rsidP="006548F8">
            <w:pPr>
              <w:jc w:val="center"/>
              <w:rPr>
                <w:rFonts w:ascii="Arial" w:hAnsi="Arial" w:cs="Arial"/>
                <w:b/>
                <w:sz w:val="18"/>
                <w:szCs w:val="18"/>
                <w:lang w:val="es-ES_tradnl"/>
              </w:rPr>
            </w:pPr>
            <w:r w:rsidRPr="008217F4">
              <w:rPr>
                <w:rFonts w:ascii="Arial" w:hAnsi="Arial" w:cs="Arial"/>
                <w:b/>
                <w:sz w:val="18"/>
                <w:szCs w:val="18"/>
                <w:lang w:val="es-ES_tradnl"/>
              </w:rPr>
              <w:t>(1)</w:t>
            </w:r>
          </w:p>
          <w:p w14:paraId="0D40624B" w14:textId="77777777" w:rsidR="007E2F9F" w:rsidRPr="008217F4" w:rsidRDefault="007E2F9F" w:rsidP="006548F8">
            <w:pPr>
              <w:jc w:val="center"/>
              <w:rPr>
                <w:rFonts w:ascii="Arial" w:hAnsi="Arial" w:cs="Arial"/>
                <w:b/>
                <w:sz w:val="18"/>
                <w:szCs w:val="18"/>
                <w:lang w:val="es-ES_tradnl"/>
              </w:rPr>
            </w:pPr>
          </w:p>
        </w:tc>
        <w:tc>
          <w:tcPr>
            <w:tcW w:w="2354" w:type="dxa"/>
          </w:tcPr>
          <w:p w14:paraId="7A078267" w14:textId="77777777" w:rsidR="007E2F9F" w:rsidRPr="008217F4" w:rsidRDefault="007E2F9F" w:rsidP="006548F8">
            <w:pPr>
              <w:ind w:left="145" w:right="184"/>
              <w:jc w:val="center"/>
              <w:rPr>
                <w:rFonts w:ascii="Arial" w:hAnsi="Arial" w:cs="Arial"/>
                <w:b/>
                <w:sz w:val="18"/>
                <w:szCs w:val="18"/>
                <w:lang w:val="es-ES_tradnl"/>
              </w:rPr>
            </w:pPr>
            <w:r w:rsidRPr="008217F4">
              <w:rPr>
                <w:rFonts w:ascii="Arial" w:hAnsi="Arial" w:cs="Arial"/>
                <w:b/>
                <w:sz w:val="18"/>
                <w:szCs w:val="18"/>
                <w:lang w:val="es-ES_tradnl"/>
              </w:rPr>
              <w:t>EJECUCIÓN</w:t>
            </w:r>
          </w:p>
          <w:p w14:paraId="0D229B3D" w14:textId="77777777" w:rsidR="007E2F9F" w:rsidRPr="008217F4" w:rsidRDefault="007E2F9F" w:rsidP="006548F8">
            <w:pPr>
              <w:ind w:right="34"/>
              <w:jc w:val="center"/>
              <w:rPr>
                <w:rFonts w:ascii="Arial" w:hAnsi="Arial" w:cs="Arial"/>
                <w:b/>
                <w:sz w:val="18"/>
                <w:szCs w:val="18"/>
                <w:lang w:val="es-ES_tradnl"/>
              </w:rPr>
            </w:pPr>
            <w:r w:rsidRPr="008217F4">
              <w:rPr>
                <w:rFonts w:ascii="Arial" w:hAnsi="Arial" w:cs="Arial"/>
                <w:b/>
                <w:sz w:val="18"/>
                <w:szCs w:val="18"/>
                <w:lang w:val="es-ES_tradnl"/>
              </w:rPr>
              <w:t>COMPROMISOS</w:t>
            </w:r>
          </w:p>
          <w:p w14:paraId="03AA2358" w14:textId="77777777" w:rsidR="007E2F9F" w:rsidRPr="008217F4" w:rsidRDefault="007E2F9F" w:rsidP="006548F8">
            <w:pPr>
              <w:ind w:right="34"/>
              <w:jc w:val="center"/>
              <w:rPr>
                <w:rFonts w:ascii="Arial" w:hAnsi="Arial" w:cs="Arial"/>
                <w:b/>
                <w:sz w:val="18"/>
                <w:szCs w:val="18"/>
                <w:lang w:val="es-ES_tradnl"/>
              </w:rPr>
            </w:pPr>
            <w:r w:rsidRPr="008217F4">
              <w:rPr>
                <w:rFonts w:ascii="Arial" w:hAnsi="Arial" w:cs="Arial"/>
                <w:b/>
                <w:sz w:val="18"/>
                <w:szCs w:val="18"/>
                <w:lang w:val="es-ES_tradnl"/>
              </w:rPr>
              <w:t>(2)</w:t>
            </w:r>
          </w:p>
        </w:tc>
        <w:tc>
          <w:tcPr>
            <w:tcW w:w="2238" w:type="dxa"/>
          </w:tcPr>
          <w:p w14:paraId="311A9294" w14:textId="77777777" w:rsidR="007E2F9F" w:rsidRPr="008217F4" w:rsidRDefault="007E2F9F" w:rsidP="006548F8">
            <w:pPr>
              <w:ind w:left="25" w:right="34"/>
              <w:jc w:val="center"/>
              <w:rPr>
                <w:rFonts w:ascii="Arial" w:hAnsi="Arial" w:cs="Arial"/>
                <w:b/>
                <w:sz w:val="18"/>
                <w:szCs w:val="18"/>
                <w:lang w:val="es-ES_tradnl"/>
              </w:rPr>
            </w:pPr>
            <w:r w:rsidRPr="008217F4">
              <w:rPr>
                <w:rFonts w:ascii="Arial" w:hAnsi="Arial" w:cs="Arial"/>
                <w:b/>
                <w:sz w:val="18"/>
                <w:szCs w:val="18"/>
                <w:lang w:val="es-ES_tradnl"/>
              </w:rPr>
              <w:t>PÉRDIDAS DE</w:t>
            </w:r>
          </w:p>
          <w:p w14:paraId="637606AA" w14:textId="77777777" w:rsidR="007E2F9F" w:rsidRPr="008217F4" w:rsidRDefault="007E2F9F" w:rsidP="006548F8">
            <w:pPr>
              <w:ind w:right="34"/>
              <w:jc w:val="center"/>
              <w:rPr>
                <w:rFonts w:ascii="Arial" w:hAnsi="Arial" w:cs="Arial"/>
                <w:b/>
                <w:sz w:val="18"/>
                <w:szCs w:val="18"/>
                <w:lang w:val="es-ES_tradnl"/>
              </w:rPr>
            </w:pPr>
            <w:r w:rsidRPr="008217F4">
              <w:rPr>
                <w:rFonts w:ascii="Arial" w:hAnsi="Arial" w:cs="Arial"/>
                <w:b/>
                <w:sz w:val="18"/>
                <w:szCs w:val="18"/>
                <w:lang w:val="es-ES_tradnl"/>
              </w:rPr>
              <w:t>APROPIACIÓN</w:t>
            </w:r>
          </w:p>
          <w:p w14:paraId="41EA8BDD" w14:textId="77777777" w:rsidR="007E2F9F" w:rsidRPr="008217F4" w:rsidRDefault="007E2F9F" w:rsidP="006548F8">
            <w:pPr>
              <w:ind w:right="34"/>
              <w:jc w:val="center"/>
              <w:rPr>
                <w:rFonts w:ascii="Arial" w:hAnsi="Arial" w:cs="Arial"/>
                <w:b/>
                <w:sz w:val="18"/>
                <w:szCs w:val="18"/>
                <w:lang w:val="es-ES_tradnl"/>
              </w:rPr>
            </w:pPr>
            <w:r w:rsidRPr="008217F4">
              <w:rPr>
                <w:rFonts w:ascii="Arial" w:hAnsi="Arial" w:cs="Arial"/>
                <w:b/>
                <w:sz w:val="18"/>
                <w:szCs w:val="18"/>
                <w:lang w:val="es-ES_tradnl"/>
              </w:rPr>
              <w:t>3 = (1-2)</w:t>
            </w:r>
          </w:p>
        </w:tc>
      </w:tr>
      <w:tr w:rsidR="007E2F9F" w:rsidRPr="008217F4" w14:paraId="439DD559" w14:textId="77777777" w:rsidTr="006548F8">
        <w:trPr>
          <w:trHeight w:val="230"/>
        </w:trPr>
        <w:tc>
          <w:tcPr>
            <w:tcW w:w="3544" w:type="dxa"/>
          </w:tcPr>
          <w:p w14:paraId="6A77EE05" w14:textId="77777777" w:rsidR="007E2F9F" w:rsidRPr="008217F4" w:rsidRDefault="007E2F9F" w:rsidP="006548F8">
            <w:pPr>
              <w:ind w:right="-1440"/>
              <w:jc w:val="both"/>
              <w:rPr>
                <w:rFonts w:ascii="Arial" w:hAnsi="Arial" w:cs="Arial"/>
                <w:b/>
                <w:sz w:val="18"/>
                <w:szCs w:val="18"/>
                <w:lang w:val="es-ES_tradnl"/>
              </w:rPr>
            </w:pPr>
            <w:r w:rsidRPr="008217F4">
              <w:rPr>
                <w:rFonts w:ascii="Arial" w:hAnsi="Arial" w:cs="Arial"/>
                <w:b/>
                <w:sz w:val="18"/>
                <w:szCs w:val="18"/>
                <w:lang w:val="es-ES_tradnl"/>
              </w:rPr>
              <w:t>FUNCIONAMIENTO</w:t>
            </w:r>
          </w:p>
        </w:tc>
        <w:tc>
          <w:tcPr>
            <w:tcW w:w="2354" w:type="dxa"/>
          </w:tcPr>
          <w:p w14:paraId="15F3375F" w14:textId="77777777" w:rsidR="007E2F9F" w:rsidRPr="008217F4" w:rsidRDefault="007E2F9F" w:rsidP="006548F8">
            <w:pPr>
              <w:jc w:val="right"/>
              <w:rPr>
                <w:rFonts w:ascii="Arial" w:eastAsia="Calibri" w:hAnsi="Arial" w:cs="Arial"/>
                <w:b/>
                <w:bCs/>
                <w:sz w:val="18"/>
                <w:szCs w:val="18"/>
                <w:lang w:val="es-CO"/>
              </w:rPr>
            </w:pPr>
            <w:r w:rsidRPr="008217F4">
              <w:rPr>
                <w:rFonts w:ascii="Arial" w:eastAsia="Calibri" w:hAnsi="Arial" w:cs="Arial"/>
                <w:b/>
                <w:sz w:val="18"/>
                <w:szCs w:val="18"/>
                <w:lang w:val="es-CO"/>
              </w:rPr>
              <w:t>2.862.736.000</w:t>
            </w:r>
          </w:p>
        </w:tc>
        <w:tc>
          <w:tcPr>
            <w:tcW w:w="2354" w:type="dxa"/>
          </w:tcPr>
          <w:p w14:paraId="2E9FED29" w14:textId="77777777" w:rsidR="007E2F9F" w:rsidRPr="008217F4" w:rsidRDefault="007E2F9F" w:rsidP="006548F8">
            <w:pPr>
              <w:pStyle w:val="Prrafodelista"/>
              <w:ind w:left="0"/>
              <w:jc w:val="right"/>
              <w:rPr>
                <w:rFonts w:ascii="Arial" w:hAnsi="Arial" w:cs="Arial"/>
                <w:b/>
                <w:bCs/>
                <w:sz w:val="18"/>
                <w:szCs w:val="18"/>
              </w:rPr>
            </w:pPr>
            <w:r w:rsidRPr="008217F4">
              <w:rPr>
                <w:rFonts w:ascii="Arial" w:eastAsia="Calibri" w:hAnsi="Arial" w:cs="Arial"/>
                <w:b/>
                <w:sz w:val="18"/>
                <w:szCs w:val="18"/>
                <w:lang w:val="es-CO"/>
              </w:rPr>
              <w:t>2.817.967.645</w:t>
            </w:r>
          </w:p>
        </w:tc>
        <w:tc>
          <w:tcPr>
            <w:tcW w:w="2238" w:type="dxa"/>
          </w:tcPr>
          <w:p w14:paraId="485A19D5" w14:textId="77777777" w:rsidR="007E2F9F" w:rsidRPr="008217F4" w:rsidRDefault="007E2F9F" w:rsidP="006548F8">
            <w:pPr>
              <w:pStyle w:val="Prrafodelista"/>
              <w:ind w:left="0"/>
              <w:jc w:val="right"/>
              <w:rPr>
                <w:rFonts w:ascii="Arial" w:hAnsi="Arial" w:cs="Arial"/>
                <w:b/>
                <w:bCs/>
                <w:sz w:val="18"/>
                <w:szCs w:val="18"/>
              </w:rPr>
            </w:pPr>
            <w:r w:rsidRPr="008217F4">
              <w:rPr>
                <w:rFonts w:ascii="Arial" w:hAnsi="Arial" w:cs="Arial"/>
                <w:b/>
                <w:sz w:val="18"/>
                <w:szCs w:val="18"/>
              </w:rPr>
              <w:t>44.768.355</w:t>
            </w:r>
          </w:p>
        </w:tc>
      </w:tr>
      <w:tr w:rsidR="007E2F9F" w:rsidRPr="008217F4" w14:paraId="0AD91DEF" w14:textId="77777777" w:rsidTr="006548F8">
        <w:tc>
          <w:tcPr>
            <w:tcW w:w="3544" w:type="dxa"/>
          </w:tcPr>
          <w:p w14:paraId="190E906D" w14:textId="77777777" w:rsidR="007E2F9F" w:rsidRPr="008217F4" w:rsidRDefault="007E2F9F" w:rsidP="006548F8">
            <w:pPr>
              <w:ind w:right="-1440"/>
              <w:jc w:val="both"/>
              <w:rPr>
                <w:rFonts w:ascii="Arial" w:hAnsi="Arial" w:cs="Arial"/>
                <w:b/>
                <w:sz w:val="18"/>
                <w:szCs w:val="18"/>
                <w:lang w:val="es-ES_tradnl"/>
              </w:rPr>
            </w:pPr>
            <w:r w:rsidRPr="008217F4">
              <w:rPr>
                <w:rFonts w:ascii="Arial" w:hAnsi="Arial" w:cs="Arial"/>
                <w:b/>
                <w:sz w:val="18"/>
                <w:szCs w:val="18"/>
                <w:lang w:val="es-ES_tradnl"/>
              </w:rPr>
              <w:t>TOTAL PÉRDIDAS DE APROPIACIÓN</w:t>
            </w:r>
          </w:p>
        </w:tc>
        <w:tc>
          <w:tcPr>
            <w:tcW w:w="2354" w:type="dxa"/>
          </w:tcPr>
          <w:p w14:paraId="5EC757F3" w14:textId="77777777" w:rsidR="007E2F9F" w:rsidRPr="008217F4" w:rsidRDefault="007E2F9F" w:rsidP="006548F8">
            <w:pPr>
              <w:pStyle w:val="Prrafodelista"/>
              <w:ind w:left="0"/>
              <w:jc w:val="right"/>
              <w:rPr>
                <w:rFonts w:ascii="Arial" w:hAnsi="Arial" w:cs="Arial"/>
                <w:b/>
                <w:bCs/>
                <w:sz w:val="18"/>
                <w:szCs w:val="18"/>
                <w:u w:val="single"/>
              </w:rPr>
            </w:pPr>
            <w:r w:rsidRPr="008217F4">
              <w:rPr>
                <w:rFonts w:ascii="Arial" w:eastAsia="Calibri" w:hAnsi="Arial" w:cs="Arial"/>
                <w:b/>
                <w:sz w:val="18"/>
                <w:szCs w:val="18"/>
                <w:lang w:val="es-CO"/>
              </w:rPr>
              <w:t>2.862.736.000</w:t>
            </w:r>
          </w:p>
        </w:tc>
        <w:tc>
          <w:tcPr>
            <w:tcW w:w="2354" w:type="dxa"/>
          </w:tcPr>
          <w:p w14:paraId="2085E184" w14:textId="77777777" w:rsidR="007E2F9F" w:rsidRPr="008217F4" w:rsidRDefault="007E2F9F" w:rsidP="006548F8">
            <w:pPr>
              <w:pStyle w:val="Prrafodelista"/>
              <w:ind w:left="0"/>
              <w:jc w:val="right"/>
              <w:rPr>
                <w:rFonts w:ascii="Arial" w:hAnsi="Arial" w:cs="Arial"/>
                <w:b/>
                <w:bCs/>
                <w:sz w:val="18"/>
                <w:szCs w:val="18"/>
                <w:u w:val="single"/>
              </w:rPr>
            </w:pPr>
            <w:r w:rsidRPr="008217F4">
              <w:rPr>
                <w:rFonts w:ascii="Arial" w:eastAsia="Calibri" w:hAnsi="Arial" w:cs="Arial"/>
                <w:b/>
                <w:sz w:val="18"/>
                <w:szCs w:val="18"/>
                <w:lang w:val="es-CO"/>
              </w:rPr>
              <w:t>2.817.967.645</w:t>
            </w:r>
          </w:p>
        </w:tc>
        <w:tc>
          <w:tcPr>
            <w:tcW w:w="2238" w:type="dxa"/>
          </w:tcPr>
          <w:p w14:paraId="4B294F6E" w14:textId="77777777" w:rsidR="007E2F9F" w:rsidRPr="008217F4" w:rsidRDefault="007E2F9F" w:rsidP="006548F8">
            <w:pPr>
              <w:pStyle w:val="Prrafodelista"/>
              <w:ind w:left="0"/>
              <w:jc w:val="right"/>
              <w:rPr>
                <w:rFonts w:ascii="Arial" w:hAnsi="Arial" w:cs="Arial"/>
                <w:b/>
                <w:bCs/>
                <w:sz w:val="18"/>
                <w:szCs w:val="18"/>
                <w:u w:val="single"/>
              </w:rPr>
            </w:pPr>
            <w:r w:rsidRPr="008217F4">
              <w:rPr>
                <w:rFonts w:ascii="Arial" w:hAnsi="Arial" w:cs="Arial"/>
                <w:b/>
                <w:sz w:val="18"/>
                <w:szCs w:val="18"/>
                <w:u w:val="single"/>
              </w:rPr>
              <w:t>44.768.355</w:t>
            </w:r>
          </w:p>
        </w:tc>
      </w:tr>
    </w:tbl>
    <w:p w14:paraId="465E0DAD" w14:textId="77777777" w:rsidR="007E2F9F" w:rsidRPr="00FB63E0" w:rsidRDefault="007E2F9F" w:rsidP="007E2F9F">
      <w:pPr>
        <w:ind w:left="-284" w:right="-234"/>
        <w:jc w:val="both"/>
        <w:rPr>
          <w:rFonts w:ascii="Arial" w:hAnsi="Arial" w:cs="Arial"/>
          <w:b/>
          <w:sz w:val="28"/>
          <w:szCs w:val="28"/>
          <w:lang w:val="es-MX"/>
        </w:rPr>
      </w:pPr>
    </w:p>
    <w:p w14:paraId="213F7400" w14:textId="77777777" w:rsidR="007E2F9F" w:rsidRPr="008B6785" w:rsidRDefault="007E2F9F" w:rsidP="007E2F9F">
      <w:pPr>
        <w:ind w:left="-284"/>
        <w:jc w:val="both"/>
        <w:rPr>
          <w:rFonts w:ascii="Arial" w:hAnsi="Arial" w:cs="Arial"/>
          <w:b/>
          <w:sz w:val="28"/>
          <w:szCs w:val="28"/>
          <w:lang w:val="es-MX"/>
        </w:rPr>
      </w:pPr>
      <w:r w:rsidRPr="008B6785">
        <w:rPr>
          <w:rFonts w:ascii="Arial" w:hAnsi="Arial" w:cs="Arial"/>
          <w:b/>
          <w:sz w:val="28"/>
          <w:szCs w:val="28"/>
          <w:lang w:val="es-MX"/>
        </w:rPr>
        <w:t>128.- SUPERINTENDENCIA DE TRANSPORTE.</w:t>
      </w:r>
    </w:p>
    <w:p w14:paraId="535C371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3BB5A69"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5881FD3"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0D4CED" w14:paraId="2855BBFD" w14:textId="77777777" w:rsidTr="006548F8">
        <w:tc>
          <w:tcPr>
            <w:tcW w:w="3544" w:type="dxa"/>
          </w:tcPr>
          <w:p w14:paraId="2239A58A" w14:textId="77777777" w:rsidR="007E2F9F" w:rsidRPr="000D4CED" w:rsidRDefault="007E2F9F" w:rsidP="006548F8">
            <w:pPr>
              <w:ind w:left="1169" w:right="-1440"/>
              <w:rPr>
                <w:rFonts w:ascii="Arial" w:hAnsi="Arial" w:cs="Arial"/>
                <w:b/>
                <w:sz w:val="18"/>
                <w:szCs w:val="18"/>
                <w:lang w:val="es-ES_tradnl"/>
              </w:rPr>
            </w:pPr>
            <w:r w:rsidRPr="000D4CED">
              <w:rPr>
                <w:rFonts w:ascii="Arial" w:hAnsi="Arial" w:cs="Arial"/>
                <w:b/>
                <w:sz w:val="18"/>
                <w:szCs w:val="18"/>
                <w:lang w:val="es-ES_tradnl"/>
              </w:rPr>
              <w:t>TIPO DE GASTO</w:t>
            </w:r>
          </w:p>
        </w:tc>
        <w:tc>
          <w:tcPr>
            <w:tcW w:w="2354" w:type="dxa"/>
          </w:tcPr>
          <w:p w14:paraId="18906857" w14:textId="77777777" w:rsidR="007E2F9F" w:rsidRPr="000D4CED" w:rsidRDefault="007E2F9F" w:rsidP="006548F8">
            <w:pPr>
              <w:jc w:val="center"/>
              <w:rPr>
                <w:rFonts w:ascii="Arial" w:hAnsi="Arial" w:cs="Arial"/>
                <w:b/>
                <w:sz w:val="18"/>
                <w:szCs w:val="18"/>
                <w:lang w:val="es-ES_tradnl"/>
              </w:rPr>
            </w:pPr>
            <w:r w:rsidRPr="000D4CED">
              <w:rPr>
                <w:rFonts w:ascii="Arial" w:hAnsi="Arial" w:cs="Arial"/>
                <w:b/>
                <w:sz w:val="18"/>
                <w:szCs w:val="18"/>
                <w:lang w:val="es-ES_tradnl"/>
              </w:rPr>
              <w:t>APROPIACIÓN</w:t>
            </w:r>
          </w:p>
          <w:p w14:paraId="76FF96D6" w14:textId="77777777" w:rsidR="007E2F9F" w:rsidRPr="000D4CED" w:rsidRDefault="007E2F9F" w:rsidP="006548F8">
            <w:pPr>
              <w:jc w:val="center"/>
              <w:rPr>
                <w:rFonts w:ascii="Arial" w:hAnsi="Arial" w:cs="Arial"/>
                <w:b/>
                <w:sz w:val="18"/>
                <w:szCs w:val="18"/>
                <w:lang w:val="es-ES_tradnl"/>
              </w:rPr>
            </w:pPr>
            <w:r w:rsidRPr="000D4CED">
              <w:rPr>
                <w:rFonts w:ascii="Arial" w:hAnsi="Arial" w:cs="Arial"/>
                <w:b/>
                <w:sz w:val="18"/>
                <w:szCs w:val="18"/>
                <w:lang w:val="es-ES_tradnl"/>
              </w:rPr>
              <w:t>DEFINITIVA</w:t>
            </w:r>
          </w:p>
          <w:p w14:paraId="464A89A7" w14:textId="77777777" w:rsidR="007E2F9F" w:rsidRPr="000D4CED" w:rsidRDefault="007E2F9F" w:rsidP="006548F8">
            <w:pPr>
              <w:jc w:val="center"/>
              <w:rPr>
                <w:rFonts w:ascii="Arial" w:hAnsi="Arial" w:cs="Arial"/>
                <w:b/>
                <w:sz w:val="18"/>
                <w:szCs w:val="18"/>
                <w:lang w:val="es-ES_tradnl"/>
              </w:rPr>
            </w:pPr>
            <w:r w:rsidRPr="000D4CED">
              <w:rPr>
                <w:rFonts w:ascii="Arial" w:hAnsi="Arial" w:cs="Arial"/>
                <w:b/>
                <w:sz w:val="18"/>
                <w:szCs w:val="18"/>
                <w:lang w:val="es-ES_tradnl"/>
              </w:rPr>
              <w:t>(1)</w:t>
            </w:r>
          </w:p>
          <w:p w14:paraId="348F9386" w14:textId="77777777" w:rsidR="007E2F9F" w:rsidRPr="000D4CED" w:rsidRDefault="007E2F9F" w:rsidP="006548F8">
            <w:pPr>
              <w:jc w:val="center"/>
              <w:rPr>
                <w:rFonts w:ascii="Arial" w:hAnsi="Arial" w:cs="Arial"/>
                <w:b/>
                <w:sz w:val="18"/>
                <w:szCs w:val="18"/>
                <w:lang w:val="es-ES_tradnl"/>
              </w:rPr>
            </w:pPr>
          </w:p>
        </w:tc>
        <w:tc>
          <w:tcPr>
            <w:tcW w:w="2354" w:type="dxa"/>
          </w:tcPr>
          <w:p w14:paraId="031B5CF1" w14:textId="77777777" w:rsidR="007E2F9F" w:rsidRPr="000D4CED" w:rsidRDefault="007E2F9F" w:rsidP="006548F8">
            <w:pPr>
              <w:ind w:left="145" w:right="184"/>
              <w:jc w:val="center"/>
              <w:rPr>
                <w:rFonts w:ascii="Arial" w:hAnsi="Arial" w:cs="Arial"/>
                <w:b/>
                <w:sz w:val="18"/>
                <w:szCs w:val="18"/>
                <w:lang w:val="es-ES_tradnl"/>
              </w:rPr>
            </w:pPr>
            <w:r w:rsidRPr="000D4CED">
              <w:rPr>
                <w:rFonts w:ascii="Arial" w:hAnsi="Arial" w:cs="Arial"/>
                <w:b/>
                <w:sz w:val="18"/>
                <w:szCs w:val="18"/>
                <w:lang w:val="es-ES_tradnl"/>
              </w:rPr>
              <w:t>EJECUCIÓN</w:t>
            </w:r>
          </w:p>
          <w:p w14:paraId="4BC9342F" w14:textId="77777777" w:rsidR="007E2F9F" w:rsidRPr="000D4CED" w:rsidRDefault="007E2F9F" w:rsidP="006548F8">
            <w:pPr>
              <w:ind w:right="34"/>
              <w:jc w:val="center"/>
              <w:rPr>
                <w:rFonts w:ascii="Arial" w:hAnsi="Arial" w:cs="Arial"/>
                <w:b/>
                <w:sz w:val="18"/>
                <w:szCs w:val="18"/>
                <w:lang w:val="es-ES_tradnl"/>
              </w:rPr>
            </w:pPr>
            <w:r w:rsidRPr="000D4CED">
              <w:rPr>
                <w:rFonts w:ascii="Arial" w:hAnsi="Arial" w:cs="Arial"/>
                <w:b/>
                <w:sz w:val="18"/>
                <w:szCs w:val="18"/>
                <w:lang w:val="es-ES_tradnl"/>
              </w:rPr>
              <w:t>COMPROMISOS</w:t>
            </w:r>
          </w:p>
          <w:p w14:paraId="00E3D67B" w14:textId="77777777" w:rsidR="007E2F9F" w:rsidRPr="000D4CED" w:rsidRDefault="007E2F9F" w:rsidP="006548F8">
            <w:pPr>
              <w:ind w:right="34"/>
              <w:jc w:val="center"/>
              <w:rPr>
                <w:rFonts w:ascii="Arial" w:hAnsi="Arial" w:cs="Arial"/>
                <w:b/>
                <w:sz w:val="18"/>
                <w:szCs w:val="18"/>
                <w:lang w:val="es-ES_tradnl"/>
              </w:rPr>
            </w:pPr>
            <w:r w:rsidRPr="000D4CED">
              <w:rPr>
                <w:rFonts w:ascii="Arial" w:hAnsi="Arial" w:cs="Arial"/>
                <w:b/>
                <w:sz w:val="18"/>
                <w:szCs w:val="18"/>
                <w:lang w:val="es-ES_tradnl"/>
              </w:rPr>
              <w:t>(2)</w:t>
            </w:r>
          </w:p>
        </w:tc>
        <w:tc>
          <w:tcPr>
            <w:tcW w:w="2238" w:type="dxa"/>
          </w:tcPr>
          <w:p w14:paraId="3FA7EA46" w14:textId="77777777" w:rsidR="007E2F9F" w:rsidRPr="000D4CED" w:rsidRDefault="007E2F9F" w:rsidP="006548F8">
            <w:pPr>
              <w:ind w:left="25" w:right="34"/>
              <w:jc w:val="center"/>
              <w:rPr>
                <w:rFonts w:ascii="Arial" w:hAnsi="Arial" w:cs="Arial"/>
                <w:b/>
                <w:sz w:val="18"/>
                <w:szCs w:val="18"/>
                <w:lang w:val="es-ES_tradnl"/>
              </w:rPr>
            </w:pPr>
            <w:r w:rsidRPr="000D4CED">
              <w:rPr>
                <w:rFonts w:ascii="Arial" w:hAnsi="Arial" w:cs="Arial"/>
                <w:b/>
                <w:sz w:val="18"/>
                <w:szCs w:val="18"/>
                <w:lang w:val="es-ES_tradnl"/>
              </w:rPr>
              <w:t>PÉRDIDAS DE</w:t>
            </w:r>
          </w:p>
          <w:p w14:paraId="27D3651C" w14:textId="77777777" w:rsidR="007E2F9F" w:rsidRPr="000D4CED" w:rsidRDefault="007E2F9F" w:rsidP="006548F8">
            <w:pPr>
              <w:ind w:right="34"/>
              <w:jc w:val="center"/>
              <w:rPr>
                <w:rFonts w:ascii="Arial" w:hAnsi="Arial" w:cs="Arial"/>
                <w:b/>
                <w:sz w:val="18"/>
                <w:szCs w:val="18"/>
                <w:lang w:val="es-ES_tradnl"/>
              </w:rPr>
            </w:pPr>
            <w:r w:rsidRPr="000D4CED">
              <w:rPr>
                <w:rFonts w:ascii="Arial" w:hAnsi="Arial" w:cs="Arial"/>
                <w:b/>
                <w:sz w:val="18"/>
                <w:szCs w:val="18"/>
                <w:lang w:val="es-ES_tradnl"/>
              </w:rPr>
              <w:t>APROPIACIÓN</w:t>
            </w:r>
          </w:p>
          <w:p w14:paraId="73DAB4C4" w14:textId="77777777" w:rsidR="007E2F9F" w:rsidRPr="000D4CED" w:rsidRDefault="007E2F9F" w:rsidP="006548F8">
            <w:pPr>
              <w:ind w:right="34"/>
              <w:jc w:val="center"/>
              <w:rPr>
                <w:rFonts w:ascii="Arial" w:hAnsi="Arial" w:cs="Arial"/>
                <w:b/>
                <w:sz w:val="18"/>
                <w:szCs w:val="18"/>
                <w:lang w:val="es-ES_tradnl"/>
              </w:rPr>
            </w:pPr>
            <w:r w:rsidRPr="000D4CED">
              <w:rPr>
                <w:rFonts w:ascii="Arial" w:hAnsi="Arial" w:cs="Arial"/>
                <w:b/>
                <w:sz w:val="18"/>
                <w:szCs w:val="18"/>
                <w:lang w:val="es-ES_tradnl"/>
              </w:rPr>
              <w:t>3 = (1-2)</w:t>
            </w:r>
          </w:p>
        </w:tc>
      </w:tr>
      <w:tr w:rsidR="007E2F9F" w:rsidRPr="000D4CED" w14:paraId="45F61033" w14:textId="77777777" w:rsidTr="006548F8">
        <w:trPr>
          <w:trHeight w:val="230"/>
        </w:trPr>
        <w:tc>
          <w:tcPr>
            <w:tcW w:w="3544" w:type="dxa"/>
          </w:tcPr>
          <w:p w14:paraId="7C19AB41" w14:textId="77777777" w:rsidR="007E2F9F" w:rsidRPr="000D4CED" w:rsidRDefault="007E2F9F" w:rsidP="006548F8">
            <w:pPr>
              <w:ind w:right="-1440"/>
              <w:jc w:val="both"/>
              <w:rPr>
                <w:rFonts w:ascii="Arial" w:hAnsi="Arial" w:cs="Arial"/>
                <w:b/>
                <w:sz w:val="18"/>
                <w:szCs w:val="18"/>
                <w:lang w:val="es-ES_tradnl"/>
              </w:rPr>
            </w:pPr>
            <w:r w:rsidRPr="000D4CED">
              <w:rPr>
                <w:rFonts w:ascii="Arial" w:hAnsi="Arial" w:cs="Arial"/>
                <w:b/>
                <w:sz w:val="18"/>
                <w:szCs w:val="18"/>
                <w:lang w:val="es-ES_tradnl"/>
              </w:rPr>
              <w:t>FUNCIONAMIENTO</w:t>
            </w:r>
          </w:p>
        </w:tc>
        <w:tc>
          <w:tcPr>
            <w:tcW w:w="2354" w:type="dxa"/>
          </w:tcPr>
          <w:p w14:paraId="7FCBCE5A" w14:textId="77777777" w:rsidR="007E2F9F" w:rsidRPr="00314EF2" w:rsidRDefault="007E2F9F" w:rsidP="006548F8">
            <w:pPr>
              <w:jc w:val="right"/>
              <w:rPr>
                <w:rFonts w:ascii="Arial" w:eastAsia="Calibri" w:hAnsi="Arial" w:cs="Arial"/>
                <w:b/>
                <w:bCs/>
                <w:sz w:val="18"/>
                <w:szCs w:val="18"/>
                <w:lang w:val="es-CO"/>
              </w:rPr>
            </w:pPr>
            <w:r w:rsidRPr="00314EF2">
              <w:rPr>
                <w:rFonts w:ascii="Arial" w:eastAsia="Calibri" w:hAnsi="Arial" w:cs="Arial"/>
                <w:b/>
                <w:sz w:val="18"/>
                <w:szCs w:val="18"/>
                <w:lang w:val="es-CO"/>
              </w:rPr>
              <w:t>57.558.857</w:t>
            </w:r>
          </w:p>
        </w:tc>
        <w:tc>
          <w:tcPr>
            <w:tcW w:w="2354" w:type="dxa"/>
          </w:tcPr>
          <w:p w14:paraId="48B848B5" w14:textId="77777777" w:rsidR="007E2F9F" w:rsidRPr="00314EF2" w:rsidRDefault="007E2F9F" w:rsidP="006548F8">
            <w:pPr>
              <w:pStyle w:val="Prrafodelista"/>
              <w:ind w:left="0"/>
              <w:jc w:val="right"/>
              <w:rPr>
                <w:rFonts w:ascii="Arial" w:hAnsi="Arial" w:cs="Arial"/>
                <w:b/>
                <w:bCs/>
                <w:sz w:val="18"/>
                <w:szCs w:val="18"/>
              </w:rPr>
            </w:pPr>
            <w:r w:rsidRPr="00314EF2">
              <w:rPr>
                <w:rFonts w:ascii="Arial" w:eastAsia="Calibri" w:hAnsi="Arial" w:cs="Arial"/>
                <w:b/>
                <w:sz w:val="18"/>
                <w:szCs w:val="18"/>
                <w:lang w:val="es-CO"/>
              </w:rPr>
              <w:t>49.833.806</w:t>
            </w:r>
          </w:p>
        </w:tc>
        <w:tc>
          <w:tcPr>
            <w:tcW w:w="2238" w:type="dxa"/>
          </w:tcPr>
          <w:p w14:paraId="60CA24E3" w14:textId="77777777" w:rsidR="007E2F9F" w:rsidRPr="000D4CED" w:rsidRDefault="007E2F9F" w:rsidP="006548F8">
            <w:pPr>
              <w:pStyle w:val="Prrafodelista"/>
              <w:ind w:left="0"/>
              <w:jc w:val="right"/>
              <w:rPr>
                <w:rFonts w:ascii="Arial" w:hAnsi="Arial" w:cs="Arial"/>
                <w:b/>
                <w:bCs/>
                <w:sz w:val="18"/>
                <w:szCs w:val="18"/>
              </w:rPr>
            </w:pPr>
            <w:r w:rsidRPr="000D4CED">
              <w:rPr>
                <w:rFonts w:ascii="Arial" w:hAnsi="Arial" w:cs="Arial"/>
                <w:b/>
                <w:sz w:val="18"/>
                <w:szCs w:val="18"/>
              </w:rPr>
              <w:t>7.725.051</w:t>
            </w:r>
          </w:p>
        </w:tc>
      </w:tr>
      <w:tr w:rsidR="007E2F9F" w:rsidRPr="000D4CED" w14:paraId="1664D6E3" w14:textId="77777777" w:rsidTr="006548F8">
        <w:tc>
          <w:tcPr>
            <w:tcW w:w="3544" w:type="dxa"/>
          </w:tcPr>
          <w:p w14:paraId="0BD85869" w14:textId="77777777" w:rsidR="007E2F9F" w:rsidRPr="000D4CED" w:rsidRDefault="007E2F9F" w:rsidP="006548F8">
            <w:pPr>
              <w:ind w:right="-1440"/>
              <w:jc w:val="both"/>
              <w:rPr>
                <w:rFonts w:ascii="Arial" w:hAnsi="Arial" w:cs="Arial"/>
                <w:b/>
                <w:sz w:val="18"/>
                <w:szCs w:val="18"/>
                <w:lang w:val="es-ES_tradnl"/>
              </w:rPr>
            </w:pPr>
            <w:r w:rsidRPr="000D4CED">
              <w:rPr>
                <w:rFonts w:ascii="Arial" w:hAnsi="Arial" w:cs="Arial"/>
                <w:b/>
                <w:sz w:val="18"/>
                <w:szCs w:val="18"/>
                <w:lang w:val="es-ES_tradnl"/>
              </w:rPr>
              <w:t>INVERSIÓN</w:t>
            </w:r>
          </w:p>
        </w:tc>
        <w:tc>
          <w:tcPr>
            <w:tcW w:w="2354" w:type="dxa"/>
          </w:tcPr>
          <w:p w14:paraId="05C46C7F" w14:textId="77777777" w:rsidR="007E2F9F" w:rsidRPr="00314EF2" w:rsidRDefault="007E2F9F" w:rsidP="006548F8">
            <w:pPr>
              <w:pStyle w:val="Prrafodelista"/>
              <w:ind w:left="0"/>
              <w:jc w:val="right"/>
              <w:rPr>
                <w:rFonts w:ascii="Arial" w:hAnsi="Arial" w:cs="Arial"/>
                <w:b/>
                <w:bCs/>
                <w:sz w:val="18"/>
                <w:szCs w:val="18"/>
              </w:rPr>
            </w:pPr>
            <w:r w:rsidRPr="00314EF2">
              <w:rPr>
                <w:rFonts w:ascii="Arial" w:eastAsia="Calibri" w:hAnsi="Arial" w:cs="Arial"/>
                <w:b/>
                <w:sz w:val="18"/>
                <w:szCs w:val="18"/>
                <w:lang w:val="es-CO"/>
              </w:rPr>
              <w:t>21.457.922</w:t>
            </w:r>
          </w:p>
        </w:tc>
        <w:tc>
          <w:tcPr>
            <w:tcW w:w="2354" w:type="dxa"/>
          </w:tcPr>
          <w:p w14:paraId="5B82E807" w14:textId="77777777" w:rsidR="007E2F9F" w:rsidRPr="00314EF2" w:rsidRDefault="007E2F9F" w:rsidP="006548F8">
            <w:pPr>
              <w:pStyle w:val="Prrafodelista"/>
              <w:ind w:left="0"/>
              <w:jc w:val="right"/>
              <w:rPr>
                <w:rFonts w:ascii="Arial" w:hAnsi="Arial" w:cs="Arial"/>
                <w:b/>
                <w:bCs/>
                <w:sz w:val="18"/>
                <w:szCs w:val="18"/>
              </w:rPr>
            </w:pPr>
            <w:r w:rsidRPr="00314EF2">
              <w:rPr>
                <w:rFonts w:ascii="Arial" w:eastAsia="Calibri" w:hAnsi="Arial" w:cs="Arial"/>
                <w:b/>
                <w:sz w:val="18"/>
                <w:szCs w:val="18"/>
                <w:lang w:val="es-CO"/>
              </w:rPr>
              <w:t>20.784.829</w:t>
            </w:r>
          </w:p>
        </w:tc>
        <w:tc>
          <w:tcPr>
            <w:tcW w:w="2238" w:type="dxa"/>
          </w:tcPr>
          <w:p w14:paraId="480C2E9B" w14:textId="77777777" w:rsidR="007E2F9F" w:rsidRPr="000D4CED" w:rsidRDefault="007E2F9F" w:rsidP="006548F8">
            <w:pPr>
              <w:pStyle w:val="Prrafodelista"/>
              <w:ind w:left="0"/>
              <w:jc w:val="right"/>
              <w:rPr>
                <w:rFonts w:ascii="Arial" w:hAnsi="Arial" w:cs="Arial"/>
                <w:b/>
                <w:bCs/>
                <w:sz w:val="18"/>
                <w:szCs w:val="18"/>
              </w:rPr>
            </w:pPr>
            <w:r w:rsidRPr="000D4CED">
              <w:rPr>
                <w:rFonts w:ascii="Arial" w:hAnsi="Arial" w:cs="Arial"/>
                <w:b/>
                <w:sz w:val="18"/>
                <w:szCs w:val="18"/>
              </w:rPr>
              <w:t>673.094</w:t>
            </w:r>
          </w:p>
        </w:tc>
      </w:tr>
      <w:tr w:rsidR="007E2F9F" w:rsidRPr="000D4CED" w14:paraId="3CDB7048" w14:textId="77777777" w:rsidTr="006548F8">
        <w:tc>
          <w:tcPr>
            <w:tcW w:w="3544" w:type="dxa"/>
          </w:tcPr>
          <w:p w14:paraId="35948F7E" w14:textId="77777777" w:rsidR="007E2F9F" w:rsidRPr="000D4CED" w:rsidRDefault="007E2F9F" w:rsidP="006548F8">
            <w:pPr>
              <w:ind w:right="-1440"/>
              <w:jc w:val="both"/>
              <w:rPr>
                <w:rFonts w:ascii="Arial" w:hAnsi="Arial" w:cs="Arial"/>
                <w:b/>
                <w:sz w:val="18"/>
                <w:szCs w:val="18"/>
                <w:lang w:val="es-ES_tradnl"/>
              </w:rPr>
            </w:pPr>
            <w:r w:rsidRPr="000D4CED">
              <w:rPr>
                <w:rFonts w:ascii="Arial" w:hAnsi="Arial" w:cs="Arial"/>
                <w:b/>
                <w:sz w:val="18"/>
                <w:szCs w:val="18"/>
                <w:lang w:val="es-ES_tradnl"/>
              </w:rPr>
              <w:t>TOTAL PÉRDIDAS DE APROPIACIÓN</w:t>
            </w:r>
          </w:p>
        </w:tc>
        <w:tc>
          <w:tcPr>
            <w:tcW w:w="2354" w:type="dxa"/>
          </w:tcPr>
          <w:p w14:paraId="1F51A420" w14:textId="77777777" w:rsidR="007E2F9F" w:rsidRPr="000D4CED" w:rsidRDefault="007E2F9F" w:rsidP="006548F8">
            <w:pPr>
              <w:pStyle w:val="Prrafodelista"/>
              <w:ind w:left="0"/>
              <w:jc w:val="right"/>
              <w:rPr>
                <w:rFonts w:ascii="Arial" w:hAnsi="Arial" w:cs="Arial"/>
                <w:b/>
                <w:bCs/>
                <w:sz w:val="18"/>
                <w:szCs w:val="18"/>
                <w:u w:val="single"/>
              </w:rPr>
            </w:pPr>
            <w:r w:rsidRPr="000D4CED">
              <w:rPr>
                <w:rFonts w:ascii="Arial" w:eastAsia="Calibri" w:hAnsi="Arial" w:cs="Arial"/>
                <w:b/>
                <w:sz w:val="18"/>
                <w:szCs w:val="18"/>
                <w:lang w:val="es-CO"/>
              </w:rPr>
              <w:t>79.016.779</w:t>
            </w:r>
          </w:p>
        </w:tc>
        <w:tc>
          <w:tcPr>
            <w:tcW w:w="2354" w:type="dxa"/>
          </w:tcPr>
          <w:p w14:paraId="1A1220D1" w14:textId="77777777" w:rsidR="007E2F9F" w:rsidRPr="000D4CED" w:rsidRDefault="007E2F9F" w:rsidP="006548F8">
            <w:pPr>
              <w:pStyle w:val="Prrafodelista"/>
              <w:ind w:left="0"/>
              <w:jc w:val="right"/>
              <w:rPr>
                <w:rFonts w:ascii="Arial" w:hAnsi="Arial" w:cs="Arial"/>
                <w:b/>
                <w:bCs/>
                <w:sz w:val="18"/>
                <w:szCs w:val="18"/>
                <w:u w:val="single"/>
              </w:rPr>
            </w:pPr>
            <w:r w:rsidRPr="000D4CED">
              <w:rPr>
                <w:rFonts w:ascii="Arial" w:eastAsia="Calibri" w:hAnsi="Arial" w:cs="Arial"/>
                <w:b/>
                <w:sz w:val="18"/>
                <w:szCs w:val="18"/>
                <w:lang w:val="es-CO"/>
              </w:rPr>
              <w:t>70.618.635</w:t>
            </w:r>
          </w:p>
        </w:tc>
        <w:tc>
          <w:tcPr>
            <w:tcW w:w="2238" w:type="dxa"/>
          </w:tcPr>
          <w:p w14:paraId="4481A673" w14:textId="77777777" w:rsidR="007E2F9F" w:rsidRPr="000D4CED" w:rsidRDefault="007E2F9F" w:rsidP="006548F8">
            <w:pPr>
              <w:pStyle w:val="Prrafodelista"/>
              <w:ind w:left="0"/>
              <w:jc w:val="right"/>
              <w:rPr>
                <w:rFonts w:ascii="Arial" w:hAnsi="Arial" w:cs="Arial"/>
                <w:b/>
                <w:bCs/>
                <w:sz w:val="18"/>
                <w:szCs w:val="18"/>
                <w:u w:val="single"/>
              </w:rPr>
            </w:pPr>
            <w:r w:rsidRPr="000D4CED">
              <w:rPr>
                <w:rFonts w:ascii="Arial" w:hAnsi="Arial" w:cs="Arial"/>
                <w:b/>
                <w:sz w:val="18"/>
                <w:szCs w:val="18"/>
                <w:u w:val="single"/>
              </w:rPr>
              <w:t>8.398.144</w:t>
            </w:r>
          </w:p>
        </w:tc>
      </w:tr>
    </w:tbl>
    <w:p w14:paraId="496F4037" w14:textId="77777777" w:rsidR="007E2F9F" w:rsidRDefault="007E2F9F" w:rsidP="007E2F9F">
      <w:pPr>
        <w:ind w:left="-284" w:right="-234"/>
        <w:jc w:val="both"/>
        <w:rPr>
          <w:rFonts w:ascii="Arial" w:hAnsi="Arial" w:cs="Arial"/>
          <w:b/>
          <w:bCs/>
          <w:sz w:val="28"/>
          <w:szCs w:val="28"/>
          <w:lang w:val="es-MX"/>
        </w:rPr>
      </w:pPr>
    </w:p>
    <w:p w14:paraId="4BFF5173" w14:textId="77777777" w:rsidR="007E2F9F" w:rsidRPr="00314EF2" w:rsidRDefault="007E2F9F" w:rsidP="007E2F9F">
      <w:pPr>
        <w:ind w:left="-284"/>
        <w:jc w:val="both"/>
        <w:rPr>
          <w:rFonts w:ascii="Arial" w:hAnsi="Arial" w:cs="Arial"/>
          <w:b/>
          <w:sz w:val="28"/>
          <w:szCs w:val="28"/>
          <w:lang w:val="es-MX"/>
        </w:rPr>
      </w:pPr>
      <w:r w:rsidRPr="00314EF2">
        <w:rPr>
          <w:rFonts w:ascii="Arial" w:hAnsi="Arial" w:cs="Arial"/>
          <w:b/>
          <w:sz w:val="28"/>
          <w:szCs w:val="28"/>
          <w:lang w:val="es-MX"/>
        </w:rPr>
        <w:t xml:space="preserve">129.- </w:t>
      </w:r>
      <w:r w:rsidRPr="00314EF2">
        <w:rPr>
          <w:rFonts w:ascii="Arial" w:hAnsi="Arial" w:cs="Arial"/>
          <w:b/>
          <w:sz w:val="28"/>
          <w:szCs w:val="28"/>
        </w:rPr>
        <w:t>UNIDAD DE SERVICIOS PENITENCIARIOS Y CARCELARIOS – USPEC</w:t>
      </w:r>
      <w:r w:rsidRPr="00314EF2">
        <w:rPr>
          <w:rFonts w:ascii="Arial" w:hAnsi="Arial" w:cs="Arial"/>
          <w:b/>
          <w:sz w:val="28"/>
          <w:szCs w:val="28"/>
          <w:lang w:val="es-MX"/>
        </w:rPr>
        <w:t>.</w:t>
      </w:r>
    </w:p>
    <w:p w14:paraId="0773620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0856177"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7F8FCC7"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314EF2" w14:paraId="2908244E" w14:textId="77777777" w:rsidTr="006548F8">
        <w:tc>
          <w:tcPr>
            <w:tcW w:w="3544" w:type="dxa"/>
          </w:tcPr>
          <w:p w14:paraId="36064386" w14:textId="77777777" w:rsidR="007E2F9F" w:rsidRPr="00314EF2" w:rsidRDefault="007E2F9F" w:rsidP="006548F8">
            <w:pPr>
              <w:ind w:left="1169" w:right="-1440"/>
              <w:rPr>
                <w:rFonts w:ascii="Arial" w:hAnsi="Arial" w:cs="Arial"/>
                <w:b/>
                <w:sz w:val="18"/>
                <w:szCs w:val="18"/>
                <w:lang w:val="es-ES_tradnl"/>
              </w:rPr>
            </w:pPr>
            <w:r w:rsidRPr="00314EF2">
              <w:rPr>
                <w:rFonts w:ascii="Arial" w:hAnsi="Arial" w:cs="Arial"/>
                <w:b/>
                <w:sz w:val="18"/>
                <w:szCs w:val="18"/>
                <w:lang w:val="es-ES_tradnl"/>
              </w:rPr>
              <w:t>TIPO DE GASTO</w:t>
            </w:r>
          </w:p>
        </w:tc>
        <w:tc>
          <w:tcPr>
            <w:tcW w:w="2354" w:type="dxa"/>
          </w:tcPr>
          <w:p w14:paraId="29592E5E" w14:textId="77777777" w:rsidR="007E2F9F" w:rsidRPr="00314EF2" w:rsidRDefault="007E2F9F" w:rsidP="006548F8">
            <w:pPr>
              <w:jc w:val="center"/>
              <w:rPr>
                <w:rFonts w:ascii="Arial" w:hAnsi="Arial" w:cs="Arial"/>
                <w:b/>
                <w:sz w:val="18"/>
                <w:szCs w:val="18"/>
                <w:lang w:val="es-ES_tradnl"/>
              </w:rPr>
            </w:pPr>
            <w:r w:rsidRPr="00314EF2">
              <w:rPr>
                <w:rFonts w:ascii="Arial" w:hAnsi="Arial" w:cs="Arial"/>
                <w:b/>
                <w:sz w:val="18"/>
                <w:szCs w:val="18"/>
                <w:lang w:val="es-ES_tradnl"/>
              </w:rPr>
              <w:t>APROPIACIÓN</w:t>
            </w:r>
          </w:p>
          <w:p w14:paraId="5D5498F3" w14:textId="77777777" w:rsidR="007E2F9F" w:rsidRPr="00314EF2" w:rsidRDefault="007E2F9F" w:rsidP="006548F8">
            <w:pPr>
              <w:jc w:val="center"/>
              <w:rPr>
                <w:rFonts w:ascii="Arial" w:hAnsi="Arial" w:cs="Arial"/>
                <w:b/>
                <w:sz w:val="18"/>
                <w:szCs w:val="18"/>
                <w:lang w:val="es-ES_tradnl"/>
              </w:rPr>
            </w:pPr>
            <w:r w:rsidRPr="00314EF2">
              <w:rPr>
                <w:rFonts w:ascii="Arial" w:hAnsi="Arial" w:cs="Arial"/>
                <w:b/>
                <w:sz w:val="18"/>
                <w:szCs w:val="18"/>
                <w:lang w:val="es-ES_tradnl"/>
              </w:rPr>
              <w:t>DEFINITIVA</w:t>
            </w:r>
          </w:p>
          <w:p w14:paraId="117C8316" w14:textId="77777777" w:rsidR="007E2F9F" w:rsidRPr="00314EF2" w:rsidRDefault="007E2F9F" w:rsidP="006548F8">
            <w:pPr>
              <w:jc w:val="center"/>
              <w:rPr>
                <w:rFonts w:ascii="Arial" w:hAnsi="Arial" w:cs="Arial"/>
                <w:b/>
                <w:sz w:val="18"/>
                <w:szCs w:val="18"/>
                <w:lang w:val="es-ES_tradnl"/>
              </w:rPr>
            </w:pPr>
            <w:r w:rsidRPr="00314EF2">
              <w:rPr>
                <w:rFonts w:ascii="Arial" w:hAnsi="Arial" w:cs="Arial"/>
                <w:b/>
                <w:sz w:val="18"/>
                <w:szCs w:val="18"/>
                <w:lang w:val="es-ES_tradnl"/>
              </w:rPr>
              <w:t>(1)</w:t>
            </w:r>
          </w:p>
          <w:p w14:paraId="70BDB08A" w14:textId="77777777" w:rsidR="007E2F9F" w:rsidRPr="00314EF2" w:rsidRDefault="007E2F9F" w:rsidP="006548F8">
            <w:pPr>
              <w:jc w:val="center"/>
              <w:rPr>
                <w:rFonts w:ascii="Arial" w:hAnsi="Arial" w:cs="Arial"/>
                <w:b/>
                <w:sz w:val="18"/>
                <w:szCs w:val="18"/>
                <w:lang w:val="es-ES_tradnl"/>
              </w:rPr>
            </w:pPr>
          </w:p>
        </w:tc>
        <w:tc>
          <w:tcPr>
            <w:tcW w:w="2354" w:type="dxa"/>
          </w:tcPr>
          <w:p w14:paraId="382A9E43" w14:textId="77777777" w:rsidR="007E2F9F" w:rsidRPr="00314EF2" w:rsidRDefault="007E2F9F" w:rsidP="006548F8">
            <w:pPr>
              <w:ind w:left="145" w:right="184"/>
              <w:jc w:val="center"/>
              <w:rPr>
                <w:rFonts w:ascii="Arial" w:hAnsi="Arial" w:cs="Arial"/>
                <w:b/>
                <w:sz w:val="18"/>
                <w:szCs w:val="18"/>
                <w:lang w:val="es-ES_tradnl"/>
              </w:rPr>
            </w:pPr>
            <w:r w:rsidRPr="00314EF2">
              <w:rPr>
                <w:rFonts w:ascii="Arial" w:hAnsi="Arial" w:cs="Arial"/>
                <w:b/>
                <w:sz w:val="18"/>
                <w:szCs w:val="18"/>
                <w:lang w:val="es-ES_tradnl"/>
              </w:rPr>
              <w:t>EJECUCIÓN</w:t>
            </w:r>
          </w:p>
          <w:p w14:paraId="56063B31"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COMPROMISOS</w:t>
            </w:r>
          </w:p>
          <w:p w14:paraId="4819B23F"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(2)</w:t>
            </w:r>
          </w:p>
        </w:tc>
        <w:tc>
          <w:tcPr>
            <w:tcW w:w="2238" w:type="dxa"/>
          </w:tcPr>
          <w:p w14:paraId="1CD806DC" w14:textId="77777777" w:rsidR="007E2F9F" w:rsidRPr="00314EF2" w:rsidRDefault="007E2F9F" w:rsidP="006548F8">
            <w:pPr>
              <w:ind w:left="25" w:right="34"/>
              <w:jc w:val="center"/>
              <w:rPr>
                <w:rFonts w:ascii="Arial" w:hAnsi="Arial" w:cs="Arial"/>
                <w:b/>
                <w:sz w:val="18"/>
                <w:szCs w:val="18"/>
                <w:lang w:val="es-ES_tradnl"/>
              </w:rPr>
            </w:pPr>
            <w:r w:rsidRPr="00314EF2">
              <w:rPr>
                <w:rFonts w:ascii="Arial" w:hAnsi="Arial" w:cs="Arial"/>
                <w:b/>
                <w:sz w:val="18"/>
                <w:szCs w:val="18"/>
                <w:lang w:val="es-ES_tradnl"/>
              </w:rPr>
              <w:t>PÉRDIDAS DE</w:t>
            </w:r>
          </w:p>
          <w:p w14:paraId="268BF5F2"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APROPIACIÓN</w:t>
            </w:r>
          </w:p>
          <w:p w14:paraId="62671E74"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3 = (1-2)</w:t>
            </w:r>
          </w:p>
        </w:tc>
      </w:tr>
      <w:tr w:rsidR="007E2F9F" w:rsidRPr="00314EF2" w14:paraId="6AD3D879" w14:textId="77777777" w:rsidTr="006548F8">
        <w:trPr>
          <w:trHeight w:val="230"/>
        </w:trPr>
        <w:tc>
          <w:tcPr>
            <w:tcW w:w="3544" w:type="dxa"/>
          </w:tcPr>
          <w:p w14:paraId="386587D9" w14:textId="77777777" w:rsidR="007E2F9F" w:rsidRPr="00314EF2" w:rsidRDefault="007E2F9F" w:rsidP="006548F8">
            <w:pPr>
              <w:ind w:right="-1440"/>
              <w:jc w:val="both"/>
              <w:rPr>
                <w:rFonts w:ascii="Arial" w:hAnsi="Arial" w:cs="Arial"/>
                <w:b/>
                <w:sz w:val="18"/>
                <w:szCs w:val="18"/>
                <w:lang w:val="es-ES_tradnl"/>
              </w:rPr>
            </w:pPr>
            <w:r w:rsidRPr="00314EF2">
              <w:rPr>
                <w:rFonts w:ascii="Arial" w:hAnsi="Arial" w:cs="Arial"/>
                <w:b/>
                <w:sz w:val="18"/>
                <w:szCs w:val="18"/>
                <w:lang w:val="es-ES_tradnl"/>
              </w:rPr>
              <w:t>FUNCIONAMIENTO</w:t>
            </w:r>
          </w:p>
        </w:tc>
        <w:tc>
          <w:tcPr>
            <w:tcW w:w="2354" w:type="dxa"/>
          </w:tcPr>
          <w:p w14:paraId="2A195C8F" w14:textId="77777777" w:rsidR="007E2F9F" w:rsidRPr="00314EF2" w:rsidRDefault="007E2F9F" w:rsidP="006548F8">
            <w:pPr>
              <w:jc w:val="right"/>
              <w:rPr>
                <w:rFonts w:ascii="Arial" w:eastAsia="Calibri" w:hAnsi="Arial" w:cs="Arial"/>
                <w:b/>
                <w:bCs/>
                <w:sz w:val="18"/>
                <w:szCs w:val="18"/>
                <w:lang w:val="es-CO"/>
              </w:rPr>
            </w:pPr>
            <w:r w:rsidRPr="00314EF2">
              <w:rPr>
                <w:rFonts w:ascii="Arial" w:eastAsia="Calibri" w:hAnsi="Arial" w:cs="Arial"/>
                <w:b/>
                <w:sz w:val="18"/>
                <w:szCs w:val="18"/>
                <w:lang w:val="es-CO"/>
              </w:rPr>
              <w:t>1.373.560</w:t>
            </w:r>
          </w:p>
        </w:tc>
        <w:tc>
          <w:tcPr>
            <w:tcW w:w="2354" w:type="dxa"/>
          </w:tcPr>
          <w:p w14:paraId="2A00B3CA" w14:textId="77777777" w:rsidR="007E2F9F" w:rsidRPr="00314EF2" w:rsidRDefault="007E2F9F" w:rsidP="006548F8">
            <w:pPr>
              <w:pStyle w:val="Prrafodelista"/>
              <w:ind w:left="0"/>
              <w:jc w:val="right"/>
              <w:rPr>
                <w:rFonts w:ascii="Arial" w:hAnsi="Arial" w:cs="Arial"/>
                <w:b/>
                <w:bCs/>
                <w:sz w:val="18"/>
                <w:szCs w:val="18"/>
              </w:rPr>
            </w:pPr>
            <w:r w:rsidRPr="00314EF2">
              <w:rPr>
                <w:rFonts w:ascii="Arial" w:eastAsia="Calibri" w:hAnsi="Arial" w:cs="Arial"/>
                <w:b/>
                <w:sz w:val="18"/>
                <w:szCs w:val="18"/>
                <w:lang w:val="es-CO"/>
              </w:rPr>
              <w:t>1.361.865</w:t>
            </w:r>
          </w:p>
        </w:tc>
        <w:tc>
          <w:tcPr>
            <w:tcW w:w="2238" w:type="dxa"/>
          </w:tcPr>
          <w:p w14:paraId="77FE1E0D" w14:textId="77777777" w:rsidR="007E2F9F" w:rsidRPr="00314EF2" w:rsidRDefault="007E2F9F" w:rsidP="006548F8">
            <w:pPr>
              <w:pStyle w:val="Prrafodelista"/>
              <w:ind w:left="0"/>
              <w:jc w:val="right"/>
              <w:rPr>
                <w:rFonts w:ascii="Arial" w:hAnsi="Arial" w:cs="Arial"/>
                <w:b/>
                <w:bCs/>
                <w:sz w:val="18"/>
                <w:szCs w:val="18"/>
              </w:rPr>
            </w:pPr>
            <w:r w:rsidRPr="00314EF2">
              <w:rPr>
                <w:rFonts w:ascii="Arial" w:hAnsi="Arial" w:cs="Arial"/>
                <w:b/>
                <w:sz w:val="18"/>
                <w:szCs w:val="18"/>
              </w:rPr>
              <w:t>7.846</w:t>
            </w:r>
          </w:p>
        </w:tc>
      </w:tr>
      <w:tr w:rsidR="007E2F9F" w:rsidRPr="00314EF2" w14:paraId="4C67760D" w14:textId="77777777" w:rsidTr="006548F8">
        <w:tc>
          <w:tcPr>
            <w:tcW w:w="3544" w:type="dxa"/>
          </w:tcPr>
          <w:p w14:paraId="5C248E9E" w14:textId="77777777" w:rsidR="007E2F9F" w:rsidRPr="00314EF2" w:rsidRDefault="007E2F9F" w:rsidP="006548F8">
            <w:pPr>
              <w:ind w:right="-1440"/>
              <w:jc w:val="both"/>
              <w:rPr>
                <w:rFonts w:ascii="Arial" w:hAnsi="Arial" w:cs="Arial"/>
                <w:b/>
                <w:sz w:val="18"/>
                <w:szCs w:val="18"/>
                <w:lang w:val="es-ES_tradnl"/>
              </w:rPr>
            </w:pPr>
            <w:r w:rsidRPr="00314EF2">
              <w:rPr>
                <w:rFonts w:ascii="Arial" w:hAnsi="Arial" w:cs="Arial"/>
                <w:b/>
                <w:sz w:val="18"/>
                <w:szCs w:val="18"/>
                <w:lang w:val="es-ES_tradnl"/>
              </w:rPr>
              <w:t>INVERSIÓN</w:t>
            </w:r>
          </w:p>
        </w:tc>
        <w:tc>
          <w:tcPr>
            <w:tcW w:w="2354" w:type="dxa"/>
          </w:tcPr>
          <w:p w14:paraId="01803C90" w14:textId="77777777" w:rsidR="007E2F9F" w:rsidRPr="00314EF2" w:rsidRDefault="007E2F9F" w:rsidP="006548F8">
            <w:pPr>
              <w:pStyle w:val="Prrafodelista"/>
              <w:ind w:left="0"/>
              <w:jc w:val="right"/>
              <w:rPr>
                <w:rFonts w:ascii="Arial" w:hAnsi="Arial" w:cs="Arial"/>
                <w:b/>
                <w:bCs/>
                <w:sz w:val="18"/>
                <w:szCs w:val="18"/>
              </w:rPr>
            </w:pPr>
            <w:r w:rsidRPr="00314EF2">
              <w:rPr>
                <w:rFonts w:ascii="Arial" w:eastAsia="Calibri" w:hAnsi="Arial" w:cs="Arial"/>
                <w:b/>
                <w:sz w:val="18"/>
                <w:szCs w:val="18"/>
                <w:lang w:val="es-CO"/>
              </w:rPr>
              <w:t>498.919</w:t>
            </w:r>
          </w:p>
        </w:tc>
        <w:tc>
          <w:tcPr>
            <w:tcW w:w="2354" w:type="dxa"/>
          </w:tcPr>
          <w:p w14:paraId="2FA008C6" w14:textId="77777777" w:rsidR="007E2F9F" w:rsidRPr="00314EF2" w:rsidRDefault="007E2F9F" w:rsidP="006548F8">
            <w:pPr>
              <w:pStyle w:val="Prrafodelista"/>
              <w:ind w:left="0"/>
              <w:jc w:val="right"/>
              <w:rPr>
                <w:rFonts w:ascii="Arial" w:hAnsi="Arial" w:cs="Arial"/>
                <w:b/>
                <w:bCs/>
                <w:sz w:val="18"/>
                <w:szCs w:val="18"/>
              </w:rPr>
            </w:pPr>
            <w:r w:rsidRPr="00314EF2">
              <w:rPr>
                <w:rFonts w:ascii="Arial" w:eastAsia="Calibri" w:hAnsi="Arial" w:cs="Arial"/>
                <w:b/>
                <w:sz w:val="18"/>
                <w:szCs w:val="18"/>
                <w:lang w:val="es-CO"/>
              </w:rPr>
              <w:t>472.343</w:t>
            </w:r>
          </w:p>
        </w:tc>
        <w:tc>
          <w:tcPr>
            <w:tcW w:w="2238" w:type="dxa"/>
          </w:tcPr>
          <w:p w14:paraId="297D7112" w14:textId="77777777" w:rsidR="007E2F9F" w:rsidRPr="00314EF2" w:rsidRDefault="007E2F9F" w:rsidP="006548F8">
            <w:pPr>
              <w:pStyle w:val="Prrafodelista"/>
              <w:ind w:left="0"/>
              <w:jc w:val="right"/>
              <w:rPr>
                <w:rFonts w:ascii="Arial" w:hAnsi="Arial" w:cs="Arial"/>
                <w:b/>
                <w:bCs/>
                <w:sz w:val="18"/>
                <w:szCs w:val="18"/>
              </w:rPr>
            </w:pPr>
            <w:r w:rsidRPr="00314EF2">
              <w:rPr>
                <w:rFonts w:ascii="Arial" w:hAnsi="Arial" w:cs="Arial"/>
                <w:b/>
                <w:sz w:val="18"/>
                <w:szCs w:val="18"/>
              </w:rPr>
              <w:t>13.620</w:t>
            </w:r>
          </w:p>
        </w:tc>
      </w:tr>
      <w:tr w:rsidR="007E2F9F" w:rsidRPr="00314EF2" w14:paraId="78241D84" w14:textId="77777777" w:rsidTr="006548F8">
        <w:tc>
          <w:tcPr>
            <w:tcW w:w="3544" w:type="dxa"/>
          </w:tcPr>
          <w:p w14:paraId="38289CE3" w14:textId="77777777" w:rsidR="007E2F9F" w:rsidRPr="00314EF2" w:rsidRDefault="007E2F9F" w:rsidP="006548F8">
            <w:pPr>
              <w:ind w:right="-1440"/>
              <w:jc w:val="both"/>
              <w:rPr>
                <w:rFonts w:ascii="Arial" w:hAnsi="Arial" w:cs="Arial"/>
                <w:b/>
                <w:sz w:val="18"/>
                <w:szCs w:val="18"/>
                <w:lang w:val="es-ES_tradnl"/>
              </w:rPr>
            </w:pPr>
            <w:r w:rsidRPr="00314EF2">
              <w:rPr>
                <w:rFonts w:ascii="Arial" w:hAnsi="Arial" w:cs="Arial"/>
                <w:b/>
                <w:sz w:val="18"/>
                <w:szCs w:val="18"/>
                <w:lang w:val="es-ES_tradnl"/>
              </w:rPr>
              <w:t>TOTAL PÉRDIDAS DE APROPIACIÓN</w:t>
            </w:r>
          </w:p>
        </w:tc>
        <w:tc>
          <w:tcPr>
            <w:tcW w:w="2354" w:type="dxa"/>
          </w:tcPr>
          <w:p w14:paraId="09178FA1" w14:textId="77777777" w:rsidR="007E2F9F" w:rsidRPr="00314EF2" w:rsidRDefault="007E2F9F" w:rsidP="006548F8">
            <w:pPr>
              <w:pStyle w:val="Prrafodelista"/>
              <w:ind w:left="0"/>
              <w:jc w:val="right"/>
              <w:rPr>
                <w:rFonts w:ascii="Arial" w:hAnsi="Arial" w:cs="Arial"/>
                <w:b/>
                <w:bCs/>
                <w:sz w:val="18"/>
                <w:szCs w:val="18"/>
                <w:u w:val="single"/>
              </w:rPr>
            </w:pPr>
            <w:r w:rsidRPr="00314EF2">
              <w:rPr>
                <w:rFonts w:ascii="Arial" w:eastAsia="Calibri" w:hAnsi="Arial" w:cs="Arial"/>
                <w:b/>
                <w:sz w:val="18"/>
                <w:szCs w:val="18"/>
                <w:lang w:val="es-CO"/>
              </w:rPr>
              <w:t>1.872.479</w:t>
            </w:r>
          </w:p>
        </w:tc>
        <w:tc>
          <w:tcPr>
            <w:tcW w:w="2354" w:type="dxa"/>
          </w:tcPr>
          <w:p w14:paraId="67EDBAD3" w14:textId="77777777" w:rsidR="007E2F9F" w:rsidRPr="00314EF2" w:rsidRDefault="007E2F9F" w:rsidP="006548F8">
            <w:pPr>
              <w:pStyle w:val="Prrafodelista"/>
              <w:ind w:left="0"/>
              <w:jc w:val="right"/>
              <w:rPr>
                <w:rFonts w:ascii="Arial" w:hAnsi="Arial" w:cs="Arial"/>
                <w:b/>
                <w:bCs/>
                <w:sz w:val="18"/>
                <w:szCs w:val="18"/>
                <w:u w:val="single"/>
              </w:rPr>
            </w:pPr>
            <w:r w:rsidRPr="00314EF2">
              <w:rPr>
                <w:rFonts w:ascii="Arial" w:eastAsia="Calibri" w:hAnsi="Arial" w:cs="Arial"/>
                <w:b/>
                <w:sz w:val="18"/>
                <w:szCs w:val="18"/>
                <w:lang w:val="es-CO"/>
              </w:rPr>
              <w:t>1.834.208</w:t>
            </w:r>
          </w:p>
        </w:tc>
        <w:tc>
          <w:tcPr>
            <w:tcW w:w="2238" w:type="dxa"/>
          </w:tcPr>
          <w:p w14:paraId="2625185B" w14:textId="77777777" w:rsidR="007E2F9F" w:rsidRPr="00314EF2" w:rsidRDefault="007E2F9F" w:rsidP="006548F8">
            <w:pPr>
              <w:pStyle w:val="Prrafodelista"/>
              <w:ind w:left="0"/>
              <w:jc w:val="right"/>
              <w:rPr>
                <w:rFonts w:ascii="Arial" w:hAnsi="Arial" w:cs="Arial"/>
                <w:b/>
                <w:bCs/>
                <w:sz w:val="18"/>
                <w:szCs w:val="18"/>
                <w:u w:val="single"/>
              </w:rPr>
            </w:pPr>
            <w:r w:rsidRPr="00314EF2">
              <w:rPr>
                <w:rFonts w:ascii="Arial" w:hAnsi="Arial" w:cs="Arial"/>
                <w:b/>
                <w:sz w:val="18"/>
                <w:szCs w:val="18"/>
                <w:u w:val="single"/>
              </w:rPr>
              <w:t>21.465</w:t>
            </w:r>
          </w:p>
        </w:tc>
      </w:tr>
    </w:tbl>
    <w:p w14:paraId="1C8D5594" w14:textId="77777777" w:rsidR="007E2F9F" w:rsidRDefault="007E2F9F" w:rsidP="007E2F9F">
      <w:pPr>
        <w:pStyle w:val="Prrafodelista"/>
        <w:ind w:left="-142"/>
        <w:rPr>
          <w:b/>
          <w:sz w:val="24"/>
        </w:rPr>
      </w:pPr>
    </w:p>
    <w:p w14:paraId="7518D5B8" w14:textId="77777777" w:rsidR="007E2F9F" w:rsidRDefault="007E2F9F" w:rsidP="007E2F9F">
      <w:pPr>
        <w:ind w:left="-284"/>
        <w:jc w:val="both"/>
        <w:rPr>
          <w:rFonts w:ascii="Arial" w:hAnsi="Arial" w:cs="Arial"/>
          <w:b/>
          <w:sz w:val="28"/>
          <w:szCs w:val="28"/>
          <w:lang w:val="es-MX"/>
        </w:rPr>
      </w:pPr>
      <w:r w:rsidRPr="0077142B">
        <w:rPr>
          <w:rFonts w:ascii="Arial" w:hAnsi="Arial" w:cs="Arial"/>
          <w:b/>
          <w:sz w:val="28"/>
          <w:szCs w:val="28"/>
          <w:lang w:val="es-MX"/>
        </w:rPr>
        <w:t>130.- U.A.E. JUNTA CENTRAL DE CONTADORES.</w:t>
      </w:r>
    </w:p>
    <w:p w14:paraId="54CBF492" w14:textId="77777777" w:rsidR="007E2F9F" w:rsidRDefault="007E2F9F" w:rsidP="007E2F9F">
      <w:pPr>
        <w:ind w:left="-284"/>
        <w:jc w:val="both"/>
        <w:rPr>
          <w:rFonts w:ascii="Arial" w:hAnsi="Arial" w:cs="Arial"/>
          <w:b/>
          <w:sz w:val="28"/>
          <w:szCs w:val="28"/>
          <w:lang w:val="es-MX"/>
        </w:rPr>
      </w:pPr>
    </w:p>
    <w:p w14:paraId="2F726147"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520AAB45"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E596508"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314EF2" w14:paraId="66019FD4" w14:textId="77777777" w:rsidTr="006548F8">
        <w:tc>
          <w:tcPr>
            <w:tcW w:w="3544" w:type="dxa"/>
          </w:tcPr>
          <w:p w14:paraId="4685E47C" w14:textId="77777777" w:rsidR="007E2F9F" w:rsidRPr="00314EF2" w:rsidRDefault="007E2F9F" w:rsidP="006548F8">
            <w:pPr>
              <w:ind w:left="1169" w:right="-1440"/>
              <w:rPr>
                <w:rFonts w:ascii="Arial" w:hAnsi="Arial" w:cs="Arial"/>
                <w:b/>
                <w:sz w:val="18"/>
                <w:szCs w:val="18"/>
                <w:lang w:val="es-ES_tradnl"/>
              </w:rPr>
            </w:pPr>
            <w:r w:rsidRPr="00314EF2">
              <w:rPr>
                <w:rFonts w:ascii="Arial" w:hAnsi="Arial" w:cs="Arial"/>
                <w:b/>
                <w:sz w:val="18"/>
                <w:szCs w:val="18"/>
                <w:lang w:val="es-ES_tradnl"/>
              </w:rPr>
              <w:t>TIPO DE GASTO</w:t>
            </w:r>
          </w:p>
        </w:tc>
        <w:tc>
          <w:tcPr>
            <w:tcW w:w="2354" w:type="dxa"/>
          </w:tcPr>
          <w:p w14:paraId="199B3733" w14:textId="77777777" w:rsidR="007E2F9F" w:rsidRPr="00314EF2" w:rsidRDefault="007E2F9F" w:rsidP="006548F8">
            <w:pPr>
              <w:jc w:val="center"/>
              <w:rPr>
                <w:rFonts w:ascii="Arial" w:hAnsi="Arial" w:cs="Arial"/>
                <w:b/>
                <w:sz w:val="18"/>
                <w:szCs w:val="18"/>
                <w:lang w:val="es-ES_tradnl"/>
              </w:rPr>
            </w:pPr>
            <w:r w:rsidRPr="00314EF2">
              <w:rPr>
                <w:rFonts w:ascii="Arial" w:hAnsi="Arial" w:cs="Arial"/>
                <w:b/>
                <w:sz w:val="18"/>
                <w:szCs w:val="18"/>
                <w:lang w:val="es-ES_tradnl"/>
              </w:rPr>
              <w:t>APROPIACIÓN</w:t>
            </w:r>
          </w:p>
          <w:p w14:paraId="72A1644F" w14:textId="77777777" w:rsidR="007E2F9F" w:rsidRPr="00314EF2" w:rsidRDefault="007E2F9F" w:rsidP="006548F8">
            <w:pPr>
              <w:jc w:val="center"/>
              <w:rPr>
                <w:rFonts w:ascii="Arial" w:hAnsi="Arial" w:cs="Arial"/>
                <w:b/>
                <w:sz w:val="18"/>
                <w:szCs w:val="18"/>
                <w:lang w:val="es-ES_tradnl"/>
              </w:rPr>
            </w:pPr>
            <w:r w:rsidRPr="00314EF2">
              <w:rPr>
                <w:rFonts w:ascii="Arial" w:hAnsi="Arial" w:cs="Arial"/>
                <w:b/>
                <w:sz w:val="18"/>
                <w:szCs w:val="18"/>
                <w:lang w:val="es-ES_tradnl"/>
              </w:rPr>
              <w:t>DEFINITIVA</w:t>
            </w:r>
          </w:p>
          <w:p w14:paraId="34922129" w14:textId="77777777" w:rsidR="007E2F9F" w:rsidRPr="00314EF2" w:rsidRDefault="007E2F9F" w:rsidP="006548F8">
            <w:pPr>
              <w:jc w:val="center"/>
              <w:rPr>
                <w:rFonts w:ascii="Arial" w:hAnsi="Arial" w:cs="Arial"/>
                <w:b/>
                <w:sz w:val="18"/>
                <w:szCs w:val="18"/>
                <w:lang w:val="es-ES_tradnl"/>
              </w:rPr>
            </w:pPr>
            <w:r w:rsidRPr="00314EF2">
              <w:rPr>
                <w:rFonts w:ascii="Arial" w:hAnsi="Arial" w:cs="Arial"/>
                <w:b/>
                <w:sz w:val="18"/>
                <w:szCs w:val="18"/>
                <w:lang w:val="es-ES_tradnl"/>
              </w:rPr>
              <w:t>(1)</w:t>
            </w:r>
          </w:p>
          <w:p w14:paraId="650F027A" w14:textId="77777777" w:rsidR="007E2F9F" w:rsidRPr="00314EF2" w:rsidRDefault="007E2F9F" w:rsidP="006548F8">
            <w:pPr>
              <w:jc w:val="center"/>
              <w:rPr>
                <w:rFonts w:ascii="Arial" w:hAnsi="Arial" w:cs="Arial"/>
                <w:b/>
                <w:sz w:val="18"/>
                <w:szCs w:val="18"/>
                <w:lang w:val="es-ES_tradnl"/>
              </w:rPr>
            </w:pPr>
          </w:p>
        </w:tc>
        <w:tc>
          <w:tcPr>
            <w:tcW w:w="2354" w:type="dxa"/>
          </w:tcPr>
          <w:p w14:paraId="0BDEE155" w14:textId="77777777" w:rsidR="007E2F9F" w:rsidRPr="00314EF2" w:rsidRDefault="007E2F9F" w:rsidP="006548F8">
            <w:pPr>
              <w:ind w:left="145" w:right="184"/>
              <w:jc w:val="center"/>
              <w:rPr>
                <w:rFonts w:ascii="Arial" w:hAnsi="Arial" w:cs="Arial"/>
                <w:b/>
                <w:sz w:val="18"/>
                <w:szCs w:val="18"/>
                <w:lang w:val="es-ES_tradnl"/>
              </w:rPr>
            </w:pPr>
            <w:r w:rsidRPr="00314EF2">
              <w:rPr>
                <w:rFonts w:ascii="Arial" w:hAnsi="Arial" w:cs="Arial"/>
                <w:b/>
                <w:sz w:val="18"/>
                <w:szCs w:val="18"/>
                <w:lang w:val="es-ES_tradnl"/>
              </w:rPr>
              <w:t>EJECUCIÓN</w:t>
            </w:r>
          </w:p>
          <w:p w14:paraId="007739A6"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COMPROMISOS</w:t>
            </w:r>
          </w:p>
          <w:p w14:paraId="78EB3885"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(2)</w:t>
            </w:r>
          </w:p>
        </w:tc>
        <w:tc>
          <w:tcPr>
            <w:tcW w:w="2238" w:type="dxa"/>
          </w:tcPr>
          <w:p w14:paraId="72E42E64" w14:textId="77777777" w:rsidR="007E2F9F" w:rsidRPr="00314EF2" w:rsidRDefault="007E2F9F" w:rsidP="006548F8">
            <w:pPr>
              <w:ind w:left="25" w:right="34"/>
              <w:jc w:val="center"/>
              <w:rPr>
                <w:rFonts w:ascii="Arial" w:hAnsi="Arial" w:cs="Arial"/>
                <w:b/>
                <w:sz w:val="18"/>
                <w:szCs w:val="18"/>
                <w:lang w:val="es-ES_tradnl"/>
              </w:rPr>
            </w:pPr>
            <w:r w:rsidRPr="00314EF2">
              <w:rPr>
                <w:rFonts w:ascii="Arial" w:hAnsi="Arial" w:cs="Arial"/>
                <w:b/>
                <w:sz w:val="18"/>
                <w:szCs w:val="18"/>
                <w:lang w:val="es-ES_tradnl"/>
              </w:rPr>
              <w:t>PÉRDIDAS DE</w:t>
            </w:r>
          </w:p>
          <w:p w14:paraId="36D4A33F"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APROPIACIÓN</w:t>
            </w:r>
          </w:p>
          <w:p w14:paraId="1687778A" w14:textId="77777777" w:rsidR="007E2F9F" w:rsidRPr="00314EF2" w:rsidRDefault="007E2F9F" w:rsidP="006548F8">
            <w:pPr>
              <w:ind w:right="34"/>
              <w:jc w:val="center"/>
              <w:rPr>
                <w:rFonts w:ascii="Arial" w:hAnsi="Arial" w:cs="Arial"/>
                <w:b/>
                <w:sz w:val="18"/>
                <w:szCs w:val="18"/>
                <w:lang w:val="es-ES_tradnl"/>
              </w:rPr>
            </w:pPr>
            <w:r w:rsidRPr="00314EF2">
              <w:rPr>
                <w:rFonts w:ascii="Arial" w:hAnsi="Arial" w:cs="Arial"/>
                <w:b/>
                <w:sz w:val="18"/>
                <w:szCs w:val="18"/>
                <w:lang w:val="es-ES_tradnl"/>
              </w:rPr>
              <w:t>3 = (1-2)</w:t>
            </w:r>
          </w:p>
        </w:tc>
      </w:tr>
      <w:tr w:rsidR="007E2F9F" w:rsidRPr="00314EF2" w14:paraId="3311BE68" w14:textId="77777777" w:rsidTr="006548F8">
        <w:trPr>
          <w:trHeight w:val="230"/>
        </w:trPr>
        <w:tc>
          <w:tcPr>
            <w:tcW w:w="3544" w:type="dxa"/>
          </w:tcPr>
          <w:p w14:paraId="675D78C8" w14:textId="77777777" w:rsidR="007E2F9F" w:rsidRPr="00314EF2" w:rsidRDefault="007E2F9F" w:rsidP="006548F8">
            <w:pPr>
              <w:ind w:right="-1440"/>
              <w:jc w:val="both"/>
              <w:rPr>
                <w:rFonts w:ascii="Arial" w:hAnsi="Arial" w:cs="Arial"/>
                <w:b/>
                <w:sz w:val="18"/>
                <w:szCs w:val="18"/>
                <w:lang w:val="es-ES_tradnl"/>
              </w:rPr>
            </w:pPr>
            <w:r w:rsidRPr="00314EF2">
              <w:rPr>
                <w:rFonts w:ascii="Arial" w:hAnsi="Arial" w:cs="Arial"/>
                <w:b/>
                <w:sz w:val="18"/>
                <w:szCs w:val="18"/>
                <w:lang w:val="es-ES_tradnl"/>
              </w:rPr>
              <w:t>FUNCIONAMIENTO</w:t>
            </w:r>
          </w:p>
        </w:tc>
        <w:tc>
          <w:tcPr>
            <w:tcW w:w="2354" w:type="dxa"/>
          </w:tcPr>
          <w:p w14:paraId="07EF78A9" w14:textId="77777777" w:rsidR="007E2F9F" w:rsidRPr="00314EF2" w:rsidRDefault="007E2F9F" w:rsidP="006548F8">
            <w:pPr>
              <w:jc w:val="right"/>
              <w:rPr>
                <w:rFonts w:ascii="Arial" w:eastAsia="Calibri" w:hAnsi="Arial" w:cs="Arial"/>
                <w:b/>
                <w:bCs/>
                <w:sz w:val="18"/>
                <w:szCs w:val="18"/>
                <w:lang w:val="es-CO"/>
              </w:rPr>
            </w:pPr>
            <w:r>
              <w:rPr>
                <w:rFonts w:ascii="Arial" w:eastAsia="Calibri" w:hAnsi="Arial" w:cs="Arial"/>
                <w:b/>
                <w:bCs/>
                <w:sz w:val="18"/>
                <w:szCs w:val="18"/>
                <w:lang w:val="es-CO"/>
              </w:rPr>
              <w:t>8.023.108</w:t>
            </w:r>
          </w:p>
        </w:tc>
        <w:tc>
          <w:tcPr>
            <w:tcW w:w="2354" w:type="dxa"/>
          </w:tcPr>
          <w:p w14:paraId="08F4A35F" w14:textId="77777777" w:rsidR="007E2F9F" w:rsidRPr="00314EF2" w:rsidRDefault="007E2F9F" w:rsidP="006548F8">
            <w:pPr>
              <w:pStyle w:val="Prrafodelista"/>
              <w:ind w:left="0"/>
              <w:jc w:val="right"/>
              <w:rPr>
                <w:rFonts w:ascii="Arial" w:hAnsi="Arial" w:cs="Arial"/>
                <w:b/>
                <w:bCs/>
                <w:sz w:val="18"/>
                <w:szCs w:val="18"/>
              </w:rPr>
            </w:pPr>
            <w:r>
              <w:rPr>
                <w:rFonts w:ascii="Arial" w:hAnsi="Arial" w:cs="Arial"/>
                <w:b/>
                <w:bCs/>
                <w:sz w:val="18"/>
                <w:szCs w:val="18"/>
              </w:rPr>
              <w:t>6.433.054</w:t>
            </w:r>
          </w:p>
        </w:tc>
        <w:tc>
          <w:tcPr>
            <w:tcW w:w="2238" w:type="dxa"/>
          </w:tcPr>
          <w:p w14:paraId="2C2C1AED" w14:textId="77777777" w:rsidR="007E2F9F" w:rsidRPr="00314EF2" w:rsidRDefault="007E2F9F" w:rsidP="006548F8">
            <w:pPr>
              <w:pStyle w:val="Prrafodelista"/>
              <w:ind w:left="0"/>
              <w:jc w:val="right"/>
              <w:rPr>
                <w:rFonts w:ascii="Arial" w:hAnsi="Arial" w:cs="Arial"/>
                <w:b/>
                <w:bCs/>
                <w:sz w:val="18"/>
                <w:szCs w:val="18"/>
              </w:rPr>
            </w:pPr>
            <w:r>
              <w:rPr>
                <w:rFonts w:ascii="Arial" w:hAnsi="Arial" w:cs="Arial"/>
                <w:b/>
                <w:bCs/>
                <w:sz w:val="18"/>
                <w:szCs w:val="18"/>
              </w:rPr>
              <w:t>1.590.054</w:t>
            </w:r>
          </w:p>
        </w:tc>
      </w:tr>
      <w:tr w:rsidR="007E2F9F" w:rsidRPr="00314EF2" w14:paraId="51348E16" w14:textId="77777777" w:rsidTr="006548F8">
        <w:tc>
          <w:tcPr>
            <w:tcW w:w="3544" w:type="dxa"/>
          </w:tcPr>
          <w:p w14:paraId="4AC25A1F" w14:textId="77777777" w:rsidR="007E2F9F" w:rsidRPr="00314EF2" w:rsidRDefault="007E2F9F" w:rsidP="006548F8">
            <w:pPr>
              <w:ind w:right="-1440"/>
              <w:jc w:val="both"/>
              <w:rPr>
                <w:rFonts w:ascii="Arial" w:hAnsi="Arial" w:cs="Arial"/>
                <w:b/>
                <w:sz w:val="18"/>
                <w:szCs w:val="18"/>
                <w:lang w:val="es-ES_tradnl"/>
              </w:rPr>
            </w:pPr>
            <w:r w:rsidRPr="00314EF2">
              <w:rPr>
                <w:rFonts w:ascii="Arial" w:hAnsi="Arial" w:cs="Arial"/>
                <w:b/>
                <w:sz w:val="18"/>
                <w:szCs w:val="18"/>
                <w:lang w:val="es-ES_tradnl"/>
              </w:rPr>
              <w:t>INVERSIÓN</w:t>
            </w:r>
          </w:p>
        </w:tc>
        <w:tc>
          <w:tcPr>
            <w:tcW w:w="2354" w:type="dxa"/>
          </w:tcPr>
          <w:p w14:paraId="1D0835E6" w14:textId="77777777" w:rsidR="007E2F9F" w:rsidRPr="00314EF2" w:rsidRDefault="007E2F9F" w:rsidP="006548F8">
            <w:pPr>
              <w:pStyle w:val="Prrafodelista"/>
              <w:ind w:left="0"/>
              <w:jc w:val="right"/>
              <w:rPr>
                <w:rFonts w:ascii="Arial" w:hAnsi="Arial" w:cs="Arial"/>
                <w:b/>
                <w:bCs/>
                <w:sz w:val="18"/>
                <w:szCs w:val="18"/>
              </w:rPr>
            </w:pPr>
            <w:r>
              <w:rPr>
                <w:rFonts w:ascii="Arial" w:hAnsi="Arial" w:cs="Arial"/>
                <w:b/>
                <w:bCs/>
                <w:sz w:val="18"/>
                <w:szCs w:val="18"/>
              </w:rPr>
              <w:t>10.748.535</w:t>
            </w:r>
          </w:p>
        </w:tc>
        <w:tc>
          <w:tcPr>
            <w:tcW w:w="2354" w:type="dxa"/>
          </w:tcPr>
          <w:p w14:paraId="5F087BD7" w14:textId="77777777" w:rsidR="007E2F9F" w:rsidRPr="00314EF2" w:rsidRDefault="007E2F9F" w:rsidP="006548F8">
            <w:pPr>
              <w:pStyle w:val="Prrafodelista"/>
              <w:ind w:left="0"/>
              <w:jc w:val="right"/>
              <w:rPr>
                <w:rFonts w:ascii="Arial" w:hAnsi="Arial" w:cs="Arial"/>
                <w:b/>
                <w:bCs/>
                <w:sz w:val="18"/>
                <w:szCs w:val="18"/>
              </w:rPr>
            </w:pPr>
            <w:r>
              <w:rPr>
                <w:rFonts w:ascii="Arial" w:hAnsi="Arial" w:cs="Arial"/>
                <w:b/>
                <w:bCs/>
                <w:sz w:val="18"/>
                <w:szCs w:val="18"/>
              </w:rPr>
              <w:t>6.815.037</w:t>
            </w:r>
          </w:p>
        </w:tc>
        <w:tc>
          <w:tcPr>
            <w:tcW w:w="2238" w:type="dxa"/>
          </w:tcPr>
          <w:p w14:paraId="6383C54A" w14:textId="77777777" w:rsidR="007E2F9F" w:rsidRPr="00314EF2" w:rsidRDefault="007E2F9F" w:rsidP="006548F8">
            <w:pPr>
              <w:pStyle w:val="Prrafodelista"/>
              <w:ind w:left="0"/>
              <w:jc w:val="right"/>
              <w:rPr>
                <w:rFonts w:ascii="Arial" w:hAnsi="Arial" w:cs="Arial"/>
                <w:b/>
                <w:bCs/>
                <w:sz w:val="18"/>
                <w:szCs w:val="18"/>
              </w:rPr>
            </w:pPr>
            <w:r>
              <w:rPr>
                <w:rFonts w:ascii="Arial" w:hAnsi="Arial" w:cs="Arial"/>
                <w:b/>
                <w:bCs/>
                <w:sz w:val="18"/>
                <w:szCs w:val="18"/>
              </w:rPr>
              <w:t>3.933.498</w:t>
            </w:r>
          </w:p>
        </w:tc>
      </w:tr>
      <w:tr w:rsidR="007E2F9F" w:rsidRPr="00314EF2" w14:paraId="68E308D6" w14:textId="77777777" w:rsidTr="006548F8">
        <w:tc>
          <w:tcPr>
            <w:tcW w:w="3544" w:type="dxa"/>
          </w:tcPr>
          <w:p w14:paraId="683BB28A" w14:textId="77777777" w:rsidR="007E2F9F" w:rsidRPr="00314EF2" w:rsidRDefault="007E2F9F" w:rsidP="006548F8">
            <w:pPr>
              <w:ind w:right="-1440"/>
              <w:jc w:val="both"/>
              <w:rPr>
                <w:rFonts w:ascii="Arial" w:hAnsi="Arial" w:cs="Arial"/>
                <w:b/>
                <w:sz w:val="18"/>
                <w:szCs w:val="18"/>
                <w:lang w:val="es-ES_tradnl"/>
              </w:rPr>
            </w:pPr>
            <w:r w:rsidRPr="00314EF2">
              <w:rPr>
                <w:rFonts w:ascii="Arial" w:hAnsi="Arial" w:cs="Arial"/>
                <w:b/>
                <w:sz w:val="18"/>
                <w:szCs w:val="18"/>
                <w:lang w:val="es-ES_tradnl"/>
              </w:rPr>
              <w:t>TOTAL PÉRDIDAS DE APROPIACIÓN</w:t>
            </w:r>
          </w:p>
        </w:tc>
        <w:tc>
          <w:tcPr>
            <w:tcW w:w="2354" w:type="dxa"/>
          </w:tcPr>
          <w:p w14:paraId="553D3C16" w14:textId="77777777" w:rsidR="007E2F9F" w:rsidRPr="00314EF2"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18.771.643</w:t>
            </w:r>
          </w:p>
        </w:tc>
        <w:tc>
          <w:tcPr>
            <w:tcW w:w="2354" w:type="dxa"/>
          </w:tcPr>
          <w:p w14:paraId="2936FDAC" w14:textId="77777777" w:rsidR="007E2F9F" w:rsidRPr="00314EF2"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13.248.091</w:t>
            </w:r>
          </w:p>
        </w:tc>
        <w:tc>
          <w:tcPr>
            <w:tcW w:w="2238" w:type="dxa"/>
          </w:tcPr>
          <w:p w14:paraId="3DAE759E" w14:textId="77777777" w:rsidR="007E2F9F" w:rsidRPr="00314EF2"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5.523.552</w:t>
            </w:r>
          </w:p>
        </w:tc>
      </w:tr>
    </w:tbl>
    <w:p w14:paraId="68D6DCCC" w14:textId="77777777" w:rsidR="007E2F9F" w:rsidRDefault="007E2F9F" w:rsidP="007E2F9F">
      <w:pPr>
        <w:pStyle w:val="Prrafodelista"/>
        <w:ind w:left="-142"/>
        <w:rPr>
          <w:b/>
          <w:sz w:val="24"/>
        </w:rPr>
      </w:pPr>
    </w:p>
    <w:p w14:paraId="15E15CE6" w14:textId="77777777" w:rsidR="007E2F9F" w:rsidRPr="00EB22AB" w:rsidRDefault="007E2F9F" w:rsidP="007E2F9F">
      <w:pPr>
        <w:ind w:left="-284"/>
        <w:jc w:val="both"/>
        <w:rPr>
          <w:rFonts w:ascii="Arial" w:hAnsi="Arial" w:cs="Arial"/>
          <w:b/>
          <w:sz w:val="32"/>
          <w:szCs w:val="32"/>
        </w:rPr>
      </w:pPr>
      <w:r w:rsidRPr="00EB22AB">
        <w:rPr>
          <w:rFonts w:ascii="Arial" w:hAnsi="Arial" w:cs="Arial"/>
          <w:b/>
          <w:sz w:val="28"/>
          <w:szCs w:val="28"/>
          <w:lang w:val="es-MX"/>
        </w:rPr>
        <w:t>133.- FONDO ADAPTACIÓN.</w:t>
      </w:r>
    </w:p>
    <w:p w14:paraId="01B58E6B" w14:textId="77777777" w:rsidR="007E2F9F" w:rsidRPr="0077142B" w:rsidRDefault="007E2F9F" w:rsidP="007E2F9F">
      <w:pPr>
        <w:pStyle w:val="Prrafodelista"/>
        <w:spacing w:before="92"/>
        <w:ind w:left="-142"/>
        <w:rPr>
          <w:rFonts w:ascii="Arial" w:hAnsi="Arial" w:cs="Arial"/>
          <w:b/>
          <w:sz w:val="24"/>
        </w:rPr>
      </w:pPr>
    </w:p>
    <w:p w14:paraId="2D254E74"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B3F78BC"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D077E72"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B22AB" w14:paraId="5FF086B0" w14:textId="77777777" w:rsidTr="006548F8">
        <w:tc>
          <w:tcPr>
            <w:tcW w:w="3544" w:type="dxa"/>
          </w:tcPr>
          <w:p w14:paraId="438A8D17" w14:textId="77777777" w:rsidR="007E2F9F" w:rsidRPr="00EB22AB" w:rsidRDefault="007E2F9F" w:rsidP="006548F8">
            <w:pPr>
              <w:ind w:left="1169" w:right="-1440"/>
              <w:rPr>
                <w:rFonts w:ascii="Arial" w:hAnsi="Arial" w:cs="Arial"/>
                <w:b/>
                <w:sz w:val="18"/>
                <w:szCs w:val="18"/>
                <w:lang w:val="es-ES_tradnl"/>
              </w:rPr>
            </w:pPr>
            <w:r w:rsidRPr="00EB22AB">
              <w:rPr>
                <w:rFonts w:ascii="Arial" w:hAnsi="Arial" w:cs="Arial"/>
                <w:b/>
                <w:sz w:val="18"/>
                <w:szCs w:val="18"/>
                <w:lang w:val="es-ES_tradnl"/>
              </w:rPr>
              <w:t>TIPO DE GASTO</w:t>
            </w:r>
          </w:p>
        </w:tc>
        <w:tc>
          <w:tcPr>
            <w:tcW w:w="2354" w:type="dxa"/>
          </w:tcPr>
          <w:p w14:paraId="3553959B" w14:textId="77777777" w:rsidR="007E2F9F" w:rsidRPr="00EB22AB" w:rsidRDefault="007E2F9F" w:rsidP="006548F8">
            <w:pPr>
              <w:jc w:val="center"/>
              <w:rPr>
                <w:rFonts w:ascii="Arial" w:hAnsi="Arial" w:cs="Arial"/>
                <w:b/>
                <w:sz w:val="18"/>
                <w:szCs w:val="18"/>
                <w:lang w:val="es-ES_tradnl"/>
              </w:rPr>
            </w:pPr>
            <w:r w:rsidRPr="00EB22AB">
              <w:rPr>
                <w:rFonts w:ascii="Arial" w:hAnsi="Arial" w:cs="Arial"/>
                <w:b/>
                <w:sz w:val="18"/>
                <w:szCs w:val="18"/>
                <w:lang w:val="es-ES_tradnl"/>
              </w:rPr>
              <w:t>APROPIACIÓN</w:t>
            </w:r>
          </w:p>
          <w:p w14:paraId="629F2483" w14:textId="77777777" w:rsidR="007E2F9F" w:rsidRPr="00EB22AB" w:rsidRDefault="007E2F9F" w:rsidP="006548F8">
            <w:pPr>
              <w:jc w:val="center"/>
              <w:rPr>
                <w:rFonts w:ascii="Arial" w:hAnsi="Arial" w:cs="Arial"/>
                <w:b/>
                <w:sz w:val="18"/>
                <w:szCs w:val="18"/>
                <w:lang w:val="es-ES_tradnl"/>
              </w:rPr>
            </w:pPr>
            <w:r w:rsidRPr="00EB22AB">
              <w:rPr>
                <w:rFonts w:ascii="Arial" w:hAnsi="Arial" w:cs="Arial"/>
                <w:b/>
                <w:sz w:val="18"/>
                <w:szCs w:val="18"/>
                <w:lang w:val="es-ES_tradnl"/>
              </w:rPr>
              <w:t>DEFINITIVA</w:t>
            </w:r>
          </w:p>
          <w:p w14:paraId="0E48A131" w14:textId="77777777" w:rsidR="007E2F9F" w:rsidRPr="00EB22AB" w:rsidRDefault="007E2F9F" w:rsidP="006548F8">
            <w:pPr>
              <w:jc w:val="center"/>
              <w:rPr>
                <w:rFonts w:ascii="Arial" w:hAnsi="Arial" w:cs="Arial"/>
                <w:b/>
                <w:sz w:val="18"/>
                <w:szCs w:val="18"/>
                <w:lang w:val="es-ES_tradnl"/>
              </w:rPr>
            </w:pPr>
            <w:r w:rsidRPr="00EB22AB">
              <w:rPr>
                <w:rFonts w:ascii="Arial" w:hAnsi="Arial" w:cs="Arial"/>
                <w:b/>
                <w:sz w:val="18"/>
                <w:szCs w:val="18"/>
                <w:lang w:val="es-ES_tradnl"/>
              </w:rPr>
              <w:t>(1)</w:t>
            </w:r>
          </w:p>
          <w:p w14:paraId="135C81FC" w14:textId="77777777" w:rsidR="007E2F9F" w:rsidRPr="00EB22AB" w:rsidRDefault="007E2F9F" w:rsidP="006548F8">
            <w:pPr>
              <w:jc w:val="center"/>
              <w:rPr>
                <w:rFonts w:ascii="Arial" w:hAnsi="Arial" w:cs="Arial"/>
                <w:b/>
                <w:sz w:val="18"/>
                <w:szCs w:val="18"/>
                <w:lang w:val="es-ES_tradnl"/>
              </w:rPr>
            </w:pPr>
          </w:p>
        </w:tc>
        <w:tc>
          <w:tcPr>
            <w:tcW w:w="2354" w:type="dxa"/>
          </w:tcPr>
          <w:p w14:paraId="5EF36854" w14:textId="77777777" w:rsidR="007E2F9F" w:rsidRPr="00EB22AB" w:rsidRDefault="007E2F9F" w:rsidP="006548F8">
            <w:pPr>
              <w:ind w:left="145" w:right="184"/>
              <w:jc w:val="center"/>
              <w:rPr>
                <w:rFonts w:ascii="Arial" w:hAnsi="Arial" w:cs="Arial"/>
                <w:b/>
                <w:sz w:val="18"/>
                <w:szCs w:val="18"/>
                <w:lang w:val="es-ES_tradnl"/>
              </w:rPr>
            </w:pPr>
            <w:r w:rsidRPr="00EB22AB">
              <w:rPr>
                <w:rFonts w:ascii="Arial" w:hAnsi="Arial" w:cs="Arial"/>
                <w:b/>
                <w:sz w:val="18"/>
                <w:szCs w:val="18"/>
                <w:lang w:val="es-ES_tradnl"/>
              </w:rPr>
              <w:t>EJECUCIÓN</w:t>
            </w:r>
          </w:p>
          <w:p w14:paraId="3AF638CE" w14:textId="77777777" w:rsidR="007E2F9F" w:rsidRPr="00EB22AB" w:rsidRDefault="007E2F9F" w:rsidP="006548F8">
            <w:pPr>
              <w:ind w:right="34"/>
              <w:jc w:val="center"/>
              <w:rPr>
                <w:rFonts w:ascii="Arial" w:hAnsi="Arial" w:cs="Arial"/>
                <w:b/>
                <w:sz w:val="18"/>
                <w:szCs w:val="18"/>
                <w:lang w:val="es-ES_tradnl"/>
              </w:rPr>
            </w:pPr>
            <w:r w:rsidRPr="00EB22AB">
              <w:rPr>
                <w:rFonts w:ascii="Arial" w:hAnsi="Arial" w:cs="Arial"/>
                <w:b/>
                <w:sz w:val="18"/>
                <w:szCs w:val="18"/>
                <w:lang w:val="es-ES_tradnl"/>
              </w:rPr>
              <w:t>COMPROMISOS</w:t>
            </w:r>
          </w:p>
          <w:p w14:paraId="12EE0BF5" w14:textId="77777777" w:rsidR="007E2F9F" w:rsidRPr="00EB22AB" w:rsidRDefault="007E2F9F" w:rsidP="006548F8">
            <w:pPr>
              <w:ind w:right="34"/>
              <w:jc w:val="center"/>
              <w:rPr>
                <w:rFonts w:ascii="Arial" w:hAnsi="Arial" w:cs="Arial"/>
                <w:b/>
                <w:sz w:val="18"/>
                <w:szCs w:val="18"/>
                <w:lang w:val="es-ES_tradnl"/>
              </w:rPr>
            </w:pPr>
            <w:r w:rsidRPr="00EB22AB">
              <w:rPr>
                <w:rFonts w:ascii="Arial" w:hAnsi="Arial" w:cs="Arial"/>
                <w:b/>
                <w:sz w:val="18"/>
                <w:szCs w:val="18"/>
                <w:lang w:val="es-ES_tradnl"/>
              </w:rPr>
              <w:t>(2)</w:t>
            </w:r>
          </w:p>
        </w:tc>
        <w:tc>
          <w:tcPr>
            <w:tcW w:w="2238" w:type="dxa"/>
          </w:tcPr>
          <w:p w14:paraId="514D76AB" w14:textId="77777777" w:rsidR="007E2F9F" w:rsidRPr="00EB22AB" w:rsidRDefault="007E2F9F" w:rsidP="006548F8">
            <w:pPr>
              <w:ind w:left="25" w:right="34"/>
              <w:jc w:val="center"/>
              <w:rPr>
                <w:rFonts w:ascii="Arial" w:hAnsi="Arial" w:cs="Arial"/>
                <w:b/>
                <w:sz w:val="18"/>
                <w:szCs w:val="18"/>
                <w:lang w:val="es-ES_tradnl"/>
              </w:rPr>
            </w:pPr>
            <w:r w:rsidRPr="00EB22AB">
              <w:rPr>
                <w:rFonts w:ascii="Arial" w:hAnsi="Arial" w:cs="Arial"/>
                <w:b/>
                <w:sz w:val="18"/>
                <w:szCs w:val="18"/>
                <w:lang w:val="es-ES_tradnl"/>
              </w:rPr>
              <w:t>PÉRDIDAS DE</w:t>
            </w:r>
          </w:p>
          <w:p w14:paraId="23CE4E99" w14:textId="77777777" w:rsidR="007E2F9F" w:rsidRPr="00EB22AB" w:rsidRDefault="007E2F9F" w:rsidP="006548F8">
            <w:pPr>
              <w:ind w:right="34"/>
              <w:jc w:val="center"/>
              <w:rPr>
                <w:rFonts w:ascii="Arial" w:hAnsi="Arial" w:cs="Arial"/>
                <w:b/>
                <w:sz w:val="18"/>
                <w:szCs w:val="18"/>
                <w:lang w:val="es-ES_tradnl"/>
              </w:rPr>
            </w:pPr>
            <w:r w:rsidRPr="00EB22AB">
              <w:rPr>
                <w:rFonts w:ascii="Arial" w:hAnsi="Arial" w:cs="Arial"/>
                <w:b/>
                <w:sz w:val="18"/>
                <w:szCs w:val="18"/>
                <w:lang w:val="es-ES_tradnl"/>
              </w:rPr>
              <w:t>APROPIACIÓN</w:t>
            </w:r>
          </w:p>
          <w:p w14:paraId="3CA9FA35" w14:textId="77777777" w:rsidR="007E2F9F" w:rsidRPr="00EB22AB" w:rsidRDefault="007E2F9F" w:rsidP="006548F8">
            <w:pPr>
              <w:ind w:right="34"/>
              <w:jc w:val="center"/>
              <w:rPr>
                <w:rFonts w:ascii="Arial" w:hAnsi="Arial" w:cs="Arial"/>
                <w:b/>
                <w:sz w:val="18"/>
                <w:szCs w:val="18"/>
                <w:lang w:val="es-ES_tradnl"/>
              </w:rPr>
            </w:pPr>
            <w:r w:rsidRPr="00EB22AB">
              <w:rPr>
                <w:rFonts w:ascii="Arial" w:hAnsi="Arial" w:cs="Arial"/>
                <w:b/>
                <w:sz w:val="18"/>
                <w:szCs w:val="18"/>
                <w:lang w:val="es-ES_tradnl"/>
              </w:rPr>
              <w:t>3 = (1-2)</w:t>
            </w:r>
          </w:p>
        </w:tc>
      </w:tr>
      <w:tr w:rsidR="007E2F9F" w:rsidRPr="00EB22AB" w14:paraId="315ADF33" w14:textId="77777777" w:rsidTr="006548F8">
        <w:trPr>
          <w:trHeight w:val="230"/>
        </w:trPr>
        <w:tc>
          <w:tcPr>
            <w:tcW w:w="3544" w:type="dxa"/>
          </w:tcPr>
          <w:p w14:paraId="296BFA10" w14:textId="77777777" w:rsidR="007E2F9F" w:rsidRPr="00EB22AB" w:rsidRDefault="007E2F9F" w:rsidP="006548F8">
            <w:pPr>
              <w:ind w:right="-1440"/>
              <w:jc w:val="both"/>
              <w:rPr>
                <w:rFonts w:ascii="Arial" w:hAnsi="Arial" w:cs="Arial"/>
                <w:b/>
                <w:sz w:val="18"/>
                <w:szCs w:val="18"/>
                <w:lang w:val="es-ES_tradnl"/>
              </w:rPr>
            </w:pPr>
            <w:r w:rsidRPr="00EB22AB">
              <w:rPr>
                <w:rFonts w:ascii="Arial" w:hAnsi="Arial" w:cs="Arial"/>
                <w:b/>
                <w:sz w:val="18"/>
                <w:szCs w:val="18"/>
                <w:lang w:val="es-ES_tradnl"/>
              </w:rPr>
              <w:t>FUNCIONAMIENTO</w:t>
            </w:r>
          </w:p>
        </w:tc>
        <w:tc>
          <w:tcPr>
            <w:tcW w:w="2354" w:type="dxa"/>
          </w:tcPr>
          <w:p w14:paraId="2E64EF69" w14:textId="77777777" w:rsidR="007E2F9F" w:rsidRPr="00EB22AB" w:rsidRDefault="007E2F9F" w:rsidP="006548F8">
            <w:pPr>
              <w:jc w:val="right"/>
              <w:rPr>
                <w:rFonts w:ascii="Arial" w:eastAsia="Calibri" w:hAnsi="Arial" w:cs="Arial"/>
                <w:b/>
                <w:bCs/>
                <w:sz w:val="18"/>
                <w:szCs w:val="18"/>
                <w:lang w:val="es-CO"/>
              </w:rPr>
            </w:pPr>
            <w:r w:rsidRPr="00EB22AB">
              <w:rPr>
                <w:rFonts w:eastAsia="Calibri"/>
                <w:b/>
                <w:sz w:val="18"/>
                <w:szCs w:val="18"/>
                <w:lang w:val="es-CO"/>
              </w:rPr>
              <w:t>37.404.455</w:t>
            </w:r>
          </w:p>
        </w:tc>
        <w:tc>
          <w:tcPr>
            <w:tcW w:w="2354" w:type="dxa"/>
          </w:tcPr>
          <w:p w14:paraId="71416070" w14:textId="77777777" w:rsidR="007E2F9F" w:rsidRPr="00EB22AB" w:rsidRDefault="007E2F9F" w:rsidP="006548F8">
            <w:pPr>
              <w:pStyle w:val="Prrafodelista"/>
              <w:ind w:left="0"/>
              <w:jc w:val="right"/>
              <w:rPr>
                <w:rFonts w:ascii="Arial" w:hAnsi="Arial" w:cs="Arial"/>
                <w:b/>
                <w:bCs/>
                <w:sz w:val="18"/>
                <w:szCs w:val="18"/>
              </w:rPr>
            </w:pPr>
            <w:r w:rsidRPr="00EB22AB">
              <w:rPr>
                <w:rFonts w:eastAsia="Calibri"/>
                <w:b/>
                <w:sz w:val="18"/>
                <w:szCs w:val="18"/>
                <w:lang w:val="es-CO"/>
              </w:rPr>
              <w:t>26.874.382</w:t>
            </w:r>
          </w:p>
        </w:tc>
        <w:tc>
          <w:tcPr>
            <w:tcW w:w="2238" w:type="dxa"/>
          </w:tcPr>
          <w:p w14:paraId="741DABF6" w14:textId="77777777" w:rsidR="007E2F9F" w:rsidRPr="00EB22AB" w:rsidRDefault="007E2F9F" w:rsidP="006548F8">
            <w:pPr>
              <w:pStyle w:val="Prrafodelista"/>
              <w:ind w:left="0"/>
              <w:jc w:val="right"/>
              <w:rPr>
                <w:rFonts w:ascii="Arial" w:hAnsi="Arial" w:cs="Arial"/>
                <w:b/>
                <w:bCs/>
                <w:sz w:val="18"/>
                <w:szCs w:val="18"/>
              </w:rPr>
            </w:pPr>
            <w:r w:rsidRPr="00EB22AB">
              <w:rPr>
                <w:b/>
                <w:sz w:val="18"/>
                <w:szCs w:val="18"/>
              </w:rPr>
              <w:t>10.530.073</w:t>
            </w:r>
          </w:p>
        </w:tc>
      </w:tr>
      <w:tr w:rsidR="007E2F9F" w:rsidRPr="00EB22AB" w14:paraId="47596436" w14:textId="77777777" w:rsidTr="006548F8">
        <w:tc>
          <w:tcPr>
            <w:tcW w:w="3544" w:type="dxa"/>
          </w:tcPr>
          <w:p w14:paraId="0631717C" w14:textId="77777777" w:rsidR="007E2F9F" w:rsidRPr="00EB22AB" w:rsidRDefault="007E2F9F" w:rsidP="006548F8">
            <w:pPr>
              <w:ind w:right="-1440"/>
              <w:jc w:val="both"/>
              <w:rPr>
                <w:rFonts w:ascii="Arial" w:hAnsi="Arial" w:cs="Arial"/>
                <w:b/>
                <w:sz w:val="18"/>
                <w:szCs w:val="18"/>
                <w:lang w:val="es-ES_tradnl"/>
              </w:rPr>
            </w:pPr>
            <w:r w:rsidRPr="00EB22AB">
              <w:rPr>
                <w:rFonts w:ascii="Arial" w:hAnsi="Arial" w:cs="Arial"/>
                <w:b/>
                <w:sz w:val="18"/>
                <w:szCs w:val="18"/>
                <w:lang w:val="es-ES_tradnl"/>
              </w:rPr>
              <w:t>INVERSIÓN</w:t>
            </w:r>
          </w:p>
        </w:tc>
        <w:tc>
          <w:tcPr>
            <w:tcW w:w="2354" w:type="dxa"/>
          </w:tcPr>
          <w:p w14:paraId="31DB603D" w14:textId="77777777" w:rsidR="007E2F9F" w:rsidRPr="00EB22AB" w:rsidRDefault="007E2F9F" w:rsidP="006548F8">
            <w:pPr>
              <w:pStyle w:val="Prrafodelista"/>
              <w:ind w:left="0"/>
              <w:jc w:val="right"/>
              <w:rPr>
                <w:rFonts w:ascii="Arial" w:hAnsi="Arial" w:cs="Arial"/>
                <w:b/>
                <w:bCs/>
                <w:sz w:val="18"/>
                <w:szCs w:val="18"/>
              </w:rPr>
            </w:pPr>
            <w:r w:rsidRPr="00EB22AB">
              <w:rPr>
                <w:rFonts w:eastAsia="Calibri"/>
                <w:b/>
                <w:sz w:val="18"/>
                <w:szCs w:val="18"/>
                <w:lang w:val="es-CO"/>
              </w:rPr>
              <w:t>148.648.237</w:t>
            </w:r>
          </w:p>
        </w:tc>
        <w:tc>
          <w:tcPr>
            <w:tcW w:w="2354" w:type="dxa"/>
          </w:tcPr>
          <w:p w14:paraId="4807D4DC" w14:textId="77777777" w:rsidR="007E2F9F" w:rsidRPr="00EB22AB" w:rsidRDefault="007E2F9F" w:rsidP="006548F8">
            <w:pPr>
              <w:pStyle w:val="Prrafodelista"/>
              <w:ind w:left="0"/>
              <w:jc w:val="right"/>
              <w:rPr>
                <w:rFonts w:ascii="Arial" w:hAnsi="Arial" w:cs="Arial"/>
                <w:b/>
                <w:bCs/>
                <w:sz w:val="18"/>
                <w:szCs w:val="18"/>
              </w:rPr>
            </w:pPr>
            <w:r w:rsidRPr="00EB22AB">
              <w:rPr>
                <w:rFonts w:eastAsia="Calibri"/>
                <w:b/>
                <w:sz w:val="18"/>
                <w:szCs w:val="18"/>
                <w:lang w:val="es-CO"/>
              </w:rPr>
              <w:t>148.648.237</w:t>
            </w:r>
          </w:p>
        </w:tc>
        <w:tc>
          <w:tcPr>
            <w:tcW w:w="2238" w:type="dxa"/>
          </w:tcPr>
          <w:p w14:paraId="6F7DC772" w14:textId="77777777" w:rsidR="007E2F9F" w:rsidRPr="00EB22AB" w:rsidRDefault="007E2F9F" w:rsidP="006548F8">
            <w:pPr>
              <w:pStyle w:val="Prrafodelista"/>
              <w:ind w:left="0"/>
              <w:jc w:val="right"/>
              <w:rPr>
                <w:rFonts w:ascii="Arial" w:hAnsi="Arial" w:cs="Arial"/>
                <w:b/>
                <w:bCs/>
                <w:sz w:val="18"/>
                <w:szCs w:val="18"/>
              </w:rPr>
            </w:pPr>
            <w:r w:rsidRPr="00EB22AB">
              <w:rPr>
                <w:b/>
                <w:sz w:val="18"/>
                <w:szCs w:val="18"/>
              </w:rPr>
              <w:t>-</w:t>
            </w:r>
          </w:p>
        </w:tc>
      </w:tr>
      <w:tr w:rsidR="007E2F9F" w:rsidRPr="00EB22AB" w14:paraId="713FD227" w14:textId="77777777" w:rsidTr="006548F8">
        <w:tc>
          <w:tcPr>
            <w:tcW w:w="3544" w:type="dxa"/>
          </w:tcPr>
          <w:p w14:paraId="4B6658F0" w14:textId="77777777" w:rsidR="007E2F9F" w:rsidRPr="00EB22AB" w:rsidRDefault="007E2F9F" w:rsidP="006548F8">
            <w:pPr>
              <w:ind w:right="-1440"/>
              <w:jc w:val="both"/>
              <w:rPr>
                <w:rFonts w:ascii="Arial" w:hAnsi="Arial" w:cs="Arial"/>
                <w:b/>
                <w:sz w:val="18"/>
                <w:szCs w:val="18"/>
                <w:lang w:val="es-ES_tradnl"/>
              </w:rPr>
            </w:pPr>
            <w:r w:rsidRPr="00EB22AB">
              <w:rPr>
                <w:rFonts w:ascii="Arial" w:hAnsi="Arial" w:cs="Arial"/>
                <w:b/>
                <w:sz w:val="18"/>
                <w:szCs w:val="18"/>
                <w:lang w:val="es-ES_tradnl"/>
              </w:rPr>
              <w:t>TOTAL PÉRDIDAS DE APROPIACIÓN</w:t>
            </w:r>
          </w:p>
        </w:tc>
        <w:tc>
          <w:tcPr>
            <w:tcW w:w="2354" w:type="dxa"/>
          </w:tcPr>
          <w:p w14:paraId="306EC98D" w14:textId="77777777" w:rsidR="007E2F9F" w:rsidRPr="00EB22AB" w:rsidRDefault="007E2F9F" w:rsidP="006548F8">
            <w:pPr>
              <w:pStyle w:val="Prrafodelista"/>
              <w:ind w:left="0"/>
              <w:jc w:val="right"/>
              <w:rPr>
                <w:rFonts w:ascii="Arial" w:hAnsi="Arial" w:cs="Arial"/>
                <w:b/>
                <w:bCs/>
                <w:sz w:val="18"/>
                <w:szCs w:val="18"/>
                <w:u w:val="single"/>
              </w:rPr>
            </w:pPr>
            <w:r w:rsidRPr="00EB22AB">
              <w:rPr>
                <w:rFonts w:eastAsia="Calibri"/>
                <w:b/>
                <w:sz w:val="18"/>
                <w:szCs w:val="18"/>
                <w:lang w:val="es-CO"/>
              </w:rPr>
              <w:t>186.052.692</w:t>
            </w:r>
          </w:p>
        </w:tc>
        <w:tc>
          <w:tcPr>
            <w:tcW w:w="2354" w:type="dxa"/>
          </w:tcPr>
          <w:p w14:paraId="25370250" w14:textId="77777777" w:rsidR="007E2F9F" w:rsidRPr="00EB22AB" w:rsidRDefault="007E2F9F" w:rsidP="006548F8">
            <w:pPr>
              <w:pStyle w:val="Prrafodelista"/>
              <w:ind w:left="0"/>
              <w:jc w:val="right"/>
              <w:rPr>
                <w:rFonts w:ascii="Arial" w:hAnsi="Arial" w:cs="Arial"/>
                <w:b/>
                <w:bCs/>
                <w:sz w:val="18"/>
                <w:szCs w:val="18"/>
                <w:u w:val="single"/>
              </w:rPr>
            </w:pPr>
            <w:r w:rsidRPr="00EB22AB">
              <w:rPr>
                <w:rFonts w:eastAsia="Calibri"/>
                <w:b/>
                <w:sz w:val="18"/>
                <w:szCs w:val="18"/>
                <w:lang w:val="es-CO"/>
              </w:rPr>
              <w:t>175.522.619</w:t>
            </w:r>
          </w:p>
        </w:tc>
        <w:tc>
          <w:tcPr>
            <w:tcW w:w="2238" w:type="dxa"/>
          </w:tcPr>
          <w:p w14:paraId="4A60739B" w14:textId="77777777" w:rsidR="007E2F9F" w:rsidRPr="00EB22AB" w:rsidRDefault="007E2F9F" w:rsidP="006548F8">
            <w:pPr>
              <w:pStyle w:val="Prrafodelista"/>
              <w:ind w:left="0"/>
              <w:jc w:val="right"/>
              <w:rPr>
                <w:rFonts w:ascii="Arial" w:hAnsi="Arial" w:cs="Arial"/>
                <w:b/>
                <w:bCs/>
                <w:sz w:val="18"/>
                <w:szCs w:val="18"/>
                <w:u w:val="single"/>
              </w:rPr>
            </w:pPr>
            <w:r w:rsidRPr="00EB22AB">
              <w:rPr>
                <w:b/>
                <w:sz w:val="18"/>
                <w:szCs w:val="18"/>
                <w:u w:val="single"/>
              </w:rPr>
              <w:t>10.530.073</w:t>
            </w:r>
          </w:p>
        </w:tc>
      </w:tr>
    </w:tbl>
    <w:p w14:paraId="386E21FF" w14:textId="77777777" w:rsidR="007E2F9F" w:rsidRDefault="007E2F9F" w:rsidP="007E2F9F">
      <w:pPr>
        <w:pStyle w:val="Prrafodelista"/>
        <w:spacing w:before="92"/>
        <w:ind w:left="-142"/>
        <w:rPr>
          <w:b/>
          <w:sz w:val="24"/>
        </w:rPr>
      </w:pPr>
    </w:p>
    <w:p w14:paraId="741B08FA" w14:textId="77777777" w:rsidR="007E2F9F" w:rsidRPr="002F1295" w:rsidRDefault="007E2F9F" w:rsidP="007E2F9F">
      <w:pPr>
        <w:ind w:left="-284" w:right="-234"/>
        <w:jc w:val="both"/>
        <w:rPr>
          <w:rFonts w:ascii="Arial" w:hAnsi="Arial" w:cs="Arial"/>
          <w:b/>
          <w:sz w:val="28"/>
          <w:szCs w:val="28"/>
          <w:lang w:val="es-MX"/>
        </w:rPr>
      </w:pPr>
      <w:r w:rsidRPr="002F1295">
        <w:rPr>
          <w:rFonts w:ascii="Arial" w:hAnsi="Arial" w:cs="Arial"/>
          <w:b/>
          <w:sz w:val="28"/>
          <w:szCs w:val="28"/>
          <w:lang w:val="es-MX"/>
        </w:rPr>
        <w:t>138.- INSTITUTO NACIONAL DE FORMACIÓN TÉCNICA PROFESIONAL DE SAN ANDRÉS, PROVIDENCIA Y SANTA CATALINA – INFOTEP.</w:t>
      </w:r>
    </w:p>
    <w:p w14:paraId="0F8A6260"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AECC28F"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7F0BEF0"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F1295" w14:paraId="08FC90D0" w14:textId="77777777" w:rsidTr="006548F8">
        <w:tc>
          <w:tcPr>
            <w:tcW w:w="3544" w:type="dxa"/>
          </w:tcPr>
          <w:p w14:paraId="69D9F8F8" w14:textId="77777777" w:rsidR="007E2F9F" w:rsidRPr="002F1295" w:rsidRDefault="007E2F9F" w:rsidP="006548F8">
            <w:pPr>
              <w:ind w:left="1169" w:right="-1440"/>
              <w:rPr>
                <w:rFonts w:ascii="Arial" w:hAnsi="Arial" w:cs="Arial"/>
                <w:b/>
                <w:sz w:val="18"/>
                <w:szCs w:val="18"/>
                <w:lang w:val="es-ES_tradnl"/>
              </w:rPr>
            </w:pPr>
            <w:r w:rsidRPr="002F1295">
              <w:rPr>
                <w:rFonts w:ascii="Arial" w:hAnsi="Arial" w:cs="Arial"/>
                <w:b/>
                <w:sz w:val="18"/>
                <w:szCs w:val="18"/>
                <w:lang w:val="es-ES_tradnl"/>
              </w:rPr>
              <w:t>TIPO DE GASTO</w:t>
            </w:r>
          </w:p>
        </w:tc>
        <w:tc>
          <w:tcPr>
            <w:tcW w:w="2354" w:type="dxa"/>
          </w:tcPr>
          <w:p w14:paraId="6A311EA1" w14:textId="77777777" w:rsidR="007E2F9F" w:rsidRPr="002F1295" w:rsidRDefault="007E2F9F" w:rsidP="006548F8">
            <w:pPr>
              <w:jc w:val="center"/>
              <w:rPr>
                <w:rFonts w:ascii="Arial" w:hAnsi="Arial" w:cs="Arial"/>
                <w:b/>
                <w:sz w:val="18"/>
                <w:szCs w:val="18"/>
                <w:lang w:val="es-ES_tradnl"/>
              </w:rPr>
            </w:pPr>
            <w:r w:rsidRPr="002F1295">
              <w:rPr>
                <w:rFonts w:ascii="Arial" w:hAnsi="Arial" w:cs="Arial"/>
                <w:b/>
                <w:sz w:val="18"/>
                <w:szCs w:val="18"/>
                <w:lang w:val="es-ES_tradnl"/>
              </w:rPr>
              <w:t>APROPIACIÓN</w:t>
            </w:r>
          </w:p>
          <w:p w14:paraId="7970ECD6" w14:textId="77777777" w:rsidR="007E2F9F" w:rsidRPr="002F1295" w:rsidRDefault="007E2F9F" w:rsidP="006548F8">
            <w:pPr>
              <w:jc w:val="center"/>
              <w:rPr>
                <w:rFonts w:ascii="Arial" w:hAnsi="Arial" w:cs="Arial"/>
                <w:b/>
                <w:sz w:val="18"/>
                <w:szCs w:val="18"/>
                <w:lang w:val="es-ES_tradnl"/>
              </w:rPr>
            </w:pPr>
            <w:r w:rsidRPr="002F1295">
              <w:rPr>
                <w:rFonts w:ascii="Arial" w:hAnsi="Arial" w:cs="Arial"/>
                <w:b/>
                <w:sz w:val="18"/>
                <w:szCs w:val="18"/>
                <w:lang w:val="es-ES_tradnl"/>
              </w:rPr>
              <w:t>DEFINITIVA</w:t>
            </w:r>
          </w:p>
          <w:p w14:paraId="7C3AD296" w14:textId="77777777" w:rsidR="007E2F9F" w:rsidRPr="002F1295" w:rsidRDefault="007E2F9F" w:rsidP="006548F8">
            <w:pPr>
              <w:jc w:val="center"/>
              <w:rPr>
                <w:rFonts w:ascii="Arial" w:hAnsi="Arial" w:cs="Arial"/>
                <w:b/>
                <w:sz w:val="18"/>
                <w:szCs w:val="18"/>
                <w:lang w:val="es-ES_tradnl"/>
              </w:rPr>
            </w:pPr>
            <w:r w:rsidRPr="002F1295">
              <w:rPr>
                <w:rFonts w:ascii="Arial" w:hAnsi="Arial" w:cs="Arial"/>
                <w:b/>
                <w:sz w:val="18"/>
                <w:szCs w:val="18"/>
                <w:lang w:val="es-ES_tradnl"/>
              </w:rPr>
              <w:t>(1)</w:t>
            </w:r>
          </w:p>
          <w:p w14:paraId="77ADC6A4" w14:textId="77777777" w:rsidR="007E2F9F" w:rsidRPr="002F1295" w:rsidRDefault="007E2F9F" w:rsidP="006548F8">
            <w:pPr>
              <w:jc w:val="center"/>
              <w:rPr>
                <w:rFonts w:ascii="Arial" w:hAnsi="Arial" w:cs="Arial"/>
                <w:b/>
                <w:sz w:val="18"/>
                <w:szCs w:val="18"/>
                <w:lang w:val="es-ES_tradnl"/>
              </w:rPr>
            </w:pPr>
          </w:p>
        </w:tc>
        <w:tc>
          <w:tcPr>
            <w:tcW w:w="2354" w:type="dxa"/>
          </w:tcPr>
          <w:p w14:paraId="60AA6F0C" w14:textId="77777777" w:rsidR="007E2F9F" w:rsidRPr="002F1295" w:rsidRDefault="007E2F9F" w:rsidP="006548F8">
            <w:pPr>
              <w:ind w:left="145" w:right="184"/>
              <w:jc w:val="center"/>
              <w:rPr>
                <w:rFonts w:ascii="Arial" w:hAnsi="Arial" w:cs="Arial"/>
                <w:b/>
                <w:sz w:val="18"/>
                <w:szCs w:val="18"/>
                <w:lang w:val="es-ES_tradnl"/>
              </w:rPr>
            </w:pPr>
            <w:r w:rsidRPr="002F1295">
              <w:rPr>
                <w:rFonts w:ascii="Arial" w:hAnsi="Arial" w:cs="Arial"/>
                <w:b/>
                <w:sz w:val="18"/>
                <w:szCs w:val="18"/>
                <w:lang w:val="es-ES_tradnl"/>
              </w:rPr>
              <w:t>EJECUCIÓN</w:t>
            </w:r>
          </w:p>
          <w:p w14:paraId="057307BD" w14:textId="77777777" w:rsidR="007E2F9F" w:rsidRPr="002F1295" w:rsidRDefault="007E2F9F" w:rsidP="006548F8">
            <w:pPr>
              <w:ind w:right="34"/>
              <w:jc w:val="center"/>
              <w:rPr>
                <w:rFonts w:ascii="Arial" w:hAnsi="Arial" w:cs="Arial"/>
                <w:b/>
                <w:sz w:val="18"/>
                <w:szCs w:val="18"/>
                <w:lang w:val="es-ES_tradnl"/>
              </w:rPr>
            </w:pPr>
            <w:r w:rsidRPr="002F1295">
              <w:rPr>
                <w:rFonts w:ascii="Arial" w:hAnsi="Arial" w:cs="Arial"/>
                <w:b/>
                <w:sz w:val="18"/>
                <w:szCs w:val="18"/>
                <w:lang w:val="es-ES_tradnl"/>
              </w:rPr>
              <w:t>COMPROMISOS</w:t>
            </w:r>
          </w:p>
          <w:p w14:paraId="28FC921D" w14:textId="77777777" w:rsidR="007E2F9F" w:rsidRPr="002F1295" w:rsidRDefault="007E2F9F" w:rsidP="006548F8">
            <w:pPr>
              <w:ind w:right="34"/>
              <w:jc w:val="center"/>
              <w:rPr>
                <w:rFonts w:ascii="Arial" w:hAnsi="Arial" w:cs="Arial"/>
                <w:b/>
                <w:sz w:val="18"/>
                <w:szCs w:val="18"/>
                <w:lang w:val="es-ES_tradnl"/>
              </w:rPr>
            </w:pPr>
            <w:r w:rsidRPr="002F1295">
              <w:rPr>
                <w:rFonts w:ascii="Arial" w:hAnsi="Arial" w:cs="Arial"/>
                <w:b/>
                <w:sz w:val="18"/>
                <w:szCs w:val="18"/>
                <w:lang w:val="es-ES_tradnl"/>
              </w:rPr>
              <w:t>(2)</w:t>
            </w:r>
          </w:p>
        </w:tc>
        <w:tc>
          <w:tcPr>
            <w:tcW w:w="2238" w:type="dxa"/>
          </w:tcPr>
          <w:p w14:paraId="7C7E1BB4" w14:textId="77777777" w:rsidR="007E2F9F" w:rsidRPr="002F1295" w:rsidRDefault="007E2F9F" w:rsidP="006548F8">
            <w:pPr>
              <w:ind w:left="25" w:right="34"/>
              <w:jc w:val="center"/>
              <w:rPr>
                <w:rFonts w:ascii="Arial" w:hAnsi="Arial" w:cs="Arial"/>
                <w:b/>
                <w:sz w:val="18"/>
                <w:szCs w:val="18"/>
                <w:lang w:val="es-ES_tradnl"/>
              </w:rPr>
            </w:pPr>
            <w:r w:rsidRPr="002F1295">
              <w:rPr>
                <w:rFonts w:ascii="Arial" w:hAnsi="Arial" w:cs="Arial"/>
                <w:b/>
                <w:sz w:val="18"/>
                <w:szCs w:val="18"/>
                <w:lang w:val="es-ES_tradnl"/>
              </w:rPr>
              <w:t>PÉRDIDAS DE</w:t>
            </w:r>
          </w:p>
          <w:p w14:paraId="0CF9B8F0" w14:textId="77777777" w:rsidR="007E2F9F" w:rsidRPr="002F1295" w:rsidRDefault="007E2F9F" w:rsidP="006548F8">
            <w:pPr>
              <w:ind w:right="34"/>
              <w:jc w:val="center"/>
              <w:rPr>
                <w:rFonts w:ascii="Arial" w:hAnsi="Arial" w:cs="Arial"/>
                <w:b/>
                <w:sz w:val="18"/>
                <w:szCs w:val="18"/>
                <w:lang w:val="es-ES_tradnl"/>
              </w:rPr>
            </w:pPr>
            <w:r w:rsidRPr="002F1295">
              <w:rPr>
                <w:rFonts w:ascii="Arial" w:hAnsi="Arial" w:cs="Arial"/>
                <w:b/>
                <w:sz w:val="18"/>
                <w:szCs w:val="18"/>
                <w:lang w:val="es-ES_tradnl"/>
              </w:rPr>
              <w:t>APROPIACIÓN</w:t>
            </w:r>
          </w:p>
          <w:p w14:paraId="63387C11" w14:textId="77777777" w:rsidR="007E2F9F" w:rsidRPr="002F1295" w:rsidRDefault="007E2F9F" w:rsidP="006548F8">
            <w:pPr>
              <w:ind w:right="34"/>
              <w:jc w:val="center"/>
              <w:rPr>
                <w:rFonts w:ascii="Arial" w:hAnsi="Arial" w:cs="Arial"/>
                <w:b/>
                <w:sz w:val="18"/>
                <w:szCs w:val="18"/>
                <w:lang w:val="es-ES_tradnl"/>
              </w:rPr>
            </w:pPr>
            <w:r w:rsidRPr="002F1295">
              <w:rPr>
                <w:rFonts w:ascii="Arial" w:hAnsi="Arial" w:cs="Arial"/>
                <w:b/>
                <w:sz w:val="18"/>
                <w:szCs w:val="18"/>
                <w:lang w:val="es-ES_tradnl"/>
              </w:rPr>
              <w:t>3 = (1-2)</w:t>
            </w:r>
          </w:p>
        </w:tc>
      </w:tr>
      <w:tr w:rsidR="007E2F9F" w:rsidRPr="002F1295" w14:paraId="51B4BD20" w14:textId="77777777" w:rsidTr="006548F8">
        <w:trPr>
          <w:trHeight w:val="230"/>
        </w:trPr>
        <w:tc>
          <w:tcPr>
            <w:tcW w:w="3544" w:type="dxa"/>
          </w:tcPr>
          <w:p w14:paraId="5C4C3FF8" w14:textId="77777777" w:rsidR="007E2F9F" w:rsidRPr="002F1295" w:rsidRDefault="007E2F9F" w:rsidP="006548F8">
            <w:pPr>
              <w:ind w:right="-1440"/>
              <w:jc w:val="both"/>
              <w:rPr>
                <w:rFonts w:ascii="Arial" w:hAnsi="Arial" w:cs="Arial"/>
                <w:b/>
                <w:sz w:val="18"/>
                <w:szCs w:val="18"/>
                <w:lang w:val="es-ES_tradnl"/>
              </w:rPr>
            </w:pPr>
            <w:r w:rsidRPr="002F1295">
              <w:rPr>
                <w:rFonts w:ascii="Arial" w:hAnsi="Arial" w:cs="Arial"/>
                <w:b/>
                <w:sz w:val="18"/>
                <w:szCs w:val="18"/>
                <w:lang w:val="es-ES_tradnl"/>
              </w:rPr>
              <w:t>FUNCIONAMIENTO</w:t>
            </w:r>
          </w:p>
        </w:tc>
        <w:tc>
          <w:tcPr>
            <w:tcW w:w="2354" w:type="dxa"/>
            <w:vAlign w:val="bottom"/>
          </w:tcPr>
          <w:p w14:paraId="743F0713" w14:textId="77777777" w:rsidR="007E2F9F" w:rsidRPr="002F1295" w:rsidRDefault="007E2F9F" w:rsidP="006548F8">
            <w:pPr>
              <w:jc w:val="right"/>
              <w:rPr>
                <w:rFonts w:ascii="Arial" w:eastAsia="Calibri" w:hAnsi="Arial" w:cs="Arial"/>
                <w:b/>
                <w:sz w:val="18"/>
                <w:szCs w:val="18"/>
                <w:lang w:val="es-CO"/>
              </w:rPr>
            </w:pPr>
            <w:r w:rsidRPr="002F1295">
              <w:rPr>
                <w:rFonts w:ascii="Arial" w:hAnsi="Arial" w:cs="Arial"/>
                <w:b/>
                <w:sz w:val="18"/>
                <w:szCs w:val="18"/>
              </w:rPr>
              <w:t>9.557.345.185,00</w:t>
            </w:r>
          </w:p>
        </w:tc>
        <w:tc>
          <w:tcPr>
            <w:tcW w:w="2354" w:type="dxa"/>
            <w:vAlign w:val="bottom"/>
          </w:tcPr>
          <w:p w14:paraId="30FF5904" w14:textId="77777777" w:rsidR="007E2F9F" w:rsidRPr="002F1295" w:rsidRDefault="007E2F9F" w:rsidP="006548F8">
            <w:pPr>
              <w:pStyle w:val="Prrafodelista"/>
              <w:ind w:left="0"/>
              <w:jc w:val="right"/>
              <w:rPr>
                <w:rFonts w:ascii="Arial" w:hAnsi="Arial" w:cs="Arial"/>
                <w:b/>
                <w:sz w:val="18"/>
                <w:szCs w:val="18"/>
              </w:rPr>
            </w:pPr>
            <w:r w:rsidRPr="002F1295">
              <w:rPr>
                <w:rFonts w:ascii="Arial" w:hAnsi="Arial" w:cs="Arial"/>
                <w:b/>
                <w:sz w:val="18"/>
                <w:szCs w:val="18"/>
              </w:rPr>
              <w:t>8.325.325.774,00</w:t>
            </w:r>
          </w:p>
        </w:tc>
        <w:tc>
          <w:tcPr>
            <w:tcW w:w="2238" w:type="dxa"/>
            <w:vAlign w:val="bottom"/>
          </w:tcPr>
          <w:p w14:paraId="4F06C4B2" w14:textId="77777777" w:rsidR="007E2F9F" w:rsidRPr="002F1295" w:rsidRDefault="007E2F9F" w:rsidP="006548F8">
            <w:pPr>
              <w:pStyle w:val="Prrafodelista"/>
              <w:ind w:left="0"/>
              <w:jc w:val="right"/>
              <w:rPr>
                <w:rFonts w:ascii="Arial" w:hAnsi="Arial" w:cs="Arial"/>
                <w:b/>
                <w:sz w:val="18"/>
                <w:szCs w:val="18"/>
              </w:rPr>
            </w:pPr>
            <w:r w:rsidRPr="002F1295">
              <w:rPr>
                <w:rFonts w:ascii="Arial" w:hAnsi="Arial" w:cs="Arial"/>
                <w:b/>
                <w:sz w:val="18"/>
                <w:szCs w:val="18"/>
              </w:rPr>
              <w:t>1.232.019.411,00</w:t>
            </w:r>
          </w:p>
        </w:tc>
      </w:tr>
      <w:tr w:rsidR="007E2F9F" w:rsidRPr="002F1295" w14:paraId="254C8028" w14:textId="77777777" w:rsidTr="006548F8">
        <w:tc>
          <w:tcPr>
            <w:tcW w:w="3544" w:type="dxa"/>
          </w:tcPr>
          <w:p w14:paraId="1DC85403" w14:textId="77777777" w:rsidR="007E2F9F" w:rsidRPr="002F1295" w:rsidRDefault="007E2F9F" w:rsidP="006548F8">
            <w:pPr>
              <w:ind w:right="-1440"/>
              <w:jc w:val="both"/>
              <w:rPr>
                <w:rFonts w:ascii="Arial" w:hAnsi="Arial" w:cs="Arial"/>
                <w:b/>
                <w:sz w:val="18"/>
                <w:szCs w:val="18"/>
                <w:lang w:val="es-ES_tradnl"/>
              </w:rPr>
            </w:pPr>
            <w:r w:rsidRPr="002F1295">
              <w:rPr>
                <w:rFonts w:ascii="Arial" w:hAnsi="Arial" w:cs="Arial"/>
                <w:b/>
                <w:sz w:val="18"/>
                <w:szCs w:val="18"/>
                <w:lang w:val="es-ES_tradnl"/>
              </w:rPr>
              <w:t>INVERSIÓN</w:t>
            </w:r>
          </w:p>
        </w:tc>
        <w:tc>
          <w:tcPr>
            <w:tcW w:w="2354" w:type="dxa"/>
            <w:vAlign w:val="bottom"/>
          </w:tcPr>
          <w:p w14:paraId="294BB355" w14:textId="77777777" w:rsidR="007E2F9F" w:rsidRPr="002F1295" w:rsidRDefault="007E2F9F" w:rsidP="006548F8">
            <w:pPr>
              <w:pStyle w:val="Prrafodelista"/>
              <w:ind w:left="0"/>
              <w:jc w:val="right"/>
              <w:rPr>
                <w:rFonts w:ascii="Arial" w:hAnsi="Arial" w:cs="Arial"/>
                <w:b/>
                <w:sz w:val="18"/>
                <w:szCs w:val="18"/>
              </w:rPr>
            </w:pPr>
            <w:r w:rsidRPr="002F1295">
              <w:rPr>
                <w:rFonts w:ascii="Arial" w:hAnsi="Arial" w:cs="Arial"/>
                <w:b/>
                <w:color w:val="000000"/>
                <w:sz w:val="18"/>
                <w:szCs w:val="18"/>
              </w:rPr>
              <w:t>6.274.389.477,00</w:t>
            </w:r>
          </w:p>
        </w:tc>
        <w:tc>
          <w:tcPr>
            <w:tcW w:w="2354" w:type="dxa"/>
            <w:vAlign w:val="bottom"/>
          </w:tcPr>
          <w:p w14:paraId="582B9F37" w14:textId="77777777" w:rsidR="007E2F9F" w:rsidRPr="002F1295" w:rsidRDefault="007E2F9F" w:rsidP="006548F8">
            <w:pPr>
              <w:pStyle w:val="Prrafodelista"/>
              <w:ind w:left="0"/>
              <w:jc w:val="right"/>
              <w:rPr>
                <w:rFonts w:ascii="Arial" w:hAnsi="Arial" w:cs="Arial"/>
                <w:b/>
                <w:sz w:val="18"/>
                <w:szCs w:val="18"/>
              </w:rPr>
            </w:pPr>
            <w:r w:rsidRPr="002F1295">
              <w:rPr>
                <w:rFonts w:ascii="Arial" w:hAnsi="Arial" w:cs="Arial"/>
                <w:b/>
                <w:color w:val="000000"/>
                <w:sz w:val="18"/>
                <w:szCs w:val="18"/>
              </w:rPr>
              <w:t>5.465.821.029,00</w:t>
            </w:r>
          </w:p>
        </w:tc>
        <w:tc>
          <w:tcPr>
            <w:tcW w:w="2238" w:type="dxa"/>
            <w:vAlign w:val="bottom"/>
          </w:tcPr>
          <w:p w14:paraId="1C87EAEE" w14:textId="77777777" w:rsidR="007E2F9F" w:rsidRPr="002F1295" w:rsidRDefault="007E2F9F" w:rsidP="006548F8">
            <w:pPr>
              <w:pStyle w:val="Prrafodelista"/>
              <w:ind w:left="0"/>
              <w:jc w:val="right"/>
              <w:rPr>
                <w:rFonts w:ascii="Arial" w:hAnsi="Arial" w:cs="Arial"/>
                <w:b/>
                <w:sz w:val="18"/>
                <w:szCs w:val="18"/>
              </w:rPr>
            </w:pPr>
            <w:r w:rsidRPr="002F1295">
              <w:rPr>
                <w:rFonts w:ascii="Arial" w:hAnsi="Arial" w:cs="Arial"/>
                <w:b/>
                <w:color w:val="000000"/>
                <w:sz w:val="18"/>
                <w:szCs w:val="18"/>
              </w:rPr>
              <w:t>808.568.448,00</w:t>
            </w:r>
          </w:p>
        </w:tc>
      </w:tr>
      <w:tr w:rsidR="007E2F9F" w:rsidRPr="002F1295" w14:paraId="3FDEC021" w14:textId="77777777" w:rsidTr="006548F8">
        <w:tc>
          <w:tcPr>
            <w:tcW w:w="3544" w:type="dxa"/>
          </w:tcPr>
          <w:p w14:paraId="02DD5441" w14:textId="77777777" w:rsidR="007E2F9F" w:rsidRPr="002F1295" w:rsidRDefault="007E2F9F" w:rsidP="006548F8">
            <w:pPr>
              <w:ind w:right="-1440"/>
              <w:jc w:val="both"/>
              <w:rPr>
                <w:rFonts w:ascii="Arial" w:hAnsi="Arial" w:cs="Arial"/>
                <w:b/>
                <w:sz w:val="18"/>
                <w:szCs w:val="18"/>
                <w:lang w:val="es-ES_tradnl"/>
              </w:rPr>
            </w:pPr>
            <w:r w:rsidRPr="002F1295">
              <w:rPr>
                <w:rFonts w:ascii="Arial" w:hAnsi="Arial" w:cs="Arial"/>
                <w:b/>
                <w:sz w:val="18"/>
                <w:szCs w:val="18"/>
                <w:lang w:val="es-ES_tradnl"/>
              </w:rPr>
              <w:t>TOTAL PÉRDIDAS DE APROPIACIÓN</w:t>
            </w:r>
          </w:p>
        </w:tc>
        <w:tc>
          <w:tcPr>
            <w:tcW w:w="2354" w:type="dxa"/>
            <w:vAlign w:val="bottom"/>
          </w:tcPr>
          <w:p w14:paraId="7FF5ED4B" w14:textId="77777777" w:rsidR="007E2F9F" w:rsidRPr="002F1295" w:rsidRDefault="007E2F9F" w:rsidP="006548F8">
            <w:pPr>
              <w:pStyle w:val="Prrafodelista"/>
              <w:ind w:left="0"/>
              <w:jc w:val="right"/>
              <w:rPr>
                <w:rFonts w:ascii="Arial" w:hAnsi="Arial" w:cs="Arial"/>
                <w:b/>
                <w:sz w:val="18"/>
                <w:szCs w:val="18"/>
                <w:u w:val="single"/>
              </w:rPr>
            </w:pPr>
            <w:r w:rsidRPr="002F1295">
              <w:rPr>
                <w:rFonts w:ascii="Arial" w:hAnsi="Arial" w:cs="Arial"/>
                <w:b/>
                <w:sz w:val="18"/>
                <w:szCs w:val="18"/>
              </w:rPr>
              <w:t>15.831.734.662,00</w:t>
            </w:r>
          </w:p>
        </w:tc>
        <w:tc>
          <w:tcPr>
            <w:tcW w:w="2354" w:type="dxa"/>
            <w:vAlign w:val="bottom"/>
          </w:tcPr>
          <w:p w14:paraId="189D527B" w14:textId="77777777" w:rsidR="007E2F9F" w:rsidRPr="002F1295" w:rsidRDefault="007E2F9F" w:rsidP="006548F8">
            <w:pPr>
              <w:pStyle w:val="Prrafodelista"/>
              <w:ind w:left="0"/>
              <w:jc w:val="right"/>
              <w:rPr>
                <w:rFonts w:ascii="Arial" w:hAnsi="Arial" w:cs="Arial"/>
                <w:b/>
                <w:sz w:val="18"/>
                <w:szCs w:val="18"/>
                <w:u w:val="single"/>
              </w:rPr>
            </w:pPr>
            <w:r w:rsidRPr="002F1295">
              <w:rPr>
                <w:rFonts w:ascii="Arial" w:hAnsi="Arial" w:cs="Arial"/>
                <w:b/>
                <w:sz w:val="18"/>
                <w:szCs w:val="18"/>
              </w:rPr>
              <w:t>13.791.146.803,00</w:t>
            </w:r>
          </w:p>
        </w:tc>
        <w:tc>
          <w:tcPr>
            <w:tcW w:w="2238" w:type="dxa"/>
            <w:vAlign w:val="bottom"/>
          </w:tcPr>
          <w:p w14:paraId="66720961" w14:textId="77777777" w:rsidR="007E2F9F" w:rsidRPr="002F1295" w:rsidRDefault="007E2F9F" w:rsidP="006548F8">
            <w:pPr>
              <w:pStyle w:val="Prrafodelista"/>
              <w:ind w:left="0"/>
              <w:jc w:val="right"/>
              <w:rPr>
                <w:rFonts w:ascii="Arial" w:hAnsi="Arial" w:cs="Arial"/>
                <w:b/>
                <w:sz w:val="18"/>
                <w:szCs w:val="18"/>
                <w:u w:val="single"/>
              </w:rPr>
            </w:pPr>
            <w:r w:rsidRPr="002F1295">
              <w:rPr>
                <w:rFonts w:ascii="Arial" w:hAnsi="Arial" w:cs="Arial"/>
                <w:b/>
                <w:sz w:val="18"/>
                <w:szCs w:val="18"/>
                <w:u w:val="single"/>
              </w:rPr>
              <w:t>2.040.587.859,00</w:t>
            </w:r>
          </w:p>
        </w:tc>
      </w:tr>
    </w:tbl>
    <w:p w14:paraId="5F7D8F6C" w14:textId="77777777" w:rsidR="007E2F9F" w:rsidRDefault="007E2F9F" w:rsidP="007E2F9F">
      <w:pPr>
        <w:pStyle w:val="Prrafodelista"/>
        <w:spacing w:before="92"/>
        <w:ind w:left="-142"/>
        <w:rPr>
          <w:b/>
          <w:sz w:val="24"/>
        </w:rPr>
      </w:pPr>
    </w:p>
    <w:p w14:paraId="2402B515" w14:textId="6C5772FC" w:rsidR="007E2F9F" w:rsidRDefault="007E2F9F" w:rsidP="008A43C3">
      <w:pPr>
        <w:ind w:left="-284" w:right="-234"/>
        <w:jc w:val="both"/>
        <w:rPr>
          <w:rFonts w:ascii="Arial" w:hAnsi="Arial" w:cs="Arial"/>
          <w:b/>
          <w:sz w:val="28"/>
          <w:szCs w:val="28"/>
          <w:lang w:val="es-MX"/>
        </w:rPr>
      </w:pPr>
      <w:r w:rsidRPr="00997EED">
        <w:rPr>
          <w:rFonts w:ascii="Arial" w:hAnsi="Arial" w:cs="Arial"/>
          <w:b/>
          <w:sz w:val="28"/>
          <w:szCs w:val="28"/>
          <w:lang w:val="es-MX"/>
        </w:rPr>
        <w:lastRenderedPageBreak/>
        <w:t>148.- SUPERINTENDENCIA DE SERVICIOS PÚBLICOS DOMICILIARIOS - SUPERSERVICIOS.</w:t>
      </w:r>
    </w:p>
    <w:p w14:paraId="16E9A08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BC1045C"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56D10DAB"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97EED" w14:paraId="259500F0" w14:textId="77777777" w:rsidTr="006548F8">
        <w:tc>
          <w:tcPr>
            <w:tcW w:w="3544" w:type="dxa"/>
          </w:tcPr>
          <w:p w14:paraId="2D064791" w14:textId="77777777" w:rsidR="007E2F9F" w:rsidRPr="00997EED" w:rsidRDefault="007E2F9F" w:rsidP="006548F8">
            <w:pPr>
              <w:ind w:left="1169" w:right="-1440"/>
              <w:rPr>
                <w:rFonts w:ascii="Arial" w:hAnsi="Arial" w:cs="Arial"/>
                <w:b/>
                <w:sz w:val="18"/>
                <w:szCs w:val="18"/>
                <w:lang w:val="es-ES_tradnl"/>
              </w:rPr>
            </w:pPr>
            <w:r w:rsidRPr="00997EED">
              <w:rPr>
                <w:rFonts w:ascii="Arial" w:hAnsi="Arial" w:cs="Arial"/>
                <w:b/>
                <w:sz w:val="18"/>
                <w:szCs w:val="18"/>
                <w:lang w:val="es-ES_tradnl"/>
              </w:rPr>
              <w:t>TIPO DE GASTO</w:t>
            </w:r>
          </w:p>
        </w:tc>
        <w:tc>
          <w:tcPr>
            <w:tcW w:w="2354" w:type="dxa"/>
          </w:tcPr>
          <w:p w14:paraId="64F45579"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APROPIACIÓN</w:t>
            </w:r>
          </w:p>
          <w:p w14:paraId="0C7FEDF5"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DEFINITIVA</w:t>
            </w:r>
          </w:p>
          <w:p w14:paraId="22D8922B"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(1)</w:t>
            </w:r>
          </w:p>
          <w:p w14:paraId="696C3E01" w14:textId="77777777" w:rsidR="007E2F9F" w:rsidRPr="00997EED" w:rsidRDefault="007E2F9F" w:rsidP="006548F8">
            <w:pPr>
              <w:jc w:val="center"/>
              <w:rPr>
                <w:rFonts w:ascii="Arial" w:hAnsi="Arial" w:cs="Arial"/>
                <w:b/>
                <w:sz w:val="18"/>
                <w:szCs w:val="18"/>
                <w:lang w:val="es-ES_tradnl"/>
              </w:rPr>
            </w:pPr>
          </w:p>
        </w:tc>
        <w:tc>
          <w:tcPr>
            <w:tcW w:w="2354" w:type="dxa"/>
          </w:tcPr>
          <w:p w14:paraId="7893AA04" w14:textId="77777777" w:rsidR="007E2F9F" w:rsidRPr="00997EED" w:rsidRDefault="007E2F9F" w:rsidP="006548F8">
            <w:pPr>
              <w:ind w:left="145" w:right="184"/>
              <w:jc w:val="center"/>
              <w:rPr>
                <w:rFonts w:ascii="Arial" w:hAnsi="Arial" w:cs="Arial"/>
                <w:b/>
                <w:sz w:val="18"/>
                <w:szCs w:val="18"/>
                <w:lang w:val="es-ES_tradnl"/>
              </w:rPr>
            </w:pPr>
            <w:r w:rsidRPr="00997EED">
              <w:rPr>
                <w:rFonts w:ascii="Arial" w:hAnsi="Arial" w:cs="Arial"/>
                <w:b/>
                <w:sz w:val="18"/>
                <w:szCs w:val="18"/>
                <w:lang w:val="es-ES_tradnl"/>
              </w:rPr>
              <w:t>EJECUCIÓN</w:t>
            </w:r>
          </w:p>
          <w:p w14:paraId="53EE4CBE"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COMPROMISOS</w:t>
            </w:r>
          </w:p>
          <w:p w14:paraId="78030770"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(2)</w:t>
            </w:r>
          </w:p>
        </w:tc>
        <w:tc>
          <w:tcPr>
            <w:tcW w:w="2238" w:type="dxa"/>
          </w:tcPr>
          <w:p w14:paraId="27413B8A" w14:textId="77777777" w:rsidR="007E2F9F" w:rsidRPr="00997EED" w:rsidRDefault="007E2F9F" w:rsidP="006548F8">
            <w:pPr>
              <w:ind w:left="25" w:right="34"/>
              <w:jc w:val="center"/>
              <w:rPr>
                <w:rFonts w:ascii="Arial" w:hAnsi="Arial" w:cs="Arial"/>
                <w:b/>
                <w:sz w:val="18"/>
                <w:szCs w:val="18"/>
                <w:lang w:val="es-ES_tradnl"/>
              </w:rPr>
            </w:pPr>
            <w:r w:rsidRPr="00997EED">
              <w:rPr>
                <w:rFonts w:ascii="Arial" w:hAnsi="Arial" w:cs="Arial"/>
                <w:b/>
                <w:sz w:val="18"/>
                <w:szCs w:val="18"/>
                <w:lang w:val="es-ES_tradnl"/>
              </w:rPr>
              <w:t>PÉRDIDAS DE</w:t>
            </w:r>
          </w:p>
          <w:p w14:paraId="0C95EDAF"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APROPIACIÓN</w:t>
            </w:r>
          </w:p>
          <w:p w14:paraId="6ECC102A"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3 = (1-2)</w:t>
            </w:r>
          </w:p>
        </w:tc>
      </w:tr>
      <w:tr w:rsidR="007E2F9F" w:rsidRPr="00997EED" w14:paraId="31FD5BBD" w14:textId="77777777" w:rsidTr="006548F8">
        <w:trPr>
          <w:trHeight w:val="230"/>
        </w:trPr>
        <w:tc>
          <w:tcPr>
            <w:tcW w:w="3544" w:type="dxa"/>
          </w:tcPr>
          <w:p w14:paraId="6051BD65"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FUNCIONAMIENTO</w:t>
            </w:r>
          </w:p>
        </w:tc>
        <w:tc>
          <w:tcPr>
            <w:tcW w:w="2354" w:type="dxa"/>
            <w:vAlign w:val="center"/>
          </w:tcPr>
          <w:p w14:paraId="3ADBAD19" w14:textId="77777777" w:rsidR="007E2F9F" w:rsidRPr="00997EED" w:rsidRDefault="007E2F9F" w:rsidP="006548F8">
            <w:pPr>
              <w:jc w:val="right"/>
              <w:rPr>
                <w:rFonts w:ascii="Arial" w:eastAsia="Calibri" w:hAnsi="Arial" w:cs="Arial"/>
                <w:b/>
                <w:bCs/>
                <w:sz w:val="18"/>
                <w:szCs w:val="18"/>
                <w:lang w:val="es-CO"/>
              </w:rPr>
            </w:pPr>
            <w:r w:rsidRPr="00997EED">
              <w:rPr>
                <w:rFonts w:ascii="Arial" w:eastAsia="Times New Roman" w:hAnsi="Arial" w:cs="Arial"/>
                <w:b/>
                <w:bCs/>
                <w:color w:val="000000"/>
                <w:lang w:val="es-CO"/>
              </w:rPr>
              <w:t xml:space="preserve">385.252.963 </w:t>
            </w:r>
          </w:p>
        </w:tc>
        <w:tc>
          <w:tcPr>
            <w:tcW w:w="2354" w:type="dxa"/>
            <w:vAlign w:val="center"/>
          </w:tcPr>
          <w:p w14:paraId="188C7705" w14:textId="77777777" w:rsidR="007E2F9F" w:rsidRPr="00997EED" w:rsidRDefault="007E2F9F" w:rsidP="006548F8">
            <w:pPr>
              <w:pStyle w:val="Prrafodelista"/>
              <w:ind w:left="0"/>
              <w:jc w:val="right"/>
              <w:rPr>
                <w:rFonts w:ascii="Arial" w:hAnsi="Arial" w:cs="Arial"/>
                <w:b/>
                <w:bCs/>
                <w:sz w:val="18"/>
                <w:szCs w:val="18"/>
              </w:rPr>
            </w:pPr>
            <w:r w:rsidRPr="00997EED">
              <w:rPr>
                <w:rFonts w:ascii="Arial" w:eastAsia="Times New Roman" w:hAnsi="Arial" w:cs="Arial"/>
                <w:b/>
                <w:bCs/>
                <w:color w:val="000000"/>
                <w:lang w:val="es-CO"/>
              </w:rPr>
              <w:t xml:space="preserve">357.824.282 </w:t>
            </w:r>
          </w:p>
        </w:tc>
        <w:tc>
          <w:tcPr>
            <w:tcW w:w="2238" w:type="dxa"/>
            <w:vAlign w:val="center"/>
          </w:tcPr>
          <w:p w14:paraId="5FBEB39C" w14:textId="77777777" w:rsidR="007E2F9F" w:rsidRPr="00997EED" w:rsidRDefault="007E2F9F" w:rsidP="006548F8">
            <w:pPr>
              <w:pStyle w:val="Prrafodelista"/>
              <w:ind w:left="0"/>
              <w:jc w:val="right"/>
              <w:rPr>
                <w:rFonts w:ascii="Arial" w:hAnsi="Arial" w:cs="Arial"/>
                <w:b/>
                <w:bCs/>
                <w:sz w:val="18"/>
                <w:szCs w:val="18"/>
              </w:rPr>
            </w:pPr>
            <w:r w:rsidRPr="00997EED">
              <w:rPr>
                <w:rFonts w:ascii="Arial" w:eastAsia="Times New Roman" w:hAnsi="Arial" w:cs="Arial"/>
                <w:b/>
                <w:bCs/>
                <w:color w:val="000000"/>
                <w:lang w:val="es-CO"/>
              </w:rPr>
              <w:t xml:space="preserve">27.428.681 </w:t>
            </w:r>
          </w:p>
        </w:tc>
      </w:tr>
      <w:tr w:rsidR="007E2F9F" w:rsidRPr="00997EED" w14:paraId="66C74889" w14:textId="77777777" w:rsidTr="006548F8">
        <w:tc>
          <w:tcPr>
            <w:tcW w:w="3544" w:type="dxa"/>
          </w:tcPr>
          <w:p w14:paraId="5FB522FF"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INVERSIÓN</w:t>
            </w:r>
          </w:p>
        </w:tc>
        <w:tc>
          <w:tcPr>
            <w:tcW w:w="2354" w:type="dxa"/>
            <w:vAlign w:val="center"/>
          </w:tcPr>
          <w:p w14:paraId="430C7976" w14:textId="77777777" w:rsidR="007E2F9F" w:rsidRPr="00997EED" w:rsidRDefault="007E2F9F" w:rsidP="006548F8">
            <w:pPr>
              <w:pStyle w:val="Prrafodelista"/>
              <w:ind w:left="0"/>
              <w:jc w:val="right"/>
              <w:rPr>
                <w:rFonts w:ascii="Arial" w:hAnsi="Arial" w:cs="Arial"/>
                <w:b/>
                <w:bCs/>
                <w:sz w:val="18"/>
                <w:szCs w:val="18"/>
              </w:rPr>
            </w:pPr>
            <w:r w:rsidRPr="00997EED">
              <w:rPr>
                <w:rFonts w:ascii="Arial" w:eastAsia="Times New Roman" w:hAnsi="Arial" w:cs="Arial"/>
                <w:b/>
                <w:bCs/>
                <w:color w:val="000000"/>
                <w:lang w:val="es-CO"/>
              </w:rPr>
              <w:t xml:space="preserve">       33.032.000 </w:t>
            </w:r>
          </w:p>
        </w:tc>
        <w:tc>
          <w:tcPr>
            <w:tcW w:w="2354" w:type="dxa"/>
            <w:vAlign w:val="center"/>
          </w:tcPr>
          <w:p w14:paraId="509C8220" w14:textId="77777777" w:rsidR="007E2F9F" w:rsidRPr="00997EED" w:rsidRDefault="007E2F9F" w:rsidP="006548F8">
            <w:pPr>
              <w:pStyle w:val="Prrafodelista"/>
              <w:ind w:left="0"/>
              <w:jc w:val="right"/>
              <w:rPr>
                <w:rFonts w:ascii="Arial" w:hAnsi="Arial" w:cs="Arial"/>
                <w:b/>
                <w:bCs/>
                <w:sz w:val="18"/>
                <w:szCs w:val="18"/>
              </w:rPr>
            </w:pPr>
            <w:r w:rsidRPr="00997EED">
              <w:rPr>
                <w:rFonts w:ascii="Arial" w:eastAsia="Times New Roman" w:hAnsi="Arial" w:cs="Arial"/>
                <w:b/>
                <w:bCs/>
                <w:color w:val="000000"/>
                <w:lang w:val="es-CO"/>
              </w:rPr>
              <w:t xml:space="preserve">       23.514.070 </w:t>
            </w:r>
          </w:p>
        </w:tc>
        <w:tc>
          <w:tcPr>
            <w:tcW w:w="2238" w:type="dxa"/>
            <w:vAlign w:val="center"/>
          </w:tcPr>
          <w:p w14:paraId="1F38F2CC" w14:textId="77777777" w:rsidR="007E2F9F" w:rsidRPr="00997EED" w:rsidRDefault="007E2F9F" w:rsidP="006548F8">
            <w:pPr>
              <w:pStyle w:val="Prrafodelista"/>
              <w:ind w:left="0"/>
              <w:jc w:val="right"/>
              <w:rPr>
                <w:rFonts w:ascii="Arial" w:hAnsi="Arial" w:cs="Arial"/>
                <w:b/>
                <w:bCs/>
                <w:sz w:val="18"/>
                <w:szCs w:val="18"/>
              </w:rPr>
            </w:pPr>
            <w:r w:rsidRPr="00997EED">
              <w:rPr>
                <w:rFonts w:ascii="Arial" w:eastAsia="Times New Roman" w:hAnsi="Arial" w:cs="Arial"/>
                <w:b/>
                <w:bCs/>
                <w:color w:val="000000"/>
                <w:lang w:val="es-CO"/>
              </w:rPr>
              <w:t xml:space="preserve">         9.517.930 </w:t>
            </w:r>
          </w:p>
        </w:tc>
      </w:tr>
      <w:tr w:rsidR="007E2F9F" w:rsidRPr="00997EED" w14:paraId="65B11296" w14:textId="77777777" w:rsidTr="006548F8">
        <w:tc>
          <w:tcPr>
            <w:tcW w:w="3544" w:type="dxa"/>
          </w:tcPr>
          <w:p w14:paraId="0636941A"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TOTAL PÉRDIDAS DE APROPIACIÓN</w:t>
            </w:r>
          </w:p>
        </w:tc>
        <w:tc>
          <w:tcPr>
            <w:tcW w:w="2354" w:type="dxa"/>
            <w:vAlign w:val="center"/>
          </w:tcPr>
          <w:p w14:paraId="76DC653C" w14:textId="77777777" w:rsidR="007E2F9F" w:rsidRPr="00997EED" w:rsidRDefault="007E2F9F" w:rsidP="006548F8">
            <w:pPr>
              <w:pStyle w:val="Prrafodelista"/>
              <w:ind w:left="0"/>
              <w:jc w:val="right"/>
              <w:rPr>
                <w:rFonts w:ascii="Arial" w:hAnsi="Arial" w:cs="Arial"/>
                <w:b/>
                <w:bCs/>
                <w:sz w:val="18"/>
                <w:szCs w:val="18"/>
                <w:u w:val="single"/>
              </w:rPr>
            </w:pPr>
            <w:r w:rsidRPr="00997EED">
              <w:rPr>
                <w:rFonts w:ascii="Arial" w:eastAsia="Times New Roman" w:hAnsi="Arial" w:cs="Arial"/>
                <w:b/>
                <w:bCs/>
                <w:color w:val="000000"/>
                <w:lang w:val="es-CO"/>
              </w:rPr>
              <w:t xml:space="preserve">     418.284.963 </w:t>
            </w:r>
          </w:p>
        </w:tc>
        <w:tc>
          <w:tcPr>
            <w:tcW w:w="2354" w:type="dxa"/>
            <w:vAlign w:val="center"/>
          </w:tcPr>
          <w:p w14:paraId="0024AD0E" w14:textId="77777777" w:rsidR="007E2F9F" w:rsidRPr="00997EED" w:rsidRDefault="007E2F9F" w:rsidP="006548F8">
            <w:pPr>
              <w:pStyle w:val="Prrafodelista"/>
              <w:ind w:left="0"/>
              <w:jc w:val="right"/>
              <w:rPr>
                <w:rFonts w:ascii="Arial" w:hAnsi="Arial" w:cs="Arial"/>
                <w:b/>
                <w:bCs/>
                <w:sz w:val="18"/>
                <w:szCs w:val="18"/>
                <w:u w:val="single"/>
              </w:rPr>
            </w:pPr>
            <w:r w:rsidRPr="00997EED">
              <w:rPr>
                <w:rFonts w:ascii="Arial" w:eastAsia="Times New Roman" w:hAnsi="Arial" w:cs="Arial"/>
                <w:b/>
                <w:bCs/>
                <w:color w:val="000000"/>
                <w:lang w:val="es-CO"/>
              </w:rPr>
              <w:t xml:space="preserve">     381.338.352 </w:t>
            </w:r>
          </w:p>
        </w:tc>
        <w:tc>
          <w:tcPr>
            <w:tcW w:w="2238" w:type="dxa"/>
            <w:vAlign w:val="center"/>
          </w:tcPr>
          <w:p w14:paraId="1A0FA81D" w14:textId="77777777" w:rsidR="007E2F9F" w:rsidRPr="00997EED" w:rsidRDefault="007E2F9F" w:rsidP="006548F8">
            <w:pPr>
              <w:pStyle w:val="Prrafodelista"/>
              <w:ind w:left="0"/>
              <w:jc w:val="right"/>
              <w:rPr>
                <w:rFonts w:ascii="Arial" w:hAnsi="Arial" w:cs="Arial"/>
                <w:b/>
                <w:bCs/>
                <w:sz w:val="18"/>
                <w:szCs w:val="18"/>
                <w:u w:val="single"/>
              </w:rPr>
            </w:pPr>
            <w:r w:rsidRPr="00997EED">
              <w:rPr>
                <w:rFonts w:ascii="Arial" w:eastAsia="Times New Roman" w:hAnsi="Arial" w:cs="Arial"/>
                <w:b/>
                <w:bCs/>
                <w:color w:val="000000"/>
                <w:u w:val="single"/>
                <w:lang w:val="es-CO"/>
              </w:rPr>
              <w:t xml:space="preserve">       36.946.611 </w:t>
            </w:r>
          </w:p>
        </w:tc>
      </w:tr>
    </w:tbl>
    <w:p w14:paraId="5522F996" w14:textId="77777777" w:rsidR="007E2F9F" w:rsidRDefault="007E2F9F" w:rsidP="007E2F9F">
      <w:pPr>
        <w:pStyle w:val="Prrafodelista"/>
        <w:spacing w:before="92"/>
        <w:ind w:left="-142"/>
        <w:rPr>
          <w:b/>
          <w:sz w:val="24"/>
        </w:rPr>
      </w:pPr>
    </w:p>
    <w:p w14:paraId="39CDCD87" w14:textId="77777777" w:rsidR="007E2F9F" w:rsidRPr="00E90631" w:rsidRDefault="007E2F9F" w:rsidP="007E2F9F">
      <w:pPr>
        <w:ind w:left="-284"/>
        <w:jc w:val="both"/>
        <w:rPr>
          <w:rFonts w:ascii="Arial" w:hAnsi="Arial" w:cs="Arial"/>
          <w:b/>
          <w:sz w:val="28"/>
          <w:szCs w:val="28"/>
          <w:lang w:val="es-MX"/>
        </w:rPr>
      </w:pPr>
      <w:r w:rsidRPr="00E90631">
        <w:rPr>
          <w:rFonts w:ascii="Arial" w:hAnsi="Arial" w:cs="Arial"/>
          <w:b/>
          <w:sz w:val="28"/>
          <w:szCs w:val="28"/>
          <w:lang w:val="es-MX"/>
        </w:rPr>
        <w:t>149.- U.A.E. AERONAUTICA CIVIL - AEROCIVIL.</w:t>
      </w:r>
    </w:p>
    <w:p w14:paraId="27528C4F" w14:textId="77777777" w:rsidR="007E2F9F" w:rsidRDefault="007E2F9F" w:rsidP="007E2F9F">
      <w:pPr>
        <w:pStyle w:val="Prrafodelista"/>
        <w:ind w:left="0"/>
        <w:jc w:val="center"/>
        <w:rPr>
          <w:rFonts w:ascii="Arial" w:hAnsi="Arial" w:cs="Arial"/>
          <w:b/>
          <w:sz w:val="24"/>
        </w:rPr>
      </w:pPr>
    </w:p>
    <w:p w14:paraId="24DD8B7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23D1D9D"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5DA5FCC1"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97EED" w14:paraId="331B585C" w14:textId="77777777" w:rsidTr="006548F8">
        <w:tc>
          <w:tcPr>
            <w:tcW w:w="3544" w:type="dxa"/>
          </w:tcPr>
          <w:p w14:paraId="43DE6775" w14:textId="77777777" w:rsidR="007E2F9F" w:rsidRPr="00997EED" w:rsidRDefault="007E2F9F" w:rsidP="006548F8">
            <w:pPr>
              <w:ind w:left="1169" w:right="-1440"/>
              <w:rPr>
                <w:rFonts w:ascii="Arial" w:hAnsi="Arial" w:cs="Arial"/>
                <w:b/>
                <w:sz w:val="18"/>
                <w:szCs w:val="18"/>
                <w:lang w:val="es-ES_tradnl"/>
              </w:rPr>
            </w:pPr>
            <w:r w:rsidRPr="00997EED">
              <w:rPr>
                <w:rFonts w:ascii="Arial" w:hAnsi="Arial" w:cs="Arial"/>
                <w:b/>
                <w:sz w:val="18"/>
                <w:szCs w:val="18"/>
                <w:lang w:val="es-ES_tradnl"/>
              </w:rPr>
              <w:t>TIPO DE GASTO</w:t>
            </w:r>
          </w:p>
        </w:tc>
        <w:tc>
          <w:tcPr>
            <w:tcW w:w="2354" w:type="dxa"/>
          </w:tcPr>
          <w:p w14:paraId="4633CA32"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APROPIACIÓN</w:t>
            </w:r>
          </w:p>
          <w:p w14:paraId="4BE0C012"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DEFINITIVA</w:t>
            </w:r>
          </w:p>
          <w:p w14:paraId="08355F90"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(1)</w:t>
            </w:r>
          </w:p>
          <w:p w14:paraId="029FD5CF" w14:textId="77777777" w:rsidR="007E2F9F" w:rsidRPr="00997EED" w:rsidRDefault="007E2F9F" w:rsidP="006548F8">
            <w:pPr>
              <w:jc w:val="center"/>
              <w:rPr>
                <w:rFonts w:ascii="Arial" w:hAnsi="Arial" w:cs="Arial"/>
                <w:b/>
                <w:sz w:val="18"/>
                <w:szCs w:val="18"/>
                <w:lang w:val="es-ES_tradnl"/>
              </w:rPr>
            </w:pPr>
          </w:p>
        </w:tc>
        <w:tc>
          <w:tcPr>
            <w:tcW w:w="2354" w:type="dxa"/>
          </w:tcPr>
          <w:p w14:paraId="48DA060B" w14:textId="77777777" w:rsidR="007E2F9F" w:rsidRPr="00997EED" w:rsidRDefault="007E2F9F" w:rsidP="006548F8">
            <w:pPr>
              <w:ind w:left="145" w:right="184"/>
              <w:jc w:val="center"/>
              <w:rPr>
                <w:rFonts w:ascii="Arial" w:hAnsi="Arial" w:cs="Arial"/>
                <w:b/>
                <w:sz w:val="18"/>
                <w:szCs w:val="18"/>
                <w:lang w:val="es-ES_tradnl"/>
              </w:rPr>
            </w:pPr>
            <w:r w:rsidRPr="00997EED">
              <w:rPr>
                <w:rFonts w:ascii="Arial" w:hAnsi="Arial" w:cs="Arial"/>
                <w:b/>
                <w:sz w:val="18"/>
                <w:szCs w:val="18"/>
                <w:lang w:val="es-ES_tradnl"/>
              </w:rPr>
              <w:t>EJECUCIÓN</w:t>
            </w:r>
          </w:p>
          <w:p w14:paraId="6F26B567"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COMPROMISOS</w:t>
            </w:r>
          </w:p>
          <w:p w14:paraId="3B0A265B"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(2)</w:t>
            </w:r>
          </w:p>
        </w:tc>
        <w:tc>
          <w:tcPr>
            <w:tcW w:w="2238" w:type="dxa"/>
          </w:tcPr>
          <w:p w14:paraId="0F6E474E" w14:textId="77777777" w:rsidR="007E2F9F" w:rsidRPr="00997EED" w:rsidRDefault="007E2F9F" w:rsidP="006548F8">
            <w:pPr>
              <w:ind w:left="25" w:right="34"/>
              <w:jc w:val="center"/>
              <w:rPr>
                <w:rFonts w:ascii="Arial" w:hAnsi="Arial" w:cs="Arial"/>
                <w:b/>
                <w:sz w:val="18"/>
                <w:szCs w:val="18"/>
                <w:lang w:val="es-ES_tradnl"/>
              </w:rPr>
            </w:pPr>
            <w:r w:rsidRPr="00997EED">
              <w:rPr>
                <w:rFonts w:ascii="Arial" w:hAnsi="Arial" w:cs="Arial"/>
                <w:b/>
                <w:sz w:val="18"/>
                <w:szCs w:val="18"/>
                <w:lang w:val="es-ES_tradnl"/>
              </w:rPr>
              <w:t>PÉRDIDAS DE</w:t>
            </w:r>
          </w:p>
          <w:p w14:paraId="14B23170"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APROPIACIÓN</w:t>
            </w:r>
          </w:p>
          <w:p w14:paraId="131F4EB6"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3 = (1-2)</w:t>
            </w:r>
          </w:p>
        </w:tc>
      </w:tr>
      <w:tr w:rsidR="007E2F9F" w:rsidRPr="00997EED" w14:paraId="0424D8C8" w14:textId="77777777" w:rsidTr="006548F8">
        <w:trPr>
          <w:trHeight w:val="230"/>
        </w:trPr>
        <w:tc>
          <w:tcPr>
            <w:tcW w:w="3544" w:type="dxa"/>
          </w:tcPr>
          <w:p w14:paraId="3B199CC3"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FUNCIONAMIENTO</w:t>
            </w:r>
          </w:p>
        </w:tc>
        <w:tc>
          <w:tcPr>
            <w:tcW w:w="2354" w:type="dxa"/>
            <w:vAlign w:val="center"/>
          </w:tcPr>
          <w:p w14:paraId="609FA86C" w14:textId="77777777" w:rsidR="007E2F9F" w:rsidRPr="00997EED" w:rsidRDefault="007E2F9F" w:rsidP="006548F8">
            <w:pPr>
              <w:jc w:val="right"/>
              <w:rPr>
                <w:rFonts w:ascii="Arial" w:eastAsia="Calibri" w:hAnsi="Arial" w:cs="Arial"/>
                <w:b/>
                <w:bCs/>
                <w:sz w:val="18"/>
                <w:szCs w:val="18"/>
                <w:lang w:val="es-CO"/>
              </w:rPr>
            </w:pPr>
            <w:r>
              <w:rPr>
                <w:rFonts w:ascii="Arial" w:eastAsia="Calibri" w:hAnsi="Arial" w:cs="Arial"/>
                <w:b/>
                <w:bCs/>
                <w:sz w:val="18"/>
                <w:szCs w:val="18"/>
                <w:lang w:val="es-CO"/>
              </w:rPr>
              <w:t>805.690.344</w:t>
            </w:r>
          </w:p>
        </w:tc>
        <w:tc>
          <w:tcPr>
            <w:tcW w:w="2354" w:type="dxa"/>
            <w:vAlign w:val="center"/>
          </w:tcPr>
          <w:p w14:paraId="680D314A"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714.268.656</w:t>
            </w:r>
          </w:p>
        </w:tc>
        <w:tc>
          <w:tcPr>
            <w:tcW w:w="2238" w:type="dxa"/>
            <w:vAlign w:val="center"/>
          </w:tcPr>
          <w:p w14:paraId="5D28DFF6"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91.421.688</w:t>
            </w:r>
          </w:p>
        </w:tc>
      </w:tr>
      <w:tr w:rsidR="007E2F9F" w:rsidRPr="00997EED" w14:paraId="141BE5E7" w14:textId="77777777" w:rsidTr="006548F8">
        <w:tc>
          <w:tcPr>
            <w:tcW w:w="3544" w:type="dxa"/>
          </w:tcPr>
          <w:p w14:paraId="149D202A"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INVERSIÓN</w:t>
            </w:r>
          </w:p>
        </w:tc>
        <w:tc>
          <w:tcPr>
            <w:tcW w:w="2354" w:type="dxa"/>
            <w:vAlign w:val="center"/>
          </w:tcPr>
          <w:p w14:paraId="6AE7A4E0"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1.768.182.313</w:t>
            </w:r>
          </w:p>
        </w:tc>
        <w:tc>
          <w:tcPr>
            <w:tcW w:w="2354" w:type="dxa"/>
            <w:vAlign w:val="center"/>
          </w:tcPr>
          <w:p w14:paraId="53AD195D"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1.514.932.303</w:t>
            </w:r>
          </w:p>
        </w:tc>
        <w:tc>
          <w:tcPr>
            <w:tcW w:w="2238" w:type="dxa"/>
            <w:vAlign w:val="center"/>
          </w:tcPr>
          <w:p w14:paraId="32B2E585"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253.250.010</w:t>
            </w:r>
          </w:p>
        </w:tc>
      </w:tr>
      <w:tr w:rsidR="007E2F9F" w:rsidRPr="00997EED" w14:paraId="58C1D415" w14:textId="77777777" w:rsidTr="006548F8">
        <w:tc>
          <w:tcPr>
            <w:tcW w:w="3544" w:type="dxa"/>
          </w:tcPr>
          <w:p w14:paraId="0D4F8671"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TOTAL PÉRDIDAS DE APROPIACIÓN</w:t>
            </w:r>
          </w:p>
        </w:tc>
        <w:tc>
          <w:tcPr>
            <w:tcW w:w="2354" w:type="dxa"/>
            <w:vAlign w:val="center"/>
          </w:tcPr>
          <w:p w14:paraId="3EE56761" w14:textId="77777777" w:rsidR="007E2F9F" w:rsidRPr="00997EED"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2.573.872.657</w:t>
            </w:r>
          </w:p>
        </w:tc>
        <w:tc>
          <w:tcPr>
            <w:tcW w:w="2354" w:type="dxa"/>
            <w:vAlign w:val="center"/>
          </w:tcPr>
          <w:p w14:paraId="01BBD546" w14:textId="77777777" w:rsidR="007E2F9F" w:rsidRPr="00997EED"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2.229.200.959</w:t>
            </w:r>
          </w:p>
        </w:tc>
        <w:tc>
          <w:tcPr>
            <w:tcW w:w="2238" w:type="dxa"/>
            <w:vAlign w:val="center"/>
          </w:tcPr>
          <w:p w14:paraId="1DF19A86" w14:textId="77777777" w:rsidR="007E2F9F" w:rsidRPr="00BF53CB" w:rsidRDefault="007E2F9F" w:rsidP="006548F8">
            <w:pPr>
              <w:pStyle w:val="Prrafodelista"/>
              <w:ind w:left="0"/>
              <w:jc w:val="right"/>
              <w:rPr>
                <w:rFonts w:ascii="Arial" w:hAnsi="Arial" w:cs="Arial"/>
                <w:b/>
                <w:bCs/>
                <w:sz w:val="18"/>
                <w:szCs w:val="18"/>
                <w:u w:val="single"/>
              </w:rPr>
            </w:pPr>
            <w:r w:rsidRPr="00BF53CB">
              <w:rPr>
                <w:rFonts w:ascii="Arial" w:hAnsi="Arial" w:cs="Arial"/>
                <w:b/>
                <w:bCs/>
                <w:sz w:val="18"/>
                <w:szCs w:val="18"/>
                <w:u w:val="single"/>
              </w:rPr>
              <w:t>344.671.698</w:t>
            </w:r>
          </w:p>
        </w:tc>
      </w:tr>
    </w:tbl>
    <w:p w14:paraId="1EF20C76" w14:textId="77777777" w:rsidR="007E2F9F" w:rsidRPr="00E90631" w:rsidRDefault="007E2F9F" w:rsidP="007E2F9F">
      <w:pPr>
        <w:spacing w:before="92"/>
        <w:rPr>
          <w:rFonts w:ascii="Arial" w:hAnsi="Arial" w:cs="Arial"/>
          <w:b/>
          <w:sz w:val="28"/>
          <w:szCs w:val="28"/>
          <w:lang w:val="es-MX"/>
        </w:rPr>
      </w:pPr>
    </w:p>
    <w:p w14:paraId="46D4D4BF" w14:textId="77777777" w:rsidR="007E2F9F" w:rsidRPr="002F4662" w:rsidRDefault="007E2F9F" w:rsidP="007E2F9F">
      <w:pPr>
        <w:ind w:left="-284"/>
        <w:jc w:val="both"/>
        <w:rPr>
          <w:rFonts w:ascii="Arial" w:hAnsi="Arial" w:cs="Arial"/>
          <w:b/>
          <w:sz w:val="28"/>
          <w:szCs w:val="28"/>
          <w:lang w:val="es-MX"/>
        </w:rPr>
      </w:pPr>
      <w:r w:rsidRPr="002F4662">
        <w:rPr>
          <w:rFonts w:ascii="Arial" w:hAnsi="Arial" w:cs="Arial"/>
          <w:b/>
          <w:sz w:val="28"/>
          <w:szCs w:val="28"/>
          <w:lang w:val="es-MX"/>
        </w:rPr>
        <w:t>150.- MINISTERIO DE JUSTICIA Y DEL DERECHO.</w:t>
      </w:r>
    </w:p>
    <w:p w14:paraId="6DF280F8" w14:textId="77777777" w:rsidR="007E2F9F" w:rsidRDefault="007E2F9F" w:rsidP="007E2F9F">
      <w:pPr>
        <w:ind w:left="-284" w:right="-234"/>
        <w:jc w:val="both"/>
        <w:rPr>
          <w:rFonts w:ascii="Arial" w:hAnsi="Arial" w:cs="Arial"/>
          <w:b/>
          <w:bCs/>
          <w:sz w:val="28"/>
          <w:szCs w:val="28"/>
          <w:lang w:val="es-MX"/>
        </w:rPr>
      </w:pPr>
    </w:p>
    <w:p w14:paraId="0B4AA548"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9B35FF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0174A7E0"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97EED" w14:paraId="650249CB" w14:textId="77777777" w:rsidTr="006548F8">
        <w:tc>
          <w:tcPr>
            <w:tcW w:w="3544" w:type="dxa"/>
          </w:tcPr>
          <w:p w14:paraId="7358F17F" w14:textId="77777777" w:rsidR="007E2F9F" w:rsidRPr="00997EED" w:rsidRDefault="007E2F9F" w:rsidP="006548F8">
            <w:pPr>
              <w:ind w:left="1169" w:right="-1440"/>
              <w:rPr>
                <w:rFonts w:ascii="Arial" w:hAnsi="Arial" w:cs="Arial"/>
                <w:b/>
                <w:sz w:val="18"/>
                <w:szCs w:val="18"/>
                <w:lang w:val="es-ES_tradnl"/>
              </w:rPr>
            </w:pPr>
            <w:r w:rsidRPr="00997EED">
              <w:rPr>
                <w:rFonts w:ascii="Arial" w:hAnsi="Arial" w:cs="Arial"/>
                <w:b/>
                <w:sz w:val="18"/>
                <w:szCs w:val="18"/>
                <w:lang w:val="es-ES_tradnl"/>
              </w:rPr>
              <w:t>TIPO DE GASTO</w:t>
            </w:r>
          </w:p>
        </w:tc>
        <w:tc>
          <w:tcPr>
            <w:tcW w:w="2354" w:type="dxa"/>
          </w:tcPr>
          <w:p w14:paraId="36358D06"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APROPIACIÓN</w:t>
            </w:r>
          </w:p>
          <w:p w14:paraId="3F6FF62C"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DEFINITIVA</w:t>
            </w:r>
          </w:p>
          <w:p w14:paraId="4543CB67" w14:textId="77777777" w:rsidR="007E2F9F" w:rsidRPr="00997EED" w:rsidRDefault="007E2F9F" w:rsidP="006548F8">
            <w:pPr>
              <w:jc w:val="center"/>
              <w:rPr>
                <w:rFonts w:ascii="Arial" w:hAnsi="Arial" w:cs="Arial"/>
                <w:b/>
                <w:sz w:val="18"/>
                <w:szCs w:val="18"/>
                <w:lang w:val="es-ES_tradnl"/>
              </w:rPr>
            </w:pPr>
            <w:r w:rsidRPr="00997EED">
              <w:rPr>
                <w:rFonts w:ascii="Arial" w:hAnsi="Arial" w:cs="Arial"/>
                <w:b/>
                <w:sz w:val="18"/>
                <w:szCs w:val="18"/>
                <w:lang w:val="es-ES_tradnl"/>
              </w:rPr>
              <w:t>(1)</w:t>
            </w:r>
          </w:p>
          <w:p w14:paraId="54DF0AF4" w14:textId="77777777" w:rsidR="007E2F9F" w:rsidRPr="00997EED" w:rsidRDefault="007E2F9F" w:rsidP="006548F8">
            <w:pPr>
              <w:jc w:val="center"/>
              <w:rPr>
                <w:rFonts w:ascii="Arial" w:hAnsi="Arial" w:cs="Arial"/>
                <w:b/>
                <w:sz w:val="18"/>
                <w:szCs w:val="18"/>
                <w:lang w:val="es-ES_tradnl"/>
              </w:rPr>
            </w:pPr>
          </w:p>
        </w:tc>
        <w:tc>
          <w:tcPr>
            <w:tcW w:w="2354" w:type="dxa"/>
          </w:tcPr>
          <w:p w14:paraId="0BB418FF" w14:textId="77777777" w:rsidR="007E2F9F" w:rsidRPr="00997EED" w:rsidRDefault="007E2F9F" w:rsidP="006548F8">
            <w:pPr>
              <w:ind w:left="145" w:right="184"/>
              <w:jc w:val="center"/>
              <w:rPr>
                <w:rFonts w:ascii="Arial" w:hAnsi="Arial" w:cs="Arial"/>
                <w:b/>
                <w:sz w:val="18"/>
                <w:szCs w:val="18"/>
                <w:lang w:val="es-ES_tradnl"/>
              </w:rPr>
            </w:pPr>
            <w:r w:rsidRPr="00997EED">
              <w:rPr>
                <w:rFonts w:ascii="Arial" w:hAnsi="Arial" w:cs="Arial"/>
                <w:b/>
                <w:sz w:val="18"/>
                <w:szCs w:val="18"/>
                <w:lang w:val="es-ES_tradnl"/>
              </w:rPr>
              <w:t>EJECUCIÓN</w:t>
            </w:r>
          </w:p>
          <w:p w14:paraId="172FA6C3"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COMPROMISOS</w:t>
            </w:r>
          </w:p>
          <w:p w14:paraId="1A1D3C31"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(2)</w:t>
            </w:r>
          </w:p>
        </w:tc>
        <w:tc>
          <w:tcPr>
            <w:tcW w:w="2238" w:type="dxa"/>
          </w:tcPr>
          <w:p w14:paraId="6E9AE3DD" w14:textId="77777777" w:rsidR="007E2F9F" w:rsidRPr="00997EED" w:rsidRDefault="007E2F9F" w:rsidP="006548F8">
            <w:pPr>
              <w:ind w:left="25" w:right="34"/>
              <w:jc w:val="center"/>
              <w:rPr>
                <w:rFonts w:ascii="Arial" w:hAnsi="Arial" w:cs="Arial"/>
                <w:b/>
                <w:sz w:val="18"/>
                <w:szCs w:val="18"/>
                <w:lang w:val="es-ES_tradnl"/>
              </w:rPr>
            </w:pPr>
            <w:r w:rsidRPr="00997EED">
              <w:rPr>
                <w:rFonts w:ascii="Arial" w:hAnsi="Arial" w:cs="Arial"/>
                <w:b/>
                <w:sz w:val="18"/>
                <w:szCs w:val="18"/>
                <w:lang w:val="es-ES_tradnl"/>
              </w:rPr>
              <w:t>PÉRDIDAS DE</w:t>
            </w:r>
          </w:p>
          <w:p w14:paraId="47247ABD"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APROPIACIÓN</w:t>
            </w:r>
          </w:p>
          <w:p w14:paraId="5D857C66" w14:textId="77777777" w:rsidR="007E2F9F" w:rsidRPr="00997EED" w:rsidRDefault="007E2F9F" w:rsidP="006548F8">
            <w:pPr>
              <w:ind w:right="34"/>
              <w:jc w:val="center"/>
              <w:rPr>
                <w:rFonts w:ascii="Arial" w:hAnsi="Arial" w:cs="Arial"/>
                <w:b/>
                <w:sz w:val="18"/>
                <w:szCs w:val="18"/>
                <w:lang w:val="es-ES_tradnl"/>
              </w:rPr>
            </w:pPr>
            <w:r w:rsidRPr="00997EED">
              <w:rPr>
                <w:rFonts w:ascii="Arial" w:hAnsi="Arial" w:cs="Arial"/>
                <w:b/>
                <w:sz w:val="18"/>
                <w:szCs w:val="18"/>
                <w:lang w:val="es-ES_tradnl"/>
              </w:rPr>
              <w:t>3 = (1-2)</w:t>
            </w:r>
          </w:p>
        </w:tc>
      </w:tr>
      <w:tr w:rsidR="007E2F9F" w:rsidRPr="00997EED" w14:paraId="06DF5E6D" w14:textId="77777777" w:rsidTr="006548F8">
        <w:trPr>
          <w:trHeight w:val="230"/>
        </w:trPr>
        <w:tc>
          <w:tcPr>
            <w:tcW w:w="3544" w:type="dxa"/>
          </w:tcPr>
          <w:p w14:paraId="23D5CA70"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FUNCIONAMIENTO</w:t>
            </w:r>
          </w:p>
        </w:tc>
        <w:tc>
          <w:tcPr>
            <w:tcW w:w="2354" w:type="dxa"/>
            <w:vAlign w:val="center"/>
          </w:tcPr>
          <w:p w14:paraId="5BC3EE6C" w14:textId="77777777" w:rsidR="007E2F9F" w:rsidRPr="00997EED" w:rsidRDefault="007E2F9F" w:rsidP="006548F8">
            <w:pPr>
              <w:jc w:val="right"/>
              <w:rPr>
                <w:rFonts w:ascii="Arial" w:eastAsia="Calibri" w:hAnsi="Arial" w:cs="Arial"/>
                <w:b/>
                <w:bCs/>
                <w:sz w:val="18"/>
                <w:szCs w:val="18"/>
                <w:lang w:val="es-CO"/>
              </w:rPr>
            </w:pPr>
            <w:r>
              <w:rPr>
                <w:rFonts w:ascii="Arial" w:eastAsia="Calibri" w:hAnsi="Arial" w:cs="Arial"/>
                <w:b/>
                <w:bCs/>
                <w:sz w:val="18"/>
                <w:szCs w:val="18"/>
                <w:lang w:val="es-CO"/>
              </w:rPr>
              <w:t>125.435.095</w:t>
            </w:r>
          </w:p>
        </w:tc>
        <w:tc>
          <w:tcPr>
            <w:tcW w:w="2354" w:type="dxa"/>
            <w:vAlign w:val="center"/>
          </w:tcPr>
          <w:p w14:paraId="069E86DF"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120.919.639</w:t>
            </w:r>
          </w:p>
        </w:tc>
        <w:tc>
          <w:tcPr>
            <w:tcW w:w="2238" w:type="dxa"/>
            <w:vAlign w:val="center"/>
          </w:tcPr>
          <w:p w14:paraId="0AA8C021"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4.515.456</w:t>
            </w:r>
          </w:p>
        </w:tc>
      </w:tr>
      <w:tr w:rsidR="007E2F9F" w:rsidRPr="00997EED" w14:paraId="6105B70A" w14:textId="77777777" w:rsidTr="006548F8">
        <w:tc>
          <w:tcPr>
            <w:tcW w:w="3544" w:type="dxa"/>
          </w:tcPr>
          <w:p w14:paraId="4236240F"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INVERSIÓN</w:t>
            </w:r>
          </w:p>
        </w:tc>
        <w:tc>
          <w:tcPr>
            <w:tcW w:w="2354" w:type="dxa"/>
            <w:vAlign w:val="center"/>
          </w:tcPr>
          <w:p w14:paraId="32123096"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62.204.076</w:t>
            </w:r>
          </w:p>
        </w:tc>
        <w:tc>
          <w:tcPr>
            <w:tcW w:w="2354" w:type="dxa"/>
            <w:vAlign w:val="center"/>
          </w:tcPr>
          <w:p w14:paraId="7EDEBBDC"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60.516.764</w:t>
            </w:r>
          </w:p>
        </w:tc>
        <w:tc>
          <w:tcPr>
            <w:tcW w:w="2238" w:type="dxa"/>
            <w:vAlign w:val="center"/>
          </w:tcPr>
          <w:p w14:paraId="41D9F12A" w14:textId="77777777" w:rsidR="007E2F9F" w:rsidRPr="00997EED" w:rsidRDefault="007E2F9F" w:rsidP="006548F8">
            <w:pPr>
              <w:pStyle w:val="Prrafodelista"/>
              <w:ind w:left="0"/>
              <w:jc w:val="right"/>
              <w:rPr>
                <w:rFonts w:ascii="Arial" w:hAnsi="Arial" w:cs="Arial"/>
                <w:b/>
                <w:bCs/>
                <w:sz w:val="18"/>
                <w:szCs w:val="18"/>
              </w:rPr>
            </w:pPr>
            <w:r>
              <w:rPr>
                <w:rFonts w:ascii="Arial" w:hAnsi="Arial" w:cs="Arial"/>
                <w:b/>
                <w:bCs/>
                <w:sz w:val="18"/>
                <w:szCs w:val="18"/>
              </w:rPr>
              <w:t>1.387.312</w:t>
            </w:r>
          </w:p>
        </w:tc>
      </w:tr>
      <w:tr w:rsidR="007E2F9F" w:rsidRPr="00997EED" w14:paraId="6EC7720C" w14:textId="77777777" w:rsidTr="006548F8">
        <w:tc>
          <w:tcPr>
            <w:tcW w:w="3544" w:type="dxa"/>
          </w:tcPr>
          <w:p w14:paraId="334BF238" w14:textId="77777777" w:rsidR="007E2F9F" w:rsidRPr="00997EED" w:rsidRDefault="007E2F9F" w:rsidP="006548F8">
            <w:pPr>
              <w:ind w:right="-1440"/>
              <w:jc w:val="both"/>
              <w:rPr>
                <w:rFonts w:ascii="Arial" w:hAnsi="Arial" w:cs="Arial"/>
                <w:b/>
                <w:sz w:val="18"/>
                <w:szCs w:val="18"/>
                <w:lang w:val="es-ES_tradnl"/>
              </w:rPr>
            </w:pPr>
            <w:r w:rsidRPr="00997EED">
              <w:rPr>
                <w:rFonts w:ascii="Arial" w:hAnsi="Arial" w:cs="Arial"/>
                <w:b/>
                <w:sz w:val="18"/>
                <w:szCs w:val="18"/>
                <w:lang w:val="es-ES_tradnl"/>
              </w:rPr>
              <w:t>TOTAL PÉRDIDAS DE APROPIACIÓN</w:t>
            </w:r>
          </w:p>
        </w:tc>
        <w:tc>
          <w:tcPr>
            <w:tcW w:w="2354" w:type="dxa"/>
            <w:vAlign w:val="center"/>
          </w:tcPr>
          <w:p w14:paraId="0398244A" w14:textId="77777777" w:rsidR="007E2F9F" w:rsidRPr="00997EED"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187.639.171</w:t>
            </w:r>
          </w:p>
        </w:tc>
        <w:tc>
          <w:tcPr>
            <w:tcW w:w="2354" w:type="dxa"/>
            <w:vAlign w:val="center"/>
          </w:tcPr>
          <w:p w14:paraId="7EB4EB78" w14:textId="77777777" w:rsidR="007E2F9F" w:rsidRPr="00997EED"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181.736.403</w:t>
            </w:r>
          </w:p>
        </w:tc>
        <w:tc>
          <w:tcPr>
            <w:tcW w:w="2238" w:type="dxa"/>
            <w:vAlign w:val="center"/>
          </w:tcPr>
          <w:p w14:paraId="7DBA4A75" w14:textId="77777777" w:rsidR="007E2F9F" w:rsidRPr="00BF53CB" w:rsidRDefault="007E2F9F" w:rsidP="006548F8">
            <w:pPr>
              <w:pStyle w:val="Prrafodelista"/>
              <w:ind w:left="0"/>
              <w:jc w:val="right"/>
              <w:rPr>
                <w:rFonts w:ascii="Arial" w:hAnsi="Arial" w:cs="Arial"/>
                <w:b/>
                <w:bCs/>
                <w:sz w:val="18"/>
                <w:szCs w:val="18"/>
                <w:u w:val="single"/>
              </w:rPr>
            </w:pPr>
            <w:r>
              <w:rPr>
                <w:rFonts w:ascii="Arial" w:hAnsi="Arial" w:cs="Arial"/>
                <w:b/>
                <w:bCs/>
                <w:sz w:val="18"/>
                <w:szCs w:val="18"/>
                <w:u w:val="single"/>
              </w:rPr>
              <w:t>5.902.768</w:t>
            </w:r>
          </w:p>
        </w:tc>
      </w:tr>
    </w:tbl>
    <w:p w14:paraId="746F26D3" w14:textId="77777777" w:rsidR="007E2F9F" w:rsidRDefault="007E2F9F" w:rsidP="007E2F9F">
      <w:pPr>
        <w:spacing w:before="92"/>
        <w:rPr>
          <w:rFonts w:ascii="Arial" w:hAnsi="Arial" w:cs="Arial"/>
          <w:b/>
          <w:sz w:val="28"/>
          <w:szCs w:val="28"/>
          <w:lang w:val="es-MX"/>
        </w:rPr>
      </w:pPr>
    </w:p>
    <w:p w14:paraId="67315F37" w14:textId="77777777" w:rsidR="007E2F9F" w:rsidRPr="00570600" w:rsidRDefault="007E2F9F" w:rsidP="007E2F9F">
      <w:pPr>
        <w:ind w:left="-284"/>
        <w:jc w:val="both"/>
        <w:rPr>
          <w:rFonts w:ascii="Arial" w:hAnsi="Arial" w:cs="Arial"/>
          <w:b/>
          <w:sz w:val="28"/>
          <w:szCs w:val="28"/>
          <w:lang w:val="es-MX"/>
        </w:rPr>
      </w:pPr>
      <w:r w:rsidRPr="00570600">
        <w:rPr>
          <w:rFonts w:ascii="Arial" w:hAnsi="Arial" w:cs="Arial"/>
          <w:b/>
          <w:sz w:val="28"/>
          <w:szCs w:val="28"/>
          <w:lang w:val="es-MX"/>
        </w:rPr>
        <w:t>154.- FONDO NACIONAL DE VIVIENDA - FONVIVIENDA.</w:t>
      </w:r>
    </w:p>
    <w:p w14:paraId="6C1EB6D7" w14:textId="77777777" w:rsidR="007E2F9F" w:rsidRDefault="007E2F9F" w:rsidP="007E2F9F">
      <w:pPr>
        <w:ind w:left="-284" w:right="-234"/>
        <w:jc w:val="both"/>
        <w:rPr>
          <w:rFonts w:ascii="Arial" w:hAnsi="Arial" w:cs="Arial"/>
          <w:b/>
          <w:bCs/>
          <w:sz w:val="28"/>
          <w:szCs w:val="28"/>
          <w:lang w:val="es-MX"/>
        </w:rPr>
      </w:pPr>
    </w:p>
    <w:p w14:paraId="71594B97"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9B5D8DE"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04D7D9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570600" w14:paraId="389233A6" w14:textId="77777777" w:rsidTr="006548F8">
        <w:tc>
          <w:tcPr>
            <w:tcW w:w="3544" w:type="dxa"/>
          </w:tcPr>
          <w:p w14:paraId="57D8B604" w14:textId="77777777" w:rsidR="007E2F9F" w:rsidRPr="00570600" w:rsidRDefault="007E2F9F" w:rsidP="006548F8">
            <w:pPr>
              <w:ind w:left="1169" w:right="-1440"/>
              <w:rPr>
                <w:rFonts w:ascii="Arial" w:hAnsi="Arial" w:cs="Arial"/>
                <w:b/>
                <w:sz w:val="18"/>
                <w:szCs w:val="18"/>
                <w:lang w:val="es-ES_tradnl"/>
              </w:rPr>
            </w:pPr>
            <w:r w:rsidRPr="00570600">
              <w:rPr>
                <w:rFonts w:ascii="Arial" w:hAnsi="Arial" w:cs="Arial"/>
                <w:b/>
                <w:sz w:val="18"/>
                <w:szCs w:val="18"/>
                <w:lang w:val="es-ES_tradnl"/>
              </w:rPr>
              <w:t>TIPO DE GASTO</w:t>
            </w:r>
          </w:p>
        </w:tc>
        <w:tc>
          <w:tcPr>
            <w:tcW w:w="2354" w:type="dxa"/>
          </w:tcPr>
          <w:p w14:paraId="2FCBAA52" w14:textId="77777777" w:rsidR="007E2F9F" w:rsidRPr="00570600" w:rsidRDefault="007E2F9F" w:rsidP="006548F8">
            <w:pPr>
              <w:jc w:val="center"/>
              <w:rPr>
                <w:rFonts w:ascii="Arial" w:hAnsi="Arial" w:cs="Arial"/>
                <w:b/>
                <w:sz w:val="18"/>
                <w:szCs w:val="18"/>
                <w:lang w:val="es-ES_tradnl"/>
              </w:rPr>
            </w:pPr>
            <w:r w:rsidRPr="00570600">
              <w:rPr>
                <w:rFonts w:ascii="Arial" w:hAnsi="Arial" w:cs="Arial"/>
                <w:b/>
                <w:sz w:val="18"/>
                <w:szCs w:val="18"/>
                <w:lang w:val="es-ES_tradnl"/>
              </w:rPr>
              <w:t>APROPIACIÓN</w:t>
            </w:r>
          </w:p>
          <w:p w14:paraId="3351D0B9" w14:textId="77777777" w:rsidR="007E2F9F" w:rsidRPr="00570600" w:rsidRDefault="007E2F9F" w:rsidP="006548F8">
            <w:pPr>
              <w:jc w:val="center"/>
              <w:rPr>
                <w:rFonts w:ascii="Arial" w:hAnsi="Arial" w:cs="Arial"/>
                <w:b/>
                <w:sz w:val="18"/>
                <w:szCs w:val="18"/>
                <w:lang w:val="es-ES_tradnl"/>
              </w:rPr>
            </w:pPr>
            <w:r w:rsidRPr="00570600">
              <w:rPr>
                <w:rFonts w:ascii="Arial" w:hAnsi="Arial" w:cs="Arial"/>
                <w:b/>
                <w:sz w:val="18"/>
                <w:szCs w:val="18"/>
                <w:lang w:val="es-ES_tradnl"/>
              </w:rPr>
              <w:t>DEFINITIVA</w:t>
            </w:r>
          </w:p>
          <w:p w14:paraId="64C1273D" w14:textId="77777777" w:rsidR="007E2F9F" w:rsidRPr="00570600" w:rsidRDefault="007E2F9F" w:rsidP="006548F8">
            <w:pPr>
              <w:jc w:val="center"/>
              <w:rPr>
                <w:rFonts w:ascii="Arial" w:hAnsi="Arial" w:cs="Arial"/>
                <w:b/>
                <w:sz w:val="18"/>
                <w:szCs w:val="18"/>
                <w:lang w:val="es-ES_tradnl"/>
              </w:rPr>
            </w:pPr>
            <w:r w:rsidRPr="00570600">
              <w:rPr>
                <w:rFonts w:ascii="Arial" w:hAnsi="Arial" w:cs="Arial"/>
                <w:b/>
                <w:sz w:val="18"/>
                <w:szCs w:val="18"/>
                <w:lang w:val="es-ES_tradnl"/>
              </w:rPr>
              <w:t>(1)</w:t>
            </w:r>
          </w:p>
          <w:p w14:paraId="610B4DCA" w14:textId="77777777" w:rsidR="007E2F9F" w:rsidRPr="00570600" w:rsidRDefault="007E2F9F" w:rsidP="006548F8">
            <w:pPr>
              <w:jc w:val="center"/>
              <w:rPr>
                <w:rFonts w:ascii="Arial" w:hAnsi="Arial" w:cs="Arial"/>
                <w:b/>
                <w:sz w:val="18"/>
                <w:szCs w:val="18"/>
                <w:lang w:val="es-ES_tradnl"/>
              </w:rPr>
            </w:pPr>
          </w:p>
        </w:tc>
        <w:tc>
          <w:tcPr>
            <w:tcW w:w="2354" w:type="dxa"/>
          </w:tcPr>
          <w:p w14:paraId="09B4172D" w14:textId="77777777" w:rsidR="007E2F9F" w:rsidRPr="00570600" w:rsidRDefault="007E2F9F" w:rsidP="006548F8">
            <w:pPr>
              <w:ind w:left="145" w:right="184"/>
              <w:jc w:val="center"/>
              <w:rPr>
                <w:rFonts w:ascii="Arial" w:hAnsi="Arial" w:cs="Arial"/>
                <w:b/>
                <w:sz w:val="18"/>
                <w:szCs w:val="18"/>
                <w:lang w:val="es-ES_tradnl"/>
              </w:rPr>
            </w:pPr>
            <w:r w:rsidRPr="00570600">
              <w:rPr>
                <w:rFonts w:ascii="Arial" w:hAnsi="Arial" w:cs="Arial"/>
                <w:b/>
                <w:sz w:val="18"/>
                <w:szCs w:val="18"/>
                <w:lang w:val="es-ES_tradnl"/>
              </w:rPr>
              <w:t>EJECUCIÓN</w:t>
            </w:r>
          </w:p>
          <w:p w14:paraId="5CE9D630" w14:textId="77777777" w:rsidR="007E2F9F" w:rsidRPr="00570600" w:rsidRDefault="007E2F9F" w:rsidP="006548F8">
            <w:pPr>
              <w:ind w:right="34"/>
              <w:jc w:val="center"/>
              <w:rPr>
                <w:rFonts w:ascii="Arial" w:hAnsi="Arial" w:cs="Arial"/>
                <w:b/>
                <w:sz w:val="18"/>
                <w:szCs w:val="18"/>
                <w:lang w:val="es-ES_tradnl"/>
              </w:rPr>
            </w:pPr>
            <w:r w:rsidRPr="00570600">
              <w:rPr>
                <w:rFonts w:ascii="Arial" w:hAnsi="Arial" w:cs="Arial"/>
                <w:b/>
                <w:sz w:val="18"/>
                <w:szCs w:val="18"/>
                <w:lang w:val="es-ES_tradnl"/>
              </w:rPr>
              <w:t>COMPROMISOS</w:t>
            </w:r>
          </w:p>
          <w:p w14:paraId="11CADC29" w14:textId="77777777" w:rsidR="007E2F9F" w:rsidRPr="00570600" w:rsidRDefault="007E2F9F" w:rsidP="006548F8">
            <w:pPr>
              <w:ind w:right="34"/>
              <w:jc w:val="center"/>
              <w:rPr>
                <w:rFonts w:ascii="Arial" w:hAnsi="Arial" w:cs="Arial"/>
                <w:b/>
                <w:sz w:val="18"/>
                <w:szCs w:val="18"/>
                <w:lang w:val="es-ES_tradnl"/>
              </w:rPr>
            </w:pPr>
            <w:r w:rsidRPr="00570600">
              <w:rPr>
                <w:rFonts w:ascii="Arial" w:hAnsi="Arial" w:cs="Arial"/>
                <w:b/>
                <w:sz w:val="18"/>
                <w:szCs w:val="18"/>
                <w:lang w:val="es-ES_tradnl"/>
              </w:rPr>
              <w:t>(2)</w:t>
            </w:r>
          </w:p>
        </w:tc>
        <w:tc>
          <w:tcPr>
            <w:tcW w:w="2238" w:type="dxa"/>
          </w:tcPr>
          <w:p w14:paraId="2E6CD9E0" w14:textId="77777777" w:rsidR="007E2F9F" w:rsidRPr="00570600" w:rsidRDefault="007E2F9F" w:rsidP="006548F8">
            <w:pPr>
              <w:ind w:left="25" w:right="34"/>
              <w:jc w:val="center"/>
              <w:rPr>
                <w:rFonts w:ascii="Arial" w:hAnsi="Arial" w:cs="Arial"/>
                <w:b/>
                <w:sz w:val="18"/>
                <w:szCs w:val="18"/>
                <w:lang w:val="es-ES_tradnl"/>
              </w:rPr>
            </w:pPr>
            <w:r w:rsidRPr="00570600">
              <w:rPr>
                <w:rFonts w:ascii="Arial" w:hAnsi="Arial" w:cs="Arial"/>
                <w:b/>
                <w:sz w:val="18"/>
                <w:szCs w:val="18"/>
                <w:lang w:val="es-ES_tradnl"/>
              </w:rPr>
              <w:t>PÉRDIDAS DE</w:t>
            </w:r>
          </w:p>
          <w:p w14:paraId="20EF3D12" w14:textId="77777777" w:rsidR="007E2F9F" w:rsidRPr="00570600" w:rsidRDefault="007E2F9F" w:rsidP="006548F8">
            <w:pPr>
              <w:ind w:right="34"/>
              <w:jc w:val="center"/>
              <w:rPr>
                <w:rFonts w:ascii="Arial" w:hAnsi="Arial" w:cs="Arial"/>
                <w:b/>
                <w:sz w:val="18"/>
                <w:szCs w:val="18"/>
                <w:lang w:val="es-ES_tradnl"/>
              </w:rPr>
            </w:pPr>
            <w:r w:rsidRPr="00570600">
              <w:rPr>
                <w:rFonts w:ascii="Arial" w:hAnsi="Arial" w:cs="Arial"/>
                <w:b/>
                <w:sz w:val="18"/>
                <w:szCs w:val="18"/>
                <w:lang w:val="es-ES_tradnl"/>
              </w:rPr>
              <w:t>APROPIACIÓN</w:t>
            </w:r>
          </w:p>
          <w:p w14:paraId="15069516" w14:textId="77777777" w:rsidR="007E2F9F" w:rsidRPr="00570600" w:rsidRDefault="007E2F9F" w:rsidP="006548F8">
            <w:pPr>
              <w:ind w:right="34"/>
              <w:jc w:val="center"/>
              <w:rPr>
                <w:rFonts w:ascii="Arial" w:hAnsi="Arial" w:cs="Arial"/>
                <w:b/>
                <w:sz w:val="18"/>
                <w:szCs w:val="18"/>
                <w:lang w:val="es-ES_tradnl"/>
              </w:rPr>
            </w:pPr>
            <w:r w:rsidRPr="00570600">
              <w:rPr>
                <w:rFonts w:ascii="Arial" w:hAnsi="Arial" w:cs="Arial"/>
                <w:b/>
                <w:sz w:val="18"/>
                <w:szCs w:val="18"/>
                <w:lang w:val="es-ES_tradnl"/>
              </w:rPr>
              <w:t>3 = (1-2)</w:t>
            </w:r>
          </w:p>
        </w:tc>
      </w:tr>
      <w:tr w:rsidR="007E2F9F" w:rsidRPr="00570600" w14:paraId="7C4F0C25" w14:textId="77777777" w:rsidTr="006548F8">
        <w:trPr>
          <w:trHeight w:val="230"/>
        </w:trPr>
        <w:tc>
          <w:tcPr>
            <w:tcW w:w="3544" w:type="dxa"/>
          </w:tcPr>
          <w:p w14:paraId="5BD44C28" w14:textId="77777777" w:rsidR="007E2F9F" w:rsidRPr="00570600" w:rsidRDefault="007E2F9F" w:rsidP="006548F8">
            <w:pPr>
              <w:ind w:right="-1440"/>
              <w:jc w:val="both"/>
              <w:rPr>
                <w:rFonts w:ascii="Arial" w:hAnsi="Arial" w:cs="Arial"/>
                <w:b/>
                <w:sz w:val="18"/>
                <w:szCs w:val="18"/>
                <w:lang w:val="es-ES_tradnl"/>
              </w:rPr>
            </w:pPr>
            <w:r w:rsidRPr="00570600">
              <w:rPr>
                <w:rFonts w:ascii="Arial" w:hAnsi="Arial" w:cs="Arial"/>
                <w:b/>
                <w:sz w:val="18"/>
                <w:szCs w:val="18"/>
                <w:lang w:val="es-ES_tradnl"/>
              </w:rPr>
              <w:t>FUNCIONAMIENTO</w:t>
            </w:r>
          </w:p>
        </w:tc>
        <w:tc>
          <w:tcPr>
            <w:tcW w:w="2354" w:type="dxa"/>
          </w:tcPr>
          <w:p w14:paraId="7A7A8719" w14:textId="77777777" w:rsidR="007E2F9F" w:rsidRPr="00570600" w:rsidRDefault="007E2F9F" w:rsidP="006548F8">
            <w:pPr>
              <w:jc w:val="right"/>
              <w:rPr>
                <w:rFonts w:ascii="Arial" w:eastAsia="Calibri" w:hAnsi="Arial" w:cs="Arial"/>
                <w:b/>
                <w:bCs/>
                <w:sz w:val="18"/>
                <w:szCs w:val="18"/>
                <w:lang w:val="es-CO"/>
              </w:rPr>
            </w:pPr>
            <w:r w:rsidRPr="00570600">
              <w:rPr>
                <w:rFonts w:ascii="Arial" w:hAnsi="Arial" w:cs="Arial"/>
                <w:b/>
                <w:spacing w:val="-2"/>
                <w:sz w:val="18"/>
                <w:szCs w:val="18"/>
              </w:rPr>
              <w:t>9.000.000</w:t>
            </w:r>
          </w:p>
        </w:tc>
        <w:tc>
          <w:tcPr>
            <w:tcW w:w="2354" w:type="dxa"/>
          </w:tcPr>
          <w:p w14:paraId="499DD1DA" w14:textId="77777777" w:rsidR="007E2F9F" w:rsidRPr="00570600" w:rsidRDefault="007E2F9F" w:rsidP="006548F8">
            <w:pPr>
              <w:pStyle w:val="Prrafodelista"/>
              <w:ind w:left="0"/>
              <w:jc w:val="right"/>
              <w:rPr>
                <w:rFonts w:ascii="Arial" w:hAnsi="Arial" w:cs="Arial"/>
                <w:b/>
                <w:bCs/>
                <w:sz w:val="18"/>
                <w:szCs w:val="18"/>
              </w:rPr>
            </w:pPr>
            <w:r w:rsidRPr="00570600">
              <w:rPr>
                <w:rFonts w:ascii="Arial" w:hAnsi="Arial" w:cs="Arial"/>
                <w:b/>
                <w:spacing w:val="-2"/>
                <w:sz w:val="18"/>
                <w:szCs w:val="18"/>
              </w:rPr>
              <w:t>8.189.304,44</w:t>
            </w:r>
          </w:p>
        </w:tc>
        <w:tc>
          <w:tcPr>
            <w:tcW w:w="2238" w:type="dxa"/>
          </w:tcPr>
          <w:p w14:paraId="46887721" w14:textId="77777777" w:rsidR="007E2F9F" w:rsidRPr="00570600" w:rsidRDefault="007E2F9F" w:rsidP="006548F8">
            <w:pPr>
              <w:pStyle w:val="Prrafodelista"/>
              <w:ind w:left="0"/>
              <w:jc w:val="right"/>
              <w:rPr>
                <w:rFonts w:ascii="Arial" w:hAnsi="Arial" w:cs="Arial"/>
                <w:b/>
                <w:bCs/>
                <w:sz w:val="18"/>
                <w:szCs w:val="18"/>
              </w:rPr>
            </w:pPr>
            <w:r w:rsidRPr="00570600">
              <w:rPr>
                <w:rFonts w:ascii="Arial" w:hAnsi="Arial" w:cs="Arial"/>
                <w:b/>
                <w:spacing w:val="-2"/>
                <w:sz w:val="18"/>
                <w:szCs w:val="18"/>
              </w:rPr>
              <w:t>810.695,56</w:t>
            </w:r>
          </w:p>
        </w:tc>
      </w:tr>
      <w:tr w:rsidR="007E2F9F" w:rsidRPr="00570600" w14:paraId="79903FB8" w14:textId="77777777" w:rsidTr="006548F8">
        <w:tc>
          <w:tcPr>
            <w:tcW w:w="3544" w:type="dxa"/>
          </w:tcPr>
          <w:p w14:paraId="7F91DB80" w14:textId="77777777" w:rsidR="007E2F9F" w:rsidRPr="00570600" w:rsidRDefault="007E2F9F" w:rsidP="006548F8">
            <w:pPr>
              <w:ind w:right="-1440"/>
              <w:jc w:val="both"/>
              <w:rPr>
                <w:rFonts w:ascii="Arial" w:hAnsi="Arial" w:cs="Arial"/>
                <w:b/>
                <w:sz w:val="18"/>
                <w:szCs w:val="18"/>
                <w:lang w:val="es-ES_tradnl"/>
              </w:rPr>
            </w:pPr>
            <w:r w:rsidRPr="00570600">
              <w:rPr>
                <w:rFonts w:ascii="Arial" w:hAnsi="Arial" w:cs="Arial"/>
                <w:b/>
                <w:sz w:val="18"/>
                <w:szCs w:val="18"/>
                <w:lang w:val="es-ES_tradnl"/>
              </w:rPr>
              <w:t>INVERSIÓN</w:t>
            </w:r>
          </w:p>
        </w:tc>
        <w:tc>
          <w:tcPr>
            <w:tcW w:w="2354" w:type="dxa"/>
          </w:tcPr>
          <w:p w14:paraId="199ECBA4" w14:textId="77777777" w:rsidR="007E2F9F" w:rsidRPr="00570600" w:rsidRDefault="007E2F9F" w:rsidP="006548F8">
            <w:pPr>
              <w:pStyle w:val="Prrafodelista"/>
              <w:ind w:left="0"/>
              <w:jc w:val="right"/>
              <w:rPr>
                <w:rFonts w:ascii="Arial" w:hAnsi="Arial" w:cs="Arial"/>
                <w:b/>
                <w:bCs/>
                <w:sz w:val="18"/>
                <w:szCs w:val="18"/>
              </w:rPr>
            </w:pPr>
            <w:r w:rsidRPr="00570600">
              <w:rPr>
                <w:rFonts w:ascii="Arial" w:hAnsi="Arial" w:cs="Arial"/>
                <w:spacing w:val="-2"/>
                <w:sz w:val="18"/>
                <w:szCs w:val="18"/>
              </w:rPr>
              <w:t>4.121.294.445,20</w:t>
            </w:r>
          </w:p>
        </w:tc>
        <w:tc>
          <w:tcPr>
            <w:tcW w:w="2354" w:type="dxa"/>
          </w:tcPr>
          <w:p w14:paraId="7BF71C14" w14:textId="77777777" w:rsidR="007E2F9F" w:rsidRPr="00570600" w:rsidRDefault="007E2F9F" w:rsidP="006548F8">
            <w:pPr>
              <w:pStyle w:val="Prrafodelista"/>
              <w:ind w:left="0"/>
              <w:jc w:val="right"/>
              <w:rPr>
                <w:rFonts w:ascii="Arial" w:hAnsi="Arial" w:cs="Arial"/>
                <w:b/>
                <w:bCs/>
                <w:sz w:val="18"/>
                <w:szCs w:val="18"/>
              </w:rPr>
            </w:pPr>
            <w:r w:rsidRPr="00570600">
              <w:rPr>
                <w:rFonts w:ascii="Arial" w:hAnsi="Arial" w:cs="Arial"/>
                <w:spacing w:val="-2"/>
                <w:sz w:val="18"/>
                <w:szCs w:val="18"/>
              </w:rPr>
              <w:t>4.114.263.262,37</w:t>
            </w:r>
          </w:p>
        </w:tc>
        <w:tc>
          <w:tcPr>
            <w:tcW w:w="2238" w:type="dxa"/>
          </w:tcPr>
          <w:p w14:paraId="51FD32BC" w14:textId="77777777" w:rsidR="007E2F9F" w:rsidRPr="00570600" w:rsidRDefault="007E2F9F" w:rsidP="006548F8">
            <w:pPr>
              <w:pStyle w:val="Prrafodelista"/>
              <w:ind w:left="0"/>
              <w:jc w:val="right"/>
              <w:rPr>
                <w:rFonts w:ascii="Arial" w:hAnsi="Arial" w:cs="Arial"/>
                <w:b/>
                <w:bCs/>
                <w:sz w:val="18"/>
                <w:szCs w:val="18"/>
              </w:rPr>
            </w:pPr>
            <w:r w:rsidRPr="00570600">
              <w:rPr>
                <w:rFonts w:ascii="Arial" w:hAnsi="Arial" w:cs="Arial"/>
                <w:spacing w:val="-2"/>
                <w:sz w:val="18"/>
                <w:szCs w:val="18"/>
              </w:rPr>
              <w:t>7.031.182,82</w:t>
            </w:r>
          </w:p>
        </w:tc>
      </w:tr>
      <w:tr w:rsidR="007E2F9F" w:rsidRPr="00570600" w14:paraId="3FB0F618" w14:textId="77777777" w:rsidTr="006548F8">
        <w:tc>
          <w:tcPr>
            <w:tcW w:w="3544" w:type="dxa"/>
          </w:tcPr>
          <w:p w14:paraId="2DE9657D" w14:textId="77777777" w:rsidR="007E2F9F" w:rsidRPr="00570600" w:rsidRDefault="007E2F9F" w:rsidP="006548F8">
            <w:pPr>
              <w:ind w:right="-1440"/>
              <w:jc w:val="both"/>
              <w:rPr>
                <w:rFonts w:ascii="Arial" w:hAnsi="Arial" w:cs="Arial"/>
                <w:b/>
                <w:sz w:val="18"/>
                <w:szCs w:val="18"/>
                <w:lang w:val="es-ES_tradnl"/>
              </w:rPr>
            </w:pPr>
            <w:r w:rsidRPr="00570600">
              <w:rPr>
                <w:rFonts w:ascii="Arial" w:hAnsi="Arial" w:cs="Arial"/>
                <w:b/>
                <w:sz w:val="18"/>
                <w:szCs w:val="18"/>
                <w:lang w:val="es-ES_tradnl"/>
              </w:rPr>
              <w:t>TOTAL PÉRDIDAS DE APROPIACIÓN</w:t>
            </w:r>
          </w:p>
        </w:tc>
        <w:tc>
          <w:tcPr>
            <w:tcW w:w="2354" w:type="dxa"/>
          </w:tcPr>
          <w:p w14:paraId="6DE738C2" w14:textId="77777777" w:rsidR="007E2F9F" w:rsidRPr="00570600" w:rsidRDefault="007E2F9F" w:rsidP="006548F8">
            <w:pPr>
              <w:pStyle w:val="Prrafodelista"/>
              <w:ind w:left="0"/>
              <w:jc w:val="right"/>
              <w:rPr>
                <w:rFonts w:ascii="Arial" w:hAnsi="Arial" w:cs="Arial"/>
                <w:b/>
                <w:bCs/>
                <w:sz w:val="18"/>
                <w:szCs w:val="18"/>
                <w:u w:val="single"/>
              </w:rPr>
            </w:pPr>
            <w:r w:rsidRPr="00570600">
              <w:rPr>
                <w:rFonts w:ascii="Arial" w:hAnsi="Arial" w:cs="Arial"/>
                <w:b/>
                <w:spacing w:val="-2"/>
                <w:sz w:val="18"/>
                <w:szCs w:val="18"/>
              </w:rPr>
              <w:t>4.130.294.445,20</w:t>
            </w:r>
          </w:p>
        </w:tc>
        <w:tc>
          <w:tcPr>
            <w:tcW w:w="2354" w:type="dxa"/>
          </w:tcPr>
          <w:p w14:paraId="5A796E33" w14:textId="77777777" w:rsidR="007E2F9F" w:rsidRPr="00570600" w:rsidRDefault="007E2F9F" w:rsidP="006548F8">
            <w:pPr>
              <w:pStyle w:val="Prrafodelista"/>
              <w:ind w:left="0"/>
              <w:jc w:val="right"/>
              <w:rPr>
                <w:rFonts w:ascii="Arial" w:hAnsi="Arial" w:cs="Arial"/>
                <w:b/>
                <w:bCs/>
                <w:sz w:val="18"/>
                <w:szCs w:val="18"/>
                <w:u w:val="single"/>
              </w:rPr>
            </w:pPr>
            <w:r w:rsidRPr="00570600">
              <w:rPr>
                <w:rFonts w:ascii="Arial" w:hAnsi="Arial" w:cs="Arial"/>
                <w:b/>
                <w:spacing w:val="-2"/>
                <w:sz w:val="18"/>
                <w:szCs w:val="18"/>
              </w:rPr>
              <w:t>4.122.452.566,81</w:t>
            </w:r>
          </w:p>
        </w:tc>
        <w:tc>
          <w:tcPr>
            <w:tcW w:w="2238" w:type="dxa"/>
          </w:tcPr>
          <w:p w14:paraId="7F8580F3" w14:textId="77777777" w:rsidR="007E2F9F" w:rsidRPr="00570600" w:rsidRDefault="007E2F9F" w:rsidP="006548F8">
            <w:pPr>
              <w:pStyle w:val="Prrafodelista"/>
              <w:ind w:left="0"/>
              <w:jc w:val="right"/>
              <w:rPr>
                <w:rFonts w:ascii="Arial" w:hAnsi="Arial" w:cs="Arial"/>
                <w:b/>
                <w:bCs/>
                <w:sz w:val="18"/>
                <w:szCs w:val="18"/>
                <w:u w:val="single"/>
              </w:rPr>
            </w:pPr>
            <w:r w:rsidRPr="00570600">
              <w:rPr>
                <w:rFonts w:ascii="Arial" w:hAnsi="Arial" w:cs="Arial"/>
                <w:b/>
                <w:spacing w:val="-2"/>
                <w:sz w:val="18"/>
                <w:szCs w:val="18"/>
                <w:u w:val="single"/>
              </w:rPr>
              <w:t>7.841.878,39</w:t>
            </w:r>
          </w:p>
        </w:tc>
      </w:tr>
    </w:tbl>
    <w:p w14:paraId="02DDCE77" w14:textId="77777777" w:rsidR="007E2F9F" w:rsidRPr="00E90631" w:rsidRDefault="007E2F9F" w:rsidP="007E2F9F">
      <w:pPr>
        <w:spacing w:before="92"/>
        <w:rPr>
          <w:rFonts w:ascii="Arial" w:hAnsi="Arial" w:cs="Arial"/>
          <w:b/>
          <w:sz w:val="28"/>
          <w:szCs w:val="28"/>
          <w:lang w:val="es-MX"/>
        </w:rPr>
      </w:pPr>
    </w:p>
    <w:p w14:paraId="1246533F" w14:textId="77777777" w:rsidR="007E2F9F" w:rsidRPr="00DF7570" w:rsidRDefault="007E2F9F" w:rsidP="007E2F9F">
      <w:pPr>
        <w:ind w:left="-284"/>
        <w:jc w:val="both"/>
        <w:rPr>
          <w:rFonts w:ascii="Arial" w:hAnsi="Arial" w:cs="Arial"/>
          <w:b/>
          <w:sz w:val="28"/>
          <w:szCs w:val="28"/>
          <w:lang w:val="es-MX"/>
        </w:rPr>
      </w:pPr>
      <w:r w:rsidRPr="00DF7570">
        <w:rPr>
          <w:rFonts w:ascii="Arial" w:hAnsi="Arial" w:cs="Arial"/>
          <w:b/>
          <w:sz w:val="28"/>
          <w:szCs w:val="28"/>
          <w:lang w:val="es-MX"/>
        </w:rPr>
        <w:t>158.- CORPORACIÓN AUTÓNOMA REGIONAL DE NARIÑO – CORPONARIÑO.</w:t>
      </w:r>
    </w:p>
    <w:p w14:paraId="6CF657B7"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1900669"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D52B898"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DF7570" w14:paraId="5D83F3DD" w14:textId="77777777" w:rsidTr="006548F8">
        <w:tc>
          <w:tcPr>
            <w:tcW w:w="3544" w:type="dxa"/>
          </w:tcPr>
          <w:p w14:paraId="79807FE0" w14:textId="77777777" w:rsidR="007E2F9F" w:rsidRPr="00DF7570" w:rsidRDefault="007E2F9F" w:rsidP="006548F8">
            <w:pPr>
              <w:ind w:left="1169" w:right="-1440"/>
              <w:rPr>
                <w:rFonts w:ascii="Arial" w:hAnsi="Arial" w:cs="Arial"/>
                <w:b/>
                <w:sz w:val="18"/>
                <w:szCs w:val="18"/>
                <w:lang w:val="es-ES_tradnl"/>
              </w:rPr>
            </w:pPr>
            <w:r w:rsidRPr="00DF7570">
              <w:rPr>
                <w:rFonts w:ascii="Arial" w:hAnsi="Arial" w:cs="Arial"/>
                <w:b/>
                <w:sz w:val="18"/>
                <w:szCs w:val="18"/>
                <w:lang w:val="es-ES_tradnl"/>
              </w:rPr>
              <w:t>TIPO DE GASTO</w:t>
            </w:r>
          </w:p>
        </w:tc>
        <w:tc>
          <w:tcPr>
            <w:tcW w:w="2354" w:type="dxa"/>
          </w:tcPr>
          <w:p w14:paraId="51B69A5A" w14:textId="77777777" w:rsidR="007E2F9F" w:rsidRPr="00DF7570" w:rsidRDefault="007E2F9F" w:rsidP="006548F8">
            <w:pPr>
              <w:jc w:val="center"/>
              <w:rPr>
                <w:rFonts w:ascii="Arial" w:hAnsi="Arial" w:cs="Arial"/>
                <w:b/>
                <w:sz w:val="18"/>
                <w:szCs w:val="18"/>
                <w:lang w:val="es-ES_tradnl"/>
              </w:rPr>
            </w:pPr>
            <w:r w:rsidRPr="00DF7570">
              <w:rPr>
                <w:rFonts w:ascii="Arial" w:hAnsi="Arial" w:cs="Arial"/>
                <w:b/>
                <w:sz w:val="18"/>
                <w:szCs w:val="18"/>
                <w:lang w:val="es-ES_tradnl"/>
              </w:rPr>
              <w:t>APROPIACIÓN</w:t>
            </w:r>
          </w:p>
          <w:p w14:paraId="654C50C6" w14:textId="77777777" w:rsidR="007E2F9F" w:rsidRPr="00DF7570" w:rsidRDefault="007E2F9F" w:rsidP="006548F8">
            <w:pPr>
              <w:jc w:val="center"/>
              <w:rPr>
                <w:rFonts w:ascii="Arial" w:hAnsi="Arial" w:cs="Arial"/>
                <w:b/>
                <w:sz w:val="18"/>
                <w:szCs w:val="18"/>
                <w:lang w:val="es-ES_tradnl"/>
              </w:rPr>
            </w:pPr>
            <w:r w:rsidRPr="00DF7570">
              <w:rPr>
                <w:rFonts w:ascii="Arial" w:hAnsi="Arial" w:cs="Arial"/>
                <w:b/>
                <w:sz w:val="18"/>
                <w:szCs w:val="18"/>
                <w:lang w:val="es-ES_tradnl"/>
              </w:rPr>
              <w:t>DEFINITIVA</w:t>
            </w:r>
          </w:p>
          <w:p w14:paraId="3BC3B337" w14:textId="77777777" w:rsidR="007E2F9F" w:rsidRPr="00DF7570" w:rsidRDefault="007E2F9F" w:rsidP="006548F8">
            <w:pPr>
              <w:jc w:val="center"/>
              <w:rPr>
                <w:rFonts w:ascii="Arial" w:hAnsi="Arial" w:cs="Arial"/>
                <w:b/>
                <w:sz w:val="18"/>
                <w:szCs w:val="18"/>
                <w:lang w:val="es-ES_tradnl"/>
              </w:rPr>
            </w:pPr>
            <w:r w:rsidRPr="00DF7570">
              <w:rPr>
                <w:rFonts w:ascii="Arial" w:hAnsi="Arial" w:cs="Arial"/>
                <w:b/>
                <w:sz w:val="18"/>
                <w:szCs w:val="18"/>
                <w:lang w:val="es-ES_tradnl"/>
              </w:rPr>
              <w:t>(1)</w:t>
            </w:r>
          </w:p>
          <w:p w14:paraId="5DBF2569" w14:textId="77777777" w:rsidR="007E2F9F" w:rsidRPr="00DF7570" w:rsidRDefault="007E2F9F" w:rsidP="006548F8">
            <w:pPr>
              <w:jc w:val="center"/>
              <w:rPr>
                <w:rFonts w:ascii="Arial" w:hAnsi="Arial" w:cs="Arial"/>
                <w:b/>
                <w:sz w:val="18"/>
                <w:szCs w:val="18"/>
                <w:lang w:val="es-ES_tradnl"/>
              </w:rPr>
            </w:pPr>
          </w:p>
        </w:tc>
        <w:tc>
          <w:tcPr>
            <w:tcW w:w="2354" w:type="dxa"/>
          </w:tcPr>
          <w:p w14:paraId="090B2495" w14:textId="77777777" w:rsidR="007E2F9F" w:rsidRPr="00DF7570" w:rsidRDefault="007E2F9F" w:rsidP="006548F8">
            <w:pPr>
              <w:ind w:left="145" w:right="184"/>
              <w:jc w:val="center"/>
              <w:rPr>
                <w:rFonts w:ascii="Arial" w:hAnsi="Arial" w:cs="Arial"/>
                <w:b/>
                <w:sz w:val="18"/>
                <w:szCs w:val="18"/>
                <w:lang w:val="es-ES_tradnl"/>
              </w:rPr>
            </w:pPr>
            <w:r w:rsidRPr="00DF7570">
              <w:rPr>
                <w:rFonts w:ascii="Arial" w:hAnsi="Arial" w:cs="Arial"/>
                <w:b/>
                <w:sz w:val="18"/>
                <w:szCs w:val="18"/>
                <w:lang w:val="es-ES_tradnl"/>
              </w:rPr>
              <w:t>EJECUCIÓN</w:t>
            </w:r>
          </w:p>
          <w:p w14:paraId="0B873023" w14:textId="77777777" w:rsidR="007E2F9F" w:rsidRPr="00DF7570" w:rsidRDefault="007E2F9F" w:rsidP="006548F8">
            <w:pPr>
              <w:ind w:right="34"/>
              <w:jc w:val="center"/>
              <w:rPr>
                <w:rFonts w:ascii="Arial" w:hAnsi="Arial" w:cs="Arial"/>
                <w:b/>
                <w:sz w:val="18"/>
                <w:szCs w:val="18"/>
                <w:lang w:val="es-ES_tradnl"/>
              </w:rPr>
            </w:pPr>
            <w:r w:rsidRPr="00DF7570">
              <w:rPr>
                <w:rFonts w:ascii="Arial" w:hAnsi="Arial" w:cs="Arial"/>
                <w:b/>
                <w:sz w:val="18"/>
                <w:szCs w:val="18"/>
                <w:lang w:val="es-ES_tradnl"/>
              </w:rPr>
              <w:t>COMPROMISOS</w:t>
            </w:r>
          </w:p>
          <w:p w14:paraId="5C4E778B" w14:textId="77777777" w:rsidR="007E2F9F" w:rsidRPr="00DF7570" w:rsidRDefault="007E2F9F" w:rsidP="006548F8">
            <w:pPr>
              <w:ind w:right="34"/>
              <w:jc w:val="center"/>
              <w:rPr>
                <w:rFonts w:ascii="Arial" w:hAnsi="Arial" w:cs="Arial"/>
                <w:b/>
                <w:sz w:val="18"/>
                <w:szCs w:val="18"/>
                <w:lang w:val="es-ES_tradnl"/>
              </w:rPr>
            </w:pPr>
            <w:r w:rsidRPr="00DF7570">
              <w:rPr>
                <w:rFonts w:ascii="Arial" w:hAnsi="Arial" w:cs="Arial"/>
                <w:b/>
                <w:sz w:val="18"/>
                <w:szCs w:val="18"/>
                <w:lang w:val="es-ES_tradnl"/>
              </w:rPr>
              <w:t>(2)</w:t>
            </w:r>
          </w:p>
        </w:tc>
        <w:tc>
          <w:tcPr>
            <w:tcW w:w="2238" w:type="dxa"/>
          </w:tcPr>
          <w:p w14:paraId="494CFE9D" w14:textId="77777777" w:rsidR="007E2F9F" w:rsidRPr="00DF7570" w:rsidRDefault="007E2F9F" w:rsidP="006548F8">
            <w:pPr>
              <w:ind w:left="25" w:right="34"/>
              <w:jc w:val="center"/>
              <w:rPr>
                <w:rFonts w:ascii="Arial" w:hAnsi="Arial" w:cs="Arial"/>
                <w:b/>
                <w:sz w:val="18"/>
                <w:szCs w:val="18"/>
                <w:lang w:val="es-ES_tradnl"/>
              </w:rPr>
            </w:pPr>
            <w:r w:rsidRPr="00DF7570">
              <w:rPr>
                <w:rFonts w:ascii="Arial" w:hAnsi="Arial" w:cs="Arial"/>
                <w:b/>
                <w:sz w:val="18"/>
                <w:szCs w:val="18"/>
                <w:lang w:val="es-ES_tradnl"/>
              </w:rPr>
              <w:t>PÉRDIDAS DE</w:t>
            </w:r>
          </w:p>
          <w:p w14:paraId="29D0B530" w14:textId="77777777" w:rsidR="007E2F9F" w:rsidRPr="00DF7570" w:rsidRDefault="007E2F9F" w:rsidP="006548F8">
            <w:pPr>
              <w:ind w:right="34"/>
              <w:jc w:val="center"/>
              <w:rPr>
                <w:rFonts w:ascii="Arial" w:hAnsi="Arial" w:cs="Arial"/>
                <w:b/>
                <w:sz w:val="18"/>
                <w:szCs w:val="18"/>
                <w:lang w:val="es-ES_tradnl"/>
              </w:rPr>
            </w:pPr>
            <w:r w:rsidRPr="00DF7570">
              <w:rPr>
                <w:rFonts w:ascii="Arial" w:hAnsi="Arial" w:cs="Arial"/>
                <w:b/>
                <w:sz w:val="18"/>
                <w:szCs w:val="18"/>
                <w:lang w:val="es-ES_tradnl"/>
              </w:rPr>
              <w:t>APROPIACIÓN</w:t>
            </w:r>
          </w:p>
          <w:p w14:paraId="46C3B858" w14:textId="77777777" w:rsidR="007E2F9F" w:rsidRPr="00DF7570" w:rsidRDefault="007E2F9F" w:rsidP="006548F8">
            <w:pPr>
              <w:ind w:right="34"/>
              <w:jc w:val="center"/>
              <w:rPr>
                <w:rFonts w:ascii="Arial" w:hAnsi="Arial" w:cs="Arial"/>
                <w:b/>
                <w:sz w:val="18"/>
                <w:szCs w:val="18"/>
                <w:lang w:val="es-ES_tradnl"/>
              </w:rPr>
            </w:pPr>
            <w:r w:rsidRPr="00DF7570">
              <w:rPr>
                <w:rFonts w:ascii="Arial" w:hAnsi="Arial" w:cs="Arial"/>
                <w:b/>
                <w:sz w:val="18"/>
                <w:szCs w:val="18"/>
                <w:lang w:val="es-ES_tradnl"/>
              </w:rPr>
              <w:t>3 = (1-2)</w:t>
            </w:r>
          </w:p>
        </w:tc>
      </w:tr>
      <w:tr w:rsidR="007E2F9F" w:rsidRPr="00DF7570" w14:paraId="7C41E1F6" w14:textId="77777777" w:rsidTr="006548F8">
        <w:trPr>
          <w:trHeight w:val="230"/>
        </w:trPr>
        <w:tc>
          <w:tcPr>
            <w:tcW w:w="3544" w:type="dxa"/>
          </w:tcPr>
          <w:p w14:paraId="2A2F54B5" w14:textId="77777777" w:rsidR="007E2F9F" w:rsidRPr="00DF7570" w:rsidRDefault="007E2F9F" w:rsidP="006548F8">
            <w:pPr>
              <w:ind w:right="-1440"/>
              <w:jc w:val="both"/>
              <w:rPr>
                <w:rFonts w:ascii="Arial" w:hAnsi="Arial" w:cs="Arial"/>
                <w:b/>
                <w:sz w:val="18"/>
                <w:szCs w:val="18"/>
                <w:lang w:val="es-ES_tradnl"/>
              </w:rPr>
            </w:pPr>
            <w:r w:rsidRPr="00DF7570">
              <w:rPr>
                <w:rFonts w:ascii="Arial" w:hAnsi="Arial" w:cs="Arial"/>
                <w:b/>
                <w:sz w:val="18"/>
                <w:szCs w:val="18"/>
                <w:lang w:val="es-ES_tradnl"/>
              </w:rPr>
              <w:t>FUNCIONAMIENTO</w:t>
            </w:r>
          </w:p>
        </w:tc>
        <w:tc>
          <w:tcPr>
            <w:tcW w:w="2354" w:type="dxa"/>
          </w:tcPr>
          <w:p w14:paraId="74D15B0C" w14:textId="77777777" w:rsidR="007E2F9F" w:rsidRPr="00DF7570" w:rsidRDefault="007E2F9F" w:rsidP="006548F8">
            <w:pPr>
              <w:jc w:val="right"/>
              <w:rPr>
                <w:rFonts w:ascii="Arial" w:eastAsia="Calibri" w:hAnsi="Arial" w:cs="Arial"/>
                <w:b/>
                <w:bCs/>
                <w:sz w:val="18"/>
                <w:szCs w:val="18"/>
                <w:lang w:val="es-CO"/>
              </w:rPr>
            </w:pPr>
            <w:r w:rsidRPr="00DF7570">
              <w:rPr>
                <w:rFonts w:ascii="Arial" w:eastAsia="Calibri" w:hAnsi="Arial" w:cs="Arial"/>
                <w:lang w:val="es-CO"/>
              </w:rPr>
              <w:t>4.028.277</w:t>
            </w:r>
          </w:p>
        </w:tc>
        <w:tc>
          <w:tcPr>
            <w:tcW w:w="2354" w:type="dxa"/>
          </w:tcPr>
          <w:p w14:paraId="1E9EDD83" w14:textId="77777777" w:rsidR="007E2F9F" w:rsidRPr="00DF7570" w:rsidRDefault="007E2F9F" w:rsidP="006548F8">
            <w:pPr>
              <w:pStyle w:val="Prrafodelista"/>
              <w:ind w:left="0"/>
              <w:jc w:val="right"/>
              <w:rPr>
                <w:rFonts w:ascii="Arial" w:hAnsi="Arial" w:cs="Arial"/>
                <w:b/>
                <w:bCs/>
                <w:sz w:val="18"/>
                <w:szCs w:val="18"/>
              </w:rPr>
            </w:pPr>
            <w:r w:rsidRPr="00DF7570">
              <w:rPr>
                <w:rFonts w:ascii="Arial" w:eastAsia="Calibri" w:hAnsi="Arial" w:cs="Arial"/>
                <w:lang w:val="es-CO"/>
              </w:rPr>
              <w:t>3.801.549</w:t>
            </w:r>
          </w:p>
        </w:tc>
        <w:tc>
          <w:tcPr>
            <w:tcW w:w="2238" w:type="dxa"/>
          </w:tcPr>
          <w:p w14:paraId="4FA4B1B2" w14:textId="77777777" w:rsidR="007E2F9F" w:rsidRPr="00DF7570" w:rsidRDefault="007E2F9F" w:rsidP="006548F8">
            <w:pPr>
              <w:pStyle w:val="Prrafodelista"/>
              <w:ind w:left="0"/>
              <w:jc w:val="right"/>
              <w:rPr>
                <w:rFonts w:ascii="Arial" w:hAnsi="Arial" w:cs="Arial"/>
                <w:b/>
                <w:bCs/>
                <w:sz w:val="18"/>
                <w:szCs w:val="18"/>
              </w:rPr>
            </w:pPr>
            <w:r w:rsidRPr="00DF7570">
              <w:rPr>
                <w:rFonts w:ascii="Arial" w:hAnsi="Arial" w:cs="Arial"/>
                <w:b/>
              </w:rPr>
              <w:t>226.728</w:t>
            </w:r>
          </w:p>
        </w:tc>
      </w:tr>
      <w:tr w:rsidR="007E2F9F" w:rsidRPr="00DF7570" w14:paraId="58B80051" w14:textId="77777777" w:rsidTr="006548F8">
        <w:tc>
          <w:tcPr>
            <w:tcW w:w="3544" w:type="dxa"/>
          </w:tcPr>
          <w:p w14:paraId="06869494" w14:textId="77777777" w:rsidR="007E2F9F" w:rsidRPr="00DF7570" w:rsidRDefault="007E2F9F" w:rsidP="006548F8">
            <w:pPr>
              <w:ind w:right="-1440"/>
              <w:jc w:val="both"/>
              <w:rPr>
                <w:rFonts w:ascii="Arial" w:hAnsi="Arial" w:cs="Arial"/>
                <w:b/>
                <w:sz w:val="18"/>
                <w:szCs w:val="18"/>
                <w:lang w:val="es-ES_tradnl"/>
              </w:rPr>
            </w:pPr>
            <w:r w:rsidRPr="00DF7570">
              <w:rPr>
                <w:rFonts w:ascii="Arial" w:hAnsi="Arial" w:cs="Arial"/>
                <w:b/>
                <w:sz w:val="18"/>
                <w:szCs w:val="18"/>
                <w:lang w:val="es-ES_tradnl"/>
              </w:rPr>
              <w:t>INVERSIÓN</w:t>
            </w:r>
          </w:p>
        </w:tc>
        <w:tc>
          <w:tcPr>
            <w:tcW w:w="2354" w:type="dxa"/>
          </w:tcPr>
          <w:p w14:paraId="73FEAF21" w14:textId="77777777" w:rsidR="007E2F9F" w:rsidRPr="00DF7570" w:rsidRDefault="007E2F9F" w:rsidP="006548F8">
            <w:pPr>
              <w:pStyle w:val="Prrafodelista"/>
              <w:ind w:left="0"/>
              <w:jc w:val="right"/>
              <w:rPr>
                <w:rFonts w:ascii="Arial" w:hAnsi="Arial" w:cs="Arial"/>
                <w:b/>
                <w:bCs/>
                <w:sz w:val="18"/>
                <w:szCs w:val="18"/>
              </w:rPr>
            </w:pPr>
            <w:r w:rsidRPr="00DF7570">
              <w:rPr>
                <w:rFonts w:ascii="Arial" w:eastAsia="Calibri" w:hAnsi="Arial" w:cs="Arial"/>
                <w:lang w:val="es-CO"/>
              </w:rPr>
              <w:t>5.177.709</w:t>
            </w:r>
          </w:p>
        </w:tc>
        <w:tc>
          <w:tcPr>
            <w:tcW w:w="2354" w:type="dxa"/>
          </w:tcPr>
          <w:p w14:paraId="0C917C21" w14:textId="77777777" w:rsidR="007E2F9F" w:rsidRPr="00DF7570" w:rsidRDefault="007E2F9F" w:rsidP="006548F8">
            <w:pPr>
              <w:pStyle w:val="Prrafodelista"/>
              <w:ind w:left="0"/>
              <w:jc w:val="right"/>
              <w:rPr>
                <w:rFonts w:ascii="Arial" w:hAnsi="Arial" w:cs="Arial"/>
                <w:b/>
                <w:bCs/>
                <w:sz w:val="18"/>
                <w:szCs w:val="18"/>
              </w:rPr>
            </w:pPr>
            <w:r w:rsidRPr="00DF7570">
              <w:rPr>
                <w:rFonts w:ascii="Arial" w:eastAsia="Calibri" w:hAnsi="Arial" w:cs="Arial"/>
                <w:lang w:val="es-CO"/>
              </w:rPr>
              <w:t>5.102.137</w:t>
            </w:r>
          </w:p>
        </w:tc>
        <w:tc>
          <w:tcPr>
            <w:tcW w:w="2238" w:type="dxa"/>
          </w:tcPr>
          <w:p w14:paraId="4453AA45" w14:textId="77777777" w:rsidR="007E2F9F" w:rsidRPr="00DF7570" w:rsidRDefault="007E2F9F" w:rsidP="006548F8">
            <w:pPr>
              <w:pStyle w:val="Prrafodelista"/>
              <w:ind w:left="0"/>
              <w:jc w:val="right"/>
              <w:rPr>
                <w:rFonts w:ascii="Arial" w:hAnsi="Arial" w:cs="Arial"/>
                <w:b/>
                <w:bCs/>
                <w:sz w:val="18"/>
                <w:szCs w:val="18"/>
              </w:rPr>
            </w:pPr>
            <w:r w:rsidRPr="00DF7570">
              <w:rPr>
                <w:rFonts w:ascii="Arial" w:hAnsi="Arial" w:cs="Arial"/>
                <w:b/>
              </w:rPr>
              <w:t>75.572</w:t>
            </w:r>
          </w:p>
        </w:tc>
      </w:tr>
      <w:tr w:rsidR="007E2F9F" w:rsidRPr="00DF7570" w14:paraId="373AFE0A" w14:textId="77777777" w:rsidTr="006548F8">
        <w:tc>
          <w:tcPr>
            <w:tcW w:w="3544" w:type="dxa"/>
          </w:tcPr>
          <w:p w14:paraId="25F108CE" w14:textId="77777777" w:rsidR="007E2F9F" w:rsidRPr="00DF7570" w:rsidRDefault="007E2F9F" w:rsidP="006548F8">
            <w:pPr>
              <w:ind w:right="-1440"/>
              <w:jc w:val="both"/>
              <w:rPr>
                <w:rFonts w:ascii="Arial" w:hAnsi="Arial" w:cs="Arial"/>
                <w:b/>
                <w:sz w:val="18"/>
                <w:szCs w:val="18"/>
                <w:lang w:val="es-ES_tradnl"/>
              </w:rPr>
            </w:pPr>
            <w:r w:rsidRPr="00DF7570">
              <w:rPr>
                <w:rFonts w:ascii="Arial" w:hAnsi="Arial" w:cs="Arial"/>
                <w:b/>
                <w:sz w:val="18"/>
                <w:szCs w:val="18"/>
                <w:lang w:val="es-ES_tradnl"/>
              </w:rPr>
              <w:t>TOTAL PÉRDIDAS DE APROPIACIÓN</w:t>
            </w:r>
          </w:p>
        </w:tc>
        <w:tc>
          <w:tcPr>
            <w:tcW w:w="2354" w:type="dxa"/>
          </w:tcPr>
          <w:p w14:paraId="2AEB9776" w14:textId="77777777" w:rsidR="007E2F9F" w:rsidRPr="00DF7570" w:rsidRDefault="007E2F9F" w:rsidP="006548F8">
            <w:pPr>
              <w:pStyle w:val="Prrafodelista"/>
              <w:ind w:left="0"/>
              <w:jc w:val="right"/>
              <w:rPr>
                <w:rFonts w:ascii="Arial" w:hAnsi="Arial" w:cs="Arial"/>
                <w:b/>
                <w:bCs/>
                <w:sz w:val="18"/>
                <w:szCs w:val="18"/>
                <w:u w:val="single"/>
              </w:rPr>
            </w:pPr>
            <w:r w:rsidRPr="00DF7570">
              <w:rPr>
                <w:rFonts w:ascii="Arial" w:eastAsia="Calibri" w:hAnsi="Arial" w:cs="Arial"/>
                <w:b/>
                <w:lang w:val="es-CO"/>
              </w:rPr>
              <w:t>9.205.986</w:t>
            </w:r>
          </w:p>
        </w:tc>
        <w:tc>
          <w:tcPr>
            <w:tcW w:w="2354" w:type="dxa"/>
          </w:tcPr>
          <w:p w14:paraId="2B1E4E6E" w14:textId="77777777" w:rsidR="007E2F9F" w:rsidRPr="00DF7570" w:rsidRDefault="007E2F9F" w:rsidP="006548F8">
            <w:pPr>
              <w:pStyle w:val="Prrafodelista"/>
              <w:ind w:left="0"/>
              <w:jc w:val="right"/>
              <w:rPr>
                <w:rFonts w:ascii="Arial" w:hAnsi="Arial" w:cs="Arial"/>
                <w:b/>
                <w:bCs/>
                <w:sz w:val="18"/>
                <w:szCs w:val="18"/>
                <w:u w:val="single"/>
              </w:rPr>
            </w:pPr>
            <w:r w:rsidRPr="00DF7570">
              <w:rPr>
                <w:rFonts w:ascii="Arial" w:eastAsia="Calibri" w:hAnsi="Arial" w:cs="Arial"/>
                <w:b/>
                <w:lang w:val="es-CO"/>
              </w:rPr>
              <w:t>8.903.686</w:t>
            </w:r>
          </w:p>
        </w:tc>
        <w:tc>
          <w:tcPr>
            <w:tcW w:w="2238" w:type="dxa"/>
          </w:tcPr>
          <w:p w14:paraId="44B38D28" w14:textId="77777777" w:rsidR="007E2F9F" w:rsidRPr="00DF7570" w:rsidRDefault="007E2F9F" w:rsidP="006548F8">
            <w:pPr>
              <w:pStyle w:val="Prrafodelista"/>
              <w:ind w:left="0"/>
              <w:jc w:val="right"/>
              <w:rPr>
                <w:rFonts w:ascii="Arial" w:hAnsi="Arial" w:cs="Arial"/>
                <w:b/>
                <w:bCs/>
                <w:sz w:val="18"/>
                <w:szCs w:val="18"/>
                <w:u w:val="single"/>
              </w:rPr>
            </w:pPr>
            <w:r w:rsidRPr="00DF7570">
              <w:rPr>
                <w:rFonts w:ascii="Arial" w:hAnsi="Arial" w:cs="Arial"/>
                <w:b/>
                <w:u w:val="single"/>
              </w:rPr>
              <w:t>302.300</w:t>
            </w:r>
          </w:p>
        </w:tc>
      </w:tr>
    </w:tbl>
    <w:p w14:paraId="6D309C8C" w14:textId="77777777" w:rsidR="007E2F9F" w:rsidRDefault="007E2F9F" w:rsidP="007E2F9F">
      <w:pPr>
        <w:ind w:left="-284" w:right="-234"/>
        <w:jc w:val="both"/>
        <w:rPr>
          <w:rFonts w:ascii="Arial" w:hAnsi="Arial" w:cs="Arial"/>
          <w:b/>
          <w:bCs/>
          <w:sz w:val="28"/>
          <w:szCs w:val="28"/>
          <w:lang w:val="es-MX"/>
        </w:rPr>
      </w:pPr>
    </w:p>
    <w:p w14:paraId="7CF29BAB" w14:textId="77777777" w:rsidR="007E2F9F" w:rsidRPr="0016695D" w:rsidRDefault="007E2F9F" w:rsidP="007E2F9F">
      <w:pPr>
        <w:ind w:left="-284"/>
        <w:jc w:val="both"/>
        <w:rPr>
          <w:rFonts w:ascii="Arial" w:hAnsi="Arial" w:cs="Arial"/>
          <w:b/>
          <w:sz w:val="28"/>
          <w:szCs w:val="28"/>
          <w:lang w:val="es-MX"/>
        </w:rPr>
      </w:pPr>
      <w:r w:rsidRPr="0016695D">
        <w:rPr>
          <w:rFonts w:ascii="Arial" w:hAnsi="Arial" w:cs="Arial"/>
          <w:b/>
          <w:sz w:val="28"/>
          <w:szCs w:val="28"/>
          <w:lang w:val="es-MX"/>
        </w:rPr>
        <w:t xml:space="preserve">161.- </w:t>
      </w:r>
      <w:r w:rsidRPr="0016695D">
        <w:rPr>
          <w:rFonts w:ascii="Arial" w:hAnsi="Arial" w:cs="Arial"/>
          <w:b/>
          <w:sz w:val="28"/>
          <w:szCs w:val="28"/>
          <w:lang w:val="es-CO"/>
        </w:rPr>
        <w:t>U.A.E. AGENCIA NACIONAL DE HIDROCARBUROS – ANH.</w:t>
      </w:r>
    </w:p>
    <w:p w14:paraId="024AF639" w14:textId="77777777" w:rsidR="007E2F9F" w:rsidRDefault="007E2F9F" w:rsidP="007E2F9F">
      <w:pPr>
        <w:ind w:left="-284" w:right="-234"/>
        <w:jc w:val="both"/>
        <w:rPr>
          <w:rFonts w:ascii="Arial" w:hAnsi="Arial" w:cs="Arial"/>
          <w:b/>
          <w:bCs/>
          <w:sz w:val="28"/>
          <w:szCs w:val="28"/>
          <w:lang w:val="es-MX"/>
        </w:rPr>
      </w:pPr>
    </w:p>
    <w:p w14:paraId="10D48901"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498A9DB"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FB913C5"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5978F8" w14:paraId="13B747EE" w14:textId="77777777" w:rsidTr="006548F8">
        <w:tc>
          <w:tcPr>
            <w:tcW w:w="3544" w:type="dxa"/>
          </w:tcPr>
          <w:p w14:paraId="6A3844E8" w14:textId="77777777" w:rsidR="007E2F9F" w:rsidRPr="005978F8" w:rsidRDefault="007E2F9F" w:rsidP="006548F8">
            <w:pPr>
              <w:ind w:left="1169" w:right="-1440"/>
              <w:rPr>
                <w:rFonts w:ascii="Arial" w:hAnsi="Arial" w:cs="Arial"/>
                <w:b/>
                <w:sz w:val="18"/>
                <w:szCs w:val="18"/>
                <w:lang w:val="es-ES_tradnl"/>
              </w:rPr>
            </w:pPr>
            <w:r w:rsidRPr="005978F8">
              <w:rPr>
                <w:rFonts w:ascii="Arial" w:hAnsi="Arial" w:cs="Arial"/>
                <w:b/>
                <w:sz w:val="18"/>
                <w:szCs w:val="18"/>
                <w:lang w:val="es-ES_tradnl"/>
              </w:rPr>
              <w:t>TIPO DE GASTO</w:t>
            </w:r>
          </w:p>
        </w:tc>
        <w:tc>
          <w:tcPr>
            <w:tcW w:w="2354" w:type="dxa"/>
          </w:tcPr>
          <w:p w14:paraId="0BB8580B" w14:textId="77777777" w:rsidR="007E2F9F" w:rsidRPr="005978F8" w:rsidRDefault="007E2F9F" w:rsidP="006548F8">
            <w:pPr>
              <w:jc w:val="center"/>
              <w:rPr>
                <w:rFonts w:ascii="Arial" w:hAnsi="Arial" w:cs="Arial"/>
                <w:b/>
                <w:sz w:val="18"/>
                <w:szCs w:val="18"/>
                <w:lang w:val="es-ES_tradnl"/>
              </w:rPr>
            </w:pPr>
            <w:r w:rsidRPr="005978F8">
              <w:rPr>
                <w:rFonts w:ascii="Arial" w:hAnsi="Arial" w:cs="Arial"/>
                <w:b/>
                <w:sz w:val="18"/>
                <w:szCs w:val="18"/>
                <w:lang w:val="es-ES_tradnl"/>
              </w:rPr>
              <w:t>APROPIACIÓN</w:t>
            </w:r>
          </w:p>
          <w:p w14:paraId="3A1656B8" w14:textId="77777777" w:rsidR="007E2F9F" w:rsidRPr="005978F8" w:rsidRDefault="007E2F9F" w:rsidP="006548F8">
            <w:pPr>
              <w:jc w:val="center"/>
              <w:rPr>
                <w:rFonts w:ascii="Arial" w:hAnsi="Arial" w:cs="Arial"/>
                <w:b/>
                <w:sz w:val="18"/>
                <w:szCs w:val="18"/>
                <w:lang w:val="es-ES_tradnl"/>
              </w:rPr>
            </w:pPr>
            <w:r w:rsidRPr="005978F8">
              <w:rPr>
                <w:rFonts w:ascii="Arial" w:hAnsi="Arial" w:cs="Arial"/>
                <w:b/>
                <w:sz w:val="18"/>
                <w:szCs w:val="18"/>
                <w:lang w:val="es-ES_tradnl"/>
              </w:rPr>
              <w:t>DEFINITIVA</w:t>
            </w:r>
          </w:p>
          <w:p w14:paraId="06099794" w14:textId="77777777" w:rsidR="007E2F9F" w:rsidRPr="005978F8" w:rsidRDefault="007E2F9F" w:rsidP="006548F8">
            <w:pPr>
              <w:jc w:val="center"/>
              <w:rPr>
                <w:rFonts w:ascii="Arial" w:hAnsi="Arial" w:cs="Arial"/>
                <w:b/>
                <w:sz w:val="18"/>
                <w:szCs w:val="18"/>
                <w:lang w:val="es-ES_tradnl"/>
              </w:rPr>
            </w:pPr>
            <w:r w:rsidRPr="005978F8">
              <w:rPr>
                <w:rFonts w:ascii="Arial" w:hAnsi="Arial" w:cs="Arial"/>
                <w:b/>
                <w:sz w:val="18"/>
                <w:szCs w:val="18"/>
                <w:lang w:val="es-ES_tradnl"/>
              </w:rPr>
              <w:t>(1)</w:t>
            </w:r>
          </w:p>
          <w:p w14:paraId="3908CE3A" w14:textId="77777777" w:rsidR="007E2F9F" w:rsidRPr="005978F8" w:rsidRDefault="007E2F9F" w:rsidP="006548F8">
            <w:pPr>
              <w:jc w:val="center"/>
              <w:rPr>
                <w:rFonts w:ascii="Arial" w:hAnsi="Arial" w:cs="Arial"/>
                <w:b/>
                <w:sz w:val="18"/>
                <w:szCs w:val="18"/>
                <w:lang w:val="es-ES_tradnl"/>
              </w:rPr>
            </w:pPr>
          </w:p>
        </w:tc>
        <w:tc>
          <w:tcPr>
            <w:tcW w:w="2354" w:type="dxa"/>
          </w:tcPr>
          <w:p w14:paraId="21DC4929" w14:textId="77777777" w:rsidR="007E2F9F" w:rsidRPr="005978F8" w:rsidRDefault="007E2F9F" w:rsidP="006548F8">
            <w:pPr>
              <w:ind w:left="145" w:right="184"/>
              <w:jc w:val="center"/>
              <w:rPr>
                <w:rFonts w:ascii="Arial" w:hAnsi="Arial" w:cs="Arial"/>
                <w:b/>
                <w:sz w:val="18"/>
                <w:szCs w:val="18"/>
                <w:lang w:val="es-ES_tradnl"/>
              </w:rPr>
            </w:pPr>
            <w:r w:rsidRPr="005978F8">
              <w:rPr>
                <w:rFonts w:ascii="Arial" w:hAnsi="Arial" w:cs="Arial"/>
                <w:b/>
                <w:sz w:val="18"/>
                <w:szCs w:val="18"/>
                <w:lang w:val="es-ES_tradnl"/>
              </w:rPr>
              <w:t>EJECUCIÓN</w:t>
            </w:r>
          </w:p>
          <w:p w14:paraId="1AEF6551"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COMPROMISOS</w:t>
            </w:r>
          </w:p>
          <w:p w14:paraId="6D0E8979"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(2)</w:t>
            </w:r>
          </w:p>
        </w:tc>
        <w:tc>
          <w:tcPr>
            <w:tcW w:w="2238" w:type="dxa"/>
          </w:tcPr>
          <w:p w14:paraId="61BCD7DF" w14:textId="77777777" w:rsidR="007E2F9F" w:rsidRPr="005978F8" w:rsidRDefault="007E2F9F" w:rsidP="006548F8">
            <w:pPr>
              <w:ind w:left="25" w:right="34"/>
              <w:jc w:val="center"/>
              <w:rPr>
                <w:rFonts w:ascii="Arial" w:hAnsi="Arial" w:cs="Arial"/>
                <w:b/>
                <w:sz w:val="18"/>
                <w:szCs w:val="18"/>
                <w:lang w:val="es-ES_tradnl"/>
              </w:rPr>
            </w:pPr>
            <w:r w:rsidRPr="005978F8">
              <w:rPr>
                <w:rFonts w:ascii="Arial" w:hAnsi="Arial" w:cs="Arial"/>
                <w:b/>
                <w:sz w:val="18"/>
                <w:szCs w:val="18"/>
                <w:lang w:val="es-ES_tradnl"/>
              </w:rPr>
              <w:t>PÉRDIDAS DE</w:t>
            </w:r>
          </w:p>
          <w:p w14:paraId="24B27C07"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APROPIACIÓN</w:t>
            </w:r>
          </w:p>
          <w:p w14:paraId="6E4CCF3D"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3 = (1-2)</w:t>
            </w:r>
          </w:p>
        </w:tc>
      </w:tr>
      <w:tr w:rsidR="007E2F9F" w:rsidRPr="005978F8" w14:paraId="04D0029E" w14:textId="77777777" w:rsidTr="006548F8">
        <w:trPr>
          <w:trHeight w:val="230"/>
        </w:trPr>
        <w:tc>
          <w:tcPr>
            <w:tcW w:w="3544" w:type="dxa"/>
          </w:tcPr>
          <w:p w14:paraId="794F372B" w14:textId="77777777" w:rsidR="007E2F9F" w:rsidRPr="005978F8" w:rsidRDefault="007E2F9F" w:rsidP="006548F8">
            <w:pPr>
              <w:ind w:right="-1440"/>
              <w:jc w:val="both"/>
              <w:rPr>
                <w:rFonts w:ascii="Arial" w:hAnsi="Arial" w:cs="Arial"/>
                <w:b/>
                <w:sz w:val="18"/>
                <w:szCs w:val="18"/>
                <w:lang w:val="es-ES_tradnl"/>
              </w:rPr>
            </w:pPr>
            <w:r w:rsidRPr="005978F8">
              <w:rPr>
                <w:rFonts w:ascii="Arial" w:hAnsi="Arial" w:cs="Arial"/>
                <w:b/>
                <w:sz w:val="18"/>
                <w:szCs w:val="18"/>
                <w:lang w:val="es-ES_tradnl"/>
              </w:rPr>
              <w:t>FUNCIONAMIENTO</w:t>
            </w:r>
          </w:p>
        </w:tc>
        <w:tc>
          <w:tcPr>
            <w:tcW w:w="2354" w:type="dxa"/>
          </w:tcPr>
          <w:p w14:paraId="6F047849" w14:textId="77777777" w:rsidR="007E2F9F" w:rsidRPr="005978F8" w:rsidRDefault="007E2F9F" w:rsidP="006548F8">
            <w:pPr>
              <w:jc w:val="right"/>
              <w:rPr>
                <w:rFonts w:ascii="Arial" w:eastAsia="Calibri" w:hAnsi="Arial" w:cs="Arial"/>
                <w:b/>
                <w:bCs/>
                <w:sz w:val="18"/>
                <w:szCs w:val="18"/>
                <w:lang w:val="es-CO"/>
              </w:rPr>
            </w:pPr>
            <w:r w:rsidRPr="005978F8">
              <w:rPr>
                <w:rFonts w:ascii="Arial" w:hAnsi="Arial" w:cs="Arial"/>
                <w:b/>
                <w:sz w:val="18"/>
                <w:szCs w:val="18"/>
              </w:rPr>
              <w:t>4.062.376.545.389</w:t>
            </w:r>
          </w:p>
        </w:tc>
        <w:tc>
          <w:tcPr>
            <w:tcW w:w="2354" w:type="dxa"/>
          </w:tcPr>
          <w:p w14:paraId="1987788A" w14:textId="77777777" w:rsidR="007E2F9F" w:rsidRPr="005978F8" w:rsidRDefault="007E2F9F" w:rsidP="006548F8">
            <w:pPr>
              <w:pStyle w:val="Prrafodelista"/>
              <w:ind w:left="0"/>
              <w:jc w:val="right"/>
              <w:rPr>
                <w:rFonts w:ascii="Arial" w:hAnsi="Arial" w:cs="Arial"/>
                <w:b/>
                <w:bCs/>
                <w:sz w:val="18"/>
                <w:szCs w:val="18"/>
              </w:rPr>
            </w:pPr>
            <w:r w:rsidRPr="005978F8">
              <w:rPr>
                <w:rFonts w:ascii="Arial" w:hAnsi="Arial" w:cs="Arial"/>
                <w:b/>
                <w:sz w:val="18"/>
                <w:szCs w:val="18"/>
              </w:rPr>
              <w:t>4.048.508.969.946</w:t>
            </w:r>
          </w:p>
        </w:tc>
        <w:tc>
          <w:tcPr>
            <w:tcW w:w="2238" w:type="dxa"/>
          </w:tcPr>
          <w:p w14:paraId="7D280EE3" w14:textId="77777777" w:rsidR="007E2F9F" w:rsidRPr="005978F8" w:rsidRDefault="007E2F9F" w:rsidP="006548F8">
            <w:pPr>
              <w:pStyle w:val="Prrafodelista"/>
              <w:ind w:left="0"/>
              <w:jc w:val="right"/>
              <w:rPr>
                <w:rFonts w:ascii="Arial" w:hAnsi="Arial" w:cs="Arial"/>
                <w:b/>
                <w:bCs/>
                <w:sz w:val="18"/>
                <w:szCs w:val="18"/>
              </w:rPr>
            </w:pPr>
            <w:r w:rsidRPr="005978F8">
              <w:rPr>
                <w:rFonts w:ascii="Arial" w:hAnsi="Arial" w:cs="Arial"/>
                <w:b/>
                <w:sz w:val="18"/>
                <w:szCs w:val="18"/>
              </w:rPr>
              <w:t>13.867.575.443</w:t>
            </w:r>
          </w:p>
        </w:tc>
      </w:tr>
      <w:tr w:rsidR="007E2F9F" w:rsidRPr="005978F8" w14:paraId="75DC0315" w14:textId="77777777" w:rsidTr="006548F8">
        <w:tc>
          <w:tcPr>
            <w:tcW w:w="3544" w:type="dxa"/>
          </w:tcPr>
          <w:p w14:paraId="3B012D75" w14:textId="77777777" w:rsidR="007E2F9F" w:rsidRPr="005978F8" w:rsidRDefault="007E2F9F" w:rsidP="006548F8">
            <w:pPr>
              <w:ind w:right="-1440"/>
              <w:jc w:val="both"/>
              <w:rPr>
                <w:rFonts w:ascii="Arial" w:hAnsi="Arial" w:cs="Arial"/>
                <w:b/>
                <w:sz w:val="18"/>
                <w:szCs w:val="18"/>
                <w:lang w:val="es-ES_tradnl"/>
              </w:rPr>
            </w:pPr>
            <w:r w:rsidRPr="005978F8">
              <w:rPr>
                <w:rFonts w:ascii="Arial" w:hAnsi="Arial" w:cs="Arial"/>
                <w:b/>
                <w:sz w:val="18"/>
                <w:szCs w:val="18"/>
                <w:lang w:val="es-ES_tradnl"/>
              </w:rPr>
              <w:t>INVERSIÓN</w:t>
            </w:r>
          </w:p>
        </w:tc>
        <w:tc>
          <w:tcPr>
            <w:tcW w:w="2354" w:type="dxa"/>
          </w:tcPr>
          <w:p w14:paraId="3739B4FA" w14:textId="77777777" w:rsidR="007E2F9F" w:rsidRPr="005978F8" w:rsidRDefault="007E2F9F" w:rsidP="006548F8">
            <w:pPr>
              <w:pStyle w:val="Prrafodelista"/>
              <w:ind w:left="0"/>
              <w:jc w:val="right"/>
              <w:rPr>
                <w:rFonts w:ascii="Arial" w:hAnsi="Arial" w:cs="Arial"/>
                <w:b/>
                <w:bCs/>
                <w:sz w:val="18"/>
                <w:szCs w:val="18"/>
              </w:rPr>
            </w:pPr>
            <w:r w:rsidRPr="005978F8">
              <w:rPr>
                <w:rFonts w:ascii="Arial" w:eastAsia="Calibri" w:hAnsi="Arial" w:cs="Arial"/>
                <w:sz w:val="18"/>
                <w:szCs w:val="18"/>
                <w:lang w:val="es-CO"/>
              </w:rPr>
              <w:t>382.524.997.557</w:t>
            </w:r>
          </w:p>
        </w:tc>
        <w:tc>
          <w:tcPr>
            <w:tcW w:w="2354" w:type="dxa"/>
          </w:tcPr>
          <w:p w14:paraId="3BE09BA2" w14:textId="77777777" w:rsidR="007E2F9F" w:rsidRPr="005978F8" w:rsidRDefault="007E2F9F" w:rsidP="006548F8">
            <w:pPr>
              <w:pStyle w:val="Prrafodelista"/>
              <w:ind w:left="0"/>
              <w:jc w:val="right"/>
              <w:rPr>
                <w:rFonts w:ascii="Arial" w:hAnsi="Arial" w:cs="Arial"/>
                <w:b/>
                <w:bCs/>
                <w:sz w:val="18"/>
                <w:szCs w:val="18"/>
              </w:rPr>
            </w:pPr>
            <w:r w:rsidRPr="005978F8">
              <w:rPr>
                <w:rFonts w:ascii="Arial" w:eastAsia="Calibri" w:hAnsi="Arial" w:cs="Arial"/>
                <w:sz w:val="18"/>
                <w:szCs w:val="18"/>
                <w:lang w:val="es-CO"/>
              </w:rPr>
              <w:t>365.640.353.972</w:t>
            </w:r>
          </w:p>
        </w:tc>
        <w:tc>
          <w:tcPr>
            <w:tcW w:w="2238" w:type="dxa"/>
          </w:tcPr>
          <w:p w14:paraId="32BF7443" w14:textId="77777777" w:rsidR="007E2F9F" w:rsidRPr="005978F8" w:rsidRDefault="007E2F9F" w:rsidP="006548F8">
            <w:pPr>
              <w:pStyle w:val="Prrafodelista"/>
              <w:ind w:left="0"/>
              <w:jc w:val="right"/>
              <w:rPr>
                <w:rFonts w:ascii="Arial" w:hAnsi="Arial" w:cs="Arial"/>
                <w:b/>
                <w:bCs/>
                <w:sz w:val="18"/>
                <w:szCs w:val="18"/>
              </w:rPr>
            </w:pPr>
            <w:r w:rsidRPr="005978F8">
              <w:rPr>
                <w:rFonts w:ascii="Arial" w:hAnsi="Arial" w:cs="Arial"/>
                <w:b/>
                <w:sz w:val="18"/>
                <w:szCs w:val="18"/>
              </w:rPr>
              <w:t>16.884.643.585</w:t>
            </w:r>
          </w:p>
        </w:tc>
      </w:tr>
      <w:tr w:rsidR="007E2F9F" w:rsidRPr="005978F8" w14:paraId="18C42A5C" w14:textId="77777777" w:rsidTr="006548F8">
        <w:tc>
          <w:tcPr>
            <w:tcW w:w="3544" w:type="dxa"/>
          </w:tcPr>
          <w:p w14:paraId="146F272E" w14:textId="77777777" w:rsidR="007E2F9F" w:rsidRPr="005978F8" w:rsidRDefault="007E2F9F" w:rsidP="006548F8">
            <w:pPr>
              <w:ind w:right="-1440"/>
              <w:jc w:val="both"/>
              <w:rPr>
                <w:rFonts w:ascii="Arial" w:hAnsi="Arial" w:cs="Arial"/>
                <w:b/>
                <w:sz w:val="18"/>
                <w:szCs w:val="18"/>
                <w:lang w:val="es-ES_tradnl"/>
              </w:rPr>
            </w:pPr>
            <w:r w:rsidRPr="005978F8">
              <w:rPr>
                <w:rFonts w:ascii="Arial" w:hAnsi="Arial" w:cs="Arial"/>
                <w:b/>
                <w:sz w:val="18"/>
                <w:szCs w:val="18"/>
                <w:lang w:val="es-ES_tradnl"/>
              </w:rPr>
              <w:t>TOTAL PÉRDIDAS DE APROPIACIÓN</w:t>
            </w:r>
          </w:p>
        </w:tc>
        <w:tc>
          <w:tcPr>
            <w:tcW w:w="2354" w:type="dxa"/>
          </w:tcPr>
          <w:p w14:paraId="073ECE94" w14:textId="77777777" w:rsidR="007E2F9F" w:rsidRPr="005978F8" w:rsidRDefault="007E2F9F" w:rsidP="006548F8">
            <w:pPr>
              <w:pStyle w:val="Prrafodelista"/>
              <w:ind w:left="0"/>
              <w:jc w:val="right"/>
              <w:rPr>
                <w:rFonts w:ascii="Arial" w:hAnsi="Arial" w:cs="Arial"/>
                <w:b/>
                <w:bCs/>
                <w:sz w:val="18"/>
                <w:szCs w:val="18"/>
                <w:u w:val="single"/>
              </w:rPr>
            </w:pPr>
            <w:r w:rsidRPr="005978F8">
              <w:rPr>
                <w:rFonts w:ascii="Arial" w:eastAsia="Calibri" w:hAnsi="Arial" w:cs="Arial"/>
                <w:b/>
                <w:sz w:val="18"/>
                <w:szCs w:val="18"/>
                <w:lang w:val="es-CO"/>
              </w:rPr>
              <w:t>4.444.901.542.926</w:t>
            </w:r>
          </w:p>
        </w:tc>
        <w:tc>
          <w:tcPr>
            <w:tcW w:w="2354" w:type="dxa"/>
          </w:tcPr>
          <w:p w14:paraId="0F87C675" w14:textId="77777777" w:rsidR="007E2F9F" w:rsidRPr="005978F8" w:rsidRDefault="007E2F9F" w:rsidP="006548F8">
            <w:pPr>
              <w:pStyle w:val="Prrafodelista"/>
              <w:ind w:left="0"/>
              <w:jc w:val="right"/>
              <w:rPr>
                <w:rFonts w:ascii="Arial" w:hAnsi="Arial" w:cs="Arial"/>
                <w:b/>
                <w:bCs/>
                <w:sz w:val="18"/>
                <w:szCs w:val="18"/>
                <w:u w:val="single"/>
              </w:rPr>
            </w:pPr>
            <w:r w:rsidRPr="005978F8">
              <w:rPr>
                <w:rFonts w:ascii="Arial" w:eastAsia="Calibri" w:hAnsi="Arial" w:cs="Arial"/>
                <w:b/>
                <w:sz w:val="18"/>
                <w:szCs w:val="18"/>
                <w:lang w:val="es-CO"/>
              </w:rPr>
              <w:t>4.414.149.323.918</w:t>
            </w:r>
          </w:p>
        </w:tc>
        <w:tc>
          <w:tcPr>
            <w:tcW w:w="2238" w:type="dxa"/>
          </w:tcPr>
          <w:p w14:paraId="66D51CF1" w14:textId="77777777" w:rsidR="007E2F9F" w:rsidRPr="005978F8" w:rsidRDefault="007E2F9F" w:rsidP="006548F8">
            <w:pPr>
              <w:pStyle w:val="Prrafodelista"/>
              <w:ind w:left="0"/>
              <w:jc w:val="right"/>
              <w:rPr>
                <w:rFonts w:ascii="Arial" w:hAnsi="Arial" w:cs="Arial"/>
                <w:b/>
                <w:bCs/>
                <w:sz w:val="18"/>
                <w:szCs w:val="18"/>
                <w:u w:val="single"/>
              </w:rPr>
            </w:pPr>
            <w:r w:rsidRPr="005978F8">
              <w:rPr>
                <w:rFonts w:ascii="Arial" w:hAnsi="Arial" w:cs="Arial"/>
                <w:b/>
                <w:sz w:val="18"/>
                <w:szCs w:val="18"/>
                <w:u w:val="single"/>
              </w:rPr>
              <w:t>30.752.219.008</w:t>
            </w:r>
          </w:p>
        </w:tc>
      </w:tr>
    </w:tbl>
    <w:p w14:paraId="3899D8F9" w14:textId="77777777" w:rsidR="007E2F9F" w:rsidRDefault="007E2F9F" w:rsidP="007E2F9F">
      <w:pPr>
        <w:ind w:left="-284" w:right="-234"/>
        <w:jc w:val="both"/>
        <w:rPr>
          <w:rFonts w:ascii="Arial" w:hAnsi="Arial" w:cs="Arial"/>
          <w:b/>
          <w:bCs/>
          <w:sz w:val="28"/>
          <w:szCs w:val="28"/>
          <w:lang w:val="es-MX"/>
        </w:rPr>
      </w:pPr>
    </w:p>
    <w:p w14:paraId="0125A23A" w14:textId="77777777" w:rsidR="007E2F9F" w:rsidRPr="0080620D" w:rsidRDefault="007E2F9F" w:rsidP="007E2F9F">
      <w:pPr>
        <w:ind w:left="-284"/>
        <w:jc w:val="both"/>
        <w:rPr>
          <w:rFonts w:ascii="Arial" w:hAnsi="Arial" w:cs="Arial"/>
          <w:b/>
          <w:sz w:val="28"/>
          <w:szCs w:val="28"/>
          <w:lang w:val="es-MX"/>
        </w:rPr>
      </w:pPr>
      <w:r w:rsidRPr="0080620D">
        <w:rPr>
          <w:rFonts w:ascii="Arial" w:hAnsi="Arial" w:cs="Arial"/>
          <w:b/>
          <w:sz w:val="28"/>
          <w:szCs w:val="28"/>
          <w:lang w:val="es-MX"/>
        </w:rPr>
        <w:t>164.- AGENCIA NACIONAL DE SEGURIDAD VIAL.</w:t>
      </w:r>
    </w:p>
    <w:p w14:paraId="1BCD2F6A" w14:textId="77777777" w:rsidR="007E2F9F" w:rsidRDefault="007E2F9F" w:rsidP="007E2F9F">
      <w:pPr>
        <w:ind w:left="-284" w:right="-234"/>
        <w:jc w:val="both"/>
        <w:rPr>
          <w:rFonts w:ascii="Arial" w:hAnsi="Arial" w:cs="Arial"/>
          <w:b/>
          <w:bCs/>
          <w:sz w:val="28"/>
          <w:szCs w:val="28"/>
          <w:lang w:val="es-MX"/>
        </w:rPr>
      </w:pPr>
    </w:p>
    <w:p w14:paraId="29A0ACA8"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40C8263"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EF2C78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5978F8" w14:paraId="2D43A8F6" w14:textId="77777777" w:rsidTr="006548F8">
        <w:tc>
          <w:tcPr>
            <w:tcW w:w="3544" w:type="dxa"/>
          </w:tcPr>
          <w:p w14:paraId="02DD40AE" w14:textId="77777777" w:rsidR="007E2F9F" w:rsidRPr="005978F8" w:rsidRDefault="007E2F9F" w:rsidP="006548F8">
            <w:pPr>
              <w:ind w:left="1169" w:right="-1440"/>
              <w:rPr>
                <w:rFonts w:ascii="Arial" w:hAnsi="Arial" w:cs="Arial"/>
                <w:b/>
                <w:sz w:val="18"/>
                <w:szCs w:val="18"/>
                <w:lang w:val="es-ES_tradnl"/>
              </w:rPr>
            </w:pPr>
            <w:r w:rsidRPr="005978F8">
              <w:rPr>
                <w:rFonts w:ascii="Arial" w:hAnsi="Arial" w:cs="Arial"/>
                <w:b/>
                <w:sz w:val="18"/>
                <w:szCs w:val="18"/>
                <w:lang w:val="es-ES_tradnl"/>
              </w:rPr>
              <w:t>TIPO DE GASTO</w:t>
            </w:r>
          </w:p>
        </w:tc>
        <w:tc>
          <w:tcPr>
            <w:tcW w:w="2354" w:type="dxa"/>
          </w:tcPr>
          <w:p w14:paraId="7D06F8AC" w14:textId="77777777" w:rsidR="007E2F9F" w:rsidRPr="005978F8" w:rsidRDefault="007E2F9F" w:rsidP="006548F8">
            <w:pPr>
              <w:jc w:val="center"/>
              <w:rPr>
                <w:rFonts w:ascii="Arial" w:hAnsi="Arial" w:cs="Arial"/>
                <w:b/>
                <w:sz w:val="18"/>
                <w:szCs w:val="18"/>
                <w:lang w:val="es-ES_tradnl"/>
              </w:rPr>
            </w:pPr>
            <w:r w:rsidRPr="005978F8">
              <w:rPr>
                <w:rFonts w:ascii="Arial" w:hAnsi="Arial" w:cs="Arial"/>
                <w:b/>
                <w:sz w:val="18"/>
                <w:szCs w:val="18"/>
                <w:lang w:val="es-ES_tradnl"/>
              </w:rPr>
              <w:t>APROPIACIÓN</w:t>
            </w:r>
          </w:p>
          <w:p w14:paraId="0F7ED7CD" w14:textId="77777777" w:rsidR="007E2F9F" w:rsidRPr="005978F8" w:rsidRDefault="007E2F9F" w:rsidP="006548F8">
            <w:pPr>
              <w:jc w:val="center"/>
              <w:rPr>
                <w:rFonts w:ascii="Arial" w:hAnsi="Arial" w:cs="Arial"/>
                <w:b/>
                <w:sz w:val="18"/>
                <w:szCs w:val="18"/>
                <w:lang w:val="es-ES_tradnl"/>
              </w:rPr>
            </w:pPr>
            <w:r w:rsidRPr="005978F8">
              <w:rPr>
                <w:rFonts w:ascii="Arial" w:hAnsi="Arial" w:cs="Arial"/>
                <w:b/>
                <w:sz w:val="18"/>
                <w:szCs w:val="18"/>
                <w:lang w:val="es-ES_tradnl"/>
              </w:rPr>
              <w:t>DEFINITIVA</w:t>
            </w:r>
          </w:p>
          <w:p w14:paraId="10297A83" w14:textId="77777777" w:rsidR="007E2F9F" w:rsidRPr="005978F8" w:rsidRDefault="007E2F9F" w:rsidP="006548F8">
            <w:pPr>
              <w:jc w:val="center"/>
              <w:rPr>
                <w:rFonts w:ascii="Arial" w:hAnsi="Arial" w:cs="Arial"/>
                <w:b/>
                <w:sz w:val="18"/>
                <w:szCs w:val="18"/>
                <w:lang w:val="es-ES_tradnl"/>
              </w:rPr>
            </w:pPr>
            <w:r w:rsidRPr="005978F8">
              <w:rPr>
                <w:rFonts w:ascii="Arial" w:hAnsi="Arial" w:cs="Arial"/>
                <w:b/>
                <w:sz w:val="18"/>
                <w:szCs w:val="18"/>
                <w:lang w:val="es-ES_tradnl"/>
              </w:rPr>
              <w:t>(1)</w:t>
            </w:r>
          </w:p>
          <w:p w14:paraId="224DBF6B" w14:textId="77777777" w:rsidR="007E2F9F" w:rsidRPr="005978F8" w:rsidRDefault="007E2F9F" w:rsidP="006548F8">
            <w:pPr>
              <w:jc w:val="center"/>
              <w:rPr>
                <w:rFonts w:ascii="Arial" w:hAnsi="Arial" w:cs="Arial"/>
                <w:b/>
                <w:sz w:val="18"/>
                <w:szCs w:val="18"/>
                <w:lang w:val="es-ES_tradnl"/>
              </w:rPr>
            </w:pPr>
          </w:p>
        </w:tc>
        <w:tc>
          <w:tcPr>
            <w:tcW w:w="2354" w:type="dxa"/>
          </w:tcPr>
          <w:p w14:paraId="1BB53ED2" w14:textId="77777777" w:rsidR="007E2F9F" w:rsidRPr="005978F8" w:rsidRDefault="007E2F9F" w:rsidP="006548F8">
            <w:pPr>
              <w:ind w:left="145" w:right="184"/>
              <w:jc w:val="center"/>
              <w:rPr>
                <w:rFonts w:ascii="Arial" w:hAnsi="Arial" w:cs="Arial"/>
                <w:b/>
                <w:sz w:val="18"/>
                <w:szCs w:val="18"/>
                <w:lang w:val="es-ES_tradnl"/>
              </w:rPr>
            </w:pPr>
            <w:r w:rsidRPr="005978F8">
              <w:rPr>
                <w:rFonts w:ascii="Arial" w:hAnsi="Arial" w:cs="Arial"/>
                <w:b/>
                <w:sz w:val="18"/>
                <w:szCs w:val="18"/>
                <w:lang w:val="es-ES_tradnl"/>
              </w:rPr>
              <w:t>EJECUCIÓN</w:t>
            </w:r>
          </w:p>
          <w:p w14:paraId="1337B4B1"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COMPROMISOS</w:t>
            </w:r>
          </w:p>
          <w:p w14:paraId="5B1B98D4"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(2)</w:t>
            </w:r>
          </w:p>
        </w:tc>
        <w:tc>
          <w:tcPr>
            <w:tcW w:w="2238" w:type="dxa"/>
          </w:tcPr>
          <w:p w14:paraId="4CC2F580" w14:textId="77777777" w:rsidR="007E2F9F" w:rsidRPr="005978F8" w:rsidRDefault="007E2F9F" w:rsidP="006548F8">
            <w:pPr>
              <w:ind w:left="25" w:right="34"/>
              <w:jc w:val="center"/>
              <w:rPr>
                <w:rFonts w:ascii="Arial" w:hAnsi="Arial" w:cs="Arial"/>
                <w:b/>
                <w:sz w:val="18"/>
                <w:szCs w:val="18"/>
                <w:lang w:val="es-ES_tradnl"/>
              </w:rPr>
            </w:pPr>
            <w:r w:rsidRPr="005978F8">
              <w:rPr>
                <w:rFonts w:ascii="Arial" w:hAnsi="Arial" w:cs="Arial"/>
                <w:b/>
                <w:sz w:val="18"/>
                <w:szCs w:val="18"/>
                <w:lang w:val="es-ES_tradnl"/>
              </w:rPr>
              <w:t>PÉRDIDAS DE</w:t>
            </w:r>
          </w:p>
          <w:p w14:paraId="6E510C55"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APROPIACIÓN</w:t>
            </w:r>
          </w:p>
          <w:p w14:paraId="36531B1B" w14:textId="77777777" w:rsidR="007E2F9F" w:rsidRPr="005978F8" w:rsidRDefault="007E2F9F" w:rsidP="006548F8">
            <w:pPr>
              <w:ind w:right="34"/>
              <w:jc w:val="center"/>
              <w:rPr>
                <w:rFonts w:ascii="Arial" w:hAnsi="Arial" w:cs="Arial"/>
                <w:b/>
                <w:sz w:val="18"/>
                <w:szCs w:val="18"/>
                <w:lang w:val="es-ES_tradnl"/>
              </w:rPr>
            </w:pPr>
            <w:r w:rsidRPr="005978F8">
              <w:rPr>
                <w:rFonts w:ascii="Arial" w:hAnsi="Arial" w:cs="Arial"/>
                <w:b/>
                <w:sz w:val="18"/>
                <w:szCs w:val="18"/>
                <w:lang w:val="es-ES_tradnl"/>
              </w:rPr>
              <w:t>3 = (1-2)</w:t>
            </w:r>
          </w:p>
        </w:tc>
      </w:tr>
      <w:tr w:rsidR="007E2F9F" w:rsidRPr="005978F8" w14:paraId="4E375547" w14:textId="77777777" w:rsidTr="006548F8">
        <w:trPr>
          <w:trHeight w:val="230"/>
        </w:trPr>
        <w:tc>
          <w:tcPr>
            <w:tcW w:w="3544" w:type="dxa"/>
          </w:tcPr>
          <w:p w14:paraId="17B5AA27" w14:textId="77777777" w:rsidR="007E2F9F" w:rsidRPr="005978F8" w:rsidRDefault="007E2F9F" w:rsidP="006548F8">
            <w:pPr>
              <w:ind w:right="-1440"/>
              <w:jc w:val="both"/>
              <w:rPr>
                <w:rFonts w:ascii="Arial" w:hAnsi="Arial" w:cs="Arial"/>
                <w:b/>
                <w:sz w:val="18"/>
                <w:szCs w:val="18"/>
                <w:lang w:val="es-ES_tradnl"/>
              </w:rPr>
            </w:pPr>
            <w:r w:rsidRPr="005978F8">
              <w:rPr>
                <w:rFonts w:ascii="Arial" w:hAnsi="Arial" w:cs="Arial"/>
                <w:b/>
                <w:sz w:val="18"/>
                <w:szCs w:val="18"/>
                <w:lang w:val="es-ES_tradnl"/>
              </w:rPr>
              <w:t>FUNCIONAMIENTO</w:t>
            </w:r>
          </w:p>
        </w:tc>
        <w:tc>
          <w:tcPr>
            <w:tcW w:w="2354" w:type="dxa"/>
            <w:vAlign w:val="center"/>
          </w:tcPr>
          <w:p w14:paraId="2F4D6A45" w14:textId="77777777" w:rsidR="007E2F9F" w:rsidRPr="005978F8" w:rsidRDefault="007E2F9F" w:rsidP="006548F8">
            <w:pPr>
              <w:jc w:val="right"/>
              <w:rPr>
                <w:rFonts w:ascii="Arial" w:eastAsia="Calibri" w:hAnsi="Arial" w:cs="Arial"/>
                <w:b/>
                <w:bCs/>
                <w:sz w:val="18"/>
                <w:szCs w:val="18"/>
                <w:lang w:val="es-CO"/>
              </w:rPr>
            </w:pPr>
            <w:r w:rsidRPr="00C61469">
              <w:rPr>
                <w:b/>
              </w:rPr>
              <w:t xml:space="preserve">           26.774.065  </w:t>
            </w:r>
          </w:p>
        </w:tc>
        <w:tc>
          <w:tcPr>
            <w:tcW w:w="2354" w:type="dxa"/>
            <w:vAlign w:val="center"/>
          </w:tcPr>
          <w:p w14:paraId="47F29336" w14:textId="77777777" w:rsidR="007E2F9F" w:rsidRPr="005978F8" w:rsidRDefault="007E2F9F" w:rsidP="006548F8">
            <w:pPr>
              <w:pStyle w:val="Prrafodelista"/>
              <w:ind w:left="0"/>
              <w:jc w:val="right"/>
              <w:rPr>
                <w:rFonts w:ascii="Arial" w:hAnsi="Arial" w:cs="Arial"/>
                <w:b/>
                <w:bCs/>
                <w:sz w:val="18"/>
                <w:szCs w:val="18"/>
              </w:rPr>
            </w:pPr>
            <w:r w:rsidRPr="00C61469">
              <w:rPr>
                <w:b/>
              </w:rPr>
              <w:t xml:space="preserve">            22.538.107  </w:t>
            </w:r>
          </w:p>
        </w:tc>
        <w:tc>
          <w:tcPr>
            <w:tcW w:w="2238" w:type="dxa"/>
            <w:vAlign w:val="center"/>
          </w:tcPr>
          <w:p w14:paraId="400656A9" w14:textId="77777777" w:rsidR="007E2F9F" w:rsidRPr="005978F8" w:rsidRDefault="007E2F9F" w:rsidP="006548F8">
            <w:pPr>
              <w:pStyle w:val="Prrafodelista"/>
              <w:ind w:left="0"/>
              <w:jc w:val="right"/>
              <w:rPr>
                <w:rFonts w:ascii="Arial" w:hAnsi="Arial" w:cs="Arial"/>
                <w:b/>
                <w:bCs/>
                <w:sz w:val="18"/>
                <w:szCs w:val="18"/>
              </w:rPr>
            </w:pPr>
            <w:r w:rsidRPr="00C61469">
              <w:rPr>
                <w:b/>
              </w:rPr>
              <w:t xml:space="preserve">            4.235.958  </w:t>
            </w:r>
          </w:p>
        </w:tc>
      </w:tr>
      <w:tr w:rsidR="007E2F9F" w:rsidRPr="005978F8" w14:paraId="3B27B7F7" w14:textId="77777777" w:rsidTr="006548F8">
        <w:tc>
          <w:tcPr>
            <w:tcW w:w="3544" w:type="dxa"/>
          </w:tcPr>
          <w:p w14:paraId="3BCF745D" w14:textId="77777777" w:rsidR="007E2F9F" w:rsidRPr="005978F8" w:rsidRDefault="007E2F9F" w:rsidP="006548F8">
            <w:pPr>
              <w:ind w:right="-1440"/>
              <w:jc w:val="both"/>
              <w:rPr>
                <w:rFonts w:ascii="Arial" w:hAnsi="Arial" w:cs="Arial"/>
                <w:b/>
                <w:sz w:val="18"/>
                <w:szCs w:val="18"/>
                <w:lang w:val="es-ES_tradnl"/>
              </w:rPr>
            </w:pPr>
            <w:r w:rsidRPr="005978F8">
              <w:rPr>
                <w:rFonts w:ascii="Arial" w:hAnsi="Arial" w:cs="Arial"/>
                <w:b/>
                <w:sz w:val="18"/>
                <w:szCs w:val="18"/>
                <w:lang w:val="es-ES_tradnl"/>
              </w:rPr>
              <w:t>TOTAL PÉRDIDAS DE APROPIACIÓN</w:t>
            </w:r>
          </w:p>
        </w:tc>
        <w:tc>
          <w:tcPr>
            <w:tcW w:w="2354" w:type="dxa"/>
            <w:vAlign w:val="center"/>
          </w:tcPr>
          <w:p w14:paraId="20AFD905" w14:textId="77777777" w:rsidR="007E2F9F" w:rsidRPr="005978F8" w:rsidRDefault="007E2F9F" w:rsidP="006548F8">
            <w:pPr>
              <w:pStyle w:val="Prrafodelista"/>
              <w:ind w:left="0"/>
              <w:jc w:val="right"/>
              <w:rPr>
                <w:rFonts w:ascii="Arial" w:hAnsi="Arial" w:cs="Arial"/>
                <w:b/>
                <w:bCs/>
                <w:sz w:val="18"/>
                <w:szCs w:val="18"/>
                <w:u w:val="single"/>
              </w:rPr>
            </w:pPr>
            <w:r w:rsidRPr="00C61469">
              <w:rPr>
                <w:b/>
              </w:rPr>
              <w:t xml:space="preserve">         195.043.065  </w:t>
            </w:r>
          </w:p>
        </w:tc>
        <w:tc>
          <w:tcPr>
            <w:tcW w:w="2354" w:type="dxa"/>
            <w:vAlign w:val="center"/>
          </w:tcPr>
          <w:p w14:paraId="1525685D" w14:textId="77777777" w:rsidR="007E2F9F" w:rsidRPr="005978F8" w:rsidRDefault="007E2F9F" w:rsidP="006548F8">
            <w:pPr>
              <w:pStyle w:val="Prrafodelista"/>
              <w:ind w:left="0"/>
              <w:jc w:val="right"/>
              <w:rPr>
                <w:rFonts w:ascii="Arial" w:hAnsi="Arial" w:cs="Arial"/>
                <w:b/>
                <w:bCs/>
                <w:sz w:val="18"/>
                <w:szCs w:val="18"/>
                <w:u w:val="single"/>
              </w:rPr>
            </w:pPr>
            <w:r w:rsidRPr="00C61469">
              <w:rPr>
                <w:b/>
              </w:rPr>
              <w:t xml:space="preserve">         190.807.107  </w:t>
            </w:r>
          </w:p>
        </w:tc>
        <w:tc>
          <w:tcPr>
            <w:tcW w:w="2238" w:type="dxa"/>
            <w:vAlign w:val="center"/>
          </w:tcPr>
          <w:p w14:paraId="57217F91" w14:textId="77777777" w:rsidR="007E2F9F" w:rsidRPr="005978F8" w:rsidRDefault="007E2F9F" w:rsidP="006548F8">
            <w:pPr>
              <w:pStyle w:val="Prrafodelista"/>
              <w:ind w:left="0"/>
              <w:jc w:val="right"/>
              <w:rPr>
                <w:rFonts w:ascii="Arial" w:hAnsi="Arial" w:cs="Arial"/>
                <w:b/>
                <w:bCs/>
                <w:sz w:val="18"/>
                <w:szCs w:val="18"/>
                <w:u w:val="single"/>
              </w:rPr>
            </w:pPr>
            <w:r w:rsidRPr="00C61469">
              <w:rPr>
                <w:b/>
              </w:rPr>
              <w:t xml:space="preserve">           4.235.958  </w:t>
            </w:r>
          </w:p>
        </w:tc>
      </w:tr>
    </w:tbl>
    <w:p w14:paraId="7DC953D8" w14:textId="77777777" w:rsidR="007E2F9F" w:rsidRDefault="007E2F9F" w:rsidP="007E2F9F">
      <w:pPr>
        <w:ind w:left="-284" w:right="-234"/>
        <w:jc w:val="both"/>
        <w:rPr>
          <w:rFonts w:ascii="Arial" w:hAnsi="Arial" w:cs="Arial"/>
          <w:b/>
          <w:bCs/>
          <w:sz w:val="28"/>
          <w:szCs w:val="28"/>
          <w:lang w:val="es-MX"/>
        </w:rPr>
      </w:pPr>
    </w:p>
    <w:p w14:paraId="2FA292DC" w14:textId="77777777" w:rsidR="007E2F9F" w:rsidRPr="00EA427F" w:rsidRDefault="007E2F9F" w:rsidP="007E2F9F">
      <w:pPr>
        <w:ind w:left="-567"/>
        <w:jc w:val="both"/>
        <w:rPr>
          <w:rFonts w:ascii="Arial" w:hAnsi="Arial" w:cs="Arial"/>
          <w:b/>
          <w:sz w:val="32"/>
          <w:szCs w:val="32"/>
        </w:rPr>
      </w:pPr>
      <w:r w:rsidRPr="00EA427F">
        <w:rPr>
          <w:rFonts w:ascii="Arial" w:hAnsi="Arial" w:cs="Arial"/>
          <w:b/>
          <w:sz w:val="28"/>
          <w:szCs w:val="28"/>
          <w:lang w:val="es-MX"/>
        </w:rPr>
        <w:t xml:space="preserve">   172.- POLICÍA NACIONAL.</w:t>
      </w:r>
    </w:p>
    <w:p w14:paraId="0AE8D279" w14:textId="77777777" w:rsidR="007E2F9F" w:rsidRDefault="007E2F9F" w:rsidP="007E2F9F">
      <w:pPr>
        <w:ind w:left="-284" w:right="-234"/>
        <w:jc w:val="both"/>
        <w:rPr>
          <w:rFonts w:ascii="Arial" w:hAnsi="Arial" w:cs="Arial"/>
          <w:b/>
          <w:bCs/>
          <w:sz w:val="28"/>
          <w:szCs w:val="28"/>
          <w:lang w:val="es-MX"/>
        </w:rPr>
      </w:pPr>
    </w:p>
    <w:p w14:paraId="20DF298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C49C58A"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52C0545"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4AE63FCB" w14:textId="77777777" w:rsidTr="006548F8">
        <w:tc>
          <w:tcPr>
            <w:tcW w:w="3544" w:type="dxa"/>
          </w:tcPr>
          <w:p w14:paraId="24D2DC25"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48543422"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6160DB22"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5BC39EF0"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7AB53321" w14:textId="77777777" w:rsidR="007E2F9F" w:rsidRPr="00292B9C" w:rsidRDefault="007E2F9F" w:rsidP="006548F8">
            <w:pPr>
              <w:jc w:val="center"/>
              <w:rPr>
                <w:rFonts w:ascii="Arial" w:hAnsi="Arial" w:cs="Arial"/>
                <w:b/>
                <w:sz w:val="18"/>
                <w:szCs w:val="18"/>
                <w:lang w:val="es-ES_tradnl"/>
              </w:rPr>
            </w:pPr>
          </w:p>
        </w:tc>
        <w:tc>
          <w:tcPr>
            <w:tcW w:w="2354" w:type="dxa"/>
          </w:tcPr>
          <w:p w14:paraId="14775FF1"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42A86A35"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51FF3BEF"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47AB2102"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0B1E13C2"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1BE8BEA3"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33F75087" w14:textId="77777777" w:rsidTr="006548F8">
        <w:trPr>
          <w:trHeight w:val="230"/>
        </w:trPr>
        <w:tc>
          <w:tcPr>
            <w:tcW w:w="3544" w:type="dxa"/>
          </w:tcPr>
          <w:p w14:paraId="7E2A1AA5"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FUNCIONAMIENTO</w:t>
            </w:r>
          </w:p>
        </w:tc>
        <w:tc>
          <w:tcPr>
            <w:tcW w:w="2354" w:type="dxa"/>
          </w:tcPr>
          <w:p w14:paraId="304D2C38"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16.129.010.200,00</w:t>
            </w:r>
          </w:p>
        </w:tc>
        <w:tc>
          <w:tcPr>
            <w:tcW w:w="2354" w:type="dxa"/>
          </w:tcPr>
          <w:p w14:paraId="1BA638FD"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16.108.975.923,78</w:t>
            </w:r>
          </w:p>
        </w:tc>
        <w:tc>
          <w:tcPr>
            <w:tcW w:w="2238" w:type="dxa"/>
          </w:tcPr>
          <w:p w14:paraId="52E4F0D0"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20.034.276,22</w:t>
            </w:r>
          </w:p>
        </w:tc>
      </w:tr>
      <w:tr w:rsidR="007E2F9F" w:rsidRPr="00292B9C" w14:paraId="5812654F" w14:textId="77777777" w:rsidTr="006548F8">
        <w:tc>
          <w:tcPr>
            <w:tcW w:w="3544" w:type="dxa"/>
          </w:tcPr>
          <w:p w14:paraId="31D91346"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INVERSIÓN</w:t>
            </w:r>
          </w:p>
        </w:tc>
        <w:tc>
          <w:tcPr>
            <w:tcW w:w="2354" w:type="dxa"/>
          </w:tcPr>
          <w:p w14:paraId="6FC5422A"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345.580.666,96</w:t>
            </w:r>
          </w:p>
        </w:tc>
        <w:tc>
          <w:tcPr>
            <w:tcW w:w="2354" w:type="dxa"/>
          </w:tcPr>
          <w:p w14:paraId="7D88280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289.441.987,12</w:t>
            </w:r>
          </w:p>
        </w:tc>
        <w:tc>
          <w:tcPr>
            <w:tcW w:w="2238" w:type="dxa"/>
          </w:tcPr>
          <w:p w14:paraId="6B73E48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56.138.679,84</w:t>
            </w:r>
          </w:p>
        </w:tc>
      </w:tr>
      <w:tr w:rsidR="007E2F9F" w:rsidRPr="00292B9C" w14:paraId="5EAD6DE4" w14:textId="77777777" w:rsidTr="006548F8">
        <w:tc>
          <w:tcPr>
            <w:tcW w:w="3544" w:type="dxa"/>
          </w:tcPr>
          <w:p w14:paraId="54C55AF2"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TOTAL PÉRDIDAS DE APROPIACIÓN</w:t>
            </w:r>
          </w:p>
        </w:tc>
        <w:tc>
          <w:tcPr>
            <w:tcW w:w="2354" w:type="dxa"/>
          </w:tcPr>
          <w:p w14:paraId="323EC830"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16.562.276.775,59</w:t>
            </w:r>
          </w:p>
        </w:tc>
        <w:tc>
          <w:tcPr>
            <w:tcW w:w="2354" w:type="dxa"/>
          </w:tcPr>
          <w:p w14:paraId="2D929DD9"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16.432.220.705,47</w:t>
            </w:r>
          </w:p>
        </w:tc>
        <w:tc>
          <w:tcPr>
            <w:tcW w:w="2238" w:type="dxa"/>
          </w:tcPr>
          <w:p w14:paraId="6CBE6173"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130.056.070,12</w:t>
            </w:r>
          </w:p>
        </w:tc>
      </w:tr>
    </w:tbl>
    <w:p w14:paraId="3E5D9A12" w14:textId="77777777" w:rsidR="007E2F9F" w:rsidRDefault="007E2F9F" w:rsidP="007E2F9F">
      <w:pPr>
        <w:ind w:left="-284" w:right="-234"/>
        <w:jc w:val="both"/>
        <w:rPr>
          <w:rFonts w:ascii="Arial" w:hAnsi="Arial" w:cs="Arial"/>
          <w:b/>
          <w:bCs/>
          <w:sz w:val="28"/>
          <w:szCs w:val="28"/>
          <w:lang w:val="es-MX"/>
        </w:rPr>
      </w:pPr>
    </w:p>
    <w:p w14:paraId="27EC8101" w14:textId="77777777" w:rsidR="007E2F9F" w:rsidRPr="003A7226" w:rsidRDefault="007E2F9F" w:rsidP="007E2F9F">
      <w:pPr>
        <w:ind w:left="-284"/>
        <w:jc w:val="both"/>
        <w:rPr>
          <w:rFonts w:ascii="Arial" w:hAnsi="Arial" w:cs="Arial"/>
          <w:b/>
          <w:sz w:val="28"/>
          <w:szCs w:val="28"/>
          <w:lang w:val="es-MX"/>
        </w:rPr>
      </w:pPr>
      <w:r w:rsidRPr="003A7226">
        <w:rPr>
          <w:rFonts w:ascii="Arial" w:hAnsi="Arial" w:cs="Arial"/>
          <w:b/>
          <w:sz w:val="28"/>
          <w:szCs w:val="28"/>
          <w:lang w:val="es-MX"/>
        </w:rPr>
        <w:lastRenderedPageBreak/>
        <w:t>175.- U.A.E. DE LA JUSTICIA PENAL MILITAR Y POLICIAL.</w:t>
      </w:r>
    </w:p>
    <w:p w14:paraId="371DBC62" w14:textId="77777777" w:rsidR="007E2F9F" w:rsidRDefault="007E2F9F" w:rsidP="007E2F9F">
      <w:pPr>
        <w:ind w:left="-284" w:right="-234"/>
        <w:jc w:val="both"/>
        <w:rPr>
          <w:rFonts w:ascii="Arial" w:hAnsi="Arial" w:cs="Arial"/>
          <w:b/>
          <w:bCs/>
          <w:sz w:val="28"/>
          <w:szCs w:val="28"/>
          <w:lang w:val="es-MX"/>
        </w:rPr>
      </w:pPr>
    </w:p>
    <w:p w14:paraId="0AD0DE36"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9E97298"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5BDDF4C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0E5BC196" w14:textId="77777777" w:rsidTr="006548F8">
        <w:tc>
          <w:tcPr>
            <w:tcW w:w="3544" w:type="dxa"/>
          </w:tcPr>
          <w:p w14:paraId="6D055687"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00D57521"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17FB1EAD"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17D4825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4E99A22E" w14:textId="77777777" w:rsidR="007E2F9F" w:rsidRPr="00292B9C" w:rsidRDefault="007E2F9F" w:rsidP="006548F8">
            <w:pPr>
              <w:jc w:val="center"/>
              <w:rPr>
                <w:rFonts w:ascii="Arial" w:hAnsi="Arial" w:cs="Arial"/>
                <w:b/>
                <w:sz w:val="18"/>
                <w:szCs w:val="18"/>
                <w:lang w:val="es-ES_tradnl"/>
              </w:rPr>
            </w:pPr>
          </w:p>
        </w:tc>
        <w:tc>
          <w:tcPr>
            <w:tcW w:w="2354" w:type="dxa"/>
          </w:tcPr>
          <w:p w14:paraId="76EF9AFB"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611996A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2DB56E18"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244D5800"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4635C434"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17B4CE51"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23BD36EE" w14:textId="77777777" w:rsidTr="006548F8">
        <w:trPr>
          <w:trHeight w:val="230"/>
        </w:trPr>
        <w:tc>
          <w:tcPr>
            <w:tcW w:w="3544" w:type="dxa"/>
          </w:tcPr>
          <w:p w14:paraId="711E47E5"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FUNCIONAMIENTO</w:t>
            </w:r>
          </w:p>
        </w:tc>
        <w:tc>
          <w:tcPr>
            <w:tcW w:w="2354" w:type="dxa"/>
          </w:tcPr>
          <w:p w14:paraId="31B90312"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127.408.658,22</w:t>
            </w:r>
          </w:p>
        </w:tc>
        <w:tc>
          <w:tcPr>
            <w:tcW w:w="2354" w:type="dxa"/>
          </w:tcPr>
          <w:p w14:paraId="21B78C27"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124.940.343,66</w:t>
            </w:r>
          </w:p>
        </w:tc>
        <w:tc>
          <w:tcPr>
            <w:tcW w:w="2238" w:type="dxa"/>
          </w:tcPr>
          <w:p w14:paraId="19887A01"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2.468.314,56</w:t>
            </w:r>
          </w:p>
        </w:tc>
      </w:tr>
      <w:tr w:rsidR="007E2F9F" w:rsidRPr="00292B9C" w14:paraId="1DF01D47" w14:textId="77777777" w:rsidTr="006548F8">
        <w:tc>
          <w:tcPr>
            <w:tcW w:w="3544" w:type="dxa"/>
          </w:tcPr>
          <w:p w14:paraId="2CF115A3"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INVERSIÓN</w:t>
            </w:r>
          </w:p>
        </w:tc>
        <w:tc>
          <w:tcPr>
            <w:tcW w:w="2354" w:type="dxa"/>
          </w:tcPr>
          <w:p w14:paraId="37D7EB80"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9.411.000,00</w:t>
            </w:r>
          </w:p>
        </w:tc>
        <w:tc>
          <w:tcPr>
            <w:tcW w:w="2354" w:type="dxa"/>
          </w:tcPr>
          <w:p w14:paraId="71726CCE"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8.221.142,33</w:t>
            </w:r>
          </w:p>
        </w:tc>
        <w:tc>
          <w:tcPr>
            <w:tcW w:w="2238" w:type="dxa"/>
          </w:tcPr>
          <w:p w14:paraId="4DC51CD6"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1.189.857,67</w:t>
            </w:r>
          </w:p>
        </w:tc>
      </w:tr>
      <w:tr w:rsidR="007E2F9F" w:rsidRPr="00292B9C" w14:paraId="409512D6" w14:textId="77777777" w:rsidTr="006548F8">
        <w:tc>
          <w:tcPr>
            <w:tcW w:w="3544" w:type="dxa"/>
          </w:tcPr>
          <w:p w14:paraId="1F9FF6F9"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TOTAL PÉRDIDAS DE APROPIACIÓN</w:t>
            </w:r>
          </w:p>
        </w:tc>
        <w:tc>
          <w:tcPr>
            <w:tcW w:w="2354" w:type="dxa"/>
          </w:tcPr>
          <w:p w14:paraId="56D2818D"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136.819.658,22</w:t>
            </w:r>
          </w:p>
        </w:tc>
        <w:tc>
          <w:tcPr>
            <w:tcW w:w="2354" w:type="dxa"/>
          </w:tcPr>
          <w:p w14:paraId="64C0E8EB"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133.161.485,99</w:t>
            </w:r>
          </w:p>
        </w:tc>
        <w:tc>
          <w:tcPr>
            <w:tcW w:w="2238" w:type="dxa"/>
          </w:tcPr>
          <w:p w14:paraId="57B47263"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3.658.172,23</w:t>
            </w:r>
          </w:p>
        </w:tc>
      </w:tr>
    </w:tbl>
    <w:p w14:paraId="32007189" w14:textId="77777777" w:rsidR="007E2F9F" w:rsidRDefault="007E2F9F" w:rsidP="007E2F9F">
      <w:pPr>
        <w:ind w:left="-284" w:right="-234"/>
        <w:jc w:val="both"/>
        <w:rPr>
          <w:rFonts w:ascii="Arial" w:hAnsi="Arial" w:cs="Arial"/>
          <w:b/>
          <w:bCs/>
          <w:sz w:val="28"/>
          <w:szCs w:val="28"/>
          <w:lang w:val="es-MX"/>
        </w:rPr>
      </w:pPr>
    </w:p>
    <w:p w14:paraId="56106DC9" w14:textId="77777777" w:rsidR="007E2F9F" w:rsidRPr="00BC3A9C" w:rsidRDefault="007E2F9F" w:rsidP="007E2F9F">
      <w:pPr>
        <w:ind w:left="-284"/>
        <w:jc w:val="both"/>
        <w:rPr>
          <w:rFonts w:ascii="Arial" w:hAnsi="Arial" w:cs="Arial"/>
          <w:b/>
          <w:sz w:val="28"/>
          <w:szCs w:val="28"/>
          <w:lang w:val="es-MX"/>
        </w:rPr>
      </w:pPr>
      <w:r w:rsidRPr="00BC3A9C">
        <w:rPr>
          <w:rFonts w:ascii="Arial" w:hAnsi="Arial" w:cs="Arial"/>
          <w:b/>
          <w:sz w:val="28"/>
          <w:szCs w:val="28"/>
          <w:lang w:val="es-MX"/>
        </w:rPr>
        <w:t>181.- AGENCIA DE DESARROLLO RURAL – ADR.</w:t>
      </w:r>
    </w:p>
    <w:p w14:paraId="4F5089C4" w14:textId="77777777" w:rsidR="007E2F9F" w:rsidRDefault="007E2F9F" w:rsidP="007E2F9F">
      <w:pPr>
        <w:ind w:left="-284" w:right="-234"/>
        <w:jc w:val="both"/>
        <w:rPr>
          <w:rFonts w:ascii="Arial" w:hAnsi="Arial" w:cs="Arial"/>
          <w:b/>
          <w:bCs/>
          <w:sz w:val="28"/>
          <w:szCs w:val="28"/>
          <w:lang w:val="es-MX"/>
        </w:rPr>
      </w:pPr>
    </w:p>
    <w:p w14:paraId="5FC2048F"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3135D26B"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8D61EF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26377B1B" w14:textId="77777777" w:rsidTr="006548F8">
        <w:tc>
          <w:tcPr>
            <w:tcW w:w="3544" w:type="dxa"/>
          </w:tcPr>
          <w:p w14:paraId="49700B75"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6A7453D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0BC1D5EC"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26387EA6"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605F7DD2" w14:textId="77777777" w:rsidR="007E2F9F" w:rsidRPr="00292B9C" w:rsidRDefault="007E2F9F" w:rsidP="006548F8">
            <w:pPr>
              <w:jc w:val="center"/>
              <w:rPr>
                <w:rFonts w:ascii="Arial" w:hAnsi="Arial" w:cs="Arial"/>
                <w:b/>
                <w:sz w:val="18"/>
                <w:szCs w:val="18"/>
                <w:lang w:val="es-ES_tradnl"/>
              </w:rPr>
            </w:pPr>
          </w:p>
        </w:tc>
        <w:tc>
          <w:tcPr>
            <w:tcW w:w="2354" w:type="dxa"/>
          </w:tcPr>
          <w:p w14:paraId="4A6AC11F"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7C7FA850"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4868EE09"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7C80BB8A"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71A7890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4340C0F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2A0BD435" w14:textId="77777777" w:rsidTr="006548F8">
        <w:trPr>
          <w:trHeight w:val="230"/>
        </w:trPr>
        <w:tc>
          <w:tcPr>
            <w:tcW w:w="3544" w:type="dxa"/>
          </w:tcPr>
          <w:p w14:paraId="397A7734"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FUNCIONAMIENTO</w:t>
            </w:r>
          </w:p>
        </w:tc>
        <w:tc>
          <w:tcPr>
            <w:tcW w:w="2354" w:type="dxa"/>
          </w:tcPr>
          <w:p w14:paraId="2A3BC8CE"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sz w:val="18"/>
                <w:szCs w:val="18"/>
                <w:lang w:val="es-CO"/>
              </w:rPr>
              <w:t>52.257.120,86</w:t>
            </w:r>
          </w:p>
        </w:tc>
        <w:tc>
          <w:tcPr>
            <w:tcW w:w="2354" w:type="dxa"/>
          </w:tcPr>
          <w:p w14:paraId="5293422E"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sz w:val="18"/>
                <w:szCs w:val="18"/>
                <w:lang w:val="es-CO"/>
              </w:rPr>
              <w:t>41.663.525,91</w:t>
            </w:r>
          </w:p>
        </w:tc>
        <w:tc>
          <w:tcPr>
            <w:tcW w:w="2238" w:type="dxa"/>
          </w:tcPr>
          <w:p w14:paraId="765EB327"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10.593.594,95</w:t>
            </w:r>
          </w:p>
        </w:tc>
      </w:tr>
      <w:tr w:rsidR="007E2F9F" w:rsidRPr="00292B9C" w14:paraId="5DB52194" w14:textId="77777777" w:rsidTr="006548F8">
        <w:tc>
          <w:tcPr>
            <w:tcW w:w="3544" w:type="dxa"/>
          </w:tcPr>
          <w:p w14:paraId="22D8C49B"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INVERSIÓN</w:t>
            </w:r>
          </w:p>
        </w:tc>
        <w:tc>
          <w:tcPr>
            <w:tcW w:w="2354" w:type="dxa"/>
          </w:tcPr>
          <w:p w14:paraId="70FB2F7E"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sz w:val="18"/>
                <w:szCs w:val="18"/>
                <w:lang w:val="es-CO"/>
              </w:rPr>
              <w:t>805.579.373,61</w:t>
            </w:r>
          </w:p>
        </w:tc>
        <w:tc>
          <w:tcPr>
            <w:tcW w:w="2354" w:type="dxa"/>
          </w:tcPr>
          <w:p w14:paraId="6F59F606"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sz w:val="18"/>
                <w:szCs w:val="18"/>
                <w:lang w:val="es-CO"/>
              </w:rPr>
              <w:t>788.872.029,98</w:t>
            </w:r>
          </w:p>
        </w:tc>
        <w:tc>
          <w:tcPr>
            <w:tcW w:w="2238" w:type="dxa"/>
          </w:tcPr>
          <w:p w14:paraId="69402AC1"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16.707.343,62</w:t>
            </w:r>
          </w:p>
        </w:tc>
      </w:tr>
      <w:tr w:rsidR="007E2F9F" w:rsidRPr="00292B9C" w14:paraId="2440E3FA" w14:textId="77777777" w:rsidTr="006548F8">
        <w:tc>
          <w:tcPr>
            <w:tcW w:w="3544" w:type="dxa"/>
          </w:tcPr>
          <w:p w14:paraId="08D60116" w14:textId="77777777" w:rsidR="007E2F9F" w:rsidRPr="00292B9C" w:rsidRDefault="007E2F9F" w:rsidP="006548F8">
            <w:pPr>
              <w:ind w:right="-1440"/>
              <w:jc w:val="both"/>
              <w:rPr>
                <w:rFonts w:ascii="Arial" w:hAnsi="Arial" w:cs="Arial"/>
                <w:b/>
                <w:sz w:val="18"/>
                <w:szCs w:val="18"/>
                <w:lang w:val="es-ES_tradnl"/>
              </w:rPr>
            </w:pPr>
            <w:r w:rsidRPr="00292B9C">
              <w:rPr>
                <w:rFonts w:ascii="Arial" w:hAnsi="Arial" w:cs="Arial"/>
                <w:b/>
                <w:sz w:val="18"/>
                <w:szCs w:val="18"/>
                <w:lang w:val="es-ES_tradnl"/>
              </w:rPr>
              <w:t>TOTAL PÉRDIDAS DE APROPIACIÓN</w:t>
            </w:r>
          </w:p>
        </w:tc>
        <w:tc>
          <w:tcPr>
            <w:tcW w:w="2354" w:type="dxa"/>
          </w:tcPr>
          <w:p w14:paraId="14F46610"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857.836.494,47</w:t>
            </w:r>
          </w:p>
        </w:tc>
        <w:tc>
          <w:tcPr>
            <w:tcW w:w="2354" w:type="dxa"/>
          </w:tcPr>
          <w:p w14:paraId="7EFC28B5"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830.535.555,90</w:t>
            </w:r>
          </w:p>
        </w:tc>
        <w:tc>
          <w:tcPr>
            <w:tcW w:w="2238" w:type="dxa"/>
          </w:tcPr>
          <w:p w14:paraId="2AB2B119"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27.300.938,57</w:t>
            </w:r>
          </w:p>
        </w:tc>
      </w:tr>
    </w:tbl>
    <w:p w14:paraId="6876A3C4" w14:textId="77777777" w:rsidR="007E2F9F" w:rsidRDefault="007E2F9F" w:rsidP="007E2F9F">
      <w:pPr>
        <w:ind w:left="-284" w:right="-234"/>
        <w:jc w:val="both"/>
        <w:rPr>
          <w:rFonts w:ascii="Arial" w:hAnsi="Arial" w:cs="Arial"/>
          <w:b/>
          <w:bCs/>
          <w:sz w:val="28"/>
          <w:szCs w:val="28"/>
          <w:lang w:val="es-MX"/>
        </w:rPr>
      </w:pPr>
    </w:p>
    <w:p w14:paraId="2A758E04" w14:textId="77777777" w:rsidR="007E2F9F" w:rsidRPr="002A4417" w:rsidRDefault="007E2F9F" w:rsidP="007E2F9F">
      <w:pPr>
        <w:ind w:left="-284" w:right="-234"/>
        <w:jc w:val="both"/>
        <w:rPr>
          <w:rFonts w:ascii="Arial" w:hAnsi="Arial" w:cs="Arial"/>
          <w:b/>
          <w:sz w:val="28"/>
          <w:szCs w:val="28"/>
          <w:lang w:val="es-MX"/>
        </w:rPr>
      </w:pPr>
      <w:r w:rsidRPr="002A4417">
        <w:rPr>
          <w:rFonts w:ascii="Arial" w:hAnsi="Arial" w:cs="Arial"/>
          <w:b/>
          <w:sz w:val="28"/>
          <w:szCs w:val="28"/>
          <w:lang w:val="es-MX"/>
        </w:rPr>
        <w:t>182.- INSTITUTO DE PLANIFICACION Y PROMOCION DE SOLUCIONES ENERGETICAS - IPSE.</w:t>
      </w:r>
    </w:p>
    <w:p w14:paraId="7AD5F3EF" w14:textId="77777777" w:rsidR="007E2F9F" w:rsidRDefault="007E2F9F" w:rsidP="007E2F9F">
      <w:pPr>
        <w:ind w:left="-284" w:right="-234"/>
        <w:jc w:val="both"/>
        <w:rPr>
          <w:rFonts w:ascii="Arial" w:hAnsi="Arial" w:cs="Arial"/>
          <w:b/>
          <w:bCs/>
          <w:sz w:val="28"/>
          <w:szCs w:val="28"/>
          <w:lang w:val="es-MX"/>
        </w:rPr>
      </w:pPr>
    </w:p>
    <w:p w14:paraId="7CFC18C6"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E4F54FE"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47C9838"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A4417" w14:paraId="4093AC13" w14:textId="77777777" w:rsidTr="006548F8">
        <w:tc>
          <w:tcPr>
            <w:tcW w:w="3544" w:type="dxa"/>
          </w:tcPr>
          <w:p w14:paraId="6AE89799" w14:textId="77777777" w:rsidR="007E2F9F" w:rsidRPr="002A4417" w:rsidRDefault="007E2F9F" w:rsidP="006548F8">
            <w:pPr>
              <w:ind w:left="1169" w:right="-1440"/>
              <w:rPr>
                <w:rFonts w:ascii="Arial" w:hAnsi="Arial" w:cs="Arial"/>
                <w:b/>
                <w:sz w:val="18"/>
                <w:szCs w:val="18"/>
                <w:lang w:val="es-ES_tradnl"/>
              </w:rPr>
            </w:pPr>
            <w:r w:rsidRPr="002A4417">
              <w:rPr>
                <w:rFonts w:ascii="Arial" w:hAnsi="Arial" w:cs="Arial"/>
                <w:b/>
                <w:sz w:val="18"/>
                <w:szCs w:val="18"/>
                <w:lang w:val="es-ES_tradnl"/>
              </w:rPr>
              <w:t>TIPO DE GASTO</w:t>
            </w:r>
          </w:p>
        </w:tc>
        <w:tc>
          <w:tcPr>
            <w:tcW w:w="2354" w:type="dxa"/>
          </w:tcPr>
          <w:p w14:paraId="780CC123" w14:textId="77777777" w:rsidR="007E2F9F" w:rsidRPr="002A4417" w:rsidRDefault="007E2F9F" w:rsidP="006548F8">
            <w:pPr>
              <w:jc w:val="center"/>
              <w:rPr>
                <w:rFonts w:ascii="Arial" w:hAnsi="Arial" w:cs="Arial"/>
                <w:b/>
                <w:sz w:val="18"/>
                <w:szCs w:val="18"/>
                <w:lang w:val="es-ES_tradnl"/>
              </w:rPr>
            </w:pPr>
            <w:r w:rsidRPr="002A4417">
              <w:rPr>
                <w:rFonts w:ascii="Arial" w:hAnsi="Arial" w:cs="Arial"/>
                <w:b/>
                <w:sz w:val="18"/>
                <w:szCs w:val="18"/>
                <w:lang w:val="es-ES_tradnl"/>
              </w:rPr>
              <w:t>APROPIACIÓN</w:t>
            </w:r>
          </w:p>
          <w:p w14:paraId="1C5A65F6" w14:textId="77777777" w:rsidR="007E2F9F" w:rsidRPr="002A4417" w:rsidRDefault="007E2F9F" w:rsidP="006548F8">
            <w:pPr>
              <w:jc w:val="center"/>
              <w:rPr>
                <w:rFonts w:ascii="Arial" w:hAnsi="Arial" w:cs="Arial"/>
                <w:b/>
                <w:sz w:val="18"/>
                <w:szCs w:val="18"/>
                <w:lang w:val="es-ES_tradnl"/>
              </w:rPr>
            </w:pPr>
            <w:r w:rsidRPr="002A4417">
              <w:rPr>
                <w:rFonts w:ascii="Arial" w:hAnsi="Arial" w:cs="Arial"/>
                <w:b/>
                <w:sz w:val="18"/>
                <w:szCs w:val="18"/>
                <w:lang w:val="es-ES_tradnl"/>
              </w:rPr>
              <w:t>DEFINITIVA</w:t>
            </w:r>
          </w:p>
          <w:p w14:paraId="530646CA" w14:textId="77777777" w:rsidR="007E2F9F" w:rsidRPr="002A4417" w:rsidRDefault="007E2F9F" w:rsidP="006548F8">
            <w:pPr>
              <w:jc w:val="center"/>
              <w:rPr>
                <w:rFonts w:ascii="Arial" w:hAnsi="Arial" w:cs="Arial"/>
                <w:b/>
                <w:sz w:val="18"/>
                <w:szCs w:val="18"/>
                <w:lang w:val="es-ES_tradnl"/>
              </w:rPr>
            </w:pPr>
            <w:r w:rsidRPr="002A4417">
              <w:rPr>
                <w:rFonts w:ascii="Arial" w:hAnsi="Arial" w:cs="Arial"/>
                <w:b/>
                <w:sz w:val="18"/>
                <w:szCs w:val="18"/>
                <w:lang w:val="es-ES_tradnl"/>
              </w:rPr>
              <w:t>(1)</w:t>
            </w:r>
          </w:p>
          <w:p w14:paraId="32D6849B" w14:textId="77777777" w:rsidR="007E2F9F" w:rsidRPr="002A4417" w:rsidRDefault="007E2F9F" w:rsidP="006548F8">
            <w:pPr>
              <w:jc w:val="center"/>
              <w:rPr>
                <w:rFonts w:ascii="Arial" w:hAnsi="Arial" w:cs="Arial"/>
                <w:b/>
                <w:sz w:val="18"/>
                <w:szCs w:val="18"/>
                <w:lang w:val="es-ES_tradnl"/>
              </w:rPr>
            </w:pPr>
          </w:p>
        </w:tc>
        <w:tc>
          <w:tcPr>
            <w:tcW w:w="2354" w:type="dxa"/>
          </w:tcPr>
          <w:p w14:paraId="6AAA0440" w14:textId="77777777" w:rsidR="007E2F9F" w:rsidRPr="002A4417" w:rsidRDefault="007E2F9F" w:rsidP="006548F8">
            <w:pPr>
              <w:ind w:left="145" w:right="184"/>
              <w:jc w:val="center"/>
              <w:rPr>
                <w:rFonts w:ascii="Arial" w:hAnsi="Arial" w:cs="Arial"/>
                <w:b/>
                <w:sz w:val="18"/>
                <w:szCs w:val="18"/>
                <w:lang w:val="es-ES_tradnl"/>
              </w:rPr>
            </w:pPr>
            <w:r w:rsidRPr="002A4417">
              <w:rPr>
                <w:rFonts w:ascii="Arial" w:hAnsi="Arial" w:cs="Arial"/>
                <w:b/>
                <w:sz w:val="18"/>
                <w:szCs w:val="18"/>
                <w:lang w:val="es-ES_tradnl"/>
              </w:rPr>
              <w:t>EJECUCIÓN</w:t>
            </w:r>
          </w:p>
          <w:p w14:paraId="1771F234" w14:textId="77777777" w:rsidR="007E2F9F" w:rsidRPr="002A4417" w:rsidRDefault="007E2F9F" w:rsidP="006548F8">
            <w:pPr>
              <w:ind w:right="34"/>
              <w:jc w:val="center"/>
              <w:rPr>
                <w:rFonts w:ascii="Arial" w:hAnsi="Arial" w:cs="Arial"/>
                <w:b/>
                <w:sz w:val="18"/>
                <w:szCs w:val="18"/>
                <w:lang w:val="es-ES_tradnl"/>
              </w:rPr>
            </w:pPr>
            <w:r w:rsidRPr="002A4417">
              <w:rPr>
                <w:rFonts w:ascii="Arial" w:hAnsi="Arial" w:cs="Arial"/>
                <w:b/>
                <w:sz w:val="18"/>
                <w:szCs w:val="18"/>
                <w:lang w:val="es-ES_tradnl"/>
              </w:rPr>
              <w:t>COMPROMISOS</w:t>
            </w:r>
          </w:p>
          <w:p w14:paraId="09657E66" w14:textId="77777777" w:rsidR="007E2F9F" w:rsidRPr="002A4417" w:rsidRDefault="007E2F9F" w:rsidP="006548F8">
            <w:pPr>
              <w:ind w:right="34"/>
              <w:jc w:val="center"/>
              <w:rPr>
                <w:rFonts w:ascii="Arial" w:hAnsi="Arial" w:cs="Arial"/>
                <w:b/>
                <w:sz w:val="18"/>
                <w:szCs w:val="18"/>
                <w:lang w:val="es-ES_tradnl"/>
              </w:rPr>
            </w:pPr>
            <w:r w:rsidRPr="002A4417">
              <w:rPr>
                <w:rFonts w:ascii="Arial" w:hAnsi="Arial" w:cs="Arial"/>
                <w:b/>
                <w:sz w:val="18"/>
                <w:szCs w:val="18"/>
                <w:lang w:val="es-ES_tradnl"/>
              </w:rPr>
              <w:t>(2)</w:t>
            </w:r>
          </w:p>
        </w:tc>
        <w:tc>
          <w:tcPr>
            <w:tcW w:w="2238" w:type="dxa"/>
          </w:tcPr>
          <w:p w14:paraId="15AEC9CD" w14:textId="77777777" w:rsidR="007E2F9F" w:rsidRPr="002A4417" w:rsidRDefault="007E2F9F" w:rsidP="006548F8">
            <w:pPr>
              <w:ind w:left="25" w:right="34"/>
              <w:jc w:val="center"/>
              <w:rPr>
                <w:rFonts w:ascii="Arial" w:hAnsi="Arial" w:cs="Arial"/>
                <w:b/>
                <w:sz w:val="18"/>
                <w:szCs w:val="18"/>
                <w:lang w:val="es-ES_tradnl"/>
              </w:rPr>
            </w:pPr>
            <w:r w:rsidRPr="002A4417">
              <w:rPr>
                <w:rFonts w:ascii="Arial" w:hAnsi="Arial" w:cs="Arial"/>
                <w:b/>
                <w:sz w:val="18"/>
                <w:szCs w:val="18"/>
                <w:lang w:val="es-ES_tradnl"/>
              </w:rPr>
              <w:t>PÉRDIDAS DE</w:t>
            </w:r>
          </w:p>
          <w:p w14:paraId="6D808088" w14:textId="77777777" w:rsidR="007E2F9F" w:rsidRPr="002A4417" w:rsidRDefault="007E2F9F" w:rsidP="006548F8">
            <w:pPr>
              <w:ind w:right="34"/>
              <w:jc w:val="center"/>
              <w:rPr>
                <w:rFonts w:ascii="Arial" w:hAnsi="Arial" w:cs="Arial"/>
                <w:b/>
                <w:sz w:val="18"/>
                <w:szCs w:val="18"/>
                <w:lang w:val="es-ES_tradnl"/>
              </w:rPr>
            </w:pPr>
            <w:r w:rsidRPr="002A4417">
              <w:rPr>
                <w:rFonts w:ascii="Arial" w:hAnsi="Arial" w:cs="Arial"/>
                <w:b/>
                <w:sz w:val="18"/>
                <w:szCs w:val="18"/>
                <w:lang w:val="es-ES_tradnl"/>
              </w:rPr>
              <w:t>APROPIACIÓN</w:t>
            </w:r>
          </w:p>
          <w:p w14:paraId="75CFD10C" w14:textId="77777777" w:rsidR="007E2F9F" w:rsidRPr="002A4417" w:rsidRDefault="007E2F9F" w:rsidP="006548F8">
            <w:pPr>
              <w:ind w:right="34"/>
              <w:jc w:val="center"/>
              <w:rPr>
                <w:rFonts w:ascii="Arial" w:hAnsi="Arial" w:cs="Arial"/>
                <w:b/>
                <w:sz w:val="18"/>
                <w:szCs w:val="18"/>
                <w:lang w:val="es-ES_tradnl"/>
              </w:rPr>
            </w:pPr>
            <w:r w:rsidRPr="002A4417">
              <w:rPr>
                <w:rFonts w:ascii="Arial" w:hAnsi="Arial" w:cs="Arial"/>
                <w:b/>
                <w:sz w:val="18"/>
                <w:szCs w:val="18"/>
                <w:lang w:val="es-ES_tradnl"/>
              </w:rPr>
              <w:t>3 = (1-2)</w:t>
            </w:r>
          </w:p>
        </w:tc>
      </w:tr>
      <w:tr w:rsidR="007E2F9F" w:rsidRPr="002A4417" w14:paraId="4D8B1F4F" w14:textId="77777777" w:rsidTr="006548F8">
        <w:trPr>
          <w:trHeight w:val="230"/>
        </w:trPr>
        <w:tc>
          <w:tcPr>
            <w:tcW w:w="3544" w:type="dxa"/>
          </w:tcPr>
          <w:p w14:paraId="7C3D3256" w14:textId="77777777" w:rsidR="007E2F9F" w:rsidRPr="002A4417" w:rsidRDefault="007E2F9F" w:rsidP="006548F8">
            <w:pPr>
              <w:ind w:right="-1440"/>
              <w:jc w:val="both"/>
              <w:rPr>
                <w:rFonts w:ascii="Arial" w:hAnsi="Arial" w:cs="Arial"/>
                <w:b/>
                <w:sz w:val="18"/>
                <w:szCs w:val="18"/>
                <w:lang w:val="es-ES_tradnl"/>
              </w:rPr>
            </w:pPr>
            <w:r w:rsidRPr="002A4417">
              <w:rPr>
                <w:rFonts w:ascii="Arial" w:hAnsi="Arial" w:cs="Arial"/>
                <w:b/>
                <w:sz w:val="18"/>
                <w:szCs w:val="18"/>
                <w:lang w:val="es-ES_tradnl"/>
              </w:rPr>
              <w:t>FUNCIONAMIENTO</w:t>
            </w:r>
          </w:p>
        </w:tc>
        <w:tc>
          <w:tcPr>
            <w:tcW w:w="2354" w:type="dxa"/>
          </w:tcPr>
          <w:p w14:paraId="52C0FA7D" w14:textId="77777777" w:rsidR="007E2F9F" w:rsidRPr="002A4417" w:rsidRDefault="007E2F9F" w:rsidP="006548F8">
            <w:pPr>
              <w:jc w:val="right"/>
              <w:rPr>
                <w:rFonts w:ascii="Arial" w:eastAsia="Calibri" w:hAnsi="Arial" w:cs="Arial"/>
                <w:b/>
                <w:bCs/>
                <w:sz w:val="18"/>
                <w:szCs w:val="18"/>
                <w:lang w:val="es-CO"/>
              </w:rPr>
            </w:pPr>
            <w:r w:rsidRPr="002A4417">
              <w:rPr>
                <w:rFonts w:ascii="Arial" w:eastAsia="Calibri" w:hAnsi="Arial" w:cs="Arial"/>
                <w:lang w:val="es-CO"/>
              </w:rPr>
              <w:t>26.460.076</w:t>
            </w:r>
          </w:p>
        </w:tc>
        <w:tc>
          <w:tcPr>
            <w:tcW w:w="2354" w:type="dxa"/>
          </w:tcPr>
          <w:p w14:paraId="505660F4" w14:textId="77777777" w:rsidR="007E2F9F" w:rsidRPr="002A4417" w:rsidRDefault="007E2F9F" w:rsidP="006548F8">
            <w:pPr>
              <w:pStyle w:val="Prrafodelista"/>
              <w:ind w:left="0"/>
              <w:jc w:val="right"/>
              <w:rPr>
                <w:rFonts w:ascii="Arial" w:hAnsi="Arial" w:cs="Arial"/>
                <w:b/>
                <w:bCs/>
                <w:sz w:val="18"/>
                <w:szCs w:val="18"/>
              </w:rPr>
            </w:pPr>
            <w:r w:rsidRPr="002A4417">
              <w:rPr>
                <w:rFonts w:ascii="Arial" w:eastAsia="Calibri" w:hAnsi="Arial" w:cs="Arial"/>
                <w:lang w:val="es-CO"/>
              </w:rPr>
              <w:t>21.822.199</w:t>
            </w:r>
          </w:p>
        </w:tc>
        <w:tc>
          <w:tcPr>
            <w:tcW w:w="2238" w:type="dxa"/>
          </w:tcPr>
          <w:p w14:paraId="1CD25ECA" w14:textId="77777777" w:rsidR="007E2F9F" w:rsidRPr="002A4417" w:rsidRDefault="007E2F9F" w:rsidP="006548F8">
            <w:pPr>
              <w:pStyle w:val="Prrafodelista"/>
              <w:ind w:left="0"/>
              <w:jc w:val="right"/>
              <w:rPr>
                <w:rFonts w:ascii="Arial" w:hAnsi="Arial" w:cs="Arial"/>
                <w:b/>
                <w:bCs/>
                <w:sz w:val="18"/>
                <w:szCs w:val="18"/>
              </w:rPr>
            </w:pPr>
            <w:r w:rsidRPr="002A4417">
              <w:rPr>
                <w:rFonts w:ascii="Arial" w:hAnsi="Arial" w:cs="Arial"/>
                <w:b/>
              </w:rPr>
              <w:t>4.637.877</w:t>
            </w:r>
          </w:p>
        </w:tc>
      </w:tr>
      <w:tr w:rsidR="007E2F9F" w:rsidRPr="002A4417" w14:paraId="48051201" w14:textId="77777777" w:rsidTr="006548F8">
        <w:tc>
          <w:tcPr>
            <w:tcW w:w="3544" w:type="dxa"/>
          </w:tcPr>
          <w:p w14:paraId="6D3CEED1" w14:textId="77777777" w:rsidR="007E2F9F" w:rsidRPr="002A4417" w:rsidRDefault="007E2F9F" w:rsidP="006548F8">
            <w:pPr>
              <w:ind w:right="-1440"/>
              <w:jc w:val="both"/>
              <w:rPr>
                <w:rFonts w:ascii="Arial" w:hAnsi="Arial" w:cs="Arial"/>
                <w:b/>
                <w:sz w:val="18"/>
                <w:szCs w:val="18"/>
                <w:lang w:val="es-ES_tradnl"/>
              </w:rPr>
            </w:pPr>
            <w:r w:rsidRPr="002A4417">
              <w:rPr>
                <w:rFonts w:ascii="Arial" w:hAnsi="Arial" w:cs="Arial"/>
                <w:b/>
                <w:sz w:val="18"/>
                <w:szCs w:val="18"/>
                <w:lang w:val="es-ES_tradnl"/>
              </w:rPr>
              <w:t>INVERSIÓN</w:t>
            </w:r>
          </w:p>
        </w:tc>
        <w:tc>
          <w:tcPr>
            <w:tcW w:w="2354" w:type="dxa"/>
          </w:tcPr>
          <w:p w14:paraId="55A2AEF4" w14:textId="77777777" w:rsidR="007E2F9F" w:rsidRPr="002A4417" w:rsidRDefault="007E2F9F" w:rsidP="006548F8">
            <w:pPr>
              <w:pStyle w:val="Prrafodelista"/>
              <w:ind w:left="0"/>
              <w:jc w:val="right"/>
              <w:rPr>
                <w:rFonts w:ascii="Arial" w:hAnsi="Arial" w:cs="Arial"/>
                <w:b/>
                <w:bCs/>
                <w:sz w:val="18"/>
                <w:szCs w:val="18"/>
              </w:rPr>
            </w:pPr>
            <w:r w:rsidRPr="002A4417">
              <w:rPr>
                <w:rFonts w:ascii="Arial" w:eastAsia="Calibri" w:hAnsi="Arial" w:cs="Arial"/>
                <w:lang w:val="es-CO"/>
              </w:rPr>
              <w:t>249.992.814</w:t>
            </w:r>
          </w:p>
        </w:tc>
        <w:tc>
          <w:tcPr>
            <w:tcW w:w="2354" w:type="dxa"/>
          </w:tcPr>
          <w:p w14:paraId="5D1E9730" w14:textId="77777777" w:rsidR="007E2F9F" w:rsidRPr="002A4417" w:rsidRDefault="007E2F9F" w:rsidP="006548F8">
            <w:pPr>
              <w:pStyle w:val="Prrafodelista"/>
              <w:ind w:left="0"/>
              <w:jc w:val="right"/>
              <w:rPr>
                <w:rFonts w:ascii="Arial" w:hAnsi="Arial" w:cs="Arial"/>
                <w:b/>
                <w:bCs/>
                <w:sz w:val="18"/>
                <w:szCs w:val="18"/>
              </w:rPr>
            </w:pPr>
            <w:r w:rsidRPr="002A4417">
              <w:rPr>
                <w:rFonts w:ascii="Arial" w:eastAsia="Calibri" w:hAnsi="Arial" w:cs="Arial"/>
                <w:lang w:val="es-CO"/>
              </w:rPr>
              <w:t>237.413.457</w:t>
            </w:r>
          </w:p>
        </w:tc>
        <w:tc>
          <w:tcPr>
            <w:tcW w:w="2238" w:type="dxa"/>
          </w:tcPr>
          <w:p w14:paraId="799AF063" w14:textId="77777777" w:rsidR="007E2F9F" w:rsidRPr="002A4417" w:rsidRDefault="007E2F9F" w:rsidP="006548F8">
            <w:pPr>
              <w:pStyle w:val="Prrafodelista"/>
              <w:ind w:left="0"/>
              <w:jc w:val="right"/>
              <w:rPr>
                <w:rFonts w:ascii="Arial" w:hAnsi="Arial" w:cs="Arial"/>
                <w:b/>
                <w:bCs/>
                <w:sz w:val="18"/>
                <w:szCs w:val="18"/>
              </w:rPr>
            </w:pPr>
            <w:r w:rsidRPr="002A4417">
              <w:rPr>
                <w:rFonts w:ascii="Arial" w:hAnsi="Arial" w:cs="Arial"/>
                <w:b/>
              </w:rPr>
              <w:t>12.579.358</w:t>
            </w:r>
          </w:p>
        </w:tc>
      </w:tr>
      <w:tr w:rsidR="007E2F9F" w:rsidRPr="002A4417" w14:paraId="0C826167" w14:textId="77777777" w:rsidTr="006548F8">
        <w:tc>
          <w:tcPr>
            <w:tcW w:w="3544" w:type="dxa"/>
          </w:tcPr>
          <w:p w14:paraId="05909CF0" w14:textId="77777777" w:rsidR="007E2F9F" w:rsidRPr="002A4417" w:rsidRDefault="007E2F9F" w:rsidP="006548F8">
            <w:pPr>
              <w:ind w:right="-1440"/>
              <w:jc w:val="both"/>
              <w:rPr>
                <w:rFonts w:ascii="Arial" w:hAnsi="Arial" w:cs="Arial"/>
                <w:b/>
                <w:sz w:val="18"/>
                <w:szCs w:val="18"/>
                <w:lang w:val="es-ES_tradnl"/>
              </w:rPr>
            </w:pPr>
            <w:r w:rsidRPr="002A4417">
              <w:rPr>
                <w:rFonts w:ascii="Arial" w:hAnsi="Arial" w:cs="Arial"/>
                <w:b/>
                <w:sz w:val="18"/>
                <w:szCs w:val="18"/>
                <w:lang w:val="es-ES_tradnl"/>
              </w:rPr>
              <w:t>TOTAL PÉRDIDAS DE APROPIACIÓN</w:t>
            </w:r>
          </w:p>
        </w:tc>
        <w:tc>
          <w:tcPr>
            <w:tcW w:w="2354" w:type="dxa"/>
          </w:tcPr>
          <w:p w14:paraId="17E15E3C" w14:textId="77777777" w:rsidR="007E2F9F" w:rsidRPr="002A4417" w:rsidRDefault="007E2F9F" w:rsidP="006548F8">
            <w:pPr>
              <w:pStyle w:val="Prrafodelista"/>
              <w:ind w:left="0"/>
              <w:jc w:val="right"/>
              <w:rPr>
                <w:rFonts w:ascii="Arial" w:hAnsi="Arial" w:cs="Arial"/>
                <w:b/>
                <w:bCs/>
                <w:sz w:val="18"/>
                <w:szCs w:val="18"/>
                <w:u w:val="single"/>
              </w:rPr>
            </w:pPr>
            <w:r w:rsidRPr="002A4417">
              <w:rPr>
                <w:rFonts w:ascii="Arial" w:eastAsia="Calibri" w:hAnsi="Arial" w:cs="Arial"/>
                <w:b/>
                <w:lang w:val="es-CO"/>
              </w:rPr>
              <w:t>276.452.890</w:t>
            </w:r>
          </w:p>
        </w:tc>
        <w:tc>
          <w:tcPr>
            <w:tcW w:w="2354" w:type="dxa"/>
          </w:tcPr>
          <w:p w14:paraId="3BE8DC5E" w14:textId="77777777" w:rsidR="007E2F9F" w:rsidRPr="002A4417" w:rsidRDefault="007E2F9F" w:rsidP="006548F8">
            <w:pPr>
              <w:pStyle w:val="Prrafodelista"/>
              <w:ind w:left="0"/>
              <w:jc w:val="right"/>
              <w:rPr>
                <w:rFonts w:ascii="Arial" w:hAnsi="Arial" w:cs="Arial"/>
                <w:b/>
                <w:bCs/>
                <w:sz w:val="18"/>
                <w:szCs w:val="18"/>
                <w:u w:val="single"/>
              </w:rPr>
            </w:pPr>
            <w:r w:rsidRPr="002A4417">
              <w:rPr>
                <w:rFonts w:ascii="Arial" w:eastAsia="Calibri" w:hAnsi="Arial" w:cs="Arial"/>
                <w:b/>
                <w:lang w:val="es-CO"/>
              </w:rPr>
              <w:t>259.235.655</w:t>
            </w:r>
          </w:p>
        </w:tc>
        <w:tc>
          <w:tcPr>
            <w:tcW w:w="2238" w:type="dxa"/>
          </w:tcPr>
          <w:p w14:paraId="6F5AE14E" w14:textId="77777777" w:rsidR="007E2F9F" w:rsidRPr="002A4417" w:rsidRDefault="007E2F9F" w:rsidP="006548F8">
            <w:pPr>
              <w:pStyle w:val="Prrafodelista"/>
              <w:ind w:left="0"/>
              <w:jc w:val="right"/>
              <w:rPr>
                <w:rFonts w:ascii="Arial" w:hAnsi="Arial" w:cs="Arial"/>
                <w:b/>
                <w:bCs/>
                <w:sz w:val="18"/>
                <w:szCs w:val="18"/>
                <w:u w:val="single"/>
              </w:rPr>
            </w:pPr>
            <w:r w:rsidRPr="002A4417">
              <w:rPr>
                <w:rFonts w:ascii="Arial" w:hAnsi="Arial" w:cs="Arial"/>
                <w:b/>
                <w:u w:val="single"/>
              </w:rPr>
              <w:t>17.217.235</w:t>
            </w:r>
          </w:p>
        </w:tc>
      </w:tr>
    </w:tbl>
    <w:p w14:paraId="2E2283F7" w14:textId="77777777" w:rsidR="00683308" w:rsidRDefault="00683308" w:rsidP="007E2F9F">
      <w:pPr>
        <w:ind w:left="-284"/>
        <w:jc w:val="both"/>
        <w:rPr>
          <w:rFonts w:ascii="Arial" w:hAnsi="Arial" w:cs="Arial"/>
          <w:b/>
          <w:sz w:val="28"/>
          <w:szCs w:val="28"/>
          <w:lang w:val="es-MX"/>
        </w:rPr>
      </w:pPr>
    </w:p>
    <w:p w14:paraId="16854DD0" w14:textId="3A7824A4" w:rsidR="007E2F9F" w:rsidRPr="00941163" w:rsidRDefault="007E2F9F" w:rsidP="007E2F9F">
      <w:pPr>
        <w:ind w:left="-284"/>
        <w:jc w:val="both"/>
        <w:rPr>
          <w:rFonts w:ascii="Arial" w:hAnsi="Arial" w:cs="Arial"/>
          <w:b/>
          <w:sz w:val="28"/>
          <w:szCs w:val="28"/>
          <w:lang w:val="es-MX"/>
        </w:rPr>
      </w:pPr>
      <w:r w:rsidRPr="00941163">
        <w:rPr>
          <w:rFonts w:ascii="Arial" w:hAnsi="Arial" w:cs="Arial"/>
          <w:b/>
          <w:sz w:val="28"/>
          <w:szCs w:val="28"/>
          <w:lang w:val="es-MX"/>
        </w:rPr>
        <w:t xml:space="preserve">183.- U.A.E. MIGRACIÓN COLOMBIA. </w:t>
      </w:r>
    </w:p>
    <w:p w14:paraId="1306D858" w14:textId="77777777" w:rsidR="007E2F9F" w:rsidRDefault="007E2F9F" w:rsidP="007E2F9F">
      <w:pPr>
        <w:jc w:val="both"/>
        <w:rPr>
          <w:b/>
          <w:sz w:val="28"/>
          <w:szCs w:val="28"/>
          <w:lang w:val="es-MX"/>
        </w:rPr>
      </w:pPr>
    </w:p>
    <w:p w14:paraId="08A6544B"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FFC726F"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2BF02D3"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18026171" w14:textId="77777777" w:rsidTr="006548F8">
        <w:tc>
          <w:tcPr>
            <w:tcW w:w="3544" w:type="dxa"/>
          </w:tcPr>
          <w:p w14:paraId="34DC2980"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7D30ECF6"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58FF94EC"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60010FCD"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23C82529" w14:textId="77777777" w:rsidR="007E2F9F" w:rsidRPr="00292B9C" w:rsidRDefault="007E2F9F" w:rsidP="006548F8">
            <w:pPr>
              <w:jc w:val="center"/>
              <w:rPr>
                <w:rFonts w:ascii="Arial" w:hAnsi="Arial" w:cs="Arial"/>
                <w:b/>
                <w:sz w:val="18"/>
                <w:szCs w:val="18"/>
                <w:lang w:val="es-ES_tradnl"/>
              </w:rPr>
            </w:pPr>
          </w:p>
        </w:tc>
        <w:tc>
          <w:tcPr>
            <w:tcW w:w="2354" w:type="dxa"/>
          </w:tcPr>
          <w:p w14:paraId="504648C5"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33629438"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67DCFC5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23C960D6"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7F94B34D"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06AF8EB5"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746D865A" w14:textId="77777777" w:rsidTr="006548F8">
        <w:trPr>
          <w:trHeight w:val="230"/>
        </w:trPr>
        <w:tc>
          <w:tcPr>
            <w:tcW w:w="3544" w:type="dxa"/>
          </w:tcPr>
          <w:p w14:paraId="2E60DB8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vAlign w:val="bottom"/>
          </w:tcPr>
          <w:p w14:paraId="54D3B691"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b/>
                <w:bCs/>
                <w:sz w:val="18"/>
                <w:szCs w:val="18"/>
              </w:rPr>
              <w:t>174.722.000</w:t>
            </w:r>
          </w:p>
        </w:tc>
        <w:tc>
          <w:tcPr>
            <w:tcW w:w="2354" w:type="dxa"/>
            <w:vAlign w:val="bottom"/>
          </w:tcPr>
          <w:p w14:paraId="590FCCAA"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sz w:val="18"/>
                <w:szCs w:val="18"/>
              </w:rPr>
              <w:t>172.014.277</w:t>
            </w:r>
          </w:p>
        </w:tc>
        <w:tc>
          <w:tcPr>
            <w:tcW w:w="2238" w:type="dxa"/>
            <w:vAlign w:val="bottom"/>
          </w:tcPr>
          <w:p w14:paraId="4E2B767D"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sz w:val="18"/>
                <w:szCs w:val="18"/>
              </w:rPr>
              <w:t>2.707.723</w:t>
            </w:r>
          </w:p>
        </w:tc>
      </w:tr>
      <w:tr w:rsidR="007E2F9F" w:rsidRPr="00292B9C" w14:paraId="3DFB9C9A" w14:textId="77777777" w:rsidTr="006548F8">
        <w:tc>
          <w:tcPr>
            <w:tcW w:w="3544" w:type="dxa"/>
          </w:tcPr>
          <w:p w14:paraId="28C82EF2"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INVERSIÓN</w:t>
            </w:r>
          </w:p>
        </w:tc>
        <w:tc>
          <w:tcPr>
            <w:tcW w:w="2354" w:type="dxa"/>
            <w:vAlign w:val="bottom"/>
          </w:tcPr>
          <w:p w14:paraId="22BDC452"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color w:val="000000"/>
                <w:sz w:val="18"/>
                <w:szCs w:val="18"/>
              </w:rPr>
              <w:t>33.252.114</w:t>
            </w:r>
          </w:p>
        </w:tc>
        <w:tc>
          <w:tcPr>
            <w:tcW w:w="2354" w:type="dxa"/>
            <w:vAlign w:val="bottom"/>
          </w:tcPr>
          <w:p w14:paraId="65213F6D"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color w:val="000000"/>
                <w:sz w:val="18"/>
                <w:szCs w:val="18"/>
              </w:rPr>
              <w:t>29.513.531</w:t>
            </w:r>
          </w:p>
        </w:tc>
        <w:tc>
          <w:tcPr>
            <w:tcW w:w="2238" w:type="dxa"/>
            <w:vAlign w:val="bottom"/>
          </w:tcPr>
          <w:p w14:paraId="478B16EF"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color w:val="000000"/>
                <w:sz w:val="18"/>
                <w:szCs w:val="18"/>
              </w:rPr>
              <w:t>3.738.583</w:t>
            </w:r>
          </w:p>
        </w:tc>
      </w:tr>
      <w:tr w:rsidR="007E2F9F" w:rsidRPr="00292B9C" w14:paraId="546FDE73" w14:textId="77777777" w:rsidTr="006548F8">
        <w:tc>
          <w:tcPr>
            <w:tcW w:w="3544" w:type="dxa"/>
          </w:tcPr>
          <w:p w14:paraId="78B3883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vAlign w:val="bottom"/>
          </w:tcPr>
          <w:p w14:paraId="1A7EE3F5"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bCs/>
                <w:sz w:val="18"/>
                <w:szCs w:val="18"/>
              </w:rPr>
              <w:t>207.974.114</w:t>
            </w:r>
          </w:p>
        </w:tc>
        <w:tc>
          <w:tcPr>
            <w:tcW w:w="2354" w:type="dxa"/>
            <w:vAlign w:val="bottom"/>
          </w:tcPr>
          <w:p w14:paraId="10FBE64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bCs/>
                <w:sz w:val="18"/>
                <w:szCs w:val="18"/>
              </w:rPr>
              <w:t>201.527.808</w:t>
            </w:r>
          </w:p>
        </w:tc>
        <w:tc>
          <w:tcPr>
            <w:tcW w:w="2238" w:type="dxa"/>
            <w:vAlign w:val="bottom"/>
          </w:tcPr>
          <w:p w14:paraId="2ABDF515"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bCs/>
                <w:sz w:val="18"/>
                <w:szCs w:val="18"/>
                <w:u w:val="single"/>
              </w:rPr>
              <w:t>6.446.306</w:t>
            </w:r>
          </w:p>
        </w:tc>
      </w:tr>
    </w:tbl>
    <w:p w14:paraId="62B5C7FA" w14:textId="77777777" w:rsidR="007E2F9F" w:rsidRDefault="007E2F9F" w:rsidP="007E2F9F">
      <w:pPr>
        <w:jc w:val="both"/>
        <w:rPr>
          <w:b/>
          <w:sz w:val="28"/>
          <w:szCs w:val="28"/>
          <w:lang w:val="es-MX"/>
        </w:rPr>
      </w:pPr>
    </w:p>
    <w:p w14:paraId="72C5B8BB" w14:textId="77777777" w:rsidR="007E2F9F" w:rsidRPr="00027E68" w:rsidRDefault="007E2F9F" w:rsidP="007E2F9F">
      <w:pPr>
        <w:ind w:left="-284"/>
        <w:jc w:val="both"/>
        <w:rPr>
          <w:rFonts w:ascii="Arial" w:hAnsi="Arial" w:cs="Arial"/>
          <w:b/>
          <w:sz w:val="28"/>
          <w:szCs w:val="28"/>
          <w:lang w:val="es-MX"/>
        </w:rPr>
      </w:pPr>
      <w:r w:rsidRPr="00027E68">
        <w:rPr>
          <w:rFonts w:ascii="Arial" w:hAnsi="Arial" w:cs="Arial"/>
          <w:b/>
          <w:sz w:val="28"/>
          <w:szCs w:val="28"/>
          <w:lang w:val="es-MX"/>
        </w:rPr>
        <w:t xml:space="preserve">187.- </w:t>
      </w:r>
      <w:r w:rsidRPr="00027E68">
        <w:rPr>
          <w:rFonts w:ascii="Arial" w:hAnsi="Arial" w:cs="Arial"/>
          <w:b/>
          <w:sz w:val="28"/>
          <w:szCs w:val="28"/>
        </w:rPr>
        <w:t>MINISTERIO DE CIENCIA, TECNOLOGÍA E INNOVACIÓN - MINCIENCIAS.</w:t>
      </w:r>
    </w:p>
    <w:p w14:paraId="264CC1E4" w14:textId="77777777" w:rsidR="007E2F9F" w:rsidRPr="00027E68" w:rsidRDefault="007E2F9F" w:rsidP="007E2F9F">
      <w:pPr>
        <w:jc w:val="both"/>
        <w:rPr>
          <w:rFonts w:ascii="Arial" w:hAnsi="Arial" w:cs="Arial"/>
          <w:b/>
          <w:sz w:val="28"/>
          <w:szCs w:val="28"/>
          <w:lang w:val="es-MX"/>
        </w:rPr>
      </w:pPr>
    </w:p>
    <w:p w14:paraId="69B7074A"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D9F9C51"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5F3CA19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454E9622" w14:textId="77777777" w:rsidTr="006548F8">
        <w:tc>
          <w:tcPr>
            <w:tcW w:w="3544" w:type="dxa"/>
          </w:tcPr>
          <w:p w14:paraId="34113491"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131A766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793DB53E"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4F5F0B93"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0C4BF094" w14:textId="77777777" w:rsidR="007E2F9F" w:rsidRPr="00292B9C" w:rsidRDefault="007E2F9F" w:rsidP="006548F8">
            <w:pPr>
              <w:jc w:val="center"/>
              <w:rPr>
                <w:rFonts w:ascii="Arial" w:hAnsi="Arial" w:cs="Arial"/>
                <w:b/>
                <w:sz w:val="18"/>
                <w:szCs w:val="18"/>
                <w:lang w:val="es-ES_tradnl"/>
              </w:rPr>
            </w:pPr>
          </w:p>
        </w:tc>
        <w:tc>
          <w:tcPr>
            <w:tcW w:w="2354" w:type="dxa"/>
          </w:tcPr>
          <w:p w14:paraId="58592000"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6E2D8FB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64EF5903"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4D36B9E8"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4786CFC0"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19DCC3C2"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04745E11" w14:textId="77777777" w:rsidTr="006548F8">
        <w:trPr>
          <w:trHeight w:val="230"/>
        </w:trPr>
        <w:tc>
          <w:tcPr>
            <w:tcW w:w="3544" w:type="dxa"/>
          </w:tcPr>
          <w:p w14:paraId="72E27A14"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75724866"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27.813.986</w:t>
            </w:r>
          </w:p>
        </w:tc>
        <w:tc>
          <w:tcPr>
            <w:tcW w:w="2354" w:type="dxa"/>
          </w:tcPr>
          <w:p w14:paraId="3C506A10"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26.793.463</w:t>
            </w:r>
          </w:p>
        </w:tc>
        <w:tc>
          <w:tcPr>
            <w:tcW w:w="2238" w:type="dxa"/>
          </w:tcPr>
          <w:p w14:paraId="7401CF2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1.020.523</w:t>
            </w:r>
          </w:p>
        </w:tc>
      </w:tr>
      <w:tr w:rsidR="007E2F9F" w:rsidRPr="00292B9C" w14:paraId="117F3FE1" w14:textId="77777777" w:rsidTr="006548F8">
        <w:tc>
          <w:tcPr>
            <w:tcW w:w="3544" w:type="dxa"/>
          </w:tcPr>
          <w:p w14:paraId="7F495876"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INVERSIÓN</w:t>
            </w:r>
          </w:p>
        </w:tc>
        <w:tc>
          <w:tcPr>
            <w:tcW w:w="2354" w:type="dxa"/>
          </w:tcPr>
          <w:p w14:paraId="3BD3A01A"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347.852.000</w:t>
            </w:r>
          </w:p>
        </w:tc>
        <w:tc>
          <w:tcPr>
            <w:tcW w:w="2354" w:type="dxa"/>
          </w:tcPr>
          <w:p w14:paraId="40B1DB6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341.721.000</w:t>
            </w:r>
          </w:p>
        </w:tc>
        <w:tc>
          <w:tcPr>
            <w:tcW w:w="2238" w:type="dxa"/>
          </w:tcPr>
          <w:p w14:paraId="023A4BEC"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6.131.000</w:t>
            </w:r>
          </w:p>
        </w:tc>
      </w:tr>
      <w:tr w:rsidR="007E2F9F" w:rsidRPr="00292B9C" w14:paraId="174413A5" w14:textId="77777777" w:rsidTr="006548F8">
        <w:tc>
          <w:tcPr>
            <w:tcW w:w="3544" w:type="dxa"/>
          </w:tcPr>
          <w:p w14:paraId="59C2557C"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0F56501D"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375.665.986</w:t>
            </w:r>
          </w:p>
        </w:tc>
        <w:tc>
          <w:tcPr>
            <w:tcW w:w="2354" w:type="dxa"/>
          </w:tcPr>
          <w:p w14:paraId="7D4C28BF"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368.514.463</w:t>
            </w:r>
          </w:p>
        </w:tc>
        <w:tc>
          <w:tcPr>
            <w:tcW w:w="2238" w:type="dxa"/>
          </w:tcPr>
          <w:p w14:paraId="6DC41AC6"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7.151.523</w:t>
            </w:r>
          </w:p>
        </w:tc>
      </w:tr>
    </w:tbl>
    <w:p w14:paraId="29B26235" w14:textId="77777777" w:rsidR="007E2F9F" w:rsidRDefault="007E2F9F" w:rsidP="007E2F9F">
      <w:pPr>
        <w:ind w:left="-284" w:right="-234"/>
        <w:jc w:val="both"/>
        <w:rPr>
          <w:rFonts w:ascii="Arial" w:hAnsi="Arial" w:cs="Arial"/>
          <w:b/>
          <w:bCs/>
          <w:sz w:val="28"/>
          <w:szCs w:val="28"/>
          <w:lang w:val="es-MX"/>
        </w:rPr>
      </w:pPr>
    </w:p>
    <w:p w14:paraId="3B6E46BF" w14:textId="77777777" w:rsidR="007E2F9F" w:rsidRPr="00A03531" w:rsidRDefault="007E2F9F" w:rsidP="007E2F9F">
      <w:pPr>
        <w:ind w:left="-284"/>
        <w:jc w:val="both"/>
        <w:rPr>
          <w:rFonts w:ascii="Arial" w:hAnsi="Arial" w:cs="Arial"/>
          <w:b/>
          <w:sz w:val="28"/>
          <w:szCs w:val="28"/>
          <w:lang w:val="es-MX"/>
        </w:rPr>
      </w:pPr>
      <w:r w:rsidRPr="00A03531">
        <w:rPr>
          <w:rFonts w:ascii="Arial" w:hAnsi="Arial" w:cs="Arial"/>
          <w:b/>
          <w:sz w:val="28"/>
          <w:szCs w:val="28"/>
          <w:lang w:val="es-MX"/>
        </w:rPr>
        <w:t>215.- MINISTERIO DE LAS CULTURAS, LAS ARTES Y LOS SABERES.</w:t>
      </w:r>
    </w:p>
    <w:p w14:paraId="109CEFC5" w14:textId="77777777" w:rsidR="007E2F9F" w:rsidRPr="00A03531" w:rsidRDefault="007E2F9F" w:rsidP="007E2F9F">
      <w:pPr>
        <w:ind w:left="-284"/>
        <w:jc w:val="both"/>
        <w:rPr>
          <w:rFonts w:ascii="Arial" w:hAnsi="Arial" w:cs="Arial"/>
          <w:b/>
          <w:sz w:val="28"/>
          <w:szCs w:val="28"/>
          <w:lang w:val="es-MX"/>
        </w:rPr>
      </w:pPr>
    </w:p>
    <w:p w14:paraId="6FA71EFF"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95D12F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02ACC6E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50423D87" w14:textId="77777777" w:rsidTr="006548F8">
        <w:tc>
          <w:tcPr>
            <w:tcW w:w="3544" w:type="dxa"/>
          </w:tcPr>
          <w:p w14:paraId="39583310"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07ABB2CD"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60F71F9D"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0384AC45"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13D18B91" w14:textId="77777777" w:rsidR="007E2F9F" w:rsidRPr="00292B9C" w:rsidRDefault="007E2F9F" w:rsidP="006548F8">
            <w:pPr>
              <w:jc w:val="center"/>
              <w:rPr>
                <w:rFonts w:ascii="Arial" w:hAnsi="Arial" w:cs="Arial"/>
                <w:b/>
                <w:sz w:val="18"/>
                <w:szCs w:val="18"/>
                <w:lang w:val="es-ES_tradnl"/>
              </w:rPr>
            </w:pPr>
          </w:p>
        </w:tc>
        <w:tc>
          <w:tcPr>
            <w:tcW w:w="2354" w:type="dxa"/>
          </w:tcPr>
          <w:p w14:paraId="68E3EB80"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0ACE85B0"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2FEB71E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767D70E6"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45611A6B"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393F663E"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435BD229" w14:textId="77777777" w:rsidTr="006548F8">
        <w:trPr>
          <w:trHeight w:val="230"/>
        </w:trPr>
        <w:tc>
          <w:tcPr>
            <w:tcW w:w="3544" w:type="dxa"/>
          </w:tcPr>
          <w:p w14:paraId="183F3831"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4C5B629A"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289.688.951,37</w:t>
            </w:r>
          </w:p>
        </w:tc>
        <w:tc>
          <w:tcPr>
            <w:tcW w:w="2354" w:type="dxa"/>
          </w:tcPr>
          <w:p w14:paraId="68E28DA0"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285.147.462,46</w:t>
            </w:r>
          </w:p>
        </w:tc>
        <w:tc>
          <w:tcPr>
            <w:tcW w:w="2238" w:type="dxa"/>
          </w:tcPr>
          <w:p w14:paraId="5660319A"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4.541.488,92</w:t>
            </w:r>
          </w:p>
        </w:tc>
      </w:tr>
      <w:tr w:rsidR="007E2F9F" w:rsidRPr="00292B9C" w14:paraId="50B307E5" w14:textId="77777777" w:rsidTr="006548F8">
        <w:tc>
          <w:tcPr>
            <w:tcW w:w="3544" w:type="dxa"/>
          </w:tcPr>
          <w:p w14:paraId="349A5A58"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INVERSIÓN</w:t>
            </w:r>
          </w:p>
        </w:tc>
        <w:tc>
          <w:tcPr>
            <w:tcW w:w="2354" w:type="dxa"/>
          </w:tcPr>
          <w:p w14:paraId="2088A794"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912.360.570,79</w:t>
            </w:r>
          </w:p>
        </w:tc>
        <w:tc>
          <w:tcPr>
            <w:tcW w:w="2354" w:type="dxa"/>
          </w:tcPr>
          <w:p w14:paraId="3591A8CA"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905.625.356,66</w:t>
            </w:r>
          </w:p>
        </w:tc>
        <w:tc>
          <w:tcPr>
            <w:tcW w:w="2238" w:type="dxa"/>
          </w:tcPr>
          <w:p w14:paraId="300526EC"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6.735.214,14</w:t>
            </w:r>
          </w:p>
        </w:tc>
      </w:tr>
      <w:tr w:rsidR="007E2F9F" w:rsidRPr="00292B9C" w14:paraId="6C7C2C31" w14:textId="77777777" w:rsidTr="006548F8">
        <w:tc>
          <w:tcPr>
            <w:tcW w:w="3544" w:type="dxa"/>
          </w:tcPr>
          <w:p w14:paraId="7F42C610"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3FB546E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1.202.049.522,17</w:t>
            </w:r>
          </w:p>
        </w:tc>
        <w:tc>
          <w:tcPr>
            <w:tcW w:w="2354" w:type="dxa"/>
          </w:tcPr>
          <w:p w14:paraId="286DE5C2"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1.190.772.819,12</w:t>
            </w:r>
          </w:p>
        </w:tc>
        <w:tc>
          <w:tcPr>
            <w:tcW w:w="2238" w:type="dxa"/>
          </w:tcPr>
          <w:p w14:paraId="1B14152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11.276.703,05</w:t>
            </w:r>
          </w:p>
        </w:tc>
      </w:tr>
    </w:tbl>
    <w:p w14:paraId="72B84863" w14:textId="77777777" w:rsidR="007E2F9F" w:rsidRDefault="007E2F9F" w:rsidP="007E2F9F">
      <w:pPr>
        <w:ind w:left="-284" w:right="-234"/>
        <w:jc w:val="both"/>
        <w:rPr>
          <w:rFonts w:ascii="Arial" w:hAnsi="Arial" w:cs="Arial"/>
          <w:b/>
          <w:bCs/>
          <w:sz w:val="28"/>
          <w:szCs w:val="28"/>
          <w:lang w:val="es-MX"/>
        </w:rPr>
      </w:pPr>
    </w:p>
    <w:p w14:paraId="22BDF015" w14:textId="77777777" w:rsidR="007E2F9F" w:rsidRPr="00D55E3E" w:rsidRDefault="007E2F9F" w:rsidP="007E2F9F">
      <w:pPr>
        <w:ind w:left="-284"/>
        <w:jc w:val="both"/>
        <w:rPr>
          <w:rFonts w:ascii="Arial" w:hAnsi="Arial" w:cs="Arial"/>
          <w:b/>
          <w:sz w:val="28"/>
          <w:szCs w:val="28"/>
          <w:lang w:val="es-MX"/>
        </w:rPr>
      </w:pPr>
      <w:r w:rsidRPr="00D55E3E">
        <w:rPr>
          <w:rFonts w:ascii="Arial" w:hAnsi="Arial" w:cs="Arial"/>
          <w:b/>
          <w:sz w:val="28"/>
          <w:szCs w:val="28"/>
          <w:lang w:val="es-MX"/>
        </w:rPr>
        <w:t xml:space="preserve">223.- </w:t>
      </w:r>
      <w:r w:rsidRPr="00D55E3E">
        <w:rPr>
          <w:rFonts w:ascii="Arial" w:hAnsi="Arial" w:cs="Arial"/>
          <w:b/>
          <w:sz w:val="28"/>
          <w:szCs w:val="28"/>
        </w:rPr>
        <w:t>INSTITUTO NACIONAL PENITENCIARIO Y CARCELARIO – INPEC</w:t>
      </w:r>
      <w:r w:rsidRPr="00D55E3E">
        <w:rPr>
          <w:rFonts w:ascii="Arial" w:hAnsi="Arial" w:cs="Arial"/>
          <w:b/>
          <w:sz w:val="28"/>
          <w:szCs w:val="28"/>
          <w:lang w:val="es-MX"/>
        </w:rPr>
        <w:t>.</w:t>
      </w:r>
    </w:p>
    <w:p w14:paraId="6BB021AE" w14:textId="77777777" w:rsidR="007E2F9F" w:rsidRDefault="007E2F9F" w:rsidP="007E2F9F">
      <w:pPr>
        <w:ind w:left="-284" w:right="-234"/>
        <w:jc w:val="both"/>
        <w:rPr>
          <w:rFonts w:ascii="Arial" w:hAnsi="Arial" w:cs="Arial"/>
          <w:b/>
          <w:bCs/>
          <w:sz w:val="28"/>
          <w:szCs w:val="28"/>
          <w:lang w:val="es-MX"/>
        </w:rPr>
      </w:pPr>
    </w:p>
    <w:p w14:paraId="5F08F80F"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6214E5C"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6C80360"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19180A0C" w14:textId="77777777" w:rsidTr="006548F8">
        <w:tc>
          <w:tcPr>
            <w:tcW w:w="3544" w:type="dxa"/>
          </w:tcPr>
          <w:p w14:paraId="72365FB3"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2B025089"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12D87103"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14744062"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4AD69D3C" w14:textId="77777777" w:rsidR="007E2F9F" w:rsidRPr="00292B9C" w:rsidRDefault="007E2F9F" w:rsidP="006548F8">
            <w:pPr>
              <w:jc w:val="center"/>
              <w:rPr>
                <w:rFonts w:ascii="Arial" w:hAnsi="Arial" w:cs="Arial"/>
                <w:b/>
                <w:sz w:val="18"/>
                <w:szCs w:val="18"/>
                <w:lang w:val="es-ES_tradnl"/>
              </w:rPr>
            </w:pPr>
          </w:p>
        </w:tc>
        <w:tc>
          <w:tcPr>
            <w:tcW w:w="2354" w:type="dxa"/>
          </w:tcPr>
          <w:p w14:paraId="265AD207"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0538181C"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54019B2D"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5CAADF3E"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22433BD2"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085AA928"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01CF8E96" w14:textId="77777777" w:rsidTr="006548F8">
        <w:trPr>
          <w:trHeight w:val="230"/>
        </w:trPr>
        <w:tc>
          <w:tcPr>
            <w:tcW w:w="3544" w:type="dxa"/>
          </w:tcPr>
          <w:p w14:paraId="4A462FC5"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01A3885D"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1.874.569.073</w:t>
            </w:r>
          </w:p>
        </w:tc>
        <w:tc>
          <w:tcPr>
            <w:tcW w:w="2354" w:type="dxa"/>
          </w:tcPr>
          <w:p w14:paraId="79B30B8F"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1.844.075.173</w:t>
            </w:r>
          </w:p>
        </w:tc>
        <w:tc>
          <w:tcPr>
            <w:tcW w:w="2238" w:type="dxa"/>
          </w:tcPr>
          <w:p w14:paraId="64CF5A7E"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30.493.900</w:t>
            </w:r>
          </w:p>
        </w:tc>
      </w:tr>
      <w:tr w:rsidR="007E2F9F" w:rsidRPr="00292B9C" w14:paraId="6ACDB69E" w14:textId="77777777" w:rsidTr="006548F8">
        <w:trPr>
          <w:trHeight w:val="230"/>
        </w:trPr>
        <w:tc>
          <w:tcPr>
            <w:tcW w:w="3544" w:type="dxa"/>
          </w:tcPr>
          <w:p w14:paraId="129DB8C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47C7860A"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3.988.757</w:t>
            </w:r>
          </w:p>
        </w:tc>
        <w:tc>
          <w:tcPr>
            <w:tcW w:w="2354" w:type="dxa"/>
          </w:tcPr>
          <w:p w14:paraId="4C6DF7E3"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bCs/>
                <w:sz w:val="18"/>
                <w:szCs w:val="18"/>
                <w:lang w:val="es-CO"/>
              </w:rPr>
              <w:t>3.983.782</w:t>
            </w:r>
          </w:p>
        </w:tc>
        <w:tc>
          <w:tcPr>
            <w:tcW w:w="2238" w:type="dxa"/>
          </w:tcPr>
          <w:p w14:paraId="31CB9988"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b/>
                <w:sz w:val="18"/>
                <w:szCs w:val="18"/>
              </w:rPr>
              <w:t>4.976</w:t>
            </w:r>
          </w:p>
        </w:tc>
      </w:tr>
      <w:tr w:rsidR="007E2F9F" w:rsidRPr="00292B9C" w14:paraId="2251EB17" w14:textId="77777777" w:rsidTr="006548F8">
        <w:tc>
          <w:tcPr>
            <w:tcW w:w="3544" w:type="dxa"/>
          </w:tcPr>
          <w:p w14:paraId="70E3BEC9"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6C1B1ABB"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1.878.557.831</w:t>
            </w:r>
          </w:p>
        </w:tc>
        <w:tc>
          <w:tcPr>
            <w:tcW w:w="2354" w:type="dxa"/>
          </w:tcPr>
          <w:p w14:paraId="66DD5F8F"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1.848.058.955</w:t>
            </w:r>
          </w:p>
        </w:tc>
        <w:tc>
          <w:tcPr>
            <w:tcW w:w="2238" w:type="dxa"/>
          </w:tcPr>
          <w:p w14:paraId="55A7D2E1"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30.498.876</w:t>
            </w:r>
          </w:p>
        </w:tc>
      </w:tr>
    </w:tbl>
    <w:p w14:paraId="3BB493AB" w14:textId="77777777" w:rsidR="007E2F9F" w:rsidRDefault="007E2F9F" w:rsidP="007E2F9F">
      <w:pPr>
        <w:ind w:left="-284" w:right="-234"/>
        <w:jc w:val="both"/>
        <w:rPr>
          <w:rFonts w:ascii="Arial" w:hAnsi="Arial" w:cs="Arial"/>
          <w:b/>
          <w:bCs/>
          <w:sz w:val="28"/>
          <w:szCs w:val="28"/>
          <w:lang w:val="es-MX"/>
        </w:rPr>
      </w:pPr>
    </w:p>
    <w:p w14:paraId="1991D772" w14:textId="77777777" w:rsidR="007E2F9F" w:rsidRPr="00315227" w:rsidRDefault="007E2F9F" w:rsidP="007E2F9F">
      <w:pPr>
        <w:ind w:left="-284"/>
        <w:jc w:val="both"/>
        <w:rPr>
          <w:rFonts w:ascii="Arial" w:hAnsi="Arial" w:cs="Arial"/>
          <w:b/>
          <w:sz w:val="28"/>
          <w:szCs w:val="28"/>
          <w:lang w:val="es-MX"/>
        </w:rPr>
      </w:pPr>
      <w:bookmarkStart w:id="2" w:name="_Hlk202444513"/>
      <w:r w:rsidRPr="00315227">
        <w:rPr>
          <w:rFonts w:ascii="Arial" w:hAnsi="Arial" w:cs="Arial"/>
          <w:b/>
          <w:sz w:val="28"/>
          <w:szCs w:val="28"/>
          <w:lang w:val="es-MX"/>
        </w:rPr>
        <w:t>224.- MINISTERIO DE MINAS Y ENERGÍA.</w:t>
      </w:r>
    </w:p>
    <w:p w14:paraId="0B02FF78" w14:textId="77777777" w:rsidR="007E2F9F" w:rsidRPr="00315227" w:rsidRDefault="007E2F9F" w:rsidP="007E2F9F">
      <w:pPr>
        <w:jc w:val="both"/>
        <w:rPr>
          <w:rFonts w:ascii="Arial" w:hAnsi="Arial" w:cs="Arial"/>
          <w:b/>
          <w:sz w:val="28"/>
          <w:szCs w:val="28"/>
          <w:lang w:val="es-MX"/>
        </w:rPr>
      </w:pPr>
    </w:p>
    <w:bookmarkEnd w:id="2"/>
    <w:p w14:paraId="0D0F43E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DAD06A8"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1E519A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3B03CD3D" w14:textId="77777777" w:rsidTr="006548F8">
        <w:tc>
          <w:tcPr>
            <w:tcW w:w="3544" w:type="dxa"/>
          </w:tcPr>
          <w:p w14:paraId="1D16AFA2"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0A5C8CA8"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1B8CC25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0208CED1"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26F2CC6B" w14:textId="77777777" w:rsidR="007E2F9F" w:rsidRPr="00292B9C" w:rsidRDefault="007E2F9F" w:rsidP="006548F8">
            <w:pPr>
              <w:jc w:val="center"/>
              <w:rPr>
                <w:rFonts w:ascii="Arial" w:hAnsi="Arial" w:cs="Arial"/>
                <w:b/>
                <w:sz w:val="18"/>
                <w:szCs w:val="18"/>
                <w:lang w:val="es-ES_tradnl"/>
              </w:rPr>
            </w:pPr>
          </w:p>
        </w:tc>
        <w:tc>
          <w:tcPr>
            <w:tcW w:w="2354" w:type="dxa"/>
          </w:tcPr>
          <w:p w14:paraId="4B98E9F5"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4454389E"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6E0CCC5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7C08996B"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70F2A078"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27030C83"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368FA2A4" w14:textId="77777777" w:rsidTr="006548F8">
        <w:trPr>
          <w:trHeight w:val="230"/>
        </w:trPr>
        <w:tc>
          <w:tcPr>
            <w:tcW w:w="3544" w:type="dxa"/>
          </w:tcPr>
          <w:p w14:paraId="1BE57A39"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4D8EA71C"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166.340.046</w:t>
            </w:r>
          </w:p>
        </w:tc>
        <w:tc>
          <w:tcPr>
            <w:tcW w:w="2354" w:type="dxa"/>
          </w:tcPr>
          <w:p w14:paraId="74ADC52B"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157.769.111</w:t>
            </w:r>
          </w:p>
        </w:tc>
        <w:tc>
          <w:tcPr>
            <w:tcW w:w="2238" w:type="dxa"/>
          </w:tcPr>
          <w:p w14:paraId="49720752"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8.570.936</w:t>
            </w:r>
          </w:p>
        </w:tc>
      </w:tr>
      <w:tr w:rsidR="007E2F9F" w:rsidRPr="00292B9C" w14:paraId="37230B07" w14:textId="77777777" w:rsidTr="006548F8">
        <w:trPr>
          <w:trHeight w:val="230"/>
        </w:trPr>
        <w:tc>
          <w:tcPr>
            <w:tcW w:w="3544" w:type="dxa"/>
          </w:tcPr>
          <w:p w14:paraId="3F5F3CDA"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43AE57C7"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6.640.590.784</w:t>
            </w:r>
          </w:p>
        </w:tc>
        <w:tc>
          <w:tcPr>
            <w:tcW w:w="2354" w:type="dxa"/>
          </w:tcPr>
          <w:p w14:paraId="126A4C4E"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bCs/>
                <w:sz w:val="18"/>
                <w:szCs w:val="18"/>
                <w:lang w:val="es-CO"/>
              </w:rPr>
              <w:t>6.454.113.362</w:t>
            </w:r>
          </w:p>
        </w:tc>
        <w:tc>
          <w:tcPr>
            <w:tcW w:w="2238" w:type="dxa"/>
          </w:tcPr>
          <w:p w14:paraId="12FE0C1A"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b/>
                <w:sz w:val="18"/>
                <w:szCs w:val="18"/>
              </w:rPr>
              <w:t>186.477.423</w:t>
            </w:r>
          </w:p>
        </w:tc>
      </w:tr>
      <w:tr w:rsidR="007E2F9F" w:rsidRPr="00292B9C" w14:paraId="66D51D09" w14:textId="77777777" w:rsidTr="006548F8">
        <w:tc>
          <w:tcPr>
            <w:tcW w:w="3544" w:type="dxa"/>
          </w:tcPr>
          <w:p w14:paraId="566ACD41"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5A511BEA"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6.810.390.532</w:t>
            </w:r>
          </w:p>
        </w:tc>
        <w:tc>
          <w:tcPr>
            <w:tcW w:w="2354" w:type="dxa"/>
          </w:tcPr>
          <w:p w14:paraId="74A8D006"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6.615.342.174</w:t>
            </w:r>
          </w:p>
        </w:tc>
        <w:tc>
          <w:tcPr>
            <w:tcW w:w="2238" w:type="dxa"/>
          </w:tcPr>
          <w:p w14:paraId="0B41653A"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195.048.358</w:t>
            </w:r>
          </w:p>
        </w:tc>
      </w:tr>
    </w:tbl>
    <w:p w14:paraId="18C7E09A" w14:textId="77777777" w:rsidR="007E2F9F" w:rsidRDefault="007E2F9F" w:rsidP="007E2F9F">
      <w:pPr>
        <w:ind w:left="-284" w:right="-234"/>
        <w:jc w:val="both"/>
        <w:rPr>
          <w:rFonts w:ascii="Arial" w:hAnsi="Arial" w:cs="Arial"/>
          <w:b/>
          <w:bCs/>
          <w:sz w:val="28"/>
          <w:szCs w:val="28"/>
          <w:lang w:val="es-MX"/>
        </w:rPr>
      </w:pPr>
    </w:p>
    <w:p w14:paraId="470030DD" w14:textId="77777777" w:rsidR="007E2F9F" w:rsidRPr="008F1D26" w:rsidRDefault="007E2F9F" w:rsidP="007E2F9F">
      <w:pPr>
        <w:ind w:left="-284" w:right="-234"/>
        <w:jc w:val="both"/>
        <w:rPr>
          <w:rFonts w:ascii="Arial" w:hAnsi="Arial" w:cs="Arial"/>
          <w:b/>
          <w:sz w:val="28"/>
          <w:szCs w:val="28"/>
          <w:lang w:val="es-MX"/>
        </w:rPr>
      </w:pPr>
      <w:r w:rsidRPr="008F1D26">
        <w:rPr>
          <w:rFonts w:ascii="Arial" w:hAnsi="Arial" w:cs="Arial"/>
          <w:b/>
          <w:sz w:val="28"/>
          <w:szCs w:val="28"/>
          <w:lang w:val="es-MX"/>
        </w:rPr>
        <w:t>227.- DEPARTAMENTO ADMINISTRATIVO DE LA PRESIDENCIA DE LA REPÚBLICA – DAPRE.</w:t>
      </w:r>
    </w:p>
    <w:p w14:paraId="6D5F5B9C" w14:textId="77777777" w:rsidR="007E2F9F" w:rsidRDefault="007E2F9F" w:rsidP="007E2F9F">
      <w:pPr>
        <w:ind w:left="-284" w:right="-234"/>
        <w:jc w:val="both"/>
        <w:rPr>
          <w:rFonts w:ascii="Arial" w:hAnsi="Arial" w:cs="Arial"/>
          <w:b/>
          <w:bCs/>
          <w:sz w:val="28"/>
          <w:szCs w:val="28"/>
          <w:lang w:val="es-MX"/>
        </w:rPr>
      </w:pPr>
    </w:p>
    <w:p w14:paraId="7E4A5AE4"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58DDA56"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DFDD24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4BBFB519" w14:textId="77777777" w:rsidTr="006548F8">
        <w:tc>
          <w:tcPr>
            <w:tcW w:w="3544" w:type="dxa"/>
          </w:tcPr>
          <w:p w14:paraId="7D79FBF5"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4BC3EF59"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36C20139"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4BB5C405"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172DC544" w14:textId="77777777" w:rsidR="007E2F9F" w:rsidRPr="00292B9C" w:rsidRDefault="007E2F9F" w:rsidP="006548F8">
            <w:pPr>
              <w:jc w:val="center"/>
              <w:rPr>
                <w:rFonts w:ascii="Arial" w:hAnsi="Arial" w:cs="Arial"/>
                <w:b/>
                <w:sz w:val="18"/>
                <w:szCs w:val="18"/>
                <w:lang w:val="es-ES_tradnl"/>
              </w:rPr>
            </w:pPr>
          </w:p>
        </w:tc>
        <w:tc>
          <w:tcPr>
            <w:tcW w:w="2354" w:type="dxa"/>
          </w:tcPr>
          <w:p w14:paraId="51F58630"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5329BA0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02D2692D"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5D199386"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393D7405"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0598A35C"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78AA976F" w14:textId="77777777" w:rsidTr="006548F8">
        <w:trPr>
          <w:trHeight w:val="230"/>
        </w:trPr>
        <w:tc>
          <w:tcPr>
            <w:tcW w:w="3544" w:type="dxa"/>
          </w:tcPr>
          <w:p w14:paraId="14934E29"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722A38B5"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884.908.055</w:t>
            </w:r>
          </w:p>
        </w:tc>
        <w:tc>
          <w:tcPr>
            <w:tcW w:w="2354" w:type="dxa"/>
          </w:tcPr>
          <w:p w14:paraId="58CE7256"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868.192.006</w:t>
            </w:r>
          </w:p>
        </w:tc>
        <w:tc>
          <w:tcPr>
            <w:tcW w:w="2238" w:type="dxa"/>
          </w:tcPr>
          <w:p w14:paraId="03052D61"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16.716.048</w:t>
            </w:r>
          </w:p>
        </w:tc>
      </w:tr>
      <w:tr w:rsidR="007E2F9F" w:rsidRPr="00292B9C" w14:paraId="08512486" w14:textId="77777777" w:rsidTr="006548F8">
        <w:trPr>
          <w:trHeight w:val="230"/>
        </w:trPr>
        <w:tc>
          <w:tcPr>
            <w:tcW w:w="3544" w:type="dxa"/>
          </w:tcPr>
          <w:p w14:paraId="43807C2E"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3328CF0C"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617.934.472</w:t>
            </w:r>
          </w:p>
        </w:tc>
        <w:tc>
          <w:tcPr>
            <w:tcW w:w="2354" w:type="dxa"/>
          </w:tcPr>
          <w:p w14:paraId="3F9BCD23"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sz w:val="18"/>
                <w:szCs w:val="18"/>
                <w:lang w:val="es-CO"/>
              </w:rPr>
              <w:t>555.252.349</w:t>
            </w:r>
          </w:p>
        </w:tc>
        <w:tc>
          <w:tcPr>
            <w:tcW w:w="2238" w:type="dxa"/>
          </w:tcPr>
          <w:p w14:paraId="57198005"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b/>
                <w:sz w:val="18"/>
                <w:szCs w:val="18"/>
              </w:rPr>
              <w:t>62.682.122</w:t>
            </w:r>
          </w:p>
        </w:tc>
      </w:tr>
      <w:tr w:rsidR="007E2F9F" w:rsidRPr="00292B9C" w14:paraId="3963FAF8" w14:textId="77777777" w:rsidTr="006548F8">
        <w:tc>
          <w:tcPr>
            <w:tcW w:w="3544" w:type="dxa"/>
          </w:tcPr>
          <w:p w14:paraId="2BF2E0F4"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1FACB3EE"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1.502.842.526</w:t>
            </w:r>
          </w:p>
        </w:tc>
        <w:tc>
          <w:tcPr>
            <w:tcW w:w="2354" w:type="dxa"/>
          </w:tcPr>
          <w:p w14:paraId="3F7F6948"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1.423.444.356</w:t>
            </w:r>
          </w:p>
        </w:tc>
        <w:tc>
          <w:tcPr>
            <w:tcW w:w="2238" w:type="dxa"/>
          </w:tcPr>
          <w:p w14:paraId="15F6D55D"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79.398.171</w:t>
            </w:r>
          </w:p>
        </w:tc>
      </w:tr>
    </w:tbl>
    <w:p w14:paraId="4B9FE00C" w14:textId="77777777" w:rsidR="007E2F9F" w:rsidRDefault="007E2F9F" w:rsidP="007E2F9F">
      <w:pPr>
        <w:ind w:left="-284" w:right="-234"/>
        <w:jc w:val="both"/>
        <w:rPr>
          <w:rFonts w:ascii="Arial" w:hAnsi="Arial" w:cs="Arial"/>
          <w:b/>
          <w:bCs/>
          <w:sz w:val="28"/>
          <w:szCs w:val="28"/>
          <w:lang w:val="es-MX"/>
        </w:rPr>
      </w:pPr>
    </w:p>
    <w:p w14:paraId="4F631209" w14:textId="77777777" w:rsidR="007E2F9F" w:rsidRPr="00344677" w:rsidRDefault="007E2F9F" w:rsidP="007E2F9F">
      <w:pPr>
        <w:ind w:left="-284"/>
        <w:jc w:val="both"/>
        <w:rPr>
          <w:rFonts w:ascii="Arial" w:hAnsi="Arial" w:cs="Arial"/>
          <w:b/>
          <w:sz w:val="28"/>
          <w:szCs w:val="28"/>
          <w:lang w:val="es-MX"/>
        </w:rPr>
      </w:pPr>
      <w:r w:rsidRPr="00344677">
        <w:rPr>
          <w:rFonts w:ascii="Arial" w:hAnsi="Arial" w:cs="Arial"/>
          <w:b/>
          <w:sz w:val="28"/>
          <w:szCs w:val="28"/>
          <w:lang w:val="es-MX"/>
        </w:rPr>
        <w:t xml:space="preserve">229.- </w:t>
      </w:r>
      <w:r w:rsidRPr="00344677">
        <w:rPr>
          <w:rFonts w:ascii="Arial" w:hAnsi="Arial" w:cs="Arial"/>
          <w:b/>
          <w:sz w:val="28"/>
          <w:szCs w:val="28"/>
        </w:rPr>
        <w:t>CAJA DE RETIRO DE LAS FUERZAS MILITARES - CREMIL</w:t>
      </w:r>
      <w:r w:rsidRPr="00344677">
        <w:rPr>
          <w:rFonts w:ascii="Arial" w:hAnsi="Arial" w:cs="Arial"/>
          <w:b/>
          <w:sz w:val="28"/>
          <w:szCs w:val="28"/>
          <w:lang w:val="es-MX"/>
        </w:rPr>
        <w:t>.</w:t>
      </w:r>
    </w:p>
    <w:p w14:paraId="26B7CFC4" w14:textId="77777777" w:rsidR="007E2F9F" w:rsidRDefault="007E2F9F" w:rsidP="007E2F9F">
      <w:pPr>
        <w:ind w:left="-284" w:right="-234"/>
        <w:jc w:val="both"/>
        <w:rPr>
          <w:rFonts w:ascii="Arial" w:hAnsi="Arial" w:cs="Arial"/>
          <w:b/>
          <w:bCs/>
          <w:sz w:val="28"/>
          <w:szCs w:val="28"/>
          <w:lang w:val="es-MX"/>
        </w:rPr>
      </w:pPr>
    </w:p>
    <w:p w14:paraId="74AA6CA4"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916B2A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06CFCFCA"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049AD83A" w14:textId="77777777" w:rsidTr="006548F8">
        <w:tc>
          <w:tcPr>
            <w:tcW w:w="3544" w:type="dxa"/>
          </w:tcPr>
          <w:p w14:paraId="6D63312D"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11627F6A"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0ABEC6EC"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53E2152A"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2352C666" w14:textId="77777777" w:rsidR="007E2F9F" w:rsidRPr="00292B9C" w:rsidRDefault="007E2F9F" w:rsidP="006548F8">
            <w:pPr>
              <w:jc w:val="center"/>
              <w:rPr>
                <w:rFonts w:ascii="Arial" w:hAnsi="Arial" w:cs="Arial"/>
                <w:b/>
                <w:sz w:val="18"/>
                <w:szCs w:val="18"/>
                <w:lang w:val="es-ES_tradnl"/>
              </w:rPr>
            </w:pPr>
          </w:p>
        </w:tc>
        <w:tc>
          <w:tcPr>
            <w:tcW w:w="2354" w:type="dxa"/>
          </w:tcPr>
          <w:p w14:paraId="3991FE3D"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30D33311"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315AE2E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06BF7596"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7A0EC1C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232CB14F"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79E7DE5A" w14:textId="77777777" w:rsidTr="006548F8">
        <w:trPr>
          <w:trHeight w:val="230"/>
        </w:trPr>
        <w:tc>
          <w:tcPr>
            <w:tcW w:w="3544" w:type="dxa"/>
          </w:tcPr>
          <w:p w14:paraId="4365E936"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37B082AD"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6.672.799.013</w:t>
            </w:r>
          </w:p>
        </w:tc>
        <w:tc>
          <w:tcPr>
            <w:tcW w:w="2354" w:type="dxa"/>
          </w:tcPr>
          <w:p w14:paraId="0991FA52"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6.659.638.403</w:t>
            </w:r>
          </w:p>
        </w:tc>
        <w:tc>
          <w:tcPr>
            <w:tcW w:w="2238" w:type="dxa"/>
          </w:tcPr>
          <w:p w14:paraId="403CDC9A"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13.160.609</w:t>
            </w:r>
          </w:p>
        </w:tc>
      </w:tr>
      <w:tr w:rsidR="007E2F9F" w:rsidRPr="00292B9C" w14:paraId="50387195" w14:textId="77777777" w:rsidTr="006548F8">
        <w:trPr>
          <w:trHeight w:val="230"/>
        </w:trPr>
        <w:tc>
          <w:tcPr>
            <w:tcW w:w="3544" w:type="dxa"/>
          </w:tcPr>
          <w:p w14:paraId="4F4A1DCD"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69662C18"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17.308.000</w:t>
            </w:r>
          </w:p>
        </w:tc>
        <w:tc>
          <w:tcPr>
            <w:tcW w:w="2354" w:type="dxa"/>
          </w:tcPr>
          <w:p w14:paraId="0FB680C5"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sz w:val="18"/>
                <w:szCs w:val="18"/>
                <w:lang w:val="es-CO"/>
              </w:rPr>
              <w:t>16.833.017</w:t>
            </w:r>
          </w:p>
        </w:tc>
        <w:tc>
          <w:tcPr>
            <w:tcW w:w="2238" w:type="dxa"/>
          </w:tcPr>
          <w:p w14:paraId="6776B631"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b/>
                <w:sz w:val="18"/>
                <w:szCs w:val="18"/>
              </w:rPr>
              <w:t>474.983</w:t>
            </w:r>
          </w:p>
        </w:tc>
      </w:tr>
      <w:tr w:rsidR="007E2F9F" w:rsidRPr="00292B9C" w14:paraId="5E668473" w14:textId="77777777" w:rsidTr="006548F8">
        <w:tc>
          <w:tcPr>
            <w:tcW w:w="3544" w:type="dxa"/>
          </w:tcPr>
          <w:p w14:paraId="206A3DAB"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26CC891D"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6.690.107.013</w:t>
            </w:r>
          </w:p>
        </w:tc>
        <w:tc>
          <w:tcPr>
            <w:tcW w:w="2354" w:type="dxa"/>
          </w:tcPr>
          <w:p w14:paraId="0FB4D5A9"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6.676.471.420</w:t>
            </w:r>
          </w:p>
        </w:tc>
        <w:tc>
          <w:tcPr>
            <w:tcW w:w="2238" w:type="dxa"/>
          </w:tcPr>
          <w:p w14:paraId="277569BF"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13.635.592</w:t>
            </w:r>
          </w:p>
        </w:tc>
      </w:tr>
    </w:tbl>
    <w:p w14:paraId="1DF4153C" w14:textId="77777777" w:rsidR="007E2F9F" w:rsidRDefault="007E2F9F" w:rsidP="007E2F9F">
      <w:pPr>
        <w:ind w:left="-284" w:right="-234"/>
        <w:jc w:val="both"/>
        <w:rPr>
          <w:rFonts w:ascii="Arial" w:hAnsi="Arial" w:cs="Arial"/>
          <w:b/>
          <w:bCs/>
          <w:sz w:val="28"/>
          <w:szCs w:val="28"/>
          <w:lang w:val="es-MX"/>
        </w:rPr>
      </w:pPr>
    </w:p>
    <w:p w14:paraId="37DF5007" w14:textId="77777777" w:rsidR="007E2F9F" w:rsidRPr="00BB3125" w:rsidRDefault="007E2F9F" w:rsidP="007E2F9F">
      <w:pPr>
        <w:ind w:left="-284" w:right="-234"/>
        <w:jc w:val="both"/>
        <w:rPr>
          <w:rFonts w:ascii="Arial" w:hAnsi="Arial" w:cs="Arial"/>
          <w:b/>
          <w:sz w:val="28"/>
          <w:szCs w:val="28"/>
          <w:lang w:val="es-MX"/>
        </w:rPr>
      </w:pPr>
      <w:r w:rsidRPr="00BB3125">
        <w:rPr>
          <w:rFonts w:ascii="Arial" w:hAnsi="Arial" w:cs="Arial"/>
          <w:b/>
          <w:sz w:val="28"/>
          <w:szCs w:val="28"/>
          <w:lang w:val="es-MX"/>
        </w:rPr>
        <w:t xml:space="preserve">241.- </w:t>
      </w:r>
      <w:r w:rsidRPr="00BB3125">
        <w:rPr>
          <w:rFonts w:ascii="Arial" w:hAnsi="Arial" w:cs="Arial"/>
          <w:b/>
          <w:sz w:val="28"/>
          <w:szCs w:val="28"/>
        </w:rPr>
        <w:t>CORPORACIÓN AUTÓNOMA REGIONAL PARA EL DESARROLLO SOSTENIBLE DEL CHOCÓ - CODECHOCÓ</w:t>
      </w:r>
      <w:r w:rsidRPr="00BB3125">
        <w:rPr>
          <w:rFonts w:ascii="Arial" w:hAnsi="Arial" w:cs="Arial"/>
          <w:b/>
          <w:sz w:val="28"/>
          <w:szCs w:val="28"/>
          <w:lang w:val="es-MX"/>
        </w:rPr>
        <w:t>.</w:t>
      </w:r>
    </w:p>
    <w:p w14:paraId="0D0DDCFC" w14:textId="77777777" w:rsidR="007E2F9F" w:rsidRDefault="007E2F9F" w:rsidP="007E2F9F">
      <w:pPr>
        <w:ind w:left="-284" w:right="-234"/>
        <w:jc w:val="both"/>
        <w:rPr>
          <w:rFonts w:ascii="Arial" w:hAnsi="Arial" w:cs="Arial"/>
          <w:b/>
          <w:bCs/>
          <w:sz w:val="28"/>
          <w:szCs w:val="28"/>
          <w:lang w:val="es-MX"/>
        </w:rPr>
      </w:pPr>
    </w:p>
    <w:p w14:paraId="67E36B1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A9120E3"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CA766C7"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66D3091F" w14:textId="77777777" w:rsidTr="006548F8">
        <w:tc>
          <w:tcPr>
            <w:tcW w:w="3544" w:type="dxa"/>
          </w:tcPr>
          <w:p w14:paraId="4D1EB09E"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2D6A6C73"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66CF4374"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385BA483"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2EC31A98" w14:textId="77777777" w:rsidR="007E2F9F" w:rsidRPr="00292B9C" w:rsidRDefault="007E2F9F" w:rsidP="006548F8">
            <w:pPr>
              <w:jc w:val="center"/>
              <w:rPr>
                <w:rFonts w:ascii="Arial" w:hAnsi="Arial" w:cs="Arial"/>
                <w:b/>
                <w:sz w:val="18"/>
                <w:szCs w:val="18"/>
                <w:lang w:val="es-ES_tradnl"/>
              </w:rPr>
            </w:pPr>
          </w:p>
        </w:tc>
        <w:tc>
          <w:tcPr>
            <w:tcW w:w="2354" w:type="dxa"/>
          </w:tcPr>
          <w:p w14:paraId="0DE00D5E"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676D81F3"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6F1F26F5"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1926837C"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758EF6E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08A2C101"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5A8A2338" w14:textId="77777777" w:rsidTr="006548F8">
        <w:trPr>
          <w:trHeight w:val="230"/>
        </w:trPr>
        <w:tc>
          <w:tcPr>
            <w:tcW w:w="3544" w:type="dxa"/>
          </w:tcPr>
          <w:p w14:paraId="4911C839"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4A3B0401"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3.663.548</w:t>
            </w:r>
          </w:p>
        </w:tc>
        <w:tc>
          <w:tcPr>
            <w:tcW w:w="2354" w:type="dxa"/>
          </w:tcPr>
          <w:p w14:paraId="55157746"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3.638.207</w:t>
            </w:r>
          </w:p>
        </w:tc>
        <w:tc>
          <w:tcPr>
            <w:tcW w:w="2238" w:type="dxa"/>
          </w:tcPr>
          <w:p w14:paraId="338D9B4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25.342</w:t>
            </w:r>
          </w:p>
        </w:tc>
      </w:tr>
      <w:tr w:rsidR="007E2F9F" w:rsidRPr="00292B9C" w14:paraId="68C93FBB" w14:textId="77777777" w:rsidTr="006548F8">
        <w:trPr>
          <w:trHeight w:val="230"/>
        </w:trPr>
        <w:tc>
          <w:tcPr>
            <w:tcW w:w="3544" w:type="dxa"/>
          </w:tcPr>
          <w:p w14:paraId="0075F8E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48DB9748"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7.177.208</w:t>
            </w:r>
          </w:p>
        </w:tc>
        <w:tc>
          <w:tcPr>
            <w:tcW w:w="2354" w:type="dxa"/>
          </w:tcPr>
          <w:p w14:paraId="2B477050"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bCs/>
                <w:sz w:val="18"/>
                <w:szCs w:val="18"/>
                <w:lang w:val="es-CO"/>
              </w:rPr>
              <w:t>7.177.208</w:t>
            </w:r>
          </w:p>
        </w:tc>
        <w:tc>
          <w:tcPr>
            <w:tcW w:w="2238" w:type="dxa"/>
          </w:tcPr>
          <w:p w14:paraId="6EAC731E"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b/>
                <w:sz w:val="18"/>
                <w:szCs w:val="18"/>
              </w:rPr>
              <w:t>0</w:t>
            </w:r>
          </w:p>
        </w:tc>
      </w:tr>
      <w:tr w:rsidR="007E2F9F" w:rsidRPr="00292B9C" w14:paraId="72266AC3" w14:textId="77777777" w:rsidTr="006548F8">
        <w:tc>
          <w:tcPr>
            <w:tcW w:w="3544" w:type="dxa"/>
          </w:tcPr>
          <w:p w14:paraId="0B9ED043"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66A86052"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10.840.756</w:t>
            </w:r>
          </w:p>
        </w:tc>
        <w:tc>
          <w:tcPr>
            <w:tcW w:w="2354" w:type="dxa"/>
          </w:tcPr>
          <w:p w14:paraId="64841CA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10.815.416</w:t>
            </w:r>
          </w:p>
        </w:tc>
        <w:tc>
          <w:tcPr>
            <w:tcW w:w="2238" w:type="dxa"/>
          </w:tcPr>
          <w:p w14:paraId="3B4C1DF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25.342</w:t>
            </w:r>
          </w:p>
        </w:tc>
      </w:tr>
    </w:tbl>
    <w:p w14:paraId="46DAB978" w14:textId="77777777" w:rsidR="007E2F9F" w:rsidRDefault="007E2F9F" w:rsidP="007E2F9F">
      <w:pPr>
        <w:ind w:left="-284" w:right="-234"/>
        <w:jc w:val="both"/>
        <w:rPr>
          <w:rFonts w:ascii="Arial" w:hAnsi="Arial" w:cs="Arial"/>
          <w:b/>
          <w:bCs/>
          <w:sz w:val="28"/>
          <w:szCs w:val="28"/>
          <w:lang w:val="es-MX"/>
        </w:rPr>
      </w:pPr>
    </w:p>
    <w:p w14:paraId="500A0988" w14:textId="77777777" w:rsidR="007E2F9F" w:rsidRPr="003356FC" w:rsidRDefault="007E2F9F" w:rsidP="007E2F9F">
      <w:pPr>
        <w:ind w:left="-284"/>
        <w:jc w:val="both"/>
        <w:rPr>
          <w:rFonts w:ascii="Arial" w:hAnsi="Arial" w:cs="Arial"/>
          <w:b/>
          <w:sz w:val="28"/>
          <w:szCs w:val="28"/>
          <w:lang w:val="es-MX"/>
        </w:rPr>
      </w:pPr>
      <w:r w:rsidRPr="003356FC">
        <w:rPr>
          <w:rFonts w:ascii="Arial" w:hAnsi="Arial" w:cs="Arial"/>
          <w:b/>
          <w:sz w:val="28"/>
          <w:szCs w:val="28"/>
          <w:lang w:val="es-MX"/>
        </w:rPr>
        <w:t xml:space="preserve">247.- INSTITUTO NACIONAL DE VIGILANCIA DE MEDICAMENTOS Y ALIMENTOS – INVIMA. </w:t>
      </w:r>
    </w:p>
    <w:p w14:paraId="2C1C978D" w14:textId="77777777" w:rsidR="007E2F9F" w:rsidRPr="003356FC" w:rsidRDefault="007E2F9F" w:rsidP="007E2F9F">
      <w:pPr>
        <w:ind w:left="-284" w:right="-234"/>
        <w:jc w:val="both"/>
        <w:rPr>
          <w:rFonts w:ascii="Arial" w:hAnsi="Arial" w:cs="Arial"/>
          <w:b/>
          <w:bCs/>
          <w:sz w:val="28"/>
          <w:szCs w:val="28"/>
          <w:lang w:val="es-MX"/>
        </w:rPr>
      </w:pPr>
    </w:p>
    <w:p w14:paraId="5FEEBA56"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46F6555"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08F63E5"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08132101" w14:textId="77777777" w:rsidTr="006548F8">
        <w:tc>
          <w:tcPr>
            <w:tcW w:w="3544" w:type="dxa"/>
          </w:tcPr>
          <w:p w14:paraId="37F7FEE4"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3FFA3B3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7DBF2E6E"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2A6536A9"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07EEBF40" w14:textId="77777777" w:rsidR="007E2F9F" w:rsidRPr="00292B9C" w:rsidRDefault="007E2F9F" w:rsidP="006548F8">
            <w:pPr>
              <w:jc w:val="center"/>
              <w:rPr>
                <w:rFonts w:ascii="Arial" w:hAnsi="Arial" w:cs="Arial"/>
                <w:b/>
                <w:sz w:val="18"/>
                <w:szCs w:val="18"/>
                <w:lang w:val="es-ES_tradnl"/>
              </w:rPr>
            </w:pPr>
          </w:p>
        </w:tc>
        <w:tc>
          <w:tcPr>
            <w:tcW w:w="2354" w:type="dxa"/>
          </w:tcPr>
          <w:p w14:paraId="6D2BA329"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lastRenderedPageBreak/>
              <w:t>EJECUCIÓN</w:t>
            </w:r>
          </w:p>
          <w:p w14:paraId="3E1F3C7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4F5FF36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2F09A384"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1FD2C46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73C5D89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359E9737" w14:textId="77777777" w:rsidTr="006548F8">
        <w:trPr>
          <w:trHeight w:val="230"/>
        </w:trPr>
        <w:tc>
          <w:tcPr>
            <w:tcW w:w="3544" w:type="dxa"/>
          </w:tcPr>
          <w:p w14:paraId="60E5D87C"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vAlign w:val="bottom"/>
          </w:tcPr>
          <w:p w14:paraId="6CAF04EE"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sz w:val="18"/>
                <w:szCs w:val="18"/>
              </w:rPr>
              <w:t>150.751.943</w:t>
            </w:r>
          </w:p>
        </w:tc>
        <w:tc>
          <w:tcPr>
            <w:tcW w:w="2354" w:type="dxa"/>
            <w:vAlign w:val="bottom"/>
          </w:tcPr>
          <w:p w14:paraId="115D1048"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145.523.627</w:t>
            </w:r>
          </w:p>
        </w:tc>
        <w:tc>
          <w:tcPr>
            <w:tcW w:w="2238" w:type="dxa"/>
            <w:vAlign w:val="bottom"/>
          </w:tcPr>
          <w:p w14:paraId="3A464A56"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5.228.316</w:t>
            </w:r>
          </w:p>
        </w:tc>
      </w:tr>
      <w:tr w:rsidR="007E2F9F" w:rsidRPr="00292B9C" w14:paraId="415D3645" w14:textId="77777777" w:rsidTr="006548F8">
        <w:trPr>
          <w:trHeight w:val="230"/>
        </w:trPr>
        <w:tc>
          <w:tcPr>
            <w:tcW w:w="3544" w:type="dxa"/>
          </w:tcPr>
          <w:p w14:paraId="201BE7E2"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vAlign w:val="bottom"/>
          </w:tcPr>
          <w:p w14:paraId="699B86D7"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color w:val="000000"/>
                <w:sz w:val="18"/>
                <w:szCs w:val="18"/>
              </w:rPr>
              <w:t>94.135.686</w:t>
            </w:r>
          </w:p>
        </w:tc>
        <w:tc>
          <w:tcPr>
            <w:tcW w:w="2354" w:type="dxa"/>
            <w:vAlign w:val="bottom"/>
          </w:tcPr>
          <w:p w14:paraId="0E90D9B9"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hAnsi="Arial" w:cs="Arial"/>
                <w:color w:val="000000"/>
                <w:sz w:val="18"/>
                <w:szCs w:val="18"/>
              </w:rPr>
              <w:t>84.892.551</w:t>
            </w:r>
          </w:p>
        </w:tc>
        <w:tc>
          <w:tcPr>
            <w:tcW w:w="2238" w:type="dxa"/>
            <w:vAlign w:val="bottom"/>
          </w:tcPr>
          <w:p w14:paraId="65FD4C19"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color w:val="000000"/>
                <w:sz w:val="18"/>
                <w:szCs w:val="18"/>
              </w:rPr>
              <w:t>9.243.135</w:t>
            </w:r>
          </w:p>
        </w:tc>
      </w:tr>
      <w:tr w:rsidR="007E2F9F" w:rsidRPr="00292B9C" w14:paraId="4F1BF7CE" w14:textId="77777777" w:rsidTr="006548F8">
        <w:tc>
          <w:tcPr>
            <w:tcW w:w="3544" w:type="dxa"/>
          </w:tcPr>
          <w:p w14:paraId="2FF7D114"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vAlign w:val="bottom"/>
          </w:tcPr>
          <w:p w14:paraId="511CC834"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244.887.629</w:t>
            </w:r>
          </w:p>
        </w:tc>
        <w:tc>
          <w:tcPr>
            <w:tcW w:w="2354" w:type="dxa"/>
            <w:vAlign w:val="bottom"/>
          </w:tcPr>
          <w:p w14:paraId="583947DC"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230.416.178</w:t>
            </w:r>
          </w:p>
        </w:tc>
        <w:tc>
          <w:tcPr>
            <w:tcW w:w="2238" w:type="dxa"/>
            <w:vAlign w:val="bottom"/>
          </w:tcPr>
          <w:p w14:paraId="28869C03"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14.471.451</w:t>
            </w:r>
          </w:p>
        </w:tc>
      </w:tr>
    </w:tbl>
    <w:p w14:paraId="06419C9A" w14:textId="77777777" w:rsidR="008A43C3" w:rsidRDefault="008A43C3" w:rsidP="007E2F9F">
      <w:pPr>
        <w:ind w:left="-284"/>
        <w:jc w:val="both"/>
        <w:rPr>
          <w:rFonts w:ascii="Arial" w:hAnsi="Arial" w:cs="Arial"/>
          <w:b/>
          <w:sz w:val="28"/>
          <w:szCs w:val="28"/>
          <w:lang w:val="es-MX"/>
        </w:rPr>
      </w:pPr>
    </w:p>
    <w:p w14:paraId="7EFE7612" w14:textId="2F73BDB5" w:rsidR="007E2F9F" w:rsidRPr="00674FEC" w:rsidRDefault="007E2F9F" w:rsidP="007E2F9F">
      <w:pPr>
        <w:ind w:left="-284"/>
        <w:jc w:val="both"/>
        <w:rPr>
          <w:rFonts w:ascii="Arial" w:hAnsi="Arial" w:cs="Arial"/>
          <w:b/>
          <w:sz w:val="28"/>
          <w:szCs w:val="28"/>
          <w:lang w:val="es-MX"/>
        </w:rPr>
      </w:pPr>
      <w:r w:rsidRPr="00674FEC">
        <w:rPr>
          <w:rFonts w:ascii="Arial" w:hAnsi="Arial" w:cs="Arial"/>
          <w:b/>
          <w:sz w:val="28"/>
          <w:szCs w:val="28"/>
          <w:lang w:val="es-MX"/>
        </w:rPr>
        <w:t>250.- MINISTERIO DE COMERCIO, INDUSTRIA Y TURISMO – MINCIT.</w:t>
      </w:r>
    </w:p>
    <w:p w14:paraId="03048163" w14:textId="77777777" w:rsidR="007E2F9F" w:rsidRDefault="007E2F9F" w:rsidP="007E2F9F">
      <w:pPr>
        <w:ind w:left="-284" w:right="-234"/>
        <w:jc w:val="both"/>
        <w:rPr>
          <w:rFonts w:ascii="Arial" w:hAnsi="Arial" w:cs="Arial"/>
          <w:b/>
          <w:bCs/>
          <w:sz w:val="28"/>
          <w:szCs w:val="28"/>
          <w:lang w:val="es-MX"/>
        </w:rPr>
      </w:pPr>
    </w:p>
    <w:p w14:paraId="5EE4555B"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8AB6C35"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3633087"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4ABE4AD6" w14:textId="77777777" w:rsidTr="006548F8">
        <w:tc>
          <w:tcPr>
            <w:tcW w:w="3544" w:type="dxa"/>
          </w:tcPr>
          <w:p w14:paraId="6F498DDF"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73D49440"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3D485F59"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1C7EBC2A"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45056123" w14:textId="77777777" w:rsidR="007E2F9F" w:rsidRPr="00292B9C" w:rsidRDefault="007E2F9F" w:rsidP="006548F8">
            <w:pPr>
              <w:jc w:val="center"/>
              <w:rPr>
                <w:rFonts w:ascii="Arial" w:hAnsi="Arial" w:cs="Arial"/>
                <w:b/>
                <w:sz w:val="18"/>
                <w:szCs w:val="18"/>
                <w:lang w:val="es-ES_tradnl"/>
              </w:rPr>
            </w:pPr>
          </w:p>
        </w:tc>
        <w:tc>
          <w:tcPr>
            <w:tcW w:w="2354" w:type="dxa"/>
          </w:tcPr>
          <w:p w14:paraId="7A6C594C"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29AAB3CB"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14C03DE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2E138183"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3D5C5A14"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1AF882C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2BDF78ED" w14:textId="77777777" w:rsidTr="006548F8">
        <w:trPr>
          <w:trHeight w:val="230"/>
        </w:trPr>
        <w:tc>
          <w:tcPr>
            <w:tcW w:w="3544" w:type="dxa"/>
          </w:tcPr>
          <w:p w14:paraId="0149CA37"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vAlign w:val="bottom"/>
          </w:tcPr>
          <w:p w14:paraId="06DF44A0"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sz w:val="18"/>
                <w:szCs w:val="18"/>
              </w:rPr>
              <w:t>737.715.044,81</w:t>
            </w:r>
          </w:p>
        </w:tc>
        <w:tc>
          <w:tcPr>
            <w:tcW w:w="2354" w:type="dxa"/>
            <w:vAlign w:val="bottom"/>
          </w:tcPr>
          <w:p w14:paraId="3E585AC9"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728.380.323,54</w:t>
            </w:r>
          </w:p>
        </w:tc>
        <w:tc>
          <w:tcPr>
            <w:tcW w:w="2238" w:type="dxa"/>
            <w:vAlign w:val="bottom"/>
          </w:tcPr>
          <w:p w14:paraId="5E9F99E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9.334.721,27</w:t>
            </w:r>
          </w:p>
        </w:tc>
      </w:tr>
      <w:tr w:rsidR="007E2F9F" w:rsidRPr="00292B9C" w14:paraId="76E09658" w14:textId="77777777" w:rsidTr="006548F8">
        <w:trPr>
          <w:trHeight w:val="230"/>
        </w:trPr>
        <w:tc>
          <w:tcPr>
            <w:tcW w:w="3544" w:type="dxa"/>
          </w:tcPr>
          <w:p w14:paraId="372EDF4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vAlign w:val="bottom"/>
          </w:tcPr>
          <w:p w14:paraId="1C39B0EB"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color w:val="000000"/>
                <w:sz w:val="18"/>
                <w:szCs w:val="18"/>
              </w:rPr>
              <w:t>174.877.801,77</w:t>
            </w:r>
          </w:p>
        </w:tc>
        <w:tc>
          <w:tcPr>
            <w:tcW w:w="2354" w:type="dxa"/>
            <w:vAlign w:val="bottom"/>
          </w:tcPr>
          <w:p w14:paraId="6C44EB54"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hAnsi="Arial" w:cs="Arial"/>
                <w:color w:val="000000"/>
                <w:sz w:val="18"/>
                <w:szCs w:val="18"/>
              </w:rPr>
              <w:t>171.497.516,93</w:t>
            </w:r>
          </w:p>
        </w:tc>
        <w:tc>
          <w:tcPr>
            <w:tcW w:w="2238" w:type="dxa"/>
            <w:vAlign w:val="bottom"/>
          </w:tcPr>
          <w:p w14:paraId="2B04EC0E"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color w:val="000000"/>
                <w:sz w:val="18"/>
                <w:szCs w:val="18"/>
              </w:rPr>
              <w:t>3.380.284,84</w:t>
            </w:r>
          </w:p>
        </w:tc>
      </w:tr>
      <w:tr w:rsidR="007E2F9F" w:rsidRPr="00292B9C" w14:paraId="417CD982" w14:textId="77777777" w:rsidTr="006548F8">
        <w:tc>
          <w:tcPr>
            <w:tcW w:w="3544" w:type="dxa"/>
          </w:tcPr>
          <w:p w14:paraId="20F4B631"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vAlign w:val="bottom"/>
          </w:tcPr>
          <w:p w14:paraId="66FE31F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912.592.846,59</w:t>
            </w:r>
          </w:p>
        </w:tc>
        <w:tc>
          <w:tcPr>
            <w:tcW w:w="2354" w:type="dxa"/>
            <w:vAlign w:val="bottom"/>
          </w:tcPr>
          <w:p w14:paraId="40CFCB77"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899.877.840,47</w:t>
            </w:r>
          </w:p>
        </w:tc>
        <w:tc>
          <w:tcPr>
            <w:tcW w:w="2238" w:type="dxa"/>
            <w:vAlign w:val="bottom"/>
          </w:tcPr>
          <w:p w14:paraId="7EBD5BEF"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12.715.006,11</w:t>
            </w:r>
          </w:p>
        </w:tc>
      </w:tr>
    </w:tbl>
    <w:p w14:paraId="6DB12977" w14:textId="77777777" w:rsidR="007E2F9F" w:rsidRDefault="007E2F9F" w:rsidP="007E2F9F">
      <w:pPr>
        <w:ind w:left="-284" w:right="-234"/>
        <w:jc w:val="both"/>
        <w:rPr>
          <w:rFonts w:ascii="Arial" w:hAnsi="Arial" w:cs="Arial"/>
          <w:b/>
          <w:bCs/>
          <w:sz w:val="28"/>
          <w:szCs w:val="28"/>
          <w:lang w:val="es-MX"/>
        </w:rPr>
      </w:pPr>
    </w:p>
    <w:p w14:paraId="4090A0E2" w14:textId="77777777" w:rsidR="007E2F9F" w:rsidRPr="00C200E5" w:rsidRDefault="007E2F9F" w:rsidP="007E2F9F">
      <w:pPr>
        <w:ind w:left="-284" w:right="-234"/>
        <w:jc w:val="both"/>
        <w:rPr>
          <w:rFonts w:ascii="Arial" w:hAnsi="Arial" w:cs="Arial"/>
          <w:b/>
          <w:sz w:val="28"/>
          <w:szCs w:val="28"/>
          <w:lang w:val="es-MX"/>
        </w:rPr>
      </w:pPr>
      <w:r w:rsidRPr="00C200E5">
        <w:rPr>
          <w:rFonts w:ascii="Arial" w:hAnsi="Arial" w:cs="Arial"/>
          <w:b/>
          <w:sz w:val="28"/>
          <w:szCs w:val="28"/>
          <w:lang w:val="es-MX"/>
        </w:rPr>
        <w:t>253.- UNIDAD PARA LA ATENCIÓN Y REPARACIÓN INTEGRAL A LAS VÍCTIMAS.</w:t>
      </w:r>
    </w:p>
    <w:p w14:paraId="0778D240" w14:textId="77777777" w:rsidR="007E2F9F" w:rsidRDefault="007E2F9F" w:rsidP="007E2F9F">
      <w:pPr>
        <w:ind w:left="-284" w:right="-234"/>
        <w:jc w:val="both"/>
        <w:rPr>
          <w:rFonts w:ascii="Arial" w:hAnsi="Arial" w:cs="Arial"/>
          <w:b/>
          <w:bCs/>
          <w:sz w:val="28"/>
          <w:szCs w:val="28"/>
          <w:lang w:val="es-MX"/>
        </w:rPr>
      </w:pPr>
    </w:p>
    <w:p w14:paraId="4126940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00A9669"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138EBE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66DD7B16" w14:textId="77777777" w:rsidTr="006548F8">
        <w:tc>
          <w:tcPr>
            <w:tcW w:w="3544" w:type="dxa"/>
          </w:tcPr>
          <w:p w14:paraId="6FBEA168"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7F430BDD"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4A2B0B81"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70653531"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75B69720" w14:textId="77777777" w:rsidR="007E2F9F" w:rsidRPr="00292B9C" w:rsidRDefault="007E2F9F" w:rsidP="006548F8">
            <w:pPr>
              <w:jc w:val="center"/>
              <w:rPr>
                <w:rFonts w:ascii="Arial" w:hAnsi="Arial" w:cs="Arial"/>
                <w:b/>
                <w:sz w:val="18"/>
                <w:szCs w:val="18"/>
                <w:lang w:val="es-ES_tradnl"/>
              </w:rPr>
            </w:pPr>
          </w:p>
        </w:tc>
        <w:tc>
          <w:tcPr>
            <w:tcW w:w="2354" w:type="dxa"/>
          </w:tcPr>
          <w:p w14:paraId="78D0B06A"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790CD435"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7C35DF4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39C38188"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1C4D170D"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5479FCA0"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7C43CCCD" w14:textId="77777777" w:rsidTr="006548F8">
        <w:trPr>
          <w:trHeight w:val="230"/>
        </w:trPr>
        <w:tc>
          <w:tcPr>
            <w:tcW w:w="3544" w:type="dxa"/>
          </w:tcPr>
          <w:p w14:paraId="59C7E996"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vAlign w:val="bottom"/>
          </w:tcPr>
          <w:p w14:paraId="6558FD3A"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sz w:val="18"/>
                <w:szCs w:val="18"/>
              </w:rPr>
              <w:t>2.006.025.832,59</w:t>
            </w:r>
          </w:p>
        </w:tc>
        <w:tc>
          <w:tcPr>
            <w:tcW w:w="2354" w:type="dxa"/>
            <w:vAlign w:val="bottom"/>
          </w:tcPr>
          <w:p w14:paraId="21F77CD4"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1.917.141.177,43</w:t>
            </w:r>
          </w:p>
        </w:tc>
        <w:tc>
          <w:tcPr>
            <w:tcW w:w="2238" w:type="dxa"/>
            <w:vAlign w:val="bottom"/>
          </w:tcPr>
          <w:p w14:paraId="2E7C93EE"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88.884.655,15</w:t>
            </w:r>
          </w:p>
        </w:tc>
      </w:tr>
      <w:tr w:rsidR="007E2F9F" w:rsidRPr="00292B9C" w14:paraId="2D174893" w14:textId="77777777" w:rsidTr="006548F8">
        <w:trPr>
          <w:trHeight w:val="230"/>
        </w:trPr>
        <w:tc>
          <w:tcPr>
            <w:tcW w:w="3544" w:type="dxa"/>
          </w:tcPr>
          <w:p w14:paraId="5014CF48"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vAlign w:val="bottom"/>
          </w:tcPr>
          <w:p w14:paraId="4960CBE8"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color w:val="000000"/>
                <w:sz w:val="18"/>
                <w:szCs w:val="18"/>
              </w:rPr>
              <w:t>2.383.984.858,34</w:t>
            </w:r>
          </w:p>
        </w:tc>
        <w:tc>
          <w:tcPr>
            <w:tcW w:w="2354" w:type="dxa"/>
            <w:vAlign w:val="bottom"/>
          </w:tcPr>
          <w:p w14:paraId="217B5973"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hAnsi="Arial" w:cs="Arial"/>
                <w:color w:val="000000"/>
                <w:sz w:val="18"/>
                <w:szCs w:val="18"/>
              </w:rPr>
              <w:t>2.344.567.615,50</w:t>
            </w:r>
          </w:p>
        </w:tc>
        <w:tc>
          <w:tcPr>
            <w:tcW w:w="2238" w:type="dxa"/>
            <w:vAlign w:val="bottom"/>
          </w:tcPr>
          <w:p w14:paraId="14236646"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color w:val="000000"/>
                <w:sz w:val="18"/>
                <w:szCs w:val="18"/>
              </w:rPr>
              <w:t>39.417.242,84</w:t>
            </w:r>
          </w:p>
        </w:tc>
      </w:tr>
      <w:tr w:rsidR="007E2F9F" w:rsidRPr="00292B9C" w14:paraId="2FDAFC5F" w14:textId="77777777" w:rsidTr="006548F8">
        <w:tc>
          <w:tcPr>
            <w:tcW w:w="3544" w:type="dxa"/>
          </w:tcPr>
          <w:p w14:paraId="7147EB44"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vAlign w:val="bottom"/>
          </w:tcPr>
          <w:p w14:paraId="6F1994EC"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4.390.010.690,93</w:t>
            </w:r>
          </w:p>
        </w:tc>
        <w:tc>
          <w:tcPr>
            <w:tcW w:w="2354" w:type="dxa"/>
            <w:vAlign w:val="bottom"/>
          </w:tcPr>
          <w:p w14:paraId="43732070"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4.261.708.792,94</w:t>
            </w:r>
          </w:p>
        </w:tc>
        <w:tc>
          <w:tcPr>
            <w:tcW w:w="2238" w:type="dxa"/>
            <w:vAlign w:val="bottom"/>
          </w:tcPr>
          <w:p w14:paraId="32B04886"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128.301.897,99</w:t>
            </w:r>
          </w:p>
        </w:tc>
      </w:tr>
    </w:tbl>
    <w:p w14:paraId="7F108B1F" w14:textId="77777777" w:rsidR="007E2F9F" w:rsidRDefault="007E2F9F" w:rsidP="007E2F9F">
      <w:pPr>
        <w:ind w:left="-284" w:right="-234"/>
        <w:jc w:val="both"/>
        <w:rPr>
          <w:rFonts w:ascii="Arial" w:hAnsi="Arial" w:cs="Arial"/>
          <w:b/>
          <w:bCs/>
          <w:sz w:val="28"/>
          <w:szCs w:val="28"/>
          <w:lang w:val="es-MX"/>
        </w:rPr>
      </w:pPr>
    </w:p>
    <w:p w14:paraId="38B61075" w14:textId="77777777" w:rsidR="007E2F9F" w:rsidRPr="004F5B52" w:rsidRDefault="007E2F9F" w:rsidP="007E2F9F">
      <w:pPr>
        <w:ind w:left="-284" w:right="-234"/>
        <w:jc w:val="both"/>
        <w:rPr>
          <w:rFonts w:ascii="Arial" w:hAnsi="Arial" w:cs="Arial"/>
          <w:b/>
          <w:sz w:val="28"/>
          <w:szCs w:val="28"/>
          <w:lang w:val="es-MX"/>
        </w:rPr>
      </w:pPr>
      <w:r w:rsidRPr="004F5B52">
        <w:rPr>
          <w:rFonts w:ascii="Arial" w:hAnsi="Arial" w:cs="Arial"/>
          <w:b/>
          <w:sz w:val="28"/>
          <w:szCs w:val="28"/>
          <w:lang w:val="es-MX"/>
        </w:rPr>
        <w:t xml:space="preserve">256.- U.A.E. DE GESTIÓN PENSIONAL Y CONTRIBUCIONES PARAFISCALES DE LA PROTECCIÓN SOCIAL – UGPP. </w:t>
      </w:r>
    </w:p>
    <w:p w14:paraId="3BA23D6F" w14:textId="77777777" w:rsidR="007E2F9F" w:rsidRDefault="007E2F9F" w:rsidP="007E2F9F">
      <w:pPr>
        <w:ind w:left="-284" w:right="-234"/>
        <w:jc w:val="both"/>
        <w:rPr>
          <w:rFonts w:ascii="Arial" w:hAnsi="Arial" w:cs="Arial"/>
          <w:b/>
          <w:bCs/>
          <w:sz w:val="28"/>
          <w:szCs w:val="28"/>
          <w:lang w:val="es-MX"/>
        </w:rPr>
      </w:pPr>
    </w:p>
    <w:p w14:paraId="5A1B9880"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FB643C8"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E53555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502C0645" w14:textId="77777777" w:rsidTr="006548F8">
        <w:tc>
          <w:tcPr>
            <w:tcW w:w="3544" w:type="dxa"/>
          </w:tcPr>
          <w:p w14:paraId="1DFD5328"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1A6BDEA1"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374889B3"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07D387DA" w14:textId="73C0064A" w:rsidR="007E2F9F" w:rsidRPr="00292B9C" w:rsidRDefault="007E2F9F" w:rsidP="00494EB8">
            <w:pPr>
              <w:jc w:val="center"/>
              <w:rPr>
                <w:rFonts w:ascii="Arial" w:hAnsi="Arial" w:cs="Arial"/>
                <w:b/>
                <w:sz w:val="18"/>
                <w:szCs w:val="18"/>
                <w:lang w:val="es-ES_tradnl"/>
              </w:rPr>
            </w:pPr>
            <w:r w:rsidRPr="00292B9C">
              <w:rPr>
                <w:rFonts w:ascii="Arial" w:hAnsi="Arial" w:cs="Arial"/>
                <w:b/>
                <w:sz w:val="18"/>
                <w:szCs w:val="18"/>
                <w:lang w:val="es-ES_tradnl"/>
              </w:rPr>
              <w:t>(1)</w:t>
            </w:r>
          </w:p>
        </w:tc>
        <w:tc>
          <w:tcPr>
            <w:tcW w:w="2354" w:type="dxa"/>
          </w:tcPr>
          <w:p w14:paraId="590F6014"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3DE5CDB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34118EEB"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20A49202"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648218E3"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6E01A53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26624BF8" w14:textId="77777777" w:rsidTr="006548F8">
        <w:trPr>
          <w:trHeight w:val="230"/>
        </w:trPr>
        <w:tc>
          <w:tcPr>
            <w:tcW w:w="3544" w:type="dxa"/>
          </w:tcPr>
          <w:p w14:paraId="43F9766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vAlign w:val="bottom"/>
          </w:tcPr>
          <w:p w14:paraId="54415358"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sz w:val="18"/>
                <w:szCs w:val="18"/>
              </w:rPr>
              <w:t>245.728.138</w:t>
            </w:r>
          </w:p>
        </w:tc>
        <w:tc>
          <w:tcPr>
            <w:tcW w:w="2354" w:type="dxa"/>
            <w:vAlign w:val="bottom"/>
          </w:tcPr>
          <w:p w14:paraId="69273AB2"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242.978.808</w:t>
            </w:r>
          </w:p>
        </w:tc>
        <w:tc>
          <w:tcPr>
            <w:tcW w:w="2238" w:type="dxa"/>
            <w:vAlign w:val="bottom"/>
          </w:tcPr>
          <w:p w14:paraId="2103B5CD"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sz w:val="18"/>
                <w:szCs w:val="18"/>
              </w:rPr>
              <w:t>2.749.331</w:t>
            </w:r>
          </w:p>
        </w:tc>
      </w:tr>
      <w:tr w:rsidR="007E2F9F" w:rsidRPr="00292B9C" w14:paraId="54CC393C" w14:textId="77777777" w:rsidTr="006548F8">
        <w:trPr>
          <w:trHeight w:val="230"/>
        </w:trPr>
        <w:tc>
          <w:tcPr>
            <w:tcW w:w="3544" w:type="dxa"/>
          </w:tcPr>
          <w:p w14:paraId="24094269"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vAlign w:val="bottom"/>
          </w:tcPr>
          <w:p w14:paraId="12457D68"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color w:val="000000"/>
                <w:sz w:val="18"/>
                <w:szCs w:val="18"/>
              </w:rPr>
              <w:t>6.549.870</w:t>
            </w:r>
          </w:p>
        </w:tc>
        <w:tc>
          <w:tcPr>
            <w:tcW w:w="2354" w:type="dxa"/>
            <w:vAlign w:val="bottom"/>
          </w:tcPr>
          <w:p w14:paraId="0EE8A84B"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hAnsi="Arial" w:cs="Arial"/>
                <w:color w:val="000000"/>
                <w:sz w:val="18"/>
                <w:szCs w:val="18"/>
              </w:rPr>
              <w:t>6.521.292</w:t>
            </w:r>
          </w:p>
        </w:tc>
        <w:tc>
          <w:tcPr>
            <w:tcW w:w="2238" w:type="dxa"/>
            <w:vAlign w:val="bottom"/>
          </w:tcPr>
          <w:p w14:paraId="0E8D10DA"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color w:val="000000"/>
                <w:sz w:val="18"/>
                <w:szCs w:val="18"/>
              </w:rPr>
              <w:t>28.578</w:t>
            </w:r>
          </w:p>
        </w:tc>
      </w:tr>
      <w:tr w:rsidR="007E2F9F" w:rsidRPr="00292B9C" w14:paraId="15E4540D" w14:textId="77777777" w:rsidTr="006548F8">
        <w:tc>
          <w:tcPr>
            <w:tcW w:w="3544" w:type="dxa"/>
          </w:tcPr>
          <w:p w14:paraId="39BC9BEC"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vAlign w:val="bottom"/>
          </w:tcPr>
          <w:p w14:paraId="13B68082"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266.285.008</w:t>
            </w:r>
          </w:p>
        </w:tc>
        <w:tc>
          <w:tcPr>
            <w:tcW w:w="2354" w:type="dxa"/>
            <w:vAlign w:val="bottom"/>
          </w:tcPr>
          <w:p w14:paraId="5B6CB18C"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263.276.411</w:t>
            </w:r>
          </w:p>
        </w:tc>
        <w:tc>
          <w:tcPr>
            <w:tcW w:w="2238" w:type="dxa"/>
            <w:vAlign w:val="bottom"/>
          </w:tcPr>
          <w:p w14:paraId="73E43C25"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sz w:val="18"/>
                <w:szCs w:val="18"/>
              </w:rPr>
              <w:t>3.008.597</w:t>
            </w:r>
          </w:p>
        </w:tc>
      </w:tr>
    </w:tbl>
    <w:p w14:paraId="73792CE5" w14:textId="77777777" w:rsidR="007E2F9F" w:rsidRDefault="007E2F9F" w:rsidP="007E2F9F">
      <w:pPr>
        <w:ind w:left="-284" w:right="-234"/>
        <w:jc w:val="both"/>
        <w:rPr>
          <w:rFonts w:ascii="Arial" w:hAnsi="Arial" w:cs="Arial"/>
          <w:b/>
          <w:bCs/>
          <w:sz w:val="28"/>
          <w:szCs w:val="28"/>
          <w:lang w:val="es-MX"/>
        </w:rPr>
      </w:pPr>
    </w:p>
    <w:p w14:paraId="0ABC338C" w14:textId="77777777" w:rsidR="007E2F9F" w:rsidRPr="00011EB2" w:rsidRDefault="007E2F9F" w:rsidP="007E2F9F">
      <w:pPr>
        <w:ind w:left="-284"/>
        <w:jc w:val="both"/>
        <w:rPr>
          <w:rFonts w:ascii="Arial" w:hAnsi="Arial" w:cs="Arial"/>
          <w:b/>
          <w:sz w:val="28"/>
          <w:szCs w:val="28"/>
          <w:lang w:val="es-MX"/>
        </w:rPr>
      </w:pPr>
      <w:r w:rsidRPr="00011EB2">
        <w:rPr>
          <w:rFonts w:ascii="Arial" w:hAnsi="Arial" w:cs="Arial"/>
          <w:b/>
          <w:sz w:val="28"/>
          <w:szCs w:val="28"/>
          <w:lang w:val="es-MX"/>
        </w:rPr>
        <w:t>257.- AGENCIA PARA LA REINCORPORACIÓN Y LA NORMALIZACIÓN – ARN.</w:t>
      </w:r>
    </w:p>
    <w:p w14:paraId="05CE56F8" w14:textId="77777777" w:rsidR="008A43C3" w:rsidRDefault="008A43C3" w:rsidP="007E2F9F">
      <w:pPr>
        <w:pStyle w:val="Prrafodelista"/>
        <w:ind w:left="0"/>
        <w:jc w:val="center"/>
        <w:rPr>
          <w:rFonts w:ascii="Arial" w:hAnsi="Arial" w:cs="Arial"/>
          <w:b/>
          <w:sz w:val="24"/>
        </w:rPr>
      </w:pPr>
    </w:p>
    <w:p w14:paraId="71123A21" w14:textId="1E217D3D"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34CEDA3"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945648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34060C96" w14:textId="77777777" w:rsidTr="006548F8">
        <w:tc>
          <w:tcPr>
            <w:tcW w:w="3544" w:type="dxa"/>
          </w:tcPr>
          <w:p w14:paraId="162F4300"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2E2A1F4F"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20FFD80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lastRenderedPageBreak/>
              <w:t>DEFINITIVA</w:t>
            </w:r>
          </w:p>
          <w:p w14:paraId="120FD645"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049BD85B" w14:textId="77777777" w:rsidR="007E2F9F" w:rsidRPr="00292B9C" w:rsidRDefault="007E2F9F" w:rsidP="006548F8">
            <w:pPr>
              <w:jc w:val="center"/>
              <w:rPr>
                <w:rFonts w:ascii="Arial" w:hAnsi="Arial" w:cs="Arial"/>
                <w:b/>
                <w:sz w:val="18"/>
                <w:szCs w:val="18"/>
                <w:lang w:val="es-ES_tradnl"/>
              </w:rPr>
            </w:pPr>
          </w:p>
        </w:tc>
        <w:tc>
          <w:tcPr>
            <w:tcW w:w="2354" w:type="dxa"/>
          </w:tcPr>
          <w:p w14:paraId="69C7D2E1"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lastRenderedPageBreak/>
              <w:t>EJECUCIÓN</w:t>
            </w:r>
          </w:p>
          <w:p w14:paraId="31F1E7F1"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lastRenderedPageBreak/>
              <w:t>COMPROMISOS</w:t>
            </w:r>
          </w:p>
          <w:p w14:paraId="285BD91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66A47809"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lastRenderedPageBreak/>
              <w:t>PÉRDIDAS DE</w:t>
            </w:r>
          </w:p>
          <w:p w14:paraId="4E9DD6F2"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lastRenderedPageBreak/>
              <w:t>APROPIACIÓN</w:t>
            </w:r>
          </w:p>
          <w:p w14:paraId="184BEE6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5C3C348D" w14:textId="77777777" w:rsidTr="006548F8">
        <w:trPr>
          <w:trHeight w:val="230"/>
        </w:trPr>
        <w:tc>
          <w:tcPr>
            <w:tcW w:w="3544" w:type="dxa"/>
          </w:tcPr>
          <w:p w14:paraId="671D932F"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lastRenderedPageBreak/>
              <w:t>FUNCIONAMIENTO</w:t>
            </w:r>
          </w:p>
        </w:tc>
        <w:tc>
          <w:tcPr>
            <w:tcW w:w="2354" w:type="dxa"/>
          </w:tcPr>
          <w:p w14:paraId="74A450DB"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300.072.889,25</w:t>
            </w:r>
          </w:p>
        </w:tc>
        <w:tc>
          <w:tcPr>
            <w:tcW w:w="2354" w:type="dxa"/>
          </w:tcPr>
          <w:p w14:paraId="5EBED925"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sz w:val="18"/>
                <w:szCs w:val="18"/>
                <w:lang w:val="es-CO"/>
              </w:rPr>
              <w:t>290.169.649,55</w:t>
            </w:r>
          </w:p>
        </w:tc>
        <w:tc>
          <w:tcPr>
            <w:tcW w:w="2238" w:type="dxa"/>
          </w:tcPr>
          <w:p w14:paraId="5A9D3662"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9.903.239,70</w:t>
            </w:r>
          </w:p>
        </w:tc>
      </w:tr>
      <w:tr w:rsidR="007E2F9F" w:rsidRPr="00292B9C" w14:paraId="6BB9313E" w14:textId="77777777" w:rsidTr="006548F8">
        <w:trPr>
          <w:trHeight w:val="230"/>
        </w:trPr>
        <w:tc>
          <w:tcPr>
            <w:tcW w:w="3544" w:type="dxa"/>
          </w:tcPr>
          <w:p w14:paraId="0CB8F518"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2E9F5477"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sz w:val="18"/>
                <w:szCs w:val="18"/>
                <w:lang w:val="es-CO"/>
              </w:rPr>
              <w:t>2.116.977,86</w:t>
            </w:r>
          </w:p>
        </w:tc>
        <w:tc>
          <w:tcPr>
            <w:tcW w:w="2354" w:type="dxa"/>
          </w:tcPr>
          <w:p w14:paraId="31781C4B"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sz w:val="18"/>
                <w:szCs w:val="18"/>
                <w:lang w:val="es-CO"/>
              </w:rPr>
              <w:t>2.116.977,86</w:t>
            </w:r>
          </w:p>
        </w:tc>
        <w:tc>
          <w:tcPr>
            <w:tcW w:w="2238" w:type="dxa"/>
          </w:tcPr>
          <w:p w14:paraId="67E23286" w14:textId="77777777" w:rsidR="007E2F9F" w:rsidRPr="00292B9C" w:rsidRDefault="007E2F9F" w:rsidP="006548F8">
            <w:pPr>
              <w:pStyle w:val="Prrafodelista"/>
              <w:ind w:left="0"/>
              <w:jc w:val="right"/>
              <w:rPr>
                <w:rFonts w:ascii="Arial" w:hAnsi="Arial" w:cs="Arial"/>
                <w:b/>
                <w:sz w:val="18"/>
                <w:szCs w:val="18"/>
              </w:rPr>
            </w:pPr>
            <w:r w:rsidRPr="00292B9C">
              <w:rPr>
                <w:rFonts w:ascii="Arial" w:hAnsi="Arial" w:cs="Arial"/>
                <w:b/>
                <w:sz w:val="18"/>
                <w:szCs w:val="18"/>
              </w:rPr>
              <w:t>0</w:t>
            </w:r>
          </w:p>
        </w:tc>
      </w:tr>
      <w:tr w:rsidR="007E2F9F" w:rsidRPr="00292B9C" w14:paraId="48F19342" w14:textId="77777777" w:rsidTr="006548F8">
        <w:tc>
          <w:tcPr>
            <w:tcW w:w="3544" w:type="dxa"/>
          </w:tcPr>
          <w:p w14:paraId="3AA30D50"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1C427E39"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302.189.867,11</w:t>
            </w:r>
          </w:p>
        </w:tc>
        <w:tc>
          <w:tcPr>
            <w:tcW w:w="2354" w:type="dxa"/>
          </w:tcPr>
          <w:p w14:paraId="3DF1011C"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sz w:val="18"/>
                <w:szCs w:val="18"/>
                <w:lang w:val="es-CO"/>
              </w:rPr>
              <w:t>292.286.627,41</w:t>
            </w:r>
          </w:p>
        </w:tc>
        <w:tc>
          <w:tcPr>
            <w:tcW w:w="2238" w:type="dxa"/>
          </w:tcPr>
          <w:p w14:paraId="61C4760C"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19.806.479,40</w:t>
            </w:r>
          </w:p>
        </w:tc>
      </w:tr>
    </w:tbl>
    <w:p w14:paraId="53A7392B" w14:textId="77777777" w:rsidR="00683308" w:rsidRDefault="00683308" w:rsidP="007E2F9F">
      <w:pPr>
        <w:tabs>
          <w:tab w:val="left" w:pos="875"/>
        </w:tabs>
        <w:ind w:left="-284" w:right="-234"/>
        <w:jc w:val="both"/>
        <w:rPr>
          <w:rFonts w:ascii="Arial" w:hAnsi="Arial" w:cs="Arial"/>
          <w:b/>
          <w:sz w:val="24"/>
        </w:rPr>
      </w:pPr>
    </w:p>
    <w:p w14:paraId="76AB3034" w14:textId="7D2D7324" w:rsidR="007E2F9F" w:rsidRPr="005641FC" w:rsidRDefault="007E2F9F" w:rsidP="007E2F9F">
      <w:pPr>
        <w:tabs>
          <w:tab w:val="left" w:pos="875"/>
        </w:tabs>
        <w:ind w:left="-284" w:right="-234"/>
        <w:jc w:val="both"/>
        <w:rPr>
          <w:rFonts w:ascii="Arial" w:hAnsi="Arial" w:cs="Arial"/>
          <w:bCs/>
          <w:sz w:val="24"/>
        </w:rPr>
      </w:pPr>
      <w:r w:rsidRPr="005641FC">
        <w:rPr>
          <w:rFonts w:ascii="Arial" w:hAnsi="Arial" w:cs="Arial"/>
          <w:b/>
          <w:sz w:val="24"/>
        </w:rPr>
        <w:t xml:space="preserve">NOTA: </w:t>
      </w:r>
      <w:r w:rsidRPr="005641FC">
        <w:rPr>
          <w:rFonts w:ascii="Arial" w:hAnsi="Arial" w:cs="Arial"/>
          <w:bCs/>
          <w:sz w:val="24"/>
        </w:rPr>
        <w:t>De acuerdo a esta auditoría el total de pérdidas de apropiación esta errado. El saldo debe ser: $ 9.903.239.70.</w:t>
      </w:r>
    </w:p>
    <w:p w14:paraId="206523F1" w14:textId="77777777" w:rsidR="007E2F9F" w:rsidRDefault="007E2F9F" w:rsidP="007E2F9F">
      <w:pPr>
        <w:ind w:left="-284" w:right="-234"/>
        <w:jc w:val="both"/>
        <w:rPr>
          <w:rFonts w:ascii="Arial" w:hAnsi="Arial" w:cs="Arial"/>
          <w:b/>
          <w:bCs/>
          <w:sz w:val="28"/>
          <w:szCs w:val="28"/>
          <w:lang w:val="es-MX"/>
        </w:rPr>
      </w:pPr>
    </w:p>
    <w:p w14:paraId="6320A180" w14:textId="77777777" w:rsidR="007E2F9F" w:rsidRPr="00D23165" w:rsidRDefault="007E2F9F" w:rsidP="007E2F9F">
      <w:pPr>
        <w:ind w:left="-284"/>
        <w:jc w:val="both"/>
        <w:rPr>
          <w:rFonts w:ascii="Arial" w:hAnsi="Arial" w:cs="Arial"/>
          <w:b/>
          <w:sz w:val="28"/>
          <w:szCs w:val="28"/>
          <w:lang w:val="es-MX"/>
        </w:rPr>
      </w:pPr>
      <w:r w:rsidRPr="00D23165">
        <w:rPr>
          <w:rFonts w:ascii="Arial" w:hAnsi="Arial" w:cs="Arial"/>
          <w:b/>
          <w:sz w:val="28"/>
          <w:szCs w:val="28"/>
          <w:lang w:val="es-MX"/>
        </w:rPr>
        <w:t>258.- COMPUTADORES PARA EDUCAR – CPE.</w:t>
      </w:r>
    </w:p>
    <w:p w14:paraId="75E09A3E" w14:textId="77777777" w:rsidR="007E2F9F" w:rsidRDefault="007E2F9F" w:rsidP="007E2F9F">
      <w:pPr>
        <w:ind w:left="-284" w:right="-234"/>
        <w:jc w:val="both"/>
        <w:rPr>
          <w:rFonts w:ascii="Arial" w:hAnsi="Arial" w:cs="Arial"/>
          <w:b/>
          <w:bCs/>
          <w:sz w:val="28"/>
          <w:szCs w:val="28"/>
          <w:lang w:val="es-MX"/>
        </w:rPr>
      </w:pPr>
    </w:p>
    <w:p w14:paraId="448A2832"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334E0C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E9F16B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23B3E7C3" w14:textId="77777777" w:rsidTr="006548F8">
        <w:tc>
          <w:tcPr>
            <w:tcW w:w="3544" w:type="dxa"/>
          </w:tcPr>
          <w:p w14:paraId="58384D91"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03049CA8"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62FA7880"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3DEDAB6E"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61D67F23" w14:textId="77777777" w:rsidR="007E2F9F" w:rsidRPr="00292B9C" w:rsidRDefault="007E2F9F" w:rsidP="006548F8">
            <w:pPr>
              <w:jc w:val="center"/>
              <w:rPr>
                <w:rFonts w:ascii="Arial" w:hAnsi="Arial" w:cs="Arial"/>
                <w:b/>
                <w:sz w:val="18"/>
                <w:szCs w:val="18"/>
                <w:lang w:val="es-ES_tradnl"/>
              </w:rPr>
            </w:pPr>
          </w:p>
        </w:tc>
        <w:tc>
          <w:tcPr>
            <w:tcW w:w="2354" w:type="dxa"/>
          </w:tcPr>
          <w:p w14:paraId="7CD85C4B"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1359AFBF"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72B7E7A8"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143F1DDB"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54691DEB"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5FADA58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505E4EEB" w14:textId="77777777" w:rsidTr="006548F8">
        <w:trPr>
          <w:trHeight w:val="230"/>
        </w:trPr>
        <w:tc>
          <w:tcPr>
            <w:tcW w:w="3544" w:type="dxa"/>
          </w:tcPr>
          <w:p w14:paraId="47CEF4C3"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vAlign w:val="bottom"/>
          </w:tcPr>
          <w:p w14:paraId="6990BD45"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b/>
                <w:bCs/>
                <w:sz w:val="18"/>
                <w:szCs w:val="18"/>
              </w:rPr>
              <w:t>23.190.260,53</w:t>
            </w:r>
          </w:p>
        </w:tc>
        <w:tc>
          <w:tcPr>
            <w:tcW w:w="2354" w:type="dxa"/>
            <w:vAlign w:val="bottom"/>
          </w:tcPr>
          <w:p w14:paraId="70B9F780"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sz w:val="18"/>
                <w:szCs w:val="18"/>
              </w:rPr>
              <w:t>19.977.640,46</w:t>
            </w:r>
          </w:p>
        </w:tc>
        <w:tc>
          <w:tcPr>
            <w:tcW w:w="2238" w:type="dxa"/>
            <w:vAlign w:val="bottom"/>
          </w:tcPr>
          <w:p w14:paraId="2958D7DF"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sz w:val="18"/>
                <w:szCs w:val="18"/>
              </w:rPr>
              <w:t>3.212.620,07</w:t>
            </w:r>
          </w:p>
        </w:tc>
      </w:tr>
      <w:tr w:rsidR="007E2F9F" w:rsidRPr="00292B9C" w14:paraId="2903B90C" w14:textId="77777777" w:rsidTr="006548F8">
        <w:trPr>
          <w:trHeight w:val="230"/>
        </w:trPr>
        <w:tc>
          <w:tcPr>
            <w:tcW w:w="3544" w:type="dxa"/>
          </w:tcPr>
          <w:p w14:paraId="4D065D18"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vAlign w:val="bottom"/>
          </w:tcPr>
          <w:p w14:paraId="082E45C0" w14:textId="77777777" w:rsidR="007E2F9F" w:rsidRPr="00292B9C" w:rsidRDefault="007E2F9F" w:rsidP="006548F8">
            <w:pPr>
              <w:jc w:val="right"/>
              <w:rPr>
                <w:rFonts w:ascii="Arial" w:eastAsia="Calibri" w:hAnsi="Arial" w:cs="Arial"/>
                <w:b/>
                <w:bCs/>
                <w:sz w:val="18"/>
                <w:szCs w:val="18"/>
                <w:lang w:val="es-CO"/>
              </w:rPr>
            </w:pPr>
            <w:r w:rsidRPr="00292B9C">
              <w:rPr>
                <w:rFonts w:ascii="Arial" w:hAnsi="Arial" w:cs="Arial"/>
                <w:b/>
                <w:bCs/>
                <w:color w:val="000000"/>
                <w:sz w:val="18"/>
                <w:szCs w:val="18"/>
              </w:rPr>
              <w:t>289.723.013,52</w:t>
            </w:r>
          </w:p>
        </w:tc>
        <w:tc>
          <w:tcPr>
            <w:tcW w:w="2354" w:type="dxa"/>
            <w:vAlign w:val="bottom"/>
          </w:tcPr>
          <w:p w14:paraId="72369D08"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hAnsi="Arial" w:cs="Arial"/>
                <w:b/>
                <w:bCs/>
                <w:color w:val="000000"/>
                <w:sz w:val="18"/>
                <w:szCs w:val="18"/>
              </w:rPr>
              <w:t>196.250.217,11</w:t>
            </w:r>
          </w:p>
        </w:tc>
        <w:tc>
          <w:tcPr>
            <w:tcW w:w="2238" w:type="dxa"/>
            <w:vAlign w:val="bottom"/>
          </w:tcPr>
          <w:p w14:paraId="34332448"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bCs/>
                <w:color w:val="000000"/>
                <w:sz w:val="18"/>
                <w:szCs w:val="18"/>
              </w:rPr>
              <w:t>93.472.796,41</w:t>
            </w:r>
          </w:p>
        </w:tc>
      </w:tr>
      <w:tr w:rsidR="007E2F9F" w:rsidRPr="00292B9C" w14:paraId="54D638C5" w14:textId="77777777" w:rsidTr="006548F8">
        <w:tc>
          <w:tcPr>
            <w:tcW w:w="3544" w:type="dxa"/>
          </w:tcPr>
          <w:p w14:paraId="0EDEC180"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vAlign w:val="bottom"/>
          </w:tcPr>
          <w:p w14:paraId="12B21190"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bCs/>
                <w:sz w:val="18"/>
                <w:szCs w:val="18"/>
              </w:rPr>
              <w:t>312.913.274,04</w:t>
            </w:r>
          </w:p>
        </w:tc>
        <w:tc>
          <w:tcPr>
            <w:tcW w:w="2354" w:type="dxa"/>
            <w:vAlign w:val="bottom"/>
          </w:tcPr>
          <w:p w14:paraId="54586E6B"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bCs/>
                <w:sz w:val="18"/>
                <w:szCs w:val="18"/>
              </w:rPr>
              <w:t>216.227.857,57</w:t>
            </w:r>
          </w:p>
        </w:tc>
        <w:tc>
          <w:tcPr>
            <w:tcW w:w="2238" w:type="dxa"/>
            <w:vAlign w:val="bottom"/>
          </w:tcPr>
          <w:p w14:paraId="5F90E60C"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bCs/>
                <w:sz w:val="18"/>
                <w:szCs w:val="18"/>
              </w:rPr>
              <w:t>96.685.416,47</w:t>
            </w:r>
          </w:p>
        </w:tc>
      </w:tr>
    </w:tbl>
    <w:p w14:paraId="394CB250" w14:textId="77777777" w:rsidR="007E2F9F" w:rsidRDefault="007E2F9F" w:rsidP="007E2F9F">
      <w:pPr>
        <w:ind w:left="-284" w:right="-234"/>
        <w:jc w:val="both"/>
        <w:rPr>
          <w:rFonts w:ascii="Arial" w:hAnsi="Arial" w:cs="Arial"/>
          <w:b/>
          <w:bCs/>
          <w:sz w:val="28"/>
          <w:szCs w:val="28"/>
          <w:lang w:val="es-MX"/>
        </w:rPr>
      </w:pPr>
    </w:p>
    <w:p w14:paraId="4E616B3F" w14:textId="77777777" w:rsidR="007E2F9F" w:rsidRPr="003E370B" w:rsidRDefault="007E2F9F" w:rsidP="007E2F9F">
      <w:pPr>
        <w:ind w:left="-284"/>
        <w:jc w:val="both"/>
        <w:rPr>
          <w:rFonts w:ascii="Arial" w:hAnsi="Arial" w:cs="Arial"/>
          <w:b/>
          <w:sz w:val="28"/>
          <w:szCs w:val="28"/>
          <w:lang w:val="es-MX"/>
        </w:rPr>
      </w:pPr>
      <w:r w:rsidRPr="003E370B">
        <w:rPr>
          <w:rFonts w:ascii="Arial" w:hAnsi="Arial" w:cs="Arial"/>
          <w:b/>
          <w:sz w:val="28"/>
          <w:szCs w:val="28"/>
          <w:lang w:val="es-MX"/>
        </w:rPr>
        <w:t>264.- MINISTERIO DE EDUCACIÓN NACIONAL.</w:t>
      </w:r>
    </w:p>
    <w:p w14:paraId="0A5C34F8" w14:textId="77777777" w:rsidR="007E2F9F" w:rsidRDefault="007E2F9F" w:rsidP="007E2F9F">
      <w:pPr>
        <w:ind w:left="-284" w:right="-234"/>
        <w:jc w:val="both"/>
        <w:rPr>
          <w:rFonts w:ascii="Arial" w:hAnsi="Arial" w:cs="Arial"/>
          <w:b/>
          <w:bCs/>
          <w:sz w:val="28"/>
          <w:szCs w:val="28"/>
          <w:lang w:val="es-MX"/>
        </w:rPr>
      </w:pPr>
    </w:p>
    <w:p w14:paraId="0E68C2D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407AD83"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5985AA7"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7C576DC5" w14:textId="77777777" w:rsidTr="006548F8">
        <w:tc>
          <w:tcPr>
            <w:tcW w:w="3544" w:type="dxa"/>
          </w:tcPr>
          <w:p w14:paraId="10DA66E7"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25AA622B"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1484D295"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468F5221"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034E9814" w14:textId="77777777" w:rsidR="007E2F9F" w:rsidRPr="00292B9C" w:rsidRDefault="007E2F9F" w:rsidP="006548F8">
            <w:pPr>
              <w:jc w:val="center"/>
              <w:rPr>
                <w:rFonts w:ascii="Arial" w:hAnsi="Arial" w:cs="Arial"/>
                <w:b/>
                <w:sz w:val="18"/>
                <w:szCs w:val="18"/>
                <w:lang w:val="es-ES_tradnl"/>
              </w:rPr>
            </w:pPr>
          </w:p>
        </w:tc>
        <w:tc>
          <w:tcPr>
            <w:tcW w:w="2354" w:type="dxa"/>
          </w:tcPr>
          <w:p w14:paraId="792CF3CE"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4C921D0C"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1C7145D4"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4090A225"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07A92DE7"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00529CD6"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54610728" w14:textId="77777777" w:rsidTr="006548F8">
        <w:trPr>
          <w:trHeight w:val="230"/>
        </w:trPr>
        <w:tc>
          <w:tcPr>
            <w:tcW w:w="3544" w:type="dxa"/>
          </w:tcPr>
          <w:p w14:paraId="411B08F7"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4533D142"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55.789.978.010</w:t>
            </w:r>
          </w:p>
        </w:tc>
        <w:tc>
          <w:tcPr>
            <w:tcW w:w="2354" w:type="dxa"/>
          </w:tcPr>
          <w:p w14:paraId="6FEFAF89" w14:textId="77777777" w:rsidR="007E2F9F" w:rsidRPr="00292B9C" w:rsidRDefault="007E2F9F" w:rsidP="006548F8">
            <w:pPr>
              <w:pStyle w:val="Prrafodelista"/>
              <w:ind w:left="0"/>
              <w:jc w:val="right"/>
              <w:rPr>
                <w:rFonts w:ascii="Arial" w:hAnsi="Arial" w:cs="Arial"/>
                <w:b/>
                <w:bCs/>
                <w:sz w:val="18"/>
                <w:szCs w:val="18"/>
              </w:rPr>
            </w:pPr>
            <w:r w:rsidRPr="00292B9C">
              <w:rPr>
                <w:rFonts w:ascii="Arial" w:eastAsia="Calibri" w:hAnsi="Arial" w:cs="Arial"/>
                <w:b/>
                <w:bCs/>
                <w:sz w:val="18"/>
                <w:szCs w:val="18"/>
                <w:lang w:val="es-CO"/>
              </w:rPr>
              <w:t>55.728.789.267</w:t>
            </w:r>
          </w:p>
        </w:tc>
        <w:tc>
          <w:tcPr>
            <w:tcW w:w="2238" w:type="dxa"/>
          </w:tcPr>
          <w:p w14:paraId="592DFD73"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61.188.743</w:t>
            </w:r>
          </w:p>
        </w:tc>
      </w:tr>
      <w:tr w:rsidR="007E2F9F" w:rsidRPr="00292B9C" w14:paraId="211180B1" w14:textId="77777777" w:rsidTr="006548F8">
        <w:trPr>
          <w:trHeight w:val="230"/>
        </w:trPr>
        <w:tc>
          <w:tcPr>
            <w:tcW w:w="3544" w:type="dxa"/>
          </w:tcPr>
          <w:p w14:paraId="295C7654"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5B344476" w14:textId="77777777" w:rsidR="007E2F9F" w:rsidRPr="00292B9C" w:rsidRDefault="007E2F9F" w:rsidP="006548F8">
            <w:pPr>
              <w:jc w:val="right"/>
              <w:rPr>
                <w:rFonts w:ascii="Arial" w:eastAsia="Calibri" w:hAnsi="Arial" w:cs="Arial"/>
                <w:b/>
                <w:bCs/>
                <w:sz w:val="18"/>
                <w:szCs w:val="18"/>
                <w:lang w:val="es-CO"/>
              </w:rPr>
            </w:pPr>
            <w:r w:rsidRPr="00292B9C">
              <w:rPr>
                <w:rFonts w:ascii="Arial" w:eastAsia="Calibri" w:hAnsi="Arial" w:cs="Arial"/>
                <w:b/>
                <w:bCs/>
                <w:sz w:val="18"/>
                <w:szCs w:val="18"/>
                <w:lang w:val="es-CO"/>
              </w:rPr>
              <w:t>5.901.276.332</w:t>
            </w:r>
          </w:p>
        </w:tc>
        <w:tc>
          <w:tcPr>
            <w:tcW w:w="2354" w:type="dxa"/>
          </w:tcPr>
          <w:p w14:paraId="7F335BCC"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ascii="Arial" w:eastAsia="Calibri" w:hAnsi="Arial" w:cs="Arial"/>
                <w:b/>
                <w:bCs/>
                <w:sz w:val="18"/>
                <w:szCs w:val="18"/>
                <w:lang w:val="es-CO"/>
              </w:rPr>
              <w:t>5.886.063.080</w:t>
            </w:r>
          </w:p>
        </w:tc>
        <w:tc>
          <w:tcPr>
            <w:tcW w:w="2238" w:type="dxa"/>
          </w:tcPr>
          <w:p w14:paraId="7055A7C1" w14:textId="77777777" w:rsidR="007E2F9F" w:rsidRPr="00292B9C" w:rsidRDefault="007E2F9F" w:rsidP="006548F8">
            <w:pPr>
              <w:pStyle w:val="Prrafodelista"/>
              <w:ind w:left="0"/>
              <w:jc w:val="right"/>
              <w:rPr>
                <w:rFonts w:ascii="Arial" w:hAnsi="Arial" w:cs="Arial"/>
                <w:b/>
                <w:bCs/>
                <w:sz w:val="18"/>
                <w:szCs w:val="18"/>
              </w:rPr>
            </w:pPr>
            <w:r w:rsidRPr="00292B9C">
              <w:rPr>
                <w:rFonts w:ascii="Arial" w:hAnsi="Arial" w:cs="Arial"/>
                <w:b/>
                <w:sz w:val="18"/>
                <w:szCs w:val="18"/>
              </w:rPr>
              <w:t>15.213.252</w:t>
            </w:r>
          </w:p>
        </w:tc>
      </w:tr>
      <w:tr w:rsidR="007E2F9F" w:rsidRPr="00292B9C" w14:paraId="6DD0709D" w14:textId="77777777" w:rsidTr="006548F8">
        <w:tc>
          <w:tcPr>
            <w:tcW w:w="3544" w:type="dxa"/>
          </w:tcPr>
          <w:p w14:paraId="3782B73B"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2CBC1D5D"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61.691.254.342</w:t>
            </w:r>
          </w:p>
        </w:tc>
        <w:tc>
          <w:tcPr>
            <w:tcW w:w="2354" w:type="dxa"/>
          </w:tcPr>
          <w:p w14:paraId="47BF44D6"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eastAsia="Calibri" w:hAnsi="Arial" w:cs="Arial"/>
                <w:b/>
                <w:bCs/>
                <w:sz w:val="18"/>
                <w:szCs w:val="18"/>
                <w:lang w:val="es-CO"/>
              </w:rPr>
              <w:t>61.614.852.347</w:t>
            </w:r>
          </w:p>
        </w:tc>
        <w:tc>
          <w:tcPr>
            <w:tcW w:w="2238" w:type="dxa"/>
          </w:tcPr>
          <w:p w14:paraId="0FC0AD99"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ascii="Arial" w:hAnsi="Arial" w:cs="Arial"/>
                <w:b/>
                <w:sz w:val="18"/>
                <w:szCs w:val="18"/>
                <w:u w:val="single"/>
              </w:rPr>
              <w:t>76.401.995</w:t>
            </w:r>
          </w:p>
        </w:tc>
      </w:tr>
    </w:tbl>
    <w:p w14:paraId="707D336A" w14:textId="77777777" w:rsidR="007E2F9F" w:rsidRDefault="007E2F9F" w:rsidP="007E2F9F">
      <w:pPr>
        <w:ind w:left="-284" w:right="-234"/>
        <w:jc w:val="both"/>
        <w:rPr>
          <w:rFonts w:ascii="Arial" w:hAnsi="Arial" w:cs="Arial"/>
          <w:b/>
          <w:bCs/>
          <w:sz w:val="28"/>
          <w:szCs w:val="28"/>
          <w:lang w:val="es-MX"/>
        </w:rPr>
      </w:pPr>
    </w:p>
    <w:p w14:paraId="0E2A576E" w14:textId="77777777" w:rsidR="007E2F9F" w:rsidRPr="00292B9C" w:rsidRDefault="007E2F9F" w:rsidP="007E2F9F">
      <w:pPr>
        <w:ind w:left="-142" w:hanging="142"/>
        <w:jc w:val="both"/>
        <w:rPr>
          <w:rFonts w:ascii="Arial" w:hAnsi="Arial" w:cs="Arial"/>
          <w:b/>
          <w:sz w:val="28"/>
          <w:szCs w:val="28"/>
          <w:lang w:val="es-MX"/>
        </w:rPr>
      </w:pPr>
      <w:r w:rsidRPr="00292B9C">
        <w:rPr>
          <w:rFonts w:ascii="Arial" w:hAnsi="Arial" w:cs="Arial"/>
          <w:b/>
          <w:sz w:val="28"/>
          <w:szCs w:val="28"/>
          <w:lang w:val="es-MX"/>
        </w:rPr>
        <w:t>267.- UNIDAD DE PLANEACIÓN MINERO ENERGÉTICA - UPME.</w:t>
      </w:r>
    </w:p>
    <w:p w14:paraId="0968DC6C" w14:textId="77777777" w:rsidR="007E2F9F" w:rsidRDefault="007E2F9F" w:rsidP="007E2F9F">
      <w:pPr>
        <w:ind w:left="-284" w:right="-234"/>
        <w:jc w:val="both"/>
        <w:rPr>
          <w:rFonts w:ascii="Arial" w:hAnsi="Arial" w:cs="Arial"/>
          <w:b/>
          <w:bCs/>
          <w:sz w:val="28"/>
          <w:szCs w:val="28"/>
          <w:lang w:val="es-MX"/>
        </w:rPr>
      </w:pPr>
    </w:p>
    <w:p w14:paraId="16DCDD53"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3223749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53BE07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92B9C" w14:paraId="0FAA57BB" w14:textId="77777777" w:rsidTr="006548F8">
        <w:tc>
          <w:tcPr>
            <w:tcW w:w="3544" w:type="dxa"/>
          </w:tcPr>
          <w:p w14:paraId="351E8CB2" w14:textId="77777777" w:rsidR="007E2F9F" w:rsidRPr="00292B9C" w:rsidRDefault="007E2F9F" w:rsidP="006548F8">
            <w:pPr>
              <w:ind w:left="1169" w:right="-1440"/>
              <w:rPr>
                <w:rFonts w:ascii="Arial" w:hAnsi="Arial" w:cs="Arial"/>
                <w:b/>
                <w:sz w:val="18"/>
                <w:szCs w:val="18"/>
                <w:lang w:val="es-ES_tradnl"/>
              </w:rPr>
            </w:pPr>
            <w:r w:rsidRPr="00292B9C">
              <w:rPr>
                <w:rFonts w:ascii="Arial" w:hAnsi="Arial" w:cs="Arial"/>
                <w:b/>
                <w:sz w:val="18"/>
                <w:szCs w:val="18"/>
                <w:lang w:val="es-ES_tradnl"/>
              </w:rPr>
              <w:t>TIPO DE GASTO</w:t>
            </w:r>
          </w:p>
        </w:tc>
        <w:tc>
          <w:tcPr>
            <w:tcW w:w="2354" w:type="dxa"/>
          </w:tcPr>
          <w:p w14:paraId="7008583C"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APROPIACIÓN</w:t>
            </w:r>
          </w:p>
          <w:p w14:paraId="0B2DF242"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DEFINITIVA</w:t>
            </w:r>
          </w:p>
          <w:p w14:paraId="7CB37636" w14:textId="77777777" w:rsidR="007E2F9F" w:rsidRPr="00292B9C" w:rsidRDefault="007E2F9F" w:rsidP="006548F8">
            <w:pPr>
              <w:jc w:val="center"/>
              <w:rPr>
                <w:rFonts w:ascii="Arial" w:hAnsi="Arial" w:cs="Arial"/>
                <w:b/>
                <w:sz w:val="18"/>
                <w:szCs w:val="18"/>
                <w:lang w:val="es-ES_tradnl"/>
              </w:rPr>
            </w:pPr>
            <w:r w:rsidRPr="00292B9C">
              <w:rPr>
                <w:rFonts w:ascii="Arial" w:hAnsi="Arial" w:cs="Arial"/>
                <w:b/>
                <w:sz w:val="18"/>
                <w:szCs w:val="18"/>
                <w:lang w:val="es-ES_tradnl"/>
              </w:rPr>
              <w:t>(1)</w:t>
            </w:r>
          </w:p>
          <w:p w14:paraId="0BCAE437" w14:textId="77777777" w:rsidR="007E2F9F" w:rsidRPr="00292B9C" w:rsidRDefault="007E2F9F" w:rsidP="006548F8">
            <w:pPr>
              <w:jc w:val="center"/>
              <w:rPr>
                <w:rFonts w:ascii="Arial" w:hAnsi="Arial" w:cs="Arial"/>
                <w:b/>
                <w:sz w:val="18"/>
                <w:szCs w:val="18"/>
                <w:lang w:val="es-ES_tradnl"/>
              </w:rPr>
            </w:pPr>
          </w:p>
        </w:tc>
        <w:tc>
          <w:tcPr>
            <w:tcW w:w="2354" w:type="dxa"/>
          </w:tcPr>
          <w:p w14:paraId="01A1C95B" w14:textId="77777777" w:rsidR="007E2F9F" w:rsidRPr="00292B9C" w:rsidRDefault="007E2F9F" w:rsidP="006548F8">
            <w:pPr>
              <w:ind w:left="145" w:right="184"/>
              <w:jc w:val="center"/>
              <w:rPr>
                <w:rFonts w:ascii="Arial" w:hAnsi="Arial" w:cs="Arial"/>
                <w:b/>
                <w:sz w:val="18"/>
                <w:szCs w:val="18"/>
                <w:lang w:val="es-ES_tradnl"/>
              </w:rPr>
            </w:pPr>
            <w:r w:rsidRPr="00292B9C">
              <w:rPr>
                <w:rFonts w:ascii="Arial" w:hAnsi="Arial" w:cs="Arial"/>
                <w:b/>
                <w:sz w:val="18"/>
                <w:szCs w:val="18"/>
                <w:lang w:val="es-ES_tradnl"/>
              </w:rPr>
              <w:t>EJECUCIÓN</w:t>
            </w:r>
          </w:p>
          <w:p w14:paraId="36B66474"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COMPROMISOS</w:t>
            </w:r>
          </w:p>
          <w:p w14:paraId="0E38790E"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(2)</w:t>
            </w:r>
          </w:p>
        </w:tc>
        <w:tc>
          <w:tcPr>
            <w:tcW w:w="2238" w:type="dxa"/>
          </w:tcPr>
          <w:p w14:paraId="2788D4E5" w14:textId="77777777" w:rsidR="007E2F9F" w:rsidRPr="00292B9C" w:rsidRDefault="007E2F9F" w:rsidP="006548F8">
            <w:pPr>
              <w:ind w:left="25" w:right="34"/>
              <w:jc w:val="center"/>
              <w:rPr>
                <w:rFonts w:ascii="Arial" w:hAnsi="Arial" w:cs="Arial"/>
                <w:b/>
                <w:sz w:val="18"/>
                <w:szCs w:val="18"/>
                <w:lang w:val="es-ES_tradnl"/>
              </w:rPr>
            </w:pPr>
            <w:r w:rsidRPr="00292B9C">
              <w:rPr>
                <w:rFonts w:ascii="Arial" w:hAnsi="Arial" w:cs="Arial"/>
                <w:b/>
                <w:sz w:val="18"/>
                <w:szCs w:val="18"/>
                <w:lang w:val="es-ES_tradnl"/>
              </w:rPr>
              <w:t>PÉRDIDAS DE</w:t>
            </w:r>
          </w:p>
          <w:p w14:paraId="475C219E"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APROPIACIÓN</w:t>
            </w:r>
          </w:p>
          <w:p w14:paraId="34828EBA" w14:textId="77777777" w:rsidR="007E2F9F" w:rsidRPr="00292B9C" w:rsidRDefault="007E2F9F" w:rsidP="006548F8">
            <w:pPr>
              <w:ind w:right="34"/>
              <w:jc w:val="center"/>
              <w:rPr>
                <w:rFonts w:ascii="Arial" w:hAnsi="Arial" w:cs="Arial"/>
                <w:b/>
                <w:sz w:val="18"/>
                <w:szCs w:val="18"/>
                <w:lang w:val="es-ES_tradnl"/>
              </w:rPr>
            </w:pPr>
            <w:r w:rsidRPr="00292B9C">
              <w:rPr>
                <w:rFonts w:ascii="Arial" w:hAnsi="Arial" w:cs="Arial"/>
                <w:b/>
                <w:sz w:val="18"/>
                <w:szCs w:val="18"/>
                <w:lang w:val="es-ES_tradnl"/>
              </w:rPr>
              <w:t>3 = (1-2)</w:t>
            </w:r>
          </w:p>
        </w:tc>
      </w:tr>
      <w:tr w:rsidR="007E2F9F" w:rsidRPr="00292B9C" w14:paraId="771077B2" w14:textId="77777777" w:rsidTr="006548F8">
        <w:trPr>
          <w:trHeight w:val="230"/>
        </w:trPr>
        <w:tc>
          <w:tcPr>
            <w:tcW w:w="3544" w:type="dxa"/>
          </w:tcPr>
          <w:p w14:paraId="14F45277"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FUNCIONAMIENTO</w:t>
            </w:r>
          </w:p>
        </w:tc>
        <w:tc>
          <w:tcPr>
            <w:tcW w:w="2354" w:type="dxa"/>
          </w:tcPr>
          <w:p w14:paraId="7C0C552D" w14:textId="77777777" w:rsidR="007E2F9F" w:rsidRPr="00292B9C" w:rsidRDefault="007E2F9F" w:rsidP="006548F8">
            <w:pPr>
              <w:jc w:val="right"/>
              <w:rPr>
                <w:rFonts w:ascii="Arial" w:eastAsia="Calibri" w:hAnsi="Arial" w:cs="Arial"/>
                <w:b/>
                <w:bCs/>
                <w:sz w:val="18"/>
                <w:szCs w:val="18"/>
                <w:lang w:val="es-CO"/>
              </w:rPr>
            </w:pPr>
            <w:r w:rsidRPr="00292B9C">
              <w:rPr>
                <w:rFonts w:eastAsia="Calibri"/>
                <w:b/>
                <w:bCs/>
                <w:sz w:val="18"/>
                <w:szCs w:val="18"/>
                <w:lang w:val="es-CO"/>
              </w:rPr>
              <w:t>33.049.618</w:t>
            </w:r>
          </w:p>
        </w:tc>
        <w:tc>
          <w:tcPr>
            <w:tcW w:w="2354" w:type="dxa"/>
          </w:tcPr>
          <w:p w14:paraId="002C972A" w14:textId="77777777" w:rsidR="007E2F9F" w:rsidRPr="00292B9C" w:rsidRDefault="007E2F9F" w:rsidP="006548F8">
            <w:pPr>
              <w:pStyle w:val="Prrafodelista"/>
              <w:ind w:left="0"/>
              <w:jc w:val="right"/>
              <w:rPr>
                <w:rFonts w:ascii="Arial" w:hAnsi="Arial" w:cs="Arial"/>
                <w:b/>
                <w:bCs/>
                <w:sz w:val="18"/>
                <w:szCs w:val="18"/>
              </w:rPr>
            </w:pPr>
            <w:r w:rsidRPr="00292B9C">
              <w:rPr>
                <w:rFonts w:eastAsia="Calibri"/>
                <w:b/>
                <w:bCs/>
                <w:sz w:val="18"/>
                <w:szCs w:val="18"/>
                <w:lang w:val="es-CO"/>
              </w:rPr>
              <w:t>26.903.777</w:t>
            </w:r>
          </w:p>
        </w:tc>
        <w:tc>
          <w:tcPr>
            <w:tcW w:w="2238" w:type="dxa"/>
          </w:tcPr>
          <w:p w14:paraId="49AFC474" w14:textId="77777777" w:rsidR="007E2F9F" w:rsidRPr="00292B9C" w:rsidRDefault="007E2F9F" w:rsidP="006548F8">
            <w:pPr>
              <w:pStyle w:val="Prrafodelista"/>
              <w:ind w:left="0"/>
              <w:jc w:val="right"/>
              <w:rPr>
                <w:rFonts w:ascii="Arial" w:hAnsi="Arial" w:cs="Arial"/>
                <w:b/>
                <w:bCs/>
                <w:sz w:val="18"/>
                <w:szCs w:val="18"/>
              </w:rPr>
            </w:pPr>
            <w:r w:rsidRPr="00292B9C">
              <w:rPr>
                <w:b/>
                <w:sz w:val="18"/>
                <w:szCs w:val="18"/>
              </w:rPr>
              <w:t>6.145.841</w:t>
            </w:r>
          </w:p>
        </w:tc>
      </w:tr>
      <w:tr w:rsidR="007E2F9F" w:rsidRPr="00292B9C" w14:paraId="1E7CB6CB" w14:textId="77777777" w:rsidTr="006548F8">
        <w:trPr>
          <w:trHeight w:val="230"/>
        </w:trPr>
        <w:tc>
          <w:tcPr>
            <w:tcW w:w="3544" w:type="dxa"/>
          </w:tcPr>
          <w:p w14:paraId="4DCCE2EC"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NVERSIÓN</w:t>
            </w:r>
          </w:p>
        </w:tc>
        <w:tc>
          <w:tcPr>
            <w:tcW w:w="2354" w:type="dxa"/>
          </w:tcPr>
          <w:p w14:paraId="482A49EE" w14:textId="77777777" w:rsidR="007E2F9F" w:rsidRPr="00292B9C" w:rsidRDefault="007E2F9F" w:rsidP="006548F8">
            <w:pPr>
              <w:jc w:val="right"/>
              <w:rPr>
                <w:rFonts w:ascii="Arial" w:eastAsia="Calibri" w:hAnsi="Arial" w:cs="Arial"/>
                <w:b/>
                <w:bCs/>
                <w:sz w:val="18"/>
                <w:szCs w:val="18"/>
                <w:lang w:val="es-CO"/>
              </w:rPr>
            </w:pPr>
            <w:r w:rsidRPr="00292B9C">
              <w:rPr>
                <w:rFonts w:eastAsia="Calibri"/>
                <w:b/>
                <w:bCs/>
                <w:sz w:val="18"/>
                <w:szCs w:val="18"/>
                <w:lang w:val="es-CO"/>
              </w:rPr>
              <w:t>27.168.241</w:t>
            </w:r>
          </w:p>
        </w:tc>
        <w:tc>
          <w:tcPr>
            <w:tcW w:w="2354" w:type="dxa"/>
          </w:tcPr>
          <w:p w14:paraId="19631345" w14:textId="77777777" w:rsidR="007E2F9F" w:rsidRPr="00292B9C" w:rsidRDefault="007E2F9F" w:rsidP="006548F8">
            <w:pPr>
              <w:pStyle w:val="Prrafodelista"/>
              <w:ind w:left="0"/>
              <w:jc w:val="right"/>
              <w:rPr>
                <w:rFonts w:ascii="Arial" w:eastAsia="Calibri" w:hAnsi="Arial" w:cs="Arial"/>
                <w:b/>
                <w:bCs/>
                <w:sz w:val="18"/>
                <w:szCs w:val="18"/>
                <w:lang w:val="es-CO"/>
              </w:rPr>
            </w:pPr>
            <w:r w:rsidRPr="00292B9C">
              <w:rPr>
                <w:rFonts w:eastAsia="Calibri"/>
                <w:b/>
                <w:bCs/>
                <w:sz w:val="18"/>
                <w:szCs w:val="18"/>
                <w:lang w:val="es-CO"/>
              </w:rPr>
              <w:t>26.820.737</w:t>
            </w:r>
          </w:p>
        </w:tc>
        <w:tc>
          <w:tcPr>
            <w:tcW w:w="2238" w:type="dxa"/>
          </w:tcPr>
          <w:p w14:paraId="08E6EF73" w14:textId="77777777" w:rsidR="007E2F9F" w:rsidRPr="00292B9C" w:rsidRDefault="007E2F9F" w:rsidP="006548F8">
            <w:pPr>
              <w:pStyle w:val="Prrafodelista"/>
              <w:ind w:left="0"/>
              <w:jc w:val="right"/>
              <w:rPr>
                <w:rFonts w:ascii="Arial" w:hAnsi="Arial" w:cs="Arial"/>
                <w:b/>
                <w:bCs/>
                <w:sz w:val="18"/>
                <w:szCs w:val="18"/>
              </w:rPr>
            </w:pPr>
            <w:r w:rsidRPr="00292B9C">
              <w:rPr>
                <w:b/>
                <w:sz w:val="18"/>
                <w:szCs w:val="18"/>
              </w:rPr>
              <w:t>347.504</w:t>
            </w:r>
          </w:p>
        </w:tc>
      </w:tr>
      <w:tr w:rsidR="007E2F9F" w:rsidRPr="00292B9C" w14:paraId="79938A7E" w14:textId="77777777" w:rsidTr="006548F8">
        <w:tc>
          <w:tcPr>
            <w:tcW w:w="3544" w:type="dxa"/>
          </w:tcPr>
          <w:p w14:paraId="317D3D13" w14:textId="77777777" w:rsidR="007E2F9F" w:rsidRPr="00292B9C" w:rsidRDefault="007E2F9F" w:rsidP="006548F8">
            <w:pPr>
              <w:ind w:right="-1440"/>
              <w:jc w:val="both"/>
              <w:rPr>
                <w:rFonts w:ascii="Arial" w:hAnsi="Arial" w:cs="Arial"/>
                <w:b/>
                <w:bCs/>
                <w:sz w:val="18"/>
                <w:szCs w:val="18"/>
                <w:lang w:val="es-ES_tradnl"/>
              </w:rPr>
            </w:pPr>
            <w:r w:rsidRPr="00292B9C">
              <w:rPr>
                <w:rFonts w:ascii="Arial" w:hAnsi="Arial" w:cs="Arial"/>
                <w:b/>
                <w:bCs/>
                <w:sz w:val="18"/>
                <w:szCs w:val="18"/>
                <w:lang w:val="es-ES_tradnl"/>
              </w:rPr>
              <w:t>TOTAL PÉRDIDAS DE APROPIACIÓN</w:t>
            </w:r>
          </w:p>
        </w:tc>
        <w:tc>
          <w:tcPr>
            <w:tcW w:w="2354" w:type="dxa"/>
          </w:tcPr>
          <w:p w14:paraId="2C9CC5A4"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eastAsia="Calibri"/>
                <w:b/>
                <w:bCs/>
                <w:sz w:val="18"/>
                <w:szCs w:val="18"/>
                <w:lang w:val="es-CO"/>
              </w:rPr>
              <w:t>60.217.859</w:t>
            </w:r>
          </w:p>
        </w:tc>
        <w:tc>
          <w:tcPr>
            <w:tcW w:w="2354" w:type="dxa"/>
          </w:tcPr>
          <w:p w14:paraId="1556DFD9" w14:textId="77777777" w:rsidR="007E2F9F" w:rsidRPr="00292B9C" w:rsidRDefault="007E2F9F" w:rsidP="006548F8">
            <w:pPr>
              <w:pStyle w:val="Prrafodelista"/>
              <w:ind w:left="0"/>
              <w:jc w:val="right"/>
              <w:rPr>
                <w:rFonts w:ascii="Arial" w:hAnsi="Arial" w:cs="Arial"/>
                <w:b/>
                <w:bCs/>
                <w:sz w:val="18"/>
                <w:szCs w:val="18"/>
                <w:u w:val="single"/>
              </w:rPr>
            </w:pPr>
            <w:r w:rsidRPr="00292B9C">
              <w:rPr>
                <w:rFonts w:eastAsia="Calibri"/>
                <w:b/>
                <w:bCs/>
                <w:sz w:val="18"/>
                <w:szCs w:val="18"/>
                <w:lang w:val="es-CO"/>
              </w:rPr>
              <w:t>53.724.514</w:t>
            </w:r>
          </w:p>
        </w:tc>
        <w:tc>
          <w:tcPr>
            <w:tcW w:w="2238" w:type="dxa"/>
          </w:tcPr>
          <w:p w14:paraId="40D6554F" w14:textId="77777777" w:rsidR="007E2F9F" w:rsidRPr="00292B9C" w:rsidRDefault="007E2F9F" w:rsidP="006548F8">
            <w:pPr>
              <w:pStyle w:val="Prrafodelista"/>
              <w:ind w:left="0"/>
              <w:jc w:val="right"/>
              <w:rPr>
                <w:rFonts w:ascii="Arial" w:hAnsi="Arial" w:cs="Arial"/>
                <w:b/>
                <w:bCs/>
                <w:sz w:val="18"/>
                <w:szCs w:val="18"/>
                <w:u w:val="single"/>
              </w:rPr>
            </w:pPr>
            <w:r w:rsidRPr="00292B9C">
              <w:rPr>
                <w:b/>
                <w:sz w:val="18"/>
                <w:szCs w:val="18"/>
                <w:u w:val="single"/>
              </w:rPr>
              <w:t>6.493.345</w:t>
            </w:r>
          </w:p>
        </w:tc>
      </w:tr>
    </w:tbl>
    <w:p w14:paraId="2C34F8F6" w14:textId="77777777" w:rsidR="007E2F9F" w:rsidRDefault="007E2F9F" w:rsidP="007E2F9F">
      <w:pPr>
        <w:ind w:left="-284" w:right="-234"/>
        <w:jc w:val="both"/>
        <w:rPr>
          <w:rFonts w:ascii="Arial" w:hAnsi="Arial" w:cs="Arial"/>
          <w:b/>
          <w:bCs/>
          <w:sz w:val="28"/>
          <w:szCs w:val="28"/>
          <w:lang w:val="es-MX"/>
        </w:rPr>
      </w:pPr>
    </w:p>
    <w:p w14:paraId="073FD282" w14:textId="77777777" w:rsidR="007E2F9F" w:rsidRPr="0037765B" w:rsidRDefault="007E2F9F" w:rsidP="007E2F9F">
      <w:pPr>
        <w:ind w:left="-284"/>
        <w:jc w:val="both"/>
        <w:rPr>
          <w:rFonts w:ascii="Arial" w:hAnsi="Arial" w:cs="Arial"/>
          <w:b/>
          <w:sz w:val="28"/>
          <w:szCs w:val="28"/>
          <w:lang w:val="es-MX"/>
        </w:rPr>
      </w:pPr>
      <w:r w:rsidRPr="0037765B">
        <w:rPr>
          <w:rFonts w:ascii="Arial" w:hAnsi="Arial" w:cs="Arial"/>
          <w:b/>
          <w:sz w:val="28"/>
          <w:szCs w:val="28"/>
          <w:lang w:val="es-MX"/>
        </w:rPr>
        <w:t>268.- CORPORACIÓN AUTÓNOMA REGIONAL DEL SUR DE BOLÍVAR - CSB.</w:t>
      </w:r>
    </w:p>
    <w:p w14:paraId="367B703C" w14:textId="77777777" w:rsidR="007E2F9F" w:rsidRDefault="007E2F9F" w:rsidP="007E2F9F">
      <w:pPr>
        <w:ind w:left="-284" w:right="-234"/>
        <w:jc w:val="both"/>
        <w:rPr>
          <w:rFonts w:ascii="Arial" w:hAnsi="Arial" w:cs="Arial"/>
          <w:b/>
          <w:bCs/>
          <w:sz w:val="28"/>
          <w:szCs w:val="28"/>
          <w:lang w:val="es-MX"/>
        </w:rPr>
      </w:pPr>
    </w:p>
    <w:p w14:paraId="388D91A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A1A788F"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lastRenderedPageBreak/>
        <w:t>(Cifras en miles de</w:t>
      </w:r>
      <w:r w:rsidRPr="005F202B">
        <w:rPr>
          <w:rFonts w:ascii="Arial" w:hAnsi="Arial" w:cs="Arial"/>
          <w:spacing w:val="-11"/>
          <w:sz w:val="24"/>
        </w:rPr>
        <w:t xml:space="preserve"> </w:t>
      </w:r>
      <w:r w:rsidRPr="005F202B">
        <w:rPr>
          <w:rFonts w:ascii="Arial" w:hAnsi="Arial" w:cs="Arial"/>
          <w:sz w:val="24"/>
        </w:rPr>
        <w:t>pesos).</w:t>
      </w:r>
    </w:p>
    <w:p w14:paraId="548FD03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37765B" w14:paraId="389427D8" w14:textId="77777777" w:rsidTr="006548F8">
        <w:tc>
          <w:tcPr>
            <w:tcW w:w="3544" w:type="dxa"/>
          </w:tcPr>
          <w:p w14:paraId="2C3334F5" w14:textId="77777777" w:rsidR="007E2F9F" w:rsidRPr="0037765B" w:rsidRDefault="007E2F9F" w:rsidP="006548F8">
            <w:pPr>
              <w:ind w:left="1169" w:right="-1440"/>
              <w:rPr>
                <w:rFonts w:ascii="Arial" w:hAnsi="Arial" w:cs="Arial"/>
                <w:b/>
                <w:sz w:val="18"/>
                <w:szCs w:val="18"/>
                <w:lang w:val="es-ES_tradnl"/>
              </w:rPr>
            </w:pPr>
            <w:r w:rsidRPr="0037765B">
              <w:rPr>
                <w:rFonts w:ascii="Arial" w:hAnsi="Arial" w:cs="Arial"/>
                <w:b/>
                <w:sz w:val="18"/>
                <w:szCs w:val="18"/>
                <w:lang w:val="es-ES_tradnl"/>
              </w:rPr>
              <w:t>TIPO DE GASTO</w:t>
            </w:r>
          </w:p>
        </w:tc>
        <w:tc>
          <w:tcPr>
            <w:tcW w:w="2354" w:type="dxa"/>
          </w:tcPr>
          <w:p w14:paraId="43835B38" w14:textId="77777777" w:rsidR="007E2F9F" w:rsidRPr="0037765B" w:rsidRDefault="007E2F9F" w:rsidP="006548F8">
            <w:pPr>
              <w:jc w:val="center"/>
              <w:rPr>
                <w:rFonts w:ascii="Arial" w:hAnsi="Arial" w:cs="Arial"/>
                <w:b/>
                <w:sz w:val="18"/>
                <w:szCs w:val="18"/>
                <w:lang w:val="es-ES_tradnl"/>
              </w:rPr>
            </w:pPr>
            <w:r w:rsidRPr="0037765B">
              <w:rPr>
                <w:rFonts w:ascii="Arial" w:hAnsi="Arial" w:cs="Arial"/>
                <w:b/>
                <w:sz w:val="18"/>
                <w:szCs w:val="18"/>
                <w:lang w:val="es-ES_tradnl"/>
              </w:rPr>
              <w:t>APROPIACIÓN</w:t>
            </w:r>
          </w:p>
          <w:p w14:paraId="214F405F" w14:textId="77777777" w:rsidR="007E2F9F" w:rsidRPr="0037765B" w:rsidRDefault="007E2F9F" w:rsidP="006548F8">
            <w:pPr>
              <w:jc w:val="center"/>
              <w:rPr>
                <w:rFonts w:ascii="Arial" w:hAnsi="Arial" w:cs="Arial"/>
                <w:b/>
                <w:sz w:val="18"/>
                <w:szCs w:val="18"/>
                <w:lang w:val="es-ES_tradnl"/>
              </w:rPr>
            </w:pPr>
            <w:r w:rsidRPr="0037765B">
              <w:rPr>
                <w:rFonts w:ascii="Arial" w:hAnsi="Arial" w:cs="Arial"/>
                <w:b/>
                <w:sz w:val="18"/>
                <w:szCs w:val="18"/>
                <w:lang w:val="es-ES_tradnl"/>
              </w:rPr>
              <w:t>DEFINITIVA</w:t>
            </w:r>
          </w:p>
          <w:p w14:paraId="78654BDC" w14:textId="77777777" w:rsidR="007E2F9F" w:rsidRPr="0037765B" w:rsidRDefault="007E2F9F" w:rsidP="006548F8">
            <w:pPr>
              <w:jc w:val="center"/>
              <w:rPr>
                <w:rFonts w:ascii="Arial" w:hAnsi="Arial" w:cs="Arial"/>
                <w:b/>
                <w:sz w:val="18"/>
                <w:szCs w:val="18"/>
                <w:lang w:val="es-ES_tradnl"/>
              </w:rPr>
            </w:pPr>
            <w:r w:rsidRPr="0037765B">
              <w:rPr>
                <w:rFonts w:ascii="Arial" w:hAnsi="Arial" w:cs="Arial"/>
                <w:b/>
                <w:sz w:val="18"/>
                <w:szCs w:val="18"/>
                <w:lang w:val="es-ES_tradnl"/>
              </w:rPr>
              <w:t>(1)</w:t>
            </w:r>
          </w:p>
          <w:p w14:paraId="611C1E79" w14:textId="77777777" w:rsidR="007E2F9F" w:rsidRPr="0037765B" w:rsidRDefault="007E2F9F" w:rsidP="006548F8">
            <w:pPr>
              <w:jc w:val="center"/>
              <w:rPr>
                <w:rFonts w:ascii="Arial" w:hAnsi="Arial" w:cs="Arial"/>
                <w:b/>
                <w:sz w:val="18"/>
                <w:szCs w:val="18"/>
                <w:lang w:val="es-ES_tradnl"/>
              </w:rPr>
            </w:pPr>
          </w:p>
        </w:tc>
        <w:tc>
          <w:tcPr>
            <w:tcW w:w="2354" w:type="dxa"/>
          </w:tcPr>
          <w:p w14:paraId="0EC9E300" w14:textId="77777777" w:rsidR="007E2F9F" w:rsidRPr="0037765B" w:rsidRDefault="007E2F9F" w:rsidP="006548F8">
            <w:pPr>
              <w:ind w:left="145" w:right="184"/>
              <w:jc w:val="center"/>
              <w:rPr>
                <w:rFonts w:ascii="Arial" w:hAnsi="Arial" w:cs="Arial"/>
                <w:b/>
                <w:sz w:val="18"/>
                <w:szCs w:val="18"/>
                <w:lang w:val="es-ES_tradnl"/>
              </w:rPr>
            </w:pPr>
            <w:r w:rsidRPr="0037765B">
              <w:rPr>
                <w:rFonts w:ascii="Arial" w:hAnsi="Arial" w:cs="Arial"/>
                <w:b/>
                <w:sz w:val="18"/>
                <w:szCs w:val="18"/>
                <w:lang w:val="es-ES_tradnl"/>
              </w:rPr>
              <w:t>EJECUCIÓN</w:t>
            </w:r>
          </w:p>
          <w:p w14:paraId="72161EB6" w14:textId="77777777" w:rsidR="007E2F9F" w:rsidRPr="0037765B" w:rsidRDefault="007E2F9F" w:rsidP="006548F8">
            <w:pPr>
              <w:ind w:right="34"/>
              <w:jc w:val="center"/>
              <w:rPr>
                <w:rFonts w:ascii="Arial" w:hAnsi="Arial" w:cs="Arial"/>
                <w:b/>
                <w:sz w:val="18"/>
                <w:szCs w:val="18"/>
                <w:lang w:val="es-ES_tradnl"/>
              </w:rPr>
            </w:pPr>
            <w:r w:rsidRPr="0037765B">
              <w:rPr>
                <w:rFonts w:ascii="Arial" w:hAnsi="Arial" w:cs="Arial"/>
                <w:b/>
                <w:sz w:val="18"/>
                <w:szCs w:val="18"/>
                <w:lang w:val="es-ES_tradnl"/>
              </w:rPr>
              <w:t>COMPROMISOS</w:t>
            </w:r>
          </w:p>
          <w:p w14:paraId="55A5104C" w14:textId="77777777" w:rsidR="007E2F9F" w:rsidRPr="0037765B" w:rsidRDefault="007E2F9F" w:rsidP="006548F8">
            <w:pPr>
              <w:ind w:right="34"/>
              <w:jc w:val="center"/>
              <w:rPr>
                <w:rFonts w:ascii="Arial" w:hAnsi="Arial" w:cs="Arial"/>
                <w:b/>
                <w:sz w:val="18"/>
                <w:szCs w:val="18"/>
                <w:lang w:val="es-ES_tradnl"/>
              </w:rPr>
            </w:pPr>
            <w:r w:rsidRPr="0037765B">
              <w:rPr>
                <w:rFonts w:ascii="Arial" w:hAnsi="Arial" w:cs="Arial"/>
                <w:b/>
                <w:sz w:val="18"/>
                <w:szCs w:val="18"/>
                <w:lang w:val="es-ES_tradnl"/>
              </w:rPr>
              <w:t>(2)</w:t>
            </w:r>
          </w:p>
        </w:tc>
        <w:tc>
          <w:tcPr>
            <w:tcW w:w="2238" w:type="dxa"/>
          </w:tcPr>
          <w:p w14:paraId="386F07E8" w14:textId="77777777" w:rsidR="007E2F9F" w:rsidRPr="0037765B" w:rsidRDefault="007E2F9F" w:rsidP="006548F8">
            <w:pPr>
              <w:ind w:left="25" w:right="34"/>
              <w:jc w:val="center"/>
              <w:rPr>
                <w:rFonts w:ascii="Arial" w:hAnsi="Arial" w:cs="Arial"/>
                <w:b/>
                <w:sz w:val="18"/>
                <w:szCs w:val="18"/>
                <w:lang w:val="es-ES_tradnl"/>
              </w:rPr>
            </w:pPr>
            <w:r w:rsidRPr="0037765B">
              <w:rPr>
                <w:rFonts w:ascii="Arial" w:hAnsi="Arial" w:cs="Arial"/>
                <w:b/>
                <w:sz w:val="18"/>
                <w:szCs w:val="18"/>
                <w:lang w:val="es-ES_tradnl"/>
              </w:rPr>
              <w:t>PÉRDIDAS DE</w:t>
            </w:r>
          </w:p>
          <w:p w14:paraId="168F1006" w14:textId="77777777" w:rsidR="007E2F9F" w:rsidRPr="0037765B" w:rsidRDefault="007E2F9F" w:rsidP="006548F8">
            <w:pPr>
              <w:ind w:right="34"/>
              <w:jc w:val="center"/>
              <w:rPr>
                <w:rFonts w:ascii="Arial" w:hAnsi="Arial" w:cs="Arial"/>
                <w:b/>
                <w:sz w:val="18"/>
                <w:szCs w:val="18"/>
                <w:lang w:val="es-ES_tradnl"/>
              </w:rPr>
            </w:pPr>
            <w:r w:rsidRPr="0037765B">
              <w:rPr>
                <w:rFonts w:ascii="Arial" w:hAnsi="Arial" w:cs="Arial"/>
                <w:b/>
                <w:sz w:val="18"/>
                <w:szCs w:val="18"/>
                <w:lang w:val="es-ES_tradnl"/>
              </w:rPr>
              <w:t>APROPIACIÓN</w:t>
            </w:r>
          </w:p>
          <w:p w14:paraId="09666743" w14:textId="77777777" w:rsidR="007E2F9F" w:rsidRPr="0037765B" w:rsidRDefault="007E2F9F" w:rsidP="006548F8">
            <w:pPr>
              <w:ind w:right="34"/>
              <w:jc w:val="center"/>
              <w:rPr>
                <w:rFonts w:ascii="Arial" w:hAnsi="Arial" w:cs="Arial"/>
                <w:b/>
                <w:sz w:val="18"/>
                <w:szCs w:val="18"/>
                <w:lang w:val="es-ES_tradnl"/>
              </w:rPr>
            </w:pPr>
            <w:r w:rsidRPr="0037765B">
              <w:rPr>
                <w:rFonts w:ascii="Arial" w:hAnsi="Arial" w:cs="Arial"/>
                <w:b/>
                <w:sz w:val="18"/>
                <w:szCs w:val="18"/>
                <w:lang w:val="es-ES_tradnl"/>
              </w:rPr>
              <w:t>3 = (1-2)</w:t>
            </w:r>
          </w:p>
        </w:tc>
      </w:tr>
      <w:tr w:rsidR="007E2F9F" w:rsidRPr="0037765B" w14:paraId="2E5BD4DC" w14:textId="77777777" w:rsidTr="006548F8">
        <w:trPr>
          <w:trHeight w:val="230"/>
        </w:trPr>
        <w:tc>
          <w:tcPr>
            <w:tcW w:w="3544" w:type="dxa"/>
          </w:tcPr>
          <w:p w14:paraId="26C94D48" w14:textId="77777777" w:rsidR="007E2F9F" w:rsidRPr="0037765B" w:rsidRDefault="007E2F9F" w:rsidP="006548F8">
            <w:pPr>
              <w:ind w:right="-1440"/>
              <w:jc w:val="both"/>
              <w:rPr>
                <w:rFonts w:ascii="Arial" w:hAnsi="Arial" w:cs="Arial"/>
                <w:b/>
                <w:bCs/>
                <w:sz w:val="18"/>
                <w:szCs w:val="18"/>
                <w:lang w:val="es-ES_tradnl"/>
              </w:rPr>
            </w:pPr>
            <w:r w:rsidRPr="0037765B">
              <w:rPr>
                <w:rFonts w:ascii="Arial" w:hAnsi="Arial" w:cs="Arial"/>
                <w:b/>
                <w:bCs/>
                <w:sz w:val="18"/>
                <w:szCs w:val="18"/>
                <w:lang w:val="es-ES_tradnl"/>
              </w:rPr>
              <w:t>FUNCIONAMIENTO</w:t>
            </w:r>
          </w:p>
        </w:tc>
        <w:tc>
          <w:tcPr>
            <w:tcW w:w="2354" w:type="dxa"/>
          </w:tcPr>
          <w:p w14:paraId="13A68565" w14:textId="77777777" w:rsidR="007E2F9F" w:rsidRPr="0037765B" w:rsidRDefault="007E2F9F" w:rsidP="006548F8">
            <w:pPr>
              <w:jc w:val="right"/>
              <w:rPr>
                <w:rFonts w:ascii="Arial" w:eastAsia="Calibri" w:hAnsi="Arial" w:cs="Arial"/>
                <w:b/>
                <w:bCs/>
                <w:sz w:val="18"/>
                <w:szCs w:val="18"/>
                <w:lang w:val="es-CO"/>
              </w:rPr>
            </w:pPr>
            <w:r w:rsidRPr="0037765B">
              <w:rPr>
                <w:rFonts w:eastAsia="Calibri"/>
                <w:sz w:val="18"/>
                <w:szCs w:val="18"/>
                <w:lang w:val="es-CO"/>
              </w:rPr>
              <w:t>3.344.487</w:t>
            </w:r>
          </w:p>
        </w:tc>
        <w:tc>
          <w:tcPr>
            <w:tcW w:w="2354" w:type="dxa"/>
          </w:tcPr>
          <w:p w14:paraId="76583D0B" w14:textId="77777777" w:rsidR="007E2F9F" w:rsidRPr="0037765B" w:rsidRDefault="007E2F9F" w:rsidP="006548F8">
            <w:pPr>
              <w:pStyle w:val="Prrafodelista"/>
              <w:ind w:left="0"/>
              <w:jc w:val="right"/>
              <w:rPr>
                <w:rFonts w:ascii="Arial" w:hAnsi="Arial" w:cs="Arial"/>
                <w:b/>
                <w:bCs/>
                <w:sz w:val="18"/>
                <w:szCs w:val="18"/>
              </w:rPr>
            </w:pPr>
            <w:r w:rsidRPr="0037765B">
              <w:rPr>
                <w:rFonts w:eastAsia="Calibri"/>
                <w:sz w:val="18"/>
                <w:szCs w:val="18"/>
                <w:lang w:val="es-CO"/>
              </w:rPr>
              <w:t>3.084.177</w:t>
            </w:r>
          </w:p>
        </w:tc>
        <w:tc>
          <w:tcPr>
            <w:tcW w:w="2238" w:type="dxa"/>
          </w:tcPr>
          <w:p w14:paraId="322AC888" w14:textId="77777777" w:rsidR="007E2F9F" w:rsidRPr="0037765B" w:rsidRDefault="007E2F9F" w:rsidP="006548F8">
            <w:pPr>
              <w:pStyle w:val="Prrafodelista"/>
              <w:ind w:left="0"/>
              <w:jc w:val="right"/>
              <w:rPr>
                <w:rFonts w:ascii="Arial" w:hAnsi="Arial" w:cs="Arial"/>
                <w:b/>
                <w:bCs/>
                <w:sz w:val="18"/>
                <w:szCs w:val="18"/>
              </w:rPr>
            </w:pPr>
            <w:r w:rsidRPr="0037765B">
              <w:rPr>
                <w:b/>
                <w:sz w:val="18"/>
                <w:szCs w:val="18"/>
              </w:rPr>
              <w:t>260.310</w:t>
            </w:r>
          </w:p>
        </w:tc>
      </w:tr>
      <w:tr w:rsidR="007E2F9F" w:rsidRPr="0037765B" w14:paraId="6A6F6C4A" w14:textId="77777777" w:rsidTr="006548F8">
        <w:tc>
          <w:tcPr>
            <w:tcW w:w="3544" w:type="dxa"/>
          </w:tcPr>
          <w:p w14:paraId="1401D264" w14:textId="77777777" w:rsidR="007E2F9F" w:rsidRPr="0037765B" w:rsidRDefault="007E2F9F" w:rsidP="006548F8">
            <w:pPr>
              <w:ind w:right="-1440"/>
              <w:jc w:val="both"/>
              <w:rPr>
                <w:rFonts w:ascii="Arial" w:hAnsi="Arial" w:cs="Arial"/>
                <w:b/>
                <w:bCs/>
                <w:sz w:val="18"/>
                <w:szCs w:val="18"/>
                <w:lang w:val="es-ES_tradnl"/>
              </w:rPr>
            </w:pPr>
            <w:r w:rsidRPr="0037765B">
              <w:rPr>
                <w:rFonts w:ascii="Arial" w:hAnsi="Arial" w:cs="Arial"/>
                <w:b/>
                <w:bCs/>
                <w:sz w:val="18"/>
                <w:szCs w:val="18"/>
                <w:lang w:val="es-ES_tradnl"/>
              </w:rPr>
              <w:t>TOTAL PÉRDIDAS DE APROPIACIÓN</w:t>
            </w:r>
          </w:p>
        </w:tc>
        <w:tc>
          <w:tcPr>
            <w:tcW w:w="2354" w:type="dxa"/>
          </w:tcPr>
          <w:p w14:paraId="24F11155" w14:textId="77777777" w:rsidR="007E2F9F" w:rsidRPr="0037765B" w:rsidRDefault="007E2F9F" w:rsidP="006548F8">
            <w:pPr>
              <w:pStyle w:val="Prrafodelista"/>
              <w:ind w:left="0"/>
              <w:jc w:val="right"/>
              <w:rPr>
                <w:rFonts w:ascii="Arial" w:hAnsi="Arial" w:cs="Arial"/>
                <w:b/>
                <w:bCs/>
                <w:sz w:val="18"/>
                <w:szCs w:val="18"/>
                <w:u w:val="single"/>
              </w:rPr>
            </w:pPr>
            <w:r w:rsidRPr="0037765B">
              <w:rPr>
                <w:rFonts w:eastAsia="Calibri"/>
                <w:sz w:val="18"/>
                <w:szCs w:val="18"/>
                <w:lang w:val="es-CO"/>
              </w:rPr>
              <w:t>3.344.487</w:t>
            </w:r>
          </w:p>
        </w:tc>
        <w:tc>
          <w:tcPr>
            <w:tcW w:w="2354" w:type="dxa"/>
          </w:tcPr>
          <w:p w14:paraId="4F32BCE6" w14:textId="77777777" w:rsidR="007E2F9F" w:rsidRPr="0037765B" w:rsidRDefault="007E2F9F" w:rsidP="006548F8">
            <w:pPr>
              <w:pStyle w:val="Prrafodelista"/>
              <w:ind w:left="0"/>
              <w:jc w:val="right"/>
              <w:rPr>
                <w:rFonts w:ascii="Arial" w:hAnsi="Arial" w:cs="Arial"/>
                <w:b/>
                <w:bCs/>
                <w:sz w:val="18"/>
                <w:szCs w:val="18"/>
                <w:u w:val="single"/>
              </w:rPr>
            </w:pPr>
            <w:r w:rsidRPr="0037765B">
              <w:rPr>
                <w:rFonts w:eastAsia="Calibri"/>
                <w:sz w:val="18"/>
                <w:szCs w:val="18"/>
                <w:lang w:val="es-CO"/>
              </w:rPr>
              <w:t>3.084.177</w:t>
            </w:r>
          </w:p>
        </w:tc>
        <w:tc>
          <w:tcPr>
            <w:tcW w:w="2238" w:type="dxa"/>
          </w:tcPr>
          <w:p w14:paraId="6885A748" w14:textId="77777777" w:rsidR="007E2F9F" w:rsidRPr="0037765B" w:rsidRDefault="007E2F9F" w:rsidP="006548F8">
            <w:pPr>
              <w:pStyle w:val="Prrafodelista"/>
              <w:ind w:left="0"/>
              <w:jc w:val="right"/>
              <w:rPr>
                <w:rFonts w:ascii="Arial" w:hAnsi="Arial" w:cs="Arial"/>
                <w:b/>
                <w:bCs/>
                <w:sz w:val="18"/>
                <w:szCs w:val="18"/>
                <w:u w:val="single"/>
              </w:rPr>
            </w:pPr>
            <w:r w:rsidRPr="0037765B">
              <w:rPr>
                <w:b/>
                <w:sz w:val="18"/>
                <w:szCs w:val="18"/>
              </w:rPr>
              <w:t>260.310</w:t>
            </w:r>
          </w:p>
        </w:tc>
      </w:tr>
    </w:tbl>
    <w:p w14:paraId="4F9A4BBE" w14:textId="77777777" w:rsidR="007E2F9F" w:rsidRDefault="007E2F9F" w:rsidP="007E2F9F">
      <w:pPr>
        <w:ind w:left="-284" w:right="-234"/>
        <w:jc w:val="both"/>
        <w:rPr>
          <w:rFonts w:ascii="Arial" w:hAnsi="Arial" w:cs="Arial"/>
          <w:b/>
          <w:bCs/>
          <w:sz w:val="28"/>
          <w:szCs w:val="28"/>
          <w:lang w:val="es-MX"/>
        </w:rPr>
      </w:pPr>
    </w:p>
    <w:p w14:paraId="6D589156" w14:textId="77777777" w:rsidR="007E2F9F" w:rsidRPr="00E92A3B" w:rsidRDefault="007E2F9F" w:rsidP="007E2F9F">
      <w:pPr>
        <w:ind w:left="-284" w:right="-234"/>
        <w:jc w:val="both"/>
        <w:rPr>
          <w:rFonts w:ascii="Arial" w:hAnsi="Arial" w:cs="Arial"/>
          <w:b/>
          <w:sz w:val="28"/>
          <w:szCs w:val="28"/>
          <w:lang w:val="es-MX"/>
        </w:rPr>
      </w:pPr>
      <w:r w:rsidRPr="00E92A3B">
        <w:rPr>
          <w:rFonts w:ascii="Arial" w:hAnsi="Arial" w:cs="Arial"/>
          <w:b/>
          <w:sz w:val="28"/>
          <w:szCs w:val="28"/>
          <w:lang w:val="es-MX"/>
        </w:rPr>
        <w:t>269.- DEPARTAMENTO ADMINISTRATIVO NACIONAL DE ESTADÍSTICA - DANE.</w:t>
      </w:r>
    </w:p>
    <w:p w14:paraId="79CC7DDC" w14:textId="77777777" w:rsidR="007E2F9F" w:rsidRDefault="007E2F9F" w:rsidP="007E2F9F">
      <w:pPr>
        <w:ind w:left="-284" w:right="-234"/>
        <w:jc w:val="both"/>
        <w:rPr>
          <w:rFonts w:ascii="Arial" w:hAnsi="Arial" w:cs="Arial"/>
          <w:b/>
          <w:bCs/>
          <w:sz w:val="28"/>
          <w:szCs w:val="28"/>
          <w:lang w:val="es-MX"/>
        </w:rPr>
      </w:pPr>
    </w:p>
    <w:p w14:paraId="3505573C"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8F06B7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A56B54E"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92A3B" w14:paraId="296BBCDD" w14:textId="77777777" w:rsidTr="006548F8">
        <w:tc>
          <w:tcPr>
            <w:tcW w:w="3544" w:type="dxa"/>
          </w:tcPr>
          <w:p w14:paraId="5B763059" w14:textId="77777777" w:rsidR="007E2F9F" w:rsidRPr="00E92A3B" w:rsidRDefault="007E2F9F" w:rsidP="006548F8">
            <w:pPr>
              <w:ind w:left="1169" w:right="-1440"/>
              <w:rPr>
                <w:rFonts w:ascii="Arial" w:hAnsi="Arial" w:cs="Arial"/>
                <w:b/>
                <w:sz w:val="18"/>
                <w:szCs w:val="18"/>
                <w:lang w:val="es-ES_tradnl"/>
              </w:rPr>
            </w:pPr>
            <w:r w:rsidRPr="00E92A3B">
              <w:rPr>
                <w:rFonts w:ascii="Arial" w:hAnsi="Arial" w:cs="Arial"/>
                <w:b/>
                <w:sz w:val="18"/>
                <w:szCs w:val="18"/>
                <w:lang w:val="es-ES_tradnl"/>
              </w:rPr>
              <w:t>TIPO DE GASTO</w:t>
            </w:r>
          </w:p>
        </w:tc>
        <w:tc>
          <w:tcPr>
            <w:tcW w:w="2354" w:type="dxa"/>
          </w:tcPr>
          <w:p w14:paraId="6029BD51" w14:textId="77777777" w:rsidR="007E2F9F" w:rsidRPr="00E92A3B" w:rsidRDefault="007E2F9F" w:rsidP="006548F8">
            <w:pPr>
              <w:jc w:val="center"/>
              <w:rPr>
                <w:rFonts w:ascii="Arial" w:hAnsi="Arial" w:cs="Arial"/>
                <w:b/>
                <w:sz w:val="18"/>
                <w:szCs w:val="18"/>
                <w:lang w:val="es-ES_tradnl"/>
              </w:rPr>
            </w:pPr>
            <w:r w:rsidRPr="00E92A3B">
              <w:rPr>
                <w:rFonts w:ascii="Arial" w:hAnsi="Arial" w:cs="Arial"/>
                <w:b/>
                <w:sz w:val="18"/>
                <w:szCs w:val="18"/>
                <w:lang w:val="es-ES_tradnl"/>
              </w:rPr>
              <w:t>APROPIACIÓN</w:t>
            </w:r>
          </w:p>
          <w:p w14:paraId="3C50B759" w14:textId="77777777" w:rsidR="007E2F9F" w:rsidRPr="00E92A3B" w:rsidRDefault="007E2F9F" w:rsidP="006548F8">
            <w:pPr>
              <w:jc w:val="center"/>
              <w:rPr>
                <w:rFonts w:ascii="Arial" w:hAnsi="Arial" w:cs="Arial"/>
                <w:b/>
                <w:sz w:val="18"/>
                <w:szCs w:val="18"/>
                <w:lang w:val="es-ES_tradnl"/>
              </w:rPr>
            </w:pPr>
            <w:r w:rsidRPr="00E92A3B">
              <w:rPr>
                <w:rFonts w:ascii="Arial" w:hAnsi="Arial" w:cs="Arial"/>
                <w:b/>
                <w:sz w:val="18"/>
                <w:szCs w:val="18"/>
                <w:lang w:val="es-ES_tradnl"/>
              </w:rPr>
              <w:t>DEFINITIVA</w:t>
            </w:r>
          </w:p>
          <w:p w14:paraId="7F96B2E3" w14:textId="77777777" w:rsidR="007E2F9F" w:rsidRPr="00E92A3B" w:rsidRDefault="007E2F9F" w:rsidP="006548F8">
            <w:pPr>
              <w:jc w:val="center"/>
              <w:rPr>
                <w:rFonts w:ascii="Arial" w:hAnsi="Arial" w:cs="Arial"/>
                <w:b/>
                <w:sz w:val="18"/>
                <w:szCs w:val="18"/>
                <w:lang w:val="es-ES_tradnl"/>
              </w:rPr>
            </w:pPr>
            <w:r w:rsidRPr="00E92A3B">
              <w:rPr>
                <w:rFonts w:ascii="Arial" w:hAnsi="Arial" w:cs="Arial"/>
                <w:b/>
                <w:sz w:val="18"/>
                <w:szCs w:val="18"/>
                <w:lang w:val="es-ES_tradnl"/>
              </w:rPr>
              <w:t>(1)</w:t>
            </w:r>
          </w:p>
          <w:p w14:paraId="53599B56" w14:textId="77777777" w:rsidR="007E2F9F" w:rsidRPr="00E92A3B" w:rsidRDefault="007E2F9F" w:rsidP="006548F8">
            <w:pPr>
              <w:jc w:val="center"/>
              <w:rPr>
                <w:rFonts w:ascii="Arial" w:hAnsi="Arial" w:cs="Arial"/>
                <w:b/>
                <w:sz w:val="18"/>
                <w:szCs w:val="18"/>
                <w:lang w:val="es-ES_tradnl"/>
              </w:rPr>
            </w:pPr>
          </w:p>
        </w:tc>
        <w:tc>
          <w:tcPr>
            <w:tcW w:w="2354" w:type="dxa"/>
          </w:tcPr>
          <w:p w14:paraId="2FA9093C" w14:textId="77777777" w:rsidR="007E2F9F" w:rsidRPr="00E92A3B" w:rsidRDefault="007E2F9F" w:rsidP="006548F8">
            <w:pPr>
              <w:ind w:left="145" w:right="184"/>
              <w:jc w:val="center"/>
              <w:rPr>
                <w:rFonts w:ascii="Arial" w:hAnsi="Arial" w:cs="Arial"/>
                <w:b/>
                <w:sz w:val="18"/>
                <w:szCs w:val="18"/>
                <w:lang w:val="es-ES_tradnl"/>
              </w:rPr>
            </w:pPr>
            <w:r w:rsidRPr="00E92A3B">
              <w:rPr>
                <w:rFonts w:ascii="Arial" w:hAnsi="Arial" w:cs="Arial"/>
                <w:b/>
                <w:sz w:val="18"/>
                <w:szCs w:val="18"/>
                <w:lang w:val="es-ES_tradnl"/>
              </w:rPr>
              <w:t>EJECUCIÓN</w:t>
            </w:r>
          </w:p>
          <w:p w14:paraId="02D41838" w14:textId="77777777" w:rsidR="007E2F9F" w:rsidRPr="00E92A3B" w:rsidRDefault="007E2F9F" w:rsidP="006548F8">
            <w:pPr>
              <w:ind w:right="34"/>
              <w:jc w:val="center"/>
              <w:rPr>
                <w:rFonts w:ascii="Arial" w:hAnsi="Arial" w:cs="Arial"/>
                <w:b/>
                <w:sz w:val="18"/>
                <w:szCs w:val="18"/>
                <w:lang w:val="es-ES_tradnl"/>
              </w:rPr>
            </w:pPr>
            <w:r w:rsidRPr="00E92A3B">
              <w:rPr>
                <w:rFonts w:ascii="Arial" w:hAnsi="Arial" w:cs="Arial"/>
                <w:b/>
                <w:sz w:val="18"/>
                <w:szCs w:val="18"/>
                <w:lang w:val="es-ES_tradnl"/>
              </w:rPr>
              <w:t>COMPROMISOS</w:t>
            </w:r>
          </w:p>
          <w:p w14:paraId="1DB1D285" w14:textId="77777777" w:rsidR="007E2F9F" w:rsidRPr="00E92A3B" w:rsidRDefault="007E2F9F" w:rsidP="006548F8">
            <w:pPr>
              <w:ind w:right="34"/>
              <w:jc w:val="center"/>
              <w:rPr>
                <w:rFonts w:ascii="Arial" w:hAnsi="Arial" w:cs="Arial"/>
                <w:b/>
                <w:sz w:val="18"/>
                <w:szCs w:val="18"/>
                <w:lang w:val="es-ES_tradnl"/>
              </w:rPr>
            </w:pPr>
            <w:r w:rsidRPr="00E92A3B">
              <w:rPr>
                <w:rFonts w:ascii="Arial" w:hAnsi="Arial" w:cs="Arial"/>
                <w:b/>
                <w:sz w:val="18"/>
                <w:szCs w:val="18"/>
                <w:lang w:val="es-ES_tradnl"/>
              </w:rPr>
              <w:t>(2)</w:t>
            </w:r>
          </w:p>
        </w:tc>
        <w:tc>
          <w:tcPr>
            <w:tcW w:w="2238" w:type="dxa"/>
          </w:tcPr>
          <w:p w14:paraId="49E5F84F" w14:textId="77777777" w:rsidR="007E2F9F" w:rsidRPr="00E92A3B" w:rsidRDefault="007E2F9F" w:rsidP="006548F8">
            <w:pPr>
              <w:ind w:left="25" w:right="34"/>
              <w:jc w:val="center"/>
              <w:rPr>
                <w:rFonts w:ascii="Arial" w:hAnsi="Arial" w:cs="Arial"/>
                <w:b/>
                <w:sz w:val="18"/>
                <w:szCs w:val="18"/>
                <w:lang w:val="es-ES_tradnl"/>
              </w:rPr>
            </w:pPr>
            <w:r w:rsidRPr="00E92A3B">
              <w:rPr>
                <w:rFonts w:ascii="Arial" w:hAnsi="Arial" w:cs="Arial"/>
                <w:b/>
                <w:sz w:val="18"/>
                <w:szCs w:val="18"/>
                <w:lang w:val="es-ES_tradnl"/>
              </w:rPr>
              <w:t>PÉRDIDAS DE</w:t>
            </w:r>
          </w:p>
          <w:p w14:paraId="1673BDD4" w14:textId="77777777" w:rsidR="007E2F9F" w:rsidRPr="00E92A3B" w:rsidRDefault="007E2F9F" w:rsidP="006548F8">
            <w:pPr>
              <w:ind w:right="34"/>
              <w:jc w:val="center"/>
              <w:rPr>
                <w:rFonts w:ascii="Arial" w:hAnsi="Arial" w:cs="Arial"/>
                <w:b/>
                <w:sz w:val="18"/>
                <w:szCs w:val="18"/>
                <w:lang w:val="es-ES_tradnl"/>
              </w:rPr>
            </w:pPr>
            <w:r w:rsidRPr="00E92A3B">
              <w:rPr>
                <w:rFonts w:ascii="Arial" w:hAnsi="Arial" w:cs="Arial"/>
                <w:b/>
                <w:sz w:val="18"/>
                <w:szCs w:val="18"/>
                <w:lang w:val="es-ES_tradnl"/>
              </w:rPr>
              <w:t>APROPIACIÓN</w:t>
            </w:r>
          </w:p>
          <w:p w14:paraId="71461A4C" w14:textId="77777777" w:rsidR="007E2F9F" w:rsidRPr="00E92A3B" w:rsidRDefault="007E2F9F" w:rsidP="006548F8">
            <w:pPr>
              <w:ind w:right="34"/>
              <w:jc w:val="center"/>
              <w:rPr>
                <w:rFonts w:ascii="Arial" w:hAnsi="Arial" w:cs="Arial"/>
                <w:b/>
                <w:sz w:val="18"/>
                <w:szCs w:val="18"/>
                <w:lang w:val="es-ES_tradnl"/>
              </w:rPr>
            </w:pPr>
            <w:r w:rsidRPr="00E92A3B">
              <w:rPr>
                <w:rFonts w:ascii="Arial" w:hAnsi="Arial" w:cs="Arial"/>
                <w:b/>
                <w:sz w:val="18"/>
                <w:szCs w:val="18"/>
                <w:lang w:val="es-ES_tradnl"/>
              </w:rPr>
              <w:t>3 = (1-2)</w:t>
            </w:r>
          </w:p>
        </w:tc>
      </w:tr>
      <w:tr w:rsidR="007E2F9F" w:rsidRPr="00E92A3B" w14:paraId="6AD24D75" w14:textId="77777777" w:rsidTr="006548F8">
        <w:trPr>
          <w:trHeight w:val="230"/>
        </w:trPr>
        <w:tc>
          <w:tcPr>
            <w:tcW w:w="3544" w:type="dxa"/>
          </w:tcPr>
          <w:p w14:paraId="25392974" w14:textId="77777777" w:rsidR="007E2F9F" w:rsidRPr="00E92A3B" w:rsidRDefault="007E2F9F" w:rsidP="006548F8">
            <w:pPr>
              <w:ind w:right="-1440"/>
              <w:jc w:val="both"/>
              <w:rPr>
                <w:rFonts w:ascii="Arial" w:hAnsi="Arial" w:cs="Arial"/>
                <w:b/>
                <w:bCs/>
                <w:sz w:val="18"/>
                <w:szCs w:val="18"/>
                <w:lang w:val="es-ES_tradnl"/>
              </w:rPr>
            </w:pPr>
            <w:r w:rsidRPr="00E92A3B">
              <w:rPr>
                <w:rFonts w:ascii="Arial" w:hAnsi="Arial" w:cs="Arial"/>
                <w:b/>
                <w:bCs/>
                <w:sz w:val="18"/>
                <w:szCs w:val="18"/>
                <w:lang w:val="es-ES_tradnl"/>
              </w:rPr>
              <w:t>FUNCIONAMIENTO</w:t>
            </w:r>
          </w:p>
        </w:tc>
        <w:tc>
          <w:tcPr>
            <w:tcW w:w="2354" w:type="dxa"/>
          </w:tcPr>
          <w:p w14:paraId="1CF7FF57" w14:textId="77777777" w:rsidR="007E2F9F" w:rsidRPr="00E92A3B" w:rsidRDefault="007E2F9F" w:rsidP="006548F8">
            <w:pPr>
              <w:jc w:val="right"/>
              <w:rPr>
                <w:rFonts w:ascii="Arial" w:eastAsia="Calibri" w:hAnsi="Arial" w:cs="Arial"/>
                <w:b/>
                <w:bCs/>
                <w:sz w:val="18"/>
                <w:szCs w:val="18"/>
                <w:lang w:val="es-CO"/>
              </w:rPr>
            </w:pPr>
            <w:r w:rsidRPr="00E92A3B">
              <w:rPr>
                <w:rFonts w:ascii="Arial" w:hAnsi="Arial" w:cs="Arial"/>
                <w:b/>
                <w:spacing w:val="-2"/>
                <w:sz w:val="18"/>
                <w:szCs w:val="18"/>
              </w:rPr>
              <w:t>135.215.582</w:t>
            </w:r>
          </w:p>
        </w:tc>
        <w:tc>
          <w:tcPr>
            <w:tcW w:w="2354" w:type="dxa"/>
          </w:tcPr>
          <w:p w14:paraId="710B68EC" w14:textId="77777777" w:rsidR="007E2F9F" w:rsidRPr="00E92A3B" w:rsidRDefault="007E2F9F" w:rsidP="006548F8">
            <w:pPr>
              <w:pStyle w:val="Prrafodelista"/>
              <w:ind w:left="0"/>
              <w:jc w:val="right"/>
              <w:rPr>
                <w:rFonts w:ascii="Arial" w:hAnsi="Arial" w:cs="Arial"/>
                <w:b/>
                <w:bCs/>
                <w:sz w:val="18"/>
                <w:szCs w:val="18"/>
              </w:rPr>
            </w:pPr>
            <w:r w:rsidRPr="00E92A3B">
              <w:rPr>
                <w:rFonts w:ascii="Arial" w:hAnsi="Arial" w:cs="Arial"/>
                <w:b/>
                <w:spacing w:val="-2"/>
                <w:sz w:val="18"/>
                <w:szCs w:val="18"/>
              </w:rPr>
              <w:t>131.131.817</w:t>
            </w:r>
          </w:p>
        </w:tc>
        <w:tc>
          <w:tcPr>
            <w:tcW w:w="2238" w:type="dxa"/>
          </w:tcPr>
          <w:p w14:paraId="5DC5080A" w14:textId="77777777" w:rsidR="007E2F9F" w:rsidRPr="00E92A3B" w:rsidRDefault="007E2F9F" w:rsidP="006548F8">
            <w:pPr>
              <w:pStyle w:val="Prrafodelista"/>
              <w:ind w:left="0"/>
              <w:jc w:val="right"/>
              <w:rPr>
                <w:rFonts w:ascii="Arial" w:hAnsi="Arial" w:cs="Arial"/>
                <w:b/>
                <w:bCs/>
                <w:sz w:val="18"/>
                <w:szCs w:val="18"/>
              </w:rPr>
            </w:pPr>
            <w:r w:rsidRPr="00E92A3B">
              <w:rPr>
                <w:rFonts w:ascii="Arial" w:hAnsi="Arial" w:cs="Arial"/>
                <w:b/>
                <w:spacing w:val="-2"/>
                <w:sz w:val="18"/>
                <w:szCs w:val="18"/>
              </w:rPr>
              <w:t>4.083.765</w:t>
            </w:r>
          </w:p>
        </w:tc>
      </w:tr>
      <w:tr w:rsidR="007E2F9F" w:rsidRPr="00E92A3B" w14:paraId="29D7DF76" w14:textId="77777777" w:rsidTr="006548F8">
        <w:trPr>
          <w:trHeight w:val="230"/>
        </w:trPr>
        <w:tc>
          <w:tcPr>
            <w:tcW w:w="3544" w:type="dxa"/>
          </w:tcPr>
          <w:p w14:paraId="20F27BF0" w14:textId="77777777" w:rsidR="007E2F9F" w:rsidRPr="00E92A3B" w:rsidRDefault="007E2F9F" w:rsidP="006548F8">
            <w:pPr>
              <w:ind w:right="-1440"/>
              <w:jc w:val="both"/>
              <w:rPr>
                <w:rFonts w:ascii="Arial" w:hAnsi="Arial" w:cs="Arial"/>
                <w:b/>
                <w:bCs/>
                <w:sz w:val="18"/>
                <w:szCs w:val="18"/>
                <w:lang w:val="es-ES_tradnl"/>
              </w:rPr>
            </w:pPr>
            <w:r w:rsidRPr="00E92A3B">
              <w:rPr>
                <w:rFonts w:ascii="Arial" w:hAnsi="Arial" w:cs="Arial"/>
                <w:b/>
                <w:bCs/>
                <w:sz w:val="18"/>
                <w:szCs w:val="18"/>
                <w:lang w:val="es-ES_tradnl"/>
              </w:rPr>
              <w:t>NVERSIÓN</w:t>
            </w:r>
          </w:p>
        </w:tc>
        <w:tc>
          <w:tcPr>
            <w:tcW w:w="2354" w:type="dxa"/>
          </w:tcPr>
          <w:p w14:paraId="11897889" w14:textId="77777777" w:rsidR="007E2F9F" w:rsidRPr="00E92A3B" w:rsidRDefault="007E2F9F" w:rsidP="006548F8">
            <w:pPr>
              <w:jc w:val="right"/>
              <w:rPr>
                <w:rFonts w:ascii="Arial" w:eastAsia="Calibri" w:hAnsi="Arial" w:cs="Arial"/>
                <w:b/>
                <w:bCs/>
                <w:sz w:val="18"/>
                <w:szCs w:val="18"/>
                <w:lang w:val="es-CO"/>
              </w:rPr>
            </w:pPr>
            <w:r w:rsidRPr="00E92A3B">
              <w:rPr>
                <w:rFonts w:ascii="Arial" w:hAnsi="Arial" w:cs="Arial"/>
                <w:spacing w:val="-2"/>
                <w:sz w:val="18"/>
                <w:szCs w:val="18"/>
              </w:rPr>
              <w:t>435.062.649</w:t>
            </w:r>
          </w:p>
        </w:tc>
        <w:tc>
          <w:tcPr>
            <w:tcW w:w="2354" w:type="dxa"/>
          </w:tcPr>
          <w:p w14:paraId="61E1EB25" w14:textId="77777777" w:rsidR="007E2F9F" w:rsidRPr="00E92A3B" w:rsidRDefault="007E2F9F" w:rsidP="006548F8">
            <w:pPr>
              <w:pStyle w:val="Prrafodelista"/>
              <w:ind w:left="0"/>
              <w:jc w:val="right"/>
              <w:rPr>
                <w:rFonts w:ascii="Arial" w:eastAsia="Calibri" w:hAnsi="Arial" w:cs="Arial"/>
                <w:b/>
                <w:bCs/>
                <w:sz w:val="18"/>
                <w:szCs w:val="18"/>
                <w:lang w:val="es-CO"/>
              </w:rPr>
            </w:pPr>
            <w:r w:rsidRPr="00E92A3B">
              <w:rPr>
                <w:rFonts w:ascii="Arial" w:hAnsi="Arial" w:cs="Arial"/>
                <w:spacing w:val="-2"/>
                <w:sz w:val="18"/>
                <w:szCs w:val="18"/>
              </w:rPr>
              <w:t>417.768.708</w:t>
            </w:r>
          </w:p>
        </w:tc>
        <w:tc>
          <w:tcPr>
            <w:tcW w:w="2238" w:type="dxa"/>
          </w:tcPr>
          <w:p w14:paraId="3306E04E" w14:textId="77777777" w:rsidR="007E2F9F" w:rsidRPr="00E92A3B" w:rsidRDefault="007E2F9F" w:rsidP="006548F8">
            <w:pPr>
              <w:pStyle w:val="Prrafodelista"/>
              <w:ind w:left="0"/>
              <w:jc w:val="right"/>
              <w:rPr>
                <w:rFonts w:ascii="Arial" w:hAnsi="Arial" w:cs="Arial"/>
                <w:b/>
                <w:bCs/>
                <w:sz w:val="18"/>
                <w:szCs w:val="18"/>
              </w:rPr>
            </w:pPr>
            <w:r w:rsidRPr="00E92A3B">
              <w:rPr>
                <w:rFonts w:ascii="Arial" w:hAnsi="Arial" w:cs="Arial"/>
                <w:b/>
                <w:spacing w:val="-2"/>
                <w:sz w:val="18"/>
                <w:szCs w:val="18"/>
              </w:rPr>
              <w:t>17.293.941</w:t>
            </w:r>
          </w:p>
        </w:tc>
      </w:tr>
      <w:tr w:rsidR="007E2F9F" w:rsidRPr="00E92A3B" w14:paraId="50AF6D0B" w14:textId="77777777" w:rsidTr="006548F8">
        <w:tc>
          <w:tcPr>
            <w:tcW w:w="3544" w:type="dxa"/>
          </w:tcPr>
          <w:p w14:paraId="59A48483" w14:textId="77777777" w:rsidR="007E2F9F" w:rsidRPr="00E92A3B" w:rsidRDefault="007E2F9F" w:rsidP="006548F8">
            <w:pPr>
              <w:ind w:right="-1440"/>
              <w:jc w:val="both"/>
              <w:rPr>
                <w:rFonts w:ascii="Arial" w:hAnsi="Arial" w:cs="Arial"/>
                <w:b/>
                <w:bCs/>
                <w:sz w:val="18"/>
                <w:szCs w:val="18"/>
                <w:lang w:val="es-ES_tradnl"/>
              </w:rPr>
            </w:pPr>
            <w:r w:rsidRPr="00E92A3B">
              <w:rPr>
                <w:rFonts w:ascii="Arial" w:hAnsi="Arial" w:cs="Arial"/>
                <w:b/>
                <w:bCs/>
                <w:sz w:val="18"/>
                <w:szCs w:val="18"/>
                <w:lang w:val="es-ES_tradnl"/>
              </w:rPr>
              <w:t>TOTAL PÉRDIDAS DE APROPIACIÓN</w:t>
            </w:r>
          </w:p>
        </w:tc>
        <w:tc>
          <w:tcPr>
            <w:tcW w:w="2354" w:type="dxa"/>
          </w:tcPr>
          <w:p w14:paraId="177C7CD8" w14:textId="77777777" w:rsidR="007E2F9F" w:rsidRPr="00E92A3B" w:rsidRDefault="007E2F9F" w:rsidP="006548F8">
            <w:pPr>
              <w:pStyle w:val="Prrafodelista"/>
              <w:ind w:left="0"/>
              <w:jc w:val="right"/>
              <w:rPr>
                <w:rFonts w:ascii="Arial" w:hAnsi="Arial" w:cs="Arial"/>
                <w:b/>
                <w:bCs/>
                <w:sz w:val="18"/>
                <w:szCs w:val="18"/>
                <w:u w:val="single"/>
              </w:rPr>
            </w:pPr>
            <w:r w:rsidRPr="00E92A3B">
              <w:rPr>
                <w:rFonts w:ascii="Arial" w:hAnsi="Arial" w:cs="Arial"/>
                <w:b/>
                <w:spacing w:val="-2"/>
                <w:sz w:val="18"/>
                <w:szCs w:val="18"/>
              </w:rPr>
              <w:t>570.278.231</w:t>
            </w:r>
          </w:p>
        </w:tc>
        <w:tc>
          <w:tcPr>
            <w:tcW w:w="2354" w:type="dxa"/>
          </w:tcPr>
          <w:p w14:paraId="1DCE297C" w14:textId="77777777" w:rsidR="007E2F9F" w:rsidRPr="00E92A3B" w:rsidRDefault="007E2F9F" w:rsidP="006548F8">
            <w:pPr>
              <w:pStyle w:val="Prrafodelista"/>
              <w:ind w:left="0"/>
              <w:jc w:val="right"/>
              <w:rPr>
                <w:rFonts w:ascii="Arial" w:hAnsi="Arial" w:cs="Arial"/>
                <w:b/>
                <w:bCs/>
                <w:sz w:val="18"/>
                <w:szCs w:val="18"/>
                <w:u w:val="single"/>
              </w:rPr>
            </w:pPr>
            <w:r w:rsidRPr="00E92A3B">
              <w:rPr>
                <w:rFonts w:ascii="Arial" w:hAnsi="Arial" w:cs="Arial"/>
                <w:b/>
                <w:spacing w:val="-2"/>
                <w:sz w:val="18"/>
                <w:szCs w:val="18"/>
              </w:rPr>
              <w:t>548.900.525</w:t>
            </w:r>
          </w:p>
        </w:tc>
        <w:tc>
          <w:tcPr>
            <w:tcW w:w="2238" w:type="dxa"/>
          </w:tcPr>
          <w:p w14:paraId="091A4AAC" w14:textId="77777777" w:rsidR="007E2F9F" w:rsidRPr="00E92A3B" w:rsidRDefault="007E2F9F" w:rsidP="006548F8">
            <w:pPr>
              <w:pStyle w:val="Prrafodelista"/>
              <w:ind w:left="0"/>
              <w:jc w:val="right"/>
              <w:rPr>
                <w:rFonts w:ascii="Arial" w:hAnsi="Arial" w:cs="Arial"/>
                <w:b/>
                <w:bCs/>
                <w:sz w:val="18"/>
                <w:szCs w:val="18"/>
                <w:u w:val="single"/>
              </w:rPr>
            </w:pPr>
            <w:r w:rsidRPr="00E92A3B">
              <w:rPr>
                <w:rFonts w:ascii="Arial" w:hAnsi="Arial" w:cs="Arial"/>
                <w:b/>
                <w:spacing w:val="-2"/>
                <w:sz w:val="18"/>
                <w:szCs w:val="18"/>
              </w:rPr>
              <w:t>21.377.706</w:t>
            </w:r>
          </w:p>
        </w:tc>
      </w:tr>
    </w:tbl>
    <w:p w14:paraId="74F7208D" w14:textId="77777777" w:rsidR="007E2F9F" w:rsidRDefault="007E2F9F" w:rsidP="007E2F9F">
      <w:pPr>
        <w:ind w:left="-284" w:right="-234"/>
        <w:jc w:val="both"/>
        <w:rPr>
          <w:rFonts w:ascii="Arial" w:hAnsi="Arial" w:cs="Arial"/>
          <w:b/>
          <w:bCs/>
          <w:sz w:val="28"/>
          <w:szCs w:val="28"/>
          <w:lang w:val="es-MX"/>
        </w:rPr>
      </w:pPr>
    </w:p>
    <w:p w14:paraId="47A8AE18" w14:textId="77777777" w:rsidR="007E2F9F" w:rsidRDefault="007E2F9F" w:rsidP="007E2F9F">
      <w:pPr>
        <w:ind w:left="-284"/>
        <w:jc w:val="both"/>
        <w:rPr>
          <w:rFonts w:ascii="Arial" w:hAnsi="Arial" w:cs="Arial"/>
          <w:b/>
          <w:sz w:val="28"/>
          <w:szCs w:val="28"/>
          <w:lang w:val="es-MX"/>
        </w:rPr>
      </w:pPr>
      <w:r w:rsidRPr="00C169EE">
        <w:rPr>
          <w:rFonts w:ascii="Arial" w:hAnsi="Arial" w:cs="Arial"/>
          <w:b/>
          <w:sz w:val="28"/>
          <w:szCs w:val="28"/>
          <w:lang w:val="es-MX"/>
        </w:rPr>
        <w:t>273.- FISCALÍA GENERAL DE LA NACIÓN.</w:t>
      </w:r>
    </w:p>
    <w:p w14:paraId="2D2BA5B6" w14:textId="77777777" w:rsidR="007E2F9F" w:rsidRDefault="007E2F9F" w:rsidP="007E2F9F">
      <w:pPr>
        <w:ind w:left="-284"/>
        <w:jc w:val="both"/>
        <w:rPr>
          <w:rFonts w:ascii="Arial" w:hAnsi="Arial" w:cs="Arial"/>
          <w:b/>
          <w:sz w:val="28"/>
          <w:szCs w:val="28"/>
          <w:lang w:val="es-MX"/>
        </w:rPr>
      </w:pPr>
    </w:p>
    <w:p w14:paraId="7E810C88"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37CAC04F"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84056C3"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169EE" w14:paraId="7B2334AF" w14:textId="77777777" w:rsidTr="006548F8">
        <w:tc>
          <w:tcPr>
            <w:tcW w:w="3544" w:type="dxa"/>
          </w:tcPr>
          <w:p w14:paraId="574D5C4B" w14:textId="77777777" w:rsidR="007E2F9F" w:rsidRPr="00C169EE" w:rsidRDefault="007E2F9F" w:rsidP="006548F8">
            <w:pPr>
              <w:ind w:left="1169" w:right="-1440"/>
              <w:rPr>
                <w:rFonts w:ascii="Arial" w:hAnsi="Arial" w:cs="Arial"/>
                <w:b/>
                <w:sz w:val="18"/>
                <w:szCs w:val="18"/>
                <w:lang w:val="es-ES_tradnl"/>
              </w:rPr>
            </w:pPr>
            <w:r w:rsidRPr="00C169EE">
              <w:rPr>
                <w:rFonts w:ascii="Arial" w:hAnsi="Arial" w:cs="Arial"/>
                <w:b/>
                <w:sz w:val="18"/>
                <w:szCs w:val="18"/>
                <w:lang w:val="es-ES_tradnl"/>
              </w:rPr>
              <w:t>TIPO DE GASTO</w:t>
            </w:r>
          </w:p>
        </w:tc>
        <w:tc>
          <w:tcPr>
            <w:tcW w:w="2354" w:type="dxa"/>
          </w:tcPr>
          <w:p w14:paraId="4DDA80FD" w14:textId="77777777" w:rsidR="007E2F9F" w:rsidRPr="00C169EE" w:rsidRDefault="007E2F9F" w:rsidP="006548F8">
            <w:pPr>
              <w:jc w:val="center"/>
              <w:rPr>
                <w:rFonts w:ascii="Arial" w:hAnsi="Arial" w:cs="Arial"/>
                <w:b/>
                <w:sz w:val="18"/>
                <w:szCs w:val="18"/>
                <w:lang w:val="es-ES_tradnl"/>
              </w:rPr>
            </w:pPr>
            <w:r w:rsidRPr="00C169EE">
              <w:rPr>
                <w:rFonts w:ascii="Arial" w:hAnsi="Arial" w:cs="Arial"/>
                <w:b/>
                <w:sz w:val="18"/>
                <w:szCs w:val="18"/>
                <w:lang w:val="es-ES_tradnl"/>
              </w:rPr>
              <w:t>APROPIACIÓN</w:t>
            </w:r>
          </w:p>
          <w:p w14:paraId="52933849" w14:textId="77777777" w:rsidR="007E2F9F" w:rsidRPr="00C169EE" w:rsidRDefault="007E2F9F" w:rsidP="006548F8">
            <w:pPr>
              <w:jc w:val="center"/>
              <w:rPr>
                <w:rFonts w:ascii="Arial" w:hAnsi="Arial" w:cs="Arial"/>
                <w:b/>
                <w:sz w:val="18"/>
                <w:szCs w:val="18"/>
                <w:lang w:val="es-ES_tradnl"/>
              </w:rPr>
            </w:pPr>
            <w:r w:rsidRPr="00C169EE">
              <w:rPr>
                <w:rFonts w:ascii="Arial" w:hAnsi="Arial" w:cs="Arial"/>
                <w:b/>
                <w:sz w:val="18"/>
                <w:szCs w:val="18"/>
                <w:lang w:val="es-ES_tradnl"/>
              </w:rPr>
              <w:t>DEFINITIVA</w:t>
            </w:r>
          </w:p>
          <w:p w14:paraId="74E32235" w14:textId="77777777" w:rsidR="007E2F9F" w:rsidRPr="00C169EE" w:rsidRDefault="007E2F9F" w:rsidP="006548F8">
            <w:pPr>
              <w:jc w:val="center"/>
              <w:rPr>
                <w:rFonts w:ascii="Arial" w:hAnsi="Arial" w:cs="Arial"/>
                <w:b/>
                <w:sz w:val="18"/>
                <w:szCs w:val="18"/>
                <w:lang w:val="es-ES_tradnl"/>
              </w:rPr>
            </w:pPr>
            <w:r w:rsidRPr="00C169EE">
              <w:rPr>
                <w:rFonts w:ascii="Arial" w:hAnsi="Arial" w:cs="Arial"/>
                <w:b/>
                <w:sz w:val="18"/>
                <w:szCs w:val="18"/>
                <w:lang w:val="es-ES_tradnl"/>
              </w:rPr>
              <w:t>(1)</w:t>
            </w:r>
          </w:p>
          <w:p w14:paraId="48A4355A" w14:textId="77777777" w:rsidR="007E2F9F" w:rsidRPr="00C169EE" w:rsidRDefault="007E2F9F" w:rsidP="006548F8">
            <w:pPr>
              <w:jc w:val="center"/>
              <w:rPr>
                <w:rFonts w:ascii="Arial" w:hAnsi="Arial" w:cs="Arial"/>
                <w:b/>
                <w:sz w:val="18"/>
                <w:szCs w:val="18"/>
                <w:lang w:val="es-ES_tradnl"/>
              </w:rPr>
            </w:pPr>
          </w:p>
        </w:tc>
        <w:tc>
          <w:tcPr>
            <w:tcW w:w="2354" w:type="dxa"/>
          </w:tcPr>
          <w:p w14:paraId="5E9F9F53" w14:textId="77777777" w:rsidR="007E2F9F" w:rsidRPr="00C169EE" w:rsidRDefault="007E2F9F" w:rsidP="006548F8">
            <w:pPr>
              <w:ind w:left="145" w:right="184"/>
              <w:jc w:val="center"/>
              <w:rPr>
                <w:rFonts w:ascii="Arial" w:hAnsi="Arial" w:cs="Arial"/>
                <w:b/>
                <w:sz w:val="18"/>
                <w:szCs w:val="18"/>
                <w:lang w:val="es-ES_tradnl"/>
              </w:rPr>
            </w:pPr>
            <w:r w:rsidRPr="00C169EE">
              <w:rPr>
                <w:rFonts w:ascii="Arial" w:hAnsi="Arial" w:cs="Arial"/>
                <w:b/>
                <w:sz w:val="18"/>
                <w:szCs w:val="18"/>
                <w:lang w:val="es-ES_tradnl"/>
              </w:rPr>
              <w:t>EJECUCIÓN</w:t>
            </w:r>
          </w:p>
          <w:p w14:paraId="2CB026FE" w14:textId="77777777" w:rsidR="007E2F9F" w:rsidRPr="00C169EE" w:rsidRDefault="007E2F9F" w:rsidP="006548F8">
            <w:pPr>
              <w:ind w:right="34"/>
              <w:jc w:val="center"/>
              <w:rPr>
                <w:rFonts w:ascii="Arial" w:hAnsi="Arial" w:cs="Arial"/>
                <w:b/>
                <w:sz w:val="18"/>
                <w:szCs w:val="18"/>
                <w:lang w:val="es-ES_tradnl"/>
              </w:rPr>
            </w:pPr>
            <w:r w:rsidRPr="00C169EE">
              <w:rPr>
                <w:rFonts w:ascii="Arial" w:hAnsi="Arial" w:cs="Arial"/>
                <w:b/>
                <w:sz w:val="18"/>
                <w:szCs w:val="18"/>
                <w:lang w:val="es-ES_tradnl"/>
              </w:rPr>
              <w:t>COMPROMISOS</w:t>
            </w:r>
          </w:p>
          <w:p w14:paraId="7CD4B111" w14:textId="77777777" w:rsidR="007E2F9F" w:rsidRPr="00C169EE" w:rsidRDefault="007E2F9F" w:rsidP="006548F8">
            <w:pPr>
              <w:ind w:right="34"/>
              <w:jc w:val="center"/>
              <w:rPr>
                <w:rFonts w:ascii="Arial" w:hAnsi="Arial" w:cs="Arial"/>
                <w:b/>
                <w:sz w:val="18"/>
                <w:szCs w:val="18"/>
                <w:lang w:val="es-ES_tradnl"/>
              </w:rPr>
            </w:pPr>
            <w:r w:rsidRPr="00C169EE">
              <w:rPr>
                <w:rFonts w:ascii="Arial" w:hAnsi="Arial" w:cs="Arial"/>
                <w:b/>
                <w:sz w:val="18"/>
                <w:szCs w:val="18"/>
                <w:lang w:val="es-ES_tradnl"/>
              </w:rPr>
              <w:t>(2)</w:t>
            </w:r>
          </w:p>
        </w:tc>
        <w:tc>
          <w:tcPr>
            <w:tcW w:w="2238" w:type="dxa"/>
          </w:tcPr>
          <w:p w14:paraId="0699CE5E" w14:textId="77777777" w:rsidR="007E2F9F" w:rsidRPr="00C169EE" w:rsidRDefault="007E2F9F" w:rsidP="006548F8">
            <w:pPr>
              <w:ind w:left="25" w:right="34"/>
              <w:jc w:val="center"/>
              <w:rPr>
                <w:rFonts w:ascii="Arial" w:hAnsi="Arial" w:cs="Arial"/>
                <w:b/>
                <w:sz w:val="18"/>
                <w:szCs w:val="18"/>
                <w:lang w:val="es-ES_tradnl"/>
              </w:rPr>
            </w:pPr>
            <w:r w:rsidRPr="00C169EE">
              <w:rPr>
                <w:rFonts w:ascii="Arial" w:hAnsi="Arial" w:cs="Arial"/>
                <w:b/>
                <w:sz w:val="18"/>
                <w:szCs w:val="18"/>
                <w:lang w:val="es-ES_tradnl"/>
              </w:rPr>
              <w:t>PÉRDIDAS DE</w:t>
            </w:r>
          </w:p>
          <w:p w14:paraId="558EA2EC" w14:textId="77777777" w:rsidR="007E2F9F" w:rsidRPr="00C169EE" w:rsidRDefault="007E2F9F" w:rsidP="006548F8">
            <w:pPr>
              <w:ind w:right="34"/>
              <w:jc w:val="center"/>
              <w:rPr>
                <w:rFonts w:ascii="Arial" w:hAnsi="Arial" w:cs="Arial"/>
                <w:b/>
                <w:sz w:val="18"/>
                <w:szCs w:val="18"/>
                <w:lang w:val="es-ES_tradnl"/>
              </w:rPr>
            </w:pPr>
            <w:r w:rsidRPr="00C169EE">
              <w:rPr>
                <w:rFonts w:ascii="Arial" w:hAnsi="Arial" w:cs="Arial"/>
                <w:b/>
                <w:sz w:val="18"/>
                <w:szCs w:val="18"/>
                <w:lang w:val="es-ES_tradnl"/>
              </w:rPr>
              <w:t>APROPIACIÓN</w:t>
            </w:r>
          </w:p>
          <w:p w14:paraId="5C0D091B" w14:textId="77777777" w:rsidR="007E2F9F" w:rsidRPr="00C169EE" w:rsidRDefault="007E2F9F" w:rsidP="006548F8">
            <w:pPr>
              <w:ind w:right="34"/>
              <w:jc w:val="center"/>
              <w:rPr>
                <w:rFonts w:ascii="Arial" w:hAnsi="Arial" w:cs="Arial"/>
                <w:b/>
                <w:sz w:val="18"/>
                <w:szCs w:val="18"/>
                <w:lang w:val="es-ES_tradnl"/>
              </w:rPr>
            </w:pPr>
            <w:r w:rsidRPr="00C169EE">
              <w:rPr>
                <w:rFonts w:ascii="Arial" w:hAnsi="Arial" w:cs="Arial"/>
                <w:b/>
                <w:sz w:val="18"/>
                <w:szCs w:val="18"/>
                <w:lang w:val="es-ES_tradnl"/>
              </w:rPr>
              <w:t>3 = (1-2)</w:t>
            </w:r>
          </w:p>
        </w:tc>
      </w:tr>
      <w:tr w:rsidR="007E2F9F" w:rsidRPr="00C169EE" w14:paraId="38975E26" w14:textId="77777777" w:rsidTr="006548F8">
        <w:trPr>
          <w:trHeight w:val="230"/>
        </w:trPr>
        <w:tc>
          <w:tcPr>
            <w:tcW w:w="3544" w:type="dxa"/>
          </w:tcPr>
          <w:p w14:paraId="10A922A6" w14:textId="77777777" w:rsidR="007E2F9F" w:rsidRPr="00C169EE" w:rsidRDefault="007E2F9F" w:rsidP="006548F8">
            <w:pPr>
              <w:ind w:right="-1440"/>
              <w:jc w:val="both"/>
              <w:rPr>
                <w:rFonts w:ascii="Arial" w:hAnsi="Arial" w:cs="Arial"/>
                <w:b/>
                <w:bCs/>
                <w:sz w:val="18"/>
                <w:szCs w:val="18"/>
                <w:lang w:val="es-ES_tradnl"/>
              </w:rPr>
            </w:pPr>
            <w:r w:rsidRPr="00C169EE">
              <w:rPr>
                <w:rFonts w:ascii="Arial" w:hAnsi="Arial" w:cs="Arial"/>
                <w:b/>
                <w:bCs/>
                <w:sz w:val="18"/>
                <w:szCs w:val="18"/>
                <w:lang w:val="es-ES_tradnl"/>
              </w:rPr>
              <w:t>FUNCIONAMIENTO</w:t>
            </w:r>
          </w:p>
        </w:tc>
        <w:tc>
          <w:tcPr>
            <w:tcW w:w="2354" w:type="dxa"/>
            <w:vAlign w:val="center"/>
          </w:tcPr>
          <w:p w14:paraId="43A3048F" w14:textId="77777777" w:rsidR="007E2F9F" w:rsidRPr="00C169EE" w:rsidRDefault="007E2F9F" w:rsidP="006548F8">
            <w:pPr>
              <w:jc w:val="right"/>
              <w:rPr>
                <w:rFonts w:ascii="Arial" w:eastAsia="Calibri" w:hAnsi="Arial" w:cs="Arial"/>
                <w:b/>
                <w:bCs/>
                <w:sz w:val="18"/>
                <w:szCs w:val="18"/>
                <w:lang w:val="es-CO"/>
              </w:rPr>
            </w:pPr>
            <w:r w:rsidRPr="00C169EE">
              <w:rPr>
                <w:rFonts w:ascii="Arial" w:hAnsi="Arial" w:cs="Arial"/>
                <w:b/>
                <w:bCs/>
                <w:color w:val="000000"/>
                <w:sz w:val="18"/>
                <w:szCs w:val="18"/>
              </w:rPr>
              <w:t>5.410.414.465</w:t>
            </w:r>
          </w:p>
        </w:tc>
        <w:tc>
          <w:tcPr>
            <w:tcW w:w="2354" w:type="dxa"/>
            <w:vAlign w:val="center"/>
          </w:tcPr>
          <w:p w14:paraId="5FF2BC03" w14:textId="77777777" w:rsidR="007E2F9F" w:rsidRPr="00C169EE" w:rsidRDefault="007E2F9F" w:rsidP="006548F8">
            <w:pPr>
              <w:pStyle w:val="Prrafodelista"/>
              <w:ind w:left="0"/>
              <w:jc w:val="right"/>
              <w:rPr>
                <w:rFonts w:ascii="Arial" w:hAnsi="Arial" w:cs="Arial"/>
                <w:b/>
                <w:bCs/>
                <w:sz w:val="18"/>
                <w:szCs w:val="18"/>
              </w:rPr>
            </w:pPr>
            <w:r w:rsidRPr="00C169EE">
              <w:rPr>
                <w:rFonts w:ascii="Arial" w:hAnsi="Arial" w:cs="Arial"/>
                <w:b/>
                <w:bCs/>
                <w:color w:val="000000"/>
                <w:sz w:val="18"/>
                <w:szCs w:val="18"/>
              </w:rPr>
              <w:t>5.341.107.760</w:t>
            </w:r>
          </w:p>
        </w:tc>
        <w:tc>
          <w:tcPr>
            <w:tcW w:w="2238" w:type="dxa"/>
            <w:vAlign w:val="center"/>
          </w:tcPr>
          <w:p w14:paraId="7E23A5AA" w14:textId="77777777" w:rsidR="007E2F9F" w:rsidRPr="00C169EE" w:rsidRDefault="007E2F9F" w:rsidP="006548F8">
            <w:pPr>
              <w:pStyle w:val="Prrafodelista"/>
              <w:ind w:left="0"/>
              <w:jc w:val="right"/>
              <w:rPr>
                <w:rFonts w:ascii="Arial" w:hAnsi="Arial" w:cs="Arial"/>
                <w:b/>
                <w:bCs/>
                <w:sz w:val="18"/>
                <w:szCs w:val="18"/>
              </w:rPr>
            </w:pPr>
            <w:r w:rsidRPr="00C169EE">
              <w:rPr>
                <w:rFonts w:ascii="Arial" w:hAnsi="Arial" w:cs="Arial"/>
                <w:b/>
                <w:bCs/>
                <w:color w:val="000000"/>
                <w:sz w:val="18"/>
                <w:szCs w:val="18"/>
              </w:rPr>
              <w:t>69.306.705</w:t>
            </w:r>
          </w:p>
        </w:tc>
      </w:tr>
      <w:tr w:rsidR="007E2F9F" w:rsidRPr="00C169EE" w14:paraId="40FBFD36" w14:textId="77777777" w:rsidTr="006548F8">
        <w:trPr>
          <w:trHeight w:val="230"/>
        </w:trPr>
        <w:tc>
          <w:tcPr>
            <w:tcW w:w="3544" w:type="dxa"/>
          </w:tcPr>
          <w:p w14:paraId="2203A728" w14:textId="77777777" w:rsidR="007E2F9F" w:rsidRPr="00C169EE" w:rsidRDefault="007E2F9F" w:rsidP="006548F8">
            <w:pPr>
              <w:ind w:right="-1440"/>
              <w:jc w:val="both"/>
              <w:rPr>
                <w:rFonts w:ascii="Arial" w:hAnsi="Arial" w:cs="Arial"/>
                <w:b/>
                <w:bCs/>
                <w:sz w:val="18"/>
                <w:szCs w:val="18"/>
                <w:lang w:val="es-ES_tradnl"/>
              </w:rPr>
            </w:pPr>
            <w:r w:rsidRPr="00C169EE">
              <w:rPr>
                <w:rFonts w:ascii="Arial" w:hAnsi="Arial" w:cs="Arial"/>
                <w:b/>
                <w:bCs/>
                <w:sz w:val="18"/>
                <w:szCs w:val="18"/>
                <w:lang w:val="es-ES_tradnl"/>
              </w:rPr>
              <w:t>NVERSIÓN</w:t>
            </w:r>
          </w:p>
        </w:tc>
        <w:tc>
          <w:tcPr>
            <w:tcW w:w="2354" w:type="dxa"/>
            <w:vAlign w:val="center"/>
          </w:tcPr>
          <w:p w14:paraId="01306AB9" w14:textId="77777777" w:rsidR="007E2F9F" w:rsidRPr="00C169EE" w:rsidRDefault="007E2F9F" w:rsidP="006548F8">
            <w:pPr>
              <w:jc w:val="right"/>
              <w:rPr>
                <w:rFonts w:ascii="Arial" w:eastAsia="Calibri" w:hAnsi="Arial" w:cs="Arial"/>
                <w:b/>
                <w:bCs/>
                <w:sz w:val="18"/>
                <w:szCs w:val="18"/>
                <w:lang w:val="es-CO"/>
              </w:rPr>
            </w:pPr>
            <w:r w:rsidRPr="00C169EE">
              <w:rPr>
                <w:rFonts w:ascii="Arial" w:hAnsi="Arial" w:cs="Arial"/>
                <w:b/>
                <w:bCs/>
                <w:color w:val="000000"/>
                <w:sz w:val="18"/>
                <w:szCs w:val="18"/>
              </w:rPr>
              <w:t>152.812.064</w:t>
            </w:r>
          </w:p>
        </w:tc>
        <w:tc>
          <w:tcPr>
            <w:tcW w:w="2354" w:type="dxa"/>
            <w:vAlign w:val="center"/>
          </w:tcPr>
          <w:p w14:paraId="397AEFBC" w14:textId="77777777" w:rsidR="007E2F9F" w:rsidRPr="00C169EE" w:rsidRDefault="007E2F9F" w:rsidP="006548F8">
            <w:pPr>
              <w:pStyle w:val="Prrafodelista"/>
              <w:ind w:left="0"/>
              <w:jc w:val="right"/>
              <w:rPr>
                <w:rFonts w:ascii="Arial" w:eastAsia="Calibri" w:hAnsi="Arial" w:cs="Arial"/>
                <w:b/>
                <w:bCs/>
                <w:sz w:val="18"/>
                <w:szCs w:val="18"/>
                <w:lang w:val="es-CO"/>
              </w:rPr>
            </w:pPr>
            <w:r w:rsidRPr="00C169EE">
              <w:rPr>
                <w:rFonts w:ascii="Arial" w:hAnsi="Arial" w:cs="Arial"/>
                <w:b/>
                <w:bCs/>
                <w:color w:val="000000"/>
                <w:sz w:val="18"/>
                <w:szCs w:val="18"/>
              </w:rPr>
              <w:t>152.675.799</w:t>
            </w:r>
          </w:p>
        </w:tc>
        <w:tc>
          <w:tcPr>
            <w:tcW w:w="2238" w:type="dxa"/>
            <w:vAlign w:val="center"/>
          </w:tcPr>
          <w:p w14:paraId="3C4BBF70" w14:textId="77777777" w:rsidR="007E2F9F" w:rsidRPr="00C169EE" w:rsidRDefault="007E2F9F" w:rsidP="006548F8">
            <w:pPr>
              <w:pStyle w:val="Prrafodelista"/>
              <w:ind w:left="0"/>
              <w:jc w:val="right"/>
              <w:rPr>
                <w:rFonts w:ascii="Arial" w:hAnsi="Arial" w:cs="Arial"/>
                <w:b/>
                <w:bCs/>
                <w:sz w:val="18"/>
                <w:szCs w:val="18"/>
              </w:rPr>
            </w:pPr>
            <w:r w:rsidRPr="00C169EE">
              <w:rPr>
                <w:rFonts w:ascii="Arial" w:hAnsi="Arial" w:cs="Arial"/>
                <w:b/>
                <w:bCs/>
                <w:color w:val="000000"/>
                <w:sz w:val="18"/>
                <w:szCs w:val="18"/>
              </w:rPr>
              <w:t>136.266</w:t>
            </w:r>
          </w:p>
        </w:tc>
      </w:tr>
      <w:tr w:rsidR="007E2F9F" w:rsidRPr="00C169EE" w14:paraId="3F27345F" w14:textId="77777777" w:rsidTr="006548F8">
        <w:tc>
          <w:tcPr>
            <w:tcW w:w="3544" w:type="dxa"/>
          </w:tcPr>
          <w:p w14:paraId="1E2DCC13" w14:textId="77777777" w:rsidR="007E2F9F" w:rsidRPr="00C169EE" w:rsidRDefault="007E2F9F" w:rsidP="006548F8">
            <w:pPr>
              <w:ind w:right="-1440"/>
              <w:jc w:val="both"/>
              <w:rPr>
                <w:rFonts w:ascii="Arial" w:hAnsi="Arial" w:cs="Arial"/>
                <w:b/>
                <w:bCs/>
                <w:sz w:val="18"/>
                <w:szCs w:val="18"/>
                <w:lang w:val="es-ES_tradnl"/>
              </w:rPr>
            </w:pPr>
            <w:r w:rsidRPr="00C169EE">
              <w:rPr>
                <w:rFonts w:ascii="Arial" w:hAnsi="Arial" w:cs="Arial"/>
                <w:b/>
                <w:bCs/>
                <w:sz w:val="18"/>
                <w:szCs w:val="18"/>
                <w:lang w:val="es-ES_tradnl"/>
              </w:rPr>
              <w:t>TOTAL PÉRDIDAS DE APROPIACIÓN</w:t>
            </w:r>
          </w:p>
        </w:tc>
        <w:tc>
          <w:tcPr>
            <w:tcW w:w="2354" w:type="dxa"/>
            <w:vAlign w:val="center"/>
          </w:tcPr>
          <w:p w14:paraId="5DFAA501" w14:textId="77777777" w:rsidR="007E2F9F" w:rsidRPr="00C169EE" w:rsidRDefault="007E2F9F" w:rsidP="006548F8">
            <w:pPr>
              <w:pStyle w:val="Prrafodelista"/>
              <w:ind w:left="0"/>
              <w:jc w:val="right"/>
              <w:rPr>
                <w:rFonts w:ascii="Arial" w:hAnsi="Arial" w:cs="Arial"/>
                <w:b/>
                <w:bCs/>
                <w:sz w:val="18"/>
                <w:szCs w:val="18"/>
                <w:u w:val="single"/>
              </w:rPr>
            </w:pPr>
            <w:r w:rsidRPr="00C169EE">
              <w:rPr>
                <w:rFonts w:ascii="Arial" w:hAnsi="Arial" w:cs="Arial"/>
                <w:b/>
                <w:bCs/>
                <w:color w:val="000000"/>
                <w:sz w:val="18"/>
                <w:szCs w:val="18"/>
              </w:rPr>
              <w:t>5.737.204.444</w:t>
            </w:r>
          </w:p>
        </w:tc>
        <w:tc>
          <w:tcPr>
            <w:tcW w:w="2354" w:type="dxa"/>
            <w:vAlign w:val="center"/>
          </w:tcPr>
          <w:p w14:paraId="739908BA" w14:textId="77777777" w:rsidR="007E2F9F" w:rsidRPr="00C169EE" w:rsidRDefault="007E2F9F" w:rsidP="006548F8">
            <w:pPr>
              <w:pStyle w:val="Prrafodelista"/>
              <w:ind w:left="0"/>
              <w:jc w:val="right"/>
              <w:rPr>
                <w:rFonts w:ascii="Arial" w:hAnsi="Arial" w:cs="Arial"/>
                <w:b/>
                <w:bCs/>
                <w:sz w:val="18"/>
                <w:szCs w:val="18"/>
                <w:u w:val="single"/>
              </w:rPr>
            </w:pPr>
            <w:r w:rsidRPr="00C169EE">
              <w:rPr>
                <w:rFonts w:ascii="Arial" w:hAnsi="Arial" w:cs="Arial"/>
                <w:b/>
                <w:bCs/>
                <w:color w:val="000000"/>
                <w:sz w:val="18"/>
                <w:szCs w:val="18"/>
              </w:rPr>
              <w:t>5.667.761.473</w:t>
            </w:r>
          </w:p>
        </w:tc>
        <w:tc>
          <w:tcPr>
            <w:tcW w:w="2238" w:type="dxa"/>
            <w:vAlign w:val="center"/>
          </w:tcPr>
          <w:p w14:paraId="50F0C0F4" w14:textId="77777777" w:rsidR="007E2F9F" w:rsidRPr="00C169EE" w:rsidRDefault="007E2F9F" w:rsidP="006548F8">
            <w:pPr>
              <w:pStyle w:val="Prrafodelista"/>
              <w:ind w:left="0"/>
              <w:jc w:val="right"/>
              <w:rPr>
                <w:rFonts w:ascii="Arial" w:hAnsi="Arial" w:cs="Arial"/>
                <w:b/>
                <w:bCs/>
                <w:sz w:val="18"/>
                <w:szCs w:val="18"/>
                <w:u w:val="single"/>
              </w:rPr>
            </w:pPr>
            <w:r w:rsidRPr="00C169EE">
              <w:rPr>
                <w:rFonts w:ascii="Arial" w:hAnsi="Arial" w:cs="Arial"/>
                <w:b/>
                <w:bCs/>
                <w:color w:val="000000"/>
                <w:sz w:val="18"/>
                <w:szCs w:val="18"/>
              </w:rPr>
              <w:t>69.442.971</w:t>
            </w:r>
          </w:p>
        </w:tc>
      </w:tr>
    </w:tbl>
    <w:p w14:paraId="5E10F148" w14:textId="77777777" w:rsidR="007E2F9F" w:rsidRPr="00C169EE" w:rsidRDefault="007E2F9F" w:rsidP="007E2F9F">
      <w:pPr>
        <w:ind w:left="-284"/>
        <w:jc w:val="both"/>
        <w:rPr>
          <w:rFonts w:ascii="Arial" w:hAnsi="Arial" w:cs="Arial"/>
          <w:b/>
          <w:sz w:val="28"/>
          <w:szCs w:val="28"/>
          <w:lang w:val="es-MX"/>
        </w:rPr>
      </w:pPr>
    </w:p>
    <w:p w14:paraId="4B055004" w14:textId="77777777" w:rsidR="007E2F9F" w:rsidRPr="00C927E4" w:rsidRDefault="007E2F9F" w:rsidP="007E2F9F">
      <w:pPr>
        <w:ind w:left="-284"/>
        <w:jc w:val="both"/>
        <w:rPr>
          <w:rFonts w:ascii="Arial" w:hAnsi="Arial" w:cs="Arial"/>
          <w:b/>
          <w:sz w:val="28"/>
          <w:szCs w:val="28"/>
          <w:lang w:val="es-MX"/>
        </w:rPr>
      </w:pPr>
      <w:r w:rsidRPr="00C927E4">
        <w:rPr>
          <w:rFonts w:ascii="Arial" w:hAnsi="Arial" w:cs="Arial"/>
          <w:b/>
          <w:sz w:val="28"/>
          <w:szCs w:val="28"/>
          <w:lang w:val="es-MX"/>
        </w:rPr>
        <w:t>27</w:t>
      </w:r>
      <w:r>
        <w:rPr>
          <w:rFonts w:ascii="Arial" w:hAnsi="Arial" w:cs="Arial"/>
          <w:b/>
          <w:sz w:val="28"/>
          <w:szCs w:val="28"/>
          <w:lang w:val="es-MX"/>
        </w:rPr>
        <w:t>4</w:t>
      </w:r>
      <w:r w:rsidRPr="00C927E4">
        <w:rPr>
          <w:rFonts w:ascii="Arial" w:hAnsi="Arial" w:cs="Arial"/>
          <w:b/>
          <w:sz w:val="28"/>
          <w:szCs w:val="28"/>
          <w:lang w:val="es-MX"/>
        </w:rPr>
        <w:t xml:space="preserve">.- CONTRALORÍA GENERAL DE LA REPÚBLICA – CGR. </w:t>
      </w:r>
    </w:p>
    <w:p w14:paraId="25DB82C5" w14:textId="77777777" w:rsidR="007E2F9F" w:rsidRDefault="007E2F9F" w:rsidP="007E2F9F">
      <w:pPr>
        <w:ind w:left="-284" w:right="-234"/>
        <w:jc w:val="both"/>
        <w:rPr>
          <w:rFonts w:ascii="Arial" w:hAnsi="Arial" w:cs="Arial"/>
          <w:b/>
          <w:bCs/>
          <w:sz w:val="28"/>
          <w:szCs w:val="28"/>
          <w:lang w:val="es-MX"/>
        </w:rPr>
      </w:pPr>
    </w:p>
    <w:p w14:paraId="713486D2"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7251C88"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5C432CC"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927E4" w14:paraId="3B1B54C7" w14:textId="77777777" w:rsidTr="006548F8">
        <w:tc>
          <w:tcPr>
            <w:tcW w:w="3544" w:type="dxa"/>
          </w:tcPr>
          <w:p w14:paraId="42DD8816" w14:textId="77777777" w:rsidR="007E2F9F" w:rsidRPr="00C927E4" w:rsidRDefault="007E2F9F" w:rsidP="006548F8">
            <w:pPr>
              <w:ind w:left="1169" w:right="-1440"/>
              <w:rPr>
                <w:rFonts w:ascii="Arial" w:hAnsi="Arial" w:cs="Arial"/>
                <w:b/>
                <w:sz w:val="18"/>
                <w:szCs w:val="18"/>
                <w:lang w:val="es-ES_tradnl"/>
              </w:rPr>
            </w:pPr>
            <w:r w:rsidRPr="00C927E4">
              <w:rPr>
                <w:rFonts w:ascii="Arial" w:hAnsi="Arial" w:cs="Arial"/>
                <w:b/>
                <w:sz w:val="18"/>
                <w:szCs w:val="18"/>
                <w:lang w:val="es-ES_tradnl"/>
              </w:rPr>
              <w:t>TIPO DE GASTO</w:t>
            </w:r>
          </w:p>
        </w:tc>
        <w:tc>
          <w:tcPr>
            <w:tcW w:w="2354" w:type="dxa"/>
          </w:tcPr>
          <w:p w14:paraId="47BA94E0" w14:textId="77777777" w:rsidR="007E2F9F" w:rsidRPr="00C927E4" w:rsidRDefault="007E2F9F" w:rsidP="006548F8">
            <w:pPr>
              <w:jc w:val="center"/>
              <w:rPr>
                <w:rFonts w:ascii="Arial" w:hAnsi="Arial" w:cs="Arial"/>
                <w:b/>
                <w:sz w:val="18"/>
                <w:szCs w:val="18"/>
                <w:lang w:val="es-ES_tradnl"/>
              </w:rPr>
            </w:pPr>
            <w:r w:rsidRPr="00C927E4">
              <w:rPr>
                <w:rFonts w:ascii="Arial" w:hAnsi="Arial" w:cs="Arial"/>
                <w:b/>
                <w:sz w:val="18"/>
                <w:szCs w:val="18"/>
                <w:lang w:val="es-ES_tradnl"/>
              </w:rPr>
              <w:t>APROPIACIÓN</w:t>
            </w:r>
          </w:p>
          <w:p w14:paraId="5BEE29E5" w14:textId="77777777" w:rsidR="007E2F9F" w:rsidRPr="00C927E4" w:rsidRDefault="007E2F9F" w:rsidP="006548F8">
            <w:pPr>
              <w:jc w:val="center"/>
              <w:rPr>
                <w:rFonts w:ascii="Arial" w:hAnsi="Arial" w:cs="Arial"/>
                <w:b/>
                <w:sz w:val="18"/>
                <w:szCs w:val="18"/>
                <w:lang w:val="es-ES_tradnl"/>
              </w:rPr>
            </w:pPr>
            <w:r w:rsidRPr="00C927E4">
              <w:rPr>
                <w:rFonts w:ascii="Arial" w:hAnsi="Arial" w:cs="Arial"/>
                <w:b/>
                <w:sz w:val="18"/>
                <w:szCs w:val="18"/>
                <w:lang w:val="es-ES_tradnl"/>
              </w:rPr>
              <w:t>DEFINITIVA</w:t>
            </w:r>
          </w:p>
          <w:p w14:paraId="5ACA0BD5" w14:textId="77777777" w:rsidR="007E2F9F" w:rsidRPr="00C927E4" w:rsidRDefault="007E2F9F" w:rsidP="006548F8">
            <w:pPr>
              <w:jc w:val="center"/>
              <w:rPr>
                <w:rFonts w:ascii="Arial" w:hAnsi="Arial" w:cs="Arial"/>
                <w:b/>
                <w:sz w:val="18"/>
                <w:szCs w:val="18"/>
                <w:lang w:val="es-ES_tradnl"/>
              </w:rPr>
            </w:pPr>
            <w:r w:rsidRPr="00C927E4">
              <w:rPr>
                <w:rFonts w:ascii="Arial" w:hAnsi="Arial" w:cs="Arial"/>
                <w:b/>
                <w:sz w:val="18"/>
                <w:szCs w:val="18"/>
                <w:lang w:val="es-ES_tradnl"/>
              </w:rPr>
              <w:t>(1)</w:t>
            </w:r>
          </w:p>
          <w:p w14:paraId="1434DBD3" w14:textId="77777777" w:rsidR="007E2F9F" w:rsidRPr="00C927E4" w:rsidRDefault="007E2F9F" w:rsidP="006548F8">
            <w:pPr>
              <w:jc w:val="center"/>
              <w:rPr>
                <w:rFonts w:ascii="Arial" w:hAnsi="Arial" w:cs="Arial"/>
                <w:b/>
                <w:sz w:val="18"/>
                <w:szCs w:val="18"/>
                <w:lang w:val="es-ES_tradnl"/>
              </w:rPr>
            </w:pPr>
          </w:p>
        </w:tc>
        <w:tc>
          <w:tcPr>
            <w:tcW w:w="2354" w:type="dxa"/>
          </w:tcPr>
          <w:p w14:paraId="4AE1E147" w14:textId="77777777" w:rsidR="007E2F9F" w:rsidRPr="00C927E4" w:rsidRDefault="007E2F9F" w:rsidP="006548F8">
            <w:pPr>
              <w:ind w:left="145" w:right="184"/>
              <w:jc w:val="center"/>
              <w:rPr>
                <w:rFonts w:ascii="Arial" w:hAnsi="Arial" w:cs="Arial"/>
                <w:b/>
                <w:sz w:val="18"/>
                <w:szCs w:val="18"/>
                <w:lang w:val="es-ES_tradnl"/>
              </w:rPr>
            </w:pPr>
            <w:r w:rsidRPr="00C927E4">
              <w:rPr>
                <w:rFonts w:ascii="Arial" w:hAnsi="Arial" w:cs="Arial"/>
                <w:b/>
                <w:sz w:val="18"/>
                <w:szCs w:val="18"/>
                <w:lang w:val="es-ES_tradnl"/>
              </w:rPr>
              <w:t>EJECUCIÓN</w:t>
            </w:r>
          </w:p>
          <w:p w14:paraId="568C4067" w14:textId="77777777" w:rsidR="007E2F9F" w:rsidRPr="00C927E4" w:rsidRDefault="007E2F9F" w:rsidP="006548F8">
            <w:pPr>
              <w:ind w:right="34"/>
              <w:jc w:val="center"/>
              <w:rPr>
                <w:rFonts w:ascii="Arial" w:hAnsi="Arial" w:cs="Arial"/>
                <w:b/>
                <w:sz w:val="18"/>
                <w:szCs w:val="18"/>
                <w:lang w:val="es-ES_tradnl"/>
              </w:rPr>
            </w:pPr>
            <w:r w:rsidRPr="00C927E4">
              <w:rPr>
                <w:rFonts w:ascii="Arial" w:hAnsi="Arial" w:cs="Arial"/>
                <w:b/>
                <w:sz w:val="18"/>
                <w:szCs w:val="18"/>
                <w:lang w:val="es-ES_tradnl"/>
              </w:rPr>
              <w:t>COMPROMISOS</w:t>
            </w:r>
          </w:p>
          <w:p w14:paraId="5D8F8090" w14:textId="77777777" w:rsidR="007E2F9F" w:rsidRPr="00C927E4" w:rsidRDefault="007E2F9F" w:rsidP="006548F8">
            <w:pPr>
              <w:ind w:right="34"/>
              <w:jc w:val="center"/>
              <w:rPr>
                <w:rFonts w:ascii="Arial" w:hAnsi="Arial" w:cs="Arial"/>
                <w:b/>
                <w:sz w:val="18"/>
                <w:szCs w:val="18"/>
                <w:lang w:val="es-ES_tradnl"/>
              </w:rPr>
            </w:pPr>
            <w:r w:rsidRPr="00C927E4">
              <w:rPr>
                <w:rFonts w:ascii="Arial" w:hAnsi="Arial" w:cs="Arial"/>
                <w:b/>
                <w:sz w:val="18"/>
                <w:szCs w:val="18"/>
                <w:lang w:val="es-ES_tradnl"/>
              </w:rPr>
              <w:t>(2)</w:t>
            </w:r>
          </w:p>
        </w:tc>
        <w:tc>
          <w:tcPr>
            <w:tcW w:w="2238" w:type="dxa"/>
          </w:tcPr>
          <w:p w14:paraId="654409A6" w14:textId="77777777" w:rsidR="007E2F9F" w:rsidRPr="00C927E4" w:rsidRDefault="007E2F9F" w:rsidP="006548F8">
            <w:pPr>
              <w:ind w:left="25" w:right="34"/>
              <w:jc w:val="center"/>
              <w:rPr>
                <w:rFonts w:ascii="Arial" w:hAnsi="Arial" w:cs="Arial"/>
                <w:b/>
                <w:sz w:val="18"/>
                <w:szCs w:val="18"/>
                <w:lang w:val="es-ES_tradnl"/>
              </w:rPr>
            </w:pPr>
            <w:r w:rsidRPr="00C927E4">
              <w:rPr>
                <w:rFonts w:ascii="Arial" w:hAnsi="Arial" w:cs="Arial"/>
                <w:b/>
                <w:sz w:val="18"/>
                <w:szCs w:val="18"/>
                <w:lang w:val="es-ES_tradnl"/>
              </w:rPr>
              <w:t>PÉRDIDAS DE</w:t>
            </w:r>
          </w:p>
          <w:p w14:paraId="7E331060" w14:textId="77777777" w:rsidR="007E2F9F" w:rsidRPr="00C927E4" w:rsidRDefault="007E2F9F" w:rsidP="006548F8">
            <w:pPr>
              <w:ind w:right="34"/>
              <w:jc w:val="center"/>
              <w:rPr>
                <w:rFonts w:ascii="Arial" w:hAnsi="Arial" w:cs="Arial"/>
                <w:b/>
                <w:sz w:val="18"/>
                <w:szCs w:val="18"/>
                <w:lang w:val="es-ES_tradnl"/>
              </w:rPr>
            </w:pPr>
            <w:r w:rsidRPr="00C927E4">
              <w:rPr>
                <w:rFonts w:ascii="Arial" w:hAnsi="Arial" w:cs="Arial"/>
                <w:b/>
                <w:sz w:val="18"/>
                <w:szCs w:val="18"/>
                <w:lang w:val="es-ES_tradnl"/>
              </w:rPr>
              <w:t>APROPIACIÓN</w:t>
            </w:r>
          </w:p>
          <w:p w14:paraId="0808225F" w14:textId="77777777" w:rsidR="007E2F9F" w:rsidRPr="00C927E4" w:rsidRDefault="007E2F9F" w:rsidP="006548F8">
            <w:pPr>
              <w:ind w:right="34"/>
              <w:jc w:val="center"/>
              <w:rPr>
                <w:rFonts w:ascii="Arial" w:hAnsi="Arial" w:cs="Arial"/>
                <w:b/>
                <w:sz w:val="18"/>
                <w:szCs w:val="18"/>
                <w:lang w:val="es-ES_tradnl"/>
              </w:rPr>
            </w:pPr>
            <w:r w:rsidRPr="00C927E4">
              <w:rPr>
                <w:rFonts w:ascii="Arial" w:hAnsi="Arial" w:cs="Arial"/>
                <w:b/>
                <w:sz w:val="18"/>
                <w:szCs w:val="18"/>
                <w:lang w:val="es-ES_tradnl"/>
              </w:rPr>
              <w:t>3 = (1-2)</w:t>
            </w:r>
          </w:p>
        </w:tc>
      </w:tr>
      <w:tr w:rsidR="007E2F9F" w:rsidRPr="00C927E4" w14:paraId="6070E2C1" w14:textId="77777777" w:rsidTr="006548F8">
        <w:trPr>
          <w:trHeight w:val="230"/>
        </w:trPr>
        <w:tc>
          <w:tcPr>
            <w:tcW w:w="3544" w:type="dxa"/>
          </w:tcPr>
          <w:p w14:paraId="22902DF6" w14:textId="77777777" w:rsidR="007E2F9F" w:rsidRPr="00C927E4" w:rsidRDefault="007E2F9F" w:rsidP="006548F8">
            <w:pPr>
              <w:ind w:right="-1440"/>
              <w:jc w:val="both"/>
              <w:rPr>
                <w:rFonts w:ascii="Arial" w:hAnsi="Arial" w:cs="Arial"/>
                <w:b/>
                <w:bCs/>
                <w:sz w:val="18"/>
                <w:szCs w:val="18"/>
                <w:lang w:val="es-ES_tradnl"/>
              </w:rPr>
            </w:pPr>
            <w:r w:rsidRPr="00C927E4">
              <w:rPr>
                <w:rFonts w:ascii="Arial" w:hAnsi="Arial" w:cs="Arial"/>
                <w:b/>
                <w:bCs/>
                <w:sz w:val="18"/>
                <w:szCs w:val="18"/>
                <w:lang w:val="es-ES_tradnl"/>
              </w:rPr>
              <w:t>FUNCIONAMIENTO</w:t>
            </w:r>
          </w:p>
        </w:tc>
        <w:tc>
          <w:tcPr>
            <w:tcW w:w="2354" w:type="dxa"/>
            <w:vAlign w:val="bottom"/>
          </w:tcPr>
          <w:p w14:paraId="103FFDC7" w14:textId="77777777" w:rsidR="007E2F9F" w:rsidRPr="00C927E4" w:rsidRDefault="007E2F9F" w:rsidP="006548F8">
            <w:pPr>
              <w:jc w:val="right"/>
              <w:rPr>
                <w:rFonts w:ascii="Arial" w:eastAsia="Calibri" w:hAnsi="Arial" w:cs="Arial"/>
                <w:b/>
                <w:bCs/>
                <w:sz w:val="18"/>
                <w:szCs w:val="18"/>
                <w:lang w:val="es-CO"/>
              </w:rPr>
            </w:pPr>
            <w:r w:rsidRPr="00C927E4">
              <w:rPr>
                <w:rFonts w:ascii="Arial" w:hAnsi="Arial" w:cs="Arial"/>
                <w:sz w:val="18"/>
                <w:szCs w:val="18"/>
              </w:rPr>
              <w:t>1.224.929</w:t>
            </w:r>
          </w:p>
        </w:tc>
        <w:tc>
          <w:tcPr>
            <w:tcW w:w="2354" w:type="dxa"/>
            <w:vAlign w:val="bottom"/>
          </w:tcPr>
          <w:p w14:paraId="01F772BE" w14:textId="77777777" w:rsidR="007E2F9F" w:rsidRPr="00C927E4" w:rsidRDefault="007E2F9F" w:rsidP="006548F8">
            <w:pPr>
              <w:pStyle w:val="Prrafodelista"/>
              <w:ind w:left="0"/>
              <w:jc w:val="right"/>
              <w:rPr>
                <w:rFonts w:ascii="Arial" w:hAnsi="Arial" w:cs="Arial"/>
                <w:b/>
                <w:bCs/>
                <w:sz w:val="18"/>
                <w:szCs w:val="18"/>
              </w:rPr>
            </w:pPr>
            <w:r w:rsidRPr="00C927E4">
              <w:rPr>
                <w:rFonts w:ascii="Arial" w:hAnsi="Arial" w:cs="Arial"/>
                <w:sz w:val="18"/>
                <w:szCs w:val="18"/>
              </w:rPr>
              <w:t>1.145.645</w:t>
            </w:r>
          </w:p>
        </w:tc>
        <w:tc>
          <w:tcPr>
            <w:tcW w:w="2238" w:type="dxa"/>
            <w:vAlign w:val="bottom"/>
          </w:tcPr>
          <w:p w14:paraId="0CF9A663" w14:textId="77777777" w:rsidR="007E2F9F" w:rsidRPr="00C927E4" w:rsidRDefault="007E2F9F" w:rsidP="006548F8">
            <w:pPr>
              <w:pStyle w:val="Prrafodelista"/>
              <w:ind w:left="0"/>
              <w:jc w:val="right"/>
              <w:rPr>
                <w:rFonts w:ascii="Arial" w:hAnsi="Arial" w:cs="Arial"/>
                <w:b/>
                <w:bCs/>
                <w:sz w:val="18"/>
                <w:szCs w:val="18"/>
              </w:rPr>
            </w:pPr>
            <w:r w:rsidRPr="00C927E4">
              <w:rPr>
                <w:rFonts w:ascii="Arial" w:hAnsi="Arial" w:cs="Arial"/>
                <w:sz w:val="18"/>
                <w:szCs w:val="18"/>
              </w:rPr>
              <w:t>79.284</w:t>
            </w:r>
          </w:p>
        </w:tc>
      </w:tr>
      <w:tr w:rsidR="007E2F9F" w:rsidRPr="00C927E4" w14:paraId="78FB68C6" w14:textId="77777777" w:rsidTr="006548F8">
        <w:trPr>
          <w:trHeight w:val="230"/>
        </w:trPr>
        <w:tc>
          <w:tcPr>
            <w:tcW w:w="3544" w:type="dxa"/>
          </w:tcPr>
          <w:p w14:paraId="65B7FF30" w14:textId="77777777" w:rsidR="007E2F9F" w:rsidRPr="00C927E4" w:rsidRDefault="007E2F9F" w:rsidP="006548F8">
            <w:pPr>
              <w:ind w:right="-1440"/>
              <w:jc w:val="both"/>
              <w:rPr>
                <w:rFonts w:ascii="Arial" w:hAnsi="Arial" w:cs="Arial"/>
                <w:b/>
                <w:bCs/>
                <w:sz w:val="18"/>
                <w:szCs w:val="18"/>
                <w:lang w:val="es-ES_tradnl"/>
              </w:rPr>
            </w:pPr>
            <w:r w:rsidRPr="00C927E4">
              <w:rPr>
                <w:rFonts w:ascii="Arial" w:hAnsi="Arial" w:cs="Arial"/>
                <w:b/>
                <w:bCs/>
                <w:sz w:val="18"/>
                <w:szCs w:val="18"/>
                <w:lang w:val="es-ES_tradnl"/>
              </w:rPr>
              <w:t>NVERSIÓN</w:t>
            </w:r>
          </w:p>
        </w:tc>
        <w:tc>
          <w:tcPr>
            <w:tcW w:w="2354" w:type="dxa"/>
            <w:vAlign w:val="bottom"/>
          </w:tcPr>
          <w:p w14:paraId="5EC5B35F" w14:textId="77777777" w:rsidR="007E2F9F" w:rsidRPr="00C927E4" w:rsidRDefault="007E2F9F" w:rsidP="006548F8">
            <w:pPr>
              <w:jc w:val="right"/>
              <w:rPr>
                <w:rFonts w:ascii="Arial" w:eastAsia="Calibri" w:hAnsi="Arial" w:cs="Arial"/>
                <w:b/>
                <w:bCs/>
                <w:sz w:val="18"/>
                <w:szCs w:val="18"/>
                <w:lang w:val="es-CO"/>
              </w:rPr>
            </w:pPr>
            <w:r w:rsidRPr="00C927E4">
              <w:rPr>
                <w:rFonts w:ascii="Arial" w:hAnsi="Arial" w:cs="Arial"/>
                <w:color w:val="000000"/>
                <w:sz w:val="18"/>
                <w:szCs w:val="18"/>
              </w:rPr>
              <w:t>227.796</w:t>
            </w:r>
          </w:p>
        </w:tc>
        <w:tc>
          <w:tcPr>
            <w:tcW w:w="2354" w:type="dxa"/>
            <w:vAlign w:val="bottom"/>
          </w:tcPr>
          <w:p w14:paraId="617F22AB" w14:textId="77777777" w:rsidR="007E2F9F" w:rsidRPr="00C927E4" w:rsidRDefault="007E2F9F" w:rsidP="006548F8">
            <w:pPr>
              <w:pStyle w:val="Prrafodelista"/>
              <w:ind w:left="0"/>
              <w:jc w:val="right"/>
              <w:rPr>
                <w:rFonts w:ascii="Arial" w:eastAsia="Calibri" w:hAnsi="Arial" w:cs="Arial"/>
                <w:b/>
                <w:bCs/>
                <w:sz w:val="18"/>
                <w:szCs w:val="18"/>
                <w:lang w:val="es-CO"/>
              </w:rPr>
            </w:pPr>
            <w:r w:rsidRPr="00C927E4">
              <w:rPr>
                <w:rFonts w:ascii="Arial" w:hAnsi="Arial" w:cs="Arial"/>
                <w:color w:val="000000"/>
                <w:sz w:val="18"/>
                <w:szCs w:val="18"/>
              </w:rPr>
              <w:t>213.180</w:t>
            </w:r>
          </w:p>
        </w:tc>
        <w:tc>
          <w:tcPr>
            <w:tcW w:w="2238" w:type="dxa"/>
            <w:vAlign w:val="bottom"/>
          </w:tcPr>
          <w:p w14:paraId="6561EE2F" w14:textId="77777777" w:rsidR="007E2F9F" w:rsidRPr="00C927E4" w:rsidRDefault="007E2F9F" w:rsidP="006548F8">
            <w:pPr>
              <w:pStyle w:val="Prrafodelista"/>
              <w:ind w:left="0"/>
              <w:jc w:val="right"/>
              <w:rPr>
                <w:rFonts w:ascii="Arial" w:hAnsi="Arial" w:cs="Arial"/>
                <w:b/>
                <w:bCs/>
                <w:sz w:val="18"/>
                <w:szCs w:val="18"/>
              </w:rPr>
            </w:pPr>
            <w:r w:rsidRPr="00C927E4">
              <w:rPr>
                <w:rFonts w:ascii="Arial" w:hAnsi="Arial" w:cs="Arial"/>
                <w:color w:val="000000"/>
                <w:sz w:val="18"/>
                <w:szCs w:val="18"/>
              </w:rPr>
              <w:t>14.616</w:t>
            </w:r>
          </w:p>
        </w:tc>
      </w:tr>
      <w:tr w:rsidR="007E2F9F" w:rsidRPr="00C927E4" w14:paraId="7F176145" w14:textId="77777777" w:rsidTr="006548F8">
        <w:tc>
          <w:tcPr>
            <w:tcW w:w="3544" w:type="dxa"/>
          </w:tcPr>
          <w:p w14:paraId="5FEF5CC1" w14:textId="77777777" w:rsidR="007E2F9F" w:rsidRPr="00C927E4" w:rsidRDefault="007E2F9F" w:rsidP="006548F8">
            <w:pPr>
              <w:ind w:right="-1440"/>
              <w:jc w:val="both"/>
              <w:rPr>
                <w:rFonts w:ascii="Arial" w:hAnsi="Arial" w:cs="Arial"/>
                <w:b/>
                <w:bCs/>
                <w:sz w:val="18"/>
                <w:szCs w:val="18"/>
                <w:lang w:val="es-ES_tradnl"/>
              </w:rPr>
            </w:pPr>
            <w:r w:rsidRPr="00C927E4">
              <w:rPr>
                <w:rFonts w:ascii="Arial" w:hAnsi="Arial" w:cs="Arial"/>
                <w:b/>
                <w:bCs/>
                <w:sz w:val="18"/>
                <w:szCs w:val="18"/>
                <w:lang w:val="es-ES_tradnl"/>
              </w:rPr>
              <w:t>TOTAL PÉRDIDAS DE APROPIACIÓN</w:t>
            </w:r>
          </w:p>
        </w:tc>
        <w:tc>
          <w:tcPr>
            <w:tcW w:w="2354" w:type="dxa"/>
            <w:vAlign w:val="bottom"/>
          </w:tcPr>
          <w:p w14:paraId="7CC63672" w14:textId="77777777" w:rsidR="007E2F9F" w:rsidRPr="00C927E4" w:rsidRDefault="007E2F9F" w:rsidP="006548F8">
            <w:pPr>
              <w:pStyle w:val="Prrafodelista"/>
              <w:ind w:left="0"/>
              <w:jc w:val="right"/>
              <w:rPr>
                <w:rFonts w:ascii="Arial" w:hAnsi="Arial" w:cs="Arial"/>
                <w:b/>
                <w:bCs/>
                <w:sz w:val="18"/>
                <w:szCs w:val="18"/>
                <w:u w:val="single"/>
              </w:rPr>
            </w:pPr>
            <w:r w:rsidRPr="00C927E4">
              <w:rPr>
                <w:rFonts w:ascii="Arial" w:hAnsi="Arial" w:cs="Arial"/>
                <w:sz w:val="18"/>
                <w:szCs w:val="18"/>
              </w:rPr>
              <w:t>1.452.725</w:t>
            </w:r>
          </w:p>
        </w:tc>
        <w:tc>
          <w:tcPr>
            <w:tcW w:w="2354" w:type="dxa"/>
            <w:vAlign w:val="bottom"/>
          </w:tcPr>
          <w:p w14:paraId="5B23A78D" w14:textId="77777777" w:rsidR="007E2F9F" w:rsidRPr="00C927E4" w:rsidRDefault="007E2F9F" w:rsidP="006548F8">
            <w:pPr>
              <w:pStyle w:val="Prrafodelista"/>
              <w:ind w:left="0"/>
              <w:jc w:val="right"/>
              <w:rPr>
                <w:rFonts w:ascii="Arial" w:hAnsi="Arial" w:cs="Arial"/>
                <w:b/>
                <w:bCs/>
                <w:sz w:val="18"/>
                <w:szCs w:val="18"/>
                <w:u w:val="single"/>
              </w:rPr>
            </w:pPr>
            <w:r w:rsidRPr="00C927E4">
              <w:rPr>
                <w:rFonts w:ascii="Arial" w:hAnsi="Arial" w:cs="Arial"/>
                <w:sz w:val="18"/>
                <w:szCs w:val="18"/>
              </w:rPr>
              <w:t>1.358.825</w:t>
            </w:r>
          </w:p>
        </w:tc>
        <w:tc>
          <w:tcPr>
            <w:tcW w:w="2238" w:type="dxa"/>
            <w:vAlign w:val="bottom"/>
          </w:tcPr>
          <w:p w14:paraId="01DFBB0C" w14:textId="77777777" w:rsidR="007E2F9F" w:rsidRPr="00C927E4" w:rsidRDefault="007E2F9F" w:rsidP="006548F8">
            <w:pPr>
              <w:pStyle w:val="Prrafodelista"/>
              <w:ind w:left="0"/>
              <w:jc w:val="right"/>
              <w:rPr>
                <w:rFonts w:ascii="Arial" w:hAnsi="Arial" w:cs="Arial"/>
                <w:b/>
                <w:bCs/>
                <w:sz w:val="18"/>
                <w:szCs w:val="18"/>
                <w:u w:val="single"/>
              </w:rPr>
            </w:pPr>
            <w:r w:rsidRPr="00C927E4">
              <w:rPr>
                <w:rFonts w:ascii="Arial" w:hAnsi="Arial" w:cs="Arial"/>
                <w:sz w:val="18"/>
                <w:szCs w:val="18"/>
              </w:rPr>
              <w:t>93.900</w:t>
            </w:r>
          </w:p>
        </w:tc>
      </w:tr>
    </w:tbl>
    <w:p w14:paraId="3EFB90D3" w14:textId="77777777" w:rsidR="007E2F9F" w:rsidRDefault="007E2F9F" w:rsidP="007E2F9F">
      <w:pPr>
        <w:rPr>
          <w:rFonts w:ascii="Arial" w:hAnsi="Arial" w:cs="Arial"/>
          <w:b/>
          <w:u w:val="single"/>
        </w:rPr>
      </w:pPr>
    </w:p>
    <w:p w14:paraId="53EFC9B0" w14:textId="77777777" w:rsidR="007E2F9F" w:rsidRPr="009B5803" w:rsidRDefault="007E2F9F" w:rsidP="007E2F9F">
      <w:pPr>
        <w:ind w:left="-284" w:right="-234"/>
        <w:jc w:val="both"/>
        <w:rPr>
          <w:rFonts w:ascii="Arial" w:hAnsi="Arial" w:cs="Arial"/>
          <w:b/>
          <w:sz w:val="28"/>
          <w:szCs w:val="28"/>
          <w:lang w:val="es-MX"/>
        </w:rPr>
      </w:pPr>
      <w:r w:rsidRPr="009B5803">
        <w:rPr>
          <w:rFonts w:ascii="Arial" w:hAnsi="Arial" w:cs="Arial"/>
          <w:b/>
          <w:sz w:val="28"/>
          <w:szCs w:val="28"/>
          <w:lang w:val="es-MX"/>
        </w:rPr>
        <w:t>275.- CORPORACIÓN AUTÓNOMA REGIONAL DE LA GUAJIRA - CORPOGUAJIRA.</w:t>
      </w:r>
    </w:p>
    <w:p w14:paraId="31195961" w14:textId="77777777" w:rsidR="007E2F9F" w:rsidRDefault="007E2F9F" w:rsidP="007E2F9F">
      <w:pPr>
        <w:rPr>
          <w:rFonts w:ascii="Arial" w:eastAsia="Calibri" w:hAnsi="Arial" w:cs="Arial"/>
          <w:b/>
          <w:u w:val="single"/>
          <w:lang w:val="es-MX"/>
        </w:rPr>
      </w:pPr>
    </w:p>
    <w:p w14:paraId="34869C0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B1D994F"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lastRenderedPageBreak/>
        <w:t>(Cifras en miles de</w:t>
      </w:r>
      <w:r w:rsidRPr="005F202B">
        <w:rPr>
          <w:rFonts w:ascii="Arial" w:hAnsi="Arial" w:cs="Arial"/>
          <w:spacing w:val="-11"/>
          <w:sz w:val="24"/>
        </w:rPr>
        <w:t xml:space="preserve"> </w:t>
      </w:r>
      <w:r w:rsidRPr="005F202B">
        <w:rPr>
          <w:rFonts w:ascii="Arial" w:hAnsi="Arial" w:cs="Arial"/>
          <w:sz w:val="24"/>
        </w:rPr>
        <w:t>pesos).</w:t>
      </w:r>
    </w:p>
    <w:p w14:paraId="298F2578"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B5803" w14:paraId="54580EF7" w14:textId="77777777" w:rsidTr="006548F8">
        <w:tc>
          <w:tcPr>
            <w:tcW w:w="3544" w:type="dxa"/>
          </w:tcPr>
          <w:p w14:paraId="739D4827" w14:textId="77777777" w:rsidR="007E2F9F" w:rsidRPr="009B5803" w:rsidRDefault="007E2F9F" w:rsidP="006548F8">
            <w:pPr>
              <w:ind w:left="1169" w:right="-1440"/>
              <w:rPr>
                <w:rFonts w:ascii="Arial" w:hAnsi="Arial" w:cs="Arial"/>
                <w:b/>
                <w:sz w:val="18"/>
                <w:szCs w:val="18"/>
                <w:lang w:val="es-ES_tradnl"/>
              </w:rPr>
            </w:pPr>
            <w:r w:rsidRPr="009B5803">
              <w:rPr>
                <w:rFonts w:ascii="Arial" w:hAnsi="Arial" w:cs="Arial"/>
                <w:b/>
                <w:sz w:val="18"/>
                <w:szCs w:val="18"/>
                <w:lang w:val="es-ES_tradnl"/>
              </w:rPr>
              <w:t>TIPO DE GASTO</w:t>
            </w:r>
          </w:p>
        </w:tc>
        <w:tc>
          <w:tcPr>
            <w:tcW w:w="2354" w:type="dxa"/>
          </w:tcPr>
          <w:p w14:paraId="73E5FF05" w14:textId="77777777" w:rsidR="007E2F9F" w:rsidRPr="009B5803" w:rsidRDefault="007E2F9F" w:rsidP="006548F8">
            <w:pPr>
              <w:jc w:val="center"/>
              <w:rPr>
                <w:rFonts w:ascii="Arial" w:hAnsi="Arial" w:cs="Arial"/>
                <w:b/>
                <w:sz w:val="18"/>
                <w:szCs w:val="18"/>
                <w:lang w:val="es-ES_tradnl"/>
              </w:rPr>
            </w:pPr>
            <w:r w:rsidRPr="009B5803">
              <w:rPr>
                <w:rFonts w:ascii="Arial" w:hAnsi="Arial" w:cs="Arial"/>
                <w:b/>
                <w:sz w:val="18"/>
                <w:szCs w:val="18"/>
                <w:lang w:val="es-ES_tradnl"/>
              </w:rPr>
              <w:t>APROPIACIÓN</w:t>
            </w:r>
          </w:p>
          <w:p w14:paraId="59755096" w14:textId="77777777" w:rsidR="007E2F9F" w:rsidRPr="009B5803" w:rsidRDefault="007E2F9F" w:rsidP="006548F8">
            <w:pPr>
              <w:jc w:val="center"/>
              <w:rPr>
                <w:rFonts w:ascii="Arial" w:hAnsi="Arial" w:cs="Arial"/>
                <w:b/>
                <w:sz w:val="18"/>
                <w:szCs w:val="18"/>
                <w:lang w:val="es-ES_tradnl"/>
              </w:rPr>
            </w:pPr>
            <w:r w:rsidRPr="009B5803">
              <w:rPr>
                <w:rFonts w:ascii="Arial" w:hAnsi="Arial" w:cs="Arial"/>
                <w:b/>
                <w:sz w:val="18"/>
                <w:szCs w:val="18"/>
                <w:lang w:val="es-ES_tradnl"/>
              </w:rPr>
              <w:t>DEFINITIVA</w:t>
            </w:r>
          </w:p>
          <w:p w14:paraId="04A16862" w14:textId="77777777" w:rsidR="007E2F9F" w:rsidRPr="009B5803" w:rsidRDefault="007E2F9F" w:rsidP="006548F8">
            <w:pPr>
              <w:jc w:val="center"/>
              <w:rPr>
                <w:rFonts w:ascii="Arial" w:hAnsi="Arial" w:cs="Arial"/>
                <w:b/>
                <w:sz w:val="18"/>
                <w:szCs w:val="18"/>
                <w:lang w:val="es-ES_tradnl"/>
              </w:rPr>
            </w:pPr>
            <w:r w:rsidRPr="009B5803">
              <w:rPr>
                <w:rFonts w:ascii="Arial" w:hAnsi="Arial" w:cs="Arial"/>
                <w:b/>
                <w:sz w:val="18"/>
                <w:szCs w:val="18"/>
                <w:lang w:val="es-ES_tradnl"/>
              </w:rPr>
              <w:t>(1)</w:t>
            </w:r>
          </w:p>
          <w:p w14:paraId="3F2E1B91" w14:textId="77777777" w:rsidR="007E2F9F" w:rsidRPr="009B5803" w:rsidRDefault="007E2F9F" w:rsidP="006548F8">
            <w:pPr>
              <w:jc w:val="center"/>
              <w:rPr>
                <w:rFonts w:ascii="Arial" w:hAnsi="Arial" w:cs="Arial"/>
                <w:b/>
                <w:sz w:val="18"/>
                <w:szCs w:val="18"/>
                <w:lang w:val="es-ES_tradnl"/>
              </w:rPr>
            </w:pPr>
          </w:p>
        </w:tc>
        <w:tc>
          <w:tcPr>
            <w:tcW w:w="2354" w:type="dxa"/>
          </w:tcPr>
          <w:p w14:paraId="66E46AB5" w14:textId="77777777" w:rsidR="007E2F9F" w:rsidRPr="009B5803" w:rsidRDefault="007E2F9F" w:rsidP="006548F8">
            <w:pPr>
              <w:ind w:left="145" w:right="184"/>
              <w:jc w:val="center"/>
              <w:rPr>
                <w:rFonts w:ascii="Arial" w:hAnsi="Arial" w:cs="Arial"/>
                <w:b/>
                <w:sz w:val="18"/>
                <w:szCs w:val="18"/>
                <w:lang w:val="es-ES_tradnl"/>
              </w:rPr>
            </w:pPr>
            <w:r w:rsidRPr="009B5803">
              <w:rPr>
                <w:rFonts w:ascii="Arial" w:hAnsi="Arial" w:cs="Arial"/>
                <w:b/>
                <w:sz w:val="18"/>
                <w:szCs w:val="18"/>
                <w:lang w:val="es-ES_tradnl"/>
              </w:rPr>
              <w:t>EJECUCIÓN</w:t>
            </w:r>
          </w:p>
          <w:p w14:paraId="63DE8435" w14:textId="77777777" w:rsidR="007E2F9F" w:rsidRPr="009B5803" w:rsidRDefault="007E2F9F" w:rsidP="006548F8">
            <w:pPr>
              <w:ind w:right="34"/>
              <w:jc w:val="center"/>
              <w:rPr>
                <w:rFonts w:ascii="Arial" w:hAnsi="Arial" w:cs="Arial"/>
                <w:b/>
                <w:sz w:val="18"/>
                <w:szCs w:val="18"/>
                <w:lang w:val="es-ES_tradnl"/>
              </w:rPr>
            </w:pPr>
            <w:r w:rsidRPr="009B5803">
              <w:rPr>
                <w:rFonts w:ascii="Arial" w:hAnsi="Arial" w:cs="Arial"/>
                <w:b/>
                <w:sz w:val="18"/>
                <w:szCs w:val="18"/>
                <w:lang w:val="es-ES_tradnl"/>
              </w:rPr>
              <w:t>COMPROMISOS</w:t>
            </w:r>
          </w:p>
          <w:p w14:paraId="6A82D904" w14:textId="77777777" w:rsidR="007E2F9F" w:rsidRPr="009B5803" w:rsidRDefault="007E2F9F" w:rsidP="006548F8">
            <w:pPr>
              <w:ind w:right="34"/>
              <w:jc w:val="center"/>
              <w:rPr>
                <w:rFonts w:ascii="Arial" w:hAnsi="Arial" w:cs="Arial"/>
                <w:b/>
                <w:sz w:val="18"/>
                <w:szCs w:val="18"/>
                <w:lang w:val="es-ES_tradnl"/>
              </w:rPr>
            </w:pPr>
            <w:r w:rsidRPr="009B5803">
              <w:rPr>
                <w:rFonts w:ascii="Arial" w:hAnsi="Arial" w:cs="Arial"/>
                <w:b/>
                <w:sz w:val="18"/>
                <w:szCs w:val="18"/>
                <w:lang w:val="es-ES_tradnl"/>
              </w:rPr>
              <w:t>(2)</w:t>
            </w:r>
          </w:p>
        </w:tc>
        <w:tc>
          <w:tcPr>
            <w:tcW w:w="2238" w:type="dxa"/>
          </w:tcPr>
          <w:p w14:paraId="38CC60A5" w14:textId="77777777" w:rsidR="007E2F9F" w:rsidRPr="009B5803" w:rsidRDefault="007E2F9F" w:rsidP="006548F8">
            <w:pPr>
              <w:ind w:left="25" w:right="34"/>
              <w:jc w:val="center"/>
              <w:rPr>
                <w:rFonts w:ascii="Arial" w:hAnsi="Arial" w:cs="Arial"/>
                <w:b/>
                <w:sz w:val="18"/>
                <w:szCs w:val="18"/>
                <w:lang w:val="es-ES_tradnl"/>
              </w:rPr>
            </w:pPr>
            <w:r w:rsidRPr="009B5803">
              <w:rPr>
                <w:rFonts w:ascii="Arial" w:hAnsi="Arial" w:cs="Arial"/>
                <w:b/>
                <w:sz w:val="18"/>
                <w:szCs w:val="18"/>
                <w:lang w:val="es-ES_tradnl"/>
              </w:rPr>
              <w:t>PÉRDIDAS DE</w:t>
            </w:r>
          </w:p>
          <w:p w14:paraId="13A46CE4" w14:textId="77777777" w:rsidR="007E2F9F" w:rsidRPr="009B5803" w:rsidRDefault="007E2F9F" w:rsidP="006548F8">
            <w:pPr>
              <w:ind w:right="34"/>
              <w:jc w:val="center"/>
              <w:rPr>
                <w:rFonts w:ascii="Arial" w:hAnsi="Arial" w:cs="Arial"/>
                <w:b/>
                <w:sz w:val="18"/>
                <w:szCs w:val="18"/>
                <w:lang w:val="es-ES_tradnl"/>
              </w:rPr>
            </w:pPr>
            <w:r w:rsidRPr="009B5803">
              <w:rPr>
                <w:rFonts w:ascii="Arial" w:hAnsi="Arial" w:cs="Arial"/>
                <w:b/>
                <w:sz w:val="18"/>
                <w:szCs w:val="18"/>
                <w:lang w:val="es-ES_tradnl"/>
              </w:rPr>
              <w:t>APROPIACIÓN</w:t>
            </w:r>
          </w:p>
          <w:p w14:paraId="25F21D3A" w14:textId="77777777" w:rsidR="007E2F9F" w:rsidRPr="009B5803" w:rsidRDefault="007E2F9F" w:rsidP="006548F8">
            <w:pPr>
              <w:ind w:right="34"/>
              <w:jc w:val="center"/>
              <w:rPr>
                <w:rFonts w:ascii="Arial" w:hAnsi="Arial" w:cs="Arial"/>
                <w:b/>
                <w:sz w:val="18"/>
                <w:szCs w:val="18"/>
                <w:lang w:val="es-ES_tradnl"/>
              </w:rPr>
            </w:pPr>
            <w:r w:rsidRPr="009B5803">
              <w:rPr>
                <w:rFonts w:ascii="Arial" w:hAnsi="Arial" w:cs="Arial"/>
                <w:b/>
                <w:sz w:val="18"/>
                <w:szCs w:val="18"/>
                <w:lang w:val="es-ES_tradnl"/>
              </w:rPr>
              <w:t>3 = (1-2)</w:t>
            </w:r>
          </w:p>
        </w:tc>
      </w:tr>
      <w:tr w:rsidR="007E2F9F" w:rsidRPr="009B5803" w14:paraId="28863FE3" w14:textId="77777777" w:rsidTr="006548F8">
        <w:trPr>
          <w:trHeight w:val="230"/>
        </w:trPr>
        <w:tc>
          <w:tcPr>
            <w:tcW w:w="3544" w:type="dxa"/>
          </w:tcPr>
          <w:p w14:paraId="5142EBDA" w14:textId="77777777" w:rsidR="007E2F9F" w:rsidRPr="009B5803" w:rsidRDefault="007E2F9F" w:rsidP="006548F8">
            <w:pPr>
              <w:ind w:right="-1440"/>
              <w:jc w:val="both"/>
              <w:rPr>
                <w:rFonts w:ascii="Arial" w:hAnsi="Arial" w:cs="Arial"/>
                <w:b/>
                <w:bCs/>
                <w:sz w:val="18"/>
                <w:szCs w:val="18"/>
                <w:lang w:val="es-ES_tradnl"/>
              </w:rPr>
            </w:pPr>
            <w:r w:rsidRPr="009B5803">
              <w:rPr>
                <w:rFonts w:ascii="Arial" w:hAnsi="Arial" w:cs="Arial"/>
                <w:b/>
                <w:bCs/>
                <w:sz w:val="18"/>
                <w:szCs w:val="18"/>
                <w:lang w:val="es-ES_tradnl"/>
              </w:rPr>
              <w:t>FUNCIONAMIENTO</w:t>
            </w:r>
          </w:p>
        </w:tc>
        <w:tc>
          <w:tcPr>
            <w:tcW w:w="2354" w:type="dxa"/>
            <w:vAlign w:val="bottom"/>
          </w:tcPr>
          <w:p w14:paraId="0F5EE709" w14:textId="77777777" w:rsidR="007E2F9F" w:rsidRPr="009B5803" w:rsidRDefault="007E2F9F" w:rsidP="006548F8">
            <w:pPr>
              <w:jc w:val="right"/>
              <w:rPr>
                <w:rFonts w:ascii="Arial" w:eastAsia="Calibri" w:hAnsi="Arial" w:cs="Arial"/>
                <w:b/>
                <w:bCs/>
                <w:sz w:val="18"/>
                <w:szCs w:val="18"/>
                <w:lang w:val="es-CO"/>
              </w:rPr>
            </w:pPr>
            <w:r w:rsidRPr="009B5803">
              <w:rPr>
                <w:rFonts w:ascii="Arial" w:hAnsi="Arial" w:cs="Arial"/>
                <w:sz w:val="18"/>
                <w:szCs w:val="18"/>
              </w:rPr>
              <w:t>5.625.390.706</w:t>
            </w:r>
          </w:p>
        </w:tc>
        <w:tc>
          <w:tcPr>
            <w:tcW w:w="2354" w:type="dxa"/>
            <w:vAlign w:val="bottom"/>
          </w:tcPr>
          <w:p w14:paraId="46D1F9C5" w14:textId="77777777" w:rsidR="007E2F9F" w:rsidRPr="009B5803" w:rsidRDefault="007E2F9F" w:rsidP="006548F8">
            <w:pPr>
              <w:pStyle w:val="Prrafodelista"/>
              <w:ind w:left="0"/>
              <w:jc w:val="right"/>
              <w:rPr>
                <w:rFonts w:ascii="Arial" w:hAnsi="Arial" w:cs="Arial"/>
                <w:b/>
                <w:bCs/>
                <w:sz w:val="18"/>
                <w:szCs w:val="18"/>
              </w:rPr>
            </w:pPr>
            <w:r w:rsidRPr="009B5803">
              <w:rPr>
                <w:rFonts w:ascii="Arial" w:hAnsi="Arial" w:cs="Arial"/>
                <w:sz w:val="18"/>
                <w:szCs w:val="18"/>
              </w:rPr>
              <w:t>5.553.002.324</w:t>
            </w:r>
          </w:p>
        </w:tc>
        <w:tc>
          <w:tcPr>
            <w:tcW w:w="2238" w:type="dxa"/>
            <w:vAlign w:val="bottom"/>
          </w:tcPr>
          <w:p w14:paraId="0067C892" w14:textId="77777777" w:rsidR="007E2F9F" w:rsidRPr="009B5803" w:rsidRDefault="007E2F9F" w:rsidP="006548F8">
            <w:pPr>
              <w:pStyle w:val="Prrafodelista"/>
              <w:ind w:left="0"/>
              <w:jc w:val="right"/>
              <w:rPr>
                <w:rFonts w:ascii="Arial" w:hAnsi="Arial" w:cs="Arial"/>
                <w:b/>
                <w:bCs/>
                <w:sz w:val="18"/>
                <w:szCs w:val="18"/>
              </w:rPr>
            </w:pPr>
            <w:r w:rsidRPr="009B5803">
              <w:rPr>
                <w:rFonts w:ascii="Arial" w:hAnsi="Arial" w:cs="Arial"/>
                <w:sz w:val="18"/>
                <w:szCs w:val="18"/>
              </w:rPr>
              <w:t>72.388.382</w:t>
            </w:r>
          </w:p>
        </w:tc>
      </w:tr>
      <w:tr w:rsidR="007E2F9F" w:rsidRPr="009B5803" w14:paraId="4F00D4EE" w14:textId="77777777" w:rsidTr="006548F8">
        <w:trPr>
          <w:trHeight w:val="230"/>
        </w:trPr>
        <w:tc>
          <w:tcPr>
            <w:tcW w:w="3544" w:type="dxa"/>
          </w:tcPr>
          <w:p w14:paraId="414DBFCF" w14:textId="77777777" w:rsidR="007E2F9F" w:rsidRPr="009B5803" w:rsidRDefault="007E2F9F" w:rsidP="006548F8">
            <w:pPr>
              <w:ind w:right="-1440"/>
              <w:jc w:val="both"/>
              <w:rPr>
                <w:rFonts w:ascii="Arial" w:hAnsi="Arial" w:cs="Arial"/>
                <w:b/>
                <w:bCs/>
                <w:sz w:val="18"/>
                <w:szCs w:val="18"/>
                <w:lang w:val="es-ES_tradnl"/>
              </w:rPr>
            </w:pPr>
            <w:r w:rsidRPr="009B5803">
              <w:rPr>
                <w:rFonts w:ascii="Arial" w:hAnsi="Arial" w:cs="Arial"/>
                <w:b/>
                <w:bCs/>
                <w:sz w:val="18"/>
                <w:szCs w:val="18"/>
                <w:lang w:val="es-ES_tradnl"/>
              </w:rPr>
              <w:t>NVERSIÓN</w:t>
            </w:r>
          </w:p>
        </w:tc>
        <w:tc>
          <w:tcPr>
            <w:tcW w:w="2354" w:type="dxa"/>
            <w:vAlign w:val="bottom"/>
          </w:tcPr>
          <w:p w14:paraId="5EC42FFB" w14:textId="77777777" w:rsidR="007E2F9F" w:rsidRPr="009B5803" w:rsidRDefault="007E2F9F" w:rsidP="006548F8">
            <w:pPr>
              <w:jc w:val="right"/>
              <w:rPr>
                <w:rFonts w:ascii="Arial" w:eastAsia="Calibri" w:hAnsi="Arial" w:cs="Arial"/>
                <w:b/>
                <w:bCs/>
                <w:sz w:val="18"/>
                <w:szCs w:val="18"/>
                <w:lang w:val="es-CO"/>
              </w:rPr>
            </w:pPr>
            <w:r w:rsidRPr="009B5803">
              <w:rPr>
                <w:rFonts w:ascii="Arial" w:hAnsi="Arial" w:cs="Arial"/>
                <w:color w:val="000000"/>
                <w:sz w:val="18"/>
                <w:szCs w:val="18"/>
              </w:rPr>
              <w:t>4.478.162.665</w:t>
            </w:r>
          </w:p>
        </w:tc>
        <w:tc>
          <w:tcPr>
            <w:tcW w:w="2354" w:type="dxa"/>
            <w:vAlign w:val="bottom"/>
          </w:tcPr>
          <w:p w14:paraId="27718A79" w14:textId="77777777" w:rsidR="007E2F9F" w:rsidRPr="009B5803" w:rsidRDefault="007E2F9F" w:rsidP="006548F8">
            <w:pPr>
              <w:pStyle w:val="Prrafodelista"/>
              <w:ind w:left="0"/>
              <w:jc w:val="right"/>
              <w:rPr>
                <w:rFonts w:ascii="Arial" w:eastAsia="Calibri" w:hAnsi="Arial" w:cs="Arial"/>
                <w:b/>
                <w:bCs/>
                <w:sz w:val="18"/>
                <w:szCs w:val="18"/>
                <w:lang w:val="es-CO"/>
              </w:rPr>
            </w:pPr>
            <w:r w:rsidRPr="009B5803">
              <w:rPr>
                <w:rFonts w:ascii="Arial" w:hAnsi="Arial" w:cs="Arial"/>
                <w:color w:val="000000"/>
                <w:sz w:val="18"/>
                <w:szCs w:val="18"/>
              </w:rPr>
              <w:t>4.412.712.665</w:t>
            </w:r>
          </w:p>
        </w:tc>
        <w:tc>
          <w:tcPr>
            <w:tcW w:w="2238" w:type="dxa"/>
            <w:vAlign w:val="bottom"/>
          </w:tcPr>
          <w:p w14:paraId="49DA1913" w14:textId="77777777" w:rsidR="007E2F9F" w:rsidRPr="009B5803" w:rsidRDefault="007E2F9F" w:rsidP="006548F8">
            <w:pPr>
              <w:pStyle w:val="Prrafodelista"/>
              <w:ind w:left="0"/>
              <w:jc w:val="right"/>
              <w:rPr>
                <w:rFonts w:ascii="Arial" w:hAnsi="Arial" w:cs="Arial"/>
                <w:b/>
                <w:bCs/>
                <w:sz w:val="18"/>
                <w:szCs w:val="18"/>
              </w:rPr>
            </w:pPr>
            <w:r w:rsidRPr="009B5803">
              <w:rPr>
                <w:rFonts w:ascii="Arial" w:hAnsi="Arial" w:cs="Arial"/>
                <w:color w:val="000000"/>
                <w:sz w:val="18"/>
                <w:szCs w:val="18"/>
              </w:rPr>
              <w:t>65.450.000</w:t>
            </w:r>
          </w:p>
        </w:tc>
      </w:tr>
      <w:tr w:rsidR="007E2F9F" w:rsidRPr="009B5803" w14:paraId="497FB133" w14:textId="77777777" w:rsidTr="006548F8">
        <w:tc>
          <w:tcPr>
            <w:tcW w:w="3544" w:type="dxa"/>
          </w:tcPr>
          <w:p w14:paraId="6DF57EEE" w14:textId="77777777" w:rsidR="007E2F9F" w:rsidRPr="009B5803" w:rsidRDefault="007E2F9F" w:rsidP="006548F8">
            <w:pPr>
              <w:ind w:right="-1440"/>
              <w:jc w:val="both"/>
              <w:rPr>
                <w:rFonts w:ascii="Arial" w:hAnsi="Arial" w:cs="Arial"/>
                <w:b/>
                <w:bCs/>
                <w:sz w:val="18"/>
                <w:szCs w:val="18"/>
                <w:lang w:val="es-ES_tradnl"/>
              </w:rPr>
            </w:pPr>
            <w:r w:rsidRPr="009B5803">
              <w:rPr>
                <w:rFonts w:ascii="Arial" w:hAnsi="Arial" w:cs="Arial"/>
                <w:b/>
                <w:bCs/>
                <w:sz w:val="18"/>
                <w:szCs w:val="18"/>
                <w:lang w:val="es-ES_tradnl"/>
              </w:rPr>
              <w:t>TOTAL PÉRDIDAS DE APROPIACIÓN</w:t>
            </w:r>
          </w:p>
        </w:tc>
        <w:tc>
          <w:tcPr>
            <w:tcW w:w="2354" w:type="dxa"/>
            <w:vAlign w:val="bottom"/>
          </w:tcPr>
          <w:p w14:paraId="7E1373CF" w14:textId="77777777" w:rsidR="007E2F9F" w:rsidRPr="009B5803" w:rsidRDefault="007E2F9F" w:rsidP="006548F8">
            <w:pPr>
              <w:pStyle w:val="Prrafodelista"/>
              <w:ind w:left="0"/>
              <w:jc w:val="right"/>
              <w:rPr>
                <w:rFonts w:ascii="Arial" w:hAnsi="Arial" w:cs="Arial"/>
                <w:b/>
                <w:bCs/>
                <w:sz w:val="18"/>
                <w:szCs w:val="18"/>
                <w:u w:val="single"/>
              </w:rPr>
            </w:pPr>
            <w:r w:rsidRPr="009B5803">
              <w:rPr>
                <w:rFonts w:ascii="Arial" w:hAnsi="Arial" w:cs="Arial"/>
                <w:sz w:val="18"/>
                <w:szCs w:val="18"/>
              </w:rPr>
              <w:t>10.103.553.371</w:t>
            </w:r>
          </w:p>
        </w:tc>
        <w:tc>
          <w:tcPr>
            <w:tcW w:w="2354" w:type="dxa"/>
            <w:vAlign w:val="bottom"/>
          </w:tcPr>
          <w:p w14:paraId="4B4EB613" w14:textId="77777777" w:rsidR="007E2F9F" w:rsidRPr="009B5803" w:rsidRDefault="007E2F9F" w:rsidP="006548F8">
            <w:pPr>
              <w:pStyle w:val="Prrafodelista"/>
              <w:ind w:left="0"/>
              <w:jc w:val="right"/>
              <w:rPr>
                <w:rFonts w:ascii="Arial" w:hAnsi="Arial" w:cs="Arial"/>
                <w:b/>
                <w:bCs/>
                <w:sz w:val="18"/>
                <w:szCs w:val="18"/>
                <w:u w:val="single"/>
              </w:rPr>
            </w:pPr>
            <w:r w:rsidRPr="009B5803">
              <w:rPr>
                <w:rFonts w:ascii="Arial" w:hAnsi="Arial" w:cs="Arial"/>
                <w:sz w:val="18"/>
                <w:szCs w:val="18"/>
              </w:rPr>
              <w:t>9.965.714.989</w:t>
            </w:r>
          </w:p>
        </w:tc>
        <w:tc>
          <w:tcPr>
            <w:tcW w:w="2238" w:type="dxa"/>
            <w:vAlign w:val="bottom"/>
          </w:tcPr>
          <w:p w14:paraId="25ABC3B5" w14:textId="77777777" w:rsidR="007E2F9F" w:rsidRPr="009B5803" w:rsidRDefault="007E2F9F" w:rsidP="006548F8">
            <w:pPr>
              <w:pStyle w:val="Prrafodelista"/>
              <w:ind w:left="0"/>
              <w:jc w:val="right"/>
              <w:rPr>
                <w:rFonts w:ascii="Arial" w:hAnsi="Arial" w:cs="Arial"/>
                <w:b/>
                <w:bCs/>
                <w:sz w:val="18"/>
                <w:szCs w:val="18"/>
                <w:u w:val="single"/>
              </w:rPr>
            </w:pPr>
            <w:r w:rsidRPr="009B5803">
              <w:rPr>
                <w:rFonts w:ascii="Arial" w:hAnsi="Arial" w:cs="Arial"/>
                <w:sz w:val="18"/>
                <w:szCs w:val="18"/>
              </w:rPr>
              <w:t>137.838.382</w:t>
            </w:r>
          </w:p>
        </w:tc>
      </w:tr>
    </w:tbl>
    <w:p w14:paraId="42BDBF14" w14:textId="77777777" w:rsidR="007E2F9F" w:rsidRDefault="007E2F9F" w:rsidP="007E2F9F">
      <w:pPr>
        <w:rPr>
          <w:rFonts w:ascii="Arial" w:eastAsia="Calibri" w:hAnsi="Arial" w:cs="Arial"/>
          <w:b/>
          <w:u w:val="single"/>
          <w:lang w:val="es-MX"/>
        </w:rPr>
      </w:pPr>
    </w:p>
    <w:p w14:paraId="04583C09" w14:textId="77777777" w:rsidR="007E2F9F" w:rsidRPr="001B59EE" w:rsidRDefault="007E2F9F" w:rsidP="007E2F9F">
      <w:pPr>
        <w:ind w:left="-284"/>
        <w:jc w:val="both"/>
        <w:rPr>
          <w:rFonts w:ascii="Arial" w:hAnsi="Arial" w:cs="Arial"/>
          <w:b/>
          <w:sz w:val="28"/>
          <w:szCs w:val="28"/>
          <w:lang w:val="es-MX"/>
        </w:rPr>
      </w:pPr>
      <w:r w:rsidRPr="001B59EE">
        <w:rPr>
          <w:rFonts w:ascii="Arial" w:hAnsi="Arial" w:cs="Arial"/>
          <w:b/>
          <w:sz w:val="28"/>
          <w:szCs w:val="28"/>
          <w:lang w:val="es-MX"/>
        </w:rPr>
        <w:t>276.- INSTITUTO COLOMBIANO AGROPECUARIO – ICA.</w:t>
      </w:r>
    </w:p>
    <w:p w14:paraId="4803C99C" w14:textId="77777777" w:rsidR="007E2F9F" w:rsidRDefault="007E2F9F" w:rsidP="007E2F9F">
      <w:pPr>
        <w:rPr>
          <w:rFonts w:ascii="Arial" w:eastAsia="Calibri" w:hAnsi="Arial" w:cs="Arial"/>
          <w:b/>
          <w:u w:val="single"/>
          <w:lang w:val="es-MX"/>
        </w:rPr>
      </w:pPr>
    </w:p>
    <w:p w14:paraId="545A432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5D02FED"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ECB665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1B59EE" w14:paraId="30BBA2CE" w14:textId="77777777" w:rsidTr="006548F8">
        <w:tc>
          <w:tcPr>
            <w:tcW w:w="3544" w:type="dxa"/>
          </w:tcPr>
          <w:p w14:paraId="1C232B19" w14:textId="77777777" w:rsidR="007E2F9F" w:rsidRPr="001B59EE" w:rsidRDefault="007E2F9F" w:rsidP="006548F8">
            <w:pPr>
              <w:ind w:left="1169" w:right="-1440"/>
              <w:rPr>
                <w:rFonts w:ascii="Arial" w:hAnsi="Arial" w:cs="Arial"/>
                <w:b/>
                <w:sz w:val="18"/>
                <w:szCs w:val="18"/>
                <w:lang w:val="es-ES_tradnl"/>
              </w:rPr>
            </w:pPr>
            <w:r w:rsidRPr="001B59EE">
              <w:rPr>
                <w:rFonts w:ascii="Arial" w:hAnsi="Arial" w:cs="Arial"/>
                <w:b/>
                <w:sz w:val="18"/>
                <w:szCs w:val="18"/>
                <w:lang w:val="es-ES_tradnl"/>
              </w:rPr>
              <w:t>TIPO DE GASTO</w:t>
            </w:r>
          </w:p>
        </w:tc>
        <w:tc>
          <w:tcPr>
            <w:tcW w:w="2354" w:type="dxa"/>
          </w:tcPr>
          <w:p w14:paraId="0C3916BB" w14:textId="77777777" w:rsidR="007E2F9F" w:rsidRPr="001B59EE" w:rsidRDefault="007E2F9F" w:rsidP="006548F8">
            <w:pPr>
              <w:jc w:val="center"/>
              <w:rPr>
                <w:rFonts w:ascii="Arial" w:hAnsi="Arial" w:cs="Arial"/>
                <w:b/>
                <w:sz w:val="18"/>
                <w:szCs w:val="18"/>
                <w:lang w:val="es-ES_tradnl"/>
              </w:rPr>
            </w:pPr>
            <w:r w:rsidRPr="001B59EE">
              <w:rPr>
                <w:rFonts w:ascii="Arial" w:hAnsi="Arial" w:cs="Arial"/>
                <w:b/>
                <w:sz w:val="18"/>
                <w:szCs w:val="18"/>
                <w:lang w:val="es-ES_tradnl"/>
              </w:rPr>
              <w:t>APROPIACIÓN</w:t>
            </w:r>
          </w:p>
          <w:p w14:paraId="0529C3B4" w14:textId="77777777" w:rsidR="007E2F9F" w:rsidRPr="001B59EE" w:rsidRDefault="007E2F9F" w:rsidP="006548F8">
            <w:pPr>
              <w:jc w:val="center"/>
              <w:rPr>
                <w:rFonts w:ascii="Arial" w:hAnsi="Arial" w:cs="Arial"/>
                <w:b/>
                <w:sz w:val="18"/>
                <w:szCs w:val="18"/>
                <w:lang w:val="es-ES_tradnl"/>
              </w:rPr>
            </w:pPr>
            <w:r w:rsidRPr="001B59EE">
              <w:rPr>
                <w:rFonts w:ascii="Arial" w:hAnsi="Arial" w:cs="Arial"/>
                <w:b/>
                <w:sz w:val="18"/>
                <w:szCs w:val="18"/>
                <w:lang w:val="es-ES_tradnl"/>
              </w:rPr>
              <w:t>DEFINITIVA</w:t>
            </w:r>
          </w:p>
          <w:p w14:paraId="2E45739C" w14:textId="77777777" w:rsidR="007E2F9F" w:rsidRPr="001B59EE" w:rsidRDefault="007E2F9F" w:rsidP="006548F8">
            <w:pPr>
              <w:jc w:val="center"/>
              <w:rPr>
                <w:rFonts w:ascii="Arial" w:hAnsi="Arial" w:cs="Arial"/>
                <w:b/>
                <w:sz w:val="18"/>
                <w:szCs w:val="18"/>
                <w:lang w:val="es-ES_tradnl"/>
              </w:rPr>
            </w:pPr>
            <w:r w:rsidRPr="001B59EE">
              <w:rPr>
                <w:rFonts w:ascii="Arial" w:hAnsi="Arial" w:cs="Arial"/>
                <w:b/>
                <w:sz w:val="18"/>
                <w:szCs w:val="18"/>
                <w:lang w:val="es-ES_tradnl"/>
              </w:rPr>
              <w:t>(1)</w:t>
            </w:r>
          </w:p>
          <w:p w14:paraId="3970E962" w14:textId="77777777" w:rsidR="007E2F9F" w:rsidRPr="001B59EE" w:rsidRDefault="007E2F9F" w:rsidP="006548F8">
            <w:pPr>
              <w:jc w:val="center"/>
              <w:rPr>
                <w:rFonts w:ascii="Arial" w:hAnsi="Arial" w:cs="Arial"/>
                <w:b/>
                <w:sz w:val="18"/>
                <w:szCs w:val="18"/>
                <w:lang w:val="es-ES_tradnl"/>
              </w:rPr>
            </w:pPr>
          </w:p>
        </w:tc>
        <w:tc>
          <w:tcPr>
            <w:tcW w:w="2354" w:type="dxa"/>
          </w:tcPr>
          <w:p w14:paraId="3BB639E8" w14:textId="77777777" w:rsidR="007E2F9F" w:rsidRPr="001B59EE" w:rsidRDefault="007E2F9F" w:rsidP="006548F8">
            <w:pPr>
              <w:ind w:left="145" w:right="184"/>
              <w:jc w:val="center"/>
              <w:rPr>
                <w:rFonts w:ascii="Arial" w:hAnsi="Arial" w:cs="Arial"/>
                <w:b/>
                <w:sz w:val="18"/>
                <w:szCs w:val="18"/>
                <w:lang w:val="es-ES_tradnl"/>
              </w:rPr>
            </w:pPr>
            <w:r w:rsidRPr="001B59EE">
              <w:rPr>
                <w:rFonts w:ascii="Arial" w:hAnsi="Arial" w:cs="Arial"/>
                <w:b/>
                <w:sz w:val="18"/>
                <w:szCs w:val="18"/>
                <w:lang w:val="es-ES_tradnl"/>
              </w:rPr>
              <w:t>EJECUCIÓN</w:t>
            </w:r>
          </w:p>
          <w:p w14:paraId="58D842EF" w14:textId="77777777" w:rsidR="007E2F9F" w:rsidRPr="001B59EE" w:rsidRDefault="007E2F9F" w:rsidP="006548F8">
            <w:pPr>
              <w:ind w:right="34"/>
              <w:jc w:val="center"/>
              <w:rPr>
                <w:rFonts w:ascii="Arial" w:hAnsi="Arial" w:cs="Arial"/>
                <w:b/>
                <w:sz w:val="18"/>
                <w:szCs w:val="18"/>
                <w:lang w:val="es-ES_tradnl"/>
              </w:rPr>
            </w:pPr>
            <w:r w:rsidRPr="001B59EE">
              <w:rPr>
                <w:rFonts w:ascii="Arial" w:hAnsi="Arial" w:cs="Arial"/>
                <w:b/>
                <w:sz w:val="18"/>
                <w:szCs w:val="18"/>
                <w:lang w:val="es-ES_tradnl"/>
              </w:rPr>
              <w:t>COMPROMISOS</w:t>
            </w:r>
          </w:p>
          <w:p w14:paraId="7B8CB9DD" w14:textId="77777777" w:rsidR="007E2F9F" w:rsidRPr="001B59EE" w:rsidRDefault="007E2F9F" w:rsidP="006548F8">
            <w:pPr>
              <w:ind w:right="34"/>
              <w:jc w:val="center"/>
              <w:rPr>
                <w:rFonts w:ascii="Arial" w:hAnsi="Arial" w:cs="Arial"/>
                <w:b/>
                <w:sz w:val="18"/>
                <w:szCs w:val="18"/>
                <w:lang w:val="es-ES_tradnl"/>
              </w:rPr>
            </w:pPr>
            <w:r w:rsidRPr="001B59EE">
              <w:rPr>
                <w:rFonts w:ascii="Arial" w:hAnsi="Arial" w:cs="Arial"/>
                <w:b/>
                <w:sz w:val="18"/>
                <w:szCs w:val="18"/>
                <w:lang w:val="es-ES_tradnl"/>
              </w:rPr>
              <w:t>(2)</w:t>
            </w:r>
          </w:p>
        </w:tc>
        <w:tc>
          <w:tcPr>
            <w:tcW w:w="2238" w:type="dxa"/>
          </w:tcPr>
          <w:p w14:paraId="60C35AD4" w14:textId="77777777" w:rsidR="007E2F9F" w:rsidRPr="001B59EE" w:rsidRDefault="007E2F9F" w:rsidP="006548F8">
            <w:pPr>
              <w:ind w:left="25" w:right="34"/>
              <w:jc w:val="center"/>
              <w:rPr>
                <w:rFonts w:ascii="Arial" w:hAnsi="Arial" w:cs="Arial"/>
                <w:b/>
                <w:sz w:val="18"/>
                <w:szCs w:val="18"/>
                <w:lang w:val="es-ES_tradnl"/>
              </w:rPr>
            </w:pPr>
            <w:r w:rsidRPr="001B59EE">
              <w:rPr>
                <w:rFonts w:ascii="Arial" w:hAnsi="Arial" w:cs="Arial"/>
                <w:b/>
                <w:sz w:val="18"/>
                <w:szCs w:val="18"/>
                <w:lang w:val="es-ES_tradnl"/>
              </w:rPr>
              <w:t>PÉRDIDAS DE</w:t>
            </w:r>
          </w:p>
          <w:p w14:paraId="4180677C" w14:textId="77777777" w:rsidR="007E2F9F" w:rsidRPr="001B59EE" w:rsidRDefault="007E2F9F" w:rsidP="006548F8">
            <w:pPr>
              <w:ind w:right="34"/>
              <w:jc w:val="center"/>
              <w:rPr>
                <w:rFonts w:ascii="Arial" w:hAnsi="Arial" w:cs="Arial"/>
                <w:b/>
                <w:sz w:val="18"/>
                <w:szCs w:val="18"/>
                <w:lang w:val="es-ES_tradnl"/>
              </w:rPr>
            </w:pPr>
            <w:r w:rsidRPr="001B59EE">
              <w:rPr>
                <w:rFonts w:ascii="Arial" w:hAnsi="Arial" w:cs="Arial"/>
                <w:b/>
                <w:sz w:val="18"/>
                <w:szCs w:val="18"/>
                <w:lang w:val="es-ES_tradnl"/>
              </w:rPr>
              <w:t>APROPIACIÓN</w:t>
            </w:r>
          </w:p>
          <w:p w14:paraId="760ECC2C" w14:textId="77777777" w:rsidR="007E2F9F" w:rsidRPr="001B59EE" w:rsidRDefault="007E2F9F" w:rsidP="006548F8">
            <w:pPr>
              <w:ind w:right="34"/>
              <w:jc w:val="center"/>
              <w:rPr>
                <w:rFonts w:ascii="Arial" w:hAnsi="Arial" w:cs="Arial"/>
                <w:b/>
                <w:sz w:val="18"/>
                <w:szCs w:val="18"/>
                <w:lang w:val="es-ES_tradnl"/>
              </w:rPr>
            </w:pPr>
            <w:r w:rsidRPr="001B59EE">
              <w:rPr>
                <w:rFonts w:ascii="Arial" w:hAnsi="Arial" w:cs="Arial"/>
                <w:b/>
                <w:sz w:val="18"/>
                <w:szCs w:val="18"/>
                <w:lang w:val="es-ES_tradnl"/>
              </w:rPr>
              <w:t>3 = (1-2)</w:t>
            </w:r>
          </w:p>
        </w:tc>
      </w:tr>
      <w:tr w:rsidR="007E2F9F" w:rsidRPr="001B59EE" w14:paraId="66093A84" w14:textId="77777777" w:rsidTr="006548F8">
        <w:trPr>
          <w:trHeight w:val="230"/>
        </w:trPr>
        <w:tc>
          <w:tcPr>
            <w:tcW w:w="3544" w:type="dxa"/>
          </w:tcPr>
          <w:p w14:paraId="29618531" w14:textId="77777777" w:rsidR="007E2F9F" w:rsidRPr="001B59EE" w:rsidRDefault="007E2F9F" w:rsidP="006548F8">
            <w:pPr>
              <w:ind w:right="-1440"/>
              <w:jc w:val="both"/>
              <w:rPr>
                <w:rFonts w:ascii="Arial" w:hAnsi="Arial" w:cs="Arial"/>
                <w:b/>
                <w:bCs/>
                <w:sz w:val="18"/>
                <w:szCs w:val="18"/>
                <w:lang w:val="es-ES_tradnl"/>
              </w:rPr>
            </w:pPr>
            <w:r w:rsidRPr="001B59EE">
              <w:rPr>
                <w:rFonts w:ascii="Arial" w:hAnsi="Arial" w:cs="Arial"/>
                <w:b/>
                <w:bCs/>
                <w:sz w:val="18"/>
                <w:szCs w:val="18"/>
                <w:lang w:val="es-ES_tradnl"/>
              </w:rPr>
              <w:t>FUNCIONAMIENTO</w:t>
            </w:r>
          </w:p>
        </w:tc>
        <w:tc>
          <w:tcPr>
            <w:tcW w:w="2354" w:type="dxa"/>
            <w:vAlign w:val="bottom"/>
          </w:tcPr>
          <w:p w14:paraId="1D3F5FCD" w14:textId="77777777" w:rsidR="007E2F9F" w:rsidRPr="001B59EE" w:rsidRDefault="007E2F9F" w:rsidP="006548F8">
            <w:pPr>
              <w:jc w:val="right"/>
              <w:rPr>
                <w:rFonts w:ascii="Arial" w:eastAsia="Calibri" w:hAnsi="Arial" w:cs="Arial"/>
                <w:b/>
                <w:bCs/>
                <w:sz w:val="18"/>
                <w:szCs w:val="18"/>
                <w:lang w:val="es-CO"/>
              </w:rPr>
            </w:pPr>
            <w:r w:rsidRPr="001B59EE">
              <w:rPr>
                <w:rFonts w:ascii="Arial" w:hAnsi="Arial" w:cs="Arial"/>
                <w:sz w:val="18"/>
                <w:szCs w:val="18"/>
              </w:rPr>
              <w:t>226.312.601</w:t>
            </w:r>
          </w:p>
        </w:tc>
        <w:tc>
          <w:tcPr>
            <w:tcW w:w="2354" w:type="dxa"/>
            <w:vAlign w:val="bottom"/>
          </w:tcPr>
          <w:p w14:paraId="234AFB63" w14:textId="77777777" w:rsidR="007E2F9F" w:rsidRPr="001B59EE" w:rsidRDefault="007E2F9F" w:rsidP="006548F8">
            <w:pPr>
              <w:pStyle w:val="Prrafodelista"/>
              <w:ind w:left="0"/>
              <w:jc w:val="right"/>
              <w:rPr>
                <w:rFonts w:ascii="Arial" w:hAnsi="Arial" w:cs="Arial"/>
                <w:b/>
                <w:bCs/>
                <w:sz w:val="18"/>
                <w:szCs w:val="18"/>
              </w:rPr>
            </w:pPr>
            <w:r w:rsidRPr="001B59EE">
              <w:rPr>
                <w:rFonts w:ascii="Arial" w:hAnsi="Arial" w:cs="Arial"/>
                <w:sz w:val="18"/>
                <w:szCs w:val="18"/>
              </w:rPr>
              <w:t>217.558.220</w:t>
            </w:r>
          </w:p>
        </w:tc>
        <w:tc>
          <w:tcPr>
            <w:tcW w:w="2238" w:type="dxa"/>
            <w:vAlign w:val="bottom"/>
          </w:tcPr>
          <w:p w14:paraId="0E9ADC7C" w14:textId="77777777" w:rsidR="007E2F9F" w:rsidRPr="001B59EE" w:rsidRDefault="007E2F9F" w:rsidP="006548F8">
            <w:pPr>
              <w:pStyle w:val="Prrafodelista"/>
              <w:ind w:left="0"/>
              <w:jc w:val="right"/>
              <w:rPr>
                <w:rFonts w:ascii="Arial" w:hAnsi="Arial" w:cs="Arial"/>
                <w:b/>
                <w:bCs/>
                <w:sz w:val="18"/>
                <w:szCs w:val="18"/>
              </w:rPr>
            </w:pPr>
            <w:r w:rsidRPr="001B59EE">
              <w:rPr>
                <w:rFonts w:ascii="Arial" w:hAnsi="Arial" w:cs="Arial"/>
                <w:sz w:val="18"/>
                <w:szCs w:val="18"/>
              </w:rPr>
              <w:t>8.754.381</w:t>
            </w:r>
          </w:p>
        </w:tc>
      </w:tr>
      <w:tr w:rsidR="007E2F9F" w:rsidRPr="001B59EE" w14:paraId="6F7CFC93" w14:textId="77777777" w:rsidTr="006548F8">
        <w:trPr>
          <w:trHeight w:val="230"/>
        </w:trPr>
        <w:tc>
          <w:tcPr>
            <w:tcW w:w="3544" w:type="dxa"/>
          </w:tcPr>
          <w:p w14:paraId="0B16C002" w14:textId="77777777" w:rsidR="007E2F9F" w:rsidRPr="001B59EE" w:rsidRDefault="007E2F9F" w:rsidP="006548F8">
            <w:pPr>
              <w:ind w:right="-1440"/>
              <w:jc w:val="both"/>
              <w:rPr>
                <w:rFonts w:ascii="Arial" w:hAnsi="Arial" w:cs="Arial"/>
                <w:b/>
                <w:bCs/>
                <w:sz w:val="18"/>
                <w:szCs w:val="18"/>
                <w:lang w:val="es-ES_tradnl"/>
              </w:rPr>
            </w:pPr>
            <w:r w:rsidRPr="001B59EE">
              <w:rPr>
                <w:rFonts w:ascii="Arial" w:hAnsi="Arial" w:cs="Arial"/>
                <w:b/>
                <w:bCs/>
                <w:sz w:val="18"/>
                <w:szCs w:val="18"/>
                <w:lang w:val="es-ES_tradnl"/>
              </w:rPr>
              <w:t>NVERSIÓN</w:t>
            </w:r>
          </w:p>
        </w:tc>
        <w:tc>
          <w:tcPr>
            <w:tcW w:w="2354" w:type="dxa"/>
            <w:vAlign w:val="bottom"/>
          </w:tcPr>
          <w:p w14:paraId="02D0CF58" w14:textId="77777777" w:rsidR="007E2F9F" w:rsidRPr="001B59EE" w:rsidRDefault="007E2F9F" w:rsidP="006548F8">
            <w:pPr>
              <w:jc w:val="right"/>
              <w:rPr>
                <w:rFonts w:ascii="Arial" w:eastAsia="Calibri" w:hAnsi="Arial" w:cs="Arial"/>
                <w:b/>
                <w:bCs/>
                <w:sz w:val="18"/>
                <w:szCs w:val="18"/>
                <w:lang w:val="es-CO"/>
              </w:rPr>
            </w:pPr>
            <w:r w:rsidRPr="001B59EE">
              <w:rPr>
                <w:rFonts w:ascii="Arial" w:hAnsi="Arial" w:cs="Arial"/>
                <w:color w:val="000000"/>
                <w:sz w:val="18"/>
                <w:szCs w:val="18"/>
              </w:rPr>
              <w:t>262.098.496</w:t>
            </w:r>
          </w:p>
        </w:tc>
        <w:tc>
          <w:tcPr>
            <w:tcW w:w="2354" w:type="dxa"/>
            <w:vAlign w:val="bottom"/>
          </w:tcPr>
          <w:p w14:paraId="1FAF0271" w14:textId="77777777" w:rsidR="007E2F9F" w:rsidRPr="001B59EE" w:rsidRDefault="007E2F9F" w:rsidP="006548F8">
            <w:pPr>
              <w:pStyle w:val="Prrafodelista"/>
              <w:ind w:left="0"/>
              <w:jc w:val="right"/>
              <w:rPr>
                <w:rFonts w:ascii="Arial" w:eastAsia="Calibri" w:hAnsi="Arial" w:cs="Arial"/>
                <w:b/>
                <w:bCs/>
                <w:sz w:val="18"/>
                <w:szCs w:val="18"/>
                <w:lang w:val="es-CO"/>
              </w:rPr>
            </w:pPr>
            <w:r w:rsidRPr="001B59EE">
              <w:rPr>
                <w:rFonts w:ascii="Arial" w:hAnsi="Arial" w:cs="Arial"/>
                <w:color w:val="000000"/>
                <w:sz w:val="18"/>
                <w:szCs w:val="18"/>
              </w:rPr>
              <w:t>245.561.800</w:t>
            </w:r>
          </w:p>
        </w:tc>
        <w:tc>
          <w:tcPr>
            <w:tcW w:w="2238" w:type="dxa"/>
            <w:vAlign w:val="bottom"/>
          </w:tcPr>
          <w:p w14:paraId="17FD679F" w14:textId="77777777" w:rsidR="007E2F9F" w:rsidRPr="001B59EE" w:rsidRDefault="007E2F9F" w:rsidP="006548F8">
            <w:pPr>
              <w:pStyle w:val="Prrafodelista"/>
              <w:ind w:left="0"/>
              <w:jc w:val="right"/>
              <w:rPr>
                <w:rFonts w:ascii="Arial" w:hAnsi="Arial" w:cs="Arial"/>
                <w:b/>
                <w:bCs/>
                <w:sz w:val="18"/>
                <w:szCs w:val="18"/>
              </w:rPr>
            </w:pPr>
            <w:r w:rsidRPr="001B59EE">
              <w:rPr>
                <w:rFonts w:ascii="Arial" w:hAnsi="Arial" w:cs="Arial"/>
                <w:color w:val="000000"/>
                <w:sz w:val="18"/>
                <w:szCs w:val="18"/>
              </w:rPr>
              <w:t>16.536.696</w:t>
            </w:r>
          </w:p>
        </w:tc>
      </w:tr>
      <w:tr w:rsidR="007E2F9F" w:rsidRPr="001B59EE" w14:paraId="7F88D461" w14:textId="77777777" w:rsidTr="006548F8">
        <w:tc>
          <w:tcPr>
            <w:tcW w:w="3544" w:type="dxa"/>
          </w:tcPr>
          <w:p w14:paraId="28F28DFD" w14:textId="77777777" w:rsidR="007E2F9F" w:rsidRPr="001B59EE" w:rsidRDefault="007E2F9F" w:rsidP="006548F8">
            <w:pPr>
              <w:ind w:right="-1440"/>
              <w:jc w:val="both"/>
              <w:rPr>
                <w:rFonts w:ascii="Arial" w:hAnsi="Arial" w:cs="Arial"/>
                <w:b/>
                <w:bCs/>
                <w:sz w:val="18"/>
                <w:szCs w:val="18"/>
                <w:lang w:val="es-ES_tradnl"/>
              </w:rPr>
            </w:pPr>
            <w:r w:rsidRPr="001B59EE">
              <w:rPr>
                <w:rFonts w:ascii="Arial" w:hAnsi="Arial" w:cs="Arial"/>
                <w:b/>
                <w:bCs/>
                <w:sz w:val="18"/>
                <w:szCs w:val="18"/>
                <w:lang w:val="es-ES_tradnl"/>
              </w:rPr>
              <w:t>TOTAL PÉRDIDAS DE APROPIACIÓN</w:t>
            </w:r>
          </w:p>
        </w:tc>
        <w:tc>
          <w:tcPr>
            <w:tcW w:w="2354" w:type="dxa"/>
            <w:vAlign w:val="bottom"/>
          </w:tcPr>
          <w:p w14:paraId="7C3DDCAD" w14:textId="77777777" w:rsidR="007E2F9F" w:rsidRPr="001B59EE" w:rsidRDefault="007E2F9F" w:rsidP="006548F8">
            <w:pPr>
              <w:pStyle w:val="Prrafodelista"/>
              <w:ind w:left="0"/>
              <w:jc w:val="right"/>
              <w:rPr>
                <w:rFonts w:ascii="Arial" w:hAnsi="Arial" w:cs="Arial"/>
                <w:b/>
                <w:bCs/>
                <w:sz w:val="18"/>
                <w:szCs w:val="18"/>
                <w:u w:val="single"/>
              </w:rPr>
            </w:pPr>
            <w:r w:rsidRPr="001B59EE">
              <w:rPr>
                <w:rFonts w:ascii="Arial" w:hAnsi="Arial" w:cs="Arial"/>
                <w:sz w:val="18"/>
                <w:szCs w:val="18"/>
              </w:rPr>
              <w:t>488.411.097</w:t>
            </w:r>
          </w:p>
        </w:tc>
        <w:tc>
          <w:tcPr>
            <w:tcW w:w="2354" w:type="dxa"/>
            <w:vAlign w:val="bottom"/>
          </w:tcPr>
          <w:p w14:paraId="6C47DAC5" w14:textId="77777777" w:rsidR="007E2F9F" w:rsidRPr="001B59EE" w:rsidRDefault="007E2F9F" w:rsidP="006548F8">
            <w:pPr>
              <w:pStyle w:val="Prrafodelista"/>
              <w:ind w:left="0"/>
              <w:jc w:val="right"/>
              <w:rPr>
                <w:rFonts w:ascii="Arial" w:hAnsi="Arial" w:cs="Arial"/>
                <w:b/>
                <w:bCs/>
                <w:sz w:val="18"/>
                <w:szCs w:val="18"/>
                <w:u w:val="single"/>
              </w:rPr>
            </w:pPr>
            <w:r w:rsidRPr="001B59EE">
              <w:rPr>
                <w:rFonts w:ascii="Arial" w:hAnsi="Arial" w:cs="Arial"/>
                <w:sz w:val="18"/>
                <w:szCs w:val="18"/>
              </w:rPr>
              <w:t>463.120.021</w:t>
            </w:r>
          </w:p>
        </w:tc>
        <w:tc>
          <w:tcPr>
            <w:tcW w:w="2238" w:type="dxa"/>
            <w:vAlign w:val="bottom"/>
          </w:tcPr>
          <w:p w14:paraId="1BA0B693" w14:textId="77777777" w:rsidR="007E2F9F" w:rsidRPr="001B59EE" w:rsidRDefault="007E2F9F" w:rsidP="006548F8">
            <w:pPr>
              <w:pStyle w:val="Prrafodelista"/>
              <w:ind w:left="0"/>
              <w:jc w:val="right"/>
              <w:rPr>
                <w:rFonts w:ascii="Arial" w:hAnsi="Arial" w:cs="Arial"/>
                <w:b/>
                <w:bCs/>
                <w:sz w:val="18"/>
                <w:szCs w:val="18"/>
                <w:u w:val="single"/>
              </w:rPr>
            </w:pPr>
            <w:r w:rsidRPr="001B59EE">
              <w:rPr>
                <w:rFonts w:ascii="Arial" w:hAnsi="Arial" w:cs="Arial"/>
                <w:sz w:val="18"/>
                <w:szCs w:val="18"/>
              </w:rPr>
              <w:t>25.291.076</w:t>
            </w:r>
          </w:p>
        </w:tc>
      </w:tr>
    </w:tbl>
    <w:p w14:paraId="3F48892C" w14:textId="77777777" w:rsidR="007E2F9F" w:rsidRDefault="007E2F9F" w:rsidP="007E2F9F">
      <w:pPr>
        <w:rPr>
          <w:rFonts w:ascii="Arial" w:eastAsia="Calibri" w:hAnsi="Arial" w:cs="Arial"/>
          <w:b/>
          <w:u w:val="single"/>
          <w:lang w:val="es-MX"/>
        </w:rPr>
      </w:pPr>
    </w:p>
    <w:p w14:paraId="5CC3213E" w14:textId="77777777" w:rsidR="007E2F9F" w:rsidRPr="00FA041B" w:rsidRDefault="007E2F9F" w:rsidP="007E2F9F">
      <w:pPr>
        <w:ind w:left="-284" w:right="-234"/>
        <w:jc w:val="both"/>
        <w:rPr>
          <w:rFonts w:ascii="Arial" w:hAnsi="Arial" w:cs="Arial"/>
          <w:b/>
          <w:sz w:val="28"/>
          <w:szCs w:val="28"/>
          <w:lang w:val="es-MX"/>
        </w:rPr>
      </w:pPr>
      <w:r w:rsidRPr="00FA041B">
        <w:rPr>
          <w:rFonts w:ascii="Arial" w:hAnsi="Arial" w:cs="Arial"/>
          <w:b/>
          <w:sz w:val="28"/>
          <w:szCs w:val="28"/>
          <w:lang w:val="es-MX"/>
        </w:rPr>
        <w:t>279.- FONDO ESPECIAL PARA LA ADMINISTRACIÓN DE BIENES DE LA FISCALÍA GENERAL DE LA NACIÓN.</w:t>
      </w:r>
    </w:p>
    <w:p w14:paraId="44DF3392" w14:textId="77777777" w:rsidR="007E2F9F" w:rsidRDefault="007E2F9F" w:rsidP="007E2F9F">
      <w:pPr>
        <w:rPr>
          <w:rFonts w:ascii="Arial" w:eastAsia="Calibri" w:hAnsi="Arial" w:cs="Arial"/>
          <w:b/>
          <w:u w:val="single"/>
          <w:lang w:val="es-MX"/>
        </w:rPr>
      </w:pPr>
    </w:p>
    <w:p w14:paraId="41CA3F08"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6E0EB54"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DB0ABA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FA041B" w14:paraId="5A5587B0" w14:textId="77777777" w:rsidTr="006548F8">
        <w:tc>
          <w:tcPr>
            <w:tcW w:w="3544" w:type="dxa"/>
          </w:tcPr>
          <w:p w14:paraId="7DB76549" w14:textId="77777777" w:rsidR="007E2F9F" w:rsidRPr="00FA041B" w:rsidRDefault="007E2F9F" w:rsidP="006548F8">
            <w:pPr>
              <w:ind w:left="1169" w:right="-1440"/>
              <w:rPr>
                <w:rFonts w:ascii="Arial" w:hAnsi="Arial" w:cs="Arial"/>
                <w:b/>
                <w:sz w:val="18"/>
                <w:szCs w:val="18"/>
                <w:lang w:val="es-ES_tradnl"/>
              </w:rPr>
            </w:pPr>
            <w:r w:rsidRPr="00FA041B">
              <w:rPr>
                <w:rFonts w:ascii="Arial" w:hAnsi="Arial" w:cs="Arial"/>
                <w:b/>
                <w:sz w:val="18"/>
                <w:szCs w:val="18"/>
                <w:lang w:val="es-ES_tradnl"/>
              </w:rPr>
              <w:t>TIPO DE GASTO</w:t>
            </w:r>
          </w:p>
        </w:tc>
        <w:tc>
          <w:tcPr>
            <w:tcW w:w="2354" w:type="dxa"/>
          </w:tcPr>
          <w:p w14:paraId="7FB5A684" w14:textId="77777777" w:rsidR="007E2F9F" w:rsidRPr="00FA041B" w:rsidRDefault="007E2F9F" w:rsidP="006548F8">
            <w:pPr>
              <w:jc w:val="center"/>
              <w:rPr>
                <w:rFonts w:ascii="Arial" w:hAnsi="Arial" w:cs="Arial"/>
                <w:b/>
                <w:sz w:val="18"/>
                <w:szCs w:val="18"/>
                <w:lang w:val="es-ES_tradnl"/>
              </w:rPr>
            </w:pPr>
            <w:r w:rsidRPr="00FA041B">
              <w:rPr>
                <w:rFonts w:ascii="Arial" w:hAnsi="Arial" w:cs="Arial"/>
                <w:b/>
                <w:sz w:val="18"/>
                <w:szCs w:val="18"/>
                <w:lang w:val="es-ES_tradnl"/>
              </w:rPr>
              <w:t>APROPIACIÓN</w:t>
            </w:r>
          </w:p>
          <w:p w14:paraId="76C1FFAD" w14:textId="77777777" w:rsidR="007E2F9F" w:rsidRPr="00FA041B" w:rsidRDefault="007E2F9F" w:rsidP="006548F8">
            <w:pPr>
              <w:jc w:val="center"/>
              <w:rPr>
                <w:rFonts w:ascii="Arial" w:hAnsi="Arial" w:cs="Arial"/>
                <w:b/>
                <w:sz w:val="18"/>
                <w:szCs w:val="18"/>
                <w:lang w:val="es-ES_tradnl"/>
              </w:rPr>
            </w:pPr>
            <w:r w:rsidRPr="00FA041B">
              <w:rPr>
                <w:rFonts w:ascii="Arial" w:hAnsi="Arial" w:cs="Arial"/>
                <w:b/>
                <w:sz w:val="18"/>
                <w:szCs w:val="18"/>
                <w:lang w:val="es-ES_tradnl"/>
              </w:rPr>
              <w:t>DEFINITIVA</w:t>
            </w:r>
          </w:p>
          <w:p w14:paraId="0B7A7514" w14:textId="77777777" w:rsidR="007E2F9F" w:rsidRPr="00FA041B" w:rsidRDefault="007E2F9F" w:rsidP="006548F8">
            <w:pPr>
              <w:jc w:val="center"/>
              <w:rPr>
                <w:rFonts w:ascii="Arial" w:hAnsi="Arial" w:cs="Arial"/>
                <w:b/>
                <w:sz w:val="18"/>
                <w:szCs w:val="18"/>
                <w:lang w:val="es-ES_tradnl"/>
              </w:rPr>
            </w:pPr>
            <w:r w:rsidRPr="00FA041B">
              <w:rPr>
                <w:rFonts w:ascii="Arial" w:hAnsi="Arial" w:cs="Arial"/>
                <w:b/>
                <w:sz w:val="18"/>
                <w:szCs w:val="18"/>
                <w:lang w:val="es-ES_tradnl"/>
              </w:rPr>
              <w:t>(1)</w:t>
            </w:r>
          </w:p>
          <w:p w14:paraId="73EA4306" w14:textId="77777777" w:rsidR="007E2F9F" w:rsidRPr="00FA041B" w:rsidRDefault="007E2F9F" w:rsidP="006548F8">
            <w:pPr>
              <w:jc w:val="center"/>
              <w:rPr>
                <w:rFonts w:ascii="Arial" w:hAnsi="Arial" w:cs="Arial"/>
                <w:b/>
                <w:sz w:val="18"/>
                <w:szCs w:val="18"/>
                <w:lang w:val="es-ES_tradnl"/>
              </w:rPr>
            </w:pPr>
          </w:p>
        </w:tc>
        <w:tc>
          <w:tcPr>
            <w:tcW w:w="2354" w:type="dxa"/>
          </w:tcPr>
          <w:p w14:paraId="7D1A374F" w14:textId="77777777" w:rsidR="007E2F9F" w:rsidRPr="00FA041B" w:rsidRDefault="007E2F9F" w:rsidP="006548F8">
            <w:pPr>
              <w:ind w:left="145" w:right="184"/>
              <w:jc w:val="center"/>
              <w:rPr>
                <w:rFonts w:ascii="Arial" w:hAnsi="Arial" w:cs="Arial"/>
                <w:b/>
                <w:sz w:val="18"/>
                <w:szCs w:val="18"/>
                <w:lang w:val="es-ES_tradnl"/>
              </w:rPr>
            </w:pPr>
            <w:r w:rsidRPr="00FA041B">
              <w:rPr>
                <w:rFonts w:ascii="Arial" w:hAnsi="Arial" w:cs="Arial"/>
                <w:b/>
                <w:sz w:val="18"/>
                <w:szCs w:val="18"/>
                <w:lang w:val="es-ES_tradnl"/>
              </w:rPr>
              <w:t>EJECUCIÓN</w:t>
            </w:r>
          </w:p>
          <w:p w14:paraId="71C8D4E5" w14:textId="77777777" w:rsidR="007E2F9F" w:rsidRPr="00FA041B" w:rsidRDefault="007E2F9F" w:rsidP="006548F8">
            <w:pPr>
              <w:ind w:right="34"/>
              <w:jc w:val="center"/>
              <w:rPr>
                <w:rFonts w:ascii="Arial" w:hAnsi="Arial" w:cs="Arial"/>
                <w:b/>
                <w:sz w:val="18"/>
                <w:szCs w:val="18"/>
                <w:lang w:val="es-ES_tradnl"/>
              </w:rPr>
            </w:pPr>
            <w:r w:rsidRPr="00FA041B">
              <w:rPr>
                <w:rFonts w:ascii="Arial" w:hAnsi="Arial" w:cs="Arial"/>
                <w:b/>
                <w:sz w:val="18"/>
                <w:szCs w:val="18"/>
                <w:lang w:val="es-ES_tradnl"/>
              </w:rPr>
              <w:t>COMPROMISOS</w:t>
            </w:r>
          </w:p>
          <w:p w14:paraId="409C577E" w14:textId="77777777" w:rsidR="007E2F9F" w:rsidRPr="00FA041B" w:rsidRDefault="007E2F9F" w:rsidP="006548F8">
            <w:pPr>
              <w:ind w:right="34"/>
              <w:jc w:val="center"/>
              <w:rPr>
                <w:rFonts w:ascii="Arial" w:hAnsi="Arial" w:cs="Arial"/>
                <w:b/>
                <w:sz w:val="18"/>
                <w:szCs w:val="18"/>
                <w:lang w:val="es-ES_tradnl"/>
              </w:rPr>
            </w:pPr>
            <w:r w:rsidRPr="00FA041B">
              <w:rPr>
                <w:rFonts w:ascii="Arial" w:hAnsi="Arial" w:cs="Arial"/>
                <w:b/>
                <w:sz w:val="18"/>
                <w:szCs w:val="18"/>
                <w:lang w:val="es-ES_tradnl"/>
              </w:rPr>
              <w:t>(2)</w:t>
            </w:r>
          </w:p>
        </w:tc>
        <w:tc>
          <w:tcPr>
            <w:tcW w:w="2238" w:type="dxa"/>
          </w:tcPr>
          <w:p w14:paraId="48D551D1" w14:textId="77777777" w:rsidR="007E2F9F" w:rsidRPr="00FA041B" w:rsidRDefault="007E2F9F" w:rsidP="006548F8">
            <w:pPr>
              <w:ind w:left="25" w:right="34"/>
              <w:jc w:val="center"/>
              <w:rPr>
                <w:rFonts w:ascii="Arial" w:hAnsi="Arial" w:cs="Arial"/>
                <w:b/>
                <w:sz w:val="18"/>
                <w:szCs w:val="18"/>
                <w:lang w:val="es-ES_tradnl"/>
              </w:rPr>
            </w:pPr>
            <w:r w:rsidRPr="00FA041B">
              <w:rPr>
                <w:rFonts w:ascii="Arial" w:hAnsi="Arial" w:cs="Arial"/>
                <w:b/>
                <w:sz w:val="18"/>
                <w:szCs w:val="18"/>
                <w:lang w:val="es-ES_tradnl"/>
              </w:rPr>
              <w:t>PÉRDIDAS DE</w:t>
            </w:r>
          </w:p>
          <w:p w14:paraId="3AB09EFC" w14:textId="77777777" w:rsidR="007E2F9F" w:rsidRPr="00FA041B" w:rsidRDefault="007E2F9F" w:rsidP="006548F8">
            <w:pPr>
              <w:ind w:right="34"/>
              <w:jc w:val="center"/>
              <w:rPr>
                <w:rFonts w:ascii="Arial" w:hAnsi="Arial" w:cs="Arial"/>
                <w:b/>
                <w:sz w:val="18"/>
                <w:szCs w:val="18"/>
                <w:lang w:val="es-ES_tradnl"/>
              </w:rPr>
            </w:pPr>
            <w:r w:rsidRPr="00FA041B">
              <w:rPr>
                <w:rFonts w:ascii="Arial" w:hAnsi="Arial" w:cs="Arial"/>
                <w:b/>
                <w:sz w:val="18"/>
                <w:szCs w:val="18"/>
                <w:lang w:val="es-ES_tradnl"/>
              </w:rPr>
              <w:t>APROPIACIÓN</w:t>
            </w:r>
          </w:p>
          <w:p w14:paraId="24CFFE25" w14:textId="77777777" w:rsidR="007E2F9F" w:rsidRPr="00FA041B" w:rsidRDefault="007E2F9F" w:rsidP="006548F8">
            <w:pPr>
              <w:ind w:right="34"/>
              <w:jc w:val="center"/>
              <w:rPr>
                <w:rFonts w:ascii="Arial" w:hAnsi="Arial" w:cs="Arial"/>
                <w:b/>
                <w:sz w:val="18"/>
                <w:szCs w:val="18"/>
                <w:lang w:val="es-ES_tradnl"/>
              </w:rPr>
            </w:pPr>
            <w:r w:rsidRPr="00FA041B">
              <w:rPr>
                <w:rFonts w:ascii="Arial" w:hAnsi="Arial" w:cs="Arial"/>
                <w:b/>
                <w:sz w:val="18"/>
                <w:szCs w:val="18"/>
                <w:lang w:val="es-ES_tradnl"/>
              </w:rPr>
              <w:t>3 = (1-2)</w:t>
            </w:r>
          </w:p>
        </w:tc>
      </w:tr>
      <w:tr w:rsidR="007E2F9F" w:rsidRPr="00FA041B" w14:paraId="45A6421A" w14:textId="77777777" w:rsidTr="006548F8">
        <w:trPr>
          <w:trHeight w:val="230"/>
        </w:trPr>
        <w:tc>
          <w:tcPr>
            <w:tcW w:w="3544" w:type="dxa"/>
          </w:tcPr>
          <w:p w14:paraId="1E435843" w14:textId="77777777" w:rsidR="007E2F9F" w:rsidRPr="00FA041B" w:rsidRDefault="007E2F9F" w:rsidP="006548F8">
            <w:pPr>
              <w:ind w:right="-1440"/>
              <w:jc w:val="both"/>
              <w:rPr>
                <w:rFonts w:ascii="Arial" w:hAnsi="Arial" w:cs="Arial"/>
                <w:b/>
                <w:bCs/>
                <w:sz w:val="18"/>
                <w:szCs w:val="18"/>
                <w:lang w:val="es-ES_tradnl"/>
              </w:rPr>
            </w:pPr>
            <w:r w:rsidRPr="00FA041B">
              <w:rPr>
                <w:rFonts w:ascii="Arial" w:hAnsi="Arial" w:cs="Arial"/>
                <w:b/>
                <w:bCs/>
                <w:sz w:val="18"/>
                <w:szCs w:val="18"/>
                <w:lang w:val="es-ES_tradnl"/>
              </w:rPr>
              <w:t>FUNCIONAMIENTO</w:t>
            </w:r>
          </w:p>
        </w:tc>
        <w:tc>
          <w:tcPr>
            <w:tcW w:w="2354" w:type="dxa"/>
          </w:tcPr>
          <w:p w14:paraId="189DB658" w14:textId="77777777" w:rsidR="007E2F9F" w:rsidRPr="00FA041B" w:rsidRDefault="007E2F9F" w:rsidP="006548F8">
            <w:pPr>
              <w:jc w:val="right"/>
              <w:rPr>
                <w:rFonts w:ascii="Arial" w:eastAsia="Calibri" w:hAnsi="Arial" w:cs="Arial"/>
                <w:b/>
                <w:bCs/>
                <w:sz w:val="18"/>
                <w:szCs w:val="18"/>
                <w:lang w:val="es-CO"/>
              </w:rPr>
            </w:pPr>
            <w:r w:rsidRPr="00FA041B">
              <w:rPr>
                <w:rFonts w:ascii="Arial" w:eastAsia="Calibri" w:hAnsi="Arial" w:cs="Arial"/>
                <w:sz w:val="16"/>
                <w:szCs w:val="16"/>
                <w:lang w:val="es-CO"/>
              </w:rPr>
              <w:t>18.870.249</w:t>
            </w:r>
          </w:p>
        </w:tc>
        <w:tc>
          <w:tcPr>
            <w:tcW w:w="2354" w:type="dxa"/>
          </w:tcPr>
          <w:p w14:paraId="756903B0" w14:textId="77777777" w:rsidR="007E2F9F" w:rsidRPr="00FA041B" w:rsidRDefault="007E2F9F" w:rsidP="006548F8">
            <w:pPr>
              <w:pStyle w:val="Prrafodelista"/>
              <w:ind w:left="0"/>
              <w:jc w:val="right"/>
              <w:rPr>
                <w:rFonts w:ascii="Arial" w:hAnsi="Arial" w:cs="Arial"/>
                <w:b/>
                <w:bCs/>
                <w:sz w:val="18"/>
                <w:szCs w:val="18"/>
              </w:rPr>
            </w:pPr>
            <w:r w:rsidRPr="00FA041B">
              <w:rPr>
                <w:rFonts w:ascii="Arial" w:eastAsia="Calibri" w:hAnsi="Arial" w:cs="Arial"/>
                <w:sz w:val="16"/>
                <w:szCs w:val="16"/>
                <w:lang w:val="es-CO"/>
              </w:rPr>
              <w:t>17.463.414</w:t>
            </w:r>
          </w:p>
        </w:tc>
        <w:tc>
          <w:tcPr>
            <w:tcW w:w="2238" w:type="dxa"/>
          </w:tcPr>
          <w:p w14:paraId="58BF8034" w14:textId="77777777" w:rsidR="007E2F9F" w:rsidRPr="00FA041B" w:rsidRDefault="007E2F9F" w:rsidP="006548F8">
            <w:pPr>
              <w:pStyle w:val="Prrafodelista"/>
              <w:ind w:left="0"/>
              <w:jc w:val="right"/>
              <w:rPr>
                <w:rFonts w:ascii="Arial" w:hAnsi="Arial" w:cs="Arial"/>
                <w:b/>
                <w:bCs/>
                <w:sz w:val="18"/>
                <w:szCs w:val="18"/>
              </w:rPr>
            </w:pPr>
            <w:r w:rsidRPr="00FA041B">
              <w:rPr>
                <w:rFonts w:ascii="Arial" w:hAnsi="Arial" w:cs="Arial"/>
                <w:b/>
                <w:sz w:val="16"/>
                <w:szCs w:val="16"/>
              </w:rPr>
              <w:t>1.406.835</w:t>
            </w:r>
          </w:p>
        </w:tc>
      </w:tr>
      <w:tr w:rsidR="007E2F9F" w:rsidRPr="00FA041B" w14:paraId="29D5BD74" w14:textId="77777777" w:rsidTr="006548F8">
        <w:trPr>
          <w:trHeight w:val="230"/>
        </w:trPr>
        <w:tc>
          <w:tcPr>
            <w:tcW w:w="3544" w:type="dxa"/>
          </w:tcPr>
          <w:p w14:paraId="1642B8EA" w14:textId="77777777" w:rsidR="007E2F9F" w:rsidRPr="00FA041B" w:rsidRDefault="007E2F9F" w:rsidP="006548F8">
            <w:pPr>
              <w:ind w:right="-1440"/>
              <w:jc w:val="both"/>
              <w:rPr>
                <w:rFonts w:ascii="Arial" w:hAnsi="Arial" w:cs="Arial"/>
                <w:b/>
                <w:bCs/>
                <w:sz w:val="18"/>
                <w:szCs w:val="18"/>
                <w:lang w:val="es-ES_tradnl"/>
              </w:rPr>
            </w:pPr>
            <w:r w:rsidRPr="00FA041B">
              <w:rPr>
                <w:rFonts w:ascii="Arial" w:hAnsi="Arial" w:cs="Arial"/>
                <w:b/>
                <w:bCs/>
                <w:sz w:val="18"/>
                <w:szCs w:val="18"/>
                <w:lang w:val="es-ES_tradnl"/>
              </w:rPr>
              <w:t>NVERSIÓN</w:t>
            </w:r>
          </w:p>
        </w:tc>
        <w:tc>
          <w:tcPr>
            <w:tcW w:w="2354" w:type="dxa"/>
          </w:tcPr>
          <w:p w14:paraId="18BC97D7" w14:textId="77777777" w:rsidR="007E2F9F" w:rsidRPr="00FA041B" w:rsidRDefault="007E2F9F" w:rsidP="006548F8">
            <w:pPr>
              <w:jc w:val="right"/>
              <w:rPr>
                <w:rFonts w:ascii="Arial" w:eastAsia="Calibri" w:hAnsi="Arial" w:cs="Arial"/>
                <w:b/>
                <w:bCs/>
                <w:sz w:val="18"/>
                <w:szCs w:val="18"/>
                <w:lang w:val="es-CO"/>
              </w:rPr>
            </w:pPr>
            <w:r w:rsidRPr="00FA041B">
              <w:rPr>
                <w:rFonts w:ascii="Arial" w:eastAsia="Calibri" w:hAnsi="Arial" w:cs="Arial"/>
                <w:sz w:val="16"/>
                <w:szCs w:val="16"/>
                <w:lang w:val="es-CO"/>
              </w:rPr>
              <w:t>21.556.842</w:t>
            </w:r>
          </w:p>
        </w:tc>
        <w:tc>
          <w:tcPr>
            <w:tcW w:w="2354" w:type="dxa"/>
          </w:tcPr>
          <w:p w14:paraId="1619DABD" w14:textId="77777777" w:rsidR="007E2F9F" w:rsidRPr="00FA041B" w:rsidRDefault="007E2F9F" w:rsidP="006548F8">
            <w:pPr>
              <w:pStyle w:val="Prrafodelista"/>
              <w:ind w:left="0"/>
              <w:jc w:val="right"/>
              <w:rPr>
                <w:rFonts w:ascii="Arial" w:eastAsia="Calibri" w:hAnsi="Arial" w:cs="Arial"/>
                <w:b/>
                <w:bCs/>
                <w:sz w:val="18"/>
                <w:szCs w:val="18"/>
                <w:lang w:val="es-CO"/>
              </w:rPr>
            </w:pPr>
            <w:r w:rsidRPr="00FA041B">
              <w:rPr>
                <w:rFonts w:ascii="Arial" w:eastAsia="Calibri" w:hAnsi="Arial" w:cs="Arial"/>
                <w:sz w:val="16"/>
                <w:szCs w:val="16"/>
                <w:lang w:val="es-CO"/>
              </w:rPr>
              <w:t>21.551.284</w:t>
            </w:r>
          </w:p>
        </w:tc>
        <w:tc>
          <w:tcPr>
            <w:tcW w:w="2238" w:type="dxa"/>
          </w:tcPr>
          <w:p w14:paraId="78E95102" w14:textId="77777777" w:rsidR="007E2F9F" w:rsidRPr="00FA041B" w:rsidRDefault="007E2F9F" w:rsidP="006548F8">
            <w:pPr>
              <w:pStyle w:val="Prrafodelista"/>
              <w:ind w:left="0"/>
              <w:jc w:val="right"/>
              <w:rPr>
                <w:rFonts w:ascii="Arial" w:hAnsi="Arial" w:cs="Arial"/>
                <w:b/>
                <w:bCs/>
                <w:sz w:val="18"/>
                <w:szCs w:val="18"/>
              </w:rPr>
            </w:pPr>
            <w:r w:rsidRPr="00FA041B">
              <w:rPr>
                <w:rFonts w:ascii="Arial" w:hAnsi="Arial" w:cs="Arial"/>
                <w:b/>
                <w:sz w:val="16"/>
                <w:szCs w:val="16"/>
              </w:rPr>
              <w:t>5.559</w:t>
            </w:r>
          </w:p>
        </w:tc>
      </w:tr>
      <w:tr w:rsidR="007E2F9F" w:rsidRPr="00FA041B" w14:paraId="328FD5AF" w14:textId="77777777" w:rsidTr="006548F8">
        <w:tc>
          <w:tcPr>
            <w:tcW w:w="3544" w:type="dxa"/>
          </w:tcPr>
          <w:p w14:paraId="07D1CB35" w14:textId="77777777" w:rsidR="007E2F9F" w:rsidRPr="00FA041B" w:rsidRDefault="007E2F9F" w:rsidP="006548F8">
            <w:pPr>
              <w:ind w:right="-1440"/>
              <w:jc w:val="both"/>
              <w:rPr>
                <w:rFonts w:ascii="Arial" w:hAnsi="Arial" w:cs="Arial"/>
                <w:b/>
                <w:bCs/>
                <w:sz w:val="18"/>
                <w:szCs w:val="18"/>
                <w:lang w:val="es-ES_tradnl"/>
              </w:rPr>
            </w:pPr>
            <w:r w:rsidRPr="00FA041B">
              <w:rPr>
                <w:rFonts w:ascii="Arial" w:hAnsi="Arial" w:cs="Arial"/>
                <w:b/>
                <w:bCs/>
                <w:sz w:val="18"/>
                <w:szCs w:val="18"/>
                <w:lang w:val="es-ES_tradnl"/>
              </w:rPr>
              <w:t>TOTAL PÉRDIDAS DE APROPIACIÓN</w:t>
            </w:r>
          </w:p>
        </w:tc>
        <w:tc>
          <w:tcPr>
            <w:tcW w:w="2354" w:type="dxa"/>
          </w:tcPr>
          <w:p w14:paraId="166D6F59" w14:textId="77777777" w:rsidR="007E2F9F" w:rsidRPr="00FA041B" w:rsidRDefault="007E2F9F" w:rsidP="006548F8">
            <w:pPr>
              <w:pStyle w:val="Prrafodelista"/>
              <w:ind w:left="0"/>
              <w:jc w:val="right"/>
              <w:rPr>
                <w:rFonts w:ascii="Arial" w:hAnsi="Arial" w:cs="Arial"/>
                <w:b/>
                <w:bCs/>
                <w:sz w:val="18"/>
                <w:szCs w:val="18"/>
                <w:u w:val="single"/>
              </w:rPr>
            </w:pPr>
            <w:r w:rsidRPr="00FA041B">
              <w:rPr>
                <w:rFonts w:ascii="Arial" w:eastAsia="Calibri" w:hAnsi="Arial" w:cs="Arial"/>
                <w:b/>
                <w:sz w:val="16"/>
                <w:szCs w:val="16"/>
                <w:lang w:val="es-CO"/>
              </w:rPr>
              <w:t>40.427.091</w:t>
            </w:r>
          </w:p>
        </w:tc>
        <w:tc>
          <w:tcPr>
            <w:tcW w:w="2354" w:type="dxa"/>
          </w:tcPr>
          <w:p w14:paraId="7F555A8E" w14:textId="77777777" w:rsidR="007E2F9F" w:rsidRPr="00FA041B" w:rsidRDefault="007E2F9F" w:rsidP="006548F8">
            <w:pPr>
              <w:pStyle w:val="Prrafodelista"/>
              <w:ind w:left="0"/>
              <w:jc w:val="right"/>
              <w:rPr>
                <w:rFonts w:ascii="Arial" w:hAnsi="Arial" w:cs="Arial"/>
                <w:b/>
                <w:bCs/>
                <w:sz w:val="18"/>
                <w:szCs w:val="18"/>
                <w:u w:val="single"/>
              </w:rPr>
            </w:pPr>
            <w:r w:rsidRPr="00FA041B">
              <w:rPr>
                <w:rFonts w:ascii="Arial" w:eastAsia="Calibri" w:hAnsi="Arial" w:cs="Arial"/>
                <w:b/>
                <w:sz w:val="16"/>
                <w:szCs w:val="16"/>
                <w:lang w:val="es-CO"/>
              </w:rPr>
              <w:t>39.014.698</w:t>
            </w:r>
          </w:p>
        </w:tc>
        <w:tc>
          <w:tcPr>
            <w:tcW w:w="2238" w:type="dxa"/>
          </w:tcPr>
          <w:p w14:paraId="088006C1" w14:textId="77777777" w:rsidR="007E2F9F" w:rsidRPr="00FA041B" w:rsidRDefault="007E2F9F" w:rsidP="006548F8">
            <w:pPr>
              <w:pStyle w:val="Prrafodelista"/>
              <w:ind w:left="0"/>
              <w:jc w:val="right"/>
              <w:rPr>
                <w:rFonts w:ascii="Arial" w:hAnsi="Arial" w:cs="Arial"/>
                <w:b/>
                <w:bCs/>
                <w:sz w:val="18"/>
                <w:szCs w:val="18"/>
                <w:u w:val="single"/>
              </w:rPr>
            </w:pPr>
            <w:r w:rsidRPr="00FA041B">
              <w:rPr>
                <w:rFonts w:ascii="Arial" w:hAnsi="Arial" w:cs="Arial"/>
                <w:b/>
                <w:sz w:val="16"/>
                <w:szCs w:val="16"/>
                <w:u w:val="single"/>
              </w:rPr>
              <w:t>1.412.394</w:t>
            </w:r>
          </w:p>
        </w:tc>
      </w:tr>
    </w:tbl>
    <w:p w14:paraId="53055D8F" w14:textId="77777777" w:rsidR="007E2F9F" w:rsidRDefault="007E2F9F" w:rsidP="007E2F9F">
      <w:pPr>
        <w:rPr>
          <w:rFonts w:ascii="Arial" w:eastAsia="Calibri" w:hAnsi="Arial" w:cs="Arial"/>
          <w:b/>
          <w:u w:val="single"/>
          <w:lang w:val="es-MX"/>
        </w:rPr>
      </w:pPr>
    </w:p>
    <w:p w14:paraId="0FE31FA1" w14:textId="77777777" w:rsidR="007E2F9F" w:rsidRPr="00360CEE" w:rsidRDefault="007E2F9F" w:rsidP="007E2F9F">
      <w:pPr>
        <w:ind w:left="-284"/>
        <w:jc w:val="both"/>
        <w:rPr>
          <w:rFonts w:ascii="Arial" w:hAnsi="Arial" w:cs="Arial"/>
          <w:b/>
          <w:sz w:val="28"/>
          <w:szCs w:val="28"/>
          <w:lang w:val="es-MX"/>
        </w:rPr>
      </w:pPr>
      <w:r w:rsidRPr="00360CEE">
        <w:rPr>
          <w:rFonts w:ascii="Arial" w:hAnsi="Arial" w:cs="Arial"/>
          <w:b/>
          <w:sz w:val="28"/>
          <w:szCs w:val="28"/>
          <w:lang w:val="es-MX"/>
        </w:rPr>
        <w:t>280.- AGENCIA LOGISTICA DE LAS FUERZAS MILITARES.</w:t>
      </w:r>
    </w:p>
    <w:p w14:paraId="17410D73" w14:textId="77777777" w:rsidR="007E2F9F" w:rsidRDefault="007E2F9F" w:rsidP="007E2F9F">
      <w:pPr>
        <w:rPr>
          <w:rFonts w:ascii="Arial" w:eastAsia="Calibri" w:hAnsi="Arial" w:cs="Arial"/>
          <w:b/>
          <w:u w:val="single"/>
          <w:lang w:val="es-MX"/>
        </w:rPr>
      </w:pPr>
    </w:p>
    <w:p w14:paraId="35ADC3D4"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63E67B1"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031CDCA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360CEE" w14:paraId="5D97CFFC" w14:textId="77777777" w:rsidTr="006548F8">
        <w:tc>
          <w:tcPr>
            <w:tcW w:w="3544" w:type="dxa"/>
          </w:tcPr>
          <w:p w14:paraId="054A977E" w14:textId="77777777" w:rsidR="007E2F9F" w:rsidRPr="00360CEE" w:rsidRDefault="007E2F9F" w:rsidP="006548F8">
            <w:pPr>
              <w:ind w:left="1169" w:right="-1440"/>
              <w:rPr>
                <w:rFonts w:ascii="Arial" w:hAnsi="Arial" w:cs="Arial"/>
                <w:b/>
                <w:sz w:val="18"/>
                <w:szCs w:val="18"/>
                <w:lang w:val="es-ES_tradnl"/>
              </w:rPr>
            </w:pPr>
            <w:r w:rsidRPr="00360CEE">
              <w:rPr>
                <w:rFonts w:ascii="Arial" w:hAnsi="Arial" w:cs="Arial"/>
                <w:b/>
                <w:sz w:val="18"/>
                <w:szCs w:val="18"/>
                <w:lang w:val="es-ES_tradnl"/>
              </w:rPr>
              <w:t>TIPO DE GASTO</w:t>
            </w:r>
          </w:p>
        </w:tc>
        <w:tc>
          <w:tcPr>
            <w:tcW w:w="2354" w:type="dxa"/>
          </w:tcPr>
          <w:p w14:paraId="19A26A8F" w14:textId="77777777" w:rsidR="007E2F9F" w:rsidRPr="00360CEE" w:rsidRDefault="007E2F9F" w:rsidP="006548F8">
            <w:pPr>
              <w:jc w:val="center"/>
              <w:rPr>
                <w:rFonts w:ascii="Arial" w:hAnsi="Arial" w:cs="Arial"/>
                <w:b/>
                <w:sz w:val="18"/>
                <w:szCs w:val="18"/>
                <w:lang w:val="es-ES_tradnl"/>
              </w:rPr>
            </w:pPr>
            <w:r w:rsidRPr="00360CEE">
              <w:rPr>
                <w:rFonts w:ascii="Arial" w:hAnsi="Arial" w:cs="Arial"/>
                <w:b/>
                <w:sz w:val="18"/>
                <w:szCs w:val="18"/>
                <w:lang w:val="es-ES_tradnl"/>
              </w:rPr>
              <w:t>APROPIACIÓN</w:t>
            </w:r>
          </w:p>
          <w:p w14:paraId="06DEB9BF" w14:textId="77777777" w:rsidR="007E2F9F" w:rsidRPr="00360CEE" w:rsidRDefault="007E2F9F" w:rsidP="006548F8">
            <w:pPr>
              <w:jc w:val="center"/>
              <w:rPr>
                <w:rFonts w:ascii="Arial" w:hAnsi="Arial" w:cs="Arial"/>
                <w:b/>
                <w:sz w:val="18"/>
                <w:szCs w:val="18"/>
                <w:lang w:val="es-ES_tradnl"/>
              </w:rPr>
            </w:pPr>
            <w:r w:rsidRPr="00360CEE">
              <w:rPr>
                <w:rFonts w:ascii="Arial" w:hAnsi="Arial" w:cs="Arial"/>
                <w:b/>
                <w:sz w:val="18"/>
                <w:szCs w:val="18"/>
                <w:lang w:val="es-ES_tradnl"/>
              </w:rPr>
              <w:t>DEFINITIVA</w:t>
            </w:r>
          </w:p>
          <w:p w14:paraId="29889BC2" w14:textId="77777777" w:rsidR="007E2F9F" w:rsidRPr="00360CEE" w:rsidRDefault="007E2F9F" w:rsidP="006548F8">
            <w:pPr>
              <w:jc w:val="center"/>
              <w:rPr>
                <w:rFonts w:ascii="Arial" w:hAnsi="Arial" w:cs="Arial"/>
                <w:b/>
                <w:sz w:val="18"/>
                <w:szCs w:val="18"/>
                <w:lang w:val="es-ES_tradnl"/>
              </w:rPr>
            </w:pPr>
            <w:r w:rsidRPr="00360CEE">
              <w:rPr>
                <w:rFonts w:ascii="Arial" w:hAnsi="Arial" w:cs="Arial"/>
                <w:b/>
                <w:sz w:val="18"/>
                <w:szCs w:val="18"/>
                <w:lang w:val="es-ES_tradnl"/>
              </w:rPr>
              <w:t>(1)</w:t>
            </w:r>
          </w:p>
          <w:p w14:paraId="78CC289E" w14:textId="77777777" w:rsidR="007E2F9F" w:rsidRPr="00360CEE" w:rsidRDefault="007E2F9F" w:rsidP="006548F8">
            <w:pPr>
              <w:jc w:val="center"/>
              <w:rPr>
                <w:rFonts w:ascii="Arial" w:hAnsi="Arial" w:cs="Arial"/>
                <w:b/>
                <w:sz w:val="18"/>
                <w:szCs w:val="18"/>
                <w:lang w:val="es-ES_tradnl"/>
              </w:rPr>
            </w:pPr>
          </w:p>
        </w:tc>
        <w:tc>
          <w:tcPr>
            <w:tcW w:w="2354" w:type="dxa"/>
          </w:tcPr>
          <w:p w14:paraId="4B3F345D" w14:textId="77777777" w:rsidR="007E2F9F" w:rsidRPr="00360CEE" w:rsidRDefault="007E2F9F" w:rsidP="006548F8">
            <w:pPr>
              <w:ind w:left="145" w:right="184"/>
              <w:jc w:val="center"/>
              <w:rPr>
                <w:rFonts w:ascii="Arial" w:hAnsi="Arial" w:cs="Arial"/>
                <w:b/>
                <w:sz w:val="18"/>
                <w:szCs w:val="18"/>
                <w:lang w:val="es-ES_tradnl"/>
              </w:rPr>
            </w:pPr>
            <w:r w:rsidRPr="00360CEE">
              <w:rPr>
                <w:rFonts w:ascii="Arial" w:hAnsi="Arial" w:cs="Arial"/>
                <w:b/>
                <w:sz w:val="18"/>
                <w:szCs w:val="18"/>
                <w:lang w:val="es-ES_tradnl"/>
              </w:rPr>
              <w:t>EJECUCIÓN</w:t>
            </w:r>
          </w:p>
          <w:p w14:paraId="52C8B8DD" w14:textId="77777777" w:rsidR="007E2F9F" w:rsidRPr="00360CEE" w:rsidRDefault="007E2F9F" w:rsidP="006548F8">
            <w:pPr>
              <w:ind w:right="34"/>
              <w:jc w:val="center"/>
              <w:rPr>
                <w:rFonts w:ascii="Arial" w:hAnsi="Arial" w:cs="Arial"/>
                <w:b/>
                <w:sz w:val="18"/>
                <w:szCs w:val="18"/>
                <w:lang w:val="es-ES_tradnl"/>
              </w:rPr>
            </w:pPr>
            <w:r w:rsidRPr="00360CEE">
              <w:rPr>
                <w:rFonts w:ascii="Arial" w:hAnsi="Arial" w:cs="Arial"/>
                <w:b/>
                <w:sz w:val="18"/>
                <w:szCs w:val="18"/>
                <w:lang w:val="es-ES_tradnl"/>
              </w:rPr>
              <w:t>COMPROMISOS</w:t>
            </w:r>
          </w:p>
          <w:p w14:paraId="7968D165" w14:textId="77777777" w:rsidR="007E2F9F" w:rsidRPr="00360CEE" w:rsidRDefault="007E2F9F" w:rsidP="006548F8">
            <w:pPr>
              <w:ind w:right="34"/>
              <w:jc w:val="center"/>
              <w:rPr>
                <w:rFonts w:ascii="Arial" w:hAnsi="Arial" w:cs="Arial"/>
                <w:b/>
                <w:sz w:val="18"/>
                <w:szCs w:val="18"/>
                <w:lang w:val="es-ES_tradnl"/>
              </w:rPr>
            </w:pPr>
            <w:r w:rsidRPr="00360CEE">
              <w:rPr>
                <w:rFonts w:ascii="Arial" w:hAnsi="Arial" w:cs="Arial"/>
                <w:b/>
                <w:sz w:val="18"/>
                <w:szCs w:val="18"/>
                <w:lang w:val="es-ES_tradnl"/>
              </w:rPr>
              <w:t>(2)</w:t>
            </w:r>
          </w:p>
        </w:tc>
        <w:tc>
          <w:tcPr>
            <w:tcW w:w="2238" w:type="dxa"/>
          </w:tcPr>
          <w:p w14:paraId="45360B19" w14:textId="77777777" w:rsidR="007E2F9F" w:rsidRPr="00360CEE" w:rsidRDefault="007E2F9F" w:rsidP="006548F8">
            <w:pPr>
              <w:ind w:left="25" w:right="34"/>
              <w:jc w:val="center"/>
              <w:rPr>
                <w:rFonts w:ascii="Arial" w:hAnsi="Arial" w:cs="Arial"/>
                <w:b/>
                <w:sz w:val="18"/>
                <w:szCs w:val="18"/>
                <w:lang w:val="es-ES_tradnl"/>
              </w:rPr>
            </w:pPr>
            <w:r w:rsidRPr="00360CEE">
              <w:rPr>
                <w:rFonts w:ascii="Arial" w:hAnsi="Arial" w:cs="Arial"/>
                <w:b/>
                <w:sz w:val="18"/>
                <w:szCs w:val="18"/>
                <w:lang w:val="es-ES_tradnl"/>
              </w:rPr>
              <w:t>PÉRDIDAS DE</w:t>
            </w:r>
          </w:p>
          <w:p w14:paraId="45549E37" w14:textId="77777777" w:rsidR="007E2F9F" w:rsidRPr="00360CEE" w:rsidRDefault="007E2F9F" w:rsidP="006548F8">
            <w:pPr>
              <w:ind w:right="34"/>
              <w:jc w:val="center"/>
              <w:rPr>
                <w:rFonts w:ascii="Arial" w:hAnsi="Arial" w:cs="Arial"/>
                <w:b/>
                <w:sz w:val="18"/>
                <w:szCs w:val="18"/>
                <w:lang w:val="es-ES_tradnl"/>
              </w:rPr>
            </w:pPr>
            <w:r w:rsidRPr="00360CEE">
              <w:rPr>
                <w:rFonts w:ascii="Arial" w:hAnsi="Arial" w:cs="Arial"/>
                <w:b/>
                <w:sz w:val="18"/>
                <w:szCs w:val="18"/>
                <w:lang w:val="es-ES_tradnl"/>
              </w:rPr>
              <w:t>APROPIACIÓN</w:t>
            </w:r>
          </w:p>
          <w:p w14:paraId="5A467F8B" w14:textId="77777777" w:rsidR="007E2F9F" w:rsidRPr="00360CEE" w:rsidRDefault="007E2F9F" w:rsidP="006548F8">
            <w:pPr>
              <w:ind w:right="34"/>
              <w:jc w:val="center"/>
              <w:rPr>
                <w:rFonts w:ascii="Arial" w:hAnsi="Arial" w:cs="Arial"/>
                <w:b/>
                <w:sz w:val="18"/>
                <w:szCs w:val="18"/>
                <w:lang w:val="es-ES_tradnl"/>
              </w:rPr>
            </w:pPr>
            <w:r w:rsidRPr="00360CEE">
              <w:rPr>
                <w:rFonts w:ascii="Arial" w:hAnsi="Arial" w:cs="Arial"/>
                <w:b/>
                <w:sz w:val="18"/>
                <w:szCs w:val="18"/>
                <w:lang w:val="es-ES_tradnl"/>
              </w:rPr>
              <w:t>3 = (1-2)</w:t>
            </w:r>
          </w:p>
        </w:tc>
      </w:tr>
      <w:tr w:rsidR="007E2F9F" w:rsidRPr="00360CEE" w14:paraId="07E7354F" w14:textId="77777777" w:rsidTr="006548F8">
        <w:trPr>
          <w:trHeight w:val="230"/>
        </w:trPr>
        <w:tc>
          <w:tcPr>
            <w:tcW w:w="3544" w:type="dxa"/>
          </w:tcPr>
          <w:p w14:paraId="2412E43E" w14:textId="77777777" w:rsidR="007E2F9F" w:rsidRPr="00360CEE" w:rsidRDefault="007E2F9F" w:rsidP="006548F8">
            <w:pPr>
              <w:ind w:right="-1440"/>
              <w:jc w:val="both"/>
              <w:rPr>
                <w:rFonts w:ascii="Arial" w:hAnsi="Arial" w:cs="Arial"/>
                <w:b/>
                <w:bCs/>
                <w:sz w:val="18"/>
                <w:szCs w:val="18"/>
                <w:lang w:val="es-ES_tradnl"/>
              </w:rPr>
            </w:pPr>
            <w:r w:rsidRPr="00360CEE">
              <w:rPr>
                <w:rFonts w:ascii="Arial" w:hAnsi="Arial" w:cs="Arial"/>
                <w:b/>
                <w:bCs/>
                <w:sz w:val="18"/>
                <w:szCs w:val="18"/>
                <w:lang w:val="es-ES_tradnl"/>
              </w:rPr>
              <w:t>FUNCIONAMIENTO</w:t>
            </w:r>
          </w:p>
        </w:tc>
        <w:tc>
          <w:tcPr>
            <w:tcW w:w="2354" w:type="dxa"/>
          </w:tcPr>
          <w:p w14:paraId="03CAF55F" w14:textId="77777777" w:rsidR="007E2F9F" w:rsidRPr="00360CEE" w:rsidRDefault="007E2F9F" w:rsidP="006548F8">
            <w:pPr>
              <w:jc w:val="right"/>
              <w:rPr>
                <w:rFonts w:ascii="Arial" w:eastAsia="Calibri" w:hAnsi="Arial" w:cs="Arial"/>
                <w:b/>
                <w:bCs/>
                <w:sz w:val="18"/>
                <w:szCs w:val="18"/>
                <w:lang w:val="es-CO"/>
              </w:rPr>
            </w:pPr>
            <w:r w:rsidRPr="00360CEE">
              <w:rPr>
                <w:rFonts w:ascii="Arial" w:eastAsia="Calibri" w:hAnsi="Arial" w:cs="Arial"/>
                <w:b/>
                <w:bCs/>
                <w:sz w:val="18"/>
                <w:szCs w:val="18"/>
                <w:lang w:val="es-CO"/>
              </w:rPr>
              <w:t>-</w:t>
            </w:r>
          </w:p>
        </w:tc>
        <w:tc>
          <w:tcPr>
            <w:tcW w:w="2354" w:type="dxa"/>
          </w:tcPr>
          <w:p w14:paraId="1C33DEA2" w14:textId="77777777" w:rsidR="007E2F9F" w:rsidRPr="00360CEE" w:rsidRDefault="007E2F9F" w:rsidP="006548F8">
            <w:pPr>
              <w:pStyle w:val="Prrafodelista"/>
              <w:ind w:left="0"/>
              <w:jc w:val="right"/>
              <w:rPr>
                <w:rFonts w:ascii="Arial" w:hAnsi="Arial" w:cs="Arial"/>
                <w:b/>
                <w:bCs/>
                <w:sz w:val="18"/>
                <w:szCs w:val="18"/>
              </w:rPr>
            </w:pPr>
            <w:r w:rsidRPr="00360CEE">
              <w:rPr>
                <w:rFonts w:ascii="Arial" w:hAnsi="Arial" w:cs="Arial"/>
                <w:b/>
                <w:bCs/>
                <w:sz w:val="18"/>
                <w:szCs w:val="18"/>
              </w:rPr>
              <w:t>-</w:t>
            </w:r>
          </w:p>
        </w:tc>
        <w:tc>
          <w:tcPr>
            <w:tcW w:w="2238" w:type="dxa"/>
          </w:tcPr>
          <w:p w14:paraId="0CF0AB45" w14:textId="77777777" w:rsidR="007E2F9F" w:rsidRPr="00360CEE" w:rsidRDefault="007E2F9F" w:rsidP="006548F8">
            <w:pPr>
              <w:pStyle w:val="Prrafodelista"/>
              <w:ind w:left="0"/>
              <w:jc w:val="right"/>
              <w:rPr>
                <w:rFonts w:ascii="Arial" w:hAnsi="Arial" w:cs="Arial"/>
                <w:b/>
                <w:bCs/>
                <w:sz w:val="18"/>
                <w:szCs w:val="18"/>
              </w:rPr>
            </w:pPr>
            <w:r w:rsidRPr="00360CEE">
              <w:rPr>
                <w:rFonts w:ascii="Arial" w:hAnsi="Arial" w:cs="Arial"/>
                <w:b/>
                <w:bCs/>
                <w:sz w:val="18"/>
                <w:szCs w:val="18"/>
              </w:rPr>
              <w:t>-</w:t>
            </w:r>
          </w:p>
        </w:tc>
      </w:tr>
      <w:tr w:rsidR="007E2F9F" w:rsidRPr="00360CEE" w14:paraId="5F1086FF" w14:textId="77777777" w:rsidTr="006548F8">
        <w:trPr>
          <w:trHeight w:val="230"/>
        </w:trPr>
        <w:tc>
          <w:tcPr>
            <w:tcW w:w="3544" w:type="dxa"/>
          </w:tcPr>
          <w:p w14:paraId="4BF4D6DD" w14:textId="77777777" w:rsidR="007E2F9F" w:rsidRPr="00360CEE" w:rsidRDefault="007E2F9F" w:rsidP="006548F8">
            <w:pPr>
              <w:ind w:right="-1440"/>
              <w:jc w:val="both"/>
              <w:rPr>
                <w:rFonts w:ascii="Arial" w:hAnsi="Arial" w:cs="Arial"/>
                <w:b/>
                <w:bCs/>
                <w:sz w:val="18"/>
                <w:szCs w:val="18"/>
                <w:lang w:val="es-ES_tradnl"/>
              </w:rPr>
            </w:pPr>
            <w:r w:rsidRPr="00360CEE">
              <w:rPr>
                <w:rFonts w:ascii="Arial" w:hAnsi="Arial" w:cs="Arial"/>
                <w:b/>
                <w:bCs/>
                <w:sz w:val="18"/>
                <w:szCs w:val="18"/>
                <w:lang w:val="es-ES_tradnl"/>
              </w:rPr>
              <w:t>NVERSIÓN</w:t>
            </w:r>
          </w:p>
        </w:tc>
        <w:tc>
          <w:tcPr>
            <w:tcW w:w="2354" w:type="dxa"/>
          </w:tcPr>
          <w:p w14:paraId="0AE3BAD9" w14:textId="77777777" w:rsidR="007E2F9F" w:rsidRPr="00360CEE" w:rsidRDefault="007E2F9F" w:rsidP="006548F8">
            <w:pPr>
              <w:jc w:val="right"/>
              <w:rPr>
                <w:rFonts w:ascii="Arial" w:eastAsia="Calibri" w:hAnsi="Arial" w:cs="Arial"/>
                <w:b/>
                <w:bCs/>
                <w:sz w:val="18"/>
                <w:szCs w:val="18"/>
                <w:lang w:val="es-CO"/>
              </w:rPr>
            </w:pPr>
            <w:r w:rsidRPr="00360CEE">
              <w:rPr>
                <w:rFonts w:ascii="Arial" w:eastAsia="Calibri" w:hAnsi="Arial" w:cs="Arial"/>
                <w:sz w:val="18"/>
                <w:szCs w:val="18"/>
                <w:lang w:val="es-CO"/>
              </w:rPr>
              <w:t>3.880</w:t>
            </w:r>
          </w:p>
        </w:tc>
        <w:tc>
          <w:tcPr>
            <w:tcW w:w="2354" w:type="dxa"/>
          </w:tcPr>
          <w:p w14:paraId="5D83D326" w14:textId="77777777" w:rsidR="007E2F9F" w:rsidRPr="00360CEE" w:rsidRDefault="007E2F9F" w:rsidP="006548F8">
            <w:pPr>
              <w:pStyle w:val="Prrafodelista"/>
              <w:ind w:left="0"/>
              <w:jc w:val="right"/>
              <w:rPr>
                <w:rFonts w:ascii="Arial" w:eastAsia="Calibri" w:hAnsi="Arial" w:cs="Arial"/>
                <w:b/>
                <w:bCs/>
                <w:sz w:val="18"/>
                <w:szCs w:val="18"/>
                <w:lang w:val="es-CO"/>
              </w:rPr>
            </w:pPr>
            <w:r w:rsidRPr="00360CEE">
              <w:rPr>
                <w:rFonts w:ascii="Arial" w:eastAsia="Calibri" w:hAnsi="Arial" w:cs="Arial"/>
                <w:sz w:val="18"/>
                <w:szCs w:val="18"/>
                <w:lang w:val="es-CO"/>
              </w:rPr>
              <w:t>3.858</w:t>
            </w:r>
          </w:p>
        </w:tc>
        <w:tc>
          <w:tcPr>
            <w:tcW w:w="2238" w:type="dxa"/>
          </w:tcPr>
          <w:p w14:paraId="25483B1D" w14:textId="77777777" w:rsidR="007E2F9F" w:rsidRPr="00360CEE" w:rsidRDefault="007E2F9F" w:rsidP="006548F8">
            <w:pPr>
              <w:pStyle w:val="Prrafodelista"/>
              <w:ind w:left="0"/>
              <w:jc w:val="right"/>
              <w:rPr>
                <w:rFonts w:ascii="Arial" w:hAnsi="Arial" w:cs="Arial"/>
                <w:b/>
                <w:bCs/>
                <w:sz w:val="18"/>
                <w:szCs w:val="18"/>
              </w:rPr>
            </w:pPr>
            <w:r w:rsidRPr="00360CEE">
              <w:rPr>
                <w:rFonts w:ascii="Arial" w:hAnsi="Arial" w:cs="Arial"/>
                <w:b/>
                <w:sz w:val="18"/>
                <w:szCs w:val="18"/>
              </w:rPr>
              <w:t>22</w:t>
            </w:r>
          </w:p>
        </w:tc>
      </w:tr>
      <w:tr w:rsidR="007E2F9F" w:rsidRPr="00360CEE" w14:paraId="18E7DBD1" w14:textId="77777777" w:rsidTr="006548F8">
        <w:tc>
          <w:tcPr>
            <w:tcW w:w="3544" w:type="dxa"/>
          </w:tcPr>
          <w:p w14:paraId="1817DF13" w14:textId="77777777" w:rsidR="007E2F9F" w:rsidRPr="00360CEE" w:rsidRDefault="007E2F9F" w:rsidP="006548F8">
            <w:pPr>
              <w:ind w:right="-1440"/>
              <w:jc w:val="both"/>
              <w:rPr>
                <w:rFonts w:ascii="Arial" w:hAnsi="Arial" w:cs="Arial"/>
                <w:b/>
                <w:bCs/>
                <w:sz w:val="18"/>
                <w:szCs w:val="18"/>
                <w:lang w:val="es-ES_tradnl"/>
              </w:rPr>
            </w:pPr>
            <w:r w:rsidRPr="00360CEE">
              <w:rPr>
                <w:rFonts w:ascii="Arial" w:hAnsi="Arial" w:cs="Arial"/>
                <w:b/>
                <w:bCs/>
                <w:sz w:val="18"/>
                <w:szCs w:val="18"/>
                <w:lang w:val="es-ES_tradnl"/>
              </w:rPr>
              <w:t>TOTAL PÉRDIDAS DE APROPIACIÓN</w:t>
            </w:r>
          </w:p>
        </w:tc>
        <w:tc>
          <w:tcPr>
            <w:tcW w:w="2354" w:type="dxa"/>
          </w:tcPr>
          <w:p w14:paraId="66D587BC" w14:textId="77777777" w:rsidR="007E2F9F" w:rsidRPr="00360CEE" w:rsidRDefault="007E2F9F" w:rsidP="006548F8">
            <w:pPr>
              <w:pStyle w:val="Prrafodelista"/>
              <w:ind w:left="0"/>
              <w:jc w:val="right"/>
              <w:rPr>
                <w:rFonts w:ascii="Arial" w:hAnsi="Arial" w:cs="Arial"/>
                <w:b/>
                <w:bCs/>
                <w:sz w:val="18"/>
                <w:szCs w:val="18"/>
                <w:u w:val="single"/>
              </w:rPr>
            </w:pPr>
            <w:r w:rsidRPr="00360CEE">
              <w:rPr>
                <w:rFonts w:ascii="Arial" w:eastAsia="Calibri" w:hAnsi="Arial" w:cs="Arial"/>
                <w:b/>
                <w:sz w:val="18"/>
                <w:szCs w:val="18"/>
                <w:lang w:val="es-CO"/>
              </w:rPr>
              <w:t>1.006.104</w:t>
            </w:r>
          </w:p>
        </w:tc>
        <w:tc>
          <w:tcPr>
            <w:tcW w:w="2354" w:type="dxa"/>
          </w:tcPr>
          <w:p w14:paraId="28C51B1A" w14:textId="77777777" w:rsidR="007E2F9F" w:rsidRPr="00360CEE" w:rsidRDefault="007E2F9F" w:rsidP="006548F8">
            <w:pPr>
              <w:pStyle w:val="Prrafodelista"/>
              <w:ind w:left="0"/>
              <w:jc w:val="right"/>
              <w:rPr>
                <w:rFonts w:ascii="Arial" w:hAnsi="Arial" w:cs="Arial"/>
                <w:b/>
                <w:bCs/>
                <w:sz w:val="18"/>
                <w:szCs w:val="18"/>
                <w:u w:val="single"/>
              </w:rPr>
            </w:pPr>
            <w:r w:rsidRPr="00360CEE">
              <w:rPr>
                <w:rFonts w:ascii="Arial" w:eastAsia="Calibri" w:hAnsi="Arial" w:cs="Arial"/>
                <w:b/>
                <w:sz w:val="18"/>
                <w:szCs w:val="18"/>
                <w:lang w:val="es-CO"/>
              </w:rPr>
              <w:t>952.710</w:t>
            </w:r>
          </w:p>
        </w:tc>
        <w:tc>
          <w:tcPr>
            <w:tcW w:w="2238" w:type="dxa"/>
          </w:tcPr>
          <w:p w14:paraId="2CAD8C30" w14:textId="77777777" w:rsidR="007E2F9F" w:rsidRPr="00360CEE" w:rsidRDefault="007E2F9F" w:rsidP="006548F8">
            <w:pPr>
              <w:pStyle w:val="Prrafodelista"/>
              <w:ind w:left="0"/>
              <w:jc w:val="right"/>
              <w:rPr>
                <w:rFonts w:ascii="Arial" w:hAnsi="Arial" w:cs="Arial"/>
                <w:b/>
                <w:bCs/>
                <w:sz w:val="18"/>
                <w:szCs w:val="18"/>
                <w:u w:val="single"/>
              </w:rPr>
            </w:pPr>
            <w:r w:rsidRPr="00360CEE">
              <w:rPr>
                <w:rFonts w:ascii="Arial" w:hAnsi="Arial" w:cs="Arial"/>
                <w:b/>
                <w:sz w:val="18"/>
                <w:szCs w:val="18"/>
                <w:u w:val="single"/>
              </w:rPr>
              <w:t>53.394</w:t>
            </w:r>
          </w:p>
        </w:tc>
      </w:tr>
    </w:tbl>
    <w:p w14:paraId="11E89441" w14:textId="77777777" w:rsidR="007E2F9F" w:rsidRDefault="007E2F9F" w:rsidP="007E2F9F">
      <w:pPr>
        <w:rPr>
          <w:rFonts w:ascii="Arial" w:eastAsia="Calibri" w:hAnsi="Arial" w:cs="Arial"/>
          <w:b/>
          <w:u w:val="single"/>
          <w:lang w:val="es-MX"/>
        </w:rPr>
      </w:pPr>
    </w:p>
    <w:p w14:paraId="228C455A" w14:textId="77777777" w:rsidR="007E2F9F" w:rsidRPr="00360CEE" w:rsidRDefault="007E2F9F" w:rsidP="007E2F9F">
      <w:pPr>
        <w:widowControl/>
        <w:autoSpaceDE/>
        <w:autoSpaceDN/>
        <w:ind w:left="-284" w:right="-234"/>
        <w:jc w:val="both"/>
        <w:rPr>
          <w:rFonts w:ascii="Arial" w:eastAsiaTheme="minorHAnsi" w:hAnsi="Arial" w:cs="Arial"/>
          <w:b/>
          <w:sz w:val="20"/>
          <w:szCs w:val="20"/>
          <w:lang w:val="es-CO"/>
        </w:rPr>
      </w:pPr>
      <w:r w:rsidRPr="00360CEE">
        <w:rPr>
          <w:rFonts w:ascii="Arial" w:eastAsiaTheme="minorHAnsi" w:hAnsi="Arial" w:cs="Arial"/>
          <w:b/>
          <w:sz w:val="20"/>
          <w:szCs w:val="20"/>
          <w:lang w:val="es-CO"/>
        </w:rPr>
        <w:t xml:space="preserve">NOTA: </w:t>
      </w:r>
      <w:r w:rsidRPr="00360CEE">
        <w:rPr>
          <w:rFonts w:ascii="Arial" w:eastAsiaTheme="minorHAnsi" w:hAnsi="Arial" w:cs="Arial"/>
          <w:sz w:val="20"/>
          <w:szCs w:val="20"/>
          <w:lang w:val="es-CO"/>
        </w:rPr>
        <w:t>La Entidad no totalizó</w:t>
      </w:r>
      <w:r w:rsidRPr="00360CEE">
        <w:rPr>
          <w:rFonts w:ascii="Arial" w:eastAsiaTheme="minorHAnsi" w:hAnsi="Arial" w:cs="Arial"/>
          <w:b/>
          <w:sz w:val="20"/>
          <w:szCs w:val="20"/>
          <w:lang w:val="es-CO"/>
        </w:rPr>
        <w:t xml:space="preserve"> </w:t>
      </w:r>
      <w:r w:rsidRPr="00360CEE">
        <w:rPr>
          <w:rFonts w:ascii="Arial" w:eastAsiaTheme="minorHAnsi" w:hAnsi="Arial" w:cs="Arial"/>
          <w:sz w:val="20"/>
          <w:szCs w:val="20"/>
          <w:lang w:val="es-CO"/>
        </w:rPr>
        <w:t>la cifra de Funcionamiento en los cuadros solicitados por la Comisión Legal de Cuentas.</w:t>
      </w:r>
    </w:p>
    <w:p w14:paraId="7A4D48F6" w14:textId="77777777" w:rsidR="007E2F9F" w:rsidRDefault="007E2F9F" w:rsidP="007E2F9F">
      <w:pPr>
        <w:rPr>
          <w:rFonts w:ascii="Arial" w:eastAsia="Calibri" w:hAnsi="Arial" w:cs="Arial"/>
          <w:b/>
          <w:u w:val="single"/>
          <w:lang w:val="es-MX"/>
        </w:rPr>
      </w:pPr>
    </w:p>
    <w:p w14:paraId="01F4F936" w14:textId="77777777" w:rsidR="007E2F9F" w:rsidRPr="00C60DCC" w:rsidRDefault="007E2F9F" w:rsidP="007E2F9F">
      <w:pPr>
        <w:ind w:left="-284" w:right="-234"/>
        <w:jc w:val="both"/>
        <w:rPr>
          <w:rFonts w:ascii="Arial" w:hAnsi="Arial" w:cs="Arial"/>
          <w:b/>
          <w:sz w:val="28"/>
          <w:szCs w:val="28"/>
          <w:lang w:val="es-MX"/>
        </w:rPr>
      </w:pPr>
      <w:r w:rsidRPr="00C60DCC">
        <w:rPr>
          <w:rFonts w:ascii="Arial" w:hAnsi="Arial" w:cs="Arial"/>
          <w:b/>
          <w:sz w:val="28"/>
          <w:szCs w:val="28"/>
          <w:lang w:val="es-MX"/>
        </w:rPr>
        <w:t xml:space="preserve">285.- </w:t>
      </w:r>
      <w:r w:rsidRPr="00C60DCC">
        <w:rPr>
          <w:rFonts w:ascii="Arial" w:hAnsi="Arial" w:cs="Arial"/>
          <w:b/>
          <w:sz w:val="28"/>
          <w:szCs w:val="28"/>
          <w:lang w:val="es-CO"/>
        </w:rPr>
        <w:t>FONDO ROTATORIO DEL DEPARTAMENTO ADMINISTRATIVO NACIONAL DE ESTADÍSTICA – FONDANE.</w:t>
      </w:r>
      <w:r w:rsidRPr="00C60DCC">
        <w:rPr>
          <w:rFonts w:ascii="Arial" w:hAnsi="Arial" w:cs="Arial"/>
          <w:b/>
          <w:sz w:val="28"/>
          <w:szCs w:val="28"/>
          <w:lang w:val="es-MX"/>
        </w:rPr>
        <w:t xml:space="preserve"> </w:t>
      </w:r>
    </w:p>
    <w:p w14:paraId="2E093933" w14:textId="77777777" w:rsidR="007E2F9F" w:rsidRDefault="007E2F9F" w:rsidP="007E2F9F">
      <w:pPr>
        <w:ind w:left="-284" w:right="-234"/>
        <w:rPr>
          <w:rFonts w:ascii="Arial" w:eastAsia="Calibri" w:hAnsi="Arial" w:cs="Arial"/>
          <w:b/>
          <w:u w:val="single"/>
          <w:lang w:val="es-MX"/>
        </w:rPr>
      </w:pPr>
    </w:p>
    <w:p w14:paraId="32E4364B"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803A0C7"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E3BE1B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60DCC" w14:paraId="56D8E600" w14:textId="77777777" w:rsidTr="006548F8">
        <w:tc>
          <w:tcPr>
            <w:tcW w:w="3544" w:type="dxa"/>
          </w:tcPr>
          <w:p w14:paraId="1A4EE0DB" w14:textId="77777777" w:rsidR="007E2F9F" w:rsidRPr="00C60DCC" w:rsidRDefault="007E2F9F" w:rsidP="006548F8">
            <w:pPr>
              <w:ind w:left="1169" w:right="-1440"/>
              <w:rPr>
                <w:rFonts w:ascii="Arial" w:hAnsi="Arial" w:cs="Arial"/>
                <w:b/>
                <w:sz w:val="18"/>
                <w:szCs w:val="18"/>
                <w:lang w:val="es-ES_tradnl"/>
              </w:rPr>
            </w:pPr>
            <w:r w:rsidRPr="00C60DCC">
              <w:rPr>
                <w:rFonts w:ascii="Arial" w:hAnsi="Arial" w:cs="Arial"/>
                <w:b/>
                <w:sz w:val="18"/>
                <w:szCs w:val="18"/>
                <w:lang w:val="es-ES_tradnl"/>
              </w:rPr>
              <w:t>TIPO DE GASTO</w:t>
            </w:r>
          </w:p>
        </w:tc>
        <w:tc>
          <w:tcPr>
            <w:tcW w:w="2354" w:type="dxa"/>
          </w:tcPr>
          <w:p w14:paraId="5F14EDF3" w14:textId="77777777" w:rsidR="007E2F9F" w:rsidRPr="00C60DCC" w:rsidRDefault="007E2F9F" w:rsidP="006548F8">
            <w:pPr>
              <w:jc w:val="center"/>
              <w:rPr>
                <w:rFonts w:ascii="Arial" w:hAnsi="Arial" w:cs="Arial"/>
                <w:b/>
                <w:sz w:val="18"/>
                <w:szCs w:val="18"/>
                <w:lang w:val="es-ES_tradnl"/>
              </w:rPr>
            </w:pPr>
            <w:r w:rsidRPr="00C60DCC">
              <w:rPr>
                <w:rFonts w:ascii="Arial" w:hAnsi="Arial" w:cs="Arial"/>
                <w:b/>
                <w:sz w:val="18"/>
                <w:szCs w:val="18"/>
                <w:lang w:val="es-ES_tradnl"/>
              </w:rPr>
              <w:t>APROPIACIÓN</w:t>
            </w:r>
          </w:p>
          <w:p w14:paraId="40F96C8D" w14:textId="77777777" w:rsidR="007E2F9F" w:rsidRPr="00C60DCC" w:rsidRDefault="007E2F9F" w:rsidP="006548F8">
            <w:pPr>
              <w:jc w:val="center"/>
              <w:rPr>
                <w:rFonts w:ascii="Arial" w:hAnsi="Arial" w:cs="Arial"/>
                <w:b/>
                <w:sz w:val="18"/>
                <w:szCs w:val="18"/>
                <w:lang w:val="es-ES_tradnl"/>
              </w:rPr>
            </w:pPr>
            <w:r w:rsidRPr="00C60DCC">
              <w:rPr>
                <w:rFonts w:ascii="Arial" w:hAnsi="Arial" w:cs="Arial"/>
                <w:b/>
                <w:sz w:val="18"/>
                <w:szCs w:val="18"/>
                <w:lang w:val="es-ES_tradnl"/>
              </w:rPr>
              <w:t>DEFINITIVA</w:t>
            </w:r>
          </w:p>
          <w:p w14:paraId="3BC63EEE" w14:textId="77777777" w:rsidR="007E2F9F" w:rsidRPr="00C60DCC" w:rsidRDefault="007E2F9F" w:rsidP="006548F8">
            <w:pPr>
              <w:jc w:val="center"/>
              <w:rPr>
                <w:rFonts w:ascii="Arial" w:hAnsi="Arial" w:cs="Arial"/>
                <w:b/>
                <w:sz w:val="18"/>
                <w:szCs w:val="18"/>
                <w:lang w:val="es-ES_tradnl"/>
              </w:rPr>
            </w:pPr>
            <w:r w:rsidRPr="00C60DCC">
              <w:rPr>
                <w:rFonts w:ascii="Arial" w:hAnsi="Arial" w:cs="Arial"/>
                <w:b/>
                <w:sz w:val="18"/>
                <w:szCs w:val="18"/>
                <w:lang w:val="es-ES_tradnl"/>
              </w:rPr>
              <w:t>(1)</w:t>
            </w:r>
          </w:p>
          <w:p w14:paraId="3F6904E8" w14:textId="77777777" w:rsidR="007E2F9F" w:rsidRPr="00C60DCC" w:rsidRDefault="007E2F9F" w:rsidP="006548F8">
            <w:pPr>
              <w:jc w:val="center"/>
              <w:rPr>
                <w:rFonts w:ascii="Arial" w:hAnsi="Arial" w:cs="Arial"/>
                <w:b/>
                <w:sz w:val="18"/>
                <w:szCs w:val="18"/>
                <w:lang w:val="es-ES_tradnl"/>
              </w:rPr>
            </w:pPr>
          </w:p>
        </w:tc>
        <w:tc>
          <w:tcPr>
            <w:tcW w:w="2354" w:type="dxa"/>
          </w:tcPr>
          <w:p w14:paraId="3AEE06F5" w14:textId="77777777" w:rsidR="007E2F9F" w:rsidRPr="00C60DCC" w:rsidRDefault="007E2F9F" w:rsidP="006548F8">
            <w:pPr>
              <w:ind w:left="145" w:right="184"/>
              <w:jc w:val="center"/>
              <w:rPr>
                <w:rFonts w:ascii="Arial" w:hAnsi="Arial" w:cs="Arial"/>
                <w:b/>
                <w:sz w:val="18"/>
                <w:szCs w:val="18"/>
                <w:lang w:val="es-ES_tradnl"/>
              </w:rPr>
            </w:pPr>
            <w:r w:rsidRPr="00C60DCC">
              <w:rPr>
                <w:rFonts w:ascii="Arial" w:hAnsi="Arial" w:cs="Arial"/>
                <w:b/>
                <w:sz w:val="18"/>
                <w:szCs w:val="18"/>
                <w:lang w:val="es-ES_tradnl"/>
              </w:rPr>
              <w:t>EJECUCIÓN</w:t>
            </w:r>
          </w:p>
          <w:p w14:paraId="588DB434" w14:textId="77777777" w:rsidR="007E2F9F" w:rsidRPr="00C60DCC" w:rsidRDefault="007E2F9F" w:rsidP="006548F8">
            <w:pPr>
              <w:ind w:right="34"/>
              <w:jc w:val="center"/>
              <w:rPr>
                <w:rFonts w:ascii="Arial" w:hAnsi="Arial" w:cs="Arial"/>
                <w:b/>
                <w:sz w:val="18"/>
                <w:szCs w:val="18"/>
                <w:lang w:val="es-ES_tradnl"/>
              </w:rPr>
            </w:pPr>
            <w:r w:rsidRPr="00C60DCC">
              <w:rPr>
                <w:rFonts w:ascii="Arial" w:hAnsi="Arial" w:cs="Arial"/>
                <w:b/>
                <w:sz w:val="18"/>
                <w:szCs w:val="18"/>
                <w:lang w:val="es-ES_tradnl"/>
              </w:rPr>
              <w:t>COMPROMISOS</w:t>
            </w:r>
          </w:p>
          <w:p w14:paraId="4F470881" w14:textId="77777777" w:rsidR="007E2F9F" w:rsidRPr="00C60DCC" w:rsidRDefault="007E2F9F" w:rsidP="006548F8">
            <w:pPr>
              <w:ind w:right="34"/>
              <w:jc w:val="center"/>
              <w:rPr>
                <w:rFonts w:ascii="Arial" w:hAnsi="Arial" w:cs="Arial"/>
                <w:b/>
                <w:sz w:val="18"/>
                <w:szCs w:val="18"/>
                <w:lang w:val="es-ES_tradnl"/>
              </w:rPr>
            </w:pPr>
            <w:r w:rsidRPr="00C60DCC">
              <w:rPr>
                <w:rFonts w:ascii="Arial" w:hAnsi="Arial" w:cs="Arial"/>
                <w:b/>
                <w:sz w:val="18"/>
                <w:szCs w:val="18"/>
                <w:lang w:val="es-ES_tradnl"/>
              </w:rPr>
              <w:t>(2)</w:t>
            </w:r>
          </w:p>
        </w:tc>
        <w:tc>
          <w:tcPr>
            <w:tcW w:w="2238" w:type="dxa"/>
          </w:tcPr>
          <w:p w14:paraId="731E1FFE" w14:textId="77777777" w:rsidR="007E2F9F" w:rsidRPr="00C60DCC" w:rsidRDefault="007E2F9F" w:rsidP="006548F8">
            <w:pPr>
              <w:ind w:left="25" w:right="34"/>
              <w:jc w:val="center"/>
              <w:rPr>
                <w:rFonts w:ascii="Arial" w:hAnsi="Arial" w:cs="Arial"/>
                <w:b/>
                <w:sz w:val="18"/>
                <w:szCs w:val="18"/>
                <w:lang w:val="es-ES_tradnl"/>
              </w:rPr>
            </w:pPr>
            <w:r w:rsidRPr="00C60DCC">
              <w:rPr>
                <w:rFonts w:ascii="Arial" w:hAnsi="Arial" w:cs="Arial"/>
                <w:b/>
                <w:sz w:val="18"/>
                <w:szCs w:val="18"/>
                <w:lang w:val="es-ES_tradnl"/>
              </w:rPr>
              <w:t>PÉRDIDAS DE</w:t>
            </w:r>
          </w:p>
          <w:p w14:paraId="65BE3906" w14:textId="77777777" w:rsidR="007E2F9F" w:rsidRPr="00C60DCC" w:rsidRDefault="007E2F9F" w:rsidP="006548F8">
            <w:pPr>
              <w:ind w:right="34"/>
              <w:jc w:val="center"/>
              <w:rPr>
                <w:rFonts w:ascii="Arial" w:hAnsi="Arial" w:cs="Arial"/>
                <w:b/>
                <w:sz w:val="18"/>
                <w:szCs w:val="18"/>
                <w:lang w:val="es-ES_tradnl"/>
              </w:rPr>
            </w:pPr>
            <w:r w:rsidRPr="00C60DCC">
              <w:rPr>
                <w:rFonts w:ascii="Arial" w:hAnsi="Arial" w:cs="Arial"/>
                <w:b/>
                <w:sz w:val="18"/>
                <w:szCs w:val="18"/>
                <w:lang w:val="es-ES_tradnl"/>
              </w:rPr>
              <w:t>APROPIACIÓN</w:t>
            </w:r>
          </w:p>
          <w:p w14:paraId="4D9E8ECB" w14:textId="77777777" w:rsidR="007E2F9F" w:rsidRPr="00C60DCC" w:rsidRDefault="007E2F9F" w:rsidP="006548F8">
            <w:pPr>
              <w:ind w:right="34"/>
              <w:jc w:val="center"/>
              <w:rPr>
                <w:rFonts w:ascii="Arial" w:hAnsi="Arial" w:cs="Arial"/>
                <w:b/>
                <w:sz w:val="18"/>
                <w:szCs w:val="18"/>
                <w:lang w:val="es-ES_tradnl"/>
              </w:rPr>
            </w:pPr>
            <w:r w:rsidRPr="00C60DCC">
              <w:rPr>
                <w:rFonts w:ascii="Arial" w:hAnsi="Arial" w:cs="Arial"/>
                <w:b/>
                <w:sz w:val="18"/>
                <w:szCs w:val="18"/>
                <w:lang w:val="es-ES_tradnl"/>
              </w:rPr>
              <w:t>3 = (1-2)</w:t>
            </w:r>
          </w:p>
        </w:tc>
      </w:tr>
      <w:tr w:rsidR="007E2F9F" w:rsidRPr="00C60DCC" w14:paraId="2ADBBADE" w14:textId="77777777" w:rsidTr="006548F8">
        <w:trPr>
          <w:trHeight w:val="230"/>
        </w:trPr>
        <w:tc>
          <w:tcPr>
            <w:tcW w:w="3544" w:type="dxa"/>
          </w:tcPr>
          <w:p w14:paraId="59FC6930" w14:textId="77777777" w:rsidR="007E2F9F" w:rsidRPr="00C60DCC" w:rsidRDefault="007E2F9F" w:rsidP="006548F8">
            <w:pPr>
              <w:ind w:right="-1440"/>
              <w:jc w:val="both"/>
              <w:rPr>
                <w:rFonts w:ascii="Arial" w:hAnsi="Arial" w:cs="Arial"/>
                <w:b/>
                <w:bCs/>
                <w:sz w:val="18"/>
                <w:szCs w:val="18"/>
                <w:lang w:val="es-ES_tradnl"/>
              </w:rPr>
            </w:pPr>
            <w:r w:rsidRPr="00C60DCC">
              <w:rPr>
                <w:rFonts w:ascii="Arial" w:hAnsi="Arial" w:cs="Arial"/>
                <w:b/>
                <w:bCs/>
                <w:sz w:val="18"/>
                <w:szCs w:val="18"/>
                <w:lang w:val="es-ES_tradnl"/>
              </w:rPr>
              <w:t>FUNCIONAMIENTO</w:t>
            </w:r>
          </w:p>
        </w:tc>
        <w:tc>
          <w:tcPr>
            <w:tcW w:w="2354" w:type="dxa"/>
          </w:tcPr>
          <w:p w14:paraId="435C3273" w14:textId="77777777" w:rsidR="007E2F9F" w:rsidRPr="00C60DCC" w:rsidRDefault="007E2F9F" w:rsidP="006548F8">
            <w:pPr>
              <w:jc w:val="right"/>
              <w:rPr>
                <w:rFonts w:ascii="Arial" w:eastAsia="Calibri" w:hAnsi="Arial" w:cs="Arial"/>
                <w:b/>
                <w:bCs/>
                <w:sz w:val="18"/>
                <w:szCs w:val="18"/>
                <w:lang w:val="es-CO"/>
              </w:rPr>
            </w:pPr>
            <w:r w:rsidRPr="00C60DCC">
              <w:rPr>
                <w:rFonts w:ascii="Arial" w:hAnsi="Arial" w:cs="Arial"/>
                <w:b/>
                <w:spacing w:val="-2"/>
                <w:sz w:val="18"/>
                <w:szCs w:val="18"/>
              </w:rPr>
              <w:t>1.061.000</w:t>
            </w:r>
          </w:p>
        </w:tc>
        <w:tc>
          <w:tcPr>
            <w:tcW w:w="2354" w:type="dxa"/>
          </w:tcPr>
          <w:p w14:paraId="430841B7" w14:textId="77777777" w:rsidR="007E2F9F" w:rsidRPr="00C60DCC" w:rsidRDefault="007E2F9F" w:rsidP="006548F8">
            <w:pPr>
              <w:pStyle w:val="Prrafodelista"/>
              <w:ind w:left="0"/>
              <w:jc w:val="right"/>
              <w:rPr>
                <w:rFonts w:ascii="Arial" w:hAnsi="Arial" w:cs="Arial"/>
                <w:b/>
                <w:bCs/>
                <w:sz w:val="18"/>
                <w:szCs w:val="18"/>
              </w:rPr>
            </w:pPr>
            <w:r w:rsidRPr="00C60DCC">
              <w:rPr>
                <w:rFonts w:ascii="Arial" w:hAnsi="Arial" w:cs="Arial"/>
                <w:b/>
                <w:spacing w:val="-2"/>
                <w:sz w:val="18"/>
                <w:szCs w:val="18"/>
              </w:rPr>
              <w:t>948.653</w:t>
            </w:r>
          </w:p>
        </w:tc>
        <w:tc>
          <w:tcPr>
            <w:tcW w:w="2238" w:type="dxa"/>
          </w:tcPr>
          <w:p w14:paraId="2ECDDE73" w14:textId="77777777" w:rsidR="007E2F9F" w:rsidRPr="00C60DCC" w:rsidRDefault="007E2F9F" w:rsidP="006548F8">
            <w:pPr>
              <w:pStyle w:val="Prrafodelista"/>
              <w:ind w:left="0"/>
              <w:jc w:val="right"/>
              <w:rPr>
                <w:rFonts w:ascii="Arial" w:hAnsi="Arial" w:cs="Arial"/>
                <w:b/>
                <w:bCs/>
                <w:sz w:val="18"/>
                <w:szCs w:val="18"/>
              </w:rPr>
            </w:pPr>
            <w:r w:rsidRPr="00C60DCC">
              <w:rPr>
                <w:rFonts w:ascii="Arial" w:hAnsi="Arial" w:cs="Arial"/>
                <w:b/>
                <w:spacing w:val="-2"/>
                <w:sz w:val="18"/>
                <w:szCs w:val="18"/>
              </w:rPr>
              <w:t>112.347</w:t>
            </w:r>
          </w:p>
        </w:tc>
      </w:tr>
      <w:tr w:rsidR="007E2F9F" w:rsidRPr="00C60DCC" w14:paraId="37FBD0F5" w14:textId="77777777" w:rsidTr="006548F8">
        <w:trPr>
          <w:trHeight w:val="230"/>
        </w:trPr>
        <w:tc>
          <w:tcPr>
            <w:tcW w:w="3544" w:type="dxa"/>
          </w:tcPr>
          <w:p w14:paraId="4A9CAF5D" w14:textId="77777777" w:rsidR="007E2F9F" w:rsidRPr="00C60DCC" w:rsidRDefault="007E2F9F" w:rsidP="006548F8">
            <w:pPr>
              <w:ind w:right="-1440"/>
              <w:jc w:val="both"/>
              <w:rPr>
                <w:rFonts w:ascii="Arial" w:hAnsi="Arial" w:cs="Arial"/>
                <w:b/>
                <w:bCs/>
                <w:sz w:val="18"/>
                <w:szCs w:val="18"/>
                <w:lang w:val="es-ES_tradnl"/>
              </w:rPr>
            </w:pPr>
            <w:r w:rsidRPr="00C60DCC">
              <w:rPr>
                <w:rFonts w:ascii="Arial" w:hAnsi="Arial" w:cs="Arial"/>
                <w:b/>
                <w:bCs/>
                <w:sz w:val="18"/>
                <w:szCs w:val="18"/>
                <w:lang w:val="es-ES_tradnl"/>
              </w:rPr>
              <w:t>NVERSIÓN</w:t>
            </w:r>
          </w:p>
        </w:tc>
        <w:tc>
          <w:tcPr>
            <w:tcW w:w="2354" w:type="dxa"/>
          </w:tcPr>
          <w:p w14:paraId="78005F05" w14:textId="77777777" w:rsidR="007E2F9F" w:rsidRPr="00C60DCC" w:rsidRDefault="007E2F9F" w:rsidP="006548F8">
            <w:pPr>
              <w:jc w:val="right"/>
              <w:rPr>
                <w:rFonts w:ascii="Arial" w:eastAsia="Calibri" w:hAnsi="Arial" w:cs="Arial"/>
                <w:b/>
                <w:bCs/>
                <w:sz w:val="18"/>
                <w:szCs w:val="18"/>
                <w:lang w:val="es-CO"/>
              </w:rPr>
            </w:pPr>
            <w:r w:rsidRPr="00C60DCC">
              <w:rPr>
                <w:rFonts w:ascii="Arial" w:hAnsi="Arial" w:cs="Arial"/>
                <w:spacing w:val="-2"/>
                <w:sz w:val="18"/>
                <w:szCs w:val="18"/>
              </w:rPr>
              <w:t>45.287.528</w:t>
            </w:r>
          </w:p>
        </w:tc>
        <w:tc>
          <w:tcPr>
            <w:tcW w:w="2354" w:type="dxa"/>
          </w:tcPr>
          <w:p w14:paraId="414A33A9" w14:textId="77777777" w:rsidR="007E2F9F" w:rsidRPr="00C60DCC" w:rsidRDefault="007E2F9F" w:rsidP="006548F8">
            <w:pPr>
              <w:pStyle w:val="Prrafodelista"/>
              <w:ind w:left="0"/>
              <w:jc w:val="right"/>
              <w:rPr>
                <w:rFonts w:ascii="Arial" w:eastAsia="Calibri" w:hAnsi="Arial" w:cs="Arial"/>
                <w:b/>
                <w:bCs/>
                <w:sz w:val="18"/>
                <w:szCs w:val="18"/>
                <w:lang w:val="es-CO"/>
              </w:rPr>
            </w:pPr>
            <w:r w:rsidRPr="00C60DCC">
              <w:rPr>
                <w:rFonts w:ascii="Arial" w:hAnsi="Arial" w:cs="Arial"/>
                <w:spacing w:val="-2"/>
                <w:sz w:val="18"/>
                <w:szCs w:val="18"/>
              </w:rPr>
              <w:t>35.469.135</w:t>
            </w:r>
          </w:p>
        </w:tc>
        <w:tc>
          <w:tcPr>
            <w:tcW w:w="2238" w:type="dxa"/>
          </w:tcPr>
          <w:p w14:paraId="56ACA326" w14:textId="77777777" w:rsidR="007E2F9F" w:rsidRPr="00C60DCC" w:rsidRDefault="007E2F9F" w:rsidP="006548F8">
            <w:pPr>
              <w:pStyle w:val="Prrafodelista"/>
              <w:ind w:left="0"/>
              <w:jc w:val="right"/>
              <w:rPr>
                <w:rFonts w:ascii="Arial" w:hAnsi="Arial" w:cs="Arial"/>
                <w:b/>
                <w:bCs/>
                <w:sz w:val="18"/>
                <w:szCs w:val="18"/>
              </w:rPr>
            </w:pPr>
            <w:r w:rsidRPr="00C60DCC">
              <w:rPr>
                <w:rFonts w:ascii="Arial" w:hAnsi="Arial" w:cs="Arial"/>
                <w:b/>
                <w:spacing w:val="-2"/>
                <w:sz w:val="18"/>
                <w:szCs w:val="18"/>
              </w:rPr>
              <w:t>9.818.393</w:t>
            </w:r>
          </w:p>
        </w:tc>
      </w:tr>
      <w:tr w:rsidR="007E2F9F" w:rsidRPr="00C60DCC" w14:paraId="49D23EE3" w14:textId="77777777" w:rsidTr="006548F8">
        <w:tc>
          <w:tcPr>
            <w:tcW w:w="3544" w:type="dxa"/>
          </w:tcPr>
          <w:p w14:paraId="528C0CE9" w14:textId="77777777" w:rsidR="007E2F9F" w:rsidRPr="00C60DCC" w:rsidRDefault="007E2F9F" w:rsidP="006548F8">
            <w:pPr>
              <w:ind w:right="-1440"/>
              <w:jc w:val="both"/>
              <w:rPr>
                <w:rFonts w:ascii="Arial" w:hAnsi="Arial" w:cs="Arial"/>
                <w:b/>
                <w:bCs/>
                <w:sz w:val="18"/>
                <w:szCs w:val="18"/>
                <w:lang w:val="es-ES_tradnl"/>
              </w:rPr>
            </w:pPr>
            <w:r w:rsidRPr="00C60DCC">
              <w:rPr>
                <w:rFonts w:ascii="Arial" w:hAnsi="Arial" w:cs="Arial"/>
                <w:b/>
                <w:bCs/>
                <w:sz w:val="18"/>
                <w:szCs w:val="18"/>
                <w:lang w:val="es-ES_tradnl"/>
              </w:rPr>
              <w:t>TOTAL PÉRDIDAS DE APROPIACIÓN</w:t>
            </w:r>
          </w:p>
        </w:tc>
        <w:tc>
          <w:tcPr>
            <w:tcW w:w="2354" w:type="dxa"/>
          </w:tcPr>
          <w:p w14:paraId="61D8328A" w14:textId="77777777" w:rsidR="007E2F9F" w:rsidRPr="00C60DCC" w:rsidRDefault="007E2F9F" w:rsidP="006548F8">
            <w:pPr>
              <w:pStyle w:val="Prrafodelista"/>
              <w:ind w:left="0"/>
              <w:jc w:val="right"/>
              <w:rPr>
                <w:rFonts w:ascii="Arial" w:hAnsi="Arial" w:cs="Arial"/>
                <w:b/>
                <w:bCs/>
                <w:sz w:val="18"/>
                <w:szCs w:val="18"/>
                <w:u w:val="single"/>
              </w:rPr>
            </w:pPr>
            <w:r w:rsidRPr="00C60DCC">
              <w:rPr>
                <w:rFonts w:ascii="Arial" w:hAnsi="Arial" w:cs="Arial"/>
                <w:b/>
                <w:spacing w:val="-2"/>
                <w:sz w:val="18"/>
                <w:szCs w:val="18"/>
              </w:rPr>
              <w:t>46.348.528</w:t>
            </w:r>
          </w:p>
        </w:tc>
        <w:tc>
          <w:tcPr>
            <w:tcW w:w="2354" w:type="dxa"/>
          </w:tcPr>
          <w:p w14:paraId="3E17C78D" w14:textId="77777777" w:rsidR="007E2F9F" w:rsidRPr="00C60DCC" w:rsidRDefault="007E2F9F" w:rsidP="006548F8">
            <w:pPr>
              <w:pStyle w:val="Prrafodelista"/>
              <w:ind w:left="0"/>
              <w:jc w:val="right"/>
              <w:rPr>
                <w:rFonts w:ascii="Arial" w:hAnsi="Arial" w:cs="Arial"/>
                <w:b/>
                <w:bCs/>
                <w:sz w:val="18"/>
                <w:szCs w:val="18"/>
                <w:u w:val="single"/>
              </w:rPr>
            </w:pPr>
            <w:r w:rsidRPr="00C60DCC">
              <w:rPr>
                <w:rFonts w:ascii="Arial" w:hAnsi="Arial" w:cs="Arial"/>
                <w:b/>
                <w:spacing w:val="-2"/>
                <w:sz w:val="18"/>
                <w:szCs w:val="18"/>
              </w:rPr>
              <w:t>36.417.788</w:t>
            </w:r>
          </w:p>
        </w:tc>
        <w:tc>
          <w:tcPr>
            <w:tcW w:w="2238" w:type="dxa"/>
          </w:tcPr>
          <w:p w14:paraId="314F49E2" w14:textId="77777777" w:rsidR="007E2F9F" w:rsidRPr="00C60DCC" w:rsidRDefault="007E2F9F" w:rsidP="006548F8">
            <w:pPr>
              <w:pStyle w:val="Prrafodelista"/>
              <w:ind w:left="0"/>
              <w:jc w:val="right"/>
              <w:rPr>
                <w:rFonts w:ascii="Arial" w:hAnsi="Arial" w:cs="Arial"/>
                <w:b/>
                <w:bCs/>
                <w:sz w:val="18"/>
                <w:szCs w:val="18"/>
                <w:u w:val="single"/>
              </w:rPr>
            </w:pPr>
            <w:r w:rsidRPr="00C60DCC">
              <w:rPr>
                <w:rFonts w:ascii="Arial" w:hAnsi="Arial" w:cs="Arial"/>
                <w:b/>
                <w:spacing w:val="-2"/>
                <w:sz w:val="18"/>
                <w:szCs w:val="18"/>
              </w:rPr>
              <w:t>9.930.740</w:t>
            </w:r>
          </w:p>
        </w:tc>
      </w:tr>
    </w:tbl>
    <w:p w14:paraId="21C377DD" w14:textId="77777777" w:rsidR="007E2F9F" w:rsidRDefault="007E2F9F" w:rsidP="007E2F9F">
      <w:pPr>
        <w:ind w:left="-284" w:right="-234"/>
        <w:rPr>
          <w:rFonts w:ascii="Arial" w:eastAsia="Calibri" w:hAnsi="Arial" w:cs="Arial"/>
          <w:b/>
          <w:u w:val="single"/>
          <w:lang w:val="es-MX"/>
        </w:rPr>
      </w:pPr>
    </w:p>
    <w:p w14:paraId="62DA1440" w14:textId="77777777" w:rsidR="007E2F9F" w:rsidRPr="00A82C59" w:rsidRDefault="007E2F9F" w:rsidP="007E2F9F">
      <w:pPr>
        <w:ind w:left="-284"/>
        <w:jc w:val="both"/>
        <w:rPr>
          <w:rFonts w:ascii="Arial" w:hAnsi="Arial" w:cs="Arial"/>
          <w:b/>
          <w:sz w:val="28"/>
          <w:szCs w:val="28"/>
          <w:lang w:val="es-MX"/>
        </w:rPr>
      </w:pPr>
      <w:r w:rsidRPr="00A82C59">
        <w:rPr>
          <w:rFonts w:ascii="Arial" w:hAnsi="Arial" w:cs="Arial"/>
          <w:b/>
          <w:sz w:val="28"/>
          <w:szCs w:val="28"/>
          <w:lang w:val="es-MX"/>
        </w:rPr>
        <w:t>287.- CORPORACION AUTONOMA REGIONAL DEL CESAR - CORPOCESAR.</w:t>
      </w:r>
    </w:p>
    <w:p w14:paraId="6347D994" w14:textId="77777777" w:rsidR="007E2F9F" w:rsidRDefault="007E2F9F" w:rsidP="007E2F9F">
      <w:pPr>
        <w:ind w:left="-284" w:right="-234"/>
        <w:rPr>
          <w:rFonts w:ascii="Arial" w:eastAsia="Calibri" w:hAnsi="Arial" w:cs="Arial"/>
          <w:b/>
          <w:u w:val="single"/>
          <w:lang w:val="es-MX"/>
        </w:rPr>
      </w:pPr>
    </w:p>
    <w:p w14:paraId="5672E60B"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0F027B0"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82F4FCB"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A82C59" w14:paraId="72B0F135" w14:textId="77777777" w:rsidTr="006548F8">
        <w:tc>
          <w:tcPr>
            <w:tcW w:w="3544" w:type="dxa"/>
          </w:tcPr>
          <w:p w14:paraId="7A151C2C" w14:textId="77777777" w:rsidR="007E2F9F" w:rsidRPr="00A82C59" w:rsidRDefault="007E2F9F" w:rsidP="006548F8">
            <w:pPr>
              <w:ind w:left="1169" w:right="-1440"/>
              <w:rPr>
                <w:rFonts w:ascii="Arial" w:hAnsi="Arial" w:cs="Arial"/>
                <w:b/>
                <w:sz w:val="18"/>
                <w:szCs w:val="18"/>
                <w:lang w:val="es-ES_tradnl"/>
              </w:rPr>
            </w:pPr>
            <w:r w:rsidRPr="00A82C59">
              <w:rPr>
                <w:rFonts w:ascii="Arial" w:hAnsi="Arial" w:cs="Arial"/>
                <w:b/>
                <w:sz w:val="18"/>
                <w:szCs w:val="18"/>
                <w:lang w:val="es-ES_tradnl"/>
              </w:rPr>
              <w:t>TIPO DE GASTO</w:t>
            </w:r>
          </w:p>
        </w:tc>
        <w:tc>
          <w:tcPr>
            <w:tcW w:w="2354" w:type="dxa"/>
          </w:tcPr>
          <w:p w14:paraId="16E6C6BD" w14:textId="77777777" w:rsidR="007E2F9F" w:rsidRPr="00A82C59" w:rsidRDefault="007E2F9F" w:rsidP="006548F8">
            <w:pPr>
              <w:jc w:val="center"/>
              <w:rPr>
                <w:rFonts w:ascii="Arial" w:hAnsi="Arial" w:cs="Arial"/>
                <w:b/>
                <w:sz w:val="18"/>
                <w:szCs w:val="18"/>
                <w:lang w:val="es-ES_tradnl"/>
              </w:rPr>
            </w:pPr>
            <w:r w:rsidRPr="00A82C59">
              <w:rPr>
                <w:rFonts w:ascii="Arial" w:hAnsi="Arial" w:cs="Arial"/>
                <w:b/>
                <w:sz w:val="18"/>
                <w:szCs w:val="18"/>
                <w:lang w:val="es-ES_tradnl"/>
              </w:rPr>
              <w:t>APROPIACIÓN</w:t>
            </w:r>
          </w:p>
          <w:p w14:paraId="2E62F2CA" w14:textId="77777777" w:rsidR="007E2F9F" w:rsidRPr="00A82C59" w:rsidRDefault="007E2F9F" w:rsidP="006548F8">
            <w:pPr>
              <w:jc w:val="center"/>
              <w:rPr>
                <w:rFonts w:ascii="Arial" w:hAnsi="Arial" w:cs="Arial"/>
                <w:b/>
                <w:sz w:val="18"/>
                <w:szCs w:val="18"/>
                <w:lang w:val="es-ES_tradnl"/>
              </w:rPr>
            </w:pPr>
            <w:r w:rsidRPr="00A82C59">
              <w:rPr>
                <w:rFonts w:ascii="Arial" w:hAnsi="Arial" w:cs="Arial"/>
                <w:b/>
                <w:sz w:val="18"/>
                <w:szCs w:val="18"/>
                <w:lang w:val="es-ES_tradnl"/>
              </w:rPr>
              <w:t>DEFINITIVA</w:t>
            </w:r>
          </w:p>
          <w:p w14:paraId="2508F6B7" w14:textId="77777777" w:rsidR="007E2F9F" w:rsidRPr="00A82C59" w:rsidRDefault="007E2F9F" w:rsidP="006548F8">
            <w:pPr>
              <w:jc w:val="center"/>
              <w:rPr>
                <w:rFonts w:ascii="Arial" w:hAnsi="Arial" w:cs="Arial"/>
                <w:b/>
                <w:sz w:val="18"/>
                <w:szCs w:val="18"/>
                <w:lang w:val="es-ES_tradnl"/>
              </w:rPr>
            </w:pPr>
            <w:r w:rsidRPr="00A82C59">
              <w:rPr>
                <w:rFonts w:ascii="Arial" w:hAnsi="Arial" w:cs="Arial"/>
                <w:b/>
                <w:sz w:val="18"/>
                <w:szCs w:val="18"/>
                <w:lang w:val="es-ES_tradnl"/>
              </w:rPr>
              <w:t>(1)</w:t>
            </w:r>
          </w:p>
          <w:p w14:paraId="63EDA152" w14:textId="77777777" w:rsidR="007E2F9F" w:rsidRPr="00A82C59" w:rsidRDefault="007E2F9F" w:rsidP="006548F8">
            <w:pPr>
              <w:jc w:val="center"/>
              <w:rPr>
                <w:rFonts w:ascii="Arial" w:hAnsi="Arial" w:cs="Arial"/>
                <w:b/>
                <w:sz w:val="18"/>
                <w:szCs w:val="18"/>
                <w:lang w:val="es-ES_tradnl"/>
              </w:rPr>
            </w:pPr>
          </w:p>
        </w:tc>
        <w:tc>
          <w:tcPr>
            <w:tcW w:w="2354" w:type="dxa"/>
          </w:tcPr>
          <w:p w14:paraId="2E52B4A3" w14:textId="77777777" w:rsidR="007E2F9F" w:rsidRPr="00A82C59" w:rsidRDefault="007E2F9F" w:rsidP="006548F8">
            <w:pPr>
              <w:ind w:left="145" w:right="184"/>
              <w:jc w:val="center"/>
              <w:rPr>
                <w:rFonts w:ascii="Arial" w:hAnsi="Arial" w:cs="Arial"/>
                <w:b/>
                <w:sz w:val="18"/>
                <w:szCs w:val="18"/>
                <w:lang w:val="es-ES_tradnl"/>
              </w:rPr>
            </w:pPr>
            <w:r w:rsidRPr="00A82C59">
              <w:rPr>
                <w:rFonts w:ascii="Arial" w:hAnsi="Arial" w:cs="Arial"/>
                <w:b/>
                <w:sz w:val="18"/>
                <w:szCs w:val="18"/>
                <w:lang w:val="es-ES_tradnl"/>
              </w:rPr>
              <w:t>EJECUCIÓN</w:t>
            </w:r>
          </w:p>
          <w:p w14:paraId="35E88FA2" w14:textId="77777777" w:rsidR="007E2F9F" w:rsidRPr="00A82C59" w:rsidRDefault="007E2F9F" w:rsidP="006548F8">
            <w:pPr>
              <w:ind w:right="34"/>
              <w:jc w:val="center"/>
              <w:rPr>
                <w:rFonts w:ascii="Arial" w:hAnsi="Arial" w:cs="Arial"/>
                <w:b/>
                <w:sz w:val="18"/>
                <w:szCs w:val="18"/>
                <w:lang w:val="es-ES_tradnl"/>
              </w:rPr>
            </w:pPr>
            <w:r w:rsidRPr="00A82C59">
              <w:rPr>
                <w:rFonts w:ascii="Arial" w:hAnsi="Arial" w:cs="Arial"/>
                <w:b/>
                <w:sz w:val="18"/>
                <w:szCs w:val="18"/>
                <w:lang w:val="es-ES_tradnl"/>
              </w:rPr>
              <w:t>COMPROMISOS</w:t>
            </w:r>
          </w:p>
          <w:p w14:paraId="35DAF918" w14:textId="77777777" w:rsidR="007E2F9F" w:rsidRPr="00A82C59" w:rsidRDefault="007E2F9F" w:rsidP="006548F8">
            <w:pPr>
              <w:ind w:right="34"/>
              <w:jc w:val="center"/>
              <w:rPr>
                <w:rFonts w:ascii="Arial" w:hAnsi="Arial" w:cs="Arial"/>
                <w:b/>
                <w:sz w:val="18"/>
                <w:szCs w:val="18"/>
                <w:lang w:val="es-ES_tradnl"/>
              </w:rPr>
            </w:pPr>
            <w:r w:rsidRPr="00A82C59">
              <w:rPr>
                <w:rFonts w:ascii="Arial" w:hAnsi="Arial" w:cs="Arial"/>
                <w:b/>
                <w:sz w:val="18"/>
                <w:szCs w:val="18"/>
                <w:lang w:val="es-ES_tradnl"/>
              </w:rPr>
              <w:t>(2)</w:t>
            </w:r>
          </w:p>
        </w:tc>
        <w:tc>
          <w:tcPr>
            <w:tcW w:w="2238" w:type="dxa"/>
          </w:tcPr>
          <w:p w14:paraId="2C92CCE3" w14:textId="77777777" w:rsidR="007E2F9F" w:rsidRPr="00A82C59" w:rsidRDefault="007E2F9F" w:rsidP="006548F8">
            <w:pPr>
              <w:ind w:left="25" w:right="34"/>
              <w:jc w:val="center"/>
              <w:rPr>
                <w:rFonts w:ascii="Arial" w:hAnsi="Arial" w:cs="Arial"/>
                <w:b/>
                <w:sz w:val="18"/>
                <w:szCs w:val="18"/>
                <w:lang w:val="es-ES_tradnl"/>
              </w:rPr>
            </w:pPr>
            <w:r w:rsidRPr="00A82C59">
              <w:rPr>
                <w:rFonts w:ascii="Arial" w:hAnsi="Arial" w:cs="Arial"/>
                <w:b/>
                <w:sz w:val="18"/>
                <w:szCs w:val="18"/>
                <w:lang w:val="es-ES_tradnl"/>
              </w:rPr>
              <w:t>PÉRDIDAS DE</w:t>
            </w:r>
          </w:p>
          <w:p w14:paraId="16CAD8AA" w14:textId="77777777" w:rsidR="007E2F9F" w:rsidRPr="00A82C59" w:rsidRDefault="007E2F9F" w:rsidP="006548F8">
            <w:pPr>
              <w:ind w:right="34"/>
              <w:jc w:val="center"/>
              <w:rPr>
                <w:rFonts w:ascii="Arial" w:hAnsi="Arial" w:cs="Arial"/>
                <w:b/>
                <w:sz w:val="18"/>
                <w:szCs w:val="18"/>
                <w:lang w:val="es-ES_tradnl"/>
              </w:rPr>
            </w:pPr>
            <w:r w:rsidRPr="00A82C59">
              <w:rPr>
                <w:rFonts w:ascii="Arial" w:hAnsi="Arial" w:cs="Arial"/>
                <w:b/>
                <w:sz w:val="18"/>
                <w:szCs w:val="18"/>
                <w:lang w:val="es-ES_tradnl"/>
              </w:rPr>
              <w:t>APROPIACIÓN</w:t>
            </w:r>
          </w:p>
          <w:p w14:paraId="7EE6AE12" w14:textId="77777777" w:rsidR="007E2F9F" w:rsidRPr="00A82C59" w:rsidRDefault="007E2F9F" w:rsidP="006548F8">
            <w:pPr>
              <w:ind w:right="34"/>
              <w:jc w:val="center"/>
              <w:rPr>
                <w:rFonts w:ascii="Arial" w:hAnsi="Arial" w:cs="Arial"/>
                <w:b/>
                <w:sz w:val="18"/>
                <w:szCs w:val="18"/>
                <w:lang w:val="es-ES_tradnl"/>
              </w:rPr>
            </w:pPr>
            <w:r w:rsidRPr="00A82C59">
              <w:rPr>
                <w:rFonts w:ascii="Arial" w:hAnsi="Arial" w:cs="Arial"/>
                <w:b/>
                <w:sz w:val="18"/>
                <w:szCs w:val="18"/>
                <w:lang w:val="es-ES_tradnl"/>
              </w:rPr>
              <w:t>3 = (1-2)</w:t>
            </w:r>
          </w:p>
        </w:tc>
      </w:tr>
      <w:tr w:rsidR="007E2F9F" w:rsidRPr="00A82C59" w14:paraId="5DA2CD9B" w14:textId="77777777" w:rsidTr="006548F8">
        <w:trPr>
          <w:trHeight w:val="230"/>
        </w:trPr>
        <w:tc>
          <w:tcPr>
            <w:tcW w:w="3544" w:type="dxa"/>
          </w:tcPr>
          <w:p w14:paraId="09226416" w14:textId="77777777" w:rsidR="007E2F9F" w:rsidRPr="00A82C59" w:rsidRDefault="007E2F9F" w:rsidP="006548F8">
            <w:pPr>
              <w:ind w:right="-1440"/>
              <w:jc w:val="both"/>
              <w:rPr>
                <w:rFonts w:ascii="Arial" w:hAnsi="Arial" w:cs="Arial"/>
                <w:b/>
                <w:bCs/>
                <w:sz w:val="18"/>
                <w:szCs w:val="18"/>
                <w:lang w:val="es-ES_tradnl"/>
              </w:rPr>
            </w:pPr>
            <w:r w:rsidRPr="00A82C59">
              <w:rPr>
                <w:rFonts w:ascii="Arial" w:hAnsi="Arial" w:cs="Arial"/>
                <w:b/>
                <w:bCs/>
                <w:sz w:val="18"/>
                <w:szCs w:val="18"/>
                <w:lang w:val="es-ES_tradnl"/>
              </w:rPr>
              <w:t>FUNCIONAMIENTO</w:t>
            </w:r>
          </w:p>
        </w:tc>
        <w:tc>
          <w:tcPr>
            <w:tcW w:w="2354" w:type="dxa"/>
          </w:tcPr>
          <w:p w14:paraId="07664DC7" w14:textId="77777777" w:rsidR="007E2F9F" w:rsidRPr="00A82C59" w:rsidRDefault="007E2F9F" w:rsidP="006548F8">
            <w:pPr>
              <w:jc w:val="right"/>
              <w:rPr>
                <w:rFonts w:ascii="Arial" w:eastAsia="Calibri" w:hAnsi="Arial" w:cs="Arial"/>
                <w:b/>
                <w:bCs/>
                <w:sz w:val="18"/>
                <w:szCs w:val="18"/>
                <w:lang w:val="es-CO"/>
              </w:rPr>
            </w:pPr>
            <w:r w:rsidRPr="00A82C59">
              <w:rPr>
                <w:rFonts w:ascii="Arial" w:eastAsia="Calibri" w:hAnsi="Arial" w:cs="Arial"/>
                <w:b/>
                <w:bCs/>
                <w:sz w:val="18"/>
                <w:szCs w:val="18"/>
                <w:lang w:val="es-CO"/>
              </w:rPr>
              <w:t>-</w:t>
            </w:r>
          </w:p>
        </w:tc>
        <w:tc>
          <w:tcPr>
            <w:tcW w:w="2354" w:type="dxa"/>
          </w:tcPr>
          <w:p w14:paraId="7AC27E17" w14:textId="77777777" w:rsidR="007E2F9F" w:rsidRPr="00A82C59" w:rsidRDefault="007E2F9F" w:rsidP="006548F8">
            <w:pPr>
              <w:pStyle w:val="Prrafodelista"/>
              <w:ind w:left="0"/>
              <w:jc w:val="right"/>
              <w:rPr>
                <w:rFonts w:ascii="Arial" w:hAnsi="Arial" w:cs="Arial"/>
                <w:b/>
                <w:bCs/>
                <w:sz w:val="18"/>
                <w:szCs w:val="18"/>
              </w:rPr>
            </w:pPr>
            <w:r w:rsidRPr="00A82C59">
              <w:rPr>
                <w:rFonts w:ascii="Arial" w:hAnsi="Arial" w:cs="Arial"/>
                <w:b/>
                <w:bCs/>
                <w:sz w:val="18"/>
                <w:szCs w:val="18"/>
              </w:rPr>
              <w:t>-</w:t>
            </w:r>
          </w:p>
        </w:tc>
        <w:tc>
          <w:tcPr>
            <w:tcW w:w="2238" w:type="dxa"/>
          </w:tcPr>
          <w:p w14:paraId="126C3E68" w14:textId="77777777" w:rsidR="007E2F9F" w:rsidRPr="00A82C59" w:rsidRDefault="007E2F9F" w:rsidP="006548F8">
            <w:pPr>
              <w:pStyle w:val="Prrafodelista"/>
              <w:ind w:left="0"/>
              <w:jc w:val="right"/>
              <w:rPr>
                <w:rFonts w:ascii="Arial" w:hAnsi="Arial" w:cs="Arial"/>
                <w:b/>
                <w:bCs/>
                <w:sz w:val="18"/>
                <w:szCs w:val="18"/>
              </w:rPr>
            </w:pPr>
            <w:r w:rsidRPr="00A82C59">
              <w:rPr>
                <w:rFonts w:ascii="Arial" w:hAnsi="Arial" w:cs="Arial"/>
                <w:b/>
                <w:bCs/>
                <w:sz w:val="18"/>
                <w:szCs w:val="18"/>
              </w:rPr>
              <w:t>-</w:t>
            </w:r>
          </w:p>
        </w:tc>
      </w:tr>
      <w:tr w:rsidR="007E2F9F" w:rsidRPr="00A82C59" w14:paraId="05624CFC" w14:textId="77777777" w:rsidTr="006548F8">
        <w:trPr>
          <w:trHeight w:val="230"/>
        </w:trPr>
        <w:tc>
          <w:tcPr>
            <w:tcW w:w="3544" w:type="dxa"/>
          </w:tcPr>
          <w:p w14:paraId="49B6AB7E" w14:textId="77777777" w:rsidR="007E2F9F" w:rsidRPr="00A82C59" w:rsidRDefault="007E2F9F" w:rsidP="006548F8">
            <w:pPr>
              <w:ind w:right="-1440"/>
              <w:jc w:val="both"/>
              <w:rPr>
                <w:rFonts w:ascii="Arial" w:hAnsi="Arial" w:cs="Arial"/>
                <w:b/>
                <w:bCs/>
                <w:sz w:val="18"/>
                <w:szCs w:val="18"/>
                <w:lang w:val="es-ES_tradnl"/>
              </w:rPr>
            </w:pPr>
            <w:r w:rsidRPr="00A82C59">
              <w:rPr>
                <w:rFonts w:ascii="Arial" w:hAnsi="Arial" w:cs="Arial"/>
                <w:b/>
                <w:bCs/>
                <w:sz w:val="18"/>
                <w:szCs w:val="18"/>
                <w:lang w:val="es-ES_tradnl"/>
              </w:rPr>
              <w:t>NVERSIÓN</w:t>
            </w:r>
          </w:p>
        </w:tc>
        <w:tc>
          <w:tcPr>
            <w:tcW w:w="2354" w:type="dxa"/>
            <w:vAlign w:val="center"/>
          </w:tcPr>
          <w:p w14:paraId="7FDDE819" w14:textId="77777777" w:rsidR="007E2F9F" w:rsidRPr="00A82C59" w:rsidRDefault="007E2F9F" w:rsidP="006548F8">
            <w:pPr>
              <w:jc w:val="right"/>
              <w:rPr>
                <w:rFonts w:ascii="Arial" w:eastAsia="Calibri" w:hAnsi="Arial" w:cs="Arial"/>
                <w:b/>
                <w:bCs/>
                <w:sz w:val="18"/>
                <w:szCs w:val="18"/>
                <w:lang w:val="es-CO"/>
              </w:rPr>
            </w:pPr>
            <w:r w:rsidRPr="00A82C59">
              <w:rPr>
                <w:rFonts w:ascii="Arial" w:hAnsi="Arial" w:cs="Arial"/>
                <w:b/>
                <w:sz w:val="18"/>
                <w:szCs w:val="18"/>
              </w:rPr>
              <w:t>2.793.649</w:t>
            </w:r>
          </w:p>
        </w:tc>
        <w:tc>
          <w:tcPr>
            <w:tcW w:w="2354" w:type="dxa"/>
            <w:vAlign w:val="center"/>
          </w:tcPr>
          <w:p w14:paraId="7F1DF36D" w14:textId="77777777" w:rsidR="007E2F9F" w:rsidRPr="00A82C59" w:rsidRDefault="007E2F9F" w:rsidP="006548F8">
            <w:pPr>
              <w:pStyle w:val="Prrafodelista"/>
              <w:ind w:left="0"/>
              <w:jc w:val="right"/>
              <w:rPr>
                <w:rFonts w:ascii="Arial" w:eastAsia="Calibri" w:hAnsi="Arial" w:cs="Arial"/>
                <w:b/>
                <w:bCs/>
                <w:sz w:val="18"/>
                <w:szCs w:val="18"/>
                <w:lang w:val="es-CO"/>
              </w:rPr>
            </w:pPr>
            <w:r w:rsidRPr="00A82C59">
              <w:rPr>
                <w:rFonts w:ascii="Arial" w:hAnsi="Arial" w:cs="Arial"/>
                <w:b/>
                <w:sz w:val="18"/>
                <w:szCs w:val="18"/>
              </w:rPr>
              <w:t>2.793.077</w:t>
            </w:r>
          </w:p>
        </w:tc>
        <w:tc>
          <w:tcPr>
            <w:tcW w:w="2238" w:type="dxa"/>
            <w:vAlign w:val="center"/>
          </w:tcPr>
          <w:p w14:paraId="3B108F9D" w14:textId="77777777" w:rsidR="007E2F9F" w:rsidRPr="00A82C59" w:rsidRDefault="007E2F9F" w:rsidP="006548F8">
            <w:pPr>
              <w:pStyle w:val="Prrafodelista"/>
              <w:ind w:left="0"/>
              <w:jc w:val="right"/>
              <w:rPr>
                <w:rFonts w:ascii="Arial" w:hAnsi="Arial" w:cs="Arial"/>
                <w:b/>
                <w:bCs/>
                <w:sz w:val="18"/>
                <w:szCs w:val="18"/>
              </w:rPr>
            </w:pPr>
            <w:r w:rsidRPr="00A82C59">
              <w:rPr>
                <w:rFonts w:ascii="Arial" w:hAnsi="Arial" w:cs="Arial"/>
                <w:b/>
                <w:sz w:val="18"/>
                <w:szCs w:val="18"/>
              </w:rPr>
              <w:t>572</w:t>
            </w:r>
          </w:p>
        </w:tc>
      </w:tr>
      <w:tr w:rsidR="007E2F9F" w:rsidRPr="00A82C59" w14:paraId="6C7C0FFC" w14:textId="77777777" w:rsidTr="006548F8">
        <w:tc>
          <w:tcPr>
            <w:tcW w:w="3544" w:type="dxa"/>
          </w:tcPr>
          <w:p w14:paraId="273015F2" w14:textId="77777777" w:rsidR="007E2F9F" w:rsidRPr="00A82C59" w:rsidRDefault="007E2F9F" w:rsidP="006548F8">
            <w:pPr>
              <w:ind w:right="-1440"/>
              <w:jc w:val="both"/>
              <w:rPr>
                <w:rFonts w:ascii="Arial" w:hAnsi="Arial" w:cs="Arial"/>
                <w:b/>
                <w:bCs/>
                <w:sz w:val="18"/>
                <w:szCs w:val="18"/>
                <w:lang w:val="es-ES_tradnl"/>
              </w:rPr>
            </w:pPr>
            <w:r w:rsidRPr="00A82C59">
              <w:rPr>
                <w:rFonts w:ascii="Arial" w:hAnsi="Arial" w:cs="Arial"/>
                <w:b/>
                <w:bCs/>
                <w:sz w:val="18"/>
                <w:szCs w:val="18"/>
                <w:lang w:val="es-ES_tradnl"/>
              </w:rPr>
              <w:t>TOTAL PÉRDIDAS DE APROPIACIÓN</w:t>
            </w:r>
          </w:p>
        </w:tc>
        <w:tc>
          <w:tcPr>
            <w:tcW w:w="2354" w:type="dxa"/>
            <w:vAlign w:val="center"/>
          </w:tcPr>
          <w:p w14:paraId="7AC6B9CE" w14:textId="77777777" w:rsidR="007E2F9F" w:rsidRPr="00A82C59" w:rsidRDefault="007E2F9F" w:rsidP="006548F8">
            <w:pPr>
              <w:pStyle w:val="Prrafodelista"/>
              <w:ind w:left="0"/>
              <w:jc w:val="right"/>
              <w:rPr>
                <w:rFonts w:ascii="Arial" w:hAnsi="Arial" w:cs="Arial"/>
                <w:b/>
                <w:bCs/>
                <w:sz w:val="18"/>
                <w:szCs w:val="18"/>
                <w:u w:val="single"/>
              </w:rPr>
            </w:pPr>
            <w:r w:rsidRPr="00A82C59">
              <w:rPr>
                <w:rFonts w:ascii="Arial" w:hAnsi="Arial" w:cs="Arial"/>
                <w:b/>
                <w:sz w:val="18"/>
                <w:szCs w:val="18"/>
              </w:rPr>
              <w:t>7.160.556</w:t>
            </w:r>
          </w:p>
        </w:tc>
        <w:tc>
          <w:tcPr>
            <w:tcW w:w="2354" w:type="dxa"/>
            <w:vAlign w:val="center"/>
          </w:tcPr>
          <w:p w14:paraId="34D30C52" w14:textId="77777777" w:rsidR="007E2F9F" w:rsidRPr="00A82C59" w:rsidRDefault="007E2F9F" w:rsidP="006548F8">
            <w:pPr>
              <w:pStyle w:val="Prrafodelista"/>
              <w:ind w:left="0"/>
              <w:jc w:val="right"/>
              <w:rPr>
                <w:rFonts w:ascii="Arial" w:hAnsi="Arial" w:cs="Arial"/>
                <w:b/>
                <w:bCs/>
                <w:sz w:val="18"/>
                <w:szCs w:val="18"/>
                <w:u w:val="single"/>
              </w:rPr>
            </w:pPr>
            <w:r w:rsidRPr="00A82C59">
              <w:rPr>
                <w:rFonts w:ascii="Arial" w:hAnsi="Arial" w:cs="Arial"/>
                <w:b/>
                <w:sz w:val="18"/>
                <w:szCs w:val="18"/>
              </w:rPr>
              <w:t>7.159.984</w:t>
            </w:r>
          </w:p>
        </w:tc>
        <w:tc>
          <w:tcPr>
            <w:tcW w:w="2238" w:type="dxa"/>
            <w:vAlign w:val="center"/>
          </w:tcPr>
          <w:p w14:paraId="1F8C82A1" w14:textId="77777777" w:rsidR="007E2F9F" w:rsidRPr="00A82C59" w:rsidRDefault="007E2F9F" w:rsidP="006548F8">
            <w:pPr>
              <w:pStyle w:val="Prrafodelista"/>
              <w:ind w:left="0"/>
              <w:jc w:val="right"/>
              <w:rPr>
                <w:rFonts w:ascii="Arial" w:hAnsi="Arial" w:cs="Arial"/>
                <w:b/>
                <w:bCs/>
                <w:sz w:val="18"/>
                <w:szCs w:val="18"/>
                <w:u w:val="single"/>
              </w:rPr>
            </w:pPr>
            <w:r w:rsidRPr="00A82C59">
              <w:rPr>
                <w:rFonts w:ascii="Arial" w:hAnsi="Arial" w:cs="Arial"/>
                <w:b/>
                <w:sz w:val="18"/>
                <w:szCs w:val="18"/>
                <w:u w:val="single"/>
              </w:rPr>
              <w:t>572</w:t>
            </w:r>
          </w:p>
        </w:tc>
      </w:tr>
    </w:tbl>
    <w:p w14:paraId="6E7E2AE8" w14:textId="77777777" w:rsidR="007E2F9F" w:rsidRDefault="007E2F9F" w:rsidP="007E2F9F">
      <w:pPr>
        <w:ind w:left="-284" w:right="-234"/>
        <w:rPr>
          <w:rFonts w:ascii="Arial" w:eastAsia="Calibri" w:hAnsi="Arial" w:cs="Arial"/>
          <w:b/>
          <w:u w:val="single"/>
          <w:lang w:val="es-MX"/>
        </w:rPr>
      </w:pPr>
    </w:p>
    <w:p w14:paraId="794109ED" w14:textId="77777777" w:rsidR="007E2F9F" w:rsidRPr="00A82C59" w:rsidRDefault="007E2F9F" w:rsidP="007E2F9F">
      <w:pPr>
        <w:ind w:left="-284" w:right="-234"/>
        <w:jc w:val="both"/>
        <w:rPr>
          <w:rFonts w:ascii="Arial" w:hAnsi="Arial" w:cs="Arial"/>
          <w:sz w:val="24"/>
          <w:lang w:val="es-MX"/>
        </w:rPr>
      </w:pPr>
      <w:r w:rsidRPr="00A82C59">
        <w:rPr>
          <w:rFonts w:ascii="Arial" w:hAnsi="Arial" w:cs="Arial"/>
          <w:b/>
          <w:sz w:val="24"/>
          <w:lang w:val="es-MX"/>
        </w:rPr>
        <w:t xml:space="preserve">NOTA: </w:t>
      </w:r>
      <w:r w:rsidRPr="00A82C59">
        <w:rPr>
          <w:rFonts w:ascii="Arial" w:hAnsi="Arial" w:cs="Arial"/>
          <w:sz w:val="24"/>
          <w:lang w:val="es-MX"/>
        </w:rPr>
        <w:t>La entidad no totalizo las cifras de Funcionamiento en los cuadros de Comportamiento de ejecución presupuestal y perdidas de apropiación de la vigencia 2024.</w:t>
      </w:r>
    </w:p>
    <w:p w14:paraId="4F26CED8" w14:textId="77777777" w:rsidR="007E2F9F" w:rsidRDefault="007E2F9F" w:rsidP="007E2F9F">
      <w:pPr>
        <w:ind w:left="-284" w:right="-234"/>
        <w:rPr>
          <w:rFonts w:ascii="Arial" w:eastAsia="Calibri" w:hAnsi="Arial" w:cs="Arial"/>
          <w:b/>
          <w:u w:val="single"/>
          <w:lang w:val="es-MX"/>
        </w:rPr>
      </w:pPr>
    </w:p>
    <w:p w14:paraId="1EDA1727" w14:textId="77777777" w:rsidR="007E2F9F" w:rsidRPr="00CA7059" w:rsidRDefault="007E2F9F" w:rsidP="007E2F9F">
      <w:pPr>
        <w:ind w:left="-284"/>
        <w:rPr>
          <w:rFonts w:ascii="Arial" w:hAnsi="Arial" w:cs="Arial"/>
          <w:b/>
          <w:sz w:val="28"/>
          <w:szCs w:val="28"/>
          <w:lang w:val="es-MX"/>
        </w:rPr>
      </w:pPr>
      <w:r w:rsidRPr="00CA7059">
        <w:rPr>
          <w:rFonts w:ascii="Arial" w:hAnsi="Arial" w:cs="Arial"/>
          <w:b/>
          <w:sz w:val="28"/>
          <w:szCs w:val="28"/>
          <w:lang w:val="es-MX"/>
        </w:rPr>
        <w:t>296.- AGENCIA NACIONAL DE MINERIA - ANM.</w:t>
      </w:r>
    </w:p>
    <w:p w14:paraId="2FB6EF1D" w14:textId="77777777" w:rsidR="007E2F9F" w:rsidRPr="00CA7059" w:rsidRDefault="007E2F9F" w:rsidP="007E2F9F">
      <w:pPr>
        <w:pStyle w:val="Prrafodelista"/>
        <w:spacing w:before="92"/>
        <w:ind w:left="-142"/>
        <w:rPr>
          <w:rFonts w:ascii="Arial" w:hAnsi="Arial" w:cs="Arial"/>
          <w:b/>
          <w:sz w:val="24"/>
        </w:rPr>
      </w:pPr>
    </w:p>
    <w:p w14:paraId="17FFEB01"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FE73312"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39F0BBC"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A7059" w14:paraId="31D14534" w14:textId="77777777" w:rsidTr="006548F8">
        <w:tc>
          <w:tcPr>
            <w:tcW w:w="3544" w:type="dxa"/>
          </w:tcPr>
          <w:p w14:paraId="37920F1A" w14:textId="77777777" w:rsidR="007E2F9F" w:rsidRPr="00CA7059" w:rsidRDefault="007E2F9F" w:rsidP="006548F8">
            <w:pPr>
              <w:ind w:left="1169" w:right="-1440"/>
              <w:rPr>
                <w:rFonts w:ascii="Arial" w:hAnsi="Arial" w:cs="Arial"/>
                <w:b/>
                <w:sz w:val="18"/>
                <w:szCs w:val="18"/>
                <w:lang w:val="es-ES_tradnl"/>
              </w:rPr>
            </w:pPr>
            <w:r w:rsidRPr="00CA7059">
              <w:rPr>
                <w:rFonts w:ascii="Arial" w:hAnsi="Arial" w:cs="Arial"/>
                <w:b/>
                <w:sz w:val="18"/>
                <w:szCs w:val="18"/>
                <w:lang w:val="es-ES_tradnl"/>
              </w:rPr>
              <w:t>TIPO DE GASTO</w:t>
            </w:r>
          </w:p>
        </w:tc>
        <w:tc>
          <w:tcPr>
            <w:tcW w:w="2354" w:type="dxa"/>
          </w:tcPr>
          <w:p w14:paraId="795A302F" w14:textId="77777777" w:rsidR="007E2F9F" w:rsidRPr="00CA7059" w:rsidRDefault="007E2F9F" w:rsidP="006548F8">
            <w:pPr>
              <w:jc w:val="center"/>
              <w:rPr>
                <w:rFonts w:ascii="Arial" w:hAnsi="Arial" w:cs="Arial"/>
                <w:b/>
                <w:sz w:val="18"/>
                <w:szCs w:val="18"/>
                <w:lang w:val="es-ES_tradnl"/>
              </w:rPr>
            </w:pPr>
            <w:r w:rsidRPr="00CA7059">
              <w:rPr>
                <w:rFonts w:ascii="Arial" w:hAnsi="Arial" w:cs="Arial"/>
                <w:b/>
                <w:sz w:val="18"/>
                <w:szCs w:val="18"/>
                <w:lang w:val="es-ES_tradnl"/>
              </w:rPr>
              <w:t>APROPIACIÓN</w:t>
            </w:r>
          </w:p>
          <w:p w14:paraId="13F76FD1" w14:textId="77777777" w:rsidR="007E2F9F" w:rsidRPr="00CA7059" w:rsidRDefault="007E2F9F" w:rsidP="006548F8">
            <w:pPr>
              <w:jc w:val="center"/>
              <w:rPr>
                <w:rFonts w:ascii="Arial" w:hAnsi="Arial" w:cs="Arial"/>
                <w:b/>
                <w:sz w:val="18"/>
                <w:szCs w:val="18"/>
                <w:lang w:val="es-ES_tradnl"/>
              </w:rPr>
            </w:pPr>
            <w:r w:rsidRPr="00CA7059">
              <w:rPr>
                <w:rFonts w:ascii="Arial" w:hAnsi="Arial" w:cs="Arial"/>
                <w:b/>
                <w:sz w:val="18"/>
                <w:szCs w:val="18"/>
                <w:lang w:val="es-ES_tradnl"/>
              </w:rPr>
              <w:t>DEFINITIVA</w:t>
            </w:r>
          </w:p>
          <w:p w14:paraId="16895868" w14:textId="77777777" w:rsidR="007E2F9F" w:rsidRPr="00CA7059" w:rsidRDefault="007E2F9F" w:rsidP="006548F8">
            <w:pPr>
              <w:jc w:val="center"/>
              <w:rPr>
                <w:rFonts w:ascii="Arial" w:hAnsi="Arial" w:cs="Arial"/>
                <w:b/>
                <w:sz w:val="18"/>
                <w:szCs w:val="18"/>
                <w:lang w:val="es-ES_tradnl"/>
              </w:rPr>
            </w:pPr>
            <w:r w:rsidRPr="00CA7059">
              <w:rPr>
                <w:rFonts w:ascii="Arial" w:hAnsi="Arial" w:cs="Arial"/>
                <w:b/>
                <w:sz w:val="18"/>
                <w:szCs w:val="18"/>
                <w:lang w:val="es-ES_tradnl"/>
              </w:rPr>
              <w:t>(1)</w:t>
            </w:r>
          </w:p>
          <w:p w14:paraId="2E113917" w14:textId="77777777" w:rsidR="007E2F9F" w:rsidRPr="00CA7059" w:rsidRDefault="007E2F9F" w:rsidP="006548F8">
            <w:pPr>
              <w:jc w:val="center"/>
              <w:rPr>
                <w:rFonts w:ascii="Arial" w:hAnsi="Arial" w:cs="Arial"/>
                <w:b/>
                <w:sz w:val="18"/>
                <w:szCs w:val="18"/>
                <w:lang w:val="es-ES_tradnl"/>
              </w:rPr>
            </w:pPr>
          </w:p>
        </w:tc>
        <w:tc>
          <w:tcPr>
            <w:tcW w:w="2354" w:type="dxa"/>
          </w:tcPr>
          <w:p w14:paraId="65C800BE" w14:textId="77777777" w:rsidR="007E2F9F" w:rsidRPr="00CA7059" w:rsidRDefault="007E2F9F" w:rsidP="006548F8">
            <w:pPr>
              <w:ind w:left="145" w:right="184"/>
              <w:jc w:val="center"/>
              <w:rPr>
                <w:rFonts w:ascii="Arial" w:hAnsi="Arial" w:cs="Arial"/>
                <w:b/>
                <w:sz w:val="18"/>
                <w:szCs w:val="18"/>
                <w:lang w:val="es-ES_tradnl"/>
              </w:rPr>
            </w:pPr>
            <w:r w:rsidRPr="00CA7059">
              <w:rPr>
                <w:rFonts w:ascii="Arial" w:hAnsi="Arial" w:cs="Arial"/>
                <w:b/>
                <w:sz w:val="18"/>
                <w:szCs w:val="18"/>
                <w:lang w:val="es-ES_tradnl"/>
              </w:rPr>
              <w:t>EJECUCIÓN</w:t>
            </w:r>
          </w:p>
          <w:p w14:paraId="44D16D9D" w14:textId="77777777" w:rsidR="007E2F9F" w:rsidRPr="00CA7059" w:rsidRDefault="007E2F9F" w:rsidP="006548F8">
            <w:pPr>
              <w:ind w:right="34"/>
              <w:jc w:val="center"/>
              <w:rPr>
                <w:rFonts w:ascii="Arial" w:hAnsi="Arial" w:cs="Arial"/>
                <w:b/>
                <w:sz w:val="18"/>
                <w:szCs w:val="18"/>
                <w:lang w:val="es-ES_tradnl"/>
              </w:rPr>
            </w:pPr>
            <w:r w:rsidRPr="00CA7059">
              <w:rPr>
                <w:rFonts w:ascii="Arial" w:hAnsi="Arial" w:cs="Arial"/>
                <w:b/>
                <w:sz w:val="18"/>
                <w:szCs w:val="18"/>
                <w:lang w:val="es-ES_tradnl"/>
              </w:rPr>
              <w:t>COMPROMISOS</w:t>
            </w:r>
          </w:p>
          <w:p w14:paraId="3166EBCA" w14:textId="77777777" w:rsidR="007E2F9F" w:rsidRPr="00CA7059" w:rsidRDefault="007E2F9F" w:rsidP="006548F8">
            <w:pPr>
              <w:ind w:right="34"/>
              <w:jc w:val="center"/>
              <w:rPr>
                <w:rFonts w:ascii="Arial" w:hAnsi="Arial" w:cs="Arial"/>
                <w:b/>
                <w:sz w:val="18"/>
                <w:szCs w:val="18"/>
                <w:lang w:val="es-ES_tradnl"/>
              </w:rPr>
            </w:pPr>
            <w:r w:rsidRPr="00CA7059">
              <w:rPr>
                <w:rFonts w:ascii="Arial" w:hAnsi="Arial" w:cs="Arial"/>
                <w:b/>
                <w:sz w:val="18"/>
                <w:szCs w:val="18"/>
                <w:lang w:val="es-ES_tradnl"/>
              </w:rPr>
              <w:t>(2)</w:t>
            </w:r>
          </w:p>
        </w:tc>
        <w:tc>
          <w:tcPr>
            <w:tcW w:w="2238" w:type="dxa"/>
          </w:tcPr>
          <w:p w14:paraId="5470705C" w14:textId="77777777" w:rsidR="007E2F9F" w:rsidRPr="00CA7059" w:rsidRDefault="007E2F9F" w:rsidP="006548F8">
            <w:pPr>
              <w:ind w:left="25" w:right="34"/>
              <w:jc w:val="center"/>
              <w:rPr>
                <w:rFonts w:ascii="Arial" w:hAnsi="Arial" w:cs="Arial"/>
                <w:b/>
                <w:sz w:val="18"/>
                <w:szCs w:val="18"/>
                <w:lang w:val="es-ES_tradnl"/>
              </w:rPr>
            </w:pPr>
            <w:r w:rsidRPr="00CA7059">
              <w:rPr>
                <w:rFonts w:ascii="Arial" w:hAnsi="Arial" w:cs="Arial"/>
                <w:b/>
                <w:sz w:val="18"/>
                <w:szCs w:val="18"/>
                <w:lang w:val="es-ES_tradnl"/>
              </w:rPr>
              <w:t>PÉRDIDAS DE</w:t>
            </w:r>
          </w:p>
          <w:p w14:paraId="78935A4D" w14:textId="77777777" w:rsidR="007E2F9F" w:rsidRPr="00CA7059" w:rsidRDefault="007E2F9F" w:rsidP="006548F8">
            <w:pPr>
              <w:ind w:right="34"/>
              <w:jc w:val="center"/>
              <w:rPr>
                <w:rFonts w:ascii="Arial" w:hAnsi="Arial" w:cs="Arial"/>
                <w:b/>
                <w:sz w:val="18"/>
                <w:szCs w:val="18"/>
                <w:lang w:val="es-ES_tradnl"/>
              </w:rPr>
            </w:pPr>
            <w:r w:rsidRPr="00CA7059">
              <w:rPr>
                <w:rFonts w:ascii="Arial" w:hAnsi="Arial" w:cs="Arial"/>
                <w:b/>
                <w:sz w:val="18"/>
                <w:szCs w:val="18"/>
                <w:lang w:val="es-ES_tradnl"/>
              </w:rPr>
              <w:t>APROPIACIÓN</w:t>
            </w:r>
          </w:p>
          <w:p w14:paraId="47FC36DB" w14:textId="77777777" w:rsidR="007E2F9F" w:rsidRPr="00CA7059" w:rsidRDefault="007E2F9F" w:rsidP="006548F8">
            <w:pPr>
              <w:ind w:right="34"/>
              <w:jc w:val="center"/>
              <w:rPr>
                <w:rFonts w:ascii="Arial" w:hAnsi="Arial" w:cs="Arial"/>
                <w:b/>
                <w:sz w:val="18"/>
                <w:szCs w:val="18"/>
                <w:lang w:val="es-ES_tradnl"/>
              </w:rPr>
            </w:pPr>
            <w:r w:rsidRPr="00CA7059">
              <w:rPr>
                <w:rFonts w:ascii="Arial" w:hAnsi="Arial" w:cs="Arial"/>
                <w:b/>
                <w:sz w:val="18"/>
                <w:szCs w:val="18"/>
                <w:lang w:val="es-ES_tradnl"/>
              </w:rPr>
              <w:t>3 = (1-2)</w:t>
            </w:r>
          </w:p>
        </w:tc>
      </w:tr>
      <w:tr w:rsidR="007E2F9F" w:rsidRPr="00CA7059" w14:paraId="20F92DAD" w14:textId="77777777" w:rsidTr="006548F8">
        <w:trPr>
          <w:trHeight w:val="230"/>
        </w:trPr>
        <w:tc>
          <w:tcPr>
            <w:tcW w:w="3544" w:type="dxa"/>
          </w:tcPr>
          <w:p w14:paraId="4458A6F8" w14:textId="77777777" w:rsidR="007E2F9F" w:rsidRPr="00CA7059" w:rsidRDefault="007E2F9F" w:rsidP="006548F8">
            <w:pPr>
              <w:ind w:right="-1440"/>
              <w:jc w:val="both"/>
              <w:rPr>
                <w:rFonts w:ascii="Arial" w:hAnsi="Arial" w:cs="Arial"/>
                <w:b/>
                <w:bCs/>
                <w:sz w:val="18"/>
                <w:szCs w:val="18"/>
                <w:lang w:val="es-ES_tradnl"/>
              </w:rPr>
            </w:pPr>
            <w:r w:rsidRPr="00CA7059">
              <w:rPr>
                <w:rFonts w:ascii="Arial" w:hAnsi="Arial" w:cs="Arial"/>
                <w:b/>
                <w:bCs/>
                <w:sz w:val="18"/>
                <w:szCs w:val="18"/>
                <w:lang w:val="es-ES_tradnl"/>
              </w:rPr>
              <w:t>FUNCIONAMIENTO</w:t>
            </w:r>
          </w:p>
        </w:tc>
        <w:tc>
          <w:tcPr>
            <w:tcW w:w="2354" w:type="dxa"/>
          </w:tcPr>
          <w:p w14:paraId="180A5216" w14:textId="77777777" w:rsidR="007E2F9F" w:rsidRPr="00CA7059" w:rsidRDefault="007E2F9F" w:rsidP="006548F8">
            <w:pPr>
              <w:jc w:val="right"/>
              <w:rPr>
                <w:rFonts w:ascii="Arial" w:eastAsia="Calibri" w:hAnsi="Arial" w:cs="Arial"/>
                <w:b/>
                <w:bCs/>
                <w:sz w:val="18"/>
                <w:szCs w:val="18"/>
                <w:lang w:val="es-CO"/>
              </w:rPr>
            </w:pPr>
            <w:r w:rsidRPr="00CA7059">
              <w:rPr>
                <w:rFonts w:ascii="Arial" w:hAnsi="Arial" w:cs="Arial"/>
                <w:b/>
                <w:sz w:val="18"/>
                <w:szCs w:val="18"/>
              </w:rPr>
              <w:t xml:space="preserve"> 102.409.237,17 </w:t>
            </w:r>
          </w:p>
        </w:tc>
        <w:tc>
          <w:tcPr>
            <w:tcW w:w="2354" w:type="dxa"/>
          </w:tcPr>
          <w:p w14:paraId="5EFBCF3C" w14:textId="77777777" w:rsidR="007E2F9F" w:rsidRPr="00CA7059" w:rsidRDefault="007E2F9F" w:rsidP="006548F8">
            <w:pPr>
              <w:pStyle w:val="Prrafodelista"/>
              <w:ind w:left="0"/>
              <w:jc w:val="right"/>
              <w:rPr>
                <w:rFonts w:ascii="Arial" w:hAnsi="Arial" w:cs="Arial"/>
                <w:b/>
                <w:bCs/>
                <w:sz w:val="18"/>
                <w:szCs w:val="18"/>
              </w:rPr>
            </w:pPr>
            <w:r w:rsidRPr="00CA7059">
              <w:rPr>
                <w:rFonts w:ascii="Arial" w:hAnsi="Arial" w:cs="Arial"/>
                <w:b/>
                <w:sz w:val="18"/>
                <w:szCs w:val="18"/>
              </w:rPr>
              <w:t xml:space="preserve"> 96.689.240,84 </w:t>
            </w:r>
          </w:p>
        </w:tc>
        <w:tc>
          <w:tcPr>
            <w:tcW w:w="2238" w:type="dxa"/>
          </w:tcPr>
          <w:p w14:paraId="7D4A284E" w14:textId="77777777" w:rsidR="007E2F9F" w:rsidRPr="00CA7059" w:rsidRDefault="007E2F9F" w:rsidP="006548F8">
            <w:pPr>
              <w:pStyle w:val="Prrafodelista"/>
              <w:ind w:left="0"/>
              <w:jc w:val="right"/>
              <w:rPr>
                <w:rFonts w:ascii="Arial" w:hAnsi="Arial" w:cs="Arial"/>
                <w:b/>
                <w:bCs/>
                <w:sz w:val="18"/>
                <w:szCs w:val="18"/>
              </w:rPr>
            </w:pPr>
            <w:r w:rsidRPr="00CA7059">
              <w:rPr>
                <w:rFonts w:ascii="Arial" w:hAnsi="Arial" w:cs="Arial"/>
                <w:b/>
                <w:sz w:val="18"/>
                <w:szCs w:val="18"/>
              </w:rPr>
              <w:t xml:space="preserve"> 5.719.996,33 </w:t>
            </w:r>
          </w:p>
        </w:tc>
      </w:tr>
      <w:tr w:rsidR="007E2F9F" w:rsidRPr="00CA7059" w14:paraId="6CBC6E10" w14:textId="77777777" w:rsidTr="006548F8">
        <w:trPr>
          <w:trHeight w:val="230"/>
        </w:trPr>
        <w:tc>
          <w:tcPr>
            <w:tcW w:w="3544" w:type="dxa"/>
          </w:tcPr>
          <w:p w14:paraId="125A0AB6" w14:textId="77777777" w:rsidR="007E2F9F" w:rsidRPr="00CA7059" w:rsidRDefault="007E2F9F" w:rsidP="006548F8">
            <w:pPr>
              <w:ind w:right="-1440"/>
              <w:jc w:val="both"/>
              <w:rPr>
                <w:rFonts w:ascii="Arial" w:hAnsi="Arial" w:cs="Arial"/>
                <w:b/>
                <w:bCs/>
                <w:sz w:val="18"/>
                <w:szCs w:val="18"/>
                <w:lang w:val="es-ES_tradnl"/>
              </w:rPr>
            </w:pPr>
            <w:r w:rsidRPr="00CA7059">
              <w:rPr>
                <w:rFonts w:ascii="Arial" w:hAnsi="Arial" w:cs="Arial"/>
                <w:b/>
                <w:bCs/>
                <w:sz w:val="18"/>
                <w:szCs w:val="18"/>
                <w:lang w:val="es-ES_tradnl"/>
              </w:rPr>
              <w:t>NVERSIÓN</w:t>
            </w:r>
          </w:p>
        </w:tc>
        <w:tc>
          <w:tcPr>
            <w:tcW w:w="2354" w:type="dxa"/>
          </w:tcPr>
          <w:p w14:paraId="235998D3" w14:textId="77777777" w:rsidR="007E2F9F" w:rsidRPr="00CA7059" w:rsidRDefault="007E2F9F" w:rsidP="006548F8">
            <w:pPr>
              <w:jc w:val="right"/>
              <w:rPr>
                <w:rFonts w:ascii="Arial" w:eastAsia="Calibri" w:hAnsi="Arial" w:cs="Arial"/>
                <w:b/>
                <w:bCs/>
                <w:sz w:val="18"/>
                <w:szCs w:val="18"/>
                <w:lang w:val="es-CO"/>
              </w:rPr>
            </w:pPr>
            <w:r w:rsidRPr="00CA7059">
              <w:rPr>
                <w:rFonts w:ascii="Arial" w:hAnsi="Arial" w:cs="Arial"/>
                <w:b/>
                <w:sz w:val="18"/>
                <w:szCs w:val="18"/>
              </w:rPr>
              <w:t xml:space="preserve"> 153.221.409,20 </w:t>
            </w:r>
          </w:p>
        </w:tc>
        <w:tc>
          <w:tcPr>
            <w:tcW w:w="2354" w:type="dxa"/>
          </w:tcPr>
          <w:p w14:paraId="3F488CAD" w14:textId="77777777" w:rsidR="007E2F9F" w:rsidRPr="00CA7059" w:rsidRDefault="007E2F9F" w:rsidP="006548F8">
            <w:pPr>
              <w:pStyle w:val="Prrafodelista"/>
              <w:ind w:left="0"/>
              <w:jc w:val="right"/>
              <w:rPr>
                <w:rFonts w:ascii="Arial" w:eastAsia="Calibri" w:hAnsi="Arial" w:cs="Arial"/>
                <w:b/>
                <w:bCs/>
                <w:sz w:val="18"/>
                <w:szCs w:val="18"/>
                <w:lang w:val="es-CO"/>
              </w:rPr>
            </w:pPr>
            <w:r w:rsidRPr="00CA7059">
              <w:rPr>
                <w:rFonts w:ascii="Arial" w:hAnsi="Arial" w:cs="Arial"/>
                <w:b/>
                <w:sz w:val="18"/>
                <w:szCs w:val="18"/>
              </w:rPr>
              <w:t xml:space="preserve"> 140.581.670,43 </w:t>
            </w:r>
          </w:p>
        </w:tc>
        <w:tc>
          <w:tcPr>
            <w:tcW w:w="2238" w:type="dxa"/>
          </w:tcPr>
          <w:p w14:paraId="5D49A143" w14:textId="77777777" w:rsidR="007E2F9F" w:rsidRPr="00CA7059" w:rsidRDefault="007E2F9F" w:rsidP="006548F8">
            <w:pPr>
              <w:pStyle w:val="Prrafodelista"/>
              <w:ind w:left="0"/>
              <w:jc w:val="right"/>
              <w:rPr>
                <w:rFonts w:ascii="Arial" w:hAnsi="Arial" w:cs="Arial"/>
                <w:b/>
                <w:bCs/>
                <w:sz w:val="18"/>
                <w:szCs w:val="18"/>
              </w:rPr>
            </w:pPr>
            <w:r w:rsidRPr="00CA7059">
              <w:rPr>
                <w:rFonts w:ascii="Arial" w:hAnsi="Arial" w:cs="Arial"/>
                <w:b/>
                <w:sz w:val="18"/>
                <w:szCs w:val="18"/>
              </w:rPr>
              <w:t xml:space="preserve"> 12.639.738,77 </w:t>
            </w:r>
          </w:p>
        </w:tc>
      </w:tr>
      <w:tr w:rsidR="007E2F9F" w:rsidRPr="00CA7059" w14:paraId="45B148E7" w14:textId="77777777" w:rsidTr="006548F8">
        <w:tc>
          <w:tcPr>
            <w:tcW w:w="3544" w:type="dxa"/>
          </w:tcPr>
          <w:p w14:paraId="13D75D24" w14:textId="77777777" w:rsidR="007E2F9F" w:rsidRPr="00CA7059" w:rsidRDefault="007E2F9F" w:rsidP="006548F8">
            <w:pPr>
              <w:ind w:right="-1440"/>
              <w:jc w:val="both"/>
              <w:rPr>
                <w:rFonts w:ascii="Arial" w:hAnsi="Arial" w:cs="Arial"/>
                <w:b/>
                <w:bCs/>
                <w:sz w:val="18"/>
                <w:szCs w:val="18"/>
                <w:lang w:val="es-ES_tradnl"/>
              </w:rPr>
            </w:pPr>
            <w:r w:rsidRPr="00CA7059">
              <w:rPr>
                <w:rFonts w:ascii="Arial" w:hAnsi="Arial" w:cs="Arial"/>
                <w:b/>
                <w:bCs/>
                <w:sz w:val="18"/>
                <w:szCs w:val="18"/>
                <w:lang w:val="es-ES_tradnl"/>
              </w:rPr>
              <w:t>TOTAL PÉRDIDAS DE APROPIACIÓN</w:t>
            </w:r>
          </w:p>
        </w:tc>
        <w:tc>
          <w:tcPr>
            <w:tcW w:w="2354" w:type="dxa"/>
          </w:tcPr>
          <w:p w14:paraId="481CF556" w14:textId="77777777" w:rsidR="007E2F9F" w:rsidRPr="00CA7059" w:rsidRDefault="007E2F9F" w:rsidP="006548F8">
            <w:pPr>
              <w:pStyle w:val="Prrafodelista"/>
              <w:ind w:left="0"/>
              <w:jc w:val="right"/>
              <w:rPr>
                <w:rFonts w:ascii="Arial" w:hAnsi="Arial" w:cs="Arial"/>
                <w:b/>
                <w:bCs/>
                <w:sz w:val="18"/>
                <w:szCs w:val="18"/>
                <w:u w:val="single"/>
              </w:rPr>
            </w:pPr>
            <w:r w:rsidRPr="00CA7059">
              <w:rPr>
                <w:rFonts w:ascii="Arial" w:hAnsi="Arial" w:cs="Arial"/>
                <w:b/>
                <w:sz w:val="18"/>
                <w:szCs w:val="18"/>
              </w:rPr>
              <w:t xml:space="preserve"> 255.630.646,38 </w:t>
            </w:r>
          </w:p>
        </w:tc>
        <w:tc>
          <w:tcPr>
            <w:tcW w:w="2354" w:type="dxa"/>
          </w:tcPr>
          <w:p w14:paraId="19FCB41E" w14:textId="77777777" w:rsidR="007E2F9F" w:rsidRPr="00CA7059" w:rsidRDefault="007E2F9F" w:rsidP="006548F8">
            <w:pPr>
              <w:pStyle w:val="Prrafodelista"/>
              <w:ind w:left="0"/>
              <w:jc w:val="right"/>
              <w:rPr>
                <w:rFonts w:ascii="Arial" w:hAnsi="Arial" w:cs="Arial"/>
                <w:b/>
                <w:bCs/>
                <w:sz w:val="18"/>
                <w:szCs w:val="18"/>
                <w:u w:val="single"/>
              </w:rPr>
            </w:pPr>
            <w:r w:rsidRPr="00CA7059">
              <w:rPr>
                <w:rFonts w:ascii="Arial" w:hAnsi="Arial" w:cs="Arial"/>
                <w:b/>
                <w:sz w:val="18"/>
                <w:szCs w:val="18"/>
              </w:rPr>
              <w:t xml:space="preserve"> 237.270.911,28 </w:t>
            </w:r>
          </w:p>
        </w:tc>
        <w:tc>
          <w:tcPr>
            <w:tcW w:w="2238" w:type="dxa"/>
          </w:tcPr>
          <w:p w14:paraId="0E96AE81" w14:textId="77777777" w:rsidR="007E2F9F" w:rsidRPr="00CA7059" w:rsidRDefault="007E2F9F" w:rsidP="006548F8">
            <w:pPr>
              <w:pStyle w:val="Prrafodelista"/>
              <w:ind w:left="0"/>
              <w:jc w:val="right"/>
              <w:rPr>
                <w:rFonts w:ascii="Arial" w:hAnsi="Arial" w:cs="Arial"/>
                <w:b/>
                <w:bCs/>
                <w:sz w:val="18"/>
                <w:szCs w:val="18"/>
                <w:u w:val="single"/>
              </w:rPr>
            </w:pPr>
            <w:r w:rsidRPr="00CA7059">
              <w:rPr>
                <w:rFonts w:ascii="Arial" w:hAnsi="Arial" w:cs="Arial"/>
                <w:b/>
                <w:sz w:val="18"/>
                <w:szCs w:val="18"/>
              </w:rPr>
              <w:t xml:space="preserve"> 18.359.735,10 </w:t>
            </w:r>
          </w:p>
        </w:tc>
      </w:tr>
    </w:tbl>
    <w:p w14:paraId="3D46AF0B" w14:textId="77777777" w:rsidR="007E2F9F" w:rsidRDefault="007E2F9F" w:rsidP="007E2F9F">
      <w:pPr>
        <w:ind w:left="-284" w:right="-234"/>
        <w:rPr>
          <w:rFonts w:ascii="Arial" w:eastAsia="Calibri" w:hAnsi="Arial" w:cs="Arial"/>
          <w:b/>
          <w:u w:val="single"/>
        </w:rPr>
      </w:pPr>
    </w:p>
    <w:p w14:paraId="5BB60CC4" w14:textId="77777777" w:rsidR="007E2F9F" w:rsidRPr="00A30583" w:rsidRDefault="007E2F9F" w:rsidP="007E2F9F">
      <w:pPr>
        <w:ind w:left="-284" w:right="-234"/>
        <w:jc w:val="both"/>
        <w:rPr>
          <w:rFonts w:ascii="Arial" w:hAnsi="Arial" w:cs="Arial"/>
          <w:b/>
          <w:sz w:val="28"/>
          <w:szCs w:val="28"/>
          <w:lang w:val="es-MX"/>
        </w:rPr>
      </w:pPr>
      <w:r w:rsidRPr="00A30583">
        <w:rPr>
          <w:rFonts w:ascii="Arial" w:hAnsi="Arial" w:cs="Arial"/>
          <w:b/>
          <w:sz w:val="28"/>
          <w:szCs w:val="28"/>
          <w:lang w:val="es-MX"/>
        </w:rPr>
        <w:t>300.- SUPERINTENDENCIA DE LA ECONOMIA SOLIDARIA - SUPERSOLIDARIA.</w:t>
      </w:r>
    </w:p>
    <w:p w14:paraId="32897589" w14:textId="77777777" w:rsidR="006E2952" w:rsidRDefault="006E2952" w:rsidP="007E2F9F">
      <w:pPr>
        <w:pStyle w:val="Prrafodelista"/>
        <w:ind w:left="0"/>
        <w:jc w:val="center"/>
        <w:rPr>
          <w:rFonts w:ascii="Arial" w:hAnsi="Arial" w:cs="Arial"/>
          <w:b/>
          <w:sz w:val="24"/>
        </w:rPr>
      </w:pPr>
    </w:p>
    <w:p w14:paraId="1B13D3C2" w14:textId="6A78ACC8"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2AF695B" w14:textId="77777777" w:rsidR="007E2F9F" w:rsidRPr="005F202B"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E69A48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A30583" w14:paraId="666FCF52" w14:textId="77777777" w:rsidTr="006548F8">
        <w:tc>
          <w:tcPr>
            <w:tcW w:w="3544" w:type="dxa"/>
          </w:tcPr>
          <w:p w14:paraId="35D961B3" w14:textId="77777777" w:rsidR="007E2F9F" w:rsidRPr="00A30583" w:rsidRDefault="007E2F9F" w:rsidP="006548F8">
            <w:pPr>
              <w:ind w:left="1169" w:right="-1440"/>
              <w:rPr>
                <w:rFonts w:ascii="Arial" w:hAnsi="Arial" w:cs="Arial"/>
                <w:b/>
                <w:sz w:val="18"/>
                <w:szCs w:val="18"/>
                <w:lang w:val="es-ES_tradnl"/>
              </w:rPr>
            </w:pPr>
            <w:r w:rsidRPr="00A30583">
              <w:rPr>
                <w:rFonts w:ascii="Arial" w:hAnsi="Arial" w:cs="Arial"/>
                <w:b/>
                <w:sz w:val="18"/>
                <w:szCs w:val="18"/>
                <w:lang w:val="es-ES_tradnl"/>
              </w:rPr>
              <w:t>TIPO DE GASTO</w:t>
            </w:r>
          </w:p>
        </w:tc>
        <w:tc>
          <w:tcPr>
            <w:tcW w:w="2354" w:type="dxa"/>
          </w:tcPr>
          <w:p w14:paraId="6F85F2B5" w14:textId="77777777" w:rsidR="007E2F9F" w:rsidRPr="00A30583" w:rsidRDefault="007E2F9F" w:rsidP="006548F8">
            <w:pPr>
              <w:jc w:val="center"/>
              <w:rPr>
                <w:rFonts w:ascii="Arial" w:hAnsi="Arial" w:cs="Arial"/>
                <w:b/>
                <w:sz w:val="18"/>
                <w:szCs w:val="18"/>
                <w:lang w:val="es-ES_tradnl"/>
              </w:rPr>
            </w:pPr>
            <w:r w:rsidRPr="00A30583">
              <w:rPr>
                <w:rFonts w:ascii="Arial" w:hAnsi="Arial" w:cs="Arial"/>
                <w:b/>
                <w:sz w:val="18"/>
                <w:szCs w:val="18"/>
                <w:lang w:val="es-ES_tradnl"/>
              </w:rPr>
              <w:t>APROPIACIÓN</w:t>
            </w:r>
          </w:p>
          <w:p w14:paraId="00BCEC10" w14:textId="77777777" w:rsidR="007E2F9F" w:rsidRPr="00A30583" w:rsidRDefault="007E2F9F" w:rsidP="006548F8">
            <w:pPr>
              <w:jc w:val="center"/>
              <w:rPr>
                <w:rFonts w:ascii="Arial" w:hAnsi="Arial" w:cs="Arial"/>
                <w:b/>
                <w:sz w:val="18"/>
                <w:szCs w:val="18"/>
                <w:lang w:val="es-ES_tradnl"/>
              </w:rPr>
            </w:pPr>
            <w:r w:rsidRPr="00A30583">
              <w:rPr>
                <w:rFonts w:ascii="Arial" w:hAnsi="Arial" w:cs="Arial"/>
                <w:b/>
                <w:sz w:val="18"/>
                <w:szCs w:val="18"/>
                <w:lang w:val="es-ES_tradnl"/>
              </w:rPr>
              <w:t>DEFINITIVA</w:t>
            </w:r>
          </w:p>
          <w:p w14:paraId="6AB8E146" w14:textId="77777777" w:rsidR="007E2F9F" w:rsidRPr="00A30583" w:rsidRDefault="007E2F9F" w:rsidP="006548F8">
            <w:pPr>
              <w:jc w:val="center"/>
              <w:rPr>
                <w:rFonts w:ascii="Arial" w:hAnsi="Arial" w:cs="Arial"/>
                <w:b/>
                <w:sz w:val="18"/>
                <w:szCs w:val="18"/>
                <w:lang w:val="es-ES_tradnl"/>
              </w:rPr>
            </w:pPr>
            <w:r w:rsidRPr="00A30583">
              <w:rPr>
                <w:rFonts w:ascii="Arial" w:hAnsi="Arial" w:cs="Arial"/>
                <w:b/>
                <w:sz w:val="18"/>
                <w:szCs w:val="18"/>
                <w:lang w:val="es-ES_tradnl"/>
              </w:rPr>
              <w:t>(1)</w:t>
            </w:r>
          </w:p>
          <w:p w14:paraId="51A734DD" w14:textId="77777777" w:rsidR="007E2F9F" w:rsidRPr="00A30583" w:rsidRDefault="007E2F9F" w:rsidP="006548F8">
            <w:pPr>
              <w:jc w:val="center"/>
              <w:rPr>
                <w:rFonts w:ascii="Arial" w:hAnsi="Arial" w:cs="Arial"/>
                <w:b/>
                <w:sz w:val="18"/>
                <w:szCs w:val="18"/>
                <w:lang w:val="es-ES_tradnl"/>
              </w:rPr>
            </w:pPr>
          </w:p>
        </w:tc>
        <w:tc>
          <w:tcPr>
            <w:tcW w:w="2354" w:type="dxa"/>
          </w:tcPr>
          <w:p w14:paraId="16A3DFF3" w14:textId="77777777" w:rsidR="007E2F9F" w:rsidRPr="00A30583" w:rsidRDefault="007E2F9F" w:rsidP="006548F8">
            <w:pPr>
              <w:ind w:left="145" w:right="184"/>
              <w:jc w:val="center"/>
              <w:rPr>
                <w:rFonts w:ascii="Arial" w:hAnsi="Arial" w:cs="Arial"/>
                <w:b/>
                <w:sz w:val="18"/>
                <w:szCs w:val="18"/>
                <w:lang w:val="es-ES_tradnl"/>
              </w:rPr>
            </w:pPr>
            <w:r w:rsidRPr="00A30583">
              <w:rPr>
                <w:rFonts w:ascii="Arial" w:hAnsi="Arial" w:cs="Arial"/>
                <w:b/>
                <w:sz w:val="18"/>
                <w:szCs w:val="18"/>
                <w:lang w:val="es-ES_tradnl"/>
              </w:rPr>
              <w:t>EJECUCIÓN</w:t>
            </w:r>
          </w:p>
          <w:p w14:paraId="27D322B4" w14:textId="77777777" w:rsidR="007E2F9F" w:rsidRPr="00A30583" w:rsidRDefault="007E2F9F" w:rsidP="006548F8">
            <w:pPr>
              <w:ind w:right="34"/>
              <w:jc w:val="center"/>
              <w:rPr>
                <w:rFonts w:ascii="Arial" w:hAnsi="Arial" w:cs="Arial"/>
                <w:b/>
                <w:sz w:val="18"/>
                <w:szCs w:val="18"/>
                <w:lang w:val="es-ES_tradnl"/>
              </w:rPr>
            </w:pPr>
            <w:r w:rsidRPr="00A30583">
              <w:rPr>
                <w:rFonts w:ascii="Arial" w:hAnsi="Arial" w:cs="Arial"/>
                <w:b/>
                <w:sz w:val="18"/>
                <w:szCs w:val="18"/>
                <w:lang w:val="es-ES_tradnl"/>
              </w:rPr>
              <w:t>COMPROMISOS</w:t>
            </w:r>
          </w:p>
          <w:p w14:paraId="69E71A6C" w14:textId="77777777" w:rsidR="007E2F9F" w:rsidRPr="00A30583" w:rsidRDefault="007E2F9F" w:rsidP="006548F8">
            <w:pPr>
              <w:ind w:right="34"/>
              <w:jc w:val="center"/>
              <w:rPr>
                <w:rFonts w:ascii="Arial" w:hAnsi="Arial" w:cs="Arial"/>
                <w:b/>
                <w:sz w:val="18"/>
                <w:szCs w:val="18"/>
                <w:lang w:val="es-ES_tradnl"/>
              </w:rPr>
            </w:pPr>
            <w:r w:rsidRPr="00A30583">
              <w:rPr>
                <w:rFonts w:ascii="Arial" w:hAnsi="Arial" w:cs="Arial"/>
                <w:b/>
                <w:sz w:val="18"/>
                <w:szCs w:val="18"/>
                <w:lang w:val="es-ES_tradnl"/>
              </w:rPr>
              <w:t>(2)</w:t>
            </w:r>
          </w:p>
        </w:tc>
        <w:tc>
          <w:tcPr>
            <w:tcW w:w="2238" w:type="dxa"/>
          </w:tcPr>
          <w:p w14:paraId="61ED8291" w14:textId="77777777" w:rsidR="007E2F9F" w:rsidRPr="00A30583" w:rsidRDefault="007E2F9F" w:rsidP="006548F8">
            <w:pPr>
              <w:ind w:left="25" w:right="34"/>
              <w:jc w:val="center"/>
              <w:rPr>
                <w:rFonts w:ascii="Arial" w:hAnsi="Arial" w:cs="Arial"/>
                <w:b/>
                <w:sz w:val="18"/>
                <w:szCs w:val="18"/>
                <w:lang w:val="es-ES_tradnl"/>
              </w:rPr>
            </w:pPr>
            <w:r w:rsidRPr="00A30583">
              <w:rPr>
                <w:rFonts w:ascii="Arial" w:hAnsi="Arial" w:cs="Arial"/>
                <w:b/>
                <w:sz w:val="18"/>
                <w:szCs w:val="18"/>
                <w:lang w:val="es-ES_tradnl"/>
              </w:rPr>
              <w:t>PÉRDIDAS DE</w:t>
            </w:r>
          </w:p>
          <w:p w14:paraId="6FB6CCA4" w14:textId="77777777" w:rsidR="007E2F9F" w:rsidRPr="00A30583" w:rsidRDefault="007E2F9F" w:rsidP="006548F8">
            <w:pPr>
              <w:ind w:right="34"/>
              <w:jc w:val="center"/>
              <w:rPr>
                <w:rFonts w:ascii="Arial" w:hAnsi="Arial" w:cs="Arial"/>
                <w:b/>
                <w:sz w:val="18"/>
                <w:szCs w:val="18"/>
                <w:lang w:val="es-ES_tradnl"/>
              </w:rPr>
            </w:pPr>
            <w:r w:rsidRPr="00A30583">
              <w:rPr>
                <w:rFonts w:ascii="Arial" w:hAnsi="Arial" w:cs="Arial"/>
                <w:b/>
                <w:sz w:val="18"/>
                <w:szCs w:val="18"/>
                <w:lang w:val="es-ES_tradnl"/>
              </w:rPr>
              <w:t>APROPIACIÓN</w:t>
            </w:r>
          </w:p>
          <w:p w14:paraId="52D592DB" w14:textId="77777777" w:rsidR="007E2F9F" w:rsidRPr="00A30583" w:rsidRDefault="007E2F9F" w:rsidP="006548F8">
            <w:pPr>
              <w:ind w:right="34"/>
              <w:jc w:val="center"/>
              <w:rPr>
                <w:rFonts w:ascii="Arial" w:hAnsi="Arial" w:cs="Arial"/>
                <w:b/>
                <w:sz w:val="18"/>
                <w:szCs w:val="18"/>
                <w:lang w:val="es-ES_tradnl"/>
              </w:rPr>
            </w:pPr>
            <w:r w:rsidRPr="00A30583">
              <w:rPr>
                <w:rFonts w:ascii="Arial" w:hAnsi="Arial" w:cs="Arial"/>
                <w:b/>
                <w:sz w:val="18"/>
                <w:szCs w:val="18"/>
                <w:lang w:val="es-ES_tradnl"/>
              </w:rPr>
              <w:t>3 = (1-2)</w:t>
            </w:r>
          </w:p>
        </w:tc>
      </w:tr>
      <w:tr w:rsidR="007E2F9F" w:rsidRPr="00A30583" w14:paraId="47883A10" w14:textId="77777777" w:rsidTr="006548F8">
        <w:trPr>
          <w:trHeight w:val="230"/>
        </w:trPr>
        <w:tc>
          <w:tcPr>
            <w:tcW w:w="3544" w:type="dxa"/>
          </w:tcPr>
          <w:p w14:paraId="6A716EFA" w14:textId="77777777" w:rsidR="007E2F9F" w:rsidRPr="00A30583" w:rsidRDefault="007E2F9F" w:rsidP="006548F8">
            <w:pPr>
              <w:ind w:right="-1440"/>
              <w:jc w:val="both"/>
              <w:rPr>
                <w:rFonts w:ascii="Arial" w:hAnsi="Arial" w:cs="Arial"/>
                <w:b/>
                <w:bCs/>
                <w:sz w:val="18"/>
                <w:szCs w:val="18"/>
                <w:lang w:val="es-ES_tradnl"/>
              </w:rPr>
            </w:pPr>
            <w:r w:rsidRPr="00A30583">
              <w:rPr>
                <w:rFonts w:ascii="Arial" w:hAnsi="Arial" w:cs="Arial"/>
                <w:b/>
                <w:bCs/>
                <w:sz w:val="18"/>
                <w:szCs w:val="18"/>
                <w:lang w:val="es-ES_tradnl"/>
              </w:rPr>
              <w:t>FUNCIONAMIENTO</w:t>
            </w:r>
          </w:p>
        </w:tc>
        <w:tc>
          <w:tcPr>
            <w:tcW w:w="2354" w:type="dxa"/>
            <w:vAlign w:val="center"/>
          </w:tcPr>
          <w:p w14:paraId="1CBB6622" w14:textId="77777777" w:rsidR="007E2F9F" w:rsidRPr="00A30583" w:rsidRDefault="007E2F9F" w:rsidP="006548F8">
            <w:pPr>
              <w:jc w:val="right"/>
              <w:rPr>
                <w:rFonts w:ascii="Arial" w:eastAsia="Calibri" w:hAnsi="Arial" w:cs="Arial"/>
                <w:b/>
                <w:bCs/>
                <w:sz w:val="18"/>
                <w:szCs w:val="18"/>
                <w:lang w:val="es-CO"/>
              </w:rPr>
            </w:pPr>
            <w:r w:rsidRPr="00A30583">
              <w:rPr>
                <w:rFonts w:ascii="Arial" w:eastAsia="Times New Roman" w:hAnsi="Arial" w:cs="Arial"/>
                <w:b/>
                <w:bCs/>
                <w:color w:val="000000"/>
                <w:lang w:val="es-CO"/>
              </w:rPr>
              <w:t xml:space="preserve">   24.007.000 </w:t>
            </w:r>
          </w:p>
        </w:tc>
        <w:tc>
          <w:tcPr>
            <w:tcW w:w="2354" w:type="dxa"/>
            <w:vAlign w:val="center"/>
          </w:tcPr>
          <w:p w14:paraId="5C49DCC0" w14:textId="77777777" w:rsidR="007E2F9F" w:rsidRPr="00A30583" w:rsidRDefault="007E2F9F" w:rsidP="006548F8">
            <w:pPr>
              <w:pStyle w:val="Prrafodelista"/>
              <w:ind w:left="0"/>
              <w:jc w:val="right"/>
              <w:rPr>
                <w:rFonts w:ascii="Arial" w:hAnsi="Arial" w:cs="Arial"/>
                <w:b/>
                <w:bCs/>
                <w:sz w:val="18"/>
                <w:szCs w:val="18"/>
              </w:rPr>
            </w:pPr>
            <w:r w:rsidRPr="00A30583">
              <w:rPr>
                <w:rFonts w:ascii="Arial" w:eastAsia="Times New Roman" w:hAnsi="Arial" w:cs="Arial"/>
                <w:b/>
                <w:bCs/>
                <w:color w:val="000000"/>
                <w:lang w:val="es-CO"/>
              </w:rPr>
              <w:t xml:space="preserve">  20.624.133 </w:t>
            </w:r>
          </w:p>
        </w:tc>
        <w:tc>
          <w:tcPr>
            <w:tcW w:w="2238" w:type="dxa"/>
            <w:vAlign w:val="center"/>
          </w:tcPr>
          <w:p w14:paraId="18A686A5" w14:textId="77777777" w:rsidR="007E2F9F" w:rsidRPr="00A30583" w:rsidRDefault="007E2F9F" w:rsidP="006548F8">
            <w:pPr>
              <w:pStyle w:val="Prrafodelista"/>
              <w:ind w:left="0"/>
              <w:jc w:val="right"/>
              <w:rPr>
                <w:rFonts w:ascii="Arial" w:hAnsi="Arial" w:cs="Arial"/>
                <w:b/>
                <w:bCs/>
                <w:sz w:val="18"/>
                <w:szCs w:val="18"/>
              </w:rPr>
            </w:pPr>
            <w:r w:rsidRPr="00A30583">
              <w:rPr>
                <w:rFonts w:ascii="Arial" w:eastAsia="Times New Roman" w:hAnsi="Arial" w:cs="Arial"/>
                <w:b/>
                <w:bCs/>
                <w:color w:val="000000"/>
                <w:lang w:val="es-CO"/>
              </w:rPr>
              <w:t xml:space="preserve">          3.382.867 </w:t>
            </w:r>
          </w:p>
        </w:tc>
      </w:tr>
      <w:tr w:rsidR="007E2F9F" w:rsidRPr="00A30583" w14:paraId="039ACFCD" w14:textId="77777777" w:rsidTr="006548F8">
        <w:trPr>
          <w:trHeight w:val="230"/>
        </w:trPr>
        <w:tc>
          <w:tcPr>
            <w:tcW w:w="3544" w:type="dxa"/>
          </w:tcPr>
          <w:p w14:paraId="502854A6" w14:textId="77777777" w:rsidR="007E2F9F" w:rsidRPr="00A30583" w:rsidRDefault="007E2F9F" w:rsidP="006548F8">
            <w:pPr>
              <w:ind w:right="-1440"/>
              <w:jc w:val="both"/>
              <w:rPr>
                <w:rFonts w:ascii="Arial" w:hAnsi="Arial" w:cs="Arial"/>
                <w:b/>
                <w:bCs/>
                <w:sz w:val="18"/>
                <w:szCs w:val="18"/>
                <w:lang w:val="es-ES_tradnl"/>
              </w:rPr>
            </w:pPr>
            <w:r w:rsidRPr="00A30583">
              <w:rPr>
                <w:rFonts w:ascii="Arial" w:hAnsi="Arial" w:cs="Arial"/>
                <w:b/>
                <w:bCs/>
                <w:sz w:val="18"/>
                <w:szCs w:val="18"/>
                <w:lang w:val="es-ES_tradnl"/>
              </w:rPr>
              <w:t>NVERSIÓN</w:t>
            </w:r>
          </w:p>
        </w:tc>
        <w:tc>
          <w:tcPr>
            <w:tcW w:w="2354" w:type="dxa"/>
            <w:vAlign w:val="center"/>
          </w:tcPr>
          <w:p w14:paraId="3644402B" w14:textId="77777777" w:rsidR="007E2F9F" w:rsidRPr="00A30583" w:rsidRDefault="007E2F9F" w:rsidP="006548F8">
            <w:pPr>
              <w:jc w:val="right"/>
              <w:rPr>
                <w:rFonts w:ascii="Arial" w:eastAsia="Calibri" w:hAnsi="Arial" w:cs="Arial"/>
                <w:b/>
                <w:bCs/>
                <w:sz w:val="18"/>
                <w:szCs w:val="18"/>
                <w:lang w:val="es-CO"/>
              </w:rPr>
            </w:pPr>
            <w:r w:rsidRPr="00A30583">
              <w:rPr>
                <w:rFonts w:ascii="Arial" w:eastAsia="Times New Roman" w:hAnsi="Arial" w:cs="Arial"/>
                <w:b/>
                <w:bCs/>
                <w:color w:val="000000"/>
                <w:lang w:val="es-CO"/>
              </w:rPr>
              <w:t xml:space="preserve">   24.920.454 </w:t>
            </w:r>
          </w:p>
        </w:tc>
        <w:tc>
          <w:tcPr>
            <w:tcW w:w="2354" w:type="dxa"/>
            <w:vAlign w:val="center"/>
          </w:tcPr>
          <w:p w14:paraId="735E7F9E" w14:textId="77777777" w:rsidR="007E2F9F" w:rsidRPr="00A30583" w:rsidRDefault="007E2F9F" w:rsidP="006548F8">
            <w:pPr>
              <w:pStyle w:val="Prrafodelista"/>
              <w:ind w:left="0"/>
              <w:jc w:val="right"/>
              <w:rPr>
                <w:rFonts w:ascii="Arial" w:eastAsia="Calibri" w:hAnsi="Arial" w:cs="Arial"/>
                <w:b/>
                <w:bCs/>
                <w:sz w:val="18"/>
                <w:szCs w:val="18"/>
                <w:lang w:val="es-CO"/>
              </w:rPr>
            </w:pPr>
            <w:r w:rsidRPr="00A30583">
              <w:rPr>
                <w:rFonts w:ascii="Arial" w:eastAsia="Times New Roman" w:hAnsi="Arial" w:cs="Arial"/>
                <w:b/>
                <w:bCs/>
                <w:color w:val="000000"/>
                <w:lang w:val="es-CO"/>
              </w:rPr>
              <w:t xml:space="preserve">  23.396.457 </w:t>
            </w:r>
          </w:p>
        </w:tc>
        <w:tc>
          <w:tcPr>
            <w:tcW w:w="2238" w:type="dxa"/>
            <w:vAlign w:val="center"/>
          </w:tcPr>
          <w:p w14:paraId="0B52D3FA" w14:textId="77777777" w:rsidR="007E2F9F" w:rsidRPr="00A30583" w:rsidRDefault="007E2F9F" w:rsidP="006548F8">
            <w:pPr>
              <w:pStyle w:val="Prrafodelista"/>
              <w:ind w:left="0"/>
              <w:jc w:val="right"/>
              <w:rPr>
                <w:rFonts w:ascii="Arial" w:hAnsi="Arial" w:cs="Arial"/>
                <w:b/>
                <w:bCs/>
                <w:sz w:val="18"/>
                <w:szCs w:val="18"/>
              </w:rPr>
            </w:pPr>
            <w:r w:rsidRPr="00A30583">
              <w:rPr>
                <w:rFonts w:ascii="Arial" w:eastAsia="Times New Roman" w:hAnsi="Arial" w:cs="Arial"/>
                <w:b/>
                <w:bCs/>
                <w:color w:val="000000"/>
                <w:lang w:val="es-CO"/>
              </w:rPr>
              <w:t xml:space="preserve">           1.523.997 </w:t>
            </w:r>
          </w:p>
        </w:tc>
      </w:tr>
      <w:tr w:rsidR="007E2F9F" w:rsidRPr="00A30583" w14:paraId="4B0E4E3C" w14:textId="77777777" w:rsidTr="006548F8">
        <w:tc>
          <w:tcPr>
            <w:tcW w:w="3544" w:type="dxa"/>
          </w:tcPr>
          <w:p w14:paraId="6522A4DE" w14:textId="77777777" w:rsidR="007E2F9F" w:rsidRPr="00A30583" w:rsidRDefault="007E2F9F" w:rsidP="006548F8">
            <w:pPr>
              <w:ind w:right="-1440"/>
              <w:jc w:val="both"/>
              <w:rPr>
                <w:rFonts w:ascii="Arial" w:hAnsi="Arial" w:cs="Arial"/>
                <w:b/>
                <w:bCs/>
                <w:sz w:val="18"/>
                <w:szCs w:val="18"/>
                <w:lang w:val="es-ES_tradnl"/>
              </w:rPr>
            </w:pPr>
            <w:r w:rsidRPr="00A30583">
              <w:rPr>
                <w:rFonts w:ascii="Arial" w:hAnsi="Arial" w:cs="Arial"/>
                <w:b/>
                <w:bCs/>
                <w:sz w:val="18"/>
                <w:szCs w:val="18"/>
                <w:lang w:val="es-ES_tradnl"/>
              </w:rPr>
              <w:t>TOTAL PÉRDIDAS DE APROPIACIÓN</w:t>
            </w:r>
          </w:p>
        </w:tc>
        <w:tc>
          <w:tcPr>
            <w:tcW w:w="2354" w:type="dxa"/>
            <w:vAlign w:val="center"/>
          </w:tcPr>
          <w:p w14:paraId="7D1BB7BB" w14:textId="77777777" w:rsidR="007E2F9F" w:rsidRPr="00A30583" w:rsidRDefault="007E2F9F" w:rsidP="006548F8">
            <w:pPr>
              <w:pStyle w:val="Prrafodelista"/>
              <w:ind w:left="0"/>
              <w:jc w:val="right"/>
              <w:rPr>
                <w:rFonts w:ascii="Arial" w:hAnsi="Arial" w:cs="Arial"/>
                <w:b/>
                <w:bCs/>
                <w:sz w:val="18"/>
                <w:szCs w:val="18"/>
                <w:u w:val="single"/>
              </w:rPr>
            </w:pPr>
            <w:r w:rsidRPr="00A30583">
              <w:rPr>
                <w:rFonts w:ascii="Arial" w:eastAsia="Times New Roman" w:hAnsi="Arial" w:cs="Arial"/>
                <w:b/>
                <w:bCs/>
                <w:color w:val="000000"/>
                <w:lang w:val="es-CO"/>
              </w:rPr>
              <w:t xml:space="preserve">   48.927.454 </w:t>
            </w:r>
          </w:p>
        </w:tc>
        <w:tc>
          <w:tcPr>
            <w:tcW w:w="2354" w:type="dxa"/>
            <w:vAlign w:val="center"/>
          </w:tcPr>
          <w:p w14:paraId="2B646E08" w14:textId="77777777" w:rsidR="007E2F9F" w:rsidRPr="00A30583" w:rsidRDefault="007E2F9F" w:rsidP="006548F8">
            <w:pPr>
              <w:pStyle w:val="Prrafodelista"/>
              <w:ind w:left="0"/>
              <w:jc w:val="right"/>
              <w:rPr>
                <w:rFonts w:ascii="Arial" w:hAnsi="Arial" w:cs="Arial"/>
                <w:b/>
                <w:bCs/>
                <w:sz w:val="18"/>
                <w:szCs w:val="18"/>
                <w:u w:val="single"/>
              </w:rPr>
            </w:pPr>
            <w:r w:rsidRPr="00A30583">
              <w:rPr>
                <w:rFonts w:ascii="Arial" w:eastAsia="Times New Roman" w:hAnsi="Arial" w:cs="Arial"/>
                <w:b/>
                <w:bCs/>
                <w:color w:val="000000"/>
                <w:lang w:val="es-CO"/>
              </w:rPr>
              <w:t xml:space="preserve">  44.020.589 </w:t>
            </w:r>
          </w:p>
        </w:tc>
        <w:tc>
          <w:tcPr>
            <w:tcW w:w="2238" w:type="dxa"/>
            <w:vAlign w:val="center"/>
          </w:tcPr>
          <w:p w14:paraId="46DDEE5D" w14:textId="77777777" w:rsidR="007E2F9F" w:rsidRPr="00A30583" w:rsidRDefault="007E2F9F" w:rsidP="006548F8">
            <w:pPr>
              <w:pStyle w:val="Prrafodelista"/>
              <w:ind w:left="0"/>
              <w:jc w:val="right"/>
              <w:rPr>
                <w:rFonts w:ascii="Arial" w:hAnsi="Arial" w:cs="Arial"/>
                <w:b/>
                <w:bCs/>
                <w:sz w:val="18"/>
                <w:szCs w:val="18"/>
                <w:u w:val="single"/>
              </w:rPr>
            </w:pPr>
            <w:r w:rsidRPr="00A30583">
              <w:rPr>
                <w:rFonts w:ascii="Arial" w:eastAsia="Times New Roman" w:hAnsi="Arial" w:cs="Arial"/>
                <w:b/>
                <w:bCs/>
                <w:color w:val="000000"/>
                <w:lang w:val="es-CO"/>
              </w:rPr>
              <w:t xml:space="preserve">           4.906.865 </w:t>
            </w:r>
          </w:p>
        </w:tc>
      </w:tr>
    </w:tbl>
    <w:p w14:paraId="7EDC3593" w14:textId="77777777" w:rsidR="007E2F9F" w:rsidRDefault="007E2F9F" w:rsidP="007E2F9F">
      <w:pPr>
        <w:jc w:val="both"/>
        <w:rPr>
          <w:b/>
          <w:sz w:val="28"/>
          <w:szCs w:val="28"/>
          <w:lang w:val="es-MX"/>
        </w:rPr>
      </w:pPr>
    </w:p>
    <w:p w14:paraId="61004A2D" w14:textId="77777777" w:rsidR="007E2F9F" w:rsidRPr="00652909" w:rsidRDefault="007E2F9F" w:rsidP="007E2F9F">
      <w:pPr>
        <w:ind w:left="-284"/>
        <w:jc w:val="both"/>
        <w:rPr>
          <w:rFonts w:ascii="Arial" w:hAnsi="Arial" w:cs="Arial"/>
          <w:b/>
          <w:sz w:val="28"/>
          <w:szCs w:val="28"/>
          <w:lang w:val="es-MX"/>
        </w:rPr>
      </w:pPr>
      <w:r w:rsidRPr="00652909">
        <w:rPr>
          <w:rFonts w:ascii="Arial" w:hAnsi="Arial" w:cs="Arial"/>
          <w:b/>
          <w:sz w:val="28"/>
          <w:szCs w:val="28"/>
          <w:lang w:val="es-MX"/>
        </w:rPr>
        <w:t>302.- MINISTERIO DE SALUD Y PROTECCIÓN SOCIAL.</w:t>
      </w:r>
    </w:p>
    <w:p w14:paraId="632A9143" w14:textId="77777777" w:rsidR="007E2F9F" w:rsidRDefault="007E2F9F" w:rsidP="007E2F9F">
      <w:pPr>
        <w:jc w:val="both"/>
        <w:rPr>
          <w:b/>
          <w:sz w:val="28"/>
          <w:szCs w:val="28"/>
          <w:lang w:val="es-MX"/>
        </w:rPr>
      </w:pPr>
    </w:p>
    <w:p w14:paraId="7313AD46"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54EB52E2" w14:textId="57EB1859"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652909" w14:paraId="0007EB0A" w14:textId="77777777" w:rsidTr="006548F8">
        <w:tc>
          <w:tcPr>
            <w:tcW w:w="3544" w:type="dxa"/>
          </w:tcPr>
          <w:p w14:paraId="62D79D10" w14:textId="77777777" w:rsidR="007E2F9F" w:rsidRPr="00652909" w:rsidRDefault="007E2F9F" w:rsidP="006548F8">
            <w:pPr>
              <w:ind w:left="1169" w:right="-1440"/>
              <w:rPr>
                <w:rFonts w:ascii="Arial" w:hAnsi="Arial" w:cs="Arial"/>
                <w:b/>
                <w:sz w:val="18"/>
                <w:szCs w:val="18"/>
                <w:lang w:val="es-ES_tradnl"/>
              </w:rPr>
            </w:pPr>
            <w:r w:rsidRPr="00652909">
              <w:rPr>
                <w:rFonts w:ascii="Arial" w:hAnsi="Arial" w:cs="Arial"/>
                <w:b/>
                <w:sz w:val="18"/>
                <w:szCs w:val="18"/>
                <w:lang w:val="es-ES_tradnl"/>
              </w:rPr>
              <w:t>TIPO DE GASTO</w:t>
            </w:r>
          </w:p>
        </w:tc>
        <w:tc>
          <w:tcPr>
            <w:tcW w:w="2354" w:type="dxa"/>
          </w:tcPr>
          <w:p w14:paraId="04B15D69" w14:textId="77777777" w:rsidR="007E2F9F" w:rsidRPr="00652909" w:rsidRDefault="007E2F9F" w:rsidP="006548F8">
            <w:pPr>
              <w:jc w:val="center"/>
              <w:rPr>
                <w:rFonts w:ascii="Arial" w:hAnsi="Arial" w:cs="Arial"/>
                <w:b/>
                <w:sz w:val="18"/>
                <w:szCs w:val="18"/>
                <w:lang w:val="es-ES_tradnl"/>
              </w:rPr>
            </w:pPr>
            <w:r w:rsidRPr="00652909">
              <w:rPr>
                <w:rFonts w:ascii="Arial" w:hAnsi="Arial" w:cs="Arial"/>
                <w:b/>
                <w:sz w:val="18"/>
                <w:szCs w:val="18"/>
                <w:lang w:val="es-ES_tradnl"/>
              </w:rPr>
              <w:t>APROPIACIÓN</w:t>
            </w:r>
          </w:p>
          <w:p w14:paraId="23593C85" w14:textId="77777777" w:rsidR="007E2F9F" w:rsidRPr="00652909" w:rsidRDefault="007E2F9F" w:rsidP="006548F8">
            <w:pPr>
              <w:jc w:val="center"/>
              <w:rPr>
                <w:rFonts w:ascii="Arial" w:hAnsi="Arial" w:cs="Arial"/>
                <w:b/>
                <w:sz w:val="18"/>
                <w:szCs w:val="18"/>
                <w:lang w:val="es-ES_tradnl"/>
              </w:rPr>
            </w:pPr>
            <w:r w:rsidRPr="00652909">
              <w:rPr>
                <w:rFonts w:ascii="Arial" w:hAnsi="Arial" w:cs="Arial"/>
                <w:b/>
                <w:sz w:val="18"/>
                <w:szCs w:val="18"/>
                <w:lang w:val="es-ES_tradnl"/>
              </w:rPr>
              <w:t>DEFINITIVA</w:t>
            </w:r>
          </w:p>
          <w:p w14:paraId="317376B6" w14:textId="77777777" w:rsidR="007E2F9F" w:rsidRPr="00652909" w:rsidRDefault="007E2F9F" w:rsidP="006548F8">
            <w:pPr>
              <w:jc w:val="center"/>
              <w:rPr>
                <w:rFonts w:ascii="Arial" w:hAnsi="Arial" w:cs="Arial"/>
                <w:b/>
                <w:sz w:val="18"/>
                <w:szCs w:val="18"/>
                <w:lang w:val="es-ES_tradnl"/>
              </w:rPr>
            </w:pPr>
            <w:r w:rsidRPr="00652909">
              <w:rPr>
                <w:rFonts w:ascii="Arial" w:hAnsi="Arial" w:cs="Arial"/>
                <w:b/>
                <w:sz w:val="18"/>
                <w:szCs w:val="18"/>
                <w:lang w:val="es-ES_tradnl"/>
              </w:rPr>
              <w:t>(1)</w:t>
            </w:r>
          </w:p>
          <w:p w14:paraId="359DE707" w14:textId="77777777" w:rsidR="007E2F9F" w:rsidRPr="00652909" w:rsidRDefault="007E2F9F" w:rsidP="006548F8">
            <w:pPr>
              <w:jc w:val="center"/>
              <w:rPr>
                <w:rFonts w:ascii="Arial" w:hAnsi="Arial" w:cs="Arial"/>
                <w:b/>
                <w:sz w:val="18"/>
                <w:szCs w:val="18"/>
                <w:lang w:val="es-ES_tradnl"/>
              </w:rPr>
            </w:pPr>
          </w:p>
        </w:tc>
        <w:tc>
          <w:tcPr>
            <w:tcW w:w="2354" w:type="dxa"/>
          </w:tcPr>
          <w:p w14:paraId="05B4D941" w14:textId="77777777" w:rsidR="007E2F9F" w:rsidRPr="00652909" w:rsidRDefault="007E2F9F" w:rsidP="006548F8">
            <w:pPr>
              <w:ind w:left="145" w:right="184"/>
              <w:jc w:val="center"/>
              <w:rPr>
                <w:rFonts w:ascii="Arial" w:hAnsi="Arial" w:cs="Arial"/>
                <w:b/>
                <w:sz w:val="18"/>
                <w:szCs w:val="18"/>
                <w:lang w:val="es-ES_tradnl"/>
              </w:rPr>
            </w:pPr>
            <w:r w:rsidRPr="00652909">
              <w:rPr>
                <w:rFonts w:ascii="Arial" w:hAnsi="Arial" w:cs="Arial"/>
                <w:b/>
                <w:sz w:val="18"/>
                <w:szCs w:val="18"/>
                <w:lang w:val="es-ES_tradnl"/>
              </w:rPr>
              <w:t>EJECUCIÓN</w:t>
            </w:r>
          </w:p>
          <w:p w14:paraId="05FF40B3" w14:textId="77777777" w:rsidR="007E2F9F" w:rsidRPr="00652909" w:rsidRDefault="007E2F9F" w:rsidP="006548F8">
            <w:pPr>
              <w:ind w:right="34"/>
              <w:jc w:val="center"/>
              <w:rPr>
                <w:rFonts w:ascii="Arial" w:hAnsi="Arial" w:cs="Arial"/>
                <w:b/>
                <w:sz w:val="18"/>
                <w:szCs w:val="18"/>
                <w:lang w:val="es-ES_tradnl"/>
              </w:rPr>
            </w:pPr>
            <w:r w:rsidRPr="00652909">
              <w:rPr>
                <w:rFonts w:ascii="Arial" w:hAnsi="Arial" w:cs="Arial"/>
                <w:b/>
                <w:sz w:val="18"/>
                <w:szCs w:val="18"/>
                <w:lang w:val="es-ES_tradnl"/>
              </w:rPr>
              <w:t>COMPROMISOS</w:t>
            </w:r>
          </w:p>
          <w:p w14:paraId="2C61BB57" w14:textId="77777777" w:rsidR="007E2F9F" w:rsidRPr="00652909" w:rsidRDefault="007E2F9F" w:rsidP="006548F8">
            <w:pPr>
              <w:ind w:right="34"/>
              <w:jc w:val="center"/>
              <w:rPr>
                <w:rFonts w:ascii="Arial" w:hAnsi="Arial" w:cs="Arial"/>
                <w:b/>
                <w:sz w:val="18"/>
                <w:szCs w:val="18"/>
                <w:lang w:val="es-ES_tradnl"/>
              </w:rPr>
            </w:pPr>
            <w:r w:rsidRPr="00652909">
              <w:rPr>
                <w:rFonts w:ascii="Arial" w:hAnsi="Arial" w:cs="Arial"/>
                <w:b/>
                <w:sz w:val="18"/>
                <w:szCs w:val="18"/>
                <w:lang w:val="es-ES_tradnl"/>
              </w:rPr>
              <w:t>(2)</w:t>
            </w:r>
          </w:p>
        </w:tc>
        <w:tc>
          <w:tcPr>
            <w:tcW w:w="2238" w:type="dxa"/>
          </w:tcPr>
          <w:p w14:paraId="3C5CC7CE" w14:textId="77777777" w:rsidR="007E2F9F" w:rsidRPr="00652909" w:rsidRDefault="007E2F9F" w:rsidP="006548F8">
            <w:pPr>
              <w:ind w:left="25" w:right="34"/>
              <w:jc w:val="center"/>
              <w:rPr>
                <w:rFonts w:ascii="Arial" w:hAnsi="Arial" w:cs="Arial"/>
                <w:b/>
                <w:sz w:val="18"/>
                <w:szCs w:val="18"/>
                <w:lang w:val="es-ES_tradnl"/>
              </w:rPr>
            </w:pPr>
            <w:r w:rsidRPr="00652909">
              <w:rPr>
                <w:rFonts w:ascii="Arial" w:hAnsi="Arial" w:cs="Arial"/>
                <w:b/>
                <w:sz w:val="18"/>
                <w:szCs w:val="18"/>
                <w:lang w:val="es-ES_tradnl"/>
              </w:rPr>
              <w:t>PÉRDIDAS DE</w:t>
            </w:r>
          </w:p>
          <w:p w14:paraId="4E6A0373" w14:textId="77777777" w:rsidR="007E2F9F" w:rsidRPr="00652909" w:rsidRDefault="007E2F9F" w:rsidP="006548F8">
            <w:pPr>
              <w:ind w:right="34"/>
              <w:jc w:val="center"/>
              <w:rPr>
                <w:rFonts w:ascii="Arial" w:hAnsi="Arial" w:cs="Arial"/>
                <w:b/>
                <w:sz w:val="18"/>
                <w:szCs w:val="18"/>
                <w:lang w:val="es-ES_tradnl"/>
              </w:rPr>
            </w:pPr>
            <w:r w:rsidRPr="00652909">
              <w:rPr>
                <w:rFonts w:ascii="Arial" w:hAnsi="Arial" w:cs="Arial"/>
                <w:b/>
                <w:sz w:val="18"/>
                <w:szCs w:val="18"/>
                <w:lang w:val="es-ES_tradnl"/>
              </w:rPr>
              <w:t>APROPIACIÓN</w:t>
            </w:r>
          </w:p>
          <w:p w14:paraId="541335E8" w14:textId="77777777" w:rsidR="007E2F9F" w:rsidRPr="00652909" w:rsidRDefault="007E2F9F" w:rsidP="006548F8">
            <w:pPr>
              <w:ind w:right="34"/>
              <w:jc w:val="center"/>
              <w:rPr>
                <w:rFonts w:ascii="Arial" w:hAnsi="Arial" w:cs="Arial"/>
                <w:b/>
                <w:sz w:val="18"/>
                <w:szCs w:val="18"/>
                <w:lang w:val="es-ES_tradnl"/>
              </w:rPr>
            </w:pPr>
            <w:r w:rsidRPr="00652909">
              <w:rPr>
                <w:rFonts w:ascii="Arial" w:hAnsi="Arial" w:cs="Arial"/>
                <w:b/>
                <w:sz w:val="18"/>
                <w:szCs w:val="18"/>
                <w:lang w:val="es-ES_tradnl"/>
              </w:rPr>
              <w:t>3 = (1-2)</w:t>
            </w:r>
          </w:p>
        </w:tc>
      </w:tr>
      <w:tr w:rsidR="007E2F9F" w:rsidRPr="00652909" w14:paraId="10251EEF" w14:textId="77777777" w:rsidTr="006548F8">
        <w:trPr>
          <w:trHeight w:val="230"/>
        </w:trPr>
        <w:tc>
          <w:tcPr>
            <w:tcW w:w="3544" w:type="dxa"/>
          </w:tcPr>
          <w:p w14:paraId="4AD0855F" w14:textId="77777777" w:rsidR="007E2F9F" w:rsidRPr="00652909" w:rsidRDefault="007E2F9F" w:rsidP="006548F8">
            <w:pPr>
              <w:ind w:right="-1440"/>
              <w:jc w:val="both"/>
              <w:rPr>
                <w:rFonts w:ascii="Arial" w:hAnsi="Arial" w:cs="Arial"/>
                <w:b/>
                <w:bCs/>
                <w:sz w:val="18"/>
                <w:szCs w:val="18"/>
                <w:lang w:val="es-ES_tradnl"/>
              </w:rPr>
            </w:pPr>
            <w:r w:rsidRPr="00652909">
              <w:rPr>
                <w:rFonts w:ascii="Arial" w:hAnsi="Arial" w:cs="Arial"/>
                <w:b/>
                <w:bCs/>
                <w:sz w:val="18"/>
                <w:szCs w:val="18"/>
                <w:lang w:val="es-ES_tradnl"/>
              </w:rPr>
              <w:t>FUNCIONAMIENTO</w:t>
            </w:r>
          </w:p>
        </w:tc>
        <w:tc>
          <w:tcPr>
            <w:tcW w:w="2354" w:type="dxa"/>
          </w:tcPr>
          <w:p w14:paraId="3C9963D5" w14:textId="77777777" w:rsidR="007E2F9F" w:rsidRPr="00652909" w:rsidRDefault="007E2F9F" w:rsidP="006548F8">
            <w:pPr>
              <w:jc w:val="right"/>
              <w:rPr>
                <w:rFonts w:ascii="Arial" w:eastAsia="Calibri" w:hAnsi="Arial" w:cs="Arial"/>
                <w:b/>
                <w:bCs/>
                <w:sz w:val="18"/>
                <w:szCs w:val="18"/>
                <w:lang w:val="es-CO"/>
              </w:rPr>
            </w:pPr>
            <w:r w:rsidRPr="00652909">
              <w:rPr>
                <w:rFonts w:ascii="Arial" w:eastAsia="Calibri" w:hAnsi="Arial" w:cs="Arial"/>
                <w:b/>
                <w:bCs/>
                <w:sz w:val="16"/>
                <w:szCs w:val="16"/>
                <w:lang w:val="es-CO"/>
              </w:rPr>
              <w:t>57.745.986.263</w:t>
            </w:r>
          </w:p>
        </w:tc>
        <w:tc>
          <w:tcPr>
            <w:tcW w:w="2354" w:type="dxa"/>
          </w:tcPr>
          <w:p w14:paraId="6397AD15" w14:textId="77777777" w:rsidR="007E2F9F" w:rsidRPr="00652909" w:rsidRDefault="007E2F9F" w:rsidP="006548F8">
            <w:pPr>
              <w:pStyle w:val="Prrafodelista"/>
              <w:ind w:left="0"/>
              <w:jc w:val="right"/>
              <w:rPr>
                <w:rFonts w:ascii="Arial" w:hAnsi="Arial" w:cs="Arial"/>
                <w:b/>
                <w:bCs/>
                <w:sz w:val="18"/>
                <w:szCs w:val="18"/>
              </w:rPr>
            </w:pPr>
            <w:r w:rsidRPr="00652909">
              <w:rPr>
                <w:rFonts w:ascii="Arial" w:eastAsia="Calibri" w:hAnsi="Arial" w:cs="Arial"/>
                <w:b/>
                <w:bCs/>
                <w:sz w:val="16"/>
                <w:szCs w:val="16"/>
                <w:lang w:val="es-CO"/>
              </w:rPr>
              <w:t>57.066.187.024</w:t>
            </w:r>
          </w:p>
        </w:tc>
        <w:tc>
          <w:tcPr>
            <w:tcW w:w="2238" w:type="dxa"/>
          </w:tcPr>
          <w:p w14:paraId="4CD7DC24" w14:textId="77777777" w:rsidR="007E2F9F" w:rsidRPr="00652909" w:rsidRDefault="007E2F9F" w:rsidP="006548F8">
            <w:pPr>
              <w:pStyle w:val="Prrafodelista"/>
              <w:ind w:left="0"/>
              <w:jc w:val="right"/>
              <w:rPr>
                <w:rFonts w:ascii="Arial" w:hAnsi="Arial" w:cs="Arial"/>
                <w:b/>
                <w:bCs/>
                <w:sz w:val="18"/>
                <w:szCs w:val="18"/>
              </w:rPr>
            </w:pPr>
            <w:r w:rsidRPr="00652909">
              <w:rPr>
                <w:rFonts w:ascii="Arial" w:hAnsi="Arial" w:cs="Arial"/>
                <w:b/>
                <w:sz w:val="16"/>
                <w:szCs w:val="16"/>
              </w:rPr>
              <w:t>679.799.238</w:t>
            </w:r>
          </w:p>
        </w:tc>
      </w:tr>
      <w:tr w:rsidR="007E2F9F" w:rsidRPr="00652909" w14:paraId="205FDD6D" w14:textId="77777777" w:rsidTr="006548F8">
        <w:trPr>
          <w:trHeight w:val="230"/>
        </w:trPr>
        <w:tc>
          <w:tcPr>
            <w:tcW w:w="3544" w:type="dxa"/>
          </w:tcPr>
          <w:p w14:paraId="7B205FBB" w14:textId="77777777" w:rsidR="007E2F9F" w:rsidRPr="00652909" w:rsidRDefault="007E2F9F" w:rsidP="006548F8">
            <w:pPr>
              <w:ind w:right="-1440"/>
              <w:jc w:val="both"/>
              <w:rPr>
                <w:rFonts w:ascii="Arial" w:hAnsi="Arial" w:cs="Arial"/>
                <w:b/>
                <w:bCs/>
                <w:sz w:val="18"/>
                <w:szCs w:val="18"/>
                <w:lang w:val="es-ES_tradnl"/>
              </w:rPr>
            </w:pPr>
            <w:r w:rsidRPr="00652909">
              <w:rPr>
                <w:rFonts w:ascii="Arial" w:hAnsi="Arial" w:cs="Arial"/>
                <w:b/>
                <w:bCs/>
                <w:sz w:val="18"/>
                <w:szCs w:val="18"/>
                <w:lang w:val="es-ES_tradnl"/>
              </w:rPr>
              <w:t>NVERSIÓN</w:t>
            </w:r>
          </w:p>
        </w:tc>
        <w:tc>
          <w:tcPr>
            <w:tcW w:w="2354" w:type="dxa"/>
          </w:tcPr>
          <w:p w14:paraId="24058FE2" w14:textId="77777777" w:rsidR="007E2F9F" w:rsidRPr="00652909" w:rsidRDefault="007E2F9F" w:rsidP="006548F8">
            <w:pPr>
              <w:jc w:val="right"/>
              <w:rPr>
                <w:rFonts w:ascii="Arial" w:eastAsia="Calibri" w:hAnsi="Arial" w:cs="Arial"/>
                <w:b/>
                <w:bCs/>
                <w:sz w:val="18"/>
                <w:szCs w:val="18"/>
                <w:lang w:val="es-CO"/>
              </w:rPr>
            </w:pPr>
            <w:r w:rsidRPr="00652909">
              <w:rPr>
                <w:rFonts w:ascii="Arial" w:eastAsia="Calibri" w:hAnsi="Arial" w:cs="Arial"/>
                <w:b/>
                <w:bCs/>
                <w:sz w:val="16"/>
                <w:szCs w:val="16"/>
                <w:lang w:val="es-CO"/>
              </w:rPr>
              <w:t>1.814.634.276</w:t>
            </w:r>
          </w:p>
        </w:tc>
        <w:tc>
          <w:tcPr>
            <w:tcW w:w="2354" w:type="dxa"/>
          </w:tcPr>
          <w:p w14:paraId="046D89D4" w14:textId="77777777" w:rsidR="007E2F9F" w:rsidRPr="00652909" w:rsidRDefault="007E2F9F" w:rsidP="006548F8">
            <w:pPr>
              <w:pStyle w:val="Prrafodelista"/>
              <w:ind w:left="0"/>
              <w:jc w:val="right"/>
              <w:rPr>
                <w:rFonts w:ascii="Arial" w:eastAsia="Calibri" w:hAnsi="Arial" w:cs="Arial"/>
                <w:b/>
                <w:bCs/>
                <w:sz w:val="18"/>
                <w:szCs w:val="18"/>
                <w:lang w:val="es-CO"/>
              </w:rPr>
            </w:pPr>
            <w:r w:rsidRPr="00652909">
              <w:rPr>
                <w:rFonts w:ascii="Arial" w:eastAsia="Calibri" w:hAnsi="Arial" w:cs="Arial"/>
                <w:b/>
                <w:bCs/>
                <w:sz w:val="16"/>
                <w:szCs w:val="16"/>
                <w:lang w:val="es-CO"/>
              </w:rPr>
              <w:t>1.758.637.425</w:t>
            </w:r>
          </w:p>
        </w:tc>
        <w:tc>
          <w:tcPr>
            <w:tcW w:w="2238" w:type="dxa"/>
          </w:tcPr>
          <w:p w14:paraId="794D2A62" w14:textId="77777777" w:rsidR="007E2F9F" w:rsidRPr="00652909" w:rsidRDefault="007E2F9F" w:rsidP="006548F8">
            <w:pPr>
              <w:pStyle w:val="Prrafodelista"/>
              <w:ind w:left="0"/>
              <w:jc w:val="right"/>
              <w:rPr>
                <w:rFonts w:ascii="Arial" w:hAnsi="Arial" w:cs="Arial"/>
                <w:b/>
                <w:bCs/>
                <w:sz w:val="18"/>
                <w:szCs w:val="18"/>
              </w:rPr>
            </w:pPr>
            <w:r w:rsidRPr="00652909">
              <w:rPr>
                <w:rFonts w:ascii="Arial" w:hAnsi="Arial" w:cs="Arial"/>
                <w:b/>
                <w:sz w:val="16"/>
                <w:szCs w:val="16"/>
              </w:rPr>
              <w:t>55.996.851</w:t>
            </w:r>
          </w:p>
        </w:tc>
      </w:tr>
      <w:tr w:rsidR="007E2F9F" w:rsidRPr="00652909" w14:paraId="0DBFD989" w14:textId="77777777" w:rsidTr="006548F8">
        <w:tc>
          <w:tcPr>
            <w:tcW w:w="3544" w:type="dxa"/>
          </w:tcPr>
          <w:p w14:paraId="18BE60C3" w14:textId="77777777" w:rsidR="007E2F9F" w:rsidRPr="00652909" w:rsidRDefault="007E2F9F" w:rsidP="006548F8">
            <w:pPr>
              <w:ind w:right="-1440"/>
              <w:jc w:val="both"/>
              <w:rPr>
                <w:rFonts w:ascii="Arial" w:hAnsi="Arial" w:cs="Arial"/>
                <w:b/>
                <w:bCs/>
                <w:sz w:val="18"/>
                <w:szCs w:val="18"/>
                <w:lang w:val="es-ES_tradnl"/>
              </w:rPr>
            </w:pPr>
            <w:r w:rsidRPr="00652909">
              <w:rPr>
                <w:rFonts w:ascii="Arial" w:hAnsi="Arial" w:cs="Arial"/>
                <w:b/>
                <w:bCs/>
                <w:sz w:val="18"/>
                <w:szCs w:val="18"/>
                <w:lang w:val="es-ES_tradnl"/>
              </w:rPr>
              <w:t>TOTAL PÉRDIDAS DE APROPIACIÓN</w:t>
            </w:r>
          </w:p>
        </w:tc>
        <w:tc>
          <w:tcPr>
            <w:tcW w:w="2354" w:type="dxa"/>
          </w:tcPr>
          <w:p w14:paraId="5A92DB3A" w14:textId="77777777" w:rsidR="007E2F9F" w:rsidRPr="00652909" w:rsidRDefault="007E2F9F" w:rsidP="006548F8">
            <w:pPr>
              <w:pStyle w:val="Prrafodelista"/>
              <w:ind w:left="0"/>
              <w:jc w:val="right"/>
              <w:rPr>
                <w:rFonts w:ascii="Arial" w:hAnsi="Arial" w:cs="Arial"/>
                <w:b/>
                <w:bCs/>
                <w:sz w:val="18"/>
                <w:szCs w:val="18"/>
                <w:u w:val="single"/>
              </w:rPr>
            </w:pPr>
            <w:r w:rsidRPr="00652909">
              <w:rPr>
                <w:rFonts w:ascii="Arial" w:eastAsia="Calibri" w:hAnsi="Arial" w:cs="Arial"/>
                <w:b/>
                <w:bCs/>
                <w:sz w:val="16"/>
                <w:szCs w:val="16"/>
                <w:lang w:val="es-CO"/>
              </w:rPr>
              <w:t>59.560.620.539</w:t>
            </w:r>
          </w:p>
        </w:tc>
        <w:tc>
          <w:tcPr>
            <w:tcW w:w="2354" w:type="dxa"/>
          </w:tcPr>
          <w:p w14:paraId="4EF1175C" w14:textId="77777777" w:rsidR="007E2F9F" w:rsidRPr="00652909" w:rsidRDefault="007E2F9F" w:rsidP="006548F8">
            <w:pPr>
              <w:pStyle w:val="Prrafodelista"/>
              <w:ind w:left="0"/>
              <w:jc w:val="right"/>
              <w:rPr>
                <w:rFonts w:ascii="Arial" w:hAnsi="Arial" w:cs="Arial"/>
                <w:b/>
                <w:bCs/>
                <w:sz w:val="18"/>
                <w:szCs w:val="18"/>
                <w:u w:val="single"/>
              </w:rPr>
            </w:pPr>
            <w:r w:rsidRPr="00652909">
              <w:rPr>
                <w:rFonts w:ascii="Arial" w:eastAsia="Calibri" w:hAnsi="Arial" w:cs="Arial"/>
                <w:b/>
                <w:bCs/>
                <w:sz w:val="16"/>
                <w:szCs w:val="16"/>
                <w:lang w:val="es-CO"/>
              </w:rPr>
              <w:t>58.824.824.449</w:t>
            </w:r>
          </w:p>
        </w:tc>
        <w:tc>
          <w:tcPr>
            <w:tcW w:w="2238" w:type="dxa"/>
          </w:tcPr>
          <w:p w14:paraId="121A15B7" w14:textId="77777777" w:rsidR="007E2F9F" w:rsidRPr="00652909" w:rsidRDefault="007E2F9F" w:rsidP="006548F8">
            <w:pPr>
              <w:pStyle w:val="Prrafodelista"/>
              <w:ind w:left="0"/>
              <w:jc w:val="right"/>
              <w:rPr>
                <w:rFonts w:ascii="Arial" w:hAnsi="Arial" w:cs="Arial"/>
                <w:b/>
                <w:bCs/>
                <w:sz w:val="18"/>
                <w:szCs w:val="18"/>
                <w:u w:val="single"/>
              </w:rPr>
            </w:pPr>
            <w:r w:rsidRPr="00652909">
              <w:rPr>
                <w:rFonts w:ascii="Arial" w:hAnsi="Arial" w:cs="Arial"/>
                <w:b/>
                <w:sz w:val="16"/>
                <w:szCs w:val="16"/>
                <w:u w:val="single"/>
              </w:rPr>
              <w:t>735.796.090</w:t>
            </w:r>
          </w:p>
        </w:tc>
      </w:tr>
    </w:tbl>
    <w:p w14:paraId="14091E43" w14:textId="77777777" w:rsidR="007E2F9F" w:rsidRDefault="007E2F9F" w:rsidP="007E2F9F">
      <w:pPr>
        <w:jc w:val="both"/>
        <w:rPr>
          <w:b/>
          <w:sz w:val="28"/>
          <w:szCs w:val="28"/>
          <w:lang w:val="es-MX"/>
        </w:rPr>
      </w:pPr>
    </w:p>
    <w:p w14:paraId="3CDA9A60" w14:textId="77777777" w:rsidR="007E2F9F" w:rsidRPr="00C432CD" w:rsidRDefault="007E2F9F" w:rsidP="007E2F9F">
      <w:pPr>
        <w:ind w:left="-284"/>
        <w:jc w:val="both"/>
        <w:rPr>
          <w:rFonts w:ascii="Arial" w:hAnsi="Arial" w:cs="Arial"/>
          <w:b/>
          <w:sz w:val="28"/>
          <w:szCs w:val="28"/>
          <w:lang w:val="es-MX"/>
        </w:rPr>
      </w:pPr>
      <w:r w:rsidRPr="00C432CD">
        <w:rPr>
          <w:rFonts w:ascii="Arial" w:hAnsi="Arial" w:cs="Arial"/>
          <w:b/>
          <w:sz w:val="28"/>
          <w:szCs w:val="28"/>
          <w:lang w:val="es-MX"/>
        </w:rPr>
        <w:t>303.- MINISTERIO DE VIVIENDA, CIUDAD Y TERRITORIO.</w:t>
      </w:r>
    </w:p>
    <w:p w14:paraId="29612AE5" w14:textId="77777777" w:rsidR="007E2F9F" w:rsidRDefault="007E2F9F" w:rsidP="007E2F9F">
      <w:pPr>
        <w:pStyle w:val="Prrafodelista"/>
        <w:ind w:left="0"/>
        <w:jc w:val="center"/>
        <w:rPr>
          <w:rFonts w:ascii="Arial" w:hAnsi="Arial" w:cs="Arial"/>
          <w:b/>
          <w:sz w:val="24"/>
        </w:rPr>
      </w:pPr>
    </w:p>
    <w:p w14:paraId="0FB75AC0"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8213D23"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E3322D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432CD" w14:paraId="2B7A1DE1" w14:textId="77777777" w:rsidTr="006548F8">
        <w:tc>
          <w:tcPr>
            <w:tcW w:w="3544" w:type="dxa"/>
          </w:tcPr>
          <w:p w14:paraId="0ACC2B49" w14:textId="77777777" w:rsidR="007E2F9F" w:rsidRPr="00C432CD" w:rsidRDefault="007E2F9F" w:rsidP="006548F8">
            <w:pPr>
              <w:ind w:left="1169" w:right="-1440"/>
              <w:rPr>
                <w:rFonts w:ascii="Arial" w:hAnsi="Arial" w:cs="Arial"/>
                <w:b/>
                <w:sz w:val="18"/>
                <w:szCs w:val="18"/>
                <w:lang w:val="es-ES_tradnl"/>
              </w:rPr>
            </w:pPr>
            <w:r w:rsidRPr="00C432CD">
              <w:rPr>
                <w:rFonts w:ascii="Arial" w:hAnsi="Arial" w:cs="Arial"/>
                <w:b/>
                <w:sz w:val="18"/>
                <w:szCs w:val="18"/>
                <w:lang w:val="es-ES_tradnl"/>
              </w:rPr>
              <w:t>TIPO DE GASTO</w:t>
            </w:r>
          </w:p>
        </w:tc>
        <w:tc>
          <w:tcPr>
            <w:tcW w:w="2354" w:type="dxa"/>
          </w:tcPr>
          <w:p w14:paraId="55A54431" w14:textId="77777777" w:rsidR="007E2F9F" w:rsidRPr="00C432CD" w:rsidRDefault="007E2F9F" w:rsidP="006548F8">
            <w:pPr>
              <w:jc w:val="center"/>
              <w:rPr>
                <w:rFonts w:ascii="Arial" w:hAnsi="Arial" w:cs="Arial"/>
                <w:b/>
                <w:sz w:val="18"/>
                <w:szCs w:val="18"/>
                <w:lang w:val="es-ES_tradnl"/>
              </w:rPr>
            </w:pPr>
            <w:r w:rsidRPr="00C432CD">
              <w:rPr>
                <w:rFonts w:ascii="Arial" w:hAnsi="Arial" w:cs="Arial"/>
                <w:b/>
                <w:sz w:val="18"/>
                <w:szCs w:val="18"/>
                <w:lang w:val="es-ES_tradnl"/>
              </w:rPr>
              <w:t>APROPIACIÓN</w:t>
            </w:r>
          </w:p>
          <w:p w14:paraId="4036003D" w14:textId="77777777" w:rsidR="007E2F9F" w:rsidRPr="00C432CD" w:rsidRDefault="007E2F9F" w:rsidP="006548F8">
            <w:pPr>
              <w:jc w:val="center"/>
              <w:rPr>
                <w:rFonts w:ascii="Arial" w:hAnsi="Arial" w:cs="Arial"/>
                <w:b/>
                <w:sz w:val="18"/>
                <w:szCs w:val="18"/>
                <w:lang w:val="es-ES_tradnl"/>
              </w:rPr>
            </w:pPr>
            <w:r w:rsidRPr="00C432CD">
              <w:rPr>
                <w:rFonts w:ascii="Arial" w:hAnsi="Arial" w:cs="Arial"/>
                <w:b/>
                <w:sz w:val="18"/>
                <w:szCs w:val="18"/>
                <w:lang w:val="es-ES_tradnl"/>
              </w:rPr>
              <w:t>DEFINITIVA</w:t>
            </w:r>
          </w:p>
          <w:p w14:paraId="72B40856" w14:textId="77777777" w:rsidR="007E2F9F" w:rsidRPr="00C432CD" w:rsidRDefault="007E2F9F" w:rsidP="006548F8">
            <w:pPr>
              <w:jc w:val="center"/>
              <w:rPr>
                <w:rFonts w:ascii="Arial" w:hAnsi="Arial" w:cs="Arial"/>
                <w:b/>
                <w:sz w:val="18"/>
                <w:szCs w:val="18"/>
                <w:lang w:val="es-ES_tradnl"/>
              </w:rPr>
            </w:pPr>
            <w:r w:rsidRPr="00C432CD">
              <w:rPr>
                <w:rFonts w:ascii="Arial" w:hAnsi="Arial" w:cs="Arial"/>
                <w:b/>
                <w:sz w:val="18"/>
                <w:szCs w:val="18"/>
                <w:lang w:val="es-ES_tradnl"/>
              </w:rPr>
              <w:t>(1)</w:t>
            </w:r>
          </w:p>
          <w:p w14:paraId="7FB0C5D2" w14:textId="77777777" w:rsidR="007E2F9F" w:rsidRPr="00C432CD" w:rsidRDefault="007E2F9F" w:rsidP="006548F8">
            <w:pPr>
              <w:jc w:val="center"/>
              <w:rPr>
                <w:rFonts w:ascii="Arial" w:hAnsi="Arial" w:cs="Arial"/>
                <w:b/>
                <w:sz w:val="18"/>
                <w:szCs w:val="18"/>
                <w:lang w:val="es-ES_tradnl"/>
              </w:rPr>
            </w:pPr>
          </w:p>
        </w:tc>
        <w:tc>
          <w:tcPr>
            <w:tcW w:w="2354" w:type="dxa"/>
          </w:tcPr>
          <w:p w14:paraId="3BA20FC9" w14:textId="77777777" w:rsidR="007E2F9F" w:rsidRPr="00C432CD" w:rsidRDefault="007E2F9F" w:rsidP="006548F8">
            <w:pPr>
              <w:ind w:left="145" w:right="184"/>
              <w:jc w:val="center"/>
              <w:rPr>
                <w:rFonts w:ascii="Arial" w:hAnsi="Arial" w:cs="Arial"/>
                <w:b/>
                <w:sz w:val="18"/>
                <w:szCs w:val="18"/>
                <w:lang w:val="es-ES_tradnl"/>
              </w:rPr>
            </w:pPr>
            <w:r w:rsidRPr="00C432CD">
              <w:rPr>
                <w:rFonts w:ascii="Arial" w:hAnsi="Arial" w:cs="Arial"/>
                <w:b/>
                <w:sz w:val="18"/>
                <w:szCs w:val="18"/>
                <w:lang w:val="es-ES_tradnl"/>
              </w:rPr>
              <w:t>EJECUCIÓN</w:t>
            </w:r>
          </w:p>
          <w:p w14:paraId="53446DA8" w14:textId="77777777" w:rsidR="007E2F9F" w:rsidRPr="00C432CD" w:rsidRDefault="007E2F9F" w:rsidP="006548F8">
            <w:pPr>
              <w:ind w:right="34"/>
              <w:jc w:val="center"/>
              <w:rPr>
                <w:rFonts w:ascii="Arial" w:hAnsi="Arial" w:cs="Arial"/>
                <w:b/>
                <w:sz w:val="18"/>
                <w:szCs w:val="18"/>
                <w:lang w:val="es-ES_tradnl"/>
              </w:rPr>
            </w:pPr>
            <w:r w:rsidRPr="00C432CD">
              <w:rPr>
                <w:rFonts w:ascii="Arial" w:hAnsi="Arial" w:cs="Arial"/>
                <w:b/>
                <w:sz w:val="18"/>
                <w:szCs w:val="18"/>
                <w:lang w:val="es-ES_tradnl"/>
              </w:rPr>
              <w:t>COMPROMISOS</w:t>
            </w:r>
          </w:p>
          <w:p w14:paraId="032FA57E" w14:textId="77777777" w:rsidR="007E2F9F" w:rsidRPr="00C432CD" w:rsidRDefault="007E2F9F" w:rsidP="006548F8">
            <w:pPr>
              <w:ind w:right="34"/>
              <w:jc w:val="center"/>
              <w:rPr>
                <w:rFonts w:ascii="Arial" w:hAnsi="Arial" w:cs="Arial"/>
                <w:b/>
                <w:sz w:val="18"/>
                <w:szCs w:val="18"/>
                <w:lang w:val="es-ES_tradnl"/>
              </w:rPr>
            </w:pPr>
            <w:r w:rsidRPr="00C432CD">
              <w:rPr>
                <w:rFonts w:ascii="Arial" w:hAnsi="Arial" w:cs="Arial"/>
                <w:b/>
                <w:sz w:val="18"/>
                <w:szCs w:val="18"/>
                <w:lang w:val="es-ES_tradnl"/>
              </w:rPr>
              <w:t>(2)</w:t>
            </w:r>
          </w:p>
        </w:tc>
        <w:tc>
          <w:tcPr>
            <w:tcW w:w="2238" w:type="dxa"/>
          </w:tcPr>
          <w:p w14:paraId="55EC95FC" w14:textId="77777777" w:rsidR="007E2F9F" w:rsidRPr="00C432CD" w:rsidRDefault="007E2F9F" w:rsidP="006548F8">
            <w:pPr>
              <w:ind w:left="25" w:right="34"/>
              <w:jc w:val="center"/>
              <w:rPr>
                <w:rFonts w:ascii="Arial" w:hAnsi="Arial" w:cs="Arial"/>
                <w:b/>
                <w:sz w:val="18"/>
                <w:szCs w:val="18"/>
                <w:lang w:val="es-ES_tradnl"/>
              </w:rPr>
            </w:pPr>
            <w:r w:rsidRPr="00C432CD">
              <w:rPr>
                <w:rFonts w:ascii="Arial" w:hAnsi="Arial" w:cs="Arial"/>
                <w:b/>
                <w:sz w:val="18"/>
                <w:szCs w:val="18"/>
                <w:lang w:val="es-ES_tradnl"/>
              </w:rPr>
              <w:t>PÉRDIDAS DE</w:t>
            </w:r>
          </w:p>
          <w:p w14:paraId="7042BBC3" w14:textId="77777777" w:rsidR="007E2F9F" w:rsidRPr="00C432CD" w:rsidRDefault="007E2F9F" w:rsidP="006548F8">
            <w:pPr>
              <w:ind w:right="34"/>
              <w:jc w:val="center"/>
              <w:rPr>
                <w:rFonts w:ascii="Arial" w:hAnsi="Arial" w:cs="Arial"/>
                <w:b/>
                <w:sz w:val="18"/>
                <w:szCs w:val="18"/>
                <w:lang w:val="es-ES_tradnl"/>
              </w:rPr>
            </w:pPr>
            <w:r w:rsidRPr="00C432CD">
              <w:rPr>
                <w:rFonts w:ascii="Arial" w:hAnsi="Arial" w:cs="Arial"/>
                <w:b/>
                <w:sz w:val="18"/>
                <w:szCs w:val="18"/>
                <w:lang w:val="es-ES_tradnl"/>
              </w:rPr>
              <w:t>APROPIACIÓN</w:t>
            </w:r>
          </w:p>
          <w:p w14:paraId="4B2A292A" w14:textId="77777777" w:rsidR="007E2F9F" w:rsidRPr="00C432CD" w:rsidRDefault="007E2F9F" w:rsidP="006548F8">
            <w:pPr>
              <w:ind w:right="34"/>
              <w:jc w:val="center"/>
              <w:rPr>
                <w:rFonts w:ascii="Arial" w:hAnsi="Arial" w:cs="Arial"/>
                <w:b/>
                <w:sz w:val="18"/>
                <w:szCs w:val="18"/>
                <w:lang w:val="es-ES_tradnl"/>
              </w:rPr>
            </w:pPr>
            <w:r w:rsidRPr="00C432CD">
              <w:rPr>
                <w:rFonts w:ascii="Arial" w:hAnsi="Arial" w:cs="Arial"/>
                <w:b/>
                <w:sz w:val="18"/>
                <w:szCs w:val="18"/>
                <w:lang w:val="es-ES_tradnl"/>
              </w:rPr>
              <w:t>3 = (1-2)</w:t>
            </w:r>
          </w:p>
        </w:tc>
      </w:tr>
      <w:tr w:rsidR="007E2F9F" w:rsidRPr="00C432CD" w14:paraId="1C34A987" w14:textId="77777777" w:rsidTr="006548F8">
        <w:trPr>
          <w:trHeight w:val="230"/>
        </w:trPr>
        <w:tc>
          <w:tcPr>
            <w:tcW w:w="3544" w:type="dxa"/>
          </w:tcPr>
          <w:p w14:paraId="06D9109E" w14:textId="77777777" w:rsidR="007E2F9F" w:rsidRPr="00C432CD" w:rsidRDefault="007E2F9F" w:rsidP="006548F8">
            <w:pPr>
              <w:ind w:right="-1440"/>
              <w:jc w:val="both"/>
              <w:rPr>
                <w:rFonts w:ascii="Arial" w:hAnsi="Arial" w:cs="Arial"/>
                <w:b/>
                <w:bCs/>
                <w:sz w:val="18"/>
                <w:szCs w:val="18"/>
                <w:lang w:val="es-ES_tradnl"/>
              </w:rPr>
            </w:pPr>
            <w:r w:rsidRPr="00C432CD">
              <w:rPr>
                <w:rFonts w:ascii="Arial" w:hAnsi="Arial" w:cs="Arial"/>
                <w:b/>
                <w:bCs/>
                <w:sz w:val="18"/>
                <w:szCs w:val="18"/>
                <w:lang w:val="es-ES_tradnl"/>
              </w:rPr>
              <w:t>FUNCIONAMIENTO</w:t>
            </w:r>
          </w:p>
        </w:tc>
        <w:tc>
          <w:tcPr>
            <w:tcW w:w="2354" w:type="dxa"/>
          </w:tcPr>
          <w:p w14:paraId="505F22A3" w14:textId="77777777" w:rsidR="007E2F9F" w:rsidRPr="00C432CD" w:rsidRDefault="007E2F9F" w:rsidP="006548F8">
            <w:pPr>
              <w:jc w:val="right"/>
              <w:rPr>
                <w:rFonts w:ascii="Arial" w:eastAsia="Calibri" w:hAnsi="Arial" w:cs="Arial"/>
                <w:b/>
                <w:bCs/>
                <w:sz w:val="18"/>
                <w:szCs w:val="18"/>
                <w:lang w:val="es-CO"/>
              </w:rPr>
            </w:pPr>
            <w:r w:rsidRPr="00C432CD">
              <w:rPr>
                <w:rFonts w:ascii="Arial" w:eastAsia="Calibri" w:hAnsi="Arial" w:cs="Arial"/>
                <w:sz w:val="16"/>
                <w:szCs w:val="16"/>
                <w:lang w:val="es-CO"/>
              </w:rPr>
              <w:t>3.744.454.547</w:t>
            </w:r>
          </w:p>
        </w:tc>
        <w:tc>
          <w:tcPr>
            <w:tcW w:w="2354" w:type="dxa"/>
          </w:tcPr>
          <w:p w14:paraId="6CC0AB9E" w14:textId="77777777" w:rsidR="007E2F9F" w:rsidRPr="00C432CD" w:rsidRDefault="007E2F9F" w:rsidP="006548F8">
            <w:pPr>
              <w:pStyle w:val="Prrafodelista"/>
              <w:ind w:left="0"/>
              <w:jc w:val="right"/>
              <w:rPr>
                <w:rFonts w:ascii="Arial" w:hAnsi="Arial" w:cs="Arial"/>
                <w:b/>
                <w:bCs/>
                <w:sz w:val="18"/>
                <w:szCs w:val="18"/>
              </w:rPr>
            </w:pPr>
            <w:r w:rsidRPr="00C432CD">
              <w:rPr>
                <w:rFonts w:ascii="Arial" w:eastAsia="Calibri" w:hAnsi="Arial" w:cs="Arial"/>
                <w:sz w:val="16"/>
                <w:szCs w:val="16"/>
                <w:lang w:val="es-CO"/>
              </w:rPr>
              <w:t>3.734.872.534</w:t>
            </w:r>
          </w:p>
        </w:tc>
        <w:tc>
          <w:tcPr>
            <w:tcW w:w="2238" w:type="dxa"/>
          </w:tcPr>
          <w:p w14:paraId="3684B586" w14:textId="77777777" w:rsidR="007E2F9F" w:rsidRPr="00C432CD" w:rsidRDefault="007E2F9F" w:rsidP="006548F8">
            <w:pPr>
              <w:pStyle w:val="Prrafodelista"/>
              <w:ind w:left="0"/>
              <w:jc w:val="right"/>
              <w:rPr>
                <w:rFonts w:ascii="Arial" w:hAnsi="Arial" w:cs="Arial"/>
                <w:b/>
                <w:bCs/>
                <w:sz w:val="18"/>
                <w:szCs w:val="18"/>
              </w:rPr>
            </w:pPr>
            <w:r w:rsidRPr="00C432CD">
              <w:rPr>
                <w:rFonts w:ascii="Arial" w:hAnsi="Arial" w:cs="Arial"/>
                <w:b/>
                <w:sz w:val="16"/>
                <w:szCs w:val="16"/>
              </w:rPr>
              <w:t>9.582.013</w:t>
            </w:r>
          </w:p>
        </w:tc>
      </w:tr>
      <w:tr w:rsidR="007E2F9F" w:rsidRPr="00C432CD" w14:paraId="1C7936B2" w14:textId="77777777" w:rsidTr="006548F8">
        <w:trPr>
          <w:trHeight w:val="230"/>
        </w:trPr>
        <w:tc>
          <w:tcPr>
            <w:tcW w:w="3544" w:type="dxa"/>
          </w:tcPr>
          <w:p w14:paraId="2B585D56" w14:textId="77777777" w:rsidR="007E2F9F" w:rsidRPr="00C432CD" w:rsidRDefault="007E2F9F" w:rsidP="006548F8">
            <w:pPr>
              <w:ind w:right="-1440"/>
              <w:jc w:val="both"/>
              <w:rPr>
                <w:rFonts w:ascii="Arial" w:hAnsi="Arial" w:cs="Arial"/>
                <w:b/>
                <w:bCs/>
                <w:sz w:val="18"/>
                <w:szCs w:val="18"/>
                <w:lang w:val="es-ES_tradnl"/>
              </w:rPr>
            </w:pPr>
            <w:r w:rsidRPr="00C432CD">
              <w:rPr>
                <w:rFonts w:ascii="Arial" w:hAnsi="Arial" w:cs="Arial"/>
                <w:b/>
                <w:bCs/>
                <w:sz w:val="18"/>
                <w:szCs w:val="18"/>
                <w:lang w:val="es-ES_tradnl"/>
              </w:rPr>
              <w:t>NVERSIÓN</w:t>
            </w:r>
          </w:p>
        </w:tc>
        <w:tc>
          <w:tcPr>
            <w:tcW w:w="2354" w:type="dxa"/>
          </w:tcPr>
          <w:p w14:paraId="7801760B" w14:textId="77777777" w:rsidR="007E2F9F" w:rsidRPr="00C432CD" w:rsidRDefault="007E2F9F" w:rsidP="006548F8">
            <w:pPr>
              <w:jc w:val="right"/>
              <w:rPr>
                <w:rFonts w:ascii="Arial" w:eastAsia="Calibri" w:hAnsi="Arial" w:cs="Arial"/>
                <w:b/>
                <w:bCs/>
                <w:sz w:val="18"/>
                <w:szCs w:val="18"/>
                <w:lang w:val="es-CO"/>
              </w:rPr>
            </w:pPr>
            <w:r w:rsidRPr="00C432CD">
              <w:rPr>
                <w:rFonts w:ascii="Arial" w:eastAsia="Calibri" w:hAnsi="Arial" w:cs="Arial"/>
                <w:sz w:val="16"/>
                <w:szCs w:val="16"/>
                <w:lang w:val="es-CO"/>
              </w:rPr>
              <w:t>1.232.572.716</w:t>
            </w:r>
          </w:p>
        </w:tc>
        <w:tc>
          <w:tcPr>
            <w:tcW w:w="2354" w:type="dxa"/>
          </w:tcPr>
          <w:p w14:paraId="6B1A80F9" w14:textId="77777777" w:rsidR="007E2F9F" w:rsidRPr="00C432CD" w:rsidRDefault="007E2F9F" w:rsidP="006548F8">
            <w:pPr>
              <w:pStyle w:val="Prrafodelista"/>
              <w:ind w:left="0"/>
              <w:jc w:val="right"/>
              <w:rPr>
                <w:rFonts w:ascii="Arial" w:eastAsia="Calibri" w:hAnsi="Arial" w:cs="Arial"/>
                <w:b/>
                <w:bCs/>
                <w:sz w:val="18"/>
                <w:szCs w:val="18"/>
                <w:lang w:val="es-CO"/>
              </w:rPr>
            </w:pPr>
            <w:r w:rsidRPr="00C432CD">
              <w:rPr>
                <w:rFonts w:ascii="Arial" w:eastAsia="Calibri" w:hAnsi="Arial" w:cs="Arial"/>
                <w:sz w:val="16"/>
                <w:szCs w:val="16"/>
                <w:lang w:val="es-CO"/>
              </w:rPr>
              <w:t>1.192.891.649</w:t>
            </w:r>
          </w:p>
        </w:tc>
        <w:tc>
          <w:tcPr>
            <w:tcW w:w="2238" w:type="dxa"/>
          </w:tcPr>
          <w:p w14:paraId="72D2CFC2" w14:textId="77777777" w:rsidR="007E2F9F" w:rsidRPr="00C432CD" w:rsidRDefault="007E2F9F" w:rsidP="006548F8">
            <w:pPr>
              <w:pStyle w:val="Prrafodelista"/>
              <w:ind w:left="0"/>
              <w:jc w:val="right"/>
              <w:rPr>
                <w:rFonts w:ascii="Arial" w:hAnsi="Arial" w:cs="Arial"/>
                <w:b/>
                <w:bCs/>
                <w:sz w:val="18"/>
                <w:szCs w:val="18"/>
              </w:rPr>
            </w:pPr>
            <w:r w:rsidRPr="00C432CD">
              <w:rPr>
                <w:rFonts w:ascii="Arial" w:hAnsi="Arial" w:cs="Arial"/>
                <w:b/>
                <w:sz w:val="16"/>
                <w:szCs w:val="16"/>
              </w:rPr>
              <w:t>39.681.067</w:t>
            </w:r>
          </w:p>
        </w:tc>
      </w:tr>
      <w:tr w:rsidR="007E2F9F" w:rsidRPr="00C432CD" w14:paraId="265D84D3" w14:textId="77777777" w:rsidTr="006548F8">
        <w:tc>
          <w:tcPr>
            <w:tcW w:w="3544" w:type="dxa"/>
          </w:tcPr>
          <w:p w14:paraId="71340FD2" w14:textId="77777777" w:rsidR="007E2F9F" w:rsidRPr="00C432CD" w:rsidRDefault="007E2F9F" w:rsidP="006548F8">
            <w:pPr>
              <w:ind w:right="-1440"/>
              <w:jc w:val="both"/>
              <w:rPr>
                <w:rFonts w:ascii="Arial" w:hAnsi="Arial" w:cs="Arial"/>
                <w:b/>
                <w:bCs/>
                <w:sz w:val="18"/>
                <w:szCs w:val="18"/>
                <w:lang w:val="es-ES_tradnl"/>
              </w:rPr>
            </w:pPr>
            <w:r w:rsidRPr="00C432CD">
              <w:rPr>
                <w:rFonts w:ascii="Arial" w:hAnsi="Arial" w:cs="Arial"/>
                <w:b/>
                <w:bCs/>
                <w:sz w:val="18"/>
                <w:szCs w:val="18"/>
                <w:lang w:val="es-ES_tradnl"/>
              </w:rPr>
              <w:t>TOTAL PÉRDIDAS DE APROPIACIÓN</w:t>
            </w:r>
          </w:p>
        </w:tc>
        <w:tc>
          <w:tcPr>
            <w:tcW w:w="2354" w:type="dxa"/>
          </w:tcPr>
          <w:p w14:paraId="754FDE3A" w14:textId="77777777" w:rsidR="007E2F9F" w:rsidRPr="00C432CD" w:rsidRDefault="007E2F9F" w:rsidP="006548F8">
            <w:pPr>
              <w:pStyle w:val="Prrafodelista"/>
              <w:ind w:left="0"/>
              <w:jc w:val="right"/>
              <w:rPr>
                <w:rFonts w:ascii="Arial" w:hAnsi="Arial" w:cs="Arial"/>
                <w:b/>
                <w:bCs/>
                <w:sz w:val="18"/>
                <w:szCs w:val="18"/>
                <w:u w:val="single"/>
              </w:rPr>
            </w:pPr>
            <w:r w:rsidRPr="00C432CD">
              <w:rPr>
                <w:rFonts w:ascii="Arial" w:eastAsia="Calibri" w:hAnsi="Arial" w:cs="Arial"/>
                <w:b/>
                <w:sz w:val="16"/>
                <w:szCs w:val="16"/>
                <w:lang w:val="es-CO"/>
              </w:rPr>
              <w:t>4.977.027.263</w:t>
            </w:r>
          </w:p>
        </w:tc>
        <w:tc>
          <w:tcPr>
            <w:tcW w:w="2354" w:type="dxa"/>
          </w:tcPr>
          <w:p w14:paraId="140D497D" w14:textId="77777777" w:rsidR="007E2F9F" w:rsidRPr="00C432CD" w:rsidRDefault="007E2F9F" w:rsidP="006548F8">
            <w:pPr>
              <w:pStyle w:val="Prrafodelista"/>
              <w:ind w:left="0"/>
              <w:jc w:val="right"/>
              <w:rPr>
                <w:rFonts w:ascii="Arial" w:hAnsi="Arial" w:cs="Arial"/>
                <w:b/>
                <w:bCs/>
                <w:sz w:val="18"/>
                <w:szCs w:val="18"/>
                <w:u w:val="single"/>
              </w:rPr>
            </w:pPr>
            <w:r w:rsidRPr="00C432CD">
              <w:rPr>
                <w:rFonts w:ascii="Arial" w:eastAsia="Calibri" w:hAnsi="Arial" w:cs="Arial"/>
                <w:b/>
                <w:sz w:val="16"/>
                <w:szCs w:val="16"/>
                <w:lang w:val="es-CO"/>
              </w:rPr>
              <w:t>4.927.764.183</w:t>
            </w:r>
          </w:p>
        </w:tc>
        <w:tc>
          <w:tcPr>
            <w:tcW w:w="2238" w:type="dxa"/>
          </w:tcPr>
          <w:p w14:paraId="5CC901F9" w14:textId="77777777" w:rsidR="007E2F9F" w:rsidRPr="00C432CD" w:rsidRDefault="007E2F9F" w:rsidP="006548F8">
            <w:pPr>
              <w:pStyle w:val="Prrafodelista"/>
              <w:ind w:left="0"/>
              <w:jc w:val="right"/>
              <w:rPr>
                <w:rFonts w:ascii="Arial" w:hAnsi="Arial" w:cs="Arial"/>
                <w:b/>
                <w:bCs/>
                <w:sz w:val="18"/>
                <w:szCs w:val="18"/>
                <w:u w:val="single"/>
              </w:rPr>
            </w:pPr>
            <w:r w:rsidRPr="00C432CD">
              <w:rPr>
                <w:rFonts w:ascii="Arial" w:hAnsi="Arial" w:cs="Arial"/>
                <w:b/>
                <w:sz w:val="16"/>
                <w:szCs w:val="16"/>
                <w:u w:val="single"/>
              </w:rPr>
              <w:t>49.263.080</w:t>
            </w:r>
          </w:p>
        </w:tc>
      </w:tr>
    </w:tbl>
    <w:p w14:paraId="6CBD648C" w14:textId="77777777" w:rsidR="007E2F9F" w:rsidRPr="00C432CD" w:rsidRDefault="007E2F9F" w:rsidP="007E2F9F">
      <w:pPr>
        <w:pStyle w:val="Prrafodelista"/>
        <w:spacing w:before="92"/>
        <w:ind w:left="-142"/>
        <w:rPr>
          <w:rFonts w:ascii="Arial" w:hAnsi="Arial" w:cs="Arial"/>
          <w:b/>
          <w:sz w:val="24"/>
          <w:lang w:val="es-MX"/>
        </w:rPr>
      </w:pPr>
    </w:p>
    <w:p w14:paraId="38C73D28" w14:textId="77777777" w:rsidR="007E2F9F" w:rsidRPr="002346E8" w:rsidRDefault="007E2F9F" w:rsidP="007E2F9F">
      <w:pPr>
        <w:ind w:left="-284" w:right="-234"/>
        <w:jc w:val="both"/>
        <w:rPr>
          <w:rFonts w:ascii="Arial" w:hAnsi="Arial" w:cs="Arial"/>
          <w:b/>
          <w:sz w:val="28"/>
          <w:szCs w:val="28"/>
          <w:lang w:val="es-MX"/>
        </w:rPr>
      </w:pPr>
      <w:r w:rsidRPr="002346E8">
        <w:rPr>
          <w:rFonts w:ascii="Arial" w:hAnsi="Arial" w:cs="Arial"/>
          <w:b/>
          <w:sz w:val="28"/>
          <w:szCs w:val="28"/>
          <w:lang w:val="es-MX"/>
        </w:rPr>
        <w:t>304.- FONDO ROTATORIO DE LA REGISTRADURÍA NACIONAL DEL ESTADO CIVIL.</w:t>
      </w:r>
    </w:p>
    <w:p w14:paraId="4E81E965" w14:textId="77777777" w:rsidR="007E2F9F" w:rsidRDefault="007E2F9F" w:rsidP="007E2F9F">
      <w:pPr>
        <w:pStyle w:val="Prrafodelista"/>
        <w:ind w:left="0"/>
        <w:jc w:val="center"/>
        <w:rPr>
          <w:rFonts w:ascii="Arial" w:hAnsi="Arial" w:cs="Arial"/>
          <w:b/>
          <w:sz w:val="24"/>
        </w:rPr>
      </w:pPr>
    </w:p>
    <w:p w14:paraId="68E39491"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DC76673"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5B23992"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2346E8" w14:paraId="6FA8D156" w14:textId="77777777" w:rsidTr="006548F8">
        <w:tc>
          <w:tcPr>
            <w:tcW w:w="3544" w:type="dxa"/>
          </w:tcPr>
          <w:p w14:paraId="0157702F" w14:textId="77777777" w:rsidR="007E2F9F" w:rsidRPr="002346E8" w:rsidRDefault="007E2F9F" w:rsidP="006548F8">
            <w:pPr>
              <w:ind w:left="1169" w:right="-1440"/>
              <w:rPr>
                <w:rFonts w:ascii="Arial" w:hAnsi="Arial" w:cs="Arial"/>
                <w:b/>
                <w:sz w:val="18"/>
                <w:szCs w:val="18"/>
                <w:lang w:val="es-ES_tradnl"/>
              </w:rPr>
            </w:pPr>
            <w:r w:rsidRPr="002346E8">
              <w:rPr>
                <w:rFonts w:ascii="Arial" w:hAnsi="Arial" w:cs="Arial"/>
                <w:b/>
                <w:sz w:val="18"/>
                <w:szCs w:val="18"/>
                <w:lang w:val="es-ES_tradnl"/>
              </w:rPr>
              <w:t>TIPO DE GASTO</w:t>
            </w:r>
          </w:p>
        </w:tc>
        <w:tc>
          <w:tcPr>
            <w:tcW w:w="2354" w:type="dxa"/>
          </w:tcPr>
          <w:p w14:paraId="12775BE5" w14:textId="77777777" w:rsidR="007E2F9F" w:rsidRPr="002346E8" w:rsidRDefault="007E2F9F" w:rsidP="006548F8">
            <w:pPr>
              <w:jc w:val="center"/>
              <w:rPr>
                <w:rFonts w:ascii="Arial" w:hAnsi="Arial" w:cs="Arial"/>
                <w:b/>
                <w:sz w:val="18"/>
                <w:szCs w:val="18"/>
                <w:lang w:val="es-ES_tradnl"/>
              </w:rPr>
            </w:pPr>
            <w:r w:rsidRPr="002346E8">
              <w:rPr>
                <w:rFonts w:ascii="Arial" w:hAnsi="Arial" w:cs="Arial"/>
                <w:b/>
                <w:sz w:val="18"/>
                <w:szCs w:val="18"/>
                <w:lang w:val="es-ES_tradnl"/>
              </w:rPr>
              <w:t>APROPIACIÓN</w:t>
            </w:r>
          </w:p>
          <w:p w14:paraId="080D291A" w14:textId="77777777" w:rsidR="007E2F9F" w:rsidRPr="002346E8" w:rsidRDefault="007E2F9F" w:rsidP="006548F8">
            <w:pPr>
              <w:jc w:val="center"/>
              <w:rPr>
                <w:rFonts w:ascii="Arial" w:hAnsi="Arial" w:cs="Arial"/>
                <w:b/>
                <w:sz w:val="18"/>
                <w:szCs w:val="18"/>
                <w:lang w:val="es-ES_tradnl"/>
              </w:rPr>
            </w:pPr>
            <w:r w:rsidRPr="002346E8">
              <w:rPr>
                <w:rFonts w:ascii="Arial" w:hAnsi="Arial" w:cs="Arial"/>
                <w:b/>
                <w:sz w:val="18"/>
                <w:szCs w:val="18"/>
                <w:lang w:val="es-ES_tradnl"/>
              </w:rPr>
              <w:t>DEFINITIVA</w:t>
            </w:r>
          </w:p>
          <w:p w14:paraId="7BEE7F4E" w14:textId="77777777" w:rsidR="007E2F9F" w:rsidRPr="002346E8" w:rsidRDefault="007E2F9F" w:rsidP="006548F8">
            <w:pPr>
              <w:jc w:val="center"/>
              <w:rPr>
                <w:rFonts w:ascii="Arial" w:hAnsi="Arial" w:cs="Arial"/>
                <w:b/>
                <w:sz w:val="18"/>
                <w:szCs w:val="18"/>
                <w:lang w:val="es-ES_tradnl"/>
              </w:rPr>
            </w:pPr>
            <w:r w:rsidRPr="002346E8">
              <w:rPr>
                <w:rFonts w:ascii="Arial" w:hAnsi="Arial" w:cs="Arial"/>
                <w:b/>
                <w:sz w:val="18"/>
                <w:szCs w:val="18"/>
                <w:lang w:val="es-ES_tradnl"/>
              </w:rPr>
              <w:t>(1)</w:t>
            </w:r>
          </w:p>
          <w:p w14:paraId="0796C604" w14:textId="77777777" w:rsidR="007E2F9F" w:rsidRPr="002346E8" w:rsidRDefault="007E2F9F" w:rsidP="006548F8">
            <w:pPr>
              <w:jc w:val="center"/>
              <w:rPr>
                <w:rFonts w:ascii="Arial" w:hAnsi="Arial" w:cs="Arial"/>
                <w:b/>
                <w:sz w:val="18"/>
                <w:szCs w:val="18"/>
                <w:lang w:val="es-ES_tradnl"/>
              </w:rPr>
            </w:pPr>
          </w:p>
        </w:tc>
        <w:tc>
          <w:tcPr>
            <w:tcW w:w="2354" w:type="dxa"/>
          </w:tcPr>
          <w:p w14:paraId="3E374E43" w14:textId="77777777" w:rsidR="007E2F9F" w:rsidRPr="002346E8" w:rsidRDefault="007E2F9F" w:rsidP="006548F8">
            <w:pPr>
              <w:ind w:left="145" w:right="184"/>
              <w:jc w:val="center"/>
              <w:rPr>
                <w:rFonts w:ascii="Arial" w:hAnsi="Arial" w:cs="Arial"/>
                <w:b/>
                <w:sz w:val="18"/>
                <w:szCs w:val="18"/>
                <w:lang w:val="es-ES_tradnl"/>
              </w:rPr>
            </w:pPr>
            <w:r w:rsidRPr="002346E8">
              <w:rPr>
                <w:rFonts w:ascii="Arial" w:hAnsi="Arial" w:cs="Arial"/>
                <w:b/>
                <w:sz w:val="18"/>
                <w:szCs w:val="18"/>
                <w:lang w:val="es-ES_tradnl"/>
              </w:rPr>
              <w:t>EJECUCIÓN</w:t>
            </w:r>
          </w:p>
          <w:p w14:paraId="6AC22CC4" w14:textId="77777777" w:rsidR="007E2F9F" w:rsidRPr="002346E8" w:rsidRDefault="007E2F9F" w:rsidP="006548F8">
            <w:pPr>
              <w:ind w:right="34"/>
              <w:jc w:val="center"/>
              <w:rPr>
                <w:rFonts w:ascii="Arial" w:hAnsi="Arial" w:cs="Arial"/>
                <w:b/>
                <w:sz w:val="18"/>
                <w:szCs w:val="18"/>
                <w:lang w:val="es-ES_tradnl"/>
              </w:rPr>
            </w:pPr>
            <w:r w:rsidRPr="002346E8">
              <w:rPr>
                <w:rFonts w:ascii="Arial" w:hAnsi="Arial" w:cs="Arial"/>
                <w:b/>
                <w:sz w:val="18"/>
                <w:szCs w:val="18"/>
                <w:lang w:val="es-ES_tradnl"/>
              </w:rPr>
              <w:t>COMPROMISOS</w:t>
            </w:r>
          </w:p>
          <w:p w14:paraId="363C3F88" w14:textId="77777777" w:rsidR="007E2F9F" w:rsidRPr="002346E8" w:rsidRDefault="007E2F9F" w:rsidP="006548F8">
            <w:pPr>
              <w:ind w:right="34"/>
              <w:jc w:val="center"/>
              <w:rPr>
                <w:rFonts w:ascii="Arial" w:hAnsi="Arial" w:cs="Arial"/>
                <w:b/>
                <w:sz w:val="18"/>
                <w:szCs w:val="18"/>
                <w:lang w:val="es-ES_tradnl"/>
              </w:rPr>
            </w:pPr>
            <w:r w:rsidRPr="002346E8">
              <w:rPr>
                <w:rFonts w:ascii="Arial" w:hAnsi="Arial" w:cs="Arial"/>
                <w:b/>
                <w:sz w:val="18"/>
                <w:szCs w:val="18"/>
                <w:lang w:val="es-ES_tradnl"/>
              </w:rPr>
              <w:t>(2)</w:t>
            </w:r>
          </w:p>
        </w:tc>
        <w:tc>
          <w:tcPr>
            <w:tcW w:w="2238" w:type="dxa"/>
          </w:tcPr>
          <w:p w14:paraId="405E2690" w14:textId="77777777" w:rsidR="007E2F9F" w:rsidRPr="002346E8" w:rsidRDefault="007E2F9F" w:rsidP="006548F8">
            <w:pPr>
              <w:ind w:left="25" w:right="34"/>
              <w:jc w:val="center"/>
              <w:rPr>
                <w:rFonts w:ascii="Arial" w:hAnsi="Arial" w:cs="Arial"/>
                <w:b/>
                <w:sz w:val="18"/>
                <w:szCs w:val="18"/>
                <w:lang w:val="es-ES_tradnl"/>
              </w:rPr>
            </w:pPr>
            <w:r w:rsidRPr="002346E8">
              <w:rPr>
                <w:rFonts w:ascii="Arial" w:hAnsi="Arial" w:cs="Arial"/>
                <w:b/>
                <w:sz w:val="18"/>
                <w:szCs w:val="18"/>
                <w:lang w:val="es-ES_tradnl"/>
              </w:rPr>
              <w:t>PÉRDIDAS DE</w:t>
            </w:r>
          </w:p>
          <w:p w14:paraId="76FA3A33" w14:textId="77777777" w:rsidR="007E2F9F" w:rsidRPr="002346E8" w:rsidRDefault="007E2F9F" w:rsidP="006548F8">
            <w:pPr>
              <w:ind w:right="34"/>
              <w:jc w:val="center"/>
              <w:rPr>
                <w:rFonts w:ascii="Arial" w:hAnsi="Arial" w:cs="Arial"/>
                <w:b/>
                <w:sz w:val="18"/>
                <w:szCs w:val="18"/>
                <w:lang w:val="es-ES_tradnl"/>
              </w:rPr>
            </w:pPr>
            <w:r w:rsidRPr="002346E8">
              <w:rPr>
                <w:rFonts w:ascii="Arial" w:hAnsi="Arial" w:cs="Arial"/>
                <w:b/>
                <w:sz w:val="18"/>
                <w:szCs w:val="18"/>
                <w:lang w:val="es-ES_tradnl"/>
              </w:rPr>
              <w:t>APROPIACIÓN</w:t>
            </w:r>
          </w:p>
          <w:p w14:paraId="7897B933" w14:textId="77777777" w:rsidR="007E2F9F" w:rsidRPr="002346E8" w:rsidRDefault="007E2F9F" w:rsidP="006548F8">
            <w:pPr>
              <w:ind w:right="34"/>
              <w:jc w:val="center"/>
              <w:rPr>
                <w:rFonts w:ascii="Arial" w:hAnsi="Arial" w:cs="Arial"/>
                <w:b/>
                <w:sz w:val="18"/>
                <w:szCs w:val="18"/>
                <w:lang w:val="es-ES_tradnl"/>
              </w:rPr>
            </w:pPr>
            <w:r w:rsidRPr="002346E8">
              <w:rPr>
                <w:rFonts w:ascii="Arial" w:hAnsi="Arial" w:cs="Arial"/>
                <w:b/>
                <w:sz w:val="18"/>
                <w:szCs w:val="18"/>
                <w:lang w:val="es-ES_tradnl"/>
              </w:rPr>
              <w:t>3 = (1-2)</w:t>
            </w:r>
          </w:p>
        </w:tc>
      </w:tr>
      <w:tr w:rsidR="007E2F9F" w:rsidRPr="002346E8" w14:paraId="11DCBD2E" w14:textId="77777777" w:rsidTr="006548F8">
        <w:trPr>
          <w:trHeight w:val="230"/>
        </w:trPr>
        <w:tc>
          <w:tcPr>
            <w:tcW w:w="3544" w:type="dxa"/>
          </w:tcPr>
          <w:p w14:paraId="3A73BB2A" w14:textId="77777777" w:rsidR="007E2F9F" w:rsidRPr="002346E8" w:rsidRDefault="007E2F9F" w:rsidP="006548F8">
            <w:pPr>
              <w:ind w:right="-1440"/>
              <w:jc w:val="both"/>
              <w:rPr>
                <w:rFonts w:ascii="Arial" w:hAnsi="Arial" w:cs="Arial"/>
                <w:b/>
                <w:bCs/>
                <w:sz w:val="18"/>
                <w:szCs w:val="18"/>
                <w:lang w:val="es-ES_tradnl"/>
              </w:rPr>
            </w:pPr>
            <w:r w:rsidRPr="002346E8">
              <w:rPr>
                <w:rFonts w:ascii="Arial" w:hAnsi="Arial" w:cs="Arial"/>
                <w:b/>
                <w:bCs/>
                <w:sz w:val="18"/>
                <w:szCs w:val="18"/>
                <w:lang w:val="es-ES_tradnl"/>
              </w:rPr>
              <w:t>FUNCIONAMIENTO</w:t>
            </w:r>
          </w:p>
        </w:tc>
        <w:tc>
          <w:tcPr>
            <w:tcW w:w="2354" w:type="dxa"/>
            <w:vAlign w:val="center"/>
          </w:tcPr>
          <w:p w14:paraId="04E01BE5" w14:textId="77777777" w:rsidR="007E2F9F" w:rsidRPr="002346E8" w:rsidRDefault="007E2F9F" w:rsidP="006548F8">
            <w:pPr>
              <w:jc w:val="right"/>
              <w:rPr>
                <w:rFonts w:ascii="Arial" w:eastAsia="Calibri" w:hAnsi="Arial" w:cs="Arial"/>
                <w:b/>
                <w:bCs/>
                <w:sz w:val="18"/>
                <w:szCs w:val="18"/>
                <w:lang w:val="es-CO"/>
              </w:rPr>
            </w:pPr>
            <w:r w:rsidRPr="002346E8">
              <w:rPr>
                <w:rFonts w:ascii="Arial" w:hAnsi="Arial" w:cs="Arial"/>
                <w:b/>
                <w:bCs/>
                <w:color w:val="000000"/>
              </w:rPr>
              <w:t>80.764.417</w:t>
            </w:r>
          </w:p>
        </w:tc>
        <w:tc>
          <w:tcPr>
            <w:tcW w:w="2354" w:type="dxa"/>
            <w:vAlign w:val="center"/>
          </w:tcPr>
          <w:p w14:paraId="249AC74E" w14:textId="77777777" w:rsidR="007E2F9F" w:rsidRPr="002346E8" w:rsidRDefault="007E2F9F" w:rsidP="006548F8">
            <w:pPr>
              <w:pStyle w:val="Prrafodelista"/>
              <w:ind w:left="0"/>
              <w:jc w:val="right"/>
              <w:rPr>
                <w:rFonts w:ascii="Arial" w:hAnsi="Arial" w:cs="Arial"/>
                <w:b/>
                <w:bCs/>
                <w:sz w:val="18"/>
                <w:szCs w:val="18"/>
              </w:rPr>
            </w:pPr>
            <w:r w:rsidRPr="002346E8">
              <w:rPr>
                <w:rFonts w:ascii="Arial" w:hAnsi="Arial" w:cs="Arial"/>
                <w:b/>
                <w:bCs/>
                <w:color w:val="000000"/>
              </w:rPr>
              <w:t>59.027.231</w:t>
            </w:r>
          </w:p>
        </w:tc>
        <w:tc>
          <w:tcPr>
            <w:tcW w:w="2238" w:type="dxa"/>
            <w:vAlign w:val="center"/>
          </w:tcPr>
          <w:p w14:paraId="60DCCE21" w14:textId="77777777" w:rsidR="007E2F9F" w:rsidRPr="002346E8" w:rsidRDefault="007E2F9F" w:rsidP="006548F8">
            <w:pPr>
              <w:pStyle w:val="Prrafodelista"/>
              <w:ind w:left="0"/>
              <w:jc w:val="right"/>
              <w:rPr>
                <w:rFonts w:ascii="Arial" w:hAnsi="Arial" w:cs="Arial"/>
                <w:b/>
                <w:bCs/>
                <w:sz w:val="18"/>
                <w:szCs w:val="18"/>
              </w:rPr>
            </w:pPr>
            <w:r w:rsidRPr="002346E8">
              <w:rPr>
                <w:rFonts w:ascii="Arial" w:hAnsi="Arial" w:cs="Arial"/>
                <w:b/>
                <w:bCs/>
                <w:color w:val="000000"/>
              </w:rPr>
              <w:t>21.737.186</w:t>
            </w:r>
          </w:p>
        </w:tc>
      </w:tr>
      <w:tr w:rsidR="007E2F9F" w:rsidRPr="002346E8" w14:paraId="795ADB1E" w14:textId="77777777" w:rsidTr="006548F8">
        <w:trPr>
          <w:trHeight w:val="230"/>
        </w:trPr>
        <w:tc>
          <w:tcPr>
            <w:tcW w:w="3544" w:type="dxa"/>
          </w:tcPr>
          <w:p w14:paraId="5C52447B" w14:textId="77777777" w:rsidR="007E2F9F" w:rsidRPr="002346E8" w:rsidRDefault="007E2F9F" w:rsidP="006548F8">
            <w:pPr>
              <w:ind w:right="-1440"/>
              <w:jc w:val="both"/>
              <w:rPr>
                <w:rFonts w:ascii="Arial" w:hAnsi="Arial" w:cs="Arial"/>
                <w:b/>
                <w:bCs/>
                <w:sz w:val="18"/>
                <w:szCs w:val="18"/>
                <w:lang w:val="es-ES_tradnl"/>
              </w:rPr>
            </w:pPr>
            <w:r w:rsidRPr="002346E8">
              <w:rPr>
                <w:rFonts w:ascii="Arial" w:hAnsi="Arial" w:cs="Arial"/>
                <w:b/>
                <w:bCs/>
                <w:sz w:val="18"/>
                <w:szCs w:val="18"/>
                <w:lang w:val="es-ES_tradnl"/>
              </w:rPr>
              <w:t>NVERSIÓN</w:t>
            </w:r>
          </w:p>
        </w:tc>
        <w:tc>
          <w:tcPr>
            <w:tcW w:w="2354" w:type="dxa"/>
            <w:vAlign w:val="center"/>
          </w:tcPr>
          <w:p w14:paraId="5B1A1A6B" w14:textId="77777777" w:rsidR="007E2F9F" w:rsidRPr="002346E8" w:rsidRDefault="007E2F9F" w:rsidP="006548F8">
            <w:pPr>
              <w:jc w:val="right"/>
              <w:rPr>
                <w:rFonts w:ascii="Arial" w:eastAsia="Calibri" w:hAnsi="Arial" w:cs="Arial"/>
                <w:b/>
                <w:bCs/>
                <w:sz w:val="18"/>
                <w:szCs w:val="18"/>
                <w:lang w:val="es-CO"/>
              </w:rPr>
            </w:pPr>
            <w:r w:rsidRPr="002346E8">
              <w:rPr>
                <w:rFonts w:ascii="Arial" w:hAnsi="Arial" w:cs="Arial"/>
                <w:b/>
                <w:bCs/>
                <w:color w:val="000000"/>
              </w:rPr>
              <w:t>135.518.133</w:t>
            </w:r>
          </w:p>
        </w:tc>
        <w:tc>
          <w:tcPr>
            <w:tcW w:w="2354" w:type="dxa"/>
            <w:vAlign w:val="center"/>
          </w:tcPr>
          <w:p w14:paraId="13745EC1" w14:textId="77777777" w:rsidR="007E2F9F" w:rsidRPr="002346E8" w:rsidRDefault="007E2F9F" w:rsidP="006548F8">
            <w:pPr>
              <w:pStyle w:val="Prrafodelista"/>
              <w:ind w:left="0"/>
              <w:jc w:val="right"/>
              <w:rPr>
                <w:rFonts w:ascii="Arial" w:eastAsia="Calibri" w:hAnsi="Arial" w:cs="Arial"/>
                <w:b/>
                <w:bCs/>
                <w:sz w:val="18"/>
                <w:szCs w:val="18"/>
                <w:lang w:val="es-CO"/>
              </w:rPr>
            </w:pPr>
            <w:r w:rsidRPr="002346E8">
              <w:rPr>
                <w:rFonts w:ascii="Arial" w:hAnsi="Arial" w:cs="Arial"/>
                <w:b/>
                <w:bCs/>
                <w:color w:val="000000"/>
              </w:rPr>
              <w:t>97.129.218</w:t>
            </w:r>
          </w:p>
        </w:tc>
        <w:tc>
          <w:tcPr>
            <w:tcW w:w="2238" w:type="dxa"/>
            <w:vAlign w:val="center"/>
          </w:tcPr>
          <w:p w14:paraId="7263CA75" w14:textId="77777777" w:rsidR="007E2F9F" w:rsidRPr="002346E8" w:rsidRDefault="007E2F9F" w:rsidP="006548F8">
            <w:pPr>
              <w:pStyle w:val="Prrafodelista"/>
              <w:ind w:left="0"/>
              <w:jc w:val="right"/>
              <w:rPr>
                <w:rFonts w:ascii="Arial" w:hAnsi="Arial" w:cs="Arial"/>
                <w:b/>
                <w:bCs/>
                <w:sz w:val="18"/>
                <w:szCs w:val="18"/>
              </w:rPr>
            </w:pPr>
            <w:r w:rsidRPr="002346E8">
              <w:rPr>
                <w:rFonts w:ascii="Arial" w:hAnsi="Arial" w:cs="Arial"/>
                <w:b/>
                <w:bCs/>
                <w:color w:val="000000"/>
              </w:rPr>
              <w:t>38.388.915</w:t>
            </w:r>
          </w:p>
        </w:tc>
      </w:tr>
      <w:tr w:rsidR="007E2F9F" w:rsidRPr="002346E8" w14:paraId="2DC0F5AE" w14:textId="77777777" w:rsidTr="006548F8">
        <w:tc>
          <w:tcPr>
            <w:tcW w:w="3544" w:type="dxa"/>
          </w:tcPr>
          <w:p w14:paraId="2D950E67" w14:textId="77777777" w:rsidR="007E2F9F" w:rsidRPr="002346E8" w:rsidRDefault="007E2F9F" w:rsidP="006548F8">
            <w:pPr>
              <w:ind w:right="-1440"/>
              <w:jc w:val="both"/>
              <w:rPr>
                <w:rFonts w:ascii="Arial" w:hAnsi="Arial" w:cs="Arial"/>
                <w:b/>
                <w:bCs/>
                <w:sz w:val="18"/>
                <w:szCs w:val="18"/>
                <w:lang w:val="es-ES_tradnl"/>
              </w:rPr>
            </w:pPr>
            <w:r w:rsidRPr="002346E8">
              <w:rPr>
                <w:rFonts w:ascii="Arial" w:hAnsi="Arial" w:cs="Arial"/>
                <w:b/>
                <w:bCs/>
                <w:sz w:val="18"/>
                <w:szCs w:val="18"/>
                <w:lang w:val="es-ES_tradnl"/>
              </w:rPr>
              <w:t>TOTAL PÉRDIDAS DE APROPIACIÓN</w:t>
            </w:r>
          </w:p>
        </w:tc>
        <w:tc>
          <w:tcPr>
            <w:tcW w:w="2354" w:type="dxa"/>
            <w:vAlign w:val="center"/>
          </w:tcPr>
          <w:p w14:paraId="4A564CAD" w14:textId="77777777" w:rsidR="007E2F9F" w:rsidRPr="002346E8" w:rsidRDefault="007E2F9F" w:rsidP="006548F8">
            <w:pPr>
              <w:pStyle w:val="Prrafodelista"/>
              <w:ind w:left="0"/>
              <w:jc w:val="right"/>
              <w:rPr>
                <w:rFonts w:ascii="Arial" w:hAnsi="Arial" w:cs="Arial"/>
                <w:b/>
                <w:bCs/>
                <w:sz w:val="18"/>
                <w:szCs w:val="18"/>
                <w:u w:val="single"/>
              </w:rPr>
            </w:pPr>
            <w:r w:rsidRPr="002346E8">
              <w:rPr>
                <w:rFonts w:ascii="Arial" w:hAnsi="Arial" w:cs="Arial"/>
                <w:b/>
                <w:bCs/>
                <w:color w:val="000000"/>
              </w:rPr>
              <w:t>216.282.550</w:t>
            </w:r>
          </w:p>
        </w:tc>
        <w:tc>
          <w:tcPr>
            <w:tcW w:w="2354" w:type="dxa"/>
            <w:vAlign w:val="center"/>
          </w:tcPr>
          <w:p w14:paraId="6BC858B8" w14:textId="77777777" w:rsidR="007E2F9F" w:rsidRPr="002346E8" w:rsidRDefault="007E2F9F" w:rsidP="006548F8">
            <w:pPr>
              <w:pStyle w:val="Prrafodelista"/>
              <w:ind w:left="0"/>
              <w:jc w:val="right"/>
              <w:rPr>
                <w:rFonts w:ascii="Arial" w:hAnsi="Arial" w:cs="Arial"/>
                <w:b/>
                <w:bCs/>
                <w:sz w:val="18"/>
                <w:szCs w:val="18"/>
                <w:u w:val="single"/>
              </w:rPr>
            </w:pPr>
            <w:r w:rsidRPr="002346E8">
              <w:rPr>
                <w:rFonts w:ascii="Arial" w:hAnsi="Arial" w:cs="Arial"/>
                <w:b/>
                <w:bCs/>
                <w:color w:val="000000"/>
              </w:rPr>
              <w:t>156.156.449</w:t>
            </w:r>
          </w:p>
        </w:tc>
        <w:tc>
          <w:tcPr>
            <w:tcW w:w="2238" w:type="dxa"/>
            <w:vAlign w:val="center"/>
          </w:tcPr>
          <w:p w14:paraId="00007CD0" w14:textId="77777777" w:rsidR="007E2F9F" w:rsidRPr="002346E8" w:rsidRDefault="007E2F9F" w:rsidP="006548F8">
            <w:pPr>
              <w:pStyle w:val="Prrafodelista"/>
              <w:ind w:left="0"/>
              <w:jc w:val="right"/>
              <w:rPr>
                <w:rFonts w:ascii="Arial" w:hAnsi="Arial" w:cs="Arial"/>
                <w:b/>
                <w:bCs/>
                <w:sz w:val="18"/>
                <w:szCs w:val="18"/>
                <w:u w:val="single"/>
              </w:rPr>
            </w:pPr>
            <w:r w:rsidRPr="002346E8">
              <w:rPr>
                <w:rFonts w:ascii="Arial" w:hAnsi="Arial" w:cs="Arial"/>
                <w:b/>
                <w:bCs/>
                <w:color w:val="000000"/>
              </w:rPr>
              <w:t>60.126.101</w:t>
            </w:r>
          </w:p>
        </w:tc>
      </w:tr>
    </w:tbl>
    <w:p w14:paraId="5E9DDDF1" w14:textId="77777777" w:rsidR="007E2F9F" w:rsidRDefault="007E2F9F" w:rsidP="007E2F9F">
      <w:pPr>
        <w:pStyle w:val="Prrafodelista"/>
        <w:spacing w:before="92"/>
        <w:ind w:left="-142"/>
        <w:rPr>
          <w:rFonts w:ascii="Arial" w:hAnsi="Arial" w:cs="Arial"/>
          <w:b/>
          <w:sz w:val="24"/>
          <w:lang w:val="es-MX"/>
        </w:rPr>
      </w:pPr>
    </w:p>
    <w:p w14:paraId="695843FC" w14:textId="56E23335" w:rsidR="007E2F9F" w:rsidRDefault="007E2F9F" w:rsidP="007E2F9F">
      <w:pPr>
        <w:ind w:left="-284" w:right="-234"/>
        <w:jc w:val="both"/>
        <w:rPr>
          <w:rFonts w:ascii="Arial" w:eastAsia="Calibri" w:hAnsi="Arial" w:cs="Arial"/>
          <w:b/>
          <w:sz w:val="28"/>
          <w:szCs w:val="28"/>
          <w:lang w:val="es-MX"/>
        </w:rPr>
      </w:pPr>
      <w:r w:rsidRPr="00B215A2">
        <w:rPr>
          <w:rFonts w:ascii="Arial" w:hAnsi="Arial" w:cs="Arial"/>
          <w:b/>
          <w:sz w:val="28"/>
          <w:szCs w:val="28"/>
          <w:lang w:val="es-MX"/>
        </w:rPr>
        <w:t xml:space="preserve">305.- </w:t>
      </w:r>
      <w:r w:rsidRPr="00B215A2">
        <w:rPr>
          <w:rFonts w:ascii="Arial" w:eastAsia="Calibri" w:hAnsi="Arial" w:cs="Arial"/>
          <w:b/>
          <w:sz w:val="28"/>
          <w:szCs w:val="28"/>
          <w:lang w:val="es-MX"/>
        </w:rPr>
        <w:t>FONDO SOCIAL DE VIVIENDA - REGISTRADURÍA NACIONAL DEL ESTADO CIVIL.</w:t>
      </w:r>
    </w:p>
    <w:p w14:paraId="3ED35CE2" w14:textId="77777777" w:rsidR="008A43C3" w:rsidRPr="00B215A2" w:rsidRDefault="008A43C3" w:rsidP="007E2F9F">
      <w:pPr>
        <w:ind w:left="-284" w:right="-234"/>
        <w:jc w:val="both"/>
        <w:rPr>
          <w:rFonts w:ascii="Arial" w:eastAsia="Calibri" w:hAnsi="Arial" w:cs="Arial"/>
          <w:b/>
          <w:sz w:val="28"/>
          <w:szCs w:val="28"/>
          <w:lang w:val="es-MX"/>
        </w:rPr>
      </w:pPr>
    </w:p>
    <w:p w14:paraId="7A3507CA"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5F78CA24"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7EFA75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4B034E" w14:paraId="6C0A5BD1" w14:textId="77777777" w:rsidTr="006548F8">
        <w:tc>
          <w:tcPr>
            <w:tcW w:w="3544" w:type="dxa"/>
          </w:tcPr>
          <w:p w14:paraId="7FF45DEB" w14:textId="77777777" w:rsidR="007E2F9F" w:rsidRPr="004B034E" w:rsidRDefault="007E2F9F" w:rsidP="006548F8">
            <w:pPr>
              <w:ind w:left="1169" w:right="-1440"/>
              <w:rPr>
                <w:rFonts w:ascii="Arial" w:hAnsi="Arial" w:cs="Arial"/>
                <w:b/>
                <w:sz w:val="18"/>
                <w:szCs w:val="18"/>
                <w:lang w:val="es-ES_tradnl"/>
              </w:rPr>
            </w:pPr>
            <w:r w:rsidRPr="004B034E">
              <w:rPr>
                <w:rFonts w:ascii="Arial" w:hAnsi="Arial" w:cs="Arial"/>
                <w:b/>
                <w:sz w:val="18"/>
                <w:szCs w:val="18"/>
                <w:lang w:val="es-ES_tradnl"/>
              </w:rPr>
              <w:t>TIPO DE GASTO</w:t>
            </w:r>
          </w:p>
        </w:tc>
        <w:tc>
          <w:tcPr>
            <w:tcW w:w="2354" w:type="dxa"/>
          </w:tcPr>
          <w:p w14:paraId="5CC3F6FB" w14:textId="77777777" w:rsidR="007E2F9F" w:rsidRPr="004B034E" w:rsidRDefault="007E2F9F" w:rsidP="006548F8">
            <w:pPr>
              <w:jc w:val="center"/>
              <w:rPr>
                <w:rFonts w:ascii="Arial" w:hAnsi="Arial" w:cs="Arial"/>
                <w:b/>
                <w:sz w:val="18"/>
                <w:szCs w:val="18"/>
                <w:lang w:val="es-ES_tradnl"/>
              </w:rPr>
            </w:pPr>
            <w:r w:rsidRPr="004B034E">
              <w:rPr>
                <w:rFonts w:ascii="Arial" w:hAnsi="Arial" w:cs="Arial"/>
                <w:b/>
                <w:sz w:val="18"/>
                <w:szCs w:val="18"/>
                <w:lang w:val="es-ES_tradnl"/>
              </w:rPr>
              <w:t>APROPIACIÓN</w:t>
            </w:r>
          </w:p>
          <w:p w14:paraId="64E6E9B3" w14:textId="77777777" w:rsidR="007E2F9F" w:rsidRPr="004B034E" w:rsidRDefault="007E2F9F" w:rsidP="006548F8">
            <w:pPr>
              <w:jc w:val="center"/>
              <w:rPr>
                <w:rFonts w:ascii="Arial" w:hAnsi="Arial" w:cs="Arial"/>
                <w:b/>
                <w:sz w:val="18"/>
                <w:szCs w:val="18"/>
                <w:lang w:val="es-ES_tradnl"/>
              </w:rPr>
            </w:pPr>
            <w:r w:rsidRPr="004B034E">
              <w:rPr>
                <w:rFonts w:ascii="Arial" w:hAnsi="Arial" w:cs="Arial"/>
                <w:b/>
                <w:sz w:val="18"/>
                <w:szCs w:val="18"/>
                <w:lang w:val="es-ES_tradnl"/>
              </w:rPr>
              <w:t>DEFINITIVA</w:t>
            </w:r>
          </w:p>
          <w:p w14:paraId="09A07529" w14:textId="77777777" w:rsidR="007E2F9F" w:rsidRPr="004B034E" w:rsidRDefault="007E2F9F" w:rsidP="006548F8">
            <w:pPr>
              <w:jc w:val="center"/>
              <w:rPr>
                <w:rFonts w:ascii="Arial" w:hAnsi="Arial" w:cs="Arial"/>
                <w:b/>
                <w:sz w:val="18"/>
                <w:szCs w:val="18"/>
                <w:lang w:val="es-ES_tradnl"/>
              </w:rPr>
            </w:pPr>
            <w:r w:rsidRPr="004B034E">
              <w:rPr>
                <w:rFonts w:ascii="Arial" w:hAnsi="Arial" w:cs="Arial"/>
                <w:b/>
                <w:sz w:val="18"/>
                <w:szCs w:val="18"/>
                <w:lang w:val="es-ES_tradnl"/>
              </w:rPr>
              <w:t>(1)</w:t>
            </w:r>
          </w:p>
          <w:p w14:paraId="6BBB6668" w14:textId="77777777" w:rsidR="007E2F9F" w:rsidRPr="004B034E" w:rsidRDefault="007E2F9F" w:rsidP="006548F8">
            <w:pPr>
              <w:jc w:val="center"/>
              <w:rPr>
                <w:rFonts w:ascii="Arial" w:hAnsi="Arial" w:cs="Arial"/>
                <w:b/>
                <w:sz w:val="18"/>
                <w:szCs w:val="18"/>
                <w:lang w:val="es-ES_tradnl"/>
              </w:rPr>
            </w:pPr>
          </w:p>
        </w:tc>
        <w:tc>
          <w:tcPr>
            <w:tcW w:w="2354" w:type="dxa"/>
          </w:tcPr>
          <w:p w14:paraId="0F548CAF" w14:textId="77777777" w:rsidR="007E2F9F" w:rsidRPr="004B034E" w:rsidRDefault="007E2F9F" w:rsidP="006548F8">
            <w:pPr>
              <w:ind w:left="145" w:right="184"/>
              <w:jc w:val="center"/>
              <w:rPr>
                <w:rFonts w:ascii="Arial" w:hAnsi="Arial" w:cs="Arial"/>
                <w:b/>
                <w:sz w:val="18"/>
                <w:szCs w:val="18"/>
                <w:lang w:val="es-ES_tradnl"/>
              </w:rPr>
            </w:pPr>
            <w:r w:rsidRPr="004B034E">
              <w:rPr>
                <w:rFonts w:ascii="Arial" w:hAnsi="Arial" w:cs="Arial"/>
                <w:b/>
                <w:sz w:val="18"/>
                <w:szCs w:val="18"/>
                <w:lang w:val="es-ES_tradnl"/>
              </w:rPr>
              <w:t>EJECUCIÓN</w:t>
            </w:r>
          </w:p>
          <w:p w14:paraId="39A5D471" w14:textId="77777777" w:rsidR="007E2F9F" w:rsidRPr="004B034E" w:rsidRDefault="007E2F9F" w:rsidP="006548F8">
            <w:pPr>
              <w:ind w:right="34"/>
              <w:jc w:val="center"/>
              <w:rPr>
                <w:rFonts w:ascii="Arial" w:hAnsi="Arial" w:cs="Arial"/>
                <w:b/>
                <w:sz w:val="18"/>
                <w:szCs w:val="18"/>
                <w:lang w:val="es-ES_tradnl"/>
              </w:rPr>
            </w:pPr>
            <w:r w:rsidRPr="004B034E">
              <w:rPr>
                <w:rFonts w:ascii="Arial" w:hAnsi="Arial" w:cs="Arial"/>
                <w:b/>
                <w:sz w:val="18"/>
                <w:szCs w:val="18"/>
                <w:lang w:val="es-ES_tradnl"/>
              </w:rPr>
              <w:t>COMPROMISOS</w:t>
            </w:r>
          </w:p>
          <w:p w14:paraId="29D3B5BD" w14:textId="77777777" w:rsidR="007E2F9F" w:rsidRPr="004B034E" w:rsidRDefault="007E2F9F" w:rsidP="006548F8">
            <w:pPr>
              <w:ind w:right="34"/>
              <w:jc w:val="center"/>
              <w:rPr>
                <w:rFonts w:ascii="Arial" w:hAnsi="Arial" w:cs="Arial"/>
                <w:b/>
                <w:sz w:val="18"/>
                <w:szCs w:val="18"/>
                <w:lang w:val="es-ES_tradnl"/>
              </w:rPr>
            </w:pPr>
            <w:r w:rsidRPr="004B034E">
              <w:rPr>
                <w:rFonts w:ascii="Arial" w:hAnsi="Arial" w:cs="Arial"/>
                <w:b/>
                <w:sz w:val="18"/>
                <w:szCs w:val="18"/>
                <w:lang w:val="es-ES_tradnl"/>
              </w:rPr>
              <w:t>(2)</w:t>
            </w:r>
          </w:p>
        </w:tc>
        <w:tc>
          <w:tcPr>
            <w:tcW w:w="2238" w:type="dxa"/>
          </w:tcPr>
          <w:p w14:paraId="39EFE076" w14:textId="77777777" w:rsidR="007E2F9F" w:rsidRPr="004B034E" w:rsidRDefault="007E2F9F" w:rsidP="006548F8">
            <w:pPr>
              <w:ind w:left="25" w:right="34"/>
              <w:jc w:val="center"/>
              <w:rPr>
                <w:rFonts w:ascii="Arial" w:hAnsi="Arial" w:cs="Arial"/>
                <w:b/>
                <w:sz w:val="18"/>
                <w:szCs w:val="18"/>
                <w:lang w:val="es-ES_tradnl"/>
              </w:rPr>
            </w:pPr>
            <w:r w:rsidRPr="004B034E">
              <w:rPr>
                <w:rFonts w:ascii="Arial" w:hAnsi="Arial" w:cs="Arial"/>
                <w:b/>
                <w:sz w:val="18"/>
                <w:szCs w:val="18"/>
                <w:lang w:val="es-ES_tradnl"/>
              </w:rPr>
              <w:t>PÉRDIDAS DE</w:t>
            </w:r>
          </w:p>
          <w:p w14:paraId="4282EFAD" w14:textId="77777777" w:rsidR="007E2F9F" w:rsidRPr="004B034E" w:rsidRDefault="007E2F9F" w:rsidP="006548F8">
            <w:pPr>
              <w:ind w:right="34"/>
              <w:jc w:val="center"/>
              <w:rPr>
                <w:rFonts w:ascii="Arial" w:hAnsi="Arial" w:cs="Arial"/>
                <w:b/>
                <w:sz w:val="18"/>
                <w:szCs w:val="18"/>
                <w:lang w:val="es-ES_tradnl"/>
              </w:rPr>
            </w:pPr>
            <w:r w:rsidRPr="004B034E">
              <w:rPr>
                <w:rFonts w:ascii="Arial" w:hAnsi="Arial" w:cs="Arial"/>
                <w:b/>
                <w:sz w:val="18"/>
                <w:szCs w:val="18"/>
                <w:lang w:val="es-ES_tradnl"/>
              </w:rPr>
              <w:t>APROPIACIÓN</w:t>
            </w:r>
          </w:p>
          <w:p w14:paraId="34318D66" w14:textId="77777777" w:rsidR="007E2F9F" w:rsidRPr="004B034E" w:rsidRDefault="007E2F9F" w:rsidP="006548F8">
            <w:pPr>
              <w:ind w:right="34"/>
              <w:jc w:val="center"/>
              <w:rPr>
                <w:rFonts w:ascii="Arial" w:hAnsi="Arial" w:cs="Arial"/>
                <w:b/>
                <w:sz w:val="18"/>
                <w:szCs w:val="18"/>
                <w:lang w:val="es-ES_tradnl"/>
              </w:rPr>
            </w:pPr>
            <w:r w:rsidRPr="004B034E">
              <w:rPr>
                <w:rFonts w:ascii="Arial" w:hAnsi="Arial" w:cs="Arial"/>
                <w:b/>
                <w:sz w:val="18"/>
                <w:szCs w:val="18"/>
                <w:lang w:val="es-ES_tradnl"/>
              </w:rPr>
              <w:t>3 = (1-2)</w:t>
            </w:r>
          </w:p>
        </w:tc>
      </w:tr>
      <w:tr w:rsidR="007E2F9F" w:rsidRPr="004B034E" w14:paraId="53FB414E" w14:textId="77777777" w:rsidTr="006548F8">
        <w:trPr>
          <w:trHeight w:val="230"/>
        </w:trPr>
        <w:tc>
          <w:tcPr>
            <w:tcW w:w="3544" w:type="dxa"/>
          </w:tcPr>
          <w:p w14:paraId="647151FE" w14:textId="77777777" w:rsidR="007E2F9F" w:rsidRPr="004B034E" w:rsidRDefault="007E2F9F" w:rsidP="006548F8">
            <w:pPr>
              <w:ind w:right="-1440"/>
              <w:jc w:val="both"/>
              <w:rPr>
                <w:rFonts w:ascii="Arial" w:hAnsi="Arial" w:cs="Arial"/>
                <w:b/>
                <w:bCs/>
                <w:sz w:val="18"/>
                <w:szCs w:val="18"/>
                <w:lang w:val="es-ES_tradnl"/>
              </w:rPr>
            </w:pPr>
            <w:r w:rsidRPr="004B034E">
              <w:rPr>
                <w:rFonts w:ascii="Arial" w:hAnsi="Arial" w:cs="Arial"/>
                <w:b/>
                <w:bCs/>
                <w:sz w:val="18"/>
                <w:szCs w:val="18"/>
                <w:lang w:val="es-ES_tradnl"/>
              </w:rPr>
              <w:t>FUNCIONAMIENTO</w:t>
            </w:r>
          </w:p>
        </w:tc>
        <w:tc>
          <w:tcPr>
            <w:tcW w:w="2354" w:type="dxa"/>
            <w:vAlign w:val="center"/>
          </w:tcPr>
          <w:p w14:paraId="6A635ADB" w14:textId="77777777" w:rsidR="007E2F9F" w:rsidRPr="004B034E" w:rsidRDefault="007E2F9F" w:rsidP="006548F8">
            <w:pPr>
              <w:jc w:val="right"/>
              <w:rPr>
                <w:rFonts w:ascii="Arial" w:eastAsia="Calibri" w:hAnsi="Arial" w:cs="Arial"/>
                <w:b/>
                <w:bCs/>
                <w:sz w:val="18"/>
                <w:szCs w:val="18"/>
                <w:lang w:val="es-CO"/>
              </w:rPr>
            </w:pPr>
            <w:r w:rsidRPr="004B034E">
              <w:rPr>
                <w:rFonts w:ascii="Arial" w:hAnsi="Arial" w:cs="Arial"/>
                <w:b/>
                <w:bCs/>
                <w:color w:val="000000"/>
              </w:rPr>
              <w:t>15.349.613</w:t>
            </w:r>
          </w:p>
        </w:tc>
        <w:tc>
          <w:tcPr>
            <w:tcW w:w="2354" w:type="dxa"/>
            <w:vAlign w:val="center"/>
          </w:tcPr>
          <w:p w14:paraId="00A17EBF" w14:textId="77777777" w:rsidR="007E2F9F" w:rsidRPr="004B034E" w:rsidRDefault="007E2F9F" w:rsidP="006548F8">
            <w:pPr>
              <w:pStyle w:val="Prrafodelista"/>
              <w:ind w:left="0"/>
              <w:jc w:val="right"/>
              <w:rPr>
                <w:rFonts w:ascii="Arial" w:hAnsi="Arial" w:cs="Arial"/>
                <w:b/>
                <w:bCs/>
                <w:sz w:val="18"/>
                <w:szCs w:val="18"/>
              </w:rPr>
            </w:pPr>
            <w:r w:rsidRPr="004B034E">
              <w:rPr>
                <w:rFonts w:ascii="Arial" w:hAnsi="Arial" w:cs="Arial"/>
                <w:b/>
                <w:bCs/>
                <w:color w:val="000000"/>
              </w:rPr>
              <w:t>13.432.842</w:t>
            </w:r>
          </w:p>
        </w:tc>
        <w:tc>
          <w:tcPr>
            <w:tcW w:w="2238" w:type="dxa"/>
            <w:vAlign w:val="center"/>
          </w:tcPr>
          <w:p w14:paraId="4E880A2D" w14:textId="77777777" w:rsidR="007E2F9F" w:rsidRPr="004B034E" w:rsidRDefault="007E2F9F" w:rsidP="006548F8">
            <w:pPr>
              <w:pStyle w:val="Prrafodelista"/>
              <w:ind w:left="0"/>
              <w:jc w:val="right"/>
              <w:rPr>
                <w:rFonts w:ascii="Arial" w:hAnsi="Arial" w:cs="Arial"/>
                <w:b/>
                <w:bCs/>
                <w:sz w:val="18"/>
                <w:szCs w:val="18"/>
              </w:rPr>
            </w:pPr>
            <w:r w:rsidRPr="004B034E">
              <w:rPr>
                <w:rFonts w:ascii="Arial" w:hAnsi="Arial" w:cs="Arial"/>
                <w:b/>
                <w:bCs/>
                <w:color w:val="000000"/>
              </w:rPr>
              <w:t>1.916.771</w:t>
            </w:r>
          </w:p>
        </w:tc>
      </w:tr>
      <w:tr w:rsidR="007E2F9F" w:rsidRPr="004B034E" w14:paraId="2C5F9F03" w14:textId="77777777" w:rsidTr="006548F8">
        <w:trPr>
          <w:trHeight w:val="230"/>
        </w:trPr>
        <w:tc>
          <w:tcPr>
            <w:tcW w:w="3544" w:type="dxa"/>
          </w:tcPr>
          <w:p w14:paraId="69053449" w14:textId="77777777" w:rsidR="007E2F9F" w:rsidRPr="004B034E" w:rsidRDefault="007E2F9F" w:rsidP="006548F8">
            <w:pPr>
              <w:ind w:right="-1440"/>
              <w:jc w:val="both"/>
              <w:rPr>
                <w:rFonts w:ascii="Arial" w:hAnsi="Arial" w:cs="Arial"/>
                <w:b/>
                <w:bCs/>
                <w:sz w:val="18"/>
                <w:szCs w:val="18"/>
                <w:lang w:val="es-ES_tradnl"/>
              </w:rPr>
            </w:pPr>
            <w:r w:rsidRPr="004B034E">
              <w:rPr>
                <w:rFonts w:ascii="Arial" w:hAnsi="Arial" w:cs="Arial"/>
                <w:b/>
                <w:bCs/>
                <w:sz w:val="18"/>
                <w:szCs w:val="18"/>
                <w:lang w:val="es-ES_tradnl"/>
              </w:rPr>
              <w:lastRenderedPageBreak/>
              <w:t>NVERSIÓN</w:t>
            </w:r>
          </w:p>
        </w:tc>
        <w:tc>
          <w:tcPr>
            <w:tcW w:w="2354" w:type="dxa"/>
            <w:vAlign w:val="center"/>
          </w:tcPr>
          <w:p w14:paraId="07B3C464" w14:textId="77777777" w:rsidR="007E2F9F" w:rsidRPr="004B034E" w:rsidRDefault="007E2F9F" w:rsidP="006548F8">
            <w:pPr>
              <w:jc w:val="right"/>
              <w:rPr>
                <w:rFonts w:ascii="Arial" w:eastAsia="Calibri" w:hAnsi="Arial" w:cs="Arial"/>
                <w:b/>
                <w:bCs/>
                <w:sz w:val="18"/>
                <w:szCs w:val="18"/>
                <w:lang w:val="es-CO"/>
              </w:rPr>
            </w:pPr>
            <w:r w:rsidRPr="004B034E">
              <w:rPr>
                <w:rFonts w:ascii="Arial" w:hAnsi="Arial" w:cs="Arial"/>
                <w:color w:val="000000"/>
              </w:rPr>
              <w:t>46.091</w:t>
            </w:r>
          </w:p>
        </w:tc>
        <w:tc>
          <w:tcPr>
            <w:tcW w:w="2354" w:type="dxa"/>
            <w:vAlign w:val="center"/>
          </w:tcPr>
          <w:p w14:paraId="1681EB13" w14:textId="77777777" w:rsidR="007E2F9F" w:rsidRPr="004B034E" w:rsidRDefault="007E2F9F" w:rsidP="006548F8">
            <w:pPr>
              <w:pStyle w:val="Prrafodelista"/>
              <w:ind w:left="0"/>
              <w:jc w:val="right"/>
              <w:rPr>
                <w:rFonts w:ascii="Arial" w:eastAsia="Calibri" w:hAnsi="Arial" w:cs="Arial"/>
                <w:b/>
                <w:bCs/>
                <w:sz w:val="18"/>
                <w:szCs w:val="18"/>
                <w:lang w:val="es-CO"/>
              </w:rPr>
            </w:pPr>
            <w:r w:rsidRPr="004B034E">
              <w:rPr>
                <w:rFonts w:ascii="Arial" w:hAnsi="Arial" w:cs="Arial"/>
                <w:color w:val="000000"/>
              </w:rPr>
              <w:t>28.779</w:t>
            </w:r>
          </w:p>
        </w:tc>
        <w:tc>
          <w:tcPr>
            <w:tcW w:w="2238" w:type="dxa"/>
            <w:vAlign w:val="center"/>
          </w:tcPr>
          <w:p w14:paraId="1123FAF7" w14:textId="77777777" w:rsidR="007E2F9F" w:rsidRPr="004B034E" w:rsidRDefault="007E2F9F" w:rsidP="006548F8">
            <w:pPr>
              <w:pStyle w:val="Prrafodelista"/>
              <w:ind w:left="0"/>
              <w:jc w:val="right"/>
              <w:rPr>
                <w:rFonts w:ascii="Arial" w:hAnsi="Arial" w:cs="Arial"/>
                <w:b/>
                <w:bCs/>
                <w:sz w:val="18"/>
                <w:szCs w:val="18"/>
              </w:rPr>
            </w:pPr>
            <w:r w:rsidRPr="004B034E">
              <w:rPr>
                <w:rFonts w:ascii="Arial" w:hAnsi="Arial" w:cs="Arial"/>
                <w:color w:val="000000"/>
              </w:rPr>
              <w:t>17.312</w:t>
            </w:r>
          </w:p>
        </w:tc>
      </w:tr>
      <w:tr w:rsidR="007E2F9F" w:rsidRPr="004B034E" w14:paraId="1DD7D4B8" w14:textId="77777777" w:rsidTr="006548F8">
        <w:tc>
          <w:tcPr>
            <w:tcW w:w="3544" w:type="dxa"/>
          </w:tcPr>
          <w:p w14:paraId="6B64024A" w14:textId="77777777" w:rsidR="007E2F9F" w:rsidRPr="004B034E" w:rsidRDefault="007E2F9F" w:rsidP="006548F8">
            <w:pPr>
              <w:ind w:right="-1440"/>
              <w:jc w:val="both"/>
              <w:rPr>
                <w:rFonts w:ascii="Arial" w:hAnsi="Arial" w:cs="Arial"/>
                <w:b/>
                <w:bCs/>
                <w:sz w:val="18"/>
                <w:szCs w:val="18"/>
                <w:lang w:val="es-ES_tradnl"/>
              </w:rPr>
            </w:pPr>
            <w:r w:rsidRPr="004B034E">
              <w:rPr>
                <w:rFonts w:ascii="Arial" w:hAnsi="Arial" w:cs="Arial"/>
                <w:b/>
                <w:bCs/>
                <w:sz w:val="18"/>
                <w:szCs w:val="18"/>
                <w:lang w:val="es-ES_tradnl"/>
              </w:rPr>
              <w:t>TOTAL PÉRDIDAS DE APROPIACIÓN</w:t>
            </w:r>
          </w:p>
        </w:tc>
        <w:tc>
          <w:tcPr>
            <w:tcW w:w="2354" w:type="dxa"/>
            <w:vAlign w:val="center"/>
          </w:tcPr>
          <w:p w14:paraId="76B8C6AB" w14:textId="77777777" w:rsidR="007E2F9F" w:rsidRPr="004B034E" w:rsidRDefault="007E2F9F" w:rsidP="006548F8">
            <w:pPr>
              <w:pStyle w:val="Prrafodelista"/>
              <w:ind w:left="0"/>
              <w:jc w:val="right"/>
              <w:rPr>
                <w:rFonts w:ascii="Arial" w:hAnsi="Arial" w:cs="Arial"/>
                <w:b/>
                <w:bCs/>
                <w:sz w:val="18"/>
                <w:szCs w:val="18"/>
                <w:u w:val="single"/>
              </w:rPr>
            </w:pPr>
            <w:r w:rsidRPr="004B034E">
              <w:rPr>
                <w:rFonts w:ascii="Arial" w:hAnsi="Arial" w:cs="Arial"/>
                <w:b/>
                <w:bCs/>
                <w:color w:val="000000"/>
              </w:rPr>
              <w:t>15.349.613</w:t>
            </w:r>
          </w:p>
        </w:tc>
        <w:tc>
          <w:tcPr>
            <w:tcW w:w="2354" w:type="dxa"/>
            <w:vAlign w:val="center"/>
          </w:tcPr>
          <w:p w14:paraId="29AA7CA4" w14:textId="77777777" w:rsidR="007E2F9F" w:rsidRPr="004B034E" w:rsidRDefault="007E2F9F" w:rsidP="006548F8">
            <w:pPr>
              <w:pStyle w:val="Prrafodelista"/>
              <w:ind w:left="0"/>
              <w:jc w:val="right"/>
              <w:rPr>
                <w:rFonts w:ascii="Arial" w:hAnsi="Arial" w:cs="Arial"/>
                <w:b/>
                <w:bCs/>
                <w:sz w:val="18"/>
                <w:szCs w:val="18"/>
                <w:u w:val="single"/>
              </w:rPr>
            </w:pPr>
            <w:r w:rsidRPr="004B034E">
              <w:rPr>
                <w:rFonts w:ascii="Arial" w:hAnsi="Arial" w:cs="Arial"/>
                <w:b/>
                <w:bCs/>
                <w:color w:val="000000"/>
              </w:rPr>
              <w:t>13.432.842</w:t>
            </w:r>
          </w:p>
        </w:tc>
        <w:tc>
          <w:tcPr>
            <w:tcW w:w="2238" w:type="dxa"/>
            <w:vAlign w:val="center"/>
          </w:tcPr>
          <w:p w14:paraId="0C7C766C" w14:textId="77777777" w:rsidR="007E2F9F" w:rsidRPr="004B034E" w:rsidRDefault="007E2F9F" w:rsidP="006548F8">
            <w:pPr>
              <w:pStyle w:val="Prrafodelista"/>
              <w:ind w:left="0"/>
              <w:jc w:val="right"/>
              <w:rPr>
                <w:rFonts w:ascii="Arial" w:hAnsi="Arial" w:cs="Arial"/>
                <w:b/>
                <w:bCs/>
                <w:sz w:val="18"/>
                <w:szCs w:val="18"/>
                <w:u w:val="single"/>
              </w:rPr>
            </w:pPr>
            <w:r w:rsidRPr="004B034E">
              <w:rPr>
                <w:rFonts w:ascii="Arial" w:hAnsi="Arial" w:cs="Arial"/>
                <w:b/>
                <w:bCs/>
                <w:color w:val="000000"/>
              </w:rPr>
              <w:t>1.916.771</w:t>
            </w:r>
          </w:p>
        </w:tc>
      </w:tr>
    </w:tbl>
    <w:p w14:paraId="7C085541" w14:textId="77777777" w:rsidR="007E2F9F" w:rsidRDefault="007E2F9F" w:rsidP="007E2F9F">
      <w:pPr>
        <w:jc w:val="both"/>
        <w:rPr>
          <w:b/>
          <w:sz w:val="28"/>
          <w:szCs w:val="28"/>
          <w:lang w:val="es-MX"/>
        </w:rPr>
      </w:pPr>
    </w:p>
    <w:p w14:paraId="66BBAA94" w14:textId="77777777" w:rsidR="007E2F9F" w:rsidRPr="00C07DAC" w:rsidRDefault="007E2F9F" w:rsidP="007E2F9F">
      <w:pPr>
        <w:ind w:left="-284"/>
        <w:jc w:val="both"/>
        <w:rPr>
          <w:rFonts w:ascii="Arial" w:hAnsi="Arial" w:cs="Arial"/>
          <w:b/>
          <w:sz w:val="28"/>
          <w:szCs w:val="28"/>
          <w:lang w:val="es-MX"/>
        </w:rPr>
      </w:pPr>
      <w:r w:rsidRPr="00C07DAC">
        <w:rPr>
          <w:rFonts w:ascii="Arial" w:hAnsi="Arial" w:cs="Arial"/>
          <w:b/>
          <w:sz w:val="28"/>
          <w:szCs w:val="28"/>
          <w:lang w:val="es-MX"/>
        </w:rPr>
        <w:t xml:space="preserve">306.- </w:t>
      </w:r>
      <w:r w:rsidRPr="00C07DAC">
        <w:rPr>
          <w:rFonts w:ascii="Arial" w:hAnsi="Arial" w:cs="Arial"/>
          <w:b/>
          <w:sz w:val="28"/>
          <w:szCs w:val="28"/>
        </w:rPr>
        <w:t>MINISTERIO</w:t>
      </w:r>
      <w:r w:rsidRPr="00C07DAC">
        <w:rPr>
          <w:rFonts w:ascii="Arial" w:hAnsi="Arial" w:cs="Arial"/>
          <w:b/>
          <w:spacing w:val="-12"/>
          <w:sz w:val="28"/>
          <w:szCs w:val="28"/>
        </w:rPr>
        <w:t xml:space="preserve"> </w:t>
      </w:r>
      <w:r w:rsidRPr="00C07DAC">
        <w:rPr>
          <w:rFonts w:ascii="Arial" w:hAnsi="Arial" w:cs="Arial"/>
          <w:b/>
          <w:sz w:val="28"/>
          <w:szCs w:val="28"/>
        </w:rPr>
        <w:t>DE</w:t>
      </w:r>
      <w:r w:rsidRPr="00C07DAC">
        <w:rPr>
          <w:rFonts w:ascii="Arial" w:hAnsi="Arial" w:cs="Arial"/>
          <w:b/>
          <w:spacing w:val="-9"/>
          <w:sz w:val="28"/>
          <w:szCs w:val="28"/>
        </w:rPr>
        <w:t xml:space="preserve"> </w:t>
      </w:r>
      <w:r w:rsidRPr="00C07DAC">
        <w:rPr>
          <w:rFonts w:ascii="Arial" w:hAnsi="Arial" w:cs="Arial"/>
          <w:b/>
          <w:sz w:val="28"/>
          <w:szCs w:val="28"/>
        </w:rPr>
        <w:t>DEFENSA</w:t>
      </w:r>
      <w:r w:rsidRPr="00C07DAC">
        <w:rPr>
          <w:rFonts w:ascii="Arial" w:hAnsi="Arial" w:cs="Arial"/>
          <w:b/>
          <w:spacing w:val="-9"/>
          <w:sz w:val="28"/>
          <w:szCs w:val="28"/>
        </w:rPr>
        <w:t xml:space="preserve"> </w:t>
      </w:r>
      <w:r w:rsidRPr="00C07DAC">
        <w:rPr>
          <w:rFonts w:ascii="Arial" w:hAnsi="Arial" w:cs="Arial"/>
          <w:b/>
          <w:sz w:val="28"/>
          <w:szCs w:val="28"/>
        </w:rPr>
        <w:t>NACIONAL</w:t>
      </w:r>
      <w:r w:rsidRPr="00C07DAC">
        <w:rPr>
          <w:rFonts w:ascii="Arial" w:hAnsi="Arial" w:cs="Arial"/>
          <w:b/>
          <w:sz w:val="28"/>
          <w:szCs w:val="28"/>
          <w:lang w:val="es-MX"/>
        </w:rPr>
        <w:t xml:space="preserve"> CONSOLIDADO.</w:t>
      </w:r>
    </w:p>
    <w:p w14:paraId="488BD54B" w14:textId="77777777" w:rsidR="007E2F9F" w:rsidRPr="002346E8" w:rsidRDefault="007E2F9F" w:rsidP="007E2F9F">
      <w:pPr>
        <w:pStyle w:val="Prrafodelista"/>
        <w:spacing w:before="92"/>
        <w:ind w:left="-142"/>
        <w:rPr>
          <w:rFonts w:ascii="Arial" w:hAnsi="Arial" w:cs="Arial"/>
          <w:b/>
          <w:sz w:val="24"/>
          <w:lang w:val="es-MX"/>
        </w:rPr>
      </w:pPr>
    </w:p>
    <w:p w14:paraId="37827CCE"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3FACD85"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7AB2342"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C07DAC" w14:paraId="2E7AFB52" w14:textId="77777777" w:rsidTr="006548F8">
        <w:tc>
          <w:tcPr>
            <w:tcW w:w="3544" w:type="dxa"/>
          </w:tcPr>
          <w:p w14:paraId="2B7480CE" w14:textId="77777777" w:rsidR="007E2F9F" w:rsidRPr="00C07DAC" w:rsidRDefault="007E2F9F" w:rsidP="006548F8">
            <w:pPr>
              <w:ind w:left="1169" w:right="-1440"/>
              <w:rPr>
                <w:rFonts w:ascii="Arial" w:hAnsi="Arial" w:cs="Arial"/>
                <w:b/>
                <w:sz w:val="18"/>
                <w:szCs w:val="18"/>
                <w:lang w:val="es-ES_tradnl"/>
              </w:rPr>
            </w:pPr>
            <w:r w:rsidRPr="00C07DAC">
              <w:rPr>
                <w:rFonts w:ascii="Arial" w:hAnsi="Arial" w:cs="Arial"/>
                <w:b/>
                <w:sz w:val="18"/>
                <w:szCs w:val="18"/>
                <w:lang w:val="es-ES_tradnl"/>
              </w:rPr>
              <w:t>TIPO DE GASTO</w:t>
            </w:r>
          </w:p>
        </w:tc>
        <w:tc>
          <w:tcPr>
            <w:tcW w:w="2354" w:type="dxa"/>
          </w:tcPr>
          <w:p w14:paraId="2F7E32E8" w14:textId="77777777" w:rsidR="007E2F9F" w:rsidRPr="00C07DAC" w:rsidRDefault="007E2F9F" w:rsidP="006548F8">
            <w:pPr>
              <w:jc w:val="center"/>
              <w:rPr>
                <w:rFonts w:ascii="Arial" w:hAnsi="Arial" w:cs="Arial"/>
                <w:b/>
                <w:sz w:val="18"/>
                <w:szCs w:val="18"/>
                <w:lang w:val="es-ES_tradnl"/>
              </w:rPr>
            </w:pPr>
            <w:r w:rsidRPr="00C07DAC">
              <w:rPr>
                <w:rFonts w:ascii="Arial" w:hAnsi="Arial" w:cs="Arial"/>
                <w:b/>
                <w:sz w:val="18"/>
                <w:szCs w:val="18"/>
                <w:lang w:val="es-ES_tradnl"/>
              </w:rPr>
              <w:t>APROPIACIÓN</w:t>
            </w:r>
          </w:p>
          <w:p w14:paraId="1773C07B" w14:textId="77777777" w:rsidR="007E2F9F" w:rsidRPr="00C07DAC" w:rsidRDefault="007E2F9F" w:rsidP="006548F8">
            <w:pPr>
              <w:jc w:val="center"/>
              <w:rPr>
                <w:rFonts w:ascii="Arial" w:hAnsi="Arial" w:cs="Arial"/>
                <w:b/>
                <w:sz w:val="18"/>
                <w:szCs w:val="18"/>
                <w:lang w:val="es-ES_tradnl"/>
              </w:rPr>
            </w:pPr>
            <w:r w:rsidRPr="00C07DAC">
              <w:rPr>
                <w:rFonts w:ascii="Arial" w:hAnsi="Arial" w:cs="Arial"/>
                <w:b/>
                <w:sz w:val="18"/>
                <w:szCs w:val="18"/>
                <w:lang w:val="es-ES_tradnl"/>
              </w:rPr>
              <w:t>DEFINITIVA</w:t>
            </w:r>
          </w:p>
          <w:p w14:paraId="4EABEC20" w14:textId="77777777" w:rsidR="007E2F9F" w:rsidRPr="00C07DAC" w:rsidRDefault="007E2F9F" w:rsidP="006548F8">
            <w:pPr>
              <w:jc w:val="center"/>
              <w:rPr>
                <w:rFonts w:ascii="Arial" w:hAnsi="Arial" w:cs="Arial"/>
                <w:b/>
                <w:sz w:val="18"/>
                <w:szCs w:val="18"/>
                <w:lang w:val="es-ES_tradnl"/>
              </w:rPr>
            </w:pPr>
            <w:r w:rsidRPr="00C07DAC">
              <w:rPr>
                <w:rFonts w:ascii="Arial" w:hAnsi="Arial" w:cs="Arial"/>
                <w:b/>
                <w:sz w:val="18"/>
                <w:szCs w:val="18"/>
                <w:lang w:val="es-ES_tradnl"/>
              </w:rPr>
              <w:t>(1)</w:t>
            </w:r>
          </w:p>
          <w:p w14:paraId="348E5F5E" w14:textId="77777777" w:rsidR="007E2F9F" w:rsidRPr="00C07DAC" w:rsidRDefault="007E2F9F" w:rsidP="006548F8">
            <w:pPr>
              <w:jc w:val="center"/>
              <w:rPr>
                <w:rFonts w:ascii="Arial" w:hAnsi="Arial" w:cs="Arial"/>
                <w:b/>
                <w:sz w:val="18"/>
                <w:szCs w:val="18"/>
                <w:lang w:val="es-ES_tradnl"/>
              </w:rPr>
            </w:pPr>
          </w:p>
        </w:tc>
        <w:tc>
          <w:tcPr>
            <w:tcW w:w="2354" w:type="dxa"/>
          </w:tcPr>
          <w:p w14:paraId="54ED6786" w14:textId="77777777" w:rsidR="007E2F9F" w:rsidRPr="00C07DAC" w:rsidRDefault="007E2F9F" w:rsidP="006548F8">
            <w:pPr>
              <w:ind w:left="145" w:right="184"/>
              <w:jc w:val="center"/>
              <w:rPr>
                <w:rFonts w:ascii="Arial" w:hAnsi="Arial" w:cs="Arial"/>
                <w:b/>
                <w:sz w:val="18"/>
                <w:szCs w:val="18"/>
                <w:lang w:val="es-ES_tradnl"/>
              </w:rPr>
            </w:pPr>
            <w:r w:rsidRPr="00C07DAC">
              <w:rPr>
                <w:rFonts w:ascii="Arial" w:hAnsi="Arial" w:cs="Arial"/>
                <w:b/>
                <w:sz w:val="18"/>
                <w:szCs w:val="18"/>
                <w:lang w:val="es-ES_tradnl"/>
              </w:rPr>
              <w:t>EJECUCIÓN</w:t>
            </w:r>
          </w:p>
          <w:p w14:paraId="32A9595F" w14:textId="77777777" w:rsidR="007E2F9F" w:rsidRPr="00C07DAC" w:rsidRDefault="007E2F9F" w:rsidP="006548F8">
            <w:pPr>
              <w:ind w:right="34"/>
              <w:jc w:val="center"/>
              <w:rPr>
                <w:rFonts w:ascii="Arial" w:hAnsi="Arial" w:cs="Arial"/>
                <w:b/>
                <w:sz w:val="18"/>
                <w:szCs w:val="18"/>
                <w:lang w:val="es-ES_tradnl"/>
              </w:rPr>
            </w:pPr>
            <w:r w:rsidRPr="00C07DAC">
              <w:rPr>
                <w:rFonts w:ascii="Arial" w:hAnsi="Arial" w:cs="Arial"/>
                <w:b/>
                <w:sz w:val="18"/>
                <w:szCs w:val="18"/>
                <w:lang w:val="es-ES_tradnl"/>
              </w:rPr>
              <w:t>COMPROMISOS</w:t>
            </w:r>
          </w:p>
          <w:p w14:paraId="25D65540" w14:textId="77777777" w:rsidR="007E2F9F" w:rsidRPr="00C07DAC" w:rsidRDefault="007E2F9F" w:rsidP="006548F8">
            <w:pPr>
              <w:ind w:right="34"/>
              <w:jc w:val="center"/>
              <w:rPr>
                <w:rFonts w:ascii="Arial" w:hAnsi="Arial" w:cs="Arial"/>
                <w:b/>
                <w:sz w:val="18"/>
                <w:szCs w:val="18"/>
                <w:lang w:val="es-ES_tradnl"/>
              </w:rPr>
            </w:pPr>
            <w:r w:rsidRPr="00C07DAC">
              <w:rPr>
                <w:rFonts w:ascii="Arial" w:hAnsi="Arial" w:cs="Arial"/>
                <w:b/>
                <w:sz w:val="18"/>
                <w:szCs w:val="18"/>
                <w:lang w:val="es-ES_tradnl"/>
              </w:rPr>
              <w:t>(2)</w:t>
            </w:r>
          </w:p>
        </w:tc>
        <w:tc>
          <w:tcPr>
            <w:tcW w:w="2238" w:type="dxa"/>
          </w:tcPr>
          <w:p w14:paraId="2A913385" w14:textId="77777777" w:rsidR="007E2F9F" w:rsidRPr="00C07DAC" w:rsidRDefault="007E2F9F" w:rsidP="006548F8">
            <w:pPr>
              <w:ind w:left="25" w:right="34"/>
              <w:jc w:val="center"/>
              <w:rPr>
                <w:rFonts w:ascii="Arial" w:hAnsi="Arial" w:cs="Arial"/>
                <w:b/>
                <w:sz w:val="18"/>
                <w:szCs w:val="18"/>
                <w:lang w:val="es-ES_tradnl"/>
              </w:rPr>
            </w:pPr>
            <w:r w:rsidRPr="00C07DAC">
              <w:rPr>
                <w:rFonts w:ascii="Arial" w:hAnsi="Arial" w:cs="Arial"/>
                <w:b/>
                <w:sz w:val="18"/>
                <w:szCs w:val="18"/>
                <w:lang w:val="es-ES_tradnl"/>
              </w:rPr>
              <w:t>PÉRDIDAS DE</w:t>
            </w:r>
          </w:p>
          <w:p w14:paraId="1F7242CB" w14:textId="77777777" w:rsidR="007E2F9F" w:rsidRPr="00C07DAC" w:rsidRDefault="007E2F9F" w:rsidP="006548F8">
            <w:pPr>
              <w:ind w:right="34"/>
              <w:jc w:val="center"/>
              <w:rPr>
                <w:rFonts w:ascii="Arial" w:hAnsi="Arial" w:cs="Arial"/>
                <w:b/>
                <w:sz w:val="18"/>
                <w:szCs w:val="18"/>
                <w:lang w:val="es-ES_tradnl"/>
              </w:rPr>
            </w:pPr>
            <w:r w:rsidRPr="00C07DAC">
              <w:rPr>
                <w:rFonts w:ascii="Arial" w:hAnsi="Arial" w:cs="Arial"/>
                <w:b/>
                <w:sz w:val="18"/>
                <w:szCs w:val="18"/>
                <w:lang w:val="es-ES_tradnl"/>
              </w:rPr>
              <w:t>APROPIACIÓN</w:t>
            </w:r>
          </w:p>
          <w:p w14:paraId="7D79388A" w14:textId="77777777" w:rsidR="007E2F9F" w:rsidRPr="00C07DAC" w:rsidRDefault="007E2F9F" w:rsidP="006548F8">
            <w:pPr>
              <w:ind w:right="34"/>
              <w:jc w:val="center"/>
              <w:rPr>
                <w:rFonts w:ascii="Arial" w:hAnsi="Arial" w:cs="Arial"/>
                <w:b/>
                <w:sz w:val="18"/>
                <w:szCs w:val="18"/>
                <w:lang w:val="es-ES_tradnl"/>
              </w:rPr>
            </w:pPr>
            <w:r w:rsidRPr="00C07DAC">
              <w:rPr>
                <w:rFonts w:ascii="Arial" w:hAnsi="Arial" w:cs="Arial"/>
                <w:b/>
                <w:sz w:val="18"/>
                <w:szCs w:val="18"/>
                <w:lang w:val="es-ES_tradnl"/>
              </w:rPr>
              <w:t>3 = (1-2)</w:t>
            </w:r>
          </w:p>
        </w:tc>
      </w:tr>
      <w:tr w:rsidR="007E2F9F" w:rsidRPr="00C07DAC" w14:paraId="4FA38F60" w14:textId="77777777" w:rsidTr="006548F8">
        <w:trPr>
          <w:trHeight w:val="230"/>
        </w:trPr>
        <w:tc>
          <w:tcPr>
            <w:tcW w:w="3544" w:type="dxa"/>
          </w:tcPr>
          <w:p w14:paraId="3F0855ED" w14:textId="77777777" w:rsidR="007E2F9F" w:rsidRPr="00C07DAC" w:rsidRDefault="007E2F9F" w:rsidP="006548F8">
            <w:pPr>
              <w:ind w:right="-1440"/>
              <w:jc w:val="both"/>
              <w:rPr>
                <w:rFonts w:ascii="Arial" w:hAnsi="Arial" w:cs="Arial"/>
                <w:b/>
                <w:bCs/>
                <w:sz w:val="18"/>
                <w:szCs w:val="18"/>
                <w:lang w:val="es-ES_tradnl"/>
              </w:rPr>
            </w:pPr>
            <w:r w:rsidRPr="00C07DAC">
              <w:rPr>
                <w:rFonts w:ascii="Arial" w:hAnsi="Arial" w:cs="Arial"/>
                <w:b/>
                <w:bCs/>
                <w:sz w:val="18"/>
                <w:szCs w:val="18"/>
                <w:lang w:val="es-ES_tradnl"/>
              </w:rPr>
              <w:t>FUNCIONAMIENTO</w:t>
            </w:r>
          </w:p>
        </w:tc>
        <w:tc>
          <w:tcPr>
            <w:tcW w:w="2354" w:type="dxa"/>
          </w:tcPr>
          <w:p w14:paraId="3DD53678" w14:textId="77777777" w:rsidR="007E2F9F" w:rsidRPr="00C07DAC" w:rsidRDefault="007E2F9F" w:rsidP="006548F8">
            <w:pPr>
              <w:jc w:val="right"/>
              <w:rPr>
                <w:rFonts w:ascii="Arial" w:eastAsia="Calibri" w:hAnsi="Arial" w:cs="Arial"/>
                <w:b/>
                <w:bCs/>
                <w:sz w:val="18"/>
                <w:szCs w:val="18"/>
                <w:lang w:val="es-CO"/>
              </w:rPr>
            </w:pPr>
            <w:r w:rsidRPr="00C07DAC">
              <w:rPr>
                <w:rFonts w:ascii="Arial" w:eastAsia="Calibri" w:hAnsi="Arial" w:cs="Arial"/>
                <w:b/>
                <w:sz w:val="16"/>
                <w:szCs w:val="16"/>
                <w:lang w:val="es-CO"/>
              </w:rPr>
              <w:t>21.255.772.174,28</w:t>
            </w:r>
          </w:p>
        </w:tc>
        <w:tc>
          <w:tcPr>
            <w:tcW w:w="2354" w:type="dxa"/>
          </w:tcPr>
          <w:p w14:paraId="37977D79" w14:textId="77777777" w:rsidR="007E2F9F" w:rsidRPr="00C07DAC" w:rsidRDefault="007E2F9F" w:rsidP="006548F8">
            <w:pPr>
              <w:pStyle w:val="Prrafodelista"/>
              <w:ind w:left="0"/>
              <w:jc w:val="right"/>
              <w:rPr>
                <w:rFonts w:ascii="Arial" w:hAnsi="Arial" w:cs="Arial"/>
                <w:b/>
                <w:bCs/>
                <w:sz w:val="18"/>
                <w:szCs w:val="18"/>
              </w:rPr>
            </w:pPr>
            <w:r w:rsidRPr="00C07DAC">
              <w:rPr>
                <w:rFonts w:ascii="Arial" w:eastAsia="Calibri" w:hAnsi="Arial" w:cs="Arial"/>
                <w:b/>
                <w:sz w:val="16"/>
                <w:szCs w:val="16"/>
                <w:lang w:val="es-CO"/>
              </w:rPr>
              <w:t>21.059.598.897,43</w:t>
            </w:r>
          </w:p>
        </w:tc>
        <w:tc>
          <w:tcPr>
            <w:tcW w:w="2238" w:type="dxa"/>
          </w:tcPr>
          <w:p w14:paraId="49B569AB" w14:textId="77777777" w:rsidR="007E2F9F" w:rsidRPr="00C07DAC" w:rsidRDefault="007E2F9F" w:rsidP="006548F8">
            <w:pPr>
              <w:pStyle w:val="Prrafodelista"/>
              <w:ind w:left="0"/>
              <w:jc w:val="right"/>
              <w:rPr>
                <w:rFonts w:ascii="Arial" w:hAnsi="Arial" w:cs="Arial"/>
                <w:b/>
                <w:bCs/>
                <w:sz w:val="18"/>
                <w:szCs w:val="18"/>
              </w:rPr>
            </w:pPr>
            <w:r w:rsidRPr="00C07DAC">
              <w:rPr>
                <w:rFonts w:ascii="Arial" w:hAnsi="Arial" w:cs="Arial"/>
                <w:b/>
                <w:sz w:val="16"/>
                <w:szCs w:val="16"/>
              </w:rPr>
              <w:t>196.173.276,85</w:t>
            </w:r>
          </w:p>
        </w:tc>
      </w:tr>
      <w:tr w:rsidR="007E2F9F" w:rsidRPr="00C07DAC" w14:paraId="6EB06A34" w14:textId="77777777" w:rsidTr="006548F8">
        <w:trPr>
          <w:trHeight w:val="230"/>
        </w:trPr>
        <w:tc>
          <w:tcPr>
            <w:tcW w:w="3544" w:type="dxa"/>
          </w:tcPr>
          <w:p w14:paraId="50C02FF0" w14:textId="77777777" w:rsidR="007E2F9F" w:rsidRPr="00C07DAC" w:rsidRDefault="007E2F9F" w:rsidP="006548F8">
            <w:pPr>
              <w:ind w:right="-1440"/>
              <w:jc w:val="both"/>
              <w:rPr>
                <w:rFonts w:ascii="Arial" w:hAnsi="Arial" w:cs="Arial"/>
                <w:b/>
                <w:bCs/>
                <w:sz w:val="18"/>
                <w:szCs w:val="18"/>
                <w:lang w:val="es-ES_tradnl"/>
              </w:rPr>
            </w:pPr>
            <w:r w:rsidRPr="00C07DAC">
              <w:rPr>
                <w:rFonts w:ascii="Arial" w:hAnsi="Arial" w:cs="Arial"/>
                <w:b/>
                <w:bCs/>
                <w:sz w:val="18"/>
                <w:szCs w:val="18"/>
                <w:lang w:val="es-ES_tradnl"/>
              </w:rPr>
              <w:t>NVERSIÓN</w:t>
            </w:r>
          </w:p>
        </w:tc>
        <w:tc>
          <w:tcPr>
            <w:tcW w:w="2354" w:type="dxa"/>
          </w:tcPr>
          <w:p w14:paraId="77FBF0C3" w14:textId="77777777" w:rsidR="007E2F9F" w:rsidRPr="00C07DAC" w:rsidRDefault="007E2F9F" w:rsidP="006548F8">
            <w:pPr>
              <w:jc w:val="right"/>
              <w:rPr>
                <w:rFonts w:ascii="Arial" w:eastAsia="Calibri" w:hAnsi="Arial" w:cs="Arial"/>
                <w:b/>
                <w:bCs/>
                <w:sz w:val="18"/>
                <w:szCs w:val="18"/>
                <w:lang w:val="es-CO"/>
              </w:rPr>
            </w:pPr>
            <w:r w:rsidRPr="00C07DAC">
              <w:rPr>
                <w:rFonts w:ascii="Arial" w:eastAsia="Calibri" w:hAnsi="Arial" w:cs="Arial"/>
                <w:b/>
                <w:sz w:val="16"/>
                <w:szCs w:val="16"/>
                <w:lang w:val="es-CO"/>
              </w:rPr>
              <w:t>2.622.505.682,47</w:t>
            </w:r>
          </w:p>
        </w:tc>
        <w:tc>
          <w:tcPr>
            <w:tcW w:w="2354" w:type="dxa"/>
          </w:tcPr>
          <w:p w14:paraId="17505C3B" w14:textId="77777777" w:rsidR="007E2F9F" w:rsidRPr="00C07DAC" w:rsidRDefault="007E2F9F" w:rsidP="006548F8">
            <w:pPr>
              <w:pStyle w:val="Prrafodelista"/>
              <w:ind w:left="0"/>
              <w:jc w:val="right"/>
              <w:rPr>
                <w:rFonts w:ascii="Arial" w:eastAsia="Calibri" w:hAnsi="Arial" w:cs="Arial"/>
                <w:b/>
                <w:bCs/>
                <w:sz w:val="18"/>
                <w:szCs w:val="18"/>
                <w:lang w:val="es-CO"/>
              </w:rPr>
            </w:pPr>
            <w:r w:rsidRPr="00C07DAC">
              <w:rPr>
                <w:rFonts w:ascii="Arial" w:eastAsia="Calibri" w:hAnsi="Arial" w:cs="Arial"/>
                <w:b/>
                <w:sz w:val="16"/>
                <w:szCs w:val="16"/>
                <w:lang w:val="es-CO"/>
              </w:rPr>
              <w:t>2.480.240.662,14</w:t>
            </w:r>
          </w:p>
        </w:tc>
        <w:tc>
          <w:tcPr>
            <w:tcW w:w="2238" w:type="dxa"/>
          </w:tcPr>
          <w:p w14:paraId="00EF12C9" w14:textId="77777777" w:rsidR="007E2F9F" w:rsidRPr="00C07DAC" w:rsidRDefault="007E2F9F" w:rsidP="006548F8">
            <w:pPr>
              <w:pStyle w:val="Prrafodelista"/>
              <w:ind w:left="0"/>
              <w:jc w:val="right"/>
              <w:rPr>
                <w:rFonts w:ascii="Arial" w:hAnsi="Arial" w:cs="Arial"/>
                <w:b/>
                <w:bCs/>
                <w:sz w:val="18"/>
                <w:szCs w:val="18"/>
              </w:rPr>
            </w:pPr>
            <w:r w:rsidRPr="00C07DAC">
              <w:rPr>
                <w:rFonts w:ascii="Arial" w:hAnsi="Arial" w:cs="Arial"/>
                <w:b/>
                <w:sz w:val="16"/>
                <w:szCs w:val="16"/>
              </w:rPr>
              <w:t>142.265.020,33</w:t>
            </w:r>
          </w:p>
        </w:tc>
      </w:tr>
      <w:tr w:rsidR="007E2F9F" w:rsidRPr="00C07DAC" w14:paraId="39E70A1A" w14:textId="77777777" w:rsidTr="006548F8">
        <w:tc>
          <w:tcPr>
            <w:tcW w:w="3544" w:type="dxa"/>
          </w:tcPr>
          <w:p w14:paraId="00E74E26" w14:textId="77777777" w:rsidR="007E2F9F" w:rsidRPr="00C07DAC" w:rsidRDefault="007E2F9F" w:rsidP="006548F8">
            <w:pPr>
              <w:ind w:right="-1440"/>
              <w:jc w:val="both"/>
              <w:rPr>
                <w:rFonts w:ascii="Arial" w:hAnsi="Arial" w:cs="Arial"/>
                <w:b/>
                <w:bCs/>
                <w:sz w:val="18"/>
                <w:szCs w:val="18"/>
                <w:lang w:val="es-ES_tradnl"/>
              </w:rPr>
            </w:pPr>
            <w:r w:rsidRPr="00C07DAC">
              <w:rPr>
                <w:rFonts w:ascii="Arial" w:hAnsi="Arial" w:cs="Arial"/>
                <w:b/>
                <w:bCs/>
                <w:sz w:val="18"/>
                <w:szCs w:val="18"/>
                <w:lang w:val="es-ES_tradnl"/>
              </w:rPr>
              <w:t>TOTAL PÉRDIDAS DE APROPIACIÓN</w:t>
            </w:r>
          </w:p>
        </w:tc>
        <w:tc>
          <w:tcPr>
            <w:tcW w:w="2354" w:type="dxa"/>
          </w:tcPr>
          <w:p w14:paraId="44ADAD32" w14:textId="77777777" w:rsidR="007E2F9F" w:rsidRPr="00C07DAC" w:rsidRDefault="007E2F9F" w:rsidP="006548F8">
            <w:pPr>
              <w:pStyle w:val="Prrafodelista"/>
              <w:ind w:left="0"/>
              <w:jc w:val="right"/>
              <w:rPr>
                <w:rFonts w:ascii="Arial" w:hAnsi="Arial" w:cs="Arial"/>
                <w:b/>
                <w:bCs/>
                <w:sz w:val="18"/>
                <w:szCs w:val="18"/>
                <w:u w:val="single"/>
              </w:rPr>
            </w:pPr>
            <w:r w:rsidRPr="00C07DAC">
              <w:rPr>
                <w:rFonts w:ascii="Arial" w:eastAsia="Calibri" w:hAnsi="Arial" w:cs="Arial"/>
                <w:b/>
                <w:sz w:val="16"/>
                <w:szCs w:val="16"/>
                <w:lang w:val="es-CO"/>
              </w:rPr>
              <w:t>24.205.962.709,10</w:t>
            </w:r>
          </w:p>
        </w:tc>
        <w:tc>
          <w:tcPr>
            <w:tcW w:w="2354" w:type="dxa"/>
          </w:tcPr>
          <w:p w14:paraId="55DA2324" w14:textId="77777777" w:rsidR="007E2F9F" w:rsidRPr="00C07DAC" w:rsidRDefault="007E2F9F" w:rsidP="006548F8">
            <w:pPr>
              <w:pStyle w:val="Prrafodelista"/>
              <w:ind w:left="0"/>
              <w:jc w:val="right"/>
              <w:rPr>
                <w:rFonts w:ascii="Arial" w:hAnsi="Arial" w:cs="Arial"/>
                <w:b/>
                <w:bCs/>
                <w:sz w:val="18"/>
                <w:szCs w:val="18"/>
                <w:u w:val="single"/>
              </w:rPr>
            </w:pPr>
            <w:r w:rsidRPr="00C07DAC">
              <w:rPr>
                <w:rFonts w:ascii="Arial" w:eastAsia="Calibri" w:hAnsi="Arial" w:cs="Arial"/>
                <w:b/>
                <w:sz w:val="16"/>
                <w:szCs w:val="16"/>
                <w:lang w:val="es-CO"/>
              </w:rPr>
              <w:t>23.867.524.411,92</w:t>
            </w:r>
          </w:p>
        </w:tc>
        <w:tc>
          <w:tcPr>
            <w:tcW w:w="2238" w:type="dxa"/>
          </w:tcPr>
          <w:p w14:paraId="2C83086D" w14:textId="77777777" w:rsidR="007E2F9F" w:rsidRPr="00C07DAC" w:rsidRDefault="007E2F9F" w:rsidP="006548F8">
            <w:pPr>
              <w:pStyle w:val="Prrafodelista"/>
              <w:ind w:left="0"/>
              <w:jc w:val="right"/>
              <w:rPr>
                <w:rFonts w:ascii="Arial" w:hAnsi="Arial" w:cs="Arial"/>
                <w:b/>
                <w:bCs/>
                <w:sz w:val="18"/>
                <w:szCs w:val="18"/>
                <w:u w:val="single"/>
              </w:rPr>
            </w:pPr>
            <w:r w:rsidRPr="00C07DAC">
              <w:rPr>
                <w:rFonts w:ascii="Arial" w:hAnsi="Arial" w:cs="Arial"/>
                <w:b/>
                <w:sz w:val="16"/>
                <w:szCs w:val="16"/>
                <w:u w:val="single"/>
              </w:rPr>
              <w:t>338.438.297,18</w:t>
            </w:r>
          </w:p>
        </w:tc>
      </w:tr>
    </w:tbl>
    <w:p w14:paraId="6F7B4C60" w14:textId="77777777" w:rsidR="007E2F9F" w:rsidRDefault="007E2F9F" w:rsidP="007E2F9F">
      <w:pPr>
        <w:ind w:left="-284" w:right="-234"/>
        <w:rPr>
          <w:rFonts w:ascii="Arial" w:eastAsia="Calibri" w:hAnsi="Arial" w:cs="Arial"/>
          <w:b/>
          <w:u w:val="single"/>
        </w:rPr>
      </w:pPr>
    </w:p>
    <w:p w14:paraId="682E0345" w14:textId="77777777" w:rsidR="007E2F9F" w:rsidRPr="000F59C0" w:rsidRDefault="007E2F9F" w:rsidP="007E2F9F">
      <w:pPr>
        <w:ind w:left="-284"/>
        <w:jc w:val="both"/>
        <w:rPr>
          <w:rFonts w:ascii="Arial" w:hAnsi="Arial" w:cs="Arial"/>
          <w:b/>
          <w:sz w:val="28"/>
          <w:szCs w:val="28"/>
          <w:lang w:val="es-MX"/>
        </w:rPr>
      </w:pPr>
      <w:r w:rsidRPr="000F59C0">
        <w:rPr>
          <w:rFonts w:ascii="Arial" w:hAnsi="Arial" w:cs="Arial"/>
          <w:b/>
          <w:sz w:val="28"/>
          <w:szCs w:val="28"/>
          <w:lang w:val="es-MX"/>
        </w:rPr>
        <w:t>307.- U.A.E. AGENCIA NACIONAL DE DEFENSA JURÍDICA DEL ESTADO.</w:t>
      </w:r>
    </w:p>
    <w:p w14:paraId="48406CC5" w14:textId="77777777" w:rsidR="007E2F9F" w:rsidRDefault="007E2F9F" w:rsidP="007E2F9F">
      <w:pPr>
        <w:ind w:left="-284" w:right="-234"/>
        <w:rPr>
          <w:rFonts w:ascii="Arial" w:eastAsia="Calibri" w:hAnsi="Arial" w:cs="Arial"/>
          <w:b/>
          <w:u w:val="single"/>
          <w:lang w:val="es-MX"/>
        </w:rPr>
      </w:pPr>
    </w:p>
    <w:p w14:paraId="6A99A153"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2CECC3D"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27E06E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18768C" w14:paraId="2792BC38" w14:textId="77777777" w:rsidTr="006548F8">
        <w:tc>
          <w:tcPr>
            <w:tcW w:w="3544" w:type="dxa"/>
          </w:tcPr>
          <w:p w14:paraId="67DB44A6" w14:textId="77777777" w:rsidR="007E2F9F" w:rsidRPr="0018768C" w:rsidRDefault="007E2F9F" w:rsidP="006548F8">
            <w:pPr>
              <w:ind w:left="1169" w:right="-1440"/>
              <w:rPr>
                <w:rFonts w:ascii="Arial" w:hAnsi="Arial" w:cs="Arial"/>
                <w:b/>
                <w:sz w:val="18"/>
                <w:szCs w:val="18"/>
                <w:lang w:val="es-ES_tradnl"/>
              </w:rPr>
            </w:pPr>
            <w:r w:rsidRPr="0018768C">
              <w:rPr>
                <w:rFonts w:ascii="Arial" w:hAnsi="Arial" w:cs="Arial"/>
                <w:b/>
                <w:sz w:val="18"/>
                <w:szCs w:val="18"/>
                <w:lang w:val="es-ES_tradnl"/>
              </w:rPr>
              <w:t>TIPO DE GASTO</w:t>
            </w:r>
          </w:p>
        </w:tc>
        <w:tc>
          <w:tcPr>
            <w:tcW w:w="2354" w:type="dxa"/>
          </w:tcPr>
          <w:p w14:paraId="61E57CD4" w14:textId="77777777" w:rsidR="007E2F9F" w:rsidRPr="0018768C" w:rsidRDefault="007E2F9F" w:rsidP="006548F8">
            <w:pPr>
              <w:jc w:val="center"/>
              <w:rPr>
                <w:rFonts w:ascii="Arial" w:hAnsi="Arial" w:cs="Arial"/>
                <w:b/>
                <w:sz w:val="18"/>
                <w:szCs w:val="18"/>
                <w:lang w:val="es-ES_tradnl"/>
              </w:rPr>
            </w:pPr>
            <w:r w:rsidRPr="0018768C">
              <w:rPr>
                <w:rFonts w:ascii="Arial" w:hAnsi="Arial" w:cs="Arial"/>
                <w:b/>
                <w:sz w:val="18"/>
                <w:szCs w:val="18"/>
                <w:lang w:val="es-ES_tradnl"/>
              </w:rPr>
              <w:t>APROPIACIÓN</w:t>
            </w:r>
          </w:p>
          <w:p w14:paraId="3BF2B9C4" w14:textId="77777777" w:rsidR="007E2F9F" w:rsidRPr="0018768C" w:rsidRDefault="007E2F9F" w:rsidP="006548F8">
            <w:pPr>
              <w:jc w:val="center"/>
              <w:rPr>
                <w:rFonts w:ascii="Arial" w:hAnsi="Arial" w:cs="Arial"/>
                <w:b/>
                <w:sz w:val="18"/>
                <w:szCs w:val="18"/>
                <w:lang w:val="es-ES_tradnl"/>
              </w:rPr>
            </w:pPr>
            <w:r w:rsidRPr="0018768C">
              <w:rPr>
                <w:rFonts w:ascii="Arial" w:hAnsi="Arial" w:cs="Arial"/>
                <w:b/>
                <w:sz w:val="18"/>
                <w:szCs w:val="18"/>
                <w:lang w:val="es-ES_tradnl"/>
              </w:rPr>
              <w:t>DEFINITIVA</w:t>
            </w:r>
          </w:p>
          <w:p w14:paraId="69CD6B7E" w14:textId="77777777" w:rsidR="007E2F9F" w:rsidRPr="0018768C" w:rsidRDefault="007E2F9F" w:rsidP="006548F8">
            <w:pPr>
              <w:jc w:val="center"/>
              <w:rPr>
                <w:rFonts w:ascii="Arial" w:hAnsi="Arial" w:cs="Arial"/>
                <w:b/>
                <w:sz w:val="18"/>
                <w:szCs w:val="18"/>
                <w:lang w:val="es-ES_tradnl"/>
              </w:rPr>
            </w:pPr>
            <w:r w:rsidRPr="0018768C">
              <w:rPr>
                <w:rFonts w:ascii="Arial" w:hAnsi="Arial" w:cs="Arial"/>
                <w:b/>
                <w:sz w:val="18"/>
                <w:szCs w:val="18"/>
                <w:lang w:val="es-ES_tradnl"/>
              </w:rPr>
              <w:t>(1)</w:t>
            </w:r>
          </w:p>
          <w:p w14:paraId="08A1B212" w14:textId="77777777" w:rsidR="007E2F9F" w:rsidRPr="0018768C" w:rsidRDefault="007E2F9F" w:rsidP="006548F8">
            <w:pPr>
              <w:jc w:val="center"/>
              <w:rPr>
                <w:rFonts w:ascii="Arial" w:hAnsi="Arial" w:cs="Arial"/>
                <w:b/>
                <w:sz w:val="18"/>
                <w:szCs w:val="18"/>
                <w:lang w:val="es-ES_tradnl"/>
              </w:rPr>
            </w:pPr>
          </w:p>
        </w:tc>
        <w:tc>
          <w:tcPr>
            <w:tcW w:w="2354" w:type="dxa"/>
          </w:tcPr>
          <w:p w14:paraId="3E39023A" w14:textId="77777777" w:rsidR="007E2F9F" w:rsidRPr="0018768C" w:rsidRDefault="007E2F9F" w:rsidP="006548F8">
            <w:pPr>
              <w:ind w:left="145" w:right="184"/>
              <w:jc w:val="center"/>
              <w:rPr>
                <w:rFonts w:ascii="Arial" w:hAnsi="Arial" w:cs="Arial"/>
                <w:b/>
                <w:sz w:val="18"/>
                <w:szCs w:val="18"/>
                <w:lang w:val="es-ES_tradnl"/>
              </w:rPr>
            </w:pPr>
            <w:r w:rsidRPr="0018768C">
              <w:rPr>
                <w:rFonts w:ascii="Arial" w:hAnsi="Arial" w:cs="Arial"/>
                <w:b/>
                <w:sz w:val="18"/>
                <w:szCs w:val="18"/>
                <w:lang w:val="es-ES_tradnl"/>
              </w:rPr>
              <w:t>EJECUCIÓN</w:t>
            </w:r>
          </w:p>
          <w:p w14:paraId="2C1752EC" w14:textId="77777777" w:rsidR="007E2F9F" w:rsidRPr="0018768C" w:rsidRDefault="007E2F9F" w:rsidP="006548F8">
            <w:pPr>
              <w:ind w:right="34"/>
              <w:jc w:val="center"/>
              <w:rPr>
                <w:rFonts w:ascii="Arial" w:hAnsi="Arial" w:cs="Arial"/>
                <w:b/>
                <w:sz w:val="18"/>
                <w:szCs w:val="18"/>
                <w:lang w:val="es-ES_tradnl"/>
              </w:rPr>
            </w:pPr>
            <w:r w:rsidRPr="0018768C">
              <w:rPr>
                <w:rFonts w:ascii="Arial" w:hAnsi="Arial" w:cs="Arial"/>
                <w:b/>
                <w:sz w:val="18"/>
                <w:szCs w:val="18"/>
                <w:lang w:val="es-ES_tradnl"/>
              </w:rPr>
              <w:t>COMPROMISOS</w:t>
            </w:r>
          </w:p>
          <w:p w14:paraId="15D4F823" w14:textId="77777777" w:rsidR="007E2F9F" w:rsidRPr="0018768C" w:rsidRDefault="007E2F9F" w:rsidP="006548F8">
            <w:pPr>
              <w:ind w:right="34"/>
              <w:jc w:val="center"/>
              <w:rPr>
                <w:rFonts w:ascii="Arial" w:hAnsi="Arial" w:cs="Arial"/>
                <w:b/>
                <w:sz w:val="18"/>
                <w:szCs w:val="18"/>
                <w:lang w:val="es-ES_tradnl"/>
              </w:rPr>
            </w:pPr>
            <w:r w:rsidRPr="0018768C">
              <w:rPr>
                <w:rFonts w:ascii="Arial" w:hAnsi="Arial" w:cs="Arial"/>
                <w:b/>
                <w:sz w:val="18"/>
                <w:szCs w:val="18"/>
                <w:lang w:val="es-ES_tradnl"/>
              </w:rPr>
              <w:t>(2)</w:t>
            </w:r>
          </w:p>
        </w:tc>
        <w:tc>
          <w:tcPr>
            <w:tcW w:w="2238" w:type="dxa"/>
          </w:tcPr>
          <w:p w14:paraId="2640065F" w14:textId="77777777" w:rsidR="007E2F9F" w:rsidRPr="0018768C" w:rsidRDefault="007E2F9F" w:rsidP="006548F8">
            <w:pPr>
              <w:ind w:left="25" w:right="34"/>
              <w:jc w:val="center"/>
              <w:rPr>
                <w:rFonts w:ascii="Arial" w:hAnsi="Arial" w:cs="Arial"/>
                <w:b/>
                <w:sz w:val="18"/>
                <w:szCs w:val="18"/>
                <w:lang w:val="es-ES_tradnl"/>
              </w:rPr>
            </w:pPr>
            <w:r w:rsidRPr="0018768C">
              <w:rPr>
                <w:rFonts w:ascii="Arial" w:hAnsi="Arial" w:cs="Arial"/>
                <w:b/>
                <w:sz w:val="18"/>
                <w:szCs w:val="18"/>
                <w:lang w:val="es-ES_tradnl"/>
              </w:rPr>
              <w:t>PÉRDIDAS DE</w:t>
            </w:r>
          </w:p>
          <w:p w14:paraId="01413213" w14:textId="77777777" w:rsidR="007E2F9F" w:rsidRPr="0018768C" w:rsidRDefault="007E2F9F" w:rsidP="006548F8">
            <w:pPr>
              <w:ind w:right="34"/>
              <w:jc w:val="center"/>
              <w:rPr>
                <w:rFonts w:ascii="Arial" w:hAnsi="Arial" w:cs="Arial"/>
                <w:b/>
                <w:sz w:val="18"/>
                <w:szCs w:val="18"/>
                <w:lang w:val="es-ES_tradnl"/>
              </w:rPr>
            </w:pPr>
            <w:r w:rsidRPr="0018768C">
              <w:rPr>
                <w:rFonts w:ascii="Arial" w:hAnsi="Arial" w:cs="Arial"/>
                <w:b/>
                <w:sz w:val="18"/>
                <w:szCs w:val="18"/>
                <w:lang w:val="es-ES_tradnl"/>
              </w:rPr>
              <w:t>APROPIACIÓN</w:t>
            </w:r>
          </w:p>
          <w:p w14:paraId="3D2AA1EC" w14:textId="77777777" w:rsidR="007E2F9F" w:rsidRPr="0018768C" w:rsidRDefault="007E2F9F" w:rsidP="006548F8">
            <w:pPr>
              <w:ind w:right="34"/>
              <w:jc w:val="center"/>
              <w:rPr>
                <w:rFonts w:ascii="Arial" w:hAnsi="Arial" w:cs="Arial"/>
                <w:b/>
                <w:sz w:val="18"/>
                <w:szCs w:val="18"/>
                <w:lang w:val="es-ES_tradnl"/>
              </w:rPr>
            </w:pPr>
            <w:r w:rsidRPr="0018768C">
              <w:rPr>
                <w:rFonts w:ascii="Arial" w:hAnsi="Arial" w:cs="Arial"/>
                <w:b/>
                <w:sz w:val="18"/>
                <w:szCs w:val="18"/>
                <w:lang w:val="es-ES_tradnl"/>
              </w:rPr>
              <w:t>3 = (1-2)</w:t>
            </w:r>
          </w:p>
        </w:tc>
      </w:tr>
      <w:tr w:rsidR="007E2F9F" w:rsidRPr="0018768C" w14:paraId="1A927503" w14:textId="77777777" w:rsidTr="006548F8">
        <w:trPr>
          <w:trHeight w:val="230"/>
        </w:trPr>
        <w:tc>
          <w:tcPr>
            <w:tcW w:w="3544" w:type="dxa"/>
          </w:tcPr>
          <w:p w14:paraId="434B7B59" w14:textId="77777777" w:rsidR="007E2F9F" w:rsidRPr="0018768C" w:rsidRDefault="007E2F9F" w:rsidP="006548F8">
            <w:pPr>
              <w:ind w:right="-1440"/>
              <w:jc w:val="both"/>
              <w:rPr>
                <w:rFonts w:ascii="Arial" w:hAnsi="Arial" w:cs="Arial"/>
                <w:b/>
                <w:bCs/>
                <w:sz w:val="18"/>
                <w:szCs w:val="18"/>
                <w:lang w:val="es-ES_tradnl"/>
              </w:rPr>
            </w:pPr>
            <w:r w:rsidRPr="0018768C">
              <w:rPr>
                <w:rFonts w:ascii="Arial" w:hAnsi="Arial" w:cs="Arial"/>
                <w:b/>
                <w:bCs/>
                <w:sz w:val="18"/>
                <w:szCs w:val="18"/>
                <w:lang w:val="es-ES_tradnl"/>
              </w:rPr>
              <w:t>FUNCIONAMIENTO</w:t>
            </w:r>
          </w:p>
        </w:tc>
        <w:tc>
          <w:tcPr>
            <w:tcW w:w="2354" w:type="dxa"/>
            <w:vAlign w:val="bottom"/>
          </w:tcPr>
          <w:p w14:paraId="41C7D85A" w14:textId="77777777" w:rsidR="007E2F9F" w:rsidRPr="0018768C" w:rsidRDefault="007E2F9F" w:rsidP="006548F8">
            <w:pPr>
              <w:jc w:val="right"/>
              <w:rPr>
                <w:rFonts w:ascii="Arial" w:eastAsia="Calibri" w:hAnsi="Arial" w:cs="Arial"/>
                <w:b/>
                <w:bCs/>
                <w:sz w:val="18"/>
                <w:szCs w:val="18"/>
                <w:lang w:val="es-CO"/>
              </w:rPr>
            </w:pPr>
            <w:r w:rsidRPr="0018768C">
              <w:rPr>
                <w:rFonts w:ascii="Arial" w:hAnsi="Arial" w:cs="Arial"/>
                <w:b/>
                <w:bCs/>
                <w:sz w:val="16"/>
                <w:szCs w:val="16"/>
              </w:rPr>
              <w:t>131.582</w:t>
            </w:r>
          </w:p>
        </w:tc>
        <w:tc>
          <w:tcPr>
            <w:tcW w:w="2354" w:type="dxa"/>
            <w:vAlign w:val="bottom"/>
          </w:tcPr>
          <w:p w14:paraId="2AC3D86D" w14:textId="77777777" w:rsidR="007E2F9F" w:rsidRPr="0018768C" w:rsidRDefault="007E2F9F" w:rsidP="006548F8">
            <w:pPr>
              <w:pStyle w:val="Prrafodelista"/>
              <w:ind w:left="0"/>
              <w:jc w:val="right"/>
              <w:rPr>
                <w:rFonts w:ascii="Arial" w:hAnsi="Arial" w:cs="Arial"/>
                <w:b/>
                <w:bCs/>
                <w:sz w:val="18"/>
                <w:szCs w:val="18"/>
              </w:rPr>
            </w:pPr>
            <w:r w:rsidRPr="0018768C">
              <w:rPr>
                <w:rFonts w:ascii="Arial" w:hAnsi="Arial" w:cs="Arial"/>
                <w:b/>
                <w:bCs/>
                <w:sz w:val="16"/>
                <w:szCs w:val="16"/>
              </w:rPr>
              <w:t>128.431</w:t>
            </w:r>
          </w:p>
        </w:tc>
        <w:tc>
          <w:tcPr>
            <w:tcW w:w="2238" w:type="dxa"/>
            <w:vAlign w:val="bottom"/>
          </w:tcPr>
          <w:p w14:paraId="36529E5F" w14:textId="77777777" w:rsidR="007E2F9F" w:rsidRPr="0018768C" w:rsidRDefault="007E2F9F" w:rsidP="006548F8">
            <w:pPr>
              <w:pStyle w:val="Prrafodelista"/>
              <w:ind w:left="0"/>
              <w:jc w:val="right"/>
              <w:rPr>
                <w:rFonts w:ascii="Arial" w:hAnsi="Arial" w:cs="Arial"/>
                <w:b/>
                <w:bCs/>
                <w:sz w:val="18"/>
                <w:szCs w:val="18"/>
              </w:rPr>
            </w:pPr>
            <w:r w:rsidRPr="0018768C">
              <w:rPr>
                <w:rFonts w:ascii="Arial" w:hAnsi="Arial" w:cs="Arial"/>
                <w:b/>
                <w:bCs/>
                <w:sz w:val="16"/>
                <w:szCs w:val="16"/>
              </w:rPr>
              <w:t>3.151,00</w:t>
            </w:r>
          </w:p>
        </w:tc>
      </w:tr>
      <w:tr w:rsidR="007E2F9F" w:rsidRPr="0018768C" w14:paraId="2097F963" w14:textId="77777777" w:rsidTr="006548F8">
        <w:trPr>
          <w:trHeight w:val="230"/>
        </w:trPr>
        <w:tc>
          <w:tcPr>
            <w:tcW w:w="3544" w:type="dxa"/>
          </w:tcPr>
          <w:p w14:paraId="7F9FA70A" w14:textId="77777777" w:rsidR="007E2F9F" w:rsidRPr="0018768C" w:rsidRDefault="007E2F9F" w:rsidP="006548F8">
            <w:pPr>
              <w:ind w:right="-1440"/>
              <w:jc w:val="both"/>
              <w:rPr>
                <w:rFonts w:ascii="Arial" w:hAnsi="Arial" w:cs="Arial"/>
                <w:b/>
                <w:bCs/>
                <w:sz w:val="18"/>
                <w:szCs w:val="18"/>
                <w:lang w:val="es-ES_tradnl"/>
              </w:rPr>
            </w:pPr>
            <w:r w:rsidRPr="0018768C">
              <w:rPr>
                <w:rFonts w:ascii="Arial" w:hAnsi="Arial" w:cs="Arial"/>
                <w:b/>
                <w:bCs/>
                <w:sz w:val="18"/>
                <w:szCs w:val="18"/>
                <w:lang w:val="es-ES_tradnl"/>
              </w:rPr>
              <w:t>NVERSIÓN</w:t>
            </w:r>
          </w:p>
        </w:tc>
        <w:tc>
          <w:tcPr>
            <w:tcW w:w="2354" w:type="dxa"/>
            <w:vAlign w:val="bottom"/>
          </w:tcPr>
          <w:p w14:paraId="2AD81841" w14:textId="77777777" w:rsidR="007E2F9F" w:rsidRPr="0018768C" w:rsidRDefault="007E2F9F" w:rsidP="006548F8">
            <w:pPr>
              <w:jc w:val="right"/>
              <w:rPr>
                <w:rFonts w:ascii="Arial" w:eastAsia="Calibri" w:hAnsi="Arial" w:cs="Arial"/>
                <w:b/>
                <w:bCs/>
                <w:sz w:val="18"/>
                <w:szCs w:val="18"/>
                <w:lang w:val="es-CO"/>
              </w:rPr>
            </w:pPr>
            <w:r w:rsidRPr="0018768C">
              <w:rPr>
                <w:rFonts w:ascii="Arial" w:hAnsi="Arial" w:cs="Arial"/>
                <w:color w:val="000000"/>
                <w:sz w:val="16"/>
                <w:szCs w:val="16"/>
              </w:rPr>
              <w:t>14.867</w:t>
            </w:r>
          </w:p>
        </w:tc>
        <w:tc>
          <w:tcPr>
            <w:tcW w:w="2354" w:type="dxa"/>
            <w:vAlign w:val="bottom"/>
          </w:tcPr>
          <w:p w14:paraId="3F274590" w14:textId="77777777" w:rsidR="007E2F9F" w:rsidRPr="0018768C" w:rsidRDefault="007E2F9F" w:rsidP="006548F8">
            <w:pPr>
              <w:pStyle w:val="Prrafodelista"/>
              <w:ind w:left="0"/>
              <w:jc w:val="right"/>
              <w:rPr>
                <w:rFonts w:ascii="Arial" w:eastAsia="Calibri" w:hAnsi="Arial" w:cs="Arial"/>
                <w:b/>
                <w:bCs/>
                <w:sz w:val="18"/>
                <w:szCs w:val="18"/>
                <w:lang w:val="es-CO"/>
              </w:rPr>
            </w:pPr>
            <w:r w:rsidRPr="0018768C">
              <w:rPr>
                <w:rFonts w:ascii="Arial" w:hAnsi="Arial" w:cs="Arial"/>
                <w:color w:val="000000"/>
                <w:sz w:val="16"/>
                <w:szCs w:val="16"/>
              </w:rPr>
              <w:t>14.185</w:t>
            </w:r>
          </w:p>
        </w:tc>
        <w:tc>
          <w:tcPr>
            <w:tcW w:w="2238" w:type="dxa"/>
            <w:vAlign w:val="bottom"/>
          </w:tcPr>
          <w:p w14:paraId="60A477E2" w14:textId="77777777" w:rsidR="007E2F9F" w:rsidRPr="0018768C" w:rsidRDefault="007E2F9F" w:rsidP="006548F8">
            <w:pPr>
              <w:pStyle w:val="Prrafodelista"/>
              <w:ind w:left="0"/>
              <w:jc w:val="right"/>
              <w:rPr>
                <w:rFonts w:ascii="Arial" w:hAnsi="Arial" w:cs="Arial"/>
                <w:b/>
                <w:bCs/>
                <w:sz w:val="18"/>
                <w:szCs w:val="18"/>
              </w:rPr>
            </w:pPr>
            <w:r w:rsidRPr="0018768C">
              <w:rPr>
                <w:rFonts w:ascii="Arial" w:hAnsi="Arial" w:cs="Arial"/>
                <w:color w:val="000000"/>
                <w:sz w:val="16"/>
                <w:szCs w:val="16"/>
              </w:rPr>
              <w:t>682,00</w:t>
            </w:r>
          </w:p>
        </w:tc>
      </w:tr>
      <w:tr w:rsidR="007E2F9F" w:rsidRPr="0018768C" w14:paraId="45529042" w14:textId="77777777" w:rsidTr="006548F8">
        <w:tc>
          <w:tcPr>
            <w:tcW w:w="3544" w:type="dxa"/>
          </w:tcPr>
          <w:p w14:paraId="01470E1B" w14:textId="77777777" w:rsidR="007E2F9F" w:rsidRPr="0018768C" w:rsidRDefault="007E2F9F" w:rsidP="006548F8">
            <w:pPr>
              <w:ind w:right="-1440"/>
              <w:jc w:val="both"/>
              <w:rPr>
                <w:rFonts w:ascii="Arial" w:hAnsi="Arial" w:cs="Arial"/>
                <w:b/>
                <w:bCs/>
                <w:sz w:val="18"/>
                <w:szCs w:val="18"/>
                <w:lang w:val="es-ES_tradnl"/>
              </w:rPr>
            </w:pPr>
            <w:r w:rsidRPr="0018768C">
              <w:rPr>
                <w:rFonts w:ascii="Arial" w:hAnsi="Arial" w:cs="Arial"/>
                <w:b/>
                <w:bCs/>
                <w:sz w:val="18"/>
                <w:szCs w:val="18"/>
                <w:lang w:val="es-ES_tradnl"/>
              </w:rPr>
              <w:t>TOTAL PÉRDIDAS DE APROPIACIÓN</w:t>
            </w:r>
          </w:p>
        </w:tc>
        <w:tc>
          <w:tcPr>
            <w:tcW w:w="2354" w:type="dxa"/>
            <w:vAlign w:val="bottom"/>
          </w:tcPr>
          <w:p w14:paraId="1DF4CBB2" w14:textId="77777777" w:rsidR="007E2F9F" w:rsidRPr="0018768C" w:rsidRDefault="007E2F9F" w:rsidP="006548F8">
            <w:pPr>
              <w:pStyle w:val="Prrafodelista"/>
              <w:ind w:left="0"/>
              <w:jc w:val="right"/>
              <w:rPr>
                <w:rFonts w:ascii="Arial" w:hAnsi="Arial" w:cs="Arial"/>
                <w:b/>
                <w:bCs/>
                <w:sz w:val="18"/>
                <w:szCs w:val="18"/>
                <w:u w:val="single"/>
              </w:rPr>
            </w:pPr>
            <w:r w:rsidRPr="0018768C">
              <w:rPr>
                <w:rFonts w:ascii="Arial" w:hAnsi="Arial" w:cs="Arial"/>
                <w:b/>
                <w:bCs/>
                <w:sz w:val="16"/>
                <w:szCs w:val="16"/>
              </w:rPr>
              <w:t>146.449</w:t>
            </w:r>
          </w:p>
        </w:tc>
        <w:tc>
          <w:tcPr>
            <w:tcW w:w="2354" w:type="dxa"/>
            <w:vAlign w:val="bottom"/>
          </w:tcPr>
          <w:p w14:paraId="533733BF" w14:textId="77777777" w:rsidR="007E2F9F" w:rsidRPr="0018768C" w:rsidRDefault="007E2F9F" w:rsidP="006548F8">
            <w:pPr>
              <w:pStyle w:val="Prrafodelista"/>
              <w:ind w:left="0"/>
              <w:jc w:val="right"/>
              <w:rPr>
                <w:rFonts w:ascii="Arial" w:hAnsi="Arial" w:cs="Arial"/>
                <w:b/>
                <w:bCs/>
                <w:sz w:val="18"/>
                <w:szCs w:val="18"/>
                <w:u w:val="single"/>
              </w:rPr>
            </w:pPr>
            <w:r w:rsidRPr="0018768C">
              <w:rPr>
                <w:rFonts w:ascii="Arial" w:hAnsi="Arial" w:cs="Arial"/>
                <w:b/>
                <w:bCs/>
                <w:sz w:val="16"/>
                <w:szCs w:val="16"/>
              </w:rPr>
              <w:t>142.616</w:t>
            </w:r>
          </w:p>
        </w:tc>
        <w:tc>
          <w:tcPr>
            <w:tcW w:w="2238" w:type="dxa"/>
            <w:vAlign w:val="bottom"/>
          </w:tcPr>
          <w:p w14:paraId="07C901B1" w14:textId="77777777" w:rsidR="007E2F9F" w:rsidRPr="0018768C" w:rsidRDefault="007E2F9F" w:rsidP="006548F8">
            <w:pPr>
              <w:pStyle w:val="Prrafodelista"/>
              <w:ind w:left="0"/>
              <w:jc w:val="right"/>
              <w:rPr>
                <w:rFonts w:ascii="Arial" w:hAnsi="Arial" w:cs="Arial"/>
                <w:b/>
                <w:bCs/>
                <w:sz w:val="18"/>
                <w:szCs w:val="18"/>
                <w:u w:val="single"/>
              </w:rPr>
            </w:pPr>
            <w:r w:rsidRPr="0018768C">
              <w:rPr>
                <w:rFonts w:ascii="Arial" w:hAnsi="Arial" w:cs="Arial"/>
                <w:b/>
                <w:bCs/>
                <w:sz w:val="16"/>
                <w:szCs w:val="16"/>
              </w:rPr>
              <w:t>3.833,00</w:t>
            </w:r>
          </w:p>
        </w:tc>
      </w:tr>
    </w:tbl>
    <w:p w14:paraId="0B750D38" w14:textId="77777777" w:rsidR="007E2F9F" w:rsidRDefault="007E2F9F" w:rsidP="007E2F9F">
      <w:pPr>
        <w:ind w:left="-284" w:right="-234"/>
        <w:rPr>
          <w:rFonts w:ascii="Arial" w:eastAsia="Calibri" w:hAnsi="Arial" w:cs="Arial"/>
          <w:b/>
          <w:u w:val="single"/>
          <w:lang w:val="es-MX"/>
        </w:rPr>
      </w:pPr>
    </w:p>
    <w:p w14:paraId="2488DDA2" w14:textId="77777777" w:rsidR="007E2F9F" w:rsidRPr="00101F1B" w:rsidRDefault="007E2F9F" w:rsidP="007E2F9F">
      <w:pPr>
        <w:ind w:left="-284"/>
        <w:jc w:val="both"/>
        <w:rPr>
          <w:rFonts w:ascii="Arial" w:hAnsi="Arial" w:cs="Arial"/>
          <w:b/>
          <w:sz w:val="28"/>
          <w:szCs w:val="28"/>
          <w:lang w:val="es-MX"/>
        </w:rPr>
      </w:pPr>
      <w:r w:rsidRPr="00101F1B">
        <w:rPr>
          <w:rFonts w:ascii="Arial" w:hAnsi="Arial" w:cs="Arial"/>
          <w:b/>
          <w:sz w:val="28"/>
          <w:szCs w:val="28"/>
          <w:lang w:val="es-MX"/>
        </w:rPr>
        <w:t>308.- U.A.E. DE ORGANIZACIONES SOLIDARIAS.</w:t>
      </w:r>
    </w:p>
    <w:p w14:paraId="31AB63D9" w14:textId="77777777" w:rsidR="007E2F9F" w:rsidRDefault="007E2F9F" w:rsidP="007E2F9F">
      <w:pPr>
        <w:ind w:left="-284" w:right="-234"/>
        <w:rPr>
          <w:rFonts w:ascii="Arial" w:eastAsia="Calibri" w:hAnsi="Arial" w:cs="Arial"/>
          <w:b/>
          <w:u w:val="single"/>
          <w:lang w:val="es-MX"/>
        </w:rPr>
      </w:pPr>
    </w:p>
    <w:p w14:paraId="17224710"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90CF261"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0BB243E"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101F1B" w14:paraId="2B539DBE" w14:textId="77777777" w:rsidTr="006548F8">
        <w:tc>
          <w:tcPr>
            <w:tcW w:w="3544" w:type="dxa"/>
          </w:tcPr>
          <w:p w14:paraId="466A306C" w14:textId="77777777" w:rsidR="007E2F9F" w:rsidRPr="00101F1B" w:rsidRDefault="007E2F9F" w:rsidP="006548F8">
            <w:pPr>
              <w:ind w:left="1169" w:right="-1440"/>
              <w:rPr>
                <w:rFonts w:ascii="Arial" w:hAnsi="Arial" w:cs="Arial"/>
                <w:b/>
                <w:sz w:val="18"/>
                <w:szCs w:val="18"/>
                <w:lang w:val="es-ES_tradnl"/>
              </w:rPr>
            </w:pPr>
            <w:r w:rsidRPr="00101F1B">
              <w:rPr>
                <w:rFonts w:ascii="Arial" w:hAnsi="Arial" w:cs="Arial"/>
                <w:b/>
                <w:sz w:val="18"/>
                <w:szCs w:val="18"/>
                <w:lang w:val="es-ES_tradnl"/>
              </w:rPr>
              <w:t>TIPO DE GASTO</w:t>
            </w:r>
          </w:p>
        </w:tc>
        <w:tc>
          <w:tcPr>
            <w:tcW w:w="2354" w:type="dxa"/>
          </w:tcPr>
          <w:p w14:paraId="72D0672A" w14:textId="77777777" w:rsidR="007E2F9F" w:rsidRPr="00101F1B" w:rsidRDefault="007E2F9F" w:rsidP="006548F8">
            <w:pPr>
              <w:jc w:val="center"/>
              <w:rPr>
                <w:rFonts w:ascii="Arial" w:hAnsi="Arial" w:cs="Arial"/>
                <w:b/>
                <w:sz w:val="18"/>
                <w:szCs w:val="18"/>
                <w:lang w:val="es-ES_tradnl"/>
              </w:rPr>
            </w:pPr>
            <w:r w:rsidRPr="00101F1B">
              <w:rPr>
                <w:rFonts w:ascii="Arial" w:hAnsi="Arial" w:cs="Arial"/>
                <w:b/>
                <w:sz w:val="18"/>
                <w:szCs w:val="18"/>
                <w:lang w:val="es-ES_tradnl"/>
              </w:rPr>
              <w:t>APROPIACIÓN</w:t>
            </w:r>
          </w:p>
          <w:p w14:paraId="40129E7C" w14:textId="77777777" w:rsidR="007E2F9F" w:rsidRPr="00101F1B" w:rsidRDefault="007E2F9F" w:rsidP="006548F8">
            <w:pPr>
              <w:jc w:val="center"/>
              <w:rPr>
                <w:rFonts w:ascii="Arial" w:hAnsi="Arial" w:cs="Arial"/>
                <w:b/>
                <w:sz w:val="18"/>
                <w:szCs w:val="18"/>
                <w:lang w:val="es-ES_tradnl"/>
              </w:rPr>
            </w:pPr>
            <w:r w:rsidRPr="00101F1B">
              <w:rPr>
                <w:rFonts w:ascii="Arial" w:hAnsi="Arial" w:cs="Arial"/>
                <w:b/>
                <w:sz w:val="18"/>
                <w:szCs w:val="18"/>
                <w:lang w:val="es-ES_tradnl"/>
              </w:rPr>
              <w:t>DEFINITIVA</w:t>
            </w:r>
          </w:p>
          <w:p w14:paraId="2556C800" w14:textId="77777777" w:rsidR="007E2F9F" w:rsidRPr="00101F1B" w:rsidRDefault="007E2F9F" w:rsidP="006548F8">
            <w:pPr>
              <w:jc w:val="center"/>
              <w:rPr>
                <w:rFonts w:ascii="Arial" w:hAnsi="Arial" w:cs="Arial"/>
                <w:b/>
                <w:sz w:val="18"/>
                <w:szCs w:val="18"/>
                <w:lang w:val="es-ES_tradnl"/>
              </w:rPr>
            </w:pPr>
            <w:r w:rsidRPr="00101F1B">
              <w:rPr>
                <w:rFonts w:ascii="Arial" w:hAnsi="Arial" w:cs="Arial"/>
                <w:b/>
                <w:sz w:val="18"/>
                <w:szCs w:val="18"/>
                <w:lang w:val="es-ES_tradnl"/>
              </w:rPr>
              <w:t>(1)</w:t>
            </w:r>
          </w:p>
          <w:p w14:paraId="0D437062" w14:textId="77777777" w:rsidR="007E2F9F" w:rsidRPr="00101F1B" w:rsidRDefault="007E2F9F" w:rsidP="006548F8">
            <w:pPr>
              <w:jc w:val="center"/>
              <w:rPr>
                <w:rFonts w:ascii="Arial" w:hAnsi="Arial" w:cs="Arial"/>
                <w:b/>
                <w:sz w:val="18"/>
                <w:szCs w:val="18"/>
                <w:lang w:val="es-ES_tradnl"/>
              </w:rPr>
            </w:pPr>
          </w:p>
        </w:tc>
        <w:tc>
          <w:tcPr>
            <w:tcW w:w="2354" w:type="dxa"/>
          </w:tcPr>
          <w:p w14:paraId="6F3B24E8" w14:textId="77777777" w:rsidR="007E2F9F" w:rsidRPr="00101F1B" w:rsidRDefault="007E2F9F" w:rsidP="006548F8">
            <w:pPr>
              <w:ind w:left="145" w:right="184"/>
              <w:jc w:val="center"/>
              <w:rPr>
                <w:rFonts w:ascii="Arial" w:hAnsi="Arial" w:cs="Arial"/>
                <w:b/>
                <w:sz w:val="18"/>
                <w:szCs w:val="18"/>
                <w:lang w:val="es-ES_tradnl"/>
              </w:rPr>
            </w:pPr>
            <w:r w:rsidRPr="00101F1B">
              <w:rPr>
                <w:rFonts w:ascii="Arial" w:hAnsi="Arial" w:cs="Arial"/>
                <w:b/>
                <w:sz w:val="18"/>
                <w:szCs w:val="18"/>
                <w:lang w:val="es-ES_tradnl"/>
              </w:rPr>
              <w:t>EJECUCIÓN</w:t>
            </w:r>
          </w:p>
          <w:p w14:paraId="4B03D928" w14:textId="77777777" w:rsidR="007E2F9F" w:rsidRPr="00101F1B" w:rsidRDefault="007E2F9F" w:rsidP="006548F8">
            <w:pPr>
              <w:ind w:right="34"/>
              <w:jc w:val="center"/>
              <w:rPr>
                <w:rFonts w:ascii="Arial" w:hAnsi="Arial" w:cs="Arial"/>
                <w:b/>
                <w:sz w:val="18"/>
                <w:szCs w:val="18"/>
                <w:lang w:val="es-ES_tradnl"/>
              </w:rPr>
            </w:pPr>
            <w:r w:rsidRPr="00101F1B">
              <w:rPr>
                <w:rFonts w:ascii="Arial" w:hAnsi="Arial" w:cs="Arial"/>
                <w:b/>
                <w:sz w:val="18"/>
                <w:szCs w:val="18"/>
                <w:lang w:val="es-ES_tradnl"/>
              </w:rPr>
              <w:t>COMPROMISOS</w:t>
            </w:r>
          </w:p>
          <w:p w14:paraId="6DAEBD8D" w14:textId="77777777" w:rsidR="007E2F9F" w:rsidRPr="00101F1B" w:rsidRDefault="007E2F9F" w:rsidP="006548F8">
            <w:pPr>
              <w:ind w:right="34"/>
              <w:jc w:val="center"/>
              <w:rPr>
                <w:rFonts w:ascii="Arial" w:hAnsi="Arial" w:cs="Arial"/>
                <w:b/>
                <w:sz w:val="18"/>
                <w:szCs w:val="18"/>
                <w:lang w:val="es-ES_tradnl"/>
              </w:rPr>
            </w:pPr>
            <w:r w:rsidRPr="00101F1B">
              <w:rPr>
                <w:rFonts w:ascii="Arial" w:hAnsi="Arial" w:cs="Arial"/>
                <w:b/>
                <w:sz w:val="18"/>
                <w:szCs w:val="18"/>
                <w:lang w:val="es-ES_tradnl"/>
              </w:rPr>
              <w:t>(2)</w:t>
            </w:r>
          </w:p>
        </w:tc>
        <w:tc>
          <w:tcPr>
            <w:tcW w:w="2238" w:type="dxa"/>
          </w:tcPr>
          <w:p w14:paraId="63AACB3F" w14:textId="77777777" w:rsidR="007E2F9F" w:rsidRPr="00101F1B" w:rsidRDefault="007E2F9F" w:rsidP="006548F8">
            <w:pPr>
              <w:ind w:left="25" w:right="34"/>
              <w:jc w:val="center"/>
              <w:rPr>
                <w:rFonts w:ascii="Arial" w:hAnsi="Arial" w:cs="Arial"/>
                <w:b/>
                <w:sz w:val="18"/>
                <w:szCs w:val="18"/>
                <w:lang w:val="es-ES_tradnl"/>
              </w:rPr>
            </w:pPr>
            <w:r w:rsidRPr="00101F1B">
              <w:rPr>
                <w:rFonts w:ascii="Arial" w:hAnsi="Arial" w:cs="Arial"/>
                <w:b/>
                <w:sz w:val="18"/>
                <w:szCs w:val="18"/>
                <w:lang w:val="es-ES_tradnl"/>
              </w:rPr>
              <w:t>PÉRDIDAS DE</w:t>
            </w:r>
          </w:p>
          <w:p w14:paraId="2A442800" w14:textId="77777777" w:rsidR="007E2F9F" w:rsidRPr="00101F1B" w:rsidRDefault="007E2F9F" w:rsidP="006548F8">
            <w:pPr>
              <w:ind w:right="34"/>
              <w:jc w:val="center"/>
              <w:rPr>
                <w:rFonts w:ascii="Arial" w:hAnsi="Arial" w:cs="Arial"/>
                <w:b/>
                <w:sz w:val="18"/>
                <w:szCs w:val="18"/>
                <w:lang w:val="es-ES_tradnl"/>
              </w:rPr>
            </w:pPr>
            <w:r w:rsidRPr="00101F1B">
              <w:rPr>
                <w:rFonts w:ascii="Arial" w:hAnsi="Arial" w:cs="Arial"/>
                <w:b/>
                <w:sz w:val="18"/>
                <w:szCs w:val="18"/>
                <w:lang w:val="es-ES_tradnl"/>
              </w:rPr>
              <w:t>APROPIACIÓN</w:t>
            </w:r>
          </w:p>
          <w:p w14:paraId="13BF41FF" w14:textId="77777777" w:rsidR="007E2F9F" w:rsidRPr="00101F1B" w:rsidRDefault="007E2F9F" w:rsidP="006548F8">
            <w:pPr>
              <w:ind w:right="34"/>
              <w:jc w:val="center"/>
              <w:rPr>
                <w:rFonts w:ascii="Arial" w:hAnsi="Arial" w:cs="Arial"/>
                <w:b/>
                <w:sz w:val="18"/>
                <w:szCs w:val="18"/>
                <w:lang w:val="es-ES_tradnl"/>
              </w:rPr>
            </w:pPr>
            <w:r w:rsidRPr="00101F1B">
              <w:rPr>
                <w:rFonts w:ascii="Arial" w:hAnsi="Arial" w:cs="Arial"/>
                <w:b/>
                <w:sz w:val="18"/>
                <w:szCs w:val="18"/>
                <w:lang w:val="es-ES_tradnl"/>
              </w:rPr>
              <w:t>3 = (1-2)</w:t>
            </w:r>
          </w:p>
        </w:tc>
      </w:tr>
      <w:tr w:rsidR="007E2F9F" w:rsidRPr="00101F1B" w14:paraId="6C480456" w14:textId="77777777" w:rsidTr="006548F8">
        <w:trPr>
          <w:trHeight w:val="230"/>
        </w:trPr>
        <w:tc>
          <w:tcPr>
            <w:tcW w:w="3544" w:type="dxa"/>
          </w:tcPr>
          <w:p w14:paraId="41D74E27" w14:textId="77777777" w:rsidR="007E2F9F" w:rsidRPr="00101F1B" w:rsidRDefault="007E2F9F" w:rsidP="006548F8">
            <w:pPr>
              <w:ind w:right="-1440"/>
              <w:jc w:val="both"/>
              <w:rPr>
                <w:rFonts w:ascii="Arial" w:hAnsi="Arial" w:cs="Arial"/>
                <w:b/>
                <w:bCs/>
                <w:sz w:val="18"/>
                <w:szCs w:val="18"/>
                <w:lang w:val="es-ES_tradnl"/>
              </w:rPr>
            </w:pPr>
            <w:r w:rsidRPr="00101F1B">
              <w:rPr>
                <w:rFonts w:ascii="Arial" w:hAnsi="Arial" w:cs="Arial"/>
                <w:b/>
                <w:bCs/>
                <w:sz w:val="18"/>
                <w:szCs w:val="18"/>
                <w:lang w:val="es-ES_tradnl"/>
              </w:rPr>
              <w:t>FUNCIONAMIENTO</w:t>
            </w:r>
          </w:p>
        </w:tc>
        <w:tc>
          <w:tcPr>
            <w:tcW w:w="2354" w:type="dxa"/>
            <w:vAlign w:val="bottom"/>
          </w:tcPr>
          <w:p w14:paraId="7BDDF69F" w14:textId="77777777" w:rsidR="007E2F9F" w:rsidRPr="00101F1B" w:rsidRDefault="007E2F9F" w:rsidP="006548F8">
            <w:pPr>
              <w:jc w:val="right"/>
              <w:rPr>
                <w:rFonts w:ascii="Arial" w:eastAsia="Calibri" w:hAnsi="Arial" w:cs="Arial"/>
                <w:b/>
                <w:bCs/>
                <w:sz w:val="18"/>
                <w:szCs w:val="18"/>
                <w:lang w:val="es-CO"/>
              </w:rPr>
            </w:pPr>
            <w:r w:rsidRPr="00101F1B">
              <w:rPr>
                <w:rFonts w:ascii="Arial" w:hAnsi="Arial" w:cs="Arial"/>
                <w:sz w:val="16"/>
                <w:szCs w:val="16"/>
              </w:rPr>
              <w:t>10.023.344</w:t>
            </w:r>
          </w:p>
        </w:tc>
        <w:tc>
          <w:tcPr>
            <w:tcW w:w="2354" w:type="dxa"/>
            <w:vAlign w:val="bottom"/>
          </w:tcPr>
          <w:p w14:paraId="0D4B2468" w14:textId="77777777" w:rsidR="007E2F9F" w:rsidRPr="00101F1B" w:rsidRDefault="007E2F9F" w:rsidP="006548F8">
            <w:pPr>
              <w:pStyle w:val="Prrafodelista"/>
              <w:ind w:left="0"/>
              <w:jc w:val="right"/>
              <w:rPr>
                <w:rFonts w:ascii="Arial" w:hAnsi="Arial" w:cs="Arial"/>
                <w:b/>
                <w:bCs/>
                <w:sz w:val="18"/>
                <w:szCs w:val="18"/>
              </w:rPr>
            </w:pPr>
            <w:r w:rsidRPr="00101F1B">
              <w:rPr>
                <w:rFonts w:ascii="Arial" w:hAnsi="Arial" w:cs="Arial"/>
                <w:sz w:val="16"/>
                <w:szCs w:val="16"/>
              </w:rPr>
              <w:t>9.764.094</w:t>
            </w:r>
          </w:p>
        </w:tc>
        <w:tc>
          <w:tcPr>
            <w:tcW w:w="2238" w:type="dxa"/>
            <w:vAlign w:val="bottom"/>
          </w:tcPr>
          <w:p w14:paraId="16C059F7" w14:textId="77777777" w:rsidR="007E2F9F" w:rsidRPr="00101F1B" w:rsidRDefault="007E2F9F" w:rsidP="006548F8">
            <w:pPr>
              <w:pStyle w:val="Prrafodelista"/>
              <w:ind w:left="0"/>
              <w:jc w:val="right"/>
              <w:rPr>
                <w:rFonts w:ascii="Arial" w:hAnsi="Arial" w:cs="Arial"/>
                <w:b/>
                <w:bCs/>
                <w:sz w:val="18"/>
                <w:szCs w:val="18"/>
              </w:rPr>
            </w:pPr>
            <w:r w:rsidRPr="00101F1B">
              <w:rPr>
                <w:rFonts w:ascii="Arial" w:hAnsi="Arial" w:cs="Arial"/>
                <w:sz w:val="16"/>
                <w:szCs w:val="16"/>
              </w:rPr>
              <w:t>259.250</w:t>
            </w:r>
          </w:p>
        </w:tc>
      </w:tr>
      <w:tr w:rsidR="007E2F9F" w:rsidRPr="00101F1B" w14:paraId="17670D2D" w14:textId="77777777" w:rsidTr="006548F8">
        <w:trPr>
          <w:trHeight w:val="230"/>
        </w:trPr>
        <w:tc>
          <w:tcPr>
            <w:tcW w:w="3544" w:type="dxa"/>
          </w:tcPr>
          <w:p w14:paraId="21DB4C82" w14:textId="77777777" w:rsidR="007E2F9F" w:rsidRPr="00101F1B" w:rsidRDefault="007E2F9F" w:rsidP="006548F8">
            <w:pPr>
              <w:ind w:right="-1440"/>
              <w:jc w:val="both"/>
              <w:rPr>
                <w:rFonts w:ascii="Arial" w:hAnsi="Arial" w:cs="Arial"/>
                <w:b/>
                <w:bCs/>
                <w:sz w:val="18"/>
                <w:szCs w:val="18"/>
                <w:lang w:val="es-ES_tradnl"/>
              </w:rPr>
            </w:pPr>
            <w:r w:rsidRPr="00101F1B">
              <w:rPr>
                <w:rFonts w:ascii="Arial" w:hAnsi="Arial" w:cs="Arial"/>
                <w:b/>
                <w:bCs/>
                <w:sz w:val="18"/>
                <w:szCs w:val="18"/>
                <w:lang w:val="es-ES_tradnl"/>
              </w:rPr>
              <w:t>NVERSIÓN</w:t>
            </w:r>
          </w:p>
        </w:tc>
        <w:tc>
          <w:tcPr>
            <w:tcW w:w="2354" w:type="dxa"/>
            <w:vAlign w:val="bottom"/>
          </w:tcPr>
          <w:p w14:paraId="7512D50A" w14:textId="77777777" w:rsidR="007E2F9F" w:rsidRPr="00101F1B" w:rsidRDefault="007E2F9F" w:rsidP="006548F8">
            <w:pPr>
              <w:jc w:val="right"/>
              <w:rPr>
                <w:rFonts w:ascii="Arial" w:eastAsia="Calibri" w:hAnsi="Arial" w:cs="Arial"/>
                <w:b/>
                <w:bCs/>
                <w:sz w:val="18"/>
                <w:szCs w:val="18"/>
                <w:lang w:val="es-CO"/>
              </w:rPr>
            </w:pPr>
            <w:r w:rsidRPr="00101F1B">
              <w:rPr>
                <w:rFonts w:ascii="Arial" w:hAnsi="Arial" w:cs="Arial"/>
                <w:color w:val="000000"/>
                <w:sz w:val="16"/>
                <w:szCs w:val="16"/>
              </w:rPr>
              <w:t>33.965.016</w:t>
            </w:r>
          </w:p>
        </w:tc>
        <w:tc>
          <w:tcPr>
            <w:tcW w:w="2354" w:type="dxa"/>
            <w:vAlign w:val="bottom"/>
          </w:tcPr>
          <w:p w14:paraId="6E83DB37" w14:textId="77777777" w:rsidR="007E2F9F" w:rsidRPr="00101F1B" w:rsidRDefault="007E2F9F" w:rsidP="006548F8">
            <w:pPr>
              <w:pStyle w:val="Prrafodelista"/>
              <w:ind w:left="0"/>
              <w:jc w:val="right"/>
              <w:rPr>
                <w:rFonts w:ascii="Arial" w:eastAsia="Calibri" w:hAnsi="Arial" w:cs="Arial"/>
                <w:b/>
                <w:bCs/>
                <w:sz w:val="18"/>
                <w:szCs w:val="18"/>
                <w:lang w:val="es-CO"/>
              </w:rPr>
            </w:pPr>
            <w:r w:rsidRPr="00101F1B">
              <w:rPr>
                <w:rFonts w:ascii="Arial" w:hAnsi="Arial" w:cs="Arial"/>
                <w:color w:val="000000"/>
                <w:sz w:val="16"/>
                <w:szCs w:val="16"/>
              </w:rPr>
              <w:t>33.656.694</w:t>
            </w:r>
          </w:p>
        </w:tc>
        <w:tc>
          <w:tcPr>
            <w:tcW w:w="2238" w:type="dxa"/>
            <w:vAlign w:val="bottom"/>
          </w:tcPr>
          <w:p w14:paraId="537DAD1D" w14:textId="77777777" w:rsidR="007E2F9F" w:rsidRPr="00101F1B" w:rsidRDefault="007E2F9F" w:rsidP="006548F8">
            <w:pPr>
              <w:pStyle w:val="Prrafodelista"/>
              <w:ind w:left="0"/>
              <w:jc w:val="right"/>
              <w:rPr>
                <w:rFonts w:ascii="Arial" w:hAnsi="Arial" w:cs="Arial"/>
                <w:b/>
                <w:bCs/>
                <w:sz w:val="18"/>
                <w:szCs w:val="18"/>
              </w:rPr>
            </w:pPr>
            <w:r w:rsidRPr="00101F1B">
              <w:rPr>
                <w:rFonts w:ascii="Arial" w:hAnsi="Arial" w:cs="Arial"/>
                <w:color w:val="000000"/>
                <w:sz w:val="16"/>
                <w:szCs w:val="16"/>
              </w:rPr>
              <w:t>308.322</w:t>
            </w:r>
          </w:p>
        </w:tc>
      </w:tr>
      <w:tr w:rsidR="007E2F9F" w:rsidRPr="00101F1B" w14:paraId="18F242B6" w14:textId="77777777" w:rsidTr="006548F8">
        <w:tc>
          <w:tcPr>
            <w:tcW w:w="3544" w:type="dxa"/>
          </w:tcPr>
          <w:p w14:paraId="67713071" w14:textId="77777777" w:rsidR="007E2F9F" w:rsidRPr="00101F1B" w:rsidRDefault="007E2F9F" w:rsidP="006548F8">
            <w:pPr>
              <w:ind w:right="-1440"/>
              <w:jc w:val="both"/>
              <w:rPr>
                <w:rFonts w:ascii="Arial" w:hAnsi="Arial" w:cs="Arial"/>
                <w:b/>
                <w:bCs/>
                <w:sz w:val="18"/>
                <w:szCs w:val="18"/>
                <w:lang w:val="es-ES_tradnl"/>
              </w:rPr>
            </w:pPr>
            <w:r w:rsidRPr="00101F1B">
              <w:rPr>
                <w:rFonts w:ascii="Arial" w:hAnsi="Arial" w:cs="Arial"/>
                <w:b/>
                <w:bCs/>
                <w:sz w:val="18"/>
                <w:szCs w:val="18"/>
                <w:lang w:val="es-ES_tradnl"/>
              </w:rPr>
              <w:t>TOTAL PÉRDIDAS DE APROPIACIÓN</w:t>
            </w:r>
          </w:p>
        </w:tc>
        <w:tc>
          <w:tcPr>
            <w:tcW w:w="2354" w:type="dxa"/>
            <w:vAlign w:val="bottom"/>
          </w:tcPr>
          <w:p w14:paraId="7C5C489F" w14:textId="77777777" w:rsidR="007E2F9F" w:rsidRPr="00101F1B" w:rsidRDefault="007E2F9F" w:rsidP="006548F8">
            <w:pPr>
              <w:pStyle w:val="Prrafodelista"/>
              <w:ind w:left="0"/>
              <w:jc w:val="right"/>
              <w:rPr>
                <w:rFonts w:ascii="Arial" w:hAnsi="Arial" w:cs="Arial"/>
                <w:b/>
                <w:bCs/>
                <w:sz w:val="18"/>
                <w:szCs w:val="18"/>
                <w:u w:val="single"/>
              </w:rPr>
            </w:pPr>
            <w:r w:rsidRPr="00101F1B">
              <w:rPr>
                <w:rFonts w:ascii="Arial" w:hAnsi="Arial" w:cs="Arial"/>
                <w:sz w:val="16"/>
                <w:szCs w:val="16"/>
              </w:rPr>
              <w:t>43.988.360</w:t>
            </w:r>
          </w:p>
        </w:tc>
        <w:tc>
          <w:tcPr>
            <w:tcW w:w="2354" w:type="dxa"/>
            <w:vAlign w:val="bottom"/>
          </w:tcPr>
          <w:p w14:paraId="7B5AF957" w14:textId="77777777" w:rsidR="007E2F9F" w:rsidRPr="00101F1B" w:rsidRDefault="007E2F9F" w:rsidP="006548F8">
            <w:pPr>
              <w:pStyle w:val="Prrafodelista"/>
              <w:ind w:left="0"/>
              <w:jc w:val="right"/>
              <w:rPr>
                <w:rFonts w:ascii="Arial" w:hAnsi="Arial" w:cs="Arial"/>
                <w:b/>
                <w:bCs/>
                <w:sz w:val="18"/>
                <w:szCs w:val="18"/>
                <w:u w:val="single"/>
              </w:rPr>
            </w:pPr>
            <w:r w:rsidRPr="00101F1B">
              <w:rPr>
                <w:rFonts w:ascii="Arial" w:hAnsi="Arial" w:cs="Arial"/>
                <w:sz w:val="16"/>
                <w:szCs w:val="16"/>
              </w:rPr>
              <w:t>43.420.788</w:t>
            </w:r>
          </w:p>
        </w:tc>
        <w:tc>
          <w:tcPr>
            <w:tcW w:w="2238" w:type="dxa"/>
            <w:vAlign w:val="bottom"/>
          </w:tcPr>
          <w:p w14:paraId="6C1C68ED" w14:textId="77777777" w:rsidR="007E2F9F" w:rsidRPr="00101F1B" w:rsidRDefault="007E2F9F" w:rsidP="006548F8">
            <w:pPr>
              <w:pStyle w:val="Prrafodelista"/>
              <w:ind w:left="0"/>
              <w:jc w:val="right"/>
              <w:rPr>
                <w:rFonts w:ascii="Arial" w:hAnsi="Arial" w:cs="Arial"/>
                <w:b/>
                <w:bCs/>
                <w:sz w:val="18"/>
                <w:szCs w:val="18"/>
                <w:u w:val="single"/>
              </w:rPr>
            </w:pPr>
            <w:r w:rsidRPr="00101F1B">
              <w:rPr>
                <w:rFonts w:ascii="Arial" w:hAnsi="Arial" w:cs="Arial"/>
                <w:sz w:val="16"/>
                <w:szCs w:val="16"/>
              </w:rPr>
              <w:t>567.573</w:t>
            </w:r>
          </w:p>
        </w:tc>
      </w:tr>
    </w:tbl>
    <w:p w14:paraId="20F60846" w14:textId="77777777" w:rsidR="007E2F9F" w:rsidRDefault="007E2F9F" w:rsidP="007E2F9F">
      <w:pPr>
        <w:ind w:left="-284" w:right="-234"/>
        <w:rPr>
          <w:rFonts w:ascii="Arial" w:eastAsia="Calibri" w:hAnsi="Arial" w:cs="Arial"/>
          <w:b/>
          <w:u w:val="single"/>
          <w:lang w:val="es-MX"/>
        </w:rPr>
      </w:pPr>
    </w:p>
    <w:p w14:paraId="19A83C33" w14:textId="77777777" w:rsidR="007E2F9F" w:rsidRPr="009725B8" w:rsidRDefault="007E2F9F" w:rsidP="007E2F9F">
      <w:pPr>
        <w:ind w:left="-284" w:right="-234"/>
        <w:jc w:val="both"/>
        <w:rPr>
          <w:rFonts w:ascii="Arial" w:hAnsi="Arial" w:cs="Arial"/>
          <w:b/>
          <w:sz w:val="28"/>
          <w:szCs w:val="28"/>
          <w:lang w:val="es-MX"/>
        </w:rPr>
      </w:pPr>
      <w:r w:rsidRPr="009725B8">
        <w:rPr>
          <w:rFonts w:ascii="Arial" w:hAnsi="Arial" w:cs="Arial"/>
          <w:b/>
          <w:sz w:val="28"/>
          <w:szCs w:val="28"/>
          <w:lang w:val="es-MX"/>
        </w:rPr>
        <w:t xml:space="preserve">309.- CORPORACIÓN AUTÓNOMA REGIONAL DEL GUAVIO – CORPOGUAVIO. </w:t>
      </w:r>
    </w:p>
    <w:p w14:paraId="15D8358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28A87A3"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7823AE7"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725B8" w14:paraId="064DFD58" w14:textId="77777777" w:rsidTr="006548F8">
        <w:tc>
          <w:tcPr>
            <w:tcW w:w="3544" w:type="dxa"/>
          </w:tcPr>
          <w:p w14:paraId="1A1A7CB9" w14:textId="77777777" w:rsidR="007E2F9F" w:rsidRPr="009725B8" w:rsidRDefault="007E2F9F" w:rsidP="006548F8">
            <w:pPr>
              <w:ind w:left="1169" w:right="-1440"/>
              <w:rPr>
                <w:rFonts w:ascii="Arial" w:hAnsi="Arial" w:cs="Arial"/>
                <w:b/>
                <w:sz w:val="18"/>
                <w:szCs w:val="18"/>
                <w:lang w:val="es-ES_tradnl"/>
              </w:rPr>
            </w:pPr>
            <w:r w:rsidRPr="009725B8">
              <w:rPr>
                <w:rFonts w:ascii="Arial" w:hAnsi="Arial" w:cs="Arial"/>
                <w:b/>
                <w:sz w:val="18"/>
                <w:szCs w:val="18"/>
                <w:lang w:val="es-ES_tradnl"/>
              </w:rPr>
              <w:t>TIPO DE GASTO</w:t>
            </w:r>
          </w:p>
        </w:tc>
        <w:tc>
          <w:tcPr>
            <w:tcW w:w="2354" w:type="dxa"/>
          </w:tcPr>
          <w:p w14:paraId="052F7FA8" w14:textId="77777777" w:rsidR="007E2F9F" w:rsidRPr="009725B8" w:rsidRDefault="007E2F9F" w:rsidP="006548F8">
            <w:pPr>
              <w:jc w:val="center"/>
              <w:rPr>
                <w:rFonts w:ascii="Arial" w:hAnsi="Arial" w:cs="Arial"/>
                <w:b/>
                <w:sz w:val="18"/>
                <w:szCs w:val="18"/>
                <w:lang w:val="es-ES_tradnl"/>
              </w:rPr>
            </w:pPr>
            <w:r w:rsidRPr="009725B8">
              <w:rPr>
                <w:rFonts w:ascii="Arial" w:hAnsi="Arial" w:cs="Arial"/>
                <w:b/>
                <w:sz w:val="18"/>
                <w:szCs w:val="18"/>
                <w:lang w:val="es-ES_tradnl"/>
              </w:rPr>
              <w:t>APROPIACIÓN</w:t>
            </w:r>
          </w:p>
          <w:p w14:paraId="0A40F739" w14:textId="77777777" w:rsidR="007E2F9F" w:rsidRPr="009725B8" w:rsidRDefault="007E2F9F" w:rsidP="006548F8">
            <w:pPr>
              <w:jc w:val="center"/>
              <w:rPr>
                <w:rFonts w:ascii="Arial" w:hAnsi="Arial" w:cs="Arial"/>
                <w:b/>
                <w:sz w:val="18"/>
                <w:szCs w:val="18"/>
                <w:lang w:val="es-ES_tradnl"/>
              </w:rPr>
            </w:pPr>
            <w:r w:rsidRPr="009725B8">
              <w:rPr>
                <w:rFonts w:ascii="Arial" w:hAnsi="Arial" w:cs="Arial"/>
                <w:b/>
                <w:sz w:val="18"/>
                <w:szCs w:val="18"/>
                <w:lang w:val="es-ES_tradnl"/>
              </w:rPr>
              <w:t>DEFINITIVA</w:t>
            </w:r>
          </w:p>
          <w:p w14:paraId="7958F91B" w14:textId="77777777" w:rsidR="007E2F9F" w:rsidRPr="009725B8" w:rsidRDefault="007E2F9F" w:rsidP="006548F8">
            <w:pPr>
              <w:jc w:val="center"/>
              <w:rPr>
                <w:rFonts w:ascii="Arial" w:hAnsi="Arial" w:cs="Arial"/>
                <w:b/>
                <w:sz w:val="18"/>
                <w:szCs w:val="18"/>
                <w:lang w:val="es-ES_tradnl"/>
              </w:rPr>
            </w:pPr>
            <w:r w:rsidRPr="009725B8">
              <w:rPr>
                <w:rFonts w:ascii="Arial" w:hAnsi="Arial" w:cs="Arial"/>
                <w:b/>
                <w:sz w:val="18"/>
                <w:szCs w:val="18"/>
                <w:lang w:val="es-ES_tradnl"/>
              </w:rPr>
              <w:t>(1)</w:t>
            </w:r>
          </w:p>
          <w:p w14:paraId="655971E0" w14:textId="77777777" w:rsidR="007E2F9F" w:rsidRPr="009725B8" w:rsidRDefault="007E2F9F" w:rsidP="006548F8">
            <w:pPr>
              <w:jc w:val="center"/>
              <w:rPr>
                <w:rFonts w:ascii="Arial" w:hAnsi="Arial" w:cs="Arial"/>
                <w:b/>
                <w:sz w:val="18"/>
                <w:szCs w:val="18"/>
                <w:lang w:val="es-ES_tradnl"/>
              </w:rPr>
            </w:pPr>
          </w:p>
        </w:tc>
        <w:tc>
          <w:tcPr>
            <w:tcW w:w="2354" w:type="dxa"/>
          </w:tcPr>
          <w:p w14:paraId="33727BF6" w14:textId="77777777" w:rsidR="007E2F9F" w:rsidRPr="009725B8" w:rsidRDefault="007E2F9F" w:rsidP="006548F8">
            <w:pPr>
              <w:ind w:left="145" w:right="184"/>
              <w:jc w:val="center"/>
              <w:rPr>
                <w:rFonts w:ascii="Arial" w:hAnsi="Arial" w:cs="Arial"/>
                <w:b/>
                <w:sz w:val="18"/>
                <w:szCs w:val="18"/>
                <w:lang w:val="es-ES_tradnl"/>
              </w:rPr>
            </w:pPr>
            <w:r w:rsidRPr="009725B8">
              <w:rPr>
                <w:rFonts w:ascii="Arial" w:hAnsi="Arial" w:cs="Arial"/>
                <w:b/>
                <w:sz w:val="18"/>
                <w:szCs w:val="18"/>
                <w:lang w:val="es-ES_tradnl"/>
              </w:rPr>
              <w:t>EJECUCIÓN</w:t>
            </w:r>
          </w:p>
          <w:p w14:paraId="4A0A6130" w14:textId="77777777" w:rsidR="007E2F9F" w:rsidRPr="009725B8" w:rsidRDefault="007E2F9F" w:rsidP="006548F8">
            <w:pPr>
              <w:ind w:right="34"/>
              <w:jc w:val="center"/>
              <w:rPr>
                <w:rFonts w:ascii="Arial" w:hAnsi="Arial" w:cs="Arial"/>
                <w:b/>
                <w:sz w:val="18"/>
                <w:szCs w:val="18"/>
                <w:lang w:val="es-ES_tradnl"/>
              </w:rPr>
            </w:pPr>
            <w:r w:rsidRPr="009725B8">
              <w:rPr>
                <w:rFonts w:ascii="Arial" w:hAnsi="Arial" w:cs="Arial"/>
                <w:b/>
                <w:sz w:val="18"/>
                <w:szCs w:val="18"/>
                <w:lang w:val="es-ES_tradnl"/>
              </w:rPr>
              <w:t>COMPROMISOS</w:t>
            </w:r>
          </w:p>
          <w:p w14:paraId="0B3F3998" w14:textId="77777777" w:rsidR="007E2F9F" w:rsidRPr="009725B8" w:rsidRDefault="007E2F9F" w:rsidP="006548F8">
            <w:pPr>
              <w:ind w:right="34"/>
              <w:jc w:val="center"/>
              <w:rPr>
                <w:rFonts w:ascii="Arial" w:hAnsi="Arial" w:cs="Arial"/>
                <w:b/>
                <w:sz w:val="18"/>
                <w:szCs w:val="18"/>
                <w:lang w:val="es-ES_tradnl"/>
              </w:rPr>
            </w:pPr>
            <w:r w:rsidRPr="009725B8">
              <w:rPr>
                <w:rFonts w:ascii="Arial" w:hAnsi="Arial" w:cs="Arial"/>
                <w:b/>
                <w:sz w:val="18"/>
                <w:szCs w:val="18"/>
                <w:lang w:val="es-ES_tradnl"/>
              </w:rPr>
              <w:t>(2)</w:t>
            </w:r>
          </w:p>
        </w:tc>
        <w:tc>
          <w:tcPr>
            <w:tcW w:w="2238" w:type="dxa"/>
          </w:tcPr>
          <w:p w14:paraId="139136D1" w14:textId="77777777" w:rsidR="007E2F9F" w:rsidRPr="009725B8" w:rsidRDefault="007E2F9F" w:rsidP="006548F8">
            <w:pPr>
              <w:ind w:left="25" w:right="34"/>
              <w:jc w:val="center"/>
              <w:rPr>
                <w:rFonts w:ascii="Arial" w:hAnsi="Arial" w:cs="Arial"/>
                <w:b/>
                <w:sz w:val="18"/>
                <w:szCs w:val="18"/>
                <w:lang w:val="es-ES_tradnl"/>
              </w:rPr>
            </w:pPr>
            <w:r w:rsidRPr="009725B8">
              <w:rPr>
                <w:rFonts w:ascii="Arial" w:hAnsi="Arial" w:cs="Arial"/>
                <w:b/>
                <w:sz w:val="18"/>
                <w:szCs w:val="18"/>
                <w:lang w:val="es-ES_tradnl"/>
              </w:rPr>
              <w:t>PÉRDIDAS DE</w:t>
            </w:r>
          </w:p>
          <w:p w14:paraId="44F0A50D" w14:textId="77777777" w:rsidR="007E2F9F" w:rsidRPr="009725B8" w:rsidRDefault="007E2F9F" w:rsidP="006548F8">
            <w:pPr>
              <w:ind w:right="34"/>
              <w:jc w:val="center"/>
              <w:rPr>
                <w:rFonts w:ascii="Arial" w:hAnsi="Arial" w:cs="Arial"/>
                <w:b/>
                <w:sz w:val="18"/>
                <w:szCs w:val="18"/>
                <w:lang w:val="es-ES_tradnl"/>
              </w:rPr>
            </w:pPr>
            <w:r w:rsidRPr="009725B8">
              <w:rPr>
                <w:rFonts w:ascii="Arial" w:hAnsi="Arial" w:cs="Arial"/>
                <w:b/>
                <w:sz w:val="18"/>
                <w:szCs w:val="18"/>
                <w:lang w:val="es-ES_tradnl"/>
              </w:rPr>
              <w:t>APROPIACIÓN</w:t>
            </w:r>
          </w:p>
          <w:p w14:paraId="5EF8B53E" w14:textId="77777777" w:rsidR="007E2F9F" w:rsidRPr="009725B8" w:rsidRDefault="007E2F9F" w:rsidP="006548F8">
            <w:pPr>
              <w:ind w:right="34"/>
              <w:jc w:val="center"/>
              <w:rPr>
                <w:rFonts w:ascii="Arial" w:hAnsi="Arial" w:cs="Arial"/>
                <w:b/>
                <w:sz w:val="18"/>
                <w:szCs w:val="18"/>
                <w:lang w:val="es-ES_tradnl"/>
              </w:rPr>
            </w:pPr>
            <w:r w:rsidRPr="009725B8">
              <w:rPr>
                <w:rFonts w:ascii="Arial" w:hAnsi="Arial" w:cs="Arial"/>
                <w:b/>
                <w:sz w:val="18"/>
                <w:szCs w:val="18"/>
                <w:lang w:val="es-ES_tradnl"/>
              </w:rPr>
              <w:t>3 = (1-2)</w:t>
            </w:r>
          </w:p>
        </w:tc>
      </w:tr>
      <w:tr w:rsidR="007E2F9F" w:rsidRPr="009725B8" w14:paraId="5839A40E" w14:textId="77777777" w:rsidTr="006548F8">
        <w:trPr>
          <w:trHeight w:val="230"/>
        </w:trPr>
        <w:tc>
          <w:tcPr>
            <w:tcW w:w="3544" w:type="dxa"/>
          </w:tcPr>
          <w:p w14:paraId="78FCC912" w14:textId="77777777" w:rsidR="007E2F9F" w:rsidRPr="009725B8" w:rsidRDefault="007E2F9F" w:rsidP="006548F8">
            <w:pPr>
              <w:ind w:right="-1440"/>
              <w:jc w:val="both"/>
              <w:rPr>
                <w:rFonts w:ascii="Arial" w:hAnsi="Arial" w:cs="Arial"/>
                <w:b/>
                <w:bCs/>
                <w:sz w:val="18"/>
                <w:szCs w:val="18"/>
                <w:lang w:val="es-ES_tradnl"/>
              </w:rPr>
            </w:pPr>
            <w:r w:rsidRPr="009725B8">
              <w:rPr>
                <w:rFonts w:ascii="Arial" w:hAnsi="Arial" w:cs="Arial"/>
                <w:b/>
                <w:bCs/>
                <w:sz w:val="18"/>
                <w:szCs w:val="18"/>
                <w:lang w:val="es-ES_tradnl"/>
              </w:rPr>
              <w:t>FUNCIONAMIENTO</w:t>
            </w:r>
          </w:p>
        </w:tc>
        <w:tc>
          <w:tcPr>
            <w:tcW w:w="2354" w:type="dxa"/>
            <w:vAlign w:val="bottom"/>
          </w:tcPr>
          <w:p w14:paraId="14BAA8E9" w14:textId="77777777" w:rsidR="007E2F9F" w:rsidRPr="009725B8" w:rsidRDefault="007E2F9F" w:rsidP="006548F8">
            <w:pPr>
              <w:jc w:val="right"/>
              <w:rPr>
                <w:rFonts w:ascii="Arial" w:eastAsia="Calibri" w:hAnsi="Arial" w:cs="Arial"/>
                <w:b/>
                <w:bCs/>
                <w:sz w:val="18"/>
                <w:szCs w:val="18"/>
                <w:lang w:val="es-CO"/>
              </w:rPr>
            </w:pPr>
            <w:r w:rsidRPr="009725B8">
              <w:rPr>
                <w:rFonts w:ascii="Arial" w:hAnsi="Arial" w:cs="Arial"/>
                <w:sz w:val="16"/>
                <w:szCs w:val="16"/>
              </w:rPr>
              <w:t>1.156.019,00</w:t>
            </w:r>
          </w:p>
        </w:tc>
        <w:tc>
          <w:tcPr>
            <w:tcW w:w="2354" w:type="dxa"/>
            <w:vAlign w:val="bottom"/>
          </w:tcPr>
          <w:p w14:paraId="57EE9F60" w14:textId="77777777" w:rsidR="007E2F9F" w:rsidRPr="009725B8" w:rsidRDefault="007E2F9F" w:rsidP="006548F8">
            <w:pPr>
              <w:pStyle w:val="Prrafodelista"/>
              <w:ind w:left="0"/>
              <w:jc w:val="right"/>
              <w:rPr>
                <w:rFonts w:ascii="Arial" w:hAnsi="Arial" w:cs="Arial"/>
                <w:b/>
                <w:bCs/>
                <w:sz w:val="18"/>
                <w:szCs w:val="18"/>
              </w:rPr>
            </w:pPr>
            <w:r w:rsidRPr="009725B8">
              <w:rPr>
                <w:rFonts w:ascii="Arial" w:hAnsi="Arial" w:cs="Arial"/>
                <w:sz w:val="16"/>
                <w:szCs w:val="16"/>
              </w:rPr>
              <w:t>1.136.321,00</w:t>
            </w:r>
          </w:p>
        </w:tc>
        <w:tc>
          <w:tcPr>
            <w:tcW w:w="2238" w:type="dxa"/>
            <w:vAlign w:val="bottom"/>
          </w:tcPr>
          <w:p w14:paraId="78651092" w14:textId="77777777" w:rsidR="007E2F9F" w:rsidRPr="009725B8" w:rsidRDefault="007E2F9F" w:rsidP="006548F8">
            <w:pPr>
              <w:pStyle w:val="Prrafodelista"/>
              <w:ind w:left="0"/>
              <w:jc w:val="right"/>
              <w:rPr>
                <w:rFonts w:ascii="Arial" w:hAnsi="Arial" w:cs="Arial"/>
                <w:b/>
                <w:bCs/>
                <w:sz w:val="18"/>
                <w:szCs w:val="18"/>
              </w:rPr>
            </w:pPr>
            <w:r w:rsidRPr="009725B8">
              <w:rPr>
                <w:rFonts w:ascii="Arial" w:hAnsi="Arial" w:cs="Arial"/>
                <w:sz w:val="16"/>
                <w:szCs w:val="16"/>
              </w:rPr>
              <w:t>19.698,00</w:t>
            </w:r>
          </w:p>
        </w:tc>
      </w:tr>
      <w:tr w:rsidR="007E2F9F" w:rsidRPr="009725B8" w14:paraId="5F656B3D" w14:textId="77777777" w:rsidTr="006548F8">
        <w:trPr>
          <w:trHeight w:val="230"/>
        </w:trPr>
        <w:tc>
          <w:tcPr>
            <w:tcW w:w="3544" w:type="dxa"/>
          </w:tcPr>
          <w:p w14:paraId="36578008" w14:textId="77777777" w:rsidR="007E2F9F" w:rsidRPr="009725B8" w:rsidRDefault="007E2F9F" w:rsidP="006548F8">
            <w:pPr>
              <w:ind w:right="-1440"/>
              <w:jc w:val="both"/>
              <w:rPr>
                <w:rFonts w:ascii="Arial" w:hAnsi="Arial" w:cs="Arial"/>
                <w:b/>
                <w:bCs/>
                <w:sz w:val="18"/>
                <w:szCs w:val="18"/>
                <w:lang w:val="es-ES_tradnl"/>
              </w:rPr>
            </w:pPr>
            <w:r w:rsidRPr="009725B8">
              <w:rPr>
                <w:rFonts w:ascii="Arial" w:hAnsi="Arial" w:cs="Arial"/>
                <w:b/>
                <w:bCs/>
                <w:sz w:val="18"/>
                <w:szCs w:val="18"/>
                <w:lang w:val="es-ES_tradnl"/>
              </w:rPr>
              <w:t>NVERSIÓN</w:t>
            </w:r>
          </w:p>
        </w:tc>
        <w:tc>
          <w:tcPr>
            <w:tcW w:w="2354" w:type="dxa"/>
            <w:vAlign w:val="bottom"/>
          </w:tcPr>
          <w:p w14:paraId="55D78FAB" w14:textId="77777777" w:rsidR="007E2F9F" w:rsidRPr="009725B8" w:rsidRDefault="007E2F9F" w:rsidP="006548F8">
            <w:pPr>
              <w:jc w:val="right"/>
              <w:rPr>
                <w:rFonts w:ascii="Arial" w:eastAsia="Calibri" w:hAnsi="Arial" w:cs="Arial"/>
                <w:b/>
                <w:bCs/>
                <w:sz w:val="18"/>
                <w:szCs w:val="18"/>
                <w:lang w:val="es-CO"/>
              </w:rPr>
            </w:pPr>
            <w:r w:rsidRPr="009725B8">
              <w:rPr>
                <w:rFonts w:ascii="Arial" w:hAnsi="Arial" w:cs="Arial"/>
                <w:color w:val="000000"/>
                <w:sz w:val="16"/>
                <w:szCs w:val="16"/>
              </w:rPr>
              <w:t>4.499.933,00</w:t>
            </w:r>
          </w:p>
        </w:tc>
        <w:tc>
          <w:tcPr>
            <w:tcW w:w="2354" w:type="dxa"/>
            <w:vAlign w:val="bottom"/>
          </w:tcPr>
          <w:p w14:paraId="49AF6804" w14:textId="77777777" w:rsidR="007E2F9F" w:rsidRPr="009725B8" w:rsidRDefault="007E2F9F" w:rsidP="006548F8">
            <w:pPr>
              <w:pStyle w:val="Prrafodelista"/>
              <w:ind w:left="0"/>
              <w:jc w:val="right"/>
              <w:rPr>
                <w:rFonts w:ascii="Arial" w:eastAsia="Calibri" w:hAnsi="Arial" w:cs="Arial"/>
                <w:b/>
                <w:bCs/>
                <w:sz w:val="18"/>
                <w:szCs w:val="18"/>
                <w:lang w:val="es-CO"/>
              </w:rPr>
            </w:pPr>
            <w:r w:rsidRPr="009725B8">
              <w:rPr>
                <w:rFonts w:ascii="Arial" w:hAnsi="Arial" w:cs="Arial"/>
                <w:color w:val="000000"/>
                <w:sz w:val="16"/>
                <w:szCs w:val="16"/>
              </w:rPr>
              <w:t>4.435.133,00</w:t>
            </w:r>
          </w:p>
        </w:tc>
        <w:tc>
          <w:tcPr>
            <w:tcW w:w="2238" w:type="dxa"/>
            <w:vAlign w:val="bottom"/>
          </w:tcPr>
          <w:p w14:paraId="69363393" w14:textId="77777777" w:rsidR="007E2F9F" w:rsidRPr="009725B8" w:rsidRDefault="007E2F9F" w:rsidP="006548F8">
            <w:pPr>
              <w:pStyle w:val="Prrafodelista"/>
              <w:ind w:left="0"/>
              <w:jc w:val="right"/>
              <w:rPr>
                <w:rFonts w:ascii="Arial" w:hAnsi="Arial" w:cs="Arial"/>
                <w:b/>
                <w:bCs/>
                <w:sz w:val="18"/>
                <w:szCs w:val="18"/>
              </w:rPr>
            </w:pPr>
            <w:r w:rsidRPr="009725B8">
              <w:rPr>
                <w:rFonts w:ascii="Arial" w:hAnsi="Arial" w:cs="Arial"/>
                <w:sz w:val="16"/>
                <w:szCs w:val="16"/>
              </w:rPr>
              <w:t>64.800,00</w:t>
            </w:r>
          </w:p>
        </w:tc>
      </w:tr>
      <w:tr w:rsidR="007E2F9F" w:rsidRPr="009725B8" w14:paraId="0EE972AA" w14:textId="77777777" w:rsidTr="006548F8">
        <w:tc>
          <w:tcPr>
            <w:tcW w:w="3544" w:type="dxa"/>
          </w:tcPr>
          <w:p w14:paraId="50CFDF06" w14:textId="77777777" w:rsidR="007E2F9F" w:rsidRPr="009725B8" w:rsidRDefault="007E2F9F" w:rsidP="006548F8">
            <w:pPr>
              <w:ind w:right="-1440"/>
              <w:jc w:val="both"/>
              <w:rPr>
                <w:rFonts w:ascii="Arial" w:hAnsi="Arial" w:cs="Arial"/>
                <w:b/>
                <w:bCs/>
                <w:sz w:val="18"/>
                <w:szCs w:val="18"/>
                <w:lang w:val="es-ES_tradnl"/>
              </w:rPr>
            </w:pPr>
            <w:r w:rsidRPr="009725B8">
              <w:rPr>
                <w:rFonts w:ascii="Arial" w:hAnsi="Arial" w:cs="Arial"/>
                <w:b/>
                <w:bCs/>
                <w:sz w:val="18"/>
                <w:szCs w:val="18"/>
                <w:lang w:val="es-ES_tradnl"/>
              </w:rPr>
              <w:t>TOTAL PÉRDIDAS DE APROPIACIÓN</w:t>
            </w:r>
          </w:p>
        </w:tc>
        <w:tc>
          <w:tcPr>
            <w:tcW w:w="2354" w:type="dxa"/>
            <w:vAlign w:val="bottom"/>
          </w:tcPr>
          <w:p w14:paraId="51ABB72E" w14:textId="77777777" w:rsidR="007E2F9F" w:rsidRPr="009725B8" w:rsidRDefault="007E2F9F" w:rsidP="006548F8">
            <w:pPr>
              <w:pStyle w:val="Prrafodelista"/>
              <w:ind w:left="0"/>
              <w:jc w:val="right"/>
              <w:rPr>
                <w:rFonts w:ascii="Arial" w:hAnsi="Arial" w:cs="Arial"/>
                <w:b/>
                <w:bCs/>
                <w:sz w:val="18"/>
                <w:szCs w:val="18"/>
                <w:u w:val="single"/>
              </w:rPr>
            </w:pPr>
            <w:r w:rsidRPr="009725B8">
              <w:rPr>
                <w:rFonts w:ascii="Arial" w:hAnsi="Arial" w:cs="Arial"/>
                <w:sz w:val="16"/>
                <w:szCs w:val="16"/>
              </w:rPr>
              <w:t>5.655.952,00</w:t>
            </w:r>
          </w:p>
        </w:tc>
        <w:tc>
          <w:tcPr>
            <w:tcW w:w="2354" w:type="dxa"/>
            <w:vAlign w:val="bottom"/>
          </w:tcPr>
          <w:p w14:paraId="439F3CEC" w14:textId="77777777" w:rsidR="007E2F9F" w:rsidRPr="009725B8" w:rsidRDefault="007E2F9F" w:rsidP="006548F8">
            <w:pPr>
              <w:pStyle w:val="Prrafodelista"/>
              <w:ind w:left="0"/>
              <w:jc w:val="right"/>
              <w:rPr>
                <w:rFonts w:ascii="Arial" w:hAnsi="Arial" w:cs="Arial"/>
                <w:b/>
                <w:bCs/>
                <w:sz w:val="18"/>
                <w:szCs w:val="18"/>
                <w:u w:val="single"/>
              </w:rPr>
            </w:pPr>
            <w:r w:rsidRPr="009725B8">
              <w:rPr>
                <w:rFonts w:ascii="Arial" w:hAnsi="Arial" w:cs="Arial"/>
                <w:sz w:val="16"/>
                <w:szCs w:val="16"/>
              </w:rPr>
              <w:t>5.571.454,00</w:t>
            </w:r>
          </w:p>
        </w:tc>
        <w:tc>
          <w:tcPr>
            <w:tcW w:w="2238" w:type="dxa"/>
            <w:vAlign w:val="bottom"/>
          </w:tcPr>
          <w:p w14:paraId="4EF10213" w14:textId="77777777" w:rsidR="007E2F9F" w:rsidRPr="009725B8" w:rsidRDefault="007E2F9F" w:rsidP="006548F8">
            <w:pPr>
              <w:pStyle w:val="Prrafodelista"/>
              <w:ind w:left="0"/>
              <w:jc w:val="right"/>
              <w:rPr>
                <w:rFonts w:ascii="Arial" w:hAnsi="Arial" w:cs="Arial"/>
                <w:b/>
                <w:bCs/>
                <w:sz w:val="18"/>
                <w:szCs w:val="18"/>
                <w:u w:val="single"/>
              </w:rPr>
            </w:pPr>
            <w:r w:rsidRPr="009725B8">
              <w:rPr>
                <w:rFonts w:ascii="Arial" w:hAnsi="Arial" w:cs="Arial"/>
                <w:sz w:val="16"/>
                <w:szCs w:val="16"/>
              </w:rPr>
              <w:t>84.498,00</w:t>
            </w:r>
          </w:p>
        </w:tc>
      </w:tr>
    </w:tbl>
    <w:p w14:paraId="2CE09C7B" w14:textId="77777777" w:rsidR="007E2F9F" w:rsidRDefault="007E2F9F" w:rsidP="007E2F9F">
      <w:pPr>
        <w:ind w:left="-284" w:right="-234"/>
        <w:rPr>
          <w:rFonts w:ascii="Arial" w:eastAsia="Calibri" w:hAnsi="Arial" w:cs="Arial"/>
          <w:b/>
          <w:u w:val="single"/>
          <w:lang w:val="es-MX"/>
        </w:rPr>
      </w:pPr>
    </w:p>
    <w:p w14:paraId="3FDFE16B" w14:textId="77777777" w:rsidR="007E2F9F" w:rsidRPr="000B7966" w:rsidRDefault="007E2F9F" w:rsidP="007E2F9F">
      <w:pPr>
        <w:ind w:left="-284"/>
        <w:jc w:val="both"/>
        <w:rPr>
          <w:rFonts w:ascii="Arial" w:hAnsi="Arial" w:cs="Arial"/>
          <w:b/>
          <w:sz w:val="28"/>
          <w:szCs w:val="28"/>
          <w:lang w:val="es-MX"/>
        </w:rPr>
      </w:pPr>
      <w:r w:rsidRPr="000B7966">
        <w:rPr>
          <w:rFonts w:ascii="Arial" w:hAnsi="Arial" w:cs="Arial"/>
          <w:b/>
          <w:sz w:val="28"/>
          <w:szCs w:val="28"/>
          <w:lang w:val="es-MX"/>
        </w:rPr>
        <w:t>310.- INSTITUTO NACIONAL DE MEDICINA LEGAL Y CIENCIAS FORENSES</w:t>
      </w:r>
      <w:r>
        <w:rPr>
          <w:rFonts w:ascii="Arial" w:hAnsi="Arial" w:cs="Arial"/>
          <w:b/>
          <w:sz w:val="28"/>
          <w:szCs w:val="28"/>
          <w:lang w:val="es-MX"/>
        </w:rPr>
        <w:t>.</w:t>
      </w:r>
      <w:r w:rsidRPr="000B7966">
        <w:rPr>
          <w:rFonts w:ascii="Arial" w:hAnsi="Arial" w:cs="Arial"/>
          <w:b/>
          <w:sz w:val="28"/>
          <w:szCs w:val="28"/>
          <w:lang w:val="es-MX"/>
        </w:rPr>
        <w:t xml:space="preserve"> </w:t>
      </w:r>
    </w:p>
    <w:p w14:paraId="0AD78B55" w14:textId="77777777" w:rsidR="007E2F9F" w:rsidRDefault="007E2F9F" w:rsidP="007E2F9F">
      <w:pPr>
        <w:jc w:val="both"/>
        <w:rPr>
          <w:b/>
          <w:sz w:val="28"/>
          <w:szCs w:val="28"/>
          <w:lang w:val="es-MX"/>
        </w:rPr>
      </w:pPr>
    </w:p>
    <w:p w14:paraId="0A08FDF8"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603CE84"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B165301"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0B7966" w14:paraId="049E96E9" w14:textId="77777777" w:rsidTr="006548F8">
        <w:tc>
          <w:tcPr>
            <w:tcW w:w="3544" w:type="dxa"/>
          </w:tcPr>
          <w:p w14:paraId="127B17EC" w14:textId="77777777" w:rsidR="007E2F9F" w:rsidRPr="000B7966" w:rsidRDefault="007E2F9F" w:rsidP="006548F8">
            <w:pPr>
              <w:ind w:left="1169" w:right="-1440"/>
              <w:rPr>
                <w:rFonts w:ascii="Arial" w:hAnsi="Arial" w:cs="Arial"/>
                <w:b/>
                <w:sz w:val="18"/>
                <w:szCs w:val="18"/>
                <w:lang w:val="es-ES_tradnl"/>
              </w:rPr>
            </w:pPr>
            <w:r w:rsidRPr="000B7966">
              <w:rPr>
                <w:rFonts w:ascii="Arial" w:hAnsi="Arial" w:cs="Arial"/>
                <w:b/>
                <w:sz w:val="18"/>
                <w:szCs w:val="18"/>
                <w:lang w:val="es-ES_tradnl"/>
              </w:rPr>
              <w:t>TIPO DE GASTO</w:t>
            </w:r>
          </w:p>
        </w:tc>
        <w:tc>
          <w:tcPr>
            <w:tcW w:w="2354" w:type="dxa"/>
          </w:tcPr>
          <w:p w14:paraId="175161F3" w14:textId="77777777" w:rsidR="007E2F9F" w:rsidRPr="000B7966" w:rsidRDefault="007E2F9F" w:rsidP="006548F8">
            <w:pPr>
              <w:jc w:val="center"/>
              <w:rPr>
                <w:rFonts w:ascii="Arial" w:hAnsi="Arial" w:cs="Arial"/>
                <w:b/>
                <w:sz w:val="18"/>
                <w:szCs w:val="18"/>
                <w:lang w:val="es-ES_tradnl"/>
              </w:rPr>
            </w:pPr>
            <w:r w:rsidRPr="000B7966">
              <w:rPr>
                <w:rFonts w:ascii="Arial" w:hAnsi="Arial" w:cs="Arial"/>
                <w:b/>
                <w:sz w:val="18"/>
                <w:szCs w:val="18"/>
                <w:lang w:val="es-ES_tradnl"/>
              </w:rPr>
              <w:t>APROPIACIÓN</w:t>
            </w:r>
          </w:p>
          <w:p w14:paraId="28275702" w14:textId="77777777" w:rsidR="007E2F9F" w:rsidRPr="000B7966" w:rsidRDefault="007E2F9F" w:rsidP="006548F8">
            <w:pPr>
              <w:jc w:val="center"/>
              <w:rPr>
                <w:rFonts w:ascii="Arial" w:hAnsi="Arial" w:cs="Arial"/>
                <w:b/>
                <w:sz w:val="18"/>
                <w:szCs w:val="18"/>
                <w:lang w:val="es-ES_tradnl"/>
              </w:rPr>
            </w:pPr>
            <w:r w:rsidRPr="000B7966">
              <w:rPr>
                <w:rFonts w:ascii="Arial" w:hAnsi="Arial" w:cs="Arial"/>
                <w:b/>
                <w:sz w:val="18"/>
                <w:szCs w:val="18"/>
                <w:lang w:val="es-ES_tradnl"/>
              </w:rPr>
              <w:t>DEFINITIVA</w:t>
            </w:r>
          </w:p>
          <w:p w14:paraId="0841B641" w14:textId="77777777" w:rsidR="007E2F9F" w:rsidRPr="000B7966" w:rsidRDefault="007E2F9F" w:rsidP="006548F8">
            <w:pPr>
              <w:jc w:val="center"/>
              <w:rPr>
                <w:rFonts w:ascii="Arial" w:hAnsi="Arial" w:cs="Arial"/>
                <w:b/>
                <w:sz w:val="18"/>
                <w:szCs w:val="18"/>
                <w:lang w:val="es-ES_tradnl"/>
              </w:rPr>
            </w:pPr>
            <w:r w:rsidRPr="000B7966">
              <w:rPr>
                <w:rFonts w:ascii="Arial" w:hAnsi="Arial" w:cs="Arial"/>
                <w:b/>
                <w:sz w:val="18"/>
                <w:szCs w:val="18"/>
                <w:lang w:val="es-ES_tradnl"/>
              </w:rPr>
              <w:t>(1)</w:t>
            </w:r>
          </w:p>
          <w:p w14:paraId="5BF99CE0" w14:textId="77777777" w:rsidR="007E2F9F" w:rsidRPr="000B7966" w:rsidRDefault="007E2F9F" w:rsidP="006548F8">
            <w:pPr>
              <w:jc w:val="center"/>
              <w:rPr>
                <w:rFonts w:ascii="Arial" w:hAnsi="Arial" w:cs="Arial"/>
                <w:b/>
                <w:sz w:val="18"/>
                <w:szCs w:val="18"/>
                <w:lang w:val="es-ES_tradnl"/>
              </w:rPr>
            </w:pPr>
          </w:p>
        </w:tc>
        <w:tc>
          <w:tcPr>
            <w:tcW w:w="2354" w:type="dxa"/>
          </w:tcPr>
          <w:p w14:paraId="12041F3C" w14:textId="77777777" w:rsidR="007E2F9F" w:rsidRPr="000B7966" w:rsidRDefault="007E2F9F" w:rsidP="006548F8">
            <w:pPr>
              <w:ind w:left="145" w:right="184"/>
              <w:jc w:val="center"/>
              <w:rPr>
                <w:rFonts w:ascii="Arial" w:hAnsi="Arial" w:cs="Arial"/>
                <w:b/>
                <w:sz w:val="18"/>
                <w:szCs w:val="18"/>
                <w:lang w:val="es-ES_tradnl"/>
              </w:rPr>
            </w:pPr>
            <w:r w:rsidRPr="000B7966">
              <w:rPr>
                <w:rFonts w:ascii="Arial" w:hAnsi="Arial" w:cs="Arial"/>
                <w:b/>
                <w:sz w:val="18"/>
                <w:szCs w:val="18"/>
                <w:lang w:val="es-ES_tradnl"/>
              </w:rPr>
              <w:t>EJECUCIÓN</w:t>
            </w:r>
          </w:p>
          <w:p w14:paraId="432EFCD1" w14:textId="77777777" w:rsidR="007E2F9F" w:rsidRPr="000B7966" w:rsidRDefault="007E2F9F" w:rsidP="006548F8">
            <w:pPr>
              <w:ind w:right="34"/>
              <w:jc w:val="center"/>
              <w:rPr>
                <w:rFonts w:ascii="Arial" w:hAnsi="Arial" w:cs="Arial"/>
                <w:b/>
                <w:sz w:val="18"/>
                <w:szCs w:val="18"/>
                <w:lang w:val="es-ES_tradnl"/>
              </w:rPr>
            </w:pPr>
            <w:r w:rsidRPr="000B7966">
              <w:rPr>
                <w:rFonts w:ascii="Arial" w:hAnsi="Arial" w:cs="Arial"/>
                <w:b/>
                <w:sz w:val="18"/>
                <w:szCs w:val="18"/>
                <w:lang w:val="es-ES_tradnl"/>
              </w:rPr>
              <w:t>COMPROMISOS</w:t>
            </w:r>
          </w:p>
          <w:p w14:paraId="7CA5A45B" w14:textId="77777777" w:rsidR="007E2F9F" w:rsidRPr="000B7966" w:rsidRDefault="007E2F9F" w:rsidP="006548F8">
            <w:pPr>
              <w:ind w:right="34"/>
              <w:jc w:val="center"/>
              <w:rPr>
                <w:rFonts w:ascii="Arial" w:hAnsi="Arial" w:cs="Arial"/>
                <w:b/>
                <w:sz w:val="18"/>
                <w:szCs w:val="18"/>
                <w:lang w:val="es-ES_tradnl"/>
              </w:rPr>
            </w:pPr>
            <w:r w:rsidRPr="000B7966">
              <w:rPr>
                <w:rFonts w:ascii="Arial" w:hAnsi="Arial" w:cs="Arial"/>
                <w:b/>
                <w:sz w:val="18"/>
                <w:szCs w:val="18"/>
                <w:lang w:val="es-ES_tradnl"/>
              </w:rPr>
              <w:t>(2)</w:t>
            </w:r>
          </w:p>
        </w:tc>
        <w:tc>
          <w:tcPr>
            <w:tcW w:w="2238" w:type="dxa"/>
          </w:tcPr>
          <w:p w14:paraId="799F2D5E" w14:textId="77777777" w:rsidR="007E2F9F" w:rsidRPr="000B7966" w:rsidRDefault="007E2F9F" w:rsidP="006548F8">
            <w:pPr>
              <w:ind w:left="25" w:right="34"/>
              <w:jc w:val="center"/>
              <w:rPr>
                <w:rFonts w:ascii="Arial" w:hAnsi="Arial" w:cs="Arial"/>
                <w:b/>
                <w:sz w:val="18"/>
                <w:szCs w:val="18"/>
                <w:lang w:val="es-ES_tradnl"/>
              </w:rPr>
            </w:pPr>
            <w:r w:rsidRPr="000B7966">
              <w:rPr>
                <w:rFonts w:ascii="Arial" w:hAnsi="Arial" w:cs="Arial"/>
                <w:b/>
                <w:sz w:val="18"/>
                <w:szCs w:val="18"/>
                <w:lang w:val="es-ES_tradnl"/>
              </w:rPr>
              <w:t>PÉRDIDAS DE</w:t>
            </w:r>
          </w:p>
          <w:p w14:paraId="6A9C6828" w14:textId="77777777" w:rsidR="007E2F9F" w:rsidRPr="000B7966" w:rsidRDefault="007E2F9F" w:rsidP="006548F8">
            <w:pPr>
              <w:ind w:right="34"/>
              <w:jc w:val="center"/>
              <w:rPr>
                <w:rFonts w:ascii="Arial" w:hAnsi="Arial" w:cs="Arial"/>
                <w:b/>
                <w:sz w:val="18"/>
                <w:szCs w:val="18"/>
                <w:lang w:val="es-ES_tradnl"/>
              </w:rPr>
            </w:pPr>
            <w:r w:rsidRPr="000B7966">
              <w:rPr>
                <w:rFonts w:ascii="Arial" w:hAnsi="Arial" w:cs="Arial"/>
                <w:b/>
                <w:sz w:val="18"/>
                <w:szCs w:val="18"/>
                <w:lang w:val="es-ES_tradnl"/>
              </w:rPr>
              <w:t>APROPIACIÓN</w:t>
            </w:r>
          </w:p>
          <w:p w14:paraId="0D54ADDC" w14:textId="77777777" w:rsidR="007E2F9F" w:rsidRPr="000B7966" w:rsidRDefault="007E2F9F" w:rsidP="006548F8">
            <w:pPr>
              <w:ind w:right="34"/>
              <w:jc w:val="center"/>
              <w:rPr>
                <w:rFonts w:ascii="Arial" w:hAnsi="Arial" w:cs="Arial"/>
                <w:b/>
                <w:sz w:val="18"/>
                <w:szCs w:val="18"/>
                <w:lang w:val="es-ES_tradnl"/>
              </w:rPr>
            </w:pPr>
            <w:r w:rsidRPr="000B7966">
              <w:rPr>
                <w:rFonts w:ascii="Arial" w:hAnsi="Arial" w:cs="Arial"/>
                <w:b/>
                <w:sz w:val="18"/>
                <w:szCs w:val="18"/>
                <w:lang w:val="es-ES_tradnl"/>
              </w:rPr>
              <w:t>3 = (1-2)</w:t>
            </w:r>
          </w:p>
        </w:tc>
      </w:tr>
      <w:tr w:rsidR="007E2F9F" w:rsidRPr="000B7966" w14:paraId="4B55FD53" w14:textId="77777777" w:rsidTr="006548F8">
        <w:trPr>
          <w:trHeight w:val="230"/>
        </w:trPr>
        <w:tc>
          <w:tcPr>
            <w:tcW w:w="3544" w:type="dxa"/>
          </w:tcPr>
          <w:p w14:paraId="53100EC8" w14:textId="77777777" w:rsidR="007E2F9F" w:rsidRPr="000B7966" w:rsidRDefault="007E2F9F" w:rsidP="006548F8">
            <w:pPr>
              <w:ind w:right="-1440"/>
              <w:jc w:val="both"/>
              <w:rPr>
                <w:rFonts w:ascii="Arial" w:hAnsi="Arial" w:cs="Arial"/>
                <w:b/>
                <w:bCs/>
                <w:sz w:val="18"/>
                <w:szCs w:val="18"/>
                <w:lang w:val="es-ES_tradnl"/>
              </w:rPr>
            </w:pPr>
            <w:r w:rsidRPr="000B7966">
              <w:rPr>
                <w:rFonts w:ascii="Arial" w:hAnsi="Arial" w:cs="Arial"/>
                <w:b/>
                <w:bCs/>
                <w:sz w:val="18"/>
                <w:szCs w:val="18"/>
                <w:lang w:val="es-ES_tradnl"/>
              </w:rPr>
              <w:t>FUNCIONAMIENTO</w:t>
            </w:r>
          </w:p>
        </w:tc>
        <w:tc>
          <w:tcPr>
            <w:tcW w:w="2354" w:type="dxa"/>
            <w:vAlign w:val="bottom"/>
          </w:tcPr>
          <w:p w14:paraId="2A13F9F5" w14:textId="77777777" w:rsidR="007E2F9F" w:rsidRPr="000B7966" w:rsidRDefault="007E2F9F" w:rsidP="006548F8">
            <w:pPr>
              <w:jc w:val="right"/>
              <w:rPr>
                <w:rFonts w:ascii="Arial" w:eastAsia="Calibri" w:hAnsi="Arial" w:cs="Arial"/>
                <w:b/>
                <w:bCs/>
                <w:sz w:val="18"/>
                <w:szCs w:val="18"/>
                <w:lang w:val="es-CO"/>
              </w:rPr>
            </w:pPr>
            <w:r w:rsidRPr="000B7966">
              <w:rPr>
                <w:rFonts w:ascii="Arial" w:hAnsi="Arial" w:cs="Arial"/>
                <w:sz w:val="16"/>
                <w:szCs w:val="16"/>
              </w:rPr>
              <w:t>337.460.759</w:t>
            </w:r>
          </w:p>
        </w:tc>
        <w:tc>
          <w:tcPr>
            <w:tcW w:w="2354" w:type="dxa"/>
            <w:vAlign w:val="bottom"/>
          </w:tcPr>
          <w:p w14:paraId="5B68E3AD" w14:textId="77777777" w:rsidR="007E2F9F" w:rsidRPr="000B7966" w:rsidRDefault="007E2F9F" w:rsidP="006548F8">
            <w:pPr>
              <w:pStyle w:val="Prrafodelista"/>
              <w:ind w:left="0"/>
              <w:jc w:val="right"/>
              <w:rPr>
                <w:rFonts w:ascii="Arial" w:hAnsi="Arial" w:cs="Arial"/>
                <w:b/>
                <w:bCs/>
                <w:sz w:val="18"/>
                <w:szCs w:val="18"/>
              </w:rPr>
            </w:pPr>
            <w:r w:rsidRPr="000B7966">
              <w:rPr>
                <w:rFonts w:ascii="Arial" w:hAnsi="Arial" w:cs="Arial"/>
                <w:sz w:val="16"/>
                <w:szCs w:val="16"/>
              </w:rPr>
              <w:t>332.380.488</w:t>
            </w:r>
          </w:p>
        </w:tc>
        <w:tc>
          <w:tcPr>
            <w:tcW w:w="2238" w:type="dxa"/>
            <w:vAlign w:val="bottom"/>
          </w:tcPr>
          <w:p w14:paraId="61F33C1D" w14:textId="77777777" w:rsidR="007E2F9F" w:rsidRPr="000B7966" w:rsidRDefault="007E2F9F" w:rsidP="006548F8">
            <w:pPr>
              <w:pStyle w:val="Prrafodelista"/>
              <w:ind w:left="0"/>
              <w:jc w:val="right"/>
              <w:rPr>
                <w:rFonts w:ascii="Arial" w:hAnsi="Arial" w:cs="Arial"/>
                <w:b/>
                <w:bCs/>
                <w:sz w:val="18"/>
                <w:szCs w:val="18"/>
              </w:rPr>
            </w:pPr>
            <w:r w:rsidRPr="000B7966">
              <w:rPr>
                <w:rFonts w:ascii="Arial" w:hAnsi="Arial" w:cs="Arial"/>
                <w:sz w:val="16"/>
                <w:szCs w:val="16"/>
              </w:rPr>
              <w:t>5.080.271</w:t>
            </w:r>
          </w:p>
        </w:tc>
      </w:tr>
      <w:tr w:rsidR="007E2F9F" w:rsidRPr="000B7966" w14:paraId="126F4B44" w14:textId="77777777" w:rsidTr="006548F8">
        <w:trPr>
          <w:trHeight w:val="230"/>
        </w:trPr>
        <w:tc>
          <w:tcPr>
            <w:tcW w:w="3544" w:type="dxa"/>
          </w:tcPr>
          <w:p w14:paraId="3CE43C5C" w14:textId="77777777" w:rsidR="007E2F9F" w:rsidRPr="000B7966" w:rsidRDefault="007E2F9F" w:rsidP="006548F8">
            <w:pPr>
              <w:ind w:right="-1440"/>
              <w:jc w:val="both"/>
              <w:rPr>
                <w:rFonts w:ascii="Arial" w:hAnsi="Arial" w:cs="Arial"/>
                <w:b/>
                <w:bCs/>
                <w:sz w:val="18"/>
                <w:szCs w:val="18"/>
                <w:lang w:val="es-ES_tradnl"/>
              </w:rPr>
            </w:pPr>
            <w:r w:rsidRPr="000B7966">
              <w:rPr>
                <w:rFonts w:ascii="Arial" w:hAnsi="Arial" w:cs="Arial"/>
                <w:b/>
                <w:bCs/>
                <w:sz w:val="18"/>
                <w:szCs w:val="18"/>
                <w:lang w:val="es-ES_tradnl"/>
              </w:rPr>
              <w:t>NVERSIÓN</w:t>
            </w:r>
          </w:p>
        </w:tc>
        <w:tc>
          <w:tcPr>
            <w:tcW w:w="2354" w:type="dxa"/>
            <w:vAlign w:val="bottom"/>
          </w:tcPr>
          <w:p w14:paraId="1AEC5BC8" w14:textId="77777777" w:rsidR="007E2F9F" w:rsidRPr="000B7966" w:rsidRDefault="007E2F9F" w:rsidP="006548F8">
            <w:pPr>
              <w:jc w:val="right"/>
              <w:rPr>
                <w:rFonts w:ascii="Arial" w:eastAsia="Calibri" w:hAnsi="Arial" w:cs="Arial"/>
                <w:b/>
                <w:bCs/>
                <w:sz w:val="18"/>
                <w:szCs w:val="18"/>
                <w:lang w:val="es-CO"/>
              </w:rPr>
            </w:pPr>
            <w:r w:rsidRPr="000B7966">
              <w:rPr>
                <w:rFonts w:ascii="Arial" w:hAnsi="Arial" w:cs="Arial"/>
                <w:color w:val="000000"/>
                <w:sz w:val="16"/>
                <w:szCs w:val="16"/>
              </w:rPr>
              <w:t>83.361.022</w:t>
            </w:r>
          </w:p>
        </w:tc>
        <w:tc>
          <w:tcPr>
            <w:tcW w:w="2354" w:type="dxa"/>
            <w:vAlign w:val="bottom"/>
          </w:tcPr>
          <w:p w14:paraId="7889D0A2" w14:textId="77777777" w:rsidR="007E2F9F" w:rsidRPr="000B7966" w:rsidRDefault="007E2F9F" w:rsidP="006548F8">
            <w:pPr>
              <w:pStyle w:val="Prrafodelista"/>
              <w:ind w:left="0"/>
              <w:jc w:val="right"/>
              <w:rPr>
                <w:rFonts w:ascii="Arial" w:eastAsia="Calibri" w:hAnsi="Arial" w:cs="Arial"/>
                <w:b/>
                <w:bCs/>
                <w:sz w:val="18"/>
                <w:szCs w:val="18"/>
                <w:lang w:val="es-CO"/>
              </w:rPr>
            </w:pPr>
            <w:r w:rsidRPr="000B7966">
              <w:rPr>
                <w:rFonts w:ascii="Arial" w:hAnsi="Arial" w:cs="Arial"/>
                <w:color w:val="000000"/>
                <w:sz w:val="16"/>
                <w:szCs w:val="16"/>
              </w:rPr>
              <w:t>78.870.624</w:t>
            </w:r>
          </w:p>
        </w:tc>
        <w:tc>
          <w:tcPr>
            <w:tcW w:w="2238" w:type="dxa"/>
            <w:vAlign w:val="bottom"/>
          </w:tcPr>
          <w:p w14:paraId="5A15D3E8" w14:textId="77777777" w:rsidR="007E2F9F" w:rsidRPr="000B7966" w:rsidRDefault="007E2F9F" w:rsidP="006548F8">
            <w:pPr>
              <w:pStyle w:val="Prrafodelista"/>
              <w:ind w:left="0"/>
              <w:jc w:val="right"/>
              <w:rPr>
                <w:rFonts w:ascii="Arial" w:hAnsi="Arial" w:cs="Arial"/>
                <w:b/>
                <w:bCs/>
                <w:sz w:val="18"/>
                <w:szCs w:val="18"/>
              </w:rPr>
            </w:pPr>
            <w:r w:rsidRPr="000B7966">
              <w:rPr>
                <w:rFonts w:ascii="Arial" w:hAnsi="Arial" w:cs="Arial"/>
                <w:color w:val="000000"/>
                <w:sz w:val="16"/>
                <w:szCs w:val="16"/>
              </w:rPr>
              <w:t>4.490.398</w:t>
            </w:r>
          </w:p>
        </w:tc>
      </w:tr>
      <w:tr w:rsidR="007E2F9F" w:rsidRPr="000B7966" w14:paraId="2FFAE4C6" w14:textId="77777777" w:rsidTr="006548F8">
        <w:tc>
          <w:tcPr>
            <w:tcW w:w="3544" w:type="dxa"/>
          </w:tcPr>
          <w:p w14:paraId="52A73D54" w14:textId="77777777" w:rsidR="007E2F9F" w:rsidRPr="000B7966" w:rsidRDefault="007E2F9F" w:rsidP="006548F8">
            <w:pPr>
              <w:ind w:right="-1440"/>
              <w:jc w:val="both"/>
              <w:rPr>
                <w:rFonts w:ascii="Arial" w:hAnsi="Arial" w:cs="Arial"/>
                <w:b/>
                <w:bCs/>
                <w:sz w:val="18"/>
                <w:szCs w:val="18"/>
                <w:lang w:val="es-ES_tradnl"/>
              </w:rPr>
            </w:pPr>
            <w:r w:rsidRPr="000B7966">
              <w:rPr>
                <w:rFonts w:ascii="Arial" w:hAnsi="Arial" w:cs="Arial"/>
                <w:b/>
                <w:bCs/>
                <w:sz w:val="18"/>
                <w:szCs w:val="18"/>
                <w:lang w:val="es-ES_tradnl"/>
              </w:rPr>
              <w:t>TOTAL PÉRDIDAS DE APROPIACIÓN</w:t>
            </w:r>
          </w:p>
        </w:tc>
        <w:tc>
          <w:tcPr>
            <w:tcW w:w="2354" w:type="dxa"/>
            <w:vAlign w:val="bottom"/>
          </w:tcPr>
          <w:p w14:paraId="74E8A03F" w14:textId="77777777" w:rsidR="007E2F9F" w:rsidRPr="000B7966" w:rsidRDefault="007E2F9F" w:rsidP="006548F8">
            <w:pPr>
              <w:pStyle w:val="Prrafodelista"/>
              <w:ind w:left="0"/>
              <w:jc w:val="right"/>
              <w:rPr>
                <w:rFonts w:ascii="Arial" w:hAnsi="Arial" w:cs="Arial"/>
                <w:b/>
                <w:bCs/>
                <w:sz w:val="18"/>
                <w:szCs w:val="18"/>
                <w:u w:val="single"/>
              </w:rPr>
            </w:pPr>
            <w:r w:rsidRPr="000B7966">
              <w:rPr>
                <w:rFonts w:ascii="Arial" w:hAnsi="Arial" w:cs="Arial"/>
                <w:sz w:val="16"/>
                <w:szCs w:val="16"/>
              </w:rPr>
              <w:t>420.821.781</w:t>
            </w:r>
          </w:p>
        </w:tc>
        <w:tc>
          <w:tcPr>
            <w:tcW w:w="2354" w:type="dxa"/>
            <w:vAlign w:val="bottom"/>
          </w:tcPr>
          <w:p w14:paraId="1B587DD6" w14:textId="77777777" w:rsidR="007E2F9F" w:rsidRPr="000B7966" w:rsidRDefault="007E2F9F" w:rsidP="006548F8">
            <w:pPr>
              <w:pStyle w:val="Prrafodelista"/>
              <w:ind w:left="0"/>
              <w:jc w:val="right"/>
              <w:rPr>
                <w:rFonts w:ascii="Arial" w:hAnsi="Arial" w:cs="Arial"/>
                <w:b/>
                <w:bCs/>
                <w:sz w:val="18"/>
                <w:szCs w:val="18"/>
                <w:u w:val="single"/>
              </w:rPr>
            </w:pPr>
            <w:r w:rsidRPr="000B7966">
              <w:rPr>
                <w:rFonts w:ascii="Arial" w:hAnsi="Arial" w:cs="Arial"/>
                <w:sz w:val="16"/>
                <w:szCs w:val="16"/>
              </w:rPr>
              <w:t>411.251.112</w:t>
            </w:r>
          </w:p>
        </w:tc>
        <w:tc>
          <w:tcPr>
            <w:tcW w:w="2238" w:type="dxa"/>
            <w:vAlign w:val="bottom"/>
          </w:tcPr>
          <w:p w14:paraId="2CE0326A" w14:textId="77777777" w:rsidR="007E2F9F" w:rsidRPr="000B7966" w:rsidRDefault="007E2F9F" w:rsidP="006548F8">
            <w:pPr>
              <w:pStyle w:val="Prrafodelista"/>
              <w:ind w:left="0"/>
              <w:jc w:val="right"/>
              <w:rPr>
                <w:rFonts w:ascii="Arial" w:hAnsi="Arial" w:cs="Arial"/>
                <w:b/>
                <w:bCs/>
                <w:sz w:val="18"/>
                <w:szCs w:val="18"/>
                <w:u w:val="single"/>
              </w:rPr>
            </w:pPr>
            <w:r w:rsidRPr="000B7966">
              <w:rPr>
                <w:rFonts w:ascii="Arial" w:hAnsi="Arial" w:cs="Arial"/>
                <w:sz w:val="16"/>
                <w:szCs w:val="16"/>
              </w:rPr>
              <w:t>9.570.669</w:t>
            </w:r>
          </w:p>
        </w:tc>
      </w:tr>
    </w:tbl>
    <w:p w14:paraId="472758B8" w14:textId="77777777" w:rsidR="007E2F9F" w:rsidRDefault="007E2F9F" w:rsidP="007E2F9F">
      <w:pPr>
        <w:ind w:left="-284" w:right="-234"/>
        <w:rPr>
          <w:rFonts w:ascii="Arial" w:eastAsia="Calibri" w:hAnsi="Arial" w:cs="Arial"/>
          <w:b/>
          <w:u w:val="single"/>
          <w:lang w:val="es-MX"/>
        </w:rPr>
      </w:pPr>
    </w:p>
    <w:p w14:paraId="4B836E0C" w14:textId="77777777" w:rsidR="007E2F9F" w:rsidRPr="00704581" w:rsidRDefault="007E2F9F" w:rsidP="007E2F9F">
      <w:pPr>
        <w:ind w:left="-284" w:right="-234"/>
        <w:jc w:val="both"/>
        <w:rPr>
          <w:rFonts w:ascii="Arial" w:hAnsi="Arial" w:cs="Arial"/>
          <w:b/>
          <w:sz w:val="28"/>
          <w:szCs w:val="28"/>
          <w:lang w:val="es-MX"/>
        </w:rPr>
      </w:pPr>
      <w:r w:rsidRPr="00704581">
        <w:rPr>
          <w:rFonts w:ascii="Arial" w:hAnsi="Arial" w:cs="Arial"/>
          <w:b/>
          <w:sz w:val="28"/>
          <w:szCs w:val="28"/>
          <w:lang w:val="es-MX"/>
        </w:rPr>
        <w:t>311.- CORPORACIÓN PARA EL DESARROLLO SOSTENIBLE DE LA MOJANA Y EL SAN JORGE – CORPOMOJANA.</w:t>
      </w:r>
    </w:p>
    <w:p w14:paraId="0C21AF15" w14:textId="77777777" w:rsidR="007E2F9F" w:rsidRDefault="007E2F9F" w:rsidP="007E2F9F">
      <w:pPr>
        <w:ind w:left="-284" w:right="-234"/>
        <w:rPr>
          <w:rFonts w:ascii="Arial" w:eastAsia="Calibri" w:hAnsi="Arial" w:cs="Arial"/>
          <w:b/>
          <w:u w:val="single"/>
          <w:lang w:val="es-MX"/>
        </w:rPr>
      </w:pPr>
    </w:p>
    <w:p w14:paraId="0346819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2E7145D"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60513B2"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704581" w14:paraId="06B9E9BB" w14:textId="77777777" w:rsidTr="006548F8">
        <w:tc>
          <w:tcPr>
            <w:tcW w:w="3544" w:type="dxa"/>
          </w:tcPr>
          <w:p w14:paraId="7BD17152" w14:textId="77777777" w:rsidR="007E2F9F" w:rsidRPr="00704581" w:rsidRDefault="007E2F9F" w:rsidP="006548F8">
            <w:pPr>
              <w:ind w:left="1169" w:right="-1440"/>
              <w:rPr>
                <w:rFonts w:ascii="Arial" w:hAnsi="Arial" w:cs="Arial"/>
                <w:b/>
                <w:sz w:val="18"/>
                <w:szCs w:val="18"/>
                <w:lang w:val="es-ES_tradnl"/>
              </w:rPr>
            </w:pPr>
            <w:r w:rsidRPr="00704581">
              <w:rPr>
                <w:rFonts w:ascii="Arial" w:hAnsi="Arial" w:cs="Arial"/>
                <w:b/>
                <w:sz w:val="18"/>
                <w:szCs w:val="18"/>
                <w:lang w:val="es-ES_tradnl"/>
              </w:rPr>
              <w:t>TIPO DE GASTO</w:t>
            </w:r>
          </w:p>
        </w:tc>
        <w:tc>
          <w:tcPr>
            <w:tcW w:w="2354" w:type="dxa"/>
          </w:tcPr>
          <w:p w14:paraId="2CF558F1" w14:textId="77777777" w:rsidR="007E2F9F" w:rsidRPr="00704581" w:rsidRDefault="007E2F9F" w:rsidP="006548F8">
            <w:pPr>
              <w:jc w:val="center"/>
              <w:rPr>
                <w:rFonts w:ascii="Arial" w:hAnsi="Arial" w:cs="Arial"/>
                <w:b/>
                <w:sz w:val="18"/>
                <w:szCs w:val="18"/>
                <w:lang w:val="es-ES_tradnl"/>
              </w:rPr>
            </w:pPr>
            <w:r w:rsidRPr="00704581">
              <w:rPr>
                <w:rFonts w:ascii="Arial" w:hAnsi="Arial" w:cs="Arial"/>
                <w:b/>
                <w:sz w:val="18"/>
                <w:szCs w:val="18"/>
                <w:lang w:val="es-ES_tradnl"/>
              </w:rPr>
              <w:t>APROPIACIÓN</w:t>
            </w:r>
          </w:p>
          <w:p w14:paraId="5B61DCA8" w14:textId="77777777" w:rsidR="007E2F9F" w:rsidRPr="00704581" w:rsidRDefault="007E2F9F" w:rsidP="006548F8">
            <w:pPr>
              <w:jc w:val="center"/>
              <w:rPr>
                <w:rFonts w:ascii="Arial" w:hAnsi="Arial" w:cs="Arial"/>
                <w:b/>
                <w:sz w:val="18"/>
                <w:szCs w:val="18"/>
                <w:lang w:val="es-ES_tradnl"/>
              </w:rPr>
            </w:pPr>
            <w:r w:rsidRPr="00704581">
              <w:rPr>
                <w:rFonts w:ascii="Arial" w:hAnsi="Arial" w:cs="Arial"/>
                <w:b/>
                <w:sz w:val="18"/>
                <w:szCs w:val="18"/>
                <w:lang w:val="es-ES_tradnl"/>
              </w:rPr>
              <w:t>DEFINITIVA</w:t>
            </w:r>
          </w:p>
          <w:p w14:paraId="545B0155" w14:textId="77777777" w:rsidR="007E2F9F" w:rsidRPr="00704581" w:rsidRDefault="007E2F9F" w:rsidP="006548F8">
            <w:pPr>
              <w:jc w:val="center"/>
              <w:rPr>
                <w:rFonts w:ascii="Arial" w:hAnsi="Arial" w:cs="Arial"/>
                <w:b/>
                <w:sz w:val="18"/>
                <w:szCs w:val="18"/>
                <w:lang w:val="es-ES_tradnl"/>
              </w:rPr>
            </w:pPr>
            <w:r w:rsidRPr="00704581">
              <w:rPr>
                <w:rFonts w:ascii="Arial" w:hAnsi="Arial" w:cs="Arial"/>
                <w:b/>
                <w:sz w:val="18"/>
                <w:szCs w:val="18"/>
                <w:lang w:val="es-ES_tradnl"/>
              </w:rPr>
              <w:t>(1)</w:t>
            </w:r>
          </w:p>
          <w:p w14:paraId="424EEDB9" w14:textId="77777777" w:rsidR="007E2F9F" w:rsidRPr="00704581" w:rsidRDefault="007E2F9F" w:rsidP="006548F8">
            <w:pPr>
              <w:jc w:val="center"/>
              <w:rPr>
                <w:rFonts w:ascii="Arial" w:hAnsi="Arial" w:cs="Arial"/>
                <w:b/>
                <w:sz w:val="18"/>
                <w:szCs w:val="18"/>
                <w:lang w:val="es-ES_tradnl"/>
              </w:rPr>
            </w:pPr>
          </w:p>
        </w:tc>
        <w:tc>
          <w:tcPr>
            <w:tcW w:w="2354" w:type="dxa"/>
          </w:tcPr>
          <w:p w14:paraId="6902B5DC" w14:textId="77777777" w:rsidR="007E2F9F" w:rsidRPr="00704581" w:rsidRDefault="007E2F9F" w:rsidP="006548F8">
            <w:pPr>
              <w:ind w:left="145" w:right="184"/>
              <w:jc w:val="center"/>
              <w:rPr>
                <w:rFonts w:ascii="Arial" w:hAnsi="Arial" w:cs="Arial"/>
                <w:b/>
                <w:sz w:val="18"/>
                <w:szCs w:val="18"/>
                <w:lang w:val="es-ES_tradnl"/>
              </w:rPr>
            </w:pPr>
            <w:r w:rsidRPr="00704581">
              <w:rPr>
                <w:rFonts w:ascii="Arial" w:hAnsi="Arial" w:cs="Arial"/>
                <w:b/>
                <w:sz w:val="18"/>
                <w:szCs w:val="18"/>
                <w:lang w:val="es-ES_tradnl"/>
              </w:rPr>
              <w:t>EJECUCIÓN</w:t>
            </w:r>
          </w:p>
          <w:p w14:paraId="2807A917" w14:textId="77777777" w:rsidR="007E2F9F" w:rsidRPr="00704581" w:rsidRDefault="007E2F9F" w:rsidP="006548F8">
            <w:pPr>
              <w:ind w:right="34"/>
              <w:jc w:val="center"/>
              <w:rPr>
                <w:rFonts w:ascii="Arial" w:hAnsi="Arial" w:cs="Arial"/>
                <w:b/>
                <w:sz w:val="18"/>
                <w:szCs w:val="18"/>
                <w:lang w:val="es-ES_tradnl"/>
              </w:rPr>
            </w:pPr>
            <w:r w:rsidRPr="00704581">
              <w:rPr>
                <w:rFonts w:ascii="Arial" w:hAnsi="Arial" w:cs="Arial"/>
                <w:b/>
                <w:sz w:val="18"/>
                <w:szCs w:val="18"/>
                <w:lang w:val="es-ES_tradnl"/>
              </w:rPr>
              <w:t>COMPROMISOS</w:t>
            </w:r>
          </w:p>
          <w:p w14:paraId="48EEADF9" w14:textId="77777777" w:rsidR="007E2F9F" w:rsidRPr="00704581" w:rsidRDefault="007E2F9F" w:rsidP="006548F8">
            <w:pPr>
              <w:ind w:right="34"/>
              <w:jc w:val="center"/>
              <w:rPr>
                <w:rFonts w:ascii="Arial" w:hAnsi="Arial" w:cs="Arial"/>
                <w:b/>
                <w:sz w:val="18"/>
                <w:szCs w:val="18"/>
                <w:lang w:val="es-ES_tradnl"/>
              </w:rPr>
            </w:pPr>
            <w:r w:rsidRPr="00704581">
              <w:rPr>
                <w:rFonts w:ascii="Arial" w:hAnsi="Arial" w:cs="Arial"/>
                <w:b/>
                <w:sz w:val="18"/>
                <w:szCs w:val="18"/>
                <w:lang w:val="es-ES_tradnl"/>
              </w:rPr>
              <w:t>(2)</w:t>
            </w:r>
          </w:p>
        </w:tc>
        <w:tc>
          <w:tcPr>
            <w:tcW w:w="2238" w:type="dxa"/>
          </w:tcPr>
          <w:p w14:paraId="07950267" w14:textId="77777777" w:rsidR="007E2F9F" w:rsidRPr="00704581" w:rsidRDefault="007E2F9F" w:rsidP="006548F8">
            <w:pPr>
              <w:ind w:left="25" w:right="34"/>
              <w:jc w:val="center"/>
              <w:rPr>
                <w:rFonts w:ascii="Arial" w:hAnsi="Arial" w:cs="Arial"/>
                <w:b/>
                <w:sz w:val="18"/>
                <w:szCs w:val="18"/>
                <w:lang w:val="es-ES_tradnl"/>
              </w:rPr>
            </w:pPr>
            <w:r w:rsidRPr="00704581">
              <w:rPr>
                <w:rFonts w:ascii="Arial" w:hAnsi="Arial" w:cs="Arial"/>
                <w:b/>
                <w:sz w:val="18"/>
                <w:szCs w:val="18"/>
                <w:lang w:val="es-ES_tradnl"/>
              </w:rPr>
              <w:t>PÉRDIDAS DE</w:t>
            </w:r>
          </w:p>
          <w:p w14:paraId="7A89CDD4" w14:textId="77777777" w:rsidR="007E2F9F" w:rsidRPr="00704581" w:rsidRDefault="007E2F9F" w:rsidP="006548F8">
            <w:pPr>
              <w:ind w:right="34"/>
              <w:jc w:val="center"/>
              <w:rPr>
                <w:rFonts w:ascii="Arial" w:hAnsi="Arial" w:cs="Arial"/>
                <w:b/>
                <w:sz w:val="18"/>
                <w:szCs w:val="18"/>
                <w:lang w:val="es-ES_tradnl"/>
              </w:rPr>
            </w:pPr>
            <w:r w:rsidRPr="00704581">
              <w:rPr>
                <w:rFonts w:ascii="Arial" w:hAnsi="Arial" w:cs="Arial"/>
                <w:b/>
                <w:sz w:val="18"/>
                <w:szCs w:val="18"/>
                <w:lang w:val="es-ES_tradnl"/>
              </w:rPr>
              <w:t>APROPIACIÓN</w:t>
            </w:r>
          </w:p>
          <w:p w14:paraId="13AA48DC" w14:textId="77777777" w:rsidR="007E2F9F" w:rsidRPr="00704581" w:rsidRDefault="007E2F9F" w:rsidP="006548F8">
            <w:pPr>
              <w:ind w:right="34"/>
              <w:jc w:val="center"/>
              <w:rPr>
                <w:rFonts w:ascii="Arial" w:hAnsi="Arial" w:cs="Arial"/>
                <w:b/>
                <w:sz w:val="18"/>
                <w:szCs w:val="18"/>
                <w:lang w:val="es-ES_tradnl"/>
              </w:rPr>
            </w:pPr>
            <w:r w:rsidRPr="00704581">
              <w:rPr>
                <w:rFonts w:ascii="Arial" w:hAnsi="Arial" w:cs="Arial"/>
                <w:b/>
                <w:sz w:val="18"/>
                <w:szCs w:val="18"/>
                <w:lang w:val="es-ES_tradnl"/>
              </w:rPr>
              <w:t>3 = (1-2)</w:t>
            </w:r>
          </w:p>
        </w:tc>
      </w:tr>
      <w:tr w:rsidR="007E2F9F" w:rsidRPr="00704581" w14:paraId="6B01748D" w14:textId="77777777" w:rsidTr="006548F8">
        <w:trPr>
          <w:trHeight w:val="230"/>
        </w:trPr>
        <w:tc>
          <w:tcPr>
            <w:tcW w:w="3544" w:type="dxa"/>
          </w:tcPr>
          <w:p w14:paraId="25485B30" w14:textId="77777777" w:rsidR="007E2F9F" w:rsidRPr="00704581" w:rsidRDefault="007E2F9F" w:rsidP="006548F8">
            <w:pPr>
              <w:ind w:right="-1440"/>
              <w:jc w:val="both"/>
              <w:rPr>
                <w:rFonts w:ascii="Arial" w:hAnsi="Arial" w:cs="Arial"/>
                <w:b/>
                <w:bCs/>
                <w:sz w:val="18"/>
                <w:szCs w:val="18"/>
                <w:lang w:val="es-ES_tradnl"/>
              </w:rPr>
            </w:pPr>
            <w:r w:rsidRPr="00704581">
              <w:rPr>
                <w:rFonts w:ascii="Arial" w:hAnsi="Arial" w:cs="Arial"/>
                <w:b/>
                <w:bCs/>
                <w:sz w:val="18"/>
                <w:szCs w:val="18"/>
                <w:lang w:val="es-ES_tradnl"/>
              </w:rPr>
              <w:t>FUNCIONAMIENTO</w:t>
            </w:r>
          </w:p>
        </w:tc>
        <w:tc>
          <w:tcPr>
            <w:tcW w:w="2354" w:type="dxa"/>
            <w:vAlign w:val="bottom"/>
          </w:tcPr>
          <w:p w14:paraId="63DF1960" w14:textId="77777777" w:rsidR="007E2F9F" w:rsidRPr="00704581" w:rsidRDefault="007E2F9F" w:rsidP="006548F8">
            <w:pPr>
              <w:jc w:val="right"/>
              <w:rPr>
                <w:rFonts w:ascii="Arial" w:eastAsia="Calibri" w:hAnsi="Arial" w:cs="Arial"/>
                <w:b/>
                <w:bCs/>
                <w:sz w:val="18"/>
                <w:szCs w:val="18"/>
                <w:lang w:val="es-CO"/>
              </w:rPr>
            </w:pPr>
            <w:r w:rsidRPr="00704581">
              <w:rPr>
                <w:rFonts w:ascii="Arial" w:hAnsi="Arial" w:cs="Arial"/>
                <w:sz w:val="16"/>
                <w:szCs w:val="16"/>
              </w:rPr>
              <w:t>4.277.327.344</w:t>
            </w:r>
          </w:p>
        </w:tc>
        <w:tc>
          <w:tcPr>
            <w:tcW w:w="2354" w:type="dxa"/>
            <w:vAlign w:val="bottom"/>
          </w:tcPr>
          <w:p w14:paraId="00DD6905" w14:textId="77777777" w:rsidR="007E2F9F" w:rsidRPr="00704581" w:rsidRDefault="007E2F9F" w:rsidP="006548F8">
            <w:pPr>
              <w:pStyle w:val="Prrafodelista"/>
              <w:ind w:left="0"/>
              <w:jc w:val="right"/>
              <w:rPr>
                <w:rFonts w:ascii="Arial" w:hAnsi="Arial" w:cs="Arial"/>
                <w:b/>
                <w:bCs/>
                <w:sz w:val="18"/>
                <w:szCs w:val="18"/>
              </w:rPr>
            </w:pPr>
            <w:r w:rsidRPr="00704581">
              <w:rPr>
                <w:rFonts w:ascii="Arial" w:hAnsi="Arial" w:cs="Arial"/>
                <w:sz w:val="16"/>
                <w:szCs w:val="16"/>
              </w:rPr>
              <w:t>4.220.491.420</w:t>
            </w:r>
          </w:p>
        </w:tc>
        <w:tc>
          <w:tcPr>
            <w:tcW w:w="2238" w:type="dxa"/>
            <w:vAlign w:val="bottom"/>
          </w:tcPr>
          <w:p w14:paraId="4912A2EF" w14:textId="77777777" w:rsidR="007E2F9F" w:rsidRPr="00704581" w:rsidRDefault="007E2F9F" w:rsidP="006548F8">
            <w:pPr>
              <w:pStyle w:val="Prrafodelista"/>
              <w:ind w:left="0"/>
              <w:jc w:val="right"/>
              <w:rPr>
                <w:rFonts w:ascii="Arial" w:hAnsi="Arial" w:cs="Arial"/>
                <w:b/>
                <w:bCs/>
                <w:sz w:val="18"/>
                <w:szCs w:val="18"/>
              </w:rPr>
            </w:pPr>
            <w:r w:rsidRPr="00704581">
              <w:rPr>
                <w:rFonts w:ascii="Arial" w:hAnsi="Arial" w:cs="Arial"/>
                <w:sz w:val="16"/>
                <w:szCs w:val="16"/>
              </w:rPr>
              <w:t>56.835.924</w:t>
            </w:r>
          </w:p>
        </w:tc>
      </w:tr>
      <w:tr w:rsidR="007E2F9F" w:rsidRPr="00704581" w14:paraId="08FB24F6" w14:textId="77777777" w:rsidTr="006548F8">
        <w:trPr>
          <w:trHeight w:val="230"/>
        </w:trPr>
        <w:tc>
          <w:tcPr>
            <w:tcW w:w="3544" w:type="dxa"/>
          </w:tcPr>
          <w:p w14:paraId="31E146B3" w14:textId="77777777" w:rsidR="007E2F9F" w:rsidRPr="00704581" w:rsidRDefault="007E2F9F" w:rsidP="006548F8">
            <w:pPr>
              <w:ind w:right="-1440"/>
              <w:jc w:val="both"/>
              <w:rPr>
                <w:rFonts w:ascii="Arial" w:hAnsi="Arial" w:cs="Arial"/>
                <w:b/>
                <w:bCs/>
                <w:sz w:val="18"/>
                <w:szCs w:val="18"/>
                <w:lang w:val="es-ES_tradnl"/>
              </w:rPr>
            </w:pPr>
            <w:r w:rsidRPr="00704581">
              <w:rPr>
                <w:rFonts w:ascii="Arial" w:hAnsi="Arial" w:cs="Arial"/>
                <w:b/>
                <w:bCs/>
                <w:sz w:val="18"/>
                <w:szCs w:val="18"/>
                <w:lang w:val="es-ES_tradnl"/>
              </w:rPr>
              <w:t>NVERSIÓN</w:t>
            </w:r>
          </w:p>
        </w:tc>
        <w:tc>
          <w:tcPr>
            <w:tcW w:w="2354" w:type="dxa"/>
            <w:vAlign w:val="bottom"/>
          </w:tcPr>
          <w:p w14:paraId="2A621613" w14:textId="77777777" w:rsidR="007E2F9F" w:rsidRPr="00704581" w:rsidRDefault="007E2F9F" w:rsidP="006548F8">
            <w:pPr>
              <w:jc w:val="right"/>
              <w:rPr>
                <w:rFonts w:ascii="Arial" w:eastAsia="Calibri" w:hAnsi="Arial" w:cs="Arial"/>
                <w:b/>
                <w:bCs/>
                <w:sz w:val="18"/>
                <w:szCs w:val="18"/>
                <w:lang w:val="es-CO"/>
              </w:rPr>
            </w:pPr>
            <w:r w:rsidRPr="00704581">
              <w:rPr>
                <w:rFonts w:ascii="Arial" w:hAnsi="Arial" w:cs="Arial"/>
                <w:color w:val="000000"/>
                <w:sz w:val="16"/>
                <w:szCs w:val="16"/>
              </w:rPr>
              <w:t>6.073.931.287</w:t>
            </w:r>
          </w:p>
        </w:tc>
        <w:tc>
          <w:tcPr>
            <w:tcW w:w="2354" w:type="dxa"/>
            <w:vAlign w:val="bottom"/>
          </w:tcPr>
          <w:p w14:paraId="0FF5909A" w14:textId="77777777" w:rsidR="007E2F9F" w:rsidRPr="00704581" w:rsidRDefault="007E2F9F" w:rsidP="006548F8">
            <w:pPr>
              <w:pStyle w:val="Prrafodelista"/>
              <w:ind w:left="0"/>
              <w:jc w:val="right"/>
              <w:rPr>
                <w:rFonts w:ascii="Arial" w:eastAsia="Calibri" w:hAnsi="Arial" w:cs="Arial"/>
                <w:b/>
                <w:bCs/>
                <w:sz w:val="18"/>
                <w:szCs w:val="18"/>
                <w:lang w:val="es-CO"/>
              </w:rPr>
            </w:pPr>
            <w:r w:rsidRPr="00704581">
              <w:rPr>
                <w:rFonts w:ascii="Arial" w:hAnsi="Arial" w:cs="Arial"/>
                <w:color w:val="000000"/>
                <w:sz w:val="16"/>
                <w:szCs w:val="16"/>
              </w:rPr>
              <w:t>6.055.030.605</w:t>
            </w:r>
          </w:p>
        </w:tc>
        <w:tc>
          <w:tcPr>
            <w:tcW w:w="2238" w:type="dxa"/>
            <w:vAlign w:val="bottom"/>
          </w:tcPr>
          <w:p w14:paraId="5AB9122D" w14:textId="77777777" w:rsidR="007E2F9F" w:rsidRPr="00704581" w:rsidRDefault="007E2F9F" w:rsidP="006548F8">
            <w:pPr>
              <w:pStyle w:val="Prrafodelista"/>
              <w:ind w:left="0"/>
              <w:jc w:val="right"/>
              <w:rPr>
                <w:rFonts w:ascii="Arial" w:hAnsi="Arial" w:cs="Arial"/>
                <w:b/>
                <w:bCs/>
                <w:sz w:val="18"/>
                <w:szCs w:val="18"/>
              </w:rPr>
            </w:pPr>
            <w:r w:rsidRPr="00704581">
              <w:rPr>
                <w:rFonts w:ascii="Arial" w:hAnsi="Arial" w:cs="Arial"/>
                <w:color w:val="000000"/>
                <w:sz w:val="16"/>
                <w:szCs w:val="16"/>
              </w:rPr>
              <w:t>18.900.682</w:t>
            </w:r>
          </w:p>
        </w:tc>
      </w:tr>
      <w:tr w:rsidR="007E2F9F" w:rsidRPr="00704581" w14:paraId="7E5D86FA" w14:textId="77777777" w:rsidTr="006548F8">
        <w:tc>
          <w:tcPr>
            <w:tcW w:w="3544" w:type="dxa"/>
          </w:tcPr>
          <w:p w14:paraId="25C5B854" w14:textId="77777777" w:rsidR="007E2F9F" w:rsidRPr="00704581" w:rsidRDefault="007E2F9F" w:rsidP="006548F8">
            <w:pPr>
              <w:ind w:right="-1440"/>
              <w:jc w:val="both"/>
              <w:rPr>
                <w:rFonts w:ascii="Arial" w:hAnsi="Arial" w:cs="Arial"/>
                <w:b/>
                <w:bCs/>
                <w:sz w:val="18"/>
                <w:szCs w:val="18"/>
                <w:lang w:val="es-ES_tradnl"/>
              </w:rPr>
            </w:pPr>
            <w:r w:rsidRPr="00704581">
              <w:rPr>
                <w:rFonts w:ascii="Arial" w:hAnsi="Arial" w:cs="Arial"/>
                <w:b/>
                <w:bCs/>
                <w:sz w:val="18"/>
                <w:szCs w:val="18"/>
                <w:lang w:val="es-ES_tradnl"/>
              </w:rPr>
              <w:t>TOTAL PÉRDIDAS DE APROPIACIÓN</w:t>
            </w:r>
          </w:p>
        </w:tc>
        <w:tc>
          <w:tcPr>
            <w:tcW w:w="2354" w:type="dxa"/>
            <w:vAlign w:val="bottom"/>
          </w:tcPr>
          <w:p w14:paraId="2D3D2284" w14:textId="77777777" w:rsidR="007E2F9F" w:rsidRPr="00704581" w:rsidRDefault="007E2F9F" w:rsidP="006548F8">
            <w:pPr>
              <w:pStyle w:val="Prrafodelista"/>
              <w:ind w:left="0"/>
              <w:jc w:val="right"/>
              <w:rPr>
                <w:rFonts w:ascii="Arial" w:hAnsi="Arial" w:cs="Arial"/>
                <w:b/>
                <w:bCs/>
                <w:sz w:val="18"/>
                <w:szCs w:val="18"/>
                <w:u w:val="single"/>
              </w:rPr>
            </w:pPr>
            <w:r w:rsidRPr="00704581">
              <w:rPr>
                <w:rFonts w:ascii="Arial" w:hAnsi="Arial" w:cs="Arial"/>
                <w:sz w:val="16"/>
                <w:szCs w:val="16"/>
              </w:rPr>
              <w:t>10.351.258.631</w:t>
            </w:r>
          </w:p>
        </w:tc>
        <w:tc>
          <w:tcPr>
            <w:tcW w:w="2354" w:type="dxa"/>
            <w:vAlign w:val="bottom"/>
          </w:tcPr>
          <w:p w14:paraId="1D61FE0B" w14:textId="77777777" w:rsidR="007E2F9F" w:rsidRPr="00704581" w:rsidRDefault="007E2F9F" w:rsidP="006548F8">
            <w:pPr>
              <w:pStyle w:val="Prrafodelista"/>
              <w:ind w:left="0"/>
              <w:jc w:val="right"/>
              <w:rPr>
                <w:rFonts w:ascii="Arial" w:hAnsi="Arial" w:cs="Arial"/>
                <w:b/>
                <w:bCs/>
                <w:sz w:val="18"/>
                <w:szCs w:val="18"/>
                <w:u w:val="single"/>
              </w:rPr>
            </w:pPr>
            <w:r w:rsidRPr="00704581">
              <w:rPr>
                <w:rFonts w:ascii="Arial" w:hAnsi="Arial" w:cs="Arial"/>
                <w:sz w:val="16"/>
                <w:szCs w:val="16"/>
              </w:rPr>
              <w:t>10.275.522.025</w:t>
            </w:r>
          </w:p>
        </w:tc>
        <w:tc>
          <w:tcPr>
            <w:tcW w:w="2238" w:type="dxa"/>
            <w:vAlign w:val="bottom"/>
          </w:tcPr>
          <w:p w14:paraId="535BA88A" w14:textId="77777777" w:rsidR="007E2F9F" w:rsidRPr="00704581" w:rsidRDefault="007E2F9F" w:rsidP="006548F8">
            <w:pPr>
              <w:pStyle w:val="Prrafodelista"/>
              <w:ind w:left="0"/>
              <w:jc w:val="right"/>
              <w:rPr>
                <w:rFonts w:ascii="Arial" w:hAnsi="Arial" w:cs="Arial"/>
                <w:b/>
                <w:bCs/>
                <w:sz w:val="18"/>
                <w:szCs w:val="18"/>
                <w:u w:val="single"/>
              </w:rPr>
            </w:pPr>
            <w:r w:rsidRPr="00704581">
              <w:rPr>
                <w:rFonts w:ascii="Arial" w:hAnsi="Arial" w:cs="Arial"/>
                <w:b/>
                <w:bCs/>
                <w:sz w:val="18"/>
                <w:szCs w:val="18"/>
                <w:u w:val="single"/>
              </w:rPr>
              <w:t>75.736.606</w:t>
            </w:r>
          </w:p>
        </w:tc>
      </w:tr>
    </w:tbl>
    <w:p w14:paraId="651024A5" w14:textId="77777777" w:rsidR="007E2F9F" w:rsidRDefault="007E2F9F" w:rsidP="007E2F9F">
      <w:pPr>
        <w:ind w:left="-284" w:right="-234"/>
        <w:rPr>
          <w:rFonts w:ascii="Arial" w:eastAsia="Calibri" w:hAnsi="Arial" w:cs="Arial"/>
          <w:b/>
          <w:u w:val="single"/>
          <w:lang w:val="es-MX"/>
        </w:rPr>
      </w:pPr>
    </w:p>
    <w:p w14:paraId="375AC9A6" w14:textId="77777777" w:rsidR="007E2F9F" w:rsidRPr="00F634DB" w:rsidRDefault="007E2F9F" w:rsidP="007E2F9F">
      <w:pPr>
        <w:ind w:left="-284"/>
        <w:jc w:val="both"/>
        <w:rPr>
          <w:rFonts w:ascii="Arial" w:hAnsi="Arial" w:cs="Arial"/>
          <w:b/>
          <w:sz w:val="28"/>
          <w:szCs w:val="28"/>
          <w:lang w:val="es-MX"/>
        </w:rPr>
      </w:pPr>
      <w:r w:rsidRPr="00F634DB">
        <w:rPr>
          <w:rFonts w:ascii="Arial" w:hAnsi="Arial" w:cs="Arial"/>
          <w:b/>
          <w:sz w:val="28"/>
          <w:szCs w:val="28"/>
          <w:lang w:val="es-MX"/>
        </w:rPr>
        <w:t>312.- U.A.E. COMISIÓN DE REGULACIÓN DE COMUNICACIONES – CRC.</w:t>
      </w:r>
    </w:p>
    <w:p w14:paraId="30F6BAE0" w14:textId="77777777" w:rsidR="007E2F9F" w:rsidRDefault="007E2F9F" w:rsidP="007E2F9F">
      <w:pPr>
        <w:ind w:left="-284" w:right="-234"/>
        <w:rPr>
          <w:rFonts w:ascii="Arial" w:eastAsia="Calibri" w:hAnsi="Arial" w:cs="Arial"/>
          <w:b/>
          <w:u w:val="single"/>
          <w:lang w:val="es-MX"/>
        </w:rPr>
      </w:pPr>
    </w:p>
    <w:p w14:paraId="046BE77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3A9C5E28"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BD503C5"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8F2519" w14:paraId="39217553" w14:textId="77777777" w:rsidTr="006548F8">
        <w:tc>
          <w:tcPr>
            <w:tcW w:w="3544" w:type="dxa"/>
          </w:tcPr>
          <w:p w14:paraId="55FE4ADF" w14:textId="77777777" w:rsidR="007E2F9F" w:rsidRPr="008F2519" w:rsidRDefault="007E2F9F" w:rsidP="006548F8">
            <w:pPr>
              <w:ind w:left="1169" w:right="-1440"/>
              <w:rPr>
                <w:rFonts w:ascii="Arial" w:hAnsi="Arial" w:cs="Arial"/>
                <w:b/>
                <w:sz w:val="18"/>
                <w:szCs w:val="18"/>
                <w:lang w:val="es-ES_tradnl"/>
              </w:rPr>
            </w:pPr>
            <w:r w:rsidRPr="008F2519">
              <w:rPr>
                <w:rFonts w:ascii="Arial" w:hAnsi="Arial" w:cs="Arial"/>
                <w:b/>
                <w:sz w:val="18"/>
                <w:szCs w:val="18"/>
                <w:lang w:val="es-ES_tradnl"/>
              </w:rPr>
              <w:t>TIPO DE GASTO</w:t>
            </w:r>
          </w:p>
        </w:tc>
        <w:tc>
          <w:tcPr>
            <w:tcW w:w="2354" w:type="dxa"/>
          </w:tcPr>
          <w:p w14:paraId="178B3098" w14:textId="77777777" w:rsidR="007E2F9F" w:rsidRPr="008F2519" w:rsidRDefault="007E2F9F" w:rsidP="006548F8">
            <w:pPr>
              <w:jc w:val="center"/>
              <w:rPr>
                <w:rFonts w:ascii="Arial" w:hAnsi="Arial" w:cs="Arial"/>
                <w:b/>
                <w:sz w:val="18"/>
                <w:szCs w:val="18"/>
                <w:lang w:val="es-ES_tradnl"/>
              </w:rPr>
            </w:pPr>
            <w:r w:rsidRPr="008F2519">
              <w:rPr>
                <w:rFonts w:ascii="Arial" w:hAnsi="Arial" w:cs="Arial"/>
                <w:b/>
                <w:sz w:val="18"/>
                <w:szCs w:val="18"/>
                <w:lang w:val="es-ES_tradnl"/>
              </w:rPr>
              <w:t>APROPIACIÓN</w:t>
            </w:r>
          </w:p>
          <w:p w14:paraId="51D3FA0E" w14:textId="77777777" w:rsidR="007E2F9F" w:rsidRPr="008F2519" w:rsidRDefault="007E2F9F" w:rsidP="006548F8">
            <w:pPr>
              <w:jc w:val="center"/>
              <w:rPr>
                <w:rFonts w:ascii="Arial" w:hAnsi="Arial" w:cs="Arial"/>
                <w:b/>
                <w:sz w:val="18"/>
                <w:szCs w:val="18"/>
                <w:lang w:val="es-ES_tradnl"/>
              </w:rPr>
            </w:pPr>
            <w:r w:rsidRPr="008F2519">
              <w:rPr>
                <w:rFonts w:ascii="Arial" w:hAnsi="Arial" w:cs="Arial"/>
                <w:b/>
                <w:sz w:val="18"/>
                <w:szCs w:val="18"/>
                <w:lang w:val="es-ES_tradnl"/>
              </w:rPr>
              <w:t>DEFINITIVA</w:t>
            </w:r>
          </w:p>
          <w:p w14:paraId="4C2CC5D3" w14:textId="77777777" w:rsidR="007E2F9F" w:rsidRPr="008F2519" w:rsidRDefault="007E2F9F" w:rsidP="006548F8">
            <w:pPr>
              <w:jc w:val="center"/>
              <w:rPr>
                <w:rFonts w:ascii="Arial" w:hAnsi="Arial" w:cs="Arial"/>
                <w:b/>
                <w:sz w:val="18"/>
                <w:szCs w:val="18"/>
                <w:lang w:val="es-ES_tradnl"/>
              </w:rPr>
            </w:pPr>
            <w:r w:rsidRPr="008F2519">
              <w:rPr>
                <w:rFonts w:ascii="Arial" w:hAnsi="Arial" w:cs="Arial"/>
                <w:b/>
                <w:sz w:val="18"/>
                <w:szCs w:val="18"/>
                <w:lang w:val="es-ES_tradnl"/>
              </w:rPr>
              <w:t>(1)</w:t>
            </w:r>
          </w:p>
          <w:p w14:paraId="6CAE0837" w14:textId="77777777" w:rsidR="007E2F9F" w:rsidRPr="008F2519" w:rsidRDefault="007E2F9F" w:rsidP="006548F8">
            <w:pPr>
              <w:jc w:val="center"/>
              <w:rPr>
                <w:rFonts w:ascii="Arial" w:hAnsi="Arial" w:cs="Arial"/>
                <w:b/>
                <w:sz w:val="18"/>
                <w:szCs w:val="18"/>
                <w:lang w:val="es-ES_tradnl"/>
              </w:rPr>
            </w:pPr>
          </w:p>
        </w:tc>
        <w:tc>
          <w:tcPr>
            <w:tcW w:w="2354" w:type="dxa"/>
          </w:tcPr>
          <w:p w14:paraId="6B7E1AA4" w14:textId="77777777" w:rsidR="007E2F9F" w:rsidRPr="008F2519" w:rsidRDefault="007E2F9F" w:rsidP="006548F8">
            <w:pPr>
              <w:ind w:left="145" w:right="184"/>
              <w:jc w:val="center"/>
              <w:rPr>
                <w:rFonts w:ascii="Arial" w:hAnsi="Arial" w:cs="Arial"/>
                <w:b/>
                <w:sz w:val="18"/>
                <w:szCs w:val="18"/>
                <w:lang w:val="es-ES_tradnl"/>
              </w:rPr>
            </w:pPr>
            <w:r w:rsidRPr="008F2519">
              <w:rPr>
                <w:rFonts w:ascii="Arial" w:hAnsi="Arial" w:cs="Arial"/>
                <w:b/>
                <w:sz w:val="18"/>
                <w:szCs w:val="18"/>
                <w:lang w:val="es-ES_tradnl"/>
              </w:rPr>
              <w:t>EJECUCIÓN</w:t>
            </w:r>
          </w:p>
          <w:p w14:paraId="5FD0FEBC" w14:textId="77777777" w:rsidR="007E2F9F" w:rsidRPr="008F2519" w:rsidRDefault="007E2F9F" w:rsidP="006548F8">
            <w:pPr>
              <w:ind w:right="34"/>
              <w:jc w:val="center"/>
              <w:rPr>
                <w:rFonts w:ascii="Arial" w:hAnsi="Arial" w:cs="Arial"/>
                <w:b/>
                <w:sz w:val="18"/>
                <w:szCs w:val="18"/>
                <w:lang w:val="es-ES_tradnl"/>
              </w:rPr>
            </w:pPr>
            <w:r w:rsidRPr="008F2519">
              <w:rPr>
                <w:rFonts w:ascii="Arial" w:hAnsi="Arial" w:cs="Arial"/>
                <w:b/>
                <w:sz w:val="18"/>
                <w:szCs w:val="18"/>
                <w:lang w:val="es-ES_tradnl"/>
              </w:rPr>
              <w:t>COMPROMISOS</w:t>
            </w:r>
          </w:p>
          <w:p w14:paraId="6FC9678F" w14:textId="77777777" w:rsidR="007E2F9F" w:rsidRPr="008F2519" w:rsidRDefault="007E2F9F" w:rsidP="006548F8">
            <w:pPr>
              <w:ind w:right="34"/>
              <w:jc w:val="center"/>
              <w:rPr>
                <w:rFonts w:ascii="Arial" w:hAnsi="Arial" w:cs="Arial"/>
                <w:b/>
                <w:sz w:val="18"/>
                <w:szCs w:val="18"/>
                <w:lang w:val="es-ES_tradnl"/>
              </w:rPr>
            </w:pPr>
            <w:r w:rsidRPr="008F2519">
              <w:rPr>
                <w:rFonts w:ascii="Arial" w:hAnsi="Arial" w:cs="Arial"/>
                <w:b/>
                <w:sz w:val="18"/>
                <w:szCs w:val="18"/>
                <w:lang w:val="es-ES_tradnl"/>
              </w:rPr>
              <w:t>(2)</w:t>
            </w:r>
          </w:p>
        </w:tc>
        <w:tc>
          <w:tcPr>
            <w:tcW w:w="2238" w:type="dxa"/>
          </w:tcPr>
          <w:p w14:paraId="1C96BD0E" w14:textId="77777777" w:rsidR="007E2F9F" w:rsidRPr="008F2519" w:rsidRDefault="007E2F9F" w:rsidP="006548F8">
            <w:pPr>
              <w:ind w:left="25" w:right="34"/>
              <w:jc w:val="center"/>
              <w:rPr>
                <w:rFonts w:ascii="Arial" w:hAnsi="Arial" w:cs="Arial"/>
                <w:b/>
                <w:sz w:val="18"/>
                <w:szCs w:val="18"/>
                <w:lang w:val="es-ES_tradnl"/>
              </w:rPr>
            </w:pPr>
            <w:r w:rsidRPr="008F2519">
              <w:rPr>
                <w:rFonts w:ascii="Arial" w:hAnsi="Arial" w:cs="Arial"/>
                <w:b/>
                <w:sz w:val="18"/>
                <w:szCs w:val="18"/>
                <w:lang w:val="es-ES_tradnl"/>
              </w:rPr>
              <w:t>PÉRDIDAS DE</w:t>
            </w:r>
          </w:p>
          <w:p w14:paraId="5DDF8F56" w14:textId="77777777" w:rsidR="007E2F9F" w:rsidRPr="008F2519" w:rsidRDefault="007E2F9F" w:rsidP="006548F8">
            <w:pPr>
              <w:ind w:right="34"/>
              <w:jc w:val="center"/>
              <w:rPr>
                <w:rFonts w:ascii="Arial" w:hAnsi="Arial" w:cs="Arial"/>
                <w:b/>
                <w:sz w:val="18"/>
                <w:szCs w:val="18"/>
                <w:lang w:val="es-ES_tradnl"/>
              </w:rPr>
            </w:pPr>
            <w:r w:rsidRPr="008F2519">
              <w:rPr>
                <w:rFonts w:ascii="Arial" w:hAnsi="Arial" w:cs="Arial"/>
                <w:b/>
                <w:sz w:val="18"/>
                <w:szCs w:val="18"/>
                <w:lang w:val="es-ES_tradnl"/>
              </w:rPr>
              <w:t>APROPIACIÓN</w:t>
            </w:r>
          </w:p>
          <w:p w14:paraId="648ABA7F" w14:textId="77777777" w:rsidR="007E2F9F" w:rsidRPr="008F2519" w:rsidRDefault="007E2F9F" w:rsidP="006548F8">
            <w:pPr>
              <w:ind w:right="34"/>
              <w:jc w:val="center"/>
              <w:rPr>
                <w:rFonts w:ascii="Arial" w:hAnsi="Arial" w:cs="Arial"/>
                <w:b/>
                <w:sz w:val="18"/>
                <w:szCs w:val="18"/>
                <w:lang w:val="es-ES_tradnl"/>
              </w:rPr>
            </w:pPr>
            <w:r w:rsidRPr="008F2519">
              <w:rPr>
                <w:rFonts w:ascii="Arial" w:hAnsi="Arial" w:cs="Arial"/>
                <w:b/>
                <w:sz w:val="18"/>
                <w:szCs w:val="18"/>
                <w:lang w:val="es-ES_tradnl"/>
              </w:rPr>
              <w:t>3 = (1-2)</w:t>
            </w:r>
          </w:p>
        </w:tc>
      </w:tr>
      <w:tr w:rsidR="007E2F9F" w:rsidRPr="008F2519" w14:paraId="379C9FC4" w14:textId="77777777" w:rsidTr="006548F8">
        <w:trPr>
          <w:trHeight w:val="230"/>
        </w:trPr>
        <w:tc>
          <w:tcPr>
            <w:tcW w:w="3544" w:type="dxa"/>
          </w:tcPr>
          <w:p w14:paraId="539ECD2A" w14:textId="77777777" w:rsidR="007E2F9F" w:rsidRPr="008F2519" w:rsidRDefault="007E2F9F" w:rsidP="006548F8">
            <w:pPr>
              <w:ind w:right="-1440"/>
              <w:jc w:val="both"/>
              <w:rPr>
                <w:rFonts w:ascii="Arial" w:hAnsi="Arial" w:cs="Arial"/>
                <w:b/>
                <w:bCs/>
                <w:sz w:val="18"/>
                <w:szCs w:val="18"/>
                <w:lang w:val="es-ES_tradnl"/>
              </w:rPr>
            </w:pPr>
            <w:r w:rsidRPr="008F2519">
              <w:rPr>
                <w:rFonts w:ascii="Arial" w:hAnsi="Arial" w:cs="Arial"/>
                <w:b/>
                <w:bCs/>
                <w:sz w:val="18"/>
                <w:szCs w:val="18"/>
                <w:lang w:val="es-ES_tradnl"/>
              </w:rPr>
              <w:t>FUNCIONAMIENTO</w:t>
            </w:r>
          </w:p>
        </w:tc>
        <w:tc>
          <w:tcPr>
            <w:tcW w:w="2354" w:type="dxa"/>
            <w:vAlign w:val="bottom"/>
          </w:tcPr>
          <w:p w14:paraId="0E31A033" w14:textId="77777777" w:rsidR="007E2F9F" w:rsidRPr="008F2519" w:rsidRDefault="007E2F9F" w:rsidP="006548F8">
            <w:pPr>
              <w:jc w:val="right"/>
              <w:rPr>
                <w:rFonts w:ascii="Arial" w:eastAsia="Calibri" w:hAnsi="Arial" w:cs="Arial"/>
                <w:b/>
                <w:bCs/>
                <w:sz w:val="18"/>
                <w:szCs w:val="18"/>
                <w:lang w:val="es-CO"/>
              </w:rPr>
            </w:pPr>
            <w:r w:rsidRPr="008F2519">
              <w:rPr>
                <w:rFonts w:ascii="Arial" w:hAnsi="Arial" w:cs="Arial"/>
                <w:b/>
                <w:bCs/>
                <w:sz w:val="16"/>
                <w:szCs w:val="16"/>
              </w:rPr>
              <w:t>34.466.821,00</w:t>
            </w:r>
          </w:p>
        </w:tc>
        <w:tc>
          <w:tcPr>
            <w:tcW w:w="2354" w:type="dxa"/>
            <w:vAlign w:val="bottom"/>
          </w:tcPr>
          <w:p w14:paraId="20DB7323" w14:textId="77777777" w:rsidR="007E2F9F" w:rsidRPr="008F2519" w:rsidRDefault="007E2F9F" w:rsidP="006548F8">
            <w:pPr>
              <w:pStyle w:val="Prrafodelista"/>
              <w:ind w:left="0"/>
              <w:jc w:val="right"/>
              <w:rPr>
                <w:rFonts w:ascii="Arial" w:hAnsi="Arial" w:cs="Arial"/>
                <w:b/>
                <w:bCs/>
                <w:sz w:val="18"/>
                <w:szCs w:val="18"/>
              </w:rPr>
            </w:pPr>
            <w:r w:rsidRPr="008F2519">
              <w:rPr>
                <w:rFonts w:ascii="Arial" w:hAnsi="Arial" w:cs="Arial"/>
                <w:b/>
                <w:bCs/>
                <w:sz w:val="16"/>
                <w:szCs w:val="16"/>
              </w:rPr>
              <w:t>31.437.255,00</w:t>
            </w:r>
          </w:p>
        </w:tc>
        <w:tc>
          <w:tcPr>
            <w:tcW w:w="2238" w:type="dxa"/>
            <w:vAlign w:val="bottom"/>
          </w:tcPr>
          <w:p w14:paraId="1DDCB872" w14:textId="77777777" w:rsidR="007E2F9F" w:rsidRPr="008F2519" w:rsidRDefault="007E2F9F" w:rsidP="006548F8">
            <w:pPr>
              <w:pStyle w:val="Prrafodelista"/>
              <w:ind w:left="0"/>
              <w:jc w:val="right"/>
              <w:rPr>
                <w:rFonts w:ascii="Arial" w:hAnsi="Arial" w:cs="Arial"/>
                <w:b/>
                <w:bCs/>
                <w:sz w:val="18"/>
                <w:szCs w:val="18"/>
              </w:rPr>
            </w:pPr>
            <w:r w:rsidRPr="008F2519">
              <w:rPr>
                <w:rFonts w:ascii="Arial" w:hAnsi="Arial" w:cs="Arial"/>
                <w:b/>
                <w:bCs/>
                <w:sz w:val="16"/>
                <w:szCs w:val="16"/>
              </w:rPr>
              <w:t>3.029.566,00</w:t>
            </w:r>
          </w:p>
        </w:tc>
      </w:tr>
      <w:tr w:rsidR="007E2F9F" w:rsidRPr="008F2519" w14:paraId="607E6C7C" w14:textId="77777777" w:rsidTr="006548F8">
        <w:trPr>
          <w:trHeight w:val="230"/>
        </w:trPr>
        <w:tc>
          <w:tcPr>
            <w:tcW w:w="3544" w:type="dxa"/>
          </w:tcPr>
          <w:p w14:paraId="0EA9FE71" w14:textId="77777777" w:rsidR="007E2F9F" w:rsidRPr="008F2519" w:rsidRDefault="007E2F9F" w:rsidP="006548F8">
            <w:pPr>
              <w:ind w:right="-1440"/>
              <w:jc w:val="both"/>
              <w:rPr>
                <w:rFonts w:ascii="Arial" w:hAnsi="Arial" w:cs="Arial"/>
                <w:b/>
                <w:bCs/>
                <w:sz w:val="18"/>
                <w:szCs w:val="18"/>
                <w:lang w:val="es-ES_tradnl"/>
              </w:rPr>
            </w:pPr>
            <w:r w:rsidRPr="008F2519">
              <w:rPr>
                <w:rFonts w:ascii="Arial" w:hAnsi="Arial" w:cs="Arial"/>
                <w:b/>
                <w:bCs/>
                <w:sz w:val="18"/>
                <w:szCs w:val="18"/>
                <w:lang w:val="es-ES_tradnl"/>
              </w:rPr>
              <w:t>NVERSIÓN</w:t>
            </w:r>
          </w:p>
        </w:tc>
        <w:tc>
          <w:tcPr>
            <w:tcW w:w="2354" w:type="dxa"/>
            <w:vAlign w:val="bottom"/>
          </w:tcPr>
          <w:p w14:paraId="2A92FF88" w14:textId="77777777" w:rsidR="007E2F9F" w:rsidRPr="008F2519" w:rsidRDefault="007E2F9F" w:rsidP="006548F8">
            <w:pPr>
              <w:jc w:val="right"/>
              <w:rPr>
                <w:rFonts w:ascii="Arial" w:eastAsia="Calibri" w:hAnsi="Arial" w:cs="Arial"/>
                <w:b/>
                <w:bCs/>
                <w:sz w:val="18"/>
                <w:szCs w:val="18"/>
                <w:lang w:val="es-CO"/>
              </w:rPr>
            </w:pPr>
            <w:r w:rsidRPr="008F2519">
              <w:rPr>
                <w:rFonts w:ascii="Arial" w:hAnsi="Arial" w:cs="Arial"/>
                <w:color w:val="000000"/>
                <w:sz w:val="16"/>
                <w:szCs w:val="16"/>
              </w:rPr>
              <w:t>17.726.519,00</w:t>
            </w:r>
          </w:p>
        </w:tc>
        <w:tc>
          <w:tcPr>
            <w:tcW w:w="2354" w:type="dxa"/>
            <w:vAlign w:val="bottom"/>
          </w:tcPr>
          <w:p w14:paraId="6461CD03" w14:textId="77777777" w:rsidR="007E2F9F" w:rsidRPr="008F2519" w:rsidRDefault="007E2F9F" w:rsidP="006548F8">
            <w:pPr>
              <w:pStyle w:val="Prrafodelista"/>
              <w:ind w:left="0"/>
              <w:jc w:val="right"/>
              <w:rPr>
                <w:rFonts w:ascii="Arial" w:eastAsia="Calibri" w:hAnsi="Arial" w:cs="Arial"/>
                <w:b/>
                <w:bCs/>
                <w:sz w:val="18"/>
                <w:szCs w:val="18"/>
                <w:lang w:val="es-CO"/>
              </w:rPr>
            </w:pPr>
            <w:r w:rsidRPr="008F2519">
              <w:rPr>
                <w:rFonts w:ascii="Arial" w:hAnsi="Arial" w:cs="Arial"/>
                <w:color w:val="000000"/>
                <w:sz w:val="16"/>
                <w:szCs w:val="16"/>
              </w:rPr>
              <w:t>17.414.745,00</w:t>
            </w:r>
          </w:p>
        </w:tc>
        <w:tc>
          <w:tcPr>
            <w:tcW w:w="2238" w:type="dxa"/>
            <w:vAlign w:val="bottom"/>
          </w:tcPr>
          <w:p w14:paraId="1702C64E" w14:textId="77777777" w:rsidR="007E2F9F" w:rsidRPr="008F2519" w:rsidRDefault="007E2F9F" w:rsidP="006548F8">
            <w:pPr>
              <w:pStyle w:val="Prrafodelista"/>
              <w:ind w:left="0"/>
              <w:jc w:val="right"/>
              <w:rPr>
                <w:rFonts w:ascii="Arial" w:hAnsi="Arial" w:cs="Arial"/>
                <w:b/>
                <w:bCs/>
                <w:sz w:val="18"/>
                <w:szCs w:val="18"/>
              </w:rPr>
            </w:pPr>
            <w:r w:rsidRPr="008F2519">
              <w:rPr>
                <w:rFonts w:ascii="Arial" w:hAnsi="Arial" w:cs="Arial"/>
                <w:color w:val="000000"/>
                <w:sz w:val="16"/>
                <w:szCs w:val="16"/>
              </w:rPr>
              <w:t>311.774,00</w:t>
            </w:r>
          </w:p>
        </w:tc>
      </w:tr>
      <w:tr w:rsidR="007E2F9F" w:rsidRPr="008F2519" w14:paraId="7E3DE726" w14:textId="77777777" w:rsidTr="006548F8">
        <w:tc>
          <w:tcPr>
            <w:tcW w:w="3544" w:type="dxa"/>
          </w:tcPr>
          <w:p w14:paraId="6D14BC31" w14:textId="77777777" w:rsidR="007E2F9F" w:rsidRPr="008F2519" w:rsidRDefault="007E2F9F" w:rsidP="006548F8">
            <w:pPr>
              <w:ind w:right="-1440"/>
              <w:jc w:val="both"/>
              <w:rPr>
                <w:rFonts w:ascii="Arial" w:hAnsi="Arial" w:cs="Arial"/>
                <w:b/>
                <w:bCs/>
                <w:sz w:val="18"/>
                <w:szCs w:val="18"/>
                <w:lang w:val="es-ES_tradnl"/>
              </w:rPr>
            </w:pPr>
            <w:r w:rsidRPr="008F2519">
              <w:rPr>
                <w:rFonts w:ascii="Arial" w:hAnsi="Arial" w:cs="Arial"/>
                <w:b/>
                <w:bCs/>
                <w:sz w:val="18"/>
                <w:szCs w:val="18"/>
                <w:lang w:val="es-ES_tradnl"/>
              </w:rPr>
              <w:t>TOTAL PÉRDIDAS DE APROPIACIÓN</w:t>
            </w:r>
          </w:p>
        </w:tc>
        <w:tc>
          <w:tcPr>
            <w:tcW w:w="2354" w:type="dxa"/>
            <w:vAlign w:val="bottom"/>
          </w:tcPr>
          <w:p w14:paraId="4F849A43" w14:textId="77777777" w:rsidR="007E2F9F" w:rsidRPr="008F2519" w:rsidRDefault="007E2F9F" w:rsidP="006548F8">
            <w:pPr>
              <w:pStyle w:val="Prrafodelista"/>
              <w:ind w:left="0"/>
              <w:jc w:val="right"/>
              <w:rPr>
                <w:rFonts w:ascii="Arial" w:hAnsi="Arial" w:cs="Arial"/>
                <w:b/>
                <w:bCs/>
                <w:sz w:val="18"/>
                <w:szCs w:val="18"/>
                <w:u w:val="single"/>
              </w:rPr>
            </w:pPr>
            <w:r w:rsidRPr="008F2519">
              <w:rPr>
                <w:rFonts w:ascii="Arial" w:hAnsi="Arial" w:cs="Arial"/>
                <w:b/>
                <w:bCs/>
                <w:sz w:val="16"/>
                <w:szCs w:val="16"/>
              </w:rPr>
              <w:t>52.193.340,00</w:t>
            </w:r>
          </w:p>
        </w:tc>
        <w:tc>
          <w:tcPr>
            <w:tcW w:w="2354" w:type="dxa"/>
            <w:vAlign w:val="bottom"/>
          </w:tcPr>
          <w:p w14:paraId="2D1EDCED" w14:textId="77777777" w:rsidR="007E2F9F" w:rsidRPr="008F2519" w:rsidRDefault="007E2F9F" w:rsidP="006548F8">
            <w:pPr>
              <w:pStyle w:val="Prrafodelista"/>
              <w:ind w:left="0"/>
              <w:jc w:val="right"/>
              <w:rPr>
                <w:rFonts w:ascii="Arial" w:hAnsi="Arial" w:cs="Arial"/>
                <w:b/>
                <w:bCs/>
                <w:sz w:val="18"/>
                <w:szCs w:val="18"/>
                <w:u w:val="single"/>
              </w:rPr>
            </w:pPr>
            <w:r w:rsidRPr="008F2519">
              <w:rPr>
                <w:rFonts w:ascii="Arial" w:hAnsi="Arial" w:cs="Arial"/>
                <w:b/>
                <w:bCs/>
                <w:sz w:val="16"/>
                <w:szCs w:val="16"/>
              </w:rPr>
              <w:t>48.852.000,00</w:t>
            </w:r>
          </w:p>
        </w:tc>
        <w:tc>
          <w:tcPr>
            <w:tcW w:w="2238" w:type="dxa"/>
            <w:vAlign w:val="bottom"/>
          </w:tcPr>
          <w:p w14:paraId="140E28BF" w14:textId="77777777" w:rsidR="007E2F9F" w:rsidRPr="008F2519" w:rsidRDefault="007E2F9F" w:rsidP="006548F8">
            <w:pPr>
              <w:pStyle w:val="Prrafodelista"/>
              <w:ind w:left="0"/>
              <w:jc w:val="right"/>
              <w:rPr>
                <w:rFonts w:ascii="Arial" w:hAnsi="Arial" w:cs="Arial"/>
                <w:b/>
                <w:bCs/>
                <w:sz w:val="18"/>
                <w:szCs w:val="18"/>
                <w:u w:val="single"/>
              </w:rPr>
            </w:pPr>
            <w:r w:rsidRPr="008F2519">
              <w:rPr>
                <w:rFonts w:ascii="Arial" w:hAnsi="Arial" w:cs="Arial"/>
                <w:b/>
                <w:bCs/>
                <w:sz w:val="16"/>
                <w:szCs w:val="16"/>
              </w:rPr>
              <w:t>3.341.340,00</w:t>
            </w:r>
          </w:p>
        </w:tc>
      </w:tr>
    </w:tbl>
    <w:p w14:paraId="27D98CC0" w14:textId="77777777" w:rsidR="007E2F9F" w:rsidRDefault="007E2F9F" w:rsidP="007E2F9F">
      <w:pPr>
        <w:ind w:left="-284" w:right="-234"/>
        <w:rPr>
          <w:rFonts w:ascii="Arial" w:eastAsia="Calibri" w:hAnsi="Arial" w:cs="Arial"/>
          <w:b/>
          <w:u w:val="single"/>
          <w:lang w:val="es-MX"/>
        </w:rPr>
      </w:pPr>
    </w:p>
    <w:p w14:paraId="5FF9639C" w14:textId="77777777" w:rsidR="007E2F9F" w:rsidRPr="00A7741B" w:rsidRDefault="007E2F9F" w:rsidP="007E2F9F">
      <w:pPr>
        <w:ind w:left="-284" w:right="-234"/>
        <w:jc w:val="both"/>
        <w:rPr>
          <w:rFonts w:ascii="Arial" w:hAnsi="Arial" w:cs="Arial"/>
          <w:b/>
          <w:sz w:val="28"/>
          <w:szCs w:val="28"/>
          <w:lang w:val="es-MX"/>
        </w:rPr>
      </w:pPr>
      <w:r w:rsidRPr="00A7741B">
        <w:rPr>
          <w:rFonts w:ascii="Arial" w:hAnsi="Arial" w:cs="Arial"/>
          <w:b/>
          <w:sz w:val="28"/>
          <w:szCs w:val="28"/>
          <w:lang w:val="es-MX"/>
        </w:rPr>
        <w:t>313.- INSTITUTO TÉCNICO NACIONAL DE COMERCIO “SIMÓN RODRÍGUEZ” DE CALI – INTENALCO.</w:t>
      </w:r>
    </w:p>
    <w:p w14:paraId="3199B46C"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0AB5CBD"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79119FC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D44B5A" w14:paraId="40A4DB71" w14:textId="77777777" w:rsidTr="006548F8">
        <w:tc>
          <w:tcPr>
            <w:tcW w:w="3544" w:type="dxa"/>
          </w:tcPr>
          <w:p w14:paraId="342B0BA1" w14:textId="77777777" w:rsidR="007E2F9F" w:rsidRPr="00D44B5A" w:rsidRDefault="007E2F9F" w:rsidP="006548F8">
            <w:pPr>
              <w:ind w:left="1169" w:right="-1440"/>
              <w:rPr>
                <w:rFonts w:ascii="Arial" w:hAnsi="Arial" w:cs="Arial"/>
                <w:b/>
                <w:sz w:val="18"/>
                <w:szCs w:val="18"/>
                <w:lang w:val="es-ES_tradnl"/>
              </w:rPr>
            </w:pPr>
            <w:r w:rsidRPr="00D44B5A">
              <w:rPr>
                <w:rFonts w:ascii="Arial" w:hAnsi="Arial" w:cs="Arial"/>
                <w:b/>
                <w:sz w:val="18"/>
                <w:szCs w:val="18"/>
                <w:lang w:val="es-ES_tradnl"/>
              </w:rPr>
              <w:t>TIPO DE GASTO</w:t>
            </w:r>
          </w:p>
        </w:tc>
        <w:tc>
          <w:tcPr>
            <w:tcW w:w="2354" w:type="dxa"/>
          </w:tcPr>
          <w:p w14:paraId="7269E8D7" w14:textId="77777777" w:rsidR="007E2F9F" w:rsidRPr="00D44B5A" w:rsidRDefault="007E2F9F" w:rsidP="006548F8">
            <w:pPr>
              <w:jc w:val="center"/>
              <w:rPr>
                <w:rFonts w:ascii="Arial" w:hAnsi="Arial" w:cs="Arial"/>
                <w:b/>
                <w:sz w:val="18"/>
                <w:szCs w:val="18"/>
                <w:lang w:val="es-ES_tradnl"/>
              </w:rPr>
            </w:pPr>
            <w:r w:rsidRPr="00D44B5A">
              <w:rPr>
                <w:rFonts w:ascii="Arial" w:hAnsi="Arial" w:cs="Arial"/>
                <w:b/>
                <w:sz w:val="18"/>
                <w:szCs w:val="18"/>
                <w:lang w:val="es-ES_tradnl"/>
              </w:rPr>
              <w:t>APROPIACIÓN</w:t>
            </w:r>
          </w:p>
          <w:p w14:paraId="641679A3" w14:textId="77777777" w:rsidR="007E2F9F" w:rsidRPr="00D44B5A" w:rsidRDefault="007E2F9F" w:rsidP="006548F8">
            <w:pPr>
              <w:jc w:val="center"/>
              <w:rPr>
                <w:rFonts w:ascii="Arial" w:hAnsi="Arial" w:cs="Arial"/>
                <w:b/>
                <w:sz w:val="18"/>
                <w:szCs w:val="18"/>
                <w:lang w:val="es-ES_tradnl"/>
              </w:rPr>
            </w:pPr>
            <w:r w:rsidRPr="00D44B5A">
              <w:rPr>
                <w:rFonts w:ascii="Arial" w:hAnsi="Arial" w:cs="Arial"/>
                <w:b/>
                <w:sz w:val="18"/>
                <w:szCs w:val="18"/>
                <w:lang w:val="es-ES_tradnl"/>
              </w:rPr>
              <w:t>DEFINITIVA</w:t>
            </w:r>
          </w:p>
          <w:p w14:paraId="4D455408" w14:textId="77777777" w:rsidR="007E2F9F" w:rsidRPr="00D44B5A" w:rsidRDefault="007E2F9F" w:rsidP="006548F8">
            <w:pPr>
              <w:jc w:val="center"/>
              <w:rPr>
                <w:rFonts w:ascii="Arial" w:hAnsi="Arial" w:cs="Arial"/>
                <w:b/>
                <w:sz w:val="18"/>
                <w:szCs w:val="18"/>
                <w:lang w:val="es-ES_tradnl"/>
              </w:rPr>
            </w:pPr>
            <w:r w:rsidRPr="00D44B5A">
              <w:rPr>
                <w:rFonts w:ascii="Arial" w:hAnsi="Arial" w:cs="Arial"/>
                <w:b/>
                <w:sz w:val="18"/>
                <w:szCs w:val="18"/>
                <w:lang w:val="es-ES_tradnl"/>
              </w:rPr>
              <w:t>(1)</w:t>
            </w:r>
          </w:p>
          <w:p w14:paraId="77B58D5F" w14:textId="77777777" w:rsidR="007E2F9F" w:rsidRPr="00D44B5A" w:rsidRDefault="007E2F9F" w:rsidP="006548F8">
            <w:pPr>
              <w:jc w:val="center"/>
              <w:rPr>
                <w:rFonts w:ascii="Arial" w:hAnsi="Arial" w:cs="Arial"/>
                <w:b/>
                <w:sz w:val="18"/>
                <w:szCs w:val="18"/>
                <w:lang w:val="es-ES_tradnl"/>
              </w:rPr>
            </w:pPr>
          </w:p>
        </w:tc>
        <w:tc>
          <w:tcPr>
            <w:tcW w:w="2354" w:type="dxa"/>
          </w:tcPr>
          <w:p w14:paraId="0AFD66E2" w14:textId="77777777" w:rsidR="007E2F9F" w:rsidRPr="00D44B5A" w:rsidRDefault="007E2F9F" w:rsidP="006548F8">
            <w:pPr>
              <w:ind w:left="145" w:right="184"/>
              <w:jc w:val="center"/>
              <w:rPr>
                <w:rFonts w:ascii="Arial" w:hAnsi="Arial" w:cs="Arial"/>
                <w:b/>
                <w:sz w:val="18"/>
                <w:szCs w:val="18"/>
                <w:lang w:val="es-ES_tradnl"/>
              </w:rPr>
            </w:pPr>
            <w:r w:rsidRPr="00D44B5A">
              <w:rPr>
                <w:rFonts w:ascii="Arial" w:hAnsi="Arial" w:cs="Arial"/>
                <w:b/>
                <w:sz w:val="18"/>
                <w:szCs w:val="18"/>
                <w:lang w:val="es-ES_tradnl"/>
              </w:rPr>
              <w:t>EJECUCIÓN</w:t>
            </w:r>
          </w:p>
          <w:p w14:paraId="366098D6" w14:textId="77777777" w:rsidR="007E2F9F" w:rsidRPr="00D44B5A" w:rsidRDefault="007E2F9F" w:rsidP="006548F8">
            <w:pPr>
              <w:ind w:right="34"/>
              <w:jc w:val="center"/>
              <w:rPr>
                <w:rFonts w:ascii="Arial" w:hAnsi="Arial" w:cs="Arial"/>
                <w:b/>
                <w:sz w:val="18"/>
                <w:szCs w:val="18"/>
                <w:lang w:val="es-ES_tradnl"/>
              </w:rPr>
            </w:pPr>
            <w:r w:rsidRPr="00D44B5A">
              <w:rPr>
                <w:rFonts w:ascii="Arial" w:hAnsi="Arial" w:cs="Arial"/>
                <w:b/>
                <w:sz w:val="18"/>
                <w:szCs w:val="18"/>
                <w:lang w:val="es-ES_tradnl"/>
              </w:rPr>
              <w:t>COMPROMISOS</w:t>
            </w:r>
          </w:p>
          <w:p w14:paraId="32D40E14" w14:textId="77777777" w:rsidR="007E2F9F" w:rsidRPr="00D44B5A" w:rsidRDefault="007E2F9F" w:rsidP="006548F8">
            <w:pPr>
              <w:ind w:right="34"/>
              <w:jc w:val="center"/>
              <w:rPr>
                <w:rFonts w:ascii="Arial" w:hAnsi="Arial" w:cs="Arial"/>
                <w:b/>
                <w:sz w:val="18"/>
                <w:szCs w:val="18"/>
                <w:lang w:val="es-ES_tradnl"/>
              </w:rPr>
            </w:pPr>
            <w:r w:rsidRPr="00D44B5A">
              <w:rPr>
                <w:rFonts w:ascii="Arial" w:hAnsi="Arial" w:cs="Arial"/>
                <w:b/>
                <w:sz w:val="18"/>
                <w:szCs w:val="18"/>
                <w:lang w:val="es-ES_tradnl"/>
              </w:rPr>
              <w:t>(2)</w:t>
            </w:r>
          </w:p>
        </w:tc>
        <w:tc>
          <w:tcPr>
            <w:tcW w:w="2238" w:type="dxa"/>
          </w:tcPr>
          <w:p w14:paraId="0C2CE1EC" w14:textId="77777777" w:rsidR="007E2F9F" w:rsidRPr="00D44B5A" w:rsidRDefault="007E2F9F" w:rsidP="006548F8">
            <w:pPr>
              <w:ind w:left="25" w:right="34"/>
              <w:jc w:val="center"/>
              <w:rPr>
                <w:rFonts w:ascii="Arial" w:hAnsi="Arial" w:cs="Arial"/>
                <w:b/>
                <w:sz w:val="18"/>
                <w:szCs w:val="18"/>
                <w:lang w:val="es-ES_tradnl"/>
              </w:rPr>
            </w:pPr>
            <w:r w:rsidRPr="00D44B5A">
              <w:rPr>
                <w:rFonts w:ascii="Arial" w:hAnsi="Arial" w:cs="Arial"/>
                <w:b/>
                <w:sz w:val="18"/>
                <w:szCs w:val="18"/>
                <w:lang w:val="es-ES_tradnl"/>
              </w:rPr>
              <w:t>PÉRDIDAS DE</w:t>
            </w:r>
          </w:p>
          <w:p w14:paraId="30E3C73E" w14:textId="77777777" w:rsidR="007E2F9F" w:rsidRPr="00D44B5A" w:rsidRDefault="007E2F9F" w:rsidP="006548F8">
            <w:pPr>
              <w:ind w:right="34"/>
              <w:jc w:val="center"/>
              <w:rPr>
                <w:rFonts w:ascii="Arial" w:hAnsi="Arial" w:cs="Arial"/>
                <w:b/>
                <w:sz w:val="18"/>
                <w:szCs w:val="18"/>
                <w:lang w:val="es-ES_tradnl"/>
              </w:rPr>
            </w:pPr>
            <w:r w:rsidRPr="00D44B5A">
              <w:rPr>
                <w:rFonts w:ascii="Arial" w:hAnsi="Arial" w:cs="Arial"/>
                <w:b/>
                <w:sz w:val="18"/>
                <w:szCs w:val="18"/>
                <w:lang w:val="es-ES_tradnl"/>
              </w:rPr>
              <w:t>APROPIACIÓN</w:t>
            </w:r>
          </w:p>
          <w:p w14:paraId="2D5F6B51" w14:textId="77777777" w:rsidR="007E2F9F" w:rsidRPr="00D44B5A" w:rsidRDefault="007E2F9F" w:rsidP="006548F8">
            <w:pPr>
              <w:ind w:right="34"/>
              <w:jc w:val="center"/>
              <w:rPr>
                <w:rFonts w:ascii="Arial" w:hAnsi="Arial" w:cs="Arial"/>
                <w:b/>
                <w:sz w:val="18"/>
                <w:szCs w:val="18"/>
                <w:lang w:val="es-ES_tradnl"/>
              </w:rPr>
            </w:pPr>
            <w:r w:rsidRPr="00D44B5A">
              <w:rPr>
                <w:rFonts w:ascii="Arial" w:hAnsi="Arial" w:cs="Arial"/>
                <w:b/>
                <w:sz w:val="18"/>
                <w:szCs w:val="18"/>
                <w:lang w:val="es-ES_tradnl"/>
              </w:rPr>
              <w:t>3 = (1-2)</w:t>
            </w:r>
          </w:p>
        </w:tc>
      </w:tr>
      <w:tr w:rsidR="007E2F9F" w:rsidRPr="00D44B5A" w14:paraId="2590EFFD" w14:textId="77777777" w:rsidTr="006548F8">
        <w:trPr>
          <w:trHeight w:val="230"/>
        </w:trPr>
        <w:tc>
          <w:tcPr>
            <w:tcW w:w="3544" w:type="dxa"/>
          </w:tcPr>
          <w:p w14:paraId="0F834FCD" w14:textId="77777777" w:rsidR="007E2F9F" w:rsidRPr="00D44B5A" w:rsidRDefault="007E2F9F" w:rsidP="006548F8">
            <w:pPr>
              <w:ind w:right="-1440"/>
              <w:jc w:val="both"/>
              <w:rPr>
                <w:rFonts w:ascii="Arial" w:hAnsi="Arial" w:cs="Arial"/>
                <w:b/>
                <w:bCs/>
                <w:sz w:val="18"/>
                <w:szCs w:val="18"/>
                <w:lang w:val="es-ES_tradnl"/>
              </w:rPr>
            </w:pPr>
            <w:r w:rsidRPr="00D44B5A">
              <w:rPr>
                <w:rFonts w:ascii="Arial" w:hAnsi="Arial" w:cs="Arial"/>
                <w:b/>
                <w:bCs/>
                <w:sz w:val="18"/>
                <w:szCs w:val="18"/>
                <w:lang w:val="es-ES_tradnl"/>
              </w:rPr>
              <w:t>FUNCIONAMIENTO</w:t>
            </w:r>
          </w:p>
        </w:tc>
        <w:tc>
          <w:tcPr>
            <w:tcW w:w="2354" w:type="dxa"/>
            <w:vAlign w:val="bottom"/>
          </w:tcPr>
          <w:p w14:paraId="3B992578" w14:textId="77777777" w:rsidR="007E2F9F" w:rsidRPr="00D44B5A" w:rsidRDefault="007E2F9F" w:rsidP="006548F8">
            <w:pPr>
              <w:jc w:val="right"/>
              <w:rPr>
                <w:rFonts w:ascii="Arial" w:eastAsia="Calibri" w:hAnsi="Arial" w:cs="Arial"/>
                <w:b/>
                <w:bCs/>
                <w:sz w:val="18"/>
                <w:szCs w:val="18"/>
                <w:lang w:val="es-CO"/>
              </w:rPr>
            </w:pPr>
            <w:r w:rsidRPr="00D44B5A">
              <w:rPr>
                <w:rFonts w:ascii="Arial" w:hAnsi="Arial" w:cs="Arial"/>
                <w:sz w:val="16"/>
                <w:szCs w:val="16"/>
              </w:rPr>
              <w:t>15.435.010</w:t>
            </w:r>
          </w:p>
        </w:tc>
        <w:tc>
          <w:tcPr>
            <w:tcW w:w="2354" w:type="dxa"/>
            <w:vAlign w:val="bottom"/>
          </w:tcPr>
          <w:p w14:paraId="7D3F36B2" w14:textId="77777777" w:rsidR="007E2F9F" w:rsidRPr="00D44B5A" w:rsidRDefault="007E2F9F" w:rsidP="006548F8">
            <w:pPr>
              <w:pStyle w:val="Prrafodelista"/>
              <w:ind w:left="0"/>
              <w:jc w:val="right"/>
              <w:rPr>
                <w:rFonts w:ascii="Arial" w:hAnsi="Arial" w:cs="Arial"/>
                <w:b/>
                <w:bCs/>
                <w:sz w:val="18"/>
                <w:szCs w:val="18"/>
              </w:rPr>
            </w:pPr>
            <w:r w:rsidRPr="00D44B5A">
              <w:rPr>
                <w:rFonts w:ascii="Arial" w:hAnsi="Arial" w:cs="Arial"/>
                <w:sz w:val="16"/>
                <w:szCs w:val="16"/>
              </w:rPr>
              <w:t>15.255.433</w:t>
            </w:r>
          </w:p>
        </w:tc>
        <w:tc>
          <w:tcPr>
            <w:tcW w:w="2238" w:type="dxa"/>
            <w:vAlign w:val="bottom"/>
          </w:tcPr>
          <w:p w14:paraId="7D223D27" w14:textId="77777777" w:rsidR="007E2F9F" w:rsidRPr="00D44B5A" w:rsidRDefault="007E2F9F" w:rsidP="006548F8">
            <w:pPr>
              <w:pStyle w:val="Prrafodelista"/>
              <w:ind w:left="0"/>
              <w:jc w:val="right"/>
              <w:rPr>
                <w:rFonts w:ascii="Arial" w:hAnsi="Arial" w:cs="Arial"/>
                <w:b/>
                <w:bCs/>
                <w:sz w:val="18"/>
                <w:szCs w:val="18"/>
              </w:rPr>
            </w:pPr>
            <w:r w:rsidRPr="00D44B5A">
              <w:rPr>
                <w:rFonts w:ascii="Arial" w:hAnsi="Arial" w:cs="Arial"/>
                <w:sz w:val="16"/>
                <w:szCs w:val="16"/>
              </w:rPr>
              <w:t>179.577</w:t>
            </w:r>
          </w:p>
        </w:tc>
      </w:tr>
      <w:tr w:rsidR="007E2F9F" w:rsidRPr="00D44B5A" w14:paraId="19223308" w14:textId="77777777" w:rsidTr="006548F8">
        <w:trPr>
          <w:trHeight w:val="230"/>
        </w:trPr>
        <w:tc>
          <w:tcPr>
            <w:tcW w:w="3544" w:type="dxa"/>
          </w:tcPr>
          <w:p w14:paraId="44538943" w14:textId="77777777" w:rsidR="007E2F9F" w:rsidRPr="00D44B5A" w:rsidRDefault="007E2F9F" w:rsidP="006548F8">
            <w:pPr>
              <w:ind w:right="-1440"/>
              <w:jc w:val="both"/>
              <w:rPr>
                <w:rFonts w:ascii="Arial" w:hAnsi="Arial" w:cs="Arial"/>
                <w:b/>
                <w:bCs/>
                <w:sz w:val="18"/>
                <w:szCs w:val="18"/>
                <w:lang w:val="es-ES_tradnl"/>
              </w:rPr>
            </w:pPr>
            <w:r w:rsidRPr="00D44B5A">
              <w:rPr>
                <w:rFonts w:ascii="Arial" w:hAnsi="Arial" w:cs="Arial"/>
                <w:b/>
                <w:bCs/>
                <w:sz w:val="18"/>
                <w:szCs w:val="18"/>
                <w:lang w:val="es-ES_tradnl"/>
              </w:rPr>
              <w:t>NVERSIÓN</w:t>
            </w:r>
          </w:p>
        </w:tc>
        <w:tc>
          <w:tcPr>
            <w:tcW w:w="2354" w:type="dxa"/>
            <w:vAlign w:val="bottom"/>
          </w:tcPr>
          <w:p w14:paraId="53C5ACB3" w14:textId="77777777" w:rsidR="007E2F9F" w:rsidRPr="00D44B5A" w:rsidRDefault="007E2F9F" w:rsidP="006548F8">
            <w:pPr>
              <w:jc w:val="right"/>
              <w:rPr>
                <w:rFonts w:ascii="Arial" w:eastAsia="Calibri" w:hAnsi="Arial" w:cs="Arial"/>
                <w:b/>
                <w:bCs/>
                <w:sz w:val="18"/>
                <w:szCs w:val="18"/>
                <w:lang w:val="es-CO"/>
              </w:rPr>
            </w:pPr>
            <w:r w:rsidRPr="00D44B5A">
              <w:rPr>
                <w:rFonts w:ascii="Arial" w:hAnsi="Arial" w:cs="Arial"/>
                <w:color w:val="000000"/>
                <w:sz w:val="16"/>
                <w:szCs w:val="16"/>
              </w:rPr>
              <w:t>10.149.343</w:t>
            </w:r>
          </w:p>
        </w:tc>
        <w:tc>
          <w:tcPr>
            <w:tcW w:w="2354" w:type="dxa"/>
            <w:vAlign w:val="bottom"/>
          </w:tcPr>
          <w:p w14:paraId="617F354E" w14:textId="77777777" w:rsidR="007E2F9F" w:rsidRPr="00D44B5A" w:rsidRDefault="007E2F9F" w:rsidP="006548F8">
            <w:pPr>
              <w:pStyle w:val="Prrafodelista"/>
              <w:ind w:left="0"/>
              <w:jc w:val="right"/>
              <w:rPr>
                <w:rFonts w:ascii="Arial" w:eastAsia="Calibri" w:hAnsi="Arial" w:cs="Arial"/>
                <w:b/>
                <w:bCs/>
                <w:sz w:val="18"/>
                <w:szCs w:val="18"/>
                <w:lang w:val="es-CO"/>
              </w:rPr>
            </w:pPr>
            <w:r w:rsidRPr="00D44B5A">
              <w:rPr>
                <w:rFonts w:ascii="Arial" w:hAnsi="Arial" w:cs="Arial"/>
                <w:color w:val="000000"/>
                <w:sz w:val="16"/>
                <w:szCs w:val="16"/>
              </w:rPr>
              <w:t>10.149.343</w:t>
            </w:r>
          </w:p>
        </w:tc>
        <w:tc>
          <w:tcPr>
            <w:tcW w:w="2238" w:type="dxa"/>
            <w:vAlign w:val="bottom"/>
          </w:tcPr>
          <w:p w14:paraId="682CC8DA" w14:textId="77777777" w:rsidR="007E2F9F" w:rsidRPr="00D44B5A" w:rsidRDefault="007E2F9F" w:rsidP="006548F8">
            <w:pPr>
              <w:pStyle w:val="Prrafodelista"/>
              <w:ind w:left="0"/>
              <w:jc w:val="right"/>
              <w:rPr>
                <w:rFonts w:ascii="Arial" w:hAnsi="Arial" w:cs="Arial"/>
                <w:b/>
                <w:bCs/>
                <w:sz w:val="18"/>
                <w:szCs w:val="18"/>
              </w:rPr>
            </w:pPr>
            <w:r w:rsidRPr="00D44B5A">
              <w:rPr>
                <w:rFonts w:ascii="Arial" w:hAnsi="Arial" w:cs="Arial"/>
                <w:color w:val="000000"/>
                <w:sz w:val="16"/>
                <w:szCs w:val="16"/>
              </w:rPr>
              <w:t>0</w:t>
            </w:r>
          </w:p>
        </w:tc>
      </w:tr>
      <w:tr w:rsidR="007E2F9F" w:rsidRPr="00D44B5A" w14:paraId="40252ADA" w14:textId="77777777" w:rsidTr="006548F8">
        <w:tc>
          <w:tcPr>
            <w:tcW w:w="3544" w:type="dxa"/>
          </w:tcPr>
          <w:p w14:paraId="500C7998" w14:textId="77777777" w:rsidR="007E2F9F" w:rsidRPr="00D44B5A" w:rsidRDefault="007E2F9F" w:rsidP="006548F8">
            <w:pPr>
              <w:ind w:right="-1440"/>
              <w:jc w:val="both"/>
              <w:rPr>
                <w:rFonts w:ascii="Arial" w:hAnsi="Arial" w:cs="Arial"/>
                <w:b/>
                <w:bCs/>
                <w:sz w:val="18"/>
                <w:szCs w:val="18"/>
                <w:lang w:val="es-ES_tradnl"/>
              </w:rPr>
            </w:pPr>
            <w:r w:rsidRPr="00D44B5A">
              <w:rPr>
                <w:rFonts w:ascii="Arial" w:hAnsi="Arial" w:cs="Arial"/>
                <w:b/>
                <w:bCs/>
                <w:sz w:val="18"/>
                <w:szCs w:val="18"/>
                <w:lang w:val="es-ES_tradnl"/>
              </w:rPr>
              <w:t>TOTAL PÉRDIDAS DE APROPIACIÓN</w:t>
            </w:r>
          </w:p>
        </w:tc>
        <w:tc>
          <w:tcPr>
            <w:tcW w:w="2354" w:type="dxa"/>
            <w:vAlign w:val="bottom"/>
          </w:tcPr>
          <w:p w14:paraId="09A1A532" w14:textId="77777777" w:rsidR="007E2F9F" w:rsidRPr="00D44B5A" w:rsidRDefault="007E2F9F" w:rsidP="006548F8">
            <w:pPr>
              <w:pStyle w:val="Prrafodelista"/>
              <w:ind w:left="0"/>
              <w:jc w:val="right"/>
              <w:rPr>
                <w:rFonts w:ascii="Arial" w:hAnsi="Arial" w:cs="Arial"/>
                <w:b/>
                <w:bCs/>
                <w:sz w:val="18"/>
                <w:szCs w:val="18"/>
                <w:u w:val="single"/>
              </w:rPr>
            </w:pPr>
          </w:p>
        </w:tc>
        <w:tc>
          <w:tcPr>
            <w:tcW w:w="2354" w:type="dxa"/>
            <w:vAlign w:val="bottom"/>
          </w:tcPr>
          <w:p w14:paraId="194B3500" w14:textId="77777777" w:rsidR="007E2F9F" w:rsidRPr="00D44B5A" w:rsidRDefault="007E2F9F" w:rsidP="006548F8">
            <w:pPr>
              <w:pStyle w:val="Prrafodelista"/>
              <w:ind w:left="0"/>
              <w:jc w:val="right"/>
              <w:rPr>
                <w:rFonts w:ascii="Arial" w:hAnsi="Arial" w:cs="Arial"/>
                <w:b/>
                <w:bCs/>
                <w:sz w:val="18"/>
                <w:szCs w:val="18"/>
                <w:u w:val="single"/>
              </w:rPr>
            </w:pPr>
          </w:p>
        </w:tc>
        <w:tc>
          <w:tcPr>
            <w:tcW w:w="2238" w:type="dxa"/>
            <w:vAlign w:val="bottom"/>
          </w:tcPr>
          <w:p w14:paraId="753CFF90" w14:textId="77777777" w:rsidR="007E2F9F" w:rsidRPr="00D44B5A" w:rsidRDefault="007E2F9F" w:rsidP="006548F8">
            <w:pPr>
              <w:pStyle w:val="Prrafodelista"/>
              <w:ind w:left="0"/>
              <w:jc w:val="right"/>
              <w:rPr>
                <w:rFonts w:ascii="Arial" w:hAnsi="Arial" w:cs="Arial"/>
                <w:b/>
                <w:bCs/>
                <w:sz w:val="18"/>
                <w:szCs w:val="18"/>
                <w:u w:val="single"/>
              </w:rPr>
            </w:pPr>
            <w:r w:rsidRPr="00D44B5A">
              <w:rPr>
                <w:rFonts w:ascii="Arial" w:hAnsi="Arial" w:cs="Arial"/>
                <w:sz w:val="16"/>
                <w:szCs w:val="16"/>
              </w:rPr>
              <w:t>179.577</w:t>
            </w:r>
          </w:p>
        </w:tc>
      </w:tr>
    </w:tbl>
    <w:p w14:paraId="6CE9CAA1" w14:textId="77777777" w:rsidR="007E2F9F" w:rsidRDefault="007E2F9F" w:rsidP="007E2F9F">
      <w:pPr>
        <w:ind w:left="-284" w:right="-234"/>
        <w:rPr>
          <w:rFonts w:ascii="Arial" w:eastAsia="Calibri" w:hAnsi="Arial" w:cs="Arial"/>
          <w:b/>
          <w:u w:val="single"/>
          <w:lang w:val="es-MX"/>
        </w:rPr>
      </w:pPr>
    </w:p>
    <w:p w14:paraId="600F6FBB" w14:textId="77777777" w:rsidR="007E2F9F" w:rsidRPr="00D44B5A" w:rsidRDefault="007E2F9F" w:rsidP="007E2F9F">
      <w:pPr>
        <w:tabs>
          <w:tab w:val="left" w:pos="875"/>
        </w:tabs>
        <w:ind w:left="-284" w:right="-234"/>
        <w:jc w:val="both"/>
        <w:rPr>
          <w:rFonts w:ascii="Arial" w:hAnsi="Arial" w:cs="Arial"/>
          <w:bCs/>
          <w:sz w:val="24"/>
        </w:rPr>
      </w:pPr>
      <w:r w:rsidRPr="00D44B5A">
        <w:rPr>
          <w:rFonts w:ascii="Arial" w:hAnsi="Arial" w:cs="Arial"/>
          <w:b/>
          <w:sz w:val="24"/>
        </w:rPr>
        <w:t>NOTA:</w:t>
      </w:r>
      <w:r w:rsidRPr="00D44B5A">
        <w:rPr>
          <w:rFonts w:ascii="Arial" w:hAnsi="Arial" w:cs="Arial"/>
          <w:bCs/>
          <w:sz w:val="24"/>
        </w:rPr>
        <w:t xml:space="preserve"> Esta auditoría encuentra que la sumatoria de las columnas 1 y 2, del total pérdidas de apropiación no fueron incluidas por la entidad.</w:t>
      </w:r>
    </w:p>
    <w:p w14:paraId="4B3E52D7" w14:textId="77777777" w:rsidR="007E2F9F" w:rsidRDefault="007E2F9F" w:rsidP="007E2F9F">
      <w:pPr>
        <w:ind w:left="-284" w:right="-234"/>
        <w:rPr>
          <w:rFonts w:ascii="Arial" w:eastAsia="Calibri" w:hAnsi="Arial" w:cs="Arial"/>
          <w:b/>
          <w:u w:val="single"/>
        </w:rPr>
      </w:pPr>
    </w:p>
    <w:p w14:paraId="30FCF040" w14:textId="77777777" w:rsidR="007E2F9F" w:rsidRPr="00E875C9" w:rsidRDefault="007E2F9F" w:rsidP="007E2F9F">
      <w:pPr>
        <w:ind w:left="-284"/>
        <w:jc w:val="both"/>
        <w:rPr>
          <w:rFonts w:ascii="Arial" w:hAnsi="Arial" w:cs="Arial"/>
          <w:b/>
          <w:sz w:val="28"/>
          <w:szCs w:val="28"/>
          <w:lang w:val="es-MX"/>
        </w:rPr>
      </w:pPr>
      <w:r w:rsidRPr="00E875C9">
        <w:rPr>
          <w:rFonts w:ascii="Arial" w:hAnsi="Arial" w:cs="Arial"/>
          <w:b/>
          <w:sz w:val="28"/>
          <w:szCs w:val="28"/>
          <w:lang w:val="es-MX"/>
        </w:rPr>
        <w:t xml:space="preserve">314.- </w:t>
      </w:r>
      <w:r w:rsidRPr="00E875C9">
        <w:rPr>
          <w:rFonts w:ascii="Arial" w:hAnsi="Arial" w:cs="Arial"/>
          <w:b/>
          <w:sz w:val="28"/>
          <w:szCs w:val="28"/>
          <w:lang w:val="es-CO"/>
        </w:rPr>
        <w:t>UNIDAD ADMINISTRATIVA ESPECIAL DE GESTIÓN DE RESTITUCIÓN DE TIERRAS DESPOJADAS.</w:t>
      </w:r>
    </w:p>
    <w:p w14:paraId="7299A189" w14:textId="77777777" w:rsidR="007E2F9F" w:rsidRDefault="007E2F9F" w:rsidP="007E2F9F">
      <w:pPr>
        <w:ind w:left="-284" w:right="-234"/>
        <w:rPr>
          <w:rFonts w:ascii="Arial" w:eastAsia="Calibri" w:hAnsi="Arial" w:cs="Arial"/>
          <w:b/>
          <w:u w:val="single"/>
          <w:lang w:val="es-MX"/>
        </w:rPr>
      </w:pPr>
    </w:p>
    <w:p w14:paraId="0AD70041"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5317E46"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06C63A45"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875C9" w14:paraId="5BB48132" w14:textId="77777777" w:rsidTr="006548F8">
        <w:tc>
          <w:tcPr>
            <w:tcW w:w="3544" w:type="dxa"/>
          </w:tcPr>
          <w:p w14:paraId="7DB61FD6" w14:textId="77777777" w:rsidR="007E2F9F" w:rsidRPr="00E875C9" w:rsidRDefault="007E2F9F" w:rsidP="006548F8">
            <w:pPr>
              <w:ind w:left="1169" w:right="-1440"/>
              <w:rPr>
                <w:rFonts w:ascii="Arial" w:hAnsi="Arial" w:cs="Arial"/>
                <w:b/>
                <w:sz w:val="18"/>
                <w:szCs w:val="18"/>
                <w:lang w:val="es-ES_tradnl"/>
              </w:rPr>
            </w:pPr>
            <w:r w:rsidRPr="00E875C9">
              <w:rPr>
                <w:rFonts w:ascii="Arial" w:hAnsi="Arial" w:cs="Arial"/>
                <w:b/>
                <w:sz w:val="18"/>
                <w:szCs w:val="18"/>
                <w:lang w:val="es-ES_tradnl"/>
              </w:rPr>
              <w:t>TIPO DE GASTO</w:t>
            </w:r>
          </w:p>
        </w:tc>
        <w:tc>
          <w:tcPr>
            <w:tcW w:w="2354" w:type="dxa"/>
          </w:tcPr>
          <w:p w14:paraId="4EF04C7A"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APROPIACIÓN</w:t>
            </w:r>
          </w:p>
          <w:p w14:paraId="73B2C859"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DEFINITIVA</w:t>
            </w:r>
          </w:p>
          <w:p w14:paraId="2CBCEAFB"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(1)</w:t>
            </w:r>
          </w:p>
          <w:p w14:paraId="668F6158" w14:textId="77777777" w:rsidR="007E2F9F" w:rsidRPr="00E875C9" w:rsidRDefault="007E2F9F" w:rsidP="006548F8">
            <w:pPr>
              <w:jc w:val="center"/>
              <w:rPr>
                <w:rFonts w:ascii="Arial" w:hAnsi="Arial" w:cs="Arial"/>
                <w:b/>
                <w:sz w:val="18"/>
                <w:szCs w:val="18"/>
                <w:lang w:val="es-ES_tradnl"/>
              </w:rPr>
            </w:pPr>
          </w:p>
        </w:tc>
        <w:tc>
          <w:tcPr>
            <w:tcW w:w="2354" w:type="dxa"/>
          </w:tcPr>
          <w:p w14:paraId="259655B8" w14:textId="77777777" w:rsidR="007E2F9F" w:rsidRPr="00E875C9" w:rsidRDefault="007E2F9F" w:rsidP="006548F8">
            <w:pPr>
              <w:ind w:left="145" w:right="184"/>
              <w:jc w:val="center"/>
              <w:rPr>
                <w:rFonts w:ascii="Arial" w:hAnsi="Arial" w:cs="Arial"/>
                <w:b/>
                <w:sz w:val="18"/>
                <w:szCs w:val="18"/>
                <w:lang w:val="es-ES_tradnl"/>
              </w:rPr>
            </w:pPr>
            <w:r w:rsidRPr="00E875C9">
              <w:rPr>
                <w:rFonts w:ascii="Arial" w:hAnsi="Arial" w:cs="Arial"/>
                <w:b/>
                <w:sz w:val="18"/>
                <w:szCs w:val="18"/>
                <w:lang w:val="es-ES_tradnl"/>
              </w:rPr>
              <w:t>EJECUCIÓN</w:t>
            </w:r>
          </w:p>
          <w:p w14:paraId="13634B23"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COMPROMISOS</w:t>
            </w:r>
          </w:p>
          <w:p w14:paraId="634648A4"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(2)</w:t>
            </w:r>
          </w:p>
        </w:tc>
        <w:tc>
          <w:tcPr>
            <w:tcW w:w="2238" w:type="dxa"/>
          </w:tcPr>
          <w:p w14:paraId="1A5DADFF" w14:textId="77777777" w:rsidR="007E2F9F" w:rsidRPr="00E875C9" w:rsidRDefault="007E2F9F" w:rsidP="006548F8">
            <w:pPr>
              <w:ind w:left="25" w:right="34"/>
              <w:jc w:val="center"/>
              <w:rPr>
                <w:rFonts w:ascii="Arial" w:hAnsi="Arial" w:cs="Arial"/>
                <w:b/>
                <w:sz w:val="18"/>
                <w:szCs w:val="18"/>
                <w:lang w:val="es-ES_tradnl"/>
              </w:rPr>
            </w:pPr>
            <w:r w:rsidRPr="00E875C9">
              <w:rPr>
                <w:rFonts w:ascii="Arial" w:hAnsi="Arial" w:cs="Arial"/>
                <w:b/>
                <w:sz w:val="18"/>
                <w:szCs w:val="18"/>
                <w:lang w:val="es-ES_tradnl"/>
              </w:rPr>
              <w:t>PÉRDIDAS DE</w:t>
            </w:r>
          </w:p>
          <w:p w14:paraId="16E8D120"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APROPIACIÓN</w:t>
            </w:r>
          </w:p>
          <w:p w14:paraId="7CAB8905"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3 = (1-2)</w:t>
            </w:r>
          </w:p>
        </w:tc>
      </w:tr>
      <w:tr w:rsidR="007E2F9F" w:rsidRPr="00E875C9" w14:paraId="17345247" w14:textId="77777777" w:rsidTr="006548F8">
        <w:trPr>
          <w:trHeight w:val="230"/>
        </w:trPr>
        <w:tc>
          <w:tcPr>
            <w:tcW w:w="3544" w:type="dxa"/>
          </w:tcPr>
          <w:p w14:paraId="36CD4916"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FUNCIONAMIENTO</w:t>
            </w:r>
          </w:p>
        </w:tc>
        <w:tc>
          <w:tcPr>
            <w:tcW w:w="2354" w:type="dxa"/>
            <w:vAlign w:val="bottom"/>
          </w:tcPr>
          <w:p w14:paraId="7C79965F" w14:textId="77777777" w:rsidR="007E2F9F" w:rsidRPr="00E875C9" w:rsidRDefault="007E2F9F" w:rsidP="006548F8">
            <w:pPr>
              <w:jc w:val="right"/>
              <w:rPr>
                <w:rFonts w:ascii="Arial" w:eastAsia="Calibri" w:hAnsi="Arial" w:cs="Arial"/>
                <w:b/>
                <w:bCs/>
                <w:sz w:val="18"/>
                <w:szCs w:val="18"/>
                <w:lang w:val="es-CO"/>
              </w:rPr>
            </w:pPr>
            <w:r w:rsidRPr="00E875C9">
              <w:rPr>
                <w:rFonts w:ascii="Arial" w:hAnsi="Arial" w:cs="Arial"/>
                <w:b/>
                <w:bCs/>
              </w:rPr>
              <w:t>77.177.005</w:t>
            </w:r>
          </w:p>
        </w:tc>
        <w:tc>
          <w:tcPr>
            <w:tcW w:w="2354" w:type="dxa"/>
            <w:vAlign w:val="bottom"/>
          </w:tcPr>
          <w:p w14:paraId="5F8AC25B" w14:textId="77777777" w:rsidR="007E2F9F" w:rsidRPr="00E875C9" w:rsidRDefault="007E2F9F" w:rsidP="006548F8">
            <w:pPr>
              <w:pStyle w:val="Prrafodelista"/>
              <w:ind w:left="0"/>
              <w:jc w:val="right"/>
              <w:rPr>
                <w:rFonts w:ascii="Arial" w:hAnsi="Arial" w:cs="Arial"/>
                <w:b/>
                <w:bCs/>
                <w:sz w:val="18"/>
                <w:szCs w:val="18"/>
              </w:rPr>
            </w:pPr>
            <w:r w:rsidRPr="00E875C9">
              <w:rPr>
                <w:rFonts w:ascii="Arial" w:hAnsi="Arial" w:cs="Arial"/>
                <w:b/>
                <w:bCs/>
              </w:rPr>
              <w:t>74.616.664</w:t>
            </w:r>
          </w:p>
        </w:tc>
        <w:tc>
          <w:tcPr>
            <w:tcW w:w="2238" w:type="dxa"/>
            <w:vAlign w:val="bottom"/>
          </w:tcPr>
          <w:p w14:paraId="694F0309" w14:textId="77777777" w:rsidR="007E2F9F" w:rsidRPr="00E875C9" w:rsidRDefault="007E2F9F" w:rsidP="006548F8">
            <w:pPr>
              <w:pStyle w:val="Prrafodelista"/>
              <w:ind w:left="0"/>
              <w:jc w:val="right"/>
              <w:rPr>
                <w:rFonts w:ascii="Arial" w:hAnsi="Arial" w:cs="Arial"/>
                <w:b/>
                <w:bCs/>
                <w:sz w:val="18"/>
                <w:szCs w:val="18"/>
              </w:rPr>
            </w:pPr>
            <w:r w:rsidRPr="00E875C9">
              <w:rPr>
                <w:rFonts w:ascii="Arial" w:hAnsi="Arial" w:cs="Arial"/>
                <w:b/>
                <w:bCs/>
              </w:rPr>
              <w:t>2.560.341</w:t>
            </w:r>
          </w:p>
        </w:tc>
      </w:tr>
      <w:tr w:rsidR="007E2F9F" w:rsidRPr="00E875C9" w14:paraId="0DC67DAD" w14:textId="77777777" w:rsidTr="006548F8">
        <w:trPr>
          <w:trHeight w:val="230"/>
        </w:trPr>
        <w:tc>
          <w:tcPr>
            <w:tcW w:w="3544" w:type="dxa"/>
          </w:tcPr>
          <w:p w14:paraId="4D4537BF"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NVERSIÓN</w:t>
            </w:r>
          </w:p>
        </w:tc>
        <w:tc>
          <w:tcPr>
            <w:tcW w:w="2354" w:type="dxa"/>
            <w:vAlign w:val="bottom"/>
          </w:tcPr>
          <w:p w14:paraId="73787EF0" w14:textId="77777777" w:rsidR="007E2F9F" w:rsidRPr="00E875C9" w:rsidRDefault="007E2F9F" w:rsidP="006548F8">
            <w:pPr>
              <w:jc w:val="right"/>
              <w:rPr>
                <w:rFonts w:ascii="Arial" w:eastAsia="Calibri" w:hAnsi="Arial" w:cs="Arial"/>
                <w:b/>
                <w:bCs/>
                <w:sz w:val="18"/>
                <w:szCs w:val="18"/>
                <w:lang w:val="es-CO"/>
              </w:rPr>
            </w:pPr>
            <w:r w:rsidRPr="00E875C9">
              <w:rPr>
                <w:rFonts w:ascii="Arial" w:hAnsi="Arial" w:cs="Arial"/>
              </w:rPr>
              <w:t>364.170.313</w:t>
            </w:r>
          </w:p>
        </w:tc>
        <w:tc>
          <w:tcPr>
            <w:tcW w:w="2354" w:type="dxa"/>
            <w:vAlign w:val="bottom"/>
          </w:tcPr>
          <w:p w14:paraId="70AAB43F" w14:textId="77777777" w:rsidR="007E2F9F" w:rsidRPr="00E875C9" w:rsidRDefault="007E2F9F" w:rsidP="006548F8">
            <w:pPr>
              <w:pStyle w:val="Prrafodelista"/>
              <w:ind w:left="0"/>
              <w:jc w:val="right"/>
              <w:rPr>
                <w:rFonts w:ascii="Arial" w:eastAsia="Calibri" w:hAnsi="Arial" w:cs="Arial"/>
                <w:b/>
                <w:bCs/>
                <w:sz w:val="18"/>
                <w:szCs w:val="18"/>
                <w:lang w:val="es-CO"/>
              </w:rPr>
            </w:pPr>
            <w:r w:rsidRPr="00E875C9">
              <w:rPr>
                <w:rFonts w:ascii="Arial" w:hAnsi="Arial" w:cs="Arial"/>
              </w:rPr>
              <w:t>347.360.650</w:t>
            </w:r>
          </w:p>
        </w:tc>
        <w:tc>
          <w:tcPr>
            <w:tcW w:w="2238" w:type="dxa"/>
            <w:vAlign w:val="bottom"/>
          </w:tcPr>
          <w:p w14:paraId="5FD1C6DA" w14:textId="77777777" w:rsidR="007E2F9F" w:rsidRPr="00E875C9" w:rsidRDefault="007E2F9F" w:rsidP="006548F8">
            <w:pPr>
              <w:pStyle w:val="Prrafodelista"/>
              <w:ind w:left="0"/>
              <w:jc w:val="right"/>
              <w:rPr>
                <w:rFonts w:ascii="Arial" w:hAnsi="Arial" w:cs="Arial"/>
                <w:b/>
                <w:bCs/>
                <w:sz w:val="18"/>
                <w:szCs w:val="18"/>
              </w:rPr>
            </w:pPr>
            <w:r w:rsidRPr="00E875C9">
              <w:rPr>
                <w:rFonts w:ascii="Arial" w:hAnsi="Arial" w:cs="Arial"/>
                <w:b/>
                <w:bCs/>
              </w:rPr>
              <w:t>16.809.663</w:t>
            </w:r>
          </w:p>
        </w:tc>
      </w:tr>
      <w:tr w:rsidR="007E2F9F" w:rsidRPr="00E875C9" w14:paraId="7C662D0C" w14:textId="77777777" w:rsidTr="006548F8">
        <w:tc>
          <w:tcPr>
            <w:tcW w:w="3544" w:type="dxa"/>
          </w:tcPr>
          <w:p w14:paraId="12D01F95"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TOTAL PÉRDIDAS DE APROPIACIÓN</w:t>
            </w:r>
          </w:p>
        </w:tc>
        <w:tc>
          <w:tcPr>
            <w:tcW w:w="2354" w:type="dxa"/>
            <w:vAlign w:val="bottom"/>
          </w:tcPr>
          <w:p w14:paraId="5558406A" w14:textId="77777777" w:rsidR="007E2F9F" w:rsidRPr="00E875C9" w:rsidRDefault="007E2F9F" w:rsidP="006548F8">
            <w:pPr>
              <w:pStyle w:val="Prrafodelista"/>
              <w:ind w:left="0"/>
              <w:jc w:val="right"/>
              <w:rPr>
                <w:rFonts w:ascii="Arial" w:hAnsi="Arial" w:cs="Arial"/>
                <w:b/>
                <w:bCs/>
                <w:sz w:val="18"/>
                <w:szCs w:val="18"/>
                <w:u w:val="single"/>
              </w:rPr>
            </w:pPr>
            <w:r w:rsidRPr="00E875C9">
              <w:rPr>
                <w:rFonts w:ascii="Arial" w:hAnsi="Arial" w:cs="Arial"/>
                <w:b/>
                <w:bCs/>
              </w:rPr>
              <w:t>441.347.318</w:t>
            </w:r>
          </w:p>
        </w:tc>
        <w:tc>
          <w:tcPr>
            <w:tcW w:w="2354" w:type="dxa"/>
            <w:vAlign w:val="bottom"/>
          </w:tcPr>
          <w:p w14:paraId="35ABFF92" w14:textId="77777777" w:rsidR="007E2F9F" w:rsidRPr="00E875C9" w:rsidRDefault="007E2F9F" w:rsidP="006548F8">
            <w:pPr>
              <w:pStyle w:val="Prrafodelista"/>
              <w:ind w:left="0"/>
              <w:jc w:val="right"/>
              <w:rPr>
                <w:rFonts w:ascii="Arial" w:hAnsi="Arial" w:cs="Arial"/>
                <w:b/>
                <w:bCs/>
                <w:sz w:val="18"/>
                <w:szCs w:val="18"/>
                <w:u w:val="single"/>
              </w:rPr>
            </w:pPr>
            <w:r w:rsidRPr="00E875C9">
              <w:rPr>
                <w:rFonts w:ascii="Arial" w:hAnsi="Arial" w:cs="Arial"/>
                <w:b/>
                <w:bCs/>
              </w:rPr>
              <w:t>421.977.314</w:t>
            </w:r>
          </w:p>
        </w:tc>
        <w:tc>
          <w:tcPr>
            <w:tcW w:w="2238" w:type="dxa"/>
            <w:vAlign w:val="bottom"/>
          </w:tcPr>
          <w:p w14:paraId="22784E72" w14:textId="77777777" w:rsidR="007E2F9F" w:rsidRPr="00E875C9" w:rsidRDefault="007E2F9F" w:rsidP="006548F8">
            <w:pPr>
              <w:pStyle w:val="Prrafodelista"/>
              <w:ind w:left="0"/>
              <w:jc w:val="right"/>
              <w:rPr>
                <w:rFonts w:ascii="Arial" w:hAnsi="Arial" w:cs="Arial"/>
                <w:b/>
                <w:bCs/>
                <w:sz w:val="18"/>
                <w:szCs w:val="18"/>
                <w:u w:val="single"/>
              </w:rPr>
            </w:pPr>
            <w:r w:rsidRPr="00E875C9">
              <w:rPr>
                <w:rFonts w:ascii="Arial" w:hAnsi="Arial" w:cs="Arial"/>
                <w:b/>
                <w:bCs/>
              </w:rPr>
              <w:t>19.370.004</w:t>
            </w:r>
          </w:p>
        </w:tc>
      </w:tr>
    </w:tbl>
    <w:p w14:paraId="76DB2A0E" w14:textId="77777777" w:rsidR="007E2F9F" w:rsidRDefault="007E2F9F" w:rsidP="007E2F9F">
      <w:pPr>
        <w:ind w:left="-284" w:right="-234"/>
        <w:rPr>
          <w:rFonts w:ascii="Arial" w:eastAsia="Calibri" w:hAnsi="Arial" w:cs="Arial"/>
          <w:b/>
          <w:u w:val="single"/>
          <w:lang w:val="es-MX"/>
        </w:rPr>
      </w:pPr>
    </w:p>
    <w:p w14:paraId="50E94F4D" w14:textId="77777777" w:rsidR="007E2F9F" w:rsidRPr="00A56F89" w:rsidRDefault="007E2F9F" w:rsidP="007E2F9F">
      <w:pPr>
        <w:ind w:left="-284"/>
        <w:jc w:val="both"/>
        <w:rPr>
          <w:rFonts w:ascii="Arial" w:hAnsi="Arial" w:cs="Arial"/>
          <w:b/>
          <w:sz w:val="28"/>
          <w:szCs w:val="28"/>
          <w:lang w:val="es-MX"/>
        </w:rPr>
      </w:pPr>
      <w:r w:rsidRPr="00A56F89">
        <w:rPr>
          <w:rFonts w:ascii="Arial" w:hAnsi="Arial" w:cs="Arial"/>
          <w:b/>
          <w:sz w:val="28"/>
          <w:szCs w:val="28"/>
          <w:lang w:val="es-MX"/>
        </w:rPr>
        <w:t xml:space="preserve">316.- SUPERINTENDENCIA FINANCIERA DE COLOMBIA. </w:t>
      </w:r>
    </w:p>
    <w:p w14:paraId="21940C53" w14:textId="77777777" w:rsidR="007E2F9F" w:rsidRDefault="007E2F9F" w:rsidP="007E2F9F">
      <w:pPr>
        <w:jc w:val="both"/>
        <w:rPr>
          <w:rFonts w:ascii="Arial" w:hAnsi="Arial" w:cs="Arial"/>
          <w:b/>
          <w:sz w:val="28"/>
          <w:szCs w:val="28"/>
          <w:lang w:val="es-MX"/>
        </w:rPr>
      </w:pPr>
    </w:p>
    <w:p w14:paraId="47A98D57"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EA01D7E"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F98514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875C9" w14:paraId="11ECCB7B" w14:textId="77777777" w:rsidTr="006548F8">
        <w:tc>
          <w:tcPr>
            <w:tcW w:w="3544" w:type="dxa"/>
          </w:tcPr>
          <w:p w14:paraId="4172D6DA" w14:textId="77777777" w:rsidR="007E2F9F" w:rsidRPr="00E875C9" w:rsidRDefault="007E2F9F" w:rsidP="006548F8">
            <w:pPr>
              <w:ind w:left="1169" w:right="-1440"/>
              <w:rPr>
                <w:rFonts w:ascii="Arial" w:hAnsi="Arial" w:cs="Arial"/>
                <w:b/>
                <w:sz w:val="18"/>
                <w:szCs w:val="18"/>
                <w:lang w:val="es-ES_tradnl"/>
              </w:rPr>
            </w:pPr>
            <w:r w:rsidRPr="00E875C9">
              <w:rPr>
                <w:rFonts w:ascii="Arial" w:hAnsi="Arial" w:cs="Arial"/>
                <w:b/>
                <w:sz w:val="18"/>
                <w:szCs w:val="18"/>
                <w:lang w:val="es-ES_tradnl"/>
              </w:rPr>
              <w:t>TIPO DE GASTO</w:t>
            </w:r>
          </w:p>
        </w:tc>
        <w:tc>
          <w:tcPr>
            <w:tcW w:w="2354" w:type="dxa"/>
          </w:tcPr>
          <w:p w14:paraId="6DA93CBD"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APROPIACIÓN</w:t>
            </w:r>
          </w:p>
          <w:p w14:paraId="108C0CCF"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DEFINITIVA</w:t>
            </w:r>
          </w:p>
          <w:p w14:paraId="67D41546"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(1)</w:t>
            </w:r>
          </w:p>
          <w:p w14:paraId="4E41017C" w14:textId="77777777" w:rsidR="007E2F9F" w:rsidRPr="00E875C9" w:rsidRDefault="007E2F9F" w:rsidP="006548F8">
            <w:pPr>
              <w:jc w:val="center"/>
              <w:rPr>
                <w:rFonts w:ascii="Arial" w:hAnsi="Arial" w:cs="Arial"/>
                <w:b/>
                <w:sz w:val="18"/>
                <w:szCs w:val="18"/>
                <w:lang w:val="es-ES_tradnl"/>
              </w:rPr>
            </w:pPr>
          </w:p>
        </w:tc>
        <w:tc>
          <w:tcPr>
            <w:tcW w:w="2354" w:type="dxa"/>
          </w:tcPr>
          <w:p w14:paraId="2EE2D0D5" w14:textId="77777777" w:rsidR="007E2F9F" w:rsidRPr="00E875C9" w:rsidRDefault="007E2F9F" w:rsidP="006548F8">
            <w:pPr>
              <w:ind w:left="145" w:right="184"/>
              <w:jc w:val="center"/>
              <w:rPr>
                <w:rFonts w:ascii="Arial" w:hAnsi="Arial" w:cs="Arial"/>
                <w:b/>
                <w:sz w:val="18"/>
                <w:szCs w:val="18"/>
                <w:lang w:val="es-ES_tradnl"/>
              </w:rPr>
            </w:pPr>
            <w:r w:rsidRPr="00E875C9">
              <w:rPr>
                <w:rFonts w:ascii="Arial" w:hAnsi="Arial" w:cs="Arial"/>
                <w:b/>
                <w:sz w:val="18"/>
                <w:szCs w:val="18"/>
                <w:lang w:val="es-ES_tradnl"/>
              </w:rPr>
              <w:t>EJECUCIÓN</w:t>
            </w:r>
          </w:p>
          <w:p w14:paraId="4E724C9A"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COMPROMISOS</w:t>
            </w:r>
          </w:p>
          <w:p w14:paraId="11F185E4"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(2)</w:t>
            </w:r>
          </w:p>
        </w:tc>
        <w:tc>
          <w:tcPr>
            <w:tcW w:w="2238" w:type="dxa"/>
          </w:tcPr>
          <w:p w14:paraId="79AA3C6A" w14:textId="77777777" w:rsidR="007E2F9F" w:rsidRPr="00E875C9" w:rsidRDefault="007E2F9F" w:rsidP="006548F8">
            <w:pPr>
              <w:ind w:left="25" w:right="34"/>
              <w:jc w:val="center"/>
              <w:rPr>
                <w:rFonts w:ascii="Arial" w:hAnsi="Arial" w:cs="Arial"/>
                <w:b/>
                <w:sz w:val="18"/>
                <w:szCs w:val="18"/>
                <w:lang w:val="es-ES_tradnl"/>
              </w:rPr>
            </w:pPr>
            <w:r w:rsidRPr="00E875C9">
              <w:rPr>
                <w:rFonts w:ascii="Arial" w:hAnsi="Arial" w:cs="Arial"/>
                <w:b/>
                <w:sz w:val="18"/>
                <w:szCs w:val="18"/>
                <w:lang w:val="es-ES_tradnl"/>
              </w:rPr>
              <w:t>PÉRDIDAS DE</w:t>
            </w:r>
          </w:p>
          <w:p w14:paraId="12DC9E61"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APROPIACIÓN</w:t>
            </w:r>
          </w:p>
          <w:p w14:paraId="34B4AA0F"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3 = (1-2)</w:t>
            </w:r>
          </w:p>
        </w:tc>
      </w:tr>
      <w:tr w:rsidR="007E2F9F" w:rsidRPr="00E875C9" w14:paraId="10B30B21" w14:textId="77777777" w:rsidTr="006548F8">
        <w:trPr>
          <w:trHeight w:val="230"/>
        </w:trPr>
        <w:tc>
          <w:tcPr>
            <w:tcW w:w="3544" w:type="dxa"/>
          </w:tcPr>
          <w:p w14:paraId="4446F2D8"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FUNCIONAMIENTO</w:t>
            </w:r>
          </w:p>
        </w:tc>
        <w:tc>
          <w:tcPr>
            <w:tcW w:w="2354" w:type="dxa"/>
            <w:vAlign w:val="bottom"/>
          </w:tcPr>
          <w:p w14:paraId="70DF150B" w14:textId="77777777" w:rsidR="007E2F9F" w:rsidRPr="00E875C9" w:rsidRDefault="007E2F9F" w:rsidP="006548F8">
            <w:pPr>
              <w:jc w:val="right"/>
              <w:rPr>
                <w:rFonts w:ascii="Arial" w:eastAsia="Calibri" w:hAnsi="Arial" w:cs="Arial"/>
                <w:b/>
                <w:bCs/>
                <w:sz w:val="18"/>
                <w:szCs w:val="18"/>
                <w:lang w:val="es-CO"/>
              </w:rPr>
            </w:pPr>
            <w:r w:rsidRPr="00D92021">
              <w:rPr>
                <w:sz w:val="16"/>
                <w:szCs w:val="16"/>
              </w:rPr>
              <w:t>383.585.999,00</w:t>
            </w:r>
          </w:p>
        </w:tc>
        <w:tc>
          <w:tcPr>
            <w:tcW w:w="2354" w:type="dxa"/>
            <w:vAlign w:val="bottom"/>
          </w:tcPr>
          <w:p w14:paraId="39373943" w14:textId="77777777" w:rsidR="007E2F9F" w:rsidRPr="00E875C9" w:rsidRDefault="007E2F9F" w:rsidP="006548F8">
            <w:pPr>
              <w:pStyle w:val="Prrafodelista"/>
              <w:ind w:left="0"/>
              <w:jc w:val="right"/>
              <w:rPr>
                <w:rFonts w:ascii="Arial" w:hAnsi="Arial" w:cs="Arial"/>
                <w:b/>
                <w:bCs/>
                <w:sz w:val="18"/>
                <w:szCs w:val="18"/>
              </w:rPr>
            </w:pPr>
            <w:r w:rsidRPr="00D92021">
              <w:rPr>
                <w:sz w:val="16"/>
                <w:szCs w:val="16"/>
              </w:rPr>
              <w:t>284.712.830,00</w:t>
            </w:r>
          </w:p>
        </w:tc>
        <w:tc>
          <w:tcPr>
            <w:tcW w:w="2238" w:type="dxa"/>
            <w:vAlign w:val="bottom"/>
          </w:tcPr>
          <w:p w14:paraId="169C9955" w14:textId="77777777" w:rsidR="007E2F9F" w:rsidRPr="00E875C9" w:rsidRDefault="007E2F9F" w:rsidP="006548F8">
            <w:pPr>
              <w:pStyle w:val="Prrafodelista"/>
              <w:ind w:left="0"/>
              <w:jc w:val="right"/>
              <w:rPr>
                <w:rFonts w:ascii="Arial" w:hAnsi="Arial" w:cs="Arial"/>
                <w:b/>
                <w:bCs/>
                <w:sz w:val="18"/>
                <w:szCs w:val="18"/>
              </w:rPr>
            </w:pPr>
            <w:r w:rsidRPr="00D92021">
              <w:rPr>
                <w:sz w:val="16"/>
                <w:szCs w:val="16"/>
              </w:rPr>
              <w:t>98.873.169,00</w:t>
            </w:r>
          </w:p>
        </w:tc>
      </w:tr>
      <w:tr w:rsidR="007E2F9F" w:rsidRPr="00E875C9" w14:paraId="50A2DE0C" w14:textId="77777777" w:rsidTr="006548F8">
        <w:trPr>
          <w:trHeight w:val="230"/>
        </w:trPr>
        <w:tc>
          <w:tcPr>
            <w:tcW w:w="3544" w:type="dxa"/>
          </w:tcPr>
          <w:p w14:paraId="3FBE9BC6"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NVERSIÓN</w:t>
            </w:r>
          </w:p>
        </w:tc>
        <w:tc>
          <w:tcPr>
            <w:tcW w:w="2354" w:type="dxa"/>
            <w:vAlign w:val="bottom"/>
          </w:tcPr>
          <w:p w14:paraId="0E6AC9E8" w14:textId="77777777" w:rsidR="007E2F9F" w:rsidRPr="00E875C9" w:rsidRDefault="007E2F9F" w:rsidP="006548F8">
            <w:pPr>
              <w:jc w:val="right"/>
              <w:rPr>
                <w:rFonts w:ascii="Arial" w:eastAsia="Calibri" w:hAnsi="Arial" w:cs="Arial"/>
                <w:b/>
                <w:bCs/>
                <w:sz w:val="18"/>
                <w:szCs w:val="18"/>
                <w:lang w:val="es-CO"/>
              </w:rPr>
            </w:pPr>
            <w:r w:rsidRPr="00D92021">
              <w:rPr>
                <w:color w:val="000000"/>
                <w:sz w:val="16"/>
                <w:szCs w:val="16"/>
              </w:rPr>
              <w:t>49.781.000</w:t>
            </w:r>
          </w:p>
        </w:tc>
        <w:tc>
          <w:tcPr>
            <w:tcW w:w="2354" w:type="dxa"/>
            <w:vAlign w:val="bottom"/>
          </w:tcPr>
          <w:p w14:paraId="31D08DFE" w14:textId="77777777" w:rsidR="007E2F9F" w:rsidRPr="00E875C9" w:rsidRDefault="007E2F9F" w:rsidP="006548F8">
            <w:pPr>
              <w:pStyle w:val="Prrafodelista"/>
              <w:ind w:left="0"/>
              <w:jc w:val="right"/>
              <w:rPr>
                <w:rFonts w:ascii="Arial" w:eastAsia="Calibri" w:hAnsi="Arial" w:cs="Arial"/>
                <w:b/>
                <w:bCs/>
                <w:sz w:val="18"/>
                <w:szCs w:val="18"/>
                <w:lang w:val="es-CO"/>
              </w:rPr>
            </w:pPr>
            <w:r w:rsidRPr="00D92021">
              <w:rPr>
                <w:color w:val="000000"/>
                <w:sz w:val="16"/>
                <w:szCs w:val="16"/>
              </w:rPr>
              <w:t>47.444.940</w:t>
            </w:r>
          </w:p>
        </w:tc>
        <w:tc>
          <w:tcPr>
            <w:tcW w:w="2238" w:type="dxa"/>
            <w:vAlign w:val="bottom"/>
          </w:tcPr>
          <w:p w14:paraId="28E41268" w14:textId="77777777" w:rsidR="007E2F9F" w:rsidRPr="00E875C9" w:rsidRDefault="007E2F9F" w:rsidP="006548F8">
            <w:pPr>
              <w:pStyle w:val="Prrafodelista"/>
              <w:ind w:left="0"/>
              <w:jc w:val="right"/>
              <w:rPr>
                <w:rFonts w:ascii="Arial" w:hAnsi="Arial" w:cs="Arial"/>
                <w:b/>
                <w:bCs/>
                <w:sz w:val="18"/>
                <w:szCs w:val="18"/>
              </w:rPr>
            </w:pPr>
            <w:r w:rsidRPr="00D92021">
              <w:rPr>
                <w:sz w:val="16"/>
                <w:szCs w:val="16"/>
              </w:rPr>
              <w:t>2.336.060,00</w:t>
            </w:r>
          </w:p>
        </w:tc>
      </w:tr>
      <w:tr w:rsidR="007E2F9F" w:rsidRPr="00E875C9" w14:paraId="299FA3A3" w14:textId="77777777" w:rsidTr="006548F8">
        <w:tc>
          <w:tcPr>
            <w:tcW w:w="3544" w:type="dxa"/>
          </w:tcPr>
          <w:p w14:paraId="132D4A07"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TOTAL PÉRDIDAS DE APROPIACIÓN</w:t>
            </w:r>
          </w:p>
        </w:tc>
        <w:tc>
          <w:tcPr>
            <w:tcW w:w="2354" w:type="dxa"/>
            <w:vAlign w:val="bottom"/>
          </w:tcPr>
          <w:p w14:paraId="4B7DB5F3" w14:textId="77777777" w:rsidR="007E2F9F" w:rsidRPr="00E875C9" w:rsidRDefault="007E2F9F" w:rsidP="006548F8">
            <w:pPr>
              <w:pStyle w:val="Prrafodelista"/>
              <w:ind w:left="0"/>
              <w:jc w:val="right"/>
              <w:rPr>
                <w:rFonts w:ascii="Arial" w:hAnsi="Arial" w:cs="Arial"/>
                <w:b/>
                <w:bCs/>
                <w:sz w:val="18"/>
                <w:szCs w:val="18"/>
                <w:u w:val="single"/>
              </w:rPr>
            </w:pPr>
            <w:r w:rsidRPr="00D92021">
              <w:rPr>
                <w:sz w:val="16"/>
                <w:szCs w:val="16"/>
              </w:rPr>
              <w:t xml:space="preserve">433.366.999 </w:t>
            </w:r>
          </w:p>
        </w:tc>
        <w:tc>
          <w:tcPr>
            <w:tcW w:w="2354" w:type="dxa"/>
            <w:vAlign w:val="bottom"/>
          </w:tcPr>
          <w:p w14:paraId="30BA0917" w14:textId="77777777" w:rsidR="007E2F9F" w:rsidRPr="00E875C9" w:rsidRDefault="007E2F9F" w:rsidP="006548F8">
            <w:pPr>
              <w:pStyle w:val="Prrafodelista"/>
              <w:ind w:left="0"/>
              <w:jc w:val="right"/>
              <w:rPr>
                <w:rFonts w:ascii="Arial" w:hAnsi="Arial" w:cs="Arial"/>
                <w:b/>
                <w:bCs/>
                <w:sz w:val="18"/>
                <w:szCs w:val="18"/>
                <w:u w:val="single"/>
              </w:rPr>
            </w:pPr>
            <w:r w:rsidRPr="00D92021">
              <w:rPr>
                <w:sz w:val="16"/>
                <w:szCs w:val="16"/>
              </w:rPr>
              <w:t xml:space="preserve">332.157.772 </w:t>
            </w:r>
          </w:p>
        </w:tc>
        <w:tc>
          <w:tcPr>
            <w:tcW w:w="2238" w:type="dxa"/>
            <w:vAlign w:val="bottom"/>
          </w:tcPr>
          <w:p w14:paraId="6BFB7AB7" w14:textId="77777777" w:rsidR="007E2F9F" w:rsidRPr="00E875C9" w:rsidRDefault="007E2F9F" w:rsidP="006548F8">
            <w:pPr>
              <w:pStyle w:val="Prrafodelista"/>
              <w:ind w:left="0"/>
              <w:jc w:val="right"/>
              <w:rPr>
                <w:rFonts w:ascii="Arial" w:hAnsi="Arial" w:cs="Arial"/>
                <w:b/>
                <w:bCs/>
                <w:sz w:val="18"/>
                <w:szCs w:val="18"/>
                <w:u w:val="single"/>
              </w:rPr>
            </w:pPr>
            <w:r w:rsidRPr="00D92021">
              <w:rPr>
                <w:sz w:val="16"/>
                <w:szCs w:val="16"/>
              </w:rPr>
              <w:t>101.209.22</w:t>
            </w:r>
            <w:r>
              <w:rPr>
                <w:sz w:val="16"/>
                <w:szCs w:val="16"/>
              </w:rPr>
              <w:t>9</w:t>
            </w:r>
            <w:r w:rsidRPr="00D92021">
              <w:rPr>
                <w:sz w:val="16"/>
                <w:szCs w:val="16"/>
              </w:rPr>
              <w:t>,00</w:t>
            </w:r>
          </w:p>
        </w:tc>
      </w:tr>
    </w:tbl>
    <w:p w14:paraId="6C556015" w14:textId="77777777" w:rsidR="007E2F9F" w:rsidRDefault="007E2F9F" w:rsidP="007E2F9F">
      <w:pPr>
        <w:jc w:val="both"/>
        <w:rPr>
          <w:rFonts w:ascii="Arial" w:hAnsi="Arial" w:cs="Arial"/>
          <w:b/>
          <w:sz w:val="28"/>
          <w:szCs w:val="28"/>
          <w:lang w:val="es-MX"/>
        </w:rPr>
      </w:pPr>
    </w:p>
    <w:p w14:paraId="2253E47E" w14:textId="77777777" w:rsidR="007E2F9F" w:rsidRPr="00477036" w:rsidRDefault="007E2F9F" w:rsidP="007E2F9F">
      <w:pPr>
        <w:ind w:left="-284"/>
        <w:jc w:val="both"/>
        <w:rPr>
          <w:rFonts w:ascii="Arial" w:hAnsi="Arial" w:cs="Arial"/>
          <w:b/>
          <w:sz w:val="28"/>
          <w:szCs w:val="28"/>
          <w:lang w:val="es-MX"/>
        </w:rPr>
      </w:pPr>
      <w:r w:rsidRPr="00477036">
        <w:rPr>
          <w:rFonts w:ascii="Arial" w:hAnsi="Arial" w:cs="Arial"/>
          <w:b/>
          <w:sz w:val="28"/>
          <w:szCs w:val="28"/>
          <w:lang w:val="es-MX"/>
        </w:rPr>
        <w:t>317.- INSTITUTO COLOMBIANO DE ANTROPOLOGÍA E HISTORIA – ICANH.</w:t>
      </w:r>
    </w:p>
    <w:p w14:paraId="077167C1" w14:textId="77777777" w:rsidR="007E2F9F" w:rsidRPr="00477036" w:rsidRDefault="007E2F9F" w:rsidP="007E2F9F">
      <w:pPr>
        <w:rPr>
          <w:rFonts w:ascii="Arial" w:hAnsi="Arial" w:cs="Arial"/>
          <w:b/>
          <w:sz w:val="28"/>
          <w:szCs w:val="28"/>
          <w:lang w:val="es-MX"/>
        </w:rPr>
      </w:pPr>
    </w:p>
    <w:p w14:paraId="24A61083"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1D42A50"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36805CC"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875C9" w14:paraId="2DBCB534" w14:textId="77777777" w:rsidTr="006548F8">
        <w:tc>
          <w:tcPr>
            <w:tcW w:w="3544" w:type="dxa"/>
          </w:tcPr>
          <w:p w14:paraId="18B32892" w14:textId="77777777" w:rsidR="007E2F9F" w:rsidRPr="00E875C9" w:rsidRDefault="007E2F9F" w:rsidP="006548F8">
            <w:pPr>
              <w:ind w:left="1169" w:right="-1440"/>
              <w:rPr>
                <w:rFonts w:ascii="Arial" w:hAnsi="Arial" w:cs="Arial"/>
                <w:b/>
                <w:sz w:val="18"/>
                <w:szCs w:val="18"/>
                <w:lang w:val="es-ES_tradnl"/>
              </w:rPr>
            </w:pPr>
            <w:r w:rsidRPr="00E875C9">
              <w:rPr>
                <w:rFonts w:ascii="Arial" w:hAnsi="Arial" w:cs="Arial"/>
                <w:b/>
                <w:sz w:val="18"/>
                <w:szCs w:val="18"/>
                <w:lang w:val="es-ES_tradnl"/>
              </w:rPr>
              <w:t>TIPO DE GASTO</w:t>
            </w:r>
          </w:p>
        </w:tc>
        <w:tc>
          <w:tcPr>
            <w:tcW w:w="2354" w:type="dxa"/>
          </w:tcPr>
          <w:p w14:paraId="2C282B21"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APROPIACIÓN</w:t>
            </w:r>
          </w:p>
          <w:p w14:paraId="1C0B4C69"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DEFINITIVA</w:t>
            </w:r>
          </w:p>
          <w:p w14:paraId="787F0D31" w14:textId="77777777" w:rsidR="007E2F9F" w:rsidRPr="00E875C9" w:rsidRDefault="007E2F9F" w:rsidP="006548F8">
            <w:pPr>
              <w:jc w:val="center"/>
              <w:rPr>
                <w:rFonts w:ascii="Arial" w:hAnsi="Arial" w:cs="Arial"/>
                <w:b/>
                <w:sz w:val="18"/>
                <w:szCs w:val="18"/>
                <w:lang w:val="es-ES_tradnl"/>
              </w:rPr>
            </w:pPr>
            <w:r w:rsidRPr="00E875C9">
              <w:rPr>
                <w:rFonts w:ascii="Arial" w:hAnsi="Arial" w:cs="Arial"/>
                <w:b/>
                <w:sz w:val="18"/>
                <w:szCs w:val="18"/>
                <w:lang w:val="es-ES_tradnl"/>
              </w:rPr>
              <w:t>(1)</w:t>
            </w:r>
          </w:p>
          <w:p w14:paraId="3D2A01B8" w14:textId="77777777" w:rsidR="007E2F9F" w:rsidRPr="00E875C9" w:rsidRDefault="007E2F9F" w:rsidP="006548F8">
            <w:pPr>
              <w:jc w:val="center"/>
              <w:rPr>
                <w:rFonts w:ascii="Arial" w:hAnsi="Arial" w:cs="Arial"/>
                <w:b/>
                <w:sz w:val="18"/>
                <w:szCs w:val="18"/>
                <w:lang w:val="es-ES_tradnl"/>
              </w:rPr>
            </w:pPr>
          </w:p>
        </w:tc>
        <w:tc>
          <w:tcPr>
            <w:tcW w:w="2354" w:type="dxa"/>
          </w:tcPr>
          <w:p w14:paraId="0F90BF7F" w14:textId="77777777" w:rsidR="007E2F9F" w:rsidRPr="00E875C9" w:rsidRDefault="007E2F9F" w:rsidP="006548F8">
            <w:pPr>
              <w:ind w:left="145" w:right="184"/>
              <w:jc w:val="center"/>
              <w:rPr>
                <w:rFonts w:ascii="Arial" w:hAnsi="Arial" w:cs="Arial"/>
                <w:b/>
                <w:sz w:val="18"/>
                <w:szCs w:val="18"/>
                <w:lang w:val="es-ES_tradnl"/>
              </w:rPr>
            </w:pPr>
            <w:r w:rsidRPr="00E875C9">
              <w:rPr>
                <w:rFonts w:ascii="Arial" w:hAnsi="Arial" w:cs="Arial"/>
                <w:b/>
                <w:sz w:val="18"/>
                <w:szCs w:val="18"/>
                <w:lang w:val="es-ES_tradnl"/>
              </w:rPr>
              <w:t>EJECUCIÓN</w:t>
            </w:r>
          </w:p>
          <w:p w14:paraId="3F0F21D6"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COMPROMISOS</w:t>
            </w:r>
          </w:p>
          <w:p w14:paraId="4291D925"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(2)</w:t>
            </w:r>
          </w:p>
        </w:tc>
        <w:tc>
          <w:tcPr>
            <w:tcW w:w="2238" w:type="dxa"/>
          </w:tcPr>
          <w:p w14:paraId="70444870" w14:textId="77777777" w:rsidR="007E2F9F" w:rsidRPr="00E875C9" w:rsidRDefault="007E2F9F" w:rsidP="006548F8">
            <w:pPr>
              <w:ind w:left="25" w:right="34"/>
              <w:jc w:val="center"/>
              <w:rPr>
                <w:rFonts w:ascii="Arial" w:hAnsi="Arial" w:cs="Arial"/>
                <w:b/>
                <w:sz w:val="18"/>
                <w:szCs w:val="18"/>
                <w:lang w:val="es-ES_tradnl"/>
              </w:rPr>
            </w:pPr>
            <w:r w:rsidRPr="00E875C9">
              <w:rPr>
                <w:rFonts w:ascii="Arial" w:hAnsi="Arial" w:cs="Arial"/>
                <w:b/>
                <w:sz w:val="18"/>
                <w:szCs w:val="18"/>
                <w:lang w:val="es-ES_tradnl"/>
              </w:rPr>
              <w:t>PÉRDIDAS DE</w:t>
            </w:r>
          </w:p>
          <w:p w14:paraId="069BF564"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APROPIACIÓN</w:t>
            </w:r>
          </w:p>
          <w:p w14:paraId="2821A4D1" w14:textId="77777777" w:rsidR="007E2F9F" w:rsidRPr="00E875C9" w:rsidRDefault="007E2F9F" w:rsidP="006548F8">
            <w:pPr>
              <w:ind w:right="34"/>
              <w:jc w:val="center"/>
              <w:rPr>
                <w:rFonts w:ascii="Arial" w:hAnsi="Arial" w:cs="Arial"/>
                <w:b/>
                <w:sz w:val="18"/>
                <w:szCs w:val="18"/>
                <w:lang w:val="es-ES_tradnl"/>
              </w:rPr>
            </w:pPr>
            <w:r w:rsidRPr="00E875C9">
              <w:rPr>
                <w:rFonts w:ascii="Arial" w:hAnsi="Arial" w:cs="Arial"/>
                <w:b/>
                <w:sz w:val="18"/>
                <w:szCs w:val="18"/>
                <w:lang w:val="es-ES_tradnl"/>
              </w:rPr>
              <w:t>3 = (1-2)</w:t>
            </w:r>
          </w:p>
        </w:tc>
      </w:tr>
      <w:tr w:rsidR="007E2F9F" w:rsidRPr="00E875C9" w14:paraId="0CD293A7" w14:textId="77777777" w:rsidTr="006548F8">
        <w:trPr>
          <w:trHeight w:val="230"/>
        </w:trPr>
        <w:tc>
          <w:tcPr>
            <w:tcW w:w="3544" w:type="dxa"/>
          </w:tcPr>
          <w:p w14:paraId="3B80461C"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FUNCIONAMIENTO</w:t>
            </w:r>
          </w:p>
        </w:tc>
        <w:tc>
          <w:tcPr>
            <w:tcW w:w="2354" w:type="dxa"/>
            <w:vAlign w:val="bottom"/>
          </w:tcPr>
          <w:p w14:paraId="430E7F2E" w14:textId="77777777" w:rsidR="007E2F9F" w:rsidRPr="00E875C9" w:rsidRDefault="007E2F9F" w:rsidP="006548F8">
            <w:pPr>
              <w:jc w:val="right"/>
              <w:rPr>
                <w:rFonts w:ascii="Arial" w:eastAsia="Calibri" w:hAnsi="Arial" w:cs="Arial"/>
                <w:b/>
                <w:bCs/>
                <w:sz w:val="18"/>
                <w:szCs w:val="18"/>
                <w:lang w:val="es-CO"/>
              </w:rPr>
            </w:pPr>
            <w:r w:rsidRPr="00A37540">
              <w:rPr>
                <w:rFonts w:ascii="Arial" w:hAnsi="Arial" w:cs="Arial"/>
                <w:b/>
                <w:bCs/>
                <w:sz w:val="16"/>
                <w:szCs w:val="16"/>
              </w:rPr>
              <w:t>17.842.103</w:t>
            </w:r>
          </w:p>
        </w:tc>
        <w:tc>
          <w:tcPr>
            <w:tcW w:w="2354" w:type="dxa"/>
            <w:vAlign w:val="bottom"/>
          </w:tcPr>
          <w:p w14:paraId="1E31EDD7" w14:textId="77777777" w:rsidR="007E2F9F" w:rsidRPr="00E875C9" w:rsidRDefault="007E2F9F" w:rsidP="006548F8">
            <w:pPr>
              <w:pStyle w:val="Prrafodelista"/>
              <w:ind w:left="0"/>
              <w:jc w:val="right"/>
              <w:rPr>
                <w:rFonts w:ascii="Arial" w:hAnsi="Arial" w:cs="Arial"/>
                <w:b/>
                <w:bCs/>
                <w:sz w:val="18"/>
                <w:szCs w:val="18"/>
              </w:rPr>
            </w:pPr>
            <w:r w:rsidRPr="00A37540">
              <w:rPr>
                <w:rFonts w:ascii="Arial" w:hAnsi="Arial" w:cs="Arial"/>
                <w:b/>
                <w:bCs/>
                <w:sz w:val="16"/>
                <w:szCs w:val="16"/>
              </w:rPr>
              <w:t>16.452.803</w:t>
            </w:r>
          </w:p>
        </w:tc>
        <w:tc>
          <w:tcPr>
            <w:tcW w:w="2238" w:type="dxa"/>
            <w:vAlign w:val="bottom"/>
          </w:tcPr>
          <w:p w14:paraId="7C7E1AAF" w14:textId="77777777" w:rsidR="007E2F9F" w:rsidRPr="00E875C9" w:rsidRDefault="007E2F9F" w:rsidP="006548F8">
            <w:pPr>
              <w:pStyle w:val="Prrafodelista"/>
              <w:ind w:left="0"/>
              <w:jc w:val="right"/>
              <w:rPr>
                <w:rFonts w:ascii="Arial" w:hAnsi="Arial" w:cs="Arial"/>
                <w:b/>
                <w:bCs/>
                <w:sz w:val="18"/>
                <w:szCs w:val="18"/>
              </w:rPr>
            </w:pPr>
            <w:r w:rsidRPr="00A37540">
              <w:rPr>
                <w:rFonts w:ascii="Arial" w:hAnsi="Arial" w:cs="Arial"/>
                <w:b/>
                <w:bCs/>
                <w:sz w:val="16"/>
                <w:szCs w:val="16"/>
              </w:rPr>
              <w:t>1.389.300,00</w:t>
            </w:r>
          </w:p>
        </w:tc>
      </w:tr>
      <w:tr w:rsidR="007E2F9F" w:rsidRPr="00E875C9" w14:paraId="30CDCFBB" w14:textId="77777777" w:rsidTr="006548F8">
        <w:trPr>
          <w:trHeight w:val="230"/>
        </w:trPr>
        <w:tc>
          <w:tcPr>
            <w:tcW w:w="3544" w:type="dxa"/>
          </w:tcPr>
          <w:p w14:paraId="05772CB0"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NVERSIÓN</w:t>
            </w:r>
          </w:p>
        </w:tc>
        <w:tc>
          <w:tcPr>
            <w:tcW w:w="2354" w:type="dxa"/>
            <w:vAlign w:val="bottom"/>
          </w:tcPr>
          <w:p w14:paraId="47FA0632" w14:textId="77777777" w:rsidR="007E2F9F" w:rsidRPr="00E875C9" w:rsidRDefault="007E2F9F" w:rsidP="006548F8">
            <w:pPr>
              <w:jc w:val="right"/>
              <w:rPr>
                <w:rFonts w:ascii="Arial" w:eastAsia="Calibri" w:hAnsi="Arial" w:cs="Arial"/>
                <w:b/>
                <w:bCs/>
                <w:sz w:val="18"/>
                <w:szCs w:val="18"/>
                <w:lang w:val="es-CO"/>
              </w:rPr>
            </w:pPr>
            <w:r w:rsidRPr="00A37540">
              <w:rPr>
                <w:rFonts w:ascii="Arial" w:hAnsi="Arial" w:cs="Arial"/>
                <w:color w:val="000000"/>
                <w:sz w:val="16"/>
                <w:szCs w:val="16"/>
              </w:rPr>
              <w:t>34.633.665</w:t>
            </w:r>
          </w:p>
        </w:tc>
        <w:tc>
          <w:tcPr>
            <w:tcW w:w="2354" w:type="dxa"/>
            <w:vAlign w:val="bottom"/>
          </w:tcPr>
          <w:p w14:paraId="5DCC9716" w14:textId="77777777" w:rsidR="007E2F9F" w:rsidRPr="00E875C9" w:rsidRDefault="007E2F9F" w:rsidP="006548F8">
            <w:pPr>
              <w:pStyle w:val="Prrafodelista"/>
              <w:ind w:left="0"/>
              <w:jc w:val="right"/>
              <w:rPr>
                <w:rFonts w:ascii="Arial" w:eastAsia="Calibri" w:hAnsi="Arial" w:cs="Arial"/>
                <w:b/>
                <w:bCs/>
                <w:sz w:val="18"/>
                <w:szCs w:val="18"/>
                <w:lang w:val="es-CO"/>
              </w:rPr>
            </w:pPr>
            <w:r w:rsidRPr="00A37540">
              <w:rPr>
                <w:rFonts w:ascii="Arial" w:hAnsi="Arial" w:cs="Arial"/>
                <w:color w:val="000000"/>
                <w:sz w:val="16"/>
                <w:szCs w:val="16"/>
              </w:rPr>
              <w:t>29.796.332</w:t>
            </w:r>
          </w:p>
        </w:tc>
        <w:tc>
          <w:tcPr>
            <w:tcW w:w="2238" w:type="dxa"/>
            <w:vAlign w:val="bottom"/>
          </w:tcPr>
          <w:p w14:paraId="0CCD088D" w14:textId="77777777" w:rsidR="007E2F9F" w:rsidRPr="00E875C9" w:rsidRDefault="007E2F9F" w:rsidP="006548F8">
            <w:pPr>
              <w:pStyle w:val="Prrafodelista"/>
              <w:ind w:left="0"/>
              <w:jc w:val="right"/>
              <w:rPr>
                <w:rFonts w:ascii="Arial" w:hAnsi="Arial" w:cs="Arial"/>
                <w:b/>
                <w:bCs/>
                <w:sz w:val="18"/>
                <w:szCs w:val="18"/>
              </w:rPr>
            </w:pPr>
            <w:r w:rsidRPr="00A37540">
              <w:rPr>
                <w:rFonts w:ascii="Arial" w:hAnsi="Arial" w:cs="Arial"/>
                <w:color w:val="000000"/>
                <w:sz w:val="16"/>
                <w:szCs w:val="16"/>
              </w:rPr>
              <w:t>4.837.333,00</w:t>
            </w:r>
          </w:p>
        </w:tc>
      </w:tr>
      <w:tr w:rsidR="007E2F9F" w:rsidRPr="00E875C9" w14:paraId="2C877CF5" w14:textId="77777777" w:rsidTr="006548F8">
        <w:tc>
          <w:tcPr>
            <w:tcW w:w="3544" w:type="dxa"/>
          </w:tcPr>
          <w:p w14:paraId="62A70FD9" w14:textId="77777777" w:rsidR="007E2F9F" w:rsidRPr="00E875C9" w:rsidRDefault="007E2F9F" w:rsidP="006548F8">
            <w:pPr>
              <w:ind w:right="-1440"/>
              <w:jc w:val="both"/>
              <w:rPr>
                <w:rFonts w:ascii="Arial" w:hAnsi="Arial" w:cs="Arial"/>
                <w:b/>
                <w:bCs/>
                <w:sz w:val="18"/>
                <w:szCs w:val="18"/>
                <w:lang w:val="es-ES_tradnl"/>
              </w:rPr>
            </w:pPr>
            <w:r w:rsidRPr="00E875C9">
              <w:rPr>
                <w:rFonts w:ascii="Arial" w:hAnsi="Arial" w:cs="Arial"/>
                <w:b/>
                <w:bCs/>
                <w:sz w:val="18"/>
                <w:szCs w:val="18"/>
                <w:lang w:val="es-ES_tradnl"/>
              </w:rPr>
              <w:t>TOTAL PÉRDIDAS DE APROPIACIÓN</w:t>
            </w:r>
          </w:p>
        </w:tc>
        <w:tc>
          <w:tcPr>
            <w:tcW w:w="2354" w:type="dxa"/>
            <w:vAlign w:val="bottom"/>
          </w:tcPr>
          <w:p w14:paraId="3E17ECA5" w14:textId="77777777" w:rsidR="007E2F9F" w:rsidRPr="00E875C9" w:rsidRDefault="007E2F9F" w:rsidP="006548F8">
            <w:pPr>
              <w:pStyle w:val="Prrafodelista"/>
              <w:ind w:left="0"/>
              <w:jc w:val="right"/>
              <w:rPr>
                <w:rFonts w:ascii="Arial" w:hAnsi="Arial" w:cs="Arial"/>
                <w:b/>
                <w:bCs/>
                <w:sz w:val="18"/>
                <w:szCs w:val="18"/>
                <w:u w:val="single"/>
              </w:rPr>
            </w:pPr>
            <w:r w:rsidRPr="00A37540">
              <w:rPr>
                <w:rFonts w:ascii="Arial" w:hAnsi="Arial" w:cs="Arial"/>
                <w:b/>
                <w:bCs/>
                <w:sz w:val="16"/>
                <w:szCs w:val="16"/>
              </w:rPr>
              <w:t>52.475.768</w:t>
            </w:r>
          </w:p>
        </w:tc>
        <w:tc>
          <w:tcPr>
            <w:tcW w:w="2354" w:type="dxa"/>
            <w:vAlign w:val="bottom"/>
          </w:tcPr>
          <w:p w14:paraId="36DE569A" w14:textId="77777777" w:rsidR="007E2F9F" w:rsidRPr="00E875C9" w:rsidRDefault="007E2F9F" w:rsidP="006548F8">
            <w:pPr>
              <w:pStyle w:val="Prrafodelista"/>
              <w:ind w:left="0"/>
              <w:jc w:val="right"/>
              <w:rPr>
                <w:rFonts w:ascii="Arial" w:hAnsi="Arial" w:cs="Arial"/>
                <w:b/>
                <w:bCs/>
                <w:sz w:val="18"/>
                <w:szCs w:val="18"/>
                <w:u w:val="single"/>
              </w:rPr>
            </w:pPr>
            <w:r w:rsidRPr="00A37540">
              <w:rPr>
                <w:rFonts w:ascii="Arial" w:hAnsi="Arial" w:cs="Arial"/>
                <w:b/>
                <w:bCs/>
                <w:sz w:val="16"/>
                <w:szCs w:val="16"/>
              </w:rPr>
              <w:t>46.249.135</w:t>
            </w:r>
          </w:p>
        </w:tc>
        <w:tc>
          <w:tcPr>
            <w:tcW w:w="2238" w:type="dxa"/>
            <w:vAlign w:val="bottom"/>
          </w:tcPr>
          <w:p w14:paraId="0AAD1190" w14:textId="77777777" w:rsidR="007E2F9F" w:rsidRPr="00E875C9" w:rsidRDefault="007E2F9F" w:rsidP="006548F8">
            <w:pPr>
              <w:pStyle w:val="Prrafodelista"/>
              <w:ind w:left="0"/>
              <w:jc w:val="right"/>
              <w:rPr>
                <w:rFonts w:ascii="Arial" w:hAnsi="Arial" w:cs="Arial"/>
                <w:b/>
                <w:bCs/>
                <w:sz w:val="18"/>
                <w:szCs w:val="18"/>
                <w:u w:val="single"/>
              </w:rPr>
            </w:pPr>
            <w:r w:rsidRPr="00A37540">
              <w:rPr>
                <w:rFonts w:ascii="Arial" w:hAnsi="Arial" w:cs="Arial"/>
                <w:b/>
                <w:bCs/>
                <w:sz w:val="16"/>
                <w:szCs w:val="16"/>
              </w:rPr>
              <w:t>6.226.633,00</w:t>
            </w:r>
          </w:p>
        </w:tc>
      </w:tr>
    </w:tbl>
    <w:p w14:paraId="78D17E77" w14:textId="77777777" w:rsidR="00683308" w:rsidRDefault="00683308" w:rsidP="007E2F9F">
      <w:pPr>
        <w:ind w:left="-284" w:right="-234"/>
        <w:jc w:val="both"/>
        <w:rPr>
          <w:rFonts w:ascii="Arial" w:hAnsi="Arial" w:cs="Arial"/>
          <w:b/>
          <w:sz w:val="28"/>
          <w:szCs w:val="28"/>
          <w:lang w:val="es-MX"/>
        </w:rPr>
      </w:pPr>
    </w:p>
    <w:p w14:paraId="5619778F" w14:textId="514901A9" w:rsidR="007E2F9F" w:rsidRPr="00761142" w:rsidRDefault="007E2F9F" w:rsidP="007E2F9F">
      <w:pPr>
        <w:ind w:left="-284" w:right="-234"/>
        <w:jc w:val="both"/>
        <w:rPr>
          <w:rFonts w:ascii="Arial" w:hAnsi="Arial" w:cs="Arial"/>
          <w:b/>
          <w:sz w:val="28"/>
          <w:szCs w:val="28"/>
          <w:lang w:val="es-MX"/>
        </w:rPr>
      </w:pPr>
      <w:r w:rsidRPr="00761142">
        <w:rPr>
          <w:rFonts w:ascii="Arial" w:hAnsi="Arial" w:cs="Arial"/>
          <w:b/>
          <w:sz w:val="28"/>
          <w:szCs w:val="28"/>
          <w:lang w:val="es-MX"/>
        </w:rPr>
        <w:t>323.- MINISTERIO DE HACIENDA Y CRÉDITO PÚBLICO – GESTIÓN GENERAL.</w:t>
      </w:r>
    </w:p>
    <w:p w14:paraId="2A0C79A6" w14:textId="77777777" w:rsidR="007E2F9F" w:rsidRDefault="007E2F9F" w:rsidP="007E2F9F">
      <w:pPr>
        <w:ind w:left="-284" w:right="-234"/>
        <w:rPr>
          <w:rFonts w:ascii="Arial" w:eastAsia="Calibri" w:hAnsi="Arial" w:cs="Arial"/>
          <w:b/>
          <w:u w:val="single"/>
          <w:lang w:val="es-MX"/>
        </w:rPr>
      </w:pPr>
    </w:p>
    <w:p w14:paraId="3BA3A0D5"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F5DE8D1"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0B960CF"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761142" w14:paraId="1430FF2F" w14:textId="77777777" w:rsidTr="006548F8">
        <w:tc>
          <w:tcPr>
            <w:tcW w:w="3544" w:type="dxa"/>
          </w:tcPr>
          <w:p w14:paraId="02C3B899" w14:textId="77777777" w:rsidR="007E2F9F" w:rsidRPr="00761142" w:rsidRDefault="007E2F9F" w:rsidP="006548F8">
            <w:pPr>
              <w:ind w:left="1169" w:right="-1440"/>
              <w:rPr>
                <w:rFonts w:ascii="Arial" w:hAnsi="Arial" w:cs="Arial"/>
                <w:b/>
                <w:sz w:val="18"/>
                <w:szCs w:val="18"/>
                <w:lang w:val="es-ES_tradnl"/>
              </w:rPr>
            </w:pPr>
            <w:r w:rsidRPr="00761142">
              <w:rPr>
                <w:rFonts w:ascii="Arial" w:hAnsi="Arial" w:cs="Arial"/>
                <w:b/>
                <w:sz w:val="18"/>
                <w:szCs w:val="18"/>
                <w:lang w:val="es-ES_tradnl"/>
              </w:rPr>
              <w:t>TIPO DE GASTO</w:t>
            </w:r>
          </w:p>
        </w:tc>
        <w:tc>
          <w:tcPr>
            <w:tcW w:w="2354" w:type="dxa"/>
          </w:tcPr>
          <w:p w14:paraId="298D7F6E" w14:textId="77777777" w:rsidR="007E2F9F" w:rsidRPr="00761142" w:rsidRDefault="007E2F9F" w:rsidP="006548F8">
            <w:pPr>
              <w:jc w:val="center"/>
              <w:rPr>
                <w:rFonts w:ascii="Arial" w:hAnsi="Arial" w:cs="Arial"/>
                <w:b/>
                <w:sz w:val="18"/>
                <w:szCs w:val="18"/>
                <w:lang w:val="es-ES_tradnl"/>
              </w:rPr>
            </w:pPr>
            <w:r w:rsidRPr="00761142">
              <w:rPr>
                <w:rFonts w:ascii="Arial" w:hAnsi="Arial" w:cs="Arial"/>
                <w:b/>
                <w:sz w:val="18"/>
                <w:szCs w:val="18"/>
                <w:lang w:val="es-ES_tradnl"/>
              </w:rPr>
              <w:t>APROPIACIÓN</w:t>
            </w:r>
          </w:p>
          <w:p w14:paraId="345E5B22" w14:textId="77777777" w:rsidR="007E2F9F" w:rsidRPr="00761142" w:rsidRDefault="007E2F9F" w:rsidP="006548F8">
            <w:pPr>
              <w:jc w:val="center"/>
              <w:rPr>
                <w:rFonts w:ascii="Arial" w:hAnsi="Arial" w:cs="Arial"/>
                <w:b/>
                <w:sz w:val="18"/>
                <w:szCs w:val="18"/>
                <w:lang w:val="es-ES_tradnl"/>
              </w:rPr>
            </w:pPr>
            <w:r w:rsidRPr="00761142">
              <w:rPr>
                <w:rFonts w:ascii="Arial" w:hAnsi="Arial" w:cs="Arial"/>
                <w:b/>
                <w:sz w:val="18"/>
                <w:szCs w:val="18"/>
                <w:lang w:val="es-ES_tradnl"/>
              </w:rPr>
              <w:t>DEFINITIVA</w:t>
            </w:r>
          </w:p>
          <w:p w14:paraId="22DAEC5D" w14:textId="77777777" w:rsidR="007E2F9F" w:rsidRPr="00761142" w:rsidRDefault="007E2F9F" w:rsidP="006548F8">
            <w:pPr>
              <w:jc w:val="center"/>
              <w:rPr>
                <w:rFonts w:ascii="Arial" w:hAnsi="Arial" w:cs="Arial"/>
                <w:b/>
                <w:sz w:val="18"/>
                <w:szCs w:val="18"/>
                <w:lang w:val="es-ES_tradnl"/>
              </w:rPr>
            </w:pPr>
            <w:r w:rsidRPr="00761142">
              <w:rPr>
                <w:rFonts w:ascii="Arial" w:hAnsi="Arial" w:cs="Arial"/>
                <w:b/>
                <w:sz w:val="18"/>
                <w:szCs w:val="18"/>
                <w:lang w:val="es-ES_tradnl"/>
              </w:rPr>
              <w:t>(1)</w:t>
            </w:r>
          </w:p>
          <w:p w14:paraId="43AA6A6D" w14:textId="77777777" w:rsidR="007E2F9F" w:rsidRPr="00761142" w:rsidRDefault="007E2F9F" w:rsidP="006548F8">
            <w:pPr>
              <w:jc w:val="center"/>
              <w:rPr>
                <w:rFonts w:ascii="Arial" w:hAnsi="Arial" w:cs="Arial"/>
                <w:b/>
                <w:sz w:val="18"/>
                <w:szCs w:val="18"/>
                <w:lang w:val="es-ES_tradnl"/>
              </w:rPr>
            </w:pPr>
          </w:p>
        </w:tc>
        <w:tc>
          <w:tcPr>
            <w:tcW w:w="2354" w:type="dxa"/>
          </w:tcPr>
          <w:p w14:paraId="7BC1ABBD" w14:textId="77777777" w:rsidR="007E2F9F" w:rsidRPr="00761142" w:rsidRDefault="007E2F9F" w:rsidP="006548F8">
            <w:pPr>
              <w:ind w:left="145" w:right="184"/>
              <w:jc w:val="center"/>
              <w:rPr>
                <w:rFonts w:ascii="Arial" w:hAnsi="Arial" w:cs="Arial"/>
                <w:b/>
                <w:sz w:val="18"/>
                <w:szCs w:val="18"/>
                <w:lang w:val="es-ES_tradnl"/>
              </w:rPr>
            </w:pPr>
            <w:r w:rsidRPr="00761142">
              <w:rPr>
                <w:rFonts w:ascii="Arial" w:hAnsi="Arial" w:cs="Arial"/>
                <w:b/>
                <w:sz w:val="18"/>
                <w:szCs w:val="18"/>
                <w:lang w:val="es-ES_tradnl"/>
              </w:rPr>
              <w:lastRenderedPageBreak/>
              <w:t>EJECUCIÓN</w:t>
            </w:r>
          </w:p>
          <w:p w14:paraId="4FE67130" w14:textId="77777777" w:rsidR="007E2F9F" w:rsidRPr="00761142" w:rsidRDefault="007E2F9F" w:rsidP="006548F8">
            <w:pPr>
              <w:ind w:right="34"/>
              <w:jc w:val="center"/>
              <w:rPr>
                <w:rFonts w:ascii="Arial" w:hAnsi="Arial" w:cs="Arial"/>
                <w:b/>
                <w:sz w:val="18"/>
                <w:szCs w:val="18"/>
                <w:lang w:val="es-ES_tradnl"/>
              </w:rPr>
            </w:pPr>
            <w:r w:rsidRPr="00761142">
              <w:rPr>
                <w:rFonts w:ascii="Arial" w:hAnsi="Arial" w:cs="Arial"/>
                <w:b/>
                <w:sz w:val="18"/>
                <w:szCs w:val="18"/>
                <w:lang w:val="es-ES_tradnl"/>
              </w:rPr>
              <w:t>COMPROMISOS</w:t>
            </w:r>
          </w:p>
          <w:p w14:paraId="56911E45" w14:textId="77777777" w:rsidR="007E2F9F" w:rsidRPr="00761142" w:rsidRDefault="007E2F9F" w:rsidP="006548F8">
            <w:pPr>
              <w:ind w:right="34"/>
              <w:jc w:val="center"/>
              <w:rPr>
                <w:rFonts w:ascii="Arial" w:hAnsi="Arial" w:cs="Arial"/>
                <w:b/>
                <w:sz w:val="18"/>
                <w:szCs w:val="18"/>
                <w:lang w:val="es-ES_tradnl"/>
              </w:rPr>
            </w:pPr>
            <w:r w:rsidRPr="00761142">
              <w:rPr>
                <w:rFonts w:ascii="Arial" w:hAnsi="Arial" w:cs="Arial"/>
                <w:b/>
                <w:sz w:val="18"/>
                <w:szCs w:val="18"/>
                <w:lang w:val="es-ES_tradnl"/>
              </w:rPr>
              <w:t>(2)</w:t>
            </w:r>
          </w:p>
        </w:tc>
        <w:tc>
          <w:tcPr>
            <w:tcW w:w="2238" w:type="dxa"/>
          </w:tcPr>
          <w:p w14:paraId="1843231F" w14:textId="77777777" w:rsidR="007E2F9F" w:rsidRPr="00761142" w:rsidRDefault="007E2F9F" w:rsidP="006548F8">
            <w:pPr>
              <w:ind w:left="25" w:right="34"/>
              <w:jc w:val="center"/>
              <w:rPr>
                <w:rFonts w:ascii="Arial" w:hAnsi="Arial" w:cs="Arial"/>
                <w:b/>
                <w:sz w:val="18"/>
                <w:szCs w:val="18"/>
                <w:lang w:val="es-ES_tradnl"/>
              </w:rPr>
            </w:pPr>
            <w:r w:rsidRPr="00761142">
              <w:rPr>
                <w:rFonts w:ascii="Arial" w:hAnsi="Arial" w:cs="Arial"/>
                <w:b/>
                <w:sz w:val="18"/>
                <w:szCs w:val="18"/>
                <w:lang w:val="es-ES_tradnl"/>
              </w:rPr>
              <w:t>PÉRDIDAS DE</w:t>
            </w:r>
          </w:p>
          <w:p w14:paraId="62A71EDF" w14:textId="77777777" w:rsidR="007E2F9F" w:rsidRPr="00761142" w:rsidRDefault="007E2F9F" w:rsidP="006548F8">
            <w:pPr>
              <w:ind w:right="34"/>
              <w:jc w:val="center"/>
              <w:rPr>
                <w:rFonts w:ascii="Arial" w:hAnsi="Arial" w:cs="Arial"/>
                <w:b/>
                <w:sz w:val="18"/>
                <w:szCs w:val="18"/>
                <w:lang w:val="es-ES_tradnl"/>
              </w:rPr>
            </w:pPr>
            <w:r w:rsidRPr="00761142">
              <w:rPr>
                <w:rFonts w:ascii="Arial" w:hAnsi="Arial" w:cs="Arial"/>
                <w:b/>
                <w:sz w:val="18"/>
                <w:szCs w:val="18"/>
                <w:lang w:val="es-ES_tradnl"/>
              </w:rPr>
              <w:t>APROPIACIÓN</w:t>
            </w:r>
          </w:p>
          <w:p w14:paraId="40583D35" w14:textId="77777777" w:rsidR="007E2F9F" w:rsidRPr="00761142" w:rsidRDefault="007E2F9F" w:rsidP="006548F8">
            <w:pPr>
              <w:ind w:right="34"/>
              <w:jc w:val="center"/>
              <w:rPr>
                <w:rFonts w:ascii="Arial" w:hAnsi="Arial" w:cs="Arial"/>
                <w:b/>
                <w:sz w:val="18"/>
                <w:szCs w:val="18"/>
                <w:lang w:val="es-ES_tradnl"/>
              </w:rPr>
            </w:pPr>
            <w:r w:rsidRPr="00761142">
              <w:rPr>
                <w:rFonts w:ascii="Arial" w:hAnsi="Arial" w:cs="Arial"/>
                <w:b/>
                <w:sz w:val="18"/>
                <w:szCs w:val="18"/>
                <w:lang w:val="es-ES_tradnl"/>
              </w:rPr>
              <w:t>3 = (1-2)</w:t>
            </w:r>
          </w:p>
        </w:tc>
      </w:tr>
      <w:tr w:rsidR="007E2F9F" w:rsidRPr="00761142" w14:paraId="5D5E3D60" w14:textId="77777777" w:rsidTr="006548F8">
        <w:trPr>
          <w:trHeight w:val="230"/>
        </w:trPr>
        <w:tc>
          <w:tcPr>
            <w:tcW w:w="3544" w:type="dxa"/>
          </w:tcPr>
          <w:p w14:paraId="36BA7B40" w14:textId="77777777" w:rsidR="007E2F9F" w:rsidRPr="00761142" w:rsidRDefault="007E2F9F" w:rsidP="006548F8">
            <w:pPr>
              <w:ind w:right="-1440"/>
              <w:jc w:val="both"/>
              <w:rPr>
                <w:rFonts w:ascii="Arial" w:hAnsi="Arial" w:cs="Arial"/>
                <w:b/>
                <w:bCs/>
                <w:sz w:val="18"/>
                <w:szCs w:val="18"/>
                <w:lang w:val="es-ES_tradnl"/>
              </w:rPr>
            </w:pPr>
            <w:r w:rsidRPr="00761142">
              <w:rPr>
                <w:rFonts w:ascii="Arial" w:hAnsi="Arial" w:cs="Arial"/>
                <w:b/>
                <w:bCs/>
                <w:sz w:val="18"/>
                <w:szCs w:val="18"/>
                <w:lang w:val="es-ES_tradnl"/>
              </w:rPr>
              <w:t>FUNCIONAMIENTO</w:t>
            </w:r>
          </w:p>
        </w:tc>
        <w:tc>
          <w:tcPr>
            <w:tcW w:w="2354" w:type="dxa"/>
            <w:vAlign w:val="bottom"/>
          </w:tcPr>
          <w:p w14:paraId="2B17238A" w14:textId="77777777" w:rsidR="007E2F9F" w:rsidRPr="00761142" w:rsidRDefault="007E2F9F" w:rsidP="006548F8">
            <w:pPr>
              <w:jc w:val="right"/>
              <w:rPr>
                <w:rFonts w:ascii="Arial" w:eastAsia="Calibri" w:hAnsi="Arial" w:cs="Arial"/>
                <w:b/>
                <w:bCs/>
                <w:sz w:val="18"/>
                <w:szCs w:val="18"/>
                <w:lang w:val="es-CO"/>
              </w:rPr>
            </w:pPr>
            <w:r w:rsidRPr="00761142">
              <w:rPr>
                <w:rFonts w:ascii="Arial" w:hAnsi="Arial" w:cs="Arial"/>
                <w:sz w:val="16"/>
                <w:szCs w:val="16"/>
              </w:rPr>
              <w:t>26.005.266.699</w:t>
            </w:r>
          </w:p>
        </w:tc>
        <w:tc>
          <w:tcPr>
            <w:tcW w:w="2354" w:type="dxa"/>
            <w:vAlign w:val="bottom"/>
          </w:tcPr>
          <w:p w14:paraId="31BB1E14" w14:textId="77777777" w:rsidR="007E2F9F" w:rsidRPr="00761142" w:rsidRDefault="007E2F9F" w:rsidP="006548F8">
            <w:pPr>
              <w:pStyle w:val="Prrafodelista"/>
              <w:ind w:left="0"/>
              <w:jc w:val="right"/>
              <w:rPr>
                <w:rFonts w:ascii="Arial" w:hAnsi="Arial" w:cs="Arial"/>
                <w:b/>
                <w:bCs/>
                <w:sz w:val="18"/>
                <w:szCs w:val="18"/>
              </w:rPr>
            </w:pPr>
            <w:r w:rsidRPr="00761142">
              <w:rPr>
                <w:rFonts w:ascii="Arial" w:hAnsi="Arial" w:cs="Arial"/>
                <w:sz w:val="16"/>
                <w:szCs w:val="16"/>
              </w:rPr>
              <w:t>21.695.647.495</w:t>
            </w:r>
          </w:p>
        </w:tc>
        <w:tc>
          <w:tcPr>
            <w:tcW w:w="2238" w:type="dxa"/>
            <w:vAlign w:val="bottom"/>
          </w:tcPr>
          <w:p w14:paraId="727DC0E6" w14:textId="77777777" w:rsidR="007E2F9F" w:rsidRPr="00761142" w:rsidRDefault="007E2F9F" w:rsidP="006548F8">
            <w:pPr>
              <w:pStyle w:val="Prrafodelista"/>
              <w:ind w:left="0"/>
              <w:jc w:val="right"/>
              <w:rPr>
                <w:rFonts w:ascii="Arial" w:hAnsi="Arial" w:cs="Arial"/>
                <w:b/>
                <w:bCs/>
                <w:sz w:val="18"/>
                <w:szCs w:val="18"/>
              </w:rPr>
            </w:pPr>
            <w:r w:rsidRPr="00761142">
              <w:rPr>
                <w:rFonts w:ascii="Arial" w:hAnsi="Arial" w:cs="Arial"/>
                <w:sz w:val="16"/>
                <w:szCs w:val="16"/>
              </w:rPr>
              <w:t>4.309.619.204</w:t>
            </w:r>
          </w:p>
        </w:tc>
      </w:tr>
      <w:tr w:rsidR="007E2F9F" w:rsidRPr="00761142" w14:paraId="699B5453" w14:textId="77777777" w:rsidTr="006548F8">
        <w:trPr>
          <w:trHeight w:val="230"/>
        </w:trPr>
        <w:tc>
          <w:tcPr>
            <w:tcW w:w="3544" w:type="dxa"/>
          </w:tcPr>
          <w:p w14:paraId="0365759A" w14:textId="77777777" w:rsidR="007E2F9F" w:rsidRPr="00761142" w:rsidRDefault="007E2F9F" w:rsidP="006548F8">
            <w:pPr>
              <w:ind w:right="-1440"/>
              <w:jc w:val="both"/>
              <w:rPr>
                <w:rFonts w:ascii="Arial" w:hAnsi="Arial" w:cs="Arial"/>
                <w:b/>
                <w:bCs/>
                <w:sz w:val="18"/>
                <w:szCs w:val="18"/>
                <w:lang w:val="es-ES_tradnl"/>
              </w:rPr>
            </w:pPr>
            <w:r w:rsidRPr="00761142">
              <w:rPr>
                <w:rFonts w:ascii="Arial" w:hAnsi="Arial" w:cs="Arial"/>
                <w:b/>
                <w:bCs/>
                <w:sz w:val="18"/>
                <w:szCs w:val="18"/>
                <w:lang w:val="es-ES_tradnl"/>
              </w:rPr>
              <w:t>NVERSIÓN</w:t>
            </w:r>
          </w:p>
        </w:tc>
        <w:tc>
          <w:tcPr>
            <w:tcW w:w="2354" w:type="dxa"/>
            <w:vAlign w:val="bottom"/>
          </w:tcPr>
          <w:p w14:paraId="665D53BC" w14:textId="77777777" w:rsidR="007E2F9F" w:rsidRPr="00761142" w:rsidRDefault="007E2F9F" w:rsidP="006548F8">
            <w:pPr>
              <w:jc w:val="right"/>
              <w:rPr>
                <w:rFonts w:ascii="Arial" w:eastAsia="Calibri" w:hAnsi="Arial" w:cs="Arial"/>
                <w:b/>
                <w:bCs/>
                <w:sz w:val="18"/>
                <w:szCs w:val="18"/>
                <w:lang w:val="es-CO"/>
              </w:rPr>
            </w:pPr>
            <w:r w:rsidRPr="00761142">
              <w:rPr>
                <w:rFonts w:ascii="Arial" w:hAnsi="Arial" w:cs="Arial"/>
                <w:color w:val="000000"/>
                <w:sz w:val="16"/>
                <w:szCs w:val="16"/>
              </w:rPr>
              <w:t>2.961.827.973</w:t>
            </w:r>
          </w:p>
        </w:tc>
        <w:tc>
          <w:tcPr>
            <w:tcW w:w="2354" w:type="dxa"/>
            <w:vAlign w:val="bottom"/>
          </w:tcPr>
          <w:p w14:paraId="25623561" w14:textId="77777777" w:rsidR="007E2F9F" w:rsidRPr="00761142" w:rsidRDefault="007E2F9F" w:rsidP="006548F8">
            <w:pPr>
              <w:pStyle w:val="Prrafodelista"/>
              <w:ind w:left="0"/>
              <w:jc w:val="right"/>
              <w:rPr>
                <w:rFonts w:ascii="Arial" w:eastAsia="Calibri" w:hAnsi="Arial" w:cs="Arial"/>
                <w:b/>
                <w:bCs/>
                <w:sz w:val="18"/>
                <w:szCs w:val="18"/>
                <w:lang w:val="es-CO"/>
              </w:rPr>
            </w:pPr>
            <w:r w:rsidRPr="00761142">
              <w:rPr>
                <w:rFonts w:ascii="Arial" w:hAnsi="Arial" w:cs="Arial"/>
                <w:color w:val="000000"/>
                <w:sz w:val="16"/>
                <w:szCs w:val="16"/>
              </w:rPr>
              <w:t>2.688.326.626</w:t>
            </w:r>
          </w:p>
        </w:tc>
        <w:tc>
          <w:tcPr>
            <w:tcW w:w="2238" w:type="dxa"/>
            <w:vAlign w:val="bottom"/>
          </w:tcPr>
          <w:p w14:paraId="43A69B29" w14:textId="77777777" w:rsidR="007E2F9F" w:rsidRPr="00761142" w:rsidRDefault="007E2F9F" w:rsidP="006548F8">
            <w:pPr>
              <w:pStyle w:val="Prrafodelista"/>
              <w:ind w:left="0"/>
              <w:jc w:val="right"/>
              <w:rPr>
                <w:rFonts w:ascii="Arial" w:hAnsi="Arial" w:cs="Arial"/>
                <w:b/>
                <w:bCs/>
                <w:sz w:val="18"/>
                <w:szCs w:val="18"/>
              </w:rPr>
            </w:pPr>
            <w:r w:rsidRPr="00761142">
              <w:rPr>
                <w:rFonts w:ascii="Arial" w:hAnsi="Arial" w:cs="Arial"/>
                <w:color w:val="000000"/>
                <w:sz w:val="16"/>
                <w:szCs w:val="16"/>
              </w:rPr>
              <w:t>273.501.347</w:t>
            </w:r>
          </w:p>
        </w:tc>
      </w:tr>
      <w:tr w:rsidR="007E2F9F" w:rsidRPr="00761142" w14:paraId="2427FBD2" w14:textId="77777777" w:rsidTr="006548F8">
        <w:tc>
          <w:tcPr>
            <w:tcW w:w="3544" w:type="dxa"/>
          </w:tcPr>
          <w:p w14:paraId="06FEEB98" w14:textId="77777777" w:rsidR="007E2F9F" w:rsidRPr="00761142" w:rsidRDefault="007E2F9F" w:rsidP="006548F8">
            <w:pPr>
              <w:ind w:right="-1440"/>
              <w:jc w:val="both"/>
              <w:rPr>
                <w:rFonts w:ascii="Arial" w:hAnsi="Arial" w:cs="Arial"/>
                <w:b/>
                <w:bCs/>
                <w:sz w:val="18"/>
                <w:szCs w:val="18"/>
                <w:lang w:val="es-ES_tradnl"/>
              </w:rPr>
            </w:pPr>
            <w:r w:rsidRPr="00761142">
              <w:rPr>
                <w:rFonts w:ascii="Arial" w:hAnsi="Arial" w:cs="Arial"/>
                <w:b/>
                <w:bCs/>
                <w:sz w:val="18"/>
                <w:szCs w:val="18"/>
                <w:lang w:val="es-ES_tradnl"/>
              </w:rPr>
              <w:t>TOTAL PÉRDIDAS DE APROPIACIÓN</w:t>
            </w:r>
          </w:p>
        </w:tc>
        <w:tc>
          <w:tcPr>
            <w:tcW w:w="2354" w:type="dxa"/>
            <w:vAlign w:val="bottom"/>
          </w:tcPr>
          <w:p w14:paraId="7CA0C7DC" w14:textId="77777777" w:rsidR="007E2F9F" w:rsidRPr="00761142" w:rsidRDefault="007E2F9F" w:rsidP="006548F8">
            <w:pPr>
              <w:pStyle w:val="Prrafodelista"/>
              <w:ind w:left="0"/>
              <w:jc w:val="right"/>
              <w:rPr>
                <w:rFonts w:ascii="Arial" w:hAnsi="Arial" w:cs="Arial"/>
                <w:b/>
                <w:bCs/>
                <w:sz w:val="18"/>
                <w:szCs w:val="18"/>
                <w:u w:val="single"/>
              </w:rPr>
            </w:pPr>
            <w:r w:rsidRPr="00761142">
              <w:rPr>
                <w:rFonts w:ascii="Arial" w:hAnsi="Arial" w:cs="Arial"/>
                <w:sz w:val="16"/>
                <w:szCs w:val="16"/>
              </w:rPr>
              <w:t>28.967.094.672</w:t>
            </w:r>
          </w:p>
        </w:tc>
        <w:tc>
          <w:tcPr>
            <w:tcW w:w="2354" w:type="dxa"/>
            <w:vAlign w:val="bottom"/>
          </w:tcPr>
          <w:p w14:paraId="3F20321E" w14:textId="77777777" w:rsidR="007E2F9F" w:rsidRPr="00761142" w:rsidRDefault="007E2F9F" w:rsidP="006548F8">
            <w:pPr>
              <w:pStyle w:val="Prrafodelista"/>
              <w:ind w:left="0"/>
              <w:jc w:val="right"/>
              <w:rPr>
                <w:rFonts w:ascii="Arial" w:hAnsi="Arial" w:cs="Arial"/>
                <w:b/>
                <w:bCs/>
                <w:sz w:val="18"/>
                <w:szCs w:val="18"/>
                <w:u w:val="single"/>
              </w:rPr>
            </w:pPr>
            <w:r w:rsidRPr="00761142">
              <w:rPr>
                <w:rFonts w:ascii="Arial" w:hAnsi="Arial" w:cs="Arial"/>
                <w:sz w:val="16"/>
                <w:szCs w:val="16"/>
              </w:rPr>
              <w:t>24.383.974.121</w:t>
            </w:r>
          </w:p>
        </w:tc>
        <w:tc>
          <w:tcPr>
            <w:tcW w:w="2238" w:type="dxa"/>
            <w:vAlign w:val="bottom"/>
          </w:tcPr>
          <w:p w14:paraId="512F71A7" w14:textId="77777777" w:rsidR="007E2F9F" w:rsidRPr="00761142" w:rsidRDefault="007E2F9F" w:rsidP="006548F8">
            <w:pPr>
              <w:pStyle w:val="Prrafodelista"/>
              <w:ind w:left="0"/>
              <w:jc w:val="right"/>
              <w:rPr>
                <w:rFonts w:ascii="Arial" w:hAnsi="Arial" w:cs="Arial"/>
                <w:b/>
                <w:bCs/>
                <w:sz w:val="18"/>
                <w:szCs w:val="18"/>
                <w:u w:val="single"/>
              </w:rPr>
            </w:pPr>
            <w:r w:rsidRPr="00761142">
              <w:rPr>
                <w:rFonts w:ascii="Arial" w:hAnsi="Arial" w:cs="Arial"/>
                <w:sz w:val="16"/>
                <w:szCs w:val="16"/>
              </w:rPr>
              <w:t>4.583.120.551</w:t>
            </w:r>
          </w:p>
        </w:tc>
      </w:tr>
    </w:tbl>
    <w:p w14:paraId="2CF46D33" w14:textId="77777777" w:rsidR="007E2F9F" w:rsidRDefault="007E2F9F" w:rsidP="007E2F9F">
      <w:pPr>
        <w:ind w:left="-284" w:right="-234"/>
        <w:rPr>
          <w:rFonts w:ascii="Arial" w:eastAsia="Calibri" w:hAnsi="Arial" w:cs="Arial"/>
          <w:b/>
          <w:u w:val="single"/>
          <w:lang w:val="es-MX"/>
        </w:rPr>
      </w:pPr>
    </w:p>
    <w:p w14:paraId="380E0310" w14:textId="77777777" w:rsidR="007E2F9F" w:rsidRPr="006762CB" w:rsidRDefault="007E2F9F" w:rsidP="007E2F9F">
      <w:pPr>
        <w:ind w:left="-284"/>
        <w:jc w:val="both"/>
        <w:rPr>
          <w:rFonts w:ascii="Arial" w:hAnsi="Arial" w:cs="Arial"/>
          <w:b/>
          <w:sz w:val="28"/>
          <w:szCs w:val="28"/>
          <w:lang w:val="es-MX"/>
        </w:rPr>
      </w:pPr>
      <w:r w:rsidRPr="006762CB">
        <w:rPr>
          <w:rFonts w:ascii="Arial" w:hAnsi="Arial" w:cs="Arial"/>
          <w:b/>
          <w:sz w:val="28"/>
          <w:szCs w:val="28"/>
          <w:lang w:val="es-MX"/>
        </w:rPr>
        <w:t xml:space="preserve">329.- SERVICIO NACIONAL DE APRENDIZAJE – SENA. </w:t>
      </w:r>
    </w:p>
    <w:p w14:paraId="0C9845DF"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8BD334F"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1D66397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6762CB" w14:paraId="46484B98" w14:textId="77777777" w:rsidTr="006548F8">
        <w:tc>
          <w:tcPr>
            <w:tcW w:w="3544" w:type="dxa"/>
          </w:tcPr>
          <w:p w14:paraId="75B83770" w14:textId="77777777" w:rsidR="007E2F9F" w:rsidRPr="006762CB" w:rsidRDefault="007E2F9F" w:rsidP="006548F8">
            <w:pPr>
              <w:ind w:left="1169" w:right="-1440"/>
              <w:rPr>
                <w:rFonts w:ascii="Arial" w:hAnsi="Arial" w:cs="Arial"/>
                <w:b/>
                <w:sz w:val="18"/>
                <w:szCs w:val="18"/>
                <w:lang w:val="es-ES_tradnl"/>
              </w:rPr>
            </w:pPr>
            <w:r w:rsidRPr="006762CB">
              <w:rPr>
                <w:rFonts w:ascii="Arial" w:hAnsi="Arial" w:cs="Arial"/>
                <w:b/>
                <w:sz w:val="18"/>
                <w:szCs w:val="18"/>
                <w:lang w:val="es-ES_tradnl"/>
              </w:rPr>
              <w:t>TIPO DE GASTO</w:t>
            </w:r>
          </w:p>
        </w:tc>
        <w:tc>
          <w:tcPr>
            <w:tcW w:w="2354" w:type="dxa"/>
          </w:tcPr>
          <w:p w14:paraId="3733CB62" w14:textId="77777777" w:rsidR="007E2F9F" w:rsidRPr="006762CB" w:rsidRDefault="007E2F9F" w:rsidP="006548F8">
            <w:pPr>
              <w:jc w:val="center"/>
              <w:rPr>
                <w:rFonts w:ascii="Arial" w:hAnsi="Arial" w:cs="Arial"/>
                <w:b/>
                <w:sz w:val="18"/>
                <w:szCs w:val="18"/>
                <w:lang w:val="es-ES_tradnl"/>
              </w:rPr>
            </w:pPr>
            <w:r w:rsidRPr="006762CB">
              <w:rPr>
                <w:rFonts w:ascii="Arial" w:hAnsi="Arial" w:cs="Arial"/>
                <w:b/>
                <w:sz w:val="18"/>
                <w:szCs w:val="18"/>
                <w:lang w:val="es-ES_tradnl"/>
              </w:rPr>
              <w:t>APROPIACIÓN</w:t>
            </w:r>
          </w:p>
          <w:p w14:paraId="590E46A4" w14:textId="77777777" w:rsidR="007E2F9F" w:rsidRPr="006762CB" w:rsidRDefault="007E2F9F" w:rsidP="006548F8">
            <w:pPr>
              <w:jc w:val="center"/>
              <w:rPr>
                <w:rFonts w:ascii="Arial" w:hAnsi="Arial" w:cs="Arial"/>
                <w:b/>
                <w:sz w:val="18"/>
                <w:szCs w:val="18"/>
                <w:lang w:val="es-ES_tradnl"/>
              </w:rPr>
            </w:pPr>
            <w:r w:rsidRPr="006762CB">
              <w:rPr>
                <w:rFonts w:ascii="Arial" w:hAnsi="Arial" w:cs="Arial"/>
                <w:b/>
                <w:sz w:val="18"/>
                <w:szCs w:val="18"/>
                <w:lang w:val="es-ES_tradnl"/>
              </w:rPr>
              <w:t>DEFINITIVA</w:t>
            </w:r>
          </w:p>
          <w:p w14:paraId="13B8EBD4" w14:textId="77777777" w:rsidR="007E2F9F" w:rsidRPr="006762CB" w:rsidRDefault="007E2F9F" w:rsidP="006548F8">
            <w:pPr>
              <w:jc w:val="center"/>
              <w:rPr>
                <w:rFonts w:ascii="Arial" w:hAnsi="Arial" w:cs="Arial"/>
                <w:b/>
                <w:sz w:val="18"/>
                <w:szCs w:val="18"/>
                <w:lang w:val="es-ES_tradnl"/>
              </w:rPr>
            </w:pPr>
            <w:r w:rsidRPr="006762CB">
              <w:rPr>
                <w:rFonts w:ascii="Arial" w:hAnsi="Arial" w:cs="Arial"/>
                <w:b/>
                <w:sz w:val="18"/>
                <w:szCs w:val="18"/>
                <w:lang w:val="es-ES_tradnl"/>
              </w:rPr>
              <w:t>(1)</w:t>
            </w:r>
          </w:p>
          <w:p w14:paraId="383BED39" w14:textId="77777777" w:rsidR="007E2F9F" w:rsidRPr="006762CB" w:rsidRDefault="007E2F9F" w:rsidP="006548F8">
            <w:pPr>
              <w:jc w:val="center"/>
              <w:rPr>
                <w:rFonts w:ascii="Arial" w:hAnsi="Arial" w:cs="Arial"/>
                <w:b/>
                <w:sz w:val="18"/>
                <w:szCs w:val="18"/>
                <w:lang w:val="es-ES_tradnl"/>
              </w:rPr>
            </w:pPr>
          </w:p>
        </w:tc>
        <w:tc>
          <w:tcPr>
            <w:tcW w:w="2354" w:type="dxa"/>
          </w:tcPr>
          <w:p w14:paraId="6E0868F0" w14:textId="77777777" w:rsidR="007E2F9F" w:rsidRPr="006762CB" w:rsidRDefault="007E2F9F" w:rsidP="006548F8">
            <w:pPr>
              <w:ind w:left="145" w:right="184"/>
              <w:jc w:val="center"/>
              <w:rPr>
                <w:rFonts w:ascii="Arial" w:hAnsi="Arial" w:cs="Arial"/>
                <w:b/>
                <w:sz w:val="18"/>
                <w:szCs w:val="18"/>
                <w:lang w:val="es-ES_tradnl"/>
              </w:rPr>
            </w:pPr>
            <w:r w:rsidRPr="006762CB">
              <w:rPr>
                <w:rFonts w:ascii="Arial" w:hAnsi="Arial" w:cs="Arial"/>
                <w:b/>
                <w:sz w:val="18"/>
                <w:szCs w:val="18"/>
                <w:lang w:val="es-ES_tradnl"/>
              </w:rPr>
              <w:t>EJECUCIÓN</w:t>
            </w:r>
          </w:p>
          <w:p w14:paraId="53AEB918" w14:textId="77777777" w:rsidR="007E2F9F" w:rsidRPr="006762CB" w:rsidRDefault="007E2F9F" w:rsidP="006548F8">
            <w:pPr>
              <w:ind w:right="34"/>
              <w:jc w:val="center"/>
              <w:rPr>
                <w:rFonts w:ascii="Arial" w:hAnsi="Arial" w:cs="Arial"/>
                <w:b/>
                <w:sz w:val="18"/>
                <w:szCs w:val="18"/>
                <w:lang w:val="es-ES_tradnl"/>
              </w:rPr>
            </w:pPr>
            <w:r w:rsidRPr="006762CB">
              <w:rPr>
                <w:rFonts w:ascii="Arial" w:hAnsi="Arial" w:cs="Arial"/>
                <w:b/>
                <w:sz w:val="18"/>
                <w:szCs w:val="18"/>
                <w:lang w:val="es-ES_tradnl"/>
              </w:rPr>
              <w:t>COMPROMISOS</w:t>
            </w:r>
          </w:p>
          <w:p w14:paraId="70FFBBF0" w14:textId="77777777" w:rsidR="007E2F9F" w:rsidRPr="006762CB" w:rsidRDefault="007E2F9F" w:rsidP="006548F8">
            <w:pPr>
              <w:ind w:right="34"/>
              <w:jc w:val="center"/>
              <w:rPr>
                <w:rFonts w:ascii="Arial" w:hAnsi="Arial" w:cs="Arial"/>
                <w:b/>
                <w:sz w:val="18"/>
                <w:szCs w:val="18"/>
                <w:lang w:val="es-ES_tradnl"/>
              </w:rPr>
            </w:pPr>
            <w:r w:rsidRPr="006762CB">
              <w:rPr>
                <w:rFonts w:ascii="Arial" w:hAnsi="Arial" w:cs="Arial"/>
                <w:b/>
                <w:sz w:val="18"/>
                <w:szCs w:val="18"/>
                <w:lang w:val="es-ES_tradnl"/>
              </w:rPr>
              <w:t>(2)</w:t>
            </w:r>
          </w:p>
        </w:tc>
        <w:tc>
          <w:tcPr>
            <w:tcW w:w="2238" w:type="dxa"/>
          </w:tcPr>
          <w:p w14:paraId="1DD9C772" w14:textId="77777777" w:rsidR="007E2F9F" w:rsidRPr="006762CB" w:rsidRDefault="007E2F9F" w:rsidP="006548F8">
            <w:pPr>
              <w:ind w:left="25" w:right="34"/>
              <w:jc w:val="center"/>
              <w:rPr>
                <w:rFonts w:ascii="Arial" w:hAnsi="Arial" w:cs="Arial"/>
                <w:b/>
                <w:sz w:val="18"/>
                <w:szCs w:val="18"/>
                <w:lang w:val="es-ES_tradnl"/>
              </w:rPr>
            </w:pPr>
            <w:r w:rsidRPr="006762CB">
              <w:rPr>
                <w:rFonts w:ascii="Arial" w:hAnsi="Arial" w:cs="Arial"/>
                <w:b/>
                <w:sz w:val="18"/>
                <w:szCs w:val="18"/>
                <w:lang w:val="es-ES_tradnl"/>
              </w:rPr>
              <w:t>PÉRDIDAS DE</w:t>
            </w:r>
          </w:p>
          <w:p w14:paraId="46C53190" w14:textId="77777777" w:rsidR="007E2F9F" w:rsidRPr="006762CB" w:rsidRDefault="007E2F9F" w:rsidP="006548F8">
            <w:pPr>
              <w:ind w:right="34"/>
              <w:jc w:val="center"/>
              <w:rPr>
                <w:rFonts w:ascii="Arial" w:hAnsi="Arial" w:cs="Arial"/>
                <w:b/>
                <w:sz w:val="18"/>
                <w:szCs w:val="18"/>
                <w:lang w:val="es-ES_tradnl"/>
              </w:rPr>
            </w:pPr>
            <w:r w:rsidRPr="006762CB">
              <w:rPr>
                <w:rFonts w:ascii="Arial" w:hAnsi="Arial" w:cs="Arial"/>
                <w:b/>
                <w:sz w:val="18"/>
                <w:szCs w:val="18"/>
                <w:lang w:val="es-ES_tradnl"/>
              </w:rPr>
              <w:t>APROPIACIÓN</w:t>
            </w:r>
          </w:p>
          <w:p w14:paraId="160B304A" w14:textId="77777777" w:rsidR="007E2F9F" w:rsidRPr="006762CB" w:rsidRDefault="007E2F9F" w:rsidP="006548F8">
            <w:pPr>
              <w:ind w:right="34"/>
              <w:jc w:val="center"/>
              <w:rPr>
                <w:rFonts w:ascii="Arial" w:hAnsi="Arial" w:cs="Arial"/>
                <w:b/>
                <w:sz w:val="18"/>
                <w:szCs w:val="18"/>
                <w:lang w:val="es-ES_tradnl"/>
              </w:rPr>
            </w:pPr>
            <w:r w:rsidRPr="006762CB">
              <w:rPr>
                <w:rFonts w:ascii="Arial" w:hAnsi="Arial" w:cs="Arial"/>
                <w:b/>
                <w:sz w:val="18"/>
                <w:szCs w:val="18"/>
                <w:lang w:val="es-ES_tradnl"/>
              </w:rPr>
              <w:t>3 = (1-2)</w:t>
            </w:r>
          </w:p>
        </w:tc>
      </w:tr>
      <w:tr w:rsidR="007E2F9F" w:rsidRPr="006762CB" w14:paraId="0B7DA8A9" w14:textId="77777777" w:rsidTr="006548F8">
        <w:trPr>
          <w:trHeight w:val="230"/>
        </w:trPr>
        <w:tc>
          <w:tcPr>
            <w:tcW w:w="3544" w:type="dxa"/>
          </w:tcPr>
          <w:p w14:paraId="5E88CF59" w14:textId="77777777" w:rsidR="007E2F9F" w:rsidRPr="006762CB" w:rsidRDefault="007E2F9F" w:rsidP="006548F8">
            <w:pPr>
              <w:ind w:right="-1440"/>
              <w:jc w:val="both"/>
              <w:rPr>
                <w:rFonts w:ascii="Arial" w:hAnsi="Arial" w:cs="Arial"/>
                <w:b/>
                <w:bCs/>
                <w:sz w:val="18"/>
                <w:szCs w:val="18"/>
                <w:lang w:val="es-ES_tradnl"/>
              </w:rPr>
            </w:pPr>
            <w:r w:rsidRPr="006762CB">
              <w:rPr>
                <w:rFonts w:ascii="Arial" w:hAnsi="Arial" w:cs="Arial"/>
                <w:b/>
                <w:bCs/>
                <w:sz w:val="18"/>
                <w:szCs w:val="18"/>
                <w:lang w:val="es-ES_tradnl"/>
              </w:rPr>
              <w:t>FUNCIONAMIENTO</w:t>
            </w:r>
          </w:p>
        </w:tc>
        <w:tc>
          <w:tcPr>
            <w:tcW w:w="2354" w:type="dxa"/>
            <w:vAlign w:val="bottom"/>
          </w:tcPr>
          <w:p w14:paraId="41876DF6" w14:textId="77777777" w:rsidR="007E2F9F" w:rsidRPr="006762CB" w:rsidRDefault="007E2F9F" w:rsidP="006548F8">
            <w:pPr>
              <w:jc w:val="right"/>
              <w:rPr>
                <w:rFonts w:ascii="Arial" w:eastAsia="Calibri" w:hAnsi="Arial" w:cs="Arial"/>
                <w:b/>
                <w:bCs/>
                <w:sz w:val="18"/>
                <w:szCs w:val="18"/>
                <w:lang w:val="es-CO"/>
              </w:rPr>
            </w:pPr>
            <w:r w:rsidRPr="006762CB">
              <w:rPr>
                <w:rFonts w:ascii="Arial" w:eastAsia="Calibri" w:hAnsi="Arial" w:cs="Arial"/>
                <w:b/>
                <w:bCs/>
                <w:sz w:val="18"/>
                <w:szCs w:val="18"/>
                <w:lang w:val="es-CO"/>
              </w:rPr>
              <w:t>?</w:t>
            </w:r>
          </w:p>
        </w:tc>
        <w:tc>
          <w:tcPr>
            <w:tcW w:w="2354" w:type="dxa"/>
            <w:vAlign w:val="bottom"/>
          </w:tcPr>
          <w:p w14:paraId="03924E0A" w14:textId="77777777" w:rsidR="007E2F9F" w:rsidRPr="006762CB" w:rsidRDefault="007E2F9F" w:rsidP="006548F8">
            <w:pPr>
              <w:pStyle w:val="Prrafodelista"/>
              <w:ind w:left="0"/>
              <w:jc w:val="right"/>
              <w:rPr>
                <w:rFonts w:ascii="Arial" w:hAnsi="Arial" w:cs="Arial"/>
                <w:b/>
                <w:bCs/>
                <w:sz w:val="18"/>
                <w:szCs w:val="18"/>
              </w:rPr>
            </w:pPr>
            <w:r w:rsidRPr="006762CB">
              <w:rPr>
                <w:rFonts w:ascii="Arial" w:eastAsia="Calibri" w:hAnsi="Arial" w:cs="Arial"/>
                <w:b/>
                <w:bCs/>
                <w:sz w:val="18"/>
                <w:szCs w:val="18"/>
                <w:lang w:val="es-CO"/>
              </w:rPr>
              <w:t>?</w:t>
            </w:r>
          </w:p>
        </w:tc>
        <w:tc>
          <w:tcPr>
            <w:tcW w:w="2238" w:type="dxa"/>
            <w:vAlign w:val="bottom"/>
          </w:tcPr>
          <w:p w14:paraId="1EC876AE" w14:textId="77777777" w:rsidR="007E2F9F" w:rsidRPr="006762CB" w:rsidRDefault="007E2F9F" w:rsidP="006548F8">
            <w:pPr>
              <w:pStyle w:val="Prrafodelista"/>
              <w:ind w:left="0"/>
              <w:jc w:val="right"/>
              <w:rPr>
                <w:rFonts w:ascii="Arial" w:hAnsi="Arial" w:cs="Arial"/>
                <w:b/>
                <w:bCs/>
                <w:sz w:val="18"/>
                <w:szCs w:val="18"/>
              </w:rPr>
            </w:pPr>
            <w:r w:rsidRPr="006762CB">
              <w:rPr>
                <w:rFonts w:ascii="Arial" w:eastAsia="Calibri" w:hAnsi="Arial" w:cs="Arial"/>
                <w:b/>
                <w:bCs/>
                <w:sz w:val="18"/>
                <w:szCs w:val="18"/>
                <w:lang w:val="es-CO"/>
              </w:rPr>
              <w:t>?</w:t>
            </w:r>
          </w:p>
        </w:tc>
      </w:tr>
      <w:tr w:rsidR="007E2F9F" w:rsidRPr="006762CB" w14:paraId="3EF759C4" w14:textId="77777777" w:rsidTr="006548F8">
        <w:trPr>
          <w:trHeight w:val="230"/>
        </w:trPr>
        <w:tc>
          <w:tcPr>
            <w:tcW w:w="3544" w:type="dxa"/>
          </w:tcPr>
          <w:p w14:paraId="6EBC1EC1" w14:textId="77777777" w:rsidR="007E2F9F" w:rsidRPr="006762CB" w:rsidRDefault="007E2F9F" w:rsidP="006548F8">
            <w:pPr>
              <w:ind w:right="-1440"/>
              <w:jc w:val="both"/>
              <w:rPr>
                <w:rFonts w:ascii="Arial" w:hAnsi="Arial" w:cs="Arial"/>
                <w:b/>
                <w:bCs/>
                <w:sz w:val="18"/>
                <w:szCs w:val="18"/>
                <w:lang w:val="es-ES_tradnl"/>
              </w:rPr>
            </w:pPr>
            <w:r w:rsidRPr="006762CB">
              <w:rPr>
                <w:rFonts w:ascii="Arial" w:hAnsi="Arial" w:cs="Arial"/>
                <w:b/>
                <w:bCs/>
                <w:sz w:val="18"/>
                <w:szCs w:val="18"/>
                <w:lang w:val="es-ES_tradnl"/>
              </w:rPr>
              <w:t>NVERSIÓN</w:t>
            </w:r>
          </w:p>
        </w:tc>
        <w:tc>
          <w:tcPr>
            <w:tcW w:w="2354" w:type="dxa"/>
            <w:vAlign w:val="bottom"/>
          </w:tcPr>
          <w:p w14:paraId="41F4B744" w14:textId="77777777" w:rsidR="007E2F9F" w:rsidRPr="006762CB" w:rsidRDefault="007E2F9F" w:rsidP="006548F8">
            <w:pPr>
              <w:jc w:val="right"/>
              <w:rPr>
                <w:rFonts w:ascii="Arial" w:eastAsia="Calibri" w:hAnsi="Arial" w:cs="Arial"/>
                <w:b/>
                <w:bCs/>
                <w:sz w:val="18"/>
                <w:szCs w:val="18"/>
                <w:lang w:val="es-CO"/>
              </w:rPr>
            </w:pPr>
            <w:r w:rsidRPr="006762CB">
              <w:rPr>
                <w:rFonts w:ascii="Arial" w:hAnsi="Arial" w:cs="Arial"/>
                <w:color w:val="000000"/>
                <w:sz w:val="16"/>
                <w:szCs w:val="16"/>
              </w:rPr>
              <w:t>5.213.134.078,0</w:t>
            </w:r>
          </w:p>
        </w:tc>
        <w:tc>
          <w:tcPr>
            <w:tcW w:w="2354" w:type="dxa"/>
            <w:vAlign w:val="bottom"/>
          </w:tcPr>
          <w:p w14:paraId="64278DEF" w14:textId="77777777" w:rsidR="007E2F9F" w:rsidRPr="006762CB" w:rsidRDefault="007E2F9F" w:rsidP="006548F8">
            <w:pPr>
              <w:pStyle w:val="Prrafodelista"/>
              <w:ind w:left="0"/>
              <w:jc w:val="right"/>
              <w:rPr>
                <w:rFonts w:ascii="Arial" w:eastAsia="Calibri" w:hAnsi="Arial" w:cs="Arial"/>
                <w:b/>
                <w:bCs/>
                <w:sz w:val="18"/>
                <w:szCs w:val="18"/>
                <w:lang w:val="es-CO"/>
              </w:rPr>
            </w:pPr>
            <w:r w:rsidRPr="006762CB">
              <w:rPr>
                <w:rFonts w:ascii="Arial" w:hAnsi="Arial" w:cs="Arial"/>
                <w:color w:val="000000"/>
                <w:sz w:val="16"/>
                <w:szCs w:val="16"/>
              </w:rPr>
              <w:t>5.102.073.328,4</w:t>
            </w:r>
          </w:p>
        </w:tc>
        <w:tc>
          <w:tcPr>
            <w:tcW w:w="2238" w:type="dxa"/>
            <w:vAlign w:val="bottom"/>
          </w:tcPr>
          <w:p w14:paraId="5C7CE8AF" w14:textId="77777777" w:rsidR="007E2F9F" w:rsidRPr="006762CB" w:rsidRDefault="007E2F9F" w:rsidP="006548F8">
            <w:pPr>
              <w:pStyle w:val="Prrafodelista"/>
              <w:ind w:left="0"/>
              <w:jc w:val="right"/>
              <w:rPr>
                <w:rFonts w:ascii="Arial" w:hAnsi="Arial" w:cs="Arial"/>
                <w:b/>
                <w:bCs/>
                <w:sz w:val="18"/>
                <w:szCs w:val="18"/>
              </w:rPr>
            </w:pPr>
            <w:r w:rsidRPr="006762CB">
              <w:rPr>
                <w:rFonts w:ascii="Arial" w:hAnsi="Arial" w:cs="Arial"/>
                <w:color w:val="000000"/>
                <w:sz w:val="16"/>
                <w:szCs w:val="16"/>
              </w:rPr>
              <w:t>111.060.749,6</w:t>
            </w:r>
          </w:p>
        </w:tc>
      </w:tr>
      <w:tr w:rsidR="007E2F9F" w:rsidRPr="006762CB" w14:paraId="22BFAE33" w14:textId="77777777" w:rsidTr="006548F8">
        <w:tc>
          <w:tcPr>
            <w:tcW w:w="3544" w:type="dxa"/>
          </w:tcPr>
          <w:p w14:paraId="323B8607" w14:textId="77777777" w:rsidR="007E2F9F" w:rsidRPr="006762CB" w:rsidRDefault="007E2F9F" w:rsidP="006548F8">
            <w:pPr>
              <w:ind w:right="-1440"/>
              <w:jc w:val="both"/>
              <w:rPr>
                <w:rFonts w:ascii="Arial" w:hAnsi="Arial" w:cs="Arial"/>
                <w:b/>
                <w:bCs/>
                <w:sz w:val="18"/>
                <w:szCs w:val="18"/>
                <w:lang w:val="es-ES_tradnl"/>
              </w:rPr>
            </w:pPr>
            <w:r w:rsidRPr="006762CB">
              <w:rPr>
                <w:rFonts w:ascii="Arial" w:hAnsi="Arial" w:cs="Arial"/>
                <w:b/>
                <w:bCs/>
                <w:sz w:val="18"/>
                <w:szCs w:val="18"/>
                <w:lang w:val="es-ES_tradnl"/>
              </w:rPr>
              <w:t>TOTAL PÉRDIDAS DE APROPIACIÓN</w:t>
            </w:r>
          </w:p>
        </w:tc>
        <w:tc>
          <w:tcPr>
            <w:tcW w:w="2354" w:type="dxa"/>
            <w:vAlign w:val="bottom"/>
          </w:tcPr>
          <w:p w14:paraId="30917B82" w14:textId="77777777" w:rsidR="007E2F9F" w:rsidRPr="006762CB" w:rsidRDefault="007E2F9F" w:rsidP="006548F8">
            <w:pPr>
              <w:pStyle w:val="Prrafodelista"/>
              <w:ind w:left="0"/>
              <w:jc w:val="right"/>
              <w:rPr>
                <w:rFonts w:ascii="Arial" w:hAnsi="Arial" w:cs="Arial"/>
                <w:b/>
                <w:bCs/>
                <w:sz w:val="18"/>
                <w:szCs w:val="18"/>
                <w:u w:val="single"/>
              </w:rPr>
            </w:pPr>
            <w:r w:rsidRPr="006762CB">
              <w:rPr>
                <w:rFonts w:ascii="Arial" w:hAnsi="Arial" w:cs="Arial"/>
                <w:sz w:val="16"/>
                <w:szCs w:val="16"/>
              </w:rPr>
              <w:t>5.337.740.292,0</w:t>
            </w:r>
          </w:p>
        </w:tc>
        <w:tc>
          <w:tcPr>
            <w:tcW w:w="2354" w:type="dxa"/>
            <w:vAlign w:val="bottom"/>
          </w:tcPr>
          <w:p w14:paraId="583BF035" w14:textId="77777777" w:rsidR="007E2F9F" w:rsidRPr="006762CB" w:rsidRDefault="007E2F9F" w:rsidP="006548F8">
            <w:pPr>
              <w:pStyle w:val="Prrafodelista"/>
              <w:ind w:left="0"/>
              <w:jc w:val="right"/>
              <w:rPr>
                <w:rFonts w:ascii="Arial" w:hAnsi="Arial" w:cs="Arial"/>
                <w:b/>
                <w:bCs/>
                <w:sz w:val="18"/>
                <w:szCs w:val="18"/>
                <w:u w:val="single"/>
              </w:rPr>
            </w:pPr>
            <w:r w:rsidRPr="006762CB">
              <w:rPr>
                <w:rFonts w:ascii="Arial" w:hAnsi="Arial" w:cs="Arial"/>
                <w:sz w:val="16"/>
                <w:szCs w:val="16"/>
              </w:rPr>
              <w:t>5.214.225.701,0</w:t>
            </w:r>
          </w:p>
        </w:tc>
        <w:tc>
          <w:tcPr>
            <w:tcW w:w="2238" w:type="dxa"/>
            <w:vAlign w:val="bottom"/>
          </w:tcPr>
          <w:p w14:paraId="0E7B141F" w14:textId="77777777" w:rsidR="007E2F9F" w:rsidRPr="006762CB" w:rsidRDefault="007E2F9F" w:rsidP="006548F8">
            <w:pPr>
              <w:pStyle w:val="Prrafodelista"/>
              <w:ind w:left="0"/>
              <w:jc w:val="right"/>
              <w:rPr>
                <w:rFonts w:ascii="Arial" w:hAnsi="Arial" w:cs="Arial"/>
                <w:b/>
                <w:bCs/>
                <w:sz w:val="18"/>
                <w:szCs w:val="18"/>
                <w:u w:val="single"/>
              </w:rPr>
            </w:pPr>
            <w:r w:rsidRPr="006762CB">
              <w:rPr>
                <w:rFonts w:ascii="Arial" w:hAnsi="Arial" w:cs="Arial"/>
                <w:sz w:val="16"/>
                <w:szCs w:val="16"/>
              </w:rPr>
              <w:t>123.514.591,0</w:t>
            </w:r>
          </w:p>
        </w:tc>
      </w:tr>
    </w:tbl>
    <w:p w14:paraId="2E8A9233" w14:textId="77777777" w:rsidR="007E2F9F" w:rsidRDefault="007E2F9F" w:rsidP="007E2F9F">
      <w:pPr>
        <w:ind w:left="-284" w:right="-234"/>
        <w:rPr>
          <w:rFonts w:ascii="Arial" w:eastAsia="Calibri" w:hAnsi="Arial" w:cs="Arial"/>
          <w:b/>
          <w:u w:val="single"/>
          <w:lang w:val="es-MX"/>
        </w:rPr>
      </w:pPr>
    </w:p>
    <w:p w14:paraId="151786CC" w14:textId="77777777" w:rsidR="007E2F9F" w:rsidRPr="00FD46C7" w:rsidRDefault="007E2F9F" w:rsidP="007E2F9F">
      <w:pPr>
        <w:ind w:left="-284" w:right="-234"/>
        <w:jc w:val="both"/>
        <w:rPr>
          <w:rFonts w:ascii="Arial" w:hAnsi="Arial" w:cs="Arial"/>
          <w:b/>
          <w:sz w:val="28"/>
          <w:szCs w:val="28"/>
          <w:lang w:val="es-MX"/>
        </w:rPr>
      </w:pPr>
      <w:r w:rsidRPr="00FD46C7">
        <w:rPr>
          <w:rFonts w:ascii="Arial" w:hAnsi="Arial" w:cs="Arial"/>
          <w:b/>
          <w:sz w:val="28"/>
          <w:szCs w:val="28"/>
          <w:lang w:val="es-MX"/>
        </w:rPr>
        <w:t>330.- FONDO DE BIENESTAR SOCIAL CONTRALORÍA GENERAL DE LA REPÚBLICA.</w:t>
      </w:r>
    </w:p>
    <w:p w14:paraId="429AF289" w14:textId="77777777" w:rsidR="007E2F9F" w:rsidRDefault="007E2F9F" w:rsidP="007E2F9F">
      <w:pPr>
        <w:ind w:left="-284" w:right="-234"/>
        <w:rPr>
          <w:rFonts w:ascii="Arial" w:eastAsia="Calibri" w:hAnsi="Arial" w:cs="Arial"/>
          <w:b/>
          <w:u w:val="single"/>
          <w:lang w:val="es-MX"/>
        </w:rPr>
      </w:pPr>
    </w:p>
    <w:p w14:paraId="4D5754F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A63C12E"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FF6CAB1"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F87D1B" w14:paraId="5FDFED6F" w14:textId="77777777" w:rsidTr="006548F8">
        <w:tc>
          <w:tcPr>
            <w:tcW w:w="3544" w:type="dxa"/>
          </w:tcPr>
          <w:p w14:paraId="49CABEFE" w14:textId="77777777" w:rsidR="007E2F9F" w:rsidRPr="00F87D1B" w:rsidRDefault="007E2F9F" w:rsidP="006548F8">
            <w:pPr>
              <w:ind w:left="1169" w:right="-1440"/>
              <w:rPr>
                <w:rFonts w:ascii="Arial" w:hAnsi="Arial" w:cs="Arial"/>
                <w:b/>
                <w:sz w:val="18"/>
                <w:szCs w:val="18"/>
                <w:lang w:val="es-ES_tradnl"/>
              </w:rPr>
            </w:pPr>
            <w:r w:rsidRPr="00F87D1B">
              <w:rPr>
                <w:rFonts w:ascii="Arial" w:hAnsi="Arial" w:cs="Arial"/>
                <w:b/>
                <w:sz w:val="18"/>
                <w:szCs w:val="18"/>
                <w:lang w:val="es-ES_tradnl"/>
              </w:rPr>
              <w:t>TIPO DE GASTO</w:t>
            </w:r>
          </w:p>
        </w:tc>
        <w:tc>
          <w:tcPr>
            <w:tcW w:w="2354" w:type="dxa"/>
          </w:tcPr>
          <w:p w14:paraId="020DF630" w14:textId="77777777" w:rsidR="007E2F9F" w:rsidRPr="00F87D1B" w:rsidRDefault="007E2F9F" w:rsidP="006548F8">
            <w:pPr>
              <w:jc w:val="center"/>
              <w:rPr>
                <w:rFonts w:ascii="Arial" w:hAnsi="Arial" w:cs="Arial"/>
                <w:b/>
                <w:sz w:val="18"/>
                <w:szCs w:val="18"/>
                <w:lang w:val="es-ES_tradnl"/>
              </w:rPr>
            </w:pPr>
            <w:r w:rsidRPr="00F87D1B">
              <w:rPr>
                <w:rFonts w:ascii="Arial" w:hAnsi="Arial" w:cs="Arial"/>
                <w:b/>
                <w:sz w:val="18"/>
                <w:szCs w:val="18"/>
                <w:lang w:val="es-ES_tradnl"/>
              </w:rPr>
              <w:t>APROPIACIÓN</w:t>
            </w:r>
          </w:p>
          <w:p w14:paraId="6CAA2FBB" w14:textId="77777777" w:rsidR="007E2F9F" w:rsidRPr="00F87D1B" w:rsidRDefault="007E2F9F" w:rsidP="006548F8">
            <w:pPr>
              <w:jc w:val="center"/>
              <w:rPr>
                <w:rFonts w:ascii="Arial" w:hAnsi="Arial" w:cs="Arial"/>
                <w:b/>
                <w:sz w:val="18"/>
                <w:szCs w:val="18"/>
                <w:lang w:val="es-ES_tradnl"/>
              </w:rPr>
            </w:pPr>
            <w:r w:rsidRPr="00F87D1B">
              <w:rPr>
                <w:rFonts w:ascii="Arial" w:hAnsi="Arial" w:cs="Arial"/>
                <w:b/>
                <w:sz w:val="18"/>
                <w:szCs w:val="18"/>
                <w:lang w:val="es-ES_tradnl"/>
              </w:rPr>
              <w:t>DEFINITIVA</w:t>
            </w:r>
          </w:p>
          <w:p w14:paraId="57F5FDCA" w14:textId="77777777" w:rsidR="007E2F9F" w:rsidRPr="00F87D1B" w:rsidRDefault="007E2F9F" w:rsidP="006548F8">
            <w:pPr>
              <w:jc w:val="center"/>
              <w:rPr>
                <w:rFonts w:ascii="Arial" w:hAnsi="Arial" w:cs="Arial"/>
                <w:b/>
                <w:sz w:val="18"/>
                <w:szCs w:val="18"/>
                <w:lang w:val="es-ES_tradnl"/>
              </w:rPr>
            </w:pPr>
            <w:r w:rsidRPr="00F87D1B">
              <w:rPr>
                <w:rFonts w:ascii="Arial" w:hAnsi="Arial" w:cs="Arial"/>
                <w:b/>
                <w:sz w:val="18"/>
                <w:szCs w:val="18"/>
                <w:lang w:val="es-ES_tradnl"/>
              </w:rPr>
              <w:t>(1)</w:t>
            </w:r>
          </w:p>
          <w:p w14:paraId="13160BAC" w14:textId="77777777" w:rsidR="007E2F9F" w:rsidRPr="00F87D1B" w:rsidRDefault="007E2F9F" w:rsidP="006548F8">
            <w:pPr>
              <w:jc w:val="center"/>
              <w:rPr>
                <w:rFonts w:ascii="Arial" w:hAnsi="Arial" w:cs="Arial"/>
                <w:b/>
                <w:sz w:val="18"/>
                <w:szCs w:val="18"/>
                <w:lang w:val="es-ES_tradnl"/>
              </w:rPr>
            </w:pPr>
          </w:p>
        </w:tc>
        <w:tc>
          <w:tcPr>
            <w:tcW w:w="2354" w:type="dxa"/>
          </w:tcPr>
          <w:p w14:paraId="4FCA7E6E" w14:textId="77777777" w:rsidR="007E2F9F" w:rsidRPr="00F87D1B" w:rsidRDefault="007E2F9F" w:rsidP="006548F8">
            <w:pPr>
              <w:ind w:left="145" w:right="184"/>
              <w:jc w:val="center"/>
              <w:rPr>
                <w:rFonts w:ascii="Arial" w:hAnsi="Arial" w:cs="Arial"/>
                <w:b/>
                <w:sz w:val="18"/>
                <w:szCs w:val="18"/>
                <w:lang w:val="es-ES_tradnl"/>
              </w:rPr>
            </w:pPr>
            <w:r w:rsidRPr="00F87D1B">
              <w:rPr>
                <w:rFonts w:ascii="Arial" w:hAnsi="Arial" w:cs="Arial"/>
                <w:b/>
                <w:sz w:val="18"/>
                <w:szCs w:val="18"/>
                <w:lang w:val="es-ES_tradnl"/>
              </w:rPr>
              <w:t>EJECUCIÓN</w:t>
            </w:r>
          </w:p>
          <w:p w14:paraId="26611D9A" w14:textId="77777777" w:rsidR="007E2F9F" w:rsidRPr="00F87D1B" w:rsidRDefault="007E2F9F" w:rsidP="006548F8">
            <w:pPr>
              <w:ind w:right="34"/>
              <w:jc w:val="center"/>
              <w:rPr>
                <w:rFonts w:ascii="Arial" w:hAnsi="Arial" w:cs="Arial"/>
                <w:b/>
                <w:sz w:val="18"/>
                <w:szCs w:val="18"/>
                <w:lang w:val="es-ES_tradnl"/>
              </w:rPr>
            </w:pPr>
            <w:r w:rsidRPr="00F87D1B">
              <w:rPr>
                <w:rFonts w:ascii="Arial" w:hAnsi="Arial" w:cs="Arial"/>
                <w:b/>
                <w:sz w:val="18"/>
                <w:szCs w:val="18"/>
                <w:lang w:val="es-ES_tradnl"/>
              </w:rPr>
              <w:t>COMPROMISOS</w:t>
            </w:r>
          </w:p>
          <w:p w14:paraId="76B9560A" w14:textId="77777777" w:rsidR="007E2F9F" w:rsidRPr="00F87D1B" w:rsidRDefault="007E2F9F" w:rsidP="006548F8">
            <w:pPr>
              <w:ind w:right="34"/>
              <w:jc w:val="center"/>
              <w:rPr>
                <w:rFonts w:ascii="Arial" w:hAnsi="Arial" w:cs="Arial"/>
                <w:b/>
                <w:sz w:val="18"/>
                <w:szCs w:val="18"/>
                <w:lang w:val="es-ES_tradnl"/>
              </w:rPr>
            </w:pPr>
            <w:r w:rsidRPr="00F87D1B">
              <w:rPr>
                <w:rFonts w:ascii="Arial" w:hAnsi="Arial" w:cs="Arial"/>
                <w:b/>
                <w:sz w:val="18"/>
                <w:szCs w:val="18"/>
                <w:lang w:val="es-ES_tradnl"/>
              </w:rPr>
              <w:t>(2)</w:t>
            </w:r>
          </w:p>
        </w:tc>
        <w:tc>
          <w:tcPr>
            <w:tcW w:w="2238" w:type="dxa"/>
          </w:tcPr>
          <w:p w14:paraId="3F26A735" w14:textId="77777777" w:rsidR="007E2F9F" w:rsidRPr="00F87D1B" w:rsidRDefault="007E2F9F" w:rsidP="006548F8">
            <w:pPr>
              <w:ind w:left="25" w:right="34"/>
              <w:jc w:val="center"/>
              <w:rPr>
                <w:rFonts w:ascii="Arial" w:hAnsi="Arial" w:cs="Arial"/>
                <w:b/>
                <w:sz w:val="18"/>
                <w:szCs w:val="18"/>
                <w:lang w:val="es-ES_tradnl"/>
              </w:rPr>
            </w:pPr>
            <w:r w:rsidRPr="00F87D1B">
              <w:rPr>
                <w:rFonts w:ascii="Arial" w:hAnsi="Arial" w:cs="Arial"/>
                <w:b/>
                <w:sz w:val="18"/>
                <w:szCs w:val="18"/>
                <w:lang w:val="es-ES_tradnl"/>
              </w:rPr>
              <w:t>PÉRDIDAS DE</w:t>
            </w:r>
          </w:p>
          <w:p w14:paraId="48E9738C" w14:textId="77777777" w:rsidR="007E2F9F" w:rsidRPr="00F87D1B" w:rsidRDefault="007E2F9F" w:rsidP="006548F8">
            <w:pPr>
              <w:ind w:right="34"/>
              <w:jc w:val="center"/>
              <w:rPr>
                <w:rFonts w:ascii="Arial" w:hAnsi="Arial" w:cs="Arial"/>
                <w:b/>
                <w:sz w:val="18"/>
                <w:szCs w:val="18"/>
                <w:lang w:val="es-ES_tradnl"/>
              </w:rPr>
            </w:pPr>
            <w:r w:rsidRPr="00F87D1B">
              <w:rPr>
                <w:rFonts w:ascii="Arial" w:hAnsi="Arial" w:cs="Arial"/>
                <w:b/>
                <w:sz w:val="18"/>
                <w:szCs w:val="18"/>
                <w:lang w:val="es-ES_tradnl"/>
              </w:rPr>
              <w:t>APROPIACIÓN</w:t>
            </w:r>
          </w:p>
          <w:p w14:paraId="3F028CCA" w14:textId="77777777" w:rsidR="007E2F9F" w:rsidRPr="00F87D1B" w:rsidRDefault="007E2F9F" w:rsidP="006548F8">
            <w:pPr>
              <w:ind w:right="34"/>
              <w:jc w:val="center"/>
              <w:rPr>
                <w:rFonts w:ascii="Arial" w:hAnsi="Arial" w:cs="Arial"/>
                <w:b/>
                <w:sz w:val="18"/>
                <w:szCs w:val="18"/>
                <w:lang w:val="es-ES_tradnl"/>
              </w:rPr>
            </w:pPr>
            <w:r w:rsidRPr="00F87D1B">
              <w:rPr>
                <w:rFonts w:ascii="Arial" w:hAnsi="Arial" w:cs="Arial"/>
                <w:b/>
                <w:sz w:val="18"/>
                <w:szCs w:val="18"/>
                <w:lang w:val="es-ES_tradnl"/>
              </w:rPr>
              <w:t>3 = (1-2)</w:t>
            </w:r>
          </w:p>
        </w:tc>
      </w:tr>
      <w:tr w:rsidR="007E2F9F" w:rsidRPr="00F87D1B" w14:paraId="4C734DFD" w14:textId="77777777" w:rsidTr="006548F8">
        <w:trPr>
          <w:trHeight w:val="230"/>
        </w:trPr>
        <w:tc>
          <w:tcPr>
            <w:tcW w:w="3544" w:type="dxa"/>
          </w:tcPr>
          <w:p w14:paraId="2CA4A32D" w14:textId="77777777" w:rsidR="007E2F9F" w:rsidRPr="00F87D1B" w:rsidRDefault="007E2F9F" w:rsidP="006548F8">
            <w:pPr>
              <w:ind w:right="-1440"/>
              <w:jc w:val="both"/>
              <w:rPr>
                <w:rFonts w:ascii="Arial" w:hAnsi="Arial" w:cs="Arial"/>
                <w:b/>
                <w:bCs/>
                <w:sz w:val="18"/>
                <w:szCs w:val="18"/>
                <w:lang w:val="es-ES_tradnl"/>
              </w:rPr>
            </w:pPr>
            <w:r w:rsidRPr="00F87D1B">
              <w:rPr>
                <w:rFonts w:ascii="Arial" w:hAnsi="Arial" w:cs="Arial"/>
                <w:b/>
                <w:bCs/>
                <w:sz w:val="18"/>
                <w:szCs w:val="18"/>
                <w:lang w:val="es-ES_tradnl"/>
              </w:rPr>
              <w:t>FUNCIONAMIENTO</w:t>
            </w:r>
          </w:p>
        </w:tc>
        <w:tc>
          <w:tcPr>
            <w:tcW w:w="2354" w:type="dxa"/>
          </w:tcPr>
          <w:p w14:paraId="4314C5BF" w14:textId="77777777" w:rsidR="007E2F9F" w:rsidRPr="00F87D1B" w:rsidRDefault="007E2F9F" w:rsidP="006548F8">
            <w:pPr>
              <w:jc w:val="right"/>
              <w:rPr>
                <w:rFonts w:ascii="Arial" w:eastAsia="Calibri" w:hAnsi="Arial" w:cs="Arial"/>
                <w:b/>
                <w:bCs/>
                <w:sz w:val="18"/>
                <w:szCs w:val="18"/>
                <w:lang w:val="es-CO"/>
              </w:rPr>
            </w:pPr>
            <w:r w:rsidRPr="00F87D1B">
              <w:rPr>
                <w:rFonts w:ascii="Arial" w:hAnsi="Arial" w:cs="Arial"/>
                <w:b/>
                <w:sz w:val="16"/>
                <w:szCs w:val="16"/>
              </w:rPr>
              <w:t>129.498.000,00</w:t>
            </w:r>
          </w:p>
        </w:tc>
        <w:tc>
          <w:tcPr>
            <w:tcW w:w="2354" w:type="dxa"/>
          </w:tcPr>
          <w:p w14:paraId="0EF30668" w14:textId="77777777" w:rsidR="007E2F9F" w:rsidRPr="00F87D1B" w:rsidRDefault="007E2F9F" w:rsidP="006548F8">
            <w:pPr>
              <w:pStyle w:val="Prrafodelista"/>
              <w:ind w:left="0"/>
              <w:jc w:val="right"/>
              <w:rPr>
                <w:rFonts w:ascii="Arial" w:hAnsi="Arial" w:cs="Arial"/>
                <w:b/>
                <w:bCs/>
                <w:sz w:val="18"/>
                <w:szCs w:val="18"/>
              </w:rPr>
            </w:pPr>
            <w:r w:rsidRPr="00F87D1B">
              <w:rPr>
                <w:rFonts w:ascii="Arial" w:hAnsi="Arial" w:cs="Arial"/>
                <w:b/>
                <w:sz w:val="16"/>
                <w:szCs w:val="16"/>
              </w:rPr>
              <w:t>127.693.488,95</w:t>
            </w:r>
          </w:p>
        </w:tc>
        <w:tc>
          <w:tcPr>
            <w:tcW w:w="2238" w:type="dxa"/>
          </w:tcPr>
          <w:p w14:paraId="1C498B57" w14:textId="77777777" w:rsidR="007E2F9F" w:rsidRPr="00F87D1B" w:rsidRDefault="007E2F9F" w:rsidP="006548F8">
            <w:pPr>
              <w:pStyle w:val="Prrafodelista"/>
              <w:ind w:left="0"/>
              <w:jc w:val="right"/>
              <w:rPr>
                <w:rFonts w:ascii="Arial" w:hAnsi="Arial" w:cs="Arial"/>
                <w:b/>
                <w:bCs/>
                <w:sz w:val="18"/>
                <w:szCs w:val="18"/>
              </w:rPr>
            </w:pPr>
            <w:r w:rsidRPr="00F87D1B">
              <w:rPr>
                <w:rFonts w:ascii="Arial" w:hAnsi="Arial" w:cs="Arial"/>
                <w:b/>
                <w:sz w:val="16"/>
                <w:szCs w:val="16"/>
              </w:rPr>
              <w:t>1.804.511,05</w:t>
            </w:r>
          </w:p>
        </w:tc>
      </w:tr>
      <w:tr w:rsidR="007E2F9F" w:rsidRPr="00F87D1B" w14:paraId="06E8773D" w14:textId="77777777" w:rsidTr="006548F8">
        <w:trPr>
          <w:trHeight w:val="230"/>
        </w:trPr>
        <w:tc>
          <w:tcPr>
            <w:tcW w:w="3544" w:type="dxa"/>
          </w:tcPr>
          <w:p w14:paraId="7E83C463" w14:textId="77777777" w:rsidR="007E2F9F" w:rsidRPr="00F87D1B" w:rsidRDefault="007E2F9F" w:rsidP="006548F8">
            <w:pPr>
              <w:ind w:right="-1440"/>
              <w:jc w:val="both"/>
              <w:rPr>
                <w:rFonts w:ascii="Arial" w:hAnsi="Arial" w:cs="Arial"/>
                <w:b/>
                <w:bCs/>
                <w:sz w:val="18"/>
                <w:szCs w:val="18"/>
                <w:lang w:val="es-ES_tradnl"/>
              </w:rPr>
            </w:pPr>
            <w:r w:rsidRPr="00F87D1B">
              <w:rPr>
                <w:rFonts w:ascii="Arial" w:hAnsi="Arial" w:cs="Arial"/>
                <w:b/>
                <w:bCs/>
                <w:sz w:val="18"/>
                <w:szCs w:val="18"/>
                <w:lang w:val="es-ES_tradnl"/>
              </w:rPr>
              <w:t>NVERSIÓN</w:t>
            </w:r>
          </w:p>
        </w:tc>
        <w:tc>
          <w:tcPr>
            <w:tcW w:w="2354" w:type="dxa"/>
            <w:vAlign w:val="bottom"/>
          </w:tcPr>
          <w:p w14:paraId="2012163C" w14:textId="77777777" w:rsidR="007E2F9F" w:rsidRPr="00F87D1B" w:rsidRDefault="007E2F9F" w:rsidP="006548F8">
            <w:pPr>
              <w:jc w:val="right"/>
              <w:rPr>
                <w:rFonts w:ascii="Arial" w:eastAsia="Calibri" w:hAnsi="Arial" w:cs="Arial"/>
                <w:b/>
                <w:bCs/>
                <w:sz w:val="18"/>
                <w:szCs w:val="18"/>
                <w:lang w:val="es-CO"/>
              </w:rPr>
            </w:pPr>
            <w:r w:rsidRPr="00F87D1B">
              <w:rPr>
                <w:rFonts w:ascii="Arial" w:hAnsi="Arial" w:cs="Arial"/>
                <w:color w:val="000000"/>
                <w:sz w:val="16"/>
                <w:szCs w:val="16"/>
              </w:rPr>
              <w:t>0,00</w:t>
            </w:r>
          </w:p>
        </w:tc>
        <w:tc>
          <w:tcPr>
            <w:tcW w:w="2354" w:type="dxa"/>
            <w:vAlign w:val="bottom"/>
          </w:tcPr>
          <w:p w14:paraId="70EBB078" w14:textId="77777777" w:rsidR="007E2F9F" w:rsidRPr="00F87D1B" w:rsidRDefault="007E2F9F" w:rsidP="006548F8">
            <w:pPr>
              <w:pStyle w:val="Prrafodelista"/>
              <w:ind w:left="0"/>
              <w:jc w:val="right"/>
              <w:rPr>
                <w:rFonts w:ascii="Arial" w:eastAsia="Calibri" w:hAnsi="Arial" w:cs="Arial"/>
                <w:b/>
                <w:bCs/>
                <w:sz w:val="18"/>
                <w:szCs w:val="18"/>
                <w:lang w:val="es-CO"/>
              </w:rPr>
            </w:pPr>
            <w:r w:rsidRPr="00F87D1B">
              <w:rPr>
                <w:rFonts w:ascii="Arial" w:hAnsi="Arial" w:cs="Arial"/>
                <w:color w:val="000000"/>
                <w:sz w:val="16"/>
                <w:szCs w:val="16"/>
              </w:rPr>
              <w:t>0,00</w:t>
            </w:r>
          </w:p>
        </w:tc>
        <w:tc>
          <w:tcPr>
            <w:tcW w:w="2238" w:type="dxa"/>
            <w:vAlign w:val="bottom"/>
          </w:tcPr>
          <w:p w14:paraId="1CDDE009" w14:textId="77777777" w:rsidR="007E2F9F" w:rsidRPr="00F87D1B" w:rsidRDefault="007E2F9F" w:rsidP="006548F8">
            <w:pPr>
              <w:pStyle w:val="Prrafodelista"/>
              <w:ind w:left="0"/>
              <w:jc w:val="right"/>
              <w:rPr>
                <w:rFonts w:ascii="Arial" w:hAnsi="Arial" w:cs="Arial"/>
                <w:b/>
                <w:bCs/>
                <w:sz w:val="18"/>
                <w:szCs w:val="18"/>
              </w:rPr>
            </w:pPr>
            <w:r w:rsidRPr="00F87D1B">
              <w:rPr>
                <w:rFonts w:ascii="Arial" w:hAnsi="Arial" w:cs="Arial"/>
                <w:color w:val="000000"/>
                <w:sz w:val="16"/>
                <w:szCs w:val="16"/>
              </w:rPr>
              <w:t>0,00</w:t>
            </w:r>
          </w:p>
        </w:tc>
      </w:tr>
      <w:tr w:rsidR="007E2F9F" w:rsidRPr="00F87D1B" w14:paraId="73237CCD" w14:textId="77777777" w:rsidTr="006548F8">
        <w:tc>
          <w:tcPr>
            <w:tcW w:w="3544" w:type="dxa"/>
          </w:tcPr>
          <w:p w14:paraId="1F331AF5" w14:textId="77777777" w:rsidR="007E2F9F" w:rsidRPr="00F87D1B" w:rsidRDefault="007E2F9F" w:rsidP="006548F8">
            <w:pPr>
              <w:ind w:right="-1440"/>
              <w:jc w:val="both"/>
              <w:rPr>
                <w:rFonts w:ascii="Arial" w:hAnsi="Arial" w:cs="Arial"/>
                <w:b/>
                <w:bCs/>
                <w:sz w:val="18"/>
                <w:szCs w:val="18"/>
                <w:lang w:val="es-ES_tradnl"/>
              </w:rPr>
            </w:pPr>
            <w:r w:rsidRPr="00F87D1B">
              <w:rPr>
                <w:rFonts w:ascii="Arial" w:hAnsi="Arial" w:cs="Arial"/>
                <w:b/>
                <w:bCs/>
                <w:sz w:val="18"/>
                <w:szCs w:val="18"/>
                <w:lang w:val="es-ES_tradnl"/>
              </w:rPr>
              <w:t>TOTAL PÉRDIDAS DE APROPIACIÓN</w:t>
            </w:r>
          </w:p>
        </w:tc>
        <w:tc>
          <w:tcPr>
            <w:tcW w:w="2354" w:type="dxa"/>
            <w:vAlign w:val="bottom"/>
          </w:tcPr>
          <w:p w14:paraId="069DDA89" w14:textId="77777777" w:rsidR="007E2F9F" w:rsidRPr="00F87D1B" w:rsidRDefault="007E2F9F" w:rsidP="006548F8">
            <w:pPr>
              <w:pStyle w:val="Prrafodelista"/>
              <w:ind w:left="0"/>
              <w:jc w:val="right"/>
              <w:rPr>
                <w:rFonts w:ascii="Arial" w:hAnsi="Arial" w:cs="Arial"/>
                <w:b/>
                <w:bCs/>
                <w:sz w:val="18"/>
                <w:szCs w:val="18"/>
                <w:u w:val="single"/>
              </w:rPr>
            </w:pPr>
            <w:r w:rsidRPr="00F87D1B">
              <w:rPr>
                <w:rFonts w:ascii="Arial" w:hAnsi="Arial" w:cs="Arial"/>
                <w:b/>
                <w:bCs/>
                <w:sz w:val="16"/>
                <w:szCs w:val="16"/>
              </w:rPr>
              <w:t>129.498.000,00</w:t>
            </w:r>
          </w:p>
        </w:tc>
        <w:tc>
          <w:tcPr>
            <w:tcW w:w="2354" w:type="dxa"/>
            <w:vAlign w:val="bottom"/>
          </w:tcPr>
          <w:p w14:paraId="70D56FB7" w14:textId="77777777" w:rsidR="007E2F9F" w:rsidRPr="00F87D1B" w:rsidRDefault="007E2F9F" w:rsidP="006548F8">
            <w:pPr>
              <w:pStyle w:val="Prrafodelista"/>
              <w:ind w:left="0"/>
              <w:jc w:val="right"/>
              <w:rPr>
                <w:rFonts w:ascii="Arial" w:hAnsi="Arial" w:cs="Arial"/>
                <w:b/>
                <w:bCs/>
                <w:sz w:val="18"/>
                <w:szCs w:val="18"/>
                <w:u w:val="single"/>
              </w:rPr>
            </w:pPr>
            <w:r w:rsidRPr="00F87D1B">
              <w:rPr>
                <w:rFonts w:ascii="Arial" w:hAnsi="Arial" w:cs="Arial"/>
                <w:b/>
                <w:bCs/>
                <w:sz w:val="16"/>
                <w:szCs w:val="16"/>
              </w:rPr>
              <w:t>127.693.488,95</w:t>
            </w:r>
          </w:p>
        </w:tc>
        <w:tc>
          <w:tcPr>
            <w:tcW w:w="2238" w:type="dxa"/>
            <w:vAlign w:val="bottom"/>
          </w:tcPr>
          <w:p w14:paraId="472BB74A" w14:textId="77777777" w:rsidR="007E2F9F" w:rsidRPr="00F87D1B" w:rsidRDefault="007E2F9F" w:rsidP="006548F8">
            <w:pPr>
              <w:pStyle w:val="Prrafodelista"/>
              <w:ind w:left="0"/>
              <w:jc w:val="right"/>
              <w:rPr>
                <w:rFonts w:ascii="Arial" w:hAnsi="Arial" w:cs="Arial"/>
                <w:b/>
                <w:bCs/>
                <w:sz w:val="18"/>
                <w:szCs w:val="18"/>
                <w:u w:val="single"/>
              </w:rPr>
            </w:pPr>
            <w:r w:rsidRPr="00F87D1B">
              <w:rPr>
                <w:rFonts w:ascii="Arial" w:hAnsi="Arial" w:cs="Arial"/>
                <w:b/>
                <w:bCs/>
                <w:sz w:val="16"/>
                <w:szCs w:val="16"/>
              </w:rPr>
              <w:t>1.804.511,05</w:t>
            </w:r>
          </w:p>
        </w:tc>
      </w:tr>
    </w:tbl>
    <w:p w14:paraId="3377CC65" w14:textId="77777777" w:rsidR="007E2F9F" w:rsidRDefault="007E2F9F" w:rsidP="007E2F9F">
      <w:pPr>
        <w:ind w:left="-284" w:right="-234"/>
        <w:rPr>
          <w:rFonts w:ascii="Arial" w:eastAsia="Calibri" w:hAnsi="Arial" w:cs="Arial"/>
          <w:b/>
          <w:u w:val="single"/>
          <w:lang w:val="es-MX"/>
        </w:rPr>
      </w:pPr>
    </w:p>
    <w:p w14:paraId="15E9055A" w14:textId="77777777" w:rsidR="007E2F9F" w:rsidRPr="00E53848" w:rsidRDefault="007E2F9F" w:rsidP="007E2F9F">
      <w:pPr>
        <w:ind w:left="-284" w:right="-234"/>
        <w:jc w:val="both"/>
        <w:rPr>
          <w:rFonts w:ascii="Arial" w:hAnsi="Arial" w:cs="Arial"/>
          <w:b/>
          <w:sz w:val="28"/>
          <w:szCs w:val="28"/>
          <w:lang w:val="es-MX"/>
        </w:rPr>
      </w:pPr>
      <w:r w:rsidRPr="00E53848">
        <w:rPr>
          <w:rFonts w:ascii="Arial" w:hAnsi="Arial" w:cs="Arial"/>
          <w:b/>
          <w:sz w:val="28"/>
          <w:szCs w:val="28"/>
          <w:lang w:val="es-MX"/>
        </w:rPr>
        <w:t>331.- EMPRESA NACIONAL PROMOTORA DEL DESARROLLO TERRITORIAL S.A. – ENTERRITORIO.</w:t>
      </w:r>
    </w:p>
    <w:p w14:paraId="277F0C30" w14:textId="77777777" w:rsidR="007E2F9F" w:rsidRDefault="007E2F9F" w:rsidP="007E2F9F">
      <w:pPr>
        <w:ind w:left="-284" w:right="-234"/>
        <w:rPr>
          <w:rFonts w:ascii="Arial" w:eastAsia="Calibri" w:hAnsi="Arial" w:cs="Arial"/>
          <w:b/>
          <w:u w:val="single"/>
          <w:lang w:val="es-MX"/>
        </w:rPr>
      </w:pPr>
    </w:p>
    <w:p w14:paraId="500353A5"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AACC25A"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0A8AF4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53848" w14:paraId="2E3B86F8" w14:textId="77777777" w:rsidTr="006548F8">
        <w:tc>
          <w:tcPr>
            <w:tcW w:w="3544" w:type="dxa"/>
          </w:tcPr>
          <w:p w14:paraId="2258A2DD" w14:textId="77777777" w:rsidR="007E2F9F" w:rsidRPr="00E53848" w:rsidRDefault="007E2F9F" w:rsidP="006548F8">
            <w:pPr>
              <w:ind w:left="1169" w:right="-1440"/>
              <w:rPr>
                <w:rFonts w:ascii="Arial" w:hAnsi="Arial" w:cs="Arial"/>
                <w:b/>
                <w:sz w:val="18"/>
                <w:szCs w:val="18"/>
                <w:lang w:val="es-ES_tradnl"/>
              </w:rPr>
            </w:pPr>
            <w:r w:rsidRPr="00E53848">
              <w:rPr>
                <w:rFonts w:ascii="Arial" w:hAnsi="Arial" w:cs="Arial"/>
                <w:b/>
                <w:sz w:val="18"/>
                <w:szCs w:val="18"/>
                <w:lang w:val="es-ES_tradnl"/>
              </w:rPr>
              <w:t>TIPO DE GASTO</w:t>
            </w:r>
          </w:p>
        </w:tc>
        <w:tc>
          <w:tcPr>
            <w:tcW w:w="2354" w:type="dxa"/>
          </w:tcPr>
          <w:p w14:paraId="3D6CC5FC" w14:textId="77777777" w:rsidR="007E2F9F" w:rsidRPr="00E53848" w:rsidRDefault="007E2F9F" w:rsidP="006548F8">
            <w:pPr>
              <w:jc w:val="center"/>
              <w:rPr>
                <w:rFonts w:ascii="Arial" w:hAnsi="Arial" w:cs="Arial"/>
                <w:b/>
                <w:sz w:val="18"/>
                <w:szCs w:val="18"/>
                <w:lang w:val="es-ES_tradnl"/>
              </w:rPr>
            </w:pPr>
            <w:r w:rsidRPr="00E53848">
              <w:rPr>
                <w:rFonts w:ascii="Arial" w:hAnsi="Arial" w:cs="Arial"/>
                <w:b/>
                <w:sz w:val="18"/>
                <w:szCs w:val="18"/>
                <w:lang w:val="es-ES_tradnl"/>
              </w:rPr>
              <w:t>APROPIACIÓN</w:t>
            </w:r>
          </w:p>
          <w:p w14:paraId="10F43C40" w14:textId="77777777" w:rsidR="007E2F9F" w:rsidRPr="00E53848" w:rsidRDefault="007E2F9F" w:rsidP="006548F8">
            <w:pPr>
              <w:jc w:val="center"/>
              <w:rPr>
                <w:rFonts w:ascii="Arial" w:hAnsi="Arial" w:cs="Arial"/>
                <w:b/>
                <w:sz w:val="18"/>
                <w:szCs w:val="18"/>
                <w:lang w:val="es-ES_tradnl"/>
              </w:rPr>
            </w:pPr>
            <w:r w:rsidRPr="00E53848">
              <w:rPr>
                <w:rFonts w:ascii="Arial" w:hAnsi="Arial" w:cs="Arial"/>
                <w:b/>
                <w:sz w:val="18"/>
                <w:szCs w:val="18"/>
                <w:lang w:val="es-ES_tradnl"/>
              </w:rPr>
              <w:t>DEFINITIVA</w:t>
            </w:r>
          </w:p>
          <w:p w14:paraId="04B825B7" w14:textId="77777777" w:rsidR="007E2F9F" w:rsidRPr="00E53848" w:rsidRDefault="007E2F9F" w:rsidP="006548F8">
            <w:pPr>
              <w:jc w:val="center"/>
              <w:rPr>
                <w:rFonts w:ascii="Arial" w:hAnsi="Arial" w:cs="Arial"/>
                <w:b/>
                <w:sz w:val="18"/>
                <w:szCs w:val="18"/>
                <w:lang w:val="es-ES_tradnl"/>
              </w:rPr>
            </w:pPr>
            <w:r w:rsidRPr="00E53848">
              <w:rPr>
                <w:rFonts w:ascii="Arial" w:hAnsi="Arial" w:cs="Arial"/>
                <w:b/>
                <w:sz w:val="18"/>
                <w:szCs w:val="18"/>
                <w:lang w:val="es-ES_tradnl"/>
              </w:rPr>
              <w:t>(1)</w:t>
            </w:r>
          </w:p>
          <w:p w14:paraId="278B9561" w14:textId="77777777" w:rsidR="007E2F9F" w:rsidRPr="00E53848" w:rsidRDefault="007E2F9F" w:rsidP="006548F8">
            <w:pPr>
              <w:jc w:val="center"/>
              <w:rPr>
                <w:rFonts w:ascii="Arial" w:hAnsi="Arial" w:cs="Arial"/>
                <w:b/>
                <w:sz w:val="18"/>
                <w:szCs w:val="18"/>
                <w:lang w:val="es-ES_tradnl"/>
              </w:rPr>
            </w:pPr>
          </w:p>
        </w:tc>
        <w:tc>
          <w:tcPr>
            <w:tcW w:w="2354" w:type="dxa"/>
          </w:tcPr>
          <w:p w14:paraId="30EE710C" w14:textId="77777777" w:rsidR="007E2F9F" w:rsidRPr="00E53848" w:rsidRDefault="007E2F9F" w:rsidP="006548F8">
            <w:pPr>
              <w:ind w:left="145" w:right="184"/>
              <w:jc w:val="center"/>
              <w:rPr>
                <w:rFonts w:ascii="Arial" w:hAnsi="Arial" w:cs="Arial"/>
                <w:b/>
                <w:sz w:val="18"/>
                <w:szCs w:val="18"/>
                <w:lang w:val="es-ES_tradnl"/>
              </w:rPr>
            </w:pPr>
            <w:r w:rsidRPr="00E53848">
              <w:rPr>
                <w:rFonts w:ascii="Arial" w:hAnsi="Arial" w:cs="Arial"/>
                <w:b/>
                <w:sz w:val="18"/>
                <w:szCs w:val="18"/>
                <w:lang w:val="es-ES_tradnl"/>
              </w:rPr>
              <w:t>EJECUCIÓN</w:t>
            </w:r>
          </w:p>
          <w:p w14:paraId="4673A5C9" w14:textId="77777777" w:rsidR="007E2F9F" w:rsidRPr="00E53848" w:rsidRDefault="007E2F9F" w:rsidP="006548F8">
            <w:pPr>
              <w:ind w:right="34"/>
              <w:jc w:val="center"/>
              <w:rPr>
                <w:rFonts w:ascii="Arial" w:hAnsi="Arial" w:cs="Arial"/>
                <w:b/>
                <w:sz w:val="18"/>
                <w:szCs w:val="18"/>
                <w:lang w:val="es-ES_tradnl"/>
              </w:rPr>
            </w:pPr>
            <w:r w:rsidRPr="00E53848">
              <w:rPr>
                <w:rFonts w:ascii="Arial" w:hAnsi="Arial" w:cs="Arial"/>
                <w:b/>
                <w:sz w:val="18"/>
                <w:szCs w:val="18"/>
                <w:lang w:val="es-ES_tradnl"/>
              </w:rPr>
              <w:t>COMPROMISOS</w:t>
            </w:r>
          </w:p>
          <w:p w14:paraId="5DABF459" w14:textId="77777777" w:rsidR="007E2F9F" w:rsidRPr="00E53848" w:rsidRDefault="007E2F9F" w:rsidP="006548F8">
            <w:pPr>
              <w:ind w:right="34"/>
              <w:jc w:val="center"/>
              <w:rPr>
                <w:rFonts w:ascii="Arial" w:hAnsi="Arial" w:cs="Arial"/>
                <w:b/>
                <w:sz w:val="18"/>
                <w:szCs w:val="18"/>
                <w:lang w:val="es-ES_tradnl"/>
              </w:rPr>
            </w:pPr>
            <w:r w:rsidRPr="00E53848">
              <w:rPr>
                <w:rFonts w:ascii="Arial" w:hAnsi="Arial" w:cs="Arial"/>
                <w:b/>
                <w:sz w:val="18"/>
                <w:szCs w:val="18"/>
                <w:lang w:val="es-ES_tradnl"/>
              </w:rPr>
              <w:t>(2)</w:t>
            </w:r>
          </w:p>
        </w:tc>
        <w:tc>
          <w:tcPr>
            <w:tcW w:w="2238" w:type="dxa"/>
          </w:tcPr>
          <w:p w14:paraId="28C9DC7D" w14:textId="77777777" w:rsidR="007E2F9F" w:rsidRPr="00E53848" w:rsidRDefault="007E2F9F" w:rsidP="006548F8">
            <w:pPr>
              <w:ind w:left="25" w:right="34"/>
              <w:jc w:val="center"/>
              <w:rPr>
                <w:rFonts w:ascii="Arial" w:hAnsi="Arial" w:cs="Arial"/>
                <w:b/>
                <w:sz w:val="18"/>
                <w:szCs w:val="18"/>
                <w:lang w:val="es-ES_tradnl"/>
              </w:rPr>
            </w:pPr>
            <w:r w:rsidRPr="00E53848">
              <w:rPr>
                <w:rFonts w:ascii="Arial" w:hAnsi="Arial" w:cs="Arial"/>
                <w:b/>
                <w:sz w:val="18"/>
                <w:szCs w:val="18"/>
                <w:lang w:val="es-ES_tradnl"/>
              </w:rPr>
              <w:t>PÉRDIDAS DE</w:t>
            </w:r>
          </w:p>
          <w:p w14:paraId="631C7F4D" w14:textId="77777777" w:rsidR="007E2F9F" w:rsidRPr="00E53848" w:rsidRDefault="007E2F9F" w:rsidP="006548F8">
            <w:pPr>
              <w:ind w:right="34"/>
              <w:jc w:val="center"/>
              <w:rPr>
                <w:rFonts w:ascii="Arial" w:hAnsi="Arial" w:cs="Arial"/>
                <w:b/>
                <w:sz w:val="18"/>
                <w:szCs w:val="18"/>
                <w:lang w:val="es-ES_tradnl"/>
              </w:rPr>
            </w:pPr>
            <w:r w:rsidRPr="00E53848">
              <w:rPr>
                <w:rFonts w:ascii="Arial" w:hAnsi="Arial" w:cs="Arial"/>
                <w:b/>
                <w:sz w:val="18"/>
                <w:szCs w:val="18"/>
                <w:lang w:val="es-ES_tradnl"/>
              </w:rPr>
              <w:t>APROPIACIÓN</w:t>
            </w:r>
          </w:p>
          <w:p w14:paraId="574C8949" w14:textId="77777777" w:rsidR="007E2F9F" w:rsidRPr="00E53848" w:rsidRDefault="007E2F9F" w:rsidP="006548F8">
            <w:pPr>
              <w:ind w:right="34"/>
              <w:jc w:val="center"/>
              <w:rPr>
                <w:rFonts w:ascii="Arial" w:hAnsi="Arial" w:cs="Arial"/>
                <w:b/>
                <w:sz w:val="18"/>
                <w:szCs w:val="18"/>
                <w:lang w:val="es-ES_tradnl"/>
              </w:rPr>
            </w:pPr>
            <w:r w:rsidRPr="00E53848">
              <w:rPr>
                <w:rFonts w:ascii="Arial" w:hAnsi="Arial" w:cs="Arial"/>
                <w:b/>
                <w:sz w:val="18"/>
                <w:szCs w:val="18"/>
                <w:lang w:val="es-ES_tradnl"/>
              </w:rPr>
              <w:t>3 = (1-2)</w:t>
            </w:r>
          </w:p>
        </w:tc>
      </w:tr>
      <w:tr w:rsidR="007E2F9F" w:rsidRPr="00E53848" w14:paraId="0791F7A9" w14:textId="77777777" w:rsidTr="006548F8">
        <w:trPr>
          <w:trHeight w:val="230"/>
        </w:trPr>
        <w:tc>
          <w:tcPr>
            <w:tcW w:w="3544" w:type="dxa"/>
          </w:tcPr>
          <w:p w14:paraId="3CB59C94" w14:textId="77777777" w:rsidR="007E2F9F" w:rsidRPr="00E53848" w:rsidRDefault="007E2F9F" w:rsidP="006548F8">
            <w:pPr>
              <w:ind w:right="-1440"/>
              <w:jc w:val="both"/>
              <w:rPr>
                <w:rFonts w:ascii="Arial" w:hAnsi="Arial" w:cs="Arial"/>
                <w:b/>
                <w:bCs/>
                <w:sz w:val="18"/>
                <w:szCs w:val="18"/>
                <w:lang w:val="es-ES_tradnl"/>
              </w:rPr>
            </w:pPr>
            <w:r w:rsidRPr="00E53848">
              <w:rPr>
                <w:rFonts w:ascii="Arial" w:hAnsi="Arial" w:cs="Arial"/>
                <w:b/>
                <w:bCs/>
                <w:sz w:val="18"/>
                <w:szCs w:val="18"/>
                <w:lang w:val="es-ES_tradnl"/>
              </w:rPr>
              <w:t>FUNCIONAMIENTO</w:t>
            </w:r>
          </w:p>
        </w:tc>
        <w:tc>
          <w:tcPr>
            <w:tcW w:w="2354" w:type="dxa"/>
            <w:vAlign w:val="bottom"/>
          </w:tcPr>
          <w:p w14:paraId="1E44B45B" w14:textId="77777777" w:rsidR="007E2F9F" w:rsidRPr="00E53848" w:rsidRDefault="007E2F9F" w:rsidP="006548F8">
            <w:pPr>
              <w:jc w:val="right"/>
              <w:rPr>
                <w:rFonts w:ascii="Arial" w:eastAsia="Calibri" w:hAnsi="Arial" w:cs="Arial"/>
                <w:b/>
                <w:bCs/>
                <w:sz w:val="18"/>
                <w:szCs w:val="18"/>
                <w:lang w:val="es-CO"/>
              </w:rPr>
            </w:pPr>
            <w:r w:rsidRPr="00E53848">
              <w:rPr>
                <w:rFonts w:ascii="Arial" w:hAnsi="Arial" w:cs="Arial"/>
                <w:b/>
                <w:sz w:val="16"/>
                <w:szCs w:val="16"/>
              </w:rPr>
              <w:t>951.116.170,00</w:t>
            </w:r>
          </w:p>
        </w:tc>
        <w:tc>
          <w:tcPr>
            <w:tcW w:w="2354" w:type="dxa"/>
            <w:vAlign w:val="bottom"/>
          </w:tcPr>
          <w:p w14:paraId="4CC7D1B0" w14:textId="77777777" w:rsidR="007E2F9F" w:rsidRPr="00E53848" w:rsidRDefault="007E2F9F" w:rsidP="006548F8">
            <w:pPr>
              <w:pStyle w:val="Prrafodelista"/>
              <w:ind w:left="0"/>
              <w:jc w:val="right"/>
              <w:rPr>
                <w:rFonts w:ascii="Arial" w:hAnsi="Arial" w:cs="Arial"/>
                <w:b/>
                <w:bCs/>
                <w:sz w:val="18"/>
                <w:szCs w:val="18"/>
              </w:rPr>
            </w:pPr>
            <w:r w:rsidRPr="00E53848">
              <w:rPr>
                <w:rFonts w:ascii="Arial" w:hAnsi="Arial" w:cs="Arial"/>
                <w:b/>
                <w:sz w:val="16"/>
                <w:szCs w:val="16"/>
              </w:rPr>
              <w:t>709.882.028,00</w:t>
            </w:r>
          </w:p>
        </w:tc>
        <w:tc>
          <w:tcPr>
            <w:tcW w:w="2238" w:type="dxa"/>
            <w:vAlign w:val="bottom"/>
          </w:tcPr>
          <w:p w14:paraId="28C4237B" w14:textId="77777777" w:rsidR="007E2F9F" w:rsidRPr="00E53848" w:rsidRDefault="007E2F9F" w:rsidP="006548F8">
            <w:pPr>
              <w:pStyle w:val="Prrafodelista"/>
              <w:ind w:left="0"/>
              <w:jc w:val="right"/>
              <w:rPr>
                <w:rFonts w:ascii="Arial" w:hAnsi="Arial" w:cs="Arial"/>
                <w:b/>
                <w:bCs/>
                <w:sz w:val="18"/>
                <w:szCs w:val="18"/>
              </w:rPr>
            </w:pPr>
            <w:r w:rsidRPr="00E53848">
              <w:rPr>
                <w:rFonts w:ascii="Arial" w:hAnsi="Arial" w:cs="Arial"/>
                <w:b/>
                <w:sz w:val="16"/>
                <w:szCs w:val="16"/>
              </w:rPr>
              <w:t>241.234.142,00</w:t>
            </w:r>
          </w:p>
        </w:tc>
      </w:tr>
      <w:tr w:rsidR="007E2F9F" w:rsidRPr="00E53848" w14:paraId="184E7AE3" w14:textId="77777777" w:rsidTr="006548F8">
        <w:trPr>
          <w:trHeight w:val="230"/>
        </w:trPr>
        <w:tc>
          <w:tcPr>
            <w:tcW w:w="3544" w:type="dxa"/>
          </w:tcPr>
          <w:p w14:paraId="05D6B6EF" w14:textId="77777777" w:rsidR="007E2F9F" w:rsidRPr="00E53848" w:rsidRDefault="007E2F9F" w:rsidP="006548F8">
            <w:pPr>
              <w:ind w:right="-1440"/>
              <w:jc w:val="both"/>
              <w:rPr>
                <w:rFonts w:ascii="Arial" w:hAnsi="Arial" w:cs="Arial"/>
                <w:b/>
                <w:bCs/>
                <w:sz w:val="18"/>
                <w:szCs w:val="18"/>
                <w:lang w:val="es-ES_tradnl"/>
              </w:rPr>
            </w:pPr>
            <w:r w:rsidRPr="00E53848">
              <w:rPr>
                <w:rFonts w:ascii="Arial" w:hAnsi="Arial" w:cs="Arial"/>
                <w:b/>
                <w:bCs/>
                <w:sz w:val="18"/>
                <w:szCs w:val="18"/>
                <w:lang w:val="es-ES_tradnl"/>
              </w:rPr>
              <w:t>NVERSIÓN</w:t>
            </w:r>
          </w:p>
        </w:tc>
        <w:tc>
          <w:tcPr>
            <w:tcW w:w="2354" w:type="dxa"/>
            <w:vAlign w:val="bottom"/>
          </w:tcPr>
          <w:p w14:paraId="1934AC91" w14:textId="77777777" w:rsidR="007E2F9F" w:rsidRPr="00E53848" w:rsidRDefault="007E2F9F" w:rsidP="006548F8">
            <w:pPr>
              <w:jc w:val="right"/>
              <w:rPr>
                <w:rFonts w:ascii="Arial" w:eastAsia="Calibri" w:hAnsi="Arial" w:cs="Arial"/>
                <w:b/>
                <w:bCs/>
                <w:sz w:val="18"/>
                <w:szCs w:val="18"/>
                <w:lang w:val="es-CO"/>
              </w:rPr>
            </w:pPr>
            <w:r w:rsidRPr="00E53848">
              <w:rPr>
                <w:rFonts w:ascii="Arial" w:hAnsi="Arial" w:cs="Arial"/>
                <w:b/>
                <w:color w:val="000000"/>
                <w:sz w:val="16"/>
                <w:szCs w:val="16"/>
              </w:rPr>
              <w:t>1.203.060,00</w:t>
            </w:r>
          </w:p>
        </w:tc>
        <w:tc>
          <w:tcPr>
            <w:tcW w:w="2354" w:type="dxa"/>
            <w:vAlign w:val="bottom"/>
          </w:tcPr>
          <w:p w14:paraId="14CD03EE" w14:textId="77777777" w:rsidR="007E2F9F" w:rsidRPr="00E53848" w:rsidRDefault="007E2F9F" w:rsidP="006548F8">
            <w:pPr>
              <w:pStyle w:val="Prrafodelista"/>
              <w:ind w:left="0"/>
              <w:jc w:val="right"/>
              <w:rPr>
                <w:rFonts w:ascii="Arial" w:eastAsia="Calibri" w:hAnsi="Arial" w:cs="Arial"/>
                <w:b/>
                <w:bCs/>
                <w:sz w:val="18"/>
                <w:szCs w:val="18"/>
                <w:lang w:val="es-CO"/>
              </w:rPr>
            </w:pPr>
            <w:r w:rsidRPr="00E53848">
              <w:rPr>
                <w:rFonts w:ascii="Arial" w:hAnsi="Arial" w:cs="Arial"/>
                <w:b/>
                <w:color w:val="000000"/>
                <w:sz w:val="16"/>
                <w:szCs w:val="16"/>
              </w:rPr>
              <w:t>1.202.294,00</w:t>
            </w:r>
          </w:p>
        </w:tc>
        <w:tc>
          <w:tcPr>
            <w:tcW w:w="2238" w:type="dxa"/>
            <w:vAlign w:val="bottom"/>
          </w:tcPr>
          <w:p w14:paraId="181C7F5B" w14:textId="77777777" w:rsidR="007E2F9F" w:rsidRPr="00E53848" w:rsidRDefault="007E2F9F" w:rsidP="006548F8">
            <w:pPr>
              <w:pStyle w:val="Prrafodelista"/>
              <w:ind w:left="0"/>
              <w:jc w:val="right"/>
              <w:rPr>
                <w:rFonts w:ascii="Arial" w:hAnsi="Arial" w:cs="Arial"/>
                <w:b/>
                <w:bCs/>
                <w:sz w:val="18"/>
                <w:szCs w:val="18"/>
              </w:rPr>
            </w:pPr>
            <w:r w:rsidRPr="00E53848">
              <w:rPr>
                <w:rFonts w:ascii="Arial" w:hAnsi="Arial" w:cs="Arial"/>
                <w:b/>
                <w:color w:val="000000"/>
                <w:sz w:val="16"/>
                <w:szCs w:val="16"/>
              </w:rPr>
              <w:t>766,00</w:t>
            </w:r>
          </w:p>
        </w:tc>
      </w:tr>
      <w:tr w:rsidR="007E2F9F" w:rsidRPr="00E53848" w14:paraId="7A9788F7" w14:textId="77777777" w:rsidTr="006548F8">
        <w:tc>
          <w:tcPr>
            <w:tcW w:w="3544" w:type="dxa"/>
          </w:tcPr>
          <w:p w14:paraId="15CD0C1E" w14:textId="77777777" w:rsidR="007E2F9F" w:rsidRPr="00E53848" w:rsidRDefault="007E2F9F" w:rsidP="006548F8">
            <w:pPr>
              <w:ind w:right="-1440"/>
              <w:jc w:val="both"/>
              <w:rPr>
                <w:rFonts w:ascii="Arial" w:hAnsi="Arial" w:cs="Arial"/>
                <w:b/>
                <w:bCs/>
                <w:sz w:val="18"/>
                <w:szCs w:val="18"/>
                <w:lang w:val="es-ES_tradnl"/>
              </w:rPr>
            </w:pPr>
            <w:r w:rsidRPr="00E53848">
              <w:rPr>
                <w:rFonts w:ascii="Arial" w:hAnsi="Arial" w:cs="Arial"/>
                <w:b/>
                <w:bCs/>
                <w:sz w:val="18"/>
                <w:szCs w:val="18"/>
                <w:lang w:val="es-ES_tradnl"/>
              </w:rPr>
              <w:t>TOTAL PÉRDIDAS DE APROPIACIÓN</w:t>
            </w:r>
          </w:p>
        </w:tc>
        <w:tc>
          <w:tcPr>
            <w:tcW w:w="2354" w:type="dxa"/>
            <w:vAlign w:val="bottom"/>
          </w:tcPr>
          <w:p w14:paraId="76569078" w14:textId="77777777" w:rsidR="007E2F9F" w:rsidRPr="00E53848" w:rsidRDefault="007E2F9F" w:rsidP="006548F8">
            <w:pPr>
              <w:pStyle w:val="Prrafodelista"/>
              <w:ind w:left="0"/>
              <w:jc w:val="right"/>
              <w:rPr>
                <w:rFonts w:ascii="Arial" w:hAnsi="Arial" w:cs="Arial"/>
                <w:b/>
                <w:bCs/>
                <w:sz w:val="18"/>
                <w:szCs w:val="18"/>
                <w:u w:val="single"/>
              </w:rPr>
            </w:pPr>
            <w:r w:rsidRPr="00E53848">
              <w:rPr>
                <w:rFonts w:ascii="Arial" w:hAnsi="Arial" w:cs="Arial"/>
                <w:b/>
                <w:sz w:val="16"/>
                <w:szCs w:val="16"/>
              </w:rPr>
              <w:t>952.319.230,00</w:t>
            </w:r>
          </w:p>
        </w:tc>
        <w:tc>
          <w:tcPr>
            <w:tcW w:w="2354" w:type="dxa"/>
            <w:vAlign w:val="bottom"/>
          </w:tcPr>
          <w:p w14:paraId="71F146EC" w14:textId="77777777" w:rsidR="007E2F9F" w:rsidRPr="00E53848" w:rsidRDefault="007E2F9F" w:rsidP="006548F8">
            <w:pPr>
              <w:pStyle w:val="Prrafodelista"/>
              <w:ind w:left="0"/>
              <w:jc w:val="right"/>
              <w:rPr>
                <w:rFonts w:ascii="Arial" w:hAnsi="Arial" w:cs="Arial"/>
                <w:b/>
                <w:bCs/>
                <w:sz w:val="18"/>
                <w:szCs w:val="18"/>
                <w:u w:val="single"/>
              </w:rPr>
            </w:pPr>
            <w:r w:rsidRPr="00E53848">
              <w:rPr>
                <w:rFonts w:ascii="Arial" w:hAnsi="Arial" w:cs="Arial"/>
                <w:b/>
                <w:sz w:val="16"/>
                <w:szCs w:val="16"/>
              </w:rPr>
              <w:t>711.084.322,00</w:t>
            </w:r>
          </w:p>
        </w:tc>
        <w:tc>
          <w:tcPr>
            <w:tcW w:w="2238" w:type="dxa"/>
            <w:vAlign w:val="bottom"/>
          </w:tcPr>
          <w:p w14:paraId="503ACB56" w14:textId="77777777" w:rsidR="007E2F9F" w:rsidRPr="00E53848" w:rsidRDefault="007E2F9F" w:rsidP="006548F8">
            <w:pPr>
              <w:pStyle w:val="Prrafodelista"/>
              <w:ind w:left="0"/>
              <w:jc w:val="right"/>
              <w:rPr>
                <w:rFonts w:ascii="Arial" w:hAnsi="Arial" w:cs="Arial"/>
                <w:b/>
                <w:bCs/>
                <w:sz w:val="18"/>
                <w:szCs w:val="18"/>
                <w:u w:val="single"/>
              </w:rPr>
            </w:pPr>
            <w:r w:rsidRPr="00E53848">
              <w:rPr>
                <w:rFonts w:ascii="Arial" w:hAnsi="Arial" w:cs="Arial"/>
                <w:b/>
                <w:sz w:val="16"/>
                <w:szCs w:val="16"/>
              </w:rPr>
              <w:t>241.234.908,00</w:t>
            </w:r>
          </w:p>
        </w:tc>
      </w:tr>
    </w:tbl>
    <w:p w14:paraId="226E6D0F" w14:textId="77777777" w:rsidR="007E2F9F" w:rsidRDefault="007E2F9F" w:rsidP="007E2F9F">
      <w:pPr>
        <w:ind w:left="-284" w:right="-234"/>
        <w:rPr>
          <w:rFonts w:ascii="Arial" w:eastAsia="Calibri" w:hAnsi="Arial" w:cs="Arial"/>
          <w:b/>
          <w:u w:val="single"/>
          <w:lang w:val="es-MX"/>
        </w:rPr>
      </w:pPr>
    </w:p>
    <w:p w14:paraId="015A9FB6" w14:textId="77777777" w:rsidR="007E2F9F" w:rsidRPr="00057F2B" w:rsidRDefault="007E2F9F" w:rsidP="007E2F9F">
      <w:pPr>
        <w:ind w:left="-284"/>
        <w:jc w:val="both"/>
        <w:rPr>
          <w:rFonts w:ascii="Arial" w:hAnsi="Arial" w:cs="Arial"/>
          <w:b/>
          <w:sz w:val="28"/>
          <w:szCs w:val="28"/>
          <w:lang w:val="es-MX"/>
        </w:rPr>
      </w:pPr>
      <w:r w:rsidRPr="00057F2B">
        <w:rPr>
          <w:rFonts w:ascii="Arial" w:hAnsi="Arial" w:cs="Arial"/>
          <w:b/>
          <w:sz w:val="28"/>
          <w:szCs w:val="28"/>
          <w:lang w:val="es-MX"/>
        </w:rPr>
        <w:t xml:space="preserve">332.- MINISTERIO DE RELACIONES EXTERIORES. </w:t>
      </w:r>
    </w:p>
    <w:p w14:paraId="0CADB2A2" w14:textId="77777777" w:rsidR="007E2F9F" w:rsidRDefault="007E2F9F" w:rsidP="007E2F9F">
      <w:pPr>
        <w:ind w:left="-284" w:right="-234"/>
        <w:rPr>
          <w:rFonts w:ascii="Arial" w:eastAsia="Calibri" w:hAnsi="Arial" w:cs="Arial"/>
          <w:b/>
          <w:u w:val="single"/>
          <w:lang w:val="es-MX"/>
        </w:rPr>
      </w:pPr>
    </w:p>
    <w:p w14:paraId="7EAA9617"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714CE042"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D443BCA"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057F2B" w14:paraId="525CD67C" w14:textId="77777777" w:rsidTr="006548F8">
        <w:tc>
          <w:tcPr>
            <w:tcW w:w="3544" w:type="dxa"/>
          </w:tcPr>
          <w:p w14:paraId="2DB678F2" w14:textId="77777777" w:rsidR="007E2F9F" w:rsidRPr="00057F2B" w:rsidRDefault="007E2F9F" w:rsidP="006548F8">
            <w:pPr>
              <w:ind w:left="1169" w:right="-1440"/>
              <w:rPr>
                <w:rFonts w:ascii="Arial" w:hAnsi="Arial" w:cs="Arial"/>
                <w:b/>
                <w:sz w:val="18"/>
                <w:szCs w:val="18"/>
                <w:lang w:val="es-ES_tradnl"/>
              </w:rPr>
            </w:pPr>
            <w:r w:rsidRPr="00057F2B">
              <w:rPr>
                <w:rFonts w:ascii="Arial" w:hAnsi="Arial" w:cs="Arial"/>
                <w:b/>
                <w:sz w:val="18"/>
                <w:szCs w:val="18"/>
                <w:lang w:val="es-ES_tradnl"/>
              </w:rPr>
              <w:t>TIPO DE GASTO</w:t>
            </w:r>
          </w:p>
        </w:tc>
        <w:tc>
          <w:tcPr>
            <w:tcW w:w="2354" w:type="dxa"/>
          </w:tcPr>
          <w:p w14:paraId="4C4A971B" w14:textId="77777777" w:rsidR="007E2F9F" w:rsidRPr="00057F2B" w:rsidRDefault="007E2F9F" w:rsidP="006548F8">
            <w:pPr>
              <w:jc w:val="center"/>
              <w:rPr>
                <w:rFonts w:ascii="Arial" w:hAnsi="Arial" w:cs="Arial"/>
                <w:b/>
                <w:sz w:val="18"/>
                <w:szCs w:val="18"/>
                <w:lang w:val="es-ES_tradnl"/>
              </w:rPr>
            </w:pPr>
            <w:r w:rsidRPr="00057F2B">
              <w:rPr>
                <w:rFonts w:ascii="Arial" w:hAnsi="Arial" w:cs="Arial"/>
                <w:b/>
                <w:sz w:val="18"/>
                <w:szCs w:val="18"/>
                <w:lang w:val="es-ES_tradnl"/>
              </w:rPr>
              <w:t>APROPIACIÓN</w:t>
            </w:r>
          </w:p>
          <w:p w14:paraId="6493D3AD" w14:textId="77777777" w:rsidR="007E2F9F" w:rsidRPr="00057F2B" w:rsidRDefault="007E2F9F" w:rsidP="006548F8">
            <w:pPr>
              <w:jc w:val="center"/>
              <w:rPr>
                <w:rFonts w:ascii="Arial" w:hAnsi="Arial" w:cs="Arial"/>
                <w:b/>
                <w:sz w:val="18"/>
                <w:szCs w:val="18"/>
                <w:lang w:val="es-ES_tradnl"/>
              </w:rPr>
            </w:pPr>
            <w:r w:rsidRPr="00057F2B">
              <w:rPr>
                <w:rFonts w:ascii="Arial" w:hAnsi="Arial" w:cs="Arial"/>
                <w:b/>
                <w:sz w:val="18"/>
                <w:szCs w:val="18"/>
                <w:lang w:val="es-ES_tradnl"/>
              </w:rPr>
              <w:t>DEFINITIVA</w:t>
            </w:r>
          </w:p>
          <w:p w14:paraId="162C9121" w14:textId="77777777" w:rsidR="007E2F9F" w:rsidRPr="00057F2B" w:rsidRDefault="007E2F9F" w:rsidP="006548F8">
            <w:pPr>
              <w:jc w:val="center"/>
              <w:rPr>
                <w:rFonts w:ascii="Arial" w:hAnsi="Arial" w:cs="Arial"/>
                <w:b/>
                <w:sz w:val="18"/>
                <w:szCs w:val="18"/>
                <w:lang w:val="es-ES_tradnl"/>
              </w:rPr>
            </w:pPr>
            <w:r w:rsidRPr="00057F2B">
              <w:rPr>
                <w:rFonts w:ascii="Arial" w:hAnsi="Arial" w:cs="Arial"/>
                <w:b/>
                <w:sz w:val="18"/>
                <w:szCs w:val="18"/>
                <w:lang w:val="es-ES_tradnl"/>
              </w:rPr>
              <w:t>(1)</w:t>
            </w:r>
          </w:p>
          <w:p w14:paraId="46C86D70" w14:textId="77777777" w:rsidR="007E2F9F" w:rsidRPr="00057F2B" w:rsidRDefault="007E2F9F" w:rsidP="006548F8">
            <w:pPr>
              <w:jc w:val="center"/>
              <w:rPr>
                <w:rFonts w:ascii="Arial" w:hAnsi="Arial" w:cs="Arial"/>
                <w:b/>
                <w:sz w:val="18"/>
                <w:szCs w:val="18"/>
                <w:lang w:val="es-ES_tradnl"/>
              </w:rPr>
            </w:pPr>
          </w:p>
        </w:tc>
        <w:tc>
          <w:tcPr>
            <w:tcW w:w="2354" w:type="dxa"/>
          </w:tcPr>
          <w:p w14:paraId="121B4259" w14:textId="77777777" w:rsidR="007E2F9F" w:rsidRPr="00057F2B" w:rsidRDefault="007E2F9F" w:rsidP="006548F8">
            <w:pPr>
              <w:ind w:left="145" w:right="184"/>
              <w:jc w:val="center"/>
              <w:rPr>
                <w:rFonts w:ascii="Arial" w:hAnsi="Arial" w:cs="Arial"/>
                <w:b/>
                <w:sz w:val="18"/>
                <w:szCs w:val="18"/>
                <w:lang w:val="es-ES_tradnl"/>
              </w:rPr>
            </w:pPr>
            <w:r w:rsidRPr="00057F2B">
              <w:rPr>
                <w:rFonts w:ascii="Arial" w:hAnsi="Arial" w:cs="Arial"/>
                <w:b/>
                <w:sz w:val="18"/>
                <w:szCs w:val="18"/>
                <w:lang w:val="es-ES_tradnl"/>
              </w:rPr>
              <w:t>EJECUCIÓN</w:t>
            </w:r>
          </w:p>
          <w:p w14:paraId="3ACD0FF2" w14:textId="77777777" w:rsidR="007E2F9F" w:rsidRPr="00057F2B" w:rsidRDefault="007E2F9F" w:rsidP="006548F8">
            <w:pPr>
              <w:ind w:right="34"/>
              <w:jc w:val="center"/>
              <w:rPr>
                <w:rFonts w:ascii="Arial" w:hAnsi="Arial" w:cs="Arial"/>
                <w:b/>
                <w:sz w:val="18"/>
                <w:szCs w:val="18"/>
                <w:lang w:val="es-ES_tradnl"/>
              </w:rPr>
            </w:pPr>
            <w:r w:rsidRPr="00057F2B">
              <w:rPr>
                <w:rFonts w:ascii="Arial" w:hAnsi="Arial" w:cs="Arial"/>
                <w:b/>
                <w:sz w:val="18"/>
                <w:szCs w:val="18"/>
                <w:lang w:val="es-ES_tradnl"/>
              </w:rPr>
              <w:t>COMPROMISOS</w:t>
            </w:r>
          </w:p>
          <w:p w14:paraId="67E998EB" w14:textId="77777777" w:rsidR="007E2F9F" w:rsidRPr="00057F2B" w:rsidRDefault="007E2F9F" w:rsidP="006548F8">
            <w:pPr>
              <w:ind w:right="34"/>
              <w:jc w:val="center"/>
              <w:rPr>
                <w:rFonts w:ascii="Arial" w:hAnsi="Arial" w:cs="Arial"/>
                <w:b/>
                <w:sz w:val="18"/>
                <w:szCs w:val="18"/>
                <w:lang w:val="es-ES_tradnl"/>
              </w:rPr>
            </w:pPr>
            <w:r w:rsidRPr="00057F2B">
              <w:rPr>
                <w:rFonts w:ascii="Arial" w:hAnsi="Arial" w:cs="Arial"/>
                <w:b/>
                <w:sz w:val="18"/>
                <w:szCs w:val="18"/>
                <w:lang w:val="es-ES_tradnl"/>
              </w:rPr>
              <w:t>(2)</w:t>
            </w:r>
          </w:p>
        </w:tc>
        <w:tc>
          <w:tcPr>
            <w:tcW w:w="2238" w:type="dxa"/>
          </w:tcPr>
          <w:p w14:paraId="079C5FB1" w14:textId="77777777" w:rsidR="007E2F9F" w:rsidRPr="00057F2B" w:rsidRDefault="007E2F9F" w:rsidP="006548F8">
            <w:pPr>
              <w:ind w:left="25" w:right="34"/>
              <w:jc w:val="center"/>
              <w:rPr>
                <w:rFonts w:ascii="Arial" w:hAnsi="Arial" w:cs="Arial"/>
                <w:b/>
                <w:sz w:val="18"/>
                <w:szCs w:val="18"/>
                <w:lang w:val="es-ES_tradnl"/>
              </w:rPr>
            </w:pPr>
            <w:r w:rsidRPr="00057F2B">
              <w:rPr>
                <w:rFonts w:ascii="Arial" w:hAnsi="Arial" w:cs="Arial"/>
                <w:b/>
                <w:sz w:val="18"/>
                <w:szCs w:val="18"/>
                <w:lang w:val="es-ES_tradnl"/>
              </w:rPr>
              <w:t>PÉRDIDAS DE</w:t>
            </w:r>
          </w:p>
          <w:p w14:paraId="150FC77F" w14:textId="77777777" w:rsidR="007E2F9F" w:rsidRPr="00057F2B" w:rsidRDefault="007E2F9F" w:rsidP="006548F8">
            <w:pPr>
              <w:ind w:right="34"/>
              <w:jc w:val="center"/>
              <w:rPr>
                <w:rFonts w:ascii="Arial" w:hAnsi="Arial" w:cs="Arial"/>
                <w:b/>
                <w:sz w:val="18"/>
                <w:szCs w:val="18"/>
                <w:lang w:val="es-ES_tradnl"/>
              </w:rPr>
            </w:pPr>
            <w:r w:rsidRPr="00057F2B">
              <w:rPr>
                <w:rFonts w:ascii="Arial" w:hAnsi="Arial" w:cs="Arial"/>
                <w:b/>
                <w:sz w:val="18"/>
                <w:szCs w:val="18"/>
                <w:lang w:val="es-ES_tradnl"/>
              </w:rPr>
              <w:t>APROPIACIÓN</w:t>
            </w:r>
          </w:p>
          <w:p w14:paraId="1964FD79" w14:textId="77777777" w:rsidR="007E2F9F" w:rsidRPr="00057F2B" w:rsidRDefault="007E2F9F" w:rsidP="006548F8">
            <w:pPr>
              <w:ind w:right="34"/>
              <w:jc w:val="center"/>
              <w:rPr>
                <w:rFonts w:ascii="Arial" w:hAnsi="Arial" w:cs="Arial"/>
                <w:b/>
                <w:sz w:val="18"/>
                <w:szCs w:val="18"/>
                <w:lang w:val="es-ES_tradnl"/>
              </w:rPr>
            </w:pPr>
            <w:r w:rsidRPr="00057F2B">
              <w:rPr>
                <w:rFonts w:ascii="Arial" w:hAnsi="Arial" w:cs="Arial"/>
                <w:b/>
                <w:sz w:val="18"/>
                <w:szCs w:val="18"/>
                <w:lang w:val="es-ES_tradnl"/>
              </w:rPr>
              <w:t>3 = (1-2)</w:t>
            </w:r>
          </w:p>
        </w:tc>
      </w:tr>
      <w:tr w:rsidR="007E2F9F" w:rsidRPr="00057F2B" w14:paraId="1FC08A9B" w14:textId="77777777" w:rsidTr="006548F8">
        <w:trPr>
          <w:trHeight w:val="230"/>
        </w:trPr>
        <w:tc>
          <w:tcPr>
            <w:tcW w:w="3544" w:type="dxa"/>
          </w:tcPr>
          <w:p w14:paraId="4E9D307B" w14:textId="77777777" w:rsidR="007E2F9F" w:rsidRPr="00057F2B" w:rsidRDefault="007E2F9F" w:rsidP="006548F8">
            <w:pPr>
              <w:ind w:right="-1440"/>
              <w:jc w:val="both"/>
              <w:rPr>
                <w:rFonts w:ascii="Arial" w:hAnsi="Arial" w:cs="Arial"/>
                <w:b/>
                <w:bCs/>
                <w:sz w:val="18"/>
                <w:szCs w:val="18"/>
                <w:lang w:val="es-ES_tradnl"/>
              </w:rPr>
            </w:pPr>
            <w:r w:rsidRPr="00057F2B">
              <w:rPr>
                <w:rFonts w:ascii="Arial" w:hAnsi="Arial" w:cs="Arial"/>
                <w:b/>
                <w:bCs/>
                <w:sz w:val="18"/>
                <w:szCs w:val="18"/>
                <w:lang w:val="es-ES_tradnl"/>
              </w:rPr>
              <w:lastRenderedPageBreak/>
              <w:t>FUNCIONAMIENTO</w:t>
            </w:r>
          </w:p>
        </w:tc>
        <w:tc>
          <w:tcPr>
            <w:tcW w:w="2354" w:type="dxa"/>
            <w:vAlign w:val="bottom"/>
          </w:tcPr>
          <w:p w14:paraId="7F59CBED" w14:textId="77777777" w:rsidR="007E2F9F" w:rsidRPr="00057F2B" w:rsidRDefault="007E2F9F" w:rsidP="006548F8">
            <w:pPr>
              <w:jc w:val="right"/>
              <w:rPr>
                <w:rFonts w:ascii="Arial" w:eastAsia="Calibri" w:hAnsi="Arial" w:cs="Arial"/>
                <w:b/>
                <w:bCs/>
                <w:sz w:val="18"/>
                <w:szCs w:val="18"/>
                <w:lang w:val="es-CO"/>
              </w:rPr>
            </w:pPr>
            <w:r w:rsidRPr="00057F2B">
              <w:rPr>
                <w:b/>
                <w:sz w:val="16"/>
                <w:szCs w:val="16"/>
              </w:rPr>
              <w:t>637.194.746</w:t>
            </w:r>
          </w:p>
        </w:tc>
        <w:tc>
          <w:tcPr>
            <w:tcW w:w="2354" w:type="dxa"/>
            <w:vAlign w:val="bottom"/>
          </w:tcPr>
          <w:p w14:paraId="32F13CDB" w14:textId="77777777" w:rsidR="007E2F9F" w:rsidRPr="00057F2B" w:rsidRDefault="007E2F9F" w:rsidP="006548F8">
            <w:pPr>
              <w:pStyle w:val="Prrafodelista"/>
              <w:ind w:left="0"/>
              <w:jc w:val="right"/>
              <w:rPr>
                <w:rFonts w:ascii="Arial" w:hAnsi="Arial" w:cs="Arial"/>
                <w:b/>
                <w:bCs/>
                <w:sz w:val="18"/>
                <w:szCs w:val="18"/>
              </w:rPr>
            </w:pPr>
            <w:r w:rsidRPr="00057F2B">
              <w:rPr>
                <w:b/>
                <w:sz w:val="16"/>
                <w:szCs w:val="16"/>
              </w:rPr>
              <w:t>601.027.359</w:t>
            </w:r>
          </w:p>
        </w:tc>
        <w:tc>
          <w:tcPr>
            <w:tcW w:w="2238" w:type="dxa"/>
            <w:vAlign w:val="bottom"/>
          </w:tcPr>
          <w:p w14:paraId="6BB87DD7" w14:textId="77777777" w:rsidR="007E2F9F" w:rsidRPr="00057F2B" w:rsidRDefault="007E2F9F" w:rsidP="006548F8">
            <w:pPr>
              <w:pStyle w:val="Prrafodelista"/>
              <w:ind w:left="0"/>
              <w:jc w:val="right"/>
              <w:rPr>
                <w:rFonts w:ascii="Arial" w:hAnsi="Arial" w:cs="Arial"/>
                <w:b/>
                <w:bCs/>
                <w:sz w:val="18"/>
                <w:szCs w:val="18"/>
              </w:rPr>
            </w:pPr>
            <w:r w:rsidRPr="00057F2B">
              <w:rPr>
                <w:b/>
                <w:sz w:val="16"/>
                <w:szCs w:val="16"/>
              </w:rPr>
              <w:t>35.965.955</w:t>
            </w:r>
          </w:p>
        </w:tc>
      </w:tr>
      <w:tr w:rsidR="007E2F9F" w:rsidRPr="00057F2B" w14:paraId="3AD01E7E" w14:textId="77777777" w:rsidTr="006548F8">
        <w:trPr>
          <w:trHeight w:val="230"/>
        </w:trPr>
        <w:tc>
          <w:tcPr>
            <w:tcW w:w="3544" w:type="dxa"/>
          </w:tcPr>
          <w:p w14:paraId="38922C8F" w14:textId="77777777" w:rsidR="007E2F9F" w:rsidRPr="00057F2B" w:rsidRDefault="007E2F9F" w:rsidP="006548F8">
            <w:pPr>
              <w:ind w:right="-1440"/>
              <w:jc w:val="both"/>
              <w:rPr>
                <w:rFonts w:ascii="Arial" w:hAnsi="Arial" w:cs="Arial"/>
                <w:b/>
                <w:bCs/>
                <w:sz w:val="18"/>
                <w:szCs w:val="18"/>
                <w:lang w:val="es-ES_tradnl"/>
              </w:rPr>
            </w:pPr>
            <w:r w:rsidRPr="00057F2B">
              <w:rPr>
                <w:rFonts w:ascii="Arial" w:hAnsi="Arial" w:cs="Arial"/>
                <w:b/>
                <w:bCs/>
                <w:sz w:val="18"/>
                <w:szCs w:val="18"/>
                <w:lang w:val="es-ES_tradnl"/>
              </w:rPr>
              <w:t>NVERSIÓN</w:t>
            </w:r>
          </w:p>
        </w:tc>
        <w:tc>
          <w:tcPr>
            <w:tcW w:w="2354" w:type="dxa"/>
            <w:vAlign w:val="bottom"/>
          </w:tcPr>
          <w:p w14:paraId="5AC43207" w14:textId="77777777" w:rsidR="007E2F9F" w:rsidRPr="00057F2B" w:rsidRDefault="007E2F9F" w:rsidP="006548F8">
            <w:pPr>
              <w:jc w:val="right"/>
              <w:rPr>
                <w:rFonts w:ascii="Arial" w:eastAsia="Calibri" w:hAnsi="Arial" w:cs="Arial"/>
                <w:b/>
                <w:bCs/>
                <w:sz w:val="18"/>
                <w:szCs w:val="18"/>
                <w:lang w:val="es-CO"/>
              </w:rPr>
            </w:pPr>
            <w:r w:rsidRPr="00057F2B">
              <w:rPr>
                <w:rFonts w:ascii="Arial" w:eastAsia="Calibri" w:hAnsi="Arial" w:cs="Arial"/>
                <w:b/>
                <w:bCs/>
                <w:sz w:val="18"/>
                <w:szCs w:val="18"/>
                <w:lang w:val="es-CO"/>
              </w:rPr>
              <w:t>0</w:t>
            </w:r>
          </w:p>
        </w:tc>
        <w:tc>
          <w:tcPr>
            <w:tcW w:w="2354" w:type="dxa"/>
            <w:vAlign w:val="bottom"/>
          </w:tcPr>
          <w:p w14:paraId="33C02CB5" w14:textId="77777777" w:rsidR="007E2F9F" w:rsidRPr="00057F2B" w:rsidRDefault="007E2F9F" w:rsidP="006548F8">
            <w:pPr>
              <w:pStyle w:val="Prrafodelista"/>
              <w:ind w:left="0"/>
              <w:jc w:val="right"/>
              <w:rPr>
                <w:rFonts w:ascii="Arial" w:eastAsia="Calibri" w:hAnsi="Arial" w:cs="Arial"/>
                <w:b/>
                <w:bCs/>
                <w:sz w:val="18"/>
                <w:szCs w:val="18"/>
                <w:lang w:val="es-CO"/>
              </w:rPr>
            </w:pPr>
            <w:r w:rsidRPr="00057F2B">
              <w:rPr>
                <w:rFonts w:ascii="Arial" w:eastAsia="Calibri" w:hAnsi="Arial" w:cs="Arial"/>
                <w:b/>
                <w:bCs/>
                <w:sz w:val="18"/>
                <w:szCs w:val="18"/>
                <w:lang w:val="es-CO"/>
              </w:rPr>
              <w:t>0</w:t>
            </w:r>
          </w:p>
        </w:tc>
        <w:tc>
          <w:tcPr>
            <w:tcW w:w="2238" w:type="dxa"/>
            <w:vAlign w:val="bottom"/>
          </w:tcPr>
          <w:p w14:paraId="6E7FE063" w14:textId="77777777" w:rsidR="007E2F9F" w:rsidRPr="00057F2B" w:rsidRDefault="007E2F9F" w:rsidP="006548F8">
            <w:pPr>
              <w:pStyle w:val="Prrafodelista"/>
              <w:ind w:left="0"/>
              <w:jc w:val="right"/>
              <w:rPr>
                <w:rFonts w:ascii="Arial" w:hAnsi="Arial" w:cs="Arial"/>
                <w:b/>
                <w:bCs/>
                <w:sz w:val="18"/>
                <w:szCs w:val="18"/>
              </w:rPr>
            </w:pPr>
            <w:r w:rsidRPr="00057F2B">
              <w:rPr>
                <w:rFonts w:ascii="Arial" w:hAnsi="Arial" w:cs="Arial"/>
                <w:b/>
                <w:bCs/>
                <w:sz w:val="18"/>
                <w:szCs w:val="18"/>
              </w:rPr>
              <w:t>0</w:t>
            </w:r>
          </w:p>
        </w:tc>
      </w:tr>
      <w:tr w:rsidR="007E2F9F" w:rsidRPr="00057F2B" w14:paraId="1C85EFC0" w14:textId="77777777" w:rsidTr="006548F8">
        <w:tc>
          <w:tcPr>
            <w:tcW w:w="3544" w:type="dxa"/>
          </w:tcPr>
          <w:p w14:paraId="5D2E8A3C" w14:textId="77777777" w:rsidR="007E2F9F" w:rsidRPr="00057F2B" w:rsidRDefault="007E2F9F" w:rsidP="006548F8">
            <w:pPr>
              <w:ind w:right="-1440"/>
              <w:jc w:val="both"/>
              <w:rPr>
                <w:rFonts w:ascii="Arial" w:hAnsi="Arial" w:cs="Arial"/>
                <w:b/>
                <w:bCs/>
                <w:sz w:val="18"/>
                <w:szCs w:val="18"/>
                <w:lang w:val="es-ES_tradnl"/>
              </w:rPr>
            </w:pPr>
            <w:r w:rsidRPr="00057F2B">
              <w:rPr>
                <w:rFonts w:ascii="Arial" w:hAnsi="Arial" w:cs="Arial"/>
                <w:b/>
                <w:bCs/>
                <w:sz w:val="18"/>
                <w:szCs w:val="18"/>
                <w:lang w:val="es-ES_tradnl"/>
              </w:rPr>
              <w:t>TOTAL PÉRDIDAS DE APROPIACIÓN</w:t>
            </w:r>
          </w:p>
        </w:tc>
        <w:tc>
          <w:tcPr>
            <w:tcW w:w="2354" w:type="dxa"/>
            <w:vAlign w:val="bottom"/>
          </w:tcPr>
          <w:p w14:paraId="5D79FE0E" w14:textId="77777777" w:rsidR="007E2F9F" w:rsidRPr="00057F2B" w:rsidRDefault="007E2F9F" w:rsidP="006548F8">
            <w:pPr>
              <w:pStyle w:val="Prrafodelista"/>
              <w:ind w:left="0"/>
              <w:jc w:val="right"/>
              <w:rPr>
                <w:rFonts w:ascii="Arial" w:hAnsi="Arial" w:cs="Arial"/>
                <w:b/>
                <w:bCs/>
                <w:sz w:val="18"/>
                <w:szCs w:val="18"/>
                <w:u w:val="single"/>
              </w:rPr>
            </w:pPr>
            <w:r w:rsidRPr="00057F2B">
              <w:rPr>
                <w:b/>
                <w:sz w:val="16"/>
                <w:szCs w:val="16"/>
              </w:rPr>
              <w:t>637.194.746</w:t>
            </w:r>
          </w:p>
        </w:tc>
        <w:tc>
          <w:tcPr>
            <w:tcW w:w="2354" w:type="dxa"/>
            <w:vAlign w:val="bottom"/>
          </w:tcPr>
          <w:p w14:paraId="2C144C42" w14:textId="77777777" w:rsidR="007E2F9F" w:rsidRPr="00057F2B" w:rsidRDefault="007E2F9F" w:rsidP="006548F8">
            <w:pPr>
              <w:pStyle w:val="Prrafodelista"/>
              <w:ind w:left="0"/>
              <w:jc w:val="right"/>
              <w:rPr>
                <w:rFonts w:ascii="Arial" w:hAnsi="Arial" w:cs="Arial"/>
                <w:b/>
                <w:bCs/>
                <w:sz w:val="18"/>
                <w:szCs w:val="18"/>
                <w:u w:val="single"/>
              </w:rPr>
            </w:pPr>
            <w:r w:rsidRPr="00057F2B">
              <w:rPr>
                <w:b/>
                <w:sz w:val="16"/>
                <w:szCs w:val="16"/>
              </w:rPr>
              <w:t>601.027.360</w:t>
            </w:r>
          </w:p>
        </w:tc>
        <w:tc>
          <w:tcPr>
            <w:tcW w:w="2238" w:type="dxa"/>
            <w:vAlign w:val="bottom"/>
          </w:tcPr>
          <w:p w14:paraId="21BE4C68" w14:textId="77777777" w:rsidR="007E2F9F" w:rsidRPr="00057F2B" w:rsidRDefault="007E2F9F" w:rsidP="006548F8">
            <w:pPr>
              <w:pStyle w:val="Prrafodelista"/>
              <w:ind w:left="0"/>
              <w:jc w:val="right"/>
              <w:rPr>
                <w:rFonts w:ascii="Arial" w:hAnsi="Arial" w:cs="Arial"/>
                <w:b/>
                <w:bCs/>
                <w:sz w:val="18"/>
                <w:szCs w:val="18"/>
                <w:u w:val="single"/>
              </w:rPr>
            </w:pPr>
            <w:r w:rsidRPr="00057F2B">
              <w:rPr>
                <w:b/>
                <w:sz w:val="16"/>
                <w:szCs w:val="16"/>
              </w:rPr>
              <w:t>36.167.386</w:t>
            </w:r>
          </w:p>
        </w:tc>
      </w:tr>
    </w:tbl>
    <w:p w14:paraId="594B548B" w14:textId="77777777" w:rsidR="007E2F9F" w:rsidRDefault="007E2F9F" w:rsidP="007E2F9F">
      <w:pPr>
        <w:ind w:left="-284" w:right="-234"/>
        <w:rPr>
          <w:rFonts w:ascii="Arial" w:eastAsia="Calibri" w:hAnsi="Arial" w:cs="Arial"/>
          <w:b/>
          <w:u w:val="single"/>
          <w:lang w:val="es-MX"/>
        </w:rPr>
      </w:pPr>
    </w:p>
    <w:p w14:paraId="39F73063" w14:textId="77777777" w:rsidR="007E2F9F" w:rsidRPr="00581DF9" w:rsidRDefault="007E2F9F" w:rsidP="007E2F9F">
      <w:pPr>
        <w:ind w:left="-284"/>
        <w:jc w:val="both"/>
        <w:rPr>
          <w:rFonts w:ascii="Arial" w:hAnsi="Arial" w:cs="Arial"/>
          <w:b/>
          <w:sz w:val="28"/>
          <w:szCs w:val="28"/>
          <w:lang w:val="es-MX"/>
        </w:rPr>
      </w:pPr>
      <w:r w:rsidRPr="00581DF9">
        <w:rPr>
          <w:rFonts w:ascii="Arial" w:hAnsi="Arial" w:cs="Arial"/>
          <w:b/>
          <w:sz w:val="28"/>
          <w:szCs w:val="28"/>
          <w:lang w:val="es-MX"/>
        </w:rPr>
        <w:t>333.- FONDO ROTATORIO DEL MINISTERIO DE RELACIONES EXTERIORES.</w:t>
      </w:r>
    </w:p>
    <w:p w14:paraId="5B082246" w14:textId="77777777" w:rsidR="007E2F9F" w:rsidRDefault="007E2F9F" w:rsidP="007E2F9F">
      <w:pPr>
        <w:ind w:left="-284" w:right="-234"/>
        <w:rPr>
          <w:rFonts w:ascii="Arial" w:eastAsia="Calibri" w:hAnsi="Arial" w:cs="Arial"/>
          <w:b/>
          <w:u w:val="single"/>
          <w:lang w:val="es-MX"/>
        </w:rPr>
      </w:pPr>
    </w:p>
    <w:p w14:paraId="6217CF3D"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6764202"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41CF2151"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1F5899" w14:paraId="43F48FEC" w14:textId="77777777" w:rsidTr="006548F8">
        <w:tc>
          <w:tcPr>
            <w:tcW w:w="3544" w:type="dxa"/>
          </w:tcPr>
          <w:p w14:paraId="423DEB0E" w14:textId="77777777" w:rsidR="007E2F9F" w:rsidRPr="001F5899" w:rsidRDefault="007E2F9F" w:rsidP="006548F8">
            <w:pPr>
              <w:ind w:left="1169" w:right="-1440"/>
              <w:rPr>
                <w:rFonts w:ascii="Arial" w:hAnsi="Arial" w:cs="Arial"/>
                <w:b/>
                <w:sz w:val="18"/>
                <w:szCs w:val="18"/>
                <w:lang w:val="es-ES_tradnl"/>
              </w:rPr>
            </w:pPr>
            <w:r w:rsidRPr="001F5899">
              <w:rPr>
                <w:rFonts w:ascii="Arial" w:hAnsi="Arial" w:cs="Arial"/>
                <w:b/>
                <w:sz w:val="18"/>
                <w:szCs w:val="18"/>
                <w:lang w:val="es-ES_tradnl"/>
              </w:rPr>
              <w:t>TIPO DE GASTO</w:t>
            </w:r>
          </w:p>
        </w:tc>
        <w:tc>
          <w:tcPr>
            <w:tcW w:w="2354" w:type="dxa"/>
          </w:tcPr>
          <w:p w14:paraId="5C6F4EA0" w14:textId="77777777" w:rsidR="007E2F9F" w:rsidRPr="001F5899" w:rsidRDefault="007E2F9F" w:rsidP="006548F8">
            <w:pPr>
              <w:jc w:val="center"/>
              <w:rPr>
                <w:rFonts w:ascii="Arial" w:hAnsi="Arial" w:cs="Arial"/>
                <w:b/>
                <w:sz w:val="18"/>
                <w:szCs w:val="18"/>
                <w:lang w:val="es-ES_tradnl"/>
              </w:rPr>
            </w:pPr>
            <w:r w:rsidRPr="001F5899">
              <w:rPr>
                <w:rFonts w:ascii="Arial" w:hAnsi="Arial" w:cs="Arial"/>
                <w:b/>
                <w:sz w:val="18"/>
                <w:szCs w:val="18"/>
                <w:lang w:val="es-ES_tradnl"/>
              </w:rPr>
              <w:t>APROPIACIÓN</w:t>
            </w:r>
          </w:p>
          <w:p w14:paraId="35284876" w14:textId="77777777" w:rsidR="007E2F9F" w:rsidRPr="001F5899" w:rsidRDefault="007E2F9F" w:rsidP="006548F8">
            <w:pPr>
              <w:jc w:val="center"/>
              <w:rPr>
                <w:rFonts w:ascii="Arial" w:hAnsi="Arial" w:cs="Arial"/>
                <w:b/>
                <w:sz w:val="18"/>
                <w:szCs w:val="18"/>
                <w:lang w:val="es-ES_tradnl"/>
              </w:rPr>
            </w:pPr>
            <w:r w:rsidRPr="001F5899">
              <w:rPr>
                <w:rFonts w:ascii="Arial" w:hAnsi="Arial" w:cs="Arial"/>
                <w:b/>
                <w:sz w:val="18"/>
                <w:szCs w:val="18"/>
                <w:lang w:val="es-ES_tradnl"/>
              </w:rPr>
              <w:t>DEFINITIVA</w:t>
            </w:r>
          </w:p>
          <w:p w14:paraId="6570A5C4" w14:textId="77777777" w:rsidR="007E2F9F" w:rsidRPr="001F5899" w:rsidRDefault="007E2F9F" w:rsidP="006548F8">
            <w:pPr>
              <w:jc w:val="center"/>
              <w:rPr>
                <w:rFonts w:ascii="Arial" w:hAnsi="Arial" w:cs="Arial"/>
                <w:b/>
                <w:sz w:val="18"/>
                <w:szCs w:val="18"/>
                <w:lang w:val="es-ES_tradnl"/>
              </w:rPr>
            </w:pPr>
            <w:r w:rsidRPr="001F5899">
              <w:rPr>
                <w:rFonts w:ascii="Arial" w:hAnsi="Arial" w:cs="Arial"/>
                <w:b/>
                <w:sz w:val="18"/>
                <w:szCs w:val="18"/>
                <w:lang w:val="es-ES_tradnl"/>
              </w:rPr>
              <w:t>(1)</w:t>
            </w:r>
          </w:p>
          <w:p w14:paraId="2D94344F" w14:textId="77777777" w:rsidR="007E2F9F" w:rsidRPr="001F5899" w:rsidRDefault="007E2F9F" w:rsidP="006548F8">
            <w:pPr>
              <w:jc w:val="center"/>
              <w:rPr>
                <w:rFonts w:ascii="Arial" w:hAnsi="Arial" w:cs="Arial"/>
                <w:b/>
                <w:sz w:val="18"/>
                <w:szCs w:val="18"/>
                <w:lang w:val="es-ES_tradnl"/>
              </w:rPr>
            </w:pPr>
          </w:p>
        </w:tc>
        <w:tc>
          <w:tcPr>
            <w:tcW w:w="2354" w:type="dxa"/>
          </w:tcPr>
          <w:p w14:paraId="29A787F4" w14:textId="77777777" w:rsidR="007E2F9F" w:rsidRPr="001F5899" w:rsidRDefault="007E2F9F" w:rsidP="006548F8">
            <w:pPr>
              <w:ind w:left="145" w:right="184"/>
              <w:jc w:val="center"/>
              <w:rPr>
                <w:rFonts w:ascii="Arial" w:hAnsi="Arial" w:cs="Arial"/>
                <w:b/>
                <w:sz w:val="18"/>
                <w:szCs w:val="18"/>
                <w:lang w:val="es-ES_tradnl"/>
              </w:rPr>
            </w:pPr>
            <w:r w:rsidRPr="001F5899">
              <w:rPr>
                <w:rFonts w:ascii="Arial" w:hAnsi="Arial" w:cs="Arial"/>
                <w:b/>
                <w:sz w:val="18"/>
                <w:szCs w:val="18"/>
                <w:lang w:val="es-ES_tradnl"/>
              </w:rPr>
              <w:t>EJECUCIÓN</w:t>
            </w:r>
          </w:p>
          <w:p w14:paraId="1B175989" w14:textId="77777777" w:rsidR="007E2F9F" w:rsidRPr="001F5899" w:rsidRDefault="007E2F9F" w:rsidP="006548F8">
            <w:pPr>
              <w:ind w:right="34"/>
              <w:jc w:val="center"/>
              <w:rPr>
                <w:rFonts w:ascii="Arial" w:hAnsi="Arial" w:cs="Arial"/>
                <w:b/>
                <w:sz w:val="18"/>
                <w:szCs w:val="18"/>
                <w:lang w:val="es-ES_tradnl"/>
              </w:rPr>
            </w:pPr>
            <w:r w:rsidRPr="001F5899">
              <w:rPr>
                <w:rFonts w:ascii="Arial" w:hAnsi="Arial" w:cs="Arial"/>
                <w:b/>
                <w:sz w:val="18"/>
                <w:szCs w:val="18"/>
                <w:lang w:val="es-ES_tradnl"/>
              </w:rPr>
              <w:t>COMPROMISOS</w:t>
            </w:r>
          </w:p>
          <w:p w14:paraId="69D29197" w14:textId="77777777" w:rsidR="007E2F9F" w:rsidRPr="001F5899" w:rsidRDefault="007E2F9F" w:rsidP="006548F8">
            <w:pPr>
              <w:ind w:right="34"/>
              <w:jc w:val="center"/>
              <w:rPr>
                <w:rFonts w:ascii="Arial" w:hAnsi="Arial" w:cs="Arial"/>
                <w:b/>
                <w:sz w:val="18"/>
                <w:szCs w:val="18"/>
                <w:lang w:val="es-ES_tradnl"/>
              </w:rPr>
            </w:pPr>
            <w:r w:rsidRPr="001F5899">
              <w:rPr>
                <w:rFonts w:ascii="Arial" w:hAnsi="Arial" w:cs="Arial"/>
                <w:b/>
                <w:sz w:val="18"/>
                <w:szCs w:val="18"/>
                <w:lang w:val="es-ES_tradnl"/>
              </w:rPr>
              <w:t>(2)</w:t>
            </w:r>
          </w:p>
        </w:tc>
        <w:tc>
          <w:tcPr>
            <w:tcW w:w="2238" w:type="dxa"/>
          </w:tcPr>
          <w:p w14:paraId="4E28503B" w14:textId="77777777" w:rsidR="007E2F9F" w:rsidRPr="001F5899" w:rsidRDefault="007E2F9F" w:rsidP="006548F8">
            <w:pPr>
              <w:ind w:left="25" w:right="34"/>
              <w:jc w:val="center"/>
              <w:rPr>
                <w:rFonts w:ascii="Arial" w:hAnsi="Arial" w:cs="Arial"/>
                <w:b/>
                <w:sz w:val="18"/>
                <w:szCs w:val="18"/>
                <w:lang w:val="es-ES_tradnl"/>
              </w:rPr>
            </w:pPr>
            <w:r w:rsidRPr="001F5899">
              <w:rPr>
                <w:rFonts w:ascii="Arial" w:hAnsi="Arial" w:cs="Arial"/>
                <w:b/>
                <w:sz w:val="18"/>
                <w:szCs w:val="18"/>
                <w:lang w:val="es-ES_tradnl"/>
              </w:rPr>
              <w:t>PÉRDIDAS DE</w:t>
            </w:r>
          </w:p>
          <w:p w14:paraId="7B9AC35E" w14:textId="77777777" w:rsidR="007E2F9F" w:rsidRPr="001F5899" w:rsidRDefault="007E2F9F" w:rsidP="006548F8">
            <w:pPr>
              <w:ind w:right="34"/>
              <w:jc w:val="center"/>
              <w:rPr>
                <w:rFonts w:ascii="Arial" w:hAnsi="Arial" w:cs="Arial"/>
                <w:b/>
                <w:sz w:val="18"/>
                <w:szCs w:val="18"/>
                <w:lang w:val="es-ES_tradnl"/>
              </w:rPr>
            </w:pPr>
            <w:r w:rsidRPr="001F5899">
              <w:rPr>
                <w:rFonts w:ascii="Arial" w:hAnsi="Arial" w:cs="Arial"/>
                <w:b/>
                <w:sz w:val="18"/>
                <w:szCs w:val="18"/>
                <w:lang w:val="es-ES_tradnl"/>
              </w:rPr>
              <w:t>APROPIACIÓN</w:t>
            </w:r>
          </w:p>
          <w:p w14:paraId="7B45E87A" w14:textId="77777777" w:rsidR="007E2F9F" w:rsidRPr="001F5899" w:rsidRDefault="007E2F9F" w:rsidP="006548F8">
            <w:pPr>
              <w:ind w:right="34"/>
              <w:jc w:val="center"/>
              <w:rPr>
                <w:rFonts w:ascii="Arial" w:hAnsi="Arial" w:cs="Arial"/>
                <w:b/>
                <w:sz w:val="18"/>
                <w:szCs w:val="18"/>
                <w:lang w:val="es-ES_tradnl"/>
              </w:rPr>
            </w:pPr>
            <w:r w:rsidRPr="001F5899">
              <w:rPr>
                <w:rFonts w:ascii="Arial" w:hAnsi="Arial" w:cs="Arial"/>
                <w:b/>
                <w:sz w:val="18"/>
                <w:szCs w:val="18"/>
                <w:lang w:val="es-ES_tradnl"/>
              </w:rPr>
              <w:t>3 = (1-2)</w:t>
            </w:r>
          </w:p>
        </w:tc>
      </w:tr>
      <w:tr w:rsidR="007E2F9F" w:rsidRPr="001F5899" w14:paraId="656AE92D" w14:textId="77777777" w:rsidTr="006548F8">
        <w:trPr>
          <w:trHeight w:val="230"/>
        </w:trPr>
        <w:tc>
          <w:tcPr>
            <w:tcW w:w="3544" w:type="dxa"/>
          </w:tcPr>
          <w:p w14:paraId="18423777" w14:textId="77777777" w:rsidR="007E2F9F" w:rsidRPr="001F5899" w:rsidRDefault="007E2F9F" w:rsidP="006548F8">
            <w:pPr>
              <w:ind w:right="-1440"/>
              <w:jc w:val="both"/>
              <w:rPr>
                <w:rFonts w:ascii="Arial" w:hAnsi="Arial" w:cs="Arial"/>
                <w:b/>
                <w:bCs/>
                <w:sz w:val="18"/>
                <w:szCs w:val="18"/>
                <w:lang w:val="es-ES_tradnl"/>
              </w:rPr>
            </w:pPr>
            <w:r w:rsidRPr="001F5899">
              <w:rPr>
                <w:rFonts w:ascii="Arial" w:hAnsi="Arial" w:cs="Arial"/>
                <w:b/>
                <w:bCs/>
                <w:sz w:val="18"/>
                <w:szCs w:val="18"/>
                <w:lang w:val="es-ES_tradnl"/>
              </w:rPr>
              <w:t>FUNCIONAMIENTO</w:t>
            </w:r>
          </w:p>
        </w:tc>
        <w:tc>
          <w:tcPr>
            <w:tcW w:w="2354" w:type="dxa"/>
            <w:vAlign w:val="bottom"/>
          </w:tcPr>
          <w:p w14:paraId="3F5684D5" w14:textId="77777777" w:rsidR="007E2F9F" w:rsidRPr="001F5899" w:rsidRDefault="007E2F9F" w:rsidP="006548F8">
            <w:pPr>
              <w:jc w:val="right"/>
              <w:rPr>
                <w:rFonts w:ascii="Arial" w:eastAsia="Calibri" w:hAnsi="Arial" w:cs="Arial"/>
                <w:b/>
                <w:bCs/>
                <w:sz w:val="18"/>
                <w:szCs w:val="18"/>
                <w:lang w:val="es-CO"/>
              </w:rPr>
            </w:pPr>
            <w:r w:rsidRPr="001F5899">
              <w:rPr>
                <w:rFonts w:ascii="Arial" w:hAnsi="Arial" w:cs="Arial"/>
                <w:b/>
                <w:bCs/>
                <w:sz w:val="16"/>
                <w:szCs w:val="16"/>
              </w:rPr>
              <w:t>726.652.461</w:t>
            </w:r>
          </w:p>
        </w:tc>
        <w:tc>
          <w:tcPr>
            <w:tcW w:w="2354" w:type="dxa"/>
            <w:vAlign w:val="bottom"/>
          </w:tcPr>
          <w:p w14:paraId="7532A67C" w14:textId="77777777" w:rsidR="007E2F9F" w:rsidRPr="001F5899" w:rsidRDefault="007E2F9F" w:rsidP="006548F8">
            <w:pPr>
              <w:pStyle w:val="Prrafodelista"/>
              <w:ind w:left="0"/>
              <w:jc w:val="right"/>
              <w:rPr>
                <w:rFonts w:ascii="Arial" w:hAnsi="Arial" w:cs="Arial"/>
                <w:b/>
                <w:bCs/>
                <w:sz w:val="18"/>
                <w:szCs w:val="18"/>
              </w:rPr>
            </w:pPr>
            <w:r w:rsidRPr="001F5899">
              <w:rPr>
                <w:rFonts w:ascii="Arial" w:hAnsi="Arial" w:cs="Arial"/>
                <w:b/>
                <w:bCs/>
                <w:sz w:val="16"/>
                <w:szCs w:val="16"/>
              </w:rPr>
              <w:t>702.559.478</w:t>
            </w:r>
          </w:p>
        </w:tc>
        <w:tc>
          <w:tcPr>
            <w:tcW w:w="2238" w:type="dxa"/>
            <w:vAlign w:val="bottom"/>
          </w:tcPr>
          <w:p w14:paraId="3329CB59" w14:textId="77777777" w:rsidR="007E2F9F" w:rsidRPr="001F5899" w:rsidRDefault="007E2F9F" w:rsidP="006548F8">
            <w:pPr>
              <w:pStyle w:val="Prrafodelista"/>
              <w:ind w:left="0"/>
              <w:jc w:val="right"/>
              <w:rPr>
                <w:rFonts w:ascii="Arial" w:hAnsi="Arial" w:cs="Arial"/>
                <w:b/>
                <w:bCs/>
                <w:sz w:val="18"/>
                <w:szCs w:val="18"/>
              </w:rPr>
            </w:pPr>
            <w:r w:rsidRPr="001F5899">
              <w:rPr>
                <w:rFonts w:ascii="Arial" w:hAnsi="Arial" w:cs="Arial"/>
                <w:b/>
                <w:bCs/>
                <w:sz w:val="16"/>
                <w:szCs w:val="16"/>
              </w:rPr>
              <w:t>24.092.983</w:t>
            </w:r>
          </w:p>
        </w:tc>
      </w:tr>
      <w:tr w:rsidR="007E2F9F" w:rsidRPr="001F5899" w14:paraId="64F2C839" w14:textId="77777777" w:rsidTr="006548F8">
        <w:trPr>
          <w:trHeight w:val="230"/>
        </w:trPr>
        <w:tc>
          <w:tcPr>
            <w:tcW w:w="3544" w:type="dxa"/>
          </w:tcPr>
          <w:p w14:paraId="51804700" w14:textId="77777777" w:rsidR="007E2F9F" w:rsidRPr="001F5899" w:rsidRDefault="007E2F9F" w:rsidP="006548F8">
            <w:pPr>
              <w:ind w:right="-1440"/>
              <w:jc w:val="both"/>
              <w:rPr>
                <w:rFonts w:ascii="Arial" w:hAnsi="Arial" w:cs="Arial"/>
                <w:b/>
                <w:bCs/>
                <w:sz w:val="18"/>
                <w:szCs w:val="18"/>
                <w:lang w:val="es-ES_tradnl"/>
              </w:rPr>
            </w:pPr>
            <w:r w:rsidRPr="001F5899">
              <w:rPr>
                <w:rFonts w:ascii="Arial" w:hAnsi="Arial" w:cs="Arial"/>
                <w:b/>
                <w:bCs/>
                <w:sz w:val="18"/>
                <w:szCs w:val="18"/>
                <w:lang w:val="es-ES_tradnl"/>
              </w:rPr>
              <w:t>NVERSIÓN</w:t>
            </w:r>
          </w:p>
        </w:tc>
        <w:tc>
          <w:tcPr>
            <w:tcW w:w="2354" w:type="dxa"/>
            <w:vAlign w:val="bottom"/>
          </w:tcPr>
          <w:p w14:paraId="4130BB2B" w14:textId="77777777" w:rsidR="007E2F9F" w:rsidRPr="001F5899" w:rsidRDefault="007E2F9F" w:rsidP="006548F8">
            <w:pPr>
              <w:jc w:val="right"/>
              <w:rPr>
                <w:rFonts w:ascii="Arial" w:eastAsia="Calibri" w:hAnsi="Arial" w:cs="Arial"/>
                <w:b/>
                <w:bCs/>
                <w:sz w:val="18"/>
                <w:szCs w:val="18"/>
                <w:lang w:val="es-CO"/>
              </w:rPr>
            </w:pPr>
            <w:r w:rsidRPr="001F5899">
              <w:rPr>
                <w:rFonts w:ascii="Arial" w:hAnsi="Arial" w:cs="Arial"/>
                <w:b/>
                <w:color w:val="000000"/>
                <w:sz w:val="16"/>
                <w:szCs w:val="16"/>
              </w:rPr>
              <w:t>71.760.622</w:t>
            </w:r>
          </w:p>
        </w:tc>
        <w:tc>
          <w:tcPr>
            <w:tcW w:w="2354" w:type="dxa"/>
            <w:vAlign w:val="bottom"/>
          </w:tcPr>
          <w:p w14:paraId="0589373E" w14:textId="77777777" w:rsidR="007E2F9F" w:rsidRPr="001F5899" w:rsidRDefault="007E2F9F" w:rsidP="006548F8">
            <w:pPr>
              <w:pStyle w:val="Prrafodelista"/>
              <w:ind w:left="0"/>
              <w:jc w:val="right"/>
              <w:rPr>
                <w:rFonts w:ascii="Arial" w:eastAsia="Calibri" w:hAnsi="Arial" w:cs="Arial"/>
                <w:b/>
                <w:bCs/>
                <w:sz w:val="18"/>
                <w:szCs w:val="18"/>
                <w:lang w:val="es-CO"/>
              </w:rPr>
            </w:pPr>
            <w:r w:rsidRPr="001F5899">
              <w:rPr>
                <w:rFonts w:ascii="Arial" w:hAnsi="Arial" w:cs="Arial"/>
                <w:b/>
                <w:color w:val="000000"/>
                <w:sz w:val="16"/>
                <w:szCs w:val="16"/>
              </w:rPr>
              <w:t>66.620.404</w:t>
            </w:r>
          </w:p>
        </w:tc>
        <w:tc>
          <w:tcPr>
            <w:tcW w:w="2238" w:type="dxa"/>
            <w:vAlign w:val="bottom"/>
          </w:tcPr>
          <w:p w14:paraId="7C18F819" w14:textId="77777777" w:rsidR="007E2F9F" w:rsidRPr="001F5899" w:rsidRDefault="007E2F9F" w:rsidP="006548F8">
            <w:pPr>
              <w:pStyle w:val="Prrafodelista"/>
              <w:ind w:left="0"/>
              <w:jc w:val="right"/>
              <w:rPr>
                <w:rFonts w:ascii="Arial" w:hAnsi="Arial" w:cs="Arial"/>
                <w:b/>
                <w:bCs/>
                <w:sz w:val="18"/>
                <w:szCs w:val="18"/>
              </w:rPr>
            </w:pPr>
            <w:r w:rsidRPr="001F5899">
              <w:rPr>
                <w:rFonts w:ascii="Arial" w:hAnsi="Arial" w:cs="Arial"/>
                <w:b/>
                <w:color w:val="000000"/>
                <w:sz w:val="16"/>
                <w:szCs w:val="16"/>
              </w:rPr>
              <w:t>5.140.218</w:t>
            </w:r>
          </w:p>
        </w:tc>
      </w:tr>
      <w:tr w:rsidR="007E2F9F" w:rsidRPr="001F5899" w14:paraId="39DC0621" w14:textId="77777777" w:rsidTr="006548F8">
        <w:tc>
          <w:tcPr>
            <w:tcW w:w="3544" w:type="dxa"/>
          </w:tcPr>
          <w:p w14:paraId="50F81756" w14:textId="77777777" w:rsidR="007E2F9F" w:rsidRPr="001F5899" w:rsidRDefault="007E2F9F" w:rsidP="006548F8">
            <w:pPr>
              <w:ind w:right="-1440"/>
              <w:jc w:val="both"/>
              <w:rPr>
                <w:rFonts w:ascii="Arial" w:hAnsi="Arial" w:cs="Arial"/>
                <w:b/>
                <w:bCs/>
                <w:sz w:val="18"/>
                <w:szCs w:val="18"/>
                <w:lang w:val="es-ES_tradnl"/>
              </w:rPr>
            </w:pPr>
            <w:r w:rsidRPr="001F5899">
              <w:rPr>
                <w:rFonts w:ascii="Arial" w:hAnsi="Arial" w:cs="Arial"/>
                <w:b/>
                <w:bCs/>
                <w:sz w:val="18"/>
                <w:szCs w:val="18"/>
                <w:lang w:val="es-ES_tradnl"/>
              </w:rPr>
              <w:t>TOTAL PÉRDIDAS DE APROPIACIÓN</w:t>
            </w:r>
          </w:p>
        </w:tc>
        <w:tc>
          <w:tcPr>
            <w:tcW w:w="2354" w:type="dxa"/>
            <w:vAlign w:val="bottom"/>
          </w:tcPr>
          <w:p w14:paraId="58A415E8" w14:textId="77777777" w:rsidR="007E2F9F" w:rsidRPr="001F5899" w:rsidRDefault="007E2F9F" w:rsidP="006548F8">
            <w:pPr>
              <w:pStyle w:val="Prrafodelista"/>
              <w:ind w:left="0"/>
              <w:jc w:val="right"/>
              <w:rPr>
                <w:rFonts w:ascii="Arial" w:hAnsi="Arial" w:cs="Arial"/>
                <w:b/>
                <w:bCs/>
                <w:sz w:val="18"/>
                <w:szCs w:val="18"/>
                <w:u w:val="single"/>
              </w:rPr>
            </w:pPr>
            <w:r w:rsidRPr="001F5899">
              <w:rPr>
                <w:rFonts w:ascii="Arial" w:hAnsi="Arial" w:cs="Arial"/>
                <w:b/>
                <w:bCs/>
                <w:sz w:val="16"/>
                <w:szCs w:val="16"/>
              </w:rPr>
              <w:t>798.413.083</w:t>
            </w:r>
          </w:p>
        </w:tc>
        <w:tc>
          <w:tcPr>
            <w:tcW w:w="2354" w:type="dxa"/>
            <w:vAlign w:val="bottom"/>
          </w:tcPr>
          <w:p w14:paraId="29E9530E" w14:textId="77777777" w:rsidR="007E2F9F" w:rsidRPr="001F5899" w:rsidRDefault="007E2F9F" w:rsidP="006548F8">
            <w:pPr>
              <w:pStyle w:val="Prrafodelista"/>
              <w:ind w:left="0"/>
              <w:jc w:val="right"/>
              <w:rPr>
                <w:rFonts w:ascii="Arial" w:hAnsi="Arial" w:cs="Arial"/>
                <w:b/>
                <w:bCs/>
                <w:sz w:val="18"/>
                <w:szCs w:val="18"/>
                <w:u w:val="single"/>
              </w:rPr>
            </w:pPr>
            <w:r w:rsidRPr="001F5899">
              <w:rPr>
                <w:rFonts w:ascii="Arial" w:hAnsi="Arial" w:cs="Arial"/>
                <w:b/>
                <w:bCs/>
                <w:sz w:val="16"/>
                <w:szCs w:val="16"/>
              </w:rPr>
              <w:t>769.179.882</w:t>
            </w:r>
          </w:p>
        </w:tc>
        <w:tc>
          <w:tcPr>
            <w:tcW w:w="2238" w:type="dxa"/>
            <w:vAlign w:val="bottom"/>
          </w:tcPr>
          <w:p w14:paraId="7723F788" w14:textId="77777777" w:rsidR="007E2F9F" w:rsidRPr="001F5899" w:rsidRDefault="007E2F9F" w:rsidP="006548F8">
            <w:pPr>
              <w:pStyle w:val="Prrafodelista"/>
              <w:ind w:left="0"/>
              <w:jc w:val="right"/>
              <w:rPr>
                <w:rFonts w:ascii="Arial" w:hAnsi="Arial" w:cs="Arial"/>
                <w:b/>
                <w:bCs/>
                <w:sz w:val="18"/>
                <w:szCs w:val="18"/>
                <w:u w:val="single"/>
              </w:rPr>
            </w:pPr>
            <w:r w:rsidRPr="001F5899">
              <w:rPr>
                <w:rFonts w:ascii="Arial" w:hAnsi="Arial" w:cs="Arial"/>
                <w:b/>
                <w:bCs/>
                <w:sz w:val="16"/>
                <w:szCs w:val="16"/>
              </w:rPr>
              <w:t>29.233.201</w:t>
            </w:r>
          </w:p>
        </w:tc>
      </w:tr>
    </w:tbl>
    <w:p w14:paraId="48E40537" w14:textId="77777777" w:rsidR="007E2F9F" w:rsidRDefault="007E2F9F" w:rsidP="007E2F9F">
      <w:pPr>
        <w:ind w:left="-284" w:right="-234"/>
        <w:rPr>
          <w:rFonts w:ascii="Arial" w:eastAsia="Calibri" w:hAnsi="Arial" w:cs="Arial"/>
          <w:b/>
          <w:u w:val="single"/>
          <w:lang w:val="es-MX"/>
        </w:rPr>
      </w:pPr>
    </w:p>
    <w:p w14:paraId="6EA8F807" w14:textId="77777777" w:rsidR="007E2F9F" w:rsidRPr="000A42AE" w:rsidRDefault="007E2F9F" w:rsidP="007E2F9F">
      <w:pPr>
        <w:ind w:left="-284" w:right="-234"/>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634017B5" w14:textId="77777777" w:rsidR="007E2F9F" w:rsidRDefault="007E2F9F" w:rsidP="007E2F9F">
      <w:pPr>
        <w:ind w:left="-284" w:right="-234"/>
        <w:rPr>
          <w:rFonts w:ascii="Arial" w:eastAsia="Calibri" w:hAnsi="Arial" w:cs="Arial"/>
          <w:b/>
          <w:u w:val="single"/>
          <w:lang w:val="es-MX"/>
        </w:rPr>
      </w:pPr>
    </w:p>
    <w:p w14:paraId="2CDA5BA3"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4FFA50BC"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50F811F0"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0C67AE" w14:paraId="5FBD6E4D" w14:textId="77777777" w:rsidTr="006548F8">
        <w:tc>
          <w:tcPr>
            <w:tcW w:w="3544" w:type="dxa"/>
          </w:tcPr>
          <w:p w14:paraId="57D515A1" w14:textId="77777777" w:rsidR="007E2F9F" w:rsidRPr="000C67AE" w:rsidRDefault="007E2F9F" w:rsidP="006548F8">
            <w:pPr>
              <w:ind w:left="1169" w:right="-1440"/>
              <w:rPr>
                <w:rFonts w:ascii="Arial" w:hAnsi="Arial" w:cs="Arial"/>
                <w:b/>
                <w:sz w:val="18"/>
                <w:szCs w:val="18"/>
                <w:lang w:val="es-ES_tradnl"/>
              </w:rPr>
            </w:pPr>
            <w:r w:rsidRPr="000C67AE">
              <w:rPr>
                <w:rFonts w:ascii="Arial" w:hAnsi="Arial" w:cs="Arial"/>
                <w:b/>
                <w:sz w:val="18"/>
                <w:szCs w:val="18"/>
                <w:lang w:val="es-ES_tradnl"/>
              </w:rPr>
              <w:t>TIPO DE GASTO</w:t>
            </w:r>
          </w:p>
        </w:tc>
        <w:tc>
          <w:tcPr>
            <w:tcW w:w="2354" w:type="dxa"/>
          </w:tcPr>
          <w:p w14:paraId="24AB9B7B" w14:textId="77777777" w:rsidR="007E2F9F" w:rsidRPr="000C67AE" w:rsidRDefault="007E2F9F" w:rsidP="006548F8">
            <w:pPr>
              <w:jc w:val="center"/>
              <w:rPr>
                <w:rFonts w:ascii="Arial" w:hAnsi="Arial" w:cs="Arial"/>
                <w:b/>
                <w:sz w:val="18"/>
                <w:szCs w:val="18"/>
                <w:lang w:val="es-ES_tradnl"/>
              </w:rPr>
            </w:pPr>
            <w:r w:rsidRPr="000C67AE">
              <w:rPr>
                <w:rFonts w:ascii="Arial" w:hAnsi="Arial" w:cs="Arial"/>
                <w:b/>
                <w:sz w:val="18"/>
                <w:szCs w:val="18"/>
                <w:lang w:val="es-ES_tradnl"/>
              </w:rPr>
              <w:t>APROPIACIÓN</w:t>
            </w:r>
          </w:p>
          <w:p w14:paraId="667876ED" w14:textId="77777777" w:rsidR="007E2F9F" w:rsidRPr="000C67AE" w:rsidRDefault="007E2F9F" w:rsidP="006548F8">
            <w:pPr>
              <w:jc w:val="center"/>
              <w:rPr>
                <w:rFonts w:ascii="Arial" w:hAnsi="Arial" w:cs="Arial"/>
                <w:b/>
                <w:sz w:val="18"/>
                <w:szCs w:val="18"/>
                <w:lang w:val="es-ES_tradnl"/>
              </w:rPr>
            </w:pPr>
            <w:r w:rsidRPr="000C67AE">
              <w:rPr>
                <w:rFonts w:ascii="Arial" w:hAnsi="Arial" w:cs="Arial"/>
                <w:b/>
                <w:sz w:val="18"/>
                <w:szCs w:val="18"/>
                <w:lang w:val="es-ES_tradnl"/>
              </w:rPr>
              <w:t>DEFINITIVA</w:t>
            </w:r>
          </w:p>
          <w:p w14:paraId="3677599C" w14:textId="77777777" w:rsidR="007E2F9F" w:rsidRPr="000C67AE" w:rsidRDefault="007E2F9F" w:rsidP="006548F8">
            <w:pPr>
              <w:jc w:val="center"/>
              <w:rPr>
                <w:rFonts w:ascii="Arial" w:hAnsi="Arial" w:cs="Arial"/>
                <w:b/>
                <w:sz w:val="18"/>
                <w:szCs w:val="18"/>
                <w:lang w:val="es-ES_tradnl"/>
              </w:rPr>
            </w:pPr>
            <w:r w:rsidRPr="000C67AE">
              <w:rPr>
                <w:rFonts w:ascii="Arial" w:hAnsi="Arial" w:cs="Arial"/>
                <w:b/>
                <w:sz w:val="18"/>
                <w:szCs w:val="18"/>
                <w:lang w:val="es-ES_tradnl"/>
              </w:rPr>
              <w:t>(1)</w:t>
            </w:r>
          </w:p>
          <w:p w14:paraId="1BB584A6" w14:textId="77777777" w:rsidR="007E2F9F" w:rsidRPr="000C67AE" w:rsidRDefault="007E2F9F" w:rsidP="006548F8">
            <w:pPr>
              <w:jc w:val="center"/>
              <w:rPr>
                <w:rFonts w:ascii="Arial" w:hAnsi="Arial" w:cs="Arial"/>
                <w:b/>
                <w:sz w:val="18"/>
                <w:szCs w:val="18"/>
                <w:lang w:val="es-ES_tradnl"/>
              </w:rPr>
            </w:pPr>
          </w:p>
        </w:tc>
        <w:tc>
          <w:tcPr>
            <w:tcW w:w="2354" w:type="dxa"/>
          </w:tcPr>
          <w:p w14:paraId="1DAE9904" w14:textId="77777777" w:rsidR="007E2F9F" w:rsidRPr="000C67AE" w:rsidRDefault="007E2F9F" w:rsidP="006548F8">
            <w:pPr>
              <w:ind w:left="145" w:right="184"/>
              <w:jc w:val="center"/>
              <w:rPr>
                <w:rFonts w:ascii="Arial" w:hAnsi="Arial" w:cs="Arial"/>
                <w:b/>
                <w:sz w:val="18"/>
                <w:szCs w:val="18"/>
                <w:lang w:val="es-ES_tradnl"/>
              </w:rPr>
            </w:pPr>
            <w:r w:rsidRPr="000C67AE">
              <w:rPr>
                <w:rFonts w:ascii="Arial" w:hAnsi="Arial" w:cs="Arial"/>
                <w:b/>
                <w:sz w:val="18"/>
                <w:szCs w:val="18"/>
                <w:lang w:val="es-ES_tradnl"/>
              </w:rPr>
              <w:t>EJECUCIÓN</w:t>
            </w:r>
          </w:p>
          <w:p w14:paraId="4E30F795" w14:textId="77777777" w:rsidR="007E2F9F" w:rsidRPr="000C67AE" w:rsidRDefault="007E2F9F" w:rsidP="006548F8">
            <w:pPr>
              <w:ind w:right="34"/>
              <w:jc w:val="center"/>
              <w:rPr>
                <w:rFonts w:ascii="Arial" w:hAnsi="Arial" w:cs="Arial"/>
                <w:b/>
                <w:sz w:val="18"/>
                <w:szCs w:val="18"/>
                <w:lang w:val="es-ES_tradnl"/>
              </w:rPr>
            </w:pPr>
            <w:r w:rsidRPr="000C67AE">
              <w:rPr>
                <w:rFonts w:ascii="Arial" w:hAnsi="Arial" w:cs="Arial"/>
                <w:b/>
                <w:sz w:val="18"/>
                <w:szCs w:val="18"/>
                <w:lang w:val="es-ES_tradnl"/>
              </w:rPr>
              <w:t>COMPROMISOS</w:t>
            </w:r>
          </w:p>
          <w:p w14:paraId="4796F3C2" w14:textId="77777777" w:rsidR="007E2F9F" w:rsidRPr="000C67AE" w:rsidRDefault="007E2F9F" w:rsidP="006548F8">
            <w:pPr>
              <w:ind w:right="34"/>
              <w:jc w:val="center"/>
              <w:rPr>
                <w:rFonts w:ascii="Arial" w:hAnsi="Arial" w:cs="Arial"/>
                <w:b/>
                <w:sz w:val="18"/>
                <w:szCs w:val="18"/>
                <w:lang w:val="es-ES_tradnl"/>
              </w:rPr>
            </w:pPr>
            <w:r w:rsidRPr="000C67AE">
              <w:rPr>
                <w:rFonts w:ascii="Arial" w:hAnsi="Arial" w:cs="Arial"/>
                <w:b/>
                <w:sz w:val="18"/>
                <w:szCs w:val="18"/>
                <w:lang w:val="es-ES_tradnl"/>
              </w:rPr>
              <w:t>(2)</w:t>
            </w:r>
          </w:p>
        </w:tc>
        <w:tc>
          <w:tcPr>
            <w:tcW w:w="2238" w:type="dxa"/>
          </w:tcPr>
          <w:p w14:paraId="05123126" w14:textId="77777777" w:rsidR="007E2F9F" w:rsidRPr="000C67AE" w:rsidRDefault="007E2F9F" w:rsidP="006548F8">
            <w:pPr>
              <w:ind w:left="25" w:right="34"/>
              <w:jc w:val="center"/>
              <w:rPr>
                <w:rFonts w:ascii="Arial" w:hAnsi="Arial" w:cs="Arial"/>
                <w:b/>
                <w:sz w:val="18"/>
                <w:szCs w:val="18"/>
                <w:lang w:val="es-ES_tradnl"/>
              </w:rPr>
            </w:pPr>
            <w:r w:rsidRPr="000C67AE">
              <w:rPr>
                <w:rFonts w:ascii="Arial" w:hAnsi="Arial" w:cs="Arial"/>
                <w:b/>
                <w:sz w:val="18"/>
                <w:szCs w:val="18"/>
                <w:lang w:val="es-ES_tradnl"/>
              </w:rPr>
              <w:t>PÉRDIDAS DE</w:t>
            </w:r>
          </w:p>
          <w:p w14:paraId="25F41FDA" w14:textId="77777777" w:rsidR="007E2F9F" w:rsidRPr="000C67AE" w:rsidRDefault="007E2F9F" w:rsidP="006548F8">
            <w:pPr>
              <w:ind w:right="34"/>
              <w:jc w:val="center"/>
              <w:rPr>
                <w:rFonts w:ascii="Arial" w:hAnsi="Arial" w:cs="Arial"/>
                <w:b/>
                <w:sz w:val="18"/>
                <w:szCs w:val="18"/>
                <w:lang w:val="es-ES_tradnl"/>
              </w:rPr>
            </w:pPr>
            <w:r w:rsidRPr="000C67AE">
              <w:rPr>
                <w:rFonts w:ascii="Arial" w:hAnsi="Arial" w:cs="Arial"/>
                <w:b/>
                <w:sz w:val="18"/>
                <w:szCs w:val="18"/>
                <w:lang w:val="es-ES_tradnl"/>
              </w:rPr>
              <w:t>APROPIACIÓN</w:t>
            </w:r>
          </w:p>
          <w:p w14:paraId="2176A5A5" w14:textId="77777777" w:rsidR="007E2F9F" w:rsidRPr="000C67AE" w:rsidRDefault="007E2F9F" w:rsidP="006548F8">
            <w:pPr>
              <w:ind w:right="34"/>
              <w:jc w:val="center"/>
              <w:rPr>
                <w:rFonts w:ascii="Arial" w:hAnsi="Arial" w:cs="Arial"/>
                <w:b/>
                <w:sz w:val="18"/>
                <w:szCs w:val="18"/>
                <w:lang w:val="es-ES_tradnl"/>
              </w:rPr>
            </w:pPr>
            <w:r w:rsidRPr="000C67AE">
              <w:rPr>
                <w:rFonts w:ascii="Arial" w:hAnsi="Arial" w:cs="Arial"/>
                <w:b/>
                <w:sz w:val="18"/>
                <w:szCs w:val="18"/>
                <w:lang w:val="es-ES_tradnl"/>
              </w:rPr>
              <w:t>3 = (1-2)</w:t>
            </w:r>
          </w:p>
        </w:tc>
      </w:tr>
      <w:tr w:rsidR="007E2F9F" w:rsidRPr="000C67AE" w14:paraId="5F25966A" w14:textId="77777777" w:rsidTr="006548F8">
        <w:trPr>
          <w:trHeight w:val="230"/>
        </w:trPr>
        <w:tc>
          <w:tcPr>
            <w:tcW w:w="3544" w:type="dxa"/>
          </w:tcPr>
          <w:p w14:paraId="013D6521" w14:textId="77777777" w:rsidR="007E2F9F" w:rsidRPr="000C67AE" w:rsidRDefault="007E2F9F" w:rsidP="006548F8">
            <w:pPr>
              <w:ind w:right="-1440"/>
              <w:jc w:val="both"/>
              <w:rPr>
                <w:rFonts w:ascii="Arial" w:hAnsi="Arial" w:cs="Arial"/>
                <w:b/>
                <w:bCs/>
                <w:sz w:val="18"/>
                <w:szCs w:val="18"/>
                <w:lang w:val="es-ES_tradnl"/>
              </w:rPr>
            </w:pPr>
            <w:r w:rsidRPr="000C67AE">
              <w:rPr>
                <w:rFonts w:ascii="Arial" w:hAnsi="Arial" w:cs="Arial"/>
                <w:b/>
                <w:bCs/>
                <w:sz w:val="18"/>
                <w:szCs w:val="18"/>
                <w:lang w:val="es-ES_tradnl"/>
              </w:rPr>
              <w:t>FUNCIONAMIENTO</w:t>
            </w:r>
          </w:p>
        </w:tc>
        <w:tc>
          <w:tcPr>
            <w:tcW w:w="2354" w:type="dxa"/>
            <w:vAlign w:val="bottom"/>
          </w:tcPr>
          <w:p w14:paraId="2B5D5EB5" w14:textId="77777777" w:rsidR="007E2F9F" w:rsidRPr="000C67AE" w:rsidRDefault="007E2F9F" w:rsidP="006548F8">
            <w:pPr>
              <w:jc w:val="right"/>
              <w:rPr>
                <w:rFonts w:ascii="Arial" w:eastAsia="Calibri" w:hAnsi="Arial" w:cs="Arial"/>
                <w:b/>
                <w:bCs/>
                <w:sz w:val="18"/>
                <w:szCs w:val="18"/>
                <w:lang w:val="es-CO"/>
              </w:rPr>
            </w:pPr>
            <w:r w:rsidRPr="000C67AE">
              <w:rPr>
                <w:rFonts w:ascii="Arial" w:hAnsi="Arial" w:cs="Arial"/>
                <w:b/>
                <w:bCs/>
                <w:sz w:val="16"/>
                <w:szCs w:val="16"/>
              </w:rPr>
              <w:t>106.976.727,16</w:t>
            </w:r>
          </w:p>
        </w:tc>
        <w:tc>
          <w:tcPr>
            <w:tcW w:w="2354" w:type="dxa"/>
            <w:vAlign w:val="bottom"/>
          </w:tcPr>
          <w:p w14:paraId="380716AE" w14:textId="77777777" w:rsidR="007E2F9F" w:rsidRPr="000C67AE" w:rsidRDefault="007E2F9F" w:rsidP="006548F8">
            <w:pPr>
              <w:pStyle w:val="Prrafodelista"/>
              <w:ind w:left="0"/>
              <w:jc w:val="right"/>
              <w:rPr>
                <w:rFonts w:ascii="Arial" w:hAnsi="Arial" w:cs="Arial"/>
                <w:b/>
                <w:bCs/>
                <w:sz w:val="18"/>
                <w:szCs w:val="18"/>
              </w:rPr>
            </w:pPr>
            <w:r w:rsidRPr="000C67AE">
              <w:rPr>
                <w:rFonts w:ascii="Arial" w:hAnsi="Arial" w:cs="Arial"/>
                <w:b/>
                <w:bCs/>
                <w:sz w:val="16"/>
                <w:szCs w:val="16"/>
              </w:rPr>
              <w:t>104.464.752,20</w:t>
            </w:r>
          </w:p>
        </w:tc>
        <w:tc>
          <w:tcPr>
            <w:tcW w:w="2238" w:type="dxa"/>
            <w:vAlign w:val="bottom"/>
          </w:tcPr>
          <w:p w14:paraId="02FDD6C9" w14:textId="77777777" w:rsidR="007E2F9F" w:rsidRPr="000C67AE" w:rsidRDefault="007E2F9F" w:rsidP="006548F8">
            <w:pPr>
              <w:pStyle w:val="Prrafodelista"/>
              <w:ind w:left="0"/>
              <w:jc w:val="right"/>
              <w:rPr>
                <w:rFonts w:ascii="Arial" w:hAnsi="Arial" w:cs="Arial"/>
                <w:b/>
                <w:bCs/>
                <w:sz w:val="18"/>
                <w:szCs w:val="18"/>
              </w:rPr>
            </w:pPr>
            <w:r w:rsidRPr="000C67AE">
              <w:rPr>
                <w:rFonts w:ascii="Arial" w:hAnsi="Arial" w:cs="Arial"/>
                <w:b/>
                <w:bCs/>
                <w:sz w:val="16"/>
                <w:szCs w:val="16"/>
              </w:rPr>
              <w:t>2.511.974,96</w:t>
            </w:r>
          </w:p>
        </w:tc>
      </w:tr>
      <w:tr w:rsidR="007E2F9F" w:rsidRPr="000C67AE" w14:paraId="4AA4D270" w14:textId="77777777" w:rsidTr="006548F8">
        <w:trPr>
          <w:trHeight w:val="230"/>
        </w:trPr>
        <w:tc>
          <w:tcPr>
            <w:tcW w:w="3544" w:type="dxa"/>
          </w:tcPr>
          <w:p w14:paraId="40083F98" w14:textId="77777777" w:rsidR="007E2F9F" w:rsidRPr="000C67AE" w:rsidRDefault="007E2F9F" w:rsidP="006548F8">
            <w:pPr>
              <w:ind w:right="-1440"/>
              <w:jc w:val="both"/>
              <w:rPr>
                <w:rFonts w:ascii="Arial" w:hAnsi="Arial" w:cs="Arial"/>
                <w:b/>
                <w:bCs/>
                <w:sz w:val="18"/>
                <w:szCs w:val="18"/>
                <w:lang w:val="es-ES_tradnl"/>
              </w:rPr>
            </w:pPr>
            <w:r w:rsidRPr="000C67AE">
              <w:rPr>
                <w:rFonts w:ascii="Arial" w:hAnsi="Arial" w:cs="Arial"/>
                <w:b/>
                <w:bCs/>
                <w:sz w:val="18"/>
                <w:szCs w:val="18"/>
                <w:lang w:val="es-ES_tradnl"/>
              </w:rPr>
              <w:t>NVERSIÓN</w:t>
            </w:r>
          </w:p>
        </w:tc>
        <w:tc>
          <w:tcPr>
            <w:tcW w:w="2354" w:type="dxa"/>
            <w:vAlign w:val="bottom"/>
          </w:tcPr>
          <w:p w14:paraId="177C87F5" w14:textId="77777777" w:rsidR="007E2F9F" w:rsidRPr="000C67AE" w:rsidRDefault="007E2F9F" w:rsidP="006548F8">
            <w:pPr>
              <w:jc w:val="right"/>
              <w:rPr>
                <w:rFonts w:ascii="Arial" w:eastAsia="Calibri" w:hAnsi="Arial" w:cs="Arial"/>
                <w:b/>
                <w:bCs/>
                <w:sz w:val="18"/>
                <w:szCs w:val="18"/>
                <w:lang w:val="es-CO"/>
              </w:rPr>
            </w:pPr>
            <w:r w:rsidRPr="000C67AE">
              <w:rPr>
                <w:rFonts w:ascii="Arial" w:hAnsi="Arial" w:cs="Arial"/>
                <w:b/>
                <w:color w:val="000000"/>
                <w:sz w:val="16"/>
                <w:szCs w:val="16"/>
              </w:rPr>
              <w:t>76.394.293,88</w:t>
            </w:r>
          </w:p>
        </w:tc>
        <w:tc>
          <w:tcPr>
            <w:tcW w:w="2354" w:type="dxa"/>
            <w:vAlign w:val="bottom"/>
          </w:tcPr>
          <w:p w14:paraId="1F787E66" w14:textId="77777777" w:rsidR="007E2F9F" w:rsidRPr="000C67AE" w:rsidRDefault="007E2F9F" w:rsidP="006548F8">
            <w:pPr>
              <w:pStyle w:val="Prrafodelista"/>
              <w:ind w:left="0"/>
              <w:jc w:val="right"/>
              <w:rPr>
                <w:rFonts w:ascii="Arial" w:eastAsia="Calibri" w:hAnsi="Arial" w:cs="Arial"/>
                <w:b/>
                <w:bCs/>
                <w:sz w:val="18"/>
                <w:szCs w:val="18"/>
                <w:lang w:val="es-CO"/>
              </w:rPr>
            </w:pPr>
            <w:r w:rsidRPr="000C67AE">
              <w:rPr>
                <w:rFonts w:ascii="Arial" w:hAnsi="Arial" w:cs="Arial"/>
                <w:b/>
                <w:color w:val="000000"/>
                <w:sz w:val="16"/>
                <w:szCs w:val="16"/>
              </w:rPr>
              <w:t>74.607.263,52</w:t>
            </w:r>
          </w:p>
        </w:tc>
        <w:tc>
          <w:tcPr>
            <w:tcW w:w="2238" w:type="dxa"/>
            <w:vAlign w:val="bottom"/>
          </w:tcPr>
          <w:p w14:paraId="6C95D1F7" w14:textId="77777777" w:rsidR="007E2F9F" w:rsidRPr="000C67AE" w:rsidRDefault="007E2F9F" w:rsidP="006548F8">
            <w:pPr>
              <w:pStyle w:val="Prrafodelista"/>
              <w:ind w:left="0"/>
              <w:jc w:val="right"/>
              <w:rPr>
                <w:rFonts w:ascii="Arial" w:hAnsi="Arial" w:cs="Arial"/>
                <w:b/>
                <w:bCs/>
                <w:sz w:val="18"/>
                <w:szCs w:val="18"/>
              </w:rPr>
            </w:pPr>
            <w:r w:rsidRPr="000C67AE">
              <w:rPr>
                <w:rFonts w:ascii="Arial" w:hAnsi="Arial" w:cs="Arial"/>
                <w:b/>
                <w:color w:val="000000"/>
                <w:sz w:val="16"/>
                <w:szCs w:val="16"/>
              </w:rPr>
              <w:t>1.787.030,36</w:t>
            </w:r>
          </w:p>
        </w:tc>
      </w:tr>
      <w:tr w:rsidR="007E2F9F" w:rsidRPr="000C67AE" w14:paraId="6FDC2758" w14:textId="77777777" w:rsidTr="006548F8">
        <w:tc>
          <w:tcPr>
            <w:tcW w:w="3544" w:type="dxa"/>
          </w:tcPr>
          <w:p w14:paraId="3029E722" w14:textId="77777777" w:rsidR="007E2F9F" w:rsidRPr="000C67AE" w:rsidRDefault="007E2F9F" w:rsidP="006548F8">
            <w:pPr>
              <w:ind w:right="-1440"/>
              <w:jc w:val="both"/>
              <w:rPr>
                <w:rFonts w:ascii="Arial" w:hAnsi="Arial" w:cs="Arial"/>
                <w:b/>
                <w:bCs/>
                <w:sz w:val="18"/>
                <w:szCs w:val="18"/>
                <w:lang w:val="es-ES_tradnl"/>
              </w:rPr>
            </w:pPr>
            <w:r w:rsidRPr="000C67AE">
              <w:rPr>
                <w:rFonts w:ascii="Arial" w:hAnsi="Arial" w:cs="Arial"/>
                <w:b/>
                <w:bCs/>
                <w:sz w:val="18"/>
                <w:szCs w:val="18"/>
                <w:lang w:val="es-ES_tradnl"/>
              </w:rPr>
              <w:t>TOTAL PÉRDIDAS DE APROPIACIÓN</w:t>
            </w:r>
          </w:p>
        </w:tc>
        <w:tc>
          <w:tcPr>
            <w:tcW w:w="2354" w:type="dxa"/>
            <w:vAlign w:val="bottom"/>
          </w:tcPr>
          <w:p w14:paraId="5294D207" w14:textId="77777777" w:rsidR="007E2F9F" w:rsidRPr="000C67AE" w:rsidRDefault="007E2F9F" w:rsidP="006548F8">
            <w:pPr>
              <w:pStyle w:val="Prrafodelista"/>
              <w:ind w:left="0"/>
              <w:jc w:val="right"/>
              <w:rPr>
                <w:rFonts w:ascii="Arial" w:hAnsi="Arial" w:cs="Arial"/>
                <w:b/>
                <w:bCs/>
                <w:sz w:val="18"/>
                <w:szCs w:val="18"/>
                <w:u w:val="single"/>
              </w:rPr>
            </w:pPr>
            <w:r w:rsidRPr="000C67AE">
              <w:rPr>
                <w:rFonts w:ascii="Arial" w:hAnsi="Arial" w:cs="Arial"/>
                <w:b/>
                <w:bCs/>
                <w:sz w:val="16"/>
                <w:szCs w:val="16"/>
              </w:rPr>
              <w:t>183.371.021,04</w:t>
            </w:r>
          </w:p>
        </w:tc>
        <w:tc>
          <w:tcPr>
            <w:tcW w:w="2354" w:type="dxa"/>
            <w:vAlign w:val="bottom"/>
          </w:tcPr>
          <w:p w14:paraId="324A25BE" w14:textId="77777777" w:rsidR="007E2F9F" w:rsidRPr="000C67AE" w:rsidRDefault="007E2F9F" w:rsidP="006548F8">
            <w:pPr>
              <w:pStyle w:val="Prrafodelista"/>
              <w:ind w:left="0"/>
              <w:jc w:val="right"/>
              <w:rPr>
                <w:rFonts w:ascii="Arial" w:hAnsi="Arial" w:cs="Arial"/>
                <w:b/>
                <w:bCs/>
                <w:sz w:val="18"/>
                <w:szCs w:val="18"/>
                <w:u w:val="single"/>
              </w:rPr>
            </w:pPr>
            <w:r w:rsidRPr="000C67AE">
              <w:rPr>
                <w:rFonts w:ascii="Arial" w:hAnsi="Arial" w:cs="Arial"/>
                <w:b/>
                <w:bCs/>
                <w:sz w:val="16"/>
                <w:szCs w:val="16"/>
              </w:rPr>
              <w:t>179.072.015,72</w:t>
            </w:r>
          </w:p>
        </w:tc>
        <w:tc>
          <w:tcPr>
            <w:tcW w:w="2238" w:type="dxa"/>
            <w:vAlign w:val="bottom"/>
          </w:tcPr>
          <w:p w14:paraId="6196C3A3" w14:textId="77777777" w:rsidR="007E2F9F" w:rsidRPr="000C67AE" w:rsidRDefault="007E2F9F" w:rsidP="006548F8">
            <w:pPr>
              <w:pStyle w:val="Prrafodelista"/>
              <w:ind w:left="0"/>
              <w:jc w:val="right"/>
              <w:rPr>
                <w:rFonts w:ascii="Arial" w:hAnsi="Arial" w:cs="Arial"/>
                <w:b/>
                <w:bCs/>
                <w:sz w:val="18"/>
                <w:szCs w:val="18"/>
                <w:u w:val="single"/>
              </w:rPr>
            </w:pPr>
            <w:r w:rsidRPr="000C67AE">
              <w:rPr>
                <w:rFonts w:ascii="Arial" w:hAnsi="Arial" w:cs="Arial"/>
                <w:b/>
                <w:bCs/>
                <w:sz w:val="16"/>
                <w:szCs w:val="16"/>
              </w:rPr>
              <w:t>4.299.005,32</w:t>
            </w:r>
          </w:p>
        </w:tc>
      </w:tr>
    </w:tbl>
    <w:p w14:paraId="6BDE40B8" w14:textId="77777777" w:rsidR="007E2F9F" w:rsidRDefault="007E2F9F" w:rsidP="007E2F9F">
      <w:pPr>
        <w:ind w:left="-284" w:right="-234"/>
        <w:rPr>
          <w:rFonts w:ascii="Arial" w:eastAsia="Calibri" w:hAnsi="Arial" w:cs="Arial"/>
          <w:b/>
          <w:u w:val="single"/>
          <w:lang w:val="es-MX"/>
        </w:rPr>
      </w:pPr>
    </w:p>
    <w:p w14:paraId="4865C675" w14:textId="77777777" w:rsidR="007E2F9F" w:rsidRPr="005179BE" w:rsidRDefault="007E2F9F" w:rsidP="007E2F9F">
      <w:pPr>
        <w:pStyle w:val="Prrafodelista"/>
        <w:ind w:left="-284" w:right="-234"/>
        <w:jc w:val="both"/>
        <w:rPr>
          <w:rFonts w:ascii="Arial" w:hAnsi="Arial" w:cs="Arial"/>
          <w:b/>
          <w:sz w:val="28"/>
          <w:szCs w:val="28"/>
          <w:lang w:val="es-MX"/>
        </w:rPr>
      </w:pPr>
      <w:r w:rsidRPr="005179BE">
        <w:rPr>
          <w:rFonts w:ascii="Arial" w:hAnsi="Arial" w:cs="Arial"/>
          <w:b/>
          <w:sz w:val="28"/>
          <w:szCs w:val="28"/>
          <w:lang w:val="es-MX"/>
        </w:rPr>
        <w:t>335.- FONDO DE PASIVO SOCIAL FERROCARRILES NACIONALES DE COLOMBIA.</w:t>
      </w:r>
    </w:p>
    <w:p w14:paraId="037B5AD6" w14:textId="77777777" w:rsidR="007E2F9F" w:rsidRDefault="007E2F9F" w:rsidP="007E2F9F">
      <w:pPr>
        <w:ind w:left="-284" w:right="-234"/>
        <w:rPr>
          <w:rFonts w:ascii="Arial" w:eastAsia="Calibri" w:hAnsi="Arial" w:cs="Arial"/>
          <w:b/>
          <w:u w:val="single"/>
          <w:lang w:val="es-MX"/>
        </w:rPr>
      </w:pPr>
    </w:p>
    <w:p w14:paraId="2E587F89"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42182AA"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649E69B4"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5179BE" w14:paraId="157C9826" w14:textId="77777777" w:rsidTr="006548F8">
        <w:tc>
          <w:tcPr>
            <w:tcW w:w="3544" w:type="dxa"/>
          </w:tcPr>
          <w:p w14:paraId="2C4A1634" w14:textId="77777777" w:rsidR="007E2F9F" w:rsidRPr="005179BE" w:rsidRDefault="007E2F9F" w:rsidP="006548F8">
            <w:pPr>
              <w:ind w:left="1169" w:right="-1440"/>
              <w:rPr>
                <w:rFonts w:ascii="Arial" w:hAnsi="Arial" w:cs="Arial"/>
                <w:b/>
                <w:sz w:val="18"/>
                <w:szCs w:val="18"/>
                <w:lang w:val="es-ES_tradnl"/>
              </w:rPr>
            </w:pPr>
            <w:r w:rsidRPr="005179BE">
              <w:rPr>
                <w:rFonts w:ascii="Arial" w:hAnsi="Arial" w:cs="Arial"/>
                <w:b/>
                <w:sz w:val="18"/>
                <w:szCs w:val="18"/>
                <w:lang w:val="es-ES_tradnl"/>
              </w:rPr>
              <w:t>TIPO DE GASTO</w:t>
            </w:r>
          </w:p>
        </w:tc>
        <w:tc>
          <w:tcPr>
            <w:tcW w:w="2354" w:type="dxa"/>
          </w:tcPr>
          <w:p w14:paraId="31428D60" w14:textId="77777777" w:rsidR="007E2F9F" w:rsidRPr="005179BE" w:rsidRDefault="007E2F9F" w:rsidP="006548F8">
            <w:pPr>
              <w:jc w:val="center"/>
              <w:rPr>
                <w:rFonts w:ascii="Arial" w:hAnsi="Arial" w:cs="Arial"/>
                <w:b/>
                <w:sz w:val="18"/>
                <w:szCs w:val="18"/>
                <w:lang w:val="es-ES_tradnl"/>
              </w:rPr>
            </w:pPr>
            <w:r w:rsidRPr="005179BE">
              <w:rPr>
                <w:rFonts w:ascii="Arial" w:hAnsi="Arial" w:cs="Arial"/>
                <w:b/>
                <w:sz w:val="18"/>
                <w:szCs w:val="18"/>
                <w:lang w:val="es-ES_tradnl"/>
              </w:rPr>
              <w:t>APROPIACIÓN</w:t>
            </w:r>
          </w:p>
          <w:p w14:paraId="61367676" w14:textId="77777777" w:rsidR="007E2F9F" w:rsidRPr="005179BE" w:rsidRDefault="007E2F9F" w:rsidP="006548F8">
            <w:pPr>
              <w:jc w:val="center"/>
              <w:rPr>
                <w:rFonts w:ascii="Arial" w:hAnsi="Arial" w:cs="Arial"/>
                <w:b/>
                <w:sz w:val="18"/>
                <w:szCs w:val="18"/>
                <w:lang w:val="es-ES_tradnl"/>
              </w:rPr>
            </w:pPr>
            <w:r w:rsidRPr="005179BE">
              <w:rPr>
                <w:rFonts w:ascii="Arial" w:hAnsi="Arial" w:cs="Arial"/>
                <w:b/>
                <w:sz w:val="18"/>
                <w:szCs w:val="18"/>
                <w:lang w:val="es-ES_tradnl"/>
              </w:rPr>
              <w:t>DEFINITIVA</w:t>
            </w:r>
          </w:p>
          <w:p w14:paraId="016B7DDD" w14:textId="77777777" w:rsidR="007E2F9F" w:rsidRPr="005179BE" w:rsidRDefault="007E2F9F" w:rsidP="006548F8">
            <w:pPr>
              <w:jc w:val="center"/>
              <w:rPr>
                <w:rFonts w:ascii="Arial" w:hAnsi="Arial" w:cs="Arial"/>
                <w:b/>
                <w:sz w:val="18"/>
                <w:szCs w:val="18"/>
                <w:lang w:val="es-ES_tradnl"/>
              </w:rPr>
            </w:pPr>
            <w:r w:rsidRPr="005179BE">
              <w:rPr>
                <w:rFonts w:ascii="Arial" w:hAnsi="Arial" w:cs="Arial"/>
                <w:b/>
                <w:sz w:val="18"/>
                <w:szCs w:val="18"/>
                <w:lang w:val="es-ES_tradnl"/>
              </w:rPr>
              <w:t>(1)</w:t>
            </w:r>
          </w:p>
          <w:p w14:paraId="13C83778" w14:textId="77777777" w:rsidR="007E2F9F" w:rsidRPr="005179BE" w:rsidRDefault="007E2F9F" w:rsidP="006548F8">
            <w:pPr>
              <w:jc w:val="center"/>
              <w:rPr>
                <w:rFonts w:ascii="Arial" w:hAnsi="Arial" w:cs="Arial"/>
                <w:b/>
                <w:sz w:val="18"/>
                <w:szCs w:val="18"/>
                <w:lang w:val="es-ES_tradnl"/>
              </w:rPr>
            </w:pPr>
          </w:p>
        </w:tc>
        <w:tc>
          <w:tcPr>
            <w:tcW w:w="2354" w:type="dxa"/>
          </w:tcPr>
          <w:p w14:paraId="0304A235" w14:textId="77777777" w:rsidR="007E2F9F" w:rsidRPr="005179BE" w:rsidRDefault="007E2F9F" w:rsidP="006548F8">
            <w:pPr>
              <w:ind w:left="145" w:right="184"/>
              <w:jc w:val="center"/>
              <w:rPr>
                <w:rFonts w:ascii="Arial" w:hAnsi="Arial" w:cs="Arial"/>
                <w:b/>
                <w:sz w:val="18"/>
                <w:szCs w:val="18"/>
                <w:lang w:val="es-ES_tradnl"/>
              </w:rPr>
            </w:pPr>
            <w:r w:rsidRPr="005179BE">
              <w:rPr>
                <w:rFonts w:ascii="Arial" w:hAnsi="Arial" w:cs="Arial"/>
                <w:b/>
                <w:sz w:val="18"/>
                <w:szCs w:val="18"/>
                <w:lang w:val="es-ES_tradnl"/>
              </w:rPr>
              <w:t>EJECUCIÓN</w:t>
            </w:r>
          </w:p>
          <w:p w14:paraId="63CF7F4A" w14:textId="77777777" w:rsidR="007E2F9F" w:rsidRPr="005179BE" w:rsidRDefault="007E2F9F" w:rsidP="006548F8">
            <w:pPr>
              <w:ind w:right="34"/>
              <w:jc w:val="center"/>
              <w:rPr>
                <w:rFonts w:ascii="Arial" w:hAnsi="Arial" w:cs="Arial"/>
                <w:b/>
                <w:sz w:val="18"/>
                <w:szCs w:val="18"/>
                <w:lang w:val="es-ES_tradnl"/>
              </w:rPr>
            </w:pPr>
            <w:r w:rsidRPr="005179BE">
              <w:rPr>
                <w:rFonts w:ascii="Arial" w:hAnsi="Arial" w:cs="Arial"/>
                <w:b/>
                <w:sz w:val="18"/>
                <w:szCs w:val="18"/>
                <w:lang w:val="es-ES_tradnl"/>
              </w:rPr>
              <w:t>COMPROMISOS</w:t>
            </w:r>
          </w:p>
          <w:p w14:paraId="2A532CA4" w14:textId="77777777" w:rsidR="007E2F9F" w:rsidRPr="005179BE" w:rsidRDefault="007E2F9F" w:rsidP="006548F8">
            <w:pPr>
              <w:ind w:right="34"/>
              <w:jc w:val="center"/>
              <w:rPr>
                <w:rFonts w:ascii="Arial" w:hAnsi="Arial" w:cs="Arial"/>
                <w:b/>
                <w:sz w:val="18"/>
                <w:szCs w:val="18"/>
                <w:lang w:val="es-ES_tradnl"/>
              </w:rPr>
            </w:pPr>
            <w:r w:rsidRPr="005179BE">
              <w:rPr>
                <w:rFonts w:ascii="Arial" w:hAnsi="Arial" w:cs="Arial"/>
                <w:b/>
                <w:sz w:val="18"/>
                <w:szCs w:val="18"/>
                <w:lang w:val="es-ES_tradnl"/>
              </w:rPr>
              <w:t>(2)</w:t>
            </w:r>
          </w:p>
        </w:tc>
        <w:tc>
          <w:tcPr>
            <w:tcW w:w="2238" w:type="dxa"/>
          </w:tcPr>
          <w:p w14:paraId="53E44DD8" w14:textId="77777777" w:rsidR="007E2F9F" w:rsidRPr="005179BE" w:rsidRDefault="007E2F9F" w:rsidP="006548F8">
            <w:pPr>
              <w:ind w:left="25" w:right="34"/>
              <w:jc w:val="center"/>
              <w:rPr>
                <w:rFonts w:ascii="Arial" w:hAnsi="Arial" w:cs="Arial"/>
                <w:b/>
                <w:sz w:val="18"/>
                <w:szCs w:val="18"/>
                <w:lang w:val="es-ES_tradnl"/>
              </w:rPr>
            </w:pPr>
            <w:r w:rsidRPr="005179BE">
              <w:rPr>
                <w:rFonts w:ascii="Arial" w:hAnsi="Arial" w:cs="Arial"/>
                <w:b/>
                <w:sz w:val="18"/>
                <w:szCs w:val="18"/>
                <w:lang w:val="es-ES_tradnl"/>
              </w:rPr>
              <w:t>PÉRDIDAS DE</w:t>
            </w:r>
          </w:p>
          <w:p w14:paraId="788B2F22" w14:textId="77777777" w:rsidR="007E2F9F" w:rsidRPr="005179BE" w:rsidRDefault="007E2F9F" w:rsidP="006548F8">
            <w:pPr>
              <w:ind w:right="34"/>
              <w:jc w:val="center"/>
              <w:rPr>
                <w:rFonts w:ascii="Arial" w:hAnsi="Arial" w:cs="Arial"/>
                <w:b/>
                <w:sz w:val="18"/>
                <w:szCs w:val="18"/>
                <w:lang w:val="es-ES_tradnl"/>
              </w:rPr>
            </w:pPr>
            <w:r w:rsidRPr="005179BE">
              <w:rPr>
                <w:rFonts w:ascii="Arial" w:hAnsi="Arial" w:cs="Arial"/>
                <w:b/>
                <w:sz w:val="18"/>
                <w:szCs w:val="18"/>
                <w:lang w:val="es-ES_tradnl"/>
              </w:rPr>
              <w:t>APROPIACIÓN</w:t>
            </w:r>
          </w:p>
          <w:p w14:paraId="0E9C1920" w14:textId="77777777" w:rsidR="007E2F9F" w:rsidRPr="005179BE" w:rsidRDefault="007E2F9F" w:rsidP="006548F8">
            <w:pPr>
              <w:ind w:right="34"/>
              <w:jc w:val="center"/>
              <w:rPr>
                <w:rFonts w:ascii="Arial" w:hAnsi="Arial" w:cs="Arial"/>
                <w:b/>
                <w:sz w:val="18"/>
                <w:szCs w:val="18"/>
                <w:lang w:val="es-ES_tradnl"/>
              </w:rPr>
            </w:pPr>
            <w:r w:rsidRPr="005179BE">
              <w:rPr>
                <w:rFonts w:ascii="Arial" w:hAnsi="Arial" w:cs="Arial"/>
                <w:b/>
                <w:sz w:val="18"/>
                <w:szCs w:val="18"/>
                <w:lang w:val="es-ES_tradnl"/>
              </w:rPr>
              <w:t>3 = (1-2)</w:t>
            </w:r>
          </w:p>
        </w:tc>
      </w:tr>
      <w:tr w:rsidR="007E2F9F" w:rsidRPr="005179BE" w14:paraId="47B805C4" w14:textId="77777777" w:rsidTr="006548F8">
        <w:trPr>
          <w:trHeight w:val="230"/>
        </w:trPr>
        <w:tc>
          <w:tcPr>
            <w:tcW w:w="3544" w:type="dxa"/>
          </w:tcPr>
          <w:p w14:paraId="67E5B422" w14:textId="77777777" w:rsidR="007E2F9F" w:rsidRPr="005179BE" w:rsidRDefault="007E2F9F" w:rsidP="006548F8">
            <w:pPr>
              <w:ind w:right="-1440"/>
              <w:jc w:val="both"/>
              <w:rPr>
                <w:rFonts w:ascii="Arial" w:hAnsi="Arial" w:cs="Arial"/>
                <w:b/>
                <w:bCs/>
                <w:sz w:val="18"/>
                <w:szCs w:val="18"/>
                <w:lang w:val="es-ES_tradnl"/>
              </w:rPr>
            </w:pPr>
            <w:r w:rsidRPr="005179BE">
              <w:rPr>
                <w:rFonts w:ascii="Arial" w:hAnsi="Arial" w:cs="Arial"/>
                <w:b/>
                <w:bCs/>
                <w:sz w:val="18"/>
                <w:szCs w:val="18"/>
                <w:lang w:val="es-ES_tradnl"/>
              </w:rPr>
              <w:t>FUNCIONAMIENTO</w:t>
            </w:r>
          </w:p>
        </w:tc>
        <w:tc>
          <w:tcPr>
            <w:tcW w:w="2354" w:type="dxa"/>
          </w:tcPr>
          <w:p w14:paraId="723C5D62" w14:textId="77777777" w:rsidR="007E2F9F" w:rsidRPr="005179BE" w:rsidRDefault="007E2F9F" w:rsidP="006548F8">
            <w:pPr>
              <w:jc w:val="right"/>
              <w:rPr>
                <w:rFonts w:ascii="Arial" w:eastAsia="Calibri" w:hAnsi="Arial" w:cs="Arial"/>
                <w:b/>
                <w:bCs/>
                <w:sz w:val="18"/>
                <w:szCs w:val="18"/>
                <w:lang w:val="es-CO"/>
              </w:rPr>
            </w:pPr>
            <w:r w:rsidRPr="005179BE">
              <w:rPr>
                <w:rFonts w:ascii="Arial" w:hAnsi="Arial" w:cs="Arial"/>
                <w:b/>
                <w:sz w:val="16"/>
                <w:szCs w:val="16"/>
              </w:rPr>
              <w:t xml:space="preserve">             785.920.164,0 </w:t>
            </w:r>
          </w:p>
        </w:tc>
        <w:tc>
          <w:tcPr>
            <w:tcW w:w="2354" w:type="dxa"/>
          </w:tcPr>
          <w:p w14:paraId="10D75B10" w14:textId="77777777" w:rsidR="007E2F9F" w:rsidRPr="005179BE" w:rsidRDefault="007E2F9F" w:rsidP="006548F8">
            <w:pPr>
              <w:pStyle w:val="Prrafodelista"/>
              <w:ind w:left="0"/>
              <w:jc w:val="right"/>
              <w:rPr>
                <w:rFonts w:ascii="Arial" w:hAnsi="Arial" w:cs="Arial"/>
                <w:b/>
                <w:bCs/>
                <w:sz w:val="18"/>
                <w:szCs w:val="18"/>
              </w:rPr>
            </w:pPr>
            <w:r w:rsidRPr="005179BE">
              <w:rPr>
                <w:rFonts w:ascii="Arial" w:hAnsi="Arial" w:cs="Arial"/>
                <w:b/>
                <w:sz w:val="16"/>
                <w:szCs w:val="16"/>
              </w:rPr>
              <w:t xml:space="preserve">             779.958.937,9 </w:t>
            </w:r>
          </w:p>
        </w:tc>
        <w:tc>
          <w:tcPr>
            <w:tcW w:w="2238" w:type="dxa"/>
          </w:tcPr>
          <w:p w14:paraId="30CD1C00" w14:textId="77777777" w:rsidR="007E2F9F" w:rsidRPr="005179BE" w:rsidRDefault="007E2F9F" w:rsidP="006548F8">
            <w:pPr>
              <w:pStyle w:val="Prrafodelista"/>
              <w:ind w:left="0"/>
              <w:jc w:val="right"/>
              <w:rPr>
                <w:rFonts w:ascii="Arial" w:hAnsi="Arial" w:cs="Arial"/>
                <w:b/>
                <w:bCs/>
                <w:sz w:val="18"/>
                <w:szCs w:val="18"/>
              </w:rPr>
            </w:pPr>
            <w:r w:rsidRPr="005179BE">
              <w:rPr>
                <w:rFonts w:ascii="Arial" w:hAnsi="Arial" w:cs="Arial"/>
                <w:b/>
                <w:sz w:val="16"/>
                <w:szCs w:val="16"/>
              </w:rPr>
              <w:t xml:space="preserve">                 5.961.226,1 </w:t>
            </w:r>
          </w:p>
        </w:tc>
      </w:tr>
      <w:tr w:rsidR="007E2F9F" w:rsidRPr="005179BE" w14:paraId="2DBEFE25" w14:textId="77777777" w:rsidTr="006548F8">
        <w:trPr>
          <w:trHeight w:val="230"/>
        </w:trPr>
        <w:tc>
          <w:tcPr>
            <w:tcW w:w="3544" w:type="dxa"/>
          </w:tcPr>
          <w:p w14:paraId="79C1FAE7" w14:textId="77777777" w:rsidR="007E2F9F" w:rsidRPr="005179BE" w:rsidRDefault="007E2F9F" w:rsidP="006548F8">
            <w:pPr>
              <w:ind w:right="-1440"/>
              <w:jc w:val="both"/>
              <w:rPr>
                <w:rFonts w:ascii="Arial" w:hAnsi="Arial" w:cs="Arial"/>
                <w:b/>
                <w:bCs/>
                <w:sz w:val="18"/>
                <w:szCs w:val="18"/>
                <w:lang w:val="es-ES_tradnl"/>
              </w:rPr>
            </w:pPr>
            <w:r w:rsidRPr="005179BE">
              <w:rPr>
                <w:rFonts w:ascii="Arial" w:hAnsi="Arial" w:cs="Arial"/>
                <w:b/>
                <w:bCs/>
                <w:sz w:val="18"/>
                <w:szCs w:val="18"/>
                <w:lang w:val="es-ES_tradnl"/>
              </w:rPr>
              <w:t>NVERSIÓN</w:t>
            </w:r>
          </w:p>
        </w:tc>
        <w:tc>
          <w:tcPr>
            <w:tcW w:w="2354" w:type="dxa"/>
          </w:tcPr>
          <w:p w14:paraId="21C373CB" w14:textId="77777777" w:rsidR="007E2F9F" w:rsidRPr="005179BE" w:rsidRDefault="007E2F9F" w:rsidP="006548F8">
            <w:pPr>
              <w:jc w:val="right"/>
              <w:rPr>
                <w:rFonts w:ascii="Arial" w:eastAsia="Calibri" w:hAnsi="Arial" w:cs="Arial"/>
                <w:b/>
                <w:bCs/>
                <w:sz w:val="18"/>
                <w:szCs w:val="18"/>
                <w:lang w:val="es-CO"/>
              </w:rPr>
            </w:pPr>
            <w:r w:rsidRPr="005179BE">
              <w:rPr>
                <w:rFonts w:ascii="Arial" w:hAnsi="Arial" w:cs="Arial"/>
                <w:b/>
                <w:sz w:val="16"/>
                <w:szCs w:val="16"/>
              </w:rPr>
              <w:t xml:space="preserve">                 2.280.565,5 </w:t>
            </w:r>
          </w:p>
        </w:tc>
        <w:tc>
          <w:tcPr>
            <w:tcW w:w="2354" w:type="dxa"/>
          </w:tcPr>
          <w:p w14:paraId="623E0098" w14:textId="77777777" w:rsidR="007E2F9F" w:rsidRPr="005179BE" w:rsidRDefault="007E2F9F" w:rsidP="006548F8">
            <w:pPr>
              <w:pStyle w:val="Prrafodelista"/>
              <w:ind w:left="0"/>
              <w:jc w:val="right"/>
              <w:rPr>
                <w:rFonts w:ascii="Arial" w:eastAsia="Calibri" w:hAnsi="Arial" w:cs="Arial"/>
                <w:b/>
                <w:bCs/>
                <w:sz w:val="18"/>
                <w:szCs w:val="18"/>
                <w:lang w:val="es-CO"/>
              </w:rPr>
            </w:pPr>
            <w:r w:rsidRPr="005179BE">
              <w:rPr>
                <w:rFonts w:ascii="Arial" w:hAnsi="Arial" w:cs="Arial"/>
                <w:b/>
                <w:sz w:val="16"/>
                <w:szCs w:val="16"/>
              </w:rPr>
              <w:t xml:space="preserve">                 2.106.570,6 </w:t>
            </w:r>
          </w:p>
        </w:tc>
        <w:tc>
          <w:tcPr>
            <w:tcW w:w="2238" w:type="dxa"/>
          </w:tcPr>
          <w:p w14:paraId="7FA9BCDA" w14:textId="77777777" w:rsidR="007E2F9F" w:rsidRPr="005179BE" w:rsidRDefault="007E2F9F" w:rsidP="006548F8">
            <w:pPr>
              <w:pStyle w:val="Prrafodelista"/>
              <w:ind w:left="0"/>
              <w:jc w:val="right"/>
              <w:rPr>
                <w:rFonts w:ascii="Arial" w:hAnsi="Arial" w:cs="Arial"/>
                <w:b/>
                <w:bCs/>
                <w:sz w:val="18"/>
                <w:szCs w:val="18"/>
              </w:rPr>
            </w:pPr>
            <w:r w:rsidRPr="005179BE">
              <w:rPr>
                <w:rFonts w:ascii="Arial" w:hAnsi="Arial" w:cs="Arial"/>
                <w:b/>
                <w:sz w:val="16"/>
                <w:szCs w:val="16"/>
              </w:rPr>
              <w:t xml:space="preserve">                    173.994,8 </w:t>
            </w:r>
          </w:p>
        </w:tc>
      </w:tr>
      <w:tr w:rsidR="007E2F9F" w:rsidRPr="005179BE" w14:paraId="7CBE4361" w14:textId="77777777" w:rsidTr="006548F8">
        <w:tc>
          <w:tcPr>
            <w:tcW w:w="3544" w:type="dxa"/>
          </w:tcPr>
          <w:p w14:paraId="13288A2A" w14:textId="77777777" w:rsidR="007E2F9F" w:rsidRPr="005179BE" w:rsidRDefault="007E2F9F" w:rsidP="006548F8">
            <w:pPr>
              <w:ind w:right="-1440"/>
              <w:jc w:val="both"/>
              <w:rPr>
                <w:rFonts w:ascii="Arial" w:hAnsi="Arial" w:cs="Arial"/>
                <w:b/>
                <w:bCs/>
                <w:sz w:val="18"/>
                <w:szCs w:val="18"/>
                <w:lang w:val="es-ES_tradnl"/>
              </w:rPr>
            </w:pPr>
            <w:r w:rsidRPr="005179BE">
              <w:rPr>
                <w:rFonts w:ascii="Arial" w:hAnsi="Arial" w:cs="Arial"/>
                <w:b/>
                <w:bCs/>
                <w:sz w:val="18"/>
                <w:szCs w:val="18"/>
                <w:lang w:val="es-ES_tradnl"/>
              </w:rPr>
              <w:t>TOTAL PÉRDIDAS DE APROPIACIÓN</w:t>
            </w:r>
          </w:p>
        </w:tc>
        <w:tc>
          <w:tcPr>
            <w:tcW w:w="2354" w:type="dxa"/>
          </w:tcPr>
          <w:p w14:paraId="154933FE" w14:textId="77777777" w:rsidR="007E2F9F" w:rsidRPr="005179BE" w:rsidRDefault="007E2F9F" w:rsidP="006548F8">
            <w:pPr>
              <w:pStyle w:val="Prrafodelista"/>
              <w:ind w:left="0"/>
              <w:jc w:val="right"/>
              <w:rPr>
                <w:rFonts w:ascii="Arial" w:hAnsi="Arial" w:cs="Arial"/>
                <w:b/>
                <w:bCs/>
                <w:sz w:val="18"/>
                <w:szCs w:val="18"/>
                <w:u w:val="single"/>
              </w:rPr>
            </w:pPr>
            <w:r w:rsidRPr="005179BE">
              <w:rPr>
                <w:rFonts w:ascii="Arial" w:hAnsi="Arial" w:cs="Arial"/>
                <w:b/>
                <w:sz w:val="16"/>
                <w:szCs w:val="16"/>
              </w:rPr>
              <w:t xml:space="preserve">             788.200.729,5 </w:t>
            </w:r>
          </w:p>
        </w:tc>
        <w:tc>
          <w:tcPr>
            <w:tcW w:w="2354" w:type="dxa"/>
          </w:tcPr>
          <w:p w14:paraId="345C5CBC" w14:textId="77777777" w:rsidR="007E2F9F" w:rsidRPr="005179BE" w:rsidRDefault="007E2F9F" w:rsidP="006548F8">
            <w:pPr>
              <w:pStyle w:val="Prrafodelista"/>
              <w:ind w:left="0"/>
              <w:jc w:val="right"/>
              <w:rPr>
                <w:rFonts w:ascii="Arial" w:hAnsi="Arial" w:cs="Arial"/>
                <w:b/>
                <w:bCs/>
                <w:sz w:val="18"/>
                <w:szCs w:val="18"/>
                <w:u w:val="single"/>
              </w:rPr>
            </w:pPr>
            <w:r w:rsidRPr="005179BE">
              <w:rPr>
                <w:rFonts w:ascii="Arial" w:hAnsi="Arial" w:cs="Arial"/>
                <w:b/>
                <w:sz w:val="16"/>
                <w:szCs w:val="16"/>
              </w:rPr>
              <w:t xml:space="preserve">             782.065.508,6 </w:t>
            </w:r>
          </w:p>
        </w:tc>
        <w:tc>
          <w:tcPr>
            <w:tcW w:w="2238" w:type="dxa"/>
          </w:tcPr>
          <w:p w14:paraId="565E5A62" w14:textId="77777777" w:rsidR="007E2F9F" w:rsidRPr="005179BE" w:rsidRDefault="007E2F9F" w:rsidP="006548F8">
            <w:pPr>
              <w:pStyle w:val="Prrafodelista"/>
              <w:ind w:left="0"/>
              <w:jc w:val="right"/>
              <w:rPr>
                <w:rFonts w:ascii="Arial" w:hAnsi="Arial" w:cs="Arial"/>
                <w:b/>
                <w:bCs/>
                <w:sz w:val="18"/>
                <w:szCs w:val="18"/>
                <w:u w:val="single"/>
              </w:rPr>
            </w:pPr>
            <w:r w:rsidRPr="005179BE">
              <w:rPr>
                <w:rFonts w:ascii="Arial" w:hAnsi="Arial" w:cs="Arial"/>
                <w:b/>
                <w:sz w:val="16"/>
                <w:szCs w:val="16"/>
              </w:rPr>
              <w:t xml:space="preserve">                 6.135.220,9 </w:t>
            </w:r>
          </w:p>
        </w:tc>
      </w:tr>
    </w:tbl>
    <w:p w14:paraId="2A2BE204" w14:textId="77777777" w:rsidR="007E2F9F" w:rsidRDefault="007E2F9F" w:rsidP="007E2F9F">
      <w:pPr>
        <w:ind w:left="-284" w:right="-234"/>
        <w:rPr>
          <w:rFonts w:ascii="Arial" w:eastAsia="Calibri" w:hAnsi="Arial" w:cs="Arial"/>
          <w:b/>
          <w:u w:val="single"/>
          <w:lang w:val="es-MX"/>
        </w:rPr>
      </w:pPr>
    </w:p>
    <w:p w14:paraId="708A7E01" w14:textId="77777777" w:rsidR="007E2F9F" w:rsidRPr="00997514" w:rsidRDefault="007E2F9F" w:rsidP="007E2F9F">
      <w:pPr>
        <w:ind w:left="-284"/>
        <w:jc w:val="both"/>
        <w:rPr>
          <w:rFonts w:ascii="Arial" w:hAnsi="Arial" w:cs="Arial"/>
          <w:b/>
          <w:sz w:val="28"/>
          <w:szCs w:val="28"/>
          <w:lang w:val="es-MX"/>
        </w:rPr>
      </w:pPr>
      <w:r w:rsidRPr="00997514">
        <w:rPr>
          <w:rFonts w:ascii="Arial" w:hAnsi="Arial" w:cs="Arial"/>
          <w:b/>
          <w:sz w:val="28"/>
          <w:szCs w:val="28"/>
          <w:lang w:val="es-MX"/>
        </w:rPr>
        <w:t>342.- MINISTERIO DEL TRABAJO.</w:t>
      </w:r>
    </w:p>
    <w:p w14:paraId="0C10E24E" w14:textId="77777777" w:rsidR="007E2F9F" w:rsidRDefault="007E2F9F" w:rsidP="007E2F9F">
      <w:pPr>
        <w:ind w:left="-284" w:right="-234"/>
        <w:rPr>
          <w:rFonts w:ascii="Arial" w:eastAsia="Calibri" w:hAnsi="Arial" w:cs="Arial"/>
          <w:b/>
          <w:u w:val="single"/>
          <w:lang w:val="es-MX"/>
        </w:rPr>
      </w:pPr>
    </w:p>
    <w:p w14:paraId="7EC67A36"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1F4B6C72"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B8C0A9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97514" w14:paraId="32F8F1CA" w14:textId="77777777" w:rsidTr="006548F8">
        <w:tc>
          <w:tcPr>
            <w:tcW w:w="3544" w:type="dxa"/>
          </w:tcPr>
          <w:p w14:paraId="367EE6AC" w14:textId="77777777" w:rsidR="007E2F9F" w:rsidRPr="00997514" w:rsidRDefault="007E2F9F" w:rsidP="006548F8">
            <w:pPr>
              <w:ind w:left="1169" w:right="-1440"/>
              <w:rPr>
                <w:rFonts w:ascii="Arial" w:hAnsi="Arial" w:cs="Arial"/>
                <w:b/>
                <w:sz w:val="18"/>
                <w:szCs w:val="18"/>
                <w:lang w:val="es-ES_tradnl"/>
              </w:rPr>
            </w:pPr>
            <w:r w:rsidRPr="00997514">
              <w:rPr>
                <w:rFonts w:ascii="Arial" w:hAnsi="Arial" w:cs="Arial"/>
                <w:b/>
                <w:sz w:val="18"/>
                <w:szCs w:val="18"/>
                <w:lang w:val="es-ES_tradnl"/>
              </w:rPr>
              <w:t>TIPO DE GASTO</w:t>
            </w:r>
          </w:p>
        </w:tc>
        <w:tc>
          <w:tcPr>
            <w:tcW w:w="2354" w:type="dxa"/>
          </w:tcPr>
          <w:p w14:paraId="3D642795" w14:textId="77777777" w:rsidR="007E2F9F" w:rsidRPr="00997514" w:rsidRDefault="007E2F9F" w:rsidP="006548F8">
            <w:pPr>
              <w:jc w:val="center"/>
              <w:rPr>
                <w:rFonts w:ascii="Arial" w:hAnsi="Arial" w:cs="Arial"/>
                <w:b/>
                <w:sz w:val="18"/>
                <w:szCs w:val="18"/>
                <w:lang w:val="es-ES_tradnl"/>
              </w:rPr>
            </w:pPr>
            <w:r w:rsidRPr="00997514">
              <w:rPr>
                <w:rFonts w:ascii="Arial" w:hAnsi="Arial" w:cs="Arial"/>
                <w:b/>
                <w:sz w:val="18"/>
                <w:szCs w:val="18"/>
                <w:lang w:val="es-ES_tradnl"/>
              </w:rPr>
              <w:t>APROPIACIÓN</w:t>
            </w:r>
          </w:p>
          <w:p w14:paraId="464F4377" w14:textId="77777777" w:rsidR="007E2F9F" w:rsidRPr="00997514" w:rsidRDefault="007E2F9F" w:rsidP="006548F8">
            <w:pPr>
              <w:jc w:val="center"/>
              <w:rPr>
                <w:rFonts w:ascii="Arial" w:hAnsi="Arial" w:cs="Arial"/>
                <w:b/>
                <w:sz w:val="18"/>
                <w:szCs w:val="18"/>
                <w:lang w:val="es-ES_tradnl"/>
              </w:rPr>
            </w:pPr>
            <w:r w:rsidRPr="00997514">
              <w:rPr>
                <w:rFonts w:ascii="Arial" w:hAnsi="Arial" w:cs="Arial"/>
                <w:b/>
                <w:sz w:val="18"/>
                <w:szCs w:val="18"/>
                <w:lang w:val="es-ES_tradnl"/>
              </w:rPr>
              <w:t>DEFINITIVA</w:t>
            </w:r>
          </w:p>
          <w:p w14:paraId="69DBF8E1" w14:textId="77777777" w:rsidR="007E2F9F" w:rsidRPr="00997514" w:rsidRDefault="007E2F9F" w:rsidP="006548F8">
            <w:pPr>
              <w:jc w:val="center"/>
              <w:rPr>
                <w:rFonts w:ascii="Arial" w:hAnsi="Arial" w:cs="Arial"/>
                <w:b/>
                <w:sz w:val="18"/>
                <w:szCs w:val="18"/>
                <w:lang w:val="es-ES_tradnl"/>
              </w:rPr>
            </w:pPr>
            <w:r w:rsidRPr="00997514">
              <w:rPr>
                <w:rFonts w:ascii="Arial" w:hAnsi="Arial" w:cs="Arial"/>
                <w:b/>
                <w:sz w:val="18"/>
                <w:szCs w:val="18"/>
                <w:lang w:val="es-ES_tradnl"/>
              </w:rPr>
              <w:t>(1)</w:t>
            </w:r>
          </w:p>
          <w:p w14:paraId="36E7C8F9" w14:textId="77777777" w:rsidR="007E2F9F" w:rsidRPr="00997514" w:rsidRDefault="007E2F9F" w:rsidP="006548F8">
            <w:pPr>
              <w:jc w:val="center"/>
              <w:rPr>
                <w:rFonts w:ascii="Arial" w:hAnsi="Arial" w:cs="Arial"/>
                <w:b/>
                <w:sz w:val="18"/>
                <w:szCs w:val="18"/>
                <w:lang w:val="es-ES_tradnl"/>
              </w:rPr>
            </w:pPr>
          </w:p>
        </w:tc>
        <w:tc>
          <w:tcPr>
            <w:tcW w:w="2354" w:type="dxa"/>
          </w:tcPr>
          <w:p w14:paraId="7515CE3F" w14:textId="77777777" w:rsidR="007E2F9F" w:rsidRPr="00997514" w:rsidRDefault="007E2F9F" w:rsidP="006548F8">
            <w:pPr>
              <w:ind w:left="145" w:right="184"/>
              <w:jc w:val="center"/>
              <w:rPr>
                <w:rFonts w:ascii="Arial" w:hAnsi="Arial" w:cs="Arial"/>
                <w:b/>
                <w:sz w:val="18"/>
                <w:szCs w:val="18"/>
                <w:lang w:val="es-ES_tradnl"/>
              </w:rPr>
            </w:pPr>
            <w:r w:rsidRPr="00997514">
              <w:rPr>
                <w:rFonts w:ascii="Arial" w:hAnsi="Arial" w:cs="Arial"/>
                <w:b/>
                <w:sz w:val="18"/>
                <w:szCs w:val="18"/>
                <w:lang w:val="es-ES_tradnl"/>
              </w:rPr>
              <w:t>EJECUCIÓN</w:t>
            </w:r>
          </w:p>
          <w:p w14:paraId="60964643" w14:textId="77777777" w:rsidR="007E2F9F" w:rsidRPr="00997514" w:rsidRDefault="007E2F9F" w:rsidP="006548F8">
            <w:pPr>
              <w:ind w:right="34"/>
              <w:jc w:val="center"/>
              <w:rPr>
                <w:rFonts w:ascii="Arial" w:hAnsi="Arial" w:cs="Arial"/>
                <w:b/>
                <w:sz w:val="18"/>
                <w:szCs w:val="18"/>
                <w:lang w:val="es-ES_tradnl"/>
              </w:rPr>
            </w:pPr>
            <w:r w:rsidRPr="00997514">
              <w:rPr>
                <w:rFonts w:ascii="Arial" w:hAnsi="Arial" w:cs="Arial"/>
                <w:b/>
                <w:sz w:val="18"/>
                <w:szCs w:val="18"/>
                <w:lang w:val="es-ES_tradnl"/>
              </w:rPr>
              <w:t>COMPROMISOS</w:t>
            </w:r>
          </w:p>
          <w:p w14:paraId="00127074" w14:textId="77777777" w:rsidR="007E2F9F" w:rsidRPr="00997514" w:rsidRDefault="007E2F9F" w:rsidP="006548F8">
            <w:pPr>
              <w:ind w:right="34"/>
              <w:jc w:val="center"/>
              <w:rPr>
                <w:rFonts w:ascii="Arial" w:hAnsi="Arial" w:cs="Arial"/>
                <w:b/>
                <w:sz w:val="18"/>
                <w:szCs w:val="18"/>
                <w:lang w:val="es-ES_tradnl"/>
              </w:rPr>
            </w:pPr>
            <w:r w:rsidRPr="00997514">
              <w:rPr>
                <w:rFonts w:ascii="Arial" w:hAnsi="Arial" w:cs="Arial"/>
                <w:b/>
                <w:sz w:val="18"/>
                <w:szCs w:val="18"/>
                <w:lang w:val="es-ES_tradnl"/>
              </w:rPr>
              <w:t>(2)</w:t>
            </w:r>
          </w:p>
        </w:tc>
        <w:tc>
          <w:tcPr>
            <w:tcW w:w="2238" w:type="dxa"/>
          </w:tcPr>
          <w:p w14:paraId="5E70CC22" w14:textId="77777777" w:rsidR="007E2F9F" w:rsidRPr="00997514" w:rsidRDefault="007E2F9F" w:rsidP="006548F8">
            <w:pPr>
              <w:ind w:left="25" w:right="34"/>
              <w:jc w:val="center"/>
              <w:rPr>
                <w:rFonts w:ascii="Arial" w:hAnsi="Arial" w:cs="Arial"/>
                <w:b/>
                <w:sz w:val="18"/>
                <w:szCs w:val="18"/>
                <w:lang w:val="es-ES_tradnl"/>
              </w:rPr>
            </w:pPr>
            <w:r w:rsidRPr="00997514">
              <w:rPr>
                <w:rFonts w:ascii="Arial" w:hAnsi="Arial" w:cs="Arial"/>
                <w:b/>
                <w:sz w:val="18"/>
                <w:szCs w:val="18"/>
                <w:lang w:val="es-ES_tradnl"/>
              </w:rPr>
              <w:t>PÉRDIDAS DE</w:t>
            </w:r>
          </w:p>
          <w:p w14:paraId="285424D2" w14:textId="77777777" w:rsidR="007E2F9F" w:rsidRPr="00997514" w:rsidRDefault="007E2F9F" w:rsidP="006548F8">
            <w:pPr>
              <w:ind w:right="34"/>
              <w:jc w:val="center"/>
              <w:rPr>
                <w:rFonts w:ascii="Arial" w:hAnsi="Arial" w:cs="Arial"/>
                <w:b/>
                <w:sz w:val="18"/>
                <w:szCs w:val="18"/>
                <w:lang w:val="es-ES_tradnl"/>
              </w:rPr>
            </w:pPr>
            <w:r w:rsidRPr="00997514">
              <w:rPr>
                <w:rFonts w:ascii="Arial" w:hAnsi="Arial" w:cs="Arial"/>
                <w:b/>
                <w:sz w:val="18"/>
                <w:szCs w:val="18"/>
                <w:lang w:val="es-ES_tradnl"/>
              </w:rPr>
              <w:t>APROPIACIÓN</w:t>
            </w:r>
          </w:p>
          <w:p w14:paraId="3F15660E" w14:textId="77777777" w:rsidR="007E2F9F" w:rsidRPr="00997514" w:rsidRDefault="007E2F9F" w:rsidP="006548F8">
            <w:pPr>
              <w:ind w:right="34"/>
              <w:jc w:val="center"/>
              <w:rPr>
                <w:rFonts w:ascii="Arial" w:hAnsi="Arial" w:cs="Arial"/>
                <w:b/>
                <w:sz w:val="18"/>
                <w:szCs w:val="18"/>
                <w:lang w:val="es-ES_tradnl"/>
              </w:rPr>
            </w:pPr>
            <w:r w:rsidRPr="00997514">
              <w:rPr>
                <w:rFonts w:ascii="Arial" w:hAnsi="Arial" w:cs="Arial"/>
                <w:b/>
                <w:sz w:val="18"/>
                <w:szCs w:val="18"/>
                <w:lang w:val="es-ES_tradnl"/>
              </w:rPr>
              <w:t>3 = (1-2)</w:t>
            </w:r>
          </w:p>
        </w:tc>
      </w:tr>
      <w:tr w:rsidR="007E2F9F" w:rsidRPr="00997514" w14:paraId="17FAD10F" w14:textId="77777777" w:rsidTr="006548F8">
        <w:trPr>
          <w:trHeight w:val="230"/>
        </w:trPr>
        <w:tc>
          <w:tcPr>
            <w:tcW w:w="3544" w:type="dxa"/>
          </w:tcPr>
          <w:p w14:paraId="1360AFE5" w14:textId="77777777" w:rsidR="007E2F9F" w:rsidRPr="00997514" w:rsidRDefault="007E2F9F" w:rsidP="006548F8">
            <w:pPr>
              <w:ind w:right="-1440"/>
              <w:jc w:val="both"/>
              <w:rPr>
                <w:rFonts w:ascii="Arial" w:hAnsi="Arial" w:cs="Arial"/>
                <w:b/>
                <w:bCs/>
                <w:sz w:val="18"/>
                <w:szCs w:val="18"/>
                <w:lang w:val="es-ES_tradnl"/>
              </w:rPr>
            </w:pPr>
            <w:r w:rsidRPr="00997514">
              <w:rPr>
                <w:rFonts w:ascii="Arial" w:hAnsi="Arial" w:cs="Arial"/>
                <w:b/>
                <w:bCs/>
                <w:sz w:val="18"/>
                <w:szCs w:val="18"/>
                <w:lang w:val="es-ES_tradnl"/>
              </w:rPr>
              <w:lastRenderedPageBreak/>
              <w:t>FUNCIONAMIENTO</w:t>
            </w:r>
          </w:p>
        </w:tc>
        <w:tc>
          <w:tcPr>
            <w:tcW w:w="2354" w:type="dxa"/>
          </w:tcPr>
          <w:p w14:paraId="7F48B20A" w14:textId="77777777" w:rsidR="007E2F9F" w:rsidRPr="00997514" w:rsidRDefault="007E2F9F" w:rsidP="006548F8">
            <w:pPr>
              <w:jc w:val="right"/>
              <w:rPr>
                <w:rFonts w:ascii="Arial" w:eastAsia="Calibri" w:hAnsi="Arial" w:cs="Arial"/>
                <w:b/>
                <w:bCs/>
                <w:sz w:val="18"/>
                <w:szCs w:val="18"/>
                <w:lang w:val="es-CO"/>
              </w:rPr>
            </w:pPr>
            <w:r w:rsidRPr="00997514">
              <w:rPr>
                <w:rFonts w:ascii="Arial" w:eastAsia="Calibri" w:hAnsi="Arial" w:cs="Arial"/>
                <w:b/>
                <w:bCs/>
                <w:sz w:val="16"/>
                <w:szCs w:val="16"/>
                <w:lang w:val="es-CO"/>
              </w:rPr>
              <w:t>34.316.894.123</w:t>
            </w:r>
          </w:p>
        </w:tc>
        <w:tc>
          <w:tcPr>
            <w:tcW w:w="2354" w:type="dxa"/>
          </w:tcPr>
          <w:p w14:paraId="22E31F46" w14:textId="77777777" w:rsidR="007E2F9F" w:rsidRPr="00997514" w:rsidRDefault="007E2F9F" w:rsidP="006548F8">
            <w:pPr>
              <w:pStyle w:val="Prrafodelista"/>
              <w:ind w:left="0"/>
              <w:jc w:val="right"/>
              <w:rPr>
                <w:rFonts w:ascii="Arial" w:hAnsi="Arial" w:cs="Arial"/>
                <w:b/>
                <w:bCs/>
                <w:sz w:val="18"/>
                <w:szCs w:val="18"/>
              </w:rPr>
            </w:pPr>
            <w:r w:rsidRPr="00997514">
              <w:rPr>
                <w:rFonts w:ascii="Arial" w:eastAsia="Calibri" w:hAnsi="Arial" w:cs="Arial"/>
                <w:b/>
                <w:bCs/>
                <w:sz w:val="16"/>
                <w:szCs w:val="16"/>
                <w:lang w:val="es-CO"/>
              </w:rPr>
              <w:t>31.188.894.843</w:t>
            </w:r>
          </w:p>
        </w:tc>
        <w:tc>
          <w:tcPr>
            <w:tcW w:w="2238" w:type="dxa"/>
          </w:tcPr>
          <w:p w14:paraId="7E337ACC" w14:textId="77777777" w:rsidR="007E2F9F" w:rsidRPr="00997514" w:rsidRDefault="007E2F9F" w:rsidP="006548F8">
            <w:pPr>
              <w:pStyle w:val="Prrafodelista"/>
              <w:ind w:left="0"/>
              <w:jc w:val="right"/>
              <w:rPr>
                <w:rFonts w:ascii="Arial" w:hAnsi="Arial" w:cs="Arial"/>
                <w:b/>
                <w:bCs/>
                <w:sz w:val="18"/>
                <w:szCs w:val="18"/>
              </w:rPr>
            </w:pPr>
            <w:r w:rsidRPr="00997514">
              <w:rPr>
                <w:rFonts w:ascii="Arial" w:hAnsi="Arial" w:cs="Arial"/>
                <w:b/>
                <w:sz w:val="16"/>
                <w:szCs w:val="16"/>
              </w:rPr>
              <w:t>3.127.999.280</w:t>
            </w:r>
          </w:p>
        </w:tc>
      </w:tr>
      <w:tr w:rsidR="007E2F9F" w:rsidRPr="00997514" w14:paraId="2D4496DA" w14:textId="77777777" w:rsidTr="006548F8">
        <w:trPr>
          <w:trHeight w:val="230"/>
        </w:trPr>
        <w:tc>
          <w:tcPr>
            <w:tcW w:w="3544" w:type="dxa"/>
          </w:tcPr>
          <w:p w14:paraId="0C32E420" w14:textId="77777777" w:rsidR="007E2F9F" w:rsidRPr="00997514" w:rsidRDefault="007E2F9F" w:rsidP="006548F8">
            <w:pPr>
              <w:ind w:right="-1440"/>
              <w:jc w:val="both"/>
              <w:rPr>
                <w:rFonts w:ascii="Arial" w:hAnsi="Arial" w:cs="Arial"/>
                <w:b/>
                <w:bCs/>
                <w:sz w:val="18"/>
                <w:szCs w:val="18"/>
                <w:lang w:val="es-ES_tradnl"/>
              </w:rPr>
            </w:pPr>
            <w:r w:rsidRPr="00997514">
              <w:rPr>
                <w:rFonts w:ascii="Arial" w:hAnsi="Arial" w:cs="Arial"/>
                <w:b/>
                <w:bCs/>
                <w:sz w:val="18"/>
                <w:szCs w:val="18"/>
                <w:lang w:val="es-ES_tradnl"/>
              </w:rPr>
              <w:t>NVERSIÓN</w:t>
            </w:r>
          </w:p>
        </w:tc>
        <w:tc>
          <w:tcPr>
            <w:tcW w:w="2354" w:type="dxa"/>
          </w:tcPr>
          <w:p w14:paraId="17665188" w14:textId="77777777" w:rsidR="007E2F9F" w:rsidRPr="00997514" w:rsidRDefault="007E2F9F" w:rsidP="006548F8">
            <w:pPr>
              <w:jc w:val="right"/>
              <w:rPr>
                <w:rFonts w:ascii="Arial" w:eastAsia="Calibri" w:hAnsi="Arial" w:cs="Arial"/>
                <w:b/>
                <w:bCs/>
                <w:sz w:val="18"/>
                <w:szCs w:val="18"/>
                <w:lang w:val="es-CO"/>
              </w:rPr>
            </w:pPr>
            <w:r w:rsidRPr="00997514">
              <w:rPr>
                <w:rFonts w:ascii="Arial" w:eastAsia="Calibri" w:hAnsi="Arial" w:cs="Arial"/>
                <w:b/>
                <w:bCs/>
                <w:sz w:val="16"/>
                <w:szCs w:val="16"/>
                <w:lang w:val="es-CO"/>
              </w:rPr>
              <w:t>376.478.031</w:t>
            </w:r>
          </w:p>
        </w:tc>
        <w:tc>
          <w:tcPr>
            <w:tcW w:w="2354" w:type="dxa"/>
          </w:tcPr>
          <w:p w14:paraId="4B5280D5" w14:textId="77777777" w:rsidR="007E2F9F" w:rsidRPr="00997514" w:rsidRDefault="007E2F9F" w:rsidP="006548F8">
            <w:pPr>
              <w:pStyle w:val="Prrafodelista"/>
              <w:ind w:left="0"/>
              <w:jc w:val="right"/>
              <w:rPr>
                <w:rFonts w:ascii="Arial" w:eastAsia="Calibri" w:hAnsi="Arial" w:cs="Arial"/>
                <w:b/>
                <w:bCs/>
                <w:sz w:val="18"/>
                <w:szCs w:val="18"/>
                <w:lang w:val="es-CO"/>
              </w:rPr>
            </w:pPr>
            <w:r w:rsidRPr="00997514">
              <w:rPr>
                <w:rFonts w:ascii="Arial" w:eastAsia="Calibri" w:hAnsi="Arial" w:cs="Arial"/>
                <w:b/>
                <w:bCs/>
                <w:sz w:val="16"/>
                <w:szCs w:val="16"/>
                <w:lang w:val="es-CO"/>
              </w:rPr>
              <w:t>335.634.272</w:t>
            </w:r>
          </w:p>
        </w:tc>
        <w:tc>
          <w:tcPr>
            <w:tcW w:w="2238" w:type="dxa"/>
          </w:tcPr>
          <w:p w14:paraId="37254E96" w14:textId="77777777" w:rsidR="007E2F9F" w:rsidRPr="00997514" w:rsidRDefault="007E2F9F" w:rsidP="006548F8">
            <w:pPr>
              <w:pStyle w:val="Prrafodelista"/>
              <w:ind w:left="0"/>
              <w:jc w:val="right"/>
              <w:rPr>
                <w:rFonts w:ascii="Arial" w:hAnsi="Arial" w:cs="Arial"/>
                <w:b/>
                <w:bCs/>
                <w:sz w:val="18"/>
                <w:szCs w:val="18"/>
              </w:rPr>
            </w:pPr>
            <w:r w:rsidRPr="00997514">
              <w:rPr>
                <w:rFonts w:ascii="Arial" w:hAnsi="Arial" w:cs="Arial"/>
                <w:b/>
                <w:sz w:val="16"/>
                <w:szCs w:val="16"/>
              </w:rPr>
              <w:t>40.843.760</w:t>
            </w:r>
          </w:p>
        </w:tc>
      </w:tr>
      <w:tr w:rsidR="007E2F9F" w:rsidRPr="00997514" w14:paraId="05EE1E06" w14:textId="77777777" w:rsidTr="006548F8">
        <w:tc>
          <w:tcPr>
            <w:tcW w:w="3544" w:type="dxa"/>
          </w:tcPr>
          <w:p w14:paraId="3B5BF22D" w14:textId="77777777" w:rsidR="007E2F9F" w:rsidRPr="00997514" w:rsidRDefault="007E2F9F" w:rsidP="006548F8">
            <w:pPr>
              <w:ind w:right="-1440"/>
              <w:jc w:val="both"/>
              <w:rPr>
                <w:rFonts w:ascii="Arial" w:hAnsi="Arial" w:cs="Arial"/>
                <w:b/>
                <w:bCs/>
                <w:sz w:val="18"/>
                <w:szCs w:val="18"/>
                <w:lang w:val="es-ES_tradnl"/>
              </w:rPr>
            </w:pPr>
            <w:r w:rsidRPr="00997514">
              <w:rPr>
                <w:rFonts w:ascii="Arial" w:hAnsi="Arial" w:cs="Arial"/>
                <w:b/>
                <w:bCs/>
                <w:sz w:val="18"/>
                <w:szCs w:val="18"/>
                <w:lang w:val="es-ES_tradnl"/>
              </w:rPr>
              <w:t>TOTAL PÉRDIDAS DE APROPIACIÓN</w:t>
            </w:r>
          </w:p>
        </w:tc>
        <w:tc>
          <w:tcPr>
            <w:tcW w:w="2354" w:type="dxa"/>
          </w:tcPr>
          <w:p w14:paraId="51667F0A" w14:textId="77777777" w:rsidR="007E2F9F" w:rsidRPr="00997514" w:rsidRDefault="007E2F9F" w:rsidP="006548F8">
            <w:pPr>
              <w:pStyle w:val="Prrafodelista"/>
              <w:ind w:left="0"/>
              <w:jc w:val="right"/>
              <w:rPr>
                <w:rFonts w:ascii="Arial" w:hAnsi="Arial" w:cs="Arial"/>
                <w:b/>
                <w:bCs/>
                <w:sz w:val="18"/>
                <w:szCs w:val="18"/>
                <w:u w:val="single"/>
              </w:rPr>
            </w:pPr>
            <w:r w:rsidRPr="00997514">
              <w:rPr>
                <w:rFonts w:ascii="Arial" w:eastAsia="Calibri" w:hAnsi="Arial" w:cs="Arial"/>
                <w:b/>
                <w:bCs/>
                <w:sz w:val="16"/>
                <w:szCs w:val="16"/>
                <w:lang w:val="es-CO"/>
              </w:rPr>
              <w:t>34.693.372.154</w:t>
            </w:r>
          </w:p>
        </w:tc>
        <w:tc>
          <w:tcPr>
            <w:tcW w:w="2354" w:type="dxa"/>
          </w:tcPr>
          <w:p w14:paraId="6424828A" w14:textId="77777777" w:rsidR="007E2F9F" w:rsidRPr="00997514" w:rsidRDefault="007E2F9F" w:rsidP="006548F8">
            <w:pPr>
              <w:pStyle w:val="Prrafodelista"/>
              <w:ind w:left="0"/>
              <w:jc w:val="right"/>
              <w:rPr>
                <w:rFonts w:ascii="Arial" w:hAnsi="Arial" w:cs="Arial"/>
                <w:b/>
                <w:bCs/>
                <w:sz w:val="18"/>
                <w:szCs w:val="18"/>
                <w:u w:val="single"/>
              </w:rPr>
            </w:pPr>
            <w:r w:rsidRPr="00997514">
              <w:rPr>
                <w:rFonts w:ascii="Arial" w:eastAsia="Calibri" w:hAnsi="Arial" w:cs="Arial"/>
                <w:b/>
                <w:bCs/>
                <w:sz w:val="16"/>
                <w:szCs w:val="16"/>
                <w:lang w:val="es-CO"/>
              </w:rPr>
              <w:t>31.524.529.114</w:t>
            </w:r>
          </w:p>
        </w:tc>
        <w:tc>
          <w:tcPr>
            <w:tcW w:w="2238" w:type="dxa"/>
          </w:tcPr>
          <w:p w14:paraId="67B0D527" w14:textId="77777777" w:rsidR="007E2F9F" w:rsidRPr="00997514" w:rsidRDefault="007E2F9F" w:rsidP="006548F8">
            <w:pPr>
              <w:pStyle w:val="Prrafodelista"/>
              <w:ind w:left="0"/>
              <w:jc w:val="right"/>
              <w:rPr>
                <w:rFonts w:ascii="Arial" w:hAnsi="Arial" w:cs="Arial"/>
                <w:b/>
                <w:bCs/>
                <w:sz w:val="18"/>
                <w:szCs w:val="18"/>
                <w:u w:val="single"/>
              </w:rPr>
            </w:pPr>
            <w:r w:rsidRPr="00997514">
              <w:rPr>
                <w:rFonts w:ascii="Arial" w:hAnsi="Arial" w:cs="Arial"/>
                <w:b/>
                <w:sz w:val="16"/>
                <w:szCs w:val="16"/>
                <w:u w:val="single"/>
              </w:rPr>
              <w:t>3.168.843.040</w:t>
            </w:r>
          </w:p>
        </w:tc>
      </w:tr>
    </w:tbl>
    <w:p w14:paraId="1B029264" w14:textId="77777777" w:rsidR="007E2F9F" w:rsidRDefault="007E2F9F" w:rsidP="007E2F9F">
      <w:pPr>
        <w:ind w:left="-284" w:right="-234"/>
        <w:rPr>
          <w:rFonts w:ascii="Arial" w:eastAsia="Calibri" w:hAnsi="Arial" w:cs="Arial"/>
          <w:b/>
          <w:u w:val="single"/>
          <w:lang w:val="es-MX"/>
        </w:rPr>
      </w:pPr>
    </w:p>
    <w:p w14:paraId="4CB6C15F" w14:textId="77777777" w:rsidR="007E2F9F" w:rsidRPr="008F19E9" w:rsidRDefault="007E2F9F" w:rsidP="007E2F9F">
      <w:pPr>
        <w:ind w:left="-284"/>
        <w:jc w:val="both"/>
        <w:rPr>
          <w:rFonts w:ascii="Arial" w:hAnsi="Arial" w:cs="Arial"/>
          <w:b/>
          <w:sz w:val="28"/>
          <w:szCs w:val="28"/>
          <w:lang w:val="es-MX"/>
        </w:rPr>
      </w:pPr>
      <w:r w:rsidRPr="008F19E9">
        <w:rPr>
          <w:rFonts w:ascii="Arial" w:hAnsi="Arial" w:cs="Arial"/>
          <w:b/>
          <w:sz w:val="28"/>
          <w:szCs w:val="28"/>
          <w:lang w:val="es-MX"/>
        </w:rPr>
        <w:t>343.- AGENCIA NACIONAL DE TIERRAS - ANT.</w:t>
      </w:r>
    </w:p>
    <w:p w14:paraId="6CDF49F8" w14:textId="77777777" w:rsidR="008A43C3" w:rsidRDefault="008A43C3" w:rsidP="007E2F9F">
      <w:pPr>
        <w:pStyle w:val="Prrafodelista"/>
        <w:ind w:left="0"/>
        <w:jc w:val="center"/>
        <w:rPr>
          <w:rFonts w:ascii="Arial" w:hAnsi="Arial" w:cs="Arial"/>
          <w:b/>
          <w:sz w:val="24"/>
        </w:rPr>
      </w:pPr>
    </w:p>
    <w:p w14:paraId="1A253873" w14:textId="4D9F21C4"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20F34C93"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30CD711B"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8F19E9" w14:paraId="58F9A74A" w14:textId="77777777" w:rsidTr="006548F8">
        <w:tc>
          <w:tcPr>
            <w:tcW w:w="3544" w:type="dxa"/>
          </w:tcPr>
          <w:p w14:paraId="5478DA25" w14:textId="77777777" w:rsidR="007E2F9F" w:rsidRPr="008F19E9" w:rsidRDefault="007E2F9F" w:rsidP="006548F8">
            <w:pPr>
              <w:ind w:left="1169" w:right="-1440"/>
              <w:rPr>
                <w:rFonts w:ascii="Arial" w:hAnsi="Arial" w:cs="Arial"/>
                <w:b/>
                <w:sz w:val="18"/>
                <w:szCs w:val="18"/>
                <w:lang w:val="es-ES_tradnl"/>
              </w:rPr>
            </w:pPr>
            <w:r w:rsidRPr="008F19E9">
              <w:rPr>
                <w:rFonts w:ascii="Arial" w:hAnsi="Arial" w:cs="Arial"/>
                <w:b/>
                <w:sz w:val="18"/>
                <w:szCs w:val="18"/>
                <w:lang w:val="es-ES_tradnl"/>
              </w:rPr>
              <w:t>TIPO DE GASTO</w:t>
            </w:r>
          </w:p>
        </w:tc>
        <w:tc>
          <w:tcPr>
            <w:tcW w:w="2354" w:type="dxa"/>
          </w:tcPr>
          <w:p w14:paraId="3B55A644" w14:textId="77777777" w:rsidR="007E2F9F" w:rsidRPr="008F19E9" w:rsidRDefault="007E2F9F" w:rsidP="006548F8">
            <w:pPr>
              <w:jc w:val="center"/>
              <w:rPr>
                <w:rFonts w:ascii="Arial" w:hAnsi="Arial" w:cs="Arial"/>
                <w:b/>
                <w:sz w:val="18"/>
                <w:szCs w:val="18"/>
                <w:lang w:val="es-ES_tradnl"/>
              </w:rPr>
            </w:pPr>
            <w:r w:rsidRPr="008F19E9">
              <w:rPr>
                <w:rFonts w:ascii="Arial" w:hAnsi="Arial" w:cs="Arial"/>
                <w:b/>
                <w:sz w:val="18"/>
                <w:szCs w:val="18"/>
                <w:lang w:val="es-ES_tradnl"/>
              </w:rPr>
              <w:t>APROPIACIÓN</w:t>
            </w:r>
          </w:p>
          <w:p w14:paraId="5FD85CF6" w14:textId="77777777" w:rsidR="007E2F9F" w:rsidRPr="008F19E9" w:rsidRDefault="007E2F9F" w:rsidP="006548F8">
            <w:pPr>
              <w:jc w:val="center"/>
              <w:rPr>
                <w:rFonts w:ascii="Arial" w:hAnsi="Arial" w:cs="Arial"/>
                <w:b/>
                <w:sz w:val="18"/>
                <w:szCs w:val="18"/>
                <w:lang w:val="es-ES_tradnl"/>
              </w:rPr>
            </w:pPr>
            <w:r w:rsidRPr="008F19E9">
              <w:rPr>
                <w:rFonts w:ascii="Arial" w:hAnsi="Arial" w:cs="Arial"/>
                <w:b/>
                <w:sz w:val="18"/>
                <w:szCs w:val="18"/>
                <w:lang w:val="es-ES_tradnl"/>
              </w:rPr>
              <w:t>DEFINITIVA</w:t>
            </w:r>
          </w:p>
          <w:p w14:paraId="0A73368B" w14:textId="77777777" w:rsidR="007E2F9F" w:rsidRPr="008F19E9" w:rsidRDefault="007E2F9F" w:rsidP="006548F8">
            <w:pPr>
              <w:jc w:val="center"/>
              <w:rPr>
                <w:rFonts w:ascii="Arial" w:hAnsi="Arial" w:cs="Arial"/>
                <w:b/>
                <w:sz w:val="18"/>
                <w:szCs w:val="18"/>
                <w:lang w:val="es-ES_tradnl"/>
              </w:rPr>
            </w:pPr>
            <w:r w:rsidRPr="008F19E9">
              <w:rPr>
                <w:rFonts w:ascii="Arial" w:hAnsi="Arial" w:cs="Arial"/>
                <w:b/>
                <w:sz w:val="18"/>
                <w:szCs w:val="18"/>
                <w:lang w:val="es-ES_tradnl"/>
              </w:rPr>
              <w:t>(1)</w:t>
            </w:r>
          </w:p>
          <w:p w14:paraId="01001890" w14:textId="77777777" w:rsidR="007E2F9F" w:rsidRPr="008F19E9" w:rsidRDefault="007E2F9F" w:rsidP="006548F8">
            <w:pPr>
              <w:jc w:val="center"/>
              <w:rPr>
                <w:rFonts w:ascii="Arial" w:hAnsi="Arial" w:cs="Arial"/>
                <w:b/>
                <w:sz w:val="18"/>
                <w:szCs w:val="18"/>
                <w:lang w:val="es-ES_tradnl"/>
              </w:rPr>
            </w:pPr>
          </w:p>
        </w:tc>
        <w:tc>
          <w:tcPr>
            <w:tcW w:w="2354" w:type="dxa"/>
          </w:tcPr>
          <w:p w14:paraId="7BBB0A46" w14:textId="77777777" w:rsidR="007E2F9F" w:rsidRPr="008F19E9" w:rsidRDefault="007E2F9F" w:rsidP="006548F8">
            <w:pPr>
              <w:ind w:left="145" w:right="184"/>
              <w:jc w:val="center"/>
              <w:rPr>
                <w:rFonts w:ascii="Arial" w:hAnsi="Arial" w:cs="Arial"/>
                <w:b/>
                <w:sz w:val="18"/>
                <w:szCs w:val="18"/>
                <w:lang w:val="es-ES_tradnl"/>
              </w:rPr>
            </w:pPr>
            <w:r w:rsidRPr="008F19E9">
              <w:rPr>
                <w:rFonts w:ascii="Arial" w:hAnsi="Arial" w:cs="Arial"/>
                <w:b/>
                <w:sz w:val="18"/>
                <w:szCs w:val="18"/>
                <w:lang w:val="es-ES_tradnl"/>
              </w:rPr>
              <w:t>EJECUCIÓN</w:t>
            </w:r>
          </w:p>
          <w:p w14:paraId="518627F3" w14:textId="77777777" w:rsidR="007E2F9F" w:rsidRPr="008F19E9" w:rsidRDefault="007E2F9F" w:rsidP="006548F8">
            <w:pPr>
              <w:ind w:right="34"/>
              <w:jc w:val="center"/>
              <w:rPr>
                <w:rFonts w:ascii="Arial" w:hAnsi="Arial" w:cs="Arial"/>
                <w:b/>
                <w:sz w:val="18"/>
                <w:szCs w:val="18"/>
                <w:lang w:val="es-ES_tradnl"/>
              </w:rPr>
            </w:pPr>
            <w:r w:rsidRPr="008F19E9">
              <w:rPr>
                <w:rFonts w:ascii="Arial" w:hAnsi="Arial" w:cs="Arial"/>
                <w:b/>
                <w:sz w:val="18"/>
                <w:szCs w:val="18"/>
                <w:lang w:val="es-ES_tradnl"/>
              </w:rPr>
              <w:t>COMPROMISOS</w:t>
            </w:r>
          </w:p>
          <w:p w14:paraId="22B778B6" w14:textId="77777777" w:rsidR="007E2F9F" w:rsidRPr="008F19E9" w:rsidRDefault="007E2F9F" w:rsidP="006548F8">
            <w:pPr>
              <w:ind w:right="34"/>
              <w:jc w:val="center"/>
              <w:rPr>
                <w:rFonts w:ascii="Arial" w:hAnsi="Arial" w:cs="Arial"/>
                <w:b/>
                <w:sz w:val="18"/>
                <w:szCs w:val="18"/>
                <w:lang w:val="es-ES_tradnl"/>
              </w:rPr>
            </w:pPr>
            <w:r w:rsidRPr="008F19E9">
              <w:rPr>
                <w:rFonts w:ascii="Arial" w:hAnsi="Arial" w:cs="Arial"/>
                <w:b/>
                <w:sz w:val="18"/>
                <w:szCs w:val="18"/>
                <w:lang w:val="es-ES_tradnl"/>
              </w:rPr>
              <w:t>(2)</w:t>
            </w:r>
          </w:p>
        </w:tc>
        <w:tc>
          <w:tcPr>
            <w:tcW w:w="2238" w:type="dxa"/>
          </w:tcPr>
          <w:p w14:paraId="739E9304" w14:textId="77777777" w:rsidR="007E2F9F" w:rsidRPr="008F19E9" w:rsidRDefault="007E2F9F" w:rsidP="006548F8">
            <w:pPr>
              <w:ind w:left="25" w:right="34"/>
              <w:jc w:val="center"/>
              <w:rPr>
                <w:rFonts w:ascii="Arial" w:hAnsi="Arial" w:cs="Arial"/>
                <w:b/>
                <w:sz w:val="18"/>
                <w:szCs w:val="18"/>
                <w:lang w:val="es-ES_tradnl"/>
              </w:rPr>
            </w:pPr>
            <w:r w:rsidRPr="008F19E9">
              <w:rPr>
                <w:rFonts w:ascii="Arial" w:hAnsi="Arial" w:cs="Arial"/>
                <w:b/>
                <w:sz w:val="18"/>
                <w:szCs w:val="18"/>
                <w:lang w:val="es-ES_tradnl"/>
              </w:rPr>
              <w:t>PÉRDIDAS DE</w:t>
            </w:r>
          </w:p>
          <w:p w14:paraId="257AE36F" w14:textId="77777777" w:rsidR="007E2F9F" w:rsidRPr="008F19E9" w:rsidRDefault="007E2F9F" w:rsidP="006548F8">
            <w:pPr>
              <w:ind w:right="34"/>
              <w:jc w:val="center"/>
              <w:rPr>
                <w:rFonts w:ascii="Arial" w:hAnsi="Arial" w:cs="Arial"/>
                <w:b/>
                <w:sz w:val="18"/>
                <w:szCs w:val="18"/>
                <w:lang w:val="es-ES_tradnl"/>
              </w:rPr>
            </w:pPr>
            <w:r w:rsidRPr="008F19E9">
              <w:rPr>
                <w:rFonts w:ascii="Arial" w:hAnsi="Arial" w:cs="Arial"/>
                <w:b/>
                <w:sz w:val="18"/>
                <w:szCs w:val="18"/>
                <w:lang w:val="es-ES_tradnl"/>
              </w:rPr>
              <w:t>APROPIACIÓN</w:t>
            </w:r>
          </w:p>
          <w:p w14:paraId="7673F136" w14:textId="77777777" w:rsidR="007E2F9F" w:rsidRPr="008F19E9" w:rsidRDefault="007E2F9F" w:rsidP="006548F8">
            <w:pPr>
              <w:ind w:right="34"/>
              <w:jc w:val="center"/>
              <w:rPr>
                <w:rFonts w:ascii="Arial" w:hAnsi="Arial" w:cs="Arial"/>
                <w:b/>
                <w:sz w:val="18"/>
                <w:szCs w:val="18"/>
                <w:lang w:val="es-ES_tradnl"/>
              </w:rPr>
            </w:pPr>
            <w:r w:rsidRPr="008F19E9">
              <w:rPr>
                <w:rFonts w:ascii="Arial" w:hAnsi="Arial" w:cs="Arial"/>
                <w:b/>
                <w:sz w:val="18"/>
                <w:szCs w:val="18"/>
                <w:lang w:val="es-ES_tradnl"/>
              </w:rPr>
              <w:t>3 = (1-2)</w:t>
            </w:r>
          </w:p>
        </w:tc>
      </w:tr>
      <w:tr w:rsidR="007E2F9F" w:rsidRPr="008F19E9" w14:paraId="1BFB371D" w14:textId="77777777" w:rsidTr="006548F8">
        <w:trPr>
          <w:trHeight w:val="230"/>
        </w:trPr>
        <w:tc>
          <w:tcPr>
            <w:tcW w:w="3544" w:type="dxa"/>
          </w:tcPr>
          <w:p w14:paraId="7C93B9B1" w14:textId="77777777" w:rsidR="007E2F9F" w:rsidRPr="008F19E9" w:rsidRDefault="007E2F9F" w:rsidP="006548F8">
            <w:pPr>
              <w:ind w:right="-1440"/>
              <w:jc w:val="both"/>
              <w:rPr>
                <w:rFonts w:ascii="Arial" w:hAnsi="Arial" w:cs="Arial"/>
                <w:b/>
                <w:bCs/>
                <w:sz w:val="18"/>
                <w:szCs w:val="18"/>
                <w:lang w:val="es-ES_tradnl"/>
              </w:rPr>
            </w:pPr>
            <w:r w:rsidRPr="008F19E9">
              <w:rPr>
                <w:rFonts w:ascii="Arial" w:hAnsi="Arial" w:cs="Arial"/>
                <w:b/>
                <w:bCs/>
                <w:sz w:val="18"/>
                <w:szCs w:val="18"/>
                <w:lang w:val="es-ES_tradnl"/>
              </w:rPr>
              <w:t>FUNCIONAMIENTO</w:t>
            </w:r>
          </w:p>
        </w:tc>
        <w:tc>
          <w:tcPr>
            <w:tcW w:w="2354" w:type="dxa"/>
          </w:tcPr>
          <w:p w14:paraId="4A47A626" w14:textId="77777777" w:rsidR="007E2F9F" w:rsidRPr="008F19E9" w:rsidRDefault="007E2F9F" w:rsidP="006548F8">
            <w:pPr>
              <w:jc w:val="right"/>
              <w:rPr>
                <w:rFonts w:ascii="Arial" w:eastAsia="Calibri" w:hAnsi="Arial" w:cs="Arial"/>
                <w:b/>
                <w:bCs/>
                <w:sz w:val="18"/>
                <w:szCs w:val="18"/>
                <w:lang w:val="es-CO"/>
              </w:rPr>
            </w:pPr>
            <w:r w:rsidRPr="008F19E9">
              <w:rPr>
                <w:rFonts w:ascii="Arial" w:eastAsia="Segoe UI" w:hAnsi="Arial" w:cs="Arial"/>
                <w:b/>
              </w:rPr>
              <w:t>$114.843.876,54</w:t>
            </w:r>
          </w:p>
        </w:tc>
        <w:tc>
          <w:tcPr>
            <w:tcW w:w="2354" w:type="dxa"/>
          </w:tcPr>
          <w:p w14:paraId="39BDDA8B" w14:textId="77777777" w:rsidR="007E2F9F" w:rsidRPr="008F19E9" w:rsidRDefault="007E2F9F" w:rsidP="006548F8">
            <w:pPr>
              <w:pStyle w:val="Prrafodelista"/>
              <w:ind w:left="0"/>
              <w:jc w:val="right"/>
              <w:rPr>
                <w:rFonts w:ascii="Arial" w:hAnsi="Arial" w:cs="Arial"/>
                <w:b/>
                <w:bCs/>
                <w:sz w:val="18"/>
                <w:szCs w:val="18"/>
              </w:rPr>
            </w:pPr>
            <w:r w:rsidRPr="008F19E9">
              <w:rPr>
                <w:rFonts w:ascii="Arial" w:eastAsia="Segoe UI" w:hAnsi="Arial" w:cs="Arial"/>
                <w:b/>
              </w:rPr>
              <w:t>$112.011.365,02</w:t>
            </w:r>
          </w:p>
        </w:tc>
        <w:tc>
          <w:tcPr>
            <w:tcW w:w="2238" w:type="dxa"/>
          </w:tcPr>
          <w:p w14:paraId="4375DF10" w14:textId="77777777" w:rsidR="007E2F9F" w:rsidRPr="008F19E9" w:rsidRDefault="007E2F9F" w:rsidP="006548F8">
            <w:pPr>
              <w:pStyle w:val="Prrafodelista"/>
              <w:ind w:left="0"/>
              <w:jc w:val="right"/>
              <w:rPr>
                <w:rFonts w:ascii="Arial" w:hAnsi="Arial" w:cs="Arial"/>
                <w:b/>
                <w:bCs/>
                <w:sz w:val="18"/>
                <w:szCs w:val="18"/>
              </w:rPr>
            </w:pPr>
            <w:r w:rsidRPr="008F19E9">
              <w:rPr>
                <w:rFonts w:ascii="Arial" w:hAnsi="Arial" w:cs="Arial"/>
                <w:b/>
              </w:rPr>
              <w:t>$2.832.511,51</w:t>
            </w:r>
          </w:p>
        </w:tc>
      </w:tr>
      <w:tr w:rsidR="007E2F9F" w:rsidRPr="008F19E9" w14:paraId="70EECDD5" w14:textId="77777777" w:rsidTr="006548F8">
        <w:trPr>
          <w:trHeight w:val="230"/>
        </w:trPr>
        <w:tc>
          <w:tcPr>
            <w:tcW w:w="3544" w:type="dxa"/>
          </w:tcPr>
          <w:p w14:paraId="0F7E2642" w14:textId="77777777" w:rsidR="007E2F9F" w:rsidRPr="008F19E9" w:rsidRDefault="007E2F9F" w:rsidP="006548F8">
            <w:pPr>
              <w:ind w:right="-1440"/>
              <w:jc w:val="both"/>
              <w:rPr>
                <w:rFonts w:ascii="Arial" w:hAnsi="Arial" w:cs="Arial"/>
                <w:b/>
                <w:bCs/>
                <w:sz w:val="18"/>
                <w:szCs w:val="18"/>
                <w:lang w:val="es-ES_tradnl"/>
              </w:rPr>
            </w:pPr>
            <w:r w:rsidRPr="008F19E9">
              <w:rPr>
                <w:rFonts w:ascii="Arial" w:hAnsi="Arial" w:cs="Arial"/>
                <w:b/>
                <w:bCs/>
                <w:sz w:val="18"/>
                <w:szCs w:val="18"/>
                <w:lang w:val="es-ES_tradnl"/>
              </w:rPr>
              <w:t>NVERSIÓN</w:t>
            </w:r>
          </w:p>
        </w:tc>
        <w:tc>
          <w:tcPr>
            <w:tcW w:w="2354" w:type="dxa"/>
          </w:tcPr>
          <w:p w14:paraId="758E79D4" w14:textId="77777777" w:rsidR="007E2F9F" w:rsidRPr="008F19E9" w:rsidRDefault="007E2F9F" w:rsidP="006548F8">
            <w:pPr>
              <w:jc w:val="right"/>
              <w:rPr>
                <w:rFonts w:ascii="Arial" w:eastAsia="Calibri" w:hAnsi="Arial" w:cs="Arial"/>
                <w:b/>
                <w:bCs/>
                <w:sz w:val="18"/>
                <w:szCs w:val="18"/>
                <w:lang w:val="es-CO"/>
              </w:rPr>
            </w:pPr>
            <w:r w:rsidRPr="008F19E9">
              <w:rPr>
                <w:rFonts w:ascii="Arial" w:eastAsia="Segoe UI" w:hAnsi="Arial" w:cs="Arial"/>
                <w:b/>
              </w:rPr>
              <w:t>$4.090.531.156,26</w:t>
            </w:r>
          </w:p>
        </w:tc>
        <w:tc>
          <w:tcPr>
            <w:tcW w:w="2354" w:type="dxa"/>
          </w:tcPr>
          <w:p w14:paraId="75E4C1A2" w14:textId="77777777" w:rsidR="007E2F9F" w:rsidRPr="008F19E9" w:rsidRDefault="007E2F9F" w:rsidP="006548F8">
            <w:pPr>
              <w:pStyle w:val="Prrafodelista"/>
              <w:ind w:left="0"/>
              <w:jc w:val="right"/>
              <w:rPr>
                <w:rFonts w:ascii="Arial" w:eastAsia="Calibri" w:hAnsi="Arial" w:cs="Arial"/>
                <w:b/>
                <w:bCs/>
                <w:sz w:val="18"/>
                <w:szCs w:val="18"/>
                <w:lang w:val="es-CO"/>
              </w:rPr>
            </w:pPr>
            <w:r w:rsidRPr="008F19E9">
              <w:rPr>
                <w:rFonts w:ascii="Arial" w:eastAsia="Segoe UI" w:hAnsi="Arial" w:cs="Arial"/>
                <w:b/>
              </w:rPr>
              <w:t>$4.014.653.559,54</w:t>
            </w:r>
          </w:p>
        </w:tc>
        <w:tc>
          <w:tcPr>
            <w:tcW w:w="2238" w:type="dxa"/>
          </w:tcPr>
          <w:p w14:paraId="63E55B5C" w14:textId="77777777" w:rsidR="007E2F9F" w:rsidRPr="008F19E9" w:rsidRDefault="007E2F9F" w:rsidP="006548F8">
            <w:pPr>
              <w:pStyle w:val="Prrafodelista"/>
              <w:ind w:left="0"/>
              <w:jc w:val="right"/>
              <w:rPr>
                <w:rFonts w:ascii="Arial" w:hAnsi="Arial" w:cs="Arial"/>
                <w:b/>
                <w:bCs/>
                <w:sz w:val="18"/>
                <w:szCs w:val="18"/>
              </w:rPr>
            </w:pPr>
            <w:r w:rsidRPr="008F19E9">
              <w:rPr>
                <w:rFonts w:ascii="Arial" w:hAnsi="Arial" w:cs="Arial"/>
                <w:b/>
              </w:rPr>
              <w:t>$75.877.596,72</w:t>
            </w:r>
          </w:p>
        </w:tc>
      </w:tr>
      <w:tr w:rsidR="007E2F9F" w:rsidRPr="008F19E9" w14:paraId="7B62FF01" w14:textId="77777777" w:rsidTr="006548F8">
        <w:tc>
          <w:tcPr>
            <w:tcW w:w="3544" w:type="dxa"/>
          </w:tcPr>
          <w:p w14:paraId="145B566C" w14:textId="77777777" w:rsidR="007E2F9F" w:rsidRPr="008F19E9" w:rsidRDefault="007E2F9F" w:rsidP="006548F8">
            <w:pPr>
              <w:ind w:right="-1440"/>
              <w:jc w:val="both"/>
              <w:rPr>
                <w:rFonts w:ascii="Arial" w:hAnsi="Arial" w:cs="Arial"/>
                <w:b/>
                <w:bCs/>
                <w:sz w:val="18"/>
                <w:szCs w:val="18"/>
                <w:lang w:val="es-ES_tradnl"/>
              </w:rPr>
            </w:pPr>
            <w:r w:rsidRPr="008F19E9">
              <w:rPr>
                <w:rFonts w:ascii="Arial" w:hAnsi="Arial" w:cs="Arial"/>
                <w:b/>
                <w:bCs/>
                <w:sz w:val="18"/>
                <w:szCs w:val="18"/>
                <w:lang w:val="es-ES_tradnl"/>
              </w:rPr>
              <w:t>TOTAL PÉRDIDAS DE APROPIACIÓN</w:t>
            </w:r>
          </w:p>
        </w:tc>
        <w:tc>
          <w:tcPr>
            <w:tcW w:w="2354" w:type="dxa"/>
          </w:tcPr>
          <w:p w14:paraId="0F0F3266" w14:textId="77777777" w:rsidR="007E2F9F" w:rsidRPr="008F19E9" w:rsidRDefault="007E2F9F" w:rsidP="006548F8">
            <w:pPr>
              <w:pStyle w:val="Prrafodelista"/>
              <w:ind w:left="0"/>
              <w:jc w:val="right"/>
              <w:rPr>
                <w:rFonts w:ascii="Arial" w:hAnsi="Arial" w:cs="Arial"/>
                <w:b/>
                <w:bCs/>
                <w:sz w:val="18"/>
                <w:szCs w:val="18"/>
                <w:u w:val="single"/>
              </w:rPr>
            </w:pPr>
            <w:r w:rsidRPr="008F19E9">
              <w:rPr>
                <w:rFonts w:ascii="Arial" w:eastAsia="Segoe UI" w:hAnsi="Arial" w:cs="Arial"/>
                <w:b/>
              </w:rPr>
              <w:t>$4.205.375.032,79</w:t>
            </w:r>
          </w:p>
        </w:tc>
        <w:tc>
          <w:tcPr>
            <w:tcW w:w="2354" w:type="dxa"/>
          </w:tcPr>
          <w:p w14:paraId="550D1944" w14:textId="77777777" w:rsidR="007E2F9F" w:rsidRPr="008F19E9" w:rsidRDefault="007E2F9F" w:rsidP="006548F8">
            <w:pPr>
              <w:pStyle w:val="Prrafodelista"/>
              <w:ind w:left="0"/>
              <w:jc w:val="right"/>
              <w:rPr>
                <w:rFonts w:ascii="Arial" w:hAnsi="Arial" w:cs="Arial"/>
                <w:b/>
                <w:bCs/>
                <w:sz w:val="18"/>
                <w:szCs w:val="18"/>
                <w:u w:val="single"/>
              </w:rPr>
            </w:pPr>
            <w:r w:rsidRPr="008F19E9">
              <w:rPr>
                <w:rFonts w:ascii="Arial" w:eastAsia="Segoe UI" w:hAnsi="Arial" w:cs="Arial"/>
                <w:b/>
              </w:rPr>
              <w:t>$4.126.664.924,56</w:t>
            </w:r>
          </w:p>
        </w:tc>
        <w:tc>
          <w:tcPr>
            <w:tcW w:w="2238" w:type="dxa"/>
          </w:tcPr>
          <w:p w14:paraId="728F37F7" w14:textId="77777777" w:rsidR="007E2F9F" w:rsidRPr="008F19E9" w:rsidRDefault="007E2F9F" w:rsidP="006548F8">
            <w:pPr>
              <w:pStyle w:val="Prrafodelista"/>
              <w:ind w:left="0"/>
              <w:jc w:val="right"/>
              <w:rPr>
                <w:rFonts w:ascii="Arial" w:hAnsi="Arial" w:cs="Arial"/>
                <w:b/>
                <w:bCs/>
                <w:sz w:val="18"/>
                <w:szCs w:val="18"/>
                <w:u w:val="single"/>
              </w:rPr>
            </w:pPr>
            <w:r w:rsidRPr="008F19E9">
              <w:rPr>
                <w:rFonts w:ascii="Arial" w:hAnsi="Arial" w:cs="Arial"/>
                <w:b/>
                <w:u w:val="single"/>
              </w:rPr>
              <w:t>$78.710.108,24</w:t>
            </w:r>
          </w:p>
        </w:tc>
      </w:tr>
    </w:tbl>
    <w:p w14:paraId="1FDDC85E" w14:textId="77777777" w:rsidR="007E2F9F" w:rsidRDefault="007E2F9F" w:rsidP="007E2F9F">
      <w:pPr>
        <w:pStyle w:val="Prrafodelista"/>
        <w:ind w:left="-142"/>
        <w:rPr>
          <w:b/>
          <w:sz w:val="24"/>
        </w:rPr>
      </w:pPr>
    </w:p>
    <w:p w14:paraId="1A5C937F" w14:textId="77777777" w:rsidR="007E2F9F" w:rsidRPr="009647D4" w:rsidRDefault="007E2F9F" w:rsidP="007E2F9F">
      <w:pPr>
        <w:ind w:left="-284"/>
        <w:jc w:val="both"/>
        <w:rPr>
          <w:rFonts w:ascii="Arial" w:hAnsi="Arial" w:cs="Arial"/>
          <w:b/>
          <w:sz w:val="28"/>
          <w:szCs w:val="28"/>
          <w:lang w:val="es-MX"/>
        </w:rPr>
      </w:pPr>
      <w:r w:rsidRPr="009647D4">
        <w:rPr>
          <w:rFonts w:ascii="Arial" w:hAnsi="Arial" w:cs="Arial"/>
          <w:b/>
          <w:sz w:val="28"/>
          <w:szCs w:val="28"/>
          <w:lang w:val="es-MX"/>
        </w:rPr>
        <w:t>344.- SUPERINTENDENCIA DE NOTARIADO Y REGISTRO.</w:t>
      </w:r>
    </w:p>
    <w:p w14:paraId="6C931E57" w14:textId="77777777" w:rsidR="007E2F9F" w:rsidRDefault="007E2F9F" w:rsidP="007E2F9F">
      <w:pPr>
        <w:pStyle w:val="Prrafodelista"/>
        <w:ind w:left="0"/>
        <w:jc w:val="center"/>
        <w:rPr>
          <w:rFonts w:ascii="Arial" w:hAnsi="Arial" w:cs="Arial"/>
          <w:b/>
          <w:sz w:val="24"/>
        </w:rPr>
      </w:pPr>
    </w:p>
    <w:p w14:paraId="62FFDA14"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0C5E0F74"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0F8394FC"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9647D4" w14:paraId="73D3F994" w14:textId="77777777" w:rsidTr="006548F8">
        <w:tc>
          <w:tcPr>
            <w:tcW w:w="3544" w:type="dxa"/>
          </w:tcPr>
          <w:p w14:paraId="45F731BB" w14:textId="77777777" w:rsidR="007E2F9F" w:rsidRPr="009647D4" w:rsidRDefault="007E2F9F" w:rsidP="006548F8">
            <w:pPr>
              <w:ind w:left="1169" w:right="-1440"/>
              <w:rPr>
                <w:rFonts w:ascii="Arial" w:hAnsi="Arial" w:cs="Arial"/>
                <w:b/>
                <w:sz w:val="18"/>
                <w:szCs w:val="18"/>
                <w:lang w:val="es-ES_tradnl"/>
              </w:rPr>
            </w:pPr>
            <w:r w:rsidRPr="009647D4">
              <w:rPr>
                <w:rFonts w:ascii="Arial" w:hAnsi="Arial" w:cs="Arial"/>
                <w:b/>
                <w:sz w:val="18"/>
                <w:szCs w:val="18"/>
                <w:lang w:val="es-ES_tradnl"/>
              </w:rPr>
              <w:t>TIPO DE GASTO</w:t>
            </w:r>
          </w:p>
        </w:tc>
        <w:tc>
          <w:tcPr>
            <w:tcW w:w="2354" w:type="dxa"/>
          </w:tcPr>
          <w:p w14:paraId="373BB6E4" w14:textId="77777777" w:rsidR="007E2F9F" w:rsidRPr="009647D4" w:rsidRDefault="007E2F9F" w:rsidP="006548F8">
            <w:pPr>
              <w:jc w:val="center"/>
              <w:rPr>
                <w:rFonts w:ascii="Arial" w:hAnsi="Arial" w:cs="Arial"/>
                <w:b/>
                <w:sz w:val="18"/>
                <w:szCs w:val="18"/>
                <w:lang w:val="es-ES_tradnl"/>
              </w:rPr>
            </w:pPr>
            <w:r w:rsidRPr="009647D4">
              <w:rPr>
                <w:rFonts w:ascii="Arial" w:hAnsi="Arial" w:cs="Arial"/>
                <w:b/>
                <w:sz w:val="18"/>
                <w:szCs w:val="18"/>
                <w:lang w:val="es-ES_tradnl"/>
              </w:rPr>
              <w:t>APROPIACIÓN</w:t>
            </w:r>
          </w:p>
          <w:p w14:paraId="08E40825" w14:textId="77777777" w:rsidR="007E2F9F" w:rsidRPr="009647D4" w:rsidRDefault="007E2F9F" w:rsidP="006548F8">
            <w:pPr>
              <w:jc w:val="center"/>
              <w:rPr>
                <w:rFonts w:ascii="Arial" w:hAnsi="Arial" w:cs="Arial"/>
                <w:b/>
                <w:sz w:val="18"/>
                <w:szCs w:val="18"/>
                <w:lang w:val="es-ES_tradnl"/>
              </w:rPr>
            </w:pPr>
            <w:r w:rsidRPr="009647D4">
              <w:rPr>
                <w:rFonts w:ascii="Arial" w:hAnsi="Arial" w:cs="Arial"/>
                <w:b/>
                <w:sz w:val="18"/>
                <w:szCs w:val="18"/>
                <w:lang w:val="es-ES_tradnl"/>
              </w:rPr>
              <w:t>DEFINITIVA</w:t>
            </w:r>
          </w:p>
          <w:p w14:paraId="2F193993" w14:textId="77777777" w:rsidR="007E2F9F" w:rsidRPr="009647D4" w:rsidRDefault="007E2F9F" w:rsidP="006548F8">
            <w:pPr>
              <w:jc w:val="center"/>
              <w:rPr>
                <w:rFonts w:ascii="Arial" w:hAnsi="Arial" w:cs="Arial"/>
                <w:b/>
                <w:sz w:val="18"/>
                <w:szCs w:val="18"/>
                <w:lang w:val="es-ES_tradnl"/>
              </w:rPr>
            </w:pPr>
            <w:r w:rsidRPr="009647D4">
              <w:rPr>
                <w:rFonts w:ascii="Arial" w:hAnsi="Arial" w:cs="Arial"/>
                <w:b/>
                <w:sz w:val="18"/>
                <w:szCs w:val="18"/>
                <w:lang w:val="es-ES_tradnl"/>
              </w:rPr>
              <w:t>(1)</w:t>
            </w:r>
          </w:p>
          <w:p w14:paraId="75C296D6" w14:textId="77777777" w:rsidR="007E2F9F" w:rsidRPr="009647D4" w:rsidRDefault="007E2F9F" w:rsidP="006548F8">
            <w:pPr>
              <w:jc w:val="center"/>
              <w:rPr>
                <w:rFonts w:ascii="Arial" w:hAnsi="Arial" w:cs="Arial"/>
                <w:b/>
                <w:sz w:val="18"/>
                <w:szCs w:val="18"/>
                <w:lang w:val="es-ES_tradnl"/>
              </w:rPr>
            </w:pPr>
          </w:p>
        </w:tc>
        <w:tc>
          <w:tcPr>
            <w:tcW w:w="2354" w:type="dxa"/>
          </w:tcPr>
          <w:p w14:paraId="45219929" w14:textId="77777777" w:rsidR="007E2F9F" w:rsidRPr="009647D4" w:rsidRDefault="007E2F9F" w:rsidP="006548F8">
            <w:pPr>
              <w:ind w:left="145" w:right="184"/>
              <w:jc w:val="center"/>
              <w:rPr>
                <w:rFonts w:ascii="Arial" w:hAnsi="Arial" w:cs="Arial"/>
                <w:b/>
                <w:sz w:val="18"/>
                <w:szCs w:val="18"/>
                <w:lang w:val="es-ES_tradnl"/>
              </w:rPr>
            </w:pPr>
            <w:r w:rsidRPr="009647D4">
              <w:rPr>
                <w:rFonts w:ascii="Arial" w:hAnsi="Arial" w:cs="Arial"/>
                <w:b/>
                <w:sz w:val="18"/>
                <w:szCs w:val="18"/>
                <w:lang w:val="es-ES_tradnl"/>
              </w:rPr>
              <w:t>EJECUCIÓN</w:t>
            </w:r>
          </w:p>
          <w:p w14:paraId="34FD98D4" w14:textId="77777777" w:rsidR="007E2F9F" w:rsidRPr="009647D4" w:rsidRDefault="007E2F9F" w:rsidP="006548F8">
            <w:pPr>
              <w:ind w:right="34"/>
              <w:jc w:val="center"/>
              <w:rPr>
                <w:rFonts w:ascii="Arial" w:hAnsi="Arial" w:cs="Arial"/>
                <w:b/>
                <w:sz w:val="18"/>
                <w:szCs w:val="18"/>
                <w:lang w:val="es-ES_tradnl"/>
              </w:rPr>
            </w:pPr>
            <w:r w:rsidRPr="009647D4">
              <w:rPr>
                <w:rFonts w:ascii="Arial" w:hAnsi="Arial" w:cs="Arial"/>
                <w:b/>
                <w:sz w:val="18"/>
                <w:szCs w:val="18"/>
                <w:lang w:val="es-ES_tradnl"/>
              </w:rPr>
              <w:t>COMPROMISOS</w:t>
            </w:r>
          </w:p>
          <w:p w14:paraId="7FDCDC2C" w14:textId="77777777" w:rsidR="007E2F9F" w:rsidRPr="009647D4" w:rsidRDefault="007E2F9F" w:rsidP="006548F8">
            <w:pPr>
              <w:ind w:right="34"/>
              <w:jc w:val="center"/>
              <w:rPr>
                <w:rFonts w:ascii="Arial" w:hAnsi="Arial" w:cs="Arial"/>
                <w:b/>
                <w:sz w:val="18"/>
                <w:szCs w:val="18"/>
                <w:lang w:val="es-ES_tradnl"/>
              </w:rPr>
            </w:pPr>
            <w:r w:rsidRPr="009647D4">
              <w:rPr>
                <w:rFonts w:ascii="Arial" w:hAnsi="Arial" w:cs="Arial"/>
                <w:b/>
                <w:sz w:val="18"/>
                <w:szCs w:val="18"/>
                <w:lang w:val="es-ES_tradnl"/>
              </w:rPr>
              <w:t>(2)</w:t>
            </w:r>
          </w:p>
        </w:tc>
        <w:tc>
          <w:tcPr>
            <w:tcW w:w="2238" w:type="dxa"/>
          </w:tcPr>
          <w:p w14:paraId="56F7780C" w14:textId="77777777" w:rsidR="007E2F9F" w:rsidRPr="009647D4" w:rsidRDefault="007E2F9F" w:rsidP="006548F8">
            <w:pPr>
              <w:ind w:left="25" w:right="34"/>
              <w:jc w:val="center"/>
              <w:rPr>
                <w:rFonts w:ascii="Arial" w:hAnsi="Arial" w:cs="Arial"/>
                <w:b/>
                <w:sz w:val="18"/>
                <w:szCs w:val="18"/>
                <w:lang w:val="es-ES_tradnl"/>
              </w:rPr>
            </w:pPr>
            <w:r w:rsidRPr="009647D4">
              <w:rPr>
                <w:rFonts w:ascii="Arial" w:hAnsi="Arial" w:cs="Arial"/>
                <w:b/>
                <w:sz w:val="18"/>
                <w:szCs w:val="18"/>
                <w:lang w:val="es-ES_tradnl"/>
              </w:rPr>
              <w:t>PÉRDIDAS DE</w:t>
            </w:r>
          </w:p>
          <w:p w14:paraId="6EC54C22" w14:textId="77777777" w:rsidR="007E2F9F" w:rsidRPr="009647D4" w:rsidRDefault="007E2F9F" w:rsidP="006548F8">
            <w:pPr>
              <w:ind w:right="34"/>
              <w:jc w:val="center"/>
              <w:rPr>
                <w:rFonts w:ascii="Arial" w:hAnsi="Arial" w:cs="Arial"/>
                <w:b/>
                <w:sz w:val="18"/>
                <w:szCs w:val="18"/>
                <w:lang w:val="es-ES_tradnl"/>
              </w:rPr>
            </w:pPr>
            <w:r w:rsidRPr="009647D4">
              <w:rPr>
                <w:rFonts w:ascii="Arial" w:hAnsi="Arial" w:cs="Arial"/>
                <w:b/>
                <w:sz w:val="18"/>
                <w:szCs w:val="18"/>
                <w:lang w:val="es-ES_tradnl"/>
              </w:rPr>
              <w:t>APROPIACIÓN</w:t>
            </w:r>
          </w:p>
          <w:p w14:paraId="2206A426" w14:textId="77777777" w:rsidR="007E2F9F" w:rsidRPr="009647D4" w:rsidRDefault="007E2F9F" w:rsidP="006548F8">
            <w:pPr>
              <w:ind w:right="34"/>
              <w:jc w:val="center"/>
              <w:rPr>
                <w:rFonts w:ascii="Arial" w:hAnsi="Arial" w:cs="Arial"/>
                <w:b/>
                <w:sz w:val="18"/>
                <w:szCs w:val="18"/>
                <w:lang w:val="es-ES_tradnl"/>
              </w:rPr>
            </w:pPr>
            <w:r w:rsidRPr="009647D4">
              <w:rPr>
                <w:rFonts w:ascii="Arial" w:hAnsi="Arial" w:cs="Arial"/>
                <w:b/>
                <w:sz w:val="18"/>
                <w:szCs w:val="18"/>
                <w:lang w:val="es-ES_tradnl"/>
              </w:rPr>
              <w:t>3 = (1-2)</w:t>
            </w:r>
          </w:p>
        </w:tc>
      </w:tr>
      <w:tr w:rsidR="007E2F9F" w:rsidRPr="009647D4" w14:paraId="22CC48B2" w14:textId="77777777" w:rsidTr="006548F8">
        <w:trPr>
          <w:trHeight w:val="230"/>
        </w:trPr>
        <w:tc>
          <w:tcPr>
            <w:tcW w:w="3544" w:type="dxa"/>
          </w:tcPr>
          <w:p w14:paraId="261A9050" w14:textId="77777777" w:rsidR="007E2F9F" w:rsidRPr="009647D4" w:rsidRDefault="007E2F9F" w:rsidP="006548F8">
            <w:pPr>
              <w:ind w:right="-1440"/>
              <w:jc w:val="both"/>
              <w:rPr>
                <w:rFonts w:ascii="Arial" w:hAnsi="Arial" w:cs="Arial"/>
                <w:b/>
                <w:bCs/>
                <w:sz w:val="18"/>
                <w:szCs w:val="18"/>
                <w:lang w:val="es-ES_tradnl"/>
              </w:rPr>
            </w:pPr>
            <w:r w:rsidRPr="009647D4">
              <w:rPr>
                <w:rFonts w:ascii="Arial" w:hAnsi="Arial" w:cs="Arial"/>
                <w:b/>
                <w:bCs/>
                <w:sz w:val="18"/>
                <w:szCs w:val="18"/>
                <w:lang w:val="es-ES_tradnl"/>
              </w:rPr>
              <w:t>FUNCIONAMIENTO</w:t>
            </w:r>
          </w:p>
        </w:tc>
        <w:tc>
          <w:tcPr>
            <w:tcW w:w="2354" w:type="dxa"/>
          </w:tcPr>
          <w:p w14:paraId="641F161E" w14:textId="77777777" w:rsidR="007E2F9F" w:rsidRPr="009647D4" w:rsidRDefault="007E2F9F" w:rsidP="006548F8">
            <w:pPr>
              <w:jc w:val="right"/>
              <w:rPr>
                <w:rFonts w:ascii="Arial" w:eastAsia="Calibri" w:hAnsi="Arial" w:cs="Arial"/>
                <w:b/>
                <w:bCs/>
                <w:sz w:val="18"/>
                <w:szCs w:val="18"/>
                <w:lang w:val="es-CO"/>
              </w:rPr>
            </w:pPr>
            <w:r w:rsidRPr="009647D4">
              <w:rPr>
                <w:rFonts w:ascii="Arial" w:eastAsia="Calibri" w:hAnsi="Arial" w:cs="Arial"/>
                <w:b/>
                <w:bCs/>
                <w:sz w:val="16"/>
                <w:szCs w:val="16"/>
                <w:lang w:val="es-CO"/>
              </w:rPr>
              <w:t>682.283.800</w:t>
            </w:r>
          </w:p>
        </w:tc>
        <w:tc>
          <w:tcPr>
            <w:tcW w:w="2354" w:type="dxa"/>
          </w:tcPr>
          <w:p w14:paraId="17A05A90" w14:textId="77777777" w:rsidR="007E2F9F" w:rsidRPr="009647D4" w:rsidRDefault="007E2F9F" w:rsidP="006548F8">
            <w:pPr>
              <w:pStyle w:val="Prrafodelista"/>
              <w:ind w:left="0"/>
              <w:jc w:val="right"/>
              <w:rPr>
                <w:rFonts w:ascii="Arial" w:hAnsi="Arial" w:cs="Arial"/>
                <w:b/>
                <w:bCs/>
                <w:sz w:val="18"/>
                <w:szCs w:val="18"/>
              </w:rPr>
            </w:pPr>
            <w:r w:rsidRPr="009647D4">
              <w:rPr>
                <w:rFonts w:ascii="Arial" w:eastAsia="Calibri" w:hAnsi="Arial" w:cs="Arial"/>
                <w:b/>
                <w:bCs/>
                <w:sz w:val="16"/>
                <w:szCs w:val="16"/>
                <w:lang w:val="es-CO"/>
              </w:rPr>
              <w:t>464.620.530</w:t>
            </w:r>
          </w:p>
        </w:tc>
        <w:tc>
          <w:tcPr>
            <w:tcW w:w="2238" w:type="dxa"/>
          </w:tcPr>
          <w:p w14:paraId="7DBEFBBC" w14:textId="77777777" w:rsidR="007E2F9F" w:rsidRPr="009647D4" w:rsidRDefault="007E2F9F" w:rsidP="006548F8">
            <w:pPr>
              <w:pStyle w:val="Prrafodelista"/>
              <w:ind w:left="0"/>
              <w:jc w:val="right"/>
              <w:rPr>
                <w:rFonts w:ascii="Arial" w:hAnsi="Arial" w:cs="Arial"/>
                <w:b/>
                <w:bCs/>
                <w:sz w:val="18"/>
                <w:szCs w:val="18"/>
              </w:rPr>
            </w:pPr>
            <w:r w:rsidRPr="009647D4">
              <w:rPr>
                <w:rFonts w:ascii="Arial" w:hAnsi="Arial" w:cs="Arial"/>
                <w:b/>
                <w:sz w:val="16"/>
                <w:szCs w:val="16"/>
              </w:rPr>
              <w:t>217.663.270</w:t>
            </w:r>
          </w:p>
        </w:tc>
      </w:tr>
      <w:tr w:rsidR="007E2F9F" w:rsidRPr="009647D4" w14:paraId="5C7B10FD" w14:textId="77777777" w:rsidTr="006548F8">
        <w:trPr>
          <w:trHeight w:val="230"/>
        </w:trPr>
        <w:tc>
          <w:tcPr>
            <w:tcW w:w="3544" w:type="dxa"/>
          </w:tcPr>
          <w:p w14:paraId="120D8FA3" w14:textId="77777777" w:rsidR="007E2F9F" w:rsidRPr="009647D4" w:rsidRDefault="007E2F9F" w:rsidP="006548F8">
            <w:pPr>
              <w:ind w:right="-1440"/>
              <w:jc w:val="both"/>
              <w:rPr>
                <w:rFonts w:ascii="Arial" w:hAnsi="Arial" w:cs="Arial"/>
                <w:b/>
                <w:bCs/>
                <w:sz w:val="18"/>
                <w:szCs w:val="18"/>
                <w:lang w:val="es-ES_tradnl"/>
              </w:rPr>
            </w:pPr>
            <w:r w:rsidRPr="009647D4">
              <w:rPr>
                <w:rFonts w:ascii="Arial" w:hAnsi="Arial" w:cs="Arial"/>
                <w:b/>
                <w:bCs/>
                <w:sz w:val="18"/>
                <w:szCs w:val="18"/>
                <w:lang w:val="es-ES_tradnl"/>
              </w:rPr>
              <w:t>NVERSIÓN</w:t>
            </w:r>
          </w:p>
        </w:tc>
        <w:tc>
          <w:tcPr>
            <w:tcW w:w="2354" w:type="dxa"/>
          </w:tcPr>
          <w:p w14:paraId="2D4C11D2" w14:textId="77777777" w:rsidR="007E2F9F" w:rsidRPr="009647D4" w:rsidRDefault="007E2F9F" w:rsidP="006548F8">
            <w:pPr>
              <w:jc w:val="right"/>
              <w:rPr>
                <w:rFonts w:ascii="Arial" w:eastAsia="Calibri" w:hAnsi="Arial" w:cs="Arial"/>
                <w:b/>
                <w:bCs/>
                <w:sz w:val="18"/>
                <w:szCs w:val="18"/>
                <w:lang w:val="es-CO"/>
              </w:rPr>
            </w:pPr>
            <w:r w:rsidRPr="009647D4">
              <w:rPr>
                <w:rFonts w:ascii="Arial" w:eastAsia="Calibri" w:hAnsi="Arial" w:cs="Arial"/>
                <w:sz w:val="16"/>
                <w:szCs w:val="16"/>
                <w:lang w:val="es-CO"/>
              </w:rPr>
              <w:t>150.971.884</w:t>
            </w:r>
          </w:p>
        </w:tc>
        <w:tc>
          <w:tcPr>
            <w:tcW w:w="2354" w:type="dxa"/>
          </w:tcPr>
          <w:p w14:paraId="5A546234" w14:textId="77777777" w:rsidR="007E2F9F" w:rsidRPr="009647D4" w:rsidRDefault="007E2F9F" w:rsidP="006548F8">
            <w:pPr>
              <w:pStyle w:val="Prrafodelista"/>
              <w:ind w:left="0"/>
              <w:jc w:val="right"/>
              <w:rPr>
                <w:rFonts w:ascii="Arial" w:eastAsia="Calibri" w:hAnsi="Arial" w:cs="Arial"/>
                <w:b/>
                <w:bCs/>
                <w:sz w:val="18"/>
                <w:szCs w:val="18"/>
                <w:lang w:val="es-CO"/>
              </w:rPr>
            </w:pPr>
            <w:r w:rsidRPr="009647D4">
              <w:rPr>
                <w:rFonts w:ascii="Arial" w:eastAsia="Calibri" w:hAnsi="Arial" w:cs="Arial"/>
                <w:sz w:val="16"/>
                <w:szCs w:val="16"/>
                <w:lang w:val="es-CO"/>
              </w:rPr>
              <w:t>136.834.063</w:t>
            </w:r>
          </w:p>
        </w:tc>
        <w:tc>
          <w:tcPr>
            <w:tcW w:w="2238" w:type="dxa"/>
          </w:tcPr>
          <w:p w14:paraId="72485894" w14:textId="77777777" w:rsidR="007E2F9F" w:rsidRPr="009647D4" w:rsidRDefault="007E2F9F" w:rsidP="006548F8">
            <w:pPr>
              <w:pStyle w:val="Prrafodelista"/>
              <w:ind w:left="0"/>
              <w:jc w:val="right"/>
              <w:rPr>
                <w:rFonts w:ascii="Arial" w:hAnsi="Arial" w:cs="Arial"/>
                <w:b/>
                <w:bCs/>
                <w:sz w:val="18"/>
                <w:szCs w:val="18"/>
              </w:rPr>
            </w:pPr>
            <w:r w:rsidRPr="009647D4">
              <w:rPr>
                <w:rFonts w:ascii="Arial" w:hAnsi="Arial" w:cs="Arial"/>
                <w:b/>
                <w:sz w:val="16"/>
                <w:szCs w:val="16"/>
              </w:rPr>
              <w:t>14.137.821</w:t>
            </w:r>
          </w:p>
        </w:tc>
      </w:tr>
      <w:tr w:rsidR="007E2F9F" w:rsidRPr="009647D4" w14:paraId="652798D0" w14:textId="77777777" w:rsidTr="006548F8">
        <w:tc>
          <w:tcPr>
            <w:tcW w:w="3544" w:type="dxa"/>
          </w:tcPr>
          <w:p w14:paraId="7847910C" w14:textId="77777777" w:rsidR="007E2F9F" w:rsidRPr="009647D4" w:rsidRDefault="007E2F9F" w:rsidP="006548F8">
            <w:pPr>
              <w:ind w:right="-1440"/>
              <w:jc w:val="both"/>
              <w:rPr>
                <w:rFonts w:ascii="Arial" w:hAnsi="Arial" w:cs="Arial"/>
                <w:b/>
                <w:bCs/>
                <w:sz w:val="18"/>
                <w:szCs w:val="18"/>
                <w:lang w:val="es-ES_tradnl"/>
              </w:rPr>
            </w:pPr>
            <w:r w:rsidRPr="009647D4">
              <w:rPr>
                <w:rFonts w:ascii="Arial" w:hAnsi="Arial" w:cs="Arial"/>
                <w:b/>
                <w:bCs/>
                <w:sz w:val="18"/>
                <w:szCs w:val="18"/>
                <w:lang w:val="es-ES_tradnl"/>
              </w:rPr>
              <w:t>TOTAL PÉRDIDAS DE APROPIACIÓN</w:t>
            </w:r>
          </w:p>
        </w:tc>
        <w:tc>
          <w:tcPr>
            <w:tcW w:w="2354" w:type="dxa"/>
          </w:tcPr>
          <w:p w14:paraId="6C948313" w14:textId="77777777" w:rsidR="007E2F9F" w:rsidRPr="009647D4" w:rsidRDefault="007E2F9F" w:rsidP="006548F8">
            <w:pPr>
              <w:pStyle w:val="Prrafodelista"/>
              <w:ind w:left="0"/>
              <w:jc w:val="right"/>
              <w:rPr>
                <w:rFonts w:ascii="Arial" w:hAnsi="Arial" w:cs="Arial"/>
                <w:b/>
                <w:bCs/>
                <w:sz w:val="18"/>
                <w:szCs w:val="18"/>
                <w:u w:val="single"/>
              </w:rPr>
            </w:pPr>
            <w:r w:rsidRPr="009647D4">
              <w:rPr>
                <w:rFonts w:ascii="Arial" w:eastAsia="Calibri" w:hAnsi="Arial" w:cs="Arial"/>
                <w:b/>
                <w:sz w:val="16"/>
                <w:szCs w:val="16"/>
                <w:lang w:val="es-CO"/>
              </w:rPr>
              <w:t>833.255.684</w:t>
            </w:r>
          </w:p>
        </w:tc>
        <w:tc>
          <w:tcPr>
            <w:tcW w:w="2354" w:type="dxa"/>
          </w:tcPr>
          <w:p w14:paraId="18756AB6" w14:textId="77777777" w:rsidR="007E2F9F" w:rsidRPr="009647D4" w:rsidRDefault="007E2F9F" w:rsidP="006548F8">
            <w:pPr>
              <w:pStyle w:val="Prrafodelista"/>
              <w:ind w:left="0"/>
              <w:jc w:val="right"/>
              <w:rPr>
                <w:rFonts w:ascii="Arial" w:hAnsi="Arial" w:cs="Arial"/>
                <w:b/>
                <w:bCs/>
                <w:sz w:val="18"/>
                <w:szCs w:val="18"/>
                <w:u w:val="single"/>
              </w:rPr>
            </w:pPr>
            <w:r w:rsidRPr="009647D4">
              <w:rPr>
                <w:rFonts w:ascii="Arial" w:eastAsia="Calibri" w:hAnsi="Arial" w:cs="Arial"/>
                <w:b/>
                <w:sz w:val="16"/>
                <w:szCs w:val="16"/>
                <w:lang w:val="es-CO"/>
              </w:rPr>
              <w:t>601.454.593</w:t>
            </w:r>
          </w:p>
        </w:tc>
        <w:tc>
          <w:tcPr>
            <w:tcW w:w="2238" w:type="dxa"/>
          </w:tcPr>
          <w:p w14:paraId="6B8B96DD" w14:textId="77777777" w:rsidR="007E2F9F" w:rsidRPr="009647D4" w:rsidRDefault="007E2F9F" w:rsidP="006548F8">
            <w:pPr>
              <w:pStyle w:val="Prrafodelista"/>
              <w:ind w:left="0"/>
              <w:jc w:val="right"/>
              <w:rPr>
                <w:rFonts w:ascii="Arial" w:hAnsi="Arial" w:cs="Arial"/>
                <w:b/>
                <w:bCs/>
                <w:sz w:val="18"/>
                <w:szCs w:val="18"/>
                <w:u w:val="single"/>
              </w:rPr>
            </w:pPr>
            <w:r w:rsidRPr="009647D4">
              <w:rPr>
                <w:rFonts w:ascii="Arial" w:hAnsi="Arial" w:cs="Arial"/>
                <w:b/>
                <w:sz w:val="16"/>
                <w:szCs w:val="16"/>
                <w:u w:val="single"/>
              </w:rPr>
              <w:t>231.801.091</w:t>
            </w:r>
          </w:p>
        </w:tc>
      </w:tr>
    </w:tbl>
    <w:p w14:paraId="3B1E5F92" w14:textId="77777777" w:rsidR="007E2F9F" w:rsidRDefault="007E2F9F" w:rsidP="007E2F9F">
      <w:pPr>
        <w:pStyle w:val="Prrafodelista"/>
        <w:ind w:left="-142"/>
        <w:rPr>
          <w:b/>
          <w:sz w:val="24"/>
        </w:rPr>
      </w:pPr>
    </w:p>
    <w:p w14:paraId="17452F1F" w14:textId="77777777" w:rsidR="007E2F9F" w:rsidRPr="00EC7EA8" w:rsidRDefault="007E2F9F" w:rsidP="007E2F9F">
      <w:pPr>
        <w:ind w:left="-284" w:right="-234"/>
        <w:jc w:val="both"/>
        <w:rPr>
          <w:rFonts w:ascii="Arial" w:hAnsi="Arial" w:cs="Arial"/>
          <w:b/>
          <w:sz w:val="28"/>
          <w:szCs w:val="28"/>
          <w:lang w:val="es-MX"/>
        </w:rPr>
      </w:pPr>
      <w:r w:rsidRPr="00EC7EA8">
        <w:rPr>
          <w:rFonts w:ascii="Arial" w:hAnsi="Arial" w:cs="Arial"/>
          <w:b/>
          <w:sz w:val="28"/>
          <w:szCs w:val="28"/>
          <w:lang w:val="es-MX"/>
        </w:rPr>
        <w:t>348.- CORPORACION PARA EL DESARROLLO SOSTENIBLE DEL NORTE Y EL ORIENTE AMAZONICO - C.D.A.</w:t>
      </w:r>
    </w:p>
    <w:p w14:paraId="542D6BE3" w14:textId="77777777" w:rsidR="007E2F9F" w:rsidRDefault="007E2F9F" w:rsidP="007E2F9F">
      <w:pPr>
        <w:ind w:left="-284" w:right="-234"/>
        <w:rPr>
          <w:rFonts w:ascii="Arial" w:eastAsia="Calibri" w:hAnsi="Arial" w:cs="Arial"/>
          <w:b/>
          <w:u w:val="single"/>
          <w:lang w:val="es-MX"/>
        </w:rPr>
      </w:pPr>
    </w:p>
    <w:p w14:paraId="6D90C312"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598810C"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69B9EC6"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EC7EA8" w14:paraId="09986D4E" w14:textId="77777777" w:rsidTr="006548F8">
        <w:tc>
          <w:tcPr>
            <w:tcW w:w="3544" w:type="dxa"/>
          </w:tcPr>
          <w:p w14:paraId="3B26DD9C" w14:textId="77777777" w:rsidR="007E2F9F" w:rsidRPr="00EC7EA8" w:rsidRDefault="007E2F9F" w:rsidP="006548F8">
            <w:pPr>
              <w:ind w:left="1169" w:right="-1440"/>
              <w:rPr>
                <w:rFonts w:ascii="Arial" w:hAnsi="Arial" w:cs="Arial"/>
                <w:b/>
                <w:sz w:val="18"/>
                <w:szCs w:val="18"/>
                <w:lang w:val="es-ES_tradnl"/>
              </w:rPr>
            </w:pPr>
            <w:r w:rsidRPr="00EC7EA8">
              <w:rPr>
                <w:rFonts w:ascii="Arial" w:hAnsi="Arial" w:cs="Arial"/>
                <w:b/>
                <w:sz w:val="18"/>
                <w:szCs w:val="18"/>
                <w:lang w:val="es-ES_tradnl"/>
              </w:rPr>
              <w:t>TIPO DE GASTO</w:t>
            </w:r>
          </w:p>
        </w:tc>
        <w:tc>
          <w:tcPr>
            <w:tcW w:w="2354" w:type="dxa"/>
          </w:tcPr>
          <w:p w14:paraId="5D106EAE" w14:textId="77777777" w:rsidR="007E2F9F" w:rsidRPr="00EC7EA8" w:rsidRDefault="007E2F9F" w:rsidP="006548F8">
            <w:pPr>
              <w:jc w:val="center"/>
              <w:rPr>
                <w:rFonts w:ascii="Arial" w:hAnsi="Arial" w:cs="Arial"/>
                <w:b/>
                <w:sz w:val="18"/>
                <w:szCs w:val="18"/>
                <w:lang w:val="es-ES_tradnl"/>
              </w:rPr>
            </w:pPr>
            <w:r w:rsidRPr="00EC7EA8">
              <w:rPr>
                <w:rFonts w:ascii="Arial" w:hAnsi="Arial" w:cs="Arial"/>
                <w:b/>
                <w:sz w:val="18"/>
                <w:szCs w:val="18"/>
                <w:lang w:val="es-ES_tradnl"/>
              </w:rPr>
              <w:t>APROPIACIÓN</w:t>
            </w:r>
          </w:p>
          <w:p w14:paraId="5A72EE37" w14:textId="77777777" w:rsidR="007E2F9F" w:rsidRPr="00EC7EA8" w:rsidRDefault="007E2F9F" w:rsidP="006548F8">
            <w:pPr>
              <w:jc w:val="center"/>
              <w:rPr>
                <w:rFonts w:ascii="Arial" w:hAnsi="Arial" w:cs="Arial"/>
                <w:b/>
                <w:sz w:val="18"/>
                <w:szCs w:val="18"/>
                <w:lang w:val="es-ES_tradnl"/>
              </w:rPr>
            </w:pPr>
            <w:r w:rsidRPr="00EC7EA8">
              <w:rPr>
                <w:rFonts w:ascii="Arial" w:hAnsi="Arial" w:cs="Arial"/>
                <w:b/>
                <w:sz w:val="18"/>
                <w:szCs w:val="18"/>
                <w:lang w:val="es-ES_tradnl"/>
              </w:rPr>
              <w:t>DEFINITIVA</w:t>
            </w:r>
          </w:p>
          <w:p w14:paraId="06298821" w14:textId="77777777" w:rsidR="007E2F9F" w:rsidRPr="00EC7EA8" w:rsidRDefault="007E2F9F" w:rsidP="006548F8">
            <w:pPr>
              <w:jc w:val="center"/>
              <w:rPr>
                <w:rFonts w:ascii="Arial" w:hAnsi="Arial" w:cs="Arial"/>
                <w:b/>
                <w:sz w:val="18"/>
                <w:szCs w:val="18"/>
                <w:lang w:val="es-ES_tradnl"/>
              </w:rPr>
            </w:pPr>
            <w:r w:rsidRPr="00EC7EA8">
              <w:rPr>
                <w:rFonts w:ascii="Arial" w:hAnsi="Arial" w:cs="Arial"/>
                <w:b/>
                <w:sz w:val="18"/>
                <w:szCs w:val="18"/>
                <w:lang w:val="es-ES_tradnl"/>
              </w:rPr>
              <w:t>(1)</w:t>
            </w:r>
          </w:p>
          <w:p w14:paraId="02580CCB" w14:textId="77777777" w:rsidR="007E2F9F" w:rsidRPr="00EC7EA8" w:rsidRDefault="007E2F9F" w:rsidP="006548F8">
            <w:pPr>
              <w:jc w:val="center"/>
              <w:rPr>
                <w:rFonts w:ascii="Arial" w:hAnsi="Arial" w:cs="Arial"/>
                <w:b/>
                <w:sz w:val="18"/>
                <w:szCs w:val="18"/>
                <w:lang w:val="es-ES_tradnl"/>
              </w:rPr>
            </w:pPr>
          </w:p>
        </w:tc>
        <w:tc>
          <w:tcPr>
            <w:tcW w:w="2354" w:type="dxa"/>
          </w:tcPr>
          <w:p w14:paraId="06EF8112" w14:textId="77777777" w:rsidR="007E2F9F" w:rsidRPr="00EC7EA8" w:rsidRDefault="007E2F9F" w:rsidP="006548F8">
            <w:pPr>
              <w:ind w:left="145" w:right="184"/>
              <w:jc w:val="center"/>
              <w:rPr>
                <w:rFonts w:ascii="Arial" w:hAnsi="Arial" w:cs="Arial"/>
                <w:b/>
                <w:sz w:val="18"/>
                <w:szCs w:val="18"/>
                <w:lang w:val="es-ES_tradnl"/>
              </w:rPr>
            </w:pPr>
            <w:r w:rsidRPr="00EC7EA8">
              <w:rPr>
                <w:rFonts w:ascii="Arial" w:hAnsi="Arial" w:cs="Arial"/>
                <w:b/>
                <w:sz w:val="18"/>
                <w:szCs w:val="18"/>
                <w:lang w:val="es-ES_tradnl"/>
              </w:rPr>
              <w:t>EJECUCIÓN</w:t>
            </w:r>
          </w:p>
          <w:p w14:paraId="2D37414C" w14:textId="77777777" w:rsidR="007E2F9F" w:rsidRPr="00EC7EA8" w:rsidRDefault="007E2F9F" w:rsidP="006548F8">
            <w:pPr>
              <w:ind w:right="34"/>
              <w:jc w:val="center"/>
              <w:rPr>
                <w:rFonts w:ascii="Arial" w:hAnsi="Arial" w:cs="Arial"/>
                <w:b/>
                <w:sz w:val="18"/>
                <w:szCs w:val="18"/>
                <w:lang w:val="es-ES_tradnl"/>
              </w:rPr>
            </w:pPr>
            <w:r w:rsidRPr="00EC7EA8">
              <w:rPr>
                <w:rFonts w:ascii="Arial" w:hAnsi="Arial" w:cs="Arial"/>
                <w:b/>
                <w:sz w:val="18"/>
                <w:szCs w:val="18"/>
                <w:lang w:val="es-ES_tradnl"/>
              </w:rPr>
              <w:t>COMPROMISOS</w:t>
            </w:r>
          </w:p>
          <w:p w14:paraId="3BD0BC18" w14:textId="77777777" w:rsidR="007E2F9F" w:rsidRPr="00EC7EA8" w:rsidRDefault="007E2F9F" w:rsidP="006548F8">
            <w:pPr>
              <w:ind w:right="34"/>
              <w:jc w:val="center"/>
              <w:rPr>
                <w:rFonts w:ascii="Arial" w:hAnsi="Arial" w:cs="Arial"/>
                <w:b/>
                <w:sz w:val="18"/>
                <w:szCs w:val="18"/>
                <w:lang w:val="es-ES_tradnl"/>
              </w:rPr>
            </w:pPr>
            <w:r w:rsidRPr="00EC7EA8">
              <w:rPr>
                <w:rFonts w:ascii="Arial" w:hAnsi="Arial" w:cs="Arial"/>
                <w:b/>
                <w:sz w:val="18"/>
                <w:szCs w:val="18"/>
                <w:lang w:val="es-ES_tradnl"/>
              </w:rPr>
              <w:t>(2)</w:t>
            </w:r>
          </w:p>
        </w:tc>
        <w:tc>
          <w:tcPr>
            <w:tcW w:w="2238" w:type="dxa"/>
          </w:tcPr>
          <w:p w14:paraId="51CCB7DA" w14:textId="77777777" w:rsidR="007E2F9F" w:rsidRPr="00EC7EA8" w:rsidRDefault="007E2F9F" w:rsidP="006548F8">
            <w:pPr>
              <w:ind w:left="25" w:right="34"/>
              <w:jc w:val="center"/>
              <w:rPr>
                <w:rFonts w:ascii="Arial" w:hAnsi="Arial" w:cs="Arial"/>
                <w:b/>
                <w:sz w:val="18"/>
                <w:szCs w:val="18"/>
                <w:lang w:val="es-ES_tradnl"/>
              </w:rPr>
            </w:pPr>
            <w:r w:rsidRPr="00EC7EA8">
              <w:rPr>
                <w:rFonts w:ascii="Arial" w:hAnsi="Arial" w:cs="Arial"/>
                <w:b/>
                <w:sz w:val="18"/>
                <w:szCs w:val="18"/>
                <w:lang w:val="es-ES_tradnl"/>
              </w:rPr>
              <w:t>PÉRDIDAS DE</w:t>
            </w:r>
          </w:p>
          <w:p w14:paraId="35B60129" w14:textId="77777777" w:rsidR="007E2F9F" w:rsidRPr="00EC7EA8" w:rsidRDefault="007E2F9F" w:rsidP="006548F8">
            <w:pPr>
              <w:ind w:right="34"/>
              <w:jc w:val="center"/>
              <w:rPr>
                <w:rFonts w:ascii="Arial" w:hAnsi="Arial" w:cs="Arial"/>
                <w:b/>
                <w:sz w:val="18"/>
                <w:szCs w:val="18"/>
                <w:lang w:val="es-ES_tradnl"/>
              </w:rPr>
            </w:pPr>
            <w:r w:rsidRPr="00EC7EA8">
              <w:rPr>
                <w:rFonts w:ascii="Arial" w:hAnsi="Arial" w:cs="Arial"/>
                <w:b/>
                <w:sz w:val="18"/>
                <w:szCs w:val="18"/>
                <w:lang w:val="es-ES_tradnl"/>
              </w:rPr>
              <w:t>APROPIACIÓN</w:t>
            </w:r>
          </w:p>
          <w:p w14:paraId="22574901" w14:textId="77777777" w:rsidR="007E2F9F" w:rsidRPr="00EC7EA8" w:rsidRDefault="007E2F9F" w:rsidP="006548F8">
            <w:pPr>
              <w:ind w:right="34"/>
              <w:jc w:val="center"/>
              <w:rPr>
                <w:rFonts w:ascii="Arial" w:hAnsi="Arial" w:cs="Arial"/>
                <w:b/>
                <w:sz w:val="18"/>
                <w:szCs w:val="18"/>
                <w:lang w:val="es-ES_tradnl"/>
              </w:rPr>
            </w:pPr>
            <w:r w:rsidRPr="00EC7EA8">
              <w:rPr>
                <w:rFonts w:ascii="Arial" w:hAnsi="Arial" w:cs="Arial"/>
                <w:b/>
                <w:sz w:val="18"/>
                <w:szCs w:val="18"/>
                <w:lang w:val="es-ES_tradnl"/>
              </w:rPr>
              <w:t>3 = (1-2)</w:t>
            </w:r>
          </w:p>
        </w:tc>
      </w:tr>
      <w:tr w:rsidR="007E2F9F" w:rsidRPr="00EC7EA8" w14:paraId="474EF6DC" w14:textId="77777777" w:rsidTr="006548F8">
        <w:trPr>
          <w:trHeight w:val="230"/>
        </w:trPr>
        <w:tc>
          <w:tcPr>
            <w:tcW w:w="3544" w:type="dxa"/>
          </w:tcPr>
          <w:p w14:paraId="37A5F6D1" w14:textId="77777777" w:rsidR="007E2F9F" w:rsidRPr="00EC7EA8" w:rsidRDefault="007E2F9F" w:rsidP="006548F8">
            <w:pPr>
              <w:ind w:right="-1440"/>
              <w:jc w:val="both"/>
              <w:rPr>
                <w:rFonts w:ascii="Arial" w:hAnsi="Arial" w:cs="Arial"/>
                <w:b/>
                <w:bCs/>
                <w:sz w:val="18"/>
                <w:szCs w:val="18"/>
                <w:lang w:val="es-ES_tradnl"/>
              </w:rPr>
            </w:pPr>
            <w:r w:rsidRPr="00EC7EA8">
              <w:rPr>
                <w:rFonts w:ascii="Arial" w:hAnsi="Arial" w:cs="Arial"/>
                <w:b/>
                <w:bCs/>
                <w:sz w:val="18"/>
                <w:szCs w:val="18"/>
                <w:lang w:val="es-ES_tradnl"/>
              </w:rPr>
              <w:t>FUNCIONAMIENTO</w:t>
            </w:r>
          </w:p>
        </w:tc>
        <w:tc>
          <w:tcPr>
            <w:tcW w:w="2354" w:type="dxa"/>
            <w:vAlign w:val="center"/>
          </w:tcPr>
          <w:p w14:paraId="74FA9394" w14:textId="77777777" w:rsidR="007E2F9F" w:rsidRPr="00EC7EA8" w:rsidRDefault="007E2F9F" w:rsidP="006548F8">
            <w:pPr>
              <w:jc w:val="right"/>
              <w:rPr>
                <w:rFonts w:ascii="Arial" w:eastAsia="Calibri" w:hAnsi="Arial" w:cs="Arial"/>
                <w:b/>
                <w:bCs/>
                <w:sz w:val="18"/>
                <w:szCs w:val="18"/>
                <w:lang w:val="es-CO"/>
              </w:rPr>
            </w:pPr>
            <w:r w:rsidRPr="00EC7EA8">
              <w:rPr>
                <w:rFonts w:ascii="Arial" w:eastAsia="Calibri" w:hAnsi="Arial" w:cs="Arial"/>
                <w:b/>
                <w:sz w:val="16"/>
                <w:szCs w:val="16"/>
                <w:lang w:val="es-CO"/>
              </w:rPr>
              <w:t>4,496,079</w:t>
            </w:r>
          </w:p>
        </w:tc>
        <w:tc>
          <w:tcPr>
            <w:tcW w:w="2354" w:type="dxa"/>
            <w:vAlign w:val="center"/>
          </w:tcPr>
          <w:p w14:paraId="4BFC84EF" w14:textId="77777777" w:rsidR="007E2F9F" w:rsidRPr="00EC7EA8" w:rsidRDefault="007E2F9F" w:rsidP="006548F8">
            <w:pPr>
              <w:pStyle w:val="Prrafodelista"/>
              <w:ind w:left="0"/>
              <w:jc w:val="right"/>
              <w:rPr>
                <w:rFonts w:ascii="Arial" w:hAnsi="Arial" w:cs="Arial"/>
                <w:b/>
                <w:bCs/>
                <w:sz w:val="18"/>
                <w:szCs w:val="18"/>
              </w:rPr>
            </w:pPr>
            <w:r w:rsidRPr="00EC7EA8">
              <w:rPr>
                <w:rFonts w:ascii="Arial" w:eastAsia="Calibri" w:hAnsi="Arial" w:cs="Arial"/>
                <w:b/>
                <w:sz w:val="16"/>
                <w:szCs w:val="16"/>
                <w:lang w:val="es-CO"/>
              </w:rPr>
              <w:t>4,240,986</w:t>
            </w:r>
          </w:p>
        </w:tc>
        <w:tc>
          <w:tcPr>
            <w:tcW w:w="2238" w:type="dxa"/>
            <w:vAlign w:val="center"/>
          </w:tcPr>
          <w:p w14:paraId="31849B84" w14:textId="77777777" w:rsidR="007E2F9F" w:rsidRPr="00EC7EA8" w:rsidRDefault="007E2F9F" w:rsidP="006548F8">
            <w:pPr>
              <w:pStyle w:val="Prrafodelista"/>
              <w:ind w:left="0"/>
              <w:jc w:val="right"/>
              <w:rPr>
                <w:rFonts w:ascii="Arial" w:hAnsi="Arial" w:cs="Arial"/>
                <w:b/>
                <w:bCs/>
                <w:sz w:val="18"/>
                <w:szCs w:val="18"/>
              </w:rPr>
            </w:pPr>
            <w:r w:rsidRPr="00EC7EA8">
              <w:rPr>
                <w:rFonts w:ascii="Arial" w:hAnsi="Arial" w:cs="Arial"/>
                <w:b/>
                <w:sz w:val="16"/>
                <w:szCs w:val="16"/>
              </w:rPr>
              <w:t>255,094</w:t>
            </w:r>
          </w:p>
        </w:tc>
      </w:tr>
      <w:tr w:rsidR="007E2F9F" w:rsidRPr="00EC7EA8" w14:paraId="779B205B" w14:textId="77777777" w:rsidTr="006548F8">
        <w:trPr>
          <w:trHeight w:val="230"/>
        </w:trPr>
        <w:tc>
          <w:tcPr>
            <w:tcW w:w="3544" w:type="dxa"/>
          </w:tcPr>
          <w:p w14:paraId="3B6142F1" w14:textId="77777777" w:rsidR="007E2F9F" w:rsidRPr="00EC7EA8" w:rsidRDefault="007E2F9F" w:rsidP="006548F8">
            <w:pPr>
              <w:ind w:right="-1440"/>
              <w:jc w:val="both"/>
              <w:rPr>
                <w:rFonts w:ascii="Arial" w:hAnsi="Arial" w:cs="Arial"/>
                <w:b/>
                <w:bCs/>
                <w:sz w:val="18"/>
                <w:szCs w:val="18"/>
                <w:lang w:val="es-ES_tradnl"/>
              </w:rPr>
            </w:pPr>
            <w:r w:rsidRPr="00EC7EA8">
              <w:rPr>
                <w:rFonts w:ascii="Arial" w:hAnsi="Arial" w:cs="Arial"/>
                <w:b/>
                <w:bCs/>
                <w:sz w:val="18"/>
                <w:szCs w:val="18"/>
                <w:lang w:val="es-ES_tradnl"/>
              </w:rPr>
              <w:t>NVERSIÓN</w:t>
            </w:r>
          </w:p>
        </w:tc>
        <w:tc>
          <w:tcPr>
            <w:tcW w:w="2354" w:type="dxa"/>
            <w:vAlign w:val="center"/>
          </w:tcPr>
          <w:p w14:paraId="1D51FC68" w14:textId="77777777" w:rsidR="007E2F9F" w:rsidRPr="00EC7EA8" w:rsidRDefault="007E2F9F" w:rsidP="006548F8">
            <w:pPr>
              <w:jc w:val="right"/>
              <w:rPr>
                <w:rFonts w:ascii="Arial" w:eastAsia="Calibri" w:hAnsi="Arial" w:cs="Arial"/>
                <w:b/>
                <w:bCs/>
                <w:sz w:val="18"/>
                <w:szCs w:val="18"/>
                <w:lang w:val="es-CO"/>
              </w:rPr>
            </w:pPr>
            <w:r w:rsidRPr="00EC7EA8">
              <w:rPr>
                <w:rFonts w:ascii="Arial" w:eastAsia="Calibri" w:hAnsi="Arial" w:cs="Arial"/>
                <w:b/>
                <w:sz w:val="16"/>
                <w:szCs w:val="16"/>
                <w:lang w:val="es-CO"/>
              </w:rPr>
              <w:t>7,272,580</w:t>
            </w:r>
          </w:p>
        </w:tc>
        <w:tc>
          <w:tcPr>
            <w:tcW w:w="2354" w:type="dxa"/>
            <w:vAlign w:val="center"/>
          </w:tcPr>
          <w:p w14:paraId="6D4CE7FD" w14:textId="77777777" w:rsidR="007E2F9F" w:rsidRPr="00EC7EA8" w:rsidRDefault="007E2F9F" w:rsidP="006548F8">
            <w:pPr>
              <w:pStyle w:val="Prrafodelista"/>
              <w:ind w:left="0"/>
              <w:jc w:val="right"/>
              <w:rPr>
                <w:rFonts w:ascii="Arial" w:eastAsia="Calibri" w:hAnsi="Arial" w:cs="Arial"/>
                <w:b/>
                <w:bCs/>
                <w:sz w:val="18"/>
                <w:szCs w:val="18"/>
                <w:lang w:val="es-CO"/>
              </w:rPr>
            </w:pPr>
            <w:r w:rsidRPr="00EC7EA8">
              <w:rPr>
                <w:rFonts w:ascii="Arial" w:eastAsia="Calibri" w:hAnsi="Arial" w:cs="Arial"/>
                <w:b/>
                <w:sz w:val="16"/>
                <w:szCs w:val="16"/>
                <w:lang w:val="es-CO"/>
              </w:rPr>
              <w:t>7,265,107</w:t>
            </w:r>
          </w:p>
        </w:tc>
        <w:tc>
          <w:tcPr>
            <w:tcW w:w="2238" w:type="dxa"/>
            <w:vAlign w:val="center"/>
          </w:tcPr>
          <w:p w14:paraId="3A6CB651" w14:textId="77777777" w:rsidR="007E2F9F" w:rsidRPr="00EC7EA8" w:rsidRDefault="007E2F9F" w:rsidP="006548F8">
            <w:pPr>
              <w:pStyle w:val="Prrafodelista"/>
              <w:ind w:left="0"/>
              <w:jc w:val="right"/>
              <w:rPr>
                <w:rFonts w:ascii="Arial" w:hAnsi="Arial" w:cs="Arial"/>
                <w:b/>
                <w:bCs/>
                <w:sz w:val="18"/>
                <w:szCs w:val="18"/>
              </w:rPr>
            </w:pPr>
            <w:r w:rsidRPr="00EC7EA8">
              <w:rPr>
                <w:rFonts w:ascii="Arial" w:hAnsi="Arial" w:cs="Arial"/>
                <w:b/>
                <w:sz w:val="16"/>
                <w:szCs w:val="16"/>
              </w:rPr>
              <w:t>7,473</w:t>
            </w:r>
          </w:p>
        </w:tc>
      </w:tr>
      <w:tr w:rsidR="007E2F9F" w:rsidRPr="00EC7EA8" w14:paraId="0DF48901" w14:textId="77777777" w:rsidTr="006548F8">
        <w:tc>
          <w:tcPr>
            <w:tcW w:w="3544" w:type="dxa"/>
          </w:tcPr>
          <w:p w14:paraId="15354895" w14:textId="77777777" w:rsidR="007E2F9F" w:rsidRPr="00EC7EA8" w:rsidRDefault="007E2F9F" w:rsidP="006548F8">
            <w:pPr>
              <w:ind w:right="-1440"/>
              <w:jc w:val="both"/>
              <w:rPr>
                <w:rFonts w:ascii="Arial" w:hAnsi="Arial" w:cs="Arial"/>
                <w:b/>
                <w:bCs/>
                <w:sz w:val="18"/>
                <w:szCs w:val="18"/>
                <w:lang w:val="es-ES_tradnl"/>
              </w:rPr>
            </w:pPr>
            <w:r w:rsidRPr="00EC7EA8">
              <w:rPr>
                <w:rFonts w:ascii="Arial" w:hAnsi="Arial" w:cs="Arial"/>
                <w:b/>
                <w:bCs/>
                <w:sz w:val="18"/>
                <w:szCs w:val="18"/>
                <w:lang w:val="es-ES_tradnl"/>
              </w:rPr>
              <w:t>TOTAL PÉRDIDAS DE APROPIACIÓN</w:t>
            </w:r>
          </w:p>
        </w:tc>
        <w:tc>
          <w:tcPr>
            <w:tcW w:w="2354" w:type="dxa"/>
            <w:vAlign w:val="center"/>
          </w:tcPr>
          <w:p w14:paraId="382E49FB" w14:textId="77777777" w:rsidR="007E2F9F" w:rsidRPr="00EC7EA8" w:rsidRDefault="007E2F9F" w:rsidP="006548F8">
            <w:pPr>
              <w:pStyle w:val="Prrafodelista"/>
              <w:ind w:left="0"/>
              <w:jc w:val="right"/>
              <w:rPr>
                <w:rFonts w:ascii="Arial" w:hAnsi="Arial" w:cs="Arial"/>
                <w:b/>
                <w:bCs/>
                <w:sz w:val="18"/>
                <w:szCs w:val="18"/>
                <w:u w:val="single"/>
              </w:rPr>
            </w:pPr>
            <w:r w:rsidRPr="00EC7EA8">
              <w:rPr>
                <w:rFonts w:ascii="Arial" w:eastAsia="Calibri" w:hAnsi="Arial" w:cs="Arial"/>
                <w:b/>
                <w:sz w:val="16"/>
                <w:szCs w:val="16"/>
                <w:lang w:val="es-CO"/>
              </w:rPr>
              <w:t>11,768,659</w:t>
            </w:r>
          </w:p>
        </w:tc>
        <w:tc>
          <w:tcPr>
            <w:tcW w:w="2354" w:type="dxa"/>
            <w:vAlign w:val="center"/>
          </w:tcPr>
          <w:p w14:paraId="62D8F175" w14:textId="77777777" w:rsidR="007E2F9F" w:rsidRPr="00EC7EA8" w:rsidRDefault="007E2F9F" w:rsidP="006548F8">
            <w:pPr>
              <w:pStyle w:val="Prrafodelista"/>
              <w:ind w:left="0"/>
              <w:jc w:val="right"/>
              <w:rPr>
                <w:rFonts w:ascii="Arial" w:hAnsi="Arial" w:cs="Arial"/>
                <w:b/>
                <w:bCs/>
                <w:sz w:val="18"/>
                <w:szCs w:val="18"/>
                <w:u w:val="single"/>
              </w:rPr>
            </w:pPr>
            <w:r w:rsidRPr="00EC7EA8">
              <w:rPr>
                <w:rFonts w:ascii="Arial" w:eastAsia="Calibri" w:hAnsi="Arial" w:cs="Arial"/>
                <w:b/>
                <w:sz w:val="16"/>
                <w:szCs w:val="16"/>
                <w:lang w:val="es-CO"/>
              </w:rPr>
              <w:t>11,506,093</w:t>
            </w:r>
          </w:p>
        </w:tc>
        <w:tc>
          <w:tcPr>
            <w:tcW w:w="2238" w:type="dxa"/>
            <w:vAlign w:val="center"/>
          </w:tcPr>
          <w:p w14:paraId="37B3F616" w14:textId="77777777" w:rsidR="007E2F9F" w:rsidRPr="00EC7EA8" w:rsidRDefault="007E2F9F" w:rsidP="006548F8">
            <w:pPr>
              <w:pStyle w:val="Prrafodelista"/>
              <w:ind w:left="0"/>
              <w:jc w:val="right"/>
              <w:rPr>
                <w:rFonts w:ascii="Arial" w:hAnsi="Arial" w:cs="Arial"/>
                <w:b/>
                <w:bCs/>
                <w:sz w:val="18"/>
                <w:szCs w:val="18"/>
                <w:u w:val="single"/>
              </w:rPr>
            </w:pPr>
            <w:r w:rsidRPr="00EC7EA8">
              <w:rPr>
                <w:rFonts w:ascii="Arial" w:hAnsi="Arial" w:cs="Arial"/>
                <w:b/>
                <w:sz w:val="16"/>
                <w:szCs w:val="16"/>
                <w:u w:val="single"/>
              </w:rPr>
              <w:t>262,567</w:t>
            </w:r>
          </w:p>
        </w:tc>
      </w:tr>
    </w:tbl>
    <w:p w14:paraId="7938AB20" w14:textId="77777777" w:rsidR="007E2F9F" w:rsidRDefault="007E2F9F" w:rsidP="007E2F9F">
      <w:pPr>
        <w:ind w:left="-284" w:right="-234"/>
        <w:rPr>
          <w:rFonts w:ascii="Arial" w:eastAsia="Calibri" w:hAnsi="Arial" w:cs="Arial"/>
          <w:b/>
          <w:u w:val="single"/>
          <w:lang w:val="es-MX"/>
        </w:rPr>
      </w:pPr>
    </w:p>
    <w:p w14:paraId="0E09DA92" w14:textId="77777777" w:rsidR="007E2F9F" w:rsidRPr="00620338" w:rsidRDefault="007E2F9F" w:rsidP="007E2F9F">
      <w:pPr>
        <w:ind w:left="-284" w:right="-234"/>
        <w:jc w:val="both"/>
        <w:rPr>
          <w:rFonts w:ascii="Arial" w:hAnsi="Arial" w:cs="Arial"/>
          <w:b/>
          <w:sz w:val="28"/>
          <w:szCs w:val="28"/>
          <w:lang w:val="es-MX"/>
        </w:rPr>
      </w:pPr>
      <w:r w:rsidRPr="00620338">
        <w:rPr>
          <w:rFonts w:ascii="Arial" w:hAnsi="Arial" w:cs="Arial"/>
          <w:b/>
          <w:sz w:val="28"/>
          <w:szCs w:val="28"/>
          <w:lang w:val="es-MX"/>
        </w:rPr>
        <w:t>350.- CORPORACION PARA EL DESARROLLO SOSTENIBLE DEL URABA - CORPOURABA.</w:t>
      </w:r>
    </w:p>
    <w:p w14:paraId="2B12D4E7" w14:textId="77777777" w:rsidR="007E2F9F" w:rsidRDefault="007E2F9F" w:rsidP="007E2F9F">
      <w:pPr>
        <w:ind w:left="-284" w:right="-234"/>
        <w:rPr>
          <w:rFonts w:ascii="Arial" w:eastAsia="Calibri" w:hAnsi="Arial" w:cs="Arial"/>
          <w:b/>
          <w:u w:val="single"/>
          <w:lang w:val="es-MX"/>
        </w:rPr>
      </w:pPr>
    </w:p>
    <w:p w14:paraId="0C7E6ECC" w14:textId="77777777" w:rsidR="007E2F9F" w:rsidRPr="005F202B" w:rsidRDefault="007E2F9F" w:rsidP="007E2F9F">
      <w:pPr>
        <w:pStyle w:val="Prrafodelista"/>
        <w:ind w:left="0"/>
        <w:jc w:val="center"/>
        <w:rPr>
          <w:rFonts w:ascii="Arial" w:hAnsi="Arial" w:cs="Arial"/>
          <w:b/>
          <w:sz w:val="24"/>
        </w:rPr>
      </w:pPr>
      <w:r w:rsidRPr="005F202B">
        <w:rPr>
          <w:rFonts w:ascii="Arial" w:hAnsi="Arial" w:cs="Arial"/>
          <w:b/>
          <w:sz w:val="24"/>
        </w:rPr>
        <w:t>Pérdidas de Apropiación en la vigencia 2024.</w:t>
      </w:r>
    </w:p>
    <w:p w14:paraId="696D4985" w14:textId="77777777" w:rsidR="007E2F9F" w:rsidRDefault="007E2F9F" w:rsidP="007E2F9F">
      <w:pPr>
        <w:pStyle w:val="Prrafodelista"/>
        <w:ind w:left="0"/>
        <w:jc w:val="center"/>
        <w:rPr>
          <w:rFonts w:ascii="Arial" w:hAnsi="Arial" w:cs="Arial"/>
          <w:sz w:val="24"/>
        </w:rPr>
      </w:pPr>
      <w:r w:rsidRPr="005F202B">
        <w:rPr>
          <w:rFonts w:ascii="Arial" w:hAnsi="Arial" w:cs="Arial"/>
          <w:sz w:val="24"/>
        </w:rPr>
        <w:t>(Cifras en miles de</w:t>
      </w:r>
      <w:r w:rsidRPr="005F202B">
        <w:rPr>
          <w:rFonts w:ascii="Arial" w:hAnsi="Arial" w:cs="Arial"/>
          <w:spacing w:val="-11"/>
          <w:sz w:val="24"/>
        </w:rPr>
        <w:t xml:space="preserve"> </w:t>
      </w:r>
      <w:r w:rsidRPr="005F202B">
        <w:rPr>
          <w:rFonts w:ascii="Arial" w:hAnsi="Arial" w:cs="Arial"/>
          <w:sz w:val="24"/>
        </w:rPr>
        <w:t>pesos).</w:t>
      </w:r>
    </w:p>
    <w:p w14:paraId="20AA631D" w14:textId="77777777" w:rsidR="007E2F9F" w:rsidRPr="005F202B" w:rsidRDefault="007E2F9F" w:rsidP="007E2F9F">
      <w:pPr>
        <w:pStyle w:val="Prrafodelista"/>
        <w:ind w:left="0"/>
        <w:jc w:val="center"/>
        <w:rPr>
          <w:rFonts w:ascii="Arial" w:hAnsi="Arial" w:cs="Arial"/>
          <w:sz w:val="24"/>
        </w:rPr>
      </w:pPr>
    </w:p>
    <w:tbl>
      <w:tblPr>
        <w:tblStyle w:val="Tablaconcuadrcula"/>
        <w:tblW w:w="10490" w:type="dxa"/>
        <w:tblInd w:w="-289" w:type="dxa"/>
        <w:tblLook w:val="04A0" w:firstRow="1" w:lastRow="0" w:firstColumn="1" w:lastColumn="0" w:noHBand="0" w:noVBand="1"/>
      </w:tblPr>
      <w:tblGrid>
        <w:gridCol w:w="3544"/>
        <w:gridCol w:w="2354"/>
        <w:gridCol w:w="2354"/>
        <w:gridCol w:w="2238"/>
      </w:tblGrid>
      <w:tr w:rsidR="007E2F9F" w:rsidRPr="00620338" w14:paraId="7F7D910D" w14:textId="77777777" w:rsidTr="006548F8">
        <w:tc>
          <w:tcPr>
            <w:tcW w:w="3544" w:type="dxa"/>
          </w:tcPr>
          <w:p w14:paraId="43A90350" w14:textId="77777777" w:rsidR="007E2F9F" w:rsidRPr="00620338" w:rsidRDefault="007E2F9F" w:rsidP="006548F8">
            <w:pPr>
              <w:ind w:left="1169" w:right="-1440"/>
              <w:rPr>
                <w:rFonts w:ascii="Arial" w:hAnsi="Arial" w:cs="Arial"/>
                <w:b/>
                <w:sz w:val="18"/>
                <w:szCs w:val="18"/>
                <w:lang w:val="es-ES_tradnl"/>
              </w:rPr>
            </w:pPr>
            <w:r w:rsidRPr="00620338">
              <w:rPr>
                <w:rFonts w:ascii="Arial" w:hAnsi="Arial" w:cs="Arial"/>
                <w:b/>
                <w:sz w:val="18"/>
                <w:szCs w:val="18"/>
                <w:lang w:val="es-ES_tradnl"/>
              </w:rPr>
              <w:t>TIPO DE GASTO</w:t>
            </w:r>
          </w:p>
        </w:tc>
        <w:tc>
          <w:tcPr>
            <w:tcW w:w="2354" w:type="dxa"/>
          </w:tcPr>
          <w:p w14:paraId="45F0DB3F" w14:textId="77777777" w:rsidR="007E2F9F" w:rsidRPr="00620338" w:rsidRDefault="007E2F9F" w:rsidP="006548F8">
            <w:pPr>
              <w:jc w:val="center"/>
              <w:rPr>
                <w:rFonts w:ascii="Arial" w:hAnsi="Arial" w:cs="Arial"/>
                <w:b/>
                <w:sz w:val="18"/>
                <w:szCs w:val="18"/>
                <w:lang w:val="es-ES_tradnl"/>
              </w:rPr>
            </w:pPr>
            <w:r w:rsidRPr="00620338">
              <w:rPr>
                <w:rFonts w:ascii="Arial" w:hAnsi="Arial" w:cs="Arial"/>
                <w:b/>
                <w:sz w:val="18"/>
                <w:szCs w:val="18"/>
                <w:lang w:val="es-ES_tradnl"/>
              </w:rPr>
              <w:t>APROPIACIÓN</w:t>
            </w:r>
          </w:p>
          <w:p w14:paraId="4417C8CB" w14:textId="77777777" w:rsidR="007E2F9F" w:rsidRPr="00620338" w:rsidRDefault="007E2F9F" w:rsidP="006548F8">
            <w:pPr>
              <w:jc w:val="center"/>
              <w:rPr>
                <w:rFonts w:ascii="Arial" w:hAnsi="Arial" w:cs="Arial"/>
                <w:b/>
                <w:sz w:val="18"/>
                <w:szCs w:val="18"/>
                <w:lang w:val="es-ES_tradnl"/>
              </w:rPr>
            </w:pPr>
            <w:r w:rsidRPr="00620338">
              <w:rPr>
                <w:rFonts w:ascii="Arial" w:hAnsi="Arial" w:cs="Arial"/>
                <w:b/>
                <w:sz w:val="18"/>
                <w:szCs w:val="18"/>
                <w:lang w:val="es-ES_tradnl"/>
              </w:rPr>
              <w:t>DEFINITIVA</w:t>
            </w:r>
          </w:p>
          <w:p w14:paraId="5F7EE378" w14:textId="77777777" w:rsidR="007E2F9F" w:rsidRPr="00620338" w:rsidRDefault="007E2F9F" w:rsidP="006548F8">
            <w:pPr>
              <w:jc w:val="center"/>
              <w:rPr>
                <w:rFonts w:ascii="Arial" w:hAnsi="Arial" w:cs="Arial"/>
                <w:b/>
                <w:sz w:val="18"/>
                <w:szCs w:val="18"/>
                <w:lang w:val="es-ES_tradnl"/>
              </w:rPr>
            </w:pPr>
            <w:r w:rsidRPr="00620338">
              <w:rPr>
                <w:rFonts w:ascii="Arial" w:hAnsi="Arial" w:cs="Arial"/>
                <w:b/>
                <w:sz w:val="18"/>
                <w:szCs w:val="18"/>
                <w:lang w:val="es-ES_tradnl"/>
              </w:rPr>
              <w:t>(1)</w:t>
            </w:r>
          </w:p>
          <w:p w14:paraId="21E956A0" w14:textId="77777777" w:rsidR="007E2F9F" w:rsidRPr="00620338" w:rsidRDefault="007E2F9F" w:rsidP="006548F8">
            <w:pPr>
              <w:jc w:val="center"/>
              <w:rPr>
                <w:rFonts w:ascii="Arial" w:hAnsi="Arial" w:cs="Arial"/>
                <w:b/>
                <w:sz w:val="18"/>
                <w:szCs w:val="18"/>
                <w:lang w:val="es-ES_tradnl"/>
              </w:rPr>
            </w:pPr>
          </w:p>
        </w:tc>
        <w:tc>
          <w:tcPr>
            <w:tcW w:w="2354" w:type="dxa"/>
          </w:tcPr>
          <w:p w14:paraId="0FACFE69" w14:textId="77777777" w:rsidR="007E2F9F" w:rsidRPr="00620338" w:rsidRDefault="007E2F9F" w:rsidP="006548F8">
            <w:pPr>
              <w:ind w:left="145" w:right="184"/>
              <w:jc w:val="center"/>
              <w:rPr>
                <w:rFonts w:ascii="Arial" w:hAnsi="Arial" w:cs="Arial"/>
                <w:b/>
                <w:sz w:val="18"/>
                <w:szCs w:val="18"/>
                <w:lang w:val="es-ES_tradnl"/>
              </w:rPr>
            </w:pPr>
            <w:r w:rsidRPr="00620338">
              <w:rPr>
                <w:rFonts w:ascii="Arial" w:hAnsi="Arial" w:cs="Arial"/>
                <w:b/>
                <w:sz w:val="18"/>
                <w:szCs w:val="18"/>
                <w:lang w:val="es-ES_tradnl"/>
              </w:rPr>
              <w:lastRenderedPageBreak/>
              <w:t>EJECUCIÓN</w:t>
            </w:r>
          </w:p>
          <w:p w14:paraId="7AA8C427" w14:textId="77777777" w:rsidR="007E2F9F" w:rsidRPr="00620338" w:rsidRDefault="007E2F9F" w:rsidP="006548F8">
            <w:pPr>
              <w:ind w:right="34"/>
              <w:jc w:val="center"/>
              <w:rPr>
                <w:rFonts w:ascii="Arial" w:hAnsi="Arial" w:cs="Arial"/>
                <w:b/>
                <w:sz w:val="18"/>
                <w:szCs w:val="18"/>
                <w:lang w:val="es-ES_tradnl"/>
              </w:rPr>
            </w:pPr>
            <w:r w:rsidRPr="00620338">
              <w:rPr>
                <w:rFonts w:ascii="Arial" w:hAnsi="Arial" w:cs="Arial"/>
                <w:b/>
                <w:sz w:val="18"/>
                <w:szCs w:val="18"/>
                <w:lang w:val="es-ES_tradnl"/>
              </w:rPr>
              <w:t>COMPROMISOS</w:t>
            </w:r>
          </w:p>
          <w:p w14:paraId="377A0D58" w14:textId="77777777" w:rsidR="007E2F9F" w:rsidRPr="00620338" w:rsidRDefault="007E2F9F" w:rsidP="006548F8">
            <w:pPr>
              <w:ind w:right="34"/>
              <w:jc w:val="center"/>
              <w:rPr>
                <w:rFonts w:ascii="Arial" w:hAnsi="Arial" w:cs="Arial"/>
                <w:b/>
                <w:sz w:val="18"/>
                <w:szCs w:val="18"/>
                <w:lang w:val="es-ES_tradnl"/>
              </w:rPr>
            </w:pPr>
            <w:r w:rsidRPr="00620338">
              <w:rPr>
                <w:rFonts w:ascii="Arial" w:hAnsi="Arial" w:cs="Arial"/>
                <w:b/>
                <w:sz w:val="18"/>
                <w:szCs w:val="18"/>
                <w:lang w:val="es-ES_tradnl"/>
              </w:rPr>
              <w:t>(2)</w:t>
            </w:r>
          </w:p>
        </w:tc>
        <w:tc>
          <w:tcPr>
            <w:tcW w:w="2238" w:type="dxa"/>
          </w:tcPr>
          <w:p w14:paraId="605EC880" w14:textId="77777777" w:rsidR="007E2F9F" w:rsidRPr="00620338" w:rsidRDefault="007E2F9F" w:rsidP="006548F8">
            <w:pPr>
              <w:ind w:left="25" w:right="34"/>
              <w:jc w:val="center"/>
              <w:rPr>
                <w:rFonts w:ascii="Arial" w:hAnsi="Arial" w:cs="Arial"/>
                <w:b/>
                <w:sz w:val="18"/>
                <w:szCs w:val="18"/>
                <w:lang w:val="es-ES_tradnl"/>
              </w:rPr>
            </w:pPr>
            <w:r w:rsidRPr="00620338">
              <w:rPr>
                <w:rFonts w:ascii="Arial" w:hAnsi="Arial" w:cs="Arial"/>
                <w:b/>
                <w:sz w:val="18"/>
                <w:szCs w:val="18"/>
                <w:lang w:val="es-ES_tradnl"/>
              </w:rPr>
              <w:t>PÉRDIDAS DE</w:t>
            </w:r>
          </w:p>
          <w:p w14:paraId="2F3EC70B" w14:textId="77777777" w:rsidR="007E2F9F" w:rsidRPr="00620338" w:rsidRDefault="007E2F9F" w:rsidP="006548F8">
            <w:pPr>
              <w:ind w:right="34"/>
              <w:jc w:val="center"/>
              <w:rPr>
                <w:rFonts w:ascii="Arial" w:hAnsi="Arial" w:cs="Arial"/>
                <w:b/>
                <w:sz w:val="18"/>
                <w:szCs w:val="18"/>
                <w:lang w:val="es-ES_tradnl"/>
              </w:rPr>
            </w:pPr>
            <w:r w:rsidRPr="00620338">
              <w:rPr>
                <w:rFonts w:ascii="Arial" w:hAnsi="Arial" w:cs="Arial"/>
                <w:b/>
                <w:sz w:val="18"/>
                <w:szCs w:val="18"/>
                <w:lang w:val="es-ES_tradnl"/>
              </w:rPr>
              <w:t>APROPIACIÓN</w:t>
            </w:r>
          </w:p>
          <w:p w14:paraId="1666C418" w14:textId="77777777" w:rsidR="007E2F9F" w:rsidRPr="00620338" w:rsidRDefault="007E2F9F" w:rsidP="006548F8">
            <w:pPr>
              <w:ind w:right="34"/>
              <w:jc w:val="center"/>
              <w:rPr>
                <w:rFonts w:ascii="Arial" w:hAnsi="Arial" w:cs="Arial"/>
                <w:b/>
                <w:sz w:val="18"/>
                <w:szCs w:val="18"/>
                <w:lang w:val="es-ES_tradnl"/>
              </w:rPr>
            </w:pPr>
            <w:r w:rsidRPr="00620338">
              <w:rPr>
                <w:rFonts w:ascii="Arial" w:hAnsi="Arial" w:cs="Arial"/>
                <w:b/>
                <w:sz w:val="18"/>
                <w:szCs w:val="18"/>
                <w:lang w:val="es-ES_tradnl"/>
              </w:rPr>
              <w:t>3 = (1-2)</w:t>
            </w:r>
          </w:p>
        </w:tc>
      </w:tr>
      <w:tr w:rsidR="007E2F9F" w:rsidRPr="00620338" w14:paraId="07D97973" w14:textId="77777777" w:rsidTr="006548F8">
        <w:trPr>
          <w:trHeight w:val="230"/>
        </w:trPr>
        <w:tc>
          <w:tcPr>
            <w:tcW w:w="3544" w:type="dxa"/>
          </w:tcPr>
          <w:p w14:paraId="0F3292BE" w14:textId="77777777" w:rsidR="007E2F9F" w:rsidRPr="00620338" w:rsidRDefault="007E2F9F" w:rsidP="006548F8">
            <w:pPr>
              <w:ind w:right="-1440"/>
              <w:jc w:val="both"/>
              <w:rPr>
                <w:rFonts w:ascii="Arial" w:hAnsi="Arial" w:cs="Arial"/>
                <w:b/>
                <w:bCs/>
                <w:sz w:val="18"/>
                <w:szCs w:val="18"/>
                <w:lang w:val="es-ES_tradnl"/>
              </w:rPr>
            </w:pPr>
            <w:r w:rsidRPr="00620338">
              <w:rPr>
                <w:rFonts w:ascii="Arial" w:hAnsi="Arial" w:cs="Arial"/>
                <w:b/>
                <w:bCs/>
                <w:sz w:val="18"/>
                <w:szCs w:val="18"/>
                <w:lang w:val="es-ES_tradnl"/>
              </w:rPr>
              <w:t>FUNCIONAMIENTO</w:t>
            </w:r>
          </w:p>
        </w:tc>
        <w:tc>
          <w:tcPr>
            <w:tcW w:w="2354" w:type="dxa"/>
            <w:vAlign w:val="center"/>
          </w:tcPr>
          <w:p w14:paraId="22342F9C" w14:textId="77777777" w:rsidR="007E2F9F" w:rsidRPr="00620338" w:rsidRDefault="007E2F9F" w:rsidP="006548F8">
            <w:pPr>
              <w:jc w:val="right"/>
              <w:rPr>
                <w:rFonts w:ascii="Arial" w:eastAsia="Calibri" w:hAnsi="Arial" w:cs="Arial"/>
                <w:b/>
                <w:bCs/>
                <w:sz w:val="18"/>
                <w:szCs w:val="18"/>
                <w:lang w:val="es-CO"/>
              </w:rPr>
            </w:pPr>
            <w:r w:rsidRPr="00620338">
              <w:rPr>
                <w:rFonts w:ascii="Arial" w:hAnsi="Arial" w:cs="Arial"/>
                <w:b/>
                <w:bCs/>
                <w:color w:val="000000"/>
                <w:sz w:val="18"/>
                <w:szCs w:val="18"/>
              </w:rPr>
              <w:t>6.349.108</w:t>
            </w:r>
          </w:p>
        </w:tc>
        <w:tc>
          <w:tcPr>
            <w:tcW w:w="2354" w:type="dxa"/>
            <w:vAlign w:val="center"/>
          </w:tcPr>
          <w:p w14:paraId="47132A12" w14:textId="77777777" w:rsidR="007E2F9F" w:rsidRPr="00620338" w:rsidRDefault="007E2F9F" w:rsidP="006548F8">
            <w:pPr>
              <w:pStyle w:val="Prrafodelista"/>
              <w:ind w:left="0"/>
              <w:jc w:val="right"/>
              <w:rPr>
                <w:rFonts w:ascii="Arial" w:hAnsi="Arial" w:cs="Arial"/>
                <w:b/>
                <w:bCs/>
                <w:sz w:val="18"/>
                <w:szCs w:val="18"/>
              </w:rPr>
            </w:pPr>
            <w:r w:rsidRPr="00620338">
              <w:rPr>
                <w:rFonts w:ascii="Arial" w:hAnsi="Arial" w:cs="Arial"/>
                <w:b/>
                <w:bCs/>
                <w:color w:val="000000"/>
                <w:sz w:val="18"/>
                <w:szCs w:val="18"/>
              </w:rPr>
              <w:t>6.158.519</w:t>
            </w:r>
          </w:p>
        </w:tc>
        <w:tc>
          <w:tcPr>
            <w:tcW w:w="2238" w:type="dxa"/>
            <w:vAlign w:val="center"/>
          </w:tcPr>
          <w:p w14:paraId="4541C96F" w14:textId="77777777" w:rsidR="007E2F9F" w:rsidRPr="00620338" w:rsidRDefault="007E2F9F" w:rsidP="006548F8">
            <w:pPr>
              <w:pStyle w:val="Prrafodelista"/>
              <w:ind w:left="0"/>
              <w:jc w:val="right"/>
              <w:rPr>
                <w:rFonts w:ascii="Arial" w:hAnsi="Arial" w:cs="Arial"/>
                <w:b/>
                <w:bCs/>
                <w:sz w:val="18"/>
                <w:szCs w:val="18"/>
              </w:rPr>
            </w:pPr>
            <w:r w:rsidRPr="00620338">
              <w:rPr>
                <w:rFonts w:ascii="Arial" w:hAnsi="Arial" w:cs="Arial"/>
                <w:b/>
                <w:bCs/>
                <w:color w:val="000000"/>
                <w:sz w:val="18"/>
                <w:szCs w:val="18"/>
              </w:rPr>
              <w:t>190.589</w:t>
            </w:r>
          </w:p>
        </w:tc>
      </w:tr>
      <w:tr w:rsidR="007E2F9F" w:rsidRPr="00620338" w14:paraId="2FFA7586" w14:textId="77777777" w:rsidTr="006548F8">
        <w:trPr>
          <w:trHeight w:val="230"/>
        </w:trPr>
        <w:tc>
          <w:tcPr>
            <w:tcW w:w="3544" w:type="dxa"/>
          </w:tcPr>
          <w:p w14:paraId="3D14E740" w14:textId="77777777" w:rsidR="007E2F9F" w:rsidRPr="00620338" w:rsidRDefault="007E2F9F" w:rsidP="006548F8">
            <w:pPr>
              <w:ind w:right="-1440"/>
              <w:jc w:val="both"/>
              <w:rPr>
                <w:rFonts w:ascii="Arial" w:hAnsi="Arial" w:cs="Arial"/>
                <w:b/>
                <w:bCs/>
                <w:sz w:val="18"/>
                <w:szCs w:val="18"/>
                <w:lang w:val="es-ES_tradnl"/>
              </w:rPr>
            </w:pPr>
            <w:r w:rsidRPr="00620338">
              <w:rPr>
                <w:rFonts w:ascii="Arial" w:hAnsi="Arial" w:cs="Arial"/>
                <w:b/>
                <w:bCs/>
                <w:sz w:val="18"/>
                <w:szCs w:val="18"/>
                <w:lang w:val="es-ES_tradnl"/>
              </w:rPr>
              <w:t>NVERSIÓN</w:t>
            </w:r>
          </w:p>
        </w:tc>
        <w:tc>
          <w:tcPr>
            <w:tcW w:w="2354" w:type="dxa"/>
            <w:vAlign w:val="center"/>
          </w:tcPr>
          <w:p w14:paraId="65F85E1C" w14:textId="77777777" w:rsidR="007E2F9F" w:rsidRPr="00620338" w:rsidRDefault="007E2F9F" w:rsidP="006548F8">
            <w:pPr>
              <w:jc w:val="right"/>
              <w:rPr>
                <w:rFonts w:ascii="Arial" w:eastAsia="Calibri" w:hAnsi="Arial" w:cs="Arial"/>
                <w:b/>
                <w:bCs/>
                <w:sz w:val="18"/>
                <w:szCs w:val="18"/>
                <w:lang w:val="es-CO"/>
              </w:rPr>
            </w:pPr>
            <w:r w:rsidRPr="00620338">
              <w:rPr>
                <w:rFonts w:ascii="Arial" w:hAnsi="Arial" w:cs="Arial"/>
                <w:b/>
                <w:bCs/>
                <w:color w:val="000000"/>
                <w:sz w:val="18"/>
                <w:szCs w:val="18"/>
              </w:rPr>
              <w:t>5.600.982</w:t>
            </w:r>
          </w:p>
        </w:tc>
        <w:tc>
          <w:tcPr>
            <w:tcW w:w="2354" w:type="dxa"/>
            <w:vAlign w:val="center"/>
          </w:tcPr>
          <w:p w14:paraId="043F4C8A" w14:textId="77777777" w:rsidR="007E2F9F" w:rsidRPr="00620338" w:rsidRDefault="007E2F9F" w:rsidP="006548F8">
            <w:pPr>
              <w:pStyle w:val="Prrafodelista"/>
              <w:ind w:left="0"/>
              <w:jc w:val="right"/>
              <w:rPr>
                <w:rFonts w:ascii="Arial" w:eastAsia="Calibri" w:hAnsi="Arial" w:cs="Arial"/>
                <w:b/>
                <w:bCs/>
                <w:sz w:val="18"/>
                <w:szCs w:val="18"/>
                <w:lang w:val="es-CO"/>
              </w:rPr>
            </w:pPr>
            <w:r w:rsidRPr="00620338">
              <w:rPr>
                <w:rFonts w:ascii="Arial" w:hAnsi="Arial" w:cs="Arial"/>
                <w:b/>
                <w:bCs/>
                <w:color w:val="000000"/>
                <w:sz w:val="18"/>
                <w:szCs w:val="18"/>
              </w:rPr>
              <w:t>5.600.982</w:t>
            </w:r>
          </w:p>
        </w:tc>
        <w:tc>
          <w:tcPr>
            <w:tcW w:w="2238" w:type="dxa"/>
            <w:vAlign w:val="center"/>
          </w:tcPr>
          <w:p w14:paraId="0B6800FC" w14:textId="77777777" w:rsidR="007E2F9F" w:rsidRPr="00620338" w:rsidRDefault="007E2F9F" w:rsidP="006548F8">
            <w:pPr>
              <w:pStyle w:val="Prrafodelista"/>
              <w:ind w:left="0"/>
              <w:jc w:val="right"/>
              <w:rPr>
                <w:rFonts w:ascii="Arial" w:hAnsi="Arial" w:cs="Arial"/>
                <w:b/>
                <w:bCs/>
                <w:sz w:val="18"/>
                <w:szCs w:val="18"/>
              </w:rPr>
            </w:pPr>
            <w:r w:rsidRPr="00620338">
              <w:rPr>
                <w:rFonts w:ascii="Arial" w:hAnsi="Arial" w:cs="Arial"/>
                <w:b/>
                <w:bCs/>
                <w:color w:val="000000"/>
                <w:sz w:val="18"/>
                <w:szCs w:val="18"/>
              </w:rPr>
              <w:t>0</w:t>
            </w:r>
          </w:p>
        </w:tc>
      </w:tr>
      <w:tr w:rsidR="007E2F9F" w:rsidRPr="00620338" w14:paraId="7BBB536D" w14:textId="77777777" w:rsidTr="006548F8">
        <w:tc>
          <w:tcPr>
            <w:tcW w:w="3544" w:type="dxa"/>
          </w:tcPr>
          <w:p w14:paraId="367B7570" w14:textId="77777777" w:rsidR="007E2F9F" w:rsidRPr="00620338" w:rsidRDefault="007E2F9F" w:rsidP="006548F8">
            <w:pPr>
              <w:ind w:right="-1440"/>
              <w:jc w:val="both"/>
              <w:rPr>
                <w:rFonts w:ascii="Arial" w:hAnsi="Arial" w:cs="Arial"/>
                <w:b/>
                <w:bCs/>
                <w:sz w:val="18"/>
                <w:szCs w:val="18"/>
                <w:lang w:val="es-ES_tradnl"/>
              </w:rPr>
            </w:pPr>
            <w:r w:rsidRPr="00620338">
              <w:rPr>
                <w:rFonts w:ascii="Arial" w:hAnsi="Arial" w:cs="Arial"/>
                <w:b/>
                <w:bCs/>
                <w:sz w:val="18"/>
                <w:szCs w:val="18"/>
                <w:lang w:val="es-ES_tradnl"/>
              </w:rPr>
              <w:t>TOTAL PÉRDIDAS DE APROPIACIÓN</w:t>
            </w:r>
          </w:p>
        </w:tc>
        <w:tc>
          <w:tcPr>
            <w:tcW w:w="2354" w:type="dxa"/>
            <w:vAlign w:val="center"/>
          </w:tcPr>
          <w:p w14:paraId="395528C6" w14:textId="77777777" w:rsidR="007E2F9F" w:rsidRPr="00620338" w:rsidRDefault="007E2F9F" w:rsidP="006548F8">
            <w:pPr>
              <w:pStyle w:val="Prrafodelista"/>
              <w:ind w:left="0"/>
              <w:jc w:val="right"/>
              <w:rPr>
                <w:rFonts w:ascii="Arial" w:hAnsi="Arial" w:cs="Arial"/>
                <w:b/>
                <w:bCs/>
                <w:sz w:val="18"/>
                <w:szCs w:val="18"/>
                <w:u w:val="single"/>
              </w:rPr>
            </w:pPr>
            <w:r w:rsidRPr="00620338">
              <w:rPr>
                <w:rFonts w:ascii="Arial" w:hAnsi="Arial" w:cs="Arial"/>
                <w:b/>
                <w:bCs/>
                <w:color w:val="000000"/>
                <w:sz w:val="18"/>
                <w:szCs w:val="18"/>
              </w:rPr>
              <w:t>11.950.090</w:t>
            </w:r>
          </w:p>
        </w:tc>
        <w:tc>
          <w:tcPr>
            <w:tcW w:w="2354" w:type="dxa"/>
            <w:vAlign w:val="center"/>
          </w:tcPr>
          <w:p w14:paraId="1309FAAA" w14:textId="77777777" w:rsidR="007E2F9F" w:rsidRPr="00620338" w:rsidRDefault="007E2F9F" w:rsidP="006548F8">
            <w:pPr>
              <w:pStyle w:val="Prrafodelista"/>
              <w:ind w:left="0"/>
              <w:jc w:val="right"/>
              <w:rPr>
                <w:rFonts w:ascii="Arial" w:hAnsi="Arial" w:cs="Arial"/>
                <w:b/>
                <w:bCs/>
                <w:sz w:val="18"/>
                <w:szCs w:val="18"/>
                <w:u w:val="single"/>
              </w:rPr>
            </w:pPr>
            <w:r w:rsidRPr="00620338">
              <w:rPr>
                <w:rFonts w:ascii="Arial" w:hAnsi="Arial" w:cs="Arial"/>
                <w:b/>
                <w:bCs/>
                <w:color w:val="000000"/>
                <w:sz w:val="18"/>
                <w:szCs w:val="18"/>
              </w:rPr>
              <w:t>11.759.501</w:t>
            </w:r>
          </w:p>
        </w:tc>
        <w:tc>
          <w:tcPr>
            <w:tcW w:w="2238" w:type="dxa"/>
            <w:vAlign w:val="center"/>
          </w:tcPr>
          <w:p w14:paraId="00E21138" w14:textId="77777777" w:rsidR="007E2F9F" w:rsidRPr="00620338" w:rsidRDefault="007E2F9F" w:rsidP="006548F8">
            <w:pPr>
              <w:pStyle w:val="Prrafodelista"/>
              <w:ind w:left="0"/>
              <w:jc w:val="right"/>
              <w:rPr>
                <w:rFonts w:ascii="Arial" w:hAnsi="Arial" w:cs="Arial"/>
                <w:b/>
                <w:bCs/>
                <w:sz w:val="18"/>
                <w:szCs w:val="18"/>
                <w:u w:val="single"/>
              </w:rPr>
            </w:pPr>
            <w:r w:rsidRPr="00620338">
              <w:rPr>
                <w:rFonts w:ascii="Arial" w:hAnsi="Arial" w:cs="Arial"/>
                <w:b/>
                <w:bCs/>
                <w:color w:val="000000"/>
                <w:sz w:val="18"/>
                <w:szCs w:val="18"/>
                <w:u w:val="single"/>
              </w:rPr>
              <w:t>190.589</w:t>
            </w:r>
          </w:p>
        </w:tc>
      </w:tr>
    </w:tbl>
    <w:p w14:paraId="5C7C84BE" w14:textId="77777777" w:rsidR="007E2F9F" w:rsidRDefault="007E2F9F" w:rsidP="007E2F9F">
      <w:pPr>
        <w:ind w:left="-284" w:right="-234"/>
        <w:rPr>
          <w:rFonts w:ascii="Arial" w:eastAsia="Calibri" w:hAnsi="Arial" w:cs="Arial"/>
          <w:b/>
          <w:u w:val="single"/>
          <w:lang w:val="es-MX"/>
        </w:rPr>
      </w:pPr>
    </w:p>
    <w:p w14:paraId="2FFD540D" w14:textId="77777777" w:rsidR="007E2F9F" w:rsidRPr="00EC7EA8" w:rsidRDefault="007E2F9F" w:rsidP="007E2F9F">
      <w:pPr>
        <w:ind w:left="-284" w:right="-234"/>
        <w:rPr>
          <w:rFonts w:ascii="Arial" w:eastAsia="Calibri" w:hAnsi="Arial" w:cs="Arial"/>
          <w:b/>
          <w:u w:val="single"/>
          <w:lang w:val="es-MX"/>
        </w:rPr>
      </w:pPr>
    </w:p>
    <w:p w14:paraId="5AFFA061" w14:textId="77777777" w:rsidR="007E2F9F" w:rsidRPr="003F19CF" w:rsidRDefault="007E2F9F" w:rsidP="008A43C3">
      <w:pPr>
        <w:ind w:left="-284" w:right="-234"/>
        <w:jc w:val="center"/>
        <w:rPr>
          <w:rFonts w:ascii="Arial" w:hAnsi="Arial" w:cs="Arial"/>
          <w:b/>
          <w:sz w:val="28"/>
          <w:szCs w:val="28"/>
        </w:rPr>
      </w:pPr>
      <w:bookmarkStart w:id="3" w:name="_Hlk210820207"/>
      <w:r w:rsidRPr="00924F66">
        <w:rPr>
          <w:rFonts w:ascii="Arial" w:hAnsi="Arial" w:cs="Arial"/>
          <w:b/>
          <w:sz w:val="28"/>
          <w:szCs w:val="28"/>
          <w:u w:val="single"/>
          <w:lang w:val="es-MX"/>
        </w:rPr>
        <w:t xml:space="preserve">3.- </w:t>
      </w:r>
      <w:r w:rsidRPr="00924F66">
        <w:rPr>
          <w:rFonts w:ascii="Arial" w:hAnsi="Arial" w:cs="Arial"/>
          <w:b/>
          <w:sz w:val="28"/>
          <w:szCs w:val="28"/>
          <w:u w:val="single"/>
        </w:rPr>
        <w:t>UNIDADES EJECUTORAS DEL PRESUPUESTO GENERAL DE LA NACIÓN QUE CONSTITUYERON REZAGO PRESUPUESTAL A 31 DE DICIEMBRE DE 2024</w:t>
      </w:r>
      <w:r w:rsidRPr="003F19CF">
        <w:rPr>
          <w:rFonts w:ascii="Arial" w:hAnsi="Arial" w:cs="Arial"/>
          <w:b/>
          <w:sz w:val="28"/>
          <w:szCs w:val="28"/>
        </w:rPr>
        <w:t>.</w:t>
      </w:r>
    </w:p>
    <w:p w14:paraId="50ACF57B" w14:textId="77777777" w:rsidR="007E2F9F" w:rsidRDefault="007E2F9F" w:rsidP="007E2F9F">
      <w:pPr>
        <w:ind w:left="-284" w:right="-235"/>
        <w:jc w:val="both"/>
        <w:rPr>
          <w:rFonts w:ascii="Arial" w:hAnsi="Arial" w:cs="Arial"/>
          <w:b/>
          <w:sz w:val="28"/>
          <w:szCs w:val="28"/>
          <w:lang w:val="es-MX"/>
        </w:rPr>
      </w:pPr>
      <w:bookmarkStart w:id="4" w:name="_Hlk163979790"/>
      <w:bookmarkEnd w:id="3"/>
    </w:p>
    <w:p w14:paraId="165246FA" w14:textId="3A5B216D" w:rsidR="007E2F9F" w:rsidRPr="00F01F5B" w:rsidRDefault="007E2F9F" w:rsidP="007E2F9F">
      <w:pPr>
        <w:ind w:left="-284" w:right="-234"/>
        <w:jc w:val="both"/>
        <w:rPr>
          <w:rFonts w:ascii="Arial" w:hAnsi="Arial" w:cs="Arial"/>
          <w:b/>
          <w:sz w:val="28"/>
          <w:szCs w:val="28"/>
          <w:lang w:val="es-MX"/>
        </w:rPr>
      </w:pPr>
      <w:r w:rsidRPr="00F01F5B">
        <w:rPr>
          <w:rFonts w:ascii="Arial" w:hAnsi="Arial" w:cs="Arial"/>
          <w:b/>
          <w:sz w:val="28"/>
          <w:szCs w:val="28"/>
          <w:lang w:val="es-MX"/>
        </w:rPr>
        <w:t>2</w:t>
      </w:r>
      <w:r w:rsidR="008A43C3">
        <w:rPr>
          <w:rFonts w:ascii="Arial" w:hAnsi="Arial" w:cs="Arial"/>
          <w:b/>
          <w:sz w:val="28"/>
          <w:szCs w:val="28"/>
          <w:lang w:val="es-MX"/>
        </w:rPr>
        <w:t>.-</w:t>
      </w:r>
      <w:r w:rsidRPr="00F01F5B">
        <w:rPr>
          <w:rFonts w:ascii="Arial" w:hAnsi="Arial" w:cs="Arial"/>
          <w:b/>
          <w:sz w:val="28"/>
          <w:szCs w:val="28"/>
          <w:lang w:val="es-MX"/>
        </w:rPr>
        <w:t xml:space="preserve"> U.A.E. DIRECCIÓN DE IMPUESTOS Y ADUANAS NACIONALES – DIAN FUNCIÓN PAGADORA.</w:t>
      </w:r>
    </w:p>
    <w:p w14:paraId="6D79AFBF" w14:textId="77777777" w:rsidR="007E2F9F" w:rsidRPr="00397A5B" w:rsidRDefault="007E2F9F" w:rsidP="007E2F9F">
      <w:pPr>
        <w:ind w:left="-284" w:right="-235"/>
        <w:jc w:val="both"/>
        <w:rPr>
          <w:rFonts w:ascii="Arial" w:hAnsi="Arial" w:cs="Arial"/>
          <w:b/>
          <w:sz w:val="28"/>
          <w:szCs w:val="28"/>
          <w:lang w:val="es-MX"/>
        </w:rPr>
      </w:pPr>
      <w:r w:rsidRPr="00397A5B">
        <w:rPr>
          <w:rFonts w:ascii="Arial" w:hAnsi="Arial" w:cs="Arial"/>
          <w:b/>
          <w:sz w:val="28"/>
          <w:szCs w:val="28"/>
          <w:lang w:val="es-MX"/>
        </w:rPr>
        <w:t xml:space="preserve"> </w:t>
      </w:r>
    </w:p>
    <w:p w14:paraId="705824CD" w14:textId="77777777" w:rsidR="007E2F9F" w:rsidRPr="00003E92" w:rsidRDefault="007E2F9F" w:rsidP="007E2F9F">
      <w:pPr>
        <w:tabs>
          <w:tab w:val="left" w:pos="875"/>
        </w:tabs>
        <w:ind w:left="-284" w:right="-234"/>
        <w:jc w:val="center"/>
        <w:rPr>
          <w:rFonts w:ascii="Arial" w:hAnsi="Arial" w:cs="Arial"/>
          <w:b/>
          <w:sz w:val="24"/>
          <w:szCs w:val="24"/>
        </w:rPr>
      </w:pPr>
      <w:r w:rsidRPr="00003E92">
        <w:rPr>
          <w:rFonts w:ascii="Arial" w:hAnsi="Arial" w:cs="Arial"/>
          <w:b/>
          <w:sz w:val="24"/>
          <w:szCs w:val="24"/>
        </w:rPr>
        <w:t xml:space="preserve">Rezago Presupuestal constituido a 31 de diciembre de 2024. </w:t>
      </w:r>
    </w:p>
    <w:p w14:paraId="0088B467" w14:textId="77777777" w:rsidR="007E2F9F" w:rsidRPr="00003E92" w:rsidRDefault="007E2F9F" w:rsidP="007E2F9F">
      <w:pPr>
        <w:tabs>
          <w:tab w:val="left" w:pos="875"/>
        </w:tabs>
        <w:ind w:left="-284" w:right="-234"/>
        <w:jc w:val="center"/>
        <w:rPr>
          <w:rFonts w:ascii="Arial" w:hAnsi="Arial" w:cs="Arial"/>
          <w:sz w:val="24"/>
          <w:szCs w:val="24"/>
        </w:rPr>
      </w:pPr>
      <w:r w:rsidRPr="00003E92">
        <w:rPr>
          <w:rFonts w:ascii="Arial" w:hAnsi="Arial" w:cs="Arial"/>
          <w:sz w:val="24"/>
          <w:szCs w:val="24"/>
        </w:rPr>
        <w:t>(Cifras en miles de pesos).</w:t>
      </w:r>
    </w:p>
    <w:p w14:paraId="177D8480" w14:textId="77777777" w:rsidR="007E2F9F" w:rsidRDefault="007E2F9F" w:rsidP="007E2F9F">
      <w:pPr>
        <w:tabs>
          <w:tab w:val="left" w:pos="875"/>
        </w:tabs>
        <w:ind w:left="-284" w:right="-234"/>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8648"/>
        <w:gridCol w:w="1842"/>
      </w:tblGrid>
      <w:tr w:rsidR="007E2F9F" w:rsidRPr="00F01F5B" w14:paraId="5FF1FBC5" w14:textId="77777777" w:rsidTr="006548F8">
        <w:tc>
          <w:tcPr>
            <w:tcW w:w="8648" w:type="dxa"/>
          </w:tcPr>
          <w:p w14:paraId="4550D501" w14:textId="77777777" w:rsidR="007E2F9F" w:rsidRPr="00F01F5B" w:rsidRDefault="007E2F9F" w:rsidP="006548F8">
            <w:pPr>
              <w:tabs>
                <w:tab w:val="left" w:pos="875"/>
              </w:tabs>
              <w:ind w:right="157"/>
              <w:rPr>
                <w:rFonts w:ascii="Arial" w:hAnsi="Arial" w:cs="Arial"/>
                <w:sz w:val="22"/>
                <w:szCs w:val="22"/>
              </w:rPr>
            </w:pPr>
            <w:r w:rsidRPr="00F01F5B">
              <w:rPr>
                <w:rFonts w:ascii="Arial" w:hAnsi="Arial" w:cs="Arial"/>
                <w:sz w:val="22"/>
                <w:szCs w:val="22"/>
                <w:lang w:val="es-ES_tradnl"/>
              </w:rPr>
              <w:t>Reservas presupuestales constituidas a 31 de diciembre de 2024</w:t>
            </w:r>
          </w:p>
        </w:tc>
        <w:tc>
          <w:tcPr>
            <w:tcW w:w="1842" w:type="dxa"/>
          </w:tcPr>
          <w:p w14:paraId="490856AD" w14:textId="77777777" w:rsidR="007E2F9F" w:rsidRPr="00F01F5B" w:rsidRDefault="007E2F9F" w:rsidP="006548F8">
            <w:pPr>
              <w:tabs>
                <w:tab w:val="left" w:pos="875"/>
              </w:tabs>
              <w:jc w:val="right"/>
              <w:rPr>
                <w:rFonts w:ascii="Arial" w:hAnsi="Arial" w:cs="Arial"/>
                <w:sz w:val="22"/>
                <w:szCs w:val="22"/>
              </w:rPr>
            </w:pPr>
            <w:r w:rsidRPr="00F01F5B">
              <w:rPr>
                <w:rFonts w:ascii="Arial" w:hAnsi="Arial" w:cs="Arial"/>
                <w:sz w:val="22"/>
                <w:szCs w:val="22"/>
              </w:rPr>
              <w:t>146.192.401</w:t>
            </w:r>
          </w:p>
        </w:tc>
      </w:tr>
      <w:tr w:rsidR="007E2F9F" w:rsidRPr="00F01F5B" w14:paraId="5E278AE8" w14:textId="77777777" w:rsidTr="006548F8">
        <w:tc>
          <w:tcPr>
            <w:tcW w:w="8648" w:type="dxa"/>
          </w:tcPr>
          <w:p w14:paraId="615494FF" w14:textId="77777777" w:rsidR="007E2F9F" w:rsidRPr="00F01F5B" w:rsidRDefault="007E2F9F" w:rsidP="006548F8">
            <w:pPr>
              <w:tabs>
                <w:tab w:val="left" w:pos="875"/>
              </w:tabs>
              <w:ind w:right="157"/>
              <w:rPr>
                <w:rFonts w:ascii="Arial" w:hAnsi="Arial" w:cs="Arial"/>
                <w:sz w:val="22"/>
                <w:szCs w:val="22"/>
              </w:rPr>
            </w:pPr>
            <w:r w:rsidRPr="00F01F5B">
              <w:rPr>
                <w:rFonts w:ascii="Arial" w:hAnsi="Arial" w:cs="Arial"/>
                <w:sz w:val="22"/>
                <w:szCs w:val="22"/>
                <w:lang w:val="es-ES_tradnl"/>
              </w:rPr>
              <w:t>Cuentas por pagar constituidas a 31 de diciembre de 2024</w:t>
            </w:r>
          </w:p>
        </w:tc>
        <w:tc>
          <w:tcPr>
            <w:tcW w:w="1842" w:type="dxa"/>
          </w:tcPr>
          <w:p w14:paraId="04E4F214" w14:textId="77777777" w:rsidR="007E2F9F" w:rsidRPr="00F01F5B" w:rsidRDefault="007E2F9F" w:rsidP="006548F8">
            <w:pPr>
              <w:tabs>
                <w:tab w:val="left" w:pos="875"/>
              </w:tabs>
              <w:jc w:val="right"/>
              <w:rPr>
                <w:rFonts w:ascii="Arial" w:hAnsi="Arial" w:cs="Arial"/>
                <w:sz w:val="22"/>
                <w:szCs w:val="22"/>
              </w:rPr>
            </w:pPr>
            <w:r w:rsidRPr="00F01F5B">
              <w:rPr>
                <w:rFonts w:ascii="Arial" w:hAnsi="Arial" w:cs="Arial"/>
                <w:sz w:val="22"/>
                <w:szCs w:val="22"/>
              </w:rPr>
              <w:t>39.672</w:t>
            </w:r>
          </w:p>
        </w:tc>
      </w:tr>
      <w:tr w:rsidR="007E2F9F" w:rsidRPr="00F01F5B" w14:paraId="270F2B0E" w14:textId="77777777" w:rsidTr="006548F8">
        <w:tc>
          <w:tcPr>
            <w:tcW w:w="8648" w:type="dxa"/>
          </w:tcPr>
          <w:p w14:paraId="2E08D57A" w14:textId="77777777" w:rsidR="007E2F9F" w:rsidRPr="00F01F5B" w:rsidRDefault="007E2F9F" w:rsidP="006548F8">
            <w:pPr>
              <w:tabs>
                <w:tab w:val="left" w:pos="875"/>
              </w:tabs>
              <w:ind w:right="157"/>
              <w:rPr>
                <w:rFonts w:ascii="Arial" w:hAnsi="Arial" w:cs="Arial"/>
                <w:sz w:val="22"/>
                <w:szCs w:val="22"/>
              </w:rPr>
            </w:pPr>
            <w:r w:rsidRPr="00F01F5B">
              <w:rPr>
                <w:rFonts w:ascii="Arial" w:hAnsi="Arial" w:cs="Arial"/>
                <w:b/>
                <w:sz w:val="22"/>
                <w:szCs w:val="22"/>
                <w:lang w:val="es-ES_tradnl"/>
              </w:rPr>
              <w:t>TOTAL REZAGO PRESUPUESTAL CONSTITUIDO A 31 DE DICIEMBRE DE 2024</w:t>
            </w:r>
          </w:p>
        </w:tc>
        <w:tc>
          <w:tcPr>
            <w:tcW w:w="1842" w:type="dxa"/>
          </w:tcPr>
          <w:p w14:paraId="23F27214" w14:textId="77777777" w:rsidR="007E2F9F" w:rsidRPr="00F01F5B" w:rsidRDefault="007E2F9F" w:rsidP="006548F8">
            <w:pPr>
              <w:tabs>
                <w:tab w:val="left" w:pos="875"/>
              </w:tabs>
              <w:jc w:val="right"/>
              <w:rPr>
                <w:rFonts w:ascii="Arial" w:hAnsi="Arial" w:cs="Arial"/>
                <w:b/>
                <w:sz w:val="22"/>
                <w:szCs w:val="22"/>
                <w:u w:val="single"/>
              </w:rPr>
            </w:pPr>
            <w:r w:rsidRPr="00F01F5B">
              <w:rPr>
                <w:rFonts w:ascii="Arial" w:hAnsi="Arial" w:cs="Arial"/>
                <w:b/>
                <w:sz w:val="22"/>
                <w:szCs w:val="22"/>
                <w:u w:val="single"/>
              </w:rPr>
              <w:t>146.232.073</w:t>
            </w:r>
          </w:p>
        </w:tc>
      </w:tr>
    </w:tbl>
    <w:p w14:paraId="0BF37DFF" w14:textId="77777777" w:rsidR="007E2F9F" w:rsidRDefault="007E2F9F" w:rsidP="007E2F9F">
      <w:pPr>
        <w:tabs>
          <w:tab w:val="left" w:pos="875"/>
        </w:tabs>
        <w:ind w:left="-284" w:right="-234"/>
        <w:rPr>
          <w:rFonts w:ascii="Arial" w:hAnsi="Arial" w:cs="Arial"/>
          <w:sz w:val="28"/>
          <w:szCs w:val="28"/>
        </w:rPr>
      </w:pPr>
    </w:p>
    <w:bookmarkEnd w:id="4"/>
    <w:p w14:paraId="1735652C" w14:textId="77777777" w:rsidR="007E2F9F" w:rsidRDefault="007E2F9F" w:rsidP="007E2F9F">
      <w:pPr>
        <w:ind w:left="-284"/>
        <w:jc w:val="both"/>
        <w:rPr>
          <w:rFonts w:ascii="Arial" w:hAnsi="Arial" w:cs="Arial"/>
          <w:b/>
          <w:sz w:val="28"/>
          <w:szCs w:val="28"/>
          <w:lang w:val="es-MX"/>
        </w:rPr>
      </w:pPr>
      <w:r w:rsidRPr="006B6913">
        <w:rPr>
          <w:rFonts w:ascii="Arial" w:hAnsi="Arial" w:cs="Arial"/>
          <w:b/>
          <w:sz w:val="28"/>
          <w:szCs w:val="28"/>
          <w:lang w:val="es-MX"/>
        </w:rPr>
        <w:t>3.- SUPERINTENDENCIA DE VIGILANCIA Y SEGURIDAD PRIVADA.</w:t>
      </w:r>
    </w:p>
    <w:p w14:paraId="76771209" w14:textId="77777777" w:rsidR="007E2F9F" w:rsidRDefault="007E2F9F" w:rsidP="007E2F9F">
      <w:pPr>
        <w:ind w:left="-284"/>
        <w:jc w:val="both"/>
        <w:rPr>
          <w:rFonts w:ascii="Arial" w:hAnsi="Arial" w:cs="Arial"/>
          <w:b/>
          <w:sz w:val="28"/>
          <w:szCs w:val="28"/>
          <w:lang w:val="es-MX"/>
        </w:rPr>
      </w:pPr>
    </w:p>
    <w:p w14:paraId="50FBE74B" w14:textId="77777777" w:rsidR="007E2F9F" w:rsidRPr="00003E92" w:rsidRDefault="007E2F9F" w:rsidP="007E2F9F">
      <w:pPr>
        <w:tabs>
          <w:tab w:val="left" w:pos="875"/>
        </w:tabs>
        <w:ind w:left="-284" w:right="-234"/>
        <w:jc w:val="center"/>
        <w:rPr>
          <w:rFonts w:ascii="Arial" w:hAnsi="Arial" w:cs="Arial"/>
          <w:b/>
          <w:sz w:val="24"/>
          <w:szCs w:val="24"/>
        </w:rPr>
      </w:pPr>
      <w:r w:rsidRPr="00003E92">
        <w:rPr>
          <w:rFonts w:ascii="Arial" w:hAnsi="Arial" w:cs="Arial"/>
          <w:b/>
          <w:sz w:val="24"/>
          <w:szCs w:val="24"/>
        </w:rPr>
        <w:t xml:space="preserve">Rezago Presupuestal constituido a 31 de diciembre de 2024. </w:t>
      </w:r>
    </w:p>
    <w:p w14:paraId="6AE5042E" w14:textId="77777777" w:rsidR="007E2F9F" w:rsidRPr="00003E92" w:rsidRDefault="007E2F9F" w:rsidP="007E2F9F">
      <w:pPr>
        <w:tabs>
          <w:tab w:val="left" w:pos="875"/>
        </w:tabs>
        <w:ind w:left="-284" w:right="-234"/>
        <w:jc w:val="center"/>
        <w:rPr>
          <w:rFonts w:ascii="Arial" w:hAnsi="Arial" w:cs="Arial"/>
          <w:b/>
          <w:sz w:val="24"/>
          <w:szCs w:val="24"/>
        </w:rPr>
      </w:pPr>
      <w:r w:rsidRPr="00003E92">
        <w:rPr>
          <w:rFonts w:ascii="Arial" w:hAnsi="Arial" w:cs="Arial"/>
          <w:sz w:val="24"/>
          <w:szCs w:val="24"/>
        </w:rPr>
        <w:t>(Cifras en miles de pesos).</w:t>
      </w:r>
    </w:p>
    <w:p w14:paraId="6EDE540A" w14:textId="77777777" w:rsidR="007E2F9F" w:rsidRDefault="007E2F9F" w:rsidP="007E2F9F">
      <w:pPr>
        <w:tabs>
          <w:tab w:val="left" w:pos="875"/>
        </w:tabs>
        <w:ind w:left="-284" w:right="-234"/>
        <w:jc w:val="both"/>
        <w:rPr>
          <w:rFonts w:ascii="Arial" w:hAnsi="Arial" w:cs="Arial"/>
          <w:sz w:val="28"/>
          <w:szCs w:val="28"/>
          <w:lang w:val="es-MX"/>
        </w:rPr>
      </w:pPr>
    </w:p>
    <w:tbl>
      <w:tblPr>
        <w:tblStyle w:val="Tablaconcuadrcula"/>
        <w:tblW w:w="10490" w:type="dxa"/>
        <w:tblInd w:w="-289" w:type="dxa"/>
        <w:tblLook w:val="04A0" w:firstRow="1" w:lastRow="0" w:firstColumn="1" w:lastColumn="0" w:noHBand="0" w:noVBand="1"/>
      </w:tblPr>
      <w:tblGrid>
        <w:gridCol w:w="8648"/>
        <w:gridCol w:w="1842"/>
      </w:tblGrid>
      <w:tr w:rsidR="007E2F9F" w:rsidRPr="006B6913" w14:paraId="7D091EA4" w14:textId="77777777" w:rsidTr="006548F8">
        <w:tc>
          <w:tcPr>
            <w:tcW w:w="8648" w:type="dxa"/>
          </w:tcPr>
          <w:p w14:paraId="624B033C" w14:textId="77777777" w:rsidR="007E2F9F" w:rsidRPr="006B6913" w:rsidRDefault="007E2F9F" w:rsidP="006548F8">
            <w:pPr>
              <w:tabs>
                <w:tab w:val="left" w:pos="875"/>
              </w:tabs>
              <w:ind w:right="157"/>
              <w:rPr>
                <w:rFonts w:ascii="Arial" w:hAnsi="Arial" w:cs="Arial"/>
                <w:sz w:val="22"/>
                <w:szCs w:val="22"/>
              </w:rPr>
            </w:pPr>
            <w:r w:rsidRPr="006B6913">
              <w:rPr>
                <w:rFonts w:ascii="Arial" w:hAnsi="Arial" w:cs="Arial"/>
                <w:sz w:val="22"/>
                <w:szCs w:val="22"/>
                <w:lang w:val="es-ES_tradnl"/>
              </w:rPr>
              <w:t>Reservas presupuestales constituidas a 31 de diciembre de 2024</w:t>
            </w:r>
          </w:p>
        </w:tc>
        <w:tc>
          <w:tcPr>
            <w:tcW w:w="1842" w:type="dxa"/>
          </w:tcPr>
          <w:p w14:paraId="72C7FB85" w14:textId="77777777" w:rsidR="007E2F9F" w:rsidRPr="006B6913" w:rsidRDefault="007E2F9F" w:rsidP="006548F8">
            <w:pPr>
              <w:tabs>
                <w:tab w:val="left" w:pos="875"/>
              </w:tabs>
              <w:jc w:val="right"/>
              <w:rPr>
                <w:rFonts w:ascii="Arial" w:hAnsi="Arial" w:cs="Arial"/>
                <w:sz w:val="22"/>
                <w:szCs w:val="22"/>
              </w:rPr>
            </w:pPr>
            <w:r w:rsidRPr="006B6913">
              <w:rPr>
                <w:rFonts w:ascii="Arial" w:hAnsi="Arial" w:cs="Arial"/>
                <w:sz w:val="22"/>
                <w:szCs w:val="22"/>
              </w:rPr>
              <w:t xml:space="preserve">          3.240.538 </w:t>
            </w:r>
          </w:p>
        </w:tc>
      </w:tr>
      <w:tr w:rsidR="007E2F9F" w:rsidRPr="006B6913" w14:paraId="05121DE5" w14:textId="77777777" w:rsidTr="006548F8">
        <w:tc>
          <w:tcPr>
            <w:tcW w:w="8648" w:type="dxa"/>
          </w:tcPr>
          <w:p w14:paraId="61E96732" w14:textId="77777777" w:rsidR="007E2F9F" w:rsidRPr="006B6913" w:rsidRDefault="007E2F9F" w:rsidP="006548F8">
            <w:pPr>
              <w:tabs>
                <w:tab w:val="left" w:pos="875"/>
              </w:tabs>
              <w:ind w:right="157"/>
              <w:rPr>
                <w:rFonts w:ascii="Arial" w:hAnsi="Arial" w:cs="Arial"/>
                <w:sz w:val="22"/>
                <w:szCs w:val="22"/>
              </w:rPr>
            </w:pPr>
            <w:r w:rsidRPr="006B6913">
              <w:rPr>
                <w:rFonts w:ascii="Arial" w:hAnsi="Arial" w:cs="Arial"/>
                <w:sz w:val="22"/>
                <w:szCs w:val="22"/>
                <w:lang w:val="es-ES_tradnl"/>
              </w:rPr>
              <w:t>Cuentas por pagar constituidas a 31 de diciembre de 2024</w:t>
            </w:r>
          </w:p>
        </w:tc>
        <w:tc>
          <w:tcPr>
            <w:tcW w:w="1842" w:type="dxa"/>
          </w:tcPr>
          <w:p w14:paraId="5228DF7A" w14:textId="77777777" w:rsidR="007E2F9F" w:rsidRPr="006B6913" w:rsidRDefault="007E2F9F" w:rsidP="006548F8">
            <w:pPr>
              <w:tabs>
                <w:tab w:val="left" w:pos="875"/>
              </w:tabs>
              <w:jc w:val="right"/>
              <w:rPr>
                <w:rFonts w:ascii="Arial" w:hAnsi="Arial" w:cs="Arial"/>
                <w:sz w:val="22"/>
                <w:szCs w:val="22"/>
              </w:rPr>
            </w:pPr>
            <w:r w:rsidRPr="006B6913">
              <w:rPr>
                <w:rFonts w:ascii="Arial" w:hAnsi="Arial" w:cs="Arial"/>
                <w:sz w:val="22"/>
                <w:szCs w:val="22"/>
              </w:rPr>
              <w:t xml:space="preserve">          1.200.501 </w:t>
            </w:r>
          </w:p>
        </w:tc>
      </w:tr>
      <w:tr w:rsidR="007E2F9F" w:rsidRPr="006B6913" w14:paraId="697099BB" w14:textId="77777777" w:rsidTr="006548F8">
        <w:tc>
          <w:tcPr>
            <w:tcW w:w="8648" w:type="dxa"/>
          </w:tcPr>
          <w:p w14:paraId="2311941D" w14:textId="77777777" w:rsidR="007E2F9F" w:rsidRPr="006B6913" w:rsidRDefault="007E2F9F" w:rsidP="006548F8">
            <w:pPr>
              <w:tabs>
                <w:tab w:val="left" w:pos="875"/>
              </w:tabs>
              <w:ind w:right="157"/>
              <w:rPr>
                <w:rFonts w:ascii="Arial" w:hAnsi="Arial" w:cs="Arial"/>
                <w:sz w:val="22"/>
                <w:szCs w:val="22"/>
              </w:rPr>
            </w:pPr>
            <w:r w:rsidRPr="006B6913">
              <w:rPr>
                <w:rFonts w:ascii="Arial" w:hAnsi="Arial" w:cs="Arial"/>
                <w:b/>
                <w:sz w:val="22"/>
                <w:szCs w:val="22"/>
                <w:lang w:val="es-ES_tradnl"/>
              </w:rPr>
              <w:t>TOTAL REZAGO PRESUPUESTAL CONSTITUIDO A 31 DE DICIEMBRE DE 2024</w:t>
            </w:r>
          </w:p>
        </w:tc>
        <w:tc>
          <w:tcPr>
            <w:tcW w:w="1842" w:type="dxa"/>
          </w:tcPr>
          <w:p w14:paraId="746BDFAB" w14:textId="77777777" w:rsidR="007E2F9F" w:rsidRPr="00445C08" w:rsidRDefault="007E2F9F" w:rsidP="006548F8">
            <w:pPr>
              <w:tabs>
                <w:tab w:val="left" w:pos="875"/>
              </w:tabs>
              <w:jc w:val="right"/>
              <w:rPr>
                <w:rFonts w:ascii="Arial" w:hAnsi="Arial" w:cs="Arial"/>
                <w:b/>
                <w:sz w:val="22"/>
                <w:szCs w:val="22"/>
                <w:u w:val="single"/>
              </w:rPr>
            </w:pPr>
            <w:r w:rsidRPr="006B6913">
              <w:rPr>
                <w:rFonts w:ascii="Arial" w:hAnsi="Arial" w:cs="Arial"/>
                <w:b/>
                <w:sz w:val="22"/>
                <w:szCs w:val="22"/>
              </w:rPr>
              <w:t xml:space="preserve">          </w:t>
            </w:r>
            <w:r w:rsidRPr="00445C08">
              <w:rPr>
                <w:rFonts w:ascii="Arial" w:hAnsi="Arial" w:cs="Arial"/>
                <w:b/>
                <w:sz w:val="22"/>
                <w:szCs w:val="22"/>
                <w:u w:val="single"/>
              </w:rPr>
              <w:t xml:space="preserve">4.441.039 </w:t>
            </w:r>
          </w:p>
        </w:tc>
      </w:tr>
    </w:tbl>
    <w:p w14:paraId="1FC68975" w14:textId="77777777" w:rsidR="007E2F9F" w:rsidRDefault="007E2F9F" w:rsidP="007E2F9F">
      <w:pPr>
        <w:tabs>
          <w:tab w:val="left" w:pos="875"/>
        </w:tabs>
        <w:ind w:left="-284" w:right="-234"/>
        <w:jc w:val="both"/>
        <w:rPr>
          <w:rFonts w:ascii="Arial" w:hAnsi="Arial" w:cs="Arial"/>
          <w:lang w:val="es-MX"/>
        </w:rPr>
      </w:pPr>
    </w:p>
    <w:p w14:paraId="1E93FDE9" w14:textId="77777777" w:rsidR="007E2F9F" w:rsidRPr="007E59DD" w:rsidRDefault="007E2F9F" w:rsidP="007E2F9F">
      <w:pPr>
        <w:ind w:left="-284"/>
        <w:jc w:val="both"/>
        <w:rPr>
          <w:rFonts w:ascii="Arial" w:hAnsi="Arial" w:cs="Arial"/>
          <w:b/>
          <w:sz w:val="28"/>
          <w:szCs w:val="28"/>
          <w:lang w:val="es-MX"/>
        </w:rPr>
      </w:pPr>
      <w:r w:rsidRPr="007E59DD">
        <w:rPr>
          <w:rFonts w:ascii="Arial" w:hAnsi="Arial" w:cs="Arial"/>
          <w:b/>
          <w:sz w:val="28"/>
          <w:szCs w:val="28"/>
          <w:lang w:val="es-MX"/>
        </w:rPr>
        <w:t>6.- ARCHIVO GENERAL DE LA NACIÓN JORGE PALACIOS PRECIADO.</w:t>
      </w:r>
    </w:p>
    <w:p w14:paraId="2E809429" w14:textId="77777777" w:rsidR="007E2F9F" w:rsidRDefault="007E2F9F" w:rsidP="007E2F9F">
      <w:pPr>
        <w:tabs>
          <w:tab w:val="left" w:pos="875"/>
        </w:tabs>
        <w:ind w:left="-284" w:right="-234"/>
        <w:jc w:val="both"/>
        <w:rPr>
          <w:rFonts w:ascii="Arial" w:hAnsi="Arial" w:cs="Arial"/>
          <w:lang w:val="es-MX"/>
        </w:rPr>
      </w:pPr>
    </w:p>
    <w:p w14:paraId="15C0AB6F" w14:textId="77777777" w:rsidR="007E2F9F" w:rsidRDefault="007E2F9F" w:rsidP="007E2F9F">
      <w:pPr>
        <w:tabs>
          <w:tab w:val="left" w:pos="875"/>
        </w:tabs>
        <w:spacing w:before="92"/>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1B7D8031" w14:textId="77777777" w:rsidR="007E2F9F" w:rsidRPr="007E59DD" w:rsidRDefault="007E2F9F" w:rsidP="007E2F9F">
      <w:pPr>
        <w:tabs>
          <w:tab w:val="left" w:pos="875"/>
        </w:tabs>
        <w:spacing w:before="92"/>
        <w:ind w:left="-284" w:right="157"/>
        <w:jc w:val="center"/>
        <w:rPr>
          <w:rFonts w:ascii="Arial" w:hAnsi="Arial" w:cs="Arial"/>
          <w:sz w:val="24"/>
        </w:rPr>
      </w:pPr>
      <w:r w:rsidRPr="007E59DD">
        <w:rPr>
          <w:rFonts w:ascii="Arial" w:hAnsi="Arial" w:cs="Arial"/>
          <w:sz w:val="24"/>
        </w:rPr>
        <w:t>(Cifras en miles de pesos).</w:t>
      </w:r>
    </w:p>
    <w:p w14:paraId="38AB9A7D" w14:textId="77777777" w:rsidR="007E2F9F" w:rsidRPr="00B54567" w:rsidRDefault="007E2F9F" w:rsidP="007E2F9F">
      <w:pPr>
        <w:tabs>
          <w:tab w:val="left" w:pos="875"/>
        </w:tabs>
        <w:spacing w:before="92"/>
        <w:ind w:left="-142" w:right="157"/>
        <w:rPr>
          <w:sz w:val="24"/>
        </w:rPr>
      </w:pPr>
    </w:p>
    <w:tbl>
      <w:tblPr>
        <w:tblStyle w:val="Tablaconcuadrcula"/>
        <w:tblW w:w="10490" w:type="dxa"/>
        <w:tblInd w:w="-289" w:type="dxa"/>
        <w:tblLook w:val="04A0" w:firstRow="1" w:lastRow="0" w:firstColumn="1" w:lastColumn="0" w:noHBand="0" w:noVBand="1"/>
      </w:tblPr>
      <w:tblGrid>
        <w:gridCol w:w="8648"/>
        <w:gridCol w:w="1842"/>
      </w:tblGrid>
      <w:tr w:rsidR="007E2F9F" w:rsidRPr="007E59DD" w14:paraId="335F0526" w14:textId="77777777" w:rsidTr="006548F8">
        <w:tc>
          <w:tcPr>
            <w:tcW w:w="8648" w:type="dxa"/>
          </w:tcPr>
          <w:p w14:paraId="2A527A37"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Reservas presupuestales constituidas a 31 de diciembre de 2024</w:t>
            </w:r>
          </w:p>
        </w:tc>
        <w:tc>
          <w:tcPr>
            <w:tcW w:w="1842" w:type="dxa"/>
          </w:tcPr>
          <w:p w14:paraId="39274A6D" w14:textId="77777777" w:rsidR="007E2F9F" w:rsidRPr="00445C08" w:rsidRDefault="007E2F9F" w:rsidP="006548F8">
            <w:pPr>
              <w:tabs>
                <w:tab w:val="left" w:pos="875"/>
              </w:tabs>
              <w:jc w:val="right"/>
              <w:rPr>
                <w:rFonts w:ascii="Arial" w:hAnsi="Arial" w:cs="Arial"/>
              </w:rPr>
            </w:pPr>
            <w:r w:rsidRPr="00445C08">
              <w:rPr>
                <w:rFonts w:ascii="Arial" w:hAnsi="Arial" w:cs="Arial"/>
              </w:rPr>
              <w:t>6.136.952.0</w:t>
            </w:r>
          </w:p>
        </w:tc>
      </w:tr>
      <w:tr w:rsidR="007E2F9F" w:rsidRPr="007E59DD" w14:paraId="1F14B189" w14:textId="77777777" w:rsidTr="006548F8">
        <w:tc>
          <w:tcPr>
            <w:tcW w:w="8648" w:type="dxa"/>
          </w:tcPr>
          <w:p w14:paraId="5F555C91"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Cuentas por pagar constituidas a 31 de diciembre de 2024</w:t>
            </w:r>
          </w:p>
        </w:tc>
        <w:tc>
          <w:tcPr>
            <w:tcW w:w="1842" w:type="dxa"/>
          </w:tcPr>
          <w:p w14:paraId="68CD17BE" w14:textId="77777777" w:rsidR="007E2F9F" w:rsidRPr="00445C08" w:rsidRDefault="007E2F9F" w:rsidP="006548F8">
            <w:pPr>
              <w:tabs>
                <w:tab w:val="left" w:pos="875"/>
              </w:tabs>
              <w:jc w:val="right"/>
              <w:rPr>
                <w:rFonts w:ascii="Arial" w:hAnsi="Arial" w:cs="Arial"/>
              </w:rPr>
            </w:pPr>
            <w:r w:rsidRPr="00445C08">
              <w:rPr>
                <w:rFonts w:ascii="Arial" w:hAnsi="Arial" w:cs="Arial"/>
              </w:rPr>
              <w:t>3964904.3</w:t>
            </w:r>
          </w:p>
        </w:tc>
      </w:tr>
      <w:tr w:rsidR="007E2F9F" w:rsidRPr="007E59DD" w14:paraId="642BA300" w14:textId="77777777" w:rsidTr="006548F8">
        <w:tc>
          <w:tcPr>
            <w:tcW w:w="8648" w:type="dxa"/>
          </w:tcPr>
          <w:p w14:paraId="77EBA29E" w14:textId="77777777" w:rsidR="007E2F9F" w:rsidRPr="00445C08" w:rsidRDefault="007E2F9F" w:rsidP="006548F8">
            <w:pPr>
              <w:tabs>
                <w:tab w:val="left" w:pos="875"/>
              </w:tabs>
              <w:ind w:right="157"/>
              <w:rPr>
                <w:rFonts w:ascii="Arial" w:hAnsi="Arial" w:cs="Arial"/>
              </w:rPr>
            </w:pPr>
            <w:r w:rsidRPr="00445C08">
              <w:rPr>
                <w:rFonts w:ascii="Arial" w:hAnsi="Arial" w:cs="Arial"/>
                <w:b/>
                <w:lang w:val="es-ES_tradnl"/>
              </w:rPr>
              <w:t>TOTAL REZAGO PRESUPUESTAL CONSTITUIDO A 31 DE DICIEMBRE DE 2024</w:t>
            </w:r>
          </w:p>
        </w:tc>
        <w:tc>
          <w:tcPr>
            <w:tcW w:w="1842" w:type="dxa"/>
          </w:tcPr>
          <w:p w14:paraId="25CA7D0A" w14:textId="77777777" w:rsidR="007E2F9F" w:rsidRPr="00445C08" w:rsidRDefault="007E2F9F" w:rsidP="006548F8">
            <w:pPr>
              <w:tabs>
                <w:tab w:val="left" w:pos="875"/>
              </w:tabs>
              <w:jc w:val="right"/>
              <w:rPr>
                <w:rFonts w:ascii="Arial" w:hAnsi="Arial" w:cs="Arial"/>
                <w:b/>
                <w:u w:val="single"/>
              </w:rPr>
            </w:pPr>
            <w:r w:rsidRPr="00445C08">
              <w:rPr>
                <w:rFonts w:ascii="Arial" w:hAnsi="Arial" w:cs="Arial"/>
                <w:b/>
                <w:u w:val="single"/>
              </w:rPr>
              <w:t>10.101.856.4</w:t>
            </w:r>
          </w:p>
        </w:tc>
      </w:tr>
    </w:tbl>
    <w:p w14:paraId="791923F1" w14:textId="77777777" w:rsidR="007E2F9F" w:rsidRPr="00B54567" w:rsidRDefault="007E2F9F" w:rsidP="007E2F9F">
      <w:pPr>
        <w:pStyle w:val="Textoindependiente"/>
        <w:spacing w:before="3"/>
      </w:pPr>
    </w:p>
    <w:p w14:paraId="5484D8CC" w14:textId="77777777" w:rsidR="007E2F9F" w:rsidRPr="00521DFB" w:rsidRDefault="007E2F9F" w:rsidP="007E2F9F">
      <w:pPr>
        <w:ind w:left="-284"/>
        <w:jc w:val="both"/>
        <w:rPr>
          <w:rFonts w:ascii="Arial" w:hAnsi="Arial" w:cs="Arial"/>
          <w:b/>
          <w:sz w:val="28"/>
          <w:szCs w:val="28"/>
          <w:lang w:val="es-MX"/>
        </w:rPr>
      </w:pPr>
      <w:r w:rsidRPr="00521DFB">
        <w:rPr>
          <w:rFonts w:ascii="Arial" w:hAnsi="Arial" w:cs="Arial"/>
          <w:b/>
          <w:sz w:val="28"/>
          <w:szCs w:val="28"/>
          <w:lang w:val="es-MX"/>
        </w:rPr>
        <w:t>7.- INSTITUTO NACIONAL DE SALUD - INS.</w:t>
      </w:r>
    </w:p>
    <w:p w14:paraId="077DFAE1" w14:textId="77777777" w:rsidR="007E2F9F" w:rsidRDefault="007E2F9F" w:rsidP="007E2F9F">
      <w:pPr>
        <w:tabs>
          <w:tab w:val="left" w:pos="875"/>
        </w:tabs>
        <w:ind w:left="-284" w:right="-234"/>
        <w:jc w:val="both"/>
        <w:rPr>
          <w:rFonts w:ascii="Arial" w:hAnsi="Arial" w:cs="Arial"/>
          <w:lang w:val="es-MX"/>
        </w:rPr>
      </w:pPr>
    </w:p>
    <w:p w14:paraId="070E4B61" w14:textId="77777777" w:rsidR="007E2F9F" w:rsidRDefault="007E2F9F" w:rsidP="007E2F9F">
      <w:pPr>
        <w:tabs>
          <w:tab w:val="left" w:pos="875"/>
        </w:tabs>
        <w:spacing w:before="92"/>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4A6E8036" w14:textId="77777777" w:rsidR="007E2F9F" w:rsidRPr="007E59DD" w:rsidRDefault="007E2F9F" w:rsidP="007E2F9F">
      <w:pPr>
        <w:tabs>
          <w:tab w:val="left" w:pos="875"/>
        </w:tabs>
        <w:spacing w:before="92"/>
        <w:ind w:left="-284" w:right="157"/>
        <w:jc w:val="center"/>
        <w:rPr>
          <w:rFonts w:ascii="Arial" w:hAnsi="Arial" w:cs="Arial"/>
          <w:sz w:val="24"/>
        </w:rPr>
      </w:pPr>
      <w:r w:rsidRPr="007E59DD">
        <w:rPr>
          <w:rFonts w:ascii="Arial" w:hAnsi="Arial" w:cs="Arial"/>
          <w:sz w:val="24"/>
        </w:rPr>
        <w:t>(Cifras en miles de pesos).</w:t>
      </w:r>
    </w:p>
    <w:p w14:paraId="0C396565" w14:textId="77777777" w:rsidR="007E2F9F" w:rsidRDefault="007E2F9F" w:rsidP="007E2F9F">
      <w:pPr>
        <w:tabs>
          <w:tab w:val="left" w:pos="875"/>
        </w:tabs>
        <w:ind w:left="-284" w:right="-234"/>
        <w:jc w:val="both"/>
        <w:rPr>
          <w:rFonts w:ascii="Arial" w:hAnsi="Arial" w:cs="Arial"/>
        </w:rPr>
      </w:pPr>
    </w:p>
    <w:tbl>
      <w:tblPr>
        <w:tblStyle w:val="Tablaconcuadrcula"/>
        <w:tblW w:w="10490" w:type="dxa"/>
        <w:tblInd w:w="-289" w:type="dxa"/>
        <w:tblLook w:val="04A0" w:firstRow="1" w:lastRow="0" w:firstColumn="1" w:lastColumn="0" w:noHBand="0" w:noVBand="1"/>
      </w:tblPr>
      <w:tblGrid>
        <w:gridCol w:w="8648"/>
        <w:gridCol w:w="1842"/>
      </w:tblGrid>
      <w:tr w:rsidR="007E2F9F" w:rsidRPr="00445C08" w14:paraId="60606A3D" w14:textId="77777777" w:rsidTr="006548F8">
        <w:tc>
          <w:tcPr>
            <w:tcW w:w="8648" w:type="dxa"/>
          </w:tcPr>
          <w:p w14:paraId="10F39C00"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Reservas presupuestales constituidas a 31 de diciembre de 2024</w:t>
            </w:r>
          </w:p>
        </w:tc>
        <w:tc>
          <w:tcPr>
            <w:tcW w:w="1842" w:type="dxa"/>
          </w:tcPr>
          <w:p w14:paraId="6CB46A57" w14:textId="77777777" w:rsidR="007E2F9F" w:rsidRPr="00445C08" w:rsidRDefault="007E2F9F" w:rsidP="006548F8">
            <w:pPr>
              <w:tabs>
                <w:tab w:val="left" w:pos="875"/>
              </w:tabs>
              <w:jc w:val="right"/>
              <w:rPr>
                <w:rFonts w:ascii="Arial" w:hAnsi="Arial" w:cs="Arial"/>
              </w:rPr>
            </w:pPr>
            <w:r w:rsidRPr="00445C08">
              <w:rPr>
                <w:rFonts w:ascii="Arial" w:hAnsi="Arial" w:cs="Arial"/>
              </w:rPr>
              <w:t>24.729.435.20</w:t>
            </w:r>
          </w:p>
        </w:tc>
      </w:tr>
      <w:tr w:rsidR="007E2F9F" w:rsidRPr="00445C08" w14:paraId="3DA0BDD8" w14:textId="77777777" w:rsidTr="006548F8">
        <w:tc>
          <w:tcPr>
            <w:tcW w:w="8648" w:type="dxa"/>
          </w:tcPr>
          <w:p w14:paraId="6DD88FE2" w14:textId="77777777" w:rsidR="007E2F9F" w:rsidRPr="00445C08" w:rsidRDefault="007E2F9F" w:rsidP="006548F8">
            <w:pPr>
              <w:tabs>
                <w:tab w:val="left" w:pos="875"/>
              </w:tabs>
              <w:ind w:right="157"/>
              <w:rPr>
                <w:rFonts w:ascii="Arial" w:hAnsi="Arial" w:cs="Arial"/>
              </w:rPr>
            </w:pPr>
            <w:r w:rsidRPr="00445C08">
              <w:rPr>
                <w:rFonts w:ascii="Arial" w:hAnsi="Arial" w:cs="Arial"/>
                <w:b/>
                <w:lang w:val="es-ES_tradnl"/>
              </w:rPr>
              <w:t>TOTAL REZAGO PRESUPUESTAL CONSTITUIDO A 31 DE DICIEMBRE DE 2024</w:t>
            </w:r>
          </w:p>
        </w:tc>
        <w:tc>
          <w:tcPr>
            <w:tcW w:w="1842" w:type="dxa"/>
          </w:tcPr>
          <w:p w14:paraId="2814B642" w14:textId="77777777" w:rsidR="007E2F9F" w:rsidRPr="00445C08" w:rsidRDefault="007E2F9F" w:rsidP="006548F8">
            <w:pPr>
              <w:tabs>
                <w:tab w:val="left" w:pos="875"/>
              </w:tabs>
              <w:jc w:val="right"/>
              <w:rPr>
                <w:rFonts w:ascii="Arial" w:hAnsi="Arial" w:cs="Arial"/>
                <w:b/>
                <w:u w:val="single"/>
              </w:rPr>
            </w:pPr>
            <w:r w:rsidRPr="00445C08">
              <w:rPr>
                <w:rFonts w:ascii="Arial" w:hAnsi="Arial" w:cs="Arial"/>
                <w:b/>
                <w:u w:val="single"/>
              </w:rPr>
              <w:t>24.729.435.20</w:t>
            </w:r>
          </w:p>
        </w:tc>
      </w:tr>
    </w:tbl>
    <w:p w14:paraId="5A9FE654" w14:textId="77777777" w:rsidR="007E2F9F" w:rsidRDefault="007E2F9F" w:rsidP="007E2F9F">
      <w:pPr>
        <w:tabs>
          <w:tab w:val="left" w:pos="875"/>
        </w:tabs>
        <w:ind w:left="-284" w:right="-234"/>
        <w:jc w:val="both"/>
        <w:rPr>
          <w:rFonts w:ascii="Arial" w:hAnsi="Arial" w:cs="Arial"/>
        </w:rPr>
      </w:pPr>
    </w:p>
    <w:p w14:paraId="4353FCB5" w14:textId="77777777" w:rsidR="007E2F9F" w:rsidRPr="001667D7" w:rsidRDefault="007E2F9F" w:rsidP="007E2F9F">
      <w:pPr>
        <w:ind w:left="-284" w:right="-234"/>
        <w:jc w:val="both"/>
        <w:rPr>
          <w:rFonts w:ascii="Arial" w:hAnsi="Arial" w:cs="Arial"/>
          <w:b/>
          <w:sz w:val="28"/>
          <w:szCs w:val="28"/>
          <w:lang w:val="es-MX"/>
        </w:rPr>
      </w:pPr>
      <w:r w:rsidRPr="001667D7">
        <w:rPr>
          <w:rFonts w:ascii="Arial" w:hAnsi="Arial" w:cs="Arial"/>
          <w:b/>
          <w:sz w:val="28"/>
          <w:szCs w:val="28"/>
          <w:lang w:val="es-MX"/>
        </w:rPr>
        <w:lastRenderedPageBreak/>
        <w:t>8.- DEPARTAMENTO ADMINISTRATIVO DIRECCIÓN NACIONAL DE INTELIGENCIA.</w:t>
      </w:r>
    </w:p>
    <w:p w14:paraId="08127D94" w14:textId="77777777" w:rsidR="007E2F9F" w:rsidRDefault="007E2F9F" w:rsidP="007E2F9F">
      <w:pPr>
        <w:tabs>
          <w:tab w:val="left" w:pos="875"/>
        </w:tabs>
        <w:ind w:left="-284" w:right="-234"/>
        <w:jc w:val="both"/>
        <w:rPr>
          <w:rFonts w:ascii="Arial" w:hAnsi="Arial" w:cs="Arial"/>
          <w:lang w:val="es-MX"/>
        </w:rPr>
      </w:pPr>
    </w:p>
    <w:p w14:paraId="486857BA" w14:textId="77777777" w:rsidR="007E2F9F" w:rsidRDefault="007E2F9F" w:rsidP="007E2F9F">
      <w:pPr>
        <w:tabs>
          <w:tab w:val="left" w:pos="875"/>
        </w:tabs>
        <w:spacing w:before="92"/>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65FA66EA" w14:textId="77777777" w:rsidR="007E2F9F" w:rsidRPr="007E59DD" w:rsidRDefault="007E2F9F" w:rsidP="007E2F9F">
      <w:pPr>
        <w:tabs>
          <w:tab w:val="left" w:pos="875"/>
        </w:tabs>
        <w:spacing w:before="92"/>
        <w:ind w:left="-284" w:right="157"/>
        <w:jc w:val="center"/>
        <w:rPr>
          <w:rFonts w:ascii="Arial" w:hAnsi="Arial" w:cs="Arial"/>
          <w:sz w:val="24"/>
        </w:rPr>
      </w:pPr>
      <w:r w:rsidRPr="007E59DD">
        <w:rPr>
          <w:rFonts w:ascii="Arial" w:hAnsi="Arial" w:cs="Arial"/>
          <w:sz w:val="24"/>
        </w:rPr>
        <w:t>(Cifras en miles de pesos).</w:t>
      </w:r>
    </w:p>
    <w:tbl>
      <w:tblPr>
        <w:tblStyle w:val="Tablaconcuadrcula"/>
        <w:tblW w:w="10490" w:type="dxa"/>
        <w:tblInd w:w="-289" w:type="dxa"/>
        <w:tblLook w:val="04A0" w:firstRow="1" w:lastRow="0" w:firstColumn="1" w:lastColumn="0" w:noHBand="0" w:noVBand="1"/>
      </w:tblPr>
      <w:tblGrid>
        <w:gridCol w:w="8364"/>
        <w:gridCol w:w="2126"/>
      </w:tblGrid>
      <w:tr w:rsidR="007E2F9F" w:rsidRPr="00C167EC" w14:paraId="18794391" w14:textId="77777777" w:rsidTr="006548F8">
        <w:tc>
          <w:tcPr>
            <w:tcW w:w="8364" w:type="dxa"/>
          </w:tcPr>
          <w:p w14:paraId="24F98350" w14:textId="77777777" w:rsidR="007E2F9F" w:rsidRPr="00C167EC" w:rsidRDefault="007E2F9F" w:rsidP="006548F8">
            <w:pPr>
              <w:tabs>
                <w:tab w:val="left" w:pos="875"/>
              </w:tabs>
              <w:ind w:right="157"/>
              <w:rPr>
                <w:rFonts w:ascii="Arial" w:hAnsi="Arial" w:cs="Arial"/>
                <w:sz w:val="18"/>
                <w:szCs w:val="18"/>
              </w:rPr>
            </w:pPr>
            <w:r w:rsidRPr="00C167EC">
              <w:rPr>
                <w:rFonts w:ascii="Arial" w:hAnsi="Arial" w:cs="Arial"/>
                <w:lang w:val="es-ES_tradnl"/>
              </w:rPr>
              <w:t>Reservas presupuestales constituidas a 31 de diciembre de 2024</w:t>
            </w:r>
          </w:p>
        </w:tc>
        <w:tc>
          <w:tcPr>
            <w:tcW w:w="2126" w:type="dxa"/>
          </w:tcPr>
          <w:p w14:paraId="132F4BBD" w14:textId="77777777" w:rsidR="007E2F9F" w:rsidRPr="00C167EC" w:rsidRDefault="007E2F9F" w:rsidP="006548F8">
            <w:pPr>
              <w:tabs>
                <w:tab w:val="left" w:pos="875"/>
              </w:tabs>
              <w:jc w:val="right"/>
              <w:rPr>
                <w:rFonts w:ascii="Arial" w:hAnsi="Arial" w:cs="Arial"/>
                <w:sz w:val="18"/>
                <w:szCs w:val="18"/>
              </w:rPr>
            </w:pPr>
            <w:r w:rsidRPr="00C167EC">
              <w:rPr>
                <w:rFonts w:ascii="Arial" w:hAnsi="Arial" w:cs="Arial"/>
                <w:sz w:val="18"/>
                <w:szCs w:val="18"/>
              </w:rPr>
              <w:t>25.610.765</w:t>
            </w:r>
          </w:p>
        </w:tc>
      </w:tr>
      <w:tr w:rsidR="007E2F9F" w:rsidRPr="00C167EC" w14:paraId="69255906" w14:textId="77777777" w:rsidTr="006548F8">
        <w:tc>
          <w:tcPr>
            <w:tcW w:w="8364" w:type="dxa"/>
          </w:tcPr>
          <w:p w14:paraId="7F21C419" w14:textId="77777777" w:rsidR="007E2F9F" w:rsidRPr="00C167EC" w:rsidRDefault="007E2F9F" w:rsidP="006548F8">
            <w:pPr>
              <w:tabs>
                <w:tab w:val="left" w:pos="875"/>
              </w:tabs>
              <w:ind w:right="157"/>
              <w:rPr>
                <w:rFonts w:ascii="Arial" w:hAnsi="Arial" w:cs="Arial"/>
                <w:sz w:val="18"/>
                <w:szCs w:val="18"/>
              </w:rPr>
            </w:pPr>
            <w:r w:rsidRPr="00C167EC">
              <w:rPr>
                <w:rFonts w:ascii="Arial" w:hAnsi="Arial" w:cs="Arial"/>
                <w:lang w:val="es-ES_tradnl"/>
              </w:rPr>
              <w:t>Cuentas por pagar constituidas a 31 de diciembre de 2024</w:t>
            </w:r>
          </w:p>
        </w:tc>
        <w:tc>
          <w:tcPr>
            <w:tcW w:w="2126" w:type="dxa"/>
          </w:tcPr>
          <w:p w14:paraId="4D6CFCA6" w14:textId="77777777" w:rsidR="007E2F9F" w:rsidRPr="00C167EC" w:rsidRDefault="007E2F9F" w:rsidP="006548F8">
            <w:pPr>
              <w:tabs>
                <w:tab w:val="left" w:pos="875"/>
              </w:tabs>
              <w:jc w:val="right"/>
              <w:rPr>
                <w:rFonts w:ascii="Arial" w:hAnsi="Arial" w:cs="Arial"/>
                <w:sz w:val="18"/>
                <w:szCs w:val="18"/>
              </w:rPr>
            </w:pPr>
            <w:r w:rsidRPr="00C167EC">
              <w:rPr>
                <w:rFonts w:ascii="Arial" w:hAnsi="Arial" w:cs="Arial"/>
                <w:sz w:val="18"/>
                <w:szCs w:val="18"/>
              </w:rPr>
              <w:t>1.995.421</w:t>
            </w:r>
          </w:p>
        </w:tc>
      </w:tr>
      <w:tr w:rsidR="007E2F9F" w:rsidRPr="00C167EC" w14:paraId="4E52756B" w14:textId="77777777" w:rsidTr="006548F8">
        <w:tc>
          <w:tcPr>
            <w:tcW w:w="8364" w:type="dxa"/>
          </w:tcPr>
          <w:p w14:paraId="58D52A86" w14:textId="77777777" w:rsidR="007E2F9F" w:rsidRPr="00C167EC" w:rsidRDefault="007E2F9F" w:rsidP="006548F8">
            <w:pPr>
              <w:tabs>
                <w:tab w:val="left" w:pos="875"/>
              </w:tabs>
              <w:ind w:right="157"/>
              <w:rPr>
                <w:rFonts w:ascii="Arial" w:hAnsi="Arial" w:cs="Arial"/>
                <w:sz w:val="18"/>
                <w:szCs w:val="18"/>
              </w:rPr>
            </w:pPr>
            <w:r w:rsidRPr="00C167EC">
              <w:rPr>
                <w:rFonts w:ascii="Arial" w:hAnsi="Arial" w:cs="Arial"/>
                <w:b/>
                <w:lang w:val="es-ES_tradnl"/>
              </w:rPr>
              <w:t>TOTAL REZAGO PRESUPUESTAL CONSTITUIDO A 31 DE DICIEMBRE DE 2024</w:t>
            </w:r>
          </w:p>
        </w:tc>
        <w:tc>
          <w:tcPr>
            <w:tcW w:w="2126" w:type="dxa"/>
          </w:tcPr>
          <w:p w14:paraId="04CD2D60" w14:textId="77777777" w:rsidR="007E2F9F" w:rsidRPr="00C167EC" w:rsidRDefault="007E2F9F" w:rsidP="006548F8">
            <w:pPr>
              <w:tabs>
                <w:tab w:val="left" w:pos="875"/>
              </w:tabs>
              <w:jc w:val="right"/>
              <w:rPr>
                <w:rFonts w:ascii="Arial" w:hAnsi="Arial" w:cs="Arial"/>
                <w:b/>
                <w:sz w:val="18"/>
                <w:szCs w:val="18"/>
                <w:u w:val="single"/>
              </w:rPr>
            </w:pPr>
            <w:r w:rsidRPr="00C167EC">
              <w:rPr>
                <w:rFonts w:ascii="Arial" w:hAnsi="Arial" w:cs="Arial"/>
                <w:b/>
                <w:sz w:val="18"/>
                <w:szCs w:val="18"/>
                <w:u w:val="single"/>
              </w:rPr>
              <w:t>27.606.186</w:t>
            </w:r>
          </w:p>
        </w:tc>
      </w:tr>
    </w:tbl>
    <w:p w14:paraId="4C6F76E4" w14:textId="77777777" w:rsidR="007E2F9F" w:rsidRDefault="007E2F9F" w:rsidP="007E2F9F">
      <w:pPr>
        <w:tabs>
          <w:tab w:val="left" w:pos="875"/>
        </w:tabs>
        <w:ind w:left="-284" w:right="-234"/>
        <w:jc w:val="both"/>
        <w:rPr>
          <w:rFonts w:ascii="Arial" w:hAnsi="Arial" w:cs="Arial"/>
        </w:rPr>
      </w:pPr>
    </w:p>
    <w:p w14:paraId="6B30EDAE" w14:textId="77777777" w:rsidR="007E2F9F" w:rsidRPr="008D53AD" w:rsidRDefault="007E2F9F" w:rsidP="007E2F9F">
      <w:pPr>
        <w:ind w:left="-284"/>
        <w:jc w:val="both"/>
        <w:rPr>
          <w:rFonts w:ascii="Arial" w:hAnsi="Arial" w:cs="Arial"/>
          <w:b/>
          <w:sz w:val="28"/>
          <w:szCs w:val="28"/>
          <w:lang w:val="es-MX"/>
        </w:rPr>
      </w:pPr>
      <w:r w:rsidRPr="008D53AD">
        <w:rPr>
          <w:rFonts w:ascii="Arial" w:hAnsi="Arial" w:cs="Arial"/>
          <w:b/>
          <w:sz w:val="28"/>
          <w:szCs w:val="28"/>
          <w:lang w:val="es-MX"/>
        </w:rPr>
        <w:t>9.- CENTRO NACIONAL DE MEMORIA HISTÓRICA.</w:t>
      </w:r>
    </w:p>
    <w:p w14:paraId="4F1B18C8" w14:textId="77777777" w:rsidR="007E2F9F" w:rsidRDefault="007E2F9F" w:rsidP="007E2F9F">
      <w:pPr>
        <w:tabs>
          <w:tab w:val="left" w:pos="875"/>
        </w:tabs>
        <w:ind w:left="-284" w:right="-234"/>
        <w:jc w:val="both"/>
        <w:rPr>
          <w:rFonts w:ascii="Arial" w:hAnsi="Arial" w:cs="Arial"/>
          <w:lang w:val="es-MX"/>
        </w:rPr>
      </w:pPr>
    </w:p>
    <w:p w14:paraId="5D929223" w14:textId="77777777" w:rsidR="007E2F9F" w:rsidRDefault="007E2F9F" w:rsidP="007E2F9F">
      <w:pPr>
        <w:tabs>
          <w:tab w:val="left" w:pos="875"/>
        </w:tabs>
        <w:spacing w:before="92"/>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5AFD2E9E" w14:textId="77777777" w:rsidR="007E2F9F" w:rsidRPr="007E59DD" w:rsidRDefault="007E2F9F" w:rsidP="007E2F9F">
      <w:pPr>
        <w:tabs>
          <w:tab w:val="left" w:pos="875"/>
        </w:tabs>
        <w:spacing w:before="92"/>
        <w:ind w:left="-284" w:right="157"/>
        <w:jc w:val="center"/>
        <w:rPr>
          <w:rFonts w:ascii="Arial" w:hAnsi="Arial" w:cs="Arial"/>
          <w:sz w:val="24"/>
        </w:rPr>
      </w:pPr>
      <w:r w:rsidRPr="007E59DD">
        <w:rPr>
          <w:rFonts w:ascii="Arial" w:hAnsi="Arial" w:cs="Arial"/>
          <w:sz w:val="24"/>
        </w:rPr>
        <w:t>(Cifras en miles de pesos).</w:t>
      </w:r>
    </w:p>
    <w:p w14:paraId="3DF23E70" w14:textId="77777777" w:rsidR="007E2F9F" w:rsidRDefault="007E2F9F" w:rsidP="007E2F9F">
      <w:pPr>
        <w:tabs>
          <w:tab w:val="left" w:pos="875"/>
        </w:tabs>
        <w:ind w:left="-284" w:right="-234"/>
        <w:jc w:val="both"/>
        <w:rPr>
          <w:rFonts w:ascii="Arial" w:hAnsi="Arial" w:cs="Arial"/>
        </w:rPr>
      </w:pPr>
    </w:p>
    <w:tbl>
      <w:tblPr>
        <w:tblStyle w:val="Tablaconcuadrcula"/>
        <w:tblW w:w="10490" w:type="dxa"/>
        <w:tblInd w:w="-289" w:type="dxa"/>
        <w:tblLook w:val="04A0" w:firstRow="1" w:lastRow="0" w:firstColumn="1" w:lastColumn="0" w:noHBand="0" w:noVBand="1"/>
      </w:tblPr>
      <w:tblGrid>
        <w:gridCol w:w="8081"/>
        <w:gridCol w:w="2409"/>
      </w:tblGrid>
      <w:tr w:rsidR="007E2F9F" w:rsidRPr="00445C08" w14:paraId="55CC1909" w14:textId="77777777" w:rsidTr="006548F8">
        <w:tc>
          <w:tcPr>
            <w:tcW w:w="8081" w:type="dxa"/>
          </w:tcPr>
          <w:p w14:paraId="11521CC4"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Reservas presupuestales constituidas a 31 de diciembre de 2024</w:t>
            </w:r>
          </w:p>
        </w:tc>
        <w:tc>
          <w:tcPr>
            <w:tcW w:w="2409" w:type="dxa"/>
          </w:tcPr>
          <w:p w14:paraId="16264906" w14:textId="77777777" w:rsidR="007E2F9F" w:rsidRPr="00445C08" w:rsidRDefault="007E2F9F" w:rsidP="006548F8">
            <w:pPr>
              <w:tabs>
                <w:tab w:val="left" w:pos="875"/>
              </w:tabs>
              <w:jc w:val="right"/>
              <w:rPr>
                <w:rFonts w:ascii="Arial" w:hAnsi="Arial" w:cs="Arial"/>
              </w:rPr>
            </w:pPr>
            <w:r w:rsidRPr="00445C08">
              <w:rPr>
                <w:rFonts w:ascii="Arial" w:hAnsi="Arial" w:cs="Arial"/>
              </w:rPr>
              <w:t>2.698.498</w:t>
            </w:r>
          </w:p>
        </w:tc>
      </w:tr>
      <w:tr w:rsidR="007E2F9F" w:rsidRPr="00445C08" w14:paraId="283995AD" w14:textId="77777777" w:rsidTr="006548F8">
        <w:tc>
          <w:tcPr>
            <w:tcW w:w="8081" w:type="dxa"/>
          </w:tcPr>
          <w:p w14:paraId="11E94E68"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Cuentas por pagar constituidas a 31 de diciembre de 2024</w:t>
            </w:r>
          </w:p>
        </w:tc>
        <w:tc>
          <w:tcPr>
            <w:tcW w:w="2409" w:type="dxa"/>
          </w:tcPr>
          <w:p w14:paraId="3E71A0FB" w14:textId="77777777" w:rsidR="007E2F9F" w:rsidRPr="00445C08" w:rsidRDefault="007E2F9F" w:rsidP="006548F8">
            <w:pPr>
              <w:tabs>
                <w:tab w:val="left" w:pos="875"/>
              </w:tabs>
              <w:jc w:val="right"/>
              <w:rPr>
                <w:rFonts w:ascii="Arial" w:hAnsi="Arial" w:cs="Arial"/>
              </w:rPr>
            </w:pPr>
            <w:r w:rsidRPr="00445C08">
              <w:rPr>
                <w:rFonts w:ascii="Arial" w:hAnsi="Arial" w:cs="Arial"/>
              </w:rPr>
              <w:t>5.265</w:t>
            </w:r>
          </w:p>
        </w:tc>
      </w:tr>
      <w:tr w:rsidR="007E2F9F" w:rsidRPr="00445C08" w14:paraId="23DE3B12" w14:textId="77777777" w:rsidTr="006548F8">
        <w:tc>
          <w:tcPr>
            <w:tcW w:w="8081" w:type="dxa"/>
          </w:tcPr>
          <w:p w14:paraId="442FD52E" w14:textId="77777777" w:rsidR="007E2F9F" w:rsidRPr="00445C08" w:rsidRDefault="007E2F9F" w:rsidP="006548F8">
            <w:pPr>
              <w:tabs>
                <w:tab w:val="left" w:pos="875"/>
              </w:tabs>
              <w:ind w:right="157"/>
              <w:rPr>
                <w:rFonts w:ascii="Arial" w:hAnsi="Arial" w:cs="Arial"/>
              </w:rPr>
            </w:pPr>
            <w:r w:rsidRPr="00445C08">
              <w:rPr>
                <w:rFonts w:ascii="Arial" w:hAnsi="Arial" w:cs="Arial"/>
                <w:b/>
                <w:lang w:val="es-ES_tradnl"/>
              </w:rPr>
              <w:t>TOTAL REZAGO PRESUPUESTAL CONSTITUIDO A 31 DE DICIEMBRE DE 2024</w:t>
            </w:r>
          </w:p>
        </w:tc>
        <w:tc>
          <w:tcPr>
            <w:tcW w:w="2409" w:type="dxa"/>
          </w:tcPr>
          <w:p w14:paraId="7A121C8D" w14:textId="77777777" w:rsidR="007E2F9F" w:rsidRPr="00445C08" w:rsidRDefault="007E2F9F" w:rsidP="006548F8">
            <w:pPr>
              <w:tabs>
                <w:tab w:val="left" w:pos="875"/>
              </w:tabs>
              <w:jc w:val="right"/>
              <w:rPr>
                <w:rFonts w:ascii="Arial" w:hAnsi="Arial" w:cs="Arial"/>
                <w:b/>
                <w:u w:val="single"/>
              </w:rPr>
            </w:pPr>
            <w:r w:rsidRPr="00445C08">
              <w:rPr>
                <w:rFonts w:ascii="Arial" w:hAnsi="Arial" w:cs="Arial"/>
                <w:b/>
                <w:u w:val="single"/>
              </w:rPr>
              <w:t>2.703.763</w:t>
            </w:r>
          </w:p>
        </w:tc>
      </w:tr>
    </w:tbl>
    <w:p w14:paraId="1F8CE01B" w14:textId="77777777" w:rsidR="007E2F9F" w:rsidRDefault="007E2F9F" w:rsidP="007E2F9F">
      <w:pPr>
        <w:tabs>
          <w:tab w:val="left" w:pos="875"/>
        </w:tabs>
        <w:ind w:left="-284" w:right="-234"/>
        <w:jc w:val="both"/>
        <w:rPr>
          <w:rFonts w:ascii="Arial" w:hAnsi="Arial" w:cs="Arial"/>
        </w:rPr>
      </w:pPr>
    </w:p>
    <w:p w14:paraId="7A7E38FB" w14:textId="77777777" w:rsidR="007E2F9F" w:rsidRDefault="007E2F9F" w:rsidP="007E2F9F">
      <w:pPr>
        <w:ind w:left="-284" w:right="-234"/>
        <w:jc w:val="both"/>
        <w:rPr>
          <w:rFonts w:ascii="Arial" w:hAnsi="Arial" w:cs="Arial"/>
          <w:b/>
          <w:sz w:val="28"/>
          <w:szCs w:val="28"/>
          <w:lang w:val="es-MX"/>
        </w:rPr>
      </w:pPr>
      <w:r w:rsidRPr="00634470">
        <w:rPr>
          <w:rFonts w:ascii="Arial" w:hAnsi="Arial" w:cs="Arial"/>
          <w:b/>
          <w:sz w:val="28"/>
          <w:szCs w:val="28"/>
          <w:lang w:val="es-MX"/>
        </w:rPr>
        <w:t>12.- FONDO DE PREVISIÓN SOCIAL DEL CONGRESO DE LA REPÚBLICA – ADMINISTRADORA DE PENSIONES Y CESANTÍAS – FONPRECON.</w:t>
      </w:r>
    </w:p>
    <w:p w14:paraId="575CF8D5" w14:textId="77777777" w:rsidR="007E2F9F" w:rsidRDefault="007E2F9F" w:rsidP="007E2F9F">
      <w:pPr>
        <w:tabs>
          <w:tab w:val="left" w:pos="875"/>
        </w:tabs>
        <w:ind w:left="-284" w:right="-234"/>
        <w:jc w:val="both"/>
        <w:rPr>
          <w:rFonts w:ascii="Arial" w:hAnsi="Arial" w:cs="Arial"/>
        </w:rPr>
      </w:pPr>
    </w:p>
    <w:p w14:paraId="24C2E2C4" w14:textId="77777777" w:rsidR="007E2F9F" w:rsidRDefault="007E2F9F" w:rsidP="007E2F9F">
      <w:pPr>
        <w:tabs>
          <w:tab w:val="left" w:pos="875"/>
        </w:tabs>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63823572" w14:textId="77777777" w:rsidR="007E2F9F" w:rsidRPr="007E59DD" w:rsidRDefault="007E2F9F" w:rsidP="007E2F9F">
      <w:pPr>
        <w:tabs>
          <w:tab w:val="left" w:pos="875"/>
        </w:tabs>
        <w:ind w:left="-284" w:right="157"/>
        <w:jc w:val="center"/>
        <w:rPr>
          <w:rFonts w:ascii="Arial" w:hAnsi="Arial" w:cs="Arial"/>
          <w:sz w:val="24"/>
        </w:rPr>
      </w:pPr>
      <w:r w:rsidRPr="007E59DD">
        <w:rPr>
          <w:rFonts w:ascii="Arial" w:hAnsi="Arial" w:cs="Arial"/>
          <w:sz w:val="24"/>
        </w:rPr>
        <w:t>(Cifras en miles de pesos).</w:t>
      </w:r>
    </w:p>
    <w:p w14:paraId="154931C1" w14:textId="77777777" w:rsidR="007E2F9F" w:rsidRDefault="007E2F9F" w:rsidP="007E2F9F">
      <w:pPr>
        <w:tabs>
          <w:tab w:val="left" w:pos="875"/>
        </w:tabs>
        <w:ind w:left="-284" w:right="-234"/>
        <w:jc w:val="both"/>
        <w:rPr>
          <w:rFonts w:ascii="Arial" w:hAnsi="Arial" w:cs="Arial"/>
        </w:rPr>
      </w:pPr>
    </w:p>
    <w:tbl>
      <w:tblPr>
        <w:tblStyle w:val="Tablaconcuadrcula"/>
        <w:tblW w:w="10490" w:type="dxa"/>
        <w:tblInd w:w="-289" w:type="dxa"/>
        <w:tblLook w:val="04A0" w:firstRow="1" w:lastRow="0" w:firstColumn="1" w:lastColumn="0" w:noHBand="0" w:noVBand="1"/>
      </w:tblPr>
      <w:tblGrid>
        <w:gridCol w:w="8506"/>
        <w:gridCol w:w="1984"/>
      </w:tblGrid>
      <w:tr w:rsidR="007E2F9F" w:rsidRPr="00B54567" w14:paraId="01D738EE" w14:textId="77777777" w:rsidTr="006548F8">
        <w:tc>
          <w:tcPr>
            <w:tcW w:w="8506" w:type="dxa"/>
          </w:tcPr>
          <w:p w14:paraId="34067CB3" w14:textId="77777777" w:rsidR="007E2F9F" w:rsidRPr="00CB6FD9" w:rsidRDefault="007E2F9F" w:rsidP="006548F8">
            <w:pPr>
              <w:tabs>
                <w:tab w:val="left" w:pos="875"/>
              </w:tabs>
              <w:ind w:right="157"/>
              <w:rPr>
                <w:rFonts w:ascii="Arial" w:hAnsi="Arial" w:cs="Arial"/>
                <w:sz w:val="18"/>
                <w:szCs w:val="18"/>
              </w:rPr>
            </w:pPr>
            <w:r w:rsidRPr="00CB6FD9">
              <w:rPr>
                <w:rFonts w:ascii="Arial" w:hAnsi="Arial" w:cs="Arial"/>
                <w:lang w:val="es-ES_tradnl"/>
              </w:rPr>
              <w:t>Reservas presupuestales constituidas a 31 de diciembre de 2024</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14:paraId="77EAB2B8" w14:textId="77777777" w:rsidR="007E2F9F" w:rsidRPr="00CB6FD9" w:rsidRDefault="007E2F9F" w:rsidP="006548F8">
            <w:pPr>
              <w:tabs>
                <w:tab w:val="left" w:pos="875"/>
              </w:tabs>
              <w:jc w:val="right"/>
              <w:rPr>
                <w:rFonts w:ascii="Arial" w:hAnsi="Arial" w:cs="Arial"/>
              </w:rPr>
            </w:pPr>
            <w:r w:rsidRPr="00CB6FD9">
              <w:rPr>
                <w:rFonts w:ascii="Arial" w:hAnsi="Arial" w:cs="Arial"/>
                <w:color w:val="000000"/>
              </w:rPr>
              <w:t xml:space="preserve">      266.896,16 </w:t>
            </w:r>
          </w:p>
        </w:tc>
      </w:tr>
      <w:tr w:rsidR="007E2F9F" w:rsidRPr="00B54567" w14:paraId="3291A8B0" w14:textId="77777777" w:rsidTr="006548F8">
        <w:tc>
          <w:tcPr>
            <w:tcW w:w="8506" w:type="dxa"/>
          </w:tcPr>
          <w:p w14:paraId="38AFAE25" w14:textId="77777777" w:rsidR="007E2F9F" w:rsidRPr="00CB6FD9" w:rsidRDefault="007E2F9F" w:rsidP="006548F8">
            <w:pPr>
              <w:tabs>
                <w:tab w:val="left" w:pos="875"/>
              </w:tabs>
              <w:ind w:right="157"/>
              <w:rPr>
                <w:rFonts w:ascii="Arial" w:hAnsi="Arial" w:cs="Arial"/>
                <w:sz w:val="18"/>
                <w:szCs w:val="18"/>
              </w:rPr>
            </w:pPr>
            <w:r w:rsidRPr="00CB6FD9">
              <w:rPr>
                <w:rFonts w:ascii="Arial" w:hAnsi="Arial" w:cs="Arial"/>
                <w:lang w:val="es-ES_tradnl"/>
              </w:rPr>
              <w:t>Cuentas por pagar constituidas a 31 de diciembre de 2024</w:t>
            </w:r>
          </w:p>
        </w:tc>
        <w:tc>
          <w:tcPr>
            <w:tcW w:w="1984" w:type="dxa"/>
            <w:tcBorders>
              <w:top w:val="nil"/>
              <w:left w:val="single" w:sz="4" w:space="0" w:color="auto"/>
              <w:bottom w:val="single" w:sz="4" w:space="0" w:color="auto"/>
              <w:right w:val="single" w:sz="4" w:space="0" w:color="auto"/>
            </w:tcBorders>
            <w:shd w:val="clear" w:color="000000" w:fill="FFFFFF"/>
            <w:vAlign w:val="bottom"/>
          </w:tcPr>
          <w:p w14:paraId="46B89750" w14:textId="77777777" w:rsidR="007E2F9F" w:rsidRPr="00CB6FD9" w:rsidRDefault="007E2F9F" w:rsidP="006548F8">
            <w:pPr>
              <w:tabs>
                <w:tab w:val="left" w:pos="875"/>
              </w:tabs>
              <w:jc w:val="right"/>
              <w:rPr>
                <w:rFonts w:ascii="Arial" w:hAnsi="Arial" w:cs="Arial"/>
              </w:rPr>
            </w:pPr>
            <w:r w:rsidRPr="00CB6FD9">
              <w:rPr>
                <w:rFonts w:ascii="Arial" w:hAnsi="Arial" w:cs="Arial"/>
                <w:color w:val="000000"/>
              </w:rPr>
              <w:t xml:space="preserve">      300.336,23 </w:t>
            </w:r>
          </w:p>
        </w:tc>
      </w:tr>
      <w:tr w:rsidR="007E2F9F" w:rsidRPr="00B54567" w14:paraId="05BCA42D" w14:textId="77777777" w:rsidTr="006548F8">
        <w:tc>
          <w:tcPr>
            <w:tcW w:w="8506" w:type="dxa"/>
          </w:tcPr>
          <w:p w14:paraId="19012C80" w14:textId="77777777" w:rsidR="007E2F9F" w:rsidRPr="00CB6FD9" w:rsidRDefault="007E2F9F" w:rsidP="006548F8">
            <w:pPr>
              <w:tabs>
                <w:tab w:val="left" w:pos="875"/>
              </w:tabs>
              <w:ind w:right="157"/>
              <w:rPr>
                <w:rFonts w:ascii="Arial" w:hAnsi="Arial" w:cs="Arial"/>
                <w:sz w:val="18"/>
                <w:szCs w:val="18"/>
              </w:rPr>
            </w:pPr>
            <w:r w:rsidRPr="00CB6FD9">
              <w:rPr>
                <w:rFonts w:ascii="Arial" w:hAnsi="Arial" w:cs="Arial"/>
                <w:b/>
                <w:lang w:val="es-ES_tradnl"/>
              </w:rPr>
              <w:t>TOTAL REZAGO PRESUPUESTAL CONSTITUIDO A 31 DE DICIEMBRE DE 2024</w:t>
            </w:r>
          </w:p>
        </w:tc>
        <w:tc>
          <w:tcPr>
            <w:tcW w:w="1984" w:type="dxa"/>
            <w:tcBorders>
              <w:top w:val="nil"/>
              <w:left w:val="single" w:sz="4" w:space="0" w:color="auto"/>
              <w:bottom w:val="single" w:sz="4" w:space="0" w:color="auto"/>
              <w:right w:val="single" w:sz="4" w:space="0" w:color="auto"/>
            </w:tcBorders>
            <w:shd w:val="clear" w:color="000000" w:fill="FFFFFF"/>
            <w:vAlign w:val="bottom"/>
          </w:tcPr>
          <w:p w14:paraId="5D14E5B1" w14:textId="77777777" w:rsidR="007E2F9F" w:rsidRPr="00445C08" w:rsidRDefault="007E2F9F" w:rsidP="006548F8">
            <w:pPr>
              <w:tabs>
                <w:tab w:val="left" w:pos="875"/>
              </w:tabs>
              <w:jc w:val="right"/>
              <w:rPr>
                <w:rFonts w:ascii="Arial" w:hAnsi="Arial" w:cs="Arial"/>
                <w:b/>
                <w:u w:val="single"/>
              </w:rPr>
            </w:pPr>
            <w:r w:rsidRPr="00CB6FD9">
              <w:rPr>
                <w:rFonts w:ascii="Arial" w:hAnsi="Arial" w:cs="Arial"/>
                <w:b/>
                <w:color w:val="000000"/>
              </w:rPr>
              <w:t xml:space="preserve">      </w:t>
            </w:r>
            <w:r w:rsidRPr="00445C08">
              <w:rPr>
                <w:rFonts w:ascii="Arial" w:hAnsi="Arial" w:cs="Arial"/>
                <w:b/>
                <w:color w:val="000000"/>
                <w:u w:val="single"/>
              </w:rPr>
              <w:t xml:space="preserve">567.232,39 </w:t>
            </w:r>
          </w:p>
        </w:tc>
      </w:tr>
    </w:tbl>
    <w:p w14:paraId="30F302E7" w14:textId="77777777" w:rsidR="007E2F9F" w:rsidRDefault="007E2F9F" w:rsidP="007E2F9F">
      <w:pPr>
        <w:tabs>
          <w:tab w:val="left" w:pos="875"/>
        </w:tabs>
        <w:ind w:left="-284" w:right="-234"/>
        <w:jc w:val="both"/>
        <w:rPr>
          <w:rFonts w:ascii="Arial" w:hAnsi="Arial" w:cs="Arial"/>
        </w:rPr>
      </w:pPr>
    </w:p>
    <w:p w14:paraId="75C3265D" w14:textId="77777777" w:rsidR="007E2F9F" w:rsidRDefault="007E2F9F" w:rsidP="007E2F9F">
      <w:pPr>
        <w:ind w:left="-284"/>
        <w:jc w:val="both"/>
        <w:rPr>
          <w:rFonts w:ascii="Arial" w:hAnsi="Arial" w:cs="Arial"/>
          <w:b/>
          <w:sz w:val="28"/>
          <w:szCs w:val="28"/>
          <w:lang w:val="es-MX"/>
        </w:rPr>
      </w:pPr>
      <w:r w:rsidRPr="008937C1">
        <w:rPr>
          <w:rFonts w:ascii="Arial" w:hAnsi="Arial" w:cs="Arial"/>
          <w:b/>
          <w:sz w:val="28"/>
          <w:szCs w:val="28"/>
          <w:lang w:val="es-MX"/>
        </w:rPr>
        <w:t>17.- SUPERINTENDENCIA DE INDUSTRIA Y COMERCIO.</w:t>
      </w:r>
    </w:p>
    <w:p w14:paraId="5AA3C4CE" w14:textId="77777777" w:rsidR="007E2F9F" w:rsidRDefault="007E2F9F" w:rsidP="007E2F9F">
      <w:pPr>
        <w:ind w:left="-284"/>
        <w:jc w:val="both"/>
        <w:rPr>
          <w:rFonts w:ascii="Arial" w:hAnsi="Arial" w:cs="Arial"/>
          <w:b/>
          <w:sz w:val="28"/>
          <w:szCs w:val="28"/>
          <w:lang w:val="es-MX"/>
        </w:rPr>
      </w:pPr>
    </w:p>
    <w:p w14:paraId="57C1F8F6" w14:textId="77777777" w:rsidR="007E2F9F" w:rsidRDefault="007E2F9F" w:rsidP="007E2F9F">
      <w:pPr>
        <w:tabs>
          <w:tab w:val="left" w:pos="875"/>
        </w:tabs>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4778E54F" w14:textId="77777777" w:rsidR="007E2F9F" w:rsidRPr="007E59DD" w:rsidRDefault="007E2F9F" w:rsidP="007E2F9F">
      <w:pPr>
        <w:tabs>
          <w:tab w:val="left" w:pos="875"/>
        </w:tabs>
        <w:ind w:left="-284" w:right="157"/>
        <w:jc w:val="center"/>
        <w:rPr>
          <w:rFonts w:ascii="Arial" w:hAnsi="Arial" w:cs="Arial"/>
          <w:sz w:val="24"/>
        </w:rPr>
      </w:pPr>
      <w:r w:rsidRPr="007E59DD">
        <w:rPr>
          <w:rFonts w:ascii="Arial" w:hAnsi="Arial" w:cs="Arial"/>
          <w:sz w:val="24"/>
        </w:rPr>
        <w:t>(Cifras en miles de pesos).</w:t>
      </w:r>
    </w:p>
    <w:p w14:paraId="0401EFC7" w14:textId="77777777" w:rsidR="007E2F9F" w:rsidRDefault="007E2F9F" w:rsidP="007E2F9F">
      <w:pPr>
        <w:tabs>
          <w:tab w:val="left" w:pos="875"/>
        </w:tabs>
        <w:ind w:left="-284" w:right="-234"/>
        <w:jc w:val="both"/>
        <w:rPr>
          <w:rFonts w:ascii="Arial" w:hAnsi="Arial" w:cs="Arial"/>
        </w:rPr>
      </w:pPr>
    </w:p>
    <w:tbl>
      <w:tblPr>
        <w:tblStyle w:val="Tablaconcuadrcula"/>
        <w:tblW w:w="10490" w:type="dxa"/>
        <w:tblInd w:w="-289" w:type="dxa"/>
        <w:tblLook w:val="04A0" w:firstRow="1" w:lastRow="0" w:firstColumn="1" w:lastColumn="0" w:noHBand="0" w:noVBand="1"/>
      </w:tblPr>
      <w:tblGrid>
        <w:gridCol w:w="8364"/>
        <w:gridCol w:w="2126"/>
      </w:tblGrid>
      <w:tr w:rsidR="007E2F9F" w:rsidRPr="000636F7" w14:paraId="31CBF9D2" w14:textId="77777777" w:rsidTr="006548F8">
        <w:tc>
          <w:tcPr>
            <w:tcW w:w="8364" w:type="dxa"/>
          </w:tcPr>
          <w:p w14:paraId="5958643B" w14:textId="77777777" w:rsidR="007E2F9F" w:rsidRPr="000636F7" w:rsidRDefault="007E2F9F" w:rsidP="006548F8">
            <w:pPr>
              <w:tabs>
                <w:tab w:val="left" w:pos="875"/>
              </w:tabs>
              <w:ind w:right="157"/>
              <w:rPr>
                <w:rFonts w:ascii="Arial" w:hAnsi="Arial" w:cs="Arial"/>
              </w:rPr>
            </w:pPr>
            <w:r w:rsidRPr="000636F7">
              <w:rPr>
                <w:rFonts w:ascii="Arial" w:hAnsi="Arial" w:cs="Arial"/>
                <w:lang w:val="es-ES_tradnl"/>
              </w:rPr>
              <w:t>Reservas presupuestales constituidas a 31 de diciembre de 2024</w:t>
            </w:r>
          </w:p>
        </w:tc>
        <w:tc>
          <w:tcPr>
            <w:tcW w:w="2126" w:type="dxa"/>
          </w:tcPr>
          <w:p w14:paraId="2F0A1B74" w14:textId="77777777" w:rsidR="007E2F9F" w:rsidRPr="000636F7" w:rsidRDefault="007E2F9F" w:rsidP="006548F8">
            <w:pPr>
              <w:tabs>
                <w:tab w:val="left" w:pos="875"/>
              </w:tabs>
              <w:jc w:val="right"/>
              <w:rPr>
                <w:rFonts w:ascii="Arial" w:hAnsi="Arial" w:cs="Arial"/>
              </w:rPr>
            </w:pPr>
            <w:r w:rsidRPr="000636F7">
              <w:rPr>
                <w:rFonts w:ascii="Arial" w:hAnsi="Arial" w:cs="Arial"/>
              </w:rPr>
              <w:t>3.818.621.30</w:t>
            </w:r>
          </w:p>
        </w:tc>
      </w:tr>
      <w:tr w:rsidR="007E2F9F" w:rsidRPr="000636F7" w14:paraId="155ACC12" w14:textId="77777777" w:rsidTr="006548F8">
        <w:tc>
          <w:tcPr>
            <w:tcW w:w="8364" w:type="dxa"/>
          </w:tcPr>
          <w:p w14:paraId="793BCE78" w14:textId="77777777" w:rsidR="007E2F9F" w:rsidRPr="000636F7" w:rsidRDefault="007E2F9F" w:rsidP="006548F8">
            <w:pPr>
              <w:tabs>
                <w:tab w:val="left" w:pos="875"/>
              </w:tabs>
              <w:ind w:right="157"/>
              <w:rPr>
                <w:rFonts w:ascii="Arial" w:hAnsi="Arial" w:cs="Arial"/>
              </w:rPr>
            </w:pPr>
            <w:r w:rsidRPr="000636F7">
              <w:rPr>
                <w:rFonts w:ascii="Arial" w:hAnsi="Arial" w:cs="Arial"/>
                <w:lang w:val="es-ES_tradnl"/>
              </w:rPr>
              <w:t>Cuentas por pagar constituidas a 31 de diciembre de 2024</w:t>
            </w:r>
          </w:p>
        </w:tc>
        <w:tc>
          <w:tcPr>
            <w:tcW w:w="2126" w:type="dxa"/>
          </w:tcPr>
          <w:p w14:paraId="066CC1FD" w14:textId="77777777" w:rsidR="007E2F9F" w:rsidRPr="000636F7" w:rsidRDefault="007E2F9F" w:rsidP="006548F8">
            <w:pPr>
              <w:tabs>
                <w:tab w:val="left" w:pos="875"/>
              </w:tabs>
              <w:jc w:val="right"/>
              <w:rPr>
                <w:rFonts w:ascii="Arial" w:hAnsi="Arial" w:cs="Arial"/>
              </w:rPr>
            </w:pPr>
            <w:r w:rsidRPr="000636F7">
              <w:rPr>
                <w:rFonts w:ascii="Arial" w:hAnsi="Arial" w:cs="Arial"/>
              </w:rPr>
              <w:t>14.225.383.40</w:t>
            </w:r>
          </w:p>
        </w:tc>
      </w:tr>
      <w:tr w:rsidR="007E2F9F" w:rsidRPr="000636F7" w14:paraId="70832762" w14:textId="77777777" w:rsidTr="006548F8">
        <w:tc>
          <w:tcPr>
            <w:tcW w:w="8364" w:type="dxa"/>
          </w:tcPr>
          <w:p w14:paraId="57539B1D" w14:textId="77777777" w:rsidR="007E2F9F" w:rsidRPr="000636F7" w:rsidRDefault="007E2F9F" w:rsidP="006548F8">
            <w:pPr>
              <w:tabs>
                <w:tab w:val="left" w:pos="875"/>
              </w:tabs>
              <w:ind w:right="157"/>
              <w:rPr>
                <w:rFonts w:ascii="Arial" w:hAnsi="Arial" w:cs="Arial"/>
              </w:rPr>
            </w:pPr>
            <w:r w:rsidRPr="000636F7">
              <w:rPr>
                <w:rFonts w:ascii="Arial" w:hAnsi="Arial" w:cs="Arial"/>
                <w:b/>
                <w:lang w:val="es-ES_tradnl"/>
              </w:rPr>
              <w:t>TOTAL, REZAGO PRESUPUESTAL CONSTITUIDO A 31 DE DICIEMBRE DE 2024</w:t>
            </w:r>
          </w:p>
        </w:tc>
        <w:tc>
          <w:tcPr>
            <w:tcW w:w="2126" w:type="dxa"/>
          </w:tcPr>
          <w:p w14:paraId="3D7299CD" w14:textId="77777777" w:rsidR="007E2F9F" w:rsidRPr="000636F7" w:rsidRDefault="007E2F9F" w:rsidP="006548F8">
            <w:pPr>
              <w:tabs>
                <w:tab w:val="left" w:pos="875"/>
              </w:tabs>
              <w:jc w:val="right"/>
              <w:rPr>
                <w:rFonts w:ascii="Arial" w:hAnsi="Arial" w:cs="Arial"/>
                <w:b/>
                <w:u w:val="single"/>
              </w:rPr>
            </w:pPr>
            <w:r w:rsidRPr="000636F7">
              <w:rPr>
                <w:rFonts w:ascii="Arial" w:hAnsi="Arial" w:cs="Arial"/>
                <w:b/>
                <w:u w:val="single"/>
              </w:rPr>
              <w:t>18.044.004.70</w:t>
            </w:r>
          </w:p>
        </w:tc>
      </w:tr>
    </w:tbl>
    <w:p w14:paraId="728AD99A" w14:textId="77777777" w:rsidR="007E2F9F" w:rsidRPr="000636F7" w:rsidRDefault="007E2F9F" w:rsidP="007E2F9F">
      <w:pPr>
        <w:tabs>
          <w:tab w:val="left" w:pos="875"/>
        </w:tabs>
        <w:ind w:left="-284" w:right="-234"/>
        <w:jc w:val="both"/>
        <w:rPr>
          <w:rFonts w:ascii="Arial" w:hAnsi="Arial" w:cs="Arial"/>
        </w:rPr>
      </w:pPr>
    </w:p>
    <w:p w14:paraId="53CAE4A7" w14:textId="77777777" w:rsidR="007E2F9F" w:rsidRPr="000636F7" w:rsidRDefault="007E2F9F" w:rsidP="007E2F9F">
      <w:pPr>
        <w:ind w:left="-284" w:right="-234"/>
        <w:jc w:val="both"/>
        <w:rPr>
          <w:rFonts w:ascii="Arial" w:hAnsi="Arial" w:cs="Arial"/>
          <w:bCs/>
          <w:sz w:val="24"/>
          <w:szCs w:val="24"/>
        </w:rPr>
      </w:pPr>
      <w:bookmarkStart w:id="5" w:name="_Hlk195540773"/>
      <w:r w:rsidRPr="000636F7">
        <w:rPr>
          <w:rFonts w:ascii="Arial" w:hAnsi="Arial" w:cs="Arial"/>
          <w:b/>
          <w:sz w:val="24"/>
          <w:szCs w:val="24"/>
        </w:rPr>
        <w:t xml:space="preserve">NOTA: </w:t>
      </w:r>
      <w:r w:rsidRPr="000636F7">
        <w:rPr>
          <w:rFonts w:ascii="Arial" w:hAnsi="Arial" w:cs="Arial"/>
          <w:bCs/>
          <w:sz w:val="24"/>
          <w:szCs w:val="24"/>
        </w:rPr>
        <w:t>De acuerdo con esta auditoría las cifras expresadas en las tablas de presupuesto no están en miles, con lo informa la entidad.</w:t>
      </w:r>
    </w:p>
    <w:bookmarkEnd w:id="5"/>
    <w:p w14:paraId="29B2B050" w14:textId="77777777" w:rsidR="007E2F9F" w:rsidRDefault="007E2F9F" w:rsidP="007E2F9F">
      <w:pPr>
        <w:tabs>
          <w:tab w:val="left" w:pos="875"/>
        </w:tabs>
        <w:ind w:left="-284" w:right="-234"/>
        <w:jc w:val="both"/>
        <w:rPr>
          <w:rFonts w:ascii="Arial" w:hAnsi="Arial" w:cs="Arial"/>
        </w:rPr>
      </w:pPr>
    </w:p>
    <w:p w14:paraId="4722B824" w14:textId="77777777" w:rsidR="007E2F9F" w:rsidRPr="0017118B" w:rsidRDefault="007E2F9F" w:rsidP="007E2F9F">
      <w:pPr>
        <w:ind w:left="-284"/>
        <w:jc w:val="both"/>
        <w:rPr>
          <w:rFonts w:ascii="Arial" w:hAnsi="Arial" w:cs="Arial"/>
          <w:b/>
          <w:sz w:val="28"/>
          <w:szCs w:val="28"/>
          <w:lang w:val="es-MX"/>
        </w:rPr>
      </w:pPr>
      <w:bookmarkStart w:id="6" w:name="_Hlk195556969"/>
      <w:r w:rsidRPr="0017118B">
        <w:rPr>
          <w:rFonts w:ascii="Arial" w:hAnsi="Arial" w:cs="Arial"/>
          <w:b/>
          <w:sz w:val="28"/>
          <w:szCs w:val="28"/>
          <w:lang w:val="es-MX"/>
        </w:rPr>
        <w:t>18.- DEPARTAMENTO ADMINISTRATIVO DE LA FUNCIÓN PÚBLICA - DAFP.</w:t>
      </w:r>
    </w:p>
    <w:bookmarkEnd w:id="6"/>
    <w:p w14:paraId="19FF1712" w14:textId="77777777" w:rsidR="007E2F9F" w:rsidRPr="0017118B" w:rsidRDefault="007E2F9F" w:rsidP="007E2F9F">
      <w:pPr>
        <w:pStyle w:val="Prrafodelista"/>
        <w:ind w:left="-142"/>
        <w:jc w:val="both"/>
        <w:rPr>
          <w:rFonts w:ascii="Arial" w:hAnsi="Arial" w:cs="Arial"/>
          <w:b/>
          <w:sz w:val="24"/>
        </w:rPr>
      </w:pPr>
    </w:p>
    <w:p w14:paraId="6A24C6C8" w14:textId="77777777" w:rsidR="007E2F9F" w:rsidRDefault="007E2F9F" w:rsidP="007E2F9F">
      <w:pPr>
        <w:pStyle w:val="Prrafodelista"/>
        <w:spacing w:before="92"/>
        <w:ind w:left="-142" w:right="-234"/>
        <w:jc w:val="both"/>
        <w:rPr>
          <w:sz w:val="24"/>
        </w:rPr>
      </w:pPr>
      <w:bookmarkStart w:id="7" w:name="_Hlk195557216"/>
      <w:r>
        <w:rPr>
          <w:b/>
          <w:sz w:val="24"/>
        </w:rPr>
        <w:t xml:space="preserve">NOTA: </w:t>
      </w:r>
      <w:r w:rsidRPr="00770D68">
        <w:rPr>
          <w:sz w:val="24"/>
        </w:rPr>
        <w:t>De acuerdo con esta auditoria las cifras expresadas en las tablas de presupuesto, no están en miles como lo indica la entidad</w:t>
      </w:r>
      <w:r>
        <w:rPr>
          <w:sz w:val="24"/>
        </w:rPr>
        <w:t>.</w:t>
      </w:r>
    </w:p>
    <w:p w14:paraId="1FEADE2B" w14:textId="77777777" w:rsidR="007E2F9F" w:rsidRDefault="007E2F9F" w:rsidP="007E2F9F">
      <w:pPr>
        <w:pStyle w:val="Prrafodelista"/>
        <w:ind w:left="-142" w:right="-234"/>
        <w:jc w:val="both"/>
        <w:rPr>
          <w:sz w:val="24"/>
        </w:rPr>
      </w:pPr>
    </w:p>
    <w:p w14:paraId="1059E699" w14:textId="77777777" w:rsidR="007E2F9F" w:rsidRDefault="007E2F9F" w:rsidP="007E2F9F">
      <w:pPr>
        <w:tabs>
          <w:tab w:val="left" w:pos="875"/>
        </w:tabs>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63F0404A" w14:textId="77777777" w:rsidR="007E2F9F" w:rsidRPr="007E59DD" w:rsidRDefault="007E2F9F" w:rsidP="007E2F9F">
      <w:pPr>
        <w:tabs>
          <w:tab w:val="left" w:pos="875"/>
        </w:tabs>
        <w:ind w:left="-284" w:right="157"/>
        <w:jc w:val="center"/>
        <w:rPr>
          <w:rFonts w:ascii="Arial" w:hAnsi="Arial" w:cs="Arial"/>
          <w:sz w:val="24"/>
        </w:rPr>
      </w:pPr>
      <w:r w:rsidRPr="007E59DD">
        <w:rPr>
          <w:rFonts w:ascii="Arial" w:hAnsi="Arial" w:cs="Arial"/>
          <w:sz w:val="24"/>
        </w:rPr>
        <w:t>(Cifras en miles de pesos).</w:t>
      </w:r>
    </w:p>
    <w:p w14:paraId="12DF4661" w14:textId="77777777" w:rsidR="007E2F9F" w:rsidRDefault="007E2F9F" w:rsidP="007E2F9F">
      <w:pPr>
        <w:pStyle w:val="Prrafodelista"/>
        <w:ind w:left="-142" w:right="-234"/>
        <w:jc w:val="both"/>
        <w:rPr>
          <w:sz w:val="24"/>
        </w:rPr>
      </w:pPr>
    </w:p>
    <w:tbl>
      <w:tblPr>
        <w:tblStyle w:val="Tablaconcuadrcula"/>
        <w:tblW w:w="10348" w:type="dxa"/>
        <w:tblInd w:w="-147" w:type="dxa"/>
        <w:tblLook w:val="04A0" w:firstRow="1" w:lastRow="0" w:firstColumn="1" w:lastColumn="0" w:noHBand="0" w:noVBand="1"/>
      </w:tblPr>
      <w:tblGrid>
        <w:gridCol w:w="8222"/>
        <w:gridCol w:w="2126"/>
      </w:tblGrid>
      <w:tr w:rsidR="007E2F9F" w:rsidRPr="0017118B" w14:paraId="203B41D1" w14:textId="77777777" w:rsidTr="006548F8">
        <w:tc>
          <w:tcPr>
            <w:tcW w:w="8222" w:type="dxa"/>
          </w:tcPr>
          <w:bookmarkEnd w:id="7"/>
          <w:p w14:paraId="1A9BB582" w14:textId="77777777" w:rsidR="007E2F9F" w:rsidRPr="0017118B" w:rsidRDefault="007E2F9F" w:rsidP="006548F8">
            <w:pPr>
              <w:tabs>
                <w:tab w:val="left" w:pos="875"/>
              </w:tabs>
              <w:ind w:right="157"/>
              <w:rPr>
                <w:rFonts w:ascii="Arial" w:hAnsi="Arial" w:cs="Arial"/>
                <w:sz w:val="18"/>
                <w:szCs w:val="18"/>
              </w:rPr>
            </w:pPr>
            <w:r w:rsidRPr="0017118B">
              <w:rPr>
                <w:rFonts w:ascii="Arial" w:hAnsi="Arial" w:cs="Arial"/>
                <w:lang w:val="es-ES_tradnl"/>
              </w:rPr>
              <w:t>Reservas presupuestales constituidas a 31 de diciembre de 2024</w:t>
            </w:r>
          </w:p>
        </w:tc>
        <w:tc>
          <w:tcPr>
            <w:tcW w:w="2126" w:type="dxa"/>
          </w:tcPr>
          <w:p w14:paraId="628EED87" w14:textId="77777777" w:rsidR="007E2F9F" w:rsidRPr="0017118B" w:rsidRDefault="007E2F9F" w:rsidP="006548F8">
            <w:pPr>
              <w:tabs>
                <w:tab w:val="left" w:pos="875"/>
              </w:tabs>
              <w:jc w:val="right"/>
              <w:rPr>
                <w:rFonts w:ascii="Arial" w:hAnsi="Arial" w:cs="Arial"/>
              </w:rPr>
            </w:pPr>
            <w:r w:rsidRPr="0017118B">
              <w:rPr>
                <w:rFonts w:ascii="Arial" w:hAnsi="Arial" w:cs="Arial"/>
              </w:rPr>
              <w:t>1.164.237.049.91</w:t>
            </w:r>
          </w:p>
        </w:tc>
      </w:tr>
      <w:tr w:rsidR="007E2F9F" w:rsidRPr="0017118B" w14:paraId="09BF06F4" w14:textId="77777777" w:rsidTr="006548F8">
        <w:tc>
          <w:tcPr>
            <w:tcW w:w="8222" w:type="dxa"/>
          </w:tcPr>
          <w:p w14:paraId="1C58A660" w14:textId="77777777" w:rsidR="007E2F9F" w:rsidRPr="0017118B" w:rsidRDefault="007E2F9F" w:rsidP="006548F8">
            <w:pPr>
              <w:tabs>
                <w:tab w:val="left" w:pos="875"/>
              </w:tabs>
              <w:ind w:right="157"/>
              <w:rPr>
                <w:rFonts w:ascii="Arial" w:hAnsi="Arial" w:cs="Arial"/>
                <w:sz w:val="18"/>
                <w:szCs w:val="18"/>
              </w:rPr>
            </w:pPr>
            <w:r w:rsidRPr="0017118B">
              <w:rPr>
                <w:rFonts w:ascii="Arial" w:hAnsi="Arial" w:cs="Arial"/>
                <w:lang w:val="es-ES_tradnl"/>
              </w:rPr>
              <w:t>Cuentas por pagar constituidas a 31 de diciembre de 2024</w:t>
            </w:r>
          </w:p>
        </w:tc>
        <w:tc>
          <w:tcPr>
            <w:tcW w:w="2126" w:type="dxa"/>
          </w:tcPr>
          <w:p w14:paraId="0FF3743D" w14:textId="77777777" w:rsidR="007E2F9F" w:rsidRPr="0017118B" w:rsidRDefault="007E2F9F" w:rsidP="006548F8">
            <w:pPr>
              <w:tabs>
                <w:tab w:val="left" w:pos="875"/>
              </w:tabs>
              <w:jc w:val="right"/>
              <w:rPr>
                <w:rFonts w:ascii="Arial" w:hAnsi="Arial" w:cs="Arial"/>
              </w:rPr>
            </w:pPr>
            <w:r w:rsidRPr="0017118B">
              <w:rPr>
                <w:rFonts w:ascii="Arial" w:hAnsi="Arial" w:cs="Arial"/>
              </w:rPr>
              <w:t>202.728.616.00</w:t>
            </w:r>
          </w:p>
        </w:tc>
      </w:tr>
      <w:tr w:rsidR="007E2F9F" w:rsidRPr="0017118B" w14:paraId="38DBCC67" w14:textId="77777777" w:rsidTr="006548F8">
        <w:tc>
          <w:tcPr>
            <w:tcW w:w="8222" w:type="dxa"/>
          </w:tcPr>
          <w:p w14:paraId="007A7A5D" w14:textId="77777777" w:rsidR="007E2F9F" w:rsidRPr="0017118B" w:rsidRDefault="007E2F9F" w:rsidP="006548F8">
            <w:pPr>
              <w:tabs>
                <w:tab w:val="left" w:pos="875"/>
              </w:tabs>
              <w:ind w:right="157"/>
              <w:rPr>
                <w:rFonts w:ascii="Arial" w:hAnsi="Arial" w:cs="Arial"/>
                <w:sz w:val="18"/>
                <w:szCs w:val="18"/>
              </w:rPr>
            </w:pPr>
            <w:r w:rsidRPr="0017118B">
              <w:rPr>
                <w:rFonts w:ascii="Arial" w:hAnsi="Arial" w:cs="Arial"/>
                <w:b/>
                <w:lang w:val="es-ES_tradnl"/>
              </w:rPr>
              <w:t>TOTAL REZAGO PRESUPUESTAL CONSTITUIDO A 31 DE DICIEMBRE DE 2024</w:t>
            </w:r>
          </w:p>
        </w:tc>
        <w:tc>
          <w:tcPr>
            <w:tcW w:w="2126" w:type="dxa"/>
          </w:tcPr>
          <w:p w14:paraId="75B4EC57" w14:textId="77777777" w:rsidR="007E2F9F" w:rsidRPr="00445C08" w:rsidRDefault="007E2F9F" w:rsidP="006548F8">
            <w:pPr>
              <w:tabs>
                <w:tab w:val="left" w:pos="875"/>
              </w:tabs>
              <w:jc w:val="right"/>
              <w:rPr>
                <w:rFonts w:ascii="Arial" w:hAnsi="Arial" w:cs="Arial"/>
                <w:b/>
                <w:u w:val="single"/>
              </w:rPr>
            </w:pPr>
            <w:r w:rsidRPr="00445C08">
              <w:rPr>
                <w:rFonts w:ascii="Arial" w:hAnsi="Arial" w:cs="Arial"/>
                <w:b/>
                <w:u w:val="single"/>
              </w:rPr>
              <w:t>1.366.965.665.91</w:t>
            </w:r>
          </w:p>
        </w:tc>
      </w:tr>
    </w:tbl>
    <w:p w14:paraId="633D681A" w14:textId="77777777" w:rsidR="007E2F9F" w:rsidRDefault="007E2F9F" w:rsidP="007E2F9F">
      <w:pPr>
        <w:tabs>
          <w:tab w:val="left" w:pos="875"/>
        </w:tabs>
        <w:ind w:left="-284" w:right="-234"/>
        <w:jc w:val="both"/>
        <w:rPr>
          <w:rFonts w:ascii="Arial" w:hAnsi="Arial" w:cs="Arial"/>
        </w:rPr>
      </w:pPr>
    </w:p>
    <w:p w14:paraId="45CFA1BC" w14:textId="77777777" w:rsidR="007E2F9F" w:rsidRDefault="007E2F9F" w:rsidP="007E2F9F">
      <w:pPr>
        <w:ind w:left="-142"/>
        <w:jc w:val="both"/>
        <w:rPr>
          <w:rFonts w:ascii="Arial" w:hAnsi="Arial" w:cs="Arial"/>
          <w:b/>
          <w:sz w:val="28"/>
          <w:szCs w:val="28"/>
          <w:lang w:val="es-MX"/>
        </w:rPr>
      </w:pPr>
      <w:r w:rsidRPr="00A87EC1">
        <w:rPr>
          <w:rFonts w:ascii="Arial" w:hAnsi="Arial" w:cs="Arial"/>
          <w:b/>
          <w:sz w:val="28"/>
          <w:szCs w:val="28"/>
          <w:lang w:val="es-MX"/>
        </w:rPr>
        <w:t>19.- DEFENSORÍA DEL PUEBLO.</w:t>
      </w:r>
    </w:p>
    <w:p w14:paraId="497C7F8A" w14:textId="77777777" w:rsidR="007E2F9F" w:rsidRDefault="007E2F9F" w:rsidP="007E2F9F">
      <w:pPr>
        <w:ind w:left="-142"/>
        <w:jc w:val="both"/>
        <w:rPr>
          <w:rFonts w:ascii="Arial" w:hAnsi="Arial" w:cs="Arial"/>
          <w:b/>
          <w:sz w:val="28"/>
          <w:szCs w:val="28"/>
          <w:lang w:val="es-MX"/>
        </w:rPr>
      </w:pPr>
    </w:p>
    <w:p w14:paraId="4835AD98" w14:textId="77777777" w:rsidR="007E2F9F" w:rsidRDefault="007E2F9F" w:rsidP="007E2F9F">
      <w:pPr>
        <w:tabs>
          <w:tab w:val="left" w:pos="875"/>
        </w:tabs>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4E517F9A" w14:textId="77777777" w:rsidR="007E2F9F" w:rsidRPr="007E59DD" w:rsidRDefault="007E2F9F" w:rsidP="007E2F9F">
      <w:pPr>
        <w:tabs>
          <w:tab w:val="left" w:pos="875"/>
        </w:tabs>
        <w:ind w:left="-284" w:right="157"/>
        <w:jc w:val="center"/>
        <w:rPr>
          <w:rFonts w:ascii="Arial" w:hAnsi="Arial" w:cs="Arial"/>
          <w:sz w:val="24"/>
        </w:rPr>
      </w:pPr>
      <w:r w:rsidRPr="007E59DD">
        <w:rPr>
          <w:rFonts w:ascii="Arial" w:hAnsi="Arial" w:cs="Arial"/>
          <w:sz w:val="24"/>
        </w:rPr>
        <w:t>(Cifras en miles de pesos).</w:t>
      </w:r>
    </w:p>
    <w:p w14:paraId="2799198E" w14:textId="77777777" w:rsidR="007E2F9F" w:rsidRDefault="007E2F9F" w:rsidP="007E2F9F">
      <w:pPr>
        <w:tabs>
          <w:tab w:val="left" w:pos="875"/>
        </w:tabs>
        <w:ind w:left="-284" w:right="-234"/>
        <w:jc w:val="both"/>
        <w:rPr>
          <w:rFonts w:ascii="Arial" w:hAnsi="Arial" w:cs="Arial"/>
        </w:rPr>
      </w:pPr>
    </w:p>
    <w:tbl>
      <w:tblPr>
        <w:tblStyle w:val="Tablaconcuadrcula"/>
        <w:tblW w:w="10348" w:type="dxa"/>
        <w:tblInd w:w="-147" w:type="dxa"/>
        <w:tblLook w:val="04A0" w:firstRow="1" w:lastRow="0" w:firstColumn="1" w:lastColumn="0" w:noHBand="0" w:noVBand="1"/>
      </w:tblPr>
      <w:tblGrid>
        <w:gridCol w:w="8222"/>
        <w:gridCol w:w="2126"/>
      </w:tblGrid>
      <w:tr w:rsidR="007E2F9F" w:rsidRPr="00A87EC1" w14:paraId="74D33F3F" w14:textId="77777777" w:rsidTr="006548F8">
        <w:tc>
          <w:tcPr>
            <w:tcW w:w="8222" w:type="dxa"/>
          </w:tcPr>
          <w:p w14:paraId="37761190" w14:textId="77777777" w:rsidR="007E2F9F" w:rsidRPr="00A87EC1" w:rsidRDefault="007E2F9F" w:rsidP="006548F8">
            <w:pPr>
              <w:tabs>
                <w:tab w:val="left" w:pos="875"/>
              </w:tabs>
              <w:ind w:right="157"/>
              <w:rPr>
                <w:rFonts w:ascii="Arial" w:hAnsi="Arial" w:cs="Arial"/>
                <w:sz w:val="18"/>
                <w:szCs w:val="18"/>
              </w:rPr>
            </w:pPr>
            <w:r w:rsidRPr="00A87EC1">
              <w:rPr>
                <w:rFonts w:ascii="Arial" w:hAnsi="Arial" w:cs="Arial"/>
                <w:lang w:val="es-ES_tradnl"/>
              </w:rPr>
              <w:t>Reservas presupuestales constituidas a 31 de diciembre de 2024</w:t>
            </w:r>
          </w:p>
        </w:tc>
        <w:tc>
          <w:tcPr>
            <w:tcW w:w="2126" w:type="dxa"/>
          </w:tcPr>
          <w:p w14:paraId="478C84E6" w14:textId="77777777" w:rsidR="007E2F9F" w:rsidRPr="00A87EC1" w:rsidRDefault="007E2F9F" w:rsidP="006548F8">
            <w:pPr>
              <w:tabs>
                <w:tab w:val="left" w:pos="875"/>
              </w:tabs>
              <w:jc w:val="right"/>
              <w:rPr>
                <w:rFonts w:ascii="Arial" w:hAnsi="Arial" w:cs="Arial"/>
              </w:rPr>
            </w:pPr>
            <w:r w:rsidRPr="00A87EC1">
              <w:rPr>
                <w:rFonts w:ascii="Arial" w:hAnsi="Arial" w:cs="Arial"/>
              </w:rPr>
              <w:t>47.852.845</w:t>
            </w:r>
          </w:p>
        </w:tc>
      </w:tr>
      <w:tr w:rsidR="007E2F9F" w:rsidRPr="00A87EC1" w14:paraId="0C51CDF3" w14:textId="77777777" w:rsidTr="006548F8">
        <w:tc>
          <w:tcPr>
            <w:tcW w:w="8222" w:type="dxa"/>
          </w:tcPr>
          <w:p w14:paraId="672E4FF7" w14:textId="77777777" w:rsidR="007E2F9F" w:rsidRPr="00A87EC1" w:rsidRDefault="007E2F9F" w:rsidP="006548F8">
            <w:pPr>
              <w:tabs>
                <w:tab w:val="left" w:pos="875"/>
              </w:tabs>
              <w:ind w:right="157"/>
              <w:rPr>
                <w:rFonts w:ascii="Arial" w:hAnsi="Arial" w:cs="Arial"/>
                <w:sz w:val="18"/>
                <w:szCs w:val="18"/>
              </w:rPr>
            </w:pPr>
            <w:r w:rsidRPr="00A87EC1">
              <w:rPr>
                <w:rFonts w:ascii="Arial" w:hAnsi="Arial" w:cs="Arial"/>
                <w:lang w:val="es-ES_tradnl"/>
              </w:rPr>
              <w:t>Cuentas por pagar constituidas a 31 de diciembre de 2024</w:t>
            </w:r>
          </w:p>
        </w:tc>
        <w:tc>
          <w:tcPr>
            <w:tcW w:w="2126" w:type="dxa"/>
          </w:tcPr>
          <w:p w14:paraId="76BEAF23" w14:textId="77777777" w:rsidR="007E2F9F" w:rsidRPr="00A87EC1" w:rsidRDefault="007E2F9F" w:rsidP="006548F8">
            <w:pPr>
              <w:tabs>
                <w:tab w:val="left" w:pos="875"/>
              </w:tabs>
              <w:jc w:val="right"/>
              <w:rPr>
                <w:rFonts w:ascii="Arial" w:hAnsi="Arial" w:cs="Arial"/>
              </w:rPr>
            </w:pPr>
            <w:r w:rsidRPr="00A87EC1">
              <w:rPr>
                <w:rFonts w:ascii="Arial" w:hAnsi="Arial" w:cs="Arial"/>
              </w:rPr>
              <w:t>4.162.134</w:t>
            </w:r>
          </w:p>
        </w:tc>
      </w:tr>
      <w:tr w:rsidR="007E2F9F" w:rsidRPr="00A87EC1" w14:paraId="3637263A" w14:textId="77777777" w:rsidTr="006548F8">
        <w:tc>
          <w:tcPr>
            <w:tcW w:w="8222" w:type="dxa"/>
          </w:tcPr>
          <w:p w14:paraId="39569D0C" w14:textId="77777777" w:rsidR="007E2F9F" w:rsidRPr="00A87EC1" w:rsidRDefault="007E2F9F" w:rsidP="006548F8">
            <w:pPr>
              <w:tabs>
                <w:tab w:val="left" w:pos="875"/>
              </w:tabs>
              <w:ind w:right="157"/>
              <w:rPr>
                <w:rFonts w:ascii="Arial" w:hAnsi="Arial" w:cs="Arial"/>
                <w:sz w:val="18"/>
                <w:szCs w:val="18"/>
              </w:rPr>
            </w:pPr>
            <w:r w:rsidRPr="00A87EC1">
              <w:rPr>
                <w:rFonts w:ascii="Arial" w:hAnsi="Arial" w:cs="Arial"/>
                <w:b/>
                <w:lang w:val="es-ES_tradnl"/>
              </w:rPr>
              <w:t>TOTAL, REZAGO PRESUPUESTAL CONSTITUIDO A 31 DE DICIEMBRE DE 2024</w:t>
            </w:r>
          </w:p>
        </w:tc>
        <w:tc>
          <w:tcPr>
            <w:tcW w:w="2126" w:type="dxa"/>
          </w:tcPr>
          <w:p w14:paraId="4AD3B0EC" w14:textId="77777777" w:rsidR="007E2F9F" w:rsidRPr="00A87EC1" w:rsidRDefault="007E2F9F" w:rsidP="006548F8">
            <w:pPr>
              <w:tabs>
                <w:tab w:val="left" w:pos="875"/>
              </w:tabs>
              <w:jc w:val="right"/>
              <w:rPr>
                <w:rFonts w:ascii="Arial" w:hAnsi="Arial" w:cs="Arial"/>
                <w:b/>
                <w:u w:val="single"/>
              </w:rPr>
            </w:pPr>
            <w:r w:rsidRPr="00A87EC1">
              <w:rPr>
                <w:rFonts w:ascii="Arial" w:hAnsi="Arial" w:cs="Arial"/>
                <w:b/>
                <w:u w:val="single"/>
              </w:rPr>
              <w:t>52.014.979</w:t>
            </w:r>
          </w:p>
        </w:tc>
      </w:tr>
    </w:tbl>
    <w:p w14:paraId="7CC24666" w14:textId="77777777" w:rsidR="007E2F9F" w:rsidRDefault="007E2F9F" w:rsidP="007E2F9F">
      <w:pPr>
        <w:tabs>
          <w:tab w:val="left" w:pos="875"/>
        </w:tabs>
        <w:ind w:left="-284" w:right="-234"/>
        <w:jc w:val="both"/>
        <w:rPr>
          <w:rFonts w:ascii="Arial" w:hAnsi="Arial" w:cs="Arial"/>
        </w:rPr>
      </w:pPr>
    </w:p>
    <w:p w14:paraId="4413B443" w14:textId="77777777" w:rsidR="007E2F9F" w:rsidRPr="00303DA3" w:rsidRDefault="007E2F9F" w:rsidP="007E2F9F">
      <w:pPr>
        <w:ind w:left="-142" w:right="-234"/>
        <w:jc w:val="both"/>
        <w:rPr>
          <w:rFonts w:ascii="Arial" w:hAnsi="Arial" w:cs="Arial"/>
          <w:b/>
          <w:sz w:val="28"/>
          <w:szCs w:val="28"/>
          <w:lang w:val="es-MX"/>
        </w:rPr>
      </w:pPr>
      <w:r w:rsidRPr="00303DA3">
        <w:rPr>
          <w:rFonts w:ascii="Arial" w:hAnsi="Arial" w:cs="Arial"/>
          <w:b/>
          <w:sz w:val="28"/>
          <w:szCs w:val="28"/>
          <w:lang w:val="es-MX"/>
        </w:rPr>
        <w:t>20.- INSTITUTO DE HIDROLOGÍA METEOROLOGÍA Y ESTUDIOS AMBIENTALES - IDEAM.</w:t>
      </w:r>
    </w:p>
    <w:p w14:paraId="42F735E6" w14:textId="77777777" w:rsidR="007E2F9F" w:rsidRDefault="007E2F9F" w:rsidP="007E2F9F">
      <w:pPr>
        <w:tabs>
          <w:tab w:val="left" w:pos="875"/>
        </w:tabs>
        <w:ind w:left="-284" w:right="157"/>
        <w:jc w:val="center"/>
        <w:rPr>
          <w:rFonts w:ascii="Arial" w:hAnsi="Arial" w:cs="Arial"/>
          <w:b/>
          <w:sz w:val="24"/>
          <w:u w:val="single"/>
        </w:rPr>
      </w:pPr>
    </w:p>
    <w:p w14:paraId="20DB7DF1" w14:textId="77777777" w:rsidR="007E2F9F" w:rsidRDefault="007E2F9F" w:rsidP="007E2F9F">
      <w:pPr>
        <w:tabs>
          <w:tab w:val="left" w:pos="875"/>
        </w:tabs>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1F7B41AC" w14:textId="77777777" w:rsidR="007E2F9F" w:rsidRPr="007E59DD" w:rsidRDefault="007E2F9F" w:rsidP="007E2F9F">
      <w:pPr>
        <w:tabs>
          <w:tab w:val="left" w:pos="875"/>
        </w:tabs>
        <w:ind w:left="-284" w:right="157"/>
        <w:jc w:val="center"/>
        <w:rPr>
          <w:rFonts w:ascii="Arial" w:hAnsi="Arial" w:cs="Arial"/>
          <w:sz w:val="24"/>
        </w:rPr>
      </w:pPr>
      <w:r w:rsidRPr="007E59DD">
        <w:rPr>
          <w:rFonts w:ascii="Arial" w:hAnsi="Arial" w:cs="Arial"/>
          <w:sz w:val="24"/>
        </w:rPr>
        <w:t>(Cifras en miles de pesos).</w:t>
      </w:r>
    </w:p>
    <w:p w14:paraId="56932306" w14:textId="77777777" w:rsidR="007E2F9F" w:rsidRDefault="007E2F9F" w:rsidP="007E2F9F">
      <w:pPr>
        <w:tabs>
          <w:tab w:val="left" w:pos="875"/>
        </w:tabs>
        <w:ind w:left="-284" w:right="-234"/>
        <w:jc w:val="both"/>
        <w:rPr>
          <w:rFonts w:ascii="Arial" w:hAnsi="Arial" w:cs="Arial"/>
        </w:rPr>
      </w:pPr>
    </w:p>
    <w:tbl>
      <w:tblPr>
        <w:tblStyle w:val="Tablaconcuadrcula"/>
        <w:tblW w:w="10348" w:type="dxa"/>
        <w:tblInd w:w="-147" w:type="dxa"/>
        <w:tblLook w:val="04A0" w:firstRow="1" w:lastRow="0" w:firstColumn="1" w:lastColumn="0" w:noHBand="0" w:noVBand="1"/>
      </w:tblPr>
      <w:tblGrid>
        <w:gridCol w:w="8364"/>
        <w:gridCol w:w="1984"/>
      </w:tblGrid>
      <w:tr w:rsidR="007E2F9F" w:rsidRPr="00303DA3" w14:paraId="78BD4F0C" w14:textId="77777777" w:rsidTr="006548F8">
        <w:tc>
          <w:tcPr>
            <w:tcW w:w="8364" w:type="dxa"/>
          </w:tcPr>
          <w:p w14:paraId="65B37837" w14:textId="77777777" w:rsidR="007E2F9F" w:rsidRPr="00303DA3" w:rsidRDefault="007E2F9F" w:rsidP="006548F8">
            <w:pPr>
              <w:tabs>
                <w:tab w:val="left" w:pos="875"/>
              </w:tabs>
              <w:ind w:right="157"/>
              <w:rPr>
                <w:rFonts w:ascii="Arial" w:hAnsi="Arial" w:cs="Arial"/>
                <w:sz w:val="18"/>
                <w:szCs w:val="18"/>
              </w:rPr>
            </w:pPr>
            <w:r w:rsidRPr="00303DA3">
              <w:rPr>
                <w:rFonts w:ascii="Arial" w:hAnsi="Arial" w:cs="Arial"/>
                <w:lang w:val="es-ES_tradnl"/>
              </w:rPr>
              <w:t>Reservas presupuestales constituidas a 31 de diciembre de 2024</w:t>
            </w:r>
          </w:p>
        </w:tc>
        <w:tc>
          <w:tcPr>
            <w:tcW w:w="1984" w:type="dxa"/>
          </w:tcPr>
          <w:p w14:paraId="3117CA6C" w14:textId="77777777" w:rsidR="007E2F9F" w:rsidRPr="00303DA3" w:rsidRDefault="007E2F9F" w:rsidP="006548F8">
            <w:pPr>
              <w:tabs>
                <w:tab w:val="left" w:pos="875"/>
              </w:tabs>
              <w:jc w:val="right"/>
              <w:rPr>
                <w:rFonts w:ascii="Arial" w:hAnsi="Arial" w:cs="Arial"/>
                <w:sz w:val="18"/>
                <w:szCs w:val="18"/>
              </w:rPr>
            </w:pPr>
            <w:r w:rsidRPr="00303DA3">
              <w:rPr>
                <w:rFonts w:ascii="Arial" w:hAnsi="Arial" w:cs="Arial"/>
                <w:sz w:val="18"/>
                <w:szCs w:val="18"/>
              </w:rPr>
              <w:t>250.805</w:t>
            </w:r>
          </w:p>
        </w:tc>
      </w:tr>
      <w:tr w:rsidR="007E2F9F" w:rsidRPr="00303DA3" w14:paraId="00B2FF24" w14:textId="77777777" w:rsidTr="006548F8">
        <w:tc>
          <w:tcPr>
            <w:tcW w:w="8364" w:type="dxa"/>
          </w:tcPr>
          <w:p w14:paraId="118E79F2" w14:textId="77777777" w:rsidR="007E2F9F" w:rsidRPr="00303DA3" w:rsidRDefault="007E2F9F" w:rsidP="006548F8">
            <w:pPr>
              <w:tabs>
                <w:tab w:val="left" w:pos="875"/>
              </w:tabs>
              <w:ind w:right="157"/>
              <w:rPr>
                <w:rFonts w:ascii="Arial" w:hAnsi="Arial" w:cs="Arial"/>
                <w:sz w:val="18"/>
                <w:szCs w:val="18"/>
              </w:rPr>
            </w:pPr>
            <w:r w:rsidRPr="00303DA3">
              <w:rPr>
                <w:rFonts w:ascii="Arial" w:hAnsi="Arial" w:cs="Arial"/>
                <w:lang w:val="es-ES_tradnl"/>
              </w:rPr>
              <w:t>Cuentas por pagar constituidas a 31 de diciembre de 2024</w:t>
            </w:r>
          </w:p>
        </w:tc>
        <w:tc>
          <w:tcPr>
            <w:tcW w:w="1984" w:type="dxa"/>
          </w:tcPr>
          <w:p w14:paraId="21E8F2B0" w14:textId="77777777" w:rsidR="007E2F9F" w:rsidRPr="00303DA3" w:rsidRDefault="007E2F9F" w:rsidP="006548F8">
            <w:pPr>
              <w:tabs>
                <w:tab w:val="left" w:pos="875"/>
              </w:tabs>
              <w:jc w:val="right"/>
              <w:rPr>
                <w:rFonts w:ascii="Arial" w:hAnsi="Arial" w:cs="Arial"/>
                <w:sz w:val="18"/>
                <w:szCs w:val="18"/>
              </w:rPr>
            </w:pPr>
            <w:r w:rsidRPr="00303DA3">
              <w:rPr>
                <w:rFonts w:ascii="Arial" w:hAnsi="Arial" w:cs="Arial"/>
                <w:sz w:val="18"/>
                <w:szCs w:val="18"/>
              </w:rPr>
              <w:t>891.130</w:t>
            </w:r>
          </w:p>
        </w:tc>
      </w:tr>
      <w:tr w:rsidR="007E2F9F" w:rsidRPr="00303DA3" w14:paraId="51E03EDF" w14:textId="77777777" w:rsidTr="006548F8">
        <w:tc>
          <w:tcPr>
            <w:tcW w:w="8364" w:type="dxa"/>
          </w:tcPr>
          <w:p w14:paraId="6DF2BA34" w14:textId="77777777" w:rsidR="007E2F9F" w:rsidRPr="00303DA3" w:rsidRDefault="007E2F9F" w:rsidP="006548F8">
            <w:pPr>
              <w:tabs>
                <w:tab w:val="left" w:pos="875"/>
              </w:tabs>
              <w:ind w:right="157"/>
              <w:rPr>
                <w:rFonts w:ascii="Arial" w:hAnsi="Arial" w:cs="Arial"/>
                <w:sz w:val="18"/>
                <w:szCs w:val="18"/>
              </w:rPr>
            </w:pPr>
            <w:r w:rsidRPr="00303DA3">
              <w:rPr>
                <w:rFonts w:ascii="Arial" w:hAnsi="Arial" w:cs="Arial"/>
                <w:b/>
                <w:lang w:val="es-ES_tradnl"/>
              </w:rPr>
              <w:t>TOTAL REZAGO PRESUPUESTAL CONSTITUIDO A 31 DE DICIEMBRE DE 2024</w:t>
            </w:r>
          </w:p>
        </w:tc>
        <w:tc>
          <w:tcPr>
            <w:tcW w:w="1984" w:type="dxa"/>
          </w:tcPr>
          <w:p w14:paraId="13DE4A97" w14:textId="77777777" w:rsidR="007E2F9F" w:rsidRPr="00303DA3" w:rsidRDefault="007E2F9F" w:rsidP="006548F8">
            <w:pPr>
              <w:tabs>
                <w:tab w:val="left" w:pos="875"/>
              </w:tabs>
              <w:jc w:val="right"/>
              <w:rPr>
                <w:rFonts w:ascii="Arial" w:hAnsi="Arial" w:cs="Arial"/>
                <w:b/>
                <w:sz w:val="18"/>
                <w:szCs w:val="18"/>
                <w:u w:val="single"/>
              </w:rPr>
            </w:pPr>
            <w:r w:rsidRPr="00303DA3">
              <w:rPr>
                <w:rFonts w:ascii="Arial" w:hAnsi="Arial" w:cs="Arial"/>
                <w:b/>
                <w:sz w:val="18"/>
                <w:szCs w:val="18"/>
                <w:u w:val="single"/>
              </w:rPr>
              <w:t>1.141.935</w:t>
            </w:r>
          </w:p>
        </w:tc>
      </w:tr>
    </w:tbl>
    <w:p w14:paraId="22D8DDCF" w14:textId="77777777" w:rsidR="007E2F9F" w:rsidRDefault="007E2F9F" w:rsidP="007E2F9F">
      <w:pPr>
        <w:tabs>
          <w:tab w:val="left" w:pos="875"/>
        </w:tabs>
        <w:ind w:left="-284" w:right="-234"/>
        <w:jc w:val="both"/>
        <w:rPr>
          <w:rFonts w:ascii="Arial" w:hAnsi="Arial" w:cs="Arial"/>
        </w:rPr>
      </w:pPr>
    </w:p>
    <w:p w14:paraId="74C21E25" w14:textId="77777777" w:rsidR="007E2F9F" w:rsidRPr="00BB2E0A" w:rsidRDefault="007E2F9F" w:rsidP="007E2F9F">
      <w:pPr>
        <w:ind w:left="-142"/>
        <w:jc w:val="both"/>
        <w:rPr>
          <w:rFonts w:ascii="Arial" w:hAnsi="Arial" w:cs="Arial"/>
          <w:b/>
          <w:sz w:val="28"/>
          <w:szCs w:val="28"/>
          <w:lang w:val="es-MX"/>
        </w:rPr>
      </w:pPr>
      <w:r w:rsidRPr="00BB2E0A">
        <w:rPr>
          <w:rFonts w:ascii="Arial" w:hAnsi="Arial" w:cs="Arial"/>
          <w:b/>
          <w:sz w:val="28"/>
          <w:szCs w:val="28"/>
          <w:lang w:val="es-MX"/>
        </w:rPr>
        <w:t>21.- MINISTERIO DEL INTERIOR.</w:t>
      </w:r>
    </w:p>
    <w:p w14:paraId="560B6A60" w14:textId="77777777" w:rsidR="007E2F9F" w:rsidRDefault="007E2F9F" w:rsidP="007E2F9F">
      <w:pPr>
        <w:tabs>
          <w:tab w:val="left" w:pos="875"/>
        </w:tabs>
        <w:ind w:left="-284" w:right="-234"/>
        <w:jc w:val="both"/>
        <w:rPr>
          <w:rFonts w:ascii="Arial" w:hAnsi="Arial" w:cs="Arial"/>
        </w:rPr>
      </w:pPr>
    </w:p>
    <w:p w14:paraId="0EFCC550" w14:textId="77777777" w:rsidR="007E2F9F" w:rsidRDefault="007E2F9F" w:rsidP="007E2F9F">
      <w:pPr>
        <w:tabs>
          <w:tab w:val="left" w:pos="875"/>
        </w:tabs>
        <w:ind w:left="-284" w:right="157"/>
        <w:jc w:val="center"/>
        <w:rPr>
          <w:rFonts w:ascii="Arial" w:hAnsi="Arial" w:cs="Arial"/>
          <w:b/>
          <w:sz w:val="24"/>
        </w:rPr>
      </w:pPr>
      <w:r w:rsidRPr="007E59DD">
        <w:rPr>
          <w:rFonts w:ascii="Arial" w:hAnsi="Arial" w:cs="Arial"/>
          <w:b/>
          <w:sz w:val="24"/>
          <w:u w:val="single"/>
        </w:rPr>
        <w:t>Rezago Presupuestal constituido a 31 de diciembre de 2024</w:t>
      </w:r>
      <w:r w:rsidRPr="007E59DD">
        <w:rPr>
          <w:rFonts w:ascii="Arial" w:hAnsi="Arial" w:cs="Arial"/>
          <w:b/>
          <w:sz w:val="24"/>
        </w:rPr>
        <w:t xml:space="preserve">. </w:t>
      </w:r>
    </w:p>
    <w:p w14:paraId="122A38C6" w14:textId="77777777" w:rsidR="007E2F9F" w:rsidRPr="007E59DD" w:rsidRDefault="007E2F9F" w:rsidP="007E2F9F">
      <w:pPr>
        <w:tabs>
          <w:tab w:val="left" w:pos="875"/>
        </w:tabs>
        <w:ind w:left="-284" w:right="157"/>
        <w:jc w:val="center"/>
        <w:rPr>
          <w:rFonts w:ascii="Arial" w:hAnsi="Arial" w:cs="Arial"/>
          <w:sz w:val="24"/>
        </w:rPr>
      </w:pPr>
      <w:r w:rsidRPr="007E59DD">
        <w:rPr>
          <w:rFonts w:ascii="Arial" w:hAnsi="Arial" w:cs="Arial"/>
          <w:sz w:val="24"/>
        </w:rPr>
        <w:t>(Cifras en miles de pesos).</w:t>
      </w:r>
    </w:p>
    <w:p w14:paraId="78D0CBEF" w14:textId="77777777" w:rsidR="007E2F9F" w:rsidRDefault="007E2F9F" w:rsidP="007E2F9F">
      <w:pPr>
        <w:tabs>
          <w:tab w:val="left" w:pos="875"/>
        </w:tabs>
        <w:ind w:left="-284" w:right="-234"/>
        <w:jc w:val="both"/>
        <w:rPr>
          <w:rFonts w:ascii="Arial" w:hAnsi="Arial" w:cs="Arial"/>
        </w:rPr>
      </w:pPr>
    </w:p>
    <w:tbl>
      <w:tblPr>
        <w:tblStyle w:val="Tablaconcuadrcula"/>
        <w:tblW w:w="10343" w:type="dxa"/>
        <w:jc w:val="center"/>
        <w:tblLook w:val="04A0" w:firstRow="1" w:lastRow="0" w:firstColumn="1" w:lastColumn="0" w:noHBand="0" w:noVBand="1"/>
      </w:tblPr>
      <w:tblGrid>
        <w:gridCol w:w="8648"/>
        <w:gridCol w:w="1695"/>
      </w:tblGrid>
      <w:tr w:rsidR="007E2F9F" w:rsidRPr="001250D0" w14:paraId="53EFE843" w14:textId="77777777" w:rsidTr="006548F8">
        <w:trPr>
          <w:jc w:val="center"/>
        </w:trPr>
        <w:tc>
          <w:tcPr>
            <w:tcW w:w="8648" w:type="dxa"/>
          </w:tcPr>
          <w:p w14:paraId="7D2C7F04"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Reservas presupuestales constituidas a 31 de diciembre de 2024</w:t>
            </w:r>
          </w:p>
        </w:tc>
        <w:tc>
          <w:tcPr>
            <w:tcW w:w="1695" w:type="dxa"/>
            <w:tcBorders>
              <w:top w:val="single" w:sz="8" w:space="0" w:color="auto"/>
              <w:left w:val="single" w:sz="8" w:space="0" w:color="auto"/>
              <w:bottom w:val="single" w:sz="8" w:space="0" w:color="auto"/>
              <w:right w:val="single" w:sz="8" w:space="0" w:color="auto"/>
            </w:tcBorders>
            <w:shd w:val="clear" w:color="auto" w:fill="auto"/>
            <w:vAlign w:val="bottom"/>
          </w:tcPr>
          <w:p w14:paraId="2F11AB93" w14:textId="77777777" w:rsidR="007E2F9F" w:rsidRPr="00445C08" w:rsidRDefault="007E2F9F" w:rsidP="006548F8">
            <w:pPr>
              <w:jc w:val="right"/>
              <w:rPr>
                <w:rFonts w:ascii="Arial" w:hAnsi="Arial" w:cs="Arial"/>
                <w:b/>
                <w:color w:val="000000"/>
              </w:rPr>
            </w:pPr>
            <w:r w:rsidRPr="00445C08">
              <w:rPr>
                <w:rFonts w:ascii="Arial" w:hAnsi="Arial" w:cs="Arial"/>
                <w:b/>
                <w:color w:val="000000"/>
              </w:rPr>
              <w:t xml:space="preserve">469.387.819 </w:t>
            </w:r>
          </w:p>
        </w:tc>
      </w:tr>
      <w:tr w:rsidR="007E2F9F" w:rsidRPr="001250D0" w14:paraId="75C36BEC" w14:textId="77777777" w:rsidTr="006548F8">
        <w:trPr>
          <w:jc w:val="center"/>
        </w:trPr>
        <w:tc>
          <w:tcPr>
            <w:tcW w:w="8648" w:type="dxa"/>
          </w:tcPr>
          <w:p w14:paraId="35AE4595" w14:textId="77777777" w:rsidR="007E2F9F" w:rsidRPr="00445C08" w:rsidRDefault="007E2F9F" w:rsidP="006548F8">
            <w:pPr>
              <w:tabs>
                <w:tab w:val="left" w:pos="875"/>
              </w:tabs>
              <w:ind w:right="157"/>
              <w:rPr>
                <w:rFonts w:ascii="Arial" w:hAnsi="Arial" w:cs="Arial"/>
              </w:rPr>
            </w:pPr>
            <w:r w:rsidRPr="00445C08">
              <w:rPr>
                <w:rFonts w:ascii="Arial" w:hAnsi="Arial" w:cs="Arial"/>
                <w:lang w:val="es-ES_tradnl"/>
              </w:rPr>
              <w:t>Cuentas por pagar constituidas a 31 de diciembre de 2024</w:t>
            </w:r>
          </w:p>
        </w:tc>
        <w:tc>
          <w:tcPr>
            <w:tcW w:w="1695" w:type="dxa"/>
            <w:tcBorders>
              <w:top w:val="nil"/>
              <w:left w:val="single" w:sz="8" w:space="0" w:color="auto"/>
              <w:bottom w:val="nil"/>
              <w:right w:val="single" w:sz="8" w:space="0" w:color="auto"/>
            </w:tcBorders>
            <w:shd w:val="clear" w:color="auto" w:fill="auto"/>
            <w:vAlign w:val="bottom"/>
          </w:tcPr>
          <w:p w14:paraId="79B0268A" w14:textId="77777777" w:rsidR="007E2F9F" w:rsidRPr="00445C08" w:rsidRDefault="007E2F9F" w:rsidP="006548F8">
            <w:pPr>
              <w:jc w:val="right"/>
              <w:rPr>
                <w:rFonts w:ascii="Arial" w:hAnsi="Arial" w:cs="Arial"/>
                <w:b/>
              </w:rPr>
            </w:pPr>
            <w:r w:rsidRPr="00445C08">
              <w:rPr>
                <w:rFonts w:ascii="Arial" w:hAnsi="Arial" w:cs="Arial"/>
                <w:b/>
              </w:rPr>
              <w:t xml:space="preserve">5.223.013 </w:t>
            </w:r>
          </w:p>
        </w:tc>
      </w:tr>
      <w:tr w:rsidR="007E2F9F" w:rsidRPr="001250D0" w14:paraId="0CBE1CC0" w14:textId="77777777" w:rsidTr="006548F8">
        <w:trPr>
          <w:jc w:val="center"/>
        </w:trPr>
        <w:tc>
          <w:tcPr>
            <w:tcW w:w="8648" w:type="dxa"/>
          </w:tcPr>
          <w:p w14:paraId="65103D3C" w14:textId="77777777" w:rsidR="007E2F9F" w:rsidRPr="00445C08" w:rsidRDefault="007E2F9F" w:rsidP="006548F8">
            <w:pPr>
              <w:tabs>
                <w:tab w:val="left" w:pos="875"/>
              </w:tabs>
              <w:ind w:right="157"/>
              <w:jc w:val="both"/>
              <w:rPr>
                <w:rFonts w:ascii="Arial" w:hAnsi="Arial" w:cs="Arial"/>
              </w:rPr>
            </w:pPr>
            <w:r w:rsidRPr="00445C08">
              <w:rPr>
                <w:rFonts w:ascii="Arial" w:hAnsi="Arial" w:cs="Arial"/>
                <w:b/>
                <w:lang w:val="es-ES_tradnl"/>
              </w:rPr>
              <w:t>TOTAL REZAGO PRESUPUESTAL CONSTITUIDO A 31 DE DICIEMBRE DE 2024</w:t>
            </w:r>
          </w:p>
        </w:tc>
        <w:tc>
          <w:tcPr>
            <w:tcW w:w="1695" w:type="dxa"/>
            <w:tcBorders>
              <w:top w:val="single" w:sz="8" w:space="0" w:color="auto"/>
              <w:left w:val="single" w:sz="8" w:space="0" w:color="auto"/>
              <w:bottom w:val="single" w:sz="8" w:space="0" w:color="auto"/>
              <w:right w:val="single" w:sz="8" w:space="0" w:color="auto"/>
            </w:tcBorders>
            <w:shd w:val="clear" w:color="auto" w:fill="auto"/>
            <w:vAlign w:val="bottom"/>
          </w:tcPr>
          <w:p w14:paraId="3B0A146B" w14:textId="77777777" w:rsidR="007E2F9F" w:rsidRPr="00445C08" w:rsidRDefault="007E2F9F" w:rsidP="006548F8">
            <w:pPr>
              <w:jc w:val="right"/>
              <w:rPr>
                <w:rFonts w:ascii="Arial" w:hAnsi="Arial" w:cs="Arial"/>
                <w:b/>
                <w:bCs/>
                <w:color w:val="000000"/>
                <w:u w:val="single"/>
              </w:rPr>
            </w:pPr>
            <w:r w:rsidRPr="00445C08">
              <w:rPr>
                <w:rFonts w:ascii="Arial" w:hAnsi="Arial" w:cs="Arial"/>
                <w:b/>
                <w:bCs/>
                <w:color w:val="000000"/>
                <w:u w:val="single"/>
              </w:rPr>
              <w:t xml:space="preserve">474.610.832 </w:t>
            </w:r>
          </w:p>
        </w:tc>
      </w:tr>
    </w:tbl>
    <w:p w14:paraId="746196FD" w14:textId="77777777" w:rsidR="007E2F9F" w:rsidRDefault="007E2F9F" w:rsidP="007E2F9F">
      <w:pPr>
        <w:tabs>
          <w:tab w:val="left" w:pos="875"/>
        </w:tabs>
        <w:ind w:left="-284" w:right="-234"/>
        <w:jc w:val="both"/>
        <w:rPr>
          <w:rFonts w:ascii="Arial" w:hAnsi="Arial" w:cs="Arial"/>
        </w:rPr>
      </w:pPr>
    </w:p>
    <w:p w14:paraId="5EEA4C50" w14:textId="77777777" w:rsidR="007E2F9F" w:rsidRPr="009B583D" w:rsidRDefault="007E2F9F" w:rsidP="007E2F9F">
      <w:pPr>
        <w:ind w:left="-284"/>
        <w:jc w:val="both"/>
        <w:rPr>
          <w:rFonts w:ascii="Arial" w:hAnsi="Arial" w:cs="Arial"/>
          <w:b/>
          <w:sz w:val="28"/>
          <w:szCs w:val="28"/>
          <w:lang w:val="es-MX"/>
        </w:rPr>
      </w:pPr>
      <w:r w:rsidRPr="009B583D">
        <w:rPr>
          <w:rFonts w:ascii="Arial" w:hAnsi="Arial" w:cs="Arial"/>
          <w:b/>
          <w:sz w:val="28"/>
          <w:szCs w:val="28"/>
          <w:lang w:val="es-MX"/>
        </w:rPr>
        <w:t>22.- DIRECCIÓN NACIONAL DE BOMBEROS DE COLOMBIA - DNBC.</w:t>
      </w:r>
    </w:p>
    <w:p w14:paraId="5D7E822F" w14:textId="77777777" w:rsidR="007E2F9F" w:rsidRPr="009B583D" w:rsidRDefault="007E2F9F" w:rsidP="007E2F9F">
      <w:pPr>
        <w:tabs>
          <w:tab w:val="left" w:pos="875"/>
        </w:tabs>
        <w:ind w:left="-284" w:right="-234"/>
        <w:jc w:val="both"/>
        <w:rPr>
          <w:rFonts w:ascii="Arial" w:hAnsi="Arial" w:cs="Arial"/>
          <w:sz w:val="20"/>
          <w:szCs w:val="20"/>
          <w:lang w:val="es-MX"/>
        </w:rPr>
      </w:pPr>
    </w:p>
    <w:tbl>
      <w:tblPr>
        <w:tblStyle w:val="Tablaconcuadrcula"/>
        <w:tblW w:w="10490" w:type="dxa"/>
        <w:tblInd w:w="-289" w:type="dxa"/>
        <w:tblLook w:val="04A0" w:firstRow="1" w:lastRow="0" w:firstColumn="1" w:lastColumn="0" w:noHBand="0" w:noVBand="1"/>
      </w:tblPr>
      <w:tblGrid>
        <w:gridCol w:w="8789"/>
        <w:gridCol w:w="1701"/>
      </w:tblGrid>
      <w:tr w:rsidR="007E2F9F" w:rsidRPr="009B583D" w14:paraId="1C9EDB7B" w14:textId="77777777" w:rsidTr="006548F8">
        <w:tc>
          <w:tcPr>
            <w:tcW w:w="8789" w:type="dxa"/>
          </w:tcPr>
          <w:p w14:paraId="59553F35" w14:textId="77777777" w:rsidR="007E2F9F" w:rsidRPr="009B583D" w:rsidRDefault="007E2F9F" w:rsidP="006548F8">
            <w:pPr>
              <w:tabs>
                <w:tab w:val="left" w:pos="875"/>
              </w:tabs>
              <w:ind w:right="157"/>
              <w:rPr>
                <w:rFonts w:ascii="Arial" w:hAnsi="Arial" w:cs="Arial"/>
              </w:rPr>
            </w:pPr>
            <w:r w:rsidRPr="009B583D">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3666B0F1" w14:textId="77777777" w:rsidR="007E2F9F" w:rsidRPr="009B583D" w:rsidRDefault="007E2F9F" w:rsidP="006548F8">
            <w:pPr>
              <w:tabs>
                <w:tab w:val="left" w:pos="875"/>
              </w:tabs>
              <w:jc w:val="right"/>
              <w:rPr>
                <w:rFonts w:ascii="Arial" w:hAnsi="Arial" w:cs="Arial"/>
              </w:rPr>
            </w:pPr>
            <w:r w:rsidRPr="009B583D">
              <w:rPr>
                <w:rFonts w:ascii="Arial" w:hAnsi="Arial" w:cs="Arial"/>
                <w:color w:val="000000"/>
              </w:rPr>
              <w:t xml:space="preserve">11.188.705,08 </w:t>
            </w:r>
          </w:p>
        </w:tc>
      </w:tr>
      <w:tr w:rsidR="007E2F9F" w:rsidRPr="009B583D" w14:paraId="65141050" w14:textId="77777777" w:rsidTr="006548F8">
        <w:tc>
          <w:tcPr>
            <w:tcW w:w="8789" w:type="dxa"/>
          </w:tcPr>
          <w:p w14:paraId="1556AD91" w14:textId="77777777" w:rsidR="007E2F9F" w:rsidRPr="009B583D" w:rsidRDefault="007E2F9F" w:rsidP="006548F8">
            <w:pPr>
              <w:tabs>
                <w:tab w:val="left" w:pos="875"/>
              </w:tabs>
              <w:ind w:right="157"/>
              <w:rPr>
                <w:rFonts w:ascii="Arial" w:hAnsi="Arial" w:cs="Arial"/>
              </w:rPr>
            </w:pPr>
            <w:r w:rsidRPr="009B583D">
              <w:rPr>
                <w:rFonts w:ascii="Arial" w:hAnsi="Arial" w:cs="Arial"/>
                <w:b/>
                <w:lang w:val="es-ES_tradnl"/>
              </w:rPr>
              <w:t>TOTAL REZAGO PRESUPUESTAL CONSTITUIDO A 31 DE DICIEMBRE DE 2024</w:t>
            </w:r>
          </w:p>
        </w:tc>
        <w:tc>
          <w:tcPr>
            <w:tcW w:w="1701" w:type="dxa"/>
          </w:tcPr>
          <w:p w14:paraId="394D49C6" w14:textId="77777777" w:rsidR="007E2F9F" w:rsidRPr="009B583D" w:rsidRDefault="007E2F9F" w:rsidP="006548F8">
            <w:pPr>
              <w:tabs>
                <w:tab w:val="left" w:pos="875"/>
              </w:tabs>
              <w:jc w:val="right"/>
              <w:rPr>
                <w:rFonts w:ascii="Arial" w:hAnsi="Arial" w:cs="Arial"/>
                <w:u w:val="single"/>
              </w:rPr>
            </w:pPr>
            <w:r w:rsidRPr="009B583D">
              <w:rPr>
                <w:rFonts w:ascii="Arial" w:hAnsi="Arial" w:cs="Arial"/>
                <w:u w:val="single"/>
              </w:rPr>
              <w:t>11.188.705.08</w:t>
            </w:r>
          </w:p>
        </w:tc>
      </w:tr>
    </w:tbl>
    <w:p w14:paraId="4DC2AFAB" w14:textId="77777777" w:rsidR="007E2F9F" w:rsidRDefault="007E2F9F" w:rsidP="007E2F9F">
      <w:pPr>
        <w:tabs>
          <w:tab w:val="left" w:pos="875"/>
        </w:tabs>
        <w:ind w:left="-284" w:right="-234"/>
        <w:jc w:val="both"/>
        <w:rPr>
          <w:rFonts w:ascii="Arial" w:hAnsi="Arial" w:cs="Arial"/>
          <w:lang w:val="es-MX"/>
        </w:rPr>
      </w:pPr>
    </w:p>
    <w:p w14:paraId="40DA0E75" w14:textId="77777777" w:rsidR="007E2F9F" w:rsidRPr="009B73F4" w:rsidRDefault="007E2F9F" w:rsidP="007E2F9F">
      <w:pPr>
        <w:ind w:left="-284"/>
        <w:jc w:val="both"/>
        <w:rPr>
          <w:rFonts w:ascii="Arial" w:hAnsi="Arial" w:cs="Arial"/>
          <w:b/>
          <w:sz w:val="32"/>
          <w:szCs w:val="32"/>
          <w:lang w:val="es-MX"/>
        </w:rPr>
      </w:pPr>
      <w:r>
        <w:rPr>
          <w:rFonts w:ascii="Arial" w:hAnsi="Arial" w:cs="Arial"/>
          <w:b/>
          <w:sz w:val="32"/>
          <w:szCs w:val="32"/>
          <w:lang w:val="es-MX"/>
        </w:rPr>
        <w:t>23.</w:t>
      </w:r>
      <w:r w:rsidRPr="009B73F4">
        <w:rPr>
          <w:rFonts w:ascii="Arial" w:hAnsi="Arial" w:cs="Arial"/>
          <w:b/>
          <w:sz w:val="32"/>
          <w:szCs w:val="32"/>
          <w:lang w:val="es-MX"/>
        </w:rPr>
        <w:t xml:space="preserve">- </w:t>
      </w:r>
      <w:r>
        <w:rPr>
          <w:rFonts w:ascii="Arial" w:hAnsi="Arial" w:cs="Arial"/>
          <w:b/>
          <w:sz w:val="32"/>
          <w:szCs w:val="32"/>
          <w:lang w:val="es-MX"/>
        </w:rPr>
        <w:t>INSTITUTO NACIONAL DE VÍAS - INVÍAS</w:t>
      </w:r>
      <w:r w:rsidRPr="009B73F4">
        <w:rPr>
          <w:rFonts w:ascii="Arial" w:hAnsi="Arial" w:cs="Arial"/>
          <w:b/>
          <w:sz w:val="32"/>
          <w:szCs w:val="32"/>
          <w:lang w:val="es-MX"/>
        </w:rPr>
        <w:t>.</w:t>
      </w:r>
    </w:p>
    <w:p w14:paraId="08698875" w14:textId="77777777" w:rsidR="007E2F9F" w:rsidRDefault="007E2F9F" w:rsidP="007E2F9F">
      <w:pPr>
        <w:tabs>
          <w:tab w:val="left" w:pos="875"/>
        </w:tabs>
        <w:ind w:left="-284" w:right="-234"/>
        <w:jc w:val="both"/>
        <w:rPr>
          <w:rFonts w:ascii="Arial" w:hAnsi="Arial" w:cs="Arial"/>
          <w:lang w:val="es-MX"/>
        </w:rPr>
      </w:pPr>
    </w:p>
    <w:tbl>
      <w:tblPr>
        <w:tblStyle w:val="Tablaconcuadrcula"/>
        <w:tblW w:w="10522" w:type="dxa"/>
        <w:jc w:val="center"/>
        <w:tblLook w:val="04A0" w:firstRow="1" w:lastRow="0" w:firstColumn="1" w:lastColumn="0" w:noHBand="0" w:noVBand="1"/>
      </w:tblPr>
      <w:tblGrid>
        <w:gridCol w:w="8784"/>
        <w:gridCol w:w="1738"/>
      </w:tblGrid>
      <w:tr w:rsidR="007E2F9F" w:rsidRPr="001250D0" w14:paraId="7BE0B0E9" w14:textId="77777777" w:rsidTr="006548F8">
        <w:trPr>
          <w:jc w:val="center"/>
        </w:trPr>
        <w:tc>
          <w:tcPr>
            <w:tcW w:w="8784" w:type="dxa"/>
          </w:tcPr>
          <w:p w14:paraId="53A49DD6"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Reservas presupuestales constituidas a 31 de diciembre de 202</w:t>
            </w:r>
            <w:r>
              <w:rPr>
                <w:rFonts w:ascii="Arial" w:hAnsi="Arial" w:cs="Arial"/>
                <w:lang w:val="es-ES_tradnl"/>
              </w:rPr>
              <w:t>4</w:t>
            </w:r>
          </w:p>
        </w:tc>
        <w:tc>
          <w:tcPr>
            <w:tcW w:w="1738" w:type="dxa"/>
            <w:tcBorders>
              <w:top w:val="single" w:sz="8" w:space="0" w:color="auto"/>
              <w:left w:val="single" w:sz="8" w:space="0" w:color="auto"/>
              <w:bottom w:val="single" w:sz="8" w:space="0" w:color="auto"/>
              <w:right w:val="single" w:sz="8" w:space="0" w:color="auto"/>
            </w:tcBorders>
            <w:shd w:val="clear" w:color="auto" w:fill="auto"/>
            <w:vAlign w:val="bottom"/>
          </w:tcPr>
          <w:p w14:paraId="6D47F075" w14:textId="77777777" w:rsidR="007E2F9F" w:rsidRPr="004B77FC" w:rsidRDefault="007E2F9F" w:rsidP="006548F8">
            <w:pPr>
              <w:jc w:val="right"/>
              <w:rPr>
                <w:rFonts w:ascii="Arial" w:hAnsi="Arial" w:cs="Arial"/>
                <w:b/>
                <w:color w:val="000000"/>
              </w:rPr>
            </w:pPr>
            <w:r w:rsidRPr="004B77FC">
              <w:rPr>
                <w:rFonts w:ascii="Arial" w:hAnsi="Arial" w:cs="Arial"/>
                <w:b/>
                <w:color w:val="000000"/>
              </w:rPr>
              <w:t xml:space="preserve">2.410.953.231 </w:t>
            </w:r>
          </w:p>
        </w:tc>
      </w:tr>
      <w:tr w:rsidR="007E2F9F" w:rsidRPr="001250D0" w14:paraId="2255F3E3" w14:textId="77777777" w:rsidTr="006548F8">
        <w:trPr>
          <w:jc w:val="center"/>
        </w:trPr>
        <w:tc>
          <w:tcPr>
            <w:tcW w:w="8784" w:type="dxa"/>
          </w:tcPr>
          <w:p w14:paraId="75EFD6F3"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Cuentas por pagar constituidas a 31 de diciembre de 202</w:t>
            </w:r>
            <w:r>
              <w:rPr>
                <w:rFonts w:ascii="Arial" w:hAnsi="Arial" w:cs="Arial"/>
                <w:lang w:val="es-ES_tradnl"/>
              </w:rPr>
              <w:t>4</w:t>
            </w:r>
          </w:p>
        </w:tc>
        <w:tc>
          <w:tcPr>
            <w:tcW w:w="1738" w:type="dxa"/>
            <w:tcBorders>
              <w:top w:val="nil"/>
              <w:left w:val="single" w:sz="8" w:space="0" w:color="auto"/>
              <w:bottom w:val="nil"/>
              <w:right w:val="single" w:sz="8" w:space="0" w:color="auto"/>
            </w:tcBorders>
            <w:shd w:val="clear" w:color="auto" w:fill="auto"/>
            <w:vAlign w:val="bottom"/>
          </w:tcPr>
          <w:p w14:paraId="0D160F4F" w14:textId="77777777" w:rsidR="007E2F9F" w:rsidRPr="004B77FC" w:rsidRDefault="007E2F9F" w:rsidP="006548F8">
            <w:pPr>
              <w:jc w:val="right"/>
              <w:rPr>
                <w:rFonts w:ascii="Arial" w:hAnsi="Arial" w:cs="Arial"/>
                <w:b/>
              </w:rPr>
            </w:pPr>
            <w:r w:rsidRPr="004B77FC">
              <w:rPr>
                <w:rFonts w:ascii="Arial" w:hAnsi="Arial" w:cs="Arial"/>
                <w:b/>
              </w:rPr>
              <w:t xml:space="preserve">58.049.323 </w:t>
            </w:r>
          </w:p>
        </w:tc>
      </w:tr>
      <w:tr w:rsidR="007E2F9F" w:rsidRPr="001250D0" w14:paraId="5EC67C56" w14:textId="77777777" w:rsidTr="006548F8">
        <w:trPr>
          <w:jc w:val="center"/>
        </w:trPr>
        <w:tc>
          <w:tcPr>
            <w:tcW w:w="8784" w:type="dxa"/>
          </w:tcPr>
          <w:p w14:paraId="567A090E" w14:textId="77777777" w:rsidR="007E2F9F" w:rsidRPr="001250D0" w:rsidRDefault="007E2F9F" w:rsidP="006548F8">
            <w:pPr>
              <w:tabs>
                <w:tab w:val="left" w:pos="875"/>
              </w:tabs>
              <w:ind w:right="157"/>
              <w:jc w:val="both"/>
              <w:rPr>
                <w:rFonts w:ascii="Arial" w:hAnsi="Arial" w:cs="Arial"/>
                <w:sz w:val="18"/>
                <w:szCs w:val="18"/>
              </w:rPr>
            </w:pPr>
            <w:r w:rsidRPr="001250D0">
              <w:rPr>
                <w:rFonts w:ascii="Arial" w:hAnsi="Arial" w:cs="Arial"/>
                <w:b/>
                <w:lang w:val="es-ES_tradnl"/>
              </w:rPr>
              <w:t>TOTAL REZAGO PRESUPUESTAL CONSTITUIDO A 31 DE DICIEMBRE DE 202</w:t>
            </w:r>
            <w:r>
              <w:rPr>
                <w:rFonts w:ascii="Arial" w:hAnsi="Arial" w:cs="Arial"/>
                <w:b/>
                <w:lang w:val="es-ES_tradnl"/>
              </w:rPr>
              <w:t>4</w:t>
            </w:r>
          </w:p>
        </w:tc>
        <w:tc>
          <w:tcPr>
            <w:tcW w:w="1738" w:type="dxa"/>
            <w:tcBorders>
              <w:top w:val="single" w:sz="8" w:space="0" w:color="auto"/>
              <w:left w:val="single" w:sz="8" w:space="0" w:color="auto"/>
              <w:bottom w:val="single" w:sz="8" w:space="0" w:color="auto"/>
              <w:right w:val="single" w:sz="8" w:space="0" w:color="auto"/>
            </w:tcBorders>
            <w:shd w:val="clear" w:color="auto" w:fill="auto"/>
            <w:vAlign w:val="bottom"/>
          </w:tcPr>
          <w:p w14:paraId="22BA43C4" w14:textId="77777777" w:rsidR="007E2F9F" w:rsidRPr="00F36EF7" w:rsidRDefault="007E2F9F" w:rsidP="006548F8">
            <w:pPr>
              <w:jc w:val="right"/>
              <w:rPr>
                <w:rFonts w:ascii="Arial" w:hAnsi="Arial" w:cs="Arial"/>
                <w:b/>
                <w:bCs/>
                <w:color w:val="000000"/>
                <w:u w:val="single"/>
              </w:rPr>
            </w:pPr>
            <w:r w:rsidRPr="00F36EF7">
              <w:rPr>
                <w:rFonts w:ascii="Arial" w:hAnsi="Arial" w:cs="Arial"/>
                <w:b/>
                <w:bCs/>
                <w:color w:val="000000"/>
                <w:u w:val="single"/>
              </w:rPr>
              <w:t xml:space="preserve">2.469.002.554 </w:t>
            </w:r>
          </w:p>
        </w:tc>
      </w:tr>
    </w:tbl>
    <w:p w14:paraId="7F9CC9AD" w14:textId="77777777" w:rsidR="007E2F9F" w:rsidRDefault="007E2F9F" w:rsidP="007E2F9F">
      <w:pPr>
        <w:rPr>
          <w:rFonts w:ascii="Arial" w:hAnsi="Arial" w:cs="Arial"/>
          <w:b/>
          <w:sz w:val="24"/>
          <w:szCs w:val="24"/>
          <w:lang w:val="es-MX"/>
        </w:rPr>
      </w:pPr>
    </w:p>
    <w:p w14:paraId="3CF1FB44" w14:textId="77777777" w:rsidR="007E2F9F" w:rsidRPr="00BA7B82" w:rsidRDefault="007E2F9F" w:rsidP="007E2F9F">
      <w:pPr>
        <w:ind w:left="-284"/>
        <w:jc w:val="both"/>
        <w:rPr>
          <w:rFonts w:ascii="Arial" w:hAnsi="Arial" w:cs="Arial"/>
          <w:b/>
          <w:sz w:val="28"/>
          <w:szCs w:val="28"/>
          <w:lang w:val="es-MX"/>
        </w:rPr>
      </w:pPr>
      <w:r w:rsidRPr="00BA7B82">
        <w:rPr>
          <w:rFonts w:ascii="Arial" w:hAnsi="Arial" w:cs="Arial"/>
          <w:b/>
          <w:sz w:val="28"/>
          <w:szCs w:val="28"/>
          <w:lang w:val="es-MX"/>
        </w:rPr>
        <w:t>24.- ESCUELA TECNOLOGICA INSTITUTO TECNICO CENTRAL.</w:t>
      </w:r>
    </w:p>
    <w:p w14:paraId="2A413EA4"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BA7B82" w14:paraId="703E411A" w14:textId="77777777" w:rsidTr="006548F8">
        <w:tc>
          <w:tcPr>
            <w:tcW w:w="8222" w:type="dxa"/>
          </w:tcPr>
          <w:p w14:paraId="240CD260" w14:textId="77777777" w:rsidR="007E2F9F" w:rsidRPr="00BA7B82" w:rsidRDefault="007E2F9F" w:rsidP="006548F8">
            <w:pPr>
              <w:tabs>
                <w:tab w:val="left" w:pos="875"/>
              </w:tabs>
              <w:ind w:right="157"/>
              <w:rPr>
                <w:rFonts w:ascii="Arial" w:hAnsi="Arial" w:cs="Arial"/>
              </w:rPr>
            </w:pPr>
            <w:r w:rsidRPr="00BA7B82">
              <w:rPr>
                <w:rFonts w:ascii="Arial" w:hAnsi="Arial" w:cs="Arial"/>
                <w:lang w:val="es-ES_tradnl"/>
              </w:rPr>
              <w:t>Reservas presupuestales constituidas a 31 de diciembre de 2024</w:t>
            </w:r>
          </w:p>
        </w:tc>
        <w:tc>
          <w:tcPr>
            <w:tcW w:w="2127" w:type="dxa"/>
          </w:tcPr>
          <w:p w14:paraId="1AEF7A94" w14:textId="77777777" w:rsidR="007E2F9F" w:rsidRPr="00BA7B82" w:rsidRDefault="007E2F9F" w:rsidP="006548F8">
            <w:pPr>
              <w:tabs>
                <w:tab w:val="left" w:pos="875"/>
              </w:tabs>
              <w:jc w:val="right"/>
              <w:rPr>
                <w:rFonts w:ascii="Arial" w:hAnsi="Arial" w:cs="Arial"/>
              </w:rPr>
            </w:pPr>
            <w:r w:rsidRPr="00BA7B82">
              <w:rPr>
                <w:rFonts w:ascii="Arial" w:hAnsi="Arial" w:cs="Arial"/>
              </w:rPr>
              <w:t>11.798.784.752.26</w:t>
            </w:r>
          </w:p>
        </w:tc>
      </w:tr>
      <w:tr w:rsidR="007E2F9F" w:rsidRPr="00BA7B82" w14:paraId="25AF8132" w14:textId="77777777" w:rsidTr="006548F8">
        <w:tc>
          <w:tcPr>
            <w:tcW w:w="8222" w:type="dxa"/>
          </w:tcPr>
          <w:p w14:paraId="1F546B46" w14:textId="77777777" w:rsidR="007E2F9F" w:rsidRPr="00BA7B82" w:rsidRDefault="007E2F9F" w:rsidP="006548F8">
            <w:pPr>
              <w:tabs>
                <w:tab w:val="left" w:pos="875"/>
              </w:tabs>
              <w:ind w:right="157"/>
              <w:rPr>
                <w:rFonts w:ascii="Arial" w:hAnsi="Arial" w:cs="Arial"/>
              </w:rPr>
            </w:pPr>
            <w:r w:rsidRPr="00BA7B82">
              <w:rPr>
                <w:rFonts w:ascii="Arial" w:hAnsi="Arial" w:cs="Arial"/>
                <w:lang w:val="es-ES_tradnl"/>
              </w:rPr>
              <w:t>Cuentas por pagar constituidas a 31 de diciembre de 2024</w:t>
            </w:r>
          </w:p>
        </w:tc>
        <w:tc>
          <w:tcPr>
            <w:tcW w:w="2127" w:type="dxa"/>
          </w:tcPr>
          <w:p w14:paraId="04A41468" w14:textId="77777777" w:rsidR="007E2F9F" w:rsidRPr="00BA7B82" w:rsidRDefault="007E2F9F" w:rsidP="006548F8">
            <w:pPr>
              <w:tabs>
                <w:tab w:val="left" w:pos="875"/>
              </w:tabs>
              <w:jc w:val="right"/>
              <w:rPr>
                <w:rFonts w:ascii="Arial" w:hAnsi="Arial" w:cs="Arial"/>
              </w:rPr>
            </w:pPr>
            <w:r w:rsidRPr="00BA7B82">
              <w:rPr>
                <w:rFonts w:ascii="Arial" w:hAnsi="Arial" w:cs="Arial"/>
              </w:rPr>
              <w:t>555.453.620.73</w:t>
            </w:r>
          </w:p>
        </w:tc>
      </w:tr>
      <w:tr w:rsidR="007E2F9F" w:rsidRPr="00BA7B82" w14:paraId="2B5E1D3F" w14:textId="77777777" w:rsidTr="006548F8">
        <w:tc>
          <w:tcPr>
            <w:tcW w:w="8222" w:type="dxa"/>
          </w:tcPr>
          <w:p w14:paraId="58FC2378" w14:textId="77777777" w:rsidR="007E2F9F" w:rsidRPr="00BA7B82" w:rsidRDefault="007E2F9F" w:rsidP="006548F8">
            <w:pPr>
              <w:tabs>
                <w:tab w:val="left" w:pos="875"/>
              </w:tabs>
              <w:ind w:right="157"/>
              <w:rPr>
                <w:rFonts w:ascii="Arial" w:hAnsi="Arial" w:cs="Arial"/>
              </w:rPr>
            </w:pPr>
            <w:r w:rsidRPr="00BA7B82">
              <w:rPr>
                <w:rFonts w:ascii="Arial" w:hAnsi="Arial" w:cs="Arial"/>
                <w:b/>
                <w:lang w:val="es-ES_tradnl"/>
              </w:rPr>
              <w:t>TOTAL REZAGO PRESUPUESTAL CONSTITUIDO A 31 DE DICIEMBRE DE 2024</w:t>
            </w:r>
          </w:p>
        </w:tc>
        <w:tc>
          <w:tcPr>
            <w:tcW w:w="2127" w:type="dxa"/>
          </w:tcPr>
          <w:p w14:paraId="5BE9974C" w14:textId="77777777" w:rsidR="007E2F9F" w:rsidRPr="00BA7B82" w:rsidRDefault="007E2F9F" w:rsidP="006548F8">
            <w:pPr>
              <w:tabs>
                <w:tab w:val="left" w:pos="875"/>
              </w:tabs>
              <w:jc w:val="right"/>
              <w:rPr>
                <w:rFonts w:ascii="Arial" w:hAnsi="Arial" w:cs="Arial"/>
                <w:b/>
                <w:u w:val="single"/>
              </w:rPr>
            </w:pPr>
            <w:r w:rsidRPr="00BA7B82">
              <w:rPr>
                <w:rFonts w:ascii="Arial" w:hAnsi="Arial" w:cs="Arial"/>
                <w:b/>
                <w:u w:val="single"/>
              </w:rPr>
              <w:t>12.354.238.372.99</w:t>
            </w:r>
          </w:p>
        </w:tc>
      </w:tr>
    </w:tbl>
    <w:p w14:paraId="5494BD2C" w14:textId="77777777" w:rsidR="007E2F9F" w:rsidRDefault="007E2F9F" w:rsidP="007E2F9F">
      <w:pPr>
        <w:tabs>
          <w:tab w:val="left" w:pos="875"/>
        </w:tabs>
        <w:ind w:left="-284" w:right="-234"/>
        <w:jc w:val="both"/>
        <w:rPr>
          <w:rFonts w:ascii="Arial" w:hAnsi="Arial" w:cs="Arial"/>
          <w:lang w:val="es-MX"/>
        </w:rPr>
      </w:pPr>
    </w:p>
    <w:p w14:paraId="692A1F2B" w14:textId="77777777" w:rsidR="007E2F9F" w:rsidRPr="00865AE6" w:rsidRDefault="007E2F9F" w:rsidP="007E2F9F">
      <w:pPr>
        <w:ind w:left="-284"/>
        <w:jc w:val="both"/>
        <w:rPr>
          <w:rFonts w:ascii="Arial" w:hAnsi="Arial" w:cs="Arial"/>
          <w:b/>
          <w:sz w:val="28"/>
          <w:szCs w:val="28"/>
          <w:lang w:val="es-MX"/>
        </w:rPr>
      </w:pPr>
      <w:r w:rsidRPr="00865AE6">
        <w:rPr>
          <w:rFonts w:ascii="Arial" w:hAnsi="Arial" w:cs="Arial"/>
          <w:b/>
          <w:sz w:val="28"/>
          <w:szCs w:val="28"/>
          <w:lang w:val="es-MX"/>
        </w:rPr>
        <w:lastRenderedPageBreak/>
        <w:t>25.- COMISIÓN NACIONAL DEL SERVICIO CIVIL - CNSC.</w:t>
      </w:r>
    </w:p>
    <w:p w14:paraId="0FFA9AD4" w14:textId="77777777" w:rsidR="007E2F9F" w:rsidRDefault="007E2F9F" w:rsidP="007E2F9F">
      <w:pPr>
        <w:tabs>
          <w:tab w:val="left" w:pos="875"/>
        </w:tabs>
        <w:ind w:left="-284" w:right="-234"/>
        <w:jc w:val="both"/>
        <w:rPr>
          <w:rFonts w:ascii="Arial" w:hAnsi="Arial" w:cs="Arial"/>
          <w:lang w:val="es-MX"/>
        </w:rPr>
      </w:pPr>
    </w:p>
    <w:tbl>
      <w:tblPr>
        <w:tblStyle w:val="Tablaconcuadrcula"/>
        <w:tblW w:w="10323" w:type="dxa"/>
        <w:tblInd w:w="-289" w:type="dxa"/>
        <w:tblLook w:val="04A0" w:firstRow="1" w:lastRow="0" w:firstColumn="1" w:lastColumn="0" w:noHBand="0" w:noVBand="1"/>
      </w:tblPr>
      <w:tblGrid>
        <w:gridCol w:w="8222"/>
        <w:gridCol w:w="2101"/>
      </w:tblGrid>
      <w:tr w:rsidR="007E2F9F" w:rsidRPr="002017DC" w14:paraId="78CFE55C" w14:textId="77777777" w:rsidTr="006548F8">
        <w:trPr>
          <w:trHeight w:val="273"/>
        </w:trPr>
        <w:tc>
          <w:tcPr>
            <w:tcW w:w="8222" w:type="dxa"/>
          </w:tcPr>
          <w:p w14:paraId="1C126134" w14:textId="77777777" w:rsidR="007E2F9F" w:rsidRPr="002017DC" w:rsidRDefault="007E2F9F" w:rsidP="006548F8">
            <w:pPr>
              <w:tabs>
                <w:tab w:val="left" w:pos="875"/>
              </w:tabs>
              <w:ind w:right="157"/>
              <w:rPr>
                <w:rFonts w:ascii="Arial" w:hAnsi="Arial" w:cs="Arial"/>
                <w:sz w:val="18"/>
                <w:szCs w:val="18"/>
              </w:rPr>
            </w:pPr>
            <w:r w:rsidRPr="002017DC">
              <w:rPr>
                <w:rFonts w:ascii="Arial" w:hAnsi="Arial" w:cs="Arial"/>
                <w:lang w:val="es-ES_tradnl"/>
              </w:rPr>
              <w:t>Reservas presupuestales constituidas a 31 de diciembre de 2024</w:t>
            </w:r>
          </w:p>
        </w:tc>
        <w:tc>
          <w:tcPr>
            <w:tcW w:w="2101" w:type="dxa"/>
          </w:tcPr>
          <w:p w14:paraId="0827C57C" w14:textId="77777777" w:rsidR="007E2F9F" w:rsidRPr="002017DC" w:rsidRDefault="007E2F9F" w:rsidP="006548F8">
            <w:pPr>
              <w:tabs>
                <w:tab w:val="left" w:pos="875"/>
              </w:tabs>
              <w:jc w:val="right"/>
              <w:rPr>
                <w:rFonts w:ascii="Arial" w:hAnsi="Arial" w:cs="Arial"/>
              </w:rPr>
            </w:pPr>
            <w:r w:rsidRPr="002017DC">
              <w:rPr>
                <w:rFonts w:ascii="Arial" w:eastAsia="Times New Roman" w:hAnsi="Arial" w:cs="Arial"/>
                <w:lang w:val="en-US"/>
              </w:rPr>
              <w:t>9.466.715,00</w:t>
            </w:r>
          </w:p>
        </w:tc>
      </w:tr>
      <w:tr w:rsidR="007E2F9F" w:rsidRPr="002017DC" w14:paraId="2EB8AB41" w14:textId="77777777" w:rsidTr="006548F8">
        <w:trPr>
          <w:trHeight w:val="131"/>
        </w:trPr>
        <w:tc>
          <w:tcPr>
            <w:tcW w:w="8222" w:type="dxa"/>
          </w:tcPr>
          <w:p w14:paraId="5A9EE6EB" w14:textId="77777777" w:rsidR="007E2F9F" w:rsidRPr="002017DC" w:rsidRDefault="007E2F9F" w:rsidP="006548F8">
            <w:pPr>
              <w:tabs>
                <w:tab w:val="left" w:pos="875"/>
              </w:tabs>
              <w:ind w:right="157"/>
              <w:rPr>
                <w:rFonts w:ascii="Arial" w:hAnsi="Arial" w:cs="Arial"/>
                <w:sz w:val="18"/>
                <w:szCs w:val="18"/>
              </w:rPr>
            </w:pPr>
            <w:r w:rsidRPr="002017DC">
              <w:rPr>
                <w:rFonts w:ascii="Arial" w:hAnsi="Arial" w:cs="Arial"/>
                <w:lang w:val="es-ES_tradnl"/>
              </w:rPr>
              <w:t>Cuentas por pagar constituidas a 31 de diciembre de 2024</w:t>
            </w:r>
          </w:p>
        </w:tc>
        <w:tc>
          <w:tcPr>
            <w:tcW w:w="2101" w:type="dxa"/>
          </w:tcPr>
          <w:p w14:paraId="1D0D9FD0" w14:textId="77777777" w:rsidR="007E2F9F" w:rsidRPr="002017DC" w:rsidRDefault="007E2F9F" w:rsidP="006548F8">
            <w:pPr>
              <w:tabs>
                <w:tab w:val="left" w:pos="875"/>
              </w:tabs>
              <w:jc w:val="right"/>
              <w:rPr>
                <w:rFonts w:ascii="Arial" w:hAnsi="Arial" w:cs="Arial"/>
              </w:rPr>
            </w:pPr>
            <w:r w:rsidRPr="002017DC">
              <w:rPr>
                <w:rFonts w:ascii="Arial" w:eastAsia="Times New Roman" w:hAnsi="Arial" w:cs="Arial"/>
                <w:lang w:val="en-US"/>
              </w:rPr>
              <w:t>11.870.622,00</w:t>
            </w:r>
          </w:p>
        </w:tc>
      </w:tr>
      <w:tr w:rsidR="007E2F9F" w:rsidRPr="002017DC" w14:paraId="1A48BEBD" w14:textId="77777777" w:rsidTr="006548F8">
        <w:trPr>
          <w:trHeight w:val="167"/>
        </w:trPr>
        <w:tc>
          <w:tcPr>
            <w:tcW w:w="8222" w:type="dxa"/>
          </w:tcPr>
          <w:p w14:paraId="7D8EBB65" w14:textId="77777777" w:rsidR="007E2F9F" w:rsidRPr="002017DC" w:rsidRDefault="007E2F9F" w:rsidP="006548F8">
            <w:pPr>
              <w:tabs>
                <w:tab w:val="left" w:pos="875"/>
              </w:tabs>
              <w:ind w:right="157"/>
              <w:rPr>
                <w:rFonts w:ascii="Arial" w:hAnsi="Arial" w:cs="Arial"/>
                <w:sz w:val="18"/>
                <w:szCs w:val="18"/>
              </w:rPr>
            </w:pPr>
            <w:r w:rsidRPr="002017DC">
              <w:rPr>
                <w:rFonts w:ascii="Arial" w:hAnsi="Arial" w:cs="Arial"/>
                <w:b/>
                <w:lang w:val="es-ES_tradnl"/>
              </w:rPr>
              <w:t>TOTAL REZAGO PRESUPUESTAL CONSTITUIDO A 31 DE DICIEMBRE DE 2024</w:t>
            </w:r>
          </w:p>
        </w:tc>
        <w:tc>
          <w:tcPr>
            <w:tcW w:w="2101" w:type="dxa"/>
          </w:tcPr>
          <w:p w14:paraId="67B80946" w14:textId="77777777" w:rsidR="007E2F9F" w:rsidRPr="002017DC" w:rsidRDefault="007E2F9F" w:rsidP="006548F8">
            <w:pPr>
              <w:tabs>
                <w:tab w:val="left" w:pos="875"/>
              </w:tabs>
              <w:jc w:val="right"/>
              <w:rPr>
                <w:rFonts w:ascii="Arial" w:hAnsi="Arial" w:cs="Arial"/>
                <w:b/>
                <w:u w:val="single"/>
              </w:rPr>
            </w:pPr>
            <w:r w:rsidRPr="002017DC">
              <w:rPr>
                <w:rFonts w:ascii="Arial" w:eastAsia="Times New Roman" w:hAnsi="Arial" w:cs="Arial"/>
                <w:b/>
                <w:bCs/>
              </w:rPr>
              <w:t>21.337.337,00</w:t>
            </w:r>
          </w:p>
        </w:tc>
      </w:tr>
    </w:tbl>
    <w:p w14:paraId="73CA193F" w14:textId="77777777" w:rsidR="007E2F9F" w:rsidRDefault="007E2F9F" w:rsidP="007E2F9F">
      <w:pPr>
        <w:tabs>
          <w:tab w:val="left" w:pos="875"/>
        </w:tabs>
        <w:ind w:left="-284" w:right="-234"/>
        <w:jc w:val="both"/>
        <w:rPr>
          <w:rFonts w:ascii="Arial" w:hAnsi="Arial" w:cs="Arial"/>
          <w:lang w:val="es-MX"/>
        </w:rPr>
      </w:pPr>
    </w:p>
    <w:p w14:paraId="2B3775C2" w14:textId="77777777" w:rsidR="007E2F9F" w:rsidRPr="00E8683E" w:rsidRDefault="007E2F9F" w:rsidP="007E2F9F">
      <w:pPr>
        <w:ind w:left="-284"/>
        <w:jc w:val="both"/>
        <w:rPr>
          <w:rFonts w:ascii="Arial" w:hAnsi="Arial" w:cs="Arial"/>
          <w:b/>
          <w:sz w:val="28"/>
          <w:szCs w:val="28"/>
          <w:lang w:val="es-MX"/>
        </w:rPr>
      </w:pPr>
      <w:r w:rsidRPr="00E8683E">
        <w:rPr>
          <w:rFonts w:ascii="Arial" w:hAnsi="Arial" w:cs="Arial"/>
          <w:b/>
          <w:sz w:val="28"/>
          <w:szCs w:val="28"/>
          <w:lang w:val="es-MX"/>
        </w:rPr>
        <w:t>26.- AGENCIA NACIONAL INMOBILIARIA VIRGILIO BARCO.</w:t>
      </w:r>
    </w:p>
    <w:p w14:paraId="09AD4E4D"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8C2DC5" w14:paraId="1450F23D" w14:textId="77777777" w:rsidTr="006548F8">
        <w:tc>
          <w:tcPr>
            <w:tcW w:w="8222" w:type="dxa"/>
          </w:tcPr>
          <w:p w14:paraId="58A183A3" w14:textId="77777777" w:rsidR="007E2F9F" w:rsidRPr="008C2DC5" w:rsidRDefault="007E2F9F" w:rsidP="006548F8">
            <w:pPr>
              <w:tabs>
                <w:tab w:val="left" w:pos="875"/>
              </w:tabs>
              <w:ind w:right="157"/>
              <w:rPr>
                <w:rFonts w:ascii="Arial" w:hAnsi="Arial" w:cs="Arial"/>
                <w:sz w:val="18"/>
                <w:szCs w:val="18"/>
              </w:rPr>
            </w:pPr>
            <w:r w:rsidRPr="008C2DC5">
              <w:rPr>
                <w:rFonts w:ascii="Arial" w:hAnsi="Arial" w:cs="Arial"/>
                <w:lang w:val="es-ES_tradnl"/>
              </w:rPr>
              <w:t>Reservas presupuestales constituidas a 31 de diciembre de 2024</w:t>
            </w:r>
          </w:p>
        </w:tc>
        <w:tc>
          <w:tcPr>
            <w:tcW w:w="2127" w:type="dxa"/>
          </w:tcPr>
          <w:p w14:paraId="4743EFBD" w14:textId="77777777" w:rsidR="007E2F9F" w:rsidRPr="008C2DC5" w:rsidRDefault="007E2F9F" w:rsidP="006548F8">
            <w:pPr>
              <w:tabs>
                <w:tab w:val="left" w:pos="875"/>
              </w:tabs>
              <w:jc w:val="right"/>
              <w:rPr>
                <w:rFonts w:ascii="Arial" w:hAnsi="Arial" w:cs="Arial"/>
              </w:rPr>
            </w:pPr>
            <w:r w:rsidRPr="008C2DC5">
              <w:rPr>
                <w:rFonts w:ascii="Arial" w:hAnsi="Arial" w:cs="Arial"/>
              </w:rPr>
              <w:t>53.010.317</w:t>
            </w:r>
          </w:p>
        </w:tc>
      </w:tr>
      <w:tr w:rsidR="007E2F9F" w:rsidRPr="008C2DC5" w14:paraId="521AC536" w14:textId="77777777" w:rsidTr="006548F8">
        <w:tc>
          <w:tcPr>
            <w:tcW w:w="8222" w:type="dxa"/>
          </w:tcPr>
          <w:p w14:paraId="0069DA11" w14:textId="77777777" w:rsidR="007E2F9F" w:rsidRPr="008C2DC5" w:rsidRDefault="007E2F9F" w:rsidP="006548F8">
            <w:pPr>
              <w:tabs>
                <w:tab w:val="left" w:pos="875"/>
              </w:tabs>
              <w:ind w:right="157"/>
              <w:rPr>
                <w:rFonts w:ascii="Arial" w:hAnsi="Arial" w:cs="Arial"/>
                <w:sz w:val="18"/>
                <w:szCs w:val="18"/>
              </w:rPr>
            </w:pPr>
            <w:r w:rsidRPr="008C2DC5">
              <w:rPr>
                <w:rFonts w:ascii="Arial" w:hAnsi="Arial" w:cs="Arial"/>
                <w:lang w:val="es-ES_tradnl"/>
              </w:rPr>
              <w:t>Cuentas por pagar constituidas a 31 de diciembre de 2024</w:t>
            </w:r>
          </w:p>
        </w:tc>
        <w:tc>
          <w:tcPr>
            <w:tcW w:w="2127" w:type="dxa"/>
          </w:tcPr>
          <w:p w14:paraId="77DF71B9" w14:textId="77777777" w:rsidR="007E2F9F" w:rsidRPr="008C2DC5" w:rsidRDefault="007E2F9F" w:rsidP="006548F8">
            <w:pPr>
              <w:tabs>
                <w:tab w:val="left" w:pos="875"/>
              </w:tabs>
              <w:jc w:val="right"/>
              <w:rPr>
                <w:rFonts w:ascii="Arial" w:hAnsi="Arial" w:cs="Arial"/>
              </w:rPr>
            </w:pPr>
            <w:r w:rsidRPr="008C2DC5">
              <w:rPr>
                <w:rFonts w:ascii="Arial" w:hAnsi="Arial" w:cs="Arial"/>
              </w:rPr>
              <w:t>12.590</w:t>
            </w:r>
          </w:p>
        </w:tc>
      </w:tr>
      <w:tr w:rsidR="007E2F9F" w:rsidRPr="008C2DC5" w14:paraId="3E90F54E" w14:textId="77777777" w:rsidTr="006548F8">
        <w:tc>
          <w:tcPr>
            <w:tcW w:w="8222" w:type="dxa"/>
          </w:tcPr>
          <w:p w14:paraId="680C8C58" w14:textId="77777777" w:rsidR="007E2F9F" w:rsidRPr="008C2DC5" w:rsidRDefault="007E2F9F" w:rsidP="006548F8">
            <w:pPr>
              <w:tabs>
                <w:tab w:val="left" w:pos="875"/>
              </w:tabs>
              <w:ind w:right="157"/>
              <w:rPr>
                <w:rFonts w:ascii="Arial" w:hAnsi="Arial" w:cs="Arial"/>
                <w:sz w:val="18"/>
                <w:szCs w:val="18"/>
              </w:rPr>
            </w:pPr>
            <w:r w:rsidRPr="008C2DC5">
              <w:rPr>
                <w:rFonts w:ascii="Arial" w:hAnsi="Arial" w:cs="Arial"/>
                <w:b/>
                <w:lang w:val="es-ES_tradnl"/>
              </w:rPr>
              <w:t>TOTAL REZAGO PRESUPUESTAL CONSTITUIDO A 31 DE DICIEMBRE DE 2024</w:t>
            </w:r>
          </w:p>
        </w:tc>
        <w:tc>
          <w:tcPr>
            <w:tcW w:w="2127" w:type="dxa"/>
          </w:tcPr>
          <w:p w14:paraId="4471031B" w14:textId="77777777" w:rsidR="007E2F9F" w:rsidRPr="008C2DC5" w:rsidRDefault="007E2F9F" w:rsidP="006548F8">
            <w:pPr>
              <w:tabs>
                <w:tab w:val="left" w:pos="875"/>
              </w:tabs>
              <w:jc w:val="right"/>
              <w:rPr>
                <w:rFonts w:ascii="Arial" w:hAnsi="Arial" w:cs="Arial"/>
                <w:b/>
                <w:u w:val="single"/>
              </w:rPr>
            </w:pPr>
            <w:r w:rsidRPr="008C2DC5">
              <w:rPr>
                <w:rFonts w:ascii="Arial" w:hAnsi="Arial" w:cs="Arial"/>
                <w:b/>
                <w:u w:val="single"/>
              </w:rPr>
              <w:t>53.022.907</w:t>
            </w:r>
          </w:p>
        </w:tc>
      </w:tr>
    </w:tbl>
    <w:p w14:paraId="5A1F8AA6" w14:textId="77777777" w:rsidR="007E2F9F" w:rsidRDefault="007E2F9F" w:rsidP="007E2F9F">
      <w:pPr>
        <w:tabs>
          <w:tab w:val="left" w:pos="875"/>
        </w:tabs>
        <w:ind w:left="-284" w:right="-234"/>
        <w:jc w:val="both"/>
        <w:rPr>
          <w:rFonts w:ascii="Arial" w:hAnsi="Arial" w:cs="Arial"/>
          <w:lang w:val="es-MX"/>
        </w:rPr>
      </w:pPr>
    </w:p>
    <w:p w14:paraId="0716EFEE" w14:textId="77777777" w:rsidR="007E2F9F" w:rsidRPr="00C946EE" w:rsidRDefault="007E2F9F" w:rsidP="007E2F9F">
      <w:pPr>
        <w:ind w:left="-284"/>
        <w:jc w:val="both"/>
        <w:rPr>
          <w:rFonts w:ascii="Arial" w:hAnsi="Arial" w:cs="Arial"/>
          <w:b/>
          <w:sz w:val="28"/>
          <w:szCs w:val="28"/>
          <w:lang w:val="es-MX"/>
        </w:rPr>
      </w:pPr>
      <w:r w:rsidRPr="00C946EE">
        <w:rPr>
          <w:rFonts w:ascii="Arial" w:hAnsi="Arial" w:cs="Arial"/>
          <w:b/>
          <w:sz w:val="28"/>
          <w:szCs w:val="28"/>
          <w:lang w:val="es-MX"/>
        </w:rPr>
        <w:t>27.- INSTITUTO NACIONAL DE METROLOGÍA DE COLOMBIA - INMC.</w:t>
      </w:r>
    </w:p>
    <w:p w14:paraId="15FF26F9" w14:textId="77777777" w:rsidR="007E2F9F" w:rsidRDefault="007E2F9F" w:rsidP="007E2F9F">
      <w:pPr>
        <w:jc w:val="both"/>
        <w:rPr>
          <w:rFonts w:ascii="Arial" w:hAnsi="Arial" w:cs="Arial"/>
          <w:sz w:val="28"/>
          <w:szCs w:val="28"/>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E73AE8" w14:paraId="018F0553" w14:textId="77777777" w:rsidTr="006548F8">
        <w:tc>
          <w:tcPr>
            <w:tcW w:w="8222" w:type="dxa"/>
          </w:tcPr>
          <w:p w14:paraId="7886EA0E" w14:textId="77777777" w:rsidR="007E2F9F" w:rsidRPr="00E73AE8" w:rsidRDefault="007E2F9F" w:rsidP="006548F8">
            <w:pPr>
              <w:tabs>
                <w:tab w:val="left" w:pos="875"/>
              </w:tabs>
              <w:ind w:right="157"/>
              <w:rPr>
                <w:rFonts w:ascii="Arial" w:hAnsi="Arial" w:cs="Arial"/>
                <w:sz w:val="18"/>
                <w:szCs w:val="18"/>
              </w:rPr>
            </w:pPr>
            <w:r w:rsidRPr="00E73AE8">
              <w:rPr>
                <w:rFonts w:ascii="Arial" w:hAnsi="Arial" w:cs="Arial"/>
                <w:lang w:val="es-ES_tradnl"/>
              </w:rPr>
              <w:t>Reservas presupuestales constituidas a 31 de diciembre de 2024</w:t>
            </w:r>
          </w:p>
        </w:tc>
        <w:tc>
          <w:tcPr>
            <w:tcW w:w="2127" w:type="dxa"/>
          </w:tcPr>
          <w:p w14:paraId="6ACE25DA" w14:textId="77777777" w:rsidR="007E2F9F" w:rsidRPr="00E73AE8" w:rsidRDefault="007E2F9F" w:rsidP="006548F8">
            <w:pPr>
              <w:tabs>
                <w:tab w:val="left" w:pos="875"/>
              </w:tabs>
              <w:jc w:val="right"/>
              <w:rPr>
                <w:rFonts w:ascii="Arial" w:hAnsi="Arial" w:cs="Arial"/>
              </w:rPr>
            </w:pPr>
            <w:r w:rsidRPr="00E73AE8">
              <w:rPr>
                <w:rFonts w:ascii="Arial" w:hAnsi="Arial" w:cs="Arial"/>
              </w:rPr>
              <w:t>2.313.839</w:t>
            </w:r>
          </w:p>
        </w:tc>
      </w:tr>
      <w:tr w:rsidR="007E2F9F" w:rsidRPr="00E73AE8" w14:paraId="52B0707F" w14:textId="77777777" w:rsidTr="006548F8">
        <w:tc>
          <w:tcPr>
            <w:tcW w:w="8222" w:type="dxa"/>
          </w:tcPr>
          <w:p w14:paraId="66CBEEA2" w14:textId="77777777" w:rsidR="007E2F9F" w:rsidRPr="00E73AE8" w:rsidRDefault="007E2F9F" w:rsidP="006548F8">
            <w:pPr>
              <w:tabs>
                <w:tab w:val="left" w:pos="875"/>
              </w:tabs>
              <w:ind w:right="157"/>
              <w:rPr>
                <w:rFonts w:ascii="Arial" w:hAnsi="Arial" w:cs="Arial"/>
                <w:sz w:val="18"/>
                <w:szCs w:val="18"/>
              </w:rPr>
            </w:pPr>
            <w:r w:rsidRPr="00E73AE8">
              <w:rPr>
                <w:rFonts w:ascii="Arial" w:hAnsi="Arial" w:cs="Arial"/>
                <w:lang w:val="es-ES_tradnl"/>
              </w:rPr>
              <w:t>Cuentas por pagar constituidas a 31 de diciembre de 2024</w:t>
            </w:r>
          </w:p>
        </w:tc>
        <w:tc>
          <w:tcPr>
            <w:tcW w:w="2127" w:type="dxa"/>
          </w:tcPr>
          <w:p w14:paraId="388EA082" w14:textId="77777777" w:rsidR="007E2F9F" w:rsidRPr="00E73AE8" w:rsidRDefault="007E2F9F" w:rsidP="006548F8">
            <w:pPr>
              <w:tabs>
                <w:tab w:val="left" w:pos="875"/>
              </w:tabs>
              <w:jc w:val="right"/>
              <w:rPr>
                <w:rFonts w:ascii="Arial" w:hAnsi="Arial" w:cs="Arial"/>
              </w:rPr>
            </w:pPr>
            <w:r w:rsidRPr="00E73AE8">
              <w:rPr>
                <w:rFonts w:ascii="Arial" w:hAnsi="Arial" w:cs="Arial"/>
              </w:rPr>
              <w:t>0</w:t>
            </w:r>
          </w:p>
        </w:tc>
      </w:tr>
      <w:tr w:rsidR="007E2F9F" w:rsidRPr="00E73AE8" w14:paraId="4EE8B090" w14:textId="77777777" w:rsidTr="006548F8">
        <w:tc>
          <w:tcPr>
            <w:tcW w:w="8222" w:type="dxa"/>
          </w:tcPr>
          <w:p w14:paraId="55D886BC" w14:textId="77777777" w:rsidR="007E2F9F" w:rsidRPr="00E73AE8" w:rsidRDefault="007E2F9F" w:rsidP="006548F8">
            <w:pPr>
              <w:tabs>
                <w:tab w:val="left" w:pos="875"/>
              </w:tabs>
              <w:ind w:right="157"/>
              <w:rPr>
                <w:rFonts w:ascii="Arial" w:hAnsi="Arial" w:cs="Arial"/>
                <w:sz w:val="18"/>
                <w:szCs w:val="18"/>
              </w:rPr>
            </w:pPr>
            <w:r w:rsidRPr="00E73AE8">
              <w:rPr>
                <w:rFonts w:ascii="Arial" w:hAnsi="Arial" w:cs="Arial"/>
                <w:b/>
                <w:lang w:val="es-ES_tradnl"/>
              </w:rPr>
              <w:t>TOTAL REZAGO PRESUPUESTAL CONSTITUIDO A 31 DE DICIEMBRE DE 2024</w:t>
            </w:r>
          </w:p>
        </w:tc>
        <w:tc>
          <w:tcPr>
            <w:tcW w:w="2127" w:type="dxa"/>
          </w:tcPr>
          <w:p w14:paraId="6EB5C8E3" w14:textId="77777777" w:rsidR="007E2F9F" w:rsidRPr="00E73AE8" w:rsidRDefault="007E2F9F" w:rsidP="006548F8">
            <w:pPr>
              <w:tabs>
                <w:tab w:val="left" w:pos="875"/>
              </w:tabs>
              <w:jc w:val="right"/>
              <w:rPr>
                <w:rFonts w:ascii="Arial" w:hAnsi="Arial" w:cs="Arial"/>
                <w:b/>
                <w:u w:val="single"/>
              </w:rPr>
            </w:pPr>
            <w:r w:rsidRPr="00E73AE8">
              <w:rPr>
                <w:rFonts w:ascii="Arial" w:hAnsi="Arial" w:cs="Arial"/>
                <w:b/>
                <w:u w:val="single"/>
              </w:rPr>
              <w:t>2313.839</w:t>
            </w:r>
          </w:p>
        </w:tc>
      </w:tr>
      <w:tr w:rsidR="007E2F9F" w:rsidRPr="00E73AE8" w14:paraId="1655E761" w14:textId="77777777" w:rsidTr="006548F8">
        <w:tc>
          <w:tcPr>
            <w:tcW w:w="8222" w:type="dxa"/>
          </w:tcPr>
          <w:p w14:paraId="4FCA6724" w14:textId="77777777" w:rsidR="007E2F9F" w:rsidRPr="00E73AE8" w:rsidRDefault="007E2F9F" w:rsidP="006548F8">
            <w:pPr>
              <w:tabs>
                <w:tab w:val="left" w:pos="875"/>
              </w:tabs>
              <w:ind w:right="157"/>
              <w:rPr>
                <w:rFonts w:ascii="Arial" w:hAnsi="Arial" w:cs="Arial"/>
                <w:b/>
                <w:lang w:val="es-ES_tradnl"/>
              </w:rPr>
            </w:pPr>
            <w:r w:rsidRPr="00E73AE8">
              <w:rPr>
                <w:rFonts w:ascii="Arial" w:hAnsi="Arial" w:cs="Arial"/>
                <w:b/>
                <w:lang w:val="es-ES_tradnl"/>
              </w:rPr>
              <w:t>*Reservas presupuestales autorizadas $584.938</w:t>
            </w:r>
          </w:p>
        </w:tc>
        <w:tc>
          <w:tcPr>
            <w:tcW w:w="2127" w:type="dxa"/>
          </w:tcPr>
          <w:p w14:paraId="22E3C053" w14:textId="77777777" w:rsidR="007E2F9F" w:rsidRPr="00E73AE8" w:rsidRDefault="007E2F9F" w:rsidP="006548F8">
            <w:pPr>
              <w:tabs>
                <w:tab w:val="left" w:pos="875"/>
              </w:tabs>
              <w:jc w:val="right"/>
              <w:rPr>
                <w:rFonts w:ascii="Arial" w:hAnsi="Arial" w:cs="Arial"/>
                <w:b/>
                <w:u w:val="single"/>
              </w:rPr>
            </w:pPr>
            <w:r w:rsidRPr="00E73AE8">
              <w:rPr>
                <w:rFonts w:ascii="Arial" w:hAnsi="Arial" w:cs="Arial"/>
                <w:b/>
                <w:u w:val="single"/>
              </w:rPr>
              <w:t>584.938</w:t>
            </w:r>
          </w:p>
        </w:tc>
      </w:tr>
      <w:tr w:rsidR="007E2F9F" w:rsidRPr="00E73AE8" w14:paraId="2E4B1FF6" w14:textId="77777777" w:rsidTr="006548F8">
        <w:tc>
          <w:tcPr>
            <w:tcW w:w="8222" w:type="dxa"/>
          </w:tcPr>
          <w:p w14:paraId="789A22B1" w14:textId="77777777" w:rsidR="007E2F9F" w:rsidRPr="00E73AE8" w:rsidRDefault="007E2F9F" w:rsidP="006548F8">
            <w:pPr>
              <w:tabs>
                <w:tab w:val="left" w:pos="875"/>
              </w:tabs>
              <w:jc w:val="both"/>
              <w:rPr>
                <w:rFonts w:ascii="Arial" w:hAnsi="Arial" w:cs="Arial"/>
                <w:b/>
                <w:lang w:val="es-ES_tradnl"/>
              </w:rPr>
            </w:pPr>
            <w:r w:rsidRPr="00E73AE8">
              <w:rPr>
                <w:rFonts w:ascii="Arial" w:hAnsi="Arial" w:cs="Arial"/>
                <w:b/>
                <w:lang w:val="es-ES_tradnl"/>
              </w:rPr>
              <w:t>*Reservas presupuestales inducidas por falta de PAC, registradas contablemente al cierre de la vigencia 2024 en el sistema SIIF Nación $1.728.902</w:t>
            </w:r>
          </w:p>
        </w:tc>
        <w:tc>
          <w:tcPr>
            <w:tcW w:w="2127" w:type="dxa"/>
            <w:vAlign w:val="center"/>
          </w:tcPr>
          <w:p w14:paraId="4C31D1D1" w14:textId="77777777" w:rsidR="007E2F9F" w:rsidRPr="00E73AE8" w:rsidRDefault="007E2F9F" w:rsidP="006548F8">
            <w:pPr>
              <w:tabs>
                <w:tab w:val="left" w:pos="875"/>
              </w:tabs>
              <w:jc w:val="right"/>
              <w:rPr>
                <w:rFonts w:ascii="Arial" w:hAnsi="Arial" w:cs="Arial"/>
                <w:b/>
                <w:u w:val="single"/>
              </w:rPr>
            </w:pPr>
            <w:r w:rsidRPr="00E73AE8">
              <w:rPr>
                <w:rFonts w:ascii="Arial" w:hAnsi="Arial" w:cs="Arial"/>
                <w:b/>
                <w:u w:val="single"/>
              </w:rPr>
              <w:t>1.728.902</w:t>
            </w:r>
          </w:p>
        </w:tc>
      </w:tr>
    </w:tbl>
    <w:p w14:paraId="1315DC76" w14:textId="77777777" w:rsidR="007E2F9F" w:rsidRDefault="007E2F9F" w:rsidP="007E2F9F">
      <w:pPr>
        <w:tabs>
          <w:tab w:val="left" w:pos="875"/>
        </w:tabs>
        <w:ind w:left="-284" w:right="-234"/>
        <w:jc w:val="both"/>
        <w:rPr>
          <w:rFonts w:ascii="Arial" w:hAnsi="Arial" w:cs="Arial"/>
          <w:lang w:val="es-MX"/>
        </w:rPr>
      </w:pPr>
    </w:p>
    <w:p w14:paraId="48B76845" w14:textId="77777777" w:rsidR="007E2F9F" w:rsidRPr="00BB33EA" w:rsidRDefault="007E2F9F" w:rsidP="007E2F9F">
      <w:pPr>
        <w:ind w:left="-284"/>
        <w:jc w:val="both"/>
        <w:rPr>
          <w:rFonts w:ascii="Arial" w:hAnsi="Arial" w:cs="Arial"/>
          <w:b/>
          <w:sz w:val="28"/>
          <w:szCs w:val="28"/>
          <w:lang w:val="es-MX"/>
        </w:rPr>
      </w:pPr>
      <w:r w:rsidRPr="00BB33EA">
        <w:rPr>
          <w:rFonts w:ascii="Arial" w:hAnsi="Arial" w:cs="Arial"/>
          <w:b/>
          <w:sz w:val="28"/>
          <w:szCs w:val="28"/>
          <w:lang w:val="es-MX"/>
        </w:rPr>
        <w:t>28.- SUPERINTENDENCIA DE SOCIEDADES - SUPERSOCIEDADES.</w:t>
      </w:r>
    </w:p>
    <w:p w14:paraId="3F27EAE5" w14:textId="77777777" w:rsidR="007E2F9F" w:rsidRPr="00B54567" w:rsidRDefault="007E2F9F" w:rsidP="007E2F9F">
      <w:pPr>
        <w:tabs>
          <w:tab w:val="left" w:pos="875"/>
        </w:tabs>
        <w:ind w:left="-142" w:right="157"/>
        <w:rPr>
          <w:sz w:val="24"/>
        </w:rPr>
      </w:pPr>
    </w:p>
    <w:tbl>
      <w:tblPr>
        <w:tblStyle w:val="Tablaconcuadrcula"/>
        <w:tblW w:w="10349" w:type="dxa"/>
        <w:tblInd w:w="-289" w:type="dxa"/>
        <w:tblLook w:val="04A0" w:firstRow="1" w:lastRow="0" w:firstColumn="1" w:lastColumn="0" w:noHBand="0" w:noVBand="1"/>
      </w:tblPr>
      <w:tblGrid>
        <w:gridCol w:w="8222"/>
        <w:gridCol w:w="2127"/>
      </w:tblGrid>
      <w:tr w:rsidR="007E2F9F" w:rsidRPr="0076711F" w14:paraId="6AE3C25D" w14:textId="77777777" w:rsidTr="006548F8">
        <w:tc>
          <w:tcPr>
            <w:tcW w:w="8222" w:type="dxa"/>
          </w:tcPr>
          <w:p w14:paraId="796B2622" w14:textId="77777777" w:rsidR="007E2F9F" w:rsidRPr="0076711F" w:rsidRDefault="007E2F9F" w:rsidP="006548F8">
            <w:pPr>
              <w:tabs>
                <w:tab w:val="left" w:pos="875"/>
              </w:tabs>
              <w:ind w:right="157"/>
              <w:rPr>
                <w:rFonts w:ascii="Arial" w:hAnsi="Arial" w:cs="Arial"/>
                <w:sz w:val="18"/>
                <w:szCs w:val="18"/>
              </w:rPr>
            </w:pPr>
            <w:r w:rsidRPr="0076711F">
              <w:rPr>
                <w:rFonts w:ascii="Arial" w:hAnsi="Arial" w:cs="Arial"/>
                <w:lang w:val="es-ES_tradnl"/>
              </w:rPr>
              <w:t>Reservas presupuestales constituidas a 31 de diciembre de 2024</w:t>
            </w:r>
          </w:p>
        </w:tc>
        <w:tc>
          <w:tcPr>
            <w:tcW w:w="2127" w:type="dxa"/>
          </w:tcPr>
          <w:p w14:paraId="1EA2E97A" w14:textId="77777777" w:rsidR="007E2F9F" w:rsidRPr="0076711F" w:rsidRDefault="007E2F9F" w:rsidP="006548F8">
            <w:pPr>
              <w:tabs>
                <w:tab w:val="left" w:pos="875"/>
              </w:tabs>
              <w:jc w:val="right"/>
              <w:rPr>
                <w:rFonts w:ascii="Arial" w:hAnsi="Arial" w:cs="Arial"/>
                <w:sz w:val="18"/>
                <w:szCs w:val="18"/>
              </w:rPr>
            </w:pPr>
            <w:r w:rsidRPr="0076711F">
              <w:rPr>
                <w:rFonts w:ascii="Arial" w:hAnsi="Arial" w:cs="Arial"/>
                <w:sz w:val="18"/>
                <w:szCs w:val="18"/>
              </w:rPr>
              <w:t>3.118.034,5</w:t>
            </w:r>
          </w:p>
        </w:tc>
      </w:tr>
      <w:tr w:rsidR="007E2F9F" w:rsidRPr="0076711F" w14:paraId="1FF4DA2B" w14:textId="77777777" w:rsidTr="006548F8">
        <w:tc>
          <w:tcPr>
            <w:tcW w:w="8222" w:type="dxa"/>
          </w:tcPr>
          <w:p w14:paraId="3EA449D8" w14:textId="77777777" w:rsidR="007E2F9F" w:rsidRPr="0076711F" w:rsidRDefault="007E2F9F" w:rsidP="006548F8">
            <w:pPr>
              <w:tabs>
                <w:tab w:val="left" w:pos="875"/>
              </w:tabs>
              <w:ind w:right="157"/>
              <w:rPr>
                <w:rFonts w:ascii="Arial" w:hAnsi="Arial" w:cs="Arial"/>
                <w:sz w:val="18"/>
                <w:szCs w:val="18"/>
              </w:rPr>
            </w:pPr>
            <w:r w:rsidRPr="0076711F">
              <w:rPr>
                <w:rFonts w:ascii="Arial" w:hAnsi="Arial" w:cs="Arial"/>
                <w:lang w:val="es-ES_tradnl"/>
              </w:rPr>
              <w:t>Cuentas por pagar constituidas a 31 de diciembre de 2024</w:t>
            </w:r>
          </w:p>
        </w:tc>
        <w:tc>
          <w:tcPr>
            <w:tcW w:w="2127" w:type="dxa"/>
          </w:tcPr>
          <w:p w14:paraId="3FB1B837" w14:textId="77777777" w:rsidR="007E2F9F" w:rsidRPr="0076711F" w:rsidRDefault="007E2F9F" w:rsidP="006548F8">
            <w:pPr>
              <w:tabs>
                <w:tab w:val="left" w:pos="875"/>
              </w:tabs>
              <w:jc w:val="right"/>
              <w:rPr>
                <w:rFonts w:ascii="Arial" w:hAnsi="Arial" w:cs="Arial"/>
                <w:sz w:val="18"/>
                <w:szCs w:val="18"/>
              </w:rPr>
            </w:pPr>
            <w:r w:rsidRPr="0076711F">
              <w:rPr>
                <w:rFonts w:ascii="Arial" w:hAnsi="Arial" w:cs="Arial"/>
                <w:sz w:val="18"/>
                <w:szCs w:val="18"/>
              </w:rPr>
              <w:t>15.219.264,7</w:t>
            </w:r>
          </w:p>
        </w:tc>
      </w:tr>
      <w:tr w:rsidR="007E2F9F" w:rsidRPr="0076711F" w14:paraId="1A41701B" w14:textId="77777777" w:rsidTr="006548F8">
        <w:tc>
          <w:tcPr>
            <w:tcW w:w="8222" w:type="dxa"/>
          </w:tcPr>
          <w:p w14:paraId="0F626257" w14:textId="77777777" w:rsidR="007E2F9F" w:rsidRPr="0076711F" w:rsidRDefault="007E2F9F" w:rsidP="006548F8">
            <w:pPr>
              <w:tabs>
                <w:tab w:val="left" w:pos="875"/>
              </w:tabs>
              <w:ind w:right="157"/>
              <w:rPr>
                <w:rFonts w:ascii="Arial" w:hAnsi="Arial" w:cs="Arial"/>
                <w:sz w:val="18"/>
                <w:szCs w:val="18"/>
              </w:rPr>
            </w:pPr>
            <w:r w:rsidRPr="0076711F">
              <w:rPr>
                <w:rFonts w:ascii="Arial" w:hAnsi="Arial" w:cs="Arial"/>
                <w:b/>
                <w:lang w:val="es-ES_tradnl"/>
              </w:rPr>
              <w:t>TOTAL REZAGO PRESUPUESTAL CONSTITUIDO A 31 DE DICIEMBRE DE 2024</w:t>
            </w:r>
          </w:p>
        </w:tc>
        <w:tc>
          <w:tcPr>
            <w:tcW w:w="2127" w:type="dxa"/>
          </w:tcPr>
          <w:p w14:paraId="4C63585B" w14:textId="77777777" w:rsidR="007E2F9F" w:rsidRPr="0076711F" w:rsidRDefault="007E2F9F" w:rsidP="006548F8">
            <w:pPr>
              <w:tabs>
                <w:tab w:val="left" w:pos="875"/>
              </w:tabs>
              <w:jc w:val="right"/>
              <w:rPr>
                <w:rFonts w:ascii="Arial" w:hAnsi="Arial" w:cs="Arial"/>
                <w:b/>
                <w:sz w:val="18"/>
                <w:szCs w:val="18"/>
                <w:u w:val="single"/>
              </w:rPr>
            </w:pPr>
            <w:r w:rsidRPr="0076711F">
              <w:rPr>
                <w:rFonts w:ascii="Arial" w:hAnsi="Arial" w:cs="Arial"/>
                <w:b/>
                <w:sz w:val="18"/>
                <w:szCs w:val="18"/>
                <w:u w:val="single"/>
              </w:rPr>
              <w:t>18.337.299,2</w:t>
            </w:r>
          </w:p>
        </w:tc>
      </w:tr>
    </w:tbl>
    <w:p w14:paraId="5B767581" w14:textId="77777777" w:rsidR="007E2F9F" w:rsidRPr="00B54567" w:rsidRDefault="007E2F9F" w:rsidP="007E2F9F">
      <w:pPr>
        <w:pStyle w:val="Textoindependiente"/>
        <w:spacing w:before="3"/>
      </w:pPr>
    </w:p>
    <w:p w14:paraId="6A86AA74" w14:textId="77777777" w:rsidR="007E2F9F" w:rsidRPr="00A02198" w:rsidRDefault="007E2F9F" w:rsidP="007E2F9F">
      <w:pPr>
        <w:ind w:left="-284"/>
        <w:jc w:val="both"/>
        <w:rPr>
          <w:rFonts w:ascii="Arial" w:hAnsi="Arial" w:cs="Arial"/>
          <w:b/>
          <w:sz w:val="28"/>
          <w:szCs w:val="28"/>
          <w:lang w:val="es-MX"/>
        </w:rPr>
      </w:pPr>
      <w:r w:rsidRPr="00A02198">
        <w:rPr>
          <w:rFonts w:ascii="Arial" w:hAnsi="Arial" w:cs="Arial"/>
          <w:b/>
          <w:sz w:val="28"/>
          <w:szCs w:val="28"/>
          <w:lang w:val="es-MX"/>
        </w:rPr>
        <w:t>30.- JURISDICCION ESPECIAL PARA LA PAZ - JEP.</w:t>
      </w:r>
    </w:p>
    <w:p w14:paraId="4B46271D" w14:textId="77777777" w:rsidR="007E2F9F" w:rsidRDefault="007E2F9F" w:rsidP="007E2F9F">
      <w:pPr>
        <w:jc w:val="both"/>
        <w:rPr>
          <w:rFonts w:ascii="Arial" w:hAnsi="Arial" w:cs="Arial"/>
          <w:sz w:val="28"/>
          <w:szCs w:val="28"/>
          <w:lang w:val="es-MX"/>
        </w:rPr>
      </w:pPr>
    </w:p>
    <w:tbl>
      <w:tblPr>
        <w:tblStyle w:val="Tablaconcuadrcula"/>
        <w:tblW w:w="10207" w:type="dxa"/>
        <w:tblInd w:w="-289" w:type="dxa"/>
        <w:tblLook w:val="04A0" w:firstRow="1" w:lastRow="0" w:firstColumn="1" w:lastColumn="0" w:noHBand="0" w:noVBand="1"/>
      </w:tblPr>
      <w:tblGrid>
        <w:gridCol w:w="8222"/>
        <w:gridCol w:w="1985"/>
      </w:tblGrid>
      <w:tr w:rsidR="007E2F9F" w:rsidRPr="008E2B94" w14:paraId="298048D3" w14:textId="77777777" w:rsidTr="006548F8">
        <w:tc>
          <w:tcPr>
            <w:tcW w:w="8222" w:type="dxa"/>
          </w:tcPr>
          <w:p w14:paraId="5D5770DB" w14:textId="77777777" w:rsidR="007E2F9F" w:rsidRPr="008E2B94" w:rsidRDefault="007E2F9F" w:rsidP="006548F8">
            <w:pPr>
              <w:tabs>
                <w:tab w:val="left" w:pos="875"/>
              </w:tabs>
              <w:ind w:right="157"/>
              <w:rPr>
                <w:rFonts w:ascii="Arial" w:hAnsi="Arial" w:cs="Arial"/>
                <w:sz w:val="18"/>
                <w:szCs w:val="18"/>
              </w:rPr>
            </w:pPr>
            <w:r w:rsidRPr="008E2B94">
              <w:rPr>
                <w:rFonts w:ascii="Arial" w:hAnsi="Arial" w:cs="Arial"/>
                <w:lang w:val="es-ES_tradnl"/>
              </w:rPr>
              <w:t>Reservas presupuestales constituidas a 31 de diciembre de 2024</w:t>
            </w:r>
          </w:p>
        </w:tc>
        <w:tc>
          <w:tcPr>
            <w:tcW w:w="1985" w:type="dxa"/>
          </w:tcPr>
          <w:p w14:paraId="7E915BEB" w14:textId="77777777" w:rsidR="007E2F9F" w:rsidRPr="008E2B94" w:rsidRDefault="007E2F9F" w:rsidP="006548F8">
            <w:pPr>
              <w:tabs>
                <w:tab w:val="left" w:pos="875"/>
              </w:tabs>
              <w:jc w:val="right"/>
              <w:rPr>
                <w:rFonts w:ascii="Arial" w:hAnsi="Arial" w:cs="Arial"/>
                <w:sz w:val="18"/>
                <w:szCs w:val="18"/>
              </w:rPr>
            </w:pPr>
            <w:r w:rsidRPr="008E2B94">
              <w:rPr>
                <w:rFonts w:ascii="Arial" w:hAnsi="Arial" w:cs="Arial"/>
                <w:sz w:val="18"/>
                <w:szCs w:val="18"/>
              </w:rPr>
              <w:t>54.889.917</w:t>
            </w:r>
          </w:p>
        </w:tc>
      </w:tr>
      <w:tr w:rsidR="007E2F9F" w:rsidRPr="008E2B94" w14:paraId="3D324472" w14:textId="77777777" w:rsidTr="006548F8">
        <w:tc>
          <w:tcPr>
            <w:tcW w:w="8222" w:type="dxa"/>
          </w:tcPr>
          <w:p w14:paraId="39768345" w14:textId="77777777" w:rsidR="007E2F9F" w:rsidRPr="008E2B94" w:rsidRDefault="007E2F9F" w:rsidP="006548F8">
            <w:pPr>
              <w:tabs>
                <w:tab w:val="left" w:pos="875"/>
              </w:tabs>
              <w:ind w:right="157"/>
              <w:rPr>
                <w:rFonts w:ascii="Arial" w:hAnsi="Arial" w:cs="Arial"/>
                <w:sz w:val="18"/>
                <w:szCs w:val="18"/>
              </w:rPr>
            </w:pPr>
            <w:r w:rsidRPr="008E2B94">
              <w:rPr>
                <w:rFonts w:ascii="Arial" w:hAnsi="Arial" w:cs="Arial"/>
                <w:lang w:val="es-ES_tradnl"/>
              </w:rPr>
              <w:t>Cuentas por pagar constituidas a 31 de diciembre de 2024</w:t>
            </w:r>
          </w:p>
        </w:tc>
        <w:tc>
          <w:tcPr>
            <w:tcW w:w="1985" w:type="dxa"/>
          </w:tcPr>
          <w:p w14:paraId="1296C5E3" w14:textId="77777777" w:rsidR="007E2F9F" w:rsidRPr="008E2B94" w:rsidRDefault="007E2F9F" w:rsidP="006548F8">
            <w:pPr>
              <w:tabs>
                <w:tab w:val="left" w:pos="875"/>
              </w:tabs>
              <w:jc w:val="right"/>
              <w:rPr>
                <w:rFonts w:ascii="Arial" w:hAnsi="Arial" w:cs="Arial"/>
                <w:sz w:val="18"/>
                <w:szCs w:val="18"/>
              </w:rPr>
            </w:pPr>
            <w:r w:rsidRPr="008E2B94">
              <w:rPr>
                <w:rFonts w:ascii="Arial" w:hAnsi="Arial" w:cs="Arial"/>
                <w:sz w:val="18"/>
                <w:szCs w:val="18"/>
              </w:rPr>
              <w:t>530.761</w:t>
            </w:r>
          </w:p>
        </w:tc>
      </w:tr>
      <w:tr w:rsidR="007E2F9F" w:rsidRPr="008E2B94" w14:paraId="75E52423" w14:textId="77777777" w:rsidTr="006548F8">
        <w:tc>
          <w:tcPr>
            <w:tcW w:w="8222" w:type="dxa"/>
          </w:tcPr>
          <w:p w14:paraId="4C789EFB" w14:textId="77777777" w:rsidR="007E2F9F" w:rsidRPr="008E2B94" w:rsidRDefault="007E2F9F" w:rsidP="006548F8">
            <w:pPr>
              <w:tabs>
                <w:tab w:val="left" w:pos="875"/>
              </w:tabs>
              <w:ind w:right="157"/>
              <w:rPr>
                <w:rFonts w:ascii="Arial" w:hAnsi="Arial" w:cs="Arial"/>
                <w:sz w:val="18"/>
                <w:szCs w:val="18"/>
              </w:rPr>
            </w:pPr>
            <w:r w:rsidRPr="008E2B94">
              <w:rPr>
                <w:rFonts w:ascii="Arial" w:hAnsi="Arial" w:cs="Arial"/>
                <w:b/>
                <w:lang w:val="es-ES_tradnl"/>
              </w:rPr>
              <w:t>TOTAL REZAGO PRESUPUESTAL CONSTITUIDO A 31 DE DICIEMBRE DE 2024</w:t>
            </w:r>
          </w:p>
        </w:tc>
        <w:tc>
          <w:tcPr>
            <w:tcW w:w="1985" w:type="dxa"/>
          </w:tcPr>
          <w:p w14:paraId="4A77EDA8" w14:textId="77777777" w:rsidR="007E2F9F" w:rsidRPr="008E2B94" w:rsidRDefault="007E2F9F" w:rsidP="006548F8">
            <w:pPr>
              <w:tabs>
                <w:tab w:val="left" w:pos="875"/>
              </w:tabs>
              <w:jc w:val="right"/>
              <w:rPr>
                <w:rFonts w:ascii="Arial" w:hAnsi="Arial" w:cs="Arial"/>
                <w:b/>
                <w:sz w:val="18"/>
                <w:szCs w:val="18"/>
                <w:u w:val="single"/>
              </w:rPr>
            </w:pPr>
            <w:r w:rsidRPr="008E2B94">
              <w:rPr>
                <w:rFonts w:ascii="Arial" w:hAnsi="Arial" w:cs="Arial"/>
                <w:b/>
                <w:sz w:val="18"/>
                <w:szCs w:val="18"/>
                <w:u w:val="single"/>
              </w:rPr>
              <w:t>55.420.678</w:t>
            </w:r>
          </w:p>
        </w:tc>
      </w:tr>
    </w:tbl>
    <w:p w14:paraId="72A8584F" w14:textId="77777777" w:rsidR="007E2F9F" w:rsidRDefault="007E2F9F" w:rsidP="007E2F9F">
      <w:pPr>
        <w:pStyle w:val="Textoindependiente"/>
        <w:spacing w:before="3"/>
      </w:pPr>
    </w:p>
    <w:p w14:paraId="3F50C9CF" w14:textId="77777777" w:rsidR="007E2F9F" w:rsidRPr="00ED3651" w:rsidRDefault="007E2F9F" w:rsidP="007E2F9F">
      <w:pPr>
        <w:ind w:left="-284"/>
        <w:jc w:val="both"/>
        <w:rPr>
          <w:rFonts w:ascii="Arial" w:hAnsi="Arial" w:cs="Arial"/>
          <w:b/>
          <w:sz w:val="28"/>
          <w:szCs w:val="28"/>
          <w:lang w:val="es-MX"/>
        </w:rPr>
      </w:pPr>
      <w:r w:rsidRPr="00ED3651">
        <w:rPr>
          <w:rFonts w:ascii="Arial" w:hAnsi="Arial" w:cs="Arial"/>
          <w:b/>
          <w:sz w:val="28"/>
          <w:szCs w:val="28"/>
          <w:lang w:val="es-MX"/>
        </w:rPr>
        <w:t>31.- INSTITUTO CARO Y CUERVO.</w:t>
      </w:r>
    </w:p>
    <w:p w14:paraId="195ACE76" w14:textId="77777777" w:rsidR="007E2F9F" w:rsidRPr="00B54567" w:rsidRDefault="007E2F9F" w:rsidP="007E2F9F">
      <w:pPr>
        <w:tabs>
          <w:tab w:val="left" w:pos="875"/>
        </w:tabs>
        <w:ind w:left="-142" w:right="157"/>
        <w:rPr>
          <w:sz w:val="24"/>
        </w:rPr>
      </w:pPr>
    </w:p>
    <w:tbl>
      <w:tblPr>
        <w:tblStyle w:val="Tablaconcuadrcula"/>
        <w:tblW w:w="10349" w:type="dxa"/>
        <w:tblInd w:w="-289" w:type="dxa"/>
        <w:tblLook w:val="04A0" w:firstRow="1" w:lastRow="0" w:firstColumn="1" w:lastColumn="0" w:noHBand="0" w:noVBand="1"/>
      </w:tblPr>
      <w:tblGrid>
        <w:gridCol w:w="8222"/>
        <w:gridCol w:w="2127"/>
      </w:tblGrid>
      <w:tr w:rsidR="007E2F9F" w:rsidRPr="001B4C88" w14:paraId="0D7F4567" w14:textId="77777777" w:rsidTr="006548F8">
        <w:tc>
          <w:tcPr>
            <w:tcW w:w="8222" w:type="dxa"/>
          </w:tcPr>
          <w:p w14:paraId="4BAF4A8D" w14:textId="77777777" w:rsidR="007E2F9F" w:rsidRPr="001B4C88" w:rsidRDefault="007E2F9F" w:rsidP="006548F8">
            <w:pPr>
              <w:tabs>
                <w:tab w:val="left" w:pos="875"/>
              </w:tabs>
              <w:ind w:right="157"/>
              <w:rPr>
                <w:rFonts w:ascii="Arial" w:hAnsi="Arial" w:cs="Arial"/>
                <w:sz w:val="18"/>
                <w:szCs w:val="18"/>
              </w:rPr>
            </w:pPr>
            <w:r w:rsidRPr="001B4C88">
              <w:rPr>
                <w:rFonts w:ascii="Arial" w:hAnsi="Arial" w:cs="Arial"/>
                <w:lang w:val="es-ES_tradnl"/>
              </w:rPr>
              <w:t>Reservas presupuestales constituidas a 31 de diciembre de 2024</w:t>
            </w:r>
          </w:p>
        </w:tc>
        <w:tc>
          <w:tcPr>
            <w:tcW w:w="2127" w:type="dxa"/>
          </w:tcPr>
          <w:p w14:paraId="1ECBDA37" w14:textId="77777777" w:rsidR="007E2F9F" w:rsidRPr="001B4C88" w:rsidRDefault="007E2F9F" w:rsidP="006548F8">
            <w:pPr>
              <w:tabs>
                <w:tab w:val="left" w:pos="875"/>
              </w:tabs>
              <w:jc w:val="right"/>
              <w:rPr>
                <w:rFonts w:ascii="Arial" w:hAnsi="Arial" w:cs="Arial"/>
              </w:rPr>
            </w:pPr>
            <w:r w:rsidRPr="001B4C88">
              <w:rPr>
                <w:rFonts w:ascii="Arial" w:hAnsi="Arial" w:cs="Arial"/>
              </w:rPr>
              <w:t>2.178.558</w:t>
            </w:r>
          </w:p>
        </w:tc>
      </w:tr>
      <w:tr w:rsidR="007E2F9F" w:rsidRPr="001B4C88" w14:paraId="78D540BC" w14:textId="77777777" w:rsidTr="006548F8">
        <w:tc>
          <w:tcPr>
            <w:tcW w:w="8222" w:type="dxa"/>
          </w:tcPr>
          <w:p w14:paraId="66963697" w14:textId="77777777" w:rsidR="007E2F9F" w:rsidRPr="001B4C88" w:rsidRDefault="007E2F9F" w:rsidP="006548F8">
            <w:pPr>
              <w:tabs>
                <w:tab w:val="left" w:pos="875"/>
              </w:tabs>
              <w:ind w:right="157"/>
              <w:rPr>
                <w:rFonts w:ascii="Arial" w:hAnsi="Arial" w:cs="Arial"/>
                <w:sz w:val="18"/>
                <w:szCs w:val="18"/>
              </w:rPr>
            </w:pPr>
            <w:r w:rsidRPr="001B4C88">
              <w:rPr>
                <w:rFonts w:ascii="Arial" w:hAnsi="Arial" w:cs="Arial"/>
                <w:lang w:val="es-ES_tradnl"/>
              </w:rPr>
              <w:t>Cuentas por pagar constituidas a 31 de diciembre de 2024</w:t>
            </w:r>
          </w:p>
        </w:tc>
        <w:tc>
          <w:tcPr>
            <w:tcW w:w="2127" w:type="dxa"/>
          </w:tcPr>
          <w:p w14:paraId="2BB92536" w14:textId="77777777" w:rsidR="007E2F9F" w:rsidRPr="001B4C88" w:rsidRDefault="007E2F9F" w:rsidP="006548F8">
            <w:pPr>
              <w:tabs>
                <w:tab w:val="left" w:pos="875"/>
              </w:tabs>
              <w:jc w:val="right"/>
              <w:rPr>
                <w:rFonts w:ascii="Arial" w:hAnsi="Arial" w:cs="Arial"/>
              </w:rPr>
            </w:pPr>
            <w:r w:rsidRPr="001B4C88">
              <w:rPr>
                <w:rFonts w:ascii="Arial" w:hAnsi="Arial" w:cs="Arial"/>
              </w:rPr>
              <w:t>543.180</w:t>
            </w:r>
          </w:p>
        </w:tc>
      </w:tr>
      <w:tr w:rsidR="007E2F9F" w:rsidRPr="001B4C88" w14:paraId="3D8D94A4" w14:textId="77777777" w:rsidTr="006548F8">
        <w:tc>
          <w:tcPr>
            <w:tcW w:w="8222" w:type="dxa"/>
          </w:tcPr>
          <w:p w14:paraId="28216E60" w14:textId="77777777" w:rsidR="007E2F9F" w:rsidRPr="001B4C88" w:rsidRDefault="007E2F9F" w:rsidP="006548F8">
            <w:pPr>
              <w:tabs>
                <w:tab w:val="left" w:pos="875"/>
              </w:tabs>
              <w:ind w:right="157"/>
              <w:rPr>
                <w:rFonts w:ascii="Arial" w:hAnsi="Arial" w:cs="Arial"/>
                <w:sz w:val="18"/>
                <w:szCs w:val="18"/>
              </w:rPr>
            </w:pPr>
            <w:r w:rsidRPr="001B4C88">
              <w:rPr>
                <w:rFonts w:ascii="Arial" w:hAnsi="Arial" w:cs="Arial"/>
                <w:b/>
                <w:lang w:val="es-ES_tradnl"/>
              </w:rPr>
              <w:t>TOTAL REZAGO PRESUPUESTAL CONSTITUIDO A 31 DE DICIEMBRE DE 2024</w:t>
            </w:r>
          </w:p>
        </w:tc>
        <w:tc>
          <w:tcPr>
            <w:tcW w:w="2127" w:type="dxa"/>
          </w:tcPr>
          <w:p w14:paraId="259418F1" w14:textId="77777777" w:rsidR="007E2F9F" w:rsidRPr="001B4C88" w:rsidRDefault="007E2F9F" w:rsidP="006548F8">
            <w:pPr>
              <w:tabs>
                <w:tab w:val="left" w:pos="875"/>
              </w:tabs>
              <w:jc w:val="right"/>
              <w:rPr>
                <w:rFonts w:ascii="Arial" w:hAnsi="Arial" w:cs="Arial"/>
                <w:b/>
                <w:u w:val="single"/>
              </w:rPr>
            </w:pPr>
            <w:r w:rsidRPr="001B4C88">
              <w:rPr>
                <w:rFonts w:ascii="Arial" w:hAnsi="Arial" w:cs="Arial"/>
                <w:b/>
                <w:u w:val="single"/>
              </w:rPr>
              <w:t>2.721.738</w:t>
            </w:r>
          </w:p>
        </w:tc>
      </w:tr>
    </w:tbl>
    <w:p w14:paraId="7B8C2F2A" w14:textId="77777777" w:rsidR="007E2F9F" w:rsidRDefault="007E2F9F" w:rsidP="007E2F9F">
      <w:pPr>
        <w:tabs>
          <w:tab w:val="left" w:pos="875"/>
        </w:tabs>
        <w:ind w:left="-284" w:right="-234"/>
        <w:jc w:val="both"/>
        <w:rPr>
          <w:rFonts w:ascii="Arial" w:hAnsi="Arial" w:cs="Arial"/>
          <w:lang w:val="es-MX"/>
        </w:rPr>
      </w:pPr>
    </w:p>
    <w:p w14:paraId="4BFA6B6C" w14:textId="77777777" w:rsidR="007E2F9F" w:rsidRPr="00977EFB" w:rsidRDefault="007E2F9F" w:rsidP="007E2F9F">
      <w:pPr>
        <w:ind w:left="-284"/>
        <w:jc w:val="both"/>
        <w:rPr>
          <w:rFonts w:ascii="Arial" w:hAnsi="Arial" w:cs="Arial"/>
          <w:b/>
          <w:sz w:val="28"/>
          <w:szCs w:val="28"/>
          <w:lang w:val="es-MX"/>
        </w:rPr>
      </w:pPr>
      <w:r w:rsidRPr="00977EFB">
        <w:rPr>
          <w:rFonts w:ascii="Arial" w:hAnsi="Arial" w:cs="Arial"/>
          <w:b/>
          <w:sz w:val="28"/>
          <w:szCs w:val="28"/>
          <w:lang w:val="es-MX"/>
        </w:rPr>
        <w:t>32.- AUDITORÍA GENERAL DE LA REPÚBLICA.</w:t>
      </w:r>
    </w:p>
    <w:p w14:paraId="60F7F02A"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B8509B" w14:paraId="782E71DE" w14:textId="77777777" w:rsidTr="006548F8">
        <w:tc>
          <w:tcPr>
            <w:tcW w:w="8222" w:type="dxa"/>
          </w:tcPr>
          <w:p w14:paraId="22C5649C" w14:textId="77777777" w:rsidR="007E2F9F" w:rsidRPr="00B8509B" w:rsidRDefault="007E2F9F" w:rsidP="006548F8">
            <w:pPr>
              <w:tabs>
                <w:tab w:val="left" w:pos="875"/>
              </w:tabs>
              <w:ind w:right="157"/>
              <w:rPr>
                <w:rFonts w:ascii="Arial" w:hAnsi="Arial" w:cs="Arial"/>
              </w:rPr>
            </w:pPr>
            <w:r w:rsidRPr="00B8509B">
              <w:rPr>
                <w:rFonts w:ascii="Arial" w:hAnsi="Arial" w:cs="Arial"/>
                <w:lang w:val="es-ES_tradnl"/>
              </w:rPr>
              <w:t>Reservas presupuestales constituidas a 31 de diciembre de 2024</w:t>
            </w:r>
          </w:p>
        </w:tc>
        <w:tc>
          <w:tcPr>
            <w:tcW w:w="2127" w:type="dxa"/>
          </w:tcPr>
          <w:p w14:paraId="09B176FD" w14:textId="77777777" w:rsidR="007E2F9F" w:rsidRPr="00B8509B" w:rsidRDefault="007E2F9F" w:rsidP="006548F8">
            <w:pPr>
              <w:tabs>
                <w:tab w:val="left" w:pos="875"/>
              </w:tabs>
              <w:jc w:val="right"/>
              <w:rPr>
                <w:rFonts w:ascii="Arial" w:hAnsi="Arial" w:cs="Arial"/>
              </w:rPr>
            </w:pPr>
            <w:r w:rsidRPr="00B8509B">
              <w:rPr>
                <w:rFonts w:ascii="Arial" w:hAnsi="Arial" w:cs="Arial"/>
              </w:rPr>
              <w:t>122.385</w:t>
            </w:r>
          </w:p>
        </w:tc>
      </w:tr>
      <w:tr w:rsidR="007E2F9F" w:rsidRPr="00B8509B" w14:paraId="333B12A7" w14:textId="77777777" w:rsidTr="006548F8">
        <w:tc>
          <w:tcPr>
            <w:tcW w:w="8222" w:type="dxa"/>
          </w:tcPr>
          <w:p w14:paraId="28D34710" w14:textId="77777777" w:rsidR="007E2F9F" w:rsidRPr="00B8509B" w:rsidRDefault="007E2F9F" w:rsidP="006548F8">
            <w:pPr>
              <w:tabs>
                <w:tab w:val="left" w:pos="875"/>
              </w:tabs>
              <w:ind w:right="157"/>
              <w:rPr>
                <w:rFonts w:ascii="Arial" w:hAnsi="Arial" w:cs="Arial"/>
              </w:rPr>
            </w:pPr>
            <w:r w:rsidRPr="00B8509B">
              <w:rPr>
                <w:rFonts w:ascii="Arial" w:hAnsi="Arial" w:cs="Arial"/>
                <w:lang w:val="es-ES_tradnl"/>
              </w:rPr>
              <w:t>Cuentas por pagar constituidas a 31 de diciembre de 2024</w:t>
            </w:r>
          </w:p>
        </w:tc>
        <w:tc>
          <w:tcPr>
            <w:tcW w:w="2127" w:type="dxa"/>
          </w:tcPr>
          <w:p w14:paraId="4C59FC91" w14:textId="77777777" w:rsidR="007E2F9F" w:rsidRPr="00B8509B" w:rsidRDefault="007E2F9F" w:rsidP="006548F8">
            <w:pPr>
              <w:tabs>
                <w:tab w:val="left" w:pos="875"/>
              </w:tabs>
              <w:jc w:val="right"/>
              <w:rPr>
                <w:rFonts w:ascii="Arial" w:hAnsi="Arial" w:cs="Arial"/>
              </w:rPr>
            </w:pPr>
            <w:r w:rsidRPr="00B8509B">
              <w:rPr>
                <w:rFonts w:ascii="Arial" w:hAnsi="Arial" w:cs="Arial"/>
              </w:rPr>
              <w:t>886.220</w:t>
            </w:r>
          </w:p>
        </w:tc>
      </w:tr>
      <w:tr w:rsidR="007E2F9F" w:rsidRPr="00B8509B" w14:paraId="226208AB" w14:textId="77777777" w:rsidTr="006548F8">
        <w:tc>
          <w:tcPr>
            <w:tcW w:w="8222" w:type="dxa"/>
          </w:tcPr>
          <w:p w14:paraId="7C47718C" w14:textId="77777777" w:rsidR="007E2F9F" w:rsidRPr="00B8509B" w:rsidRDefault="007E2F9F" w:rsidP="006548F8">
            <w:pPr>
              <w:tabs>
                <w:tab w:val="left" w:pos="875"/>
              </w:tabs>
              <w:ind w:right="157"/>
              <w:rPr>
                <w:rFonts w:ascii="Arial" w:hAnsi="Arial" w:cs="Arial"/>
              </w:rPr>
            </w:pPr>
            <w:r w:rsidRPr="00B8509B">
              <w:rPr>
                <w:rFonts w:ascii="Arial" w:hAnsi="Arial" w:cs="Arial"/>
                <w:b/>
                <w:lang w:val="es-ES_tradnl"/>
              </w:rPr>
              <w:t>TOTAL REZAGO PRESUPUESTAL CONSTITUIDO A 31 DE DICIEMBRE DE 2024</w:t>
            </w:r>
          </w:p>
        </w:tc>
        <w:tc>
          <w:tcPr>
            <w:tcW w:w="2127" w:type="dxa"/>
          </w:tcPr>
          <w:p w14:paraId="5BDC02BE" w14:textId="77777777" w:rsidR="007E2F9F" w:rsidRPr="00B8509B" w:rsidRDefault="007E2F9F" w:rsidP="006548F8">
            <w:pPr>
              <w:tabs>
                <w:tab w:val="left" w:pos="875"/>
              </w:tabs>
              <w:jc w:val="right"/>
              <w:rPr>
                <w:rFonts w:ascii="Arial" w:hAnsi="Arial" w:cs="Arial"/>
                <w:b/>
                <w:u w:val="single"/>
              </w:rPr>
            </w:pPr>
            <w:r w:rsidRPr="00B8509B">
              <w:rPr>
                <w:rFonts w:ascii="Arial" w:hAnsi="Arial" w:cs="Arial"/>
                <w:b/>
                <w:u w:val="single"/>
              </w:rPr>
              <w:t>1.008.606</w:t>
            </w:r>
          </w:p>
        </w:tc>
      </w:tr>
    </w:tbl>
    <w:p w14:paraId="5A8B73E2" w14:textId="77777777" w:rsidR="00DE218D" w:rsidRDefault="00DE218D" w:rsidP="007E2F9F">
      <w:pPr>
        <w:ind w:left="-284"/>
        <w:jc w:val="both"/>
        <w:rPr>
          <w:rFonts w:ascii="Arial" w:hAnsi="Arial" w:cs="Arial"/>
          <w:b/>
          <w:sz w:val="28"/>
          <w:szCs w:val="28"/>
          <w:lang w:val="es-MX"/>
        </w:rPr>
      </w:pPr>
    </w:p>
    <w:p w14:paraId="25F35333" w14:textId="55132551" w:rsidR="007E2F9F" w:rsidRPr="006C79C6" w:rsidRDefault="007E2F9F" w:rsidP="007E2F9F">
      <w:pPr>
        <w:ind w:left="-284"/>
        <w:jc w:val="both"/>
        <w:rPr>
          <w:rFonts w:ascii="Arial" w:hAnsi="Arial" w:cs="Arial"/>
          <w:b/>
          <w:sz w:val="28"/>
          <w:szCs w:val="28"/>
          <w:lang w:val="es-MX"/>
        </w:rPr>
      </w:pPr>
      <w:r w:rsidRPr="006C79C6">
        <w:rPr>
          <w:rFonts w:ascii="Arial" w:hAnsi="Arial" w:cs="Arial"/>
          <w:b/>
          <w:sz w:val="28"/>
          <w:szCs w:val="28"/>
          <w:lang w:val="es-MX"/>
        </w:rPr>
        <w:t>34.- INSTITUTO DE CASAS FISCALES DEL EJERCITO.</w:t>
      </w:r>
    </w:p>
    <w:p w14:paraId="02CBA585" w14:textId="77777777" w:rsidR="007E2F9F" w:rsidRDefault="007E2F9F" w:rsidP="007E2F9F">
      <w:pPr>
        <w:tabs>
          <w:tab w:val="left" w:pos="875"/>
        </w:tabs>
        <w:ind w:right="-50"/>
        <w:jc w:val="both"/>
        <w:rPr>
          <w:b/>
          <w:sz w:val="28"/>
          <w:szCs w:val="28"/>
          <w:lang w:val="es-MX"/>
        </w:rPr>
      </w:pPr>
    </w:p>
    <w:tbl>
      <w:tblPr>
        <w:tblStyle w:val="Tablaconcuadrcula"/>
        <w:tblW w:w="10207" w:type="dxa"/>
        <w:tblInd w:w="-289" w:type="dxa"/>
        <w:tblLook w:val="04A0" w:firstRow="1" w:lastRow="0" w:firstColumn="1" w:lastColumn="0" w:noHBand="0" w:noVBand="1"/>
      </w:tblPr>
      <w:tblGrid>
        <w:gridCol w:w="8506"/>
        <w:gridCol w:w="1701"/>
      </w:tblGrid>
      <w:tr w:rsidR="007E2F9F" w:rsidRPr="00604701" w14:paraId="386B9DD8" w14:textId="77777777" w:rsidTr="006548F8">
        <w:tc>
          <w:tcPr>
            <w:tcW w:w="8506" w:type="dxa"/>
          </w:tcPr>
          <w:p w14:paraId="5999988F" w14:textId="77777777" w:rsidR="007E2F9F" w:rsidRPr="00604701" w:rsidRDefault="007E2F9F" w:rsidP="006548F8">
            <w:pPr>
              <w:tabs>
                <w:tab w:val="left" w:pos="875"/>
              </w:tabs>
              <w:ind w:right="157"/>
              <w:rPr>
                <w:rFonts w:ascii="Arial" w:hAnsi="Arial" w:cs="Arial"/>
                <w:sz w:val="18"/>
                <w:szCs w:val="18"/>
              </w:rPr>
            </w:pPr>
            <w:r w:rsidRPr="00604701">
              <w:rPr>
                <w:rFonts w:ascii="Arial" w:hAnsi="Arial" w:cs="Arial"/>
                <w:lang w:val="es-ES_tradnl"/>
              </w:rPr>
              <w:t>Reservas presupuestales constituidas a 31 de diciembre de 2024</w:t>
            </w:r>
          </w:p>
        </w:tc>
        <w:tc>
          <w:tcPr>
            <w:tcW w:w="1701" w:type="dxa"/>
          </w:tcPr>
          <w:p w14:paraId="747E9D76" w14:textId="77777777" w:rsidR="007E2F9F" w:rsidRPr="00604701" w:rsidRDefault="007E2F9F" w:rsidP="006548F8">
            <w:pPr>
              <w:tabs>
                <w:tab w:val="left" w:pos="875"/>
              </w:tabs>
              <w:jc w:val="right"/>
              <w:rPr>
                <w:rFonts w:ascii="Arial" w:hAnsi="Arial" w:cs="Arial"/>
                <w:sz w:val="18"/>
                <w:szCs w:val="18"/>
              </w:rPr>
            </w:pPr>
            <w:r w:rsidRPr="00604701">
              <w:rPr>
                <w:rFonts w:ascii="Arial" w:hAnsi="Arial" w:cs="Arial"/>
                <w:sz w:val="18"/>
                <w:szCs w:val="18"/>
              </w:rPr>
              <w:t>10.577.468</w:t>
            </w:r>
          </w:p>
        </w:tc>
      </w:tr>
      <w:tr w:rsidR="007E2F9F" w:rsidRPr="00604701" w14:paraId="12DCA6E1" w14:textId="77777777" w:rsidTr="006548F8">
        <w:tc>
          <w:tcPr>
            <w:tcW w:w="8506" w:type="dxa"/>
          </w:tcPr>
          <w:p w14:paraId="1393498E" w14:textId="77777777" w:rsidR="007E2F9F" w:rsidRPr="00604701" w:rsidRDefault="007E2F9F" w:rsidP="006548F8">
            <w:pPr>
              <w:tabs>
                <w:tab w:val="left" w:pos="875"/>
              </w:tabs>
              <w:ind w:right="157"/>
              <w:rPr>
                <w:rFonts w:ascii="Arial" w:hAnsi="Arial" w:cs="Arial"/>
                <w:sz w:val="18"/>
                <w:szCs w:val="18"/>
              </w:rPr>
            </w:pPr>
            <w:r w:rsidRPr="00604701">
              <w:rPr>
                <w:rFonts w:ascii="Arial" w:hAnsi="Arial" w:cs="Arial"/>
                <w:lang w:val="es-ES_tradnl"/>
              </w:rPr>
              <w:t>Cuentas por pagar constituidas a 31 de diciembre de 2024</w:t>
            </w:r>
          </w:p>
        </w:tc>
        <w:tc>
          <w:tcPr>
            <w:tcW w:w="1701" w:type="dxa"/>
          </w:tcPr>
          <w:p w14:paraId="14797726" w14:textId="77777777" w:rsidR="007E2F9F" w:rsidRPr="00604701" w:rsidRDefault="007E2F9F" w:rsidP="006548F8">
            <w:pPr>
              <w:tabs>
                <w:tab w:val="left" w:pos="875"/>
              </w:tabs>
              <w:jc w:val="right"/>
              <w:rPr>
                <w:rFonts w:ascii="Arial" w:hAnsi="Arial" w:cs="Arial"/>
                <w:sz w:val="18"/>
                <w:szCs w:val="18"/>
              </w:rPr>
            </w:pPr>
            <w:r w:rsidRPr="00604701">
              <w:rPr>
                <w:rFonts w:ascii="Arial" w:hAnsi="Arial" w:cs="Arial"/>
                <w:sz w:val="18"/>
                <w:szCs w:val="18"/>
              </w:rPr>
              <w:t>359.426</w:t>
            </w:r>
          </w:p>
        </w:tc>
      </w:tr>
      <w:tr w:rsidR="007E2F9F" w:rsidRPr="00604701" w14:paraId="2F482EDA" w14:textId="77777777" w:rsidTr="006548F8">
        <w:tc>
          <w:tcPr>
            <w:tcW w:w="8506" w:type="dxa"/>
          </w:tcPr>
          <w:p w14:paraId="35FAB073" w14:textId="77777777" w:rsidR="007E2F9F" w:rsidRPr="00604701" w:rsidRDefault="007E2F9F" w:rsidP="006548F8">
            <w:pPr>
              <w:tabs>
                <w:tab w:val="left" w:pos="875"/>
              </w:tabs>
              <w:ind w:right="157"/>
              <w:rPr>
                <w:rFonts w:ascii="Arial" w:hAnsi="Arial" w:cs="Arial"/>
                <w:sz w:val="18"/>
                <w:szCs w:val="18"/>
              </w:rPr>
            </w:pPr>
            <w:r w:rsidRPr="00604701">
              <w:rPr>
                <w:rFonts w:ascii="Arial" w:hAnsi="Arial" w:cs="Arial"/>
                <w:b/>
                <w:lang w:val="es-ES_tradnl"/>
              </w:rPr>
              <w:t>TOTAL REZAGO PRESUPUESTAL CONSTITUIDO A 31 DE DICIEMBRE DE 2024</w:t>
            </w:r>
          </w:p>
        </w:tc>
        <w:tc>
          <w:tcPr>
            <w:tcW w:w="1701" w:type="dxa"/>
          </w:tcPr>
          <w:p w14:paraId="6D4FF3C8" w14:textId="77777777" w:rsidR="007E2F9F" w:rsidRPr="00604701" w:rsidRDefault="007E2F9F" w:rsidP="006548F8">
            <w:pPr>
              <w:tabs>
                <w:tab w:val="left" w:pos="875"/>
              </w:tabs>
              <w:jc w:val="right"/>
              <w:rPr>
                <w:rFonts w:ascii="Arial" w:hAnsi="Arial" w:cs="Arial"/>
                <w:b/>
                <w:sz w:val="18"/>
                <w:szCs w:val="18"/>
                <w:u w:val="single"/>
              </w:rPr>
            </w:pPr>
            <w:r w:rsidRPr="00604701">
              <w:rPr>
                <w:rFonts w:ascii="Arial" w:hAnsi="Arial" w:cs="Arial"/>
                <w:b/>
                <w:sz w:val="18"/>
                <w:szCs w:val="18"/>
                <w:u w:val="single"/>
              </w:rPr>
              <w:t>10.936.895</w:t>
            </w:r>
          </w:p>
        </w:tc>
      </w:tr>
    </w:tbl>
    <w:p w14:paraId="7F3A29F2" w14:textId="77777777" w:rsidR="007E2F9F" w:rsidRPr="00604701" w:rsidRDefault="007E2F9F" w:rsidP="007E2F9F">
      <w:pPr>
        <w:tabs>
          <w:tab w:val="left" w:pos="875"/>
        </w:tabs>
        <w:ind w:right="-50"/>
        <w:jc w:val="both"/>
        <w:rPr>
          <w:b/>
          <w:sz w:val="28"/>
          <w:szCs w:val="28"/>
          <w:lang w:val="es-MX"/>
        </w:rPr>
      </w:pPr>
    </w:p>
    <w:p w14:paraId="7568376D" w14:textId="77777777" w:rsidR="007E2F9F" w:rsidRPr="00F41316" w:rsidRDefault="007E2F9F" w:rsidP="007E2F9F">
      <w:pPr>
        <w:ind w:left="-284"/>
        <w:jc w:val="both"/>
        <w:rPr>
          <w:rFonts w:ascii="Arial" w:hAnsi="Arial" w:cs="Arial"/>
          <w:b/>
          <w:sz w:val="28"/>
          <w:szCs w:val="28"/>
          <w:lang w:val="es-MX"/>
        </w:rPr>
      </w:pPr>
      <w:r w:rsidRPr="00F41316">
        <w:rPr>
          <w:rFonts w:ascii="Arial" w:hAnsi="Arial" w:cs="Arial"/>
          <w:b/>
          <w:sz w:val="28"/>
          <w:szCs w:val="28"/>
          <w:lang w:val="es-MX"/>
        </w:rPr>
        <w:t>36.- U.A.E. AGENCIA NACIONAL DEL ESPECTRO – ANE.</w:t>
      </w:r>
    </w:p>
    <w:p w14:paraId="3A233D05"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841496" w14:paraId="4C88AC1D" w14:textId="77777777" w:rsidTr="006548F8">
        <w:tc>
          <w:tcPr>
            <w:tcW w:w="8506" w:type="dxa"/>
          </w:tcPr>
          <w:p w14:paraId="74E8BC5C" w14:textId="77777777" w:rsidR="007E2F9F" w:rsidRPr="00841496" w:rsidRDefault="007E2F9F" w:rsidP="006548F8">
            <w:pPr>
              <w:tabs>
                <w:tab w:val="left" w:pos="875"/>
              </w:tabs>
              <w:ind w:right="157"/>
              <w:rPr>
                <w:rFonts w:ascii="Arial" w:hAnsi="Arial" w:cs="Arial"/>
                <w:sz w:val="18"/>
                <w:szCs w:val="18"/>
              </w:rPr>
            </w:pPr>
            <w:r w:rsidRPr="00841496">
              <w:rPr>
                <w:rFonts w:ascii="Arial" w:hAnsi="Arial" w:cs="Arial"/>
                <w:lang w:val="es-ES_tradnl"/>
              </w:rPr>
              <w:t>Reservas presupuestales constituidas a 31 de diciembre de 2024</w:t>
            </w:r>
          </w:p>
        </w:tc>
        <w:tc>
          <w:tcPr>
            <w:tcW w:w="1843" w:type="dxa"/>
          </w:tcPr>
          <w:p w14:paraId="1F8F0392" w14:textId="77777777" w:rsidR="007E2F9F" w:rsidRPr="00841496" w:rsidRDefault="007E2F9F" w:rsidP="006548F8">
            <w:pPr>
              <w:tabs>
                <w:tab w:val="left" w:pos="875"/>
              </w:tabs>
              <w:jc w:val="right"/>
              <w:rPr>
                <w:rFonts w:ascii="Arial" w:hAnsi="Arial" w:cs="Arial"/>
              </w:rPr>
            </w:pPr>
            <w:r w:rsidRPr="00841496">
              <w:rPr>
                <w:rFonts w:ascii="Arial" w:hAnsi="Arial" w:cs="Arial"/>
              </w:rPr>
              <w:t>290.683</w:t>
            </w:r>
          </w:p>
        </w:tc>
      </w:tr>
      <w:tr w:rsidR="007E2F9F" w:rsidRPr="00841496" w14:paraId="430636CD" w14:textId="77777777" w:rsidTr="006548F8">
        <w:tc>
          <w:tcPr>
            <w:tcW w:w="8506" w:type="dxa"/>
          </w:tcPr>
          <w:p w14:paraId="323FB797" w14:textId="77777777" w:rsidR="007E2F9F" w:rsidRPr="00841496" w:rsidRDefault="007E2F9F" w:rsidP="006548F8">
            <w:pPr>
              <w:tabs>
                <w:tab w:val="left" w:pos="875"/>
              </w:tabs>
              <w:ind w:right="157"/>
              <w:rPr>
                <w:rFonts w:ascii="Arial" w:hAnsi="Arial" w:cs="Arial"/>
                <w:sz w:val="18"/>
                <w:szCs w:val="18"/>
              </w:rPr>
            </w:pPr>
            <w:r w:rsidRPr="00841496">
              <w:rPr>
                <w:rFonts w:ascii="Arial" w:hAnsi="Arial" w:cs="Arial"/>
                <w:lang w:val="es-ES_tradnl"/>
              </w:rPr>
              <w:t>Cuentas por pagar constituidas a 31 de diciembre de 2024</w:t>
            </w:r>
          </w:p>
        </w:tc>
        <w:tc>
          <w:tcPr>
            <w:tcW w:w="1843" w:type="dxa"/>
          </w:tcPr>
          <w:p w14:paraId="5172FAA4" w14:textId="77777777" w:rsidR="007E2F9F" w:rsidRPr="00841496" w:rsidRDefault="007E2F9F" w:rsidP="006548F8">
            <w:pPr>
              <w:tabs>
                <w:tab w:val="left" w:pos="875"/>
              </w:tabs>
              <w:jc w:val="right"/>
              <w:rPr>
                <w:rFonts w:ascii="Arial" w:hAnsi="Arial" w:cs="Arial"/>
              </w:rPr>
            </w:pPr>
            <w:r w:rsidRPr="00841496">
              <w:rPr>
                <w:rFonts w:ascii="Arial" w:hAnsi="Arial" w:cs="Arial"/>
              </w:rPr>
              <w:t>2.984.857</w:t>
            </w:r>
          </w:p>
        </w:tc>
      </w:tr>
      <w:tr w:rsidR="007E2F9F" w:rsidRPr="00841496" w14:paraId="54C1095F" w14:textId="77777777" w:rsidTr="006548F8">
        <w:tc>
          <w:tcPr>
            <w:tcW w:w="8506" w:type="dxa"/>
          </w:tcPr>
          <w:p w14:paraId="60712C6A" w14:textId="77777777" w:rsidR="007E2F9F" w:rsidRPr="00841496" w:rsidRDefault="007E2F9F" w:rsidP="006548F8">
            <w:pPr>
              <w:tabs>
                <w:tab w:val="left" w:pos="875"/>
              </w:tabs>
              <w:ind w:right="157"/>
              <w:rPr>
                <w:rFonts w:ascii="Arial" w:hAnsi="Arial" w:cs="Arial"/>
                <w:sz w:val="18"/>
                <w:szCs w:val="18"/>
              </w:rPr>
            </w:pPr>
            <w:r w:rsidRPr="00841496">
              <w:rPr>
                <w:rFonts w:ascii="Arial" w:hAnsi="Arial" w:cs="Arial"/>
                <w:b/>
                <w:lang w:val="es-ES_tradnl"/>
              </w:rPr>
              <w:t>TOTAL REZAGO PRESUPUESTAL CONSTITUIDO A 31 DE DICIEMBRE DE 2024</w:t>
            </w:r>
          </w:p>
        </w:tc>
        <w:tc>
          <w:tcPr>
            <w:tcW w:w="1843" w:type="dxa"/>
          </w:tcPr>
          <w:p w14:paraId="70C1C575" w14:textId="77777777" w:rsidR="007E2F9F" w:rsidRPr="00841496" w:rsidRDefault="007E2F9F" w:rsidP="006548F8">
            <w:pPr>
              <w:tabs>
                <w:tab w:val="left" w:pos="875"/>
              </w:tabs>
              <w:jc w:val="right"/>
              <w:rPr>
                <w:rFonts w:ascii="Arial" w:hAnsi="Arial" w:cs="Arial"/>
                <w:b/>
                <w:u w:val="single"/>
              </w:rPr>
            </w:pPr>
            <w:r w:rsidRPr="00841496">
              <w:rPr>
                <w:rFonts w:ascii="Arial" w:hAnsi="Arial" w:cs="Arial"/>
                <w:b/>
                <w:u w:val="single"/>
              </w:rPr>
              <w:t>3.275.540</w:t>
            </w:r>
          </w:p>
        </w:tc>
      </w:tr>
    </w:tbl>
    <w:p w14:paraId="408410B2" w14:textId="77777777" w:rsidR="007E2F9F" w:rsidRPr="00930E51" w:rsidRDefault="007E2F9F" w:rsidP="007E2F9F">
      <w:pPr>
        <w:ind w:left="-284"/>
        <w:jc w:val="both"/>
        <w:rPr>
          <w:rFonts w:ascii="Arial" w:hAnsi="Arial" w:cs="Arial"/>
          <w:b/>
          <w:sz w:val="32"/>
          <w:szCs w:val="32"/>
        </w:rPr>
      </w:pPr>
      <w:r w:rsidRPr="00930E51">
        <w:rPr>
          <w:rFonts w:ascii="Arial" w:hAnsi="Arial" w:cs="Arial"/>
          <w:b/>
          <w:sz w:val="28"/>
          <w:szCs w:val="28"/>
          <w:lang w:val="es-MX"/>
        </w:rPr>
        <w:t xml:space="preserve">37.- </w:t>
      </w:r>
      <w:r w:rsidRPr="00930E51">
        <w:rPr>
          <w:rFonts w:ascii="Arial" w:hAnsi="Arial" w:cs="Arial"/>
          <w:b/>
          <w:sz w:val="28"/>
          <w:szCs w:val="28"/>
        </w:rPr>
        <w:t>AGENCIA NACIONAL DE INFRAESTRUCTURA - ANI.</w:t>
      </w:r>
    </w:p>
    <w:p w14:paraId="258141D3" w14:textId="77777777" w:rsidR="007E2F9F" w:rsidRDefault="007E2F9F" w:rsidP="007E2F9F">
      <w:pPr>
        <w:tabs>
          <w:tab w:val="left" w:pos="875"/>
        </w:tabs>
        <w:ind w:left="-284" w:right="-234"/>
        <w:jc w:val="both"/>
        <w:rPr>
          <w:rFonts w:ascii="Arial" w:hAnsi="Arial" w:cs="Arial"/>
        </w:rPr>
      </w:pPr>
    </w:p>
    <w:tbl>
      <w:tblPr>
        <w:tblStyle w:val="Tablaconcuadrcula"/>
        <w:tblW w:w="10349" w:type="dxa"/>
        <w:tblInd w:w="-289" w:type="dxa"/>
        <w:tblLook w:val="04A0" w:firstRow="1" w:lastRow="0" w:firstColumn="1" w:lastColumn="0" w:noHBand="0" w:noVBand="1"/>
      </w:tblPr>
      <w:tblGrid>
        <w:gridCol w:w="8506"/>
        <w:gridCol w:w="1843"/>
      </w:tblGrid>
      <w:tr w:rsidR="007E2F9F" w:rsidRPr="00926A9C" w14:paraId="67553C3B" w14:textId="77777777" w:rsidTr="006548F8">
        <w:tc>
          <w:tcPr>
            <w:tcW w:w="8506" w:type="dxa"/>
          </w:tcPr>
          <w:p w14:paraId="6AC7083A" w14:textId="77777777" w:rsidR="007E2F9F" w:rsidRPr="00926A9C" w:rsidRDefault="007E2F9F" w:rsidP="006548F8">
            <w:pPr>
              <w:tabs>
                <w:tab w:val="left" w:pos="875"/>
              </w:tabs>
              <w:ind w:right="157"/>
              <w:rPr>
                <w:rFonts w:ascii="Arial" w:hAnsi="Arial" w:cs="Arial"/>
                <w:sz w:val="18"/>
                <w:szCs w:val="18"/>
              </w:rPr>
            </w:pPr>
            <w:r w:rsidRPr="00926A9C">
              <w:rPr>
                <w:rFonts w:ascii="Arial" w:hAnsi="Arial" w:cs="Arial"/>
                <w:lang w:val="es-ES_tradnl"/>
              </w:rPr>
              <w:t>Reservas presupuestales constituidas a 31 de diciembre de 2024</w:t>
            </w:r>
          </w:p>
        </w:tc>
        <w:tc>
          <w:tcPr>
            <w:tcW w:w="1843" w:type="dxa"/>
          </w:tcPr>
          <w:p w14:paraId="70938B55" w14:textId="77777777" w:rsidR="007E2F9F" w:rsidRPr="00926A9C" w:rsidRDefault="007E2F9F" w:rsidP="006548F8">
            <w:pPr>
              <w:tabs>
                <w:tab w:val="left" w:pos="875"/>
              </w:tabs>
              <w:jc w:val="right"/>
              <w:rPr>
                <w:rFonts w:ascii="Arial" w:hAnsi="Arial" w:cs="Arial"/>
                <w:sz w:val="18"/>
                <w:szCs w:val="18"/>
              </w:rPr>
            </w:pPr>
            <w:r w:rsidRPr="00926A9C">
              <w:rPr>
                <w:rFonts w:ascii="Arial" w:hAnsi="Arial" w:cs="Arial"/>
                <w:sz w:val="18"/>
                <w:szCs w:val="18"/>
              </w:rPr>
              <w:t>4.201.000.930,72</w:t>
            </w:r>
          </w:p>
        </w:tc>
      </w:tr>
      <w:tr w:rsidR="007E2F9F" w:rsidRPr="00926A9C" w14:paraId="67F5DA4E" w14:textId="77777777" w:rsidTr="006548F8">
        <w:tc>
          <w:tcPr>
            <w:tcW w:w="8506" w:type="dxa"/>
          </w:tcPr>
          <w:p w14:paraId="4BF4831E" w14:textId="77777777" w:rsidR="007E2F9F" w:rsidRPr="00926A9C" w:rsidRDefault="007E2F9F" w:rsidP="006548F8">
            <w:pPr>
              <w:tabs>
                <w:tab w:val="left" w:pos="875"/>
              </w:tabs>
              <w:ind w:right="157"/>
              <w:rPr>
                <w:rFonts w:ascii="Arial" w:hAnsi="Arial" w:cs="Arial"/>
                <w:sz w:val="18"/>
                <w:szCs w:val="18"/>
              </w:rPr>
            </w:pPr>
            <w:r w:rsidRPr="00926A9C">
              <w:rPr>
                <w:rFonts w:ascii="Arial" w:hAnsi="Arial" w:cs="Arial"/>
                <w:lang w:val="es-ES_tradnl"/>
              </w:rPr>
              <w:t>Cuentas por pagar constituidas a 31 de diciembre de 2024</w:t>
            </w:r>
          </w:p>
        </w:tc>
        <w:tc>
          <w:tcPr>
            <w:tcW w:w="1843" w:type="dxa"/>
          </w:tcPr>
          <w:p w14:paraId="7E56EE03" w14:textId="77777777" w:rsidR="007E2F9F" w:rsidRPr="00926A9C" w:rsidRDefault="007E2F9F" w:rsidP="006548F8">
            <w:pPr>
              <w:tabs>
                <w:tab w:val="left" w:pos="875"/>
              </w:tabs>
              <w:jc w:val="right"/>
              <w:rPr>
                <w:rFonts w:ascii="Arial" w:hAnsi="Arial" w:cs="Arial"/>
                <w:sz w:val="18"/>
                <w:szCs w:val="18"/>
              </w:rPr>
            </w:pPr>
            <w:r w:rsidRPr="00926A9C">
              <w:rPr>
                <w:rFonts w:ascii="Arial" w:hAnsi="Arial" w:cs="Arial"/>
                <w:sz w:val="18"/>
                <w:szCs w:val="18"/>
              </w:rPr>
              <w:t>7.838.806,11</w:t>
            </w:r>
          </w:p>
        </w:tc>
      </w:tr>
      <w:tr w:rsidR="007E2F9F" w:rsidRPr="00926A9C" w14:paraId="23B62368" w14:textId="77777777" w:rsidTr="006548F8">
        <w:tc>
          <w:tcPr>
            <w:tcW w:w="8506" w:type="dxa"/>
          </w:tcPr>
          <w:p w14:paraId="5DC4CDDB" w14:textId="77777777" w:rsidR="007E2F9F" w:rsidRPr="00926A9C" w:rsidRDefault="007E2F9F" w:rsidP="006548F8">
            <w:pPr>
              <w:tabs>
                <w:tab w:val="left" w:pos="875"/>
              </w:tabs>
              <w:ind w:right="157"/>
              <w:rPr>
                <w:rFonts w:ascii="Arial" w:hAnsi="Arial" w:cs="Arial"/>
                <w:sz w:val="18"/>
                <w:szCs w:val="18"/>
              </w:rPr>
            </w:pPr>
            <w:r w:rsidRPr="00926A9C">
              <w:rPr>
                <w:rFonts w:ascii="Arial" w:hAnsi="Arial" w:cs="Arial"/>
                <w:b/>
                <w:lang w:val="es-ES_tradnl"/>
              </w:rPr>
              <w:t>TOTAL REZAGO PRESUPUESTAL CONSTITUIDO A 31 DE DICIEMBRE DE 2024</w:t>
            </w:r>
          </w:p>
        </w:tc>
        <w:tc>
          <w:tcPr>
            <w:tcW w:w="1843" w:type="dxa"/>
          </w:tcPr>
          <w:p w14:paraId="621A3D7F" w14:textId="77777777" w:rsidR="007E2F9F" w:rsidRPr="00926A9C" w:rsidRDefault="007E2F9F" w:rsidP="006548F8">
            <w:pPr>
              <w:tabs>
                <w:tab w:val="left" w:pos="875"/>
              </w:tabs>
              <w:jc w:val="right"/>
              <w:rPr>
                <w:rFonts w:ascii="Arial" w:hAnsi="Arial" w:cs="Arial"/>
                <w:b/>
                <w:sz w:val="18"/>
                <w:szCs w:val="18"/>
                <w:u w:val="single"/>
              </w:rPr>
            </w:pPr>
            <w:r w:rsidRPr="00926A9C">
              <w:rPr>
                <w:rFonts w:ascii="Arial" w:hAnsi="Arial" w:cs="Arial"/>
                <w:b/>
                <w:sz w:val="18"/>
                <w:szCs w:val="18"/>
                <w:u w:val="single"/>
              </w:rPr>
              <w:t>4.208.839.736,84</w:t>
            </w:r>
          </w:p>
        </w:tc>
      </w:tr>
    </w:tbl>
    <w:p w14:paraId="1D790056" w14:textId="77777777" w:rsidR="007E2F9F" w:rsidRDefault="007E2F9F" w:rsidP="007E2F9F">
      <w:pPr>
        <w:tabs>
          <w:tab w:val="left" w:pos="875"/>
        </w:tabs>
        <w:ind w:left="-284" w:right="-234"/>
        <w:jc w:val="both"/>
        <w:rPr>
          <w:rFonts w:ascii="Arial" w:hAnsi="Arial" w:cs="Arial"/>
        </w:rPr>
      </w:pPr>
    </w:p>
    <w:p w14:paraId="460E9585" w14:textId="77777777" w:rsidR="007E2F9F" w:rsidRPr="004979B4" w:rsidRDefault="007E2F9F" w:rsidP="007E2F9F">
      <w:pPr>
        <w:ind w:left="-284"/>
        <w:jc w:val="both"/>
        <w:rPr>
          <w:rFonts w:ascii="Arial" w:hAnsi="Arial" w:cs="Arial"/>
          <w:b/>
          <w:sz w:val="28"/>
          <w:szCs w:val="28"/>
          <w:lang w:val="es-MX"/>
        </w:rPr>
      </w:pPr>
      <w:r w:rsidRPr="004979B4">
        <w:rPr>
          <w:rFonts w:ascii="Arial" w:hAnsi="Arial" w:cs="Arial"/>
          <w:b/>
          <w:sz w:val="28"/>
          <w:szCs w:val="28"/>
          <w:lang w:val="es-MX"/>
        </w:rPr>
        <w:t xml:space="preserve">38.- SUPERINTENDENCIA NACIONAL DE SALUD – SUPERSALUD. </w:t>
      </w:r>
    </w:p>
    <w:p w14:paraId="388AE496"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B54567" w14:paraId="39D3ED03" w14:textId="77777777" w:rsidTr="006548F8">
        <w:tc>
          <w:tcPr>
            <w:tcW w:w="8506" w:type="dxa"/>
          </w:tcPr>
          <w:p w14:paraId="43701D18" w14:textId="77777777" w:rsidR="007E2F9F" w:rsidRPr="00847741" w:rsidRDefault="007E2F9F" w:rsidP="006548F8">
            <w:pPr>
              <w:tabs>
                <w:tab w:val="left" w:pos="875"/>
              </w:tabs>
              <w:ind w:right="157"/>
              <w:rPr>
                <w:rFonts w:ascii="Arial" w:hAnsi="Arial" w:cs="Arial"/>
                <w:sz w:val="18"/>
                <w:szCs w:val="18"/>
              </w:rPr>
            </w:pPr>
            <w:r w:rsidRPr="00847741">
              <w:rPr>
                <w:rFonts w:ascii="Arial" w:hAnsi="Arial" w:cs="Arial"/>
                <w:lang w:val="es-ES_tradnl"/>
              </w:rPr>
              <w:t>Reservas presupuestales constituidas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3F18E9F3" w14:textId="77777777" w:rsidR="007E2F9F" w:rsidRPr="00316B23" w:rsidRDefault="007E2F9F" w:rsidP="006548F8">
            <w:pPr>
              <w:tabs>
                <w:tab w:val="left" w:pos="875"/>
              </w:tabs>
              <w:jc w:val="right"/>
              <w:rPr>
                <w:sz w:val="16"/>
                <w:szCs w:val="16"/>
              </w:rPr>
            </w:pPr>
            <w:r w:rsidRPr="00316B23">
              <w:rPr>
                <w:color w:val="000000"/>
                <w:sz w:val="16"/>
                <w:szCs w:val="16"/>
              </w:rPr>
              <w:t xml:space="preserve">6.787.234 </w:t>
            </w:r>
          </w:p>
        </w:tc>
      </w:tr>
      <w:tr w:rsidR="007E2F9F" w:rsidRPr="00B54567" w14:paraId="3CAA83BB" w14:textId="77777777" w:rsidTr="006548F8">
        <w:tc>
          <w:tcPr>
            <w:tcW w:w="8506" w:type="dxa"/>
          </w:tcPr>
          <w:p w14:paraId="12386ED9" w14:textId="77777777" w:rsidR="007E2F9F" w:rsidRPr="00847741" w:rsidRDefault="007E2F9F" w:rsidP="006548F8">
            <w:pPr>
              <w:tabs>
                <w:tab w:val="left" w:pos="875"/>
              </w:tabs>
              <w:ind w:right="157"/>
              <w:rPr>
                <w:rFonts w:ascii="Arial" w:hAnsi="Arial" w:cs="Arial"/>
                <w:sz w:val="18"/>
                <w:szCs w:val="18"/>
              </w:rPr>
            </w:pPr>
            <w:r w:rsidRPr="00847741">
              <w:rPr>
                <w:rFonts w:ascii="Arial" w:hAnsi="Arial" w:cs="Arial"/>
                <w:lang w:val="es-ES_tradnl"/>
              </w:rPr>
              <w:t>Cuentas por pagar constituidas a 31 de diciembre de 2024</w:t>
            </w:r>
          </w:p>
        </w:tc>
        <w:tc>
          <w:tcPr>
            <w:tcW w:w="1843" w:type="dxa"/>
            <w:tcBorders>
              <w:top w:val="nil"/>
              <w:left w:val="single" w:sz="8" w:space="0" w:color="auto"/>
              <w:bottom w:val="nil"/>
              <w:right w:val="single" w:sz="8" w:space="0" w:color="auto"/>
            </w:tcBorders>
            <w:shd w:val="clear" w:color="auto" w:fill="auto"/>
            <w:vAlign w:val="bottom"/>
          </w:tcPr>
          <w:p w14:paraId="1A013DBF" w14:textId="77777777" w:rsidR="007E2F9F" w:rsidRPr="00316B23" w:rsidRDefault="007E2F9F" w:rsidP="006548F8">
            <w:pPr>
              <w:tabs>
                <w:tab w:val="left" w:pos="875"/>
              </w:tabs>
              <w:jc w:val="right"/>
              <w:rPr>
                <w:sz w:val="16"/>
                <w:szCs w:val="16"/>
              </w:rPr>
            </w:pPr>
            <w:r w:rsidRPr="00316B23">
              <w:rPr>
                <w:sz w:val="16"/>
                <w:szCs w:val="16"/>
              </w:rPr>
              <w:t xml:space="preserve">9.085.835 </w:t>
            </w:r>
          </w:p>
        </w:tc>
      </w:tr>
      <w:tr w:rsidR="007E2F9F" w:rsidRPr="00B54567" w14:paraId="03BA345C" w14:textId="77777777" w:rsidTr="006548F8">
        <w:tc>
          <w:tcPr>
            <w:tcW w:w="8506" w:type="dxa"/>
          </w:tcPr>
          <w:p w14:paraId="748C7160" w14:textId="77777777" w:rsidR="007E2F9F" w:rsidRPr="00847741" w:rsidRDefault="007E2F9F" w:rsidP="006548F8">
            <w:pPr>
              <w:tabs>
                <w:tab w:val="left" w:pos="875"/>
              </w:tabs>
              <w:ind w:right="157"/>
              <w:rPr>
                <w:rFonts w:ascii="Arial" w:hAnsi="Arial" w:cs="Arial"/>
                <w:sz w:val="18"/>
                <w:szCs w:val="18"/>
              </w:rPr>
            </w:pPr>
            <w:r w:rsidRPr="00847741">
              <w:rPr>
                <w:rFonts w:ascii="Arial" w:hAnsi="Arial" w:cs="Arial"/>
                <w:b/>
                <w:lang w:val="es-ES_tradnl"/>
              </w:rPr>
              <w:t>TOTAL REZAGO PRESUPUESTAL CONSTITUIDO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4AE664EA" w14:textId="77777777" w:rsidR="007E2F9F" w:rsidRPr="00316B23" w:rsidRDefault="007E2F9F" w:rsidP="006548F8">
            <w:pPr>
              <w:tabs>
                <w:tab w:val="left" w:pos="875"/>
              </w:tabs>
              <w:jc w:val="right"/>
              <w:rPr>
                <w:b/>
                <w:sz w:val="16"/>
                <w:szCs w:val="16"/>
                <w:u w:val="single"/>
              </w:rPr>
            </w:pPr>
            <w:r w:rsidRPr="00316B23">
              <w:rPr>
                <w:b/>
                <w:bCs/>
                <w:color w:val="000000"/>
                <w:sz w:val="16"/>
                <w:szCs w:val="16"/>
              </w:rPr>
              <w:t>15.873.0</w:t>
            </w:r>
            <w:r>
              <w:rPr>
                <w:b/>
                <w:bCs/>
                <w:color w:val="000000"/>
                <w:sz w:val="16"/>
                <w:szCs w:val="16"/>
              </w:rPr>
              <w:t>70</w:t>
            </w:r>
            <w:r w:rsidRPr="00316B23">
              <w:rPr>
                <w:b/>
                <w:bCs/>
                <w:color w:val="000000"/>
                <w:sz w:val="16"/>
                <w:szCs w:val="16"/>
              </w:rPr>
              <w:t xml:space="preserve"> </w:t>
            </w:r>
          </w:p>
        </w:tc>
      </w:tr>
    </w:tbl>
    <w:p w14:paraId="19776E9D" w14:textId="77777777" w:rsidR="007E2F9F" w:rsidRDefault="007E2F9F" w:rsidP="007E2F9F">
      <w:pPr>
        <w:tabs>
          <w:tab w:val="left" w:pos="875"/>
        </w:tabs>
        <w:ind w:left="-284" w:right="-234"/>
        <w:jc w:val="both"/>
        <w:rPr>
          <w:rFonts w:ascii="Arial" w:hAnsi="Arial" w:cs="Arial"/>
          <w:lang w:val="es-MX"/>
        </w:rPr>
      </w:pPr>
    </w:p>
    <w:p w14:paraId="15DB3190" w14:textId="77777777" w:rsidR="007E2F9F" w:rsidRPr="00752AEF" w:rsidRDefault="007E2F9F" w:rsidP="007E2F9F">
      <w:pPr>
        <w:ind w:left="-284"/>
        <w:jc w:val="both"/>
        <w:rPr>
          <w:rFonts w:ascii="Arial" w:hAnsi="Arial" w:cs="Arial"/>
          <w:b/>
          <w:sz w:val="28"/>
          <w:szCs w:val="28"/>
          <w:lang w:val="es-MX"/>
        </w:rPr>
      </w:pPr>
      <w:r w:rsidRPr="00752AEF">
        <w:rPr>
          <w:rFonts w:ascii="Arial" w:hAnsi="Arial" w:cs="Arial"/>
          <w:b/>
          <w:sz w:val="28"/>
          <w:szCs w:val="28"/>
          <w:lang w:val="es-MX"/>
        </w:rPr>
        <w:t>39.- MINISTERIO DE IGUALDAD Y EQUIDAD.</w:t>
      </w:r>
    </w:p>
    <w:p w14:paraId="15092174"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816CD4" w14:paraId="1F7765D1" w14:textId="77777777" w:rsidTr="006548F8">
        <w:tc>
          <w:tcPr>
            <w:tcW w:w="8506" w:type="dxa"/>
          </w:tcPr>
          <w:p w14:paraId="1A552534" w14:textId="77777777" w:rsidR="007E2F9F" w:rsidRPr="00816CD4" w:rsidRDefault="007E2F9F" w:rsidP="006548F8">
            <w:pPr>
              <w:tabs>
                <w:tab w:val="left" w:pos="875"/>
              </w:tabs>
              <w:ind w:right="157"/>
              <w:rPr>
                <w:rFonts w:ascii="Arial" w:hAnsi="Arial" w:cs="Arial"/>
                <w:sz w:val="18"/>
                <w:szCs w:val="18"/>
              </w:rPr>
            </w:pPr>
            <w:r w:rsidRPr="00816CD4">
              <w:rPr>
                <w:rFonts w:ascii="Arial" w:hAnsi="Arial" w:cs="Arial"/>
                <w:lang w:val="es-ES_tradnl"/>
              </w:rPr>
              <w:t>Reservas presupuestales constituidas a 31 de diciembre de 2024</w:t>
            </w:r>
          </w:p>
        </w:tc>
        <w:tc>
          <w:tcPr>
            <w:tcW w:w="1843" w:type="dxa"/>
          </w:tcPr>
          <w:p w14:paraId="4F80E8FF" w14:textId="77777777" w:rsidR="007E2F9F" w:rsidRPr="00816CD4" w:rsidRDefault="007E2F9F" w:rsidP="006548F8">
            <w:pPr>
              <w:tabs>
                <w:tab w:val="left" w:pos="875"/>
              </w:tabs>
              <w:jc w:val="right"/>
              <w:rPr>
                <w:rFonts w:ascii="Arial" w:hAnsi="Arial" w:cs="Arial"/>
                <w:sz w:val="18"/>
                <w:szCs w:val="18"/>
              </w:rPr>
            </w:pPr>
            <w:r w:rsidRPr="00816CD4">
              <w:rPr>
                <w:rFonts w:ascii="Arial" w:hAnsi="Arial" w:cs="Arial"/>
                <w:sz w:val="18"/>
                <w:szCs w:val="18"/>
              </w:rPr>
              <w:t>1.458.719.442,35</w:t>
            </w:r>
          </w:p>
        </w:tc>
      </w:tr>
      <w:tr w:rsidR="007E2F9F" w:rsidRPr="00816CD4" w14:paraId="203F0A14" w14:textId="77777777" w:rsidTr="006548F8">
        <w:tc>
          <w:tcPr>
            <w:tcW w:w="8506" w:type="dxa"/>
          </w:tcPr>
          <w:p w14:paraId="4289BAF9" w14:textId="77777777" w:rsidR="007E2F9F" w:rsidRPr="00816CD4" w:rsidRDefault="007E2F9F" w:rsidP="006548F8">
            <w:pPr>
              <w:tabs>
                <w:tab w:val="left" w:pos="875"/>
              </w:tabs>
              <w:ind w:right="157"/>
              <w:rPr>
                <w:rFonts w:ascii="Arial" w:hAnsi="Arial" w:cs="Arial"/>
                <w:sz w:val="18"/>
                <w:szCs w:val="18"/>
              </w:rPr>
            </w:pPr>
            <w:r w:rsidRPr="00816CD4">
              <w:rPr>
                <w:rFonts w:ascii="Arial" w:hAnsi="Arial" w:cs="Arial"/>
                <w:lang w:val="es-ES_tradnl"/>
              </w:rPr>
              <w:t>Cuentas por pagar constituidas a 31 de diciembre de 2024</w:t>
            </w:r>
          </w:p>
        </w:tc>
        <w:tc>
          <w:tcPr>
            <w:tcW w:w="1843" w:type="dxa"/>
          </w:tcPr>
          <w:p w14:paraId="38D6B734" w14:textId="77777777" w:rsidR="007E2F9F" w:rsidRPr="00816CD4" w:rsidRDefault="007E2F9F" w:rsidP="006548F8">
            <w:pPr>
              <w:tabs>
                <w:tab w:val="left" w:pos="875"/>
              </w:tabs>
              <w:jc w:val="right"/>
              <w:rPr>
                <w:rFonts w:ascii="Arial" w:hAnsi="Arial" w:cs="Arial"/>
                <w:sz w:val="18"/>
                <w:szCs w:val="18"/>
              </w:rPr>
            </w:pPr>
            <w:r w:rsidRPr="00816CD4">
              <w:rPr>
                <w:rFonts w:ascii="Arial" w:hAnsi="Arial" w:cs="Arial"/>
                <w:sz w:val="18"/>
                <w:szCs w:val="18"/>
              </w:rPr>
              <w:t>499.306.985</w:t>
            </w:r>
          </w:p>
        </w:tc>
      </w:tr>
      <w:tr w:rsidR="007E2F9F" w:rsidRPr="00816CD4" w14:paraId="7A2D67A6" w14:textId="77777777" w:rsidTr="006548F8">
        <w:tc>
          <w:tcPr>
            <w:tcW w:w="8506" w:type="dxa"/>
          </w:tcPr>
          <w:p w14:paraId="2D725FFB" w14:textId="77777777" w:rsidR="007E2F9F" w:rsidRPr="00816CD4" w:rsidRDefault="007E2F9F" w:rsidP="006548F8">
            <w:pPr>
              <w:tabs>
                <w:tab w:val="left" w:pos="875"/>
              </w:tabs>
              <w:ind w:right="157"/>
              <w:rPr>
                <w:rFonts w:ascii="Arial" w:hAnsi="Arial" w:cs="Arial"/>
                <w:sz w:val="18"/>
                <w:szCs w:val="18"/>
              </w:rPr>
            </w:pPr>
            <w:r w:rsidRPr="00816CD4">
              <w:rPr>
                <w:rFonts w:ascii="Arial" w:hAnsi="Arial" w:cs="Arial"/>
                <w:b/>
                <w:lang w:val="es-ES_tradnl"/>
              </w:rPr>
              <w:t>TOTAL REZAGO PRESUPUESTAL CONSTITUIDO A 31 DE DICIEMBRE DE 2024</w:t>
            </w:r>
          </w:p>
        </w:tc>
        <w:tc>
          <w:tcPr>
            <w:tcW w:w="1843" w:type="dxa"/>
          </w:tcPr>
          <w:p w14:paraId="17D8FB4D" w14:textId="77777777" w:rsidR="007E2F9F" w:rsidRPr="00816CD4" w:rsidRDefault="007E2F9F" w:rsidP="006548F8">
            <w:pPr>
              <w:tabs>
                <w:tab w:val="left" w:pos="875"/>
              </w:tabs>
              <w:jc w:val="right"/>
              <w:rPr>
                <w:rFonts w:ascii="Arial" w:hAnsi="Arial" w:cs="Arial"/>
                <w:b/>
                <w:sz w:val="18"/>
                <w:szCs w:val="18"/>
                <w:u w:val="single"/>
              </w:rPr>
            </w:pPr>
            <w:r w:rsidRPr="00816CD4">
              <w:rPr>
                <w:rFonts w:ascii="Arial" w:hAnsi="Arial" w:cs="Arial"/>
                <w:b/>
                <w:sz w:val="18"/>
                <w:szCs w:val="18"/>
                <w:u w:val="single"/>
              </w:rPr>
              <w:t>1.958.026.427,35</w:t>
            </w:r>
          </w:p>
        </w:tc>
      </w:tr>
    </w:tbl>
    <w:p w14:paraId="3AEE51BA" w14:textId="77777777" w:rsidR="007E2F9F" w:rsidRPr="00B54567" w:rsidRDefault="007E2F9F" w:rsidP="007E2F9F">
      <w:pPr>
        <w:pStyle w:val="Textoindependiente"/>
        <w:spacing w:before="3"/>
      </w:pPr>
    </w:p>
    <w:p w14:paraId="63C22150" w14:textId="77777777" w:rsidR="007E2F9F" w:rsidRPr="00B47F23" w:rsidRDefault="007E2F9F" w:rsidP="007E2F9F">
      <w:pPr>
        <w:ind w:left="-284"/>
        <w:jc w:val="both"/>
        <w:rPr>
          <w:rFonts w:ascii="Arial" w:hAnsi="Arial" w:cs="Arial"/>
          <w:b/>
          <w:sz w:val="28"/>
          <w:szCs w:val="28"/>
          <w:lang w:val="es-MX"/>
        </w:rPr>
      </w:pPr>
      <w:r w:rsidRPr="00B47F23">
        <w:rPr>
          <w:rFonts w:ascii="Arial" w:hAnsi="Arial" w:cs="Arial"/>
          <w:b/>
          <w:sz w:val="28"/>
          <w:szCs w:val="28"/>
          <w:lang w:val="es-MX"/>
        </w:rPr>
        <w:t>40.- MINISTERIO DE TRANSPORTE.</w:t>
      </w:r>
    </w:p>
    <w:p w14:paraId="2984E49D"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B33554" w14:paraId="4630B454" w14:textId="77777777" w:rsidTr="006548F8">
        <w:tc>
          <w:tcPr>
            <w:tcW w:w="8506" w:type="dxa"/>
          </w:tcPr>
          <w:p w14:paraId="6A4319BF" w14:textId="77777777" w:rsidR="007E2F9F" w:rsidRPr="00B33554" w:rsidRDefault="007E2F9F" w:rsidP="006548F8">
            <w:pPr>
              <w:tabs>
                <w:tab w:val="left" w:pos="875"/>
              </w:tabs>
              <w:ind w:right="157"/>
              <w:rPr>
                <w:rFonts w:ascii="Arial" w:hAnsi="Arial" w:cs="Arial"/>
                <w:sz w:val="18"/>
                <w:szCs w:val="18"/>
              </w:rPr>
            </w:pPr>
            <w:r w:rsidRPr="00B33554">
              <w:rPr>
                <w:rFonts w:ascii="Arial" w:hAnsi="Arial" w:cs="Arial"/>
                <w:lang w:val="es-ES_tradnl"/>
              </w:rPr>
              <w:t>Reservas presupuestales constituidas a 31 de diciembre de 2024</w:t>
            </w:r>
          </w:p>
        </w:tc>
        <w:tc>
          <w:tcPr>
            <w:tcW w:w="1843" w:type="dxa"/>
          </w:tcPr>
          <w:p w14:paraId="2B3FB5DD" w14:textId="77777777" w:rsidR="007E2F9F" w:rsidRPr="00B33554" w:rsidRDefault="007E2F9F" w:rsidP="006548F8">
            <w:pPr>
              <w:tabs>
                <w:tab w:val="left" w:pos="875"/>
              </w:tabs>
              <w:jc w:val="right"/>
              <w:rPr>
                <w:rFonts w:ascii="Arial" w:hAnsi="Arial" w:cs="Arial"/>
                <w:sz w:val="18"/>
                <w:szCs w:val="18"/>
              </w:rPr>
            </w:pPr>
            <w:r w:rsidRPr="00B33554">
              <w:rPr>
                <w:rFonts w:ascii="Arial" w:hAnsi="Arial" w:cs="Arial"/>
                <w:sz w:val="18"/>
                <w:szCs w:val="18"/>
              </w:rPr>
              <w:t>143.297.198</w:t>
            </w:r>
          </w:p>
        </w:tc>
      </w:tr>
      <w:tr w:rsidR="007E2F9F" w:rsidRPr="00B33554" w14:paraId="080DCC40" w14:textId="77777777" w:rsidTr="006548F8">
        <w:tc>
          <w:tcPr>
            <w:tcW w:w="8506" w:type="dxa"/>
          </w:tcPr>
          <w:p w14:paraId="5582DA93" w14:textId="77777777" w:rsidR="007E2F9F" w:rsidRPr="00B33554" w:rsidRDefault="007E2F9F" w:rsidP="006548F8">
            <w:pPr>
              <w:tabs>
                <w:tab w:val="left" w:pos="875"/>
              </w:tabs>
              <w:ind w:right="157"/>
              <w:rPr>
                <w:rFonts w:ascii="Arial" w:hAnsi="Arial" w:cs="Arial"/>
                <w:sz w:val="18"/>
                <w:szCs w:val="18"/>
              </w:rPr>
            </w:pPr>
            <w:r w:rsidRPr="00B33554">
              <w:rPr>
                <w:rFonts w:ascii="Arial" w:hAnsi="Arial" w:cs="Arial"/>
                <w:lang w:val="es-ES_tradnl"/>
              </w:rPr>
              <w:t>Cuentas por pagar constituidas a 31 de diciembre de 2024</w:t>
            </w:r>
          </w:p>
        </w:tc>
        <w:tc>
          <w:tcPr>
            <w:tcW w:w="1843" w:type="dxa"/>
          </w:tcPr>
          <w:p w14:paraId="18080E00" w14:textId="77777777" w:rsidR="007E2F9F" w:rsidRPr="00B33554" w:rsidRDefault="007E2F9F" w:rsidP="006548F8">
            <w:pPr>
              <w:tabs>
                <w:tab w:val="left" w:pos="875"/>
              </w:tabs>
              <w:jc w:val="right"/>
              <w:rPr>
                <w:rFonts w:ascii="Arial" w:hAnsi="Arial" w:cs="Arial"/>
                <w:sz w:val="18"/>
                <w:szCs w:val="18"/>
              </w:rPr>
            </w:pPr>
            <w:r w:rsidRPr="00B33554">
              <w:rPr>
                <w:rFonts w:ascii="Arial" w:hAnsi="Arial" w:cs="Arial"/>
                <w:sz w:val="18"/>
                <w:szCs w:val="18"/>
              </w:rPr>
              <w:t>1.972.115</w:t>
            </w:r>
          </w:p>
        </w:tc>
      </w:tr>
      <w:tr w:rsidR="007E2F9F" w:rsidRPr="00B33554" w14:paraId="056F127D" w14:textId="77777777" w:rsidTr="006548F8">
        <w:tc>
          <w:tcPr>
            <w:tcW w:w="8506" w:type="dxa"/>
          </w:tcPr>
          <w:p w14:paraId="14617A36" w14:textId="77777777" w:rsidR="007E2F9F" w:rsidRPr="00B33554" w:rsidRDefault="007E2F9F" w:rsidP="006548F8">
            <w:pPr>
              <w:tabs>
                <w:tab w:val="left" w:pos="875"/>
              </w:tabs>
              <w:ind w:right="157"/>
              <w:rPr>
                <w:rFonts w:ascii="Arial" w:hAnsi="Arial" w:cs="Arial"/>
                <w:sz w:val="18"/>
                <w:szCs w:val="18"/>
              </w:rPr>
            </w:pPr>
            <w:r w:rsidRPr="00B33554">
              <w:rPr>
                <w:rFonts w:ascii="Arial" w:hAnsi="Arial" w:cs="Arial"/>
                <w:b/>
                <w:lang w:val="es-ES_tradnl"/>
              </w:rPr>
              <w:t>TOTAL REZAGO PRESUPUESTAL CONSTITUIDO A 31 DE DICIEMBRE DE 2024</w:t>
            </w:r>
          </w:p>
        </w:tc>
        <w:tc>
          <w:tcPr>
            <w:tcW w:w="1843" w:type="dxa"/>
          </w:tcPr>
          <w:p w14:paraId="7A9A1D9D" w14:textId="77777777" w:rsidR="007E2F9F" w:rsidRPr="00B33554" w:rsidRDefault="007E2F9F" w:rsidP="006548F8">
            <w:pPr>
              <w:tabs>
                <w:tab w:val="left" w:pos="875"/>
              </w:tabs>
              <w:jc w:val="right"/>
              <w:rPr>
                <w:rFonts w:ascii="Arial" w:hAnsi="Arial" w:cs="Arial"/>
                <w:b/>
                <w:sz w:val="18"/>
                <w:szCs w:val="18"/>
                <w:u w:val="single"/>
              </w:rPr>
            </w:pPr>
            <w:r w:rsidRPr="00B33554">
              <w:rPr>
                <w:rFonts w:ascii="Arial" w:hAnsi="Arial" w:cs="Arial"/>
                <w:b/>
                <w:sz w:val="18"/>
                <w:szCs w:val="18"/>
                <w:u w:val="single"/>
              </w:rPr>
              <w:t>145.269.313</w:t>
            </w:r>
          </w:p>
        </w:tc>
      </w:tr>
    </w:tbl>
    <w:p w14:paraId="11250208" w14:textId="77777777" w:rsidR="007E2F9F" w:rsidRDefault="007E2F9F" w:rsidP="007E2F9F">
      <w:pPr>
        <w:tabs>
          <w:tab w:val="left" w:pos="875"/>
        </w:tabs>
        <w:ind w:left="-284" w:right="-234"/>
        <w:jc w:val="both"/>
        <w:rPr>
          <w:rFonts w:ascii="Arial" w:hAnsi="Arial" w:cs="Arial"/>
          <w:lang w:val="es-MX"/>
        </w:rPr>
      </w:pPr>
    </w:p>
    <w:p w14:paraId="53CB9E5C" w14:textId="77777777" w:rsidR="007E2F9F" w:rsidRPr="002C3894" w:rsidRDefault="007E2F9F" w:rsidP="007E2F9F">
      <w:pPr>
        <w:ind w:left="-284"/>
        <w:jc w:val="both"/>
        <w:rPr>
          <w:rFonts w:ascii="Arial" w:hAnsi="Arial" w:cs="Arial"/>
          <w:b/>
          <w:sz w:val="32"/>
          <w:szCs w:val="32"/>
        </w:rPr>
      </w:pPr>
      <w:r w:rsidRPr="002C3894">
        <w:rPr>
          <w:rFonts w:ascii="Arial" w:hAnsi="Arial" w:cs="Arial"/>
          <w:b/>
          <w:sz w:val="28"/>
          <w:szCs w:val="28"/>
          <w:lang w:val="es-MX"/>
        </w:rPr>
        <w:t xml:space="preserve">42.- </w:t>
      </w:r>
      <w:r w:rsidRPr="002C3894">
        <w:rPr>
          <w:rFonts w:ascii="Arial" w:hAnsi="Arial" w:cs="Arial"/>
          <w:b/>
          <w:sz w:val="28"/>
          <w:szCs w:val="28"/>
        </w:rPr>
        <w:t>MINISTERIO DE AMBIENTE Y DESARROLLO SOSTENIBLE</w:t>
      </w:r>
      <w:r w:rsidRPr="002C3894">
        <w:rPr>
          <w:rFonts w:ascii="Arial" w:hAnsi="Arial" w:cs="Arial"/>
          <w:b/>
          <w:sz w:val="32"/>
          <w:szCs w:val="32"/>
        </w:rPr>
        <w:t>.</w:t>
      </w:r>
    </w:p>
    <w:p w14:paraId="458704C4" w14:textId="77777777" w:rsidR="007E2F9F" w:rsidRDefault="007E2F9F" w:rsidP="007E2F9F">
      <w:pPr>
        <w:tabs>
          <w:tab w:val="left" w:pos="875"/>
        </w:tabs>
        <w:ind w:left="-284" w:right="-234"/>
        <w:jc w:val="both"/>
        <w:rPr>
          <w:rFonts w:ascii="Arial" w:hAnsi="Arial" w:cs="Arial"/>
        </w:rPr>
      </w:pPr>
    </w:p>
    <w:tbl>
      <w:tblPr>
        <w:tblStyle w:val="Tablaconcuadrcula"/>
        <w:tblW w:w="10349" w:type="dxa"/>
        <w:tblInd w:w="-289" w:type="dxa"/>
        <w:tblLook w:val="04A0" w:firstRow="1" w:lastRow="0" w:firstColumn="1" w:lastColumn="0" w:noHBand="0" w:noVBand="1"/>
      </w:tblPr>
      <w:tblGrid>
        <w:gridCol w:w="8506"/>
        <w:gridCol w:w="1843"/>
      </w:tblGrid>
      <w:tr w:rsidR="007E2F9F" w:rsidRPr="009E69F3" w14:paraId="3162F5BE" w14:textId="77777777" w:rsidTr="006548F8">
        <w:tc>
          <w:tcPr>
            <w:tcW w:w="8506" w:type="dxa"/>
          </w:tcPr>
          <w:p w14:paraId="67CEA8C5" w14:textId="77777777" w:rsidR="007E2F9F" w:rsidRPr="009E69F3" w:rsidRDefault="007E2F9F" w:rsidP="006548F8">
            <w:pPr>
              <w:tabs>
                <w:tab w:val="left" w:pos="875"/>
              </w:tabs>
              <w:ind w:right="157"/>
              <w:rPr>
                <w:rFonts w:ascii="Arial" w:hAnsi="Arial" w:cs="Arial"/>
                <w:sz w:val="18"/>
                <w:szCs w:val="18"/>
              </w:rPr>
            </w:pPr>
            <w:r w:rsidRPr="009E69F3">
              <w:rPr>
                <w:rFonts w:ascii="Arial" w:hAnsi="Arial" w:cs="Arial"/>
                <w:lang w:val="es-ES_tradnl"/>
              </w:rPr>
              <w:t>Reservas presupuestales constituidas a 31 de diciembre de 2024</w:t>
            </w:r>
          </w:p>
        </w:tc>
        <w:tc>
          <w:tcPr>
            <w:tcW w:w="1843" w:type="dxa"/>
          </w:tcPr>
          <w:p w14:paraId="7E2D7809" w14:textId="77777777" w:rsidR="007E2F9F" w:rsidRPr="009E69F3" w:rsidRDefault="007E2F9F" w:rsidP="006548F8">
            <w:pPr>
              <w:tabs>
                <w:tab w:val="left" w:pos="875"/>
              </w:tabs>
              <w:jc w:val="right"/>
              <w:rPr>
                <w:rFonts w:ascii="Arial" w:hAnsi="Arial" w:cs="Arial"/>
                <w:sz w:val="18"/>
                <w:szCs w:val="18"/>
              </w:rPr>
            </w:pPr>
            <w:r w:rsidRPr="009E69F3">
              <w:rPr>
                <w:rFonts w:ascii="Arial" w:hAnsi="Arial" w:cs="Arial"/>
                <w:sz w:val="18"/>
                <w:szCs w:val="18"/>
              </w:rPr>
              <w:t>802.764.503.304,33</w:t>
            </w:r>
          </w:p>
        </w:tc>
      </w:tr>
      <w:tr w:rsidR="007E2F9F" w:rsidRPr="009E69F3" w14:paraId="087B5686" w14:textId="77777777" w:rsidTr="006548F8">
        <w:tc>
          <w:tcPr>
            <w:tcW w:w="8506" w:type="dxa"/>
          </w:tcPr>
          <w:p w14:paraId="3C7A5942" w14:textId="77777777" w:rsidR="007E2F9F" w:rsidRPr="009E69F3" w:rsidRDefault="007E2F9F" w:rsidP="006548F8">
            <w:pPr>
              <w:tabs>
                <w:tab w:val="left" w:pos="875"/>
              </w:tabs>
              <w:ind w:right="157"/>
              <w:rPr>
                <w:rFonts w:ascii="Arial" w:hAnsi="Arial" w:cs="Arial"/>
                <w:sz w:val="18"/>
                <w:szCs w:val="18"/>
              </w:rPr>
            </w:pPr>
            <w:r w:rsidRPr="009E69F3">
              <w:rPr>
                <w:rFonts w:ascii="Arial" w:hAnsi="Arial" w:cs="Arial"/>
                <w:b/>
                <w:lang w:val="es-ES_tradnl"/>
              </w:rPr>
              <w:t>TOTAL REZAGO PRESUPUESTAL CONSTITUIDO A 31 DE DICIEMBRE DE 2024</w:t>
            </w:r>
          </w:p>
        </w:tc>
        <w:tc>
          <w:tcPr>
            <w:tcW w:w="1843" w:type="dxa"/>
          </w:tcPr>
          <w:p w14:paraId="3CBF0DA5" w14:textId="77777777" w:rsidR="007E2F9F" w:rsidRPr="009E69F3" w:rsidRDefault="007E2F9F" w:rsidP="006548F8">
            <w:pPr>
              <w:tabs>
                <w:tab w:val="left" w:pos="875"/>
              </w:tabs>
              <w:jc w:val="right"/>
              <w:rPr>
                <w:rFonts w:ascii="Arial" w:hAnsi="Arial" w:cs="Arial"/>
                <w:b/>
                <w:sz w:val="18"/>
                <w:szCs w:val="18"/>
                <w:u w:val="single"/>
              </w:rPr>
            </w:pPr>
            <w:r w:rsidRPr="009E69F3">
              <w:rPr>
                <w:rFonts w:ascii="Arial" w:hAnsi="Arial" w:cs="Arial"/>
                <w:b/>
                <w:sz w:val="18"/>
                <w:szCs w:val="18"/>
                <w:u w:val="single"/>
              </w:rPr>
              <w:t>802.764.503.304,33</w:t>
            </w:r>
          </w:p>
        </w:tc>
      </w:tr>
    </w:tbl>
    <w:p w14:paraId="7EB31583" w14:textId="77777777" w:rsidR="007E2F9F" w:rsidRDefault="007E2F9F" w:rsidP="007E2F9F">
      <w:pPr>
        <w:tabs>
          <w:tab w:val="left" w:pos="875"/>
        </w:tabs>
        <w:ind w:left="-284" w:right="-234"/>
        <w:jc w:val="both"/>
        <w:rPr>
          <w:rFonts w:ascii="Arial" w:hAnsi="Arial" w:cs="Arial"/>
        </w:rPr>
      </w:pPr>
    </w:p>
    <w:p w14:paraId="374D43B1" w14:textId="77777777" w:rsidR="007E2F9F" w:rsidRPr="00195AA9" w:rsidRDefault="007E2F9F" w:rsidP="007E2F9F">
      <w:pPr>
        <w:ind w:left="-284"/>
        <w:jc w:val="both"/>
        <w:rPr>
          <w:rFonts w:ascii="Arial" w:hAnsi="Arial" w:cs="Arial"/>
          <w:b/>
          <w:sz w:val="28"/>
          <w:szCs w:val="28"/>
          <w:lang w:val="es-MX"/>
        </w:rPr>
      </w:pPr>
      <w:bookmarkStart w:id="8" w:name="_Hlk196825077"/>
      <w:r w:rsidRPr="00195AA9">
        <w:rPr>
          <w:rFonts w:ascii="Arial" w:hAnsi="Arial" w:cs="Arial"/>
          <w:b/>
          <w:sz w:val="28"/>
          <w:szCs w:val="28"/>
          <w:lang w:val="es-MX"/>
        </w:rPr>
        <w:t>43.- CÁMARA DE REPRESENTANTES.</w:t>
      </w:r>
    </w:p>
    <w:bookmarkEnd w:id="8"/>
    <w:p w14:paraId="2A2AB5F1" w14:textId="77777777" w:rsidR="007E2F9F" w:rsidRPr="00B54567" w:rsidRDefault="007E2F9F" w:rsidP="007E2F9F">
      <w:pPr>
        <w:tabs>
          <w:tab w:val="left" w:pos="875"/>
        </w:tabs>
        <w:spacing w:before="92"/>
        <w:ind w:right="157"/>
        <w:rPr>
          <w:sz w:val="24"/>
        </w:rPr>
      </w:pPr>
    </w:p>
    <w:tbl>
      <w:tblPr>
        <w:tblStyle w:val="Tablaconcuadrcula"/>
        <w:tblW w:w="10349" w:type="dxa"/>
        <w:tblInd w:w="-289" w:type="dxa"/>
        <w:tblLook w:val="04A0" w:firstRow="1" w:lastRow="0" w:firstColumn="1" w:lastColumn="0" w:noHBand="0" w:noVBand="1"/>
      </w:tblPr>
      <w:tblGrid>
        <w:gridCol w:w="8506"/>
        <w:gridCol w:w="1843"/>
      </w:tblGrid>
      <w:tr w:rsidR="007E2F9F" w:rsidRPr="00195AA9" w14:paraId="75FDEC0E" w14:textId="77777777" w:rsidTr="006548F8">
        <w:tc>
          <w:tcPr>
            <w:tcW w:w="8506" w:type="dxa"/>
          </w:tcPr>
          <w:p w14:paraId="4392B3D2" w14:textId="77777777" w:rsidR="007E2F9F" w:rsidRPr="00195AA9" w:rsidRDefault="007E2F9F" w:rsidP="006548F8">
            <w:pPr>
              <w:tabs>
                <w:tab w:val="left" w:pos="875"/>
              </w:tabs>
              <w:ind w:right="157"/>
              <w:rPr>
                <w:rFonts w:ascii="Arial" w:hAnsi="Arial" w:cs="Arial"/>
                <w:sz w:val="18"/>
                <w:szCs w:val="18"/>
              </w:rPr>
            </w:pPr>
            <w:r w:rsidRPr="00195AA9">
              <w:rPr>
                <w:rFonts w:ascii="Arial" w:hAnsi="Arial" w:cs="Arial"/>
                <w:sz w:val="18"/>
                <w:szCs w:val="18"/>
                <w:lang w:val="es-ES_tradnl"/>
              </w:rPr>
              <w:t>Reservas presupuestales constituidas a 31 de diciembre de 2024</w:t>
            </w:r>
          </w:p>
        </w:tc>
        <w:tc>
          <w:tcPr>
            <w:tcW w:w="1843" w:type="dxa"/>
          </w:tcPr>
          <w:p w14:paraId="6E094DE3" w14:textId="77777777" w:rsidR="007E2F9F" w:rsidRPr="00195AA9" w:rsidRDefault="007E2F9F" w:rsidP="006548F8">
            <w:pPr>
              <w:tabs>
                <w:tab w:val="left" w:pos="875"/>
              </w:tabs>
              <w:jc w:val="right"/>
              <w:rPr>
                <w:rFonts w:ascii="Arial" w:hAnsi="Arial" w:cs="Arial"/>
                <w:sz w:val="18"/>
                <w:szCs w:val="18"/>
              </w:rPr>
            </w:pPr>
            <w:r w:rsidRPr="00195AA9">
              <w:rPr>
                <w:rFonts w:ascii="Arial" w:hAnsi="Arial" w:cs="Arial"/>
                <w:sz w:val="18"/>
                <w:szCs w:val="18"/>
              </w:rPr>
              <w:t>112.141.996.204.95</w:t>
            </w:r>
          </w:p>
        </w:tc>
      </w:tr>
      <w:tr w:rsidR="007E2F9F" w:rsidRPr="00195AA9" w14:paraId="2337082A" w14:textId="77777777" w:rsidTr="006548F8">
        <w:tc>
          <w:tcPr>
            <w:tcW w:w="8506" w:type="dxa"/>
          </w:tcPr>
          <w:p w14:paraId="2955D930" w14:textId="77777777" w:rsidR="007E2F9F" w:rsidRPr="00195AA9" w:rsidRDefault="007E2F9F" w:rsidP="006548F8">
            <w:pPr>
              <w:tabs>
                <w:tab w:val="left" w:pos="875"/>
              </w:tabs>
              <w:ind w:right="157"/>
              <w:rPr>
                <w:rFonts w:ascii="Arial" w:hAnsi="Arial" w:cs="Arial"/>
                <w:sz w:val="18"/>
                <w:szCs w:val="18"/>
              </w:rPr>
            </w:pPr>
            <w:r w:rsidRPr="00195AA9">
              <w:rPr>
                <w:rFonts w:ascii="Arial" w:hAnsi="Arial" w:cs="Arial"/>
                <w:sz w:val="18"/>
                <w:szCs w:val="18"/>
                <w:lang w:val="es-ES_tradnl"/>
              </w:rPr>
              <w:t>Cuentas por pagar constituidas a 31 de diciembre de 2024</w:t>
            </w:r>
          </w:p>
        </w:tc>
        <w:tc>
          <w:tcPr>
            <w:tcW w:w="1843" w:type="dxa"/>
          </w:tcPr>
          <w:p w14:paraId="5D79C2E7" w14:textId="77777777" w:rsidR="007E2F9F" w:rsidRPr="00195AA9" w:rsidRDefault="007E2F9F" w:rsidP="006548F8">
            <w:pPr>
              <w:tabs>
                <w:tab w:val="left" w:pos="875"/>
              </w:tabs>
              <w:jc w:val="right"/>
              <w:rPr>
                <w:rFonts w:ascii="Arial" w:hAnsi="Arial" w:cs="Arial"/>
                <w:sz w:val="18"/>
                <w:szCs w:val="18"/>
              </w:rPr>
            </w:pPr>
            <w:r w:rsidRPr="00195AA9">
              <w:rPr>
                <w:rFonts w:ascii="Arial" w:hAnsi="Arial" w:cs="Arial"/>
                <w:sz w:val="18"/>
                <w:szCs w:val="18"/>
              </w:rPr>
              <w:t>21.989.410.01</w:t>
            </w:r>
          </w:p>
        </w:tc>
      </w:tr>
      <w:tr w:rsidR="007E2F9F" w:rsidRPr="00195AA9" w14:paraId="28273105" w14:textId="77777777" w:rsidTr="006548F8">
        <w:tc>
          <w:tcPr>
            <w:tcW w:w="8506" w:type="dxa"/>
          </w:tcPr>
          <w:p w14:paraId="1140EA7C" w14:textId="77777777" w:rsidR="007E2F9F" w:rsidRPr="00195AA9" w:rsidRDefault="007E2F9F" w:rsidP="006548F8">
            <w:pPr>
              <w:tabs>
                <w:tab w:val="left" w:pos="875"/>
              </w:tabs>
              <w:ind w:right="157"/>
              <w:rPr>
                <w:rFonts w:ascii="Arial" w:hAnsi="Arial" w:cs="Arial"/>
                <w:sz w:val="18"/>
                <w:szCs w:val="18"/>
              </w:rPr>
            </w:pPr>
            <w:r w:rsidRPr="00195AA9">
              <w:rPr>
                <w:rFonts w:ascii="Arial" w:hAnsi="Arial" w:cs="Arial"/>
                <w:b/>
                <w:sz w:val="18"/>
                <w:szCs w:val="18"/>
                <w:lang w:val="es-ES_tradnl"/>
              </w:rPr>
              <w:t>TOTAL REZAGO PRESUPUESTAL CONSTITUIDO A 31 DE DICIEMBRE DE 2024</w:t>
            </w:r>
          </w:p>
        </w:tc>
        <w:tc>
          <w:tcPr>
            <w:tcW w:w="1843" w:type="dxa"/>
          </w:tcPr>
          <w:p w14:paraId="02704582" w14:textId="77777777" w:rsidR="007E2F9F" w:rsidRPr="00195AA9" w:rsidRDefault="007E2F9F" w:rsidP="006548F8">
            <w:pPr>
              <w:tabs>
                <w:tab w:val="left" w:pos="875"/>
              </w:tabs>
              <w:jc w:val="right"/>
              <w:rPr>
                <w:rFonts w:ascii="Arial" w:hAnsi="Arial" w:cs="Arial"/>
                <w:b/>
                <w:sz w:val="18"/>
                <w:szCs w:val="18"/>
                <w:u w:val="single"/>
              </w:rPr>
            </w:pPr>
            <w:r w:rsidRPr="00195AA9">
              <w:rPr>
                <w:rFonts w:ascii="Arial" w:hAnsi="Arial" w:cs="Arial"/>
                <w:b/>
                <w:sz w:val="18"/>
                <w:szCs w:val="18"/>
                <w:u w:val="single"/>
              </w:rPr>
              <w:t>112.163.985.614.96</w:t>
            </w:r>
          </w:p>
        </w:tc>
      </w:tr>
    </w:tbl>
    <w:p w14:paraId="4178D793" w14:textId="77777777" w:rsidR="00683308" w:rsidRDefault="00683308" w:rsidP="007E2F9F">
      <w:pPr>
        <w:ind w:left="-284"/>
        <w:jc w:val="both"/>
        <w:rPr>
          <w:rFonts w:ascii="Arial" w:hAnsi="Arial" w:cs="Arial"/>
          <w:b/>
          <w:sz w:val="28"/>
          <w:szCs w:val="28"/>
          <w:lang w:val="es-MX"/>
        </w:rPr>
      </w:pPr>
    </w:p>
    <w:p w14:paraId="741079A2" w14:textId="03D29A5F" w:rsidR="007E2F9F" w:rsidRPr="009D1ABF" w:rsidRDefault="007E2F9F" w:rsidP="007E2F9F">
      <w:pPr>
        <w:ind w:left="-284"/>
        <w:jc w:val="both"/>
        <w:rPr>
          <w:rFonts w:ascii="Arial" w:hAnsi="Arial" w:cs="Arial"/>
          <w:b/>
          <w:sz w:val="28"/>
          <w:szCs w:val="28"/>
          <w:lang w:val="es-MX"/>
        </w:rPr>
      </w:pPr>
      <w:r w:rsidRPr="009D1ABF">
        <w:rPr>
          <w:rFonts w:ascii="Arial" w:hAnsi="Arial" w:cs="Arial"/>
          <w:b/>
          <w:sz w:val="28"/>
          <w:szCs w:val="28"/>
          <w:lang w:val="es-MX"/>
        </w:rPr>
        <w:t>45.- U.A.E INSTITUTO NACIONAL DE ACUICULTURA Y PESCA - AUNAP.</w:t>
      </w:r>
    </w:p>
    <w:p w14:paraId="37172AAC"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FE2CBB" w14:paraId="795EA543" w14:textId="77777777" w:rsidTr="006548F8">
        <w:tc>
          <w:tcPr>
            <w:tcW w:w="8506" w:type="dxa"/>
          </w:tcPr>
          <w:p w14:paraId="0ECCEBC5" w14:textId="77777777" w:rsidR="007E2F9F" w:rsidRPr="00FE2CBB" w:rsidRDefault="007E2F9F" w:rsidP="006548F8">
            <w:pPr>
              <w:tabs>
                <w:tab w:val="left" w:pos="875"/>
              </w:tabs>
              <w:ind w:right="157"/>
              <w:rPr>
                <w:rFonts w:ascii="Arial" w:hAnsi="Arial" w:cs="Arial"/>
                <w:sz w:val="18"/>
                <w:szCs w:val="18"/>
              </w:rPr>
            </w:pPr>
            <w:r w:rsidRPr="00FE2CBB">
              <w:rPr>
                <w:rFonts w:ascii="Arial" w:hAnsi="Arial" w:cs="Arial"/>
                <w:lang w:val="es-ES_tradnl"/>
              </w:rPr>
              <w:t>Reservas presupuestales constituidas a 31 de diciembre de 2024</w:t>
            </w:r>
          </w:p>
        </w:tc>
        <w:tc>
          <w:tcPr>
            <w:tcW w:w="1843" w:type="dxa"/>
            <w:vAlign w:val="center"/>
          </w:tcPr>
          <w:p w14:paraId="667D8B87" w14:textId="77777777" w:rsidR="007E2F9F" w:rsidRPr="00FE2CBB" w:rsidRDefault="007E2F9F" w:rsidP="006548F8">
            <w:pPr>
              <w:tabs>
                <w:tab w:val="left" w:pos="875"/>
              </w:tabs>
              <w:jc w:val="right"/>
              <w:rPr>
                <w:rFonts w:ascii="Arial" w:hAnsi="Arial" w:cs="Arial"/>
              </w:rPr>
            </w:pPr>
            <w:r w:rsidRPr="00FE2CBB">
              <w:rPr>
                <w:rFonts w:ascii="Arial" w:hAnsi="Arial" w:cs="Arial"/>
              </w:rPr>
              <w:t>33.483.641</w:t>
            </w:r>
          </w:p>
        </w:tc>
      </w:tr>
      <w:tr w:rsidR="007E2F9F" w:rsidRPr="00FE2CBB" w14:paraId="11031DCD" w14:textId="77777777" w:rsidTr="006548F8">
        <w:tc>
          <w:tcPr>
            <w:tcW w:w="8506" w:type="dxa"/>
          </w:tcPr>
          <w:p w14:paraId="3EF6F8C5" w14:textId="77777777" w:rsidR="007E2F9F" w:rsidRPr="00FE2CBB" w:rsidRDefault="007E2F9F" w:rsidP="006548F8">
            <w:pPr>
              <w:tabs>
                <w:tab w:val="left" w:pos="875"/>
              </w:tabs>
              <w:ind w:right="157"/>
              <w:rPr>
                <w:rFonts w:ascii="Arial" w:hAnsi="Arial" w:cs="Arial"/>
                <w:sz w:val="18"/>
                <w:szCs w:val="18"/>
              </w:rPr>
            </w:pPr>
            <w:r w:rsidRPr="00FE2CBB">
              <w:rPr>
                <w:rFonts w:ascii="Arial" w:hAnsi="Arial" w:cs="Arial"/>
                <w:lang w:val="es-ES_tradnl"/>
              </w:rPr>
              <w:t>Cuentas por pagar constituidas a 31 de diciembre de 2024</w:t>
            </w:r>
          </w:p>
        </w:tc>
        <w:tc>
          <w:tcPr>
            <w:tcW w:w="1843" w:type="dxa"/>
            <w:vAlign w:val="center"/>
          </w:tcPr>
          <w:p w14:paraId="23B27A1B" w14:textId="77777777" w:rsidR="007E2F9F" w:rsidRPr="00FE2CBB" w:rsidRDefault="007E2F9F" w:rsidP="006548F8">
            <w:pPr>
              <w:tabs>
                <w:tab w:val="left" w:pos="875"/>
              </w:tabs>
              <w:jc w:val="right"/>
              <w:rPr>
                <w:rFonts w:ascii="Arial" w:hAnsi="Arial" w:cs="Arial"/>
              </w:rPr>
            </w:pPr>
            <w:r w:rsidRPr="00FE2CBB">
              <w:rPr>
                <w:rFonts w:ascii="Arial" w:hAnsi="Arial" w:cs="Arial"/>
              </w:rPr>
              <w:t>472.519</w:t>
            </w:r>
          </w:p>
        </w:tc>
      </w:tr>
      <w:tr w:rsidR="007E2F9F" w:rsidRPr="00FE2CBB" w14:paraId="62B0EBE3" w14:textId="77777777" w:rsidTr="006548F8">
        <w:tc>
          <w:tcPr>
            <w:tcW w:w="8506" w:type="dxa"/>
          </w:tcPr>
          <w:p w14:paraId="3F9AF998" w14:textId="77777777" w:rsidR="007E2F9F" w:rsidRPr="00FE2CBB" w:rsidRDefault="007E2F9F" w:rsidP="006548F8">
            <w:pPr>
              <w:tabs>
                <w:tab w:val="left" w:pos="875"/>
              </w:tabs>
              <w:ind w:right="157"/>
              <w:rPr>
                <w:rFonts w:ascii="Arial" w:hAnsi="Arial" w:cs="Arial"/>
                <w:sz w:val="18"/>
                <w:szCs w:val="18"/>
              </w:rPr>
            </w:pPr>
            <w:r w:rsidRPr="00FE2CBB">
              <w:rPr>
                <w:rFonts w:ascii="Arial" w:hAnsi="Arial" w:cs="Arial"/>
                <w:b/>
                <w:lang w:val="es-ES_tradnl"/>
              </w:rPr>
              <w:t>TOTAL, REZAGO PRESUPUESTAL CONSTITUIDO A 31 DE DICIEMBRE DE 2024</w:t>
            </w:r>
          </w:p>
        </w:tc>
        <w:tc>
          <w:tcPr>
            <w:tcW w:w="1843" w:type="dxa"/>
            <w:vAlign w:val="center"/>
          </w:tcPr>
          <w:p w14:paraId="376617EF" w14:textId="77777777" w:rsidR="007E2F9F" w:rsidRPr="00FE2CBB" w:rsidRDefault="007E2F9F" w:rsidP="006548F8">
            <w:pPr>
              <w:tabs>
                <w:tab w:val="left" w:pos="875"/>
              </w:tabs>
              <w:jc w:val="right"/>
              <w:rPr>
                <w:rFonts w:ascii="Arial" w:hAnsi="Arial" w:cs="Arial"/>
                <w:b/>
                <w:u w:val="single"/>
              </w:rPr>
            </w:pPr>
            <w:r w:rsidRPr="00FE2CBB">
              <w:rPr>
                <w:rFonts w:ascii="Arial" w:hAnsi="Arial" w:cs="Arial"/>
                <w:b/>
                <w:u w:val="single"/>
              </w:rPr>
              <w:t>33.956.160</w:t>
            </w:r>
          </w:p>
        </w:tc>
      </w:tr>
    </w:tbl>
    <w:p w14:paraId="385648EB" w14:textId="77777777" w:rsidR="007E2F9F" w:rsidRPr="00B54567" w:rsidRDefault="007E2F9F" w:rsidP="007E2F9F">
      <w:pPr>
        <w:pStyle w:val="Textoindependiente"/>
        <w:spacing w:before="3"/>
      </w:pPr>
    </w:p>
    <w:p w14:paraId="613836F6" w14:textId="77777777" w:rsidR="007E2F9F" w:rsidRPr="00FB36DC" w:rsidRDefault="007E2F9F" w:rsidP="007E2F9F">
      <w:pPr>
        <w:ind w:left="-284" w:right="-234"/>
        <w:jc w:val="both"/>
        <w:rPr>
          <w:rFonts w:ascii="Arial" w:hAnsi="Arial" w:cs="Arial"/>
          <w:b/>
          <w:sz w:val="32"/>
          <w:szCs w:val="32"/>
        </w:rPr>
      </w:pPr>
      <w:r w:rsidRPr="00FB36DC">
        <w:rPr>
          <w:rFonts w:ascii="Arial" w:hAnsi="Arial" w:cs="Arial"/>
          <w:b/>
          <w:sz w:val="28"/>
          <w:szCs w:val="28"/>
          <w:lang w:val="es-MX"/>
        </w:rPr>
        <w:t xml:space="preserve">46.- </w:t>
      </w:r>
      <w:r w:rsidRPr="00FB36DC">
        <w:rPr>
          <w:rFonts w:ascii="Arial" w:hAnsi="Arial" w:cs="Arial"/>
          <w:b/>
          <w:sz w:val="28"/>
          <w:szCs w:val="28"/>
        </w:rPr>
        <w:t>MINISTERIO DE TECNOLOGÍAS DE LA INFORMACIÓN Y LAS COMUNICACIONES – MINTIC.</w:t>
      </w:r>
    </w:p>
    <w:p w14:paraId="44A1622B" w14:textId="77777777" w:rsidR="007E2F9F" w:rsidRDefault="007E2F9F" w:rsidP="007E2F9F">
      <w:pPr>
        <w:tabs>
          <w:tab w:val="left" w:pos="875"/>
        </w:tabs>
        <w:ind w:left="-284" w:right="-234"/>
        <w:jc w:val="both"/>
        <w:rPr>
          <w:rFonts w:ascii="Arial" w:hAnsi="Arial" w:cs="Arial"/>
        </w:rPr>
      </w:pPr>
    </w:p>
    <w:tbl>
      <w:tblPr>
        <w:tblStyle w:val="Tablaconcuadrcula"/>
        <w:tblW w:w="10349" w:type="dxa"/>
        <w:tblInd w:w="-289" w:type="dxa"/>
        <w:tblLook w:val="04A0" w:firstRow="1" w:lastRow="0" w:firstColumn="1" w:lastColumn="0" w:noHBand="0" w:noVBand="1"/>
      </w:tblPr>
      <w:tblGrid>
        <w:gridCol w:w="8648"/>
        <w:gridCol w:w="1701"/>
      </w:tblGrid>
      <w:tr w:rsidR="007E2F9F" w:rsidRPr="009C3D2E" w14:paraId="292680DE" w14:textId="77777777" w:rsidTr="006548F8">
        <w:tc>
          <w:tcPr>
            <w:tcW w:w="8648" w:type="dxa"/>
          </w:tcPr>
          <w:p w14:paraId="7E3FED8D" w14:textId="77777777" w:rsidR="007E2F9F" w:rsidRPr="009C3D2E" w:rsidRDefault="007E2F9F" w:rsidP="006548F8">
            <w:pPr>
              <w:tabs>
                <w:tab w:val="left" w:pos="875"/>
              </w:tabs>
              <w:ind w:right="157"/>
              <w:rPr>
                <w:rFonts w:ascii="Arial" w:hAnsi="Arial" w:cs="Arial"/>
                <w:sz w:val="18"/>
                <w:szCs w:val="18"/>
              </w:rPr>
            </w:pPr>
            <w:r w:rsidRPr="009C3D2E">
              <w:rPr>
                <w:rFonts w:ascii="Arial" w:hAnsi="Arial" w:cs="Arial"/>
                <w:lang w:val="es-ES_tradnl"/>
              </w:rPr>
              <w:lastRenderedPageBreak/>
              <w:t>Reservas presupuestales constituidas a 31 de diciembre de 2024</w:t>
            </w:r>
          </w:p>
        </w:tc>
        <w:tc>
          <w:tcPr>
            <w:tcW w:w="1701" w:type="dxa"/>
          </w:tcPr>
          <w:p w14:paraId="75892392" w14:textId="77777777" w:rsidR="007E2F9F" w:rsidRPr="009C3D2E" w:rsidRDefault="007E2F9F" w:rsidP="006548F8">
            <w:pPr>
              <w:tabs>
                <w:tab w:val="left" w:pos="875"/>
              </w:tabs>
              <w:jc w:val="right"/>
              <w:rPr>
                <w:rFonts w:ascii="Arial" w:hAnsi="Arial" w:cs="Arial"/>
                <w:sz w:val="18"/>
                <w:szCs w:val="18"/>
              </w:rPr>
            </w:pPr>
            <w:r w:rsidRPr="009C3D2E">
              <w:rPr>
                <w:rFonts w:ascii="Arial" w:hAnsi="Arial" w:cs="Arial"/>
                <w:sz w:val="18"/>
                <w:szCs w:val="18"/>
              </w:rPr>
              <w:t>12.120</w:t>
            </w:r>
          </w:p>
        </w:tc>
      </w:tr>
      <w:tr w:rsidR="007E2F9F" w:rsidRPr="009C3D2E" w14:paraId="173D4F71" w14:textId="77777777" w:rsidTr="006548F8">
        <w:tc>
          <w:tcPr>
            <w:tcW w:w="8648" w:type="dxa"/>
          </w:tcPr>
          <w:p w14:paraId="452A7C9F" w14:textId="77777777" w:rsidR="007E2F9F" w:rsidRPr="009C3D2E" w:rsidRDefault="007E2F9F" w:rsidP="006548F8">
            <w:pPr>
              <w:tabs>
                <w:tab w:val="left" w:pos="875"/>
              </w:tabs>
              <w:ind w:right="157"/>
              <w:rPr>
                <w:rFonts w:ascii="Arial" w:hAnsi="Arial" w:cs="Arial"/>
                <w:sz w:val="18"/>
                <w:szCs w:val="18"/>
              </w:rPr>
            </w:pPr>
            <w:r w:rsidRPr="009C3D2E">
              <w:rPr>
                <w:rFonts w:ascii="Arial" w:hAnsi="Arial" w:cs="Arial"/>
                <w:lang w:val="es-ES_tradnl"/>
              </w:rPr>
              <w:t>Cuentas por pagar constituidas a 31 de diciembre de 2024</w:t>
            </w:r>
          </w:p>
        </w:tc>
        <w:tc>
          <w:tcPr>
            <w:tcW w:w="1701" w:type="dxa"/>
          </w:tcPr>
          <w:p w14:paraId="09FBAD8A" w14:textId="77777777" w:rsidR="007E2F9F" w:rsidRPr="009C3D2E" w:rsidRDefault="007E2F9F" w:rsidP="006548F8">
            <w:pPr>
              <w:tabs>
                <w:tab w:val="left" w:pos="875"/>
              </w:tabs>
              <w:jc w:val="right"/>
              <w:rPr>
                <w:rFonts w:ascii="Arial" w:hAnsi="Arial" w:cs="Arial"/>
                <w:sz w:val="18"/>
                <w:szCs w:val="18"/>
              </w:rPr>
            </w:pPr>
            <w:r w:rsidRPr="009C3D2E">
              <w:rPr>
                <w:rFonts w:ascii="Arial" w:hAnsi="Arial" w:cs="Arial"/>
                <w:sz w:val="18"/>
                <w:szCs w:val="18"/>
              </w:rPr>
              <w:t>215.386</w:t>
            </w:r>
          </w:p>
        </w:tc>
      </w:tr>
      <w:tr w:rsidR="007E2F9F" w:rsidRPr="009C3D2E" w14:paraId="539C5904" w14:textId="77777777" w:rsidTr="006548F8">
        <w:tc>
          <w:tcPr>
            <w:tcW w:w="8648" w:type="dxa"/>
          </w:tcPr>
          <w:p w14:paraId="261D6065" w14:textId="77777777" w:rsidR="007E2F9F" w:rsidRPr="009C3D2E" w:rsidRDefault="007E2F9F" w:rsidP="006548F8">
            <w:pPr>
              <w:tabs>
                <w:tab w:val="left" w:pos="875"/>
              </w:tabs>
              <w:ind w:right="157"/>
              <w:rPr>
                <w:rFonts w:ascii="Arial" w:hAnsi="Arial" w:cs="Arial"/>
                <w:sz w:val="18"/>
                <w:szCs w:val="18"/>
              </w:rPr>
            </w:pPr>
            <w:r w:rsidRPr="009C3D2E">
              <w:rPr>
                <w:rFonts w:ascii="Arial" w:hAnsi="Arial" w:cs="Arial"/>
                <w:b/>
                <w:lang w:val="es-ES_tradnl"/>
              </w:rPr>
              <w:t>TOTAL REZAGO PRESUPUESTAL CONSTITUIDO A 31 DE DICIEMBRE DE 2024</w:t>
            </w:r>
          </w:p>
        </w:tc>
        <w:tc>
          <w:tcPr>
            <w:tcW w:w="1701" w:type="dxa"/>
          </w:tcPr>
          <w:p w14:paraId="5007BAF6" w14:textId="77777777" w:rsidR="007E2F9F" w:rsidRPr="009C3D2E" w:rsidRDefault="007E2F9F" w:rsidP="006548F8">
            <w:pPr>
              <w:tabs>
                <w:tab w:val="left" w:pos="875"/>
              </w:tabs>
              <w:jc w:val="right"/>
              <w:rPr>
                <w:rFonts w:ascii="Arial" w:hAnsi="Arial" w:cs="Arial"/>
                <w:b/>
                <w:sz w:val="18"/>
                <w:szCs w:val="18"/>
                <w:u w:val="single"/>
              </w:rPr>
            </w:pPr>
            <w:r w:rsidRPr="009C3D2E">
              <w:rPr>
                <w:rFonts w:ascii="Arial" w:hAnsi="Arial" w:cs="Arial"/>
                <w:b/>
                <w:sz w:val="18"/>
                <w:szCs w:val="18"/>
                <w:u w:val="single"/>
              </w:rPr>
              <w:t>227.506</w:t>
            </w:r>
          </w:p>
        </w:tc>
      </w:tr>
    </w:tbl>
    <w:p w14:paraId="300FCCA4" w14:textId="77777777" w:rsidR="007E2F9F" w:rsidRDefault="007E2F9F" w:rsidP="007E2F9F">
      <w:pPr>
        <w:tabs>
          <w:tab w:val="left" w:pos="875"/>
        </w:tabs>
        <w:ind w:left="-284" w:right="-234"/>
        <w:jc w:val="both"/>
        <w:rPr>
          <w:rFonts w:ascii="Arial" w:hAnsi="Arial" w:cs="Arial"/>
        </w:rPr>
      </w:pPr>
    </w:p>
    <w:p w14:paraId="692A6F6A" w14:textId="77777777" w:rsidR="007E2F9F" w:rsidRPr="00AF0A22" w:rsidRDefault="007E2F9F" w:rsidP="007E2F9F">
      <w:pPr>
        <w:ind w:left="-284"/>
        <w:jc w:val="both"/>
        <w:rPr>
          <w:rFonts w:ascii="Arial" w:hAnsi="Arial" w:cs="Arial"/>
          <w:b/>
          <w:sz w:val="28"/>
          <w:szCs w:val="28"/>
          <w:lang w:val="es-MX"/>
        </w:rPr>
      </w:pPr>
      <w:r w:rsidRPr="00AF0A22">
        <w:rPr>
          <w:rFonts w:ascii="Arial" w:hAnsi="Arial" w:cs="Arial"/>
          <w:b/>
          <w:sz w:val="28"/>
          <w:szCs w:val="28"/>
          <w:lang w:val="es-MX"/>
        </w:rPr>
        <w:t>47.- INSTITUTO COLOMBIANO DE BIENESTAR FAMILIAR – ICBF.</w:t>
      </w:r>
    </w:p>
    <w:p w14:paraId="1C012C6C" w14:textId="77777777" w:rsidR="007E2F9F" w:rsidRDefault="007E2F9F" w:rsidP="007E2F9F">
      <w:pPr>
        <w:ind w:left="-284" w:right="-234"/>
        <w:jc w:val="both"/>
        <w:rPr>
          <w:rFonts w:ascii="Arial" w:hAnsi="Arial" w:cs="Arial"/>
          <w:b/>
          <w:bCs/>
          <w:sz w:val="28"/>
          <w:szCs w:val="28"/>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0D760F" w14:paraId="08349F17" w14:textId="77777777" w:rsidTr="006548F8">
        <w:tc>
          <w:tcPr>
            <w:tcW w:w="8648" w:type="dxa"/>
          </w:tcPr>
          <w:p w14:paraId="7411E8D3" w14:textId="77777777" w:rsidR="007E2F9F" w:rsidRPr="000D760F" w:rsidRDefault="007E2F9F" w:rsidP="006548F8">
            <w:pPr>
              <w:tabs>
                <w:tab w:val="left" w:pos="875"/>
              </w:tabs>
              <w:ind w:right="157"/>
              <w:rPr>
                <w:rFonts w:ascii="Arial" w:hAnsi="Arial" w:cs="Arial"/>
                <w:sz w:val="18"/>
                <w:szCs w:val="18"/>
              </w:rPr>
            </w:pPr>
            <w:r w:rsidRPr="000D760F">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6E1DCC54" w14:textId="77777777" w:rsidR="007E2F9F" w:rsidRPr="000D760F" w:rsidRDefault="007E2F9F" w:rsidP="006548F8">
            <w:pPr>
              <w:tabs>
                <w:tab w:val="left" w:pos="875"/>
              </w:tabs>
              <w:jc w:val="right"/>
              <w:rPr>
                <w:rFonts w:ascii="Arial" w:hAnsi="Arial" w:cs="Arial"/>
                <w:b/>
                <w:sz w:val="16"/>
                <w:szCs w:val="16"/>
              </w:rPr>
            </w:pPr>
            <w:r w:rsidRPr="000D760F">
              <w:rPr>
                <w:rFonts w:ascii="Arial" w:hAnsi="Arial" w:cs="Arial"/>
                <w:b/>
                <w:color w:val="000000"/>
                <w:sz w:val="16"/>
                <w:szCs w:val="16"/>
              </w:rPr>
              <w:t xml:space="preserve">693.376.912 </w:t>
            </w:r>
          </w:p>
        </w:tc>
      </w:tr>
      <w:tr w:rsidR="007E2F9F" w:rsidRPr="000D760F" w14:paraId="26A8CDF6" w14:textId="77777777" w:rsidTr="006548F8">
        <w:tc>
          <w:tcPr>
            <w:tcW w:w="8648" w:type="dxa"/>
          </w:tcPr>
          <w:p w14:paraId="65C7F079" w14:textId="77777777" w:rsidR="007E2F9F" w:rsidRPr="000D760F" w:rsidRDefault="007E2F9F" w:rsidP="006548F8">
            <w:pPr>
              <w:tabs>
                <w:tab w:val="left" w:pos="875"/>
              </w:tabs>
              <w:ind w:right="157"/>
              <w:rPr>
                <w:rFonts w:ascii="Arial" w:hAnsi="Arial" w:cs="Arial"/>
                <w:sz w:val="18"/>
                <w:szCs w:val="18"/>
              </w:rPr>
            </w:pPr>
            <w:r w:rsidRPr="000D760F">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426137DC" w14:textId="77777777" w:rsidR="007E2F9F" w:rsidRPr="000D760F" w:rsidRDefault="007E2F9F" w:rsidP="006548F8">
            <w:pPr>
              <w:tabs>
                <w:tab w:val="left" w:pos="875"/>
              </w:tabs>
              <w:jc w:val="right"/>
              <w:rPr>
                <w:rFonts w:ascii="Arial" w:hAnsi="Arial" w:cs="Arial"/>
                <w:b/>
                <w:sz w:val="16"/>
                <w:szCs w:val="16"/>
              </w:rPr>
            </w:pPr>
            <w:r w:rsidRPr="000D760F">
              <w:rPr>
                <w:rFonts w:ascii="Arial" w:hAnsi="Arial" w:cs="Arial"/>
                <w:b/>
                <w:sz w:val="16"/>
                <w:szCs w:val="16"/>
              </w:rPr>
              <w:t xml:space="preserve">234.425.535 </w:t>
            </w:r>
          </w:p>
        </w:tc>
      </w:tr>
      <w:tr w:rsidR="007E2F9F" w:rsidRPr="000D760F" w14:paraId="14EF96A8" w14:textId="77777777" w:rsidTr="006548F8">
        <w:tc>
          <w:tcPr>
            <w:tcW w:w="8648" w:type="dxa"/>
          </w:tcPr>
          <w:p w14:paraId="34F22472" w14:textId="77777777" w:rsidR="007E2F9F" w:rsidRPr="000D760F" w:rsidRDefault="007E2F9F" w:rsidP="006548F8">
            <w:pPr>
              <w:tabs>
                <w:tab w:val="left" w:pos="875"/>
              </w:tabs>
              <w:ind w:right="157"/>
              <w:rPr>
                <w:rFonts w:ascii="Arial" w:hAnsi="Arial" w:cs="Arial"/>
                <w:sz w:val="18"/>
                <w:szCs w:val="18"/>
              </w:rPr>
            </w:pPr>
            <w:r w:rsidRPr="000D760F">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486CE73B" w14:textId="77777777" w:rsidR="007E2F9F" w:rsidRPr="00083CE9" w:rsidRDefault="007E2F9F" w:rsidP="006548F8">
            <w:pPr>
              <w:tabs>
                <w:tab w:val="left" w:pos="875"/>
              </w:tabs>
              <w:jc w:val="right"/>
              <w:rPr>
                <w:rFonts w:ascii="Arial" w:hAnsi="Arial" w:cs="Arial"/>
                <w:b/>
                <w:sz w:val="16"/>
                <w:szCs w:val="16"/>
                <w:u w:val="single"/>
              </w:rPr>
            </w:pPr>
            <w:r w:rsidRPr="00083CE9">
              <w:rPr>
                <w:rFonts w:ascii="Arial" w:hAnsi="Arial" w:cs="Arial"/>
                <w:b/>
                <w:bCs/>
                <w:color w:val="000000"/>
                <w:sz w:val="16"/>
                <w:szCs w:val="16"/>
                <w:u w:val="single"/>
              </w:rPr>
              <w:t xml:space="preserve">927.802.447 </w:t>
            </w:r>
          </w:p>
        </w:tc>
      </w:tr>
    </w:tbl>
    <w:p w14:paraId="467364CD" w14:textId="77777777" w:rsidR="007E2F9F" w:rsidRPr="00B54567" w:rsidRDefault="007E2F9F" w:rsidP="007E2F9F">
      <w:pPr>
        <w:pStyle w:val="Textoindependiente"/>
        <w:spacing w:before="3"/>
      </w:pPr>
    </w:p>
    <w:p w14:paraId="53EEE809" w14:textId="77777777" w:rsidR="007E2F9F" w:rsidRPr="000557BB" w:rsidRDefault="007E2F9F" w:rsidP="007E2F9F">
      <w:pPr>
        <w:ind w:left="-284" w:right="-234"/>
        <w:jc w:val="both"/>
        <w:rPr>
          <w:rFonts w:ascii="Arial" w:hAnsi="Arial" w:cs="Arial"/>
          <w:b/>
          <w:sz w:val="28"/>
          <w:szCs w:val="28"/>
          <w:lang w:val="es-MX"/>
        </w:rPr>
      </w:pPr>
      <w:r w:rsidRPr="000557BB">
        <w:rPr>
          <w:rFonts w:ascii="Arial" w:hAnsi="Arial" w:cs="Arial"/>
          <w:b/>
          <w:sz w:val="28"/>
          <w:szCs w:val="28"/>
          <w:lang w:val="es-MX"/>
        </w:rPr>
        <w:t>50.- CORPORACIÓN AUTÓNOMA REGIONAL DE CHIVOR – CORPOCHIVOR.</w:t>
      </w:r>
    </w:p>
    <w:p w14:paraId="0F4879C3" w14:textId="77777777" w:rsidR="007E2F9F" w:rsidRDefault="007E2F9F" w:rsidP="007E2F9F">
      <w:pPr>
        <w:tabs>
          <w:tab w:val="left" w:pos="875"/>
        </w:tabs>
        <w:ind w:left="-284" w:right="-234"/>
        <w:jc w:val="both"/>
        <w:rPr>
          <w:rFonts w:ascii="Arial" w:hAnsi="Arial" w:cs="Arial"/>
          <w:lang w:val="es-MX"/>
        </w:rPr>
      </w:pPr>
    </w:p>
    <w:tbl>
      <w:tblPr>
        <w:tblStyle w:val="Tablaconcuadrcula"/>
        <w:tblW w:w="10207" w:type="dxa"/>
        <w:tblInd w:w="-289" w:type="dxa"/>
        <w:tblLook w:val="04A0" w:firstRow="1" w:lastRow="0" w:firstColumn="1" w:lastColumn="0" w:noHBand="0" w:noVBand="1"/>
      </w:tblPr>
      <w:tblGrid>
        <w:gridCol w:w="8648"/>
        <w:gridCol w:w="1559"/>
      </w:tblGrid>
      <w:tr w:rsidR="007E2F9F" w:rsidRPr="007D57C2" w14:paraId="4F7BDF7F" w14:textId="77777777" w:rsidTr="006548F8">
        <w:tc>
          <w:tcPr>
            <w:tcW w:w="8648" w:type="dxa"/>
          </w:tcPr>
          <w:p w14:paraId="6A73F52B" w14:textId="77777777" w:rsidR="007E2F9F" w:rsidRPr="007D57C2" w:rsidRDefault="007E2F9F" w:rsidP="006548F8">
            <w:pPr>
              <w:tabs>
                <w:tab w:val="left" w:pos="875"/>
              </w:tabs>
              <w:ind w:right="157"/>
              <w:rPr>
                <w:rFonts w:ascii="Arial" w:hAnsi="Arial" w:cs="Arial"/>
                <w:sz w:val="18"/>
                <w:szCs w:val="18"/>
              </w:rPr>
            </w:pPr>
            <w:r w:rsidRPr="007D57C2">
              <w:rPr>
                <w:rFonts w:ascii="Arial" w:hAnsi="Arial" w:cs="Arial"/>
                <w:lang w:val="es-ES_tradnl"/>
              </w:rPr>
              <w:t>Cuentas por pagar constituidas a 31 de diciembre de 2024</w:t>
            </w:r>
          </w:p>
        </w:tc>
        <w:tc>
          <w:tcPr>
            <w:tcW w:w="1559" w:type="dxa"/>
          </w:tcPr>
          <w:p w14:paraId="7D916FD3" w14:textId="77777777" w:rsidR="007E2F9F" w:rsidRPr="007D57C2" w:rsidRDefault="007E2F9F" w:rsidP="006548F8">
            <w:pPr>
              <w:tabs>
                <w:tab w:val="left" w:pos="875"/>
              </w:tabs>
              <w:jc w:val="right"/>
              <w:rPr>
                <w:rFonts w:ascii="Arial" w:hAnsi="Arial" w:cs="Arial"/>
                <w:sz w:val="18"/>
                <w:szCs w:val="18"/>
              </w:rPr>
            </w:pPr>
            <w:r w:rsidRPr="007D57C2">
              <w:rPr>
                <w:rFonts w:ascii="Arial" w:hAnsi="Arial" w:cs="Arial"/>
                <w:sz w:val="18"/>
                <w:szCs w:val="18"/>
              </w:rPr>
              <w:t>27.166</w:t>
            </w:r>
          </w:p>
        </w:tc>
      </w:tr>
      <w:tr w:rsidR="007E2F9F" w:rsidRPr="007D57C2" w14:paraId="08911EFC" w14:textId="77777777" w:rsidTr="006548F8">
        <w:tc>
          <w:tcPr>
            <w:tcW w:w="8648" w:type="dxa"/>
          </w:tcPr>
          <w:p w14:paraId="5E39F010" w14:textId="77777777" w:rsidR="007E2F9F" w:rsidRPr="007D57C2" w:rsidRDefault="007E2F9F" w:rsidP="006548F8">
            <w:pPr>
              <w:tabs>
                <w:tab w:val="left" w:pos="875"/>
              </w:tabs>
              <w:ind w:right="157"/>
              <w:rPr>
                <w:rFonts w:ascii="Arial" w:hAnsi="Arial" w:cs="Arial"/>
                <w:sz w:val="18"/>
                <w:szCs w:val="18"/>
              </w:rPr>
            </w:pPr>
            <w:r w:rsidRPr="007D57C2">
              <w:rPr>
                <w:rFonts w:ascii="Arial" w:hAnsi="Arial" w:cs="Arial"/>
                <w:b/>
                <w:lang w:val="es-ES_tradnl"/>
              </w:rPr>
              <w:t>TOTAL REZAGO PRESUPUESTAL CONSTITUIDO A 31 DE DICIEMBRE DE 2024</w:t>
            </w:r>
          </w:p>
        </w:tc>
        <w:tc>
          <w:tcPr>
            <w:tcW w:w="1559" w:type="dxa"/>
          </w:tcPr>
          <w:p w14:paraId="6FBB8959" w14:textId="77777777" w:rsidR="007E2F9F" w:rsidRPr="007D57C2" w:rsidRDefault="007E2F9F" w:rsidP="006548F8">
            <w:pPr>
              <w:tabs>
                <w:tab w:val="left" w:pos="875"/>
              </w:tabs>
              <w:jc w:val="right"/>
              <w:rPr>
                <w:rFonts w:ascii="Arial" w:hAnsi="Arial" w:cs="Arial"/>
                <w:b/>
                <w:sz w:val="18"/>
                <w:szCs w:val="18"/>
                <w:u w:val="single"/>
              </w:rPr>
            </w:pPr>
            <w:r w:rsidRPr="007D57C2">
              <w:rPr>
                <w:rFonts w:ascii="Arial" w:hAnsi="Arial" w:cs="Arial"/>
                <w:b/>
                <w:sz w:val="18"/>
                <w:szCs w:val="18"/>
                <w:u w:val="single"/>
              </w:rPr>
              <w:t>27.166</w:t>
            </w:r>
          </w:p>
        </w:tc>
      </w:tr>
    </w:tbl>
    <w:p w14:paraId="425E6291" w14:textId="77777777" w:rsidR="007E2F9F" w:rsidRPr="00B54567" w:rsidRDefault="007E2F9F" w:rsidP="007E2F9F">
      <w:pPr>
        <w:pStyle w:val="Textoindependiente"/>
        <w:spacing w:before="3"/>
      </w:pPr>
    </w:p>
    <w:p w14:paraId="39F83748" w14:textId="77777777" w:rsidR="007E2F9F" w:rsidRPr="009526C2" w:rsidRDefault="007E2F9F" w:rsidP="007E2F9F">
      <w:pPr>
        <w:ind w:left="-284"/>
        <w:jc w:val="both"/>
        <w:rPr>
          <w:rFonts w:ascii="Arial" w:hAnsi="Arial" w:cs="Arial"/>
          <w:b/>
          <w:sz w:val="28"/>
          <w:szCs w:val="28"/>
          <w:lang w:val="es-MX"/>
        </w:rPr>
      </w:pPr>
      <w:r w:rsidRPr="009526C2">
        <w:rPr>
          <w:rFonts w:ascii="Arial" w:hAnsi="Arial" w:cs="Arial"/>
          <w:b/>
          <w:sz w:val="28"/>
          <w:szCs w:val="28"/>
          <w:lang w:val="es-MX"/>
        </w:rPr>
        <w:t>51.- INSTITUTO GEOGRÁFICO AGUSTIN CODAZZI - IGAC.</w:t>
      </w:r>
    </w:p>
    <w:p w14:paraId="026DA07F"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08"/>
        <w:gridCol w:w="1641"/>
      </w:tblGrid>
      <w:tr w:rsidR="007E2F9F" w:rsidRPr="009526C2" w14:paraId="48ABE9A4" w14:textId="77777777" w:rsidTr="006548F8">
        <w:tc>
          <w:tcPr>
            <w:tcW w:w="8708" w:type="dxa"/>
          </w:tcPr>
          <w:p w14:paraId="42B2EBB9" w14:textId="77777777" w:rsidR="007E2F9F" w:rsidRPr="009526C2" w:rsidRDefault="007E2F9F" w:rsidP="006548F8">
            <w:pPr>
              <w:tabs>
                <w:tab w:val="left" w:pos="875"/>
              </w:tabs>
              <w:ind w:right="157"/>
              <w:rPr>
                <w:rFonts w:ascii="Arial" w:hAnsi="Arial" w:cs="Arial"/>
                <w:sz w:val="18"/>
                <w:szCs w:val="18"/>
              </w:rPr>
            </w:pPr>
            <w:r w:rsidRPr="009526C2">
              <w:rPr>
                <w:rFonts w:ascii="Arial" w:hAnsi="Arial" w:cs="Arial"/>
                <w:lang w:val="es-ES_tradnl"/>
              </w:rPr>
              <w:t>Reservas presupuestales constituidas a 31 de diciembre de 2024</w:t>
            </w:r>
          </w:p>
        </w:tc>
        <w:tc>
          <w:tcPr>
            <w:tcW w:w="1641" w:type="dxa"/>
          </w:tcPr>
          <w:p w14:paraId="6509EBE7" w14:textId="77777777" w:rsidR="007E2F9F" w:rsidRPr="009526C2" w:rsidRDefault="007E2F9F" w:rsidP="006548F8">
            <w:pPr>
              <w:tabs>
                <w:tab w:val="left" w:pos="875"/>
              </w:tabs>
              <w:jc w:val="right"/>
              <w:rPr>
                <w:rFonts w:ascii="Arial" w:hAnsi="Arial" w:cs="Arial"/>
              </w:rPr>
            </w:pPr>
            <w:r w:rsidRPr="009526C2">
              <w:rPr>
                <w:rFonts w:ascii="Arial" w:hAnsi="Arial" w:cs="Arial"/>
              </w:rPr>
              <w:t>304.222.244</w:t>
            </w:r>
          </w:p>
        </w:tc>
      </w:tr>
      <w:tr w:rsidR="007E2F9F" w:rsidRPr="009526C2" w14:paraId="5A54F07C" w14:textId="77777777" w:rsidTr="006548F8">
        <w:tc>
          <w:tcPr>
            <w:tcW w:w="8708" w:type="dxa"/>
          </w:tcPr>
          <w:p w14:paraId="062F0190" w14:textId="77777777" w:rsidR="007E2F9F" w:rsidRPr="009526C2" w:rsidRDefault="007E2F9F" w:rsidP="006548F8">
            <w:pPr>
              <w:tabs>
                <w:tab w:val="left" w:pos="875"/>
              </w:tabs>
              <w:ind w:right="157"/>
              <w:rPr>
                <w:rFonts w:ascii="Arial" w:hAnsi="Arial" w:cs="Arial"/>
                <w:sz w:val="18"/>
                <w:szCs w:val="18"/>
              </w:rPr>
            </w:pPr>
            <w:r w:rsidRPr="009526C2">
              <w:rPr>
                <w:rFonts w:ascii="Arial" w:hAnsi="Arial" w:cs="Arial"/>
                <w:lang w:val="es-ES_tradnl"/>
              </w:rPr>
              <w:t>Cuentas por pagar constituidas a 31 de diciembre de 2024</w:t>
            </w:r>
          </w:p>
        </w:tc>
        <w:tc>
          <w:tcPr>
            <w:tcW w:w="1641" w:type="dxa"/>
          </w:tcPr>
          <w:p w14:paraId="545BA1A4" w14:textId="77777777" w:rsidR="007E2F9F" w:rsidRPr="009526C2" w:rsidRDefault="007E2F9F" w:rsidP="006548F8">
            <w:pPr>
              <w:tabs>
                <w:tab w:val="left" w:pos="875"/>
              </w:tabs>
              <w:jc w:val="right"/>
              <w:rPr>
                <w:rFonts w:ascii="Arial" w:hAnsi="Arial" w:cs="Arial"/>
              </w:rPr>
            </w:pPr>
            <w:r w:rsidRPr="009526C2">
              <w:rPr>
                <w:rFonts w:ascii="Arial" w:hAnsi="Arial" w:cs="Arial"/>
              </w:rPr>
              <w:t>351.795</w:t>
            </w:r>
          </w:p>
        </w:tc>
      </w:tr>
      <w:tr w:rsidR="007E2F9F" w:rsidRPr="009526C2" w14:paraId="364FC81D" w14:textId="77777777" w:rsidTr="006548F8">
        <w:tc>
          <w:tcPr>
            <w:tcW w:w="8708" w:type="dxa"/>
          </w:tcPr>
          <w:p w14:paraId="079AB212" w14:textId="77777777" w:rsidR="007E2F9F" w:rsidRPr="009526C2" w:rsidRDefault="007E2F9F" w:rsidP="006548F8">
            <w:pPr>
              <w:tabs>
                <w:tab w:val="left" w:pos="875"/>
              </w:tabs>
              <w:ind w:right="157"/>
              <w:rPr>
                <w:rFonts w:ascii="Arial" w:hAnsi="Arial" w:cs="Arial"/>
                <w:sz w:val="18"/>
                <w:szCs w:val="18"/>
              </w:rPr>
            </w:pPr>
            <w:r w:rsidRPr="009526C2">
              <w:rPr>
                <w:rFonts w:ascii="Arial" w:hAnsi="Arial" w:cs="Arial"/>
                <w:b/>
                <w:lang w:val="es-ES_tradnl"/>
              </w:rPr>
              <w:t>TOTAL, REZAGO PRESUPUESTAL CONSTITUIDO A 31 DE DICIEMBRE DE 2024</w:t>
            </w:r>
          </w:p>
        </w:tc>
        <w:tc>
          <w:tcPr>
            <w:tcW w:w="1641" w:type="dxa"/>
          </w:tcPr>
          <w:p w14:paraId="54AE1B07" w14:textId="77777777" w:rsidR="007E2F9F" w:rsidRPr="009526C2" w:rsidRDefault="007E2F9F" w:rsidP="006548F8">
            <w:pPr>
              <w:tabs>
                <w:tab w:val="left" w:pos="875"/>
              </w:tabs>
              <w:jc w:val="right"/>
              <w:rPr>
                <w:rFonts w:ascii="Arial" w:hAnsi="Arial" w:cs="Arial"/>
                <w:b/>
                <w:u w:val="single"/>
              </w:rPr>
            </w:pPr>
            <w:r w:rsidRPr="009526C2">
              <w:rPr>
                <w:rFonts w:ascii="Arial" w:hAnsi="Arial" w:cs="Arial"/>
                <w:b/>
                <w:u w:val="single"/>
              </w:rPr>
              <w:t>304.574.038</w:t>
            </w:r>
          </w:p>
        </w:tc>
      </w:tr>
    </w:tbl>
    <w:p w14:paraId="2DBCE1F2" w14:textId="77777777" w:rsidR="007E2F9F" w:rsidRPr="00B54567" w:rsidRDefault="007E2F9F" w:rsidP="007E2F9F">
      <w:pPr>
        <w:pStyle w:val="Textoindependiente"/>
        <w:spacing w:before="3"/>
      </w:pPr>
    </w:p>
    <w:p w14:paraId="4234B97C" w14:textId="77777777" w:rsidR="007E2F9F" w:rsidRPr="006B62EF" w:rsidRDefault="007E2F9F" w:rsidP="007E2F9F">
      <w:pPr>
        <w:ind w:left="-284"/>
        <w:jc w:val="both"/>
        <w:rPr>
          <w:rFonts w:ascii="Arial" w:hAnsi="Arial" w:cs="Arial"/>
          <w:b/>
          <w:sz w:val="28"/>
          <w:szCs w:val="28"/>
          <w:lang w:val="es-MX"/>
        </w:rPr>
      </w:pPr>
      <w:r w:rsidRPr="006B62EF">
        <w:rPr>
          <w:rFonts w:ascii="Arial" w:hAnsi="Arial" w:cs="Arial"/>
          <w:b/>
          <w:sz w:val="28"/>
          <w:szCs w:val="28"/>
          <w:lang w:val="es-MX"/>
        </w:rPr>
        <w:t>52.- CLUB MILITAR DE OFICIALES.</w:t>
      </w:r>
    </w:p>
    <w:p w14:paraId="7BBCA934" w14:textId="77777777" w:rsidR="007E2F9F" w:rsidRDefault="007E2F9F" w:rsidP="007E2F9F">
      <w:pPr>
        <w:ind w:left="-284" w:right="-234"/>
        <w:jc w:val="both"/>
        <w:rPr>
          <w:rFonts w:ascii="Arial" w:hAnsi="Arial" w:cs="Arial"/>
          <w:b/>
          <w:bCs/>
          <w:sz w:val="28"/>
          <w:szCs w:val="28"/>
        </w:rPr>
      </w:pPr>
    </w:p>
    <w:tbl>
      <w:tblPr>
        <w:tblStyle w:val="Tablaconcuadrcula"/>
        <w:tblW w:w="10349" w:type="dxa"/>
        <w:tblInd w:w="-289" w:type="dxa"/>
        <w:tblLook w:val="04A0" w:firstRow="1" w:lastRow="0" w:firstColumn="1" w:lastColumn="0" w:noHBand="0" w:noVBand="1"/>
      </w:tblPr>
      <w:tblGrid>
        <w:gridCol w:w="8648"/>
        <w:gridCol w:w="1701"/>
      </w:tblGrid>
      <w:tr w:rsidR="007E2F9F" w:rsidRPr="00E17B8F" w14:paraId="432BE54D" w14:textId="77777777" w:rsidTr="006548F8">
        <w:tc>
          <w:tcPr>
            <w:tcW w:w="8648" w:type="dxa"/>
          </w:tcPr>
          <w:p w14:paraId="0FB423F5" w14:textId="77777777" w:rsidR="007E2F9F" w:rsidRPr="00E17B8F" w:rsidRDefault="007E2F9F" w:rsidP="006548F8">
            <w:pPr>
              <w:tabs>
                <w:tab w:val="left" w:pos="875"/>
              </w:tabs>
              <w:ind w:right="157"/>
              <w:rPr>
                <w:rFonts w:ascii="Arial" w:hAnsi="Arial" w:cs="Arial"/>
                <w:sz w:val="18"/>
                <w:szCs w:val="18"/>
              </w:rPr>
            </w:pPr>
            <w:r w:rsidRPr="00E17B8F">
              <w:rPr>
                <w:rFonts w:ascii="Arial" w:hAnsi="Arial" w:cs="Arial"/>
                <w:lang w:val="es-ES_tradnl"/>
              </w:rPr>
              <w:t>Reservas presupuestales constituidas a 31 de diciembre de 2024</w:t>
            </w:r>
          </w:p>
        </w:tc>
        <w:tc>
          <w:tcPr>
            <w:tcW w:w="1701" w:type="dxa"/>
          </w:tcPr>
          <w:p w14:paraId="0CD42F6B" w14:textId="77777777" w:rsidR="007E2F9F" w:rsidRPr="00E17B8F" w:rsidRDefault="007E2F9F" w:rsidP="006548F8">
            <w:pPr>
              <w:tabs>
                <w:tab w:val="left" w:pos="875"/>
              </w:tabs>
              <w:jc w:val="right"/>
              <w:rPr>
                <w:rFonts w:ascii="Arial" w:hAnsi="Arial" w:cs="Arial"/>
              </w:rPr>
            </w:pPr>
            <w:r w:rsidRPr="00E17B8F">
              <w:rPr>
                <w:rFonts w:ascii="Arial" w:hAnsi="Arial" w:cs="Arial"/>
              </w:rPr>
              <w:t>8.524.458</w:t>
            </w:r>
          </w:p>
        </w:tc>
      </w:tr>
      <w:tr w:rsidR="007E2F9F" w:rsidRPr="00E17B8F" w14:paraId="38B89BC0" w14:textId="77777777" w:rsidTr="006548F8">
        <w:tc>
          <w:tcPr>
            <w:tcW w:w="8648" w:type="dxa"/>
          </w:tcPr>
          <w:p w14:paraId="0608951E" w14:textId="77777777" w:rsidR="007E2F9F" w:rsidRPr="00E17B8F" w:rsidRDefault="007E2F9F" w:rsidP="006548F8">
            <w:pPr>
              <w:tabs>
                <w:tab w:val="left" w:pos="875"/>
              </w:tabs>
              <w:ind w:right="157"/>
              <w:rPr>
                <w:rFonts w:ascii="Arial" w:hAnsi="Arial" w:cs="Arial"/>
                <w:sz w:val="18"/>
                <w:szCs w:val="18"/>
              </w:rPr>
            </w:pPr>
            <w:r w:rsidRPr="00E17B8F">
              <w:rPr>
                <w:rFonts w:ascii="Arial" w:hAnsi="Arial" w:cs="Arial"/>
                <w:lang w:val="es-ES_tradnl"/>
              </w:rPr>
              <w:t>Cuentas por pagar constituidas a 31 de diciembre de 2024</w:t>
            </w:r>
          </w:p>
        </w:tc>
        <w:tc>
          <w:tcPr>
            <w:tcW w:w="1701" w:type="dxa"/>
          </w:tcPr>
          <w:p w14:paraId="124D40B8" w14:textId="77777777" w:rsidR="007E2F9F" w:rsidRPr="00E17B8F" w:rsidRDefault="007E2F9F" w:rsidP="006548F8">
            <w:pPr>
              <w:tabs>
                <w:tab w:val="left" w:pos="875"/>
              </w:tabs>
              <w:jc w:val="right"/>
              <w:rPr>
                <w:rFonts w:ascii="Arial" w:hAnsi="Arial" w:cs="Arial"/>
              </w:rPr>
            </w:pPr>
            <w:r w:rsidRPr="00E17B8F">
              <w:rPr>
                <w:rFonts w:ascii="Arial" w:hAnsi="Arial" w:cs="Arial"/>
              </w:rPr>
              <w:t>1.834.256</w:t>
            </w:r>
          </w:p>
        </w:tc>
      </w:tr>
      <w:tr w:rsidR="007E2F9F" w:rsidRPr="00E17B8F" w14:paraId="578F8531" w14:textId="77777777" w:rsidTr="006548F8">
        <w:tc>
          <w:tcPr>
            <w:tcW w:w="8648" w:type="dxa"/>
          </w:tcPr>
          <w:p w14:paraId="1D3BE47A" w14:textId="77777777" w:rsidR="007E2F9F" w:rsidRPr="00E17B8F" w:rsidRDefault="007E2F9F" w:rsidP="006548F8">
            <w:pPr>
              <w:tabs>
                <w:tab w:val="left" w:pos="875"/>
              </w:tabs>
              <w:ind w:right="157"/>
              <w:rPr>
                <w:rFonts w:ascii="Arial" w:hAnsi="Arial" w:cs="Arial"/>
                <w:sz w:val="18"/>
                <w:szCs w:val="18"/>
              </w:rPr>
            </w:pPr>
            <w:r w:rsidRPr="00E17B8F">
              <w:rPr>
                <w:rFonts w:ascii="Arial" w:hAnsi="Arial" w:cs="Arial"/>
                <w:b/>
                <w:lang w:val="es-ES_tradnl"/>
              </w:rPr>
              <w:t>TOTAL REZAGO PRESUPUESTAL CONSTITUIDO A 31 DE DICIEMBRE DE 2024</w:t>
            </w:r>
          </w:p>
        </w:tc>
        <w:tc>
          <w:tcPr>
            <w:tcW w:w="1701" w:type="dxa"/>
          </w:tcPr>
          <w:p w14:paraId="1DB8D9FD" w14:textId="77777777" w:rsidR="007E2F9F" w:rsidRPr="00E17B8F" w:rsidRDefault="007E2F9F" w:rsidP="006548F8">
            <w:pPr>
              <w:tabs>
                <w:tab w:val="left" w:pos="875"/>
              </w:tabs>
              <w:jc w:val="right"/>
              <w:rPr>
                <w:rFonts w:ascii="Arial" w:hAnsi="Arial" w:cs="Arial"/>
                <w:b/>
                <w:u w:val="single"/>
              </w:rPr>
            </w:pPr>
            <w:r w:rsidRPr="00E17B8F">
              <w:rPr>
                <w:rFonts w:ascii="Arial" w:hAnsi="Arial" w:cs="Arial"/>
                <w:b/>
                <w:u w:val="single"/>
              </w:rPr>
              <w:t>10.358.714</w:t>
            </w:r>
          </w:p>
        </w:tc>
      </w:tr>
    </w:tbl>
    <w:p w14:paraId="37F5912D" w14:textId="77777777" w:rsidR="007E2F9F" w:rsidRDefault="007E2F9F" w:rsidP="007E2F9F">
      <w:pPr>
        <w:tabs>
          <w:tab w:val="left" w:pos="875"/>
        </w:tabs>
        <w:ind w:left="-284" w:right="-234"/>
        <w:jc w:val="both"/>
        <w:rPr>
          <w:rFonts w:ascii="Arial" w:hAnsi="Arial" w:cs="Arial"/>
          <w:lang w:val="es-MX"/>
        </w:rPr>
      </w:pPr>
    </w:p>
    <w:p w14:paraId="62CF4629" w14:textId="77777777" w:rsidR="007E2F9F" w:rsidRPr="00615554" w:rsidRDefault="007E2F9F" w:rsidP="007E2F9F">
      <w:pPr>
        <w:ind w:left="-284"/>
        <w:jc w:val="both"/>
        <w:rPr>
          <w:rFonts w:ascii="Arial" w:hAnsi="Arial" w:cs="Arial"/>
          <w:b/>
          <w:sz w:val="28"/>
          <w:szCs w:val="28"/>
          <w:lang w:val="es-MX"/>
        </w:rPr>
      </w:pPr>
      <w:r w:rsidRPr="00615554">
        <w:rPr>
          <w:rFonts w:ascii="Arial" w:hAnsi="Arial" w:cs="Arial"/>
          <w:b/>
          <w:sz w:val="28"/>
          <w:szCs w:val="28"/>
          <w:lang w:val="es-MX"/>
        </w:rPr>
        <w:t xml:space="preserve">54.- </w:t>
      </w:r>
      <w:r w:rsidRPr="00615554">
        <w:rPr>
          <w:rFonts w:ascii="Arial" w:hAnsi="Arial" w:cs="Arial"/>
          <w:b/>
          <w:sz w:val="28"/>
          <w:szCs w:val="28"/>
        </w:rPr>
        <w:t>FONDO NACIONAL AMBIENTAL - FONAM.</w:t>
      </w:r>
    </w:p>
    <w:p w14:paraId="44C3726E" w14:textId="77777777" w:rsidR="007E2F9F" w:rsidRDefault="007E2F9F" w:rsidP="007E2F9F">
      <w:pPr>
        <w:tabs>
          <w:tab w:val="left" w:pos="875"/>
        </w:tabs>
        <w:ind w:left="-284" w:right="-234"/>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89"/>
        <w:gridCol w:w="1760"/>
      </w:tblGrid>
      <w:tr w:rsidR="007E2F9F" w:rsidRPr="00E56C69" w14:paraId="448D0AAF" w14:textId="77777777" w:rsidTr="006548F8">
        <w:tc>
          <w:tcPr>
            <w:tcW w:w="8589" w:type="dxa"/>
          </w:tcPr>
          <w:p w14:paraId="1909B025" w14:textId="77777777" w:rsidR="007E2F9F" w:rsidRPr="00E56C69" w:rsidRDefault="007E2F9F" w:rsidP="006548F8">
            <w:pPr>
              <w:tabs>
                <w:tab w:val="left" w:pos="875"/>
              </w:tabs>
              <w:ind w:right="157"/>
              <w:rPr>
                <w:rFonts w:ascii="Arial" w:hAnsi="Arial" w:cs="Arial"/>
                <w:sz w:val="18"/>
                <w:szCs w:val="18"/>
              </w:rPr>
            </w:pPr>
            <w:r w:rsidRPr="00E56C69">
              <w:rPr>
                <w:rFonts w:ascii="Arial" w:hAnsi="Arial" w:cs="Arial"/>
                <w:lang w:val="es-ES_tradnl"/>
              </w:rPr>
              <w:t>Reservas presupuestales constituidas a 31 de diciembre de 2024</w:t>
            </w:r>
          </w:p>
        </w:tc>
        <w:tc>
          <w:tcPr>
            <w:tcW w:w="1760" w:type="dxa"/>
          </w:tcPr>
          <w:p w14:paraId="23B7282D" w14:textId="77777777" w:rsidR="007E2F9F" w:rsidRPr="00E56C69" w:rsidRDefault="007E2F9F" w:rsidP="006548F8">
            <w:pPr>
              <w:tabs>
                <w:tab w:val="left" w:pos="875"/>
              </w:tabs>
              <w:jc w:val="right"/>
              <w:rPr>
                <w:rFonts w:ascii="Arial" w:hAnsi="Arial" w:cs="Arial"/>
                <w:sz w:val="18"/>
                <w:szCs w:val="18"/>
              </w:rPr>
            </w:pPr>
            <w:r w:rsidRPr="00E56C69">
              <w:rPr>
                <w:rFonts w:ascii="Arial" w:hAnsi="Arial" w:cs="Arial"/>
                <w:sz w:val="18"/>
                <w:szCs w:val="18"/>
              </w:rPr>
              <w:t>2.177.646.695,00</w:t>
            </w:r>
          </w:p>
        </w:tc>
      </w:tr>
      <w:tr w:rsidR="007E2F9F" w:rsidRPr="00E56C69" w14:paraId="0316727F" w14:textId="77777777" w:rsidTr="006548F8">
        <w:tc>
          <w:tcPr>
            <w:tcW w:w="8589" w:type="dxa"/>
          </w:tcPr>
          <w:p w14:paraId="71DFA839" w14:textId="77777777" w:rsidR="007E2F9F" w:rsidRPr="00E56C69" w:rsidRDefault="007E2F9F" w:rsidP="006548F8">
            <w:pPr>
              <w:tabs>
                <w:tab w:val="left" w:pos="875"/>
              </w:tabs>
              <w:ind w:right="157"/>
              <w:rPr>
                <w:rFonts w:ascii="Arial" w:hAnsi="Arial" w:cs="Arial"/>
                <w:sz w:val="18"/>
                <w:szCs w:val="18"/>
              </w:rPr>
            </w:pPr>
            <w:r w:rsidRPr="00E56C69">
              <w:rPr>
                <w:rFonts w:ascii="Arial" w:hAnsi="Arial" w:cs="Arial"/>
                <w:b/>
                <w:lang w:val="es-ES_tradnl"/>
              </w:rPr>
              <w:t>TOTAL REZAGO PRESUPUESTAL CONSTITUIDO A 31 DE DICIEMBRE DE 2024</w:t>
            </w:r>
          </w:p>
        </w:tc>
        <w:tc>
          <w:tcPr>
            <w:tcW w:w="1760" w:type="dxa"/>
          </w:tcPr>
          <w:p w14:paraId="2C458BF1" w14:textId="77777777" w:rsidR="007E2F9F" w:rsidRPr="00E56C69" w:rsidRDefault="007E2F9F" w:rsidP="006548F8">
            <w:pPr>
              <w:tabs>
                <w:tab w:val="left" w:pos="875"/>
              </w:tabs>
              <w:jc w:val="right"/>
              <w:rPr>
                <w:rFonts w:ascii="Arial" w:hAnsi="Arial" w:cs="Arial"/>
                <w:b/>
                <w:sz w:val="18"/>
                <w:szCs w:val="18"/>
                <w:u w:val="single"/>
              </w:rPr>
            </w:pPr>
            <w:r w:rsidRPr="00E56C69">
              <w:rPr>
                <w:rFonts w:ascii="Arial" w:hAnsi="Arial" w:cs="Arial"/>
                <w:b/>
                <w:sz w:val="18"/>
                <w:szCs w:val="18"/>
                <w:u w:val="single"/>
              </w:rPr>
              <w:t>2.177.646.695,00</w:t>
            </w:r>
          </w:p>
        </w:tc>
      </w:tr>
    </w:tbl>
    <w:p w14:paraId="0F3332BA" w14:textId="77777777" w:rsidR="007E2F9F" w:rsidRPr="00B54567" w:rsidRDefault="007E2F9F" w:rsidP="007E2F9F">
      <w:pPr>
        <w:pStyle w:val="Textoindependiente"/>
        <w:spacing w:before="3"/>
      </w:pPr>
    </w:p>
    <w:p w14:paraId="3A2DD314" w14:textId="77777777" w:rsidR="007E2F9F" w:rsidRPr="009A23FC" w:rsidRDefault="007E2F9F" w:rsidP="007E2F9F">
      <w:pPr>
        <w:ind w:left="-284"/>
        <w:jc w:val="both"/>
        <w:rPr>
          <w:rFonts w:ascii="Arial" w:hAnsi="Arial" w:cs="Arial"/>
          <w:b/>
          <w:sz w:val="32"/>
          <w:szCs w:val="32"/>
        </w:rPr>
      </w:pPr>
      <w:r w:rsidRPr="009A23FC">
        <w:rPr>
          <w:rFonts w:ascii="Arial" w:hAnsi="Arial" w:cs="Arial"/>
          <w:b/>
          <w:sz w:val="28"/>
          <w:szCs w:val="28"/>
          <w:lang w:val="es-MX"/>
        </w:rPr>
        <w:t xml:space="preserve">59.- </w:t>
      </w:r>
      <w:r w:rsidRPr="009A23FC">
        <w:rPr>
          <w:rFonts w:ascii="Arial" w:hAnsi="Arial" w:cs="Arial"/>
          <w:b/>
          <w:sz w:val="28"/>
          <w:szCs w:val="28"/>
        </w:rPr>
        <w:t>FONDO UNICO DE TECNOLOGÍAS DE LA INFORMACIÓN Y LAS COMUNICACIONES – FUTIC.</w:t>
      </w:r>
    </w:p>
    <w:p w14:paraId="0B077804" w14:textId="77777777" w:rsidR="007E2F9F" w:rsidRDefault="007E2F9F" w:rsidP="007E2F9F">
      <w:pPr>
        <w:ind w:left="-284"/>
        <w:jc w:val="both"/>
        <w:rPr>
          <w:b/>
          <w:sz w:val="32"/>
          <w:szCs w:val="32"/>
        </w:rPr>
      </w:pPr>
    </w:p>
    <w:tbl>
      <w:tblPr>
        <w:tblStyle w:val="Tablaconcuadrcula"/>
        <w:tblW w:w="10349" w:type="dxa"/>
        <w:tblInd w:w="-289" w:type="dxa"/>
        <w:tblLook w:val="04A0" w:firstRow="1" w:lastRow="0" w:firstColumn="1" w:lastColumn="0" w:noHBand="0" w:noVBand="1"/>
      </w:tblPr>
      <w:tblGrid>
        <w:gridCol w:w="8648"/>
        <w:gridCol w:w="1701"/>
      </w:tblGrid>
      <w:tr w:rsidR="007E2F9F" w:rsidRPr="003574B6" w14:paraId="5F76FE3A" w14:textId="77777777" w:rsidTr="006548F8">
        <w:tc>
          <w:tcPr>
            <w:tcW w:w="8648" w:type="dxa"/>
          </w:tcPr>
          <w:p w14:paraId="3893EB73" w14:textId="77777777" w:rsidR="007E2F9F" w:rsidRPr="003574B6" w:rsidRDefault="007E2F9F" w:rsidP="006548F8">
            <w:pPr>
              <w:tabs>
                <w:tab w:val="left" w:pos="875"/>
              </w:tabs>
              <w:ind w:right="157"/>
              <w:rPr>
                <w:rFonts w:ascii="Arial" w:hAnsi="Arial" w:cs="Arial"/>
                <w:sz w:val="18"/>
                <w:szCs w:val="18"/>
              </w:rPr>
            </w:pPr>
            <w:r w:rsidRPr="003574B6">
              <w:rPr>
                <w:rFonts w:ascii="Arial" w:hAnsi="Arial" w:cs="Arial"/>
                <w:lang w:val="es-ES_tradnl"/>
              </w:rPr>
              <w:t>Reservas presupuestales constituidas a 31 de diciembre de 2024</w:t>
            </w:r>
          </w:p>
        </w:tc>
        <w:tc>
          <w:tcPr>
            <w:tcW w:w="1701" w:type="dxa"/>
          </w:tcPr>
          <w:p w14:paraId="1DBC64E2" w14:textId="77777777" w:rsidR="007E2F9F" w:rsidRPr="003574B6" w:rsidRDefault="007E2F9F" w:rsidP="006548F8">
            <w:pPr>
              <w:tabs>
                <w:tab w:val="left" w:pos="875"/>
              </w:tabs>
              <w:jc w:val="right"/>
              <w:rPr>
                <w:rFonts w:ascii="Arial" w:hAnsi="Arial" w:cs="Arial"/>
                <w:sz w:val="18"/>
                <w:szCs w:val="18"/>
              </w:rPr>
            </w:pPr>
            <w:r w:rsidRPr="003574B6">
              <w:rPr>
                <w:rFonts w:ascii="Arial" w:hAnsi="Arial" w:cs="Arial"/>
                <w:sz w:val="18"/>
                <w:szCs w:val="18"/>
              </w:rPr>
              <w:t>805.376.760</w:t>
            </w:r>
          </w:p>
        </w:tc>
      </w:tr>
      <w:tr w:rsidR="007E2F9F" w:rsidRPr="003574B6" w14:paraId="7CEA6A59" w14:textId="77777777" w:rsidTr="006548F8">
        <w:tc>
          <w:tcPr>
            <w:tcW w:w="8648" w:type="dxa"/>
          </w:tcPr>
          <w:p w14:paraId="7303E5E3" w14:textId="77777777" w:rsidR="007E2F9F" w:rsidRPr="003574B6" w:rsidRDefault="007E2F9F" w:rsidP="006548F8">
            <w:pPr>
              <w:tabs>
                <w:tab w:val="left" w:pos="875"/>
              </w:tabs>
              <w:ind w:right="157"/>
              <w:rPr>
                <w:rFonts w:ascii="Arial" w:hAnsi="Arial" w:cs="Arial"/>
                <w:sz w:val="18"/>
                <w:szCs w:val="18"/>
              </w:rPr>
            </w:pPr>
            <w:r w:rsidRPr="003574B6">
              <w:rPr>
                <w:rFonts w:ascii="Arial" w:hAnsi="Arial" w:cs="Arial"/>
                <w:lang w:val="es-ES_tradnl"/>
              </w:rPr>
              <w:t>Cuentas por pagar constituidas a 31 de diciembre de 2024</w:t>
            </w:r>
          </w:p>
        </w:tc>
        <w:tc>
          <w:tcPr>
            <w:tcW w:w="1701" w:type="dxa"/>
          </w:tcPr>
          <w:p w14:paraId="7797281A" w14:textId="77777777" w:rsidR="007E2F9F" w:rsidRPr="003574B6" w:rsidRDefault="007E2F9F" w:rsidP="006548F8">
            <w:pPr>
              <w:tabs>
                <w:tab w:val="left" w:pos="875"/>
              </w:tabs>
              <w:jc w:val="right"/>
              <w:rPr>
                <w:rFonts w:ascii="Arial" w:hAnsi="Arial" w:cs="Arial"/>
                <w:sz w:val="18"/>
                <w:szCs w:val="18"/>
              </w:rPr>
            </w:pPr>
            <w:r w:rsidRPr="003574B6">
              <w:rPr>
                <w:rFonts w:ascii="Arial" w:hAnsi="Arial" w:cs="Arial"/>
                <w:sz w:val="18"/>
                <w:szCs w:val="18"/>
              </w:rPr>
              <w:t>265.566.365</w:t>
            </w:r>
          </w:p>
        </w:tc>
      </w:tr>
      <w:tr w:rsidR="007E2F9F" w:rsidRPr="003574B6" w14:paraId="716890AE" w14:textId="77777777" w:rsidTr="006548F8">
        <w:tc>
          <w:tcPr>
            <w:tcW w:w="8648" w:type="dxa"/>
          </w:tcPr>
          <w:p w14:paraId="47FED0BE" w14:textId="77777777" w:rsidR="007E2F9F" w:rsidRPr="003574B6" w:rsidRDefault="007E2F9F" w:rsidP="006548F8">
            <w:pPr>
              <w:tabs>
                <w:tab w:val="left" w:pos="875"/>
              </w:tabs>
              <w:ind w:right="157"/>
              <w:rPr>
                <w:rFonts w:ascii="Arial" w:hAnsi="Arial" w:cs="Arial"/>
                <w:sz w:val="18"/>
                <w:szCs w:val="18"/>
              </w:rPr>
            </w:pPr>
            <w:r w:rsidRPr="003574B6">
              <w:rPr>
                <w:rFonts w:ascii="Arial" w:hAnsi="Arial" w:cs="Arial"/>
                <w:b/>
                <w:lang w:val="es-ES_tradnl"/>
              </w:rPr>
              <w:t>TOTAL REZAGO PRESUPUESTAL CONSTITUIDO A 31 DE DICIEMBRE DE 2024</w:t>
            </w:r>
          </w:p>
        </w:tc>
        <w:tc>
          <w:tcPr>
            <w:tcW w:w="1701" w:type="dxa"/>
          </w:tcPr>
          <w:p w14:paraId="159ADEF8" w14:textId="77777777" w:rsidR="007E2F9F" w:rsidRPr="003574B6" w:rsidRDefault="007E2F9F" w:rsidP="006548F8">
            <w:pPr>
              <w:tabs>
                <w:tab w:val="left" w:pos="875"/>
              </w:tabs>
              <w:jc w:val="right"/>
              <w:rPr>
                <w:rFonts w:ascii="Arial" w:hAnsi="Arial" w:cs="Arial"/>
                <w:b/>
                <w:sz w:val="18"/>
                <w:szCs w:val="18"/>
                <w:u w:val="single"/>
              </w:rPr>
            </w:pPr>
            <w:r w:rsidRPr="003574B6">
              <w:rPr>
                <w:rFonts w:ascii="Arial" w:hAnsi="Arial" w:cs="Arial"/>
                <w:b/>
                <w:sz w:val="18"/>
                <w:szCs w:val="18"/>
                <w:u w:val="single"/>
              </w:rPr>
              <w:t>1.070.943.124</w:t>
            </w:r>
          </w:p>
        </w:tc>
      </w:tr>
    </w:tbl>
    <w:p w14:paraId="53835314" w14:textId="77777777" w:rsidR="007E2F9F" w:rsidRDefault="007E2F9F" w:rsidP="007E2F9F">
      <w:pPr>
        <w:tabs>
          <w:tab w:val="left" w:pos="875"/>
        </w:tabs>
        <w:ind w:left="-284" w:right="-234"/>
        <w:jc w:val="both"/>
        <w:rPr>
          <w:rFonts w:ascii="Arial" w:hAnsi="Arial" w:cs="Arial"/>
          <w:lang w:val="es-MX"/>
        </w:rPr>
      </w:pPr>
    </w:p>
    <w:p w14:paraId="70170772" w14:textId="7C9CBEFF" w:rsidR="007E2F9F" w:rsidRDefault="007E2F9F" w:rsidP="007E2F9F">
      <w:pPr>
        <w:ind w:left="-284"/>
        <w:jc w:val="both"/>
        <w:rPr>
          <w:rFonts w:ascii="Arial" w:hAnsi="Arial" w:cs="Arial"/>
          <w:b/>
          <w:sz w:val="28"/>
          <w:szCs w:val="28"/>
          <w:lang w:val="es-MX"/>
        </w:rPr>
      </w:pPr>
      <w:r w:rsidRPr="004A6385">
        <w:rPr>
          <w:rFonts w:ascii="Arial" w:hAnsi="Arial" w:cs="Arial"/>
          <w:b/>
          <w:sz w:val="28"/>
          <w:szCs w:val="28"/>
          <w:lang w:val="es-MX"/>
        </w:rPr>
        <w:t>60.- CAJA DE SUELDOS DE RETIRO DE LA POLICIA NACIONAL – CASUR.</w:t>
      </w:r>
    </w:p>
    <w:p w14:paraId="245838A5" w14:textId="77777777" w:rsidR="00941342" w:rsidRPr="004A6385" w:rsidRDefault="00941342" w:rsidP="007E2F9F">
      <w:pPr>
        <w:ind w:left="-284"/>
        <w:jc w:val="both"/>
        <w:rPr>
          <w:rFonts w:ascii="Arial" w:hAnsi="Arial" w:cs="Arial"/>
          <w:b/>
          <w:sz w:val="28"/>
          <w:szCs w:val="28"/>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FF24B4" w14:paraId="0698B3E8" w14:textId="77777777" w:rsidTr="006548F8">
        <w:tc>
          <w:tcPr>
            <w:tcW w:w="8648" w:type="dxa"/>
          </w:tcPr>
          <w:p w14:paraId="25111A5C" w14:textId="77777777" w:rsidR="007E2F9F" w:rsidRPr="00FF24B4" w:rsidRDefault="007E2F9F" w:rsidP="006548F8">
            <w:pPr>
              <w:tabs>
                <w:tab w:val="left" w:pos="875"/>
              </w:tabs>
              <w:ind w:right="157"/>
              <w:rPr>
                <w:rFonts w:ascii="Arial" w:hAnsi="Arial" w:cs="Arial"/>
                <w:sz w:val="18"/>
                <w:szCs w:val="18"/>
              </w:rPr>
            </w:pPr>
            <w:r w:rsidRPr="00FF24B4">
              <w:rPr>
                <w:rFonts w:ascii="Arial" w:hAnsi="Arial" w:cs="Arial"/>
                <w:lang w:val="es-ES_tradnl"/>
              </w:rPr>
              <w:t>Reservas presupuestales constituidas a 31 de diciembre de 2024</w:t>
            </w:r>
          </w:p>
        </w:tc>
        <w:tc>
          <w:tcPr>
            <w:tcW w:w="1701" w:type="dxa"/>
          </w:tcPr>
          <w:p w14:paraId="1C2D0800" w14:textId="77777777" w:rsidR="007E2F9F" w:rsidRPr="00FF24B4" w:rsidRDefault="007E2F9F" w:rsidP="006548F8">
            <w:pPr>
              <w:tabs>
                <w:tab w:val="left" w:pos="875"/>
              </w:tabs>
              <w:jc w:val="right"/>
              <w:rPr>
                <w:rFonts w:ascii="Arial" w:hAnsi="Arial" w:cs="Arial"/>
                <w:sz w:val="18"/>
                <w:szCs w:val="18"/>
              </w:rPr>
            </w:pPr>
            <w:r w:rsidRPr="00FF24B4">
              <w:rPr>
                <w:rFonts w:ascii="Arial" w:hAnsi="Arial" w:cs="Arial"/>
                <w:sz w:val="18"/>
                <w:szCs w:val="18"/>
              </w:rPr>
              <w:t>5.079.272</w:t>
            </w:r>
          </w:p>
        </w:tc>
      </w:tr>
      <w:tr w:rsidR="007E2F9F" w:rsidRPr="00FF24B4" w14:paraId="415BB716" w14:textId="77777777" w:rsidTr="006548F8">
        <w:tc>
          <w:tcPr>
            <w:tcW w:w="8648" w:type="dxa"/>
          </w:tcPr>
          <w:p w14:paraId="2B3A7ED5" w14:textId="77777777" w:rsidR="007E2F9F" w:rsidRPr="00FF24B4" w:rsidRDefault="007E2F9F" w:rsidP="006548F8">
            <w:pPr>
              <w:tabs>
                <w:tab w:val="left" w:pos="875"/>
              </w:tabs>
              <w:ind w:right="157"/>
              <w:rPr>
                <w:rFonts w:ascii="Arial" w:hAnsi="Arial" w:cs="Arial"/>
                <w:sz w:val="18"/>
                <w:szCs w:val="18"/>
              </w:rPr>
            </w:pPr>
            <w:r w:rsidRPr="00FF24B4">
              <w:rPr>
                <w:rFonts w:ascii="Arial" w:hAnsi="Arial" w:cs="Arial"/>
                <w:lang w:val="es-ES_tradnl"/>
              </w:rPr>
              <w:t>Cuentas por pagar constituidas a 31 de diciembre de 2024</w:t>
            </w:r>
          </w:p>
        </w:tc>
        <w:tc>
          <w:tcPr>
            <w:tcW w:w="1701" w:type="dxa"/>
          </w:tcPr>
          <w:p w14:paraId="7E208A04" w14:textId="77777777" w:rsidR="007E2F9F" w:rsidRPr="00FF24B4" w:rsidRDefault="007E2F9F" w:rsidP="006548F8">
            <w:pPr>
              <w:tabs>
                <w:tab w:val="left" w:pos="875"/>
              </w:tabs>
              <w:jc w:val="right"/>
              <w:rPr>
                <w:rFonts w:ascii="Arial" w:hAnsi="Arial" w:cs="Arial"/>
                <w:sz w:val="18"/>
                <w:szCs w:val="18"/>
              </w:rPr>
            </w:pPr>
            <w:r w:rsidRPr="00FF24B4">
              <w:rPr>
                <w:rFonts w:ascii="Arial" w:hAnsi="Arial" w:cs="Arial"/>
                <w:sz w:val="18"/>
                <w:szCs w:val="18"/>
              </w:rPr>
              <w:t>1.395.355</w:t>
            </w:r>
          </w:p>
        </w:tc>
      </w:tr>
      <w:tr w:rsidR="007E2F9F" w:rsidRPr="00FF24B4" w14:paraId="6668DD71" w14:textId="77777777" w:rsidTr="006548F8">
        <w:tc>
          <w:tcPr>
            <w:tcW w:w="8648" w:type="dxa"/>
          </w:tcPr>
          <w:p w14:paraId="768B95BD" w14:textId="77777777" w:rsidR="007E2F9F" w:rsidRPr="00FF24B4" w:rsidRDefault="007E2F9F" w:rsidP="006548F8">
            <w:pPr>
              <w:tabs>
                <w:tab w:val="left" w:pos="875"/>
              </w:tabs>
              <w:ind w:right="157"/>
              <w:rPr>
                <w:rFonts w:ascii="Arial" w:hAnsi="Arial" w:cs="Arial"/>
                <w:sz w:val="18"/>
                <w:szCs w:val="18"/>
              </w:rPr>
            </w:pPr>
            <w:r w:rsidRPr="00FF24B4">
              <w:rPr>
                <w:rFonts w:ascii="Arial" w:hAnsi="Arial" w:cs="Arial"/>
                <w:b/>
                <w:lang w:val="es-ES_tradnl"/>
              </w:rPr>
              <w:t>TOTAL REZAGO PRESUPUESTAL CONSTITUIDO A 31 DE DICIEMBRE DE 2024</w:t>
            </w:r>
          </w:p>
        </w:tc>
        <w:tc>
          <w:tcPr>
            <w:tcW w:w="1701" w:type="dxa"/>
          </w:tcPr>
          <w:p w14:paraId="63FC7030" w14:textId="77777777" w:rsidR="007E2F9F" w:rsidRPr="00FF24B4" w:rsidRDefault="007E2F9F" w:rsidP="006548F8">
            <w:pPr>
              <w:tabs>
                <w:tab w:val="left" w:pos="875"/>
              </w:tabs>
              <w:jc w:val="right"/>
              <w:rPr>
                <w:rFonts w:ascii="Arial" w:hAnsi="Arial" w:cs="Arial"/>
                <w:b/>
                <w:sz w:val="18"/>
                <w:szCs w:val="18"/>
                <w:u w:val="single"/>
              </w:rPr>
            </w:pPr>
            <w:r w:rsidRPr="00FF24B4">
              <w:rPr>
                <w:rFonts w:ascii="Arial" w:hAnsi="Arial" w:cs="Arial"/>
                <w:b/>
                <w:sz w:val="18"/>
                <w:szCs w:val="18"/>
                <w:u w:val="single"/>
              </w:rPr>
              <w:t>6.474.626</w:t>
            </w:r>
          </w:p>
        </w:tc>
      </w:tr>
    </w:tbl>
    <w:p w14:paraId="6004297E" w14:textId="77777777" w:rsidR="007E2F9F" w:rsidRDefault="007E2F9F" w:rsidP="007E2F9F">
      <w:pPr>
        <w:tabs>
          <w:tab w:val="left" w:pos="875"/>
        </w:tabs>
        <w:ind w:left="-284" w:right="-234"/>
        <w:jc w:val="both"/>
        <w:rPr>
          <w:rFonts w:ascii="Arial" w:hAnsi="Arial" w:cs="Arial"/>
          <w:lang w:val="es-MX"/>
        </w:rPr>
      </w:pPr>
    </w:p>
    <w:p w14:paraId="1AB8A0C4" w14:textId="77777777" w:rsidR="007E2F9F" w:rsidRDefault="007E2F9F" w:rsidP="007E2F9F">
      <w:pPr>
        <w:pStyle w:val="Ttulo6"/>
        <w:tabs>
          <w:tab w:val="left" w:pos="8505"/>
        </w:tabs>
        <w:spacing w:before="0"/>
        <w:ind w:left="-284" w:right="-93" w:firstLine="0"/>
        <w:jc w:val="both"/>
        <w:rPr>
          <w:rFonts w:ascii="Arial" w:hAnsi="Arial" w:cs="Arial"/>
          <w:b/>
          <w:i w:val="0"/>
          <w:iCs w:val="0"/>
          <w:color w:val="auto"/>
          <w:spacing w:val="-2"/>
          <w:sz w:val="28"/>
          <w:szCs w:val="28"/>
        </w:rPr>
      </w:pPr>
      <w:r w:rsidRPr="00116592">
        <w:rPr>
          <w:rFonts w:ascii="Arial" w:hAnsi="Arial" w:cs="Arial"/>
          <w:b/>
          <w:i w:val="0"/>
          <w:iCs w:val="0"/>
          <w:color w:val="auto"/>
          <w:sz w:val="28"/>
          <w:szCs w:val="28"/>
          <w:lang w:val="es-MX"/>
        </w:rPr>
        <w:t xml:space="preserve">61.- </w:t>
      </w:r>
      <w:r w:rsidRPr="00116592">
        <w:rPr>
          <w:rFonts w:ascii="Arial" w:hAnsi="Arial" w:cs="Arial"/>
          <w:b/>
          <w:i w:val="0"/>
          <w:iCs w:val="0"/>
          <w:color w:val="auto"/>
          <w:sz w:val="28"/>
          <w:szCs w:val="28"/>
        </w:rPr>
        <w:t>UNIDAD NACIONAL PARA LA GESTIÓN DEL RIESGO DE DESASTRES</w:t>
      </w:r>
      <w:r>
        <w:rPr>
          <w:rFonts w:ascii="Arial" w:hAnsi="Arial" w:cs="Arial"/>
          <w:b/>
          <w:i w:val="0"/>
          <w:iCs w:val="0"/>
          <w:color w:val="auto"/>
          <w:sz w:val="28"/>
          <w:szCs w:val="28"/>
        </w:rPr>
        <w:t xml:space="preserve"> -</w:t>
      </w:r>
      <w:r w:rsidRPr="00116592">
        <w:rPr>
          <w:rFonts w:ascii="Arial" w:hAnsi="Arial" w:cs="Arial"/>
          <w:b/>
          <w:i w:val="0"/>
          <w:iCs w:val="0"/>
          <w:color w:val="auto"/>
          <w:sz w:val="28"/>
          <w:szCs w:val="28"/>
        </w:rPr>
        <w:t xml:space="preserve"> </w:t>
      </w:r>
      <w:r w:rsidRPr="00116592">
        <w:rPr>
          <w:rFonts w:ascii="Arial" w:hAnsi="Arial" w:cs="Arial"/>
          <w:b/>
          <w:i w:val="0"/>
          <w:iCs w:val="0"/>
          <w:color w:val="auto"/>
          <w:spacing w:val="-2"/>
          <w:sz w:val="28"/>
          <w:szCs w:val="28"/>
        </w:rPr>
        <w:t>UNGRD.</w:t>
      </w:r>
    </w:p>
    <w:p w14:paraId="37FC3873" w14:textId="77777777" w:rsidR="007E2F9F" w:rsidRDefault="007E2F9F" w:rsidP="007E2F9F">
      <w:pPr>
        <w:tabs>
          <w:tab w:val="left" w:pos="875"/>
        </w:tabs>
        <w:ind w:left="-284" w:right="-93"/>
        <w:jc w:val="both"/>
        <w:rPr>
          <w:rFonts w:ascii="Arial" w:hAnsi="Arial" w:cs="Arial"/>
        </w:rPr>
      </w:pPr>
    </w:p>
    <w:tbl>
      <w:tblPr>
        <w:tblStyle w:val="Tablaconcuadrcula"/>
        <w:tblW w:w="10349" w:type="dxa"/>
        <w:tblInd w:w="-289" w:type="dxa"/>
        <w:tblLook w:val="04A0" w:firstRow="1" w:lastRow="0" w:firstColumn="1" w:lastColumn="0" w:noHBand="0" w:noVBand="1"/>
      </w:tblPr>
      <w:tblGrid>
        <w:gridCol w:w="8222"/>
        <w:gridCol w:w="2127"/>
      </w:tblGrid>
      <w:tr w:rsidR="007E2F9F" w:rsidRPr="00704F5B" w14:paraId="6110489C" w14:textId="77777777" w:rsidTr="006548F8">
        <w:tc>
          <w:tcPr>
            <w:tcW w:w="8222" w:type="dxa"/>
          </w:tcPr>
          <w:p w14:paraId="620E64EC" w14:textId="77777777" w:rsidR="007E2F9F" w:rsidRPr="00704F5B" w:rsidRDefault="007E2F9F" w:rsidP="006548F8">
            <w:pPr>
              <w:tabs>
                <w:tab w:val="left" w:pos="875"/>
              </w:tabs>
              <w:ind w:right="157"/>
              <w:rPr>
                <w:rFonts w:ascii="Arial" w:hAnsi="Arial" w:cs="Arial"/>
                <w:sz w:val="18"/>
                <w:szCs w:val="18"/>
              </w:rPr>
            </w:pPr>
            <w:r w:rsidRPr="00704F5B">
              <w:rPr>
                <w:rFonts w:ascii="Arial" w:hAnsi="Arial" w:cs="Arial"/>
                <w:lang w:val="es-ES_tradnl"/>
              </w:rPr>
              <w:t>Reservas presupuestales constituidas a 31 de diciembre de 2024</w:t>
            </w:r>
          </w:p>
        </w:tc>
        <w:tc>
          <w:tcPr>
            <w:tcW w:w="2127" w:type="dxa"/>
          </w:tcPr>
          <w:p w14:paraId="5D42A712" w14:textId="77777777" w:rsidR="007E2F9F" w:rsidRPr="00704F5B" w:rsidRDefault="007E2F9F" w:rsidP="006548F8">
            <w:pPr>
              <w:tabs>
                <w:tab w:val="left" w:pos="875"/>
              </w:tabs>
              <w:jc w:val="right"/>
              <w:rPr>
                <w:rFonts w:ascii="Arial" w:hAnsi="Arial" w:cs="Arial"/>
                <w:sz w:val="18"/>
                <w:szCs w:val="18"/>
              </w:rPr>
            </w:pPr>
            <w:r w:rsidRPr="00704F5B">
              <w:rPr>
                <w:rFonts w:ascii="Arial" w:hAnsi="Arial" w:cs="Arial"/>
                <w:sz w:val="18"/>
                <w:szCs w:val="18"/>
              </w:rPr>
              <w:t>710.710.901.020,23</w:t>
            </w:r>
          </w:p>
        </w:tc>
      </w:tr>
      <w:tr w:rsidR="007E2F9F" w:rsidRPr="00704F5B" w14:paraId="0E452722" w14:textId="77777777" w:rsidTr="006548F8">
        <w:tc>
          <w:tcPr>
            <w:tcW w:w="8222" w:type="dxa"/>
          </w:tcPr>
          <w:p w14:paraId="48BE782A" w14:textId="77777777" w:rsidR="007E2F9F" w:rsidRPr="00704F5B" w:rsidRDefault="007E2F9F" w:rsidP="006548F8">
            <w:pPr>
              <w:tabs>
                <w:tab w:val="left" w:pos="875"/>
              </w:tabs>
              <w:ind w:right="157"/>
              <w:rPr>
                <w:rFonts w:ascii="Arial" w:hAnsi="Arial" w:cs="Arial"/>
                <w:sz w:val="18"/>
                <w:szCs w:val="18"/>
              </w:rPr>
            </w:pPr>
            <w:r w:rsidRPr="00704F5B">
              <w:rPr>
                <w:rFonts w:ascii="Arial" w:hAnsi="Arial" w:cs="Arial"/>
                <w:lang w:val="es-ES_tradnl"/>
              </w:rPr>
              <w:lastRenderedPageBreak/>
              <w:t>Cuentas por pagar constituidas a 31 de diciembre de 2024</w:t>
            </w:r>
          </w:p>
        </w:tc>
        <w:tc>
          <w:tcPr>
            <w:tcW w:w="2127" w:type="dxa"/>
          </w:tcPr>
          <w:p w14:paraId="4E14C7E3" w14:textId="77777777" w:rsidR="007E2F9F" w:rsidRPr="00704F5B" w:rsidRDefault="007E2F9F" w:rsidP="006548F8">
            <w:pPr>
              <w:tabs>
                <w:tab w:val="left" w:pos="875"/>
              </w:tabs>
              <w:jc w:val="right"/>
              <w:rPr>
                <w:rFonts w:ascii="Arial" w:hAnsi="Arial" w:cs="Arial"/>
                <w:sz w:val="18"/>
                <w:szCs w:val="18"/>
              </w:rPr>
            </w:pPr>
            <w:r w:rsidRPr="00704F5B">
              <w:rPr>
                <w:rFonts w:ascii="Arial" w:hAnsi="Arial" w:cs="Arial"/>
                <w:sz w:val="18"/>
                <w:szCs w:val="18"/>
              </w:rPr>
              <w:t>445.135.524,71</w:t>
            </w:r>
          </w:p>
        </w:tc>
      </w:tr>
      <w:tr w:rsidR="007E2F9F" w:rsidRPr="00704F5B" w14:paraId="7970E43D" w14:textId="77777777" w:rsidTr="006548F8">
        <w:tc>
          <w:tcPr>
            <w:tcW w:w="8222" w:type="dxa"/>
          </w:tcPr>
          <w:p w14:paraId="0DFB0AC3" w14:textId="77777777" w:rsidR="007E2F9F" w:rsidRPr="00704F5B" w:rsidRDefault="007E2F9F" w:rsidP="006548F8">
            <w:pPr>
              <w:tabs>
                <w:tab w:val="left" w:pos="875"/>
              </w:tabs>
              <w:ind w:right="157"/>
              <w:rPr>
                <w:rFonts w:ascii="Arial" w:hAnsi="Arial" w:cs="Arial"/>
                <w:sz w:val="18"/>
                <w:szCs w:val="18"/>
              </w:rPr>
            </w:pPr>
            <w:r w:rsidRPr="00704F5B">
              <w:rPr>
                <w:rFonts w:ascii="Arial" w:hAnsi="Arial" w:cs="Arial"/>
                <w:b/>
                <w:lang w:val="es-ES_tradnl"/>
              </w:rPr>
              <w:t>TOTAL REZAGO PRESUPUESTAL CONSTITUIDO A 31 DE DICIEMBRE DE 2024</w:t>
            </w:r>
          </w:p>
        </w:tc>
        <w:tc>
          <w:tcPr>
            <w:tcW w:w="2127" w:type="dxa"/>
          </w:tcPr>
          <w:p w14:paraId="72D89249" w14:textId="77777777" w:rsidR="007E2F9F" w:rsidRPr="00704F5B" w:rsidRDefault="007E2F9F" w:rsidP="006548F8">
            <w:pPr>
              <w:tabs>
                <w:tab w:val="left" w:pos="875"/>
              </w:tabs>
              <w:jc w:val="right"/>
              <w:rPr>
                <w:rFonts w:ascii="Arial" w:hAnsi="Arial" w:cs="Arial"/>
                <w:b/>
                <w:sz w:val="18"/>
                <w:szCs w:val="18"/>
                <w:u w:val="single"/>
              </w:rPr>
            </w:pPr>
            <w:r w:rsidRPr="00704F5B">
              <w:rPr>
                <w:rFonts w:ascii="Arial" w:hAnsi="Arial" w:cs="Arial"/>
                <w:b/>
                <w:sz w:val="18"/>
                <w:szCs w:val="18"/>
                <w:u w:val="single"/>
              </w:rPr>
              <w:t>711.156.036.544,94</w:t>
            </w:r>
          </w:p>
        </w:tc>
      </w:tr>
    </w:tbl>
    <w:p w14:paraId="7AF103C0" w14:textId="77777777" w:rsidR="007E2F9F" w:rsidRDefault="007E2F9F" w:rsidP="007E2F9F">
      <w:pPr>
        <w:tabs>
          <w:tab w:val="left" w:pos="875"/>
        </w:tabs>
        <w:ind w:left="-284" w:right="-93"/>
        <w:jc w:val="both"/>
        <w:rPr>
          <w:rFonts w:ascii="Arial" w:hAnsi="Arial" w:cs="Arial"/>
        </w:rPr>
      </w:pPr>
    </w:p>
    <w:p w14:paraId="0B29C5E1" w14:textId="77777777" w:rsidR="007E2F9F" w:rsidRPr="006E15FA" w:rsidRDefault="007E2F9F" w:rsidP="007E2F9F">
      <w:pPr>
        <w:ind w:left="-284"/>
        <w:rPr>
          <w:rFonts w:ascii="Arial" w:hAnsi="Arial" w:cs="Arial"/>
          <w:b/>
          <w:sz w:val="28"/>
          <w:szCs w:val="28"/>
          <w:lang w:val="es-MX"/>
        </w:rPr>
      </w:pPr>
      <w:r w:rsidRPr="006E15FA">
        <w:rPr>
          <w:rFonts w:ascii="Arial" w:hAnsi="Arial" w:cs="Arial"/>
          <w:b/>
          <w:sz w:val="28"/>
          <w:szCs w:val="28"/>
        </w:rPr>
        <w:t>63.- AGENCIA DE RENOVACIÓN DE TERRITORIO - ART.</w:t>
      </w:r>
    </w:p>
    <w:p w14:paraId="5C98F638" w14:textId="77777777" w:rsidR="007E2F9F" w:rsidRDefault="007E2F9F" w:rsidP="007E2F9F">
      <w:pPr>
        <w:tabs>
          <w:tab w:val="left" w:pos="875"/>
        </w:tabs>
        <w:ind w:left="-284" w:right="-93"/>
        <w:jc w:val="both"/>
        <w:rPr>
          <w:rFonts w:ascii="Arial" w:hAnsi="Arial" w:cs="Arial"/>
        </w:rPr>
      </w:pPr>
    </w:p>
    <w:tbl>
      <w:tblPr>
        <w:tblStyle w:val="Tablaconcuadrcula"/>
        <w:tblW w:w="10348" w:type="dxa"/>
        <w:jc w:val="center"/>
        <w:tblLook w:val="04A0" w:firstRow="1" w:lastRow="0" w:firstColumn="1" w:lastColumn="0" w:noHBand="0" w:noVBand="1"/>
      </w:tblPr>
      <w:tblGrid>
        <w:gridCol w:w="8794"/>
        <w:gridCol w:w="1554"/>
      </w:tblGrid>
      <w:tr w:rsidR="007E2F9F" w:rsidRPr="001250D0" w14:paraId="17B11088" w14:textId="77777777" w:rsidTr="00DE218D">
        <w:trPr>
          <w:jc w:val="center"/>
        </w:trPr>
        <w:tc>
          <w:tcPr>
            <w:tcW w:w="8794" w:type="dxa"/>
          </w:tcPr>
          <w:p w14:paraId="732AA5FF"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Reservas presupuestales constituidas a 31 de diciembre de 202</w:t>
            </w:r>
            <w:r>
              <w:rPr>
                <w:rFonts w:ascii="Arial" w:hAnsi="Arial" w:cs="Arial"/>
                <w:lang w:val="es-ES_tradnl"/>
              </w:rPr>
              <w:t>4</w:t>
            </w:r>
          </w:p>
        </w:tc>
        <w:tc>
          <w:tcPr>
            <w:tcW w:w="1554" w:type="dxa"/>
            <w:tcBorders>
              <w:top w:val="single" w:sz="8" w:space="0" w:color="auto"/>
              <w:left w:val="single" w:sz="8" w:space="0" w:color="auto"/>
              <w:bottom w:val="single" w:sz="8" w:space="0" w:color="auto"/>
              <w:right w:val="single" w:sz="8" w:space="0" w:color="auto"/>
            </w:tcBorders>
            <w:shd w:val="clear" w:color="auto" w:fill="auto"/>
            <w:vAlign w:val="bottom"/>
          </w:tcPr>
          <w:p w14:paraId="462F17CE" w14:textId="77777777" w:rsidR="007E2F9F" w:rsidRPr="00FC0368" w:rsidRDefault="007E2F9F" w:rsidP="006548F8">
            <w:pPr>
              <w:jc w:val="right"/>
              <w:rPr>
                <w:rFonts w:ascii="Arial" w:hAnsi="Arial" w:cs="Arial"/>
                <w:color w:val="000000"/>
                <w:sz w:val="16"/>
                <w:szCs w:val="16"/>
              </w:rPr>
            </w:pPr>
            <w:r w:rsidRPr="00FC0368">
              <w:rPr>
                <w:rFonts w:ascii="Arial" w:hAnsi="Arial" w:cs="Arial"/>
                <w:color w:val="000000"/>
                <w:sz w:val="16"/>
                <w:szCs w:val="16"/>
              </w:rPr>
              <w:t xml:space="preserve">20.410.400 </w:t>
            </w:r>
          </w:p>
        </w:tc>
      </w:tr>
      <w:tr w:rsidR="007E2F9F" w:rsidRPr="001250D0" w14:paraId="6D139D89" w14:textId="77777777" w:rsidTr="00DE218D">
        <w:trPr>
          <w:jc w:val="center"/>
        </w:trPr>
        <w:tc>
          <w:tcPr>
            <w:tcW w:w="8794" w:type="dxa"/>
          </w:tcPr>
          <w:p w14:paraId="7ED3EAF3"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Cuentas por pagar constituidas a 31 de diciembre de 202</w:t>
            </w:r>
            <w:r>
              <w:rPr>
                <w:rFonts w:ascii="Arial" w:hAnsi="Arial" w:cs="Arial"/>
                <w:lang w:val="es-ES_tradnl"/>
              </w:rPr>
              <w:t>4</w:t>
            </w:r>
          </w:p>
        </w:tc>
        <w:tc>
          <w:tcPr>
            <w:tcW w:w="1554" w:type="dxa"/>
            <w:tcBorders>
              <w:top w:val="nil"/>
              <w:left w:val="single" w:sz="8" w:space="0" w:color="auto"/>
              <w:bottom w:val="nil"/>
              <w:right w:val="single" w:sz="8" w:space="0" w:color="auto"/>
            </w:tcBorders>
            <w:shd w:val="clear" w:color="auto" w:fill="auto"/>
            <w:vAlign w:val="bottom"/>
          </w:tcPr>
          <w:p w14:paraId="22E9594D" w14:textId="77777777" w:rsidR="007E2F9F" w:rsidRPr="00FC0368" w:rsidRDefault="007E2F9F" w:rsidP="006548F8">
            <w:pPr>
              <w:jc w:val="right"/>
              <w:rPr>
                <w:rFonts w:ascii="Arial" w:hAnsi="Arial" w:cs="Arial"/>
                <w:sz w:val="16"/>
                <w:szCs w:val="16"/>
              </w:rPr>
            </w:pPr>
            <w:r w:rsidRPr="00FC0368">
              <w:rPr>
                <w:rFonts w:ascii="Arial" w:hAnsi="Arial" w:cs="Arial"/>
                <w:sz w:val="16"/>
                <w:szCs w:val="16"/>
              </w:rPr>
              <w:t xml:space="preserve">163.957 </w:t>
            </w:r>
          </w:p>
        </w:tc>
      </w:tr>
      <w:tr w:rsidR="007E2F9F" w:rsidRPr="001250D0" w14:paraId="42E60D99" w14:textId="77777777" w:rsidTr="00DE218D">
        <w:trPr>
          <w:jc w:val="center"/>
        </w:trPr>
        <w:tc>
          <w:tcPr>
            <w:tcW w:w="8794" w:type="dxa"/>
          </w:tcPr>
          <w:p w14:paraId="248F8450" w14:textId="77777777" w:rsidR="007E2F9F" w:rsidRPr="001250D0" w:rsidRDefault="007E2F9F" w:rsidP="006548F8">
            <w:pPr>
              <w:tabs>
                <w:tab w:val="left" w:pos="875"/>
              </w:tabs>
              <w:ind w:right="157"/>
              <w:jc w:val="both"/>
              <w:rPr>
                <w:rFonts w:ascii="Arial" w:hAnsi="Arial" w:cs="Arial"/>
                <w:sz w:val="18"/>
                <w:szCs w:val="18"/>
              </w:rPr>
            </w:pPr>
            <w:r w:rsidRPr="001250D0">
              <w:rPr>
                <w:rFonts w:ascii="Arial" w:hAnsi="Arial" w:cs="Arial"/>
                <w:b/>
                <w:lang w:val="es-ES_tradnl"/>
              </w:rPr>
              <w:t>TOTAL REZAGO PRESUPUESTAL CONSTITUIDO A 31 DE DICIEMBRE DE 202</w:t>
            </w:r>
            <w:r>
              <w:rPr>
                <w:rFonts w:ascii="Arial" w:hAnsi="Arial" w:cs="Arial"/>
                <w:b/>
                <w:lang w:val="es-ES_tradnl"/>
              </w:rPr>
              <w:t>4</w:t>
            </w:r>
          </w:p>
        </w:tc>
        <w:tc>
          <w:tcPr>
            <w:tcW w:w="1554" w:type="dxa"/>
            <w:tcBorders>
              <w:top w:val="single" w:sz="8" w:space="0" w:color="auto"/>
              <w:left w:val="single" w:sz="8" w:space="0" w:color="auto"/>
              <w:bottom w:val="single" w:sz="8" w:space="0" w:color="auto"/>
              <w:right w:val="single" w:sz="8" w:space="0" w:color="auto"/>
            </w:tcBorders>
            <w:shd w:val="clear" w:color="auto" w:fill="auto"/>
            <w:vAlign w:val="bottom"/>
          </w:tcPr>
          <w:p w14:paraId="30D3A823" w14:textId="77777777" w:rsidR="007E2F9F" w:rsidRPr="005B1FC5" w:rsidRDefault="007E2F9F" w:rsidP="006548F8">
            <w:pPr>
              <w:jc w:val="right"/>
              <w:rPr>
                <w:rFonts w:ascii="Arial" w:hAnsi="Arial" w:cs="Arial"/>
                <w:b/>
                <w:bCs/>
                <w:color w:val="000000"/>
                <w:sz w:val="16"/>
                <w:szCs w:val="16"/>
                <w:u w:val="single"/>
              </w:rPr>
            </w:pPr>
            <w:r w:rsidRPr="005B1FC5">
              <w:rPr>
                <w:rFonts w:ascii="Arial" w:hAnsi="Arial" w:cs="Arial"/>
                <w:b/>
                <w:bCs/>
                <w:color w:val="000000"/>
                <w:sz w:val="16"/>
                <w:szCs w:val="16"/>
                <w:u w:val="single"/>
              </w:rPr>
              <w:t xml:space="preserve">20.574.357 </w:t>
            </w:r>
          </w:p>
        </w:tc>
      </w:tr>
    </w:tbl>
    <w:p w14:paraId="7C0BC2AC" w14:textId="77777777" w:rsidR="00941342" w:rsidRDefault="00941342" w:rsidP="008E2438">
      <w:pPr>
        <w:ind w:left="-284"/>
        <w:jc w:val="both"/>
        <w:rPr>
          <w:rFonts w:ascii="Arial" w:hAnsi="Arial" w:cs="Arial"/>
          <w:b/>
          <w:sz w:val="28"/>
          <w:szCs w:val="28"/>
          <w:lang w:val="es-MX"/>
        </w:rPr>
      </w:pPr>
    </w:p>
    <w:p w14:paraId="56E84C07" w14:textId="6781DD18" w:rsidR="007E2F9F" w:rsidRDefault="007E2F9F" w:rsidP="008E2438">
      <w:pPr>
        <w:ind w:left="-284"/>
        <w:jc w:val="both"/>
        <w:rPr>
          <w:rFonts w:ascii="Arial" w:hAnsi="Arial" w:cs="Arial"/>
          <w:b/>
          <w:sz w:val="28"/>
          <w:szCs w:val="28"/>
        </w:rPr>
      </w:pPr>
      <w:r w:rsidRPr="00322FF9">
        <w:rPr>
          <w:rFonts w:ascii="Arial" w:hAnsi="Arial" w:cs="Arial"/>
          <w:b/>
          <w:sz w:val="28"/>
          <w:szCs w:val="28"/>
          <w:lang w:val="es-MX"/>
        </w:rPr>
        <w:t xml:space="preserve">64.- </w:t>
      </w:r>
      <w:r w:rsidRPr="00322FF9">
        <w:rPr>
          <w:rFonts w:ascii="Arial" w:hAnsi="Arial" w:cs="Arial"/>
          <w:b/>
          <w:sz w:val="28"/>
          <w:szCs w:val="28"/>
        </w:rPr>
        <w:t>AGENCIA PRESIDENCIAL DE COOPERACIÓN INTERNACIONAL DE COLOMBIA APC - COLOMBIA.</w:t>
      </w:r>
    </w:p>
    <w:p w14:paraId="28B98B13" w14:textId="77777777" w:rsidR="007E2F9F" w:rsidRPr="00322FF9" w:rsidRDefault="007E2F9F" w:rsidP="007E2F9F">
      <w:pPr>
        <w:ind w:left="-142" w:right="-93"/>
        <w:jc w:val="both"/>
        <w:rPr>
          <w:rFonts w:ascii="Arial" w:hAnsi="Arial" w:cs="Arial"/>
          <w:b/>
          <w:sz w:val="28"/>
          <w:szCs w:val="28"/>
        </w:rPr>
      </w:pPr>
    </w:p>
    <w:tbl>
      <w:tblPr>
        <w:tblStyle w:val="Tablaconcuadrcula"/>
        <w:tblW w:w="10349" w:type="dxa"/>
        <w:tblInd w:w="-289" w:type="dxa"/>
        <w:tblLook w:val="04A0" w:firstRow="1" w:lastRow="0" w:firstColumn="1" w:lastColumn="0" w:noHBand="0" w:noVBand="1"/>
      </w:tblPr>
      <w:tblGrid>
        <w:gridCol w:w="8789"/>
        <w:gridCol w:w="1560"/>
      </w:tblGrid>
      <w:tr w:rsidR="007E2F9F" w:rsidRPr="000E3EA2" w14:paraId="1D03AF1D" w14:textId="77777777" w:rsidTr="00DE218D">
        <w:tc>
          <w:tcPr>
            <w:tcW w:w="8789" w:type="dxa"/>
          </w:tcPr>
          <w:p w14:paraId="71192C45" w14:textId="77777777" w:rsidR="007E2F9F" w:rsidRPr="000E3EA2" w:rsidRDefault="007E2F9F" w:rsidP="006548F8">
            <w:pPr>
              <w:tabs>
                <w:tab w:val="left" w:pos="875"/>
              </w:tabs>
              <w:ind w:right="157"/>
              <w:rPr>
                <w:rFonts w:ascii="Arial" w:hAnsi="Arial" w:cs="Arial"/>
                <w:sz w:val="18"/>
                <w:szCs w:val="18"/>
              </w:rPr>
            </w:pPr>
            <w:r w:rsidRPr="000E3EA2">
              <w:rPr>
                <w:rFonts w:ascii="Arial" w:hAnsi="Arial" w:cs="Arial"/>
                <w:lang w:val="es-ES_tradnl"/>
              </w:rPr>
              <w:t>Reservas presupuestales constituidas a 31 de diciembre de 2024</w:t>
            </w:r>
          </w:p>
        </w:tc>
        <w:tc>
          <w:tcPr>
            <w:tcW w:w="1560" w:type="dxa"/>
          </w:tcPr>
          <w:p w14:paraId="6DC44122" w14:textId="77777777" w:rsidR="007E2F9F" w:rsidRPr="000E3EA2" w:rsidRDefault="007E2F9F" w:rsidP="006548F8">
            <w:pPr>
              <w:tabs>
                <w:tab w:val="left" w:pos="875"/>
              </w:tabs>
              <w:jc w:val="right"/>
              <w:rPr>
                <w:rFonts w:ascii="Arial" w:hAnsi="Arial" w:cs="Arial"/>
                <w:sz w:val="18"/>
                <w:szCs w:val="18"/>
              </w:rPr>
            </w:pPr>
            <w:r w:rsidRPr="000E3EA2">
              <w:rPr>
                <w:rFonts w:ascii="Arial" w:hAnsi="Arial" w:cs="Arial"/>
                <w:sz w:val="18"/>
                <w:szCs w:val="18"/>
              </w:rPr>
              <w:t>884.706,57</w:t>
            </w:r>
          </w:p>
        </w:tc>
      </w:tr>
      <w:tr w:rsidR="007E2F9F" w:rsidRPr="000E3EA2" w14:paraId="6BC42FD3" w14:textId="77777777" w:rsidTr="00DE218D">
        <w:tc>
          <w:tcPr>
            <w:tcW w:w="8789" w:type="dxa"/>
          </w:tcPr>
          <w:p w14:paraId="3161A575" w14:textId="77777777" w:rsidR="007E2F9F" w:rsidRPr="000E3EA2" w:rsidRDefault="007E2F9F" w:rsidP="006548F8">
            <w:pPr>
              <w:tabs>
                <w:tab w:val="left" w:pos="875"/>
              </w:tabs>
              <w:ind w:right="157"/>
              <w:rPr>
                <w:rFonts w:ascii="Arial" w:hAnsi="Arial" w:cs="Arial"/>
                <w:sz w:val="18"/>
                <w:szCs w:val="18"/>
              </w:rPr>
            </w:pPr>
            <w:r w:rsidRPr="000E3EA2">
              <w:rPr>
                <w:rFonts w:ascii="Arial" w:hAnsi="Arial" w:cs="Arial"/>
                <w:lang w:val="es-ES_tradnl"/>
              </w:rPr>
              <w:t>Cuentas por pagar constituidas a 31 de diciembre de 2024</w:t>
            </w:r>
          </w:p>
        </w:tc>
        <w:tc>
          <w:tcPr>
            <w:tcW w:w="1560" w:type="dxa"/>
          </w:tcPr>
          <w:p w14:paraId="0A153CA5" w14:textId="77777777" w:rsidR="007E2F9F" w:rsidRPr="000E3EA2" w:rsidRDefault="007E2F9F" w:rsidP="006548F8">
            <w:pPr>
              <w:tabs>
                <w:tab w:val="left" w:pos="875"/>
              </w:tabs>
              <w:jc w:val="right"/>
              <w:rPr>
                <w:rFonts w:ascii="Arial" w:hAnsi="Arial" w:cs="Arial"/>
                <w:sz w:val="18"/>
                <w:szCs w:val="18"/>
              </w:rPr>
            </w:pPr>
            <w:r w:rsidRPr="000E3EA2">
              <w:rPr>
                <w:rFonts w:ascii="Arial" w:hAnsi="Arial" w:cs="Arial"/>
                <w:sz w:val="18"/>
                <w:szCs w:val="18"/>
              </w:rPr>
              <w:t>29.456,10</w:t>
            </w:r>
          </w:p>
        </w:tc>
      </w:tr>
      <w:tr w:rsidR="007E2F9F" w:rsidRPr="000E3EA2" w14:paraId="6EEC987A" w14:textId="77777777" w:rsidTr="00DE218D">
        <w:tc>
          <w:tcPr>
            <w:tcW w:w="8789" w:type="dxa"/>
          </w:tcPr>
          <w:p w14:paraId="606BA018" w14:textId="77777777" w:rsidR="007E2F9F" w:rsidRPr="000E3EA2" w:rsidRDefault="007E2F9F" w:rsidP="006548F8">
            <w:pPr>
              <w:tabs>
                <w:tab w:val="left" w:pos="875"/>
              </w:tabs>
              <w:ind w:right="157"/>
              <w:rPr>
                <w:rFonts w:ascii="Arial" w:hAnsi="Arial" w:cs="Arial"/>
                <w:sz w:val="18"/>
                <w:szCs w:val="18"/>
              </w:rPr>
            </w:pPr>
            <w:r w:rsidRPr="000E3EA2">
              <w:rPr>
                <w:rFonts w:ascii="Arial" w:hAnsi="Arial" w:cs="Arial"/>
                <w:b/>
                <w:lang w:val="es-ES_tradnl"/>
              </w:rPr>
              <w:t>TOTAL REZAGO PRESUPUESTAL CONSTITUIDO A 31 DE DICIEMBRE DE 2024</w:t>
            </w:r>
          </w:p>
        </w:tc>
        <w:tc>
          <w:tcPr>
            <w:tcW w:w="1560" w:type="dxa"/>
          </w:tcPr>
          <w:p w14:paraId="1BE9AF08" w14:textId="77777777" w:rsidR="007E2F9F" w:rsidRPr="000E3EA2" w:rsidRDefault="007E2F9F" w:rsidP="006548F8">
            <w:pPr>
              <w:tabs>
                <w:tab w:val="left" w:pos="875"/>
              </w:tabs>
              <w:jc w:val="right"/>
              <w:rPr>
                <w:rFonts w:ascii="Arial" w:hAnsi="Arial" w:cs="Arial"/>
                <w:b/>
                <w:sz w:val="18"/>
                <w:szCs w:val="18"/>
                <w:u w:val="single"/>
              </w:rPr>
            </w:pPr>
            <w:r w:rsidRPr="000E3EA2">
              <w:rPr>
                <w:rFonts w:ascii="Arial" w:hAnsi="Arial" w:cs="Arial"/>
                <w:b/>
                <w:sz w:val="18"/>
                <w:szCs w:val="18"/>
                <w:u w:val="single"/>
              </w:rPr>
              <w:t>914.162,67</w:t>
            </w:r>
          </w:p>
        </w:tc>
      </w:tr>
    </w:tbl>
    <w:p w14:paraId="05A2609B" w14:textId="77777777" w:rsidR="007E2F9F" w:rsidRDefault="007E2F9F" w:rsidP="007E2F9F">
      <w:pPr>
        <w:tabs>
          <w:tab w:val="left" w:pos="875"/>
        </w:tabs>
        <w:ind w:left="-142" w:right="-93"/>
        <w:jc w:val="both"/>
        <w:rPr>
          <w:rFonts w:ascii="Arial" w:hAnsi="Arial" w:cs="Arial"/>
        </w:rPr>
      </w:pPr>
    </w:p>
    <w:p w14:paraId="4160DD85" w14:textId="77777777" w:rsidR="007E2F9F" w:rsidRPr="00D30A94" w:rsidRDefault="007E2F9F" w:rsidP="00DE218D">
      <w:pPr>
        <w:ind w:left="-284"/>
        <w:jc w:val="both"/>
        <w:rPr>
          <w:rFonts w:ascii="Arial" w:hAnsi="Arial" w:cs="Arial"/>
          <w:b/>
          <w:sz w:val="28"/>
          <w:szCs w:val="28"/>
          <w:lang w:val="es-MX"/>
        </w:rPr>
      </w:pPr>
      <w:r w:rsidRPr="00D30A94">
        <w:rPr>
          <w:rFonts w:ascii="Arial" w:hAnsi="Arial" w:cs="Arial"/>
          <w:b/>
          <w:sz w:val="28"/>
          <w:szCs w:val="28"/>
          <w:lang w:val="es-MX"/>
        </w:rPr>
        <w:t>65.- RAMA JUDICIAL - CONSEJO SUPERIOR DE LA JUDICATURA.</w:t>
      </w:r>
    </w:p>
    <w:p w14:paraId="3C1F0E89" w14:textId="77777777" w:rsidR="007E2F9F" w:rsidRDefault="007E2F9F" w:rsidP="007E2F9F">
      <w:pPr>
        <w:tabs>
          <w:tab w:val="left" w:pos="875"/>
        </w:tabs>
        <w:ind w:left="-142" w:right="-93"/>
        <w:jc w:val="both"/>
        <w:rPr>
          <w:rFonts w:ascii="Arial" w:hAnsi="Arial" w:cs="Arial"/>
        </w:rPr>
      </w:pPr>
    </w:p>
    <w:tbl>
      <w:tblPr>
        <w:tblStyle w:val="Tablaconcuadrcula"/>
        <w:tblW w:w="10349" w:type="dxa"/>
        <w:tblInd w:w="-289" w:type="dxa"/>
        <w:tblLook w:val="04A0" w:firstRow="1" w:lastRow="0" w:firstColumn="1" w:lastColumn="0" w:noHBand="0" w:noVBand="1"/>
      </w:tblPr>
      <w:tblGrid>
        <w:gridCol w:w="8364"/>
        <w:gridCol w:w="1985"/>
      </w:tblGrid>
      <w:tr w:rsidR="007E2F9F" w:rsidRPr="00D30A94" w14:paraId="58B8DA49" w14:textId="77777777" w:rsidTr="00DE218D">
        <w:tc>
          <w:tcPr>
            <w:tcW w:w="8364" w:type="dxa"/>
          </w:tcPr>
          <w:p w14:paraId="0E7D61BC" w14:textId="77777777" w:rsidR="007E2F9F" w:rsidRPr="00D30A94" w:rsidRDefault="007E2F9F" w:rsidP="006548F8">
            <w:pPr>
              <w:tabs>
                <w:tab w:val="left" w:pos="875"/>
              </w:tabs>
              <w:ind w:right="157"/>
              <w:rPr>
                <w:rFonts w:ascii="Arial" w:hAnsi="Arial" w:cs="Arial"/>
                <w:sz w:val="18"/>
                <w:szCs w:val="18"/>
              </w:rPr>
            </w:pPr>
            <w:r w:rsidRPr="00D30A94">
              <w:rPr>
                <w:rFonts w:ascii="Arial" w:hAnsi="Arial" w:cs="Arial"/>
                <w:lang w:val="es-ES_tradnl"/>
              </w:rPr>
              <w:t>Reservas presupuestales constituidas a 31 de diciembre de 2024</w:t>
            </w:r>
          </w:p>
        </w:tc>
        <w:tc>
          <w:tcPr>
            <w:tcW w:w="1985" w:type="dxa"/>
          </w:tcPr>
          <w:p w14:paraId="7B1B131B" w14:textId="77777777" w:rsidR="007E2F9F" w:rsidRPr="00D30A94" w:rsidRDefault="007E2F9F" w:rsidP="006548F8">
            <w:pPr>
              <w:tabs>
                <w:tab w:val="left" w:pos="875"/>
              </w:tabs>
              <w:jc w:val="right"/>
              <w:rPr>
                <w:rFonts w:ascii="Arial" w:hAnsi="Arial" w:cs="Arial"/>
              </w:rPr>
            </w:pPr>
            <w:r w:rsidRPr="00D30A94">
              <w:rPr>
                <w:rFonts w:ascii="Arial" w:hAnsi="Arial" w:cs="Arial"/>
              </w:rPr>
              <w:t>1.106.778.959,88</w:t>
            </w:r>
          </w:p>
        </w:tc>
      </w:tr>
      <w:tr w:rsidR="007E2F9F" w:rsidRPr="00D30A94" w14:paraId="2D0459A3" w14:textId="77777777" w:rsidTr="00DE218D">
        <w:tc>
          <w:tcPr>
            <w:tcW w:w="8364" w:type="dxa"/>
          </w:tcPr>
          <w:p w14:paraId="469AF684" w14:textId="77777777" w:rsidR="007E2F9F" w:rsidRPr="00D30A94" w:rsidRDefault="007E2F9F" w:rsidP="006548F8">
            <w:pPr>
              <w:tabs>
                <w:tab w:val="left" w:pos="875"/>
              </w:tabs>
              <w:ind w:right="157"/>
              <w:rPr>
                <w:rFonts w:ascii="Arial" w:hAnsi="Arial" w:cs="Arial"/>
                <w:sz w:val="18"/>
                <w:szCs w:val="18"/>
              </w:rPr>
            </w:pPr>
            <w:r w:rsidRPr="00D30A94">
              <w:rPr>
                <w:rFonts w:ascii="Arial" w:hAnsi="Arial" w:cs="Arial"/>
                <w:lang w:val="es-ES_tradnl"/>
              </w:rPr>
              <w:t>Cuentas por pagar constituidas a 31 de diciembre de 2024</w:t>
            </w:r>
          </w:p>
        </w:tc>
        <w:tc>
          <w:tcPr>
            <w:tcW w:w="1985" w:type="dxa"/>
          </w:tcPr>
          <w:p w14:paraId="41EFF12E" w14:textId="77777777" w:rsidR="007E2F9F" w:rsidRPr="00D30A94" w:rsidRDefault="007E2F9F" w:rsidP="006548F8">
            <w:pPr>
              <w:tabs>
                <w:tab w:val="left" w:pos="875"/>
              </w:tabs>
              <w:jc w:val="right"/>
              <w:rPr>
                <w:rFonts w:ascii="Arial" w:hAnsi="Arial" w:cs="Arial"/>
              </w:rPr>
            </w:pPr>
            <w:r w:rsidRPr="00D30A94">
              <w:rPr>
                <w:rFonts w:ascii="Arial" w:hAnsi="Arial" w:cs="Arial"/>
              </w:rPr>
              <w:t>24.670.153,77</w:t>
            </w:r>
          </w:p>
        </w:tc>
      </w:tr>
      <w:tr w:rsidR="007E2F9F" w:rsidRPr="00D30A94" w14:paraId="5F8AC379" w14:textId="77777777" w:rsidTr="00DE218D">
        <w:tc>
          <w:tcPr>
            <w:tcW w:w="8364" w:type="dxa"/>
          </w:tcPr>
          <w:p w14:paraId="1AEF9995" w14:textId="77777777" w:rsidR="007E2F9F" w:rsidRPr="00D30A94" w:rsidRDefault="007E2F9F" w:rsidP="006548F8">
            <w:pPr>
              <w:tabs>
                <w:tab w:val="left" w:pos="875"/>
              </w:tabs>
              <w:ind w:right="157"/>
              <w:rPr>
                <w:rFonts w:ascii="Arial" w:hAnsi="Arial" w:cs="Arial"/>
                <w:sz w:val="18"/>
                <w:szCs w:val="18"/>
              </w:rPr>
            </w:pPr>
            <w:r w:rsidRPr="00D30A94">
              <w:rPr>
                <w:rFonts w:ascii="Arial" w:hAnsi="Arial" w:cs="Arial"/>
                <w:b/>
                <w:lang w:val="es-ES_tradnl"/>
              </w:rPr>
              <w:t>TOTAL REZAGO PRESUPUESTAL CONSTITUIDO A 31 DE DICIEMBRE DE 2024</w:t>
            </w:r>
          </w:p>
        </w:tc>
        <w:tc>
          <w:tcPr>
            <w:tcW w:w="1985" w:type="dxa"/>
          </w:tcPr>
          <w:p w14:paraId="74E3BB06" w14:textId="77777777" w:rsidR="007E2F9F" w:rsidRPr="00D30A94" w:rsidRDefault="007E2F9F" w:rsidP="006548F8">
            <w:pPr>
              <w:tabs>
                <w:tab w:val="left" w:pos="875"/>
              </w:tabs>
              <w:jc w:val="right"/>
              <w:rPr>
                <w:rFonts w:ascii="Arial" w:hAnsi="Arial" w:cs="Arial"/>
                <w:b/>
                <w:u w:val="single"/>
              </w:rPr>
            </w:pPr>
            <w:r w:rsidRPr="00D30A94">
              <w:rPr>
                <w:rFonts w:ascii="Arial" w:hAnsi="Arial" w:cs="Arial"/>
                <w:b/>
              </w:rPr>
              <w:t>1.131.449.113,64</w:t>
            </w:r>
          </w:p>
        </w:tc>
      </w:tr>
    </w:tbl>
    <w:p w14:paraId="6979E12E" w14:textId="77777777" w:rsidR="007E2F9F" w:rsidRDefault="007E2F9F" w:rsidP="007E2F9F">
      <w:pPr>
        <w:tabs>
          <w:tab w:val="left" w:pos="875"/>
        </w:tabs>
        <w:ind w:left="-142" w:right="-93"/>
        <w:jc w:val="both"/>
        <w:rPr>
          <w:rFonts w:ascii="Arial" w:hAnsi="Arial" w:cs="Arial"/>
        </w:rPr>
      </w:pPr>
    </w:p>
    <w:p w14:paraId="03C094F4" w14:textId="77777777" w:rsidR="007E2F9F" w:rsidRPr="007E4447" w:rsidRDefault="007E2F9F" w:rsidP="00936E33">
      <w:pPr>
        <w:ind w:left="-142" w:hanging="142"/>
        <w:jc w:val="both"/>
        <w:rPr>
          <w:rFonts w:ascii="Arial" w:hAnsi="Arial" w:cs="Arial"/>
          <w:b/>
          <w:sz w:val="28"/>
          <w:szCs w:val="28"/>
          <w:lang w:val="es-MX"/>
        </w:rPr>
      </w:pPr>
      <w:r w:rsidRPr="007E4447">
        <w:rPr>
          <w:rFonts w:ascii="Arial" w:hAnsi="Arial" w:cs="Arial"/>
          <w:b/>
          <w:sz w:val="28"/>
          <w:szCs w:val="28"/>
          <w:lang w:val="es-MX"/>
        </w:rPr>
        <w:t>67.- CONSEJO NACIONAL ELECTORAL - CNE.</w:t>
      </w:r>
    </w:p>
    <w:p w14:paraId="0E1F160E" w14:textId="77777777" w:rsidR="007E2F9F" w:rsidRDefault="007E2F9F" w:rsidP="00936E33">
      <w:pPr>
        <w:tabs>
          <w:tab w:val="left" w:pos="875"/>
        </w:tabs>
        <w:ind w:left="-142" w:right="-93" w:hanging="142"/>
        <w:jc w:val="both"/>
        <w:rPr>
          <w:rFonts w:ascii="Arial" w:hAnsi="Arial" w:cs="Arial"/>
        </w:rPr>
      </w:pPr>
    </w:p>
    <w:tbl>
      <w:tblPr>
        <w:tblStyle w:val="Tablaconcuadrcula"/>
        <w:tblW w:w="10349" w:type="dxa"/>
        <w:tblInd w:w="-289" w:type="dxa"/>
        <w:tblLook w:val="04A0" w:firstRow="1" w:lastRow="0" w:firstColumn="1" w:lastColumn="0" w:noHBand="0" w:noVBand="1"/>
      </w:tblPr>
      <w:tblGrid>
        <w:gridCol w:w="8364"/>
        <w:gridCol w:w="1985"/>
      </w:tblGrid>
      <w:tr w:rsidR="007E2F9F" w:rsidRPr="00A90579" w14:paraId="594C19E6" w14:textId="77777777" w:rsidTr="00936E33">
        <w:tc>
          <w:tcPr>
            <w:tcW w:w="8364" w:type="dxa"/>
          </w:tcPr>
          <w:p w14:paraId="599DE084" w14:textId="77777777" w:rsidR="007E2F9F" w:rsidRPr="00A90579" w:rsidRDefault="007E2F9F" w:rsidP="00936E33">
            <w:pPr>
              <w:tabs>
                <w:tab w:val="left" w:pos="875"/>
              </w:tabs>
              <w:ind w:right="157"/>
              <w:rPr>
                <w:rFonts w:ascii="Arial" w:hAnsi="Arial" w:cs="Arial"/>
              </w:rPr>
            </w:pPr>
            <w:r w:rsidRPr="00A90579">
              <w:rPr>
                <w:rFonts w:ascii="Arial" w:hAnsi="Arial" w:cs="Arial"/>
                <w:lang w:val="es-ES_tradnl"/>
              </w:rPr>
              <w:t>Reservas presupuestales constituidas a 31 de diciembre de 2024</w:t>
            </w:r>
          </w:p>
        </w:tc>
        <w:tc>
          <w:tcPr>
            <w:tcW w:w="1985" w:type="dxa"/>
          </w:tcPr>
          <w:p w14:paraId="18BB0218" w14:textId="77777777" w:rsidR="007E2F9F" w:rsidRPr="00A90579" w:rsidRDefault="007E2F9F" w:rsidP="00936E33">
            <w:pPr>
              <w:tabs>
                <w:tab w:val="left" w:pos="875"/>
              </w:tabs>
              <w:ind w:hanging="142"/>
              <w:jc w:val="right"/>
              <w:rPr>
                <w:rFonts w:ascii="Arial" w:hAnsi="Arial" w:cs="Arial"/>
              </w:rPr>
            </w:pPr>
            <w:r w:rsidRPr="00A90579">
              <w:rPr>
                <w:rFonts w:ascii="Arial" w:hAnsi="Arial" w:cs="Arial"/>
              </w:rPr>
              <w:t>34.673.350</w:t>
            </w:r>
          </w:p>
        </w:tc>
      </w:tr>
      <w:tr w:rsidR="007E2F9F" w:rsidRPr="00A90579" w14:paraId="501CCFE7" w14:textId="77777777" w:rsidTr="00936E33">
        <w:tc>
          <w:tcPr>
            <w:tcW w:w="8364" w:type="dxa"/>
          </w:tcPr>
          <w:p w14:paraId="578A7BD2" w14:textId="77777777" w:rsidR="007E2F9F" w:rsidRPr="00A90579" w:rsidRDefault="007E2F9F" w:rsidP="00936E33">
            <w:pPr>
              <w:tabs>
                <w:tab w:val="left" w:pos="875"/>
              </w:tabs>
              <w:ind w:right="157"/>
              <w:rPr>
                <w:rFonts w:ascii="Arial" w:hAnsi="Arial" w:cs="Arial"/>
              </w:rPr>
            </w:pPr>
            <w:r w:rsidRPr="00A90579">
              <w:rPr>
                <w:rFonts w:ascii="Arial" w:hAnsi="Arial" w:cs="Arial"/>
                <w:lang w:val="es-ES_tradnl"/>
              </w:rPr>
              <w:t>Cuentas por pagar constituidas a 31 de diciembre de 2024</w:t>
            </w:r>
          </w:p>
        </w:tc>
        <w:tc>
          <w:tcPr>
            <w:tcW w:w="1985" w:type="dxa"/>
          </w:tcPr>
          <w:p w14:paraId="76BD1D5F" w14:textId="77777777" w:rsidR="007E2F9F" w:rsidRPr="00A90579" w:rsidRDefault="007E2F9F" w:rsidP="00936E33">
            <w:pPr>
              <w:tabs>
                <w:tab w:val="left" w:pos="875"/>
              </w:tabs>
              <w:ind w:hanging="142"/>
              <w:jc w:val="right"/>
              <w:rPr>
                <w:rFonts w:ascii="Arial" w:hAnsi="Arial" w:cs="Arial"/>
              </w:rPr>
            </w:pPr>
            <w:r w:rsidRPr="00A90579">
              <w:rPr>
                <w:rFonts w:ascii="Arial" w:hAnsi="Arial" w:cs="Arial"/>
              </w:rPr>
              <w:t>40.461</w:t>
            </w:r>
          </w:p>
        </w:tc>
      </w:tr>
      <w:tr w:rsidR="007E2F9F" w:rsidRPr="00A90579" w14:paraId="19DA15CB" w14:textId="77777777" w:rsidTr="00936E33">
        <w:tc>
          <w:tcPr>
            <w:tcW w:w="8364" w:type="dxa"/>
          </w:tcPr>
          <w:p w14:paraId="7C60BDA3" w14:textId="77777777" w:rsidR="007E2F9F" w:rsidRPr="00A90579" w:rsidRDefault="007E2F9F" w:rsidP="00936E33">
            <w:pPr>
              <w:tabs>
                <w:tab w:val="left" w:pos="875"/>
              </w:tabs>
              <w:ind w:right="157"/>
              <w:rPr>
                <w:rFonts w:ascii="Arial" w:hAnsi="Arial" w:cs="Arial"/>
              </w:rPr>
            </w:pPr>
            <w:r w:rsidRPr="00A90579">
              <w:rPr>
                <w:rFonts w:ascii="Arial" w:hAnsi="Arial" w:cs="Arial"/>
                <w:b/>
                <w:lang w:val="es-ES_tradnl"/>
              </w:rPr>
              <w:t>TOTAL REZAGO PRESUPUESTAL CONSTITUIDO A 31 DE DICIEMBRE DE 2024</w:t>
            </w:r>
          </w:p>
        </w:tc>
        <w:tc>
          <w:tcPr>
            <w:tcW w:w="1985" w:type="dxa"/>
          </w:tcPr>
          <w:p w14:paraId="2658058F" w14:textId="77777777" w:rsidR="007E2F9F" w:rsidRPr="00A90579" w:rsidRDefault="007E2F9F" w:rsidP="00936E33">
            <w:pPr>
              <w:tabs>
                <w:tab w:val="left" w:pos="875"/>
              </w:tabs>
              <w:ind w:hanging="142"/>
              <w:jc w:val="right"/>
              <w:rPr>
                <w:rFonts w:ascii="Arial" w:hAnsi="Arial" w:cs="Arial"/>
                <w:b/>
                <w:u w:val="single"/>
              </w:rPr>
            </w:pPr>
            <w:r w:rsidRPr="00A90579">
              <w:rPr>
                <w:rFonts w:ascii="Arial" w:hAnsi="Arial" w:cs="Arial"/>
                <w:b/>
                <w:u w:val="single"/>
              </w:rPr>
              <w:t>34.713.811</w:t>
            </w:r>
          </w:p>
        </w:tc>
      </w:tr>
    </w:tbl>
    <w:p w14:paraId="5E82D43A" w14:textId="77777777" w:rsidR="007E2F9F" w:rsidRDefault="007E2F9F" w:rsidP="00936E33">
      <w:pPr>
        <w:tabs>
          <w:tab w:val="left" w:pos="875"/>
        </w:tabs>
        <w:ind w:left="-142" w:right="-93" w:hanging="142"/>
        <w:jc w:val="both"/>
        <w:rPr>
          <w:rFonts w:ascii="Arial" w:hAnsi="Arial" w:cs="Arial"/>
        </w:rPr>
      </w:pPr>
    </w:p>
    <w:p w14:paraId="5C1499D9" w14:textId="77777777" w:rsidR="007E2F9F" w:rsidRPr="00C911EA" w:rsidRDefault="007E2F9F" w:rsidP="00936E33">
      <w:pPr>
        <w:ind w:left="-142" w:hanging="142"/>
        <w:jc w:val="both"/>
        <w:rPr>
          <w:rFonts w:ascii="Arial" w:hAnsi="Arial" w:cs="Arial"/>
          <w:b/>
          <w:sz w:val="28"/>
          <w:szCs w:val="28"/>
          <w:lang w:val="es-MX"/>
        </w:rPr>
      </w:pPr>
      <w:r w:rsidRPr="00C911EA">
        <w:rPr>
          <w:rFonts w:ascii="Arial" w:hAnsi="Arial" w:cs="Arial"/>
          <w:b/>
          <w:sz w:val="28"/>
          <w:szCs w:val="28"/>
          <w:lang w:val="es-MX"/>
        </w:rPr>
        <w:t xml:space="preserve">68.- PROCURADURÍA GENERAL DE LA NACIÓN. </w:t>
      </w:r>
    </w:p>
    <w:p w14:paraId="1D5EFF70" w14:textId="77777777" w:rsidR="007E2F9F" w:rsidRDefault="007E2F9F" w:rsidP="00936E33">
      <w:pPr>
        <w:tabs>
          <w:tab w:val="left" w:pos="875"/>
        </w:tabs>
        <w:ind w:left="-142" w:right="-93" w:hanging="142"/>
        <w:jc w:val="both"/>
        <w:rPr>
          <w:rFonts w:ascii="Arial" w:hAnsi="Arial" w:cs="Arial"/>
        </w:rPr>
      </w:pPr>
    </w:p>
    <w:tbl>
      <w:tblPr>
        <w:tblStyle w:val="Tablaconcuadrcula"/>
        <w:tblW w:w="10349" w:type="dxa"/>
        <w:tblInd w:w="-289" w:type="dxa"/>
        <w:tblLook w:val="04A0" w:firstRow="1" w:lastRow="0" w:firstColumn="1" w:lastColumn="0" w:noHBand="0" w:noVBand="1"/>
      </w:tblPr>
      <w:tblGrid>
        <w:gridCol w:w="8364"/>
        <w:gridCol w:w="1985"/>
      </w:tblGrid>
      <w:tr w:rsidR="007E2F9F" w:rsidRPr="00C9137D" w14:paraId="03F78DCC" w14:textId="77777777" w:rsidTr="00936E33">
        <w:tc>
          <w:tcPr>
            <w:tcW w:w="8364" w:type="dxa"/>
          </w:tcPr>
          <w:p w14:paraId="607A2ADA" w14:textId="77777777" w:rsidR="007E2F9F" w:rsidRPr="00C9137D" w:rsidRDefault="007E2F9F" w:rsidP="00936E33">
            <w:pPr>
              <w:tabs>
                <w:tab w:val="left" w:pos="875"/>
              </w:tabs>
              <w:ind w:right="157"/>
              <w:rPr>
                <w:rFonts w:ascii="Arial" w:hAnsi="Arial" w:cs="Arial"/>
              </w:rPr>
            </w:pPr>
            <w:r w:rsidRPr="00C9137D">
              <w:rPr>
                <w:rFonts w:ascii="Arial" w:hAnsi="Arial" w:cs="Arial"/>
                <w:lang w:val="es-ES_tradnl"/>
              </w:rPr>
              <w:t>Reservas presupuestales constituidas a 31 de diciembre de 2024</w:t>
            </w:r>
          </w:p>
        </w:tc>
        <w:tc>
          <w:tcPr>
            <w:tcW w:w="1985" w:type="dxa"/>
            <w:tcBorders>
              <w:top w:val="single" w:sz="8" w:space="0" w:color="auto"/>
              <w:left w:val="nil"/>
              <w:bottom w:val="nil"/>
              <w:right w:val="single" w:sz="8" w:space="0" w:color="auto"/>
            </w:tcBorders>
            <w:shd w:val="clear" w:color="auto" w:fill="auto"/>
            <w:vAlign w:val="center"/>
          </w:tcPr>
          <w:p w14:paraId="49CACBC1" w14:textId="77777777" w:rsidR="007E2F9F" w:rsidRPr="00C9137D" w:rsidRDefault="007E2F9F" w:rsidP="00936E33">
            <w:pPr>
              <w:tabs>
                <w:tab w:val="left" w:pos="875"/>
              </w:tabs>
              <w:ind w:hanging="142"/>
              <w:jc w:val="right"/>
              <w:rPr>
                <w:rFonts w:ascii="Arial" w:hAnsi="Arial" w:cs="Arial"/>
              </w:rPr>
            </w:pPr>
            <w:r w:rsidRPr="00C9137D">
              <w:rPr>
                <w:rFonts w:ascii="Arial" w:hAnsi="Arial" w:cs="Arial"/>
                <w:color w:val="000000"/>
              </w:rPr>
              <w:t xml:space="preserve">55.878.374 </w:t>
            </w:r>
          </w:p>
        </w:tc>
      </w:tr>
      <w:tr w:rsidR="007E2F9F" w:rsidRPr="00C9137D" w14:paraId="542A6C4B" w14:textId="77777777" w:rsidTr="00936E33">
        <w:tc>
          <w:tcPr>
            <w:tcW w:w="8364" w:type="dxa"/>
          </w:tcPr>
          <w:p w14:paraId="4B07870D" w14:textId="77777777" w:rsidR="007E2F9F" w:rsidRPr="00C9137D" w:rsidRDefault="007E2F9F" w:rsidP="00936E33">
            <w:pPr>
              <w:tabs>
                <w:tab w:val="left" w:pos="875"/>
              </w:tabs>
              <w:ind w:right="157"/>
              <w:rPr>
                <w:rFonts w:ascii="Arial" w:hAnsi="Arial" w:cs="Arial"/>
              </w:rPr>
            </w:pPr>
            <w:r w:rsidRPr="00C9137D">
              <w:rPr>
                <w:rFonts w:ascii="Arial" w:hAnsi="Arial" w:cs="Arial"/>
                <w:lang w:val="es-ES_tradnl"/>
              </w:rPr>
              <w:t>Cuentas por pagar constituidas a 31 de diciembre de 2024</w:t>
            </w:r>
          </w:p>
        </w:tc>
        <w:tc>
          <w:tcPr>
            <w:tcW w:w="1985" w:type="dxa"/>
            <w:tcBorders>
              <w:top w:val="single" w:sz="8" w:space="0" w:color="auto"/>
              <w:left w:val="nil"/>
              <w:bottom w:val="single" w:sz="8" w:space="0" w:color="auto"/>
              <w:right w:val="single" w:sz="8" w:space="0" w:color="auto"/>
            </w:tcBorders>
            <w:shd w:val="clear" w:color="auto" w:fill="auto"/>
            <w:vAlign w:val="center"/>
          </w:tcPr>
          <w:p w14:paraId="7AD4E38C" w14:textId="77777777" w:rsidR="007E2F9F" w:rsidRPr="00C9137D" w:rsidRDefault="007E2F9F" w:rsidP="00936E33">
            <w:pPr>
              <w:tabs>
                <w:tab w:val="left" w:pos="875"/>
              </w:tabs>
              <w:ind w:hanging="142"/>
              <w:jc w:val="right"/>
              <w:rPr>
                <w:rFonts w:ascii="Arial" w:hAnsi="Arial" w:cs="Arial"/>
              </w:rPr>
            </w:pPr>
            <w:r w:rsidRPr="00C9137D">
              <w:rPr>
                <w:rFonts w:ascii="Arial" w:hAnsi="Arial" w:cs="Arial"/>
                <w:color w:val="000000"/>
              </w:rPr>
              <w:t xml:space="preserve">2.381.637 </w:t>
            </w:r>
          </w:p>
        </w:tc>
      </w:tr>
      <w:tr w:rsidR="007E2F9F" w:rsidRPr="00C9137D" w14:paraId="45E6AA3B" w14:textId="77777777" w:rsidTr="00936E33">
        <w:tc>
          <w:tcPr>
            <w:tcW w:w="8364" w:type="dxa"/>
          </w:tcPr>
          <w:p w14:paraId="7A894B97" w14:textId="77777777" w:rsidR="007E2F9F" w:rsidRPr="00C9137D" w:rsidRDefault="007E2F9F" w:rsidP="00936E33">
            <w:pPr>
              <w:tabs>
                <w:tab w:val="left" w:pos="875"/>
              </w:tabs>
              <w:ind w:right="157"/>
              <w:rPr>
                <w:rFonts w:ascii="Arial" w:hAnsi="Arial" w:cs="Arial"/>
              </w:rPr>
            </w:pPr>
            <w:r w:rsidRPr="00C9137D">
              <w:rPr>
                <w:rFonts w:ascii="Arial" w:hAnsi="Arial" w:cs="Arial"/>
                <w:b/>
                <w:lang w:val="es-ES_tradnl"/>
              </w:rPr>
              <w:t>TOTAL REZAGO PRESUPUESTAL CONSTITUIDO A 31 DE DICIEMBRE DE 2024</w:t>
            </w:r>
          </w:p>
        </w:tc>
        <w:tc>
          <w:tcPr>
            <w:tcW w:w="1985" w:type="dxa"/>
            <w:tcBorders>
              <w:top w:val="nil"/>
              <w:left w:val="nil"/>
              <w:bottom w:val="single" w:sz="8" w:space="0" w:color="auto"/>
              <w:right w:val="single" w:sz="8" w:space="0" w:color="auto"/>
            </w:tcBorders>
            <w:shd w:val="clear" w:color="auto" w:fill="auto"/>
            <w:vAlign w:val="center"/>
          </w:tcPr>
          <w:p w14:paraId="0025D19A" w14:textId="77777777" w:rsidR="007E2F9F" w:rsidRPr="00C9137D" w:rsidRDefault="007E2F9F" w:rsidP="00936E33">
            <w:pPr>
              <w:tabs>
                <w:tab w:val="left" w:pos="875"/>
              </w:tabs>
              <w:ind w:hanging="142"/>
              <w:jc w:val="right"/>
              <w:rPr>
                <w:rFonts w:ascii="Arial" w:hAnsi="Arial" w:cs="Arial"/>
                <w:b/>
                <w:u w:val="single"/>
              </w:rPr>
            </w:pPr>
            <w:r w:rsidRPr="00C9137D">
              <w:rPr>
                <w:rFonts w:ascii="Arial" w:hAnsi="Arial" w:cs="Arial"/>
                <w:b/>
                <w:bCs/>
                <w:color w:val="000000"/>
                <w:u w:val="single"/>
              </w:rPr>
              <w:t xml:space="preserve">58.260.011 </w:t>
            </w:r>
          </w:p>
        </w:tc>
      </w:tr>
    </w:tbl>
    <w:p w14:paraId="3D1D767F" w14:textId="77777777" w:rsidR="007E2F9F" w:rsidRDefault="007E2F9F" w:rsidP="00936E33">
      <w:pPr>
        <w:tabs>
          <w:tab w:val="left" w:pos="875"/>
        </w:tabs>
        <w:ind w:left="-142" w:right="-93" w:hanging="142"/>
        <w:jc w:val="both"/>
        <w:rPr>
          <w:rFonts w:ascii="Arial" w:hAnsi="Arial" w:cs="Arial"/>
        </w:rPr>
      </w:pPr>
    </w:p>
    <w:p w14:paraId="2E57BEEE" w14:textId="77777777" w:rsidR="007E2F9F" w:rsidRPr="004676E1" w:rsidRDefault="007E2F9F" w:rsidP="00936E33">
      <w:pPr>
        <w:ind w:left="-142" w:hanging="142"/>
        <w:jc w:val="both"/>
        <w:rPr>
          <w:rFonts w:ascii="Arial" w:hAnsi="Arial" w:cs="Arial"/>
          <w:b/>
          <w:sz w:val="28"/>
          <w:szCs w:val="28"/>
          <w:lang w:val="es-MX"/>
        </w:rPr>
      </w:pPr>
      <w:r w:rsidRPr="004676E1">
        <w:rPr>
          <w:rFonts w:ascii="Arial" w:hAnsi="Arial" w:cs="Arial"/>
          <w:b/>
          <w:sz w:val="28"/>
          <w:szCs w:val="28"/>
          <w:lang w:val="es-MX"/>
        </w:rPr>
        <w:t>70.- INSTITUTO NACIONAL PARA CIEGOS - INCI.</w:t>
      </w:r>
    </w:p>
    <w:p w14:paraId="77446D4D" w14:textId="77777777" w:rsidR="007E2F9F" w:rsidRDefault="007E2F9F" w:rsidP="00936E33">
      <w:pPr>
        <w:ind w:left="-284" w:right="-234" w:hanging="142"/>
        <w:jc w:val="both"/>
        <w:rPr>
          <w:rFonts w:ascii="Arial" w:hAnsi="Arial" w:cs="Arial"/>
          <w:b/>
          <w:bCs/>
          <w:sz w:val="28"/>
          <w:szCs w:val="28"/>
        </w:rPr>
      </w:pPr>
    </w:p>
    <w:tbl>
      <w:tblPr>
        <w:tblStyle w:val="Tablaconcuadrcula"/>
        <w:tblW w:w="10349" w:type="dxa"/>
        <w:tblInd w:w="-289" w:type="dxa"/>
        <w:tblLook w:val="04A0" w:firstRow="1" w:lastRow="0" w:firstColumn="1" w:lastColumn="0" w:noHBand="0" w:noVBand="1"/>
      </w:tblPr>
      <w:tblGrid>
        <w:gridCol w:w="8364"/>
        <w:gridCol w:w="1985"/>
      </w:tblGrid>
      <w:tr w:rsidR="007E2F9F" w:rsidRPr="000D6509" w14:paraId="53ACB881" w14:textId="77777777" w:rsidTr="00936E33">
        <w:tc>
          <w:tcPr>
            <w:tcW w:w="8364" w:type="dxa"/>
          </w:tcPr>
          <w:p w14:paraId="17220FB2" w14:textId="77777777" w:rsidR="007E2F9F" w:rsidRPr="000D6509" w:rsidRDefault="007E2F9F" w:rsidP="00936E33">
            <w:pPr>
              <w:tabs>
                <w:tab w:val="left" w:pos="875"/>
              </w:tabs>
              <w:ind w:right="157"/>
              <w:rPr>
                <w:rFonts w:ascii="Arial" w:hAnsi="Arial" w:cs="Arial"/>
                <w:sz w:val="18"/>
                <w:szCs w:val="18"/>
              </w:rPr>
            </w:pPr>
            <w:r w:rsidRPr="000D6509">
              <w:rPr>
                <w:rFonts w:ascii="Arial" w:hAnsi="Arial" w:cs="Arial"/>
                <w:lang w:val="es-ES_tradnl"/>
              </w:rPr>
              <w:t>Reservas presupuestales constituidas a 31 de diciembre de 2024</w:t>
            </w:r>
          </w:p>
        </w:tc>
        <w:tc>
          <w:tcPr>
            <w:tcW w:w="1985" w:type="dxa"/>
          </w:tcPr>
          <w:p w14:paraId="10C0E8B9" w14:textId="77777777" w:rsidR="007E2F9F" w:rsidRPr="000D6509" w:rsidRDefault="007E2F9F" w:rsidP="00936E33">
            <w:pPr>
              <w:tabs>
                <w:tab w:val="left" w:pos="875"/>
              </w:tabs>
              <w:ind w:hanging="142"/>
              <w:jc w:val="right"/>
              <w:rPr>
                <w:rFonts w:ascii="Arial" w:hAnsi="Arial" w:cs="Arial"/>
              </w:rPr>
            </w:pPr>
            <w:r w:rsidRPr="000D6509">
              <w:rPr>
                <w:rFonts w:ascii="Arial" w:hAnsi="Arial" w:cs="Arial"/>
              </w:rPr>
              <w:t>77.207.85</w:t>
            </w:r>
          </w:p>
        </w:tc>
      </w:tr>
      <w:tr w:rsidR="007E2F9F" w:rsidRPr="000D6509" w14:paraId="2E26755C" w14:textId="77777777" w:rsidTr="00936E33">
        <w:tc>
          <w:tcPr>
            <w:tcW w:w="8364" w:type="dxa"/>
          </w:tcPr>
          <w:p w14:paraId="242F08A7" w14:textId="77777777" w:rsidR="007E2F9F" w:rsidRPr="000D6509" w:rsidRDefault="007E2F9F" w:rsidP="00936E33">
            <w:pPr>
              <w:tabs>
                <w:tab w:val="left" w:pos="875"/>
              </w:tabs>
              <w:ind w:right="157"/>
              <w:rPr>
                <w:rFonts w:ascii="Arial" w:hAnsi="Arial" w:cs="Arial"/>
                <w:sz w:val="18"/>
                <w:szCs w:val="18"/>
              </w:rPr>
            </w:pPr>
            <w:r w:rsidRPr="000D6509">
              <w:rPr>
                <w:rFonts w:ascii="Arial" w:hAnsi="Arial" w:cs="Arial"/>
                <w:lang w:val="es-ES_tradnl"/>
              </w:rPr>
              <w:t>Cuentas por pagar constituidas a 31 de diciembre de 2024</w:t>
            </w:r>
          </w:p>
        </w:tc>
        <w:tc>
          <w:tcPr>
            <w:tcW w:w="1985" w:type="dxa"/>
          </w:tcPr>
          <w:p w14:paraId="3B6BB5B3" w14:textId="77777777" w:rsidR="007E2F9F" w:rsidRPr="000D6509" w:rsidRDefault="007E2F9F" w:rsidP="00936E33">
            <w:pPr>
              <w:tabs>
                <w:tab w:val="left" w:pos="875"/>
              </w:tabs>
              <w:ind w:hanging="142"/>
              <w:jc w:val="right"/>
              <w:rPr>
                <w:rFonts w:ascii="Arial" w:hAnsi="Arial" w:cs="Arial"/>
              </w:rPr>
            </w:pPr>
            <w:r w:rsidRPr="000D6509">
              <w:rPr>
                <w:rFonts w:ascii="Arial" w:hAnsi="Arial" w:cs="Arial"/>
              </w:rPr>
              <w:t>4.981.81</w:t>
            </w:r>
          </w:p>
        </w:tc>
      </w:tr>
      <w:tr w:rsidR="007E2F9F" w:rsidRPr="000D6509" w14:paraId="028C2537" w14:textId="77777777" w:rsidTr="00936E33">
        <w:tc>
          <w:tcPr>
            <w:tcW w:w="8364" w:type="dxa"/>
          </w:tcPr>
          <w:p w14:paraId="14712264" w14:textId="77777777" w:rsidR="007E2F9F" w:rsidRPr="000D6509" w:rsidRDefault="007E2F9F" w:rsidP="00936E33">
            <w:pPr>
              <w:tabs>
                <w:tab w:val="left" w:pos="875"/>
              </w:tabs>
              <w:ind w:right="157"/>
              <w:rPr>
                <w:rFonts w:ascii="Arial" w:hAnsi="Arial" w:cs="Arial"/>
                <w:sz w:val="18"/>
                <w:szCs w:val="18"/>
              </w:rPr>
            </w:pPr>
            <w:r w:rsidRPr="000D6509">
              <w:rPr>
                <w:rFonts w:ascii="Arial" w:hAnsi="Arial" w:cs="Arial"/>
                <w:b/>
                <w:lang w:val="es-ES_tradnl"/>
              </w:rPr>
              <w:t>TOTAL, REZAGO PRESUPUESTAL CONSTITUIDO A 31 DE DICIEMBRE DE 2024</w:t>
            </w:r>
          </w:p>
        </w:tc>
        <w:tc>
          <w:tcPr>
            <w:tcW w:w="1985" w:type="dxa"/>
          </w:tcPr>
          <w:p w14:paraId="5341133E" w14:textId="77777777" w:rsidR="007E2F9F" w:rsidRPr="000D6509" w:rsidRDefault="007E2F9F" w:rsidP="00936E33">
            <w:pPr>
              <w:tabs>
                <w:tab w:val="left" w:pos="875"/>
              </w:tabs>
              <w:ind w:hanging="142"/>
              <w:jc w:val="right"/>
              <w:rPr>
                <w:rFonts w:ascii="Arial" w:hAnsi="Arial" w:cs="Arial"/>
                <w:b/>
                <w:u w:val="single"/>
              </w:rPr>
            </w:pPr>
            <w:r w:rsidRPr="000D6509">
              <w:rPr>
                <w:rFonts w:ascii="Arial" w:hAnsi="Arial" w:cs="Arial"/>
                <w:b/>
                <w:u w:val="single"/>
              </w:rPr>
              <w:t>82.189.66</w:t>
            </w:r>
          </w:p>
        </w:tc>
      </w:tr>
    </w:tbl>
    <w:p w14:paraId="557C73D7" w14:textId="77777777" w:rsidR="007E2F9F" w:rsidRPr="000D6509" w:rsidRDefault="007E2F9F" w:rsidP="00936E33">
      <w:pPr>
        <w:pStyle w:val="Textoindependiente"/>
        <w:spacing w:before="3"/>
        <w:ind w:hanging="142"/>
        <w:rPr>
          <w:rFonts w:ascii="Arial" w:hAnsi="Arial" w:cs="Arial"/>
        </w:rPr>
      </w:pPr>
    </w:p>
    <w:p w14:paraId="2274D62D" w14:textId="77777777" w:rsidR="007E2F9F" w:rsidRPr="00CE224C" w:rsidRDefault="007E2F9F" w:rsidP="00936E33">
      <w:pPr>
        <w:ind w:left="-142" w:hanging="142"/>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7749495F" w14:textId="77777777" w:rsidR="007E2F9F" w:rsidRDefault="007E2F9F" w:rsidP="00936E33">
      <w:pPr>
        <w:ind w:left="-284" w:right="-234" w:hanging="142"/>
        <w:jc w:val="both"/>
        <w:rPr>
          <w:rFonts w:ascii="Arial" w:hAnsi="Arial" w:cs="Arial"/>
          <w:b/>
          <w:bCs/>
          <w:sz w:val="28"/>
          <w:szCs w:val="28"/>
        </w:rPr>
      </w:pPr>
    </w:p>
    <w:tbl>
      <w:tblPr>
        <w:tblStyle w:val="Tablaconcuadrcula"/>
        <w:tblW w:w="10349" w:type="dxa"/>
        <w:tblInd w:w="-289" w:type="dxa"/>
        <w:tblLook w:val="04A0" w:firstRow="1" w:lastRow="0" w:firstColumn="1" w:lastColumn="0" w:noHBand="0" w:noVBand="1"/>
      </w:tblPr>
      <w:tblGrid>
        <w:gridCol w:w="8364"/>
        <w:gridCol w:w="1985"/>
      </w:tblGrid>
      <w:tr w:rsidR="007E2F9F" w:rsidRPr="00C8515F" w14:paraId="0B8AB7BD" w14:textId="77777777" w:rsidTr="00936E33">
        <w:tc>
          <w:tcPr>
            <w:tcW w:w="8364" w:type="dxa"/>
          </w:tcPr>
          <w:p w14:paraId="5190B739" w14:textId="77777777" w:rsidR="007E2F9F" w:rsidRPr="00C8515F" w:rsidRDefault="007E2F9F" w:rsidP="006548F8">
            <w:pPr>
              <w:tabs>
                <w:tab w:val="left" w:pos="875"/>
              </w:tabs>
              <w:ind w:right="157"/>
              <w:rPr>
                <w:rFonts w:ascii="Arial" w:hAnsi="Arial" w:cs="Arial"/>
              </w:rPr>
            </w:pPr>
            <w:r w:rsidRPr="00C8515F">
              <w:rPr>
                <w:rFonts w:ascii="Arial" w:hAnsi="Arial" w:cs="Arial"/>
                <w:lang w:val="es-ES_tradnl"/>
              </w:rPr>
              <w:t>Reservas presupuestales constituidas a 31 de diciembre de 2024</w:t>
            </w:r>
          </w:p>
        </w:tc>
        <w:tc>
          <w:tcPr>
            <w:tcW w:w="1985" w:type="dxa"/>
          </w:tcPr>
          <w:p w14:paraId="37D1ED55" w14:textId="77777777" w:rsidR="007E2F9F" w:rsidRPr="00C8515F" w:rsidRDefault="007E2F9F" w:rsidP="006548F8">
            <w:pPr>
              <w:tabs>
                <w:tab w:val="left" w:pos="875"/>
              </w:tabs>
              <w:jc w:val="right"/>
              <w:rPr>
                <w:rFonts w:ascii="Arial" w:hAnsi="Arial" w:cs="Arial"/>
              </w:rPr>
            </w:pPr>
            <w:r w:rsidRPr="00C8515F">
              <w:rPr>
                <w:rFonts w:ascii="Arial" w:hAnsi="Arial" w:cs="Arial"/>
              </w:rPr>
              <w:t>16.328.992</w:t>
            </w:r>
          </w:p>
        </w:tc>
      </w:tr>
      <w:tr w:rsidR="007E2F9F" w:rsidRPr="00C8515F" w14:paraId="3EB7EFE4" w14:textId="77777777" w:rsidTr="00936E33">
        <w:tc>
          <w:tcPr>
            <w:tcW w:w="8364" w:type="dxa"/>
          </w:tcPr>
          <w:p w14:paraId="63B789AD" w14:textId="77777777" w:rsidR="007E2F9F" w:rsidRPr="00C8515F" w:rsidRDefault="007E2F9F" w:rsidP="006548F8">
            <w:pPr>
              <w:tabs>
                <w:tab w:val="left" w:pos="875"/>
              </w:tabs>
              <w:ind w:right="157"/>
              <w:rPr>
                <w:rFonts w:ascii="Arial" w:hAnsi="Arial" w:cs="Arial"/>
              </w:rPr>
            </w:pPr>
            <w:r w:rsidRPr="00C8515F">
              <w:rPr>
                <w:rFonts w:ascii="Arial" w:hAnsi="Arial" w:cs="Arial"/>
                <w:lang w:val="es-ES_tradnl"/>
              </w:rPr>
              <w:t>Cuentas por pagar constituidas a 31 de diciembre de 2024</w:t>
            </w:r>
          </w:p>
        </w:tc>
        <w:tc>
          <w:tcPr>
            <w:tcW w:w="1985" w:type="dxa"/>
          </w:tcPr>
          <w:p w14:paraId="13299EA6" w14:textId="77777777" w:rsidR="007E2F9F" w:rsidRPr="00C8515F" w:rsidRDefault="007E2F9F" w:rsidP="006548F8">
            <w:pPr>
              <w:tabs>
                <w:tab w:val="left" w:pos="875"/>
              </w:tabs>
              <w:jc w:val="right"/>
              <w:rPr>
                <w:rFonts w:ascii="Arial" w:hAnsi="Arial" w:cs="Arial"/>
              </w:rPr>
            </w:pPr>
            <w:r w:rsidRPr="00C8515F">
              <w:rPr>
                <w:rFonts w:ascii="Arial" w:hAnsi="Arial" w:cs="Arial"/>
              </w:rPr>
              <w:t>1.621.679</w:t>
            </w:r>
          </w:p>
        </w:tc>
      </w:tr>
      <w:tr w:rsidR="007E2F9F" w:rsidRPr="00C8515F" w14:paraId="576801BD" w14:textId="77777777" w:rsidTr="00936E33">
        <w:tc>
          <w:tcPr>
            <w:tcW w:w="8364" w:type="dxa"/>
          </w:tcPr>
          <w:p w14:paraId="317AD066" w14:textId="77777777" w:rsidR="007E2F9F" w:rsidRPr="00C8515F" w:rsidRDefault="007E2F9F" w:rsidP="006548F8">
            <w:pPr>
              <w:tabs>
                <w:tab w:val="left" w:pos="875"/>
              </w:tabs>
              <w:ind w:right="157"/>
              <w:rPr>
                <w:rFonts w:ascii="Arial" w:hAnsi="Arial" w:cs="Arial"/>
              </w:rPr>
            </w:pPr>
            <w:r w:rsidRPr="00C8515F">
              <w:rPr>
                <w:rFonts w:ascii="Arial" w:hAnsi="Arial" w:cs="Arial"/>
                <w:b/>
                <w:lang w:val="es-ES_tradnl"/>
              </w:rPr>
              <w:t>TOTAL REZAGO PRESUPUESTAL CONSTITUIDO A 31 DE DICIEMBRE DE 2024</w:t>
            </w:r>
          </w:p>
        </w:tc>
        <w:tc>
          <w:tcPr>
            <w:tcW w:w="1985" w:type="dxa"/>
          </w:tcPr>
          <w:p w14:paraId="4F99B956" w14:textId="77777777" w:rsidR="007E2F9F" w:rsidRPr="00C8515F" w:rsidRDefault="007E2F9F" w:rsidP="006548F8">
            <w:pPr>
              <w:tabs>
                <w:tab w:val="left" w:pos="875"/>
              </w:tabs>
              <w:jc w:val="right"/>
              <w:rPr>
                <w:rFonts w:ascii="Arial" w:hAnsi="Arial" w:cs="Arial"/>
                <w:b/>
                <w:u w:val="single"/>
              </w:rPr>
            </w:pPr>
            <w:r w:rsidRPr="00C8515F">
              <w:rPr>
                <w:rFonts w:ascii="Arial" w:hAnsi="Arial" w:cs="Arial"/>
                <w:b/>
                <w:u w:val="single"/>
              </w:rPr>
              <w:t>17.950.671</w:t>
            </w:r>
          </w:p>
        </w:tc>
      </w:tr>
    </w:tbl>
    <w:p w14:paraId="4C17A645" w14:textId="77777777" w:rsidR="007E2F9F" w:rsidRPr="004676E1" w:rsidRDefault="007E2F9F" w:rsidP="007E2F9F">
      <w:pPr>
        <w:ind w:left="-284" w:right="-234"/>
        <w:jc w:val="both"/>
        <w:rPr>
          <w:rFonts w:ascii="Arial" w:hAnsi="Arial" w:cs="Arial"/>
          <w:b/>
          <w:bCs/>
          <w:sz w:val="28"/>
          <w:szCs w:val="28"/>
        </w:rPr>
      </w:pPr>
    </w:p>
    <w:p w14:paraId="42529383" w14:textId="77777777" w:rsidR="007E2F9F" w:rsidRPr="00BE21C4" w:rsidRDefault="007E2F9F" w:rsidP="00936E33">
      <w:pPr>
        <w:ind w:left="-284"/>
        <w:jc w:val="both"/>
        <w:rPr>
          <w:rFonts w:ascii="Arial" w:hAnsi="Arial" w:cs="Arial"/>
          <w:b/>
          <w:sz w:val="28"/>
          <w:szCs w:val="28"/>
          <w:lang w:val="es-MX"/>
        </w:rPr>
      </w:pPr>
      <w:r w:rsidRPr="00BE21C4">
        <w:rPr>
          <w:rFonts w:ascii="Arial" w:hAnsi="Arial" w:cs="Arial"/>
          <w:b/>
          <w:sz w:val="28"/>
          <w:szCs w:val="28"/>
          <w:lang w:val="es-MX"/>
        </w:rPr>
        <w:t>74.- MINISTERIO DE AGRICULTURA Y DESARROLLO RURAL.</w:t>
      </w:r>
    </w:p>
    <w:p w14:paraId="74F1D863" w14:textId="77777777" w:rsidR="007E2F9F" w:rsidRDefault="007E2F9F" w:rsidP="007E2F9F">
      <w:pPr>
        <w:tabs>
          <w:tab w:val="left" w:pos="875"/>
        </w:tabs>
        <w:ind w:left="-142" w:right="-93"/>
        <w:jc w:val="both"/>
        <w:rPr>
          <w:rFonts w:ascii="Arial" w:hAnsi="Arial" w:cs="Arial"/>
        </w:rPr>
      </w:pPr>
    </w:p>
    <w:tbl>
      <w:tblPr>
        <w:tblStyle w:val="Tablaconcuadrcula"/>
        <w:tblW w:w="10349" w:type="dxa"/>
        <w:tblInd w:w="-289" w:type="dxa"/>
        <w:tblLook w:val="04A0" w:firstRow="1" w:lastRow="0" w:firstColumn="1" w:lastColumn="0" w:noHBand="0" w:noVBand="1"/>
      </w:tblPr>
      <w:tblGrid>
        <w:gridCol w:w="8364"/>
        <w:gridCol w:w="1985"/>
      </w:tblGrid>
      <w:tr w:rsidR="007E2F9F" w:rsidRPr="003327B2" w14:paraId="26849CA8" w14:textId="77777777" w:rsidTr="00936E33">
        <w:tc>
          <w:tcPr>
            <w:tcW w:w="8364" w:type="dxa"/>
          </w:tcPr>
          <w:p w14:paraId="7D0738F6" w14:textId="77777777" w:rsidR="007E2F9F" w:rsidRPr="003327B2" w:rsidRDefault="007E2F9F" w:rsidP="006548F8">
            <w:pPr>
              <w:tabs>
                <w:tab w:val="left" w:pos="875"/>
              </w:tabs>
              <w:ind w:right="157"/>
              <w:rPr>
                <w:rFonts w:ascii="Arial" w:hAnsi="Arial" w:cs="Arial"/>
                <w:sz w:val="18"/>
                <w:szCs w:val="18"/>
              </w:rPr>
            </w:pPr>
            <w:r w:rsidRPr="003327B2">
              <w:rPr>
                <w:rFonts w:ascii="Arial" w:hAnsi="Arial" w:cs="Arial"/>
                <w:lang w:val="es-ES_tradnl"/>
              </w:rPr>
              <w:t>Reservas presupuestales constituidas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19211DE5" w14:textId="77777777" w:rsidR="007E2F9F" w:rsidRPr="003327B2" w:rsidRDefault="007E2F9F" w:rsidP="006548F8">
            <w:pPr>
              <w:tabs>
                <w:tab w:val="left" w:pos="875"/>
              </w:tabs>
              <w:jc w:val="right"/>
              <w:rPr>
                <w:rFonts w:ascii="Arial" w:hAnsi="Arial" w:cs="Arial"/>
                <w:sz w:val="16"/>
                <w:szCs w:val="16"/>
              </w:rPr>
            </w:pPr>
            <w:r w:rsidRPr="003327B2">
              <w:rPr>
                <w:rFonts w:ascii="Arial" w:hAnsi="Arial" w:cs="Arial"/>
                <w:color w:val="000000"/>
                <w:sz w:val="16"/>
                <w:szCs w:val="16"/>
              </w:rPr>
              <w:t xml:space="preserve">847.750.586.927,28 </w:t>
            </w:r>
          </w:p>
        </w:tc>
      </w:tr>
      <w:tr w:rsidR="007E2F9F" w:rsidRPr="003327B2" w14:paraId="0101407F" w14:textId="77777777" w:rsidTr="00936E33">
        <w:tc>
          <w:tcPr>
            <w:tcW w:w="8364" w:type="dxa"/>
          </w:tcPr>
          <w:p w14:paraId="487A90ED" w14:textId="77777777" w:rsidR="007E2F9F" w:rsidRPr="003327B2" w:rsidRDefault="007E2F9F" w:rsidP="006548F8">
            <w:pPr>
              <w:tabs>
                <w:tab w:val="left" w:pos="875"/>
              </w:tabs>
              <w:ind w:right="157"/>
              <w:rPr>
                <w:rFonts w:ascii="Arial" w:hAnsi="Arial" w:cs="Arial"/>
                <w:sz w:val="18"/>
                <w:szCs w:val="18"/>
              </w:rPr>
            </w:pPr>
            <w:r w:rsidRPr="003327B2">
              <w:rPr>
                <w:rFonts w:ascii="Arial" w:hAnsi="Arial" w:cs="Arial"/>
                <w:lang w:val="es-ES_tradnl"/>
              </w:rPr>
              <w:lastRenderedPageBreak/>
              <w:t>Cuentas por pagar constituidas a 31 de diciembre de 2024</w:t>
            </w:r>
          </w:p>
        </w:tc>
        <w:tc>
          <w:tcPr>
            <w:tcW w:w="1985" w:type="dxa"/>
            <w:tcBorders>
              <w:top w:val="nil"/>
              <w:left w:val="single" w:sz="8" w:space="0" w:color="auto"/>
              <w:bottom w:val="nil"/>
              <w:right w:val="single" w:sz="8" w:space="0" w:color="auto"/>
            </w:tcBorders>
            <w:shd w:val="clear" w:color="auto" w:fill="auto"/>
            <w:vAlign w:val="bottom"/>
          </w:tcPr>
          <w:p w14:paraId="2116C145" w14:textId="77777777" w:rsidR="007E2F9F" w:rsidRPr="003327B2" w:rsidRDefault="007E2F9F" w:rsidP="006548F8">
            <w:pPr>
              <w:tabs>
                <w:tab w:val="left" w:pos="875"/>
              </w:tabs>
              <w:jc w:val="right"/>
              <w:rPr>
                <w:rFonts w:ascii="Arial" w:hAnsi="Arial" w:cs="Arial"/>
                <w:sz w:val="16"/>
                <w:szCs w:val="16"/>
              </w:rPr>
            </w:pPr>
            <w:r w:rsidRPr="003327B2">
              <w:rPr>
                <w:rFonts w:ascii="Arial" w:hAnsi="Arial" w:cs="Arial"/>
                <w:sz w:val="16"/>
                <w:szCs w:val="16"/>
              </w:rPr>
              <w:t xml:space="preserve">1.338.167.204,33 </w:t>
            </w:r>
          </w:p>
        </w:tc>
      </w:tr>
      <w:tr w:rsidR="007E2F9F" w:rsidRPr="003327B2" w14:paraId="27ECF857" w14:textId="77777777" w:rsidTr="00936E33">
        <w:tc>
          <w:tcPr>
            <w:tcW w:w="8364" w:type="dxa"/>
          </w:tcPr>
          <w:p w14:paraId="2814061B" w14:textId="77777777" w:rsidR="007E2F9F" w:rsidRPr="003327B2" w:rsidRDefault="007E2F9F" w:rsidP="006548F8">
            <w:pPr>
              <w:tabs>
                <w:tab w:val="left" w:pos="875"/>
              </w:tabs>
              <w:ind w:right="157"/>
              <w:rPr>
                <w:rFonts w:ascii="Arial" w:hAnsi="Arial" w:cs="Arial"/>
                <w:sz w:val="18"/>
                <w:szCs w:val="18"/>
              </w:rPr>
            </w:pPr>
            <w:r w:rsidRPr="003327B2">
              <w:rPr>
                <w:rFonts w:ascii="Arial" w:hAnsi="Arial" w:cs="Arial"/>
                <w:b/>
                <w:lang w:val="es-ES_tradnl"/>
              </w:rPr>
              <w:t>TOTAL, REZAGO PRESUPUESTAL CONSTITUIDO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233AF59B" w14:textId="77777777" w:rsidR="007E2F9F" w:rsidRPr="003327B2" w:rsidRDefault="007E2F9F" w:rsidP="006548F8">
            <w:pPr>
              <w:tabs>
                <w:tab w:val="left" w:pos="875"/>
              </w:tabs>
              <w:jc w:val="right"/>
              <w:rPr>
                <w:rFonts w:ascii="Arial" w:hAnsi="Arial" w:cs="Arial"/>
                <w:sz w:val="16"/>
                <w:szCs w:val="16"/>
                <w:u w:val="single"/>
              </w:rPr>
            </w:pPr>
            <w:r w:rsidRPr="003327B2">
              <w:rPr>
                <w:rFonts w:ascii="Arial" w:hAnsi="Arial" w:cs="Arial"/>
                <w:bCs/>
                <w:color w:val="000000"/>
                <w:sz w:val="16"/>
                <w:szCs w:val="16"/>
              </w:rPr>
              <w:t xml:space="preserve">849.088.754.131,61 </w:t>
            </w:r>
          </w:p>
        </w:tc>
      </w:tr>
    </w:tbl>
    <w:p w14:paraId="48FFE634" w14:textId="77777777" w:rsidR="007E2F9F" w:rsidRDefault="007E2F9F" w:rsidP="007E2F9F">
      <w:pPr>
        <w:tabs>
          <w:tab w:val="left" w:pos="875"/>
        </w:tabs>
        <w:ind w:left="-142" w:right="-93"/>
        <w:jc w:val="both"/>
        <w:rPr>
          <w:rFonts w:ascii="Arial" w:hAnsi="Arial" w:cs="Arial"/>
        </w:rPr>
      </w:pPr>
    </w:p>
    <w:p w14:paraId="1C2F2AC1" w14:textId="77777777" w:rsidR="007E2F9F" w:rsidRPr="001D0D31" w:rsidRDefault="007E2F9F" w:rsidP="00936E33">
      <w:pPr>
        <w:ind w:left="-284"/>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5887DF6A" w14:textId="77777777" w:rsidR="007E2F9F" w:rsidRPr="001D0D31" w:rsidRDefault="007E2F9F" w:rsidP="007E2F9F">
      <w:pPr>
        <w:jc w:val="both"/>
        <w:rPr>
          <w:rFonts w:ascii="Arial" w:hAnsi="Arial" w:cs="Arial"/>
          <w:b/>
          <w:sz w:val="28"/>
          <w:szCs w:val="28"/>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FE5815" w14:paraId="5CE285AB" w14:textId="77777777" w:rsidTr="00936E33">
        <w:tc>
          <w:tcPr>
            <w:tcW w:w="8364" w:type="dxa"/>
          </w:tcPr>
          <w:p w14:paraId="6F92D346" w14:textId="77777777" w:rsidR="007E2F9F" w:rsidRPr="00FE5815" w:rsidRDefault="007E2F9F" w:rsidP="006548F8">
            <w:pPr>
              <w:tabs>
                <w:tab w:val="left" w:pos="875"/>
              </w:tabs>
              <w:ind w:right="157"/>
              <w:rPr>
                <w:rFonts w:ascii="Arial" w:hAnsi="Arial" w:cs="Arial"/>
                <w:sz w:val="18"/>
                <w:szCs w:val="18"/>
              </w:rPr>
            </w:pPr>
            <w:r w:rsidRPr="00FE5815">
              <w:rPr>
                <w:rFonts w:ascii="Arial" w:hAnsi="Arial" w:cs="Arial"/>
                <w:lang w:val="es-ES_tradnl"/>
              </w:rPr>
              <w:t>Reservas presupuestales constituidas a 31 de diciembre de 2024</w:t>
            </w:r>
          </w:p>
        </w:tc>
        <w:tc>
          <w:tcPr>
            <w:tcW w:w="1985" w:type="dxa"/>
          </w:tcPr>
          <w:p w14:paraId="6EC0289A" w14:textId="77777777" w:rsidR="007E2F9F" w:rsidRPr="00FE5815" w:rsidRDefault="007E2F9F" w:rsidP="006548F8">
            <w:pPr>
              <w:tabs>
                <w:tab w:val="left" w:pos="875"/>
              </w:tabs>
              <w:jc w:val="right"/>
              <w:rPr>
                <w:rFonts w:ascii="Arial" w:hAnsi="Arial" w:cs="Arial"/>
                <w:sz w:val="18"/>
                <w:szCs w:val="18"/>
              </w:rPr>
            </w:pPr>
            <w:r w:rsidRPr="00FE5815">
              <w:rPr>
                <w:rFonts w:ascii="Arial" w:hAnsi="Arial" w:cs="Arial"/>
                <w:sz w:val="18"/>
                <w:szCs w:val="18"/>
              </w:rPr>
              <w:t>451.491.387.733,22</w:t>
            </w:r>
          </w:p>
        </w:tc>
      </w:tr>
      <w:tr w:rsidR="007E2F9F" w:rsidRPr="00FE5815" w14:paraId="3CC2658E" w14:textId="77777777" w:rsidTr="00936E33">
        <w:tc>
          <w:tcPr>
            <w:tcW w:w="8364" w:type="dxa"/>
          </w:tcPr>
          <w:p w14:paraId="792ED659" w14:textId="77777777" w:rsidR="007E2F9F" w:rsidRPr="00FE5815" w:rsidRDefault="007E2F9F" w:rsidP="006548F8">
            <w:pPr>
              <w:tabs>
                <w:tab w:val="left" w:pos="875"/>
              </w:tabs>
              <w:ind w:right="157"/>
              <w:rPr>
                <w:rFonts w:ascii="Arial" w:hAnsi="Arial" w:cs="Arial"/>
                <w:sz w:val="18"/>
                <w:szCs w:val="18"/>
              </w:rPr>
            </w:pPr>
            <w:r w:rsidRPr="00FE5815">
              <w:rPr>
                <w:rFonts w:ascii="Arial" w:hAnsi="Arial" w:cs="Arial"/>
                <w:lang w:val="es-ES_tradnl"/>
              </w:rPr>
              <w:t>Cuentas por pagar constituidas a 31 de diciembre de 2024</w:t>
            </w:r>
          </w:p>
        </w:tc>
        <w:tc>
          <w:tcPr>
            <w:tcW w:w="1985" w:type="dxa"/>
          </w:tcPr>
          <w:p w14:paraId="14E1FD62" w14:textId="77777777" w:rsidR="007E2F9F" w:rsidRPr="00FE5815" w:rsidRDefault="007E2F9F" w:rsidP="006548F8">
            <w:pPr>
              <w:tabs>
                <w:tab w:val="left" w:pos="875"/>
              </w:tabs>
              <w:jc w:val="right"/>
              <w:rPr>
                <w:rFonts w:ascii="Arial" w:hAnsi="Arial" w:cs="Arial"/>
                <w:sz w:val="18"/>
                <w:szCs w:val="18"/>
              </w:rPr>
            </w:pPr>
            <w:r w:rsidRPr="00FE5815">
              <w:rPr>
                <w:rFonts w:ascii="Arial" w:hAnsi="Arial" w:cs="Arial"/>
                <w:sz w:val="18"/>
                <w:szCs w:val="18"/>
              </w:rPr>
              <w:t>3.497.529.515,13</w:t>
            </w:r>
          </w:p>
        </w:tc>
      </w:tr>
      <w:tr w:rsidR="007E2F9F" w:rsidRPr="00FE5815" w14:paraId="573EDCEE" w14:textId="77777777" w:rsidTr="00936E33">
        <w:tc>
          <w:tcPr>
            <w:tcW w:w="8364" w:type="dxa"/>
          </w:tcPr>
          <w:p w14:paraId="08BEC0F8" w14:textId="77777777" w:rsidR="007E2F9F" w:rsidRPr="00FE5815" w:rsidRDefault="007E2F9F" w:rsidP="006548F8">
            <w:pPr>
              <w:tabs>
                <w:tab w:val="left" w:pos="875"/>
              </w:tabs>
              <w:ind w:right="157"/>
              <w:rPr>
                <w:rFonts w:ascii="Arial" w:hAnsi="Arial" w:cs="Arial"/>
                <w:sz w:val="18"/>
                <w:szCs w:val="18"/>
              </w:rPr>
            </w:pPr>
            <w:r w:rsidRPr="00FE5815">
              <w:rPr>
                <w:rFonts w:ascii="Arial" w:hAnsi="Arial" w:cs="Arial"/>
                <w:b/>
                <w:lang w:val="es-ES_tradnl"/>
              </w:rPr>
              <w:t>TOTAL REZAGO PRESUPUESTAL CONSTITUIDO A 31 DE DICIEMBRE DE 2024</w:t>
            </w:r>
          </w:p>
        </w:tc>
        <w:tc>
          <w:tcPr>
            <w:tcW w:w="1985" w:type="dxa"/>
          </w:tcPr>
          <w:p w14:paraId="18FDAF68" w14:textId="77777777" w:rsidR="007E2F9F" w:rsidRPr="00FE5815" w:rsidRDefault="007E2F9F" w:rsidP="006548F8">
            <w:pPr>
              <w:tabs>
                <w:tab w:val="left" w:pos="875"/>
              </w:tabs>
              <w:jc w:val="right"/>
              <w:rPr>
                <w:rFonts w:ascii="Arial" w:hAnsi="Arial" w:cs="Arial"/>
                <w:b/>
                <w:sz w:val="18"/>
                <w:szCs w:val="18"/>
                <w:u w:val="single"/>
              </w:rPr>
            </w:pPr>
            <w:r w:rsidRPr="00FE5815">
              <w:rPr>
                <w:rFonts w:ascii="Arial" w:hAnsi="Arial" w:cs="Arial"/>
                <w:b/>
                <w:sz w:val="18"/>
                <w:szCs w:val="18"/>
                <w:u w:val="single"/>
              </w:rPr>
              <w:t>454.988.917.248,35</w:t>
            </w:r>
          </w:p>
        </w:tc>
      </w:tr>
    </w:tbl>
    <w:p w14:paraId="21AE807D" w14:textId="77777777" w:rsidR="007E2F9F" w:rsidRDefault="007E2F9F" w:rsidP="007E2F9F">
      <w:pPr>
        <w:tabs>
          <w:tab w:val="left" w:pos="875"/>
        </w:tabs>
        <w:ind w:left="-142" w:right="-93"/>
        <w:jc w:val="both"/>
        <w:rPr>
          <w:rFonts w:ascii="Arial" w:hAnsi="Arial" w:cs="Arial"/>
        </w:rPr>
      </w:pPr>
    </w:p>
    <w:p w14:paraId="3E83EFB6" w14:textId="77777777" w:rsidR="007E2F9F" w:rsidRPr="00951D28" w:rsidRDefault="007E2F9F" w:rsidP="00042EE6">
      <w:pPr>
        <w:ind w:left="-284"/>
        <w:jc w:val="both"/>
        <w:rPr>
          <w:rFonts w:ascii="Arial" w:hAnsi="Arial" w:cs="Arial"/>
          <w:b/>
          <w:sz w:val="28"/>
          <w:szCs w:val="28"/>
          <w:lang w:val="es-MX"/>
        </w:rPr>
      </w:pPr>
      <w:r w:rsidRPr="00951D28">
        <w:rPr>
          <w:rFonts w:ascii="Arial" w:hAnsi="Arial" w:cs="Arial"/>
          <w:b/>
          <w:sz w:val="28"/>
          <w:szCs w:val="28"/>
          <w:lang w:val="es-MX"/>
        </w:rPr>
        <w:t>79.- MINISTERIO DEL DEPORTE.</w:t>
      </w:r>
    </w:p>
    <w:p w14:paraId="668FEAB6" w14:textId="77777777" w:rsidR="007E2F9F" w:rsidRDefault="007E2F9F" w:rsidP="007E2F9F">
      <w:pPr>
        <w:tabs>
          <w:tab w:val="left" w:pos="875"/>
        </w:tabs>
        <w:ind w:left="-142" w:right="-93"/>
        <w:jc w:val="both"/>
        <w:rPr>
          <w:rFonts w:ascii="Arial" w:hAnsi="Arial" w:cs="Arial"/>
        </w:rPr>
      </w:pPr>
    </w:p>
    <w:tbl>
      <w:tblPr>
        <w:tblStyle w:val="Tablaconcuadrcula"/>
        <w:tblW w:w="10349" w:type="dxa"/>
        <w:tblInd w:w="-289" w:type="dxa"/>
        <w:tblLook w:val="04A0" w:firstRow="1" w:lastRow="0" w:firstColumn="1" w:lastColumn="0" w:noHBand="0" w:noVBand="1"/>
      </w:tblPr>
      <w:tblGrid>
        <w:gridCol w:w="8352"/>
        <w:gridCol w:w="1997"/>
      </w:tblGrid>
      <w:tr w:rsidR="007E2F9F" w:rsidRPr="00373665" w14:paraId="1DF0EC15" w14:textId="77777777" w:rsidTr="00042EE6">
        <w:tc>
          <w:tcPr>
            <w:tcW w:w="8352" w:type="dxa"/>
          </w:tcPr>
          <w:p w14:paraId="3A2C40E7" w14:textId="77777777" w:rsidR="007E2F9F" w:rsidRPr="00373665" w:rsidRDefault="007E2F9F" w:rsidP="006548F8">
            <w:pPr>
              <w:tabs>
                <w:tab w:val="left" w:pos="875"/>
              </w:tabs>
              <w:ind w:right="157"/>
              <w:rPr>
                <w:rFonts w:ascii="Arial" w:hAnsi="Arial" w:cs="Arial"/>
                <w:sz w:val="18"/>
                <w:szCs w:val="18"/>
              </w:rPr>
            </w:pPr>
            <w:r w:rsidRPr="00373665">
              <w:rPr>
                <w:rFonts w:ascii="Arial" w:hAnsi="Arial" w:cs="Arial"/>
                <w:lang w:val="es-ES_tradnl"/>
              </w:rPr>
              <w:t>Reservas presupuestales constituidas a 31 de diciembre de 2024</w:t>
            </w:r>
          </w:p>
        </w:tc>
        <w:tc>
          <w:tcPr>
            <w:tcW w:w="1997" w:type="dxa"/>
          </w:tcPr>
          <w:p w14:paraId="4EC2B043" w14:textId="77777777" w:rsidR="007E2F9F" w:rsidRPr="00373665" w:rsidRDefault="007E2F9F" w:rsidP="006548F8">
            <w:pPr>
              <w:tabs>
                <w:tab w:val="left" w:pos="875"/>
              </w:tabs>
              <w:jc w:val="right"/>
              <w:rPr>
                <w:rFonts w:ascii="Arial" w:hAnsi="Arial" w:cs="Arial"/>
              </w:rPr>
            </w:pPr>
            <w:r w:rsidRPr="00373665">
              <w:rPr>
                <w:rFonts w:ascii="Arial" w:hAnsi="Arial" w:cs="Arial"/>
              </w:rPr>
              <w:t>610.701.246.89</w:t>
            </w:r>
          </w:p>
        </w:tc>
      </w:tr>
      <w:tr w:rsidR="007E2F9F" w:rsidRPr="00373665" w14:paraId="37A7412F" w14:textId="77777777" w:rsidTr="00042EE6">
        <w:tc>
          <w:tcPr>
            <w:tcW w:w="8352" w:type="dxa"/>
          </w:tcPr>
          <w:p w14:paraId="3E9DB121" w14:textId="77777777" w:rsidR="007E2F9F" w:rsidRPr="00373665" w:rsidRDefault="007E2F9F" w:rsidP="006548F8">
            <w:pPr>
              <w:tabs>
                <w:tab w:val="left" w:pos="875"/>
              </w:tabs>
              <w:ind w:right="157"/>
              <w:rPr>
                <w:rFonts w:ascii="Arial" w:hAnsi="Arial" w:cs="Arial"/>
                <w:sz w:val="18"/>
                <w:szCs w:val="18"/>
              </w:rPr>
            </w:pPr>
            <w:r w:rsidRPr="00373665">
              <w:rPr>
                <w:rFonts w:ascii="Arial" w:hAnsi="Arial" w:cs="Arial"/>
                <w:lang w:val="es-ES_tradnl"/>
              </w:rPr>
              <w:t>Cuentas por pagar constituidas a 31 de diciembre de 2024</w:t>
            </w:r>
          </w:p>
        </w:tc>
        <w:tc>
          <w:tcPr>
            <w:tcW w:w="1997" w:type="dxa"/>
          </w:tcPr>
          <w:p w14:paraId="42A10E1D" w14:textId="77777777" w:rsidR="007E2F9F" w:rsidRPr="00373665" w:rsidRDefault="007E2F9F" w:rsidP="006548F8">
            <w:pPr>
              <w:tabs>
                <w:tab w:val="left" w:pos="875"/>
              </w:tabs>
              <w:jc w:val="right"/>
              <w:rPr>
                <w:rFonts w:ascii="Arial" w:hAnsi="Arial" w:cs="Arial"/>
              </w:rPr>
            </w:pPr>
            <w:r w:rsidRPr="00373665">
              <w:rPr>
                <w:rFonts w:ascii="Arial" w:hAnsi="Arial" w:cs="Arial"/>
              </w:rPr>
              <w:t>208.000.00</w:t>
            </w:r>
          </w:p>
        </w:tc>
      </w:tr>
      <w:tr w:rsidR="007E2F9F" w:rsidRPr="00373665" w14:paraId="077E9203" w14:textId="77777777" w:rsidTr="00042EE6">
        <w:tc>
          <w:tcPr>
            <w:tcW w:w="8352" w:type="dxa"/>
          </w:tcPr>
          <w:p w14:paraId="267C68F7" w14:textId="77777777" w:rsidR="007E2F9F" w:rsidRPr="00373665" w:rsidRDefault="007E2F9F" w:rsidP="006548F8">
            <w:pPr>
              <w:tabs>
                <w:tab w:val="left" w:pos="875"/>
              </w:tabs>
              <w:ind w:right="157"/>
              <w:rPr>
                <w:rFonts w:ascii="Arial" w:hAnsi="Arial" w:cs="Arial"/>
                <w:sz w:val="18"/>
                <w:szCs w:val="18"/>
              </w:rPr>
            </w:pPr>
            <w:r w:rsidRPr="00373665">
              <w:rPr>
                <w:rFonts w:ascii="Arial" w:hAnsi="Arial" w:cs="Arial"/>
                <w:b/>
                <w:lang w:val="es-ES_tradnl"/>
              </w:rPr>
              <w:t>TOTAL REZAGO PRESUPUESTAL CONSTITUIDO A 31 DE DICIEMBRE DE 2024</w:t>
            </w:r>
          </w:p>
        </w:tc>
        <w:tc>
          <w:tcPr>
            <w:tcW w:w="1997" w:type="dxa"/>
          </w:tcPr>
          <w:p w14:paraId="0DD38AC0" w14:textId="77777777" w:rsidR="007E2F9F" w:rsidRPr="00373665" w:rsidRDefault="007E2F9F" w:rsidP="006548F8">
            <w:pPr>
              <w:tabs>
                <w:tab w:val="left" w:pos="875"/>
              </w:tabs>
              <w:jc w:val="right"/>
              <w:rPr>
                <w:rFonts w:ascii="Arial" w:hAnsi="Arial" w:cs="Arial"/>
                <w:b/>
                <w:u w:val="single"/>
              </w:rPr>
            </w:pPr>
            <w:r w:rsidRPr="00373665">
              <w:rPr>
                <w:rFonts w:ascii="Arial" w:hAnsi="Arial" w:cs="Arial"/>
                <w:b/>
                <w:u w:val="single"/>
              </w:rPr>
              <w:t>610.909.246.89</w:t>
            </w:r>
          </w:p>
        </w:tc>
      </w:tr>
    </w:tbl>
    <w:p w14:paraId="1DB441A7" w14:textId="77777777" w:rsidR="007E2F9F" w:rsidRDefault="007E2F9F" w:rsidP="007E2F9F">
      <w:pPr>
        <w:tabs>
          <w:tab w:val="left" w:pos="875"/>
        </w:tabs>
        <w:ind w:left="-142" w:right="-93"/>
        <w:jc w:val="both"/>
        <w:rPr>
          <w:rFonts w:ascii="Arial" w:hAnsi="Arial" w:cs="Arial"/>
        </w:rPr>
      </w:pPr>
    </w:p>
    <w:p w14:paraId="27475EDD" w14:textId="77777777" w:rsidR="007E2F9F" w:rsidRDefault="007E2F9F" w:rsidP="00042EE6">
      <w:pPr>
        <w:ind w:left="-284" w:right="-93"/>
        <w:jc w:val="both"/>
        <w:rPr>
          <w:rFonts w:ascii="Arial" w:hAnsi="Arial" w:cs="Arial"/>
          <w:b/>
          <w:sz w:val="28"/>
          <w:szCs w:val="28"/>
        </w:rPr>
      </w:pPr>
      <w:r w:rsidRPr="005D52AA">
        <w:rPr>
          <w:rFonts w:ascii="Arial" w:hAnsi="Arial" w:cs="Arial"/>
          <w:b/>
          <w:sz w:val="28"/>
          <w:szCs w:val="28"/>
        </w:rPr>
        <w:t xml:space="preserve">80.- UNIDAD ADMINISTRATIVA ESPECIAL DE ALIMENTACIÓN ESCOLAR - ALIMENTOS PARA APRENDER. </w:t>
      </w:r>
    </w:p>
    <w:p w14:paraId="780F0ACA" w14:textId="77777777" w:rsidR="007E2F9F" w:rsidRDefault="007E2F9F" w:rsidP="007E2F9F">
      <w:pPr>
        <w:ind w:left="-142" w:right="-93"/>
        <w:jc w:val="both"/>
        <w:rPr>
          <w:rFonts w:ascii="Arial" w:hAnsi="Arial" w:cs="Arial"/>
          <w:b/>
          <w:sz w:val="28"/>
          <w:szCs w:val="28"/>
        </w:rPr>
      </w:pPr>
    </w:p>
    <w:tbl>
      <w:tblPr>
        <w:tblStyle w:val="Tablaconcuadrcula"/>
        <w:tblW w:w="10207" w:type="dxa"/>
        <w:tblInd w:w="-289" w:type="dxa"/>
        <w:tblLook w:val="04A0" w:firstRow="1" w:lastRow="0" w:firstColumn="1" w:lastColumn="0" w:noHBand="0" w:noVBand="1"/>
      </w:tblPr>
      <w:tblGrid>
        <w:gridCol w:w="8364"/>
        <w:gridCol w:w="1843"/>
      </w:tblGrid>
      <w:tr w:rsidR="007E2F9F" w:rsidRPr="005D52AA" w14:paraId="7F78FDFC" w14:textId="77777777" w:rsidTr="00042EE6">
        <w:tc>
          <w:tcPr>
            <w:tcW w:w="8364" w:type="dxa"/>
          </w:tcPr>
          <w:p w14:paraId="741DE4A9" w14:textId="77777777" w:rsidR="007E2F9F" w:rsidRPr="005D52AA" w:rsidRDefault="007E2F9F" w:rsidP="006548F8">
            <w:pPr>
              <w:tabs>
                <w:tab w:val="left" w:pos="875"/>
              </w:tabs>
              <w:ind w:right="157"/>
              <w:rPr>
                <w:rFonts w:ascii="Arial" w:hAnsi="Arial" w:cs="Arial"/>
                <w:sz w:val="18"/>
                <w:szCs w:val="18"/>
              </w:rPr>
            </w:pPr>
            <w:r w:rsidRPr="005D52AA">
              <w:rPr>
                <w:rFonts w:ascii="Arial" w:hAnsi="Arial" w:cs="Arial"/>
                <w:lang w:val="es-ES_tradnl"/>
              </w:rPr>
              <w:t>Reservas presupuestales constituidas a 31 de diciembre de 2024</w:t>
            </w:r>
          </w:p>
        </w:tc>
        <w:tc>
          <w:tcPr>
            <w:tcW w:w="1843" w:type="dxa"/>
          </w:tcPr>
          <w:p w14:paraId="39DA1C35" w14:textId="77777777" w:rsidR="007E2F9F" w:rsidRPr="005D52AA" w:rsidRDefault="007E2F9F" w:rsidP="006548F8">
            <w:pPr>
              <w:tabs>
                <w:tab w:val="left" w:pos="875"/>
              </w:tabs>
              <w:jc w:val="right"/>
              <w:rPr>
                <w:rFonts w:ascii="Arial" w:hAnsi="Arial" w:cs="Arial"/>
                <w:sz w:val="18"/>
                <w:szCs w:val="18"/>
              </w:rPr>
            </w:pPr>
            <w:r w:rsidRPr="005D52AA">
              <w:rPr>
                <w:rFonts w:ascii="Arial" w:hAnsi="Arial" w:cs="Arial"/>
                <w:sz w:val="18"/>
                <w:szCs w:val="18"/>
              </w:rPr>
              <w:t>230.728.923</w:t>
            </w:r>
          </w:p>
        </w:tc>
      </w:tr>
      <w:tr w:rsidR="007E2F9F" w:rsidRPr="005D52AA" w14:paraId="4CCF6177" w14:textId="77777777" w:rsidTr="00042EE6">
        <w:tc>
          <w:tcPr>
            <w:tcW w:w="8364" w:type="dxa"/>
          </w:tcPr>
          <w:p w14:paraId="5FB4997E" w14:textId="77777777" w:rsidR="007E2F9F" w:rsidRPr="005D52AA" w:rsidRDefault="007E2F9F" w:rsidP="006548F8">
            <w:pPr>
              <w:tabs>
                <w:tab w:val="left" w:pos="875"/>
              </w:tabs>
              <w:ind w:right="157"/>
              <w:rPr>
                <w:rFonts w:ascii="Arial" w:hAnsi="Arial" w:cs="Arial"/>
                <w:sz w:val="18"/>
                <w:szCs w:val="18"/>
              </w:rPr>
            </w:pPr>
            <w:r w:rsidRPr="005D52AA">
              <w:rPr>
                <w:rFonts w:ascii="Arial" w:hAnsi="Arial" w:cs="Arial"/>
                <w:lang w:val="es-ES_tradnl"/>
              </w:rPr>
              <w:t>Cuentas por pagar constituidas a 31 de diciembre de 2024</w:t>
            </w:r>
          </w:p>
        </w:tc>
        <w:tc>
          <w:tcPr>
            <w:tcW w:w="1843" w:type="dxa"/>
          </w:tcPr>
          <w:p w14:paraId="2E7154CF" w14:textId="77777777" w:rsidR="007E2F9F" w:rsidRPr="005D52AA" w:rsidRDefault="007E2F9F" w:rsidP="006548F8">
            <w:pPr>
              <w:tabs>
                <w:tab w:val="left" w:pos="875"/>
              </w:tabs>
              <w:jc w:val="right"/>
              <w:rPr>
                <w:rFonts w:ascii="Arial" w:hAnsi="Arial" w:cs="Arial"/>
                <w:sz w:val="18"/>
                <w:szCs w:val="18"/>
              </w:rPr>
            </w:pPr>
            <w:r w:rsidRPr="005D52AA">
              <w:rPr>
                <w:rFonts w:ascii="Arial" w:hAnsi="Arial" w:cs="Arial"/>
                <w:sz w:val="18"/>
                <w:szCs w:val="18"/>
              </w:rPr>
              <w:t>1.109.573</w:t>
            </w:r>
          </w:p>
        </w:tc>
      </w:tr>
      <w:tr w:rsidR="007E2F9F" w:rsidRPr="005D52AA" w14:paraId="2F95668A" w14:textId="77777777" w:rsidTr="00042EE6">
        <w:tc>
          <w:tcPr>
            <w:tcW w:w="8364" w:type="dxa"/>
          </w:tcPr>
          <w:p w14:paraId="4ADAEB05" w14:textId="77777777" w:rsidR="007E2F9F" w:rsidRPr="005D52AA" w:rsidRDefault="007E2F9F" w:rsidP="006548F8">
            <w:pPr>
              <w:tabs>
                <w:tab w:val="left" w:pos="875"/>
              </w:tabs>
              <w:ind w:right="157"/>
              <w:rPr>
                <w:rFonts w:ascii="Arial" w:hAnsi="Arial" w:cs="Arial"/>
                <w:sz w:val="18"/>
                <w:szCs w:val="18"/>
              </w:rPr>
            </w:pPr>
            <w:r w:rsidRPr="005D52AA">
              <w:rPr>
                <w:rFonts w:ascii="Arial" w:hAnsi="Arial" w:cs="Arial"/>
                <w:b/>
                <w:lang w:val="es-ES_tradnl"/>
              </w:rPr>
              <w:t>TOTAL REZAGO PRESUPUESTAL CONSTITUIDO A 31 DE DICIEMBRE DE 2024</w:t>
            </w:r>
          </w:p>
        </w:tc>
        <w:tc>
          <w:tcPr>
            <w:tcW w:w="1843" w:type="dxa"/>
          </w:tcPr>
          <w:p w14:paraId="4B770205" w14:textId="77777777" w:rsidR="007E2F9F" w:rsidRPr="005D52AA" w:rsidRDefault="007E2F9F" w:rsidP="006548F8">
            <w:pPr>
              <w:tabs>
                <w:tab w:val="left" w:pos="875"/>
              </w:tabs>
              <w:jc w:val="right"/>
              <w:rPr>
                <w:rFonts w:ascii="Arial" w:hAnsi="Arial" w:cs="Arial"/>
                <w:b/>
                <w:sz w:val="18"/>
                <w:szCs w:val="18"/>
                <w:u w:val="single"/>
              </w:rPr>
            </w:pPr>
            <w:r w:rsidRPr="005D52AA">
              <w:rPr>
                <w:rFonts w:ascii="Arial" w:hAnsi="Arial" w:cs="Arial"/>
                <w:b/>
                <w:sz w:val="18"/>
                <w:szCs w:val="18"/>
                <w:u w:val="single"/>
              </w:rPr>
              <w:t>231.838.496</w:t>
            </w:r>
          </w:p>
        </w:tc>
      </w:tr>
    </w:tbl>
    <w:p w14:paraId="118B851E" w14:textId="77777777" w:rsidR="007E2F9F" w:rsidRDefault="007E2F9F" w:rsidP="007E2F9F">
      <w:pPr>
        <w:ind w:left="-142" w:right="-93"/>
        <w:jc w:val="both"/>
        <w:rPr>
          <w:rFonts w:ascii="Arial" w:hAnsi="Arial" w:cs="Arial"/>
        </w:rPr>
      </w:pPr>
    </w:p>
    <w:p w14:paraId="307E803A" w14:textId="77777777" w:rsidR="007E2F9F" w:rsidRPr="007615D2" w:rsidRDefault="007E2F9F" w:rsidP="00042EE6">
      <w:pPr>
        <w:ind w:left="-284"/>
        <w:jc w:val="both"/>
        <w:rPr>
          <w:rFonts w:ascii="Arial" w:hAnsi="Arial" w:cs="Arial"/>
          <w:b/>
          <w:sz w:val="28"/>
          <w:szCs w:val="28"/>
          <w:lang w:val="es-MX"/>
        </w:rPr>
      </w:pPr>
      <w:r w:rsidRPr="007615D2">
        <w:rPr>
          <w:rFonts w:ascii="Arial" w:hAnsi="Arial" w:cs="Arial"/>
          <w:b/>
          <w:sz w:val="28"/>
          <w:szCs w:val="28"/>
          <w:lang w:val="es-MX"/>
        </w:rPr>
        <w:t>85.- CONTADURÍA GENERAL DE LA NACIÓN.</w:t>
      </w:r>
    </w:p>
    <w:p w14:paraId="000A10FC" w14:textId="77777777" w:rsidR="007E2F9F" w:rsidRDefault="007E2F9F" w:rsidP="007E2F9F">
      <w:pPr>
        <w:jc w:val="both"/>
        <w:rPr>
          <w:b/>
          <w:sz w:val="28"/>
          <w:szCs w:val="28"/>
          <w:lang w:val="es-MX"/>
        </w:rPr>
      </w:pPr>
    </w:p>
    <w:tbl>
      <w:tblPr>
        <w:tblStyle w:val="Tablaconcuadrcula"/>
        <w:tblW w:w="10207" w:type="dxa"/>
        <w:tblInd w:w="-289" w:type="dxa"/>
        <w:tblLook w:val="04A0" w:firstRow="1" w:lastRow="0" w:firstColumn="1" w:lastColumn="0" w:noHBand="0" w:noVBand="1"/>
      </w:tblPr>
      <w:tblGrid>
        <w:gridCol w:w="8364"/>
        <w:gridCol w:w="1843"/>
      </w:tblGrid>
      <w:tr w:rsidR="007E2F9F" w:rsidRPr="007615D2" w14:paraId="2415E837" w14:textId="77777777" w:rsidTr="00042EE6">
        <w:tc>
          <w:tcPr>
            <w:tcW w:w="8364" w:type="dxa"/>
          </w:tcPr>
          <w:p w14:paraId="1D3A33D8" w14:textId="77777777" w:rsidR="007E2F9F" w:rsidRPr="007615D2" w:rsidRDefault="007E2F9F" w:rsidP="006548F8">
            <w:pPr>
              <w:tabs>
                <w:tab w:val="left" w:pos="875"/>
              </w:tabs>
              <w:ind w:right="157"/>
              <w:rPr>
                <w:rFonts w:ascii="Arial" w:hAnsi="Arial" w:cs="Arial"/>
              </w:rPr>
            </w:pPr>
            <w:r w:rsidRPr="007615D2">
              <w:rPr>
                <w:rFonts w:ascii="Arial" w:hAnsi="Arial" w:cs="Arial"/>
                <w:lang w:val="es-ES_tradnl"/>
              </w:rPr>
              <w:t>Reservas presupuestales constituidas a 31 de diciembre de 2024</w:t>
            </w:r>
          </w:p>
        </w:tc>
        <w:tc>
          <w:tcPr>
            <w:tcW w:w="1843" w:type="dxa"/>
          </w:tcPr>
          <w:p w14:paraId="5CE3A3F5" w14:textId="77777777" w:rsidR="007E2F9F" w:rsidRPr="007615D2" w:rsidRDefault="007E2F9F" w:rsidP="006548F8">
            <w:pPr>
              <w:tabs>
                <w:tab w:val="left" w:pos="875"/>
              </w:tabs>
              <w:jc w:val="right"/>
              <w:rPr>
                <w:rFonts w:ascii="Arial" w:hAnsi="Arial" w:cs="Arial"/>
              </w:rPr>
            </w:pPr>
            <w:r w:rsidRPr="007615D2">
              <w:rPr>
                <w:rFonts w:ascii="Arial" w:hAnsi="Arial" w:cs="Arial"/>
              </w:rPr>
              <w:t>378.590</w:t>
            </w:r>
          </w:p>
        </w:tc>
      </w:tr>
      <w:tr w:rsidR="007E2F9F" w:rsidRPr="007615D2" w14:paraId="768A3A7C" w14:textId="77777777" w:rsidTr="00042EE6">
        <w:tc>
          <w:tcPr>
            <w:tcW w:w="8364" w:type="dxa"/>
          </w:tcPr>
          <w:p w14:paraId="777A4345" w14:textId="77777777" w:rsidR="007E2F9F" w:rsidRPr="007615D2" w:rsidRDefault="007E2F9F" w:rsidP="006548F8">
            <w:pPr>
              <w:tabs>
                <w:tab w:val="left" w:pos="875"/>
              </w:tabs>
              <w:ind w:right="157"/>
              <w:rPr>
                <w:rFonts w:ascii="Arial" w:hAnsi="Arial" w:cs="Arial"/>
              </w:rPr>
            </w:pPr>
            <w:r w:rsidRPr="007615D2">
              <w:rPr>
                <w:rFonts w:ascii="Arial" w:hAnsi="Arial" w:cs="Arial"/>
                <w:lang w:val="es-ES_tradnl"/>
              </w:rPr>
              <w:t>Cuentas por pagar constituidas a 31 de diciembre de 2024</w:t>
            </w:r>
          </w:p>
        </w:tc>
        <w:tc>
          <w:tcPr>
            <w:tcW w:w="1843" w:type="dxa"/>
          </w:tcPr>
          <w:p w14:paraId="28739E3C" w14:textId="77777777" w:rsidR="007E2F9F" w:rsidRPr="007615D2" w:rsidRDefault="007E2F9F" w:rsidP="006548F8">
            <w:pPr>
              <w:tabs>
                <w:tab w:val="left" w:pos="875"/>
              </w:tabs>
              <w:jc w:val="right"/>
              <w:rPr>
                <w:rFonts w:ascii="Arial" w:hAnsi="Arial" w:cs="Arial"/>
              </w:rPr>
            </w:pPr>
            <w:r w:rsidRPr="007615D2">
              <w:rPr>
                <w:rFonts w:ascii="Arial" w:hAnsi="Arial" w:cs="Arial"/>
              </w:rPr>
              <w:t>36.517</w:t>
            </w:r>
          </w:p>
        </w:tc>
      </w:tr>
      <w:tr w:rsidR="007E2F9F" w:rsidRPr="007615D2" w14:paraId="0DDB9F45" w14:textId="77777777" w:rsidTr="00042EE6">
        <w:tc>
          <w:tcPr>
            <w:tcW w:w="8364" w:type="dxa"/>
          </w:tcPr>
          <w:p w14:paraId="2FF2AD52" w14:textId="77777777" w:rsidR="007E2F9F" w:rsidRPr="007615D2" w:rsidRDefault="007E2F9F" w:rsidP="006548F8">
            <w:pPr>
              <w:tabs>
                <w:tab w:val="left" w:pos="875"/>
              </w:tabs>
              <w:ind w:right="157"/>
              <w:rPr>
                <w:rFonts w:ascii="Arial" w:hAnsi="Arial" w:cs="Arial"/>
              </w:rPr>
            </w:pPr>
            <w:r w:rsidRPr="007615D2">
              <w:rPr>
                <w:rFonts w:ascii="Arial" w:hAnsi="Arial" w:cs="Arial"/>
                <w:b/>
                <w:lang w:val="es-ES_tradnl"/>
              </w:rPr>
              <w:t>TOTAL REZAGO PRESUPUESTAL CONSTITUIDO A 31 DE DICIEMBRE DE 2024</w:t>
            </w:r>
          </w:p>
        </w:tc>
        <w:tc>
          <w:tcPr>
            <w:tcW w:w="1843" w:type="dxa"/>
          </w:tcPr>
          <w:p w14:paraId="0BEFE973" w14:textId="77777777" w:rsidR="007E2F9F" w:rsidRPr="007615D2" w:rsidRDefault="007E2F9F" w:rsidP="006548F8">
            <w:pPr>
              <w:tabs>
                <w:tab w:val="left" w:pos="875"/>
              </w:tabs>
              <w:jc w:val="right"/>
              <w:rPr>
                <w:rFonts w:ascii="Arial" w:hAnsi="Arial" w:cs="Arial"/>
                <w:b/>
                <w:u w:val="single"/>
              </w:rPr>
            </w:pPr>
            <w:r w:rsidRPr="007615D2">
              <w:rPr>
                <w:rFonts w:ascii="Arial" w:hAnsi="Arial" w:cs="Arial"/>
                <w:b/>
                <w:u w:val="single"/>
              </w:rPr>
              <w:t>415.107</w:t>
            </w:r>
          </w:p>
        </w:tc>
      </w:tr>
    </w:tbl>
    <w:p w14:paraId="3D79E046" w14:textId="77777777" w:rsidR="007E2F9F" w:rsidRDefault="007E2F9F" w:rsidP="007E2F9F">
      <w:pPr>
        <w:ind w:left="-142" w:right="-93"/>
        <w:jc w:val="both"/>
        <w:rPr>
          <w:rFonts w:ascii="Arial" w:hAnsi="Arial" w:cs="Arial"/>
          <w:lang w:val="es-MX"/>
        </w:rPr>
      </w:pPr>
    </w:p>
    <w:p w14:paraId="079DBED7" w14:textId="77777777" w:rsidR="007E2F9F" w:rsidRPr="00941F73" w:rsidRDefault="007E2F9F" w:rsidP="00042EE6">
      <w:pPr>
        <w:ind w:left="-284"/>
        <w:jc w:val="both"/>
        <w:rPr>
          <w:rFonts w:ascii="Arial" w:eastAsia="Arial" w:hAnsi="Arial" w:cs="Arial"/>
          <w:b/>
          <w:sz w:val="28"/>
          <w:szCs w:val="28"/>
          <w:lang w:val="es-MX"/>
        </w:rPr>
      </w:pPr>
      <w:r w:rsidRPr="00941F73">
        <w:rPr>
          <w:rFonts w:ascii="Arial" w:hAnsi="Arial" w:cs="Arial"/>
          <w:b/>
          <w:sz w:val="28"/>
          <w:szCs w:val="28"/>
          <w:lang w:val="es-MX"/>
        </w:rPr>
        <w:t xml:space="preserve">86.- DEFENSA CIVIL COLOMBIANA </w:t>
      </w:r>
      <w:r w:rsidRPr="00941F73">
        <w:rPr>
          <w:rFonts w:ascii="Arial" w:hAnsi="Arial" w:cs="Arial"/>
          <w:b/>
          <w:sz w:val="28"/>
          <w:szCs w:val="28"/>
        </w:rPr>
        <w:t>– GUILLERMO LEÓN VALENCIA.</w:t>
      </w:r>
    </w:p>
    <w:p w14:paraId="49AEF6AD"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110A3D" w14:paraId="6D68A94C" w14:textId="77777777" w:rsidTr="00042EE6">
        <w:tc>
          <w:tcPr>
            <w:tcW w:w="8364" w:type="dxa"/>
          </w:tcPr>
          <w:p w14:paraId="583A2A01" w14:textId="77777777" w:rsidR="007E2F9F" w:rsidRPr="00110A3D" w:rsidRDefault="007E2F9F" w:rsidP="006548F8">
            <w:pPr>
              <w:tabs>
                <w:tab w:val="left" w:pos="875"/>
              </w:tabs>
              <w:ind w:right="157"/>
              <w:rPr>
                <w:rFonts w:ascii="Arial" w:hAnsi="Arial" w:cs="Arial"/>
                <w:sz w:val="18"/>
                <w:szCs w:val="18"/>
              </w:rPr>
            </w:pPr>
            <w:r w:rsidRPr="00110A3D">
              <w:rPr>
                <w:rFonts w:ascii="Arial" w:hAnsi="Arial" w:cs="Arial"/>
                <w:lang w:val="es-ES_tradnl"/>
              </w:rPr>
              <w:t>Reservas presupuestales constituidas a 31 de diciembre de 2024</w:t>
            </w:r>
          </w:p>
        </w:tc>
        <w:tc>
          <w:tcPr>
            <w:tcW w:w="1985" w:type="dxa"/>
          </w:tcPr>
          <w:p w14:paraId="4A6A5C6D" w14:textId="77777777" w:rsidR="007E2F9F" w:rsidRPr="00110A3D" w:rsidRDefault="007E2F9F" w:rsidP="006548F8">
            <w:pPr>
              <w:tabs>
                <w:tab w:val="left" w:pos="875"/>
              </w:tabs>
              <w:jc w:val="right"/>
              <w:rPr>
                <w:rFonts w:ascii="Arial" w:hAnsi="Arial" w:cs="Arial"/>
              </w:rPr>
            </w:pPr>
            <w:r w:rsidRPr="00110A3D">
              <w:rPr>
                <w:rFonts w:ascii="Arial" w:hAnsi="Arial" w:cs="Arial"/>
              </w:rPr>
              <w:t>1.079.018</w:t>
            </w:r>
          </w:p>
        </w:tc>
      </w:tr>
      <w:tr w:rsidR="007E2F9F" w:rsidRPr="00110A3D" w14:paraId="72209A2B" w14:textId="77777777" w:rsidTr="00042EE6">
        <w:tc>
          <w:tcPr>
            <w:tcW w:w="8364" w:type="dxa"/>
          </w:tcPr>
          <w:p w14:paraId="6333B16F" w14:textId="77777777" w:rsidR="007E2F9F" w:rsidRPr="00110A3D" w:rsidRDefault="007E2F9F" w:rsidP="006548F8">
            <w:pPr>
              <w:tabs>
                <w:tab w:val="left" w:pos="875"/>
              </w:tabs>
              <w:ind w:right="157"/>
              <w:rPr>
                <w:rFonts w:ascii="Arial" w:hAnsi="Arial" w:cs="Arial"/>
                <w:sz w:val="18"/>
                <w:szCs w:val="18"/>
              </w:rPr>
            </w:pPr>
            <w:r w:rsidRPr="00110A3D">
              <w:rPr>
                <w:rFonts w:ascii="Arial" w:hAnsi="Arial" w:cs="Arial"/>
                <w:lang w:val="es-ES_tradnl"/>
              </w:rPr>
              <w:t>Cuentas por pagar constituidas a 31 de diciembre de 2024</w:t>
            </w:r>
          </w:p>
        </w:tc>
        <w:tc>
          <w:tcPr>
            <w:tcW w:w="1985" w:type="dxa"/>
          </w:tcPr>
          <w:p w14:paraId="512ACDA9" w14:textId="77777777" w:rsidR="007E2F9F" w:rsidRPr="00110A3D" w:rsidRDefault="007E2F9F" w:rsidP="006548F8">
            <w:pPr>
              <w:tabs>
                <w:tab w:val="left" w:pos="875"/>
              </w:tabs>
              <w:jc w:val="right"/>
              <w:rPr>
                <w:rFonts w:ascii="Arial" w:hAnsi="Arial" w:cs="Arial"/>
              </w:rPr>
            </w:pPr>
            <w:r w:rsidRPr="00110A3D">
              <w:rPr>
                <w:rFonts w:ascii="Arial" w:hAnsi="Arial" w:cs="Arial"/>
              </w:rPr>
              <w:t>818.038</w:t>
            </w:r>
          </w:p>
        </w:tc>
      </w:tr>
      <w:tr w:rsidR="007E2F9F" w:rsidRPr="00110A3D" w14:paraId="5327C9FF" w14:textId="77777777" w:rsidTr="00042EE6">
        <w:tc>
          <w:tcPr>
            <w:tcW w:w="8364" w:type="dxa"/>
          </w:tcPr>
          <w:p w14:paraId="67C7524A" w14:textId="77777777" w:rsidR="007E2F9F" w:rsidRPr="00110A3D" w:rsidRDefault="007E2F9F" w:rsidP="006548F8">
            <w:pPr>
              <w:tabs>
                <w:tab w:val="left" w:pos="875"/>
              </w:tabs>
              <w:ind w:right="157"/>
              <w:rPr>
                <w:rFonts w:ascii="Arial" w:hAnsi="Arial" w:cs="Arial"/>
                <w:sz w:val="18"/>
                <w:szCs w:val="18"/>
              </w:rPr>
            </w:pPr>
            <w:r w:rsidRPr="00110A3D">
              <w:rPr>
                <w:rFonts w:ascii="Arial" w:hAnsi="Arial" w:cs="Arial"/>
                <w:b/>
                <w:lang w:val="es-ES_tradnl"/>
              </w:rPr>
              <w:t>TOTAL REZAGO PRESUPUESTAL CONSTITUIDO A 31 DE DICIEMBRE DE 2024</w:t>
            </w:r>
          </w:p>
        </w:tc>
        <w:tc>
          <w:tcPr>
            <w:tcW w:w="1985" w:type="dxa"/>
          </w:tcPr>
          <w:p w14:paraId="64ACC5A9" w14:textId="77777777" w:rsidR="007E2F9F" w:rsidRPr="00110A3D" w:rsidRDefault="007E2F9F" w:rsidP="006548F8">
            <w:pPr>
              <w:tabs>
                <w:tab w:val="left" w:pos="875"/>
              </w:tabs>
              <w:jc w:val="right"/>
              <w:rPr>
                <w:rFonts w:ascii="Arial" w:hAnsi="Arial" w:cs="Arial"/>
                <w:b/>
                <w:u w:val="single"/>
              </w:rPr>
            </w:pPr>
            <w:r w:rsidRPr="00110A3D">
              <w:rPr>
                <w:rFonts w:ascii="Arial" w:hAnsi="Arial" w:cs="Arial"/>
                <w:b/>
                <w:u w:val="single"/>
              </w:rPr>
              <w:t>1.897.056</w:t>
            </w:r>
          </w:p>
        </w:tc>
      </w:tr>
    </w:tbl>
    <w:p w14:paraId="387D212A" w14:textId="77777777" w:rsidR="007E2F9F" w:rsidRDefault="007E2F9F" w:rsidP="007E2F9F">
      <w:pPr>
        <w:ind w:left="-142" w:right="-93"/>
        <w:jc w:val="both"/>
        <w:rPr>
          <w:rFonts w:ascii="Arial" w:hAnsi="Arial" w:cs="Arial"/>
          <w:lang w:val="es-MX"/>
        </w:rPr>
      </w:pPr>
    </w:p>
    <w:p w14:paraId="336E26D2" w14:textId="77777777" w:rsidR="007E2F9F" w:rsidRPr="00652482" w:rsidRDefault="007E2F9F" w:rsidP="00042EE6">
      <w:pPr>
        <w:ind w:left="-284"/>
        <w:jc w:val="both"/>
        <w:rPr>
          <w:rFonts w:ascii="Arial" w:hAnsi="Arial" w:cs="Arial"/>
          <w:b/>
          <w:sz w:val="28"/>
          <w:szCs w:val="28"/>
          <w:lang w:val="es-MX"/>
        </w:rPr>
      </w:pPr>
      <w:r w:rsidRPr="00652482">
        <w:rPr>
          <w:rFonts w:ascii="Arial" w:hAnsi="Arial" w:cs="Arial"/>
          <w:b/>
          <w:sz w:val="28"/>
          <w:szCs w:val="28"/>
          <w:lang w:val="es-MX"/>
        </w:rPr>
        <w:t>88.- SENADO DE LA REPÚBLICA.</w:t>
      </w:r>
    </w:p>
    <w:p w14:paraId="23D4029C"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EB3A74" w14:paraId="362B345B" w14:textId="77777777" w:rsidTr="00042EE6">
        <w:tc>
          <w:tcPr>
            <w:tcW w:w="8364" w:type="dxa"/>
          </w:tcPr>
          <w:p w14:paraId="1774D69E" w14:textId="77777777" w:rsidR="007E2F9F" w:rsidRPr="00EB3A74" w:rsidRDefault="007E2F9F" w:rsidP="006548F8">
            <w:pPr>
              <w:tabs>
                <w:tab w:val="left" w:pos="875"/>
              </w:tabs>
              <w:ind w:right="157"/>
              <w:rPr>
                <w:rFonts w:ascii="Arial" w:hAnsi="Arial" w:cs="Arial"/>
              </w:rPr>
            </w:pPr>
            <w:r w:rsidRPr="00EB3A74">
              <w:rPr>
                <w:rFonts w:ascii="Arial" w:hAnsi="Arial" w:cs="Arial"/>
                <w:lang w:val="es-ES_tradnl"/>
              </w:rPr>
              <w:t>Reservas presupuestales constituidas a 31 de diciembre de 2024</w:t>
            </w:r>
          </w:p>
        </w:tc>
        <w:tc>
          <w:tcPr>
            <w:tcW w:w="1985" w:type="dxa"/>
          </w:tcPr>
          <w:p w14:paraId="785A2ADC" w14:textId="77777777" w:rsidR="007E2F9F" w:rsidRPr="00EB3A74" w:rsidRDefault="007E2F9F" w:rsidP="006548F8">
            <w:pPr>
              <w:tabs>
                <w:tab w:val="left" w:pos="875"/>
              </w:tabs>
              <w:jc w:val="right"/>
              <w:rPr>
                <w:rFonts w:ascii="Arial" w:hAnsi="Arial" w:cs="Arial"/>
              </w:rPr>
            </w:pPr>
            <w:r w:rsidRPr="00EB3A74">
              <w:rPr>
                <w:rFonts w:ascii="Arial" w:hAnsi="Arial" w:cs="Arial"/>
              </w:rPr>
              <w:t>85.513.701</w:t>
            </w:r>
          </w:p>
        </w:tc>
      </w:tr>
      <w:tr w:rsidR="007E2F9F" w:rsidRPr="00EB3A74" w14:paraId="71671264" w14:textId="77777777" w:rsidTr="00042EE6">
        <w:tc>
          <w:tcPr>
            <w:tcW w:w="8364" w:type="dxa"/>
          </w:tcPr>
          <w:p w14:paraId="32845968" w14:textId="77777777" w:rsidR="007E2F9F" w:rsidRPr="00EB3A74" w:rsidRDefault="007E2F9F" w:rsidP="006548F8">
            <w:pPr>
              <w:tabs>
                <w:tab w:val="left" w:pos="875"/>
              </w:tabs>
              <w:ind w:right="157"/>
              <w:rPr>
                <w:rFonts w:ascii="Arial" w:hAnsi="Arial" w:cs="Arial"/>
              </w:rPr>
            </w:pPr>
            <w:r w:rsidRPr="00EB3A74">
              <w:rPr>
                <w:rFonts w:ascii="Arial" w:hAnsi="Arial" w:cs="Arial"/>
                <w:lang w:val="es-ES_tradnl"/>
              </w:rPr>
              <w:t>Cuentas por pagar constituidas a 31 de diciembre de 2024</w:t>
            </w:r>
          </w:p>
        </w:tc>
        <w:tc>
          <w:tcPr>
            <w:tcW w:w="1985" w:type="dxa"/>
          </w:tcPr>
          <w:p w14:paraId="1A66B629" w14:textId="77777777" w:rsidR="007E2F9F" w:rsidRPr="00EB3A74" w:rsidRDefault="007E2F9F" w:rsidP="006548F8">
            <w:pPr>
              <w:tabs>
                <w:tab w:val="left" w:pos="875"/>
              </w:tabs>
              <w:jc w:val="right"/>
              <w:rPr>
                <w:rFonts w:ascii="Arial" w:hAnsi="Arial" w:cs="Arial"/>
              </w:rPr>
            </w:pPr>
            <w:r w:rsidRPr="00EB3A74">
              <w:rPr>
                <w:rFonts w:ascii="Arial" w:hAnsi="Arial" w:cs="Arial"/>
              </w:rPr>
              <w:t>176.666</w:t>
            </w:r>
          </w:p>
        </w:tc>
      </w:tr>
      <w:tr w:rsidR="007E2F9F" w:rsidRPr="00EB3A74" w14:paraId="53746F4A" w14:textId="77777777" w:rsidTr="00042EE6">
        <w:tc>
          <w:tcPr>
            <w:tcW w:w="8364" w:type="dxa"/>
          </w:tcPr>
          <w:p w14:paraId="1A397BD1" w14:textId="77777777" w:rsidR="007E2F9F" w:rsidRPr="00EB3A74" w:rsidRDefault="007E2F9F" w:rsidP="006548F8">
            <w:pPr>
              <w:tabs>
                <w:tab w:val="left" w:pos="875"/>
              </w:tabs>
              <w:ind w:right="157"/>
              <w:rPr>
                <w:rFonts w:ascii="Arial" w:hAnsi="Arial" w:cs="Arial"/>
              </w:rPr>
            </w:pPr>
            <w:r w:rsidRPr="00EB3A74">
              <w:rPr>
                <w:rFonts w:ascii="Arial" w:hAnsi="Arial" w:cs="Arial"/>
                <w:b/>
                <w:lang w:val="es-ES_tradnl"/>
              </w:rPr>
              <w:t>TOTAL REZAGO PRESUPUESTAL CONSTITUIDO A 31 DE DICIEMBRE DE 2024</w:t>
            </w:r>
          </w:p>
        </w:tc>
        <w:tc>
          <w:tcPr>
            <w:tcW w:w="1985" w:type="dxa"/>
            <w:shd w:val="clear" w:color="auto" w:fill="FFFF00"/>
          </w:tcPr>
          <w:p w14:paraId="2A4FD393" w14:textId="77777777" w:rsidR="007E2F9F" w:rsidRPr="00EB3A74" w:rsidRDefault="007E2F9F" w:rsidP="006548F8">
            <w:pPr>
              <w:tabs>
                <w:tab w:val="left" w:pos="875"/>
              </w:tabs>
              <w:jc w:val="right"/>
              <w:rPr>
                <w:rFonts w:ascii="Arial" w:hAnsi="Arial" w:cs="Arial"/>
                <w:b/>
                <w:u w:val="single"/>
              </w:rPr>
            </w:pPr>
            <w:r w:rsidRPr="00EB3A74">
              <w:rPr>
                <w:rFonts w:ascii="Arial" w:hAnsi="Arial" w:cs="Arial"/>
                <w:b/>
                <w:u w:val="single"/>
              </w:rPr>
              <w:t>85.690.367</w:t>
            </w:r>
          </w:p>
        </w:tc>
      </w:tr>
    </w:tbl>
    <w:p w14:paraId="34DE4F43" w14:textId="77777777" w:rsidR="007E2F9F" w:rsidRDefault="007E2F9F" w:rsidP="007E2F9F">
      <w:pPr>
        <w:ind w:left="-142" w:right="-93"/>
        <w:jc w:val="both"/>
        <w:rPr>
          <w:rFonts w:ascii="Arial" w:hAnsi="Arial" w:cs="Arial"/>
          <w:lang w:val="es-MX"/>
        </w:rPr>
      </w:pPr>
    </w:p>
    <w:p w14:paraId="4F938DF6" w14:textId="77777777" w:rsidR="007E2F9F" w:rsidRPr="00C23C0F" w:rsidRDefault="007E2F9F" w:rsidP="00042EE6">
      <w:pPr>
        <w:ind w:left="-284"/>
        <w:jc w:val="both"/>
        <w:rPr>
          <w:rFonts w:ascii="Arial" w:hAnsi="Arial" w:cs="Arial"/>
          <w:b/>
          <w:sz w:val="28"/>
          <w:szCs w:val="28"/>
          <w:lang w:val="es-MX"/>
        </w:rPr>
      </w:pPr>
      <w:r w:rsidRPr="00C23C0F">
        <w:rPr>
          <w:rFonts w:ascii="Arial" w:hAnsi="Arial" w:cs="Arial"/>
          <w:b/>
          <w:sz w:val="28"/>
          <w:szCs w:val="28"/>
          <w:lang w:val="es-MX"/>
        </w:rPr>
        <w:t>89.- CORPORACIÓN AGENCIA NACIONAL DE GOBIERNO DIGITAL - AND.</w:t>
      </w:r>
    </w:p>
    <w:p w14:paraId="6ABA014A" w14:textId="77777777" w:rsidR="007E2F9F" w:rsidRDefault="007E2F9F" w:rsidP="007E2F9F">
      <w:pPr>
        <w:ind w:left="-142" w:right="-93"/>
        <w:jc w:val="both"/>
        <w:rPr>
          <w:rFonts w:ascii="Arial" w:hAnsi="Arial" w:cs="Arial"/>
          <w:lang w:val="es-MX"/>
        </w:rPr>
      </w:pPr>
    </w:p>
    <w:tbl>
      <w:tblPr>
        <w:tblW w:w="10349" w:type="dxa"/>
        <w:tblInd w:w="-292" w:type="dxa"/>
        <w:tblLayout w:type="fixed"/>
        <w:tblLook w:val="04A0" w:firstRow="1" w:lastRow="0" w:firstColumn="1" w:lastColumn="0" w:noHBand="0" w:noVBand="1"/>
      </w:tblPr>
      <w:tblGrid>
        <w:gridCol w:w="8364"/>
        <w:gridCol w:w="1985"/>
      </w:tblGrid>
      <w:tr w:rsidR="007E2F9F" w:rsidRPr="007818AD" w14:paraId="171EC2F2" w14:textId="77777777" w:rsidTr="00042EE6">
        <w:trPr>
          <w:trHeight w:val="327"/>
        </w:trPr>
        <w:tc>
          <w:tcPr>
            <w:tcW w:w="836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D05570" w14:textId="77777777" w:rsidR="007E2F9F" w:rsidRPr="007818AD" w:rsidRDefault="007E2F9F" w:rsidP="006548F8">
            <w:pPr>
              <w:jc w:val="both"/>
              <w:rPr>
                <w:rFonts w:ascii="Arial" w:hAnsi="Arial" w:cs="Arial"/>
                <w:color w:val="44546A" w:themeColor="text2"/>
                <w:sz w:val="20"/>
                <w:szCs w:val="20"/>
              </w:rPr>
            </w:pPr>
            <w:r w:rsidRPr="007818AD">
              <w:rPr>
                <w:rFonts w:ascii="Arial" w:hAnsi="Arial" w:cs="Arial"/>
                <w:color w:val="44546A" w:themeColor="text2"/>
                <w:sz w:val="20"/>
                <w:szCs w:val="20"/>
              </w:rPr>
              <w:t>Reservas presupuestales constituidas a 31 de diciembre de 2023</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F6A968F" w14:textId="77777777" w:rsidR="007E2F9F" w:rsidRPr="007818AD" w:rsidRDefault="007E2F9F" w:rsidP="006548F8">
            <w:pPr>
              <w:jc w:val="right"/>
              <w:rPr>
                <w:rFonts w:ascii="Arial" w:hAnsi="Arial" w:cs="Arial"/>
                <w:color w:val="44546A" w:themeColor="text2"/>
                <w:sz w:val="20"/>
                <w:szCs w:val="20"/>
              </w:rPr>
            </w:pPr>
            <w:r w:rsidRPr="1D4AF0C3">
              <w:rPr>
                <w:rFonts w:ascii="Arial" w:hAnsi="Arial" w:cs="Arial"/>
                <w:color w:val="44546A" w:themeColor="text2"/>
                <w:sz w:val="20"/>
                <w:szCs w:val="20"/>
              </w:rPr>
              <w:t>$1.645.211</w:t>
            </w:r>
          </w:p>
        </w:tc>
      </w:tr>
      <w:tr w:rsidR="007E2F9F" w:rsidRPr="007818AD" w14:paraId="547700D7" w14:textId="77777777" w:rsidTr="00042EE6">
        <w:trPr>
          <w:trHeight w:val="327"/>
        </w:trPr>
        <w:tc>
          <w:tcPr>
            <w:tcW w:w="836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296CF9" w14:textId="77777777" w:rsidR="007E2F9F" w:rsidRPr="007818AD" w:rsidRDefault="007E2F9F" w:rsidP="006548F8">
            <w:pPr>
              <w:jc w:val="both"/>
              <w:rPr>
                <w:rFonts w:ascii="Arial" w:hAnsi="Arial" w:cs="Arial"/>
                <w:color w:val="44546A" w:themeColor="text2"/>
                <w:sz w:val="20"/>
                <w:szCs w:val="20"/>
              </w:rPr>
            </w:pPr>
            <w:r w:rsidRPr="007818AD">
              <w:rPr>
                <w:rFonts w:ascii="Arial" w:hAnsi="Arial" w:cs="Arial"/>
                <w:color w:val="44546A" w:themeColor="text2"/>
                <w:sz w:val="20"/>
                <w:szCs w:val="20"/>
              </w:rPr>
              <w:t>Cuentas por pagar constituidas a 31 de diciembre de 2023</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4642A1" w14:textId="77777777" w:rsidR="007E2F9F" w:rsidRPr="007818AD" w:rsidRDefault="007E2F9F" w:rsidP="006548F8">
            <w:pPr>
              <w:jc w:val="right"/>
              <w:rPr>
                <w:rFonts w:ascii="Arial" w:hAnsi="Arial" w:cs="Arial"/>
                <w:color w:val="44546A" w:themeColor="text2"/>
                <w:sz w:val="20"/>
                <w:szCs w:val="20"/>
              </w:rPr>
            </w:pPr>
            <w:r w:rsidRPr="1D4AF0C3">
              <w:rPr>
                <w:rFonts w:ascii="Arial" w:hAnsi="Arial" w:cs="Arial"/>
                <w:color w:val="44546A" w:themeColor="text2"/>
                <w:sz w:val="20"/>
                <w:szCs w:val="20"/>
              </w:rPr>
              <w:t>$6.810.267</w:t>
            </w:r>
          </w:p>
        </w:tc>
      </w:tr>
      <w:tr w:rsidR="007E2F9F" w:rsidRPr="007818AD" w14:paraId="6365F31A" w14:textId="77777777" w:rsidTr="00042EE6">
        <w:trPr>
          <w:trHeight w:val="327"/>
        </w:trPr>
        <w:tc>
          <w:tcPr>
            <w:tcW w:w="836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681696" w14:textId="77777777" w:rsidR="007E2F9F" w:rsidRPr="007818AD" w:rsidRDefault="007E2F9F" w:rsidP="006548F8">
            <w:pPr>
              <w:jc w:val="both"/>
              <w:rPr>
                <w:rFonts w:ascii="Arial" w:hAnsi="Arial" w:cs="Arial"/>
                <w:color w:val="44546A" w:themeColor="text2"/>
                <w:sz w:val="20"/>
                <w:szCs w:val="20"/>
              </w:rPr>
            </w:pPr>
            <w:r w:rsidRPr="00B10B05">
              <w:rPr>
                <w:rFonts w:ascii="Arial" w:hAnsi="Arial" w:cs="Arial"/>
                <w:b/>
                <w:bCs/>
                <w:color w:val="44546A" w:themeColor="text2"/>
                <w:sz w:val="18"/>
                <w:szCs w:val="18"/>
              </w:rPr>
              <w:t>TOTAL REZAGO PRESUPUESTAL CONSTITUIDO A 31 DE DICIEMBRE DE 2023</w:t>
            </w:r>
          </w:p>
        </w:tc>
        <w:tc>
          <w:tcPr>
            <w:tcW w:w="198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8377A91" w14:textId="77777777" w:rsidR="007E2F9F" w:rsidRPr="007818AD" w:rsidRDefault="007E2F9F" w:rsidP="006548F8">
            <w:pPr>
              <w:jc w:val="right"/>
              <w:rPr>
                <w:rFonts w:ascii="Arial" w:hAnsi="Arial" w:cs="Arial"/>
                <w:b/>
                <w:bCs/>
                <w:color w:val="44546A" w:themeColor="text2"/>
                <w:sz w:val="20"/>
                <w:szCs w:val="20"/>
              </w:rPr>
            </w:pPr>
            <w:r w:rsidRPr="1D4AF0C3">
              <w:rPr>
                <w:rFonts w:ascii="Arial" w:hAnsi="Arial" w:cs="Arial"/>
                <w:b/>
                <w:bCs/>
                <w:color w:val="44546A" w:themeColor="text2"/>
                <w:sz w:val="18"/>
                <w:szCs w:val="18"/>
              </w:rPr>
              <w:t>$8.455.478</w:t>
            </w:r>
          </w:p>
        </w:tc>
      </w:tr>
    </w:tbl>
    <w:p w14:paraId="592C11E6" w14:textId="77777777" w:rsidR="007E2F9F" w:rsidRDefault="007E2F9F" w:rsidP="007E2F9F">
      <w:pPr>
        <w:ind w:left="-142" w:right="-93"/>
        <w:jc w:val="both"/>
        <w:rPr>
          <w:rFonts w:ascii="Arial" w:hAnsi="Arial" w:cs="Arial"/>
          <w:lang w:val="es-MX"/>
        </w:rPr>
      </w:pPr>
    </w:p>
    <w:p w14:paraId="0AB77C26" w14:textId="77777777" w:rsidR="007E2F9F" w:rsidRPr="00103309" w:rsidRDefault="007E2F9F" w:rsidP="00042EE6">
      <w:pPr>
        <w:ind w:left="-284" w:right="-93"/>
        <w:jc w:val="both"/>
        <w:rPr>
          <w:rFonts w:ascii="Arial" w:hAnsi="Arial" w:cs="Arial"/>
          <w:b/>
          <w:sz w:val="28"/>
          <w:szCs w:val="28"/>
          <w:lang w:val="es-MX"/>
        </w:rPr>
      </w:pPr>
      <w:r w:rsidRPr="00103309">
        <w:rPr>
          <w:rFonts w:ascii="Arial" w:hAnsi="Arial" w:cs="Arial"/>
          <w:b/>
          <w:sz w:val="28"/>
          <w:szCs w:val="28"/>
          <w:lang w:val="es-MX"/>
        </w:rPr>
        <w:t xml:space="preserve">96.- </w:t>
      </w:r>
      <w:r w:rsidRPr="00103309">
        <w:rPr>
          <w:rFonts w:ascii="Arial" w:hAnsi="Arial" w:cs="Arial"/>
          <w:b/>
          <w:sz w:val="28"/>
          <w:szCs w:val="28"/>
        </w:rPr>
        <w:t>CORPORACIÓN NACIONAL PARA LA RECONSTRUCCIÒN DE LA CUENCA DEL RIO PAEZ Y ZONAS ALEDAÑAS - NASA KIWE.</w:t>
      </w:r>
    </w:p>
    <w:p w14:paraId="3C227E3E"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F05A7D" w14:paraId="6443E515" w14:textId="77777777" w:rsidTr="00042EE6">
        <w:tc>
          <w:tcPr>
            <w:tcW w:w="8648" w:type="dxa"/>
          </w:tcPr>
          <w:p w14:paraId="1251F275" w14:textId="77777777" w:rsidR="007E2F9F" w:rsidRPr="00F05A7D" w:rsidRDefault="007E2F9F" w:rsidP="006548F8">
            <w:pPr>
              <w:tabs>
                <w:tab w:val="left" w:pos="875"/>
              </w:tabs>
              <w:ind w:right="157"/>
              <w:rPr>
                <w:rFonts w:ascii="Arial" w:hAnsi="Arial" w:cs="Arial"/>
                <w:sz w:val="18"/>
                <w:szCs w:val="18"/>
              </w:rPr>
            </w:pPr>
            <w:r w:rsidRPr="00F05A7D">
              <w:rPr>
                <w:rFonts w:ascii="Arial" w:hAnsi="Arial" w:cs="Arial"/>
                <w:lang w:val="es-ES_tradnl"/>
              </w:rPr>
              <w:lastRenderedPageBreak/>
              <w:t>Reservas presupuestales constituidas a 31 de diciembre de 2024</w:t>
            </w:r>
          </w:p>
        </w:tc>
        <w:tc>
          <w:tcPr>
            <w:tcW w:w="1701" w:type="dxa"/>
          </w:tcPr>
          <w:p w14:paraId="6CCF357D" w14:textId="77777777" w:rsidR="007E2F9F" w:rsidRPr="00F05A7D" w:rsidRDefault="007E2F9F" w:rsidP="006548F8">
            <w:pPr>
              <w:tabs>
                <w:tab w:val="left" w:pos="875"/>
              </w:tabs>
              <w:jc w:val="right"/>
              <w:rPr>
                <w:rFonts w:ascii="Arial" w:hAnsi="Arial" w:cs="Arial"/>
                <w:sz w:val="18"/>
                <w:szCs w:val="18"/>
              </w:rPr>
            </w:pPr>
            <w:r w:rsidRPr="00F05A7D">
              <w:rPr>
                <w:rFonts w:ascii="Arial" w:hAnsi="Arial" w:cs="Arial"/>
                <w:sz w:val="18"/>
                <w:szCs w:val="18"/>
              </w:rPr>
              <w:t>1.236.916</w:t>
            </w:r>
          </w:p>
        </w:tc>
      </w:tr>
      <w:tr w:rsidR="007E2F9F" w:rsidRPr="00F05A7D" w14:paraId="5CEEDCE3" w14:textId="77777777" w:rsidTr="00042EE6">
        <w:tc>
          <w:tcPr>
            <w:tcW w:w="8648" w:type="dxa"/>
          </w:tcPr>
          <w:p w14:paraId="1BB84D65" w14:textId="77777777" w:rsidR="007E2F9F" w:rsidRPr="00F05A7D" w:rsidRDefault="007E2F9F" w:rsidP="006548F8">
            <w:pPr>
              <w:tabs>
                <w:tab w:val="left" w:pos="875"/>
              </w:tabs>
              <w:ind w:right="157"/>
              <w:rPr>
                <w:rFonts w:ascii="Arial" w:hAnsi="Arial" w:cs="Arial"/>
                <w:sz w:val="18"/>
                <w:szCs w:val="18"/>
              </w:rPr>
            </w:pPr>
            <w:r w:rsidRPr="00F05A7D">
              <w:rPr>
                <w:rFonts w:ascii="Arial" w:hAnsi="Arial" w:cs="Arial"/>
                <w:b/>
                <w:lang w:val="es-ES_tradnl"/>
              </w:rPr>
              <w:t>TOTAL REZAGO PRESUPUESTAL CONSTITUIDO A 31 DE DICIEMBRE DE 2024</w:t>
            </w:r>
          </w:p>
        </w:tc>
        <w:tc>
          <w:tcPr>
            <w:tcW w:w="1701" w:type="dxa"/>
          </w:tcPr>
          <w:p w14:paraId="087DCB59" w14:textId="77777777" w:rsidR="007E2F9F" w:rsidRPr="00F05A7D" w:rsidRDefault="007E2F9F" w:rsidP="006548F8">
            <w:pPr>
              <w:tabs>
                <w:tab w:val="left" w:pos="875"/>
              </w:tabs>
              <w:jc w:val="right"/>
              <w:rPr>
                <w:rFonts w:ascii="Arial" w:hAnsi="Arial" w:cs="Arial"/>
                <w:b/>
                <w:sz w:val="18"/>
                <w:szCs w:val="18"/>
                <w:u w:val="single"/>
              </w:rPr>
            </w:pPr>
            <w:r w:rsidRPr="00F05A7D">
              <w:rPr>
                <w:rFonts w:ascii="Arial" w:hAnsi="Arial" w:cs="Arial"/>
                <w:b/>
                <w:sz w:val="18"/>
                <w:szCs w:val="18"/>
                <w:u w:val="single"/>
              </w:rPr>
              <w:t>1.236.916</w:t>
            </w:r>
          </w:p>
        </w:tc>
      </w:tr>
    </w:tbl>
    <w:p w14:paraId="529CDC36" w14:textId="77777777" w:rsidR="007E2F9F" w:rsidRDefault="007E2F9F" w:rsidP="007E2F9F">
      <w:pPr>
        <w:ind w:left="-142" w:right="-93"/>
        <w:jc w:val="both"/>
        <w:rPr>
          <w:rFonts w:ascii="Arial" w:hAnsi="Arial" w:cs="Arial"/>
          <w:lang w:val="es-MX"/>
        </w:rPr>
      </w:pPr>
    </w:p>
    <w:p w14:paraId="66B8E519" w14:textId="77777777" w:rsidR="007E2F9F" w:rsidRPr="00E40301" w:rsidRDefault="007E2F9F" w:rsidP="00042EE6">
      <w:pPr>
        <w:ind w:left="-284" w:right="-93"/>
        <w:jc w:val="both"/>
        <w:rPr>
          <w:rFonts w:ascii="Arial" w:hAnsi="Arial" w:cs="Arial"/>
          <w:b/>
          <w:sz w:val="28"/>
          <w:szCs w:val="28"/>
          <w:lang w:val="es-MX"/>
        </w:rPr>
      </w:pPr>
      <w:r w:rsidRPr="00E40301">
        <w:rPr>
          <w:rFonts w:ascii="Arial" w:hAnsi="Arial" w:cs="Arial"/>
          <w:b/>
          <w:sz w:val="28"/>
          <w:szCs w:val="28"/>
          <w:lang w:val="es-MX"/>
        </w:rPr>
        <w:t>99.- DEPARTAMENTO ADMINISTRATIVO PARA LA PROSPERIDAD SOCIAL - DPS.</w:t>
      </w:r>
    </w:p>
    <w:p w14:paraId="5E39D5FC"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E40301" w14:paraId="6390FE01" w14:textId="77777777" w:rsidTr="00042EE6">
        <w:tc>
          <w:tcPr>
            <w:tcW w:w="8222" w:type="dxa"/>
          </w:tcPr>
          <w:p w14:paraId="6BD2FF95" w14:textId="77777777" w:rsidR="007E2F9F" w:rsidRPr="00E40301" w:rsidRDefault="007E2F9F" w:rsidP="006548F8">
            <w:pPr>
              <w:tabs>
                <w:tab w:val="left" w:pos="875"/>
              </w:tabs>
              <w:rPr>
                <w:rFonts w:ascii="Arial" w:hAnsi="Arial" w:cs="Arial"/>
                <w:sz w:val="18"/>
                <w:szCs w:val="18"/>
              </w:rPr>
            </w:pPr>
            <w:r w:rsidRPr="00E40301">
              <w:rPr>
                <w:rFonts w:ascii="Arial" w:hAnsi="Arial" w:cs="Arial"/>
                <w:lang w:val="es-ES_tradnl"/>
              </w:rPr>
              <w:t>Reservas presupuestales constituidas a 31 de diciembre de 2024</w:t>
            </w:r>
          </w:p>
        </w:tc>
        <w:tc>
          <w:tcPr>
            <w:tcW w:w="2127" w:type="dxa"/>
          </w:tcPr>
          <w:p w14:paraId="18A3EB92" w14:textId="77777777" w:rsidR="007E2F9F" w:rsidRPr="00E40301" w:rsidRDefault="007E2F9F" w:rsidP="006548F8">
            <w:pPr>
              <w:tabs>
                <w:tab w:val="left" w:pos="875"/>
              </w:tabs>
              <w:jc w:val="right"/>
              <w:rPr>
                <w:rFonts w:ascii="Arial" w:hAnsi="Arial" w:cs="Arial"/>
                <w:sz w:val="18"/>
                <w:szCs w:val="18"/>
              </w:rPr>
            </w:pPr>
            <w:r w:rsidRPr="00E40301">
              <w:rPr>
                <w:rFonts w:ascii="Arial" w:hAnsi="Arial" w:cs="Arial"/>
                <w:sz w:val="18"/>
                <w:szCs w:val="18"/>
              </w:rPr>
              <w:t>1.354.918.555</w:t>
            </w:r>
          </w:p>
        </w:tc>
      </w:tr>
      <w:tr w:rsidR="007E2F9F" w:rsidRPr="00E40301" w14:paraId="39C8F991" w14:textId="77777777" w:rsidTr="00042EE6">
        <w:tc>
          <w:tcPr>
            <w:tcW w:w="8222" w:type="dxa"/>
          </w:tcPr>
          <w:p w14:paraId="4C6D4E85" w14:textId="77777777" w:rsidR="007E2F9F" w:rsidRPr="00E40301" w:rsidRDefault="007E2F9F" w:rsidP="006548F8">
            <w:pPr>
              <w:tabs>
                <w:tab w:val="left" w:pos="875"/>
              </w:tabs>
              <w:rPr>
                <w:rFonts w:ascii="Arial" w:hAnsi="Arial" w:cs="Arial"/>
                <w:sz w:val="18"/>
                <w:szCs w:val="18"/>
              </w:rPr>
            </w:pPr>
            <w:r w:rsidRPr="00E40301">
              <w:rPr>
                <w:rFonts w:ascii="Arial" w:hAnsi="Arial" w:cs="Arial"/>
                <w:lang w:val="es-ES_tradnl"/>
              </w:rPr>
              <w:t>Cuentas por pagar constituidas a 31 de diciembre de 2024</w:t>
            </w:r>
          </w:p>
        </w:tc>
        <w:tc>
          <w:tcPr>
            <w:tcW w:w="2127" w:type="dxa"/>
          </w:tcPr>
          <w:p w14:paraId="186A1C36" w14:textId="77777777" w:rsidR="007E2F9F" w:rsidRPr="00E40301" w:rsidRDefault="007E2F9F" w:rsidP="006548F8">
            <w:pPr>
              <w:tabs>
                <w:tab w:val="left" w:pos="875"/>
              </w:tabs>
              <w:jc w:val="right"/>
              <w:rPr>
                <w:rFonts w:ascii="Arial" w:hAnsi="Arial" w:cs="Arial"/>
                <w:sz w:val="18"/>
                <w:szCs w:val="18"/>
              </w:rPr>
            </w:pPr>
            <w:r w:rsidRPr="00E40301">
              <w:rPr>
                <w:rFonts w:ascii="Arial" w:hAnsi="Arial" w:cs="Arial"/>
                <w:sz w:val="18"/>
                <w:szCs w:val="18"/>
              </w:rPr>
              <w:t>175.324.731</w:t>
            </w:r>
          </w:p>
        </w:tc>
      </w:tr>
      <w:tr w:rsidR="007E2F9F" w:rsidRPr="00E40301" w14:paraId="2DC325E9" w14:textId="77777777" w:rsidTr="00042EE6">
        <w:tc>
          <w:tcPr>
            <w:tcW w:w="8222" w:type="dxa"/>
          </w:tcPr>
          <w:p w14:paraId="6E1B011F" w14:textId="77777777" w:rsidR="007E2F9F" w:rsidRPr="00E40301" w:rsidRDefault="007E2F9F" w:rsidP="006548F8">
            <w:pPr>
              <w:tabs>
                <w:tab w:val="left" w:pos="875"/>
              </w:tabs>
              <w:rPr>
                <w:rFonts w:ascii="Arial" w:hAnsi="Arial" w:cs="Arial"/>
                <w:sz w:val="18"/>
                <w:szCs w:val="18"/>
              </w:rPr>
            </w:pPr>
            <w:r w:rsidRPr="00E40301">
              <w:rPr>
                <w:rFonts w:ascii="Arial" w:hAnsi="Arial" w:cs="Arial"/>
                <w:b/>
                <w:lang w:val="es-ES_tradnl"/>
              </w:rPr>
              <w:t>TOTAL REZAGO PRESUPUESTAL CONSTITUIDO A 31 DE DICIEMBRE DE 2024</w:t>
            </w:r>
          </w:p>
        </w:tc>
        <w:tc>
          <w:tcPr>
            <w:tcW w:w="2127" w:type="dxa"/>
          </w:tcPr>
          <w:p w14:paraId="1D06ED1D" w14:textId="77777777" w:rsidR="007E2F9F" w:rsidRPr="00E40301" w:rsidRDefault="007E2F9F" w:rsidP="006548F8">
            <w:pPr>
              <w:tabs>
                <w:tab w:val="left" w:pos="875"/>
              </w:tabs>
              <w:jc w:val="right"/>
              <w:rPr>
                <w:rFonts w:ascii="Arial" w:hAnsi="Arial" w:cs="Arial"/>
                <w:b/>
                <w:sz w:val="18"/>
                <w:szCs w:val="18"/>
                <w:u w:val="single"/>
              </w:rPr>
            </w:pPr>
            <w:r w:rsidRPr="00E40301">
              <w:rPr>
                <w:rFonts w:ascii="Arial" w:hAnsi="Arial" w:cs="Arial"/>
                <w:b/>
                <w:sz w:val="18"/>
                <w:szCs w:val="18"/>
                <w:u w:val="single"/>
              </w:rPr>
              <w:t>1.530.243.286</w:t>
            </w:r>
          </w:p>
        </w:tc>
      </w:tr>
    </w:tbl>
    <w:p w14:paraId="32923436" w14:textId="77777777" w:rsidR="007E2F9F" w:rsidRDefault="007E2F9F" w:rsidP="007E2F9F">
      <w:pPr>
        <w:ind w:left="-142" w:right="-93"/>
        <w:jc w:val="both"/>
        <w:rPr>
          <w:rFonts w:ascii="Arial" w:hAnsi="Arial" w:cs="Arial"/>
          <w:lang w:val="es-MX"/>
        </w:rPr>
      </w:pPr>
    </w:p>
    <w:p w14:paraId="2DE9C9EB" w14:textId="77777777" w:rsidR="007E2F9F" w:rsidRPr="001A6B48" w:rsidRDefault="007E2F9F" w:rsidP="00C2076E">
      <w:pPr>
        <w:ind w:left="-284"/>
        <w:jc w:val="both"/>
        <w:rPr>
          <w:rFonts w:ascii="Arial" w:hAnsi="Arial" w:cs="Arial"/>
          <w:b/>
          <w:sz w:val="28"/>
          <w:szCs w:val="28"/>
          <w:lang w:val="es-MX"/>
        </w:rPr>
      </w:pPr>
      <w:r w:rsidRPr="001A6B48">
        <w:rPr>
          <w:rFonts w:ascii="Arial" w:hAnsi="Arial" w:cs="Arial"/>
          <w:b/>
          <w:sz w:val="28"/>
          <w:szCs w:val="28"/>
          <w:lang w:val="es-MX"/>
        </w:rPr>
        <w:t xml:space="preserve">100.- </w:t>
      </w:r>
      <w:r w:rsidRPr="001A6B48">
        <w:rPr>
          <w:rFonts w:ascii="Arial" w:hAnsi="Arial" w:cs="Arial"/>
          <w:b/>
          <w:sz w:val="28"/>
          <w:szCs w:val="28"/>
          <w:lang w:val="es-CO"/>
        </w:rPr>
        <w:t>CORPORACIÓN AUTÓNOMA REGIONAL DEL TOLIMA – CORTOLIMA.</w:t>
      </w:r>
    </w:p>
    <w:p w14:paraId="7CF40F17" w14:textId="77777777" w:rsidR="007E2F9F" w:rsidRDefault="007E2F9F" w:rsidP="007E2F9F">
      <w:pPr>
        <w:pStyle w:val="Prrafodelista"/>
        <w:spacing w:before="92"/>
        <w:ind w:left="-142"/>
        <w:rPr>
          <w:b/>
          <w:sz w:val="24"/>
        </w:rPr>
      </w:pPr>
    </w:p>
    <w:tbl>
      <w:tblPr>
        <w:tblStyle w:val="Tablaconcuadrcula"/>
        <w:tblW w:w="10349" w:type="dxa"/>
        <w:tblInd w:w="-289" w:type="dxa"/>
        <w:tblLook w:val="04A0" w:firstRow="1" w:lastRow="0" w:firstColumn="1" w:lastColumn="0" w:noHBand="0" w:noVBand="1"/>
      </w:tblPr>
      <w:tblGrid>
        <w:gridCol w:w="8364"/>
        <w:gridCol w:w="1985"/>
      </w:tblGrid>
      <w:tr w:rsidR="007E2F9F" w:rsidRPr="001A6B48" w14:paraId="157EF744" w14:textId="77777777" w:rsidTr="00C2076E">
        <w:tc>
          <w:tcPr>
            <w:tcW w:w="8364" w:type="dxa"/>
          </w:tcPr>
          <w:p w14:paraId="39F3D393" w14:textId="77777777" w:rsidR="007E2F9F" w:rsidRPr="001A6B48" w:rsidRDefault="007E2F9F" w:rsidP="006548F8">
            <w:pPr>
              <w:tabs>
                <w:tab w:val="left" w:pos="875"/>
              </w:tabs>
              <w:rPr>
                <w:rFonts w:ascii="Arial" w:hAnsi="Arial" w:cs="Arial"/>
                <w:sz w:val="18"/>
                <w:szCs w:val="18"/>
              </w:rPr>
            </w:pPr>
            <w:r w:rsidRPr="001A6B48">
              <w:rPr>
                <w:rFonts w:ascii="Arial" w:hAnsi="Arial" w:cs="Arial"/>
                <w:lang w:val="es-ES_tradnl"/>
              </w:rPr>
              <w:t>Cuentas por pagar constituidas a 31 de diciembre de 2024</w:t>
            </w:r>
          </w:p>
        </w:tc>
        <w:tc>
          <w:tcPr>
            <w:tcW w:w="1985" w:type="dxa"/>
          </w:tcPr>
          <w:p w14:paraId="5A088FBC" w14:textId="77777777" w:rsidR="007E2F9F" w:rsidRPr="001A6B48" w:rsidRDefault="007E2F9F" w:rsidP="006548F8">
            <w:pPr>
              <w:tabs>
                <w:tab w:val="left" w:pos="875"/>
              </w:tabs>
              <w:jc w:val="right"/>
              <w:rPr>
                <w:rFonts w:ascii="Arial" w:hAnsi="Arial" w:cs="Arial"/>
                <w:sz w:val="18"/>
                <w:szCs w:val="18"/>
              </w:rPr>
            </w:pPr>
            <w:r w:rsidRPr="001A6B48">
              <w:rPr>
                <w:rFonts w:ascii="Arial" w:hAnsi="Arial" w:cs="Arial"/>
                <w:sz w:val="18"/>
                <w:szCs w:val="18"/>
              </w:rPr>
              <w:t>10.702,00</w:t>
            </w:r>
          </w:p>
        </w:tc>
      </w:tr>
      <w:tr w:rsidR="007E2F9F" w:rsidRPr="001A6B48" w14:paraId="1DB09C38" w14:textId="77777777" w:rsidTr="00C2076E">
        <w:tc>
          <w:tcPr>
            <w:tcW w:w="8364" w:type="dxa"/>
          </w:tcPr>
          <w:p w14:paraId="42E0A89F" w14:textId="77777777" w:rsidR="007E2F9F" w:rsidRPr="001A6B48" w:rsidRDefault="007E2F9F" w:rsidP="006548F8">
            <w:pPr>
              <w:tabs>
                <w:tab w:val="left" w:pos="875"/>
              </w:tabs>
              <w:rPr>
                <w:rFonts w:ascii="Arial" w:hAnsi="Arial" w:cs="Arial"/>
                <w:sz w:val="18"/>
                <w:szCs w:val="18"/>
              </w:rPr>
            </w:pPr>
            <w:r w:rsidRPr="001A6B48">
              <w:rPr>
                <w:rFonts w:ascii="Arial" w:hAnsi="Arial" w:cs="Arial"/>
                <w:b/>
                <w:lang w:val="es-ES_tradnl"/>
              </w:rPr>
              <w:t>TOTAL REZAGO PRESUPUESTAL CONSTITUIDO A 31 DE DICIEMBRE DE 2024</w:t>
            </w:r>
          </w:p>
        </w:tc>
        <w:tc>
          <w:tcPr>
            <w:tcW w:w="1985" w:type="dxa"/>
          </w:tcPr>
          <w:p w14:paraId="3FB1A917" w14:textId="77777777" w:rsidR="007E2F9F" w:rsidRPr="001A6B48" w:rsidRDefault="007E2F9F" w:rsidP="006548F8">
            <w:pPr>
              <w:tabs>
                <w:tab w:val="left" w:pos="875"/>
              </w:tabs>
              <w:jc w:val="right"/>
              <w:rPr>
                <w:rFonts w:ascii="Arial" w:hAnsi="Arial" w:cs="Arial"/>
                <w:b/>
                <w:sz w:val="18"/>
                <w:szCs w:val="18"/>
                <w:u w:val="single"/>
              </w:rPr>
            </w:pPr>
            <w:r w:rsidRPr="001A6B48">
              <w:rPr>
                <w:rFonts w:ascii="Arial" w:hAnsi="Arial" w:cs="Arial"/>
                <w:b/>
                <w:sz w:val="18"/>
                <w:szCs w:val="18"/>
                <w:u w:val="single"/>
              </w:rPr>
              <w:t>10.702,00</w:t>
            </w:r>
          </w:p>
        </w:tc>
      </w:tr>
    </w:tbl>
    <w:p w14:paraId="1B65C10D" w14:textId="77777777" w:rsidR="007E2F9F" w:rsidRDefault="007E2F9F" w:rsidP="007E2F9F">
      <w:pPr>
        <w:ind w:left="-142" w:right="-93"/>
        <w:jc w:val="both"/>
        <w:rPr>
          <w:rFonts w:ascii="Arial" w:hAnsi="Arial" w:cs="Arial"/>
        </w:rPr>
      </w:pPr>
    </w:p>
    <w:p w14:paraId="29ABC5BF" w14:textId="77777777" w:rsidR="007E2F9F" w:rsidRPr="005F202B" w:rsidRDefault="007E2F9F" w:rsidP="00C2076E">
      <w:pPr>
        <w:ind w:left="-284" w:right="-93"/>
        <w:jc w:val="both"/>
        <w:rPr>
          <w:rFonts w:ascii="Arial" w:hAnsi="Arial" w:cs="Arial"/>
          <w:b/>
          <w:sz w:val="28"/>
          <w:szCs w:val="28"/>
          <w:lang w:val="es-MX"/>
        </w:rPr>
      </w:pPr>
      <w:r w:rsidRPr="005F202B">
        <w:rPr>
          <w:rFonts w:ascii="Arial" w:hAnsi="Arial" w:cs="Arial"/>
          <w:b/>
          <w:sz w:val="28"/>
          <w:szCs w:val="28"/>
          <w:lang w:val="es-MX"/>
        </w:rPr>
        <w:t>106.- UNIDAD DE PLANEACIÓN DE INFRAESTRUCTURA DE TRANSPORTE - UPIT.</w:t>
      </w:r>
    </w:p>
    <w:p w14:paraId="3DCE08CD" w14:textId="77777777" w:rsidR="007E2F9F" w:rsidRDefault="007E2F9F" w:rsidP="007E2F9F">
      <w:pPr>
        <w:ind w:left="-284" w:right="-234"/>
        <w:jc w:val="both"/>
        <w:rPr>
          <w:rFonts w:ascii="Arial" w:hAnsi="Arial" w:cs="Arial"/>
          <w:b/>
          <w:bCs/>
          <w:sz w:val="28"/>
          <w:szCs w:val="28"/>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3B6396" w14:paraId="6A54CAE1" w14:textId="77777777" w:rsidTr="00C2076E">
        <w:tc>
          <w:tcPr>
            <w:tcW w:w="8364" w:type="dxa"/>
          </w:tcPr>
          <w:p w14:paraId="24348734" w14:textId="77777777" w:rsidR="007E2F9F" w:rsidRPr="003B6396" w:rsidRDefault="007E2F9F" w:rsidP="006548F8">
            <w:pPr>
              <w:tabs>
                <w:tab w:val="left" w:pos="875"/>
              </w:tabs>
              <w:rPr>
                <w:rFonts w:ascii="Arial" w:hAnsi="Arial" w:cs="Arial"/>
                <w:sz w:val="18"/>
                <w:szCs w:val="18"/>
              </w:rPr>
            </w:pPr>
            <w:r w:rsidRPr="003B6396">
              <w:rPr>
                <w:rFonts w:ascii="Arial" w:hAnsi="Arial" w:cs="Arial"/>
                <w:lang w:val="es-ES_tradnl"/>
              </w:rPr>
              <w:t>Reservas presupuestales constituidas a 31 de diciembre de 2024</w:t>
            </w:r>
          </w:p>
        </w:tc>
        <w:tc>
          <w:tcPr>
            <w:tcW w:w="1985" w:type="dxa"/>
          </w:tcPr>
          <w:p w14:paraId="0E338A7E" w14:textId="77777777" w:rsidR="007E2F9F" w:rsidRPr="003B6396" w:rsidRDefault="007E2F9F" w:rsidP="006548F8">
            <w:pPr>
              <w:tabs>
                <w:tab w:val="left" w:pos="875"/>
              </w:tabs>
              <w:jc w:val="right"/>
              <w:rPr>
                <w:rFonts w:ascii="Arial" w:hAnsi="Arial" w:cs="Arial"/>
                <w:sz w:val="18"/>
                <w:szCs w:val="18"/>
              </w:rPr>
            </w:pPr>
            <w:r w:rsidRPr="003B6396">
              <w:rPr>
                <w:rFonts w:ascii="Arial" w:hAnsi="Arial" w:cs="Arial"/>
                <w:sz w:val="18"/>
                <w:szCs w:val="18"/>
              </w:rPr>
              <w:t>706.118,11</w:t>
            </w:r>
          </w:p>
        </w:tc>
      </w:tr>
      <w:tr w:rsidR="007E2F9F" w:rsidRPr="003B6396" w14:paraId="02D8E4FB" w14:textId="77777777" w:rsidTr="00C2076E">
        <w:tc>
          <w:tcPr>
            <w:tcW w:w="8364" w:type="dxa"/>
          </w:tcPr>
          <w:p w14:paraId="51F8020A" w14:textId="77777777" w:rsidR="007E2F9F" w:rsidRPr="003B6396" w:rsidRDefault="007E2F9F" w:rsidP="006548F8">
            <w:pPr>
              <w:tabs>
                <w:tab w:val="left" w:pos="875"/>
              </w:tabs>
              <w:rPr>
                <w:rFonts w:ascii="Arial" w:hAnsi="Arial" w:cs="Arial"/>
                <w:sz w:val="18"/>
                <w:szCs w:val="18"/>
              </w:rPr>
            </w:pPr>
            <w:r w:rsidRPr="003B6396">
              <w:rPr>
                <w:rFonts w:ascii="Arial" w:hAnsi="Arial" w:cs="Arial"/>
                <w:lang w:val="es-ES_tradnl"/>
              </w:rPr>
              <w:t>Cuentas por pagar constituidas a 31 de diciembre de 2024</w:t>
            </w:r>
          </w:p>
        </w:tc>
        <w:tc>
          <w:tcPr>
            <w:tcW w:w="1985" w:type="dxa"/>
          </w:tcPr>
          <w:p w14:paraId="32730D7B" w14:textId="77777777" w:rsidR="007E2F9F" w:rsidRPr="003B6396" w:rsidRDefault="007E2F9F" w:rsidP="006548F8">
            <w:pPr>
              <w:tabs>
                <w:tab w:val="left" w:pos="875"/>
              </w:tabs>
              <w:jc w:val="right"/>
              <w:rPr>
                <w:rFonts w:ascii="Arial" w:hAnsi="Arial" w:cs="Arial"/>
                <w:sz w:val="18"/>
                <w:szCs w:val="18"/>
              </w:rPr>
            </w:pPr>
            <w:r w:rsidRPr="003B6396">
              <w:rPr>
                <w:rFonts w:ascii="Arial" w:hAnsi="Arial" w:cs="Arial"/>
                <w:sz w:val="18"/>
                <w:szCs w:val="18"/>
              </w:rPr>
              <w:t>348.559,46</w:t>
            </w:r>
          </w:p>
        </w:tc>
      </w:tr>
      <w:tr w:rsidR="007E2F9F" w:rsidRPr="003B6396" w14:paraId="0E79ACF8" w14:textId="77777777" w:rsidTr="00C2076E">
        <w:tc>
          <w:tcPr>
            <w:tcW w:w="8364" w:type="dxa"/>
          </w:tcPr>
          <w:p w14:paraId="55D514A0" w14:textId="77777777" w:rsidR="007E2F9F" w:rsidRPr="003B6396" w:rsidRDefault="007E2F9F" w:rsidP="006548F8">
            <w:pPr>
              <w:tabs>
                <w:tab w:val="left" w:pos="875"/>
              </w:tabs>
              <w:rPr>
                <w:rFonts w:ascii="Arial" w:hAnsi="Arial" w:cs="Arial"/>
                <w:sz w:val="18"/>
                <w:szCs w:val="18"/>
              </w:rPr>
            </w:pPr>
            <w:r w:rsidRPr="003B6396">
              <w:rPr>
                <w:rFonts w:ascii="Arial" w:hAnsi="Arial" w:cs="Arial"/>
                <w:b/>
                <w:lang w:val="es-ES_tradnl"/>
              </w:rPr>
              <w:t>TOTAL REZAGO PRESUPUESTAL CONSTITUIDO A 31 DE DICIEMBRE DE 2024</w:t>
            </w:r>
          </w:p>
        </w:tc>
        <w:tc>
          <w:tcPr>
            <w:tcW w:w="1985" w:type="dxa"/>
          </w:tcPr>
          <w:p w14:paraId="6A8514BE" w14:textId="77777777" w:rsidR="007E2F9F" w:rsidRPr="003B6396" w:rsidRDefault="007E2F9F" w:rsidP="006548F8">
            <w:pPr>
              <w:tabs>
                <w:tab w:val="left" w:pos="875"/>
              </w:tabs>
              <w:jc w:val="right"/>
              <w:rPr>
                <w:rFonts w:ascii="Arial" w:hAnsi="Arial" w:cs="Arial"/>
                <w:b/>
                <w:sz w:val="18"/>
                <w:szCs w:val="18"/>
                <w:u w:val="single"/>
              </w:rPr>
            </w:pPr>
            <w:r w:rsidRPr="003B6396">
              <w:rPr>
                <w:rFonts w:ascii="Arial" w:hAnsi="Arial" w:cs="Arial"/>
                <w:b/>
                <w:sz w:val="18"/>
                <w:szCs w:val="18"/>
                <w:u w:val="single"/>
              </w:rPr>
              <w:t>1.054.677,58</w:t>
            </w:r>
          </w:p>
        </w:tc>
      </w:tr>
    </w:tbl>
    <w:p w14:paraId="6CED67CE" w14:textId="77777777" w:rsidR="007E2F9F" w:rsidRDefault="007E2F9F" w:rsidP="007E2F9F">
      <w:pPr>
        <w:ind w:left="-284" w:right="-234"/>
        <w:jc w:val="both"/>
        <w:rPr>
          <w:rFonts w:ascii="Arial" w:hAnsi="Arial" w:cs="Arial"/>
          <w:b/>
          <w:bCs/>
          <w:sz w:val="28"/>
          <w:szCs w:val="28"/>
          <w:lang w:val="es-MX"/>
        </w:rPr>
      </w:pPr>
    </w:p>
    <w:p w14:paraId="6AB42F23" w14:textId="77777777" w:rsidR="007E2F9F" w:rsidRPr="00C46627" w:rsidRDefault="007E2F9F" w:rsidP="00C2076E">
      <w:pPr>
        <w:ind w:left="-284" w:right="-93"/>
        <w:jc w:val="both"/>
        <w:rPr>
          <w:rFonts w:ascii="Arial" w:hAnsi="Arial" w:cs="Arial"/>
          <w:b/>
          <w:sz w:val="28"/>
          <w:szCs w:val="28"/>
          <w:lang w:val="es-MX"/>
        </w:rPr>
      </w:pPr>
      <w:r w:rsidRPr="00C46627">
        <w:rPr>
          <w:rFonts w:ascii="Arial" w:hAnsi="Arial" w:cs="Arial"/>
          <w:b/>
          <w:sz w:val="28"/>
          <w:szCs w:val="28"/>
          <w:lang w:val="es-MX"/>
        </w:rPr>
        <w:t xml:space="preserve">109.- INSTITUTO TOLIMENSE DE FORMACIÓN TÉCNICA PROFESIONAL – ITFIP. </w:t>
      </w:r>
    </w:p>
    <w:p w14:paraId="1D8141BC"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0E3559" w14:paraId="3200C165" w14:textId="77777777" w:rsidTr="00C2076E">
        <w:tc>
          <w:tcPr>
            <w:tcW w:w="8222" w:type="dxa"/>
          </w:tcPr>
          <w:p w14:paraId="02C391FB" w14:textId="77777777" w:rsidR="007E2F9F" w:rsidRPr="000E3559" w:rsidRDefault="007E2F9F" w:rsidP="006548F8">
            <w:pPr>
              <w:tabs>
                <w:tab w:val="left" w:pos="875"/>
              </w:tabs>
              <w:ind w:right="157"/>
              <w:rPr>
                <w:rFonts w:ascii="Arial" w:hAnsi="Arial" w:cs="Arial"/>
                <w:sz w:val="18"/>
                <w:szCs w:val="18"/>
              </w:rPr>
            </w:pPr>
            <w:r w:rsidRPr="000E3559">
              <w:rPr>
                <w:rFonts w:ascii="Arial" w:hAnsi="Arial" w:cs="Arial"/>
                <w:lang w:val="es-ES_tradnl"/>
              </w:rPr>
              <w:t>Reservas presupuestales constituidas a 31 de diciembre de 2024</w:t>
            </w:r>
          </w:p>
        </w:tc>
        <w:tc>
          <w:tcPr>
            <w:tcW w:w="2127" w:type="dxa"/>
            <w:tcBorders>
              <w:top w:val="single" w:sz="8" w:space="0" w:color="auto"/>
              <w:left w:val="single" w:sz="8" w:space="0" w:color="auto"/>
              <w:bottom w:val="single" w:sz="4" w:space="0" w:color="auto"/>
              <w:right w:val="single" w:sz="8" w:space="0" w:color="auto"/>
            </w:tcBorders>
            <w:shd w:val="clear" w:color="auto" w:fill="auto"/>
            <w:vAlign w:val="bottom"/>
          </w:tcPr>
          <w:p w14:paraId="23C40501" w14:textId="77777777" w:rsidR="007E2F9F" w:rsidRPr="000E3559" w:rsidRDefault="007E2F9F" w:rsidP="006548F8">
            <w:pPr>
              <w:tabs>
                <w:tab w:val="left" w:pos="875"/>
              </w:tabs>
              <w:jc w:val="right"/>
              <w:rPr>
                <w:rFonts w:ascii="Arial" w:hAnsi="Arial" w:cs="Arial"/>
                <w:sz w:val="16"/>
                <w:szCs w:val="16"/>
              </w:rPr>
            </w:pPr>
            <w:r w:rsidRPr="000E3559">
              <w:rPr>
                <w:rFonts w:ascii="Arial" w:hAnsi="Arial" w:cs="Arial"/>
                <w:color w:val="000000"/>
                <w:sz w:val="16"/>
                <w:szCs w:val="16"/>
              </w:rPr>
              <w:t xml:space="preserve">6.868.075.363,12 </w:t>
            </w:r>
          </w:p>
        </w:tc>
      </w:tr>
      <w:tr w:rsidR="007E2F9F" w:rsidRPr="000E3559" w14:paraId="5808D344" w14:textId="77777777" w:rsidTr="00C2076E">
        <w:tc>
          <w:tcPr>
            <w:tcW w:w="8222" w:type="dxa"/>
            <w:tcBorders>
              <w:right w:val="single" w:sz="4" w:space="0" w:color="auto"/>
            </w:tcBorders>
          </w:tcPr>
          <w:p w14:paraId="62081BDA" w14:textId="77777777" w:rsidR="007E2F9F" w:rsidRPr="000E3559" w:rsidRDefault="007E2F9F" w:rsidP="006548F8">
            <w:pPr>
              <w:tabs>
                <w:tab w:val="left" w:pos="875"/>
              </w:tabs>
              <w:ind w:right="157"/>
              <w:rPr>
                <w:rFonts w:ascii="Arial" w:hAnsi="Arial" w:cs="Arial"/>
                <w:sz w:val="18"/>
                <w:szCs w:val="18"/>
              </w:rPr>
            </w:pPr>
            <w:r w:rsidRPr="000E3559">
              <w:rPr>
                <w:rFonts w:ascii="Arial" w:hAnsi="Arial" w:cs="Arial"/>
                <w:lang w:val="es-ES_tradnl"/>
              </w:rPr>
              <w:t>Cuentas por pagar constituidas a 31 de diciembre de 2024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6C216411" w14:textId="77777777" w:rsidR="007E2F9F" w:rsidRPr="000E3559" w:rsidRDefault="007E2F9F" w:rsidP="006548F8">
            <w:pPr>
              <w:tabs>
                <w:tab w:val="left" w:pos="875"/>
              </w:tabs>
              <w:jc w:val="right"/>
              <w:rPr>
                <w:rFonts w:ascii="Arial" w:hAnsi="Arial" w:cs="Arial"/>
                <w:sz w:val="16"/>
                <w:szCs w:val="16"/>
              </w:rPr>
            </w:pPr>
            <w:r w:rsidRPr="000E3559">
              <w:rPr>
                <w:rFonts w:ascii="Arial" w:hAnsi="Arial" w:cs="Arial"/>
                <w:sz w:val="16"/>
                <w:szCs w:val="16"/>
              </w:rPr>
              <w:t xml:space="preserve">84.384.781,00 </w:t>
            </w:r>
          </w:p>
        </w:tc>
      </w:tr>
      <w:tr w:rsidR="007E2F9F" w:rsidRPr="000E3559" w14:paraId="386D9203" w14:textId="77777777" w:rsidTr="00C2076E">
        <w:tc>
          <w:tcPr>
            <w:tcW w:w="8222" w:type="dxa"/>
          </w:tcPr>
          <w:p w14:paraId="659DB18A" w14:textId="77777777" w:rsidR="007E2F9F" w:rsidRPr="000E3559" w:rsidRDefault="007E2F9F" w:rsidP="006548F8">
            <w:pPr>
              <w:tabs>
                <w:tab w:val="left" w:pos="875"/>
              </w:tabs>
              <w:ind w:right="157"/>
              <w:jc w:val="both"/>
              <w:rPr>
                <w:rFonts w:ascii="Arial" w:hAnsi="Arial" w:cs="Arial"/>
                <w:sz w:val="18"/>
                <w:szCs w:val="18"/>
              </w:rPr>
            </w:pPr>
            <w:r w:rsidRPr="000E3559">
              <w:rPr>
                <w:rFonts w:ascii="Arial" w:hAnsi="Arial" w:cs="Arial"/>
                <w:b/>
                <w:lang w:val="es-ES_tradnl"/>
              </w:rPr>
              <w:t>TOTAL, REZAGO PRESUPUESTAL CONSTITUIDO A 31 DE DICIEMBRE DE 2024</w:t>
            </w:r>
          </w:p>
        </w:tc>
        <w:tc>
          <w:tcPr>
            <w:tcW w:w="2127" w:type="dxa"/>
            <w:tcBorders>
              <w:top w:val="single" w:sz="4" w:space="0" w:color="auto"/>
              <w:left w:val="single" w:sz="8" w:space="0" w:color="auto"/>
              <w:bottom w:val="single" w:sz="8" w:space="0" w:color="auto"/>
              <w:right w:val="single" w:sz="8" w:space="0" w:color="auto"/>
            </w:tcBorders>
            <w:shd w:val="clear" w:color="auto" w:fill="auto"/>
            <w:vAlign w:val="bottom"/>
          </w:tcPr>
          <w:p w14:paraId="6DB0F32A" w14:textId="77777777" w:rsidR="007E2F9F" w:rsidRPr="000E3559" w:rsidRDefault="007E2F9F" w:rsidP="006548F8">
            <w:pPr>
              <w:tabs>
                <w:tab w:val="left" w:pos="875"/>
              </w:tabs>
              <w:jc w:val="right"/>
              <w:rPr>
                <w:rFonts w:ascii="Arial" w:hAnsi="Arial" w:cs="Arial"/>
                <w:sz w:val="16"/>
                <w:szCs w:val="16"/>
                <w:u w:val="single"/>
              </w:rPr>
            </w:pPr>
            <w:r w:rsidRPr="000E3559">
              <w:rPr>
                <w:rFonts w:ascii="Arial" w:hAnsi="Arial" w:cs="Arial"/>
                <w:color w:val="000000"/>
                <w:sz w:val="16"/>
                <w:szCs w:val="16"/>
              </w:rPr>
              <w:t xml:space="preserve">6.952.460.144,12 </w:t>
            </w:r>
          </w:p>
        </w:tc>
      </w:tr>
    </w:tbl>
    <w:p w14:paraId="5E874B63" w14:textId="77777777" w:rsidR="007E2F9F" w:rsidRDefault="007E2F9F" w:rsidP="007E2F9F">
      <w:pPr>
        <w:ind w:left="-142" w:right="-93"/>
        <w:jc w:val="both"/>
        <w:rPr>
          <w:rFonts w:ascii="Arial" w:hAnsi="Arial" w:cs="Arial"/>
          <w:lang w:val="es-MX"/>
        </w:rPr>
      </w:pPr>
    </w:p>
    <w:p w14:paraId="07640E0E" w14:textId="77777777" w:rsidR="007E2F9F" w:rsidRDefault="007E2F9F" w:rsidP="00C2076E">
      <w:pPr>
        <w:ind w:left="-284"/>
        <w:jc w:val="both"/>
        <w:rPr>
          <w:rFonts w:ascii="Arial" w:hAnsi="Arial" w:cs="Arial"/>
          <w:b/>
          <w:sz w:val="28"/>
          <w:szCs w:val="28"/>
          <w:lang w:val="es-MX"/>
        </w:rPr>
      </w:pPr>
      <w:r w:rsidRPr="005E6D4E">
        <w:rPr>
          <w:rFonts w:ascii="Arial" w:hAnsi="Arial" w:cs="Arial"/>
          <w:b/>
          <w:sz w:val="28"/>
          <w:szCs w:val="28"/>
          <w:lang w:val="es-MX"/>
        </w:rPr>
        <w:t>113.- REGISTRADURÍA NACIONAL DEL ESTADO CIVIL.</w:t>
      </w:r>
    </w:p>
    <w:p w14:paraId="247BD095" w14:textId="77777777" w:rsidR="007E2F9F" w:rsidRDefault="007E2F9F" w:rsidP="007E2F9F">
      <w:pPr>
        <w:ind w:left="-142"/>
        <w:jc w:val="both"/>
        <w:rPr>
          <w:rFonts w:ascii="Arial" w:hAnsi="Arial" w:cs="Arial"/>
          <w:b/>
          <w:sz w:val="28"/>
          <w:szCs w:val="28"/>
          <w:lang w:val="es-MX"/>
        </w:rPr>
      </w:pPr>
    </w:p>
    <w:tbl>
      <w:tblPr>
        <w:tblStyle w:val="Tablaconcuadrcula"/>
        <w:tblW w:w="12476" w:type="dxa"/>
        <w:tblInd w:w="-289" w:type="dxa"/>
        <w:tblLook w:val="04A0" w:firstRow="1" w:lastRow="0" w:firstColumn="1" w:lastColumn="0" w:noHBand="0" w:noVBand="1"/>
      </w:tblPr>
      <w:tblGrid>
        <w:gridCol w:w="8222"/>
        <w:gridCol w:w="2127"/>
        <w:gridCol w:w="2127"/>
      </w:tblGrid>
      <w:tr w:rsidR="007E2F9F" w:rsidRPr="000E3559" w14:paraId="24D64DB4" w14:textId="77777777" w:rsidTr="00C2076E">
        <w:tc>
          <w:tcPr>
            <w:tcW w:w="8222" w:type="dxa"/>
          </w:tcPr>
          <w:p w14:paraId="3CFD9F06" w14:textId="77777777" w:rsidR="007E2F9F" w:rsidRPr="000E3559" w:rsidRDefault="007E2F9F" w:rsidP="006548F8">
            <w:pPr>
              <w:tabs>
                <w:tab w:val="left" w:pos="875"/>
              </w:tabs>
              <w:ind w:right="157"/>
              <w:rPr>
                <w:rFonts w:ascii="Arial" w:hAnsi="Arial" w:cs="Arial"/>
                <w:sz w:val="18"/>
                <w:szCs w:val="18"/>
              </w:rPr>
            </w:pPr>
            <w:r w:rsidRPr="000E3559">
              <w:rPr>
                <w:rFonts w:ascii="Arial" w:hAnsi="Arial" w:cs="Arial"/>
                <w:lang w:val="es-ES_tradnl"/>
              </w:rPr>
              <w:t>Reservas presupuestales constituidas a 31 de diciembre de 2024</w:t>
            </w:r>
          </w:p>
        </w:tc>
        <w:tc>
          <w:tcPr>
            <w:tcW w:w="2127" w:type="dxa"/>
          </w:tcPr>
          <w:p w14:paraId="68CA7A2D" w14:textId="77777777" w:rsidR="007E2F9F" w:rsidRPr="000E3559" w:rsidRDefault="007E2F9F" w:rsidP="006548F8">
            <w:pPr>
              <w:tabs>
                <w:tab w:val="left" w:pos="875"/>
              </w:tabs>
              <w:jc w:val="right"/>
              <w:rPr>
                <w:rFonts w:ascii="Arial" w:hAnsi="Arial" w:cs="Arial"/>
                <w:sz w:val="16"/>
                <w:szCs w:val="16"/>
              </w:rPr>
            </w:pPr>
            <w:r w:rsidRPr="005E6D4E">
              <w:rPr>
                <w:rFonts w:ascii="Arial" w:hAnsi="Arial" w:cs="Arial"/>
                <w:sz w:val="18"/>
                <w:szCs w:val="18"/>
              </w:rPr>
              <w:t>109.677.641</w:t>
            </w:r>
          </w:p>
        </w:tc>
        <w:tc>
          <w:tcPr>
            <w:tcW w:w="2127" w:type="dxa"/>
            <w:tcBorders>
              <w:top w:val="single" w:sz="8" w:space="0" w:color="auto"/>
              <w:left w:val="single" w:sz="8" w:space="0" w:color="auto"/>
              <w:bottom w:val="single" w:sz="4" w:space="0" w:color="auto"/>
              <w:right w:val="single" w:sz="8" w:space="0" w:color="auto"/>
            </w:tcBorders>
            <w:shd w:val="clear" w:color="auto" w:fill="auto"/>
            <w:vAlign w:val="bottom"/>
          </w:tcPr>
          <w:p w14:paraId="3ABDF7C0" w14:textId="77777777" w:rsidR="007E2F9F" w:rsidRPr="000E3559" w:rsidRDefault="007E2F9F" w:rsidP="006548F8">
            <w:pPr>
              <w:tabs>
                <w:tab w:val="left" w:pos="875"/>
              </w:tabs>
              <w:jc w:val="right"/>
              <w:rPr>
                <w:rFonts w:ascii="Arial" w:hAnsi="Arial" w:cs="Arial"/>
                <w:sz w:val="16"/>
                <w:szCs w:val="16"/>
              </w:rPr>
            </w:pPr>
          </w:p>
        </w:tc>
      </w:tr>
      <w:tr w:rsidR="007E2F9F" w:rsidRPr="000E3559" w14:paraId="44165182" w14:textId="77777777" w:rsidTr="00C2076E">
        <w:tc>
          <w:tcPr>
            <w:tcW w:w="8222" w:type="dxa"/>
          </w:tcPr>
          <w:p w14:paraId="4C6FBAC5" w14:textId="77777777" w:rsidR="007E2F9F" w:rsidRPr="000E3559" w:rsidRDefault="007E2F9F" w:rsidP="006548F8">
            <w:pPr>
              <w:tabs>
                <w:tab w:val="left" w:pos="875"/>
              </w:tabs>
              <w:ind w:right="157"/>
              <w:rPr>
                <w:rFonts w:ascii="Arial" w:hAnsi="Arial" w:cs="Arial"/>
                <w:lang w:val="es-ES_tradnl"/>
              </w:rPr>
            </w:pPr>
            <w:r w:rsidRPr="005E6D4E">
              <w:rPr>
                <w:rFonts w:ascii="Arial" w:hAnsi="Arial" w:cs="Arial"/>
                <w:lang w:val="es-ES_tradnl"/>
              </w:rPr>
              <w:t>Cuentas por pagar constituidas a 31 de diciembre de 2024</w:t>
            </w:r>
          </w:p>
        </w:tc>
        <w:tc>
          <w:tcPr>
            <w:tcW w:w="2127" w:type="dxa"/>
          </w:tcPr>
          <w:p w14:paraId="755D033C" w14:textId="77777777" w:rsidR="007E2F9F" w:rsidRPr="000E3559" w:rsidRDefault="007E2F9F" w:rsidP="006548F8">
            <w:pPr>
              <w:tabs>
                <w:tab w:val="left" w:pos="875"/>
              </w:tabs>
              <w:jc w:val="right"/>
              <w:rPr>
                <w:rFonts w:ascii="Arial" w:hAnsi="Arial" w:cs="Arial"/>
                <w:sz w:val="16"/>
                <w:szCs w:val="16"/>
              </w:rPr>
            </w:pPr>
            <w:r w:rsidRPr="005E6D4E">
              <w:rPr>
                <w:rFonts w:ascii="Arial" w:hAnsi="Arial" w:cs="Arial"/>
                <w:sz w:val="18"/>
                <w:szCs w:val="18"/>
              </w:rPr>
              <w:t>641.928</w:t>
            </w:r>
          </w:p>
        </w:tc>
        <w:tc>
          <w:tcPr>
            <w:tcW w:w="2127" w:type="dxa"/>
            <w:tcBorders>
              <w:top w:val="single" w:sz="8" w:space="0" w:color="auto"/>
              <w:left w:val="single" w:sz="8" w:space="0" w:color="auto"/>
              <w:bottom w:val="single" w:sz="4" w:space="0" w:color="auto"/>
              <w:right w:val="single" w:sz="8" w:space="0" w:color="auto"/>
            </w:tcBorders>
            <w:shd w:val="clear" w:color="auto" w:fill="auto"/>
            <w:vAlign w:val="bottom"/>
          </w:tcPr>
          <w:p w14:paraId="0C5215AD" w14:textId="77777777" w:rsidR="007E2F9F" w:rsidRPr="000E3559" w:rsidRDefault="007E2F9F" w:rsidP="006548F8">
            <w:pPr>
              <w:tabs>
                <w:tab w:val="left" w:pos="875"/>
              </w:tabs>
              <w:jc w:val="right"/>
              <w:rPr>
                <w:rFonts w:ascii="Arial" w:hAnsi="Arial" w:cs="Arial"/>
                <w:sz w:val="16"/>
                <w:szCs w:val="16"/>
              </w:rPr>
            </w:pPr>
          </w:p>
        </w:tc>
      </w:tr>
      <w:tr w:rsidR="007E2F9F" w:rsidRPr="000E3559" w14:paraId="5E5DC029" w14:textId="77777777" w:rsidTr="00C2076E">
        <w:tc>
          <w:tcPr>
            <w:tcW w:w="8222" w:type="dxa"/>
          </w:tcPr>
          <w:p w14:paraId="2741C2E4" w14:textId="77777777" w:rsidR="007E2F9F" w:rsidRPr="000E3559" w:rsidRDefault="007E2F9F" w:rsidP="006548F8">
            <w:pPr>
              <w:tabs>
                <w:tab w:val="left" w:pos="875"/>
              </w:tabs>
              <w:ind w:right="157"/>
              <w:jc w:val="both"/>
              <w:rPr>
                <w:rFonts w:ascii="Arial" w:hAnsi="Arial" w:cs="Arial"/>
                <w:sz w:val="18"/>
                <w:szCs w:val="18"/>
              </w:rPr>
            </w:pPr>
            <w:r w:rsidRPr="000E3559">
              <w:rPr>
                <w:rFonts w:ascii="Arial" w:hAnsi="Arial" w:cs="Arial"/>
                <w:b/>
                <w:lang w:val="es-ES_tradnl"/>
              </w:rPr>
              <w:t>TOTAL, REZAGO PRESUPUESTAL CONSTITUIDO A 31 DE DICIEMBRE DE 2024</w:t>
            </w:r>
          </w:p>
        </w:tc>
        <w:tc>
          <w:tcPr>
            <w:tcW w:w="2127" w:type="dxa"/>
          </w:tcPr>
          <w:p w14:paraId="20DE766D" w14:textId="77777777" w:rsidR="007E2F9F" w:rsidRPr="000E3559" w:rsidRDefault="007E2F9F" w:rsidP="006548F8">
            <w:pPr>
              <w:tabs>
                <w:tab w:val="left" w:pos="875"/>
              </w:tabs>
              <w:jc w:val="right"/>
              <w:rPr>
                <w:rFonts w:ascii="Arial" w:hAnsi="Arial" w:cs="Arial"/>
                <w:sz w:val="16"/>
                <w:szCs w:val="16"/>
                <w:u w:val="single"/>
              </w:rPr>
            </w:pPr>
            <w:r w:rsidRPr="005E6D4E">
              <w:rPr>
                <w:rFonts w:ascii="Arial" w:hAnsi="Arial" w:cs="Arial"/>
                <w:b/>
                <w:sz w:val="18"/>
                <w:szCs w:val="18"/>
                <w:u w:val="single"/>
              </w:rPr>
              <w:t>110.319.569</w:t>
            </w:r>
          </w:p>
        </w:tc>
        <w:tc>
          <w:tcPr>
            <w:tcW w:w="2127" w:type="dxa"/>
            <w:tcBorders>
              <w:top w:val="single" w:sz="4" w:space="0" w:color="auto"/>
              <w:left w:val="single" w:sz="8" w:space="0" w:color="auto"/>
              <w:bottom w:val="single" w:sz="8" w:space="0" w:color="auto"/>
              <w:right w:val="single" w:sz="8" w:space="0" w:color="auto"/>
            </w:tcBorders>
            <w:shd w:val="clear" w:color="auto" w:fill="auto"/>
            <w:vAlign w:val="bottom"/>
          </w:tcPr>
          <w:p w14:paraId="11720606" w14:textId="77777777" w:rsidR="007E2F9F" w:rsidRPr="000E3559" w:rsidRDefault="007E2F9F" w:rsidP="006548F8">
            <w:pPr>
              <w:tabs>
                <w:tab w:val="left" w:pos="875"/>
              </w:tabs>
              <w:jc w:val="right"/>
              <w:rPr>
                <w:rFonts w:ascii="Arial" w:hAnsi="Arial" w:cs="Arial"/>
                <w:sz w:val="16"/>
                <w:szCs w:val="16"/>
                <w:u w:val="single"/>
              </w:rPr>
            </w:pPr>
          </w:p>
        </w:tc>
      </w:tr>
    </w:tbl>
    <w:p w14:paraId="4DA1D6A3" w14:textId="77777777" w:rsidR="007E2F9F" w:rsidRDefault="007E2F9F" w:rsidP="007E2F9F">
      <w:pPr>
        <w:ind w:left="-142"/>
        <w:jc w:val="both"/>
        <w:rPr>
          <w:rFonts w:ascii="Arial" w:hAnsi="Arial" w:cs="Arial"/>
          <w:b/>
          <w:sz w:val="28"/>
          <w:szCs w:val="28"/>
          <w:lang w:val="es-MX"/>
        </w:rPr>
      </w:pPr>
    </w:p>
    <w:p w14:paraId="54B3FAB6" w14:textId="77777777" w:rsidR="007E2F9F" w:rsidRPr="007371A3" w:rsidRDefault="007E2F9F" w:rsidP="00C2076E">
      <w:pPr>
        <w:ind w:left="-284"/>
        <w:jc w:val="both"/>
        <w:rPr>
          <w:rFonts w:ascii="Arial" w:hAnsi="Arial" w:cs="Arial"/>
          <w:b/>
          <w:sz w:val="28"/>
          <w:szCs w:val="28"/>
          <w:lang w:val="es-MX"/>
        </w:rPr>
      </w:pPr>
      <w:r w:rsidRPr="007371A3">
        <w:rPr>
          <w:rFonts w:ascii="Arial" w:hAnsi="Arial" w:cs="Arial"/>
          <w:b/>
          <w:sz w:val="28"/>
          <w:szCs w:val="28"/>
          <w:lang w:val="es-MX"/>
        </w:rPr>
        <w:t>116.- ESCUELA SUPERIOR DE ADMINISTRACIÓN PÚBLICA - ESAP.</w:t>
      </w:r>
    </w:p>
    <w:p w14:paraId="17A60D9C" w14:textId="77777777" w:rsidR="007E2F9F" w:rsidRPr="007371A3" w:rsidRDefault="007E2F9F" w:rsidP="007E2F9F">
      <w:pPr>
        <w:ind w:left="-142"/>
        <w:jc w:val="both"/>
        <w:rPr>
          <w:rFonts w:ascii="Arial" w:hAnsi="Arial" w:cs="Arial"/>
          <w:b/>
          <w:sz w:val="28"/>
          <w:szCs w:val="28"/>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7371A3" w14:paraId="1B60F835" w14:textId="77777777" w:rsidTr="00C2076E">
        <w:tc>
          <w:tcPr>
            <w:tcW w:w="8364" w:type="dxa"/>
          </w:tcPr>
          <w:p w14:paraId="5864C5F4" w14:textId="77777777" w:rsidR="007E2F9F" w:rsidRPr="007371A3" w:rsidRDefault="007E2F9F" w:rsidP="006548F8">
            <w:pPr>
              <w:tabs>
                <w:tab w:val="left" w:pos="875"/>
              </w:tabs>
              <w:ind w:right="157"/>
              <w:rPr>
                <w:rFonts w:ascii="Arial" w:hAnsi="Arial" w:cs="Arial"/>
                <w:sz w:val="18"/>
                <w:szCs w:val="18"/>
              </w:rPr>
            </w:pPr>
            <w:r w:rsidRPr="007371A3">
              <w:rPr>
                <w:rFonts w:ascii="Arial" w:hAnsi="Arial" w:cs="Arial"/>
                <w:lang w:val="es-ES_tradnl"/>
              </w:rPr>
              <w:t>Reservas presupuestales constituidas a 31 de diciembre de 2024</w:t>
            </w:r>
          </w:p>
        </w:tc>
        <w:tc>
          <w:tcPr>
            <w:tcW w:w="1985" w:type="dxa"/>
          </w:tcPr>
          <w:p w14:paraId="2D0B08E5" w14:textId="77777777" w:rsidR="007E2F9F" w:rsidRPr="007371A3" w:rsidRDefault="007E2F9F" w:rsidP="006548F8">
            <w:pPr>
              <w:tabs>
                <w:tab w:val="left" w:pos="875"/>
              </w:tabs>
              <w:jc w:val="right"/>
              <w:rPr>
                <w:rFonts w:ascii="Arial" w:hAnsi="Arial" w:cs="Arial"/>
              </w:rPr>
            </w:pPr>
            <w:r w:rsidRPr="007371A3">
              <w:rPr>
                <w:rFonts w:ascii="Arial" w:hAnsi="Arial" w:cs="Arial"/>
              </w:rPr>
              <w:t>6.380.437</w:t>
            </w:r>
          </w:p>
        </w:tc>
      </w:tr>
      <w:tr w:rsidR="007E2F9F" w:rsidRPr="007371A3" w14:paraId="28D0B23E" w14:textId="77777777" w:rsidTr="00C2076E">
        <w:tc>
          <w:tcPr>
            <w:tcW w:w="8364" w:type="dxa"/>
          </w:tcPr>
          <w:p w14:paraId="721ED9E0" w14:textId="77777777" w:rsidR="007E2F9F" w:rsidRPr="007371A3" w:rsidRDefault="007E2F9F" w:rsidP="006548F8">
            <w:pPr>
              <w:tabs>
                <w:tab w:val="left" w:pos="875"/>
              </w:tabs>
              <w:ind w:right="157"/>
              <w:rPr>
                <w:rFonts w:ascii="Arial" w:hAnsi="Arial" w:cs="Arial"/>
                <w:sz w:val="18"/>
                <w:szCs w:val="18"/>
              </w:rPr>
            </w:pPr>
            <w:r w:rsidRPr="007371A3">
              <w:rPr>
                <w:rFonts w:ascii="Arial" w:hAnsi="Arial" w:cs="Arial"/>
                <w:lang w:val="es-ES_tradnl"/>
              </w:rPr>
              <w:t>Cuentas por pagar constituidas a 31 de diciembre de 2024</w:t>
            </w:r>
          </w:p>
        </w:tc>
        <w:tc>
          <w:tcPr>
            <w:tcW w:w="1985" w:type="dxa"/>
          </w:tcPr>
          <w:p w14:paraId="2499514D" w14:textId="77777777" w:rsidR="007E2F9F" w:rsidRPr="007371A3" w:rsidRDefault="007E2F9F" w:rsidP="006548F8">
            <w:pPr>
              <w:tabs>
                <w:tab w:val="left" w:pos="875"/>
              </w:tabs>
              <w:jc w:val="right"/>
              <w:rPr>
                <w:rFonts w:ascii="Arial" w:hAnsi="Arial" w:cs="Arial"/>
              </w:rPr>
            </w:pPr>
            <w:r w:rsidRPr="007371A3">
              <w:rPr>
                <w:rFonts w:ascii="Arial" w:hAnsi="Arial" w:cs="Arial"/>
              </w:rPr>
              <w:t>4.041.417</w:t>
            </w:r>
          </w:p>
        </w:tc>
      </w:tr>
      <w:tr w:rsidR="007E2F9F" w:rsidRPr="007371A3" w14:paraId="5F33FCEF" w14:textId="77777777" w:rsidTr="00C2076E">
        <w:tc>
          <w:tcPr>
            <w:tcW w:w="8364" w:type="dxa"/>
          </w:tcPr>
          <w:p w14:paraId="6952C1FF" w14:textId="77777777" w:rsidR="007E2F9F" w:rsidRPr="007371A3" w:rsidRDefault="007E2F9F" w:rsidP="006548F8">
            <w:pPr>
              <w:tabs>
                <w:tab w:val="left" w:pos="875"/>
              </w:tabs>
              <w:ind w:right="157"/>
              <w:rPr>
                <w:rFonts w:ascii="Arial" w:hAnsi="Arial" w:cs="Arial"/>
                <w:sz w:val="18"/>
                <w:szCs w:val="18"/>
              </w:rPr>
            </w:pPr>
            <w:r w:rsidRPr="007371A3">
              <w:rPr>
                <w:rFonts w:ascii="Arial" w:hAnsi="Arial" w:cs="Arial"/>
                <w:b/>
                <w:lang w:val="es-ES_tradnl"/>
              </w:rPr>
              <w:t>TOTAL REZAGO PRESUPUESTAL CONSTITUIDO A 31 DE DICIEMBRE DE 2024</w:t>
            </w:r>
          </w:p>
        </w:tc>
        <w:tc>
          <w:tcPr>
            <w:tcW w:w="1985" w:type="dxa"/>
          </w:tcPr>
          <w:p w14:paraId="26E94CCC" w14:textId="77777777" w:rsidR="007E2F9F" w:rsidRPr="007371A3" w:rsidRDefault="007E2F9F" w:rsidP="006548F8">
            <w:pPr>
              <w:tabs>
                <w:tab w:val="left" w:pos="875"/>
              </w:tabs>
              <w:jc w:val="right"/>
              <w:rPr>
                <w:rFonts w:ascii="Arial" w:hAnsi="Arial" w:cs="Arial"/>
                <w:b/>
                <w:bCs/>
                <w:u w:val="single"/>
              </w:rPr>
            </w:pPr>
            <w:r w:rsidRPr="007371A3">
              <w:rPr>
                <w:rFonts w:ascii="Arial" w:hAnsi="Arial" w:cs="Arial"/>
                <w:b/>
                <w:bCs/>
                <w:u w:val="single"/>
              </w:rPr>
              <w:t>10.421.853</w:t>
            </w:r>
          </w:p>
        </w:tc>
      </w:tr>
    </w:tbl>
    <w:p w14:paraId="0B55AED8" w14:textId="77777777" w:rsidR="00941342" w:rsidRDefault="00941342" w:rsidP="00C2076E">
      <w:pPr>
        <w:ind w:left="-284"/>
        <w:jc w:val="both"/>
        <w:rPr>
          <w:rFonts w:ascii="Arial" w:hAnsi="Arial" w:cs="Arial"/>
          <w:b/>
          <w:sz w:val="28"/>
          <w:szCs w:val="28"/>
          <w:lang w:val="es-MX"/>
        </w:rPr>
      </w:pPr>
    </w:p>
    <w:p w14:paraId="5A6B63BD" w14:textId="6A384255" w:rsidR="007E2F9F" w:rsidRPr="00365341" w:rsidRDefault="007E2F9F" w:rsidP="00C2076E">
      <w:pPr>
        <w:ind w:left="-284"/>
        <w:jc w:val="both"/>
        <w:rPr>
          <w:rFonts w:ascii="Arial" w:hAnsi="Arial" w:cs="Arial"/>
          <w:b/>
          <w:sz w:val="28"/>
          <w:szCs w:val="28"/>
          <w:lang w:val="es-MX"/>
        </w:rPr>
      </w:pPr>
      <w:r w:rsidRPr="00365341">
        <w:rPr>
          <w:rFonts w:ascii="Arial" w:hAnsi="Arial" w:cs="Arial"/>
          <w:b/>
          <w:sz w:val="28"/>
          <w:szCs w:val="28"/>
          <w:lang w:val="es-MX"/>
        </w:rPr>
        <w:t>118.- CORPORACIÓN PARA EL DESARROLLO SOSTENIBLES DEL ARCHIPIELAGO DE SAN ANDRÉS, PROVIDENCIA Y SANTA CATALINA - CORALINA.</w:t>
      </w:r>
    </w:p>
    <w:p w14:paraId="64DE2D8A" w14:textId="77777777" w:rsidR="007E2F9F" w:rsidRPr="00365341"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365341" w14:paraId="56B1E845" w14:textId="77777777" w:rsidTr="00C2076E">
        <w:tc>
          <w:tcPr>
            <w:tcW w:w="8222" w:type="dxa"/>
          </w:tcPr>
          <w:p w14:paraId="3A85E5D8" w14:textId="77777777" w:rsidR="007E2F9F" w:rsidRPr="00365341" w:rsidRDefault="007E2F9F" w:rsidP="006548F8">
            <w:pPr>
              <w:tabs>
                <w:tab w:val="left" w:pos="875"/>
              </w:tabs>
              <w:ind w:right="157"/>
              <w:rPr>
                <w:rFonts w:ascii="Arial" w:hAnsi="Arial" w:cs="Arial"/>
                <w:sz w:val="18"/>
                <w:szCs w:val="18"/>
              </w:rPr>
            </w:pPr>
            <w:r w:rsidRPr="00365341">
              <w:rPr>
                <w:rFonts w:ascii="Arial" w:hAnsi="Arial" w:cs="Arial"/>
                <w:lang w:val="es-ES_tradnl"/>
              </w:rPr>
              <w:t>Reservas presupuestales constituidas a 31 de diciembre de 2024</w:t>
            </w:r>
          </w:p>
        </w:tc>
        <w:tc>
          <w:tcPr>
            <w:tcW w:w="2127" w:type="dxa"/>
          </w:tcPr>
          <w:p w14:paraId="3DCF59B9" w14:textId="77777777" w:rsidR="007E2F9F" w:rsidRPr="00365341" w:rsidRDefault="007E2F9F" w:rsidP="006548F8">
            <w:pPr>
              <w:tabs>
                <w:tab w:val="left" w:pos="875"/>
              </w:tabs>
              <w:jc w:val="right"/>
              <w:rPr>
                <w:rFonts w:ascii="Arial" w:hAnsi="Arial" w:cs="Arial"/>
                <w:sz w:val="18"/>
                <w:szCs w:val="18"/>
              </w:rPr>
            </w:pPr>
            <w:r w:rsidRPr="00365341">
              <w:rPr>
                <w:rFonts w:ascii="Arial" w:hAnsi="Arial" w:cs="Arial"/>
                <w:sz w:val="18"/>
                <w:szCs w:val="18"/>
              </w:rPr>
              <w:t>982.774</w:t>
            </w:r>
          </w:p>
        </w:tc>
      </w:tr>
      <w:tr w:rsidR="007E2F9F" w:rsidRPr="00365341" w14:paraId="60B91472" w14:textId="77777777" w:rsidTr="00C2076E">
        <w:tc>
          <w:tcPr>
            <w:tcW w:w="8222" w:type="dxa"/>
          </w:tcPr>
          <w:p w14:paraId="022885A6" w14:textId="77777777" w:rsidR="007E2F9F" w:rsidRPr="00365341" w:rsidRDefault="007E2F9F" w:rsidP="006548F8">
            <w:pPr>
              <w:tabs>
                <w:tab w:val="left" w:pos="875"/>
              </w:tabs>
              <w:ind w:right="157"/>
              <w:rPr>
                <w:rFonts w:ascii="Arial" w:hAnsi="Arial" w:cs="Arial"/>
                <w:sz w:val="18"/>
                <w:szCs w:val="18"/>
              </w:rPr>
            </w:pPr>
            <w:r w:rsidRPr="00365341">
              <w:rPr>
                <w:rFonts w:ascii="Arial" w:hAnsi="Arial" w:cs="Arial"/>
                <w:lang w:val="es-ES_tradnl"/>
              </w:rPr>
              <w:t>Cuentas por pagar constituidas a 31 de diciembre de 2024</w:t>
            </w:r>
          </w:p>
        </w:tc>
        <w:tc>
          <w:tcPr>
            <w:tcW w:w="2127" w:type="dxa"/>
          </w:tcPr>
          <w:p w14:paraId="679BD7F7" w14:textId="77777777" w:rsidR="007E2F9F" w:rsidRPr="00365341" w:rsidRDefault="007E2F9F" w:rsidP="006548F8">
            <w:pPr>
              <w:tabs>
                <w:tab w:val="left" w:pos="875"/>
              </w:tabs>
              <w:jc w:val="right"/>
              <w:rPr>
                <w:rFonts w:ascii="Arial" w:hAnsi="Arial" w:cs="Arial"/>
                <w:sz w:val="18"/>
                <w:szCs w:val="18"/>
              </w:rPr>
            </w:pPr>
            <w:r w:rsidRPr="00365341">
              <w:rPr>
                <w:rFonts w:ascii="Arial" w:hAnsi="Arial" w:cs="Arial"/>
                <w:sz w:val="18"/>
                <w:szCs w:val="18"/>
              </w:rPr>
              <w:t>36.648</w:t>
            </w:r>
          </w:p>
        </w:tc>
      </w:tr>
      <w:tr w:rsidR="007E2F9F" w:rsidRPr="00365341" w14:paraId="7DA7AE50" w14:textId="77777777" w:rsidTr="00C2076E">
        <w:tc>
          <w:tcPr>
            <w:tcW w:w="8222" w:type="dxa"/>
          </w:tcPr>
          <w:p w14:paraId="3752319B" w14:textId="77777777" w:rsidR="007E2F9F" w:rsidRPr="00365341" w:rsidRDefault="007E2F9F" w:rsidP="006548F8">
            <w:pPr>
              <w:tabs>
                <w:tab w:val="left" w:pos="875"/>
              </w:tabs>
              <w:ind w:right="157"/>
              <w:rPr>
                <w:rFonts w:ascii="Arial" w:hAnsi="Arial" w:cs="Arial"/>
                <w:sz w:val="18"/>
                <w:szCs w:val="18"/>
              </w:rPr>
            </w:pPr>
            <w:r w:rsidRPr="00365341">
              <w:rPr>
                <w:rFonts w:ascii="Arial" w:hAnsi="Arial" w:cs="Arial"/>
                <w:b/>
                <w:lang w:val="es-ES_tradnl"/>
              </w:rPr>
              <w:t>TOTAL REZAGO PRESUPUESTAL CONSTITUIDO A 31 DE DICIEMBRE DE 2024</w:t>
            </w:r>
          </w:p>
        </w:tc>
        <w:tc>
          <w:tcPr>
            <w:tcW w:w="2127" w:type="dxa"/>
          </w:tcPr>
          <w:p w14:paraId="6745D921" w14:textId="77777777" w:rsidR="007E2F9F" w:rsidRPr="00365341" w:rsidRDefault="007E2F9F" w:rsidP="006548F8">
            <w:pPr>
              <w:tabs>
                <w:tab w:val="left" w:pos="875"/>
              </w:tabs>
              <w:jc w:val="right"/>
              <w:rPr>
                <w:rFonts w:ascii="Arial" w:hAnsi="Arial" w:cs="Arial"/>
                <w:b/>
                <w:sz w:val="18"/>
                <w:szCs w:val="18"/>
                <w:u w:val="single"/>
              </w:rPr>
            </w:pPr>
            <w:r w:rsidRPr="00365341">
              <w:rPr>
                <w:rFonts w:ascii="Arial" w:hAnsi="Arial" w:cs="Arial"/>
                <w:b/>
                <w:sz w:val="18"/>
                <w:szCs w:val="18"/>
                <w:u w:val="single"/>
              </w:rPr>
              <w:t>1.019.422</w:t>
            </w:r>
          </w:p>
        </w:tc>
      </w:tr>
    </w:tbl>
    <w:p w14:paraId="24D71F69" w14:textId="77777777" w:rsidR="007E2F9F" w:rsidRDefault="007E2F9F" w:rsidP="007E2F9F">
      <w:pPr>
        <w:ind w:left="-142" w:right="-93"/>
        <w:jc w:val="both"/>
        <w:rPr>
          <w:rFonts w:ascii="Arial" w:hAnsi="Arial" w:cs="Arial"/>
          <w:lang w:val="es-MX"/>
        </w:rPr>
      </w:pPr>
    </w:p>
    <w:p w14:paraId="6BDCCBCB" w14:textId="77777777" w:rsidR="007E2F9F" w:rsidRPr="005D4C23" w:rsidRDefault="007E2F9F" w:rsidP="00C2076E">
      <w:pPr>
        <w:ind w:left="-284" w:right="-93"/>
        <w:jc w:val="both"/>
        <w:rPr>
          <w:rFonts w:ascii="Arial" w:hAnsi="Arial" w:cs="Arial"/>
          <w:b/>
          <w:sz w:val="28"/>
          <w:szCs w:val="28"/>
          <w:lang w:val="es-MX"/>
        </w:rPr>
      </w:pPr>
      <w:r w:rsidRPr="005D4C23">
        <w:rPr>
          <w:rFonts w:ascii="Arial" w:hAnsi="Arial" w:cs="Arial"/>
          <w:b/>
          <w:sz w:val="28"/>
          <w:szCs w:val="28"/>
          <w:lang w:val="es-MX"/>
        </w:rPr>
        <w:t xml:space="preserve">121.- INSTITUTO NACIONAL DE FORMACIÓN TÉCNICA PROFESIONAL DE SAN JUAN DEL CESAR LA GUAJIRA – INFOTEP. </w:t>
      </w:r>
    </w:p>
    <w:p w14:paraId="108323FC"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5D4C23" w14:paraId="16679B46" w14:textId="77777777" w:rsidTr="00C2076E">
        <w:tc>
          <w:tcPr>
            <w:tcW w:w="8364" w:type="dxa"/>
          </w:tcPr>
          <w:p w14:paraId="12082A21" w14:textId="77777777" w:rsidR="007E2F9F" w:rsidRPr="005D4C23" w:rsidRDefault="007E2F9F" w:rsidP="006548F8">
            <w:pPr>
              <w:tabs>
                <w:tab w:val="left" w:pos="875"/>
              </w:tabs>
              <w:ind w:right="157"/>
              <w:rPr>
                <w:rFonts w:ascii="Arial" w:hAnsi="Arial" w:cs="Arial"/>
                <w:sz w:val="18"/>
                <w:szCs w:val="18"/>
              </w:rPr>
            </w:pPr>
            <w:r w:rsidRPr="005D4C23">
              <w:rPr>
                <w:rFonts w:ascii="Arial" w:hAnsi="Arial" w:cs="Arial"/>
                <w:lang w:val="es-ES_tradnl"/>
              </w:rPr>
              <w:t>Reservas presupuestales constituidas a 31 de diciembre de 2024</w:t>
            </w:r>
          </w:p>
        </w:tc>
        <w:tc>
          <w:tcPr>
            <w:tcW w:w="1985" w:type="dxa"/>
            <w:tcBorders>
              <w:top w:val="single" w:sz="8" w:space="0" w:color="auto"/>
              <w:left w:val="single" w:sz="8" w:space="0" w:color="auto"/>
              <w:bottom w:val="single" w:sz="4" w:space="0" w:color="auto"/>
              <w:right w:val="single" w:sz="8" w:space="0" w:color="auto"/>
            </w:tcBorders>
            <w:shd w:val="clear" w:color="auto" w:fill="auto"/>
            <w:vAlign w:val="bottom"/>
          </w:tcPr>
          <w:p w14:paraId="5E44F493" w14:textId="77777777" w:rsidR="007E2F9F" w:rsidRPr="005D4C23" w:rsidRDefault="007E2F9F" w:rsidP="006548F8">
            <w:pPr>
              <w:tabs>
                <w:tab w:val="left" w:pos="875"/>
              </w:tabs>
              <w:jc w:val="right"/>
              <w:rPr>
                <w:rFonts w:ascii="Arial" w:hAnsi="Arial" w:cs="Arial"/>
                <w:b/>
                <w:bCs/>
                <w:sz w:val="16"/>
                <w:szCs w:val="16"/>
              </w:rPr>
            </w:pPr>
            <w:r w:rsidRPr="005D4C23">
              <w:rPr>
                <w:rFonts w:ascii="Arial" w:hAnsi="Arial" w:cs="Arial"/>
                <w:b/>
                <w:bCs/>
                <w:color w:val="000000"/>
                <w:sz w:val="16"/>
                <w:szCs w:val="16"/>
              </w:rPr>
              <w:t xml:space="preserve">5.922.788.759,00 </w:t>
            </w:r>
          </w:p>
        </w:tc>
      </w:tr>
      <w:tr w:rsidR="007E2F9F" w:rsidRPr="005D4C23" w14:paraId="2A09616D" w14:textId="77777777" w:rsidTr="00C2076E">
        <w:tc>
          <w:tcPr>
            <w:tcW w:w="8364" w:type="dxa"/>
            <w:tcBorders>
              <w:right w:val="single" w:sz="4" w:space="0" w:color="auto"/>
            </w:tcBorders>
          </w:tcPr>
          <w:p w14:paraId="1FBC872D" w14:textId="77777777" w:rsidR="007E2F9F" w:rsidRPr="005D4C23" w:rsidRDefault="007E2F9F" w:rsidP="006548F8">
            <w:pPr>
              <w:tabs>
                <w:tab w:val="left" w:pos="875"/>
              </w:tabs>
              <w:ind w:right="157"/>
              <w:rPr>
                <w:rFonts w:ascii="Arial" w:hAnsi="Arial" w:cs="Arial"/>
                <w:sz w:val="18"/>
                <w:szCs w:val="18"/>
              </w:rPr>
            </w:pPr>
            <w:r w:rsidRPr="005D4C23">
              <w:rPr>
                <w:rFonts w:ascii="Arial" w:hAnsi="Arial" w:cs="Arial"/>
                <w:lang w:val="es-ES_tradnl"/>
              </w:rPr>
              <w:t>Cuentas por pagar constituidas a 31 de diciembre de 2024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E9A8C69" w14:textId="77777777" w:rsidR="007E2F9F" w:rsidRPr="005D4C23" w:rsidRDefault="007E2F9F" w:rsidP="006548F8">
            <w:pPr>
              <w:tabs>
                <w:tab w:val="left" w:pos="875"/>
              </w:tabs>
              <w:jc w:val="right"/>
              <w:rPr>
                <w:rFonts w:ascii="Arial" w:hAnsi="Arial" w:cs="Arial"/>
                <w:b/>
                <w:bCs/>
                <w:sz w:val="16"/>
                <w:szCs w:val="16"/>
              </w:rPr>
            </w:pPr>
            <w:r w:rsidRPr="005D4C23">
              <w:rPr>
                <w:rFonts w:ascii="Arial" w:hAnsi="Arial" w:cs="Arial"/>
                <w:b/>
                <w:bCs/>
                <w:sz w:val="16"/>
                <w:szCs w:val="16"/>
              </w:rPr>
              <w:t xml:space="preserve">343.462.663,00 </w:t>
            </w:r>
          </w:p>
        </w:tc>
      </w:tr>
      <w:tr w:rsidR="007E2F9F" w:rsidRPr="005D4C23" w14:paraId="733C18B5" w14:textId="77777777" w:rsidTr="00C2076E">
        <w:tc>
          <w:tcPr>
            <w:tcW w:w="8364" w:type="dxa"/>
          </w:tcPr>
          <w:p w14:paraId="44EB5ECD" w14:textId="77777777" w:rsidR="007E2F9F" w:rsidRPr="005D4C23" w:rsidRDefault="007E2F9F" w:rsidP="006548F8">
            <w:pPr>
              <w:tabs>
                <w:tab w:val="left" w:pos="875"/>
              </w:tabs>
              <w:ind w:right="157"/>
              <w:rPr>
                <w:rFonts w:ascii="Arial" w:hAnsi="Arial" w:cs="Arial"/>
                <w:sz w:val="18"/>
                <w:szCs w:val="18"/>
              </w:rPr>
            </w:pPr>
            <w:r w:rsidRPr="005D4C23">
              <w:rPr>
                <w:rFonts w:ascii="Arial" w:hAnsi="Arial" w:cs="Arial"/>
                <w:b/>
                <w:lang w:val="es-ES_tradnl"/>
              </w:rPr>
              <w:t>TOTAL, REZAGO PRESUPUESTAL CONSTITUIDO A 31 DE DICIEMBRE DE 2024</w:t>
            </w:r>
          </w:p>
        </w:tc>
        <w:tc>
          <w:tcPr>
            <w:tcW w:w="1985" w:type="dxa"/>
            <w:tcBorders>
              <w:top w:val="single" w:sz="4" w:space="0" w:color="auto"/>
              <w:left w:val="single" w:sz="8" w:space="0" w:color="auto"/>
              <w:bottom w:val="single" w:sz="8" w:space="0" w:color="auto"/>
              <w:right w:val="single" w:sz="8" w:space="0" w:color="auto"/>
            </w:tcBorders>
            <w:shd w:val="clear" w:color="auto" w:fill="auto"/>
            <w:vAlign w:val="bottom"/>
          </w:tcPr>
          <w:p w14:paraId="14A0ADE6" w14:textId="77777777" w:rsidR="007E2F9F" w:rsidRPr="005D4C23" w:rsidRDefault="007E2F9F" w:rsidP="006548F8">
            <w:pPr>
              <w:tabs>
                <w:tab w:val="left" w:pos="875"/>
              </w:tabs>
              <w:jc w:val="right"/>
              <w:rPr>
                <w:rFonts w:ascii="Arial" w:hAnsi="Arial" w:cs="Arial"/>
                <w:b/>
                <w:bCs/>
                <w:sz w:val="16"/>
                <w:szCs w:val="16"/>
                <w:u w:val="single"/>
              </w:rPr>
            </w:pPr>
            <w:r w:rsidRPr="005D4C23">
              <w:rPr>
                <w:rFonts w:ascii="Arial" w:hAnsi="Arial" w:cs="Arial"/>
                <w:b/>
                <w:bCs/>
                <w:color w:val="000000"/>
                <w:sz w:val="16"/>
                <w:szCs w:val="16"/>
                <w:u w:val="single"/>
              </w:rPr>
              <w:t xml:space="preserve">6.266.251.422,00 </w:t>
            </w:r>
          </w:p>
        </w:tc>
      </w:tr>
    </w:tbl>
    <w:p w14:paraId="638CD4E2" w14:textId="77777777" w:rsidR="007E2F9F" w:rsidRDefault="007E2F9F" w:rsidP="007E2F9F">
      <w:pPr>
        <w:ind w:left="-142" w:right="-93"/>
        <w:jc w:val="both"/>
        <w:rPr>
          <w:rFonts w:ascii="Arial" w:hAnsi="Arial" w:cs="Arial"/>
          <w:lang w:val="es-MX"/>
        </w:rPr>
      </w:pPr>
    </w:p>
    <w:p w14:paraId="2CCFC921" w14:textId="77777777" w:rsidR="007E2F9F" w:rsidRPr="00C20C20" w:rsidRDefault="007E2F9F" w:rsidP="00C2076E">
      <w:pPr>
        <w:ind w:left="-284"/>
        <w:jc w:val="both"/>
        <w:rPr>
          <w:rFonts w:ascii="Arial" w:hAnsi="Arial" w:cs="Arial"/>
          <w:b/>
          <w:sz w:val="28"/>
          <w:szCs w:val="28"/>
          <w:lang w:val="es-MX"/>
        </w:rPr>
      </w:pPr>
      <w:r w:rsidRPr="00C20C20">
        <w:rPr>
          <w:rFonts w:ascii="Arial" w:hAnsi="Arial" w:cs="Arial"/>
          <w:b/>
          <w:sz w:val="28"/>
          <w:szCs w:val="28"/>
          <w:lang w:val="es-MX"/>
        </w:rPr>
        <w:t xml:space="preserve">122.- UNIDAD NACIONAL DE PROTECCIÓN – UNP. </w:t>
      </w:r>
    </w:p>
    <w:p w14:paraId="3A63C776"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C35734" w14:paraId="67BEC665" w14:textId="77777777" w:rsidTr="00C2076E">
        <w:tc>
          <w:tcPr>
            <w:tcW w:w="8364" w:type="dxa"/>
          </w:tcPr>
          <w:p w14:paraId="20E7D6DB" w14:textId="77777777" w:rsidR="007E2F9F" w:rsidRPr="00C35734" w:rsidRDefault="007E2F9F" w:rsidP="006548F8">
            <w:pPr>
              <w:tabs>
                <w:tab w:val="left" w:pos="875"/>
              </w:tabs>
              <w:ind w:right="157"/>
              <w:rPr>
                <w:rFonts w:ascii="Arial" w:hAnsi="Arial" w:cs="Arial"/>
                <w:sz w:val="18"/>
                <w:szCs w:val="18"/>
              </w:rPr>
            </w:pPr>
            <w:r w:rsidRPr="00C35734">
              <w:rPr>
                <w:rFonts w:ascii="Arial" w:hAnsi="Arial" w:cs="Arial"/>
                <w:lang w:val="es-ES_tradnl"/>
              </w:rPr>
              <w:t>Reservas presupuestales constituidas a 31 de diciembre de 2024</w:t>
            </w:r>
          </w:p>
        </w:tc>
        <w:tc>
          <w:tcPr>
            <w:tcW w:w="1985" w:type="dxa"/>
            <w:tcBorders>
              <w:top w:val="single" w:sz="8" w:space="0" w:color="auto"/>
              <w:left w:val="single" w:sz="8" w:space="0" w:color="auto"/>
              <w:bottom w:val="single" w:sz="4" w:space="0" w:color="auto"/>
              <w:right w:val="single" w:sz="8" w:space="0" w:color="auto"/>
            </w:tcBorders>
            <w:shd w:val="clear" w:color="auto" w:fill="auto"/>
            <w:vAlign w:val="bottom"/>
          </w:tcPr>
          <w:p w14:paraId="792A52FE" w14:textId="77777777" w:rsidR="007E2F9F" w:rsidRPr="00C35734" w:rsidRDefault="007E2F9F" w:rsidP="006548F8">
            <w:pPr>
              <w:tabs>
                <w:tab w:val="left" w:pos="875"/>
              </w:tabs>
              <w:jc w:val="right"/>
              <w:rPr>
                <w:rFonts w:ascii="Arial" w:hAnsi="Arial" w:cs="Arial"/>
                <w:b/>
                <w:bCs/>
                <w:sz w:val="16"/>
                <w:szCs w:val="16"/>
              </w:rPr>
            </w:pPr>
            <w:r w:rsidRPr="00C35734">
              <w:rPr>
                <w:rFonts w:ascii="Arial" w:hAnsi="Arial" w:cs="Arial"/>
                <w:b/>
                <w:bCs/>
                <w:color w:val="000000"/>
                <w:sz w:val="16"/>
                <w:szCs w:val="16"/>
              </w:rPr>
              <w:t xml:space="preserve">329.917.379 </w:t>
            </w:r>
          </w:p>
        </w:tc>
      </w:tr>
      <w:tr w:rsidR="007E2F9F" w:rsidRPr="00C35734" w14:paraId="3C874388" w14:textId="77777777" w:rsidTr="00C2076E">
        <w:tc>
          <w:tcPr>
            <w:tcW w:w="8364" w:type="dxa"/>
            <w:tcBorders>
              <w:right w:val="single" w:sz="4" w:space="0" w:color="auto"/>
            </w:tcBorders>
          </w:tcPr>
          <w:p w14:paraId="1CCDEEBB" w14:textId="77777777" w:rsidR="007E2F9F" w:rsidRPr="00C35734" w:rsidRDefault="007E2F9F" w:rsidP="006548F8">
            <w:pPr>
              <w:tabs>
                <w:tab w:val="left" w:pos="875"/>
              </w:tabs>
              <w:ind w:right="157"/>
              <w:rPr>
                <w:rFonts w:ascii="Arial" w:hAnsi="Arial" w:cs="Arial"/>
                <w:sz w:val="18"/>
                <w:szCs w:val="18"/>
              </w:rPr>
            </w:pPr>
            <w:r w:rsidRPr="00C35734">
              <w:rPr>
                <w:rFonts w:ascii="Arial" w:hAnsi="Arial" w:cs="Arial"/>
                <w:lang w:val="es-ES_tradnl"/>
              </w:rPr>
              <w:t>Cuentas por pagar constituidas a 31 de diciembre de 2024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34C2DD7" w14:textId="77777777" w:rsidR="007E2F9F" w:rsidRPr="00C35734" w:rsidRDefault="007E2F9F" w:rsidP="006548F8">
            <w:pPr>
              <w:tabs>
                <w:tab w:val="left" w:pos="875"/>
              </w:tabs>
              <w:jc w:val="right"/>
              <w:rPr>
                <w:rFonts w:ascii="Arial" w:hAnsi="Arial" w:cs="Arial"/>
                <w:b/>
                <w:bCs/>
                <w:sz w:val="16"/>
                <w:szCs w:val="16"/>
              </w:rPr>
            </w:pPr>
            <w:r w:rsidRPr="00C35734">
              <w:rPr>
                <w:rFonts w:ascii="Arial" w:hAnsi="Arial" w:cs="Arial"/>
                <w:b/>
                <w:bCs/>
                <w:sz w:val="16"/>
                <w:szCs w:val="16"/>
              </w:rPr>
              <w:t xml:space="preserve">1.989.651 </w:t>
            </w:r>
          </w:p>
        </w:tc>
      </w:tr>
      <w:tr w:rsidR="007E2F9F" w:rsidRPr="00C35734" w14:paraId="070897AD" w14:textId="77777777" w:rsidTr="00C2076E">
        <w:tc>
          <w:tcPr>
            <w:tcW w:w="8364" w:type="dxa"/>
          </w:tcPr>
          <w:p w14:paraId="2C369B9D" w14:textId="77777777" w:rsidR="007E2F9F" w:rsidRPr="00C35734" w:rsidRDefault="007E2F9F" w:rsidP="006548F8">
            <w:pPr>
              <w:tabs>
                <w:tab w:val="left" w:pos="875"/>
              </w:tabs>
              <w:ind w:right="157"/>
              <w:rPr>
                <w:rFonts w:ascii="Arial" w:hAnsi="Arial" w:cs="Arial"/>
                <w:sz w:val="18"/>
                <w:szCs w:val="18"/>
              </w:rPr>
            </w:pPr>
            <w:r w:rsidRPr="00C35734">
              <w:rPr>
                <w:rFonts w:ascii="Arial" w:hAnsi="Arial" w:cs="Arial"/>
                <w:b/>
                <w:lang w:val="es-ES_tradnl"/>
              </w:rPr>
              <w:t>TOTAL, REZAGO PRESUPUESTAL CONSTITUIDO A 31 DE DICIEMBRE DE 2024</w:t>
            </w:r>
          </w:p>
        </w:tc>
        <w:tc>
          <w:tcPr>
            <w:tcW w:w="1985" w:type="dxa"/>
            <w:tcBorders>
              <w:top w:val="single" w:sz="4" w:space="0" w:color="auto"/>
              <w:left w:val="single" w:sz="8" w:space="0" w:color="auto"/>
              <w:bottom w:val="single" w:sz="8" w:space="0" w:color="auto"/>
              <w:right w:val="single" w:sz="8" w:space="0" w:color="auto"/>
            </w:tcBorders>
            <w:shd w:val="clear" w:color="auto" w:fill="auto"/>
            <w:vAlign w:val="bottom"/>
          </w:tcPr>
          <w:p w14:paraId="45FC9C65" w14:textId="77777777" w:rsidR="007E2F9F" w:rsidRPr="00C35734" w:rsidRDefault="007E2F9F" w:rsidP="006548F8">
            <w:pPr>
              <w:tabs>
                <w:tab w:val="left" w:pos="875"/>
              </w:tabs>
              <w:jc w:val="right"/>
              <w:rPr>
                <w:rFonts w:ascii="Arial" w:hAnsi="Arial" w:cs="Arial"/>
                <w:b/>
                <w:bCs/>
                <w:sz w:val="16"/>
                <w:szCs w:val="16"/>
                <w:u w:val="single"/>
              </w:rPr>
            </w:pPr>
            <w:r w:rsidRPr="00C35734">
              <w:rPr>
                <w:rFonts w:ascii="Arial" w:hAnsi="Arial" w:cs="Arial"/>
                <w:b/>
                <w:bCs/>
                <w:color w:val="000000"/>
                <w:sz w:val="16"/>
                <w:szCs w:val="16"/>
              </w:rPr>
              <w:t xml:space="preserve">331.907.030 </w:t>
            </w:r>
          </w:p>
        </w:tc>
      </w:tr>
    </w:tbl>
    <w:p w14:paraId="6FAF782C" w14:textId="77777777" w:rsidR="007E2F9F" w:rsidRDefault="007E2F9F" w:rsidP="007E2F9F">
      <w:pPr>
        <w:ind w:left="-142" w:right="-93"/>
        <w:jc w:val="both"/>
        <w:rPr>
          <w:rFonts w:ascii="Arial" w:hAnsi="Arial" w:cs="Arial"/>
          <w:lang w:val="es-MX"/>
        </w:rPr>
      </w:pPr>
    </w:p>
    <w:p w14:paraId="39A23642" w14:textId="77777777" w:rsidR="007E2F9F" w:rsidRPr="00FB63E0" w:rsidRDefault="007E2F9F" w:rsidP="00C2076E">
      <w:pPr>
        <w:tabs>
          <w:tab w:val="left" w:pos="1276"/>
        </w:tabs>
        <w:ind w:left="-284" w:right="-93"/>
        <w:jc w:val="both"/>
        <w:rPr>
          <w:rFonts w:ascii="Arial" w:hAnsi="Arial" w:cs="Arial"/>
          <w:b/>
          <w:sz w:val="28"/>
          <w:szCs w:val="28"/>
          <w:lang w:val="es-MX"/>
        </w:rPr>
      </w:pPr>
      <w:r w:rsidRPr="00FB63E0">
        <w:rPr>
          <w:rFonts w:ascii="Arial" w:hAnsi="Arial" w:cs="Arial"/>
          <w:b/>
          <w:sz w:val="28"/>
          <w:szCs w:val="28"/>
        </w:rPr>
        <w:t>124.- U.A.E. AGENCIA NACIONAL DE CONTRATACIÓN PÚBLICA - COLOMBIA COMPRA EFICIENTE</w:t>
      </w:r>
      <w:r w:rsidRPr="00FB63E0">
        <w:rPr>
          <w:rFonts w:ascii="Arial" w:hAnsi="Arial" w:cs="Arial"/>
          <w:b/>
          <w:sz w:val="28"/>
          <w:szCs w:val="28"/>
          <w:lang w:val="es-MX"/>
        </w:rPr>
        <w:t xml:space="preserve">. </w:t>
      </w:r>
    </w:p>
    <w:p w14:paraId="1F0848A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112070" w14:paraId="26051AC7" w14:textId="77777777" w:rsidTr="00C2076E">
        <w:tc>
          <w:tcPr>
            <w:tcW w:w="8931" w:type="dxa"/>
          </w:tcPr>
          <w:p w14:paraId="1BD753B5" w14:textId="77777777" w:rsidR="007E2F9F" w:rsidRPr="00112070" w:rsidRDefault="007E2F9F" w:rsidP="006548F8">
            <w:pPr>
              <w:tabs>
                <w:tab w:val="left" w:pos="875"/>
              </w:tabs>
              <w:ind w:right="157"/>
              <w:rPr>
                <w:rFonts w:ascii="Arial" w:hAnsi="Arial" w:cs="Arial"/>
                <w:sz w:val="18"/>
                <w:szCs w:val="18"/>
              </w:rPr>
            </w:pPr>
            <w:r w:rsidRPr="00112070">
              <w:rPr>
                <w:rFonts w:ascii="Arial" w:hAnsi="Arial" w:cs="Arial"/>
                <w:lang w:val="es-ES_tradnl"/>
              </w:rPr>
              <w:t>Reservas presupuestales constituidas a 31 de diciembre de 2024</w:t>
            </w:r>
          </w:p>
        </w:tc>
        <w:tc>
          <w:tcPr>
            <w:tcW w:w="1418" w:type="dxa"/>
          </w:tcPr>
          <w:p w14:paraId="2EB30CF7" w14:textId="77777777" w:rsidR="007E2F9F" w:rsidRPr="00112070" w:rsidRDefault="007E2F9F" w:rsidP="006548F8">
            <w:pPr>
              <w:tabs>
                <w:tab w:val="left" w:pos="875"/>
              </w:tabs>
              <w:jc w:val="right"/>
              <w:rPr>
                <w:rFonts w:ascii="Arial" w:hAnsi="Arial" w:cs="Arial"/>
                <w:sz w:val="18"/>
                <w:szCs w:val="18"/>
              </w:rPr>
            </w:pPr>
            <w:r w:rsidRPr="00112070">
              <w:rPr>
                <w:rFonts w:ascii="Arial" w:hAnsi="Arial" w:cs="Arial"/>
                <w:sz w:val="18"/>
                <w:szCs w:val="18"/>
              </w:rPr>
              <w:t>5.150.150,32</w:t>
            </w:r>
          </w:p>
        </w:tc>
      </w:tr>
      <w:tr w:rsidR="007E2F9F" w:rsidRPr="00112070" w14:paraId="2912A81E" w14:textId="77777777" w:rsidTr="00C2076E">
        <w:tc>
          <w:tcPr>
            <w:tcW w:w="8931" w:type="dxa"/>
          </w:tcPr>
          <w:p w14:paraId="2CE0FCDE" w14:textId="77777777" w:rsidR="007E2F9F" w:rsidRPr="00112070" w:rsidRDefault="007E2F9F" w:rsidP="006548F8">
            <w:pPr>
              <w:tabs>
                <w:tab w:val="left" w:pos="875"/>
              </w:tabs>
              <w:ind w:right="157"/>
              <w:rPr>
                <w:rFonts w:ascii="Arial" w:hAnsi="Arial" w:cs="Arial"/>
                <w:sz w:val="18"/>
                <w:szCs w:val="18"/>
              </w:rPr>
            </w:pPr>
            <w:r w:rsidRPr="00112070">
              <w:rPr>
                <w:rFonts w:ascii="Arial" w:hAnsi="Arial" w:cs="Arial"/>
                <w:lang w:val="es-ES_tradnl"/>
              </w:rPr>
              <w:t>Cuentas por pagar constituidas a 31 de diciembre de 2024</w:t>
            </w:r>
          </w:p>
        </w:tc>
        <w:tc>
          <w:tcPr>
            <w:tcW w:w="1418" w:type="dxa"/>
          </w:tcPr>
          <w:p w14:paraId="4E518972" w14:textId="77777777" w:rsidR="007E2F9F" w:rsidRPr="00112070" w:rsidRDefault="007E2F9F" w:rsidP="006548F8">
            <w:pPr>
              <w:tabs>
                <w:tab w:val="left" w:pos="875"/>
              </w:tabs>
              <w:jc w:val="right"/>
              <w:rPr>
                <w:rFonts w:ascii="Arial" w:hAnsi="Arial" w:cs="Arial"/>
                <w:sz w:val="18"/>
                <w:szCs w:val="18"/>
              </w:rPr>
            </w:pPr>
            <w:r w:rsidRPr="00112070">
              <w:rPr>
                <w:rFonts w:ascii="Arial" w:hAnsi="Arial" w:cs="Arial"/>
                <w:sz w:val="18"/>
                <w:szCs w:val="18"/>
              </w:rPr>
              <w:t>208.492,20</w:t>
            </w:r>
          </w:p>
        </w:tc>
      </w:tr>
      <w:tr w:rsidR="007E2F9F" w:rsidRPr="00112070" w14:paraId="47A5C805" w14:textId="77777777" w:rsidTr="00C2076E">
        <w:tc>
          <w:tcPr>
            <w:tcW w:w="8931" w:type="dxa"/>
          </w:tcPr>
          <w:p w14:paraId="4BC8483C" w14:textId="77777777" w:rsidR="007E2F9F" w:rsidRPr="00112070" w:rsidRDefault="007E2F9F" w:rsidP="006548F8">
            <w:pPr>
              <w:tabs>
                <w:tab w:val="left" w:pos="875"/>
              </w:tabs>
              <w:ind w:right="157"/>
              <w:rPr>
                <w:rFonts w:ascii="Arial" w:hAnsi="Arial" w:cs="Arial"/>
                <w:sz w:val="18"/>
                <w:szCs w:val="18"/>
              </w:rPr>
            </w:pPr>
            <w:r w:rsidRPr="00112070">
              <w:rPr>
                <w:rFonts w:ascii="Arial" w:hAnsi="Arial" w:cs="Arial"/>
                <w:b/>
                <w:lang w:val="es-ES_tradnl"/>
              </w:rPr>
              <w:t>TOTAL REZAGO PRESUPUESTAL CONSTITUIDO A 31 DE DICIEMBRE DE 2024</w:t>
            </w:r>
          </w:p>
        </w:tc>
        <w:tc>
          <w:tcPr>
            <w:tcW w:w="1418" w:type="dxa"/>
          </w:tcPr>
          <w:p w14:paraId="5D880E9F" w14:textId="77777777" w:rsidR="007E2F9F" w:rsidRPr="00112070" w:rsidRDefault="007E2F9F" w:rsidP="006548F8">
            <w:pPr>
              <w:tabs>
                <w:tab w:val="left" w:pos="875"/>
              </w:tabs>
              <w:jc w:val="right"/>
              <w:rPr>
                <w:rFonts w:ascii="Arial" w:hAnsi="Arial" w:cs="Arial"/>
                <w:b/>
                <w:sz w:val="18"/>
                <w:szCs w:val="18"/>
                <w:u w:val="single"/>
              </w:rPr>
            </w:pPr>
            <w:r w:rsidRPr="00112070">
              <w:rPr>
                <w:rFonts w:ascii="Arial" w:hAnsi="Arial" w:cs="Arial"/>
                <w:b/>
                <w:sz w:val="18"/>
                <w:szCs w:val="18"/>
                <w:u w:val="single"/>
              </w:rPr>
              <w:t>5.358.642,52</w:t>
            </w:r>
          </w:p>
        </w:tc>
      </w:tr>
    </w:tbl>
    <w:p w14:paraId="3DF754FD" w14:textId="77777777" w:rsidR="007E2F9F" w:rsidRDefault="007E2F9F" w:rsidP="007E2F9F">
      <w:pPr>
        <w:ind w:left="-142" w:right="-93"/>
        <w:jc w:val="both"/>
        <w:rPr>
          <w:rFonts w:ascii="Arial" w:hAnsi="Arial" w:cs="Arial"/>
          <w:lang w:val="es-MX"/>
        </w:rPr>
      </w:pPr>
    </w:p>
    <w:p w14:paraId="54843A56" w14:textId="77777777" w:rsidR="007E2F9F" w:rsidRPr="008B6785" w:rsidRDefault="007E2F9F" w:rsidP="00C2076E">
      <w:pPr>
        <w:ind w:left="-284"/>
        <w:jc w:val="both"/>
        <w:rPr>
          <w:rFonts w:ascii="Arial" w:hAnsi="Arial" w:cs="Arial"/>
          <w:b/>
          <w:sz w:val="28"/>
          <w:szCs w:val="28"/>
          <w:lang w:val="es-MX"/>
        </w:rPr>
      </w:pPr>
      <w:r w:rsidRPr="008B6785">
        <w:rPr>
          <w:rFonts w:ascii="Arial" w:hAnsi="Arial" w:cs="Arial"/>
          <w:b/>
          <w:sz w:val="28"/>
          <w:szCs w:val="28"/>
          <w:lang w:val="es-MX"/>
        </w:rPr>
        <w:t>128.- SUPERINTENDENCIA DE TRANSPORTE.</w:t>
      </w:r>
    </w:p>
    <w:p w14:paraId="6FBED992" w14:textId="77777777" w:rsidR="007E2F9F" w:rsidRDefault="007E2F9F" w:rsidP="007E2F9F">
      <w:pPr>
        <w:ind w:left="-142" w:right="-93"/>
        <w:jc w:val="both"/>
        <w:rPr>
          <w:rFonts w:ascii="Arial" w:hAnsi="Arial" w:cs="Arial"/>
          <w:lang w:val="es-MX"/>
        </w:rPr>
      </w:pPr>
    </w:p>
    <w:tbl>
      <w:tblPr>
        <w:tblStyle w:val="Tablaconcuadrcula"/>
        <w:tblW w:w="10207" w:type="dxa"/>
        <w:tblInd w:w="-289" w:type="dxa"/>
        <w:tblLook w:val="04A0" w:firstRow="1" w:lastRow="0" w:firstColumn="1" w:lastColumn="0" w:noHBand="0" w:noVBand="1"/>
      </w:tblPr>
      <w:tblGrid>
        <w:gridCol w:w="8789"/>
        <w:gridCol w:w="1418"/>
      </w:tblGrid>
      <w:tr w:rsidR="007E2F9F" w:rsidRPr="001B49E1" w14:paraId="0EC04B24" w14:textId="77777777" w:rsidTr="00C2076E">
        <w:tc>
          <w:tcPr>
            <w:tcW w:w="8789" w:type="dxa"/>
          </w:tcPr>
          <w:p w14:paraId="07AD9833" w14:textId="77777777" w:rsidR="007E2F9F" w:rsidRPr="001B49E1" w:rsidRDefault="007E2F9F" w:rsidP="006548F8">
            <w:pPr>
              <w:tabs>
                <w:tab w:val="left" w:pos="875"/>
              </w:tabs>
              <w:rPr>
                <w:rFonts w:ascii="Arial" w:hAnsi="Arial" w:cs="Arial"/>
                <w:sz w:val="18"/>
                <w:szCs w:val="18"/>
              </w:rPr>
            </w:pPr>
            <w:r w:rsidRPr="001B49E1">
              <w:rPr>
                <w:rFonts w:ascii="Arial" w:hAnsi="Arial" w:cs="Arial"/>
                <w:lang w:val="es-ES_tradnl"/>
              </w:rPr>
              <w:t>Reservas presupuestales constituidas a 31 de diciembre de 2024</w:t>
            </w:r>
          </w:p>
        </w:tc>
        <w:tc>
          <w:tcPr>
            <w:tcW w:w="1418" w:type="dxa"/>
          </w:tcPr>
          <w:p w14:paraId="29B48E35" w14:textId="77777777" w:rsidR="007E2F9F" w:rsidRPr="001B49E1" w:rsidRDefault="007E2F9F" w:rsidP="006548F8">
            <w:pPr>
              <w:tabs>
                <w:tab w:val="left" w:pos="875"/>
              </w:tabs>
              <w:jc w:val="right"/>
              <w:rPr>
                <w:rFonts w:ascii="Arial" w:hAnsi="Arial" w:cs="Arial"/>
                <w:sz w:val="18"/>
                <w:szCs w:val="18"/>
              </w:rPr>
            </w:pPr>
            <w:r w:rsidRPr="001B49E1">
              <w:rPr>
                <w:rFonts w:ascii="Arial" w:hAnsi="Arial" w:cs="Arial"/>
                <w:sz w:val="18"/>
                <w:szCs w:val="18"/>
              </w:rPr>
              <w:t>183.946</w:t>
            </w:r>
          </w:p>
        </w:tc>
      </w:tr>
      <w:tr w:rsidR="007E2F9F" w:rsidRPr="001B49E1" w14:paraId="4C3A15A9" w14:textId="77777777" w:rsidTr="00C2076E">
        <w:tc>
          <w:tcPr>
            <w:tcW w:w="8789" w:type="dxa"/>
          </w:tcPr>
          <w:p w14:paraId="020F6D4A" w14:textId="77777777" w:rsidR="007E2F9F" w:rsidRPr="001B49E1" w:rsidRDefault="007E2F9F" w:rsidP="006548F8">
            <w:pPr>
              <w:tabs>
                <w:tab w:val="left" w:pos="875"/>
              </w:tabs>
              <w:rPr>
                <w:rFonts w:ascii="Arial" w:hAnsi="Arial" w:cs="Arial"/>
                <w:sz w:val="18"/>
                <w:szCs w:val="18"/>
              </w:rPr>
            </w:pPr>
            <w:r w:rsidRPr="001B49E1">
              <w:rPr>
                <w:rFonts w:ascii="Arial" w:hAnsi="Arial" w:cs="Arial"/>
                <w:lang w:val="es-ES_tradnl"/>
              </w:rPr>
              <w:t>Cuentas por pagar constituidas a 31 de diciembre de 2024</w:t>
            </w:r>
          </w:p>
        </w:tc>
        <w:tc>
          <w:tcPr>
            <w:tcW w:w="1418" w:type="dxa"/>
          </w:tcPr>
          <w:p w14:paraId="24E04EC1" w14:textId="77777777" w:rsidR="007E2F9F" w:rsidRPr="001B49E1" w:rsidRDefault="007E2F9F" w:rsidP="006548F8">
            <w:pPr>
              <w:tabs>
                <w:tab w:val="left" w:pos="875"/>
              </w:tabs>
              <w:jc w:val="right"/>
              <w:rPr>
                <w:rFonts w:ascii="Arial" w:hAnsi="Arial" w:cs="Arial"/>
                <w:sz w:val="18"/>
                <w:szCs w:val="18"/>
              </w:rPr>
            </w:pPr>
            <w:r w:rsidRPr="001B49E1">
              <w:rPr>
                <w:rFonts w:ascii="Arial" w:hAnsi="Arial" w:cs="Arial"/>
                <w:sz w:val="18"/>
                <w:szCs w:val="18"/>
              </w:rPr>
              <w:t>1.624.975</w:t>
            </w:r>
          </w:p>
        </w:tc>
      </w:tr>
      <w:tr w:rsidR="007E2F9F" w:rsidRPr="001B49E1" w14:paraId="5CA912C4" w14:textId="77777777" w:rsidTr="00C2076E">
        <w:tc>
          <w:tcPr>
            <w:tcW w:w="8789" w:type="dxa"/>
          </w:tcPr>
          <w:p w14:paraId="6B5DD32D" w14:textId="77777777" w:rsidR="007E2F9F" w:rsidRPr="001B49E1" w:rsidRDefault="007E2F9F" w:rsidP="006548F8">
            <w:pPr>
              <w:tabs>
                <w:tab w:val="left" w:pos="875"/>
              </w:tabs>
              <w:rPr>
                <w:rFonts w:ascii="Arial" w:hAnsi="Arial" w:cs="Arial"/>
                <w:sz w:val="18"/>
                <w:szCs w:val="18"/>
              </w:rPr>
            </w:pPr>
            <w:r w:rsidRPr="001B49E1">
              <w:rPr>
                <w:rFonts w:ascii="Arial" w:hAnsi="Arial" w:cs="Arial"/>
                <w:b/>
                <w:lang w:val="es-ES_tradnl"/>
              </w:rPr>
              <w:t>TOTAL REZAGO PRESUPUESTAL CONSTITUIDO A 31 DE DICIEMBRE DE 2024</w:t>
            </w:r>
          </w:p>
        </w:tc>
        <w:tc>
          <w:tcPr>
            <w:tcW w:w="1418" w:type="dxa"/>
          </w:tcPr>
          <w:p w14:paraId="097B5CF0" w14:textId="77777777" w:rsidR="007E2F9F" w:rsidRPr="001B49E1" w:rsidRDefault="007E2F9F" w:rsidP="006548F8">
            <w:pPr>
              <w:tabs>
                <w:tab w:val="left" w:pos="875"/>
              </w:tabs>
              <w:jc w:val="right"/>
              <w:rPr>
                <w:rFonts w:ascii="Arial" w:hAnsi="Arial" w:cs="Arial"/>
                <w:b/>
                <w:sz w:val="18"/>
                <w:szCs w:val="18"/>
                <w:u w:val="single"/>
              </w:rPr>
            </w:pPr>
            <w:r w:rsidRPr="001B49E1">
              <w:rPr>
                <w:rFonts w:ascii="Arial" w:hAnsi="Arial" w:cs="Arial"/>
                <w:b/>
                <w:sz w:val="18"/>
                <w:szCs w:val="18"/>
                <w:u w:val="single"/>
              </w:rPr>
              <w:t>1.808.921</w:t>
            </w:r>
          </w:p>
        </w:tc>
      </w:tr>
    </w:tbl>
    <w:p w14:paraId="5D41D027" w14:textId="77777777" w:rsidR="007E2F9F" w:rsidRDefault="007E2F9F" w:rsidP="007E2F9F">
      <w:pPr>
        <w:ind w:left="-142" w:right="-93"/>
        <w:jc w:val="both"/>
        <w:rPr>
          <w:rFonts w:ascii="Arial" w:hAnsi="Arial" w:cs="Arial"/>
          <w:lang w:val="es-MX"/>
        </w:rPr>
      </w:pPr>
    </w:p>
    <w:p w14:paraId="40DB5809" w14:textId="77777777" w:rsidR="007E2F9F" w:rsidRPr="00314EF2" w:rsidRDefault="007E2F9F" w:rsidP="00C2076E">
      <w:pPr>
        <w:ind w:left="-284"/>
        <w:jc w:val="both"/>
        <w:rPr>
          <w:rFonts w:ascii="Arial" w:hAnsi="Arial" w:cs="Arial"/>
          <w:b/>
          <w:sz w:val="28"/>
          <w:szCs w:val="28"/>
          <w:lang w:val="es-MX"/>
        </w:rPr>
      </w:pPr>
      <w:r w:rsidRPr="00314EF2">
        <w:rPr>
          <w:rFonts w:ascii="Arial" w:hAnsi="Arial" w:cs="Arial"/>
          <w:b/>
          <w:sz w:val="28"/>
          <w:szCs w:val="28"/>
          <w:lang w:val="es-MX"/>
        </w:rPr>
        <w:t xml:space="preserve">129.- </w:t>
      </w:r>
      <w:r w:rsidRPr="00314EF2">
        <w:rPr>
          <w:rFonts w:ascii="Arial" w:hAnsi="Arial" w:cs="Arial"/>
          <w:b/>
          <w:sz w:val="28"/>
          <w:szCs w:val="28"/>
        </w:rPr>
        <w:t>UNIDAD DE SERVICIOS PENITENCIARIOS Y CARCELARIOS – USPEC</w:t>
      </w:r>
      <w:r w:rsidRPr="00314EF2">
        <w:rPr>
          <w:rFonts w:ascii="Arial" w:hAnsi="Arial" w:cs="Arial"/>
          <w:b/>
          <w:sz w:val="28"/>
          <w:szCs w:val="28"/>
          <w:lang w:val="es-MX"/>
        </w:rPr>
        <w:t>.</w:t>
      </w:r>
    </w:p>
    <w:p w14:paraId="39CD3261" w14:textId="77777777" w:rsidR="007E2F9F" w:rsidRDefault="007E2F9F" w:rsidP="007E2F9F">
      <w:pPr>
        <w:ind w:left="-142" w:right="-93"/>
        <w:jc w:val="both"/>
        <w:rPr>
          <w:rFonts w:ascii="Arial" w:hAnsi="Arial" w:cs="Arial"/>
          <w:lang w:val="es-MX"/>
        </w:rPr>
      </w:pPr>
    </w:p>
    <w:tbl>
      <w:tblPr>
        <w:tblStyle w:val="Tablaconcuadrcula"/>
        <w:tblW w:w="10207" w:type="dxa"/>
        <w:tblInd w:w="-289" w:type="dxa"/>
        <w:tblLook w:val="04A0" w:firstRow="1" w:lastRow="0" w:firstColumn="1" w:lastColumn="0" w:noHBand="0" w:noVBand="1"/>
      </w:tblPr>
      <w:tblGrid>
        <w:gridCol w:w="8364"/>
        <w:gridCol w:w="1843"/>
      </w:tblGrid>
      <w:tr w:rsidR="007E2F9F" w:rsidRPr="00E52B37" w14:paraId="58DB56D0" w14:textId="77777777" w:rsidTr="00C2076E">
        <w:tc>
          <w:tcPr>
            <w:tcW w:w="8364" w:type="dxa"/>
          </w:tcPr>
          <w:p w14:paraId="1012764D" w14:textId="77777777" w:rsidR="007E2F9F" w:rsidRPr="00E52B37" w:rsidRDefault="007E2F9F" w:rsidP="006548F8">
            <w:pPr>
              <w:tabs>
                <w:tab w:val="left" w:pos="875"/>
              </w:tabs>
              <w:ind w:right="157"/>
              <w:rPr>
                <w:rFonts w:ascii="Arial" w:hAnsi="Arial" w:cs="Arial"/>
                <w:sz w:val="18"/>
                <w:szCs w:val="18"/>
              </w:rPr>
            </w:pPr>
            <w:r w:rsidRPr="00E52B37">
              <w:rPr>
                <w:rFonts w:ascii="Arial" w:hAnsi="Arial" w:cs="Arial"/>
                <w:lang w:val="es-ES_tradnl"/>
              </w:rPr>
              <w:t>Reservas presupuestales constituidas a 31 de diciembre de 2024</w:t>
            </w:r>
          </w:p>
        </w:tc>
        <w:tc>
          <w:tcPr>
            <w:tcW w:w="1843" w:type="dxa"/>
          </w:tcPr>
          <w:p w14:paraId="2F513141" w14:textId="77777777" w:rsidR="007E2F9F" w:rsidRPr="00E52B37" w:rsidRDefault="007E2F9F" w:rsidP="006548F8">
            <w:pPr>
              <w:tabs>
                <w:tab w:val="left" w:pos="875"/>
              </w:tabs>
              <w:jc w:val="right"/>
              <w:rPr>
                <w:rFonts w:ascii="Arial" w:hAnsi="Arial" w:cs="Arial"/>
                <w:sz w:val="18"/>
                <w:szCs w:val="18"/>
              </w:rPr>
            </w:pPr>
            <w:r w:rsidRPr="00E52B37">
              <w:rPr>
                <w:rFonts w:ascii="Arial" w:hAnsi="Arial" w:cs="Arial"/>
                <w:sz w:val="18"/>
                <w:szCs w:val="18"/>
              </w:rPr>
              <w:t>679.934</w:t>
            </w:r>
          </w:p>
        </w:tc>
      </w:tr>
      <w:tr w:rsidR="007E2F9F" w:rsidRPr="00E52B37" w14:paraId="5C4BCD09" w14:textId="77777777" w:rsidTr="00C2076E">
        <w:tc>
          <w:tcPr>
            <w:tcW w:w="8364" w:type="dxa"/>
          </w:tcPr>
          <w:p w14:paraId="719E5F59" w14:textId="77777777" w:rsidR="007E2F9F" w:rsidRPr="00E52B37" w:rsidRDefault="007E2F9F" w:rsidP="006548F8">
            <w:pPr>
              <w:tabs>
                <w:tab w:val="left" w:pos="875"/>
              </w:tabs>
              <w:ind w:right="157"/>
              <w:rPr>
                <w:rFonts w:ascii="Arial" w:hAnsi="Arial" w:cs="Arial"/>
                <w:sz w:val="18"/>
                <w:szCs w:val="18"/>
              </w:rPr>
            </w:pPr>
            <w:r w:rsidRPr="00E52B37">
              <w:rPr>
                <w:rFonts w:ascii="Arial" w:hAnsi="Arial" w:cs="Arial"/>
                <w:lang w:val="es-ES_tradnl"/>
              </w:rPr>
              <w:t>Cuentas por pagar constituidas a 31 de diciembre de 2024</w:t>
            </w:r>
          </w:p>
        </w:tc>
        <w:tc>
          <w:tcPr>
            <w:tcW w:w="1843" w:type="dxa"/>
          </w:tcPr>
          <w:p w14:paraId="63BCC7D9" w14:textId="77777777" w:rsidR="007E2F9F" w:rsidRPr="00E52B37" w:rsidRDefault="007E2F9F" w:rsidP="006548F8">
            <w:pPr>
              <w:tabs>
                <w:tab w:val="left" w:pos="875"/>
              </w:tabs>
              <w:jc w:val="right"/>
              <w:rPr>
                <w:rFonts w:ascii="Arial" w:hAnsi="Arial" w:cs="Arial"/>
                <w:sz w:val="18"/>
                <w:szCs w:val="18"/>
              </w:rPr>
            </w:pPr>
            <w:r w:rsidRPr="00E52B37">
              <w:rPr>
                <w:rFonts w:ascii="Arial" w:hAnsi="Arial" w:cs="Arial"/>
                <w:sz w:val="18"/>
                <w:szCs w:val="18"/>
              </w:rPr>
              <w:t>0</w:t>
            </w:r>
          </w:p>
        </w:tc>
      </w:tr>
      <w:tr w:rsidR="007E2F9F" w:rsidRPr="00E52B37" w14:paraId="3DADCBAA" w14:textId="77777777" w:rsidTr="00C2076E">
        <w:tc>
          <w:tcPr>
            <w:tcW w:w="8364" w:type="dxa"/>
          </w:tcPr>
          <w:p w14:paraId="6305C01D" w14:textId="77777777" w:rsidR="007E2F9F" w:rsidRPr="00E52B37" w:rsidRDefault="007E2F9F" w:rsidP="006548F8">
            <w:pPr>
              <w:tabs>
                <w:tab w:val="left" w:pos="875"/>
              </w:tabs>
              <w:ind w:right="157"/>
              <w:rPr>
                <w:rFonts w:ascii="Arial" w:hAnsi="Arial" w:cs="Arial"/>
                <w:sz w:val="18"/>
                <w:szCs w:val="18"/>
              </w:rPr>
            </w:pPr>
            <w:r w:rsidRPr="00E52B37">
              <w:rPr>
                <w:rFonts w:ascii="Arial" w:hAnsi="Arial" w:cs="Arial"/>
                <w:b/>
                <w:lang w:val="es-ES_tradnl"/>
              </w:rPr>
              <w:t>TOTAL REZAGO PRESUPUESTAL CONSTITUIDO A 31 DE DICIEMBRE DE 2024</w:t>
            </w:r>
          </w:p>
        </w:tc>
        <w:tc>
          <w:tcPr>
            <w:tcW w:w="1843" w:type="dxa"/>
          </w:tcPr>
          <w:p w14:paraId="6EA7FD50" w14:textId="77777777" w:rsidR="007E2F9F" w:rsidRPr="00E52B37" w:rsidRDefault="007E2F9F" w:rsidP="006548F8">
            <w:pPr>
              <w:tabs>
                <w:tab w:val="left" w:pos="875"/>
              </w:tabs>
              <w:jc w:val="right"/>
              <w:rPr>
                <w:rFonts w:ascii="Arial" w:hAnsi="Arial" w:cs="Arial"/>
                <w:b/>
                <w:sz w:val="18"/>
                <w:szCs w:val="18"/>
                <w:u w:val="single"/>
              </w:rPr>
            </w:pPr>
            <w:r w:rsidRPr="00E52B37">
              <w:rPr>
                <w:rFonts w:ascii="Arial" w:hAnsi="Arial" w:cs="Arial"/>
                <w:b/>
                <w:sz w:val="18"/>
                <w:szCs w:val="18"/>
                <w:u w:val="single"/>
              </w:rPr>
              <w:t>679.934</w:t>
            </w:r>
          </w:p>
        </w:tc>
      </w:tr>
    </w:tbl>
    <w:p w14:paraId="4F6B1E49" w14:textId="77777777" w:rsidR="007E2F9F" w:rsidRDefault="007E2F9F" w:rsidP="007E2F9F">
      <w:pPr>
        <w:ind w:left="-142" w:right="-93"/>
        <w:jc w:val="both"/>
        <w:rPr>
          <w:rFonts w:ascii="Arial" w:hAnsi="Arial" w:cs="Arial"/>
          <w:lang w:val="es-MX"/>
        </w:rPr>
      </w:pPr>
    </w:p>
    <w:p w14:paraId="5B75B514" w14:textId="77777777" w:rsidR="007E2F9F" w:rsidRPr="000D62C1" w:rsidRDefault="007E2F9F" w:rsidP="00C2076E">
      <w:pPr>
        <w:tabs>
          <w:tab w:val="left" w:pos="875"/>
        </w:tabs>
        <w:ind w:left="-284"/>
        <w:jc w:val="both"/>
        <w:rPr>
          <w:rFonts w:ascii="Arial" w:hAnsi="Arial" w:cs="Arial"/>
          <w:bCs/>
          <w:sz w:val="24"/>
        </w:rPr>
      </w:pPr>
      <w:r w:rsidRPr="000D62C1">
        <w:rPr>
          <w:rFonts w:ascii="Arial" w:hAnsi="Arial" w:cs="Arial"/>
          <w:b/>
          <w:sz w:val="24"/>
        </w:rPr>
        <w:t xml:space="preserve">NOTA: </w:t>
      </w:r>
      <w:r w:rsidRPr="000D62C1">
        <w:rPr>
          <w:rFonts w:ascii="Arial" w:hAnsi="Arial" w:cs="Arial"/>
          <w:bCs/>
          <w:sz w:val="24"/>
        </w:rPr>
        <w:t xml:space="preserve">Esta auditoria observa que la columna de ejecución de compromisos no corresponde a los valores presentados en el cuadro anterior. Cuál es la razón para que se presenten estas diferencias en las cifras </w:t>
      </w:r>
    </w:p>
    <w:p w14:paraId="4DB0A2F2" w14:textId="77777777" w:rsidR="007E2F9F" w:rsidRDefault="007E2F9F" w:rsidP="007E2F9F">
      <w:pPr>
        <w:ind w:left="-142" w:right="-93"/>
        <w:jc w:val="both"/>
        <w:rPr>
          <w:rFonts w:ascii="Arial" w:hAnsi="Arial" w:cs="Arial"/>
          <w:lang w:val="es-MX"/>
        </w:rPr>
      </w:pPr>
    </w:p>
    <w:p w14:paraId="0C680039" w14:textId="77777777" w:rsidR="007E2F9F" w:rsidRPr="00054233" w:rsidRDefault="007E2F9F" w:rsidP="00C2076E">
      <w:pPr>
        <w:ind w:left="-284"/>
        <w:jc w:val="both"/>
        <w:rPr>
          <w:rFonts w:ascii="Arial" w:hAnsi="Arial" w:cs="Arial"/>
          <w:b/>
          <w:sz w:val="28"/>
          <w:szCs w:val="28"/>
          <w:lang w:val="es-MX"/>
        </w:rPr>
      </w:pPr>
      <w:r w:rsidRPr="00054233">
        <w:rPr>
          <w:rFonts w:ascii="Arial" w:hAnsi="Arial" w:cs="Arial"/>
          <w:b/>
          <w:sz w:val="28"/>
          <w:szCs w:val="28"/>
          <w:lang w:val="es-MX"/>
        </w:rPr>
        <w:t xml:space="preserve">129.- </w:t>
      </w:r>
      <w:r w:rsidRPr="00054233">
        <w:rPr>
          <w:rFonts w:ascii="Arial" w:hAnsi="Arial" w:cs="Arial"/>
          <w:b/>
          <w:sz w:val="28"/>
          <w:szCs w:val="28"/>
        </w:rPr>
        <w:t>UNIDAD DE SERVICIOS PENITENCIARIOS Y CARCELARIOS – USPEC</w:t>
      </w:r>
      <w:r w:rsidRPr="00054233">
        <w:rPr>
          <w:rFonts w:ascii="Arial" w:hAnsi="Arial" w:cs="Arial"/>
          <w:b/>
          <w:sz w:val="28"/>
          <w:szCs w:val="28"/>
          <w:lang w:val="es-MX"/>
        </w:rPr>
        <w:t>.</w:t>
      </w:r>
    </w:p>
    <w:p w14:paraId="0CDD4A2D" w14:textId="77777777" w:rsidR="007E2F9F" w:rsidRDefault="007E2F9F" w:rsidP="007E2F9F">
      <w:pPr>
        <w:ind w:left="-142" w:right="-93"/>
        <w:jc w:val="both"/>
        <w:rPr>
          <w:rFonts w:ascii="Arial" w:hAnsi="Arial" w:cs="Arial"/>
          <w:lang w:val="es-MX"/>
        </w:rPr>
      </w:pPr>
    </w:p>
    <w:tbl>
      <w:tblPr>
        <w:tblStyle w:val="Tablaconcuadrcula"/>
        <w:tblW w:w="10207" w:type="dxa"/>
        <w:tblInd w:w="-289" w:type="dxa"/>
        <w:tblLook w:val="04A0" w:firstRow="1" w:lastRow="0" w:firstColumn="1" w:lastColumn="0" w:noHBand="0" w:noVBand="1"/>
      </w:tblPr>
      <w:tblGrid>
        <w:gridCol w:w="8364"/>
        <w:gridCol w:w="1843"/>
      </w:tblGrid>
      <w:tr w:rsidR="007E2F9F" w:rsidRPr="00054233" w14:paraId="73834AF5" w14:textId="77777777" w:rsidTr="00C2076E">
        <w:tc>
          <w:tcPr>
            <w:tcW w:w="8364" w:type="dxa"/>
          </w:tcPr>
          <w:p w14:paraId="20734E0E" w14:textId="77777777" w:rsidR="007E2F9F" w:rsidRPr="00054233" w:rsidRDefault="007E2F9F" w:rsidP="006548F8">
            <w:pPr>
              <w:tabs>
                <w:tab w:val="left" w:pos="875"/>
              </w:tabs>
              <w:ind w:right="157"/>
              <w:rPr>
                <w:rFonts w:ascii="Arial" w:hAnsi="Arial" w:cs="Arial"/>
                <w:sz w:val="18"/>
                <w:szCs w:val="18"/>
              </w:rPr>
            </w:pPr>
            <w:r w:rsidRPr="00054233">
              <w:rPr>
                <w:rFonts w:ascii="Arial" w:hAnsi="Arial" w:cs="Arial"/>
                <w:lang w:val="es-ES_tradnl"/>
              </w:rPr>
              <w:t>Reservas presupuestales constituidas a 31 de diciembre de 2024</w:t>
            </w:r>
          </w:p>
        </w:tc>
        <w:tc>
          <w:tcPr>
            <w:tcW w:w="1843" w:type="dxa"/>
          </w:tcPr>
          <w:p w14:paraId="02864149" w14:textId="77777777" w:rsidR="007E2F9F" w:rsidRPr="00054233" w:rsidRDefault="007E2F9F" w:rsidP="006548F8">
            <w:pPr>
              <w:tabs>
                <w:tab w:val="left" w:pos="875"/>
              </w:tabs>
              <w:jc w:val="right"/>
              <w:rPr>
                <w:rFonts w:ascii="Arial" w:hAnsi="Arial" w:cs="Arial"/>
                <w:sz w:val="18"/>
                <w:szCs w:val="18"/>
              </w:rPr>
            </w:pPr>
            <w:r w:rsidRPr="00054233">
              <w:rPr>
                <w:rFonts w:ascii="Arial" w:hAnsi="Arial" w:cs="Arial"/>
                <w:sz w:val="18"/>
                <w:szCs w:val="18"/>
              </w:rPr>
              <w:t>385.169,39</w:t>
            </w:r>
          </w:p>
        </w:tc>
      </w:tr>
      <w:tr w:rsidR="007E2F9F" w:rsidRPr="00054233" w14:paraId="62C9DBD8" w14:textId="77777777" w:rsidTr="00C2076E">
        <w:tc>
          <w:tcPr>
            <w:tcW w:w="8364" w:type="dxa"/>
          </w:tcPr>
          <w:p w14:paraId="0EDF971D" w14:textId="77777777" w:rsidR="007E2F9F" w:rsidRPr="00054233" w:rsidRDefault="007E2F9F" w:rsidP="006548F8">
            <w:pPr>
              <w:tabs>
                <w:tab w:val="left" w:pos="875"/>
              </w:tabs>
              <w:ind w:right="157"/>
              <w:rPr>
                <w:rFonts w:ascii="Arial" w:hAnsi="Arial" w:cs="Arial"/>
                <w:sz w:val="18"/>
                <w:szCs w:val="18"/>
              </w:rPr>
            </w:pPr>
            <w:r w:rsidRPr="00054233">
              <w:rPr>
                <w:rFonts w:ascii="Arial" w:hAnsi="Arial" w:cs="Arial"/>
                <w:lang w:val="es-ES_tradnl"/>
              </w:rPr>
              <w:t>Cuentas por pagar constituidas a 31 de diciembre de 2024</w:t>
            </w:r>
          </w:p>
        </w:tc>
        <w:tc>
          <w:tcPr>
            <w:tcW w:w="1843" w:type="dxa"/>
          </w:tcPr>
          <w:p w14:paraId="32B4F28D" w14:textId="77777777" w:rsidR="007E2F9F" w:rsidRPr="00054233" w:rsidRDefault="007E2F9F" w:rsidP="006548F8">
            <w:pPr>
              <w:tabs>
                <w:tab w:val="left" w:pos="875"/>
              </w:tabs>
              <w:jc w:val="right"/>
              <w:rPr>
                <w:rFonts w:ascii="Arial" w:hAnsi="Arial" w:cs="Arial"/>
                <w:sz w:val="18"/>
                <w:szCs w:val="18"/>
              </w:rPr>
            </w:pPr>
            <w:r w:rsidRPr="00054233">
              <w:rPr>
                <w:rFonts w:ascii="Arial" w:hAnsi="Arial" w:cs="Arial"/>
                <w:sz w:val="18"/>
                <w:szCs w:val="18"/>
              </w:rPr>
              <w:t>991.651,75</w:t>
            </w:r>
          </w:p>
        </w:tc>
      </w:tr>
      <w:tr w:rsidR="007E2F9F" w:rsidRPr="00054233" w14:paraId="7598AC1F" w14:textId="77777777" w:rsidTr="00C2076E">
        <w:tc>
          <w:tcPr>
            <w:tcW w:w="8364" w:type="dxa"/>
          </w:tcPr>
          <w:p w14:paraId="7503D863" w14:textId="77777777" w:rsidR="007E2F9F" w:rsidRPr="00054233" w:rsidRDefault="007E2F9F" w:rsidP="006548F8">
            <w:pPr>
              <w:tabs>
                <w:tab w:val="left" w:pos="875"/>
              </w:tabs>
              <w:ind w:right="157"/>
              <w:rPr>
                <w:rFonts w:ascii="Arial" w:hAnsi="Arial" w:cs="Arial"/>
                <w:sz w:val="18"/>
                <w:szCs w:val="18"/>
              </w:rPr>
            </w:pPr>
            <w:r w:rsidRPr="00054233">
              <w:rPr>
                <w:rFonts w:ascii="Arial" w:hAnsi="Arial" w:cs="Arial"/>
                <w:b/>
                <w:lang w:val="es-ES_tradnl"/>
              </w:rPr>
              <w:t>TOTAL REZAGO PRESUPUESTAL CONSTITUIDO A 31 DE DICIEMBRE DE 2024</w:t>
            </w:r>
          </w:p>
        </w:tc>
        <w:tc>
          <w:tcPr>
            <w:tcW w:w="1843" w:type="dxa"/>
          </w:tcPr>
          <w:p w14:paraId="2F9155E3" w14:textId="77777777" w:rsidR="007E2F9F" w:rsidRPr="00054233" w:rsidRDefault="007E2F9F" w:rsidP="006548F8">
            <w:pPr>
              <w:tabs>
                <w:tab w:val="left" w:pos="875"/>
              </w:tabs>
              <w:jc w:val="right"/>
              <w:rPr>
                <w:rFonts w:ascii="Arial" w:hAnsi="Arial" w:cs="Arial"/>
                <w:b/>
                <w:sz w:val="18"/>
                <w:szCs w:val="18"/>
                <w:u w:val="single"/>
              </w:rPr>
            </w:pPr>
            <w:r w:rsidRPr="00054233">
              <w:rPr>
                <w:rFonts w:ascii="Arial" w:hAnsi="Arial" w:cs="Arial"/>
                <w:b/>
                <w:sz w:val="18"/>
                <w:szCs w:val="18"/>
                <w:u w:val="single"/>
              </w:rPr>
              <w:t>1.376.821,14</w:t>
            </w:r>
          </w:p>
        </w:tc>
      </w:tr>
    </w:tbl>
    <w:p w14:paraId="7D10061D" w14:textId="77777777" w:rsidR="007E2F9F" w:rsidRDefault="007E2F9F" w:rsidP="007E2F9F">
      <w:pPr>
        <w:ind w:left="-142" w:right="-93"/>
        <w:jc w:val="both"/>
        <w:rPr>
          <w:rFonts w:ascii="Arial" w:hAnsi="Arial" w:cs="Arial"/>
          <w:lang w:val="es-MX"/>
        </w:rPr>
      </w:pPr>
    </w:p>
    <w:p w14:paraId="6AC77341" w14:textId="77777777" w:rsidR="007E2F9F" w:rsidRPr="00EB22AB" w:rsidRDefault="007E2F9F" w:rsidP="00C2076E">
      <w:pPr>
        <w:ind w:left="-284"/>
        <w:jc w:val="both"/>
        <w:rPr>
          <w:rFonts w:ascii="Arial" w:hAnsi="Arial" w:cs="Arial"/>
          <w:b/>
          <w:sz w:val="32"/>
          <w:szCs w:val="32"/>
        </w:rPr>
      </w:pPr>
      <w:r w:rsidRPr="00EB22AB">
        <w:rPr>
          <w:rFonts w:ascii="Arial" w:hAnsi="Arial" w:cs="Arial"/>
          <w:b/>
          <w:sz w:val="28"/>
          <w:szCs w:val="28"/>
          <w:lang w:val="es-MX"/>
        </w:rPr>
        <w:t>133.- FONDO ADAPTACIÓN.</w:t>
      </w:r>
    </w:p>
    <w:p w14:paraId="009D7409" w14:textId="77777777" w:rsidR="007E2F9F" w:rsidRPr="0077142B" w:rsidRDefault="007E2F9F" w:rsidP="007E2F9F">
      <w:pPr>
        <w:pStyle w:val="Prrafodelista"/>
        <w:spacing w:before="92"/>
        <w:ind w:left="-142"/>
        <w:rPr>
          <w:rFonts w:ascii="Arial" w:hAnsi="Arial" w:cs="Arial"/>
          <w:b/>
          <w:sz w:val="24"/>
        </w:rPr>
      </w:pPr>
    </w:p>
    <w:tbl>
      <w:tblPr>
        <w:tblStyle w:val="Tablaconcuadrcula"/>
        <w:tblW w:w="10349" w:type="dxa"/>
        <w:tblInd w:w="-289" w:type="dxa"/>
        <w:tblLook w:val="04A0" w:firstRow="1" w:lastRow="0" w:firstColumn="1" w:lastColumn="0" w:noHBand="0" w:noVBand="1"/>
      </w:tblPr>
      <w:tblGrid>
        <w:gridCol w:w="8222"/>
        <w:gridCol w:w="2127"/>
      </w:tblGrid>
      <w:tr w:rsidR="007E2F9F" w:rsidRPr="001D7C42" w14:paraId="38C763A8" w14:textId="77777777" w:rsidTr="00C2076E">
        <w:tc>
          <w:tcPr>
            <w:tcW w:w="8222" w:type="dxa"/>
          </w:tcPr>
          <w:p w14:paraId="337934A5" w14:textId="77777777" w:rsidR="007E2F9F" w:rsidRPr="001D7C42" w:rsidRDefault="007E2F9F" w:rsidP="006548F8">
            <w:pPr>
              <w:tabs>
                <w:tab w:val="left" w:pos="875"/>
              </w:tabs>
              <w:ind w:right="157"/>
              <w:rPr>
                <w:rFonts w:ascii="Arial" w:hAnsi="Arial" w:cs="Arial"/>
              </w:rPr>
            </w:pPr>
            <w:r w:rsidRPr="001D7C42">
              <w:rPr>
                <w:rFonts w:ascii="Arial" w:hAnsi="Arial" w:cs="Arial"/>
                <w:lang w:val="es-ES_tradnl"/>
              </w:rPr>
              <w:t>Reservas presupuestales constituidas a 31 de diciembre de 2024</w:t>
            </w:r>
          </w:p>
        </w:tc>
        <w:tc>
          <w:tcPr>
            <w:tcW w:w="2127" w:type="dxa"/>
          </w:tcPr>
          <w:p w14:paraId="4BE55A56" w14:textId="77777777" w:rsidR="007E2F9F" w:rsidRPr="001D7C42" w:rsidRDefault="007E2F9F" w:rsidP="006548F8">
            <w:pPr>
              <w:tabs>
                <w:tab w:val="left" w:pos="875"/>
              </w:tabs>
              <w:jc w:val="right"/>
              <w:rPr>
                <w:rFonts w:ascii="Arial" w:hAnsi="Arial" w:cs="Arial"/>
              </w:rPr>
            </w:pPr>
            <w:r w:rsidRPr="001D7C42">
              <w:rPr>
                <w:rFonts w:ascii="Arial" w:hAnsi="Arial" w:cs="Arial"/>
              </w:rPr>
              <w:t>128.372.526</w:t>
            </w:r>
          </w:p>
        </w:tc>
      </w:tr>
      <w:tr w:rsidR="007E2F9F" w:rsidRPr="001D7C42" w14:paraId="4B573D09" w14:textId="77777777" w:rsidTr="00C2076E">
        <w:tc>
          <w:tcPr>
            <w:tcW w:w="8222" w:type="dxa"/>
          </w:tcPr>
          <w:p w14:paraId="5446EE0F" w14:textId="77777777" w:rsidR="007E2F9F" w:rsidRPr="001D7C42" w:rsidRDefault="007E2F9F" w:rsidP="006548F8">
            <w:pPr>
              <w:tabs>
                <w:tab w:val="left" w:pos="875"/>
              </w:tabs>
              <w:ind w:right="157"/>
              <w:rPr>
                <w:rFonts w:ascii="Arial" w:hAnsi="Arial" w:cs="Arial"/>
              </w:rPr>
            </w:pPr>
            <w:r w:rsidRPr="001D7C42">
              <w:rPr>
                <w:rFonts w:ascii="Arial" w:hAnsi="Arial" w:cs="Arial"/>
                <w:lang w:val="es-ES_tradnl"/>
              </w:rPr>
              <w:t>Cuentas por pagar constituidas a 31 de diciembre de 2024</w:t>
            </w:r>
          </w:p>
        </w:tc>
        <w:tc>
          <w:tcPr>
            <w:tcW w:w="2127" w:type="dxa"/>
          </w:tcPr>
          <w:p w14:paraId="4027A0F9" w14:textId="77777777" w:rsidR="007E2F9F" w:rsidRPr="001D7C42" w:rsidRDefault="007E2F9F" w:rsidP="006548F8">
            <w:pPr>
              <w:tabs>
                <w:tab w:val="left" w:pos="875"/>
              </w:tabs>
              <w:jc w:val="right"/>
              <w:rPr>
                <w:rFonts w:ascii="Arial" w:hAnsi="Arial" w:cs="Arial"/>
              </w:rPr>
            </w:pPr>
            <w:r w:rsidRPr="001D7C42">
              <w:rPr>
                <w:rFonts w:ascii="Arial" w:hAnsi="Arial" w:cs="Arial"/>
              </w:rPr>
              <w:t>1.263.915</w:t>
            </w:r>
          </w:p>
        </w:tc>
      </w:tr>
      <w:tr w:rsidR="007E2F9F" w:rsidRPr="001D7C42" w14:paraId="05CD9B33" w14:textId="77777777" w:rsidTr="00C2076E">
        <w:tc>
          <w:tcPr>
            <w:tcW w:w="8222" w:type="dxa"/>
          </w:tcPr>
          <w:p w14:paraId="6CCD4E2B" w14:textId="77777777" w:rsidR="007E2F9F" w:rsidRPr="001D7C42" w:rsidRDefault="007E2F9F" w:rsidP="006548F8">
            <w:pPr>
              <w:tabs>
                <w:tab w:val="left" w:pos="875"/>
              </w:tabs>
              <w:ind w:right="157"/>
              <w:rPr>
                <w:rFonts w:ascii="Arial" w:hAnsi="Arial" w:cs="Arial"/>
              </w:rPr>
            </w:pPr>
            <w:r w:rsidRPr="001D7C42">
              <w:rPr>
                <w:rFonts w:ascii="Arial" w:hAnsi="Arial" w:cs="Arial"/>
                <w:b/>
                <w:lang w:val="es-ES_tradnl"/>
              </w:rPr>
              <w:t>TOTAL REZAGO PRESUPUESTAL CONSTITUIDO A 31 DE DICIEMBRE DE 2024</w:t>
            </w:r>
          </w:p>
        </w:tc>
        <w:tc>
          <w:tcPr>
            <w:tcW w:w="2127" w:type="dxa"/>
          </w:tcPr>
          <w:p w14:paraId="1B3CC7E7" w14:textId="77777777" w:rsidR="007E2F9F" w:rsidRPr="001D7C42" w:rsidRDefault="007E2F9F" w:rsidP="006548F8">
            <w:pPr>
              <w:tabs>
                <w:tab w:val="left" w:pos="875"/>
              </w:tabs>
              <w:jc w:val="right"/>
              <w:rPr>
                <w:rFonts w:ascii="Arial" w:hAnsi="Arial" w:cs="Arial"/>
                <w:b/>
                <w:u w:val="single"/>
              </w:rPr>
            </w:pPr>
            <w:r w:rsidRPr="001D7C42">
              <w:rPr>
                <w:rFonts w:ascii="Arial" w:hAnsi="Arial" w:cs="Arial"/>
                <w:b/>
                <w:u w:val="single"/>
              </w:rPr>
              <w:t>129.636.441</w:t>
            </w:r>
          </w:p>
        </w:tc>
      </w:tr>
    </w:tbl>
    <w:p w14:paraId="3BC7A26F" w14:textId="77777777" w:rsidR="007E2F9F" w:rsidRDefault="007E2F9F" w:rsidP="007E2F9F">
      <w:pPr>
        <w:ind w:left="-142" w:right="-93"/>
        <w:jc w:val="both"/>
        <w:rPr>
          <w:rFonts w:ascii="Arial" w:hAnsi="Arial" w:cs="Arial"/>
          <w:lang w:val="es-MX"/>
        </w:rPr>
      </w:pPr>
    </w:p>
    <w:p w14:paraId="74AF4AEC" w14:textId="77777777" w:rsidR="007E2F9F" w:rsidRPr="002F1295" w:rsidRDefault="007E2F9F" w:rsidP="00C2076E">
      <w:pPr>
        <w:ind w:left="-284" w:right="-93"/>
        <w:jc w:val="both"/>
        <w:rPr>
          <w:rFonts w:ascii="Arial" w:hAnsi="Arial" w:cs="Arial"/>
          <w:b/>
          <w:sz w:val="28"/>
          <w:szCs w:val="28"/>
          <w:lang w:val="es-MX"/>
        </w:rPr>
      </w:pPr>
      <w:r w:rsidRPr="002F1295">
        <w:rPr>
          <w:rFonts w:ascii="Arial" w:hAnsi="Arial" w:cs="Arial"/>
          <w:b/>
          <w:sz w:val="28"/>
          <w:szCs w:val="28"/>
          <w:lang w:val="es-MX"/>
        </w:rPr>
        <w:t xml:space="preserve">138.- INSTITUTO NACIONAL DE FORMACIÓN TÉCNICA PROFESIONAL DE SAN </w:t>
      </w:r>
      <w:r w:rsidRPr="002F1295">
        <w:rPr>
          <w:rFonts w:ascii="Arial" w:hAnsi="Arial" w:cs="Arial"/>
          <w:b/>
          <w:sz w:val="28"/>
          <w:szCs w:val="28"/>
          <w:lang w:val="es-MX"/>
        </w:rPr>
        <w:lastRenderedPageBreak/>
        <w:t>ANDRÉS, PROVIDENCIA Y SANTA CATALINA – INFOTEP.</w:t>
      </w:r>
    </w:p>
    <w:p w14:paraId="03DA2E55"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6C6E1D" w14:paraId="57265BA3" w14:textId="77777777" w:rsidTr="00C2076E">
        <w:tc>
          <w:tcPr>
            <w:tcW w:w="8364" w:type="dxa"/>
          </w:tcPr>
          <w:p w14:paraId="64302A40" w14:textId="77777777" w:rsidR="007E2F9F" w:rsidRPr="006C6E1D" w:rsidRDefault="007E2F9F" w:rsidP="006548F8">
            <w:pPr>
              <w:tabs>
                <w:tab w:val="left" w:pos="875"/>
              </w:tabs>
              <w:ind w:right="157"/>
              <w:rPr>
                <w:rFonts w:ascii="Arial" w:hAnsi="Arial" w:cs="Arial"/>
              </w:rPr>
            </w:pPr>
            <w:r w:rsidRPr="006C6E1D">
              <w:rPr>
                <w:rFonts w:ascii="Arial" w:hAnsi="Arial" w:cs="Arial"/>
                <w:lang w:val="es-ES_tradnl"/>
              </w:rPr>
              <w:t>Reservas presupuestales constituidas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26D1BC02" w14:textId="77777777" w:rsidR="007E2F9F" w:rsidRPr="006C6E1D" w:rsidRDefault="007E2F9F" w:rsidP="006548F8">
            <w:pPr>
              <w:tabs>
                <w:tab w:val="left" w:pos="875"/>
              </w:tabs>
              <w:jc w:val="right"/>
              <w:rPr>
                <w:rFonts w:ascii="Arial" w:hAnsi="Arial" w:cs="Arial"/>
                <w:b/>
                <w:bCs/>
              </w:rPr>
            </w:pPr>
            <w:r w:rsidRPr="006C6E1D">
              <w:rPr>
                <w:rFonts w:ascii="Arial" w:hAnsi="Arial" w:cs="Arial"/>
                <w:b/>
                <w:bCs/>
                <w:color w:val="000000"/>
              </w:rPr>
              <w:t xml:space="preserve">2.867.292.373,00 </w:t>
            </w:r>
          </w:p>
        </w:tc>
      </w:tr>
      <w:tr w:rsidR="007E2F9F" w:rsidRPr="006C6E1D" w14:paraId="5BB9E276" w14:textId="77777777" w:rsidTr="00C2076E">
        <w:tc>
          <w:tcPr>
            <w:tcW w:w="8364" w:type="dxa"/>
          </w:tcPr>
          <w:p w14:paraId="75965DEB" w14:textId="77777777" w:rsidR="007E2F9F" w:rsidRPr="006C6E1D" w:rsidRDefault="007E2F9F" w:rsidP="006548F8">
            <w:pPr>
              <w:tabs>
                <w:tab w:val="left" w:pos="875"/>
              </w:tabs>
              <w:ind w:right="157"/>
              <w:rPr>
                <w:rFonts w:ascii="Arial" w:hAnsi="Arial" w:cs="Arial"/>
              </w:rPr>
            </w:pPr>
            <w:r w:rsidRPr="006C6E1D">
              <w:rPr>
                <w:rFonts w:ascii="Arial" w:hAnsi="Arial" w:cs="Arial"/>
                <w:lang w:val="es-ES_tradnl"/>
              </w:rPr>
              <w:t>Cuentas por pagar constituidas a 31 de diciembre de 2024</w:t>
            </w:r>
          </w:p>
        </w:tc>
        <w:tc>
          <w:tcPr>
            <w:tcW w:w="1985" w:type="dxa"/>
            <w:tcBorders>
              <w:top w:val="nil"/>
              <w:left w:val="single" w:sz="8" w:space="0" w:color="auto"/>
              <w:bottom w:val="nil"/>
              <w:right w:val="single" w:sz="8" w:space="0" w:color="auto"/>
            </w:tcBorders>
            <w:shd w:val="clear" w:color="auto" w:fill="auto"/>
            <w:vAlign w:val="bottom"/>
          </w:tcPr>
          <w:p w14:paraId="249DFB2E" w14:textId="77777777" w:rsidR="007E2F9F" w:rsidRPr="006C6E1D" w:rsidRDefault="007E2F9F" w:rsidP="006548F8">
            <w:pPr>
              <w:tabs>
                <w:tab w:val="left" w:pos="875"/>
              </w:tabs>
              <w:jc w:val="right"/>
              <w:rPr>
                <w:rFonts w:ascii="Arial" w:hAnsi="Arial" w:cs="Arial"/>
                <w:b/>
                <w:bCs/>
              </w:rPr>
            </w:pPr>
            <w:r w:rsidRPr="006C6E1D">
              <w:rPr>
                <w:rFonts w:ascii="Arial" w:hAnsi="Arial" w:cs="Arial"/>
                <w:b/>
                <w:bCs/>
              </w:rPr>
              <w:t xml:space="preserve">16.260.000,00 </w:t>
            </w:r>
          </w:p>
        </w:tc>
      </w:tr>
      <w:tr w:rsidR="007E2F9F" w:rsidRPr="006C6E1D" w14:paraId="617DA958" w14:textId="77777777" w:rsidTr="00C2076E">
        <w:tc>
          <w:tcPr>
            <w:tcW w:w="8364" w:type="dxa"/>
          </w:tcPr>
          <w:p w14:paraId="05319F0A" w14:textId="77777777" w:rsidR="007E2F9F" w:rsidRPr="006C6E1D" w:rsidRDefault="007E2F9F" w:rsidP="006548F8">
            <w:pPr>
              <w:tabs>
                <w:tab w:val="left" w:pos="875"/>
              </w:tabs>
              <w:ind w:right="157"/>
              <w:rPr>
                <w:rFonts w:ascii="Arial" w:hAnsi="Arial" w:cs="Arial"/>
              </w:rPr>
            </w:pPr>
            <w:r w:rsidRPr="006C6E1D">
              <w:rPr>
                <w:rFonts w:ascii="Arial" w:hAnsi="Arial" w:cs="Arial"/>
                <w:b/>
                <w:lang w:val="es-ES_tradnl"/>
              </w:rPr>
              <w:t>TOTAL, REZAGO PRESUPUESTAL CONSTITUIDO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5BAEF1C3" w14:textId="77777777" w:rsidR="007E2F9F" w:rsidRPr="006C6E1D" w:rsidRDefault="007E2F9F" w:rsidP="006548F8">
            <w:pPr>
              <w:tabs>
                <w:tab w:val="left" w:pos="875"/>
              </w:tabs>
              <w:jc w:val="right"/>
              <w:rPr>
                <w:rFonts w:ascii="Arial" w:hAnsi="Arial" w:cs="Arial"/>
                <w:b/>
                <w:bCs/>
                <w:u w:val="single"/>
              </w:rPr>
            </w:pPr>
            <w:r w:rsidRPr="006C6E1D">
              <w:rPr>
                <w:rFonts w:ascii="Arial" w:hAnsi="Arial" w:cs="Arial"/>
                <w:b/>
                <w:bCs/>
                <w:color w:val="000000"/>
              </w:rPr>
              <w:t xml:space="preserve">2.883.552.373,00 </w:t>
            </w:r>
          </w:p>
        </w:tc>
      </w:tr>
    </w:tbl>
    <w:p w14:paraId="2CD67734" w14:textId="77777777" w:rsidR="007E2F9F" w:rsidRDefault="007E2F9F" w:rsidP="007E2F9F">
      <w:pPr>
        <w:ind w:left="-142" w:right="-93"/>
        <w:jc w:val="both"/>
        <w:rPr>
          <w:rFonts w:ascii="Arial" w:hAnsi="Arial" w:cs="Arial"/>
          <w:lang w:val="es-MX"/>
        </w:rPr>
      </w:pPr>
    </w:p>
    <w:p w14:paraId="3AA7BE63" w14:textId="77777777" w:rsidR="007E2F9F" w:rsidRPr="00997EED" w:rsidRDefault="007E2F9F" w:rsidP="003065C2">
      <w:pPr>
        <w:ind w:left="-284" w:right="-93"/>
        <w:jc w:val="both"/>
        <w:rPr>
          <w:rFonts w:ascii="Arial" w:hAnsi="Arial" w:cs="Arial"/>
          <w:b/>
          <w:sz w:val="28"/>
          <w:szCs w:val="28"/>
          <w:lang w:val="es-MX"/>
        </w:rPr>
      </w:pPr>
      <w:r w:rsidRPr="00997EED">
        <w:rPr>
          <w:rFonts w:ascii="Arial" w:hAnsi="Arial" w:cs="Arial"/>
          <w:b/>
          <w:sz w:val="28"/>
          <w:szCs w:val="28"/>
          <w:lang w:val="es-MX"/>
        </w:rPr>
        <w:t>148.- SUPERINTENDENCIA DE SERVICIOS PÚBLICOS DOMICILIARIOS - SUPERSERVICIOS.</w:t>
      </w:r>
    </w:p>
    <w:p w14:paraId="503FB428" w14:textId="77777777" w:rsidR="007E2F9F" w:rsidRDefault="007E2F9F" w:rsidP="007E2F9F">
      <w:pPr>
        <w:ind w:left="-142" w:right="-93"/>
        <w:jc w:val="both"/>
        <w:rPr>
          <w:rFonts w:ascii="Arial" w:hAnsi="Arial" w:cs="Arial"/>
          <w:lang w:val="es-MX"/>
        </w:rPr>
      </w:pPr>
    </w:p>
    <w:tbl>
      <w:tblPr>
        <w:tblW w:w="10358" w:type="dxa"/>
        <w:jc w:val="center"/>
        <w:tblCellMar>
          <w:left w:w="70" w:type="dxa"/>
          <w:right w:w="70" w:type="dxa"/>
        </w:tblCellMar>
        <w:tblLook w:val="04A0" w:firstRow="1" w:lastRow="0" w:firstColumn="1" w:lastColumn="0" w:noHBand="0" w:noVBand="1"/>
      </w:tblPr>
      <w:tblGrid>
        <w:gridCol w:w="8364"/>
        <w:gridCol w:w="1994"/>
      </w:tblGrid>
      <w:tr w:rsidR="007E2F9F" w:rsidRPr="002D1240" w14:paraId="65AFD429" w14:textId="77777777" w:rsidTr="003065C2">
        <w:trPr>
          <w:trHeight w:val="315"/>
          <w:jc w:val="center"/>
        </w:trPr>
        <w:tc>
          <w:tcPr>
            <w:tcW w:w="83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EF345B" w14:textId="77777777" w:rsidR="007E2F9F" w:rsidRPr="002D1240" w:rsidRDefault="007E2F9F" w:rsidP="006548F8">
            <w:pPr>
              <w:widowControl/>
              <w:autoSpaceDE/>
              <w:autoSpaceDN/>
              <w:rPr>
                <w:rFonts w:ascii="Arial" w:eastAsia="Times New Roman" w:hAnsi="Arial" w:cs="Arial"/>
                <w:color w:val="000000"/>
                <w:sz w:val="20"/>
                <w:szCs w:val="20"/>
                <w:lang w:val="es-CO" w:eastAsia="es-CO"/>
              </w:rPr>
            </w:pPr>
            <w:r w:rsidRPr="002D1240">
              <w:rPr>
                <w:rFonts w:ascii="Arial" w:eastAsia="Times New Roman" w:hAnsi="Arial" w:cs="Arial"/>
                <w:color w:val="000000"/>
                <w:sz w:val="20"/>
                <w:szCs w:val="20"/>
                <w:lang w:val="es-CO" w:eastAsia="es-CO"/>
              </w:rPr>
              <w:t>Reservas presupuestales constituidas a 31 de diciembre de 2024</w:t>
            </w:r>
          </w:p>
        </w:tc>
        <w:tc>
          <w:tcPr>
            <w:tcW w:w="1994" w:type="dxa"/>
            <w:tcBorders>
              <w:top w:val="single" w:sz="8" w:space="0" w:color="auto"/>
              <w:left w:val="nil"/>
              <w:bottom w:val="single" w:sz="8" w:space="0" w:color="auto"/>
              <w:right w:val="single" w:sz="8" w:space="0" w:color="auto"/>
            </w:tcBorders>
            <w:shd w:val="clear" w:color="auto" w:fill="auto"/>
            <w:vAlign w:val="center"/>
            <w:hideMark/>
          </w:tcPr>
          <w:p w14:paraId="11B84806" w14:textId="77777777" w:rsidR="007E2F9F" w:rsidRPr="002D1240" w:rsidRDefault="007E2F9F" w:rsidP="006548F8">
            <w:pPr>
              <w:widowControl/>
              <w:autoSpaceDE/>
              <w:autoSpaceDN/>
              <w:jc w:val="right"/>
              <w:rPr>
                <w:rFonts w:ascii="Arial" w:eastAsia="Times New Roman" w:hAnsi="Arial" w:cs="Arial"/>
                <w:color w:val="000000"/>
                <w:sz w:val="20"/>
                <w:szCs w:val="20"/>
                <w:lang w:val="es-CO" w:eastAsia="es-CO"/>
              </w:rPr>
            </w:pPr>
            <w:r w:rsidRPr="002D1240">
              <w:rPr>
                <w:rFonts w:ascii="Arial" w:eastAsia="Times New Roman" w:hAnsi="Arial" w:cs="Arial"/>
                <w:color w:val="000000"/>
                <w:sz w:val="20"/>
                <w:szCs w:val="20"/>
                <w:lang w:val="es-CO" w:eastAsia="es-CO"/>
              </w:rPr>
              <w:t xml:space="preserve">          1.050.513 </w:t>
            </w:r>
          </w:p>
        </w:tc>
      </w:tr>
      <w:tr w:rsidR="007E2F9F" w:rsidRPr="002D1240" w14:paraId="4E00A5F7" w14:textId="77777777" w:rsidTr="003065C2">
        <w:trPr>
          <w:trHeight w:val="315"/>
          <w:jc w:val="center"/>
        </w:trPr>
        <w:tc>
          <w:tcPr>
            <w:tcW w:w="8364" w:type="dxa"/>
            <w:tcBorders>
              <w:top w:val="nil"/>
              <w:left w:val="single" w:sz="8" w:space="0" w:color="auto"/>
              <w:bottom w:val="single" w:sz="8" w:space="0" w:color="auto"/>
              <w:right w:val="single" w:sz="8" w:space="0" w:color="auto"/>
            </w:tcBorders>
            <w:shd w:val="clear" w:color="auto" w:fill="auto"/>
            <w:vAlign w:val="center"/>
            <w:hideMark/>
          </w:tcPr>
          <w:p w14:paraId="256B1BC3" w14:textId="77777777" w:rsidR="007E2F9F" w:rsidRPr="002D1240" w:rsidRDefault="007E2F9F" w:rsidP="006548F8">
            <w:pPr>
              <w:widowControl/>
              <w:autoSpaceDE/>
              <w:autoSpaceDN/>
              <w:rPr>
                <w:rFonts w:ascii="Arial" w:eastAsia="Times New Roman" w:hAnsi="Arial" w:cs="Arial"/>
                <w:color w:val="000000"/>
                <w:sz w:val="20"/>
                <w:szCs w:val="20"/>
                <w:lang w:val="es-CO" w:eastAsia="es-CO"/>
              </w:rPr>
            </w:pPr>
            <w:r w:rsidRPr="002D1240">
              <w:rPr>
                <w:rFonts w:ascii="Arial" w:eastAsia="Times New Roman" w:hAnsi="Arial" w:cs="Arial"/>
                <w:color w:val="000000"/>
                <w:sz w:val="20"/>
                <w:szCs w:val="20"/>
                <w:lang w:val="es-CO" w:eastAsia="es-CO"/>
              </w:rPr>
              <w:t>Cuentas por pagar constituidas a 31 de diciembre de 2024</w:t>
            </w:r>
          </w:p>
        </w:tc>
        <w:tc>
          <w:tcPr>
            <w:tcW w:w="1994" w:type="dxa"/>
            <w:tcBorders>
              <w:top w:val="nil"/>
              <w:left w:val="nil"/>
              <w:bottom w:val="single" w:sz="8" w:space="0" w:color="auto"/>
              <w:right w:val="single" w:sz="8" w:space="0" w:color="auto"/>
            </w:tcBorders>
            <w:shd w:val="clear" w:color="auto" w:fill="auto"/>
            <w:vAlign w:val="center"/>
            <w:hideMark/>
          </w:tcPr>
          <w:p w14:paraId="1914CCC7" w14:textId="77777777" w:rsidR="007E2F9F" w:rsidRPr="002D1240" w:rsidRDefault="007E2F9F" w:rsidP="006548F8">
            <w:pPr>
              <w:widowControl/>
              <w:autoSpaceDE/>
              <w:autoSpaceDN/>
              <w:jc w:val="right"/>
              <w:rPr>
                <w:rFonts w:ascii="Arial" w:eastAsia="Times New Roman" w:hAnsi="Arial" w:cs="Arial"/>
                <w:color w:val="000000"/>
                <w:sz w:val="20"/>
                <w:szCs w:val="20"/>
                <w:lang w:val="es-CO" w:eastAsia="es-CO"/>
              </w:rPr>
            </w:pPr>
            <w:r w:rsidRPr="002D1240">
              <w:rPr>
                <w:rFonts w:ascii="Arial" w:eastAsia="Times New Roman" w:hAnsi="Arial" w:cs="Arial"/>
                <w:color w:val="000000"/>
                <w:sz w:val="20"/>
                <w:szCs w:val="20"/>
                <w:lang w:val="es-CO" w:eastAsia="es-CO"/>
              </w:rPr>
              <w:t xml:space="preserve">          4.969.120 </w:t>
            </w:r>
          </w:p>
        </w:tc>
      </w:tr>
      <w:tr w:rsidR="007E2F9F" w:rsidRPr="002D1240" w14:paraId="24A2D7CE" w14:textId="77777777" w:rsidTr="003065C2">
        <w:trPr>
          <w:trHeight w:val="315"/>
          <w:jc w:val="center"/>
        </w:trPr>
        <w:tc>
          <w:tcPr>
            <w:tcW w:w="8364" w:type="dxa"/>
            <w:tcBorders>
              <w:top w:val="nil"/>
              <w:left w:val="single" w:sz="8" w:space="0" w:color="auto"/>
              <w:bottom w:val="single" w:sz="8" w:space="0" w:color="auto"/>
              <w:right w:val="single" w:sz="8" w:space="0" w:color="auto"/>
            </w:tcBorders>
            <w:shd w:val="clear" w:color="auto" w:fill="auto"/>
            <w:vAlign w:val="center"/>
            <w:hideMark/>
          </w:tcPr>
          <w:p w14:paraId="09EBCD00" w14:textId="77777777" w:rsidR="007E2F9F" w:rsidRPr="002D1240" w:rsidRDefault="007E2F9F" w:rsidP="006548F8">
            <w:pPr>
              <w:widowControl/>
              <w:autoSpaceDE/>
              <w:autoSpaceDN/>
              <w:rPr>
                <w:rFonts w:ascii="Arial" w:eastAsia="Times New Roman" w:hAnsi="Arial" w:cs="Arial"/>
                <w:b/>
                <w:bCs/>
                <w:color w:val="000000"/>
                <w:sz w:val="20"/>
                <w:szCs w:val="20"/>
                <w:lang w:val="es-CO" w:eastAsia="es-CO"/>
              </w:rPr>
            </w:pPr>
            <w:r w:rsidRPr="002D1240">
              <w:rPr>
                <w:rFonts w:ascii="Arial" w:eastAsia="Times New Roman" w:hAnsi="Arial" w:cs="Arial"/>
                <w:b/>
                <w:bCs/>
                <w:color w:val="000000"/>
                <w:sz w:val="20"/>
                <w:szCs w:val="20"/>
                <w:lang w:val="es-CO" w:eastAsia="es-CO"/>
              </w:rPr>
              <w:t>TOTAL REZAGO PRESUPUESTAL CONSTITUIDO A 31 DE DICIEMBRE DE 2024</w:t>
            </w:r>
          </w:p>
        </w:tc>
        <w:tc>
          <w:tcPr>
            <w:tcW w:w="1994" w:type="dxa"/>
            <w:tcBorders>
              <w:top w:val="nil"/>
              <w:left w:val="nil"/>
              <w:bottom w:val="single" w:sz="8" w:space="0" w:color="auto"/>
              <w:right w:val="single" w:sz="8" w:space="0" w:color="auto"/>
            </w:tcBorders>
            <w:shd w:val="clear" w:color="auto" w:fill="auto"/>
            <w:vAlign w:val="center"/>
            <w:hideMark/>
          </w:tcPr>
          <w:p w14:paraId="36242B6D" w14:textId="77777777" w:rsidR="007E2F9F" w:rsidRPr="002D1240" w:rsidRDefault="007E2F9F" w:rsidP="006548F8">
            <w:pPr>
              <w:widowControl/>
              <w:autoSpaceDE/>
              <w:autoSpaceDN/>
              <w:jc w:val="right"/>
              <w:rPr>
                <w:rFonts w:ascii="Arial" w:eastAsia="Times New Roman" w:hAnsi="Arial" w:cs="Arial"/>
                <w:b/>
                <w:bCs/>
                <w:color w:val="000000"/>
                <w:sz w:val="20"/>
                <w:szCs w:val="20"/>
                <w:lang w:val="es-CO" w:eastAsia="es-CO"/>
              </w:rPr>
            </w:pPr>
            <w:r w:rsidRPr="002D1240">
              <w:rPr>
                <w:rFonts w:ascii="Arial" w:eastAsia="Times New Roman" w:hAnsi="Arial" w:cs="Arial"/>
                <w:b/>
                <w:bCs/>
                <w:color w:val="000000"/>
                <w:sz w:val="20"/>
                <w:szCs w:val="20"/>
                <w:lang w:val="es-CO" w:eastAsia="es-CO"/>
              </w:rPr>
              <w:t xml:space="preserve">          6.019.633 </w:t>
            </w:r>
          </w:p>
        </w:tc>
      </w:tr>
    </w:tbl>
    <w:p w14:paraId="163DC032" w14:textId="77777777" w:rsidR="007E2F9F" w:rsidRDefault="007E2F9F" w:rsidP="007E2F9F">
      <w:pPr>
        <w:ind w:left="-142" w:right="-93"/>
        <w:jc w:val="both"/>
        <w:rPr>
          <w:rFonts w:ascii="Arial" w:hAnsi="Arial" w:cs="Arial"/>
          <w:lang w:val="es-MX"/>
        </w:rPr>
      </w:pPr>
    </w:p>
    <w:p w14:paraId="5A030725" w14:textId="77777777" w:rsidR="007E2F9F" w:rsidRPr="00E90631" w:rsidRDefault="007E2F9F" w:rsidP="003065C2">
      <w:pPr>
        <w:ind w:left="-284"/>
        <w:jc w:val="both"/>
        <w:rPr>
          <w:rFonts w:ascii="Arial" w:hAnsi="Arial" w:cs="Arial"/>
          <w:b/>
          <w:sz w:val="28"/>
          <w:szCs w:val="28"/>
          <w:lang w:val="es-MX"/>
        </w:rPr>
      </w:pPr>
      <w:r w:rsidRPr="00E90631">
        <w:rPr>
          <w:rFonts w:ascii="Arial" w:hAnsi="Arial" w:cs="Arial"/>
          <w:b/>
          <w:sz w:val="28"/>
          <w:szCs w:val="28"/>
          <w:lang w:val="es-MX"/>
        </w:rPr>
        <w:t>149.- U.A.E. AERONAUTICA CIVIL - AEROCIVIL.</w:t>
      </w:r>
    </w:p>
    <w:p w14:paraId="4135ED22" w14:textId="77777777" w:rsidR="007E2F9F" w:rsidRPr="00E90E52"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E90E52" w14:paraId="20C6047E" w14:textId="77777777" w:rsidTr="003065C2">
        <w:tc>
          <w:tcPr>
            <w:tcW w:w="8364" w:type="dxa"/>
          </w:tcPr>
          <w:p w14:paraId="4CD71142" w14:textId="77777777" w:rsidR="007E2F9F" w:rsidRPr="00E90E52" w:rsidRDefault="007E2F9F" w:rsidP="006548F8">
            <w:pPr>
              <w:tabs>
                <w:tab w:val="left" w:pos="875"/>
              </w:tabs>
              <w:ind w:right="157"/>
              <w:rPr>
                <w:rFonts w:ascii="Arial" w:hAnsi="Arial" w:cs="Arial"/>
                <w:sz w:val="18"/>
                <w:szCs w:val="18"/>
              </w:rPr>
            </w:pPr>
            <w:r w:rsidRPr="00E90E52">
              <w:rPr>
                <w:rFonts w:ascii="Arial" w:hAnsi="Arial" w:cs="Arial"/>
                <w:lang w:val="es-ES_tradnl"/>
              </w:rPr>
              <w:t>Reservas presupuestales constituidas a 31 de diciembre de 2024</w:t>
            </w:r>
          </w:p>
        </w:tc>
        <w:tc>
          <w:tcPr>
            <w:tcW w:w="1985" w:type="dxa"/>
          </w:tcPr>
          <w:p w14:paraId="71BDFDFF" w14:textId="77777777" w:rsidR="007E2F9F" w:rsidRPr="00E90E52" w:rsidRDefault="007E2F9F" w:rsidP="006548F8">
            <w:pPr>
              <w:tabs>
                <w:tab w:val="left" w:pos="875"/>
              </w:tabs>
              <w:jc w:val="right"/>
              <w:rPr>
                <w:rFonts w:ascii="Arial" w:hAnsi="Arial" w:cs="Arial"/>
                <w:sz w:val="18"/>
                <w:szCs w:val="18"/>
              </w:rPr>
            </w:pPr>
            <w:r w:rsidRPr="00E90E52">
              <w:rPr>
                <w:rFonts w:ascii="Arial" w:hAnsi="Arial" w:cs="Arial"/>
                <w:sz w:val="18"/>
                <w:szCs w:val="18"/>
              </w:rPr>
              <w:t>881.990.390</w:t>
            </w:r>
          </w:p>
        </w:tc>
      </w:tr>
      <w:tr w:rsidR="007E2F9F" w:rsidRPr="00E90E52" w14:paraId="3DDF4C92" w14:textId="77777777" w:rsidTr="003065C2">
        <w:tc>
          <w:tcPr>
            <w:tcW w:w="8364" w:type="dxa"/>
          </w:tcPr>
          <w:p w14:paraId="67A71C21" w14:textId="77777777" w:rsidR="007E2F9F" w:rsidRPr="00E90E52" w:rsidRDefault="007E2F9F" w:rsidP="006548F8">
            <w:pPr>
              <w:tabs>
                <w:tab w:val="left" w:pos="875"/>
              </w:tabs>
              <w:ind w:right="157"/>
              <w:rPr>
                <w:rFonts w:ascii="Arial" w:hAnsi="Arial" w:cs="Arial"/>
                <w:sz w:val="18"/>
                <w:szCs w:val="18"/>
              </w:rPr>
            </w:pPr>
            <w:r w:rsidRPr="00E90E52">
              <w:rPr>
                <w:rFonts w:ascii="Arial" w:hAnsi="Arial" w:cs="Arial"/>
                <w:lang w:val="es-ES_tradnl"/>
              </w:rPr>
              <w:t>Cuentas por pagar constituidas a 31 de diciembre de 2024</w:t>
            </w:r>
          </w:p>
        </w:tc>
        <w:tc>
          <w:tcPr>
            <w:tcW w:w="1985" w:type="dxa"/>
          </w:tcPr>
          <w:p w14:paraId="10EF0D56" w14:textId="77777777" w:rsidR="007E2F9F" w:rsidRPr="00E90E52" w:rsidRDefault="007E2F9F" w:rsidP="006548F8">
            <w:pPr>
              <w:tabs>
                <w:tab w:val="left" w:pos="875"/>
              </w:tabs>
              <w:jc w:val="right"/>
              <w:rPr>
                <w:rFonts w:ascii="Arial" w:hAnsi="Arial" w:cs="Arial"/>
                <w:sz w:val="18"/>
                <w:szCs w:val="18"/>
              </w:rPr>
            </w:pPr>
            <w:r w:rsidRPr="00E90E52">
              <w:rPr>
                <w:rFonts w:ascii="Arial" w:hAnsi="Arial" w:cs="Arial"/>
                <w:sz w:val="18"/>
                <w:szCs w:val="18"/>
              </w:rPr>
              <w:t>34.071.184</w:t>
            </w:r>
          </w:p>
        </w:tc>
      </w:tr>
      <w:tr w:rsidR="007E2F9F" w:rsidRPr="00E90E52" w14:paraId="4BF461AD" w14:textId="77777777" w:rsidTr="003065C2">
        <w:tc>
          <w:tcPr>
            <w:tcW w:w="8364" w:type="dxa"/>
            <w:shd w:val="clear" w:color="auto" w:fill="FFFF00"/>
          </w:tcPr>
          <w:p w14:paraId="3A895CF3" w14:textId="77777777" w:rsidR="007E2F9F" w:rsidRPr="00E90E52" w:rsidRDefault="007E2F9F" w:rsidP="006548F8">
            <w:pPr>
              <w:tabs>
                <w:tab w:val="left" w:pos="875"/>
              </w:tabs>
              <w:ind w:right="157"/>
              <w:rPr>
                <w:rFonts w:ascii="Arial" w:hAnsi="Arial" w:cs="Arial"/>
                <w:sz w:val="18"/>
                <w:szCs w:val="18"/>
              </w:rPr>
            </w:pPr>
            <w:r w:rsidRPr="00E90E52">
              <w:rPr>
                <w:rFonts w:ascii="Arial" w:hAnsi="Arial" w:cs="Arial"/>
                <w:b/>
                <w:lang w:val="es-ES_tradnl"/>
              </w:rPr>
              <w:t>TOTAL REZAGO PRESUPUESTAL CONSTITUIDO A 31 DE DICIEMBRE DE 2023</w:t>
            </w:r>
          </w:p>
        </w:tc>
        <w:tc>
          <w:tcPr>
            <w:tcW w:w="1985" w:type="dxa"/>
          </w:tcPr>
          <w:p w14:paraId="42BF9CEF" w14:textId="77777777" w:rsidR="007E2F9F" w:rsidRPr="00E90E52" w:rsidRDefault="007E2F9F" w:rsidP="006548F8">
            <w:pPr>
              <w:tabs>
                <w:tab w:val="left" w:pos="875"/>
              </w:tabs>
              <w:jc w:val="right"/>
              <w:rPr>
                <w:rFonts w:ascii="Arial" w:hAnsi="Arial" w:cs="Arial"/>
                <w:b/>
                <w:sz w:val="18"/>
                <w:szCs w:val="18"/>
                <w:u w:val="single"/>
              </w:rPr>
            </w:pPr>
            <w:r w:rsidRPr="00E90E52">
              <w:rPr>
                <w:rFonts w:ascii="Arial" w:hAnsi="Arial" w:cs="Arial"/>
                <w:b/>
                <w:sz w:val="18"/>
                <w:szCs w:val="18"/>
                <w:u w:val="single"/>
              </w:rPr>
              <w:t>916.061.574</w:t>
            </w:r>
          </w:p>
        </w:tc>
      </w:tr>
    </w:tbl>
    <w:p w14:paraId="7954166A" w14:textId="77777777" w:rsidR="007E2F9F" w:rsidRPr="00E90E52" w:rsidRDefault="007E2F9F" w:rsidP="007E2F9F">
      <w:pPr>
        <w:pStyle w:val="Textoindependiente"/>
        <w:spacing w:before="3"/>
        <w:rPr>
          <w:rFonts w:ascii="Arial" w:hAnsi="Arial" w:cs="Arial"/>
        </w:rPr>
      </w:pPr>
    </w:p>
    <w:p w14:paraId="29ECE848" w14:textId="77777777" w:rsidR="007E2F9F" w:rsidRPr="00E90E52" w:rsidRDefault="007E2F9F" w:rsidP="003065C2">
      <w:pPr>
        <w:pStyle w:val="Textoindependiente"/>
        <w:spacing w:before="3"/>
        <w:ind w:left="-284" w:right="-93"/>
        <w:jc w:val="both"/>
        <w:rPr>
          <w:rFonts w:ascii="Arial" w:hAnsi="Arial" w:cs="Arial"/>
        </w:rPr>
      </w:pPr>
      <w:r w:rsidRPr="00E90E52">
        <w:rPr>
          <w:rFonts w:ascii="Arial" w:hAnsi="Arial" w:cs="Arial"/>
          <w:b/>
          <w:bCs/>
        </w:rPr>
        <w:t xml:space="preserve">NOTA: </w:t>
      </w:r>
      <w:r w:rsidRPr="00E90E52">
        <w:rPr>
          <w:rFonts w:ascii="Arial" w:hAnsi="Arial" w:cs="Arial"/>
        </w:rPr>
        <w:t>De acuerdo a esta auditoría, en la tabla anterior el total de rezago presupuestal constituido debe ser a 31 de diciembre de 2024 y no a 31 de diciembre de 2023, como lo indica la entidad.</w:t>
      </w:r>
    </w:p>
    <w:p w14:paraId="0097CABB" w14:textId="77777777" w:rsidR="007E2F9F" w:rsidRPr="00E90E52" w:rsidRDefault="007E2F9F" w:rsidP="007E2F9F">
      <w:pPr>
        <w:pStyle w:val="Textoindependiente"/>
        <w:spacing w:before="3"/>
        <w:rPr>
          <w:rFonts w:ascii="Arial" w:hAnsi="Arial" w:cs="Arial"/>
        </w:rPr>
      </w:pPr>
    </w:p>
    <w:p w14:paraId="5A4920BA" w14:textId="77777777" w:rsidR="007E2F9F" w:rsidRPr="002F4662" w:rsidRDefault="007E2F9F" w:rsidP="003065C2">
      <w:pPr>
        <w:ind w:left="-284"/>
        <w:jc w:val="both"/>
        <w:rPr>
          <w:rFonts w:ascii="Arial" w:hAnsi="Arial" w:cs="Arial"/>
          <w:b/>
          <w:sz w:val="28"/>
          <w:szCs w:val="28"/>
          <w:lang w:val="es-MX"/>
        </w:rPr>
      </w:pPr>
      <w:r w:rsidRPr="002F4662">
        <w:rPr>
          <w:rFonts w:ascii="Arial" w:hAnsi="Arial" w:cs="Arial"/>
          <w:b/>
          <w:sz w:val="28"/>
          <w:szCs w:val="28"/>
          <w:lang w:val="es-MX"/>
        </w:rPr>
        <w:t>150.- MINISTERIO DE JUSTICIA Y DEL DERECHO.</w:t>
      </w:r>
    </w:p>
    <w:p w14:paraId="427973A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6C6E1D" w14:paraId="785BF2E3" w14:textId="77777777" w:rsidTr="003065C2">
        <w:tc>
          <w:tcPr>
            <w:tcW w:w="8364" w:type="dxa"/>
          </w:tcPr>
          <w:p w14:paraId="48560104" w14:textId="77777777" w:rsidR="007E2F9F" w:rsidRPr="006C6E1D" w:rsidRDefault="007E2F9F" w:rsidP="006548F8">
            <w:pPr>
              <w:tabs>
                <w:tab w:val="left" w:pos="875"/>
              </w:tabs>
              <w:ind w:right="157"/>
              <w:rPr>
                <w:rFonts w:ascii="Arial" w:hAnsi="Arial" w:cs="Arial"/>
              </w:rPr>
            </w:pPr>
            <w:r w:rsidRPr="006C6E1D">
              <w:rPr>
                <w:rFonts w:ascii="Arial" w:hAnsi="Arial" w:cs="Arial"/>
                <w:lang w:val="es-ES_tradnl"/>
              </w:rPr>
              <w:t>Reservas presupuestales constituidas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2671D743" w14:textId="77777777" w:rsidR="007E2F9F" w:rsidRPr="006C6E1D" w:rsidRDefault="007E2F9F" w:rsidP="006548F8">
            <w:pPr>
              <w:tabs>
                <w:tab w:val="left" w:pos="875"/>
              </w:tabs>
              <w:jc w:val="right"/>
              <w:rPr>
                <w:rFonts w:ascii="Arial" w:hAnsi="Arial" w:cs="Arial"/>
                <w:b/>
                <w:bCs/>
              </w:rPr>
            </w:pPr>
            <w:r>
              <w:rPr>
                <w:rFonts w:ascii="Arial" w:hAnsi="Arial" w:cs="Arial"/>
                <w:b/>
                <w:bCs/>
              </w:rPr>
              <w:t>11.512.297</w:t>
            </w:r>
          </w:p>
        </w:tc>
      </w:tr>
      <w:tr w:rsidR="007E2F9F" w:rsidRPr="006C6E1D" w14:paraId="6D61860F" w14:textId="77777777" w:rsidTr="003065C2">
        <w:tc>
          <w:tcPr>
            <w:tcW w:w="8364" w:type="dxa"/>
          </w:tcPr>
          <w:p w14:paraId="7A81EE97" w14:textId="77777777" w:rsidR="007E2F9F" w:rsidRPr="006C6E1D" w:rsidRDefault="007E2F9F" w:rsidP="006548F8">
            <w:pPr>
              <w:tabs>
                <w:tab w:val="left" w:pos="875"/>
              </w:tabs>
              <w:ind w:right="157"/>
              <w:rPr>
                <w:rFonts w:ascii="Arial" w:hAnsi="Arial" w:cs="Arial"/>
              </w:rPr>
            </w:pPr>
            <w:r w:rsidRPr="006C6E1D">
              <w:rPr>
                <w:rFonts w:ascii="Arial" w:hAnsi="Arial" w:cs="Arial"/>
                <w:lang w:val="es-ES_tradnl"/>
              </w:rPr>
              <w:t>Cuentas por pagar constituidas a 31 de diciembre de 2024</w:t>
            </w:r>
          </w:p>
        </w:tc>
        <w:tc>
          <w:tcPr>
            <w:tcW w:w="1985" w:type="dxa"/>
            <w:tcBorders>
              <w:top w:val="nil"/>
              <w:left w:val="single" w:sz="8" w:space="0" w:color="auto"/>
              <w:bottom w:val="nil"/>
              <w:right w:val="single" w:sz="8" w:space="0" w:color="auto"/>
            </w:tcBorders>
            <w:shd w:val="clear" w:color="auto" w:fill="auto"/>
            <w:vAlign w:val="bottom"/>
          </w:tcPr>
          <w:p w14:paraId="65AB0812" w14:textId="77777777" w:rsidR="007E2F9F" w:rsidRPr="006C6E1D" w:rsidRDefault="007E2F9F" w:rsidP="006548F8">
            <w:pPr>
              <w:tabs>
                <w:tab w:val="left" w:pos="875"/>
              </w:tabs>
              <w:jc w:val="right"/>
              <w:rPr>
                <w:rFonts w:ascii="Arial" w:hAnsi="Arial" w:cs="Arial"/>
                <w:b/>
                <w:bCs/>
              </w:rPr>
            </w:pPr>
            <w:r>
              <w:rPr>
                <w:rFonts w:ascii="Arial" w:hAnsi="Arial" w:cs="Arial"/>
                <w:b/>
                <w:bCs/>
              </w:rPr>
              <w:t>968.933</w:t>
            </w:r>
          </w:p>
        </w:tc>
      </w:tr>
      <w:tr w:rsidR="007E2F9F" w:rsidRPr="006C6E1D" w14:paraId="1E52F917" w14:textId="77777777" w:rsidTr="003065C2">
        <w:tc>
          <w:tcPr>
            <w:tcW w:w="8364" w:type="dxa"/>
          </w:tcPr>
          <w:p w14:paraId="5160E063" w14:textId="77777777" w:rsidR="007E2F9F" w:rsidRPr="006C6E1D" w:rsidRDefault="007E2F9F" w:rsidP="006548F8">
            <w:pPr>
              <w:tabs>
                <w:tab w:val="left" w:pos="875"/>
              </w:tabs>
              <w:ind w:right="157"/>
              <w:rPr>
                <w:rFonts w:ascii="Arial" w:hAnsi="Arial" w:cs="Arial"/>
              </w:rPr>
            </w:pPr>
            <w:r w:rsidRPr="006C6E1D">
              <w:rPr>
                <w:rFonts w:ascii="Arial" w:hAnsi="Arial" w:cs="Arial"/>
                <w:b/>
                <w:lang w:val="es-ES_tradnl"/>
              </w:rPr>
              <w:t>TOTAL, REZAGO PRESUPUESTAL CONSTITUIDO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0C8D2862" w14:textId="77777777" w:rsidR="007E2F9F" w:rsidRPr="006C6E1D" w:rsidRDefault="007E2F9F" w:rsidP="006548F8">
            <w:pPr>
              <w:tabs>
                <w:tab w:val="left" w:pos="875"/>
              </w:tabs>
              <w:jc w:val="right"/>
              <w:rPr>
                <w:rFonts w:ascii="Arial" w:hAnsi="Arial" w:cs="Arial"/>
                <w:b/>
                <w:bCs/>
                <w:u w:val="single"/>
              </w:rPr>
            </w:pPr>
            <w:r>
              <w:rPr>
                <w:rFonts w:ascii="Arial" w:hAnsi="Arial" w:cs="Arial"/>
                <w:b/>
                <w:bCs/>
                <w:u w:val="single"/>
              </w:rPr>
              <w:t>12.481.230</w:t>
            </w:r>
          </w:p>
        </w:tc>
      </w:tr>
    </w:tbl>
    <w:p w14:paraId="702AB7C0" w14:textId="77777777" w:rsidR="007E2F9F" w:rsidRDefault="007E2F9F" w:rsidP="007E2F9F">
      <w:pPr>
        <w:ind w:left="-142" w:right="-93"/>
        <w:jc w:val="both"/>
        <w:rPr>
          <w:rFonts w:ascii="Arial" w:hAnsi="Arial" w:cs="Arial"/>
          <w:lang w:val="es-MX"/>
        </w:rPr>
      </w:pPr>
    </w:p>
    <w:p w14:paraId="31D83D22" w14:textId="77777777" w:rsidR="007E2F9F" w:rsidRPr="00570600" w:rsidRDefault="007E2F9F" w:rsidP="003065C2">
      <w:pPr>
        <w:ind w:left="-284"/>
        <w:jc w:val="both"/>
        <w:rPr>
          <w:rFonts w:ascii="Arial" w:hAnsi="Arial" w:cs="Arial"/>
          <w:b/>
          <w:sz w:val="28"/>
          <w:szCs w:val="28"/>
          <w:lang w:val="es-MX"/>
        </w:rPr>
      </w:pPr>
      <w:r w:rsidRPr="00570600">
        <w:rPr>
          <w:rFonts w:ascii="Arial" w:hAnsi="Arial" w:cs="Arial"/>
          <w:b/>
          <w:sz w:val="28"/>
          <w:szCs w:val="28"/>
          <w:lang w:val="es-MX"/>
        </w:rPr>
        <w:t>154.- FONDO NACIONAL DE VIVIENDA - FONVIVIENDA.</w:t>
      </w:r>
    </w:p>
    <w:p w14:paraId="4FAE08E8"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2E7E64" w14:paraId="7A789A14" w14:textId="77777777" w:rsidTr="003065C2">
        <w:tc>
          <w:tcPr>
            <w:tcW w:w="8364" w:type="dxa"/>
          </w:tcPr>
          <w:p w14:paraId="62989807" w14:textId="77777777" w:rsidR="007E2F9F" w:rsidRPr="002E7E64" w:rsidRDefault="007E2F9F" w:rsidP="006548F8">
            <w:pPr>
              <w:tabs>
                <w:tab w:val="left" w:pos="875"/>
              </w:tabs>
              <w:ind w:right="157"/>
              <w:rPr>
                <w:rFonts w:ascii="Arial" w:hAnsi="Arial" w:cs="Arial"/>
                <w:sz w:val="18"/>
                <w:szCs w:val="18"/>
              </w:rPr>
            </w:pPr>
            <w:r w:rsidRPr="002E7E64">
              <w:rPr>
                <w:rFonts w:ascii="Arial" w:hAnsi="Arial" w:cs="Arial"/>
                <w:lang w:val="es-ES_tradnl"/>
              </w:rPr>
              <w:t>Reservas presupuestales constituidas a 31 de diciembre de 2024</w:t>
            </w:r>
          </w:p>
        </w:tc>
        <w:tc>
          <w:tcPr>
            <w:tcW w:w="1985" w:type="dxa"/>
          </w:tcPr>
          <w:p w14:paraId="130D2607" w14:textId="77777777" w:rsidR="007E2F9F" w:rsidRPr="002E7E64" w:rsidRDefault="007E2F9F" w:rsidP="006548F8">
            <w:pPr>
              <w:tabs>
                <w:tab w:val="left" w:pos="875"/>
              </w:tabs>
              <w:jc w:val="right"/>
              <w:rPr>
                <w:rFonts w:ascii="Arial" w:hAnsi="Arial" w:cs="Arial"/>
                <w:sz w:val="18"/>
                <w:szCs w:val="18"/>
              </w:rPr>
            </w:pPr>
            <w:r w:rsidRPr="002E7E64">
              <w:rPr>
                <w:rFonts w:ascii="Arial" w:hAnsi="Arial" w:cs="Arial"/>
                <w:sz w:val="18"/>
                <w:szCs w:val="18"/>
              </w:rPr>
              <w:t>2.637.845.947,44</w:t>
            </w:r>
          </w:p>
        </w:tc>
      </w:tr>
      <w:tr w:rsidR="007E2F9F" w:rsidRPr="002E7E64" w14:paraId="469C3A4A" w14:textId="77777777" w:rsidTr="003065C2">
        <w:tc>
          <w:tcPr>
            <w:tcW w:w="8364" w:type="dxa"/>
          </w:tcPr>
          <w:p w14:paraId="7FBBF2AA" w14:textId="77777777" w:rsidR="007E2F9F" w:rsidRPr="002E7E64" w:rsidRDefault="007E2F9F" w:rsidP="006548F8">
            <w:pPr>
              <w:tabs>
                <w:tab w:val="left" w:pos="875"/>
              </w:tabs>
              <w:ind w:right="157"/>
              <w:rPr>
                <w:rFonts w:ascii="Arial" w:hAnsi="Arial" w:cs="Arial"/>
                <w:sz w:val="18"/>
                <w:szCs w:val="18"/>
              </w:rPr>
            </w:pPr>
            <w:r w:rsidRPr="002E7E64">
              <w:rPr>
                <w:rFonts w:ascii="Arial" w:hAnsi="Arial" w:cs="Arial"/>
                <w:lang w:val="es-ES_tradnl"/>
              </w:rPr>
              <w:t>Cuentas por pagar constituidas a 31 de diciembre de 2024</w:t>
            </w:r>
          </w:p>
        </w:tc>
        <w:tc>
          <w:tcPr>
            <w:tcW w:w="1985" w:type="dxa"/>
          </w:tcPr>
          <w:p w14:paraId="68595845" w14:textId="77777777" w:rsidR="007E2F9F" w:rsidRPr="002E7E64" w:rsidRDefault="007E2F9F" w:rsidP="006548F8">
            <w:pPr>
              <w:tabs>
                <w:tab w:val="left" w:pos="875"/>
              </w:tabs>
              <w:jc w:val="right"/>
              <w:rPr>
                <w:rFonts w:ascii="Arial" w:hAnsi="Arial" w:cs="Arial"/>
                <w:sz w:val="18"/>
                <w:szCs w:val="18"/>
              </w:rPr>
            </w:pPr>
            <w:r w:rsidRPr="002E7E64">
              <w:rPr>
                <w:rFonts w:ascii="Arial" w:hAnsi="Arial" w:cs="Arial"/>
                <w:sz w:val="18"/>
                <w:szCs w:val="18"/>
              </w:rPr>
              <w:t>0</w:t>
            </w:r>
          </w:p>
        </w:tc>
      </w:tr>
      <w:tr w:rsidR="007E2F9F" w:rsidRPr="002E7E64" w14:paraId="4B8FF73F" w14:textId="77777777" w:rsidTr="003065C2">
        <w:tc>
          <w:tcPr>
            <w:tcW w:w="8364" w:type="dxa"/>
          </w:tcPr>
          <w:p w14:paraId="7274FFF2" w14:textId="77777777" w:rsidR="007E2F9F" w:rsidRPr="002E7E64" w:rsidRDefault="007E2F9F" w:rsidP="006548F8">
            <w:pPr>
              <w:tabs>
                <w:tab w:val="left" w:pos="875"/>
              </w:tabs>
              <w:ind w:right="157"/>
              <w:rPr>
                <w:rFonts w:ascii="Arial" w:hAnsi="Arial" w:cs="Arial"/>
                <w:sz w:val="18"/>
                <w:szCs w:val="18"/>
              </w:rPr>
            </w:pPr>
            <w:r w:rsidRPr="002E7E64">
              <w:rPr>
                <w:rFonts w:ascii="Arial" w:hAnsi="Arial" w:cs="Arial"/>
                <w:b/>
                <w:lang w:val="es-ES_tradnl"/>
              </w:rPr>
              <w:t>TOTAL REZAGO PRESUPUESTAL CONSTITUIDO A 31 DE DICIEMBRE DE 2024</w:t>
            </w:r>
          </w:p>
        </w:tc>
        <w:tc>
          <w:tcPr>
            <w:tcW w:w="1985" w:type="dxa"/>
          </w:tcPr>
          <w:p w14:paraId="0D8BE9AB" w14:textId="77777777" w:rsidR="007E2F9F" w:rsidRPr="002E7E64" w:rsidRDefault="007E2F9F" w:rsidP="006548F8">
            <w:pPr>
              <w:tabs>
                <w:tab w:val="left" w:pos="875"/>
              </w:tabs>
              <w:jc w:val="right"/>
              <w:rPr>
                <w:rFonts w:ascii="Arial" w:hAnsi="Arial" w:cs="Arial"/>
                <w:b/>
                <w:sz w:val="18"/>
                <w:szCs w:val="18"/>
                <w:u w:val="single"/>
              </w:rPr>
            </w:pPr>
            <w:r w:rsidRPr="002E7E64">
              <w:rPr>
                <w:rFonts w:ascii="Arial" w:hAnsi="Arial" w:cs="Arial"/>
                <w:b/>
                <w:sz w:val="18"/>
                <w:szCs w:val="18"/>
                <w:u w:val="single"/>
              </w:rPr>
              <w:t>2.637.845.947,44</w:t>
            </w:r>
          </w:p>
        </w:tc>
      </w:tr>
    </w:tbl>
    <w:p w14:paraId="6D0D1994" w14:textId="77777777" w:rsidR="007E2F9F" w:rsidRDefault="007E2F9F" w:rsidP="007E2F9F">
      <w:pPr>
        <w:ind w:left="-142" w:right="-93"/>
        <w:jc w:val="both"/>
        <w:rPr>
          <w:rFonts w:ascii="Arial" w:hAnsi="Arial" w:cs="Arial"/>
          <w:lang w:val="es-MX"/>
        </w:rPr>
      </w:pPr>
    </w:p>
    <w:p w14:paraId="2A9B3FF9" w14:textId="77777777" w:rsidR="007E2F9F" w:rsidRPr="00DF7570" w:rsidRDefault="007E2F9F" w:rsidP="003065C2">
      <w:pPr>
        <w:ind w:left="-284" w:right="-93"/>
        <w:jc w:val="both"/>
        <w:rPr>
          <w:rFonts w:ascii="Arial" w:hAnsi="Arial" w:cs="Arial"/>
          <w:b/>
          <w:sz w:val="28"/>
          <w:szCs w:val="28"/>
          <w:lang w:val="es-MX"/>
        </w:rPr>
      </w:pPr>
      <w:r w:rsidRPr="00DF7570">
        <w:rPr>
          <w:rFonts w:ascii="Arial" w:hAnsi="Arial" w:cs="Arial"/>
          <w:b/>
          <w:sz w:val="28"/>
          <w:szCs w:val="28"/>
          <w:lang w:val="es-MX"/>
        </w:rPr>
        <w:t>158.- CORPORACIÓN AUTÓNOMA REGIONAL DE NARIÑO – CORPONARIÑO.</w:t>
      </w:r>
    </w:p>
    <w:p w14:paraId="20F1FB04"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6637B7" w14:paraId="76326CAE" w14:textId="77777777" w:rsidTr="003065C2">
        <w:tc>
          <w:tcPr>
            <w:tcW w:w="8506" w:type="dxa"/>
          </w:tcPr>
          <w:p w14:paraId="7E378DD5" w14:textId="77777777" w:rsidR="007E2F9F" w:rsidRPr="006637B7" w:rsidRDefault="007E2F9F" w:rsidP="006548F8">
            <w:pPr>
              <w:tabs>
                <w:tab w:val="left" w:pos="875"/>
              </w:tabs>
              <w:rPr>
                <w:rFonts w:ascii="Arial" w:hAnsi="Arial" w:cs="Arial"/>
                <w:sz w:val="18"/>
                <w:szCs w:val="18"/>
              </w:rPr>
            </w:pPr>
            <w:r w:rsidRPr="006637B7">
              <w:rPr>
                <w:rFonts w:ascii="Arial" w:hAnsi="Arial" w:cs="Arial"/>
                <w:lang w:val="es-ES_tradnl"/>
              </w:rPr>
              <w:t>Reservas presupuestales constituidas a 31 de diciembre de 2024</w:t>
            </w:r>
          </w:p>
        </w:tc>
        <w:tc>
          <w:tcPr>
            <w:tcW w:w="1843" w:type="dxa"/>
          </w:tcPr>
          <w:p w14:paraId="34492C3A" w14:textId="77777777" w:rsidR="007E2F9F" w:rsidRPr="006637B7" w:rsidRDefault="007E2F9F" w:rsidP="006548F8">
            <w:pPr>
              <w:tabs>
                <w:tab w:val="left" w:pos="875"/>
              </w:tabs>
              <w:jc w:val="right"/>
              <w:rPr>
                <w:rFonts w:ascii="Arial" w:hAnsi="Arial" w:cs="Arial"/>
                <w:sz w:val="18"/>
                <w:szCs w:val="18"/>
              </w:rPr>
            </w:pPr>
            <w:r w:rsidRPr="006637B7">
              <w:rPr>
                <w:rFonts w:ascii="Arial" w:hAnsi="Arial" w:cs="Arial"/>
                <w:sz w:val="18"/>
                <w:szCs w:val="18"/>
              </w:rPr>
              <w:t>1.746.885</w:t>
            </w:r>
          </w:p>
        </w:tc>
      </w:tr>
      <w:tr w:rsidR="007E2F9F" w:rsidRPr="006637B7" w14:paraId="3A453F2F" w14:textId="77777777" w:rsidTr="003065C2">
        <w:tc>
          <w:tcPr>
            <w:tcW w:w="8506" w:type="dxa"/>
          </w:tcPr>
          <w:p w14:paraId="07805796" w14:textId="77777777" w:rsidR="007E2F9F" w:rsidRPr="006637B7" w:rsidRDefault="007E2F9F" w:rsidP="006548F8">
            <w:pPr>
              <w:tabs>
                <w:tab w:val="left" w:pos="875"/>
              </w:tabs>
              <w:rPr>
                <w:rFonts w:ascii="Arial" w:hAnsi="Arial" w:cs="Arial"/>
                <w:sz w:val="18"/>
                <w:szCs w:val="18"/>
              </w:rPr>
            </w:pPr>
            <w:r w:rsidRPr="006637B7">
              <w:rPr>
                <w:rFonts w:ascii="Arial" w:hAnsi="Arial" w:cs="Arial"/>
                <w:lang w:val="es-ES_tradnl"/>
              </w:rPr>
              <w:t>Cuentas por pagar constituidas a 31 de diciembre de 2024</w:t>
            </w:r>
          </w:p>
        </w:tc>
        <w:tc>
          <w:tcPr>
            <w:tcW w:w="1843" w:type="dxa"/>
          </w:tcPr>
          <w:p w14:paraId="61ACB915" w14:textId="77777777" w:rsidR="007E2F9F" w:rsidRPr="006637B7" w:rsidRDefault="007E2F9F" w:rsidP="006548F8">
            <w:pPr>
              <w:tabs>
                <w:tab w:val="left" w:pos="875"/>
              </w:tabs>
              <w:jc w:val="right"/>
              <w:rPr>
                <w:rFonts w:ascii="Arial" w:hAnsi="Arial" w:cs="Arial"/>
                <w:sz w:val="18"/>
                <w:szCs w:val="18"/>
              </w:rPr>
            </w:pPr>
            <w:r w:rsidRPr="006637B7">
              <w:rPr>
                <w:rFonts w:ascii="Arial" w:hAnsi="Arial" w:cs="Arial"/>
                <w:sz w:val="18"/>
                <w:szCs w:val="18"/>
              </w:rPr>
              <w:t>0</w:t>
            </w:r>
          </w:p>
        </w:tc>
      </w:tr>
      <w:tr w:rsidR="007E2F9F" w:rsidRPr="006637B7" w14:paraId="410DCEF1" w14:textId="77777777" w:rsidTr="003065C2">
        <w:tc>
          <w:tcPr>
            <w:tcW w:w="8506" w:type="dxa"/>
          </w:tcPr>
          <w:p w14:paraId="0D95BEC7" w14:textId="77777777" w:rsidR="007E2F9F" w:rsidRPr="006637B7" w:rsidRDefault="007E2F9F" w:rsidP="006548F8">
            <w:pPr>
              <w:tabs>
                <w:tab w:val="left" w:pos="875"/>
              </w:tabs>
              <w:rPr>
                <w:rFonts w:ascii="Arial" w:hAnsi="Arial" w:cs="Arial"/>
                <w:sz w:val="18"/>
                <w:szCs w:val="18"/>
              </w:rPr>
            </w:pPr>
            <w:r w:rsidRPr="006637B7">
              <w:rPr>
                <w:rFonts w:ascii="Arial" w:hAnsi="Arial" w:cs="Arial"/>
                <w:b/>
                <w:lang w:val="es-ES_tradnl"/>
              </w:rPr>
              <w:t>TOTAL REZAGO PRESUPUESTAL CONSTITUIDO A 31 DE DICIEMBRE DE 2024</w:t>
            </w:r>
          </w:p>
        </w:tc>
        <w:tc>
          <w:tcPr>
            <w:tcW w:w="1843" w:type="dxa"/>
          </w:tcPr>
          <w:p w14:paraId="44C47D75" w14:textId="77777777" w:rsidR="007E2F9F" w:rsidRPr="006637B7" w:rsidRDefault="007E2F9F" w:rsidP="006548F8">
            <w:pPr>
              <w:tabs>
                <w:tab w:val="left" w:pos="875"/>
              </w:tabs>
              <w:jc w:val="right"/>
              <w:rPr>
                <w:rFonts w:ascii="Arial" w:hAnsi="Arial" w:cs="Arial"/>
                <w:b/>
                <w:sz w:val="18"/>
                <w:szCs w:val="18"/>
                <w:u w:val="single"/>
              </w:rPr>
            </w:pPr>
            <w:r w:rsidRPr="006637B7">
              <w:rPr>
                <w:rFonts w:ascii="Arial" w:hAnsi="Arial" w:cs="Arial"/>
                <w:b/>
                <w:sz w:val="18"/>
                <w:szCs w:val="18"/>
                <w:u w:val="single"/>
              </w:rPr>
              <w:t>1.746.885</w:t>
            </w:r>
          </w:p>
        </w:tc>
      </w:tr>
    </w:tbl>
    <w:p w14:paraId="49C8BA6F" w14:textId="77777777" w:rsidR="007E2F9F" w:rsidRDefault="007E2F9F" w:rsidP="007E2F9F">
      <w:pPr>
        <w:ind w:left="-142" w:right="-93"/>
        <w:jc w:val="both"/>
        <w:rPr>
          <w:rFonts w:ascii="Arial" w:hAnsi="Arial" w:cs="Arial"/>
          <w:lang w:val="es-MX"/>
        </w:rPr>
      </w:pPr>
    </w:p>
    <w:p w14:paraId="34A507B8" w14:textId="77777777" w:rsidR="007E2F9F" w:rsidRPr="0016695D" w:rsidRDefault="007E2F9F" w:rsidP="003065C2">
      <w:pPr>
        <w:ind w:left="-284"/>
        <w:jc w:val="both"/>
        <w:rPr>
          <w:rFonts w:ascii="Arial" w:hAnsi="Arial" w:cs="Arial"/>
          <w:b/>
          <w:sz w:val="28"/>
          <w:szCs w:val="28"/>
          <w:lang w:val="es-MX"/>
        </w:rPr>
      </w:pPr>
      <w:r w:rsidRPr="0016695D">
        <w:rPr>
          <w:rFonts w:ascii="Arial" w:hAnsi="Arial" w:cs="Arial"/>
          <w:b/>
          <w:sz w:val="28"/>
          <w:szCs w:val="28"/>
          <w:lang w:val="es-MX"/>
        </w:rPr>
        <w:t xml:space="preserve">161.- </w:t>
      </w:r>
      <w:r w:rsidRPr="0016695D">
        <w:rPr>
          <w:rFonts w:ascii="Arial" w:hAnsi="Arial" w:cs="Arial"/>
          <w:b/>
          <w:sz w:val="28"/>
          <w:szCs w:val="28"/>
          <w:lang w:val="es-CO"/>
        </w:rPr>
        <w:t>U.A.E. AGENCIA NACIONAL DE HIDROCARBUROS – ANH.</w:t>
      </w:r>
    </w:p>
    <w:p w14:paraId="3A25FE0D"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58611F" w14:paraId="13FF6B42" w14:textId="77777777" w:rsidTr="003065C2">
        <w:tc>
          <w:tcPr>
            <w:tcW w:w="8506" w:type="dxa"/>
          </w:tcPr>
          <w:p w14:paraId="5E901B40" w14:textId="77777777" w:rsidR="007E2F9F" w:rsidRPr="0058611F" w:rsidRDefault="007E2F9F" w:rsidP="006548F8">
            <w:pPr>
              <w:tabs>
                <w:tab w:val="left" w:pos="875"/>
              </w:tabs>
              <w:rPr>
                <w:rFonts w:ascii="Arial" w:hAnsi="Arial" w:cs="Arial"/>
                <w:sz w:val="18"/>
                <w:szCs w:val="18"/>
              </w:rPr>
            </w:pPr>
            <w:r w:rsidRPr="0058611F">
              <w:rPr>
                <w:rFonts w:ascii="Arial" w:hAnsi="Arial" w:cs="Arial"/>
                <w:lang w:val="es-ES_tradnl"/>
              </w:rPr>
              <w:t>Reservas presupuestales constituidas a 31 de diciembre de 2024</w:t>
            </w:r>
          </w:p>
        </w:tc>
        <w:tc>
          <w:tcPr>
            <w:tcW w:w="1843" w:type="dxa"/>
          </w:tcPr>
          <w:p w14:paraId="597260FB" w14:textId="77777777" w:rsidR="007E2F9F" w:rsidRPr="0058611F" w:rsidRDefault="007E2F9F" w:rsidP="006548F8">
            <w:pPr>
              <w:tabs>
                <w:tab w:val="left" w:pos="875"/>
              </w:tabs>
              <w:jc w:val="right"/>
              <w:rPr>
                <w:rFonts w:ascii="Arial" w:hAnsi="Arial" w:cs="Arial"/>
                <w:sz w:val="18"/>
                <w:szCs w:val="18"/>
              </w:rPr>
            </w:pPr>
            <w:r w:rsidRPr="0058611F">
              <w:rPr>
                <w:rFonts w:ascii="Arial" w:hAnsi="Arial" w:cs="Arial"/>
                <w:sz w:val="18"/>
                <w:szCs w:val="18"/>
              </w:rPr>
              <w:t>128.738.529.383</w:t>
            </w:r>
          </w:p>
        </w:tc>
      </w:tr>
      <w:tr w:rsidR="007E2F9F" w:rsidRPr="0058611F" w14:paraId="32953577" w14:textId="77777777" w:rsidTr="003065C2">
        <w:tc>
          <w:tcPr>
            <w:tcW w:w="8506" w:type="dxa"/>
          </w:tcPr>
          <w:p w14:paraId="48C26FEF" w14:textId="77777777" w:rsidR="007E2F9F" w:rsidRPr="0058611F" w:rsidRDefault="007E2F9F" w:rsidP="006548F8">
            <w:pPr>
              <w:tabs>
                <w:tab w:val="left" w:pos="875"/>
              </w:tabs>
              <w:rPr>
                <w:rFonts w:ascii="Arial" w:hAnsi="Arial" w:cs="Arial"/>
                <w:sz w:val="18"/>
                <w:szCs w:val="18"/>
              </w:rPr>
            </w:pPr>
            <w:r w:rsidRPr="0058611F">
              <w:rPr>
                <w:rFonts w:ascii="Arial" w:hAnsi="Arial" w:cs="Arial"/>
                <w:lang w:val="es-ES_tradnl"/>
              </w:rPr>
              <w:t>Cuentas por pagar constituidas a 31 de diciembre de 2024</w:t>
            </w:r>
          </w:p>
        </w:tc>
        <w:tc>
          <w:tcPr>
            <w:tcW w:w="1843" w:type="dxa"/>
          </w:tcPr>
          <w:p w14:paraId="664CFD10" w14:textId="77777777" w:rsidR="007E2F9F" w:rsidRPr="0058611F" w:rsidRDefault="007E2F9F" w:rsidP="006548F8">
            <w:pPr>
              <w:tabs>
                <w:tab w:val="left" w:pos="875"/>
              </w:tabs>
              <w:jc w:val="right"/>
              <w:rPr>
                <w:rFonts w:ascii="Arial" w:hAnsi="Arial" w:cs="Arial"/>
                <w:sz w:val="18"/>
                <w:szCs w:val="18"/>
              </w:rPr>
            </w:pPr>
            <w:r w:rsidRPr="0058611F">
              <w:rPr>
                <w:rFonts w:ascii="Arial" w:hAnsi="Arial" w:cs="Arial"/>
                <w:sz w:val="18"/>
                <w:szCs w:val="18"/>
              </w:rPr>
              <w:t>75.937.240.641</w:t>
            </w:r>
          </w:p>
        </w:tc>
      </w:tr>
      <w:tr w:rsidR="007E2F9F" w:rsidRPr="0058611F" w14:paraId="64781188" w14:textId="77777777" w:rsidTr="003065C2">
        <w:tc>
          <w:tcPr>
            <w:tcW w:w="8506" w:type="dxa"/>
          </w:tcPr>
          <w:p w14:paraId="2130EA3A" w14:textId="77777777" w:rsidR="007E2F9F" w:rsidRPr="0058611F" w:rsidRDefault="007E2F9F" w:rsidP="006548F8">
            <w:pPr>
              <w:tabs>
                <w:tab w:val="left" w:pos="875"/>
              </w:tabs>
              <w:rPr>
                <w:rFonts w:ascii="Arial" w:hAnsi="Arial" w:cs="Arial"/>
                <w:sz w:val="18"/>
                <w:szCs w:val="18"/>
              </w:rPr>
            </w:pPr>
            <w:r w:rsidRPr="0058611F">
              <w:rPr>
                <w:rFonts w:ascii="Arial" w:hAnsi="Arial" w:cs="Arial"/>
                <w:b/>
                <w:lang w:val="es-ES_tradnl"/>
              </w:rPr>
              <w:t>TOTAL REZAGO PRESUPUESTAL CONSTITUIDO A 31 DE DICIEMBRE DE 2024</w:t>
            </w:r>
          </w:p>
        </w:tc>
        <w:tc>
          <w:tcPr>
            <w:tcW w:w="1843" w:type="dxa"/>
          </w:tcPr>
          <w:p w14:paraId="6C967E4C" w14:textId="77777777" w:rsidR="007E2F9F" w:rsidRPr="0058611F" w:rsidRDefault="007E2F9F" w:rsidP="006548F8">
            <w:pPr>
              <w:tabs>
                <w:tab w:val="left" w:pos="875"/>
              </w:tabs>
              <w:jc w:val="right"/>
              <w:rPr>
                <w:rFonts w:ascii="Arial" w:hAnsi="Arial" w:cs="Arial"/>
                <w:b/>
                <w:sz w:val="18"/>
                <w:szCs w:val="18"/>
                <w:u w:val="single"/>
              </w:rPr>
            </w:pPr>
            <w:r w:rsidRPr="0058611F">
              <w:rPr>
                <w:rFonts w:ascii="Arial" w:hAnsi="Arial" w:cs="Arial"/>
                <w:b/>
                <w:sz w:val="18"/>
                <w:szCs w:val="18"/>
                <w:u w:val="single"/>
              </w:rPr>
              <w:t>204.675.770.024</w:t>
            </w:r>
          </w:p>
        </w:tc>
      </w:tr>
    </w:tbl>
    <w:p w14:paraId="6D458C35" w14:textId="77777777" w:rsidR="007E2F9F" w:rsidRDefault="007E2F9F" w:rsidP="007E2F9F">
      <w:pPr>
        <w:ind w:left="-142" w:right="-93"/>
        <w:jc w:val="both"/>
        <w:rPr>
          <w:rFonts w:ascii="Arial" w:hAnsi="Arial" w:cs="Arial"/>
          <w:lang w:val="es-MX"/>
        </w:rPr>
      </w:pPr>
    </w:p>
    <w:p w14:paraId="2020CC7C" w14:textId="77777777" w:rsidR="007E2F9F" w:rsidRPr="0080620D" w:rsidRDefault="007E2F9F" w:rsidP="003065C2">
      <w:pPr>
        <w:ind w:left="-284"/>
        <w:jc w:val="both"/>
        <w:rPr>
          <w:rFonts w:ascii="Arial" w:hAnsi="Arial" w:cs="Arial"/>
          <w:b/>
          <w:sz w:val="28"/>
          <w:szCs w:val="28"/>
          <w:lang w:val="es-MX"/>
        </w:rPr>
      </w:pPr>
      <w:r w:rsidRPr="0080620D">
        <w:rPr>
          <w:rFonts w:ascii="Arial" w:hAnsi="Arial" w:cs="Arial"/>
          <w:b/>
          <w:sz w:val="28"/>
          <w:szCs w:val="28"/>
          <w:lang w:val="es-MX"/>
        </w:rPr>
        <w:t>164.- AGENCIA NACIONAL DE SEGURIDAD VIAL.</w:t>
      </w:r>
    </w:p>
    <w:p w14:paraId="25517502"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49505F" w14:paraId="1F53CED4" w14:textId="77777777" w:rsidTr="003065C2">
        <w:tc>
          <w:tcPr>
            <w:tcW w:w="8364" w:type="dxa"/>
          </w:tcPr>
          <w:p w14:paraId="41029DE6" w14:textId="77777777" w:rsidR="007E2F9F" w:rsidRPr="0049505F" w:rsidRDefault="007E2F9F" w:rsidP="006548F8">
            <w:pPr>
              <w:tabs>
                <w:tab w:val="left" w:pos="875"/>
              </w:tabs>
              <w:rPr>
                <w:rFonts w:ascii="Arial" w:hAnsi="Arial" w:cs="Arial"/>
                <w:sz w:val="18"/>
                <w:szCs w:val="18"/>
              </w:rPr>
            </w:pPr>
            <w:r w:rsidRPr="0049505F">
              <w:rPr>
                <w:rFonts w:ascii="Arial" w:hAnsi="Arial" w:cs="Arial"/>
                <w:lang w:val="es-ES_tradnl"/>
              </w:rPr>
              <w:t>Cuentas por pagar constituidas a 31 de diciembre de 2024</w:t>
            </w:r>
          </w:p>
        </w:tc>
        <w:tc>
          <w:tcPr>
            <w:tcW w:w="1985" w:type="dxa"/>
          </w:tcPr>
          <w:p w14:paraId="1C706808" w14:textId="77777777" w:rsidR="007E2F9F" w:rsidRPr="0049505F" w:rsidRDefault="007E2F9F" w:rsidP="006548F8">
            <w:pPr>
              <w:tabs>
                <w:tab w:val="left" w:pos="875"/>
              </w:tabs>
              <w:jc w:val="right"/>
              <w:rPr>
                <w:rFonts w:ascii="Arial" w:hAnsi="Arial" w:cs="Arial"/>
                <w:sz w:val="18"/>
                <w:szCs w:val="18"/>
              </w:rPr>
            </w:pPr>
            <w:r w:rsidRPr="0049505F">
              <w:rPr>
                <w:rFonts w:ascii="Arial" w:hAnsi="Arial" w:cs="Arial"/>
                <w:sz w:val="18"/>
                <w:szCs w:val="18"/>
              </w:rPr>
              <w:t>930.111,93</w:t>
            </w:r>
          </w:p>
        </w:tc>
      </w:tr>
      <w:tr w:rsidR="007E2F9F" w:rsidRPr="0049505F" w14:paraId="39E5DB76" w14:textId="77777777" w:rsidTr="003065C2">
        <w:tc>
          <w:tcPr>
            <w:tcW w:w="8364" w:type="dxa"/>
          </w:tcPr>
          <w:p w14:paraId="6D325F46" w14:textId="77777777" w:rsidR="007E2F9F" w:rsidRPr="0049505F" w:rsidRDefault="007E2F9F" w:rsidP="006548F8">
            <w:pPr>
              <w:tabs>
                <w:tab w:val="left" w:pos="875"/>
              </w:tabs>
              <w:rPr>
                <w:rFonts w:ascii="Arial" w:hAnsi="Arial" w:cs="Arial"/>
                <w:sz w:val="18"/>
                <w:szCs w:val="18"/>
              </w:rPr>
            </w:pPr>
            <w:r w:rsidRPr="0049505F">
              <w:rPr>
                <w:rFonts w:ascii="Arial" w:hAnsi="Arial" w:cs="Arial"/>
                <w:b/>
                <w:lang w:val="es-ES_tradnl"/>
              </w:rPr>
              <w:t>TOTAL REZAGO PRESUPUESTAL CONSTITUIDO A 31 DE DICIEMBRE DE 2024</w:t>
            </w:r>
          </w:p>
        </w:tc>
        <w:tc>
          <w:tcPr>
            <w:tcW w:w="1985" w:type="dxa"/>
          </w:tcPr>
          <w:p w14:paraId="407DEC7A" w14:textId="77777777" w:rsidR="007E2F9F" w:rsidRPr="0049505F" w:rsidRDefault="007E2F9F" w:rsidP="006548F8">
            <w:pPr>
              <w:tabs>
                <w:tab w:val="left" w:pos="875"/>
              </w:tabs>
              <w:jc w:val="right"/>
              <w:rPr>
                <w:rFonts w:ascii="Arial" w:hAnsi="Arial" w:cs="Arial"/>
                <w:b/>
                <w:sz w:val="18"/>
                <w:szCs w:val="18"/>
                <w:u w:val="single"/>
              </w:rPr>
            </w:pPr>
            <w:r w:rsidRPr="0049505F">
              <w:rPr>
                <w:rFonts w:ascii="Arial" w:hAnsi="Arial" w:cs="Arial"/>
                <w:b/>
                <w:sz w:val="18"/>
                <w:szCs w:val="18"/>
                <w:u w:val="single"/>
              </w:rPr>
              <w:t>930.111,93</w:t>
            </w:r>
          </w:p>
        </w:tc>
      </w:tr>
    </w:tbl>
    <w:p w14:paraId="42212139" w14:textId="77777777" w:rsidR="007E2F9F" w:rsidRDefault="007E2F9F" w:rsidP="007E2F9F">
      <w:pPr>
        <w:ind w:left="-142" w:right="-93"/>
        <w:jc w:val="both"/>
        <w:rPr>
          <w:rFonts w:ascii="Arial" w:hAnsi="Arial" w:cs="Arial"/>
          <w:lang w:val="es-MX"/>
        </w:rPr>
      </w:pPr>
    </w:p>
    <w:p w14:paraId="0C045C01" w14:textId="77777777" w:rsidR="007E2F9F" w:rsidRPr="00EA427F" w:rsidRDefault="007E2F9F" w:rsidP="003065C2">
      <w:pPr>
        <w:ind w:left="-284"/>
        <w:jc w:val="both"/>
        <w:rPr>
          <w:rFonts w:ascii="Arial" w:hAnsi="Arial" w:cs="Arial"/>
          <w:b/>
          <w:sz w:val="32"/>
          <w:szCs w:val="32"/>
        </w:rPr>
      </w:pPr>
      <w:r w:rsidRPr="00EA427F">
        <w:rPr>
          <w:rFonts w:ascii="Arial" w:hAnsi="Arial" w:cs="Arial"/>
          <w:b/>
          <w:sz w:val="28"/>
          <w:szCs w:val="28"/>
          <w:lang w:val="es-MX"/>
        </w:rPr>
        <w:t>172.- POLICÍA NACIONAL.</w:t>
      </w:r>
    </w:p>
    <w:p w14:paraId="1E4A531B"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5C1677" w14:paraId="602904B0" w14:textId="77777777" w:rsidTr="003065C2">
        <w:tc>
          <w:tcPr>
            <w:tcW w:w="8364" w:type="dxa"/>
          </w:tcPr>
          <w:p w14:paraId="2462E3E3" w14:textId="77777777" w:rsidR="007E2F9F" w:rsidRPr="005C1677" w:rsidRDefault="007E2F9F" w:rsidP="006548F8">
            <w:pPr>
              <w:tabs>
                <w:tab w:val="left" w:pos="875"/>
              </w:tabs>
              <w:ind w:right="157"/>
              <w:rPr>
                <w:rFonts w:ascii="Arial" w:hAnsi="Arial" w:cs="Arial"/>
                <w:sz w:val="18"/>
                <w:szCs w:val="18"/>
              </w:rPr>
            </w:pPr>
            <w:r w:rsidRPr="005C1677">
              <w:rPr>
                <w:rFonts w:ascii="Arial" w:hAnsi="Arial" w:cs="Arial"/>
                <w:lang w:val="es-ES_tradnl"/>
              </w:rPr>
              <w:t>Reservas presupuestales constituidas a 31 de diciembre de 2024</w:t>
            </w:r>
          </w:p>
        </w:tc>
        <w:tc>
          <w:tcPr>
            <w:tcW w:w="1985" w:type="dxa"/>
          </w:tcPr>
          <w:p w14:paraId="00CD5455" w14:textId="77777777" w:rsidR="007E2F9F" w:rsidRPr="005C1677" w:rsidRDefault="007E2F9F" w:rsidP="006548F8">
            <w:pPr>
              <w:tabs>
                <w:tab w:val="left" w:pos="875"/>
              </w:tabs>
              <w:jc w:val="right"/>
              <w:rPr>
                <w:rFonts w:ascii="Arial" w:hAnsi="Arial" w:cs="Arial"/>
                <w:sz w:val="18"/>
                <w:szCs w:val="18"/>
              </w:rPr>
            </w:pPr>
            <w:r w:rsidRPr="005C1677">
              <w:rPr>
                <w:rFonts w:ascii="Arial" w:hAnsi="Arial" w:cs="Arial"/>
                <w:sz w:val="18"/>
                <w:szCs w:val="18"/>
              </w:rPr>
              <w:t>1.217.593.504,21</w:t>
            </w:r>
          </w:p>
        </w:tc>
      </w:tr>
      <w:tr w:rsidR="007E2F9F" w:rsidRPr="005C1677" w14:paraId="319631CB" w14:textId="77777777" w:rsidTr="003065C2">
        <w:tc>
          <w:tcPr>
            <w:tcW w:w="8364" w:type="dxa"/>
          </w:tcPr>
          <w:p w14:paraId="20A5BC8A" w14:textId="77777777" w:rsidR="007E2F9F" w:rsidRPr="005C1677" w:rsidRDefault="007E2F9F" w:rsidP="006548F8">
            <w:pPr>
              <w:tabs>
                <w:tab w:val="left" w:pos="875"/>
              </w:tabs>
              <w:ind w:right="157"/>
              <w:rPr>
                <w:rFonts w:ascii="Arial" w:hAnsi="Arial" w:cs="Arial"/>
                <w:sz w:val="18"/>
                <w:szCs w:val="18"/>
              </w:rPr>
            </w:pPr>
            <w:r w:rsidRPr="005C1677">
              <w:rPr>
                <w:rFonts w:ascii="Arial" w:hAnsi="Arial" w:cs="Arial"/>
                <w:lang w:val="es-ES_tradnl"/>
              </w:rPr>
              <w:t>Cuentas por pagar constituidas a 31 de diciembre de 2024</w:t>
            </w:r>
          </w:p>
        </w:tc>
        <w:tc>
          <w:tcPr>
            <w:tcW w:w="1985" w:type="dxa"/>
          </w:tcPr>
          <w:p w14:paraId="113ECEF4" w14:textId="77777777" w:rsidR="007E2F9F" w:rsidRPr="005C1677" w:rsidRDefault="007E2F9F" w:rsidP="006548F8">
            <w:pPr>
              <w:tabs>
                <w:tab w:val="left" w:pos="875"/>
              </w:tabs>
              <w:jc w:val="right"/>
              <w:rPr>
                <w:rFonts w:ascii="Arial" w:hAnsi="Arial" w:cs="Arial"/>
                <w:sz w:val="18"/>
                <w:szCs w:val="18"/>
              </w:rPr>
            </w:pPr>
            <w:r w:rsidRPr="005C1677">
              <w:rPr>
                <w:rFonts w:ascii="Arial" w:hAnsi="Arial" w:cs="Arial"/>
                <w:sz w:val="18"/>
                <w:szCs w:val="18"/>
              </w:rPr>
              <w:t>116.139.226,09</w:t>
            </w:r>
          </w:p>
        </w:tc>
      </w:tr>
      <w:tr w:rsidR="007E2F9F" w:rsidRPr="005C1677" w14:paraId="13702E43" w14:textId="77777777" w:rsidTr="003065C2">
        <w:tc>
          <w:tcPr>
            <w:tcW w:w="8364" w:type="dxa"/>
          </w:tcPr>
          <w:p w14:paraId="6A0119B3" w14:textId="77777777" w:rsidR="007E2F9F" w:rsidRPr="005C1677" w:rsidRDefault="007E2F9F" w:rsidP="006548F8">
            <w:pPr>
              <w:tabs>
                <w:tab w:val="left" w:pos="875"/>
              </w:tabs>
              <w:ind w:right="157"/>
              <w:rPr>
                <w:rFonts w:ascii="Arial" w:hAnsi="Arial" w:cs="Arial"/>
                <w:sz w:val="18"/>
                <w:szCs w:val="18"/>
              </w:rPr>
            </w:pPr>
            <w:r w:rsidRPr="005C1677">
              <w:rPr>
                <w:rFonts w:ascii="Arial" w:hAnsi="Arial" w:cs="Arial"/>
                <w:b/>
                <w:lang w:val="es-ES_tradnl"/>
              </w:rPr>
              <w:t>TOTAL REZAGO PRESUPUESTAL CONSTITUIDO A 31 DE DICIEMBRE DE 2024</w:t>
            </w:r>
          </w:p>
        </w:tc>
        <w:tc>
          <w:tcPr>
            <w:tcW w:w="1985" w:type="dxa"/>
          </w:tcPr>
          <w:p w14:paraId="4743E9E1" w14:textId="77777777" w:rsidR="007E2F9F" w:rsidRPr="005C1677" w:rsidRDefault="007E2F9F" w:rsidP="006548F8">
            <w:pPr>
              <w:tabs>
                <w:tab w:val="left" w:pos="875"/>
              </w:tabs>
              <w:jc w:val="right"/>
              <w:rPr>
                <w:rFonts w:ascii="Arial" w:hAnsi="Arial" w:cs="Arial"/>
                <w:b/>
                <w:sz w:val="18"/>
                <w:szCs w:val="18"/>
                <w:u w:val="single"/>
              </w:rPr>
            </w:pPr>
            <w:r w:rsidRPr="005C1677">
              <w:rPr>
                <w:rFonts w:ascii="Arial" w:hAnsi="Arial" w:cs="Arial"/>
                <w:b/>
                <w:sz w:val="18"/>
                <w:szCs w:val="18"/>
                <w:u w:val="single"/>
              </w:rPr>
              <w:t>1.333.732.730,30</w:t>
            </w:r>
          </w:p>
        </w:tc>
      </w:tr>
    </w:tbl>
    <w:p w14:paraId="51AB8BCB" w14:textId="77777777" w:rsidR="007E2F9F" w:rsidRDefault="007E2F9F" w:rsidP="007E2F9F">
      <w:pPr>
        <w:ind w:left="-142" w:right="-93"/>
        <w:jc w:val="both"/>
        <w:rPr>
          <w:rFonts w:ascii="Arial" w:hAnsi="Arial" w:cs="Arial"/>
          <w:lang w:val="es-MX"/>
        </w:rPr>
      </w:pPr>
    </w:p>
    <w:p w14:paraId="3D1EC137" w14:textId="77777777" w:rsidR="007E2F9F" w:rsidRPr="003A7226" w:rsidRDefault="007E2F9F" w:rsidP="003065C2">
      <w:pPr>
        <w:ind w:left="-284"/>
        <w:jc w:val="both"/>
        <w:rPr>
          <w:rFonts w:ascii="Arial" w:hAnsi="Arial" w:cs="Arial"/>
          <w:b/>
          <w:sz w:val="28"/>
          <w:szCs w:val="28"/>
          <w:lang w:val="es-MX"/>
        </w:rPr>
      </w:pPr>
      <w:r w:rsidRPr="003A7226">
        <w:rPr>
          <w:rFonts w:ascii="Arial" w:hAnsi="Arial" w:cs="Arial"/>
          <w:b/>
          <w:sz w:val="28"/>
          <w:szCs w:val="28"/>
          <w:lang w:val="es-MX"/>
        </w:rPr>
        <w:t>175.- U.A.E. DE LA JUSTICIA PENAL MILITAR Y POLICIAL.</w:t>
      </w:r>
    </w:p>
    <w:p w14:paraId="5FE725FB" w14:textId="77777777" w:rsidR="007E2F9F" w:rsidRDefault="007E2F9F" w:rsidP="007E2F9F">
      <w:pPr>
        <w:ind w:left="-284" w:right="-234"/>
        <w:jc w:val="both"/>
        <w:rPr>
          <w:rFonts w:ascii="Arial" w:hAnsi="Arial" w:cs="Arial"/>
          <w:b/>
          <w:bCs/>
          <w:sz w:val="28"/>
          <w:szCs w:val="28"/>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5F6FBC" w14:paraId="2B054B8E" w14:textId="77777777" w:rsidTr="003065C2">
        <w:tc>
          <w:tcPr>
            <w:tcW w:w="8364" w:type="dxa"/>
          </w:tcPr>
          <w:p w14:paraId="41A90791" w14:textId="77777777" w:rsidR="007E2F9F" w:rsidRPr="005F6FBC" w:rsidRDefault="007E2F9F" w:rsidP="006548F8">
            <w:pPr>
              <w:tabs>
                <w:tab w:val="left" w:pos="875"/>
              </w:tabs>
              <w:ind w:right="157"/>
              <w:rPr>
                <w:rFonts w:ascii="Arial" w:hAnsi="Arial" w:cs="Arial"/>
              </w:rPr>
            </w:pPr>
            <w:r w:rsidRPr="005F6FBC">
              <w:rPr>
                <w:rFonts w:ascii="Arial" w:hAnsi="Arial" w:cs="Arial"/>
                <w:lang w:val="es-ES_tradnl"/>
              </w:rPr>
              <w:t>Reservas presupuestales constituidas a 31 de diciembre de 2024</w:t>
            </w:r>
          </w:p>
        </w:tc>
        <w:tc>
          <w:tcPr>
            <w:tcW w:w="1985" w:type="dxa"/>
          </w:tcPr>
          <w:p w14:paraId="0C942969" w14:textId="77777777" w:rsidR="007E2F9F" w:rsidRPr="005F6FBC" w:rsidRDefault="007E2F9F" w:rsidP="006548F8">
            <w:pPr>
              <w:tabs>
                <w:tab w:val="left" w:pos="875"/>
              </w:tabs>
              <w:jc w:val="right"/>
              <w:rPr>
                <w:rFonts w:ascii="Arial" w:hAnsi="Arial" w:cs="Arial"/>
              </w:rPr>
            </w:pPr>
            <w:r w:rsidRPr="005F6FBC">
              <w:rPr>
                <w:rFonts w:ascii="Arial" w:hAnsi="Arial" w:cs="Arial"/>
              </w:rPr>
              <w:t>5.688.367,89</w:t>
            </w:r>
          </w:p>
        </w:tc>
      </w:tr>
      <w:tr w:rsidR="007E2F9F" w:rsidRPr="005F6FBC" w14:paraId="7B5F322B" w14:textId="77777777" w:rsidTr="003065C2">
        <w:tc>
          <w:tcPr>
            <w:tcW w:w="8364" w:type="dxa"/>
          </w:tcPr>
          <w:p w14:paraId="05305916" w14:textId="77777777" w:rsidR="007E2F9F" w:rsidRPr="005F6FBC" w:rsidRDefault="007E2F9F" w:rsidP="006548F8">
            <w:pPr>
              <w:tabs>
                <w:tab w:val="left" w:pos="875"/>
              </w:tabs>
              <w:ind w:right="157"/>
              <w:rPr>
                <w:rFonts w:ascii="Arial" w:hAnsi="Arial" w:cs="Arial"/>
              </w:rPr>
            </w:pPr>
            <w:r w:rsidRPr="005F6FBC">
              <w:rPr>
                <w:rFonts w:ascii="Arial" w:hAnsi="Arial" w:cs="Arial"/>
                <w:lang w:val="es-ES_tradnl"/>
              </w:rPr>
              <w:t>Cuentas por pagar constituidas a 31 de diciembre de 2024</w:t>
            </w:r>
          </w:p>
        </w:tc>
        <w:tc>
          <w:tcPr>
            <w:tcW w:w="1985" w:type="dxa"/>
          </w:tcPr>
          <w:p w14:paraId="2AD653F2" w14:textId="77777777" w:rsidR="007E2F9F" w:rsidRPr="005F6FBC" w:rsidRDefault="007E2F9F" w:rsidP="006548F8">
            <w:pPr>
              <w:tabs>
                <w:tab w:val="left" w:pos="875"/>
              </w:tabs>
              <w:jc w:val="right"/>
              <w:rPr>
                <w:rFonts w:ascii="Arial" w:hAnsi="Arial" w:cs="Arial"/>
              </w:rPr>
            </w:pPr>
            <w:r w:rsidRPr="005F6FBC">
              <w:rPr>
                <w:rFonts w:ascii="Arial" w:hAnsi="Arial" w:cs="Arial"/>
              </w:rPr>
              <w:t>625.416,20</w:t>
            </w:r>
          </w:p>
        </w:tc>
      </w:tr>
      <w:tr w:rsidR="007E2F9F" w:rsidRPr="005F6FBC" w14:paraId="31EB68D3" w14:textId="77777777" w:rsidTr="003065C2">
        <w:tc>
          <w:tcPr>
            <w:tcW w:w="8364" w:type="dxa"/>
          </w:tcPr>
          <w:p w14:paraId="0E1491DC" w14:textId="77777777" w:rsidR="007E2F9F" w:rsidRPr="005F6FBC" w:rsidRDefault="007E2F9F" w:rsidP="006548F8">
            <w:pPr>
              <w:tabs>
                <w:tab w:val="left" w:pos="875"/>
              </w:tabs>
              <w:ind w:right="157"/>
              <w:jc w:val="both"/>
              <w:rPr>
                <w:rFonts w:ascii="Arial" w:hAnsi="Arial" w:cs="Arial"/>
              </w:rPr>
            </w:pPr>
            <w:r w:rsidRPr="005F6FBC">
              <w:rPr>
                <w:rFonts w:ascii="Arial" w:hAnsi="Arial" w:cs="Arial"/>
                <w:b/>
                <w:lang w:val="es-ES_tradnl"/>
              </w:rPr>
              <w:t>TOTAL REZAGO PRESUPUESTAL CONSTITUIDO A 31 DE DICIEMBRE DE 2024</w:t>
            </w:r>
          </w:p>
        </w:tc>
        <w:tc>
          <w:tcPr>
            <w:tcW w:w="1985" w:type="dxa"/>
          </w:tcPr>
          <w:p w14:paraId="462C70AD" w14:textId="77777777" w:rsidR="007E2F9F" w:rsidRPr="005F6FBC" w:rsidRDefault="007E2F9F" w:rsidP="006548F8">
            <w:pPr>
              <w:tabs>
                <w:tab w:val="left" w:pos="875"/>
              </w:tabs>
              <w:jc w:val="right"/>
              <w:rPr>
                <w:rFonts w:ascii="Arial" w:hAnsi="Arial" w:cs="Arial"/>
                <w:b/>
                <w:u w:val="single"/>
              </w:rPr>
            </w:pPr>
            <w:r w:rsidRPr="005F6FBC">
              <w:rPr>
                <w:rFonts w:ascii="Arial" w:hAnsi="Arial" w:cs="Arial"/>
                <w:b/>
                <w:u w:val="single"/>
              </w:rPr>
              <w:t>6.313.784,09</w:t>
            </w:r>
          </w:p>
        </w:tc>
      </w:tr>
    </w:tbl>
    <w:p w14:paraId="2F214789" w14:textId="77777777" w:rsidR="007E2F9F" w:rsidRDefault="007E2F9F" w:rsidP="007E2F9F">
      <w:pPr>
        <w:ind w:left="-142" w:right="-93"/>
        <w:jc w:val="both"/>
        <w:rPr>
          <w:rFonts w:ascii="Arial" w:hAnsi="Arial" w:cs="Arial"/>
          <w:lang w:val="es-MX"/>
        </w:rPr>
      </w:pPr>
    </w:p>
    <w:p w14:paraId="2AC2274A" w14:textId="77777777" w:rsidR="007E2F9F" w:rsidRPr="00BC3A9C" w:rsidRDefault="007E2F9F" w:rsidP="003065C2">
      <w:pPr>
        <w:ind w:left="-284"/>
        <w:jc w:val="both"/>
        <w:rPr>
          <w:rFonts w:ascii="Arial" w:hAnsi="Arial" w:cs="Arial"/>
          <w:b/>
          <w:sz w:val="28"/>
          <w:szCs w:val="28"/>
          <w:lang w:val="es-MX"/>
        </w:rPr>
      </w:pPr>
      <w:r w:rsidRPr="00BC3A9C">
        <w:rPr>
          <w:rFonts w:ascii="Arial" w:hAnsi="Arial" w:cs="Arial"/>
          <w:b/>
          <w:sz w:val="28"/>
          <w:szCs w:val="28"/>
          <w:lang w:val="es-MX"/>
        </w:rPr>
        <w:t>181.- AGENCIA DE DESARROLLO RURAL – ADR.</w:t>
      </w:r>
    </w:p>
    <w:p w14:paraId="756A1786"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1D5F07" w14:paraId="53B7829A" w14:textId="77777777" w:rsidTr="003065C2">
        <w:tc>
          <w:tcPr>
            <w:tcW w:w="8364" w:type="dxa"/>
          </w:tcPr>
          <w:p w14:paraId="02156120" w14:textId="77777777" w:rsidR="007E2F9F" w:rsidRPr="001D5F07" w:rsidRDefault="007E2F9F" w:rsidP="006548F8">
            <w:pPr>
              <w:tabs>
                <w:tab w:val="left" w:pos="875"/>
              </w:tabs>
              <w:rPr>
                <w:rFonts w:ascii="Arial" w:hAnsi="Arial" w:cs="Arial"/>
                <w:sz w:val="18"/>
                <w:szCs w:val="18"/>
              </w:rPr>
            </w:pPr>
            <w:r w:rsidRPr="001D5F07">
              <w:rPr>
                <w:rFonts w:ascii="Arial" w:hAnsi="Arial" w:cs="Arial"/>
                <w:lang w:val="es-ES_tradnl"/>
              </w:rPr>
              <w:t>Reservas presupuestales constituidas a 31 de diciembre de 2024</w:t>
            </w:r>
          </w:p>
        </w:tc>
        <w:tc>
          <w:tcPr>
            <w:tcW w:w="1985" w:type="dxa"/>
          </w:tcPr>
          <w:p w14:paraId="093BBC67" w14:textId="77777777" w:rsidR="007E2F9F" w:rsidRPr="001D5F07" w:rsidRDefault="007E2F9F" w:rsidP="006548F8">
            <w:pPr>
              <w:tabs>
                <w:tab w:val="left" w:pos="875"/>
              </w:tabs>
              <w:jc w:val="right"/>
              <w:rPr>
                <w:rFonts w:ascii="Arial" w:hAnsi="Arial" w:cs="Arial"/>
                <w:sz w:val="18"/>
                <w:szCs w:val="18"/>
              </w:rPr>
            </w:pPr>
            <w:r w:rsidRPr="001D5F07">
              <w:rPr>
                <w:rFonts w:ascii="Arial" w:hAnsi="Arial" w:cs="Arial"/>
                <w:sz w:val="18"/>
                <w:szCs w:val="18"/>
              </w:rPr>
              <w:t>401.123.319,68</w:t>
            </w:r>
          </w:p>
        </w:tc>
      </w:tr>
      <w:tr w:rsidR="007E2F9F" w:rsidRPr="001D5F07" w14:paraId="7E31CEA5" w14:textId="77777777" w:rsidTr="003065C2">
        <w:tc>
          <w:tcPr>
            <w:tcW w:w="8364" w:type="dxa"/>
          </w:tcPr>
          <w:p w14:paraId="421A2DD8" w14:textId="77777777" w:rsidR="007E2F9F" w:rsidRPr="001D5F07" w:rsidRDefault="007E2F9F" w:rsidP="006548F8">
            <w:pPr>
              <w:tabs>
                <w:tab w:val="left" w:pos="875"/>
              </w:tabs>
              <w:rPr>
                <w:rFonts w:ascii="Arial" w:hAnsi="Arial" w:cs="Arial"/>
                <w:sz w:val="18"/>
                <w:szCs w:val="18"/>
              </w:rPr>
            </w:pPr>
            <w:r w:rsidRPr="001D5F07">
              <w:rPr>
                <w:rFonts w:ascii="Arial" w:hAnsi="Arial" w:cs="Arial"/>
                <w:lang w:val="es-ES_tradnl"/>
              </w:rPr>
              <w:t>Cuentas por pagar constituidas a 31 de diciembre de 2024</w:t>
            </w:r>
          </w:p>
        </w:tc>
        <w:tc>
          <w:tcPr>
            <w:tcW w:w="1985" w:type="dxa"/>
          </w:tcPr>
          <w:p w14:paraId="015D9535" w14:textId="77777777" w:rsidR="007E2F9F" w:rsidRPr="001D5F07" w:rsidRDefault="007E2F9F" w:rsidP="006548F8">
            <w:pPr>
              <w:tabs>
                <w:tab w:val="left" w:pos="875"/>
              </w:tabs>
              <w:jc w:val="right"/>
              <w:rPr>
                <w:rFonts w:ascii="Arial" w:hAnsi="Arial" w:cs="Arial"/>
                <w:sz w:val="18"/>
                <w:szCs w:val="18"/>
              </w:rPr>
            </w:pPr>
            <w:r w:rsidRPr="001D5F07">
              <w:rPr>
                <w:rFonts w:ascii="Arial" w:hAnsi="Arial" w:cs="Arial"/>
                <w:sz w:val="18"/>
                <w:szCs w:val="18"/>
              </w:rPr>
              <w:t>1.166.399,21</w:t>
            </w:r>
          </w:p>
        </w:tc>
      </w:tr>
      <w:tr w:rsidR="007E2F9F" w:rsidRPr="001D5F07" w14:paraId="76F80455" w14:textId="77777777" w:rsidTr="003065C2">
        <w:tc>
          <w:tcPr>
            <w:tcW w:w="8364" w:type="dxa"/>
          </w:tcPr>
          <w:p w14:paraId="57D17937" w14:textId="77777777" w:rsidR="007E2F9F" w:rsidRPr="001D5F07" w:rsidRDefault="007E2F9F" w:rsidP="006548F8">
            <w:pPr>
              <w:tabs>
                <w:tab w:val="left" w:pos="875"/>
              </w:tabs>
              <w:rPr>
                <w:rFonts w:ascii="Arial" w:hAnsi="Arial" w:cs="Arial"/>
                <w:sz w:val="18"/>
                <w:szCs w:val="18"/>
              </w:rPr>
            </w:pPr>
            <w:r w:rsidRPr="001D5F07">
              <w:rPr>
                <w:rFonts w:ascii="Arial" w:hAnsi="Arial" w:cs="Arial"/>
                <w:b/>
                <w:lang w:val="es-ES_tradnl"/>
              </w:rPr>
              <w:t>TOTAL REZAGO PRESUPUESTAL CONSTITUIDO A 31 DE DICIEMBRE DE 2024</w:t>
            </w:r>
          </w:p>
        </w:tc>
        <w:tc>
          <w:tcPr>
            <w:tcW w:w="1985" w:type="dxa"/>
          </w:tcPr>
          <w:p w14:paraId="1A24204E" w14:textId="77777777" w:rsidR="007E2F9F" w:rsidRPr="001D5F07" w:rsidRDefault="007E2F9F" w:rsidP="006548F8">
            <w:pPr>
              <w:tabs>
                <w:tab w:val="left" w:pos="875"/>
              </w:tabs>
              <w:jc w:val="right"/>
              <w:rPr>
                <w:rFonts w:ascii="Arial" w:hAnsi="Arial" w:cs="Arial"/>
                <w:b/>
                <w:sz w:val="18"/>
                <w:szCs w:val="18"/>
                <w:u w:val="single"/>
              </w:rPr>
            </w:pPr>
            <w:r w:rsidRPr="001D5F07">
              <w:rPr>
                <w:rFonts w:ascii="Arial" w:hAnsi="Arial" w:cs="Arial"/>
                <w:b/>
                <w:sz w:val="18"/>
                <w:szCs w:val="18"/>
                <w:u w:val="single"/>
              </w:rPr>
              <w:t>402.289.718,90</w:t>
            </w:r>
          </w:p>
        </w:tc>
      </w:tr>
    </w:tbl>
    <w:p w14:paraId="23CB3355" w14:textId="77777777" w:rsidR="007E2F9F" w:rsidRDefault="007E2F9F" w:rsidP="007E2F9F">
      <w:pPr>
        <w:ind w:left="-142" w:right="-93"/>
        <w:jc w:val="both"/>
        <w:rPr>
          <w:rFonts w:ascii="Arial" w:hAnsi="Arial" w:cs="Arial"/>
          <w:lang w:val="es-MX"/>
        </w:rPr>
      </w:pPr>
    </w:p>
    <w:p w14:paraId="457D007F" w14:textId="77777777" w:rsidR="007E2F9F" w:rsidRPr="002A4417" w:rsidRDefault="007E2F9F" w:rsidP="003065C2">
      <w:pPr>
        <w:ind w:left="-284" w:right="-93"/>
        <w:jc w:val="both"/>
        <w:rPr>
          <w:rFonts w:ascii="Arial" w:hAnsi="Arial" w:cs="Arial"/>
          <w:b/>
          <w:sz w:val="28"/>
          <w:szCs w:val="28"/>
          <w:lang w:val="es-MX"/>
        </w:rPr>
      </w:pPr>
      <w:r w:rsidRPr="002A4417">
        <w:rPr>
          <w:rFonts w:ascii="Arial" w:hAnsi="Arial" w:cs="Arial"/>
          <w:b/>
          <w:sz w:val="28"/>
          <w:szCs w:val="28"/>
          <w:lang w:val="es-MX"/>
        </w:rPr>
        <w:t>182.- INSTITUTO DE PLANIFICACION Y PROMOCION DE SOLUCIONES ENERGETICAS - IPSE.</w:t>
      </w:r>
    </w:p>
    <w:p w14:paraId="6788DFF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3538B6" w14:paraId="6C668002" w14:textId="77777777" w:rsidTr="003065C2">
        <w:tc>
          <w:tcPr>
            <w:tcW w:w="8789" w:type="dxa"/>
          </w:tcPr>
          <w:p w14:paraId="090468FD" w14:textId="77777777" w:rsidR="007E2F9F" w:rsidRPr="003538B6" w:rsidRDefault="007E2F9F" w:rsidP="006548F8">
            <w:pPr>
              <w:tabs>
                <w:tab w:val="left" w:pos="875"/>
              </w:tabs>
              <w:rPr>
                <w:rFonts w:ascii="Arial" w:hAnsi="Arial" w:cs="Arial"/>
                <w:sz w:val="18"/>
                <w:szCs w:val="18"/>
              </w:rPr>
            </w:pPr>
            <w:r w:rsidRPr="003538B6">
              <w:rPr>
                <w:rFonts w:ascii="Arial" w:hAnsi="Arial" w:cs="Arial"/>
                <w:lang w:val="es-ES_tradnl"/>
              </w:rPr>
              <w:t>Reservas presupuestales constituidas a 31 de diciembre de 2024</w:t>
            </w:r>
          </w:p>
        </w:tc>
        <w:tc>
          <w:tcPr>
            <w:tcW w:w="1560" w:type="dxa"/>
          </w:tcPr>
          <w:p w14:paraId="093C611E" w14:textId="77777777" w:rsidR="007E2F9F" w:rsidRPr="003538B6" w:rsidRDefault="007E2F9F" w:rsidP="006548F8">
            <w:pPr>
              <w:tabs>
                <w:tab w:val="left" w:pos="875"/>
              </w:tabs>
              <w:jc w:val="right"/>
              <w:rPr>
                <w:rFonts w:ascii="Arial" w:hAnsi="Arial" w:cs="Arial"/>
                <w:sz w:val="18"/>
                <w:szCs w:val="18"/>
              </w:rPr>
            </w:pPr>
            <w:r w:rsidRPr="003538B6">
              <w:rPr>
                <w:rFonts w:ascii="Arial" w:hAnsi="Arial" w:cs="Arial"/>
                <w:sz w:val="18"/>
                <w:szCs w:val="18"/>
              </w:rPr>
              <w:t>210.561.816</w:t>
            </w:r>
          </w:p>
        </w:tc>
      </w:tr>
      <w:tr w:rsidR="007E2F9F" w:rsidRPr="003538B6" w14:paraId="237DF57E" w14:textId="77777777" w:rsidTr="003065C2">
        <w:tc>
          <w:tcPr>
            <w:tcW w:w="8789" w:type="dxa"/>
          </w:tcPr>
          <w:p w14:paraId="3349AAD6" w14:textId="77777777" w:rsidR="007E2F9F" w:rsidRPr="003538B6" w:rsidRDefault="007E2F9F" w:rsidP="006548F8">
            <w:pPr>
              <w:tabs>
                <w:tab w:val="left" w:pos="875"/>
              </w:tabs>
              <w:rPr>
                <w:rFonts w:ascii="Arial" w:hAnsi="Arial" w:cs="Arial"/>
                <w:sz w:val="18"/>
                <w:szCs w:val="18"/>
              </w:rPr>
            </w:pPr>
            <w:r w:rsidRPr="003538B6">
              <w:rPr>
                <w:rFonts w:ascii="Arial" w:hAnsi="Arial" w:cs="Arial"/>
                <w:lang w:val="es-ES_tradnl"/>
              </w:rPr>
              <w:t>Cuentas por pagar constituidas a 31 de diciembre de 2024</w:t>
            </w:r>
          </w:p>
        </w:tc>
        <w:tc>
          <w:tcPr>
            <w:tcW w:w="1560" w:type="dxa"/>
          </w:tcPr>
          <w:p w14:paraId="2C2BB2FA" w14:textId="77777777" w:rsidR="007E2F9F" w:rsidRPr="003538B6" w:rsidRDefault="007E2F9F" w:rsidP="006548F8">
            <w:pPr>
              <w:tabs>
                <w:tab w:val="left" w:pos="875"/>
              </w:tabs>
              <w:jc w:val="right"/>
              <w:rPr>
                <w:rFonts w:ascii="Arial" w:hAnsi="Arial" w:cs="Arial"/>
                <w:sz w:val="18"/>
                <w:szCs w:val="18"/>
              </w:rPr>
            </w:pPr>
            <w:r w:rsidRPr="003538B6">
              <w:rPr>
                <w:rFonts w:ascii="Arial" w:hAnsi="Arial" w:cs="Arial"/>
                <w:sz w:val="18"/>
                <w:szCs w:val="18"/>
              </w:rPr>
              <w:t>674.371</w:t>
            </w:r>
          </w:p>
        </w:tc>
      </w:tr>
      <w:tr w:rsidR="007E2F9F" w:rsidRPr="003538B6" w14:paraId="15308AEA" w14:textId="77777777" w:rsidTr="003065C2">
        <w:tc>
          <w:tcPr>
            <w:tcW w:w="8789" w:type="dxa"/>
          </w:tcPr>
          <w:p w14:paraId="323F9FFE" w14:textId="77777777" w:rsidR="007E2F9F" w:rsidRPr="003538B6" w:rsidRDefault="007E2F9F" w:rsidP="006548F8">
            <w:pPr>
              <w:tabs>
                <w:tab w:val="left" w:pos="875"/>
              </w:tabs>
              <w:rPr>
                <w:rFonts w:ascii="Arial" w:hAnsi="Arial" w:cs="Arial"/>
                <w:sz w:val="18"/>
                <w:szCs w:val="18"/>
              </w:rPr>
            </w:pPr>
            <w:r w:rsidRPr="003538B6">
              <w:rPr>
                <w:rFonts w:ascii="Arial" w:hAnsi="Arial" w:cs="Arial"/>
                <w:b/>
                <w:lang w:val="es-ES_tradnl"/>
              </w:rPr>
              <w:t>TOTAL REZAGO PRESUPUESTAL CONSTITUIDO A 31 DE DICIEMBRE DE 2024</w:t>
            </w:r>
          </w:p>
        </w:tc>
        <w:tc>
          <w:tcPr>
            <w:tcW w:w="1560" w:type="dxa"/>
          </w:tcPr>
          <w:p w14:paraId="4DE9961C" w14:textId="77777777" w:rsidR="007E2F9F" w:rsidRPr="003538B6" w:rsidRDefault="007E2F9F" w:rsidP="006548F8">
            <w:pPr>
              <w:tabs>
                <w:tab w:val="left" w:pos="875"/>
              </w:tabs>
              <w:jc w:val="right"/>
              <w:rPr>
                <w:rFonts w:ascii="Arial" w:hAnsi="Arial" w:cs="Arial"/>
                <w:b/>
                <w:sz w:val="18"/>
                <w:szCs w:val="18"/>
                <w:u w:val="single"/>
              </w:rPr>
            </w:pPr>
            <w:r w:rsidRPr="003538B6">
              <w:rPr>
                <w:rFonts w:ascii="Arial" w:hAnsi="Arial" w:cs="Arial"/>
                <w:b/>
                <w:sz w:val="18"/>
                <w:szCs w:val="18"/>
                <w:u w:val="single"/>
              </w:rPr>
              <w:t>211.236.187</w:t>
            </w:r>
          </w:p>
        </w:tc>
      </w:tr>
    </w:tbl>
    <w:p w14:paraId="024DE537" w14:textId="77777777" w:rsidR="007E2F9F" w:rsidRDefault="007E2F9F" w:rsidP="007E2F9F">
      <w:pPr>
        <w:ind w:left="-142" w:right="-93"/>
        <w:jc w:val="both"/>
        <w:rPr>
          <w:rFonts w:ascii="Arial" w:hAnsi="Arial" w:cs="Arial"/>
          <w:lang w:val="es-MX"/>
        </w:rPr>
      </w:pPr>
    </w:p>
    <w:p w14:paraId="015F16EC" w14:textId="77777777" w:rsidR="007E2F9F" w:rsidRPr="00027E68" w:rsidRDefault="007E2F9F" w:rsidP="003065C2">
      <w:pPr>
        <w:ind w:left="-284" w:right="-93"/>
        <w:jc w:val="both"/>
        <w:rPr>
          <w:rFonts w:ascii="Arial" w:hAnsi="Arial" w:cs="Arial"/>
          <w:b/>
          <w:sz w:val="28"/>
          <w:szCs w:val="28"/>
          <w:lang w:val="es-MX"/>
        </w:rPr>
      </w:pPr>
      <w:r w:rsidRPr="00027E68">
        <w:rPr>
          <w:rFonts w:ascii="Arial" w:hAnsi="Arial" w:cs="Arial"/>
          <w:b/>
          <w:sz w:val="28"/>
          <w:szCs w:val="28"/>
          <w:lang w:val="es-MX"/>
        </w:rPr>
        <w:t xml:space="preserve">187.- </w:t>
      </w:r>
      <w:r w:rsidRPr="00027E68">
        <w:rPr>
          <w:rFonts w:ascii="Arial" w:hAnsi="Arial" w:cs="Arial"/>
          <w:b/>
          <w:sz w:val="28"/>
          <w:szCs w:val="28"/>
        </w:rPr>
        <w:t>MINISTERIO DE CIENCIA, TECNOLOGÍA E INNOVACIÓN - MINCIENCIAS.</w:t>
      </w:r>
    </w:p>
    <w:p w14:paraId="37FF0818"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681A56" w14:paraId="400F3405" w14:textId="77777777" w:rsidTr="003065C2">
        <w:tc>
          <w:tcPr>
            <w:tcW w:w="8364" w:type="dxa"/>
          </w:tcPr>
          <w:p w14:paraId="4DE65F92" w14:textId="77777777" w:rsidR="007E2F9F" w:rsidRPr="00681A56" w:rsidRDefault="007E2F9F" w:rsidP="006548F8">
            <w:pPr>
              <w:tabs>
                <w:tab w:val="left" w:pos="875"/>
              </w:tabs>
              <w:ind w:right="157"/>
              <w:rPr>
                <w:rFonts w:ascii="Arial" w:hAnsi="Arial" w:cs="Arial"/>
                <w:sz w:val="18"/>
                <w:szCs w:val="18"/>
              </w:rPr>
            </w:pPr>
            <w:r w:rsidRPr="00681A56">
              <w:rPr>
                <w:rFonts w:ascii="Arial" w:hAnsi="Arial" w:cs="Arial"/>
                <w:lang w:val="es-ES_tradnl"/>
              </w:rPr>
              <w:t>Reservas presupuestales constituidas a 31 de diciembre de 2024</w:t>
            </w:r>
          </w:p>
        </w:tc>
        <w:tc>
          <w:tcPr>
            <w:tcW w:w="1985" w:type="dxa"/>
          </w:tcPr>
          <w:p w14:paraId="19ED4F7D" w14:textId="77777777" w:rsidR="007E2F9F" w:rsidRPr="00681A56" w:rsidRDefault="007E2F9F" w:rsidP="006548F8">
            <w:pPr>
              <w:tabs>
                <w:tab w:val="left" w:pos="875"/>
              </w:tabs>
              <w:jc w:val="right"/>
              <w:rPr>
                <w:rFonts w:ascii="Arial" w:hAnsi="Arial" w:cs="Arial"/>
                <w:sz w:val="18"/>
                <w:szCs w:val="18"/>
              </w:rPr>
            </w:pPr>
            <w:r w:rsidRPr="00681A56">
              <w:rPr>
                <w:rFonts w:ascii="Arial" w:hAnsi="Arial" w:cs="Arial"/>
                <w:sz w:val="18"/>
                <w:szCs w:val="18"/>
              </w:rPr>
              <w:t>40.039.175</w:t>
            </w:r>
          </w:p>
        </w:tc>
      </w:tr>
      <w:tr w:rsidR="007E2F9F" w:rsidRPr="00681A56" w14:paraId="192F0E1B" w14:textId="77777777" w:rsidTr="003065C2">
        <w:tc>
          <w:tcPr>
            <w:tcW w:w="8364" w:type="dxa"/>
          </w:tcPr>
          <w:p w14:paraId="224B73D8" w14:textId="77777777" w:rsidR="007E2F9F" w:rsidRPr="00681A56" w:rsidRDefault="007E2F9F" w:rsidP="006548F8">
            <w:pPr>
              <w:tabs>
                <w:tab w:val="left" w:pos="875"/>
              </w:tabs>
              <w:ind w:right="157"/>
              <w:rPr>
                <w:rFonts w:ascii="Arial" w:hAnsi="Arial" w:cs="Arial"/>
                <w:sz w:val="18"/>
                <w:szCs w:val="18"/>
              </w:rPr>
            </w:pPr>
            <w:r w:rsidRPr="00681A56">
              <w:rPr>
                <w:rFonts w:ascii="Arial" w:hAnsi="Arial" w:cs="Arial"/>
                <w:lang w:val="es-ES_tradnl"/>
              </w:rPr>
              <w:t>Cuentas por pagar constituidas a 31 de diciembre de 2024</w:t>
            </w:r>
          </w:p>
        </w:tc>
        <w:tc>
          <w:tcPr>
            <w:tcW w:w="1985" w:type="dxa"/>
          </w:tcPr>
          <w:p w14:paraId="43A7D8A5" w14:textId="77777777" w:rsidR="007E2F9F" w:rsidRPr="00681A56" w:rsidRDefault="007E2F9F" w:rsidP="006548F8">
            <w:pPr>
              <w:tabs>
                <w:tab w:val="left" w:pos="875"/>
              </w:tabs>
              <w:jc w:val="right"/>
              <w:rPr>
                <w:rFonts w:ascii="Arial" w:hAnsi="Arial" w:cs="Arial"/>
                <w:sz w:val="18"/>
                <w:szCs w:val="18"/>
              </w:rPr>
            </w:pPr>
            <w:r w:rsidRPr="00681A56">
              <w:rPr>
                <w:rFonts w:ascii="Arial" w:hAnsi="Arial" w:cs="Arial"/>
                <w:sz w:val="18"/>
                <w:szCs w:val="18"/>
              </w:rPr>
              <w:t>2.550.335</w:t>
            </w:r>
          </w:p>
        </w:tc>
      </w:tr>
      <w:tr w:rsidR="007E2F9F" w:rsidRPr="00681A56" w14:paraId="11626CCC" w14:textId="77777777" w:rsidTr="003065C2">
        <w:tc>
          <w:tcPr>
            <w:tcW w:w="8364" w:type="dxa"/>
          </w:tcPr>
          <w:p w14:paraId="3D3CE552" w14:textId="77777777" w:rsidR="007E2F9F" w:rsidRPr="00681A56" w:rsidRDefault="007E2F9F" w:rsidP="006548F8">
            <w:pPr>
              <w:tabs>
                <w:tab w:val="left" w:pos="875"/>
              </w:tabs>
              <w:ind w:right="157"/>
              <w:rPr>
                <w:rFonts w:ascii="Arial" w:hAnsi="Arial" w:cs="Arial"/>
                <w:sz w:val="18"/>
                <w:szCs w:val="18"/>
              </w:rPr>
            </w:pPr>
            <w:r w:rsidRPr="00681A56">
              <w:rPr>
                <w:rFonts w:ascii="Arial" w:hAnsi="Arial" w:cs="Arial"/>
                <w:b/>
                <w:lang w:val="es-ES_tradnl"/>
              </w:rPr>
              <w:t>TOTAL REZAGO PRESUPUESTAL CONSTITUIDO A 31 DE DICIEMBRE DE 2024</w:t>
            </w:r>
          </w:p>
        </w:tc>
        <w:tc>
          <w:tcPr>
            <w:tcW w:w="1985" w:type="dxa"/>
          </w:tcPr>
          <w:p w14:paraId="64364784" w14:textId="77777777" w:rsidR="007E2F9F" w:rsidRPr="00681A56" w:rsidRDefault="007E2F9F" w:rsidP="006548F8">
            <w:pPr>
              <w:tabs>
                <w:tab w:val="left" w:pos="875"/>
              </w:tabs>
              <w:jc w:val="right"/>
              <w:rPr>
                <w:rFonts w:ascii="Arial" w:hAnsi="Arial" w:cs="Arial"/>
                <w:b/>
                <w:sz w:val="18"/>
                <w:szCs w:val="18"/>
                <w:u w:val="single"/>
              </w:rPr>
            </w:pPr>
            <w:r w:rsidRPr="00681A56">
              <w:rPr>
                <w:rFonts w:ascii="Arial" w:hAnsi="Arial" w:cs="Arial"/>
                <w:b/>
                <w:sz w:val="18"/>
                <w:szCs w:val="18"/>
                <w:u w:val="single"/>
              </w:rPr>
              <w:t>42.589.510</w:t>
            </w:r>
          </w:p>
        </w:tc>
      </w:tr>
    </w:tbl>
    <w:p w14:paraId="07F4796C" w14:textId="77777777" w:rsidR="007E2F9F" w:rsidRDefault="007E2F9F" w:rsidP="007E2F9F">
      <w:pPr>
        <w:ind w:left="-142" w:right="-93"/>
        <w:jc w:val="both"/>
        <w:rPr>
          <w:rFonts w:ascii="Arial" w:hAnsi="Arial" w:cs="Arial"/>
          <w:lang w:val="es-MX"/>
        </w:rPr>
      </w:pPr>
    </w:p>
    <w:p w14:paraId="48E2D743" w14:textId="77777777" w:rsidR="007E2F9F" w:rsidRPr="00A03531" w:rsidRDefault="007E2F9F" w:rsidP="003065C2">
      <w:pPr>
        <w:ind w:left="-284"/>
        <w:jc w:val="both"/>
        <w:rPr>
          <w:rFonts w:ascii="Arial" w:hAnsi="Arial" w:cs="Arial"/>
          <w:b/>
          <w:sz w:val="28"/>
          <w:szCs w:val="28"/>
          <w:lang w:val="es-MX"/>
        </w:rPr>
      </w:pPr>
      <w:r w:rsidRPr="00A03531">
        <w:rPr>
          <w:rFonts w:ascii="Arial" w:hAnsi="Arial" w:cs="Arial"/>
          <w:b/>
          <w:sz w:val="28"/>
          <w:szCs w:val="28"/>
          <w:lang w:val="es-MX"/>
        </w:rPr>
        <w:t>215.- MINISTERIO DE LAS CULTURAS, LAS ARTES Y LOS SABERES.</w:t>
      </w:r>
    </w:p>
    <w:p w14:paraId="4168F391"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594767" w14:paraId="204B9839" w14:textId="77777777" w:rsidTr="003065C2">
        <w:tc>
          <w:tcPr>
            <w:tcW w:w="8364" w:type="dxa"/>
          </w:tcPr>
          <w:p w14:paraId="7254CD6D" w14:textId="77777777" w:rsidR="007E2F9F" w:rsidRPr="00594767" w:rsidRDefault="007E2F9F" w:rsidP="006548F8">
            <w:pPr>
              <w:tabs>
                <w:tab w:val="left" w:pos="875"/>
              </w:tabs>
              <w:ind w:right="157"/>
              <w:rPr>
                <w:rFonts w:ascii="Arial" w:hAnsi="Arial" w:cs="Arial"/>
                <w:sz w:val="18"/>
                <w:szCs w:val="18"/>
              </w:rPr>
            </w:pPr>
            <w:r w:rsidRPr="00594767">
              <w:rPr>
                <w:rFonts w:ascii="Arial" w:hAnsi="Arial" w:cs="Arial"/>
                <w:lang w:val="es-ES_tradnl"/>
              </w:rPr>
              <w:t>Reservas presupuestales constituidas a 31 de diciembre de 2024</w:t>
            </w:r>
          </w:p>
        </w:tc>
        <w:tc>
          <w:tcPr>
            <w:tcW w:w="1985" w:type="dxa"/>
          </w:tcPr>
          <w:p w14:paraId="3A59C0F0" w14:textId="77777777" w:rsidR="007E2F9F" w:rsidRPr="00594767" w:rsidRDefault="007E2F9F" w:rsidP="006548F8">
            <w:pPr>
              <w:tabs>
                <w:tab w:val="left" w:pos="875"/>
              </w:tabs>
              <w:jc w:val="right"/>
              <w:rPr>
                <w:rFonts w:ascii="Arial" w:hAnsi="Arial" w:cs="Arial"/>
                <w:sz w:val="18"/>
                <w:szCs w:val="18"/>
              </w:rPr>
            </w:pPr>
            <w:r w:rsidRPr="00594767">
              <w:rPr>
                <w:rFonts w:ascii="Arial" w:hAnsi="Arial" w:cs="Arial"/>
                <w:sz w:val="18"/>
                <w:szCs w:val="18"/>
              </w:rPr>
              <w:t>437.810.879,73</w:t>
            </w:r>
          </w:p>
        </w:tc>
      </w:tr>
      <w:tr w:rsidR="007E2F9F" w:rsidRPr="00594767" w14:paraId="1A579C34" w14:textId="77777777" w:rsidTr="003065C2">
        <w:tc>
          <w:tcPr>
            <w:tcW w:w="8364" w:type="dxa"/>
          </w:tcPr>
          <w:p w14:paraId="0F1B7ECE" w14:textId="77777777" w:rsidR="007E2F9F" w:rsidRPr="00594767" w:rsidRDefault="007E2F9F" w:rsidP="006548F8">
            <w:pPr>
              <w:tabs>
                <w:tab w:val="left" w:pos="875"/>
              </w:tabs>
              <w:ind w:right="157"/>
              <w:rPr>
                <w:rFonts w:ascii="Arial" w:hAnsi="Arial" w:cs="Arial"/>
                <w:sz w:val="18"/>
                <w:szCs w:val="18"/>
              </w:rPr>
            </w:pPr>
            <w:r w:rsidRPr="00594767">
              <w:rPr>
                <w:rFonts w:ascii="Arial" w:hAnsi="Arial" w:cs="Arial"/>
                <w:lang w:val="es-ES_tradnl"/>
              </w:rPr>
              <w:t>Cuentas por pagar constituidas a 31 de diciembre de 2024</w:t>
            </w:r>
          </w:p>
        </w:tc>
        <w:tc>
          <w:tcPr>
            <w:tcW w:w="1985" w:type="dxa"/>
          </w:tcPr>
          <w:p w14:paraId="2CDC4BE0" w14:textId="77777777" w:rsidR="007E2F9F" w:rsidRPr="00594767" w:rsidRDefault="007E2F9F" w:rsidP="006548F8">
            <w:pPr>
              <w:tabs>
                <w:tab w:val="left" w:pos="875"/>
              </w:tabs>
              <w:jc w:val="right"/>
              <w:rPr>
                <w:rFonts w:ascii="Arial" w:hAnsi="Arial" w:cs="Arial"/>
                <w:sz w:val="18"/>
                <w:szCs w:val="18"/>
              </w:rPr>
            </w:pPr>
            <w:r w:rsidRPr="00594767">
              <w:rPr>
                <w:rFonts w:ascii="Arial" w:hAnsi="Arial" w:cs="Arial"/>
                <w:sz w:val="18"/>
                <w:szCs w:val="18"/>
              </w:rPr>
              <w:t>11.208.157,94</w:t>
            </w:r>
          </w:p>
        </w:tc>
      </w:tr>
      <w:tr w:rsidR="007E2F9F" w:rsidRPr="00594767" w14:paraId="4D74F0C2" w14:textId="77777777" w:rsidTr="003065C2">
        <w:tc>
          <w:tcPr>
            <w:tcW w:w="8364" w:type="dxa"/>
          </w:tcPr>
          <w:p w14:paraId="2E1049D6" w14:textId="77777777" w:rsidR="007E2F9F" w:rsidRPr="00594767" w:rsidRDefault="007E2F9F" w:rsidP="006548F8">
            <w:pPr>
              <w:tabs>
                <w:tab w:val="left" w:pos="875"/>
              </w:tabs>
              <w:ind w:right="157"/>
              <w:rPr>
                <w:rFonts w:ascii="Arial" w:hAnsi="Arial" w:cs="Arial"/>
                <w:sz w:val="18"/>
                <w:szCs w:val="18"/>
              </w:rPr>
            </w:pPr>
            <w:r w:rsidRPr="00594767">
              <w:rPr>
                <w:rFonts w:ascii="Arial" w:hAnsi="Arial" w:cs="Arial"/>
                <w:b/>
                <w:lang w:val="es-ES_tradnl"/>
              </w:rPr>
              <w:t>TOTAL REZAGO PRESUPUESTAL CONSTITUIDO A 31 DE DICIEMBRE DE 2024</w:t>
            </w:r>
          </w:p>
        </w:tc>
        <w:tc>
          <w:tcPr>
            <w:tcW w:w="1985" w:type="dxa"/>
          </w:tcPr>
          <w:p w14:paraId="41ED7381" w14:textId="77777777" w:rsidR="007E2F9F" w:rsidRPr="00594767" w:rsidRDefault="007E2F9F" w:rsidP="006548F8">
            <w:pPr>
              <w:tabs>
                <w:tab w:val="left" w:pos="875"/>
              </w:tabs>
              <w:jc w:val="right"/>
              <w:rPr>
                <w:rFonts w:ascii="Arial" w:hAnsi="Arial" w:cs="Arial"/>
                <w:b/>
                <w:sz w:val="18"/>
                <w:szCs w:val="18"/>
                <w:u w:val="single"/>
              </w:rPr>
            </w:pPr>
            <w:r w:rsidRPr="00594767">
              <w:rPr>
                <w:rFonts w:ascii="Arial" w:hAnsi="Arial" w:cs="Arial"/>
                <w:b/>
                <w:sz w:val="18"/>
                <w:szCs w:val="18"/>
                <w:u w:val="single"/>
              </w:rPr>
              <w:t>449.019.037,67</w:t>
            </w:r>
          </w:p>
        </w:tc>
      </w:tr>
    </w:tbl>
    <w:p w14:paraId="1A45149A" w14:textId="77777777" w:rsidR="007E2F9F" w:rsidRDefault="007E2F9F" w:rsidP="007E2F9F">
      <w:pPr>
        <w:ind w:left="-142"/>
        <w:jc w:val="both"/>
        <w:rPr>
          <w:rFonts w:ascii="Arial" w:hAnsi="Arial" w:cs="Arial"/>
          <w:b/>
          <w:sz w:val="28"/>
          <w:szCs w:val="28"/>
          <w:lang w:val="es-MX"/>
        </w:rPr>
      </w:pPr>
    </w:p>
    <w:p w14:paraId="67340E6B" w14:textId="77777777" w:rsidR="007E2F9F" w:rsidRPr="00D55E3E" w:rsidRDefault="007E2F9F" w:rsidP="003065C2">
      <w:pPr>
        <w:ind w:left="-284"/>
        <w:jc w:val="both"/>
        <w:rPr>
          <w:rFonts w:ascii="Arial" w:hAnsi="Arial" w:cs="Arial"/>
          <w:b/>
          <w:sz w:val="28"/>
          <w:szCs w:val="28"/>
          <w:lang w:val="es-MX"/>
        </w:rPr>
      </w:pPr>
      <w:r w:rsidRPr="00D55E3E">
        <w:rPr>
          <w:rFonts w:ascii="Arial" w:hAnsi="Arial" w:cs="Arial"/>
          <w:b/>
          <w:sz w:val="28"/>
          <w:szCs w:val="28"/>
          <w:lang w:val="es-MX"/>
        </w:rPr>
        <w:t xml:space="preserve">223.- </w:t>
      </w:r>
      <w:r w:rsidRPr="00D55E3E">
        <w:rPr>
          <w:rFonts w:ascii="Arial" w:hAnsi="Arial" w:cs="Arial"/>
          <w:b/>
          <w:sz w:val="28"/>
          <w:szCs w:val="28"/>
        </w:rPr>
        <w:t>INSTITUTO NACIONAL PENITENCIARIO Y CARCELARIO – INPEC</w:t>
      </w:r>
      <w:r w:rsidRPr="00D55E3E">
        <w:rPr>
          <w:rFonts w:ascii="Arial" w:hAnsi="Arial" w:cs="Arial"/>
          <w:b/>
          <w:sz w:val="28"/>
          <w:szCs w:val="28"/>
          <w:lang w:val="es-MX"/>
        </w:rPr>
        <w:t>.</w:t>
      </w:r>
    </w:p>
    <w:p w14:paraId="5319FABB"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B00692" w14:paraId="1F0BBCA2" w14:textId="77777777" w:rsidTr="003065C2">
        <w:tc>
          <w:tcPr>
            <w:tcW w:w="8364" w:type="dxa"/>
          </w:tcPr>
          <w:p w14:paraId="26B4CC4D" w14:textId="77777777" w:rsidR="007E2F9F" w:rsidRPr="00B00692" w:rsidRDefault="007E2F9F" w:rsidP="006548F8">
            <w:pPr>
              <w:tabs>
                <w:tab w:val="left" w:pos="875"/>
              </w:tabs>
              <w:ind w:right="157"/>
              <w:rPr>
                <w:rFonts w:ascii="Arial" w:hAnsi="Arial" w:cs="Arial"/>
                <w:sz w:val="18"/>
                <w:szCs w:val="18"/>
              </w:rPr>
            </w:pPr>
            <w:r w:rsidRPr="00B00692">
              <w:rPr>
                <w:rFonts w:ascii="Arial" w:hAnsi="Arial" w:cs="Arial"/>
                <w:lang w:val="es-ES_tradnl"/>
              </w:rPr>
              <w:t>Reservas presupuestales constituidas a 31 de diciembre de 2024</w:t>
            </w:r>
          </w:p>
        </w:tc>
        <w:tc>
          <w:tcPr>
            <w:tcW w:w="1985" w:type="dxa"/>
          </w:tcPr>
          <w:p w14:paraId="010E5CD3" w14:textId="77777777" w:rsidR="007E2F9F" w:rsidRPr="00B00692" w:rsidRDefault="007E2F9F" w:rsidP="006548F8">
            <w:pPr>
              <w:tabs>
                <w:tab w:val="left" w:pos="875"/>
              </w:tabs>
              <w:jc w:val="right"/>
              <w:rPr>
                <w:rFonts w:ascii="Arial" w:hAnsi="Arial" w:cs="Arial"/>
                <w:sz w:val="18"/>
                <w:szCs w:val="18"/>
              </w:rPr>
            </w:pPr>
            <w:r w:rsidRPr="00B00692">
              <w:rPr>
                <w:rFonts w:ascii="Arial" w:hAnsi="Arial" w:cs="Arial"/>
                <w:sz w:val="18"/>
                <w:szCs w:val="18"/>
              </w:rPr>
              <w:t>60.782.342</w:t>
            </w:r>
          </w:p>
        </w:tc>
      </w:tr>
      <w:tr w:rsidR="007E2F9F" w:rsidRPr="00B00692" w14:paraId="1EE7B257" w14:textId="77777777" w:rsidTr="003065C2">
        <w:tc>
          <w:tcPr>
            <w:tcW w:w="8364" w:type="dxa"/>
          </w:tcPr>
          <w:p w14:paraId="20504C40" w14:textId="77777777" w:rsidR="007E2F9F" w:rsidRPr="00B00692" w:rsidRDefault="007E2F9F" w:rsidP="006548F8">
            <w:pPr>
              <w:tabs>
                <w:tab w:val="left" w:pos="875"/>
              </w:tabs>
              <w:ind w:right="157"/>
              <w:rPr>
                <w:rFonts w:ascii="Arial" w:hAnsi="Arial" w:cs="Arial"/>
                <w:sz w:val="18"/>
                <w:szCs w:val="18"/>
              </w:rPr>
            </w:pPr>
            <w:r w:rsidRPr="00B00692">
              <w:rPr>
                <w:rFonts w:ascii="Arial" w:hAnsi="Arial" w:cs="Arial"/>
                <w:lang w:val="es-ES_tradnl"/>
              </w:rPr>
              <w:t>Cuentas por pagar constituidas a 31 de diciembre de 2024</w:t>
            </w:r>
          </w:p>
        </w:tc>
        <w:tc>
          <w:tcPr>
            <w:tcW w:w="1985" w:type="dxa"/>
          </w:tcPr>
          <w:p w14:paraId="4389F779" w14:textId="77777777" w:rsidR="007E2F9F" w:rsidRPr="00B00692" w:rsidRDefault="007E2F9F" w:rsidP="006548F8">
            <w:pPr>
              <w:tabs>
                <w:tab w:val="left" w:pos="875"/>
              </w:tabs>
              <w:jc w:val="right"/>
              <w:rPr>
                <w:rFonts w:ascii="Arial" w:hAnsi="Arial" w:cs="Arial"/>
                <w:sz w:val="18"/>
                <w:szCs w:val="18"/>
              </w:rPr>
            </w:pPr>
            <w:r w:rsidRPr="00B00692">
              <w:rPr>
                <w:rFonts w:ascii="Arial" w:hAnsi="Arial" w:cs="Arial"/>
                <w:sz w:val="18"/>
                <w:szCs w:val="18"/>
              </w:rPr>
              <w:t>276.245</w:t>
            </w:r>
          </w:p>
        </w:tc>
      </w:tr>
      <w:tr w:rsidR="007E2F9F" w:rsidRPr="00B00692" w14:paraId="76475492" w14:textId="77777777" w:rsidTr="003065C2">
        <w:tc>
          <w:tcPr>
            <w:tcW w:w="8364" w:type="dxa"/>
          </w:tcPr>
          <w:p w14:paraId="39B17970" w14:textId="77777777" w:rsidR="007E2F9F" w:rsidRPr="00B00692" w:rsidRDefault="007E2F9F" w:rsidP="006548F8">
            <w:pPr>
              <w:tabs>
                <w:tab w:val="left" w:pos="875"/>
              </w:tabs>
              <w:ind w:right="157"/>
              <w:rPr>
                <w:rFonts w:ascii="Arial" w:hAnsi="Arial" w:cs="Arial"/>
                <w:sz w:val="18"/>
                <w:szCs w:val="18"/>
              </w:rPr>
            </w:pPr>
            <w:r w:rsidRPr="00B00692">
              <w:rPr>
                <w:rFonts w:ascii="Arial" w:hAnsi="Arial" w:cs="Arial"/>
                <w:b/>
                <w:lang w:val="es-ES_tradnl"/>
              </w:rPr>
              <w:t>TOTAL REZAGO PRESUPUESTAL CONSTITUIDO A 31 DE DICIEMBRE DE 2024</w:t>
            </w:r>
          </w:p>
        </w:tc>
        <w:tc>
          <w:tcPr>
            <w:tcW w:w="1985" w:type="dxa"/>
          </w:tcPr>
          <w:p w14:paraId="688CA29D" w14:textId="77777777" w:rsidR="007E2F9F" w:rsidRPr="00B00692" w:rsidRDefault="007E2F9F" w:rsidP="006548F8">
            <w:pPr>
              <w:tabs>
                <w:tab w:val="left" w:pos="875"/>
              </w:tabs>
              <w:jc w:val="right"/>
              <w:rPr>
                <w:rFonts w:ascii="Arial" w:hAnsi="Arial" w:cs="Arial"/>
                <w:b/>
                <w:sz w:val="18"/>
                <w:szCs w:val="18"/>
                <w:u w:val="single"/>
              </w:rPr>
            </w:pPr>
            <w:r w:rsidRPr="00B00692">
              <w:rPr>
                <w:rFonts w:ascii="Arial" w:hAnsi="Arial" w:cs="Arial"/>
                <w:b/>
                <w:sz w:val="18"/>
                <w:szCs w:val="18"/>
                <w:u w:val="single"/>
              </w:rPr>
              <w:t>61.058.587</w:t>
            </w:r>
          </w:p>
        </w:tc>
      </w:tr>
    </w:tbl>
    <w:p w14:paraId="23B54D64" w14:textId="77777777" w:rsidR="00941342" w:rsidRDefault="00941342" w:rsidP="003065C2">
      <w:pPr>
        <w:ind w:left="-284"/>
        <w:jc w:val="both"/>
        <w:rPr>
          <w:rFonts w:ascii="Arial" w:hAnsi="Arial" w:cs="Arial"/>
          <w:b/>
          <w:sz w:val="28"/>
          <w:szCs w:val="28"/>
          <w:lang w:val="es-MX"/>
        </w:rPr>
      </w:pPr>
    </w:p>
    <w:p w14:paraId="298468B1" w14:textId="71214086" w:rsidR="007E2F9F" w:rsidRPr="00315227" w:rsidRDefault="007E2F9F" w:rsidP="003065C2">
      <w:pPr>
        <w:ind w:left="-284"/>
        <w:jc w:val="both"/>
        <w:rPr>
          <w:rFonts w:ascii="Arial" w:hAnsi="Arial" w:cs="Arial"/>
          <w:b/>
          <w:sz w:val="28"/>
          <w:szCs w:val="28"/>
          <w:lang w:val="es-MX"/>
        </w:rPr>
      </w:pPr>
      <w:r w:rsidRPr="00315227">
        <w:rPr>
          <w:rFonts w:ascii="Arial" w:hAnsi="Arial" w:cs="Arial"/>
          <w:b/>
          <w:sz w:val="28"/>
          <w:szCs w:val="28"/>
          <w:lang w:val="es-MX"/>
        </w:rPr>
        <w:t>224.- MINISTERIO DE MINAS Y ENERGÍA.</w:t>
      </w:r>
    </w:p>
    <w:p w14:paraId="57B10752"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D00D9D" w14:paraId="1519EB7F" w14:textId="77777777" w:rsidTr="003065C2">
        <w:tc>
          <w:tcPr>
            <w:tcW w:w="8364" w:type="dxa"/>
          </w:tcPr>
          <w:p w14:paraId="3D72B765" w14:textId="77777777" w:rsidR="007E2F9F" w:rsidRPr="00D00D9D" w:rsidRDefault="007E2F9F" w:rsidP="006548F8">
            <w:pPr>
              <w:tabs>
                <w:tab w:val="left" w:pos="875"/>
              </w:tabs>
              <w:ind w:right="157"/>
              <w:rPr>
                <w:rFonts w:ascii="Arial" w:hAnsi="Arial" w:cs="Arial"/>
                <w:sz w:val="18"/>
                <w:szCs w:val="18"/>
              </w:rPr>
            </w:pPr>
            <w:r w:rsidRPr="00D00D9D">
              <w:rPr>
                <w:rFonts w:ascii="Arial" w:hAnsi="Arial" w:cs="Arial"/>
                <w:lang w:val="es-ES_tradnl"/>
              </w:rPr>
              <w:t>Reservas presupuestales constituidas a 31 de diciembre de 2024</w:t>
            </w:r>
          </w:p>
        </w:tc>
        <w:tc>
          <w:tcPr>
            <w:tcW w:w="1985" w:type="dxa"/>
          </w:tcPr>
          <w:p w14:paraId="74F27907" w14:textId="77777777" w:rsidR="007E2F9F" w:rsidRPr="00D00D9D" w:rsidRDefault="007E2F9F" w:rsidP="006548F8">
            <w:pPr>
              <w:tabs>
                <w:tab w:val="left" w:pos="875"/>
              </w:tabs>
              <w:jc w:val="right"/>
              <w:rPr>
                <w:rFonts w:ascii="Arial" w:hAnsi="Arial" w:cs="Arial"/>
                <w:sz w:val="18"/>
                <w:szCs w:val="18"/>
              </w:rPr>
            </w:pPr>
            <w:r w:rsidRPr="00D00D9D">
              <w:rPr>
                <w:rFonts w:ascii="Arial" w:hAnsi="Arial" w:cs="Arial"/>
                <w:sz w:val="18"/>
                <w:szCs w:val="18"/>
              </w:rPr>
              <w:t>2.493.864.482</w:t>
            </w:r>
          </w:p>
        </w:tc>
      </w:tr>
      <w:tr w:rsidR="007E2F9F" w:rsidRPr="00D00D9D" w14:paraId="7E7D43E3" w14:textId="77777777" w:rsidTr="003065C2">
        <w:tc>
          <w:tcPr>
            <w:tcW w:w="8364" w:type="dxa"/>
          </w:tcPr>
          <w:p w14:paraId="1E6C149F" w14:textId="77777777" w:rsidR="007E2F9F" w:rsidRPr="00D00D9D" w:rsidRDefault="007E2F9F" w:rsidP="006548F8">
            <w:pPr>
              <w:tabs>
                <w:tab w:val="left" w:pos="875"/>
              </w:tabs>
              <w:ind w:right="157"/>
              <w:rPr>
                <w:rFonts w:ascii="Arial" w:hAnsi="Arial" w:cs="Arial"/>
                <w:sz w:val="18"/>
                <w:szCs w:val="18"/>
              </w:rPr>
            </w:pPr>
            <w:r w:rsidRPr="00D00D9D">
              <w:rPr>
                <w:rFonts w:ascii="Arial" w:hAnsi="Arial" w:cs="Arial"/>
                <w:lang w:val="es-ES_tradnl"/>
              </w:rPr>
              <w:t>Cuentas por pagar constituidas a 31 de diciembre de 2024</w:t>
            </w:r>
          </w:p>
        </w:tc>
        <w:tc>
          <w:tcPr>
            <w:tcW w:w="1985" w:type="dxa"/>
          </w:tcPr>
          <w:p w14:paraId="335FD50E" w14:textId="77777777" w:rsidR="007E2F9F" w:rsidRPr="00D00D9D" w:rsidRDefault="007E2F9F" w:rsidP="006548F8">
            <w:pPr>
              <w:tabs>
                <w:tab w:val="left" w:pos="875"/>
              </w:tabs>
              <w:jc w:val="right"/>
              <w:rPr>
                <w:rFonts w:ascii="Arial" w:hAnsi="Arial" w:cs="Arial"/>
                <w:sz w:val="18"/>
                <w:szCs w:val="18"/>
              </w:rPr>
            </w:pPr>
            <w:r w:rsidRPr="00D00D9D">
              <w:rPr>
                <w:rFonts w:ascii="Arial" w:hAnsi="Arial" w:cs="Arial"/>
                <w:sz w:val="18"/>
                <w:szCs w:val="18"/>
              </w:rPr>
              <w:t>2.008.939</w:t>
            </w:r>
          </w:p>
        </w:tc>
      </w:tr>
      <w:tr w:rsidR="007E2F9F" w:rsidRPr="00D00D9D" w14:paraId="3EBCFBD6" w14:textId="77777777" w:rsidTr="003065C2">
        <w:tc>
          <w:tcPr>
            <w:tcW w:w="8364" w:type="dxa"/>
          </w:tcPr>
          <w:p w14:paraId="26A25872" w14:textId="77777777" w:rsidR="007E2F9F" w:rsidRPr="00D00D9D" w:rsidRDefault="007E2F9F" w:rsidP="006548F8">
            <w:pPr>
              <w:tabs>
                <w:tab w:val="left" w:pos="875"/>
              </w:tabs>
              <w:ind w:right="157"/>
              <w:rPr>
                <w:rFonts w:ascii="Arial" w:hAnsi="Arial" w:cs="Arial"/>
                <w:sz w:val="18"/>
                <w:szCs w:val="18"/>
              </w:rPr>
            </w:pPr>
            <w:r w:rsidRPr="00D00D9D">
              <w:rPr>
                <w:rFonts w:ascii="Arial" w:hAnsi="Arial" w:cs="Arial"/>
                <w:b/>
                <w:lang w:val="es-ES_tradnl"/>
              </w:rPr>
              <w:t>TOTAL REZAGO PRESUPUESTAL CONSTITUIDO A 31 DE DICIEMBRE DE 2024</w:t>
            </w:r>
          </w:p>
        </w:tc>
        <w:tc>
          <w:tcPr>
            <w:tcW w:w="1985" w:type="dxa"/>
          </w:tcPr>
          <w:p w14:paraId="3D27E65B" w14:textId="77777777" w:rsidR="007E2F9F" w:rsidRPr="00D00D9D" w:rsidRDefault="007E2F9F" w:rsidP="006548F8">
            <w:pPr>
              <w:tabs>
                <w:tab w:val="left" w:pos="875"/>
              </w:tabs>
              <w:jc w:val="right"/>
              <w:rPr>
                <w:rFonts w:ascii="Arial" w:hAnsi="Arial" w:cs="Arial"/>
                <w:b/>
                <w:sz w:val="18"/>
                <w:szCs w:val="18"/>
                <w:u w:val="single"/>
              </w:rPr>
            </w:pPr>
            <w:r w:rsidRPr="00D00D9D">
              <w:rPr>
                <w:rFonts w:ascii="Arial" w:hAnsi="Arial" w:cs="Arial"/>
                <w:b/>
                <w:sz w:val="18"/>
                <w:szCs w:val="18"/>
                <w:u w:val="single"/>
              </w:rPr>
              <w:t>2.495.873.421</w:t>
            </w:r>
          </w:p>
        </w:tc>
      </w:tr>
    </w:tbl>
    <w:p w14:paraId="73162538" w14:textId="77777777" w:rsidR="007E2F9F" w:rsidRDefault="007E2F9F" w:rsidP="007E2F9F">
      <w:pPr>
        <w:ind w:left="-142" w:right="-93"/>
        <w:jc w:val="both"/>
        <w:rPr>
          <w:rFonts w:ascii="Arial" w:hAnsi="Arial" w:cs="Arial"/>
          <w:lang w:val="es-MX"/>
        </w:rPr>
      </w:pPr>
    </w:p>
    <w:p w14:paraId="339EC570" w14:textId="77777777" w:rsidR="007E2F9F" w:rsidRPr="008F1D26" w:rsidRDefault="007E2F9F" w:rsidP="003065C2">
      <w:pPr>
        <w:ind w:left="-284" w:right="-93"/>
        <w:jc w:val="both"/>
        <w:rPr>
          <w:rFonts w:ascii="Arial" w:hAnsi="Arial" w:cs="Arial"/>
          <w:b/>
          <w:sz w:val="28"/>
          <w:szCs w:val="28"/>
          <w:lang w:val="es-MX"/>
        </w:rPr>
      </w:pPr>
      <w:r w:rsidRPr="008F1D26">
        <w:rPr>
          <w:rFonts w:ascii="Arial" w:hAnsi="Arial" w:cs="Arial"/>
          <w:b/>
          <w:sz w:val="28"/>
          <w:szCs w:val="28"/>
          <w:lang w:val="es-MX"/>
        </w:rPr>
        <w:lastRenderedPageBreak/>
        <w:t>227.- DEPARTAMENTO ADMINISTRATIVO DE LA PRESIDENCIA DE LA REPÚBLICA – DAPRE.</w:t>
      </w:r>
    </w:p>
    <w:p w14:paraId="6D092955"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1A5879" w14:paraId="335CD967" w14:textId="77777777" w:rsidTr="003065C2">
        <w:tc>
          <w:tcPr>
            <w:tcW w:w="8364" w:type="dxa"/>
          </w:tcPr>
          <w:p w14:paraId="1383A54E" w14:textId="77777777" w:rsidR="007E2F9F" w:rsidRPr="001A5879" w:rsidRDefault="007E2F9F" w:rsidP="006548F8">
            <w:pPr>
              <w:tabs>
                <w:tab w:val="left" w:pos="875"/>
              </w:tabs>
              <w:ind w:right="157"/>
              <w:rPr>
                <w:rFonts w:ascii="Arial" w:hAnsi="Arial" w:cs="Arial"/>
                <w:sz w:val="18"/>
                <w:szCs w:val="18"/>
              </w:rPr>
            </w:pPr>
            <w:r w:rsidRPr="001A5879">
              <w:rPr>
                <w:rFonts w:ascii="Arial" w:hAnsi="Arial" w:cs="Arial"/>
                <w:lang w:val="es-ES_tradnl"/>
              </w:rPr>
              <w:t>Reservas presupuestales constituidas a 31 de diciembre de 2024</w:t>
            </w:r>
          </w:p>
        </w:tc>
        <w:tc>
          <w:tcPr>
            <w:tcW w:w="1985" w:type="dxa"/>
          </w:tcPr>
          <w:p w14:paraId="3C696BE4" w14:textId="77777777" w:rsidR="007E2F9F" w:rsidRPr="001A5879" w:rsidRDefault="007E2F9F" w:rsidP="006548F8">
            <w:pPr>
              <w:tabs>
                <w:tab w:val="left" w:pos="875"/>
              </w:tabs>
              <w:jc w:val="right"/>
              <w:rPr>
                <w:rFonts w:ascii="Arial" w:hAnsi="Arial" w:cs="Arial"/>
                <w:sz w:val="18"/>
                <w:szCs w:val="18"/>
              </w:rPr>
            </w:pPr>
            <w:r w:rsidRPr="001A5879">
              <w:rPr>
                <w:rFonts w:ascii="Arial" w:hAnsi="Arial" w:cs="Arial"/>
                <w:sz w:val="18"/>
                <w:szCs w:val="18"/>
              </w:rPr>
              <w:t>1.100.293.220</w:t>
            </w:r>
          </w:p>
        </w:tc>
      </w:tr>
      <w:tr w:rsidR="007E2F9F" w:rsidRPr="001A5879" w14:paraId="4EF55A29" w14:textId="77777777" w:rsidTr="003065C2">
        <w:tc>
          <w:tcPr>
            <w:tcW w:w="8364" w:type="dxa"/>
          </w:tcPr>
          <w:p w14:paraId="0C0D1A84" w14:textId="77777777" w:rsidR="007E2F9F" w:rsidRPr="001A5879" w:rsidRDefault="007E2F9F" w:rsidP="006548F8">
            <w:pPr>
              <w:tabs>
                <w:tab w:val="left" w:pos="875"/>
              </w:tabs>
              <w:ind w:right="157"/>
              <w:rPr>
                <w:rFonts w:ascii="Arial" w:hAnsi="Arial" w:cs="Arial"/>
                <w:sz w:val="18"/>
                <w:szCs w:val="18"/>
              </w:rPr>
            </w:pPr>
            <w:r w:rsidRPr="001A5879">
              <w:rPr>
                <w:rFonts w:ascii="Arial" w:hAnsi="Arial" w:cs="Arial"/>
                <w:lang w:val="es-ES_tradnl"/>
              </w:rPr>
              <w:t>Cuentas por pagar constituidas a 31 de diciembre de 2024</w:t>
            </w:r>
          </w:p>
        </w:tc>
        <w:tc>
          <w:tcPr>
            <w:tcW w:w="1985" w:type="dxa"/>
          </w:tcPr>
          <w:p w14:paraId="6DBEE21D" w14:textId="77777777" w:rsidR="007E2F9F" w:rsidRPr="001A5879" w:rsidRDefault="007E2F9F" w:rsidP="006548F8">
            <w:pPr>
              <w:tabs>
                <w:tab w:val="left" w:pos="875"/>
              </w:tabs>
              <w:jc w:val="right"/>
              <w:rPr>
                <w:rFonts w:ascii="Arial" w:hAnsi="Arial" w:cs="Arial"/>
                <w:sz w:val="18"/>
                <w:szCs w:val="18"/>
              </w:rPr>
            </w:pPr>
            <w:r w:rsidRPr="001A5879">
              <w:rPr>
                <w:rFonts w:ascii="Arial" w:hAnsi="Arial" w:cs="Arial"/>
                <w:sz w:val="18"/>
                <w:szCs w:val="18"/>
              </w:rPr>
              <w:t>841.148</w:t>
            </w:r>
          </w:p>
        </w:tc>
      </w:tr>
      <w:tr w:rsidR="007E2F9F" w:rsidRPr="001A5879" w14:paraId="44E2C8AD" w14:textId="77777777" w:rsidTr="003065C2">
        <w:tc>
          <w:tcPr>
            <w:tcW w:w="8364" w:type="dxa"/>
          </w:tcPr>
          <w:p w14:paraId="3590B8D4" w14:textId="77777777" w:rsidR="007E2F9F" w:rsidRPr="001A5879" w:rsidRDefault="007E2F9F" w:rsidP="006548F8">
            <w:pPr>
              <w:tabs>
                <w:tab w:val="left" w:pos="875"/>
              </w:tabs>
              <w:ind w:right="157"/>
              <w:rPr>
                <w:rFonts w:ascii="Arial" w:hAnsi="Arial" w:cs="Arial"/>
                <w:sz w:val="18"/>
                <w:szCs w:val="18"/>
              </w:rPr>
            </w:pPr>
            <w:r w:rsidRPr="001A5879">
              <w:rPr>
                <w:rFonts w:ascii="Arial" w:hAnsi="Arial" w:cs="Arial"/>
                <w:b/>
                <w:lang w:val="es-ES_tradnl"/>
              </w:rPr>
              <w:t>TOTAL REZAGO PRESUPUESTAL CONSTITUIDO A 31 DE DICIEMBRE DE 2024</w:t>
            </w:r>
          </w:p>
        </w:tc>
        <w:tc>
          <w:tcPr>
            <w:tcW w:w="1985" w:type="dxa"/>
          </w:tcPr>
          <w:p w14:paraId="0C0F6001" w14:textId="77777777" w:rsidR="007E2F9F" w:rsidRPr="001A5879" w:rsidRDefault="007E2F9F" w:rsidP="006548F8">
            <w:pPr>
              <w:tabs>
                <w:tab w:val="left" w:pos="875"/>
              </w:tabs>
              <w:jc w:val="right"/>
              <w:rPr>
                <w:rFonts w:ascii="Arial" w:hAnsi="Arial" w:cs="Arial"/>
                <w:b/>
                <w:sz w:val="18"/>
                <w:szCs w:val="18"/>
                <w:u w:val="single"/>
              </w:rPr>
            </w:pPr>
            <w:r w:rsidRPr="001A5879">
              <w:rPr>
                <w:rFonts w:ascii="Arial" w:hAnsi="Arial" w:cs="Arial"/>
                <w:b/>
                <w:sz w:val="18"/>
                <w:szCs w:val="18"/>
                <w:u w:val="single"/>
              </w:rPr>
              <w:t>1.101.134.368</w:t>
            </w:r>
          </w:p>
        </w:tc>
      </w:tr>
    </w:tbl>
    <w:p w14:paraId="4B39652C" w14:textId="77777777" w:rsidR="007E2F9F" w:rsidRDefault="007E2F9F" w:rsidP="007E2F9F">
      <w:pPr>
        <w:ind w:left="-142" w:right="-93"/>
        <w:jc w:val="both"/>
        <w:rPr>
          <w:rFonts w:ascii="Arial" w:hAnsi="Arial" w:cs="Arial"/>
          <w:lang w:val="es-MX"/>
        </w:rPr>
      </w:pPr>
    </w:p>
    <w:p w14:paraId="73EB1808" w14:textId="77777777" w:rsidR="007E2F9F" w:rsidRPr="00344677" w:rsidRDefault="007E2F9F" w:rsidP="003065C2">
      <w:pPr>
        <w:ind w:left="-284"/>
        <w:jc w:val="both"/>
        <w:rPr>
          <w:rFonts w:ascii="Arial" w:hAnsi="Arial" w:cs="Arial"/>
          <w:b/>
          <w:sz w:val="28"/>
          <w:szCs w:val="28"/>
          <w:lang w:val="es-MX"/>
        </w:rPr>
      </w:pPr>
      <w:r w:rsidRPr="00344677">
        <w:rPr>
          <w:rFonts w:ascii="Arial" w:hAnsi="Arial" w:cs="Arial"/>
          <w:b/>
          <w:sz w:val="28"/>
          <w:szCs w:val="28"/>
          <w:lang w:val="es-MX"/>
        </w:rPr>
        <w:t xml:space="preserve">229.- </w:t>
      </w:r>
      <w:r w:rsidRPr="00344677">
        <w:rPr>
          <w:rFonts w:ascii="Arial" w:hAnsi="Arial" w:cs="Arial"/>
          <w:b/>
          <w:sz w:val="28"/>
          <w:szCs w:val="28"/>
        </w:rPr>
        <w:t>CAJA DE RETIRO DE LAS FUERZAS MILITARES - CREMIL</w:t>
      </w:r>
      <w:r w:rsidRPr="00344677">
        <w:rPr>
          <w:rFonts w:ascii="Arial" w:hAnsi="Arial" w:cs="Arial"/>
          <w:b/>
          <w:sz w:val="28"/>
          <w:szCs w:val="28"/>
          <w:lang w:val="es-MX"/>
        </w:rPr>
        <w:t>.</w:t>
      </w:r>
    </w:p>
    <w:p w14:paraId="1D05DCF3" w14:textId="77777777" w:rsidR="007E2F9F" w:rsidRDefault="007E2F9F" w:rsidP="007E2F9F">
      <w:pPr>
        <w:ind w:left="-284" w:right="-234"/>
        <w:jc w:val="both"/>
        <w:rPr>
          <w:rFonts w:ascii="Arial" w:hAnsi="Arial" w:cs="Arial"/>
          <w:b/>
          <w:bCs/>
          <w:sz w:val="28"/>
          <w:szCs w:val="28"/>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C513FB" w14:paraId="0C42509C" w14:textId="77777777" w:rsidTr="003065C2">
        <w:tc>
          <w:tcPr>
            <w:tcW w:w="8648" w:type="dxa"/>
          </w:tcPr>
          <w:p w14:paraId="04FA1B71" w14:textId="77777777" w:rsidR="007E2F9F" w:rsidRPr="00C513FB" w:rsidRDefault="007E2F9F" w:rsidP="006548F8">
            <w:pPr>
              <w:tabs>
                <w:tab w:val="left" w:pos="875"/>
              </w:tabs>
              <w:ind w:right="157"/>
              <w:rPr>
                <w:rFonts w:ascii="Arial" w:hAnsi="Arial" w:cs="Arial"/>
                <w:sz w:val="18"/>
                <w:szCs w:val="18"/>
              </w:rPr>
            </w:pPr>
            <w:r w:rsidRPr="00C513FB">
              <w:rPr>
                <w:rFonts w:ascii="Arial" w:hAnsi="Arial" w:cs="Arial"/>
                <w:lang w:val="es-ES_tradnl"/>
              </w:rPr>
              <w:t>Reservas presupuestales constituidas a 31 de diciembre de 2024</w:t>
            </w:r>
          </w:p>
        </w:tc>
        <w:tc>
          <w:tcPr>
            <w:tcW w:w="1701" w:type="dxa"/>
          </w:tcPr>
          <w:p w14:paraId="09FB6445" w14:textId="77777777" w:rsidR="007E2F9F" w:rsidRPr="00C513FB" w:rsidRDefault="007E2F9F" w:rsidP="006548F8">
            <w:pPr>
              <w:tabs>
                <w:tab w:val="left" w:pos="875"/>
              </w:tabs>
              <w:jc w:val="right"/>
              <w:rPr>
                <w:rFonts w:ascii="Arial" w:hAnsi="Arial" w:cs="Arial"/>
                <w:sz w:val="18"/>
                <w:szCs w:val="18"/>
              </w:rPr>
            </w:pPr>
            <w:r w:rsidRPr="00C513FB">
              <w:rPr>
                <w:rFonts w:ascii="Arial" w:hAnsi="Arial" w:cs="Arial"/>
                <w:sz w:val="18"/>
                <w:szCs w:val="18"/>
              </w:rPr>
              <w:t>18.107.402</w:t>
            </w:r>
          </w:p>
        </w:tc>
      </w:tr>
      <w:tr w:rsidR="007E2F9F" w:rsidRPr="00C513FB" w14:paraId="78746699" w14:textId="77777777" w:rsidTr="003065C2">
        <w:tc>
          <w:tcPr>
            <w:tcW w:w="8648" w:type="dxa"/>
          </w:tcPr>
          <w:p w14:paraId="671B2438" w14:textId="77777777" w:rsidR="007E2F9F" w:rsidRPr="00C513FB" w:rsidRDefault="007E2F9F" w:rsidP="006548F8">
            <w:pPr>
              <w:tabs>
                <w:tab w:val="left" w:pos="875"/>
              </w:tabs>
              <w:ind w:right="157"/>
              <w:rPr>
                <w:rFonts w:ascii="Arial" w:hAnsi="Arial" w:cs="Arial"/>
                <w:sz w:val="18"/>
                <w:szCs w:val="18"/>
              </w:rPr>
            </w:pPr>
            <w:r w:rsidRPr="00C513FB">
              <w:rPr>
                <w:rFonts w:ascii="Arial" w:hAnsi="Arial" w:cs="Arial"/>
                <w:lang w:val="es-ES_tradnl"/>
              </w:rPr>
              <w:t>Cuentas por pagar constituidas a 31 de diciembre de 2024</w:t>
            </w:r>
          </w:p>
        </w:tc>
        <w:tc>
          <w:tcPr>
            <w:tcW w:w="1701" w:type="dxa"/>
          </w:tcPr>
          <w:p w14:paraId="1749775A" w14:textId="77777777" w:rsidR="007E2F9F" w:rsidRPr="00C513FB" w:rsidRDefault="007E2F9F" w:rsidP="006548F8">
            <w:pPr>
              <w:tabs>
                <w:tab w:val="left" w:pos="875"/>
              </w:tabs>
              <w:jc w:val="right"/>
              <w:rPr>
                <w:rFonts w:ascii="Arial" w:hAnsi="Arial" w:cs="Arial"/>
                <w:sz w:val="18"/>
                <w:szCs w:val="18"/>
              </w:rPr>
            </w:pPr>
            <w:r w:rsidRPr="00C513FB">
              <w:rPr>
                <w:rFonts w:ascii="Arial" w:hAnsi="Arial" w:cs="Arial"/>
                <w:sz w:val="18"/>
                <w:szCs w:val="18"/>
              </w:rPr>
              <w:t>2.698.668</w:t>
            </w:r>
          </w:p>
        </w:tc>
      </w:tr>
      <w:tr w:rsidR="007E2F9F" w:rsidRPr="00C513FB" w14:paraId="404576F6" w14:textId="77777777" w:rsidTr="003065C2">
        <w:tc>
          <w:tcPr>
            <w:tcW w:w="8648" w:type="dxa"/>
          </w:tcPr>
          <w:p w14:paraId="2490F08C" w14:textId="77777777" w:rsidR="007E2F9F" w:rsidRPr="00C513FB" w:rsidRDefault="007E2F9F" w:rsidP="006548F8">
            <w:pPr>
              <w:tabs>
                <w:tab w:val="left" w:pos="875"/>
              </w:tabs>
              <w:ind w:right="157"/>
              <w:rPr>
                <w:rFonts w:ascii="Arial" w:hAnsi="Arial" w:cs="Arial"/>
                <w:sz w:val="18"/>
                <w:szCs w:val="18"/>
              </w:rPr>
            </w:pPr>
            <w:r w:rsidRPr="00C513FB">
              <w:rPr>
                <w:rFonts w:ascii="Arial" w:hAnsi="Arial" w:cs="Arial"/>
                <w:b/>
                <w:lang w:val="es-ES_tradnl"/>
              </w:rPr>
              <w:t>TOTAL REZAGO PRESUPUESTAL CONSTITUIDO A 31 DE DICIEMBRE DE 2024</w:t>
            </w:r>
          </w:p>
        </w:tc>
        <w:tc>
          <w:tcPr>
            <w:tcW w:w="1701" w:type="dxa"/>
          </w:tcPr>
          <w:p w14:paraId="6768F32A" w14:textId="77777777" w:rsidR="007E2F9F" w:rsidRPr="00C513FB" w:rsidRDefault="007E2F9F" w:rsidP="006548F8">
            <w:pPr>
              <w:tabs>
                <w:tab w:val="left" w:pos="875"/>
              </w:tabs>
              <w:jc w:val="right"/>
              <w:rPr>
                <w:rFonts w:ascii="Arial" w:hAnsi="Arial" w:cs="Arial"/>
                <w:b/>
                <w:sz w:val="18"/>
                <w:szCs w:val="18"/>
                <w:u w:val="single"/>
              </w:rPr>
            </w:pPr>
            <w:r w:rsidRPr="00C513FB">
              <w:rPr>
                <w:rFonts w:ascii="Arial" w:hAnsi="Arial" w:cs="Arial"/>
                <w:b/>
                <w:sz w:val="18"/>
                <w:szCs w:val="18"/>
                <w:u w:val="single"/>
              </w:rPr>
              <w:t>20.806.070</w:t>
            </w:r>
          </w:p>
        </w:tc>
      </w:tr>
    </w:tbl>
    <w:p w14:paraId="43F19A00" w14:textId="77777777" w:rsidR="007E2F9F" w:rsidRDefault="007E2F9F" w:rsidP="007E2F9F">
      <w:pPr>
        <w:ind w:left="-142" w:right="-93"/>
        <w:jc w:val="both"/>
        <w:rPr>
          <w:rFonts w:ascii="Arial" w:hAnsi="Arial" w:cs="Arial"/>
          <w:lang w:val="es-MX"/>
        </w:rPr>
      </w:pPr>
    </w:p>
    <w:p w14:paraId="26ADDBA7" w14:textId="77777777" w:rsidR="007E2F9F" w:rsidRPr="00BB3125" w:rsidRDefault="007E2F9F" w:rsidP="003065C2">
      <w:pPr>
        <w:ind w:left="-284" w:right="-93"/>
        <w:jc w:val="both"/>
        <w:rPr>
          <w:rFonts w:ascii="Arial" w:hAnsi="Arial" w:cs="Arial"/>
          <w:b/>
          <w:sz w:val="28"/>
          <w:szCs w:val="28"/>
          <w:lang w:val="es-MX"/>
        </w:rPr>
      </w:pPr>
      <w:r w:rsidRPr="00BB3125">
        <w:rPr>
          <w:rFonts w:ascii="Arial" w:hAnsi="Arial" w:cs="Arial"/>
          <w:b/>
          <w:sz w:val="28"/>
          <w:szCs w:val="28"/>
          <w:lang w:val="es-MX"/>
        </w:rPr>
        <w:t xml:space="preserve">241.- </w:t>
      </w:r>
      <w:r w:rsidRPr="00BB3125">
        <w:rPr>
          <w:rFonts w:ascii="Arial" w:hAnsi="Arial" w:cs="Arial"/>
          <w:b/>
          <w:sz w:val="28"/>
          <w:szCs w:val="28"/>
        </w:rPr>
        <w:t>CORPORACIÓN AUTÓNOMA REGIONAL PARA EL DESARROLLO SOSTENIBLE DEL CHOCÓ - CODECHOCÓ</w:t>
      </w:r>
      <w:r w:rsidRPr="00BB3125">
        <w:rPr>
          <w:rFonts w:ascii="Arial" w:hAnsi="Arial" w:cs="Arial"/>
          <w:b/>
          <w:sz w:val="28"/>
          <w:szCs w:val="28"/>
          <w:lang w:val="es-MX"/>
        </w:rPr>
        <w:t>.</w:t>
      </w:r>
    </w:p>
    <w:p w14:paraId="76D04D7D"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B94769" w14:paraId="262CBD16" w14:textId="77777777" w:rsidTr="003065C2">
        <w:tc>
          <w:tcPr>
            <w:tcW w:w="8648" w:type="dxa"/>
          </w:tcPr>
          <w:p w14:paraId="30399A9D" w14:textId="77777777" w:rsidR="007E2F9F" w:rsidRPr="00B94769" w:rsidRDefault="007E2F9F" w:rsidP="006548F8">
            <w:pPr>
              <w:tabs>
                <w:tab w:val="left" w:pos="875"/>
              </w:tabs>
              <w:ind w:right="157"/>
              <w:rPr>
                <w:rFonts w:ascii="Arial" w:hAnsi="Arial" w:cs="Arial"/>
                <w:sz w:val="18"/>
                <w:szCs w:val="18"/>
              </w:rPr>
            </w:pPr>
            <w:r w:rsidRPr="00B94769">
              <w:rPr>
                <w:rFonts w:ascii="Arial" w:hAnsi="Arial" w:cs="Arial"/>
                <w:lang w:val="es-ES_tradnl"/>
              </w:rPr>
              <w:t>Reservas presupuestales constituidas a 31 de diciembre de 2024</w:t>
            </w:r>
          </w:p>
        </w:tc>
        <w:tc>
          <w:tcPr>
            <w:tcW w:w="1701" w:type="dxa"/>
          </w:tcPr>
          <w:p w14:paraId="2CED4996" w14:textId="77777777" w:rsidR="007E2F9F" w:rsidRPr="00B94769" w:rsidRDefault="007E2F9F" w:rsidP="006548F8">
            <w:pPr>
              <w:tabs>
                <w:tab w:val="left" w:pos="875"/>
              </w:tabs>
              <w:jc w:val="right"/>
              <w:rPr>
                <w:rFonts w:ascii="Arial" w:hAnsi="Arial" w:cs="Arial"/>
                <w:sz w:val="18"/>
                <w:szCs w:val="18"/>
              </w:rPr>
            </w:pPr>
            <w:r w:rsidRPr="00B94769">
              <w:rPr>
                <w:rFonts w:ascii="Arial" w:hAnsi="Arial" w:cs="Arial"/>
                <w:sz w:val="18"/>
                <w:szCs w:val="18"/>
              </w:rPr>
              <w:t>2.142.599</w:t>
            </w:r>
          </w:p>
        </w:tc>
      </w:tr>
      <w:tr w:rsidR="007E2F9F" w:rsidRPr="00B94769" w14:paraId="6084C5D1" w14:textId="77777777" w:rsidTr="003065C2">
        <w:tc>
          <w:tcPr>
            <w:tcW w:w="8648" w:type="dxa"/>
          </w:tcPr>
          <w:p w14:paraId="1D5EB44F" w14:textId="77777777" w:rsidR="007E2F9F" w:rsidRPr="00B94769" w:rsidRDefault="007E2F9F" w:rsidP="006548F8">
            <w:pPr>
              <w:tabs>
                <w:tab w:val="left" w:pos="875"/>
              </w:tabs>
              <w:ind w:right="157"/>
              <w:rPr>
                <w:rFonts w:ascii="Arial" w:hAnsi="Arial" w:cs="Arial"/>
                <w:sz w:val="18"/>
                <w:szCs w:val="18"/>
              </w:rPr>
            </w:pPr>
            <w:r w:rsidRPr="00B94769">
              <w:rPr>
                <w:rFonts w:ascii="Arial" w:hAnsi="Arial" w:cs="Arial"/>
                <w:lang w:val="es-ES_tradnl"/>
              </w:rPr>
              <w:t>Cuentas por pagar constituidas a 31 de diciembre de 2024</w:t>
            </w:r>
          </w:p>
        </w:tc>
        <w:tc>
          <w:tcPr>
            <w:tcW w:w="1701" w:type="dxa"/>
          </w:tcPr>
          <w:p w14:paraId="553800D5" w14:textId="77777777" w:rsidR="007E2F9F" w:rsidRPr="00B94769" w:rsidRDefault="007E2F9F" w:rsidP="006548F8">
            <w:pPr>
              <w:tabs>
                <w:tab w:val="left" w:pos="875"/>
              </w:tabs>
              <w:jc w:val="right"/>
              <w:rPr>
                <w:rFonts w:ascii="Arial" w:hAnsi="Arial" w:cs="Arial"/>
                <w:sz w:val="18"/>
                <w:szCs w:val="18"/>
              </w:rPr>
            </w:pPr>
            <w:r w:rsidRPr="00B94769">
              <w:rPr>
                <w:rFonts w:ascii="Arial" w:hAnsi="Arial" w:cs="Arial"/>
                <w:sz w:val="18"/>
                <w:szCs w:val="18"/>
              </w:rPr>
              <w:t>0</w:t>
            </w:r>
          </w:p>
        </w:tc>
      </w:tr>
      <w:tr w:rsidR="007E2F9F" w:rsidRPr="00B94769" w14:paraId="3A635751" w14:textId="77777777" w:rsidTr="003065C2">
        <w:tc>
          <w:tcPr>
            <w:tcW w:w="8648" w:type="dxa"/>
          </w:tcPr>
          <w:p w14:paraId="60A5C5FB" w14:textId="77777777" w:rsidR="007E2F9F" w:rsidRPr="00B94769" w:rsidRDefault="007E2F9F" w:rsidP="006548F8">
            <w:pPr>
              <w:tabs>
                <w:tab w:val="left" w:pos="875"/>
              </w:tabs>
              <w:ind w:right="157"/>
              <w:rPr>
                <w:rFonts w:ascii="Arial" w:hAnsi="Arial" w:cs="Arial"/>
                <w:sz w:val="18"/>
                <w:szCs w:val="18"/>
              </w:rPr>
            </w:pPr>
            <w:r w:rsidRPr="00B94769">
              <w:rPr>
                <w:rFonts w:ascii="Arial" w:hAnsi="Arial" w:cs="Arial"/>
                <w:b/>
                <w:lang w:val="es-ES_tradnl"/>
              </w:rPr>
              <w:t>TOTAL REZAGO PRESUPUESTAL CONSTITUIDO A 31 DE DICIEMBRE DE 2024</w:t>
            </w:r>
          </w:p>
        </w:tc>
        <w:tc>
          <w:tcPr>
            <w:tcW w:w="1701" w:type="dxa"/>
          </w:tcPr>
          <w:p w14:paraId="52A90CF8" w14:textId="77777777" w:rsidR="007E2F9F" w:rsidRPr="00B94769" w:rsidRDefault="007E2F9F" w:rsidP="006548F8">
            <w:pPr>
              <w:tabs>
                <w:tab w:val="left" w:pos="875"/>
              </w:tabs>
              <w:jc w:val="right"/>
              <w:rPr>
                <w:rFonts w:ascii="Arial" w:hAnsi="Arial" w:cs="Arial"/>
                <w:b/>
                <w:sz w:val="18"/>
                <w:szCs w:val="18"/>
                <w:u w:val="single"/>
              </w:rPr>
            </w:pPr>
            <w:r w:rsidRPr="00B94769">
              <w:rPr>
                <w:rFonts w:ascii="Arial" w:hAnsi="Arial" w:cs="Arial"/>
                <w:b/>
                <w:sz w:val="18"/>
                <w:szCs w:val="18"/>
                <w:u w:val="single"/>
              </w:rPr>
              <w:t>2.142.599</w:t>
            </w:r>
          </w:p>
        </w:tc>
      </w:tr>
    </w:tbl>
    <w:p w14:paraId="1019945F" w14:textId="77777777" w:rsidR="007E2F9F" w:rsidRDefault="007E2F9F" w:rsidP="007E2F9F">
      <w:pPr>
        <w:ind w:left="-142" w:right="-93"/>
        <w:jc w:val="both"/>
        <w:rPr>
          <w:rFonts w:ascii="Arial" w:hAnsi="Arial" w:cs="Arial"/>
          <w:lang w:val="es-MX"/>
        </w:rPr>
      </w:pPr>
    </w:p>
    <w:p w14:paraId="405DC11A" w14:textId="77777777" w:rsidR="007E2F9F" w:rsidRPr="002A56BA" w:rsidRDefault="007E2F9F" w:rsidP="003065C2">
      <w:pPr>
        <w:ind w:left="-284" w:right="-93"/>
        <w:jc w:val="both"/>
        <w:rPr>
          <w:rFonts w:ascii="Arial" w:hAnsi="Arial" w:cs="Arial"/>
          <w:b/>
          <w:sz w:val="28"/>
          <w:szCs w:val="28"/>
          <w:lang w:val="es-MX"/>
        </w:rPr>
      </w:pPr>
      <w:bookmarkStart w:id="9" w:name="_Hlk203048867"/>
      <w:r w:rsidRPr="002A56BA">
        <w:rPr>
          <w:rFonts w:ascii="Arial" w:hAnsi="Arial" w:cs="Arial"/>
          <w:b/>
          <w:sz w:val="28"/>
          <w:szCs w:val="28"/>
          <w:lang w:val="es-MX"/>
        </w:rPr>
        <w:t xml:space="preserve">247.- INSTITUTO NACIONAL DE VIGILANCIA DE MEDICAMENTOS Y ALIMENTOS – INVIMA. </w:t>
      </w:r>
    </w:p>
    <w:bookmarkEnd w:id="9"/>
    <w:p w14:paraId="67C5CBF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2A56BA" w14:paraId="1E5244D3" w14:textId="77777777" w:rsidTr="003065C2">
        <w:tc>
          <w:tcPr>
            <w:tcW w:w="8648" w:type="dxa"/>
          </w:tcPr>
          <w:p w14:paraId="2A2E0A63" w14:textId="77777777" w:rsidR="007E2F9F" w:rsidRPr="002A56BA" w:rsidRDefault="007E2F9F" w:rsidP="006548F8">
            <w:pPr>
              <w:tabs>
                <w:tab w:val="left" w:pos="875"/>
              </w:tabs>
              <w:ind w:right="157"/>
              <w:rPr>
                <w:rFonts w:ascii="Arial" w:hAnsi="Arial" w:cs="Arial"/>
                <w:sz w:val="18"/>
                <w:szCs w:val="18"/>
              </w:rPr>
            </w:pPr>
            <w:r w:rsidRPr="002A56BA">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43513B07" w14:textId="77777777" w:rsidR="007E2F9F" w:rsidRPr="002A56BA" w:rsidRDefault="007E2F9F" w:rsidP="006548F8">
            <w:pPr>
              <w:tabs>
                <w:tab w:val="left" w:pos="875"/>
              </w:tabs>
              <w:jc w:val="right"/>
              <w:rPr>
                <w:rFonts w:ascii="Arial" w:hAnsi="Arial" w:cs="Arial"/>
                <w:b/>
                <w:bCs/>
                <w:sz w:val="16"/>
                <w:szCs w:val="16"/>
              </w:rPr>
            </w:pPr>
            <w:r w:rsidRPr="002A56BA">
              <w:rPr>
                <w:rFonts w:ascii="Arial" w:hAnsi="Arial" w:cs="Arial"/>
                <w:b/>
                <w:bCs/>
                <w:color w:val="000000"/>
                <w:sz w:val="16"/>
                <w:szCs w:val="16"/>
              </w:rPr>
              <w:t xml:space="preserve">6.546.615 </w:t>
            </w:r>
          </w:p>
        </w:tc>
      </w:tr>
      <w:tr w:rsidR="007E2F9F" w:rsidRPr="002A56BA" w14:paraId="5F6239B4" w14:textId="77777777" w:rsidTr="003065C2">
        <w:tc>
          <w:tcPr>
            <w:tcW w:w="8648" w:type="dxa"/>
          </w:tcPr>
          <w:p w14:paraId="55271EDA" w14:textId="77777777" w:rsidR="007E2F9F" w:rsidRPr="002A56BA" w:rsidRDefault="007E2F9F" w:rsidP="006548F8">
            <w:pPr>
              <w:tabs>
                <w:tab w:val="left" w:pos="875"/>
              </w:tabs>
              <w:ind w:right="157"/>
              <w:rPr>
                <w:rFonts w:ascii="Arial" w:hAnsi="Arial" w:cs="Arial"/>
                <w:sz w:val="18"/>
                <w:szCs w:val="18"/>
              </w:rPr>
            </w:pPr>
            <w:r w:rsidRPr="002A56BA">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58D786FB" w14:textId="77777777" w:rsidR="007E2F9F" w:rsidRPr="002A56BA" w:rsidRDefault="007E2F9F" w:rsidP="006548F8">
            <w:pPr>
              <w:tabs>
                <w:tab w:val="left" w:pos="875"/>
              </w:tabs>
              <w:jc w:val="right"/>
              <w:rPr>
                <w:rFonts w:ascii="Arial" w:hAnsi="Arial" w:cs="Arial"/>
                <w:b/>
                <w:bCs/>
                <w:sz w:val="16"/>
                <w:szCs w:val="16"/>
              </w:rPr>
            </w:pPr>
            <w:r w:rsidRPr="002A56BA">
              <w:rPr>
                <w:rFonts w:ascii="Arial" w:hAnsi="Arial" w:cs="Arial"/>
                <w:b/>
                <w:bCs/>
                <w:sz w:val="16"/>
                <w:szCs w:val="16"/>
              </w:rPr>
              <w:t xml:space="preserve">13.066.648 </w:t>
            </w:r>
          </w:p>
        </w:tc>
      </w:tr>
      <w:tr w:rsidR="007E2F9F" w:rsidRPr="002A56BA" w14:paraId="3A3D1CAE" w14:textId="77777777" w:rsidTr="003065C2">
        <w:tc>
          <w:tcPr>
            <w:tcW w:w="8648" w:type="dxa"/>
          </w:tcPr>
          <w:p w14:paraId="564C8528" w14:textId="77777777" w:rsidR="007E2F9F" w:rsidRPr="002A56BA" w:rsidRDefault="007E2F9F" w:rsidP="006548F8">
            <w:pPr>
              <w:tabs>
                <w:tab w:val="left" w:pos="875"/>
              </w:tabs>
              <w:ind w:right="157"/>
              <w:rPr>
                <w:rFonts w:ascii="Arial" w:hAnsi="Arial" w:cs="Arial"/>
                <w:sz w:val="18"/>
                <w:szCs w:val="18"/>
              </w:rPr>
            </w:pPr>
            <w:r w:rsidRPr="002A56BA">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509D3668" w14:textId="77777777" w:rsidR="007E2F9F" w:rsidRPr="002A56BA" w:rsidRDefault="007E2F9F" w:rsidP="006548F8">
            <w:pPr>
              <w:tabs>
                <w:tab w:val="left" w:pos="875"/>
              </w:tabs>
              <w:jc w:val="right"/>
              <w:rPr>
                <w:rFonts w:ascii="Arial" w:hAnsi="Arial" w:cs="Arial"/>
                <w:b/>
                <w:bCs/>
                <w:sz w:val="16"/>
                <w:szCs w:val="16"/>
                <w:u w:val="single"/>
              </w:rPr>
            </w:pPr>
            <w:r w:rsidRPr="002A56BA">
              <w:rPr>
                <w:rFonts w:ascii="Arial" w:hAnsi="Arial" w:cs="Arial"/>
                <w:b/>
                <w:bCs/>
                <w:color w:val="000000"/>
                <w:sz w:val="16"/>
                <w:szCs w:val="16"/>
              </w:rPr>
              <w:t xml:space="preserve">19.613.263 </w:t>
            </w:r>
          </w:p>
        </w:tc>
      </w:tr>
    </w:tbl>
    <w:p w14:paraId="55822470" w14:textId="77777777" w:rsidR="007E2F9F" w:rsidRDefault="007E2F9F" w:rsidP="007E2F9F">
      <w:pPr>
        <w:ind w:left="-142" w:right="-93"/>
        <w:jc w:val="both"/>
        <w:rPr>
          <w:rFonts w:ascii="Arial" w:hAnsi="Arial" w:cs="Arial"/>
          <w:lang w:val="es-MX"/>
        </w:rPr>
      </w:pPr>
    </w:p>
    <w:p w14:paraId="7CBCC5BC" w14:textId="77777777" w:rsidR="007E2F9F" w:rsidRPr="00674FEC" w:rsidRDefault="007E2F9F" w:rsidP="003065C2">
      <w:pPr>
        <w:ind w:left="-284"/>
        <w:jc w:val="both"/>
        <w:rPr>
          <w:rFonts w:ascii="Arial" w:hAnsi="Arial" w:cs="Arial"/>
          <w:b/>
          <w:sz w:val="28"/>
          <w:szCs w:val="28"/>
          <w:lang w:val="es-MX"/>
        </w:rPr>
      </w:pPr>
      <w:r w:rsidRPr="00674FEC">
        <w:rPr>
          <w:rFonts w:ascii="Arial" w:hAnsi="Arial" w:cs="Arial"/>
          <w:b/>
          <w:sz w:val="28"/>
          <w:szCs w:val="28"/>
          <w:lang w:val="es-MX"/>
        </w:rPr>
        <w:t>250.- MINISTERIO DE COMERCIO, INDUSTRIA Y TURISMO – MINCIT.</w:t>
      </w:r>
    </w:p>
    <w:p w14:paraId="70FAB076"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301848" w14:paraId="5009B594" w14:textId="77777777" w:rsidTr="003065C2">
        <w:tc>
          <w:tcPr>
            <w:tcW w:w="8648" w:type="dxa"/>
          </w:tcPr>
          <w:p w14:paraId="5C507FC0" w14:textId="77777777" w:rsidR="007E2F9F" w:rsidRPr="00301848" w:rsidRDefault="007E2F9F" w:rsidP="006548F8">
            <w:pPr>
              <w:tabs>
                <w:tab w:val="left" w:pos="875"/>
              </w:tabs>
              <w:ind w:right="157"/>
              <w:rPr>
                <w:rFonts w:ascii="Arial" w:hAnsi="Arial" w:cs="Arial"/>
                <w:sz w:val="18"/>
                <w:szCs w:val="18"/>
              </w:rPr>
            </w:pPr>
            <w:r w:rsidRPr="00301848">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1741BD59" w14:textId="77777777" w:rsidR="007E2F9F" w:rsidRPr="00301848" w:rsidRDefault="007E2F9F" w:rsidP="006548F8">
            <w:pPr>
              <w:tabs>
                <w:tab w:val="left" w:pos="875"/>
              </w:tabs>
              <w:jc w:val="right"/>
              <w:rPr>
                <w:rFonts w:ascii="Arial" w:hAnsi="Arial" w:cs="Arial"/>
                <w:b/>
                <w:bCs/>
                <w:sz w:val="16"/>
                <w:szCs w:val="16"/>
              </w:rPr>
            </w:pPr>
            <w:r w:rsidRPr="00301848">
              <w:rPr>
                <w:rFonts w:ascii="Arial" w:hAnsi="Arial" w:cs="Arial"/>
                <w:b/>
                <w:bCs/>
                <w:color w:val="000000"/>
                <w:sz w:val="16"/>
                <w:szCs w:val="16"/>
              </w:rPr>
              <w:t xml:space="preserve">24.350.993,88 </w:t>
            </w:r>
          </w:p>
        </w:tc>
      </w:tr>
      <w:tr w:rsidR="007E2F9F" w:rsidRPr="00301848" w14:paraId="08B40926" w14:textId="77777777" w:rsidTr="003065C2">
        <w:tc>
          <w:tcPr>
            <w:tcW w:w="8648" w:type="dxa"/>
          </w:tcPr>
          <w:p w14:paraId="1F87DC17" w14:textId="77777777" w:rsidR="007E2F9F" w:rsidRPr="00301848" w:rsidRDefault="007E2F9F" w:rsidP="006548F8">
            <w:pPr>
              <w:tabs>
                <w:tab w:val="left" w:pos="875"/>
              </w:tabs>
              <w:ind w:right="157"/>
              <w:rPr>
                <w:rFonts w:ascii="Arial" w:hAnsi="Arial" w:cs="Arial"/>
                <w:sz w:val="18"/>
                <w:szCs w:val="18"/>
              </w:rPr>
            </w:pPr>
            <w:r w:rsidRPr="00301848">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3A13125B" w14:textId="77777777" w:rsidR="007E2F9F" w:rsidRPr="00301848" w:rsidRDefault="007E2F9F" w:rsidP="006548F8">
            <w:pPr>
              <w:tabs>
                <w:tab w:val="left" w:pos="875"/>
              </w:tabs>
              <w:jc w:val="right"/>
              <w:rPr>
                <w:rFonts w:ascii="Arial" w:hAnsi="Arial" w:cs="Arial"/>
                <w:b/>
                <w:bCs/>
                <w:sz w:val="16"/>
                <w:szCs w:val="16"/>
              </w:rPr>
            </w:pPr>
            <w:r w:rsidRPr="00301848">
              <w:rPr>
                <w:rFonts w:ascii="Arial" w:hAnsi="Arial" w:cs="Arial"/>
                <w:b/>
                <w:bCs/>
                <w:sz w:val="16"/>
                <w:szCs w:val="16"/>
              </w:rPr>
              <w:t xml:space="preserve">276.700,29 </w:t>
            </w:r>
          </w:p>
        </w:tc>
      </w:tr>
      <w:tr w:rsidR="007E2F9F" w:rsidRPr="00301848" w14:paraId="01987441" w14:textId="77777777" w:rsidTr="003065C2">
        <w:tc>
          <w:tcPr>
            <w:tcW w:w="8648" w:type="dxa"/>
          </w:tcPr>
          <w:p w14:paraId="7DCFB358" w14:textId="77777777" w:rsidR="007E2F9F" w:rsidRPr="00301848" w:rsidRDefault="007E2F9F" w:rsidP="006548F8">
            <w:pPr>
              <w:tabs>
                <w:tab w:val="left" w:pos="875"/>
              </w:tabs>
              <w:ind w:right="157"/>
              <w:rPr>
                <w:rFonts w:ascii="Arial" w:hAnsi="Arial" w:cs="Arial"/>
                <w:sz w:val="18"/>
                <w:szCs w:val="18"/>
              </w:rPr>
            </w:pPr>
            <w:r w:rsidRPr="00301848">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24202E2F" w14:textId="77777777" w:rsidR="007E2F9F" w:rsidRPr="00301848" w:rsidRDefault="007E2F9F" w:rsidP="006548F8">
            <w:pPr>
              <w:tabs>
                <w:tab w:val="left" w:pos="875"/>
              </w:tabs>
              <w:jc w:val="right"/>
              <w:rPr>
                <w:rFonts w:ascii="Arial" w:hAnsi="Arial" w:cs="Arial"/>
                <w:b/>
                <w:bCs/>
                <w:sz w:val="16"/>
                <w:szCs w:val="16"/>
                <w:u w:val="single"/>
              </w:rPr>
            </w:pPr>
            <w:r w:rsidRPr="00301848">
              <w:rPr>
                <w:rFonts w:ascii="Arial" w:hAnsi="Arial" w:cs="Arial"/>
                <w:b/>
                <w:bCs/>
                <w:color w:val="000000"/>
                <w:sz w:val="16"/>
                <w:szCs w:val="16"/>
              </w:rPr>
              <w:t xml:space="preserve">24.627.694,17 </w:t>
            </w:r>
          </w:p>
        </w:tc>
      </w:tr>
    </w:tbl>
    <w:p w14:paraId="50B09769" w14:textId="77777777" w:rsidR="007E2F9F" w:rsidRDefault="007E2F9F" w:rsidP="007E2F9F">
      <w:pPr>
        <w:ind w:left="-142" w:right="-93"/>
        <w:jc w:val="both"/>
        <w:rPr>
          <w:rFonts w:ascii="Arial" w:hAnsi="Arial" w:cs="Arial"/>
          <w:lang w:val="es-MX"/>
        </w:rPr>
      </w:pPr>
    </w:p>
    <w:p w14:paraId="21AD8106" w14:textId="77777777" w:rsidR="007E2F9F" w:rsidRPr="00C200E5" w:rsidRDefault="007E2F9F" w:rsidP="003065C2">
      <w:pPr>
        <w:ind w:left="-284" w:right="-93"/>
        <w:jc w:val="both"/>
        <w:rPr>
          <w:rFonts w:ascii="Arial" w:hAnsi="Arial" w:cs="Arial"/>
          <w:b/>
          <w:sz w:val="28"/>
          <w:szCs w:val="28"/>
          <w:lang w:val="es-MX"/>
        </w:rPr>
      </w:pPr>
      <w:r w:rsidRPr="00C200E5">
        <w:rPr>
          <w:rFonts w:ascii="Arial" w:hAnsi="Arial" w:cs="Arial"/>
          <w:b/>
          <w:sz w:val="28"/>
          <w:szCs w:val="28"/>
          <w:lang w:val="es-MX"/>
        </w:rPr>
        <w:t>253.- UNIDAD PARA LA ATENCIÓN Y REPARACIÓN INTEGRAL A LAS VÍCTIMAS.</w:t>
      </w:r>
    </w:p>
    <w:p w14:paraId="183B7502"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871884" w14:paraId="27F2E86C" w14:textId="77777777" w:rsidTr="003065C2">
        <w:tc>
          <w:tcPr>
            <w:tcW w:w="8648" w:type="dxa"/>
          </w:tcPr>
          <w:p w14:paraId="3C049F8C" w14:textId="77777777" w:rsidR="007E2F9F" w:rsidRPr="00871884" w:rsidRDefault="007E2F9F" w:rsidP="006548F8">
            <w:pPr>
              <w:tabs>
                <w:tab w:val="left" w:pos="875"/>
              </w:tabs>
              <w:ind w:right="157"/>
              <w:rPr>
                <w:rFonts w:ascii="Arial" w:hAnsi="Arial" w:cs="Arial"/>
                <w:sz w:val="18"/>
                <w:szCs w:val="18"/>
              </w:rPr>
            </w:pPr>
            <w:r w:rsidRPr="00871884">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1869A530" w14:textId="77777777" w:rsidR="007E2F9F" w:rsidRPr="00871884" w:rsidRDefault="007E2F9F" w:rsidP="006548F8">
            <w:pPr>
              <w:tabs>
                <w:tab w:val="left" w:pos="875"/>
              </w:tabs>
              <w:jc w:val="right"/>
              <w:rPr>
                <w:rFonts w:ascii="Arial" w:hAnsi="Arial" w:cs="Arial"/>
                <w:sz w:val="16"/>
                <w:szCs w:val="16"/>
              </w:rPr>
            </w:pPr>
            <w:r w:rsidRPr="00871884">
              <w:rPr>
                <w:rFonts w:ascii="Arial" w:hAnsi="Arial" w:cs="Arial"/>
                <w:color w:val="000000"/>
                <w:sz w:val="16"/>
                <w:szCs w:val="16"/>
              </w:rPr>
              <w:t xml:space="preserve">1.961.362.739,84 </w:t>
            </w:r>
          </w:p>
        </w:tc>
      </w:tr>
      <w:tr w:rsidR="007E2F9F" w:rsidRPr="00871884" w14:paraId="4B899B41" w14:textId="77777777" w:rsidTr="003065C2">
        <w:tc>
          <w:tcPr>
            <w:tcW w:w="8648" w:type="dxa"/>
          </w:tcPr>
          <w:p w14:paraId="2CCB43BD" w14:textId="77777777" w:rsidR="007E2F9F" w:rsidRPr="00871884" w:rsidRDefault="007E2F9F" w:rsidP="006548F8">
            <w:pPr>
              <w:tabs>
                <w:tab w:val="left" w:pos="875"/>
              </w:tabs>
              <w:ind w:right="157"/>
              <w:rPr>
                <w:rFonts w:ascii="Arial" w:hAnsi="Arial" w:cs="Arial"/>
                <w:sz w:val="18"/>
                <w:szCs w:val="18"/>
              </w:rPr>
            </w:pPr>
            <w:r w:rsidRPr="00871884">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0CF26E99" w14:textId="77777777" w:rsidR="007E2F9F" w:rsidRPr="00871884" w:rsidRDefault="007E2F9F" w:rsidP="006548F8">
            <w:pPr>
              <w:tabs>
                <w:tab w:val="left" w:pos="875"/>
              </w:tabs>
              <w:jc w:val="right"/>
              <w:rPr>
                <w:rFonts w:ascii="Arial" w:hAnsi="Arial" w:cs="Arial"/>
                <w:sz w:val="16"/>
                <w:szCs w:val="16"/>
              </w:rPr>
            </w:pPr>
            <w:r w:rsidRPr="00871884">
              <w:rPr>
                <w:rFonts w:ascii="Arial" w:hAnsi="Arial" w:cs="Arial"/>
                <w:sz w:val="16"/>
                <w:szCs w:val="16"/>
              </w:rPr>
              <w:t xml:space="preserve">977.391,62 </w:t>
            </w:r>
          </w:p>
        </w:tc>
      </w:tr>
      <w:tr w:rsidR="007E2F9F" w:rsidRPr="00871884" w14:paraId="3BEF7253" w14:textId="77777777" w:rsidTr="003065C2">
        <w:tc>
          <w:tcPr>
            <w:tcW w:w="8648" w:type="dxa"/>
          </w:tcPr>
          <w:p w14:paraId="7915E4E0" w14:textId="77777777" w:rsidR="007E2F9F" w:rsidRPr="00871884" w:rsidRDefault="007E2F9F" w:rsidP="006548F8">
            <w:pPr>
              <w:tabs>
                <w:tab w:val="left" w:pos="875"/>
              </w:tabs>
              <w:ind w:right="157"/>
              <w:rPr>
                <w:rFonts w:ascii="Arial" w:hAnsi="Arial" w:cs="Arial"/>
                <w:sz w:val="18"/>
                <w:szCs w:val="18"/>
              </w:rPr>
            </w:pPr>
            <w:r w:rsidRPr="00871884">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57FA6487" w14:textId="77777777" w:rsidR="007E2F9F" w:rsidRPr="00871884" w:rsidRDefault="007E2F9F" w:rsidP="006548F8">
            <w:pPr>
              <w:tabs>
                <w:tab w:val="left" w:pos="875"/>
              </w:tabs>
              <w:jc w:val="right"/>
              <w:rPr>
                <w:rFonts w:ascii="Arial" w:hAnsi="Arial" w:cs="Arial"/>
                <w:sz w:val="16"/>
                <w:szCs w:val="16"/>
                <w:u w:val="single"/>
              </w:rPr>
            </w:pPr>
            <w:r w:rsidRPr="00871884">
              <w:rPr>
                <w:rFonts w:ascii="Arial" w:hAnsi="Arial" w:cs="Arial"/>
                <w:color w:val="000000"/>
                <w:sz w:val="16"/>
                <w:szCs w:val="16"/>
              </w:rPr>
              <w:t xml:space="preserve">1.962.340.131,46 </w:t>
            </w:r>
          </w:p>
        </w:tc>
      </w:tr>
    </w:tbl>
    <w:p w14:paraId="6C01A77A" w14:textId="77777777" w:rsidR="007E2F9F" w:rsidRDefault="007E2F9F" w:rsidP="007E2F9F">
      <w:pPr>
        <w:ind w:left="-142" w:right="-93"/>
        <w:jc w:val="both"/>
        <w:rPr>
          <w:rFonts w:ascii="Arial" w:hAnsi="Arial" w:cs="Arial"/>
          <w:lang w:val="es-MX"/>
        </w:rPr>
      </w:pPr>
    </w:p>
    <w:p w14:paraId="1682DE8C" w14:textId="77777777" w:rsidR="007E2F9F" w:rsidRPr="004F5B52" w:rsidRDefault="007E2F9F" w:rsidP="003065C2">
      <w:pPr>
        <w:ind w:left="-284" w:right="-93"/>
        <w:jc w:val="both"/>
        <w:rPr>
          <w:rFonts w:ascii="Arial" w:hAnsi="Arial" w:cs="Arial"/>
          <w:b/>
          <w:sz w:val="28"/>
          <w:szCs w:val="28"/>
          <w:lang w:val="es-MX"/>
        </w:rPr>
      </w:pPr>
      <w:r w:rsidRPr="004F5B52">
        <w:rPr>
          <w:rFonts w:ascii="Arial" w:hAnsi="Arial" w:cs="Arial"/>
          <w:b/>
          <w:sz w:val="28"/>
          <w:szCs w:val="28"/>
          <w:lang w:val="es-MX"/>
        </w:rPr>
        <w:t xml:space="preserve">256.- U.A.E. DE GESTIÓN PENSIONAL Y CONTRIBUCIONES PARAFISCALES DE LA PROTECCIÓN SOCIAL – UGPP. </w:t>
      </w:r>
    </w:p>
    <w:p w14:paraId="35A051A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8873BF" w14:paraId="3858C9FB" w14:textId="77777777" w:rsidTr="003065C2">
        <w:tc>
          <w:tcPr>
            <w:tcW w:w="8931" w:type="dxa"/>
          </w:tcPr>
          <w:p w14:paraId="6268BD91" w14:textId="77777777" w:rsidR="007E2F9F" w:rsidRPr="008873BF" w:rsidRDefault="007E2F9F" w:rsidP="006548F8">
            <w:pPr>
              <w:tabs>
                <w:tab w:val="left" w:pos="875"/>
              </w:tabs>
              <w:ind w:right="157"/>
              <w:rPr>
                <w:rFonts w:ascii="Arial" w:hAnsi="Arial" w:cs="Arial"/>
                <w:sz w:val="18"/>
                <w:szCs w:val="18"/>
              </w:rPr>
            </w:pPr>
            <w:r w:rsidRPr="008873BF">
              <w:rPr>
                <w:rFonts w:ascii="Arial" w:hAnsi="Arial" w:cs="Arial"/>
                <w:lang w:val="es-ES_tradnl"/>
              </w:rPr>
              <w:t>Reservas presupuestales constituidas a 31 de diciembre de 2024</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14:paraId="673D5E55" w14:textId="77777777" w:rsidR="007E2F9F" w:rsidRPr="008873BF" w:rsidRDefault="007E2F9F" w:rsidP="006548F8">
            <w:pPr>
              <w:tabs>
                <w:tab w:val="left" w:pos="875"/>
              </w:tabs>
              <w:jc w:val="right"/>
              <w:rPr>
                <w:rFonts w:ascii="Arial" w:hAnsi="Arial" w:cs="Arial"/>
                <w:b/>
                <w:bCs/>
                <w:sz w:val="16"/>
                <w:szCs w:val="16"/>
              </w:rPr>
            </w:pPr>
            <w:r w:rsidRPr="008873BF">
              <w:rPr>
                <w:rFonts w:ascii="Arial" w:hAnsi="Arial" w:cs="Arial"/>
                <w:b/>
                <w:bCs/>
                <w:color w:val="000000"/>
                <w:sz w:val="16"/>
                <w:szCs w:val="16"/>
              </w:rPr>
              <w:t xml:space="preserve">10.669.102 </w:t>
            </w:r>
          </w:p>
        </w:tc>
      </w:tr>
      <w:tr w:rsidR="007E2F9F" w:rsidRPr="008873BF" w14:paraId="36C41F16" w14:textId="77777777" w:rsidTr="003065C2">
        <w:tc>
          <w:tcPr>
            <w:tcW w:w="8931" w:type="dxa"/>
          </w:tcPr>
          <w:p w14:paraId="414979A0" w14:textId="77777777" w:rsidR="007E2F9F" w:rsidRPr="008873BF" w:rsidRDefault="007E2F9F" w:rsidP="006548F8">
            <w:pPr>
              <w:tabs>
                <w:tab w:val="left" w:pos="875"/>
              </w:tabs>
              <w:ind w:right="157"/>
              <w:rPr>
                <w:rFonts w:ascii="Arial" w:hAnsi="Arial" w:cs="Arial"/>
                <w:sz w:val="18"/>
                <w:szCs w:val="18"/>
              </w:rPr>
            </w:pPr>
            <w:r w:rsidRPr="008873BF">
              <w:rPr>
                <w:rFonts w:ascii="Arial" w:hAnsi="Arial" w:cs="Arial"/>
                <w:lang w:val="es-ES_tradnl"/>
              </w:rPr>
              <w:t>Cuentas por pagar constituidas a 31 de diciembre de 2024</w:t>
            </w:r>
          </w:p>
        </w:tc>
        <w:tc>
          <w:tcPr>
            <w:tcW w:w="1418" w:type="dxa"/>
            <w:tcBorders>
              <w:top w:val="nil"/>
              <w:left w:val="single" w:sz="8" w:space="0" w:color="auto"/>
              <w:bottom w:val="nil"/>
              <w:right w:val="single" w:sz="8" w:space="0" w:color="auto"/>
            </w:tcBorders>
            <w:shd w:val="clear" w:color="auto" w:fill="auto"/>
            <w:vAlign w:val="bottom"/>
          </w:tcPr>
          <w:p w14:paraId="3ACBC7FE" w14:textId="77777777" w:rsidR="007E2F9F" w:rsidRPr="008873BF" w:rsidRDefault="007E2F9F" w:rsidP="006548F8">
            <w:pPr>
              <w:tabs>
                <w:tab w:val="left" w:pos="875"/>
              </w:tabs>
              <w:jc w:val="right"/>
              <w:rPr>
                <w:rFonts w:ascii="Arial" w:hAnsi="Arial" w:cs="Arial"/>
                <w:b/>
                <w:bCs/>
                <w:sz w:val="16"/>
                <w:szCs w:val="16"/>
              </w:rPr>
            </w:pPr>
            <w:r w:rsidRPr="008873BF">
              <w:rPr>
                <w:rFonts w:ascii="Arial" w:hAnsi="Arial" w:cs="Arial"/>
                <w:b/>
                <w:bCs/>
                <w:sz w:val="16"/>
                <w:szCs w:val="16"/>
              </w:rPr>
              <w:t xml:space="preserve">10.339.368 </w:t>
            </w:r>
          </w:p>
        </w:tc>
      </w:tr>
      <w:tr w:rsidR="007E2F9F" w:rsidRPr="008873BF" w14:paraId="0AC3D18F" w14:textId="77777777" w:rsidTr="003065C2">
        <w:tc>
          <w:tcPr>
            <w:tcW w:w="8931" w:type="dxa"/>
          </w:tcPr>
          <w:p w14:paraId="1CE9513B" w14:textId="77777777" w:rsidR="007E2F9F" w:rsidRPr="008873BF" w:rsidRDefault="007E2F9F" w:rsidP="006548F8">
            <w:pPr>
              <w:tabs>
                <w:tab w:val="left" w:pos="875"/>
              </w:tabs>
              <w:ind w:right="157"/>
              <w:rPr>
                <w:rFonts w:ascii="Arial" w:hAnsi="Arial" w:cs="Arial"/>
                <w:sz w:val="18"/>
                <w:szCs w:val="18"/>
              </w:rPr>
            </w:pPr>
            <w:r w:rsidRPr="008873BF">
              <w:rPr>
                <w:rFonts w:ascii="Arial" w:hAnsi="Arial" w:cs="Arial"/>
                <w:b/>
                <w:lang w:val="es-ES_tradnl"/>
              </w:rPr>
              <w:t>TOTAL REZAGO PRESUPUESTAL CONSTITUIDO A 31 DE DICIEMBRE DE 2024</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14:paraId="3DDE0DCA" w14:textId="77777777" w:rsidR="007E2F9F" w:rsidRPr="008873BF" w:rsidRDefault="007E2F9F" w:rsidP="006548F8">
            <w:pPr>
              <w:tabs>
                <w:tab w:val="left" w:pos="875"/>
              </w:tabs>
              <w:jc w:val="right"/>
              <w:rPr>
                <w:rFonts w:ascii="Arial" w:hAnsi="Arial" w:cs="Arial"/>
                <w:b/>
                <w:bCs/>
                <w:sz w:val="16"/>
                <w:szCs w:val="16"/>
                <w:u w:val="single"/>
              </w:rPr>
            </w:pPr>
            <w:r w:rsidRPr="008873BF">
              <w:rPr>
                <w:rFonts w:ascii="Arial" w:hAnsi="Arial" w:cs="Arial"/>
                <w:b/>
                <w:bCs/>
                <w:color w:val="000000"/>
                <w:sz w:val="16"/>
                <w:szCs w:val="16"/>
              </w:rPr>
              <w:t xml:space="preserve">21.008.470 </w:t>
            </w:r>
          </w:p>
        </w:tc>
      </w:tr>
    </w:tbl>
    <w:p w14:paraId="154AFFE4" w14:textId="77777777" w:rsidR="007E2F9F" w:rsidRDefault="007E2F9F" w:rsidP="007E2F9F">
      <w:pPr>
        <w:ind w:left="-142" w:right="-93"/>
        <w:jc w:val="both"/>
        <w:rPr>
          <w:rFonts w:ascii="Arial" w:hAnsi="Arial" w:cs="Arial"/>
          <w:lang w:val="es-MX"/>
        </w:rPr>
      </w:pPr>
    </w:p>
    <w:p w14:paraId="7947965B" w14:textId="77777777" w:rsidR="007E2F9F" w:rsidRPr="00163274" w:rsidRDefault="007E2F9F" w:rsidP="003065C2">
      <w:pPr>
        <w:ind w:left="-284" w:right="-93"/>
        <w:jc w:val="both"/>
        <w:rPr>
          <w:rFonts w:ascii="Arial" w:hAnsi="Arial" w:cs="Arial"/>
          <w:b/>
          <w:sz w:val="28"/>
          <w:szCs w:val="28"/>
          <w:lang w:val="es-MX"/>
        </w:rPr>
      </w:pPr>
      <w:r w:rsidRPr="00163274">
        <w:rPr>
          <w:rFonts w:ascii="Arial" w:hAnsi="Arial" w:cs="Arial"/>
          <w:b/>
          <w:sz w:val="28"/>
          <w:szCs w:val="28"/>
          <w:lang w:val="es-MX"/>
        </w:rPr>
        <w:t>257.- AGENCIA PARA LA REINCORPORACIÓN Y LA NORMALIZACIÓN – ARN.</w:t>
      </w:r>
    </w:p>
    <w:p w14:paraId="4A601AAB"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163274" w14:paraId="3E4E11F5" w14:textId="77777777" w:rsidTr="003065C2">
        <w:tc>
          <w:tcPr>
            <w:tcW w:w="8931" w:type="dxa"/>
          </w:tcPr>
          <w:p w14:paraId="63EBE477" w14:textId="77777777" w:rsidR="007E2F9F" w:rsidRPr="00163274" w:rsidRDefault="007E2F9F" w:rsidP="006548F8">
            <w:pPr>
              <w:tabs>
                <w:tab w:val="left" w:pos="875"/>
              </w:tabs>
              <w:ind w:right="157"/>
              <w:rPr>
                <w:rFonts w:ascii="Arial" w:hAnsi="Arial" w:cs="Arial"/>
                <w:sz w:val="18"/>
                <w:szCs w:val="18"/>
              </w:rPr>
            </w:pPr>
            <w:r w:rsidRPr="00163274">
              <w:rPr>
                <w:rFonts w:ascii="Arial" w:hAnsi="Arial" w:cs="Arial"/>
                <w:lang w:val="es-ES_tradnl"/>
              </w:rPr>
              <w:lastRenderedPageBreak/>
              <w:t>Reservas presupuestales constituidas a 31 de diciembre de 2024</w:t>
            </w:r>
          </w:p>
        </w:tc>
        <w:tc>
          <w:tcPr>
            <w:tcW w:w="1418" w:type="dxa"/>
          </w:tcPr>
          <w:p w14:paraId="6BA89AF8" w14:textId="77777777" w:rsidR="007E2F9F" w:rsidRPr="00163274" w:rsidRDefault="007E2F9F" w:rsidP="006548F8">
            <w:pPr>
              <w:tabs>
                <w:tab w:val="left" w:pos="875"/>
              </w:tabs>
              <w:jc w:val="right"/>
              <w:rPr>
                <w:rFonts w:ascii="Arial" w:hAnsi="Arial" w:cs="Arial"/>
                <w:sz w:val="18"/>
                <w:szCs w:val="18"/>
              </w:rPr>
            </w:pPr>
            <w:r w:rsidRPr="00163274">
              <w:rPr>
                <w:rFonts w:ascii="Arial" w:hAnsi="Arial" w:cs="Arial"/>
                <w:sz w:val="18"/>
                <w:szCs w:val="18"/>
              </w:rPr>
              <w:t>46.329.782,53</w:t>
            </w:r>
          </w:p>
        </w:tc>
      </w:tr>
      <w:tr w:rsidR="007E2F9F" w:rsidRPr="00163274" w14:paraId="1D9656FF" w14:textId="77777777" w:rsidTr="003065C2">
        <w:tc>
          <w:tcPr>
            <w:tcW w:w="8931" w:type="dxa"/>
          </w:tcPr>
          <w:p w14:paraId="5413B334" w14:textId="77777777" w:rsidR="007E2F9F" w:rsidRPr="00163274" w:rsidRDefault="007E2F9F" w:rsidP="006548F8">
            <w:pPr>
              <w:tabs>
                <w:tab w:val="left" w:pos="875"/>
              </w:tabs>
              <w:ind w:right="157"/>
              <w:rPr>
                <w:rFonts w:ascii="Arial" w:hAnsi="Arial" w:cs="Arial"/>
                <w:sz w:val="18"/>
                <w:szCs w:val="18"/>
              </w:rPr>
            </w:pPr>
            <w:r w:rsidRPr="00163274">
              <w:rPr>
                <w:rFonts w:ascii="Arial" w:hAnsi="Arial" w:cs="Arial"/>
                <w:lang w:val="es-ES_tradnl"/>
              </w:rPr>
              <w:t>Cuentas por pagar constituidas a 31 de diciembre de 2024</w:t>
            </w:r>
          </w:p>
        </w:tc>
        <w:tc>
          <w:tcPr>
            <w:tcW w:w="1418" w:type="dxa"/>
          </w:tcPr>
          <w:p w14:paraId="12CEAB82" w14:textId="77777777" w:rsidR="007E2F9F" w:rsidRPr="00163274" w:rsidRDefault="007E2F9F" w:rsidP="006548F8">
            <w:pPr>
              <w:tabs>
                <w:tab w:val="left" w:pos="875"/>
              </w:tabs>
              <w:jc w:val="right"/>
              <w:rPr>
                <w:rFonts w:ascii="Arial" w:hAnsi="Arial" w:cs="Arial"/>
                <w:sz w:val="18"/>
                <w:szCs w:val="18"/>
              </w:rPr>
            </w:pPr>
            <w:r w:rsidRPr="00163274">
              <w:rPr>
                <w:rFonts w:ascii="Arial" w:hAnsi="Arial" w:cs="Arial"/>
                <w:sz w:val="18"/>
                <w:szCs w:val="18"/>
              </w:rPr>
              <w:t>0</w:t>
            </w:r>
          </w:p>
        </w:tc>
      </w:tr>
      <w:tr w:rsidR="007E2F9F" w:rsidRPr="00163274" w14:paraId="6B243942" w14:textId="77777777" w:rsidTr="003065C2">
        <w:tc>
          <w:tcPr>
            <w:tcW w:w="8931" w:type="dxa"/>
          </w:tcPr>
          <w:p w14:paraId="2B943407" w14:textId="77777777" w:rsidR="007E2F9F" w:rsidRPr="00163274" w:rsidRDefault="007E2F9F" w:rsidP="006548F8">
            <w:pPr>
              <w:tabs>
                <w:tab w:val="left" w:pos="875"/>
              </w:tabs>
              <w:ind w:right="157"/>
              <w:rPr>
                <w:rFonts w:ascii="Arial" w:hAnsi="Arial" w:cs="Arial"/>
                <w:sz w:val="18"/>
                <w:szCs w:val="18"/>
              </w:rPr>
            </w:pPr>
            <w:r w:rsidRPr="00163274">
              <w:rPr>
                <w:rFonts w:ascii="Arial" w:hAnsi="Arial" w:cs="Arial"/>
                <w:b/>
                <w:lang w:val="es-ES_tradnl"/>
              </w:rPr>
              <w:t>TOTAL REZAGO PRESUPUESTAL CONSTITUIDO A 31 DE DICIEMBRE DE 2024</w:t>
            </w:r>
          </w:p>
        </w:tc>
        <w:tc>
          <w:tcPr>
            <w:tcW w:w="1418" w:type="dxa"/>
          </w:tcPr>
          <w:p w14:paraId="6F9CBDA4" w14:textId="77777777" w:rsidR="007E2F9F" w:rsidRPr="00163274" w:rsidRDefault="007E2F9F" w:rsidP="006548F8">
            <w:pPr>
              <w:tabs>
                <w:tab w:val="left" w:pos="875"/>
              </w:tabs>
              <w:jc w:val="right"/>
              <w:rPr>
                <w:rFonts w:ascii="Arial" w:hAnsi="Arial" w:cs="Arial"/>
                <w:b/>
                <w:sz w:val="18"/>
                <w:szCs w:val="18"/>
                <w:u w:val="single"/>
              </w:rPr>
            </w:pPr>
            <w:r w:rsidRPr="00163274">
              <w:rPr>
                <w:rFonts w:ascii="Arial" w:hAnsi="Arial" w:cs="Arial"/>
                <w:b/>
                <w:sz w:val="18"/>
                <w:szCs w:val="18"/>
                <w:u w:val="single"/>
              </w:rPr>
              <w:t>46.329.782,53</w:t>
            </w:r>
          </w:p>
        </w:tc>
      </w:tr>
    </w:tbl>
    <w:p w14:paraId="67B57C68" w14:textId="77777777" w:rsidR="007E2F9F" w:rsidRDefault="007E2F9F" w:rsidP="007E2F9F">
      <w:pPr>
        <w:ind w:left="-142" w:right="-93"/>
        <w:jc w:val="both"/>
        <w:rPr>
          <w:rFonts w:ascii="Arial" w:hAnsi="Arial" w:cs="Arial"/>
          <w:lang w:val="es-MX"/>
        </w:rPr>
      </w:pPr>
    </w:p>
    <w:p w14:paraId="38727D1F" w14:textId="77777777" w:rsidR="007E2F9F" w:rsidRPr="00D23165" w:rsidRDefault="007E2F9F" w:rsidP="003065C2">
      <w:pPr>
        <w:ind w:left="-284"/>
        <w:jc w:val="both"/>
        <w:rPr>
          <w:rFonts w:ascii="Arial" w:hAnsi="Arial" w:cs="Arial"/>
          <w:b/>
          <w:sz w:val="28"/>
          <w:szCs w:val="28"/>
          <w:lang w:val="es-MX"/>
        </w:rPr>
      </w:pPr>
      <w:r w:rsidRPr="00D23165">
        <w:rPr>
          <w:rFonts w:ascii="Arial" w:hAnsi="Arial" w:cs="Arial"/>
          <w:b/>
          <w:sz w:val="28"/>
          <w:szCs w:val="28"/>
          <w:lang w:val="es-MX"/>
        </w:rPr>
        <w:t>258.- COMPUTADORES PARA EDUCAR – CPE.</w:t>
      </w:r>
    </w:p>
    <w:p w14:paraId="1B36D1DA"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8B6635" w14:paraId="757907E2" w14:textId="77777777" w:rsidTr="003065C2">
        <w:tc>
          <w:tcPr>
            <w:tcW w:w="8931" w:type="dxa"/>
          </w:tcPr>
          <w:p w14:paraId="211D4587" w14:textId="77777777" w:rsidR="007E2F9F" w:rsidRPr="008B6635" w:rsidRDefault="007E2F9F" w:rsidP="006548F8">
            <w:pPr>
              <w:tabs>
                <w:tab w:val="left" w:pos="875"/>
              </w:tabs>
              <w:ind w:right="157"/>
              <w:rPr>
                <w:rFonts w:ascii="Arial" w:hAnsi="Arial" w:cs="Arial"/>
                <w:sz w:val="18"/>
                <w:szCs w:val="18"/>
              </w:rPr>
            </w:pPr>
            <w:r w:rsidRPr="008B6635">
              <w:rPr>
                <w:rFonts w:ascii="Arial" w:hAnsi="Arial" w:cs="Arial"/>
                <w:lang w:val="es-ES_tradnl"/>
              </w:rPr>
              <w:t>Reservas presupuestales constituidas a 31 de diciembre de 2024</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14:paraId="7B0121C2" w14:textId="77777777" w:rsidR="007E2F9F" w:rsidRPr="008B6635" w:rsidRDefault="007E2F9F" w:rsidP="006548F8">
            <w:pPr>
              <w:tabs>
                <w:tab w:val="left" w:pos="875"/>
              </w:tabs>
              <w:jc w:val="right"/>
              <w:rPr>
                <w:rFonts w:ascii="Arial" w:hAnsi="Arial" w:cs="Arial"/>
                <w:sz w:val="16"/>
                <w:szCs w:val="16"/>
              </w:rPr>
            </w:pPr>
            <w:r w:rsidRPr="008B6635">
              <w:rPr>
                <w:rFonts w:ascii="Arial" w:hAnsi="Arial" w:cs="Arial"/>
                <w:color w:val="000000"/>
                <w:sz w:val="16"/>
                <w:szCs w:val="16"/>
              </w:rPr>
              <w:t xml:space="preserve">132.478.193,36 </w:t>
            </w:r>
          </w:p>
        </w:tc>
      </w:tr>
      <w:tr w:rsidR="007E2F9F" w:rsidRPr="008B6635" w14:paraId="617D2EAC" w14:textId="77777777" w:rsidTr="003065C2">
        <w:tc>
          <w:tcPr>
            <w:tcW w:w="8931" w:type="dxa"/>
          </w:tcPr>
          <w:p w14:paraId="3F306568" w14:textId="77777777" w:rsidR="007E2F9F" w:rsidRPr="008B6635" w:rsidRDefault="007E2F9F" w:rsidP="006548F8">
            <w:pPr>
              <w:tabs>
                <w:tab w:val="left" w:pos="875"/>
              </w:tabs>
              <w:ind w:right="157"/>
              <w:rPr>
                <w:rFonts w:ascii="Arial" w:hAnsi="Arial" w:cs="Arial"/>
                <w:sz w:val="18"/>
                <w:szCs w:val="18"/>
              </w:rPr>
            </w:pPr>
            <w:r w:rsidRPr="008B6635">
              <w:rPr>
                <w:rFonts w:ascii="Arial" w:hAnsi="Arial" w:cs="Arial"/>
                <w:lang w:val="es-ES_tradnl"/>
              </w:rPr>
              <w:t>Cuentas por pagar constituidas a 31 de diciembre de 2024</w:t>
            </w:r>
          </w:p>
        </w:tc>
        <w:tc>
          <w:tcPr>
            <w:tcW w:w="1418" w:type="dxa"/>
            <w:tcBorders>
              <w:top w:val="nil"/>
              <w:left w:val="single" w:sz="8" w:space="0" w:color="auto"/>
              <w:bottom w:val="nil"/>
              <w:right w:val="single" w:sz="8" w:space="0" w:color="auto"/>
            </w:tcBorders>
            <w:shd w:val="clear" w:color="auto" w:fill="auto"/>
            <w:vAlign w:val="bottom"/>
          </w:tcPr>
          <w:p w14:paraId="3EAF2DCF" w14:textId="77777777" w:rsidR="007E2F9F" w:rsidRPr="008B6635" w:rsidRDefault="007E2F9F" w:rsidP="006548F8">
            <w:pPr>
              <w:tabs>
                <w:tab w:val="left" w:pos="875"/>
              </w:tabs>
              <w:jc w:val="right"/>
              <w:rPr>
                <w:rFonts w:ascii="Arial" w:hAnsi="Arial" w:cs="Arial"/>
                <w:sz w:val="16"/>
                <w:szCs w:val="16"/>
              </w:rPr>
            </w:pPr>
            <w:r w:rsidRPr="008B6635">
              <w:rPr>
                <w:rFonts w:ascii="Arial" w:hAnsi="Arial" w:cs="Arial"/>
                <w:sz w:val="16"/>
                <w:szCs w:val="16"/>
              </w:rPr>
              <w:t xml:space="preserve">18.392.000,68 </w:t>
            </w:r>
          </w:p>
        </w:tc>
      </w:tr>
      <w:tr w:rsidR="007E2F9F" w:rsidRPr="008B6635" w14:paraId="1D61FA74" w14:textId="77777777" w:rsidTr="003065C2">
        <w:tc>
          <w:tcPr>
            <w:tcW w:w="8931" w:type="dxa"/>
          </w:tcPr>
          <w:p w14:paraId="1A745979" w14:textId="77777777" w:rsidR="007E2F9F" w:rsidRPr="008B6635" w:rsidRDefault="007E2F9F" w:rsidP="006548F8">
            <w:pPr>
              <w:tabs>
                <w:tab w:val="left" w:pos="875"/>
              </w:tabs>
              <w:ind w:right="157"/>
              <w:rPr>
                <w:rFonts w:ascii="Arial" w:hAnsi="Arial" w:cs="Arial"/>
                <w:sz w:val="18"/>
                <w:szCs w:val="18"/>
              </w:rPr>
            </w:pPr>
            <w:r w:rsidRPr="008B6635">
              <w:rPr>
                <w:rFonts w:ascii="Arial" w:hAnsi="Arial" w:cs="Arial"/>
                <w:b/>
                <w:lang w:val="es-ES_tradnl"/>
              </w:rPr>
              <w:t>TOTAL REZAGO PRESUPUESTAL CONSTITUIDO A 31 DE DICIEMBRE DE 2024</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14:paraId="7C993A64" w14:textId="77777777" w:rsidR="007E2F9F" w:rsidRPr="008B6635" w:rsidRDefault="007E2F9F" w:rsidP="006548F8">
            <w:pPr>
              <w:tabs>
                <w:tab w:val="left" w:pos="875"/>
              </w:tabs>
              <w:jc w:val="right"/>
              <w:rPr>
                <w:rFonts w:ascii="Arial" w:hAnsi="Arial" w:cs="Arial"/>
                <w:b/>
                <w:sz w:val="16"/>
                <w:szCs w:val="16"/>
                <w:u w:val="single"/>
              </w:rPr>
            </w:pPr>
            <w:r w:rsidRPr="008B6635">
              <w:rPr>
                <w:rFonts w:ascii="Arial" w:hAnsi="Arial" w:cs="Arial"/>
                <w:b/>
                <w:bCs/>
                <w:color w:val="000000"/>
                <w:sz w:val="16"/>
                <w:szCs w:val="16"/>
              </w:rPr>
              <w:t xml:space="preserve">150.870.194,04 </w:t>
            </w:r>
          </w:p>
        </w:tc>
      </w:tr>
    </w:tbl>
    <w:p w14:paraId="52D1EBD0" w14:textId="77777777" w:rsidR="007E2F9F" w:rsidRPr="00B54567" w:rsidRDefault="007E2F9F" w:rsidP="007E2F9F">
      <w:pPr>
        <w:pStyle w:val="Textoindependiente"/>
        <w:spacing w:before="3"/>
      </w:pPr>
    </w:p>
    <w:p w14:paraId="5A5062D4" w14:textId="77777777" w:rsidR="007E2F9F" w:rsidRPr="003E370B" w:rsidRDefault="007E2F9F" w:rsidP="003065C2">
      <w:pPr>
        <w:ind w:left="-284"/>
        <w:jc w:val="both"/>
        <w:rPr>
          <w:rFonts w:ascii="Arial" w:hAnsi="Arial" w:cs="Arial"/>
          <w:b/>
          <w:sz w:val="28"/>
          <w:szCs w:val="28"/>
          <w:lang w:val="es-MX"/>
        </w:rPr>
      </w:pPr>
      <w:r w:rsidRPr="003E370B">
        <w:rPr>
          <w:rFonts w:ascii="Arial" w:hAnsi="Arial" w:cs="Arial"/>
          <w:b/>
          <w:sz w:val="28"/>
          <w:szCs w:val="28"/>
          <w:lang w:val="es-MX"/>
        </w:rPr>
        <w:t>264.- MINISTERIO DE EDUCACIÓN NACIONAL.</w:t>
      </w:r>
    </w:p>
    <w:p w14:paraId="58EC37CE"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546005" w14:paraId="118A0D1E" w14:textId="77777777" w:rsidTr="00143581">
        <w:tc>
          <w:tcPr>
            <w:tcW w:w="8789" w:type="dxa"/>
          </w:tcPr>
          <w:p w14:paraId="7925BD0A" w14:textId="77777777" w:rsidR="007E2F9F" w:rsidRPr="00546005" w:rsidRDefault="007E2F9F" w:rsidP="006548F8">
            <w:pPr>
              <w:tabs>
                <w:tab w:val="left" w:pos="875"/>
              </w:tabs>
              <w:ind w:right="157"/>
              <w:rPr>
                <w:rFonts w:ascii="Arial" w:hAnsi="Arial" w:cs="Arial"/>
                <w:sz w:val="18"/>
                <w:szCs w:val="18"/>
              </w:rPr>
            </w:pPr>
            <w:r w:rsidRPr="00546005">
              <w:rPr>
                <w:rFonts w:ascii="Arial" w:hAnsi="Arial" w:cs="Arial"/>
                <w:lang w:val="es-ES_tradnl"/>
              </w:rPr>
              <w:t>Reservas presupuestales constituidas a 31 de diciembre de 2024</w:t>
            </w:r>
          </w:p>
        </w:tc>
        <w:tc>
          <w:tcPr>
            <w:tcW w:w="1560" w:type="dxa"/>
          </w:tcPr>
          <w:p w14:paraId="37D2155B" w14:textId="77777777" w:rsidR="007E2F9F" w:rsidRPr="00546005" w:rsidRDefault="007E2F9F" w:rsidP="006548F8">
            <w:pPr>
              <w:tabs>
                <w:tab w:val="left" w:pos="875"/>
              </w:tabs>
              <w:jc w:val="right"/>
              <w:rPr>
                <w:rFonts w:ascii="Arial" w:hAnsi="Arial" w:cs="Arial"/>
                <w:sz w:val="18"/>
                <w:szCs w:val="18"/>
              </w:rPr>
            </w:pPr>
            <w:r w:rsidRPr="00546005">
              <w:rPr>
                <w:rFonts w:ascii="Arial" w:hAnsi="Arial" w:cs="Arial"/>
                <w:sz w:val="18"/>
                <w:szCs w:val="18"/>
              </w:rPr>
              <w:t>2.081.452.561</w:t>
            </w:r>
          </w:p>
        </w:tc>
      </w:tr>
      <w:tr w:rsidR="007E2F9F" w:rsidRPr="00546005" w14:paraId="1F0753C0" w14:textId="77777777" w:rsidTr="00143581">
        <w:tc>
          <w:tcPr>
            <w:tcW w:w="8789" w:type="dxa"/>
          </w:tcPr>
          <w:p w14:paraId="7825EF31" w14:textId="77777777" w:rsidR="007E2F9F" w:rsidRPr="00546005" w:rsidRDefault="007E2F9F" w:rsidP="006548F8">
            <w:pPr>
              <w:tabs>
                <w:tab w:val="left" w:pos="875"/>
              </w:tabs>
              <w:ind w:right="157"/>
              <w:rPr>
                <w:rFonts w:ascii="Arial" w:hAnsi="Arial" w:cs="Arial"/>
                <w:sz w:val="18"/>
                <w:szCs w:val="18"/>
              </w:rPr>
            </w:pPr>
            <w:r w:rsidRPr="00546005">
              <w:rPr>
                <w:rFonts w:ascii="Arial" w:hAnsi="Arial" w:cs="Arial"/>
                <w:lang w:val="es-ES_tradnl"/>
              </w:rPr>
              <w:t>Cuentas por pagar constituidas a 31 de diciembre de 2024</w:t>
            </w:r>
          </w:p>
        </w:tc>
        <w:tc>
          <w:tcPr>
            <w:tcW w:w="1560" w:type="dxa"/>
          </w:tcPr>
          <w:p w14:paraId="62562CF3" w14:textId="77777777" w:rsidR="007E2F9F" w:rsidRPr="00546005" w:rsidRDefault="007E2F9F" w:rsidP="006548F8">
            <w:pPr>
              <w:tabs>
                <w:tab w:val="left" w:pos="875"/>
              </w:tabs>
              <w:jc w:val="right"/>
              <w:rPr>
                <w:rFonts w:ascii="Arial" w:hAnsi="Arial" w:cs="Arial"/>
                <w:sz w:val="18"/>
                <w:szCs w:val="18"/>
              </w:rPr>
            </w:pPr>
            <w:r w:rsidRPr="00546005">
              <w:rPr>
                <w:rFonts w:ascii="Arial" w:hAnsi="Arial" w:cs="Arial"/>
                <w:sz w:val="18"/>
                <w:szCs w:val="18"/>
              </w:rPr>
              <w:t>104.093.380</w:t>
            </w:r>
          </w:p>
        </w:tc>
      </w:tr>
      <w:tr w:rsidR="007E2F9F" w:rsidRPr="00546005" w14:paraId="3C3D0163" w14:textId="77777777" w:rsidTr="00143581">
        <w:tc>
          <w:tcPr>
            <w:tcW w:w="8789" w:type="dxa"/>
          </w:tcPr>
          <w:p w14:paraId="7724AEAF" w14:textId="77777777" w:rsidR="007E2F9F" w:rsidRPr="00546005" w:rsidRDefault="007E2F9F" w:rsidP="006548F8">
            <w:pPr>
              <w:tabs>
                <w:tab w:val="left" w:pos="875"/>
              </w:tabs>
              <w:ind w:right="157"/>
              <w:rPr>
                <w:rFonts w:ascii="Arial" w:hAnsi="Arial" w:cs="Arial"/>
                <w:sz w:val="18"/>
                <w:szCs w:val="18"/>
              </w:rPr>
            </w:pPr>
            <w:r w:rsidRPr="00546005">
              <w:rPr>
                <w:rFonts w:ascii="Arial" w:hAnsi="Arial" w:cs="Arial"/>
                <w:b/>
                <w:lang w:val="es-ES_tradnl"/>
              </w:rPr>
              <w:t>TOTAL REZAGO PRESUPUESTAL CONSTITUIDO A 31 DE DICIEMBRE DE 2024</w:t>
            </w:r>
          </w:p>
        </w:tc>
        <w:tc>
          <w:tcPr>
            <w:tcW w:w="1560" w:type="dxa"/>
          </w:tcPr>
          <w:p w14:paraId="554E69C8" w14:textId="77777777" w:rsidR="007E2F9F" w:rsidRPr="00546005" w:rsidRDefault="007E2F9F" w:rsidP="006548F8">
            <w:pPr>
              <w:tabs>
                <w:tab w:val="left" w:pos="875"/>
              </w:tabs>
              <w:jc w:val="right"/>
              <w:rPr>
                <w:rFonts w:ascii="Arial" w:hAnsi="Arial" w:cs="Arial"/>
                <w:b/>
                <w:sz w:val="18"/>
                <w:szCs w:val="18"/>
                <w:u w:val="single"/>
              </w:rPr>
            </w:pPr>
            <w:r w:rsidRPr="00546005">
              <w:rPr>
                <w:rFonts w:ascii="Arial" w:hAnsi="Arial" w:cs="Arial"/>
                <w:b/>
                <w:sz w:val="18"/>
                <w:szCs w:val="18"/>
                <w:u w:val="single"/>
              </w:rPr>
              <w:t>2.185.545.941</w:t>
            </w:r>
          </w:p>
        </w:tc>
      </w:tr>
    </w:tbl>
    <w:p w14:paraId="0B6B03BE" w14:textId="77777777" w:rsidR="007E2F9F" w:rsidRDefault="007E2F9F" w:rsidP="007E2F9F">
      <w:pPr>
        <w:ind w:left="-142" w:right="-93"/>
        <w:jc w:val="both"/>
        <w:rPr>
          <w:rFonts w:ascii="Arial" w:hAnsi="Arial" w:cs="Arial"/>
          <w:lang w:val="es-MX"/>
        </w:rPr>
      </w:pPr>
    </w:p>
    <w:p w14:paraId="237B3C29" w14:textId="77777777" w:rsidR="007E2F9F" w:rsidRPr="00292B9C" w:rsidRDefault="007E2F9F" w:rsidP="00143581">
      <w:pPr>
        <w:ind w:hanging="284"/>
        <w:jc w:val="both"/>
        <w:rPr>
          <w:rFonts w:ascii="Arial" w:hAnsi="Arial" w:cs="Arial"/>
          <w:b/>
          <w:sz w:val="28"/>
          <w:szCs w:val="28"/>
          <w:lang w:val="es-MX"/>
        </w:rPr>
      </w:pPr>
      <w:r w:rsidRPr="00292B9C">
        <w:rPr>
          <w:rFonts w:ascii="Arial" w:hAnsi="Arial" w:cs="Arial"/>
          <w:b/>
          <w:sz w:val="28"/>
          <w:szCs w:val="28"/>
          <w:lang w:val="es-MX"/>
        </w:rPr>
        <w:t>267.- UNIDAD DE PLANEACIÓN MINERO ENERGÉTICA - UPME.</w:t>
      </w:r>
    </w:p>
    <w:p w14:paraId="49BFA3D8"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0C765D" w14:paraId="568C7809" w14:textId="77777777" w:rsidTr="00143581">
        <w:tc>
          <w:tcPr>
            <w:tcW w:w="8648" w:type="dxa"/>
          </w:tcPr>
          <w:p w14:paraId="57FD8316" w14:textId="77777777" w:rsidR="007E2F9F" w:rsidRPr="000C765D" w:rsidRDefault="007E2F9F" w:rsidP="006548F8">
            <w:pPr>
              <w:tabs>
                <w:tab w:val="left" w:pos="875"/>
              </w:tabs>
              <w:ind w:right="157"/>
              <w:rPr>
                <w:rFonts w:ascii="Arial" w:hAnsi="Arial" w:cs="Arial"/>
                <w:sz w:val="18"/>
                <w:szCs w:val="18"/>
              </w:rPr>
            </w:pPr>
            <w:r w:rsidRPr="000C765D">
              <w:rPr>
                <w:rFonts w:ascii="Arial" w:hAnsi="Arial" w:cs="Arial"/>
                <w:lang w:val="es-ES_tradnl"/>
              </w:rPr>
              <w:t>Reservas presupuestales constituidas a 31 de diciembre de 2024</w:t>
            </w:r>
          </w:p>
        </w:tc>
        <w:tc>
          <w:tcPr>
            <w:tcW w:w="1701" w:type="dxa"/>
          </w:tcPr>
          <w:p w14:paraId="339AD93B" w14:textId="77777777" w:rsidR="007E2F9F" w:rsidRPr="000C765D" w:rsidRDefault="007E2F9F" w:rsidP="006548F8">
            <w:pPr>
              <w:tabs>
                <w:tab w:val="left" w:pos="875"/>
              </w:tabs>
              <w:jc w:val="right"/>
              <w:rPr>
                <w:rFonts w:ascii="Arial" w:hAnsi="Arial" w:cs="Arial"/>
                <w:sz w:val="18"/>
                <w:szCs w:val="18"/>
              </w:rPr>
            </w:pPr>
            <w:r w:rsidRPr="000C765D">
              <w:rPr>
                <w:rFonts w:ascii="Arial" w:hAnsi="Arial" w:cs="Arial"/>
                <w:sz w:val="18"/>
                <w:szCs w:val="18"/>
              </w:rPr>
              <w:t>1.051</w:t>
            </w:r>
          </w:p>
        </w:tc>
      </w:tr>
      <w:tr w:rsidR="007E2F9F" w:rsidRPr="000C765D" w14:paraId="50E10471" w14:textId="77777777" w:rsidTr="00143581">
        <w:tc>
          <w:tcPr>
            <w:tcW w:w="8648" w:type="dxa"/>
          </w:tcPr>
          <w:p w14:paraId="65E5D5AC" w14:textId="77777777" w:rsidR="007E2F9F" w:rsidRPr="000C765D" w:rsidRDefault="007E2F9F" w:rsidP="006548F8">
            <w:pPr>
              <w:tabs>
                <w:tab w:val="left" w:pos="875"/>
              </w:tabs>
              <w:ind w:right="157"/>
              <w:rPr>
                <w:rFonts w:ascii="Arial" w:hAnsi="Arial" w:cs="Arial"/>
                <w:sz w:val="18"/>
                <w:szCs w:val="18"/>
              </w:rPr>
            </w:pPr>
            <w:r w:rsidRPr="000C765D">
              <w:rPr>
                <w:rFonts w:ascii="Arial" w:hAnsi="Arial" w:cs="Arial"/>
                <w:lang w:val="es-ES_tradnl"/>
              </w:rPr>
              <w:t>Cuentas por pagar constituidas a 31 de diciembre de 2024</w:t>
            </w:r>
          </w:p>
        </w:tc>
        <w:tc>
          <w:tcPr>
            <w:tcW w:w="1701" w:type="dxa"/>
          </w:tcPr>
          <w:p w14:paraId="3D43109C" w14:textId="77777777" w:rsidR="007E2F9F" w:rsidRPr="000C765D" w:rsidRDefault="007E2F9F" w:rsidP="006548F8">
            <w:pPr>
              <w:tabs>
                <w:tab w:val="left" w:pos="875"/>
              </w:tabs>
              <w:jc w:val="right"/>
              <w:rPr>
                <w:rFonts w:ascii="Arial" w:hAnsi="Arial" w:cs="Arial"/>
                <w:sz w:val="18"/>
                <w:szCs w:val="18"/>
              </w:rPr>
            </w:pPr>
            <w:r w:rsidRPr="000C765D">
              <w:rPr>
                <w:rFonts w:ascii="Arial" w:hAnsi="Arial" w:cs="Arial"/>
                <w:sz w:val="18"/>
                <w:szCs w:val="18"/>
              </w:rPr>
              <w:t>60.455</w:t>
            </w:r>
          </w:p>
        </w:tc>
      </w:tr>
      <w:tr w:rsidR="007E2F9F" w:rsidRPr="000C765D" w14:paraId="7D9C67BB" w14:textId="77777777" w:rsidTr="00143581">
        <w:tc>
          <w:tcPr>
            <w:tcW w:w="8648" w:type="dxa"/>
          </w:tcPr>
          <w:p w14:paraId="63743FBC" w14:textId="77777777" w:rsidR="007E2F9F" w:rsidRPr="000C765D" w:rsidRDefault="007E2F9F" w:rsidP="006548F8">
            <w:pPr>
              <w:tabs>
                <w:tab w:val="left" w:pos="875"/>
              </w:tabs>
              <w:ind w:right="157"/>
              <w:rPr>
                <w:rFonts w:ascii="Arial" w:hAnsi="Arial" w:cs="Arial"/>
                <w:sz w:val="18"/>
                <w:szCs w:val="18"/>
              </w:rPr>
            </w:pPr>
            <w:r w:rsidRPr="000C765D">
              <w:rPr>
                <w:rFonts w:ascii="Arial" w:hAnsi="Arial" w:cs="Arial"/>
                <w:b/>
                <w:lang w:val="es-ES_tradnl"/>
              </w:rPr>
              <w:t>TOTAL REZAGO PRESUPUESTAL CONSTITUIDO A 31 DE DICIEMBRE DE 2024</w:t>
            </w:r>
          </w:p>
        </w:tc>
        <w:tc>
          <w:tcPr>
            <w:tcW w:w="1701" w:type="dxa"/>
          </w:tcPr>
          <w:p w14:paraId="7DBE0395" w14:textId="77777777" w:rsidR="007E2F9F" w:rsidRPr="000C765D" w:rsidRDefault="007E2F9F" w:rsidP="006548F8">
            <w:pPr>
              <w:tabs>
                <w:tab w:val="left" w:pos="875"/>
              </w:tabs>
              <w:jc w:val="right"/>
              <w:rPr>
                <w:rFonts w:ascii="Arial" w:hAnsi="Arial" w:cs="Arial"/>
                <w:b/>
                <w:sz w:val="18"/>
                <w:szCs w:val="18"/>
                <w:u w:val="single"/>
              </w:rPr>
            </w:pPr>
            <w:r w:rsidRPr="000C765D">
              <w:rPr>
                <w:rFonts w:ascii="Arial" w:hAnsi="Arial" w:cs="Arial"/>
                <w:b/>
                <w:sz w:val="18"/>
                <w:szCs w:val="18"/>
                <w:u w:val="single"/>
              </w:rPr>
              <w:t>61.506</w:t>
            </w:r>
          </w:p>
        </w:tc>
      </w:tr>
    </w:tbl>
    <w:p w14:paraId="744473D5" w14:textId="77777777" w:rsidR="007E2F9F" w:rsidRPr="00B54567" w:rsidRDefault="007E2F9F" w:rsidP="007E2F9F">
      <w:pPr>
        <w:pStyle w:val="Textoindependiente"/>
        <w:spacing w:before="3"/>
      </w:pPr>
    </w:p>
    <w:p w14:paraId="011C98CF" w14:textId="77777777" w:rsidR="007E2F9F" w:rsidRPr="00E92A3B" w:rsidRDefault="007E2F9F" w:rsidP="00143581">
      <w:pPr>
        <w:ind w:left="-284" w:right="-93"/>
        <w:jc w:val="both"/>
        <w:rPr>
          <w:rFonts w:ascii="Arial" w:hAnsi="Arial" w:cs="Arial"/>
          <w:b/>
          <w:sz w:val="28"/>
          <w:szCs w:val="28"/>
          <w:lang w:val="es-MX"/>
        </w:rPr>
      </w:pPr>
      <w:r w:rsidRPr="00E92A3B">
        <w:rPr>
          <w:rFonts w:ascii="Arial" w:hAnsi="Arial" w:cs="Arial"/>
          <w:b/>
          <w:sz w:val="28"/>
          <w:szCs w:val="28"/>
          <w:lang w:val="es-MX"/>
        </w:rPr>
        <w:t>269.- DEPARTAMENTO ADMINISTRATIVO NACIONAL DE ESTADÍSTICA - DANE.</w:t>
      </w:r>
    </w:p>
    <w:p w14:paraId="411EFC5D" w14:textId="77777777" w:rsidR="007E2F9F" w:rsidRDefault="007E2F9F" w:rsidP="007E2F9F">
      <w:pPr>
        <w:ind w:left="-142" w:right="-93"/>
        <w:jc w:val="both"/>
        <w:rPr>
          <w:rFonts w:ascii="Arial" w:hAnsi="Arial" w:cs="Arial"/>
          <w:lang w:val="es-MX"/>
        </w:rPr>
      </w:pPr>
    </w:p>
    <w:tbl>
      <w:tblPr>
        <w:tblStyle w:val="TableNormal"/>
        <w:tblW w:w="10349"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648"/>
        <w:gridCol w:w="1701"/>
      </w:tblGrid>
      <w:tr w:rsidR="007E2F9F" w14:paraId="469EC2D3" w14:textId="77777777" w:rsidTr="00143581">
        <w:trPr>
          <w:trHeight w:val="305"/>
        </w:trPr>
        <w:tc>
          <w:tcPr>
            <w:tcW w:w="8648" w:type="dxa"/>
          </w:tcPr>
          <w:p w14:paraId="5CC45A58" w14:textId="77777777" w:rsidR="007E2F9F" w:rsidRDefault="007E2F9F" w:rsidP="006548F8">
            <w:pPr>
              <w:pStyle w:val="TableParagraph"/>
              <w:spacing w:before="17"/>
              <w:ind w:left="66"/>
              <w:rPr>
                <w:sz w:val="20"/>
              </w:rPr>
            </w:pPr>
            <w:r>
              <w:rPr>
                <w:sz w:val="20"/>
              </w:rPr>
              <w:t>Reservas</w:t>
            </w:r>
            <w:r>
              <w:rPr>
                <w:spacing w:val="-9"/>
                <w:sz w:val="20"/>
              </w:rPr>
              <w:t xml:space="preserve"> </w:t>
            </w:r>
            <w:r>
              <w:rPr>
                <w:sz w:val="20"/>
              </w:rPr>
              <w:t>presupuestales</w:t>
            </w:r>
            <w:r>
              <w:rPr>
                <w:spacing w:val="-4"/>
                <w:sz w:val="20"/>
              </w:rPr>
              <w:t xml:space="preserve"> </w:t>
            </w:r>
            <w:r>
              <w:rPr>
                <w:sz w:val="20"/>
              </w:rPr>
              <w:t>constituidas</w:t>
            </w:r>
            <w:r>
              <w:rPr>
                <w:spacing w:val="-9"/>
                <w:sz w:val="20"/>
              </w:rPr>
              <w:t xml:space="preserve"> </w:t>
            </w:r>
            <w:r>
              <w:rPr>
                <w:sz w:val="20"/>
              </w:rPr>
              <w:t>a</w:t>
            </w:r>
            <w:r>
              <w:rPr>
                <w:spacing w:val="-10"/>
                <w:sz w:val="20"/>
              </w:rPr>
              <w:t xml:space="preserve"> </w:t>
            </w:r>
            <w:r>
              <w:rPr>
                <w:sz w:val="20"/>
              </w:rPr>
              <w:t>31</w:t>
            </w:r>
            <w:r>
              <w:rPr>
                <w:spacing w:val="-8"/>
                <w:sz w:val="20"/>
              </w:rPr>
              <w:t xml:space="preserve"> </w:t>
            </w:r>
            <w:r>
              <w:rPr>
                <w:sz w:val="20"/>
              </w:rPr>
              <w:t>de</w:t>
            </w:r>
            <w:r>
              <w:rPr>
                <w:spacing w:val="-9"/>
                <w:sz w:val="20"/>
              </w:rPr>
              <w:t xml:space="preserve"> </w:t>
            </w:r>
            <w:r>
              <w:rPr>
                <w:sz w:val="20"/>
              </w:rPr>
              <w:t>diciembre</w:t>
            </w:r>
            <w:r>
              <w:rPr>
                <w:spacing w:val="-7"/>
                <w:sz w:val="20"/>
              </w:rPr>
              <w:t xml:space="preserve"> </w:t>
            </w:r>
            <w:r>
              <w:rPr>
                <w:sz w:val="20"/>
              </w:rPr>
              <w:t>de</w:t>
            </w:r>
            <w:r>
              <w:rPr>
                <w:spacing w:val="-7"/>
                <w:sz w:val="20"/>
              </w:rPr>
              <w:t xml:space="preserve"> </w:t>
            </w:r>
            <w:r>
              <w:rPr>
                <w:spacing w:val="-4"/>
                <w:sz w:val="20"/>
              </w:rPr>
              <w:t>2024</w:t>
            </w:r>
          </w:p>
        </w:tc>
        <w:tc>
          <w:tcPr>
            <w:tcW w:w="1701" w:type="dxa"/>
          </w:tcPr>
          <w:p w14:paraId="73CAD01C" w14:textId="77777777" w:rsidR="007E2F9F" w:rsidRDefault="007E2F9F" w:rsidP="006548F8">
            <w:pPr>
              <w:pStyle w:val="TableParagraph"/>
              <w:spacing w:before="17"/>
              <w:ind w:right="34"/>
              <w:jc w:val="right"/>
              <w:rPr>
                <w:sz w:val="20"/>
              </w:rPr>
            </w:pPr>
            <w:r>
              <w:rPr>
                <w:spacing w:val="-2"/>
                <w:sz w:val="20"/>
              </w:rPr>
              <w:t>111.120.707</w:t>
            </w:r>
          </w:p>
        </w:tc>
      </w:tr>
      <w:tr w:rsidR="007E2F9F" w14:paraId="76525294" w14:textId="77777777" w:rsidTr="00143581">
        <w:trPr>
          <w:trHeight w:val="286"/>
        </w:trPr>
        <w:tc>
          <w:tcPr>
            <w:tcW w:w="8648" w:type="dxa"/>
          </w:tcPr>
          <w:p w14:paraId="53A4EDD8" w14:textId="77777777" w:rsidR="007E2F9F" w:rsidRDefault="007E2F9F" w:rsidP="006548F8">
            <w:pPr>
              <w:pStyle w:val="TableParagraph"/>
              <w:spacing w:before="15" w:line="252" w:lineRule="exact"/>
              <w:ind w:left="66"/>
              <w:rPr>
                <w:sz w:val="20"/>
              </w:rPr>
            </w:pPr>
            <w:r>
              <w:rPr>
                <w:sz w:val="20"/>
              </w:rPr>
              <w:t>Cuentas</w:t>
            </w:r>
            <w:r>
              <w:rPr>
                <w:spacing w:val="-8"/>
                <w:sz w:val="20"/>
              </w:rPr>
              <w:t xml:space="preserve"> </w:t>
            </w:r>
            <w:r>
              <w:rPr>
                <w:sz w:val="20"/>
              </w:rPr>
              <w:t>por</w:t>
            </w:r>
            <w:r>
              <w:rPr>
                <w:spacing w:val="-10"/>
                <w:sz w:val="20"/>
              </w:rPr>
              <w:t xml:space="preserve"> </w:t>
            </w:r>
            <w:r>
              <w:rPr>
                <w:sz w:val="20"/>
              </w:rPr>
              <w:t>pagar</w:t>
            </w:r>
            <w:r>
              <w:rPr>
                <w:spacing w:val="-4"/>
                <w:sz w:val="20"/>
              </w:rPr>
              <w:t xml:space="preserve"> </w:t>
            </w:r>
            <w:r>
              <w:rPr>
                <w:sz w:val="20"/>
              </w:rPr>
              <w:t>constituidas</w:t>
            </w:r>
            <w:r>
              <w:rPr>
                <w:spacing w:val="-5"/>
                <w:sz w:val="20"/>
              </w:rPr>
              <w:t xml:space="preserve"> </w:t>
            </w:r>
            <w:r>
              <w:rPr>
                <w:sz w:val="20"/>
              </w:rPr>
              <w:t>a</w:t>
            </w:r>
            <w:r>
              <w:rPr>
                <w:spacing w:val="-9"/>
                <w:sz w:val="20"/>
              </w:rPr>
              <w:t xml:space="preserve"> </w:t>
            </w:r>
            <w:r>
              <w:rPr>
                <w:sz w:val="20"/>
              </w:rPr>
              <w:t>31</w:t>
            </w:r>
            <w:r>
              <w:rPr>
                <w:spacing w:val="-5"/>
                <w:sz w:val="20"/>
              </w:rPr>
              <w:t xml:space="preserve"> </w:t>
            </w:r>
            <w:r>
              <w:rPr>
                <w:sz w:val="20"/>
              </w:rPr>
              <w:t>de</w:t>
            </w:r>
            <w:r>
              <w:rPr>
                <w:spacing w:val="-5"/>
                <w:sz w:val="20"/>
              </w:rPr>
              <w:t xml:space="preserve"> </w:t>
            </w:r>
            <w:r>
              <w:rPr>
                <w:sz w:val="20"/>
              </w:rPr>
              <w:t>diciembre</w:t>
            </w:r>
            <w:r>
              <w:rPr>
                <w:spacing w:val="-5"/>
                <w:sz w:val="20"/>
              </w:rPr>
              <w:t xml:space="preserve"> </w:t>
            </w:r>
            <w:r>
              <w:rPr>
                <w:sz w:val="20"/>
              </w:rPr>
              <w:t>de</w:t>
            </w:r>
            <w:r>
              <w:rPr>
                <w:spacing w:val="-4"/>
                <w:sz w:val="20"/>
              </w:rPr>
              <w:t xml:space="preserve"> 2024</w:t>
            </w:r>
          </w:p>
        </w:tc>
        <w:tc>
          <w:tcPr>
            <w:tcW w:w="1701" w:type="dxa"/>
          </w:tcPr>
          <w:p w14:paraId="79456576" w14:textId="77777777" w:rsidR="007E2F9F" w:rsidRDefault="007E2F9F" w:rsidP="006548F8">
            <w:pPr>
              <w:pStyle w:val="TableParagraph"/>
              <w:spacing w:before="15" w:line="252" w:lineRule="exact"/>
              <w:ind w:right="34"/>
              <w:jc w:val="right"/>
              <w:rPr>
                <w:sz w:val="20"/>
              </w:rPr>
            </w:pPr>
            <w:r>
              <w:rPr>
                <w:spacing w:val="-2"/>
                <w:sz w:val="20"/>
              </w:rPr>
              <w:t>235.485</w:t>
            </w:r>
          </w:p>
        </w:tc>
      </w:tr>
      <w:tr w:rsidR="007E2F9F" w14:paraId="244E1138" w14:textId="77777777" w:rsidTr="00143581">
        <w:trPr>
          <w:trHeight w:val="291"/>
        </w:trPr>
        <w:tc>
          <w:tcPr>
            <w:tcW w:w="8648" w:type="dxa"/>
          </w:tcPr>
          <w:p w14:paraId="4F36FB90" w14:textId="77777777" w:rsidR="007E2F9F" w:rsidRDefault="007E2F9F" w:rsidP="006548F8">
            <w:pPr>
              <w:pStyle w:val="TableParagraph"/>
              <w:spacing w:before="15" w:line="256" w:lineRule="exact"/>
              <w:ind w:left="66"/>
              <w:rPr>
                <w:b/>
                <w:sz w:val="20"/>
              </w:rPr>
            </w:pPr>
            <w:r>
              <w:rPr>
                <w:b/>
                <w:sz w:val="20"/>
              </w:rPr>
              <w:t>TOTAL</w:t>
            </w:r>
            <w:r>
              <w:rPr>
                <w:b/>
                <w:spacing w:val="-9"/>
                <w:sz w:val="20"/>
              </w:rPr>
              <w:t xml:space="preserve"> </w:t>
            </w:r>
            <w:r>
              <w:rPr>
                <w:b/>
                <w:sz w:val="20"/>
              </w:rPr>
              <w:t>REZAGO</w:t>
            </w:r>
            <w:r>
              <w:rPr>
                <w:b/>
                <w:spacing w:val="-6"/>
                <w:sz w:val="20"/>
              </w:rPr>
              <w:t xml:space="preserve"> </w:t>
            </w:r>
            <w:r>
              <w:rPr>
                <w:b/>
                <w:sz w:val="20"/>
              </w:rPr>
              <w:t>PRESUPUESTAL</w:t>
            </w:r>
            <w:r>
              <w:rPr>
                <w:b/>
                <w:spacing w:val="-8"/>
                <w:sz w:val="20"/>
              </w:rPr>
              <w:t xml:space="preserve"> </w:t>
            </w:r>
            <w:r>
              <w:rPr>
                <w:b/>
                <w:sz w:val="20"/>
              </w:rPr>
              <w:t>CONSTITUIDO</w:t>
            </w:r>
            <w:r>
              <w:rPr>
                <w:b/>
                <w:spacing w:val="-9"/>
                <w:sz w:val="20"/>
              </w:rPr>
              <w:t xml:space="preserve"> </w:t>
            </w:r>
            <w:r>
              <w:rPr>
                <w:b/>
                <w:sz w:val="20"/>
              </w:rPr>
              <w:t>A</w:t>
            </w:r>
            <w:r>
              <w:rPr>
                <w:b/>
                <w:spacing w:val="-9"/>
                <w:sz w:val="20"/>
              </w:rPr>
              <w:t xml:space="preserve"> </w:t>
            </w:r>
            <w:r>
              <w:rPr>
                <w:b/>
                <w:sz w:val="20"/>
              </w:rPr>
              <w:t>31</w:t>
            </w:r>
            <w:r>
              <w:rPr>
                <w:b/>
                <w:spacing w:val="-9"/>
                <w:sz w:val="20"/>
              </w:rPr>
              <w:t xml:space="preserve"> </w:t>
            </w:r>
            <w:r>
              <w:rPr>
                <w:b/>
                <w:sz w:val="20"/>
              </w:rPr>
              <w:t>DE</w:t>
            </w:r>
            <w:r>
              <w:rPr>
                <w:b/>
                <w:spacing w:val="-7"/>
                <w:sz w:val="20"/>
              </w:rPr>
              <w:t xml:space="preserve"> </w:t>
            </w:r>
            <w:r>
              <w:rPr>
                <w:b/>
                <w:sz w:val="20"/>
              </w:rPr>
              <w:t>DICIEMBRE</w:t>
            </w:r>
            <w:r>
              <w:rPr>
                <w:b/>
                <w:spacing w:val="-11"/>
                <w:sz w:val="20"/>
              </w:rPr>
              <w:t xml:space="preserve"> </w:t>
            </w:r>
            <w:r>
              <w:rPr>
                <w:b/>
                <w:sz w:val="20"/>
              </w:rPr>
              <w:t>DE</w:t>
            </w:r>
            <w:r>
              <w:rPr>
                <w:b/>
                <w:spacing w:val="-7"/>
                <w:sz w:val="20"/>
              </w:rPr>
              <w:t xml:space="preserve"> </w:t>
            </w:r>
            <w:r>
              <w:rPr>
                <w:b/>
                <w:spacing w:val="-4"/>
                <w:sz w:val="20"/>
              </w:rPr>
              <w:t>2024</w:t>
            </w:r>
          </w:p>
        </w:tc>
        <w:tc>
          <w:tcPr>
            <w:tcW w:w="1701" w:type="dxa"/>
          </w:tcPr>
          <w:p w14:paraId="0B5DB0A3" w14:textId="77777777" w:rsidR="007E2F9F" w:rsidRDefault="007E2F9F" w:rsidP="006548F8">
            <w:pPr>
              <w:pStyle w:val="TableParagraph"/>
              <w:spacing w:before="15" w:line="256" w:lineRule="exact"/>
              <w:ind w:right="35"/>
              <w:jc w:val="right"/>
              <w:rPr>
                <w:b/>
                <w:sz w:val="20"/>
              </w:rPr>
            </w:pPr>
            <w:r>
              <w:rPr>
                <w:b/>
                <w:spacing w:val="-2"/>
                <w:sz w:val="20"/>
              </w:rPr>
              <w:t>111.356.192</w:t>
            </w:r>
          </w:p>
        </w:tc>
      </w:tr>
    </w:tbl>
    <w:p w14:paraId="61F74711" w14:textId="77777777" w:rsidR="007E2F9F" w:rsidRDefault="007E2F9F" w:rsidP="007E2F9F">
      <w:pPr>
        <w:ind w:left="-142" w:right="-93"/>
        <w:jc w:val="both"/>
        <w:rPr>
          <w:rFonts w:ascii="Arial" w:hAnsi="Arial" w:cs="Arial"/>
          <w:lang w:val="es-MX"/>
        </w:rPr>
      </w:pPr>
    </w:p>
    <w:p w14:paraId="666E3A14" w14:textId="77777777" w:rsidR="007E2F9F" w:rsidRPr="00F1100C" w:rsidRDefault="007E2F9F" w:rsidP="00143581">
      <w:pPr>
        <w:ind w:left="-284"/>
        <w:jc w:val="both"/>
        <w:rPr>
          <w:rFonts w:ascii="Arial" w:hAnsi="Arial" w:cs="Arial"/>
          <w:b/>
          <w:sz w:val="28"/>
          <w:szCs w:val="28"/>
          <w:lang w:val="es-MX"/>
        </w:rPr>
      </w:pPr>
      <w:r w:rsidRPr="00F1100C">
        <w:rPr>
          <w:rFonts w:ascii="Arial" w:hAnsi="Arial" w:cs="Arial"/>
          <w:b/>
          <w:sz w:val="28"/>
          <w:szCs w:val="28"/>
          <w:lang w:val="es-MX"/>
        </w:rPr>
        <w:t>272.- CORPORACIÓN AUTÓNOMA REGIONAL DEL ATLÁNTICO - CRA.</w:t>
      </w:r>
    </w:p>
    <w:p w14:paraId="2DB7087A"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F1100C" w14:paraId="3A88BA9D" w14:textId="77777777" w:rsidTr="00143581">
        <w:tc>
          <w:tcPr>
            <w:tcW w:w="8648" w:type="dxa"/>
          </w:tcPr>
          <w:p w14:paraId="61CD09C8" w14:textId="77777777" w:rsidR="007E2F9F" w:rsidRPr="00F1100C" w:rsidRDefault="007E2F9F" w:rsidP="006548F8">
            <w:pPr>
              <w:tabs>
                <w:tab w:val="left" w:pos="875"/>
              </w:tabs>
              <w:rPr>
                <w:rFonts w:ascii="Arial" w:hAnsi="Arial" w:cs="Arial"/>
                <w:sz w:val="18"/>
                <w:szCs w:val="18"/>
              </w:rPr>
            </w:pPr>
            <w:r w:rsidRPr="00F1100C">
              <w:rPr>
                <w:rFonts w:ascii="Arial" w:hAnsi="Arial" w:cs="Arial"/>
                <w:lang w:val="es-ES_tradnl"/>
              </w:rPr>
              <w:t>Reservas presupuestales constituidas a 31 de diciembre de 2024</w:t>
            </w:r>
          </w:p>
        </w:tc>
        <w:tc>
          <w:tcPr>
            <w:tcW w:w="1701" w:type="dxa"/>
          </w:tcPr>
          <w:p w14:paraId="11FD3937" w14:textId="77777777" w:rsidR="007E2F9F" w:rsidRPr="00F1100C" w:rsidRDefault="007E2F9F" w:rsidP="006548F8">
            <w:pPr>
              <w:tabs>
                <w:tab w:val="left" w:pos="875"/>
              </w:tabs>
              <w:jc w:val="right"/>
              <w:rPr>
                <w:rFonts w:ascii="Arial" w:hAnsi="Arial" w:cs="Arial"/>
                <w:sz w:val="18"/>
                <w:szCs w:val="18"/>
              </w:rPr>
            </w:pPr>
            <w:r w:rsidRPr="00F1100C">
              <w:rPr>
                <w:rFonts w:ascii="Arial" w:hAnsi="Arial" w:cs="Arial"/>
                <w:sz w:val="18"/>
                <w:szCs w:val="18"/>
              </w:rPr>
              <w:t>0</w:t>
            </w:r>
          </w:p>
        </w:tc>
      </w:tr>
      <w:tr w:rsidR="007E2F9F" w:rsidRPr="00F1100C" w14:paraId="62832A6D" w14:textId="77777777" w:rsidTr="00143581">
        <w:tc>
          <w:tcPr>
            <w:tcW w:w="8648" w:type="dxa"/>
          </w:tcPr>
          <w:p w14:paraId="2A6BE564" w14:textId="77777777" w:rsidR="007E2F9F" w:rsidRPr="00F1100C" w:rsidRDefault="007E2F9F" w:rsidP="006548F8">
            <w:pPr>
              <w:tabs>
                <w:tab w:val="left" w:pos="875"/>
              </w:tabs>
              <w:rPr>
                <w:rFonts w:ascii="Arial" w:hAnsi="Arial" w:cs="Arial"/>
                <w:sz w:val="18"/>
                <w:szCs w:val="18"/>
              </w:rPr>
            </w:pPr>
            <w:r w:rsidRPr="00F1100C">
              <w:rPr>
                <w:rFonts w:ascii="Arial" w:hAnsi="Arial" w:cs="Arial"/>
                <w:lang w:val="es-ES_tradnl"/>
              </w:rPr>
              <w:t>Cuentas por pagar constituidas a 31 de diciembre de 2024</w:t>
            </w:r>
          </w:p>
        </w:tc>
        <w:tc>
          <w:tcPr>
            <w:tcW w:w="1701" w:type="dxa"/>
          </w:tcPr>
          <w:p w14:paraId="084BE454" w14:textId="77777777" w:rsidR="007E2F9F" w:rsidRPr="00F1100C" w:rsidRDefault="007E2F9F" w:rsidP="006548F8">
            <w:pPr>
              <w:tabs>
                <w:tab w:val="left" w:pos="875"/>
              </w:tabs>
              <w:jc w:val="right"/>
              <w:rPr>
                <w:rFonts w:ascii="Arial" w:hAnsi="Arial" w:cs="Arial"/>
                <w:sz w:val="18"/>
                <w:szCs w:val="18"/>
              </w:rPr>
            </w:pPr>
            <w:r w:rsidRPr="00F1100C">
              <w:rPr>
                <w:rFonts w:ascii="Arial" w:hAnsi="Arial" w:cs="Arial"/>
                <w:sz w:val="18"/>
                <w:szCs w:val="18"/>
              </w:rPr>
              <w:t>11.764</w:t>
            </w:r>
          </w:p>
        </w:tc>
      </w:tr>
      <w:tr w:rsidR="007E2F9F" w:rsidRPr="00F1100C" w14:paraId="76014338" w14:textId="77777777" w:rsidTr="00143581">
        <w:tc>
          <w:tcPr>
            <w:tcW w:w="8648" w:type="dxa"/>
          </w:tcPr>
          <w:p w14:paraId="5CFF957A" w14:textId="77777777" w:rsidR="007E2F9F" w:rsidRPr="00F1100C" w:rsidRDefault="007E2F9F" w:rsidP="006548F8">
            <w:pPr>
              <w:tabs>
                <w:tab w:val="left" w:pos="875"/>
              </w:tabs>
              <w:rPr>
                <w:rFonts w:ascii="Arial" w:hAnsi="Arial" w:cs="Arial"/>
                <w:sz w:val="18"/>
                <w:szCs w:val="18"/>
              </w:rPr>
            </w:pPr>
            <w:r w:rsidRPr="00F1100C">
              <w:rPr>
                <w:rFonts w:ascii="Arial" w:hAnsi="Arial" w:cs="Arial"/>
                <w:b/>
                <w:lang w:val="es-ES_tradnl"/>
              </w:rPr>
              <w:t>TOTAL REZAGO PRESUPUESTAL CONSTITUIDO A 31 DE DICIEMBRE DE 2024</w:t>
            </w:r>
          </w:p>
        </w:tc>
        <w:tc>
          <w:tcPr>
            <w:tcW w:w="1701" w:type="dxa"/>
          </w:tcPr>
          <w:p w14:paraId="54164927" w14:textId="77777777" w:rsidR="007E2F9F" w:rsidRPr="00F1100C" w:rsidRDefault="007E2F9F" w:rsidP="006548F8">
            <w:pPr>
              <w:tabs>
                <w:tab w:val="left" w:pos="875"/>
              </w:tabs>
              <w:jc w:val="right"/>
              <w:rPr>
                <w:rFonts w:ascii="Arial" w:hAnsi="Arial" w:cs="Arial"/>
                <w:b/>
                <w:sz w:val="18"/>
                <w:szCs w:val="18"/>
                <w:u w:val="single"/>
              </w:rPr>
            </w:pPr>
            <w:r w:rsidRPr="00F1100C">
              <w:rPr>
                <w:rFonts w:ascii="Arial" w:hAnsi="Arial" w:cs="Arial"/>
                <w:b/>
                <w:sz w:val="18"/>
                <w:szCs w:val="18"/>
                <w:u w:val="single"/>
              </w:rPr>
              <w:t>11.764</w:t>
            </w:r>
          </w:p>
        </w:tc>
      </w:tr>
    </w:tbl>
    <w:p w14:paraId="297CA452" w14:textId="77777777" w:rsidR="007E2F9F" w:rsidRDefault="007E2F9F" w:rsidP="007E2F9F">
      <w:pPr>
        <w:ind w:left="-142" w:right="-93"/>
        <w:jc w:val="both"/>
        <w:rPr>
          <w:rFonts w:ascii="Arial" w:hAnsi="Arial" w:cs="Arial"/>
          <w:lang w:val="es-MX"/>
        </w:rPr>
      </w:pPr>
    </w:p>
    <w:p w14:paraId="2DB8A3B3" w14:textId="77777777" w:rsidR="007E2F9F" w:rsidRPr="001A2520" w:rsidRDefault="007E2F9F" w:rsidP="00143581">
      <w:pPr>
        <w:ind w:left="-284"/>
        <w:jc w:val="both"/>
        <w:rPr>
          <w:rFonts w:ascii="Arial" w:hAnsi="Arial" w:cs="Arial"/>
          <w:b/>
          <w:sz w:val="28"/>
          <w:szCs w:val="28"/>
          <w:lang w:val="es-MX"/>
        </w:rPr>
      </w:pPr>
      <w:r w:rsidRPr="001A2520">
        <w:rPr>
          <w:rFonts w:ascii="Arial" w:hAnsi="Arial" w:cs="Arial"/>
          <w:b/>
          <w:sz w:val="28"/>
          <w:szCs w:val="28"/>
          <w:lang w:val="es-MX"/>
        </w:rPr>
        <w:t>273.- FISCALÍA GENERAL DE LA NACIÓN.</w:t>
      </w:r>
    </w:p>
    <w:p w14:paraId="1F6CCF90" w14:textId="77777777" w:rsidR="007E2F9F" w:rsidRDefault="007E2F9F" w:rsidP="007E2F9F">
      <w:pPr>
        <w:ind w:left="-142"/>
        <w:jc w:val="both"/>
        <w:rPr>
          <w:rFonts w:ascii="Arial" w:hAnsi="Arial" w:cs="Arial"/>
          <w:b/>
          <w:sz w:val="28"/>
          <w:szCs w:val="28"/>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1A2520" w14:paraId="3F8437FD" w14:textId="77777777" w:rsidTr="00143581">
        <w:tc>
          <w:tcPr>
            <w:tcW w:w="8648" w:type="dxa"/>
          </w:tcPr>
          <w:p w14:paraId="2C63905E" w14:textId="77777777" w:rsidR="007E2F9F" w:rsidRPr="001A2520" w:rsidRDefault="007E2F9F" w:rsidP="006548F8">
            <w:pPr>
              <w:tabs>
                <w:tab w:val="left" w:pos="875"/>
              </w:tabs>
              <w:rPr>
                <w:rFonts w:ascii="Arial" w:hAnsi="Arial" w:cs="Arial"/>
                <w:sz w:val="18"/>
                <w:szCs w:val="18"/>
              </w:rPr>
            </w:pPr>
            <w:r w:rsidRPr="001A2520">
              <w:rPr>
                <w:rFonts w:ascii="Arial" w:hAnsi="Arial" w:cs="Arial"/>
                <w:lang w:val="es-ES_tradnl"/>
              </w:rPr>
              <w:t>Reservas presupuestales constituidas a 31 de diciembre de 2024</w:t>
            </w:r>
          </w:p>
        </w:tc>
        <w:tc>
          <w:tcPr>
            <w:tcW w:w="1701" w:type="dxa"/>
          </w:tcPr>
          <w:p w14:paraId="02A643D0" w14:textId="77777777" w:rsidR="007E2F9F" w:rsidRPr="001A2520" w:rsidRDefault="007E2F9F" w:rsidP="006548F8">
            <w:pPr>
              <w:tabs>
                <w:tab w:val="left" w:pos="875"/>
              </w:tabs>
              <w:jc w:val="right"/>
              <w:rPr>
                <w:rFonts w:ascii="Arial" w:hAnsi="Arial" w:cs="Arial"/>
                <w:sz w:val="18"/>
                <w:szCs w:val="18"/>
              </w:rPr>
            </w:pPr>
            <w:r w:rsidRPr="001A2520">
              <w:rPr>
                <w:rFonts w:ascii="Arial" w:hAnsi="Arial" w:cs="Arial"/>
                <w:sz w:val="18"/>
                <w:szCs w:val="18"/>
              </w:rPr>
              <w:t>298.651.918</w:t>
            </w:r>
          </w:p>
        </w:tc>
      </w:tr>
      <w:tr w:rsidR="007E2F9F" w:rsidRPr="001A2520" w14:paraId="396AB75D" w14:textId="77777777" w:rsidTr="00143581">
        <w:tc>
          <w:tcPr>
            <w:tcW w:w="8648" w:type="dxa"/>
          </w:tcPr>
          <w:p w14:paraId="4E64ABF2" w14:textId="77777777" w:rsidR="007E2F9F" w:rsidRPr="001A2520" w:rsidRDefault="007E2F9F" w:rsidP="006548F8">
            <w:pPr>
              <w:tabs>
                <w:tab w:val="left" w:pos="875"/>
              </w:tabs>
              <w:rPr>
                <w:rFonts w:ascii="Arial" w:hAnsi="Arial" w:cs="Arial"/>
                <w:sz w:val="18"/>
                <w:szCs w:val="18"/>
              </w:rPr>
            </w:pPr>
            <w:r w:rsidRPr="001A2520">
              <w:rPr>
                <w:rFonts w:ascii="Arial" w:hAnsi="Arial" w:cs="Arial"/>
                <w:lang w:val="es-ES_tradnl"/>
              </w:rPr>
              <w:t>Cuentas por pagar constituidas a 31 de diciembre de 2024</w:t>
            </w:r>
          </w:p>
        </w:tc>
        <w:tc>
          <w:tcPr>
            <w:tcW w:w="1701" w:type="dxa"/>
          </w:tcPr>
          <w:p w14:paraId="072534E4" w14:textId="77777777" w:rsidR="007E2F9F" w:rsidRPr="001A2520" w:rsidRDefault="007E2F9F" w:rsidP="006548F8">
            <w:pPr>
              <w:tabs>
                <w:tab w:val="left" w:pos="875"/>
              </w:tabs>
              <w:jc w:val="right"/>
              <w:rPr>
                <w:rFonts w:ascii="Arial" w:hAnsi="Arial" w:cs="Arial"/>
                <w:sz w:val="18"/>
                <w:szCs w:val="18"/>
              </w:rPr>
            </w:pPr>
            <w:r w:rsidRPr="001A2520">
              <w:rPr>
                <w:rFonts w:ascii="Arial" w:hAnsi="Arial" w:cs="Arial"/>
                <w:sz w:val="18"/>
                <w:szCs w:val="18"/>
              </w:rPr>
              <w:t>971.296</w:t>
            </w:r>
          </w:p>
        </w:tc>
      </w:tr>
      <w:tr w:rsidR="007E2F9F" w:rsidRPr="001A2520" w14:paraId="49D43985" w14:textId="77777777" w:rsidTr="00143581">
        <w:tc>
          <w:tcPr>
            <w:tcW w:w="8648" w:type="dxa"/>
          </w:tcPr>
          <w:p w14:paraId="4E094EE4" w14:textId="77777777" w:rsidR="007E2F9F" w:rsidRPr="001A2520" w:rsidRDefault="007E2F9F" w:rsidP="006548F8">
            <w:pPr>
              <w:tabs>
                <w:tab w:val="left" w:pos="875"/>
              </w:tabs>
              <w:rPr>
                <w:rFonts w:ascii="Arial" w:hAnsi="Arial" w:cs="Arial"/>
                <w:sz w:val="18"/>
                <w:szCs w:val="18"/>
              </w:rPr>
            </w:pPr>
            <w:r w:rsidRPr="001A2520">
              <w:rPr>
                <w:rFonts w:ascii="Arial" w:hAnsi="Arial" w:cs="Arial"/>
                <w:b/>
                <w:lang w:val="es-ES_tradnl"/>
              </w:rPr>
              <w:t>TOTAL REZAGO PRESUPUESTAL CONSTITUIDO A 31 DE DICIEMBRE DE 2024</w:t>
            </w:r>
          </w:p>
        </w:tc>
        <w:tc>
          <w:tcPr>
            <w:tcW w:w="1701" w:type="dxa"/>
          </w:tcPr>
          <w:p w14:paraId="56244E14" w14:textId="77777777" w:rsidR="007E2F9F" w:rsidRPr="001A2520" w:rsidRDefault="007E2F9F" w:rsidP="006548F8">
            <w:pPr>
              <w:tabs>
                <w:tab w:val="left" w:pos="875"/>
              </w:tabs>
              <w:jc w:val="right"/>
              <w:rPr>
                <w:rFonts w:ascii="Arial" w:hAnsi="Arial" w:cs="Arial"/>
                <w:b/>
                <w:sz w:val="18"/>
                <w:szCs w:val="18"/>
                <w:u w:val="single"/>
              </w:rPr>
            </w:pPr>
            <w:r w:rsidRPr="001A2520">
              <w:rPr>
                <w:rFonts w:ascii="Arial" w:hAnsi="Arial" w:cs="Arial"/>
                <w:b/>
                <w:sz w:val="18"/>
                <w:szCs w:val="18"/>
                <w:u w:val="single"/>
              </w:rPr>
              <w:t>299.623.214</w:t>
            </w:r>
          </w:p>
        </w:tc>
      </w:tr>
    </w:tbl>
    <w:p w14:paraId="6DAF7E80" w14:textId="77777777" w:rsidR="007E2F9F" w:rsidRDefault="007E2F9F" w:rsidP="007E2F9F">
      <w:pPr>
        <w:ind w:left="-142"/>
        <w:jc w:val="both"/>
        <w:rPr>
          <w:rFonts w:ascii="Arial" w:hAnsi="Arial" w:cs="Arial"/>
          <w:b/>
          <w:sz w:val="28"/>
          <w:szCs w:val="28"/>
          <w:lang w:val="es-MX"/>
        </w:rPr>
      </w:pPr>
    </w:p>
    <w:p w14:paraId="0094F6E1" w14:textId="77777777" w:rsidR="007E2F9F" w:rsidRPr="00C927E4" w:rsidRDefault="007E2F9F" w:rsidP="00143581">
      <w:pPr>
        <w:ind w:left="-284"/>
        <w:jc w:val="both"/>
        <w:rPr>
          <w:rFonts w:ascii="Arial" w:hAnsi="Arial" w:cs="Arial"/>
          <w:b/>
          <w:sz w:val="28"/>
          <w:szCs w:val="28"/>
          <w:lang w:val="es-MX"/>
        </w:rPr>
      </w:pPr>
      <w:r w:rsidRPr="00C927E4">
        <w:rPr>
          <w:rFonts w:ascii="Arial" w:hAnsi="Arial" w:cs="Arial"/>
          <w:b/>
          <w:sz w:val="28"/>
          <w:szCs w:val="28"/>
          <w:lang w:val="es-MX"/>
        </w:rPr>
        <w:t>27</w:t>
      </w:r>
      <w:r>
        <w:rPr>
          <w:rFonts w:ascii="Arial" w:hAnsi="Arial" w:cs="Arial"/>
          <w:b/>
          <w:sz w:val="28"/>
          <w:szCs w:val="28"/>
          <w:lang w:val="es-MX"/>
        </w:rPr>
        <w:t>4</w:t>
      </w:r>
      <w:r w:rsidRPr="00C927E4">
        <w:rPr>
          <w:rFonts w:ascii="Arial" w:hAnsi="Arial" w:cs="Arial"/>
          <w:b/>
          <w:sz w:val="28"/>
          <w:szCs w:val="28"/>
          <w:lang w:val="es-MX"/>
        </w:rPr>
        <w:t xml:space="preserve">.- CONTRALORÍA GENERAL DE LA REPÚBLICA – CGR. </w:t>
      </w:r>
    </w:p>
    <w:p w14:paraId="6DCFCB4F" w14:textId="77777777" w:rsidR="007E2F9F" w:rsidRDefault="007E2F9F" w:rsidP="007E2F9F">
      <w:pPr>
        <w:ind w:left="-284" w:right="-234"/>
        <w:jc w:val="both"/>
        <w:rPr>
          <w:rFonts w:ascii="Arial" w:hAnsi="Arial" w:cs="Arial"/>
          <w:b/>
          <w:bCs/>
          <w:sz w:val="28"/>
          <w:szCs w:val="28"/>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8F57F4" w14:paraId="1AD79370" w14:textId="77777777" w:rsidTr="00143581">
        <w:tc>
          <w:tcPr>
            <w:tcW w:w="8648" w:type="dxa"/>
          </w:tcPr>
          <w:p w14:paraId="57B79108" w14:textId="77777777" w:rsidR="007E2F9F" w:rsidRPr="008F57F4" w:rsidRDefault="007E2F9F" w:rsidP="006548F8">
            <w:pPr>
              <w:tabs>
                <w:tab w:val="left" w:pos="875"/>
              </w:tabs>
              <w:ind w:right="157"/>
              <w:rPr>
                <w:rFonts w:ascii="Arial" w:hAnsi="Arial" w:cs="Arial"/>
                <w:sz w:val="18"/>
                <w:szCs w:val="18"/>
              </w:rPr>
            </w:pPr>
            <w:r w:rsidRPr="008F57F4">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3843C489" w14:textId="77777777" w:rsidR="007E2F9F" w:rsidRPr="008F57F4" w:rsidRDefault="007E2F9F" w:rsidP="006548F8">
            <w:pPr>
              <w:tabs>
                <w:tab w:val="left" w:pos="875"/>
              </w:tabs>
              <w:jc w:val="right"/>
              <w:rPr>
                <w:rFonts w:ascii="Arial" w:hAnsi="Arial" w:cs="Arial"/>
                <w:sz w:val="16"/>
                <w:szCs w:val="16"/>
              </w:rPr>
            </w:pPr>
            <w:r w:rsidRPr="008F57F4">
              <w:rPr>
                <w:rFonts w:ascii="Arial" w:hAnsi="Arial" w:cs="Arial"/>
                <w:color w:val="000000"/>
                <w:sz w:val="16"/>
                <w:szCs w:val="16"/>
              </w:rPr>
              <w:t xml:space="preserve">61.300 </w:t>
            </w:r>
          </w:p>
        </w:tc>
      </w:tr>
      <w:tr w:rsidR="007E2F9F" w:rsidRPr="008F57F4" w14:paraId="0933F1C5" w14:textId="77777777" w:rsidTr="00143581">
        <w:tc>
          <w:tcPr>
            <w:tcW w:w="8648" w:type="dxa"/>
          </w:tcPr>
          <w:p w14:paraId="5B3FF718" w14:textId="77777777" w:rsidR="007E2F9F" w:rsidRPr="008F57F4" w:rsidRDefault="007E2F9F" w:rsidP="006548F8">
            <w:pPr>
              <w:tabs>
                <w:tab w:val="left" w:pos="875"/>
              </w:tabs>
              <w:ind w:right="157"/>
              <w:rPr>
                <w:rFonts w:ascii="Arial" w:hAnsi="Arial" w:cs="Arial"/>
                <w:sz w:val="18"/>
                <w:szCs w:val="18"/>
              </w:rPr>
            </w:pPr>
            <w:r w:rsidRPr="008F57F4">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3FF73188" w14:textId="77777777" w:rsidR="007E2F9F" w:rsidRPr="008F57F4" w:rsidRDefault="007E2F9F" w:rsidP="006548F8">
            <w:pPr>
              <w:tabs>
                <w:tab w:val="left" w:pos="875"/>
              </w:tabs>
              <w:jc w:val="right"/>
              <w:rPr>
                <w:rFonts w:ascii="Arial" w:hAnsi="Arial" w:cs="Arial"/>
                <w:sz w:val="16"/>
                <w:szCs w:val="16"/>
              </w:rPr>
            </w:pPr>
            <w:r w:rsidRPr="008F57F4">
              <w:rPr>
                <w:rFonts w:ascii="Arial" w:hAnsi="Arial" w:cs="Arial"/>
                <w:sz w:val="16"/>
                <w:szCs w:val="16"/>
              </w:rPr>
              <w:t xml:space="preserve">18 </w:t>
            </w:r>
          </w:p>
        </w:tc>
      </w:tr>
      <w:tr w:rsidR="007E2F9F" w:rsidRPr="008F57F4" w14:paraId="0D21A001" w14:textId="77777777" w:rsidTr="00143581">
        <w:tc>
          <w:tcPr>
            <w:tcW w:w="8648" w:type="dxa"/>
          </w:tcPr>
          <w:p w14:paraId="28CED15C" w14:textId="77777777" w:rsidR="007E2F9F" w:rsidRPr="008F57F4" w:rsidRDefault="007E2F9F" w:rsidP="006548F8">
            <w:pPr>
              <w:tabs>
                <w:tab w:val="left" w:pos="875"/>
              </w:tabs>
              <w:ind w:right="157"/>
              <w:rPr>
                <w:rFonts w:ascii="Arial" w:hAnsi="Arial" w:cs="Arial"/>
                <w:sz w:val="18"/>
                <w:szCs w:val="18"/>
              </w:rPr>
            </w:pPr>
            <w:r w:rsidRPr="008F57F4">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21427224" w14:textId="77777777" w:rsidR="007E2F9F" w:rsidRPr="008F57F4" w:rsidRDefault="007E2F9F" w:rsidP="006548F8">
            <w:pPr>
              <w:tabs>
                <w:tab w:val="left" w:pos="875"/>
              </w:tabs>
              <w:jc w:val="right"/>
              <w:rPr>
                <w:rFonts w:ascii="Arial" w:hAnsi="Arial" w:cs="Arial"/>
                <w:sz w:val="16"/>
                <w:szCs w:val="16"/>
                <w:u w:val="single"/>
              </w:rPr>
            </w:pPr>
            <w:r w:rsidRPr="008F57F4">
              <w:rPr>
                <w:rFonts w:ascii="Arial" w:hAnsi="Arial" w:cs="Arial"/>
                <w:color w:val="000000"/>
                <w:sz w:val="16"/>
                <w:szCs w:val="16"/>
              </w:rPr>
              <w:t xml:space="preserve">61.318 </w:t>
            </w:r>
          </w:p>
        </w:tc>
      </w:tr>
    </w:tbl>
    <w:p w14:paraId="5E04006E" w14:textId="77777777" w:rsidR="007E2F9F" w:rsidRDefault="007E2F9F" w:rsidP="007E2F9F">
      <w:pPr>
        <w:ind w:left="-142" w:right="-93"/>
        <w:jc w:val="both"/>
        <w:rPr>
          <w:rFonts w:ascii="Arial" w:hAnsi="Arial" w:cs="Arial"/>
          <w:lang w:val="es-MX"/>
        </w:rPr>
      </w:pPr>
    </w:p>
    <w:p w14:paraId="5A917365" w14:textId="77777777" w:rsidR="007E2F9F" w:rsidRPr="009B5803" w:rsidRDefault="007E2F9F" w:rsidP="00143581">
      <w:pPr>
        <w:ind w:left="-284" w:right="-93"/>
        <w:jc w:val="both"/>
        <w:rPr>
          <w:rFonts w:ascii="Arial" w:hAnsi="Arial" w:cs="Arial"/>
          <w:b/>
          <w:sz w:val="28"/>
          <w:szCs w:val="28"/>
          <w:lang w:val="es-MX"/>
        </w:rPr>
      </w:pPr>
      <w:r w:rsidRPr="009B5803">
        <w:rPr>
          <w:rFonts w:ascii="Arial" w:hAnsi="Arial" w:cs="Arial"/>
          <w:b/>
          <w:sz w:val="28"/>
          <w:szCs w:val="28"/>
          <w:lang w:val="es-MX"/>
        </w:rPr>
        <w:t>275.- CORPORACIÓN AUTÓNOMA REGIONAL DE LA GUAJIRA - CORPOGUAJIRA.</w:t>
      </w:r>
    </w:p>
    <w:p w14:paraId="1904D810"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7E4BA3" w14:paraId="1CCD24D1" w14:textId="77777777" w:rsidTr="00143581">
        <w:tc>
          <w:tcPr>
            <w:tcW w:w="8648" w:type="dxa"/>
          </w:tcPr>
          <w:p w14:paraId="69E1A6A4" w14:textId="77777777" w:rsidR="007E2F9F" w:rsidRPr="007E4BA3" w:rsidRDefault="007E2F9F" w:rsidP="006548F8">
            <w:pPr>
              <w:tabs>
                <w:tab w:val="left" w:pos="875"/>
              </w:tabs>
              <w:ind w:right="157"/>
              <w:rPr>
                <w:rFonts w:ascii="Arial" w:hAnsi="Arial" w:cs="Arial"/>
                <w:sz w:val="18"/>
                <w:szCs w:val="18"/>
              </w:rPr>
            </w:pPr>
            <w:r w:rsidRPr="007E4BA3">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10C2D0B3" w14:textId="77777777" w:rsidR="007E2F9F" w:rsidRPr="007E4BA3" w:rsidRDefault="007E2F9F" w:rsidP="006548F8">
            <w:pPr>
              <w:tabs>
                <w:tab w:val="left" w:pos="875"/>
              </w:tabs>
              <w:jc w:val="right"/>
              <w:rPr>
                <w:rFonts w:ascii="Arial" w:hAnsi="Arial" w:cs="Arial"/>
                <w:sz w:val="16"/>
                <w:szCs w:val="16"/>
              </w:rPr>
            </w:pPr>
            <w:r w:rsidRPr="007E4BA3">
              <w:rPr>
                <w:rFonts w:ascii="Arial" w:hAnsi="Arial" w:cs="Arial"/>
                <w:color w:val="000000"/>
                <w:sz w:val="16"/>
                <w:szCs w:val="16"/>
              </w:rPr>
              <w:t xml:space="preserve">3.580.097.061,93 </w:t>
            </w:r>
          </w:p>
        </w:tc>
      </w:tr>
      <w:tr w:rsidR="007E2F9F" w:rsidRPr="007E4BA3" w14:paraId="2E064AD9" w14:textId="77777777" w:rsidTr="00143581">
        <w:tc>
          <w:tcPr>
            <w:tcW w:w="8648" w:type="dxa"/>
          </w:tcPr>
          <w:p w14:paraId="050A2BD6" w14:textId="77777777" w:rsidR="007E2F9F" w:rsidRPr="007E4BA3" w:rsidRDefault="007E2F9F" w:rsidP="006548F8">
            <w:pPr>
              <w:tabs>
                <w:tab w:val="left" w:pos="875"/>
              </w:tabs>
              <w:ind w:right="157"/>
              <w:rPr>
                <w:rFonts w:ascii="Arial" w:hAnsi="Arial" w:cs="Arial"/>
                <w:sz w:val="18"/>
                <w:szCs w:val="18"/>
              </w:rPr>
            </w:pPr>
            <w:r w:rsidRPr="007E4BA3">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72407646" w14:textId="77777777" w:rsidR="007E2F9F" w:rsidRPr="007E4BA3" w:rsidRDefault="007E2F9F" w:rsidP="006548F8">
            <w:pPr>
              <w:tabs>
                <w:tab w:val="left" w:pos="875"/>
              </w:tabs>
              <w:jc w:val="right"/>
              <w:rPr>
                <w:rFonts w:ascii="Arial" w:hAnsi="Arial" w:cs="Arial"/>
                <w:sz w:val="16"/>
                <w:szCs w:val="16"/>
              </w:rPr>
            </w:pPr>
            <w:r w:rsidRPr="007E4BA3">
              <w:rPr>
                <w:rFonts w:ascii="Arial" w:hAnsi="Arial" w:cs="Arial"/>
                <w:sz w:val="16"/>
                <w:szCs w:val="16"/>
              </w:rPr>
              <w:t xml:space="preserve">79.028.154,75 </w:t>
            </w:r>
          </w:p>
        </w:tc>
      </w:tr>
      <w:tr w:rsidR="007E2F9F" w:rsidRPr="007E4BA3" w14:paraId="5DE9D23C" w14:textId="77777777" w:rsidTr="00143581">
        <w:tc>
          <w:tcPr>
            <w:tcW w:w="8648" w:type="dxa"/>
          </w:tcPr>
          <w:p w14:paraId="42724491" w14:textId="77777777" w:rsidR="007E2F9F" w:rsidRPr="007E4BA3" w:rsidRDefault="007E2F9F" w:rsidP="006548F8">
            <w:pPr>
              <w:tabs>
                <w:tab w:val="left" w:pos="875"/>
              </w:tabs>
              <w:ind w:right="157"/>
              <w:rPr>
                <w:rFonts w:ascii="Arial" w:hAnsi="Arial" w:cs="Arial"/>
                <w:sz w:val="18"/>
                <w:szCs w:val="18"/>
              </w:rPr>
            </w:pPr>
            <w:r w:rsidRPr="007E4BA3">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34BD516F" w14:textId="77777777" w:rsidR="007E2F9F" w:rsidRPr="007E4BA3" w:rsidRDefault="007E2F9F" w:rsidP="006548F8">
            <w:pPr>
              <w:tabs>
                <w:tab w:val="left" w:pos="875"/>
              </w:tabs>
              <w:jc w:val="right"/>
              <w:rPr>
                <w:rFonts w:ascii="Arial" w:hAnsi="Arial" w:cs="Arial"/>
                <w:sz w:val="16"/>
                <w:szCs w:val="16"/>
                <w:u w:val="single"/>
              </w:rPr>
            </w:pPr>
            <w:r w:rsidRPr="007E4BA3">
              <w:rPr>
                <w:rFonts w:ascii="Arial" w:hAnsi="Arial" w:cs="Arial"/>
                <w:color w:val="000000"/>
                <w:sz w:val="16"/>
                <w:szCs w:val="16"/>
              </w:rPr>
              <w:t xml:space="preserve">3.659.125.216,68 </w:t>
            </w:r>
          </w:p>
        </w:tc>
      </w:tr>
    </w:tbl>
    <w:p w14:paraId="6E332980" w14:textId="77777777" w:rsidR="007E2F9F" w:rsidRDefault="007E2F9F" w:rsidP="007E2F9F">
      <w:pPr>
        <w:ind w:left="-142" w:right="-93"/>
        <w:jc w:val="both"/>
        <w:rPr>
          <w:rFonts w:ascii="Arial" w:hAnsi="Arial" w:cs="Arial"/>
          <w:lang w:val="es-MX"/>
        </w:rPr>
      </w:pPr>
    </w:p>
    <w:p w14:paraId="3BCC0E4F" w14:textId="77777777" w:rsidR="007E2F9F" w:rsidRPr="001B59EE" w:rsidRDefault="007E2F9F" w:rsidP="00143581">
      <w:pPr>
        <w:ind w:left="-284"/>
        <w:jc w:val="both"/>
        <w:rPr>
          <w:rFonts w:ascii="Arial" w:hAnsi="Arial" w:cs="Arial"/>
          <w:b/>
          <w:sz w:val="28"/>
          <w:szCs w:val="28"/>
          <w:lang w:val="es-MX"/>
        </w:rPr>
      </w:pPr>
      <w:r w:rsidRPr="001B59EE">
        <w:rPr>
          <w:rFonts w:ascii="Arial" w:hAnsi="Arial" w:cs="Arial"/>
          <w:b/>
          <w:sz w:val="28"/>
          <w:szCs w:val="28"/>
          <w:lang w:val="es-MX"/>
        </w:rPr>
        <w:t>276.- INSTITUTO COLOMBIANO AGROPECUARIO – ICA.</w:t>
      </w:r>
    </w:p>
    <w:p w14:paraId="1E4DBB74"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364"/>
        <w:gridCol w:w="1985"/>
      </w:tblGrid>
      <w:tr w:rsidR="007E2F9F" w:rsidRPr="006215C2" w14:paraId="646D8E49" w14:textId="77777777" w:rsidTr="00143581">
        <w:tc>
          <w:tcPr>
            <w:tcW w:w="8364" w:type="dxa"/>
          </w:tcPr>
          <w:p w14:paraId="271D00F2" w14:textId="77777777" w:rsidR="007E2F9F" w:rsidRPr="006215C2" w:rsidRDefault="007E2F9F" w:rsidP="006548F8">
            <w:pPr>
              <w:tabs>
                <w:tab w:val="left" w:pos="875"/>
              </w:tabs>
              <w:ind w:right="157"/>
              <w:rPr>
                <w:rFonts w:ascii="Arial" w:hAnsi="Arial" w:cs="Arial"/>
                <w:sz w:val="18"/>
                <w:szCs w:val="18"/>
              </w:rPr>
            </w:pPr>
            <w:r w:rsidRPr="006215C2">
              <w:rPr>
                <w:rFonts w:ascii="Arial" w:hAnsi="Arial" w:cs="Arial"/>
                <w:lang w:val="es-ES_tradnl"/>
              </w:rPr>
              <w:t>Reservas presupuestales constituidas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1EBA1969" w14:textId="77777777" w:rsidR="007E2F9F" w:rsidRPr="006215C2" w:rsidRDefault="007E2F9F" w:rsidP="006548F8">
            <w:pPr>
              <w:tabs>
                <w:tab w:val="left" w:pos="875"/>
              </w:tabs>
              <w:jc w:val="right"/>
              <w:rPr>
                <w:rFonts w:ascii="Arial" w:hAnsi="Arial" w:cs="Arial"/>
                <w:sz w:val="16"/>
                <w:szCs w:val="16"/>
              </w:rPr>
            </w:pPr>
            <w:r w:rsidRPr="006215C2">
              <w:rPr>
                <w:rFonts w:ascii="Arial" w:hAnsi="Arial" w:cs="Arial"/>
                <w:color w:val="000000"/>
                <w:sz w:val="16"/>
                <w:szCs w:val="16"/>
              </w:rPr>
              <w:t xml:space="preserve">34.551.580,52 </w:t>
            </w:r>
          </w:p>
        </w:tc>
      </w:tr>
      <w:tr w:rsidR="007E2F9F" w:rsidRPr="006215C2" w14:paraId="486E74DD" w14:textId="77777777" w:rsidTr="00143581">
        <w:tc>
          <w:tcPr>
            <w:tcW w:w="8364" w:type="dxa"/>
          </w:tcPr>
          <w:p w14:paraId="59F868C0" w14:textId="77777777" w:rsidR="007E2F9F" w:rsidRPr="006215C2" w:rsidRDefault="007E2F9F" w:rsidP="006548F8">
            <w:pPr>
              <w:tabs>
                <w:tab w:val="left" w:pos="875"/>
              </w:tabs>
              <w:ind w:right="157"/>
              <w:rPr>
                <w:rFonts w:ascii="Arial" w:hAnsi="Arial" w:cs="Arial"/>
                <w:sz w:val="18"/>
                <w:szCs w:val="18"/>
              </w:rPr>
            </w:pPr>
            <w:r w:rsidRPr="006215C2">
              <w:rPr>
                <w:rFonts w:ascii="Arial" w:hAnsi="Arial" w:cs="Arial"/>
                <w:lang w:val="es-ES_tradnl"/>
              </w:rPr>
              <w:t>Cuentas por pagar constituidas a 31 de diciembre de 2024</w:t>
            </w:r>
          </w:p>
        </w:tc>
        <w:tc>
          <w:tcPr>
            <w:tcW w:w="1985" w:type="dxa"/>
            <w:tcBorders>
              <w:top w:val="nil"/>
              <w:left w:val="single" w:sz="8" w:space="0" w:color="auto"/>
              <w:bottom w:val="nil"/>
              <w:right w:val="single" w:sz="8" w:space="0" w:color="auto"/>
            </w:tcBorders>
            <w:shd w:val="clear" w:color="auto" w:fill="auto"/>
            <w:vAlign w:val="bottom"/>
          </w:tcPr>
          <w:p w14:paraId="29D76C9C" w14:textId="77777777" w:rsidR="007E2F9F" w:rsidRPr="006215C2" w:rsidRDefault="007E2F9F" w:rsidP="006548F8">
            <w:pPr>
              <w:tabs>
                <w:tab w:val="left" w:pos="875"/>
              </w:tabs>
              <w:jc w:val="right"/>
              <w:rPr>
                <w:rFonts w:ascii="Arial" w:hAnsi="Arial" w:cs="Arial"/>
                <w:sz w:val="16"/>
                <w:szCs w:val="16"/>
              </w:rPr>
            </w:pPr>
            <w:r w:rsidRPr="006215C2">
              <w:rPr>
                <w:rFonts w:ascii="Arial" w:hAnsi="Arial" w:cs="Arial"/>
                <w:sz w:val="16"/>
                <w:szCs w:val="16"/>
              </w:rPr>
              <w:t xml:space="preserve">17.940.795,41 </w:t>
            </w:r>
          </w:p>
        </w:tc>
      </w:tr>
      <w:tr w:rsidR="007E2F9F" w:rsidRPr="006215C2" w14:paraId="1655FFB3" w14:textId="77777777" w:rsidTr="00143581">
        <w:tc>
          <w:tcPr>
            <w:tcW w:w="8364" w:type="dxa"/>
          </w:tcPr>
          <w:p w14:paraId="5086141B" w14:textId="77777777" w:rsidR="007E2F9F" w:rsidRPr="006215C2" w:rsidRDefault="007E2F9F" w:rsidP="006548F8">
            <w:pPr>
              <w:tabs>
                <w:tab w:val="left" w:pos="875"/>
              </w:tabs>
              <w:ind w:right="157"/>
              <w:rPr>
                <w:rFonts w:ascii="Arial" w:hAnsi="Arial" w:cs="Arial"/>
                <w:sz w:val="18"/>
                <w:szCs w:val="18"/>
              </w:rPr>
            </w:pPr>
            <w:r w:rsidRPr="006215C2">
              <w:rPr>
                <w:rFonts w:ascii="Arial" w:hAnsi="Arial" w:cs="Arial"/>
                <w:b/>
                <w:lang w:val="es-ES_tradnl"/>
              </w:rPr>
              <w:t>TOTAL REZAGO PRESUPUESTAL CONSTITUIDO A 31 DE DICIEMBRE DE 2024</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bottom"/>
          </w:tcPr>
          <w:p w14:paraId="42BE3723" w14:textId="77777777" w:rsidR="007E2F9F" w:rsidRPr="006215C2" w:rsidRDefault="007E2F9F" w:rsidP="006548F8">
            <w:pPr>
              <w:tabs>
                <w:tab w:val="left" w:pos="875"/>
              </w:tabs>
              <w:jc w:val="right"/>
              <w:rPr>
                <w:rFonts w:ascii="Arial" w:hAnsi="Arial" w:cs="Arial"/>
                <w:sz w:val="16"/>
                <w:szCs w:val="16"/>
                <w:u w:val="single"/>
              </w:rPr>
            </w:pPr>
            <w:r w:rsidRPr="006215C2">
              <w:rPr>
                <w:rFonts w:ascii="Arial" w:hAnsi="Arial" w:cs="Arial"/>
                <w:color w:val="000000"/>
                <w:sz w:val="16"/>
                <w:szCs w:val="16"/>
              </w:rPr>
              <w:t xml:space="preserve">52.492.375,93 </w:t>
            </w:r>
          </w:p>
        </w:tc>
      </w:tr>
    </w:tbl>
    <w:p w14:paraId="7C3F4287" w14:textId="77777777" w:rsidR="007E2F9F" w:rsidRDefault="007E2F9F" w:rsidP="007E2F9F">
      <w:pPr>
        <w:ind w:left="-142" w:right="-93"/>
        <w:jc w:val="both"/>
        <w:rPr>
          <w:rFonts w:ascii="Arial" w:hAnsi="Arial" w:cs="Arial"/>
          <w:lang w:val="es-MX"/>
        </w:rPr>
      </w:pPr>
    </w:p>
    <w:p w14:paraId="21E82058" w14:textId="77777777" w:rsidR="007E2F9F" w:rsidRPr="001D1504" w:rsidRDefault="007E2F9F" w:rsidP="00143581">
      <w:pPr>
        <w:ind w:left="-284" w:right="-93"/>
        <w:jc w:val="both"/>
        <w:rPr>
          <w:rFonts w:ascii="Arial" w:hAnsi="Arial" w:cs="Arial"/>
          <w:b/>
          <w:sz w:val="28"/>
          <w:szCs w:val="28"/>
          <w:lang w:val="es-MX"/>
        </w:rPr>
      </w:pPr>
      <w:r w:rsidRPr="001D1504">
        <w:rPr>
          <w:rFonts w:ascii="Arial" w:hAnsi="Arial" w:cs="Arial"/>
          <w:b/>
          <w:sz w:val="28"/>
          <w:szCs w:val="28"/>
          <w:lang w:val="es-MX"/>
        </w:rPr>
        <w:t>279.- FONDO ESPECIAL PARA LA ADMINISTRACIÓN DE BIENES DE LA FISCALÍA GENERAL DE LA NACIÓN.</w:t>
      </w:r>
    </w:p>
    <w:p w14:paraId="612D87A4"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1D1504" w14:paraId="3269682F" w14:textId="77777777" w:rsidTr="00143581">
        <w:tc>
          <w:tcPr>
            <w:tcW w:w="8931" w:type="dxa"/>
          </w:tcPr>
          <w:p w14:paraId="2AB976D8" w14:textId="77777777" w:rsidR="007E2F9F" w:rsidRPr="001D1504" w:rsidRDefault="007E2F9F" w:rsidP="006548F8">
            <w:pPr>
              <w:tabs>
                <w:tab w:val="left" w:pos="875"/>
              </w:tabs>
              <w:ind w:right="157"/>
              <w:rPr>
                <w:rFonts w:ascii="Arial" w:hAnsi="Arial" w:cs="Arial"/>
                <w:sz w:val="18"/>
                <w:szCs w:val="18"/>
              </w:rPr>
            </w:pPr>
            <w:r w:rsidRPr="001D1504">
              <w:rPr>
                <w:rFonts w:ascii="Arial" w:hAnsi="Arial" w:cs="Arial"/>
                <w:lang w:val="es-ES_tradnl"/>
              </w:rPr>
              <w:t>Reservas presupuestales constituidas a 31 de diciembre de 2024</w:t>
            </w:r>
          </w:p>
        </w:tc>
        <w:tc>
          <w:tcPr>
            <w:tcW w:w="1418" w:type="dxa"/>
          </w:tcPr>
          <w:p w14:paraId="28111543" w14:textId="77777777" w:rsidR="007E2F9F" w:rsidRPr="001D1504" w:rsidRDefault="007E2F9F" w:rsidP="006548F8">
            <w:pPr>
              <w:tabs>
                <w:tab w:val="left" w:pos="875"/>
              </w:tabs>
              <w:jc w:val="right"/>
              <w:rPr>
                <w:rFonts w:ascii="Arial" w:hAnsi="Arial" w:cs="Arial"/>
                <w:sz w:val="18"/>
                <w:szCs w:val="18"/>
              </w:rPr>
            </w:pPr>
            <w:r w:rsidRPr="001D1504">
              <w:rPr>
                <w:rFonts w:ascii="Arial" w:hAnsi="Arial" w:cs="Arial"/>
                <w:sz w:val="18"/>
                <w:szCs w:val="18"/>
              </w:rPr>
              <w:t>278.476</w:t>
            </w:r>
          </w:p>
        </w:tc>
      </w:tr>
      <w:tr w:rsidR="007E2F9F" w:rsidRPr="001D1504" w14:paraId="32D58707" w14:textId="77777777" w:rsidTr="00143581">
        <w:tc>
          <w:tcPr>
            <w:tcW w:w="8931" w:type="dxa"/>
          </w:tcPr>
          <w:p w14:paraId="10CE996F" w14:textId="77777777" w:rsidR="007E2F9F" w:rsidRPr="001D1504" w:rsidRDefault="007E2F9F" w:rsidP="006548F8">
            <w:pPr>
              <w:tabs>
                <w:tab w:val="left" w:pos="875"/>
              </w:tabs>
              <w:ind w:right="157"/>
              <w:rPr>
                <w:rFonts w:ascii="Arial" w:hAnsi="Arial" w:cs="Arial"/>
                <w:sz w:val="18"/>
                <w:szCs w:val="18"/>
              </w:rPr>
            </w:pPr>
            <w:r w:rsidRPr="001D1504">
              <w:rPr>
                <w:rFonts w:ascii="Arial" w:hAnsi="Arial" w:cs="Arial"/>
                <w:lang w:val="es-ES_tradnl"/>
              </w:rPr>
              <w:t>Cuentas por pagar constituidas a 31 de diciembre de 2024</w:t>
            </w:r>
          </w:p>
        </w:tc>
        <w:tc>
          <w:tcPr>
            <w:tcW w:w="1418" w:type="dxa"/>
          </w:tcPr>
          <w:p w14:paraId="60E1004D" w14:textId="77777777" w:rsidR="007E2F9F" w:rsidRPr="001D1504" w:rsidRDefault="007E2F9F" w:rsidP="006548F8">
            <w:pPr>
              <w:tabs>
                <w:tab w:val="left" w:pos="875"/>
              </w:tabs>
              <w:jc w:val="right"/>
              <w:rPr>
                <w:rFonts w:ascii="Arial" w:hAnsi="Arial" w:cs="Arial"/>
                <w:sz w:val="18"/>
                <w:szCs w:val="18"/>
              </w:rPr>
            </w:pPr>
            <w:r w:rsidRPr="001D1504">
              <w:rPr>
                <w:rFonts w:ascii="Arial" w:hAnsi="Arial" w:cs="Arial"/>
                <w:sz w:val="18"/>
                <w:szCs w:val="18"/>
              </w:rPr>
              <w:t>227.169</w:t>
            </w:r>
          </w:p>
        </w:tc>
      </w:tr>
      <w:tr w:rsidR="007E2F9F" w:rsidRPr="001D1504" w14:paraId="1CDDEDF7" w14:textId="77777777" w:rsidTr="00143581">
        <w:tc>
          <w:tcPr>
            <w:tcW w:w="8931" w:type="dxa"/>
          </w:tcPr>
          <w:p w14:paraId="44A9F774" w14:textId="77777777" w:rsidR="007E2F9F" w:rsidRPr="001D1504" w:rsidRDefault="007E2F9F" w:rsidP="006548F8">
            <w:pPr>
              <w:tabs>
                <w:tab w:val="left" w:pos="875"/>
              </w:tabs>
              <w:ind w:right="157"/>
              <w:rPr>
                <w:rFonts w:ascii="Arial" w:hAnsi="Arial" w:cs="Arial"/>
                <w:sz w:val="18"/>
                <w:szCs w:val="18"/>
              </w:rPr>
            </w:pPr>
            <w:r w:rsidRPr="001D1504">
              <w:rPr>
                <w:rFonts w:ascii="Arial" w:hAnsi="Arial" w:cs="Arial"/>
                <w:b/>
                <w:lang w:val="es-ES_tradnl"/>
              </w:rPr>
              <w:t>TOTAL REZAGO PRESUPUESTAL CONSTITUIDO A 31 DE DICIEMBRE DE 2024</w:t>
            </w:r>
          </w:p>
        </w:tc>
        <w:tc>
          <w:tcPr>
            <w:tcW w:w="1418" w:type="dxa"/>
          </w:tcPr>
          <w:p w14:paraId="4786E3CC" w14:textId="77777777" w:rsidR="007E2F9F" w:rsidRPr="001D1504" w:rsidRDefault="007E2F9F" w:rsidP="006548F8">
            <w:pPr>
              <w:tabs>
                <w:tab w:val="left" w:pos="875"/>
              </w:tabs>
              <w:jc w:val="right"/>
              <w:rPr>
                <w:rFonts w:ascii="Arial" w:hAnsi="Arial" w:cs="Arial"/>
                <w:b/>
                <w:sz w:val="18"/>
                <w:szCs w:val="18"/>
                <w:u w:val="single"/>
              </w:rPr>
            </w:pPr>
            <w:r w:rsidRPr="001D1504">
              <w:rPr>
                <w:rFonts w:ascii="Arial" w:hAnsi="Arial" w:cs="Arial"/>
                <w:b/>
                <w:sz w:val="18"/>
                <w:szCs w:val="18"/>
                <w:u w:val="single"/>
              </w:rPr>
              <w:t>505.645</w:t>
            </w:r>
          </w:p>
        </w:tc>
      </w:tr>
    </w:tbl>
    <w:p w14:paraId="08FEE2F1" w14:textId="77777777" w:rsidR="007E2F9F" w:rsidRDefault="007E2F9F" w:rsidP="007E2F9F">
      <w:pPr>
        <w:ind w:left="-142" w:right="-93"/>
        <w:jc w:val="both"/>
        <w:rPr>
          <w:rFonts w:ascii="Arial" w:hAnsi="Arial" w:cs="Arial"/>
          <w:lang w:val="es-MX"/>
        </w:rPr>
      </w:pPr>
    </w:p>
    <w:p w14:paraId="3554F298" w14:textId="77777777" w:rsidR="007E2F9F" w:rsidRPr="005A02D1" w:rsidRDefault="007E2F9F" w:rsidP="00143581">
      <w:pPr>
        <w:ind w:left="-284"/>
        <w:jc w:val="both"/>
        <w:rPr>
          <w:rFonts w:ascii="Arial" w:hAnsi="Arial" w:cs="Arial"/>
          <w:b/>
          <w:sz w:val="28"/>
          <w:szCs w:val="28"/>
          <w:lang w:val="es-MX"/>
        </w:rPr>
      </w:pPr>
      <w:r w:rsidRPr="005A02D1">
        <w:rPr>
          <w:rFonts w:ascii="Arial" w:hAnsi="Arial" w:cs="Arial"/>
          <w:b/>
          <w:sz w:val="28"/>
          <w:szCs w:val="28"/>
          <w:lang w:val="es-MX"/>
        </w:rPr>
        <w:t>280.- AGENCIA LOGISTICA DE LAS FUERZAS MILITARES.</w:t>
      </w:r>
    </w:p>
    <w:p w14:paraId="16EB9028"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5A02D1" w14:paraId="7F0CF8AD" w14:textId="77777777" w:rsidTr="00143581">
        <w:tc>
          <w:tcPr>
            <w:tcW w:w="8931" w:type="dxa"/>
          </w:tcPr>
          <w:p w14:paraId="66060753" w14:textId="77777777" w:rsidR="007E2F9F" w:rsidRPr="005A02D1" w:rsidRDefault="007E2F9F" w:rsidP="006548F8">
            <w:pPr>
              <w:tabs>
                <w:tab w:val="left" w:pos="875"/>
              </w:tabs>
              <w:ind w:right="157"/>
              <w:rPr>
                <w:rFonts w:ascii="Arial" w:hAnsi="Arial" w:cs="Arial"/>
                <w:sz w:val="18"/>
                <w:szCs w:val="18"/>
              </w:rPr>
            </w:pPr>
            <w:r w:rsidRPr="005A02D1">
              <w:rPr>
                <w:rFonts w:ascii="Arial" w:hAnsi="Arial" w:cs="Arial"/>
                <w:lang w:val="es-ES_tradnl"/>
              </w:rPr>
              <w:t>Reservas presupuestales constituidas a 31 de diciembre de 2024</w:t>
            </w:r>
          </w:p>
        </w:tc>
        <w:tc>
          <w:tcPr>
            <w:tcW w:w="1418" w:type="dxa"/>
          </w:tcPr>
          <w:p w14:paraId="1053EF38" w14:textId="77777777" w:rsidR="007E2F9F" w:rsidRPr="005A02D1" w:rsidRDefault="007E2F9F" w:rsidP="006548F8">
            <w:pPr>
              <w:tabs>
                <w:tab w:val="left" w:pos="875"/>
              </w:tabs>
              <w:jc w:val="right"/>
              <w:rPr>
                <w:rFonts w:ascii="Arial" w:hAnsi="Arial" w:cs="Arial"/>
                <w:sz w:val="18"/>
                <w:szCs w:val="18"/>
              </w:rPr>
            </w:pPr>
            <w:r w:rsidRPr="005A02D1">
              <w:rPr>
                <w:rFonts w:ascii="Arial" w:hAnsi="Arial" w:cs="Arial"/>
                <w:sz w:val="18"/>
                <w:szCs w:val="18"/>
              </w:rPr>
              <w:t>17.696</w:t>
            </w:r>
          </w:p>
        </w:tc>
      </w:tr>
      <w:tr w:rsidR="007E2F9F" w:rsidRPr="005A02D1" w14:paraId="2E20B716" w14:textId="77777777" w:rsidTr="00143581">
        <w:tc>
          <w:tcPr>
            <w:tcW w:w="8931" w:type="dxa"/>
          </w:tcPr>
          <w:p w14:paraId="2FAD1409" w14:textId="77777777" w:rsidR="007E2F9F" w:rsidRPr="005A02D1" w:rsidRDefault="007E2F9F" w:rsidP="006548F8">
            <w:pPr>
              <w:tabs>
                <w:tab w:val="left" w:pos="875"/>
              </w:tabs>
              <w:ind w:right="157"/>
              <w:rPr>
                <w:rFonts w:ascii="Arial" w:hAnsi="Arial" w:cs="Arial"/>
                <w:sz w:val="18"/>
                <w:szCs w:val="18"/>
              </w:rPr>
            </w:pPr>
            <w:r w:rsidRPr="005A02D1">
              <w:rPr>
                <w:rFonts w:ascii="Arial" w:hAnsi="Arial" w:cs="Arial"/>
                <w:lang w:val="es-ES_tradnl"/>
              </w:rPr>
              <w:t>Cuentas por pagar constituidas a 31 de diciembre de 2024</w:t>
            </w:r>
          </w:p>
        </w:tc>
        <w:tc>
          <w:tcPr>
            <w:tcW w:w="1418" w:type="dxa"/>
          </w:tcPr>
          <w:p w14:paraId="1DE67B9B" w14:textId="77777777" w:rsidR="007E2F9F" w:rsidRPr="005A02D1" w:rsidRDefault="007E2F9F" w:rsidP="006548F8">
            <w:pPr>
              <w:tabs>
                <w:tab w:val="left" w:pos="875"/>
              </w:tabs>
              <w:jc w:val="right"/>
              <w:rPr>
                <w:rFonts w:ascii="Arial" w:hAnsi="Arial" w:cs="Arial"/>
                <w:sz w:val="18"/>
                <w:szCs w:val="18"/>
              </w:rPr>
            </w:pPr>
            <w:r w:rsidRPr="005A02D1">
              <w:rPr>
                <w:rFonts w:ascii="Arial" w:hAnsi="Arial" w:cs="Arial"/>
                <w:sz w:val="18"/>
                <w:szCs w:val="18"/>
              </w:rPr>
              <w:t>103.946</w:t>
            </w:r>
          </w:p>
        </w:tc>
      </w:tr>
      <w:tr w:rsidR="007E2F9F" w:rsidRPr="005A02D1" w14:paraId="629A4AB2" w14:textId="77777777" w:rsidTr="00143581">
        <w:tc>
          <w:tcPr>
            <w:tcW w:w="8931" w:type="dxa"/>
          </w:tcPr>
          <w:p w14:paraId="381C8F4C" w14:textId="77777777" w:rsidR="007E2F9F" w:rsidRPr="005A02D1" w:rsidRDefault="007E2F9F" w:rsidP="006548F8">
            <w:pPr>
              <w:tabs>
                <w:tab w:val="left" w:pos="875"/>
              </w:tabs>
              <w:ind w:right="157"/>
              <w:rPr>
                <w:rFonts w:ascii="Arial" w:hAnsi="Arial" w:cs="Arial"/>
                <w:sz w:val="18"/>
                <w:szCs w:val="18"/>
              </w:rPr>
            </w:pPr>
            <w:r w:rsidRPr="005A02D1">
              <w:rPr>
                <w:rFonts w:ascii="Arial" w:hAnsi="Arial" w:cs="Arial"/>
                <w:b/>
                <w:lang w:val="es-ES_tradnl"/>
              </w:rPr>
              <w:t>TOTAL REZAGO PRESUPUESTAL CONSTITUIDO A 31 DE DICIEMBRE DE 2024</w:t>
            </w:r>
          </w:p>
        </w:tc>
        <w:tc>
          <w:tcPr>
            <w:tcW w:w="1418" w:type="dxa"/>
          </w:tcPr>
          <w:p w14:paraId="3AB23B50" w14:textId="77777777" w:rsidR="007E2F9F" w:rsidRPr="005A02D1" w:rsidRDefault="007E2F9F" w:rsidP="006548F8">
            <w:pPr>
              <w:tabs>
                <w:tab w:val="left" w:pos="875"/>
              </w:tabs>
              <w:jc w:val="right"/>
              <w:rPr>
                <w:rFonts w:ascii="Arial" w:hAnsi="Arial" w:cs="Arial"/>
                <w:b/>
                <w:sz w:val="18"/>
                <w:szCs w:val="18"/>
                <w:u w:val="single"/>
              </w:rPr>
            </w:pPr>
            <w:r w:rsidRPr="005A02D1">
              <w:rPr>
                <w:rFonts w:ascii="Arial" w:hAnsi="Arial" w:cs="Arial"/>
                <w:b/>
                <w:sz w:val="18"/>
                <w:szCs w:val="18"/>
                <w:u w:val="single"/>
              </w:rPr>
              <w:t>121.642</w:t>
            </w:r>
          </w:p>
        </w:tc>
      </w:tr>
    </w:tbl>
    <w:p w14:paraId="54307850" w14:textId="77777777" w:rsidR="007E2F9F" w:rsidRDefault="007E2F9F" w:rsidP="007E2F9F">
      <w:pPr>
        <w:ind w:left="-142" w:right="-93"/>
        <w:jc w:val="both"/>
        <w:rPr>
          <w:rFonts w:ascii="Arial" w:hAnsi="Arial" w:cs="Arial"/>
          <w:lang w:val="es-MX"/>
        </w:rPr>
      </w:pPr>
    </w:p>
    <w:p w14:paraId="6284733F" w14:textId="77777777" w:rsidR="007E2F9F" w:rsidRPr="00940DB1" w:rsidRDefault="007E2F9F" w:rsidP="00143581">
      <w:pPr>
        <w:ind w:left="-284" w:right="-93"/>
        <w:jc w:val="both"/>
        <w:rPr>
          <w:rFonts w:ascii="Arial" w:hAnsi="Arial" w:cs="Arial"/>
          <w:b/>
          <w:sz w:val="28"/>
          <w:szCs w:val="28"/>
          <w:lang w:val="es-MX"/>
        </w:rPr>
      </w:pPr>
      <w:r w:rsidRPr="00940DB1">
        <w:rPr>
          <w:rFonts w:ascii="Arial" w:hAnsi="Arial" w:cs="Arial"/>
          <w:b/>
          <w:sz w:val="28"/>
          <w:szCs w:val="28"/>
          <w:lang w:val="es-MX"/>
        </w:rPr>
        <w:t>283.- CORPORACIÓN PARA EL DESARROLLO SOSTENIBLE DEL SUR DE LA AMAZONÍA – CORPOAMAZONÍA.</w:t>
      </w:r>
    </w:p>
    <w:p w14:paraId="0E461E18"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F543FD" w14:paraId="4FE295B0" w14:textId="77777777" w:rsidTr="00143581">
        <w:tc>
          <w:tcPr>
            <w:tcW w:w="8931" w:type="dxa"/>
          </w:tcPr>
          <w:p w14:paraId="32FD28E8" w14:textId="77777777" w:rsidR="007E2F9F" w:rsidRPr="00F543FD" w:rsidRDefault="007E2F9F" w:rsidP="006548F8">
            <w:pPr>
              <w:tabs>
                <w:tab w:val="left" w:pos="875"/>
              </w:tabs>
              <w:rPr>
                <w:rFonts w:ascii="Arial" w:hAnsi="Arial" w:cs="Arial"/>
                <w:sz w:val="18"/>
                <w:szCs w:val="18"/>
              </w:rPr>
            </w:pPr>
            <w:r w:rsidRPr="00F543FD">
              <w:rPr>
                <w:rFonts w:ascii="Arial" w:hAnsi="Arial" w:cs="Arial"/>
                <w:lang w:val="es-ES_tradnl"/>
              </w:rPr>
              <w:t>Reservas presupuestales constituidas a 31 de diciembre de 2024</w:t>
            </w:r>
          </w:p>
        </w:tc>
        <w:tc>
          <w:tcPr>
            <w:tcW w:w="1418" w:type="dxa"/>
          </w:tcPr>
          <w:p w14:paraId="351709E0" w14:textId="77777777" w:rsidR="007E2F9F" w:rsidRPr="00F543FD" w:rsidRDefault="007E2F9F" w:rsidP="006548F8">
            <w:pPr>
              <w:tabs>
                <w:tab w:val="left" w:pos="875"/>
              </w:tabs>
              <w:jc w:val="right"/>
              <w:rPr>
                <w:rFonts w:ascii="Arial" w:hAnsi="Arial" w:cs="Arial"/>
                <w:sz w:val="18"/>
                <w:szCs w:val="18"/>
              </w:rPr>
            </w:pPr>
            <w:r w:rsidRPr="00F543FD">
              <w:rPr>
                <w:rFonts w:ascii="Arial" w:hAnsi="Arial" w:cs="Arial"/>
                <w:sz w:val="18"/>
                <w:szCs w:val="18"/>
              </w:rPr>
              <w:t>130.000</w:t>
            </w:r>
          </w:p>
        </w:tc>
      </w:tr>
      <w:tr w:rsidR="007E2F9F" w:rsidRPr="00F543FD" w14:paraId="4113BCE5" w14:textId="77777777" w:rsidTr="00143581">
        <w:tc>
          <w:tcPr>
            <w:tcW w:w="8931" w:type="dxa"/>
          </w:tcPr>
          <w:p w14:paraId="42956D6F" w14:textId="77777777" w:rsidR="007E2F9F" w:rsidRPr="00F543FD" w:rsidRDefault="007E2F9F" w:rsidP="006548F8">
            <w:pPr>
              <w:tabs>
                <w:tab w:val="left" w:pos="875"/>
              </w:tabs>
              <w:rPr>
                <w:rFonts w:ascii="Arial" w:hAnsi="Arial" w:cs="Arial"/>
                <w:sz w:val="18"/>
                <w:szCs w:val="18"/>
              </w:rPr>
            </w:pPr>
            <w:r w:rsidRPr="00F543FD">
              <w:rPr>
                <w:rFonts w:ascii="Arial" w:hAnsi="Arial" w:cs="Arial"/>
                <w:lang w:val="es-ES_tradnl"/>
              </w:rPr>
              <w:t>Cuentas por pagar constituidas a 31 de diciembre de 2024</w:t>
            </w:r>
          </w:p>
        </w:tc>
        <w:tc>
          <w:tcPr>
            <w:tcW w:w="1418" w:type="dxa"/>
          </w:tcPr>
          <w:p w14:paraId="799415C2" w14:textId="77777777" w:rsidR="007E2F9F" w:rsidRPr="00F543FD" w:rsidRDefault="007E2F9F" w:rsidP="006548F8">
            <w:pPr>
              <w:tabs>
                <w:tab w:val="left" w:pos="875"/>
              </w:tabs>
              <w:jc w:val="right"/>
              <w:rPr>
                <w:rFonts w:ascii="Arial" w:hAnsi="Arial" w:cs="Arial"/>
                <w:sz w:val="18"/>
                <w:szCs w:val="18"/>
              </w:rPr>
            </w:pPr>
            <w:r w:rsidRPr="00F543FD">
              <w:rPr>
                <w:rFonts w:ascii="Arial" w:hAnsi="Arial" w:cs="Arial"/>
                <w:sz w:val="18"/>
                <w:szCs w:val="18"/>
              </w:rPr>
              <w:t>0</w:t>
            </w:r>
          </w:p>
        </w:tc>
      </w:tr>
      <w:tr w:rsidR="007E2F9F" w:rsidRPr="00F543FD" w14:paraId="32910AB9" w14:textId="77777777" w:rsidTr="00143581">
        <w:tc>
          <w:tcPr>
            <w:tcW w:w="8931" w:type="dxa"/>
          </w:tcPr>
          <w:p w14:paraId="2D427C21" w14:textId="77777777" w:rsidR="007E2F9F" w:rsidRPr="00F543FD" w:rsidRDefault="007E2F9F" w:rsidP="006548F8">
            <w:pPr>
              <w:tabs>
                <w:tab w:val="left" w:pos="875"/>
              </w:tabs>
              <w:rPr>
                <w:rFonts w:ascii="Arial" w:hAnsi="Arial" w:cs="Arial"/>
                <w:sz w:val="18"/>
                <w:szCs w:val="18"/>
              </w:rPr>
            </w:pPr>
            <w:r w:rsidRPr="00F543FD">
              <w:rPr>
                <w:rFonts w:ascii="Arial" w:hAnsi="Arial" w:cs="Arial"/>
                <w:b/>
                <w:lang w:val="es-ES_tradnl"/>
              </w:rPr>
              <w:t>TOTAL REZAGO PRESUPUESTAL CONSTITUIDO A 31 DE DICIEMBRE DE 2024</w:t>
            </w:r>
          </w:p>
        </w:tc>
        <w:tc>
          <w:tcPr>
            <w:tcW w:w="1418" w:type="dxa"/>
          </w:tcPr>
          <w:p w14:paraId="6AA0B6C8" w14:textId="77777777" w:rsidR="007E2F9F" w:rsidRPr="00F543FD" w:rsidRDefault="007E2F9F" w:rsidP="006548F8">
            <w:pPr>
              <w:tabs>
                <w:tab w:val="left" w:pos="875"/>
              </w:tabs>
              <w:jc w:val="right"/>
              <w:rPr>
                <w:rFonts w:ascii="Arial" w:hAnsi="Arial" w:cs="Arial"/>
                <w:b/>
                <w:sz w:val="18"/>
                <w:szCs w:val="18"/>
                <w:u w:val="single"/>
              </w:rPr>
            </w:pPr>
            <w:r w:rsidRPr="00F543FD">
              <w:rPr>
                <w:rFonts w:ascii="Arial" w:hAnsi="Arial" w:cs="Arial"/>
                <w:b/>
                <w:sz w:val="18"/>
                <w:szCs w:val="18"/>
                <w:u w:val="single"/>
              </w:rPr>
              <w:t>130.000</w:t>
            </w:r>
          </w:p>
        </w:tc>
      </w:tr>
    </w:tbl>
    <w:p w14:paraId="01551C8C" w14:textId="77777777" w:rsidR="007E2F9F" w:rsidRDefault="007E2F9F" w:rsidP="007E2F9F">
      <w:pPr>
        <w:ind w:left="-142" w:right="-93"/>
        <w:jc w:val="both"/>
        <w:rPr>
          <w:rFonts w:ascii="Arial" w:hAnsi="Arial" w:cs="Arial"/>
          <w:lang w:val="es-MX"/>
        </w:rPr>
      </w:pPr>
    </w:p>
    <w:p w14:paraId="3934E952" w14:textId="77777777" w:rsidR="007E2F9F" w:rsidRPr="00C60DCC" w:rsidRDefault="007E2F9F" w:rsidP="00143581">
      <w:pPr>
        <w:ind w:left="-284" w:right="-93"/>
        <w:jc w:val="both"/>
        <w:rPr>
          <w:rFonts w:ascii="Arial" w:hAnsi="Arial" w:cs="Arial"/>
          <w:b/>
          <w:sz w:val="28"/>
          <w:szCs w:val="28"/>
          <w:lang w:val="es-MX"/>
        </w:rPr>
      </w:pPr>
      <w:r w:rsidRPr="00C60DCC">
        <w:rPr>
          <w:rFonts w:ascii="Arial" w:hAnsi="Arial" w:cs="Arial"/>
          <w:b/>
          <w:sz w:val="28"/>
          <w:szCs w:val="28"/>
          <w:lang w:val="es-MX"/>
        </w:rPr>
        <w:t xml:space="preserve">285.- </w:t>
      </w:r>
      <w:r w:rsidRPr="00C60DCC">
        <w:rPr>
          <w:rFonts w:ascii="Arial" w:hAnsi="Arial" w:cs="Arial"/>
          <w:b/>
          <w:sz w:val="28"/>
          <w:szCs w:val="28"/>
          <w:lang w:val="es-CO"/>
        </w:rPr>
        <w:t>FONDO ROTATORIO DEL DEPARTAMENTO ADMINISTRATIVO NACIONAL DE ESTADÍSTICA – FONDANE.</w:t>
      </w:r>
      <w:r w:rsidRPr="00C60DCC">
        <w:rPr>
          <w:rFonts w:ascii="Arial" w:hAnsi="Arial" w:cs="Arial"/>
          <w:b/>
          <w:sz w:val="28"/>
          <w:szCs w:val="28"/>
          <w:lang w:val="es-MX"/>
        </w:rPr>
        <w:t xml:space="preserve"> </w:t>
      </w:r>
    </w:p>
    <w:p w14:paraId="3DE7CD0D"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931"/>
        <w:gridCol w:w="1418"/>
      </w:tblGrid>
      <w:tr w:rsidR="007E2F9F" w:rsidRPr="00F543FD" w14:paraId="33D0B3FB" w14:textId="77777777" w:rsidTr="00143581">
        <w:tc>
          <w:tcPr>
            <w:tcW w:w="8931" w:type="dxa"/>
          </w:tcPr>
          <w:p w14:paraId="00B23E00" w14:textId="77777777" w:rsidR="007E2F9F" w:rsidRPr="00F543FD" w:rsidRDefault="007E2F9F" w:rsidP="006548F8">
            <w:pPr>
              <w:tabs>
                <w:tab w:val="left" w:pos="875"/>
              </w:tabs>
              <w:ind w:right="157"/>
              <w:rPr>
                <w:rFonts w:ascii="Arial" w:hAnsi="Arial" w:cs="Arial"/>
                <w:sz w:val="18"/>
                <w:szCs w:val="18"/>
              </w:rPr>
            </w:pPr>
            <w:r w:rsidRPr="00F543FD">
              <w:rPr>
                <w:rFonts w:ascii="Arial" w:hAnsi="Arial" w:cs="Arial"/>
                <w:lang w:val="es-ES_tradnl"/>
              </w:rPr>
              <w:t>Reservas presupuestales constituidas a 31 de diciembre de 2024</w:t>
            </w:r>
          </w:p>
        </w:tc>
        <w:tc>
          <w:tcPr>
            <w:tcW w:w="1418" w:type="dxa"/>
          </w:tcPr>
          <w:p w14:paraId="5101240C" w14:textId="77777777" w:rsidR="007E2F9F" w:rsidRPr="00F543FD" w:rsidRDefault="007E2F9F" w:rsidP="006548F8">
            <w:pPr>
              <w:tabs>
                <w:tab w:val="left" w:pos="875"/>
              </w:tabs>
              <w:jc w:val="right"/>
              <w:rPr>
                <w:rFonts w:ascii="Arial" w:hAnsi="Arial" w:cs="Arial"/>
                <w:sz w:val="18"/>
                <w:szCs w:val="18"/>
              </w:rPr>
            </w:pPr>
            <w:r w:rsidRPr="00F543FD">
              <w:rPr>
                <w:rFonts w:ascii="Arial" w:hAnsi="Arial" w:cs="Arial"/>
                <w:sz w:val="18"/>
                <w:szCs w:val="18"/>
              </w:rPr>
              <w:t>1.233.826</w:t>
            </w:r>
          </w:p>
        </w:tc>
      </w:tr>
      <w:tr w:rsidR="007E2F9F" w:rsidRPr="00F543FD" w14:paraId="1D18FF0A" w14:textId="77777777" w:rsidTr="00143581">
        <w:tc>
          <w:tcPr>
            <w:tcW w:w="8931" w:type="dxa"/>
          </w:tcPr>
          <w:p w14:paraId="68957E65" w14:textId="77777777" w:rsidR="007E2F9F" w:rsidRPr="00F543FD" w:rsidRDefault="007E2F9F" w:rsidP="006548F8">
            <w:pPr>
              <w:tabs>
                <w:tab w:val="left" w:pos="875"/>
              </w:tabs>
              <w:ind w:right="157"/>
              <w:rPr>
                <w:rFonts w:ascii="Arial" w:hAnsi="Arial" w:cs="Arial"/>
                <w:sz w:val="18"/>
                <w:szCs w:val="18"/>
              </w:rPr>
            </w:pPr>
            <w:r w:rsidRPr="00F543FD">
              <w:rPr>
                <w:rFonts w:ascii="Arial" w:hAnsi="Arial" w:cs="Arial"/>
                <w:lang w:val="es-ES_tradnl"/>
              </w:rPr>
              <w:t>Cuentas por pagar constituidas a 31 de diciembre de 2024</w:t>
            </w:r>
          </w:p>
        </w:tc>
        <w:tc>
          <w:tcPr>
            <w:tcW w:w="1418" w:type="dxa"/>
          </w:tcPr>
          <w:p w14:paraId="4A1EDD34" w14:textId="77777777" w:rsidR="007E2F9F" w:rsidRPr="00F543FD" w:rsidRDefault="007E2F9F" w:rsidP="006548F8">
            <w:pPr>
              <w:tabs>
                <w:tab w:val="left" w:pos="875"/>
              </w:tabs>
              <w:jc w:val="right"/>
              <w:rPr>
                <w:rFonts w:ascii="Arial" w:hAnsi="Arial" w:cs="Arial"/>
                <w:sz w:val="18"/>
                <w:szCs w:val="18"/>
              </w:rPr>
            </w:pPr>
            <w:r w:rsidRPr="00F543FD">
              <w:rPr>
                <w:rFonts w:ascii="Arial" w:hAnsi="Arial" w:cs="Arial"/>
                <w:sz w:val="18"/>
                <w:szCs w:val="18"/>
              </w:rPr>
              <w:t>370.292</w:t>
            </w:r>
          </w:p>
        </w:tc>
      </w:tr>
      <w:tr w:rsidR="007E2F9F" w:rsidRPr="00F543FD" w14:paraId="10615718" w14:textId="77777777" w:rsidTr="00143581">
        <w:tc>
          <w:tcPr>
            <w:tcW w:w="8931" w:type="dxa"/>
          </w:tcPr>
          <w:p w14:paraId="62FCF2BB" w14:textId="77777777" w:rsidR="007E2F9F" w:rsidRPr="00F543FD" w:rsidRDefault="007E2F9F" w:rsidP="006548F8">
            <w:pPr>
              <w:tabs>
                <w:tab w:val="left" w:pos="875"/>
              </w:tabs>
              <w:ind w:right="157"/>
              <w:rPr>
                <w:rFonts w:ascii="Arial" w:hAnsi="Arial" w:cs="Arial"/>
                <w:sz w:val="18"/>
                <w:szCs w:val="18"/>
              </w:rPr>
            </w:pPr>
            <w:r w:rsidRPr="00F543FD">
              <w:rPr>
                <w:rFonts w:ascii="Arial" w:hAnsi="Arial" w:cs="Arial"/>
                <w:b/>
                <w:lang w:val="es-ES_tradnl"/>
              </w:rPr>
              <w:t>TOTAL REZAGO PRESUPUESTAL CONSTITUIDO A 31 DE DICIEMBRE DE 2024</w:t>
            </w:r>
          </w:p>
        </w:tc>
        <w:tc>
          <w:tcPr>
            <w:tcW w:w="1418" w:type="dxa"/>
          </w:tcPr>
          <w:p w14:paraId="1CF8D072" w14:textId="77777777" w:rsidR="007E2F9F" w:rsidRPr="00F543FD" w:rsidRDefault="007E2F9F" w:rsidP="006548F8">
            <w:pPr>
              <w:tabs>
                <w:tab w:val="left" w:pos="875"/>
              </w:tabs>
              <w:jc w:val="right"/>
              <w:rPr>
                <w:rFonts w:ascii="Arial" w:hAnsi="Arial" w:cs="Arial"/>
                <w:b/>
                <w:sz w:val="18"/>
                <w:szCs w:val="18"/>
                <w:u w:val="single"/>
              </w:rPr>
            </w:pPr>
            <w:r w:rsidRPr="00F543FD">
              <w:rPr>
                <w:rFonts w:ascii="Arial" w:hAnsi="Arial" w:cs="Arial"/>
                <w:b/>
                <w:sz w:val="18"/>
                <w:szCs w:val="18"/>
                <w:u w:val="single"/>
              </w:rPr>
              <w:t>1.604.118</w:t>
            </w:r>
          </w:p>
        </w:tc>
      </w:tr>
    </w:tbl>
    <w:p w14:paraId="0156F79C" w14:textId="77777777" w:rsidR="007E2F9F" w:rsidRDefault="007E2F9F" w:rsidP="007E2F9F">
      <w:pPr>
        <w:ind w:left="-142" w:right="-93"/>
        <w:jc w:val="both"/>
        <w:rPr>
          <w:rFonts w:ascii="Arial" w:hAnsi="Arial" w:cs="Arial"/>
          <w:lang w:val="es-MX"/>
        </w:rPr>
      </w:pPr>
    </w:p>
    <w:p w14:paraId="0065BE85" w14:textId="77777777" w:rsidR="007E2F9F" w:rsidRPr="00CA7059" w:rsidRDefault="007E2F9F" w:rsidP="00143581">
      <w:pPr>
        <w:ind w:left="-284"/>
        <w:rPr>
          <w:rFonts w:ascii="Arial" w:hAnsi="Arial" w:cs="Arial"/>
          <w:b/>
          <w:sz w:val="28"/>
          <w:szCs w:val="28"/>
          <w:lang w:val="es-MX"/>
        </w:rPr>
      </w:pPr>
      <w:r w:rsidRPr="00CA7059">
        <w:rPr>
          <w:rFonts w:ascii="Arial" w:hAnsi="Arial" w:cs="Arial"/>
          <w:b/>
          <w:sz w:val="28"/>
          <w:szCs w:val="28"/>
          <w:lang w:val="es-MX"/>
        </w:rPr>
        <w:t>296.- AGENCIA NACIONAL DE MINERIA - ANM.</w:t>
      </w:r>
    </w:p>
    <w:p w14:paraId="5A4A9330" w14:textId="77777777" w:rsidR="007E2F9F" w:rsidRPr="00B54567" w:rsidRDefault="007E2F9F" w:rsidP="007E2F9F">
      <w:pPr>
        <w:tabs>
          <w:tab w:val="left" w:pos="875"/>
        </w:tabs>
        <w:ind w:left="-142"/>
        <w:rPr>
          <w:sz w:val="24"/>
        </w:rPr>
      </w:pPr>
    </w:p>
    <w:tbl>
      <w:tblPr>
        <w:tblStyle w:val="Tablaconcuadrcula"/>
        <w:tblW w:w="10349" w:type="dxa"/>
        <w:tblInd w:w="-289" w:type="dxa"/>
        <w:tblLook w:val="04A0" w:firstRow="1" w:lastRow="0" w:firstColumn="1" w:lastColumn="0" w:noHBand="0" w:noVBand="1"/>
      </w:tblPr>
      <w:tblGrid>
        <w:gridCol w:w="8789"/>
        <w:gridCol w:w="1560"/>
      </w:tblGrid>
      <w:tr w:rsidR="007E2F9F" w:rsidRPr="009658CA" w14:paraId="4E44A3D2" w14:textId="77777777" w:rsidTr="00143581">
        <w:tc>
          <w:tcPr>
            <w:tcW w:w="8789" w:type="dxa"/>
          </w:tcPr>
          <w:p w14:paraId="79FD777B" w14:textId="77777777" w:rsidR="007E2F9F" w:rsidRPr="009658CA" w:rsidRDefault="007E2F9F" w:rsidP="006548F8">
            <w:pPr>
              <w:tabs>
                <w:tab w:val="left" w:pos="875"/>
              </w:tabs>
              <w:rPr>
                <w:rFonts w:ascii="Arial" w:hAnsi="Arial" w:cs="Arial"/>
                <w:sz w:val="18"/>
                <w:szCs w:val="18"/>
              </w:rPr>
            </w:pPr>
            <w:r w:rsidRPr="009658CA">
              <w:rPr>
                <w:rFonts w:ascii="Arial" w:hAnsi="Arial" w:cs="Arial"/>
                <w:lang w:val="es-ES_tradnl"/>
              </w:rPr>
              <w:t>Reservas presupuestales constituidas a 31 de diciembre de 2024</w:t>
            </w:r>
          </w:p>
        </w:tc>
        <w:tc>
          <w:tcPr>
            <w:tcW w:w="1560" w:type="dxa"/>
          </w:tcPr>
          <w:p w14:paraId="0BDD925D" w14:textId="77777777" w:rsidR="007E2F9F" w:rsidRPr="009658CA" w:rsidRDefault="007E2F9F" w:rsidP="006548F8">
            <w:pPr>
              <w:tabs>
                <w:tab w:val="left" w:pos="875"/>
              </w:tabs>
              <w:jc w:val="right"/>
              <w:rPr>
                <w:rFonts w:ascii="Arial" w:hAnsi="Arial" w:cs="Arial"/>
                <w:sz w:val="18"/>
                <w:szCs w:val="18"/>
              </w:rPr>
            </w:pPr>
            <w:r w:rsidRPr="009658CA">
              <w:rPr>
                <w:rFonts w:ascii="Arial" w:hAnsi="Arial" w:cs="Arial"/>
                <w:sz w:val="18"/>
                <w:szCs w:val="18"/>
              </w:rPr>
              <w:t>13.170.361,31</w:t>
            </w:r>
          </w:p>
        </w:tc>
      </w:tr>
      <w:tr w:rsidR="007E2F9F" w:rsidRPr="009658CA" w14:paraId="578A7C5C" w14:textId="77777777" w:rsidTr="00143581">
        <w:tc>
          <w:tcPr>
            <w:tcW w:w="8789" w:type="dxa"/>
          </w:tcPr>
          <w:p w14:paraId="3A4D854F" w14:textId="77777777" w:rsidR="007E2F9F" w:rsidRPr="009658CA" w:rsidRDefault="007E2F9F" w:rsidP="006548F8">
            <w:pPr>
              <w:tabs>
                <w:tab w:val="left" w:pos="875"/>
              </w:tabs>
              <w:rPr>
                <w:rFonts w:ascii="Arial" w:hAnsi="Arial" w:cs="Arial"/>
                <w:sz w:val="18"/>
                <w:szCs w:val="18"/>
              </w:rPr>
            </w:pPr>
            <w:r w:rsidRPr="009658CA">
              <w:rPr>
                <w:rFonts w:ascii="Arial" w:hAnsi="Arial" w:cs="Arial"/>
                <w:lang w:val="es-ES_tradnl"/>
              </w:rPr>
              <w:t>Cuentas por pagar constituidas a 31 de diciembre de 2024</w:t>
            </w:r>
          </w:p>
        </w:tc>
        <w:tc>
          <w:tcPr>
            <w:tcW w:w="1560" w:type="dxa"/>
          </w:tcPr>
          <w:p w14:paraId="4AFFEF41" w14:textId="77777777" w:rsidR="007E2F9F" w:rsidRPr="009658CA" w:rsidRDefault="007E2F9F" w:rsidP="006548F8">
            <w:pPr>
              <w:tabs>
                <w:tab w:val="left" w:pos="875"/>
              </w:tabs>
              <w:jc w:val="right"/>
              <w:rPr>
                <w:rFonts w:ascii="Arial" w:hAnsi="Arial" w:cs="Arial"/>
                <w:sz w:val="18"/>
                <w:szCs w:val="18"/>
              </w:rPr>
            </w:pPr>
            <w:r w:rsidRPr="009658CA">
              <w:rPr>
                <w:rFonts w:ascii="Arial" w:hAnsi="Arial" w:cs="Arial"/>
                <w:sz w:val="18"/>
                <w:szCs w:val="18"/>
              </w:rPr>
              <w:t>14.259.434,86</w:t>
            </w:r>
          </w:p>
        </w:tc>
      </w:tr>
      <w:tr w:rsidR="007E2F9F" w:rsidRPr="009658CA" w14:paraId="70E6D053" w14:textId="77777777" w:rsidTr="00143581">
        <w:tc>
          <w:tcPr>
            <w:tcW w:w="8789" w:type="dxa"/>
          </w:tcPr>
          <w:p w14:paraId="76D1B6E7" w14:textId="77777777" w:rsidR="007E2F9F" w:rsidRPr="009658CA" w:rsidRDefault="007E2F9F" w:rsidP="006548F8">
            <w:pPr>
              <w:tabs>
                <w:tab w:val="left" w:pos="875"/>
              </w:tabs>
              <w:rPr>
                <w:rFonts w:ascii="Arial" w:hAnsi="Arial" w:cs="Arial"/>
                <w:sz w:val="18"/>
                <w:szCs w:val="18"/>
              </w:rPr>
            </w:pPr>
            <w:r w:rsidRPr="009658CA">
              <w:rPr>
                <w:rFonts w:ascii="Arial" w:hAnsi="Arial" w:cs="Arial"/>
                <w:b/>
                <w:lang w:val="es-ES_tradnl"/>
              </w:rPr>
              <w:t>TOTAL REZAGO PRESUPUESTAL CONSTITUIDO A 31 DE DICIEMBRE DE 2024</w:t>
            </w:r>
          </w:p>
        </w:tc>
        <w:tc>
          <w:tcPr>
            <w:tcW w:w="1560" w:type="dxa"/>
          </w:tcPr>
          <w:p w14:paraId="6662A1D2" w14:textId="77777777" w:rsidR="007E2F9F" w:rsidRPr="009658CA" w:rsidRDefault="007E2F9F" w:rsidP="006548F8">
            <w:pPr>
              <w:tabs>
                <w:tab w:val="left" w:pos="875"/>
              </w:tabs>
              <w:jc w:val="right"/>
              <w:rPr>
                <w:rFonts w:ascii="Arial" w:hAnsi="Arial" w:cs="Arial"/>
                <w:b/>
                <w:sz w:val="18"/>
                <w:szCs w:val="18"/>
                <w:u w:val="single"/>
              </w:rPr>
            </w:pPr>
            <w:r w:rsidRPr="009658CA">
              <w:rPr>
                <w:rFonts w:ascii="Arial" w:hAnsi="Arial" w:cs="Arial"/>
                <w:b/>
                <w:sz w:val="18"/>
                <w:szCs w:val="18"/>
                <w:u w:val="single"/>
              </w:rPr>
              <w:t>27.429.796,16</w:t>
            </w:r>
          </w:p>
        </w:tc>
      </w:tr>
    </w:tbl>
    <w:p w14:paraId="61D2F497" w14:textId="77777777" w:rsidR="007E2F9F" w:rsidRPr="00B54567" w:rsidRDefault="007E2F9F" w:rsidP="007E2F9F">
      <w:pPr>
        <w:pStyle w:val="Textoindependiente"/>
        <w:spacing w:before="3"/>
      </w:pPr>
    </w:p>
    <w:p w14:paraId="74FE292E" w14:textId="77777777" w:rsidR="007E2F9F" w:rsidRPr="00CA7059" w:rsidRDefault="007E2F9F" w:rsidP="00143581">
      <w:pPr>
        <w:ind w:left="-284"/>
        <w:rPr>
          <w:rFonts w:ascii="Arial" w:hAnsi="Arial" w:cs="Arial"/>
          <w:b/>
          <w:sz w:val="28"/>
          <w:szCs w:val="28"/>
          <w:lang w:val="es-MX"/>
        </w:rPr>
      </w:pPr>
      <w:r w:rsidRPr="00CA7059">
        <w:rPr>
          <w:rFonts w:ascii="Arial" w:hAnsi="Arial" w:cs="Arial"/>
          <w:b/>
          <w:sz w:val="28"/>
          <w:szCs w:val="28"/>
          <w:lang w:val="es-MX"/>
        </w:rPr>
        <w:t>296.- AGENCIA NACIONAL DE MINERIA - ANM.</w:t>
      </w:r>
    </w:p>
    <w:p w14:paraId="557ED23B" w14:textId="77777777" w:rsidR="007E2F9F" w:rsidRPr="00CA7059" w:rsidRDefault="007E2F9F" w:rsidP="007E2F9F">
      <w:pPr>
        <w:pStyle w:val="Prrafodelista"/>
        <w:spacing w:before="92"/>
        <w:ind w:left="-142"/>
        <w:rPr>
          <w:rFonts w:ascii="Arial" w:hAnsi="Arial" w:cs="Arial"/>
          <w:b/>
          <w:sz w:val="24"/>
        </w:rPr>
      </w:pPr>
    </w:p>
    <w:tbl>
      <w:tblPr>
        <w:tblStyle w:val="Tablaconcuadrcula"/>
        <w:tblW w:w="10349" w:type="dxa"/>
        <w:tblInd w:w="-289" w:type="dxa"/>
        <w:tblLook w:val="04A0" w:firstRow="1" w:lastRow="0" w:firstColumn="1" w:lastColumn="0" w:noHBand="0" w:noVBand="1"/>
      </w:tblPr>
      <w:tblGrid>
        <w:gridCol w:w="8648"/>
        <w:gridCol w:w="1701"/>
      </w:tblGrid>
      <w:tr w:rsidR="007E2F9F" w:rsidRPr="00AB13D0" w14:paraId="3DE7979C" w14:textId="77777777" w:rsidTr="00143581">
        <w:tc>
          <w:tcPr>
            <w:tcW w:w="8648" w:type="dxa"/>
          </w:tcPr>
          <w:p w14:paraId="7D53F979" w14:textId="77777777" w:rsidR="007E2F9F" w:rsidRPr="00AB13D0" w:rsidRDefault="007E2F9F" w:rsidP="006548F8">
            <w:pPr>
              <w:tabs>
                <w:tab w:val="left" w:pos="875"/>
              </w:tabs>
              <w:rPr>
                <w:rFonts w:ascii="Arial" w:hAnsi="Arial" w:cs="Arial"/>
                <w:sz w:val="18"/>
                <w:szCs w:val="18"/>
              </w:rPr>
            </w:pPr>
            <w:r w:rsidRPr="00AB13D0">
              <w:rPr>
                <w:rFonts w:ascii="Arial" w:hAnsi="Arial" w:cs="Arial"/>
                <w:lang w:val="es-ES_tradnl"/>
              </w:rPr>
              <w:t>Reservas presupuestales constituidas a 31 de diciembre de 2024</w:t>
            </w:r>
          </w:p>
        </w:tc>
        <w:tc>
          <w:tcPr>
            <w:tcW w:w="1701" w:type="dxa"/>
          </w:tcPr>
          <w:p w14:paraId="19968135" w14:textId="77777777" w:rsidR="007E2F9F" w:rsidRPr="00AB13D0" w:rsidRDefault="007E2F9F" w:rsidP="006548F8">
            <w:pPr>
              <w:tabs>
                <w:tab w:val="left" w:pos="875"/>
              </w:tabs>
              <w:jc w:val="right"/>
              <w:rPr>
                <w:rFonts w:ascii="Arial" w:hAnsi="Arial" w:cs="Arial"/>
                <w:sz w:val="18"/>
                <w:szCs w:val="18"/>
              </w:rPr>
            </w:pPr>
            <w:r w:rsidRPr="00AB13D0">
              <w:rPr>
                <w:rFonts w:ascii="Arial" w:hAnsi="Arial" w:cs="Arial"/>
                <w:sz w:val="18"/>
                <w:szCs w:val="18"/>
              </w:rPr>
              <w:t>479.828,09</w:t>
            </w:r>
          </w:p>
        </w:tc>
      </w:tr>
      <w:tr w:rsidR="007E2F9F" w:rsidRPr="00AB13D0" w14:paraId="5D395789" w14:textId="77777777" w:rsidTr="00143581">
        <w:tc>
          <w:tcPr>
            <w:tcW w:w="8648" w:type="dxa"/>
          </w:tcPr>
          <w:p w14:paraId="78B00ED7" w14:textId="77777777" w:rsidR="007E2F9F" w:rsidRPr="00AB13D0" w:rsidRDefault="007E2F9F" w:rsidP="006548F8">
            <w:pPr>
              <w:tabs>
                <w:tab w:val="left" w:pos="875"/>
              </w:tabs>
              <w:rPr>
                <w:rFonts w:ascii="Arial" w:hAnsi="Arial" w:cs="Arial"/>
                <w:sz w:val="18"/>
                <w:szCs w:val="18"/>
              </w:rPr>
            </w:pPr>
            <w:r w:rsidRPr="00AB13D0">
              <w:rPr>
                <w:rFonts w:ascii="Arial" w:hAnsi="Arial" w:cs="Arial"/>
                <w:lang w:val="es-ES_tradnl"/>
              </w:rPr>
              <w:t>Cuentas por pagar constituidas a 31 de diciembre de 2024</w:t>
            </w:r>
          </w:p>
        </w:tc>
        <w:tc>
          <w:tcPr>
            <w:tcW w:w="1701" w:type="dxa"/>
          </w:tcPr>
          <w:p w14:paraId="15363FC6" w14:textId="77777777" w:rsidR="007E2F9F" w:rsidRPr="00AB13D0" w:rsidRDefault="007E2F9F" w:rsidP="006548F8">
            <w:pPr>
              <w:tabs>
                <w:tab w:val="left" w:pos="875"/>
              </w:tabs>
              <w:jc w:val="right"/>
              <w:rPr>
                <w:rFonts w:ascii="Arial" w:hAnsi="Arial" w:cs="Arial"/>
                <w:sz w:val="18"/>
                <w:szCs w:val="18"/>
              </w:rPr>
            </w:pPr>
            <w:r w:rsidRPr="00AB13D0">
              <w:rPr>
                <w:rFonts w:ascii="Arial" w:hAnsi="Arial" w:cs="Arial"/>
                <w:sz w:val="18"/>
                <w:szCs w:val="18"/>
              </w:rPr>
              <w:t>4.282.589,84</w:t>
            </w:r>
          </w:p>
        </w:tc>
      </w:tr>
      <w:tr w:rsidR="007E2F9F" w:rsidRPr="00AB13D0" w14:paraId="21F520E3" w14:textId="77777777" w:rsidTr="00143581">
        <w:tc>
          <w:tcPr>
            <w:tcW w:w="8648" w:type="dxa"/>
          </w:tcPr>
          <w:p w14:paraId="7BDFFCFB" w14:textId="77777777" w:rsidR="007E2F9F" w:rsidRPr="00AB13D0" w:rsidRDefault="007E2F9F" w:rsidP="006548F8">
            <w:pPr>
              <w:tabs>
                <w:tab w:val="left" w:pos="875"/>
              </w:tabs>
              <w:rPr>
                <w:rFonts w:ascii="Arial" w:hAnsi="Arial" w:cs="Arial"/>
                <w:sz w:val="18"/>
                <w:szCs w:val="18"/>
              </w:rPr>
            </w:pPr>
            <w:r w:rsidRPr="00AB13D0">
              <w:rPr>
                <w:rFonts w:ascii="Arial" w:hAnsi="Arial" w:cs="Arial"/>
                <w:b/>
                <w:lang w:val="es-ES_tradnl"/>
              </w:rPr>
              <w:t>TOTAL REZAGO PRESUPUESTAL CONSTITUIDO A 31 DE DICIEMBRE DE 2024</w:t>
            </w:r>
          </w:p>
        </w:tc>
        <w:tc>
          <w:tcPr>
            <w:tcW w:w="1701" w:type="dxa"/>
          </w:tcPr>
          <w:p w14:paraId="5AF91DB2" w14:textId="77777777" w:rsidR="007E2F9F" w:rsidRPr="00AB13D0" w:rsidRDefault="007E2F9F" w:rsidP="006548F8">
            <w:pPr>
              <w:tabs>
                <w:tab w:val="left" w:pos="875"/>
              </w:tabs>
              <w:jc w:val="right"/>
              <w:rPr>
                <w:rFonts w:ascii="Arial" w:hAnsi="Arial" w:cs="Arial"/>
                <w:b/>
                <w:sz w:val="18"/>
                <w:szCs w:val="18"/>
                <w:u w:val="single"/>
              </w:rPr>
            </w:pPr>
            <w:r w:rsidRPr="00AB13D0">
              <w:rPr>
                <w:rFonts w:ascii="Arial" w:hAnsi="Arial" w:cs="Arial"/>
                <w:b/>
                <w:sz w:val="18"/>
                <w:szCs w:val="18"/>
                <w:u w:val="single"/>
              </w:rPr>
              <w:t>4.762.417,93</w:t>
            </w:r>
          </w:p>
        </w:tc>
      </w:tr>
    </w:tbl>
    <w:p w14:paraId="53FB7B88" w14:textId="77777777" w:rsidR="007E2F9F" w:rsidRDefault="007E2F9F" w:rsidP="007E2F9F">
      <w:pPr>
        <w:pStyle w:val="Prrafodelista"/>
        <w:spacing w:before="92"/>
        <w:ind w:left="-142"/>
        <w:rPr>
          <w:rFonts w:ascii="Arial" w:hAnsi="Arial" w:cs="Arial"/>
          <w:b/>
          <w:sz w:val="24"/>
        </w:rPr>
      </w:pPr>
    </w:p>
    <w:p w14:paraId="71BEECCA" w14:textId="77777777" w:rsidR="007E2F9F" w:rsidRPr="00652909" w:rsidRDefault="007E2F9F" w:rsidP="00143581">
      <w:pPr>
        <w:ind w:left="-284"/>
        <w:jc w:val="both"/>
        <w:rPr>
          <w:rFonts w:ascii="Arial" w:hAnsi="Arial" w:cs="Arial"/>
          <w:b/>
          <w:sz w:val="28"/>
          <w:szCs w:val="28"/>
          <w:lang w:val="es-MX"/>
        </w:rPr>
      </w:pPr>
      <w:r w:rsidRPr="00652909">
        <w:rPr>
          <w:rFonts w:ascii="Arial" w:hAnsi="Arial" w:cs="Arial"/>
          <w:b/>
          <w:sz w:val="28"/>
          <w:szCs w:val="28"/>
          <w:lang w:val="es-MX"/>
        </w:rPr>
        <w:t>302.- MINISTERIO DE SALUD Y PROTECCIÓN SOCIAL.</w:t>
      </w:r>
    </w:p>
    <w:p w14:paraId="448F0029" w14:textId="77777777" w:rsidR="007E2F9F" w:rsidRPr="0064426D" w:rsidRDefault="007E2F9F" w:rsidP="007E2F9F">
      <w:pPr>
        <w:pStyle w:val="Prrafodelista"/>
        <w:spacing w:before="92"/>
        <w:ind w:left="-142"/>
        <w:rPr>
          <w:rFonts w:ascii="Arial" w:hAnsi="Arial" w:cs="Arial"/>
          <w:b/>
          <w:sz w:val="24"/>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64426D" w14:paraId="7E2D7FAC" w14:textId="77777777" w:rsidTr="00143581">
        <w:tc>
          <w:tcPr>
            <w:tcW w:w="8648" w:type="dxa"/>
          </w:tcPr>
          <w:p w14:paraId="3D060B9F" w14:textId="77777777" w:rsidR="007E2F9F" w:rsidRPr="0064426D" w:rsidRDefault="007E2F9F" w:rsidP="006548F8">
            <w:pPr>
              <w:tabs>
                <w:tab w:val="left" w:pos="875"/>
              </w:tabs>
              <w:ind w:right="157"/>
              <w:rPr>
                <w:rFonts w:ascii="Arial" w:hAnsi="Arial" w:cs="Arial"/>
                <w:sz w:val="18"/>
                <w:szCs w:val="18"/>
              </w:rPr>
            </w:pPr>
            <w:r w:rsidRPr="0064426D">
              <w:rPr>
                <w:rFonts w:ascii="Arial" w:hAnsi="Arial" w:cs="Arial"/>
                <w:lang w:val="es-ES_tradnl"/>
              </w:rPr>
              <w:t>Reservas presupuestales constituidas a 31 de diciembre de 2024</w:t>
            </w:r>
          </w:p>
        </w:tc>
        <w:tc>
          <w:tcPr>
            <w:tcW w:w="1701" w:type="dxa"/>
          </w:tcPr>
          <w:p w14:paraId="2BF8ADBA" w14:textId="77777777" w:rsidR="007E2F9F" w:rsidRPr="0064426D" w:rsidRDefault="007E2F9F" w:rsidP="006548F8">
            <w:pPr>
              <w:tabs>
                <w:tab w:val="left" w:pos="875"/>
              </w:tabs>
              <w:jc w:val="right"/>
              <w:rPr>
                <w:rFonts w:ascii="Arial" w:hAnsi="Arial" w:cs="Arial"/>
                <w:sz w:val="18"/>
                <w:szCs w:val="18"/>
              </w:rPr>
            </w:pPr>
            <w:r w:rsidRPr="0064426D">
              <w:rPr>
                <w:rFonts w:ascii="Arial" w:hAnsi="Arial" w:cs="Arial"/>
                <w:sz w:val="18"/>
                <w:szCs w:val="18"/>
              </w:rPr>
              <w:t>2.735.451.112</w:t>
            </w:r>
          </w:p>
        </w:tc>
      </w:tr>
      <w:tr w:rsidR="007E2F9F" w:rsidRPr="0064426D" w14:paraId="4777CCF6" w14:textId="77777777" w:rsidTr="00143581">
        <w:tc>
          <w:tcPr>
            <w:tcW w:w="8648" w:type="dxa"/>
          </w:tcPr>
          <w:p w14:paraId="3287F826" w14:textId="77777777" w:rsidR="007E2F9F" w:rsidRPr="0064426D" w:rsidRDefault="007E2F9F" w:rsidP="006548F8">
            <w:pPr>
              <w:tabs>
                <w:tab w:val="left" w:pos="875"/>
              </w:tabs>
              <w:ind w:right="157"/>
              <w:rPr>
                <w:rFonts w:ascii="Arial" w:hAnsi="Arial" w:cs="Arial"/>
                <w:sz w:val="18"/>
                <w:szCs w:val="18"/>
              </w:rPr>
            </w:pPr>
            <w:r w:rsidRPr="0064426D">
              <w:rPr>
                <w:rFonts w:ascii="Arial" w:hAnsi="Arial" w:cs="Arial"/>
                <w:b/>
                <w:lang w:val="es-ES_tradnl"/>
              </w:rPr>
              <w:t>TOTAL REZAGO PRESUPUESTAL CONSTITUIDO A 31 DE DICIEMBRE DE 2024</w:t>
            </w:r>
          </w:p>
        </w:tc>
        <w:tc>
          <w:tcPr>
            <w:tcW w:w="1701" w:type="dxa"/>
          </w:tcPr>
          <w:p w14:paraId="25479DA7" w14:textId="77777777" w:rsidR="007E2F9F" w:rsidRPr="0064426D" w:rsidRDefault="007E2F9F" w:rsidP="006548F8">
            <w:pPr>
              <w:tabs>
                <w:tab w:val="left" w:pos="875"/>
              </w:tabs>
              <w:jc w:val="right"/>
              <w:rPr>
                <w:rFonts w:ascii="Arial" w:hAnsi="Arial" w:cs="Arial"/>
                <w:b/>
                <w:sz w:val="18"/>
                <w:szCs w:val="18"/>
                <w:u w:val="single"/>
              </w:rPr>
            </w:pPr>
            <w:r w:rsidRPr="0064426D">
              <w:rPr>
                <w:rFonts w:ascii="Arial" w:hAnsi="Arial" w:cs="Arial"/>
                <w:b/>
                <w:sz w:val="18"/>
                <w:szCs w:val="18"/>
                <w:u w:val="single"/>
              </w:rPr>
              <w:t>2.735.451.112</w:t>
            </w:r>
          </w:p>
        </w:tc>
      </w:tr>
    </w:tbl>
    <w:p w14:paraId="59FEC32C" w14:textId="77777777" w:rsidR="007E2F9F" w:rsidRPr="00B54567" w:rsidRDefault="007E2F9F" w:rsidP="007E2F9F">
      <w:pPr>
        <w:pStyle w:val="Textoindependiente"/>
        <w:spacing w:before="3"/>
      </w:pPr>
    </w:p>
    <w:p w14:paraId="1D92459B" w14:textId="77777777" w:rsidR="007E2F9F" w:rsidRPr="00C432CD" w:rsidRDefault="007E2F9F" w:rsidP="00143581">
      <w:pPr>
        <w:ind w:left="-284"/>
        <w:jc w:val="both"/>
        <w:rPr>
          <w:rFonts w:ascii="Arial" w:hAnsi="Arial" w:cs="Arial"/>
          <w:b/>
          <w:sz w:val="28"/>
          <w:szCs w:val="28"/>
          <w:lang w:val="es-MX"/>
        </w:rPr>
      </w:pPr>
      <w:r w:rsidRPr="00C432CD">
        <w:rPr>
          <w:rFonts w:ascii="Arial" w:hAnsi="Arial" w:cs="Arial"/>
          <w:b/>
          <w:sz w:val="28"/>
          <w:szCs w:val="28"/>
          <w:lang w:val="es-MX"/>
        </w:rPr>
        <w:t>303.- MINISTERIO DE VIVIENDA, CIUDAD Y TERRITORIO.</w:t>
      </w:r>
    </w:p>
    <w:p w14:paraId="0F84FDE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84566B" w14:paraId="4EEA7B2B" w14:textId="77777777" w:rsidTr="00143581">
        <w:tc>
          <w:tcPr>
            <w:tcW w:w="8648" w:type="dxa"/>
          </w:tcPr>
          <w:p w14:paraId="7C0CB83D" w14:textId="77777777" w:rsidR="007E2F9F" w:rsidRPr="0084566B" w:rsidRDefault="007E2F9F" w:rsidP="006548F8">
            <w:pPr>
              <w:tabs>
                <w:tab w:val="left" w:pos="875"/>
              </w:tabs>
              <w:rPr>
                <w:rFonts w:ascii="Arial" w:hAnsi="Arial" w:cs="Arial"/>
                <w:sz w:val="18"/>
                <w:szCs w:val="18"/>
              </w:rPr>
            </w:pPr>
            <w:r w:rsidRPr="0084566B">
              <w:rPr>
                <w:rFonts w:ascii="Arial" w:hAnsi="Arial" w:cs="Arial"/>
                <w:lang w:val="es-ES_tradnl"/>
              </w:rPr>
              <w:t>Reservas presupuestales constituidas a 31 de diciembre de 2024</w:t>
            </w:r>
          </w:p>
        </w:tc>
        <w:tc>
          <w:tcPr>
            <w:tcW w:w="1701" w:type="dxa"/>
          </w:tcPr>
          <w:p w14:paraId="0F050701" w14:textId="77777777" w:rsidR="007E2F9F" w:rsidRPr="0084566B" w:rsidRDefault="007E2F9F" w:rsidP="006548F8">
            <w:pPr>
              <w:tabs>
                <w:tab w:val="left" w:pos="875"/>
              </w:tabs>
              <w:jc w:val="right"/>
              <w:rPr>
                <w:rFonts w:ascii="Arial" w:hAnsi="Arial" w:cs="Arial"/>
                <w:sz w:val="18"/>
                <w:szCs w:val="18"/>
              </w:rPr>
            </w:pPr>
            <w:r w:rsidRPr="0084566B">
              <w:rPr>
                <w:rFonts w:ascii="Arial" w:hAnsi="Arial" w:cs="Arial"/>
                <w:sz w:val="18"/>
                <w:szCs w:val="18"/>
              </w:rPr>
              <w:t>1.070.541.360</w:t>
            </w:r>
          </w:p>
        </w:tc>
      </w:tr>
      <w:tr w:rsidR="007E2F9F" w:rsidRPr="0084566B" w14:paraId="0793883A" w14:textId="77777777" w:rsidTr="00143581">
        <w:tc>
          <w:tcPr>
            <w:tcW w:w="8648" w:type="dxa"/>
          </w:tcPr>
          <w:p w14:paraId="1483F73E" w14:textId="77777777" w:rsidR="007E2F9F" w:rsidRPr="0084566B" w:rsidRDefault="007E2F9F" w:rsidP="006548F8">
            <w:pPr>
              <w:tabs>
                <w:tab w:val="left" w:pos="875"/>
              </w:tabs>
              <w:rPr>
                <w:rFonts w:ascii="Arial" w:hAnsi="Arial" w:cs="Arial"/>
                <w:sz w:val="18"/>
                <w:szCs w:val="18"/>
              </w:rPr>
            </w:pPr>
            <w:r w:rsidRPr="0084566B">
              <w:rPr>
                <w:rFonts w:ascii="Arial" w:hAnsi="Arial" w:cs="Arial"/>
                <w:lang w:val="es-ES_tradnl"/>
              </w:rPr>
              <w:t>Cuentas por pagar constituidas a 31 de diciembre de 2024</w:t>
            </w:r>
          </w:p>
        </w:tc>
        <w:tc>
          <w:tcPr>
            <w:tcW w:w="1701" w:type="dxa"/>
          </w:tcPr>
          <w:p w14:paraId="25B0B81A" w14:textId="77777777" w:rsidR="007E2F9F" w:rsidRPr="0084566B" w:rsidRDefault="007E2F9F" w:rsidP="006548F8">
            <w:pPr>
              <w:tabs>
                <w:tab w:val="left" w:pos="875"/>
              </w:tabs>
              <w:jc w:val="right"/>
              <w:rPr>
                <w:rFonts w:ascii="Arial" w:hAnsi="Arial" w:cs="Arial"/>
                <w:sz w:val="18"/>
                <w:szCs w:val="18"/>
              </w:rPr>
            </w:pPr>
            <w:r w:rsidRPr="0084566B">
              <w:rPr>
                <w:rFonts w:ascii="Arial" w:hAnsi="Arial" w:cs="Arial"/>
                <w:sz w:val="18"/>
                <w:szCs w:val="18"/>
              </w:rPr>
              <w:t>30.059</w:t>
            </w:r>
          </w:p>
        </w:tc>
      </w:tr>
      <w:tr w:rsidR="007E2F9F" w:rsidRPr="0084566B" w14:paraId="50803F45" w14:textId="77777777" w:rsidTr="00143581">
        <w:tc>
          <w:tcPr>
            <w:tcW w:w="8648" w:type="dxa"/>
          </w:tcPr>
          <w:p w14:paraId="41DDD730" w14:textId="77777777" w:rsidR="007E2F9F" w:rsidRPr="0084566B" w:rsidRDefault="007E2F9F" w:rsidP="006548F8">
            <w:pPr>
              <w:tabs>
                <w:tab w:val="left" w:pos="875"/>
              </w:tabs>
              <w:rPr>
                <w:rFonts w:ascii="Arial" w:hAnsi="Arial" w:cs="Arial"/>
                <w:sz w:val="18"/>
                <w:szCs w:val="18"/>
              </w:rPr>
            </w:pPr>
            <w:r w:rsidRPr="0084566B">
              <w:rPr>
                <w:rFonts w:ascii="Arial" w:hAnsi="Arial" w:cs="Arial"/>
                <w:b/>
                <w:lang w:val="es-ES_tradnl"/>
              </w:rPr>
              <w:t>TOTAL REZAGO PRESUPUESTAL CONSTITUIDO A 31 DE DICIEMBRE DE 2024</w:t>
            </w:r>
          </w:p>
        </w:tc>
        <w:tc>
          <w:tcPr>
            <w:tcW w:w="1701" w:type="dxa"/>
          </w:tcPr>
          <w:p w14:paraId="7695162A" w14:textId="77777777" w:rsidR="007E2F9F" w:rsidRPr="0084566B" w:rsidRDefault="007E2F9F" w:rsidP="006548F8">
            <w:pPr>
              <w:tabs>
                <w:tab w:val="left" w:pos="875"/>
              </w:tabs>
              <w:jc w:val="right"/>
              <w:rPr>
                <w:rFonts w:ascii="Arial" w:hAnsi="Arial" w:cs="Arial"/>
                <w:b/>
                <w:sz w:val="18"/>
                <w:szCs w:val="18"/>
                <w:u w:val="single"/>
              </w:rPr>
            </w:pPr>
            <w:r w:rsidRPr="0084566B">
              <w:rPr>
                <w:rFonts w:ascii="Arial" w:hAnsi="Arial" w:cs="Arial"/>
                <w:b/>
                <w:sz w:val="18"/>
                <w:szCs w:val="18"/>
                <w:u w:val="single"/>
              </w:rPr>
              <w:t>1.070.571.419</w:t>
            </w:r>
          </w:p>
        </w:tc>
      </w:tr>
    </w:tbl>
    <w:p w14:paraId="63081733" w14:textId="77777777" w:rsidR="007E2F9F" w:rsidRDefault="007E2F9F" w:rsidP="007E2F9F">
      <w:pPr>
        <w:ind w:left="-142" w:right="-93"/>
        <w:jc w:val="both"/>
        <w:rPr>
          <w:rFonts w:ascii="Arial" w:hAnsi="Arial" w:cs="Arial"/>
          <w:lang w:val="es-MX"/>
        </w:rPr>
      </w:pPr>
    </w:p>
    <w:p w14:paraId="486EF743" w14:textId="77777777" w:rsidR="007E2F9F" w:rsidRPr="002346E8" w:rsidRDefault="007E2F9F" w:rsidP="00143581">
      <w:pPr>
        <w:ind w:left="-284" w:right="-93"/>
        <w:jc w:val="both"/>
        <w:rPr>
          <w:rFonts w:ascii="Arial" w:hAnsi="Arial" w:cs="Arial"/>
          <w:b/>
          <w:sz w:val="28"/>
          <w:szCs w:val="28"/>
          <w:lang w:val="es-MX"/>
        </w:rPr>
      </w:pPr>
      <w:r w:rsidRPr="002346E8">
        <w:rPr>
          <w:rFonts w:ascii="Arial" w:hAnsi="Arial" w:cs="Arial"/>
          <w:b/>
          <w:sz w:val="28"/>
          <w:szCs w:val="28"/>
          <w:lang w:val="es-MX"/>
        </w:rPr>
        <w:t>304.- FONDO ROTATORIO DE LA REGISTRADURÍA NACIONAL DEL ESTADO CIVIL.</w:t>
      </w:r>
    </w:p>
    <w:p w14:paraId="6410A938" w14:textId="77777777" w:rsidR="007E2F9F" w:rsidRDefault="007E2F9F" w:rsidP="007E2F9F">
      <w:pPr>
        <w:ind w:left="-142" w:right="-93"/>
        <w:jc w:val="both"/>
        <w:rPr>
          <w:rFonts w:ascii="Arial" w:hAnsi="Arial" w:cs="Arial"/>
          <w:lang w:val="es-MX"/>
        </w:rPr>
      </w:pPr>
    </w:p>
    <w:tbl>
      <w:tblPr>
        <w:tblW w:w="10349" w:type="dxa"/>
        <w:tblInd w:w="-289" w:type="dxa"/>
        <w:tblCellMar>
          <w:left w:w="70" w:type="dxa"/>
          <w:right w:w="70" w:type="dxa"/>
        </w:tblCellMar>
        <w:tblLook w:val="04A0" w:firstRow="1" w:lastRow="0" w:firstColumn="1" w:lastColumn="0" w:noHBand="0" w:noVBand="1"/>
      </w:tblPr>
      <w:tblGrid>
        <w:gridCol w:w="8153"/>
        <w:gridCol w:w="2196"/>
      </w:tblGrid>
      <w:tr w:rsidR="007E2F9F" w:rsidRPr="00013AC0" w14:paraId="5BB842BE" w14:textId="77777777" w:rsidTr="00143581">
        <w:trPr>
          <w:trHeight w:val="290"/>
        </w:trPr>
        <w:tc>
          <w:tcPr>
            <w:tcW w:w="8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A80D" w14:textId="77777777" w:rsidR="007E2F9F" w:rsidRPr="00013AC0" w:rsidRDefault="007E2F9F" w:rsidP="006548F8">
            <w:pPr>
              <w:rPr>
                <w:rFonts w:ascii="Arial" w:hAnsi="Arial" w:cs="Arial"/>
                <w:color w:val="000000"/>
                <w:sz w:val="20"/>
                <w:szCs w:val="20"/>
                <w:lang w:eastAsia="es-CO"/>
              </w:rPr>
            </w:pPr>
            <w:r w:rsidRPr="00013AC0">
              <w:rPr>
                <w:rFonts w:ascii="Arial" w:hAnsi="Arial" w:cs="Arial"/>
                <w:color w:val="000000"/>
                <w:sz w:val="20"/>
                <w:szCs w:val="20"/>
                <w:lang w:eastAsia="es-CO"/>
              </w:rPr>
              <w:t>Reservas presupuestales constituidas a 31 de diciembre de 2024</w:t>
            </w:r>
          </w:p>
        </w:tc>
        <w:tc>
          <w:tcPr>
            <w:tcW w:w="2196" w:type="dxa"/>
            <w:tcBorders>
              <w:top w:val="single" w:sz="4" w:space="0" w:color="auto"/>
              <w:left w:val="nil"/>
              <w:bottom w:val="single" w:sz="4" w:space="0" w:color="auto"/>
              <w:right w:val="single" w:sz="4" w:space="0" w:color="auto"/>
            </w:tcBorders>
            <w:shd w:val="clear" w:color="auto" w:fill="auto"/>
            <w:noWrap/>
            <w:vAlign w:val="center"/>
            <w:hideMark/>
          </w:tcPr>
          <w:p w14:paraId="0E93EB58" w14:textId="77777777" w:rsidR="007E2F9F" w:rsidRPr="00013AC0" w:rsidRDefault="007E2F9F" w:rsidP="006548F8">
            <w:pPr>
              <w:jc w:val="right"/>
              <w:rPr>
                <w:rFonts w:ascii="Arial" w:hAnsi="Arial" w:cs="Arial"/>
                <w:color w:val="000000"/>
                <w:sz w:val="20"/>
                <w:szCs w:val="20"/>
                <w:lang w:eastAsia="es-CO"/>
              </w:rPr>
            </w:pPr>
            <w:r w:rsidRPr="00013AC0">
              <w:rPr>
                <w:rFonts w:ascii="Arial" w:hAnsi="Arial" w:cs="Arial"/>
                <w:color w:val="000000"/>
                <w:sz w:val="20"/>
                <w:szCs w:val="20"/>
                <w:lang w:eastAsia="es-CO"/>
              </w:rPr>
              <w:t>41.333.771</w:t>
            </w:r>
          </w:p>
        </w:tc>
      </w:tr>
      <w:tr w:rsidR="007E2F9F" w:rsidRPr="00013AC0" w14:paraId="3DD6D8A3" w14:textId="77777777" w:rsidTr="00143581">
        <w:trPr>
          <w:trHeight w:val="290"/>
        </w:trPr>
        <w:tc>
          <w:tcPr>
            <w:tcW w:w="8153" w:type="dxa"/>
            <w:tcBorders>
              <w:top w:val="nil"/>
              <w:left w:val="single" w:sz="4" w:space="0" w:color="auto"/>
              <w:bottom w:val="single" w:sz="4" w:space="0" w:color="auto"/>
              <w:right w:val="single" w:sz="4" w:space="0" w:color="auto"/>
            </w:tcBorders>
            <w:shd w:val="clear" w:color="auto" w:fill="auto"/>
            <w:vAlign w:val="center"/>
            <w:hideMark/>
          </w:tcPr>
          <w:p w14:paraId="46E56092" w14:textId="77777777" w:rsidR="007E2F9F" w:rsidRPr="00013AC0" w:rsidRDefault="007E2F9F" w:rsidP="006548F8">
            <w:pPr>
              <w:rPr>
                <w:rFonts w:ascii="Arial" w:hAnsi="Arial" w:cs="Arial"/>
                <w:color w:val="000000"/>
                <w:sz w:val="20"/>
                <w:szCs w:val="20"/>
                <w:lang w:eastAsia="es-CO"/>
              </w:rPr>
            </w:pPr>
            <w:r w:rsidRPr="00013AC0">
              <w:rPr>
                <w:rFonts w:ascii="Arial" w:hAnsi="Arial" w:cs="Arial"/>
                <w:color w:val="000000"/>
                <w:sz w:val="20"/>
                <w:szCs w:val="20"/>
                <w:lang w:eastAsia="es-CO"/>
              </w:rPr>
              <w:t>Cuentas por pagar constituidas a 31de diciembre de 2024</w:t>
            </w:r>
          </w:p>
        </w:tc>
        <w:tc>
          <w:tcPr>
            <w:tcW w:w="2196" w:type="dxa"/>
            <w:tcBorders>
              <w:top w:val="nil"/>
              <w:left w:val="nil"/>
              <w:bottom w:val="single" w:sz="4" w:space="0" w:color="auto"/>
              <w:right w:val="single" w:sz="4" w:space="0" w:color="auto"/>
            </w:tcBorders>
            <w:shd w:val="clear" w:color="auto" w:fill="auto"/>
            <w:noWrap/>
            <w:vAlign w:val="center"/>
            <w:hideMark/>
          </w:tcPr>
          <w:p w14:paraId="68B689F1" w14:textId="77777777" w:rsidR="007E2F9F" w:rsidRPr="00013AC0" w:rsidRDefault="007E2F9F" w:rsidP="006548F8">
            <w:pPr>
              <w:jc w:val="right"/>
              <w:rPr>
                <w:rFonts w:ascii="Arial" w:hAnsi="Arial" w:cs="Arial"/>
                <w:color w:val="000000"/>
                <w:sz w:val="20"/>
                <w:szCs w:val="20"/>
                <w:lang w:eastAsia="es-CO"/>
              </w:rPr>
            </w:pPr>
            <w:r w:rsidRPr="00013AC0">
              <w:rPr>
                <w:rFonts w:ascii="Arial" w:hAnsi="Arial" w:cs="Arial"/>
                <w:color w:val="000000"/>
                <w:sz w:val="20"/>
                <w:szCs w:val="20"/>
                <w:lang w:eastAsia="es-CO"/>
              </w:rPr>
              <w:t>22.150.419</w:t>
            </w:r>
          </w:p>
        </w:tc>
      </w:tr>
      <w:tr w:rsidR="007E2F9F" w:rsidRPr="00013AC0" w14:paraId="205B2626" w14:textId="77777777" w:rsidTr="00143581">
        <w:trPr>
          <w:trHeight w:val="611"/>
        </w:trPr>
        <w:tc>
          <w:tcPr>
            <w:tcW w:w="8153" w:type="dxa"/>
            <w:tcBorders>
              <w:top w:val="nil"/>
              <w:left w:val="single" w:sz="4" w:space="0" w:color="auto"/>
              <w:bottom w:val="single" w:sz="4" w:space="0" w:color="auto"/>
              <w:right w:val="single" w:sz="4" w:space="0" w:color="auto"/>
            </w:tcBorders>
            <w:shd w:val="clear" w:color="000000" w:fill="D0CECE"/>
            <w:vAlign w:val="center"/>
            <w:hideMark/>
          </w:tcPr>
          <w:p w14:paraId="7641C93E" w14:textId="77777777" w:rsidR="007E2F9F" w:rsidRPr="00013AC0" w:rsidRDefault="007E2F9F" w:rsidP="006548F8">
            <w:pPr>
              <w:rPr>
                <w:rFonts w:ascii="Arial" w:hAnsi="Arial" w:cs="Arial"/>
                <w:b/>
                <w:bCs/>
                <w:color w:val="000000"/>
                <w:sz w:val="20"/>
                <w:szCs w:val="20"/>
                <w:lang w:eastAsia="es-CO"/>
              </w:rPr>
            </w:pPr>
            <w:r w:rsidRPr="00013AC0">
              <w:rPr>
                <w:rFonts w:ascii="Arial" w:hAnsi="Arial" w:cs="Arial"/>
                <w:b/>
                <w:bCs/>
                <w:color w:val="000000"/>
                <w:sz w:val="20"/>
                <w:szCs w:val="20"/>
                <w:lang w:eastAsia="es-CO"/>
              </w:rPr>
              <w:t>TOTAL REZAGO PRESUPUESTAL CONSTITUIDO A 31 DE DICIEMBRE DE 2024</w:t>
            </w:r>
          </w:p>
        </w:tc>
        <w:tc>
          <w:tcPr>
            <w:tcW w:w="2196" w:type="dxa"/>
            <w:tcBorders>
              <w:top w:val="nil"/>
              <w:left w:val="nil"/>
              <w:bottom w:val="single" w:sz="4" w:space="0" w:color="auto"/>
              <w:right w:val="single" w:sz="4" w:space="0" w:color="auto"/>
            </w:tcBorders>
            <w:shd w:val="clear" w:color="000000" w:fill="D0CECE"/>
            <w:noWrap/>
            <w:vAlign w:val="center"/>
            <w:hideMark/>
          </w:tcPr>
          <w:p w14:paraId="54D23C2B" w14:textId="77777777" w:rsidR="007E2F9F" w:rsidRPr="00013AC0" w:rsidRDefault="007E2F9F" w:rsidP="006548F8">
            <w:pPr>
              <w:jc w:val="right"/>
              <w:rPr>
                <w:rFonts w:ascii="Arial" w:hAnsi="Arial" w:cs="Arial"/>
                <w:b/>
                <w:bCs/>
                <w:color w:val="000000"/>
                <w:sz w:val="20"/>
                <w:szCs w:val="20"/>
                <w:lang w:eastAsia="es-CO"/>
              </w:rPr>
            </w:pPr>
            <w:r w:rsidRPr="00013AC0">
              <w:rPr>
                <w:rFonts w:ascii="Arial" w:hAnsi="Arial" w:cs="Arial"/>
                <w:b/>
                <w:bCs/>
                <w:color w:val="000000"/>
                <w:sz w:val="20"/>
                <w:szCs w:val="20"/>
                <w:lang w:eastAsia="es-CO"/>
              </w:rPr>
              <w:t>63.484.191</w:t>
            </w:r>
          </w:p>
        </w:tc>
      </w:tr>
    </w:tbl>
    <w:p w14:paraId="63D34230" w14:textId="77777777" w:rsidR="007E2F9F" w:rsidRDefault="007E2F9F" w:rsidP="007E2F9F">
      <w:pPr>
        <w:ind w:left="-142" w:right="-93"/>
        <w:jc w:val="both"/>
        <w:rPr>
          <w:rFonts w:ascii="Arial" w:hAnsi="Arial" w:cs="Arial"/>
          <w:lang w:val="es-MX"/>
        </w:rPr>
      </w:pPr>
    </w:p>
    <w:p w14:paraId="3A9F2918" w14:textId="77777777" w:rsidR="007E2F9F" w:rsidRPr="00B215A2" w:rsidRDefault="007E2F9F" w:rsidP="00143581">
      <w:pPr>
        <w:ind w:left="-284" w:right="-93"/>
        <w:jc w:val="both"/>
        <w:rPr>
          <w:rFonts w:ascii="Arial" w:eastAsia="Calibri" w:hAnsi="Arial" w:cs="Arial"/>
          <w:b/>
          <w:sz w:val="28"/>
          <w:szCs w:val="28"/>
          <w:lang w:val="es-MX"/>
        </w:rPr>
      </w:pPr>
      <w:r w:rsidRPr="00B215A2">
        <w:rPr>
          <w:rFonts w:ascii="Arial" w:hAnsi="Arial" w:cs="Arial"/>
          <w:b/>
          <w:sz w:val="28"/>
          <w:szCs w:val="28"/>
          <w:lang w:val="es-MX"/>
        </w:rPr>
        <w:t xml:space="preserve">305.- </w:t>
      </w:r>
      <w:r w:rsidRPr="00B215A2">
        <w:rPr>
          <w:rFonts w:ascii="Arial" w:eastAsia="Calibri" w:hAnsi="Arial" w:cs="Arial"/>
          <w:b/>
          <w:sz w:val="28"/>
          <w:szCs w:val="28"/>
          <w:lang w:val="es-MX"/>
        </w:rPr>
        <w:t>FONDO SOCIAL DE VIVIENDA - REGISTRADURÍA NACIONAL DEL ESTADO CIVIL.</w:t>
      </w:r>
    </w:p>
    <w:p w14:paraId="06F848A7"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EE7C20" w14:paraId="4BF95131" w14:textId="77777777" w:rsidTr="00143581">
        <w:tc>
          <w:tcPr>
            <w:tcW w:w="8506" w:type="dxa"/>
          </w:tcPr>
          <w:p w14:paraId="7E07D45A" w14:textId="77777777" w:rsidR="007E2F9F" w:rsidRPr="00EE7C20" w:rsidRDefault="007E2F9F" w:rsidP="006548F8">
            <w:pPr>
              <w:tabs>
                <w:tab w:val="left" w:pos="875"/>
              </w:tabs>
              <w:rPr>
                <w:rFonts w:ascii="Arial" w:hAnsi="Arial" w:cs="Arial"/>
                <w:sz w:val="18"/>
                <w:szCs w:val="18"/>
              </w:rPr>
            </w:pPr>
            <w:r w:rsidRPr="00EE7C20">
              <w:rPr>
                <w:rFonts w:ascii="Arial" w:hAnsi="Arial" w:cs="Arial"/>
                <w:lang w:val="es-ES_tradnl"/>
              </w:rPr>
              <w:t>Reservas presupuestales constituidas a 31 de diciembre de 2024</w:t>
            </w:r>
          </w:p>
        </w:tc>
        <w:tc>
          <w:tcPr>
            <w:tcW w:w="1843" w:type="dxa"/>
          </w:tcPr>
          <w:p w14:paraId="0D6A8EEA" w14:textId="77777777" w:rsidR="007E2F9F" w:rsidRPr="00EE7C20" w:rsidRDefault="007E2F9F" w:rsidP="006548F8">
            <w:pPr>
              <w:tabs>
                <w:tab w:val="left" w:pos="875"/>
              </w:tabs>
              <w:jc w:val="right"/>
              <w:rPr>
                <w:rFonts w:ascii="Arial" w:hAnsi="Arial" w:cs="Arial"/>
                <w:sz w:val="18"/>
                <w:szCs w:val="18"/>
              </w:rPr>
            </w:pPr>
            <w:r w:rsidRPr="00EE7C20">
              <w:rPr>
                <w:rFonts w:ascii="Arial" w:hAnsi="Arial" w:cs="Arial"/>
                <w:sz w:val="18"/>
                <w:szCs w:val="18"/>
              </w:rPr>
              <w:t>3.368.011</w:t>
            </w:r>
          </w:p>
        </w:tc>
      </w:tr>
      <w:tr w:rsidR="007E2F9F" w:rsidRPr="00EE7C20" w14:paraId="6BFA06E0" w14:textId="77777777" w:rsidTr="00143581">
        <w:tc>
          <w:tcPr>
            <w:tcW w:w="8506" w:type="dxa"/>
            <w:shd w:val="clear" w:color="auto" w:fill="D9D9D9" w:themeFill="background1" w:themeFillShade="D9"/>
          </w:tcPr>
          <w:p w14:paraId="36ACA8C2" w14:textId="77777777" w:rsidR="007E2F9F" w:rsidRPr="00EE7C20" w:rsidRDefault="007E2F9F" w:rsidP="006548F8">
            <w:pPr>
              <w:tabs>
                <w:tab w:val="left" w:pos="875"/>
              </w:tabs>
              <w:rPr>
                <w:rFonts w:ascii="Arial" w:hAnsi="Arial" w:cs="Arial"/>
                <w:sz w:val="18"/>
                <w:szCs w:val="18"/>
              </w:rPr>
            </w:pPr>
            <w:r w:rsidRPr="00EE7C20">
              <w:rPr>
                <w:rFonts w:ascii="Arial" w:hAnsi="Arial" w:cs="Arial"/>
                <w:b/>
                <w:lang w:val="es-ES_tradnl"/>
              </w:rPr>
              <w:t>TOTAL REZAGO PRESUPUESTAL CONSTITUIDO A 31 DE DICIEMBRE DE 2024</w:t>
            </w:r>
          </w:p>
        </w:tc>
        <w:tc>
          <w:tcPr>
            <w:tcW w:w="1843" w:type="dxa"/>
            <w:shd w:val="clear" w:color="auto" w:fill="D9D9D9" w:themeFill="background1" w:themeFillShade="D9"/>
          </w:tcPr>
          <w:p w14:paraId="18D2D9CB" w14:textId="77777777" w:rsidR="007E2F9F" w:rsidRPr="00EE7C20" w:rsidRDefault="007E2F9F" w:rsidP="006548F8">
            <w:pPr>
              <w:tabs>
                <w:tab w:val="left" w:pos="875"/>
              </w:tabs>
              <w:jc w:val="right"/>
              <w:rPr>
                <w:rFonts w:ascii="Arial" w:hAnsi="Arial" w:cs="Arial"/>
                <w:b/>
                <w:sz w:val="18"/>
                <w:szCs w:val="18"/>
                <w:u w:val="single"/>
              </w:rPr>
            </w:pPr>
            <w:r w:rsidRPr="00EE7C20">
              <w:rPr>
                <w:rFonts w:ascii="Arial" w:hAnsi="Arial" w:cs="Arial"/>
                <w:b/>
                <w:sz w:val="18"/>
                <w:szCs w:val="18"/>
                <w:u w:val="single"/>
              </w:rPr>
              <w:t>3.368.011</w:t>
            </w:r>
          </w:p>
        </w:tc>
      </w:tr>
    </w:tbl>
    <w:p w14:paraId="71E6C02D" w14:textId="77777777" w:rsidR="007E2F9F" w:rsidRDefault="007E2F9F" w:rsidP="007E2F9F">
      <w:pPr>
        <w:ind w:left="-142" w:right="-93"/>
        <w:jc w:val="both"/>
        <w:rPr>
          <w:rFonts w:ascii="Arial" w:hAnsi="Arial" w:cs="Arial"/>
          <w:lang w:val="es-MX"/>
        </w:rPr>
      </w:pPr>
    </w:p>
    <w:p w14:paraId="3C67617A" w14:textId="77777777" w:rsidR="007E2F9F" w:rsidRDefault="007E2F9F" w:rsidP="00143581">
      <w:pPr>
        <w:ind w:left="-284"/>
        <w:jc w:val="both"/>
        <w:rPr>
          <w:rFonts w:ascii="Arial" w:hAnsi="Arial" w:cs="Arial"/>
          <w:b/>
          <w:sz w:val="28"/>
          <w:szCs w:val="28"/>
          <w:lang w:val="es-MX"/>
        </w:rPr>
      </w:pPr>
      <w:r w:rsidRPr="00C07DAC">
        <w:rPr>
          <w:rFonts w:ascii="Arial" w:hAnsi="Arial" w:cs="Arial"/>
          <w:b/>
          <w:sz w:val="28"/>
          <w:szCs w:val="28"/>
          <w:lang w:val="es-MX"/>
        </w:rPr>
        <w:t xml:space="preserve">306.- </w:t>
      </w:r>
      <w:r w:rsidRPr="00C07DAC">
        <w:rPr>
          <w:rFonts w:ascii="Arial" w:hAnsi="Arial" w:cs="Arial"/>
          <w:b/>
          <w:sz w:val="28"/>
          <w:szCs w:val="28"/>
        </w:rPr>
        <w:t>MINISTERIO</w:t>
      </w:r>
      <w:r w:rsidRPr="00C07DAC">
        <w:rPr>
          <w:rFonts w:ascii="Arial" w:hAnsi="Arial" w:cs="Arial"/>
          <w:b/>
          <w:spacing w:val="-12"/>
          <w:sz w:val="28"/>
          <w:szCs w:val="28"/>
        </w:rPr>
        <w:t xml:space="preserve"> </w:t>
      </w:r>
      <w:r w:rsidRPr="00C07DAC">
        <w:rPr>
          <w:rFonts w:ascii="Arial" w:hAnsi="Arial" w:cs="Arial"/>
          <w:b/>
          <w:sz w:val="28"/>
          <w:szCs w:val="28"/>
        </w:rPr>
        <w:t>DE</w:t>
      </w:r>
      <w:r w:rsidRPr="00C07DAC">
        <w:rPr>
          <w:rFonts w:ascii="Arial" w:hAnsi="Arial" w:cs="Arial"/>
          <w:b/>
          <w:spacing w:val="-9"/>
          <w:sz w:val="28"/>
          <w:szCs w:val="28"/>
        </w:rPr>
        <w:t xml:space="preserve"> </w:t>
      </w:r>
      <w:r w:rsidRPr="00C07DAC">
        <w:rPr>
          <w:rFonts w:ascii="Arial" w:hAnsi="Arial" w:cs="Arial"/>
          <w:b/>
          <w:sz w:val="28"/>
          <w:szCs w:val="28"/>
        </w:rPr>
        <w:t>DEFENSA</w:t>
      </w:r>
      <w:r w:rsidRPr="00C07DAC">
        <w:rPr>
          <w:rFonts w:ascii="Arial" w:hAnsi="Arial" w:cs="Arial"/>
          <w:b/>
          <w:spacing w:val="-9"/>
          <w:sz w:val="28"/>
          <w:szCs w:val="28"/>
        </w:rPr>
        <w:t xml:space="preserve"> </w:t>
      </w:r>
      <w:r w:rsidRPr="00C07DAC">
        <w:rPr>
          <w:rFonts w:ascii="Arial" w:hAnsi="Arial" w:cs="Arial"/>
          <w:b/>
          <w:sz w:val="28"/>
          <w:szCs w:val="28"/>
        </w:rPr>
        <w:t>NACIONAL</w:t>
      </w:r>
      <w:r w:rsidRPr="00C07DAC">
        <w:rPr>
          <w:rFonts w:ascii="Arial" w:hAnsi="Arial" w:cs="Arial"/>
          <w:b/>
          <w:sz w:val="28"/>
          <w:szCs w:val="28"/>
          <w:lang w:val="es-MX"/>
        </w:rPr>
        <w:t xml:space="preserve"> CONSOLIDADO.</w:t>
      </w:r>
    </w:p>
    <w:p w14:paraId="65136B25" w14:textId="77777777" w:rsidR="007E2F9F" w:rsidRPr="00C07DAC" w:rsidRDefault="007E2F9F" w:rsidP="007E2F9F">
      <w:pPr>
        <w:ind w:left="-142"/>
        <w:jc w:val="both"/>
        <w:rPr>
          <w:rFonts w:ascii="Arial" w:hAnsi="Arial" w:cs="Arial"/>
          <w:b/>
          <w:sz w:val="28"/>
          <w:szCs w:val="28"/>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7E7D64" w14:paraId="5C633FD8" w14:textId="77777777" w:rsidTr="00143581">
        <w:tc>
          <w:tcPr>
            <w:tcW w:w="8506" w:type="dxa"/>
          </w:tcPr>
          <w:p w14:paraId="350264E0" w14:textId="77777777" w:rsidR="007E2F9F" w:rsidRPr="007E7D64" w:rsidRDefault="007E2F9F" w:rsidP="006548F8">
            <w:pPr>
              <w:tabs>
                <w:tab w:val="left" w:pos="875"/>
              </w:tabs>
              <w:ind w:right="157"/>
              <w:rPr>
                <w:rFonts w:ascii="Arial" w:hAnsi="Arial" w:cs="Arial"/>
                <w:sz w:val="18"/>
                <w:szCs w:val="18"/>
              </w:rPr>
            </w:pPr>
            <w:r w:rsidRPr="007E7D64">
              <w:rPr>
                <w:rFonts w:ascii="Arial" w:hAnsi="Arial" w:cs="Arial"/>
                <w:lang w:val="es-ES_tradnl"/>
              </w:rPr>
              <w:t>Reservas presupuestales constituidas a 31 de diciembre de 2024</w:t>
            </w:r>
          </w:p>
        </w:tc>
        <w:tc>
          <w:tcPr>
            <w:tcW w:w="1843" w:type="dxa"/>
          </w:tcPr>
          <w:p w14:paraId="37E4B792" w14:textId="77777777" w:rsidR="007E2F9F" w:rsidRPr="007E7D64" w:rsidRDefault="007E2F9F" w:rsidP="006548F8">
            <w:pPr>
              <w:tabs>
                <w:tab w:val="left" w:pos="875"/>
              </w:tabs>
              <w:jc w:val="right"/>
              <w:rPr>
                <w:rFonts w:ascii="Arial" w:hAnsi="Arial" w:cs="Arial"/>
                <w:sz w:val="18"/>
                <w:szCs w:val="18"/>
              </w:rPr>
            </w:pPr>
            <w:r w:rsidRPr="007E7D64">
              <w:rPr>
                <w:rFonts w:ascii="Arial" w:hAnsi="Arial" w:cs="Arial"/>
                <w:sz w:val="18"/>
                <w:szCs w:val="18"/>
              </w:rPr>
              <w:t>3.634.914.066,69</w:t>
            </w:r>
          </w:p>
        </w:tc>
      </w:tr>
      <w:tr w:rsidR="007E2F9F" w:rsidRPr="007E7D64" w14:paraId="514DBBF6" w14:textId="77777777" w:rsidTr="00143581">
        <w:tc>
          <w:tcPr>
            <w:tcW w:w="8506" w:type="dxa"/>
          </w:tcPr>
          <w:p w14:paraId="66951935" w14:textId="77777777" w:rsidR="007E2F9F" w:rsidRPr="007E7D64" w:rsidRDefault="007E2F9F" w:rsidP="006548F8">
            <w:pPr>
              <w:tabs>
                <w:tab w:val="left" w:pos="875"/>
              </w:tabs>
              <w:ind w:right="157"/>
              <w:rPr>
                <w:rFonts w:ascii="Arial" w:hAnsi="Arial" w:cs="Arial"/>
                <w:sz w:val="18"/>
                <w:szCs w:val="18"/>
              </w:rPr>
            </w:pPr>
            <w:r w:rsidRPr="007E7D64">
              <w:rPr>
                <w:rFonts w:ascii="Arial" w:hAnsi="Arial" w:cs="Arial"/>
                <w:lang w:val="es-ES_tradnl"/>
              </w:rPr>
              <w:t>Cuentas por pagar constituidas a 31 de diciembre de 2024</w:t>
            </w:r>
          </w:p>
        </w:tc>
        <w:tc>
          <w:tcPr>
            <w:tcW w:w="1843" w:type="dxa"/>
          </w:tcPr>
          <w:p w14:paraId="00F4FAFF" w14:textId="77777777" w:rsidR="007E2F9F" w:rsidRPr="007E7D64" w:rsidRDefault="007E2F9F" w:rsidP="006548F8">
            <w:pPr>
              <w:tabs>
                <w:tab w:val="left" w:pos="875"/>
              </w:tabs>
              <w:jc w:val="right"/>
              <w:rPr>
                <w:rFonts w:ascii="Arial" w:hAnsi="Arial" w:cs="Arial"/>
                <w:sz w:val="18"/>
                <w:szCs w:val="18"/>
              </w:rPr>
            </w:pPr>
            <w:r w:rsidRPr="007E7D64">
              <w:rPr>
                <w:rFonts w:ascii="Arial" w:hAnsi="Arial" w:cs="Arial"/>
                <w:sz w:val="18"/>
                <w:szCs w:val="18"/>
              </w:rPr>
              <w:t>34.323.503,29</w:t>
            </w:r>
          </w:p>
        </w:tc>
      </w:tr>
      <w:tr w:rsidR="007E2F9F" w:rsidRPr="007E7D64" w14:paraId="0AAEBBFA" w14:textId="77777777" w:rsidTr="00143581">
        <w:tc>
          <w:tcPr>
            <w:tcW w:w="8506" w:type="dxa"/>
          </w:tcPr>
          <w:p w14:paraId="2E30B678" w14:textId="77777777" w:rsidR="007E2F9F" w:rsidRPr="007E7D64" w:rsidRDefault="007E2F9F" w:rsidP="006548F8">
            <w:pPr>
              <w:tabs>
                <w:tab w:val="left" w:pos="875"/>
              </w:tabs>
              <w:ind w:right="157"/>
              <w:rPr>
                <w:rFonts w:ascii="Arial" w:hAnsi="Arial" w:cs="Arial"/>
                <w:sz w:val="18"/>
                <w:szCs w:val="18"/>
              </w:rPr>
            </w:pPr>
            <w:r w:rsidRPr="007E7D64">
              <w:rPr>
                <w:rFonts w:ascii="Arial" w:hAnsi="Arial" w:cs="Arial"/>
                <w:b/>
                <w:lang w:val="es-ES_tradnl"/>
              </w:rPr>
              <w:t>TOTAL REZAGO PRESUPUESTAL CONSTITUIDO A 31 DE DICIEMBRE DE 2024</w:t>
            </w:r>
          </w:p>
        </w:tc>
        <w:tc>
          <w:tcPr>
            <w:tcW w:w="1843" w:type="dxa"/>
          </w:tcPr>
          <w:p w14:paraId="1DD4E054" w14:textId="77777777" w:rsidR="007E2F9F" w:rsidRPr="007E7D64" w:rsidRDefault="007E2F9F" w:rsidP="006548F8">
            <w:pPr>
              <w:tabs>
                <w:tab w:val="left" w:pos="875"/>
              </w:tabs>
              <w:jc w:val="right"/>
              <w:rPr>
                <w:rFonts w:ascii="Arial" w:hAnsi="Arial" w:cs="Arial"/>
                <w:b/>
                <w:sz w:val="18"/>
                <w:szCs w:val="18"/>
                <w:u w:val="single"/>
              </w:rPr>
            </w:pPr>
            <w:r w:rsidRPr="007E7D64">
              <w:rPr>
                <w:rFonts w:ascii="Arial" w:hAnsi="Arial" w:cs="Arial"/>
                <w:b/>
                <w:sz w:val="18"/>
                <w:szCs w:val="18"/>
                <w:u w:val="single"/>
              </w:rPr>
              <w:t>3.669.237.569,98</w:t>
            </w:r>
          </w:p>
        </w:tc>
      </w:tr>
    </w:tbl>
    <w:p w14:paraId="6C6E27E8" w14:textId="77777777" w:rsidR="007E2F9F" w:rsidRPr="002346E8" w:rsidRDefault="007E2F9F" w:rsidP="007E2F9F">
      <w:pPr>
        <w:pStyle w:val="Prrafodelista"/>
        <w:spacing w:before="92"/>
        <w:ind w:left="-142"/>
        <w:rPr>
          <w:rFonts w:ascii="Arial" w:hAnsi="Arial" w:cs="Arial"/>
          <w:b/>
          <w:sz w:val="24"/>
          <w:lang w:val="es-MX"/>
        </w:rPr>
      </w:pPr>
    </w:p>
    <w:p w14:paraId="58FDD110" w14:textId="77777777" w:rsidR="007E2F9F" w:rsidRPr="004C02FC" w:rsidRDefault="007E2F9F" w:rsidP="00143581">
      <w:pPr>
        <w:ind w:left="-284"/>
        <w:jc w:val="both"/>
        <w:rPr>
          <w:rFonts w:ascii="Arial" w:hAnsi="Arial" w:cs="Arial"/>
          <w:b/>
          <w:sz w:val="28"/>
          <w:szCs w:val="28"/>
          <w:lang w:val="es-MX"/>
        </w:rPr>
      </w:pPr>
      <w:r w:rsidRPr="004C02FC">
        <w:rPr>
          <w:rFonts w:ascii="Arial" w:hAnsi="Arial" w:cs="Arial"/>
          <w:b/>
          <w:sz w:val="28"/>
          <w:szCs w:val="28"/>
          <w:lang w:val="es-MX"/>
        </w:rPr>
        <w:t>308.- U.A.E. DE ORGANIZACIONES SOLIDARIAS.</w:t>
      </w:r>
    </w:p>
    <w:p w14:paraId="1C4A2E4D" w14:textId="77777777" w:rsidR="007E2F9F" w:rsidRDefault="007E2F9F" w:rsidP="007E2F9F">
      <w:pPr>
        <w:jc w:val="both"/>
        <w:rPr>
          <w:b/>
          <w:sz w:val="28"/>
          <w:szCs w:val="28"/>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4C02FC" w14:paraId="40B67753" w14:textId="77777777" w:rsidTr="00143581">
        <w:tc>
          <w:tcPr>
            <w:tcW w:w="8506" w:type="dxa"/>
          </w:tcPr>
          <w:p w14:paraId="64DF117E" w14:textId="77777777" w:rsidR="007E2F9F" w:rsidRPr="004C02FC" w:rsidRDefault="007E2F9F" w:rsidP="006548F8">
            <w:pPr>
              <w:tabs>
                <w:tab w:val="left" w:pos="875"/>
              </w:tabs>
              <w:ind w:right="157"/>
              <w:rPr>
                <w:rFonts w:ascii="Arial" w:hAnsi="Arial" w:cs="Arial"/>
                <w:sz w:val="18"/>
                <w:szCs w:val="18"/>
              </w:rPr>
            </w:pPr>
            <w:r w:rsidRPr="004C02FC">
              <w:rPr>
                <w:rFonts w:ascii="Arial" w:hAnsi="Arial" w:cs="Arial"/>
                <w:lang w:val="es-ES_tradnl"/>
              </w:rPr>
              <w:t>Reservas presupuestales constituidas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5CAF0097" w14:textId="77777777" w:rsidR="007E2F9F" w:rsidRPr="004C02FC" w:rsidRDefault="007E2F9F" w:rsidP="006548F8">
            <w:pPr>
              <w:tabs>
                <w:tab w:val="left" w:pos="875"/>
              </w:tabs>
              <w:jc w:val="right"/>
              <w:rPr>
                <w:rFonts w:ascii="Arial" w:hAnsi="Arial" w:cs="Arial"/>
                <w:b/>
                <w:bCs/>
                <w:sz w:val="16"/>
                <w:szCs w:val="16"/>
              </w:rPr>
            </w:pPr>
            <w:r w:rsidRPr="004C02FC">
              <w:rPr>
                <w:rFonts w:ascii="Arial" w:hAnsi="Arial" w:cs="Arial"/>
                <w:b/>
                <w:bCs/>
                <w:color w:val="000000"/>
                <w:sz w:val="16"/>
                <w:szCs w:val="16"/>
              </w:rPr>
              <w:t xml:space="preserve">3.507.337,00 </w:t>
            </w:r>
          </w:p>
        </w:tc>
      </w:tr>
      <w:tr w:rsidR="007E2F9F" w:rsidRPr="004C02FC" w14:paraId="0DE497F5" w14:textId="77777777" w:rsidTr="00143581">
        <w:tc>
          <w:tcPr>
            <w:tcW w:w="8506" w:type="dxa"/>
          </w:tcPr>
          <w:p w14:paraId="330C7628" w14:textId="77777777" w:rsidR="007E2F9F" w:rsidRPr="004C02FC" w:rsidRDefault="007E2F9F" w:rsidP="006548F8">
            <w:pPr>
              <w:tabs>
                <w:tab w:val="left" w:pos="875"/>
              </w:tabs>
              <w:ind w:right="157"/>
              <w:rPr>
                <w:rFonts w:ascii="Arial" w:hAnsi="Arial" w:cs="Arial"/>
                <w:sz w:val="18"/>
                <w:szCs w:val="18"/>
              </w:rPr>
            </w:pPr>
            <w:r w:rsidRPr="004C02FC">
              <w:rPr>
                <w:rFonts w:ascii="Arial" w:hAnsi="Arial" w:cs="Arial"/>
                <w:lang w:val="es-ES_tradnl"/>
              </w:rPr>
              <w:t>Cuentas por pagar constituidas a 31 de diciembre de 2024</w:t>
            </w:r>
          </w:p>
        </w:tc>
        <w:tc>
          <w:tcPr>
            <w:tcW w:w="1843" w:type="dxa"/>
            <w:tcBorders>
              <w:top w:val="nil"/>
              <w:left w:val="single" w:sz="8" w:space="0" w:color="auto"/>
              <w:bottom w:val="nil"/>
              <w:right w:val="single" w:sz="8" w:space="0" w:color="auto"/>
            </w:tcBorders>
            <w:shd w:val="clear" w:color="auto" w:fill="auto"/>
            <w:vAlign w:val="bottom"/>
          </w:tcPr>
          <w:p w14:paraId="001DAF8E" w14:textId="77777777" w:rsidR="007E2F9F" w:rsidRPr="004C02FC" w:rsidRDefault="007E2F9F" w:rsidP="006548F8">
            <w:pPr>
              <w:tabs>
                <w:tab w:val="left" w:pos="875"/>
              </w:tabs>
              <w:jc w:val="right"/>
              <w:rPr>
                <w:rFonts w:ascii="Arial" w:hAnsi="Arial" w:cs="Arial"/>
                <w:b/>
                <w:bCs/>
                <w:sz w:val="16"/>
                <w:szCs w:val="16"/>
              </w:rPr>
            </w:pPr>
            <w:r w:rsidRPr="004C02FC">
              <w:rPr>
                <w:rFonts w:ascii="Arial" w:hAnsi="Arial" w:cs="Arial"/>
                <w:b/>
                <w:bCs/>
                <w:sz w:val="16"/>
                <w:szCs w:val="16"/>
              </w:rPr>
              <w:t xml:space="preserve">553.286,40 </w:t>
            </w:r>
          </w:p>
        </w:tc>
      </w:tr>
      <w:tr w:rsidR="007E2F9F" w:rsidRPr="004C02FC" w14:paraId="37510BE1" w14:textId="77777777" w:rsidTr="00143581">
        <w:tc>
          <w:tcPr>
            <w:tcW w:w="8506" w:type="dxa"/>
          </w:tcPr>
          <w:p w14:paraId="15A63C6B" w14:textId="77777777" w:rsidR="007E2F9F" w:rsidRPr="004C02FC" w:rsidRDefault="007E2F9F" w:rsidP="006548F8">
            <w:pPr>
              <w:tabs>
                <w:tab w:val="left" w:pos="875"/>
              </w:tabs>
              <w:ind w:right="157"/>
              <w:rPr>
                <w:rFonts w:ascii="Arial" w:hAnsi="Arial" w:cs="Arial"/>
                <w:sz w:val="18"/>
                <w:szCs w:val="18"/>
              </w:rPr>
            </w:pPr>
            <w:r w:rsidRPr="004C02FC">
              <w:rPr>
                <w:rFonts w:ascii="Arial" w:hAnsi="Arial" w:cs="Arial"/>
                <w:b/>
                <w:lang w:val="es-ES_tradnl"/>
              </w:rPr>
              <w:t>TOTAL, REZAGO PRESUPUESTAL CONSTITUIDO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25688F60" w14:textId="77777777" w:rsidR="007E2F9F" w:rsidRPr="004C02FC" w:rsidRDefault="007E2F9F" w:rsidP="006548F8">
            <w:pPr>
              <w:tabs>
                <w:tab w:val="left" w:pos="875"/>
              </w:tabs>
              <w:jc w:val="right"/>
              <w:rPr>
                <w:rFonts w:ascii="Arial" w:hAnsi="Arial" w:cs="Arial"/>
                <w:b/>
                <w:bCs/>
                <w:sz w:val="16"/>
                <w:szCs w:val="16"/>
                <w:u w:val="single"/>
              </w:rPr>
            </w:pPr>
            <w:r w:rsidRPr="004C02FC">
              <w:rPr>
                <w:rFonts w:ascii="Arial" w:hAnsi="Arial" w:cs="Arial"/>
                <w:b/>
                <w:bCs/>
                <w:color w:val="000000"/>
                <w:sz w:val="16"/>
                <w:szCs w:val="16"/>
              </w:rPr>
              <w:t xml:space="preserve">4.060.623,40 </w:t>
            </w:r>
          </w:p>
        </w:tc>
      </w:tr>
    </w:tbl>
    <w:p w14:paraId="3B419706" w14:textId="77777777" w:rsidR="007E2F9F" w:rsidRDefault="007E2F9F" w:rsidP="007E2F9F">
      <w:pPr>
        <w:ind w:left="-142" w:right="-93"/>
        <w:jc w:val="both"/>
        <w:rPr>
          <w:rFonts w:ascii="Arial" w:hAnsi="Arial" w:cs="Arial"/>
          <w:lang w:val="es-MX"/>
        </w:rPr>
      </w:pPr>
    </w:p>
    <w:p w14:paraId="5E4B8450" w14:textId="77777777" w:rsidR="007E2F9F" w:rsidRPr="009725B8" w:rsidRDefault="007E2F9F" w:rsidP="00143581">
      <w:pPr>
        <w:ind w:left="-284" w:right="-234"/>
        <w:jc w:val="both"/>
        <w:rPr>
          <w:rFonts w:ascii="Arial" w:hAnsi="Arial" w:cs="Arial"/>
          <w:b/>
          <w:sz w:val="28"/>
          <w:szCs w:val="28"/>
          <w:lang w:val="es-MX"/>
        </w:rPr>
      </w:pPr>
      <w:r w:rsidRPr="009725B8">
        <w:rPr>
          <w:rFonts w:ascii="Arial" w:hAnsi="Arial" w:cs="Arial"/>
          <w:b/>
          <w:sz w:val="28"/>
          <w:szCs w:val="28"/>
          <w:lang w:val="es-MX"/>
        </w:rPr>
        <w:t xml:space="preserve">309.- CORPORACIÓN AUTÓNOMA REGIONAL DEL GUAVIO – CORPOGUAVIO. </w:t>
      </w:r>
    </w:p>
    <w:p w14:paraId="121FE7AD" w14:textId="77777777" w:rsidR="007E2F9F" w:rsidRDefault="007E2F9F" w:rsidP="007E2F9F">
      <w:pPr>
        <w:ind w:left="-284" w:right="-234"/>
        <w:rPr>
          <w:rFonts w:ascii="Arial" w:eastAsia="Calibri" w:hAnsi="Arial" w:cs="Arial"/>
          <w:b/>
          <w:u w:val="single"/>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9B18AD" w14:paraId="0A2DF80D" w14:textId="77777777" w:rsidTr="00143581">
        <w:tc>
          <w:tcPr>
            <w:tcW w:w="8506" w:type="dxa"/>
          </w:tcPr>
          <w:p w14:paraId="6D079FED" w14:textId="77777777" w:rsidR="007E2F9F" w:rsidRPr="009B18AD" w:rsidRDefault="007E2F9F" w:rsidP="006548F8">
            <w:pPr>
              <w:tabs>
                <w:tab w:val="left" w:pos="875"/>
              </w:tabs>
              <w:ind w:right="157"/>
              <w:rPr>
                <w:rFonts w:ascii="Arial" w:hAnsi="Arial" w:cs="Arial"/>
                <w:sz w:val="18"/>
                <w:szCs w:val="18"/>
              </w:rPr>
            </w:pPr>
            <w:r w:rsidRPr="009B18AD">
              <w:rPr>
                <w:rFonts w:ascii="Arial" w:hAnsi="Arial" w:cs="Arial"/>
                <w:lang w:val="es-ES_tradnl"/>
              </w:rPr>
              <w:t>Reservas presupuestales constituidas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588F3D42" w14:textId="77777777" w:rsidR="007E2F9F" w:rsidRPr="009B18AD" w:rsidRDefault="007E2F9F" w:rsidP="006548F8">
            <w:pPr>
              <w:tabs>
                <w:tab w:val="left" w:pos="875"/>
              </w:tabs>
              <w:jc w:val="right"/>
              <w:rPr>
                <w:rFonts w:ascii="Arial" w:hAnsi="Arial" w:cs="Arial"/>
                <w:b/>
                <w:bCs/>
                <w:sz w:val="16"/>
                <w:szCs w:val="16"/>
              </w:rPr>
            </w:pPr>
            <w:r w:rsidRPr="009B18AD">
              <w:rPr>
                <w:rFonts w:ascii="Arial" w:hAnsi="Arial" w:cs="Arial"/>
                <w:b/>
                <w:bCs/>
                <w:color w:val="000000"/>
                <w:sz w:val="16"/>
                <w:szCs w:val="16"/>
              </w:rPr>
              <w:t xml:space="preserve">3.457.147,00 </w:t>
            </w:r>
          </w:p>
        </w:tc>
      </w:tr>
      <w:tr w:rsidR="007E2F9F" w:rsidRPr="009B18AD" w14:paraId="66391451" w14:textId="77777777" w:rsidTr="00143581">
        <w:tc>
          <w:tcPr>
            <w:tcW w:w="8506" w:type="dxa"/>
          </w:tcPr>
          <w:p w14:paraId="2091D3DB" w14:textId="77777777" w:rsidR="007E2F9F" w:rsidRPr="009B18AD" w:rsidRDefault="007E2F9F" w:rsidP="006548F8">
            <w:pPr>
              <w:tabs>
                <w:tab w:val="left" w:pos="875"/>
              </w:tabs>
              <w:ind w:right="157"/>
              <w:rPr>
                <w:rFonts w:ascii="Arial" w:hAnsi="Arial" w:cs="Arial"/>
                <w:sz w:val="18"/>
                <w:szCs w:val="18"/>
              </w:rPr>
            </w:pPr>
            <w:r w:rsidRPr="009B18AD">
              <w:rPr>
                <w:rFonts w:ascii="Arial" w:hAnsi="Arial" w:cs="Arial"/>
                <w:lang w:val="es-ES_tradnl"/>
              </w:rPr>
              <w:t>Cuentas por pagar constituidas a 31 de diciembre de 2024</w:t>
            </w:r>
          </w:p>
        </w:tc>
        <w:tc>
          <w:tcPr>
            <w:tcW w:w="1843" w:type="dxa"/>
            <w:tcBorders>
              <w:top w:val="nil"/>
              <w:left w:val="single" w:sz="8" w:space="0" w:color="auto"/>
              <w:bottom w:val="nil"/>
              <w:right w:val="single" w:sz="8" w:space="0" w:color="auto"/>
            </w:tcBorders>
            <w:shd w:val="clear" w:color="auto" w:fill="auto"/>
            <w:vAlign w:val="bottom"/>
          </w:tcPr>
          <w:p w14:paraId="157936D4" w14:textId="77777777" w:rsidR="007E2F9F" w:rsidRPr="009B18AD" w:rsidRDefault="007E2F9F" w:rsidP="006548F8">
            <w:pPr>
              <w:tabs>
                <w:tab w:val="left" w:pos="875"/>
              </w:tabs>
              <w:jc w:val="right"/>
              <w:rPr>
                <w:rFonts w:ascii="Arial" w:hAnsi="Arial" w:cs="Arial"/>
                <w:b/>
                <w:bCs/>
                <w:sz w:val="16"/>
                <w:szCs w:val="16"/>
              </w:rPr>
            </w:pPr>
            <w:r w:rsidRPr="009B18AD">
              <w:rPr>
                <w:rFonts w:ascii="Arial" w:hAnsi="Arial" w:cs="Arial"/>
                <w:b/>
                <w:bCs/>
                <w:sz w:val="16"/>
                <w:szCs w:val="16"/>
              </w:rPr>
              <w:t xml:space="preserve">0 </w:t>
            </w:r>
          </w:p>
        </w:tc>
      </w:tr>
      <w:tr w:rsidR="007E2F9F" w:rsidRPr="009B18AD" w14:paraId="0112062F" w14:textId="77777777" w:rsidTr="00143581">
        <w:tc>
          <w:tcPr>
            <w:tcW w:w="8506" w:type="dxa"/>
          </w:tcPr>
          <w:p w14:paraId="36CD5532" w14:textId="77777777" w:rsidR="007E2F9F" w:rsidRPr="009B18AD" w:rsidRDefault="007E2F9F" w:rsidP="006548F8">
            <w:pPr>
              <w:tabs>
                <w:tab w:val="left" w:pos="875"/>
              </w:tabs>
              <w:ind w:right="157"/>
              <w:rPr>
                <w:rFonts w:ascii="Arial" w:hAnsi="Arial" w:cs="Arial"/>
                <w:sz w:val="18"/>
                <w:szCs w:val="18"/>
              </w:rPr>
            </w:pPr>
            <w:r w:rsidRPr="009B18AD">
              <w:rPr>
                <w:rFonts w:ascii="Arial" w:hAnsi="Arial" w:cs="Arial"/>
                <w:b/>
                <w:lang w:val="es-ES_tradnl"/>
              </w:rPr>
              <w:t>TOTAL, REZAGO PRESUPUESTAL CONSTITUIDO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7E4A3CF9" w14:textId="77777777" w:rsidR="007E2F9F" w:rsidRPr="009B18AD" w:rsidRDefault="007E2F9F" w:rsidP="006548F8">
            <w:pPr>
              <w:tabs>
                <w:tab w:val="left" w:pos="875"/>
              </w:tabs>
              <w:jc w:val="right"/>
              <w:rPr>
                <w:rFonts w:ascii="Arial" w:hAnsi="Arial" w:cs="Arial"/>
                <w:b/>
                <w:bCs/>
                <w:sz w:val="16"/>
                <w:szCs w:val="16"/>
                <w:u w:val="single"/>
              </w:rPr>
            </w:pPr>
            <w:r w:rsidRPr="009B18AD">
              <w:rPr>
                <w:rFonts w:ascii="Arial" w:hAnsi="Arial" w:cs="Arial"/>
                <w:b/>
                <w:bCs/>
                <w:color w:val="000000"/>
                <w:sz w:val="16"/>
                <w:szCs w:val="16"/>
              </w:rPr>
              <w:t xml:space="preserve">3.457.147,00 </w:t>
            </w:r>
          </w:p>
        </w:tc>
      </w:tr>
    </w:tbl>
    <w:p w14:paraId="2B83F7F1" w14:textId="77777777" w:rsidR="007E2F9F" w:rsidRDefault="007E2F9F" w:rsidP="007E2F9F">
      <w:pPr>
        <w:ind w:left="-142"/>
        <w:jc w:val="both"/>
        <w:rPr>
          <w:rFonts w:ascii="Arial" w:hAnsi="Arial" w:cs="Arial"/>
          <w:b/>
          <w:sz w:val="28"/>
          <w:szCs w:val="28"/>
          <w:lang w:val="es-MX"/>
        </w:rPr>
      </w:pPr>
    </w:p>
    <w:p w14:paraId="00CB9B3E" w14:textId="77777777" w:rsidR="007E2F9F" w:rsidRPr="000B7966" w:rsidRDefault="007E2F9F" w:rsidP="00143581">
      <w:pPr>
        <w:ind w:left="-284"/>
        <w:jc w:val="both"/>
        <w:rPr>
          <w:rFonts w:ascii="Arial" w:hAnsi="Arial" w:cs="Arial"/>
          <w:b/>
          <w:sz w:val="28"/>
          <w:szCs w:val="28"/>
          <w:lang w:val="es-MX"/>
        </w:rPr>
      </w:pPr>
      <w:r w:rsidRPr="000B7966">
        <w:rPr>
          <w:rFonts w:ascii="Arial" w:hAnsi="Arial" w:cs="Arial"/>
          <w:b/>
          <w:sz w:val="28"/>
          <w:szCs w:val="28"/>
          <w:lang w:val="es-MX"/>
        </w:rPr>
        <w:t>310.- INSTITUTO NACIONAL DE MEDICINA LEGAL Y CIENCIAS FORENSES</w:t>
      </w:r>
      <w:r>
        <w:rPr>
          <w:rFonts w:ascii="Arial" w:hAnsi="Arial" w:cs="Arial"/>
          <w:b/>
          <w:sz w:val="28"/>
          <w:szCs w:val="28"/>
          <w:lang w:val="es-MX"/>
        </w:rPr>
        <w:t>.</w:t>
      </w:r>
      <w:r w:rsidRPr="000B7966">
        <w:rPr>
          <w:rFonts w:ascii="Arial" w:hAnsi="Arial" w:cs="Arial"/>
          <w:b/>
          <w:sz w:val="28"/>
          <w:szCs w:val="28"/>
          <w:lang w:val="es-MX"/>
        </w:rPr>
        <w:t xml:space="preserve"> </w:t>
      </w:r>
    </w:p>
    <w:p w14:paraId="1E0F4B77" w14:textId="77777777" w:rsidR="007E2F9F" w:rsidRDefault="007E2F9F" w:rsidP="007E2F9F">
      <w:pPr>
        <w:jc w:val="both"/>
        <w:rPr>
          <w:b/>
          <w:sz w:val="28"/>
          <w:szCs w:val="28"/>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752A7C" w14:paraId="55BE8C97" w14:textId="77777777" w:rsidTr="00143581">
        <w:tc>
          <w:tcPr>
            <w:tcW w:w="8506" w:type="dxa"/>
          </w:tcPr>
          <w:p w14:paraId="4BCEDD53" w14:textId="77777777" w:rsidR="007E2F9F" w:rsidRPr="00752A7C" w:rsidRDefault="007E2F9F" w:rsidP="006548F8">
            <w:pPr>
              <w:tabs>
                <w:tab w:val="left" w:pos="875"/>
              </w:tabs>
              <w:ind w:right="157"/>
              <w:rPr>
                <w:rFonts w:ascii="Arial" w:hAnsi="Arial" w:cs="Arial"/>
                <w:sz w:val="18"/>
                <w:szCs w:val="18"/>
              </w:rPr>
            </w:pPr>
            <w:r w:rsidRPr="00752A7C">
              <w:rPr>
                <w:rFonts w:ascii="Arial" w:hAnsi="Arial" w:cs="Arial"/>
                <w:lang w:val="es-ES_tradnl"/>
              </w:rPr>
              <w:t>Reservas presupuestales constituidas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5A0D929E" w14:textId="77777777" w:rsidR="007E2F9F" w:rsidRPr="00752A7C" w:rsidRDefault="007E2F9F" w:rsidP="006548F8">
            <w:pPr>
              <w:tabs>
                <w:tab w:val="left" w:pos="875"/>
              </w:tabs>
              <w:jc w:val="right"/>
              <w:rPr>
                <w:rFonts w:ascii="Arial" w:hAnsi="Arial" w:cs="Arial"/>
                <w:sz w:val="16"/>
                <w:szCs w:val="16"/>
              </w:rPr>
            </w:pPr>
            <w:r w:rsidRPr="00752A7C">
              <w:rPr>
                <w:rFonts w:ascii="Arial" w:hAnsi="Arial" w:cs="Arial"/>
                <w:color w:val="000000"/>
                <w:sz w:val="16"/>
                <w:szCs w:val="16"/>
              </w:rPr>
              <w:t xml:space="preserve">52.776.975 </w:t>
            </w:r>
          </w:p>
        </w:tc>
      </w:tr>
      <w:tr w:rsidR="007E2F9F" w:rsidRPr="00752A7C" w14:paraId="29294D39" w14:textId="77777777" w:rsidTr="00143581">
        <w:tc>
          <w:tcPr>
            <w:tcW w:w="8506" w:type="dxa"/>
          </w:tcPr>
          <w:p w14:paraId="0A246ADB" w14:textId="77777777" w:rsidR="007E2F9F" w:rsidRPr="00752A7C" w:rsidRDefault="007E2F9F" w:rsidP="006548F8">
            <w:pPr>
              <w:tabs>
                <w:tab w:val="left" w:pos="875"/>
              </w:tabs>
              <w:ind w:right="157"/>
              <w:rPr>
                <w:rFonts w:ascii="Arial" w:hAnsi="Arial" w:cs="Arial"/>
                <w:sz w:val="18"/>
                <w:szCs w:val="18"/>
              </w:rPr>
            </w:pPr>
            <w:r w:rsidRPr="00752A7C">
              <w:rPr>
                <w:rFonts w:ascii="Arial" w:hAnsi="Arial" w:cs="Arial"/>
                <w:lang w:val="es-ES_tradnl"/>
              </w:rPr>
              <w:lastRenderedPageBreak/>
              <w:t>Cuentas por pagar constituidas a 31 de diciembre de 2024</w:t>
            </w:r>
          </w:p>
        </w:tc>
        <w:tc>
          <w:tcPr>
            <w:tcW w:w="1843" w:type="dxa"/>
            <w:tcBorders>
              <w:top w:val="nil"/>
              <w:left w:val="single" w:sz="8" w:space="0" w:color="auto"/>
              <w:bottom w:val="nil"/>
              <w:right w:val="single" w:sz="8" w:space="0" w:color="auto"/>
            </w:tcBorders>
            <w:shd w:val="clear" w:color="auto" w:fill="auto"/>
            <w:vAlign w:val="bottom"/>
          </w:tcPr>
          <w:p w14:paraId="3223F98C" w14:textId="77777777" w:rsidR="007E2F9F" w:rsidRPr="00752A7C" w:rsidRDefault="007E2F9F" w:rsidP="006548F8">
            <w:pPr>
              <w:tabs>
                <w:tab w:val="left" w:pos="875"/>
              </w:tabs>
              <w:jc w:val="right"/>
              <w:rPr>
                <w:rFonts w:ascii="Arial" w:hAnsi="Arial" w:cs="Arial"/>
                <w:sz w:val="16"/>
                <w:szCs w:val="16"/>
              </w:rPr>
            </w:pPr>
            <w:r w:rsidRPr="00752A7C">
              <w:rPr>
                <w:rFonts w:ascii="Arial" w:hAnsi="Arial" w:cs="Arial"/>
                <w:sz w:val="16"/>
                <w:szCs w:val="16"/>
              </w:rPr>
              <w:t xml:space="preserve">8.101.583 </w:t>
            </w:r>
          </w:p>
        </w:tc>
      </w:tr>
      <w:tr w:rsidR="007E2F9F" w:rsidRPr="00752A7C" w14:paraId="231B3DA1" w14:textId="77777777" w:rsidTr="00143581">
        <w:tc>
          <w:tcPr>
            <w:tcW w:w="8506" w:type="dxa"/>
          </w:tcPr>
          <w:p w14:paraId="3084439F" w14:textId="77777777" w:rsidR="007E2F9F" w:rsidRPr="00752A7C" w:rsidRDefault="007E2F9F" w:rsidP="006548F8">
            <w:pPr>
              <w:tabs>
                <w:tab w:val="left" w:pos="875"/>
              </w:tabs>
              <w:ind w:right="157"/>
              <w:rPr>
                <w:rFonts w:ascii="Arial" w:hAnsi="Arial" w:cs="Arial"/>
                <w:sz w:val="18"/>
                <w:szCs w:val="18"/>
              </w:rPr>
            </w:pPr>
            <w:r w:rsidRPr="00752A7C">
              <w:rPr>
                <w:rFonts w:ascii="Arial" w:hAnsi="Arial" w:cs="Arial"/>
                <w:b/>
                <w:lang w:val="es-ES_tradnl"/>
              </w:rPr>
              <w:t>TOTAL REZAGO PRESUPUESTAL CONSTITUIDO A 31 DE DICIEMBRE DE 2024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14:paraId="5D230247" w14:textId="77777777" w:rsidR="007E2F9F" w:rsidRPr="00752A7C" w:rsidRDefault="007E2F9F" w:rsidP="006548F8">
            <w:pPr>
              <w:tabs>
                <w:tab w:val="left" w:pos="875"/>
              </w:tabs>
              <w:jc w:val="right"/>
              <w:rPr>
                <w:rFonts w:ascii="Arial" w:hAnsi="Arial" w:cs="Arial"/>
                <w:sz w:val="16"/>
                <w:szCs w:val="16"/>
                <w:u w:val="single"/>
              </w:rPr>
            </w:pPr>
            <w:r w:rsidRPr="00752A7C">
              <w:rPr>
                <w:rFonts w:ascii="Arial" w:hAnsi="Arial" w:cs="Arial"/>
                <w:color w:val="000000"/>
                <w:sz w:val="16"/>
                <w:szCs w:val="16"/>
              </w:rPr>
              <w:t xml:space="preserve">60.878.558 </w:t>
            </w:r>
          </w:p>
        </w:tc>
      </w:tr>
    </w:tbl>
    <w:p w14:paraId="6718092D" w14:textId="77777777" w:rsidR="007E2F9F" w:rsidRDefault="007E2F9F" w:rsidP="007E2F9F">
      <w:pPr>
        <w:ind w:left="-142" w:right="-93"/>
        <w:jc w:val="both"/>
        <w:rPr>
          <w:rFonts w:ascii="Arial" w:hAnsi="Arial" w:cs="Arial"/>
          <w:lang w:val="es-MX"/>
        </w:rPr>
      </w:pPr>
    </w:p>
    <w:p w14:paraId="2024EC53" w14:textId="77777777" w:rsidR="007E2F9F" w:rsidRPr="00A76DCA" w:rsidRDefault="007E2F9F" w:rsidP="00143581">
      <w:pPr>
        <w:ind w:left="-284" w:right="-93"/>
        <w:jc w:val="both"/>
        <w:rPr>
          <w:rFonts w:ascii="Arial" w:hAnsi="Arial" w:cs="Arial"/>
          <w:b/>
          <w:sz w:val="28"/>
          <w:szCs w:val="28"/>
          <w:lang w:val="es-MX"/>
        </w:rPr>
      </w:pPr>
      <w:bookmarkStart w:id="10" w:name="_Hlk205200603"/>
      <w:r w:rsidRPr="00A76DCA">
        <w:rPr>
          <w:rFonts w:ascii="Arial" w:hAnsi="Arial" w:cs="Arial"/>
          <w:b/>
          <w:sz w:val="28"/>
          <w:szCs w:val="28"/>
          <w:lang w:val="es-MX"/>
        </w:rPr>
        <w:t>311.- CORPORACIÓN PARA EL DESARROLLO SOSTENIBLE DE LA MOJANA Y EL SAN JORGE – CORPOMOJANA.</w:t>
      </w:r>
    </w:p>
    <w:bookmarkEnd w:id="10"/>
    <w:p w14:paraId="438AF1FC"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A76DCA" w14:paraId="2C55236D" w14:textId="77777777" w:rsidTr="00143581">
        <w:tc>
          <w:tcPr>
            <w:tcW w:w="8648" w:type="dxa"/>
          </w:tcPr>
          <w:p w14:paraId="4472357A" w14:textId="77777777" w:rsidR="007E2F9F" w:rsidRPr="00A76DCA" w:rsidRDefault="007E2F9F" w:rsidP="006548F8">
            <w:pPr>
              <w:tabs>
                <w:tab w:val="left" w:pos="875"/>
              </w:tabs>
              <w:ind w:right="157"/>
              <w:rPr>
                <w:rFonts w:ascii="Arial" w:hAnsi="Arial" w:cs="Arial"/>
                <w:sz w:val="18"/>
                <w:szCs w:val="18"/>
              </w:rPr>
            </w:pPr>
            <w:r w:rsidRPr="00A76DCA">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6C7A567E" w14:textId="77777777" w:rsidR="007E2F9F" w:rsidRPr="00A76DCA" w:rsidRDefault="007E2F9F" w:rsidP="006548F8">
            <w:pPr>
              <w:tabs>
                <w:tab w:val="left" w:pos="875"/>
              </w:tabs>
              <w:jc w:val="right"/>
              <w:rPr>
                <w:rFonts w:ascii="Arial" w:hAnsi="Arial" w:cs="Arial"/>
                <w:b/>
                <w:bCs/>
                <w:sz w:val="16"/>
                <w:szCs w:val="16"/>
              </w:rPr>
            </w:pPr>
            <w:r w:rsidRPr="00A76DCA">
              <w:rPr>
                <w:rFonts w:ascii="Arial" w:hAnsi="Arial" w:cs="Arial"/>
                <w:b/>
                <w:bCs/>
                <w:color w:val="000000"/>
                <w:sz w:val="16"/>
                <w:szCs w:val="16"/>
              </w:rPr>
              <w:t xml:space="preserve">2.629.596.974,00 </w:t>
            </w:r>
          </w:p>
        </w:tc>
      </w:tr>
      <w:tr w:rsidR="007E2F9F" w:rsidRPr="00A76DCA" w14:paraId="4DDCFEB3" w14:textId="77777777" w:rsidTr="00143581">
        <w:tc>
          <w:tcPr>
            <w:tcW w:w="8648" w:type="dxa"/>
          </w:tcPr>
          <w:p w14:paraId="593CC59E" w14:textId="77777777" w:rsidR="007E2F9F" w:rsidRPr="00A76DCA" w:rsidRDefault="007E2F9F" w:rsidP="006548F8">
            <w:pPr>
              <w:tabs>
                <w:tab w:val="left" w:pos="875"/>
              </w:tabs>
              <w:ind w:right="157"/>
              <w:rPr>
                <w:rFonts w:ascii="Arial" w:hAnsi="Arial" w:cs="Arial"/>
                <w:sz w:val="18"/>
                <w:szCs w:val="18"/>
              </w:rPr>
            </w:pPr>
            <w:r w:rsidRPr="00A76DCA">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0B762102" w14:textId="77777777" w:rsidR="007E2F9F" w:rsidRPr="00A76DCA" w:rsidRDefault="007E2F9F" w:rsidP="006548F8">
            <w:pPr>
              <w:tabs>
                <w:tab w:val="left" w:pos="875"/>
              </w:tabs>
              <w:jc w:val="right"/>
              <w:rPr>
                <w:rFonts w:ascii="Arial" w:hAnsi="Arial" w:cs="Arial"/>
                <w:b/>
                <w:bCs/>
                <w:sz w:val="16"/>
                <w:szCs w:val="16"/>
              </w:rPr>
            </w:pPr>
            <w:r w:rsidRPr="00A76DCA">
              <w:rPr>
                <w:rFonts w:ascii="Arial" w:hAnsi="Arial" w:cs="Arial"/>
                <w:b/>
                <w:bCs/>
                <w:sz w:val="16"/>
                <w:szCs w:val="16"/>
              </w:rPr>
              <w:t xml:space="preserve">0,00 </w:t>
            </w:r>
          </w:p>
        </w:tc>
      </w:tr>
      <w:tr w:rsidR="007E2F9F" w:rsidRPr="00A76DCA" w14:paraId="652111AB" w14:textId="77777777" w:rsidTr="00143581">
        <w:tc>
          <w:tcPr>
            <w:tcW w:w="8648" w:type="dxa"/>
          </w:tcPr>
          <w:p w14:paraId="322402FA" w14:textId="77777777" w:rsidR="007E2F9F" w:rsidRPr="00A76DCA" w:rsidRDefault="007E2F9F" w:rsidP="006548F8">
            <w:pPr>
              <w:tabs>
                <w:tab w:val="left" w:pos="875"/>
              </w:tabs>
              <w:ind w:right="157"/>
              <w:rPr>
                <w:rFonts w:ascii="Arial" w:hAnsi="Arial" w:cs="Arial"/>
                <w:sz w:val="18"/>
                <w:szCs w:val="18"/>
              </w:rPr>
            </w:pPr>
            <w:r w:rsidRPr="00A76DCA">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2A930484" w14:textId="77777777" w:rsidR="007E2F9F" w:rsidRPr="00A76DCA" w:rsidRDefault="007E2F9F" w:rsidP="006548F8">
            <w:pPr>
              <w:tabs>
                <w:tab w:val="left" w:pos="875"/>
              </w:tabs>
              <w:jc w:val="right"/>
              <w:rPr>
                <w:rFonts w:ascii="Arial" w:hAnsi="Arial" w:cs="Arial"/>
                <w:b/>
                <w:bCs/>
                <w:sz w:val="16"/>
                <w:szCs w:val="16"/>
                <w:u w:val="single"/>
              </w:rPr>
            </w:pPr>
            <w:r w:rsidRPr="00A76DCA">
              <w:rPr>
                <w:rFonts w:ascii="Arial" w:hAnsi="Arial" w:cs="Arial"/>
                <w:b/>
                <w:bCs/>
                <w:color w:val="000000"/>
                <w:sz w:val="16"/>
                <w:szCs w:val="16"/>
              </w:rPr>
              <w:t xml:space="preserve">2.629.596.974,00 </w:t>
            </w:r>
          </w:p>
        </w:tc>
      </w:tr>
    </w:tbl>
    <w:p w14:paraId="69FE8F1F" w14:textId="77777777" w:rsidR="00941342" w:rsidRDefault="00941342" w:rsidP="00143581">
      <w:pPr>
        <w:ind w:left="-284"/>
        <w:jc w:val="both"/>
        <w:rPr>
          <w:rFonts w:ascii="Arial" w:hAnsi="Arial" w:cs="Arial"/>
          <w:b/>
          <w:sz w:val="28"/>
          <w:szCs w:val="28"/>
          <w:lang w:val="es-MX"/>
        </w:rPr>
      </w:pPr>
    </w:p>
    <w:p w14:paraId="3239C846" w14:textId="7D66C0C7" w:rsidR="007E2F9F" w:rsidRPr="00F634DB" w:rsidRDefault="007E2F9F" w:rsidP="00143581">
      <w:pPr>
        <w:ind w:left="-284"/>
        <w:jc w:val="both"/>
        <w:rPr>
          <w:rFonts w:ascii="Arial" w:hAnsi="Arial" w:cs="Arial"/>
          <w:b/>
          <w:sz w:val="28"/>
          <w:szCs w:val="28"/>
          <w:lang w:val="es-MX"/>
        </w:rPr>
      </w:pPr>
      <w:r w:rsidRPr="00F634DB">
        <w:rPr>
          <w:rFonts w:ascii="Arial" w:hAnsi="Arial" w:cs="Arial"/>
          <w:b/>
          <w:sz w:val="28"/>
          <w:szCs w:val="28"/>
          <w:lang w:val="es-MX"/>
        </w:rPr>
        <w:t>312.- U.A.E. COMISIÓN DE REGULACIÓN DE COMUNICACIONES – CRC.</w:t>
      </w:r>
    </w:p>
    <w:p w14:paraId="6DC50569" w14:textId="77777777" w:rsidR="007E2F9F" w:rsidRDefault="007E2F9F" w:rsidP="007E2F9F">
      <w:pPr>
        <w:ind w:left="-142" w:right="-93"/>
        <w:jc w:val="both"/>
        <w:rPr>
          <w:rFonts w:ascii="Arial" w:hAnsi="Arial" w:cs="Arial"/>
          <w:lang w:val="es-MX"/>
        </w:rPr>
      </w:pPr>
    </w:p>
    <w:tbl>
      <w:tblPr>
        <w:tblStyle w:val="Tablaconcuadrcula"/>
        <w:tblW w:w="10533" w:type="dxa"/>
        <w:jc w:val="center"/>
        <w:tblLook w:val="04A0" w:firstRow="1" w:lastRow="0" w:firstColumn="1" w:lastColumn="0" w:noHBand="0" w:noVBand="1"/>
      </w:tblPr>
      <w:tblGrid>
        <w:gridCol w:w="9367"/>
        <w:gridCol w:w="1166"/>
      </w:tblGrid>
      <w:tr w:rsidR="007E2F9F" w:rsidRPr="001250D0" w14:paraId="12C4D094" w14:textId="77777777" w:rsidTr="008E2438">
        <w:trPr>
          <w:jc w:val="center"/>
        </w:trPr>
        <w:tc>
          <w:tcPr>
            <w:tcW w:w="9367" w:type="dxa"/>
          </w:tcPr>
          <w:p w14:paraId="3A6D8122"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Reservas presupuestales constituidas a 31 de diciembre de 202</w:t>
            </w:r>
            <w:r>
              <w:rPr>
                <w:rFonts w:ascii="Arial" w:hAnsi="Arial" w:cs="Arial"/>
                <w:lang w:val="es-ES_tradnl"/>
              </w:rPr>
              <w:t>4</w:t>
            </w:r>
          </w:p>
        </w:tc>
        <w:tc>
          <w:tcPr>
            <w:tcW w:w="1166" w:type="dxa"/>
          </w:tcPr>
          <w:p w14:paraId="15FFD616" w14:textId="77777777" w:rsidR="007E2F9F" w:rsidRPr="00DD57F7" w:rsidRDefault="007E2F9F" w:rsidP="006548F8">
            <w:pPr>
              <w:tabs>
                <w:tab w:val="left" w:pos="875"/>
              </w:tabs>
              <w:jc w:val="right"/>
              <w:rPr>
                <w:rFonts w:ascii="Arial" w:hAnsi="Arial" w:cs="Arial"/>
              </w:rPr>
            </w:pPr>
            <w:r>
              <w:rPr>
                <w:rFonts w:ascii="Arial" w:hAnsi="Arial" w:cs="Arial"/>
              </w:rPr>
              <w:t>0</w:t>
            </w:r>
          </w:p>
        </w:tc>
      </w:tr>
      <w:tr w:rsidR="007E2F9F" w:rsidRPr="001250D0" w14:paraId="7AF692A5" w14:textId="77777777" w:rsidTr="008E2438">
        <w:trPr>
          <w:jc w:val="center"/>
        </w:trPr>
        <w:tc>
          <w:tcPr>
            <w:tcW w:w="9367" w:type="dxa"/>
          </w:tcPr>
          <w:p w14:paraId="2382754A"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Cuentas por pagar constituidas a 31 de diciembre de 202</w:t>
            </w:r>
            <w:r>
              <w:rPr>
                <w:rFonts w:ascii="Arial" w:hAnsi="Arial" w:cs="Arial"/>
                <w:lang w:val="es-ES_tradnl"/>
              </w:rPr>
              <w:t>4</w:t>
            </w:r>
          </w:p>
        </w:tc>
        <w:tc>
          <w:tcPr>
            <w:tcW w:w="1166" w:type="dxa"/>
          </w:tcPr>
          <w:p w14:paraId="5EDA6236" w14:textId="77777777" w:rsidR="007E2F9F" w:rsidRPr="00DD57F7" w:rsidRDefault="007E2F9F" w:rsidP="006548F8">
            <w:pPr>
              <w:tabs>
                <w:tab w:val="left" w:pos="875"/>
              </w:tabs>
              <w:jc w:val="right"/>
              <w:rPr>
                <w:rFonts w:ascii="Arial" w:hAnsi="Arial" w:cs="Arial"/>
              </w:rPr>
            </w:pPr>
            <w:r>
              <w:rPr>
                <w:rFonts w:ascii="Arial" w:hAnsi="Arial" w:cs="Arial"/>
              </w:rPr>
              <w:t>1.915</w:t>
            </w:r>
          </w:p>
        </w:tc>
      </w:tr>
      <w:tr w:rsidR="007E2F9F" w:rsidRPr="001250D0" w14:paraId="04043019" w14:textId="77777777" w:rsidTr="008E2438">
        <w:trPr>
          <w:jc w:val="center"/>
        </w:trPr>
        <w:tc>
          <w:tcPr>
            <w:tcW w:w="9367" w:type="dxa"/>
          </w:tcPr>
          <w:p w14:paraId="6064CCC2" w14:textId="77777777" w:rsidR="007E2F9F" w:rsidRPr="001250D0" w:rsidRDefault="007E2F9F" w:rsidP="006548F8">
            <w:pPr>
              <w:tabs>
                <w:tab w:val="left" w:pos="875"/>
              </w:tabs>
              <w:ind w:right="157"/>
              <w:jc w:val="both"/>
              <w:rPr>
                <w:rFonts w:ascii="Arial" w:hAnsi="Arial" w:cs="Arial"/>
                <w:sz w:val="18"/>
                <w:szCs w:val="18"/>
              </w:rPr>
            </w:pPr>
            <w:r w:rsidRPr="001250D0">
              <w:rPr>
                <w:rFonts w:ascii="Arial" w:hAnsi="Arial" w:cs="Arial"/>
                <w:b/>
                <w:lang w:val="es-ES_tradnl"/>
              </w:rPr>
              <w:t>TOTAL REZAGO PRESUPUESTAL CONSTITUIDO A 31 DE DICIEMBRE DE 202</w:t>
            </w:r>
            <w:r>
              <w:rPr>
                <w:rFonts w:ascii="Arial" w:hAnsi="Arial" w:cs="Arial"/>
                <w:b/>
                <w:lang w:val="es-ES_tradnl"/>
              </w:rPr>
              <w:t>4</w:t>
            </w:r>
          </w:p>
        </w:tc>
        <w:tc>
          <w:tcPr>
            <w:tcW w:w="1166" w:type="dxa"/>
          </w:tcPr>
          <w:p w14:paraId="16102265" w14:textId="77777777" w:rsidR="007E2F9F" w:rsidRPr="00DD57F7" w:rsidRDefault="007E2F9F" w:rsidP="006548F8">
            <w:pPr>
              <w:tabs>
                <w:tab w:val="left" w:pos="875"/>
              </w:tabs>
              <w:jc w:val="right"/>
              <w:rPr>
                <w:rFonts w:ascii="Arial" w:hAnsi="Arial" w:cs="Arial"/>
                <w:b/>
                <w:u w:val="single"/>
              </w:rPr>
            </w:pPr>
            <w:r>
              <w:rPr>
                <w:rFonts w:ascii="Arial" w:hAnsi="Arial" w:cs="Arial"/>
                <w:b/>
                <w:u w:val="single"/>
              </w:rPr>
              <w:t>1.915</w:t>
            </w:r>
          </w:p>
        </w:tc>
      </w:tr>
    </w:tbl>
    <w:p w14:paraId="2FB5D36C" w14:textId="77777777" w:rsidR="007E2F9F" w:rsidRDefault="007E2F9F" w:rsidP="007E2F9F">
      <w:pPr>
        <w:ind w:left="-142" w:right="-93"/>
        <w:jc w:val="both"/>
        <w:rPr>
          <w:rFonts w:ascii="Arial" w:hAnsi="Arial" w:cs="Arial"/>
          <w:lang w:val="es-MX"/>
        </w:rPr>
      </w:pPr>
    </w:p>
    <w:p w14:paraId="6D7CB3BE" w14:textId="77777777" w:rsidR="007E2F9F" w:rsidRPr="00A7741B" w:rsidRDefault="007E2F9F" w:rsidP="00143581">
      <w:pPr>
        <w:ind w:left="-284" w:right="-234"/>
        <w:jc w:val="both"/>
        <w:rPr>
          <w:rFonts w:ascii="Arial" w:hAnsi="Arial" w:cs="Arial"/>
          <w:b/>
          <w:sz w:val="28"/>
          <w:szCs w:val="28"/>
          <w:lang w:val="es-MX"/>
        </w:rPr>
      </w:pPr>
      <w:r w:rsidRPr="00A7741B">
        <w:rPr>
          <w:rFonts w:ascii="Arial" w:hAnsi="Arial" w:cs="Arial"/>
          <w:b/>
          <w:sz w:val="28"/>
          <w:szCs w:val="28"/>
          <w:lang w:val="es-MX"/>
        </w:rPr>
        <w:t>313.- INSTITUTO TÉCNICO NACIONAL DE COMERCIO “SIMÓN RODRÍGUEZ” DE CALI – INTENALCO.</w:t>
      </w:r>
    </w:p>
    <w:p w14:paraId="6408743C"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9073"/>
        <w:gridCol w:w="1276"/>
      </w:tblGrid>
      <w:tr w:rsidR="007E2F9F" w:rsidRPr="0093136C" w14:paraId="34E7562F" w14:textId="77777777" w:rsidTr="00143581">
        <w:tc>
          <w:tcPr>
            <w:tcW w:w="9073" w:type="dxa"/>
          </w:tcPr>
          <w:p w14:paraId="33601783" w14:textId="77777777" w:rsidR="007E2F9F" w:rsidRPr="0093136C" w:rsidRDefault="007E2F9F" w:rsidP="006548F8">
            <w:pPr>
              <w:tabs>
                <w:tab w:val="left" w:pos="875"/>
              </w:tabs>
              <w:ind w:right="157"/>
              <w:rPr>
                <w:rFonts w:ascii="Arial" w:hAnsi="Arial" w:cs="Arial"/>
                <w:sz w:val="18"/>
                <w:szCs w:val="18"/>
              </w:rPr>
            </w:pPr>
            <w:r w:rsidRPr="0093136C">
              <w:rPr>
                <w:rFonts w:ascii="Arial" w:hAnsi="Arial" w:cs="Arial"/>
                <w:lang w:val="es-ES_tradnl"/>
              </w:rPr>
              <w:t>Reservas presupuestales constituidas a 31 de diciembre de 2024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bottom"/>
          </w:tcPr>
          <w:p w14:paraId="0872BDC8" w14:textId="77777777" w:rsidR="007E2F9F" w:rsidRPr="0093136C" w:rsidRDefault="007E2F9F" w:rsidP="006548F8">
            <w:pPr>
              <w:tabs>
                <w:tab w:val="left" w:pos="875"/>
              </w:tabs>
              <w:jc w:val="right"/>
              <w:rPr>
                <w:rFonts w:ascii="Arial" w:hAnsi="Arial" w:cs="Arial"/>
                <w:b/>
                <w:bCs/>
                <w:sz w:val="18"/>
                <w:szCs w:val="18"/>
              </w:rPr>
            </w:pPr>
            <w:r w:rsidRPr="0093136C">
              <w:rPr>
                <w:rFonts w:ascii="Arial" w:hAnsi="Arial" w:cs="Arial"/>
                <w:b/>
                <w:bCs/>
                <w:color w:val="000000"/>
              </w:rPr>
              <w:t xml:space="preserve">1.026.881 </w:t>
            </w:r>
          </w:p>
        </w:tc>
      </w:tr>
      <w:tr w:rsidR="007E2F9F" w:rsidRPr="0093136C" w14:paraId="0A66D81B" w14:textId="77777777" w:rsidTr="00143581">
        <w:tc>
          <w:tcPr>
            <w:tcW w:w="9073" w:type="dxa"/>
          </w:tcPr>
          <w:p w14:paraId="29E20937" w14:textId="77777777" w:rsidR="007E2F9F" w:rsidRPr="0093136C" w:rsidRDefault="007E2F9F" w:rsidP="006548F8">
            <w:pPr>
              <w:tabs>
                <w:tab w:val="left" w:pos="875"/>
              </w:tabs>
              <w:ind w:right="157"/>
              <w:rPr>
                <w:rFonts w:ascii="Arial" w:hAnsi="Arial" w:cs="Arial"/>
                <w:sz w:val="18"/>
                <w:szCs w:val="18"/>
              </w:rPr>
            </w:pPr>
            <w:r w:rsidRPr="0093136C">
              <w:rPr>
                <w:rFonts w:ascii="Arial" w:hAnsi="Arial" w:cs="Arial"/>
                <w:lang w:val="es-ES_tradnl"/>
              </w:rPr>
              <w:t>Cuentas por pagar constituidas a 31 de diciembre de 2024</w:t>
            </w:r>
          </w:p>
        </w:tc>
        <w:tc>
          <w:tcPr>
            <w:tcW w:w="1276" w:type="dxa"/>
            <w:tcBorders>
              <w:top w:val="nil"/>
              <w:left w:val="single" w:sz="8" w:space="0" w:color="auto"/>
              <w:bottom w:val="nil"/>
              <w:right w:val="single" w:sz="8" w:space="0" w:color="auto"/>
            </w:tcBorders>
            <w:shd w:val="clear" w:color="auto" w:fill="auto"/>
            <w:vAlign w:val="bottom"/>
          </w:tcPr>
          <w:p w14:paraId="5F884909" w14:textId="77777777" w:rsidR="007E2F9F" w:rsidRPr="0093136C" w:rsidRDefault="007E2F9F" w:rsidP="006548F8">
            <w:pPr>
              <w:tabs>
                <w:tab w:val="left" w:pos="875"/>
              </w:tabs>
              <w:jc w:val="right"/>
              <w:rPr>
                <w:rFonts w:ascii="Arial" w:hAnsi="Arial" w:cs="Arial"/>
                <w:b/>
                <w:bCs/>
                <w:sz w:val="18"/>
                <w:szCs w:val="18"/>
              </w:rPr>
            </w:pPr>
            <w:r w:rsidRPr="0093136C">
              <w:rPr>
                <w:rFonts w:ascii="Arial" w:hAnsi="Arial" w:cs="Arial"/>
                <w:b/>
                <w:bCs/>
              </w:rPr>
              <w:t xml:space="preserve">0 </w:t>
            </w:r>
          </w:p>
        </w:tc>
      </w:tr>
      <w:tr w:rsidR="007E2F9F" w:rsidRPr="0093136C" w14:paraId="59627ABA" w14:textId="77777777" w:rsidTr="00143581">
        <w:tc>
          <w:tcPr>
            <w:tcW w:w="9073" w:type="dxa"/>
          </w:tcPr>
          <w:p w14:paraId="267D44A0" w14:textId="77777777" w:rsidR="007E2F9F" w:rsidRPr="0093136C" w:rsidRDefault="007E2F9F" w:rsidP="006548F8">
            <w:pPr>
              <w:tabs>
                <w:tab w:val="left" w:pos="875"/>
              </w:tabs>
              <w:ind w:right="157"/>
              <w:rPr>
                <w:rFonts w:ascii="Arial" w:hAnsi="Arial" w:cs="Arial"/>
                <w:sz w:val="18"/>
                <w:szCs w:val="18"/>
              </w:rPr>
            </w:pPr>
            <w:r w:rsidRPr="0093136C">
              <w:rPr>
                <w:rFonts w:ascii="Arial" w:hAnsi="Arial" w:cs="Arial"/>
                <w:b/>
                <w:lang w:val="es-ES_tradnl"/>
              </w:rPr>
              <w:t>TOTAL, REZAGO PRESUPUESTAL CONSTITUIDO A 31 DE DICIEMBRE DE 2024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bottom"/>
          </w:tcPr>
          <w:p w14:paraId="2EBE662C" w14:textId="77777777" w:rsidR="007E2F9F" w:rsidRPr="0093136C" w:rsidRDefault="007E2F9F" w:rsidP="006548F8">
            <w:pPr>
              <w:tabs>
                <w:tab w:val="left" w:pos="875"/>
              </w:tabs>
              <w:jc w:val="right"/>
              <w:rPr>
                <w:rFonts w:ascii="Arial" w:hAnsi="Arial" w:cs="Arial"/>
                <w:b/>
                <w:bCs/>
                <w:sz w:val="18"/>
                <w:szCs w:val="18"/>
                <w:u w:val="single"/>
              </w:rPr>
            </w:pPr>
            <w:r w:rsidRPr="0093136C">
              <w:rPr>
                <w:rFonts w:ascii="Arial" w:hAnsi="Arial" w:cs="Arial"/>
                <w:b/>
                <w:bCs/>
                <w:color w:val="000000"/>
              </w:rPr>
              <w:t xml:space="preserve">1.026.881 </w:t>
            </w:r>
          </w:p>
        </w:tc>
      </w:tr>
    </w:tbl>
    <w:p w14:paraId="320B1C1F" w14:textId="77777777" w:rsidR="007E2F9F" w:rsidRDefault="007E2F9F" w:rsidP="007E2F9F">
      <w:pPr>
        <w:ind w:left="-142" w:right="-93"/>
        <w:jc w:val="both"/>
        <w:rPr>
          <w:rFonts w:ascii="Arial" w:hAnsi="Arial" w:cs="Arial"/>
          <w:lang w:val="es-MX"/>
        </w:rPr>
      </w:pPr>
    </w:p>
    <w:p w14:paraId="6F428FF9" w14:textId="77777777" w:rsidR="007E2F9F" w:rsidRPr="00E875C9" w:rsidRDefault="007E2F9F" w:rsidP="00143581">
      <w:pPr>
        <w:ind w:left="-284" w:right="-93"/>
        <w:jc w:val="both"/>
        <w:rPr>
          <w:rFonts w:ascii="Arial" w:hAnsi="Arial" w:cs="Arial"/>
          <w:b/>
          <w:sz w:val="28"/>
          <w:szCs w:val="28"/>
          <w:lang w:val="es-MX"/>
        </w:rPr>
      </w:pPr>
      <w:r w:rsidRPr="00E875C9">
        <w:rPr>
          <w:rFonts w:ascii="Arial" w:hAnsi="Arial" w:cs="Arial"/>
          <w:b/>
          <w:sz w:val="28"/>
          <w:szCs w:val="28"/>
          <w:lang w:val="es-MX"/>
        </w:rPr>
        <w:t xml:space="preserve">314.- </w:t>
      </w:r>
      <w:r w:rsidRPr="00E875C9">
        <w:rPr>
          <w:rFonts w:ascii="Arial" w:hAnsi="Arial" w:cs="Arial"/>
          <w:b/>
          <w:sz w:val="28"/>
          <w:szCs w:val="28"/>
          <w:lang w:val="es-CO"/>
        </w:rPr>
        <w:t>UNIDAD ADMINISTRATIVA ESPECIAL DE GESTIÓN DE RESTITUCIÓN DE TIERRAS DESPOJADAS.</w:t>
      </w:r>
    </w:p>
    <w:p w14:paraId="679A44EE"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387556" w14:paraId="4968E959" w14:textId="77777777" w:rsidTr="00143581">
        <w:tc>
          <w:tcPr>
            <w:tcW w:w="8648" w:type="dxa"/>
          </w:tcPr>
          <w:p w14:paraId="245359DF" w14:textId="77777777" w:rsidR="007E2F9F" w:rsidRPr="00387556" w:rsidRDefault="007E2F9F" w:rsidP="006548F8">
            <w:pPr>
              <w:tabs>
                <w:tab w:val="left" w:pos="875"/>
              </w:tabs>
              <w:rPr>
                <w:rFonts w:ascii="Arial" w:hAnsi="Arial" w:cs="Arial"/>
                <w:sz w:val="18"/>
                <w:szCs w:val="18"/>
              </w:rPr>
            </w:pPr>
            <w:r w:rsidRPr="00387556">
              <w:rPr>
                <w:rFonts w:ascii="Arial" w:hAnsi="Arial" w:cs="Arial"/>
                <w:lang w:val="es-ES_tradnl"/>
              </w:rPr>
              <w:t>Reservas presupuestales constituidas a 31 de diciembre de 2024</w:t>
            </w:r>
          </w:p>
        </w:tc>
        <w:tc>
          <w:tcPr>
            <w:tcW w:w="1701" w:type="dxa"/>
          </w:tcPr>
          <w:p w14:paraId="2CAB79B5" w14:textId="77777777" w:rsidR="007E2F9F" w:rsidRPr="00387556" w:rsidRDefault="007E2F9F" w:rsidP="006548F8">
            <w:pPr>
              <w:tabs>
                <w:tab w:val="left" w:pos="875"/>
              </w:tabs>
              <w:jc w:val="right"/>
              <w:rPr>
                <w:rFonts w:ascii="Arial" w:hAnsi="Arial" w:cs="Arial"/>
                <w:sz w:val="18"/>
                <w:szCs w:val="18"/>
              </w:rPr>
            </w:pPr>
            <w:r w:rsidRPr="00387556">
              <w:rPr>
                <w:rFonts w:ascii="Arial" w:hAnsi="Arial" w:cs="Arial"/>
                <w:sz w:val="18"/>
                <w:szCs w:val="18"/>
              </w:rPr>
              <w:t>27.148.453</w:t>
            </w:r>
          </w:p>
        </w:tc>
      </w:tr>
      <w:tr w:rsidR="007E2F9F" w:rsidRPr="00387556" w14:paraId="200AB661" w14:textId="77777777" w:rsidTr="00143581">
        <w:tc>
          <w:tcPr>
            <w:tcW w:w="8648" w:type="dxa"/>
          </w:tcPr>
          <w:p w14:paraId="58CCD7F1" w14:textId="77777777" w:rsidR="007E2F9F" w:rsidRPr="00387556" w:rsidRDefault="007E2F9F" w:rsidP="006548F8">
            <w:pPr>
              <w:tabs>
                <w:tab w:val="left" w:pos="875"/>
              </w:tabs>
              <w:rPr>
                <w:rFonts w:ascii="Arial" w:hAnsi="Arial" w:cs="Arial"/>
                <w:sz w:val="18"/>
                <w:szCs w:val="18"/>
              </w:rPr>
            </w:pPr>
            <w:r w:rsidRPr="00387556">
              <w:rPr>
                <w:rFonts w:ascii="Arial" w:hAnsi="Arial" w:cs="Arial"/>
                <w:lang w:val="es-ES_tradnl"/>
              </w:rPr>
              <w:t>Cuentas por pagar constituidas a 31 de diciembre de 2024</w:t>
            </w:r>
          </w:p>
        </w:tc>
        <w:tc>
          <w:tcPr>
            <w:tcW w:w="1701" w:type="dxa"/>
          </w:tcPr>
          <w:p w14:paraId="458525DF" w14:textId="77777777" w:rsidR="007E2F9F" w:rsidRPr="00387556" w:rsidRDefault="007E2F9F" w:rsidP="006548F8">
            <w:pPr>
              <w:tabs>
                <w:tab w:val="left" w:pos="875"/>
              </w:tabs>
              <w:jc w:val="right"/>
              <w:rPr>
                <w:rFonts w:ascii="Arial" w:hAnsi="Arial" w:cs="Arial"/>
                <w:sz w:val="18"/>
                <w:szCs w:val="18"/>
              </w:rPr>
            </w:pPr>
            <w:r w:rsidRPr="00387556">
              <w:rPr>
                <w:rFonts w:ascii="Arial" w:hAnsi="Arial" w:cs="Arial"/>
                <w:sz w:val="18"/>
                <w:szCs w:val="18"/>
              </w:rPr>
              <w:t>808.507</w:t>
            </w:r>
          </w:p>
        </w:tc>
      </w:tr>
      <w:tr w:rsidR="007E2F9F" w:rsidRPr="00387556" w14:paraId="06394A48" w14:textId="77777777" w:rsidTr="00143581">
        <w:tc>
          <w:tcPr>
            <w:tcW w:w="8648" w:type="dxa"/>
          </w:tcPr>
          <w:p w14:paraId="56035CF6" w14:textId="77777777" w:rsidR="007E2F9F" w:rsidRPr="00387556" w:rsidRDefault="007E2F9F" w:rsidP="006548F8">
            <w:pPr>
              <w:tabs>
                <w:tab w:val="left" w:pos="875"/>
              </w:tabs>
              <w:rPr>
                <w:rFonts w:ascii="Arial" w:hAnsi="Arial" w:cs="Arial"/>
                <w:sz w:val="18"/>
                <w:szCs w:val="18"/>
              </w:rPr>
            </w:pPr>
            <w:r w:rsidRPr="00387556">
              <w:rPr>
                <w:rFonts w:ascii="Arial" w:hAnsi="Arial" w:cs="Arial"/>
                <w:b/>
                <w:lang w:val="es-ES_tradnl"/>
              </w:rPr>
              <w:t>TOTAL REZAGO PRESUPUESTAL CONSTITUIDO A 31 DE DICIEMBRE DE 2024</w:t>
            </w:r>
          </w:p>
        </w:tc>
        <w:tc>
          <w:tcPr>
            <w:tcW w:w="1701" w:type="dxa"/>
          </w:tcPr>
          <w:p w14:paraId="5A122C45" w14:textId="77777777" w:rsidR="007E2F9F" w:rsidRPr="00387556" w:rsidRDefault="007E2F9F" w:rsidP="006548F8">
            <w:pPr>
              <w:tabs>
                <w:tab w:val="left" w:pos="875"/>
              </w:tabs>
              <w:jc w:val="right"/>
              <w:rPr>
                <w:rFonts w:ascii="Arial" w:hAnsi="Arial" w:cs="Arial"/>
                <w:b/>
                <w:sz w:val="18"/>
                <w:szCs w:val="18"/>
                <w:u w:val="single"/>
              </w:rPr>
            </w:pPr>
            <w:r w:rsidRPr="00387556">
              <w:rPr>
                <w:rFonts w:ascii="Arial" w:hAnsi="Arial" w:cs="Arial"/>
                <w:b/>
                <w:sz w:val="18"/>
                <w:szCs w:val="18"/>
                <w:u w:val="single"/>
              </w:rPr>
              <w:t>27.956.960</w:t>
            </w:r>
          </w:p>
        </w:tc>
      </w:tr>
    </w:tbl>
    <w:p w14:paraId="5EE35F41" w14:textId="77777777" w:rsidR="007E2F9F" w:rsidRDefault="007E2F9F" w:rsidP="007E2F9F">
      <w:pPr>
        <w:ind w:left="-142" w:right="-93"/>
        <w:jc w:val="both"/>
        <w:rPr>
          <w:rFonts w:ascii="Arial" w:hAnsi="Arial" w:cs="Arial"/>
          <w:lang w:val="es-MX"/>
        </w:rPr>
      </w:pPr>
    </w:p>
    <w:p w14:paraId="53CA3C2B" w14:textId="77777777" w:rsidR="007E2F9F" w:rsidRPr="00DC3BB6" w:rsidRDefault="007E2F9F" w:rsidP="00143581">
      <w:pPr>
        <w:ind w:left="-284" w:right="-93"/>
        <w:jc w:val="both"/>
        <w:rPr>
          <w:rFonts w:ascii="Arial" w:hAnsi="Arial" w:cs="Arial"/>
          <w:b/>
          <w:sz w:val="28"/>
          <w:szCs w:val="28"/>
          <w:lang w:val="es-MX"/>
        </w:rPr>
      </w:pPr>
      <w:r w:rsidRPr="00DC3BB6">
        <w:rPr>
          <w:rFonts w:ascii="Arial" w:hAnsi="Arial" w:cs="Arial"/>
          <w:b/>
          <w:sz w:val="28"/>
          <w:szCs w:val="28"/>
          <w:lang w:val="es-MX"/>
        </w:rPr>
        <w:t>315.- CORPORACIÓN AUTÓNOMA REGIONAL DE BOYACÁ – CORPOBOYACÁ.</w:t>
      </w:r>
    </w:p>
    <w:p w14:paraId="10732B9E"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DC3BB6" w14:paraId="68332772" w14:textId="77777777" w:rsidTr="00143581">
        <w:tc>
          <w:tcPr>
            <w:tcW w:w="8648" w:type="dxa"/>
          </w:tcPr>
          <w:p w14:paraId="2D5D18C0" w14:textId="77777777" w:rsidR="007E2F9F" w:rsidRPr="00DC3BB6" w:rsidRDefault="007E2F9F" w:rsidP="006548F8">
            <w:pPr>
              <w:tabs>
                <w:tab w:val="left" w:pos="875"/>
              </w:tabs>
              <w:ind w:right="157"/>
              <w:rPr>
                <w:rFonts w:ascii="Arial" w:hAnsi="Arial" w:cs="Arial"/>
                <w:sz w:val="18"/>
                <w:szCs w:val="18"/>
              </w:rPr>
            </w:pPr>
            <w:r w:rsidRPr="00DC3BB6">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678B5B1C" w14:textId="77777777" w:rsidR="007E2F9F" w:rsidRPr="00DC3BB6" w:rsidRDefault="007E2F9F" w:rsidP="006548F8">
            <w:pPr>
              <w:tabs>
                <w:tab w:val="left" w:pos="875"/>
              </w:tabs>
              <w:jc w:val="right"/>
              <w:rPr>
                <w:rFonts w:ascii="Arial" w:hAnsi="Arial" w:cs="Arial"/>
                <w:sz w:val="16"/>
                <w:szCs w:val="16"/>
              </w:rPr>
            </w:pPr>
            <w:r w:rsidRPr="00DC3BB6">
              <w:rPr>
                <w:rFonts w:ascii="Arial" w:hAnsi="Arial" w:cs="Arial"/>
                <w:color w:val="000000"/>
                <w:sz w:val="16"/>
                <w:szCs w:val="16"/>
              </w:rPr>
              <w:t xml:space="preserve">43.675 </w:t>
            </w:r>
          </w:p>
        </w:tc>
      </w:tr>
      <w:tr w:rsidR="007E2F9F" w:rsidRPr="00DC3BB6" w14:paraId="573C1C51" w14:textId="77777777" w:rsidTr="00143581">
        <w:tc>
          <w:tcPr>
            <w:tcW w:w="8648" w:type="dxa"/>
          </w:tcPr>
          <w:p w14:paraId="0D7D3E4C" w14:textId="77777777" w:rsidR="007E2F9F" w:rsidRPr="00DC3BB6" w:rsidRDefault="007E2F9F" w:rsidP="006548F8">
            <w:pPr>
              <w:tabs>
                <w:tab w:val="left" w:pos="875"/>
              </w:tabs>
              <w:ind w:right="157"/>
              <w:rPr>
                <w:rFonts w:ascii="Arial" w:hAnsi="Arial" w:cs="Arial"/>
                <w:sz w:val="18"/>
                <w:szCs w:val="18"/>
              </w:rPr>
            </w:pPr>
            <w:r w:rsidRPr="00DC3BB6">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18CBA315" w14:textId="77777777" w:rsidR="007E2F9F" w:rsidRPr="00DC3BB6" w:rsidRDefault="007E2F9F" w:rsidP="006548F8">
            <w:pPr>
              <w:tabs>
                <w:tab w:val="left" w:pos="875"/>
              </w:tabs>
              <w:jc w:val="right"/>
              <w:rPr>
                <w:rFonts w:ascii="Arial" w:hAnsi="Arial" w:cs="Arial"/>
                <w:sz w:val="16"/>
                <w:szCs w:val="16"/>
              </w:rPr>
            </w:pPr>
            <w:r w:rsidRPr="00DC3BB6">
              <w:rPr>
                <w:rFonts w:ascii="Arial" w:hAnsi="Arial" w:cs="Arial"/>
                <w:sz w:val="16"/>
                <w:szCs w:val="16"/>
              </w:rPr>
              <w:t xml:space="preserve">1.920.279 </w:t>
            </w:r>
          </w:p>
        </w:tc>
      </w:tr>
      <w:tr w:rsidR="007E2F9F" w:rsidRPr="00DC3BB6" w14:paraId="1AC6B52E" w14:textId="77777777" w:rsidTr="00143581">
        <w:tc>
          <w:tcPr>
            <w:tcW w:w="8648" w:type="dxa"/>
          </w:tcPr>
          <w:p w14:paraId="38173867" w14:textId="77777777" w:rsidR="007E2F9F" w:rsidRPr="00DC3BB6" w:rsidRDefault="007E2F9F" w:rsidP="006548F8">
            <w:pPr>
              <w:tabs>
                <w:tab w:val="left" w:pos="875"/>
              </w:tabs>
              <w:ind w:right="157"/>
              <w:rPr>
                <w:rFonts w:ascii="Arial" w:hAnsi="Arial" w:cs="Arial"/>
                <w:sz w:val="18"/>
                <w:szCs w:val="18"/>
              </w:rPr>
            </w:pPr>
            <w:r w:rsidRPr="00DC3BB6">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6DDB8D40" w14:textId="77777777" w:rsidR="007E2F9F" w:rsidRPr="00DC3BB6" w:rsidRDefault="007E2F9F" w:rsidP="006548F8">
            <w:pPr>
              <w:tabs>
                <w:tab w:val="left" w:pos="875"/>
              </w:tabs>
              <w:jc w:val="right"/>
              <w:rPr>
                <w:rFonts w:ascii="Arial" w:hAnsi="Arial" w:cs="Arial"/>
                <w:sz w:val="16"/>
                <w:szCs w:val="16"/>
                <w:u w:val="single"/>
              </w:rPr>
            </w:pPr>
            <w:r w:rsidRPr="00DC3BB6">
              <w:rPr>
                <w:rFonts w:ascii="Arial" w:hAnsi="Arial" w:cs="Arial"/>
                <w:color w:val="000000"/>
                <w:sz w:val="16"/>
                <w:szCs w:val="16"/>
              </w:rPr>
              <w:t xml:space="preserve">1.963.954 </w:t>
            </w:r>
          </w:p>
        </w:tc>
      </w:tr>
    </w:tbl>
    <w:p w14:paraId="542172F6" w14:textId="77777777" w:rsidR="007E2F9F" w:rsidRPr="00B54567" w:rsidRDefault="007E2F9F" w:rsidP="007E2F9F">
      <w:pPr>
        <w:pStyle w:val="Textoindependiente"/>
        <w:spacing w:before="3"/>
      </w:pPr>
    </w:p>
    <w:p w14:paraId="22442BA0" w14:textId="77777777" w:rsidR="007E2F9F" w:rsidRPr="00A56F89" w:rsidRDefault="007E2F9F" w:rsidP="00143581">
      <w:pPr>
        <w:ind w:left="-284"/>
        <w:jc w:val="both"/>
        <w:rPr>
          <w:rFonts w:ascii="Arial" w:hAnsi="Arial" w:cs="Arial"/>
          <w:b/>
          <w:sz w:val="28"/>
          <w:szCs w:val="28"/>
          <w:lang w:val="es-MX"/>
        </w:rPr>
      </w:pPr>
      <w:r w:rsidRPr="00A56F89">
        <w:rPr>
          <w:rFonts w:ascii="Arial" w:hAnsi="Arial" w:cs="Arial"/>
          <w:b/>
          <w:sz w:val="28"/>
          <w:szCs w:val="28"/>
          <w:lang w:val="es-MX"/>
        </w:rPr>
        <w:t xml:space="preserve">316.- SUPERINTENDENCIA FINANCIERA DE COLOMBIA. </w:t>
      </w:r>
    </w:p>
    <w:p w14:paraId="2C4A4DF3"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648"/>
        <w:gridCol w:w="1701"/>
      </w:tblGrid>
      <w:tr w:rsidR="007E2F9F" w:rsidRPr="00CA2419" w14:paraId="55C4AE42" w14:textId="77777777" w:rsidTr="00143581">
        <w:tc>
          <w:tcPr>
            <w:tcW w:w="8648" w:type="dxa"/>
          </w:tcPr>
          <w:p w14:paraId="399D3F4A" w14:textId="77777777" w:rsidR="007E2F9F" w:rsidRPr="00CA2419" w:rsidRDefault="007E2F9F" w:rsidP="006548F8">
            <w:pPr>
              <w:tabs>
                <w:tab w:val="left" w:pos="875"/>
              </w:tabs>
              <w:ind w:right="157"/>
              <w:rPr>
                <w:rFonts w:ascii="Arial" w:hAnsi="Arial" w:cs="Arial"/>
                <w:sz w:val="18"/>
                <w:szCs w:val="18"/>
              </w:rPr>
            </w:pPr>
            <w:r w:rsidRPr="00CA2419">
              <w:rPr>
                <w:rFonts w:ascii="Arial" w:hAnsi="Arial" w:cs="Arial"/>
                <w:lang w:val="es-ES_tradnl"/>
              </w:rPr>
              <w:t>Reservas presupuestales constituidas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6091D5D1" w14:textId="77777777" w:rsidR="007E2F9F" w:rsidRPr="00CA2419" w:rsidRDefault="007E2F9F" w:rsidP="006548F8">
            <w:pPr>
              <w:tabs>
                <w:tab w:val="left" w:pos="875"/>
              </w:tabs>
              <w:jc w:val="right"/>
              <w:rPr>
                <w:rFonts w:ascii="Arial" w:hAnsi="Arial" w:cs="Arial"/>
                <w:b/>
                <w:bCs/>
                <w:sz w:val="16"/>
                <w:szCs w:val="16"/>
              </w:rPr>
            </w:pPr>
            <w:r w:rsidRPr="00CA2419">
              <w:rPr>
                <w:rFonts w:ascii="Arial" w:hAnsi="Arial" w:cs="Arial"/>
                <w:b/>
                <w:bCs/>
                <w:color w:val="000000"/>
                <w:sz w:val="16"/>
                <w:szCs w:val="16"/>
              </w:rPr>
              <w:t xml:space="preserve">680.475,93 </w:t>
            </w:r>
          </w:p>
        </w:tc>
      </w:tr>
      <w:tr w:rsidR="007E2F9F" w:rsidRPr="00CA2419" w14:paraId="08C92612" w14:textId="77777777" w:rsidTr="00143581">
        <w:tc>
          <w:tcPr>
            <w:tcW w:w="8648" w:type="dxa"/>
          </w:tcPr>
          <w:p w14:paraId="755DF310" w14:textId="77777777" w:rsidR="007E2F9F" w:rsidRPr="00CA2419" w:rsidRDefault="007E2F9F" w:rsidP="006548F8">
            <w:pPr>
              <w:tabs>
                <w:tab w:val="left" w:pos="875"/>
              </w:tabs>
              <w:ind w:right="157"/>
              <w:rPr>
                <w:rFonts w:ascii="Arial" w:hAnsi="Arial" w:cs="Arial"/>
                <w:sz w:val="18"/>
                <w:szCs w:val="18"/>
              </w:rPr>
            </w:pPr>
            <w:r w:rsidRPr="00CA2419">
              <w:rPr>
                <w:rFonts w:ascii="Arial" w:hAnsi="Arial" w:cs="Arial"/>
                <w:lang w:val="es-ES_tradnl"/>
              </w:rPr>
              <w:t>Cuentas por pagar constituidas a 31 de diciembre de 2024</w:t>
            </w:r>
          </w:p>
        </w:tc>
        <w:tc>
          <w:tcPr>
            <w:tcW w:w="1701" w:type="dxa"/>
            <w:tcBorders>
              <w:top w:val="nil"/>
              <w:left w:val="single" w:sz="8" w:space="0" w:color="auto"/>
              <w:bottom w:val="nil"/>
              <w:right w:val="single" w:sz="8" w:space="0" w:color="auto"/>
            </w:tcBorders>
            <w:shd w:val="clear" w:color="auto" w:fill="auto"/>
            <w:vAlign w:val="bottom"/>
          </w:tcPr>
          <w:p w14:paraId="3042ABE4" w14:textId="77777777" w:rsidR="007E2F9F" w:rsidRPr="00CA2419" w:rsidRDefault="007E2F9F" w:rsidP="006548F8">
            <w:pPr>
              <w:tabs>
                <w:tab w:val="left" w:pos="875"/>
              </w:tabs>
              <w:jc w:val="right"/>
              <w:rPr>
                <w:rFonts w:ascii="Arial" w:hAnsi="Arial" w:cs="Arial"/>
                <w:b/>
                <w:bCs/>
                <w:sz w:val="16"/>
                <w:szCs w:val="16"/>
              </w:rPr>
            </w:pPr>
            <w:r w:rsidRPr="00CA2419">
              <w:rPr>
                <w:rFonts w:ascii="Arial" w:hAnsi="Arial" w:cs="Arial"/>
                <w:b/>
                <w:bCs/>
                <w:sz w:val="16"/>
                <w:szCs w:val="16"/>
              </w:rPr>
              <w:t xml:space="preserve">8.814.278,35 </w:t>
            </w:r>
          </w:p>
        </w:tc>
      </w:tr>
      <w:tr w:rsidR="007E2F9F" w:rsidRPr="00CA2419" w14:paraId="79738C6D" w14:textId="77777777" w:rsidTr="00143581">
        <w:tc>
          <w:tcPr>
            <w:tcW w:w="8648" w:type="dxa"/>
          </w:tcPr>
          <w:p w14:paraId="27C624A8" w14:textId="77777777" w:rsidR="007E2F9F" w:rsidRPr="00CA2419" w:rsidRDefault="007E2F9F" w:rsidP="006548F8">
            <w:pPr>
              <w:tabs>
                <w:tab w:val="left" w:pos="875"/>
              </w:tabs>
              <w:ind w:right="157"/>
              <w:rPr>
                <w:rFonts w:ascii="Arial" w:hAnsi="Arial" w:cs="Arial"/>
                <w:sz w:val="18"/>
                <w:szCs w:val="18"/>
              </w:rPr>
            </w:pPr>
            <w:r w:rsidRPr="00CA2419">
              <w:rPr>
                <w:rFonts w:ascii="Arial" w:hAnsi="Arial" w:cs="Arial"/>
                <w:b/>
                <w:lang w:val="es-ES_tradnl"/>
              </w:rPr>
              <w:t>TOTAL, REZAGO PRESUPUESTAL CONSTITUIDO A 31 DE DICIEMBRE DE 2024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14:paraId="777909A2" w14:textId="77777777" w:rsidR="007E2F9F" w:rsidRPr="00CA2419" w:rsidRDefault="007E2F9F" w:rsidP="006548F8">
            <w:pPr>
              <w:tabs>
                <w:tab w:val="left" w:pos="875"/>
              </w:tabs>
              <w:jc w:val="right"/>
              <w:rPr>
                <w:rFonts w:ascii="Arial" w:hAnsi="Arial" w:cs="Arial"/>
                <w:b/>
                <w:bCs/>
                <w:sz w:val="16"/>
                <w:szCs w:val="16"/>
                <w:u w:val="single"/>
              </w:rPr>
            </w:pPr>
            <w:r w:rsidRPr="00CA2419">
              <w:rPr>
                <w:rFonts w:ascii="Arial" w:hAnsi="Arial" w:cs="Arial"/>
                <w:b/>
                <w:bCs/>
                <w:color w:val="000000"/>
                <w:sz w:val="16"/>
                <w:szCs w:val="16"/>
              </w:rPr>
              <w:t xml:space="preserve">9.494.754,28 </w:t>
            </w:r>
          </w:p>
        </w:tc>
      </w:tr>
    </w:tbl>
    <w:p w14:paraId="60DF261C" w14:textId="77777777" w:rsidR="007E2F9F" w:rsidRPr="00B54567" w:rsidRDefault="007E2F9F" w:rsidP="00143581">
      <w:pPr>
        <w:pStyle w:val="Textoindependiente"/>
        <w:spacing w:before="3"/>
        <w:ind w:left="-284"/>
      </w:pPr>
    </w:p>
    <w:p w14:paraId="6BC5EB64" w14:textId="65C589C7" w:rsidR="007E2F9F" w:rsidRDefault="007E2F9F" w:rsidP="00143581">
      <w:pPr>
        <w:ind w:left="-284"/>
        <w:jc w:val="both"/>
        <w:rPr>
          <w:rFonts w:ascii="Arial" w:hAnsi="Arial" w:cs="Arial"/>
          <w:b/>
          <w:sz w:val="28"/>
          <w:szCs w:val="28"/>
          <w:lang w:val="es-MX"/>
        </w:rPr>
      </w:pPr>
      <w:r w:rsidRPr="00477036">
        <w:rPr>
          <w:rFonts w:ascii="Arial" w:hAnsi="Arial" w:cs="Arial"/>
          <w:b/>
          <w:sz w:val="28"/>
          <w:szCs w:val="28"/>
          <w:lang w:val="es-MX"/>
        </w:rPr>
        <w:t>317.- INSTITUTO COLOMBIANO DE ANTROPOLOGÍA E HISTORIA – ICANH.</w:t>
      </w:r>
    </w:p>
    <w:p w14:paraId="66437840" w14:textId="77777777" w:rsidR="00941342" w:rsidRDefault="00941342" w:rsidP="00143581">
      <w:pPr>
        <w:ind w:left="-284"/>
        <w:jc w:val="both"/>
        <w:rPr>
          <w:rFonts w:ascii="Arial" w:hAnsi="Arial" w:cs="Arial"/>
          <w:b/>
          <w:sz w:val="28"/>
          <w:szCs w:val="28"/>
          <w:lang w:val="es-MX"/>
        </w:rPr>
      </w:pPr>
    </w:p>
    <w:tbl>
      <w:tblPr>
        <w:tblStyle w:val="Tablaconcuadrcula"/>
        <w:tblW w:w="10348" w:type="dxa"/>
        <w:jc w:val="center"/>
        <w:tblLook w:val="04A0" w:firstRow="1" w:lastRow="0" w:firstColumn="1" w:lastColumn="0" w:noHBand="0" w:noVBand="1"/>
      </w:tblPr>
      <w:tblGrid>
        <w:gridCol w:w="8800"/>
        <w:gridCol w:w="1548"/>
      </w:tblGrid>
      <w:tr w:rsidR="007E2F9F" w:rsidRPr="001250D0" w14:paraId="55044471" w14:textId="77777777" w:rsidTr="00143581">
        <w:trPr>
          <w:jc w:val="center"/>
        </w:trPr>
        <w:tc>
          <w:tcPr>
            <w:tcW w:w="8800" w:type="dxa"/>
          </w:tcPr>
          <w:p w14:paraId="22E458C3"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Reservas presupuestales constituidas a 31 de diciembre de 202</w:t>
            </w:r>
            <w:r>
              <w:rPr>
                <w:rFonts w:ascii="Arial" w:hAnsi="Arial" w:cs="Arial"/>
                <w:lang w:val="es-ES_tradnl"/>
              </w:rPr>
              <w:t>4</w:t>
            </w:r>
          </w:p>
        </w:tc>
        <w:tc>
          <w:tcPr>
            <w:tcW w:w="1548" w:type="dxa"/>
          </w:tcPr>
          <w:p w14:paraId="2D2DE704" w14:textId="77777777" w:rsidR="007E2F9F" w:rsidRPr="00DD57F7" w:rsidRDefault="007E2F9F" w:rsidP="006548F8">
            <w:pPr>
              <w:tabs>
                <w:tab w:val="left" w:pos="875"/>
              </w:tabs>
              <w:jc w:val="right"/>
              <w:rPr>
                <w:rFonts w:ascii="Arial" w:hAnsi="Arial" w:cs="Arial"/>
              </w:rPr>
            </w:pPr>
            <w:r>
              <w:rPr>
                <w:rFonts w:ascii="Arial" w:hAnsi="Arial" w:cs="Arial"/>
              </w:rPr>
              <w:t>3.211.556</w:t>
            </w:r>
          </w:p>
        </w:tc>
      </w:tr>
      <w:tr w:rsidR="007E2F9F" w:rsidRPr="001250D0" w14:paraId="32E6951D" w14:textId="77777777" w:rsidTr="00143581">
        <w:trPr>
          <w:jc w:val="center"/>
        </w:trPr>
        <w:tc>
          <w:tcPr>
            <w:tcW w:w="8800" w:type="dxa"/>
          </w:tcPr>
          <w:p w14:paraId="1FC2818A"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Cuentas por pagar constituidas a 31 de diciembre de 202</w:t>
            </w:r>
            <w:r>
              <w:rPr>
                <w:rFonts w:ascii="Arial" w:hAnsi="Arial" w:cs="Arial"/>
                <w:lang w:val="es-ES_tradnl"/>
              </w:rPr>
              <w:t>4</w:t>
            </w:r>
          </w:p>
        </w:tc>
        <w:tc>
          <w:tcPr>
            <w:tcW w:w="1548" w:type="dxa"/>
          </w:tcPr>
          <w:p w14:paraId="03F0407C" w14:textId="77777777" w:rsidR="007E2F9F" w:rsidRPr="00DD57F7" w:rsidRDefault="007E2F9F" w:rsidP="006548F8">
            <w:pPr>
              <w:tabs>
                <w:tab w:val="left" w:pos="875"/>
              </w:tabs>
              <w:jc w:val="right"/>
              <w:rPr>
                <w:rFonts w:ascii="Arial" w:hAnsi="Arial" w:cs="Arial"/>
              </w:rPr>
            </w:pPr>
            <w:r>
              <w:rPr>
                <w:rFonts w:ascii="Arial" w:hAnsi="Arial" w:cs="Arial"/>
              </w:rPr>
              <w:t>126.890</w:t>
            </w:r>
          </w:p>
        </w:tc>
      </w:tr>
      <w:tr w:rsidR="007E2F9F" w:rsidRPr="001250D0" w14:paraId="67DD3848" w14:textId="77777777" w:rsidTr="00143581">
        <w:trPr>
          <w:jc w:val="center"/>
        </w:trPr>
        <w:tc>
          <w:tcPr>
            <w:tcW w:w="8800" w:type="dxa"/>
          </w:tcPr>
          <w:p w14:paraId="52F338A0" w14:textId="77777777" w:rsidR="007E2F9F" w:rsidRPr="001250D0" w:rsidRDefault="007E2F9F" w:rsidP="006548F8">
            <w:pPr>
              <w:tabs>
                <w:tab w:val="left" w:pos="875"/>
              </w:tabs>
              <w:ind w:right="157"/>
              <w:jc w:val="both"/>
              <w:rPr>
                <w:rFonts w:ascii="Arial" w:hAnsi="Arial" w:cs="Arial"/>
                <w:sz w:val="18"/>
                <w:szCs w:val="18"/>
              </w:rPr>
            </w:pPr>
            <w:r w:rsidRPr="001250D0">
              <w:rPr>
                <w:rFonts w:ascii="Arial" w:hAnsi="Arial" w:cs="Arial"/>
                <w:b/>
                <w:lang w:val="es-ES_tradnl"/>
              </w:rPr>
              <w:t>TOTAL REZAGO PRESUPUESTAL CONSTITUIDO A 31 DE DICIEMBRE DE 202</w:t>
            </w:r>
            <w:r>
              <w:rPr>
                <w:rFonts w:ascii="Arial" w:hAnsi="Arial" w:cs="Arial"/>
                <w:b/>
                <w:lang w:val="es-ES_tradnl"/>
              </w:rPr>
              <w:t>4</w:t>
            </w:r>
          </w:p>
        </w:tc>
        <w:tc>
          <w:tcPr>
            <w:tcW w:w="1548" w:type="dxa"/>
          </w:tcPr>
          <w:p w14:paraId="57D029B7" w14:textId="77777777" w:rsidR="007E2F9F" w:rsidRPr="00DD57F7" w:rsidRDefault="007E2F9F" w:rsidP="006548F8">
            <w:pPr>
              <w:tabs>
                <w:tab w:val="left" w:pos="875"/>
              </w:tabs>
              <w:jc w:val="right"/>
              <w:rPr>
                <w:rFonts w:ascii="Arial" w:hAnsi="Arial" w:cs="Arial"/>
                <w:b/>
                <w:u w:val="single"/>
              </w:rPr>
            </w:pPr>
            <w:r>
              <w:rPr>
                <w:rFonts w:ascii="Arial" w:hAnsi="Arial" w:cs="Arial"/>
                <w:b/>
                <w:u w:val="single"/>
              </w:rPr>
              <w:t>3.338.446</w:t>
            </w:r>
          </w:p>
        </w:tc>
      </w:tr>
    </w:tbl>
    <w:p w14:paraId="2CC50417" w14:textId="77777777" w:rsidR="007E2F9F" w:rsidRPr="00477036" w:rsidRDefault="007E2F9F" w:rsidP="007E2F9F">
      <w:pPr>
        <w:rPr>
          <w:rFonts w:ascii="Arial" w:hAnsi="Arial" w:cs="Arial"/>
          <w:b/>
          <w:sz w:val="28"/>
          <w:szCs w:val="28"/>
          <w:lang w:val="es-MX"/>
        </w:rPr>
      </w:pPr>
    </w:p>
    <w:p w14:paraId="1D3AA958" w14:textId="77777777" w:rsidR="007E2F9F" w:rsidRPr="00761142" w:rsidRDefault="007E2F9F" w:rsidP="00143581">
      <w:pPr>
        <w:ind w:left="-284" w:right="-234"/>
        <w:jc w:val="both"/>
        <w:rPr>
          <w:rFonts w:ascii="Arial" w:hAnsi="Arial" w:cs="Arial"/>
          <w:b/>
          <w:sz w:val="28"/>
          <w:szCs w:val="28"/>
          <w:lang w:val="es-MX"/>
        </w:rPr>
      </w:pPr>
      <w:r w:rsidRPr="00761142">
        <w:rPr>
          <w:rFonts w:ascii="Arial" w:hAnsi="Arial" w:cs="Arial"/>
          <w:b/>
          <w:sz w:val="28"/>
          <w:szCs w:val="28"/>
          <w:lang w:val="es-MX"/>
        </w:rPr>
        <w:t>323.- MINISTERIO DE HACIENDA Y CRÉDITO PÚBLICO – GESTIÓN GENERAL.</w:t>
      </w:r>
    </w:p>
    <w:p w14:paraId="6E7F5747"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A14705" w14:paraId="0A3EBDFA" w14:textId="77777777" w:rsidTr="00143581">
        <w:tc>
          <w:tcPr>
            <w:tcW w:w="8789" w:type="dxa"/>
          </w:tcPr>
          <w:p w14:paraId="2644357B" w14:textId="77777777" w:rsidR="007E2F9F" w:rsidRPr="00A14705" w:rsidRDefault="007E2F9F" w:rsidP="006548F8">
            <w:pPr>
              <w:tabs>
                <w:tab w:val="left" w:pos="875"/>
              </w:tabs>
              <w:ind w:right="157"/>
              <w:rPr>
                <w:rFonts w:ascii="Arial" w:hAnsi="Arial" w:cs="Arial"/>
                <w:sz w:val="18"/>
                <w:szCs w:val="18"/>
              </w:rPr>
            </w:pPr>
            <w:r w:rsidRPr="00A14705">
              <w:rPr>
                <w:rFonts w:ascii="Arial" w:hAnsi="Arial" w:cs="Arial"/>
                <w:lang w:val="es-ES_tradnl"/>
              </w:rPr>
              <w:t>Reservas presupuestales constituidas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21C47EBC" w14:textId="77777777" w:rsidR="007E2F9F" w:rsidRPr="00A14705" w:rsidRDefault="007E2F9F" w:rsidP="006548F8">
            <w:pPr>
              <w:tabs>
                <w:tab w:val="left" w:pos="875"/>
              </w:tabs>
              <w:jc w:val="right"/>
              <w:rPr>
                <w:rFonts w:ascii="Arial" w:hAnsi="Arial" w:cs="Arial"/>
                <w:b/>
                <w:bCs/>
                <w:sz w:val="16"/>
                <w:szCs w:val="16"/>
              </w:rPr>
            </w:pPr>
            <w:r w:rsidRPr="00A14705">
              <w:rPr>
                <w:rFonts w:ascii="Arial" w:hAnsi="Arial" w:cs="Arial"/>
                <w:b/>
                <w:bCs/>
                <w:color w:val="000000"/>
                <w:sz w:val="16"/>
                <w:szCs w:val="16"/>
              </w:rPr>
              <w:t xml:space="preserve">4.719.143.596,00 </w:t>
            </w:r>
          </w:p>
        </w:tc>
      </w:tr>
      <w:tr w:rsidR="007E2F9F" w:rsidRPr="00A14705" w14:paraId="0E6459F7" w14:textId="77777777" w:rsidTr="00143581">
        <w:tc>
          <w:tcPr>
            <w:tcW w:w="8789" w:type="dxa"/>
          </w:tcPr>
          <w:p w14:paraId="240AE4D5" w14:textId="77777777" w:rsidR="007E2F9F" w:rsidRPr="00A14705" w:rsidRDefault="007E2F9F" w:rsidP="006548F8">
            <w:pPr>
              <w:tabs>
                <w:tab w:val="left" w:pos="875"/>
              </w:tabs>
              <w:ind w:right="157"/>
              <w:rPr>
                <w:rFonts w:ascii="Arial" w:hAnsi="Arial" w:cs="Arial"/>
                <w:sz w:val="18"/>
                <w:szCs w:val="18"/>
              </w:rPr>
            </w:pPr>
            <w:r w:rsidRPr="00A14705">
              <w:rPr>
                <w:rFonts w:ascii="Arial" w:hAnsi="Arial" w:cs="Arial"/>
                <w:lang w:val="es-ES_tradnl"/>
              </w:rPr>
              <w:t>Cuentas por pagar constituidas a 31 de diciembre de 2024</w:t>
            </w:r>
          </w:p>
        </w:tc>
        <w:tc>
          <w:tcPr>
            <w:tcW w:w="1560" w:type="dxa"/>
            <w:tcBorders>
              <w:top w:val="nil"/>
              <w:left w:val="single" w:sz="8" w:space="0" w:color="auto"/>
              <w:bottom w:val="nil"/>
              <w:right w:val="single" w:sz="8" w:space="0" w:color="auto"/>
            </w:tcBorders>
            <w:shd w:val="clear" w:color="auto" w:fill="auto"/>
            <w:vAlign w:val="bottom"/>
          </w:tcPr>
          <w:p w14:paraId="50F97E05" w14:textId="77777777" w:rsidR="007E2F9F" w:rsidRPr="00A14705" w:rsidRDefault="007E2F9F" w:rsidP="006548F8">
            <w:pPr>
              <w:tabs>
                <w:tab w:val="left" w:pos="875"/>
              </w:tabs>
              <w:jc w:val="right"/>
              <w:rPr>
                <w:rFonts w:ascii="Arial" w:hAnsi="Arial" w:cs="Arial"/>
                <w:b/>
                <w:bCs/>
                <w:sz w:val="16"/>
                <w:szCs w:val="16"/>
              </w:rPr>
            </w:pPr>
            <w:r w:rsidRPr="00A14705">
              <w:rPr>
                <w:rFonts w:ascii="Arial" w:hAnsi="Arial" w:cs="Arial"/>
                <w:b/>
                <w:bCs/>
                <w:sz w:val="16"/>
                <w:szCs w:val="16"/>
              </w:rPr>
              <w:t xml:space="preserve">1.784.627,00 </w:t>
            </w:r>
          </w:p>
        </w:tc>
      </w:tr>
      <w:tr w:rsidR="007E2F9F" w:rsidRPr="00A14705" w14:paraId="45AE8A79" w14:textId="77777777" w:rsidTr="00143581">
        <w:tc>
          <w:tcPr>
            <w:tcW w:w="8789" w:type="dxa"/>
          </w:tcPr>
          <w:p w14:paraId="3ADC0B88" w14:textId="77777777" w:rsidR="007E2F9F" w:rsidRPr="00A14705" w:rsidRDefault="007E2F9F" w:rsidP="006548F8">
            <w:pPr>
              <w:tabs>
                <w:tab w:val="left" w:pos="875"/>
              </w:tabs>
              <w:ind w:right="157"/>
              <w:rPr>
                <w:rFonts w:ascii="Arial" w:hAnsi="Arial" w:cs="Arial"/>
                <w:sz w:val="18"/>
                <w:szCs w:val="18"/>
              </w:rPr>
            </w:pPr>
            <w:r w:rsidRPr="00A14705">
              <w:rPr>
                <w:rFonts w:ascii="Arial" w:hAnsi="Arial" w:cs="Arial"/>
                <w:b/>
                <w:lang w:val="es-ES_tradnl"/>
              </w:rPr>
              <w:t>TOTAL, REZAGO PRESUPUESTAL CONSTITUIDO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26B34017" w14:textId="77777777" w:rsidR="007E2F9F" w:rsidRPr="00A14705" w:rsidRDefault="007E2F9F" w:rsidP="006548F8">
            <w:pPr>
              <w:tabs>
                <w:tab w:val="left" w:pos="875"/>
              </w:tabs>
              <w:jc w:val="right"/>
              <w:rPr>
                <w:rFonts w:ascii="Arial" w:hAnsi="Arial" w:cs="Arial"/>
                <w:b/>
                <w:bCs/>
                <w:sz w:val="16"/>
                <w:szCs w:val="16"/>
                <w:u w:val="single"/>
              </w:rPr>
            </w:pPr>
            <w:r w:rsidRPr="00A14705">
              <w:rPr>
                <w:rFonts w:ascii="Arial" w:hAnsi="Arial" w:cs="Arial"/>
                <w:b/>
                <w:bCs/>
                <w:color w:val="000000"/>
                <w:sz w:val="16"/>
                <w:szCs w:val="16"/>
              </w:rPr>
              <w:t xml:space="preserve">4.720.928.223,00 </w:t>
            </w:r>
          </w:p>
        </w:tc>
      </w:tr>
    </w:tbl>
    <w:p w14:paraId="54030ECF" w14:textId="77777777" w:rsidR="007E2F9F" w:rsidRPr="00B54567" w:rsidRDefault="007E2F9F" w:rsidP="007E2F9F">
      <w:pPr>
        <w:pStyle w:val="Textoindependiente"/>
        <w:spacing w:before="3"/>
      </w:pPr>
    </w:p>
    <w:p w14:paraId="145C06A6" w14:textId="77777777" w:rsidR="007E2F9F" w:rsidRPr="006762CB" w:rsidRDefault="007E2F9F" w:rsidP="00143581">
      <w:pPr>
        <w:ind w:left="-284"/>
        <w:jc w:val="both"/>
        <w:rPr>
          <w:rFonts w:ascii="Arial" w:hAnsi="Arial" w:cs="Arial"/>
          <w:b/>
          <w:sz w:val="28"/>
          <w:szCs w:val="28"/>
          <w:lang w:val="es-MX"/>
        </w:rPr>
      </w:pPr>
      <w:r w:rsidRPr="006762CB">
        <w:rPr>
          <w:rFonts w:ascii="Arial" w:hAnsi="Arial" w:cs="Arial"/>
          <w:b/>
          <w:sz w:val="28"/>
          <w:szCs w:val="28"/>
          <w:lang w:val="es-MX"/>
        </w:rPr>
        <w:t xml:space="preserve">329.- SERVICIO NACIONAL DE APRENDIZAJE – SENA. </w:t>
      </w:r>
    </w:p>
    <w:p w14:paraId="2977D3EA" w14:textId="77777777" w:rsidR="007E2F9F" w:rsidRDefault="007E2F9F" w:rsidP="007E2F9F">
      <w:pPr>
        <w:ind w:left="-142" w:right="-93"/>
        <w:jc w:val="both"/>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3135BD" w14:paraId="6AE415A6" w14:textId="77777777" w:rsidTr="00143581">
        <w:tc>
          <w:tcPr>
            <w:tcW w:w="8789" w:type="dxa"/>
          </w:tcPr>
          <w:p w14:paraId="75098807" w14:textId="77777777" w:rsidR="007E2F9F" w:rsidRPr="003135BD" w:rsidRDefault="007E2F9F" w:rsidP="006548F8">
            <w:pPr>
              <w:tabs>
                <w:tab w:val="left" w:pos="875"/>
              </w:tabs>
              <w:ind w:right="157"/>
              <w:rPr>
                <w:rFonts w:ascii="Arial" w:hAnsi="Arial" w:cs="Arial"/>
                <w:sz w:val="18"/>
                <w:szCs w:val="18"/>
              </w:rPr>
            </w:pPr>
            <w:r w:rsidRPr="003135BD">
              <w:rPr>
                <w:rFonts w:ascii="Arial" w:hAnsi="Arial" w:cs="Arial"/>
                <w:lang w:val="es-ES_tradnl"/>
              </w:rPr>
              <w:t>Reservas presupuestales constituidas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09B47473" w14:textId="77777777" w:rsidR="007E2F9F" w:rsidRPr="003135BD" w:rsidRDefault="007E2F9F" w:rsidP="006548F8">
            <w:pPr>
              <w:tabs>
                <w:tab w:val="left" w:pos="875"/>
              </w:tabs>
              <w:jc w:val="right"/>
              <w:rPr>
                <w:rFonts w:ascii="Arial" w:hAnsi="Arial" w:cs="Arial"/>
                <w:b/>
                <w:bCs/>
                <w:sz w:val="16"/>
                <w:szCs w:val="16"/>
              </w:rPr>
            </w:pPr>
            <w:r w:rsidRPr="003135BD">
              <w:rPr>
                <w:rFonts w:ascii="Arial" w:hAnsi="Arial" w:cs="Arial"/>
                <w:b/>
                <w:bCs/>
                <w:color w:val="000000"/>
                <w:sz w:val="16"/>
                <w:szCs w:val="16"/>
              </w:rPr>
              <w:t xml:space="preserve">699.891.998,9 </w:t>
            </w:r>
          </w:p>
        </w:tc>
      </w:tr>
      <w:tr w:rsidR="007E2F9F" w:rsidRPr="003135BD" w14:paraId="6FCF2A19" w14:textId="77777777" w:rsidTr="00143581">
        <w:tc>
          <w:tcPr>
            <w:tcW w:w="8789" w:type="dxa"/>
          </w:tcPr>
          <w:p w14:paraId="4B1F7225" w14:textId="77777777" w:rsidR="007E2F9F" w:rsidRPr="003135BD" w:rsidRDefault="007E2F9F" w:rsidP="006548F8">
            <w:pPr>
              <w:tabs>
                <w:tab w:val="left" w:pos="875"/>
              </w:tabs>
              <w:ind w:right="157"/>
              <w:rPr>
                <w:rFonts w:ascii="Arial" w:hAnsi="Arial" w:cs="Arial"/>
                <w:sz w:val="18"/>
                <w:szCs w:val="18"/>
              </w:rPr>
            </w:pPr>
            <w:r w:rsidRPr="003135BD">
              <w:rPr>
                <w:rFonts w:ascii="Arial" w:hAnsi="Arial" w:cs="Arial"/>
                <w:lang w:val="es-ES_tradnl"/>
              </w:rPr>
              <w:t>Cuentas por pagar constituidas a 31 de diciembre de 2024</w:t>
            </w:r>
          </w:p>
        </w:tc>
        <w:tc>
          <w:tcPr>
            <w:tcW w:w="1560" w:type="dxa"/>
            <w:tcBorders>
              <w:top w:val="nil"/>
              <w:left w:val="single" w:sz="8" w:space="0" w:color="auto"/>
              <w:bottom w:val="nil"/>
              <w:right w:val="single" w:sz="8" w:space="0" w:color="auto"/>
            </w:tcBorders>
            <w:shd w:val="clear" w:color="auto" w:fill="auto"/>
            <w:vAlign w:val="bottom"/>
          </w:tcPr>
          <w:p w14:paraId="106AE490" w14:textId="77777777" w:rsidR="007E2F9F" w:rsidRPr="003135BD" w:rsidRDefault="007E2F9F" w:rsidP="006548F8">
            <w:pPr>
              <w:tabs>
                <w:tab w:val="left" w:pos="875"/>
              </w:tabs>
              <w:jc w:val="right"/>
              <w:rPr>
                <w:rFonts w:ascii="Arial" w:hAnsi="Arial" w:cs="Arial"/>
                <w:b/>
                <w:bCs/>
                <w:sz w:val="16"/>
                <w:szCs w:val="16"/>
              </w:rPr>
            </w:pPr>
            <w:r w:rsidRPr="003135BD">
              <w:rPr>
                <w:rFonts w:ascii="Arial" w:hAnsi="Arial" w:cs="Arial"/>
                <w:b/>
                <w:bCs/>
                <w:sz w:val="16"/>
                <w:szCs w:val="16"/>
              </w:rPr>
              <w:t xml:space="preserve">30.929.624,7 </w:t>
            </w:r>
          </w:p>
        </w:tc>
      </w:tr>
      <w:tr w:rsidR="007E2F9F" w:rsidRPr="003135BD" w14:paraId="285F4D39" w14:textId="77777777" w:rsidTr="00143581">
        <w:tc>
          <w:tcPr>
            <w:tcW w:w="8789" w:type="dxa"/>
          </w:tcPr>
          <w:p w14:paraId="798EED5A" w14:textId="77777777" w:rsidR="007E2F9F" w:rsidRPr="003135BD" w:rsidRDefault="007E2F9F" w:rsidP="006548F8">
            <w:pPr>
              <w:tabs>
                <w:tab w:val="left" w:pos="875"/>
              </w:tabs>
              <w:ind w:right="157"/>
              <w:rPr>
                <w:rFonts w:ascii="Arial" w:hAnsi="Arial" w:cs="Arial"/>
                <w:sz w:val="18"/>
                <w:szCs w:val="18"/>
              </w:rPr>
            </w:pPr>
            <w:r w:rsidRPr="003135BD">
              <w:rPr>
                <w:rFonts w:ascii="Arial" w:hAnsi="Arial" w:cs="Arial"/>
                <w:b/>
                <w:lang w:val="es-ES_tradnl"/>
              </w:rPr>
              <w:t>TOTAL, REZAGO PRESUPUESTAL CONSTITUIDO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7B3481AA" w14:textId="77777777" w:rsidR="007E2F9F" w:rsidRPr="003135BD" w:rsidRDefault="007E2F9F" w:rsidP="006548F8">
            <w:pPr>
              <w:tabs>
                <w:tab w:val="left" w:pos="875"/>
              </w:tabs>
              <w:jc w:val="right"/>
              <w:rPr>
                <w:rFonts w:ascii="Arial" w:hAnsi="Arial" w:cs="Arial"/>
                <w:b/>
                <w:bCs/>
                <w:sz w:val="16"/>
                <w:szCs w:val="16"/>
                <w:u w:val="single"/>
              </w:rPr>
            </w:pPr>
            <w:r w:rsidRPr="003135BD">
              <w:rPr>
                <w:rFonts w:ascii="Arial" w:hAnsi="Arial" w:cs="Arial"/>
                <w:b/>
                <w:bCs/>
                <w:color w:val="000000"/>
                <w:sz w:val="16"/>
                <w:szCs w:val="16"/>
              </w:rPr>
              <w:t xml:space="preserve">730.821.623,6 </w:t>
            </w:r>
          </w:p>
        </w:tc>
      </w:tr>
    </w:tbl>
    <w:p w14:paraId="6B223DED" w14:textId="77777777" w:rsidR="007E2F9F" w:rsidRDefault="007E2F9F" w:rsidP="007E2F9F">
      <w:pPr>
        <w:rPr>
          <w:rFonts w:ascii="Arial" w:hAnsi="Arial" w:cs="Arial"/>
          <w:lang w:val="es-MX"/>
        </w:rPr>
      </w:pPr>
    </w:p>
    <w:p w14:paraId="1BAE8C1C" w14:textId="77777777" w:rsidR="007E2F9F" w:rsidRPr="00FD46C7" w:rsidRDefault="007E2F9F" w:rsidP="00143581">
      <w:pPr>
        <w:ind w:left="-284" w:right="-93"/>
        <w:jc w:val="both"/>
        <w:rPr>
          <w:rFonts w:ascii="Arial" w:hAnsi="Arial" w:cs="Arial"/>
          <w:b/>
          <w:sz w:val="28"/>
          <w:szCs w:val="28"/>
          <w:lang w:val="es-MX"/>
        </w:rPr>
      </w:pPr>
      <w:r w:rsidRPr="00FD46C7">
        <w:rPr>
          <w:rFonts w:ascii="Arial" w:hAnsi="Arial" w:cs="Arial"/>
          <w:b/>
          <w:sz w:val="28"/>
          <w:szCs w:val="28"/>
          <w:lang w:val="es-MX"/>
        </w:rPr>
        <w:t>330.- FONDO DE BIENESTAR SOCIAL CONTRALORÍA GENERAL DE LA REPÚBLICA.</w:t>
      </w:r>
    </w:p>
    <w:p w14:paraId="1241CDF0" w14:textId="77777777" w:rsidR="007E2F9F" w:rsidRDefault="007E2F9F" w:rsidP="007E2F9F">
      <w:pPr>
        <w:rPr>
          <w:rFonts w:ascii="Arial" w:hAnsi="Arial" w:cs="Arial"/>
          <w:lang w:val="es-MX"/>
        </w:rPr>
      </w:pPr>
    </w:p>
    <w:tbl>
      <w:tblPr>
        <w:tblStyle w:val="Tablaconcuadrcula"/>
        <w:tblW w:w="10386" w:type="dxa"/>
        <w:jc w:val="center"/>
        <w:tblLook w:val="04A0" w:firstRow="1" w:lastRow="0" w:firstColumn="1" w:lastColumn="0" w:noHBand="0" w:noVBand="1"/>
      </w:tblPr>
      <w:tblGrid>
        <w:gridCol w:w="8789"/>
        <w:gridCol w:w="1597"/>
      </w:tblGrid>
      <w:tr w:rsidR="007E2F9F" w:rsidRPr="001250D0" w14:paraId="1175151A" w14:textId="77777777" w:rsidTr="00143581">
        <w:trPr>
          <w:jc w:val="center"/>
        </w:trPr>
        <w:tc>
          <w:tcPr>
            <w:tcW w:w="8789" w:type="dxa"/>
          </w:tcPr>
          <w:p w14:paraId="018639C5"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Reservas presupuestales constituidas a 31 de diciembre de 202</w:t>
            </w:r>
            <w:r>
              <w:rPr>
                <w:rFonts w:ascii="Arial" w:hAnsi="Arial" w:cs="Arial"/>
                <w:lang w:val="es-ES_tradnl"/>
              </w:rPr>
              <w:t>4</w:t>
            </w:r>
          </w:p>
        </w:tc>
        <w:tc>
          <w:tcPr>
            <w:tcW w:w="1597" w:type="dxa"/>
          </w:tcPr>
          <w:p w14:paraId="1562FC48" w14:textId="77777777" w:rsidR="007E2F9F" w:rsidRPr="00DD57F7" w:rsidRDefault="007E2F9F" w:rsidP="006548F8">
            <w:pPr>
              <w:tabs>
                <w:tab w:val="left" w:pos="875"/>
              </w:tabs>
              <w:jc w:val="right"/>
              <w:rPr>
                <w:rFonts w:ascii="Arial" w:hAnsi="Arial" w:cs="Arial"/>
              </w:rPr>
            </w:pPr>
            <w:r>
              <w:rPr>
                <w:rFonts w:ascii="Arial" w:hAnsi="Arial" w:cs="Arial"/>
              </w:rPr>
              <w:t>454.415,37</w:t>
            </w:r>
          </w:p>
        </w:tc>
      </w:tr>
      <w:tr w:rsidR="007E2F9F" w:rsidRPr="001250D0" w14:paraId="3D5768F8" w14:textId="77777777" w:rsidTr="00143581">
        <w:trPr>
          <w:jc w:val="center"/>
        </w:trPr>
        <w:tc>
          <w:tcPr>
            <w:tcW w:w="8789" w:type="dxa"/>
          </w:tcPr>
          <w:p w14:paraId="53B7353D"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Cuentas por pagar constituidas a 31 de diciembre de 202</w:t>
            </w:r>
            <w:r>
              <w:rPr>
                <w:rFonts w:ascii="Arial" w:hAnsi="Arial" w:cs="Arial"/>
                <w:lang w:val="es-ES_tradnl"/>
              </w:rPr>
              <w:t>4</w:t>
            </w:r>
          </w:p>
        </w:tc>
        <w:tc>
          <w:tcPr>
            <w:tcW w:w="1597" w:type="dxa"/>
          </w:tcPr>
          <w:p w14:paraId="36823C7D" w14:textId="77777777" w:rsidR="007E2F9F" w:rsidRPr="00DD57F7" w:rsidRDefault="007E2F9F" w:rsidP="006548F8">
            <w:pPr>
              <w:tabs>
                <w:tab w:val="left" w:pos="875"/>
              </w:tabs>
              <w:jc w:val="right"/>
              <w:rPr>
                <w:rFonts w:ascii="Arial" w:hAnsi="Arial" w:cs="Arial"/>
              </w:rPr>
            </w:pPr>
            <w:r>
              <w:rPr>
                <w:rFonts w:ascii="Arial" w:hAnsi="Arial" w:cs="Arial"/>
              </w:rPr>
              <w:t>676.172,34</w:t>
            </w:r>
          </w:p>
        </w:tc>
      </w:tr>
      <w:tr w:rsidR="007E2F9F" w:rsidRPr="001250D0" w14:paraId="485066BC" w14:textId="77777777" w:rsidTr="00143581">
        <w:trPr>
          <w:jc w:val="center"/>
        </w:trPr>
        <w:tc>
          <w:tcPr>
            <w:tcW w:w="8789" w:type="dxa"/>
          </w:tcPr>
          <w:p w14:paraId="5D62B89A" w14:textId="77777777" w:rsidR="007E2F9F" w:rsidRPr="001250D0" w:rsidRDefault="007E2F9F" w:rsidP="006548F8">
            <w:pPr>
              <w:tabs>
                <w:tab w:val="left" w:pos="875"/>
              </w:tabs>
              <w:ind w:right="157"/>
              <w:jc w:val="both"/>
              <w:rPr>
                <w:rFonts w:ascii="Arial" w:hAnsi="Arial" w:cs="Arial"/>
                <w:sz w:val="18"/>
                <w:szCs w:val="18"/>
              </w:rPr>
            </w:pPr>
            <w:r w:rsidRPr="001250D0">
              <w:rPr>
                <w:rFonts w:ascii="Arial" w:hAnsi="Arial" w:cs="Arial"/>
                <w:b/>
                <w:lang w:val="es-ES_tradnl"/>
              </w:rPr>
              <w:t>TOTAL REZAGO PRESUPUESTAL CONSTITUIDO A 31 DE DICIEMBRE DE 202</w:t>
            </w:r>
            <w:r>
              <w:rPr>
                <w:rFonts w:ascii="Arial" w:hAnsi="Arial" w:cs="Arial"/>
                <w:b/>
                <w:lang w:val="es-ES_tradnl"/>
              </w:rPr>
              <w:t>4</w:t>
            </w:r>
          </w:p>
        </w:tc>
        <w:tc>
          <w:tcPr>
            <w:tcW w:w="1597" w:type="dxa"/>
          </w:tcPr>
          <w:p w14:paraId="2F50C2DD" w14:textId="77777777" w:rsidR="007E2F9F" w:rsidRPr="00DD57F7" w:rsidRDefault="007E2F9F" w:rsidP="006548F8">
            <w:pPr>
              <w:tabs>
                <w:tab w:val="left" w:pos="875"/>
              </w:tabs>
              <w:jc w:val="right"/>
              <w:rPr>
                <w:rFonts w:ascii="Arial" w:hAnsi="Arial" w:cs="Arial"/>
                <w:b/>
                <w:u w:val="single"/>
              </w:rPr>
            </w:pPr>
            <w:r>
              <w:rPr>
                <w:rFonts w:ascii="Arial" w:hAnsi="Arial" w:cs="Arial"/>
                <w:b/>
                <w:u w:val="single"/>
              </w:rPr>
              <w:t>1.130.587,71</w:t>
            </w:r>
          </w:p>
        </w:tc>
      </w:tr>
    </w:tbl>
    <w:p w14:paraId="4F821AF4" w14:textId="77777777" w:rsidR="007E2F9F" w:rsidRDefault="007E2F9F" w:rsidP="007E2F9F">
      <w:pPr>
        <w:rPr>
          <w:rFonts w:ascii="Arial" w:hAnsi="Arial" w:cs="Arial"/>
          <w:lang w:val="es-MX"/>
        </w:rPr>
      </w:pPr>
    </w:p>
    <w:p w14:paraId="4D50E89E" w14:textId="77777777" w:rsidR="007E2F9F" w:rsidRPr="00E53848" w:rsidRDefault="007E2F9F" w:rsidP="00143581">
      <w:pPr>
        <w:ind w:left="-284" w:right="-234"/>
        <w:jc w:val="both"/>
        <w:rPr>
          <w:rFonts w:ascii="Arial" w:hAnsi="Arial" w:cs="Arial"/>
          <w:b/>
          <w:sz w:val="28"/>
          <w:szCs w:val="28"/>
          <w:lang w:val="es-MX"/>
        </w:rPr>
      </w:pPr>
      <w:r w:rsidRPr="00E53848">
        <w:rPr>
          <w:rFonts w:ascii="Arial" w:hAnsi="Arial" w:cs="Arial"/>
          <w:b/>
          <w:sz w:val="28"/>
          <w:szCs w:val="28"/>
          <w:lang w:val="es-MX"/>
        </w:rPr>
        <w:t>331.- EMPRESA NACIONAL PROMOTORA DEL DESARROLLO TERRITORIAL S.A. – ENTERRITORIO.</w:t>
      </w:r>
    </w:p>
    <w:p w14:paraId="33F8D768" w14:textId="77777777" w:rsidR="007E2F9F" w:rsidRDefault="007E2F9F" w:rsidP="007E2F9F">
      <w:pPr>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AB0EDA" w14:paraId="4EB6160B" w14:textId="77777777" w:rsidTr="00143581">
        <w:tc>
          <w:tcPr>
            <w:tcW w:w="8789" w:type="dxa"/>
          </w:tcPr>
          <w:p w14:paraId="6C6C7ABC" w14:textId="77777777" w:rsidR="007E2F9F" w:rsidRPr="00AB0EDA" w:rsidRDefault="007E2F9F" w:rsidP="006548F8">
            <w:pPr>
              <w:tabs>
                <w:tab w:val="left" w:pos="875"/>
              </w:tabs>
              <w:ind w:right="157"/>
              <w:rPr>
                <w:rFonts w:ascii="Arial" w:hAnsi="Arial" w:cs="Arial"/>
                <w:sz w:val="18"/>
                <w:szCs w:val="18"/>
              </w:rPr>
            </w:pPr>
            <w:r w:rsidRPr="00AB0EDA">
              <w:rPr>
                <w:rFonts w:ascii="Arial" w:hAnsi="Arial" w:cs="Arial"/>
                <w:lang w:val="es-ES_tradnl"/>
              </w:rPr>
              <w:t>Reservas presupuestales constituidas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18AD62DA" w14:textId="77777777" w:rsidR="007E2F9F" w:rsidRPr="00AB0EDA" w:rsidRDefault="007E2F9F" w:rsidP="006548F8">
            <w:pPr>
              <w:tabs>
                <w:tab w:val="left" w:pos="875"/>
              </w:tabs>
              <w:jc w:val="right"/>
              <w:rPr>
                <w:rFonts w:ascii="Arial" w:hAnsi="Arial" w:cs="Arial"/>
                <w:b/>
                <w:bCs/>
                <w:sz w:val="16"/>
                <w:szCs w:val="16"/>
              </w:rPr>
            </w:pPr>
            <w:r w:rsidRPr="00AB0EDA">
              <w:rPr>
                <w:rFonts w:ascii="Arial" w:hAnsi="Arial" w:cs="Arial"/>
                <w:b/>
                <w:bCs/>
                <w:color w:val="000000"/>
                <w:sz w:val="16"/>
                <w:szCs w:val="16"/>
              </w:rPr>
              <w:t xml:space="preserve">0,00 </w:t>
            </w:r>
          </w:p>
        </w:tc>
      </w:tr>
      <w:tr w:rsidR="007E2F9F" w:rsidRPr="00AB0EDA" w14:paraId="1CA04672" w14:textId="77777777" w:rsidTr="00143581">
        <w:tc>
          <w:tcPr>
            <w:tcW w:w="8789" w:type="dxa"/>
          </w:tcPr>
          <w:p w14:paraId="3A787D76" w14:textId="77777777" w:rsidR="007E2F9F" w:rsidRPr="00AB0EDA" w:rsidRDefault="007E2F9F" w:rsidP="006548F8">
            <w:pPr>
              <w:tabs>
                <w:tab w:val="left" w:pos="875"/>
              </w:tabs>
              <w:ind w:right="157"/>
              <w:rPr>
                <w:rFonts w:ascii="Arial" w:hAnsi="Arial" w:cs="Arial"/>
                <w:sz w:val="18"/>
                <w:szCs w:val="18"/>
              </w:rPr>
            </w:pPr>
            <w:r w:rsidRPr="00AB0EDA">
              <w:rPr>
                <w:rFonts w:ascii="Arial" w:hAnsi="Arial" w:cs="Arial"/>
                <w:lang w:val="es-ES_tradnl"/>
              </w:rPr>
              <w:t>Cuentas por pagar constituidas a 31 de diciembre de 2024</w:t>
            </w:r>
          </w:p>
        </w:tc>
        <w:tc>
          <w:tcPr>
            <w:tcW w:w="1560" w:type="dxa"/>
            <w:tcBorders>
              <w:top w:val="nil"/>
              <w:left w:val="single" w:sz="8" w:space="0" w:color="auto"/>
              <w:bottom w:val="nil"/>
              <w:right w:val="single" w:sz="8" w:space="0" w:color="auto"/>
            </w:tcBorders>
            <w:shd w:val="clear" w:color="auto" w:fill="auto"/>
            <w:vAlign w:val="bottom"/>
          </w:tcPr>
          <w:p w14:paraId="3B71ED10" w14:textId="77777777" w:rsidR="007E2F9F" w:rsidRPr="00AB0EDA" w:rsidRDefault="007E2F9F" w:rsidP="006548F8">
            <w:pPr>
              <w:tabs>
                <w:tab w:val="left" w:pos="875"/>
              </w:tabs>
              <w:jc w:val="right"/>
              <w:rPr>
                <w:rFonts w:ascii="Arial" w:hAnsi="Arial" w:cs="Arial"/>
                <w:b/>
                <w:bCs/>
                <w:sz w:val="16"/>
                <w:szCs w:val="16"/>
              </w:rPr>
            </w:pPr>
            <w:r w:rsidRPr="00AB0EDA">
              <w:rPr>
                <w:rFonts w:ascii="Arial" w:hAnsi="Arial" w:cs="Arial"/>
                <w:b/>
                <w:bCs/>
                <w:sz w:val="16"/>
                <w:szCs w:val="16"/>
              </w:rPr>
              <w:t xml:space="preserve">63.539.155,00 </w:t>
            </w:r>
          </w:p>
        </w:tc>
      </w:tr>
      <w:tr w:rsidR="007E2F9F" w:rsidRPr="00AB0EDA" w14:paraId="6EC64D96" w14:textId="77777777" w:rsidTr="00143581">
        <w:tc>
          <w:tcPr>
            <w:tcW w:w="8789" w:type="dxa"/>
          </w:tcPr>
          <w:p w14:paraId="4BBB4FC4" w14:textId="77777777" w:rsidR="007E2F9F" w:rsidRPr="00AB0EDA" w:rsidRDefault="007E2F9F" w:rsidP="006548F8">
            <w:pPr>
              <w:tabs>
                <w:tab w:val="left" w:pos="875"/>
              </w:tabs>
              <w:ind w:right="157"/>
              <w:rPr>
                <w:rFonts w:ascii="Arial" w:hAnsi="Arial" w:cs="Arial"/>
                <w:sz w:val="18"/>
                <w:szCs w:val="18"/>
              </w:rPr>
            </w:pPr>
            <w:r w:rsidRPr="00AB0EDA">
              <w:rPr>
                <w:rFonts w:ascii="Arial" w:hAnsi="Arial" w:cs="Arial"/>
                <w:b/>
                <w:lang w:val="es-ES_tradnl"/>
              </w:rPr>
              <w:t>TOTAL REZAGO PRESUPUESTAL CONSTITUIDO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6BEFEF90" w14:textId="77777777" w:rsidR="007E2F9F" w:rsidRPr="00AB0EDA" w:rsidRDefault="007E2F9F" w:rsidP="006548F8">
            <w:pPr>
              <w:tabs>
                <w:tab w:val="left" w:pos="875"/>
              </w:tabs>
              <w:jc w:val="right"/>
              <w:rPr>
                <w:rFonts w:ascii="Arial" w:hAnsi="Arial" w:cs="Arial"/>
                <w:b/>
                <w:bCs/>
                <w:sz w:val="16"/>
                <w:szCs w:val="16"/>
                <w:u w:val="single"/>
              </w:rPr>
            </w:pPr>
            <w:r w:rsidRPr="00AB0EDA">
              <w:rPr>
                <w:rFonts w:ascii="Arial" w:hAnsi="Arial" w:cs="Arial"/>
                <w:b/>
                <w:bCs/>
                <w:color w:val="000000"/>
                <w:sz w:val="16"/>
                <w:szCs w:val="16"/>
              </w:rPr>
              <w:t xml:space="preserve">63.539.155,00 </w:t>
            </w:r>
          </w:p>
        </w:tc>
      </w:tr>
    </w:tbl>
    <w:p w14:paraId="489B7172" w14:textId="77777777" w:rsidR="007E2F9F" w:rsidRDefault="007E2F9F" w:rsidP="007E2F9F">
      <w:pPr>
        <w:rPr>
          <w:rFonts w:ascii="Arial" w:hAnsi="Arial" w:cs="Arial"/>
          <w:lang w:val="es-MX"/>
        </w:rPr>
      </w:pPr>
    </w:p>
    <w:p w14:paraId="0E5C094B" w14:textId="77777777" w:rsidR="007E2F9F" w:rsidRPr="00057F2B" w:rsidRDefault="007E2F9F" w:rsidP="00143581">
      <w:pPr>
        <w:ind w:left="-284"/>
        <w:jc w:val="both"/>
        <w:rPr>
          <w:rFonts w:ascii="Arial" w:hAnsi="Arial" w:cs="Arial"/>
          <w:b/>
          <w:sz w:val="28"/>
          <w:szCs w:val="28"/>
          <w:lang w:val="es-MX"/>
        </w:rPr>
      </w:pPr>
      <w:r w:rsidRPr="00057F2B">
        <w:rPr>
          <w:rFonts w:ascii="Arial" w:hAnsi="Arial" w:cs="Arial"/>
          <w:b/>
          <w:sz w:val="28"/>
          <w:szCs w:val="28"/>
          <w:lang w:val="es-MX"/>
        </w:rPr>
        <w:t xml:space="preserve">332.- MINISTERIO DE RELACIONES EXTERIORES. </w:t>
      </w:r>
    </w:p>
    <w:p w14:paraId="7BDD44C7" w14:textId="77777777" w:rsidR="007E2F9F" w:rsidRDefault="007E2F9F" w:rsidP="007E2F9F">
      <w:pPr>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EA0982" w14:paraId="1DE0A8EB" w14:textId="77777777" w:rsidTr="00143581">
        <w:tc>
          <w:tcPr>
            <w:tcW w:w="8789" w:type="dxa"/>
          </w:tcPr>
          <w:p w14:paraId="72A491E2" w14:textId="77777777" w:rsidR="007E2F9F" w:rsidRPr="00EA0982" w:rsidRDefault="007E2F9F" w:rsidP="006548F8">
            <w:pPr>
              <w:tabs>
                <w:tab w:val="left" w:pos="875"/>
              </w:tabs>
              <w:ind w:right="157"/>
              <w:rPr>
                <w:rFonts w:ascii="Arial" w:hAnsi="Arial" w:cs="Arial"/>
                <w:sz w:val="18"/>
                <w:szCs w:val="18"/>
              </w:rPr>
            </w:pPr>
            <w:r w:rsidRPr="00EA0982">
              <w:rPr>
                <w:rFonts w:ascii="Arial" w:hAnsi="Arial" w:cs="Arial"/>
                <w:lang w:val="es-ES_tradnl"/>
              </w:rPr>
              <w:t>Reservas presupuestales constituidas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2E7D743A" w14:textId="77777777" w:rsidR="007E2F9F" w:rsidRPr="00EA0982" w:rsidRDefault="007E2F9F" w:rsidP="006548F8">
            <w:pPr>
              <w:tabs>
                <w:tab w:val="left" w:pos="875"/>
              </w:tabs>
              <w:jc w:val="right"/>
              <w:rPr>
                <w:rFonts w:ascii="Arial" w:hAnsi="Arial" w:cs="Arial"/>
                <w:b/>
                <w:bCs/>
                <w:sz w:val="16"/>
                <w:szCs w:val="16"/>
              </w:rPr>
            </w:pPr>
            <w:r w:rsidRPr="00EA0982">
              <w:rPr>
                <w:rFonts w:ascii="Arial" w:hAnsi="Arial" w:cs="Arial"/>
                <w:b/>
                <w:bCs/>
                <w:color w:val="000000"/>
                <w:sz w:val="16"/>
                <w:szCs w:val="16"/>
              </w:rPr>
              <w:t xml:space="preserve">2.772.231,00 </w:t>
            </w:r>
          </w:p>
        </w:tc>
      </w:tr>
      <w:tr w:rsidR="007E2F9F" w:rsidRPr="00EA0982" w14:paraId="02689DEF" w14:textId="77777777" w:rsidTr="00143581">
        <w:tc>
          <w:tcPr>
            <w:tcW w:w="8789" w:type="dxa"/>
          </w:tcPr>
          <w:p w14:paraId="4EBCFCA9" w14:textId="77777777" w:rsidR="007E2F9F" w:rsidRPr="00EA0982" w:rsidRDefault="007E2F9F" w:rsidP="006548F8">
            <w:pPr>
              <w:tabs>
                <w:tab w:val="left" w:pos="875"/>
              </w:tabs>
              <w:ind w:right="157"/>
              <w:rPr>
                <w:rFonts w:ascii="Arial" w:hAnsi="Arial" w:cs="Arial"/>
                <w:sz w:val="18"/>
                <w:szCs w:val="18"/>
              </w:rPr>
            </w:pPr>
            <w:r w:rsidRPr="00EA0982">
              <w:rPr>
                <w:rFonts w:ascii="Arial" w:hAnsi="Arial" w:cs="Arial"/>
                <w:lang w:val="es-ES_tradnl"/>
              </w:rPr>
              <w:t>Cuentas por pagar constituidas a 31 de diciembre de 2024</w:t>
            </w:r>
          </w:p>
        </w:tc>
        <w:tc>
          <w:tcPr>
            <w:tcW w:w="1560" w:type="dxa"/>
            <w:tcBorders>
              <w:top w:val="nil"/>
              <w:left w:val="single" w:sz="8" w:space="0" w:color="auto"/>
              <w:bottom w:val="nil"/>
              <w:right w:val="single" w:sz="8" w:space="0" w:color="auto"/>
            </w:tcBorders>
            <w:shd w:val="clear" w:color="auto" w:fill="auto"/>
            <w:vAlign w:val="bottom"/>
          </w:tcPr>
          <w:p w14:paraId="4335CF90" w14:textId="77777777" w:rsidR="007E2F9F" w:rsidRPr="00EA0982" w:rsidRDefault="007E2F9F" w:rsidP="006548F8">
            <w:pPr>
              <w:tabs>
                <w:tab w:val="left" w:pos="875"/>
              </w:tabs>
              <w:jc w:val="right"/>
              <w:rPr>
                <w:rFonts w:ascii="Arial" w:hAnsi="Arial" w:cs="Arial"/>
                <w:b/>
                <w:bCs/>
                <w:sz w:val="16"/>
                <w:szCs w:val="16"/>
              </w:rPr>
            </w:pPr>
            <w:r w:rsidRPr="00EA0982">
              <w:rPr>
                <w:rFonts w:ascii="Arial" w:hAnsi="Arial" w:cs="Arial"/>
                <w:b/>
                <w:bCs/>
                <w:sz w:val="16"/>
                <w:szCs w:val="16"/>
              </w:rPr>
              <w:t xml:space="preserve">2.472.303,00 </w:t>
            </w:r>
          </w:p>
        </w:tc>
      </w:tr>
      <w:tr w:rsidR="007E2F9F" w:rsidRPr="00EA0982" w14:paraId="397277A4" w14:textId="77777777" w:rsidTr="00143581">
        <w:tc>
          <w:tcPr>
            <w:tcW w:w="8789" w:type="dxa"/>
          </w:tcPr>
          <w:p w14:paraId="027F8C68" w14:textId="77777777" w:rsidR="007E2F9F" w:rsidRPr="00EA0982" w:rsidRDefault="007E2F9F" w:rsidP="006548F8">
            <w:pPr>
              <w:tabs>
                <w:tab w:val="left" w:pos="875"/>
              </w:tabs>
              <w:ind w:right="157"/>
              <w:rPr>
                <w:rFonts w:ascii="Arial" w:hAnsi="Arial" w:cs="Arial"/>
                <w:sz w:val="18"/>
                <w:szCs w:val="18"/>
              </w:rPr>
            </w:pPr>
            <w:r w:rsidRPr="00EA0982">
              <w:rPr>
                <w:rFonts w:ascii="Arial" w:hAnsi="Arial" w:cs="Arial"/>
                <w:b/>
                <w:lang w:val="es-ES_tradnl"/>
              </w:rPr>
              <w:t>TOTAL, REZAGO PRESUPUESTAL CONSTITUIDO A 31 DE DICIEMBRE DE 2024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tcPr>
          <w:p w14:paraId="723A1632" w14:textId="77777777" w:rsidR="007E2F9F" w:rsidRPr="00EA0982" w:rsidRDefault="007E2F9F" w:rsidP="006548F8">
            <w:pPr>
              <w:tabs>
                <w:tab w:val="left" w:pos="875"/>
              </w:tabs>
              <w:jc w:val="right"/>
              <w:rPr>
                <w:rFonts w:ascii="Arial" w:hAnsi="Arial" w:cs="Arial"/>
                <w:b/>
                <w:bCs/>
                <w:sz w:val="16"/>
                <w:szCs w:val="16"/>
                <w:u w:val="single"/>
              </w:rPr>
            </w:pPr>
            <w:r w:rsidRPr="00EA0982">
              <w:rPr>
                <w:rFonts w:ascii="Arial" w:hAnsi="Arial" w:cs="Arial"/>
                <w:b/>
                <w:bCs/>
                <w:color w:val="000000"/>
                <w:sz w:val="16"/>
                <w:szCs w:val="16"/>
              </w:rPr>
              <w:t xml:space="preserve">5.244.534,00 </w:t>
            </w:r>
          </w:p>
        </w:tc>
      </w:tr>
    </w:tbl>
    <w:p w14:paraId="7764AE1C" w14:textId="77777777" w:rsidR="007E2F9F" w:rsidRDefault="007E2F9F" w:rsidP="007E2F9F">
      <w:pPr>
        <w:rPr>
          <w:rFonts w:ascii="Arial" w:hAnsi="Arial" w:cs="Arial"/>
          <w:lang w:val="es-MX"/>
        </w:rPr>
      </w:pPr>
    </w:p>
    <w:p w14:paraId="6C7858B6" w14:textId="77777777" w:rsidR="007E2F9F" w:rsidRPr="00581DF9" w:rsidRDefault="007E2F9F" w:rsidP="00143581">
      <w:pPr>
        <w:ind w:left="-284"/>
        <w:jc w:val="both"/>
        <w:rPr>
          <w:rFonts w:ascii="Arial" w:hAnsi="Arial" w:cs="Arial"/>
          <w:b/>
          <w:sz w:val="28"/>
          <w:szCs w:val="28"/>
          <w:lang w:val="es-MX"/>
        </w:rPr>
      </w:pPr>
      <w:r w:rsidRPr="00581DF9">
        <w:rPr>
          <w:rFonts w:ascii="Arial" w:hAnsi="Arial" w:cs="Arial"/>
          <w:b/>
          <w:sz w:val="28"/>
          <w:szCs w:val="28"/>
          <w:lang w:val="es-MX"/>
        </w:rPr>
        <w:t>333.- FONDO ROTATORIO DEL MINISTERIO DE RELACIONES EXTERIORES.</w:t>
      </w:r>
    </w:p>
    <w:p w14:paraId="5FF037B9" w14:textId="77777777" w:rsidR="007E2F9F" w:rsidRDefault="007E2F9F" w:rsidP="007E2F9F">
      <w:pPr>
        <w:rPr>
          <w:rFonts w:ascii="Arial" w:hAnsi="Arial" w:cs="Arial"/>
          <w:lang w:val="es-MX"/>
        </w:rPr>
      </w:pPr>
    </w:p>
    <w:tbl>
      <w:tblPr>
        <w:tblStyle w:val="Tablaconcuadrcula"/>
        <w:tblW w:w="10391" w:type="dxa"/>
        <w:jc w:val="center"/>
        <w:tblLook w:val="04A0" w:firstRow="1" w:lastRow="0" w:firstColumn="1" w:lastColumn="0" w:noHBand="0" w:noVBand="1"/>
      </w:tblPr>
      <w:tblGrid>
        <w:gridCol w:w="8931"/>
        <w:gridCol w:w="1460"/>
      </w:tblGrid>
      <w:tr w:rsidR="007E2F9F" w:rsidRPr="00244AFE" w14:paraId="682F5B3F" w14:textId="77777777" w:rsidTr="00DB2CD5">
        <w:trPr>
          <w:jc w:val="center"/>
        </w:trPr>
        <w:tc>
          <w:tcPr>
            <w:tcW w:w="8931" w:type="dxa"/>
          </w:tcPr>
          <w:p w14:paraId="1D96ACEB"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Reservas presupuestales constituidas a 31 de diciembre de 202</w:t>
            </w:r>
            <w:r>
              <w:rPr>
                <w:rFonts w:ascii="Arial" w:hAnsi="Arial" w:cs="Arial"/>
                <w:lang w:val="es-ES_tradnl"/>
              </w:rPr>
              <w:t>4</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bottom"/>
          </w:tcPr>
          <w:p w14:paraId="38747EC0" w14:textId="77777777" w:rsidR="007E2F9F" w:rsidRPr="00244AFE" w:rsidRDefault="007E2F9F" w:rsidP="006548F8">
            <w:pPr>
              <w:jc w:val="right"/>
              <w:rPr>
                <w:rFonts w:ascii="Arial" w:hAnsi="Arial" w:cs="Arial"/>
                <w:color w:val="000000"/>
                <w:sz w:val="16"/>
                <w:szCs w:val="16"/>
              </w:rPr>
            </w:pPr>
            <w:r w:rsidRPr="00244AFE">
              <w:rPr>
                <w:rFonts w:ascii="Arial" w:hAnsi="Arial" w:cs="Arial"/>
                <w:color w:val="000000"/>
                <w:sz w:val="16"/>
                <w:szCs w:val="16"/>
              </w:rPr>
              <w:t xml:space="preserve">15.315.862 </w:t>
            </w:r>
          </w:p>
        </w:tc>
      </w:tr>
      <w:tr w:rsidR="007E2F9F" w:rsidRPr="00244AFE" w14:paraId="6EC9F3A4" w14:textId="77777777" w:rsidTr="00DB2CD5">
        <w:trPr>
          <w:jc w:val="center"/>
        </w:trPr>
        <w:tc>
          <w:tcPr>
            <w:tcW w:w="8931" w:type="dxa"/>
          </w:tcPr>
          <w:p w14:paraId="7BCC755F" w14:textId="282E7285" w:rsidR="007E2F9F" w:rsidRPr="001250D0" w:rsidRDefault="00693758" w:rsidP="006548F8">
            <w:pPr>
              <w:tabs>
                <w:tab w:val="left" w:pos="875"/>
              </w:tabs>
              <w:ind w:right="157"/>
              <w:rPr>
                <w:rFonts w:ascii="Arial" w:hAnsi="Arial" w:cs="Arial"/>
                <w:lang w:val="es-ES_tradnl"/>
              </w:rPr>
            </w:pPr>
            <w:r>
              <w:rPr>
                <w:rFonts w:ascii="Arial" w:hAnsi="Arial" w:cs="Arial"/>
                <w:lang w:val="es-ES_tradnl"/>
              </w:rPr>
              <w:t>Reservas inducidas</w:t>
            </w:r>
            <w:r w:rsidR="007E2F9F">
              <w:rPr>
                <w:rFonts w:ascii="Arial" w:hAnsi="Arial" w:cs="Arial"/>
                <w:lang w:val="es-ES_tradnl"/>
              </w:rPr>
              <w:t xml:space="preserve"> por falta de PAC a 31 de diciembre de 2024</w:t>
            </w:r>
          </w:p>
        </w:tc>
        <w:tc>
          <w:tcPr>
            <w:tcW w:w="1460" w:type="dxa"/>
            <w:tcBorders>
              <w:top w:val="nil"/>
              <w:left w:val="single" w:sz="8" w:space="0" w:color="auto"/>
              <w:bottom w:val="single" w:sz="8" w:space="0" w:color="auto"/>
              <w:right w:val="single" w:sz="8" w:space="0" w:color="auto"/>
            </w:tcBorders>
            <w:shd w:val="clear" w:color="auto" w:fill="auto"/>
            <w:vAlign w:val="bottom"/>
          </w:tcPr>
          <w:p w14:paraId="6DBFB685" w14:textId="77777777" w:rsidR="007E2F9F" w:rsidRPr="00244AFE" w:rsidRDefault="007E2F9F" w:rsidP="006548F8">
            <w:pPr>
              <w:jc w:val="right"/>
              <w:rPr>
                <w:rFonts w:ascii="Arial" w:hAnsi="Arial" w:cs="Arial"/>
                <w:color w:val="000000"/>
                <w:sz w:val="16"/>
                <w:szCs w:val="16"/>
              </w:rPr>
            </w:pPr>
            <w:r w:rsidRPr="00244AFE">
              <w:rPr>
                <w:rFonts w:ascii="Arial" w:hAnsi="Arial" w:cs="Arial"/>
                <w:color w:val="000000"/>
                <w:sz w:val="16"/>
                <w:szCs w:val="16"/>
              </w:rPr>
              <w:t xml:space="preserve">42.169.871 </w:t>
            </w:r>
          </w:p>
        </w:tc>
      </w:tr>
      <w:tr w:rsidR="007E2F9F" w:rsidRPr="00244AFE" w14:paraId="0ED7A8A5" w14:textId="77777777" w:rsidTr="00DB2CD5">
        <w:trPr>
          <w:jc w:val="center"/>
        </w:trPr>
        <w:tc>
          <w:tcPr>
            <w:tcW w:w="8931" w:type="dxa"/>
          </w:tcPr>
          <w:p w14:paraId="5494C700" w14:textId="77777777" w:rsidR="007E2F9F" w:rsidRPr="001250D0" w:rsidRDefault="007E2F9F" w:rsidP="006548F8">
            <w:pPr>
              <w:tabs>
                <w:tab w:val="left" w:pos="875"/>
              </w:tabs>
              <w:ind w:right="157"/>
              <w:rPr>
                <w:rFonts w:ascii="Arial" w:hAnsi="Arial" w:cs="Arial"/>
                <w:sz w:val="18"/>
                <w:szCs w:val="18"/>
              </w:rPr>
            </w:pPr>
            <w:r w:rsidRPr="001250D0">
              <w:rPr>
                <w:rFonts w:ascii="Arial" w:hAnsi="Arial" w:cs="Arial"/>
                <w:lang w:val="es-ES_tradnl"/>
              </w:rPr>
              <w:t>Cuentas por pagar constituidas a 31 de diciembre de 202</w:t>
            </w:r>
            <w:r>
              <w:rPr>
                <w:rFonts w:ascii="Arial" w:hAnsi="Arial" w:cs="Arial"/>
                <w:lang w:val="es-ES_tradnl"/>
              </w:rPr>
              <w:t>4</w:t>
            </w:r>
          </w:p>
        </w:tc>
        <w:tc>
          <w:tcPr>
            <w:tcW w:w="1460" w:type="dxa"/>
            <w:tcBorders>
              <w:top w:val="nil"/>
              <w:left w:val="single" w:sz="8" w:space="0" w:color="auto"/>
              <w:bottom w:val="nil"/>
              <w:right w:val="single" w:sz="8" w:space="0" w:color="auto"/>
            </w:tcBorders>
            <w:shd w:val="clear" w:color="auto" w:fill="auto"/>
            <w:vAlign w:val="bottom"/>
          </w:tcPr>
          <w:p w14:paraId="6AA31E8B" w14:textId="77777777" w:rsidR="007E2F9F" w:rsidRPr="00244AFE" w:rsidRDefault="007E2F9F" w:rsidP="006548F8">
            <w:pPr>
              <w:jc w:val="right"/>
              <w:rPr>
                <w:rFonts w:ascii="Arial" w:hAnsi="Arial" w:cs="Arial"/>
                <w:sz w:val="16"/>
                <w:szCs w:val="16"/>
              </w:rPr>
            </w:pPr>
            <w:r w:rsidRPr="00244AFE">
              <w:rPr>
                <w:rFonts w:ascii="Arial" w:hAnsi="Arial" w:cs="Arial"/>
                <w:sz w:val="16"/>
                <w:szCs w:val="16"/>
              </w:rPr>
              <w:t xml:space="preserve">17.065.681 </w:t>
            </w:r>
          </w:p>
        </w:tc>
      </w:tr>
      <w:tr w:rsidR="007E2F9F" w:rsidRPr="00244AFE" w14:paraId="54F1383B" w14:textId="77777777" w:rsidTr="00DB2CD5">
        <w:trPr>
          <w:jc w:val="center"/>
        </w:trPr>
        <w:tc>
          <w:tcPr>
            <w:tcW w:w="8931" w:type="dxa"/>
          </w:tcPr>
          <w:p w14:paraId="026D75DF" w14:textId="77777777" w:rsidR="007E2F9F" w:rsidRPr="001250D0" w:rsidRDefault="007E2F9F" w:rsidP="006548F8">
            <w:pPr>
              <w:tabs>
                <w:tab w:val="left" w:pos="875"/>
              </w:tabs>
              <w:ind w:right="157"/>
              <w:jc w:val="both"/>
              <w:rPr>
                <w:rFonts w:ascii="Arial" w:hAnsi="Arial" w:cs="Arial"/>
                <w:sz w:val="18"/>
                <w:szCs w:val="18"/>
              </w:rPr>
            </w:pPr>
            <w:r w:rsidRPr="001250D0">
              <w:rPr>
                <w:rFonts w:ascii="Arial" w:hAnsi="Arial" w:cs="Arial"/>
                <w:b/>
                <w:lang w:val="es-ES_tradnl"/>
              </w:rPr>
              <w:t>TOTAL REZAGO PRESUPUESTAL CONSTITUIDO A 31 DE DICIEMBRE DE 202</w:t>
            </w:r>
            <w:r>
              <w:rPr>
                <w:rFonts w:ascii="Arial" w:hAnsi="Arial" w:cs="Arial"/>
                <w:b/>
                <w:lang w:val="es-ES_tradnl"/>
              </w:rPr>
              <w:t>4</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bottom"/>
          </w:tcPr>
          <w:p w14:paraId="3C4F9AC4" w14:textId="77777777" w:rsidR="007E2F9F" w:rsidRPr="00244AFE" w:rsidRDefault="007E2F9F" w:rsidP="006548F8">
            <w:pPr>
              <w:jc w:val="right"/>
              <w:rPr>
                <w:rFonts w:ascii="Arial" w:hAnsi="Arial" w:cs="Arial"/>
                <w:b/>
                <w:bCs/>
                <w:color w:val="000000"/>
                <w:sz w:val="16"/>
                <w:szCs w:val="16"/>
              </w:rPr>
            </w:pPr>
            <w:r w:rsidRPr="00244AFE">
              <w:rPr>
                <w:rFonts w:ascii="Arial" w:hAnsi="Arial" w:cs="Arial"/>
                <w:b/>
                <w:bCs/>
                <w:color w:val="000000"/>
                <w:sz w:val="16"/>
                <w:szCs w:val="16"/>
              </w:rPr>
              <w:t xml:space="preserve">74.551.414 </w:t>
            </w:r>
          </w:p>
        </w:tc>
      </w:tr>
    </w:tbl>
    <w:p w14:paraId="450716E9" w14:textId="77777777" w:rsidR="007E2F9F" w:rsidRDefault="007E2F9F" w:rsidP="007E2F9F">
      <w:pPr>
        <w:rPr>
          <w:rFonts w:ascii="Arial" w:hAnsi="Arial" w:cs="Arial"/>
          <w:lang w:val="es-MX"/>
        </w:rPr>
      </w:pPr>
    </w:p>
    <w:p w14:paraId="3C06BC91" w14:textId="77777777" w:rsidR="007E2F9F" w:rsidRPr="000A42AE" w:rsidRDefault="007E2F9F" w:rsidP="00DB2CD5">
      <w:pPr>
        <w:ind w:left="-284" w:right="-93"/>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697CCAEF" w14:textId="77777777" w:rsidR="007E2F9F" w:rsidRDefault="007E2F9F" w:rsidP="007E2F9F">
      <w:pPr>
        <w:rPr>
          <w:rFonts w:ascii="Arial" w:hAnsi="Arial" w:cs="Arial"/>
          <w:b/>
          <w:sz w:val="28"/>
          <w:szCs w:val="28"/>
          <w:lang w:val="es-MX"/>
        </w:rPr>
      </w:pPr>
    </w:p>
    <w:tbl>
      <w:tblPr>
        <w:tblStyle w:val="Tablaconcuadrcula"/>
        <w:tblW w:w="10391" w:type="dxa"/>
        <w:jc w:val="center"/>
        <w:tblLook w:val="04A0" w:firstRow="1" w:lastRow="0" w:firstColumn="1" w:lastColumn="0" w:noHBand="0" w:noVBand="1"/>
      </w:tblPr>
      <w:tblGrid>
        <w:gridCol w:w="8800"/>
        <w:gridCol w:w="1591"/>
      </w:tblGrid>
      <w:tr w:rsidR="007E2F9F" w:rsidRPr="00023933" w14:paraId="7BF683DA" w14:textId="77777777" w:rsidTr="00DB2CD5">
        <w:trPr>
          <w:jc w:val="center"/>
        </w:trPr>
        <w:tc>
          <w:tcPr>
            <w:tcW w:w="8800" w:type="dxa"/>
          </w:tcPr>
          <w:p w14:paraId="73821EDE" w14:textId="77777777" w:rsidR="007E2F9F" w:rsidRPr="00023933" w:rsidRDefault="007E2F9F" w:rsidP="006548F8">
            <w:pPr>
              <w:tabs>
                <w:tab w:val="left" w:pos="875"/>
              </w:tabs>
              <w:ind w:right="157"/>
              <w:rPr>
                <w:rFonts w:ascii="Arial" w:hAnsi="Arial" w:cs="Arial"/>
                <w:sz w:val="18"/>
                <w:szCs w:val="18"/>
              </w:rPr>
            </w:pPr>
            <w:r w:rsidRPr="00023933">
              <w:rPr>
                <w:rFonts w:ascii="Arial" w:hAnsi="Arial" w:cs="Arial"/>
                <w:lang w:val="es-ES_tradnl"/>
              </w:rPr>
              <w:t>Reservas presupuestales constituidas a 31 de diciembre de 2024</w:t>
            </w:r>
          </w:p>
        </w:tc>
        <w:tc>
          <w:tcPr>
            <w:tcW w:w="1591" w:type="dxa"/>
            <w:tcBorders>
              <w:top w:val="single" w:sz="8" w:space="0" w:color="auto"/>
              <w:left w:val="single" w:sz="8" w:space="0" w:color="auto"/>
              <w:bottom w:val="single" w:sz="8" w:space="0" w:color="auto"/>
              <w:right w:val="single" w:sz="8" w:space="0" w:color="auto"/>
            </w:tcBorders>
            <w:shd w:val="clear" w:color="auto" w:fill="auto"/>
            <w:vAlign w:val="bottom"/>
          </w:tcPr>
          <w:p w14:paraId="61E72800" w14:textId="77777777" w:rsidR="007E2F9F" w:rsidRPr="00023933" w:rsidRDefault="007E2F9F" w:rsidP="006548F8">
            <w:pPr>
              <w:jc w:val="right"/>
              <w:rPr>
                <w:rFonts w:ascii="Arial" w:hAnsi="Arial" w:cs="Arial"/>
                <w:color w:val="000000"/>
                <w:sz w:val="16"/>
                <w:szCs w:val="16"/>
              </w:rPr>
            </w:pPr>
            <w:r w:rsidRPr="00023933">
              <w:rPr>
                <w:rFonts w:ascii="Arial" w:hAnsi="Arial" w:cs="Arial"/>
                <w:color w:val="000000"/>
                <w:sz w:val="16"/>
                <w:szCs w:val="16"/>
              </w:rPr>
              <w:t xml:space="preserve">14.504.812,22 </w:t>
            </w:r>
          </w:p>
        </w:tc>
      </w:tr>
      <w:tr w:rsidR="007E2F9F" w:rsidRPr="00023933" w14:paraId="4FF858DB" w14:textId="77777777" w:rsidTr="00DB2CD5">
        <w:trPr>
          <w:jc w:val="center"/>
        </w:trPr>
        <w:tc>
          <w:tcPr>
            <w:tcW w:w="8800" w:type="dxa"/>
          </w:tcPr>
          <w:p w14:paraId="3B2D4C10" w14:textId="77777777" w:rsidR="007E2F9F" w:rsidRPr="00023933" w:rsidRDefault="007E2F9F" w:rsidP="006548F8">
            <w:pPr>
              <w:tabs>
                <w:tab w:val="left" w:pos="875"/>
              </w:tabs>
              <w:ind w:right="157"/>
              <w:rPr>
                <w:rFonts w:ascii="Arial" w:hAnsi="Arial" w:cs="Arial"/>
                <w:sz w:val="18"/>
                <w:szCs w:val="18"/>
              </w:rPr>
            </w:pPr>
            <w:r w:rsidRPr="00023933">
              <w:rPr>
                <w:rFonts w:ascii="Arial" w:hAnsi="Arial" w:cs="Arial"/>
                <w:lang w:val="es-ES_tradnl"/>
              </w:rPr>
              <w:t>Cuentas por pagar constituidas a 31 de diciembre de 2024</w:t>
            </w:r>
          </w:p>
        </w:tc>
        <w:tc>
          <w:tcPr>
            <w:tcW w:w="1591" w:type="dxa"/>
            <w:tcBorders>
              <w:top w:val="nil"/>
              <w:left w:val="single" w:sz="8" w:space="0" w:color="auto"/>
              <w:bottom w:val="nil"/>
              <w:right w:val="single" w:sz="8" w:space="0" w:color="auto"/>
            </w:tcBorders>
            <w:shd w:val="clear" w:color="auto" w:fill="auto"/>
            <w:vAlign w:val="bottom"/>
          </w:tcPr>
          <w:p w14:paraId="53CBE40B" w14:textId="77777777" w:rsidR="007E2F9F" w:rsidRPr="00023933" w:rsidRDefault="007E2F9F" w:rsidP="006548F8">
            <w:pPr>
              <w:jc w:val="right"/>
              <w:rPr>
                <w:rFonts w:ascii="Arial" w:hAnsi="Arial" w:cs="Arial"/>
                <w:sz w:val="16"/>
                <w:szCs w:val="16"/>
              </w:rPr>
            </w:pPr>
            <w:r w:rsidRPr="00023933">
              <w:rPr>
                <w:rFonts w:ascii="Arial" w:hAnsi="Arial" w:cs="Arial"/>
                <w:sz w:val="16"/>
                <w:szCs w:val="16"/>
              </w:rPr>
              <w:t xml:space="preserve">2.761.182,61 </w:t>
            </w:r>
          </w:p>
        </w:tc>
      </w:tr>
      <w:tr w:rsidR="007E2F9F" w:rsidRPr="00023933" w14:paraId="65E10C5D" w14:textId="77777777" w:rsidTr="00DB2CD5">
        <w:trPr>
          <w:jc w:val="center"/>
        </w:trPr>
        <w:tc>
          <w:tcPr>
            <w:tcW w:w="8800" w:type="dxa"/>
          </w:tcPr>
          <w:p w14:paraId="0575A1C1" w14:textId="77777777" w:rsidR="007E2F9F" w:rsidRPr="00023933" w:rsidRDefault="007E2F9F" w:rsidP="006548F8">
            <w:pPr>
              <w:tabs>
                <w:tab w:val="left" w:pos="875"/>
              </w:tabs>
              <w:ind w:right="157"/>
              <w:jc w:val="both"/>
              <w:rPr>
                <w:rFonts w:ascii="Arial" w:hAnsi="Arial" w:cs="Arial"/>
                <w:sz w:val="18"/>
                <w:szCs w:val="18"/>
              </w:rPr>
            </w:pPr>
            <w:r w:rsidRPr="00023933">
              <w:rPr>
                <w:rFonts w:ascii="Arial" w:hAnsi="Arial" w:cs="Arial"/>
                <w:b/>
                <w:lang w:val="es-ES_tradnl"/>
              </w:rPr>
              <w:t>TOTAL REZAGO PRESUPUESTAL CONSTITUIDO A 31 DE DICIEMBRE DE 2024</w:t>
            </w:r>
          </w:p>
        </w:tc>
        <w:tc>
          <w:tcPr>
            <w:tcW w:w="1591" w:type="dxa"/>
            <w:tcBorders>
              <w:top w:val="single" w:sz="8" w:space="0" w:color="auto"/>
              <w:left w:val="single" w:sz="8" w:space="0" w:color="auto"/>
              <w:bottom w:val="single" w:sz="8" w:space="0" w:color="auto"/>
              <w:right w:val="single" w:sz="8" w:space="0" w:color="auto"/>
            </w:tcBorders>
            <w:shd w:val="clear" w:color="auto" w:fill="auto"/>
            <w:vAlign w:val="bottom"/>
          </w:tcPr>
          <w:p w14:paraId="0CCB1493" w14:textId="77777777" w:rsidR="007E2F9F" w:rsidRPr="00023933" w:rsidRDefault="007E2F9F" w:rsidP="006548F8">
            <w:pPr>
              <w:jc w:val="right"/>
              <w:rPr>
                <w:rFonts w:ascii="Arial" w:hAnsi="Arial" w:cs="Arial"/>
                <w:b/>
                <w:bCs/>
                <w:color w:val="000000"/>
                <w:sz w:val="16"/>
                <w:szCs w:val="16"/>
              </w:rPr>
            </w:pPr>
            <w:r w:rsidRPr="00023933">
              <w:rPr>
                <w:rFonts w:ascii="Arial" w:hAnsi="Arial" w:cs="Arial"/>
                <w:b/>
                <w:bCs/>
                <w:color w:val="000000"/>
                <w:sz w:val="16"/>
                <w:szCs w:val="16"/>
              </w:rPr>
              <w:t xml:space="preserve">17.265.994,83 </w:t>
            </w:r>
          </w:p>
        </w:tc>
      </w:tr>
    </w:tbl>
    <w:p w14:paraId="29B2F0AB" w14:textId="77777777" w:rsidR="008E2438" w:rsidRDefault="008E2438" w:rsidP="00DB2CD5">
      <w:pPr>
        <w:pStyle w:val="Prrafodelista"/>
        <w:ind w:left="-284" w:right="-93"/>
        <w:jc w:val="both"/>
        <w:rPr>
          <w:rFonts w:ascii="Arial" w:hAnsi="Arial" w:cs="Arial"/>
          <w:b/>
          <w:sz w:val="28"/>
          <w:szCs w:val="28"/>
          <w:lang w:val="es-MX"/>
        </w:rPr>
      </w:pPr>
    </w:p>
    <w:p w14:paraId="05A43823" w14:textId="01FEDEB8" w:rsidR="007E2F9F" w:rsidRPr="005179BE" w:rsidRDefault="007E2F9F" w:rsidP="00DB2CD5">
      <w:pPr>
        <w:pStyle w:val="Prrafodelista"/>
        <w:ind w:left="-284" w:right="-93"/>
        <w:jc w:val="both"/>
        <w:rPr>
          <w:rFonts w:ascii="Arial" w:hAnsi="Arial" w:cs="Arial"/>
          <w:b/>
          <w:sz w:val="28"/>
          <w:szCs w:val="28"/>
          <w:lang w:val="es-MX"/>
        </w:rPr>
      </w:pPr>
      <w:r w:rsidRPr="005179BE">
        <w:rPr>
          <w:rFonts w:ascii="Arial" w:hAnsi="Arial" w:cs="Arial"/>
          <w:b/>
          <w:sz w:val="28"/>
          <w:szCs w:val="28"/>
          <w:lang w:val="es-MX"/>
        </w:rPr>
        <w:t>335.- FONDO DE PASIVO SOCIAL FERROCARRILES NACIONALES DE COLOMBIA.</w:t>
      </w:r>
    </w:p>
    <w:p w14:paraId="080A3CDB" w14:textId="77777777" w:rsidR="007E2F9F" w:rsidRDefault="007E2F9F" w:rsidP="007E2F9F">
      <w:pPr>
        <w:rPr>
          <w:rFonts w:ascii="Arial" w:hAnsi="Arial" w:cs="Arial"/>
          <w:b/>
          <w:sz w:val="28"/>
          <w:szCs w:val="28"/>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F34E36" w14:paraId="2FAA3277" w14:textId="77777777" w:rsidTr="00DB2CD5">
        <w:tc>
          <w:tcPr>
            <w:tcW w:w="8789" w:type="dxa"/>
          </w:tcPr>
          <w:p w14:paraId="0BCD627F" w14:textId="77777777" w:rsidR="007E2F9F" w:rsidRPr="00F34E36" w:rsidRDefault="007E2F9F" w:rsidP="006548F8">
            <w:pPr>
              <w:tabs>
                <w:tab w:val="left" w:pos="875"/>
              </w:tabs>
              <w:ind w:right="157"/>
              <w:rPr>
                <w:rFonts w:ascii="Arial" w:hAnsi="Arial" w:cs="Arial"/>
                <w:sz w:val="18"/>
                <w:szCs w:val="18"/>
              </w:rPr>
            </w:pPr>
            <w:r w:rsidRPr="00F34E36">
              <w:rPr>
                <w:rFonts w:ascii="Arial" w:hAnsi="Arial" w:cs="Arial"/>
                <w:lang w:val="es-ES_tradnl"/>
              </w:rPr>
              <w:t>Reservas presupuestales constituidas a 31 de diciembre de 2024</w:t>
            </w:r>
          </w:p>
        </w:tc>
        <w:tc>
          <w:tcPr>
            <w:tcW w:w="1560" w:type="dxa"/>
          </w:tcPr>
          <w:p w14:paraId="614859CF" w14:textId="77777777" w:rsidR="007E2F9F" w:rsidRPr="00F34E36" w:rsidRDefault="007E2F9F" w:rsidP="006548F8">
            <w:pPr>
              <w:tabs>
                <w:tab w:val="left" w:pos="875"/>
              </w:tabs>
              <w:jc w:val="right"/>
              <w:rPr>
                <w:rFonts w:ascii="Arial" w:hAnsi="Arial" w:cs="Arial"/>
                <w:sz w:val="18"/>
                <w:szCs w:val="18"/>
              </w:rPr>
            </w:pPr>
            <w:r w:rsidRPr="00F34E36">
              <w:rPr>
                <w:rFonts w:ascii="Arial" w:hAnsi="Arial" w:cs="Arial"/>
                <w:sz w:val="18"/>
                <w:szCs w:val="18"/>
              </w:rPr>
              <w:t>56.743,7</w:t>
            </w:r>
          </w:p>
        </w:tc>
      </w:tr>
      <w:tr w:rsidR="007E2F9F" w:rsidRPr="00F34E36" w14:paraId="54237B89" w14:textId="77777777" w:rsidTr="00DB2CD5">
        <w:tc>
          <w:tcPr>
            <w:tcW w:w="8789" w:type="dxa"/>
          </w:tcPr>
          <w:p w14:paraId="2F5ED806" w14:textId="77777777" w:rsidR="007E2F9F" w:rsidRPr="00F34E36" w:rsidRDefault="007E2F9F" w:rsidP="006548F8">
            <w:pPr>
              <w:tabs>
                <w:tab w:val="left" w:pos="875"/>
              </w:tabs>
              <w:ind w:right="157"/>
              <w:rPr>
                <w:rFonts w:ascii="Arial" w:hAnsi="Arial" w:cs="Arial"/>
                <w:sz w:val="18"/>
                <w:szCs w:val="18"/>
              </w:rPr>
            </w:pPr>
            <w:r w:rsidRPr="00F34E36">
              <w:rPr>
                <w:rFonts w:ascii="Arial" w:hAnsi="Arial" w:cs="Arial"/>
                <w:lang w:val="es-ES_tradnl"/>
              </w:rPr>
              <w:lastRenderedPageBreak/>
              <w:t>Cuentas por pagar constituidas a 31 de diciembre de 2024</w:t>
            </w:r>
          </w:p>
        </w:tc>
        <w:tc>
          <w:tcPr>
            <w:tcW w:w="1560" w:type="dxa"/>
          </w:tcPr>
          <w:p w14:paraId="64921B05" w14:textId="77777777" w:rsidR="007E2F9F" w:rsidRPr="00F34E36" w:rsidRDefault="007E2F9F" w:rsidP="006548F8">
            <w:pPr>
              <w:tabs>
                <w:tab w:val="left" w:pos="875"/>
              </w:tabs>
              <w:jc w:val="right"/>
              <w:rPr>
                <w:rFonts w:ascii="Arial" w:hAnsi="Arial" w:cs="Arial"/>
                <w:sz w:val="18"/>
                <w:szCs w:val="18"/>
              </w:rPr>
            </w:pPr>
            <w:r w:rsidRPr="00F34E36">
              <w:rPr>
                <w:rFonts w:ascii="Arial" w:hAnsi="Arial" w:cs="Arial"/>
                <w:sz w:val="18"/>
                <w:szCs w:val="18"/>
              </w:rPr>
              <w:t>1.119,4</w:t>
            </w:r>
          </w:p>
        </w:tc>
      </w:tr>
      <w:tr w:rsidR="007E2F9F" w:rsidRPr="00F34E36" w14:paraId="06387A0F" w14:textId="77777777" w:rsidTr="00DB2CD5">
        <w:tc>
          <w:tcPr>
            <w:tcW w:w="8789" w:type="dxa"/>
          </w:tcPr>
          <w:p w14:paraId="7047261C" w14:textId="77777777" w:rsidR="007E2F9F" w:rsidRPr="00F34E36" w:rsidRDefault="007E2F9F" w:rsidP="006548F8">
            <w:pPr>
              <w:tabs>
                <w:tab w:val="left" w:pos="875"/>
              </w:tabs>
              <w:ind w:right="157"/>
              <w:rPr>
                <w:rFonts w:ascii="Arial" w:hAnsi="Arial" w:cs="Arial"/>
                <w:sz w:val="18"/>
                <w:szCs w:val="18"/>
              </w:rPr>
            </w:pPr>
            <w:r w:rsidRPr="00F34E36">
              <w:rPr>
                <w:rFonts w:ascii="Arial" w:hAnsi="Arial" w:cs="Arial"/>
                <w:b/>
                <w:lang w:val="es-ES_tradnl"/>
              </w:rPr>
              <w:t>TOTAL REZAGO PRESUPUESTAL CONSTITUIDO A 31 DE DICIEMBRE DE 2024</w:t>
            </w:r>
          </w:p>
        </w:tc>
        <w:tc>
          <w:tcPr>
            <w:tcW w:w="1560" w:type="dxa"/>
          </w:tcPr>
          <w:p w14:paraId="748DFD39" w14:textId="77777777" w:rsidR="007E2F9F" w:rsidRPr="00F34E36" w:rsidRDefault="007E2F9F" w:rsidP="006548F8">
            <w:pPr>
              <w:tabs>
                <w:tab w:val="left" w:pos="875"/>
              </w:tabs>
              <w:jc w:val="right"/>
              <w:rPr>
                <w:rFonts w:ascii="Arial" w:hAnsi="Arial" w:cs="Arial"/>
                <w:b/>
                <w:sz w:val="18"/>
                <w:szCs w:val="18"/>
                <w:u w:val="single"/>
              </w:rPr>
            </w:pPr>
            <w:r w:rsidRPr="00F34E36">
              <w:rPr>
                <w:rFonts w:ascii="Arial" w:hAnsi="Arial" w:cs="Arial"/>
                <w:b/>
                <w:sz w:val="18"/>
                <w:szCs w:val="18"/>
                <w:u w:val="single"/>
              </w:rPr>
              <w:t>57.863,0</w:t>
            </w:r>
          </w:p>
        </w:tc>
      </w:tr>
    </w:tbl>
    <w:p w14:paraId="3FAF38C9" w14:textId="77777777" w:rsidR="007E2F9F" w:rsidRDefault="007E2F9F" w:rsidP="007E2F9F">
      <w:pPr>
        <w:rPr>
          <w:rFonts w:ascii="Arial" w:hAnsi="Arial" w:cs="Arial"/>
          <w:lang w:val="es-MX"/>
        </w:rPr>
      </w:pPr>
    </w:p>
    <w:p w14:paraId="40225EB8" w14:textId="77777777" w:rsidR="007E2F9F" w:rsidRPr="00997514" w:rsidRDefault="007E2F9F" w:rsidP="00DB2CD5">
      <w:pPr>
        <w:ind w:left="-284"/>
        <w:jc w:val="both"/>
        <w:rPr>
          <w:rFonts w:ascii="Arial" w:hAnsi="Arial" w:cs="Arial"/>
          <w:b/>
          <w:sz w:val="28"/>
          <w:szCs w:val="28"/>
          <w:lang w:val="es-MX"/>
        </w:rPr>
      </w:pPr>
      <w:r w:rsidRPr="00997514">
        <w:rPr>
          <w:rFonts w:ascii="Arial" w:hAnsi="Arial" w:cs="Arial"/>
          <w:b/>
          <w:sz w:val="28"/>
          <w:szCs w:val="28"/>
          <w:lang w:val="es-MX"/>
        </w:rPr>
        <w:t>342.- MINISTERIO DEL TRABAJO.</w:t>
      </w:r>
    </w:p>
    <w:p w14:paraId="0198A1AC" w14:textId="77777777" w:rsidR="007E2F9F" w:rsidRDefault="007E2F9F" w:rsidP="007E2F9F">
      <w:pPr>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A879C5" w14:paraId="3E9C8509" w14:textId="77777777" w:rsidTr="00DB2CD5">
        <w:tc>
          <w:tcPr>
            <w:tcW w:w="8789" w:type="dxa"/>
          </w:tcPr>
          <w:p w14:paraId="577EFB61" w14:textId="77777777" w:rsidR="007E2F9F" w:rsidRPr="00A879C5" w:rsidRDefault="007E2F9F" w:rsidP="006548F8">
            <w:pPr>
              <w:tabs>
                <w:tab w:val="left" w:pos="875"/>
              </w:tabs>
              <w:ind w:right="157"/>
              <w:rPr>
                <w:rFonts w:ascii="Arial" w:hAnsi="Arial" w:cs="Arial"/>
                <w:sz w:val="18"/>
                <w:szCs w:val="18"/>
              </w:rPr>
            </w:pPr>
            <w:r w:rsidRPr="00A879C5">
              <w:rPr>
                <w:rFonts w:ascii="Arial" w:hAnsi="Arial" w:cs="Arial"/>
                <w:lang w:val="es-ES_tradnl"/>
              </w:rPr>
              <w:t>Reservas presupuestales constituidas a 31 de diciembre de 2024</w:t>
            </w:r>
          </w:p>
        </w:tc>
        <w:tc>
          <w:tcPr>
            <w:tcW w:w="1560" w:type="dxa"/>
          </w:tcPr>
          <w:p w14:paraId="3D7EA569" w14:textId="77777777" w:rsidR="007E2F9F" w:rsidRPr="00A879C5" w:rsidRDefault="007E2F9F" w:rsidP="006548F8">
            <w:pPr>
              <w:tabs>
                <w:tab w:val="left" w:pos="875"/>
              </w:tabs>
              <w:jc w:val="right"/>
              <w:rPr>
                <w:rFonts w:ascii="Arial" w:hAnsi="Arial" w:cs="Arial"/>
                <w:sz w:val="18"/>
                <w:szCs w:val="18"/>
              </w:rPr>
            </w:pPr>
            <w:r w:rsidRPr="00A879C5">
              <w:rPr>
                <w:rFonts w:ascii="Arial" w:hAnsi="Arial" w:cs="Arial"/>
                <w:sz w:val="18"/>
                <w:szCs w:val="18"/>
              </w:rPr>
              <w:t>3.762.432.140</w:t>
            </w:r>
          </w:p>
        </w:tc>
      </w:tr>
      <w:tr w:rsidR="007E2F9F" w:rsidRPr="00A879C5" w14:paraId="14A49941" w14:textId="77777777" w:rsidTr="00DB2CD5">
        <w:tc>
          <w:tcPr>
            <w:tcW w:w="8789" w:type="dxa"/>
          </w:tcPr>
          <w:p w14:paraId="15A88696" w14:textId="77777777" w:rsidR="007E2F9F" w:rsidRPr="00A879C5" w:rsidRDefault="007E2F9F" w:rsidP="006548F8">
            <w:pPr>
              <w:tabs>
                <w:tab w:val="left" w:pos="875"/>
              </w:tabs>
              <w:ind w:right="157"/>
              <w:rPr>
                <w:rFonts w:ascii="Arial" w:hAnsi="Arial" w:cs="Arial"/>
                <w:sz w:val="18"/>
                <w:szCs w:val="18"/>
              </w:rPr>
            </w:pPr>
            <w:r w:rsidRPr="00A879C5">
              <w:rPr>
                <w:rFonts w:ascii="Arial" w:hAnsi="Arial" w:cs="Arial"/>
                <w:lang w:val="es-ES_tradnl"/>
              </w:rPr>
              <w:t>Cuentas por pagar constituidas a 31 de diciembre de 2024</w:t>
            </w:r>
          </w:p>
        </w:tc>
        <w:tc>
          <w:tcPr>
            <w:tcW w:w="1560" w:type="dxa"/>
          </w:tcPr>
          <w:p w14:paraId="7D3FD393" w14:textId="77777777" w:rsidR="007E2F9F" w:rsidRPr="00A879C5" w:rsidRDefault="007E2F9F" w:rsidP="006548F8">
            <w:pPr>
              <w:tabs>
                <w:tab w:val="left" w:pos="875"/>
              </w:tabs>
              <w:jc w:val="right"/>
              <w:rPr>
                <w:rFonts w:ascii="Arial" w:hAnsi="Arial" w:cs="Arial"/>
                <w:sz w:val="18"/>
                <w:szCs w:val="18"/>
              </w:rPr>
            </w:pPr>
            <w:r w:rsidRPr="00A879C5">
              <w:rPr>
                <w:rFonts w:ascii="Arial" w:hAnsi="Arial" w:cs="Arial"/>
                <w:sz w:val="18"/>
                <w:szCs w:val="18"/>
              </w:rPr>
              <w:t>8.962.551</w:t>
            </w:r>
          </w:p>
        </w:tc>
      </w:tr>
      <w:tr w:rsidR="007E2F9F" w:rsidRPr="00A879C5" w14:paraId="4426469F" w14:textId="77777777" w:rsidTr="00DB2CD5">
        <w:tc>
          <w:tcPr>
            <w:tcW w:w="8789" w:type="dxa"/>
          </w:tcPr>
          <w:p w14:paraId="099806FE" w14:textId="77777777" w:rsidR="007E2F9F" w:rsidRPr="00A879C5" w:rsidRDefault="007E2F9F" w:rsidP="006548F8">
            <w:pPr>
              <w:tabs>
                <w:tab w:val="left" w:pos="875"/>
              </w:tabs>
              <w:ind w:right="157"/>
              <w:rPr>
                <w:rFonts w:ascii="Arial" w:hAnsi="Arial" w:cs="Arial"/>
                <w:sz w:val="18"/>
                <w:szCs w:val="18"/>
              </w:rPr>
            </w:pPr>
            <w:r w:rsidRPr="00A879C5">
              <w:rPr>
                <w:rFonts w:ascii="Arial" w:hAnsi="Arial" w:cs="Arial"/>
                <w:b/>
                <w:lang w:val="es-ES_tradnl"/>
              </w:rPr>
              <w:t>TOTAL REZAGO PRESUPUESTAL CONSTITUIDO A 31 DE DICIEMBRE DE 2024</w:t>
            </w:r>
          </w:p>
        </w:tc>
        <w:tc>
          <w:tcPr>
            <w:tcW w:w="1560" w:type="dxa"/>
          </w:tcPr>
          <w:p w14:paraId="2850F07A" w14:textId="77777777" w:rsidR="007E2F9F" w:rsidRPr="00A879C5" w:rsidRDefault="007E2F9F" w:rsidP="006548F8">
            <w:pPr>
              <w:tabs>
                <w:tab w:val="left" w:pos="875"/>
              </w:tabs>
              <w:jc w:val="right"/>
              <w:rPr>
                <w:rFonts w:ascii="Arial" w:hAnsi="Arial" w:cs="Arial"/>
                <w:b/>
                <w:sz w:val="18"/>
                <w:szCs w:val="18"/>
                <w:u w:val="single"/>
              </w:rPr>
            </w:pPr>
            <w:r w:rsidRPr="00A879C5">
              <w:rPr>
                <w:rFonts w:ascii="Arial" w:hAnsi="Arial" w:cs="Arial"/>
                <w:b/>
                <w:sz w:val="18"/>
                <w:szCs w:val="18"/>
                <w:u w:val="single"/>
              </w:rPr>
              <w:t>3.771.394.692</w:t>
            </w:r>
          </w:p>
        </w:tc>
      </w:tr>
    </w:tbl>
    <w:p w14:paraId="0B70147C" w14:textId="77777777" w:rsidR="007E2F9F" w:rsidRDefault="007E2F9F" w:rsidP="007E2F9F">
      <w:pPr>
        <w:rPr>
          <w:rFonts w:ascii="Arial" w:hAnsi="Arial" w:cs="Arial"/>
          <w:lang w:val="es-MX"/>
        </w:rPr>
      </w:pPr>
    </w:p>
    <w:p w14:paraId="65CEA0E7" w14:textId="77777777" w:rsidR="007E2F9F" w:rsidRPr="008F19E9" w:rsidRDefault="007E2F9F" w:rsidP="00DB2CD5">
      <w:pPr>
        <w:ind w:left="-284"/>
        <w:jc w:val="both"/>
        <w:rPr>
          <w:rFonts w:ascii="Arial" w:hAnsi="Arial" w:cs="Arial"/>
          <w:b/>
          <w:sz w:val="28"/>
          <w:szCs w:val="28"/>
          <w:lang w:val="es-MX"/>
        </w:rPr>
      </w:pPr>
      <w:r w:rsidRPr="008F19E9">
        <w:rPr>
          <w:rFonts w:ascii="Arial" w:hAnsi="Arial" w:cs="Arial"/>
          <w:b/>
          <w:sz w:val="28"/>
          <w:szCs w:val="28"/>
          <w:lang w:val="es-MX"/>
        </w:rPr>
        <w:t>343.- AGENCIA NACIONAL DE TIERRAS - ANT.</w:t>
      </w:r>
    </w:p>
    <w:p w14:paraId="42FF9F2D" w14:textId="77777777" w:rsidR="007E2F9F" w:rsidRDefault="007E2F9F" w:rsidP="007E2F9F">
      <w:pPr>
        <w:rPr>
          <w:rFonts w:ascii="Arial" w:hAnsi="Arial" w:cs="Arial"/>
          <w:lang w:val="es-MX"/>
        </w:rPr>
      </w:pPr>
    </w:p>
    <w:tbl>
      <w:tblPr>
        <w:tblStyle w:val="Tablaconcuadrcula"/>
        <w:tblW w:w="10349" w:type="dxa"/>
        <w:tblInd w:w="-289" w:type="dxa"/>
        <w:tblLook w:val="04A0" w:firstRow="1" w:lastRow="0" w:firstColumn="1" w:lastColumn="0" w:noHBand="0" w:noVBand="1"/>
      </w:tblPr>
      <w:tblGrid>
        <w:gridCol w:w="8222"/>
        <w:gridCol w:w="2127"/>
      </w:tblGrid>
      <w:tr w:rsidR="007E2F9F" w:rsidRPr="003567AC" w14:paraId="4723C677" w14:textId="77777777" w:rsidTr="00DB2CD5">
        <w:tc>
          <w:tcPr>
            <w:tcW w:w="8222" w:type="dxa"/>
          </w:tcPr>
          <w:p w14:paraId="638A5258" w14:textId="77777777" w:rsidR="007E2F9F" w:rsidRPr="003567AC" w:rsidRDefault="007E2F9F" w:rsidP="006548F8">
            <w:pPr>
              <w:tabs>
                <w:tab w:val="left" w:pos="875"/>
              </w:tabs>
              <w:rPr>
                <w:rFonts w:ascii="Arial" w:hAnsi="Arial" w:cs="Arial"/>
              </w:rPr>
            </w:pPr>
            <w:r w:rsidRPr="003567AC">
              <w:rPr>
                <w:rFonts w:ascii="Arial" w:hAnsi="Arial" w:cs="Arial"/>
                <w:lang w:val="es-ES_tradnl"/>
              </w:rPr>
              <w:t>Reservas presupuestales constituidas a 31 de diciembre de 2024</w:t>
            </w:r>
          </w:p>
        </w:tc>
        <w:tc>
          <w:tcPr>
            <w:tcW w:w="2127" w:type="dxa"/>
          </w:tcPr>
          <w:p w14:paraId="4C85E15F" w14:textId="77777777" w:rsidR="007E2F9F" w:rsidRPr="003567AC" w:rsidRDefault="007E2F9F" w:rsidP="006548F8">
            <w:pPr>
              <w:tabs>
                <w:tab w:val="left" w:pos="875"/>
              </w:tabs>
              <w:jc w:val="right"/>
              <w:rPr>
                <w:rFonts w:ascii="Arial" w:hAnsi="Arial" w:cs="Arial"/>
              </w:rPr>
            </w:pPr>
            <w:r w:rsidRPr="003567AC">
              <w:rPr>
                <w:rFonts w:ascii="Arial" w:hAnsi="Arial" w:cs="Arial"/>
              </w:rPr>
              <w:t>3.257.861.434,89</w:t>
            </w:r>
          </w:p>
        </w:tc>
      </w:tr>
      <w:tr w:rsidR="007E2F9F" w:rsidRPr="003567AC" w14:paraId="6AE6C97B" w14:textId="77777777" w:rsidTr="00DB2CD5">
        <w:tc>
          <w:tcPr>
            <w:tcW w:w="8222" w:type="dxa"/>
          </w:tcPr>
          <w:p w14:paraId="42818B9D" w14:textId="77777777" w:rsidR="007E2F9F" w:rsidRPr="003567AC" w:rsidRDefault="007E2F9F" w:rsidP="006548F8">
            <w:pPr>
              <w:tabs>
                <w:tab w:val="left" w:pos="875"/>
              </w:tabs>
              <w:rPr>
                <w:rFonts w:ascii="Arial" w:hAnsi="Arial" w:cs="Arial"/>
              </w:rPr>
            </w:pPr>
            <w:r w:rsidRPr="003567AC">
              <w:rPr>
                <w:rFonts w:ascii="Arial" w:hAnsi="Arial" w:cs="Arial"/>
                <w:lang w:val="es-ES_tradnl"/>
              </w:rPr>
              <w:t>Cuentas por pagar constituidas a 31 de diciembre de 2024</w:t>
            </w:r>
          </w:p>
        </w:tc>
        <w:tc>
          <w:tcPr>
            <w:tcW w:w="2127" w:type="dxa"/>
          </w:tcPr>
          <w:p w14:paraId="7ED5CB57" w14:textId="77777777" w:rsidR="007E2F9F" w:rsidRPr="003567AC" w:rsidRDefault="007E2F9F" w:rsidP="006548F8">
            <w:pPr>
              <w:tabs>
                <w:tab w:val="left" w:pos="875"/>
              </w:tabs>
              <w:jc w:val="right"/>
              <w:rPr>
                <w:rFonts w:ascii="Arial" w:hAnsi="Arial" w:cs="Arial"/>
              </w:rPr>
            </w:pPr>
            <w:r w:rsidRPr="003567AC">
              <w:rPr>
                <w:rFonts w:ascii="Arial" w:hAnsi="Arial" w:cs="Arial"/>
                <w:lang w:val="es-ES_tradnl"/>
              </w:rPr>
              <w:t>131.189,86</w:t>
            </w:r>
          </w:p>
        </w:tc>
      </w:tr>
      <w:tr w:rsidR="007E2F9F" w:rsidRPr="003567AC" w14:paraId="0DDF9158" w14:textId="77777777" w:rsidTr="00DB2CD5">
        <w:tc>
          <w:tcPr>
            <w:tcW w:w="8222" w:type="dxa"/>
          </w:tcPr>
          <w:p w14:paraId="32CC5DB5" w14:textId="77777777" w:rsidR="007E2F9F" w:rsidRPr="003567AC" w:rsidRDefault="007E2F9F" w:rsidP="006548F8">
            <w:pPr>
              <w:tabs>
                <w:tab w:val="left" w:pos="875"/>
              </w:tabs>
              <w:rPr>
                <w:rFonts w:ascii="Arial" w:hAnsi="Arial" w:cs="Arial"/>
              </w:rPr>
            </w:pPr>
            <w:r w:rsidRPr="003567AC">
              <w:rPr>
                <w:rFonts w:ascii="Arial" w:hAnsi="Arial" w:cs="Arial"/>
                <w:b/>
                <w:lang w:val="es-ES_tradnl"/>
              </w:rPr>
              <w:t>TOTAL REZAGO PRESUPUESTAL CONSTITUIDO A 31 DE DICIEMBRE DE 2024</w:t>
            </w:r>
          </w:p>
        </w:tc>
        <w:tc>
          <w:tcPr>
            <w:tcW w:w="2127" w:type="dxa"/>
          </w:tcPr>
          <w:p w14:paraId="6533C37D" w14:textId="77777777" w:rsidR="007E2F9F" w:rsidRPr="003567AC" w:rsidRDefault="007E2F9F" w:rsidP="006548F8">
            <w:pPr>
              <w:tabs>
                <w:tab w:val="left" w:pos="875"/>
              </w:tabs>
              <w:jc w:val="right"/>
              <w:rPr>
                <w:rFonts w:ascii="Arial" w:hAnsi="Arial" w:cs="Arial"/>
                <w:b/>
                <w:u w:val="single"/>
              </w:rPr>
            </w:pPr>
            <w:r w:rsidRPr="003567AC">
              <w:rPr>
                <w:rFonts w:ascii="Arial" w:hAnsi="Arial" w:cs="Arial"/>
                <w:b/>
                <w:lang w:val="es-ES_tradnl"/>
              </w:rPr>
              <w:t>3.257.992.624,75</w:t>
            </w:r>
          </w:p>
        </w:tc>
      </w:tr>
    </w:tbl>
    <w:p w14:paraId="54D784E8" w14:textId="77777777" w:rsidR="007E2F9F" w:rsidRPr="00B54567" w:rsidRDefault="007E2F9F" w:rsidP="007E2F9F">
      <w:pPr>
        <w:pStyle w:val="Textoindependiente"/>
        <w:spacing w:before="3"/>
      </w:pPr>
    </w:p>
    <w:p w14:paraId="6B128B00" w14:textId="77777777" w:rsidR="007E2F9F" w:rsidRPr="009647D4" w:rsidRDefault="007E2F9F" w:rsidP="00DB2CD5">
      <w:pPr>
        <w:ind w:left="-284"/>
        <w:jc w:val="both"/>
        <w:rPr>
          <w:rFonts w:ascii="Arial" w:hAnsi="Arial" w:cs="Arial"/>
          <w:b/>
          <w:sz w:val="28"/>
          <w:szCs w:val="28"/>
          <w:lang w:val="es-MX"/>
        </w:rPr>
      </w:pPr>
      <w:r w:rsidRPr="009647D4">
        <w:rPr>
          <w:rFonts w:ascii="Arial" w:hAnsi="Arial" w:cs="Arial"/>
          <w:b/>
          <w:sz w:val="28"/>
          <w:szCs w:val="28"/>
          <w:lang w:val="es-MX"/>
        </w:rPr>
        <w:t>344.- SUPERINTENDENCIA DE NOTARIADO Y REGISTRO.</w:t>
      </w:r>
    </w:p>
    <w:p w14:paraId="416B6D38" w14:textId="77777777" w:rsidR="007E2F9F" w:rsidRDefault="007E2F9F" w:rsidP="007E2F9F">
      <w:pPr>
        <w:rPr>
          <w:rFonts w:ascii="Arial" w:hAnsi="Arial" w:cs="Arial"/>
          <w:lang w:val="es-MX"/>
        </w:rPr>
      </w:pPr>
    </w:p>
    <w:tbl>
      <w:tblPr>
        <w:tblStyle w:val="Tablaconcuadrcula"/>
        <w:tblW w:w="10349" w:type="dxa"/>
        <w:tblInd w:w="-289" w:type="dxa"/>
        <w:tblLook w:val="04A0" w:firstRow="1" w:lastRow="0" w:firstColumn="1" w:lastColumn="0" w:noHBand="0" w:noVBand="1"/>
      </w:tblPr>
      <w:tblGrid>
        <w:gridCol w:w="8789"/>
        <w:gridCol w:w="1560"/>
      </w:tblGrid>
      <w:tr w:rsidR="007E2F9F" w:rsidRPr="00205EB7" w14:paraId="373E90D8" w14:textId="77777777" w:rsidTr="00DB2CD5">
        <w:tc>
          <w:tcPr>
            <w:tcW w:w="8789" w:type="dxa"/>
          </w:tcPr>
          <w:p w14:paraId="5149DEAD" w14:textId="77777777" w:rsidR="007E2F9F" w:rsidRPr="00205EB7" w:rsidRDefault="007E2F9F" w:rsidP="006548F8">
            <w:pPr>
              <w:tabs>
                <w:tab w:val="left" w:pos="875"/>
              </w:tabs>
              <w:ind w:right="157"/>
              <w:rPr>
                <w:rFonts w:ascii="Arial" w:hAnsi="Arial" w:cs="Arial"/>
                <w:sz w:val="18"/>
                <w:szCs w:val="18"/>
              </w:rPr>
            </w:pPr>
            <w:r w:rsidRPr="00205EB7">
              <w:rPr>
                <w:rFonts w:ascii="Arial" w:hAnsi="Arial" w:cs="Arial"/>
                <w:lang w:val="es-ES_tradnl"/>
              </w:rPr>
              <w:t>Reservas presupuestales constituidas a 31 de diciembre de 2024</w:t>
            </w:r>
          </w:p>
        </w:tc>
        <w:tc>
          <w:tcPr>
            <w:tcW w:w="1560" w:type="dxa"/>
          </w:tcPr>
          <w:p w14:paraId="19F06AD1" w14:textId="77777777" w:rsidR="007E2F9F" w:rsidRPr="00205EB7" w:rsidRDefault="007E2F9F" w:rsidP="006548F8">
            <w:pPr>
              <w:tabs>
                <w:tab w:val="left" w:pos="875"/>
              </w:tabs>
              <w:jc w:val="right"/>
              <w:rPr>
                <w:rFonts w:ascii="Arial" w:hAnsi="Arial" w:cs="Arial"/>
                <w:szCs w:val="18"/>
              </w:rPr>
            </w:pPr>
            <w:r w:rsidRPr="00205EB7">
              <w:rPr>
                <w:rFonts w:ascii="Arial" w:hAnsi="Arial" w:cs="Arial"/>
                <w:szCs w:val="18"/>
              </w:rPr>
              <w:t>29.909.096</w:t>
            </w:r>
          </w:p>
        </w:tc>
      </w:tr>
      <w:tr w:rsidR="007E2F9F" w:rsidRPr="00205EB7" w14:paraId="51A2D23C" w14:textId="77777777" w:rsidTr="00DB2CD5">
        <w:tc>
          <w:tcPr>
            <w:tcW w:w="8789" w:type="dxa"/>
          </w:tcPr>
          <w:p w14:paraId="76477BCB" w14:textId="77777777" w:rsidR="007E2F9F" w:rsidRPr="00205EB7" w:rsidRDefault="007E2F9F" w:rsidP="006548F8">
            <w:pPr>
              <w:tabs>
                <w:tab w:val="left" w:pos="875"/>
              </w:tabs>
              <w:ind w:right="157"/>
              <w:rPr>
                <w:rFonts w:ascii="Arial" w:hAnsi="Arial" w:cs="Arial"/>
                <w:sz w:val="18"/>
                <w:szCs w:val="18"/>
              </w:rPr>
            </w:pPr>
            <w:r w:rsidRPr="00205EB7">
              <w:rPr>
                <w:rFonts w:ascii="Arial" w:hAnsi="Arial" w:cs="Arial"/>
                <w:lang w:val="es-ES_tradnl"/>
              </w:rPr>
              <w:t>Cuentas por pagar constituidas a 31 de diciembre de 2024</w:t>
            </w:r>
          </w:p>
        </w:tc>
        <w:tc>
          <w:tcPr>
            <w:tcW w:w="1560" w:type="dxa"/>
          </w:tcPr>
          <w:p w14:paraId="2F6505F8" w14:textId="77777777" w:rsidR="007E2F9F" w:rsidRPr="00205EB7" w:rsidRDefault="007E2F9F" w:rsidP="006548F8">
            <w:pPr>
              <w:tabs>
                <w:tab w:val="left" w:pos="875"/>
              </w:tabs>
              <w:jc w:val="right"/>
              <w:rPr>
                <w:rFonts w:ascii="Arial" w:hAnsi="Arial" w:cs="Arial"/>
                <w:szCs w:val="18"/>
              </w:rPr>
            </w:pPr>
            <w:r w:rsidRPr="00205EB7">
              <w:rPr>
                <w:rFonts w:ascii="Arial" w:hAnsi="Arial" w:cs="Arial"/>
                <w:szCs w:val="18"/>
              </w:rPr>
              <w:t>26.363.583</w:t>
            </w:r>
          </w:p>
        </w:tc>
      </w:tr>
      <w:tr w:rsidR="007E2F9F" w:rsidRPr="00205EB7" w14:paraId="62F7D50B" w14:textId="77777777" w:rsidTr="00DB2CD5">
        <w:tc>
          <w:tcPr>
            <w:tcW w:w="8789" w:type="dxa"/>
          </w:tcPr>
          <w:p w14:paraId="6E682B26" w14:textId="77777777" w:rsidR="007E2F9F" w:rsidRPr="00205EB7" w:rsidRDefault="007E2F9F" w:rsidP="006548F8">
            <w:pPr>
              <w:tabs>
                <w:tab w:val="left" w:pos="875"/>
              </w:tabs>
              <w:ind w:right="157"/>
              <w:rPr>
                <w:rFonts w:ascii="Arial" w:hAnsi="Arial" w:cs="Arial"/>
                <w:sz w:val="18"/>
                <w:szCs w:val="18"/>
              </w:rPr>
            </w:pPr>
            <w:r w:rsidRPr="00205EB7">
              <w:rPr>
                <w:rFonts w:ascii="Arial" w:hAnsi="Arial" w:cs="Arial"/>
                <w:b/>
                <w:lang w:val="es-ES_tradnl"/>
              </w:rPr>
              <w:t>TOTAL REZAGO PRESUPUESTAL CONSTITUIDO A 31 DE DICIEMBRE DE 2024</w:t>
            </w:r>
          </w:p>
        </w:tc>
        <w:tc>
          <w:tcPr>
            <w:tcW w:w="1560" w:type="dxa"/>
          </w:tcPr>
          <w:p w14:paraId="2D4C4B77" w14:textId="77777777" w:rsidR="007E2F9F" w:rsidRPr="00205EB7" w:rsidRDefault="007E2F9F" w:rsidP="006548F8">
            <w:pPr>
              <w:tabs>
                <w:tab w:val="left" w:pos="875"/>
              </w:tabs>
              <w:jc w:val="right"/>
              <w:rPr>
                <w:rFonts w:ascii="Arial" w:hAnsi="Arial" w:cs="Arial"/>
                <w:b/>
                <w:szCs w:val="18"/>
                <w:u w:val="single"/>
              </w:rPr>
            </w:pPr>
            <w:r w:rsidRPr="00205EB7">
              <w:rPr>
                <w:rFonts w:ascii="Arial" w:hAnsi="Arial" w:cs="Arial"/>
                <w:b/>
                <w:szCs w:val="18"/>
                <w:u w:val="single"/>
              </w:rPr>
              <w:t>56.272.679</w:t>
            </w:r>
          </w:p>
        </w:tc>
      </w:tr>
    </w:tbl>
    <w:p w14:paraId="58B4E568" w14:textId="77777777" w:rsidR="007E2F9F" w:rsidRDefault="007E2F9F" w:rsidP="007E2F9F">
      <w:pPr>
        <w:rPr>
          <w:rFonts w:ascii="Arial" w:hAnsi="Arial" w:cs="Arial"/>
          <w:lang w:val="es-MX"/>
        </w:rPr>
      </w:pPr>
    </w:p>
    <w:p w14:paraId="2ED19B87" w14:textId="77777777" w:rsidR="007E2F9F" w:rsidRPr="00EC7EA8" w:rsidRDefault="007E2F9F" w:rsidP="00DB2CD5">
      <w:pPr>
        <w:ind w:left="-284" w:right="-93"/>
        <w:jc w:val="both"/>
        <w:rPr>
          <w:rFonts w:ascii="Arial" w:hAnsi="Arial" w:cs="Arial"/>
          <w:b/>
          <w:sz w:val="28"/>
          <w:szCs w:val="28"/>
          <w:lang w:val="es-MX"/>
        </w:rPr>
      </w:pPr>
      <w:r w:rsidRPr="00EC7EA8">
        <w:rPr>
          <w:rFonts w:ascii="Arial" w:hAnsi="Arial" w:cs="Arial"/>
          <w:b/>
          <w:sz w:val="28"/>
          <w:szCs w:val="28"/>
          <w:lang w:val="es-MX"/>
        </w:rPr>
        <w:t>348.- CORPORACION PARA EL DESARROLLO SOSTENIBLE DEL NORTE Y EL ORIENTE AMAZONICO - C.D.A.</w:t>
      </w:r>
    </w:p>
    <w:p w14:paraId="3A484E3A" w14:textId="77777777" w:rsidR="007E2F9F" w:rsidRDefault="007E2F9F" w:rsidP="007E2F9F">
      <w:pPr>
        <w:rPr>
          <w:rFonts w:ascii="Arial" w:hAnsi="Arial" w:cs="Arial"/>
          <w:lang w:val="es-MX"/>
        </w:rPr>
      </w:pPr>
    </w:p>
    <w:tbl>
      <w:tblPr>
        <w:tblStyle w:val="Tablaconcuadrcula"/>
        <w:tblW w:w="10349" w:type="dxa"/>
        <w:tblInd w:w="-289" w:type="dxa"/>
        <w:tblLook w:val="04A0" w:firstRow="1" w:lastRow="0" w:firstColumn="1" w:lastColumn="0" w:noHBand="0" w:noVBand="1"/>
      </w:tblPr>
      <w:tblGrid>
        <w:gridCol w:w="8506"/>
        <w:gridCol w:w="1843"/>
      </w:tblGrid>
      <w:tr w:rsidR="007E2F9F" w:rsidRPr="000935D3" w14:paraId="39BF346B" w14:textId="77777777" w:rsidTr="00DB2CD5">
        <w:tc>
          <w:tcPr>
            <w:tcW w:w="8506" w:type="dxa"/>
          </w:tcPr>
          <w:p w14:paraId="02EDEC27" w14:textId="77777777" w:rsidR="007E2F9F" w:rsidRPr="000935D3" w:rsidRDefault="007E2F9F" w:rsidP="006548F8">
            <w:pPr>
              <w:tabs>
                <w:tab w:val="left" w:pos="875"/>
              </w:tabs>
              <w:ind w:right="157"/>
              <w:rPr>
                <w:rFonts w:ascii="Arial" w:hAnsi="Arial" w:cs="Arial"/>
                <w:sz w:val="18"/>
                <w:szCs w:val="18"/>
              </w:rPr>
            </w:pPr>
            <w:r w:rsidRPr="000935D3">
              <w:rPr>
                <w:rFonts w:ascii="Arial" w:hAnsi="Arial" w:cs="Arial"/>
                <w:lang w:val="es-ES_tradnl"/>
              </w:rPr>
              <w:t>Reservas presupuestales constituidas a 31 de diciembre de 2024</w:t>
            </w:r>
          </w:p>
        </w:tc>
        <w:tc>
          <w:tcPr>
            <w:tcW w:w="1843" w:type="dxa"/>
          </w:tcPr>
          <w:p w14:paraId="7C8948EA" w14:textId="77777777" w:rsidR="007E2F9F" w:rsidRPr="000935D3" w:rsidRDefault="007E2F9F" w:rsidP="006548F8">
            <w:pPr>
              <w:tabs>
                <w:tab w:val="left" w:pos="875"/>
              </w:tabs>
              <w:jc w:val="right"/>
              <w:rPr>
                <w:rFonts w:ascii="Arial" w:hAnsi="Arial" w:cs="Arial"/>
                <w:sz w:val="18"/>
                <w:szCs w:val="18"/>
              </w:rPr>
            </w:pPr>
            <w:r w:rsidRPr="000935D3">
              <w:rPr>
                <w:rFonts w:ascii="Arial" w:hAnsi="Arial" w:cs="Arial"/>
                <w:sz w:val="18"/>
                <w:szCs w:val="18"/>
              </w:rPr>
              <w:t>4.504.443</w:t>
            </w:r>
          </w:p>
        </w:tc>
      </w:tr>
      <w:tr w:rsidR="007E2F9F" w:rsidRPr="000935D3" w14:paraId="767A791C" w14:textId="77777777" w:rsidTr="00DB2CD5">
        <w:tc>
          <w:tcPr>
            <w:tcW w:w="8506" w:type="dxa"/>
          </w:tcPr>
          <w:p w14:paraId="774ABD91" w14:textId="77777777" w:rsidR="007E2F9F" w:rsidRPr="000935D3" w:rsidRDefault="007E2F9F" w:rsidP="006548F8">
            <w:pPr>
              <w:tabs>
                <w:tab w:val="left" w:pos="875"/>
              </w:tabs>
              <w:ind w:right="157"/>
              <w:rPr>
                <w:rFonts w:ascii="Arial" w:hAnsi="Arial" w:cs="Arial"/>
                <w:sz w:val="18"/>
                <w:szCs w:val="18"/>
              </w:rPr>
            </w:pPr>
            <w:r w:rsidRPr="000935D3">
              <w:rPr>
                <w:rFonts w:ascii="Arial" w:hAnsi="Arial" w:cs="Arial"/>
                <w:lang w:val="es-ES_tradnl"/>
              </w:rPr>
              <w:t>Cuentas por pagar constituidas a 31 de diciembre de 2024</w:t>
            </w:r>
          </w:p>
        </w:tc>
        <w:tc>
          <w:tcPr>
            <w:tcW w:w="1843" w:type="dxa"/>
          </w:tcPr>
          <w:p w14:paraId="09575592" w14:textId="77777777" w:rsidR="007E2F9F" w:rsidRPr="000935D3" w:rsidRDefault="007E2F9F" w:rsidP="006548F8">
            <w:pPr>
              <w:tabs>
                <w:tab w:val="left" w:pos="875"/>
              </w:tabs>
              <w:jc w:val="right"/>
              <w:rPr>
                <w:rFonts w:ascii="Arial" w:hAnsi="Arial" w:cs="Arial"/>
                <w:sz w:val="18"/>
                <w:szCs w:val="18"/>
              </w:rPr>
            </w:pPr>
            <w:r w:rsidRPr="000935D3">
              <w:rPr>
                <w:rFonts w:ascii="Arial" w:hAnsi="Arial" w:cs="Arial"/>
                <w:sz w:val="18"/>
                <w:szCs w:val="18"/>
              </w:rPr>
              <w:t>12.907</w:t>
            </w:r>
          </w:p>
        </w:tc>
      </w:tr>
      <w:tr w:rsidR="007E2F9F" w:rsidRPr="000935D3" w14:paraId="7C8170A6" w14:textId="77777777" w:rsidTr="00DB2CD5">
        <w:tc>
          <w:tcPr>
            <w:tcW w:w="8506" w:type="dxa"/>
          </w:tcPr>
          <w:p w14:paraId="5385146B" w14:textId="77777777" w:rsidR="007E2F9F" w:rsidRPr="000935D3" w:rsidRDefault="007E2F9F" w:rsidP="006548F8">
            <w:pPr>
              <w:tabs>
                <w:tab w:val="left" w:pos="875"/>
              </w:tabs>
              <w:ind w:right="157"/>
              <w:rPr>
                <w:rFonts w:ascii="Arial" w:hAnsi="Arial" w:cs="Arial"/>
                <w:sz w:val="18"/>
                <w:szCs w:val="18"/>
              </w:rPr>
            </w:pPr>
            <w:r w:rsidRPr="000935D3">
              <w:rPr>
                <w:rFonts w:ascii="Arial" w:hAnsi="Arial" w:cs="Arial"/>
                <w:b/>
                <w:lang w:val="es-ES_tradnl"/>
              </w:rPr>
              <w:t>TOTAL REZAGO PRESUPUESTAL CONSTITUIDO A 31 DE DICIEMBRE DE 2024</w:t>
            </w:r>
          </w:p>
        </w:tc>
        <w:tc>
          <w:tcPr>
            <w:tcW w:w="1843" w:type="dxa"/>
          </w:tcPr>
          <w:p w14:paraId="336D206B" w14:textId="77777777" w:rsidR="007E2F9F" w:rsidRPr="000935D3" w:rsidRDefault="007E2F9F" w:rsidP="006548F8">
            <w:pPr>
              <w:tabs>
                <w:tab w:val="left" w:pos="875"/>
              </w:tabs>
              <w:jc w:val="right"/>
              <w:rPr>
                <w:rFonts w:ascii="Arial" w:hAnsi="Arial" w:cs="Arial"/>
                <w:b/>
                <w:sz w:val="18"/>
                <w:szCs w:val="18"/>
                <w:u w:val="single"/>
              </w:rPr>
            </w:pPr>
            <w:r w:rsidRPr="000935D3">
              <w:rPr>
                <w:rFonts w:ascii="Arial" w:hAnsi="Arial" w:cs="Arial"/>
                <w:b/>
                <w:sz w:val="18"/>
                <w:szCs w:val="18"/>
                <w:u w:val="single"/>
              </w:rPr>
              <w:t>4.517.350</w:t>
            </w:r>
          </w:p>
        </w:tc>
      </w:tr>
    </w:tbl>
    <w:p w14:paraId="0CCB90F6" w14:textId="77777777" w:rsidR="007E2F9F" w:rsidRDefault="007E2F9F" w:rsidP="007E2F9F">
      <w:pPr>
        <w:rPr>
          <w:rFonts w:ascii="Arial" w:hAnsi="Arial" w:cs="Arial"/>
          <w:lang w:val="es-MX"/>
        </w:rPr>
      </w:pPr>
    </w:p>
    <w:p w14:paraId="7884DC32" w14:textId="77777777" w:rsidR="007E2F9F" w:rsidRPr="00620338" w:rsidRDefault="007E2F9F" w:rsidP="00DB2CD5">
      <w:pPr>
        <w:ind w:left="-284" w:right="-93"/>
        <w:jc w:val="both"/>
        <w:rPr>
          <w:rFonts w:ascii="Arial" w:hAnsi="Arial" w:cs="Arial"/>
          <w:b/>
          <w:sz w:val="28"/>
          <w:szCs w:val="28"/>
          <w:lang w:val="es-MX"/>
        </w:rPr>
      </w:pPr>
      <w:r w:rsidRPr="00620338">
        <w:rPr>
          <w:rFonts w:ascii="Arial" w:hAnsi="Arial" w:cs="Arial"/>
          <w:b/>
          <w:sz w:val="28"/>
          <w:szCs w:val="28"/>
          <w:lang w:val="es-MX"/>
        </w:rPr>
        <w:t>350.- CORPORACION PARA EL DESARROLLO SOSTENIBLE DEL URABA - CORPOURABA.</w:t>
      </w:r>
    </w:p>
    <w:p w14:paraId="1C005829" w14:textId="77777777" w:rsidR="007E2F9F" w:rsidRDefault="007E2F9F" w:rsidP="007E2F9F">
      <w:pPr>
        <w:rPr>
          <w:rFonts w:ascii="Arial" w:hAnsi="Arial" w:cs="Arial"/>
          <w:lang w:val="es-MX"/>
        </w:rPr>
      </w:pPr>
    </w:p>
    <w:tbl>
      <w:tblPr>
        <w:tblStyle w:val="Tablaconcuadrcula"/>
        <w:tblW w:w="10207" w:type="dxa"/>
        <w:tblInd w:w="-289" w:type="dxa"/>
        <w:tblLook w:val="04A0" w:firstRow="1" w:lastRow="0" w:firstColumn="1" w:lastColumn="0" w:noHBand="0" w:noVBand="1"/>
      </w:tblPr>
      <w:tblGrid>
        <w:gridCol w:w="8506"/>
        <w:gridCol w:w="1701"/>
      </w:tblGrid>
      <w:tr w:rsidR="007E2F9F" w:rsidRPr="00C26F85" w14:paraId="27529E2A" w14:textId="77777777" w:rsidTr="00DB2CD5">
        <w:tc>
          <w:tcPr>
            <w:tcW w:w="8506" w:type="dxa"/>
          </w:tcPr>
          <w:p w14:paraId="5442E93F" w14:textId="77777777" w:rsidR="007E2F9F" w:rsidRPr="00C26F85" w:rsidRDefault="007E2F9F" w:rsidP="006548F8">
            <w:pPr>
              <w:tabs>
                <w:tab w:val="left" w:pos="875"/>
              </w:tabs>
              <w:rPr>
                <w:rFonts w:ascii="Arial" w:hAnsi="Arial" w:cs="Arial"/>
                <w:sz w:val="18"/>
                <w:szCs w:val="18"/>
              </w:rPr>
            </w:pPr>
            <w:r w:rsidRPr="00C26F85">
              <w:rPr>
                <w:rFonts w:ascii="Arial" w:hAnsi="Arial" w:cs="Arial"/>
                <w:lang w:val="es-ES_tradnl"/>
              </w:rPr>
              <w:t>Reservas presupuestales constituidas a 31 de diciembre de 2024</w:t>
            </w:r>
          </w:p>
        </w:tc>
        <w:tc>
          <w:tcPr>
            <w:tcW w:w="1701" w:type="dxa"/>
          </w:tcPr>
          <w:p w14:paraId="25FAF340" w14:textId="77777777" w:rsidR="007E2F9F" w:rsidRPr="00C26F85" w:rsidRDefault="007E2F9F" w:rsidP="006548F8">
            <w:pPr>
              <w:tabs>
                <w:tab w:val="left" w:pos="875"/>
              </w:tabs>
              <w:jc w:val="right"/>
              <w:rPr>
                <w:rFonts w:ascii="Arial" w:hAnsi="Arial" w:cs="Arial"/>
                <w:sz w:val="18"/>
                <w:szCs w:val="18"/>
              </w:rPr>
            </w:pPr>
            <w:r w:rsidRPr="00C26F85">
              <w:rPr>
                <w:rFonts w:ascii="Arial" w:hAnsi="Arial" w:cs="Arial"/>
                <w:sz w:val="18"/>
                <w:szCs w:val="18"/>
              </w:rPr>
              <w:t>3.714.750</w:t>
            </w:r>
          </w:p>
        </w:tc>
      </w:tr>
      <w:tr w:rsidR="007E2F9F" w:rsidRPr="00C26F85" w14:paraId="146D65E5" w14:textId="77777777" w:rsidTr="00DB2CD5">
        <w:tc>
          <w:tcPr>
            <w:tcW w:w="8506" w:type="dxa"/>
          </w:tcPr>
          <w:p w14:paraId="278A88C7" w14:textId="77777777" w:rsidR="007E2F9F" w:rsidRPr="00C26F85" w:rsidRDefault="007E2F9F" w:rsidP="006548F8">
            <w:pPr>
              <w:tabs>
                <w:tab w:val="left" w:pos="875"/>
              </w:tabs>
              <w:rPr>
                <w:rFonts w:ascii="Arial" w:hAnsi="Arial" w:cs="Arial"/>
                <w:sz w:val="18"/>
                <w:szCs w:val="18"/>
              </w:rPr>
            </w:pPr>
            <w:r w:rsidRPr="00C26F85">
              <w:rPr>
                <w:rFonts w:ascii="Arial" w:hAnsi="Arial" w:cs="Arial"/>
                <w:lang w:val="es-ES_tradnl"/>
              </w:rPr>
              <w:t>Cuentas por pagar constituidas a 31 de diciembre de 2024</w:t>
            </w:r>
          </w:p>
        </w:tc>
        <w:tc>
          <w:tcPr>
            <w:tcW w:w="1701" w:type="dxa"/>
          </w:tcPr>
          <w:p w14:paraId="08ADF3C4" w14:textId="77777777" w:rsidR="007E2F9F" w:rsidRPr="00C26F85" w:rsidRDefault="007E2F9F" w:rsidP="006548F8">
            <w:pPr>
              <w:tabs>
                <w:tab w:val="left" w:pos="875"/>
              </w:tabs>
              <w:jc w:val="right"/>
              <w:rPr>
                <w:rFonts w:ascii="Arial" w:hAnsi="Arial" w:cs="Arial"/>
                <w:sz w:val="18"/>
                <w:szCs w:val="18"/>
              </w:rPr>
            </w:pPr>
            <w:r w:rsidRPr="00C26F85">
              <w:rPr>
                <w:rFonts w:ascii="Arial" w:hAnsi="Arial" w:cs="Arial"/>
                <w:sz w:val="18"/>
                <w:szCs w:val="18"/>
              </w:rPr>
              <w:t>739.613</w:t>
            </w:r>
          </w:p>
        </w:tc>
      </w:tr>
      <w:tr w:rsidR="007E2F9F" w:rsidRPr="00C26F85" w14:paraId="5660FD0C" w14:textId="77777777" w:rsidTr="00DB2CD5">
        <w:tc>
          <w:tcPr>
            <w:tcW w:w="8506" w:type="dxa"/>
            <w:shd w:val="clear" w:color="auto" w:fill="9CC2E5" w:themeFill="accent1" w:themeFillTint="99"/>
          </w:tcPr>
          <w:p w14:paraId="43EAC4CE" w14:textId="77777777" w:rsidR="007E2F9F" w:rsidRPr="00C26F85" w:rsidRDefault="007E2F9F" w:rsidP="006548F8">
            <w:pPr>
              <w:tabs>
                <w:tab w:val="left" w:pos="875"/>
              </w:tabs>
              <w:rPr>
                <w:rFonts w:ascii="Arial" w:hAnsi="Arial" w:cs="Arial"/>
                <w:sz w:val="18"/>
                <w:szCs w:val="18"/>
              </w:rPr>
            </w:pPr>
            <w:r w:rsidRPr="00C26F85">
              <w:rPr>
                <w:rFonts w:ascii="Arial" w:hAnsi="Arial" w:cs="Arial"/>
                <w:b/>
                <w:lang w:val="es-ES_tradnl"/>
              </w:rPr>
              <w:t>TOTAL REZAGO PRESUPUESTAL CONSTITUIDO A 31 DE DICIEMBRE DE 2024</w:t>
            </w:r>
          </w:p>
        </w:tc>
        <w:tc>
          <w:tcPr>
            <w:tcW w:w="1701" w:type="dxa"/>
            <w:shd w:val="clear" w:color="auto" w:fill="9CC2E5" w:themeFill="accent1" w:themeFillTint="99"/>
          </w:tcPr>
          <w:p w14:paraId="208CD8AC" w14:textId="77777777" w:rsidR="007E2F9F" w:rsidRPr="00C26F85" w:rsidRDefault="007E2F9F" w:rsidP="006548F8">
            <w:pPr>
              <w:tabs>
                <w:tab w:val="left" w:pos="875"/>
              </w:tabs>
              <w:jc w:val="right"/>
              <w:rPr>
                <w:rFonts w:ascii="Arial" w:hAnsi="Arial" w:cs="Arial"/>
                <w:b/>
                <w:sz w:val="18"/>
                <w:szCs w:val="18"/>
                <w:u w:val="single"/>
              </w:rPr>
            </w:pPr>
            <w:r w:rsidRPr="00C26F85">
              <w:rPr>
                <w:rFonts w:ascii="Arial" w:hAnsi="Arial" w:cs="Arial"/>
                <w:b/>
                <w:sz w:val="18"/>
                <w:szCs w:val="18"/>
                <w:u w:val="single"/>
              </w:rPr>
              <w:t>4.454.363</w:t>
            </w:r>
          </w:p>
        </w:tc>
      </w:tr>
    </w:tbl>
    <w:p w14:paraId="61D8A8E6" w14:textId="77777777" w:rsidR="007E2F9F" w:rsidRDefault="007E2F9F" w:rsidP="007E2F9F">
      <w:pPr>
        <w:rPr>
          <w:rFonts w:ascii="Arial" w:hAnsi="Arial" w:cs="Arial"/>
          <w:lang w:val="es-MX"/>
        </w:rPr>
      </w:pPr>
    </w:p>
    <w:p w14:paraId="4FD45CD7" w14:textId="77777777" w:rsidR="007E2F9F" w:rsidRPr="003135BD" w:rsidRDefault="007E2F9F" w:rsidP="007E2F9F">
      <w:pPr>
        <w:rPr>
          <w:rFonts w:ascii="Arial" w:hAnsi="Arial" w:cs="Arial"/>
          <w:lang w:val="es-MX"/>
        </w:rPr>
      </w:pPr>
    </w:p>
    <w:p w14:paraId="274E965C" w14:textId="25A4CE2A" w:rsidR="007E2F9F" w:rsidRPr="003F19CF" w:rsidRDefault="007E2F9F" w:rsidP="00DB2CD5">
      <w:pPr>
        <w:ind w:left="-284" w:right="-234"/>
        <w:jc w:val="center"/>
        <w:rPr>
          <w:rFonts w:ascii="Arial" w:hAnsi="Arial" w:cs="Arial"/>
          <w:b/>
          <w:sz w:val="28"/>
          <w:szCs w:val="28"/>
        </w:rPr>
      </w:pPr>
      <w:bookmarkStart w:id="11" w:name="_Hlk210820546"/>
      <w:r w:rsidRPr="00DB2CD5">
        <w:rPr>
          <w:rFonts w:ascii="Arial" w:hAnsi="Arial" w:cs="Arial"/>
          <w:b/>
          <w:sz w:val="28"/>
          <w:szCs w:val="28"/>
          <w:u w:val="single"/>
        </w:rPr>
        <w:t>4.- ENTIDADES DEL ORDEN NACIONAL EJECUTORAS DEL PRESUPUESTO GENERAL DE LA NACIÓN QUE REPORTARON FALTA DE PAC DURANTE LA VIGENCIA FISCAL 2024</w:t>
      </w:r>
      <w:r w:rsidRPr="003F19CF">
        <w:rPr>
          <w:rFonts w:ascii="Arial" w:hAnsi="Arial" w:cs="Arial"/>
          <w:b/>
          <w:sz w:val="28"/>
          <w:szCs w:val="28"/>
        </w:rPr>
        <w:t>.</w:t>
      </w:r>
    </w:p>
    <w:bookmarkEnd w:id="11"/>
    <w:p w14:paraId="0CEB0F35" w14:textId="77777777" w:rsidR="007E2F9F" w:rsidRPr="003F19CF" w:rsidRDefault="007E2F9F" w:rsidP="007E2F9F">
      <w:pPr>
        <w:ind w:left="-284" w:right="-518"/>
        <w:jc w:val="center"/>
        <w:rPr>
          <w:rFonts w:ascii="Arial" w:hAnsi="Arial" w:cs="Arial"/>
          <w:sz w:val="28"/>
          <w:szCs w:val="28"/>
        </w:rPr>
      </w:pPr>
    </w:p>
    <w:tbl>
      <w:tblPr>
        <w:tblStyle w:val="Tablaconcuadrcula"/>
        <w:tblW w:w="10490" w:type="dxa"/>
        <w:tblInd w:w="-289" w:type="dxa"/>
        <w:tblLook w:val="04A0" w:firstRow="1" w:lastRow="0" w:firstColumn="1" w:lastColumn="0" w:noHBand="0" w:noVBand="1"/>
      </w:tblPr>
      <w:tblGrid>
        <w:gridCol w:w="1550"/>
        <w:gridCol w:w="8940"/>
      </w:tblGrid>
      <w:tr w:rsidR="007E2F9F" w:rsidRPr="0029796A" w14:paraId="04DA9D94" w14:textId="77777777" w:rsidTr="006548F8">
        <w:tc>
          <w:tcPr>
            <w:tcW w:w="1550" w:type="dxa"/>
          </w:tcPr>
          <w:p w14:paraId="2B3BCA70" w14:textId="77777777" w:rsidR="007E2F9F" w:rsidRPr="0029796A" w:rsidRDefault="007E2F9F" w:rsidP="006548F8">
            <w:pPr>
              <w:jc w:val="center"/>
              <w:rPr>
                <w:rFonts w:ascii="Arial" w:hAnsi="Arial" w:cs="Arial"/>
                <w:b/>
              </w:rPr>
            </w:pPr>
            <w:r w:rsidRPr="0029796A">
              <w:rPr>
                <w:rFonts w:ascii="Arial" w:hAnsi="Arial" w:cs="Arial"/>
                <w:b/>
              </w:rPr>
              <w:t xml:space="preserve">N° </w:t>
            </w:r>
            <w:r>
              <w:rPr>
                <w:rFonts w:ascii="Arial" w:hAnsi="Arial" w:cs="Arial"/>
                <w:b/>
              </w:rPr>
              <w:t xml:space="preserve">DE LA UNIDAD EJECUTORA </w:t>
            </w:r>
            <w:r w:rsidRPr="0029796A">
              <w:rPr>
                <w:rFonts w:ascii="Arial" w:hAnsi="Arial" w:cs="Arial"/>
                <w:b/>
              </w:rPr>
              <w:t>EN LA RESOLUCIÓN</w:t>
            </w:r>
          </w:p>
          <w:p w14:paraId="2FD1E249" w14:textId="77777777" w:rsidR="007E2F9F" w:rsidRPr="0029796A" w:rsidRDefault="007E2F9F" w:rsidP="006548F8">
            <w:pPr>
              <w:ind w:right="-460"/>
              <w:jc w:val="both"/>
              <w:rPr>
                <w:rFonts w:ascii="Arial" w:hAnsi="Arial" w:cs="Arial"/>
                <w:b/>
              </w:rPr>
            </w:pPr>
          </w:p>
        </w:tc>
        <w:tc>
          <w:tcPr>
            <w:tcW w:w="8940" w:type="dxa"/>
          </w:tcPr>
          <w:p w14:paraId="21E2DBD2" w14:textId="77777777" w:rsidR="007E2F9F" w:rsidRPr="0029796A" w:rsidRDefault="007E2F9F" w:rsidP="006548F8">
            <w:pPr>
              <w:ind w:left="-533" w:right="-460"/>
              <w:jc w:val="center"/>
              <w:rPr>
                <w:rFonts w:ascii="Arial" w:hAnsi="Arial" w:cs="Arial"/>
                <w:b/>
              </w:rPr>
            </w:pPr>
            <w:r w:rsidRPr="0029796A">
              <w:rPr>
                <w:rFonts w:ascii="Arial" w:hAnsi="Arial" w:cs="Arial"/>
                <w:b/>
              </w:rPr>
              <w:t>UNIDAD EJECUTORA DEL PRESUPUESTO GENERAL DE LA NACIÓN</w:t>
            </w:r>
          </w:p>
          <w:p w14:paraId="1717BDD7" w14:textId="77777777" w:rsidR="007E2F9F" w:rsidRPr="0029796A" w:rsidRDefault="007E2F9F" w:rsidP="006548F8">
            <w:pPr>
              <w:ind w:right="-460"/>
              <w:jc w:val="center"/>
              <w:rPr>
                <w:rFonts w:ascii="Arial" w:hAnsi="Arial" w:cs="Arial"/>
                <w:b/>
              </w:rPr>
            </w:pPr>
            <w:r w:rsidRPr="0029796A">
              <w:rPr>
                <w:rFonts w:ascii="Arial" w:hAnsi="Arial" w:cs="Arial"/>
                <w:b/>
              </w:rPr>
              <w:t>202</w:t>
            </w:r>
            <w:r>
              <w:rPr>
                <w:rFonts w:ascii="Arial" w:hAnsi="Arial" w:cs="Arial"/>
                <w:b/>
              </w:rPr>
              <w:t>4</w:t>
            </w:r>
          </w:p>
        </w:tc>
      </w:tr>
      <w:tr w:rsidR="007E2F9F" w:rsidRPr="0029796A" w14:paraId="311B22D8" w14:textId="77777777" w:rsidTr="006548F8">
        <w:tc>
          <w:tcPr>
            <w:tcW w:w="1550" w:type="dxa"/>
          </w:tcPr>
          <w:p w14:paraId="51DBDA48" w14:textId="77777777" w:rsidR="007E2F9F" w:rsidRPr="0029796A" w:rsidRDefault="007E2F9F" w:rsidP="006548F8">
            <w:pPr>
              <w:ind w:left="-113" w:right="-108"/>
              <w:jc w:val="center"/>
              <w:rPr>
                <w:rFonts w:ascii="Arial" w:hAnsi="Arial" w:cs="Arial"/>
                <w:b/>
              </w:rPr>
            </w:pPr>
            <w:r>
              <w:rPr>
                <w:rFonts w:ascii="Arial" w:hAnsi="Arial" w:cs="Arial"/>
                <w:b/>
              </w:rPr>
              <w:t>2</w:t>
            </w:r>
          </w:p>
        </w:tc>
        <w:tc>
          <w:tcPr>
            <w:tcW w:w="8940" w:type="dxa"/>
          </w:tcPr>
          <w:p w14:paraId="7A51D9BD" w14:textId="77777777" w:rsidR="007E2F9F" w:rsidRPr="00F947A7" w:rsidRDefault="007E2F9F" w:rsidP="006548F8">
            <w:pPr>
              <w:jc w:val="both"/>
              <w:rPr>
                <w:rFonts w:ascii="Arial" w:hAnsi="Arial" w:cs="Arial"/>
                <w:b/>
                <w:sz w:val="22"/>
                <w:szCs w:val="22"/>
                <w:lang w:val="es-MX"/>
              </w:rPr>
            </w:pPr>
            <w:r w:rsidRPr="00F947A7">
              <w:rPr>
                <w:rFonts w:ascii="Arial" w:hAnsi="Arial" w:cs="Arial"/>
                <w:b/>
                <w:sz w:val="22"/>
                <w:szCs w:val="22"/>
                <w:lang w:val="es-MX"/>
              </w:rPr>
              <w:t>U.A.E. DIRECCIÓN DE IMPUESTOS Y ADUANAS NACIONALES – DIAN FUNCIÓN PAGADORA.</w:t>
            </w:r>
          </w:p>
        </w:tc>
      </w:tr>
      <w:tr w:rsidR="007E2F9F" w:rsidRPr="0029796A" w14:paraId="5D07AD7B" w14:textId="77777777" w:rsidTr="006548F8">
        <w:tc>
          <w:tcPr>
            <w:tcW w:w="1550" w:type="dxa"/>
          </w:tcPr>
          <w:p w14:paraId="7914839E" w14:textId="77777777" w:rsidR="007E2F9F" w:rsidRDefault="007E2F9F" w:rsidP="006548F8">
            <w:pPr>
              <w:ind w:left="-113" w:right="-108"/>
              <w:jc w:val="center"/>
              <w:rPr>
                <w:rFonts w:ascii="Arial" w:hAnsi="Arial" w:cs="Arial"/>
                <w:b/>
              </w:rPr>
            </w:pPr>
            <w:r>
              <w:rPr>
                <w:rFonts w:ascii="Arial" w:hAnsi="Arial" w:cs="Arial"/>
                <w:b/>
              </w:rPr>
              <w:t>7</w:t>
            </w:r>
          </w:p>
        </w:tc>
        <w:tc>
          <w:tcPr>
            <w:tcW w:w="8940" w:type="dxa"/>
          </w:tcPr>
          <w:p w14:paraId="230A4BB9" w14:textId="77777777" w:rsidR="007E2F9F" w:rsidRPr="00F669FD" w:rsidRDefault="007E2F9F" w:rsidP="006548F8">
            <w:pPr>
              <w:jc w:val="both"/>
              <w:rPr>
                <w:rFonts w:ascii="Arial" w:hAnsi="Arial" w:cs="Arial"/>
                <w:b/>
                <w:sz w:val="22"/>
                <w:szCs w:val="22"/>
                <w:lang w:val="es-MX"/>
              </w:rPr>
            </w:pPr>
            <w:r w:rsidRPr="00F669FD">
              <w:rPr>
                <w:rFonts w:ascii="Arial" w:hAnsi="Arial" w:cs="Arial"/>
                <w:b/>
                <w:sz w:val="22"/>
                <w:szCs w:val="22"/>
              </w:rPr>
              <w:t>INSTITUTO NACIONAL DE SALUD - INS.</w:t>
            </w:r>
          </w:p>
        </w:tc>
      </w:tr>
      <w:tr w:rsidR="007E2F9F" w:rsidRPr="0029796A" w14:paraId="29D8D2E3" w14:textId="77777777" w:rsidTr="006548F8">
        <w:tc>
          <w:tcPr>
            <w:tcW w:w="1550" w:type="dxa"/>
          </w:tcPr>
          <w:p w14:paraId="0A972725" w14:textId="77777777" w:rsidR="007E2F9F" w:rsidRDefault="007E2F9F" w:rsidP="006548F8">
            <w:pPr>
              <w:ind w:left="-113" w:right="-108"/>
              <w:jc w:val="center"/>
              <w:rPr>
                <w:rFonts w:ascii="Arial" w:hAnsi="Arial" w:cs="Arial"/>
                <w:b/>
              </w:rPr>
            </w:pPr>
            <w:r>
              <w:rPr>
                <w:rFonts w:ascii="Arial" w:hAnsi="Arial" w:cs="Arial"/>
                <w:b/>
              </w:rPr>
              <w:t>8</w:t>
            </w:r>
          </w:p>
        </w:tc>
        <w:tc>
          <w:tcPr>
            <w:tcW w:w="8940" w:type="dxa"/>
          </w:tcPr>
          <w:p w14:paraId="63C579A6" w14:textId="77777777" w:rsidR="007E2F9F" w:rsidRPr="00F669FD" w:rsidRDefault="007E2F9F" w:rsidP="006548F8">
            <w:pPr>
              <w:jc w:val="both"/>
              <w:rPr>
                <w:rFonts w:ascii="Arial" w:hAnsi="Arial" w:cs="Arial"/>
                <w:b/>
                <w:sz w:val="22"/>
                <w:szCs w:val="22"/>
                <w:lang w:val="es-MX"/>
              </w:rPr>
            </w:pPr>
            <w:r w:rsidRPr="00F669FD">
              <w:rPr>
                <w:rFonts w:ascii="Arial" w:hAnsi="Arial" w:cs="Arial"/>
                <w:b/>
                <w:sz w:val="22"/>
                <w:szCs w:val="22"/>
              </w:rPr>
              <w:t>DEPARTAMENTO ADMINISTRATIVO DIRECCIÓN NACIONAL DE INTELIGENCIA</w:t>
            </w:r>
          </w:p>
        </w:tc>
      </w:tr>
      <w:tr w:rsidR="007E2F9F" w:rsidRPr="0029796A" w14:paraId="2CEE0032" w14:textId="77777777" w:rsidTr="006548F8">
        <w:tc>
          <w:tcPr>
            <w:tcW w:w="1550" w:type="dxa"/>
          </w:tcPr>
          <w:p w14:paraId="7E1F126C" w14:textId="77777777" w:rsidR="007E2F9F" w:rsidRDefault="007E2F9F" w:rsidP="006548F8">
            <w:pPr>
              <w:ind w:left="-113" w:right="-108"/>
              <w:jc w:val="center"/>
              <w:rPr>
                <w:rFonts w:ascii="Arial" w:hAnsi="Arial" w:cs="Arial"/>
                <w:b/>
              </w:rPr>
            </w:pPr>
            <w:r>
              <w:rPr>
                <w:rFonts w:ascii="Arial" w:hAnsi="Arial" w:cs="Arial"/>
                <w:b/>
              </w:rPr>
              <w:t>22</w:t>
            </w:r>
          </w:p>
        </w:tc>
        <w:tc>
          <w:tcPr>
            <w:tcW w:w="8940" w:type="dxa"/>
          </w:tcPr>
          <w:p w14:paraId="0912AFC6" w14:textId="77777777" w:rsidR="007E2F9F" w:rsidRPr="00F669FD" w:rsidRDefault="007E2F9F" w:rsidP="006548F8">
            <w:pPr>
              <w:jc w:val="both"/>
              <w:rPr>
                <w:rFonts w:ascii="Arial" w:hAnsi="Arial" w:cs="Arial"/>
                <w:b/>
                <w:sz w:val="22"/>
                <w:szCs w:val="22"/>
                <w:lang w:val="es-MX"/>
              </w:rPr>
            </w:pPr>
            <w:r w:rsidRPr="00F669FD">
              <w:rPr>
                <w:rFonts w:ascii="Arial" w:hAnsi="Arial" w:cs="Arial"/>
                <w:b/>
                <w:sz w:val="22"/>
                <w:szCs w:val="22"/>
                <w:lang w:val="es-MX"/>
              </w:rPr>
              <w:t>DIRECCIÓN NACIONAL DE BOMBEROS DE COLOMBIA - DNBC.</w:t>
            </w:r>
          </w:p>
        </w:tc>
      </w:tr>
      <w:tr w:rsidR="007E2F9F" w:rsidRPr="0029796A" w14:paraId="26C5DCF1" w14:textId="77777777" w:rsidTr="006548F8">
        <w:tc>
          <w:tcPr>
            <w:tcW w:w="1550" w:type="dxa"/>
          </w:tcPr>
          <w:p w14:paraId="418A39A8" w14:textId="77777777" w:rsidR="007E2F9F" w:rsidRDefault="007E2F9F" w:rsidP="006548F8">
            <w:pPr>
              <w:ind w:left="-113" w:right="-108"/>
              <w:jc w:val="center"/>
              <w:rPr>
                <w:rFonts w:ascii="Arial" w:hAnsi="Arial" w:cs="Arial"/>
                <w:b/>
              </w:rPr>
            </w:pPr>
            <w:r>
              <w:rPr>
                <w:rFonts w:ascii="Arial" w:hAnsi="Arial" w:cs="Arial"/>
                <w:b/>
              </w:rPr>
              <w:lastRenderedPageBreak/>
              <w:t>23</w:t>
            </w:r>
          </w:p>
        </w:tc>
        <w:tc>
          <w:tcPr>
            <w:tcW w:w="8940" w:type="dxa"/>
          </w:tcPr>
          <w:p w14:paraId="6ED2C469" w14:textId="77777777" w:rsidR="007E2F9F" w:rsidRPr="00F669FD" w:rsidRDefault="007E2F9F" w:rsidP="006548F8">
            <w:pPr>
              <w:jc w:val="both"/>
              <w:rPr>
                <w:rFonts w:ascii="Arial" w:hAnsi="Arial" w:cs="Arial"/>
                <w:b/>
                <w:sz w:val="22"/>
                <w:szCs w:val="22"/>
                <w:lang w:val="es-MX"/>
              </w:rPr>
            </w:pPr>
            <w:r w:rsidRPr="00F669FD">
              <w:rPr>
                <w:rFonts w:ascii="Arial" w:hAnsi="Arial" w:cs="Arial"/>
                <w:b/>
                <w:sz w:val="22"/>
                <w:szCs w:val="22"/>
                <w:lang w:val="es-MX"/>
              </w:rPr>
              <w:t>INSTITUTO NACIONAL DE VÍAS - INVÍAS.</w:t>
            </w:r>
          </w:p>
        </w:tc>
      </w:tr>
      <w:tr w:rsidR="007E2F9F" w:rsidRPr="0029796A" w14:paraId="2AF650D3" w14:textId="77777777" w:rsidTr="006548F8">
        <w:tc>
          <w:tcPr>
            <w:tcW w:w="1550" w:type="dxa"/>
          </w:tcPr>
          <w:p w14:paraId="0FB9D981" w14:textId="77777777" w:rsidR="007E2F9F" w:rsidRDefault="007E2F9F" w:rsidP="006548F8">
            <w:pPr>
              <w:ind w:left="-113" w:right="-108"/>
              <w:jc w:val="center"/>
              <w:rPr>
                <w:rFonts w:ascii="Arial" w:hAnsi="Arial" w:cs="Arial"/>
                <w:b/>
              </w:rPr>
            </w:pPr>
            <w:r>
              <w:rPr>
                <w:rFonts w:ascii="Arial" w:hAnsi="Arial" w:cs="Arial"/>
                <w:b/>
              </w:rPr>
              <w:t>26</w:t>
            </w:r>
          </w:p>
        </w:tc>
        <w:tc>
          <w:tcPr>
            <w:tcW w:w="8940" w:type="dxa"/>
          </w:tcPr>
          <w:p w14:paraId="67D9D612" w14:textId="77777777" w:rsidR="007E2F9F" w:rsidRPr="00F669FD" w:rsidRDefault="007E2F9F" w:rsidP="006548F8">
            <w:pPr>
              <w:jc w:val="both"/>
              <w:rPr>
                <w:rFonts w:ascii="Arial" w:hAnsi="Arial" w:cs="Arial"/>
                <w:b/>
                <w:sz w:val="22"/>
                <w:szCs w:val="22"/>
                <w:lang w:val="es-MX"/>
              </w:rPr>
            </w:pPr>
            <w:r w:rsidRPr="00F669FD">
              <w:rPr>
                <w:rFonts w:ascii="Arial" w:hAnsi="Arial" w:cs="Arial"/>
                <w:b/>
                <w:sz w:val="22"/>
                <w:szCs w:val="22"/>
              </w:rPr>
              <w:t>AGENCIA NACIONAL INMOBILIARIA - VIRGILIO BARCO VARGAS</w:t>
            </w:r>
          </w:p>
        </w:tc>
      </w:tr>
      <w:tr w:rsidR="007E2F9F" w:rsidRPr="0029796A" w14:paraId="0CAE68F0" w14:textId="77777777" w:rsidTr="006548F8">
        <w:tc>
          <w:tcPr>
            <w:tcW w:w="1550" w:type="dxa"/>
          </w:tcPr>
          <w:p w14:paraId="468771CA" w14:textId="77777777" w:rsidR="007E2F9F" w:rsidRDefault="007E2F9F" w:rsidP="006548F8">
            <w:pPr>
              <w:ind w:left="-113" w:right="-108"/>
              <w:jc w:val="center"/>
              <w:rPr>
                <w:rFonts w:ascii="Arial" w:hAnsi="Arial" w:cs="Arial"/>
                <w:b/>
              </w:rPr>
            </w:pPr>
            <w:r>
              <w:rPr>
                <w:rFonts w:ascii="Arial" w:hAnsi="Arial" w:cs="Arial"/>
                <w:b/>
              </w:rPr>
              <w:t>30</w:t>
            </w:r>
          </w:p>
        </w:tc>
        <w:tc>
          <w:tcPr>
            <w:tcW w:w="8940" w:type="dxa"/>
          </w:tcPr>
          <w:p w14:paraId="552522A1" w14:textId="77777777" w:rsidR="007E2F9F" w:rsidRPr="00E129BF" w:rsidRDefault="007E2F9F" w:rsidP="006548F8">
            <w:pPr>
              <w:jc w:val="both"/>
              <w:rPr>
                <w:rFonts w:ascii="Arial" w:hAnsi="Arial" w:cs="Arial"/>
                <w:b/>
                <w:sz w:val="22"/>
                <w:szCs w:val="22"/>
                <w:lang w:val="es-MX"/>
              </w:rPr>
            </w:pPr>
            <w:r w:rsidRPr="00E129BF">
              <w:rPr>
                <w:rFonts w:ascii="Arial" w:hAnsi="Arial" w:cs="Arial"/>
                <w:b/>
                <w:sz w:val="22"/>
                <w:szCs w:val="22"/>
                <w:lang w:val="es-MX"/>
              </w:rPr>
              <w:t>JURISDICCION ESPECIAL PARA LA PAZ - JEP.</w:t>
            </w:r>
          </w:p>
        </w:tc>
      </w:tr>
      <w:tr w:rsidR="007E2F9F" w:rsidRPr="0029796A" w14:paraId="43ACA900" w14:textId="77777777" w:rsidTr="006548F8">
        <w:tc>
          <w:tcPr>
            <w:tcW w:w="1550" w:type="dxa"/>
          </w:tcPr>
          <w:p w14:paraId="19FC68A0" w14:textId="77777777" w:rsidR="007E2F9F" w:rsidRDefault="007E2F9F" w:rsidP="006548F8">
            <w:pPr>
              <w:ind w:left="-113" w:right="-108"/>
              <w:jc w:val="center"/>
              <w:rPr>
                <w:rFonts w:ascii="Arial" w:hAnsi="Arial" w:cs="Arial"/>
                <w:b/>
              </w:rPr>
            </w:pPr>
            <w:r>
              <w:rPr>
                <w:rFonts w:ascii="Arial" w:hAnsi="Arial" w:cs="Arial"/>
                <w:b/>
              </w:rPr>
              <w:t>39</w:t>
            </w:r>
          </w:p>
        </w:tc>
        <w:tc>
          <w:tcPr>
            <w:tcW w:w="8940" w:type="dxa"/>
          </w:tcPr>
          <w:p w14:paraId="034686C3" w14:textId="77777777" w:rsidR="007E2F9F" w:rsidRPr="00613153" w:rsidRDefault="007E2F9F" w:rsidP="006548F8">
            <w:pPr>
              <w:jc w:val="both"/>
              <w:rPr>
                <w:rFonts w:ascii="Arial" w:hAnsi="Arial" w:cs="Arial"/>
                <w:b/>
                <w:sz w:val="22"/>
                <w:szCs w:val="22"/>
                <w:lang w:val="es-MX"/>
              </w:rPr>
            </w:pPr>
            <w:r w:rsidRPr="00613153">
              <w:rPr>
                <w:rFonts w:ascii="Arial" w:hAnsi="Arial" w:cs="Arial"/>
                <w:b/>
                <w:sz w:val="22"/>
                <w:szCs w:val="22"/>
                <w:lang w:val="es-MX"/>
              </w:rPr>
              <w:t>MINISTERIO DE IGUALDAD Y EQUIDAD.</w:t>
            </w:r>
          </w:p>
        </w:tc>
      </w:tr>
      <w:tr w:rsidR="007E2F9F" w:rsidRPr="0029796A" w14:paraId="07BE673A" w14:textId="77777777" w:rsidTr="006548F8">
        <w:tc>
          <w:tcPr>
            <w:tcW w:w="1550" w:type="dxa"/>
          </w:tcPr>
          <w:p w14:paraId="51DC4DC0" w14:textId="77777777" w:rsidR="007E2F9F" w:rsidRDefault="007E2F9F" w:rsidP="006548F8">
            <w:pPr>
              <w:ind w:left="-113" w:right="-108"/>
              <w:jc w:val="center"/>
              <w:rPr>
                <w:rFonts w:ascii="Arial" w:hAnsi="Arial" w:cs="Arial"/>
                <w:b/>
              </w:rPr>
            </w:pPr>
            <w:r>
              <w:rPr>
                <w:rFonts w:ascii="Arial" w:hAnsi="Arial" w:cs="Arial"/>
                <w:b/>
              </w:rPr>
              <w:t>43</w:t>
            </w:r>
          </w:p>
        </w:tc>
        <w:tc>
          <w:tcPr>
            <w:tcW w:w="8940" w:type="dxa"/>
          </w:tcPr>
          <w:p w14:paraId="0B9FAD0C" w14:textId="77777777" w:rsidR="007E2F9F" w:rsidRPr="00C94266" w:rsidRDefault="007E2F9F" w:rsidP="006548F8">
            <w:pPr>
              <w:jc w:val="both"/>
              <w:rPr>
                <w:rFonts w:ascii="Arial" w:hAnsi="Arial" w:cs="Arial"/>
                <w:b/>
                <w:sz w:val="22"/>
                <w:szCs w:val="22"/>
                <w:lang w:val="es-MX"/>
              </w:rPr>
            </w:pPr>
            <w:r w:rsidRPr="00C94266">
              <w:rPr>
                <w:rFonts w:ascii="Arial" w:hAnsi="Arial" w:cs="Arial"/>
                <w:b/>
                <w:sz w:val="22"/>
                <w:szCs w:val="22"/>
                <w:lang w:val="es-MX"/>
              </w:rPr>
              <w:t>CÁMARA DE REPRESENTANTES</w:t>
            </w:r>
            <w:r>
              <w:rPr>
                <w:rFonts w:ascii="Arial" w:hAnsi="Arial" w:cs="Arial"/>
                <w:b/>
                <w:sz w:val="22"/>
                <w:szCs w:val="22"/>
                <w:lang w:val="es-MX"/>
              </w:rPr>
              <w:t>.</w:t>
            </w:r>
          </w:p>
        </w:tc>
      </w:tr>
      <w:tr w:rsidR="007E2F9F" w:rsidRPr="0029796A" w14:paraId="6BEA4EB5" w14:textId="77777777" w:rsidTr="006548F8">
        <w:tc>
          <w:tcPr>
            <w:tcW w:w="1550" w:type="dxa"/>
          </w:tcPr>
          <w:p w14:paraId="2E8AC296" w14:textId="77777777" w:rsidR="007E2F9F" w:rsidRDefault="007E2F9F" w:rsidP="006548F8">
            <w:pPr>
              <w:ind w:left="-113" w:right="-108"/>
              <w:jc w:val="center"/>
              <w:rPr>
                <w:rFonts w:ascii="Arial" w:hAnsi="Arial" w:cs="Arial"/>
                <w:b/>
              </w:rPr>
            </w:pPr>
            <w:r>
              <w:rPr>
                <w:rFonts w:ascii="Arial" w:hAnsi="Arial" w:cs="Arial"/>
                <w:b/>
              </w:rPr>
              <w:t>47</w:t>
            </w:r>
          </w:p>
        </w:tc>
        <w:tc>
          <w:tcPr>
            <w:tcW w:w="8940" w:type="dxa"/>
          </w:tcPr>
          <w:p w14:paraId="1C57B5E8" w14:textId="77777777" w:rsidR="007E2F9F" w:rsidRPr="00B07952" w:rsidRDefault="007E2F9F" w:rsidP="006548F8">
            <w:pPr>
              <w:jc w:val="both"/>
              <w:rPr>
                <w:rFonts w:ascii="Arial" w:hAnsi="Arial" w:cs="Arial"/>
                <w:b/>
                <w:sz w:val="22"/>
                <w:szCs w:val="22"/>
                <w:lang w:val="es-MX"/>
              </w:rPr>
            </w:pPr>
            <w:r w:rsidRPr="00B07952">
              <w:rPr>
                <w:rFonts w:ascii="Arial" w:hAnsi="Arial" w:cs="Arial"/>
                <w:b/>
                <w:sz w:val="22"/>
                <w:szCs w:val="22"/>
                <w:lang w:val="es-MX"/>
              </w:rPr>
              <w:t>INSTITUTO COLOMBIANO DE BIENESTAR FAMILIAR – ICBF.</w:t>
            </w:r>
          </w:p>
        </w:tc>
      </w:tr>
      <w:tr w:rsidR="007E2F9F" w:rsidRPr="0029796A" w14:paraId="145892AC" w14:textId="77777777" w:rsidTr="006548F8">
        <w:tc>
          <w:tcPr>
            <w:tcW w:w="1550" w:type="dxa"/>
          </w:tcPr>
          <w:p w14:paraId="16DA7642" w14:textId="77777777" w:rsidR="007E2F9F" w:rsidRDefault="007E2F9F" w:rsidP="006548F8">
            <w:pPr>
              <w:ind w:left="-113" w:right="-108"/>
              <w:jc w:val="center"/>
              <w:rPr>
                <w:rFonts w:ascii="Arial" w:hAnsi="Arial" w:cs="Arial"/>
                <w:b/>
              </w:rPr>
            </w:pPr>
            <w:r>
              <w:rPr>
                <w:rFonts w:ascii="Arial" w:hAnsi="Arial" w:cs="Arial"/>
                <w:b/>
              </w:rPr>
              <w:t>59</w:t>
            </w:r>
          </w:p>
        </w:tc>
        <w:tc>
          <w:tcPr>
            <w:tcW w:w="8940" w:type="dxa"/>
          </w:tcPr>
          <w:p w14:paraId="55F7893B" w14:textId="77777777" w:rsidR="007E2F9F" w:rsidRPr="009A3EB9" w:rsidRDefault="007E2F9F" w:rsidP="006548F8">
            <w:pPr>
              <w:jc w:val="both"/>
              <w:rPr>
                <w:rFonts w:ascii="Arial" w:hAnsi="Arial" w:cs="Arial"/>
                <w:b/>
                <w:sz w:val="22"/>
                <w:szCs w:val="22"/>
              </w:rPr>
            </w:pPr>
            <w:r w:rsidRPr="009A3EB9">
              <w:rPr>
                <w:rFonts w:ascii="Arial" w:hAnsi="Arial" w:cs="Arial"/>
                <w:b/>
                <w:sz w:val="22"/>
                <w:szCs w:val="22"/>
              </w:rPr>
              <w:t>FONDO UNICO DE TECNOLOGÍAS DE LA INFORMACIÓN Y LAS COMUNICACIONES – FUTIC.</w:t>
            </w:r>
          </w:p>
        </w:tc>
      </w:tr>
      <w:tr w:rsidR="007E2F9F" w:rsidRPr="0029796A" w14:paraId="7DFAF7D0" w14:textId="77777777" w:rsidTr="006548F8">
        <w:tc>
          <w:tcPr>
            <w:tcW w:w="1550" w:type="dxa"/>
          </w:tcPr>
          <w:p w14:paraId="24FF9C17" w14:textId="77777777" w:rsidR="007E2F9F" w:rsidRDefault="007E2F9F" w:rsidP="006548F8">
            <w:pPr>
              <w:ind w:left="-113" w:right="-108"/>
              <w:jc w:val="center"/>
              <w:rPr>
                <w:rFonts w:ascii="Arial" w:hAnsi="Arial" w:cs="Arial"/>
                <w:b/>
              </w:rPr>
            </w:pPr>
            <w:r>
              <w:rPr>
                <w:rFonts w:ascii="Arial" w:hAnsi="Arial" w:cs="Arial"/>
                <w:b/>
              </w:rPr>
              <w:t>63</w:t>
            </w:r>
          </w:p>
        </w:tc>
        <w:tc>
          <w:tcPr>
            <w:tcW w:w="8940" w:type="dxa"/>
          </w:tcPr>
          <w:p w14:paraId="7D13DC65" w14:textId="77777777" w:rsidR="007E2F9F" w:rsidRPr="00083A70" w:rsidRDefault="007E2F9F" w:rsidP="006548F8">
            <w:pPr>
              <w:rPr>
                <w:rFonts w:ascii="Arial" w:hAnsi="Arial" w:cs="Arial"/>
                <w:b/>
                <w:sz w:val="22"/>
                <w:szCs w:val="22"/>
                <w:lang w:val="es-MX"/>
              </w:rPr>
            </w:pPr>
            <w:r w:rsidRPr="00083A70">
              <w:rPr>
                <w:rFonts w:ascii="Arial" w:hAnsi="Arial" w:cs="Arial"/>
                <w:b/>
                <w:sz w:val="22"/>
                <w:szCs w:val="22"/>
              </w:rPr>
              <w:t>AGENCIA DE RENOVACIÓN DE TERRITORIO - ART.</w:t>
            </w:r>
          </w:p>
        </w:tc>
      </w:tr>
      <w:tr w:rsidR="007E2F9F" w:rsidRPr="0029796A" w14:paraId="68EF3961" w14:textId="77777777" w:rsidTr="006548F8">
        <w:tc>
          <w:tcPr>
            <w:tcW w:w="1550" w:type="dxa"/>
          </w:tcPr>
          <w:p w14:paraId="2001E0C6" w14:textId="77777777" w:rsidR="007E2F9F" w:rsidRDefault="007E2F9F" w:rsidP="006548F8">
            <w:pPr>
              <w:ind w:left="-113" w:right="-108"/>
              <w:jc w:val="center"/>
              <w:rPr>
                <w:rFonts w:ascii="Arial" w:hAnsi="Arial" w:cs="Arial"/>
                <w:b/>
              </w:rPr>
            </w:pPr>
            <w:r>
              <w:rPr>
                <w:rFonts w:ascii="Arial" w:hAnsi="Arial" w:cs="Arial"/>
                <w:b/>
              </w:rPr>
              <w:t>67</w:t>
            </w:r>
          </w:p>
        </w:tc>
        <w:tc>
          <w:tcPr>
            <w:tcW w:w="8940" w:type="dxa"/>
          </w:tcPr>
          <w:p w14:paraId="0318C94D" w14:textId="77777777" w:rsidR="007E2F9F" w:rsidRPr="00083A70" w:rsidRDefault="007E2F9F" w:rsidP="006548F8">
            <w:pPr>
              <w:jc w:val="both"/>
              <w:rPr>
                <w:rFonts w:ascii="Arial" w:hAnsi="Arial" w:cs="Arial"/>
                <w:b/>
                <w:sz w:val="22"/>
                <w:szCs w:val="22"/>
                <w:lang w:val="es-MX"/>
              </w:rPr>
            </w:pPr>
            <w:r w:rsidRPr="00083A70">
              <w:rPr>
                <w:rFonts w:ascii="Arial" w:hAnsi="Arial" w:cs="Arial"/>
                <w:b/>
                <w:sz w:val="22"/>
                <w:szCs w:val="22"/>
                <w:lang w:val="es-MX"/>
              </w:rPr>
              <w:t>CONSEJO NACIONAL ELECTORAL - CNE.</w:t>
            </w:r>
          </w:p>
        </w:tc>
      </w:tr>
      <w:tr w:rsidR="007E2F9F" w:rsidRPr="0029796A" w14:paraId="6BECEF9B" w14:textId="77777777" w:rsidTr="006548F8">
        <w:tc>
          <w:tcPr>
            <w:tcW w:w="1550" w:type="dxa"/>
          </w:tcPr>
          <w:p w14:paraId="3C79371A" w14:textId="77777777" w:rsidR="007E2F9F" w:rsidRDefault="007E2F9F" w:rsidP="006548F8">
            <w:pPr>
              <w:ind w:left="-113" w:right="-108"/>
              <w:jc w:val="center"/>
              <w:rPr>
                <w:rFonts w:ascii="Arial" w:hAnsi="Arial" w:cs="Arial"/>
                <w:b/>
              </w:rPr>
            </w:pPr>
            <w:r>
              <w:rPr>
                <w:rFonts w:ascii="Arial" w:hAnsi="Arial" w:cs="Arial"/>
                <w:b/>
              </w:rPr>
              <w:t>68</w:t>
            </w:r>
          </w:p>
        </w:tc>
        <w:tc>
          <w:tcPr>
            <w:tcW w:w="8940" w:type="dxa"/>
          </w:tcPr>
          <w:p w14:paraId="1143AA67" w14:textId="77777777" w:rsidR="007E2F9F" w:rsidRPr="00313ECE" w:rsidRDefault="007E2F9F" w:rsidP="006548F8">
            <w:pPr>
              <w:ind w:left="469" w:hanging="470"/>
              <w:jc w:val="both"/>
              <w:rPr>
                <w:rFonts w:ascii="Arial" w:hAnsi="Arial" w:cs="Arial"/>
                <w:b/>
                <w:sz w:val="22"/>
                <w:szCs w:val="22"/>
                <w:lang w:val="es-MX"/>
              </w:rPr>
            </w:pPr>
            <w:r w:rsidRPr="00313ECE">
              <w:rPr>
                <w:rFonts w:ascii="Arial" w:hAnsi="Arial" w:cs="Arial"/>
                <w:b/>
                <w:sz w:val="22"/>
                <w:szCs w:val="22"/>
                <w:lang w:val="es-MX"/>
              </w:rPr>
              <w:t xml:space="preserve">PROCURADURÍA GENERAL DE LA NACIÓN. </w:t>
            </w:r>
          </w:p>
        </w:tc>
      </w:tr>
      <w:tr w:rsidR="007E2F9F" w:rsidRPr="0029796A" w14:paraId="41034904" w14:textId="77777777" w:rsidTr="006548F8">
        <w:tc>
          <w:tcPr>
            <w:tcW w:w="1550" w:type="dxa"/>
          </w:tcPr>
          <w:p w14:paraId="7BB1045E" w14:textId="77777777" w:rsidR="007E2F9F" w:rsidRDefault="007E2F9F" w:rsidP="006548F8">
            <w:pPr>
              <w:ind w:left="-113" w:right="-108"/>
              <w:jc w:val="center"/>
              <w:rPr>
                <w:rFonts w:ascii="Arial" w:hAnsi="Arial" w:cs="Arial"/>
                <w:b/>
              </w:rPr>
            </w:pPr>
            <w:r>
              <w:rPr>
                <w:rFonts w:ascii="Arial" w:hAnsi="Arial" w:cs="Arial"/>
                <w:b/>
              </w:rPr>
              <w:t>72</w:t>
            </w:r>
          </w:p>
        </w:tc>
        <w:tc>
          <w:tcPr>
            <w:tcW w:w="8940" w:type="dxa"/>
          </w:tcPr>
          <w:p w14:paraId="51017C1D" w14:textId="77777777" w:rsidR="007E2F9F" w:rsidRPr="00881980" w:rsidRDefault="007E2F9F" w:rsidP="006548F8">
            <w:pPr>
              <w:jc w:val="both"/>
              <w:rPr>
                <w:rFonts w:ascii="Arial" w:hAnsi="Arial" w:cs="Arial"/>
                <w:b/>
                <w:sz w:val="22"/>
                <w:szCs w:val="22"/>
                <w:lang w:val="es-MX"/>
              </w:rPr>
            </w:pPr>
            <w:r w:rsidRPr="00881980">
              <w:rPr>
                <w:rFonts w:ascii="Arial" w:hAnsi="Arial" w:cs="Arial"/>
                <w:b/>
                <w:sz w:val="22"/>
                <w:szCs w:val="22"/>
                <w:lang w:val="es-MX"/>
              </w:rPr>
              <w:t>SERVICIO GEOLÓGICO COLOMBIANO.</w:t>
            </w:r>
          </w:p>
        </w:tc>
      </w:tr>
      <w:tr w:rsidR="007E2F9F" w:rsidRPr="0029796A" w14:paraId="616CF044" w14:textId="77777777" w:rsidTr="006548F8">
        <w:tc>
          <w:tcPr>
            <w:tcW w:w="1550" w:type="dxa"/>
          </w:tcPr>
          <w:p w14:paraId="3614E82F" w14:textId="77777777" w:rsidR="007E2F9F" w:rsidRDefault="007E2F9F" w:rsidP="006548F8">
            <w:pPr>
              <w:ind w:left="-113" w:right="-108"/>
              <w:jc w:val="center"/>
              <w:rPr>
                <w:rFonts w:ascii="Arial" w:hAnsi="Arial" w:cs="Arial"/>
                <w:b/>
              </w:rPr>
            </w:pPr>
            <w:r>
              <w:rPr>
                <w:rFonts w:ascii="Arial" w:hAnsi="Arial" w:cs="Arial"/>
                <w:b/>
              </w:rPr>
              <w:t>74</w:t>
            </w:r>
          </w:p>
        </w:tc>
        <w:tc>
          <w:tcPr>
            <w:tcW w:w="8940" w:type="dxa"/>
          </w:tcPr>
          <w:p w14:paraId="5B1C22B9" w14:textId="77777777" w:rsidR="007E2F9F" w:rsidRPr="00DE18EA" w:rsidRDefault="007E2F9F" w:rsidP="006548F8">
            <w:pPr>
              <w:jc w:val="both"/>
              <w:rPr>
                <w:rFonts w:ascii="Arial" w:hAnsi="Arial" w:cs="Arial"/>
                <w:b/>
                <w:sz w:val="22"/>
                <w:szCs w:val="22"/>
                <w:lang w:val="es-MX"/>
              </w:rPr>
            </w:pPr>
            <w:r w:rsidRPr="00DE18EA">
              <w:rPr>
                <w:rFonts w:ascii="Arial" w:hAnsi="Arial" w:cs="Arial"/>
                <w:b/>
                <w:sz w:val="22"/>
                <w:szCs w:val="22"/>
                <w:lang w:val="es-MX"/>
              </w:rPr>
              <w:t>MINISTERIO DE AGRICULTURA Y DESARROLLO RURAL.</w:t>
            </w:r>
          </w:p>
        </w:tc>
      </w:tr>
      <w:tr w:rsidR="007E2F9F" w:rsidRPr="0029796A" w14:paraId="5534B58D" w14:textId="77777777" w:rsidTr="006548F8">
        <w:tc>
          <w:tcPr>
            <w:tcW w:w="1550" w:type="dxa"/>
          </w:tcPr>
          <w:p w14:paraId="2B4A5179" w14:textId="77777777" w:rsidR="007E2F9F" w:rsidRDefault="007E2F9F" w:rsidP="006548F8">
            <w:pPr>
              <w:ind w:left="-113" w:right="-108"/>
              <w:jc w:val="center"/>
              <w:rPr>
                <w:rFonts w:ascii="Arial" w:hAnsi="Arial" w:cs="Arial"/>
                <w:b/>
              </w:rPr>
            </w:pPr>
            <w:r>
              <w:rPr>
                <w:rFonts w:ascii="Arial" w:hAnsi="Arial" w:cs="Arial"/>
                <w:b/>
              </w:rPr>
              <w:t>79</w:t>
            </w:r>
          </w:p>
        </w:tc>
        <w:tc>
          <w:tcPr>
            <w:tcW w:w="8940" w:type="dxa"/>
          </w:tcPr>
          <w:p w14:paraId="5D245098" w14:textId="77777777" w:rsidR="007E2F9F" w:rsidRPr="00D14E9E" w:rsidRDefault="007E2F9F" w:rsidP="006548F8">
            <w:pPr>
              <w:jc w:val="both"/>
              <w:rPr>
                <w:rFonts w:ascii="Arial" w:hAnsi="Arial" w:cs="Arial"/>
                <w:b/>
                <w:sz w:val="22"/>
                <w:szCs w:val="22"/>
                <w:lang w:val="es-MX"/>
              </w:rPr>
            </w:pPr>
            <w:r w:rsidRPr="00D14E9E">
              <w:rPr>
                <w:rFonts w:ascii="Arial" w:hAnsi="Arial" w:cs="Arial"/>
                <w:b/>
                <w:sz w:val="22"/>
                <w:szCs w:val="22"/>
                <w:lang w:val="es-MX"/>
              </w:rPr>
              <w:t>MINISTERIO DEL DEPORTE.</w:t>
            </w:r>
          </w:p>
        </w:tc>
      </w:tr>
      <w:tr w:rsidR="007E2F9F" w:rsidRPr="0029796A" w14:paraId="13C83510" w14:textId="77777777" w:rsidTr="006548F8">
        <w:tc>
          <w:tcPr>
            <w:tcW w:w="1550" w:type="dxa"/>
          </w:tcPr>
          <w:p w14:paraId="6225D65C" w14:textId="77777777" w:rsidR="007E2F9F" w:rsidRDefault="007E2F9F" w:rsidP="006548F8">
            <w:pPr>
              <w:ind w:left="-113" w:right="-108"/>
              <w:jc w:val="center"/>
              <w:rPr>
                <w:rFonts w:ascii="Arial" w:hAnsi="Arial" w:cs="Arial"/>
                <w:b/>
              </w:rPr>
            </w:pPr>
            <w:r>
              <w:rPr>
                <w:rFonts w:ascii="Arial" w:hAnsi="Arial" w:cs="Arial"/>
                <w:b/>
              </w:rPr>
              <w:t>80</w:t>
            </w:r>
          </w:p>
        </w:tc>
        <w:tc>
          <w:tcPr>
            <w:tcW w:w="8940" w:type="dxa"/>
          </w:tcPr>
          <w:p w14:paraId="609D7617" w14:textId="77777777" w:rsidR="007E2F9F" w:rsidRPr="000E1475" w:rsidRDefault="007E2F9F" w:rsidP="006548F8">
            <w:pPr>
              <w:ind w:right="49"/>
              <w:jc w:val="both"/>
              <w:rPr>
                <w:rFonts w:ascii="Arial" w:hAnsi="Arial" w:cs="Arial"/>
                <w:b/>
                <w:sz w:val="22"/>
                <w:szCs w:val="22"/>
              </w:rPr>
            </w:pPr>
            <w:r w:rsidRPr="000E1475">
              <w:rPr>
                <w:rFonts w:ascii="Arial" w:hAnsi="Arial" w:cs="Arial"/>
                <w:b/>
                <w:sz w:val="22"/>
                <w:szCs w:val="22"/>
              </w:rPr>
              <w:t xml:space="preserve">UNIDAD ADMINISTRATIVA ESPECIAL DE ALIMENTACIÓN ESCOLAR - ALIMENTOS PARA APRENDER. </w:t>
            </w:r>
          </w:p>
        </w:tc>
      </w:tr>
      <w:tr w:rsidR="007E2F9F" w:rsidRPr="0029796A" w14:paraId="177C8BFC" w14:textId="77777777" w:rsidTr="006548F8">
        <w:tc>
          <w:tcPr>
            <w:tcW w:w="1550" w:type="dxa"/>
          </w:tcPr>
          <w:p w14:paraId="02A85F16" w14:textId="77777777" w:rsidR="007E2F9F" w:rsidRDefault="007E2F9F" w:rsidP="006548F8">
            <w:pPr>
              <w:ind w:left="-113" w:right="-108"/>
              <w:jc w:val="center"/>
              <w:rPr>
                <w:rFonts w:ascii="Arial" w:hAnsi="Arial" w:cs="Arial"/>
                <w:b/>
              </w:rPr>
            </w:pPr>
            <w:r>
              <w:rPr>
                <w:rFonts w:ascii="Arial" w:hAnsi="Arial" w:cs="Arial"/>
                <w:b/>
              </w:rPr>
              <w:t>88</w:t>
            </w:r>
          </w:p>
        </w:tc>
        <w:tc>
          <w:tcPr>
            <w:tcW w:w="8940" w:type="dxa"/>
          </w:tcPr>
          <w:p w14:paraId="10549248" w14:textId="77777777" w:rsidR="007E2F9F" w:rsidRPr="000B73EA" w:rsidRDefault="007E2F9F" w:rsidP="006548F8">
            <w:pPr>
              <w:jc w:val="both"/>
              <w:rPr>
                <w:rFonts w:ascii="Arial" w:hAnsi="Arial" w:cs="Arial"/>
                <w:b/>
                <w:sz w:val="22"/>
                <w:szCs w:val="22"/>
                <w:lang w:val="es-MX"/>
              </w:rPr>
            </w:pPr>
            <w:r w:rsidRPr="000B73EA">
              <w:rPr>
                <w:rFonts w:ascii="Arial" w:hAnsi="Arial" w:cs="Arial"/>
                <w:b/>
                <w:sz w:val="22"/>
                <w:szCs w:val="22"/>
                <w:lang w:val="es-MX"/>
              </w:rPr>
              <w:t>SENADO DE LA REPÚBLICA.</w:t>
            </w:r>
          </w:p>
        </w:tc>
      </w:tr>
      <w:tr w:rsidR="007E2F9F" w:rsidRPr="0029796A" w14:paraId="75D399F5" w14:textId="77777777" w:rsidTr="006548F8">
        <w:tc>
          <w:tcPr>
            <w:tcW w:w="1550" w:type="dxa"/>
          </w:tcPr>
          <w:p w14:paraId="2012F307" w14:textId="77777777" w:rsidR="007E2F9F" w:rsidRDefault="007E2F9F" w:rsidP="006548F8">
            <w:pPr>
              <w:ind w:left="-113" w:right="-108"/>
              <w:jc w:val="center"/>
              <w:rPr>
                <w:rFonts w:ascii="Arial" w:hAnsi="Arial" w:cs="Arial"/>
                <w:b/>
              </w:rPr>
            </w:pPr>
            <w:r>
              <w:rPr>
                <w:rFonts w:ascii="Arial" w:hAnsi="Arial" w:cs="Arial"/>
                <w:b/>
              </w:rPr>
              <w:t>99</w:t>
            </w:r>
          </w:p>
        </w:tc>
        <w:tc>
          <w:tcPr>
            <w:tcW w:w="8940" w:type="dxa"/>
          </w:tcPr>
          <w:p w14:paraId="12021B07" w14:textId="77777777" w:rsidR="007E2F9F" w:rsidRPr="00C03CE6" w:rsidRDefault="007E2F9F" w:rsidP="006548F8">
            <w:pPr>
              <w:jc w:val="both"/>
              <w:rPr>
                <w:rFonts w:ascii="Arial" w:hAnsi="Arial" w:cs="Arial"/>
                <w:b/>
                <w:sz w:val="22"/>
                <w:szCs w:val="22"/>
                <w:lang w:val="es-MX"/>
              </w:rPr>
            </w:pPr>
            <w:r w:rsidRPr="00C03CE6">
              <w:rPr>
                <w:rFonts w:ascii="Arial" w:hAnsi="Arial" w:cs="Arial"/>
                <w:b/>
                <w:sz w:val="22"/>
                <w:szCs w:val="22"/>
                <w:lang w:val="es-MX"/>
              </w:rPr>
              <w:t>DEPARTAMENTO ADMINISTRATIVO PARA LA PROSPERIDAD SOCIAL - DPS.</w:t>
            </w:r>
          </w:p>
        </w:tc>
      </w:tr>
      <w:tr w:rsidR="007E2F9F" w:rsidRPr="0029796A" w14:paraId="69AFAC4D" w14:textId="77777777" w:rsidTr="006548F8">
        <w:tc>
          <w:tcPr>
            <w:tcW w:w="1550" w:type="dxa"/>
          </w:tcPr>
          <w:p w14:paraId="51C6319B" w14:textId="77777777" w:rsidR="007E2F9F" w:rsidRDefault="007E2F9F" w:rsidP="006548F8">
            <w:pPr>
              <w:ind w:left="-113" w:right="-108"/>
              <w:jc w:val="center"/>
              <w:rPr>
                <w:rFonts w:ascii="Arial" w:hAnsi="Arial" w:cs="Arial"/>
                <w:b/>
              </w:rPr>
            </w:pPr>
            <w:r>
              <w:rPr>
                <w:rFonts w:ascii="Arial" w:hAnsi="Arial" w:cs="Arial"/>
                <w:b/>
              </w:rPr>
              <w:t>109</w:t>
            </w:r>
          </w:p>
        </w:tc>
        <w:tc>
          <w:tcPr>
            <w:tcW w:w="8940" w:type="dxa"/>
          </w:tcPr>
          <w:p w14:paraId="3B69ECD6" w14:textId="77777777" w:rsidR="007E2F9F" w:rsidRPr="00595B69" w:rsidRDefault="007E2F9F" w:rsidP="006548F8">
            <w:pPr>
              <w:jc w:val="both"/>
              <w:rPr>
                <w:rFonts w:ascii="Arial" w:hAnsi="Arial" w:cs="Arial"/>
                <w:b/>
                <w:sz w:val="22"/>
                <w:szCs w:val="22"/>
                <w:lang w:val="es-MX"/>
              </w:rPr>
            </w:pPr>
            <w:r w:rsidRPr="00595B69">
              <w:rPr>
                <w:rFonts w:ascii="Arial" w:hAnsi="Arial" w:cs="Arial"/>
                <w:b/>
                <w:sz w:val="22"/>
                <w:szCs w:val="22"/>
                <w:lang w:val="es-MX"/>
              </w:rPr>
              <w:t xml:space="preserve">INSTITUTO TOLIMENSE DE FORMACIÓN TÉCNICA PROFESIONAL – ITFIP. </w:t>
            </w:r>
          </w:p>
        </w:tc>
      </w:tr>
      <w:tr w:rsidR="007E2F9F" w:rsidRPr="0029796A" w14:paraId="0D1EA64A" w14:textId="77777777" w:rsidTr="006548F8">
        <w:tc>
          <w:tcPr>
            <w:tcW w:w="1550" w:type="dxa"/>
          </w:tcPr>
          <w:p w14:paraId="1371E8A8" w14:textId="77777777" w:rsidR="007E2F9F" w:rsidRDefault="007E2F9F" w:rsidP="006548F8">
            <w:pPr>
              <w:ind w:left="-113" w:right="-108"/>
              <w:jc w:val="center"/>
              <w:rPr>
                <w:rFonts w:ascii="Arial" w:hAnsi="Arial" w:cs="Arial"/>
                <w:b/>
              </w:rPr>
            </w:pPr>
            <w:r>
              <w:rPr>
                <w:rFonts w:ascii="Arial" w:hAnsi="Arial" w:cs="Arial"/>
                <w:b/>
              </w:rPr>
              <w:t>113</w:t>
            </w:r>
          </w:p>
        </w:tc>
        <w:tc>
          <w:tcPr>
            <w:tcW w:w="8940" w:type="dxa"/>
          </w:tcPr>
          <w:p w14:paraId="13F730FA" w14:textId="77777777" w:rsidR="007E2F9F" w:rsidRPr="0018228B" w:rsidRDefault="007E2F9F" w:rsidP="006548F8">
            <w:pPr>
              <w:jc w:val="both"/>
              <w:rPr>
                <w:rFonts w:ascii="Arial" w:hAnsi="Arial" w:cs="Arial"/>
                <w:b/>
                <w:sz w:val="22"/>
                <w:szCs w:val="22"/>
                <w:lang w:val="es-MX"/>
              </w:rPr>
            </w:pPr>
            <w:r w:rsidRPr="0018228B">
              <w:rPr>
                <w:rFonts w:ascii="Arial" w:hAnsi="Arial" w:cs="Arial"/>
                <w:b/>
                <w:sz w:val="22"/>
                <w:szCs w:val="22"/>
                <w:lang w:val="es-MX"/>
              </w:rPr>
              <w:t>REGISTRADURÍA NACIONAL DEL ESTADO CIVIL.</w:t>
            </w:r>
          </w:p>
        </w:tc>
      </w:tr>
      <w:tr w:rsidR="007E2F9F" w:rsidRPr="0029796A" w14:paraId="4CA7BF9A" w14:textId="77777777" w:rsidTr="006548F8">
        <w:tc>
          <w:tcPr>
            <w:tcW w:w="1550" w:type="dxa"/>
          </w:tcPr>
          <w:p w14:paraId="6BDE1296" w14:textId="77777777" w:rsidR="007E2F9F" w:rsidRDefault="007E2F9F" w:rsidP="006548F8">
            <w:pPr>
              <w:ind w:left="-113" w:right="-108"/>
              <w:jc w:val="center"/>
              <w:rPr>
                <w:rFonts w:ascii="Arial" w:hAnsi="Arial" w:cs="Arial"/>
                <w:b/>
              </w:rPr>
            </w:pPr>
            <w:r>
              <w:rPr>
                <w:rFonts w:ascii="Arial" w:hAnsi="Arial" w:cs="Arial"/>
                <w:b/>
              </w:rPr>
              <w:t>122</w:t>
            </w:r>
          </w:p>
        </w:tc>
        <w:tc>
          <w:tcPr>
            <w:tcW w:w="8940" w:type="dxa"/>
          </w:tcPr>
          <w:p w14:paraId="417BFD0D" w14:textId="77777777" w:rsidR="007E2F9F" w:rsidRPr="00E81C85" w:rsidRDefault="007E2F9F" w:rsidP="006548F8">
            <w:pPr>
              <w:jc w:val="both"/>
              <w:rPr>
                <w:rFonts w:ascii="Arial" w:hAnsi="Arial" w:cs="Arial"/>
                <w:b/>
                <w:sz w:val="22"/>
                <w:szCs w:val="22"/>
                <w:lang w:val="es-MX"/>
              </w:rPr>
            </w:pPr>
            <w:r w:rsidRPr="00E81C85">
              <w:rPr>
                <w:rFonts w:ascii="Arial" w:hAnsi="Arial" w:cs="Arial"/>
                <w:b/>
                <w:sz w:val="22"/>
                <w:szCs w:val="22"/>
                <w:lang w:val="es-MX"/>
              </w:rPr>
              <w:t xml:space="preserve">UNIDAD NACIONAL DE PROTECCIÓN – UNP. </w:t>
            </w:r>
          </w:p>
        </w:tc>
      </w:tr>
      <w:tr w:rsidR="007E2F9F" w:rsidRPr="0029796A" w14:paraId="7AEE4294" w14:textId="77777777" w:rsidTr="006548F8">
        <w:tc>
          <w:tcPr>
            <w:tcW w:w="1550" w:type="dxa"/>
          </w:tcPr>
          <w:p w14:paraId="5A6E55A7" w14:textId="77777777" w:rsidR="007E2F9F" w:rsidRDefault="007E2F9F" w:rsidP="006548F8">
            <w:pPr>
              <w:ind w:left="-113" w:right="-108"/>
              <w:jc w:val="center"/>
              <w:rPr>
                <w:rFonts w:ascii="Arial" w:hAnsi="Arial" w:cs="Arial"/>
                <w:b/>
              </w:rPr>
            </w:pPr>
            <w:r>
              <w:rPr>
                <w:rFonts w:ascii="Arial" w:hAnsi="Arial" w:cs="Arial"/>
                <w:b/>
              </w:rPr>
              <w:t>129</w:t>
            </w:r>
          </w:p>
        </w:tc>
        <w:tc>
          <w:tcPr>
            <w:tcW w:w="8940" w:type="dxa"/>
          </w:tcPr>
          <w:p w14:paraId="55D8D849" w14:textId="77777777" w:rsidR="007E2F9F" w:rsidRPr="007006F4" w:rsidRDefault="007E2F9F" w:rsidP="006548F8">
            <w:pPr>
              <w:jc w:val="both"/>
              <w:rPr>
                <w:rFonts w:ascii="Arial" w:hAnsi="Arial" w:cs="Arial"/>
                <w:b/>
                <w:sz w:val="22"/>
                <w:szCs w:val="22"/>
                <w:lang w:val="es-MX"/>
              </w:rPr>
            </w:pPr>
            <w:r w:rsidRPr="007006F4">
              <w:rPr>
                <w:rFonts w:ascii="Arial" w:hAnsi="Arial" w:cs="Arial"/>
                <w:b/>
                <w:sz w:val="22"/>
                <w:szCs w:val="22"/>
              </w:rPr>
              <w:t>UNIDAD DE SERVICIOS PENITENCIARIOS Y CARCELARIOS – USPEC</w:t>
            </w:r>
            <w:r>
              <w:rPr>
                <w:rFonts w:ascii="Arial" w:hAnsi="Arial" w:cs="Arial"/>
                <w:b/>
                <w:sz w:val="22"/>
                <w:szCs w:val="22"/>
                <w:lang w:val="es-MX"/>
              </w:rPr>
              <w:t>.</w:t>
            </w:r>
          </w:p>
        </w:tc>
      </w:tr>
      <w:tr w:rsidR="007E2F9F" w:rsidRPr="0029796A" w14:paraId="6C6837E0" w14:textId="77777777" w:rsidTr="006548F8">
        <w:tc>
          <w:tcPr>
            <w:tcW w:w="1550" w:type="dxa"/>
          </w:tcPr>
          <w:p w14:paraId="217D34B5" w14:textId="77777777" w:rsidR="007E2F9F" w:rsidRDefault="007E2F9F" w:rsidP="006548F8">
            <w:pPr>
              <w:ind w:left="-113" w:right="-108"/>
              <w:jc w:val="center"/>
              <w:rPr>
                <w:rFonts w:ascii="Arial" w:hAnsi="Arial" w:cs="Arial"/>
                <w:b/>
              </w:rPr>
            </w:pPr>
            <w:r>
              <w:rPr>
                <w:rFonts w:ascii="Arial" w:hAnsi="Arial" w:cs="Arial"/>
                <w:b/>
              </w:rPr>
              <w:t>149</w:t>
            </w:r>
          </w:p>
        </w:tc>
        <w:tc>
          <w:tcPr>
            <w:tcW w:w="8940" w:type="dxa"/>
          </w:tcPr>
          <w:p w14:paraId="5B5BD0DB" w14:textId="77777777" w:rsidR="007E2F9F" w:rsidRPr="00ED625F" w:rsidRDefault="007E2F9F" w:rsidP="006548F8">
            <w:pPr>
              <w:jc w:val="both"/>
              <w:rPr>
                <w:rFonts w:ascii="Arial" w:hAnsi="Arial" w:cs="Arial"/>
                <w:b/>
                <w:sz w:val="22"/>
                <w:szCs w:val="22"/>
                <w:lang w:val="es-MX"/>
              </w:rPr>
            </w:pPr>
            <w:r w:rsidRPr="00ED625F">
              <w:rPr>
                <w:rFonts w:ascii="Arial" w:hAnsi="Arial" w:cs="Arial"/>
                <w:b/>
                <w:sz w:val="22"/>
                <w:szCs w:val="22"/>
                <w:lang w:val="es-MX"/>
              </w:rPr>
              <w:t>U.A.E. AERONAUTICA CIVIL - AEROCIVIL.</w:t>
            </w:r>
          </w:p>
        </w:tc>
      </w:tr>
      <w:tr w:rsidR="007E2F9F" w:rsidRPr="0029796A" w14:paraId="04B03B03" w14:textId="77777777" w:rsidTr="006548F8">
        <w:tc>
          <w:tcPr>
            <w:tcW w:w="1550" w:type="dxa"/>
          </w:tcPr>
          <w:p w14:paraId="75346FCD" w14:textId="77777777" w:rsidR="007E2F9F" w:rsidRDefault="007E2F9F" w:rsidP="006548F8">
            <w:pPr>
              <w:ind w:left="-113" w:right="-108"/>
              <w:jc w:val="center"/>
              <w:rPr>
                <w:rFonts w:ascii="Arial" w:hAnsi="Arial" w:cs="Arial"/>
                <w:b/>
              </w:rPr>
            </w:pPr>
            <w:r>
              <w:rPr>
                <w:rFonts w:ascii="Arial" w:hAnsi="Arial" w:cs="Arial"/>
                <w:b/>
              </w:rPr>
              <w:t>172</w:t>
            </w:r>
          </w:p>
        </w:tc>
        <w:tc>
          <w:tcPr>
            <w:tcW w:w="8940" w:type="dxa"/>
          </w:tcPr>
          <w:p w14:paraId="77B20D2C" w14:textId="77777777" w:rsidR="007E2F9F" w:rsidRPr="0024419C" w:rsidRDefault="007E2F9F" w:rsidP="006548F8">
            <w:pPr>
              <w:jc w:val="both"/>
              <w:rPr>
                <w:rFonts w:ascii="Arial" w:hAnsi="Arial" w:cs="Arial"/>
                <w:b/>
                <w:sz w:val="22"/>
                <w:szCs w:val="22"/>
              </w:rPr>
            </w:pPr>
            <w:r w:rsidRPr="0024419C">
              <w:rPr>
                <w:rFonts w:ascii="Arial" w:hAnsi="Arial" w:cs="Arial"/>
                <w:b/>
                <w:sz w:val="22"/>
                <w:szCs w:val="22"/>
                <w:lang w:val="es-MX"/>
              </w:rPr>
              <w:t>POLICÍA NACIONAL.</w:t>
            </w:r>
          </w:p>
        </w:tc>
      </w:tr>
      <w:tr w:rsidR="007E2F9F" w:rsidRPr="0029796A" w14:paraId="75A5FF8E" w14:textId="77777777" w:rsidTr="006548F8">
        <w:tc>
          <w:tcPr>
            <w:tcW w:w="1550" w:type="dxa"/>
          </w:tcPr>
          <w:p w14:paraId="77D49676" w14:textId="77777777" w:rsidR="007E2F9F" w:rsidRDefault="007E2F9F" w:rsidP="006548F8">
            <w:pPr>
              <w:ind w:left="-113" w:right="-108"/>
              <w:jc w:val="center"/>
              <w:rPr>
                <w:rFonts w:ascii="Arial" w:hAnsi="Arial" w:cs="Arial"/>
                <w:b/>
              </w:rPr>
            </w:pPr>
            <w:r>
              <w:rPr>
                <w:rFonts w:ascii="Arial" w:hAnsi="Arial" w:cs="Arial"/>
                <w:b/>
              </w:rPr>
              <w:t>181</w:t>
            </w:r>
          </w:p>
        </w:tc>
        <w:tc>
          <w:tcPr>
            <w:tcW w:w="8940" w:type="dxa"/>
          </w:tcPr>
          <w:p w14:paraId="319D2BCC" w14:textId="77777777" w:rsidR="007E2F9F" w:rsidRPr="00B4784B" w:rsidRDefault="007E2F9F" w:rsidP="006548F8">
            <w:pPr>
              <w:jc w:val="both"/>
              <w:rPr>
                <w:rFonts w:ascii="Arial" w:hAnsi="Arial" w:cs="Arial"/>
                <w:b/>
                <w:sz w:val="22"/>
                <w:szCs w:val="22"/>
                <w:lang w:val="es-MX"/>
              </w:rPr>
            </w:pPr>
            <w:r w:rsidRPr="00B4784B">
              <w:rPr>
                <w:rFonts w:ascii="Arial" w:hAnsi="Arial" w:cs="Arial"/>
                <w:b/>
                <w:sz w:val="22"/>
                <w:szCs w:val="22"/>
                <w:lang w:val="es-MX"/>
              </w:rPr>
              <w:t>AGENCIA DE DESARROLLO RURAL – ADR.</w:t>
            </w:r>
          </w:p>
        </w:tc>
      </w:tr>
      <w:tr w:rsidR="007E2F9F" w:rsidRPr="0029796A" w14:paraId="4FF86B57" w14:textId="77777777" w:rsidTr="006548F8">
        <w:tc>
          <w:tcPr>
            <w:tcW w:w="1550" w:type="dxa"/>
          </w:tcPr>
          <w:p w14:paraId="7C49F19A" w14:textId="77777777" w:rsidR="007E2F9F" w:rsidRDefault="007E2F9F" w:rsidP="006548F8">
            <w:pPr>
              <w:ind w:left="-113" w:right="-108"/>
              <w:jc w:val="center"/>
              <w:rPr>
                <w:rFonts w:ascii="Arial" w:hAnsi="Arial" w:cs="Arial"/>
                <w:b/>
              </w:rPr>
            </w:pPr>
            <w:r>
              <w:rPr>
                <w:rFonts w:ascii="Arial" w:hAnsi="Arial" w:cs="Arial"/>
                <w:b/>
              </w:rPr>
              <w:t>227</w:t>
            </w:r>
          </w:p>
        </w:tc>
        <w:tc>
          <w:tcPr>
            <w:tcW w:w="8940" w:type="dxa"/>
          </w:tcPr>
          <w:p w14:paraId="3BC6AD70" w14:textId="77777777" w:rsidR="007E2F9F" w:rsidRPr="007F4047" w:rsidRDefault="007E2F9F" w:rsidP="006548F8">
            <w:pPr>
              <w:ind w:left="39"/>
              <w:jc w:val="both"/>
              <w:rPr>
                <w:rFonts w:ascii="Arial" w:hAnsi="Arial" w:cs="Arial"/>
                <w:b/>
                <w:sz w:val="22"/>
                <w:szCs w:val="22"/>
                <w:lang w:val="es-MX"/>
              </w:rPr>
            </w:pPr>
            <w:r w:rsidRPr="007F4047">
              <w:rPr>
                <w:rFonts w:ascii="Arial" w:hAnsi="Arial" w:cs="Arial"/>
                <w:b/>
                <w:sz w:val="22"/>
                <w:szCs w:val="22"/>
                <w:lang w:val="es-MX"/>
              </w:rPr>
              <w:t>DEPARTAMENTO ADMINISTRATIVO DE LA PRESIDENCIA DE LA REPÚBLICA – DAPRE.</w:t>
            </w:r>
          </w:p>
        </w:tc>
      </w:tr>
      <w:tr w:rsidR="007E2F9F" w:rsidRPr="0029796A" w14:paraId="626A7170" w14:textId="77777777" w:rsidTr="006548F8">
        <w:tc>
          <w:tcPr>
            <w:tcW w:w="1550" w:type="dxa"/>
          </w:tcPr>
          <w:p w14:paraId="083AD7A7" w14:textId="77777777" w:rsidR="007E2F9F" w:rsidRDefault="007E2F9F" w:rsidP="006548F8">
            <w:pPr>
              <w:ind w:left="-113" w:right="-108"/>
              <w:jc w:val="center"/>
              <w:rPr>
                <w:rFonts w:ascii="Arial" w:hAnsi="Arial" w:cs="Arial"/>
                <w:b/>
              </w:rPr>
            </w:pPr>
            <w:r>
              <w:rPr>
                <w:rFonts w:ascii="Arial" w:hAnsi="Arial" w:cs="Arial"/>
                <w:b/>
              </w:rPr>
              <w:t>229</w:t>
            </w:r>
          </w:p>
        </w:tc>
        <w:tc>
          <w:tcPr>
            <w:tcW w:w="8940" w:type="dxa"/>
          </w:tcPr>
          <w:p w14:paraId="546FDC7C" w14:textId="77777777" w:rsidR="007E2F9F" w:rsidRPr="00E70E1D" w:rsidRDefault="007E2F9F" w:rsidP="006548F8">
            <w:pPr>
              <w:jc w:val="both"/>
              <w:rPr>
                <w:rFonts w:ascii="Arial" w:hAnsi="Arial" w:cs="Arial"/>
                <w:b/>
                <w:sz w:val="22"/>
                <w:szCs w:val="22"/>
                <w:lang w:val="es-MX"/>
              </w:rPr>
            </w:pPr>
            <w:r w:rsidRPr="00E70E1D">
              <w:rPr>
                <w:rFonts w:ascii="Arial" w:hAnsi="Arial" w:cs="Arial"/>
                <w:b/>
                <w:sz w:val="22"/>
                <w:szCs w:val="22"/>
              </w:rPr>
              <w:t>CAJA DE RETIRO DE LAS FUERZAS MILITARES - CREMIL</w:t>
            </w:r>
            <w:r w:rsidRPr="00E70E1D">
              <w:rPr>
                <w:rFonts w:ascii="Arial" w:hAnsi="Arial" w:cs="Arial"/>
                <w:b/>
                <w:sz w:val="22"/>
                <w:szCs w:val="22"/>
                <w:lang w:val="es-MX"/>
              </w:rPr>
              <w:t>.</w:t>
            </w:r>
          </w:p>
        </w:tc>
      </w:tr>
      <w:tr w:rsidR="007E2F9F" w:rsidRPr="0029796A" w14:paraId="4715A711" w14:textId="77777777" w:rsidTr="006548F8">
        <w:tc>
          <w:tcPr>
            <w:tcW w:w="1550" w:type="dxa"/>
          </w:tcPr>
          <w:p w14:paraId="288EC136" w14:textId="77777777" w:rsidR="007E2F9F" w:rsidRPr="00F01F21" w:rsidRDefault="007E2F9F" w:rsidP="006548F8">
            <w:pPr>
              <w:jc w:val="center"/>
              <w:rPr>
                <w:rFonts w:ascii="Arial" w:hAnsi="Arial" w:cs="Arial"/>
                <w:b/>
              </w:rPr>
            </w:pPr>
            <w:r w:rsidRPr="00F01F21">
              <w:rPr>
                <w:rFonts w:ascii="Arial" w:hAnsi="Arial" w:cs="Arial"/>
                <w:b/>
              </w:rPr>
              <w:t>240</w:t>
            </w:r>
          </w:p>
        </w:tc>
        <w:tc>
          <w:tcPr>
            <w:tcW w:w="8940" w:type="dxa"/>
          </w:tcPr>
          <w:p w14:paraId="07970133" w14:textId="77777777" w:rsidR="007E2F9F" w:rsidRPr="00F01F21" w:rsidRDefault="007E2F9F" w:rsidP="006548F8">
            <w:pPr>
              <w:jc w:val="both"/>
              <w:rPr>
                <w:rFonts w:ascii="Arial" w:hAnsi="Arial" w:cs="Arial"/>
                <w:b/>
                <w:sz w:val="22"/>
                <w:szCs w:val="22"/>
                <w:lang w:val="es-MX"/>
              </w:rPr>
            </w:pPr>
            <w:r w:rsidRPr="00F01F21">
              <w:rPr>
                <w:rFonts w:ascii="Arial" w:hAnsi="Arial" w:cs="Arial"/>
                <w:b/>
                <w:sz w:val="22"/>
                <w:szCs w:val="22"/>
              </w:rPr>
              <w:t>AUTORIDAD NACIONAL DE LICENCIAS AMBIENTALES - ANLA</w:t>
            </w:r>
            <w:r w:rsidRPr="00F01F21">
              <w:rPr>
                <w:rFonts w:ascii="Arial" w:hAnsi="Arial" w:cs="Arial"/>
                <w:b/>
                <w:sz w:val="22"/>
                <w:szCs w:val="22"/>
                <w:lang w:val="es-MX"/>
              </w:rPr>
              <w:t>.</w:t>
            </w:r>
          </w:p>
        </w:tc>
      </w:tr>
      <w:tr w:rsidR="007E2F9F" w:rsidRPr="0029796A" w14:paraId="056346E9" w14:textId="77777777" w:rsidTr="006548F8">
        <w:tc>
          <w:tcPr>
            <w:tcW w:w="1550" w:type="dxa"/>
          </w:tcPr>
          <w:p w14:paraId="24B71117" w14:textId="77777777" w:rsidR="007E2F9F" w:rsidRPr="00F01F21" w:rsidRDefault="007E2F9F" w:rsidP="006548F8">
            <w:pPr>
              <w:jc w:val="center"/>
              <w:rPr>
                <w:rFonts w:ascii="Arial" w:hAnsi="Arial" w:cs="Arial"/>
                <w:b/>
              </w:rPr>
            </w:pPr>
            <w:r>
              <w:rPr>
                <w:rFonts w:ascii="Arial" w:hAnsi="Arial" w:cs="Arial"/>
                <w:b/>
              </w:rPr>
              <w:t>257</w:t>
            </w:r>
          </w:p>
        </w:tc>
        <w:tc>
          <w:tcPr>
            <w:tcW w:w="8940" w:type="dxa"/>
          </w:tcPr>
          <w:p w14:paraId="1E1777FF" w14:textId="77777777" w:rsidR="007E2F9F" w:rsidRPr="00B978D5" w:rsidRDefault="007E2F9F" w:rsidP="006548F8">
            <w:pPr>
              <w:ind w:right="38"/>
              <w:jc w:val="both"/>
              <w:rPr>
                <w:rFonts w:ascii="Arial" w:hAnsi="Arial" w:cs="Arial"/>
                <w:b/>
                <w:sz w:val="22"/>
                <w:szCs w:val="22"/>
                <w:lang w:val="es-MX"/>
              </w:rPr>
            </w:pPr>
            <w:r w:rsidRPr="00B978D5">
              <w:rPr>
                <w:rFonts w:ascii="Arial" w:hAnsi="Arial" w:cs="Arial"/>
                <w:b/>
                <w:sz w:val="22"/>
                <w:szCs w:val="22"/>
                <w:lang w:val="es-MX"/>
              </w:rPr>
              <w:t>AGENCIA PARA LA REINCORPORACIÓN Y LA NORMALIZACIÓN – ARN.</w:t>
            </w:r>
          </w:p>
        </w:tc>
      </w:tr>
      <w:tr w:rsidR="007E2F9F" w:rsidRPr="0029796A" w14:paraId="2873E89E" w14:textId="77777777" w:rsidTr="006548F8">
        <w:tc>
          <w:tcPr>
            <w:tcW w:w="1550" w:type="dxa"/>
          </w:tcPr>
          <w:p w14:paraId="4CA400E1" w14:textId="77777777" w:rsidR="007E2F9F" w:rsidRDefault="007E2F9F" w:rsidP="006548F8">
            <w:pPr>
              <w:jc w:val="center"/>
              <w:rPr>
                <w:rFonts w:ascii="Arial" w:hAnsi="Arial" w:cs="Arial"/>
                <w:b/>
              </w:rPr>
            </w:pPr>
            <w:r>
              <w:rPr>
                <w:rFonts w:ascii="Arial" w:hAnsi="Arial" w:cs="Arial"/>
                <w:b/>
              </w:rPr>
              <w:t>264</w:t>
            </w:r>
          </w:p>
        </w:tc>
        <w:tc>
          <w:tcPr>
            <w:tcW w:w="8940" w:type="dxa"/>
          </w:tcPr>
          <w:p w14:paraId="4AC2A655" w14:textId="77777777" w:rsidR="007E2F9F" w:rsidRPr="00C23E4A" w:rsidRDefault="007E2F9F" w:rsidP="006548F8">
            <w:pPr>
              <w:jc w:val="both"/>
              <w:rPr>
                <w:rFonts w:ascii="Arial" w:hAnsi="Arial" w:cs="Arial"/>
                <w:b/>
                <w:sz w:val="22"/>
                <w:szCs w:val="22"/>
                <w:lang w:val="es-MX"/>
              </w:rPr>
            </w:pPr>
            <w:r w:rsidRPr="00C23E4A">
              <w:rPr>
                <w:rFonts w:ascii="Arial" w:hAnsi="Arial" w:cs="Arial"/>
                <w:b/>
                <w:sz w:val="22"/>
                <w:szCs w:val="22"/>
                <w:lang w:val="es-MX"/>
              </w:rPr>
              <w:t>MINISTERIO DE EDUCACIÓN NACIONAL.</w:t>
            </w:r>
          </w:p>
        </w:tc>
      </w:tr>
      <w:tr w:rsidR="007E2F9F" w:rsidRPr="0029796A" w14:paraId="7A48BDBD" w14:textId="77777777" w:rsidTr="006548F8">
        <w:tc>
          <w:tcPr>
            <w:tcW w:w="1550" w:type="dxa"/>
          </w:tcPr>
          <w:p w14:paraId="01AFB1CB" w14:textId="77777777" w:rsidR="007E2F9F" w:rsidRDefault="007E2F9F" w:rsidP="006548F8">
            <w:pPr>
              <w:jc w:val="center"/>
              <w:rPr>
                <w:rFonts w:ascii="Arial" w:hAnsi="Arial" w:cs="Arial"/>
                <w:b/>
              </w:rPr>
            </w:pPr>
            <w:r>
              <w:rPr>
                <w:rFonts w:ascii="Arial" w:hAnsi="Arial" w:cs="Arial"/>
                <w:b/>
              </w:rPr>
              <w:t>269</w:t>
            </w:r>
          </w:p>
        </w:tc>
        <w:tc>
          <w:tcPr>
            <w:tcW w:w="8940" w:type="dxa"/>
          </w:tcPr>
          <w:p w14:paraId="4C447BA8" w14:textId="77777777" w:rsidR="007E2F9F" w:rsidRPr="00A06319" w:rsidRDefault="007E2F9F" w:rsidP="006548F8">
            <w:pPr>
              <w:ind w:right="-93"/>
              <w:jc w:val="both"/>
              <w:rPr>
                <w:rFonts w:ascii="Arial" w:hAnsi="Arial" w:cs="Arial"/>
                <w:b/>
                <w:sz w:val="22"/>
                <w:szCs w:val="22"/>
                <w:lang w:val="es-MX"/>
              </w:rPr>
            </w:pPr>
            <w:r w:rsidRPr="00A06319">
              <w:rPr>
                <w:rFonts w:ascii="Arial" w:hAnsi="Arial" w:cs="Arial"/>
                <w:b/>
                <w:sz w:val="22"/>
                <w:szCs w:val="22"/>
                <w:lang w:val="es-MX"/>
              </w:rPr>
              <w:t>DEPARTAMENTO ADMINISTRATIVO NACIONAL DE ESTADÍSTICA - DANE.</w:t>
            </w:r>
          </w:p>
        </w:tc>
      </w:tr>
      <w:tr w:rsidR="007E2F9F" w:rsidRPr="0029796A" w14:paraId="7B3FA26B" w14:textId="77777777" w:rsidTr="006548F8">
        <w:tc>
          <w:tcPr>
            <w:tcW w:w="1550" w:type="dxa"/>
          </w:tcPr>
          <w:p w14:paraId="53A3E71B" w14:textId="77777777" w:rsidR="007E2F9F" w:rsidRDefault="007E2F9F" w:rsidP="006548F8">
            <w:pPr>
              <w:jc w:val="center"/>
              <w:rPr>
                <w:rFonts w:ascii="Arial" w:hAnsi="Arial" w:cs="Arial"/>
                <w:b/>
              </w:rPr>
            </w:pPr>
            <w:r>
              <w:rPr>
                <w:rFonts w:ascii="Arial" w:hAnsi="Arial" w:cs="Arial"/>
                <w:b/>
              </w:rPr>
              <w:t>273</w:t>
            </w:r>
          </w:p>
        </w:tc>
        <w:tc>
          <w:tcPr>
            <w:tcW w:w="8940" w:type="dxa"/>
          </w:tcPr>
          <w:p w14:paraId="51E5E2EE" w14:textId="77777777" w:rsidR="007E2F9F" w:rsidRPr="000E70F1" w:rsidRDefault="007E2F9F" w:rsidP="006548F8">
            <w:pPr>
              <w:jc w:val="both"/>
              <w:rPr>
                <w:rFonts w:ascii="Arial" w:hAnsi="Arial" w:cs="Arial"/>
                <w:b/>
                <w:sz w:val="22"/>
                <w:szCs w:val="22"/>
                <w:lang w:val="es-MX"/>
              </w:rPr>
            </w:pPr>
            <w:r w:rsidRPr="000E70F1">
              <w:rPr>
                <w:rFonts w:ascii="Arial" w:hAnsi="Arial" w:cs="Arial"/>
                <w:b/>
                <w:sz w:val="22"/>
                <w:szCs w:val="22"/>
                <w:lang w:val="es-MX"/>
              </w:rPr>
              <w:t>FISCALÍA GENERAL DE LA NACIÓN.</w:t>
            </w:r>
          </w:p>
        </w:tc>
      </w:tr>
      <w:tr w:rsidR="007E2F9F" w:rsidRPr="0029796A" w14:paraId="3CF69621" w14:textId="77777777" w:rsidTr="006548F8">
        <w:tc>
          <w:tcPr>
            <w:tcW w:w="1550" w:type="dxa"/>
          </w:tcPr>
          <w:p w14:paraId="5346DA88" w14:textId="77777777" w:rsidR="007E2F9F" w:rsidRDefault="007E2F9F" w:rsidP="006548F8">
            <w:pPr>
              <w:jc w:val="center"/>
              <w:rPr>
                <w:rFonts w:ascii="Arial" w:hAnsi="Arial" w:cs="Arial"/>
                <w:b/>
              </w:rPr>
            </w:pPr>
            <w:r>
              <w:rPr>
                <w:rFonts w:ascii="Arial" w:hAnsi="Arial" w:cs="Arial"/>
                <w:b/>
              </w:rPr>
              <w:t>296</w:t>
            </w:r>
          </w:p>
        </w:tc>
        <w:tc>
          <w:tcPr>
            <w:tcW w:w="8940" w:type="dxa"/>
          </w:tcPr>
          <w:p w14:paraId="603A7064" w14:textId="77777777" w:rsidR="007E2F9F" w:rsidRPr="007A0CBD" w:rsidRDefault="007E2F9F" w:rsidP="006548F8">
            <w:pPr>
              <w:rPr>
                <w:rFonts w:ascii="Arial" w:hAnsi="Arial" w:cs="Arial"/>
                <w:b/>
                <w:sz w:val="22"/>
                <w:szCs w:val="22"/>
                <w:lang w:val="es-MX"/>
              </w:rPr>
            </w:pPr>
            <w:r w:rsidRPr="007A0CBD">
              <w:rPr>
                <w:rFonts w:ascii="Arial" w:hAnsi="Arial" w:cs="Arial"/>
                <w:b/>
                <w:sz w:val="22"/>
                <w:szCs w:val="22"/>
                <w:lang w:val="es-MX"/>
              </w:rPr>
              <w:t>AGENCIA NACIONAL DE MINERIA - ANM.</w:t>
            </w:r>
          </w:p>
        </w:tc>
      </w:tr>
      <w:tr w:rsidR="007E2F9F" w:rsidRPr="0029796A" w14:paraId="77BF2DA0" w14:textId="77777777" w:rsidTr="006548F8">
        <w:tc>
          <w:tcPr>
            <w:tcW w:w="1550" w:type="dxa"/>
          </w:tcPr>
          <w:p w14:paraId="5AEA35BF" w14:textId="77777777" w:rsidR="007E2F9F" w:rsidRDefault="007E2F9F" w:rsidP="006548F8">
            <w:pPr>
              <w:jc w:val="center"/>
              <w:rPr>
                <w:rFonts w:ascii="Arial" w:hAnsi="Arial" w:cs="Arial"/>
                <w:b/>
              </w:rPr>
            </w:pPr>
            <w:r>
              <w:rPr>
                <w:rFonts w:ascii="Arial" w:hAnsi="Arial" w:cs="Arial"/>
                <w:b/>
              </w:rPr>
              <w:t>302</w:t>
            </w:r>
          </w:p>
        </w:tc>
        <w:tc>
          <w:tcPr>
            <w:tcW w:w="8940" w:type="dxa"/>
          </w:tcPr>
          <w:p w14:paraId="661CBE58" w14:textId="77777777" w:rsidR="007E2F9F" w:rsidRPr="009B6243" w:rsidRDefault="007E2F9F" w:rsidP="006548F8">
            <w:pPr>
              <w:jc w:val="both"/>
              <w:rPr>
                <w:rFonts w:ascii="Arial" w:hAnsi="Arial" w:cs="Arial"/>
                <w:b/>
                <w:sz w:val="22"/>
                <w:szCs w:val="22"/>
                <w:lang w:val="es-MX"/>
              </w:rPr>
            </w:pPr>
            <w:r w:rsidRPr="009B6243">
              <w:rPr>
                <w:rFonts w:ascii="Arial" w:hAnsi="Arial" w:cs="Arial"/>
                <w:b/>
                <w:sz w:val="22"/>
                <w:szCs w:val="22"/>
                <w:lang w:val="es-MX"/>
              </w:rPr>
              <w:t>MINISTERIO DE SALUD Y PROTECCIÓN SOCIAL.</w:t>
            </w:r>
          </w:p>
        </w:tc>
      </w:tr>
      <w:tr w:rsidR="007E2F9F" w:rsidRPr="0029796A" w14:paraId="4D83F36B" w14:textId="77777777" w:rsidTr="006548F8">
        <w:tc>
          <w:tcPr>
            <w:tcW w:w="1550" w:type="dxa"/>
          </w:tcPr>
          <w:p w14:paraId="7C465665" w14:textId="77777777" w:rsidR="007E2F9F" w:rsidRDefault="007E2F9F" w:rsidP="006548F8">
            <w:pPr>
              <w:jc w:val="center"/>
              <w:rPr>
                <w:rFonts w:ascii="Arial" w:hAnsi="Arial" w:cs="Arial"/>
                <w:b/>
              </w:rPr>
            </w:pPr>
            <w:r>
              <w:rPr>
                <w:rFonts w:ascii="Arial" w:hAnsi="Arial" w:cs="Arial"/>
                <w:b/>
              </w:rPr>
              <w:t>304</w:t>
            </w:r>
          </w:p>
        </w:tc>
        <w:tc>
          <w:tcPr>
            <w:tcW w:w="8940" w:type="dxa"/>
          </w:tcPr>
          <w:p w14:paraId="316D69E3" w14:textId="77777777" w:rsidR="007E2F9F" w:rsidRPr="002E2B02" w:rsidRDefault="007E2F9F" w:rsidP="006548F8">
            <w:pPr>
              <w:ind w:right="-93"/>
              <w:jc w:val="both"/>
              <w:rPr>
                <w:rFonts w:ascii="Arial" w:hAnsi="Arial" w:cs="Arial"/>
                <w:b/>
                <w:sz w:val="22"/>
                <w:szCs w:val="22"/>
                <w:lang w:val="es-MX"/>
              </w:rPr>
            </w:pPr>
            <w:r w:rsidRPr="002E2B02">
              <w:rPr>
                <w:rFonts w:ascii="Arial" w:hAnsi="Arial" w:cs="Arial"/>
                <w:b/>
                <w:sz w:val="22"/>
                <w:szCs w:val="22"/>
                <w:lang w:val="es-MX"/>
              </w:rPr>
              <w:t>FONDO ROTATORIO DE LA REGISTRADURÍA NACIONAL DEL ESTADO CIVIL.</w:t>
            </w:r>
          </w:p>
        </w:tc>
      </w:tr>
      <w:tr w:rsidR="007E2F9F" w:rsidRPr="0029796A" w14:paraId="226DD124" w14:textId="77777777" w:rsidTr="006548F8">
        <w:tc>
          <w:tcPr>
            <w:tcW w:w="1550" w:type="dxa"/>
          </w:tcPr>
          <w:p w14:paraId="5A1E346C" w14:textId="77777777" w:rsidR="007E2F9F" w:rsidRDefault="007E2F9F" w:rsidP="006548F8">
            <w:pPr>
              <w:jc w:val="center"/>
              <w:rPr>
                <w:rFonts w:ascii="Arial" w:hAnsi="Arial" w:cs="Arial"/>
                <w:b/>
              </w:rPr>
            </w:pPr>
            <w:r>
              <w:rPr>
                <w:rFonts w:ascii="Arial" w:hAnsi="Arial" w:cs="Arial"/>
                <w:b/>
              </w:rPr>
              <w:t>314</w:t>
            </w:r>
          </w:p>
        </w:tc>
        <w:tc>
          <w:tcPr>
            <w:tcW w:w="8940" w:type="dxa"/>
          </w:tcPr>
          <w:p w14:paraId="53CE0A4B" w14:textId="77777777" w:rsidR="007E2F9F" w:rsidRPr="00B341C5" w:rsidRDefault="007E2F9F" w:rsidP="006548F8">
            <w:pPr>
              <w:jc w:val="both"/>
              <w:rPr>
                <w:rFonts w:ascii="Arial" w:hAnsi="Arial" w:cs="Arial"/>
                <w:b/>
                <w:sz w:val="22"/>
                <w:szCs w:val="22"/>
                <w:lang w:val="es-MX"/>
              </w:rPr>
            </w:pPr>
            <w:r w:rsidRPr="00B341C5">
              <w:rPr>
                <w:rFonts w:ascii="Arial" w:hAnsi="Arial" w:cs="Arial"/>
                <w:b/>
                <w:sz w:val="22"/>
                <w:szCs w:val="22"/>
                <w:lang w:val="es-CO"/>
              </w:rPr>
              <w:t>UNIDAD ADMINISTRATIVA ESPECIAL DE GESTIÓN DE RESTITUCIÓN DE TIERRAS DESPOJADAS.</w:t>
            </w:r>
          </w:p>
        </w:tc>
      </w:tr>
      <w:tr w:rsidR="007E2F9F" w:rsidRPr="0029796A" w14:paraId="72BD9A1D" w14:textId="77777777" w:rsidTr="006548F8">
        <w:tc>
          <w:tcPr>
            <w:tcW w:w="1550" w:type="dxa"/>
          </w:tcPr>
          <w:p w14:paraId="69FD0926" w14:textId="77777777" w:rsidR="007E2F9F" w:rsidRDefault="007E2F9F" w:rsidP="006548F8">
            <w:pPr>
              <w:jc w:val="center"/>
              <w:rPr>
                <w:rFonts w:ascii="Arial" w:hAnsi="Arial" w:cs="Arial"/>
                <w:b/>
              </w:rPr>
            </w:pPr>
            <w:r>
              <w:rPr>
                <w:rFonts w:ascii="Arial" w:hAnsi="Arial" w:cs="Arial"/>
                <w:b/>
              </w:rPr>
              <w:t>333</w:t>
            </w:r>
          </w:p>
        </w:tc>
        <w:tc>
          <w:tcPr>
            <w:tcW w:w="8940" w:type="dxa"/>
          </w:tcPr>
          <w:p w14:paraId="2B54E40D" w14:textId="77777777" w:rsidR="007E2F9F" w:rsidRPr="00F26DEE" w:rsidRDefault="007E2F9F" w:rsidP="006548F8">
            <w:pPr>
              <w:jc w:val="both"/>
              <w:rPr>
                <w:rFonts w:ascii="Arial" w:hAnsi="Arial" w:cs="Arial"/>
                <w:b/>
                <w:sz w:val="22"/>
                <w:szCs w:val="22"/>
                <w:lang w:val="es-MX"/>
              </w:rPr>
            </w:pPr>
            <w:r w:rsidRPr="00F26DEE">
              <w:rPr>
                <w:rFonts w:ascii="Arial" w:hAnsi="Arial" w:cs="Arial"/>
                <w:b/>
                <w:sz w:val="22"/>
                <w:szCs w:val="22"/>
                <w:lang w:val="es-MX"/>
              </w:rPr>
              <w:t>FONDO ROTATORIO DEL MINISTERIO DE RELACIONES EXTERIORES.</w:t>
            </w:r>
          </w:p>
        </w:tc>
      </w:tr>
      <w:tr w:rsidR="007E2F9F" w:rsidRPr="0029796A" w14:paraId="345EED0D" w14:textId="77777777" w:rsidTr="006548F8">
        <w:tc>
          <w:tcPr>
            <w:tcW w:w="1550" w:type="dxa"/>
          </w:tcPr>
          <w:p w14:paraId="6ECE511B" w14:textId="77777777" w:rsidR="007E2F9F" w:rsidRDefault="007E2F9F" w:rsidP="006548F8">
            <w:pPr>
              <w:jc w:val="center"/>
              <w:rPr>
                <w:rFonts w:ascii="Arial" w:hAnsi="Arial" w:cs="Arial"/>
                <w:b/>
              </w:rPr>
            </w:pPr>
            <w:r>
              <w:rPr>
                <w:rFonts w:ascii="Arial" w:hAnsi="Arial" w:cs="Arial"/>
                <w:b/>
              </w:rPr>
              <w:t>334</w:t>
            </w:r>
          </w:p>
        </w:tc>
        <w:tc>
          <w:tcPr>
            <w:tcW w:w="8940" w:type="dxa"/>
          </w:tcPr>
          <w:p w14:paraId="7C0A5B56" w14:textId="77777777" w:rsidR="007E2F9F" w:rsidRPr="00FE5291" w:rsidRDefault="007E2F9F" w:rsidP="006548F8">
            <w:pPr>
              <w:jc w:val="both"/>
              <w:rPr>
                <w:rFonts w:ascii="Arial" w:hAnsi="Arial" w:cs="Arial"/>
                <w:b/>
                <w:sz w:val="22"/>
                <w:szCs w:val="22"/>
                <w:lang w:val="es-MX"/>
              </w:rPr>
            </w:pPr>
            <w:r w:rsidRPr="00FE5291">
              <w:rPr>
                <w:rFonts w:ascii="Arial" w:hAnsi="Arial" w:cs="Arial"/>
                <w:b/>
                <w:sz w:val="22"/>
                <w:szCs w:val="22"/>
                <w:lang w:val="es-MX"/>
              </w:rPr>
              <w:t>UNIDAD DE BÚSQUEDA DE PERSONAS DADAS POR DESAPARECIDAS EN EL CONTEXTO Y EN RAZÓN DEL CONFLICTO ARMADO – UBPD.</w:t>
            </w:r>
          </w:p>
        </w:tc>
      </w:tr>
      <w:tr w:rsidR="007E2F9F" w:rsidRPr="0029796A" w14:paraId="3636E31E" w14:textId="77777777" w:rsidTr="006548F8">
        <w:tc>
          <w:tcPr>
            <w:tcW w:w="1550" w:type="dxa"/>
          </w:tcPr>
          <w:p w14:paraId="38B8DA79" w14:textId="77777777" w:rsidR="007E2F9F" w:rsidRDefault="007E2F9F" w:rsidP="006548F8">
            <w:pPr>
              <w:jc w:val="center"/>
              <w:rPr>
                <w:rFonts w:ascii="Arial" w:hAnsi="Arial" w:cs="Arial"/>
                <w:b/>
              </w:rPr>
            </w:pPr>
            <w:r>
              <w:rPr>
                <w:rFonts w:ascii="Arial" w:hAnsi="Arial" w:cs="Arial"/>
                <w:b/>
              </w:rPr>
              <w:t>343</w:t>
            </w:r>
          </w:p>
        </w:tc>
        <w:tc>
          <w:tcPr>
            <w:tcW w:w="8940" w:type="dxa"/>
          </w:tcPr>
          <w:p w14:paraId="26A22A20" w14:textId="77777777" w:rsidR="007E2F9F" w:rsidRPr="00F2177F" w:rsidRDefault="007E2F9F" w:rsidP="006548F8">
            <w:pPr>
              <w:jc w:val="both"/>
              <w:rPr>
                <w:rFonts w:ascii="Arial" w:hAnsi="Arial" w:cs="Arial"/>
                <w:b/>
                <w:sz w:val="22"/>
                <w:szCs w:val="22"/>
                <w:lang w:val="es-MX"/>
              </w:rPr>
            </w:pPr>
            <w:r w:rsidRPr="00F2177F">
              <w:rPr>
                <w:rFonts w:ascii="Arial" w:hAnsi="Arial" w:cs="Arial"/>
                <w:b/>
                <w:sz w:val="22"/>
                <w:szCs w:val="22"/>
                <w:lang w:val="es-MX"/>
              </w:rPr>
              <w:t>AGENCIA NACIONAL DE TIERRAS - ANT.</w:t>
            </w:r>
          </w:p>
        </w:tc>
      </w:tr>
      <w:tr w:rsidR="007E2F9F" w:rsidRPr="0029796A" w14:paraId="65DF8D3D" w14:textId="77777777" w:rsidTr="006548F8">
        <w:tc>
          <w:tcPr>
            <w:tcW w:w="1550" w:type="dxa"/>
          </w:tcPr>
          <w:p w14:paraId="72B3D967" w14:textId="77777777" w:rsidR="007E2F9F" w:rsidRDefault="007E2F9F" w:rsidP="006548F8">
            <w:pPr>
              <w:jc w:val="center"/>
              <w:rPr>
                <w:rFonts w:ascii="Arial" w:hAnsi="Arial" w:cs="Arial"/>
                <w:b/>
              </w:rPr>
            </w:pPr>
            <w:r>
              <w:rPr>
                <w:rFonts w:ascii="Arial" w:hAnsi="Arial" w:cs="Arial"/>
                <w:b/>
              </w:rPr>
              <w:t>348</w:t>
            </w:r>
          </w:p>
        </w:tc>
        <w:tc>
          <w:tcPr>
            <w:tcW w:w="8940" w:type="dxa"/>
          </w:tcPr>
          <w:p w14:paraId="78A826A5" w14:textId="77777777" w:rsidR="007E2F9F" w:rsidRPr="00AB78F5" w:rsidRDefault="007E2F9F" w:rsidP="006548F8">
            <w:pPr>
              <w:jc w:val="both"/>
              <w:rPr>
                <w:rFonts w:ascii="Arial" w:hAnsi="Arial" w:cs="Arial"/>
                <w:b/>
                <w:sz w:val="22"/>
                <w:szCs w:val="22"/>
                <w:lang w:val="es-MX"/>
              </w:rPr>
            </w:pPr>
            <w:r w:rsidRPr="00AB78F5">
              <w:rPr>
                <w:rFonts w:ascii="Arial" w:hAnsi="Arial" w:cs="Arial"/>
                <w:b/>
                <w:sz w:val="22"/>
                <w:szCs w:val="22"/>
                <w:lang w:val="es-MX"/>
              </w:rPr>
              <w:t>CORPORACION PARA EL DESARROLLO SOSTENIBLE DEL NORTE Y EL ORIENTE AMAZONICO - C.D.A.</w:t>
            </w:r>
          </w:p>
        </w:tc>
      </w:tr>
    </w:tbl>
    <w:p w14:paraId="4C3A3C65" w14:textId="77777777" w:rsidR="007E2F9F" w:rsidRDefault="007E2F9F" w:rsidP="007E2F9F">
      <w:pPr>
        <w:ind w:left="-284" w:right="-518"/>
        <w:jc w:val="both"/>
        <w:rPr>
          <w:rFonts w:ascii="Arial" w:hAnsi="Arial" w:cs="Arial"/>
          <w:sz w:val="16"/>
          <w:szCs w:val="16"/>
        </w:rPr>
      </w:pPr>
      <w:r>
        <w:rPr>
          <w:rFonts w:ascii="Arial" w:hAnsi="Arial" w:cs="Arial"/>
          <w:sz w:val="16"/>
          <w:szCs w:val="16"/>
        </w:rPr>
        <w:t>Fuente: Informes presupuestales presentados por las Unidades Ejecutoras del presupuesto a la Comisión Legal de Cuentas vigencia fiscal 2024.</w:t>
      </w:r>
    </w:p>
    <w:p w14:paraId="712BC35C" w14:textId="77777777" w:rsidR="007E2F9F" w:rsidRDefault="007E2F9F" w:rsidP="007E2F9F">
      <w:pPr>
        <w:ind w:left="-284" w:right="-234"/>
        <w:jc w:val="both"/>
        <w:rPr>
          <w:rFonts w:ascii="Arial" w:hAnsi="Arial" w:cs="Arial"/>
          <w:b/>
          <w:sz w:val="28"/>
          <w:szCs w:val="28"/>
        </w:rPr>
      </w:pPr>
    </w:p>
    <w:p w14:paraId="7D37593B" w14:textId="1272E9D9" w:rsidR="0024577D" w:rsidRPr="00494EB8" w:rsidRDefault="0024577D" w:rsidP="0024577D">
      <w:pPr>
        <w:ind w:left="-284" w:right="-234"/>
        <w:jc w:val="center"/>
        <w:rPr>
          <w:rFonts w:ascii="Arial" w:hAnsi="Arial" w:cs="Arial"/>
          <w:b/>
          <w:sz w:val="28"/>
          <w:szCs w:val="28"/>
          <w:u w:val="single"/>
        </w:rPr>
      </w:pPr>
      <w:bookmarkStart w:id="12" w:name="_Hlk210820810"/>
      <w:r w:rsidRPr="00494EB8">
        <w:rPr>
          <w:rFonts w:ascii="Arial" w:hAnsi="Arial" w:cs="Arial"/>
          <w:b/>
          <w:sz w:val="28"/>
          <w:szCs w:val="28"/>
          <w:u w:val="single"/>
        </w:rPr>
        <w:t>5.- UNIDADES EJECUTORAS DEL PRESUPUESTO GENERAL DE LA NACIÓN NO EJECUTARON AL 100% A 31 DE DICIEMBRE DE 2024 EL REZAGO PRESUPUESTAL CONSTITUIDO A 31 DE DICIEMBRE DE 2023.</w:t>
      </w:r>
    </w:p>
    <w:bookmarkEnd w:id="12"/>
    <w:p w14:paraId="4F672657" w14:textId="77777777" w:rsidR="0024577D" w:rsidRPr="003F19CF" w:rsidRDefault="0024577D" w:rsidP="0024577D">
      <w:pPr>
        <w:ind w:left="-284" w:right="-234"/>
        <w:jc w:val="both"/>
        <w:rPr>
          <w:rFonts w:ascii="Arial" w:hAnsi="Arial" w:cs="Arial"/>
          <w:b/>
          <w:sz w:val="28"/>
          <w:szCs w:val="28"/>
        </w:rPr>
      </w:pPr>
    </w:p>
    <w:tbl>
      <w:tblPr>
        <w:tblStyle w:val="Tablaconcuadrcula"/>
        <w:tblW w:w="10485" w:type="dxa"/>
        <w:tblInd w:w="-284" w:type="dxa"/>
        <w:tblLook w:val="04A0" w:firstRow="1" w:lastRow="0" w:firstColumn="1" w:lastColumn="0" w:noHBand="0" w:noVBand="1"/>
      </w:tblPr>
      <w:tblGrid>
        <w:gridCol w:w="1555"/>
        <w:gridCol w:w="6662"/>
        <w:gridCol w:w="2268"/>
      </w:tblGrid>
      <w:tr w:rsidR="0024577D" w:rsidRPr="003D6EE0" w14:paraId="0F6C8711" w14:textId="77777777" w:rsidTr="0024577D">
        <w:tc>
          <w:tcPr>
            <w:tcW w:w="1555" w:type="dxa"/>
          </w:tcPr>
          <w:p w14:paraId="2384DF23" w14:textId="77777777" w:rsidR="0024577D" w:rsidRPr="003D6EE0" w:rsidRDefault="0024577D" w:rsidP="00EF5AF2">
            <w:pPr>
              <w:jc w:val="center"/>
              <w:rPr>
                <w:rFonts w:ascii="Arial" w:hAnsi="Arial" w:cs="Arial"/>
                <w:b/>
              </w:rPr>
            </w:pPr>
            <w:r w:rsidRPr="003D6EE0">
              <w:rPr>
                <w:rFonts w:ascii="Arial" w:hAnsi="Arial" w:cs="Arial"/>
                <w:b/>
              </w:rPr>
              <w:lastRenderedPageBreak/>
              <w:t xml:space="preserve">N° </w:t>
            </w:r>
            <w:r>
              <w:rPr>
                <w:rFonts w:ascii="Arial" w:hAnsi="Arial" w:cs="Arial"/>
                <w:b/>
              </w:rPr>
              <w:t xml:space="preserve">DE LA UNIDAD EJECUTORA </w:t>
            </w:r>
            <w:r w:rsidRPr="003D6EE0">
              <w:rPr>
                <w:rFonts w:ascii="Arial" w:hAnsi="Arial" w:cs="Arial"/>
                <w:b/>
              </w:rPr>
              <w:t>EN LA RESOLUCIÓN</w:t>
            </w:r>
          </w:p>
          <w:p w14:paraId="3B710A2C" w14:textId="77777777" w:rsidR="0024577D" w:rsidRPr="003D6EE0" w:rsidRDefault="0024577D" w:rsidP="00EF5AF2">
            <w:pPr>
              <w:jc w:val="center"/>
              <w:rPr>
                <w:rFonts w:ascii="Arial" w:hAnsi="Arial" w:cs="Arial"/>
                <w:b/>
              </w:rPr>
            </w:pPr>
          </w:p>
        </w:tc>
        <w:tc>
          <w:tcPr>
            <w:tcW w:w="6662" w:type="dxa"/>
          </w:tcPr>
          <w:p w14:paraId="7AA00642" w14:textId="77777777" w:rsidR="0024577D" w:rsidRPr="003D6EE0" w:rsidRDefault="0024577D" w:rsidP="00EF5AF2">
            <w:pPr>
              <w:jc w:val="center"/>
              <w:rPr>
                <w:rFonts w:ascii="Arial" w:hAnsi="Arial" w:cs="Arial"/>
                <w:b/>
              </w:rPr>
            </w:pPr>
            <w:r w:rsidRPr="003D6EE0">
              <w:rPr>
                <w:rFonts w:ascii="Arial" w:hAnsi="Arial" w:cs="Arial"/>
                <w:b/>
              </w:rPr>
              <w:t>UNIDAD EJECUTORA DEL PRESUPUESTO GENERAL DE LA NACIÓN 202</w:t>
            </w:r>
            <w:r>
              <w:rPr>
                <w:rFonts w:ascii="Arial" w:hAnsi="Arial" w:cs="Arial"/>
                <w:b/>
              </w:rPr>
              <w:t>4</w:t>
            </w:r>
          </w:p>
          <w:p w14:paraId="681D0EBB" w14:textId="77777777" w:rsidR="0024577D" w:rsidRPr="003D6EE0" w:rsidRDefault="0024577D" w:rsidP="00EF5AF2">
            <w:pPr>
              <w:jc w:val="center"/>
              <w:rPr>
                <w:rFonts w:ascii="Arial" w:hAnsi="Arial" w:cs="Arial"/>
                <w:b/>
              </w:rPr>
            </w:pPr>
          </w:p>
        </w:tc>
        <w:tc>
          <w:tcPr>
            <w:tcW w:w="2268" w:type="dxa"/>
          </w:tcPr>
          <w:p w14:paraId="3DCB0668" w14:textId="77777777" w:rsidR="0024577D" w:rsidRDefault="0024577D" w:rsidP="00EF5AF2">
            <w:pPr>
              <w:jc w:val="center"/>
              <w:rPr>
                <w:rFonts w:ascii="Arial" w:hAnsi="Arial" w:cs="Arial"/>
                <w:b/>
              </w:rPr>
            </w:pPr>
            <w:r>
              <w:rPr>
                <w:rFonts w:ascii="Arial" w:hAnsi="Arial" w:cs="Arial"/>
                <w:b/>
              </w:rPr>
              <w:t>% DE EJECUCIÓN A 31 DE DICIEMBRE DE 2024 DEL REZAGO CONSTITUIDO A 31 DE DICIEMBRE DE 2023</w:t>
            </w:r>
          </w:p>
          <w:p w14:paraId="30C1A1E4" w14:textId="77777777" w:rsidR="0024577D" w:rsidRPr="003D6EE0" w:rsidRDefault="0024577D" w:rsidP="00EF5AF2">
            <w:pPr>
              <w:jc w:val="center"/>
              <w:rPr>
                <w:rFonts w:ascii="Arial" w:hAnsi="Arial" w:cs="Arial"/>
                <w:b/>
              </w:rPr>
            </w:pPr>
          </w:p>
        </w:tc>
      </w:tr>
      <w:tr w:rsidR="0024577D" w:rsidRPr="003D6EE0" w14:paraId="50328ADF" w14:textId="77777777" w:rsidTr="0024577D">
        <w:tc>
          <w:tcPr>
            <w:tcW w:w="1555" w:type="dxa"/>
          </w:tcPr>
          <w:p w14:paraId="5186457B" w14:textId="77777777" w:rsidR="0024577D" w:rsidRPr="00814943" w:rsidRDefault="0024577D" w:rsidP="00EF5AF2">
            <w:pPr>
              <w:ind w:right="-112"/>
              <w:jc w:val="center"/>
              <w:rPr>
                <w:rFonts w:ascii="Arial" w:hAnsi="Arial" w:cs="Arial"/>
                <w:b/>
                <w:sz w:val="22"/>
                <w:szCs w:val="22"/>
              </w:rPr>
            </w:pPr>
            <w:r>
              <w:rPr>
                <w:rFonts w:ascii="Arial" w:hAnsi="Arial" w:cs="Arial"/>
                <w:b/>
                <w:sz w:val="22"/>
                <w:szCs w:val="22"/>
              </w:rPr>
              <w:t>7</w:t>
            </w:r>
          </w:p>
        </w:tc>
        <w:tc>
          <w:tcPr>
            <w:tcW w:w="6662" w:type="dxa"/>
          </w:tcPr>
          <w:p w14:paraId="27246344" w14:textId="77777777" w:rsidR="0024577D" w:rsidRPr="00834AB9" w:rsidRDefault="0024577D" w:rsidP="00EF5AF2">
            <w:pPr>
              <w:jc w:val="both"/>
              <w:rPr>
                <w:rFonts w:ascii="Arial" w:hAnsi="Arial" w:cs="Arial"/>
                <w:b/>
                <w:sz w:val="22"/>
                <w:szCs w:val="22"/>
                <w:lang w:val="es-MX"/>
              </w:rPr>
            </w:pPr>
            <w:r w:rsidRPr="00834AB9">
              <w:rPr>
                <w:rFonts w:ascii="Arial" w:hAnsi="Arial" w:cs="Arial"/>
                <w:b/>
                <w:sz w:val="22"/>
                <w:szCs w:val="22"/>
                <w:lang w:val="es-MX"/>
              </w:rPr>
              <w:t>INSTITUTO NACIONAL DE SALUD - INS.</w:t>
            </w:r>
          </w:p>
        </w:tc>
        <w:tc>
          <w:tcPr>
            <w:tcW w:w="2268" w:type="dxa"/>
          </w:tcPr>
          <w:p w14:paraId="3A00EA8A" w14:textId="77777777" w:rsidR="0024577D" w:rsidRPr="00834AB9" w:rsidRDefault="0024577D" w:rsidP="00EF5AF2">
            <w:pPr>
              <w:ind w:right="-234"/>
              <w:jc w:val="center"/>
              <w:rPr>
                <w:rFonts w:ascii="Arial" w:hAnsi="Arial" w:cs="Arial"/>
                <w:b/>
                <w:sz w:val="22"/>
                <w:szCs w:val="22"/>
                <w:u w:val="single"/>
              </w:rPr>
            </w:pPr>
            <w:r w:rsidRPr="00834AB9">
              <w:rPr>
                <w:rFonts w:ascii="Arial" w:hAnsi="Arial" w:cs="Arial"/>
                <w:b/>
                <w:sz w:val="22"/>
                <w:szCs w:val="22"/>
                <w:u w:val="single"/>
              </w:rPr>
              <w:t>96.00%</w:t>
            </w:r>
          </w:p>
        </w:tc>
      </w:tr>
      <w:tr w:rsidR="0024577D" w:rsidRPr="003D6EE0" w14:paraId="52443A69" w14:textId="77777777" w:rsidTr="0024577D">
        <w:tc>
          <w:tcPr>
            <w:tcW w:w="1555" w:type="dxa"/>
          </w:tcPr>
          <w:p w14:paraId="3E066594" w14:textId="77777777" w:rsidR="0024577D" w:rsidRDefault="0024577D" w:rsidP="00EF5AF2">
            <w:pPr>
              <w:ind w:right="-112"/>
              <w:jc w:val="center"/>
              <w:rPr>
                <w:rFonts w:ascii="Arial" w:hAnsi="Arial" w:cs="Arial"/>
                <w:b/>
              </w:rPr>
            </w:pPr>
            <w:r>
              <w:rPr>
                <w:rFonts w:ascii="Arial" w:hAnsi="Arial" w:cs="Arial"/>
                <w:b/>
              </w:rPr>
              <w:t>9</w:t>
            </w:r>
          </w:p>
        </w:tc>
        <w:tc>
          <w:tcPr>
            <w:tcW w:w="6662" w:type="dxa"/>
          </w:tcPr>
          <w:p w14:paraId="1673AD12" w14:textId="77777777" w:rsidR="0024577D" w:rsidRPr="00834AB9" w:rsidRDefault="0024577D" w:rsidP="00EF5AF2">
            <w:pPr>
              <w:jc w:val="both"/>
              <w:rPr>
                <w:rFonts w:ascii="Arial" w:hAnsi="Arial" w:cs="Arial"/>
                <w:b/>
                <w:sz w:val="22"/>
                <w:szCs w:val="22"/>
                <w:lang w:val="es-MX"/>
              </w:rPr>
            </w:pPr>
            <w:r w:rsidRPr="00834AB9">
              <w:rPr>
                <w:rFonts w:ascii="Arial" w:hAnsi="Arial" w:cs="Arial"/>
                <w:b/>
                <w:sz w:val="22"/>
                <w:szCs w:val="22"/>
                <w:lang w:val="es-MX"/>
              </w:rPr>
              <w:t>CENTRO NACIONAL DE MEMORIA HISTÓRICA.</w:t>
            </w:r>
          </w:p>
        </w:tc>
        <w:tc>
          <w:tcPr>
            <w:tcW w:w="2268" w:type="dxa"/>
          </w:tcPr>
          <w:p w14:paraId="6EC337E5" w14:textId="77777777" w:rsidR="0024577D" w:rsidRPr="00834AB9" w:rsidRDefault="0024577D" w:rsidP="00EF5AF2">
            <w:pPr>
              <w:ind w:right="-234"/>
              <w:jc w:val="center"/>
              <w:rPr>
                <w:rFonts w:ascii="Arial" w:hAnsi="Arial" w:cs="Arial"/>
                <w:b/>
                <w:sz w:val="22"/>
                <w:szCs w:val="22"/>
                <w:u w:val="single"/>
              </w:rPr>
            </w:pPr>
            <w:r w:rsidRPr="00834AB9">
              <w:rPr>
                <w:rFonts w:ascii="Arial" w:hAnsi="Arial" w:cs="Arial"/>
                <w:b/>
                <w:sz w:val="22"/>
                <w:szCs w:val="22"/>
                <w:u w:val="single"/>
              </w:rPr>
              <w:t>89.33%</w:t>
            </w:r>
          </w:p>
        </w:tc>
      </w:tr>
      <w:tr w:rsidR="0024577D" w:rsidRPr="003D6EE0" w14:paraId="4875B7E0" w14:textId="77777777" w:rsidTr="0024577D">
        <w:tc>
          <w:tcPr>
            <w:tcW w:w="1555" w:type="dxa"/>
          </w:tcPr>
          <w:p w14:paraId="1E81AF7B" w14:textId="77777777" w:rsidR="0024577D" w:rsidRDefault="0024577D" w:rsidP="00EF5AF2">
            <w:pPr>
              <w:ind w:right="-112"/>
              <w:jc w:val="center"/>
              <w:rPr>
                <w:rFonts w:ascii="Arial" w:hAnsi="Arial" w:cs="Arial"/>
                <w:b/>
              </w:rPr>
            </w:pPr>
            <w:r>
              <w:rPr>
                <w:rFonts w:ascii="Arial" w:hAnsi="Arial" w:cs="Arial"/>
                <w:b/>
              </w:rPr>
              <w:t>17</w:t>
            </w:r>
          </w:p>
        </w:tc>
        <w:tc>
          <w:tcPr>
            <w:tcW w:w="6662" w:type="dxa"/>
          </w:tcPr>
          <w:p w14:paraId="7035B349" w14:textId="77777777" w:rsidR="0024577D" w:rsidRPr="00834AB9" w:rsidRDefault="0024577D" w:rsidP="00EF5AF2">
            <w:pPr>
              <w:jc w:val="both"/>
              <w:rPr>
                <w:rFonts w:ascii="Arial" w:hAnsi="Arial" w:cs="Arial"/>
                <w:b/>
                <w:sz w:val="22"/>
                <w:szCs w:val="22"/>
                <w:lang w:val="es-MX"/>
              </w:rPr>
            </w:pPr>
            <w:r w:rsidRPr="00834AB9">
              <w:rPr>
                <w:rFonts w:ascii="Arial" w:hAnsi="Arial" w:cs="Arial"/>
                <w:b/>
                <w:sz w:val="22"/>
                <w:szCs w:val="22"/>
                <w:lang w:val="es-MX"/>
              </w:rPr>
              <w:t>SUPERINTENDENCIA DE INDUSTRIA Y COMERCIO.</w:t>
            </w:r>
          </w:p>
        </w:tc>
        <w:tc>
          <w:tcPr>
            <w:tcW w:w="2268" w:type="dxa"/>
          </w:tcPr>
          <w:p w14:paraId="572BDACC" w14:textId="77777777" w:rsidR="0024577D" w:rsidRPr="00834AB9" w:rsidRDefault="0024577D" w:rsidP="00EF5AF2">
            <w:pPr>
              <w:ind w:right="-234"/>
              <w:jc w:val="center"/>
              <w:rPr>
                <w:rFonts w:ascii="Arial" w:hAnsi="Arial" w:cs="Arial"/>
                <w:b/>
                <w:sz w:val="22"/>
                <w:szCs w:val="22"/>
                <w:u w:val="single"/>
              </w:rPr>
            </w:pPr>
            <w:r w:rsidRPr="00834AB9">
              <w:rPr>
                <w:rFonts w:ascii="Arial" w:hAnsi="Arial" w:cs="Arial"/>
                <w:b/>
                <w:sz w:val="22"/>
                <w:szCs w:val="22"/>
                <w:u w:val="single"/>
              </w:rPr>
              <w:t>No lo reportó</w:t>
            </w:r>
          </w:p>
        </w:tc>
      </w:tr>
      <w:tr w:rsidR="0024577D" w:rsidRPr="003D6EE0" w14:paraId="102A1CC3" w14:textId="77777777" w:rsidTr="0024577D">
        <w:tc>
          <w:tcPr>
            <w:tcW w:w="1555" w:type="dxa"/>
          </w:tcPr>
          <w:p w14:paraId="671BD833" w14:textId="77777777" w:rsidR="0024577D" w:rsidRDefault="0024577D" w:rsidP="00EF5AF2">
            <w:pPr>
              <w:ind w:right="-112"/>
              <w:jc w:val="center"/>
              <w:rPr>
                <w:rFonts w:ascii="Arial" w:hAnsi="Arial" w:cs="Arial"/>
                <w:b/>
              </w:rPr>
            </w:pPr>
            <w:r>
              <w:rPr>
                <w:rFonts w:ascii="Arial" w:hAnsi="Arial" w:cs="Arial"/>
                <w:b/>
              </w:rPr>
              <w:t>18</w:t>
            </w:r>
          </w:p>
        </w:tc>
        <w:tc>
          <w:tcPr>
            <w:tcW w:w="6662" w:type="dxa"/>
          </w:tcPr>
          <w:p w14:paraId="324215D6" w14:textId="77777777" w:rsidR="0024577D" w:rsidRPr="00834AB9" w:rsidRDefault="0024577D" w:rsidP="00EF5AF2">
            <w:pPr>
              <w:jc w:val="both"/>
              <w:rPr>
                <w:rFonts w:ascii="Arial" w:hAnsi="Arial" w:cs="Arial"/>
                <w:b/>
                <w:sz w:val="22"/>
                <w:szCs w:val="22"/>
                <w:lang w:val="es-MX"/>
              </w:rPr>
            </w:pPr>
            <w:r w:rsidRPr="00834AB9">
              <w:rPr>
                <w:rFonts w:ascii="Arial" w:hAnsi="Arial" w:cs="Arial"/>
                <w:b/>
                <w:sz w:val="22"/>
                <w:szCs w:val="22"/>
                <w:lang w:val="es-MX"/>
              </w:rPr>
              <w:t>DEPARTAMENTO ADMINISTRATIVO DE LA FUNCIÓN PÚBLICA - DAFP.</w:t>
            </w:r>
          </w:p>
        </w:tc>
        <w:tc>
          <w:tcPr>
            <w:tcW w:w="2268" w:type="dxa"/>
          </w:tcPr>
          <w:p w14:paraId="2C4C8F81" w14:textId="77777777" w:rsidR="0024577D" w:rsidRPr="00834AB9" w:rsidRDefault="0024577D" w:rsidP="00EF5AF2">
            <w:pPr>
              <w:ind w:right="-234"/>
              <w:jc w:val="center"/>
              <w:rPr>
                <w:rFonts w:ascii="Arial" w:hAnsi="Arial" w:cs="Arial"/>
                <w:b/>
                <w:sz w:val="22"/>
                <w:szCs w:val="22"/>
                <w:u w:val="single"/>
              </w:rPr>
            </w:pPr>
            <w:r w:rsidRPr="00834AB9">
              <w:rPr>
                <w:rFonts w:ascii="Arial" w:hAnsi="Arial" w:cs="Arial"/>
                <w:b/>
                <w:sz w:val="22"/>
                <w:szCs w:val="22"/>
                <w:u w:val="single"/>
                <w:lang w:val="es-ES_tradnl"/>
              </w:rPr>
              <w:t>95.70%</w:t>
            </w:r>
          </w:p>
        </w:tc>
      </w:tr>
      <w:tr w:rsidR="0024577D" w:rsidRPr="003D6EE0" w14:paraId="0151B84D" w14:textId="77777777" w:rsidTr="0024577D">
        <w:tc>
          <w:tcPr>
            <w:tcW w:w="1555" w:type="dxa"/>
          </w:tcPr>
          <w:p w14:paraId="3A9E1099" w14:textId="77777777" w:rsidR="0024577D" w:rsidRDefault="0024577D" w:rsidP="00EF5AF2">
            <w:pPr>
              <w:ind w:right="-112"/>
              <w:jc w:val="center"/>
              <w:rPr>
                <w:rFonts w:ascii="Arial" w:hAnsi="Arial" w:cs="Arial"/>
                <w:b/>
              </w:rPr>
            </w:pPr>
            <w:r>
              <w:rPr>
                <w:rFonts w:ascii="Arial" w:hAnsi="Arial" w:cs="Arial"/>
                <w:b/>
              </w:rPr>
              <w:t>19</w:t>
            </w:r>
          </w:p>
        </w:tc>
        <w:tc>
          <w:tcPr>
            <w:tcW w:w="6662" w:type="dxa"/>
          </w:tcPr>
          <w:p w14:paraId="5CEF9A6B" w14:textId="77777777" w:rsidR="0024577D" w:rsidRPr="00834AB9" w:rsidRDefault="0024577D" w:rsidP="00EF5AF2">
            <w:pPr>
              <w:jc w:val="both"/>
              <w:rPr>
                <w:rFonts w:ascii="Arial" w:hAnsi="Arial" w:cs="Arial"/>
                <w:b/>
                <w:sz w:val="22"/>
                <w:szCs w:val="22"/>
                <w:lang w:val="es-MX"/>
              </w:rPr>
            </w:pPr>
            <w:r w:rsidRPr="00834AB9">
              <w:rPr>
                <w:rFonts w:ascii="Arial" w:hAnsi="Arial" w:cs="Arial"/>
                <w:b/>
                <w:sz w:val="22"/>
                <w:szCs w:val="22"/>
                <w:lang w:val="es-MX"/>
              </w:rPr>
              <w:t>DEFENSORÍA DEL PURBLO</w:t>
            </w:r>
          </w:p>
        </w:tc>
        <w:tc>
          <w:tcPr>
            <w:tcW w:w="2268" w:type="dxa"/>
          </w:tcPr>
          <w:p w14:paraId="6F03D6BB" w14:textId="77777777" w:rsidR="0024577D" w:rsidRPr="00834AB9" w:rsidRDefault="0024577D" w:rsidP="00EF5AF2">
            <w:pPr>
              <w:ind w:right="-234"/>
              <w:jc w:val="center"/>
              <w:rPr>
                <w:rFonts w:ascii="Arial" w:hAnsi="Arial" w:cs="Arial"/>
                <w:b/>
                <w:sz w:val="22"/>
                <w:szCs w:val="22"/>
                <w:u w:val="single"/>
                <w:lang w:val="es-ES_tradnl"/>
              </w:rPr>
            </w:pPr>
            <w:r w:rsidRPr="00834AB9">
              <w:rPr>
                <w:rFonts w:ascii="Arial" w:hAnsi="Arial" w:cs="Arial"/>
                <w:b/>
                <w:sz w:val="22"/>
                <w:szCs w:val="22"/>
                <w:u w:val="single"/>
                <w:lang w:val="es-ES_tradnl"/>
              </w:rPr>
              <w:t>80.00%</w:t>
            </w:r>
          </w:p>
        </w:tc>
      </w:tr>
      <w:tr w:rsidR="0024577D" w:rsidRPr="003D6EE0" w14:paraId="659EB462" w14:textId="77777777" w:rsidTr="0024577D">
        <w:tc>
          <w:tcPr>
            <w:tcW w:w="1555" w:type="dxa"/>
          </w:tcPr>
          <w:p w14:paraId="371818E5" w14:textId="77777777" w:rsidR="0024577D" w:rsidRDefault="0024577D" w:rsidP="00EF5AF2">
            <w:pPr>
              <w:ind w:right="-112"/>
              <w:jc w:val="center"/>
              <w:rPr>
                <w:rFonts w:ascii="Arial" w:hAnsi="Arial" w:cs="Arial"/>
                <w:b/>
              </w:rPr>
            </w:pPr>
            <w:r>
              <w:rPr>
                <w:rFonts w:ascii="Arial" w:hAnsi="Arial" w:cs="Arial"/>
                <w:b/>
              </w:rPr>
              <w:t>20</w:t>
            </w:r>
          </w:p>
        </w:tc>
        <w:tc>
          <w:tcPr>
            <w:tcW w:w="6662" w:type="dxa"/>
          </w:tcPr>
          <w:p w14:paraId="327FE881" w14:textId="77777777" w:rsidR="0024577D" w:rsidRPr="00834AB9" w:rsidRDefault="0024577D" w:rsidP="00EF5AF2">
            <w:pPr>
              <w:jc w:val="both"/>
              <w:rPr>
                <w:rFonts w:ascii="Arial" w:hAnsi="Arial" w:cs="Arial"/>
                <w:b/>
                <w:sz w:val="22"/>
                <w:szCs w:val="22"/>
                <w:lang w:val="es-MX"/>
              </w:rPr>
            </w:pPr>
            <w:r w:rsidRPr="00834AB9">
              <w:rPr>
                <w:rFonts w:ascii="Arial" w:hAnsi="Arial" w:cs="Arial"/>
                <w:b/>
                <w:sz w:val="22"/>
                <w:szCs w:val="22"/>
                <w:lang w:val="es-MX"/>
              </w:rPr>
              <w:t>INSTITUTO DE HIDROLOGÍA METEOROLOGÍA Y ESTUDIOS AMBIENTALES - IDEAM.</w:t>
            </w:r>
          </w:p>
        </w:tc>
        <w:tc>
          <w:tcPr>
            <w:tcW w:w="2268" w:type="dxa"/>
          </w:tcPr>
          <w:p w14:paraId="70075D99" w14:textId="77777777" w:rsidR="0024577D" w:rsidRPr="00834AB9" w:rsidRDefault="0024577D" w:rsidP="00EF5AF2">
            <w:pPr>
              <w:ind w:right="-234"/>
              <w:jc w:val="center"/>
              <w:rPr>
                <w:rFonts w:ascii="Arial" w:hAnsi="Arial" w:cs="Arial"/>
                <w:b/>
                <w:sz w:val="22"/>
                <w:szCs w:val="22"/>
                <w:u w:val="single"/>
                <w:lang w:val="es-ES_tradnl"/>
              </w:rPr>
            </w:pPr>
            <w:r w:rsidRPr="00834AB9">
              <w:rPr>
                <w:rFonts w:ascii="Arial" w:hAnsi="Arial" w:cs="Arial"/>
                <w:b/>
                <w:sz w:val="22"/>
                <w:szCs w:val="22"/>
                <w:u w:val="single"/>
                <w:lang w:val="es-ES_tradnl"/>
              </w:rPr>
              <w:t>99.50%</w:t>
            </w:r>
          </w:p>
        </w:tc>
      </w:tr>
      <w:tr w:rsidR="0024577D" w:rsidRPr="003D6EE0" w14:paraId="3743CC31" w14:textId="77777777" w:rsidTr="0024577D">
        <w:tc>
          <w:tcPr>
            <w:tcW w:w="1555" w:type="dxa"/>
          </w:tcPr>
          <w:p w14:paraId="147B12E8" w14:textId="77777777" w:rsidR="0024577D" w:rsidRDefault="0024577D" w:rsidP="00EF5AF2">
            <w:pPr>
              <w:ind w:right="-112"/>
              <w:jc w:val="center"/>
              <w:rPr>
                <w:rFonts w:ascii="Arial" w:hAnsi="Arial" w:cs="Arial"/>
                <w:b/>
              </w:rPr>
            </w:pPr>
            <w:r>
              <w:rPr>
                <w:rFonts w:ascii="Arial" w:hAnsi="Arial" w:cs="Arial"/>
                <w:b/>
              </w:rPr>
              <w:t>21</w:t>
            </w:r>
          </w:p>
        </w:tc>
        <w:tc>
          <w:tcPr>
            <w:tcW w:w="6662" w:type="dxa"/>
          </w:tcPr>
          <w:p w14:paraId="5091190F" w14:textId="77777777" w:rsidR="0024577D" w:rsidRPr="00834AB9" w:rsidRDefault="0024577D" w:rsidP="00EF5AF2">
            <w:pPr>
              <w:jc w:val="both"/>
              <w:rPr>
                <w:rFonts w:ascii="Arial" w:hAnsi="Arial" w:cs="Arial"/>
                <w:b/>
                <w:sz w:val="22"/>
                <w:szCs w:val="22"/>
                <w:lang w:val="es-MX"/>
              </w:rPr>
            </w:pPr>
            <w:bookmarkStart w:id="13" w:name="_Hlk196226961"/>
            <w:r w:rsidRPr="00834AB9">
              <w:rPr>
                <w:rFonts w:ascii="Arial" w:hAnsi="Arial" w:cs="Arial"/>
                <w:b/>
                <w:sz w:val="22"/>
                <w:szCs w:val="22"/>
                <w:lang w:val="es-MX"/>
              </w:rPr>
              <w:t>MINISTERIO DEL INTERIOR.</w:t>
            </w:r>
            <w:bookmarkEnd w:id="13"/>
          </w:p>
        </w:tc>
        <w:tc>
          <w:tcPr>
            <w:tcW w:w="2268" w:type="dxa"/>
          </w:tcPr>
          <w:p w14:paraId="697B38ED" w14:textId="77777777" w:rsidR="0024577D" w:rsidRPr="00834AB9" w:rsidRDefault="0024577D" w:rsidP="00EF5AF2">
            <w:pPr>
              <w:ind w:right="-234"/>
              <w:jc w:val="center"/>
              <w:rPr>
                <w:rFonts w:ascii="Arial" w:hAnsi="Arial" w:cs="Arial"/>
                <w:b/>
                <w:sz w:val="22"/>
                <w:szCs w:val="22"/>
                <w:u w:val="single"/>
                <w:lang w:val="es-ES_tradnl"/>
              </w:rPr>
            </w:pPr>
            <w:r w:rsidRPr="00834AB9">
              <w:rPr>
                <w:rFonts w:ascii="Arial" w:hAnsi="Arial" w:cs="Arial"/>
                <w:b/>
                <w:sz w:val="22"/>
                <w:szCs w:val="22"/>
                <w:u w:val="single"/>
                <w:lang w:val="es-ES_tradnl"/>
              </w:rPr>
              <w:t>87.89%</w:t>
            </w:r>
          </w:p>
        </w:tc>
      </w:tr>
      <w:tr w:rsidR="0024577D" w:rsidRPr="003D6EE0" w14:paraId="6369443A" w14:textId="77777777" w:rsidTr="0024577D">
        <w:tc>
          <w:tcPr>
            <w:tcW w:w="1555" w:type="dxa"/>
          </w:tcPr>
          <w:p w14:paraId="3EFD4373" w14:textId="77777777" w:rsidR="0024577D" w:rsidRDefault="0024577D" w:rsidP="00EF5AF2">
            <w:pPr>
              <w:ind w:right="-112"/>
              <w:jc w:val="center"/>
              <w:rPr>
                <w:rFonts w:ascii="Arial" w:hAnsi="Arial" w:cs="Arial"/>
                <w:b/>
              </w:rPr>
            </w:pPr>
            <w:r>
              <w:rPr>
                <w:rFonts w:ascii="Arial" w:hAnsi="Arial" w:cs="Arial"/>
                <w:b/>
              </w:rPr>
              <w:t>22</w:t>
            </w:r>
          </w:p>
        </w:tc>
        <w:tc>
          <w:tcPr>
            <w:tcW w:w="6662" w:type="dxa"/>
          </w:tcPr>
          <w:p w14:paraId="15116FD7" w14:textId="77777777" w:rsidR="0024577D" w:rsidRPr="00322620" w:rsidRDefault="0024577D" w:rsidP="00EF5AF2">
            <w:pPr>
              <w:jc w:val="both"/>
              <w:rPr>
                <w:rFonts w:ascii="Arial" w:hAnsi="Arial" w:cs="Arial"/>
                <w:b/>
                <w:sz w:val="22"/>
                <w:szCs w:val="22"/>
                <w:lang w:val="es-MX"/>
              </w:rPr>
            </w:pPr>
            <w:r w:rsidRPr="00322620">
              <w:rPr>
                <w:rFonts w:ascii="Arial" w:hAnsi="Arial" w:cs="Arial"/>
                <w:b/>
                <w:sz w:val="22"/>
                <w:szCs w:val="22"/>
                <w:lang w:val="es-MX"/>
              </w:rPr>
              <w:t>DIRECCIÓN NACIONAL DE BOMBEROS DE COLOMBIA - DNBC.</w:t>
            </w:r>
          </w:p>
        </w:tc>
        <w:tc>
          <w:tcPr>
            <w:tcW w:w="2268" w:type="dxa"/>
          </w:tcPr>
          <w:p w14:paraId="58FC5582" w14:textId="77777777" w:rsidR="0024577D" w:rsidRPr="00322620" w:rsidRDefault="0024577D" w:rsidP="00EF5AF2">
            <w:pPr>
              <w:ind w:right="-234"/>
              <w:jc w:val="center"/>
              <w:rPr>
                <w:rFonts w:ascii="Arial" w:hAnsi="Arial" w:cs="Arial"/>
                <w:b/>
                <w:sz w:val="22"/>
                <w:szCs w:val="22"/>
                <w:u w:val="single"/>
                <w:lang w:val="es-ES_tradnl"/>
              </w:rPr>
            </w:pPr>
            <w:r w:rsidRPr="00322620">
              <w:rPr>
                <w:rFonts w:ascii="Arial" w:hAnsi="Arial" w:cs="Arial"/>
                <w:b/>
                <w:sz w:val="22"/>
                <w:szCs w:val="22"/>
                <w:u w:val="single"/>
                <w:lang w:val="es-ES_tradnl"/>
              </w:rPr>
              <w:t>77.00%</w:t>
            </w:r>
          </w:p>
        </w:tc>
      </w:tr>
      <w:tr w:rsidR="0024577D" w:rsidRPr="003D6EE0" w14:paraId="65594A51" w14:textId="77777777" w:rsidTr="0024577D">
        <w:tc>
          <w:tcPr>
            <w:tcW w:w="1555" w:type="dxa"/>
          </w:tcPr>
          <w:p w14:paraId="586B4367" w14:textId="77777777" w:rsidR="0024577D" w:rsidRDefault="0024577D" w:rsidP="00EF5AF2">
            <w:pPr>
              <w:ind w:right="-112"/>
              <w:jc w:val="center"/>
              <w:rPr>
                <w:rFonts w:ascii="Arial" w:hAnsi="Arial" w:cs="Arial"/>
                <w:b/>
              </w:rPr>
            </w:pPr>
            <w:r>
              <w:rPr>
                <w:rFonts w:ascii="Arial" w:hAnsi="Arial" w:cs="Arial"/>
                <w:b/>
              </w:rPr>
              <w:t>23</w:t>
            </w:r>
          </w:p>
        </w:tc>
        <w:tc>
          <w:tcPr>
            <w:tcW w:w="6662" w:type="dxa"/>
          </w:tcPr>
          <w:p w14:paraId="2605BA8F" w14:textId="77777777" w:rsidR="0024577D" w:rsidRPr="009A67E1" w:rsidRDefault="0024577D" w:rsidP="00EF5AF2">
            <w:pPr>
              <w:jc w:val="both"/>
              <w:rPr>
                <w:rFonts w:ascii="Arial" w:hAnsi="Arial" w:cs="Arial"/>
                <w:b/>
                <w:sz w:val="22"/>
                <w:szCs w:val="22"/>
                <w:lang w:val="es-MX"/>
              </w:rPr>
            </w:pPr>
            <w:r w:rsidRPr="009A67E1">
              <w:rPr>
                <w:rFonts w:ascii="Arial" w:hAnsi="Arial" w:cs="Arial"/>
                <w:b/>
                <w:sz w:val="22"/>
                <w:szCs w:val="22"/>
                <w:lang w:val="es-MX"/>
              </w:rPr>
              <w:t>INSTITUTO NACIONAL DE VÍAS - INVÍAS.</w:t>
            </w:r>
          </w:p>
        </w:tc>
        <w:tc>
          <w:tcPr>
            <w:tcW w:w="2268" w:type="dxa"/>
          </w:tcPr>
          <w:p w14:paraId="44D2C841" w14:textId="77777777" w:rsidR="0024577D" w:rsidRPr="009A67E1" w:rsidRDefault="0024577D" w:rsidP="00EF5AF2">
            <w:pPr>
              <w:ind w:right="-234"/>
              <w:jc w:val="center"/>
              <w:rPr>
                <w:rFonts w:ascii="Arial" w:hAnsi="Arial" w:cs="Arial"/>
                <w:b/>
                <w:sz w:val="22"/>
                <w:szCs w:val="22"/>
                <w:u w:val="single"/>
                <w:lang w:val="es-ES_tradnl"/>
              </w:rPr>
            </w:pPr>
            <w:r w:rsidRPr="009A67E1">
              <w:rPr>
                <w:rFonts w:ascii="Arial" w:hAnsi="Arial" w:cs="Arial"/>
                <w:b/>
                <w:sz w:val="22"/>
                <w:szCs w:val="22"/>
                <w:u w:val="single"/>
                <w:lang w:val="es-ES_tradnl"/>
              </w:rPr>
              <w:t>85.20%</w:t>
            </w:r>
          </w:p>
        </w:tc>
      </w:tr>
      <w:tr w:rsidR="0024577D" w:rsidRPr="003D6EE0" w14:paraId="1052C4E9" w14:textId="77777777" w:rsidTr="0024577D">
        <w:tc>
          <w:tcPr>
            <w:tcW w:w="1555" w:type="dxa"/>
          </w:tcPr>
          <w:p w14:paraId="2D84E410" w14:textId="77777777" w:rsidR="0024577D" w:rsidRDefault="0024577D" w:rsidP="00EF5AF2">
            <w:pPr>
              <w:ind w:right="-112"/>
              <w:jc w:val="center"/>
              <w:rPr>
                <w:rFonts w:ascii="Arial" w:hAnsi="Arial" w:cs="Arial"/>
                <w:b/>
              </w:rPr>
            </w:pPr>
            <w:r>
              <w:rPr>
                <w:rFonts w:ascii="Arial" w:hAnsi="Arial" w:cs="Arial"/>
                <w:b/>
              </w:rPr>
              <w:t>24</w:t>
            </w:r>
          </w:p>
        </w:tc>
        <w:tc>
          <w:tcPr>
            <w:tcW w:w="6662" w:type="dxa"/>
          </w:tcPr>
          <w:p w14:paraId="5E2DFD19" w14:textId="77777777" w:rsidR="0024577D" w:rsidRPr="00574726" w:rsidRDefault="0024577D" w:rsidP="00EF5AF2">
            <w:pPr>
              <w:jc w:val="both"/>
              <w:rPr>
                <w:rFonts w:ascii="Arial" w:hAnsi="Arial" w:cs="Arial"/>
                <w:b/>
                <w:sz w:val="22"/>
                <w:szCs w:val="22"/>
                <w:lang w:val="es-MX"/>
              </w:rPr>
            </w:pPr>
            <w:r w:rsidRPr="00574726">
              <w:rPr>
                <w:rFonts w:ascii="Arial" w:hAnsi="Arial" w:cs="Arial"/>
                <w:b/>
                <w:sz w:val="22"/>
                <w:szCs w:val="22"/>
                <w:lang w:val="es-MX"/>
              </w:rPr>
              <w:t>ESCUELA TECNOLOGICA INSTITUTO TECNICO CENTRAL.</w:t>
            </w:r>
          </w:p>
        </w:tc>
        <w:tc>
          <w:tcPr>
            <w:tcW w:w="2268" w:type="dxa"/>
          </w:tcPr>
          <w:p w14:paraId="25538645" w14:textId="77777777" w:rsidR="0024577D" w:rsidRPr="00574726" w:rsidRDefault="0024577D" w:rsidP="00EF5AF2">
            <w:pPr>
              <w:ind w:right="-234"/>
              <w:jc w:val="center"/>
              <w:rPr>
                <w:rFonts w:ascii="Arial" w:hAnsi="Arial" w:cs="Arial"/>
                <w:b/>
                <w:sz w:val="22"/>
                <w:szCs w:val="22"/>
                <w:u w:val="single"/>
                <w:lang w:val="es-ES_tradnl"/>
              </w:rPr>
            </w:pPr>
            <w:r w:rsidRPr="00574726">
              <w:rPr>
                <w:rFonts w:ascii="Arial" w:hAnsi="Arial" w:cs="Arial"/>
                <w:b/>
                <w:sz w:val="22"/>
                <w:szCs w:val="22"/>
                <w:u w:val="single"/>
                <w:lang w:val="es-ES_tradnl"/>
              </w:rPr>
              <w:t>91.00%</w:t>
            </w:r>
          </w:p>
        </w:tc>
      </w:tr>
      <w:tr w:rsidR="0024577D" w:rsidRPr="003D6EE0" w14:paraId="60A7B510" w14:textId="77777777" w:rsidTr="0024577D">
        <w:tc>
          <w:tcPr>
            <w:tcW w:w="1555" w:type="dxa"/>
          </w:tcPr>
          <w:p w14:paraId="5258C8D4" w14:textId="77777777" w:rsidR="0024577D" w:rsidRDefault="0024577D" w:rsidP="00EF5AF2">
            <w:pPr>
              <w:ind w:right="-112"/>
              <w:jc w:val="center"/>
              <w:rPr>
                <w:rFonts w:ascii="Arial" w:hAnsi="Arial" w:cs="Arial"/>
                <w:b/>
              </w:rPr>
            </w:pPr>
            <w:r>
              <w:rPr>
                <w:rFonts w:ascii="Arial" w:hAnsi="Arial" w:cs="Arial"/>
                <w:b/>
              </w:rPr>
              <w:t>30</w:t>
            </w:r>
          </w:p>
        </w:tc>
        <w:tc>
          <w:tcPr>
            <w:tcW w:w="6662" w:type="dxa"/>
          </w:tcPr>
          <w:p w14:paraId="331D50F9" w14:textId="77777777" w:rsidR="0024577D" w:rsidRPr="006C2EED" w:rsidRDefault="0024577D" w:rsidP="00EF5AF2">
            <w:pPr>
              <w:jc w:val="both"/>
              <w:rPr>
                <w:rFonts w:ascii="Arial" w:hAnsi="Arial" w:cs="Arial"/>
                <w:b/>
                <w:sz w:val="22"/>
                <w:szCs w:val="22"/>
                <w:lang w:val="es-MX"/>
              </w:rPr>
            </w:pPr>
            <w:r w:rsidRPr="006C2EED">
              <w:rPr>
                <w:rFonts w:ascii="Arial" w:hAnsi="Arial" w:cs="Arial"/>
                <w:b/>
                <w:sz w:val="22"/>
                <w:szCs w:val="22"/>
                <w:lang w:val="es-MX"/>
              </w:rPr>
              <w:t>JURISDICCION ESPECIAL PARA LA PAZ - JEP.</w:t>
            </w:r>
          </w:p>
        </w:tc>
        <w:tc>
          <w:tcPr>
            <w:tcW w:w="2268" w:type="dxa"/>
          </w:tcPr>
          <w:p w14:paraId="06B81FC6" w14:textId="77777777" w:rsidR="0024577D" w:rsidRPr="00E42274" w:rsidRDefault="0024577D" w:rsidP="00EF5AF2">
            <w:pPr>
              <w:ind w:right="-234"/>
              <w:jc w:val="center"/>
              <w:rPr>
                <w:rFonts w:ascii="Arial" w:hAnsi="Arial" w:cs="Arial"/>
                <w:b/>
                <w:sz w:val="22"/>
                <w:szCs w:val="22"/>
                <w:u w:val="single"/>
                <w:lang w:val="es-ES_tradnl"/>
              </w:rPr>
            </w:pPr>
            <w:r w:rsidRPr="00E42274">
              <w:rPr>
                <w:rFonts w:ascii="Arial" w:hAnsi="Arial" w:cs="Arial"/>
                <w:b/>
                <w:sz w:val="22"/>
                <w:szCs w:val="22"/>
                <w:u w:val="single"/>
                <w:lang w:val="es-ES_tradnl"/>
              </w:rPr>
              <w:t>93.71%</w:t>
            </w:r>
          </w:p>
        </w:tc>
      </w:tr>
      <w:tr w:rsidR="0024577D" w:rsidRPr="003D6EE0" w14:paraId="2EF9388F" w14:textId="77777777" w:rsidTr="0024577D">
        <w:tc>
          <w:tcPr>
            <w:tcW w:w="1555" w:type="dxa"/>
          </w:tcPr>
          <w:p w14:paraId="1CDA0141" w14:textId="77777777" w:rsidR="0024577D" w:rsidRDefault="0024577D" w:rsidP="00EF5AF2">
            <w:pPr>
              <w:ind w:right="-112"/>
              <w:jc w:val="center"/>
              <w:rPr>
                <w:rFonts w:ascii="Arial" w:hAnsi="Arial" w:cs="Arial"/>
                <w:b/>
              </w:rPr>
            </w:pPr>
            <w:r>
              <w:rPr>
                <w:rFonts w:ascii="Arial" w:hAnsi="Arial" w:cs="Arial"/>
                <w:b/>
              </w:rPr>
              <w:t>37</w:t>
            </w:r>
          </w:p>
        </w:tc>
        <w:tc>
          <w:tcPr>
            <w:tcW w:w="6662" w:type="dxa"/>
          </w:tcPr>
          <w:p w14:paraId="726ED74D" w14:textId="77777777" w:rsidR="0024577D" w:rsidRPr="00E42274" w:rsidRDefault="0024577D" w:rsidP="00EF5AF2">
            <w:pPr>
              <w:jc w:val="both"/>
              <w:rPr>
                <w:rFonts w:ascii="Arial" w:hAnsi="Arial" w:cs="Arial"/>
                <w:b/>
                <w:sz w:val="22"/>
                <w:szCs w:val="22"/>
              </w:rPr>
            </w:pPr>
            <w:r w:rsidRPr="00E42274">
              <w:rPr>
                <w:rFonts w:ascii="Arial" w:hAnsi="Arial" w:cs="Arial"/>
                <w:b/>
                <w:sz w:val="22"/>
                <w:szCs w:val="22"/>
              </w:rPr>
              <w:t>AGENCIA NACIONAL DE INFRAESTRUCTURA - ANI.</w:t>
            </w:r>
          </w:p>
        </w:tc>
        <w:tc>
          <w:tcPr>
            <w:tcW w:w="2268" w:type="dxa"/>
          </w:tcPr>
          <w:p w14:paraId="2146AA1F" w14:textId="77777777" w:rsidR="0024577D" w:rsidRPr="00E42274" w:rsidRDefault="0024577D" w:rsidP="00EF5AF2">
            <w:pPr>
              <w:ind w:right="-234"/>
              <w:jc w:val="center"/>
              <w:rPr>
                <w:rFonts w:ascii="Arial" w:hAnsi="Arial" w:cs="Arial"/>
                <w:b/>
                <w:sz w:val="22"/>
                <w:szCs w:val="22"/>
                <w:u w:val="single"/>
                <w:lang w:val="es-ES_tradnl"/>
              </w:rPr>
            </w:pPr>
            <w:r>
              <w:rPr>
                <w:rFonts w:ascii="Arial" w:hAnsi="Arial" w:cs="Arial"/>
                <w:b/>
                <w:sz w:val="22"/>
                <w:szCs w:val="22"/>
                <w:u w:val="single"/>
                <w:lang w:val="es-ES_tradnl"/>
              </w:rPr>
              <w:t>96.70%</w:t>
            </w:r>
          </w:p>
        </w:tc>
      </w:tr>
      <w:tr w:rsidR="0024577D" w:rsidRPr="003D6EE0" w14:paraId="6FA402DB" w14:textId="77777777" w:rsidTr="0024577D">
        <w:tc>
          <w:tcPr>
            <w:tcW w:w="1555" w:type="dxa"/>
          </w:tcPr>
          <w:p w14:paraId="29FBA2DD" w14:textId="77777777" w:rsidR="0024577D" w:rsidRDefault="0024577D" w:rsidP="00EF5AF2">
            <w:pPr>
              <w:ind w:right="-112"/>
              <w:jc w:val="center"/>
              <w:rPr>
                <w:rFonts w:ascii="Arial" w:hAnsi="Arial" w:cs="Arial"/>
                <w:b/>
              </w:rPr>
            </w:pPr>
            <w:r>
              <w:rPr>
                <w:rFonts w:ascii="Arial" w:hAnsi="Arial" w:cs="Arial"/>
                <w:b/>
              </w:rPr>
              <w:t>38</w:t>
            </w:r>
          </w:p>
        </w:tc>
        <w:tc>
          <w:tcPr>
            <w:tcW w:w="6662" w:type="dxa"/>
          </w:tcPr>
          <w:p w14:paraId="35A3B4C1" w14:textId="77777777" w:rsidR="0024577D" w:rsidRPr="002929FE" w:rsidRDefault="0024577D" w:rsidP="00EF5AF2">
            <w:pPr>
              <w:jc w:val="both"/>
              <w:rPr>
                <w:rFonts w:ascii="Arial" w:hAnsi="Arial" w:cs="Arial"/>
                <w:b/>
                <w:sz w:val="22"/>
                <w:szCs w:val="22"/>
                <w:lang w:val="es-MX"/>
              </w:rPr>
            </w:pPr>
            <w:r w:rsidRPr="002929FE">
              <w:rPr>
                <w:rFonts w:ascii="Arial" w:hAnsi="Arial" w:cs="Arial"/>
                <w:b/>
                <w:sz w:val="22"/>
                <w:szCs w:val="22"/>
                <w:lang w:val="es-MX"/>
              </w:rPr>
              <w:t xml:space="preserve">SUPERINTENDENCIA NACIONAL DE SALUD – SUPERSALUD. </w:t>
            </w:r>
          </w:p>
        </w:tc>
        <w:tc>
          <w:tcPr>
            <w:tcW w:w="2268" w:type="dxa"/>
          </w:tcPr>
          <w:p w14:paraId="645A19FE" w14:textId="77777777" w:rsidR="0024577D" w:rsidRPr="002929FE" w:rsidRDefault="0024577D" w:rsidP="00EF5AF2">
            <w:pPr>
              <w:ind w:right="-234"/>
              <w:jc w:val="center"/>
              <w:rPr>
                <w:rFonts w:ascii="Arial" w:hAnsi="Arial" w:cs="Arial"/>
                <w:b/>
                <w:sz w:val="22"/>
                <w:szCs w:val="22"/>
                <w:u w:val="single"/>
                <w:lang w:val="es-ES_tradnl"/>
              </w:rPr>
            </w:pPr>
            <w:r w:rsidRPr="002929FE">
              <w:rPr>
                <w:rFonts w:ascii="Arial" w:hAnsi="Arial" w:cs="Arial"/>
                <w:b/>
                <w:sz w:val="22"/>
                <w:szCs w:val="22"/>
                <w:u w:val="single"/>
                <w:lang w:val="es-ES_tradnl"/>
              </w:rPr>
              <w:t>96.27%</w:t>
            </w:r>
          </w:p>
        </w:tc>
      </w:tr>
      <w:tr w:rsidR="0024577D" w:rsidRPr="003D6EE0" w14:paraId="366667D3" w14:textId="77777777" w:rsidTr="0024577D">
        <w:tc>
          <w:tcPr>
            <w:tcW w:w="1555" w:type="dxa"/>
          </w:tcPr>
          <w:p w14:paraId="020E86BF" w14:textId="77777777" w:rsidR="0024577D" w:rsidRDefault="0024577D" w:rsidP="00EF5AF2">
            <w:pPr>
              <w:ind w:right="-112"/>
              <w:jc w:val="center"/>
              <w:rPr>
                <w:rFonts w:ascii="Arial" w:hAnsi="Arial" w:cs="Arial"/>
                <w:b/>
              </w:rPr>
            </w:pPr>
            <w:r>
              <w:rPr>
                <w:rFonts w:ascii="Arial" w:hAnsi="Arial" w:cs="Arial"/>
                <w:b/>
              </w:rPr>
              <w:t>39</w:t>
            </w:r>
          </w:p>
        </w:tc>
        <w:tc>
          <w:tcPr>
            <w:tcW w:w="6662" w:type="dxa"/>
          </w:tcPr>
          <w:p w14:paraId="0253F22E" w14:textId="77777777" w:rsidR="0024577D" w:rsidRPr="00866C5F" w:rsidRDefault="0024577D" w:rsidP="00EF5AF2">
            <w:pPr>
              <w:jc w:val="both"/>
              <w:rPr>
                <w:rFonts w:ascii="Arial" w:hAnsi="Arial" w:cs="Arial"/>
                <w:b/>
                <w:sz w:val="22"/>
                <w:szCs w:val="22"/>
                <w:lang w:val="es-MX"/>
              </w:rPr>
            </w:pPr>
            <w:r w:rsidRPr="00866C5F">
              <w:rPr>
                <w:rFonts w:ascii="Arial" w:hAnsi="Arial" w:cs="Arial"/>
                <w:b/>
                <w:sz w:val="22"/>
                <w:szCs w:val="22"/>
                <w:lang w:val="es-MX"/>
              </w:rPr>
              <w:t>MINISTERIO DE IGUALDAD Y EQUIDAD.</w:t>
            </w:r>
          </w:p>
        </w:tc>
        <w:tc>
          <w:tcPr>
            <w:tcW w:w="2268" w:type="dxa"/>
          </w:tcPr>
          <w:p w14:paraId="697E894E" w14:textId="77777777" w:rsidR="0024577D" w:rsidRPr="00866C5F" w:rsidRDefault="0024577D" w:rsidP="00EF5AF2">
            <w:pPr>
              <w:ind w:right="-234"/>
              <w:jc w:val="center"/>
              <w:rPr>
                <w:rFonts w:ascii="Arial" w:hAnsi="Arial" w:cs="Arial"/>
                <w:b/>
                <w:sz w:val="22"/>
                <w:szCs w:val="22"/>
                <w:u w:val="single"/>
                <w:lang w:val="es-MX"/>
              </w:rPr>
            </w:pPr>
            <w:r w:rsidRPr="00866C5F">
              <w:rPr>
                <w:rFonts w:ascii="Arial" w:hAnsi="Arial" w:cs="Arial"/>
                <w:b/>
                <w:sz w:val="22"/>
                <w:szCs w:val="22"/>
                <w:u w:val="single"/>
                <w:lang w:val="es-MX"/>
              </w:rPr>
              <w:t>25.42%</w:t>
            </w:r>
          </w:p>
        </w:tc>
      </w:tr>
      <w:tr w:rsidR="0024577D" w:rsidRPr="003D6EE0" w14:paraId="03827957" w14:textId="77777777" w:rsidTr="0024577D">
        <w:tc>
          <w:tcPr>
            <w:tcW w:w="1555" w:type="dxa"/>
          </w:tcPr>
          <w:p w14:paraId="11A9CA78" w14:textId="77777777" w:rsidR="0024577D" w:rsidRDefault="0024577D" w:rsidP="00EF5AF2">
            <w:pPr>
              <w:ind w:right="-112"/>
              <w:jc w:val="center"/>
              <w:rPr>
                <w:rFonts w:ascii="Arial" w:hAnsi="Arial" w:cs="Arial"/>
                <w:b/>
              </w:rPr>
            </w:pPr>
            <w:r>
              <w:rPr>
                <w:rFonts w:ascii="Arial" w:hAnsi="Arial" w:cs="Arial"/>
                <w:b/>
              </w:rPr>
              <w:t>42</w:t>
            </w:r>
          </w:p>
        </w:tc>
        <w:tc>
          <w:tcPr>
            <w:tcW w:w="6662" w:type="dxa"/>
          </w:tcPr>
          <w:p w14:paraId="39C915A4" w14:textId="77777777" w:rsidR="0024577D" w:rsidRPr="00A17B91" w:rsidRDefault="0024577D" w:rsidP="00EF5AF2">
            <w:pPr>
              <w:jc w:val="both"/>
              <w:rPr>
                <w:rFonts w:ascii="Arial" w:hAnsi="Arial" w:cs="Arial"/>
                <w:b/>
                <w:sz w:val="22"/>
                <w:szCs w:val="22"/>
              </w:rPr>
            </w:pPr>
            <w:r w:rsidRPr="00A17B91">
              <w:rPr>
                <w:rFonts w:ascii="Arial" w:hAnsi="Arial" w:cs="Arial"/>
                <w:b/>
                <w:sz w:val="22"/>
                <w:szCs w:val="22"/>
              </w:rPr>
              <w:t>MINISTERIO DE AMBIENTE Y DESARROLLO SOSTENIBLE.</w:t>
            </w:r>
          </w:p>
        </w:tc>
        <w:tc>
          <w:tcPr>
            <w:tcW w:w="2268" w:type="dxa"/>
          </w:tcPr>
          <w:p w14:paraId="72500952" w14:textId="77777777" w:rsidR="0024577D" w:rsidRPr="00A17B91" w:rsidRDefault="0024577D" w:rsidP="00EF5AF2">
            <w:pPr>
              <w:ind w:right="-234"/>
              <w:jc w:val="center"/>
              <w:rPr>
                <w:rFonts w:ascii="Arial" w:hAnsi="Arial" w:cs="Arial"/>
                <w:b/>
                <w:sz w:val="22"/>
                <w:szCs w:val="22"/>
                <w:u w:val="single"/>
                <w:lang w:val="es-MX"/>
              </w:rPr>
            </w:pPr>
            <w:r w:rsidRPr="00A17B91">
              <w:rPr>
                <w:rFonts w:ascii="Arial" w:hAnsi="Arial" w:cs="Arial"/>
                <w:b/>
                <w:sz w:val="22"/>
                <w:szCs w:val="22"/>
                <w:u w:val="single"/>
                <w:lang w:val="es-MX"/>
              </w:rPr>
              <w:t>15.84%</w:t>
            </w:r>
          </w:p>
        </w:tc>
      </w:tr>
      <w:tr w:rsidR="0024577D" w:rsidRPr="003D6EE0" w14:paraId="3F38BCD5" w14:textId="77777777" w:rsidTr="0024577D">
        <w:tc>
          <w:tcPr>
            <w:tcW w:w="1555" w:type="dxa"/>
          </w:tcPr>
          <w:p w14:paraId="3F75BD78" w14:textId="77777777" w:rsidR="0024577D" w:rsidRDefault="0024577D" w:rsidP="00EF5AF2">
            <w:pPr>
              <w:ind w:right="-112"/>
              <w:jc w:val="center"/>
              <w:rPr>
                <w:rFonts w:ascii="Arial" w:hAnsi="Arial" w:cs="Arial"/>
                <w:b/>
              </w:rPr>
            </w:pPr>
            <w:r>
              <w:rPr>
                <w:rFonts w:ascii="Arial" w:hAnsi="Arial" w:cs="Arial"/>
                <w:b/>
              </w:rPr>
              <w:t>43</w:t>
            </w:r>
          </w:p>
        </w:tc>
        <w:tc>
          <w:tcPr>
            <w:tcW w:w="6662" w:type="dxa"/>
          </w:tcPr>
          <w:p w14:paraId="22F28DA5" w14:textId="77777777" w:rsidR="0024577D" w:rsidRPr="00F81A1D" w:rsidRDefault="0024577D" w:rsidP="00EF5AF2">
            <w:pPr>
              <w:jc w:val="both"/>
              <w:rPr>
                <w:rFonts w:ascii="Arial" w:hAnsi="Arial" w:cs="Arial"/>
                <w:b/>
                <w:sz w:val="22"/>
                <w:szCs w:val="22"/>
                <w:lang w:val="es-MX"/>
              </w:rPr>
            </w:pPr>
            <w:r w:rsidRPr="00F81A1D">
              <w:rPr>
                <w:rFonts w:ascii="Arial" w:hAnsi="Arial" w:cs="Arial"/>
                <w:b/>
                <w:sz w:val="22"/>
                <w:szCs w:val="22"/>
                <w:lang w:val="es-MX"/>
              </w:rPr>
              <w:t>CÁMARA DE REPRESENTANTES.</w:t>
            </w:r>
          </w:p>
        </w:tc>
        <w:tc>
          <w:tcPr>
            <w:tcW w:w="2268" w:type="dxa"/>
          </w:tcPr>
          <w:p w14:paraId="4E30BFBE" w14:textId="77777777" w:rsidR="0024577D" w:rsidRPr="00F81A1D" w:rsidRDefault="0024577D" w:rsidP="00EF5AF2">
            <w:pPr>
              <w:ind w:right="-234"/>
              <w:jc w:val="center"/>
              <w:rPr>
                <w:rFonts w:ascii="Arial" w:hAnsi="Arial" w:cs="Arial"/>
                <w:b/>
                <w:sz w:val="22"/>
                <w:szCs w:val="22"/>
                <w:u w:val="single"/>
                <w:lang w:val="es-MX"/>
              </w:rPr>
            </w:pPr>
            <w:r w:rsidRPr="00F81A1D">
              <w:rPr>
                <w:rFonts w:ascii="Arial" w:hAnsi="Arial" w:cs="Arial"/>
                <w:b/>
                <w:sz w:val="22"/>
                <w:szCs w:val="22"/>
                <w:u w:val="single"/>
                <w:lang w:val="es-MX"/>
              </w:rPr>
              <w:t>96.00%</w:t>
            </w:r>
          </w:p>
        </w:tc>
      </w:tr>
      <w:tr w:rsidR="0024577D" w:rsidRPr="003D6EE0" w14:paraId="5960B02E" w14:textId="77777777" w:rsidTr="0024577D">
        <w:tc>
          <w:tcPr>
            <w:tcW w:w="1555" w:type="dxa"/>
          </w:tcPr>
          <w:p w14:paraId="7EB104ED" w14:textId="77777777" w:rsidR="0024577D" w:rsidRDefault="0024577D" w:rsidP="00EF5AF2">
            <w:pPr>
              <w:ind w:right="-112"/>
              <w:jc w:val="center"/>
              <w:rPr>
                <w:rFonts w:ascii="Arial" w:hAnsi="Arial" w:cs="Arial"/>
                <w:b/>
              </w:rPr>
            </w:pPr>
            <w:r>
              <w:rPr>
                <w:rFonts w:ascii="Arial" w:hAnsi="Arial" w:cs="Arial"/>
                <w:b/>
              </w:rPr>
              <w:t>45</w:t>
            </w:r>
          </w:p>
        </w:tc>
        <w:tc>
          <w:tcPr>
            <w:tcW w:w="6662" w:type="dxa"/>
          </w:tcPr>
          <w:p w14:paraId="6816F839" w14:textId="77777777" w:rsidR="0024577D" w:rsidRPr="00146AE8" w:rsidRDefault="0024577D" w:rsidP="00EF5AF2">
            <w:pPr>
              <w:jc w:val="both"/>
              <w:rPr>
                <w:rFonts w:ascii="Arial" w:hAnsi="Arial" w:cs="Arial"/>
                <w:b/>
                <w:sz w:val="22"/>
                <w:szCs w:val="22"/>
                <w:lang w:val="es-MX"/>
              </w:rPr>
            </w:pPr>
            <w:r w:rsidRPr="00146AE8">
              <w:rPr>
                <w:rFonts w:ascii="Arial" w:hAnsi="Arial" w:cs="Arial"/>
                <w:b/>
                <w:sz w:val="22"/>
                <w:szCs w:val="22"/>
                <w:lang w:val="es-MX"/>
              </w:rPr>
              <w:t>U.A.E INSTITUTO NACIONAL DE ACUICULTURA Y PESCA - AUNAP.</w:t>
            </w:r>
          </w:p>
        </w:tc>
        <w:tc>
          <w:tcPr>
            <w:tcW w:w="2268" w:type="dxa"/>
          </w:tcPr>
          <w:p w14:paraId="543D93EC" w14:textId="77777777" w:rsidR="0024577D" w:rsidRPr="00146AE8" w:rsidRDefault="0024577D" w:rsidP="00EF5AF2">
            <w:pPr>
              <w:ind w:right="-234"/>
              <w:jc w:val="center"/>
              <w:rPr>
                <w:rFonts w:ascii="Arial" w:hAnsi="Arial" w:cs="Arial"/>
                <w:b/>
                <w:sz w:val="22"/>
                <w:szCs w:val="22"/>
                <w:u w:val="single"/>
                <w:lang w:val="es-MX"/>
              </w:rPr>
            </w:pPr>
            <w:r w:rsidRPr="00146AE8">
              <w:rPr>
                <w:rFonts w:ascii="Arial" w:hAnsi="Arial" w:cs="Arial"/>
                <w:b/>
                <w:sz w:val="22"/>
                <w:szCs w:val="22"/>
                <w:u w:val="single"/>
                <w:lang w:val="es-MX"/>
              </w:rPr>
              <w:t>97.00%</w:t>
            </w:r>
          </w:p>
        </w:tc>
      </w:tr>
      <w:tr w:rsidR="0024577D" w:rsidRPr="003D6EE0" w14:paraId="71889D6C" w14:textId="77777777" w:rsidTr="0024577D">
        <w:tc>
          <w:tcPr>
            <w:tcW w:w="1555" w:type="dxa"/>
          </w:tcPr>
          <w:p w14:paraId="6D53C0AE" w14:textId="77777777" w:rsidR="0024577D" w:rsidRDefault="0024577D" w:rsidP="00EF5AF2">
            <w:pPr>
              <w:ind w:right="-112"/>
              <w:jc w:val="center"/>
              <w:rPr>
                <w:rFonts w:ascii="Arial" w:hAnsi="Arial" w:cs="Arial"/>
                <w:b/>
              </w:rPr>
            </w:pPr>
            <w:r>
              <w:rPr>
                <w:rFonts w:ascii="Arial" w:hAnsi="Arial" w:cs="Arial"/>
                <w:b/>
              </w:rPr>
              <w:t>47</w:t>
            </w:r>
          </w:p>
        </w:tc>
        <w:tc>
          <w:tcPr>
            <w:tcW w:w="6662" w:type="dxa"/>
          </w:tcPr>
          <w:p w14:paraId="4113C999" w14:textId="77777777" w:rsidR="0024577D" w:rsidRPr="00732CE3" w:rsidRDefault="0024577D" w:rsidP="00EF5AF2">
            <w:pPr>
              <w:jc w:val="both"/>
              <w:rPr>
                <w:rFonts w:ascii="Arial" w:hAnsi="Arial" w:cs="Arial"/>
                <w:b/>
                <w:sz w:val="22"/>
                <w:szCs w:val="22"/>
                <w:lang w:val="es-MX"/>
              </w:rPr>
            </w:pPr>
            <w:r w:rsidRPr="00732CE3">
              <w:rPr>
                <w:rFonts w:ascii="Arial" w:hAnsi="Arial" w:cs="Arial"/>
                <w:b/>
                <w:sz w:val="22"/>
                <w:szCs w:val="22"/>
                <w:lang w:val="es-MX"/>
              </w:rPr>
              <w:t>INSTITUTO COLOMBIANO DE BIENESTAR FAMILIAR – ICBF.</w:t>
            </w:r>
          </w:p>
        </w:tc>
        <w:tc>
          <w:tcPr>
            <w:tcW w:w="2268" w:type="dxa"/>
          </w:tcPr>
          <w:p w14:paraId="2F29CC1F" w14:textId="77777777" w:rsidR="0024577D" w:rsidRPr="00732CE3" w:rsidRDefault="0024577D" w:rsidP="00EF5AF2">
            <w:pPr>
              <w:ind w:right="-234"/>
              <w:jc w:val="center"/>
              <w:rPr>
                <w:rFonts w:ascii="Arial" w:hAnsi="Arial" w:cs="Arial"/>
                <w:b/>
                <w:sz w:val="22"/>
                <w:szCs w:val="22"/>
                <w:u w:val="single"/>
                <w:lang w:val="es-MX"/>
              </w:rPr>
            </w:pPr>
            <w:r w:rsidRPr="00732CE3">
              <w:rPr>
                <w:rFonts w:ascii="Arial" w:hAnsi="Arial" w:cs="Arial"/>
                <w:b/>
                <w:sz w:val="22"/>
                <w:szCs w:val="22"/>
                <w:u w:val="single"/>
                <w:lang w:val="es-MX"/>
              </w:rPr>
              <w:t>94.51%</w:t>
            </w:r>
          </w:p>
        </w:tc>
      </w:tr>
      <w:tr w:rsidR="0024577D" w:rsidRPr="003D6EE0" w14:paraId="6342E341" w14:textId="77777777" w:rsidTr="0024577D">
        <w:tc>
          <w:tcPr>
            <w:tcW w:w="1555" w:type="dxa"/>
          </w:tcPr>
          <w:p w14:paraId="210C221C" w14:textId="77777777" w:rsidR="0024577D" w:rsidRDefault="0024577D" w:rsidP="00EF5AF2">
            <w:pPr>
              <w:ind w:right="-112"/>
              <w:jc w:val="center"/>
              <w:rPr>
                <w:rFonts w:ascii="Arial" w:hAnsi="Arial" w:cs="Arial"/>
                <w:b/>
              </w:rPr>
            </w:pPr>
            <w:r>
              <w:rPr>
                <w:rFonts w:ascii="Arial" w:hAnsi="Arial" w:cs="Arial"/>
                <w:b/>
              </w:rPr>
              <w:t>51</w:t>
            </w:r>
          </w:p>
        </w:tc>
        <w:tc>
          <w:tcPr>
            <w:tcW w:w="6662" w:type="dxa"/>
          </w:tcPr>
          <w:p w14:paraId="698558F9" w14:textId="77777777" w:rsidR="0024577D" w:rsidRPr="00766FD2" w:rsidRDefault="0024577D" w:rsidP="00EF5AF2">
            <w:pPr>
              <w:jc w:val="both"/>
              <w:rPr>
                <w:rFonts w:ascii="Arial" w:hAnsi="Arial" w:cs="Arial"/>
                <w:b/>
                <w:sz w:val="22"/>
                <w:szCs w:val="22"/>
                <w:lang w:val="es-MX"/>
              </w:rPr>
            </w:pPr>
            <w:r w:rsidRPr="005B1C21">
              <w:rPr>
                <w:rFonts w:ascii="Arial" w:hAnsi="Arial" w:cs="Arial"/>
                <w:b/>
                <w:sz w:val="22"/>
                <w:szCs w:val="22"/>
                <w:lang w:val="es-MX"/>
              </w:rPr>
              <w:t>INSTITUTO GEOGRÁFICO AGUSTIN CODAZZI - IGAC.</w:t>
            </w:r>
          </w:p>
        </w:tc>
        <w:tc>
          <w:tcPr>
            <w:tcW w:w="2268" w:type="dxa"/>
          </w:tcPr>
          <w:p w14:paraId="3BB32944" w14:textId="77777777" w:rsidR="0024577D" w:rsidRPr="00CE6543" w:rsidRDefault="0024577D" w:rsidP="00EF5AF2">
            <w:pPr>
              <w:ind w:right="-234"/>
              <w:jc w:val="center"/>
              <w:rPr>
                <w:rFonts w:ascii="Arial" w:hAnsi="Arial" w:cs="Arial"/>
                <w:b/>
                <w:sz w:val="22"/>
                <w:szCs w:val="22"/>
                <w:u w:val="single"/>
                <w:lang w:val="es-MX"/>
              </w:rPr>
            </w:pPr>
            <w:r w:rsidRPr="00CE6543">
              <w:rPr>
                <w:rFonts w:ascii="Arial" w:hAnsi="Arial" w:cs="Arial"/>
                <w:b/>
                <w:sz w:val="22"/>
                <w:szCs w:val="22"/>
                <w:u w:val="single"/>
                <w:lang w:val="es-MX"/>
              </w:rPr>
              <w:t>94.00%</w:t>
            </w:r>
          </w:p>
        </w:tc>
      </w:tr>
      <w:tr w:rsidR="0024577D" w:rsidRPr="003D6EE0" w14:paraId="1830D3AA" w14:textId="77777777" w:rsidTr="0024577D">
        <w:tc>
          <w:tcPr>
            <w:tcW w:w="1555" w:type="dxa"/>
          </w:tcPr>
          <w:p w14:paraId="18150E61" w14:textId="77777777" w:rsidR="0024577D" w:rsidRDefault="0024577D" w:rsidP="00EF5AF2">
            <w:pPr>
              <w:ind w:right="-112"/>
              <w:jc w:val="center"/>
              <w:rPr>
                <w:rFonts w:ascii="Arial" w:hAnsi="Arial" w:cs="Arial"/>
                <w:b/>
              </w:rPr>
            </w:pPr>
            <w:r>
              <w:rPr>
                <w:rFonts w:ascii="Arial" w:hAnsi="Arial" w:cs="Arial"/>
                <w:b/>
              </w:rPr>
              <w:t>52</w:t>
            </w:r>
          </w:p>
        </w:tc>
        <w:tc>
          <w:tcPr>
            <w:tcW w:w="6662" w:type="dxa"/>
          </w:tcPr>
          <w:p w14:paraId="7AD569F0" w14:textId="77777777" w:rsidR="0024577D" w:rsidRPr="009043EC" w:rsidRDefault="0024577D" w:rsidP="00EF5AF2">
            <w:pPr>
              <w:jc w:val="both"/>
              <w:rPr>
                <w:rFonts w:ascii="Arial" w:hAnsi="Arial" w:cs="Arial"/>
                <w:b/>
                <w:sz w:val="22"/>
                <w:szCs w:val="22"/>
                <w:lang w:val="es-MX"/>
              </w:rPr>
            </w:pPr>
            <w:r w:rsidRPr="009043EC">
              <w:rPr>
                <w:rFonts w:ascii="Arial" w:hAnsi="Arial" w:cs="Arial"/>
                <w:b/>
                <w:sz w:val="22"/>
                <w:szCs w:val="22"/>
                <w:lang w:val="es-MX"/>
              </w:rPr>
              <w:t>CLUB MILITAR DE OFICIALES.</w:t>
            </w:r>
          </w:p>
        </w:tc>
        <w:tc>
          <w:tcPr>
            <w:tcW w:w="2268" w:type="dxa"/>
          </w:tcPr>
          <w:p w14:paraId="684E200F" w14:textId="77777777" w:rsidR="0024577D" w:rsidRPr="00CE6543" w:rsidRDefault="0024577D" w:rsidP="00EF5AF2">
            <w:pPr>
              <w:ind w:right="-234"/>
              <w:jc w:val="center"/>
              <w:rPr>
                <w:rFonts w:ascii="Arial" w:hAnsi="Arial" w:cs="Arial"/>
                <w:b/>
                <w:sz w:val="22"/>
                <w:szCs w:val="22"/>
                <w:u w:val="single"/>
                <w:lang w:val="es-MX"/>
              </w:rPr>
            </w:pPr>
            <w:r w:rsidRPr="00CE6543">
              <w:rPr>
                <w:rFonts w:ascii="Arial" w:hAnsi="Arial" w:cs="Arial"/>
                <w:b/>
                <w:sz w:val="22"/>
                <w:szCs w:val="22"/>
                <w:u w:val="single"/>
                <w:lang w:val="es-MX"/>
              </w:rPr>
              <w:t>98.00%</w:t>
            </w:r>
          </w:p>
        </w:tc>
      </w:tr>
      <w:tr w:rsidR="0024577D" w:rsidRPr="003D6EE0" w14:paraId="56107BFF" w14:textId="77777777" w:rsidTr="0024577D">
        <w:tc>
          <w:tcPr>
            <w:tcW w:w="1555" w:type="dxa"/>
          </w:tcPr>
          <w:p w14:paraId="2434F009" w14:textId="77777777" w:rsidR="0024577D" w:rsidRDefault="0024577D" w:rsidP="00EF5AF2">
            <w:pPr>
              <w:ind w:right="-112"/>
              <w:jc w:val="center"/>
              <w:rPr>
                <w:rFonts w:ascii="Arial" w:hAnsi="Arial" w:cs="Arial"/>
                <w:b/>
              </w:rPr>
            </w:pPr>
            <w:r>
              <w:rPr>
                <w:rFonts w:ascii="Arial" w:hAnsi="Arial" w:cs="Arial"/>
                <w:b/>
              </w:rPr>
              <w:t>59</w:t>
            </w:r>
          </w:p>
        </w:tc>
        <w:tc>
          <w:tcPr>
            <w:tcW w:w="6662" w:type="dxa"/>
          </w:tcPr>
          <w:p w14:paraId="1DE9437E" w14:textId="77777777" w:rsidR="0024577D" w:rsidRPr="00B32226" w:rsidRDefault="0024577D" w:rsidP="00EF5AF2">
            <w:pPr>
              <w:jc w:val="both"/>
              <w:rPr>
                <w:rFonts w:ascii="Arial" w:hAnsi="Arial" w:cs="Arial"/>
                <w:b/>
                <w:sz w:val="22"/>
                <w:szCs w:val="22"/>
              </w:rPr>
            </w:pPr>
            <w:r w:rsidRPr="00B80BD4">
              <w:rPr>
                <w:rFonts w:ascii="Arial" w:hAnsi="Arial" w:cs="Arial"/>
                <w:b/>
                <w:sz w:val="22"/>
                <w:szCs w:val="22"/>
              </w:rPr>
              <w:t>FONDO UNICO DE TECNOLOGÍAS DE LA INFORMACIÓN Y LAS COMUNICACIONES – FUTIC.</w:t>
            </w:r>
          </w:p>
        </w:tc>
        <w:tc>
          <w:tcPr>
            <w:tcW w:w="2268" w:type="dxa"/>
          </w:tcPr>
          <w:p w14:paraId="18CEF16C" w14:textId="77777777" w:rsidR="0024577D" w:rsidRPr="00B32226" w:rsidRDefault="0024577D" w:rsidP="00EF5AF2">
            <w:pPr>
              <w:ind w:right="-234"/>
              <w:jc w:val="center"/>
              <w:rPr>
                <w:rFonts w:ascii="Arial" w:hAnsi="Arial" w:cs="Arial"/>
                <w:b/>
                <w:sz w:val="22"/>
                <w:szCs w:val="22"/>
                <w:u w:val="single"/>
                <w:lang w:val="es-MX"/>
              </w:rPr>
            </w:pPr>
            <w:r w:rsidRPr="00B32226">
              <w:rPr>
                <w:rFonts w:ascii="Arial" w:hAnsi="Arial" w:cs="Arial"/>
                <w:b/>
                <w:sz w:val="22"/>
                <w:szCs w:val="22"/>
                <w:u w:val="single"/>
                <w:lang w:val="es-MX"/>
              </w:rPr>
              <w:t>98.33%</w:t>
            </w:r>
          </w:p>
        </w:tc>
      </w:tr>
      <w:tr w:rsidR="0024577D" w:rsidRPr="003D6EE0" w14:paraId="217BB4CD" w14:textId="77777777" w:rsidTr="0024577D">
        <w:tc>
          <w:tcPr>
            <w:tcW w:w="1555" w:type="dxa"/>
          </w:tcPr>
          <w:p w14:paraId="5171D594" w14:textId="77777777" w:rsidR="0024577D" w:rsidRDefault="0024577D" w:rsidP="00EF5AF2">
            <w:pPr>
              <w:ind w:right="-112"/>
              <w:jc w:val="center"/>
              <w:rPr>
                <w:rFonts w:ascii="Arial" w:hAnsi="Arial" w:cs="Arial"/>
                <w:b/>
              </w:rPr>
            </w:pPr>
            <w:r>
              <w:rPr>
                <w:rFonts w:ascii="Arial" w:hAnsi="Arial" w:cs="Arial"/>
                <w:b/>
              </w:rPr>
              <w:t>60</w:t>
            </w:r>
          </w:p>
        </w:tc>
        <w:tc>
          <w:tcPr>
            <w:tcW w:w="6662" w:type="dxa"/>
          </w:tcPr>
          <w:p w14:paraId="171B76D8" w14:textId="77777777" w:rsidR="0024577D" w:rsidRPr="00C956BF" w:rsidRDefault="0024577D" w:rsidP="00EF5AF2">
            <w:pPr>
              <w:jc w:val="both"/>
              <w:rPr>
                <w:rFonts w:ascii="Arial" w:hAnsi="Arial" w:cs="Arial"/>
                <w:b/>
                <w:sz w:val="22"/>
                <w:szCs w:val="22"/>
                <w:lang w:val="es-MX"/>
              </w:rPr>
            </w:pPr>
            <w:r w:rsidRPr="00C956BF">
              <w:rPr>
                <w:rFonts w:ascii="Arial" w:hAnsi="Arial" w:cs="Arial"/>
                <w:b/>
                <w:sz w:val="22"/>
                <w:szCs w:val="22"/>
                <w:lang w:val="es-MX"/>
              </w:rPr>
              <w:t>CAJA DE SUELDOS DE RETIRO DE LA POLICIA NACIONAL – CASUR.</w:t>
            </w:r>
          </w:p>
        </w:tc>
        <w:tc>
          <w:tcPr>
            <w:tcW w:w="2268" w:type="dxa"/>
          </w:tcPr>
          <w:p w14:paraId="13AAFB69" w14:textId="77777777" w:rsidR="0024577D" w:rsidRPr="00C956BF" w:rsidRDefault="0024577D" w:rsidP="00EF5AF2">
            <w:pPr>
              <w:ind w:right="-234"/>
              <w:jc w:val="center"/>
              <w:rPr>
                <w:rFonts w:ascii="Arial" w:hAnsi="Arial" w:cs="Arial"/>
                <w:b/>
                <w:sz w:val="22"/>
                <w:szCs w:val="22"/>
                <w:u w:val="single"/>
                <w:lang w:val="es-MX"/>
              </w:rPr>
            </w:pPr>
            <w:r w:rsidRPr="00C956BF">
              <w:rPr>
                <w:rFonts w:ascii="Arial" w:hAnsi="Arial" w:cs="Arial"/>
                <w:b/>
                <w:sz w:val="22"/>
                <w:szCs w:val="22"/>
                <w:u w:val="single"/>
                <w:lang w:val="es-MX"/>
              </w:rPr>
              <w:t>96.86%</w:t>
            </w:r>
          </w:p>
        </w:tc>
      </w:tr>
      <w:tr w:rsidR="0024577D" w:rsidRPr="003D6EE0" w14:paraId="686BCCBA" w14:textId="77777777" w:rsidTr="0024577D">
        <w:tc>
          <w:tcPr>
            <w:tcW w:w="1555" w:type="dxa"/>
          </w:tcPr>
          <w:p w14:paraId="21D3E528" w14:textId="77777777" w:rsidR="0024577D" w:rsidRDefault="0024577D" w:rsidP="00EF5AF2">
            <w:pPr>
              <w:ind w:right="-112"/>
              <w:jc w:val="center"/>
              <w:rPr>
                <w:rFonts w:ascii="Arial" w:hAnsi="Arial" w:cs="Arial"/>
                <w:b/>
              </w:rPr>
            </w:pPr>
            <w:r>
              <w:rPr>
                <w:rFonts w:ascii="Arial" w:hAnsi="Arial" w:cs="Arial"/>
                <w:b/>
              </w:rPr>
              <w:t>61</w:t>
            </w:r>
          </w:p>
        </w:tc>
        <w:tc>
          <w:tcPr>
            <w:tcW w:w="6662" w:type="dxa"/>
          </w:tcPr>
          <w:p w14:paraId="590AEA59" w14:textId="77777777" w:rsidR="0024577D" w:rsidRPr="00504071" w:rsidRDefault="0024577D" w:rsidP="00EF5AF2">
            <w:pPr>
              <w:pStyle w:val="Ttulo6"/>
              <w:tabs>
                <w:tab w:val="left" w:pos="8505"/>
              </w:tabs>
              <w:spacing w:before="0"/>
              <w:ind w:left="0" w:right="49" w:firstLine="0"/>
              <w:jc w:val="both"/>
              <w:outlineLvl w:val="5"/>
              <w:rPr>
                <w:rFonts w:ascii="Arial" w:hAnsi="Arial" w:cs="Arial"/>
                <w:b/>
                <w:i w:val="0"/>
                <w:iCs w:val="0"/>
                <w:color w:val="auto"/>
                <w:spacing w:val="-2"/>
                <w:sz w:val="22"/>
                <w:szCs w:val="22"/>
              </w:rPr>
            </w:pPr>
            <w:r w:rsidRPr="00504071">
              <w:rPr>
                <w:rFonts w:ascii="Arial" w:hAnsi="Arial" w:cs="Arial"/>
                <w:b/>
                <w:i w:val="0"/>
                <w:iCs w:val="0"/>
                <w:color w:val="auto"/>
                <w:sz w:val="22"/>
                <w:szCs w:val="22"/>
              </w:rPr>
              <w:t xml:space="preserve">UNIDAD NACIONAL PARA LA GESTIÓN DEL RIESGO DE DESASTRES - </w:t>
            </w:r>
            <w:r w:rsidRPr="00504071">
              <w:rPr>
                <w:rFonts w:ascii="Arial" w:hAnsi="Arial" w:cs="Arial"/>
                <w:b/>
                <w:i w:val="0"/>
                <w:iCs w:val="0"/>
                <w:color w:val="auto"/>
                <w:spacing w:val="-2"/>
                <w:sz w:val="22"/>
                <w:szCs w:val="22"/>
              </w:rPr>
              <w:t>UNGRD.</w:t>
            </w:r>
          </w:p>
        </w:tc>
        <w:tc>
          <w:tcPr>
            <w:tcW w:w="2268" w:type="dxa"/>
          </w:tcPr>
          <w:p w14:paraId="12CD48BA" w14:textId="77777777" w:rsidR="0024577D" w:rsidRPr="001A37DC" w:rsidRDefault="0024577D" w:rsidP="00EF5AF2">
            <w:pPr>
              <w:ind w:right="-234"/>
              <w:jc w:val="center"/>
              <w:rPr>
                <w:rFonts w:ascii="Arial" w:hAnsi="Arial" w:cs="Arial"/>
                <w:b/>
                <w:sz w:val="22"/>
                <w:szCs w:val="22"/>
                <w:u w:val="single"/>
                <w:lang w:val="es-MX"/>
              </w:rPr>
            </w:pPr>
            <w:r w:rsidRPr="001A37DC">
              <w:rPr>
                <w:rFonts w:ascii="Arial" w:hAnsi="Arial" w:cs="Arial"/>
                <w:b/>
                <w:sz w:val="22"/>
                <w:szCs w:val="22"/>
                <w:u w:val="single"/>
                <w:lang w:val="es-MX"/>
              </w:rPr>
              <w:t>0.02%</w:t>
            </w:r>
          </w:p>
        </w:tc>
      </w:tr>
      <w:tr w:rsidR="0024577D" w:rsidRPr="003D6EE0" w14:paraId="5C506294" w14:textId="77777777" w:rsidTr="0024577D">
        <w:tc>
          <w:tcPr>
            <w:tcW w:w="1555" w:type="dxa"/>
          </w:tcPr>
          <w:p w14:paraId="0A99EE84" w14:textId="77777777" w:rsidR="0024577D" w:rsidRDefault="0024577D" w:rsidP="00EF5AF2">
            <w:pPr>
              <w:ind w:right="-112"/>
              <w:jc w:val="center"/>
              <w:rPr>
                <w:rFonts w:ascii="Arial" w:hAnsi="Arial" w:cs="Arial"/>
                <w:b/>
              </w:rPr>
            </w:pPr>
            <w:r>
              <w:rPr>
                <w:rFonts w:ascii="Arial" w:hAnsi="Arial" w:cs="Arial"/>
                <w:b/>
              </w:rPr>
              <w:t>64</w:t>
            </w:r>
          </w:p>
        </w:tc>
        <w:tc>
          <w:tcPr>
            <w:tcW w:w="6662" w:type="dxa"/>
          </w:tcPr>
          <w:p w14:paraId="4E5FE37E" w14:textId="77777777" w:rsidR="0024577D" w:rsidRPr="001A37DC" w:rsidRDefault="0024577D" w:rsidP="00EF5AF2">
            <w:pPr>
              <w:ind w:right="33"/>
              <w:jc w:val="both"/>
              <w:rPr>
                <w:rFonts w:ascii="Arial" w:hAnsi="Arial" w:cs="Arial"/>
                <w:b/>
                <w:sz w:val="22"/>
                <w:szCs w:val="22"/>
              </w:rPr>
            </w:pPr>
            <w:r w:rsidRPr="001A37DC">
              <w:rPr>
                <w:rFonts w:ascii="Arial" w:hAnsi="Arial" w:cs="Arial"/>
                <w:b/>
                <w:sz w:val="22"/>
                <w:szCs w:val="22"/>
              </w:rPr>
              <w:t>AGENCIA PRESIDENCIAL DE COOPERACIÓN INTERNACIONAL DE COLOMBIA APC - COLOMBIA.</w:t>
            </w:r>
          </w:p>
        </w:tc>
        <w:tc>
          <w:tcPr>
            <w:tcW w:w="2268" w:type="dxa"/>
          </w:tcPr>
          <w:p w14:paraId="4FA732B0" w14:textId="77777777" w:rsidR="0024577D" w:rsidRPr="001A37DC" w:rsidRDefault="0024577D" w:rsidP="00EF5AF2">
            <w:pPr>
              <w:ind w:right="-234"/>
              <w:jc w:val="center"/>
              <w:rPr>
                <w:rFonts w:ascii="Arial" w:hAnsi="Arial" w:cs="Arial"/>
                <w:b/>
                <w:sz w:val="22"/>
                <w:szCs w:val="22"/>
                <w:u w:val="single"/>
                <w:lang w:val="es-MX"/>
              </w:rPr>
            </w:pPr>
            <w:r w:rsidRPr="001A37DC">
              <w:rPr>
                <w:rFonts w:ascii="Arial" w:hAnsi="Arial" w:cs="Arial"/>
                <w:b/>
                <w:sz w:val="22"/>
                <w:szCs w:val="22"/>
                <w:u w:val="single"/>
                <w:lang w:val="es-MX"/>
              </w:rPr>
              <w:t>87.78%</w:t>
            </w:r>
          </w:p>
        </w:tc>
      </w:tr>
      <w:tr w:rsidR="0024577D" w:rsidRPr="003D6EE0" w14:paraId="706D5F42" w14:textId="77777777" w:rsidTr="0024577D">
        <w:tc>
          <w:tcPr>
            <w:tcW w:w="1555" w:type="dxa"/>
          </w:tcPr>
          <w:p w14:paraId="12E29D09" w14:textId="77777777" w:rsidR="0024577D" w:rsidRDefault="0024577D" w:rsidP="00EF5AF2">
            <w:pPr>
              <w:ind w:right="-112"/>
              <w:jc w:val="center"/>
              <w:rPr>
                <w:rFonts w:ascii="Arial" w:hAnsi="Arial" w:cs="Arial"/>
                <w:b/>
              </w:rPr>
            </w:pPr>
            <w:r>
              <w:rPr>
                <w:rFonts w:ascii="Arial" w:hAnsi="Arial" w:cs="Arial"/>
                <w:b/>
              </w:rPr>
              <w:t>65</w:t>
            </w:r>
          </w:p>
        </w:tc>
        <w:tc>
          <w:tcPr>
            <w:tcW w:w="6662" w:type="dxa"/>
          </w:tcPr>
          <w:p w14:paraId="1AAF30DF" w14:textId="77777777" w:rsidR="0024577D" w:rsidRPr="00715E6A" w:rsidRDefault="0024577D" w:rsidP="00EF5AF2">
            <w:pPr>
              <w:jc w:val="both"/>
              <w:rPr>
                <w:rFonts w:ascii="Arial" w:hAnsi="Arial" w:cs="Arial"/>
                <w:b/>
                <w:sz w:val="22"/>
                <w:szCs w:val="22"/>
                <w:lang w:val="es-MX"/>
              </w:rPr>
            </w:pPr>
            <w:r w:rsidRPr="00715E6A">
              <w:rPr>
                <w:rFonts w:ascii="Arial" w:hAnsi="Arial" w:cs="Arial"/>
                <w:b/>
                <w:sz w:val="22"/>
                <w:szCs w:val="22"/>
                <w:lang w:val="es-MX"/>
              </w:rPr>
              <w:t>RAMA JUDICIAL - CONSEJO SUPERIOR DE LA JUDICATURA.</w:t>
            </w:r>
          </w:p>
        </w:tc>
        <w:tc>
          <w:tcPr>
            <w:tcW w:w="2268" w:type="dxa"/>
          </w:tcPr>
          <w:p w14:paraId="4DF2A33E" w14:textId="77777777" w:rsidR="0024577D" w:rsidRPr="00715E6A" w:rsidRDefault="0024577D" w:rsidP="00EF5AF2">
            <w:pPr>
              <w:ind w:right="-234"/>
              <w:jc w:val="center"/>
              <w:rPr>
                <w:rFonts w:ascii="Arial" w:hAnsi="Arial" w:cs="Arial"/>
                <w:b/>
                <w:sz w:val="22"/>
                <w:szCs w:val="22"/>
                <w:u w:val="single"/>
                <w:lang w:val="es-MX"/>
              </w:rPr>
            </w:pPr>
            <w:r w:rsidRPr="00715E6A">
              <w:rPr>
                <w:rFonts w:ascii="Arial" w:hAnsi="Arial" w:cs="Arial"/>
                <w:b/>
                <w:sz w:val="22"/>
                <w:szCs w:val="22"/>
                <w:u w:val="single"/>
                <w:lang w:val="es-MX"/>
              </w:rPr>
              <w:t>82.94%</w:t>
            </w:r>
          </w:p>
        </w:tc>
      </w:tr>
      <w:tr w:rsidR="0024577D" w:rsidRPr="003D6EE0" w14:paraId="70B6E397" w14:textId="77777777" w:rsidTr="0024577D">
        <w:tc>
          <w:tcPr>
            <w:tcW w:w="1555" w:type="dxa"/>
          </w:tcPr>
          <w:p w14:paraId="2EEC49BC" w14:textId="77777777" w:rsidR="0024577D" w:rsidRDefault="0024577D" w:rsidP="00EF5AF2">
            <w:pPr>
              <w:ind w:right="-112"/>
              <w:jc w:val="center"/>
              <w:rPr>
                <w:rFonts w:ascii="Arial" w:hAnsi="Arial" w:cs="Arial"/>
                <w:b/>
              </w:rPr>
            </w:pPr>
            <w:r>
              <w:rPr>
                <w:rFonts w:ascii="Arial" w:hAnsi="Arial" w:cs="Arial"/>
                <w:b/>
              </w:rPr>
              <w:t>72</w:t>
            </w:r>
          </w:p>
        </w:tc>
        <w:tc>
          <w:tcPr>
            <w:tcW w:w="6662" w:type="dxa"/>
          </w:tcPr>
          <w:p w14:paraId="39D5745C" w14:textId="77777777" w:rsidR="0024577D" w:rsidRPr="005A0320" w:rsidRDefault="0024577D" w:rsidP="00EF5AF2">
            <w:pPr>
              <w:jc w:val="both"/>
              <w:rPr>
                <w:rFonts w:ascii="Arial" w:hAnsi="Arial" w:cs="Arial"/>
                <w:b/>
                <w:sz w:val="22"/>
                <w:szCs w:val="22"/>
                <w:lang w:val="es-MX"/>
              </w:rPr>
            </w:pPr>
            <w:r w:rsidRPr="005A0320">
              <w:rPr>
                <w:rFonts w:ascii="Arial" w:hAnsi="Arial" w:cs="Arial"/>
                <w:b/>
                <w:sz w:val="22"/>
                <w:szCs w:val="22"/>
                <w:lang w:val="es-MX"/>
              </w:rPr>
              <w:t>SERVICIO GEOLÓGICO COLOMBIANO.</w:t>
            </w:r>
          </w:p>
        </w:tc>
        <w:tc>
          <w:tcPr>
            <w:tcW w:w="2268" w:type="dxa"/>
          </w:tcPr>
          <w:p w14:paraId="4CDDB6B4" w14:textId="77777777" w:rsidR="0024577D" w:rsidRPr="005A0320" w:rsidRDefault="0024577D" w:rsidP="00EF5AF2">
            <w:pPr>
              <w:ind w:right="-234"/>
              <w:jc w:val="center"/>
              <w:rPr>
                <w:rFonts w:ascii="Arial" w:hAnsi="Arial" w:cs="Arial"/>
                <w:b/>
                <w:sz w:val="22"/>
                <w:szCs w:val="22"/>
                <w:u w:val="single"/>
                <w:lang w:val="es-MX"/>
              </w:rPr>
            </w:pPr>
            <w:r>
              <w:rPr>
                <w:rFonts w:ascii="Arial" w:hAnsi="Arial" w:cs="Arial"/>
                <w:b/>
                <w:sz w:val="22"/>
                <w:szCs w:val="22"/>
                <w:u w:val="single"/>
                <w:lang w:val="es-MX"/>
              </w:rPr>
              <w:t>89.00%</w:t>
            </w:r>
          </w:p>
        </w:tc>
      </w:tr>
      <w:tr w:rsidR="0024577D" w:rsidRPr="003D6EE0" w14:paraId="5744DFB5" w14:textId="77777777" w:rsidTr="0024577D">
        <w:tc>
          <w:tcPr>
            <w:tcW w:w="1555" w:type="dxa"/>
          </w:tcPr>
          <w:p w14:paraId="33460DA5" w14:textId="77777777" w:rsidR="0024577D" w:rsidRDefault="0024577D" w:rsidP="00EF5AF2">
            <w:pPr>
              <w:ind w:right="-112"/>
              <w:jc w:val="center"/>
              <w:rPr>
                <w:rFonts w:ascii="Arial" w:hAnsi="Arial" w:cs="Arial"/>
                <w:b/>
              </w:rPr>
            </w:pPr>
            <w:r>
              <w:rPr>
                <w:rFonts w:ascii="Arial" w:hAnsi="Arial" w:cs="Arial"/>
                <w:b/>
              </w:rPr>
              <w:t>75</w:t>
            </w:r>
          </w:p>
        </w:tc>
        <w:tc>
          <w:tcPr>
            <w:tcW w:w="6662" w:type="dxa"/>
          </w:tcPr>
          <w:p w14:paraId="21863B19" w14:textId="77777777" w:rsidR="0024577D" w:rsidRPr="003876DF" w:rsidRDefault="0024577D" w:rsidP="00EF5AF2">
            <w:pPr>
              <w:jc w:val="both"/>
              <w:rPr>
                <w:rFonts w:ascii="Arial" w:hAnsi="Arial" w:cs="Arial"/>
                <w:b/>
                <w:sz w:val="22"/>
                <w:szCs w:val="22"/>
                <w:lang w:val="es-MX"/>
              </w:rPr>
            </w:pPr>
            <w:r w:rsidRPr="003876DF">
              <w:rPr>
                <w:rFonts w:ascii="Arial" w:hAnsi="Arial" w:cs="Arial"/>
                <w:b/>
                <w:sz w:val="22"/>
                <w:szCs w:val="22"/>
                <w:lang w:val="es-MX"/>
              </w:rPr>
              <w:t>DEPARTAMENTO NACIONAL DE PLANEACION – DNP.</w:t>
            </w:r>
          </w:p>
        </w:tc>
        <w:tc>
          <w:tcPr>
            <w:tcW w:w="2268" w:type="dxa"/>
          </w:tcPr>
          <w:p w14:paraId="359604DA" w14:textId="77777777" w:rsidR="0024577D" w:rsidRPr="0079304A" w:rsidRDefault="0024577D" w:rsidP="00EF5AF2">
            <w:pPr>
              <w:ind w:right="-234"/>
              <w:jc w:val="center"/>
              <w:rPr>
                <w:rFonts w:ascii="Arial" w:hAnsi="Arial" w:cs="Arial"/>
                <w:b/>
                <w:sz w:val="22"/>
                <w:szCs w:val="22"/>
                <w:u w:val="single"/>
                <w:lang w:val="es-MX"/>
              </w:rPr>
            </w:pPr>
            <w:r w:rsidRPr="0079304A">
              <w:rPr>
                <w:rFonts w:ascii="Arial" w:hAnsi="Arial" w:cs="Arial"/>
                <w:b/>
                <w:sz w:val="22"/>
                <w:szCs w:val="22"/>
                <w:u w:val="single"/>
                <w:lang w:val="es-MX"/>
              </w:rPr>
              <w:t>43.69%</w:t>
            </w:r>
          </w:p>
        </w:tc>
      </w:tr>
      <w:tr w:rsidR="0024577D" w:rsidRPr="003D6EE0" w14:paraId="5D19E353" w14:textId="77777777" w:rsidTr="0024577D">
        <w:tc>
          <w:tcPr>
            <w:tcW w:w="1555" w:type="dxa"/>
          </w:tcPr>
          <w:p w14:paraId="08470BA8" w14:textId="77777777" w:rsidR="0024577D" w:rsidRDefault="0024577D" w:rsidP="00EF5AF2">
            <w:pPr>
              <w:ind w:right="-112"/>
              <w:jc w:val="center"/>
              <w:rPr>
                <w:rFonts w:ascii="Arial" w:hAnsi="Arial" w:cs="Arial"/>
                <w:b/>
              </w:rPr>
            </w:pPr>
            <w:r>
              <w:rPr>
                <w:rFonts w:ascii="Arial" w:hAnsi="Arial" w:cs="Arial"/>
                <w:b/>
              </w:rPr>
              <w:t>79</w:t>
            </w:r>
          </w:p>
        </w:tc>
        <w:tc>
          <w:tcPr>
            <w:tcW w:w="6662" w:type="dxa"/>
          </w:tcPr>
          <w:p w14:paraId="2896EAE6" w14:textId="77777777" w:rsidR="0024577D" w:rsidRPr="00934133" w:rsidRDefault="0024577D" w:rsidP="00EF5AF2">
            <w:pPr>
              <w:jc w:val="both"/>
              <w:rPr>
                <w:rFonts w:ascii="Arial" w:hAnsi="Arial" w:cs="Arial"/>
                <w:b/>
                <w:sz w:val="22"/>
                <w:szCs w:val="22"/>
                <w:lang w:val="es-MX"/>
              </w:rPr>
            </w:pPr>
            <w:r w:rsidRPr="00934133">
              <w:rPr>
                <w:rFonts w:ascii="Arial" w:hAnsi="Arial" w:cs="Arial"/>
                <w:b/>
                <w:sz w:val="22"/>
                <w:szCs w:val="22"/>
                <w:lang w:val="es-MX"/>
              </w:rPr>
              <w:t>MINISTERIO DEL DEPORTE.</w:t>
            </w:r>
          </w:p>
        </w:tc>
        <w:tc>
          <w:tcPr>
            <w:tcW w:w="2268" w:type="dxa"/>
          </w:tcPr>
          <w:p w14:paraId="40BE3C3E" w14:textId="77777777" w:rsidR="0024577D" w:rsidRPr="00934133" w:rsidRDefault="0024577D" w:rsidP="00EF5AF2">
            <w:pPr>
              <w:ind w:right="-234"/>
              <w:jc w:val="center"/>
              <w:rPr>
                <w:rFonts w:ascii="Arial" w:hAnsi="Arial" w:cs="Arial"/>
                <w:b/>
                <w:sz w:val="22"/>
                <w:szCs w:val="22"/>
                <w:u w:val="single"/>
                <w:lang w:val="es-MX"/>
              </w:rPr>
            </w:pPr>
            <w:r w:rsidRPr="00934133">
              <w:rPr>
                <w:rFonts w:ascii="Arial" w:hAnsi="Arial" w:cs="Arial"/>
                <w:b/>
                <w:sz w:val="22"/>
                <w:szCs w:val="22"/>
                <w:u w:val="single"/>
                <w:lang w:val="es-MX"/>
              </w:rPr>
              <w:t>52.68%</w:t>
            </w:r>
          </w:p>
        </w:tc>
      </w:tr>
      <w:tr w:rsidR="0024577D" w:rsidRPr="003D6EE0" w14:paraId="0304936C" w14:textId="77777777" w:rsidTr="0024577D">
        <w:tc>
          <w:tcPr>
            <w:tcW w:w="1555" w:type="dxa"/>
          </w:tcPr>
          <w:p w14:paraId="4532C7F6" w14:textId="77777777" w:rsidR="0024577D" w:rsidRDefault="0024577D" w:rsidP="00EF5AF2">
            <w:pPr>
              <w:ind w:right="-112"/>
              <w:jc w:val="center"/>
              <w:rPr>
                <w:rFonts w:ascii="Arial" w:hAnsi="Arial" w:cs="Arial"/>
                <w:b/>
              </w:rPr>
            </w:pPr>
            <w:r>
              <w:rPr>
                <w:rFonts w:ascii="Arial" w:hAnsi="Arial" w:cs="Arial"/>
                <w:b/>
              </w:rPr>
              <w:t>88</w:t>
            </w:r>
          </w:p>
        </w:tc>
        <w:tc>
          <w:tcPr>
            <w:tcW w:w="6662" w:type="dxa"/>
          </w:tcPr>
          <w:p w14:paraId="482DF5EB" w14:textId="77777777" w:rsidR="0024577D" w:rsidRPr="0070788F" w:rsidRDefault="0024577D" w:rsidP="00EF5AF2">
            <w:pPr>
              <w:jc w:val="both"/>
              <w:rPr>
                <w:rFonts w:ascii="Arial" w:hAnsi="Arial" w:cs="Arial"/>
                <w:b/>
                <w:sz w:val="22"/>
                <w:szCs w:val="22"/>
                <w:lang w:val="es-MX"/>
              </w:rPr>
            </w:pPr>
            <w:r w:rsidRPr="0070788F">
              <w:rPr>
                <w:rFonts w:ascii="Arial" w:hAnsi="Arial" w:cs="Arial"/>
                <w:b/>
                <w:sz w:val="22"/>
                <w:szCs w:val="22"/>
                <w:lang w:val="es-MX"/>
              </w:rPr>
              <w:t>SENADO DE LA REPÚBLICA.</w:t>
            </w:r>
          </w:p>
        </w:tc>
        <w:tc>
          <w:tcPr>
            <w:tcW w:w="2268" w:type="dxa"/>
          </w:tcPr>
          <w:p w14:paraId="26401223" w14:textId="77777777" w:rsidR="0024577D" w:rsidRPr="0070788F" w:rsidRDefault="0024577D" w:rsidP="00EF5AF2">
            <w:pPr>
              <w:ind w:right="-234"/>
              <w:jc w:val="center"/>
              <w:rPr>
                <w:rFonts w:ascii="Arial" w:hAnsi="Arial" w:cs="Arial"/>
                <w:b/>
                <w:sz w:val="22"/>
                <w:szCs w:val="22"/>
                <w:u w:val="single"/>
                <w:lang w:val="es-MX"/>
              </w:rPr>
            </w:pPr>
            <w:r w:rsidRPr="0070788F">
              <w:rPr>
                <w:rFonts w:ascii="Arial" w:hAnsi="Arial" w:cs="Arial"/>
                <w:b/>
                <w:sz w:val="22"/>
                <w:szCs w:val="22"/>
                <w:u w:val="single"/>
                <w:lang w:val="es-MX"/>
              </w:rPr>
              <w:t>95.00%</w:t>
            </w:r>
          </w:p>
        </w:tc>
      </w:tr>
      <w:tr w:rsidR="0024577D" w:rsidRPr="003D6EE0" w14:paraId="25CCAE64" w14:textId="77777777" w:rsidTr="0024577D">
        <w:tc>
          <w:tcPr>
            <w:tcW w:w="1555" w:type="dxa"/>
          </w:tcPr>
          <w:p w14:paraId="61984D61" w14:textId="77777777" w:rsidR="0024577D" w:rsidRDefault="0024577D" w:rsidP="00EF5AF2">
            <w:pPr>
              <w:ind w:right="-112"/>
              <w:jc w:val="center"/>
              <w:rPr>
                <w:rFonts w:ascii="Arial" w:hAnsi="Arial" w:cs="Arial"/>
                <w:b/>
              </w:rPr>
            </w:pPr>
            <w:r>
              <w:rPr>
                <w:rFonts w:ascii="Arial" w:hAnsi="Arial" w:cs="Arial"/>
                <w:b/>
              </w:rPr>
              <w:t>89</w:t>
            </w:r>
          </w:p>
        </w:tc>
        <w:tc>
          <w:tcPr>
            <w:tcW w:w="6662" w:type="dxa"/>
          </w:tcPr>
          <w:p w14:paraId="2ADD7675" w14:textId="77777777" w:rsidR="0024577D" w:rsidRPr="0077657A" w:rsidRDefault="0024577D" w:rsidP="00EF5AF2">
            <w:pPr>
              <w:jc w:val="both"/>
              <w:rPr>
                <w:rFonts w:ascii="Arial" w:hAnsi="Arial" w:cs="Arial"/>
                <w:b/>
                <w:sz w:val="22"/>
                <w:szCs w:val="22"/>
                <w:lang w:val="es-MX"/>
              </w:rPr>
            </w:pPr>
            <w:r w:rsidRPr="0077657A">
              <w:rPr>
                <w:rFonts w:ascii="Arial" w:hAnsi="Arial" w:cs="Arial"/>
                <w:b/>
                <w:sz w:val="22"/>
                <w:szCs w:val="22"/>
                <w:lang w:val="es-MX"/>
              </w:rPr>
              <w:t>CORPORACIÓN AGENCIA NACIONAL DE GOBIERNO DIGITAL - AND.</w:t>
            </w:r>
          </w:p>
        </w:tc>
        <w:tc>
          <w:tcPr>
            <w:tcW w:w="2268" w:type="dxa"/>
          </w:tcPr>
          <w:p w14:paraId="0D16266C" w14:textId="77777777" w:rsidR="0024577D" w:rsidRPr="0077657A" w:rsidRDefault="0024577D" w:rsidP="00EF5AF2">
            <w:pPr>
              <w:ind w:right="-234"/>
              <w:jc w:val="center"/>
              <w:rPr>
                <w:rFonts w:ascii="Arial" w:hAnsi="Arial" w:cs="Arial"/>
                <w:b/>
                <w:sz w:val="22"/>
                <w:szCs w:val="22"/>
                <w:u w:val="single"/>
                <w:lang w:val="es-MX"/>
              </w:rPr>
            </w:pPr>
            <w:r w:rsidRPr="0077657A">
              <w:rPr>
                <w:rFonts w:ascii="Arial" w:hAnsi="Arial" w:cs="Arial"/>
                <w:b/>
                <w:sz w:val="22"/>
                <w:szCs w:val="22"/>
                <w:u w:val="single"/>
                <w:lang w:val="es-MX"/>
              </w:rPr>
              <w:t>93.00%</w:t>
            </w:r>
          </w:p>
        </w:tc>
      </w:tr>
      <w:tr w:rsidR="0024577D" w:rsidRPr="003D6EE0" w14:paraId="0BCFB8D9" w14:textId="77777777" w:rsidTr="0024577D">
        <w:tc>
          <w:tcPr>
            <w:tcW w:w="1555" w:type="dxa"/>
          </w:tcPr>
          <w:p w14:paraId="384AEBCD" w14:textId="77777777" w:rsidR="0024577D" w:rsidRDefault="0024577D" w:rsidP="00EF5AF2">
            <w:pPr>
              <w:ind w:right="-112"/>
              <w:jc w:val="center"/>
              <w:rPr>
                <w:rFonts w:ascii="Arial" w:hAnsi="Arial" w:cs="Arial"/>
                <w:b/>
              </w:rPr>
            </w:pPr>
            <w:r>
              <w:rPr>
                <w:rFonts w:ascii="Arial" w:hAnsi="Arial" w:cs="Arial"/>
                <w:b/>
              </w:rPr>
              <w:t>96</w:t>
            </w:r>
          </w:p>
        </w:tc>
        <w:tc>
          <w:tcPr>
            <w:tcW w:w="6662" w:type="dxa"/>
          </w:tcPr>
          <w:p w14:paraId="2D44D72A" w14:textId="77777777" w:rsidR="0024577D" w:rsidRPr="003B250E" w:rsidRDefault="0024577D" w:rsidP="00EF5AF2">
            <w:pPr>
              <w:ind w:right="39"/>
              <w:jc w:val="both"/>
              <w:rPr>
                <w:rFonts w:ascii="Arial" w:hAnsi="Arial" w:cs="Arial"/>
                <w:b/>
                <w:sz w:val="22"/>
                <w:szCs w:val="22"/>
                <w:lang w:val="es-MX"/>
              </w:rPr>
            </w:pPr>
            <w:r w:rsidRPr="003B250E">
              <w:rPr>
                <w:rFonts w:ascii="Arial" w:hAnsi="Arial" w:cs="Arial"/>
                <w:b/>
                <w:sz w:val="22"/>
                <w:szCs w:val="22"/>
              </w:rPr>
              <w:t>CORPORACIÓN NACIONAL PARA LA RECONSTRUCCIÒN DE LA CUENCA DEL RIO PAEZ Y ZONAS ALEDAÑAS - NASA KIWE.</w:t>
            </w:r>
          </w:p>
        </w:tc>
        <w:tc>
          <w:tcPr>
            <w:tcW w:w="2268" w:type="dxa"/>
          </w:tcPr>
          <w:p w14:paraId="44FF28DE" w14:textId="77777777" w:rsidR="0024577D" w:rsidRPr="003B250E" w:rsidRDefault="0024577D" w:rsidP="00EF5AF2">
            <w:pPr>
              <w:ind w:right="-234"/>
              <w:jc w:val="center"/>
              <w:rPr>
                <w:rFonts w:ascii="Arial" w:hAnsi="Arial" w:cs="Arial"/>
                <w:b/>
                <w:sz w:val="22"/>
                <w:szCs w:val="22"/>
                <w:u w:val="single"/>
                <w:lang w:val="es-MX"/>
              </w:rPr>
            </w:pPr>
            <w:r w:rsidRPr="003B250E">
              <w:rPr>
                <w:rFonts w:ascii="Arial" w:hAnsi="Arial" w:cs="Arial"/>
                <w:b/>
                <w:sz w:val="22"/>
                <w:szCs w:val="22"/>
                <w:u w:val="single"/>
                <w:lang w:val="es-MX"/>
              </w:rPr>
              <w:t>96.00%</w:t>
            </w:r>
          </w:p>
        </w:tc>
      </w:tr>
      <w:tr w:rsidR="0024577D" w:rsidRPr="003D6EE0" w14:paraId="6EE5A326" w14:textId="77777777" w:rsidTr="0024577D">
        <w:tc>
          <w:tcPr>
            <w:tcW w:w="1555" w:type="dxa"/>
          </w:tcPr>
          <w:p w14:paraId="3AF31B66" w14:textId="77777777" w:rsidR="0024577D" w:rsidRDefault="0024577D" w:rsidP="00EF5AF2">
            <w:pPr>
              <w:ind w:right="-112"/>
              <w:jc w:val="center"/>
              <w:rPr>
                <w:rFonts w:ascii="Arial" w:hAnsi="Arial" w:cs="Arial"/>
                <w:b/>
              </w:rPr>
            </w:pPr>
            <w:r>
              <w:rPr>
                <w:rFonts w:ascii="Arial" w:hAnsi="Arial" w:cs="Arial"/>
                <w:b/>
              </w:rPr>
              <w:t>99</w:t>
            </w:r>
          </w:p>
        </w:tc>
        <w:tc>
          <w:tcPr>
            <w:tcW w:w="6662" w:type="dxa"/>
          </w:tcPr>
          <w:p w14:paraId="1B6EE53C" w14:textId="77777777" w:rsidR="0024577D" w:rsidRPr="002A64B0" w:rsidRDefault="0024577D" w:rsidP="00EF5AF2">
            <w:pPr>
              <w:ind w:right="39"/>
              <w:jc w:val="both"/>
              <w:rPr>
                <w:rFonts w:ascii="Arial" w:hAnsi="Arial" w:cs="Arial"/>
                <w:b/>
                <w:sz w:val="22"/>
                <w:szCs w:val="22"/>
                <w:lang w:val="es-MX"/>
              </w:rPr>
            </w:pPr>
            <w:r w:rsidRPr="002A64B0">
              <w:rPr>
                <w:rFonts w:ascii="Arial" w:hAnsi="Arial" w:cs="Arial"/>
                <w:b/>
                <w:sz w:val="22"/>
                <w:szCs w:val="22"/>
                <w:lang w:val="es-MX"/>
              </w:rPr>
              <w:t>DEPARTAMENTO ADMINISTRATIVO PARA LA PROSPERIDAD SOCIAL - DPS.</w:t>
            </w:r>
          </w:p>
        </w:tc>
        <w:tc>
          <w:tcPr>
            <w:tcW w:w="2268" w:type="dxa"/>
          </w:tcPr>
          <w:p w14:paraId="085CE5B9" w14:textId="77777777" w:rsidR="0024577D" w:rsidRPr="002A64B0" w:rsidRDefault="0024577D" w:rsidP="00EF5AF2">
            <w:pPr>
              <w:ind w:right="-234"/>
              <w:jc w:val="center"/>
              <w:rPr>
                <w:rFonts w:ascii="Arial" w:hAnsi="Arial" w:cs="Arial"/>
                <w:b/>
                <w:sz w:val="22"/>
                <w:szCs w:val="22"/>
                <w:u w:val="single"/>
                <w:lang w:val="es-MX"/>
              </w:rPr>
            </w:pPr>
            <w:r>
              <w:rPr>
                <w:rFonts w:ascii="Arial" w:hAnsi="Arial" w:cs="Arial"/>
                <w:b/>
                <w:sz w:val="22"/>
                <w:szCs w:val="22"/>
                <w:u w:val="single"/>
                <w:lang w:val="es-MX"/>
              </w:rPr>
              <w:t>44.31%</w:t>
            </w:r>
          </w:p>
        </w:tc>
      </w:tr>
      <w:tr w:rsidR="0024577D" w:rsidRPr="003D6EE0" w14:paraId="53C22757" w14:textId="77777777" w:rsidTr="0024577D">
        <w:tc>
          <w:tcPr>
            <w:tcW w:w="1555" w:type="dxa"/>
          </w:tcPr>
          <w:p w14:paraId="7AB0EACD" w14:textId="77777777" w:rsidR="0024577D" w:rsidRDefault="0024577D" w:rsidP="00EF5AF2">
            <w:pPr>
              <w:ind w:right="-112"/>
              <w:jc w:val="center"/>
              <w:rPr>
                <w:rFonts w:ascii="Arial" w:hAnsi="Arial" w:cs="Arial"/>
                <w:b/>
              </w:rPr>
            </w:pPr>
            <w:r>
              <w:rPr>
                <w:rFonts w:ascii="Arial" w:hAnsi="Arial" w:cs="Arial"/>
                <w:b/>
              </w:rPr>
              <w:lastRenderedPageBreak/>
              <w:t>112</w:t>
            </w:r>
          </w:p>
        </w:tc>
        <w:tc>
          <w:tcPr>
            <w:tcW w:w="6662" w:type="dxa"/>
          </w:tcPr>
          <w:p w14:paraId="702CC05E" w14:textId="77777777" w:rsidR="0024577D" w:rsidRPr="00A40287" w:rsidRDefault="0024577D" w:rsidP="00EF5AF2">
            <w:pPr>
              <w:jc w:val="both"/>
              <w:rPr>
                <w:rFonts w:ascii="Arial" w:hAnsi="Arial" w:cs="Arial"/>
                <w:b/>
                <w:sz w:val="22"/>
                <w:szCs w:val="22"/>
                <w:lang w:val="es-MX"/>
              </w:rPr>
            </w:pPr>
            <w:r w:rsidRPr="00A40287">
              <w:rPr>
                <w:rFonts w:ascii="Arial" w:hAnsi="Arial" w:cs="Arial"/>
                <w:b/>
                <w:sz w:val="22"/>
                <w:szCs w:val="22"/>
              </w:rPr>
              <w:t>FONDO ROTATORIO DE LA POLICÍA NACIONAL</w:t>
            </w:r>
            <w:r w:rsidRPr="00A40287">
              <w:rPr>
                <w:rFonts w:ascii="Arial" w:hAnsi="Arial" w:cs="Arial"/>
                <w:b/>
                <w:sz w:val="22"/>
                <w:szCs w:val="22"/>
                <w:lang w:val="es-MX"/>
              </w:rPr>
              <w:t>.</w:t>
            </w:r>
          </w:p>
        </w:tc>
        <w:tc>
          <w:tcPr>
            <w:tcW w:w="2268" w:type="dxa"/>
          </w:tcPr>
          <w:p w14:paraId="7FDCC6C3" w14:textId="77777777" w:rsidR="0024577D" w:rsidRPr="00A40287" w:rsidRDefault="0024577D" w:rsidP="00EF5AF2">
            <w:pPr>
              <w:ind w:right="-234"/>
              <w:jc w:val="center"/>
              <w:rPr>
                <w:rFonts w:ascii="Arial" w:hAnsi="Arial" w:cs="Arial"/>
                <w:b/>
                <w:sz w:val="22"/>
                <w:szCs w:val="22"/>
                <w:u w:val="single"/>
                <w:lang w:val="es-MX"/>
              </w:rPr>
            </w:pPr>
            <w:r w:rsidRPr="00A40287">
              <w:rPr>
                <w:rFonts w:ascii="Arial" w:hAnsi="Arial" w:cs="Arial"/>
                <w:b/>
                <w:sz w:val="22"/>
                <w:szCs w:val="22"/>
                <w:u w:val="single"/>
                <w:lang w:val="es-MX"/>
              </w:rPr>
              <w:t>36.20%</w:t>
            </w:r>
          </w:p>
        </w:tc>
      </w:tr>
      <w:tr w:rsidR="0024577D" w:rsidRPr="003D6EE0" w14:paraId="2C3B495C" w14:textId="77777777" w:rsidTr="0024577D">
        <w:tc>
          <w:tcPr>
            <w:tcW w:w="1555" w:type="dxa"/>
          </w:tcPr>
          <w:p w14:paraId="5A6C2239" w14:textId="77777777" w:rsidR="0024577D" w:rsidRDefault="0024577D" w:rsidP="00EF5AF2">
            <w:pPr>
              <w:ind w:right="-112"/>
              <w:jc w:val="center"/>
              <w:rPr>
                <w:rFonts w:ascii="Arial" w:hAnsi="Arial" w:cs="Arial"/>
                <w:b/>
              </w:rPr>
            </w:pPr>
            <w:r>
              <w:rPr>
                <w:rFonts w:ascii="Arial" w:hAnsi="Arial" w:cs="Arial"/>
                <w:b/>
              </w:rPr>
              <w:t>113</w:t>
            </w:r>
          </w:p>
        </w:tc>
        <w:tc>
          <w:tcPr>
            <w:tcW w:w="6662" w:type="dxa"/>
          </w:tcPr>
          <w:p w14:paraId="0169DAF3" w14:textId="77777777" w:rsidR="0024577D" w:rsidRPr="00F8188F" w:rsidRDefault="0024577D" w:rsidP="00EF5AF2">
            <w:pPr>
              <w:jc w:val="both"/>
              <w:rPr>
                <w:rFonts w:ascii="Arial" w:hAnsi="Arial" w:cs="Arial"/>
                <w:b/>
                <w:sz w:val="22"/>
                <w:szCs w:val="22"/>
                <w:lang w:val="es-MX"/>
              </w:rPr>
            </w:pPr>
            <w:r w:rsidRPr="00F8188F">
              <w:rPr>
                <w:rFonts w:ascii="Arial" w:hAnsi="Arial" w:cs="Arial"/>
                <w:b/>
                <w:sz w:val="22"/>
                <w:szCs w:val="22"/>
                <w:lang w:val="es-MX"/>
              </w:rPr>
              <w:t>REGISTRADURÍA NACIONAL DEL ESTADO CIVIL.</w:t>
            </w:r>
          </w:p>
        </w:tc>
        <w:tc>
          <w:tcPr>
            <w:tcW w:w="2268" w:type="dxa"/>
          </w:tcPr>
          <w:p w14:paraId="55014184" w14:textId="77777777" w:rsidR="0024577D" w:rsidRPr="00F8188F" w:rsidRDefault="0024577D" w:rsidP="00EF5AF2">
            <w:pPr>
              <w:ind w:right="-234"/>
              <w:jc w:val="center"/>
              <w:rPr>
                <w:rFonts w:ascii="Arial" w:hAnsi="Arial" w:cs="Arial"/>
                <w:b/>
                <w:sz w:val="22"/>
                <w:szCs w:val="22"/>
                <w:u w:val="single"/>
                <w:lang w:val="es-MX"/>
              </w:rPr>
            </w:pPr>
            <w:r w:rsidRPr="00F8188F">
              <w:rPr>
                <w:rFonts w:ascii="Arial" w:hAnsi="Arial" w:cs="Arial"/>
                <w:b/>
                <w:sz w:val="22"/>
                <w:szCs w:val="22"/>
                <w:u w:val="single"/>
                <w:lang w:val="es-MX"/>
              </w:rPr>
              <w:t>99.15%</w:t>
            </w:r>
          </w:p>
        </w:tc>
      </w:tr>
      <w:tr w:rsidR="0024577D" w:rsidRPr="003D6EE0" w14:paraId="790BAD59" w14:textId="77777777" w:rsidTr="0024577D">
        <w:tc>
          <w:tcPr>
            <w:tcW w:w="1555" w:type="dxa"/>
          </w:tcPr>
          <w:p w14:paraId="797A1CA5" w14:textId="77777777" w:rsidR="0024577D" w:rsidRDefault="0024577D" w:rsidP="00EF5AF2">
            <w:pPr>
              <w:ind w:right="-112"/>
              <w:jc w:val="center"/>
              <w:rPr>
                <w:rFonts w:ascii="Arial" w:hAnsi="Arial" w:cs="Arial"/>
                <w:b/>
              </w:rPr>
            </w:pPr>
            <w:r>
              <w:rPr>
                <w:rFonts w:ascii="Arial" w:hAnsi="Arial" w:cs="Arial"/>
                <w:b/>
              </w:rPr>
              <w:t>121</w:t>
            </w:r>
          </w:p>
        </w:tc>
        <w:tc>
          <w:tcPr>
            <w:tcW w:w="6662" w:type="dxa"/>
          </w:tcPr>
          <w:p w14:paraId="5CA9D80E" w14:textId="77777777" w:rsidR="0024577D" w:rsidRPr="00E53ED5" w:rsidRDefault="0024577D" w:rsidP="00EF5AF2">
            <w:pPr>
              <w:ind w:right="49"/>
              <w:jc w:val="both"/>
              <w:rPr>
                <w:rFonts w:ascii="Arial" w:hAnsi="Arial" w:cs="Arial"/>
                <w:b/>
                <w:sz w:val="22"/>
                <w:szCs w:val="22"/>
                <w:lang w:val="es-MX"/>
              </w:rPr>
            </w:pPr>
            <w:r w:rsidRPr="00E53ED5">
              <w:rPr>
                <w:rFonts w:ascii="Arial" w:hAnsi="Arial" w:cs="Arial"/>
                <w:b/>
                <w:sz w:val="22"/>
                <w:szCs w:val="22"/>
                <w:lang w:val="es-MX"/>
              </w:rPr>
              <w:t xml:space="preserve">INSTITUTO NACIONAL DE FORMACIÓN TÉCNICA PROFESIONAL DE SAN JUAN DEL CESAR LA GUAJIRA – INFOTEP. </w:t>
            </w:r>
          </w:p>
        </w:tc>
        <w:tc>
          <w:tcPr>
            <w:tcW w:w="2268" w:type="dxa"/>
          </w:tcPr>
          <w:p w14:paraId="7AD28380" w14:textId="77777777" w:rsidR="0024577D" w:rsidRPr="00CB3F28" w:rsidRDefault="0024577D" w:rsidP="00EF5AF2">
            <w:pPr>
              <w:ind w:right="-234"/>
              <w:jc w:val="center"/>
              <w:rPr>
                <w:rFonts w:ascii="Arial" w:hAnsi="Arial" w:cs="Arial"/>
                <w:b/>
                <w:sz w:val="22"/>
                <w:szCs w:val="22"/>
                <w:u w:val="single"/>
                <w:lang w:val="es-MX"/>
              </w:rPr>
            </w:pPr>
            <w:r w:rsidRPr="00CB3F28">
              <w:rPr>
                <w:rFonts w:ascii="Arial" w:hAnsi="Arial" w:cs="Arial"/>
                <w:b/>
                <w:sz w:val="22"/>
                <w:szCs w:val="22"/>
                <w:u w:val="single"/>
                <w:lang w:val="es-MX"/>
              </w:rPr>
              <w:t>96.63%</w:t>
            </w:r>
          </w:p>
        </w:tc>
      </w:tr>
      <w:tr w:rsidR="0024577D" w:rsidRPr="003D6EE0" w14:paraId="2AA9C206" w14:textId="77777777" w:rsidTr="0024577D">
        <w:tc>
          <w:tcPr>
            <w:tcW w:w="1555" w:type="dxa"/>
          </w:tcPr>
          <w:p w14:paraId="5006263E" w14:textId="77777777" w:rsidR="0024577D" w:rsidRDefault="0024577D" w:rsidP="00EF5AF2">
            <w:pPr>
              <w:ind w:right="-112"/>
              <w:jc w:val="center"/>
              <w:rPr>
                <w:rFonts w:ascii="Arial" w:hAnsi="Arial" w:cs="Arial"/>
                <w:b/>
              </w:rPr>
            </w:pPr>
            <w:r>
              <w:rPr>
                <w:rFonts w:ascii="Arial" w:hAnsi="Arial" w:cs="Arial"/>
                <w:b/>
              </w:rPr>
              <w:t>122</w:t>
            </w:r>
          </w:p>
        </w:tc>
        <w:tc>
          <w:tcPr>
            <w:tcW w:w="6662" w:type="dxa"/>
          </w:tcPr>
          <w:p w14:paraId="16F5FC8E" w14:textId="77777777" w:rsidR="0024577D" w:rsidRPr="00CB3F28" w:rsidRDefault="0024577D" w:rsidP="00EF5AF2">
            <w:pPr>
              <w:jc w:val="both"/>
              <w:rPr>
                <w:rFonts w:ascii="Arial" w:hAnsi="Arial" w:cs="Arial"/>
                <w:b/>
                <w:sz w:val="22"/>
                <w:szCs w:val="22"/>
                <w:lang w:val="es-MX"/>
              </w:rPr>
            </w:pPr>
            <w:r w:rsidRPr="00CB3F28">
              <w:rPr>
                <w:rFonts w:ascii="Arial" w:hAnsi="Arial" w:cs="Arial"/>
                <w:b/>
                <w:sz w:val="22"/>
                <w:szCs w:val="22"/>
                <w:lang w:val="es-MX"/>
              </w:rPr>
              <w:t xml:space="preserve">UNIDAD NACIONAL DE PROTECCIÓN – UNP. </w:t>
            </w:r>
          </w:p>
        </w:tc>
        <w:tc>
          <w:tcPr>
            <w:tcW w:w="2268" w:type="dxa"/>
          </w:tcPr>
          <w:p w14:paraId="75E699DE" w14:textId="77777777" w:rsidR="0024577D" w:rsidRPr="00CB3F28" w:rsidRDefault="0024577D" w:rsidP="00EF5AF2">
            <w:pPr>
              <w:ind w:right="-234"/>
              <w:jc w:val="center"/>
              <w:rPr>
                <w:rFonts w:ascii="Arial" w:hAnsi="Arial" w:cs="Arial"/>
                <w:b/>
                <w:sz w:val="22"/>
                <w:szCs w:val="22"/>
                <w:u w:val="single"/>
                <w:lang w:val="es-MX"/>
              </w:rPr>
            </w:pPr>
            <w:r w:rsidRPr="00CB3F28">
              <w:rPr>
                <w:rFonts w:ascii="Arial" w:hAnsi="Arial" w:cs="Arial"/>
                <w:b/>
                <w:sz w:val="22"/>
                <w:szCs w:val="22"/>
                <w:u w:val="single"/>
                <w:lang w:val="es-MX"/>
              </w:rPr>
              <w:t>49.35%</w:t>
            </w:r>
          </w:p>
        </w:tc>
      </w:tr>
      <w:tr w:rsidR="0024577D" w:rsidRPr="003D6EE0" w14:paraId="2B66A88A" w14:textId="77777777" w:rsidTr="0024577D">
        <w:tc>
          <w:tcPr>
            <w:tcW w:w="1555" w:type="dxa"/>
          </w:tcPr>
          <w:p w14:paraId="4D853B11" w14:textId="77777777" w:rsidR="0024577D" w:rsidRDefault="0024577D" w:rsidP="00EF5AF2">
            <w:pPr>
              <w:ind w:right="-112"/>
              <w:jc w:val="center"/>
              <w:rPr>
                <w:rFonts w:ascii="Arial" w:hAnsi="Arial" w:cs="Arial"/>
                <w:b/>
              </w:rPr>
            </w:pPr>
            <w:r>
              <w:rPr>
                <w:rFonts w:ascii="Arial" w:hAnsi="Arial" w:cs="Arial"/>
                <w:b/>
              </w:rPr>
              <w:t>129</w:t>
            </w:r>
          </w:p>
        </w:tc>
        <w:tc>
          <w:tcPr>
            <w:tcW w:w="6662" w:type="dxa"/>
          </w:tcPr>
          <w:p w14:paraId="0B37E1AE" w14:textId="77777777" w:rsidR="0024577D" w:rsidRPr="001B225C" w:rsidRDefault="0024577D" w:rsidP="00EF5AF2">
            <w:pPr>
              <w:jc w:val="both"/>
              <w:rPr>
                <w:rFonts w:ascii="Arial" w:hAnsi="Arial" w:cs="Arial"/>
                <w:b/>
                <w:sz w:val="22"/>
                <w:szCs w:val="22"/>
                <w:lang w:val="es-MX"/>
              </w:rPr>
            </w:pPr>
            <w:r w:rsidRPr="001B225C">
              <w:rPr>
                <w:rFonts w:ascii="Arial" w:hAnsi="Arial" w:cs="Arial"/>
                <w:b/>
                <w:sz w:val="22"/>
                <w:szCs w:val="22"/>
              </w:rPr>
              <w:t>UNIDAD DE SERVICIOS PENITENCIARIOS Y CARCELARIOS – USPEC</w:t>
            </w:r>
            <w:r>
              <w:rPr>
                <w:rFonts w:ascii="Arial" w:hAnsi="Arial" w:cs="Arial"/>
                <w:b/>
                <w:sz w:val="22"/>
                <w:szCs w:val="22"/>
                <w:lang w:val="es-MX"/>
              </w:rPr>
              <w:t>.</w:t>
            </w:r>
          </w:p>
        </w:tc>
        <w:tc>
          <w:tcPr>
            <w:tcW w:w="2268" w:type="dxa"/>
          </w:tcPr>
          <w:p w14:paraId="79D99644" w14:textId="77777777" w:rsidR="0024577D" w:rsidRPr="001B225C" w:rsidRDefault="0024577D" w:rsidP="00EF5AF2">
            <w:pPr>
              <w:ind w:right="-234"/>
              <w:jc w:val="center"/>
              <w:rPr>
                <w:rFonts w:ascii="Arial" w:hAnsi="Arial" w:cs="Arial"/>
                <w:b/>
                <w:sz w:val="22"/>
                <w:szCs w:val="22"/>
                <w:u w:val="single"/>
                <w:lang w:val="es-MX"/>
              </w:rPr>
            </w:pPr>
            <w:r>
              <w:rPr>
                <w:rFonts w:ascii="Arial" w:hAnsi="Arial" w:cs="Arial"/>
                <w:b/>
                <w:sz w:val="22"/>
                <w:szCs w:val="22"/>
                <w:u w:val="single"/>
                <w:lang w:val="es-MX"/>
              </w:rPr>
              <w:t>76.03%</w:t>
            </w:r>
          </w:p>
        </w:tc>
      </w:tr>
      <w:tr w:rsidR="0024577D" w:rsidRPr="003D6EE0" w14:paraId="43B99025" w14:textId="77777777" w:rsidTr="0024577D">
        <w:tc>
          <w:tcPr>
            <w:tcW w:w="1555" w:type="dxa"/>
          </w:tcPr>
          <w:p w14:paraId="1C5C7719" w14:textId="77777777" w:rsidR="0024577D" w:rsidRDefault="0024577D" w:rsidP="00EF5AF2">
            <w:pPr>
              <w:ind w:right="-112"/>
              <w:jc w:val="center"/>
              <w:rPr>
                <w:rFonts w:ascii="Arial" w:hAnsi="Arial" w:cs="Arial"/>
                <w:b/>
              </w:rPr>
            </w:pPr>
            <w:r>
              <w:rPr>
                <w:rFonts w:ascii="Arial" w:hAnsi="Arial" w:cs="Arial"/>
                <w:b/>
              </w:rPr>
              <w:t>130</w:t>
            </w:r>
          </w:p>
        </w:tc>
        <w:tc>
          <w:tcPr>
            <w:tcW w:w="6662" w:type="dxa"/>
          </w:tcPr>
          <w:p w14:paraId="2251C011" w14:textId="77777777" w:rsidR="0024577D" w:rsidRPr="009B0824" w:rsidRDefault="0024577D" w:rsidP="00EF5AF2">
            <w:pPr>
              <w:jc w:val="both"/>
              <w:rPr>
                <w:rFonts w:ascii="Arial" w:hAnsi="Arial" w:cs="Arial"/>
                <w:b/>
                <w:sz w:val="22"/>
                <w:szCs w:val="22"/>
                <w:lang w:val="es-MX"/>
              </w:rPr>
            </w:pPr>
            <w:r w:rsidRPr="009B0824">
              <w:rPr>
                <w:rFonts w:ascii="Arial" w:hAnsi="Arial" w:cs="Arial"/>
                <w:b/>
                <w:sz w:val="22"/>
                <w:szCs w:val="22"/>
                <w:lang w:val="es-MX"/>
              </w:rPr>
              <w:t>U.A.E. JUNTA CENTRAL DE CONTADORES.</w:t>
            </w:r>
          </w:p>
        </w:tc>
        <w:tc>
          <w:tcPr>
            <w:tcW w:w="2268" w:type="dxa"/>
          </w:tcPr>
          <w:p w14:paraId="354218AE" w14:textId="77777777" w:rsidR="0024577D" w:rsidRPr="0005233B" w:rsidRDefault="0024577D" w:rsidP="00EF5AF2">
            <w:pPr>
              <w:ind w:right="-234"/>
              <w:jc w:val="center"/>
              <w:rPr>
                <w:rFonts w:ascii="Arial" w:hAnsi="Arial" w:cs="Arial"/>
                <w:b/>
                <w:sz w:val="22"/>
                <w:szCs w:val="22"/>
                <w:u w:val="single"/>
                <w:lang w:val="es-MX"/>
              </w:rPr>
            </w:pPr>
            <w:r w:rsidRPr="0005233B">
              <w:rPr>
                <w:rFonts w:ascii="Arial" w:hAnsi="Arial" w:cs="Arial"/>
                <w:b/>
                <w:sz w:val="22"/>
                <w:szCs w:val="22"/>
                <w:u w:val="single"/>
                <w:lang w:val="es-MX"/>
              </w:rPr>
              <w:t>92.37%</w:t>
            </w:r>
          </w:p>
        </w:tc>
      </w:tr>
      <w:tr w:rsidR="0024577D" w:rsidRPr="003D6EE0" w14:paraId="4321915D" w14:textId="77777777" w:rsidTr="0024577D">
        <w:tc>
          <w:tcPr>
            <w:tcW w:w="1555" w:type="dxa"/>
          </w:tcPr>
          <w:p w14:paraId="40DBB97A" w14:textId="77777777" w:rsidR="0024577D" w:rsidRDefault="0024577D" w:rsidP="00EF5AF2">
            <w:pPr>
              <w:ind w:right="-112"/>
              <w:jc w:val="center"/>
              <w:rPr>
                <w:rFonts w:ascii="Arial" w:hAnsi="Arial" w:cs="Arial"/>
                <w:b/>
              </w:rPr>
            </w:pPr>
            <w:r>
              <w:rPr>
                <w:rFonts w:ascii="Arial" w:hAnsi="Arial" w:cs="Arial"/>
                <w:b/>
              </w:rPr>
              <w:t>138</w:t>
            </w:r>
          </w:p>
        </w:tc>
        <w:tc>
          <w:tcPr>
            <w:tcW w:w="6662" w:type="dxa"/>
          </w:tcPr>
          <w:p w14:paraId="48675596" w14:textId="77777777" w:rsidR="0024577D" w:rsidRPr="0005233B" w:rsidRDefault="0024577D" w:rsidP="00EF5AF2">
            <w:pPr>
              <w:jc w:val="both"/>
              <w:rPr>
                <w:rFonts w:ascii="Arial" w:hAnsi="Arial" w:cs="Arial"/>
                <w:b/>
                <w:sz w:val="22"/>
                <w:szCs w:val="22"/>
                <w:lang w:val="es-MX"/>
              </w:rPr>
            </w:pPr>
            <w:r w:rsidRPr="0005233B">
              <w:rPr>
                <w:rFonts w:ascii="Arial" w:hAnsi="Arial" w:cs="Arial"/>
                <w:b/>
                <w:sz w:val="22"/>
                <w:szCs w:val="22"/>
                <w:lang w:val="es-MX"/>
              </w:rPr>
              <w:t>INSTITUTO NACIONAL DE FORMACIÓN TÉCNICA PROFESIONAL DE SAN ANDRÉS, PROVIDENCIA Y SANTA CATALINA – INFOTEP.</w:t>
            </w:r>
          </w:p>
        </w:tc>
        <w:tc>
          <w:tcPr>
            <w:tcW w:w="2268" w:type="dxa"/>
          </w:tcPr>
          <w:p w14:paraId="3F4B3448" w14:textId="77777777" w:rsidR="0024577D" w:rsidRPr="0005233B" w:rsidRDefault="0024577D" w:rsidP="00EF5AF2">
            <w:pPr>
              <w:ind w:right="-234"/>
              <w:jc w:val="center"/>
              <w:rPr>
                <w:rFonts w:ascii="Arial" w:hAnsi="Arial" w:cs="Arial"/>
                <w:b/>
                <w:sz w:val="22"/>
                <w:szCs w:val="22"/>
                <w:u w:val="single"/>
                <w:lang w:val="es-MX"/>
              </w:rPr>
            </w:pPr>
            <w:r w:rsidRPr="0005233B">
              <w:rPr>
                <w:rFonts w:ascii="Arial" w:hAnsi="Arial" w:cs="Arial"/>
                <w:b/>
                <w:sz w:val="22"/>
                <w:szCs w:val="22"/>
                <w:u w:val="single"/>
                <w:lang w:val="es-MX"/>
              </w:rPr>
              <w:t>95.50%</w:t>
            </w:r>
          </w:p>
        </w:tc>
      </w:tr>
      <w:tr w:rsidR="0024577D" w:rsidRPr="003D6EE0" w14:paraId="105AD7C0" w14:textId="77777777" w:rsidTr="0024577D">
        <w:tc>
          <w:tcPr>
            <w:tcW w:w="1555" w:type="dxa"/>
          </w:tcPr>
          <w:p w14:paraId="79D26324" w14:textId="77777777" w:rsidR="0024577D" w:rsidRDefault="0024577D" w:rsidP="00EF5AF2">
            <w:pPr>
              <w:ind w:right="-112"/>
              <w:jc w:val="center"/>
              <w:rPr>
                <w:rFonts w:ascii="Arial" w:hAnsi="Arial" w:cs="Arial"/>
                <w:b/>
              </w:rPr>
            </w:pPr>
            <w:r>
              <w:rPr>
                <w:rFonts w:ascii="Arial" w:hAnsi="Arial" w:cs="Arial"/>
                <w:b/>
              </w:rPr>
              <w:t>148</w:t>
            </w:r>
          </w:p>
        </w:tc>
        <w:tc>
          <w:tcPr>
            <w:tcW w:w="6662" w:type="dxa"/>
          </w:tcPr>
          <w:p w14:paraId="17324B6D" w14:textId="77777777" w:rsidR="0024577D" w:rsidRPr="00A20625" w:rsidRDefault="0024577D" w:rsidP="00EF5AF2">
            <w:pPr>
              <w:jc w:val="both"/>
              <w:rPr>
                <w:rFonts w:ascii="Arial" w:hAnsi="Arial" w:cs="Arial"/>
                <w:b/>
                <w:sz w:val="22"/>
                <w:szCs w:val="22"/>
                <w:lang w:val="es-MX"/>
              </w:rPr>
            </w:pPr>
            <w:r w:rsidRPr="00A20625">
              <w:rPr>
                <w:rFonts w:ascii="Arial" w:hAnsi="Arial" w:cs="Arial"/>
                <w:b/>
                <w:sz w:val="22"/>
                <w:szCs w:val="22"/>
                <w:lang w:val="es-MX"/>
              </w:rPr>
              <w:t>SUPERINTENDENCIA DE SERVICIOS PÚBLICOS DOMICILIARIOS - SUPERSERVICIOS.</w:t>
            </w:r>
          </w:p>
        </w:tc>
        <w:tc>
          <w:tcPr>
            <w:tcW w:w="2268" w:type="dxa"/>
          </w:tcPr>
          <w:p w14:paraId="7F844513" w14:textId="77777777" w:rsidR="0024577D" w:rsidRPr="00A20625" w:rsidRDefault="0024577D" w:rsidP="00EF5AF2">
            <w:pPr>
              <w:ind w:right="-234"/>
              <w:jc w:val="center"/>
              <w:rPr>
                <w:rFonts w:ascii="Arial" w:hAnsi="Arial" w:cs="Arial"/>
                <w:b/>
                <w:sz w:val="22"/>
                <w:szCs w:val="22"/>
                <w:u w:val="single"/>
                <w:lang w:val="es-MX"/>
              </w:rPr>
            </w:pPr>
            <w:r w:rsidRPr="00A20625">
              <w:rPr>
                <w:rFonts w:ascii="Arial" w:hAnsi="Arial" w:cs="Arial"/>
                <w:b/>
                <w:sz w:val="22"/>
                <w:szCs w:val="22"/>
                <w:u w:val="single"/>
                <w:lang w:val="es-MX"/>
              </w:rPr>
              <w:t>98.56%</w:t>
            </w:r>
          </w:p>
        </w:tc>
      </w:tr>
      <w:tr w:rsidR="0024577D" w:rsidRPr="003D6EE0" w14:paraId="1648CED2" w14:textId="77777777" w:rsidTr="0024577D">
        <w:tc>
          <w:tcPr>
            <w:tcW w:w="1555" w:type="dxa"/>
          </w:tcPr>
          <w:p w14:paraId="08139F52" w14:textId="77777777" w:rsidR="0024577D" w:rsidRDefault="0024577D" w:rsidP="00EF5AF2">
            <w:pPr>
              <w:ind w:right="-112"/>
              <w:jc w:val="center"/>
              <w:rPr>
                <w:rFonts w:ascii="Arial" w:hAnsi="Arial" w:cs="Arial"/>
                <w:b/>
              </w:rPr>
            </w:pPr>
            <w:r>
              <w:rPr>
                <w:rFonts w:ascii="Arial" w:hAnsi="Arial" w:cs="Arial"/>
                <w:b/>
              </w:rPr>
              <w:t>149</w:t>
            </w:r>
          </w:p>
        </w:tc>
        <w:tc>
          <w:tcPr>
            <w:tcW w:w="6662" w:type="dxa"/>
          </w:tcPr>
          <w:p w14:paraId="73D3B399" w14:textId="77777777" w:rsidR="0024577D" w:rsidRPr="005B33C4" w:rsidRDefault="0024577D" w:rsidP="00EF5AF2">
            <w:pPr>
              <w:jc w:val="both"/>
              <w:rPr>
                <w:rFonts w:ascii="Arial" w:hAnsi="Arial" w:cs="Arial"/>
                <w:b/>
                <w:sz w:val="22"/>
                <w:szCs w:val="22"/>
                <w:lang w:val="es-MX"/>
              </w:rPr>
            </w:pPr>
            <w:r w:rsidRPr="005B33C4">
              <w:rPr>
                <w:rFonts w:ascii="Arial" w:hAnsi="Arial" w:cs="Arial"/>
                <w:b/>
                <w:sz w:val="22"/>
                <w:szCs w:val="22"/>
                <w:lang w:val="es-MX"/>
              </w:rPr>
              <w:t>U.A.E. AERONAUTICA CIVIL - AEROCIVIL.</w:t>
            </w:r>
          </w:p>
        </w:tc>
        <w:tc>
          <w:tcPr>
            <w:tcW w:w="2268" w:type="dxa"/>
          </w:tcPr>
          <w:p w14:paraId="1B9DF83C" w14:textId="77777777" w:rsidR="0024577D" w:rsidRPr="005B33C4" w:rsidRDefault="0024577D" w:rsidP="00EF5AF2">
            <w:pPr>
              <w:ind w:right="-234"/>
              <w:jc w:val="center"/>
              <w:rPr>
                <w:rFonts w:ascii="Arial" w:hAnsi="Arial" w:cs="Arial"/>
                <w:b/>
                <w:sz w:val="22"/>
                <w:szCs w:val="22"/>
                <w:u w:val="single"/>
                <w:lang w:val="es-MX"/>
              </w:rPr>
            </w:pPr>
            <w:r w:rsidRPr="005B33C4">
              <w:rPr>
                <w:rFonts w:ascii="Arial" w:hAnsi="Arial" w:cs="Arial"/>
                <w:b/>
                <w:sz w:val="22"/>
                <w:szCs w:val="22"/>
                <w:u w:val="single"/>
                <w:lang w:val="es-MX"/>
              </w:rPr>
              <w:t>76.50%</w:t>
            </w:r>
          </w:p>
        </w:tc>
      </w:tr>
      <w:tr w:rsidR="0024577D" w:rsidRPr="003D6EE0" w14:paraId="60FA233A" w14:textId="77777777" w:rsidTr="0024577D">
        <w:tc>
          <w:tcPr>
            <w:tcW w:w="1555" w:type="dxa"/>
          </w:tcPr>
          <w:p w14:paraId="02330A89" w14:textId="77777777" w:rsidR="0024577D" w:rsidRDefault="0024577D" w:rsidP="00EF5AF2">
            <w:pPr>
              <w:ind w:right="-112"/>
              <w:jc w:val="center"/>
              <w:rPr>
                <w:rFonts w:ascii="Arial" w:hAnsi="Arial" w:cs="Arial"/>
                <w:b/>
              </w:rPr>
            </w:pPr>
            <w:r>
              <w:rPr>
                <w:rFonts w:ascii="Arial" w:hAnsi="Arial" w:cs="Arial"/>
                <w:b/>
              </w:rPr>
              <w:t>154</w:t>
            </w:r>
          </w:p>
        </w:tc>
        <w:tc>
          <w:tcPr>
            <w:tcW w:w="6662" w:type="dxa"/>
          </w:tcPr>
          <w:p w14:paraId="7B27DEBE" w14:textId="77777777" w:rsidR="0024577D" w:rsidRPr="00A26E6D" w:rsidRDefault="0024577D" w:rsidP="00EF5AF2">
            <w:pPr>
              <w:jc w:val="both"/>
              <w:rPr>
                <w:rFonts w:ascii="Arial" w:hAnsi="Arial" w:cs="Arial"/>
                <w:b/>
                <w:sz w:val="22"/>
                <w:szCs w:val="22"/>
                <w:lang w:val="es-MX"/>
              </w:rPr>
            </w:pPr>
            <w:r w:rsidRPr="00A26E6D">
              <w:rPr>
                <w:rFonts w:ascii="Arial" w:hAnsi="Arial" w:cs="Arial"/>
                <w:b/>
                <w:sz w:val="22"/>
                <w:szCs w:val="22"/>
                <w:lang w:val="es-MX"/>
              </w:rPr>
              <w:t>FONDO NACIONAL DE VIVIENDA - FONVIVIENDA.</w:t>
            </w:r>
          </w:p>
        </w:tc>
        <w:tc>
          <w:tcPr>
            <w:tcW w:w="2268" w:type="dxa"/>
          </w:tcPr>
          <w:p w14:paraId="439908F9" w14:textId="77777777" w:rsidR="0024577D" w:rsidRPr="00A26E6D" w:rsidRDefault="0024577D" w:rsidP="00EF5AF2">
            <w:pPr>
              <w:ind w:right="-234"/>
              <w:jc w:val="center"/>
              <w:rPr>
                <w:rFonts w:ascii="Arial" w:hAnsi="Arial" w:cs="Arial"/>
                <w:b/>
                <w:sz w:val="22"/>
                <w:szCs w:val="22"/>
                <w:u w:val="single"/>
                <w:lang w:val="es-MX"/>
              </w:rPr>
            </w:pPr>
            <w:r w:rsidRPr="00A26E6D">
              <w:rPr>
                <w:rFonts w:ascii="Arial" w:hAnsi="Arial" w:cs="Arial"/>
                <w:b/>
                <w:sz w:val="22"/>
                <w:szCs w:val="22"/>
                <w:u w:val="single"/>
                <w:lang w:val="es-MX"/>
              </w:rPr>
              <w:t>51.00%</w:t>
            </w:r>
          </w:p>
        </w:tc>
      </w:tr>
      <w:tr w:rsidR="0024577D" w:rsidRPr="003D6EE0" w14:paraId="535AD402" w14:textId="77777777" w:rsidTr="0024577D">
        <w:tc>
          <w:tcPr>
            <w:tcW w:w="1555" w:type="dxa"/>
          </w:tcPr>
          <w:p w14:paraId="7726620D" w14:textId="77777777" w:rsidR="0024577D" w:rsidRDefault="0024577D" w:rsidP="00EF5AF2">
            <w:pPr>
              <w:ind w:right="-112"/>
              <w:jc w:val="center"/>
              <w:rPr>
                <w:rFonts w:ascii="Arial" w:hAnsi="Arial" w:cs="Arial"/>
                <w:b/>
              </w:rPr>
            </w:pPr>
            <w:r>
              <w:rPr>
                <w:rFonts w:ascii="Arial" w:hAnsi="Arial" w:cs="Arial"/>
                <w:b/>
              </w:rPr>
              <w:t>161</w:t>
            </w:r>
          </w:p>
        </w:tc>
        <w:tc>
          <w:tcPr>
            <w:tcW w:w="6662" w:type="dxa"/>
          </w:tcPr>
          <w:p w14:paraId="168C81D7" w14:textId="77777777" w:rsidR="0024577D" w:rsidRPr="00E43DE0" w:rsidRDefault="0024577D" w:rsidP="00EF5AF2">
            <w:pPr>
              <w:jc w:val="both"/>
              <w:rPr>
                <w:rFonts w:ascii="Arial" w:hAnsi="Arial" w:cs="Arial"/>
                <w:b/>
                <w:sz w:val="22"/>
                <w:szCs w:val="22"/>
                <w:lang w:val="es-MX"/>
              </w:rPr>
            </w:pPr>
            <w:r w:rsidRPr="00E43DE0">
              <w:rPr>
                <w:rFonts w:ascii="Arial" w:hAnsi="Arial" w:cs="Arial"/>
                <w:b/>
                <w:sz w:val="22"/>
                <w:szCs w:val="22"/>
                <w:lang w:val="es-CO"/>
              </w:rPr>
              <w:t>U.A.E. AGENCIA NACIONAL DE HIDROCARBUROS – ANH.</w:t>
            </w:r>
          </w:p>
        </w:tc>
        <w:tc>
          <w:tcPr>
            <w:tcW w:w="2268" w:type="dxa"/>
          </w:tcPr>
          <w:p w14:paraId="275DC4FD" w14:textId="77777777" w:rsidR="0024577D" w:rsidRPr="00E43DE0" w:rsidRDefault="0024577D" w:rsidP="00EF5AF2">
            <w:pPr>
              <w:ind w:right="-234"/>
              <w:jc w:val="center"/>
              <w:rPr>
                <w:rFonts w:ascii="Arial" w:hAnsi="Arial" w:cs="Arial"/>
                <w:b/>
                <w:sz w:val="22"/>
                <w:szCs w:val="22"/>
                <w:u w:val="single"/>
                <w:lang w:val="es-MX"/>
              </w:rPr>
            </w:pPr>
            <w:r w:rsidRPr="00E43DE0">
              <w:rPr>
                <w:rFonts w:ascii="Arial" w:hAnsi="Arial" w:cs="Arial"/>
                <w:b/>
                <w:sz w:val="22"/>
                <w:szCs w:val="22"/>
                <w:u w:val="single"/>
                <w:lang w:val="es-MX"/>
              </w:rPr>
              <w:t>98.58%</w:t>
            </w:r>
          </w:p>
        </w:tc>
      </w:tr>
      <w:tr w:rsidR="0024577D" w:rsidRPr="003D6EE0" w14:paraId="45958770" w14:textId="77777777" w:rsidTr="0024577D">
        <w:tc>
          <w:tcPr>
            <w:tcW w:w="1555" w:type="dxa"/>
          </w:tcPr>
          <w:p w14:paraId="5E84301C" w14:textId="77777777" w:rsidR="0024577D" w:rsidRDefault="0024577D" w:rsidP="00EF5AF2">
            <w:pPr>
              <w:ind w:right="-112"/>
              <w:jc w:val="center"/>
              <w:rPr>
                <w:rFonts w:ascii="Arial" w:hAnsi="Arial" w:cs="Arial"/>
                <w:b/>
              </w:rPr>
            </w:pPr>
            <w:r>
              <w:rPr>
                <w:rFonts w:ascii="Arial" w:hAnsi="Arial" w:cs="Arial"/>
                <w:b/>
              </w:rPr>
              <w:t>172</w:t>
            </w:r>
          </w:p>
        </w:tc>
        <w:tc>
          <w:tcPr>
            <w:tcW w:w="6662" w:type="dxa"/>
          </w:tcPr>
          <w:p w14:paraId="103684C8" w14:textId="77777777" w:rsidR="0024577D" w:rsidRPr="00BC7696" w:rsidRDefault="0024577D" w:rsidP="00EF5AF2">
            <w:pPr>
              <w:jc w:val="both"/>
              <w:rPr>
                <w:rFonts w:ascii="Arial" w:hAnsi="Arial" w:cs="Arial"/>
                <w:b/>
                <w:sz w:val="22"/>
                <w:szCs w:val="22"/>
              </w:rPr>
            </w:pPr>
            <w:r w:rsidRPr="00BC7696">
              <w:rPr>
                <w:rFonts w:ascii="Arial" w:hAnsi="Arial" w:cs="Arial"/>
                <w:b/>
                <w:sz w:val="22"/>
                <w:szCs w:val="22"/>
                <w:lang w:val="es-MX"/>
              </w:rPr>
              <w:t>POLICÍA NACIONAL.</w:t>
            </w:r>
          </w:p>
        </w:tc>
        <w:tc>
          <w:tcPr>
            <w:tcW w:w="2268" w:type="dxa"/>
          </w:tcPr>
          <w:p w14:paraId="1690A1A2" w14:textId="77777777" w:rsidR="0024577D" w:rsidRPr="00586D3A" w:rsidRDefault="0024577D" w:rsidP="00EF5AF2">
            <w:pPr>
              <w:ind w:right="-234"/>
              <w:jc w:val="center"/>
              <w:rPr>
                <w:rFonts w:ascii="Arial" w:hAnsi="Arial" w:cs="Arial"/>
                <w:b/>
                <w:sz w:val="22"/>
                <w:szCs w:val="22"/>
                <w:u w:val="single"/>
                <w:lang w:val="es-MX"/>
              </w:rPr>
            </w:pPr>
            <w:r w:rsidRPr="00586D3A">
              <w:rPr>
                <w:rFonts w:ascii="Arial" w:hAnsi="Arial" w:cs="Arial"/>
                <w:b/>
                <w:sz w:val="22"/>
                <w:szCs w:val="22"/>
                <w:u w:val="single"/>
                <w:lang w:val="es-MX"/>
              </w:rPr>
              <w:t>97.74%</w:t>
            </w:r>
          </w:p>
        </w:tc>
      </w:tr>
      <w:tr w:rsidR="0024577D" w:rsidRPr="003D6EE0" w14:paraId="17F2669D" w14:textId="77777777" w:rsidTr="0024577D">
        <w:tc>
          <w:tcPr>
            <w:tcW w:w="1555" w:type="dxa"/>
          </w:tcPr>
          <w:p w14:paraId="1479A763" w14:textId="77777777" w:rsidR="0024577D" w:rsidRDefault="0024577D" w:rsidP="00EF5AF2">
            <w:pPr>
              <w:ind w:right="-112"/>
              <w:jc w:val="center"/>
              <w:rPr>
                <w:rFonts w:ascii="Arial" w:hAnsi="Arial" w:cs="Arial"/>
                <w:b/>
              </w:rPr>
            </w:pPr>
            <w:r>
              <w:rPr>
                <w:rFonts w:ascii="Arial" w:hAnsi="Arial" w:cs="Arial"/>
                <w:b/>
              </w:rPr>
              <w:t>175</w:t>
            </w:r>
          </w:p>
        </w:tc>
        <w:tc>
          <w:tcPr>
            <w:tcW w:w="6662" w:type="dxa"/>
          </w:tcPr>
          <w:p w14:paraId="1A173052" w14:textId="77777777" w:rsidR="0024577D" w:rsidRPr="00586D3A" w:rsidRDefault="0024577D" w:rsidP="00EF5AF2">
            <w:pPr>
              <w:jc w:val="both"/>
              <w:rPr>
                <w:rFonts w:ascii="Arial" w:hAnsi="Arial" w:cs="Arial"/>
                <w:b/>
                <w:sz w:val="22"/>
                <w:szCs w:val="22"/>
                <w:lang w:val="es-MX"/>
              </w:rPr>
            </w:pPr>
            <w:bookmarkStart w:id="14" w:name="_Hlk201150617"/>
            <w:r w:rsidRPr="00586D3A">
              <w:rPr>
                <w:rFonts w:ascii="Arial" w:hAnsi="Arial" w:cs="Arial"/>
                <w:b/>
                <w:sz w:val="22"/>
                <w:szCs w:val="22"/>
                <w:lang w:val="es-MX"/>
              </w:rPr>
              <w:t>U.A.E. DE LA JUSTICIA PENAL MILITAR Y POLICIAL.</w:t>
            </w:r>
            <w:bookmarkEnd w:id="14"/>
          </w:p>
        </w:tc>
        <w:tc>
          <w:tcPr>
            <w:tcW w:w="2268" w:type="dxa"/>
          </w:tcPr>
          <w:p w14:paraId="06A58BD7" w14:textId="77777777" w:rsidR="0024577D" w:rsidRPr="00586D3A" w:rsidRDefault="0024577D" w:rsidP="00EF5AF2">
            <w:pPr>
              <w:ind w:right="-234"/>
              <w:jc w:val="center"/>
              <w:rPr>
                <w:rFonts w:ascii="Arial" w:hAnsi="Arial" w:cs="Arial"/>
                <w:b/>
                <w:sz w:val="22"/>
                <w:szCs w:val="22"/>
                <w:u w:val="single"/>
                <w:lang w:val="es-MX"/>
              </w:rPr>
            </w:pPr>
            <w:r w:rsidRPr="00586D3A">
              <w:rPr>
                <w:rFonts w:ascii="Arial" w:hAnsi="Arial" w:cs="Arial"/>
                <w:b/>
                <w:sz w:val="22"/>
                <w:szCs w:val="22"/>
                <w:u w:val="single"/>
                <w:lang w:val="es-MX"/>
              </w:rPr>
              <w:t>96.06%</w:t>
            </w:r>
          </w:p>
        </w:tc>
      </w:tr>
      <w:tr w:rsidR="0024577D" w:rsidRPr="003D6EE0" w14:paraId="6BF2AEC9" w14:textId="77777777" w:rsidTr="0024577D">
        <w:tc>
          <w:tcPr>
            <w:tcW w:w="1555" w:type="dxa"/>
          </w:tcPr>
          <w:p w14:paraId="49574EA8" w14:textId="77777777" w:rsidR="0024577D" w:rsidRDefault="0024577D" w:rsidP="00EF5AF2">
            <w:pPr>
              <w:ind w:right="-112"/>
              <w:jc w:val="center"/>
              <w:rPr>
                <w:rFonts w:ascii="Arial" w:hAnsi="Arial" w:cs="Arial"/>
                <w:b/>
              </w:rPr>
            </w:pPr>
            <w:r>
              <w:rPr>
                <w:rFonts w:ascii="Arial" w:hAnsi="Arial" w:cs="Arial"/>
                <w:b/>
              </w:rPr>
              <w:t>181</w:t>
            </w:r>
          </w:p>
        </w:tc>
        <w:tc>
          <w:tcPr>
            <w:tcW w:w="6662" w:type="dxa"/>
          </w:tcPr>
          <w:p w14:paraId="357150A8" w14:textId="77777777" w:rsidR="0024577D" w:rsidRPr="00A372A0" w:rsidRDefault="0024577D" w:rsidP="00EF5AF2">
            <w:pPr>
              <w:jc w:val="both"/>
              <w:rPr>
                <w:rFonts w:ascii="Arial" w:hAnsi="Arial" w:cs="Arial"/>
                <w:b/>
                <w:sz w:val="22"/>
                <w:szCs w:val="22"/>
                <w:lang w:val="es-MX"/>
              </w:rPr>
            </w:pPr>
            <w:r w:rsidRPr="00A372A0">
              <w:rPr>
                <w:rFonts w:ascii="Arial" w:hAnsi="Arial" w:cs="Arial"/>
                <w:b/>
                <w:sz w:val="22"/>
                <w:szCs w:val="22"/>
                <w:lang w:val="es-MX"/>
              </w:rPr>
              <w:t>AGENCIA DE DESARROLLO RURAL – ADR.</w:t>
            </w:r>
          </w:p>
        </w:tc>
        <w:tc>
          <w:tcPr>
            <w:tcW w:w="2268" w:type="dxa"/>
          </w:tcPr>
          <w:p w14:paraId="57301DC3" w14:textId="77777777" w:rsidR="0024577D" w:rsidRPr="00A372A0" w:rsidRDefault="0024577D" w:rsidP="00EF5AF2">
            <w:pPr>
              <w:ind w:right="-234"/>
              <w:jc w:val="center"/>
              <w:rPr>
                <w:rFonts w:ascii="Arial" w:hAnsi="Arial" w:cs="Arial"/>
                <w:b/>
                <w:sz w:val="22"/>
                <w:szCs w:val="22"/>
                <w:u w:val="single"/>
                <w:lang w:val="es-MX"/>
              </w:rPr>
            </w:pPr>
            <w:r w:rsidRPr="00A372A0">
              <w:rPr>
                <w:rFonts w:ascii="Arial" w:hAnsi="Arial" w:cs="Arial"/>
                <w:b/>
                <w:sz w:val="22"/>
                <w:szCs w:val="22"/>
                <w:u w:val="single"/>
                <w:lang w:val="es-MX"/>
              </w:rPr>
              <w:t>66.00%</w:t>
            </w:r>
          </w:p>
        </w:tc>
      </w:tr>
      <w:tr w:rsidR="0024577D" w:rsidRPr="003D6EE0" w14:paraId="03455ABE" w14:textId="77777777" w:rsidTr="0024577D">
        <w:tc>
          <w:tcPr>
            <w:tcW w:w="1555" w:type="dxa"/>
          </w:tcPr>
          <w:p w14:paraId="582832E7" w14:textId="77777777" w:rsidR="0024577D" w:rsidRDefault="0024577D" w:rsidP="00EF5AF2">
            <w:pPr>
              <w:ind w:right="-112"/>
              <w:jc w:val="center"/>
              <w:rPr>
                <w:rFonts w:ascii="Arial" w:hAnsi="Arial" w:cs="Arial"/>
                <w:b/>
              </w:rPr>
            </w:pPr>
            <w:r>
              <w:rPr>
                <w:rFonts w:ascii="Arial" w:hAnsi="Arial" w:cs="Arial"/>
                <w:b/>
              </w:rPr>
              <w:t>183</w:t>
            </w:r>
          </w:p>
        </w:tc>
        <w:tc>
          <w:tcPr>
            <w:tcW w:w="6662" w:type="dxa"/>
          </w:tcPr>
          <w:p w14:paraId="1935B8B0" w14:textId="77777777" w:rsidR="0024577D" w:rsidRPr="00287F9E" w:rsidRDefault="0024577D" w:rsidP="00EF5AF2">
            <w:pPr>
              <w:jc w:val="both"/>
              <w:rPr>
                <w:rFonts w:ascii="Arial" w:hAnsi="Arial" w:cs="Arial"/>
                <w:b/>
                <w:sz w:val="22"/>
                <w:szCs w:val="22"/>
                <w:lang w:val="es-MX"/>
              </w:rPr>
            </w:pPr>
            <w:r w:rsidRPr="00287F9E">
              <w:rPr>
                <w:rFonts w:ascii="Arial" w:hAnsi="Arial" w:cs="Arial"/>
                <w:b/>
                <w:sz w:val="22"/>
                <w:szCs w:val="22"/>
                <w:lang w:val="es-MX"/>
              </w:rPr>
              <w:t xml:space="preserve">U.A.E. MIGRACIÓN COLOMBIA. </w:t>
            </w:r>
          </w:p>
        </w:tc>
        <w:tc>
          <w:tcPr>
            <w:tcW w:w="2268" w:type="dxa"/>
          </w:tcPr>
          <w:p w14:paraId="3CFAF993" w14:textId="77777777" w:rsidR="0024577D" w:rsidRPr="00287F9E" w:rsidRDefault="0024577D" w:rsidP="00EF5AF2">
            <w:pPr>
              <w:ind w:right="-234"/>
              <w:jc w:val="center"/>
              <w:rPr>
                <w:rFonts w:ascii="Arial" w:hAnsi="Arial" w:cs="Arial"/>
                <w:b/>
                <w:sz w:val="22"/>
                <w:szCs w:val="22"/>
                <w:u w:val="single"/>
                <w:lang w:val="es-MX"/>
              </w:rPr>
            </w:pPr>
            <w:r w:rsidRPr="00287F9E">
              <w:rPr>
                <w:rFonts w:ascii="Arial" w:hAnsi="Arial" w:cs="Arial"/>
                <w:b/>
                <w:sz w:val="22"/>
                <w:szCs w:val="22"/>
                <w:u w:val="single"/>
                <w:lang w:val="es-MX"/>
              </w:rPr>
              <w:t>98.97%</w:t>
            </w:r>
          </w:p>
        </w:tc>
      </w:tr>
      <w:tr w:rsidR="0024577D" w:rsidRPr="003D6EE0" w14:paraId="79879BD3" w14:textId="77777777" w:rsidTr="0024577D">
        <w:tc>
          <w:tcPr>
            <w:tcW w:w="1555" w:type="dxa"/>
          </w:tcPr>
          <w:p w14:paraId="16B6D270" w14:textId="77777777" w:rsidR="0024577D" w:rsidRDefault="0024577D" w:rsidP="00EF5AF2">
            <w:pPr>
              <w:ind w:right="-112"/>
              <w:jc w:val="center"/>
              <w:rPr>
                <w:rFonts w:ascii="Arial" w:hAnsi="Arial" w:cs="Arial"/>
                <w:b/>
              </w:rPr>
            </w:pPr>
            <w:r>
              <w:rPr>
                <w:rFonts w:ascii="Arial" w:hAnsi="Arial" w:cs="Arial"/>
                <w:b/>
              </w:rPr>
              <w:t>215</w:t>
            </w:r>
          </w:p>
        </w:tc>
        <w:tc>
          <w:tcPr>
            <w:tcW w:w="6662" w:type="dxa"/>
          </w:tcPr>
          <w:p w14:paraId="7EB3DAFE" w14:textId="77777777" w:rsidR="0024577D" w:rsidRPr="00D909FA" w:rsidRDefault="0024577D" w:rsidP="00EF5AF2">
            <w:pPr>
              <w:jc w:val="both"/>
              <w:rPr>
                <w:rFonts w:ascii="Arial" w:hAnsi="Arial" w:cs="Arial"/>
                <w:b/>
                <w:sz w:val="22"/>
                <w:szCs w:val="22"/>
                <w:lang w:val="es-MX"/>
              </w:rPr>
            </w:pPr>
            <w:r w:rsidRPr="00D909FA">
              <w:rPr>
                <w:rFonts w:ascii="Arial" w:hAnsi="Arial" w:cs="Arial"/>
                <w:b/>
                <w:sz w:val="22"/>
                <w:szCs w:val="22"/>
                <w:lang w:val="es-MX"/>
              </w:rPr>
              <w:t>MINISTERIO DE LAS CULTURAS, LAS ARTES Y LOS SABERES.</w:t>
            </w:r>
          </w:p>
        </w:tc>
        <w:tc>
          <w:tcPr>
            <w:tcW w:w="2268" w:type="dxa"/>
          </w:tcPr>
          <w:p w14:paraId="54E53DFB" w14:textId="77777777" w:rsidR="0024577D" w:rsidRPr="00D909FA" w:rsidRDefault="0024577D" w:rsidP="00EF5AF2">
            <w:pPr>
              <w:ind w:right="-234"/>
              <w:jc w:val="center"/>
              <w:rPr>
                <w:rFonts w:ascii="Arial" w:hAnsi="Arial" w:cs="Arial"/>
                <w:b/>
                <w:sz w:val="22"/>
                <w:szCs w:val="22"/>
                <w:u w:val="single"/>
                <w:lang w:val="es-MX"/>
              </w:rPr>
            </w:pPr>
            <w:r w:rsidRPr="00D909FA">
              <w:rPr>
                <w:rFonts w:ascii="Arial" w:hAnsi="Arial" w:cs="Arial"/>
                <w:b/>
                <w:sz w:val="22"/>
                <w:szCs w:val="22"/>
                <w:u w:val="single"/>
                <w:lang w:val="es-MX"/>
              </w:rPr>
              <w:t>92.57%</w:t>
            </w:r>
          </w:p>
        </w:tc>
      </w:tr>
      <w:tr w:rsidR="0024577D" w:rsidRPr="003D6EE0" w14:paraId="668E14B6" w14:textId="77777777" w:rsidTr="0024577D">
        <w:tc>
          <w:tcPr>
            <w:tcW w:w="1555" w:type="dxa"/>
          </w:tcPr>
          <w:p w14:paraId="6271DF18" w14:textId="77777777" w:rsidR="0024577D" w:rsidRDefault="0024577D" w:rsidP="00EF5AF2">
            <w:pPr>
              <w:ind w:right="-112"/>
              <w:jc w:val="center"/>
              <w:rPr>
                <w:rFonts w:ascii="Arial" w:hAnsi="Arial" w:cs="Arial"/>
                <w:b/>
              </w:rPr>
            </w:pPr>
            <w:r>
              <w:rPr>
                <w:rFonts w:ascii="Arial" w:hAnsi="Arial" w:cs="Arial"/>
                <w:b/>
              </w:rPr>
              <w:t>224</w:t>
            </w:r>
          </w:p>
        </w:tc>
        <w:tc>
          <w:tcPr>
            <w:tcW w:w="6662" w:type="dxa"/>
          </w:tcPr>
          <w:p w14:paraId="458875DC" w14:textId="77777777" w:rsidR="0024577D" w:rsidRPr="005E4C5A" w:rsidRDefault="0024577D" w:rsidP="00EF5AF2">
            <w:pPr>
              <w:jc w:val="both"/>
              <w:rPr>
                <w:rFonts w:ascii="Arial" w:hAnsi="Arial" w:cs="Arial"/>
                <w:b/>
                <w:sz w:val="22"/>
                <w:szCs w:val="22"/>
                <w:lang w:val="es-MX"/>
              </w:rPr>
            </w:pPr>
            <w:r w:rsidRPr="005E4C5A">
              <w:rPr>
                <w:rFonts w:ascii="Arial" w:hAnsi="Arial" w:cs="Arial"/>
                <w:b/>
                <w:sz w:val="22"/>
                <w:szCs w:val="22"/>
                <w:lang w:val="es-MX"/>
              </w:rPr>
              <w:t>MINISTERIO DE MINAS Y ENERGÍA.</w:t>
            </w:r>
          </w:p>
        </w:tc>
        <w:tc>
          <w:tcPr>
            <w:tcW w:w="2268" w:type="dxa"/>
          </w:tcPr>
          <w:p w14:paraId="1F1E401B" w14:textId="77777777" w:rsidR="0024577D" w:rsidRPr="005E4C5A" w:rsidRDefault="0024577D" w:rsidP="00EF5AF2">
            <w:pPr>
              <w:ind w:right="-234"/>
              <w:jc w:val="center"/>
              <w:rPr>
                <w:rFonts w:ascii="Arial" w:hAnsi="Arial" w:cs="Arial"/>
                <w:b/>
                <w:sz w:val="22"/>
                <w:szCs w:val="22"/>
                <w:u w:val="single"/>
                <w:lang w:val="es-MX"/>
              </w:rPr>
            </w:pPr>
            <w:r w:rsidRPr="005E4C5A">
              <w:rPr>
                <w:rFonts w:ascii="Arial" w:hAnsi="Arial" w:cs="Arial"/>
                <w:b/>
                <w:sz w:val="22"/>
                <w:szCs w:val="22"/>
                <w:u w:val="single"/>
                <w:lang w:val="es-MX"/>
              </w:rPr>
              <w:t>94.90%</w:t>
            </w:r>
          </w:p>
        </w:tc>
      </w:tr>
      <w:tr w:rsidR="0024577D" w:rsidRPr="003D6EE0" w14:paraId="494B93B3" w14:textId="77777777" w:rsidTr="0024577D">
        <w:tc>
          <w:tcPr>
            <w:tcW w:w="1555" w:type="dxa"/>
          </w:tcPr>
          <w:p w14:paraId="73BD8034" w14:textId="77777777" w:rsidR="0024577D" w:rsidRDefault="0024577D" w:rsidP="00EF5AF2">
            <w:pPr>
              <w:ind w:right="-112"/>
              <w:jc w:val="center"/>
              <w:rPr>
                <w:rFonts w:ascii="Arial" w:hAnsi="Arial" w:cs="Arial"/>
                <w:b/>
              </w:rPr>
            </w:pPr>
            <w:r>
              <w:rPr>
                <w:rFonts w:ascii="Arial" w:hAnsi="Arial" w:cs="Arial"/>
                <w:b/>
              </w:rPr>
              <w:t>227</w:t>
            </w:r>
          </w:p>
        </w:tc>
        <w:tc>
          <w:tcPr>
            <w:tcW w:w="6662" w:type="dxa"/>
          </w:tcPr>
          <w:p w14:paraId="47EC2EEB" w14:textId="77777777" w:rsidR="0024577D" w:rsidRPr="00CC026E" w:rsidRDefault="0024577D" w:rsidP="00EF5AF2">
            <w:pPr>
              <w:ind w:right="49"/>
              <w:jc w:val="both"/>
              <w:rPr>
                <w:rFonts w:ascii="Arial" w:hAnsi="Arial" w:cs="Arial"/>
                <w:b/>
                <w:sz w:val="22"/>
                <w:szCs w:val="22"/>
                <w:lang w:val="es-MX"/>
              </w:rPr>
            </w:pPr>
            <w:r w:rsidRPr="00CC026E">
              <w:rPr>
                <w:rFonts w:ascii="Arial" w:hAnsi="Arial" w:cs="Arial"/>
                <w:b/>
                <w:sz w:val="22"/>
                <w:szCs w:val="22"/>
                <w:lang w:val="es-MX"/>
              </w:rPr>
              <w:t>DEPARTAMENTO ADMINISTRATIVO DE LA PRESIDENCIA DE LA REPÚBLICA – DAPRE.</w:t>
            </w:r>
          </w:p>
        </w:tc>
        <w:tc>
          <w:tcPr>
            <w:tcW w:w="2268" w:type="dxa"/>
          </w:tcPr>
          <w:p w14:paraId="4AD0DA17" w14:textId="77777777" w:rsidR="0024577D" w:rsidRPr="00CC026E" w:rsidRDefault="0024577D" w:rsidP="00EF5AF2">
            <w:pPr>
              <w:ind w:right="-234"/>
              <w:jc w:val="center"/>
              <w:rPr>
                <w:rFonts w:ascii="Arial" w:hAnsi="Arial" w:cs="Arial"/>
                <w:b/>
                <w:sz w:val="22"/>
                <w:szCs w:val="22"/>
                <w:u w:val="single"/>
                <w:lang w:val="es-MX"/>
              </w:rPr>
            </w:pPr>
            <w:r w:rsidRPr="00CC026E">
              <w:rPr>
                <w:rFonts w:ascii="Arial" w:hAnsi="Arial" w:cs="Arial"/>
                <w:b/>
                <w:sz w:val="22"/>
                <w:szCs w:val="22"/>
                <w:u w:val="single"/>
                <w:lang w:val="es-MX"/>
              </w:rPr>
              <w:t>9.66%</w:t>
            </w:r>
          </w:p>
        </w:tc>
      </w:tr>
      <w:tr w:rsidR="0024577D" w:rsidRPr="003D6EE0" w14:paraId="544DE66B" w14:textId="77777777" w:rsidTr="0024577D">
        <w:tc>
          <w:tcPr>
            <w:tcW w:w="1555" w:type="dxa"/>
          </w:tcPr>
          <w:p w14:paraId="736E10B7" w14:textId="77777777" w:rsidR="0024577D" w:rsidRDefault="0024577D" w:rsidP="00EF5AF2">
            <w:pPr>
              <w:ind w:right="-112"/>
              <w:jc w:val="center"/>
              <w:rPr>
                <w:rFonts w:ascii="Arial" w:hAnsi="Arial" w:cs="Arial"/>
                <w:b/>
              </w:rPr>
            </w:pPr>
            <w:r>
              <w:rPr>
                <w:rFonts w:ascii="Arial" w:hAnsi="Arial" w:cs="Arial"/>
                <w:b/>
              </w:rPr>
              <w:t>253</w:t>
            </w:r>
          </w:p>
        </w:tc>
        <w:tc>
          <w:tcPr>
            <w:tcW w:w="6662" w:type="dxa"/>
          </w:tcPr>
          <w:p w14:paraId="608442C0" w14:textId="77777777" w:rsidR="0024577D" w:rsidRPr="007D134C" w:rsidRDefault="0024577D" w:rsidP="00EF5AF2">
            <w:pPr>
              <w:ind w:right="39"/>
              <w:jc w:val="both"/>
              <w:rPr>
                <w:rFonts w:ascii="Arial" w:hAnsi="Arial" w:cs="Arial"/>
                <w:b/>
                <w:sz w:val="22"/>
                <w:szCs w:val="22"/>
                <w:lang w:val="es-MX"/>
              </w:rPr>
            </w:pPr>
            <w:r w:rsidRPr="007D134C">
              <w:rPr>
                <w:rFonts w:ascii="Arial" w:hAnsi="Arial" w:cs="Arial"/>
                <w:b/>
                <w:sz w:val="22"/>
                <w:szCs w:val="22"/>
                <w:lang w:val="es-MX"/>
              </w:rPr>
              <w:t>UNIDAD PARA LA ATENCIÓN Y REPARACIÓN INTEGRAL A LAS VÍCTIMAS.</w:t>
            </w:r>
          </w:p>
        </w:tc>
        <w:tc>
          <w:tcPr>
            <w:tcW w:w="2268" w:type="dxa"/>
          </w:tcPr>
          <w:p w14:paraId="4D01ACC5" w14:textId="77777777" w:rsidR="0024577D" w:rsidRPr="007D134C" w:rsidRDefault="0024577D" w:rsidP="00EF5AF2">
            <w:pPr>
              <w:ind w:right="-234"/>
              <w:jc w:val="center"/>
              <w:rPr>
                <w:rFonts w:ascii="Arial" w:hAnsi="Arial" w:cs="Arial"/>
                <w:b/>
                <w:sz w:val="22"/>
                <w:szCs w:val="22"/>
                <w:u w:val="single"/>
                <w:lang w:val="es-MX"/>
              </w:rPr>
            </w:pPr>
            <w:r w:rsidRPr="007D134C">
              <w:rPr>
                <w:rFonts w:ascii="Arial" w:hAnsi="Arial" w:cs="Arial"/>
                <w:b/>
                <w:sz w:val="22"/>
                <w:szCs w:val="22"/>
                <w:u w:val="single"/>
                <w:lang w:val="es-MX"/>
              </w:rPr>
              <w:t>93.00%</w:t>
            </w:r>
          </w:p>
        </w:tc>
      </w:tr>
      <w:tr w:rsidR="0024577D" w:rsidRPr="003D6EE0" w14:paraId="7686F1D8" w14:textId="77777777" w:rsidTr="0024577D">
        <w:tc>
          <w:tcPr>
            <w:tcW w:w="1555" w:type="dxa"/>
          </w:tcPr>
          <w:p w14:paraId="4B8D8371" w14:textId="77777777" w:rsidR="0024577D" w:rsidRDefault="0024577D" w:rsidP="00EF5AF2">
            <w:pPr>
              <w:ind w:right="-112"/>
              <w:jc w:val="center"/>
              <w:rPr>
                <w:rFonts w:ascii="Arial" w:hAnsi="Arial" w:cs="Arial"/>
                <w:b/>
              </w:rPr>
            </w:pPr>
            <w:r>
              <w:rPr>
                <w:rFonts w:ascii="Arial" w:hAnsi="Arial" w:cs="Arial"/>
                <w:b/>
              </w:rPr>
              <w:t>256</w:t>
            </w:r>
          </w:p>
        </w:tc>
        <w:tc>
          <w:tcPr>
            <w:tcW w:w="6662" w:type="dxa"/>
          </w:tcPr>
          <w:p w14:paraId="0EF86776" w14:textId="77777777" w:rsidR="0024577D" w:rsidRPr="003D2BC7" w:rsidRDefault="0024577D" w:rsidP="00EF5AF2">
            <w:pPr>
              <w:jc w:val="both"/>
              <w:rPr>
                <w:rFonts w:ascii="Arial" w:hAnsi="Arial" w:cs="Arial"/>
                <w:b/>
                <w:sz w:val="22"/>
                <w:szCs w:val="22"/>
                <w:lang w:val="es-MX"/>
              </w:rPr>
            </w:pPr>
            <w:r w:rsidRPr="003D2BC7">
              <w:rPr>
                <w:rFonts w:ascii="Arial" w:hAnsi="Arial" w:cs="Arial"/>
                <w:b/>
                <w:sz w:val="22"/>
                <w:szCs w:val="22"/>
                <w:lang w:val="es-MX"/>
              </w:rPr>
              <w:t xml:space="preserve">U.A.E. DE GESTIÓN PENSIONAL Y CONTRIBUCIONES PARAFISCALES DE LA PROTECCIÓN SOCIAL – UGPP. </w:t>
            </w:r>
          </w:p>
        </w:tc>
        <w:tc>
          <w:tcPr>
            <w:tcW w:w="2268" w:type="dxa"/>
          </w:tcPr>
          <w:p w14:paraId="6AA5D270" w14:textId="77777777" w:rsidR="0024577D" w:rsidRPr="00FC49C3" w:rsidRDefault="0024577D" w:rsidP="00EF5AF2">
            <w:pPr>
              <w:ind w:right="-234"/>
              <w:jc w:val="center"/>
              <w:rPr>
                <w:rFonts w:ascii="Arial" w:hAnsi="Arial" w:cs="Arial"/>
                <w:b/>
                <w:sz w:val="22"/>
                <w:szCs w:val="22"/>
                <w:u w:val="single"/>
                <w:lang w:val="es-MX"/>
              </w:rPr>
            </w:pPr>
            <w:r w:rsidRPr="00FC49C3">
              <w:rPr>
                <w:rFonts w:ascii="Arial" w:hAnsi="Arial" w:cs="Arial"/>
                <w:b/>
                <w:sz w:val="22"/>
                <w:szCs w:val="22"/>
                <w:u w:val="single"/>
                <w:lang w:val="es-MX"/>
              </w:rPr>
              <w:t>97.96%</w:t>
            </w:r>
          </w:p>
        </w:tc>
      </w:tr>
      <w:tr w:rsidR="0024577D" w:rsidRPr="003D6EE0" w14:paraId="6EE7DF00" w14:textId="77777777" w:rsidTr="0024577D">
        <w:tc>
          <w:tcPr>
            <w:tcW w:w="1555" w:type="dxa"/>
          </w:tcPr>
          <w:p w14:paraId="31F8DF89" w14:textId="77777777" w:rsidR="0024577D" w:rsidRDefault="0024577D" w:rsidP="00EF5AF2">
            <w:pPr>
              <w:ind w:right="-112"/>
              <w:jc w:val="center"/>
              <w:rPr>
                <w:rFonts w:ascii="Arial" w:hAnsi="Arial" w:cs="Arial"/>
                <w:b/>
              </w:rPr>
            </w:pPr>
            <w:r>
              <w:rPr>
                <w:rFonts w:ascii="Arial" w:hAnsi="Arial" w:cs="Arial"/>
                <w:b/>
              </w:rPr>
              <w:t>257</w:t>
            </w:r>
          </w:p>
        </w:tc>
        <w:tc>
          <w:tcPr>
            <w:tcW w:w="6662" w:type="dxa"/>
          </w:tcPr>
          <w:p w14:paraId="33A44C2F" w14:textId="77777777" w:rsidR="0024577D" w:rsidRPr="003D2BC7" w:rsidRDefault="0024577D" w:rsidP="00EF5AF2">
            <w:pPr>
              <w:jc w:val="both"/>
              <w:rPr>
                <w:rFonts w:ascii="Arial" w:hAnsi="Arial" w:cs="Arial"/>
                <w:b/>
                <w:sz w:val="22"/>
                <w:szCs w:val="22"/>
                <w:lang w:val="es-MX"/>
              </w:rPr>
            </w:pPr>
            <w:r w:rsidRPr="003D2BC7">
              <w:rPr>
                <w:rFonts w:ascii="Arial" w:hAnsi="Arial" w:cs="Arial"/>
                <w:b/>
                <w:sz w:val="22"/>
                <w:szCs w:val="22"/>
                <w:lang w:val="es-MX"/>
              </w:rPr>
              <w:t>AGENCIA PARA LA REINCORPORACIÓN Y LA NORMALIZACIÓN – ARN.</w:t>
            </w:r>
          </w:p>
        </w:tc>
        <w:tc>
          <w:tcPr>
            <w:tcW w:w="2268" w:type="dxa"/>
          </w:tcPr>
          <w:p w14:paraId="410B7081" w14:textId="77777777" w:rsidR="0024577D" w:rsidRPr="003D2BC7" w:rsidRDefault="0024577D" w:rsidP="00EF5AF2">
            <w:pPr>
              <w:ind w:right="-234"/>
              <w:jc w:val="center"/>
              <w:rPr>
                <w:rFonts w:ascii="Arial" w:hAnsi="Arial" w:cs="Arial"/>
                <w:b/>
                <w:sz w:val="22"/>
                <w:szCs w:val="22"/>
                <w:u w:val="single"/>
                <w:lang w:val="es-MX"/>
              </w:rPr>
            </w:pPr>
            <w:r w:rsidRPr="003D2BC7">
              <w:rPr>
                <w:rFonts w:ascii="Arial" w:hAnsi="Arial" w:cs="Arial"/>
                <w:b/>
                <w:sz w:val="22"/>
                <w:szCs w:val="22"/>
                <w:u w:val="single"/>
                <w:lang w:val="es-MX"/>
              </w:rPr>
              <w:t>94.53%</w:t>
            </w:r>
          </w:p>
        </w:tc>
      </w:tr>
      <w:tr w:rsidR="0024577D" w:rsidRPr="003D6EE0" w14:paraId="7DCBBD0E" w14:textId="77777777" w:rsidTr="0024577D">
        <w:tc>
          <w:tcPr>
            <w:tcW w:w="1555" w:type="dxa"/>
          </w:tcPr>
          <w:p w14:paraId="5062F08B" w14:textId="77777777" w:rsidR="0024577D" w:rsidRDefault="0024577D" w:rsidP="00EF5AF2">
            <w:pPr>
              <w:ind w:right="-112"/>
              <w:jc w:val="center"/>
              <w:rPr>
                <w:rFonts w:ascii="Arial" w:hAnsi="Arial" w:cs="Arial"/>
                <w:b/>
              </w:rPr>
            </w:pPr>
            <w:r>
              <w:rPr>
                <w:rFonts w:ascii="Arial" w:hAnsi="Arial" w:cs="Arial"/>
                <w:b/>
              </w:rPr>
              <w:t>258</w:t>
            </w:r>
          </w:p>
        </w:tc>
        <w:tc>
          <w:tcPr>
            <w:tcW w:w="6662" w:type="dxa"/>
          </w:tcPr>
          <w:p w14:paraId="7EB2F3E9" w14:textId="77777777" w:rsidR="0024577D" w:rsidRPr="00412149" w:rsidRDefault="0024577D" w:rsidP="00EF5AF2">
            <w:pPr>
              <w:jc w:val="both"/>
              <w:rPr>
                <w:rFonts w:ascii="Arial" w:hAnsi="Arial" w:cs="Arial"/>
                <w:b/>
                <w:sz w:val="22"/>
                <w:szCs w:val="22"/>
                <w:lang w:val="es-MX"/>
              </w:rPr>
            </w:pPr>
            <w:r w:rsidRPr="00412149">
              <w:rPr>
                <w:rFonts w:ascii="Arial" w:hAnsi="Arial" w:cs="Arial"/>
                <w:b/>
                <w:sz w:val="22"/>
                <w:szCs w:val="22"/>
                <w:lang w:val="es-MX"/>
              </w:rPr>
              <w:t>COMPUTADORES PARA EDUCAR – CPE.</w:t>
            </w:r>
          </w:p>
        </w:tc>
        <w:tc>
          <w:tcPr>
            <w:tcW w:w="2268" w:type="dxa"/>
          </w:tcPr>
          <w:p w14:paraId="324435AB" w14:textId="77777777" w:rsidR="0024577D" w:rsidRPr="00412149" w:rsidRDefault="0024577D" w:rsidP="00EF5AF2">
            <w:pPr>
              <w:ind w:right="-234"/>
              <w:jc w:val="center"/>
              <w:rPr>
                <w:rFonts w:ascii="Arial" w:hAnsi="Arial" w:cs="Arial"/>
                <w:b/>
                <w:sz w:val="22"/>
                <w:szCs w:val="22"/>
                <w:u w:val="single"/>
                <w:lang w:val="es-MX"/>
              </w:rPr>
            </w:pPr>
            <w:r w:rsidRPr="00412149">
              <w:rPr>
                <w:rFonts w:ascii="Arial" w:hAnsi="Arial" w:cs="Arial"/>
                <w:b/>
                <w:sz w:val="22"/>
                <w:szCs w:val="22"/>
                <w:u w:val="single"/>
                <w:lang w:val="es-MX"/>
              </w:rPr>
              <w:t>94.00%</w:t>
            </w:r>
          </w:p>
        </w:tc>
      </w:tr>
      <w:tr w:rsidR="0024577D" w:rsidRPr="003D6EE0" w14:paraId="4BC54DA6" w14:textId="77777777" w:rsidTr="0024577D">
        <w:tc>
          <w:tcPr>
            <w:tcW w:w="1555" w:type="dxa"/>
          </w:tcPr>
          <w:p w14:paraId="0C20BD6C" w14:textId="77777777" w:rsidR="0024577D" w:rsidRDefault="0024577D" w:rsidP="00EF5AF2">
            <w:pPr>
              <w:ind w:right="-112"/>
              <w:jc w:val="center"/>
              <w:rPr>
                <w:rFonts w:ascii="Arial" w:hAnsi="Arial" w:cs="Arial"/>
                <w:b/>
              </w:rPr>
            </w:pPr>
            <w:r>
              <w:rPr>
                <w:rFonts w:ascii="Arial" w:hAnsi="Arial" w:cs="Arial"/>
                <w:b/>
              </w:rPr>
              <w:t>264</w:t>
            </w:r>
          </w:p>
        </w:tc>
        <w:tc>
          <w:tcPr>
            <w:tcW w:w="6662" w:type="dxa"/>
          </w:tcPr>
          <w:p w14:paraId="5F0F8B1C" w14:textId="77777777" w:rsidR="0024577D" w:rsidRPr="005416D5" w:rsidRDefault="0024577D" w:rsidP="00EF5AF2">
            <w:pPr>
              <w:jc w:val="both"/>
              <w:rPr>
                <w:rFonts w:ascii="Arial" w:hAnsi="Arial" w:cs="Arial"/>
                <w:b/>
                <w:sz w:val="22"/>
                <w:szCs w:val="22"/>
                <w:lang w:val="es-MX"/>
              </w:rPr>
            </w:pPr>
            <w:r w:rsidRPr="005416D5">
              <w:rPr>
                <w:rFonts w:ascii="Arial" w:hAnsi="Arial" w:cs="Arial"/>
                <w:b/>
                <w:sz w:val="22"/>
                <w:szCs w:val="22"/>
                <w:lang w:val="es-MX"/>
              </w:rPr>
              <w:t>MINISTERIO DE EDUCACIÓN NACIONAL.</w:t>
            </w:r>
          </w:p>
        </w:tc>
        <w:tc>
          <w:tcPr>
            <w:tcW w:w="2268" w:type="dxa"/>
          </w:tcPr>
          <w:p w14:paraId="725897D2" w14:textId="77777777" w:rsidR="0024577D" w:rsidRPr="005416D5" w:rsidRDefault="0024577D" w:rsidP="00EF5AF2">
            <w:pPr>
              <w:ind w:right="-234"/>
              <w:jc w:val="center"/>
              <w:rPr>
                <w:rFonts w:ascii="Arial" w:hAnsi="Arial" w:cs="Arial"/>
                <w:b/>
                <w:sz w:val="22"/>
                <w:szCs w:val="22"/>
                <w:u w:val="single"/>
                <w:lang w:val="es-MX"/>
              </w:rPr>
            </w:pPr>
            <w:r w:rsidRPr="005416D5">
              <w:rPr>
                <w:rFonts w:ascii="Arial" w:hAnsi="Arial" w:cs="Arial"/>
                <w:b/>
                <w:sz w:val="22"/>
                <w:szCs w:val="22"/>
                <w:u w:val="single"/>
                <w:lang w:val="es-MX"/>
              </w:rPr>
              <w:t>99.30%</w:t>
            </w:r>
          </w:p>
        </w:tc>
      </w:tr>
      <w:tr w:rsidR="0024577D" w:rsidRPr="003D6EE0" w14:paraId="5E0FDBFC" w14:textId="77777777" w:rsidTr="0024577D">
        <w:tc>
          <w:tcPr>
            <w:tcW w:w="1555" w:type="dxa"/>
          </w:tcPr>
          <w:p w14:paraId="6B40A49B" w14:textId="77777777" w:rsidR="0024577D" w:rsidRDefault="0024577D" w:rsidP="00EF5AF2">
            <w:pPr>
              <w:ind w:right="-112"/>
              <w:jc w:val="center"/>
              <w:rPr>
                <w:rFonts w:ascii="Arial" w:hAnsi="Arial" w:cs="Arial"/>
                <w:b/>
              </w:rPr>
            </w:pPr>
            <w:r>
              <w:rPr>
                <w:rFonts w:ascii="Arial" w:hAnsi="Arial" w:cs="Arial"/>
                <w:b/>
              </w:rPr>
              <w:t>274</w:t>
            </w:r>
          </w:p>
        </w:tc>
        <w:tc>
          <w:tcPr>
            <w:tcW w:w="6662" w:type="dxa"/>
          </w:tcPr>
          <w:p w14:paraId="29F7BD34" w14:textId="77777777" w:rsidR="0024577D" w:rsidRPr="00E50D0E" w:rsidRDefault="0024577D" w:rsidP="00EF5AF2">
            <w:pPr>
              <w:jc w:val="both"/>
              <w:rPr>
                <w:rFonts w:ascii="Arial" w:hAnsi="Arial" w:cs="Arial"/>
                <w:b/>
                <w:sz w:val="22"/>
                <w:szCs w:val="22"/>
                <w:lang w:val="es-MX"/>
              </w:rPr>
            </w:pPr>
            <w:r w:rsidRPr="00E50D0E">
              <w:rPr>
                <w:rFonts w:ascii="Arial" w:hAnsi="Arial" w:cs="Arial"/>
                <w:b/>
                <w:sz w:val="22"/>
                <w:szCs w:val="22"/>
                <w:lang w:val="es-MX"/>
              </w:rPr>
              <w:t xml:space="preserve">CONTRALORÍA GENERAL DE LA REPÚBLICA – CGR. </w:t>
            </w:r>
          </w:p>
        </w:tc>
        <w:tc>
          <w:tcPr>
            <w:tcW w:w="2268" w:type="dxa"/>
          </w:tcPr>
          <w:p w14:paraId="20224723" w14:textId="77777777" w:rsidR="0024577D" w:rsidRPr="00E50D0E" w:rsidRDefault="0024577D" w:rsidP="00EF5AF2">
            <w:pPr>
              <w:ind w:right="-234"/>
              <w:jc w:val="center"/>
              <w:rPr>
                <w:rFonts w:ascii="Arial" w:hAnsi="Arial" w:cs="Arial"/>
                <w:b/>
                <w:sz w:val="22"/>
                <w:szCs w:val="22"/>
                <w:u w:val="single"/>
                <w:lang w:val="es-MX"/>
              </w:rPr>
            </w:pPr>
            <w:r w:rsidRPr="00E50D0E">
              <w:rPr>
                <w:rFonts w:ascii="Arial" w:hAnsi="Arial" w:cs="Arial"/>
                <w:b/>
                <w:sz w:val="22"/>
                <w:szCs w:val="22"/>
                <w:u w:val="single"/>
                <w:lang w:val="es-MX"/>
              </w:rPr>
              <w:t>96.00%</w:t>
            </w:r>
          </w:p>
        </w:tc>
      </w:tr>
      <w:tr w:rsidR="0024577D" w:rsidRPr="003D6EE0" w14:paraId="3B263F6F" w14:textId="77777777" w:rsidTr="0024577D">
        <w:tc>
          <w:tcPr>
            <w:tcW w:w="1555" w:type="dxa"/>
          </w:tcPr>
          <w:p w14:paraId="21773D52" w14:textId="77777777" w:rsidR="0024577D" w:rsidRDefault="0024577D" w:rsidP="00EF5AF2">
            <w:pPr>
              <w:ind w:right="-112"/>
              <w:jc w:val="center"/>
              <w:rPr>
                <w:rFonts w:ascii="Arial" w:hAnsi="Arial" w:cs="Arial"/>
                <w:b/>
              </w:rPr>
            </w:pPr>
            <w:r>
              <w:rPr>
                <w:rFonts w:ascii="Arial" w:hAnsi="Arial" w:cs="Arial"/>
                <w:b/>
              </w:rPr>
              <w:t>275</w:t>
            </w:r>
          </w:p>
        </w:tc>
        <w:tc>
          <w:tcPr>
            <w:tcW w:w="6662" w:type="dxa"/>
          </w:tcPr>
          <w:p w14:paraId="76784668" w14:textId="77777777" w:rsidR="0024577D" w:rsidRPr="00837FE0" w:rsidRDefault="0024577D" w:rsidP="00EF5AF2">
            <w:pPr>
              <w:ind w:right="49"/>
              <w:jc w:val="both"/>
              <w:rPr>
                <w:rFonts w:ascii="Arial" w:hAnsi="Arial" w:cs="Arial"/>
                <w:b/>
                <w:sz w:val="22"/>
                <w:szCs w:val="22"/>
                <w:lang w:val="es-MX"/>
              </w:rPr>
            </w:pPr>
            <w:r w:rsidRPr="00837FE0">
              <w:rPr>
                <w:rFonts w:ascii="Arial" w:hAnsi="Arial" w:cs="Arial"/>
                <w:b/>
                <w:sz w:val="22"/>
                <w:szCs w:val="22"/>
                <w:lang w:val="es-MX"/>
              </w:rPr>
              <w:t>CORPORACIÓN AUTÓNOMA REGIONAL DE LA GUAJIRA - CORPOGUAJIRA.</w:t>
            </w:r>
          </w:p>
        </w:tc>
        <w:tc>
          <w:tcPr>
            <w:tcW w:w="2268" w:type="dxa"/>
          </w:tcPr>
          <w:p w14:paraId="7F31F8E4" w14:textId="77777777" w:rsidR="0024577D" w:rsidRPr="00837FE0" w:rsidRDefault="0024577D" w:rsidP="00EF5AF2">
            <w:pPr>
              <w:ind w:right="-234"/>
              <w:jc w:val="center"/>
              <w:rPr>
                <w:rFonts w:ascii="Arial" w:hAnsi="Arial" w:cs="Arial"/>
                <w:b/>
                <w:sz w:val="22"/>
                <w:szCs w:val="22"/>
                <w:u w:val="single"/>
                <w:lang w:val="es-MX"/>
              </w:rPr>
            </w:pPr>
            <w:r>
              <w:rPr>
                <w:rFonts w:ascii="Arial" w:hAnsi="Arial" w:cs="Arial"/>
                <w:b/>
                <w:sz w:val="22"/>
                <w:szCs w:val="22"/>
                <w:u w:val="single"/>
                <w:lang w:val="es-MX"/>
              </w:rPr>
              <w:t>98.00%</w:t>
            </w:r>
          </w:p>
        </w:tc>
      </w:tr>
      <w:tr w:rsidR="0024577D" w:rsidRPr="003D6EE0" w14:paraId="39AD2EB9" w14:textId="77777777" w:rsidTr="0024577D">
        <w:tc>
          <w:tcPr>
            <w:tcW w:w="1555" w:type="dxa"/>
          </w:tcPr>
          <w:p w14:paraId="455C61DC" w14:textId="77777777" w:rsidR="0024577D" w:rsidRDefault="0024577D" w:rsidP="00EF5AF2">
            <w:pPr>
              <w:ind w:right="-112"/>
              <w:jc w:val="center"/>
              <w:rPr>
                <w:rFonts w:ascii="Arial" w:hAnsi="Arial" w:cs="Arial"/>
                <w:b/>
              </w:rPr>
            </w:pPr>
            <w:r>
              <w:rPr>
                <w:rFonts w:ascii="Arial" w:hAnsi="Arial" w:cs="Arial"/>
                <w:b/>
              </w:rPr>
              <w:t>276</w:t>
            </w:r>
          </w:p>
        </w:tc>
        <w:tc>
          <w:tcPr>
            <w:tcW w:w="6662" w:type="dxa"/>
          </w:tcPr>
          <w:p w14:paraId="04231B47" w14:textId="77777777" w:rsidR="0024577D" w:rsidRPr="00215EE2" w:rsidRDefault="0024577D" w:rsidP="00EF5AF2">
            <w:pPr>
              <w:ind w:left="39"/>
              <w:jc w:val="both"/>
              <w:rPr>
                <w:rFonts w:ascii="Arial" w:hAnsi="Arial" w:cs="Arial"/>
                <w:b/>
                <w:sz w:val="22"/>
                <w:szCs w:val="22"/>
                <w:lang w:val="es-MX"/>
              </w:rPr>
            </w:pPr>
            <w:r w:rsidRPr="00215EE2">
              <w:rPr>
                <w:rFonts w:ascii="Arial" w:hAnsi="Arial" w:cs="Arial"/>
                <w:b/>
                <w:sz w:val="22"/>
                <w:szCs w:val="22"/>
                <w:lang w:val="es-MX"/>
              </w:rPr>
              <w:t>INSTITUTO COLOMBIANO AGROPECUARIO – ICA.</w:t>
            </w:r>
          </w:p>
        </w:tc>
        <w:tc>
          <w:tcPr>
            <w:tcW w:w="2268" w:type="dxa"/>
          </w:tcPr>
          <w:p w14:paraId="51DA2AEA" w14:textId="77777777" w:rsidR="0024577D" w:rsidRPr="00215EE2" w:rsidRDefault="0024577D" w:rsidP="00EF5AF2">
            <w:pPr>
              <w:ind w:right="-234"/>
              <w:jc w:val="center"/>
              <w:rPr>
                <w:rFonts w:ascii="Arial" w:hAnsi="Arial" w:cs="Arial"/>
                <w:b/>
                <w:sz w:val="22"/>
                <w:szCs w:val="22"/>
                <w:u w:val="single"/>
                <w:lang w:val="es-MX"/>
              </w:rPr>
            </w:pPr>
            <w:r>
              <w:rPr>
                <w:rFonts w:ascii="Arial" w:hAnsi="Arial" w:cs="Arial"/>
                <w:b/>
                <w:sz w:val="22"/>
                <w:szCs w:val="22"/>
                <w:u w:val="single"/>
                <w:lang w:val="es-MX"/>
              </w:rPr>
              <w:t>92.00%</w:t>
            </w:r>
          </w:p>
        </w:tc>
      </w:tr>
      <w:tr w:rsidR="0024577D" w:rsidRPr="003D6EE0" w14:paraId="69164328" w14:textId="77777777" w:rsidTr="0024577D">
        <w:tc>
          <w:tcPr>
            <w:tcW w:w="1555" w:type="dxa"/>
          </w:tcPr>
          <w:p w14:paraId="43E62F45" w14:textId="77777777" w:rsidR="0024577D" w:rsidRDefault="0024577D" w:rsidP="00EF5AF2">
            <w:pPr>
              <w:ind w:right="-112"/>
              <w:jc w:val="center"/>
              <w:rPr>
                <w:rFonts w:ascii="Arial" w:hAnsi="Arial" w:cs="Arial"/>
                <w:b/>
              </w:rPr>
            </w:pPr>
            <w:r>
              <w:rPr>
                <w:rFonts w:ascii="Arial" w:hAnsi="Arial" w:cs="Arial"/>
                <w:b/>
              </w:rPr>
              <w:t>296</w:t>
            </w:r>
          </w:p>
        </w:tc>
        <w:tc>
          <w:tcPr>
            <w:tcW w:w="6662" w:type="dxa"/>
          </w:tcPr>
          <w:p w14:paraId="70B04F84" w14:textId="77777777" w:rsidR="0024577D" w:rsidRPr="0040506E" w:rsidRDefault="0024577D" w:rsidP="00EF5AF2">
            <w:pPr>
              <w:ind w:left="35"/>
              <w:rPr>
                <w:rFonts w:ascii="Arial" w:hAnsi="Arial" w:cs="Arial"/>
                <w:b/>
                <w:sz w:val="22"/>
                <w:szCs w:val="22"/>
                <w:lang w:val="es-MX"/>
              </w:rPr>
            </w:pPr>
            <w:r w:rsidRPr="0040506E">
              <w:rPr>
                <w:rFonts w:ascii="Arial" w:hAnsi="Arial" w:cs="Arial"/>
                <w:b/>
                <w:sz w:val="22"/>
                <w:szCs w:val="22"/>
                <w:lang w:val="es-MX"/>
              </w:rPr>
              <w:t>AGENCIA NACIONAL DE MINERIA - ANM.</w:t>
            </w:r>
          </w:p>
        </w:tc>
        <w:tc>
          <w:tcPr>
            <w:tcW w:w="2268" w:type="dxa"/>
          </w:tcPr>
          <w:p w14:paraId="36E778E9" w14:textId="77777777" w:rsidR="0024577D" w:rsidRPr="0040506E" w:rsidRDefault="0024577D" w:rsidP="00EF5AF2">
            <w:pPr>
              <w:ind w:right="-234"/>
              <w:jc w:val="center"/>
              <w:rPr>
                <w:rFonts w:ascii="Arial" w:hAnsi="Arial" w:cs="Arial"/>
                <w:b/>
                <w:sz w:val="22"/>
                <w:szCs w:val="22"/>
                <w:u w:val="single"/>
                <w:lang w:val="es-MX"/>
              </w:rPr>
            </w:pPr>
            <w:r w:rsidRPr="0040506E">
              <w:rPr>
                <w:rFonts w:ascii="Arial" w:hAnsi="Arial" w:cs="Arial"/>
                <w:b/>
                <w:sz w:val="22"/>
                <w:szCs w:val="22"/>
                <w:u w:val="single"/>
                <w:lang w:val="es-MX"/>
              </w:rPr>
              <w:t>78.00%</w:t>
            </w:r>
          </w:p>
        </w:tc>
      </w:tr>
      <w:tr w:rsidR="0024577D" w:rsidRPr="003D6EE0" w14:paraId="17EF5937" w14:textId="77777777" w:rsidTr="0024577D">
        <w:tc>
          <w:tcPr>
            <w:tcW w:w="1555" w:type="dxa"/>
          </w:tcPr>
          <w:p w14:paraId="161B3E6F" w14:textId="77777777" w:rsidR="0024577D" w:rsidRDefault="0024577D" w:rsidP="00EF5AF2">
            <w:pPr>
              <w:ind w:right="-112"/>
              <w:jc w:val="center"/>
              <w:rPr>
                <w:rFonts w:ascii="Arial" w:hAnsi="Arial" w:cs="Arial"/>
                <w:b/>
              </w:rPr>
            </w:pPr>
            <w:r>
              <w:rPr>
                <w:rFonts w:ascii="Arial" w:hAnsi="Arial" w:cs="Arial"/>
                <w:b/>
              </w:rPr>
              <w:t>300</w:t>
            </w:r>
          </w:p>
        </w:tc>
        <w:tc>
          <w:tcPr>
            <w:tcW w:w="6662" w:type="dxa"/>
          </w:tcPr>
          <w:p w14:paraId="2E36E731" w14:textId="77777777" w:rsidR="0024577D" w:rsidRPr="00394422" w:rsidRDefault="0024577D" w:rsidP="00EF5AF2">
            <w:pPr>
              <w:jc w:val="both"/>
              <w:rPr>
                <w:rFonts w:ascii="Arial" w:hAnsi="Arial" w:cs="Arial"/>
                <w:b/>
                <w:sz w:val="22"/>
                <w:szCs w:val="22"/>
                <w:lang w:val="es-MX"/>
              </w:rPr>
            </w:pPr>
            <w:r w:rsidRPr="00394422">
              <w:rPr>
                <w:rFonts w:ascii="Arial" w:hAnsi="Arial" w:cs="Arial"/>
                <w:b/>
                <w:sz w:val="22"/>
                <w:szCs w:val="22"/>
                <w:lang w:val="es-MX"/>
              </w:rPr>
              <w:t>SUPERINTENDENCIA DE LA ECONOMIA SOLIDARIA - SUPERSOLIDARIA.</w:t>
            </w:r>
          </w:p>
        </w:tc>
        <w:tc>
          <w:tcPr>
            <w:tcW w:w="2268" w:type="dxa"/>
          </w:tcPr>
          <w:p w14:paraId="0B50057E" w14:textId="77777777" w:rsidR="0024577D" w:rsidRPr="00394422" w:rsidRDefault="0024577D" w:rsidP="00EF5AF2">
            <w:pPr>
              <w:ind w:right="-234"/>
              <w:jc w:val="center"/>
              <w:rPr>
                <w:rFonts w:ascii="Arial" w:hAnsi="Arial" w:cs="Arial"/>
                <w:b/>
                <w:sz w:val="22"/>
                <w:szCs w:val="22"/>
                <w:u w:val="single"/>
                <w:lang w:val="es-MX"/>
              </w:rPr>
            </w:pPr>
            <w:r w:rsidRPr="00394422">
              <w:rPr>
                <w:rFonts w:ascii="Arial" w:hAnsi="Arial" w:cs="Arial"/>
                <w:b/>
                <w:sz w:val="22"/>
                <w:szCs w:val="22"/>
                <w:u w:val="single"/>
                <w:lang w:val="es-MX"/>
              </w:rPr>
              <w:t>96.13%</w:t>
            </w:r>
          </w:p>
        </w:tc>
      </w:tr>
      <w:tr w:rsidR="0024577D" w:rsidRPr="003D6EE0" w14:paraId="639826E4" w14:textId="77777777" w:rsidTr="0024577D">
        <w:tc>
          <w:tcPr>
            <w:tcW w:w="1555" w:type="dxa"/>
          </w:tcPr>
          <w:p w14:paraId="543E4D6C" w14:textId="77777777" w:rsidR="0024577D" w:rsidRDefault="0024577D" w:rsidP="00EF5AF2">
            <w:pPr>
              <w:ind w:right="-112"/>
              <w:jc w:val="center"/>
              <w:rPr>
                <w:rFonts w:ascii="Arial" w:hAnsi="Arial" w:cs="Arial"/>
                <w:b/>
              </w:rPr>
            </w:pPr>
            <w:r>
              <w:rPr>
                <w:rFonts w:ascii="Arial" w:hAnsi="Arial" w:cs="Arial"/>
                <w:b/>
              </w:rPr>
              <w:t>302</w:t>
            </w:r>
          </w:p>
        </w:tc>
        <w:tc>
          <w:tcPr>
            <w:tcW w:w="6662" w:type="dxa"/>
          </w:tcPr>
          <w:p w14:paraId="752D1C25" w14:textId="77777777" w:rsidR="0024577D" w:rsidRPr="000B093F" w:rsidRDefault="0024577D" w:rsidP="00EF5AF2">
            <w:pPr>
              <w:jc w:val="both"/>
              <w:rPr>
                <w:rFonts w:ascii="Arial" w:hAnsi="Arial" w:cs="Arial"/>
                <w:b/>
                <w:sz w:val="22"/>
                <w:szCs w:val="22"/>
                <w:lang w:val="es-MX"/>
              </w:rPr>
            </w:pPr>
            <w:r w:rsidRPr="000B093F">
              <w:rPr>
                <w:rFonts w:ascii="Arial" w:hAnsi="Arial" w:cs="Arial"/>
                <w:b/>
                <w:sz w:val="22"/>
                <w:szCs w:val="22"/>
                <w:lang w:val="es-MX"/>
              </w:rPr>
              <w:t>MINISTERIO DE SALUD Y PROTECCIÓN SOCIAL.</w:t>
            </w:r>
          </w:p>
        </w:tc>
        <w:tc>
          <w:tcPr>
            <w:tcW w:w="2268" w:type="dxa"/>
          </w:tcPr>
          <w:p w14:paraId="5E9DB791" w14:textId="77777777" w:rsidR="0024577D" w:rsidRPr="000B093F" w:rsidRDefault="0024577D" w:rsidP="00EF5AF2">
            <w:pPr>
              <w:ind w:right="-234"/>
              <w:jc w:val="center"/>
              <w:rPr>
                <w:rFonts w:ascii="Arial" w:hAnsi="Arial" w:cs="Arial"/>
                <w:b/>
                <w:sz w:val="22"/>
                <w:szCs w:val="22"/>
                <w:u w:val="single"/>
                <w:lang w:val="es-MX"/>
              </w:rPr>
            </w:pPr>
            <w:r w:rsidRPr="000B093F">
              <w:rPr>
                <w:rFonts w:ascii="Arial" w:hAnsi="Arial" w:cs="Arial"/>
                <w:b/>
                <w:sz w:val="22"/>
                <w:szCs w:val="22"/>
                <w:u w:val="single"/>
                <w:lang w:val="es-MX"/>
              </w:rPr>
              <w:t>92.65%</w:t>
            </w:r>
          </w:p>
        </w:tc>
      </w:tr>
      <w:tr w:rsidR="0024577D" w:rsidRPr="003D6EE0" w14:paraId="443D9097" w14:textId="77777777" w:rsidTr="0024577D">
        <w:tc>
          <w:tcPr>
            <w:tcW w:w="1555" w:type="dxa"/>
          </w:tcPr>
          <w:p w14:paraId="5F18E446" w14:textId="77777777" w:rsidR="0024577D" w:rsidRDefault="0024577D" w:rsidP="00EF5AF2">
            <w:pPr>
              <w:ind w:right="-112"/>
              <w:jc w:val="center"/>
              <w:rPr>
                <w:rFonts w:ascii="Arial" w:hAnsi="Arial" w:cs="Arial"/>
                <w:b/>
              </w:rPr>
            </w:pPr>
            <w:r>
              <w:rPr>
                <w:rFonts w:ascii="Arial" w:hAnsi="Arial" w:cs="Arial"/>
                <w:b/>
              </w:rPr>
              <w:t>303</w:t>
            </w:r>
          </w:p>
        </w:tc>
        <w:tc>
          <w:tcPr>
            <w:tcW w:w="6662" w:type="dxa"/>
          </w:tcPr>
          <w:p w14:paraId="58FA3D66" w14:textId="77777777" w:rsidR="0024577D" w:rsidRPr="007E2F33" w:rsidRDefault="0024577D" w:rsidP="00EF5AF2">
            <w:pPr>
              <w:jc w:val="both"/>
              <w:rPr>
                <w:rFonts w:ascii="Arial" w:hAnsi="Arial" w:cs="Arial"/>
                <w:b/>
                <w:sz w:val="22"/>
                <w:szCs w:val="22"/>
                <w:lang w:val="es-MX"/>
              </w:rPr>
            </w:pPr>
            <w:r w:rsidRPr="007E2F33">
              <w:rPr>
                <w:rFonts w:ascii="Arial" w:hAnsi="Arial" w:cs="Arial"/>
                <w:b/>
                <w:sz w:val="22"/>
                <w:szCs w:val="22"/>
                <w:lang w:val="es-MX"/>
              </w:rPr>
              <w:t>MINISTERIO DE VIVIENDA, CIUDAD Y TERRITORIO.</w:t>
            </w:r>
          </w:p>
        </w:tc>
        <w:tc>
          <w:tcPr>
            <w:tcW w:w="2268" w:type="dxa"/>
          </w:tcPr>
          <w:p w14:paraId="13126872" w14:textId="77777777" w:rsidR="0024577D" w:rsidRPr="007E2F33" w:rsidRDefault="0024577D" w:rsidP="00EF5AF2">
            <w:pPr>
              <w:ind w:right="-234"/>
              <w:jc w:val="center"/>
              <w:rPr>
                <w:rFonts w:ascii="Arial" w:hAnsi="Arial" w:cs="Arial"/>
                <w:b/>
                <w:sz w:val="22"/>
                <w:szCs w:val="22"/>
                <w:u w:val="single"/>
                <w:lang w:val="es-MX"/>
              </w:rPr>
            </w:pPr>
            <w:r w:rsidRPr="007E2F33">
              <w:rPr>
                <w:rFonts w:ascii="Arial" w:hAnsi="Arial" w:cs="Arial"/>
                <w:b/>
                <w:sz w:val="22"/>
                <w:szCs w:val="22"/>
                <w:u w:val="single"/>
                <w:lang w:val="es-MX"/>
              </w:rPr>
              <w:t>35.00%</w:t>
            </w:r>
          </w:p>
        </w:tc>
      </w:tr>
      <w:tr w:rsidR="0024577D" w:rsidRPr="003D6EE0" w14:paraId="6FDFF75C" w14:textId="77777777" w:rsidTr="0024577D">
        <w:tc>
          <w:tcPr>
            <w:tcW w:w="1555" w:type="dxa"/>
          </w:tcPr>
          <w:p w14:paraId="08E0CD05" w14:textId="77777777" w:rsidR="0024577D" w:rsidRDefault="0024577D" w:rsidP="00EF5AF2">
            <w:pPr>
              <w:ind w:right="-112"/>
              <w:jc w:val="center"/>
              <w:rPr>
                <w:rFonts w:ascii="Arial" w:hAnsi="Arial" w:cs="Arial"/>
                <w:b/>
              </w:rPr>
            </w:pPr>
            <w:r>
              <w:rPr>
                <w:rFonts w:ascii="Arial" w:hAnsi="Arial" w:cs="Arial"/>
                <w:b/>
              </w:rPr>
              <w:t>305</w:t>
            </w:r>
          </w:p>
        </w:tc>
        <w:tc>
          <w:tcPr>
            <w:tcW w:w="6662" w:type="dxa"/>
          </w:tcPr>
          <w:p w14:paraId="3325FC54" w14:textId="77777777" w:rsidR="0024577D" w:rsidRPr="0082031D" w:rsidRDefault="0024577D" w:rsidP="00EF5AF2">
            <w:pPr>
              <w:ind w:right="49"/>
              <w:jc w:val="both"/>
              <w:rPr>
                <w:rFonts w:ascii="Arial" w:eastAsia="Calibri" w:hAnsi="Arial" w:cs="Arial"/>
                <w:b/>
                <w:sz w:val="22"/>
                <w:szCs w:val="22"/>
                <w:lang w:val="es-MX"/>
              </w:rPr>
            </w:pPr>
            <w:r w:rsidRPr="0082031D">
              <w:rPr>
                <w:rFonts w:ascii="Arial" w:eastAsia="Calibri" w:hAnsi="Arial" w:cs="Arial"/>
                <w:b/>
                <w:sz w:val="22"/>
                <w:szCs w:val="22"/>
                <w:lang w:val="es-MX"/>
              </w:rPr>
              <w:t>FONDO SOCIAL DE VIVIENDA - REGISTRADURÍA NACIONAL DEL ESTADO CIVIL.</w:t>
            </w:r>
          </w:p>
        </w:tc>
        <w:tc>
          <w:tcPr>
            <w:tcW w:w="2268" w:type="dxa"/>
          </w:tcPr>
          <w:p w14:paraId="534DEF3E" w14:textId="77777777" w:rsidR="0024577D" w:rsidRPr="0082031D" w:rsidRDefault="0024577D" w:rsidP="00EF5AF2">
            <w:pPr>
              <w:ind w:right="-234"/>
              <w:jc w:val="center"/>
              <w:rPr>
                <w:rFonts w:ascii="Arial" w:hAnsi="Arial" w:cs="Arial"/>
                <w:b/>
                <w:sz w:val="22"/>
                <w:szCs w:val="22"/>
                <w:u w:val="single"/>
                <w:lang w:val="es-MX"/>
              </w:rPr>
            </w:pPr>
            <w:r w:rsidRPr="0082031D">
              <w:rPr>
                <w:rFonts w:ascii="Arial" w:hAnsi="Arial" w:cs="Arial"/>
                <w:b/>
                <w:sz w:val="22"/>
                <w:szCs w:val="22"/>
                <w:u w:val="single"/>
                <w:lang w:val="es-MX"/>
              </w:rPr>
              <w:t>97.10%</w:t>
            </w:r>
          </w:p>
        </w:tc>
      </w:tr>
      <w:tr w:rsidR="0024577D" w:rsidRPr="003D6EE0" w14:paraId="41636047" w14:textId="77777777" w:rsidTr="0024577D">
        <w:tc>
          <w:tcPr>
            <w:tcW w:w="1555" w:type="dxa"/>
          </w:tcPr>
          <w:p w14:paraId="7E217C74" w14:textId="77777777" w:rsidR="0024577D" w:rsidRDefault="0024577D" w:rsidP="00EF5AF2">
            <w:pPr>
              <w:ind w:right="-112"/>
              <w:jc w:val="center"/>
              <w:rPr>
                <w:rFonts w:ascii="Arial" w:hAnsi="Arial" w:cs="Arial"/>
                <w:b/>
              </w:rPr>
            </w:pPr>
            <w:r>
              <w:rPr>
                <w:rFonts w:ascii="Arial" w:hAnsi="Arial" w:cs="Arial"/>
                <w:b/>
              </w:rPr>
              <w:t>306</w:t>
            </w:r>
          </w:p>
        </w:tc>
        <w:tc>
          <w:tcPr>
            <w:tcW w:w="6662" w:type="dxa"/>
          </w:tcPr>
          <w:p w14:paraId="65B06E0B" w14:textId="77777777" w:rsidR="0024577D" w:rsidRPr="000B7B7F" w:rsidRDefault="0024577D" w:rsidP="00EF5AF2">
            <w:pPr>
              <w:jc w:val="both"/>
              <w:rPr>
                <w:rFonts w:ascii="Arial" w:hAnsi="Arial" w:cs="Arial"/>
                <w:b/>
                <w:sz w:val="22"/>
                <w:szCs w:val="22"/>
                <w:lang w:val="es-MX"/>
              </w:rPr>
            </w:pPr>
            <w:r w:rsidRPr="000B7B7F">
              <w:rPr>
                <w:rFonts w:ascii="Arial" w:hAnsi="Arial" w:cs="Arial"/>
                <w:b/>
                <w:sz w:val="22"/>
                <w:szCs w:val="22"/>
              </w:rPr>
              <w:t>MINISTERIO</w:t>
            </w:r>
            <w:r w:rsidRPr="000B7B7F">
              <w:rPr>
                <w:rFonts w:ascii="Arial" w:hAnsi="Arial" w:cs="Arial"/>
                <w:b/>
                <w:spacing w:val="-12"/>
                <w:sz w:val="22"/>
                <w:szCs w:val="22"/>
              </w:rPr>
              <w:t xml:space="preserve"> </w:t>
            </w:r>
            <w:r w:rsidRPr="000B7B7F">
              <w:rPr>
                <w:rFonts w:ascii="Arial" w:hAnsi="Arial" w:cs="Arial"/>
                <w:b/>
                <w:sz w:val="22"/>
                <w:szCs w:val="22"/>
              </w:rPr>
              <w:t>DE</w:t>
            </w:r>
            <w:r w:rsidRPr="000B7B7F">
              <w:rPr>
                <w:rFonts w:ascii="Arial" w:hAnsi="Arial" w:cs="Arial"/>
                <w:b/>
                <w:spacing w:val="-9"/>
                <w:sz w:val="22"/>
                <w:szCs w:val="22"/>
              </w:rPr>
              <w:t xml:space="preserve"> </w:t>
            </w:r>
            <w:r w:rsidRPr="000B7B7F">
              <w:rPr>
                <w:rFonts w:ascii="Arial" w:hAnsi="Arial" w:cs="Arial"/>
                <w:b/>
                <w:sz w:val="22"/>
                <w:szCs w:val="22"/>
              </w:rPr>
              <w:t>DEFENSA</w:t>
            </w:r>
            <w:r w:rsidRPr="000B7B7F">
              <w:rPr>
                <w:rFonts w:ascii="Arial" w:hAnsi="Arial" w:cs="Arial"/>
                <w:b/>
                <w:spacing w:val="-9"/>
                <w:sz w:val="22"/>
                <w:szCs w:val="22"/>
              </w:rPr>
              <w:t xml:space="preserve"> </w:t>
            </w:r>
            <w:r w:rsidRPr="000B7B7F">
              <w:rPr>
                <w:rFonts w:ascii="Arial" w:hAnsi="Arial" w:cs="Arial"/>
                <w:b/>
                <w:sz w:val="22"/>
                <w:szCs w:val="22"/>
              </w:rPr>
              <w:t>NACIONAL</w:t>
            </w:r>
            <w:r w:rsidRPr="000B7B7F">
              <w:rPr>
                <w:rFonts w:ascii="Arial" w:hAnsi="Arial" w:cs="Arial"/>
                <w:b/>
                <w:sz w:val="22"/>
                <w:szCs w:val="22"/>
                <w:lang w:val="es-MX"/>
              </w:rPr>
              <w:t xml:space="preserve"> CONSOLIDADO.</w:t>
            </w:r>
          </w:p>
        </w:tc>
        <w:tc>
          <w:tcPr>
            <w:tcW w:w="2268" w:type="dxa"/>
          </w:tcPr>
          <w:p w14:paraId="3C7A783C" w14:textId="77777777" w:rsidR="0024577D" w:rsidRPr="000B7B7F" w:rsidRDefault="0024577D" w:rsidP="00EF5AF2">
            <w:pPr>
              <w:ind w:right="-234"/>
              <w:jc w:val="center"/>
              <w:rPr>
                <w:rFonts w:ascii="Arial" w:hAnsi="Arial" w:cs="Arial"/>
                <w:b/>
                <w:sz w:val="22"/>
                <w:szCs w:val="22"/>
                <w:u w:val="single"/>
                <w:lang w:val="es-MX"/>
              </w:rPr>
            </w:pPr>
            <w:r w:rsidRPr="000B7B7F">
              <w:rPr>
                <w:rFonts w:ascii="Arial" w:hAnsi="Arial" w:cs="Arial"/>
                <w:b/>
                <w:sz w:val="22"/>
                <w:szCs w:val="22"/>
                <w:u w:val="single"/>
                <w:lang w:val="es-MX"/>
              </w:rPr>
              <w:t>94.80%</w:t>
            </w:r>
          </w:p>
        </w:tc>
      </w:tr>
      <w:tr w:rsidR="0024577D" w:rsidRPr="003D6EE0" w14:paraId="43809121" w14:textId="77777777" w:rsidTr="0024577D">
        <w:tc>
          <w:tcPr>
            <w:tcW w:w="1555" w:type="dxa"/>
          </w:tcPr>
          <w:p w14:paraId="1C714C67" w14:textId="77777777" w:rsidR="0024577D" w:rsidRDefault="0024577D" w:rsidP="00EF5AF2">
            <w:pPr>
              <w:ind w:right="-112"/>
              <w:jc w:val="center"/>
              <w:rPr>
                <w:rFonts w:ascii="Arial" w:hAnsi="Arial" w:cs="Arial"/>
                <w:b/>
              </w:rPr>
            </w:pPr>
            <w:r>
              <w:rPr>
                <w:rFonts w:ascii="Arial" w:hAnsi="Arial" w:cs="Arial"/>
                <w:b/>
              </w:rPr>
              <w:t>308</w:t>
            </w:r>
          </w:p>
        </w:tc>
        <w:tc>
          <w:tcPr>
            <w:tcW w:w="6662" w:type="dxa"/>
          </w:tcPr>
          <w:p w14:paraId="418CBF45" w14:textId="77777777" w:rsidR="0024577D" w:rsidRPr="00503987" w:rsidRDefault="0024577D" w:rsidP="00EF5AF2">
            <w:pPr>
              <w:jc w:val="both"/>
              <w:rPr>
                <w:rFonts w:ascii="Arial" w:hAnsi="Arial" w:cs="Arial"/>
                <w:b/>
                <w:sz w:val="22"/>
                <w:szCs w:val="22"/>
                <w:lang w:val="es-MX"/>
              </w:rPr>
            </w:pPr>
            <w:r w:rsidRPr="00503987">
              <w:rPr>
                <w:rFonts w:ascii="Arial" w:hAnsi="Arial" w:cs="Arial"/>
                <w:b/>
                <w:sz w:val="22"/>
                <w:szCs w:val="22"/>
                <w:lang w:val="es-MX"/>
              </w:rPr>
              <w:t>U.A.E. DE ORGANIZACIONES SOLIDARIAS.</w:t>
            </w:r>
          </w:p>
        </w:tc>
        <w:tc>
          <w:tcPr>
            <w:tcW w:w="2268" w:type="dxa"/>
          </w:tcPr>
          <w:p w14:paraId="4F928837" w14:textId="77777777" w:rsidR="0024577D" w:rsidRPr="00503987" w:rsidRDefault="0024577D" w:rsidP="00EF5AF2">
            <w:pPr>
              <w:ind w:right="-234"/>
              <w:jc w:val="center"/>
              <w:rPr>
                <w:rFonts w:ascii="Arial" w:hAnsi="Arial" w:cs="Arial"/>
                <w:b/>
                <w:sz w:val="22"/>
                <w:szCs w:val="22"/>
                <w:u w:val="single"/>
                <w:lang w:val="es-MX"/>
              </w:rPr>
            </w:pPr>
            <w:r>
              <w:rPr>
                <w:rFonts w:ascii="Arial" w:hAnsi="Arial" w:cs="Arial"/>
                <w:b/>
                <w:sz w:val="22"/>
                <w:szCs w:val="22"/>
                <w:u w:val="single"/>
                <w:lang w:val="es-MX"/>
              </w:rPr>
              <w:t>46.57%</w:t>
            </w:r>
          </w:p>
        </w:tc>
      </w:tr>
      <w:tr w:rsidR="0024577D" w:rsidRPr="003D6EE0" w14:paraId="7E0C7D61" w14:textId="77777777" w:rsidTr="0024577D">
        <w:tc>
          <w:tcPr>
            <w:tcW w:w="1555" w:type="dxa"/>
          </w:tcPr>
          <w:p w14:paraId="364C6F16" w14:textId="77777777" w:rsidR="0024577D" w:rsidRDefault="0024577D" w:rsidP="00EF5AF2">
            <w:pPr>
              <w:ind w:right="-112"/>
              <w:jc w:val="center"/>
              <w:rPr>
                <w:rFonts w:ascii="Arial" w:hAnsi="Arial" w:cs="Arial"/>
                <w:b/>
              </w:rPr>
            </w:pPr>
            <w:r>
              <w:rPr>
                <w:rFonts w:ascii="Arial" w:hAnsi="Arial" w:cs="Arial"/>
                <w:b/>
              </w:rPr>
              <w:t>310</w:t>
            </w:r>
          </w:p>
        </w:tc>
        <w:tc>
          <w:tcPr>
            <w:tcW w:w="6662" w:type="dxa"/>
          </w:tcPr>
          <w:p w14:paraId="2D4E7F80" w14:textId="77777777" w:rsidR="0024577D" w:rsidRPr="0020544D" w:rsidRDefault="0024577D" w:rsidP="00EF5AF2">
            <w:pPr>
              <w:jc w:val="both"/>
              <w:rPr>
                <w:rFonts w:ascii="Arial" w:hAnsi="Arial" w:cs="Arial"/>
                <w:b/>
                <w:sz w:val="22"/>
                <w:szCs w:val="22"/>
                <w:lang w:val="es-MX"/>
              </w:rPr>
            </w:pPr>
            <w:r w:rsidRPr="0020544D">
              <w:rPr>
                <w:rFonts w:ascii="Arial" w:hAnsi="Arial" w:cs="Arial"/>
                <w:b/>
                <w:sz w:val="22"/>
                <w:szCs w:val="22"/>
                <w:lang w:val="es-MX"/>
              </w:rPr>
              <w:t xml:space="preserve">INSTITUTO NACIONAL DE MEDICINA LEGAL Y CIENCIAS FORENSES. </w:t>
            </w:r>
          </w:p>
        </w:tc>
        <w:tc>
          <w:tcPr>
            <w:tcW w:w="2268" w:type="dxa"/>
          </w:tcPr>
          <w:p w14:paraId="377E298B" w14:textId="77777777" w:rsidR="0024577D" w:rsidRPr="0020544D" w:rsidRDefault="0024577D" w:rsidP="00EF5AF2">
            <w:pPr>
              <w:ind w:right="-234"/>
              <w:jc w:val="center"/>
              <w:rPr>
                <w:rFonts w:ascii="Arial" w:hAnsi="Arial" w:cs="Arial"/>
                <w:b/>
                <w:sz w:val="22"/>
                <w:szCs w:val="22"/>
                <w:u w:val="single"/>
                <w:lang w:val="es-MX"/>
              </w:rPr>
            </w:pPr>
            <w:r w:rsidRPr="0020544D">
              <w:rPr>
                <w:rFonts w:ascii="Arial" w:hAnsi="Arial" w:cs="Arial"/>
                <w:b/>
                <w:sz w:val="22"/>
                <w:szCs w:val="22"/>
                <w:u w:val="single"/>
                <w:lang w:val="es-MX"/>
              </w:rPr>
              <w:t>93.10%</w:t>
            </w:r>
          </w:p>
        </w:tc>
      </w:tr>
      <w:tr w:rsidR="0024577D" w:rsidRPr="003D6EE0" w14:paraId="15D01CB0" w14:textId="77777777" w:rsidTr="0024577D">
        <w:tc>
          <w:tcPr>
            <w:tcW w:w="1555" w:type="dxa"/>
          </w:tcPr>
          <w:p w14:paraId="4032E1CF" w14:textId="77777777" w:rsidR="0024577D" w:rsidRDefault="0024577D" w:rsidP="00EF5AF2">
            <w:pPr>
              <w:ind w:right="-112"/>
              <w:jc w:val="center"/>
              <w:rPr>
                <w:rFonts w:ascii="Arial" w:hAnsi="Arial" w:cs="Arial"/>
                <w:b/>
              </w:rPr>
            </w:pPr>
            <w:r>
              <w:rPr>
                <w:rFonts w:ascii="Arial" w:hAnsi="Arial" w:cs="Arial"/>
                <w:b/>
              </w:rPr>
              <w:t>313</w:t>
            </w:r>
          </w:p>
        </w:tc>
        <w:tc>
          <w:tcPr>
            <w:tcW w:w="6662" w:type="dxa"/>
          </w:tcPr>
          <w:p w14:paraId="7B0D8781" w14:textId="77777777" w:rsidR="0024577D" w:rsidRPr="00A14204" w:rsidRDefault="0024577D" w:rsidP="00EF5AF2">
            <w:pPr>
              <w:jc w:val="both"/>
              <w:rPr>
                <w:rFonts w:ascii="Arial" w:hAnsi="Arial" w:cs="Arial"/>
                <w:b/>
                <w:sz w:val="22"/>
                <w:szCs w:val="22"/>
                <w:lang w:val="es-MX"/>
              </w:rPr>
            </w:pPr>
            <w:r w:rsidRPr="00A14204">
              <w:rPr>
                <w:rFonts w:ascii="Arial" w:hAnsi="Arial" w:cs="Arial"/>
                <w:b/>
                <w:sz w:val="22"/>
                <w:szCs w:val="22"/>
                <w:lang w:val="es-MX"/>
              </w:rPr>
              <w:t xml:space="preserve"> INSTITUTO TÉCNICO NACIONAL DE COMERCIO “SIMÓN RODRÍGUEZ” DE CALI – INTENALCO.</w:t>
            </w:r>
          </w:p>
        </w:tc>
        <w:tc>
          <w:tcPr>
            <w:tcW w:w="2268" w:type="dxa"/>
          </w:tcPr>
          <w:p w14:paraId="511460BD" w14:textId="77777777" w:rsidR="0024577D" w:rsidRPr="00A14204" w:rsidRDefault="0024577D" w:rsidP="00EF5AF2">
            <w:pPr>
              <w:ind w:right="-234"/>
              <w:jc w:val="center"/>
              <w:rPr>
                <w:rFonts w:ascii="Arial" w:hAnsi="Arial" w:cs="Arial"/>
                <w:b/>
                <w:sz w:val="22"/>
                <w:szCs w:val="22"/>
                <w:u w:val="single"/>
                <w:lang w:val="es-MX"/>
              </w:rPr>
            </w:pPr>
            <w:r w:rsidRPr="00A14204">
              <w:rPr>
                <w:rFonts w:ascii="Arial" w:hAnsi="Arial" w:cs="Arial"/>
                <w:b/>
                <w:sz w:val="22"/>
                <w:szCs w:val="22"/>
                <w:u w:val="single"/>
                <w:lang w:val="es-MX"/>
              </w:rPr>
              <w:t>97.83%</w:t>
            </w:r>
          </w:p>
        </w:tc>
      </w:tr>
      <w:tr w:rsidR="0024577D" w:rsidRPr="003D6EE0" w14:paraId="0BEE9ADA" w14:textId="77777777" w:rsidTr="0024577D">
        <w:tc>
          <w:tcPr>
            <w:tcW w:w="1555" w:type="dxa"/>
          </w:tcPr>
          <w:p w14:paraId="6BE9403C" w14:textId="77777777" w:rsidR="0024577D" w:rsidRDefault="0024577D" w:rsidP="00EF5AF2">
            <w:pPr>
              <w:ind w:right="-112"/>
              <w:jc w:val="center"/>
              <w:rPr>
                <w:rFonts w:ascii="Arial" w:hAnsi="Arial" w:cs="Arial"/>
                <w:b/>
              </w:rPr>
            </w:pPr>
            <w:r>
              <w:rPr>
                <w:rFonts w:ascii="Arial" w:hAnsi="Arial" w:cs="Arial"/>
                <w:b/>
              </w:rPr>
              <w:lastRenderedPageBreak/>
              <w:t>315</w:t>
            </w:r>
          </w:p>
        </w:tc>
        <w:tc>
          <w:tcPr>
            <w:tcW w:w="6662" w:type="dxa"/>
          </w:tcPr>
          <w:p w14:paraId="6E5235C1" w14:textId="77777777" w:rsidR="0024577D" w:rsidRPr="00FE3012" w:rsidRDefault="0024577D" w:rsidP="00EF5AF2">
            <w:pPr>
              <w:ind w:right="39"/>
              <w:jc w:val="both"/>
              <w:rPr>
                <w:rFonts w:ascii="Arial" w:hAnsi="Arial" w:cs="Arial"/>
                <w:b/>
                <w:sz w:val="22"/>
                <w:szCs w:val="22"/>
                <w:lang w:val="es-MX"/>
              </w:rPr>
            </w:pPr>
            <w:r w:rsidRPr="00FE3012">
              <w:rPr>
                <w:rFonts w:ascii="Arial" w:hAnsi="Arial" w:cs="Arial"/>
                <w:b/>
                <w:sz w:val="22"/>
                <w:szCs w:val="22"/>
                <w:lang w:val="es-MX"/>
              </w:rPr>
              <w:t>CORPORACIÓN AUTÓNOMA REGIONAL DE BOYACÁ – CORPOBOYACÁ.</w:t>
            </w:r>
          </w:p>
        </w:tc>
        <w:tc>
          <w:tcPr>
            <w:tcW w:w="2268" w:type="dxa"/>
          </w:tcPr>
          <w:p w14:paraId="62E525F9" w14:textId="77777777" w:rsidR="0024577D" w:rsidRPr="00FE3012" w:rsidRDefault="0024577D" w:rsidP="00EF5AF2">
            <w:pPr>
              <w:ind w:right="-234"/>
              <w:jc w:val="center"/>
              <w:rPr>
                <w:rFonts w:ascii="Arial" w:hAnsi="Arial" w:cs="Arial"/>
                <w:b/>
                <w:sz w:val="22"/>
                <w:szCs w:val="22"/>
                <w:u w:val="single"/>
                <w:lang w:val="es-MX"/>
              </w:rPr>
            </w:pPr>
            <w:r w:rsidRPr="00FE3012">
              <w:rPr>
                <w:rFonts w:ascii="Arial" w:hAnsi="Arial" w:cs="Arial"/>
                <w:b/>
                <w:sz w:val="22"/>
                <w:szCs w:val="22"/>
                <w:u w:val="single"/>
                <w:lang w:val="es-MX"/>
              </w:rPr>
              <w:t>88..00%</w:t>
            </w:r>
          </w:p>
        </w:tc>
      </w:tr>
      <w:tr w:rsidR="0024577D" w:rsidRPr="003D6EE0" w14:paraId="66579F87" w14:textId="77777777" w:rsidTr="0024577D">
        <w:tc>
          <w:tcPr>
            <w:tcW w:w="1555" w:type="dxa"/>
          </w:tcPr>
          <w:p w14:paraId="5BB7450E" w14:textId="77777777" w:rsidR="0024577D" w:rsidRDefault="0024577D" w:rsidP="00EF5AF2">
            <w:pPr>
              <w:ind w:right="-112"/>
              <w:jc w:val="center"/>
              <w:rPr>
                <w:rFonts w:ascii="Arial" w:hAnsi="Arial" w:cs="Arial"/>
                <w:b/>
              </w:rPr>
            </w:pPr>
            <w:r>
              <w:rPr>
                <w:rFonts w:ascii="Arial" w:hAnsi="Arial" w:cs="Arial"/>
                <w:b/>
              </w:rPr>
              <w:t>316</w:t>
            </w:r>
          </w:p>
        </w:tc>
        <w:tc>
          <w:tcPr>
            <w:tcW w:w="6662" w:type="dxa"/>
          </w:tcPr>
          <w:p w14:paraId="20E11C34" w14:textId="77777777" w:rsidR="0024577D" w:rsidRPr="000D7961" w:rsidRDefault="0024577D" w:rsidP="00EF5AF2">
            <w:pPr>
              <w:jc w:val="both"/>
              <w:rPr>
                <w:rFonts w:ascii="Arial" w:hAnsi="Arial" w:cs="Arial"/>
                <w:b/>
                <w:sz w:val="22"/>
                <w:szCs w:val="22"/>
                <w:lang w:val="es-MX"/>
              </w:rPr>
            </w:pPr>
            <w:r w:rsidRPr="003C1C90">
              <w:rPr>
                <w:rFonts w:ascii="Arial" w:hAnsi="Arial" w:cs="Arial"/>
                <w:b/>
                <w:sz w:val="22"/>
                <w:szCs w:val="22"/>
                <w:lang w:val="es-MX"/>
              </w:rPr>
              <w:t xml:space="preserve">SUPERINTENDENCIA FINANCIERA DE COLOMBIA. </w:t>
            </w:r>
          </w:p>
        </w:tc>
        <w:tc>
          <w:tcPr>
            <w:tcW w:w="2268" w:type="dxa"/>
          </w:tcPr>
          <w:p w14:paraId="7703C2DD" w14:textId="77777777" w:rsidR="0024577D" w:rsidRPr="003C1C90" w:rsidRDefault="0024577D" w:rsidP="00EF5AF2">
            <w:pPr>
              <w:ind w:right="-234"/>
              <w:jc w:val="center"/>
              <w:rPr>
                <w:rFonts w:ascii="Arial" w:hAnsi="Arial" w:cs="Arial"/>
                <w:b/>
                <w:sz w:val="22"/>
                <w:szCs w:val="22"/>
                <w:u w:val="single"/>
                <w:lang w:val="es-MX"/>
              </w:rPr>
            </w:pPr>
            <w:r w:rsidRPr="003C1C90">
              <w:rPr>
                <w:rFonts w:ascii="Arial" w:hAnsi="Arial" w:cs="Arial"/>
                <w:b/>
                <w:sz w:val="22"/>
                <w:szCs w:val="22"/>
                <w:u w:val="single"/>
                <w:lang w:val="es-MX"/>
              </w:rPr>
              <w:t>94.50%</w:t>
            </w:r>
          </w:p>
        </w:tc>
      </w:tr>
      <w:tr w:rsidR="0024577D" w:rsidRPr="003D6EE0" w14:paraId="64AD7CA3" w14:textId="77777777" w:rsidTr="0024577D">
        <w:tc>
          <w:tcPr>
            <w:tcW w:w="1555" w:type="dxa"/>
          </w:tcPr>
          <w:p w14:paraId="4A8FF900" w14:textId="77777777" w:rsidR="0024577D" w:rsidRDefault="0024577D" w:rsidP="00EF5AF2">
            <w:pPr>
              <w:ind w:right="-112"/>
              <w:jc w:val="center"/>
              <w:rPr>
                <w:rFonts w:ascii="Arial" w:hAnsi="Arial" w:cs="Arial"/>
                <w:b/>
              </w:rPr>
            </w:pPr>
            <w:r>
              <w:rPr>
                <w:rFonts w:ascii="Arial" w:hAnsi="Arial" w:cs="Arial"/>
                <w:b/>
              </w:rPr>
              <w:t>323</w:t>
            </w:r>
          </w:p>
        </w:tc>
        <w:tc>
          <w:tcPr>
            <w:tcW w:w="6662" w:type="dxa"/>
          </w:tcPr>
          <w:p w14:paraId="1050519D" w14:textId="77777777" w:rsidR="0024577D" w:rsidRPr="000D7961" w:rsidRDefault="0024577D" w:rsidP="00EF5AF2">
            <w:pPr>
              <w:ind w:right="-234"/>
              <w:jc w:val="both"/>
              <w:rPr>
                <w:rFonts w:ascii="Arial" w:hAnsi="Arial" w:cs="Arial"/>
                <w:b/>
                <w:sz w:val="22"/>
                <w:szCs w:val="22"/>
                <w:lang w:val="es-MX"/>
              </w:rPr>
            </w:pPr>
            <w:r w:rsidRPr="000D7961">
              <w:rPr>
                <w:rFonts w:ascii="Arial" w:hAnsi="Arial" w:cs="Arial"/>
                <w:b/>
                <w:sz w:val="22"/>
                <w:szCs w:val="22"/>
                <w:lang w:val="es-MX"/>
              </w:rPr>
              <w:t>MINISTERIO DE HACIENDA Y CRÉDITO PÚBLICO – GESTIÓN GENERAL.</w:t>
            </w:r>
          </w:p>
        </w:tc>
        <w:tc>
          <w:tcPr>
            <w:tcW w:w="2268" w:type="dxa"/>
          </w:tcPr>
          <w:p w14:paraId="7457BAFD" w14:textId="77777777" w:rsidR="0024577D" w:rsidRPr="000D7961" w:rsidRDefault="0024577D" w:rsidP="00EF5AF2">
            <w:pPr>
              <w:ind w:right="-234"/>
              <w:jc w:val="center"/>
              <w:rPr>
                <w:rFonts w:ascii="Arial" w:hAnsi="Arial" w:cs="Arial"/>
                <w:b/>
                <w:sz w:val="22"/>
                <w:szCs w:val="22"/>
                <w:u w:val="single"/>
                <w:lang w:val="es-MX"/>
              </w:rPr>
            </w:pPr>
            <w:r w:rsidRPr="000D7961">
              <w:rPr>
                <w:rFonts w:ascii="Arial" w:hAnsi="Arial" w:cs="Arial"/>
                <w:b/>
                <w:sz w:val="22"/>
                <w:szCs w:val="22"/>
                <w:u w:val="single"/>
                <w:lang w:val="es-MX"/>
              </w:rPr>
              <w:t>95.40%</w:t>
            </w:r>
          </w:p>
        </w:tc>
      </w:tr>
      <w:tr w:rsidR="0024577D" w:rsidRPr="003D6EE0" w14:paraId="1E0A911B" w14:textId="77777777" w:rsidTr="0024577D">
        <w:tc>
          <w:tcPr>
            <w:tcW w:w="1555" w:type="dxa"/>
          </w:tcPr>
          <w:p w14:paraId="6E935573" w14:textId="77777777" w:rsidR="0024577D" w:rsidRDefault="0024577D" w:rsidP="00EF5AF2">
            <w:pPr>
              <w:ind w:right="-112"/>
              <w:jc w:val="center"/>
              <w:rPr>
                <w:rFonts w:ascii="Arial" w:hAnsi="Arial" w:cs="Arial"/>
                <w:b/>
              </w:rPr>
            </w:pPr>
            <w:r>
              <w:rPr>
                <w:rFonts w:ascii="Arial" w:hAnsi="Arial" w:cs="Arial"/>
                <w:b/>
              </w:rPr>
              <w:t>329</w:t>
            </w:r>
          </w:p>
        </w:tc>
        <w:tc>
          <w:tcPr>
            <w:tcW w:w="6662" w:type="dxa"/>
          </w:tcPr>
          <w:p w14:paraId="25420D9F" w14:textId="77777777" w:rsidR="0024577D" w:rsidRPr="00374307" w:rsidRDefault="0024577D" w:rsidP="00EF5AF2">
            <w:pPr>
              <w:jc w:val="both"/>
              <w:rPr>
                <w:rFonts w:ascii="Arial" w:hAnsi="Arial" w:cs="Arial"/>
                <w:b/>
                <w:sz w:val="22"/>
                <w:szCs w:val="22"/>
                <w:lang w:val="es-MX"/>
              </w:rPr>
            </w:pPr>
            <w:r w:rsidRPr="00374307">
              <w:rPr>
                <w:rFonts w:ascii="Arial" w:hAnsi="Arial" w:cs="Arial"/>
                <w:b/>
                <w:sz w:val="22"/>
                <w:szCs w:val="22"/>
                <w:lang w:val="es-MX"/>
              </w:rPr>
              <w:t xml:space="preserve">SERVICIO NACIONAL DE APRENDIZAJE – SENA. </w:t>
            </w:r>
          </w:p>
        </w:tc>
        <w:tc>
          <w:tcPr>
            <w:tcW w:w="2268" w:type="dxa"/>
          </w:tcPr>
          <w:p w14:paraId="72115584" w14:textId="77777777" w:rsidR="0024577D" w:rsidRPr="00374307" w:rsidRDefault="0024577D" w:rsidP="00EF5AF2">
            <w:pPr>
              <w:ind w:right="-234"/>
              <w:jc w:val="center"/>
              <w:rPr>
                <w:rFonts w:ascii="Arial" w:hAnsi="Arial" w:cs="Arial"/>
                <w:b/>
                <w:sz w:val="22"/>
                <w:szCs w:val="22"/>
                <w:u w:val="single"/>
                <w:lang w:val="es-MX"/>
              </w:rPr>
            </w:pPr>
            <w:r w:rsidRPr="00374307">
              <w:rPr>
                <w:rFonts w:ascii="Arial" w:hAnsi="Arial" w:cs="Arial"/>
                <w:b/>
                <w:sz w:val="22"/>
                <w:szCs w:val="22"/>
                <w:u w:val="single"/>
                <w:lang w:val="es-MX"/>
              </w:rPr>
              <w:t>92.36%</w:t>
            </w:r>
          </w:p>
        </w:tc>
      </w:tr>
      <w:tr w:rsidR="0024577D" w:rsidRPr="003D6EE0" w14:paraId="21021351" w14:textId="77777777" w:rsidTr="0024577D">
        <w:tc>
          <w:tcPr>
            <w:tcW w:w="1555" w:type="dxa"/>
          </w:tcPr>
          <w:p w14:paraId="166D7EDF" w14:textId="77777777" w:rsidR="0024577D" w:rsidRDefault="0024577D" w:rsidP="00EF5AF2">
            <w:pPr>
              <w:ind w:right="-112"/>
              <w:jc w:val="center"/>
              <w:rPr>
                <w:rFonts w:ascii="Arial" w:hAnsi="Arial" w:cs="Arial"/>
                <w:b/>
              </w:rPr>
            </w:pPr>
            <w:r>
              <w:rPr>
                <w:rFonts w:ascii="Arial" w:hAnsi="Arial" w:cs="Arial"/>
                <w:b/>
              </w:rPr>
              <w:t>330</w:t>
            </w:r>
          </w:p>
        </w:tc>
        <w:tc>
          <w:tcPr>
            <w:tcW w:w="6662" w:type="dxa"/>
          </w:tcPr>
          <w:p w14:paraId="01A8DE1F" w14:textId="77777777" w:rsidR="0024577D" w:rsidRPr="00D61B75" w:rsidRDefault="0024577D" w:rsidP="00EF5AF2">
            <w:pPr>
              <w:jc w:val="both"/>
              <w:rPr>
                <w:rFonts w:ascii="Arial" w:hAnsi="Arial" w:cs="Arial"/>
                <w:b/>
                <w:sz w:val="22"/>
                <w:szCs w:val="22"/>
                <w:lang w:val="es-MX"/>
              </w:rPr>
            </w:pPr>
            <w:r w:rsidRPr="00D61B75">
              <w:rPr>
                <w:rFonts w:ascii="Arial" w:hAnsi="Arial" w:cs="Arial"/>
                <w:b/>
                <w:sz w:val="22"/>
                <w:szCs w:val="22"/>
                <w:lang w:val="es-MX"/>
              </w:rPr>
              <w:t>FONDO DE BIENESTAR SOCIAL CONTRALORÍA GENERAL DE LA REPÚBLICA.</w:t>
            </w:r>
          </w:p>
        </w:tc>
        <w:tc>
          <w:tcPr>
            <w:tcW w:w="2268" w:type="dxa"/>
          </w:tcPr>
          <w:p w14:paraId="465E0C13" w14:textId="77777777" w:rsidR="0024577D" w:rsidRPr="00D61B75" w:rsidRDefault="0024577D" w:rsidP="00EF5AF2">
            <w:pPr>
              <w:ind w:right="-234"/>
              <w:jc w:val="center"/>
              <w:rPr>
                <w:rFonts w:ascii="Arial" w:hAnsi="Arial" w:cs="Arial"/>
                <w:b/>
                <w:sz w:val="22"/>
                <w:szCs w:val="22"/>
                <w:u w:val="single"/>
                <w:lang w:val="es-MX"/>
              </w:rPr>
            </w:pPr>
            <w:r w:rsidRPr="00D61B75">
              <w:rPr>
                <w:rFonts w:ascii="Arial" w:hAnsi="Arial" w:cs="Arial"/>
                <w:b/>
                <w:sz w:val="22"/>
                <w:szCs w:val="22"/>
                <w:u w:val="single"/>
                <w:lang w:val="es-MX"/>
              </w:rPr>
              <w:t>97.50%</w:t>
            </w:r>
          </w:p>
        </w:tc>
      </w:tr>
      <w:tr w:rsidR="0024577D" w:rsidRPr="003D6EE0" w14:paraId="7AA00A58" w14:textId="77777777" w:rsidTr="0024577D">
        <w:tc>
          <w:tcPr>
            <w:tcW w:w="1555" w:type="dxa"/>
          </w:tcPr>
          <w:p w14:paraId="67ABC445" w14:textId="77777777" w:rsidR="0024577D" w:rsidRDefault="0024577D" w:rsidP="00EF5AF2">
            <w:pPr>
              <w:ind w:right="-112"/>
              <w:jc w:val="center"/>
              <w:rPr>
                <w:rFonts w:ascii="Arial" w:hAnsi="Arial" w:cs="Arial"/>
                <w:b/>
              </w:rPr>
            </w:pPr>
            <w:r>
              <w:rPr>
                <w:rFonts w:ascii="Arial" w:hAnsi="Arial" w:cs="Arial"/>
                <w:b/>
              </w:rPr>
              <w:t>331</w:t>
            </w:r>
          </w:p>
        </w:tc>
        <w:tc>
          <w:tcPr>
            <w:tcW w:w="6662" w:type="dxa"/>
          </w:tcPr>
          <w:p w14:paraId="43956D99" w14:textId="77777777" w:rsidR="0024577D" w:rsidRPr="00D61B75" w:rsidRDefault="0024577D" w:rsidP="00EF5AF2">
            <w:pPr>
              <w:jc w:val="both"/>
              <w:rPr>
                <w:rFonts w:ascii="Arial" w:hAnsi="Arial" w:cs="Arial"/>
                <w:b/>
                <w:lang w:val="es-MX"/>
              </w:rPr>
            </w:pPr>
            <w:r w:rsidRPr="00BE267A">
              <w:rPr>
                <w:rFonts w:ascii="Arial" w:hAnsi="Arial" w:cs="Arial"/>
                <w:b/>
                <w:lang w:val="es-MX"/>
              </w:rPr>
              <w:t>EMPRESA NACIONAL PROMOTORA DEL DESARROLLO TERRITORIAL S.A. – ENTERRITORIO.</w:t>
            </w:r>
          </w:p>
        </w:tc>
        <w:tc>
          <w:tcPr>
            <w:tcW w:w="2268" w:type="dxa"/>
          </w:tcPr>
          <w:p w14:paraId="569A5AF3" w14:textId="77777777" w:rsidR="0024577D" w:rsidRPr="00BE267A" w:rsidRDefault="0024577D" w:rsidP="00EF5AF2">
            <w:pPr>
              <w:ind w:right="-234"/>
              <w:jc w:val="center"/>
              <w:rPr>
                <w:rFonts w:ascii="Arial" w:hAnsi="Arial" w:cs="Arial"/>
                <w:b/>
                <w:sz w:val="22"/>
                <w:szCs w:val="22"/>
                <w:u w:val="single"/>
                <w:lang w:val="es-MX"/>
              </w:rPr>
            </w:pPr>
            <w:r w:rsidRPr="00BE267A">
              <w:rPr>
                <w:rFonts w:ascii="Arial" w:hAnsi="Arial" w:cs="Arial"/>
                <w:b/>
                <w:sz w:val="22"/>
                <w:szCs w:val="22"/>
                <w:u w:val="single"/>
                <w:lang w:val="es-MX"/>
              </w:rPr>
              <w:t>42.00%</w:t>
            </w:r>
          </w:p>
        </w:tc>
      </w:tr>
      <w:tr w:rsidR="0024577D" w:rsidRPr="003D6EE0" w14:paraId="395574D2" w14:textId="77777777" w:rsidTr="0024577D">
        <w:tc>
          <w:tcPr>
            <w:tcW w:w="1555" w:type="dxa"/>
          </w:tcPr>
          <w:p w14:paraId="68B9CBA6" w14:textId="77777777" w:rsidR="0024577D" w:rsidRDefault="0024577D" w:rsidP="00EF5AF2">
            <w:pPr>
              <w:ind w:right="-112"/>
              <w:jc w:val="center"/>
              <w:rPr>
                <w:rFonts w:ascii="Arial" w:hAnsi="Arial" w:cs="Arial"/>
                <w:b/>
              </w:rPr>
            </w:pPr>
            <w:r>
              <w:rPr>
                <w:rFonts w:ascii="Arial" w:hAnsi="Arial" w:cs="Arial"/>
                <w:b/>
              </w:rPr>
              <w:t>332</w:t>
            </w:r>
          </w:p>
        </w:tc>
        <w:tc>
          <w:tcPr>
            <w:tcW w:w="6662" w:type="dxa"/>
          </w:tcPr>
          <w:p w14:paraId="3AC69EE9" w14:textId="77777777" w:rsidR="0024577D" w:rsidRPr="007948FC" w:rsidRDefault="0024577D" w:rsidP="00EF5AF2">
            <w:pPr>
              <w:jc w:val="both"/>
              <w:rPr>
                <w:rFonts w:ascii="Arial" w:hAnsi="Arial" w:cs="Arial"/>
                <w:b/>
                <w:sz w:val="22"/>
                <w:szCs w:val="22"/>
                <w:lang w:val="es-MX"/>
              </w:rPr>
            </w:pPr>
            <w:r w:rsidRPr="007948FC">
              <w:rPr>
                <w:rFonts w:ascii="Arial" w:hAnsi="Arial" w:cs="Arial"/>
                <w:b/>
                <w:sz w:val="22"/>
                <w:szCs w:val="22"/>
                <w:lang w:val="es-MX"/>
              </w:rPr>
              <w:t xml:space="preserve">MINISTERIO DE RELACIONES EXTERIORES. </w:t>
            </w:r>
          </w:p>
        </w:tc>
        <w:tc>
          <w:tcPr>
            <w:tcW w:w="2268" w:type="dxa"/>
          </w:tcPr>
          <w:p w14:paraId="70CB10EE" w14:textId="77777777" w:rsidR="0024577D" w:rsidRPr="007948FC" w:rsidRDefault="0024577D" w:rsidP="00EF5AF2">
            <w:pPr>
              <w:ind w:right="-234"/>
              <w:jc w:val="center"/>
              <w:rPr>
                <w:rFonts w:ascii="Arial" w:hAnsi="Arial" w:cs="Arial"/>
                <w:b/>
                <w:sz w:val="22"/>
                <w:szCs w:val="22"/>
                <w:u w:val="single"/>
                <w:lang w:val="es-MX"/>
              </w:rPr>
            </w:pPr>
            <w:r w:rsidRPr="007948FC">
              <w:rPr>
                <w:rFonts w:ascii="Arial" w:hAnsi="Arial" w:cs="Arial"/>
                <w:b/>
                <w:sz w:val="22"/>
                <w:szCs w:val="22"/>
                <w:u w:val="single"/>
                <w:lang w:val="es-MX"/>
              </w:rPr>
              <w:t>86.00%</w:t>
            </w:r>
          </w:p>
        </w:tc>
      </w:tr>
      <w:tr w:rsidR="0024577D" w:rsidRPr="003D6EE0" w14:paraId="6C028AE8" w14:textId="77777777" w:rsidTr="0024577D">
        <w:tc>
          <w:tcPr>
            <w:tcW w:w="1555" w:type="dxa"/>
          </w:tcPr>
          <w:p w14:paraId="1E6F6798" w14:textId="77777777" w:rsidR="0024577D" w:rsidRDefault="0024577D" w:rsidP="00EF5AF2">
            <w:pPr>
              <w:ind w:right="-112"/>
              <w:jc w:val="center"/>
              <w:rPr>
                <w:rFonts w:ascii="Arial" w:hAnsi="Arial" w:cs="Arial"/>
                <w:b/>
              </w:rPr>
            </w:pPr>
            <w:r>
              <w:rPr>
                <w:rFonts w:ascii="Arial" w:hAnsi="Arial" w:cs="Arial"/>
                <w:b/>
              </w:rPr>
              <w:t>333</w:t>
            </w:r>
          </w:p>
        </w:tc>
        <w:tc>
          <w:tcPr>
            <w:tcW w:w="6662" w:type="dxa"/>
          </w:tcPr>
          <w:p w14:paraId="32E5FAC0" w14:textId="77777777" w:rsidR="0024577D" w:rsidRPr="00B7429D" w:rsidRDefault="0024577D" w:rsidP="00EF5AF2">
            <w:pPr>
              <w:jc w:val="both"/>
              <w:rPr>
                <w:rFonts w:ascii="Arial" w:hAnsi="Arial" w:cs="Arial"/>
                <w:b/>
                <w:sz w:val="22"/>
                <w:szCs w:val="22"/>
                <w:lang w:val="es-MX"/>
              </w:rPr>
            </w:pPr>
            <w:r w:rsidRPr="00B7429D">
              <w:rPr>
                <w:rFonts w:ascii="Arial" w:hAnsi="Arial" w:cs="Arial"/>
                <w:b/>
                <w:sz w:val="22"/>
                <w:szCs w:val="22"/>
                <w:lang w:val="es-MX"/>
              </w:rPr>
              <w:t>FONDO ROTATORIO DEL MINISTERIO DE RELACIONES EXTERIORES.</w:t>
            </w:r>
          </w:p>
        </w:tc>
        <w:tc>
          <w:tcPr>
            <w:tcW w:w="2268" w:type="dxa"/>
          </w:tcPr>
          <w:p w14:paraId="3BD16AFF" w14:textId="77777777" w:rsidR="0024577D" w:rsidRPr="00B7429D" w:rsidRDefault="0024577D" w:rsidP="00EF5AF2">
            <w:pPr>
              <w:ind w:right="-234"/>
              <w:jc w:val="center"/>
              <w:rPr>
                <w:rFonts w:ascii="Arial" w:hAnsi="Arial" w:cs="Arial"/>
                <w:b/>
                <w:sz w:val="22"/>
                <w:szCs w:val="22"/>
                <w:u w:val="single"/>
                <w:lang w:val="es-MX"/>
              </w:rPr>
            </w:pPr>
            <w:r w:rsidRPr="00B7429D">
              <w:rPr>
                <w:rFonts w:ascii="Arial" w:hAnsi="Arial" w:cs="Arial"/>
                <w:b/>
                <w:sz w:val="22"/>
                <w:szCs w:val="22"/>
                <w:u w:val="single"/>
                <w:lang w:val="es-MX"/>
              </w:rPr>
              <w:t>97.00%</w:t>
            </w:r>
          </w:p>
        </w:tc>
      </w:tr>
      <w:tr w:rsidR="0024577D" w:rsidRPr="003D6EE0" w14:paraId="246E6BEC" w14:textId="77777777" w:rsidTr="0024577D">
        <w:tc>
          <w:tcPr>
            <w:tcW w:w="1555" w:type="dxa"/>
          </w:tcPr>
          <w:p w14:paraId="3897D10E" w14:textId="77777777" w:rsidR="0024577D" w:rsidRDefault="0024577D" w:rsidP="00EF5AF2">
            <w:pPr>
              <w:ind w:right="-112"/>
              <w:jc w:val="center"/>
              <w:rPr>
                <w:rFonts w:ascii="Arial" w:hAnsi="Arial" w:cs="Arial"/>
                <w:b/>
              </w:rPr>
            </w:pPr>
            <w:r>
              <w:rPr>
                <w:rFonts w:ascii="Arial" w:hAnsi="Arial" w:cs="Arial"/>
                <w:b/>
              </w:rPr>
              <w:t>338</w:t>
            </w:r>
          </w:p>
        </w:tc>
        <w:tc>
          <w:tcPr>
            <w:tcW w:w="6662" w:type="dxa"/>
          </w:tcPr>
          <w:p w14:paraId="333BD9C8" w14:textId="77777777" w:rsidR="0024577D" w:rsidRPr="00747A26" w:rsidRDefault="0024577D" w:rsidP="00EF5AF2">
            <w:pPr>
              <w:pStyle w:val="Prrafodelista"/>
              <w:ind w:left="0"/>
              <w:jc w:val="both"/>
              <w:rPr>
                <w:rFonts w:ascii="Arial" w:hAnsi="Arial" w:cs="Arial"/>
                <w:b/>
                <w:sz w:val="22"/>
                <w:szCs w:val="22"/>
                <w:lang w:val="es-MX"/>
              </w:rPr>
            </w:pPr>
            <w:r w:rsidRPr="00747A26">
              <w:rPr>
                <w:rFonts w:ascii="Arial" w:hAnsi="Arial" w:cs="Arial"/>
                <w:b/>
                <w:sz w:val="22"/>
                <w:szCs w:val="22"/>
                <w:lang w:val="es-MX"/>
              </w:rPr>
              <w:t>FONDO DE PASIVO SOCIAL FERROCARRILES NACIONALES DE COLOMBIA.</w:t>
            </w:r>
          </w:p>
        </w:tc>
        <w:tc>
          <w:tcPr>
            <w:tcW w:w="2268" w:type="dxa"/>
          </w:tcPr>
          <w:p w14:paraId="1A1EA360" w14:textId="77777777" w:rsidR="0024577D" w:rsidRPr="00747A26" w:rsidRDefault="0024577D" w:rsidP="00EF5AF2">
            <w:pPr>
              <w:ind w:right="-234"/>
              <w:jc w:val="center"/>
              <w:rPr>
                <w:rFonts w:ascii="Arial" w:hAnsi="Arial" w:cs="Arial"/>
                <w:b/>
                <w:sz w:val="22"/>
                <w:szCs w:val="22"/>
                <w:u w:val="single"/>
                <w:lang w:val="es-MX"/>
              </w:rPr>
            </w:pPr>
            <w:r w:rsidRPr="00747A26">
              <w:rPr>
                <w:rFonts w:ascii="Arial" w:hAnsi="Arial" w:cs="Arial"/>
                <w:b/>
                <w:sz w:val="22"/>
                <w:szCs w:val="22"/>
                <w:u w:val="single"/>
                <w:lang w:val="es-MX"/>
              </w:rPr>
              <w:t>81.60%</w:t>
            </w:r>
          </w:p>
        </w:tc>
      </w:tr>
      <w:tr w:rsidR="0024577D" w:rsidRPr="003D6EE0" w14:paraId="1817E9BA" w14:textId="77777777" w:rsidTr="0024577D">
        <w:tc>
          <w:tcPr>
            <w:tcW w:w="1555" w:type="dxa"/>
          </w:tcPr>
          <w:p w14:paraId="3B2F129A" w14:textId="77777777" w:rsidR="0024577D" w:rsidRDefault="0024577D" w:rsidP="00EF5AF2">
            <w:pPr>
              <w:ind w:right="-112"/>
              <w:jc w:val="center"/>
              <w:rPr>
                <w:rFonts w:ascii="Arial" w:hAnsi="Arial" w:cs="Arial"/>
                <w:b/>
              </w:rPr>
            </w:pPr>
            <w:r>
              <w:rPr>
                <w:rFonts w:ascii="Arial" w:hAnsi="Arial" w:cs="Arial"/>
                <w:b/>
              </w:rPr>
              <w:t>343</w:t>
            </w:r>
          </w:p>
        </w:tc>
        <w:tc>
          <w:tcPr>
            <w:tcW w:w="6662" w:type="dxa"/>
          </w:tcPr>
          <w:p w14:paraId="17E97DEE" w14:textId="77777777" w:rsidR="0024577D" w:rsidRPr="008C2533" w:rsidRDefault="0024577D" w:rsidP="00EF5AF2">
            <w:pPr>
              <w:jc w:val="both"/>
              <w:rPr>
                <w:rFonts w:ascii="Arial" w:hAnsi="Arial" w:cs="Arial"/>
                <w:b/>
                <w:sz w:val="22"/>
                <w:szCs w:val="22"/>
                <w:lang w:val="es-MX"/>
              </w:rPr>
            </w:pPr>
            <w:r w:rsidRPr="008C2533">
              <w:rPr>
                <w:rFonts w:ascii="Arial" w:hAnsi="Arial" w:cs="Arial"/>
                <w:b/>
                <w:sz w:val="22"/>
                <w:szCs w:val="22"/>
                <w:lang w:val="es-MX"/>
              </w:rPr>
              <w:t>AGENCIA NACIONAL DE TIERRAS - ANT.</w:t>
            </w:r>
          </w:p>
        </w:tc>
        <w:tc>
          <w:tcPr>
            <w:tcW w:w="2268" w:type="dxa"/>
          </w:tcPr>
          <w:p w14:paraId="7390E115" w14:textId="77777777" w:rsidR="0024577D" w:rsidRPr="008C2533" w:rsidRDefault="0024577D" w:rsidP="00EF5AF2">
            <w:pPr>
              <w:ind w:right="-234"/>
              <w:jc w:val="center"/>
              <w:rPr>
                <w:rFonts w:ascii="Arial" w:hAnsi="Arial" w:cs="Arial"/>
                <w:b/>
                <w:sz w:val="22"/>
                <w:szCs w:val="22"/>
                <w:u w:val="single"/>
                <w:lang w:val="es-MX"/>
              </w:rPr>
            </w:pPr>
            <w:r w:rsidRPr="008C2533">
              <w:rPr>
                <w:rFonts w:ascii="Arial" w:hAnsi="Arial" w:cs="Arial"/>
                <w:b/>
                <w:sz w:val="22"/>
                <w:szCs w:val="22"/>
                <w:u w:val="single"/>
                <w:lang w:val="es-MX"/>
              </w:rPr>
              <w:t>45.00%</w:t>
            </w:r>
          </w:p>
        </w:tc>
      </w:tr>
      <w:tr w:rsidR="0024577D" w:rsidRPr="003D6EE0" w14:paraId="0A51E7BF" w14:textId="77777777" w:rsidTr="0024577D">
        <w:tc>
          <w:tcPr>
            <w:tcW w:w="1555" w:type="dxa"/>
          </w:tcPr>
          <w:p w14:paraId="686E4B3A" w14:textId="77777777" w:rsidR="0024577D" w:rsidRDefault="0024577D" w:rsidP="00EF5AF2">
            <w:pPr>
              <w:ind w:right="-112"/>
              <w:jc w:val="center"/>
              <w:rPr>
                <w:rFonts w:ascii="Arial" w:hAnsi="Arial" w:cs="Arial"/>
                <w:b/>
              </w:rPr>
            </w:pPr>
            <w:r>
              <w:rPr>
                <w:rFonts w:ascii="Arial" w:hAnsi="Arial" w:cs="Arial"/>
                <w:b/>
              </w:rPr>
              <w:t>348</w:t>
            </w:r>
          </w:p>
        </w:tc>
        <w:tc>
          <w:tcPr>
            <w:tcW w:w="6662" w:type="dxa"/>
          </w:tcPr>
          <w:p w14:paraId="6A48D4EC" w14:textId="77777777" w:rsidR="0024577D" w:rsidRPr="00A51106" w:rsidRDefault="0024577D" w:rsidP="00EF5AF2">
            <w:pPr>
              <w:jc w:val="both"/>
              <w:rPr>
                <w:rFonts w:ascii="Arial" w:hAnsi="Arial" w:cs="Arial"/>
                <w:b/>
                <w:sz w:val="22"/>
                <w:szCs w:val="22"/>
                <w:lang w:val="es-MX"/>
              </w:rPr>
            </w:pPr>
            <w:r w:rsidRPr="00A51106">
              <w:rPr>
                <w:rFonts w:ascii="Arial" w:hAnsi="Arial" w:cs="Arial"/>
                <w:b/>
                <w:sz w:val="22"/>
                <w:szCs w:val="22"/>
                <w:lang w:val="es-MX"/>
              </w:rPr>
              <w:t>CORPORACION PARA EL DESARROLLO SOSTENIBLE DEL NORTE Y EL ORIENTE AMAZONICO - C.D.A.</w:t>
            </w:r>
          </w:p>
        </w:tc>
        <w:tc>
          <w:tcPr>
            <w:tcW w:w="2268" w:type="dxa"/>
          </w:tcPr>
          <w:p w14:paraId="071D4E4F" w14:textId="77777777" w:rsidR="0024577D" w:rsidRPr="00A51106" w:rsidRDefault="0024577D" w:rsidP="00EF5AF2">
            <w:pPr>
              <w:ind w:right="-234"/>
              <w:jc w:val="center"/>
              <w:rPr>
                <w:rFonts w:ascii="Arial" w:hAnsi="Arial" w:cs="Arial"/>
                <w:b/>
                <w:sz w:val="22"/>
                <w:szCs w:val="22"/>
                <w:u w:val="single"/>
                <w:lang w:val="es-MX"/>
              </w:rPr>
            </w:pPr>
            <w:r w:rsidRPr="00A51106">
              <w:rPr>
                <w:rFonts w:ascii="Arial" w:hAnsi="Arial" w:cs="Arial"/>
                <w:b/>
                <w:sz w:val="22"/>
                <w:szCs w:val="22"/>
                <w:u w:val="single"/>
                <w:lang w:val="es-MX"/>
              </w:rPr>
              <w:t>40.99%</w:t>
            </w:r>
          </w:p>
        </w:tc>
      </w:tr>
    </w:tbl>
    <w:p w14:paraId="033442F6" w14:textId="77777777" w:rsidR="0024577D" w:rsidRPr="004B1294" w:rsidRDefault="0024577D" w:rsidP="0024577D">
      <w:pPr>
        <w:ind w:left="-284" w:right="-518"/>
        <w:jc w:val="both"/>
        <w:rPr>
          <w:rFonts w:ascii="Arial" w:hAnsi="Arial" w:cs="Arial"/>
          <w:sz w:val="16"/>
          <w:szCs w:val="16"/>
        </w:rPr>
      </w:pPr>
      <w:r w:rsidRPr="004B1294">
        <w:rPr>
          <w:rFonts w:ascii="Arial" w:hAnsi="Arial" w:cs="Arial"/>
          <w:sz w:val="16"/>
          <w:szCs w:val="16"/>
        </w:rPr>
        <w:t xml:space="preserve">Fuente: Informes presupuestales presentados por las </w:t>
      </w:r>
      <w:r>
        <w:rPr>
          <w:rFonts w:ascii="Arial" w:hAnsi="Arial" w:cs="Arial"/>
          <w:sz w:val="16"/>
          <w:szCs w:val="16"/>
        </w:rPr>
        <w:t>Unidades</w:t>
      </w:r>
      <w:r w:rsidRPr="004B1294">
        <w:rPr>
          <w:rFonts w:ascii="Arial" w:hAnsi="Arial" w:cs="Arial"/>
          <w:sz w:val="16"/>
          <w:szCs w:val="16"/>
        </w:rPr>
        <w:t xml:space="preserve"> </w:t>
      </w:r>
      <w:r>
        <w:rPr>
          <w:rFonts w:ascii="Arial" w:hAnsi="Arial" w:cs="Arial"/>
          <w:sz w:val="16"/>
          <w:szCs w:val="16"/>
        </w:rPr>
        <w:t>E</w:t>
      </w:r>
      <w:r w:rsidRPr="004B1294">
        <w:rPr>
          <w:rFonts w:ascii="Arial" w:hAnsi="Arial" w:cs="Arial"/>
          <w:sz w:val="16"/>
          <w:szCs w:val="16"/>
        </w:rPr>
        <w:t>jecutoras del presupuesto a la Comisión Legal de Cuentas vigencia fiscal 202</w:t>
      </w:r>
      <w:r>
        <w:rPr>
          <w:rFonts w:ascii="Arial" w:hAnsi="Arial" w:cs="Arial"/>
          <w:sz w:val="16"/>
          <w:szCs w:val="16"/>
        </w:rPr>
        <w:t>4</w:t>
      </w:r>
      <w:r w:rsidRPr="004B1294">
        <w:rPr>
          <w:rFonts w:ascii="Arial" w:hAnsi="Arial" w:cs="Arial"/>
          <w:sz w:val="16"/>
          <w:szCs w:val="16"/>
        </w:rPr>
        <w:t>.</w:t>
      </w:r>
    </w:p>
    <w:p w14:paraId="06F9902B" w14:textId="77777777" w:rsidR="0024577D" w:rsidRDefault="0024577D" w:rsidP="0024577D">
      <w:pPr>
        <w:ind w:left="-284"/>
        <w:jc w:val="both"/>
        <w:rPr>
          <w:rFonts w:ascii="Arial" w:hAnsi="Arial" w:cs="Arial"/>
          <w:b/>
          <w:sz w:val="28"/>
          <w:szCs w:val="28"/>
          <w:lang w:val="es-MX"/>
        </w:rPr>
      </w:pPr>
    </w:p>
    <w:p w14:paraId="001C345D" w14:textId="7B255E88" w:rsidR="001A4684" w:rsidRPr="003F19CF" w:rsidRDefault="001A4684" w:rsidP="001A4684">
      <w:pPr>
        <w:ind w:left="-284" w:right="-234"/>
        <w:jc w:val="center"/>
        <w:rPr>
          <w:rFonts w:ascii="Arial" w:hAnsi="Arial" w:cs="Arial"/>
          <w:b/>
          <w:sz w:val="28"/>
          <w:szCs w:val="28"/>
        </w:rPr>
      </w:pPr>
      <w:r w:rsidRPr="001A4684">
        <w:rPr>
          <w:rFonts w:ascii="Arial" w:hAnsi="Arial" w:cs="Arial"/>
          <w:b/>
          <w:sz w:val="28"/>
          <w:szCs w:val="28"/>
          <w:u w:val="single"/>
        </w:rPr>
        <w:t>6.- UNIDADES EJECUTORAS DEL PRESUPUESTO GENERAL DE LA NACIÓN QUE A 31 DE DICIEMBRE DE 2024 PRESENTARON A LA COMISIÓN LEGAL DE CUENTAS DE LA CÁMARA DE REPRESENTANTES SU INFORMACIÓN PRESUPUESTAL CON INCONSISTENCIAS EN LA</w:t>
      </w:r>
      <w:r w:rsidR="001D66F0">
        <w:rPr>
          <w:rFonts w:ascii="Arial" w:hAnsi="Arial" w:cs="Arial"/>
          <w:b/>
          <w:sz w:val="28"/>
          <w:szCs w:val="28"/>
          <w:u w:val="single"/>
        </w:rPr>
        <w:t>S</w:t>
      </w:r>
      <w:r w:rsidRPr="001A4684">
        <w:rPr>
          <w:rFonts w:ascii="Arial" w:hAnsi="Arial" w:cs="Arial"/>
          <w:b/>
          <w:sz w:val="28"/>
          <w:szCs w:val="28"/>
          <w:u w:val="single"/>
        </w:rPr>
        <w:t xml:space="preserve"> CIFRAS</w:t>
      </w:r>
      <w:r w:rsidRPr="003F19CF">
        <w:rPr>
          <w:rFonts w:ascii="Arial" w:hAnsi="Arial" w:cs="Arial"/>
          <w:b/>
          <w:sz w:val="28"/>
          <w:szCs w:val="28"/>
        </w:rPr>
        <w:t>.</w:t>
      </w:r>
    </w:p>
    <w:p w14:paraId="55117DF8" w14:textId="77777777" w:rsidR="001A4684" w:rsidRPr="003F19CF" w:rsidRDefault="001A4684" w:rsidP="001A4684">
      <w:pPr>
        <w:ind w:left="-426" w:right="-460" w:hanging="1411"/>
        <w:jc w:val="both"/>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1560"/>
        <w:gridCol w:w="8930"/>
      </w:tblGrid>
      <w:tr w:rsidR="001A4684" w:rsidRPr="004B1294" w14:paraId="41016F15" w14:textId="77777777" w:rsidTr="001A4684">
        <w:tc>
          <w:tcPr>
            <w:tcW w:w="1560" w:type="dxa"/>
          </w:tcPr>
          <w:p w14:paraId="58292090" w14:textId="77777777" w:rsidR="001A4684" w:rsidRPr="004B1294" w:rsidRDefault="001A4684" w:rsidP="00EF5AF2">
            <w:pPr>
              <w:jc w:val="center"/>
              <w:rPr>
                <w:rFonts w:ascii="Arial" w:hAnsi="Arial" w:cs="Arial"/>
                <w:b/>
              </w:rPr>
            </w:pPr>
            <w:r w:rsidRPr="004B1294">
              <w:rPr>
                <w:rFonts w:ascii="Arial" w:hAnsi="Arial" w:cs="Arial"/>
                <w:b/>
              </w:rPr>
              <w:t xml:space="preserve">N° </w:t>
            </w:r>
            <w:r>
              <w:rPr>
                <w:rFonts w:ascii="Arial" w:hAnsi="Arial" w:cs="Arial"/>
                <w:b/>
              </w:rPr>
              <w:t xml:space="preserve">DE LA UNIDAD EJECUTORA </w:t>
            </w:r>
            <w:r w:rsidRPr="004B1294">
              <w:rPr>
                <w:rFonts w:ascii="Arial" w:hAnsi="Arial" w:cs="Arial"/>
                <w:b/>
              </w:rPr>
              <w:t>EN LA RESOLUCIÓN</w:t>
            </w:r>
          </w:p>
          <w:p w14:paraId="3CD321A2" w14:textId="77777777" w:rsidR="001A4684" w:rsidRPr="004B1294" w:rsidRDefault="001A4684" w:rsidP="00EF5AF2">
            <w:pPr>
              <w:ind w:right="-460"/>
              <w:jc w:val="both"/>
              <w:rPr>
                <w:rFonts w:ascii="Arial" w:hAnsi="Arial" w:cs="Arial"/>
                <w:b/>
              </w:rPr>
            </w:pPr>
          </w:p>
        </w:tc>
        <w:tc>
          <w:tcPr>
            <w:tcW w:w="8930" w:type="dxa"/>
          </w:tcPr>
          <w:p w14:paraId="0ABE1E38" w14:textId="77777777" w:rsidR="001A4684" w:rsidRPr="004B1294" w:rsidRDefault="001A4684" w:rsidP="00EF5AF2">
            <w:pPr>
              <w:ind w:left="-533" w:right="-460"/>
              <w:jc w:val="center"/>
              <w:rPr>
                <w:rFonts w:ascii="Arial" w:hAnsi="Arial" w:cs="Arial"/>
                <w:b/>
              </w:rPr>
            </w:pPr>
            <w:r w:rsidRPr="004B1294">
              <w:rPr>
                <w:rFonts w:ascii="Arial" w:hAnsi="Arial" w:cs="Arial"/>
                <w:b/>
              </w:rPr>
              <w:t>UNIDAD EJECUTORA DEL PRESUPUESTO GENERAL DE LA NACIÓN</w:t>
            </w:r>
          </w:p>
          <w:p w14:paraId="3A9A0011" w14:textId="77777777" w:rsidR="001A4684" w:rsidRPr="004B1294" w:rsidRDefault="001A4684" w:rsidP="00EF5AF2">
            <w:pPr>
              <w:ind w:right="-460"/>
              <w:jc w:val="center"/>
              <w:rPr>
                <w:rFonts w:ascii="Arial" w:hAnsi="Arial" w:cs="Arial"/>
                <w:b/>
              </w:rPr>
            </w:pPr>
            <w:r w:rsidRPr="004B1294">
              <w:rPr>
                <w:rFonts w:ascii="Arial" w:hAnsi="Arial" w:cs="Arial"/>
                <w:b/>
              </w:rPr>
              <w:t>202</w:t>
            </w:r>
            <w:r>
              <w:rPr>
                <w:rFonts w:ascii="Arial" w:hAnsi="Arial" w:cs="Arial"/>
                <w:b/>
              </w:rPr>
              <w:t>4</w:t>
            </w:r>
          </w:p>
        </w:tc>
      </w:tr>
      <w:tr w:rsidR="001A4684" w:rsidRPr="004B1294" w14:paraId="0745425E" w14:textId="77777777" w:rsidTr="001A4684">
        <w:tc>
          <w:tcPr>
            <w:tcW w:w="1560" w:type="dxa"/>
          </w:tcPr>
          <w:p w14:paraId="6F0F4979" w14:textId="77777777" w:rsidR="001A4684" w:rsidRPr="004B1294" w:rsidRDefault="001A4684" w:rsidP="00EF5AF2">
            <w:pPr>
              <w:jc w:val="center"/>
              <w:rPr>
                <w:rFonts w:ascii="Arial" w:hAnsi="Arial" w:cs="Arial"/>
                <w:b/>
              </w:rPr>
            </w:pPr>
            <w:r>
              <w:rPr>
                <w:rFonts w:ascii="Arial" w:hAnsi="Arial" w:cs="Arial"/>
                <w:b/>
              </w:rPr>
              <w:t>39</w:t>
            </w:r>
          </w:p>
        </w:tc>
        <w:tc>
          <w:tcPr>
            <w:tcW w:w="8930" w:type="dxa"/>
          </w:tcPr>
          <w:p w14:paraId="3882A6C9" w14:textId="77777777" w:rsidR="001A4684" w:rsidRPr="00DC2F14" w:rsidRDefault="001A4684" w:rsidP="00EF5AF2">
            <w:pPr>
              <w:jc w:val="both"/>
              <w:rPr>
                <w:rFonts w:ascii="Arial" w:hAnsi="Arial" w:cs="Arial"/>
                <w:b/>
                <w:sz w:val="22"/>
                <w:szCs w:val="22"/>
                <w:lang w:val="es-MX"/>
              </w:rPr>
            </w:pPr>
            <w:r w:rsidRPr="00DC2F14">
              <w:rPr>
                <w:rFonts w:ascii="Arial" w:hAnsi="Arial" w:cs="Arial"/>
                <w:b/>
                <w:sz w:val="22"/>
                <w:szCs w:val="22"/>
                <w:lang w:val="es-MX"/>
              </w:rPr>
              <w:t xml:space="preserve"> MINISTERIO DE IGUALDAD Y EQUIDAD.</w:t>
            </w:r>
          </w:p>
        </w:tc>
      </w:tr>
      <w:tr w:rsidR="001A4684" w:rsidRPr="004B1294" w14:paraId="0B54B1BC" w14:textId="77777777" w:rsidTr="001A4684">
        <w:tc>
          <w:tcPr>
            <w:tcW w:w="1560" w:type="dxa"/>
          </w:tcPr>
          <w:p w14:paraId="070FBF5B" w14:textId="77777777" w:rsidR="001A4684" w:rsidRDefault="001A4684" w:rsidP="00EF5AF2">
            <w:pPr>
              <w:jc w:val="center"/>
              <w:rPr>
                <w:rFonts w:ascii="Arial" w:hAnsi="Arial" w:cs="Arial"/>
                <w:b/>
              </w:rPr>
            </w:pPr>
            <w:r>
              <w:rPr>
                <w:rFonts w:ascii="Arial" w:hAnsi="Arial" w:cs="Arial"/>
                <w:b/>
              </w:rPr>
              <w:t>42</w:t>
            </w:r>
          </w:p>
        </w:tc>
        <w:tc>
          <w:tcPr>
            <w:tcW w:w="8930" w:type="dxa"/>
          </w:tcPr>
          <w:p w14:paraId="022CCA2C" w14:textId="77777777" w:rsidR="001A4684" w:rsidRPr="0094732C" w:rsidRDefault="001A4684" w:rsidP="00EF5AF2">
            <w:pPr>
              <w:ind w:left="39"/>
              <w:jc w:val="both"/>
              <w:rPr>
                <w:rFonts w:ascii="Arial" w:hAnsi="Arial" w:cs="Arial"/>
                <w:b/>
                <w:sz w:val="22"/>
                <w:szCs w:val="22"/>
              </w:rPr>
            </w:pPr>
            <w:r w:rsidRPr="0094732C">
              <w:rPr>
                <w:rFonts w:ascii="Arial" w:hAnsi="Arial" w:cs="Arial"/>
                <w:b/>
                <w:sz w:val="22"/>
                <w:szCs w:val="22"/>
              </w:rPr>
              <w:t>MINISTERIO DE AMBIENTE Y DESARROLLO SOSTENIBLE.</w:t>
            </w:r>
          </w:p>
        </w:tc>
      </w:tr>
      <w:tr w:rsidR="001A4684" w:rsidRPr="004B1294" w14:paraId="760AC6BF" w14:textId="77777777" w:rsidTr="001A4684">
        <w:tc>
          <w:tcPr>
            <w:tcW w:w="1560" w:type="dxa"/>
          </w:tcPr>
          <w:p w14:paraId="4B33322B" w14:textId="77777777" w:rsidR="001A4684" w:rsidRDefault="001A4684" w:rsidP="00EF5AF2">
            <w:pPr>
              <w:jc w:val="center"/>
              <w:rPr>
                <w:rFonts w:ascii="Arial" w:hAnsi="Arial" w:cs="Arial"/>
                <w:b/>
              </w:rPr>
            </w:pPr>
            <w:r>
              <w:rPr>
                <w:rFonts w:ascii="Arial" w:hAnsi="Arial" w:cs="Arial"/>
                <w:b/>
              </w:rPr>
              <w:t>44</w:t>
            </w:r>
          </w:p>
        </w:tc>
        <w:tc>
          <w:tcPr>
            <w:tcW w:w="8930" w:type="dxa"/>
          </w:tcPr>
          <w:p w14:paraId="0618874A" w14:textId="77777777" w:rsidR="001A4684" w:rsidRPr="00D26976" w:rsidRDefault="001A4684" w:rsidP="00EF5AF2">
            <w:pPr>
              <w:ind w:left="39"/>
              <w:jc w:val="both"/>
              <w:rPr>
                <w:rFonts w:ascii="Arial" w:hAnsi="Arial" w:cs="Arial"/>
                <w:b/>
                <w:sz w:val="22"/>
                <w:szCs w:val="22"/>
              </w:rPr>
            </w:pPr>
            <w:r w:rsidRPr="00D26976">
              <w:rPr>
                <w:rFonts w:ascii="Arial" w:hAnsi="Arial" w:cs="Arial"/>
                <w:b/>
                <w:sz w:val="22"/>
                <w:szCs w:val="22"/>
              </w:rPr>
              <w:t>UNIDAD DE INFORMACIÓN Y ANÁLISI FINANCIERA - UIAF</w:t>
            </w:r>
          </w:p>
        </w:tc>
      </w:tr>
      <w:tr w:rsidR="001A4684" w:rsidRPr="004B1294" w14:paraId="42C90EBA" w14:textId="77777777" w:rsidTr="001A4684">
        <w:tc>
          <w:tcPr>
            <w:tcW w:w="1560" w:type="dxa"/>
          </w:tcPr>
          <w:p w14:paraId="16777551" w14:textId="77777777" w:rsidR="001A4684" w:rsidRDefault="001A4684" w:rsidP="00EF5AF2">
            <w:pPr>
              <w:jc w:val="center"/>
              <w:rPr>
                <w:rFonts w:ascii="Arial" w:hAnsi="Arial" w:cs="Arial"/>
                <w:b/>
              </w:rPr>
            </w:pPr>
            <w:r>
              <w:rPr>
                <w:rFonts w:ascii="Arial" w:hAnsi="Arial" w:cs="Arial"/>
                <w:b/>
              </w:rPr>
              <w:t>51</w:t>
            </w:r>
          </w:p>
        </w:tc>
        <w:tc>
          <w:tcPr>
            <w:tcW w:w="8930" w:type="dxa"/>
          </w:tcPr>
          <w:p w14:paraId="7FDC5580" w14:textId="77777777" w:rsidR="001A4684" w:rsidRPr="00CE077C" w:rsidRDefault="001A4684" w:rsidP="00EF5AF2">
            <w:pPr>
              <w:jc w:val="both"/>
              <w:rPr>
                <w:rFonts w:ascii="Arial" w:hAnsi="Arial" w:cs="Arial"/>
                <w:b/>
                <w:sz w:val="22"/>
                <w:szCs w:val="22"/>
                <w:lang w:val="es-MX"/>
              </w:rPr>
            </w:pPr>
            <w:r>
              <w:rPr>
                <w:rFonts w:ascii="Arial" w:hAnsi="Arial" w:cs="Arial"/>
                <w:b/>
                <w:lang w:val="es-MX"/>
              </w:rPr>
              <w:t xml:space="preserve"> </w:t>
            </w:r>
            <w:r w:rsidRPr="00CE077C">
              <w:rPr>
                <w:rFonts w:ascii="Arial" w:hAnsi="Arial" w:cs="Arial"/>
                <w:b/>
                <w:sz w:val="22"/>
                <w:szCs w:val="22"/>
                <w:lang w:val="es-MX"/>
              </w:rPr>
              <w:t>INSTITUTO GEOGRÁFICO AGUSTIN CODAZZI - IGAC.</w:t>
            </w:r>
          </w:p>
        </w:tc>
      </w:tr>
      <w:tr w:rsidR="001A4684" w:rsidRPr="004B1294" w14:paraId="4B67EB43" w14:textId="77777777" w:rsidTr="001A4684">
        <w:tc>
          <w:tcPr>
            <w:tcW w:w="1560" w:type="dxa"/>
          </w:tcPr>
          <w:p w14:paraId="3646DFE5" w14:textId="77777777" w:rsidR="001A4684" w:rsidRDefault="001A4684" w:rsidP="00EF5AF2">
            <w:pPr>
              <w:jc w:val="center"/>
              <w:rPr>
                <w:rFonts w:ascii="Arial" w:hAnsi="Arial" w:cs="Arial"/>
                <w:b/>
              </w:rPr>
            </w:pPr>
            <w:r>
              <w:rPr>
                <w:rFonts w:ascii="Arial" w:hAnsi="Arial" w:cs="Arial"/>
                <w:b/>
              </w:rPr>
              <w:t>54</w:t>
            </w:r>
          </w:p>
        </w:tc>
        <w:tc>
          <w:tcPr>
            <w:tcW w:w="8930" w:type="dxa"/>
          </w:tcPr>
          <w:p w14:paraId="5808245D" w14:textId="77777777" w:rsidR="001A4684" w:rsidRPr="000004F5" w:rsidRDefault="001A4684" w:rsidP="00EF5AF2">
            <w:pPr>
              <w:jc w:val="both"/>
              <w:rPr>
                <w:rFonts w:ascii="Arial" w:hAnsi="Arial" w:cs="Arial"/>
                <w:b/>
                <w:sz w:val="22"/>
                <w:szCs w:val="22"/>
                <w:lang w:val="es-MX"/>
              </w:rPr>
            </w:pPr>
            <w:r w:rsidRPr="000004F5">
              <w:rPr>
                <w:rFonts w:ascii="Arial" w:hAnsi="Arial" w:cs="Arial"/>
                <w:b/>
                <w:lang w:val="es-MX"/>
              </w:rPr>
              <w:t xml:space="preserve"> </w:t>
            </w:r>
            <w:r w:rsidRPr="000004F5">
              <w:rPr>
                <w:rFonts w:ascii="Arial" w:hAnsi="Arial" w:cs="Arial"/>
                <w:b/>
                <w:sz w:val="22"/>
                <w:szCs w:val="22"/>
              </w:rPr>
              <w:t>FONDO NACIONAL AMBIENTAL - FONAM.</w:t>
            </w:r>
          </w:p>
        </w:tc>
      </w:tr>
      <w:tr w:rsidR="001A4684" w:rsidRPr="004B1294" w14:paraId="777A94B3" w14:textId="77777777" w:rsidTr="001A4684">
        <w:tc>
          <w:tcPr>
            <w:tcW w:w="1560" w:type="dxa"/>
          </w:tcPr>
          <w:p w14:paraId="6CB93D42" w14:textId="77777777" w:rsidR="001A4684" w:rsidRDefault="001A4684" w:rsidP="00EF5AF2">
            <w:pPr>
              <w:jc w:val="center"/>
              <w:rPr>
                <w:rFonts w:ascii="Arial" w:hAnsi="Arial" w:cs="Arial"/>
                <w:b/>
              </w:rPr>
            </w:pPr>
            <w:r>
              <w:rPr>
                <w:rFonts w:ascii="Arial" w:hAnsi="Arial" w:cs="Arial"/>
                <w:b/>
              </w:rPr>
              <w:t>68</w:t>
            </w:r>
          </w:p>
        </w:tc>
        <w:tc>
          <w:tcPr>
            <w:tcW w:w="8930" w:type="dxa"/>
          </w:tcPr>
          <w:p w14:paraId="196FF79A" w14:textId="77777777" w:rsidR="001A4684" w:rsidRPr="00F612AD" w:rsidRDefault="001A4684" w:rsidP="00EF5AF2">
            <w:pPr>
              <w:jc w:val="both"/>
              <w:rPr>
                <w:rFonts w:ascii="Arial" w:hAnsi="Arial" w:cs="Arial"/>
                <w:b/>
                <w:sz w:val="22"/>
                <w:szCs w:val="22"/>
                <w:lang w:val="es-MX"/>
              </w:rPr>
            </w:pPr>
            <w:r>
              <w:rPr>
                <w:rFonts w:ascii="Arial" w:hAnsi="Arial" w:cs="Arial"/>
                <w:b/>
                <w:sz w:val="22"/>
                <w:szCs w:val="22"/>
                <w:lang w:val="es-MX"/>
              </w:rPr>
              <w:t xml:space="preserve"> </w:t>
            </w:r>
            <w:r w:rsidRPr="00F612AD">
              <w:rPr>
                <w:rFonts w:ascii="Arial" w:hAnsi="Arial" w:cs="Arial"/>
                <w:b/>
                <w:sz w:val="22"/>
                <w:szCs w:val="22"/>
                <w:lang w:val="es-MX"/>
              </w:rPr>
              <w:t>PROCURADURÍA GENERAL DE LA NACIÓN.</w:t>
            </w:r>
          </w:p>
        </w:tc>
      </w:tr>
      <w:tr w:rsidR="001A4684" w:rsidRPr="004B1294" w14:paraId="153C58EE" w14:textId="77777777" w:rsidTr="001A4684">
        <w:tc>
          <w:tcPr>
            <w:tcW w:w="1560" w:type="dxa"/>
          </w:tcPr>
          <w:p w14:paraId="34A79B5A" w14:textId="77777777" w:rsidR="001A4684" w:rsidRDefault="001A4684" w:rsidP="00EF5AF2">
            <w:pPr>
              <w:jc w:val="center"/>
              <w:rPr>
                <w:rFonts w:ascii="Arial" w:hAnsi="Arial" w:cs="Arial"/>
                <w:b/>
              </w:rPr>
            </w:pPr>
            <w:r>
              <w:rPr>
                <w:rFonts w:ascii="Arial" w:hAnsi="Arial" w:cs="Arial"/>
                <w:b/>
              </w:rPr>
              <w:t>72</w:t>
            </w:r>
          </w:p>
        </w:tc>
        <w:tc>
          <w:tcPr>
            <w:tcW w:w="8930" w:type="dxa"/>
          </w:tcPr>
          <w:p w14:paraId="1CFF9D25" w14:textId="77777777" w:rsidR="001A4684" w:rsidRDefault="001A4684" w:rsidP="00EF5AF2">
            <w:pPr>
              <w:jc w:val="both"/>
              <w:rPr>
                <w:rFonts w:ascii="Arial" w:hAnsi="Arial" w:cs="Arial"/>
                <w:b/>
                <w:lang w:val="es-MX"/>
              </w:rPr>
            </w:pPr>
            <w:r>
              <w:rPr>
                <w:rFonts w:ascii="Arial" w:hAnsi="Arial" w:cs="Arial"/>
                <w:b/>
                <w:lang w:val="es-MX"/>
              </w:rPr>
              <w:t xml:space="preserve"> SERVICIO GEOLOGICO COLOMBIANO.</w:t>
            </w:r>
          </w:p>
        </w:tc>
      </w:tr>
      <w:tr w:rsidR="001A4684" w:rsidRPr="004B1294" w14:paraId="0FE65939" w14:textId="77777777" w:rsidTr="001A4684">
        <w:tc>
          <w:tcPr>
            <w:tcW w:w="1560" w:type="dxa"/>
          </w:tcPr>
          <w:p w14:paraId="472C56B0" w14:textId="77777777" w:rsidR="001A4684" w:rsidRDefault="001A4684" w:rsidP="00EF5AF2">
            <w:pPr>
              <w:jc w:val="center"/>
              <w:rPr>
                <w:rFonts w:ascii="Arial" w:hAnsi="Arial" w:cs="Arial"/>
                <w:b/>
              </w:rPr>
            </w:pPr>
            <w:r>
              <w:rPr>
                <w:rFonts w:ascii="Arial" w:hAnsi="Arial" w:cs="Arial"/>
                <w:b/>
              </w:rPr>
              <w:t>81</w:t>
            </w:r>
          </w:p>
        </w:tc>
        <w:tc>
          <w:tcPr>
            <w:tcW w:w="8930" w:type="dxa"/>
          </w:tcPr>
          <w:p w14:paraId="0B066892" w14:textId="77777777" w:rsidR="001A4684" w:rsidRPr="002B4A75" w:rsidRDefault="001A4684" w:rsidP="00EF5AF2">
            <w:pPr>
              <w:jc w:val="both"/>
              <w:rPr>
                <w:rFonts w:ascii="Arial" w:hAnsi="Arial" w:cs="Arial"/>
                <w:b/>
                <w:lang w:val="es-MX"/>
              </w:rPr>
            </w:pPr>
            <w:r w:rsidRPr="002B4A75">
              <w:rPr>
                <w:rFonts w:ascii="Arial" w:hAnsi="Arial" w:cs="Arial"/>
                <w:b/>
                <w:lang w:val="es-MX"/>
              </w:rPr>
              <w:t xml:space="preserve"> CORPORACIÓN AUTÓNOMA REGIONAL DE LA FRONTERA NORORIENTAL - CORPONOR.</w:t>
            </w:r>
          </w:p>
        </w:tc>
      </w:tr>
      <w:tr w:rsidR="001A4684" w:rsidRPr="004B1294" w14:paraId="7DA26141" w14:textId="77777777" w:rsidTr="001A4684">
        <w:tc>
          <w:tcPr>
            <w:tcW w:w="1560" w:type="dxa"/>
          </w:tcPr>
          <w:p w14:paraId="12F98B52" w14:textId="77777777" w:rsidR="001A4684" w:rsidRDefault="001A4684" w:rsidP="00EF5AF2">
            <w:pPr>
              <w:jc w:val="center"/>
              <w:rPr>
                <w:rFonts w:ascii="Arial" w:hAnsi="Arial" w:cs="Arial"/>
                <w:b/>
              </w:rPr>
            </w:pPr>
            <w:r>
              <w:rPr>
                <w:rFonts w:ascii="Arial" w:hAnsi="Arial" w:cs="Arial"/>
                <w:b/>
              </w:rPr>
              <w:t>88</w:t>
            </w:r>
          </w:p>
        </w:tc>
        <w:tc>
          <w:tcPr>
            <w:tcW w:w="8930" w:type="dxa"/>
          </w:tcPr>
          <w:p w14:paraId="0A627154" w14:textId="77777777" w:rsidR="001A4684" w:rsidRPr="0010607E" w:rsidRDefault="001A4684" w:rsidP="00EF5AF2">
            <w:pPr>
              <w:jc w:val="both"/>
              <w:rPr>
                <w:rFonts w:ascii="Arial" w:hAnsi="Arial" w:cs="Arial"/>
                <w:b/>
                <w:sz w:val="22"/>
                <w:szCs w:val="22"/>
                <w:lang w:val="es-MX"/>
              </w:rPr>
            </w:pPr>
            <w:r w:rsidRPr="0010607E">
              <w:rPr>
                <w:rFonts w:ascii="Arial" w:hAnsi="Arial" w:cs="Arial"/>
                <w:b/>
                <w:sz w:val="22"/>
                <w:szCs w:val="22"/>
                <w:lang w:val="es-MX"/>
              </w:rPr>
              <w:t xml:space="preserve"> SENADO DE LA REPÚBLICA.</w:t>
            </w:r>
          </w:p>
        </w:tc>
      </w:tr>
      <w:tr w:rsidR="001A4684" w:rsidRPr="004B1294" w14:paraId="7D832A35" w14:textId="77777777" w:rsidTr="001A4684">
        <w:tc>
          <w:tcPr>
            <w:tcW w:w="1560" w:type="dxa"/>
          </w:tcPr>
          <w:p w14:paraId="5979EE3A" w14:textId="77777777" w:rsidR="001A4684" w:rsidRDefault="001A4684" w:rsidP="00EF5AF2">
            <w:pPr>
              <w:jc w:val="center"/>
              <w:rPr>
                <w:rFonts w:ascii="Arial" w:hAnsi="Arial" w:cs="Arial"/>
                <w:b/>
              </w:rPr>
            </w:pPr>
            <w:r>
              <w:rPr>
                <w:rFonts w:ascii="Arial" w:hAnsi="Arial" w:cs="Arial"/>
                <w:b/>
              </w:rPr>
              <w:t>100</w:t>
            </w:r>
          </w:p>
        </w:tc>
        <w:tc>
          <w:tcPr>
            <w:tcW w:w="8930" w:type="dxa"/>
          </w:tcPr>
          <w:p w14:paraId="35B50B66" w14:textId="77777777" w:rsidR="001A4684" w:rsidRPr="00AB3FF0" w:rsidRDefault="001A4684" w:rsidP="00EF5AF2">
            <w:pPr>
              <w:ind w:left="39"/>
              <w:jc w:val="both"/>
              <w:rPr>
                <w:rFonts w:ascii="Arial" w:hAnsi="Arial" w:cs="Arial"/>
                <w:b/>
                <w:sz w:val="22"/>
                <w:szCs w:val="22"/>
                <w:lang w:val="es-MX"/>
              </w:rPr>
            </w:pPr>
            <w:r w:rsidRPr="00AB3FF0">
              <w:rPr>
                <w:rFonts w:ascii="Arial" w:hAnsi="Arial" w:cs="Arial"/>
                <w:b/>
                <w:sz w:val="22"/>
                <w:szCs w:val="22"/>
                <w:lang w:val="es-CO"/>
              </w:rPr>
              <w:t>CORPORACIÓN AUTÓNOMA REGIONAL DEL TOLIMA – CORTOLIMA.</w:t>
            </w:r>
          </w:p>
        </w:tc>
      </w:tr>
      <w:tr w:rsidR="001A4684" w:rsidRPr="004B1294" w14:paraId="56107373" w14:textId="77777777" w:rsidTr="001A4684">
        <w:tc>
          <w:tcPr>
            <w:tcW w:w="1560" w:type="dxa"/>
          </w:tcPr>
          <w:p w14:paraId="2BF73182" w14:textId="77777777" w:rsidR="001A4684" w:rsidRDefault="001A4684" w:rsidP="00EF5AF2">
            <w:pPr>
              <w:jc w:val="center"/>
              <w:rPr>
                <w:rFonts w:ascii="Arial" w:hAnsi="Arial" w:cs="Arial"/>
                <w:b/>
              </w:rPr>
            </w:pPr>
            <w:r>
              <w:rPr>
                <w:rFonts w:ascii="Arial" w:hAnsi="Arial" w:cs="Arial"/>
                <w:b/>
              </w:rPr>
              <w:t>112</w:t>
            </w:r>
          </w:p>
        </w:tc>
        <w:tc>
          <w:tcPr>
            <w:tcW w:w="8930" w:type="dxa"/>
          </w:tcPr>
          <w:p w14:paraId="4533249D" w14:textId="77777777" w:rsidR="001A4684" w:rsidRPr="0006297C" w:rsidRDefault="001A4684" w:rsidP="00EF5AF2">
            <w:pPr>
              <w:ind w:left="35"/>
              <w:jc w:val="both"/>
              <w:rPr>
                <w:rFonts w:ascii="Arial" w:hAnsi="Arial" w:cs="Arial"/>
                <w:b/>
                <w:sz w:val="22"/>
                <w:szCs w:val="22"/>
                <w:lang w:val="es-MX"/>
              </w:rPr>
            </w:pPr>
            <w:r w:rsidRPr="0006297C">
              <w:rPr>
                <w:rFonts w:ascii="Arial" w:hAnsi="Arial" w:cs="Arial"/>
                <w:b/>
                <w:sz w:val="22"/>
                <w:szCs w:val="22"/>
              </w:rPr>
              <w:t>FONDO ROTATORIO DE LA POLICÍA NACIONAL</w:t>
            </w:r>
            <w:r w:rsidRPr="0006297C">
              <w:rPr>
                <w:rFonts w:ascii="Arial" w:hAnsi="Arial" w:cs="Arial"/>
                <w:b/>
                <w:sz w:val="22"/>
                <w:szCs w:val="22"/>
                <w:lang w:val="es-MX"/>
              </w:rPr>
              <w:t>.</w:t>
            </w:r>
          </w:p>
        </w:tc>
      </w:tr>
      <w:tr w:rsidR="001A4684" w:rsidRPr="004B1294" w14:paraId="75C4901F" w14:textId="77777777" w:rsidTr="001A4684">
        <w:tc>
          <w:tcPr>
            <w:tcW w:w="1560" w:type="dxa"/>
          </w:tcPr>
          <w:p w14:paraId="5029E981" w14:textId="77777777" w:rsidR="001A4684" w:rsidRDefault="001A4684" w:rsidP="00EF5AF2">
            <w:pPr>
              <w:jc w:val="center"/>
              <w:rPr>
                <w:rFonts w:ascii="Arial" w:hAnsi="Arial" w:cs="Arial"/>
                <w:b/>
              </w:rPr>
            </w:pPr>
            <w:r>
              <w:rPr>
                <w:rFonts w:ascii="Arial" w:hAnsi="Arial" w:cs="Arial"/>
                <w:b/>
              </w:rPr>
              <w:t>116</w:t>
            </w:r>
          </w:p>
        </w:tc>
        <w:tc>
          <w:tcPr>
            <w:tcW w:w="8930" w:type="dxa"/>
          </w:tcPr>
          <w:p w14:paraId="72EFD4D3" w14:textId="77777777" w:rsidR="001A4684" w:rsidRPr="00236B03" w:rsidRDefault="001A4684" w:rsidP="00EF5AF2">
            <w:pPr>
              <w:jc w:val="both"/>
              <w:rPr>
                <w:rFonts w:ascii="Arial" w:hAnsi="Arial" w:cs="Arial"/>
                <w:b/>
                <w:sz w:val="22"/>
                <w:szCs w:val="22"/>
                <w:lang w:val="es-MX"/>
              </w:rPr>
            </w:pPr>
            <w:r w:rsidRPr="00236B03">
              <w:rPr>
                <w:rFonts w:ascii="Arial" w:hAnsi="Arial" w:cs="Arial"/>
                <w:b/>
                <w:sz w:val="22"/>
                <w:szCs w:val="22"/>
                <w:lang w:val="es-MX"/>
              </w:rPr>
              <w:t>ESCUELA SUPERIOR DE ADMINISTRACIÓN PÚBLICA - ESAP.</w:t>
            </w:r>
          </w:p>
        </w:tc>
      </w:tr>
      <w:tr w:rsidR="001A4684" w:rsidRPr="004B1294" w14:paraId="768378F2" w14:textId="77777777" w:rsidTr="001A4684">
        <w:tc>
          <w:tcPr>
            <w:tcW w:w="1560" w:type="dxa"/>
          </w:tcPr>
          <w:p w14:paraId="10D9DDA4" w14:textId="77777777" w:rsidR="001A4684" w:rsidRDefault="001A4684" w:rsidP="00EF5AF2">
            <w:pPr>
              <w:jc w:val="center"/>
              <w:rPr>
                <w:rFonts w:ascii="Arial" w:hAnsi="Arial" w:cs="Arial"/>
                <w:b/>
              </w:rPr>
            </w:pPr>
            <w:r>
              <w:rPr>
                <w:rFonts w:ascii="Arial" w:hAnsi="Arial" w:cs="Arial"/>
                <w:b/>
              </w:rPr>
              <w:t>118</w:t>
            </w:r>
          </w:p>
        </w:tc>
        <w:tc>
          <w:tcPr>
            <w:tcW w:w="8930" w:type="dxa"/>
          </w:tcPr>
          <w:p w14:paraId="1118911B" w14:textId="77777777" w:rsidR="001A4684" w:rsidRPr="00E600B9" w:rsidRDefault="001A4684" w:rsidP="00EF5AF2">
            <w:pPr>
              <w:pStyle w:val="Textoindependiente"/>
              <w:tabs>
                <w:tab w:val="left" w:pos="2055"/>
              </w:tabs>
              <w:jc w:val="both"/>
              <w:rPr>
                <w:rFonts w:ascii="Arial" w:hAnsi="Arial" w:cs="Arial"/>
                <w:b/>
                <w:sz w:val="22"/>
                <w:szCs w:val="22"/>
                <w:lang w:val="es-MX"/>
              </w:rPr>
            </w:pPr>
            <w:r w:rsidRPr="00E600B9">
              <w:rPr>
                <w:rFonts w:ascii="Arial" w:hAnsi="Arial" w:cs="Arial"/>
                <w:b/>
                <w:sz w:val="22"/>
                <w:szCs w:val="22"/>
                <w:lang w:val="es-MX"/>
              </w:rPr>
              <w:t>CORPORACIÓN PARA EL DESARROLLO SOSTENIBLES DEL ARCHIPIELAGO DE SAN ANDRÉS, PROVIDENCIA Y SANTA CATALINA - CORALINA.</w:t>
            </w:r>
          </w:p>
        </w:tc>
      </w:tr>
      <w:tr w:rsidR="001A4684" w:rsidRPr="004B1294" w14:paraId="2CE6332A" w14:textId="77777777" w:rsidTr="001A4684">
        <w:tc>
          <w:tcPr>
            <w:tcW w:w="1560" w:type="dxa"/>
          </w:tcPr>
          <w:p w14:paraId="2CC3C856" w14:textId="77777777" w:rsidR="001A4684" w:rsidRDefault="001A4684" w:rsidP="00EF5AF2">
            <w:pPr>
              <w:jc w:val="center"/>
              <w:rPr>
                <w:rFonts w:ascii="Arial" w:hAnsi="Arial" w:cs="Arial"/>
                <w:b/>
              </w:rPr>
            </w:pPr>
            <w:r>
              <w:rPr>
                <w:rFonts w:ascii="Arial" w:hAnsi="Arial" w:cs="Arial"/>
                <w:b/>
              </w:rPr>
              <w:t>121</w:t>
            </w:r>
          </w:p>
        </w:tc>
        <w:tc>
          <w:tcPr>
            <w:tcW w:w="8930" w:type="dxa"/>
          </w:tcPr>
          <w:p w14:paraId="6DE95EC9" w14:textId="77777777" w:rsidR="001A4684" w:rsidRPr="00B6439C" w:rsidRDefault="001A4684" w:rsidP="00EF5AF2">
            <w:pPr>
              <w:jc w:val="both"/>
              <w:rPr>
                <w:rFonts w:ascii="Arial" w:hAnsi="Arial" w:cs="Arial"/>
                <w:b/>
                <w:sz w:val="22"/>
                <w:szCs w:val="22"/>
                <w:lang w:val="es-MX"/>
              </w:rPr>
            </w:pPr>
            <w:r w:rsidRPr="00B6439C">
              <w:rPr>
                <w:rFonts w:ascii="Arial" w:hAnsi="Arial" w:cs="Arial"/>
                <w:b/>
                <w:sz w:val="22"/>
                <w:szCs w:val="22"/>
                <w:lang w:val="es-MX"/>
              </w:rPr>
              <w:t xml:space="preserve">INSTITUTO NACIONAL DE FORMACIÓN TÉCNICA PROFESIONAL DE SAN JUAN DEL CESAR LA GUAJIRA – INFOTEP. </w:t>
            </w:r>
          </w:p>
        </w:tc>
      </w:tr>
      <w:tr w:rsidR="001A4684" w:rsidRPr="004B1294" w14:paraId="187170A1" w14:textId="77777777" w:rsidTr="001A4684">
        <w:tc>
          <w:tcPr>
            <w:tcW w:w="1560" w:type="dxa"/>
          </w:tcPr>
          <w:p w14:paraId="1645ACB3" w14:textId="77777777" w:rsidR="001A4684" w:rsidRDefault="001A4684" w:rsidP="00EF5AF2">
            <w:pPr>
              <w:jc w:val="center"/>
              <w:rPr>
                <w:rFonts w:ascii="Arial" w:hAnsi="Arial" w:cs="Arial"/>
                <w:b/>
              </w:rPr>
            </w:pPr>
            <w:r>
              <w:rPr>
                <w:rFonts w:ascii="Arial" w:hAnsi="Arial" w:cs="Arial"/>
                <w:b/>
              </w:rPr>
              <w:t>305</w:t>
            </w:r>
          </w:p>
        </w:tc>
        <w:tc>
          <w:tcPr>
            <w:tcW w:w="8930" w:type="dxa"/>
          </w:tcPr>
          <w:p w14:paraId="09FF0BB9" w14:textId="77777777" w:rsidR="001A4684" w:rsidRPr="00A546EE" w:rsidRDefault="001A4684" w:rsidP="00EF5AF2">
            <w:pPr>
              <w:jc w:val="both"/>
              <w:rPr>
                <w:rFonts w:ascii="Arial" w:eastAsia="Calibri" w:hAnsi="Arial" w:cs="Arial"/>
                <w:b/>
                <w:sz w:val="22"/>
                <w:szCs w:val="22"/>
                <w:lang w:val="es-MX"/>
              </w:rPr>
            </w:pPr>
            <w:r w:rsidRPr="00A546EE">
              <w:rPr>
                <w:rFonts w:ascii="Arial" w:eastAsia="Calibri" w:hAnsi="Arial" w:cs="Arial"/>
                <w:b/>
                <w:sz w:val="22"/>
                <w:szCs w:val="22"/>
                <w:lang w:val="es-MX"/>
              </w:rPr>
              <w:t>FONDO SOCIAL DE VIVIENDA - REGISTRADURÍA NACIONAL DEL ESTADO CIVIL.</w:t>
            </w:r>
          </w:p>
        </w:tc>
      </w:tr>
      <w:tr w:rsidR="001A4684" w:rsidRPr="004B1294" w14:paraId="3B6EBB67" w14:textId="77777777" w:rsidTr="001A4684">
        <w:tc>
          <w:tcPr>
            <w:tcW w:w="1560" w:type="dxa"/>
          </w:tcPr>
          <w:p w14:paraId="52FAA1B6" w14:textId="77777777" w:rsidR="001A4684" w:rsidRDefault="001A4684" w:rsidP="00EF5AF2">
            <w:pPr>
              <w:jc w:val="center"/>
              <w:rPr>
                <w:rFonts w:ascii="Arial" w:hAnsi="Arial" w:cs="Arial"/>
                <w:b/>
              </w:rPr>
            </w:pPr>
            <w:r>
              <w:rPr>
                <w:rFonts w:ascii="Arial" w:hAnsi="Arial" w:cs="Arial"/>
                <w:b/>
              </w:rPr>
              <w:t>332</w:t>
            </w:r>
          </w:p>
        </w:tc>
        <w:tc>
          <w:tcPr>
            <w:tcW w:w="8930" w:type="dxa"/>
          </w:tcPr>
          <w:p w14:paraId="741A990F" w14:textId="77777777" w:rsidR="001A4684" w:rsidRPr="00A546EE" w:rsidRDefault="001A4684" w:rsidP="00EF5AF2">
            <w:pPr>
              <w:jc w:val="both"/>
              <w:rPr>
                <w:rFonts w:ascii="Arial" w:eastAsia="Calibri" w:hAnsi="Arial" w:cs="Arial"/>
                <w:b/>
                <w:lang w:val="es-MX"/>
              </w:rPr>
            </w:pPr>
            <w:r>
              <w:rPr>
                <w:rFonts w:ascii="Arial" w:eastAsia="Calibri" w:hAnsi="Arial" w:cs="Arial"/>
                <w:b/>
                <w:lang w:val="es-MX"/>
              </w:rPr>
              <w:t>MINISTERIO DE RELACIONES EXTERIORES</w:t>
            </w:r>
          </w:p>
        </w:tc>
      </w:tr>
      <w:tr w:rsidR="001A4684" w:rsidRPr="004B1294" w14:paraId="34361A50" w14:textId="77777777" w:rsidTr="001A4684">
        <w:tc>
          <w:tcPr>
            <w:tcW w:w="1560" w:type="dxa"/>
          </w:tcPr>
          <w:p w14:paraId="22182813" w14:textId="77777777" w:rsidR="001A4684" w:rsidRDefault="001A4684" w:rsidP="00EF5AF2">
            <w:pPr>
              <w:jc w:val="center"/>
              <w:rPr>
                <w:rFonts w:ascii="Arial" w:hAnsi="Arial" w:cs="Arial"/>
                <w:b/>
              </w:rPr>
            </w:pPr>
            <w:r>
              <w:rPr>
                <w:rFonts w:ascii="Arial" w:hAnsi="Arial" w:cs="Arial"/>
                <w:b/>
              </w:rPr>
              <w:t>334</w:t>
            </w:r>
          </w:p>
        </w:tc>
        <w:tc>
          <w:tcPr>
            <w:tcW w:w="8930" w:type="dxa"/>
          </w:tcPr>
          <w:p w14:paraId="13C62996" w14:textId="77777777" w:rsidR="001A4684" w:rsidRPr="00303892" w:rsidRDefault="001A4684" w:rsidP="00EF5AF2">
            <w:pPr>
              <w:jc w:val="both"/>
              <w:rPr>
                <w:rFonts w:ascii="Arial" w:hAnsi="Arial" w:cs="Arial"/>
                <w:b/>
                <w:lang w:val="es-MX"/>
              </w:rPr>
            </w:pPr>
            <w:r w:rsidRPr="00303892">
              <w:rPr>
                <w:rFonts w:ascii="Arial" w:hAnsi="Arial" w:cs="Arial"/>
                <w:b/>
                <w:lang w:val="es-MX"/>
              </w:rPr>
              <w:t>UNIDAD DE BÚSQUEDA DE PERSONAS DADAS POR DESAPARECIDAS EN EL CONTEXTO Y EN RAZÓN DEL CONFLICTO ARMADO – UBPD.</w:t>
            </w:r>
          </w:p>
        </w:tc>
      </w:tr>
    </w:tbl>
    <w:p w14:paraId="1A9C3918" w14:textId="77777777" w:rsidR="001A4684" w:rsidRPr="004B1294" w:rsidRDefault="001A4684" w:rsidP="001A4684">
      <w:pPr>
        <w:ind w:left="-284" w:right="-518"/>
        <w:jc w:val="both"/>
        <w:rPr>
          <w:rFonts w:ascii="Arial" w:hAnsi="Arial" w:cs="Arial"/>
          <w:sz w:val="16"/>
          <w:szCs w:val="16"/>
        </w:rPr>
      </w:pPr>
      <w:r w:rsidRPr="004B1294">
        <w:rPr>
          <w:rFonts w:ascii="Arial" w:hAnsi="Arial" w:cs="Arial"/>
          <w:sz w:val="16"/>
          <w:szCs w:val="16"/>
        </w:rPr>
        <w:t xml:space="preserve">Fuente: Informes presupuestales presentados por las </w:t>
      </w:r>
      <w:r>
        <w:rPr>
          <w:rFonts w:ascii="Arial" w:hAnsi="Arial" w:cs="Arial"/>
          <w:sz w:val="16"/>
          <w:szCs w:val="16"/>
        </w:rPr>
        <w:t>Unidades</w:t>
      </w:r>
      <w:r w:rsidRPr="004B1294">
        <w:rPr>
          <w:rFonts w:ascii="Arial" w:hAnsi="Arial" w:cs="Arial"/>
          <w:sz w:val="16"/>
          <w:szCs w:val="16"/>
        </w:rPr>
        <w:t xml:space="preserve"> </w:t>
      </w:r>
      <w:r>
        <w:rPr>
          <w:rFonts w:ascii="Arial" w:hAnsi="Arial" w:cs="Arial"/>
          <w:sz w:val="16"/>
          <w:szCs w:val="16"/>
        </w:rPr>
        <w:t>E</w:t>
      </w:r>
      <w:r w:rsidRPr="004B1294">
        <w:rPr>
          <w:rFonts w:ascii="Arial" w:hAnsi="Arial" w:cs="Arial"/>
          <w:sz w:val="16"/>
          <w:szCs w:val="16"/>
        </w:rPr>
        <w:t>jecutoras del presupuesto a la Comisión Legal de Cuentas vigencia fiscal</w:t>
      </w:r>
      <w:r>
        <w:rPr>
          <w:rFonts w:ascii="Arial" w:hAnsi="Arial" w:cs="Arial"/>
          <w:sz w:val="16"/>
          <w:szCs w:val="16"/>
        </w:rPr>
        <w:t xml:space="preserve"> 2024.</w:t>
      </w:r>
    </w:p>
    <w:p w14:paraId="764712E0" w14:textId="77777777" w:rsidR="001A4684" w:rsidRPr="004B1294" w:rsidRDefault="001A4684" w:rsidP="001A4684">
      <w:pPr>
        <w:ind w:left="-284" w:right="-234"/>
        <w:jc w:val="both"/>
        <w:rPr>
          <w:rFonts w:ascii="Arial" w:hAnsi="Arial" w:cs="Arial"/>
          <w:b/>
          <w:sz w:val="28"/>
          <w:szCs w:val="28"/>
          <w:u w:val="single"/>
        </w:rPr>
      </w:pPr>
    </w:p>
    <w:p w14:paraId="21199D22" w14:textId="55352E1B" w:rsidR="006621BE" w:rsidRPr="006621BE" w:rsidRDefault="006621BE" w:rsidP="006621BE">
      <w:pPr>
        <w:ind w:left="-284" w:right="-234"/>
        <w:jc w:val="center"/>
        <w:rPr>
          <w:rFonts w:ascii="Arial" w:hAnsi="Arial" w:cs="Arial"/>
          <w:b/>
          <w:sz w:val="28"/>
          <w:szCs w:val="28"/>
          <w:u w:val="single"/>
          <w:lang w:val="es-ES_tradnl"/>
        </w:rPr>
      </w:pPr>
      <w:r w:rsidRPr="006621BE">
        <w:rPr>
          <w:rFonts w:ascii="Arial" w:hAnsi="Arial" w:cs="Arial"/>
          <w:b/>
          <w:sz w:val="28"/>
          <w:szCs w:val="28"/>
          <w:u w:val="single"/>
        </w:rPr>
        <w:t>7.- UNIDADES</w:t>
      </w:r>
      <w:r w:rsidRPr="006621BE">
        <w:rPr>
          <w:rFonts w:ascii="Arial" w:hAnsi="Arial" w:cs="Arial"/>
          <w:b/>
          <w:sz w:val="28"/>
          <w:szCs w:val="28"/>
          <w:u w:val="single"/>
          <w:lang w:val="es-ES_tradnl"/>
        </w:rPr>
        <w:t xml:space="preserve"> EJECUTORAS DEL PRESUPUESTO GENERAL DE LA NACIÓN QUE LE REPORTARON A LA COMISIÓN LEGAL DE CUENTAS DE LA CÁMARA DE REPRESENTANTES QUE EL SISTEMA INTEGRADO DE INFORMACIÓN FINANCIERA SIIF II NACIÓN PRESENTÓ LIMITACIONES EN SU APLICACIÓN A 31 DE DICIEMBRE DE 2024 ASÍ:</w:t>
      </w:r>
    </w:p>
    <w:p w14:paraId="70DAFFFF" w14:textId="77777777" w:rsidR="006621BE" w:rsidRDefault="006621BE" w:rsidP="006621BE">
      <w:pPr>
        <w:ind w:left="-284" w:right="-234"/>
        <w:jc w:val="both"/>
        <w:rPr>
          <w:rFonts w:ascii="Arial" w:hAnsi="Arial" w:cs="Arial"/>
          <w:b/>
          <w:sz w:val="28"/>
          <w:szCs w:val="28"/>
          <w:lang w:val="es-MX"/>
        </w:rPr>
      </w:pPr>
    </w:p>
    <w:p w14:paraId="0C17E254" w14:textId="7436AEC0" w:rsidR="006621BE" w:rsidRPr="000A498B" w:rsidRDefault="006621BE" w:rsidP="006621BE">
      <w:pPr>
        <w:ind w:left="-284" w:right="-234"/>
        <w:jc w:val="both"/>
        <w:rPr>
          <w:rFonts w:ascii="Arial" w:hAnsi="Arial" w:cs="Arial"/>
          <w:b/>
          <w:sz w:val="28"/>
          <w:szCs w:val="28"/>
          <w:lang w:val="es-MX"/>
        </w:rPr>
      </w:pPr>
      <w:r w:rsidRPr="000A498B">
        <w:rPr>
          <w:rFonts w:ascii="Arial" w:hAnsi="Arial" w:cs="Arial"/>
          <w:b/>
          <w:sz w:val="28"/>
          <w:szCs w:val="28"/>
          <w:lang w:val="es-MX"/>
        </w:rPr>
        <w:t>2 U.A.E. DIRECCIÓN DE IMPUESTOS Y ADUANAS NACIONALES – DIAN FUNCIÓN PAGADORA.</w:t>
      </w:r>
    </w:p>
    <w:p w14:paraId="0B527514" w14:textId="77777777" w:rsidR="006621BE" w:rsidRPr="000A498B" w:rsidRDefault="006621BE" w:rsidP="006621BE">
      <w:pPr>
        <w:ind w:left="-284" w:right="-234"/>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A498B" w14:paraId="380F0FB7" w14:textId="77777777" w:rsidTr="00EF5AF2">
        <w:tc>
          <w:tcPr>
            <w:tcW w:w="993" w:type="dxa"/>
          </w:tcPr>
          <w:p w14:paraId="75623B75"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N°</w:t>
            </w:r>
          </w:p>
        </w:tc>
        <w:tc>
          <w:tcPr>
            <w:tcW w:w="4253" w:type="dxa"/>
          </w:tcPr>
          <w:p w14:paraId="548FE460"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Limitaciones del Sistema SIIF II Nación a 31/12/2024</w:t>
            </w:r>
          </w:p>
          <w:p w14:paraId="2F390DDE" w14:textId="77777777" w:rsidR="006621BE" w:rsidRPr="000A498B" w:rsidRDefault="006621BE" w:rsidP="00EF5AF2">
            <w:pPr>
              <w:tabs>
                <w:tab w:val="left" w:pos="875"/>
              </w:tabs>
              <w:ind w:right="-50"/>
              <w:jc w:val="center"/>
              <w:rPr>
                <w:rFonts w:ascii="Arial" w:hAnsi="Arial" w:cs="Arial"/>
                <w:b/>
              </w:rPr>
            </w:pPr>
          </w:p>
        </w:tc>
        <w:tc>
          <w:tcPr>
            <w:tcW w:w="5244" w:type="dxa"/>
          </w:tcPr>
          <w:p w14:paraId="3AD5D311"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Descripción de la limitación</w:t>
            </w:r>
          </w:p>
        </w:tc>
      </w:tr>
      <w:tr w:rsidR="006621BE" w:rsidRPr="000A498B" w14:paraId="63F8D43F" w14:textId="77777777" w:rsidTr="00EF5AF2">
        <w:tc>
          <w:tcPr>
            <w:tcW w:w="993" w:type="dxa"/>
          </w:tcPr>
          <w:p w14:paraId="34DA9F78"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1</w:t>
            </w:r>
          </w:p>
        </w:tc>
        <w:tc>
          <w:tcPr>
            <w:tcW w:w="4253" w:type="dxa"/>
          </w:tcPr>
          <w:p w14:paraId="42249D14" w14:textId="77777777" w:rsidR="006621BE" w:rsidRPr="000A498B" w:rsidRDefault="006621BE" w:rsidP="00EF5AF2">
            <w:pPr>
              <w:tabs>
                <w:tab w:val="left" w:pos="875"/>
              </w:tabs>
              <w:ind w:right="-50"/>
              <w:jc w:val="both"/>
              <w:rPr>
                <w:rFonts w:ascii="Arial" w:hAnsi="Arial" w:cs="Arial"/>
                <w:b/>
              </w:rPr>
            </w:pPr>
            <w:r w:rsidRPr="000A498B">
              <w:rPr>
                <w:rFonts w:ascii="Arial" w:hAnsi="Arial" w:cs="Arial"/>
                <w:b/>
              </w:rPr>
              <w:t>Técnicas:</w:t>
            </w:r>
          </w:p>
        </w:tc>
        <w:tc>
          <w:tcPr>
            <w:tcW w:w="5244" w:type="dxa"/>
          </w:tcPr>
          <w:p w14:paraId="11AAE3FB" w14:textId="77777777" w:rsidR="006621BE" w:rsidRPr="000A498B" w:rsidRDefault="006621BE" w:rsidP="00EF5AF2">
            <w:pPr>
              <w:tabs>
                <w:tab w:val="left" w:pos="875"/>
              </w:tabs>
              <w:ind w:right="-50"/>
              <w:jc w:val="both"/>
              <w:rPr>
                <w:rFonts w:ascii="Arial" w:hAnsi="Arial" w:cs="Arial"/>
              </w:rPr>
            </w:pPr>
            <w:r w:rsidRPr="000A498B">
              <w:rPr>
                <w:rFonts w:ascii="Arial" w:hAnsi="Arial" w:cs="Arial"/>
                <w:szCs w:val="16"/>
              </w:rPr>
              <w:t>Caídas del sistema periódicos que afectan el proceso de registro de las operaciones contables o lentitud del aplicativo, lo que retrasa la operación.</w:t>
            </w:r>
          </w:p>
        </w:tc>
      </w:tr>
      <w:tr w:rsidR="006621BE" w:rsidRPr="000A498B" w14:paraId="51F1A4A9" w14:textId="77777777" w:rsidTr="00EF5AF2">
        <w:tc>
          <w:tcPr>
            <w:tcW w:w="993" w:type="dxa"/>
          </w:tcPr>
          <w:p w14:paraId="5BF35A57"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2</w:t>
            </w:r>
          </w:p>
        </w:tc>
        <w:tc>
          <w:tcPr>
            <w:tcW w:w="4253" w:type="dxa"/>
          </w:tcPr>
          <w:p w14:paraId="21DD9333" w14:textId="77777777" w:rsidR="006621BE" w:rsidRPr="000A498B" w:rsidRDefault="006621BE" w:rsidP="00EF5AF2">
            <w:pPr>
              <w:tabs>
                <w:tab w:val="left" w:pos="875"/>
              </w:tabs>
              <w:ind w:right="-50"/>
              <w:jc w:val="both"/>
              <w:rPr>
                <w:rFonts w:ascii="Arial" w:hAnsi="Arial" w:cs="Arial"/>
                <w:b/>
              </w:rPr>
            </w:pPr>
            <w:r w:rsidRPr="000A498B">
              <w:rPr>
                <w:rFonts w:ascii="Arial" w:hAnsi="Arial" w:cs="Arial"/>
                <w:b/>
              </w:rPr>
              <w:t>Operativas:</w:t>
            </w:r>
          </w:p>
        </w:tc>
        <w:tc>
          <w:tcPr>
            <w:tcW w:w="5244" w:type="dxa"/>
          </w:tcPr>
          <w:p w14:paraId="4C64CBF7" w14:textId="77777777" w:rsidR="006621BE" w:rsidRPr="000A498B" w:rsidRDefault="006621BE" w:rsidP="00EF5AF2">
            <w:pPr>
              <w:tabs>
                <w:tab w:val="left" w:pos="875"/>
              </w:tabs>
              <w:ind w:right="-50"/>
              <w:jc w:val="both"/>
              <w:rPr>
                <w:rFonts w:ascii="Arial" w:hAnsi="Arial" w:cs="Arial"/>
              </w:rPr>
            </w:pPr>
            <w:r w:rsidRPr="000A498B">
              <w:rPr>
                <w:rFonts w:ascii="Arial" w:hAnsi="Arial" w:cs="Arial"/>
                <w:szCs w:val="16"/>
                <w:lang w:val="es-ES_tradnl"/>
              </w:rPr>
              <w:t>El déficit de PAC durante el último trimestre de la vigencia 2024, retraso los pagos de los proveedores, estas obligaciones fuero constituidas como rezago presupuestal según lo dispuesto en el artículo 29 del Decreto 1523/2024</w:t>
            </w:r>
          </w:p>
        </w:tc>
      </w:tr>
      <w:tr w:rsidR="006621BE" w:rsidRPr="000A498B" w14:paraId="13AEBBBF" w14:textId="77777777" w:rsidTr="00EF5AF2">
        <w:tc>
          <w:tcPr>
            <w:tcW w:w="993" w:type="dxa"/>
          </w:tcPr>
          <w:p w14:paraId="3E46D0BE"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3</w:t>
            </w:r>
          </w:p>
        </w:tc>
        <w:tc>
          <w:tcPr>
            <w:tcW w:w="4253" w:type="dxa"/>
          </w:tcPr>
          <w:p w14:paraId="3DC2F1B3" w14:textId="77777777" w:rsidR="006621BE" w:rsidRPr="000A498B" w:rsidRDefault="006621BE" w:rsidP="00EF5AF2">
            <w:pPr>
              <w:tabs>
                <w:tab w:val="left" w:pos="875"/>
              </w:tabs>
              <w:ind w:right="-50"/>
              <w:jc w:val="both"/>
              <w:rPr>
                <w:rFonts w:ascii="Arial" w:hAnsi="Arial" w:cs="Arial"/>
                <w:b/>
              </w:rPr>
            </w:pPr>
            <w:r w:rsidRPr="000A498B">
              <w:rPr>
                <w:rFonts w:ascii="Arial" w:hAnsi="Arial" w:cs="Arial"/>
                <w:b/>
              </w:rPr>
              <w:t>Soporte a la plataforma:</w:t>
            </w:r>
          </w:p>
        </w:tc>
        <w:tc>
          <w:tcPr>
            <w:tcW w:w="5244" w:type="dxa"/>
          </w:tcPr>
          <w:p w14:paraId="7ABF3059" w14:textId="77777777" w:rsidR="006621BE" w:rsidRPr="000A498B" w:rsidRDefault="006621BE" w:rsidP="00EF5AF2">
            <w:pPr>
              <w:tabs>
                <w:tab w:val="left" w:pos="875"/>
              </w:tabs>
              <w:ind w:right="-50"/>
              <w:jc w:val="both"/>
              <w:rPr>
                <w:rFonts w:ascii="Arial" w:hAnsi="Arial" w:cs="Arial"/>
              </w:rPr>
            </w:pPr>
            <w:r w:rsidRPr="000A498B">
              <w:rPr>
                <w:rFonts w:ascii="Arial" w:hAnsi="Arial" w:cs="Arial"/>
                <w:szCs w:val="16"/>
              </w:rPr>
              <w:t>Demoras en la atención de incidentes reportados.</w:t>
            </w:r>
          </w:p>
        </w:tc>
      </w:tr>
    </w:tbl>
    <w:p w14:paraId="31655A24" w14:textId="77777777" w:rsidR="006621BE" w:rsidRDefault="006621BE" w:rsidP="006621BE">
      <w:pPr>
        <w:ind w:left="-284" w:right="-460"/>
        <w:rPr>
          <w:rFonts w:ascii="Arial" w:hAnsi="Arial" w:cs="Arial"/>
          <w:b/>
          <w:sz w:val="28"/>
          <w:szCs w:val="28"/>
        </w:rPr>
      </w:pPr>
    </w:p>
    <w:p w14:paraId="183FE30F" w14:textId="77777777" w:rsidR="006621BE" w:rsidRPr="00605C6A" w:rsidRDefault="006621BE" w:rsidP="006621BE">
      <w:pPr>
        <w:ind w:left="-284" w:right="-234"/>
        <w:jc w:val="both"/>
        <w:rPr>
          <w:rFonts w:ascii="Arial" w:hAnsi="Arial" w:cs="Arial"/>
          <w:b/>
          <w:sz w:val="28"/>
          <w:szCs w:val="28"/>
          <w:lang w:val="es-MX"/>
        </w:rPr>
      </w:pPr>
      <w:r w:rsidRPr="00605C6A">
        <w:rPr>
          <w:rFonts w:ascii="Arial" w:hAnsi="Arial" w:cs="Arial"/>
          <w:b/>
          <w:sz w:val="28"/>
          <w:szCs w:val="28"/>
          <w:lang w:val="es-MX"/>
        </w:rPr>
        <w:t>5.- UNIDAD ADMINISTRATIVA ESPECIAL DEL SERVICIO PÚBLICO DE EMPLEO.</w:t>
      </w:r>
    </w:p>
    <w:p w14:paraId="65F670F7" w14:textId="77777777" w:rsidR="006621BE" w:rsidRDefault="006621BE" w:rsidP="006621BE">
      <w:pPr>
        <w:ind w:left="-284" w:right="-460"/>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605C6A" w14:paraId="79EE626F" w14:textId="77777777" w:rsidTr="00EF5AF2">
        <w:tc>
          <w:tcPr>
            <w:tcW w:w="993" w:type="dxa"/>
          </w:tcPr>
          <w:p w14:paraId="3A58AE9D" w14:textId="77777777" w:rsidR="006621BE" w:rsidRPr="00605C6A" w:rsidRDefault="006621BE" w:rsidP="00EF5AF2">
            <w:pPr>
              <w:tabs>
                <w:tab w:val="left" w:pos="875"/>
              </w:tabs>
              <w:ind w:right="-50"/>
              <w:jc w:val="center"/>
              <w:rPr>
                <w:rFonts w:ascii="Arial" w:hAnsi="Arial" w:cs="Arial"/>
                <w:b/>
              </w:rPr>
            </w:pPr>
            <w:r w:rsidRPr="00605C6A">
              <w:rPr>
                <w:rFonts w:ascii="Arial" w:hAnsi="Arial" w:cs="Arial"/>
                <w:b/>
              </w:rPr>
              <w:t>N°</w:t>
            </w:r>
          </w:p>
        </w:tc>
        <w:tc>
          <w:tcPr>
            <w:tcW w:w="4253" w:type="dxa"/>
          </w:tcPr>
          <w:p w14:paraId="772F92AD" w14:textId="77777777" w:rsidR="006621BE" w:rsidRPr="00605C6A" w:rsidRDefault="006621BE" w:rsidP="00EF5AF2">
            <w:pPr>
              <w:tabs>
                <w:tab w:val="left" w:pos="875"/>
              </w:tabs>
              <w:ind w:right="-50"/>
              <w:jc w:val="center"/>
              <w:rPr>
                <w:rFonts w:ascii="Arial" w:hAnsi="Arial" w:cs="Arial"/>
                <w:b/>
              </w:rPr>
            </w:pPr>
            <w:r w:rsidRPr="00605C6A">
              <w:rPr>
                <w:rFonts w:ascii="Arial" w:hAnsi="Arial" w:cs="Arial"/>
                <w:b/>
              </w:rPr>
              <w:t>Limitaciones del Sistema SIIF II Nación a 31/12/2024</w:t>
            </w:r>
          </w:p>
          <w:p w14:paraId="771AE849" w14:textId="77777777" w:rsidR="006621BE" w:rsidRPr="00605C6A" w:rsidRDefault="006621BE" w:rsidP="00EF5AF2">
            <w:pPr>
              <w:tabs>
                <w:tab w:val="left" w:pos="875"/>
              </w:tabs>
              <w:ind w:right="-50"/>
              <w:jc w:val="center"/>
              <w:rPr>
                <w:rFonts w:ascii="Arial" w:hAnsi="Arial" w:cs="Arial"/>
                <w:b/>
              </w:rPr>
            </w:pPr>
          </w:p>
        </w:tc>
        <w:tc>
          <w:tcPr>
            <w:tcW w:w="5244" w:type="dxa"/>
          </w:tcPr>
          <w:p w14:paraId="5E4E3905" w14:textId="77777777" w:rsidR="006621BE" w:rsidRPr="00605C6A" w:rsidRDefault="006621BE" w:rsidP="00EF5AF2">
            <w:pPr>
              <w:tabs>
                <w:tab w:val="left" w:pos="875"/>
              </w:tabs>
              <w:ind w:right="-50"/>
              <w:jc w:val="center"/>
              <w:rPr>
                <w:rFonts w:ascii="Arial" w:hAnsi="Arial" w:cs="Arial"/>
                <w:b/>
              </w:rPr>
            </w:pPr>
            <w:r w:rsidRPr="00605C6A">
              <w:rPr>
                <w:rFonts w:ascii="Arial" w:hAnsi="Arial" w:cs="Arial"/>
                <w:b/>
              </w:rPr>
              <w:t>Descripción de la limitación</w:t>
            </w:r>
          </w:p>
        </w:tc>
      </w:tr>
      <w:tr w:rsidR="006621BE" w:rsidRPr="00605C6A" w14:paraId="6BF119AA" w14:textId="77777777" w:rsidTr="00EF5AF2">
        <w:tc>
          <w:tcPr>
            <w:tcW w:w="993" w:type="dxa"/>
          </w:tcPr>
          <w:p w14:paraId="49433290" w14:textId="77777777" w:rsidR="006621BE" w:rsidRPr="00605C6A" w:rsidRDefault="006621BE" w:rsidP="00EF5AF2">
            <w:pPr>
              <w:tabs>
                <w:tab w:val="left" w:pos="875"/>
              </w:tabs>
              <w:ind w:right="-50"/>
              <w:jc w:val="center"/>
              <w:rPr>
                <w:rFonts w:ascii="Arial" w:hAnsi="Arial" w:cs="Arial"/>
                <w:b/>
              </w:rPr>
            </w:pPr>
            <w:r w:rsidRPr="00605C6A">
              <w:rPr>
                <w:rFonts w:ascii="Arial" w:hAnsi="Arial" w:cs="Arial"/>
                <w:b/>
              </w:rPr>
              <w:t>1</w:t>
            </w:r>
          </w:p>
        </w:tc>
        <w:tc>
          <w:tcPr>
            <w:tcW w:w="4253" w:type="dxa"/>
          </w:tcPr>
          <w:p w14:paraId="31F78A11" w14:textId="77777777" w:rsidR="006621BE" w:rsidRPr="00605C6A" w:rsidRDefault="006621BE" w:rsidP="00EF5AF2">
            <w:pPr>
              <w:tabs>
                <w:tab w:val="left" w:pos="875"/>
              </w:tabs>
              <w:ind w:right="-50"/>
              <w:jc w:val="both"/>
              <w:rPr>
                <w:rFonts w:ascii="Arial" w:hAnsi="Arial" w:cs="Arial"/>
                <w:b/>
              </w:rPr>
            </w:pPr>
            <w:r w:rsidRPr="00605C6A">
              <w:rPr>
                <w:rFonts w:ascii="Arial" w:hAnsi="Arial" w:cs="Arial"/>
                <w:b/>
              </w:rPr>
              <w:t>Operativas:</w:t>
            </w:r>
          </w:p>
        </w:tc>
        <w:tc>
          <w:tcPr>
            <w:tcW w:w="5244" w:type="dxa"/>
          </w:tcPr>
          <w:p w14:paraId="00787A28" w14:textId="77777777" w:rsidR="006621BE" w:rsidRPr="00605C6A" w:rsidRDefault="006621BE" w:rsidP="00EF5AF2">
            <w:pPr>
              <w:tabs>
                <w:tab w:val="left" w:pos="875"/>
              </w:tabs>
              <w:ind w:right="-50"/>
              <w:jc w:val="both"/>
              <w:rPr>
                <w:rFonts w:ascii="Arial" w:hAnsi="Arial" w:cs="Arial"/>
              </w:rPr>
            </w:pPr>
            <w:r w:rsidRPr="00605C6A">
              <w:rPr>
                <w:rFonts w:ascii="Arial" w:hAnsi="Arial" w:cs="Arial"/>
              </w:rPr>
              <w:t>La principal limitación que presenta el Sistema Integrado de Información Financiera – SIIF II es que este sistema no cuenta con el módulo de activos fijos y nómina, lo cual hace que se realicen registros manuales para el reconocimiento de depreciaciones, amortizaciones, provisiones, alícuotas, etc., lo cual además de generar alta carga operativa para los funcionarios del área contable, aumenta el tiempo de revisiones y riesgos de errores en los registros contables.</w:t>
            </w:r>
          </w:p>
          <w:p w14:paraId="28F30B0D" w14:textId="77777777" w:rsidR="006621BE" w:rsidRPr="00605C6A" w:rsidRDefault="006621BE" w:rsidP="00EF5AF2">
            <w:pPr>
              <w:tabs>
                <w:tab w:val="left" w:pos="875"/>
              </w:tabs>
              <w:ind w:right="-50"/>
              <w:jc w:val="both"/>
              <w:rPr>
                <w:rFonts w:ascii="Arial" w:hAnsi="Arial" w:cs="Arial"/>
              </w:rPr>
            </w:pPr>
          </w:p>
          <w:p w14:paraId="0EFBC63F" w14:textId="77777777" w:rsidR="006621BE" w:rsidRPr="00605C6A" w:rsidRDefault="006621BE" w:rsidP="00EF5AF2">
            <w:pPr>
              <w:tabs>
                <w:tab w:val="left" w:pos="875"/>
              </w:tabs>
              <w:ind w:right="-50"/>
              <w:jc w:val="both"/>
              <w:rPr>
                <w:rFonts w:ascii="Arial" w:hAnsi="Arial" w:cs="Arial"/>
              </w:rPr>
            </w:pPr>
            <w:r w:rsidRPr="00605C6A">
              <w:rPr>
                <w:rFonts w:ascii="Arial" w:hAnsi="Arial" w:cs="Arial"/>
              </w:rPr>
              <w:t xml:space="preserve">Adicionalmente, durante el año 2024 el Sistema Integrado de Información Financiera – SIIF II Nación II, presentó caídas continuas en la prestación del servicio y en fechas clave para el cierre de estados financieros, donde no permitía el acceso al aplicativo, sobre todo para el cierre de la vigencia.  </w:t>
            </w:r>
          </w:p>
        </w:tc>
      </w:tr>
    </w:tbl>
    <w:p w14:paraId="1B728EDA" w14:textId="77777777" w:rsidR="006621BE" w:rsidRDefault="006621BE" w:rsidP="006621BE">
      <w:pPr>
        <w:ind w:left="-284" w:right="-234"/>
        <w:jc w:val="both"/>
        <w:rPr>
          <w:rFonts w:ascii="Arial" w:hAnsi="Arial" w:cs="Arial"/>
          <w:b/>
          <w:sz w:val="28"/>
          <w:szCs w:val="28"/>
          <w:lang w:val="es-MX"/>
        </w:rPr>
      </w:pPr>
    </w:p>
    <w:p w14:paraId="14DEF546" w14:textId="50C78FF6" w:rsidR="006621BE" w:rsidRDefault="006621BE" w:rsidP="006621BE">
      <w:pPr>
        <w:ind w:left="-284"/>
        <w:jc w:val="both"/>
        <w:rPr>
          <w:rFonts w:ascii="Arial" w:hAnsi="Arial" w:cs="Arial"/>
          <w:b/>
          <w:sz w:val="28"/>
          <w:szCs w:val="28"/>
          <w:lang w:val="es-MX"/>
        </w:rPr>
      </w:pPr>
      <w:r w:rsidRPr="00F82CFD">
        <w:rPr>
          <w:rFonts w:ascii="Arial" w:hAnsi="Arial" w:cs="Arial"/>
          <w:b/>
          <w:sz w:val="28"/>
          <w:szCs w:val="28"/>
          <w:lang w:val="es-MX"/>
        </w:rPr>
        <w:t>7.- INSTITUTO NACIONAL DE SALUD - INS.</w:t>
      </w:r>
    </w:p>
    <w:p w14:paraId="12EAB7EC" w14:textId="77777777" w:rsidR="008E2438" w:rsidRPr="00F82CFD" w:rsidRDefault="008E2438" w:rsidP="006621BE">
      <w:pPr>
        <w:ind w:left="-284"/>
        <w:jc w:val="both"/>
        <w:rPr>
          <w:rFonts w:ascii="Arial" w:hAnsi="Arial" w:cs="Arial"/>
          <w:b/>
          <w:sz w:val="28"/>
          <w:szCs w:val="28"/>
          <w:lang w:val="es-MX"/>
        </w:rPr>
      </w:pPr>
    </w:p>
    <w:p w14:paraId="2E0CF30C" w14:textId="77777777" w:rsidR="006621BE" w:rsidRPr="001D77EC" w:rsidRDefault="006621BE" w:rsidP="006621BE">
      <w:pPr>
        <w:pStyle w:val="Textoindependiente"/>
        <w:ind w:left="-284" w:right="-234"/>
        <w:jc w:val="both"/>
        <w:rPr>
          <w:rFonts w:ascii="Arial" w:hAnsi="Arial" w:cs="Arial"/>
          <w:sz w:val="24"/>
          <w:szCs w:val="24"/>
        </w:rPr>
      </w:pPr>
      <w:r w:rsidRPr="001D77EC">
        <w:rPr>
          <w:rFonts w:ascii="Arial" w:hAnsi="Arial" w:cs="Arial"/>
          <w:b/>
        </w:rPr>
        <w:t xml:space="preserve">- </w:t>
      </w:r>
      <w:r w:rsidRPr="001D77EC">
        <w:rPr>
          <w:rFonts w:ascii="Arial" w:hAnsi="Arial" w:cs="Arial"/>
          <w:b/>
          <w:sz w:val="24"/>
          <w:szCs w:val="24"/>
        </w:rPr>
        <w:t xml:space="preserve">1.2. Declaración de cumplimiento del marco normativo y limitaciones: </w:t>
      </w:r>
      <w:r w:rsidRPr="001D77EC">
        <w:rPr>
          <w:rFonts w:ascii="Arial" w:hAnsi="Arial" w:cs="Arial"/>
          <w:sz w:val="24"/>
          <w:szCs w:val="24"/>
        </w:rPr>
        <w:t xml:space="preserve">Las principales limitaciones se encuentran en no contar con todos los módulos en SIIF que dentro del desarrollo de su cometido estatal requiere el Instituto Nacional de Salud, </w:t>
      </w:r>
      <w:r w:rsidRPr="001D77EC">
        <w:rPr>
          <w:rFonts w:ascii="Arial" w:hAnsi="Arial" w:cs="Arial"/>
          <w:b/>
          <w:sz w:val="24"/>
          <w:szCs w:val="24"/>
          <w:u w:val="single"/>
        </w:rPr>
        <w:t>tales como Nómina, Manejo de Almacén e Inventarios y Costos</w:t>
      </w:r>
      <w:r w:rsidRPr="001D77EC">
        <w:rPr>
          <w:rFonts w:ascii="Arial" w:hAnsi="Arial" w:cs="Arial"/>
          <w:sz w:val="24"/>
          <w:szCs w:val="24"/>
        </w:rPr>
        <w:t xml:space="preserve">, lo cual genera retardos en el cumplimiento de las fechas de </w:t>
      </w:r>
      <w:r w:rsidRPr="001D77EC">
        <w:rPr>
          <w:rFonts w:ascii="Arial" w:hAnsi="Arial" w:cs="Arial"/>
          <w:sz w:val="24"/>
          <w:szCs w:val="24"/>
        </w:rPr>
        <w:lastRenderedPageBreak/>
        <w:t>entrega de la información por parte de las dependencias generadoras a Contabilidad para su cargue antes de los cierres contables mensuales.</w:t>
      </w:r>
    </w:p>
    <w:p w14:paraId="41D4E495" w14:textId="77777777" w:rsidR="006621BE" w:rsidRDefault="006621BE" w:rsidP="006621BE">
      <w:pPr>
        <w:ind w:left="-284" w:right="-234"/>
        <w:jc w:val="both"/>
        <w:rPr>
          <w:rFonts w:ascii="Arial" w:hAnsi="Arial" w:cs="Arial"/>
          <w:b/>
          <w:sz w:val="28"/>
          <w:szCs w:val="28"/>
          <w:lang w:val="es-MX"/>
        </w:rPr>
      </w:pPr>
    </w:p>
    <w:p w14:paraId="1F51FE13" w14:textId="77777777" w:rsidR="006621BE" w:rsidRPr="00813468" w:rsidRDefault="006621BE" w:rsidP="006621BE">
      <w:pPr>
        <w:ind w:left="-284" w:right="-234"/>
        <w:jc w:val="both"/>
        <w:rPr>
          <w:rFonts w:ascii="Arial" w:hAnsi="Arial" w:cs="Arial"/>
          <w:b/>
          <w:sz w:val="28"/>
          <w:szCs w:val="28"/>
          <w:lang w:val="es-MX"/>
        </w:rPr>
      </w:pPr>
      <w:r w:rsidRPr="00813468">
        <w:rPr>
          <w:rFonts w:ascii="Arial" w:hAnsi="Arial" w:cs="Arial"/>
          <w:b/>
          <w:sz w:val="28"/>
          <w:szCs w:val="28"/>
          <w:lang w:val="es-MX"/>
        </w:rPr>
        <w:t>8.- DEPARTAMENTO ADMINISTRATIVO DIRECCIÓN NACIONAL DE INTELIGENCIA.</w:t>
      </w:r>
    </w:p>
    <w:p w14:paraId="278CDF7E" w14:textId="77777777" w:rsidR="006621BE" w:rsidRDefault="006621BE" w:rsidP="006621BE">
      <w:pPr>
        <w:ind w:left="-284" w:right="-460"/>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BB3D48" w14:paraId="020FB170" w14:textId="77777777" w:rsidTr="00EF5AF2">
        <w:tc>
          <w:tcPr>
            <w:tcW w:w="993" w:type="dxa"/>
          </w:tcPr>
          <w:p w14:paraId="6266AE47" w14:textId="77777777" w:rsidR="006621BE" w:rsidRPr="00BB3D48" w:rsidRDefault="006621BE" w:rsidP="00EF5AF2">
            <w:pPr>
              <w:tabs>
                <w:tab w:val="left" w:pos="875"/>
              </w:tabs>
              <w:ind w:right="-50"/>
              <w:jc w:val="center"/>
              <w:rPr>
                <w:rFonts w:ascii="Arial" w:hAnsi="Arial" w:cs="Arial"/>
                <w:b/>
              </w:rPr>
            </w:pPr>
            <w:r w:rsidRPr="00BB3D48">
              <w:rPr>
                <w:rFonts w:ascii="Arial" w:hAnsi="Arial" w:cs="Arial"/>
                <w:b/>
              </w:rPr>
              <w:t>N°</w:t>
            </w:r>
          </w:p>
        </w:tc>
        <w:tc>
          <w:tcPr>
            <w:tcW w:w="4253" w:type="dxa"/>
          </w:tcPr>
          <w:p w14:paraId="1838BAE7" w14:textId="77777777" w:rsidR="006621BE" w:rsidRPr="00BB3D48" w:rsidRDefault="006621BE" w:rsidP="00EF5AF2">
            <w:pPr>
              <w:tabs>
                <w:tab w:val="left" w:pos="875"/>
              </w:tabs>
              <w:ind w:right="-50"/>
              <w:jc w:val="center"/>
              <w:rPr>
                <w:rFonts w:ascii="Arial" w:hAnsi="Arial" w:cs="Arial"/>
                <w:b/>
              </w:rPr>
            </w:pPr>
            <w:r w:rsidRPr="00BB3D48">
              <w:rPr>
                <w:rFonts w:ascii="Arial" w:hAnsi="Arial" w:cs="Arial"/>
                <w:b/>
              </w:rPr>
              <w:t>Limitaciones del Sistema SIIF II Nación a 31/12/2024</w:t>
            </w:r>
          </w:p>
          <w:p w14:paraId="5366F2FA" w14:textId="77777777" w:rsidR="006621BE" w:rsidRPr="00BB3D48" w:rsidRDefault="006621BE" w:rsidP="00EF5AF2">
            <w:pPr>
              <w:tabs>
                <w:tab w:val="left" w:pos="875"/>
              </w:tabs>
              <w:ind w:right="-50"/>
              <w:jc w:val="center"/>
              <w:rPr>
                <w:rFonts w:ascii="Arial" w:hAnsi="Arial" w:cs="Arial"/>
                <w:b/>
              </w:rPr>
            </w:pPr>
          </w:p>
        </w:tc>
        <w:tc>
          <w:tcPr>
            <w:tcW w:w="5244" w:type="dxa"/>
          </w:tcPr>
          <w:p w14:paraId="2F845077" w14:textId="77777777" w:rsidR="006621BE" w:rsidRPr="00BB3D48" w:rsidRDefault="006621BE" w:rsidP="00EF5AF2">
            <w:pPr>
              <w:tabs>
                <w:tab w:val="left" w:pos="875"/>
              </w:tabs>
              <w:ind w:right="-50"/>
              <w:jc w:val="center"/>
              <w:rPr>
                <w:rFonts w:ascii="Arial" w:hAnsi="Arial" w:cs="Arial"/>
                <w:b/>
              </w:rPr>
            </w:pPr>
            <w:r w:rsidRPr="00BB3D48">
              <w:rPr>
                <w:rFonts w:ascii="Arial" w:hAnsi="Arial" w:cs="Arial"/>
                <w:b/>
              </w:rPr>
              <w:t>Descripción de la limitación</w:t>
            </w:r>
          </w:p>
        </w:tc>
      </w:tr>
      <w:tr w:rsidR="006621BE" w:rsidRPr="00BB3D48" w14:paraId="2A26615C" w14:textId="77777777" w:rsidTr="00EF5AF2">
        <w:tc>
          <w:tcPr>
            <w:tcW w:w="993" w:type="dxa"/>
          </w:tcPr>
          <w:p w14:paraId="2F16BEC0" w14:textId="77777777" w:rsidR="006621BE" w:rsidRPr="00BB3D48" w:rsidRDefault="006621BE" w:rsidP="00EF5AF2">
            <w:pPr>
              <w:tabs>
                <w:tab w:val="left" w:pos="875"/>
              </w:tabs>
              <w:ind w:right="-50"/>
              <w:jc w:val="center"/>
              <w:rPr>
                <w:rFonts w:ascii="Arial" w:hAnsi="Arial" w:cs="Arial"/>
                <w:b/>
              </w:rPr>
            </w:pPr>
            <w:r w:rsidRPr="00BB3D48">
              <w:rPr>
                <w:rFonts w:ascii="Arial" w:hAnsi="Arial" w:cs="Arial"/>
                <w:b/>
              </w:rPr>
              <w:t>1</w:t>
            </w:r>
          </w:p>
        </w:tc>
        <w:tc>
          <w:tcPr>
            <w:tcW w:w="4253" w:type="dxa"/>
            <w:tcBorders>
              <w:top w:val="nil"/>
              <w:left w:val="nil"/>
              <w:bottom w:val="single" w:sz="8" w:space="0" w:color="auto"/>
              <w:right w:val="single" w:sz="8" w:space="0" w:color="auto"/>
            </w:tcBorders>
            <w:shd w:val="clear" w:color="auto" w:fill="auto"/>
            <w:vAlign w:val="center"/>
          </w:tcPr>
          <w:p w14:paraId="16A093E9" w14:textId="77777777" w:rsidR="006621BE" w:rsidRPr="00BB3D48" w:rsidRDefault="006621BE" w:rsidP="00EF5AF2">
            <w:pPr>
              <w:tabs>
                <w:tab w:val="left" w:pos="875"/>
              </w:tabs>
              <w:ind w:right="-50"/>
              <w:jc w:val="both"/>
              <w:rPr>
                <w:rFonts w:ascii="Arial" w:hAnsi="Arial" w:cs="Arial"/>
                <w:color w:val="000000"/>
                <w:sz w:val="18"/>
                <w:szCs w:val="18"/>
                <w:lang w:eastAsia="es-ES"/>
              </w:rPr>
            </w:pPr>
            <w:r w:rsidRPr="00BB3D48">
              <w:rPr>
                <w:rFonts w:ascii="Arial" w:hAnsi="Arial" w:cs="Arial"/>
                <w:b/>
                <w:bCs/>
                <w:color w:val="000000"/>
                <w:sz w:val="18"/>
                <w:szCs w:val="18"/>
                <w:lang w:eastAsia="es-ES"/>
              </w:rPr>
              <w:t xml:space="preserve">Operativas: </w:t>
            </w:r>
            <w:r w:rsidRPr="00BB3D48">
              <w:rPr>
                <w:rFonts w:ascii="Arial" w:hAnsi="Arial" w:cs="Arial"/>
                <w:color w:val="000000"/>
                <w:sz w:val="18"/>
                <w:szCs w:val="18"/>
                <w:lang w:eastAsia="es-ES"/>
              </w:rPr>
              <w:t>El sistema SIIF II Nación No cuenta con el módulo de activos fijos que permita llevar el control detallado de cada bien, por lo cual la entidad debe tener un sistema alterno para la Administración de los bienes para ser cargado posteriormente cada cierre de mes de manera manual al Sistema SIIF.</w:t>
            </w:r>
          </w:p>
          <w:p w14:paraId="2957190E" w14:textId="77777777" w:rsidR="006621BE" w:rsidRPr="00BB3D48" w:rsidRDefault="006621BE" w:rsidP="00EF5AF2">
            <w:pPr>
              <w:tabs>
                <w:tab w:val="left" w:pos="875"/>
              </w:tabs>
              <w:ind w:right="-50"/>
              <w:jc w:val="both"/>
              <w:rPr>
                <w:rFonts w:ascii="Arial" w:hAnsi="Arial" w:cs="Arial"/>
                <w:color w:val="000000"/>
                <w:sz w:val="18"/>
                <w:szCs w:val="18"/>
                <w:lang w:eastAsia="es-ES"/>
              </w:rPr>
            </w:pPr>
          </w:p>
          <w:p w14:paraId="0D68E589" w14:textId="77777777" w:rsidR="006621BE" w:rsidRPr="00BB3D48" w:rsidRDefault="006621BE" w:rsidP="00EF5AF2">
            <w:pPr>
              <w:tabs>
                <w:tab w:val="left" w:pos="875"/>
              </w:tabs>
              <w:ind w:right="-50"/>
              <w:jc w:val="both"/>
              <w:rPr>
                <w:rFonts w:ascii="Arial" w:hAnsi="Arial" w:cs="Arial"/>
                <w:color w:val="000000"/>
                <w:sz w:val="18"/>
                <w:szCs w:val="18"/>
                <w:lang w:eastAsia="es-ES"/>
              </w:rPr>
            </w:pPr>
          </w:p>
          <w:p w14:paraId="0C3A7C22" w14:textId="77777777" w:rsidR="006621BE" w:rsidRPr="00BB3D48" w:rsidRDefault="006621BE" w:rsidP="00EF5AF2">
            <w:pPr>
              <w:tabs>
                <w:tab w:val="left" w:pos="875"/>
              </w:tabs>
              <w:ind w:right="-50"/>
              <w:jc w:val="both"/>
              <w:rPr>
                <w:rFonts w:ascii="Arial" w:hAnsi="Arial" w:cs="Arial"/>
                <w:b/>
              </w:rPr>
            </w:pPr>
            <w:r w:rsidRPr="00BB3D48">
              <w:rPr>
                <w:rFonts w:ascii="Arial" w:hAnsi="Arial" w:cs="Arial"/>
                <w:b/>
                <w:bCs/>
                <w:color w:val="000000"/>
                <w:sz w:val="18"/>
                <w:szCs w:val="18"/>
                <w:lang w:eastAsia="es-ES"/>
              </w:rPr>
              <w:t xml:space="preserve">Operativas: </w:t>
            </w:r>
            <w:r w:rsidRPr="00BB3D48">
              <w:rPr>
                <w:rFonts w:ascii="Arial" w:hAnsi="Arial" w:cs="Arial"/>
                <w:color w:val="000000"/>
                <w:sz w:val="18"/>
                <w:szCs w:val="18"/>
                <w:lang w:eastAsia="es-ES"/>
              </w:rPr>
              <w:t>El sistema SIIF II Nación No cuenta con el módulo de nómina que permita registrar los ingresos de personal, las novedades, así como la liquidación de pagos salariales y prestaciones sociales, por lo cual la entidad debe recurrir a la liquidación de nómina mensual a través de un aplicativo externo denominado KACTUS.</w:t>
            </w:r>
          </w:p>
        </w:tc>
        <w:tc>
          <w:tcPr>
            <w:tcW w:w="5244" w:type="dxa"/>
          </w:tcPr>
          <w:p w14:paraId="3AB8E324" w14:textId="77777777" w:rsidR="006621BE" w:rsidRPr="00BB3D48" w:rsidRDefault="006621BE" w:rsidP="00EF5AF2">
            <w:pPr>
              <w:tabs>
                <w:tab w:val="left" w:pos="875"/>
              </w:tabs>
              <w:ind w:right="-50"/>
              <w:jc w:val="both"/>
              <w:rPr>
                <w:rFonts w:ascii="Arial" w:hAnsi="Arial" w:cs="Arial"/>
              </w:rPr>
            </w:pPr>
            <w:r w:rsidRPr="00BB3D48">
              <w:rPr>
                <w:rFonts w:ascii="Arial" w:hAnsi="Arial" w:cs="Arial"/>
              </w:rPr>
              <w:t>Los registros contables relacionados con el movimiento de Propiedad, Planta y Equipo, Inventarios, Activos Intangibles, Depreciación, Amortización y deterioro, se realizan mediante registro contable manual, lo cual es dispendioso dado que el volumen de información a contabilizar es extenso y adicionalmente en virtud de que actualmente se debe tener en cuenta la parametrización de tipificación de interoperabilidad, se deben generar varios comprobantes contables manuales.</w:t>
            </w:r>
          </w:p>
          <w:p w14:paraId="61EEBE28" w14:textId="77777777" w:rsidR="006621BE" w:rsidRPr="00BB3D48" w:rsidRDefault="006621BE" w:rsidP="00EF5AF2">
            <w:pPr>
              <w:tabs>
                <w:tab w:val="left" w:pos="875"/>
              </w:tabs>
              <w:ind w:right="-50"/>
              <w:jc w:val="both"/>
              <w:rPr>
                <w:rFonts w:ascii="Arial" w:hAnsi="Arial" w:cs="Arial"/>
              </w:rPr>
            </w:pPr>
          </w:p>
          <w:p w14:paraId="1F01FBD2" w14:textId="77777777" w:rsidR="006621BE" w:rsidRPr="00BB3D48" w:rsidRDefault="006621BE" w:rsidP="00EF5AF2">
            <w:pPr>
              <w:tabs>
                <w:tab w:val="left" w:pos="875"/>
              </w:tabs>
              <w:ind w:right="-50"/>
              <w:jc w:val="both"/>
              <w:rPr>
                <w:rFonts w:ascii="Arial" w:hAnsi="Arial" w:cs="Arial"/>
              </w:rPr>
            </w:pPr>
            <w:r w:rsidRPr="00BB3D48">
              <w:rPr>
                <w:rFonts w:ascii="Arial" w:hAnsi="Arial" w:cs="Arial"/>
              </w:rPr>
              <w:t>La verificación de la Nómina de los datos generados en el aplicativo KACTUS, así como el cargue de dicha información en el sistema SIIF Nación es una tarea que demanda tiempo adicional y con un riesgo de poder incurrir en algún error involuntario a la hora del cargue, todo ello, en razón a que SIIF Nación no cuenta con un módulo destinado para tal propósito.</w:t>
            </w:r>
          </w:p>
        </w:tc>
      </w:tr>
    </w:tbl>
    <w:p w14:paraId="1D71D77F" w14:textId="77777777" w:rsidR="006621BE" w:rsidRDefault="006621BE" w:rsidP="006621BE">
      <w:pPr>
        <w:ind w:left="-284" w:right="-460"/>
        <w:rPr>
          <w:rFonts w:ascii="Arial" w:hAnsi="Arial" w:cs="Arial"/>
          <w:b/>
          <w:sz w:val="28"/>
          <w:szCs w:val="28"/>
        </w:rPr>
      </w:pPr>
    </w:p>
    <w:p w14:paraId="3364EB25" w14:textId="77777777" w:rsidR="006621BE" w:rsidRPr="0082489B" w:rsidRDefault="006621BE" w:rsidP="006621BE">
      <w:pPr>
        <w:ind w:left="-284" w:right="-234"/>
        <w:jc w:val="both"/>
        <w:rPr>
          <w:rFonts w:ascii="Arial" w:hAnsi="Arial" w:cs="Arial"/>
          <w:b/>
          <w:sz w:val="28"/>
          <w:szCs w:val="28"/>
          <w:lang w:val="es-MX"/>
        </w:rPr>
      </w:pPr>
      <w:r w:rsidRPr="0082489B">
        <w:rPr>
          <w:rFonts w:ascii="Arial" w:hAnsi="Arial" w:cs="Arial"/>
          <w:b/>
          <w:sz w:val="28"/>
          <w:szCs w:val="28"/>
          <w:lang w:val="es-MX"/>
        </w:rPr>
        <w:t>12.- FONDO DE PREVISIÓN SOCIAL DEL CONGRESO DE LA REPÚBLICA – ADMINISTRADORA DE PENSIONES Y CESANTÍAS – FONPRECON.</w:t>
      </w:r>
    </w:p>
    <w:p w14:paraId="419DB346" w14:textId="77777777" w:rsidR="006621BE" w:rsidRDefault="006621BE" w:rsidP="006621BE">
      <w:pPr>
        <w:ind w:left="-284" w:right="-234"/>
        <w:jc w:val="both"/>
        <w:rPr>
          <w:rFonts w:ascii="Arial" w:hAnsi="Arial" w:cs="Arial"/>
          <w:b/>
          <w:sz w:val="28"/>
          <w:szCs w:val="28"/>
          <w:lang w:val="es-MX"/>
        </w:rPr>
      </w:pPr>
    </w:p>
    <w:p w14:paraId="59F34D2F" w14:textId="77777777" w:rsidR="006621BE" w:rsidRDefault="006621BE" w:rsidP="006621BE">
      <w:pPr>
        <w:pStyle w:val="Textoindependiente"/>
        <w:ind w:left="-284" w:right="-234"/>
        <w:jc w:val="both"/>
        <w:rPr>
          <w:rFonts w:ascii="Arial" w:hAnsi="Arial" w:cs="Arial"/>
          <w:sz w:val="24"/>
          <w:szCs w:val="24"/>
        </w:rPr>
      </w:pPr>
      <w:r w:rsidRPr="0082489B">
        <w:rPr>
          <w:rFonts w:ascii="Arial" w:hAnsi="Arial" w:cs="Arial"/>
          <w:b/>
          <w:sz w:val="24"/>
          <w:szCs w:val="24"/>
        </w:rPr>
        <w:t xml:space="preserve">1.2.1 Limitaciones y deficiencias generales de tipo operativo o administrativo: </w:t>
      </w:r>
      <w:r w:rsidRPr="0082489B">
        <w:rPr>
          <w:rFonts w:ascii="Arial" w:hAnsi="Arial" w:cs="Arial"/>
          <w:sz w:val="24"/>
          <w:szCs w:val="24"/>
        </w:rPr>
        <w:t>Para la vigencia 2024, hubo limitaciones con el uso del aplicativo SIIF Nación, debido a que en la mayoría de los cierres mensuales se evidenciaba caídas y fallos de la plataforma, generando retrasos en las operaciones internas, induciendo a sobrecarga y un alto tráfico en el sitio web en cuestión.</w:t>
      </w:r>
    </w:p>
    <w:p w14:paraId="65E4EC39" w14:textId="77777777" w:rsidR="006621BE" w:rsidRDefault="006621BE" w:rsidP="006621BE">
      <w:pPr>
        <w:pStyle w:val="Textoindependiente"/>
        <w:ind w:left="-284" w:right="-234"/>
        <w:jc w:val="both"/>
        <w:rPr>
          <w:rFonts w:ascii="Arial" w:hAnsi="Arial" w:cs="Arial"/>
          <w:sz w:val="24"/>
          <w:szCs w:val="24"/>
        </w:rPr>
      </w:pPr>
    </w:p>
    <w:p w14:paraId="1A4732FB" w14:textId="77777777" w:rsidR="006621BE" w:rsidRPr="007B75B1" w:rsidRDefault="006621BE" w:rsidP="006621BE">
      <w:pPr>
        <w:pStyle w:val="Textoindependiente"/>
        <w:tabs>
          <w:tab w:val="left" w:pos="2055"/>
        </w:tabs>
        <w:spacing w:before="5"/>
        <w:ind w:left="-284" w:right="-234"/>
        <w:jc w:val="both"/>
        <w:rPr>
          <w:rFonts w:ascii="Arial" w:hAnsi="Arial" w:cs="Arial"/>
          <w:b/>
          <w:sz w:val="28"/>
          <w:szCs w:val="28"/>
          <w:lang w:val="es-MX"/>
        </w:rPr>
      </w:pPr>
      <w:r w:rsidRPr="007B75B1">
        <w:rPr>
          <w:rFonts w:ascii="Arial" w:hAnsi="Arial" w:cs="Arial"/>
          <w:b/>
          <w:bCs/>
          <w:sz w:val="28"/>
          <w:szCs w:val="28"/>
        </w:rPr>
        <w:t>13.-</w:t>
      </w:r>
      <w:r w:rsidRPr="007B75B1">
        <w:rPr>
          <w:rFonts w:ascii="Arial" w:hAnsi="Arial" w:cs="Arial"/>
          <w:sz w:val="17"/>
        </w:rPr>
        <w:t xml:space="preserve"> </w:t>
      </w:r>
      <w:bookmarkStart w:id="15" w:name="_Hlk195250928"/>
      <w:r w:rsidRPr="007B75B1">
        <w:rPr>
          <w:rFonts w:ascii="Arial" w:hAnsi="Arial" w:cs="Arial"/>
          <w:b/>
          <w:sz w:val="28"/>
          <w:szCs w:val="28"/>
          <w:lang w:val="es-MX"/>
        </w:rPr>
        <w:t>FONDO DE PREVISIÓN SOCIAL DEL CONGRESO DE LA REPÚBLICA - PATRIMONIO AUTÓNOMO DE VEJEZ.</w:t>
      </w:r>
    </w:p>
    <w:bookmarkEnd w:id="15"/>
    <w:p w14:paraId="387B8CB8" w14:textId="77777777" w:rsidR="006621BE" w:rsidRDefault="006621BE" w:rsidP="006621BE">
      <w:pPr>
        <w:pStyle w:val="Textoindependiente"/>
        <w:ind w:left="-284" w:right="-234"/>
        <w:jc w:val="both"/>
        <w:rPr>
          <w:rFonts w:ascii="Arial" w:hAnsi="Arial" w:cs="Arial"/>
          <w:sz w:val="24"/>
          <w:szCs w:val="24"/>
        </w:rPr>
      </w:pPr>
    </w:p>
    <w:p w14:paraId="76D237E5" w14:textId="77777777" w:rsidR="006621BE" w:rsidRPr="007B75B1" w:rsidRDefault="006621BE" w:rsidP="006621BE">
      <w:pPr>
        <w:pStyle w:val="Textoindependiente"/>
        <w:ind w:left="-284" w:right="-50"/>
        <w:jc w:val="both"/>
        <w:rPr>
          <w:rFonts w:ascii="Arial" w:hAnsi="Arial" w:cs="Arial"/>
          <w:sz w:val="24"/>
          <w:szCs w:val="24"/>
        </w:rPr>
      </w:pPr>
      <w:r w:rsidRPr="007B75B1">
        <w:rPr>
          <w:rFonts w:ascii="Arial" w:hAnsi="Arial" w:cs="Arial"/>
          <w:sz w:val="24"/>
          <w:szCs w:val="24"/>
        </w:rPr>
        <w:t>Para la vigencia 2024, hubo limitaciones con el uso del aplicativo SIIF Nación, debido a que en la mayoría de los cierres mensuales se evidenciaba caídas y fallos de la plataforma, generando retrasos en las operaciones internas, induciendo a sobrecarga y un alto tráfico en el sitio web en cuestión.</w:t>
      </w:r>
    </w:p>
    <w:p w14:paraId="79B75036" w14:textId="77777777" w:rsidR="006621BE" w:rsidRPr="0082489B" w:rsidRDefault="006621BE" w:rsidP="006621BE">
      <w:pPr>
        <w:ind w:left="-284" w:right="-460"/>
        <w:rPr>
          <w:rFonts w:ascii="Arial" w:hAnsi="Arial" w:cs="Arial"/>
          <w:b/>
          <w:sz w:val="24"/>
          <w:szCs w:val="24"/>
        </w:rPr>
      </w:pPr>
    </w:p>
    <w:p w14:paraId="088D29EC" w14:textId="77777777" w:rsidR="006621BE" w:rsidRPr="002D21A1" w:rsidRDefault="006621BE" w:rsidP="006621BE">
      <w:pPr>
        <w:ind w:left="-284"/>
        <w:jc w:val="both"/>
        <w:rPr>
          <w:rFonts w:ascii="Arial" w:hAnsi="Arial" w:cs="Arial"/>
          <w:b/>
          <w:sz w:val="28"/>
          <w:szCs w:val="28"/>
          <w:lang w:val="es-MX"/>
        </w:rPr>
      </w:pPr>
      <w:bookmarkStart w:id="16" w:name="_Hlk195540641"/>
      <w:r w:rsidRPr="002D21A1">
        <w:rPr>
          <w:rFonts w:ascii="Arial" w:hAnsi="Arial" w:cs="Arial"/>
          <w:b/>
          <w:sz w:val="28"/>
          <w:szCs w:val="28"/>
          <w:lang w:val="es-MX"/>
        </w:rPr>
        <w:t>17.- SUPERINTENDENCIA DE INDUSTRIA Y COMERCIO.</w:t>
      </w:r>
    </w:p>
    <w:bookmarkEnd w:id="16"/>
    <w:p w14:paraId="2A8DF16B" w14:textId="77777777" w:rsidR="006621BE" w:rsidRDefault="006621BE" w:rsidP="006621BE">
      <w:pPr>
        <w:ind w:left="-284" w:right="-234"/>
        <w:jc w:val="both"/>
        <w:rPr>
          <w:rFonts w:ascii="Arial" w:hAnsi="Arial" w:cs="Arial"/>
          <w:b/>
          <w:sz w:val="24"/>
          <w:szCs w:val="24"/>
          <w:lang w:val="es-MX"/>
        </w:rPr>
      </w:pPr>
    </w:p>
    <w:p w14:paraId="22734F91" w14:textId="77777777" w:rsidR="006621BE" w:rsidRPr="002D21A1" w:rsidRDefault="006621BE" w:rsidP="006621BE">
      <w:pPr>
        <w:pStyle w:val="Textoindependiente"/>
        <w:ind w:left="-284" w:right="-234"/>
        <w:jc w:val="both"/>
        <w:rPr>
          <w:rFonts w:ascii="Arial" w:hAnsi="Arial" w:cs="Arial"/>
          <w:sz w:val="24"/>
          <w:szCs w:val="24"/>
        </w:rPr>
      </w:pPr>
      <w:r w:rsidRPr="00603B56">
        <w:rPr>
          <w:b/>
          <w:bCs/>
          <w:sz w:val="28"/>
          <w:szCs w:val="28"/>
        </w:rPr>
        <w:t>1</w:t>
      </w:r>
      <w:r w:rsidRPr="002D21A1">
        <w:rPr>
          <w:rFonts w:ascii="Arial" w:hAnsi="Arial" w:cs="Arial"/>
          <w:b/>
          <w:bCs/>
          <w:sz w:val="24"/>
          <w:szCs w:val="24"/>
        </w:rPr>
        <w:t xml:space="preserve">.2 Declaración del Cumplimiento del Marco Normativo y limitaciones. </w:t>
      </w:r>
      <w:r w:rsidRPr="002D21A1">
        <w:rPr>
          <w:rFonts w:ascii="Arial" w:hAnsi="Arial" w:cs="Arial"/>
          <w:sz w:val="24"/>
          <w:szCs w:val="24"/>
        </w:rPr>
        <w:t xml:space="preserve">En cuanto a las limitaciones y deficiencias generales de tipo operativo que influyen en el desarrollo normal del proceso contable, debemos señalar que se presentan algunas restricciones en el Sistema Integrado de Información Financiera SIIF, respecto de la integración de las fuentes de información contable, </w:t>
      </w:r>
      <w:r w:rsidRPr="002D21A1">
        <w:rPr>
          <w:rFonts w:ascii="Arial" w:hAnsi="Arial" w:cs="Arial"/>
          <w:sz w:val="24"/>
          <w:szCs w:val="24"/>
        </w:rPr>
        <w:lastRenderedPageBreak/>
        <w:t>por lo que la entidad utiliza aplicaciones o herramientas externas para registrar y controlar los movimientos bancarios, las cuentas por cobrar por multas y contribuciones, los bienes muebles e inmuebles, la nómina, entre otros. Información que se ingresa al aplicativo SIIF a través de documentos manuales y en forma agregada. Sin embargo, estas restricciones no impactan la consistencia y razonabilidad de las cifras.</w:t>
      </w:r>
    </w:p>
    <w:p w14:paraId="3CC04245" w14:textId="77777777" w:rsidR="006621BE" w:rsidRDefault="006621BE" w:rsidP="006621BE">
      <w:pPr>
        <w:ind w:left="-284" w:right="-234"/>
        <w:jc w:val="both"/>
        <w:rPr>
          <w:rFonts w:ascii="Arial" w:hAnsi="Arial" w:cs="Arial"/>
          <w:b/>
          <w:sz w:val="24"/>
          <w:szCs w:val="24"/>
          <w:lang w:val="es-MX"/>
        </w:rPr>
      </w:pPr>
    </w:p>
    <w:p w14:paraId="36BB2DAE" w14:textId="77777777" w:rsidR="006621BE" w:rsidRPr="00A76138" w:rsidRDefault="006621BE" w:rsidP="006621BE">
      <w:pPr>
        <w:ind w:left="-284"/>
        <w:jc w:val="both"/>
        <w:rPr>
          <w:rFonts w:ascii="Arial" w:hAnsi="Arial" w:cs="Arial"/>
          <w:b/>
          <w:sz w:val="28"/>
          <w:szCs w:val="28"/>
          <w:lang w:val="es-MX"/>
        </w:rPr>
      </w:pPr>
      <w:r w:rsidRPr="00A76138">
        <w:rPr>
          <w:rFonts w:ascii="Arial" w:hAnsi="Arial" w:cs="Arial"/>
          <w:b/>
          <w:sz w:val="28"/>
          <w:szCs w:val="28"/>
          <w:lang w:val="es-MX"/>
        </w:rPr>
        <w:t>18.- DEPARTAMENTO ADMINISTRATIVO DE LA FUNCIÓN PÚBLICA - DAFP.</w:t>
      </w:r>
    </w:p>
    <w:p w14:paraId="45D4332B" w14:textId="77777777" w:rsidR="006621BE" w:rsidRDefault="006621BE" w:rsidP="006621BE">
      <w:pPr>
        <w:ind w:left="-284" w:right="-234"/>
        <w:jc w:val="both"/>
        <w:rPr>
          <w:rFonts w:ascii="Arial" w:hAnsi="Arial" w:cs="Arial"/>
          <w:b/>
          <w:sz w:val="24"/>
          <w:szCs w:val="24"/>
          <w:lang w:val="es-MX"/>
        </w:rPr>
      </w:pPr>
    </w:p>
    <w:p w14:paraId="78BBD2FB" w14:textId="77777777" w:rsidR="006621BE" w:rsidRPr="00A76138" w:rsidRDefault="006621BE" w:rsidP="006621BE">
      <w:pPr>
        <w:pStyle w:val="Textoindependiente"/>
        <w:ind w:left="-284" w:right="-234"/>
        <w:jc w:val="both"/>
        <w:rPr>
          <w:rFonts w:ascii="Arial" w:hAnsi="Arial" w:cs="Arial"/>
          <w:bCs/>
          <w:sz w:val="24"/>
          <w:szCs w:val="24"/>
        </w:rPr>
      </w:pPr>
      <w:r w:rsidRPr="00A76138">
        <w:rPr>
          <w:rFonts w:ascii="Arial" w:hAnsi="Arial" w:cs="Arial"/>
          <w:bCs/>
          <w:sz w:val="24"/>
          <w:szCs w:val="24"/>
        </w:rPr>
        <w:t>El sistema SIIF Nación II no cuenta con el módulo de activos fijos y nómina. Adicional a esto se realizan registros manuales para el reconocimiento de sentencias, procesos disciplinarios, contratos y convenios interadministrativos, entre otros.</w:t>
      </w:r>
    </w:p>
    <w:p w14:paraId="5899E9A2" w14:textId="77777777" w:rsidR="006621BE" w:rsidRDefault="006621BE" w:rsidP="006621BE">
      <w:pPr>
        <w:ind w:left="-284" w:right="-234"/>
        <w:jc w:val="both"/>
        <w:rPr>
          <w:rFonts w:ascii="Arial" w:hAnsi="Arial" w:cs="Arial"/>
          <w:b/>
          <w:sz w:val="24"/>
          <w:szCs w:val="24"/>
          <w:lang w:val="es-MX"/>
        </w:rPr>
      </w:pPr>
    </w:p>
    <w:p w14:paraId="23A4CED5" w14:textId="77777777" w:rsidR="006621BE" w:rsidRDefault="006621BE" w:rsidP="006621BE">
      <w:pPr>
        <w:ind w:left="-284"/>
        <w:jc w:val="both"/>
        <w:rPr>
          <w:rFonts w:ascii="Arial" w:hAnsi="Arial" w:cs="Arial"/>
          <w:b/>
          <w:sz w:val="28"/>
          <w:szCs w:val="28"/>
          <w:lang w:val="es-MX"/>
        </w:rPr>
      </w:pPr>
      <w:r w:rsidRPr="00A87EC1">
        <w:rPr>
          <w:rFonts w:ascii="Arial" w:hAnsi="Arial" w:cs="Arial"/>
          <w:b/>
          <w:sz w:val="28"/>
          <w:szCs w:val="28"/>
          <w:lang w:val="es-MX"/>
        </w:rPr>
        <w:t>19.- DEFENSORÍA DEL PUEBLO.</w:t>
      </w:r>
    </w:p>
    <w:p w14:paraId="049F9933"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6769E" w14:paraId="4CEF8D28" w14:textId="77777777" w:rsidTr="00EF5AF2">
        <w:tc>
          <w:tcPr>
            <w:tcW w:w="993" w:type="dxa"/>
          </w:tcPr>
          <w:p w14:paraId="79C4E881" w14:textId="77777777" w:rsidR="006621BE" w:rsidRPr="0096769E" w:rsidRDefault="006621BE" w:rsidP="00EF5AF2">
            <w:pPr>
              <w:tabs>
                <w:tab w:val="left" w:pos="875"/>
              </w:tabs>
              <w:ind w:right="-50"/>
              <w:jc w:val="center"/>
              <w:rPr>
                <w:rFonts w:ascii="Arial" w:hAnsi="Arial" w:cs="Arial"/>
                <w:b/>
              </w:rPr>
            </w:pPr>
            <w:r w:rsidRPr="0096769E">
              <w:rPr>
                <w:rFonts w:ascii="Arial" w:hAnsi="Arial" w:cs="Arial"/>
                <w:b/>
              </w:rPr>
              <w:t>N°</w:t>
            </w:r>
          </w:p>
        </w:tc>
        <w:tc>
          <w:tcPr>
            <w:tcW w:w="4253" w:type="dxa"/>
          </w:tcPr>
          <w:p w14:paraId="121898CC" w14:textId="77777777" w:rsidR="006621BE" w:rsidRPr="0096769E" w:rsidRDefault="006621BE" w:rsidP="00EF5AF2">
            <w:pPr>
              <w:tabs>
                <w:tab w:val="left" w:pos="875"/>
              </w:tabs>
              <w:ind w:right="-50"/>
              <w:jc w:val="center"/>
              <w:rPr>
                <w:rFonts w:ascii="Arial" w:hAnsi="Arial" w:cs="Arial"/>
                <w:b/>
              </w:rPr>
            </w:pPr>
            <w:r w:rsidRPr="0096769E">
              <w:rPr>
                <w:rFonts w:ascii="Arial" w:hAnsi="Arial" w:cs="Arial"/>
                <w:b/>
              </w:rPr>
              <w:t>Limitaciones del Sistema SIIF II Nación a 31/12/2024</w:t>
            </w:r>
          </w:p>
          <w:p w14:paraId="54AA8E5E" w14:textId="77777777" w:rsidR="006621BE" w:rsidRPr="0096769E" w:rsidRDefault="006621BE" w:rsidP="00EF5AF2">
            <w:pPr>
              <w:tabs>
                <w:tab w:val="left" w:pos="875"/>
              </w:tabs>
              <w:ind w:right="-50"/>
              <w:jc w:val="center"/>
              <w:rPr>
                <w:rFonts w:ascii="Arial" w:hAnsi="Arial" w:cs="Arial"/>
                <w:b/>
              </w:rPr>
            </w:pPr>
          </w:p>
        </w:tc>
        <w:tc>
          <w:tcPr>
            <w:tcW w:w="5244" w:type="dxa"/>
          </w:tcPr>
          <w:p w14:paraId="2E249832" w14:textId="77777777" w:rsidR="006621BE" w:rsidRPr="0096769E" w:rsidRDefault="006621BE" w:rsidP="00EF5AF2">
            <w:pPr>
              <w:tabs>
                <w:tab w:val="left" w:pos="875"/>
              </w:tabs>
              <w:ind w:right="-50"/>
              <w:jc w:val="center"/>
              <w:rPr>
                <w:rFonts w:ascii="Arial" w:hAnsi="Arial" w:cs="Arial"/>
                <w:b/>
              </w:rPr>
            </w:pPr>
            <w:r w:rsidRPr="0096769E">
              <w:rPr>
                <w:rFonts w:ascii="Arial" w:hAnsi="Arial" w:cs="Arial"/>
                <w:b/>
              </w:rPr>
              <w:t>Descripción de la limitación</w:t>
            </w:r>
          </w:p>
        </w:tc>
      </w:tr>
      <w:tr w:rsidR="006621BE" w:rsidRPr="0096769E" w14:paraId="2BA9627A" w14:textId="77777777" w:rsidTr="00EF5AF2">
        <w:tc>
          <w:tcPr>
            <w:tcW w:w="993" w:type="dxa"/>
          </w:tcPr>
          <w:p w14:paraId="1D070CF4" w14:textId="77777777" w:rsidR="006621BE" w:rsidRPr="0096769E" w:rsidRDefault="006621BE" w:rsidP="00EF5AF2">
            <w:pPr>
              <w:tabs>
                <w:tab w:val="left" w:pos="875"/>
              </w:tabs>
              <w:ind w:right="-50"/>
              <w:jc w:val="center"/>
              <w:rPr>
                <w:rFonts w:ascii="Arial" w:hAnsi="Arial" w:cs="Arial"/>
                <w:b/>
              </w:rPr>
            </w:pPr>
            <w:r w:rsidRPr="0096769E">
              <w:rPr>
                <w:rFonts w:ascii="Arial" w:hAnsi="Arial" w:cs="Arial"/>
                <w:b/>
              </w:rPr>
              <w:t>1</w:t>
            </w:r>
          </w:p>
        </w:tc>
        <w:tc>
          <w:tcPr>
            <w:tcW w:w="4253" w:type="dxa"/>
          </w:tcPr>
          <w:p w14:paraId="3288A2D1" w14:textId="77777777" w:rsidR="006621BE" w:rsidRPr="0096769E" w:rsidRDefault="006621BE" w:rsidP="00EF5AF2">
            <w:pPr>
              <w:tabs>
                <w:tab w:val="left" w:pos="875"/>
              </w:tabs>
              <w:ind w:right="-50"/>
              <w:jc w:val="both"/>
              <w:rPr>
                <w:rFonts w:ascii="Arial" w:hAnsi="Arial" w:cs="Arial"/>
                <w:b/>
              </w:rPr>
            </w:pPr>
            <w:r w:rsidRPr="0096769E">
              <w:rPr>
                <w:rFonts w:ascii="Arial" w:hAnsi="Arial" w:cs="Arial"/>
                <w:b/>
              </w:rPr>
              <w:t>Administrativas:</w:t>
            </w:r>
          </w:p>
        </w:tc>
        <w:tc>
          <w:tcPr>
            <w:tcW w:w="5244" w:type="dxa"/>
          </w:tcPr>
          <w:p w14:paraId="3EDAEBEA" w14:textId="77777777" w:rsidR="006621BE" w:rsidRPr="0096769E" w:rsidRDefault="006621BE" w:rsidP="00EF5AF2">
            <w:pPr>
              <w:tabs>
                <w:tab w:val="left" w:pos="875"/>
              </w:tabs>
              <w:ind w:right="-50"/>
              <w:jc w:val="both"/>
              <w:rPr>
                <w:rFonts w:ascii="Arial" w:hAnsi="Arial" w:cs="Arial"/>
              </w:rPr>
            </w:pPr>
            <w:r w:rsidRPr="0096769E">
              <w:rPr>
                <w:rFonts w:ascii="Arial" w:hAnsi="Arial" w:cs="Arial"/>
              </w:rPr>
              <w:t xml:space="preserve">No permite registrar obligaciones si no se cuenta con el PAC de la vigencia, por lo tanto, se debe realizar registros manuales de la causación de los bienes y servicios recibidos, para cumplir con el principio de devengo. </w:t>
            </w:r>
          </w:p>
          <w:p w14:paraId="6F994E7D" w14:textId="77777777" w:rsidR="006621BE" w:rsidRPr="0096769E" w:rsidRDefault="006621BE" w:rsidP="00EF5AF2">
            <w:pPr>
              <w:tabs>
                <w:tab w:val="left" w:pos="875"/>
              </w:tabs>
              <w:ind w:right="-50"/>
              <w:jc w:val="both"/>
              <w:rPr>
                <w:rFonts w:ascii="Arial" w:hAnsi="Arial" w:cs="Arial"/>
              </w:rPr>
            </w:pPr>
          </w:p>
          <w:p w14:paraId="6765137C" w14:textId="77777777" w:rsidR="006621BE" w:rsidRPr="0096769E" w:rsidRDefault="006621BE" w:rsidP="00EF5AF2">
            <w:pPr>
              <w:tabs>
                <w:tab w:val="left" w:pos="875"/>
              </w:tabs>
              <w:ind w:right="-50"/>
              <w:jc w:val="both"/>
              <w:rPr>
                <w:rFonts w:ascii="Arial" w:hAnsi="Arial" w:cs="Arial"/>
              </w:rPr>
            </w:pPr>
            <w:r w:rsidRPr="0096769E">
              <w:rPr>
                <w:rFonts w:ascii="Arial" w:hAnsi="Arial" w:cs="Arial"/>
              </w:rPr>
              <w:t xml:space="preserve">SIIF Nación, no cuenta, con los módulos necesarios para registrar detalladamente movimientos de almacén, nómina, prestaciones sociales, depreciaciones, provisiones, amortizaciones, títulos judiciales por terceros, por lo anterior, se registra en SIIF, a través de registros manuales y reclasificación de terceros. </w:t>
            </w:r>
          </w:p>
        </w:tc>
      </w:tr>
      <w:tr w:rsidR="006621BE" w:rsidRPr="0096769E" w14:paraId="368F1804" w14:textId="77777777" w:rsidTr="00EF5AF2">
        <w:tc>
          <w:tcPr>
            <w:tcW w:w="993" w:type="dxa"/>
          </w:tcPr>
          <w:p w14:paraId="1C33A16A" w14:textId="77777777" w:rsidR="006621BE" w:rsidRPr="0096769E" w:rsidRDefault="006621BE" w:rsidP="00EF5AF2">
            <w:pPr>
              <w:tabs>
                <w:tab w:val="left" w:pos="875"/>
              </w:tabs>
              <w:ind w:right="-50"/>
              <w:jc w:val="center"/>
              <w:rPr>
                <w:rFonts w:ascii="Arial" w:hAnsi="Arial" w:cs="Arial"/>
                <w:b/>
              </w:rPr>
            </w:pPr>
            <w:r w:rsidRPr="0096769E">
              <w:rPr>
                <w:rFonts w:ascii="Arial" w:hAnsi="Arial" w:cs="Arial"/>
                <w:b/>
              </w:rPr>
              <w:t>2</w:t>
            </w:r>
          </w:p>
        </w:tc>
        <w:tc>
          <w:tcPr>
            <w:tcW w:w="4253" w:type="dxa"/>
          </w:tcPr>
          <w:p w14:paraId="03C410BD" w14:textId="77777777" w:rsidR="006621BE" w:rsidRPr="0096769E" w:rsidRDefault="006621BE" w:rsidP="00EF5AF2">
            <w:pPr>
              <w:tabs>
                <w:tab w:val="left" w:pos="875"/>
              </w:tabs>
              <w:ind w:right="-50"/>
              <w:jc w:val="both"/>
              <w:rPr>
                <w:rFonts w:ascii="Arial" w:hAnsi="Arial" w:cs="Arial"/>
                <w:b/>
              </w:rPr>
            </w:pPr>
            <w:r w:rsidRPr="0096769E">
              <w:rPr>
                <w:rFonts w:ascii="Arial" w:hAnsi="Arial" w:cs="Arial"/>
                <w:b/>
              </w:rPr>
              <w:t>Operativas:</w:t>
            </w:r>
          </w:p>
        </w:tc>
        <w:tc>
          <w:tcPr>
            <w:tcW w:w="5244" w:type="dxa"/>
          </w:tcPr>
          <w:p w14:paraId="13C2E31A" w14:textId="77777777" w:rsidR="006621BE" w:rsidRPr="0096769E" w:rsidRDefault="006621BE" w:rsidP="00EF5AF2">
            <w:pPr>
              <w:tabs>
                <w:tab w:val="left" w:pos="875"/>
              </w:tabs>
              <w:ind w:right="-50"/>
              <w:jc w:val="both"/>
              <w:rPr>
                <w:rFonts w:ascii="Arial" w:hAnsi="Arial" w:cs="Arial"/>
              </w:rPr>
            </w:pPr>
            <w:r w:rsidRPr="0096769E">
              <w:rPr>
                <w:rFonts w:ascii="Arial" w:hAnsi="Arial" w:cs="Arial"/>
              </w:rPr>
              <w:t>Falta de reporte de exógenas a nivel municipal de las retenciones de ICA y estampillas, ya que solo genera de la DIAN y Secretaría de Hacienda Distrital de Bogotá, además con falencias en la parametrización de la información para la realización de los informes.</w:t>
            </w:r>
          </w:p>
        </w:tc>
      </w:tr>
      <w:tr w:rsidR="006621BE" w:rsidRPr="0096769E" w14:paraId="19E31E39" w14:textId="77777777" w:rsidTr="00EF5AF2">
        <w:tc>
          <w:tcPr>
            <w:tcW w:w="993" w:type="dxa"/>
          </w:tcPr>
          <w:p w14:paraId="2A991471" w14:textId="77777777" w:rsidR="006621BE" w:rsidRPr="0096769E" w:rsidRDefault="006621BE" w:rsidP="00EF5AF2">
            <w:pPr>
              <w:tabs>
                <w:tab w:val="left" w:pos="875"/>
              </w:tabs>
              <w:ind w:right="-50"/>
              <w:jc w:val="center"/>
              <w:rPr>
                <w:rFonts w:ascii="Arial" w:hAnsi="Arial" w:cs="Arial"/>
                <w:b/>
              </w:rPr>
            </w:pPr>
            <w:r w:rsidRPr="0096769E">
              <w:rPr>
                <w:rFonts w:ascii="Arial" w:hAnsi="Arial" w:cs="Arial"/>
                <w:b/>
              </w:rPr>
              <w:t>3</w:t>
            </w:r>
          </w:p>
        </w:tc>
        <w:tc>
          <w:tcPr>
            <w:tcW w:w="4253" w:type="dxa"/>
          </w:tcPr>
          <w:p w14:paraId="4DB1F55D" w14:textId="77777777" w:rsidR="006621BE" w:rsidRPr="0096769E" w:rsidRDefault="006621BE" w:rsidP="00EF5AF2">
            <w:pPr>
              <w:tabs>
                <w:tab w:val="left" w:pos="875"/>
              </w:tabs>
              <w:ind w:right="-50"/>
              <w:jc w:val="both"/>
              <w:rPr>
                <w:rFonts w:ascii="Arial" w:hAnsi="Arial" w:cs="Arial"/>
                <w:b/>
              </w:rPr>
            </w:pPr>
            <w:r w:rsidRPr="0096769E">
              <w:rPr>
                <w:rFonts w:ascii="Arial" w:hAnsi="Arial" w:cs="Arial"/>
                <w:b/>
              </w:rPr>
              <w:t>Otras:</w:t>
            </w:r>
          </w:p>
        </w:tc>
        <w:tc>
          <w:tcPr>
            <w:tcW w:w="5244" w:type="dxa"/>
          </w:tcPr>
          <w:p w14:paraId="3F1EC11C" w14:textId="77777777" w:rsidR="006621BE" w:rsidRPr="0096769E" w:rsidRDefault="006621BE" w:rsidP="00EF5AF2">
            <w:pPr>
              <w:tabs>
                <w:tab w:val="left" w:pos="875"/>
              </w:tabs>
              <w:ind w:right="-50"/>
              <w:jc w:val="both"/>
              <w:rPr>
                <w:rFonts w:ascii="Arial" w:hAnsi="Arial" w:cs="Arial"/>
              </w:rPr>
            </w:pPr>
            <w:r w:rsidRPr="0096769E">
              <w:rPr>
                <w:rFonts w:ascii="Arial" w:hAnsi="Arial" w:cs="Arial"/>
              </w:rPr>
              <w:t>Mejoramiento de las cargas masivas que se realizan en SIIF.</w:t>
            </w:r>
          </w:p>
        </w:tc>
      </w:tr>
    </w:tbl>
    <w:p w14:paraId="390B3C63" w14:textId="77777777" w:rsidR="006621BE" w:rsidRDefault="006621BE" w:rsidP="006621BE">
      <w:pPr>
        <w:ind w:left="-284" w:right="-234"/>
        <w:jc w:val="both"/>
        <w:rPr>
          <w:rFonts w:ascii="Arial" w:hAnsi="Arial" w:cs="Arial"/>
          <w:b/>
          <w:sz w:val="24"/>
          <w:szCs w:val="24"/>
          <w:lang w:val="es-MX"/>
        </w:rPr>
      </w:pPr>
    </w:p>
    <w:p w14:paraId="7F1866F8" w14:textId="77777777" w:rsidR="006621BE" w:rsidRPr="000C6C35" w:rsidRDefault="006621BE" w:rsidP="00CB6055">
      <w:pPr>
        <w:pStyle w:val="Textoindependiente"/>
        <w:numPr>
          <w:ilvl w:val="0"/>
          <w:numId w:val="18"/>
        </w:numPr>
        <w:ind w:right="-50"/>
        <w:jc w:val="both"/>
        <w:rPr>
          <w:rFonts w:ascii="Arial" w:hAnsi="Arial" w:cs="Arial"/>
          <w:bCs/>
          <w:sz w:val="24"/>
          <w:szCs w:val="24"/>
        </w:rPr>
      </w:pPr>
      <w:r w:rsidRPr="000C6C35">
        <w:rPr>
          <w:rFonts w:ascii="Arial" w:hAnsi="Arial" w:cs="Arial"/>
          <w:bCs/>
          <w:sz w:val="24"/>
          <w:szCs w:val="24"/>
        </w:rPr>
        <w:t>Restricción de horarios para reportes.</w:t>
      </w:r>
    </w:p>
    <w:p w14:paraId="66334375" w14:textId="77777777" w:rsidR="006621BE" w:rsidRPr="000C6C35" w:rsidRDefault="006621BE" w:rsidP="006621BE">
      <w:pPr>
        <w:pStyle w:val="Prrafodelista"/>
        <w:rPr>
          <w:rFonts w:ascii="Arial" w:hAnsi="Arial" w:cs="Arial"/>
          <w:bCs/>
          <w:sz w:val="24"/>
          <w:szCs w:val="24"/>
        </w:rPr>
      </w:pPr>
    </w:p>
    <w:p w14:paraId="57AFDA03" w14:textId="77777777" w:rsidR="006621BE" w:rsidRPr="000C6C35" w:rsidRDefault="006621BE" w:rsidP="00CB6055">
      <w:pPr>
        <w:pStyle w:val="Textoindependiente"/>
        <w:numPr>
          <w:ilvl w:val="0"/>
          <w:numId w:val="18"/>
        </w:numPr>
        <w:ind w:right="-234"/>
        <w:jc w:val="both"/>
        <w:rPr>
          <w:rFonts w:ascii="Arial" w:hAnsi="Arial" w:cs="Arial"/>
          <w:bCs/>
          <w:sz w:val="24"/>
          <w:szCs w:val="24"/>
        </w:rPr>
      </w:pPr>
      <w:r w:rsidRPr="000C6C35">
        <w:rPr>
          <w:rFonts w:ascii="Arial" w:hAnsi="Arial" w:cs="Arial"/>
          <w:bCs/>
          <w:sz w:val="24"/>
          <w:szCs w:val="24"/>
        </w:rPr>
        <w:t>En el momento de realizar una obligación si no se selecciona la pestaña de datos contables o rubro presupuestal, el sistema no guarda la información y no permite la modificación, por lo que genera retrasos en proceso.</w:t>
      </w:r>
    </w:p>
    <w:p w14:paraId="104B7E42" w14:textId="77777777" w:rsidR="006621BE" w:rsidRDefault="006621BE" w:rsidP="006621BE">
      <w:pPr>
        <w:ind w:left="-284" w:right="-234"/>
        <w:jc w:val="both"/>
        <w:rPr>
          <w:rFonts w:ascii="Arial" w:hAnsi="Arial" w:cs="Arial"/>
          <w:b/>
          <w:sz w:val="24"/>
          <w:szCs w:val="24"/>
          <w:lang w:val="es-MX"/>
        </w:rPr>
      </w:pPr>
    </w:p>
    <w:p w14:paraId="3B37634C" w14:textId="77777777" w:rsidR="006621BE" w:rsidRPr="00303DA3" w:rsidRDefault="006621BE" w:rsidP="006621BE">
      <w:pPr>
        <w:ind w:left="-284" w:right="-234"/>
        <w:jc w:val="both"/>
        <w:rPr>
          <w:rFonts w:ascii="Arial" w:hAnsi="Arial" w:cs="Arial"/>
          <w:b/>
          <w:sz w:val="28"/>
          <w:szCs w:val="28"/>
          <w:lang w:val="es-MX"/>
        </w:rPr>
      </w:pPr>
      <w:r w:rsidRPr="00303DA3">
        <w:rPr>
          <w:rFonts w:ascii="Arial" w:hAnsi="Arial" w:cs="Arial"/>
          <w:b/>
          <w:sz w:val="28"/>
          <w:szCs w:val="28"/>
          <w:lang w:val="es-MX"/>
        </w:rPr>
        <w:t>20.- INSTITUTO DE HIDROLOGÍA METEOROLOGÍA Y ESTUDIOS AMBIENTALES - IDEAM.</w:t>
      </w:r>
    </w:p>
    <w:p w14:paraId="56E932B9"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B54567" w14:paraId="6DBFF49E" w14:textId="77777777" w:rsidTr="00EF5AF2">
        <w:tc>
          <w:tcPr>
            <w:tcW w:w="993" w:type="dxa"/>
          </w:tcPr>
          <w:p w14:paraId="4B4BD46C" w14:textId="77777777" w:rsidR="006621BE" w:rsidRPr="006800B2" w:rsidRDefault="006621BE" w:rsidP="00EF5AF2">
            <w:pPr>
              <w:tabs>
                <w:tab w:val="left" w:pos="875"/>
              </w:tabs>
              <w:ind w:right="-50"/>
              <w:jc w:val="center"/>
              <w:rPr>
                <w:rFonts w:ascii="Arial" w:hAnsi="Arial" w:cs="Arial"/>
                <w:b/>
              </w:rPr>
            </w:pPr>
            <w:r w:rsidRPr="006800B2">
              <w:rPr>
                <w:rFonts w:ascii="Arial" w:hAnsi="Arial" w:cs="Arial"/>
                <w:b/>
              </w:rPr>
              <w:t>N°</w:t>
            </w:r>
          </w:p>
        </w:tc>
        <w:tc>
          <w:tcPr>
            <w:tcW w:w="4253" w:type="dxa"/>
          </w:tcPr>
          <w:p w14:paraId="37211EAF" w14:textId="77777777" w:rsidR="006621BE" w:rsidRPr="006800B2" w:rsidRDefault="006621BE" w:rsidP="00EF5AF2">
            <w:pPr>
              <w:tabs>
                <w:tab w:val="left" w:pos="875"/>
              </w:tabs>
              <w:ind w:right="-50"/>
              <w:jc w:val="center"/>
              <w:rPr>
                <w:rFonts w:ascii="Arial" w:hAnsi="Arial" w:cs="Arial"/>
                <w:b/>
              </w:rPr>
            </w:pPr>
            <w:r w:rsidRPr="006800B2">
              <w:rPr>
                <w:rFonts w:ascii="Arial" w:hAnsi="Arial" w:cs="Arial"/>
                <w:b/>
              </w:rPr>
              <w:t>Limitaciones del Sistema SIIF II Nación a 31/12/2024</w:t>
            </w:r>
          </w:p>
          <w:p w14:paraId="0CA2E530" w14:textId="77777777" w:rsidR="006621BE" w:rsidRPr="006800B2" w:rsidRDefault="006621BE" w:rsidP="00EF5AF2">
            <w:pPr>
              <w:tabs>
                <w:tab w:val="left" w:pos="875"/>
              </w:tabs>
              <w:ind w:right="-50"/>
              <w:jc w:val="center"/>
              <w:rPr>
                <w:rFonts w:ascii="Arial" w:hAnsi="Arial" w:cs="Arial"/>
                <w:b/>
              </w:rPr>
            </w:pPr>
          </w:p>
        </w:tc>
        <w:tc>
          <w:tcPr>
            <w:tcW w:w="5244" w:type="dxa"/>
          </w:tcPr>
          <w:p w14:paraId="603F0C19" w14:textId="77777777" w:rsidR="006621BE" w:rsidRPr="006800B2" w:rsidRDefault="006621BE" w:rsidP="00EF5AF2">
            <w:pPr>
              <w:tabs>
                <w:tab w:val="left" w:pos="875"/>
              </w:tabs>
              <w:ind w:right="-50"/>
              <w:jc w:val="center"/>
              <w:rPr>
                <w:rFonts w:ascii="Arial" w:hAnsi="Arial" w:cs="Arial"/>
                <w:b/>
              </w:rPr>
            </w:pPr>
            <w:r w:rsidRPr="006800B2">
              <w:rPr>
                <w:rFonts w:ascii="Arial" w:hAnsi="Arial" w:cs="Arial"/>
                <w:b/>
              </w:rPr>
              <w:t>Descripción de la limitación</w:t>
            </w:r>
          </w:p>
        </w:tc>
      </w:tr>
      <w:tr w:rsidR="006621BE" w:rsidRPr="00B54567" w14:paraId="6B228D8B" w14:textId="77777777" w:rsidTr="00EF5AF2">
        <w:tc>
          <w:tcPr>
            <w:tcW w:w="993" w:type="dxa"/>
          </w:tcPr>
          <w:p w14:paraId="781853EC" w14:textId="77777777" w:rsidR="006621BE" w:rsidRPr="006800B2" w:rsidRDefault="006621BE" w:rsidP="00EF5AF2">
            <w:pPr>
              <w:tabs>
                <w:tab w:val="left" w:pos="875"/>
              </w:tabs>
              <w:ind w:right="-50"/>
              <w:jc w:val="center"/>
              <w:rPr>
                <w:rFonts w:ascii="Arial" w:hAnsi="Arial" w:cs="Arial"/>
                <w:b/>
              </w:rPr>
            </w:pPr>
            <w:r w:rsidRPr="006800B2">
              <w:rPr>
                <w:rFonts w:ascii="Arial" w:hAnsi="Arial" w:cs="Arial"/>
                <w:b/>
              </w:rPr>
              <w:t>1</w:t>
            </w:r>
          </w:p>
        </w:tc>
        <w:tc>
          <w:tcPr>
            <w:tcW w:w="4253" w:type="dxa"/>
          </w:tcPr>
          <w:p w14:paraId="58586EC2" w14:textId="77777777" w:rsidR="006621BE" w:rsidRPr="006800B2" w:rsidRDefault="006621BE" w:rsidP="00EF5AF2">
            <w:pPr>
              <w:tabs>
                <w:tab w:val="left" w:pos="875"/>
              </w:tabs>
              <w:ind w:right="-50"/>
              <w:jc w:val="both"/>
              <w:rPr>
                <w:rFonts w:ascii="Arial" w:hAnsi="Arial" w:cs="Arial"/>
                <w:b/>
              </w:rPr>
            </w:pPr>
            <w:r w:rsidRPr="006800B2">
              <w:rPr>
                <w:rFonts w:ascii="Arial" w:hAnsi="Arial" w:cs="Arial"/>
                <w:b/>
              </w:rPr>
              <w:t>Técnicas:</w:t>
            </w:r>
          </w:p>
        </w:tc>
        <w:tc>
          <w:tcPr>
            <w:tcW w:w="5244" w:type="dxa"/>
          </w:tcPr>
          <w:p w14:paraId="539DE337" w14:textId="77777777" w:rsidR="006621BE" w:rsidRPr="006800B2" w:rsidRDefault="006621BE" w:rsidP="00EF5AF2">
            <w:pPr>
              <w:tabs>
                <w:tab w:val="left" w:pos="875"/>
              </w:tabs>
              <w:ind w:right="-50"/>
              <w:jc w:val="both"/>
              <w:rPr>
                <w:rFonts w:ascii="Arial" w:hAnsi="Arial" w:cs="Arial"/>
              </w:rPr>
            </w:pPr>
            <w:r w:rsidRPr="006800B2">
              <w:rPr>
                <w:rFonts w:ascii="Arial" w:hAnsi="Arial" w:cs="Arial"/>
              </w:rPr>
              <w:t>El Servicio del portal SIIF Nación presentó intermitencia, ocasionando sobrecarga laboral y demora en los procesos.</w:t>
            </w:r>
          </w:p>
        </w:tc>
      </w:tr>
    </w:tbl>
    <w:p w14:paraId="279D0229" w14:textId="77777777" w:rsidR="006621BE" w:rsidRDefault="006621BE" w:rsidP="006621BE">
      <w:pPr>
        <w:ind w:left="-284" w:right="-234"/>
        <w:jc w:val="both"/>
        <w:rPr>
          <w:rFonts w:ascii="Arial" w:hAnsi="Arial" w:cs="Arial"/>
          <w:b/>
          <w:sz w:val="24"/>
          <w:szCs w:val="24"/>
          <w:lang w:val="es-MX"/>
        </w:rPr>
      </w:pPr>
    </w:p>
    <w:p w14:paraId="4D68B1B1" w14:textId="77777777" w:rsidR="006621BE" w:rsidRPr="00B2401A" w:rsidRDefault="006621BE" w:rsidP="006621BE">
      <w:pPr>
        <w:ind w:left="-284"/>
        <w:jc w:val="both"/>
        <w:rPr>
          <w:rFonts w:ascii="Arial" w:hAnsi="Arial" w:cs="Arial"/>
          <w:b/>
          <w:sz w:val="28"/>
          <w:szCs w:val="28"/>
          <w:lang w:val="es-MX"/>
        </w:rPr>
      </w:pPr>
      <w:r w:rsidRPr="00B2401A">
        <w:rPr>
          <w:rFonts w:ascii="Arial" w:hAnsi="Arial" w:cs="Arial"/>
          <w:b/>
          <w:sz w:val="28"/>
          <w:szCs w:val="28"/>
          <w:lang w:val="es-MX"/>
        </w:rPr>
        <w:lastRenderedPageBreak/>
        <w:t>22.- DIRECCIÓN NACIONAL DE BOMBEROS DE COLOMBIA - DNBC.</w:t>
      </w:r>
    </w:p>
    <w:p w14:paraId="4475A220"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B2401A" w14:paraId="45C017DE" w14:textId="77777777" w:rsidTr="007B2C75">
        <w:tc>
          <w:tcPr>
            <w:tcW w:w="993" w:type="dxa"/>
          </w:tcPr>
          <w:p w14:paraId="6FD982C2" w14:textId="77777777" w:rsidR="006621BE" w:rsidRPr="00B2401A" w:rsidRDefault="006621BE" w:rsidP="00EF5AF2">
            <w:pPr>
              <w:tabs>
                <w:tab w:val="left" w:pos="875"/>
              </w:tabs>
              <w:ind w:right="-50"/>
              <w:jc w:val="center"/>
              <w:rPr>
                <w:rFonts w:ascii="Arial" w:hAnsi="Arial" w:cs="Arial"/>
                <w:b/>
              </w:rPr>
            </w:pPr>
            <w:r w:rsidRPr="00B2401A">
              <w:rPr>
                <w:rFonts w:ascii="Arial" w:hAnsi="Arial" w:cs="Arial"/>
                <w:b/>
              </w:rPr>
              <w:t>N°</w:t>
            </w:r>
          </w:p>
        </w:tc>
        <w:tc>
          <w:tcPr>
            <w:tcW w:w="4253" w:type="dxa"/>
          </w:tcPr>
          <w:p w14:paraId="067A4437" w14:textId="77777777" w:rsidR="006621BE" w:rsidRPr="00B2401A" w:rsidRDefault="006621BE" w:rsidP="00EF5AF2">
            <w:pPr>
              <w:tabs>
                <w:tab w:val="left" w:pos="875"/>
              </w:tabs>
              <w:ind w:right="-50"/>
              <w:jc w:val="center"/>
              <w:rPr>
                <w:rFonts w:ascii="Arial" w:hAnsi="Arial" w:cs="Arial"/>
                <w:b/>
              </w:rPr>
            </w:pPr>
            <w:r w:rsidRPr="00B2401A">
              <w:rPr>
                <w:rFonts w:ascii="Arial" w:hAnsi="Arial" w:cs="Arial"/>
                <w:b/>
              </w:rPr>
              <w:t>Limitaciones del Sistema SIIF II Nación a 31/12/2024</w:t>
            </w:r>
          </w:p>
          <w:p w14:paraId="1B97AFA6" w14:textId="77777777" w:rsidR="006621BE" w:rsidRPr="00B2401A" w:rsidRDefault="006621BE" w:rsidP="00EF5AF2">
            <w:pPr>
              <w:tabs>
                <w:tab w:val="left" w:pos="875"/>
              </w:tabs>
              <w:ind w:right="-50"/>
              <w:jc w:val="center"/>
              <w:rPr>
                <w:rFonts w:ascii="Arial" w:hAnsi="Arial" w:cs="Arial"/>
                <w:b/>
              </w:rPr>
            </w:pPr>
          </w:p>
        </w:tc>
        <w:tc>
          <w:tcPr>
            <w:tcW w:w="5244" w:type="dxa"/>
          </w:tcPr>
          <w:p w14:paraId="253A3997" w14:textId="77777777" w:rsidR="006621BE" w:rsidRPr="00B2401A" w:rsidRDefault="006621BE" w:rsidP="00EF5AF2">
            <w:pPr>
              <w:tabs>
                <w:tab w:val="left" w:pos="875"/>
              </w:tabs>
              <w:ind w:right="-50"/>
              <w:jc w:val="center"/>
              <w:rPr>
                <w:rFonts w:ascii="Arial" w:hAnsi="Arial" w:cs="Arial"/>
                <w:b/>
              </w:rPr>
            </w:pPr>
            <w:r w:rsidRPr="00B2401A">
              <w:rPr>
                <w:rFonts w:ascii="Arial" w:hAnsi="Arial" w:cs="Arial"/>
                <w:b/>
              </w:rPr>
              <w:t>Descripción de la limitación</w:t>
            </w:r>
          </w:p>
        </w:tc>
      </w:tr>
      <w:tr w:rsidR="006621BE" w:rsidRPr="00B2401A" w14:paraId="28E3358D" w14:textId="77777777" w:rsidTr="007B2C75">
        <w:tc>
          <w:tcPr>
            <w:tcW w:w="993" w:type="dxa"/>
          </w:tcPr>
          <w:p w14:paraId="75607A75" w14:textId="77777777" w:rsidR="006621BE" w:rsidRPr="00B2401A" w:rsidRDefault="006621BE" w:rsidP="00EF5AF2">
            <w:pPr>
              <w:tabs>
                <w:tab w:val="left" w:pos="875"/>
              </w:tabs>
              <w:ind w:right="-50"/>
              <w:jc w:val="center"/>
              <w:rPr>
                <w:rFonts w:ascii="Arial" w:hAnsi="Arial" w:cs="Arial"/>
                <w:b/>
              </w:rPr>
            </w:pPr>
            <w:r w:rsidRPr="00B2401A">
              <w:rPr>
                <w:rFonts w:ascii="Arial" w:hAnsi="Arial" w:cs="Arial"/>
                <w:b/>
              </w:rPr>
              <w:t>1</w:t>
            </w:r>
          </w:p>
        </w:tc>
        <w:tc>
          <w:tcPr>
            <w:tcW w:w="4253" w:type="dxa"/>
          </w:tcPr>
          <w:p w14:paraId="1146E067" w14:textId="77777777" w:rsidR="006621BE" w:rsidRPr="00B2401A" w:rsidRDefault="006621BE" w:rsidP="00EF5AF2">
            <w:pPr>
              <w:tabs>
                <w:tab w:val="left" w:pos="875"/>
              </w:tabs>
              <w:ind w:right="-50"/>
              <w:jc w:val="both"/>
              <w:rPr>
                <w:rFonts w:ascii="Arial" w:hAnsi="Arial" w:cs="Arial"/>
                <w:b/>
              </w:rPr>
            </w:pPr>
            <w:r w:rsidRPr="00B2401A">
              <w:rPr>
                <w:rFonts w:ascii="Arial" w:hAnsi="Arial" w:cs="Arial"/>
                <w:b/>
              </w:rPr>
              <w:t>Operativas:</w:t>
            </w:r>
          </w:p>
        </w:tc>
        <w:tc>
          <w:tcPr>
            <w:tcW w:w="5244" w:type="dxa"/>
          </w:tcPr>
          <w:p w14:paraId="671B99AB" w14:textId="77777777" w:rsidR="006621BE" w:rsidRPr="00B2401A" w:rsidRDefault="006621BE" w:rsidP="00EF5AF2">
            <w:pPr>
              <w:tabs>
                <w:tab w:val="left" w:pos="875"/>
              </w:tabs>
              <w:ind w:right="-50"/>
              <w:jc w:val="both"/>
              <w:rPr>
                <w:rFonts w:ascii="Arial" w:hAnsi="Arial" w:cs="Arial"/>
              </w:rPr>
            </w:pPr>
            <w:r w:rsidRPr="00B2401A">
              <w:rPr>
                <w:rFonts w:ascii="Arial" w:hAnsi="Arial" w:cs="Arial"/>
              </w:rPr>
              <w:t>Para finales de la vigencia 2024, el aplicativo SIIF Nación, en algunos días, no permitía el acceso al sistema, generando limitaciones de operatividad para los diferentes perfiles que se trabajan en él.</w:t>
            </w:r>
          </w:p>
        </w:tc>
      </w:tr>
      <w:tr w:rsidR="006621BE" w:rsidRPr="00B2401A" w14:paraId="1C09C292" w14:textId="77777777" w:rsidTr="007B2C75">
        <w:tc>
          <w:tcPr>
            <w:tcW w:w="993" w:type="dxa"/>
          </w:tcPr>
          <w:p w14:paraId="2F8A2270" w14:textId="77777777" w:rsidR="006621BE" w:rsidRPr="00B2401A" w:rsidRDefault="006621BE" w:rsidP="00EF5AF2">
            <w:pPr>
              <w:tabs>
                <w:tab w:val="left" w:pos="875"/>
              </w:tabs>
              <w:ind w:right="-50"/>
              <w:jc w:val="center"/>
              <w:rPr>
                <w:rFonts w:ascii="Arial" w:hAnsi="Arial" w:cs="Arial"/>
                <w:b/>
              </w:rPr>
            </w:pPr>
            <w:r w:rsidRPr="00B2401A">
              <w:rPr>
                <w:rFonts w:ascii="Arial" w:hAnsi="Arial" w:cs="Arial"/>
                <w:b/>
              </w:rPr>
              <w:t>2</w:t>
            </w:r>
          </w:p>
        </w:tc>
        <w:tc>
          <w:tcPr>
            <w:tcW w:w="4253" w:type="dxa"/>
          </w:tcPr>
          <w:p w14:paraId="6157EFB6" w14:textId="77777777" w:rsidR="006621BE" w:rsidRPr="00B2401A" w:rsidRDefault="006621BE" w:rsidP="00EF5AF2">
            <w:pPr>
              <w:tabs>
                <w:tab w:val="left" w:pos="875"/>
              </w:tabs>
              <w:ind w:right="-50"/>
              <w:jc w:val="both"/>
              <w:rPr>
                <w:rFonts w:ascii="Arial" w:hAnsi="Arial" w:cs="Arial"/>
                <w:b/>
              </w:rPr>
            </w:pPr>
            <w:r w:rsidRPr="00B2401A">
              <w:rPr>
                <w:rFonts w:ascii="Arial" w:hAnsi="Arial" w:cs="Arial"/>
                <w:b/>
              </w:rPr>
              <w:t>Soporte a la plataforma:</w:t>
            </w:r>
          </w:p>
        </w:tc>
        <w:tc>
          <w:tcPr>
            <w:tcW w:w="5244" w:type="dxa"/>
          </w:tcPr>
          <w:p w14:paraId="05940ED5" w14:textId="77777777" w:rsidR="006621BE" w:rsidRPr="00B2401A" w:rsidRDefault="006621BE" w:rsidP="00EF5AF2">
            <w:pPr>
              <w:tabs>
                <w:tab w:val="left" w:pos="875"/>
              </w:tabs>
              <w:ind w:right="-50"/>
              <w:jc w:val="both"/>
              <w:rPr>
                <w:rFonts w:ascii="Arial" w:hAnsi="Arial" w:cs="Arial"/>
              </w:rPr>
            </w:pPr>
            <w:r w:rsidRPr="00B2401A">
              <w:rPr>
                <w:rFonts w:ascii="Arial" w:hAnsi="Arial" w:cs="Arial"/>
              </w:rPr>
              <w:t>El aplicativo SIIF, colapsa en los días de cierre y el soporte de la administración SIIF, no es suficiente para atender las necesidades de las entidades.</w:t>
            </w:r>
          </w:p>
        </w:tc>
      </w:tr>
    </w:tbl>
    <w:p w14:paraId="3D7A0F90" w14:textId="77777777" w:rsidR="006621BE" w:rsidRDefault="006621BE" w:rsidP="006621BE">
      <w:pPr>
        <w:ind w:left="-284" w:right="-234"/>
        <w:jc w:val="both"/>
        <w:rPr>
          <w:rFonts w:ascii="Arial" w:hAnsi="Arial" w:cs="Arial"/>
          <w:b/>
          <w:sz w:val="24"/>
          <w:szCs w:val="24"/>
        </w:rPr>
      </w:pPr>
    </w:p>
    <w:p w14:paraId="0EB3EDD1" w14:textId="77777777" w:rsidR="006621BE" w:rsidRPr="00C81831" w:rsidRDefault="006621BE" w:rsidP="007B2C75">
      <w:pPr>
        <w:pStyle w:val="Textoindependiente"/>
        <w:ind w:left="-284" w:right="-234"/>
        <w:jc w:val="both"/>
        <w:rPr>
          <w:rFonts w:ascii="Arial" w:hAnsi="Arial" w:cs="Arial"/>
          <w:b/>
          <w:bCs/>
          <w:sz w:val="24"/>
          <w:szCs w:val="24"/>
          <w:u w:val="single"/>
        </w:rPr>
      </w:pPr>
      <w:r w:rsidRPr="00C81831">
        <w:rPr>
          <w:rFonts w:ascii="Arial" w:hAnsi="Arial" w:cs="Arial"/>
          <w:b/>
          <w:bCs/>
          <w:sz w:val="24"/>
          <w:szCs w:val="24"/>
          <w:u w:val="single"/>
        </w:rPr>
        <w:t>Limitaciones y deficiencias de tipo operativo o administrativo que inciden en el normal desarrollo del proceso contable.</w:t>
      </w:r>
    </w:p>
    <w:p w14:paraId="27B730FC" w14:textId="77777777" w:rsidR="006621BE" w:rsidRPr="00C81831" w:rsidRDefault="006621BE" w:rsidP="007B2C75">
      <w:pPr>
        <w:pStyle w:val="Textoindependiente"/>
        <w:ind w:left="-284" w:right="-234"/>
        <w:jc w:val="both"/>
        <w:rPr>
          <w:rFonts w:ascii="Arial" w:hAnsi="Arial" w:cs="Arial"/>
          <w:bCs/>
          <w:sz w:val="24"/>
          <w:szCs w:val="24"/>
        </w:rPr>
      </w:pPr>
    </w:p>
    <w:p w14:paraId="39DF0705" w14:textId="77777777" w:rsidR="006621BE" w:rsidRPr="00C81831" w:rsidRDefault="006621BE" w:rsidP="007B2C75">
      <w:pPr>
        <w:pStyle w:val="Textoindependiente"/>
        <w:ind w:left="-284" w:right="-234"/>
        <w:jc w:val="both"/>
        <w:rPr>
          <w:rFonts w:ascii="Arial" w:hAnsi="Arial" w:cs="Arial"/>
          <w:bCs/>
          <w:sz w:val="24"/>
          <w:szCs w:val="24"/>
        </w:rPr>
      </w:pPr>
      <w:r w:rsidRPr="00C81831">
        <w:rPr>
          <w:rFonts w:ascii="Arial" w:hAnsi="Arial" w:cs="Arial"/>
          <w:bCs/>
          <w:sz w:val="24"/>
          <w:szCs w:val="24"/>
        </w:rPr>
        <w:t>En la operatividad del Sistema Integrado de Información Financiera SIIF Nación II, se debe realizar mensualmente la cancelación de terceros correspondiente al pago de impuestos, labor que debería ser un proceso automático.</w:t>
      </w:r>
    </w:p>
    <w:p w14:paraId="3C1D0BA1" w14:textId="77777777" w:rsidR="006621BE" w:rsidRPr="00C81831" w:rsidRDefault="006621BE" w:rsidP="007B2C75">
      <w:pPr>
        <w:pStyle w:val="Textoindependiente"/>
        <w:ind w:left="-284" w:right="-234"/>
        <w:jc w:val="both"/>
        <w:rPr>
          <w:rFonts w:ascii="Arial" w:hAnsi="Arial" w:cs="Arial"/>
          <w:bCs/>
          <w:sz w:val="24"/>
          <w:szCs w:val="24"/>
        </w:rPr>
      </w:pPr>
    </w:p>
    <w:p w14:paraId="4153FDE6" w14:textId="77777777" w:rsidR="006621BE" w:rsidRPr="00C81831" w:rsidRDefault="006621BE" w:rsidP="007B2C75">
      <w:pPr>
        <w:pStyle w:val="Textoindependiente"/>
        <w:ind w:left="-284" w:right="-234"/>
        <w:jc w:val="both"/>
        <w:rPr>
          <w:rFonts w:ascii="Arial" w:hAnsi="Arial" w:cs="Arial"/>
          <w:bCs/>
          <w:sz w:val="24"/>
          <w:szCs w:val="24"/>
        </w:rPr>
      </w:pPr>
      <w:r w:rsidRPr="00C81831">
        <w:rPr>
          <w:rFonts w:ascii="Arial" w:hAnsi="Arial" w:cs="Arial"/>
          <w:bCs/>
          <w:sz w:val="24"/>
          <w:szCs w:val="24"/>
        </w:rPr>
        <w:t>En el proceso de elaboración de obligaciones en el SIIF Nación II, el parámetro de validación de Cupo PAC, lo realiza al final del proceso y no en la línea de pago de la obligación, incrementando notablemente los tiempos para el desarrollo de la labor, ya que el proceso se debe realizar nuevamente desde el inicio.</w:t>
      </w:r>
    </w:p>
    <w:p w14:paraId="4E40354C" w14:textId="77777777" w:rsidR="006621BE" w:rsidRPr="00C81831" w:rsidRDefault="006621BE" w:rsidP="007B2C75">
      <w:pPr>
        <w:pStyle w:val="Textoindependiente"/>
        <w:ind w:left="-284" w:right="-234"/>
        <w:jc w:val="both"/>
        <w:rPr>
          <w:rFonts w:ascii="Arial" w:hAnsi="Arial" w:cs="Arial"/>
          <w:bCs/>
          <w:sz w:val="24"/>
          <w:szCs w:val="24"/>
        </w:rPr>
      </w:pPr>
    </w:p>
    <w:p w14:paraId="10498F29" w14:textId="77777777" w:rsidR="006621BE" w:rsidRPr="00C81831" w:rsidRDefault="006621BE" w:rsidP="007B2C75">
      <w:pPr>
        <w:pStyle w:val="Textoindependiente"/>
        <w:ind w:left="-284" w:right="-234"/>
        <w:jc w:val="both"/>
        <w:rPr>
          <w:rFonts w:ascii="Arial" w:hAnsi="Arial" w:cs="Arial"/>
          <w:bCs/>
          <w:sz w:val="24"/>
          <w:szCs w:val="24"/>
        </w:rPr>
      </w:pPr>
      <w:r w:rsidRPr="00C81831">
        <w:rPr>
          <w:rFonts w:ascii="Arial" w:hAnsi="Arial" w:cs="Arial"/>
          <w:bCs/>
          <w:sz w:val="24"/>
          <w:szCs w:val="24"/>
        </w:rPr>
        <w:t>El SIIF Nación ll no tiene integrados los módulos de bienes y de nómina, situación que obliga a manejar sistemas alternos de gestión de bienes y de administración de nómina y seguridad social, advirtiendo que no se cuenta con las funcionalidades que ayuden a integrar los sistemas de información auxiliares de la entidad con el SIIF Nación, lo cual limita la oportunidad y eficacia de seguimiento de las operaciones relacionadas con el reconocimiento de los hechos derivados de los mencionados procesos.</w:t>
      </w:r>
    </w:p>
    <w:p w14:paraId="7105D69B" w14:textId="77777777" w:rsidR="006621BE" w:rsidRPr="00C81831" w:rsidRDefault="006621BE" w:rsidP="007B2C75">
      <w:pPr>
        <w:pStyle w:val="Textoindependiente"/>
        <w:ind w:right="-234"/>
        <w:jc w:val="both"/>
        <w:rPr>
          <w:rFonts w:ascii="Arial" w:hAnsi="Arial" w:cs="Arial"/>
          <w:bCs/>
          <w:sz w:val="24"/>
          <w:szCs w:val="24"/>
        </w:rPr>
      </w:pPr>
    </w:p>
    <w:p w14:paraId="0806F9CA" w14:textId="77777777" w:rsidR="006621BE" w:rsidRPr="004778C9" w:rsidRDefault="006621BE" w:rsidP="007B2C75">
      <w:pPr>
        <w:pStyle w:val="Textoindependiente"/>
        <w:ind w:left="-284" w:right="-234"/>
        <w:jc w:val="both"/>
        <w:rPr>
          <w:bCs/>
        </w:rPr>
      </w:pPr>
      <w:r w:rsidRPr="00C81831">
        <w:rPr>
          <w:rFonts w:ascii="Arial" w:hAnsi="Arial" w:cs="Arial"/>
          <w:bCs/>
          <w:sz w:val="24"/>
          <w:szCs w:val="24"/>
        </w:rPr>
        <w:t>Por lo anterior y con el objetivo de asegurar la razonabilidad e integridad de la Información Contable se realizaron los ajustes pertinentes que permiten presentar unos estados financieros que revelen la realidad económica</w:t>
      </w:r>
      <w:r w:rsidRPr="004778C9">
        <w:rPr>
          <w:bCs/>
        </w:rPr>
        <w:t>, financiera, de la DIRECCIÓN NACIONAL DE BOMBEROS a diciembre 31 de 2024.</w:t>
      </w:r>
    </w:p>
    <w:p w14:paraId="0EA96911" w14:textId="77777777" w:rsidR="006621BE" w:rsidRDefault="006621BE" w:rsidP="007B2C75">
      <w:pPr>
        <w:ind w:left="-284" w:right="-234"/>
        <w:jc w:val="both"/>
        <w:rPr>
          <w:rFonts w:ascii="Arial" w:hAnsi="Arial" w:cs="Arial"/>
          <w:b/>
          <w:sz w:val="24"/>
          <w:szCs w:val="24"/>
        </w:rPr>
      </w:pPr>
    </w:p>
    <w:p w14:paraId="14306AE0" w14:textId="77777777" w:rsidR="006621BE" w:rsidRPr="00F37C7A" w:rsidRDefault="006621BE" w:rsidP="006621BE">
      <w:pPr>
        <w:ind w:left="-284"/>
        <w:jc w:val="both"/>
        <w:rPr>
          <w:rFonts w:ascii="Arial" w:hAnsi="Arial" w:cs="Arial"/>
          <w:b/>
          <w:sz w:val="32"/>
          <w:szCs w:val="32"/>
          <w:lang w:val="es-MX"/>
        </w:rPr>
      </w:pPr>
      <w:r w:rsidRPr="00F37C7A">
        <w:rPr>
          <w:rFonts w:ascii="Arial" w:hAnsi="Arial" w:cs="Arial"/>
          <w:b/>
          <w:sz w:val="32"/>
          <w:szCs w:val="32"/>
          <w:lang w:val="es-MX"/>
        </w:rPr>
        <w:t>23.- INSTITUTO NACIONAL DE VÍAS - INVÍAS.</w:t>
      </w:r>
    </w:p>
    <w:p w14:paraId="2080C19C" w14:textId="77777777" w:rsidR="006621BE" w:rsidRDefault="006621BE" w:rsidP="006621BE">
      <w:pPr>
        <w:ind w:left="-284" w:right="-234"/>
        <w:jc w:val="both"/>
        <w:rPr>
          <w:rFonts w:ascii="Arial" w:hAnsi="Arial" w:cs="Arial"/>
          <w:b/>
          <w:sz w:val="24"/>
          <w:szCs w:val="24"/>
          <w:lang w:val="es-MX"/>
        </w:rPr>
      </w:pPr>
    </w:p>
    <w:tbl>
      <w:tblPr>
        <w:tblStyle w:val="Tablaconcuadrcula"/>
        <w:tblW w:w="10495" w:type="dxa"/>
        <w:jc w:val="center"/>
        <w:tblLook w:val="04A0" w:firstRow="1" w:lastRow="0" w:firstColumn="1" w:lastColumn="0" w:noHBand="0" w:noVBand="1"/>
      </w:tblPr>
      <w:tblGrid>
        <w:gridCol w:w="993"/>
        <w:gridCol w:w="4252"/>
        <w:gridCol w:w="5250"/>
      </w:tblGrid>
      <w:tr w:rsidR="006621BE" w:rsidRPr="00854029" w14:paraId="3CD1D960" w14:textId="77777777" w:rsidTr="00EF5AF2">
        <w:trPr>
          <w:jc w:val="center"/>
        </w:trPr>
        <w:tc>
          <w:tcPr>
            <w:tcW w:w="993" w:type="dxa"/>
          </w:tcPr>
          <w:p w14:paraId="069033EC" w14:textId="77777777" w:rsidR="006621BE" w:rsidRPr="00854029" w:rsidRDefault="006621BE" w:rsidP="00EF5AF2">
            <w:pPr>
              <w:tabs>
                <w:tab w:val="left" w:pos="875"/>
              </w:tabs>
              <w:ind w:right="-50"/>
              <w:jc w:val="center"/>
              <w:rPr>
                <w:rFonts w:ascii="Arial" w:hAnsi="Arial" w:cs="Arial"/>
                <w:b/>
              </w:rPr>
            </w:pPr>
            <w:r w:rsidRPr="00854029">
              <w:rPr>
                <w:rFonts w:ascii="Arial" w:hAnsi="Arial" w:cs="Arial"/>
                <w:b/>
              </w:rPr>
              <w:t>N°</w:t>
            </w:r>
          </w:p>
        </w:tc>
        <w:tc>
          <w:tcPr>
            <w:tcW w:w="4252" w:type="dxa"/>
          </w:tcPr>
          <w:p w14:paraId="1CA15548" w14:textId="77777777" w:rsidR="006621BE" w:rsidRDefault="006621BE" w:rsidP="006621BE">
            <w:pPr>
              <w:tabs>
                <w:tab w:val="left" w:pos="875"/>
              </w:tabs>
              <w:ind w:right="-50"/>
              <w:jc w:val="center"/>
              <w:rPr>
                <w:rFonts w:ascii="Arial" w:hAnsi="Arial" w:cs="Arial"/>
                <w:b/>
              </w:rPr>
            </w:pPr>
            <w:r w:rsidRPr="00854029">
              <w:rPr>
                <w:rFonts w:ascii="Arial" w:hAnsi="Arial" w:cs="Arial"/>
                <w:b/>
              </w:rPr>
              <w:t>Limitaciones del Sistema SIIF II Nación a 31/12/2024</w:t>
            </w:r>
          </w:p>
          <w:p w14:paraId="4ADB7FAA" w14:textId="3CA8390C" w:rsidR="001E3E37" w:rsidRPr="00854029" w:rsidRDefault="001E3E37" w:rsidP="006621BE">
            <w:pPr>
              <w:tabs>
                <w:tab w:val="left" w:pos="875"/>
              </w:tabs>
              <w:ind w:right="-50"/>
              <w:jc w:val="center"/>
              <w:rPr>
                <w:rFonts w:ascii="Arial" w:hAnsi="Arial" w:cs="Arial"/>
                <w:b/>
              </w:rPr>
            </w:pPr>
          </w:p>
        </w:tc>
        <w:tc>
          <w:tcPr>
            <w:tcW w:w="5250" w:type="dxa"/>
          </w:tcPr>
          <w:p w14:paraId="61BD78D8" w14:textId="77777777" w:rsidR="006621BE" w:rsidRPr="00854029" w:rsidRDefault="006621BE" w:rsidP="00EF5AF2">
            <w:pPr>
              <w:tabs>
                <w:tab w:val="left" w:pos="875"/>
              </w:tabs>
              <w:ind w:right="-50"/>
              <w:jc w:val="center"/>
              <w:rPr>
                <w:rFonts w:ascii="Arial" w:hAnsi="Arial" w:cs="Arial"/>
                <w:b/>
              </w:rPr>
            </w:pPr>
            <w:r w:rsidRPr="00854029">
              <w:rPr>
                <w:rFonts w:ascii="Arial" w:hAnsi="Arial" w:cs="Arial"/>
                <w:b/>
              </w:rPr>
              <w:t>Descripción de la limitación</w:t>
            </w:r>
          </w:p>
        </w:tc>
      </w:tr>
      <w:tr w:rsidR="006621BE" w:rsidRPr="00854029" w14:paraId="6DD4F3D7" w14:textId="77777777" w:rsidTr="00EF5AF2">
        <w:trPr>
          <w:jc w:val="center"/>
        </w:trPr>
        <w:tc>
          <w:tcPr>
            <w:tcW w:w="993" w:type="dxa"/>
          </w:tcPr>
          <w:p w14:paraId="598D08B9" w14:textId="77777777" w:rsidR="006621BE" w:rsidRPr="00854029" w:rsidRDefault="006621BE" w:rsidP="00EF5AF2">
            <w:pPr>
              <w:tabs>
                <w:tab w:val="left" w:pos="875"/>
              </w:tabs>
              <w:ind w:right="-50"/>
              <w:jc w:val="center"/>
              <w:rPr>
                <w:rFonts w:ascii="Arial" w:hAnsi="Arial" w:cs="Arial"/>
                <w:b/>
              </w:rPr>
            </w:pPr>
            <w:r w:rsidRPr="00854029">
              <w:rPr>
                <w:rFonts w:ascii="Arial" w:hAnsi="Arial" w:cs="Arial"/>
                <w:b/>
              </w:rPr>
              <w:t>1</w:t>
            </w:r>
          </w:p>
        </w:tc>
        <w:tc>
          <w:tcPr>
            <w:tcW w:w="4252" w:type="dxa"/>
          </w:tcPr>
          <w:p w14:paraId="12947AAD" w14:textId="77777777" w:rsidR="006621BE" w:rsidRPr="00854029" w:rsidRDefault="006621BE" w:rsidP="00EF5AF2">
            <w:pPr>
              <w:tabs>
                <w:tab w:val="left" w:pos="875"/>
              </w:tabs>
              <w:ind w:right="-50"/>
              <w:jc w:val="both"/>
              <w:rPr>
                <w:rFonts w:ascii="Arial" w:hAnsi="Arial" w:cs="Arial"/>
                <w:b/>
              </w:rPr>
            </w:pPr>
            <w:r w:rsidRPr="00854029">
              <w:rPr>
                <w:rFonts w:ascii="Arial" w:hAnsi="Arial" w:cs="Arial"/>
                <w:b/>
              </w:rPr>
              <w:t>Técnicas:</w:t>
            </w:r>
          </w:p>
        </w:tc>
        <w:tc>
          <w:tcPr>
            <w:tcW w:w="5250" w:type="dxa"/>
          </w:tcPr>
          <w:p w14:paraId="6532EDAD" w14:textId="77777777" w:rsidR="006621BE" w:rsidRPr="00854029" w:rsidRDefault="006621BE" w:rsidP="00EF5AF2">
            <w:pPr>
              <w:tabs>
                <w:tab w:val="left" w:pos="875"/>
              </w:tabs>
              <w:ind w:right="-50"/>
              <w:jc w:val="both"/>
              <w:rPr>
                <w:rFonts w:ascii="Arial" w:hAnsi="Arial" w:cs="Arial"/>
              </w:rPr>
            </w:pPr>
            <w:r w:rsidRPr="00854029">
              <w:rPr>
                <w:rFonts w:ascii="Arial" w:hAnsi="Arial" w:cs="Arial"/>
              </w:rPr>
              <w:t>Administración de la información de detalle y a nivel de auxiliar, para los módulos financieros (presupuesto, Cuentas por Pagar, Tesorería y contabilidad), por fuera del SIIF, en hojas de Excel con alta operatividad manual, afectando la integralidad, y seguridad de la información financiera del Instituto.</w:t>
            </w:r>
          </w:p>
        </w:tc>
      </w:tr>
      <w:tr w:rsidR="006621BE" w:rsidRPr="00854029" w14:paraId="246775B0" w14:textId="77777777" w:rsidTr="00EF5AF2">
        <w:trPr>
          <w:jc w:val="center"/>
        </w:trPr>
        <w:tc>
          <w:tcPr>
            <w:tcW w:w="993" w:type="dxa"/>
          </w:tcPr>
          <w:p w14:paraId="1D9B71D3" w14:textId="77777777" w:rsidR="006621BE" w:rsidRPr="00854029" w:rsidRDefault="006621BE" w:rsidP="00EF5AF2">
            <w:pPr>
              <w:tabs>
                <w:tab w:val="left" w:pos="875"/>
              </w:tabs>
              <w:ind w:right="-50"/>
              <w:jc w:val="center"/>
              <w:rPr>
                <w:rFonts w:ascii="Arial" w:hAnsi="Arial" w:cs="Arial"/>
                <w:b/>
              </w:rPr>
            </w:pPr>
            <w:r w:rsidRPr="00854029">
              <w:rPr>
                <w:rFonts w:ascii="Arial" w:hAnsi="Arial" w:cs="Arial"/>
                <w:b/>
              </w:rPr>
              <w:t>2</w:t>
            </w:r>
          </w:p>
        </w:tc>
        <w:tc>
          <w:tcPr>
            <w:tcW w:w="4252" w:type="dxa"/>
          </w:tcPr>
          <w:p w14:paraId="6F6A62B9" w14:textId="77777777" w:rsidR="006621BE" w:rsidRPr="00854029" w:rsidRDefault="006621BE" w:rsidP="00EF5AF2">
            <w:pPr>
              <w:tabs>
                <w:tab w:val="left" w:pos="875"/>
              </w:tabs>
              <w:ind w:right="-50"/>
              <w:jc w:val="both"/>
              <w:rPr>
                <w:rFonts w:ascii="Arial" w:hAnsi="Arial" w:cs="Arial"/>
                <w:b/>
              </w:rPr>
            </w:pPr>
            <w:r w:rsidRPr="00854029">
              <w:rPr>
                <w:rFonts w:ascii="Arial" w:hAnsi="Arial" w:cs="Arial"/>
                <w:b/>
              </w:rPr>
              <w:t>Operativas:</w:t>
            </w:r>
          </w:p>
        </w:tc>
        <w:tc>
          <w:tcPr>
            <w:tcW w:w="5250" w:type="dxa"/>
          </w:tcPr>
          <w:p w14:paraId="5F5A4073" w14:textId="77777777" w:rsidR="006621BE" w:rsidRPr="00854029" w:rsidRDefault="006621BE" w:rsidP="00EF5AF2">
            <w:pPr>
              <w:tabs>
                <w:tab w:val="left" w:pos="875"/>
              </w:tabs>
              <w:ind w:right="-50"/>
              <w:jc w:val="both"/>
              <w:rPr>
                <w:rFonts w:ascii="Arial" w:hAnsi="Arial" w:cs="Arial"/>
              </w:rPr>
            </w:pPr>
            <w:r w:rsidRPr="00854029">
              <w:rPr>
                <w:rFonts w:ascii="Arial" w:hAnsi="Arial" w:cs="Arial"/>
              </w:rPr>
              <w:t>Carga operativa sobredimensionada, por el registro manual en hojas otros aplicativos y Excel del detalle de las transacciones agregadas en SIIF NACION.</w:t>
            </w:r>
          </w:p>
        </w:tc>
      </w:tr>
      <w:tr w:rsidR="006621BE" w:rsidRPr="00854029" w14:paraId="53CBD89F" w14:textId="77777777" w:rsidTr="00EF5AF2">
        <w:trPr>
          <w:jc w:val="center"/>
        </w:trPr>
        <w:tc>
          <w:tcPr>
            <w:tcW w:w="993" w:type="dxa"/>
          </w:tcPr>
          <w:p w14:paraId="301AA8B8" w14:textId="77777777" w:rsidR="006621BE" w:rsidRPr="00854029" w:rsidRDefault="006621BE" w:rsidP="00EF5AF2">
            <w:pPr>
              <w:tabs>
                <w:tab w:val="left" w:pos="875"/>
              </w:tabs>
              <w:ind w:right="-50"/>
              <w:jc w:val="center"/>
              <w:rPr>
                <w:rFonts w:ascii="Arial" w:hAnsi="Arial" w:cs="Arial"/>
                <w:b/>
              </w:rPr>
            </w:pPr>
            <w:r w:rsidRPr="00854029">
              <w:rPr>
                <w:rFonts w:ascii="Arial" w:hAnsi="Arial" w:cs="Arial"/>
                <w:b/>
              </w:rPr>
              <w:lastRenderedPageBreak/>
              <w:t>3</w:t>
            </w:r>
          </w:p>
        </w:tc>
        <w:tc>
          <w:tcPr>
            <w:tcW w:w="4252" w:type="dxa"/>
          </w:tcPr>
          <w:p w14:paraId="09C77523" w14:textId="77777777" w:rsidR="006621BE" w:rsidRPr="00854029" w:rsidRDefault="006621BE" w:rsidP="00EF5AF2">
            <w:pPr>
              <w:tabs>
                <w:tab w:val="left" w:pos="875"/>
              </w:tabs>
              <w:ind w:right="-50"/>
              <w:jc w:val="both"/>
              <w:rPr>
                <w:rFonts w:ascii="Arial" w:hAnsi="Arial" w:cs="Arial"/>
                <w:b/>
              </w:rPr>
            </w:pPr>
            <w:r w:rsidRPr="00854029">
              <w:rPr>
                <w:rFonts w:ascii="Arial" w:hAnsi="Arial" w:cs="Arial"/>
                <w:b/>
              </w:rPr>
              <w:t>Otras:</w:t>
            </w:r>
          </w:p>
        </w:tc>
        <w:tc>
          <w:tcPr>
            <w:tcW w:w="5250" w:type="dxa"/>
          </w:tcPr>
          <w:p w14:paraId="43E56E78" w14:textId="77777777" w:rsidR="006621BE" w:rsidRPr="00854029" w:rsidRDefault="006621BE" w:rsidP="00EF5AF2">
            <w:pPr>
              <w:tabs>
                <w:tab w:val="left" w:pos="875"/>
              </w:tabs>
              <w:ind w:right="-50"/>
              <w:jc w:val="both"/>
              <w:rPr>
                <w:rFonts w:ascii="Arial" w:hAnsi="Arial" w:cs="Arial"/>
              </w:rPr>
            </w:pPr>
            <w:r w:rsidRPr="00854029">
              <w:rPr>
                <w:rFonts w:ascii="Arial" w:hAnsi="Arial" w:cs="Arial"/>
              </w:rPr>
              <w:t>Riesgo de seguridad de la información que sustenta la operación en SIIF, por su gestión en aplicaciones no integradas al SIIF y hojas de Excel.</w:t>
            </w:r>
          </w:p>
        </w:tc>
      </w:tr>
    </w:tbl>
    <w:p w14:paraId="4E421C3C" w14:textId="77777777" w:rsidR="006621BE" w:rsidRDefault="006621BE" w:rsidP="006621BE">
      <w:pPr>
        <w:ind w:left="-284" w:right="-234"/>
        <w:jc w:val="both"/>
        <w:rPr>
          <w:rFonts w:ascii="Arial" w:hAnsi="Arial" w:cs="Arial"/>
          <w:b/>
          <w:sz w:val="24"/>
          <w:szCs w:val="24"/>
        </w:rPr>
      </w:pPr>
    </w:p>
    <w:p w14:paraId="594206C8" w14:textId="77777777" w:rsidR="006621BE" w:rsidRPr="00636F3A" w:rsidRDefault="006621BE" w:rsidP="006621BE">
      <w:pPr>
        <w:ind w:left="-284"/>
        <w:jc w:val="both"/>
        <w:rPr>
          <w:rFonts w:ascii="Arial" w:hAnsi="Arial" w:cs="Arial"/>
          <w:b/>
          <w:sz w:val="28"/>
          <w:szCs w:val="28"/>
          <w:lang w:val="es-MX"/>
        </w:rPr>
      </w:pPr>
      <w:r w:rsidRPr="00636F3A">
        <w:rPr>
          <w:rFonts w:ascii="Arial" w:hAnsi="Arial" w:cs="Arial"/>
          <w:b/>
          <w:sz w:val="28"/>
          <w:szCs w:val="28"/>
          <w:lang w:val="es-MX"/>
        </w:rPr>
        <w:t>24.- ESCUELA TECNOLOGICA INSTITUTO TECNICO CENTRAL.</w:t>
      </w:r>
    </w:p>
    <w:p w14:paraId="550B1074"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636F3A" w14:paraId="7F5059A6" w14:textId="77777777" w:rsidTr="007B2C75">
        <w:tc>
          <w:tcPr>
            <w:tcW w:w="993" w:type="dxa"/>
          </w:tcPr>
          <w:p w14:paraId="24831E44" w14:textId="77777777" w:rsidR="006621BE" w:rsidRPr="00636F3A" w:rsidRDefault="006621BE" w:rsidP="00EF5AF2">
            <w:pPr>
              <w:tabs>
                <w:tab w:val="left" w:pos="875"/>
              </w:tabs>
              <w:ind w:right="-50"/>
              <w:jc w:val="center"/>
              <w:rPr>
                <w:rFonts w:ascii="Arial" w:hAnsi="Arial" w:cs="Arial"/>
                <w:b/>
              </w:rPr>
            </w:pPr>
            <w:r w:rsidRPr="00636F3A">
              <w:rPr>
                <w:rFonts w:ascii="Arial" w:hAnsi="Arial" w:cs="Arial"/>
                <w:b/>
              </w:rPr>
              <w:t>N°</w:t>
            </w:r>
          </w:p>
        </w:tc>
        <w:tc>
          <w:tcPr>
            <w:tcW w:w="4253" w:type="dxa"/>
          </w:tcPr>
          <w:p w14:paraId="552CCE4D" w14:textId="77777777" w:rsidR="006621BE" w:rsidRPr="00636F3A" w:rsidRDefault="006621BE" w:rsidP="00EF5AF2">
            <w:pPr>
              <w:tabs>
                <w:tab w:val="left" w:pos="875"/>
              </w:tabs>
              <w:ind w:right="-50"/>
              <w:jc w:val="center"/>
              <w:rPr>
                <w:rFonts w:ascii="Arial" w:hAnsi="Arial" w:cs="Arial"/>
                <w:b/>
              </w:rPr>
            </w:pPr>
            <w:r w:rsidRPr="00636F3A">
              <w:rPr>
                <w:rFonts w:ascii="Arial" w:hAnsi="Arial" w:cs="Arial"/>
                <w:b/>
              </w:rPr>
              <w:t>Limitaciones del Sistema SIIF II Nación a 31/12/2024</w:t>
            </w:r>
          </w:p>
          <w:p w14:paraId="32F33145" w14:textId="77777777" w:rsidR="006621BE" w:rsidRPr="00636F3A" w:rsidRDefault="006621BE" w:rsidP="00EF5AF2">
            <w:pPr>
              <w:tabs>
                <w:tab w:val="left" w:pos="875"/>
              </w:tabs>
              <w:ind w:right="-50"/>
              <w:jc w:val="center"/>
              <w:rPr>
                <w:rFonts w:ascii="Arial" w:hAnsi="Arial" w:cs="Arial"/>
                <w:b/>
              </w:rPr>
            </w:pPr>
          </w:p>
        </w:tc>
        <w:tc>
          <w:tcPr>
            <w:tcW w:w="5244" w:type="dxa"/>
          </w:tcPr>
          <w:p w14:paraId="36B600FA" w14:textId="77777777" w:rsidR="006621BE" w:rsidRPr="00636F3A" w:rsidRDefault="006621BE" w:rsidP="00EF5AF2">
            <w:pPr>
              <w:tabs>
                <w:tab w:val="left" w:pos="875"/>
              </w:tabs>
              <w:ind w:right="-50"/>
              <w:jc w:val="center"/>
              <w:rPr>
                <w:rFonts w:ascii="Arial" w:hAnsi="Arial" w:cs="Arial"/>
                <w:b/>
              </w:rPr>
            </w:pPr>
            <w:r w:rsidRPr="00636F3A">
              <w:rPr>
                <w:rFonts w:ascii="Arial" w:hAnsi="Arial" w:cs="Arial"/>
                <w:b/>
              </w:rPr>
              <w:t>Descripción de la limitación</w:t>
            </w:r>
          </w:p>
        </w:tc>
      </w:tr>
      <w:tr w:rsidR="006621BE" w:rsidRPr="00636F3A" w14:paraId="1AEBEFBC" w14:textId="77777777" w:rsidTr="007B2C75">
        <w:tc>
          <w:tcPr>
            <w:tcW w:w="993" w:type="dxa"/>
          </w:tcPr>
          <w:p w14:paraId="488C258C" w14:textId="77777777" w:rsidR="006621BE" w:rsidRPr="00636F3A" w:rsidRDefault="006621BE" w:rsidP="00EF5AF2">
            <w:pPr>
              <w:tabs>
                <w:tab w:val="left" w:pos="875"/>
              </w:tabs>
              <w:ind w:right="-50"/>
              <w:jc w:val="center"/>
              <w:rPr>
                <w:rFonts w:ascii="Arial" w:hAnsi="Arial" w:cs="Arial"/>
                <w:b/>
              </w:rPr>
            </w:pPr>
            <w:r w:rsidRPr="00636F3A">
              <w:rPr>
                <w:rFonts w:ascii="Arial" w:hAnsi="Arial" w:cs="Arial"/>
                <w:b/>
              </w:rPr>
              <w:t>1</w:t>
            </w:r>
          </w:p>
        </w:tc>
        <w:tc>
          <w:tcPr>
            <w:tcW w:w="4253" w:type="dxa"/>
          </w:tcPr>
          <w:p w14:paraId="43894998" w14:textId="77777777" w:rsidR="006621BE" w:rsidRPr="00636F3A" w:rsidRDefault="006621BE" w:rsidP="00EF5AF2">
            <w:pPr>
              <w:tabs>
                <w:tab w:val="left" w:pos="875"/>
              </w:tabs>
              <w:ind w:right="-50"/>
              <w:jc w:val="both"/>
              <w:rPr>
                <w:rFonts w:ascii="Arial" w:hAnsi="Arial" w:cs="Arial"/>
                <w:b/>
              </w:rPr>
            </w:pPr>
            <w:r w:rsidRPr="00636F3A">
              <w:rPr>
                <w:rFonts w:ascii="Arial" w:hAnsi="Arial" w:cs="Arial"/>
                <w:b/>
              </w:rPr>
              <w:t>Técnicas:</w:t>
            </w:r>
          </w:p>
        </w:tc>
        <w:tc>
          <w:tcPr>
            <w:tcW w:w="5244" w:type="dxa"/>
          </w:tcPr>
          <w:p w14:paraId="04D92EFA" w14:textId="77777777" w:rsidR="006621BE" w:rsidRPr="00636F3A" w:rsidRDefault="006621BE" w:rsidP="00EF5AF2">
            <w:pPr>
              <w:tabs>
                <w:tab w:val="left" w:pos="875"/>
              </w:tabs>
              <w:ind w:right="-50"/>
              <w:jc w:val="both"/>
              <w:rPr>
                <w:rFonts w:ascii="Arial" w:hAnsi="Arial" w:cs="Arial"/>
              </w:rPr>
            </w:pPr>
            <w:r w:rsidRPr="00636F3A">
              <w:rPr>
                <w:rFonts w:ascii="Arial" w:hAnsi="Arial" w:cs="Arial"/>
              </w:rPr>
              <w:t>Frecuente intermitencia</w:t>
            </w:r>
          </w:p>
        </w:tc>
      </w:tr>
    </w:tbl>
    <w:p w14:paraId="6858BAA3" w14:textId="77777777" w:rsidR="006621BE" w:rsidRDefault="006621BE" w:rsidP="006621BE">
      <w:pPr>
        <w:ind w:left="-284" w:right="-234"/>
        <w:jc w:val="both"/>
        <w:rPr>
          <w:rFonts w:ascii="Arial" w:hAnsi="Arial" w:cs="Arial"/>
          <w:b/>
          <w:sz w:val="24"/>
          <w:szCs w:val="24"/>
          <w:lang w:val="es-MX"/>
        </w:rPr>
      </w:pPr>
    </w:p>
    <w:p w14:paraId="2EFCFA06" w14:textId="77777777" w:rsidR="006621BE" w:rsidRPr="003A215D" w:rsidRDefault="006621BE" w:rsidP="006621BE">
      <w:pPr>
        <w:ind w:left="-284"/>
        <w:jc w:val="both"/>
        <w:rPr>
          <w:rFonts w:ascii="Arial" w:hAnsi="Arial" w:cs="Arial"/>
          <w:b/>
          <w:sz w:val="28"/>
          <w:szCs w:val="28"/>
          <w:lang w:val="es-MX"/>
        </w:rPr>
      </w:pPr>
      <w:r w:rsidRPr="003A215D">
        <w:rPr>
          <w:rFonts w:ascii="Arial" w:hAnsi="Arial" w:cs="Arial"/>
          <w:b/>
          <w:sz w:val="28"/>
          <w:szCs w:val="28"/>
          <w:lang w:val="es-MX"/>
        </w:rPr>
        <w:t>26.- AGENCIA NACIONAL INMOBILIARIA VIRGILIO BARCO.</w:t>
      </w:r>
    </w:p>
    <w:p w14:paraId="3A1086DB" w14:textId="77777777" w:rsidR="006621BE" w:rsidRDefault="006621BE" w:rsidP="006621BE">
      <w:pPr>
        <w:ind w:left="-284" w:right="-234"/>
        <w:jc w:val="both"/>
        <w:rPr>
          <w:rFonts w:ascii="Arial" w:hAnsi="Arial" w:cs="Arial"/>
          <w:b/>
          <w:sz w:val="24"/>
          <w:szCs w:val="24"/>
          <w:lang w:val="es-MX"/>
        </w:rPr>
      </w:pPr>
    </w:p>
    <w:p w14:paraId="27124EC2" w14:textId="77777777" w:rsidR="006621BE" w:rsidRPr="00224AB1" w:rsidRDefault="006621BE" w:rsidP="006621BE">
      <w:pPr>
        <w:pStyle w:val="Textoindependiente"/>
        <w:ind w:left="-284" w:right="-50"/>
        <w:jc w:val="both"/>
        <w:rPr>
          <w:rFonts w:ascii="Arial" w:hAnsi="Arial" w:cs="Arial"/>
          <w:b/>
          <w:sz w:val="24"/>
          <w:szCs w:val="24"/>
        </w:rPr>
      </w:pPr>
      <w:r w:rsidRPr="00224AB1">
        <w:rPr>
          <w:rFonts w:ascii="Arial" w:hAnsi="Arial" w:cs="Arial"/>
          <w:b/>
          <w:sz w:val="24"/>
          <w:szCs w:val="24"/>
        </w:rPr>
        <w:t>-De las Notas a los Estados Financieros.</w:t>
      </w:r>
    </w:p>
    <w:p w14:paraId="04644218" w14:textId="77777777" w:rsidR="006621BE" w:rsidRPr="00224AB1" w:rsidRDefault="006621BE" w:rsidP="006621BE">
      <w:pPr>
        <w:pStyle w:val="Textoindependiente"/>
        <w:ind w:left="-284" w:right="-50"/>
        <w:jc w:val="both"/>
        <w:rPr>
          <w:rFonts w:ascii="Arial" w:hAnsi="Arial" w:cs="Arial"/>
          <w:b/>
          <w:sz w:val="24"/>
          <w:szCs w:val="24"/>
        </w:rPr>
      </w:pPr>
    </w:p>
    <w:p w14:paraId="15484F7D" w14:textId="77777777" w:rsidR="006621BE" w:rsidRPr="00224AB1" w:rsidRDefault="006621BE" w:rsidP="007B2C75">
      <w:pPr>
        <w:pStyle w:val="Textoindependiente"/>
        <w:ind w:left="-284" w:right="-234"/>
        <w:jc w:val="both"/>
        <w:rPr>
          <w:rFonts w:ascii="Arial" w:hAnsi="Arial" w:cs="Arial"/>
          <w:bCs/>
          <w:sz w:val="24"/>
          <w:szCs w:val="24"/>
        </w:rPr>
      </w:pPr>
      <w:r w:rsidRPr="00224AB1">
        <w:rPr>
          <w:rFonts w:ascii="Arial" w:hAnsi="Arial" w:cs="Arial"/>
          <w:b/>
          <w:sz w:val="24"/>
          <w:szCs w:val="24"/>
        </w:rPr>
        <w:t xml:space="preserve">Sistema Integrado de Información Financiera – SIIF Nación. </w:t>
      </w:r>
      <w:r w:rsidRPr="00224AB1">
        <w:rPr>
          <w:rFonts w:ascii="Arial" w:hAnsi="Arial" w:cs="Arial"/>
          <w:bCs/>
          <w:sz w:val="24"/>
          <w:szCs w:val="24"/>
        </w:rPr>
        <w:t>Operaciones reciprocas el reporte definitivo generado desde el SIIF Nación, presenta algunas inconsistencias en cuentas e identificación de entidades, por lo que se requiere realizar ajustes manuales.</w:t>
      </w:r>
    </w:p>
    <w:p w14:paraId="121E2DCD" w14:textId="77777777" w:rsidR="006621BE" w:rsidRDefault="006621BE" w:rsidP="006621BE">
      <w:pPr>
        <w:ind w:left="-284" w:right="-234"/>
        <w:jc w:val="both"/>
        <w:rPr>
          <w:rFonts w:ascii="Arial" w:hAnsi="Arial" w:cs="Arial"/>
          <w:b/>
          <w:sz w:val="24"/>
          <w:szCs w:val="24"/>
        </w:rPr>
      </w:pPr>
    </w:p>
    <w:p w14:paraId="2ACFDE93" w14:textId="77777777" w:rsidR="006621BE" w:rsidRPr="00C946EE" w:rsidRDefault="006621BE" w:rsidP="006621BE">
      <w:pPr>
        <w:ind w:left="-284"/>
        <w:jc w:val="both"/>
        <w:rPr>
          <w:rFonts w:ascii="Arial" w:hAnsi="Arial" w:cs="Arial"/>
          <w:b/>
          <w:sz w:val="28"/>
          <w:szCs w:val="28"/>
          <w:lang w:val="es-MX"/>
        </w:rPr>
      </w:pPr>
      <w:r w:rsidRPr="00C946EE">
        <w:rPr>
          <w:rFonts w:ascii="Arial" w:hAnsi="Arial" w:cs="Arial"/>
          <w:b/>
          <w:sz w:val="28"/>
          <w:szCs w:val="28"/>
          <w:lang w:val="es-MX"/>
        </w:rPr>
        <w:t>27.- INSTITUTO NACIONAL DE METROLOGÍA DE COLOMBIA - INMC.</w:t>
      </w:r>
    </w:p>
    <w:p w14:paraId="039A83B9" w14:textId="77777777" w:rsidR="006621BE" w:rsidRDefault="006621BE" w:rsidP="006621BE">
      <w:pPr>
        <w:jc w:val="both"/>
        <w:rPr>
          <w:rFonts w:ascii="Arial" w:hAnsi="Arial" w:cs="Arial"/>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4216A8" w14:paraId="0E1A68CE" w14:textId="77777777" w:rsidTr="007B2C75">
        <w:trPr>
          <w:trHeight w:val="309"/>
        </w:trPr>
        <w:tc>
          <w:tcPr>
            <w:tcW w:w="993" w:type="dxa"/>
          </w:tcPr>
          <w:p w14:paraId="59BC0D46" w14:textId="77777777" w:rsidR="006621BE" w:rsidRPr="004216A8" w:rsidRDefault="006621BE" w:rsidP="00EF5AF2">
            <w:pPr>
              <w:tabs>
                <w:tab w:val="left" w:pos="875"/>
              </w:tabs>
              <w:ind w:right="-50"/>
              <w:jc w:val="center"/>
              <w:rPr>
                <w:rFonts w:ascii="Arial" w:hAnsi="Arial" w:cs="Arial"/>
                <w:b/>
              </w:rPr>
            </w:pPr>
            <w:r w:rsidRPr="004216A8">
              <w:rPr>
                <w:rFonts w:ascii="Arial" w:hAnsi="Arial" w:cs="Arial"/>
                <w:b/>
              </w:rPr>
              <w:t>N°</w:t>
            </w:r>
          </w:p>
        </w:tc>
        <w:tc>
          <w:tcPr>
            <w:tcW w:w="4253" w:type="dxa"/>
          </w:tcPr>
          <w:p w14:paraId="1E5611B2" w14:textId="77777777" w:rsidR="006621BE" w:rsidRPr="004216A8" w:rsidRDefault="006621BE" w:rsidP="00EF5AF2">
            <w:pPr>
              <w:tabs>
                <w:tab w:val="left" w:pos="875"/>
              </w:tabs>
              <w:ind w:right="-50"/>
              <w:jc w:val="center"/>
              <w:rPr>
                <w:rFonts w:ascii="Arial" w:hAnsi="Arial" w:cs="Arial"/>
                <w:b/>
              </w:rPr>
            </w:pPr>
            <w:r w:rsidRPr="004216A8">
              <w:rPr>
                <w:rFonts w:ascii="Arial" w:hAnsi="Arial" w:cs="Arial"/>
                <w:b/>
              </w:rPr>
              <w:t>Limitaciones del Sistema SIIF II Nación a 31/12/2024</w:t>
            </w:r>
          </w:p>
          <w:p w14:paraId="66F19647" w14:textId="77777777" w:rsidR="006621BE" w:rsidRPr="004216A8" w:rsidRDefault="006621BE" w:rsidP="00EF5AF2">
            <w:pPr>
              <w:tabs>
                <w:tab w:val="left" w:pos="875"/>
              </w:tabs>
              <w:ind w:right="-50"/>
              <w:jc w:val="center"/>
              <w:rPr>
                <w:rFonts w:ascii="Arial" w:hAnsi="Arial" w:cs="Arial"/>
                <w:b/>
              </w:rPr>
            </w:pPr>
          </w:p>
        </w:tc>
        <w:tc>
          <w:tcPr>
            <w:tcW w:w="5244" w:type="dxa"/>
          </w:tcPr>
          <w:p w14:paraId="5D1F1FF9" w14:textId="77777777" w:rsidR="006621BE" w:rsidRPr="004216A8" w:rsidRDefault="006621BE" w:rsidP="00EF5AF2">
            <w:pPr>
              <w:tabs>
                <w:tab w:val="left" w:pos="875"/>
              </w:tabs>
              <w:ind w:right="-50"/>
              <w:jc w:val="center"/>
              <w:rPr>
                <w:rFonts w:ascii="Arial" w:hAnsi="Arial" w:cs="Arial"/>
                <w:b/>
              </w:rPr>
            </w:pPr>
            <w:r w:rsidRPr="004216A8">
              <w:rPr>
                <w:rFonts w:ascii="Arial" w:hAnsi="Arial" w:cs="Arial"/>
                <w:b/>
              </w:rPr>
              <w:t>Descripción de la limitación</w:t>
            </w:r>
          </w:p>
        </w:tc>
      </w:tr>
      <w:tr w:rsidR="006621BE" w:rsidRPr="004216A8" w14:paraId="27AEA39B" w14:textId="77777777" w:rsidTr="007B2C75">
        <w:tc>
          <w:tcPr>
            <w:tcW w:w="993" w:type="dxa"/>
          </w:tcPr>
          <w:p w14:paraId="2633560B" w14:textId="77777777" w:rsidR="006621BE" w:rsidRPr="004216A8" w:rsidRDefault="006621BE" w:rsidP="00EF5AF2">
            <w:pPr>
              <w:tabs>
                <w:tab w:val="left" w:pos="875"/>
              </w:tabs>
              <w:ind w:right="-50"/>
              <w:jc w:val="center"/>
              <w:rPr>
                <w:rFonts w:ascii="Arial" w:hAnsi="Arial" w:cs="Arial"/>
                <w:b/>
              </w:rPr>
            </w:pPr>
            <w:r w:rsidRPr="004216A8">
              <w:rPr>
                <w:rFonts w:ascii="Arial" w:hAnsi="Arial" w:cs="Arial"/>
                <w:b/>
              </w:rPr>
              <w:t>1</w:t>
            </w:r>
          </w:p>
        </w:tc>
        <w:tc>
          <w:tcPr>
            <w:tcW w:w="4253" w:type="dxa"/>
          </w:tcPr>
          <w:p w14:paraId="1A78A81C" w14:textId="77777777" w:rsidR="006621BE" w:rsidRPr="004216A8" w:rsidRDefault="006621BE" w:rsidP="00EF5AF2">
            <w:pPr>
              <w:tabs>
                <w:tab w:val="left" w:pos="875"/>
              </w:tabs>
              <w:ind w:right="-50"/>
              <w:jc w:val="both"/>
              <w:rPr>
                <w:rFonts w:ascii="Arial" w:hAnsi="Arial" w:cs="Arial"/>
                <w:b/>
              </w:rPr>
            </w:pPr>
            <w:r w:rsidRPr="004216A8">
              <w:rPr>
                <w:rFonts w:ascii="Arial" w:hAnsi="Arial" w:cs="Arial"/>
                <w:b/>
              </w:rPr>
              <w:t>Técnicas:</w:t>
            </w:r>
          </w:p>
        </w:tc>
        <w:tc>
          <w:tcPr>
            <w:tcW w:w="5244" w:type="dxa"/>
          </w:tcPr>
          <w:p w14:paraId="21D5F1EC" w14:textId="77777777" w:rsidR="006621BE" w:rsidRPr="004216A8" w:rsidRDefault="006621BE" w:rsidP="00EF5AF2">
            <w:pPr>
              <w:tabs>
                <w:tab w:val="left" w:pos="875"/>
              </w:tabs>
              <w:ind w:right="-50"/>
              <w:jc w:val="both"/>
              <w:rPr>
                <w:rFonts w:ascii="Arial" w:hAnsi="Arial" w:cs="Arial"/>
              </w:rPr>
            </w:pPr>
            <w:r w:rsidRPr="004216A8">
              <w:rPr>
                <w:rFonts w:ascii="Arial" w:hAnsi="Arial" w:cs="Arial"/>
              </w:rPr>
              <w:t>A veces presentó demoras en la accesibilidad al Sistema</w:t>
            </w:r>
          </w:p>
        </w:tc>
      </w:tr>
      <w:tr w:rsidR="006621BE" w:rsidRPr="004216A8" w14:paraId="168AA53A" w14:textId="77777777" w:rsidTr="007B2C75">
        <w:tc>
          <w:tcPr>
            <w:tcW w:w="993" w:type="dxa"/>
          </w:tcPr>
          <w:p w14:paraId="71C745FA" w14:textId="77777777" w:rsidR="006621BE" w:rsidRPr="004216A8" w:rsidRDefault="006621BE" w:rsidP="00EF5AF2">
            <w:pPr>
              <w:tabs>
                <w:tab w:val="left" w:pos="875"/>
              </w:tabs>
              <w:ind w:right="-50"/>
              <w:jc w:val="center"/>
              <w:rPr>
                <w:rFonts w:ascii="Arial" w:hAnsi="Arial" w:cs="Arial"/>
                <w:b/>
              </w:rPr>
            </w:pPr>
            <w:r w:rsidRPr="004216A8">
              <w:rPr>
                <w:rFonts w:ascii="Arial" w:hAnsi="Arial" w:cs="Arial"/>
                <w:b/>
              </w:rPr>
              <w:t>3</w:t>
            </w:r>
          </w:p>
        </w:tc>
        <w:tc>
          <w:tcPr>
            <w:tcW w:w="4253" w:type="dxa"/>
          </w:tcPr>
          <w:p w14:paraId="04D46B67" w14:textId="77777777" w:rsidR="006621BE" w:rsidRPr="004216A8" w:rsidRDefault="006621BE" w:rsidP="00EF5AF2">
            <w:pPr>
              <w:tabs>
                <w:tab w:val="left" w:pos="875"/>
              </w:tabs>
              <w:ind w:right="-50"/>
              <w:jc w:val="both"/>
              <w:rPr>
                <w:rFonts w:ascii="Arial" w:hAnsi="Arial" w:cs="Arial"/>
                <w:b/>
              </w:rPr>
            </w:pPr>
            <w:r w:rsidRPr="004216A8">
              <w:rPr>
                <w:rFonts w:ascii="Arial" w:hAnsi="Arial" w:cs="Arial"/>
                <w:b/>
              </w:rPr>
              <w:t>Operativas:</w:t>
            </w:r>
          </w:p>
        </w:tc>
        <w:tc>
          <w:tcPr>
            <w:tcW w:w="5244" w:type="dxa"/>
          </w:tcPr>
          <w:p w14:paraId="64291154" w14:textId="77777777" w:rsidR="006621BE" w:rsidRPr="004216A8" w:rsidRDefault="006621BE" w:rsidP="00EF5AF2">
            <w:pPr>
              <w:tabs>
                <w:tab w:val="left" w:pos="875"/>
              </w:tabs>
              <w:ind w:right="-50"/>
              <w:jc w:val="both"/>
              <w:rPr>
                <w:rFonts w:ascii="Arial" w:hAnsi="Arial" w:cs="Arial"/>
              </w:rPr>
            </w:pPr>
            <w:r w:rsidRPr="004216A8">
              <w:rPr>
                <w:rFonts w:ascii="Arial" w:hAnsi="Arial" w:cs="Arial"/>
              </w:rPr>
              <w:t>A veces presentó demoras en la accesibilidad al Sistema</w:t>
            </w:r>
          </w:p>
        </w:tc>
      </w:tr>
    </w:tbl>
    <w:p w14:paraId="5FF15026" w14:textId="77777777" w:rsidR="006621BE" w:rsidRDefault="006621BE" w:rsidP="006621BE">
      <w:pPr>
        <w:ind w:left="-284" w:right="-234"/>
        <w:jc w:val="both"/>
        <w:rPr>
          <w:rFonts w:ascii="Arial" w:hAnsi="Arial" w:cs="Arial"/>
          <w:b/>
          <w:sz w:val="24"/>
          <w:szCs w:val="24"/>
        </w:rPr>
      </w:pPr>
    </w:p>
    <w:p w14:paraId="479CB6D8" w14:textId="77777777" w:rsidR="006621BE" w:rsidRPr="00A02198" w:rsidRDefault="006621BE" w:rsidP="006621BE">
      <w:pPr>
        <w:ind w:left="-284"/>
        <w:jc w:val="both"/>
        <w:rPr>
          <w:rFonts w:ascii="Arial" w:hAnsi="Arial" w:cs="Arial"/>
          <w:b/>
          <w:sz w:val="28"/>
          <w:szCs w:val="28"/>
          <w:lang w:val="es-MX"/>
        </w:rPr>
      </w:pPr>
      <w:r w:rsidRPr="00A02198">
        <w:rPr>
          <w:rFonts w:ascii="Arial" w:hAnsi="Arial" w:cs="Arial"/>
          <w:b/>
          <w:sz w:val="28"/>
          <w:szCs w:val="28"/>
          <w:lang w:val="es-MX"/>
        </w:rPr>
        <w:t>30.- JURISDICCION ESPECIAL PARA LA PAZ - JEP.</w:t>
      </w:r>
    </w:p>
    <w:p w14:paraId="621F4BAB" w14:textId="77777777" w:rsidR="006621BE" w:rsidRDefault="006621BE" w:rsidP="006621BE">
      <w:pPr>
        <w:jc w:val="both"/>
        <w:rPr>
          <w:rFonts w:ascii="Arial" w:hAnsi="Arial" w:cs="Arial"/>
          <w:sz w:val="28"/>
          <w:szCs w:val="28"/>
          <w:lang w:val="es-MX"/>
        </w:rPr>
      </w:pPr>
    </w:p>
    <w:tbl>
      <w:tblPr>
        <w:tblW w:w="10490" w:type="dxa"/>
        <w:tblInd w:w="-294" w:type="dxa"/>
        <w:tblCellMar>
          <w:left w:w="70" w:type="dxa"/>
          <w:right w:w="70" w:type="dxa"/>
        </w:tblCellMar>
        <w:tblLook w:val="04A0" w:firstRow="1" w:lastRow="0" w:firstColumn="1" w:lastColumn="0" w:noHBand="0" w:noVBand="1"/>
      </w:tblPr>
      <w:tblGrid>
        <w:gridCol w:w="993"/>
        <w:gridCol w:w="4253"/>
        <w:gridCol w:w="5244"/>
      </w:tblGrid>
      <w:tr w:rsidR="006621BE" w:rsidRPr="009F7F47" w14:paraId="03CC17CD" w14:textId="77777777" w:rsidTr="007B2C75">
        <w:trPr>
          <w:trHeight w:val="699"/>
        </w:trPr>
        <w:tc>
          <w:tcPr>
            <w:tcW w:w="9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5A6B8BC" w14:textId="77777777" w:rsidR="006621BE" w:rsidRPr="003F23D1" w:rsidRDefault="006621BE" w:rsidP="00EF5AF2">
            <w:pPr>
              <w:jc w:val="cente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No.</w:t>
            </w:r>
          </w:p>
        </w:tc>
        <w:tc>
          <w:tcPr>
            <w:tcW w:w="4253" w:type="dxa"/>
            <w:tcBorders>
              <w:top w:val="single" w:sz="8" w:space="0" w:color="auto"/>
              <w:left w:val="nil"/>
              <w:bottom w:val="single" w:sz="8" w:space="0" w:color="auto"/>
              <w:right w:val="single" w:sz="4" w:space="0" w:color="auto"/>
            </w:tcBorders>
            <w:shd w:val="clear" w:color="auto" w:fill="auto"/>
            <w:vAlign w:val="center"/>
            <w:hideMark/>
          </w:tcPr>
          <w:p w14:paraId="4809E76D" w14:textId="77777777" w:rsidR="006621BE" w:rsidRPr="003F23D1" w:rsidRDefault="006621BE" w:rsidP="00EF5AF2">
            <w:pPr>
              <w:jc w:val="cente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Descripción de la Limitación del SIIF II Nación a 31/12/2023</w:t>
            </w:r>
          </w:p>
        </w:tc>
        <w:tc>
          <w:tcPr>
            <w:tcW w:w="5244" w:type="dxa"/>
            <w:tcBorders>
              <w:top w:val="single" w:sz="8" w:space="0" w:color="auto"/>
              <w:left w:val="nil"/>
              <w:bottom w:val="single" w:sz="8" w:space="0" w:color="auto"/>
              <w:right w:val="single" w:sz="8" w:space="0" w:color="auto"/>
            </w:tcBorders>
            <w:shd w:val="clear" w:color="auto" w:fill="auto"/>
            <w:vAlign w:val="center"/>
            <w:hideMark/>
          </w:tcPr>
          <w:p w14:paraId="3F00265A" w14:textId="77777777" w:rsidR="006621BE" w:rsidRPr="003F23D1" w:rsidRDefault="006621BE" w:rsidP="00EF5AF2">
            <w:pPr>
              <w:ind w:firstLineChars="700" w:firstLine="1265"/>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 xml:space="preserve">          Observaciones</w:t>
            </w:r>
          </w:p>
        </w:tc>
      </w:tr>
      <w:tr w:rsidR="006621BE" w:rsidRPr="009F7F47" w14:paraId="23823CD1" w14:textId="77777777" w:rsidTr="007B2C75">
        <w:trPr>
          <w:trHeight w:val="458"/>
        </w:trPr>
        <w:tc>
          <w:tcPr>
            <w:tcW w:w="9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B9C36D" w14:textId="77777777" w:rsidR="006621BE" w:rsidRPr="003F23D1" w:rsidRDefault="006621BE" w:rsidP="00EF5AF2">
            <w:pPr>
              <w:jc w:val="cente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1</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C8B1007" w14:textId="77777777" w:rsidR="006621BE" w:rsidRPr="003F23D1" w:rsidRDefault="006621BE" w:rsidP="00EF5AF2">
            <w:pP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Administrativas:</w:t>
            </w:r>
          </w:p>
        </w:tc>
        <w:tc>
          <w:tcPr>
            <w:tcW w:w="5244" w:type="dxa"/>
            <w:tcBorders>
              <w:top w:val="single" w:sz="4" w:space="0" w:color="auto"/>
              <w:left w:val="nil"/>
              <w:bottom w:val="single" w:sz="4" w:space="0" w:color="auto"/>
              <w:right w:val="single" w:sz="8" w:space="0" w:color="auto"/>
            </w:tcBorders>
            <w:shd w:val="clear" w:color="auto" w:fill="auto"/>
            <w:vAlign w:val="center"/>
            <w:hideMark/>
          </w:tcPr>
          <w:p w14:paraId="3DF2B7CE" w14:textId="77777777" w:rsidR="006621BE" w:rsidRPr="003F23D1" w:rsidRDefault="006621BE" w:rsidP="00EF5AF2">
            <w:pPr>
              <w:jc w:val="both"/>
              <w:rPr>
                <w:rFonts w:ascii="Arial" w:eastAsia="Times New Roman" w:hAnsi="Arial" w:cs="Arial"/>
                <w:color w:val="000000"/>
                <w:sz w:val="18"/>
                <w:szCs w:val="18"/>
                <w:lang w:val="es-MX" w:eastAsia="es-MX"/>
              </w:rPr>
            </w:pPr>
            <w:r w:rsidRPr="003F23D1">
              <w:rPr>
                <w:rFonts w:ascii="Arial" w:eastAsia="Times New Roman" w:hAnsi="Arial" w:cs="Arial"/>
                <w:color w:val="000000"/>
                <w:sz w:val="18"/>
                <w:szCs w:val="18"/>
                <w:lang w:val="es-MX" w:eastAsia="es-MX"/>
              </w:rPr>
              <w:t>Las solicitudes de modificaciones o actualizaciones se han atendido oportunamente</w:t>
            </w:r>
          </w:p>
        </w:tc>
      </w:tr>
      <w:tr w:rsidR="006621BE" w:rsidRPr="009F7F47" w14:paraId="2D31BCF4" w14:textId="77777777" w:rsidTr="007B2C75">
        <w:trPr>
          <w:trHeight w:val="445"/>
        </w:trPr>
        <w:tc>
          <w:tcPr>
            <w:tcW w:w="993" w:type="dxa"/>
            <w:tcBorders>
              <w:top w:val="nil"/>
              <w:left w:val="single" w:sz="8" w:space="0" w:color="auto"/>
              <w:bottom w:val="single" w:sz="4" w:space="0" w:color="auto"/>
              <w:right w:val="single" w:sz="4" w:space="0" w:color="auto"/>
            </w:tcBorders>
            <w:shd w:val="clear" w:color="auto" w:fill="auto"/>
            <w:vAlign w:val="center"/>
            <w:hideMark/>
          </w:tcPr>
          <w:p w14:paraId="5663F5BE" w14:textId="77777777" w:rsidR="006621BE" w:rsidRPr="003F23D1" w:rsidRDefault="006621BE" w:rsidP="00EF5AF2">
            <w:pPr>
              <w:jc w:val="cente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2</w:t>
            </w:r>
          </w:p>
        </w:tc>
        <w:tc>
          <w:tcPr>
            <w:tcW w:w="4253" w:type="dxa"/>
            <w:tcBorders>
              <w:top w:val="nil"/>
              <w:left w:val="nil"/>
              <w:bottom w:val="single" w:sz="4" w:space="0" w:color="auto"/>
              <w:right w:val="single" w:sz="4" w:space="0" w:color="auto"/>
            </w:tcBorders>
            <w:shd w:val="clear" w:color="auto" w:fill="auto"/>
            <w:vAlign w:val="center"/>
            <w:hideMark/>
          </w:tcPr>
          <w:p w14:paraId="53D74F5E" w14:textId="77777777" w:rsidR="006621BE" w:rsidRPr="003F23D1" w:rsidRDefault="006621BE" w:rsidP="00EF5AF2">
            <w:pP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Técnicas:</w:t>
            </w:r>
          </w:p>
        </w:tc>
        <w:tc>
          <w:tcPr>
            <w:tcW w:w="5244" w:type="dxa"/>
            <w:tcBorders>
              <w:top w:val="nil"/>
              <w:left w:val="nil"/>
              <w:bottom w:val="single" w:sz="4" w:space="0" w:color="auto"/>
              <w:right w:val="single" w:sz="8" w:space="0" w:color="auto"/>
            </w:tcBorders>
            <w:shd w:val="clear" w:color="auto" w:fill="auto"/>
            <w:vAlign w:val="center"/>
            <w:hideMark/>
          </w:tcPr>
          <w:p w14:paraId="060C9EB8" w14:textId="77777777" w:rsidR="006621BE" w:rsidRPr="003F23D1" w:rsidRDefault="006621BE" w:rsidP="00EF5AF2">
            <w:pPr>
              <w:jc w:val="both"/>
              <w:rPr>
                <w:rFonts w:ascii="Arial" w:eastAsia="Times New Roman" w:hAnsi="Arial" w:cs="Arial"/>
                <w:color w:val="000000"/>
                <w:sz w:val="18"/>
                <w:szCs w:val="18"/>
                <w:lang w:val="es-MX" w:eastAsia="es-MX"/>
              </w:rPr>
            </w:pPr>
            <w:r w:rsidRPr="003F23D1">
              <w:rPr>
                <w:rFonts w:ascii="Arial" w:eastAsia="Times New Roman" w:hAnsi="Arial" w:cs="Arial"/>
                <w:color w:val="000000"/>
                <w:sz w:val="18"/>
                <w:szCs w:val="18"/>
                <w:lang w:val="es-MX" w:eastAsia="es-MX"/>
              </w:rPr>
              <w:t>Caídas temporales del sistema que generaron mayores tiempos en la gestión de operaciones en el sistema</w:t>
            </w:r>
          </w:p>
        </w:tc>
      </w:tr>
      <w:tr w:rsidR="006621BE" w:rsidRPr="009F7F47" w14:paraId="24F1BF90" w14:textId="77777777" w:rsidTr="007B2C75">
        <w:trPr>
          <w:trHeight w:val="494"/>
        </w:trPr>
        <w:tc>
          <w:tcPr>
            <w:tcW w:w="993" w:type="dxa"/>
            <w:tcBorders>
              <w:top w:val="nil"/>
              <w:left w:val="single" w:sz="8" w:space="0" w:color="auto"/>
              <w:bottom w:val="single" w:sz="4" w:space="0" w:color="auto"/>
              <w:right w:val="single" w:sz="4" w:space="0" w:color="auto"/>
            </w:tcBorders>
            <w:shd w:val="clear" w:color="auto" w:fill="auto"/>
            <w:vAlign w:val="center"/>
            <w:hideMark/>
          </w:tcPr>
          <w:p w14:paraId="682ABAC0" w14:textId="77777777" w:rsidR="006621BE" w:rsidRPr="003F23D1" w:rsidRDefault="006621BE" w:rsidP="00EF5AF2">
            <w:pPr>
              <w:jc w:val="cente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3</w:t>
            </w:r>
          </w:p>
        </w:tc>
        <w:tc>
          <w:tcPr>
            <w:tcW w:w="4253" w:type="dxa"/>
            <w:tcBorders>
              <w:top w:val="nil"/>
              <w:left w:val="nil"/>
              <w:bottom w:val="single" w:sz="4" w:space="0" w:color="auto"/>
              <w:right w:val="single" w:sz="4" w:space="0" w:color="auto"/>
            </w:tcBorders>
            <w:shd w:val="clear" w:color="auto" w:fill="auto"/>
            <w:vAlign w:val="center"/>
            <w:hideMark/>
          </w:tcPr>
          <w:p w14:paraId="4A4B36FC" w14:textId="77777777" w:rsidR="006621BE" w:rsidRPr="003F23D1" w:rsidRDefault="006621BE" w:rsidP="00EF5AF2">
            <w:pP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Operativas:</w:t>
            </w:r>
          </w:p>
        </w:tc>
        <w:tc>
          <w:tcPr>
            <w:tcW w:w="5244" w:type="dxa"/>
            <w:tcBorders>
              <w:top w:val="nil"/>
              <w:left w:val="nil"/>
              <w:bottom w:val="single" w:sz="4" w:space="0" w:color="auto"/>
              <w:right w:val="single" w:sz="8" w:space="0" w:color="auto"/>
            </w:tcBorders>
            <w:shd w:val="clear" w:color="auto" w:fill="auto"/>
            <w:vAlign w:val="center"/>
            <w:hideMark/>
          </w:tcPr>
          <w:p w14:paraId="42893637" w14:textId="77777777" w:rsidR="006621BE" w:rsidRPr="003F23D1" w:rsidRDefault="006621BE" w:rsidP="00EF5AF2">
            <w:pPr>
              <w:jc w:val="both"/>
              <w:rPr>
                <w:rFonts w:ascii="Arial" w:eastAsia="Times New Roman" w:hAnsi="Arial" w:cs="Arial"/>
                <w:color w:val="000000"/>
                <w:sz w:val="18"/>
                <w:szCs w:val="18"/>
                <w:lang w:val="es-MX" w:eastAsia="es-MX"/>
              </w:rPr>
            </w:pPr>
            <w:r w:rsidRPr="003F23D1">
              <w:rPr>
                <w:rFonts w:ascii="Arial" w:eastAsia="Times New Roman" w:hAnsi="Arial" w:cs="Arial"/>
                <w:color w:val="000000"/>
                <w:sz w:val="18"/>
                <w:szCs w:val="18"/>
                <w:lang w:val="es-MX" w:eastAsia="es-MX"/>
              </w:rPr>
              <w:t>Las situaciones operativas se han reportado y se ha obtenido respuesta oportunamente.</w:t>
            </w:r>
          </w:p>
        </w:tc>
      </w:tr>
      <w:tr w:rsidR="006621BE" w:rsidRPr="009F7F47" w14:paraId="3ABE9B1D" w14:textId="77777777" w:rsidTr="007B2C75">
        <w:trPr>
          <w:trHeight w:val="348"/>
        </w:trPr>
        <w:tc>
          <w:tcPr>
            <w:tcW w:w="993" w:type="dxa"/>
            <w:tcBorders>
              <w:top w:val="nil"/>
              <w:left w:val="single" w:sz="8" w:space="0" w:color="auto"/>
              <w:bottom w:val="single" w:sz="4" w:space="0" w:color="auto"/>
              <w:right w:val="single" w:sz="4" w:space="0" w:color="auto"/>
            </w:tcBorders>
            <w:shd w:val="clear" w:color="auto" w:fill="auto"/>
            <w:vAlign w:val="center"/>
            <w:hideMark/>
          </w:tcPr>
          <w:p w14:paraId="694EBA25" w14:textId="77777777" w:rsidR="006621BE" w:rsidRPr="003F23D1" w:rsidRDefault="006621BE" w:rsidP="00EF5AF2">
            <w:pPr>
              <w:jc w:val="cente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4</w:t>
            </w:r>
          </w:p>
        </w:tc>
        <w:tc>
          <w:tcPr>
            <w:tcW w:w="4253" w:type="dxa"/>
            <w:tcBorders>
              <w:top w:val="nil"/>
              <w:left w:val="nil"/>
              <w:bottom w:val="single" w:sz="4" w:space="0" w:color="auto"/>
              <w:right w:val="single" w:sz="4" w:space="0" w:color="auto"/>
            </w:tcBorders>
            <w:shd w:val="clear" w:color="auto" w:fill="auto"/>
            <w:vAlign w:val="center"/>
            <w:hideMark/>
          </w:tcPr>
          <w:p w14:paraId="0C481E8C" w14:textId="77777777" w:rsidR="006621BE" w:rsidRPr="003F23D1" w:rsidRDefault="006621BE" w:rsidP="00EF5AF2">
            <w:pPr>
              <w:rPr>
                <w:rFonts w:ascii="Arial" w:eastAsia="Times New Roman" w:hAnsi="Arial" w:cs="Arial"/>
                <w:b/>
                <w:bCs/>
                <w:color w:val="000000"/>
                <w:sz w:val="18"/>
                <w:szCs w:val="18"/>
                <w:lang w:val="es-MX" w:eastAsia="es-MX"/>
              </w:rPr>
            </w:pPr>
            <w:r w:rsidRPr="003F23D1">
              <w:rPr>
                <w:rFonts w:ascii="Arial" w:eastAsia="Times New Roman" w:hAnsi="Arial" w:cs="Arial"/>
                <w:b/>
                <w:bCs/>
                <w:color w:val="000000"/>
                <w:sz w:val="18"/>
                <w:szCs w:val="18"/>
                <w:lang w:val="es-MX" w:eastAsia="es-MX"/>
              </w:rPr>
              <w:t>Soporte a la plataforma:</w:t>
            </w:r>
          </w:p>
        </w:tc>
        <w:tc>
          <w:tcPr>
            <w:tcW w:w="5244" w:type="dxa"/>
            <w:tcBorders>
              <w:top w:val="nil"/>
              <w:left w:val="nil"/>
              <w:bottom w:val="single" w:sz="4" w:space="0" w:color="auto"/>
              <w:right w:val="single" w:sz="8" w:space="0" w:color="auto"/>
            </w:tcBorders>
            <w:shd w:val="clear" w:color="auto" w:fill="auto"/>
            <w:vAlign w:val="center"/>
            <w:hideMark/>
          </w:tcPr>
          <w:p w14:paraId="45C89310" w14:textId="77777777" w:rsidR="006621BE" w:rsidRPr="003F23D1" w:rsidRDefault="006621BE" w:rsidP="00EF5AF2">
            <w:pPr>
              <w:jc w:val="both"/>
              <w:rPr>
                <w:rFonts w:ascii="Arial" w:eastAsia="Times New Roman" w:hAnsi="Arial" w:cs="Arial"/>
                <w:color w:val="000000"/>
                <w:sz w:val="18"/>
                <w:szCs w:val="18"/>
                <w:lang w:val="es-MX" w:eastAsia="es-MX"/>
              </w:rPr>
            </w:pPr>
            <w:r w:rsidRPr="003F23D1">
              <w:rPr>
                <w:rFonts w:ascii="Arial" w:eastAsia="Times New Roman" w:hAnsi="Arial" w:cs="Arial"/>
                <w:color w:val="000000"/>
                <w:sz w:val="18"/>
                <w:szCs w:val="18"/>
                <w:lang w:val="es-MX" w:eastAsia="es-MX"/>
              </w:rPr>
              <w:t>Cuando se requirió se recibió soporte oportuno del SIIF Nación</w:t>
            </w:r>
          </w:p>
        </w:tc>
      </w:tr>
    </w:tbl>
    <w:p w14:paraId="3D517A42" w14:textId="77777777" w:rsidR="006621BE" w:rsidRDefault="006621BE" w:rsidP="006621BE">
      <w:pPr>
        <w:ind w:left="-284" w:right="-234"/>
        <w:jc w:val="both"/>
        <w:rPr>
          <w:rFonts w:ascii="Arial" w:hAnsi="Arial" w:cs="Arial"/>
          <w:b/>
          <w:sz w:val="24"/>
          <w:szCs w:val="24"/>
        </w:rPr>
      </w:pPr>
    </w:p>
    <w:p w14:paraId="79CBFDD4" w14:textId="77777777" w:rsidR="006621BE" w:rsidRPr="00896609" w:rsidRDefault="006621BE" w:rsidP="006621BE">
      <w:pPr>
        <w:ind w:left="-284"/>
        <w:jc w:val="both"/>
        <w:rPr>
          <w:rFonts w:ascii="Arial" w:hAnsi="Arial" w:cs="Arial"/>
          <w:b/>
          <w:sz w:val="28"/>
          <w:szCs w:val="28"/>
          <w:lang w:val="es-MX"/>
        </w:rPr>
      </w:pPr>
      <w:r w:rsidRPr="00896609">
        <w:rPr>
          <w:rFonts w:ascii="Arial" w:hAnsi="Arial" w:cs="Arial"/>
          <w:b/>
          <w:sz w:val="28"/>
          <w:szCs w:val="28"/>
          <w:lang w:val="es-MX"/>
        </w:rPr>
        <w:t>31.- INSTITUTO CARO Y CUERVO.</w:t>
      </w:r>
    </w:p>
    <w:p w14:paraId="21D5B5A3" w14:textId="77777777" w:rsidR="006621BE" w:rsidRPr="0091064D"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1064D" w14:paraId="4AFCED53" w14:textId="77777777" w:rsidTr="007B2C75">
        <w:tc>
          <w:tcPr>
            <w:tcW w:w="993" w:type="dxa"/>
          </w:tcPr>
          <w:p w14:paraId="1EA5FF5D"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t>N°</w:t>
            </w:r>
          </w:p>
        </w:tc>
        <w:tc>
          <w:tcPr>
            <w:tcW w:w="4253" w:type="dxa"/>
          </w:tcPr>
          <w:p w14:paraId="614261C2"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t>Limitaciones del Sistema SIIF II Nación a 31/12/2024</w:t>
            </w:r>
          </w:p>
          <w:p w14:paraId="4AAD3A8C" w14:textId="77777777" w:rsidR="006621BE" w:rsidRPr="0091064D" w:rsidRDefault="006621BE" w:rsidP="00EF5AF2">
            <w:pPr>
              <w:tabs>
                <w:tab w:val="left" w:pos="875"/>
              </w:tabs>
              <w:ind w:right="-50"/>
              <w:jc w:val="center"/>
              <w:rPr>
                <w:rFonts w:ascii="Arial" w:hAnsi="Arial" w:cs="Arial"/>
                <w:b/>
              </w:rPr>
            </w:pPr>
          </w:p>
        </w:tc>
        <w:tc>
          <w:tcPr>
            <w:tcW w:w="5244" w:type="dxa"/>
          </w:tcPr>
          <w:p w14:paraId="72ABFC5A"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t>Descripción de la limitación</w:t>
            </w:r>
          </w:p>
        </w:tc>
      </w:tr>
      <w:tr w:rsidR="006621BE" w:rsidRPr="0091064D" w14:paraId="4353D4E2" w14:textId="77777777" w:rsidTr="007B2C75">
        <w:tc>
          <w:tcPr>
            <w:tcW w:w="993" w:type="dxa"/>
          </w:tcPr>
          <w:p w14:paraId="642960E4"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t>1</w:t>
            </w:r>
          </w:p>
        </w:tc>
        <w:tc>
          <w:tcPr>
            <w:tcW w:w="4253" w:type="dxa"/>
          </w:tcPr>
          <w:p w14:paraId="2276FF92" w14:textId="77777777" w:rsidR="006621BE" w:rsidRPr="0091064D" w:rsidRDefault="006621BE" w:rsidP="00EF5AF2">
            <w:pPr>
              <w:tabs>
                <w:tab w:val="left" w:pos="875"/>
              </w:tabs>
              <w:ind w:right="-50"/>
              <w:jc w:val="both"/>
              <w:rPr>
                <w:rFonts w:ascii="Arial" w:hAnsi="Arial" w:cs="Arial"/>
                <w:b/>
              </w:rPr>
            </w:pPr>
            <w:r w:rsidRPr="0091064D">
              <w:rPr>
                <w:rFonts w:ascii="Arial" w:hAnsi="Arial" w:cs="Arial"/>
                <w:b/>
              </w:rPr>
              <w:t>Administrativas:</w:t>
            </w:r>
          </w:p>
        </w:tc>
        <w:tc>
          <w:tcPr>
            <w:tcW w:w="5244" w:type="dxa"/>
          </w:tcPr>
          <w:p w14:paraId="4A37375D" w14:textId="77777777" w:rsidR="006621BE" w:rsidRPr="0091064D" w:rsidRDefault="006621BE" w:rsidP="00EF5AF2">
            <w:pPr>
              <w:tabs>
                <w:tab w:val="left" w:pos="875"/>
              </w:tabs>
              <w:ind w:right="-50"/>
              <w:jc w:val="both"/>
              <w:rPr>
                <w:rFonts w:ascii="Arial" w:hAnsi="Arial" w:cs="Arial"/>
              </w:rPr>
            </w:pPr>
            <w:r w:rsidRPr="0091064D">
              <w:rPr>
                <w:rFonts w:ascii="Arial" w:hAnsi="Arial" w:cs="Arial"/>
              </w:rPr>
              <w:t>La falta de la implementación y desarrollo de los módulos de nómina e inventarios dificulta una ejecución precisa y oportuna. Como resultado, ha sido necesario destinar recursos del presupuesto para adquirir un sistema independiente que gestione esta información</w:t>
            </w:r>
          </w:p>
        </w:tc>
      </w:tr>
      <w:tr w:rsidR="006621BE" w:rsidRPr="0091064D" w14:paraId="4E2ADB66" w14:textId="77777777" w:rsidTr="007B2C75">
        <w:tc>
          <w:tcPr>
            <w:tcW w:w="993" w:type="dxa"/>
          </w:tcPr>
          <w:p w14:paraId="021AC3BD"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t>2</w:t>
            </w:r>
          </w:p>
        </w:tc>
        <w:tc>
          <w:tcPr>
            <w:tcW w:w="4253" w:type="dxa"/>
          </w:tcPr>
          <w:p w14:paraId="57D3D0C6" w14:textId="77777777" w:rsidR="006621BE" w:rsidRPr="0091064D" w:rsidRDefault="006621BE" w:rsidP="00EF5AF2">
            <w:pPr>
              <w:tabs>
                <w:tab w:val="left" w:pos="875"/>
              </w:tabs>
              <w:ind w:right="-50"/>
              <w:jc w:val="both"/>
              <w:rPr>
                <w:rFonts w:ascii="Arial" w:hAnsi="Arial" w:cs="Arial"/>
                <w:b/>
              </w:rPr>
            </w:pPr>
            <w:r w:rsidRPr="0091064D">
              <w:rPr>
                <w:rFonts w:ascii="Arial" w:hAnsi="Arial" w:cs="Arial"/>
                <w:b/>
              </w:rPr>
              <w:t>Técnicas:</w:t>
            </w:r>
          </w:p>
        </w:tc>
        <w:tc>
          <w:tcPr>
            <w:tcW w:w="5244" w:type="dxa"/>
          </w:tcPr>
          <w:p w14:paraId="73FD0EBA" w14:textId="77777777" w:rsidR="006621BE" w:rsidRPr="0091064D" w:rsidRDefault="006621BE" w:rsidP="00EF5AF2">
            <w:pPr>
              <w:tabs>
                <w:tab w:val="left" w:pos="875"/>
              </w:tabs>
              <w:ind w:right="-50"/>
              <w:jc w:val="both"/>
              <w:rPr>
                <w:rFonts w:ascii="Arial" w:hAnsi="Arial" w:cs="Arial"/>
              </w:rPr>
            </w:pPr>
            <w:r w:rsidRPr="0091064D">
              <w:rPr>
                <w:rFonts w:ascii="Arial" w:hAnsi="Arial" w:cs="Arial"/>
              </w:rPr>
              <w:t xml:space="preserve">En algunas ocasiones el Sistema SIIF Nación es </w:t>
            </w:r>
            <w:r w:rsidRPr="0091064D">
              <w:rPr>
                <w:rFonts w:ascii="Arial" w:hAnsi="Arial" w:cs="Arial"/>
              </w:rPr>
              <w:lastRenderedPageBreak/>
              <w:t>intermitente y lento, lo que ocasiona retrasos en la gestión presupuestal y contable.</w:t>
            </w:r>
          </w:p>
        </w:tc>
      </w:tr>
      <w:tr w:rsidR="006621BE" w:rsidRPr="0091064D" w14:paraId="4C2DCDAA" w14:textId="77777777" w:rsidTr="007B2C75">
        <w:tc>
          <w:tcPr>
            <w:tcW w:w="993" w:type="dxa"/>
          </w:tcPr>
          <w:p w14:paraId="5D2FAC33"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lastRenderedPageBreak/>
              <w:t>3</w:t>
            </w:r>
          </w:p>
        </w:tc>
        <w:tc>
          <w:tcPr>
            <w:tcW w:w="4253" w:type="dxa"/>
          </w:tcPr>
          <w:p w14:paraId="08EDF9B2" w14:textId="77777777" w:rsidR="006621BE" w:rsidRPr="0091064D" w:rsidRDefault="006621BE" w:rsidP="00EF5AF2">
            <w:pPr>
              <w:tabs>
                <w:tab w:val="left" w:pos="875"/>
              </w:tabs>
              <w:ind w:right="-50"/>
              <w:jc w:val="both"/>
              <w:rPr>
                <w:rFonts w:ascii="Arial" w:hAnsi="Arial" w:cs="Arial"/>
                <w:b/>
              </w:rPr>
            </w:pPr>
            <w:r w:rsidRPr="0091064D">
              <w:rPr>
                <w:rFonts w:ascii="Arial" w:hAnsi="Arial" w:cs="Arial"/>
                <w:b/>
              </w:rPr>
              <w:t>Operativas:</w:t>
            </w:r>
          </w:p>
        </w:tc>
        <w:tc>
          <w:tcPr>
            <w:tcW w:w="5244" w:type="dxa"/>
          </w:tcPr>
          <w:p w14:paraId="2C90DAFC" w14:textId="77777777" w:rsidR="006621BE" w:rsidRPr="0091064D" w:rsidRDefault="006621BE" w:rsidP="00EF5AF2">
            <w:pPr>
              <w:tabs>
                <w:tab w:val="left" w:pos="875"/>
              </w:tabs>
              <w:ind w:right="-50"/>
              <w:jc w:val="both"/>
              <w:rPr>
                <w:rFonts w:ascii="Arial" w:hAnsi="Arial" w:cs="Arial"/>
              </w:rPr>
            </w:pPr>
            <w:r w:rsidRPr="0091064D">
              <w:rPr>
                <w:rFonts w:ascii="Arial" w:hAnsi="Arial" w:cs="Arial"/>
              </w:rPr>
              <w:t>Se identificaron deficiencias en la recepción de las facturas electrónicas de proveedores, lo que ha dificultado la ejecución oportuna de pagos y el cumplimiento de las obligaciones contractuales y la superación de los límites establecidos para la constitución de reservas.</w:t>
            </w:r>
          </w:p>
        </w:tc>
      </w:tr>
      <w:tr w:rsidR="006621BE" w:rsidRPr="0091064D" w14:paraId="0D981A0A" w14:textId="77777777" w:rsidTr="007B2C75">
        <w:tc>
          <w:tcPr>
            <w:tcW w:w="993" w:type="dxa"/>
          </w:tcPr>
          <w:p w14:paraId="1437BD9D" w14:textId="77777777" w:rsidR="006621BE" w:rsidRPr="0091064D" w:rsidRDefault="006621BE" w:rsidP="00EF5AF2">
            <w:pPr>
              <w:tabs>
                <w:tab w:val="left" w:pos="875"/>
              </w:tabs>
              <w:ind w:right="-50"/>
              <w:jc w:val="center"/>
              <w:rPr>
                <w:rFonts w:ascii="Arial" w:hAnsi="Arial" w:cs="Arial"/>
                <w:b/>
              </w:rPr>
            </w:pPr>
            <w:r w:rsidRPr="0091064D">
              <w:rPr>
                <w:rFonts w:ascii="Arial" w:hAnsi="Arial" w:cs="Arial"/>
                <w:b/>
              </w:rPr>
              <w:t>4</w:t>
            </w:r>
          </w:p>
        </w:tc>
        <w:tc>
          <w:tcPr>
            <w:tcW w:w="4253" w:type="dxa"/>
          </w:tcPr>
          <w:p w14:paraId="3971F51F" w14:textId="77777777" w:rsidR="006621BE" w:rsidRPr="0091064D" w:rsidRDefault="006621BE" w:rsidP="00EF5AF2">
            <w:pPr>
              <w:tabs>
                <w:tab w:val="left" w:pos="875"/>
              </w:tabs>
              <w:ind w:right="-50"/>
              <w:jc w:val="both"/>
              <w:rPr>
                <w:rFonts w:ascii="Arial" w:hAnsi="Arial" w:cs="Arial"/>
                <w:b/>
              </w:rPr>
            </w:pPr>
            <w:r w:rsidRPr="0091064D">
              <w:rPr>
                <w:rFonts w:ascii="Arial" w:hAnsi="Arial" w:cs="Arial"/>
                <w:b/>
              </w:rPr>
              <w:t>Soporte a la plataforma:</w:t>
            </w:r>
          </w:p>
        </w:tc>
        <w:tc>
          <w:tcPr>
            <w:tcW w:w="5244" w:type="dxa"/>
          </w:tcPr>
          <w:p w14:paraId="63D56BDE" w14:textId="77777777" w:rsidR="006621BE" w:rsidRPr="0091064D" w:rsidRDefault="006621BE" w:rsidP="00EF5AF2">
            <w:pPr>
              <w:tabs>
                <w:tab w:val="left" w:pos="875"/>
              </w:tabs>
              <w:ind w:right="-50"/>
              <w:jc w:val="both"/>
              <w:rPr>
                <w:rFonts w:ascii="Arial" w:hAnsi="Arial" w:cs="Arial"/>
              </w:rPr>
            </w:pPr>
            <w:r w:rsidRPr="0091064D">
              <w:rPr>
                <w:rFonts w:ascii="Arial" w:hAnsi="Arial" w:cs="Arial"/>
              </w:rPr>
              <w:t>Congestión en el aplicativo en el mes de diciembre</w:t>
            </w:r>
          </w:p>
        </w:tc>
      </w:tr>
    </w:tbl>
    <w:p w14:paraId="1F2BA4D0" w14:textId="77777777" w:rsidR="006621BE" w:rsidRPr="0091064D" w:rsidRDefault="006621BE" w:rsidP="006621BE">
      <w:pPr>
        <w:tabs>
          <w:tab w:val="left" w:pos="875"/>
        </w:tabs>
        <w:ind w:left="-142" w:right="-50"/>
        <w:jc w:val="both"/>
        <w:rPr>
          <w:rFonts w:ascii="Arial" w:hAnsi="Arial" w:cs="Arial"/>
          <w:sz w:val="24"/>
          <w:szCs w:val="24"/>
        </w:rPr>
      </w:pPr>
    </w:p>
    <w:p w14:paraId="685E755C" w14:textId="77777777" w:rsidR="006621BE" w:rsidRPr="0091064D" w:rsidRDefault="006621BE" w:rsidP="006621BE">
      <w:pPr>
        <w:widowControl/>
        <w:adjustRightInd w:val="0"/>
        <w:ind w:left="-284"/>
        <w:rPr>
          <w:rFonts w:ascii="Arial" w:eastAsiaTheme="minorHAnsi" w:hAnsi="Arial" w:cs="Arial"/>
          <w:b/>
          <w:bCs/>
          <w:color w:val="000000"/>
          <w:sz w:val="24"/>
          <w:szCs w:val="24"/>
          <w:lang w:val="es-CO"/>
        </w:rPr>
      </w:pPr>
      <w:r w:rsidRPr="0091064D">
        <w:rPr>
          <w:rFonts w:ascii="Arial" w:eastAsiaTheme="minorHAnsi" w:hAnsi="Arial" w:cs="Arial"/>
          <w:b/>
          <w:bCs/>
          <w:color w:val="000000"/>
          <w:sz w:val="24"/>
          <w:szCs w:val="24"/>
          <w:lang w:val="es-CO"/>
        </w:rPr>
        <w:t xml:space="preserve">De las Notas a los Estados Financieros retomamos lo siguiente: </w:t>
      </w:r>
    </w:p>
    <w:p w14:paraId="0AC9344D" w14:textId="77777777" w:rsidR="006621BE" w:rsidRPr="0091064D" w:rsidRDefault="006621BE" w:rsidP="006621BE">
      <w:pPr>
        <w:widowControl/>
        <w:adjustRightInd w:val="0"/>
        <w:ind w:left="-284"/>
        <w:rPr>
          <w:rFonts w:ascii="Arial" w:eastAsiaTheme="minorHAnsi" w:hAnsi="Arial" w:cs="Arial"/>
          <w:color w:val="000000"/>
          <w:sz w:val="24"/>
          <w:szCs w:val="24"/>
          <w:lang w:val="es-CO"/>
        </w:rPr>
      </w:pPr>
    </w:p>
    <w:p w14:paraId="63E81456" w14:textId="77777777" w:rsidR="006621BE" w:rsidRPr="0091064D" w:rsidRDefault="006621BE" w:rsidP="007B2C75">
      <w:pPr>
        <w:widowControl/>
        <w:adjustRightInd w:val="0"/>
        <w:ind w:left="-284" w:right="-234"/>
        <w:jc w:val="both"/>
        <w:rPr>
          <w:rFonts w:ascii="Arial" w:eastAsiaTheme="minorHAnsi" w:hAnsi="Arial" w:cs="Arial"/>
          <w:color w:val="000000"/>
          <w:sz w:val="24"/>
          <w:szCs w:val="24"/>
          <w:lang w:val="es-CO"/>
        </w:rPr>
      </w:pPr>
      <w:r w:rsidRPr="0091064D">
        <w:rPr>
          <w:rFonts w:ascii="Arial" w:eastAsiaTheme="minorHAnsi" w:hAnsi="Arial" w:cs="Arial"/>
          <w:b/>
          <w:bCs/>
          <w:color w:val="000000"/>
          <w:sz w:val="24"/>
          <w:szCs w:val="24"/>
          <w:lang w:val="es-CO"/>
        </w:rPr>
        <w:t xml:space="preserve">1.2. Declaración de cumplimiento del marco normativo y limitaciones. </w:t>
      </w:r>
      <w:r w:rsidRPr="0091064D">
        <w:rPr>
          <w:rFonts w:ascii="Arial" w:eastAsiaTheme="minorHAnsi" w:hAnsi="Arial" w:cs="Arial"/>
          <w:color w:val="000000"/>
          <w:sz w:val="24"/>
          <w:szCs w:val="24"/>
          <w:lang w:val="es-CO"/>
        </w:rPr>
        <w:t xml:space="preserve">El SIIF Nación, </w:t>
      </w:r>
      <w:r w:rsidRPr="0091064D">
        <w:rPr>
          <w:rFonts w:ascii="Arial" w:hAnsi="Arial" w:cs="Arial"/>
          <w:sz w:val="24"/>
          <w:szCs w:val="24"/>
        </w:rPr>
        <w:t>al ser el aplicativo oficial de la entidad de base presupuestal y contable, presenta limitantes funcionales para incorporar información relacionada con el detalle de los Inventarios, Bienes Devolutivos (PPyE), Depreciaciones y de consumo de la entidad, así como, liquidación de nómina y provisiones de prestaciones sociales de los funcionarios a nivel detalle, razón por la cual, la entidad cuenta con el aplicativo complementario WebSafi, donde se encuentra el detalle de la información, la cual sirve de auxiliar al aplicativo oficial, herramienta que es liderada por las áreas administrativas transversales al proceso contable, como lo son el Grupo de Recursos Físicos, el Grupo de Sello Editorial y el Grupo de Talento Humano de la entidad.</w:t>
      </w:r>
    </w:p>
    <w:p w14:paraId="59610114" w14:textId="77777777" w:rsidR="006621BE" w:rsidRPr="0091064D" w:rsidRDefault="006621BE" w:rsidP="006621BE">
      <w:pPr>
        <w:widowControl/>
        <w:adjustRightInd w:val="0"/>
        <w:ind w:left="-284"/>
        <w:jc w:val="both"/>
        <w:rPr>
          <w:rFonts w:ascii="Arial" w:eastAsiaTheme="minorHAnsi" w:hAnsi="Arial" w:cs="Arial"/>
          <w:color w:val="000000"/>
          <w:sz w:val="24"/>
          <w:szCs w:val="24"/>
          <w:lang w:val="es-CO"/>
        </w:rPr>
      </w:pPr>
    </w:p>
    <w:p w14:paraId="7973544C" w14:textId="77777777" w:rsidR="006621BE" w:rsidRPr="006C79C6" w:rsidRDefault="006621BE" w:rsidP="006621BE">
      <w:pPr>
        <w:ind w:left="-284"/>
        <w:jc w:val="both"/>
        <w:rPr>
          <w:rFonts w:ascii="Arial" w:hAnsi="Arial" w:cs="Arial"/>
          <w:b/>
          <w:sz w:val="28"/>
          <w:szCs w:val="28"/>
          <w:lang w:val="es-MX"/>
        </w:rPr>
      </w:pPr>
      <w:r w:rsidRPr="006C79C6">
        <w:rPr>
          <w:rFonts w:ascii="Arial" w:hAnsi="Arial" w:cs="Arial"/>
          <w:b/>
          <w:sz w:val="28"/>
          <w:szCs w:val="28"/>
          <w:lang w:val="es-MX"/>
        </w:rPr>
        <w:t>34.- INSTITUTO DE CASAS FISCALES DEL EJERCITO.</w:t>
      </w:r>
    </w:p>
    <w:p w14:paraId="5875E75C"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557E0" w14:paraId="0C5B9680" w14:textId="77777777" w:rsidTr="007B2C75">
        <w:tc>
          <w:tcPr>
            <w:tcW w:w="993" w:type="dxa"/>
          </w:tcPr>
          <w:p w14:paraId="3E39A916" w14:textId="77777777" w:rsidR="006621BE" w:rsidRPr="000557E0" w:rsidRDefault="006621BE" w:rsidP="00EF5AF2">
            <w:pPr>
              <w:tabs>
                <w:tab w:val="left" w:pos="875"/>
              </w:tabs>
              <w:ind w:right="-50"/>
              <w:jc w:val="center"/>
              <w:rPr>
                <w:rFonts w:ascii="Arial" w:hAnsi="Arial" w:cs="Arial"/>
                <w:b/>
              </w:rPr>
            </w:pPr>
            <w:r w:rsidRPr="000557E0">
              <w:rPr>
                <w:rFonts w:ascii="Arial" w:hAnsi="Arial" w:cs="Arial"/>
                <w:b/>
              </w:rPr>
              <w:t>N°</w:t>
            </w:r>
          </w:p>
        </w:tc>
        <w:tc>
          <w:tcPr>
            <w:tcW w:w="4253" w:type="dxa"/>
          </w:tcPr>
          <w:p w14:paraId="451883B7" w14:textId="77777777" w:rsidR="006621BE" w:rsidRPr="000557E0" w:rsidRDefault="006621BE" w:rsidP="00EF5AF2">
            <w:pPr>
              <w:tabs>
                <w:tab w:val="left" w:pos="875"/>
              </w:tabs>
              <w:ind w:right="-50"/>
              <w:jc w:val="center"/>
              <w:rPr>
                <w:rFonts w:ascii="Arial" w:hAnsi="Arial" w:cs="Arial"/>
                <w:b/>
              </w:rPr>
            </w:pPr>
            <w:r w:rsidRPr="000557E0">
              <w:rPr>
                <w:rFonts w:ascii="Arial" w:hAnsi="Arial" w:cs="Arial"/>
                <w:b/>
              </w:rPr>
              <w:t>Limitaciones del Sistema SIIF II Nación a 31/12/2024</w:t>
            </w:r>
          </w:p>
          <w:p w14:paraId="5881CB56" w14:textId="77777777" w:rsidR="006621BE" w:rsidRPr="000557E0" w:rsidRDefault="006621BE" w:rsidP="00EF5AF2">
            <w:pPr>
              <w:tabs>
                <w:tab w:val="left" w:pos="875"/>
              </w:tabs>
              <w:ind w:right="-50"/>
              <w:jc w:val="center"/>
              <w:rPr>
                <w:rFonts w:ascii="Arial" w:hAnsi="Arial" w:cs="Arial"/>
                <w:b/>
              </w:rPr>
            </w:pPr>
          </w:p>
        </w:tc>
        <w:tc>
          <w:tcPr>
            <w:tcW w:w="5244" w:type="dxa"/>
          </w:tcPr>
          <w:p w14:paraId="06628381" w14:textId="77777777" w:rsidR="006621BE" w:rsidRPr="000557E0" w:rsidRDefault="006621BE" w:rsidP="00EF5AF2">
            <w:pPr>
              <w:tabs>
                <w:tab w:val="left" w:pos="875"/>
              </w:tabs>
              <w:ind w:right="-50"/>
              <w:jc w:val="center"/>
              <w:rPr>
                <w:rFonts w:ascii="Arial" w:hAnsi="Arial" w:cs="Arial"/>
                <w:b/>
              </w:rPr>
            </w:pPr>
            <w:r w:rsidRPr="000557E0">
              <w:rPr>
                <w:rFonts w:ascii="Arial" w:hAnsi="Arial" w:cs="Arial"/>
                <w:b/>
              </w:rPr>
              <w:t>Descripción de la limitación</w:t>
            </w:r>
          </w:p>
        </w:tc>
      </w:tr>
      <w:tr w:rsidR="006621BE" w:rsidRPr="000557E0" w14:paraId="447A2055" w14:textId="77777777" w:rsidTr="007B2C75">
        <w:tc>
          <w:tcPr>
            <w:tcW w:w="993" w:type="dxa"/>
          </w:tcPr>
          <w:p w14:paraId="30A96D8A" w14:textId="77777777" w:rsidR="006621BE" w:rsidRPr="000557E0" w:rsidRDefault="006621BE" w:rsidP="00EF5AF2">
            <w:pPr>
              <w:tabs>
                <w:tab w:val="left" w:pos="875"/>
              </w:tabs>
              <w:ind w:right="-50"/>
              <w:jc w:val="center"/>
              <w:rPr>
                <w:rFonts w:ascii="Arial" w:hAnsi="Arial" w:cs="Arial"/>
                <w:b/>
              </w:rPr>
            </w:pPr>
            <w:r w:rsidRPr="000557E0">
              <w:rPr>
                <w:rFonts w:ascii="Arial" w:hAnsi="Arial" w:cs="Arial"/>
                <w:b/>
              </w:rPr>
              <w:t>1</w:t>
            </w:r>
          </w:p>
        </w:tc>
        <w:tc>
          <w:tcPr>
            <w:tcW w:w="4253" w:type="dxa"/>
          </w:tcPr>
          <w:p w14:paraId="6EDC1415" w14:textId="77777777" w:rsidR="006621BE" w:rsidRPr="000557E0" w:rsidRDefault="006621BE" w:rsidP="00EF5AF2">
            <w:pPr>
              <w:tabs>
                <w:tab w:val="left" w:pos="875"/>
              </w:tabs>
              <w:ind w:right="-50"/>
              <w:jc w:val="both"/>
              <w:rPr>
                <w:rFonts w:ascii="Arial" w:hAnsi="Arial" w:cs="Arial"/>
                <w:b/>
              </w:rPr>
            </w:pPr>
            <w:r w:rsidRPr="000557E0">
              <w:rPr>
                <w:rFonts w:ascii="Arial" w:hAnsi="Arial" w:cs="Arial"/>
                <w:b/>
              </w:rPr>
              <w:t>Administrativas:</w:t>
            </w:r>
          </w:p>
        </w:tc>
        <w:tc>
          <w:tcPr>
            <w:tcW w:w="5244" w:type="dxa"/>
          </w:tcPr>
          <w:p w14:paraId="0BFB5860" w14:textId="77777777" w:rsidR="006621BE" w:rsidRPr="000557E0" w:rsidRDefault="006621BE" w:rsidP="00EF5AF2">
            <w:pPr>
              <w:tabs>
                <w:tab w:val="left" w:pos="875"/>
              </w:tabs>
              <w:ind w:right="-50"/>
              <w:jc w:val="both"/>
              <w:rPr>
                <w:rFonts w:ascii="Arial" w:hAnsi="Arial" w:cs="Arial"/>
              </w:rPr>
            </w:pPr>
            <w:r w:rsidRPr="000557E0">
              <w:rPr>
                <w:rFonts w:ascii="Arial" w:hAnsi="Arial" w:cs="Arial"/>
              </w:rPr>
              <w:t>El Sistema SIIF NACIÓN no cuenta con los módulos de inventarios, nomina activos fijos.</w:t>
            </w:r>
          </w:p>
        </w:tc>
      </w:tr>
      <w:tr w:rsidR="006621BE" w:rsidRPr="000557E0" w14:paraId="42CA24BC" w14:textId="77777777" w:rsidTr="007B2C75">
        <w:tc>
          <w:tcPr>
            <w:tcW w:w="993" w:type="dxa"/>
          </w:tcPr>
          <w:p w14:paraId="1C374555" w14:textId="77777777" w:rsidR="006621BE" w:rsidRPr="000557E0" w:rsidRDefault="006621BE" w:rsidP="00EF5AF2">
            <w:pPr>
              <w:tabs>
                <w:tab w:val="left" w:pos="875"/>
              </w:tabs>
              <w:ind w:right="-50"/>
              <w:jc w:val="center"/>
              <w:rPr>
                <w:rFonts w:ascii="Arial" w:hAnsi="Arial" w:cs="Arial"/>
                <w:b/>
              </w:rPr>
            </w:pPr>
            <w:r w:rsidRPr="000557E0">
              <w:rPr>
                <w:rFonts w:ascii="Arial" w:hAnsi="Arial" w:cs="Arial"/>
                <w:b/>
              </w:rPr>
              <w:t>2</w:t>
            </w:r>
          </w:p>
        </w:tc>
        <w:tc>
          <w:tcPr>
            <w:tcW w:w="4253" w:type="dxa"/>
          </w:tcPr>
          <w:p w14:paraId="0F6B894D" w14:textId="77777777" w:rsidR="006621BE" w:rsidRPr="000557E0" w:rsidRDefault="006621BE" w:rsidP="00EF5AF2">
            <w:pPr>
              <w:tabs>
                <w:tab w:val="left" w:pos="875"/>
              </w:tabs>
              <w:ind w:right="-50"/>
              <w:jc w:val="both"/>
              <w:rPr>
                <w:rFonts w:ascii="Arial" w:hAnsi="Arial" w:cs="Arial"/>
                <w:b/>
              </w:rPr>
            </w:pPr>
            <w:r w:rsidRPr="000557E0">
              <w:rPr>
                <w:rFonts w:ascii="Arial" w:hAnsi="Arial" w:cs="Arial"/>
                <w:b/>
              </w:rPr>
              <w:t>Técnicas:</w:t>
            </w:r>
          </w:p>
        </w:tc>
        <w:tc>
          <w:tcPr>
            <w:tcW w:w="5244" w:type="dxa"/>
          </w:tcPr>
          <w:p w14:paraId="2B7F0406" w14:textId="77777777" w:rsidR="006621BE" w:rsidRPr="000557E0" w:rsidRDefault="006621BE" w:rsidP="00EF5AF2">
            <w:pPr>
              <w:tabs>
                <w:tab w:val="left" w:pos="875"/>
              </w:tabs>
              <w:ind w:right="-50"/>
              <w:jc w:val="both"/>
              <w:rPr>
                <w:rFonts w:ascii="Arial" w:hAnsi="Arial" w:cs="Arial"/>
              </w:rPr>
            </w:pPr>
            <w:r w:rsidRPr="000557E0">
              <w:rPr>
                <w:rFonts w:ascii="Arial" w:hAnsi="Arial" w:cs="Arial"/>
              </w:rPr>
              <w:t>No se ha terminado la implementación de la carga masiva de la facturación.</w:t>
            </w:r>
          </w:p>
        </w:tc>
      </w:tr>
    </w:tbl>
    <w:p w14:paraId="5FF00FDE" w14:textId="77777777" w:rsidR="006621BE" w:rsidRDefault="006621BE" w:rsidP="006621BE">
      <w:pPr>
        <w:ind w:left="-284" w:right="-234"/>
        <w:jc w:val="both"/>
        <w:rPr>
          <w:rFonts w:ascii="Arial" w:hAnsi="Arial" w:cs="Arial"/>
          <w:b/>
          <w:sz w:val="24"/>
          <w:szCs w:val="24"/>
        </w:rPr>
      </w:pPr>
    </w:p>
    <w:p w14:paraId="179DB41B" w14:textId="77777777" w:rsidR="006621BE" w:rsidRPr="00377731" w:rsidRDefault="006621BE" w:rsidP="006621BE">
      <w:pPr>
        <w:ind w:left="-284"/>
        <w:jc w:val="both"/>
        <w:rPr>
          <w:rFonts w:ascii="Arial" w:hAnsi="Arial" w:cs="Arial"/>
          <w:b/>
          <w:sz w:val="28"/>
          <w:szCs w:val="28"/>
          <w:lang w:val="es-MX"/>
        </w:rPr>
      </w:pPr>
      <w:r w:rsidRPr="00377731">
        <w:rPr>
          <w:rFonts w:ascii="Arial" w:hAnsi="Arial" w:cs="Arial"/>
          <w:b/>
          <w:sz w:val="28"/>
          <w:szCs w:val="28"/>
          <w:lang w:val="es-MX"/>
        </w:rPr>
        <w:t>36.- U.A.E. AGENCIA NACIONAL DEL ESPECTRO – ANE.</w:t>
      </w:r>
    </w:p>
    <w:p w14:paraId="18133E56" w14:textId="77777777" w:rsidR="006621BE" w:rsidRDefault="006621BE" w:rsidP="006621BE">
      <w:pPr>
        <w:ind w:left="-284" w:right="-234"/>
        <w:jc w:val="both"/>
        <w:rPr>
          <w:rFonts w:ascii="Arial" w:hAnsi="Arial" w:cs="Arial"/>
          <w:b/>
          <w:sz w:val="24"/>
          <w:szCs w:val="24"/>
          <w:lang w:val="es-MX"/>
        </w:rPr>
      </w:pPr>
    </w:p>
    <w:p w14:paraId="354B2A81" w14:textId="77777777" w:rsidR="006621BE" w:rsidRPr="00377731" w:rsidRDefault="006621BE" w:rsidP="007B2C75">
      <w:pPr>
        <w:pStyle w:val="Textoindependiente"/>
        <w:ind w:left="-284" w:right="-234"/>
        <w:jc w:val="both"/>
        <w:rPr>
          <w:rFonts w:ascii="Arial" w:hAnsi="Arial" w:cs="Arial"/>
          <w:sz w:val="24"/>
          <w:szCs w:val="24"/>
        </w:rPr>
      </w:pPr>
      <w:r w:rsidRPr="00377731">
        <w:rPr>
          <w:rFonts w:ascii="Arial" w:hAnsi="Arial" w:cs="Arial"/>
          <w:b/>
          <w:bCs/>
          <w:sz w:val="24"/>
          <w:szCs w:val="24"/>
        </w:rPr>
        <w:t>1.2.3 Limitaciones y deficiencias generales de tipo operativo o administrativo.</w:t>
      </w:r>
      <w:r>
        <w:rPr>
          <w:rFonts w:ascii="Arial" w:hAnsi="Arial" w:cs="Arial"/>
          <w:b/>
          <w:bCs/>
          <w:sz w:val="24"/>
          <w:szCs w:val="24"/>
        </w:rPr>
        <w:t xml:space="preserve"> </w:t>
      </w:r>
      <w:r w:rsidRPr="00377731">
        <w:rPr>
          <w:rFonts w:ascii="Arial" w:hAnsi="Arial" w:cs="Arial"/>
          <w:sz w:val="24"/>
          <w:szCs w:val="24"/>
        </w:rPr>
        <w:t xml:space="preserve">A nivel interno cuenta con un sistema auxiliar de información, mediante módulos que operan a través de un ERP (Enterprise Resource Planning por sus siglas en inglés), que corresponde a una herramienta informática que permite, realizar los cálculos de reconocimiento, medición y administración de los bienes de la Entidad y la administración de la nómina y seguridad social. El ERP a disposición de la ANE, corresponde al desarrollado por la empresa SYSMAN STEFANNINI, y que se conoce como ERP SYSMAN. </w:t>
      </w:r>
      <w:r w:rsidRPr="00377731">
        <w:rPr>
          <w:rFonts w:ascii="Arial" w:hAnsi="Arial" w:cs="Arial"/>
          <w:b/>
          <w:bCs/>
          <w:sz w:val="24"/>
          <w:szCs w:val="24"/>
          <w:u w:val="single"/>
        </w:rPr>
        <w:t>Se precisa que aún no se cuenta con funcionalidades que integren los sistemas de información auxiliares de la entidad con el SIIF Nación, lo cual podría generar mayores eficiencias y disminuir la carga operativa de la información que es generada desde dicho ERP a SIIF Nación</w:t>
      </w:r>
      <w:r w:rsidRPr="00377731">
        <w:rPr>
          <w:rFonts w:ascii="Arial" w:hAnsi="Arial" w:cs="Arial"/>
          <w:sz w:val="24"/>
          <w:szCs w:val="24"/>
        </w:rPr>
        <w:t>.</w:t>
      </w:r>
    </w:p>
    <w:p w14:paraId="4A9E037A" w14:textId="77777777" w:rsidR="008E2438" w:rsidRDefault="008E2438" w:rsidP="006621BE">
      <w:pPr>
        <w:ind w:left="-284"/>
        <w:jc w:val="both"/>
        <w:rPr>
          <w:rFonts w:ascii="Arial" w:hAnsi="Arial" w:cs="Arial"/>
          <w:b/>
          <w:sz w:val="28"/>
          <w:szCs w:val="28"/>
          <w:lang w:val="es-MX"/>
        </w:rPr>
      </w:pPr>
    </w:p>
    <w:p w14:paraId="69E60D39" w14:textId="519E8D42" w:rsidR="006621BE" w:rsidRPr="00930E51" w:rsidRDefault="006621BE" w:rsidP="006621BE">
      <w:pPr>
        <w:ind w:left="-284"/>
        <w:jc w:val="both"/>
        <w:rPr>
          <w:rFonts w:ascii="Arial" w:hAnsi="Arial" w:cs="Arial"/>
          <w:b/>
          <w:sz w:val="32"/>
          <w:szCs w:val="32"/>
        </w:rPr>
      </w:pPr>
      <w:r w:rsidRPr="00930E51">
        <w:rPr>
          <w:rFonts w:ascii="Arial" w:hAnsi="Arial" w:cs="Arial"/>
          <w:b/>
          <w:sz w:val="28"/>
          <w:szCs w:val="28"/>
          <w:lang w:val="es-MX"/>
        </w:rPr>
        <w:t xml:space="preserve">37.- </w:t>
      </w:r>
      <w:r w:rsidRPr="00930E51">
        <w:rPr>
          <w:rFonts w:ascii="Arial" w:hAnsi="Arial" w:cs="Arial"/>
          <w:b/>
          <w:sz w:val="28"/>
          <w:szCs w:val="28"/>
        </w:rPr>
        <w:t>AGENCIA NACIONAL DE INFRAESTRUCTURA - ANI.</w:t>
      </w:r>
    </w:p>
    <w:p w14:paraId="39963081"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8408F" w14:paraId="19403EF2" w14:textId="77777777" w:rsidTr="007B2C75">
        <w:tc>
          <w:tcPr>
            <w:tcW w:w="993" w:type="dxa"/>
          </w:tcPr>
          <w:p w14:paraId="51CF94D0" w14:textId="77777777" w:rsidR="006621BE" w:rsidRPr="0008408F" w:rsidRDefault="006621BE" w:rsidP="00EF5AF2">
            <w:pPr>
              <w:tabs>
                <w:tab w:val="left" w:pos="875"/>
              </w:tabs>
              <w:ind w:right="-50"/>
              <w:jc w:val="center"/>
              <w:rPr>
                <w:rFonts w:ascii="Arial" w:hAnsi="Arial" w:cs="Arial"/>
                <w:b/>
              </w:rPr>
            </w:pPr>
            <w:r w:rsidRPr="0008408F">
              <w:rPr>
                <w:rFonts w:ascii="Arial" w:hAnsi="Arial" w:cs="Arial"/>
                <w:b/>
              </w:rPr>
              <w:t>N°</w:t>
            </w:r>
          </w:p>
        </w:tc>
        <w:tc>
          <w:tcPr>
            <w:tcW w:w="4253" w:type="dxa"/>
          </w:tcPr>
          <w:p w14:paraId="238CC223" w14:textId="77777777" w:rsidR="006621BE" w:rsidRPr="0008408F" w:rsidRDefault="006621BE" w:rsidP="00EF5AF2">
            <w:pPr>
              <w:tabs>
                <w:tab w:val="left" w:pos="875"/>
              </w:tabs>
              <w:ind w:right="-50"/>
              <w:jc w:val="center"/>
              <w:rPr>
                <w:rFonts w:ascii="Arial" w:hAnsi="Arial" w:cs="Arial"/>
                <w:b/>
              </w:rPr>
            </w:pPr>
            <w:r w:rsidRPr="0008408F">
              <w:rPr>
                <w:rFonts w:ascii="Arial" w:hAnsi="Arial" w:cs="Arial"/>
                <w:b/>
              </w:rPr>
              <w:t>Limitaciones del Sistema SIIF II Nación a 31/12/2024</w:t>
            </w:r>
          </w:p>
          <w:p w14:paraId="6A0072A2" w14:textId="77777777" w:rsidR="006621BE" w:rsidRPr="0008408F" w:rsidRDefault="006621BE" w:rsidP="00EF5AF2">
            <w:pPr>
              <w:tabs>
                <w:tab w:val="left" w:pos="875"/>
              </w:tabs>
              <w:ind w:right="-50"/>
              <w:jc w:val="center"/>
              <w:rPr>
                <w:rFonts w:ascii="Arial" w:hAnsi="Arial" w:cs="Arial"/>
                <w:b/>
              </w:rPr>
            </w:pPr>
          </w:p>
        </w:tc>
        <w:tc>
          <w:tcPr>
            <w:tcW w:w="5244" w:type="dxa"/>
          </w:tcPr>
          <w:p w14:paraId="2E3A9A5A" w14:textId="77777777" w:rsidR="006621BE" w:rsidRPr="0008408F" w:rsidRDefault="006621BE" w:rsidP="00EF5AF2">
            <w:pPr>
              <w:tabs>
                <w:tab w:val="left" w:pos="875"/>
              </w:tabs>
              <w:ind w:right="-50"/>
              <w:jc w:val="center"/>
              <w:rPr>
                <w:rFonts w:ascii="Arial" w:hAnsi="Arial" w:cs="Arial"/>
                <w:b/>
              </w:rPr>
            </w:pPr>
            <w:r w:rsidRPr="0008408F">
              <w:rPr>
                <w:rFonts w:ascii="Arial" w:hAnsi="Arial" w:cs="Arial"/>
                <w:b/>
              </w:rPr>
              <w:t>Descripción de la limitación</w:t>
            </w:r>
          </w:p>
        </w:tc>
      </w:tr>
      <w:tr w:rsidR="006621BE" w:rsidRPr="0008408F" w14:paraId="7832F650" w14:textId="77777777" w:rsidTr="007B2C75">
        <w:tc>
          <w:tcPr>
            <w:tcW w:w="993" w:type="dxa"/>
          </w:tcPr>
          <w:p w14:paraId="50BB91FF" w14:textId="77777777" w:rsidR="006621BE" w:rsidRPr="0008408F" w:rsidRDefault="006621BE" w:rsidP="00EF5AF2">
            <w:pPr>
              <w:tabs>
                <w:tab w:val="left" w:pos="875"/>
              </w:tabs>
              <w:ind w:right="-50"/>
              <w:jc w:val="center"/>
              <w:rPr>
                <w:rFonts w:ascii="Arial" w:hAnsi="Arial" w:cs="Arial"/>
                <w:b/>
              </w:rPr>
            </w:pPr>
            <w:r w:rsidRPr="0008408F">
              <w:rPr>
                <w:rFonts w:ascii="Arial" w:hAnsi="Arial" w:cs="Arial"/>
                <w:b/>
              </w:rPr>
              <w:t>1</w:t>
            </w:r>
          </w:p>
        </w:tc>
        <w:tc>
          <w:tcPr>
            <w:tcW w:w="4253" w:type="dxa"/>
          </w:tcPr>
          <w:p w14:paraId="46DCB36F" w14:textId="77777777" w:rsidR="006621BE" w:rsidRPr="0008408F" w:rsidRDefault="006621BE" w:rsidP="00EF5AF2">
            <w:pPr>
              <w:tabs>
                <w:tab w:val="left" w:pos="875"/>
              </w:tabs>
              <w:ind w:right="-50"/>
              <w:jc w:val="both"/>
              <w:rPr>
                <w:rFonts w:ascii="Arial" w:hAnsi="Arial" w:cs="Arial"/>
                <w:b/>
              </w:rPr>
            </w:pPr>
            <w:r w:rsidRPr="0008408F">
              <w:rPr>
                <w:rFonts w:ascii="Arial" w:hAnsi="Arial" w:cs="Arial"/>
                <w:b/>
              </w:rPr>
              <w:t>Otras:</w:t>
            </w:r>
          </w:p>
        </w:tc>
        <w:tc>
          <w:tcPr>
            <w:tcW w:w="5244" w:type="dxa"/>
          </w:tcPr>
          <w:p w14:paraId="1BDC9453" w14:textId="77777777" w:rsidR="006621BE" w:rsidRPr="0008408F" w:rsidRDefault="006621BE" w:rsidP="00EF5AF2">
            <w:pPr>
              <w:tabs>
                <w:tab w:val="left" w:pos="875"/>
              </w:tabs>
              <w:ind w:right="-50"/>
              <w:jc w:val="both"/>
              <w:rPr>
                <w:rFonts w:ascii="Arial" w:hAnsi="Arial" w:cs="Arial"/>
              </w:rPr>
            </w:pPr>
            <w:r w:rsidRPr="0008408F">
              <w:rPr>
                <w:rFonts w:ascii="Arial" w:hAnsi="Arial" w:cs="Arial"/>
              </w:rPr>
              <w:t xml:space="preserve">No todas las facturas electrónicas estaban disponibles en el sistema SIIF al momento de hacer la obligación </w:t>
            </w:r>
            <w:r w:rsidRPr="0008408F">
              <w:rPr>
                <w:rFonts w:ascii="Arial" w:hAnsi="Arial" w:cs="Arial"/>
              </w:rPr>
              <w:lastRenderedPageBreak/>
              <w:t>presupuestal.</w:t>
            </w:r>
          </w:p>
        </w:tc>
      </w:tr>
    </w:tbl>
    <w:p w14:paraId="562043D0" w14:textId="77777777" w:rsidR="006621BE" w:rsidRDefault="006621BE" w:rsidP="006621BE">
      <w:pPr>
        <w:ind w:left="-284" w:right="-234"/>
        <w:jc w:val="both"/>
        <w:rPr>
          <w:rFonts w:ascii="Arial" w:hAnsi="Arial" w:cs="Arial"/>
          <w:b/>
          <w:sz w:val="24"/>
          <w:szCs w:val="24"/>
        </w:rPr>
      </w:pPr>
    </w:p>
    <w:p w14:paraId="2ED65A01" w14:textId="77777777" w:rsidR="006621BE" w:rsidRPr="004979B4" w:rsidRDefault="006621BE" w:rsidP="006621BE">
      <w:pPr>
        <w:ind w:left="-284"/>
        <w:jc w:val="both"/>
        <w:rPr>
          <w:rFonts w:ascii="Arial" w:hAnsi="Arial" w:cs="Arial"/>
          <w:b/>
          <w:sz w:val="28"/>
          <w:szCs w:val="28"/>
          <w:lang w:val="es-MX"/>
        </w:rPr>
      </w:pPr>
      <w:r w:rsidRPr="004979B4">
        <w:rPr>
          <w:rFonts w:ascii="Arial" w:hAnsi="Arial" w:cs="Arial"/>
          <w:b/>
          <w:sz w:val="28"/>
          <w:szCs w:val="28"/>
          <w:lang w:val="es-MX"/>
        </w:rPr>
        <w:t xml:space="preserve">38.- SUPERINTENDENCIA NACIONAL DE SALUD – SUPERSALUD. </w:t>
      </w:r>
    </w:p>
    <w:p w14:paraId="7047B13A"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195659" w14:paraId="7C2B313E" w14:textId="77777777" w:rsidTr="007B2C75">
        <w:tc>
          <w:tcPr>
            <w:tcW w:w="993" w:type="dxa"/>
          </w:tcPr>
          <w:p w14:paraId="0966E83F" w14:textId="77777777" w:rsidR="006621BE" w:rsidRPr="00195659" w:rsidRDefault="006621BE" w:rsidP="00EF5AF2">
            <w:pPr>
              <w:tabs>
                <w:tab w:val="left" w:pos="875"/>
              </w:tabs>
              <w:ind w:right="-50"/>
              <w:jc w:val="center"/>
              <w:rPr>
                <w:rFonts w:ascii="Arial" w:hAnsi="Arial" w:cs="Arial"/>
                <w:b/>
              </w:rPr>
            </w:pPr>
            <w:r w:rsidRPr="00195659">
              <w:rPr>
                <w:rFonts w:ascii="Arial" w:hAnsi="Arial" w:cs="Arial"/>
                <w:b/>
              </w:rPr>
              <w:t>N°</w:t>
            </w:r>
          </w:p>
        </w:tc>
        <w:tc>
          <w:tcPr>
            <w:tcW w:w="4253" w:type="dxa"/>
          </w:tcPr>
          <w:p w14:paraId="732C218D" w14:textId="77777777" w:rsidR="006621BE" w:rsidRDefault="006621BE" w:rsidP="00EF5AF2">
            <w:pPr>
              <w:tabs>
                <w:tab w:val="left" w:pos="875"/>
              </w:tabs>
              <w:ind w:right="-50"/>
              <w:jc w:val="center"/>
              <w:rPr>
                <w:rFonts w:ascii="Arial" w:hAnsi="Arial" w:cs="Arial"/>
                <w:b/>
              </w:rPr>
            </w:pPr>
            <w:r w:rsidRPr="00195659">
              <w:rPr>
                <w:rFonts w:ascii="Arial" w:hAnsi="Arial" w:cs="Arial"/>
                <w:b/>
              </w:rPr>
              <w:t>Limitaciones del Sistema SIIF II Nación a 31/12/2024</w:t>
            </w:r>
          </w:p>
          <w:p w14:paraId="4BE87B33" w14:textId="74516F6A" w:rsidR="001E3E37" w:rsidRPr="00195659" w:rsidRDefault="001E3E37" w:rsidP="00EF5AF2">
            <w:pPr>
              <w:tabs>
                <w:tab w:val="left" w:pos="875"/>
              </w:tabs>
              <w:ind w:right="-50"/>
              <w:jc w:val="center"/>
              <w:rPr>
                <w:rFonts w:ascii="Arial" w:hAnsi="Arial" w:cs="Arial"/>
                <w:b/>
              </w:rPr>
            </w:pPr>
          </w:p>
        </w:tc>
        <w:tc>
          <w:tcPr>
            <w:tcW w:w="5244" w:type="dxa"/>
          </w:tcPr>
          <w:p w14:paraId="30CB23DA" w14:textId="77777777" w:rsidR="006621BE" w:rsidRPr="00195659" w:rsidRDefault="006621BE" w:rsidP="00EF5AF2">
            <w:pPr>
              <w:tabs>
                <w:tab w:val="left" w:pos="875"/>
              </w:tabs>
              <w:ind w:right="-50"/>
              <w:jc w:val="center"/>
              <w:rPr>
                <w:rFonts w:ascii="Arial" w:hAnsi="Arial" w:cs="Arial"/>
                <w:b/>
              </w:rPr>
            </w:pPr>
            <w:r w:rsidRPr="00195659">
              <w:rPr>
                <w:rFonts w:ascii="Arial" w:hAnsi="Arial" w:cs="Arial"/>
                <w:b/>
              </w:rPr>
              <w:t>Descripción de la limitación</w:t>
            </w:r>
          </w:p>
        </w:tc>
      </w:tr>
      <w:tr w:rsidR="006621BE" w:rsidRPr="00195659" w14:paraId="35831B3D" w14:textId="77777777" w:rsidTr="007B2C75">
        <w:tc>
          <w:tcPr>
            <w:tcW w:w="993" w:type="dxa"/>
          </w:tcPr>
          <w:p w14:paraId="200D0991" w14:textId="77777777" w:rsidR="006621BE" w:rsidRPr="00195659" w:rsidRDefault="006621BE" w:rsidP="00EF5AF2">
            <w:pPr>
              <w:tabs>
                <w:tab w:val="left" w:pos="875"/>
              </w:tabs>
              <w:ind w:right="-50"/>
              <w:jc w:val="center"/>
              <w:rPr>
                <w:rFonts w:ascii="Arial" w:hAnsi="Arial" w:cs="Arial"/>
                <w:b/>
              </w:rPr>
            </w:pPr>
            <w:r w:rsidRPr="00195659">
              <w:rPr>
                <w:rFonts w:ascii="Arial" w:hAnsi="Arial" w:cs="Arial"/>
                <w:b/>
              </w:rPr>
              <w:t>1</w:t>
            </w:r>
          </w:p>
        </w:tc>
        <w:tc>
          <w:tcPr>
            <w:tcW w:w="4253" w:type="dxa"/>
          </w:tcPr>
          <w:p w14:paraId="2F34C4D6" w14:textId="77777777" w:rsidR="006621BE" w:rsidRPr="00195659" w:rsidRDefault="006621BE" w:rsidP="00EF5AF2">
            <w:pPr>
              <w:tabs>
                <w:tab w:val="left" w:pos="875"/>
              </w:tabs>
              <w:ind w:right="-50"/>
              <w:jc w:val="both"/>
              <w:rPr>
                <w:rFonts w:ascii="Arial" w:hAnsi="Arial" w:cs="Arial"/>
                <w:b/>
              </w:rPr>
            </w:pPr>
            <w:r w:rsidRPr="00195659">
              <w:rPr>
                <w:rFonts w:ascii="Arial" w:hAnsi="Arial" w:cs="Arial"/>
                <w:b/>
              </w:rPr>
              <w:t>Operativas:</w:t>
            </w:r>
          </w:p>
        </w:tc>
        <w:tc>
          <w:tcPr>
            <w:tcW w:w="5244" w:type="dxa"/>
          </w:tcPr>
          <w:p w14:paraId="16701252" w14:textId="77777777" w:rsidR="006621BE" w:rsidRPr="00195659" w:rsidRDefault="006621BE" w:rsidP="00EF5AF2">
            <w:pPr>
              <w:tabs>
                <w:tab w:val="left" w:pos="875"/>
              </w:tabs>
              <w:ind w:right="-50"/>
              <w:jc w:val="both"/>
              <w:rPr>
                <w:rFonts w:ascii="Arial" w:hAnsi="Arial" w:cs="Arial"/>
                <w:b/>
              </w:rPr>
            </w:pPr>
            <w:r w:rsidRPr="00195659">
              <w:rPr>
                <w:rFonts w:ascii="Arial" w:hAnsi="Arial" w:cs="Arial"/>
                <w:b/>
              </w:rPr>
              <w:t>Integridad de los sistemas de información.</w:t>
            </w:r>
          </w:p>
          <w:p w14:paraId="647B9FB1" w14:textId="77777777" w:rsidR="006621BE" w:rsidRPr="00195659" w:rsidRDefault="006621BE" w:rsidP="00EF5AF2">
            <w:pPr>
              <w:tabs>
                <w:tab w:val="left" w:pos="875"/>
              </w:tabs>
              <w:ind w:right="-50"/>
              <w:jc w:val="both"/>
              <w:rPr>
                <w:rFonts w:ascii="Arial" w:hAnsi="Arial" w:cs="Arial"/>
              </w:rPr>
            </w:pPr>
          </w:p>
          <w:p w14:paraId="75AA2336" w14:textId="77777777" w:rsidR="006621BE" w:rsidRPr="00195659" w:rsidRDefault="006621BE" w:rsidP="00EF5AF2">
            <w:pPr>
              <w:tabs>
                <w:tab w:val="left" w:pos="875"/>
              </w:tabs>
              <w:ind w:right="-50"/>
              <w:jc w:val="both"/>
              <w:rPr>
                <w:rFonts w:ascii="Arial" w:hAnsi="Arial" w:cs="Arial"/>
              </w:rPr>
            </w:pPr>
            <w:r w:rsidRPr="00195659">
              <w:rPr>
                <w:rFonts w:ascii="Arial" w:hAnsi="Arial" w:cs="Arial"/>
              </w:rPr>
              <w:t>Debido a las limitaciones en los módulos de negocio integrados en SIIF, el registro de algunas operaciones y hechos económicos se realiza a través de comprobantes manuales; generando así reprocesos y riesgos inherentes a la operación manual.</w:t>
            </w:r>
          </w:p>
          <w:p w14:paraId="1B15CDA0" w14:textId="77777777" w:rsidR="006621BE" w:rsidRPr="00195659" w:rsidRDefault="006621BE" w:rsidP="00EF5AF2">
            <w:pPr>
              <w:tabs>
                <w:tab w:val="left" w:pos="875"/>
              </w:tabs>
              <w:ind w:right="-50"/>
              <w:jc w:val="both"/>
              <w:rPr>
                <w:rFonts w:ascii="Arial" w:hAnsi="Arial" w:cs="Arial"/>
              </w:rPr>
            </w:pPr>
          </w:p>
          <w:p w14:paraId="2E7E221B" w14:textId="77777777" w:rsidR="006621BE" w:rsidRPr="00195659" w:rsidRDefault="006621BE" w:rsidP="00EF5AF2">
            <w:pPr>
              <w:tabs>
                <w:tab w:val="left" w:pos="875"/>
              </w:tabs>
              <w:ind w:right="-50"/>
              <w:jc w:val="both"/>
              <w:rPr>
                <w:rFonts w:ascii="Arial" w:hAnsi="Arial" w:cs="Arial"/>
              </w:rPr>
            </w:pPr>
            <w:r w:rsidRPr="00195659">
              <w:rPr>
                <w:rFonts w:ascii="Arial" w:hAnsi="Arial" w:cs="Arial"/>
              </w:rPr>
              <w:t>Los procesos con incidencia contable no cubiertos por los módulos del SIIF, son administrados y controlados por las áreas respectivas a través de aplicativos y bases de datos de alimentación manual, en los cuales se individualiza la información según se trate. Los procesos manejados bajo aplicativos o bases de datos son: cuentas por cobrar y sus cuentas inherentes; propiedad, planta y equipo e intangibles; provisiones de nómina y gastos de personal; amortizaciones; litigios y demandas y cobro persuasivo y jurisdicción coactiva.</w:t>
            </w:r>
          </w:p>
          <w:p w14:paraId="37EF3B61" w14:textId="77777777" w:rsidR="006621BE" w:rsidRPr="00195659" w:rsidRDefault="006621BE" w:rsidP="00EF5AF2">
            <w:pPr>
              <w:tabs>
                <w:tab w:val="left" w:pos="875"/>
              </w:tabs>
              <w:ind w:right="-50"/>
              <w:jc w:val="both"/>
              <w:rPr>
                <w:rFonts w:ascii="Arial" w:hAnsi="Arial" w:cs="Arial"/>
              </w:rPr>
            </w:pPr>
          </w:p>
          <w:p w14:paraId="6FC5BC58" w14:textId="77777777" w:rsidR="006621BE" w:rsidRPr="00195659" w:rsidRDefault="006621BE" w:rsidP="00EF5AF2">
            <w:pPr>
              <w:tabs>
                <w:tab w:val="left" w:pos="875"/>
              </w:tabs>
              <w:ind w:right="-50"/>
              <w:jc w:val="both"/>
              <w:rPr>
                <w:rFonts w:ascii="Arial" w:hAnsi="Arial" w:cs="Arial"/>
              </w:rPr>
            </w:pPr>
            <w:r w:rsidRPr="00195659">
              <w:rPr>
                <w:rFonts w:ascii="Arial" w:hAnsi="Arial" w:cs="Arial"/>
              </w:rPr>
              <w:t>Atendiendo a la estructura operativa del SIIF, el proceso de reconocimiento de obligaciones para pago, genera actividades redundantes, como son: el registro de cuentas por pagar presupuestales y de obligaciones para pago, ambas actualmente a cargo del grupo de contabilidad, apartándose así de lo establecido en la Circular Externa 004 de 2021 emitida por la Administración SIIF, impactando la gestión del grupo de contabilidad principalmente en la realización de análisis oportunos y sus revelaciones.</w:t>
            </w:r>
          </w:p>
          <w:p w14:paraId="0FD78072" w14:textId="77777777" w:rsidR="006621BE" w:rsidRPr="00195659" w:rsidRDefault="006621BE" w:rsidP="00EF5AF2">
            <w:pPr>
              <w:tabs>
                <w:tab w:val="left" w:pos="875"/>
              </w:tabs>
              <w:ind w:right="-50"/>
              <w:jc w:val="both"/>
              <w:rPr>
                <w:rFonts w:ascii="Arial" w:hAnsi="Arial" w:cs="Arial"/>
              </w:rPr>
            </w:pPr>
          </w:p>
          <w:p w14:paraId="59674E49" w14:textId="77777777" w:rsidR="006621BE" w:rsidRPr="00195659" w:rsidRDefault="006621BE" w:rsidP="00EF5AF2">
            <w:pPr>
              <w:tabs>
                <w:tab w:val="left" w:pos="875"/>
              </w:tabs>
              <w:ind w:right="-50"/>
              <w:jc w:val="both"/>
              <w:rPr>
                <w:rFonts w:ascii="Arial" w:hAnsi="Arial" w:cs="Arial"/>
              </w:rPr>
            </w:pPr>
            <w:r w:rsidRPr="00195659">
              <w:rPr>
                <w:rFonts w:ascii="Arial" w:hAnsi="Arial" w:cs="Arial"/>
              </w:rPr>
              <w:t>Adicional a lo anterior, se identifica como deficiencia la imposibilidad de anular comprobantes contables dentro de un periodo determinado; con lo cual, en caso de requerirse modificar o corregir un registro dentro del mismo mes, se debe elaborar un comprobante nuevo.</w:t>
            </w:r>
          </w:p>
          <w:p w14:paraId="6B331B30" w14:textId="77777777" w:rsidR="006621BE" w:rsidRPr="00195659" w:rsidRDefault="006621BE" w:rsidP="00EF5AF2">
            <w:pPr>
              <w:tabs>
                <w:tab w:val="left" w:pos="875"/>
              </w:tabs>
              <w:ind w:right="-50"/>
              <w:jc w:val="both"/>
              <w:rPr>
                <w:rFonts w:ascii="Arial" w:hAnsi="Arial" w:cs="Arial"/>
              </w:rPr>
            </w:pPr>
          </w:p>
          <w:p w14:paraId="778656B9" w14:textId="488A3ECC" w:rsidR="006621BE" w:rsidRPr="00195659" w:rsidRDefault="006621BE" w:rsidP="00EF5AF2">
            <w:pPr>
              <w:tabs>
                <w:tab w:val="left" w:pos="875"/>
              </w:tabs>
              <w:ind w:right="-50"/>
              <w:jc w:val="both"/>
              <w:rPr>
                <w:rFonts w:ascii="Arial" w:hAnsi="Arial" w:cs="Arial"/>
              </w:rPr>
            </w:pPr>
            <w:r w:rsidRPr="00195659">
              <w:rPr>
                <w:rFonts w:ascii="Arial" w:hAnsi="Arial" w:cs="Arial"/>
              </w:rPr>
              <w:t>En cuanto a reportes, se identifica la necesidad de desarrollos, tanto para los ya existentes, como nuevos, que permita editarlos de tal manera que cada entidad pueda obtener la información pertinente y específica que requiera, con el fin de facilitar y agilizar los seguimientos y análisis internos que permitan dar mayor consistencia a las cifras en los estados financieros.</w:t>
            </w:r>
          </w:p>
          <w:p w14:paraId="77B9FF46" w14:textId="77777777" w:rsidR="006621BE" w:rsidRPr="00195659" w:rsidRDefault="006621BE" w:rsidP="00EF5AF2">
            <w:pPr>
              <w:tabs>
                <w:tab w:val="left" w:pos="875"/>
              </w:tabs>
              <w:ind w:right="-50"/>
              <w:jc w:val="both"/>
              <w:rPr>
                <w:rFonts w:ascii="Arial" w:hAnsi="Arial" w:cs="Arial"/>
              </w:rPr>
            </w:pPr>
            <w:r w:rsidRPr="00195659">
              <w:rPr>
                <w:rFonts w:ascii="Arial" w:hAnsi="Arial" w:cs="Arial"/>
              </w:rPr>
              <w:t xml:space="preserve">En las fechas de cierres mensual generalmente el SIIF presenta fallas de disponibilidad, incrementándose esta situación en los cierres presupuestal y contables de vigencia; generando traumatismo en el trámite de cuentas por pagar, registro de obligaciones y generación de pagos. Así mismo, algunos de los procesos de actualización y mantenimiento se adelantan en días y </w:t>
            </w:r>
            <w:r w:rsidRPr="00195659">
              <w:rPr>
                <w:rFonts w:ascii="Arial" w:hAnsi="Arial" w:cs="Arial"/>
              </w:rPr>
              <w:lastRenderedPageBreak/>
              <w:t>horarios críticos de cierre impactando negativamente en la operación al interior de la entidad.</w:t>
            </w:r>
          </w:p>
        </w:tc>
      </w:tr>
    </w:tbl>
    <w:p w14:paraId="01B8C1EA" w14:textId="77777777" w:rsidR="006621BE" w:rsidRDefault="006621BE" w:rsidP="006621BE">
      <w:pPr>
        <w:ind w:left="-284" w:right="-234"/>
        <w:jc w:val="both"/>
        <w:rPr>
          <w:rFonts w:ascii="Arial" w:hAnsi="Arial" w:cs="Arial"/>
          <w:b/>
          <w:sz w:val="24"/>
          <w:szCs w:val="24"/>
        </w:rPr>
      </w:pPr>
    </w:p>
    <w:p w14:paraId="27F3DDD0" w14:textId="77777777" w:rsidR="006621BE" w:rsidRPr="00E54325" w:rsidRDefault="006621BE" w:rsidP="006621BE">
      <w:pPr>
        <w:ind w:left="-284"/>
        <w:jc w:val="both"/>
        <w:rPr>
          <w:rFonts w:ascii="Arial" w:hAnsi="Arial" w:cs="Arial"/>
          <w:b/>
          <w:sz w:val="28"/>
          <w:szCs w:val="28"/>
          <w:lang w:val="es-MX"/>
        </w:rPr>
      </w:pPr>
      <w:r w:rsidRPr="00E54325">
        <w:rPr>
          <w:rFonts w:ascii="Arial" w:hAnsi="Arial" w:cs="Arial"/>
          <w:b/>
          <w:sz w:val="28"/>
          <w:szCs w:val="28"/>
          <w:lang w:val="es-MX"/>
        </w:rPr>
        <w:t>40.- MINISTERIO DE TRANSPORTE.</w:t>
      </w:r>
    </w:p>
    <w:p w14:paraId="51914A0F"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7200E" w14:paraId="132E4C12" w14:textId="77777777" w:rsidTr="007B2C75">
        <w:tc>
          <w:tcPr>
            <w:tcW w:w="993" w:type="dxa"/>
          </w:tcPr>
          <w:p w14:paraId="4DD2F598" w14:textId="77777777" w:rsidR="006621BE" w:rsidRPr="0097200E" w:rsidRDefault="006621BE" w:rsidP="00EF5AF2">
            <w:pPr>
              <w:tabs>
                <w:tab w:val="left" w:pos="875"/>
              </w:tabs>
              <w:ind w:right="-50"/>
              <w:jc w:val="center"/>
              <w:rPr>
                <w:rFonts w:ascii="Arial" w:hAnsi="Arial" w:cs="Arial"/>
                <w:b/>
              </w:rPr>
            </w:pPr>
            <w:r w:rsidRPr="0097200E">
              <w:rPr>
                <w:rFonts w:ascii="Arial" w:hAnsi="Arial" w:cs="Arial"/>
                <w:b/>
              </w:rPr>
              <w:t>N°</w:t>
            </w:r>
          </w:p>
        </w:tc>
        <w:tc>
          <w:tcPr>
            <w:tcW w:w="4253" w:type="dxa"/>
          </w:tcPr>
          <w:p w14:paraId="3124A162" w14:textId="77777777" w:rsidR="006621BE" w:rsidRPr="0097200E" w:rsidRDefault="006621BE" w:rsidP="00EF5AF2">
            <w:pPr>
              <w:tabs>
                <w:tab w:val="left" w:pos="875"/>
              </w:tabs>
              <w:ind w:right="-50"/>
              <w:jc w:val="center"/>
              <w:rPr>
                <w:rFonts w:ascii="Arial" w:hAnsi="Arial" w:cs="Arial"/>
                <w:b/>
              </w:rPr>
            </w:pPr>
            <w:r w:rsidRPr="0097200E">
              <w:rPr>
                <w:rFonts w:ascii="Arial" w:hAnsi="Arial" w:cs="Arial"/>
                <w:b/>
              </w:rPr>
              <w:t>Limitaciones del Sistema SIIF II Nación a 31/12/2024</w:t>
            </w:r>
          </w:p>
          <w:p w14:paraId="65500C48" w14:textId="77777777" w:rsidR="006621BE" w:rsidRPr="0097200E" w:rsidRDefault="006621BE" w:rsidP="00EF5AF2">
            <w:pPr>
              <w:tabs>
                <w:tab w:val="left" w:pos="875"/>
              </w:tabs>
              <w:ind w:right="-50"/>
              <w:jc w:val="center"/>
              <w:rPr>
                <w:rFonts w:ascii="Arial" w:hAnsi="Arial" w:cs="Arial"/>
                <w:b/>
              </w:rPr>
            </w:pPr>
          </w:p>
        </w:tc>
        <w:tc>
          <w:tcPr>
            <w:tcW w:w="5244" w:type="dxa"/>
          </w:tcPr>
          <w:p w14:paraId="4AF424A3" w14:textId="77777777" w:rsidR="006621BE" w:rsidRPr="0097200E" w:rsidRDefault="006621BE" w:rsidP="00EF5AF2">
            <w:pPr>
              <w:tabs>
                <w:tab w:val="left" w:pos="875"/>
              </w:tabs>
              <w:ind w:right="-50"/>
              <w:jc w:val="center"/>
              <w:rPr>
                <w:rFonts w:ascii="Arial" w:hAnsi="Arial" w:cs="Arial"/>
                <w:b/>
              </w:rPr>
            </w:pPr>
            <w:r w:rsidRPr="0097200E">
              <w:rPr>
                <w:rFonts w:ascii="Arial" w:hAnsi="Arial" w:cs="Arial"/>
                <w:b/>
              </w:rPr>
              <w:t>Descripción de la limitación</w:t>
            </w:r>
          </w:p>
        </w:tc>
      </w:tr>
      <w:tr w:rsidR="006621BE" w:rsidRPr="0097200E" w14:paraId="7AE9E532" w14:textId="77777777" w:rsidTr="007B2C75">
        <w:tc>
          <w:tcPr>
            <w:tcW w:w="993" w:type="dxa"/>
          </w:tcPr>
          <w:p w14:paraId="7229139F" w14:textId="77777777" w:rsidR="006621BE" w:rsidRPr="0097200E" w:rsidRDefault="006621BE" w:rsidP="00EF5AF2">
            <w:pPr>
              <w:tabs>
                <w:tab w:val="left" w:pos="875"/>
              </w:tabs>
              <w:ind w:right="-50"/>
              <w:jc w:val="center"/>
              <w:rPr>
                <w:rFonts w:ascii="Arial" w:hAnsi="Arial" w:cs="Arial"/>
                <w:b/>
              </w:rPr>
            </w:pPr>
            <w:r w:rsidRPr="0097200E">
              <w:rPr>
                <w:rFonts w:ascii="Arial" w:hAnsi="Arial" w:cs="Arial"/>
                <w:b/>
              </w:rPr>
              <w:t>1</w:t>
            </w:r>
          </w:p>
        </w:tc>
        <w:tc>
          <w:tcPr>
            <w:tcW w:w="4253" w:type="dxa"/>
          </w:tcPr>
          <w:p w14:paraId="2CE2A6BC" w14:textId="77777777" w:rsidR="006621BE" w:rsidRPr="0097200E" w:rsidRDefault="006621BE" w:rsidP="00EF5AF2">
            <w:pPr>
              <w:tabs>
                <w:tab w:val="left" w:pos="875"/>
              </w:tabs>
              <w:ind w:right="-50"/>
              <w:jc w:val="both"/>
              <w:rPr>
                <w:rFonts w:ascii="Arial" w:hAnsi="Arial" w:cs="Arial"/>
                <w:b/>
              </w:rPr>
            </w:pPr>
            <w:r w:rsidRPr="0097200E">
              <w:rPr>
                <w:rFonts w:ascii="Arial" w:hAnsi="Arial" w:cs="Arial"/>
                <w:b/>
              </w:rPr>
              <w:t>Técnicas:</w:t>
            </w:r>
          </w:p>
        </w:tc>
        <w:tc>
          <w:tcPr>
            <w:tcW w:w="5244" w:type="dxa"/>
          </w:tcPr>
          <w:p w14:paraId="0E234A66" w14:textId="315BEA3F" w:rsidR="006621BE" w:rsidRPr="0097200E" w:rsidRDefault="006621BE" w:rsidP="00EF5AF2">
            <w:pPr>
              <w:tabs>
                <w:tab w:val="left" w:pos="875"/>
              </w:tabs>
              <w:ind w:right="-50"/>
              <w:jc w:val="both"/>
              <w:rPr>
                <w:rFonts w:ascii="Arial" w:hAnsi="Arial" w:cs="Arial"/>
              </w:rPr>
            </w:pPr>
            <w:r w:rsidRPr="0097200E">
              <w:rPr>
                <w:rFonts w:ascii="Arial" w:hAnsi="Arial" w:cs="Arial"/>
              </w:rPr>
              <w:t xml:space="preserve">El Sistema SIIF No soporta tráfico alto en fechas de cierre de mes y cierre de vigencia, generando demoras altas en el proceso contable por caídas y cambios de horario en el sistema, por ende el impacto en las fechas de cierre, especialmente en el cierre de </w:t>
            </w:r>
            <w:r w:rsidR="00770CAC" w:rsidRPr="0097200E">
              <w:rPr>
                <w:rFonts w:ascii="Arial" w:hAnsi="Arial" w:cs="Arial"/>
              </w:rPr>
              <w:t>vigencia.</w:t>
            </w:r>
          </w:p>
        </w:tc>
      </w:tr>
      <w:tr w:rsidR="006621BE" w:rsidRPr="0097200E" w14:paraId="22FFDD55" w14:textId="77777777" w:rsidTr="007B2C75">
        <w:tc>
          <w:tcPr>
            <w:tcW w:w="993" w:type="dxa"/>
          </w:tcPr>
          <w:p w14:paraId="7A0AAD91" w14:textId="77777777" w:rsidR="006621BE" w:rsidRPr="0097200E" w:rsidRDefault="006621BE" w:rsidP="00EF5AF2">
            <w:pPr>
              <w:tabs>
                <w:tab w:val="left" w:pos="875"/>
              </w:tabs>
              <w:ind w:right="-50"/>
              <w:jc w:val="center"/>
              <w:rPr>
                <w:rFonts w:ascii="Arial" w:hAnsi="Arial" w:cs="Arial"/>
                <w:b/>
              </w:rPr>
            </w:pPr>
            <w:r w:rsidRPr="0097200E">
              <w:rPr>
                <w:rFonts w:ascii="Arial" w:hAnsi="Arial" w:cs="Arial"/>
                <w:b/>
              </w:rPr>
              <w:t>2</w:t>
            </w:r>
          </w:p>
        </w:tc>
        <w:tc>
          <w:tcPr>
            <w:tcW w:w="4253" w:type="dxa"/>
          </w:tcPr>
          <w:p w14:paraId="06B17E01" w14:textId="77777777" w:rsidR="006621BE" w:rsidRPr="0097200E" w:rsidRDefault="006621BE" w:rsidP="00EF5AF2">
            <w:pPr>
              <w:tabs>
                <w:tab w:val="left" w:pos="875"/>
              </w:tabs>
              <w:ind w:right="-50"/>
              <w:jc w:val="both"/>
              <w:rPr>
                <w:rFonts w:ascii="Arial" w:hAnsi="Arial" w:cs="Arial"/>
                <w:b/>
              </w:rPr>
            </w:pPr>
            <w:r w:rsidRPr="0097200E">
              <w:rPr>
                <w:rFonts w:ascii="Arial" w:hAnsi="Arial" w:cs="Arial"/>
                <w:b/>
              </w:rPr>
              <w:t>Operativas:</w:t>
            </w:r>
          </w:p>
        </w:tc>
        <w:tc>
          <w:tcPr>
            <w:tcW w:w="5244" w:type="dxa"/>
          </w:tcPr>
          <w:p w14:paraId="623B963F" w14:textId="77777777" w:rsidR="006621BE" w:rsidRPr="0097200E" w:rsidRDefault="006621BE" w:rsidP="00EF5AF2">
            <w:pPr>
              <w:tabs>
                <w:tab w:val="left" w:pos="875"/>
              </w:tabs>
              <w:ind w:right="-50"/>
              <w:jc w:val="both"/>
              <w:rPr>
                <w:rFonts w:ascii="Arial" w:hAnsi="Arial" w:cs="Arial"/>
              </w:rPr>
            </w:pPr>
            <w:r w:rsidRPr="0097200E">
              <w:rPr>
                <w:rFonts w:ascii="Arial" w:hAnsi="Arial" w:cs="Arial"/>
              </w:rPr>
              <w:t>El Sistema SIIF programa mantenimientos de la plataforma en fechas próximas al cierre contable mes, lo que impacta en la disponibilidad del sistema para realizar las acciones necesarias en el cierre contable.</w:t>
            </w:r>
          </w:p>
        </w:tc>
      </w:tr>
      <w:tr w:rsidR="006621BE" w:rsidRPr="0097200E" w14:paraId="1FF15F07" w14:textId="77777777" w:rsidTr="007B2C75">
        <w:tc>
          <w:tcPr>
            <w:tcW w:w="993" w:type="dxa"/>
          </w:tcPr>
          <w:p w14:paraId="4CDAD5AD" w14:textId="77777777" w:rsidR="006621BE" w:rsidRPr="0097200E" w:rsidRDefault="006621BE" w:rsidP="00EF5AF2">
            <w:pPr>
              <w:tabs>
                <w:tab w:val="left" w:pos="875"/>
              </w:tabs>
              <w:ind w:right="-50"/>
              <w:jc w:val="center"/>
              <w:rPr>
                <w:rFonts w:ascii="Arial" w:hAnsi="Arial" w:cs="Arial"/>
                <w:b/>
              </w:rPr>
            </w:pPr>
            <w:r w:rsidRPr="0097200E">
              <w:rPr>
                <w:rFonts w:ascii="Arial" w:hAnsi="Arial" w:cs="Arial"/>
                <w:b/>
              </w:rPr>
              <w:t>3</w:t>
            </w:r>
          </w:p>
        </w:tc>
        <w:tc>
          <w:tcPr>
            <w:tcW w:w="4253" w:type="dxa"/>
          </w:tcPr>
          <w:p w14:paraId="024438D9" w14:textId="77777777" w:rsidR="006621BE" w:rsidRPr="0097200E" w:rsidRDefault="006621BE" w:rsidP="00EF5AF2">
            <w:pPr>
              <w:tabs>
                <w:tab w:val="left" w:pos="875"/>
              </w:tabs>
              <w:ind w:right="-50"/>
              <w:jc w:val="both"/>
              <w:rPr>
                <w:rFonts w:ascii="Arial" w:hAnsi="Arial" w:cs="Arial"/>
                <w:b/>
              </w:rPr>
            </w:pPr>
            <w:r w:rsidRPr="0097200E">
              <w:rPr>
                <w:rFonts w:ascii="Arial" w:hAnsi="Arial" w:cs="Arial"/>
                <w:b/>
              </w:rPr>
              <w:t>Otras:</w:t>
            </w:r>
          </w:p>
        </w:tc>
        <w:tc>
          <w:tcPr>
            <w:tcW w:w="5244" w:type="dxa"/>
          </w:tcPr>
          <w:p w14:paraId="0E459EFF" w14:textId="77777777" w:rsidR="006621BE" w:rsidRPr="0097200E" w:rsidRDefault="006621BE" w:rsidP="00EF5AF2">
            <w:pPr>
              <w:tabs>
                <w:tab w:val="left" w:pos="875"/>
              </w:tabs>
              <w:ind w:right="-50"/>
              <w:jc w:val="both"/>
              <w:rPr>
                <w:rFonts w:ascii="Arial" w:hAnsi="Arial" w:cs="Arial"/>
              </w:rPr>
            </w:pPr>
            <w:r w:rsidRPr="0097200E">
              <w:rPr>
                <w:rFonts w:ascii="Arial" w:hAnsi="Arial" w:cs="Arial"/>
              </w:rPr>
              <w:t>SIIF aún no cuenta con módulos de manejo para bienes (Ppyequipo con depreciación y deterioro) y de nómina; situación que obliga a manejar sistemas alternos de gestión de bienes y de administración de nómina, que no cuentan con las funcionalidades para integrarse al sistema SIIF y por ello se deben elaborar asientos manuales.</w:t>
            </w:r>
          </w:p>
        </w:tc>
      </w:tr>
    </w:tbl>
    <w:p w14:paraId="09D7577A" w14:textId="77777777" w:rsidR="006621BE" w:rsidRDefault="006621BE" w:rsidP="006621BE">
      <w:pPr>
        <w:ind w:left="-284" w:right="-234"/>
        <w:jc w:val="both"/>
        <w:rPr>
          <w:rFonts w:ascii="Arial" w:hAnsi="Arial" w:cs="Arial"/>
          <w:b/>
          <w:sz w:val="24"/>
          <w:szCs w:val="24"/>
        </w:rPr>
      </w:pPr>
    </w:p>
    <w:p w14:paraId="2543A52F" w14:textId="77777777" w:rsidR="006621BE" w:rsidRPr="00604D79" w:rsidRDefault="006621BE" w:rsidP="006621BE">
      <w:pPr>
        <w:ind w:left="-284"/>
        <w:jc w:val="both"/>
        <w:rPr>
          <w:rFonts w:ascii="Arial" w:hAnsi="Arial" w:cs="Arial"/>
          <w:b/>
          <w:sz w:val="28"/>
          <w:szCs w:val="28"/>
          <w:lang w:val="es-MX"/>
        </w:rPr>
      </w:pPr>
      <w:r w:rsidRPr="00604D79">
        <w:rPr>
          <w:rFonts w:ascii="Arial" w:hAnsi="Arial" w:cs="Arial"/>
          <w:b/>
          <w:sz w:val="28"/>
          <w:szCs w:val="28"/>
          <w:lang w:val="es-MX"/>
        </w:rPr>
        <w:t>43.- CÁMARA DE REPRESENTANTES.</w:t>
      </w:r>
    </w:p>
    <w:p w14:paraId="2F24C8F4" w14:textId="77777777" w:rsidR="006621BE" w:rsidRDefault="006621BE" w:rsidP="006621BE">
      <w:pPr>
        <w:ind w:left="-284" w:right="-234"/>
        <w:jc w:val="both"/>
        <w:rPr>
          <w:rFonts w:ascii="Arial" w:hAnsi="Arial" w:cs="Arial"/>
          <w:b/>
          <w:sz w:val="24"/>
          <w:szCs w:val="24"/>
        </w:rPr>
      </w:pPr>
    </w:p>
    <w:p w14:paraId="313DFA0E" w14:textId="77777777" w:rsidR="006621BE" w:rsidRPr="00876968" w:rsidRDefault="006621BE" w:rsidP="007B2C75">
      <w:pPr>
        <w:pStyle w:val="Textoindependiente"/>
        <w:spacing w:before="1"/>
        <w:ind w:left="-284" w:right="-234"/>
        <w:jc w:val="both"/>
        <w:rPr>
          <w:rFonts w:ascii="Arial" w:hAnsi="Arial" w:cs="Arial"/>
          <w:sz w:val="24"/>
          <w:szCs w:val="24"/>
        </w:rPr>
      </w:pPr>
      <w:r w:rsidRPr="00876968">
        <w:rPr>
          <w:rFonts w:ascii="Arial" w:hAnsi="Arial" w:cs="Arial"/>
          <w:b/>
        </w:rPr>
        <w:t xml:space="preserve">1.2. Declaración de cumplimiento del marco normativo y limitaciones. </w:t>
      </w:r>
      <w:r w:rsidRPr="00876968">
        <w:rPr>
          <w:rFonts w:ascii="Arial" w:hAnsi="Arial" w:cs="Arial"/>
        </w:rPr>
        <w:t xml:space="preserve">Los Estados </w:t>
      </w:r>
      <w:r w:rsidRPr="00876968">
        <w:rPr>
          <w:rFonts w:ascii="Arial" w:hAnsi="Arial" w:cs="Arial"/>
          <w:sz w:val="24"/>
          <w:szCs w:val="24"/>
        </w:rPr>
        <w:t>Financieros se preparan tomando como base los saldos registrados en el Sistema Integrado de Información Financiera SIIF NACIÓN II, el cual es administrado por el Ministerio de Hacienda y Crédito Público y guiado por la Contaduría General de la Nación.</w:t>
      </w:r>
    </w:p>
    <w:p w14:paraId="31AEB484" w14:textId="77777777" w:rsidR="006621BE" w:rsidRPr="00876968" w:rsidRDefault="006621BE" w:rsidP="007B2C75">
      <w:pPr>
        <w:pStyle w:val="Textoindependiente"/>
        <w:spacing w:before="1"/>
        <w:ind w:left="-284" w:right="-234"/>
        <w:jc w:val="both"/>
        <w:rPr>
          <w:rFonts w:ascii="Arial" w:hAnsi="Arial" w:cs="Arial"/>
          <w:sz w:val="24"/>
          <w:szCs w:val="24"/>
        </w:rPr>
      </w:pPr>
    </w:p>
    <w:p w14:paraId="16500618" w14:textId="77777777" w:rsidR="006621BE" w:rsidRPr="00876968" w:rsidRDefault="006621BE" w:rsidP="007B2C75">
      <w:pPr>
        <w:pStyle w:val="Textoindependiente"/>
        <w:spacing w:before="1"/>
        <w:ind w:left="-284" w:right="-234"/>
        <w:jc w:val="both"/>
        <w:rPr>
          <w:rFonts w:ascii="Arial" w:hAnsi="Arial" w:cs="Arial"/>
          <w:sz w:val="24"/>
          <w:szCs w:val="24"/>
        </w:rPr>
      </w:pPr>
      <w:r w:rsidRPr="00876968">
        <w:rPr>
          <w:rFonts w:ascii="Arial" w:hAnsi="Arial" w:cs="Arial"/>
          <w:sz w:val="24"/>
          <w:szCs w:val="24"/>
        </w:rPr>
        <w:t>El Sistema Integrado de Información Financiera SIIF-Nación, al no contar con los módulos de activos fijos y nómina, se hace necesario que la información contable de los módulos mencionados sea incorporada de forma manual.</w:t>
      </w:r>
    </w:p>
    <w:p w14:paraId="17068DE7" w14:textId="77777777" w:rsidR="006621BE" w:rsidRPr="00876968" w:rsidRDefault="006621BE" w:rsidP="007B2C75">
      <w:pPr>
        <w:pStyle w:val="Textoindependiente"/>
        <w:ind w:right="-234"/>
        <w:jc w:val="both"/>
        <w:rPr>
          <w:rFonts w:ascii="Arial" w:hAnsi="Arial" w:cs="Arial"/>
          <w:b/>
          <w:sz w:val="24"/>
          <w:szCs w:val="24"/>
        </w:rPr>
      </w:pPr>
    </w:p>
    <w:p w14:paraId="717E9FD2" w14:textId="77777777" w:rsidR="006621BE" w:rsidRPr="00FC4E91" w:rsidRDefault="006621BE" w:rsidP="007B2C75">
      <w:pPr>
        <w:ind w:left="-284" w:right="-234"/>
        <w:jc w:val="both"/>
        <w:rPr>
          <w:rFonts w:ascii="Arial" w:hAnsi="Arial" w:cs="Arial"/>
          <w:b/>
          <w:sz w:val="28"/>
          <w:szCs w:val="28"/>
          <w:lang w:val="es-MX"/>
        </w:rPr>
      </w:pPr>
      <w:r w:rsidRPr="00FC4E91">
        <w:rPr>
          <w:rFonts w:ascii="Arial" w:hAnsi="Arial" w:cs="Arial"/>
          <w:b/>
          <w:sz w:val="28"/>
          <w:szCs w:val="28"/>
          <w:lang w:val="es-MX"/>
        </w:rPr>
        <w:t>44.- UNIDAD DE INFORMACION Y ANALISIS FINANCIERO - UIAF.</w:t>
      </w:r>
    </w:p>
    <w:p w14:paraId="21C63161" w14:textId="77777777" w:rsidR="006621BE" w:rsidRPr="00FC4E91" w:rsidRDefault="006621BE" w:rsidP="007B2C75">
      <w:pPr>
        <w:pStyle w:val="Prrafodelista"/>
        <w:spacing w:before="92"/>
        <w:ind w:left="-284" w:right="-234"/>
        <w:rPr>
          <w:rFonts w:ascii="Arial" w:hAnsi="Arial" w:cs="Arial"/>
          <w:b/>
          <w:sz w:val="24"/>
        </w:rPr>
      </w:pPr>
    </w:p>
    <w:p w14:paraId="4B6113E7" w14:textId="77777777" w:rsidR="006621BE" w:rsidRPr="00FC4E91" w:rsidRDefault="006621BE" w:rsidP="007B2C75">
      <w:pPr>
        <w:pStyle w:val="Textoindependiente"/>
        <w:ind w:left="-284" w:right="-234"/>
        <w:jc w:val="both"/>
        <w:rPr>
          <w:rFonts w:ascii="Arial" w:hAnsi="Arial" w:cs="Arial"/>
          <w:bCs/>
          <w:sz w:val="24"/>
          <w:szCs w:val="24"/>
        </w:rPr>
      </w:pPr>
      <w:r w:rsidRPr="00FC4E91">
        <w:rPr>
          <w:rFonts w:ascii="Arial" w:hAnsi="Arial" w:cs="Arial"/>
          <w:b/>
          <w:bCs/>
          <w:sz w:val="24"/>
          <w:szCs w:val="24"/>
          <w:lang w:val="es-CO"/>
        </w:rPr>
        <w:t>1.2. Declaración de cumplimiento del marco normativo y limitaciones.</w:t>
      </w:r>
      <w:r>
        <w:rPr>
          <w:rFonts w:ascii="Arial" w:hAnsi="Arial" w:cs="Arial"/>
          <w:b/>
          <w:bCs/>
          <w:sz w:val="24"/>
          <w:szCs w:val="24"/>
          <w:lang w:val="es-CO"/>
        </w:rPr>
        <w:t xml:space="preserve"> </w:t>
      </w:r>
      <w:r w:rsidRPr="00FC4E91">
        <w:rPr>
          <w:rFonts w:ascii="Arial" w:hAnsi="Arial" w:cs="Arial"/>
          <w:bCs/>
          <w:sz w:val="24"/>
          <w:szCs w:val="24"/>
        </w:rPr>
        <w:t>En el año 2024, se evidencio una mejora sustancial con los cargues de las facturas electrónicas de los proveedores con el cambio a través del operador Olimpia al SIIF Nación, sin embargo, en ocasiones se presentaron demoras para los trámites de pagos.</w:t>
      </w:r>
    </w:p>
    <w:p w14:paraId="66457190" w14:textId="77777777" w:rsidR="006621BE" w:rsidRPr="00FC4E91" w:rsidRDefault="006621BE" w:rsidP="006621BE">
      <w:pPr>
        <w:pStyle w:val="Textoindependiente"/>
        <w:ind w:left="-284" w:right="-50"/>
        <w:jc w:val="both"/>
        <w:rPr>
          <w:rFonts w:ascii="Arial" w:hAnsi="Arial" w:cs="Arial"/>
          <w:bCs/>
          <w:sz w:val="24"/>
          <w:szCs w:val="24"/>
        </w:rPr>
      </w:pPr>
    </w:p>
    <w:p w14:paraId="112289B1" w14:textId="77777777" w:rsidR="006621BE" w:rsidRPr="008258FA" w:rsidRDefault="006621BE" w:rsidP="006621BE">
      <w:pPr>
        <w:ind w:left="-284"/>
        <w:jc w:val="both"/>
        <w:rPr>
          <w:rFonts w:ascii="Arial" w:hAnsi="Arial" w:cs="Arial"/>
          <w:b/>
          <w:sz w:val="28"/>
          <w:szCs w:val="28"/>
          <w:lang w:val="es-MX"/>
        </w:rPr>
      </w:pPr>
      <w:r w:rsidRPr="008258FA">
        <w:rPr>
          <w:rFonts w:ascii="Arial" w:hAnsi="Arial" w:cs="Arial"/>
          <w:b/>
          <w:sz w:val="28"/>
          <w:szCs w:val="28"/>
          <w:lang w:val="es-MX"/>
        </w:rPr>
        <w:t>45.- U.A.E INSTITUTO NACIONAL DE ACUICULTURA Y PESCA - AUNAP.</w:t>
      </w:r>
    </w:p>
    <w:p w14:paraId="7508FFBF"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8258FA" w14:paraId="22D2F6FC" w14:textId="77777777" w:rsidTr="007B2C75">
        <w:tc>
          <w:tcPr>
            <w:tcW w:w="993" w:type="dxa"/>
          </w:tcPr>
          <w:p w14:paraId="75484848" w14:textId="77777777" w:rsidR="006621BE" w:rsidRPr="008258FA" w:rsidRDefault="006621BE" w:rsidP="00EF5AF2">
            <w:pPr>
              <w:tabs>
                <w:tab w:val="left" w:pos="875"/>
              </w:tabs>
              <w:ind w:right="-50"/>
              <w:jc w:val="center"/>
              <w:rPr>
                <w:rFonts w:ascii="Arial" w:hAnsi="Arial" w:cs="Arial"/>
                <w:b/>
              </w:rPr>
            </w:pPr>
            <w:r w:rsidRPr="008258FA">
              <w:rPr>
                <w:rFonts w:ascii="Arial" w:hAnsi="Arial" w:cs="Arial"/>
                <w:b/>
              </w:rPr>
              <w:t>N°</w:t>
            </w:r>
          </w:p>
        </w:tc>
        <w:tc>
          <w:tcPr>
            <w:tcW w:w="4253" w:type="dxa"/>
          </w:tcPr>
          <w:p w14:paraId="7109E2C5" w14:textId="77777777" w:rsidR="006621BE" w:rsidRPr="008258FA" w:rsidRDefault="006621BE" w:rsidP="00EF5AF2">
            <w:pPr>
              <w:tabs>
                <w:tab w:val="left" w:pos="875"/>
              </w:tabs>
              <w:ind w:right="-50"/>
              <w:jc w:val="center"/>
              <w:rPr>
                <w:rFonts w:ascii="Arial" w:hAnsi="Arial" w:cs="Arial"/>
                <w:b/>
              </w:rPr>
            </w:pPr>
            <w:r w:rsidRPr="008258FA">
              <w:rPr>
                <w:rFonts w:ascii="Arial" w:hAnsi="Arial" w:cs="Arial"/>
                <w:b/>
              </w:rPr>
              <w:t>Limitaciones del Sistema SIIF II Nación a 31/12/2024</w:t>
            </w:r>
          </w:p>
          <w:p w14:paraId="234DA012" w14:textId="77777777" w:rsidR="006621BE" w:rsidRPr="008258FA" w:rsidRDefault="006621BE" w:rsidP="00EF5AF2">
            <w:pPr>
              <w:tabs>
                <w:tab w:val="left" w:pos="875"/>
              </w:tabs>
              <w:ind w:right="-50"/>
              <w:jc w:val="center"/>
              <w:rPr>
                <w:rFonts w:ascii="Arial" w:hAnsi="Arial" w:cs="Arial"/>
                <w:b/>
              </w:rPr>
            </w:pPr>
          </w:p>
        </w:tc>
        <w:tc>
          <w:tcPr>
            <w:tcW w:w="5244" w:type="dxa"/>
          </w:tcPr>
          <w:p w14:paraId="740299CB" w14:textId="77777777" w:rsidR="006621BE" w:rsidRPr="008258FA" w:rsidRDefault="006621BE" w:rsidP="00EF5AF2">
            <w:pPr>
              <w:tabs>
                <w:tab w:val="left" w:pos="875"/>
              </w:tabs>
              <w:ind w:right="-50"/>
              <w:jc w:val="center"/>
              <w:rPr>
                <w:rFonts w:ascii="Arial" w:hAnsi="Arial" w:cs="Arial"/>
                <w:b/>
              </w:rPr>
            </w:pPr>
            <w:r w:rsidRPr="008258FA">
              <w:rPr>
                <w:rFonts w:ascii="Arial" w:hAnsi="Arial" w:cs="Arial"/>
                <w:b/>
              </w:rPr>
              <w:t>Descripción de la limitación</w:t>
            </w:r>
          </w:p>
        </w:tc>
      </w:tr>
      <w:tr w:rsidR="006621BE" w:rsidRPr="008258FA" w14:paraId="68E29669" w14:textId="77777777" w:rsidTr="007B2C75">
        <w:tc>
          <w:tcPr>
            <w:tcW w:w="993" w:type="dxa"/>
          </w:tcPr>
          <w:p w14:paraId="1259ED4D" w14:textId="77777777" w:rsidR="006621BE" w:rsidRPr="008258FA" w:rsidRDefault="006621BE" w:rsidP="00EF5AF2">
            <w:pPr>
              <w:tabs>
                <w:tab w:val="left" w:pos="875"/>
              </w:tabs>
              <w:ind w:right="-50"/>
              <w:jc w:val="center"/>
              <w:rPr>
                <w:rFonts w:ascii="Arial" w:hAnsi="Arial" w:cs="Arial"/>
                <w:b/>
              </w:rPr>
            </w:pPr>
            <w:r w:rsidRPr="008258FA">
              <w:rPr>
                <w:rFonts w:ascii="Arial" w:hAnsi="Arial" w:cs="Arial"/>
                <w:b/>
              </w:rPr>
              <w:t>1</w:t>
            </w:r>
          </w:p>
        </w:tc>
        <w:tc>
          <w:tcPr>
            <w:tcW w:w="4253" w:type="dxa"/>
          </w:tcPr>
          <w:p w14:paraId="1EF16EF4" w14:textId="77777777" w:rsidR="006621BE" w:rsidRPr="008258FA" w:rsidRDefault="006621BE" w:rsidP="00EF5AF2">
            <w:pPr>
              <w:tabs>
                <w:tab w:val="left" w:pos="875"/>
              </w:tabs>
              <w:ind w:right="-50"/>
              <w:jc w:val="both"/>
              <w:rPr>
                <w:rFonts w:ascii="Arial" w:hAnsi="Arial" w:cs="Arial"/>
                <w:b/>
              </w:rPr>
            </w:pPr>
            <w:r w:rsidRPr="008258FA">
              <w:rPr>
                <w:rFonts w:ascii="Arial" w:hAnsi="Arial" w:cs="Arial"/>
                <w:b/>
              </w:rPr>
              <w:t>Operativas:</w:t>
            </w:r>
          </w:p>
        </w:tc>
        <w:tc>
          <w:tcPr>
            <w:tcW w:w="5244" w:type="dxa"/>
          </w:tcPr>
          <w:p w14:paraId="2F3A4129" w14:textId="77777777" w:rsidR="006621BE" w:rsidRPr="008258FA" w:rsidRDefault="006621BE" w:rsidP="00EF5AF2">
            <w:pPr>
              <w:tabs>
                <w:tab w:val="left" w:pos="875"/>
              </w:tabs>
              <w:ind w:right="-50"/>
              <w:jc w:val="both"/>
              <w:rPr>
                <w:rFonts w:ascii="Arial" w:hAnsi="Arial" w:cs="Arial"/>
              </w:rPr>
            </w:pPr>
            <w:r w:rsidRPr="008258FA">
              <w:rPr>
                <w:rFonts w:ascii="Arial" w:hAnsi="Arial" w:cs="Arial"/>
              </w:rPr>
              <w:t>Fallas en la plataforma SIIF Nación en horas laborales.</w:t>
            </w:r>
          </w:p>
        </w:tc>
      </w:tr>
      <w:tr w:rsidR="006621BE" w:rsidRPr="008258FA" w14:paraId="62EFA3B1" w14:textId="77777777" w:rsidTr="007B2C75">
        <w:tc>
          <w:tcPr>
            <w:tcW w:w="993" w:type="dxa"/>
          </w:tcPr>
          <w:p w14:paraId="57B13626" w14:textId="77777777" w:rsidR="006621BE" w:rsidRPr="008258FA" w:rsidRDefault="006621BE" w:rsidP="00EF5AF2">
            <w:pPr>
              <w:tabs>
                <w:tab w:val="left" w:pos="875"/>
              </w:tabs>
              <w:ind w:right="-50"/>
              <w:jc w:val="center"/>
              <w:rPr>
                <w:rFonts w:ascii="Arial" w:hAnsi="Arial" w:cs="Arial"/>
                <w:b/>
              </w:rPr>
            </w:pPr>
            <w:r w:rsidRPr="008258FA">
              <w:rPr>
                <w:rFonts w:ascii="Arial" w:hAnsi="Arial" w:cs="Arial"/>
                <w:b/>
              </w:rPr>
              <w:t>2</w:t>
            </w:r>
          </w:p>
        </w:tc>
        <w:tc>
          <w:tcPr>
            <w:tcW w:w="4253" w:type="dxa"/>
          </w:tcPr>
          <w:p w14:paraId="4477413F" w14:textId="77777777" w:rsidR="006621BE" w:rsidRPr="008258FA" w:rsidRDefault="006621BE" w:rsidP="00EF5AF2">
            <w:pPr>
              <w:tabs>
                <w:tab w:val="left" w:pos="875"/>
              </w:tabs>
              <w:ind w:right="-50"/>
              <w:jc w:val="both"/>
              <w:rPr>
                <w:rFonts w:ascii="Arial" w:hAnsi="Arial" w:cs="Arial"/>
                <w:b/>
              </w:rPr>
            </w:pPr>
            <w:r w:rsidRPr="008258FA">
              <w:rPr>
                <w:rFonts w:ascii="Arial" w:hAnsi="Arial" w:cs="Arial"/>
                <w:b/>
              </w:rPr>
              <w:t>Soporte a la plataforma:</w:t>
            </w:r>
          </w:p>
        </w:tc>
        <w:tc>
          <w:tcPr>
            <w:tcW w:w="5244" w:type="dxa"/>
          </w:tcPr>
          <w:p w14:paraId="2E0EE7E1" w14:textId="77777777" w:rsidR="006621BE" w:rsidRPr="008258FA" w:rsidRDefault="006621BE" w:rsidP="00EF5AF2">
            <w:pPr>
              <w:tabs>
                <w:tab w:val="left" w:pos="875"/>
              </w:tabs>
              <w:ind w:right="-50"/>
              <w:jc w:val="both"/>
              <w:rPr>
                <w:rFonts w:ascii="Arial" w:hAnsi="Arial" w:cs="Arial"/>
              </w:rPr>
            </w:pPr>
            <w:r w:rsidRPr="008258FA">
              <w:rPr>
                <w:rFonts w:ascii="Arial" w:hAnsi="Arial" w:cs="Arial"/>
              </w:rPr>
              <w:t>Intermitencia en el funcionamiento de las líneas de</w:t>
            </w:r>
          </w:p>
          <w:p w14:paraId="0CE25BFD" w14:textId="77777777" w:rsidR="006621BE" w:rsidRPr="008258FA" w:rsidRDefault="006621BE" w:rsidP="00EF5AF2">
            <w:pPr>
              <w:tabs>
                <w:tab w:val="left" w:pos="875"/>
              </w:tabs>
              <w:ind w:right="-50"/>
              <w:jc w:val="both"/>
              <w:rPr>
                <w:rFonts w:ascii="Arial" w:hAnsi="Arial" w:cs="Arial"/>
              </w:rPr>
            </w:pPr>
            <w:r w:rsidRPr="008258FA">
              <w:rPr>
                <w:rFonts w:ascii="Arial" w:hAnsi="Arial" w:cs="Arial"/>
              </w:rPr>
              <w:t>atención de soporte de la plataforma SIIF NACIÓN en horas laborales.</w:t>
            </w:r>
          </w:p>
        </w:tc>
      </w:tr>
    </w:tbl>
    <w:p w14:paraId="1E67B2A4" w14:textId="77777777" w:rsidR="006621BE" w:rsidRPr="00B54567" w:rsidRDefault="006621BE" w:rsidP="006621BE">
      <w:pPr>
        <w:tabs>
          <w:tab w:val="left" w:pos="875"/>
        </w:tabs>
        <w:ind w:left="-142" w:right="-50"/>
        <w:jc w:val="both"/>
        <w:rPr>
          <w:rFonts w:ascii="Times New Roman" w:hAnsi="Times New Roman"/>
          <w:sz w:val="24"/>
        </w:rPr>
      </w:pPr>
    </w:p>
    <w:p w14:paraId="0B3D024A" w14:textId="77777777" w:rsidR="006621BE" w:rsidRPr="008258FA" w:rsidRDefault="006621BE" w:rsidP="006621BE">
      <w:pPr>
        <w:pStyle w:val="Textoindependiente"/>
        <w:ind w:left="-284" w:right="-50"/>
        <w:jc w:val="both"/>
        <w:rPr>
          <w:rFonts w:ascii="Arial" w:hAnsi="Arial" w:cs="Arial"/>
          <w:b/>
          <w:sz w:val="24"/>
          <w:szCs w:val="24"/>
        </w:rPr>
      </w:pPr>
      <w:r w:rsidRPr="008258FA">
        <w:rPr>
          <w:rFonts w:ascii="Arial" w:hAnsi="Arial" w:cs="Arial"/>
          <w:b/>
          <w:sz w:val="24"/>
          <w:szCs w:val="24"/>
        </w:rPr>
        <w:t>De las Notas de los estados financieros retomamos:</w:t>
      </w:r>
    </w:p>
    <w:p w14:paraId="3E8D9A03" w14:textId="77777777" w:rsidR="006621BE" w:rsidRPr="008258FA" w:rsidRDefault="006621BE" w:rsidP="007B2C75">
      <w:pPr>
        <w:pStyle w:val="Textoindependiente"/>
        <w:ind w:left="-284" w:right="-234"/>
        <w:jc w:val="both"/>
        <w:rPr>
          <w:rFonts w:ascii="Arial" w:hAnsi="Arial" w:cs="Arial"/>
          <w:b/>
          <w:sz w:val="24"/>
          <w:szCs w:val="24"/>
        </w:rPr>
      </w:pPr>
    </w:p>
    <w:p w14:paraId="595A49B8" w14:textId="77777777" w:rsidR="006621BE" w:rsidRPr="008258FA" w:rsidRDefault="006621BE" w:rsidP="007B2C75">
      <w:pPr>
        <w:pStyle w:val="Textoindependiente"/>
        <w:ind w:left="-284" w:right="-234"/>
        <w:jc w:val="both"/>
        <w:rPr>
          <w:rFonts w:ascii="Arial" w:hAnsi="Arial" w:cs="Arial"/>
          <w:sz w:val="24"/>
          <w:szCs w:val="24"/>
        </w:rPr>
      </w:pPr>
      <w:r w:rsidRPr="008258FA">
        <w:rPr>
          <w:rFonts w:ascii="Arial" w:hAnsi="Arial" w:cs="Arial"/>
          <w:b/>
          <w:bCs/>
          <w:sz w:val="24"/>
          <w:szCs w:val="24"/>
        </w:rPr>
        <w:t xml:space="preserve">1.2.2 Limitaciones: </w:t>
      </w:r>
      <w:r w:rsidRPr="008258FA">
        <w:rPr>
          <w:rFonts w:ascii="Arial" w:hAnsi="Arial" w:cs="Arial"/>
          <w:sz w:val="24"/>
          <w:szCs w:val="24"/>
        </w:rPr>
        <w:t>En la AUNAP, existen limitaciones que inciden en el normal desarrollo del proceso contable.</w:t>
      </w:r>
    </w:p>
    <w:p w14:paraId="77CAEF82" w14:textId="77777777" w:rsidR="006621BE" w:rsidRPr="008258FA" w:rsidRDefault="006621BE" w:rsidP="007B2C75">
      <w:pPr>
        <w:pStyle w:val="Textoindependiente"/>
        <w:ind w:left="-284" w:right="-234"/>
        <w:jc w:val="both"/>
        <w:rPr>
          <w:rFonts w:ascii="Arial" w:hAnsi="Arial" w:cs="Arial"/>
          <w:sz w:val="24"/>
          <w:szCs w:val="24"/>
        </w:rPr>
      </w:pPr>
    </w:p>
    <w:p w14:paraId="3F533BFF" w14:textId="77777777" w:rsidR="006621BE" w:rsidRPr="008258FA" w:rsidRDefault="006621BE" w:rsidP="007B2C75">
      <w:pPr>
        <w:pStyle w:val="Textoindependiente"/>
        <w:ind w:left="-284" w:right="-234"/>
        <w:jc w:val="both"/>
        <w:rPr>
          <w:rFonts w:ascii="Arial" w:hAnsi="Arial" w:cs="Arial"/>
          <w:sz w:val="24"/>
          <w:szCs w:val="24"/>
        </w:rPr>
      </w:pPr>
      <w:r w:rsidRPr="008258FA">
        <w:rPr>
          <w:rFonts w:ascii="Arial" w:hAnsi="Arial" w:cs="Arial"/>
          <w:sz w:val="24"/>
          <w:szCs w:val="24"/>
        </w:rPr>
        <w:t>El Sistema de Información Financiera SIIF Nación II en la actualidad no ha culminado el desarrollo de los negocios de nómina y activos fijos, por lo tanto, la AUNAP cuenta con el software denominado QUICK DATA ERP como sistema auxiliar del proceso contable, garantizando confiabilidad y oportunidad en la información correspondiente de las cuentas contables que afecta la propiedad planta y equipo, cargos diferidos, activos intangibles y nómina.</w:t>
      </w:r>
    </w:p>
    <w:p w14:paraId="77318385" w14:textId="77777777" w:rsidR="006621BE" w:rsidRDefault="006621BE" w:rsidP="007B2C75">
      <w:pPr>
        <w:ind w:left="-284" w:right="-234"/>
        <w:jc w:val="both"/>
        <w:rPr>
          <w:rFonts w:ascii="Arial" w:hAnsi="Arial" w:cs="Arial"/>
          <w:b/>
          <w:sz w:val="24"/>
          <w:szCs w:val="24"/>
        </w:rPr>
      </w:pPr>
    </w:p>
    <w:p w14:paraId="418F7602" w14:textId="77777777" w:rsidR="006621BE" w:rsidRPr="00FB36DC" w:rsidRDefault="006621BE" w:rsidP="007B2C75">
      <w:pPr>
        <w:ind w:left="-284" w:right="-234"/>
        <w:jc w:val="both"/>
        <w:rPr>
          <w:rFonts w:ascii="Arial" w:hAnsi="Arial" w:cs="Arial"/>
          <w:b/>
          <w:sz w:val="32"/>
          <w:szCs w:val="32"/>
        </w:rPr>
      </w:pPr>
      <w:r w:rsidRPr="00FB36DC">
        <w:rPr>
          <w:rFonts w:ascii="Arial" w:hAnsi="Arial" w:cs="Arial"/>
          <w:b/>
          <w:sz w:val="28"/>
          <w:szCs w:val="28"/>
          <w:lang w:val="es-MX"/>
        </w:rPr>
        <w:t xml:space="preserve">46.- </w:t>
      </w:r>
      <w:r w:rsidRPr="00FB36DC">
        <w:rPr>
          <w:rFonts w:ascii="Arial" w:hAnsi="Arial" w:cs="Arial"/>
          <w:b/>
          <w:sz w:val="28"/>
          <w:szCs w:val="28"/>
        </w:rPr>
        <w:t>MINISTERIO DE TECNOLOGÍAS DE LA INFORMACIÓN Y LAS COMUNICACIONES – MINTIC.</w:t>
      </w:r>
    </w:p>
    <w:p w14:paraId="37AF0BC2" w14:textId="77777777" w:rsidR="006621BE" w:rsidRDefault="006621BE" w:rsidP="007B2C75">
      <w:pPr>
        <w:ind w:left="-284" w:right="-234"/>
        <w:jc w:val="both"/>
        <w:rPr>
          <w:rFonts w:ascii="Arial" w:hAnsi="Arial" w:cs="Arial"/>
          <w:b/>
          <w:sz w:val="24"/>
          <w:szCs w:val="24"/>
        </w:rPr>
      </w:pPr>
    </w:p>
    <w:p w14:paraId="5162F3EE" w14:textId="77777777" w:rsidR="006621BE" w:rsidRPr="000D232B" w:rsidRDefault="006621BE" w:rsidP="007B2C75">
      <w:pPr>
        <w:pStyle w:val="Prrafodelista"/>
        <w:tabs>
          <w:tab w:val="left" w:pos="875"/>
        </w:tabs>
        <w:ind w:left="-284" w:right="-234"/>
        <w:jc w:val="both"/>
        <w:rPr>
          <w:rFonts w:ascii="Arial" w:hAnsi="Arial" w:cs="Arial"/>
          <w:b/>
          <w:sz w:val="24"/>
          <w:szCs w:val="24"/>
        </w:rPr>
      </w:pPr>
      <w:r w:rsidRPr="000D232B">
        <w:rPr>
          <w:rFonts w:ascii="Arial" w:hAnsi="Arial" w:cs="Arial"/>
          <w:b/>
          <w:sz w:val="24"/>
          <w:szCs w:val="24"/>
        </w:rPr>
        <w:t xml:space="preserve">LA ENTIDAD INFORMA: </w:t>
      </w:r>
      <w:r w:rsidRPr="000D232B">
        <w:rPr>
          <w:rFonts w:ascii="Arial" w:hAnsi="Arial" w:cs="Arial"/>
          <w:sz w:val="24"/>
        </w:rPr>
        <w:t>Es importante señalar que la administración y control del Sistema Integrado de Información Financiera SIIF Nación está a cargo del Ministerio de Hacienda y Crédito Público y la parametrización del catálogo general de cuentas contables es responsabilidad de la Contaduría General de la Nación – CGN; las mejoras son de tipo técnico, son situaciones exógenas a las entidades y dependen directamente del Ministerio de Hacienda y Crédito Público; para minimizar los riesgos en la información contable se cuenta con el aplicativo local SEVEN y los Backup que se realizan mensualmente.</w:t>
      </w:r>
    </w:p>
    <w:p w14:paraId="5C34E539" w14:textId="77777777" w:rsidR="006621BE" w:rsidRPr="000D232B" w:rsidRDefault="006621BE" w:rsidP="007B2C75">
      <w:pPr>
        <w:pStyle w:val="Prrafodelista"/>
        <w:tabs>
          <w:tab w:val="left" w:pos="875"/>
        </w:tabs>
        <w:ind w:left="-142" w:right="-234"/>
        <w:rPr>
          <w:rFonts w:ascii="Arial" w:hAnsi="Arial" w:cs="Arial"/>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D232B" w14:paraId="035E6EAF" w14:textId="77777777" w:rsidTr="007B2C75">
        <w:tc>
          <w:tcPr>
            <w:tcW w:w="993" w:type="dxa"/>
          </w:tcPr>
          <w:p w14:paraId="744AADE5"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N°</w:t>
            </w:r>
          </w:p>
        </w:tc>
        <w:tc>
          <w:tcPr>
            <w:tcW w:w="4253" w:type="dxa"/>
          </w:tcPr>
          <w:p w14:paraId="6FFE237F"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Limitaciones del Sistema SIIF II Nación a 31/12/2024</w:t>
            </w:r>
          </w:p>
          <w:p w14:paraId="03A4C257" w14:textId="77777777" w:rsidR="006621BE" w:rsidRPr="000D232B" w:rsidRDefault="006621BE" w:rsidP="00EF5AF2">
            <w:pPr>
              <w:tabs>
                <w:tab w:val="left" w:pos="875"/>
              </w:tabs>
              <w:ind w:right="-50"/>
              <w:jc w:val="center"/>
              <w:rPr>
                <w:rFonts w:ascii="Arial" w:hAnsi="Arial" w:cs="Arial"/>
                <w:b/>
              </w:rPr>
            </w:pPr>
          </w:p>
        </w:tc>
        <w:tc>
          <w:tcPr>
            <w:tcW w:w="5244" w:type="dxa"/>
          </w:tcPr>
          <w:p w14:paraId="62C0392D"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Descripción de la limitación</w:t>
            </w:r>
          </w:p>
        </w:tc>
      </w:tr>
      <w:tr w:rsidR="006621BE" w:rsidRPr="000D232B" w14:paraId="2237B0D4" w14:textId="77777777" w:rsidTr="007B2C75">
        <w:tc>
          <w:tcPr>
            <w:tcW w:w="993" w:type="dxa"/>
          </w:tcPr>
          <w:p w14:paraId="58C8E24D"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1</w:t>
            </w:r>
          </w:p>
        </w:tc>
        <w:tc>
          <w:tcPr>
            <w:tcW w:w="4253" w:type="dxa"/>
          </w:tcPr>
          <w:p w14:paraId="2D9E7CB0" w14:textId="77777777" w:rsidR="006621BE" w:rsidRPr="000D232B" w:rsidRDefault="006621BE" w:rsidP="00EF5AF2">
            <w:pPr>
              <w:tabs>
                <w:tab w:val="left" w:pos="875"/>
              </w:tabs>
              <w:ind w:right="-50"/>
              <w:jc w:val="both"/>
              <w:rPr>
                <w:rFonts w:ascii="Arial" w:hAnsi="Arial" w:cs="Arial"/>
                <w:b/>
              </w:rPr>
            </w:pPr>
            <w:r w:rsidRPr="000D232B">
              <w:rPr>
                <w:rFonts w:ascii="Arial" w:hAnsi="Arial" w:cs="Arial"/>
                <w:b/>
              </w:rPr>
              <w:t>Administrativas:</w:t>
            </w:r>
          </w:p>
        </w:tc>
        <w:tc>
          <w:tcPr>
            <w:tcW w:w="5244" w:type="dxa"/>
          </w:tcPr>
          <w:p w14:paraId="3422482D" w14:textId="701F7BCC" w:rsidR="006621BE" w:rsidRPr="000D232B" w:rsidRDefault="006621BE" w:rsidP="00EF5AF2">
            <w:pPr>
              <w:tabs>
                <w:tab w:val="left" w:pos="875"/>
              </w:tabs>
              <w:ind w:right="-50"/>
              <w:jc w:val="both"/>
              <w:rPr>
                <w:rFonts w:ascii="Arial" w:hAnsi="Arial" w:cs="Arial"/>
              </w:rPr>
            </w:pPr>
            <w:r w:rsidRPr="000D232B">
              <w:rPr>
                <w:rFonts w:ascii="Arial" w:hAnsi="Arial" w:cs="Arial"/>
              </w:rPr>
              <w:t xml:space="preserve">El tiempo de respuesta a los incidentes que la entidad envía, cuando pasan a nivel 2 o </w:t>
            </w:r>
            <w:r w:rsidR="00770CAC" w:rsidRPr="000D232B">
              <w:rPr>
                <w:rFonts w:ascii="Arial" w:hAnsi="Arial" w:cs="Arial"/>
              </w:rPr>
              <w:t>3 y</w:t>
            </w:r>
            <w:r w:rsidRPr="000D232B">
              <w:rPr>
                <w:rFonts w:ascii="Arial" w:hAnsi="Arial" w:cs="Arial"/>
              </w:rPr>
              <w:t xml:space="preserve"> trasladan a la Contaduría son demorados, retrasando la operatividad en el proceso automático y a veces se presenta que la respuesta no es consecuente con la pregunta.</w:t>
            </w:r>
          </w:p>
        </w:tc>
      </w:tr>
      <w:tr w:rsidR="006621BE" w:rsidRPr="000D232B" w14:paraId="4D5F0F3E" w14:textId="77777777" w:rsidTr="007B2C75">
        <w:tc>
          <w:tcPr>
            <w:tcW w:w="993" w:type="dxa"/>
          </w:tcPr>
          <w:p w14:paraId="4D877D9F"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2</w:t>
            </w:r>
          </w:p>
        </w:tc>
        <w:tc>
          <w:tcPr>
            <w:tcW w:w="4253" w:type="dxa"/>
          </w:tcPr>
          <w:p w14:paraId="61EB16F9" w14:textId="77777777" w:rsidR="006621BE" w:rsidRPr="000D232B" w:rsidRDefault="006621BE" w:rsidP="00EF5AF2">
            <w:pPr>
              <w:tabs>
                <w:tab w:val="left" w:pos="875"/>
              </w:tabs>
              <w:ind w:right="-50"/>
              <w:jc w:val="both"/>
              <w:rPr>
                <w:rFonts w:ascii="Arial" w:hAnsi="Arial" w:cs="Arial"/>
                <w:b/>
              </w:rPr>
            </w:pPr>
            <w:r w:rsidRPr="000D232B">
              <w:rPr>
                <w:rFonts w:ascii="Arial" w:hAnsi="Arial" w:cs="Arial"/>
                <w:b/>
              </w:rPr>
              <w:t>Técnicas:</w:t>
            </w:r>
          </w:p>
        </w:tc>
        <w:tc>
          <w:tcPr>
            <w:tcW w:w="5244" w:type="dxa"/>
          </w:tcPr>
          <w:p w14:paraId="12DD42F9" w14:textId="77777777" w:rsidR="006621BE" w:rsidRPr="000D232B" w:rsidRDefault="006621BE" w:rsidP="00EF5AF2">
            <w:pPr>
              <w:tabs>
                <w:tab w:val="left" w:pos="875"/>
              </w:tabs>
              <w:ind w:right="-50"/>
              <w:jc w:val="both"/>
              <w:rPr>
                <w:rFonts w:ascii="Arial" w:hAnsi="Arial" w:cs="Arial"/>
              </w:rPr>
            </w:pPr>
            <w:r w:rsidRPr="000D232B">
              <w:rPr>
                <w:rFonts w:ascii="Arial" w:hAnsi="Arial" w:cs="Arial"/>
              </w:rPr>
              <w:t>No hay interoperatividad con los sistemas de información locales que tenemos en la entidad, esto genera manualidad al migrar la información que se genera en los diferentes módulos del sistema.</w:t>
            </w:r>
          </w:p>
        </w:tc>
      </w:tr>
      <w:tr w:rsidR="006621BE" w:rsidRPr="000D232B" w14:paraId="1B8F1E0F" w14:textId="77777777" w:rsidTr="007B2C75">
        <w:tc>
          <w:tcPr>
            <w:tcW w:w="993" w:type="dxa"/>
          </w:tcPr>
          <w:p w14:paraId="52D88D9F"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3</w:t>
            </w:r>
          </w:p>
        </w:tc>
        <w:tc>
          <w:tcPr>
            <w:tcW w:w="4253" w:type="dxa"/>
          </w:tcPr>
          <w:p w14:paraId="58BDED45" w14:textId="77777777" w:rsidR="006621BE" w:rsidRPr="000D232B" w:rsidRDefault="006621BE" w:rsidP="00EF5AF2">
            <w:pPr>
              <w:tabs>
                <w:tab w:val="left" w:pos="875"/>
              </w:tabs>
              <w:ind w:right="-50"/>
              <w:jc w:val="both"/>
              <w:rPr>
                <w:rFonts w:ascii="Arial" w:hAnsi="Arial" w:cs="Arial"/>
                <w:b/>
              </w:rPr>
            </w:pPr>
            <w:r w:rsidRPr="000D232B">
              <w:rPr>
                <w:rFonts w:ascii="Arial" w:hAnsi="Arial" w:cs="Arial"/>
                <w:b/>
              </w:rPr>
              <w:t>Operativas:</w:t>
            </w:r>
          </w:p>
        </w:tc>
        <w:tc>
          <w:tcPr>
            <w:tcW w:w="5244" w:type="dxa"/>
          </w:tcPr>
          <w:p w14:paraId="0944481C" w14:textId="77777777" w:rsidR="006621BE" w:rsidRPr="000D232B" w:rsidRDefault="006621BE" w:rsidP="00EF5AF2">
            <w:pPr>
              <w:tabs>
                <w:tab w:val="left" w:pos="875"/>
              </w:tabs>
              <w:ind w:right="-50"/>
              <w:jc w:val="both"/>
              <w:rPr>
                <w:rFonts w:ascii="Arial" w:hAnsi="Arial" w:cs="Arial"/>
              </w:rPr>
            </w:pPr>
            <w:r w:rsidRPr="000D232B">
              <w:rPr>
                <w:rFonts w:ascii="Arial" w:hAnsi="Arial" w:cs="Arial"/>
              </w:rPr>
              <w:t>Módulos que todavía no están integrados al proceso contable como son: Activos fijos e inventarios, Cartera e Ingresos, Conciliaciones Bancarias, Libro de Bancos.</w:t>
            </w:r>
          </w:p>
        </w:tc>
      </w:tr>
      <w:tr w:rsidR="006621BE" w:rsidRPr="000D232B" w14:paraId="71F47B07" w14:textId="77777777" w:rsidTr="007B2C75">
        <w:tc>
          <w:tcPr>
            <w:tcW w:w="993" w:type="dxa"/>
          </w:tcPr>
          <w:p w14:paraId="5C80EEA7" w14:textId="77777777" w:rsidR="006621BE" w:rsidRPr="000D232B" w:rsidRDefault="006621BE" w:rsidP="00EF5AF2">
            <w:pPr>
              <w:tabs>
                <w:tab w:val="left" w:pos="875"/>
              </w:tabs>
              <w:ind w:right="-50"/>
              <w:jc w:val="center"/>
              <w:rPr>
                <w:rFonts w:ascii="Arial" w:hAnsi="Arial" w:cs="Arial"/>
                <w:b/>
              </w:rPr>
            </w:pPr>
            <w:r w:rsidRPr="000D232B">
              <w:rPr>
                <w:rFonts w:ascii="Arial" w:hAnsi="Arial" w:cs="Arial"/>
                <w:b/>
              </w:rPr>
              <w:t>4</w:t>
            </w:r>
          </w:p>
        </w:tc>
        <w:tc>
          <w:tcPr>
            <w:tcW w:w="4253" w:type="dxa"/>
          </w:tcPr>
          <w:p w14:paraId="59506844" w14:textId="77777777" w:rsidR="006621BE" w:rsidRPr="000D232B" w:rsidRDefault="006621BE" w:rsidP="00EF5AF2">
            <w:pPr>
              <w:tabs>
                <w:tab w:val="left" w:pos="875"/>
              </w:tabs>
              <w:ind w:right="-50"/>
              <w:jc w:val="both"/>
              <w:rPr>
                <w:rFonts w:ascii="Arial" w:hAnsi="Arial" w:cs="Arial"/>
                <w:b/>
              </w:rPr>
            </w:pPr>
            <w:r w:rsidRPr="000D232B">
              <w:rPr>
                <w:rFonts w:ascii="Arial" w:hAnsi="Arial" w:cs="Arial"/>
                <w:b/>
              </w:rPr>
              <w:t>Soporte a la plataforma:</w:t>
            </w:r>
          </w:p>
        </w:tc>
        <w:tc>
          <w:tcPr>
            <w:tcW w:w="5244" w:type="dxa"/>
          </w:tcPr>
          <w:p w14:paraId="7CBCCC3F" w14:textId="77777777" w:rsidR="006621BE" w:rsidRPr="000D232B" w:rsidRDefault="006621BE" w:rsidP="00EF5AF2">
            <w:pPr>
              <w:tabs>
                <w:tab w:val="left" w:pos="875"/>
              </w:tabs>
              <w:ind w:right="-50"/>
              <w:jc w:val="both"/>
              <w:rPr>
                <w:rFonts w:ascii="Arial" w:hAnsi="Arial" w:cs="Arial"/>
              </w:rPr>
            </w:pPr>
            <w:r w:rsidRPr="000D232B">
              <w:rPr>
                <w:rFonts w:ascii="Arial" w:hAnsi="Arial" w:cs="Arial"/>
              </w:rPr>
              <w:t>Quien da soporte a la plataforma es el administrador del SIIF Nación en el Ministerio de Hacienda y Crédito Público.</w:t>
            </w:r>
          </w:p>
        </w:tc>
      </w:tr>
    </w:tbl>
    <w:p w14:paraId="4B20BC58" w14:textId="77777777" w:rsidR="006621BE" w:rsidRPr="000D232B" w:rsidRDefault="006621BE" w:rsidP="006621BE">
      <w:pPr>
        <w:tabs>
          <w:tab w:val="left" w:pos="875"/>
        </w:tabs>
        <w:ind w:left="-142" w:right="-50"/>
        <w:jc w:val="both"/>
        <w:rPr>
          <w:rFonts w:ascii="Arial" w:hAnsi="Arial" w:cs="Arial"/>
          <w:sz w:val="24"/>
        </w:rPr>
      </w:pPr>
    </w:p>
    <w:p w14:paraId="41E65F19" w14:textId="77777777" w:rsidR="006621BE" w:rsidRPr="000D232B" w:rsidRDefault="006621BE" w:rsidP="007B2C75">
      <w:pPr>
        <w:tabs>
          <w:tab w:val="left" w:pos="875"/>
        </w:tabs>
        <w:ind w:left="-284" w:right="-234"/>
        <w:jc w:val="both"/>
        <w:rPr>
          <w:rFonts w:ascii="Arial" w:hAnsi="Arial" w:cs="Arial"/>
          <w:sz w:val="24"/>
        </w:rPr>
      </w:pPr>
      <w:r w:rsidRPr="000D232B">
        <w:rPr>
          <w:rFonts w:ascii="Arial" w:hAnsi="Arial" w:cs="Arial"/>
          <w:sz w:val="24"/>
        </w:rPr>
        <w:t xml:space="preserve">El Ministerio de Hacienda y Crédito Público adelantó mesas de trabajo con las entidades en los procesos de nómina, ingresos y propiedad, planta y equipo para desarrollar estas funcionalidades acorde al levantamiento de información de los procesos y procedimientos que se tienen al interior de las entidades y a sus necesidades; no obstante, en reunión reciente con Minhacienda para ver la funcionalidad del módulo de Derechos y Cartera, se concluye que, en razón a que no se factura electrónicamente y su recaudo se realiza bajo el concepto de “Precio Público”, no aplica el uso del módulo DyC del sistema SIIF para el Ministerio ni el Fondo Único de TIC; mientras se desarrollan los módulos en el SIIF Nación, se dispone del aplicativo local SEVEN, donde se lleva el control administrativo de forma detallada: Conciliaciones Bancarias, Recaudo, Cartera, Inventarios, PPYE </w:t>
      </w:r>
      <w:r w:rsidRPr="000D232B">
        <w:rPr>
          <w:rFonts w:ascii="Arial" w:hAnsi="Arial" w:cs="Arial"/>
          <w:sz w:val="24"/>
        </w:rPr>
        <w:lastRenderedPageBreak/>
        <w:t>e Intangibles, Nómina.</w:t>
      </w:r>
    </w:p>
    <w:p w14:paraId="3DDB27D6" w14:textId="77777777" w:rsidR="006621BE" w:rsidRPr="000D232B" w:rsidRDefault="006621BE" w:rsidP="007B2C75">
      <w:pPr>
        <w:tabs>
          <w:tab w:val="left" w:pos="875"/>
        </w:tabs>
        <w:ind w:left="-284" w:right="-234"/>
        <w:jc w:val="both"/>
        <w:rPr>
          <w:rFonts w:ascii="Arial" w:hAnsi="Arial" w:cs="Arial"/>
          <w:sz w:val="24"/>
        </w:rPr>
      </w:pPr>
    </w:p>
    <w:p w14:paraId="1B9409D9" w14:textId="77777777" w:rsidR="006621BE" w:rsidRPr="000D232B" w:rsidRDefault="006621BE" w:rsidP="007B2C75">
      <w:pPr>
        <w:tabs>
          <w:tab w:val="left" w:pos="875"/>
        </w:tabs>
        <w:ind w:left="-284" w:right="-234"/>
        <w:jc w:val="both"/>
        <w:rPr>
          <w:rFonts w:ascii="Arial" w:hAnsi="Arial" w:cs="Arial"/>
          <w:sz w:val="24"/>
        </w:rPr>
      </w:pPr>
      <w:r w:rsidRPr="000D232B">
        <w:rPr>
          <w:rFonts w:ascii="Arial" w:hAnsi="Arial" w:cs="Arial"/>
          <w:sz w:val="24"/>
        </w:rPr>
        <w:t>De otra parte, se limita el análisis de información financiera y contable, al generar el reporte por tercero que es por máximo de tres meses y el movimiento por detalle lo saca por cada cuenta en una hoja Excel, teniendo que consolidarse la información manualmente, dificultando ver la traza de cualquier transacción y demanda más tiempo para generar los reportes.</w:t>
      </w:r>
    </w:p>
    <w:p w14:paraId="194A79CA" w14:textId="77777777" w:rsidR="006621BE" w:rsidRPr="000D232B" w:rsidRDefault="006621BE" w:rsidP="007B2C75">
      <w:pPr>
        <w:tabs>
          <w:tab w:val="left" w:pos="875"/>
        </w:tabs>
        <w:ind w:right="-234"/>
        <w:jc w:val="both"/>
        <w:rPr>
          <w:rFonts w:ascii="Arial" w:hAnsi="Arial" w:cs="Arial"/>
          <w:sz w:val="24"/>
        </w:rPr>
      </w:pPr>
    </w:p>
    <w:p w14:paraId="592EF773" w14:textId="77777777" w:rsidR="006621BE" w:rsidRPr="000D232B" w:rsidRDefault="006621BE" w:rsidP="007B2C75">
      <w:pPr>
        <w:tabs>
          <w:tab w:val="left" w:pos="875"/>
        </w:tabs>
        <w:ind w:left="-284" w:right="-234"/>
        <w:jc w:val="both"/>
        <w:rPr>
          <w:rFonts w:ascii="Arial" w:hAnsi="Arial" w:cs="Arial"/>
          <w:sz w:val="24"/>
        </w:rPr>
      </w:pPr>
      <w:r w:rsidRPr="000D232B">
        <w:rPr>
          <w:rFonts w:ascii="Arial" w:hAnsi="Arial" w:cs="Arial"/>
          <w:sz w:val="24"/>
        </w:rPr>
        <w:t>Cuando se presentan fallas y/o inconsistencias en el aplicativo, la Administración del SIIF Nación, informa de la misma a las entidades o se registra un incidente, que dependiendo de la complejidad en la respuesta, lo pueden llevar a los diferentes niveles que tienen dispuesto para dar solución a las mismas y cuando se presenta por parametrización de rubros presupuestales asociados a las cuentas contables lo elevan a la Contaduría General de la Nación, demorando a veces el proceso normal que tienen las entidades en la gestión y ejecución de sus propias actividades.</w:t>
      </w:r>
    </w:p>
    <w:p w14:paraId="79D7D209" w14:textId="77777777" w:rsidR="006621BE" w:rsidRDefault="006621BE" w:rsidP="007B2C75">
      <w:pPr>
        <w:ind w:left="-284" w:right="-234"/>
        <w:jc w:val="both"/>
        <w:rPr>
          <w:rFonts w:ascii="Arial" w:hAnsi="Arial" w:cs="Arial"/>
          <w:b/>
          <w:sz w:val="24"/>
          <w:szCs w:val="24"/>
        </w:rPr>
      </w:pPr>
    </w:p>
    <w:p w14:paraId="67A1AC9C" w14:textId="77777777" w:rsidR="006621BE" w:rsidRPr="009D31F5" w:rsidRDefault="006621BE" w:rsidP="007B2C75">
      <w:pPr>
        <w:ind w:left="-284" w:right="-234"/>
        <w:jc w:val="both"/>
        <w:rPr>
          <w:rFonts w:ascii="Arial" w:hAnsi="Arial" w:cs="Arial"/>
          <w:b/>
          <w:sz w:val="28"/>
          <w:szCs w:val="28"/>
          <w:lang w:val="es-MX"/>
        </w:rPr>
      </w:pPr>
      <w:r w:rsidRPr="009D31F5">
        <w:rPr>
          <w:rFonts w:ascii="Arial" w:hAnsi="Arial" w:cs="Arial"/>
          <w:b/>
          <w:sz w:val="28"/>
          <w:szCs w:val="28"/>
          <w:lang w:val="es-MX"/>
        </w:rPr>
        <w:t>52.- CLUB MILITAR DE OFICIALES.</w:t>
      </w:r>
    </w:p>
    <w:p w14:paraId="4067DAED" w14:textId="77777777" w:rsidR="006621BE" w:rsidRPr="00B315BB" w:rsidRDefault="006621BE" w:rsidP="006621BE">
      <w:pPr>
        <w:pStyle w:val="Prrafodelista"/>
        <w:tabs>
          <w:tab w:val="left" w:pos="875"/>
        </w:tabs>
        <w:ind w:left="-142" w:right="-50"/>
        <w:rPr>
          <w:rFonts w:ascii="Arial" w:hAnsi="Arial" w:cs="Arial"/>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B315BB" w14:paraId="57DB8EDA" w14:textId="77777777" w:rsidTr="007B2C75">
        <w:tc>
          <w:tcPr>
            <w:tcW w:w="993" w:type="dxa"/>
          </w:tcPr>
          <w:p w14:paraId="6B469268" w14:textId="77777777" w:rsidR="006621BE" w:rsidRPr="00B315BB" w:rsidRDefault="006621BE" w:rsidP="00EF5AF2">
            <w:pPr>
              <w:tabs>
                <w:tab w:val="left" w:pos="875"/>
              </w:tabs>
              <w:ind w:right="-50"/>
              <w:jc w:val="center"/>
              <w:rPr>
                <w:rFonts w:ascii="Arial" w:hAnsi="Arial" w:cs="Arial"/>
                <w:b/>
              </w:rPr>
            </w:pPr>
            <w:r w:rsidRPr="00B315BB">
              <w:rPr>
                <w:rFonts w:ascii="Arial" w:hAnsi="Arial" w:cs="Arial"/>
                <w:b/>
              </w:rPr>
              <w:t>N°</w:t>
            </w:r>
          </w:p>
        </w:tc>
        <w:tc>
          <w:tcPr>
            <w:tcW w:w="4253" w:type="dxa"/>
          </w:tcPr>
          <w:p w14:paraId="0D6B9798" w14:textId="77777777" w:rsidR="006621BE" w:rsidRPr="00B315BB" w:rsidRDefault="006621BE" w:rsidP="00EF5AF2">
            <w:pPr>
              <w:tabs>
                <w:tab w:val="left" w:pos="875"/>
              </w:tabs>
              <w:ind w:right="-50"/>
              <w:jc w:val="center"/>
              <w:rPr>
                <w:rFonts w:ascii="Arial" w:hAnsi="Arial" w:cs="Arial"/>
                <w:b/>
              </w:rPr>
            </w:pPr>
            <w:r w:rsidRPr="00B315BB">
              <w:rPr>
                <w:rFonts w:ascii="Arial" w:hAnsi="Arial" w:cs="Arial"/>
                <w:b/>
              </w:rPr>
              <w:t>Limitaciones del Sistema SIIF II Nación a 31/12/2024</w:t>
            </w:r>
          </w:p>
          <w:p w14:paraId="73A366C6" w14:textId="77777777" w:rsidR="006621BE" w:rsidRPr="00B315BB" w:rsidRDefault="006621BE" w:rsidP="00EF5AF2">
            <w:pPr>
              <w:tabs>
                <w:tab w:val="left" w:pos="875"/>
              </w:tabs>
              <w:ind w:right="-50"/>
              <w:jc w:val="center"/>
              <w:rPr>
                <w:rFonts w:ascii="Arial" w:hAnsi="Arial" w:cs="Arial"/>
                <w:b/>
              </w:rPr>
            </w:pPr>
          </w:p>
        </w:tc>
        <w:tc>
          <w:tcPr>
            <w:tcW w:w="5244" w:type="dxa"/>
          </w:tcPr>
          <w:p w14:paraId="5EAAC1D9" w14:textId="77777777" w:rsidR="006621BE" w:rsidRPr="00B315BB" w:rsidRDefault="006621BE" w:rsidP="00EF5AF2">
            <w:pPr>
              <w:tabs>
                <w:tab w:val="left" w:pos="875"/>
              </w:tabs>
              <w:ind w:right="-50"/>
              <w:jc w:val="center"/>
              <w:rPr>
                <w:rFonts w:ascii="Arial" w:hAnsi="Arial" w:cs="Arial"/>
                <w:b/>
              </w:rPr>
            </w:pPr>
            <w:r w:rsidRPr="00B315BB">
              <w:rPr>
                <w:rFonts w:ascii="Arial" w:hAnsi="Arial" w:cs="Arial"/>
                <w:b/>
              </w:rPr>
              <w:t>Descripción de la limitación</w:t>
            </w:r>
          </w:p>
        </w:tc>
      </w:tr>
      <w:tr w:rsidR="006621BE" w:rsidRPr="00B315BB" w14:paraId="359DD895" w14:textId="77777777" w:rsidTr="007B2C75">
        <w:tc>
          <w:tcPr>
            <w:tcW w:w="993" w:type="dxa"/>
          </w:tcPr>
          <w:p w14:paraId="1D04260D" w14:textId="77777777" w:rsidR="006621BE" w:rsidRPr="00B315BB" w:rsidRDefault="006621BE" w:rsidP="00EF5AF2">
            <w:pPr>
              <w:tabs>
                <w:tab w:val="left" w:pos="875"/>
              </w:tabs>
              <w:ind w:right="-50"/>
              <w:jc w:val="center"/>
              <w:rPr>
                <w:rFonts w:ascii="Arial" w:hAnsi="Arial" w:cs="Arial"/>
                <w:b/>
              </w:rPr>
            </w:pPr>
            <w:r w:rsidRPr="00B315BB">
              <w:rPr>
                <w:rFonts w:ascii="Arial" w:hAnsi="Arial" w:cs="Arial"/>
                <w:b/>
              </w:rPr>
              <w:t>1</w:t>
            </w:r>
          </w:p>
        </w:tc>
        <w:tc>
          <w:tcPr>
            <w:tcW w:w="4253" w:type="dxa"/>
          </w:tcPr>
          <w:p w14:paraId="433486EE" w14:textId="77777777" w:rsidR="006621BE" w:rsidRPr="00B315BB" w:rsidRDefault="006621BE" w:rsidP="00EF5AF2">
            <w:pPr>
              <w:tabs>
                <w:tab w:val="left" w:pos="875"/>
              </w:tabs>
              <w:ind w:right="-50"/>
              <w:jc w:val="both"/>
              <w:rPr>
                <w:rFonts w:ascii="Arial" w:hAnsi="Arial" w:cs="Arial"/>
                <w:b/>
              </w:rPr>
            </w:pPr>
            <w:r w:rsidRPr="00B315BB">
              <w:rPr>
                <w:rFonts w:ascii="Arial" w:hAnsi="Arial" w:cs="Arial"/>
                <w:b/>
              </w:rPr>
              <w:t>Administrativas:</w:t>
            </w:r>
          </w:p>
        </w:tc>
        <w:tc>
          <w:tcPr>
            <w:tcW w:w="5244" w:type="dxa"/>
            <w:vMerge w:val="restart"/>
          </w:tcPr>
          <w:p w14:paraId="512939DE" w14:textId="77777777" w:rsidR="006621BE" w:rsidRPr="00B315BB" w:rsidRDefault="006621BE" w:rsidP="00EF5AF2">
            <w:pPr>
              <w:tabs>
                <w:tab w:val="left" w:pos="875"/>
              </w:tabs>
              <w:ind w:right="-50"/>
              <w:jc w:val="both"/>
              <w:rPr>
                <w:rFonts w:ascii="Arial" w:hAnsi="Arial" w:cs="Arial"/>
              </w:rPr>
            </w:pPr>
            <w:r w:rsidRPr="00B315BB">
              <w:rPr>
                <w:rFonts w:ascii="Arial" w:hAnsi="Arial" w:cs="Arial"/>
              </w:rPr>
              <w:t>En el transcurso de la vigencia 2024, se presentaron limitaciones técnicas, por diferentes situaciones externas ajenas a la entidad, que ocasionaron la constitución de algunas cuentas por pagar, como reservas presupuestales, teniendo en cuenta las intermitencias en el Sistema SIIF</w:t>
            </w:r>
          </w:p>
        </w:tc>
      </w:tr>
      <w:tr w:rsidR="006621BE" w:rsidRPr="00B315BB" w14:paraId="0F1E77D8" w14:textId="77777777" w:rsidTr="007B2C75">
        <w:tc>
          <w:tcPr>
            <w:tcW w:w="993" w:type="dxa"/>
          </w:tcPr>
          <w:p w14:paraId="038AAB4B" w14:textId="77777777" w:rsidR="006621BE" w:rsidRPr="00B315BB" w:rsidRDefault="006621BE" w:rsidP="00EF5AF2">
            <w:pPr>
              <w:tabs>
                <w:tab w:val="left" w:pos="875"/>
              </w:tabs>
              <w:ind w:right="-50"/>
              <w:jc w:val="center"/>
              <w:rPr>
                <w:rFonts w:ascii="Arial" w:hAnsi="Arial" w:cs="Arial"/>
                <w:b/>
              </w:rPr>
            </w:pPr>
            <w:r w:rsidRPr="00B315BB">
              <w:rPr>
                <w:rFonts w:ascii="Arial" w:hAnsi="Arial" w:cs="Arial"/>
                <w:b/>
              </w:rPr>
              <w:t>2</w:t>
            </w:r>
          </w:p>
        </w:tc>
        <w:tc>
          <w:tcPr>
            <w:tcW w:w="4253" w:type="dxa"/>
          </w:tcPr>
          <w:p w14:paraId="79DA0395" w14:textId="77777777" w:rsidR="006621BE" w:rsidRPr="00B315BB" w:rsidRDefault="006621BE" w:rsidP="00EF5AF2">
            <w:pPr>
              <w:tabs>
                <w:tab w:val="left" w:pos="875"/>
              </w:tabs>
              <w:ind w:right="-50"/>
              <w:jc w:val="both"/>
              <w:rPr>
                <w:rFonts w:ascii="Arial" w:hAnsi="Arial" w:cs="Arial"/>
                <w:b/>
              </w:rPr>
            </w:pPr>
            <w:r w:rsidRPr="00B315BB">
              <w:rPr>
                <w:rFonts w:ascii="Arial" w:hAnsi="Arial" w:cs="Arial"/>
                <w:b/>
              </w:rPr>
              <w:t>Técnicas:</w:t>
            </w:r>
          </w:p>
        </w:tc>
        <w:tc>
          <w:tcPr>
            <w:tcW w:w="5244" w:type="dxa"/>
            <w:vMerge/>
          </w:tcPr>
          <w:p w14:paraId="3BC852D5" w14:textId="77777777" w:rsidR="006621BE" w:rsidRPr="00B315BB" w:rsidRDefault="006621BE" w:rsidP="00EF5AF2">
            <w:pPr>
              <w:tabs>
                <w:tab w:val="left" w:pos="875"/>
              </w:tabs>
              <w:ind w:right="-50"/>
              <w:jc w:val="both"/>
              <w:rPr>
                <w:rFonts w:ascii="Arial" w:hAnsi="Arial" w:cs="Arial"/>
              </w:rPr>
            </w:pPr>
          </w:p>
        </w:tc>
      </w:tr>
      <w:tr w:rsidR="006621BE" w:rsidRPr="00B315BB" w14:paraId="72E0484A" w14:textId="77777777" w:rsidTr="007B2C75">
        <w:tc>
          <w:tcPr>
            <w:tcW w:w="993" w:type="dxa"/>
          </w:tcPr>
          <w:p w14:paraId="1EE8515E" w14:textId="77777777" w:rsidR="006621BE" w:rsidRPr="00B315BB" w:rsidRDefault="006621BE" w:rsidP="00EF5AF2">
            <w:pPr>
              <w:tabs>
                <w:tab w:val="left" w:pos="875"/>
              </w:tabs>
              <w:ind w:right="-50"/>
              <w:jc w:val="center"/>
              <w:rPr>
                <w:rFonts w:ascii="Arial" w:hAnsi="Arial" w:cs="Arial"/>
                <w:b/>
              </w:rPr>
            </w:pPr>
            <w:r w:rsidRPr="00B315BB">
              <w:rPr>
                <w:rFonts w:ascii="Arial" w:hAnsi="Arial" w:cs="Arial"/>
                <w:b/>
              </w:rPr>
              <w:t>3</w:t>
            </w:r>
          </w:p>
        </w:tc>
        <w:tc>
          <w:tcPr>
            <w:tcW w:w="4253" w:type="dxa"/>
          </w:tcPr>
          <w:p w14:paraId="518649F4" w14:textId="77777777" w:rsidR="006621BE" w:rsidRPr="00B315BB" w:rsidRDefault="006621BE" w:rsidP="00EF5AF2">
            <w:pPr>
              <w:tabs>
                <w:tab w:val="left" w:pos="875"/>
              </w:tabs>
              <w:ind w:right="-50"/>
              <w:jc w:val="both"/>
              <w:rPr>
                <w:rFonts w:ascii="Arial" w:hAnsi="Arial" w:cs="Arial"/>
                <w:b/>
              </w:rPr>
            </w:pPr>
            <w:r w:rsidRPr="00B315BB">
              <w:rPr>
                <w:rFonts w:ascii="Arial" w:hAnsi="Arial" w:cs="Arial"/>
                <w:b/>
              </w:rPr>
              <w:t>Operativas:</w:t>
            </w:r>
          </w:p>
        </w:tc>
        <w:tc>
          <w:tcPr>
            <w:tcW w:w="5244" w:type="dxa"/>
            <w:vMerge/>
          </w:tcPr>
          <w:p w14:paraId="27D0086F" w14:textId="77777777" w:rsidR="006621BE" w:rsidRPr="00B315BB" w:rsidRDefault="006621BE" w:rsidP="00EF5AF2">
            <w:pPr>
              <w:tabs>
                <w:tab w:val="left" w:pos="875"/>
              </w:tabs>
              <w:ind w:right="-50"/>
              <w:jc w:val="both"/>
              <w:rPr>
                <w:rFonts w:ascii="Arial" w:hAnsi="Arial" w:cs="Arial"/>
              </w:rPr>
            </w:pPr>
          </w:p>
        </w:tc>
      </w:tr>
    </w:tbl>
    <w:p w14:paraId="2142210B" w14:textId="77777777" w:rsidR="006621BE" w:rsidRPr="00B315BB" w:rsidRDefault="006621BE" w:rsidP="006621BE">
      <w:pPr>
        <w:tabs>
          <w:tab w:val="left" w:pos="875"/>
        </w:tabs>
        <w:ind w:left="-142" w:right="-50"/>
        <w:jc w:val="both"/>
        <w:rPr>
          <w:rFonts w:ascii="Arial" w:hAnsi="Arial" w:cs="Arial"/>
          <w:sz w:val="24"/>
        </w:rPr>
      </w:pPr>
    </w:p>
    <w:p w14:paraId="00FA54AD" w14:textId="77777777" w:rsidR="006621BE" w:rsidRPr="00B315BB" w:rsidRDefault="006621BE" w:rsidP="006621BE">
      <w:pPr>
        <w:pStyle w:val="Textoindependiente"/>
        <w:ind w:left="-284" w:right="-50"/>
        <w:jc w:val="both"/>
        <w:rPr>
          <w:rFonts w:ascii="Arial" w:hAnsi="Arial" w:cs="Arial"/>
          <w:b/>
          <w:sz w:val="24"/>
          <w:szCs w:val="24"/>
        </w:rPr>
      </w:pPr>
      <w:r w:rsidRPr="00B315BB">
        <w:rPr>
          <w:rFonts w:ascii="Arial" w:hAnsi="Arial" w:cs="Arial"/>
          <w:b/>
          <w:sz w:val="24"/>
          <w:szCs w:val="24"/>
        </w:rPr>
        <w:t>De las Notas a los Estados financieros retomamos lo siguiente:</w:t>
      </w:r>
    </w:p>
    <w:p w14:paraId="1E8F34BC" w14:textId="77777777" w:rsidR="006621BE" w:rsidRPr="00B315BB" w:rsidRDefault="006621BE" w:rsidP="006621BE">
      <w:pPr>
        <w:pStyle w:val="Textoindependiente"/>
        <w:ind w:left="-284" w:right="-50"/>
        <w:jc w:val="both"/>
        <w:rPr>
          <w:rFonts w:ascii="Arial" w:hAnsi="Arial" w:cs="Arial"/>
          <w:b/>
          <w:sz w:val="24"/>
          <w:szCs w:val="24"/>
        </w:rPr>
      </w:pPr>
    </w:p>
    <w:p w14:paraId="76E6D980" w14:textId="77777777" w:rsidR="006621BE" w:rsidRPr="00B315BB" w:rsidRDefault="006621BE" w:rsidP="007B2C75">
      <w:pPr>
        <w:pStyle w:val="Textoindependiente"/>
        <w:ind w:left="-284" w:right="-234"/>
        <w:jc w:val="both"/>
        <w:rPr>
          <w:rFonts w:ascii="Arial" w:hAnsi="Arial" w:cs="Arial"/>
          <w:sz w:val="24"/>
          <w:szCs w:val="24"/>
        </w:rPr>
      </w:pPr>
      <w:r w:rsidRPr="00B315BB">
        <w:rPr>
          <w:rFonts w:ascii="Arial" w:hAnsi="Arial" w:cs="Arial"/>
          <w:b/>
          <w:sz w:val="24"/>
          <w:szCs w:val="24"/>
        </w:rPr>
        <w:t xml:space="preserve">Limitaciones: </w:t>
      </w:r>
      <w:r w:rsidRPr="00B315BB">
        <w:rPr>
          <w:rFonts w:ascii="Arial" w:hAnsi="Arial" w:cs="Arial"/>
          <w:sz w:val="24"/>
          <w:szCs w:val="24"/>
        </w:rPr>
        <w:t>El Club Militar cuenta con un Sistema de Información Administrativo, Operativo, Financiero y de Recurso Humano ERP SEVEN y KACTUS como herramienta de apoyo para la gestión de la operación comercial, administrativa, financiera y de talento humano. Este sistema no cuenta con interfaz alguna que integre la información generada con el Sistema Integrado de Información Financiera – SIIF, por tal razón se deben realizar registros contables manuales, ya que éstos proveen información de ingresos, cartera, inventarios, elementos de propiedades, planta y equipo, cuentas por pagar, nómina, pasivos pensionales, provisiones y litigios y demás operaciones inherentes al objeto social y misional de la entidad.</w:t>
      </w:r>
    </w:p>
    <w:p w14:paraId="1132FA9A" w14:textId="77777777" w:rsidR="006621BE" w:rsidRPr="00B315BB" w:rsidRDefault="006621BE" w:rsidP="007B2C75">
      <w:pPr>
        <w:pStyle w:val="Textoindependiente"/>
        <w:ind w:left="-284" w:right="-234"/>
        <w:jc w:val="both"/>
        <w:rPr>
          <w:rFonts w:ascii="Arial" w:hAnsi="Arial" w:cs="Arial"/>
          <w:b/>
          <w:sz w:val="24"/>
          <w:szCs w:val="24"/>
        </w:rPr>
      </w:pPr>
    </w:p>
    <w:p w14:paraId="6BC4A1D0" w14:textId="77777777" w:rsidR="006621BE" w:rsidRPr="00B315BB" w:rsidRDefault="006621BE" w:rsidP="007B2C75">
      <w:pPr>
        <w:pStyle w:val="Textoindependiente"/>
        <w:ind w:left="-284" w:right="-234"/>
        <w:jc w:val="both"/>
        <w:rPr>
          <w:rFonts w:ascii="Arial" w:hAnsi="Arial" w:cs="Arial"/>
          <w:bCs/>
          <w:sz w:val="24"/>
          <w:szCs w:val="24"/>
        </w:rPr>
      </w:pPr>
      <w:r w:rsidRPr="00B315BB">
        <w:rPr>
          <w:rFonts w:ascii="Arial" w:hAnsi="Arial" w:cs="Arial"/>
          <w:bCs/>
          <w:sz w:val="24"/>
          <w:szCs w:val="24"/>
        </w:rPr>
        <w:t>A través de la Circular Externa 042 del 26 de diciembre de 2023, SIIF Nación informa que a partir del 1 de enero de 2024, el proceso de emisión y recepción de factura electrónica de venta, cambia su modo de operación y pasa de “Proveedor tecnológico” a “Software propio”, es decir, que a partir de ésta fecha todo el proceso de generación, transmisión, validación, expedición y recepción de facturas electrónicas de venta, notas débito, notas crédito y demás instrumentos electrónicos que se deriven de la factura electrónica de venta con validación previa a su expedición pasará a ser asumido en su totalidad por el SIIF Nación, por lo que todas las entidades que hacen parte del PGN usuarias de SIIF Nación, deben migrar hacia el nuevo mecanismo de emisión de documentos electrónicos.</w:t>
      </w:r>
    </w:p>
    <w:p w14:paraId="7180876B" w14:textId="77777777" w:rsidR="006621BE" w:rsidRPr="00B315BB" w:rsidRDefault="006621BE" w:rsidP="006621BE">
      <w:pPr>
        <w:pStyle w:val="Textoindependiente"/>
        <w:ind w:left="-284" w:right="-50"/>
        <w:jc w:val="both"/>
        <w:rPr>
          <w:rFonts w:ascii="Arial" w:hAnsi="Arial" w:cs="Arial"/>
          <w:b/>
          <w:sz w:val="24"/>
          <w:szCs w:val="24"/>
        </w:rPr>
      </w:pPr>
    </w:p>
    <w:p w14:paraId="6AD81293" w14:textId="77777777" w:rsidR="006621BE" w:rsidRPr="00B315BB" w:rsidRDefault="006621BE" w:rsidP="007B2C75">
      <w:pPr>
        <w:pStyle w:val="Textoindependiente"/>
        <w:ind w:left="-284" w:right="-234"/>
        <w:jc w:val="both"/>
        <w:rPr>
          <w:rFonts w:ascii="Arial" w:hAnsi="Arial" w:cs="Arial"/>
          <w:bCs/>
          <w:sz w:val="24"/>
          <w:szCs w:val="24"/>
        </w:rPr>
      </w:pPr>
      <w:r w:rsidRPr="00B315BB">
        <w:rPr>
          <w:rFonts w:ascii="Arial" w:hAnsi="Arial" w:cs="Arial"/>
          <w:bCs/>
          <w:sz w:val="24"/>
          <w:szCs w:val="24"/>
        </w:rPr>
        <w:t>No obstante, con la entrada en vigencia de la Resolución 165 de 2023, modificada por la Resolución 8 del 31 de enero de 2024, el Club Militar inició la emisión de tiquetes POS de manera electrónica a partir del 1 de julio de 2024, por lo que, a partir de esta fecha, todas las ventas son facturadas de manera electrónica a través de los sistemas de facturación POS, instalados en cada punto de venta.</w:t>
      </w:r>
    </w:p>
    <w:p w14:paraId="7E4D713B" w14:textId="77777777" w:rsidR="006621BE" w:rsidRDefault="006621BE" w:rsidP="007B2C75">
      <w:pPr>
        <w:pStyle w:val="Textoindependiente"/>
        <w:ind w:left="-284" w:right="-234"/>
        <w:jc w:val="both"/>
        <w:rPr>
          <w:rFonts w:ascii="Arial" w:hAnsi="Arial" w:cs="Arial"/>
          <w:b/>
          <w:sz w:val="24"/>
          <w:szCs w:val="24"/>
        </w:rPr>
      </w:pPr>
    </w:p>
    <w:p w14:paraId="7BFDF0EC" w14:textId="77777777" w:rsidR="006621BE" w:rsidRPr="009B58CC" w:rsidRDefault="006621BE" w:rsidP="007B2C75">
      <w:pPr>
        <w:ind w:left="-284" w:right="-234"/>
        <w:jc w:val="both"/>
        <w:rPr>
          <w:rFonts w:ascii="Arial" w:hAnsi="Arial" w:cs="Arial"/>
          <w:b/>
          <w:sz w:val="32"/>
          <w:szCs w:val="32"/>
        </w:rPr>
      </w:pPr>
      <w:r w:rsidRPr="009B58CC">
        <w:rPr>
          <w:rFonts w:ascii="Arial" w:hAnsi="Arial" w:cs="Arial"/>
          <w:b/>
          <w:sz w:val="28"/>
          <w:szCs w:val="28"/>
          <w:lang w:val="es-MX"/>
        </w:rPr>
        <w:t xml:space="preserve">59.- </w:t>
      </w:r>
      <w:r w:rsidRPr="009B58CC">
        <w:rPr>
          <w:rFonts w:ascii="Arial" w:hAnsi="Arial" w:cs="Arial"/>
          <w:b/>
          <w:sz w:val="28"/>
          <w:szCs w:val="28"/>
        </w:rPr>
        <w:t>FONDO UNICO DE TECNOLOGÍAS DE LA INFORMACIÓN Y LAS COMUNICACIONES – FUTIC.</w:t>
      </w:r>
    </w:p>
    <w:p w14:paraId="58107DC0" w14:textId="77777777" w:rsidR="006621BE" w:rsidRPr="009B58CC" w:rsidRDefault="006621BE" w:rsidP="007B2C75">
      <w:pPr>
        <w:pStyle w:val="Textoindependiente"/>
        <w:ind w:left="-284" w:right="-234"/>
        <w:jc w:val="both"/>
        <w:rPr>
          <w:rFonts w:ascii="Arial" w:hAnsi="Arial" w:cs="Arial"/>
          <w:b/>
          <w:sz w:val="24"/>
          <w:szCs w:val="24"/>
        </w:rPr>
      </w:pPr>
    </w:p>
    <w:p w14:paraId="0BB51DDF" w14:textId="77777777" w:rsidR="006621BE" w:rsidRPr="009F6104" w:rsidRDefault="006621BE" w:rsidP="007B2C75">
      <w:pPr>
        <w:pStyle w:val="Prrafodelista"/>
        <w:tabs>
          <w:tab w:val="left" w:pos="875"/>
        </w:tabs>
        <w:ind w:left="-284" w:right="-234"/>
        <w:jc w:val="both"/>
        <w:rPr>
          <w:rFonts w:ascii="Arial" w:hAnsi="Arial" w:cs="Arial"/>
          <w:sz w:val="24"/>
          <w:szCs w:val="24"/>
        </w:rPr>
      </w:pPr>
      <w:r w:rsidRPr="009F6104">
        <w:rPr>
          <w:rFonts w:ascii="Arial" w:hAnsi="Arial" w:cs="Arial"/>
          <w:sz w:val="24"/>
          <w:szCs w:val="24"/>
        </w:rPr>
        <w:t>Es importante señalar que la administración y control del Sistema Integrado de Información Financiera SIIF Nación está a cargo del Ministerio de Hacienda y Crédito Público y la parametrización del catálogo general de cuentas contables es responsabilidad de la Contaduría General de la Nación – CGN; las mejoras son de tipo técnico, son situaciones exógenas a las entidades y dependen directamente del Ministerio de Hacienda y Crédito Público; para minimizar los riesgos en la información contable se cuenta con el aplicativo local SEVEN y los Backup que se realizan mensualmente.</w:t>
      </w:r>
    </w:p>
    <w:p w14:paraId="3E47B5CD" w14:textId="77777777" w:rsidR="006621BE" w:rsidRPr="009F6104" w:rsidRDefault="006621BE" w:rsidP="006621BE">
      <w:pPr>
        <w:pStyle w:val="Prrafodelista"/>
        <w:tabs>
          <w:tab w:val="left" w:pos="875"/>
        </w:tabs>
        <w:ind w:left="-142" w:right="-50"/>
        <w:rPr>
          <w:rFonts w:ascii="Arial" w:hAnsi="Arial" w:cs="Arial"/>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F6104" w14:paraId="3CF3BADC" w14:textId="77777777" w:rsidTr="007B2C75">
        <w:tc>
          <w:tcPr>
            <w:tcW w:w="993" w:type="dxa"/>
          </w:tcPr>
          <w:p w14:paraId="60163F61"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N°</w:t>
            </w:r>
          </w:p>
        </w:tc>
        <w:tc>
          <w:tcPr>
            <w:tcW w:w="4253" w:type="dxa"/>
          </w:tcPr>
          <w:p w14:paraId="508A5822"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Limitaciones del Sistema SIIF II Nación a 31/12/2024</w:t>
            </w:r>
          </w:p>
          <w:p w14:paraId="6663FFC5" w14:textId="77777777" w:rsidR="006621BE" w:rsidRPr="009F6104" w:rsidRDefault="006621BE" w:rsidP="00EF5AF2">
            <w:pPr>
              <w:tabs>
                <w:tab w:val="left" w:pos="875"/>
              </w:tabs>
              <w:ind w:right="-50"/>
              <w:jc w:val="center"/>
              <w:rPr>
                <w:rFonts w:ascii="Arial" w:hAnsi="Arial" w:cs="Arial"/>
                <w:b/>
              </w:rPr>
            </w:pPr>
          </w:p>
        </w:tc>
        <w:tc>
          <w:tcPr>
            <w:tcW w:w="5244" w:type="dxa"/>
          </w:tcPr>
          <w:p w14:paraId="2558063B"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Descripción de la limitación</w:t>
            </w:r>
          </w:p>
        </w:tc>
      </w:tr>
      <w:tr w:rsidR="006621BE" w:rsidRPr="009F6104" w14:paraId="08ACC364" w14:textId="77777777" w:rsidTr="007B2C75">
        <w:tc>
          <w:tcPr>
            <w:tcW w:w="993" w:type="dxa"/>
          </w:tcPr>
          <w:p w14:paraId="6D5450F4"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1</w:t>
            </w:r>
          </w:p>
        </w:tc>
        <w:tc>
          <w:tcPr>
            <w:tcW w:w="4253" w:type="dxa"/>
          </w:tcPr>
          <w:p w14:paraId="56B281F9" w14:textId="77777777" w:rsidR="006621BE" w:rsidRPr="009F6104" w:rsidRDefault="006621BE" w:rsidP="00EF5AF2">
            <w:pPr>
              <w:tabs>
                <w:tab w:val="left" w:pos="875"/>
              </w:tabs>
              <w:ind w:right="-50"/>
              <w:jc w:val="both"/>
              <w:rPr>
                <w:rFonts w:ascii="Arial" w:hAnsi="Arial" w:cs="Arial"/>
                <w:b/>
              </w:rPr>
            </w:pPr>
            <w:r w:rsidRPr="009F6104">
              <w:rPr>
                <w:rFonts w:ascii="Arial" w:hAnsi="Arial" w:cs="Arial"/>
                <w:b/>
              </w:rPr>
              <w:t>Administrativas:</w:t>
            </w:r>
          </w:p>
        </w:tc>
        <w:tc>
          <w:tcPr>
            <w:tcW w:w="5244" w:type="dxa"/>
          </w:tcPr>
          <w:p w14:paraId="19310580" w14:textId="77777777" w:rsidR="006621BE" w:rsidRPr="009F6104" w:rsidRDefault="006621BE" w:rsidP="00EF5AF2">
            <w:pPr>
              <w:tabs>
                <w:tab w:val="left" w:pos="875"/>
              </w:tabs>
              <w:ind w:right="-50"/>
              <w:jc w:val="both"/>
              <w:rPr>
                <w:rFonts w:ascii="Arial" w:hAnsi="Arial" w:cs="Arial"/>
              </w:rPr>
            </w:pPr>
            <w:r w:rsidRPr="009F6104">
              <w:rPr>
                <w:rFonts w:ascii="Arial" w:hAnsi="Arial" w:cs="Arial"/>
              </w:rPr>
              <w:t>El tiempo de respuesta a los incidentes que la entidad envía, cuando pasan a nivel 2 o 3 y trasladan a la Contaduría son demorados, retrasando la operatividad en el proceso automático y a veces se presenta que la respuesta no es consecuente con la pregunta.</w:t>
            </w:r>
          </w:p>
        </w:tc>
      </w:tr>
      <w:tr w:rsidR="006621BE" w:rsidRPr="009F6104" w14:paraId="292D409C" w14:textId="77777777" w:rsidTr="007B2C75">
        <w:tc>
          <w:tcPr>
            <w:tcW w:w="993" w:type="dxa"/>
          </w:tcPr>
          <w:p w14:paraId="66D0762B"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2</w:t>
            </w:r>
          </w:p>
        </w:tc>
        <w:tc>
          <w:tcPr>
            <w:tcW w:w="4253" w:type="dxa"/>
          </w:tcPr>
          <w:p w14:paraId="66523B37" w14:textId="77777777" w:rsidR="006621BE" w:rsidRPr="009F6104" w:rsidRDefault="006621BE" w:rsidP="00EF5AF2">
            <w:pPr>
              <w:tabs>
                <w:tab w:val="left" w:pos="875"/>
              </w:tabs>
              <w:ind w:right="-50"/>
              <w:jc w:val="both"/>
              <w:rPr>
                <w:rFonts w:ascii="Arial" w:hAnsi="Arial" w:cs="Arial"/>
                <w:b/>
              </w:rPr>
            </w:pPr>
            <w:r w:rsidRPr="009F6104">
              <w:rPr>
                <w:rFonts w:ascii="Arial" w:hAnsi="Arial" w:cs="Arial"/>
                <w:b/>
              </w:rPr>
              <w:t>Técnicas:</w:t>
            </w:r>
          </w:p>
        </w:tc>
        <w:tc>
          <w:tcPr>
            <w:tcW w:w="5244" w:type="dxa"/>
          </w:tcPr>
          <w:p w14:paraId="7BB6A6E3" w14:textId="77777777" w:rsidR="006621BE" w:rsidRPr="009F6104" w:rsidRDefault="006621BE" w:rsidP="00EF5AF2">
            <w:pPr>
              <w:tabs>
                <w:tab w:val="left" w:pos="875"/>
              </w:tabs>
              <w:ind w:right="-50"/>
              <w:jc w:val="both"/>
              <w:rPr>
                <w:rFonts w:ascii="Arial" w:hAnsi="Arial" w:cs="Arial"/>
              </w:rPr>
            </w:pPr>
            <w:r w:rsidRPr="009F6104">
              <w:rPr>
                <w:rFonts w:ascii="Arial" w:hAnsi="Arial" w:cs="Arial"/>
              </w:rPr>
              <w:t>No hay interoperatividad con los sistemas de información locales que tenemos en la entidad, esto genera manualidad al migrar la información que se genera en los diferentes módulos del sistema.</w:t>
            </w:r>
          </w:p>
        </w:tc>
      </w:tr>
      <w:tr w:rsidR="006621BE" w:rsidRPr="009F6104" w14:paraId="76A579C7" w14:textId="77777777" w:rsidTr="007B2C75">
        <w:tc>
          <w:tcPr>
            <w:tcW w:w="993" w:type="dxa"/>
          </w:tcPr>
          <w:p w14:paraId="48147B1C"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3</w:t>
            </w:r>
          </w:p>
        </w:tc>
        <w:tc>
          <w:tcPr>
            <w:tcW w:w="4253" w:type="dxa"/>
          </w:tcPr>
          <w:p w14:paraId="54C3C43A" w14:textId="77777777" w:rsidR="006621BE" w:rsidRPr="009F6104" w:rsidRDefault="006621BE" w:rsidP="00EF5AF2">
            <w:pPr>
              <w:tabs>
                <w:tab w:val="left" w:pos="875"/>
              </w:tabs>
              <w:ind w:right="-50"/>
              <w:jc w:val="both"/>
              <w:rPr>
                <w:rFonts w:ascii="Arial" w:hAnsi="Arial" w:cs="Arial"/>
                <w:b/>
              </w:rPr>
            </w:pPr>
            <w:r w:rsidRPr="009F6104">
              <w:rPr>
                <w:rFonts w:ascii="Arial" w:hAnsi="Arial" w:cs="Arial"/>
                <w:b/>
              </w:rPr>
              <w:t>Operativas:</w:t>
            </w:r>
          </w:p>
        </w:tc>
        <w:tc>
          <w:tcPr>
            <w:tcW w:w="5244" w:type="dxa"/>
          </w:tcPr>
          <w:p w14:paraId="754BC3DA" w14:textId="77777777" w:rsidR="006621BE" w:rsidRPr="009F6104" w:rsidRDefault="006621BE" w:rsidP="00EF5AF2">
            <w:pPr>
              <w:tabs>
                <w:tab w:val="left" w:pos="875"/>
              </w:tabs>
              <w:ind w:right="-50"/>
              <w:jc w:val="both"/>
              <w:rPr>
                <w:rFonts w:ascii="Arial" w:hAnsi="Arial" w:cs="Arial"/>
              </w:rPr>
            </w:pPr>
            <w:r w:rsidRPr="009F6104">
              <w:rPr>
                <w:rFonts w:ascii="Arial" w:hAnsi="Arial" w:cs="Arial"/>
              </w:rPr>
              <w:t>Módulos que todavía no están integrados al proceso contable como son: Activos fijos e inventarios, Cartera e Ingresos, Conciliaciones Bancarias, Libro de Bancos.</w:t>
            </w:r>
          </w:p>
        </w:tc>
      </w:tr>
      <w:tr w:rsidR="006621BE" w:rsidRPr="009F6104" w14:paraId="18B07894" w14:textId="77777777" w:rsidTr="007B2C75">
        <w:tc>
          <w:tcPr>
            <w:tcW w:w="993" w:type="dxa"/>
          </w:tcPr>
          <w:p w14:paraId="453DC399" w14:textId="77777777" w:rsidR="006621BE" w:rsidRPr="009F6104" w:rsidRDefault="006621BE" w:rsidP="00EF5AF2">
            <w:pPr>
              <w:tabs>
                <w:tab w:val="left" w:pos="875"/>
              </w:tabs>
              <w:ind w:right="-50"/>
              <w:jc w:val="center"/>
              <w:rPr>
                <w:rFonts w:ascii="Arial" w:hAnsi="Arial" w:cs="Arial"/>
                <w:b/>
              </w:rPr>
            </w:pPr>
            <w:r w:rsidRPr="009F6104">
              <w:rPr>
                <w:rFonts w:ascii="Arial" w:hAnsi="Arial" w:cs="Arial"/>
                <w:b/>
              </w:rPr>
              <w:t>4</w:t>
            </w:r>
          </w:p>
        </w:tc>
        <w:tc>
          <w:tcPr>
            <w:tcW w:w="4253" w:type="dxa"/>
          </w:tcPr>
          <w:p w14:paraId="6D85AB9B" w14:textId="77777777" w:rsidR="006621BE" w:rsidRPr="009F6104" w:rsidRDefault="006621BE" w:rsidP="00EF5AF2">
            <w:pPr>
              <w:tabs>
                <w:tab w:val="left" w:pos="875"/>
              </w:tabs>
              <w:ind w:right="-50"/>
              <w:jc w:val="both"/>
              <w:rPr>
                <w:rFonts w:ascii="Arial" w:hAnsi="Arial" w:cs="Arial"/>
                <w:b/>
              </w:rPr>
            </w:pPr>
            <w:r w:rsidRPr="009F6104">
              <w:rPr>
                <w:rFonts w:ascii="Arial" w:hAnsi="Arial" w:cs="Arial"/>
                <w:b/>
              </w:rPr>
              <w:t>Soporte a la plataforma:</w:t>
            </w:r>
          </w:p>
        </w:tc>
        <w:tc>
          <w:tcPr>
            <w:tcW w:w="5244" w:type="dxa"/>
          </w:tcPr>
          <w:p w14:paraId="3C155025" w14:textId="77777777" w:rsidR="006621BE" w:rsidRPr="009F6104" w:rsidRDefault="006621BE" w:rsidP="00EF5AF2">
            <w:pPr>
              <w:tabs>
                <w:tab w:val="left" w:pos="875"/>
              </w:tabs>
              <w:ind w:right="-50"/>
              <w:jc w:val="both"/>
              <w:rPr>
                <w:rFonts w:ascii="Arial" w:hAnsi="Arial" w:cs="Arial"/>
              </w:rPr>
            </w:pPr>
            <w:r w:rsidRPr="009F6104">
              <w:rPr>
                <w:rFonts w:ascii="Arial" w:hAnsi="Arial" w:cs="Arial"/>
              </w:rPr>
              <w:t>Quien da soporte a la plataforma es el administrador del SIIF Nación en el Ministerio de Hacienda y Crédito Público.</w:t>
            </w:r>
          </w:p>
        </w:tc>
      </w:tr>
    </w:tbl>
    <w:p w14:paraId="450E9723" w14:textId="77777777" w:rsidR="006621BE" w:rsidRPr="009F6104" w:rsidRDefault="006621BE" w:rsidP="006621BE">
      <w:pPr>
        <w:tabs>
          <w:tab w:val="left" w:pos="875"/>
        </w:tabs>
        <w:ind w:left="-142" w:right="-50"/>
        <w:jc w:val="both"/>
        <w:rPr>
          <w:rFonts w:ascii="Arial" w:hAnsi="Arial" w:cs="Arial"/>
          <w:sz w:val="24"/>
        </w:rPr>
      </w:pPr>
    </w:p>
    <w:p w14:paraId="5BC8FD98" w14:textId="77777777" w:rsidR="006621BE" w:rsidRPr="009F6104" w:rsidRDefault="006621BE" w:rsidP="007B2C75">
      <w:pPr>
        <w:tabs>
          <w:tab w:val="left" w:pos="875"/>
        </w:tabs>
        <w:ind w:left="-284" w:right="-234"/>
        <w:jc w:val="both"/>
        <w:rPr>
          <w:rFonts w:ascii="Arial" w:hAnsi="Arial" w:cs="Arial"/>
          <w:sz w:val="24"/>
        </w:rPr>
      </w:pPr>
      <w:r w:rsidRPr="009F6104">
        <w:rPr>
          <w:rFonts w:ascii="Arial" w:hAnsi="Arial" w:cs="Arial"/>
          <w:sz w:val="24"/>
        </w:rPr>
        <w:t>El Ministerio de Hacienda y Crédito Público adelantó mesas de trabajo con las entidades en los procesos de nómina, ingresos y propiedad, planta y equipo para desarrollar estas funcionalidades acorde al levantamiento de información de los procesos y procedimientos que se tienen al interior de las entidades y a sus necesidades; no obstante, en reunión reciente con Minhacienda para ver la funcionalidad del módulo de Derechos y Cartera, se concluye que, en razón a que no se factura electrónicamente y su recaudo se realiza bajo el concepto de “Precio Público”, no aplica el uso del módulo DyC del sistema SIIF para el Ministerio ni el Fondo Único de TIC; mientras se desarrollan los módulos en el SIIF Nación, se dispone del aplicativo local SEVEN, donde se lleva el control administrativo de forma detallada: Conciliaciones Bancarias, Recaudo, Cartera, Inventarios, PPYE e Intangibles, Nómina.</w:t>
      </w:r>
    </w:p>
    <w:p w14:paraId="48B58EEE" w14:textId="77777777" w:rsidR="006621BE" w:rsidRPr="009F6104" w:rsidRDefault="006621BE" w:rsidP="007B2C75">
      <w:pPr>
        <w:tabs>
          <w:tab w:val="left" w:pos="875"/>
        </w:tabs>
        <w:ind w:left="-284" w:right="-234"/>
        <w:jc w:val="both"/>
        <w:rPr>
          <w:rFonts w:ascii="Arial" w:hAnsi="Arial" w:cs="Arial"/>
          <w:sz w:val="24"/>
        </w:rPr>
      </w:pPr>
    </w:p>
    <w:p w14:paraId="78390AB6" w14:textId="77777777" w:rsidR="006621BE" w:rsidRPr="009F6104" w:rsidRDefault="006621BE" w:rsidP="007B2C75">
      <w:pPr>
        <w:tabs>
          <w:tab w:val="left" w:pos="875"/>
        </w:tabs>
        <w:ind w:left="-284" w:right="-234"/>
        <w:jc w:val="both"/>
        <w:rPr>
          <w:rFonts w:ascii="Arial" w:hAnsi="Arial" w:cs="Arial"/>
          <w:sz w:val="24"/>
        </w:rPr>
      </w:pPr>
      <w:r w:rsidRPr="009F6104">
        <w:rPr>
          <w:rFonts w:ascii="Arial" w:hAnsi="Arial" w:cs="Arial"/>
          <w:sz w:val="24"/>
        </w:rPr>
        <w:t>De otra parte, se limita el análisis de información financiera y contable, al generar el reporte por tercero que es por máximo de tres meses y el movimiento por detalle lo saca por cada cuenta en una hoja Excel, teniendo que consolidarse la información manualmente, dificultando ver la traza de cualquier transacción y demanda más tiempo para generar los reportes.</w:t>
      </w:r>
    </w:p>
    <w:p w14:paraId="3F5CE88B" w14:textId="77777777" w:rsidR="006621BE" w:rsidRPr="009F6104" w:rsidRDefault="006621BE" w:rsidP="007B2C75">
      <w:pPr>
        <w:tabs>
          <w:tab w:val="left" w:pos="875"/>
        </w:tabs>
        <w:ind w:left="-284" w:right="-234"/>
        <w:jc w:val="both"/>
        <w:rPr>
          <w:rFonts w:ascii="Arial" w:hAnsi="Arial" w:cs="Arial"/>
          <w:sz w:val="24"/>
        </w:rPr>
      </w:pPr>
    </w:p>
    <w:p w14:paraId="6A520338" w14:textId="77777777" w:rsidR="006621BE" w:rsidRPr="009F6104" w:rsidRDefault="006621BE" w:rsidP="007B2C75">
      <w:pPr>
        <w:tabs>
          <w:tab w:val="left" w:pos="875"/>
        </w:tabs>
        <w:ind w:left="-284" w:right="-234"/>
        <w:jc w:val="both"/>
        <w:rPr>
          <w:rFonts w:ascii="Arial" w:hAnsi="Arial" w:cs="Arial"/>
          <w:sz w:val="24"/>
        </w:rPr>
      </w:pPr>
      <w:r w:rsidRPr="009F6104">
        <w:rPr>
          <w:rFonts w:ascii="Arial" w:hAnsi="Arial" w:cs="Arial"/>
          <w:sz w:val="24"/>
        </w:rPr>
        <w:t xml:space="preserve">Cuando se presentan fallas y/o inconsistencias en el aplicativo, la Administración del SIIF Nación, informa de la misma a las entidades o se registra un incidente, que dependiendo de la complejidad en la respuesta, lo pueden llevar a los diferentes niveles que tienen dispuesto para dar solución a las mismas y cuando se presenta por parametrización de rubros presupuestales asociados a las </w:t>
      </w:r>
      <w:r w:rsidRPr="009F6104">
        <w:rPr>
          <w:rFonts w:ascii="Arial" w:hAnsi="Arial" w:cs="Arial"/>
          <w:sz w:val="24"/>
        </w:rPr>
        <w:lastRenderedPageBreak/>
        <w:t>cuentas contables lo elevan a la Contaduría General de la Nación, demorando a veces el proceso normal que tienen las entidades en la gestión y ejecución de sus propias actividades.</w:t>
      </w:r>
    </w:p>
    <w:p w14:paraId="67527CAB" w14:textId="77777777" w:rsidR="006621BE" w:rsidRPr="009F6104" w:rsidRDefault="006621BE" w:rsidP="007B2C75">
      <w:pPr>
        <w:pStyle w:val="Textoindependiente"/>
        <w:ind w:right="-234"/>
        <w:jc w:val="both"/>
        <w:rPr>
          <w:rFonts w:ascii="Arial" w:hAnsi="Arial" w:cs="Arial"/>
          <w:b/>
          <w:sz w:val="28"/>
          <w:szCs w:val="28"/>
        </w:rPr>
      </w:pPr>
    </w:p>
    <w:p w14:paraId="62859997" w14:textId="77777777" w:rsidR="006621BE" w:rsidRPr="00CF6327" w:rsidRDefault="006621BE" w:rsidP="007B2C75">
      <w:pPr>
        <w:ind w:left="-284" w:right="-234"/>
        <w:jc w:val="both"/>
        <w:rPr>
          <w:rFonts w:ascii="Arial" w:hAnsi="Arial" w:cs="Arial"/>
          <w:b/>
          <w:sz w:val="28"/>
          <w:szCs w:val="28"/>
          <w:lang w:val="es-MX"/>
        </w:rPr>
      </w:pPr>
      <w:r w:rsidRPr="00CF6327">
        <w:rPr>
          <w:rFonts w:ascii="Arial" w:hAnsi="Arial" w:cs="Arial"/>
          <w:b/>
          <w:sz w:val="28"/>
          <w:szCs w:val="28"/>
          <w:lang w:val="es-MX"/>
        </w:rPr>
        <w:t>60.- CAJA DE SUELDOS DE RETIRO DE LA POLICIA NACIONAL – CASUR.</w:t>
      </w:r>
    </w:p>
    <w:p w14:paraId="3A621E28" w14:textId="77777777" w:rsidR="006621BE" w:rsidRDefault="006621BE" w:rsidP="007B2C75">
      <w:pPr>
        <w:ind w:left="-284" w:right="-234"/>
        <w:jc w:val="both"/>
        <w:rPr>
          <w:rFonts w:ascii="Arial" w:hAnsi="Arial" w:cs="Arial"/>
          <w:b/>
          <w:sz w:val="24"/>
          <w:szCs w:val="24"/>
          <w:lang w:val="es-MX"/>
        </w:rPr>
      </w:pPr>
    </w:p>
    <w:p w14:paraId="612BB860" w14:textId="77777777" w:rsidR="006621BE" w:rsidRPr="00CF6327" w:rsidRDefault="006621BE" w:rsidP="007B2C75">
      <w:pPr>
        <w:pStyle w:val="Textoindependiente"/>
        <w:ind w:left="-284" w:right="-234"/>
        <w:jc w:val="both"/>
        <w:rPr>
          <w:rFonts w:ascii="Arial" w:hAnsi="Arial" w:cs="Arial"/>
          <w:b/>
          <w:bCs/>
          <w:sz w:val="24"/>
          <w:szCs w:val="24"/>
          <w:lang w:val="es-CO"/>
        </w:rPr>
      </w:pPr>
      <w:r w:rsidRPr="00CF6327">
        <w:rPr>
          <w:rFonts w:ascii="Arial" w:hAnsi="Arial" w:cs="Arial"/>
          <w:b/>
          <w:bCs/>
          <w:sz w:val="24"/>
          <w:szCs w:val="24"/>
          <w:lang w:val="es-CO"/>
        </w:rPr>
        <w:t>Limitaciones y deficiencias generales de tipo operativo o administrativo que tiene impacto en el desarrollo normal del proceso contable.</w:t>
      </w:r>
    </w:p>
    <w:p w14:paraId="654D1E87" w14:textId="77777777" w:rsidR="006621BE" w:rsidRPr="00CF6327" w:rsidRDefault="006621BE" w:rsidP="007B2C75">
      <w:pPr>
        <w:pStyle w:val="Textoindependiente"/>
        <w:ind w:left="-284" w:right="-234"/>
        <w:jc w:val="both"/>
        <w:rPr>
          <w:rFonts w:ascii="Arial" w:hAnsi="Arial" w:cs="Arial"/>
          <w:bCs/>
          <w:sz w:val="24"/>
          <w:szCs w:val="24"/>
          <w:lang w:val="es-CO"/>
        </w:rPr>
      </w:pPr>
    </w:p>
    <w:p w14:paraId="5A991136" w14:textId="77777777" w:rsidR="006621BE" w:rsidRPr="00CF6327" w:rsidRDefault="006621BE" w:rsidP="00CB6055">
      <w:pPr>
        <w:pStyle w:val="Textoindependiente"/>
        <w:numPr>
          <w:ilvl w:val="0"/>
          <w:numId w:val="17"/>
        </w:numPr>
        <w:ind w:left="-284" w:right="-234" w:firstLine="0"/>
        <w:jc w:val="both"/>
        <w:rPr>
          <w:rFonts w:ascii="Arial" w:hAnsi="Arial" w:cs="Arial"/>
          <w:b/>
          <w:bCs/>
          <w:sz w:val="24"/>
          <w:szCs w:val="24"/>
        </w:rPr>
      </w:pPr>
      <w:r w:rsidRPr="00CF6327">
        <w:rPr>
          <w:rFonts w:ascii="Arial" w:hAnsi="Arial" w:cs="Arial"/>
          <w:b/>
          <w:bCs/>
          <w:sz w:val="24"/>
          <w:szCs w:val="24"/>
        </w:rPr>
        <w:t>Sistema Integrado de Información Financiera SIIF – Nación:</w:t>
      </w:r>
    </w:p>
    <w:p w14:paraId="3D361B3C" w14:textId="77777777" w:rsidR="006621BE" w:rsidRPr="00CF6327" w:rsidRDefault="006621BE" w:rsidP="007B2C75">
      <w:pPr>
        <w:pStyle w:val="Textoindependiente"/>
        <w:ind w:left="-284" w:right="-234"/>
        <w:jc w:val="both"/>
        <w:rPr>
          <w:rFonts w:ascii="Arial" w:hAnsi="Arial" w:cs="Arial"/>
          <w:bCs/>
          <w:sz w:val="24"/>
          <w:szCs w:val="24"/>
          <w:lang w:val="es-CO"/>
        </w:rPr>
      </w:pPr>
    </w:p>
    <w:p w14:paraId="5FBFA5BC" w14:textId="77777777" w:rsidR="006621BE" w:rsidRPr="00CF6327" w:rsidRDefault="006621BE" w:rsidP="007B2C75">
      <w:pPr>
        <w:pStyle w:val="Textoindependiente"/>
        <w:ind w:left="-284" w:right="-234"/>
        <w:jc w:val="both"/>
        <w:rPr>
          <w:rFonts w:ascii="Arial" w:hAnsi="Arial" w:cs="Arial"/>
          <w:bCs/>
          <w:sz w:val="24"/>
          <w:szCs w:val="24"/>
        </w:rPr>
      </w:pPr>
      <w:r w:rsidRPr="00CF6327">
        <w:rPr>
          <w:rFonts w:ascii="Arial" w:hAnsi="Arial" w:cs="Arial"/>
          <w:bCs/>
          <w:sz w:val="24"/>
          <w:szCs w:val="24"/>
        </w:rPr>
        <w:t>Los reportes de libros auxiliares detallados por tercero no dejan generar consultas acumuladas por meses, lo que implica unificar los movimientos detallados por tercero y cuenta en hojas en Excel, tomando mayor tiempo en el análisis, conciliación y depuración de saldos de las cuentas.</w:t>
      </w:r>
    </w:p>
    <w:p w14:paraId="56460E70" w14:textId="77777777" w:rsidR="006621BE" w:rsidRPr="00CF6327" w:rsidRDefault="006621BE" w:rsidP="007B2C75">
      <w:pPr>
        <w:pStyle w:val="Textoindependiente"/>
        <w:ind w:left="-284" w:right="-234"/>
        <w:jc w:val="both"/>
        <w:rPr>
          <w:rFonts w:ascii="Arial" w:hAnsi="Arial" w:cs="Arial"/>
          <w:bCs/>
          <w:sz w:val="24"/>
          <w:szCs w:val="24"/>
        </w:rPr>
      </w:pPr>
    </w:p>
    <w:p w14:paraId="58A4C32A" w14:textId="77777777" w:rsidR="006621BE" w:rsidRPr="00CF6327" w:rsidRDefault="006621BE" w:rsidP="007B2C75">
      <w:pPr>
        <w:pStyle w:val="Textoindependiente"/>
        <w:ind w:left="-284" w:right="-234"/>
        <w:jc w:val="both"/>
        <w:rPr>
          <w:rFonts w:ascii="Arial" w:hAnsi="Arial" w:cs="Arial"/>
          <w:bCs/>
          <w:sz w:val="24"/>
          <w:szCs w:val="24"/>
        </w:rPr>
      </w:pPr>
      <w:r w:rsidRPr="00CF6327">
        <w:rPr>
          <w:rFonts w:ascii="Arial" w:hAnsi="Arial" w:cs="Arial"/>
          <w:bCs/>
          <w:sz w:val="24"/>
          <w:szCs w:val="24"/>
        </w:rPr>
        <w:t xml:space="preserve">Para el concepto de acreedores no permite generar un reporte de los números consecutivos en detalle con fecha, tercero, valor y estado de estos mismos. </w:t>
      </w:r>
    </w:p>
    <w:p w14:paraId="43E0125A" w14:textId="77777777" w:rsidR="006621BE" w:rsidRPr="00CF6327" w:rsidRDefault="006621BE" w:rsidP="007B2C75">
      <w:pPr>
        <w:pStyle w:val="Textoindependiente"/>
        <w:ind w:left="-284" w:right="-234"/>
        <w:jc w:val="both"/>
        <w:rPr>
          <w:rFonts w:ascii="Arial" w:hAnsi="Arial" w:cs="Arial"/>
          <w:bCs/>
          <w:sz w:val="24"/>
          <w:szCs w:val="24"/>
        </w:rPr>
      </w:pPr>
    </w:p>
    <w:p w14:paraId="062CD659" w14:textId="77777777" w:rsidR="006621BE" w:rsidRPr="00CF6327" w:rsidRDefault="006621BE" w:rsidP="007B2C75">
      <w:pPr>
        <w:pStyle w:val="Textoindependiente"/>
        <w:ind w:left="-284" w:right="-234"/>
        <w:jc w:val="both"/>
        <w:rPr>
          <w:rFonts w:ascii="Arial" w:hAnsi="Arial" w:cs="Arial"/>
          <w:bCs/>
          <w:sz w:val="24"/>
          <w:szCs w:val="24"/>
        </w:rPr>
      </w:pPr>
      <w:r w:rsidRPr="00CF6327">
        <w:rPr>
          <w:rFonts w:ascii="Arial" w:hAnsi="Arial" w:cs="Arial"/>
          <w:bCs/>
          <w:sz w:val="24"/>
          <w:szCs w:val="24"/>
        </w:rPr>
        <w:t xml:space="preserve">Desde el año 2017, debido a la nueva normatividad presupuestal no es posible registrar obligaciones si no se cuenta con el Programa Anual Mensualizado de Caja - PAC de la vigencia, generando que se realice ajustes manuales de reconocimiento. </w:t>
      </w:r>
    </w:p>
    <w:p w14:paraId="0127CB09" w14:textId="77777777" w:rsidR="006621BE" w:rsidRPr="00CF6327" w:rsidRDefault="006621BE" w:rsidP="007B2C75">
      <w:pPr>
        <w:pStyle w:val="Textoindependiente"/>
        <w:ind w:left="-284" w:right="-234"/>
        <w:jc w:val="both"/>
        <w:rPr>
          <w:rFonts w:ascii="Arial" w:hAnsi="Arial" w:cs="Arial"/>
          <w:bCs/>
          <w:sz w:val="24"/>
          <w:szCs w:val="24"/>
        </w:rPr>
      </w:pPr>
    </w:p>
    <w:p w14:paraId="6EA4BC4F" w14:textId="77777777" w:rsidR="006621BE" w:rsidRPr="00CF6327" w:rsidRDefault="006621BE" w:rsidP="007B2C75">
      <w:pPr>
        <w:pStyle w:val="Textoindependiente"/>
        <w:ind w:left="-284" w:right="-234"/>
        <w:jc w:val="both"/>
        <w:rPr>
          <w:rFonts w:ascii="Arial" w:hAnsi="Arial" w:cs="Arial"/>
          <w:bCs/>
          <w:sz w:val="24"/>
          <w:szCs w:val="24"/>
        </w:rPr>
      </w:pPr>
      <w:r w:rsidRPr="00CF6327">
        <w:rPr>
          <w:rFonts w:ascii="Arial" w:hAnsi="Arial" w:cs="Arial"/>
          <w:bCs/>
          <w:sz w:val="24"/>
          <w:szCs w:val="24"/>
        </w:rPr>
        <w:t xml:space="preserve">Para la obligación de la caja menor no deja reconocido el gasto con el tercero con quien se tiene la obligación si no con el NIT de la entidad, teniendo que recurrir a ajustes manuales, con el fin de identificar el tercero de compra de bien o servicio. </w:t>
      </w:r>
    </w:p>
    <w:p w14:paraId="40D90AB3" w14:textId="77777777" w:rsidR="006621BE" w:rsidRPr="00CF6327" w:rsidRDefault="006621BE" w:rsidP="007B2C75">
      <w:pPr>
        <w:pStyle w:val="Textoindependiente"/>
        <w:ind w:left="-284" w:right="-234"/>
        <w:jc w:val="both"/>
        <w:rPr>
          <w:rFonts w:ascii="Arial" w:hAnsi="Arial" w:cs="Arial"/>
          <w:bCs/>
          <w:sz w:val="24"/>
          <w:szCs w:val="24"/>
        </w:rPr>
      </w:pPr>
    </w:p>
    <w:p w14:paraId="617C5EE6" w14:textId="77777777" w:rsidR="006621BE" w:rsidRPr="00CF6327" w:rsidRDefault="006621BE" w:rsidP="007B2C75">
      <w:pPr>
        <w:pStyle w:val="Textoindependiente"/>
        <w:ind w:left="-284" w:right="-234"/>
        <w:jc w:val="both"/>
        <w:rPr>
          <w:rFonts w:ascii="Arial" w:hAnsi="Arial" w:cs="Arial"/>
          <w:bCs/>
          <w:sz w:val="24"/>
          <w:szCs w:val="24"/>
        </w:rPr>
      </w:pPr>
      <w:r w:rsidRPr="00CF6327">
        <w:rPr>
          <w:rFonts w:ascii="Arial" w:hAnsi="Arial" w:cs="Arial"/>
          <w:bCs/>
          <w:sz w:val="24"/>
          <w:szCs w:val="24"/>
        </w:rPr>
        <w:t xml:space="preserve">Al inicio de cada vigencia, la plataforma de SIIF carga saldos iniciales de las cuentas contables solo hasta la primera semana del mes de marzo, lo cual genera atraso en la generación de informes financieros del primer trimestre del año, al imposibilitar la verificación, análisis, conciliación de cifras, al no informar saldos anteriores. </w:t>
      </w:r>
    </w:p>
    <w:p w14:paraId="7B5190A4" w14:textId="77777777" w:rsidR="006621BE" w:rsidRPr="00CF6327" w:rsidRDefault="006621BE" w:rsidP="007B2C75">
      <w:pPr>
        <w:pStyle w:val="Textoindependiente"/>
        <w:ind w:left="-284" w:right="-234"/>
        <w:jc w:val="both"/>
        <w:rPr>
          <w:rFonts w:ascii="Arial" w:hAnsi="Arial" w:cs="Arial"/>
          <w:bCs/>
          <w:sz w:val="24"/>
          <w:szCs w:val="24"/>
        </w:rPr>
      </w:pPr>
    </w:p>
    <w:p w14:paraId="0326E3C9" w14:textId="77777777" w:rsidR="006621BE" w:rsidRPr="00CF6327" w:rsidRDefault="006621BE" w:rsidP="007B2C75">
      <w:pPr>
        <w:pStyle w:val="Textoindependiente"/>
        <w:ind w:left="-284" w:right="-234"/>
        <w:jc w:val="both"/>
        <w:rPr>
          <w:rFonts w:ascii="Arial" w:hAnsi="Arial" w:cs="Arial"/>
          <w:bCs/>
          <w:sz w:val="24"/>
          <w:szCs w:val="24"/>
        </w:rPr>
      </w:pPr>
      <w:r w:rsidRPr="00CF6327">
        <w:rPr>
          <w:rFonts w:ascii="Arial" w:hAnsi="Arial" w:cs="Arial"/>
          <w:bCs/>
          <w:sz w:val="24"/>
          <w:szCs w:val="24"/>
        </w:rPr>
        <w:t>Por lo expuesto anteriormente, con el fin de garantizar la razonabilidad y consistencia de la información contable, CASUR a través de su aplicativo auxiliar de apoyo, el cual es empleado para generar la información de los negocios no previstos en el sistema SIIF, elabora archivos y cargas manuales en el sistema oficial, por lo cual este aplicativo sirve como auxiliar de los códigos contables que conforman los estados financieros de la Entidad.</w:t>
      </w:r>
    </w:p>
    <w:p w14:paraId="05FD4168" w14:textId="77777777" w:rsidR="006621BE" w:rsidRDefault="006621BE" w:rsidP="007B2C75">
      <w:pPr>
        <w:ind w:left="-284" w:right="-234"/>
        <w:jc w:val="both"/>
        <w:rPr>
          <w:rFonts w:ascii="Arial" w:hAnsi="Arial" w:cs="Arial"/>
          <w:b/>
          <w:sz w:val="24"/>
          <w:szCs w:val="24"/>
        </w:rPr>
      </w:pPr>
    </w:p>
    <w:p w14:paraId="5FC2ECC7" w14:textId="77777777" w:rsidR="006621BE" w:rsidRPr="00A02FE3" w:rsidRDefault="006621BE" w:rsidP="007B2C75">
      <w:pPr>
        <w:pStyle w:val="Ttulo6"/>
        <w:tabs>
          <w:tab w:val="left" w:pos="8505"/>
        </w:tabs>
        <w:spacing w:before="0"/>
        <w:ind w:left="-284" w:right="-234" w:firstLine="0"/>
        <w:jc w:val="both"/>
        <w:rPr>
          <w:rFonts w:ascii="Arial" w:hAnsi="Arial" w:cs="Arial"/>
          <w:b/>
          <w:i w:val="0"/>
          <w:iCs w:val="0"/>
          <w:color w:val="auto"/>
          <w:spacing w:val="-2"/>
          <w:sz w:val="28"/>
          <w:szCs w:val="28"/>
        </w:rPr>
      </w:pPr>
      <w:r w:rsidRPr="00A02FE3">
        <w:rPr>
          <w:rFonts w:ascii="Arial" w:hAnsi="Arial" w:cs="Arial"/>
          <w:b/>
          <w:i w:val="0"/>
          <w:iCs w:val="0"/>
          <w:color w:val="auto"/>
          <w:sz w:val="28"/>
          <w:szCs w:val="28"/>
          <w:lang w:val="es-MX"/>
        </w:rPr>
        <w:t xml:space="preserve">61.- </w:t>
      </w:r>
      <w:r w:rsidRPr="00A02FE3">
        <w:rPr>
          <w:rFonts w:ascii="Arial" w:hAnsi="Arial" w:cs="Arial"/>
          <w:b/>
          <w:i w:val="0"/>
          <w:iCs w:val="0"/>
          <w:color w:val="auto"/>
          <w:sz w:val="28"/>
          <w:szCs w:val="28"/>
        </w:rPr>
        <w:t xml:space="preserve">UNIDAD NACIONAL PARA LA GESTIÓN DEL RIESGO DE DESASTRES - </w:t>
      </w:r>
      <w:r w:rsidRPr="00A02FE3">
        <w:rPr>
          <w:rFonts w:ascii="Arial" w:hAnsi="Arial" w:cs="Arial"/>
          <w:b/>
          <w:i w:val="0"/>
          <w:iCs w:val="0"/>
          <w:color w:val="auto"/>
          <w:spacing w:val="-2"/>
          <w:sz w:val="28"/>
          <w:szCs w:val="28"/>
        </w:rPr>
        <w:t>UNGRD.</w:t>
      </w:r>
    </w:p>
    <w:p w14:paraId="54026F64"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394"/>
        <w:gridCol w:w="5103"/>
      </w:tblGrid>
      <w:tr w:rsidR="006621BE" w:rsidRPr="00A02FE3" w14:paraId="50EE690F" w14:textId="77777777" w:rsidTr="007B2C75">
        <w:tc>
          <w:tcPr>
            <w:tcW w:w="993" w:type="dxa"/>
          </w:tcPr>
          <w:p w14:paraId="7C782977"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t>N°</w:t>
            </w:r>
          </w:p>
        </w:tc>
        <w:tc>
          <w:tcPr>
            <w:tcW w:w="4394" w:type="dxa"/>
          </w:tcPr>
          <w:p w14:paraId="28DBA7C7"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t>Limitaciones del Sistema SIIF II Nación a 31/12/2024</w:t>
            </w:r>
          </w:p>
          <w:p w14:paraId="0DC0465A" w14:textId="77777777" w:rsidR="006621BE" w:rsidRPr="00A02FE3" w:rsidRDefault="006621BE" w:rsidP="00EF5AF2">
            <w:pPr>
              <w:tabs>
                <w:tab w:val="left" w:pos="875"/>
              </w:tabs>
              <w:ind w:right="-50"/>
              <w:jc w:val="center"/>
              <w:rPr>
                <w:rFonts w:ascii="Arial" w:hAnsi="Arial" w:cs="Arial"/>
                <w:b/>
              </w:rPr>
            </w:pPr>
          </w:p>
        </w:tc>
        <w:tc>
          <w:tcPr>
            <w:tcW w:w="5103" w:type="dxa"/>
          </w:tcPr>
          <w:p w14:paraId="2457A1FF"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t>Descripción de la limitación</w:t>
            </w:r>
          </w:p>
        </w:tc>
      </w:tr>
      <w:tr w:rsidR="006621BE" w:rsidRPr="00A02FE3" w14:paraId="74E907F7" w14:textId="77777777" w:rsidTr="007B2C75">
        <w:tc>
          <w:tcPr>
            <w:tcW w:w="993" w:type="dxa"/>
          </w:tcPr>
          <w:p w14:paraId="654151D8"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t>1</w:t>
            </w:r>
          </w:p>
        </w:tc>
        <w:tc>
          <w:tcPr>
            <w:tcW w:w="4394" w:type="dxa"/>
          </w:tcPr>
          <w:p w14:paraId="15EDACCE" w14:textId="77777777" w:rsidR="006621BE" w:rsidRPr="00A02FE3" w:rsidRDefault="006621BE" w:rsidP="00EF5AF2">
            <w:pPr>
              <w:tabs>
                <w:tab w:val="left" w:pos="875"/>
              </w:tabs>
              <w:ind w:right="-50"/>
              <w:jc w:val="both"/>
              <w:rPr>
                <w:rFonts w:ascii="Arial" w:hAnsi="Arial" w:cs="Arial"/>
                <w:b/>
              </w:rPr>
            </w:pPr>
            <w:r w:rsidRPr="00A02FE3">
              <w:rPr>
                <w:rFonts w:ascii="Arial" w:hAnsi="Arial" w:cs="Arial"/>
                <w:b/>
              </w:rPr>
              <w:t>Administrativas:</w:t>
            </w:r>
          </w:p>
        </w:tc>
        <w:tc>
          <w:tcPr>
            <w:tcW w:w="5103" w:type="dxa"/>
          </w:tcPr>
          <w:p w14:paraId="5A0B0C70" w14:textId="77777777" w:rsidR="006621BE" w:rsidRPr="00A02FE3" w:rsidRDefault="006621BE" w:rsidP="00EF5AF2">
            <w:pPr>
              <w:tabs>
                <w:tab w:val="left" w:pos="875"/>
              </w:tabs>
              <w:ind w:right="-50"/>
              <w:jc w:val="both"/>
              <w:rPr>
                <w:rFonts w:ascii="Arial" w:hAnsi="Arial" w:cs="Arial"/>
              </w:rPr>
            </w:pPr>
            <w:r w:rsidRPr="00A02FE3">
              <w:rPr>
                <w:rFonts w:ascii="Arial" w:hAnsi="Arial" w:cs="Arial"/>
              </w:rPr>
              <w:t>Programación de capacitaciones para el mes de diciembre cuando más carga laboral tenemos, lo que impide la participación.</w:t>
            </w:r>
          </w:p>
        </w:tc>
      </w:tr>
      <w:tr w:rsidR="006621BE" w:rsidRPr="00A02FE3" w14:paraId="507E6C8E" w14:textId="77777777" w:rsidTr="007B2C75">
        <w:tc>
          <w:tcPr>
            <w:tcW w:w="993" w:type="dxa"/>
          </w:tcPr>
          <w:p w14:paraId="2AE3826C"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t>2</w:t>
            </w:r>
          </w:p>
        </w:tc>
        <w:tc>
          <w:tcPr>
            <w:tcW w:w="4394" w:type="dxa"/>
          </w:tcPr>
          <w:p w14:paraId="750F2E17" w14:textId="77777777" w:rsidR="006621BE" w:rsidRPr="00A02FE3" w:rsidRDefault="006621BE" w:rsidP="00EF5AF2">
            <w:pPr>
              <w:tabs>
                <w:tab w:val="left" w:pos="875"/>
              </w:tabs>
              <w:ind w:right="-50"/>
              <w:jc w:val="both"/>
              <w:rPr>
                <w:rFonts w:ascii="Arial" w:hAnsi="Arial" w:cs="Arial"/>
                <w:b/>
              </w:rPr>
            </w:pPr>
            <w:r w:rsidRPr="00A02FE3">
              <w:rPr>
                <w:rFonts w:ascii="Arial" w:hAnsi="Arial" w:cs="Arial"/>
                <w:b/>
              </w:rPr>
              <w:t>Técnicas:</w:t>
            </w:r>
          </w:p>
        </w:tc>
        <w:tc>
          <w:tcPr>
            <w:tcW w:w="5103" w:type="dxa"/>
          </w:tcPr>
          <w:p w14:paraId="626825C9" w14:textId="77777777" w:rsidR="006621BE" w:rsidRPr="00A02FE3" w:rsidRDefault="006621BE" w:rsidP="00EF5AF2">
            <w:pPr>
              <w:tabs>
                <w:tab w:val="left" w:pos="875"/>
              </w:tabs>
              <w:ind w:right="-50"/>
              <w:jc w:val="both"/>
              <w:rPr>
                <w:rFonts w:ascii="Arial" w:hAnsi="Arial" w:cs="Arial"/>
              </w:rPr>
            </w:pPr>
            <w:r w:rsidRPr="00A02FE3">
              <w:rPr>
                <w:rFonts w:ascii="Arial" w:hAnsi="Arial" w:cs="Arial"/>
              </w:rPr>
              <w:t>Que cuando se hacen procedimientos masivos no se informan con tiempo y a veces generan lentitud en los procesos.</w:t>
            </w:r>
          </w:p>
        </w:tc>
      </w:tr>
      <w:tr w:rsidR="006621BE" w:rsidRPr="00A02FE3" w14:paraId="6C3E8897" w14:textId="77777777" w:rsidTr="007B2C75">
        <w:tc>
          <w:tcPr>
            <w:tcW w:w="993" w:type="dxa"/>
          </w:tcPr>
          <w:p w14:paraId="1D1769F1"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t>3</w:t>
            </w:r>
          </w:p>
        </w:tc>
        <w:tc>
          <w:tcPr>
            <w:tcW w:w="4394" w:type="dxa"/>
          </w:tcPr>
          <w:p w14:paraId="2647FAAD" w14:textId="77777777" w:rsidR="006621BE" w:rsidRPr="00A02FE3" w:rsidRDefault="006621BE" w:rsidP="00EF5AF2">
            <w:pPr>
              <w:tabs>
                <w:tab w:val="left" w:pos="875"/>
              </w:tabs>
              <w:ind w:right="-50"/>
              <w:jc w:val="both"/>
              <w:rPr>
                <w:rFonts w:ascii="Arial" w:hAnsi="Arial" w:cs="Arial"/>
                <w:b/>
              </w:rPr>
            </w:pPr>
            <w:r w:rsidRPr="00A02FE3">
              <w:rPr>
                <w:rFonts w:ascii="Arial" w:hAnsi="Arial" w:cs="Arial"/>
                <w:b/>
              </w:rPr>
              <w:t>Operativas:</w:t>
            </w:r>
          </w:p>
        </w:tc>
        <w:tc>
          <w:tcPr>
            <w:tcW w:w="5103" w:type="dxa"/>
          </w:tcPr>
          <w:p w14:paraId="32687433" w14:textId="77777777" w:rsidR="006621BE" w:rsidRPr="00A02FE3" w:rsidRDefault="006621BE" w:rsidP="00EF5AF2">
            <w:pPr>
              <w:tabs>
                <w:tab w:val="left" w:pos="875"/>
              </w:tabs>
              <w:ind w:right="-50"/>
              <w:jc w:val="both"/>
              <w:rPr>
                <w:rFonts w:ascii="Arial" w:hAnsi="Arial" w:cs="Arial"/>
              </w:rPr>
            </w:pPr>
            <w:r w:rsidRPr="00A02FE3">
              <w:rPr>
                <w:rFonts w:ascii="Arial" w:hAnsi="Arial" w:cs="Arial"/>
              </w:rPr>
              <w:t xml:space="preserve">Algunos accesos se ponen intermitentes sobre el medio </w:t>
            </w:r>
            <w:r w:rsidRPr="00A02FE3">
              <w:rPr>
                <w:rFonts w:ascii="Arial" w:hAnsi="Arial" w:cs="Arial"/>
              </w:rPr>
              <w:lastRenderedPageBreak/>
              <w:t>día.</w:t>
            </w:r>
          </w:p>
        </w:tc>
      </w:tr>
      <w:tr w:rsidR="006621BE" w:rsidRPr="00A02FE3" w14:paraId="71F61C49" w14:textId="77777777" w:rsidTr="007B2C75">
        <w:tc>
          <w:tcPr>
            <w:tcW w:w="993" w:type="dxa"/>
          </w:tcPr>
          <w:p w14:paraId="360AEE4F" w14:textId="77777777" w:rsidR="006621BE" w:rsidRPr="00A02FE3" w:rsidRDefault="006621BE" w:rsidP="00EF5AF2">
            <w:pPr>
              <w:tabs>
                <w:tab w:val="left" w:pos="875"/>
              </w:tabs>
              <w:ind w:right="-50"/>
              <w:jc w:val="center"/>
              <w:rPr>
                <w:rFonts w:ascii="Arial" w:hAnsi="Arial" w:cs="Arial"/>
                <w:b/>
              </w:rPr>
            </w:pPr>
            <w:r w:rsidRPr="00A02FE3">
              <w:rPr>
                <w:rFonts w:ascii="Arial" w:hAnsi="Arial" w:cs="Arial"/>
                <w:b/>
              </w:rPr>
              <w:lastRenderedPageBreak/>
              <w:t>4</w:t>
            </w:r>
          </w:p>
        </w:tc>
        <w:tc>
          <w:tcPr>
            <w:tcW w:w="4394" w:type="dxa"/>
          </w:tcPr>
          <w:p w14:paraId="5C652470" w14:textId="77777777" w:rsidR="006621BE" w:rsidRPr="00A02FE3" w:rsidRDefault="006621BE" w:rsidP="00EF5AF2">
            <w:pPr>
              <w:tabs>
                <w:tab w:val="left" w:pos="875"/>
              </w:tabs>
              <w:ind w:right="-50"/>
              <w:jc w:val="both"/>
              <w:rPr>
                <w:rFonts w:ascii="Arial" w:hAnsi="Arial" w:cs="Arial"/>
                <w:b/>
              </w:rPr>
            </w:pPr>
            <w:r w:rsidRPr="00A02FE3">
              <w:rPr>
                <w:rFonts w:ascii="Arial" w:hAnsi="Arial" w:cs="Arial"/>
                <w:b/>
              </w:rPr>
              <w:t>Soporte a la plataforma:</w:t>
            </w:r>
          </w:p>
        </w:tc>
        <w:tc>
          <w:tcPr>
            <w:tcW w:w="5103" w:type="dxa"/>
          </w:tcPr>
          <w:p w14:paraId="2F33D16D" w14:textId="77777777" w:rsidR="006621BE" w:rsidRPr="00A02FE3" w:rsidRDefault="006621BE" w:rsidP="00EF5AF2">
            <w:pPr>
              <w:tabs>
                <w:tab w:val="left" w:pos="875"/>
              </w:tabs>
              <w:ind w:right="-50"/>
              <w:jc w:val="both"/>
              <w:rPr>
                <w:rFonts w:ascii="Arial" w:hAnsi="Arial" w:cs="Arial"/>
              </w:rPr>
            </w:pPr>
            <w:r w:rsidRPr="00A02FE3">
              <w:rPr>
                <w:rFonts w:ascii="Arial" w:hAnsi="Arial" w:cs="Arial"/>
              </w:rPr>
              <w:t>En los meses de noviembre y diciembre, es imposible comunicarse con la línea soporte SIIF.</w:t>
            </w:r>
          </w:p>
        </w:tc>
      </w:tr>
    </w:tbl>
    <w:p w14:paraId="09A8069F" w14:textId="77777777" w:rsidR="006621BE" w:rsidRDefault="006621BE" w:rsidP="006621BE">
      <w:pPr>
        <w:ind w:left="-284" w:right="-234"/>
        <w:jc w:val="both"/>
        <w:rPr>
          <w:rFonts w:ascii="Arial" w:hAnsi="Arial" w:cs="Arial"/>
          <w:b/>
          <w:sz w:val="24"/>
          <w:szCs w:val="24"/>
        </w:rPr>
      </w:pPr>
    </w:p>
    <w:p w14:paraId="0E12BD09"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Arial" w:hAnsi="Arial" w:cs="Arial"/>
          <w:b/>
          <w:sz w:val="24"/>
          <w:szCs w:val="24"/>
        </w:rPr>
        <w:t xml:space="preserve">DE LAS NOTAS DE CARÁCTER GENERAL – 1.2. Declaración de Cumplimiento del Marco Normativo y Limitaciones - Limitaciones y/o deficiencias de tipo operativo que inciden en el normal desarrollo del proceso contable integralidad del sistema a nivel contable: </w:t>
      </w:r>
      <w:r w:rsidRPr="00183B32">
        <w:rPr>
          <w:rFonts w:ascii="Arial" w:hAnsi="Arial" w:cs="Arial"/>
          <w:sz w:val="24"/>
          <w:szCs w:val="24"/>
        </w:rPr>
        <w:t xml:space="preserve">La UNGRD registra sus operaciones en el Sistema Integrado de Información Financiera – SIIF Nación dando aplicación al Decreto 2674 del 2012, el cual derogó el Decreto 2789 de 2004, constituyéndose, así como la única fuente de información contable para la Unidad. </w:t>
      </w:r>
    </w:p>
    <w:p w14:paraId="7FEAA961" w14:textId="77777777" w:rsidR="006621BE" w:rsidRPr="00183B32" w:rsidRDefault="006621BE" w:rsidP="007B2C75">
      <w:pPr>
        <w:pStyle w:val="Textoindependiente"/>
        <w:ind w:left="-284" w:right="-234"/>
        <w:jc w:val="both"/>
        <w:rPr>
          <w:rFonts w:ascii="Arial" w:hAnsi="Arial" w:cs="Arial"/>
          <w:sz w:val="24"/>
          <w:szCs w:val="24"/>
        </w:rPr>
      </w:pPr>
    </w:p>
    <w:p w14:paraId="6870E765"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Arial" w:hAnsi="Arial" w:cs="Arial"/>
          <w:sz w:val="24"/>
          <w:szCs w:val="24"/>
        </w:rPr>
        <w:t>El Decreto 1068 de mayo 26 de 2015, por el cual se expide el decreto único reglamentario del sector Hacienda y Crédito Público, compiló las normas que determinan el marco para la administración, implantación, operatividad y aplicabilidad del Sistema Integrado de Información Financiera SIIF.</w:t>
      </w:r>
    </w:p>
    <w:p w14:paraId="4E6A02F4" w14:textId="77777777" w:rsidR="006621BE" w:rsidRPr="00183B32" w:rsidRDefault="006621BE" w:rsidP="006621BE">
      <w:pPr>
        <w:pStyle w:val="Textoindependiente"/>
        <w:ind w:left="-284" w:right="-50"/>
        <w:jc w:val="both"/>
        <w:rPr>
          <w:rFonts w:ascii="Arial" w:hAnsi="Arial" w:cs="Arial"/>
          <w:sz w:val="24"/>
          <w:szCs w:val="24"/>
        </w:rPr>
      </w:pPr>
    </w:p>
    <w:p w14:paraId="54002EBE" w14:textId="77777777" w:rsidR="006621BE" w:rsidRPr="00183B32" w:rsidRDefault="006621BE" w:rsidP="006621BE">
      <w:pPr>
        <w:pStyle w:val="Textoindependiente"/>
        <w:ind w:left="-284" w:right="-50"/>
        <w:jc w:val="both"/>
        <w:rPr>
          <w:rFonts w:ascii="Arial" w:hAnsi="Arial" w:cs="Arial"/>
          <w:sz w:val="24"/>
          <w:szCs w:val="24"/>
        </w:rPr>
      </w:pPr>
      <w:r w:rsidRPr="00183B32">
        <w:rPr>
          <w:rFonts w:ascii="Arial" w:hAnsi="Arial" w:cs="Arial"/>
          <w:sz w:val="24"/>
          <w:szCs w:val="24"/>
        </w:rPr>
        <w:t xml:space="preserve">Este sistema presenta las siguientes insuficiencias en el campo contable: </w:t>
      </w:r>
    </w:p>
    <w:p w14:paraId="260E22A4" w14:textId="77777777" w:rsidR="006621BE" w:rsidRPr="00183B32" w:rsidRDefault="006621BE" w:rsidP="006621BE">
      <w:pPr>
        <w:pStyle w:val="Textoindependiente"/>
        <w:ind w:left="-284" w:right="-50"/>
        <w:jc w:val="both"/>
        <w:rPr>
          <w:rFonts w:ascii="Arial" w:hAnsi="Arial" w:cs="Arial"/>
          <w:sz w:val="24"/>
          <w:szCs w:val="24"/>
        </w:rPr>
      </w:pPr>
    </w:p>
    <w:p w14:paraId="0753AB79"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Segoe UI Symbol" w:hAnsi="Segoe UI Symbol" w:cs="Segoe UI Symbol"/>
          <w:sz w:val="24"/>
          <w:szCs w:val="24"/>
        </w:rPr>
        <w:t>⮚</w:t>
      </w:r>
      <w:r w:rsidRPr="00183B32">
        <w:rPr>
          <w:rFonts w:ascii="Arial" w:hAnsi="Arial" w:cs="Arial"/>
          <w:sz w:val="24"/>
          <w:szCs w:val="24"/>
        </w:rPr>
        <w:t xml:space="preserve"> No están desarrollados los módulos de almacén e inventarios, nómina y jurídica, por lo cual la operación contable originada en estas dependencias debe registrarse en forma manual en el proceso contable, con el fin de suplir estas carencias la entidad cuenta con los siguientes aplicativos complementarios: </w:t>
      </w:r>
    </w:p>
    <w:p w14:paraId="2FE5F5C8" w14:textId="77777777" w:rsidR="006621BE" w:rsidRPr="00183B32" w:rsidRDefault="006621BE" w:rsidP="007B2C75">
      <w:pPr>
        <w:pStyle w:val="Textoindependiente"/>
        <w:ind w:left="-284" w:right="-234"/>
        <w:jc w:val="both"/>
        <w:rPr>
          <w:rFonts w:ascii="Arial" w:hAnsi="Arial" w:cs="Arial"/>
          <w:sz w:val="24"/>
          <w:szCs w:val="24"/>
        </w:rPr>
      </w:pPr>
    </w:p>
    <w:p w14:paraId="2412D5AC"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Arial" w:hAnsi="Arial" w:cs="Arial"/>
          <w:sz w:val="24"/>
          <w:szCs w:val="24"/>
        </w:rPr>
        <w:t xml:space="preserve">Know it; en el cual se registra el movimiento de almacén e inventarios y se efectúan las depreciaciones y provisiones correspondientes a los bienes muebles e inmuebles de todas las cuantías, que estén al servicio de la entidad y los recibidos en comodato. </w:t>
      </w:r>
    </w:p>
    <w:p w14:paraId="019BDD10" w14:textId="77777777" w:rsidR="006621BE" w:rsidRPr="00183B32" w:rsidRDefault="006621BE" w:rsidP="007B2C75">
      <w:pPr>
        <w:pStyle w:val="Textoindependiente"/>
        <w:ind w:left="-284" w:right="-234"/>
        <w:jc w:val="both"/>
        <w:rPr>
          <w:rFonts w:ascii="Arial" w:hAnsi="Arial" w:cs="Arial"/>
          <w:sz w:val="24"/>
          <w:szCs w:val="24"/>
        </w:rPr>
      </w:pPr>
    </w:p>
    <w:p w14:paraId="537C5D6B"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Arial" w:hAnsi="Arial" w:cs="Arial"/>
          <w:sz w:val="24"/>
          <w:szCs w:val="24"/>
        </w:rPr>
        <w:t xml:space="preserve">Kactus-HCM: en éste aplicativo se liquida la nómina y los beneficios a los empleados por prestaciones sociales. </w:t>
      </w:r>
    </w:p>
    <w:p w14:paraId="6518AAF6" w14:textId="77777777" w:rsidR="006621BE" w:rsidRPr="00183B32" w:rsidRDefault="006621BE" w:rsidP="007B2C75">
      <w:pPr>
        <w:pStyle w:val="Textoindependiente"/>
        <w:ind w:left="-284" w:right="-234"/>
        <w:jc w:val="both"/>
        <w:rPr>
          <w:rFonts w:ascii="Arial" w:hAnsi="Arial" w:cs="Arial"/>
          <w:sz w:val="24"/>
          <w:szCs w:val="24"/>
        </w:rPr>
      </w:pPr>
    </w:p>
    <w:p w14:paraId="7E63838B"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Arial" w:hAnsi="Arial" w:cs="Arial"/>
          <w:sz w:val="24"/>
          <w:szCs w:val="24"/>
        </w:rPr>
        <w:t xml:space="preserve">Ekogui: Sistema Único de Gestión e Información Litigiosa del Estado e-KOGUI, es un aliado de quienes participan en la defensa jurídica del Estado, impulsando la transformación digital, se registran los procesos de litigios y demandas de la entidad. </w:t>
      </w:r>
    </w:p>
    <w:p w14:paraId="4ABA6614" w14:textId="77777777" w:rsidR="006621BE" w:rsidRPr="00183B32" w:rsidRDefault="006621BE" w:rsidP="007B2C75">
      <w:pPr>
        <w:pStyle w:val="Textoindependiente"/>
        <w:ind w:left="-284" w:right="-234"/>
        <w:jc w:val="both"/>
        <w:rPr>
          <w:rFonts w:ascii="Arial" w:hAnsi="Arial" w:cs="Arial"/>
          <w:sz w:val="24"/>
          <w:szCs w:val="24"/>
        </w:rPr>
      </w:pPr>
    </w:p>
    <w:p w14:paraId="6BEAED65"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Segoe UI Symbol" w:hAnsi="Segoe UI Symbol" w:cs="Segoe UI Symbol"/>
          <w:sz w:val="24"/>
          <w:szCs w:val="24"/>
        </w:rPr>
        <w:t>⮚</w:t>
      </w:r>
      <w:r w:rsidRPr="00183B32">
        <w:rPr>
          <w:rFonts w:ascii="Arial" w:hAnsi="Arial" w:cs="Arial"/>
          <w:sz w:val="24"/>
          <w:szCs w:val="24"/>
        </w:rPr>
        <w:t xml:space="preserve"> Se debe reconocer el pasivo de forma manual de las cuentas de nómina las cuales presentan atributo contable diferente a NINGUNO, toda vez que, solo contabiliza en el momento del pago. </w:t>
      </w:r>
    </w:p>
    <w:p w14:paraId="2EA23D9E" w14:textId="77777777" w:rsidR="006621BE" w:rsidRPr="00183B32" w:rsidRDefault="006621BE" w:rsidP="007B2C75">
      <w:pPr>
        <w:pStyle w:val="Textoindependiente"/>
        <w:ind w:left="-284" w:right="-234"/>
        <w:jc w:val="both"/>
        <w:rPr>
          <w:rFonts w:ascii="Arial" w:hAnsi="Arial" w:cs="Arial"/>
          <w:sz w:val="24"/>
          <w:szCs w:val="24"/>
        </w:rPr>
      </w:pPr>
    </w:p>
    <w:p w14:paraId="2122AF0A"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Segoe UI Symbol" w:hAnsi="Segoe UI Symbol" w:cs="Segoe UI Symbol"/>
          <w:sz w:val="24"/>
          <w:szCs w:val="24"/>
        </w:rPr>
        <w:t>⮚</w:t>
      </w:r>
      <w:r w:rsidRPr="00183B32">
        <w:rPr>
          <w:rFonts w:ascii="Arial" w:hAnsi="Arial" w:cs="Arial"/>
          <w:sz w:val="24"/>
          <w:szCs w:val="24"/>
        </w:rPr>
        <w:t xml:space="preserve"> Desde el año 2017, debido a la nueva normatividad presupuestal no es posible registrar obligaciones si no se cuenta con el Programa Anual Mensualizado de Caja — PAC de la vigencia. </w:t>
      </w:r>
    </w:p>
    <w:p w14:paraId="4AA1E7E7" w14:textId="77777777" w:rsidR="006621BE" w:rsidRPr="00183B32" w:rsidRDefault="006621BE" w:rsidP="007B2C75">
      <w:pPr>
        <w:pStyle w:val="Textoindependiente"/>
        <w:ind w:left="-284" w:right="-234"/>
        <w:jc w:val="both"/>
        <w:rPr>
          <w:rFonts w:ascii="Arial" w:hAnsi="Arial" w:cs="Arial"/>
          <w:sz w:val="24"/>
          <w:szCs w:val="24"/>
        </w:rPr>
      </w:pPr>
    </w:p>
    <w:p w14:paraId="404A5785"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Segoe UI Symbol" w:hAnsi="Segoe UI Symbol" w:cs="Segoe UI Symbol"/>
          <w:sz w:val="24"/>
          <w:szCs w:val="24"/>
        </w:rPr>
        <w:t>⮚</w:t>
      </w:r>
      <w:r w:rsidRPr="00183B32">
        <w:rPr>
          <w:rFonts w:ascii="Arial" w:hAnsi="Arial" w:cs="Arial"/>
          <w:sz w:val="24"/>
          <w:szCs w:val="24"/>
        </w:rPr>
        <w:t xml:space="preserve"> En el momento de guardar una obligación, si no se selecciona la pestaña de “Datos Contables”, o la de “USOS PRESUPUESTALES”, el sistema NO la guarda y tampoco permite realizar la modificación para agregar los datos contables, por tanto, se debe iniciar nuevamente todo el proceso. </w:t>
      </w:r>
    </w:p>
    <w:p w14:paraId="7F0C518B" w14:textId="77777777" w:rsidR="006621BE" w:rsidRPr="00183B32" w:rsidRDefault="006621BE" w:rsidP="007B2C75">
      <w:pPr>
        <w:pStyle w:val="Textoindependiente"/>
        <w:ind w:left="-284" w:right="-234"/>
        <w:jc w:val="both"/>
        <w:rPr>
          <w:rFonts w:ascii="Arial" w:hAnsi="Arial" w:cs="Arial"/>
          <w:sz w:val="24"/>
          <w:szCs w:val="24"/>
        </w:rPr>
      </w:pPr>
      <w:r w:rsidRPr="00183B32">
        <w:rPr>
          <w:rFonts w:ascii="Segoe UI Symbol" w:hAnsi="Segoe UI Symbol" w:cs="Segoe UI Symbol"/>
          <w:sz w:val="24"/>
          <w:szCs w:val="24"/>
        </w:rPr>
        <w:t>⮚</w:t>
      </w:r>
      <w:r w:rsidRPr="00183B32">
        <w:rPr>
          <w:rFonts w:ascii="Arial" w:hAnsi="Arial" w:cs="Arial"/>
          <w:sz w:val="24"/>
          <w:szCs w:val="24"/>
        </w:rPr>
        <w:t xml:space="preserve"> Restricción del horario en el sistema SIIF, para verificar el detalle de los documentos electrónicos, lo que genera demora en el proceso teniendo en cuenta un cierre. </w:t>
      </w:r>
    </w:p>
    <w:p w14:paraId="16A14599" w14:textId="77777777" w:rsidR="006621BE" w:rsidRPr="00183B32" w:rsidRDefault="006621BE" w:rsidP="007B2C75">
      <w:pPr>
        <w:pStyle w:val="Textoindependiente"/>
        <w:ind w:left="-284" w:right="-234"/>
        <w:jc w:val="both"/>
        <w:rPr>
          <w:rFonts w:ascii="Arial" w:hAnsi="Arial" w:cs="Arial"/>
          <w:sz w:val="24"/>
          <w:szCs w:val="24"/>
        </w:rPr>
      </w:pPr>
    </w:p>
    <w:p w14:paraId="43F7BB0D" w14:textId="77777777" w:rsidR="006621BE" w:rsidRDefault="006621BE" w:rsidP="007B2C75">
      <w:pPr>
        <w:pStyle w:val="Textoindependiente"/>
        <w:ind w:left="-284" w:right="-234"/>
        <w:jc w:val="both"/>
        <w:rPr>
          <w:rFonts w:ascii="Arial" w:hAnsi="Arial" w:cs="Arial"/>
          <w:sz w:val="24"/>
          <w:szCs w:val="24"/>
        </w:rPr>
      </w:pPr>
      <w:r w:rsidRPr="00183B32">
        <w:rPr>
          <w:rFonts w:ascii="Arial" w:hAnsi="Arial" w:cs="Arial"/>
          <w:sz w:val="24"/>
          <w:szCs w:val="24"/>
        </w:rPr>
        <w:t xml:space="preserve">La información contable del Fondo Nacional de Gestión del Riesgo de Desastres (FNGRD) se elabora mediante agregación contable, dado que la fiducia es la entidad responsable de suministrar </w:t>
      </w:r>
      <w:r w:rsidRPr="00183B32">
        <w:rPr>
          <w:rFonts w:ascii="Arial" w:hAnsi="Arial" w:cs="Arial"/>
          <w:sz w:val="24"/>
          <w:szCs w:val="24"/>
        </w:rPr>
        <w:lastRenderedPageBreak/>
        <w:t>los datos necesarios para la elaboración de los estados financieros. No obstante, debido a que dicha información depende exclusivamente de los reportes proporcionados por la fiducia, el proceso de agregación contable se ve limitado por la disponibilidad y precisión de dichos datos. En este contexto, la UNGRD al realizar el proceso de agregación contable mediante homologación, no tiene acceso directo a los registros contables originales ni a la validación completa de la información subyacente, lo que genera incertidumbre respecto a la exactitud y exhaustividad de la información reflejada en los estados financieros. Es importante resaltar que la incertidumbre se concentra especialmente en los saldos correspondientes a la vigencia 2023 y años anteriores, los cuales generan una mayor complejidad para su validación y pueden afectar la confiabilidad de los saldos reportados. Por lo tanto, el contador de la entidad no puede garantizar con certeza total la veracidad de los datos agregados de estos períodos y se hace necesario considerar esta incertidumbre al emitir una opinión sobre la fiabilidad de la información presentada.</w:t>
      </w:r>
    </w:p>
    <w:p w14:paraId="11CFAB9B" w14:textId="77777777" w:rsidR="006621BE" w:rsidRDefault="006621BE" w:rsidP="007B2C75">
      <w:pPr>
        <w:pStyle w:val="Textoindependiente"/>
        <w:ind w:left="-284" w:right="-234"/>
        <w:jc w:val="both"/>
        <w:rPr>
          <w:rFonts w:ascii="Arial" w:hAnsi="Arial" w:cs="Arial"/>
          <w:sz w:val="24"/>
          <w:szCs w:val="24"/>
        </w:rPr>
      </w:pPr>
    </w:p>
    <w:p w14:paraId="66F71087" w14:textId="77777777" w:rsidR="006621BE" w:rsidRPr="006E15FA" w:rsidRDefault="006621BE" w:rsidP="006621BE">
      <w:pPr>
        <w:ind w:left="-284"/>
        <w:rPr>
          <w:rFonts w:ascii="Arial" w:hAnsi="Arial" w:cs="Arial"/>
          <w:b/>
          <w:sz w:val="28"/>
          <w:szCs w:val="28"/>
          <w:lang w:val="es-MX"/>
        </w:rPr>
      </w:pPr>
      <w:r w:rsidRPr="006E15FA">
        <w:rPr>
          <w:rFonts w:ascii="Arial" w:hAnsi="Arial" w:cs="Arial"/>
          <w:b/>
          <w:sz w:val="28"/>
          <w:szCs w:val="28"/>
        </w:rPr>
        <w:t>63.- AGENCIA DE RENOVACIÓN DE TERRITORIO - ART.</w:t>
      </w:r>
    </w:p>
    <w:p w14:paraId="2F42063A" w14:textId="77777777" w:rsidR="006621BE" w:rsidRDefault="006621BE" w:rsidP="006621BE">
      <w:pPr>
        <w:ind w:left="-284" w:right="49"/>
        <w:jc w:val="both"/>
        <w:rPr>
          <w:rFonts w:ascii="Arial" w:hAnsi="Arial" w:cs="Arial"/>
          <w:b/>
          <w:sz w:val="24"/>
          <w:szCs w:val="24"/>
        </w:rPr>
      </w:pPr>
    </w:p>
    <w:tbl>
      <w:tblPr>
        <w:tblStyle w:val="Tablaconcuadrcula"/>
        <w:tblW w:w="10433" w:type="dxa"/>
        <w:jc w:val="center"/>
        <w:tblLook w:val="04A0" w:firstRow="1" w:lastRow="0" w:firstColumn="1" w:lastColumn="0" w:noHBand="0" w:noVBand="1"/>
      </w:tblPr>
      <w:tblGrid>
        <w:gridCol w:w="988"/>
        <w:gridCol w:w="4252"/>
        <w:gridCol w:w="5193"/>
      </w:tblGrid>
      <w:tr w:rsidR="006621BE" w:rsidRPr="003A2B27" w14:paraId="4ED3FF78" w14:textId="77777777" w:rsidTr="007B2C75">
        <w:trPr>
          <w:jc w:val="center"/>
        </w:trPr>
        <w:tc>
          <w:tcPr>
            <w:tcW w:w="988" w:type="dxa"/>
          </w:tcPr>
          <w:p w14:paraId="12F5AA3A" w14:textId="77777777" w:rsidR="006621BE" w:rsidRPr="003A2B27" w:rsidRDefault="006621BE" w:rsidP="00EF5AF2">
            <w:pPr>
              <w:tabs>
                <w:tab w:val="left" w:pos="875"/>
              </w:tabs>
              <w:ind w:right="-50"/>
              <w:jc w:val="center"/>
              <w:rPr>
                <w:rFonts w:ascii="Arial" w:hAnsi="Arial" w:cs="Arial"/>
                <w:b/>
              </w:rPr>
            </w:pPr>
            <w:r w:rsidRPr="003A2B27">
              <w:rPr>
                <w:rFonts w:ascii="Arial" w:hAnsi="Arial" w:cs="Arial"/>
                <w:b/>
              </w:rPr>
              <w:t>N°</w:t>
            </w:r>
          </w:p>
        </w:tc>
        <w:tc>
          <w:tcPr>
            <w:tcW w:w="4252" w:type="dxa"/>
          </w:tcPr>
          <w:p w14:paraId="75902DA9" w14:textId="77777777" w:rsidR="006621BE" w:rsidRPr="003A2B27" w:rsidRDefault="006621BE" w:rsidP="00EF5AF2">
            <w:pPr>
              <w:tabs>
                <w:tab w:val="left" w:pos="875"/>
              </w:tabs>
              <w:ind w:right="-50"/>
              <w:jc w:val="center"/>
              <w:rPr>
                <w:rFonts w:ascii="Arial" w:hAnsi="Arial" w:cs="Arial"/>
                <w:b/>
              </w:rPr>
            </w:pPr>
            <w:r w:rsidRPr="003A2B27">
              <w:rPr>
                <w:rFonts w:ascii="Arial" w:hAnsi="Arial" w:cs="Arial"/>
                <w:b/>
              </w:rPr>
              <w:t>Limitaciones del Sistema SIIF II Nación a 31/12/2024</w:t>
            </w:r>
          </w:p>
          <w:p w14:paraId="3734AE3F" w14:textId="77777777" w:rsidR="006621BE" w:rsidRPr="003A2B27" w:rsidRDefault="006621BE" w:rsidP="00EF5AF2">
            <w:pPr>
              <w:tabs>
                <w:tab w:val="left" w:pos="875"/>
              </w:tabs>
              <w:ind w:right="-50"/>
              <w:jc w:val="center"/>
              <w:rPr>
                <w:rFonts w:ascii="Arial" w:hAnsi="Arial" w:cs="Arial"/>
                <w:b/>
              </w:rPr>
            </w:pPr>
          </w:p>
        </w:tc>
        <w:tc>
          <w:tcPr>
            <w:tcW w:w="5193" w:type="dxa"/>
          </w:tcPr>
          <w:p w14:paraId="7B0D787B" w14:textId="77777777" w:rsidR="006621BE" w:rsidRPr="003A2B27" w:rsidRDefault="006621BE" w:rsidP="00EF5AF2">
            <w:pPr>
              <w:tabs>
                <w:tab w:val="left" w:pos="875"/>
              </w:tabs>
              <w:ind w:right="-50"/>
              <w:jc w:val="center"/>
              <w:rPr>
                <w:rFonts w:ascii="Arial" w:hAnsi="Arial" w:cs="Arial"/>
                <w:b/>
              </w:rPr>
            </w:pPr>
            <w:r w:rsidRPr="003A2B27">
              <w:rPr>
                <w:rFonts w:ascii="Arial" w:hAnsi="Arial" w:cs="Arial"/>
                <w:b/>
              </w:rPr>
              <w:t>Descripción de la limitación</w:t>
            </w:r>
          </w:p>
        </w:tc>
      </w:tr>
      <w:tr w:rsidR="006621BE" w:rsidRPr="003A2B27" w14:paraId="0308D520" w14:textId="77777777" w:rsidTr="007B2C75">
        <w:trPr>
          <w:jc w:val="center"/>
        </w:trPr>
        <w:tc>
          <w:tcPr>
            <w:tcW w:w="988" w:type="dxa"/>
          </w:tcPr>
          <w:p w14:paraId="35FC70F1" w14:textId="77777777" w:rsidR="006621BE" w:rsidRPr="003A2B27" w:rsidRDefault="006621BE" w:rsidP="00EF5AF2">
            <w:pPr>
              <w:tabs>
                <w:tab w:val="left" w:pos="875"/>
              </w:tabs>
              <w:ind w:right="-50"/>
              <w:jc w:val="center"/>
              <w:rPr>
                <w:rFonts w:ascii="Arial" w:hAnsi="Arial" w:cs="Arial"/>
                <w:b/>
              </w:rPr>
            </w:pPr>
            <w:r w:rsidRPr="003A2B27">
              <w:rPr>
                <w:rFonts w:ascii="Arial" w:hAnsi="Arial" w:cs="Arial"/>
                <w:b/>
              </w:rPr>
              <w:t>1</w:t>
            </w:r>
          </w:p>
        </w:tc>
        <w:tc>
          <w:tcPr>
            <w:tcW w:w="4252" w:type="dxa"/>
          </w:tcPr>
          <w:p w14:paraId="308598EE" w14:textId="77777777" w:rsidR="006621BE" w:rsidRPr="003A2B27" w:rsidRDefault="006621BE" w:rsidP="00EF5AF2">
            <w:pPr>
              <w:tabs>
                <w:tab w:val="left" w:pos="875"/>
              </w:tabs>
              <w:ind w:left="-244"/>
              <w:jc w:val="both"/>
              <w:rPr>
                <w:rFonts w:ascii="Arial" w:hAnsi="Arial" w:cs="Arial"/>
                <w:b/>
              </w:rPr>
            </w:pPr>
            <w:r w:rsidRPr="003A2B27">
              <w:rPr>
                <w:rFonts w:ascii="Arial" w:hAnsi="Arial" w:cs="Arial"/>
                <w:b/>
              </w:rPr>
              <w:t>Técnicas:</w:t>
            </w:r>
          </w:p>
        </w:tc>
        <w:tc>
          <w:tcPr>
            <w:tcW w:w="5193" w:type="dxa"/>
          </w:tcPr>
          <w:p w14:paraId="1048B1F7" w14:textId="77777777" w:rsidR="006621BE" w:rsidRPr="003A2B27" w:rsidRDefault="006621BE" w:rsidP="00EF5AF2">
            <w:pPr>
              <w:tabs>
                <w:tab w:val="left" w:pos="875"/>
              </w:tabs>
              <w:ind w:right="-50"/>
              <w:jc w:val="both"/>
              <w:rPr>
                <w:rFonts w:ascii="Arial" w:hAnsi="Arial" w:cs="Arial"/>
              </w:rPr>
            </w:pPr>
            <w:r w:rsidRPr="003A2B27">
              <w:rPr>
                <w:rFonts w:ascii="Arial" w:hAnsi="Arial" w:cs="Arial"/>
              </w:rPr>
              <w:t xml:space="preserve">Demora en los tiempos de cargue de las facturas electrónicas en SIIF Nación, para vincularlas al momento de obligar, lo que genera retrasos en el proceso de pago de las cuentas (Contabilidad) </w:t>
            </w:r>
          </w:p>
          <w:p w14:paraId="4FDFF97E" w14:textId="77777777" w:rsidR="006621BE" w:rsidRPr="003A2B27" w:rsidRDefault="006621BE" w:rsidP="00EF5AF2">
            <w:pPr>
              <w:tabs>
                <w:tab w:val="left" w:pos="875"/>
              </w:tabs>
              <w:ind w:right="-50"/>
              <w:jc w:val="both"/>
              <w:rPr>
                <w:rFonts w:ascii="Arial" w:hAnsi="Arial" w:cs="Arial"/>
              </w:rPr>
            </w:pPr>
          </w:p>
          <w:p w14:paraId="5E73296B" w14:textId="77777777" w:rsidR="006621BE" w:rsidRPr="003A2B27" w:rsidRDefault="006621BE" w:rsidP="00EF5AF2">
            <w:pPr>
              <w:tabs>
                <w:tab w:val="left" w:pos="875"/>
              </w:tabs>
              <w:ind w:right="-50"/>
              <w:jc w:val="both"/>
              <w:rPr>
                <w:rFonts w:ascii="Arial" w:hAnsi="Arial" w:cs="Arial"/>
              </w:rPr>
            </w:pPr>
            <w:r w:rsidRPr="003A2B27">
              <w:rPr>
                <w:rFonts w:ascii="Arial" w:hAnsi="Arial" w:cs="Arial"/>
              </w:rPr>
              <w:t>No se tuvieron limitaciones técnicas en SIIF en el ámbito presupuestal y contable.</w:t>
            </w:r>
          </w:p>
        </w:tc>
      </w:tr>
      <w:tr w:rsidR="006621BE" w:rsidRPr="003A2B27" w14:paraId="4765BEFF" w14:textId="77777777" w:rsidTr="007B2C75">
        <w:trPr>
          <w:jc w:val="center"/>
        </w:trPr>
        <w:tc>
          <w:tcPr>
            <w:tcW w:w="988" w:type="dxa"/>
          </w:tcPr>
          <w:p w14:paraId="04E4EBA5" w14:textId="77777777" w:rsidR="006621BE" w:rsidRPr="003A2B27" w:rsidRDefault="006621BE" w:rsidP="00EF5AF2">
            <w:pPr>
              <w:tabs>
                <w:tab w:val="left" w:pos="875"/>
              </w:tabs>
              <w:ind w:right="-50"/>
              <w:jc w:val="center"/>
              <w:rPr>
                <w:rFonts w:ascii="Arial" w:hAnsi="Arial" w:cs="Arial"/>
                <w:b/>
              </w:rPr>
            </w:pPr>
            <w:r w:rsidRPr="003A2B27">
              <w:rPr>
                <w:rFonts w:ascii="Arial" w:hAnsi="Arial" w:cs="Arial"/>
                <w:b/>
              </w:rPr>
              <w:t>2</w:t>
            </w:r>
          </w:p>
        </w:tc>
        <w:tc>
          <w:tcPr>
            <w:tcW w:w="4252" w:type="dxa"/>
          </w:tcPr>
          <w:p w14:paraId="5D30C334" w14:textId="77777777" w:rsidR="006621BE" w:rsidRPr="003A2B27" w:rsidRDefault="006621BE" w:rsidP="00EF5AF2">
            <w:pPr>
              <w:tabs>
                <w:tab w:val="left" w:pos="875"/>
              </w:tabs>
              <w:ind w:right="-50"/>
              <w:jc w:val="both"/>
              <w:rPr>
                <w:rFonts w:ascii="Arial" w:hAnsi="Arial" w:cs="Arial"/>
                <w:b/>
              </w:rPr>
            </w:pPr>
            <w:r w:rsidRPr="003A2B27">
              <w:rPr>
                <w:rFonts w:ascii="Arial" w:hAnsi="Arial" w:cs="Arial"/>
                <w:b/>
              </w:rPr>
              <w:t>Operativas:</w:t>
            </w:r>
          </w:p>
        </w:tc>
        <w:tc>
          <w:tcPr>
            <w:tcW w:w="5193" w:type="dxa"/>
          </w:tcPr>
          <w:p w14:paraId="32BD7D72" w14:textId="77777777" w:rsidR="006621BE" w:rsidRPr="003A2B27" w:rsidRDefault="006621BE" w:rsidP="00CB6055">
            <w:pPr>
              <w:pStyle w:val="Prrafodelista"/>
              <w:numPr>
                <w:ilvl w:val="0"/>
                <w:numId w:val="19"/>
              </w:numPr>
              <w:tabs>
                <w:tab w:val="left" w:pos="875"/>
              </w:tabs>
              <w:spacing w:before="1"/>
              <w:ind w:right="-50"/>
              <w:jc w:val="both"/>
              <w:rPr>
                <w:rFonts w:ascii="Arial" w:hAnsi="Arial" w:cs="Arial"/>
              </w:rPr>
            </w:pPr>
            <w:r w:rsidRPr="003A2B27">
              <w:rPr>
                <w:rFonts w:ascii="Arial" w:hAnsi="Arial" w:cs="Arial"/>
              </w:rPr>
              <w:t>Intermitencia en la generación de consultas, reportes de saldos por subunidad, procesamiento de obligaciones y acceso al aplicativo (Contabilidad).</w:t>
            </w:r>
          </w:p>
          <w:p w14:paraId="2A82479F" w14:textId="77777777" w:rsidR="006621BE" w:rsidRPr="003A2B27" w:rsidRDefault="006621BE" w:rsidP="00EF5AF2">
            <w:pPr>
              <w:pStyle w:val="Prrafodelista"/>
              <w:tabs>
                <w:tab w:val="left" w:pos="875"/>
              </w:tabs>
              <w:ind w:left="1230" w:right="-50"/>
              <w:rPr>
                <w:rFonts w:ascii="Arial" w:hAnsi="Arial" w:cs="Arial"/>
              </w:rPr>
            </w:pPr>
          </w:p>
          <w:p w14:paraId="630263FE" w14:textId="77777777" w:rsidR="006621BE" w:rsidRPr="003A2B27" w:rsidRDefault="006621BE" w:rsidP="00CB6055">
            <w:pPr>
              <w:pStyle w:val="Prrafodelista"/>
              <w:numPr>
                <w:ilvl w:val="0"/>
                <w:numId w:val="19"/>
              </w:numPr>
              <w:tabs>
                <w:tab w:val="left" w:pos="875"/>
              </w:tabs>
              <w:spacing w:before="1"/>
              <w:ind w:right="-50"/>
              <w:jc w:val="both"/>
              <w:rPr>
                <w:rFonts w:ascii="Arial" w:hAnsi="Arial" w:cs="Arial"/>
              </w:rPr>
            </w:pPr>
            <w:r w:rsidRPr="003A2B27">
              <w:rPr>
                <w:rFonts w:ascii="Arial" w:hAnsi="Arial" w:cs="Arial"/>
              </w:rPr>
              <w:t>Tipificaciones: Las cuentas contables que se requiere contabilizar no coinciden con las tipificaciones y en algunos casos las cuentas no tenían ninguna tipificación asociada. (Contabilidad)</w:t>
            </w:r>
          </w:p>
          <w:p w14:paraId="6DC3012E" w14:textId="77777777" w:rsidR="006621BE" w:rsidRPr="003A2B27" w:rsidRDefault="006621BE" w:rsidP="00EF5AF2">
            <w:pPr>
              <w:tabs>
                <w:tab w:val="left" w:pos="875"/>
              </w:tabs>
              <w:ind w:right="-50"/>
              <w:jc w:val="both"/>
              <w:rPr>
                <w:rFonts w:ascii="Arial" w:hAnsi="Arial" w:cs="Arial"/>
              </w:rPr>
            </w:pPr>
          </w:p>
          <w:p w14:paraId="6D112FDA" w14:textId="77777777" w:rsidR="006621BE" w:rsidRPr="003A2B27" w:rsidRDefault="006621BE" w:rsidP="00EF5AF2">
            <w:pPr>
              <w:tabs>
                <w:tab w:val="left" w:pos="875"/>
              </w:tabs>
              <w:ind w:right="-50"/>
              <w:jc w:val="both"/>
              <w:rPr>
                <w:rFonts w:ascii="Arial" w:hAnsi="Arial" w:cs="Arial"/>
              </w:rPr>
            </w:pPr>
            <w:r w:rsidRPr="003A2B27">
              <w:rPr>
                <w:rFonts w:ascii="Arial" w:hAnsi="Arial" w:cs="Arial"/>
              </w:rPr>
              <w:t>No se tuvieron limitaciones operativas en SIIF en el ámbito presupuestal.</w:t>
            </w:r>
          </w:p>
        </w:tc>
      </w:tr>
    </w:tbl>
    <w:p w14:paraId="255D1FC5" w14:textId="77777777" w:rsidR="006621BE" w:rsidRDefault="006621BE" w:rsidP="006621BE">
      <w:pPr>
        <w:ind w:left="-284" w:right="49"/>
        <w:jc w:val="both"/>
        <w:rPr>
          <w:rFonts w:ascii="Arial" w:hAnsi="Arial" w:cs="Arial"/>
          <w:b/>
          <w:sz w:val="24"/>
          <w:szCs w:val="24"/>
        </w:rPr>
      </w:pPr>
    </w:p>
    <w:p w14:paraId="009887F6" w14:textId="77777777" w:rsidR="006621BE" w:rsidRPr="00D517F4" w:rsidRDefault="006621BE" w:rsidP="006621BE">
      <w:pPr>
        <w:ind w:left="-284" w:right="-234"/>
        <w:jc w:val="both"/>
        <w:rPr>
          <w:rFonts w:ascii="Arial" w:hAnsi="Arial" w:cs="Arial"/>
          <w:b/>
          <w:sz w:val="28"/>
          <w:szCs w:val="28"/>
        </w:rPr>
      </w:pPr>
      <w:r w:rsidRPr="00D517F4">
        <w:rPr>
          <w:rFonts w:ascii="Arial" w:hAnsi="Arial" w:cs="Arial"/>
          <w:b/>
          <w:sz w:val="28"/>
          <w:szCs w:val="28"/>
          <w:lang w:val="es-MX"/>
        </w:rPr>
        <w:t xml:space="preserve">64.- </w:t>
      </w:r>
      <w:r w:rsidRPr="00D517F4">
        <w:rPr>
          <w:rFonts w:ascii="Arial" w:hAnsi="Arial" w:cs="Arial"/>
          <w:b/>
          <w:sz w:val="28"/>
          <w:szCs w:val="28"/>
        </w:rPr>
        <w:t>AGENCIA PRESIDENCIAL DE COOPERACIÓN INTERNACIONAL DE COLOMBIA APC - COLOMBIA.</w:t>
      </w:r>
    </w:p>
    <w:p w14:paraId="76A48F1A" w14:textId="77777777" w:rsidR="006621BE" w:rsidRDefault="006621BE" w:rsidP="006621BE">
      <w:pPr>
        <w:ind w:left="-284" w:right="-234"/>
        <w:jc w:val="both"/>
        <w:rPr>
          <w:rFonts w:ascii="Arial" w:hAnsi="Arial" w:cs="Arial"/>
          <w:b/>
          <w:sz w:val="28"/>
          <w:szCs w:val="28"/>
        </w:rPr>
      </w:pPr>
    </w:p>
    <w:p w14:paraId="2212D521" w14:textId="77777777" w:rsidR="006621BE" w:rsidRPr="00D517F4" w:rsidRDefault="006621BE" w:rsidP="006621BE">
      <w:pPr>
        <w:pStyle w:val="Textoindependiente"/>
        <w:ind w:left="-284" w:right="-234"/>
        <w:jc w:val="both"/>
        <w:rPr>
          <w:rFonts w:ascii="Arial" w:hAnsi="Arial" w:cs="Arial"/>
          <w:sz w:val="24"/>
          <w:szCs w:val="24"/>
        </w:rPr>
      </w:pPr>
      <w:r w:rsidRPr="00D517F4">
        <w:rPr>
          <w:rFonts w:ascii="Arial" w:hAnsi="Arial" w:cs="Arial"/>
          <w:b/>
          <w:sz w:val="24"/>
          <w:szCs w:val="24"/>
        </w:rPr>
        <w:t xml:space="preserve">2.5. Otros Aspectos: 2.5.1.3. Administración de Procesos Jurídicos: </w:t>
      </w:r>
      <w:r w:rsidRPr="00D517F4">
        <w:rPr>
          <w:rFonts w:ascii="Arial" w:hAnsi="Arial" w:cs="Arial"/>
          <w:sz w:val="24"/>
          <w:szCs w:val="24"/>
        </w:rPr>
        <w:t>La información de los procesos jurídicos a favor y en contra de la Agencia Presidencial de Cooperación Internacional de Colombia, APC-Colombia, se administra a través del aplicativo Ekogui y en hoja de cálculo en Excel la Oficina Asesora Jurídica reporta a contabilidad</w:t>
      </w:r>
      <w:r w:rsidRPr="00D517F4">
        <w:rPr>
          <w:rFonts w:ascii="Arial" w:hAnsi="Arial" w:cs="Arial"/>
          <w:b/>
          <w:sz w:val="24"/>
          <w:szCs w:val="24"/>
          <w:u w:val="single"/>
        </w:rPr>
        <w:t>, ya que no existe un módulo específico en el Sistema de Información Financiera SIIF Nación II. El detalle del estado de cada proceso lo administra directamente la oficina proveedora de la información</w:t>
      </w:r>
      <w:r w:rsidRPr="00D517F4">
        <w:rPr>
          <w:rFonts w:ascii="Arial" w:hAnsi="Arial" w:cs="Arial"/>
          <w:sz w:val="24"/>
          <w:szCs w:val="24"/>
        </w:rPr>
        <w:t>.</w:t>
      </w:r>
    </w:p>
    <w:p w14:paraId="47871B98" w14:textId="77777777" w:rsidR="006621BE" w:rsidRPr="00D517F4" w:rsidRDefault="006621BE" w:rsidP="006621BE">
      <w:pPr>
        <w:pStyle w:val="Textoindependiente"/>
        <w:ind w:left="-284" w:right="-234"/>
        <w:jc w:val="both"/>
        <w:rPr>
          <w:rFonts w:ascii="Arial" w:hAnsi="Arial" w:cs="Arial"/>
          <w:sz w:val="24"/>
          <w:szCs w:val="24"/>
        </w:rPr>
      </w:pPr>
    </w:p>
    <w:p w14:paraId="253A706F" w14:textId="77777777" w:rsidR="006621BE" w:rsidRPr="00D517F4" w:rsidRDefault="006621BE" w:rsidP="006621BE">
      <w:pPr>
        <w:pStyle w:val="Textoindependiente"/>
        <w:ind w:left="-284" w:right="-234"/>
        <w:jc w:val="both"/>
        <w:rPr>
          <w:rFonts w:ascii="Arial" w:hAnsi="Arial" w:cs="Arial"/>
          <w:sz w:val="24"/>
          <w:szCs w:val="24"/>
        </w:rPr>
      </w:pPr>
      <w:r w:rsidRPr="00D517F4">
        <w:rPr>
          <w:rFonts w:ascii="Arial" w:hAnsi="Arial" w:cs="Arial"/>
          <w:b/>
          <w:bCs/>
          <w:sz w:val="24"/>
          <w:szCs w:val="24"/>
        </w:rPr>
        <w:t xml:space="preserve">2.5.2.5. Limitaciones del Sistema Integrado de Información Financiera – SIIF NACIÓN: </w:t>
      </w:r>
      <w:r w:rsidRPr="00D517F4">
        <w:rPr>
          <w:rFonts w:ascii="Arial" w:hAnsi="Arial" w:cs="Arial"/>
          <w:sz w:val="24"/>
          <w:szCs w:val="24"/>
        </w:rPr>
        <w:t xml:space="preserve">Para el seguimiento y control de las cuentas con gran movimiento en la entidad como los Recursos </w:t>
      </w:r>
      <w:r w:rsidRPr="00D517F4">
        <w:rPr>
          <w:rFonts w:ascii="Arial" w:hAnsi="Arial" w:cs="Arial"/>
          <w:sz w:val="24"/>
          <w:szCs w:val="24"/>
        </w:rPr>
        <w:lastRenderedPageBreak/>
        <w:t xml:space="preserve">Entregados en Administración, se requiere de un manejo adicional en hojas de cálculo Excel por número de convenio o por proyecto, ya que SIIF Nación solo permite registrar la información por tercero y no genera el detalle por convenio. </w:t>
      </w:r>
    </w:p>
    <w:p w14:paraId="4DF82079" w14:textId="77777777" w:rsidR="006621BE" w:rsidRPr="00D517F4" w:rsidRDefault="006621BE" w:rsidP="006621BE">
      <w:pPr>
        <w:pStyle w:val="Textoindependiente"/>
        <w:ind w:left="-284" w:right="-234"/>
        <w:jc w:val="both"/>
        <w:rPr>
          <w:rFonts w:ascii="Arial" w:hAnsi="Arial" w:cs="Arial"/>
          <w:sz w:val="24"/>
          <w:szCs w:val="24"/>
        </w:rPr>
      </w:pPr>
    </w:p>
    <w:p w14:paraId="4302AD1B" w14:textId="77777777" w:rsidR="006621BE" w:rsidRPr="00D517F4" w:rsidRDefault="006621BE" w:rsidP="006621BE">
      <w:pPr>
        <w:pStyle w:val="Textoindependiente"/>
        <w:ind w:left="-284" w:right="-234"/>
        <w:jc w:val="both"/>
        <w:rPr>
          <w:rFonts w:ascii="Arial" w:hAnsi="Arial" w:cs="Arial"/>
          <w:sz w:val="24"/>
          <w:szCs w:val="24"/>
        </w:rPr>
      </w:pPr>
      <w:r w:rsidRPr="00D517F4">
        <w:rPr>
          <w:rFonts w:ascii="Arial" w:hAnsi="Arial" w:cs="Arial"/>
          <w:sz w:val="24"/>
          <w:szCs w:val="24"/>
        </w:rPr>
        <w:t xml:space="preserve">El reporte definitivo de “Operaciones Recíprocas” que se genera del SIIF no contiene algunas de las cuentas contables incluidas en las reglas de eliminación establecidas por la Contaduría General de la Nación, ni algunas identificaciones de entidades públicas, por lo que deben incluirse de forma manual para su transmisión vía CHIP. </w:t>
      </w:r>
    </w:p>
    <w:p w14:paraId="58B7B4E8" w14:textId="77777777" w:rsidR="006621BE" w:rsidRPr="00D517F4" w:rsidRDefault="006621BE" w:rsidP="006621BE">
      <w:pPr>
        <w:pStyle w:val="Textoindependiente"/>
        <w:ind w:left="-284" w:right="-234"/>
        <w:jc w:val="both"/>
        <w:rPr>
          <w:rFonts w:ascii="Arial" w:hAnsi="Arial" w:cs="Arial"/>
          <w:sz w:val="24"/>
          <w:szCs w:val="24"/>
        </w:rPr>
      </w:pPr>
    </w:p>
    <w:p w14:paraId="1AA408CB" w14:textId="77777777" w:rsidR="006621BE" w:rsidRPr="00D517F4" w:rsidRDefault="006621BE" w:rsidP="006621BE">
      <w:pPr>
        <w:pStyle w:val="Textoindependiente"/>
        <w:ind w:left="-284" w:right="-234"/>
        <w:jc w:val="both"/>
        <w:rPr>
          <w:rFonts w:ascii="Arial" w:hAnsi="Arial" w:cs="Arial"/>
          <w:sz w:val="24"/>
          <w:szCs w:val="24"/>
        </w:rPr>
      </w:pPr>
      <w:r w:rsidRPr="00D517F4">
        <w:rPr>
          <w:rFonts w:ascii="Arial" w:hAnsi="Arial" w:cs="Arial"/>
          <w:sz w:val="24"/>
          <w:szCs w:val="24"/>
        </w:rPr>
        <w:t xml:space="preserve">Los reportes de obligaciones presupuestales no permiten identificar en su impresión inmediata las cuentas contables afectadas, lo cual impide identificar si el asiento contable fue el adecuado de primera mano, para evitar asientos contables manuales de reclasificación de cuentas. </w:t>
      </w:r>
    </w:p>
    <w:p w14:paraId="21F2056D" w14:textId="77777777" w:rsidR="006621BE" w:rsidRPr="00D517F4" w:rsidRDefault="006621BE" w:rsidP="006621BE">
      <w:pPr>
        <w:pStyle w:val="Textoindependiente"/>
        <w:ind w:left="-284" w:right="-234"/>
        <w:jc w:val="both"/>
        <w:rPr>
          <w:rFonts w:ascii="Arial" w:hAnsi="Arial" w:cs="Arial"/>
          <w:sz w:val="24"/>
          <w:szCs w:val="24"/>
        </w:rPr>
      </w:pPr>
      <w:r w:rsidRPr="00D517F4">
        <w:rPr>
          <w:rFonts w:ascii="Arial" w:hAnsi="Arial" w:cs="Arial"/>
          <w:sz w:val="24"/>
          <w:szCs w:val="24"/>
        </w:rPr>
        <w:t xml:space="preserve">El sistema no genera reportes auxiliares contables detallados mayor a un mes, lo que produce más reprocesos para la revisión de los movimientos que se hayan registrado para un determinado tercero durante un periodo más amplio. Este análisis se puede efectuar una vez se haya exportado la información a una hoja de cálculo Excel y se consoliden los reportes generados de SIIF Nación por cada mes a verificar. </w:t>
      </w:r>
    </w:p>
    <w:p w14:paraId="5CC6EA7B" w14:textId="77777777" w:rsidR="006621BE" w:rsidRPr="00D517F4" w:rsidRDefault="006621BE" w:rsidP="006621BE">
      <w:pPr>
        <w:pStyle w:val="Textoindependiente"/>
        <w:ind w:left="-284" w:right="-234"/>
        <w:jc w:val="both"/>
        <w:rPr>
          <w:rFonts w:ascii="Arial" w:hAnsi="Arial" w:cs="Arial"/>
          <w:sz w:val="24"/>
          <w:szCs w:val="24"/>
        </w:rPr>
      </w:pPr>
    </w:p>
    <w:p w14:paraId="561E6040" w14:textId="77777777" w:rsidR="006621BE" w:rsidRPr="00D517F4" w:rsidRDefault="006621BE" w:rsidP="006621BE">
      <w:pPr>
        <w:pStyle w:val="Textoindependiente"/>
        <w:ind w:left="-284" w:right="-234"/>
        <w:jc w:val="both"/>
        <w:rPr>
          <w:rFonts w:ascii="Arial" w:hAnsi="Arial" w:cs="Arial"/>
          <w:sz w:val="24"/>
          <w:szCs w:val="24"/>
        </w:rPr>
      </w:pPr>
      <w:r w:rsidRPr="00D517F4">
        <w:rPr>
          <w:rFonts w:ascii="Arial" w:hAnsi="Arial" w:cs="Arial"/>
          <w:sz w:val="24"/>
          <w:szCs w:val="24"/>
        </w:rPr>
        <w:t xml:space="preserve">Para el proceso de ajustes, en la vigencia 2023 adicionaron verificar el listado de tipologías definidas en el Sistema Integrado de Información Financiera SIIF Nación, con sus correspondientes descripciones, para los casos en los que la entidad requiera el uso de registros contables mediante la funcionalidad de comprobantes manuales. </w:t>
      </w:r>
    </w:p>
    <w:p w14:paraId="665F62D8" w14:textId="77777777" w:rsidR="006621BE" w:rsidRPr="00D517F4" w:rsidRDefault="006621BE" w:rsidP="006621BE">
      <w:pPr>
        <w:pStyle w:val="Textoindependiente"/>
        <w:ind w:left="-284" w:right="-234"/>
        <w:jc w:val="both"/>
        <w:rPr>
          <w:rFonts w:ascii="Arial" w:hAnsi="Arial" w:cs="Arial"/>
          <w:sz w:val="24"/>
          <w:szCs w:val="24"/>
        </w:rPr>
      </w:pPr>
    </w:p>
    <w:p w14:paraId="745FF260" w14:textId="77777777" w:rsidR="006621BE" w:rsidRPr="00D517F4" w:rsidRDefault="006621BE" w:rsidP="006621BE">
      <w:pPr>
        <w:pStyle w:val="Textoindependiente"/>
        <w:ind w:left="-284" w:right="-234"/>
        <w:jc w:val="both"/>
        <w:rPr>
          <w:rFonts w:ascii="Arial" w:hAnsi="Arial" w:cs="Arial"/>
          <w:b/>
          <w:bCs/>
          <w:sz w:val="24"/>
          <w:szCs w:val="24"/>
        </w:rPr>
      </w:pPr>
      <w:r w:rsidRPr="00D517F4">
        <w:rPr>
          <w:rFonts w:ascii="Arial" w:hAnsi="Arial" w:cs="Arial"/>
          <w:sz w:val="24"/>
          <w:szCs w:val="24"/>
        </w:rPr>
        <w:t>La Tabla de Eventos Contables TCON094-Registro tipos asientos de interoperabilidad presenta las tipologías definidas por el GIT de Sistemas de Información Integrados Nacionales (SIIN). Así mismo, la Tabla de Eventos Contables TCON095-Registro de relaciones de tipos de asientos de Interoperabilidad y códigos contables relaciona los códigos contables definidos en cada tipología.</w:t>
      </w:r>
    </w:p>
    <w:p w14:paraId="1FE23B06" w14:textId="77777777" w:rsidR="006621BE" w:rsidRDefault="006621BE" w:rsidP="006621BE">
      <w:pPr>
        <w:ind w:left="-284" w:right="-234"/>
        <w:jc w:val="both"/>
        <w:rPr>
          <w:rFonts w:ascii="Arial" w:hAnsi="Arial" w:cs="Arial"/>
          <w:b/>
          <w:sz w:val="24"/>
          <w:szCs w:val="24"/>
        </w:rPr>
      </w:pPr>
    </w:p>
    <w:p w14:paraId="44FF0941" w14:textId="77777777" w:rsidR="006621BE" w:rsidRPr="002E16DE" w:rsidRDefault="006621BE" w:rsidP="006621BE">
      <w:pPr>
        <w:ind w:left="-284" w:right="-234"/>
        <w:jc w:val="both"/>
        <w:rPr>
          <w:rFonts w:ascii="Arial" w:hAnsi="Arial" w:cs="Arial"/>
          <w:b/>
          <w:sz w:val="28"/>
          <w:szCs w:val="28"/>
          <w:lang w:val="es-MX"/>
        </w:rPr>
      </w:pPr>
      <w:r w:rsidRPr="002E16DE">
        <w:rPr>
          <w:rFonts w:ascii="Arial" w:hAnsi="Arial" w:cs="Arial"/>
          <w:b/>
          <w:sz w:val="28"/>
          <w:szCs w:val="28"/>
          <w:lang w:val="es-MX"/>
        </w:rPr>
        <w:t xml:space="preserve">66.- SUPERINTENDENCIA DE SUBSIDIO FAMILIAR - SUPERSUBSIDIO. </w:t>
      </w:r>
    </w:p>
    <w:p w14:paraId="0712E5AC" w14:textId="77777777" w:rsidR="006621BE" w:rsidRPr="002E16DE" w:rsidRDefault="006621BE" w:rsidP="006621BE">
      <w:pPr>
        <w:ind w:left="-284" w:right="-234"/>
        <w:jc w:val="both"/>
        <w:rPr>
          <w:rFonts w:ascii="Arial" w:hAnsi="Arial" w:cs="Arial"/>
          <w:b/>
          <w:sz w:val="24"/>
          <w:szCs w:val="24"/>
        </w:rPr>
      </w:pPr>
    </w:p>
    <w:p w14:paraId="7B01AFE7" w14:textId="77777777" w:rsidR="006621BE" w:rsidRPr="002E16DE" w:rsidRDefault="006621BE" w:rsidP="006621BE">
      <w:pPr>
        <w:pStyle w:val="Textoindependiente"/>
        <w:ind w:left="-284" w:right="-234"/>
        <w:jc w:val="both"/>
        <w:rPr>
          <w:rFonts w:ascii="Arial" w:hAnsi="Arial" w:cs="Arial"/>
          <w:sz w:val="24"/>
          <w:szCs w:val="24"/>
        </w:rPr>
      </w:pPr>
      <w:r w:rsidRPr="002E16DE">
        <w:rPr>
          <w:rFonts w:ascii="Arial" w:hAnsi="Arial" w:cs="Arial"/>
          <w:b/>
          <w:sz w:val="24"/>
          <w:szCs w:val="24"/>
        </w:rPr>
        <w:t>Limitaciones y deficiencias que inciden en el proceso contable</w:t>
      </w:r>
      <w:r w:rsidRPr="002E16DE">
        <w:rPr>
          <w:rFonts w:ascii="Arial" w:hAnsi="Arial" w:cs="Arial"/>
          <w:sz w:val="24"/>
          <w:szCs w:val="24"/>
        </w:rPr>
        <w:t xml:space="preserve">; </w:t>
      </w:r>
      <w:r w:rsidRPr="002E16DE">
        <w:rPr>
          <w:rFonts w:ascii="Arial" w:hAnsi="Arial" w:cs="Arial"/>
          <w:b/>
          <w:sz w:val="24"/>
          <w:szCs w:val="24"/>
        </w:rPr>
        <w:t>SIIF Nación Propiedad, planta y equipo PPyE y Nómina</w:t>
      </w:r>
      <w:r w:rsidRPr="002E16DE">
        <w:rPr>
          <w:rFonts w:ascii="Arial" w:hAnsi="Arial" w:cs="Arial"/>
          <w:sz w:val="24"/>
          <w:szCs w:val="24"/>
        </w:rPr>
        <w:t>: SIIF Nación no cuenta con módulo de propiedad, planta y equipo e inventarios, así como módulo para el procesamiento de la nómina de la entidad, esto hace que se genere un costo en la adquisición de sistemas auxiliar para la administración y procesamiento de esta información. Así mismo desde el Grupo de Gestión Administrativa y el Grupo de Gestión del Talento Humano, reportan esta información al Grupo de Gestión Financiera, el cual alimenta el SIIF Nación.</w:t>
      </w:r>
    </w:p>
    <w:p w14:paraId="0AC62882" w14:textId="77777777" w:rsidR="006621BE" w:rsidRDefault="006621BE" w:rsidP="006621BE">
      <w:pPr>
        <w:jc w:val="both"/>
        <w:rPr>
          <w:rFonts w:ascii="Arial" w:hAnsi="Arial" w:cs="Arial"/>
          <w:b/>
          <w:sz w:val="24"/>
          <w:szCs w:val="24"/>
        </w:rPr>
      </w:pPr>
    </w:p>
    <w:p w14:paraId="6F0CB2CE" w14:textId="77777777" w:rsidR="006621BE" w:rsidRPr="00120456" w:rsidRDefault="006621BE" w:rsidP="006621BE">
      <w:pPr>
        <w:ind w:left="-284"/>
        <w:jc w:val="both"/>
        <w:rPr>
          <w:rFonts w:ascii="Arial" w:hAnsi="Arial" w:cs="Arial"/>
          <w:b/>
          <w:sz w:val="28"/>
          <w:szCs w:val="28"/>
          <w:lang w:val="es-MX"/>
        </w:rPr>
      </w:pPr>
      <w:r w:rsidRPr="00120456">
        <w:rPr>
          <w:rFonts w:ascii="Arial" w:hAnsi="Arial" w:cs="Arial"/>
          <w:b/>
          <w:sz w:val="28"/>
          <w:szCs w:val="28"/>
          <w:lang w:val="es-MX"/>
        </w:rPr>
        <w:t xml:space="preserve">68.- PROCURADURÍA GENERAL DE LA NACIÓN. </w:t>
      </w:r>
    </w:p>
    <w:p w14:paraId="55346FC9"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120456" w14:paraId="367852EB" w14:textId="77777777" w:rsidTr="007B2C75">
        <w:tc>
          <w:tcPr>
            <w:tcW w:w="993" w:type="dxa"/>
          </w:tcPr>
          <w:p w14:paraId="57B16209" w14:textId="77777777" w:rsidR="006621BE" w:rsidRPr="00120456" w:rsidRDefault="006621BE" w:rsidP="00EF5AF2">
            <w:pPr>
              <w:pStyle w:val="Prrafodelista"/>
              <w:tabs>
                <w:tab w:val="left" w:pos="875"/>
              </w:tabs>
              <w:ind w:left="0" w:right="-50"/>
              <w:jc w:val="center"/>
              <w:rPr>
                <w:rFonts w:ascii="Arial" w:hAnsi="Arial" w:cs="Arial"/>
                <w:b/>
              </w:rPr>
            </w:pPr>
            <w:r w:rsidRPr="00120456">
              <w:rPr>
                <w:rFonts w:ascii="Arial" w:hAnsi="Arial" w:cs="Arial"/>
                <w:b/>
              </w:rPr>
              <w:t>N°</w:t>
            </w:r>
          </w:p>
        </w:tc>
        <w:tc>
          <w:tcPr>
            <w:tcW w:w="4253" w:type="dxa"/>
          </w:tcPr>
          <w:p w14:paraId="13C41152" w14:textId="77777777" w:rsidR="006621BE" w:rsidRDefault="006621BE" w:rsidP="00EF5AF2">
            <w:pPr>
              <w:tabs>
                <w:tab w:val="left" w:pos="875"/>
              </w:tabs>
              <w:ind w:right="-50"/>
              <w:jc w:val="center"/>
              <w:rPr>
                <w:rFonts w:ascii="Arial" w:hAnsi="Arial" w:cs="Arial"/>
                <w:b/>
              </w:rPr>
            </w:pPr>
            <w:r w:rsidRPr="00120456">
              <w:rPr>
                <w:rFonts w:ascii="Arial" w:hAnsi="Arial" w:cs="Arial"/>
                <w:b/>
              </w:rPr>
              <w:t>Limitaciones del Sistema SIIF II Nación a 31/12/2024</w:t>
            </w:r>
          </w:p>
          <w:p w14:paraId="4B0AE250" w14:textId="1E649565" w:rsidR="007B2C75" w:rsidRPr="00120456" w:rsidRDefault="007B2C75" w:rsidP="00EF5AF2">
            <w:pPr>
              <w:tabs>
                <w:tab w:val="left" w:pos="875"/>
              </w:tabs>
              <w:ind w:right="-50"/>
              <w:jc w:val="center"/>
              <w:rPr>
                <w:rFonts w:ascii="Arial" w:hAnsi="Arial" w:cs="Arial"/>
                <w:b/>
              </w:rPr>
            </w:pPr>
          </w:p>
        </w:tc>
        <w:tc>
          <w:tcPr>
            <w:tcW w:w="5244" w:type="dxa"/>
          </w:tcPr>
          <w:p w14:paraId="7B98F83E" w14:textId="77777777" w:rsidR="006621BE" w:rsidRPr="00120456" w:rsidRDefault="006621BE" w:rsidP="00EF5AF2">
            <w:pPr>
              <w:pStyle w:val="Prrafodelista"/>
              <w:tabs>
                <w:tab w:val="left" w:pos="875"/>
              </w:tabs>
              <w:ind w:left="0" w:right="-50"/>
              <w:jc w:val="center"/>
              <w:rPr>
                <w:rFonts w:ascii="Arial" w:hAnsi="Arial" w:cs="Arial"/>
                <w:b/>
              </w:rPr>
            </w:pPr>
            <w:r w:rsidRPr="00120456">
              <w:rPr>
                <w:rFonts w:ascii="Arial" w:hAnsi="Arial" w:cs="Arial"/>
                <w:b/>
              </w:rPr>
              <w:t>Descripción de la limitación</w:t>
            </w:r>
          </w:p>
        </w:tc>
      </w:tr>
      <w:tr w:rsidR="006621BE" w:rsidRPr="00120456" w14:paraId="5E536BD1" w14:textId="77777777" w:rsidTr="007B2C75">
        <w:tc>
          <w:tcPr>
            <w:tcW w:w="993" w:type="dxa"/>
          </w:tcPr>
          <w:p w14:paraId="4111C688" w14:textId="77777777" w:rsidR="006621BE" w:rsidRPr="00120456" w:rsidRDefault="006621BE" w:rsidP="00EF5AF2">
            <w:pPr>
              <w:pStyle w:val="Prrafodelista"/>
              <w:tabs>
                <w:tab w:val="left" w:pos="875"/>
              </w:tabs>
              <w:ind w:left="0" w:right="-50"/>
              <w:jc w:val="center"/>
              <w:rPr>
                <w:rFonts w:ascii="Arial" w:hAnsi="Arial" w:cs="Arial"/>
                <w:b/>
              </w:rPr>
            </w:pPr>
            <w:r w:rsidRPr="00120456">
              <w:rPr>
                <w:rFonts w:ascii="Arial" w:hAnsi="Arial" w:cs="Arial"/>
                <w:b/>
              </w:rPr>
              <w:t>1</w:t>
            </w:r>
          </w:p>
        </w:tc>
        <w:tc>
          <w:tcPr>
            <w:tcW w:w="4253" w:type="dxa"/>
          </w:tcPr>
          <w:p w14:paraId="61FA1BFB" w14:textId="77777777" w:rsidR="006621BE" w:rsidRPr="00120456" w:rsidRDefault="006621BE" w:rsidP="00EF5AF2">
            <w:pPr>
              <w:pStyle w:val="Prrafodelista"/>
              <w:tabs>
                <w:tab w:val="left" w:pos="875"/>
              </w:tabs>
              <w:ind w:left="0" w:right="-50"/>
              <w:rPr>
                <w:rFonts w:ascii="Arial" w:hAnsi="Arial" w:cs="Arial"/>
                <w:b/>
              </w:rPr>
            </w:pPr>
            <w:r w:rsidRPr="00120456">
              <w:rPr>
                <w:rFonts w:ascii="Arial" w:hAnsi="Arial" w:cs="Arial"/>
                <w:b/>
              </w:rPr>
              <w:t>Técnicas:</w:t>
            </w:r>
          </w:p>
        </w:tc>
        <w:tc>
          <w:tcPr>
            <w:tcW w:w="5244" w:type="dxa"/>
          </w:tcPr>
          <w:p w14:paraId="53105E73" w14:textId="77777777" w:rsidR="006621BE" w:rsidRPr="00120456" w:rsidRDefault="006621BE" w:rsidP="00EF5AF2">
            <w:pPr>
              <w:jc w:val="both"/>
              <w:rPr>
                <w:rFonts w:ascii="Arial" w:hAnsi="Arial" w:cs="Arial"/>
                <w:color w:val="000000"/>
              </w:rPr>
            </w:pPr>
            <w:r w:rsidRPr="00120456">
              <w:rPr>
                <w:rFonts w:ascii="Arial" w:hAnsi="Arial" w:cs="Arial"/>
                <w:color w:val="000000"/>
              </w:rPr>
              <w:t>La consulta de pagos no exitosos de pagos masivos está generando bloqueos al sistema.</w:t>
            </w:r>
          </w:p>
          <w:p w14:paraId="36043BB1" w14:textId="77777777" w:rsidR="006621BE" w:rsidRPr="00120456" w:rsidRDefault="006621BE" w:rsidP="00EF5AF2">
            <w:pPr>
              <w:jc w:val="both"/>
              <w:rPr>
                <w:rFonts w:ascii="Arial" w:hAnsi="Arial" w:cs="Arial"/>
                <w:color w:val="000000"/>
              </w:rPr>
            </w:pPr>
          </w:p>
          <w:p w14:paraId="5B72CDF1" w14:textId="77777777" w:rsidR="006621BE" w:rsidRPr="00120456" w:rsidRDefault="006621BE" w:rsidP="00EF5AF2">
            <w:pPr>
              <w:pStyle w:val="Prrafodelista"/>
              <w:tabs>
                <w:tab w:val="left" w:pos="875"/>
              </w:tabs>
              <w:ind w:left="0" w:right="-50"/>
              <w:rPr>
                <w:rFonts w:ascii="Arial" w:hAnsi="Arial" w:cs="Arial"/>
                <w:b/>
              </w:rPr>
            </w:pPr>
            <w:r w:rsidRPr="00120456">
              <w:rPr>
                <w:rFonts w:ascii="Arial" w:hAnsi="Arial" w:cs="Arial"/>
                <w:color w:val="000000"/>
              </w:rPr>
              <w:t>Dificultad para la consulta de comprobantes contables, debido a la inoportuna implementación de tipología de registros contables.</w:t>
            </w:r>
          </w:p>
        </w:tc>
      </w:tr>
      <w:tr w:rsidR="006621BE" w:rsidRPr="00120456" w14:paraId="6D4C7896" w14:textId="77777777" w:rsidTr="007B2C75">
        <w:tc>
          <w:tcPr>
            <w:tcW w:w="993" w:type="dxa"/>
          </w:tcPr>
          <w:p w14:paraId="415C25E4" w14:textId="77777777" w:rsidR="006621BE" w:rsidRPr="00120456" w:rsidRDefault="006621BE" w:rsidP="00EF5AF2">
            <w:pPr>
              <w:pStyle w:val="Prrafodelista"/>
              <w:tabs>
                <w:tab w:val="left" w:pos="875"/>
              </w:tabs>
              <w:ind w:left="0" w:right="-50"/>
              <w:jc w:val="center"/>
              <w:rPr>
                <w:rFonts w:ascii="Arial" w:hAnsi="Arial" w:cs="Arial"/>
                <w:b/>
              </w:rPr>
            </w:pPr>
            <w:r w:rsidRPr="00120456">
              <w:rPr>
                <w:rFonts w:ascii="Arial" w:hAnsi="Arial" w:cs="Arial"/>
                <w:b/>
              </w:rPr>
              <w:lastRenderedPageBreak/>
              <w:t>2</w:t>
            </w:r>
          </w:p>
        </w:tc>
        <w:tc>
          <w:tcPr>
            <w:tcW w:w="4253" w:type="dxa"/>
          </w:tcPr>
          <w:p w14:paraId="07266410" w14:textId="77777777" w:rsidR="006621BE" w:rsidRPr="00120456" w:rsidRDefault="006621BE" w:rsidP="00EF5AF2">
            <w:pPr>
              <w:pStyle w:val="Prrafodelista"/>
              <w:tabs>
                <w:tab w:val="left" w:pos="875"/>
              </w:tabs>
              <w:ind w:left="0" w:right="-50"/>
              <w:rPr>
                <w:rFonts w:ascii="Arial" w:hAnsi="Arial" w:cs="Arial"/>
                <w:b/>
              </w:rPr>
            </w:pPr>
            <w:r w:rsidRPr="00120456">
              <w:rPr>
                <w:rFonts w:ascii="Arial" w:hAnsi="Arial" w:cs="Arial"/>
                <w:b/>
              </w:rPr>
              <w:t>Operativas:</w:t>
            </w:r>
          </w:p>
        </w:tc>
        <w:tc>
          <w:tcPr>
            <w:tcW w:w="5244" w:type="dxa"/>
          </w:tcPr>
          <w:p w14:paraId="66D9712F" w14:textId="77777777" w:rsidR="006621BE" w:rsidRPr="00120456" w:rsidRDefault="006621BE" w:rsidP="00EF5AF2">
            <w:pPr>
              <w:tabs>
                <w:tab w:val="left" w:pos="875"/>
              </w:tabs>
              <w:ind w:right="-50"/>
              <w:jc w:val="both"/>
              <w:rPr>
                <w:rFonts w:ascii="Arial" w:hAnsi="Arial" w:cs="Arial"/>
              </w:rPr>
            </w:pPr>
            <w:r w:rsidRPr="00120456">
              <w:rPr>
                <w:rFonts w:ascii="Arial" w:hAnsi="Arial" w:cs="Arial"/>
              </w:rPr>
              <w:t xml:space="preserve">Por mantenimiento del sistema. - Para realizar los procesos relacionados con la verificación de infraestructura de contingencia. </w:t>
            </w:r>
          </w:p>
          <w:p w14:paraId="3ED7FAD5" w14:textId="77777777" w:rsidR="006621BE" w:rsidRPr="00120456" w:rsidRDefault="006621BE" w:rsidP="00EF5AF2">
            <w:pPr>
              <w:tabs>
                <w:tab w:val="left" w:pos="875"/>
              </w:tabs>
              <w:ind w:right="-50"/>
              <w:jc w:val="both"/>
              <w:rPr>
                <w:rFonts w:ascii="Arial" w:hAnsi="Arial" w:cs="Arial"/>
              </w:rPr>
            </w:pPr>
          </w:p>
          <w:p w14:paraId="7EBE8049" w14:textId="77777777" w:rsidR="006621BE" w:rsidRPr="00120456" w:rsidRDefault="006621BE" w:rsidP="00EF5AF2">
            <w:pPr>
              <w:pStyle w:val="Prrafodelista"/>
              <w:tabs>
                <w:tab w:val="left" w:pos="875"/>
              </w:tabs>
              <w:ind w:left="0" w:right="-50"/>
              <w:rPr>
                <w:rFonts w:ascii="Arial" w:hAnsi="Arial" w:cs="Arial"/>
                <w:b/>
              </w:rPr>
            </w:pPr>
            <w:r w:rsidRPr="00120456">
              <w:rPr>
                <w:rFonts w:ascii="Arial" w:hAnsi="Arial" w:cs="Arial"/>
              </w:rPr>
              <w:t>- Ausencia de módulo de nómina y propiedad planta y equipo.</w:t>
            </w:r>
          </w:p>
        </w:tc>
      </w:tr>
    </w:tbl>
    <w:p w14:paraId="29BB0D4D" w14:textId="77777777" w:rsidR="006621BE" w:rsidRDefault="006621BE" w:rsidP="006621BE">
      <w:pPr>
        <w:ind w:left="-284" w:right="-234"/>
        <w:jc w:val="both"/>
        <w:rPr>
          <w:rFonts w:ascii="Arial" w:hAnsi="Arial" w:cs="Arial"/>
          <w:b/>
          <w:sz w:val="24"/>
          <w:szCs w:val="24"/>
        </w:rPr>
      </w:pPr>
    </w:p>
    <w:p w14:paraId="07FA11BA" w14:textId="77777777" w:rsidR="006621BE" w:rsidRPr="00413CBA" w:rsidRDefault="006621BE" w:rsidP="006621BE">
      <w:pPr>
        <w:ind w:left="-284"/>
        <w:jc w:val="both"/>
        <w:rPr>
          <w:rFonts w:ascii="Arial" w:hAnsi="Arial" w:cs="Arial"/>
          <w:b/>
          <w:sz w:val="28"/>
          <w:szCs w:val="28"/>
          <w:lang w:val="es-MX"/>
        </w:rPr>
      </w:pPr>
      <w:r w:rsidRPr="00413CBA">
        <w:rPr>
          <w:rFonts w:ascii="Arial" w:hAnsi="Arial" w:cs="Arial"/>
          <w:b/>
          <w:sz w:val="28"/>
          <w:szCs w:val="28"/>
          <w:lang w:val="es-MX"/>
        </w:rPr>
        <w:t>70.- INSTITUTO NACIONAL PARA CIEGOS - INCI.</w:t>
      </w:r>
    </w:p>
    <w:p w14:paraId="1F86BC60" w14:textId="77777777" w:rsidR="006621BE" w:rsidRDefault="006621BE" w:rsidP="006621BE">
      <w:pPr>
        <w:jc w:val="both"/>
        <w:rPr>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413CBA" w14:paraId="3ABCA1A5" w14:textId="77777777" w:rsidTr="007B2C75">
        <w:tc>
          <w:tcPr>
            <w:tcW w:w="993" w:type="dxa"/>
          </w:tcPr>
          <w:p w14:paraId="0EF5845F" w14:textId="77777777" w:rsidR="006621BE" w:rsidRPr="00413CBA" w:rsidRDefault="006621BE" w:rsidP="00EF5AF2">
            <w:pPr>
              <w:tabs>
                <w:tab w:val="left" w:pos="875"/>
              </w:tabs>
              <w:ind w:right="-50"/>
              <w:jc w:val="center"/>
              <w:rPr>
                <w:rFonts w:ascii="Arial" w:hAnsi="Arial" w:cs="Arial"/>
                <w:b/>
              </w:rPr>
            </w:pPr>
            <w:r w:rsidRPr="00413CBA">
              <w:rPr>
                <w:rFonts w:ascii="Arial" w:hAnsi="Arial" w:cs="Arial"/>
                <w:b/>
              </w:rPr>
              <w:t>N°</w:t>
            </w:r>
          </w:p>
        </w:tc>
        <w:tc>
          <w:tcPr>
            <w:tcW w:w="4253" w:type="dxa"/>
          </w:tcPr>
          <w:p w14:paraId="7BE3EDA6" w14:textId="77777777" w:rsidR="006621BE" w:rsidRPr="00413CBA" w:rsidRDefault="006621BE" w:rsidP="00EF5AF2">
            <w:pPr>
              <w:tabs>
                <w:tab w:val="left" w:pos="875"/>
              </w:tabs>
              <w:ind w:right="-50"/>
              <w:jc w:val="center"/>
              <w:rPr>
                <w:rFonts w:ascii="Arial" w:hAnsi="Arial" w:cs="Arial"/>
                <w:b/>
              </w:rPr>
            </w:pPr>
            <w:r w:rsidRPr="00413CBA">
              <w:rPr>
                <w:rFonts w:ascii="Arial" w:hAnsi="Arial" w:cs="Arial"/>
                <w:b/>
              </w:rPr>
              <w:t>Limitaciones del Sistema SIIF II Nación a 31/12/2024</w:t>
            </w:r>
          </w:p>
          <w:p w14:paraId="722101E5" w14:textId="77777777" w:rsidR="006621BE" w:rsidRPr="00413CBA" w:rsidRDefault="006621BE" w:rsidP="00EF5AF2">
            <w:pPr>
              <w:tabs>
                <w:tab w:val="left" w:pos="875"/>
              </w:tabs>
              <w:ind w:right="-50"/>
              <w:jc w:val="center"/>
              <w:rPr>
                <w:rFonts w:ascii="Arial" w:hAnsi="Arial" w:cs="Arial"/>
                <w:b/>
              </w:rPr>
            </w:pPr>
          </w:p>
        </w:tc>
        <w:tc>
          <w:tcPr>
            <w:tcW w:w="5244" w:type="dxa"/>
          </w:tcPr>
          <w:p w14:paraId="7752B37C" w14:textId="77777777" w:rsidR="006621BE" w:rsidRPr="00413CBA" w:rsidRDefault="006621BE" w:rsidP="00EF5AF2">
            <w:pPr>
              <w:tabs>
                <w:tab w:val="left" w:pos="875"/>
              </w:tabs>
              <w:ind w:right="-50"/>
              <w:jc w:val="center"/>
              <w:rPr>
                <w:rFonts w:ascii="Arial" w:hAnsi="Arial" w:cs="Arial"/>
                <w:b/>
              </w:rPr>
            </w:pPr>
            <w:r w:rsidRPr="00413CBA">
              <w:rPr>
                <w:rFonts w:ascii="Arial" w:hAnsi="Arial" w:cs="Arial"/>
                <w:b/>
              </w:rPr>
              <w:t>Descripción de la limitación</w:t>
            </w:r>
          </w:p>
        </w:tc>
      </w:tr>
      <w:tr w:rsidR="006621BE" w:rsidRPr="00413CBA" w14:paraId="7FBC4175" w14:textId="77777777" w:rsidTr="007B2C75">
        <w:tc>
          <w:tcPr>
            <w:tcW w:w="993" w:type="dxa"/>
          </w:tcPr>
          <w:p w14:paraId="71920BAF" w14:textId="77777777" w:rsidR="006621BE" w:rsidRPr="00413CBA" w:rsidRDefault="006621BE" w:rsidP="00EF5AF2">
            <w:pPr>
              <w:tabs>
                <w:tab w:val="left" w:pos="875"/>
              </w:tabs>
              <w:ind w:right="-50"/>
              <w:jc w:val="center"/>
              <w:rPr>
                <w:rFonts w:ascii="Arial" w:hAnsi="Arial" w:cs="Arial"/>
                <w:b/>
              </w:rPr>
            </w:pPr>
            <w:r w:rsidRPr="00413CBA">
              <w:rPr>
                <w:rFonts w:ascii="Arial" w:hAnsi="Arial" w:cs="Arial"/>
                <w:b/>
              </w:rPr>
              <w:t>1</w:t>
            </w:r>
          </w:p>
        </w:tc>
        <w:tc>
          <w:tcPr>
            <w:tcW w:w="4253" w:type="dxa"/>
          </w:tcPr>
          <w:p w14:paraId="0AD72320" w14:textId="77777777" w:rsidR="006621BE" w:rsidRPr="00413CBA" w:rsidRDefault="006621BE" w:rsidP="00EF5AF2">
            <w:pPr>
              <w:tabs>
                <w:tab w:val="left" w:pos="875"/>
              </w:tabs>
              <w:ind w:right="-50"/>
              <w:jc w:val="both"/>
              <w:rPr>
                <w:rFonts w:ascii="Arial" w:hAnsi="Arial" w:cs="Arial"/>
                <w:b/>
              </w:rPr>
            </w:pPr>
            <w:r w:rsidRPr="00413CBA">
              <w:rPr>
                <w:rFonts w:ascii="Arial" w:hAnsi="Arial" w:cs="Arial"/>
                <w:b/>
              </w:rPr>
              <w:t>Técnicas:</w:t>
            </w:r>
          </w:p>
        </w:tc>
        <w:tc>
          <w:tcPr>
            <w:tcW w:w="5244" w:type="dxa"/>
          </w:tcPr>
          <w:p w14:paraId="7A6B417D" w14:textId="77777777" w:rsidR="006621BE" w:rsidRPr="00413CBA" w:rsidRDefault="006621BE" w:rsidP="00EF5AF2">
            <w:pPr>
              <w:tabs>
                <w:tab w:val="left" w:pos="875"/>
              </w:tabs>
              <w:ind w:right="-50"/>
              <w:jc w:val="both"/>
              <w:rPr>
                <w:rFonts w:ascii="Arial" w:hAnsi="Arial" w:cs="Arial"/>
              </w:rPr>
            </w:pPr>
            <w:r w:rsidRPr="00413CBA">
              <w:rPr>
                <w:rFonts w:ascii="Arial" w:hAnsi="Arial" w:cs="Arial"/>
              </w:rPr>
              <w:t>El aplicativo no cuenta con los módulos de control de inventarios y activos fijos, módulo de costos y producción y módulo de nómina, razón por la cual es necesario contar con un sistema de apoyo.</w:t>
            </w:r>
          </w:p>
        </w:tc>
      </w:tr>
      <w:tr w:rsidR="006621BE" w:rsidRPr="00413CBA" w14:paraId="22E8F118" w14:textId="77777777" w:rsidTr="007B2C75">
        <w:tc>
          <w:tcPr>
            <w:tcW w:w="993" w:type="dxa"/>
          </w:tcPr>
          <w:p w14:paraId="742818D1" w14:textId="77777777" w:rsidR="006621BE" w:rsidRPr="00413CBA" w:rsidRDefault="006621BE" w:rsidP="00EF5AF2">
            <w:pPr>
              <w:tabs>
                <w:tab w:val="left" w:pos="875"/>
              </w:tabs>
              <w:ind w:right="-50"/>
              <w:jc w:val="center"/>
              <w:rPr>
                <w:rFonts w:ascii="Arial" w:hAnsi="Arial" w:cs="Arial"/>
                <w:b/>
              </w:rPr>
            </w:pPr>
            <w:r w:rsidRPr="00413CBA">
              <w:rPr>
                <w:rFonts w:ascii="Arial" w:hAnsi="Arial" w:cs="Arial"/>
                <w:b/>
              </w:rPr>
              <w:t>2</w:t>
            </w:r>
          </w:p>
        </w:tc>
        <w:tc>
          <w:tcPr>
            <w:tcW w:w="4253" w:type="dxa"/>
          </w:tcPr>
          <w:p w14:paraId="414CF8BF" w14:textId="77777777" w:rsidR="006621BE" w:rsidRPr="00413CBA" w:rsidRDefault="006621BE" w:rsidP="00EF5AF2">
            <w:pPr>
              <w:tabs>
                <w:tab w:val="left" w:pos="875"/>
              </w:tabs>
              <w:ind w:right="-50"/>
              <w:jc w:val="both"/>
              <w:rPr>
                <w:rFonts w:ascii="Arial" w:hAnsi="Arial" w:cs="Arial"/>
                <w:b/>
              </w:rPr>
            </w:pPr>
            <w:r w:rsidRPr="00413CBA">
              <w:rPr>
                <w:rFonts w:ascii="Arial" w:hAnsi="Arial" w:cs="Arial"/>
                <w:b/>
              </w:rPr>
              <w:t>Operativas:</w:t>
            </w:r>
          </w:p>
        </w:tc>
        <w:tc>
          <w:tcPr>
            <w:tcW w:w="5244" w:type="dxa"/>
          </w:tcPr>
          <w:p w14:paraId="40EF83BD" w14:textId="77777777" w:rsidR="006621BE" w:rsidRPr="00413CBA" w:rsidRDefault="006621BE" w:rsidP="00EF5AF2">
            <w:pPr>
              <w:tabs>
                <w:tab w:val="left" w:pos="875"/>
              </w:tabs>
              <w:ind w:right="-50"/>
              <w:jc w:val="both"/>
              <w:rPr>
                <w:rFonts w:ascii="Arial" w:hAnsi="Arial" w:cs="Arial"/>
              </w:rPr>
            </w:pPr>
            <w:r w:rsidRPr="00413CBA">
              <w:rPr>
                <w:rFonts w:ascii="Arial" w:hAnsi="Arial" w:cs="Arial"/>
              </w:rPr>
              <w:t>En ocasiones para las fechas de cierre el Ministerio de Hacienda, realiza mantenimientos programados que impiden el ingreso o generan intermitencia en el servicio, generando retrasos en las actividades.</w:t>
            </w:r>
          </w:p>
          <w:p w14:paraId="3F9DC705" w14:textId="7B2B424F" w:rsidR="006621BE" w:rsidRPr="00413CBA" w:rsidRDefault="006621BE" w:rsidP="00EF5AF2">
            <w:pPr>
              <w:tabs>
                <w:tab w:val="left" w:pos="875"/>
              </w:tabs>
              <w:ind w:right="-50"/>
              <w:jc w:val="both"/>
              <w:rPr>
                <w:rFonts w:ascii="Arial" w:hAnsi="Arial" w:cs="Arial"/>
              </w:rPr>
            </w:pPr>
            <w:r w:rsidRPr="00413CBA">
              <w:rPr>
                <w:rFonts w:ascii="Arial" w:hAnsi="Arial" w:cs="Arial"/>
              </w:rPr>
              <w:t xml:space="preserve">Algunas veces se presentan inconvenientes con el sistema durante el ingreso o cuando se </w:t>
            </w:r>
            <w:r w:rsidR="00770CAC" w:rsidRPr="00413CBA">
              <w:rPr>
                <w:rFonts w:ascii="Arial" w:hAnsi="Arial" w:cs="Arial"/>
              </w:rPr>
              <w:t>está</w:t>
            </w:r>
            <w:r w:rsidRPr="00413CBA">
              <w:rPr>
                <w:rFonts w:ascii="Arial" w:hAnsi="Arial" w:cs="Arial"/>
              </w:rPr>
              <w:t xml:space="preserve"> realizando la operatividad dentro del sistema, se cierra la sesión eliminando el trabajo realizado.</w:t>
            </w:r>
          </w:p>
        </w:tc>
      </w:tr>
      <w:tr w:rsidR="006621BE" w:rsidRPr="00413CBA" w14:paraId="4919562A" w14:textId="77777777" w:rsidTr="007B2C75">
        <w:tc>
          <w:tcPr>
            <w:tcW w:w="993" w:type="dxa"/>
          </w:tcPr>
          <w:p w14:paraId="5D75FD3C" w14:textId="77777777" w:rsidR="006621BE" w:rsidRPr="00413CBA" w:rsidRDefault="006621BE" w:rsidP="00EF5AF2">
            <w:pPr>
              <w:tabs>
                <w:tab w:val="left" w:pos="875"/>
              </w:tabs>
              <w:ind w:right="-50"/>
              <w:jc w:val="center"/>
              <w:rPr>
                <w:rFonts w:ascii="Arial" w:hAnsi="Arial" w:cs="Arial"/>
                <w:b/>
              </w:rPr>
            </w:pPr>
            <w:r w:rsidRPr="00413CBA">
              <w:rPr>
                <w:rFonts w:ascii="Arial" w:hAnsi="Arial" w:cs="Arial"/>
                <w:b/>
              </w:rPr>
              <w:t>3</w:t>
            </w:r>
          </w:p>
        </w:tc>
        <w:tc>
          <w:tcPr>
            <w:tcW w:w="4253" w:type="dxa"/>
          </w:tcPr>
          <w:p w14:paraId="1280C6A2" w14:textId="77777777" w:rsidR="006621BE" w:rsidRPr="00413CBA" w:rsidRDefault="006621BE" w:rsidP="00EF5AF2">
            <w:pPr>
              <w:tabs>
                <w:tab w:val="left" w:pos="875"/>
              </w:tabs>
              <w:ind w:right="-50"/>
              <w:jc w:val="both"/>
              <w:rPr>
                <w:rFonts w:ascii="Arial" w:hAnsi="Arial" w:cs="Arial"/>
                <w:b/>
              </w:rPr>
            </w:pPr>
            <w:r w:rsidRPr="00413CBA">
              <w:rPr>
                <w:rFonts w:ascii="Arial" w:hAnsi="Arial" w:cs="Arial"/>
                <w:b/>
              </w:rPr>
              <w:t>Soporte a la plataforma:</w:t>
            </w:r>
          </w:p>
        </w:tc>
        <w:tc>
          <w:tcPr>
            <w:tcW w:w="5244" w:type="dxa"/>
          </w:tcPr>
          <w:p w14:paraId="7150F48A" w14:textId="77777777" w:rsidR="006621BE" w:rsidRPr="00413CBA" w:rsidRDefault="006621BE" w:rsidP="00EF5AF2">
            <w:pPr>
              <w:tabs>
                <w:tab w:val="left" w:pos="875"/>
              </w:tabs>
              <w:ind w:right="-50"/>
              <w:jc w:val="both"/>
              <w:rPr>
                <w:rFonts w:ascii="Arial" w:hAnsi="Arial" w:cs="Arial"/>
              </w:rPr>
            </w:pPr>
            <w:r w:rsidRPr="00413CBA">
              <w:rPr>
                <w:rFonts w:ascii="Arial" w:hAnsi="Arial" w:cs="Arial"/>
              </w:rPr>
              <w:t>Se ha identificado que el personal que atiende el soporte telefónico, en algunas ocasiones no tiene el conocimiento necesario para guiar los procesos, por lo cual se generan llamadas de larga duración y al final la respuesta es escalar un incidente y por lo general la respuesta es que falta capacitación.</w:t>
            </w:r>
          </w:p>
          <w:p w14:paraId="49C23B1B" w14:textId="77777777" w:rsidR="006621BE" w:rsidRPr="00413CBA" w:rsidRDefault="006621BE" w:rsidP="00EF5AF2">
            <w:pPr>
              <w:tabs>
                <w:tab w:val="left" w:pos="875"/>
              </w:tabs>
              <w:ind w:right="-50"/>
              <w:jc w:val="both"/>
              <w:rPr>
                <w:rFonts w:ascii="Arial" w:hAnsi="Arial" w:cs="Arial"/>
              </w:rPr>
            </w:pPr>
          </w:p>
          <w:p w14:paraId="3B626715" w14:textId="77777777" w:rsidR="006621BE" w:rsidRPr="00413CBA" w:rsidRDefault="006621BE" w:rsidP="00EF5AF2">
            <w:pPr>
              <w:tabs>
                <w:tab w:val="left" w:pos="875"/>
              </w:tabs>
              <w:ind w:right="-50"/>
              <w:jc w:val="both"/>
              <w:rPr>
                <w:rFonts w:ascii="Arial" w:hAnsi="Arial" w:cs="Arial"/>
              </w:rPr>
            </w:pPr>
            <w:r w:rsidRPr="00413CBA">
              <w:rPr>
                <w:rFonts w:ascii="Arial" w:hAnsi="Arial" w:cs="Arial"/>
              </w:rPr>
              <w:t>Se presenta que al generar el incidente y se da respuesta por correo electrónico, estos llegan al correo no deseado de SIIF, cierran el incidente por falta de respuesta y luego de varias llamadas identifican en la bandeja, sin embargo, se tiene que volver a generar otro incidente.</w:t>
            </w:r>
          </w:p>
        </w:tc>
      </w:tr>
    </w:tbl>
    <w:p w14:paraId="6C0B524F" w14:textId="77777777" w:rsidR="006621BE" w:rsidRDefault="006621BE" w:rsidP="006621BE">
      <w:pPr>
        <w:ind w:left="-284" w:right="-234"/>
        <w:jc w:val="both"/>
        <w:rPr>
          <w:rFonts w:ascii="Arial" w:hAnsi="Arial" w:cs="Arial"/>
          <w:b/>
          <w:sz w:val="24"/>
          <w:szCs w:val="24"/>
        </w:rPr>
      </w:pPr>
    </w:p>
    <w:p w14:paraId="0961A4BA" w14:textId="77777777" w:rsidR="006621BE" w:rsidRPr="00CE224C" w:rsidRDefault="006621BE" w:rsidP="006621BE">
      <w:pPr>
        <w:ind w:left="-284"/>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01F92926"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48249B" w14:paraId="697A38ED" w14:textId="77777777" w:rsidTr="007B2C75">
        <w:tc>
          <w:tcPr>
            <w:tcW w:w="993" w:type="dxa"/>
          </w:tcPr>
          <w:p w14:paraId="4EAC4569"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N°</w:t>
            </w:r>
          </w:p>
        </w:tc>
        <w:tc>
          <w:tcPr>
            <w:tcW w:w="4253" w:type="dxa"/>
          </w:tcPr>
          <w:p w14:paraId="41EFA63D"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Limitaciones del Sistema SIIF II Nación a 31/12/2024</w:t>
            </w:r>
          </w:p>
          <w:p w14:paraId="21C93B84" w14:textId="77777777" w:rsidR="006621BE" w:rsidRPr="0048249B" w:rsidRDefault="006621BE" w:rsidP="00EF5AF2">
            <w:pPr>
              <w:tabs>
                <w:tab w:val="left" w:pos="875"/>
              </w:tabs>
              <w:ind w:right="-50"/>
              <w:jc w:val="center"/>
              <w:rPr>
                <w:rFonts w:ascii="Arial" w:hAnsi="Arial" w:cs="Arial"/>
                <w:b/>
              </w:rPr>
            </w:pPr>
          </w:p>
        </w:tc>
        <w:tc>
          <w:tcPr>
            <w:tcW w:w="5244" w:type="dxa"/>
          </w:tcPr>
          <w:p w14:paraId="3FFD0A20"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Descripción de la limitación</w:t>
            </w:r>
          </w:p>
        </w:tc>
      </w:tr>
      <w:tr w:rsidR="006621BE" w:rsidRPr="0048249B" w14:paraId="3C6ED9CA" w14:textId="77777777" w:rsidTr="007B2C75">
        <w:tc>
          <w:tcPr>
            <w:tcW w:w="993" w:type="dxa"/>
          </w:tcPr>
          <w:p w14:paraId="10E6CAFF"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1</w:t>
            </w:r>
          </w:p>
        </w:tc>
        <w:tc>
          <w:tcPr>
            <w:tcW w:w="4253" w:type="dxa"/>
          </w:tcPr>
          <w:p w14:paraId="01064586" w14:textId="77777777" w:rsidR="006621BE" w:rsidRPr="0048249B" w:rsidRDefault="006621BE" w:rsidP="00EF5AF2">
            <w:pPr>
              <w:tabs>
                <w:tab w:val="left" w:pos="875"/>
              </w:tabs>
              <w:ind w:right="-50"/>
              <w:jc w:val="both"/>
              <w:rPr>
                <w:rFonts w:ascii="Arial" w:hAnsi="Arial" w:cs="Arial"/>
                <w:b/>
              </w:rPr>
            </w:pPr>
            <w:r w:rsidRPr="0048249B">
              <w:rPr>
                <w:rFonts w:ascii="Arial" w:hAnsi="Arial" w:cs="Arial"/>
                <w:b/>
              </w:rPr>
              <w:t xml:space="preserve">Administrativas: </w:t>
            </w:r>
            <w:r w:rsidRPr="0048249B">
              <w:rPr>
                <w:rFonts w:ascii="Arial" w:hAnsi="Arial" w:cs="Arial"/>
                <w:bCs/>
              </w:rPr>
              <w:t>Tiempo de respuesta en la generación de incidentes</w:t>
            </w:r>
          </w:p>
        </w:tc>
        <w:tc>
          <w:tcPr>
            <w:tcW w:w="5244" w:type="dxa"/>
          </w:tcPr>
          <w:p w14:paraId="68A5D196" w14:textId="77777777" w:rsidR="006621BE" w:rsidRPr="0048249B" w:rsidRDefault="006621BE" w:rsidP="00EF5AF2">
            <w:pPr>
              <w:tabs>
                <w:tab w:val="left" w:pos="875"/>
              </w:tabs>
              <w:ind w:right="-50"/>
              <w:jc w:val="both"/>
              <w:rPr>
                <w:rFonts w:ascii="Arial" w:hAnsi="Arial" w:cs="Arial"/>
              </w:rPr>
            </w:pPr>
            <w:r w:rsidRPr="0048249B">
              <w:rPr>
                <w:rFonts w:ascii="Arial" w:hAnsi="Arial" w:cs="Arial"/>
              </w:rPr>
              <w:t>El tiempo de respuesta a los incidentes establecido es de 5 días hábiles, la reducción en días permitiría</w:t>
            </w:r>
          </w:p>
          <w:p w14:paraId="3C665244" w14:textId="77777777" w:rsidR="006621BE" w:rsidRPr="0048249B" w:rsidRDefault="006621BE" w:rsidP="00EF5AF2">
            <w:pPr>
              <w:tabs>
                <w:tab w:val="left" w:pos="875"/>
              </w:tabs>
              <w:ind w:right="-50"/>
              <w:jc w:val="both"/>
              <w:rPr>
                <w:rFonts w:ascii="Arial" w:hAnsi="Arial" w:cs="Arial"/>
              </w:rPr>
            </w:pPr>
            <w:r w:rsidRPr="0048249B">
              <w:rPr>
                <w:rFonts w:ascii="Arial" w:hAnsi="Arial" w:cs="Arial"/>
              </w:rPr>
              <w:t>corregir inconsistencias de manera oportuna</w:t>
            </w:r>
          </w:p>
        </w:tc>
      </w:tr>
      <w:tr w:rsidR="006621BE" w:rsidRPr="0048249B" w14:paraId="3D2EA502" w14:textId="77777777" w:rsidTr="007B2C75">
        <w:tc>
          <w:tcPr>
            <w:tcW w:w="993" w:type="dxa"/>
          </w:tcPr>
          <w:p w14:paraId="03A5E11E"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2</w:t>
            </w:r>
          </w:p>
        </w:tc>
        <w:tc>
          <w:tcPr>
            <w:tcW w:w="4253" w:type="dxa"/>
          </w:tcPr>
          <w:p w14:paraId="0DBA015C" w14:textId="77777777" w:rsidR="006621BE" w:rsidRPr="0048249B" w:rsidRDefault="006621BE" w:rsidP="00EF5AF2">
            <w:pPr>
              <w:tabs>
                <w:tab w:val="left" w:pos="875"/>
              </w:tabs>
              <w:ind w:right="-50"/>
              <w:jc w:val="both"/>
              <w:rPr>
                <w:rFonts w:ascii="Arial" w:hAnsi="Arial" w:cs="Arial"/>
                <w:b/>
              </w:rPr>
            </w:pPr>
            <w:r w:rsidRPr="0048249B">
              <w:rPr>
                <w:rFonts w:ascii="Arial" w:hAnsi="Arial" w:cs="Arial"/>
                <w:b/>
              </w:rPr>
              <w:t>Técnicas: Selección del ordenador del gasto</w:t>
            </w:r>
          </w:p>
        </w:tc>
        <w:tc>
          <w:tcPr>
            <w:tcW w:w="5244" w:type="dxa"/>
          </w:tcPr>
          <w:p w14:paraId="33D2E882" w14:textId="77777777" w:rsidR="006621BE" w:rsidRPr="0048249B" w:rsidRDefault="006621BE" w:rsidP="00EF5AF2">
            <w:pPr>
              <w:tabs>
                <w:tab w:val="left" w:pos="875"/>
              </w:tabs>
              <w:ind w:right="-50"/>
              <w:jc w:val="both"/>
              <w:rPr>
                <w:rFonts w:ascii="Arial" w:hAnsi="Arial" w:cs="Arial"/>
              </w:rPr>
            </w:pPr>
            <w:r w:rsidRPr="0048249B">
              <w:rPr>
                <w:rFonts w:ascii="Arial" w:hAnsi="Arial" w:cs="Arial"/>
              </w:rPr>
              <w:t>Con bastante frecuencia al generar un registro presupuestal de compromiso, se refleja un error en el momento de seleccionar el ordenador del gasto; aunque la solución por parte del SIIF es eliminar el historial, muchas veces no es efectiva.</w:t>
            </w:r>
          </w:p>
        </w:tc>
      </w:tr>
      <w:tr w:rsidR="006621BE" w:rsidRPr="0048249B" w14:paraId="0A83B96D" w14:textId="77777777" w:rsidTr="007B2C75">
        <w:tc>
          <w:tcPr>
            <w:tcW w:w="993" w:type="dxa"/>
          </w:tcPr>
          <w:p w14:paraId="417D1924"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3</w:t>
            </w:r>
          </w:p>
        </w:tc>
        <w:tc>
          <w:tcPr>
            <w:tcW w:w="4253" w:type="dxa"/>
          </w:tcPr>
          <w:p w14:paraId="773A44A1" w14:textId="77777777" w:rsidR="006621BE" w:rsidRPr="0048249B" w:rsidRDefault="006621BE" w:rsidP="00EF5AF2">
            <w:pPr>
              <w:tabs>
                <w:tab w:val="left" w:pos="875"/>
              </w:tabs>
              <w:ind w:right="-50"/>
              <w:jc w:val="both"/>
              <w:rPr>
                <w:rFonts w:ascii="Arial" w:hAnsi="Arial" w:cs="Arial"/>
                <w:b/>
              </w:rPr>
            </w:pPr>
            <w:r w:rsidRPr="0048249B">
              <w:rPr>
                <w:rFonts w:ascii="Arial" w:hAnsi="Arial" w:cs="Arial"/>
                <w:b/>
              </w:rPr>
              <w:t>Operativas:</w:t>
            </w:r>
          </w:p>
          <w:p w14:paraId="1167CA6E" w14:textId="77777777" w:rsidR="006621BE" w:rsidRPr="0048249B" w:rsidRDefault="006621BE" w:rsidP="00CB6055">
            <w:pPr>
              <w:pStyle w:val="Prrafodelista"/>
              <w:numPr>
                <w:ilvl w:val="0"/>
                <w:numId w:val="20"/>
              </w:numPr>
              <w:tabs>
                <w:tab w:val="left" w:pos="875"/>
              </w:tabs>
              <w:spacing w:before="1"/>
              <w:ind w:left="321" w:right="-50"/>
              <w:jc w:val="both"/>
              <w:rPr>
                <w:rFonts w:ascii="Arial" w:hAnsi="Arial" w:cs="Arial"/>
                <w:b/>
              </w:rPr>
            </w:pPr>
            <w:r w:rsidRPr="0048249B">
              <w:rPr>
                <w:rFonts w:ascii="Arial" w:hAnsi="Arial" w:cs="Arial"/>
                <w:b/>
              </w:rPr>
              <w:t>Expedición de informes</w:t>
            </w:r>
          </w:p>
          <w:p w14:paraId="55CD8DD7" w14:textId="77777777" w:rsidR="006621BE" w:rsidRPr="0048249B" w:rsidRDefault="006621BE" w:rsidP="00EF5AF2">
            <w:pPr>
              <w:pStyle w:val="Prrafodelista"/>
              <w:tabs>
                <w:tab w:val="left" w:pos="875"/>
              </w:tabs>
              <w:ind w:left="321" w:right="-50"/>
              <w:rPr>
                <w:rFonts w:ascii="Arial" w:hAnsi="Arial" w:cs="Arial"/>
                <w:b/>
              </w:rPr>
            </w:pPr>
            <w:r w:rsidRPr="0048249B">
              <w:rPr>
                <w:rFonts w:ascii="Arial" w:hAnsi="Arial" w:cs="Arial"/>
                <w:b/>
              </w:rPr>
              <w:t xml:space="preserve"> </w:t>
            </w:r>
          </w:p>
          <w:p w14:paraId="49C74D91" w14:textId="77777777" w:rsidR="006621BE" w:rsidRPr="0048249B" w:rsidRDefault="006621BE" w:rsidP="00CB6055">
            <w:pPr>
              <w:pStyle w:val="Prrafodelista"/>
              <w:numPr>
                <w:ilvl w:val="0"/>
                <w:numId w:val="20"/>
              </w:numPr>
              <w:tabs>
                <w:tab w:val="left" w:pos="875"/>
              </w:tabs>
              <w:spacing w:before="1"/>
              <w:ind w:left="321" w:right="-50"/>
              <w:jc w:val="both"/>
              <w:rPr>
                <w:rFonts w:ascii="Arial" w:hAnsi="Arial" w:cs="Arial"/>
                <w:b/>
              </w:rPr>
            </w:pPr>
            <w:r w:rsidRPr="0048249B">
              <w:rPr>
                <w:rFonts w:ascii="Arial" w:hAnsi="Arial" w:cs="Arial"/>
                <w:b/>
              </w:rPr>
              <w:t>Eliminación o desvinculación de una cuenta bancaria</w:t>
            </w:r>
          </w:p>
        </w:tc>
        <w:tc>
          <w:tcPr>
            <w:tcW w:w="5244" w:type="dxa"/>
          </w:tcPr>
          <w:p w14:paraId="7DF7930E" w14:textId="77777777" w:rsidR="006621BE" w:rsidRPr="0048249B" w:rsidRDefault="006621BE" w:rsidP="00CB6055">
            <w:pPr>
              <w:pStyle w:val="Prrafodelista"/>
              <w:numPr>
                <w:ilvl w:val="0"/>
                <w:numId w:val="21"/>
              </w:numPr>
              <w:tabs>
                <w:tab w:val="left" w:pos="875"/>
              </w:tabs>
              <w:spacing w:before="1"/>
              <w:ind w:left="321" w:right="-50"/>
              <w:jc w:val="both"/>
              <w:rPr>
                <w:rFonts w:ascii="Arial" w:hAnsi="Arial" w:cs="Arial"/>
              </w:rPr>
            </w:pPr>
            <w:r w:rsidRPr="0048249B">
              <w:rPr>
                <w:rFonts w:ascii="Arial" w:hAnsi="Arial" w:cs="Arial"/>
              </w:rPr>
              <w:t>El aplicativo presenta restricciones de horarios para generar informes de ejecución presupuestal.</w:t>
            </w:r>
          </w:p>
          <w:p w14:paraId="1DD1890F" w14:textId="77777777" w:rsidR="006621BE" w:rsidRPr="0048249B" w:rsidRDefault="006621BE" w:rsidP="00CB6055">
            <w:pPr>
              <w:pStyle w:val="Prrafodelista"/>
              <w:numPr>
                <w:ilvl w:val="0"/>
                <w:numId w:val="21"/>
              </w:numPr>
              <w:tabs>
                <w:tab w:val="left" w:pos="875"/>
              </w:tabs>
              <w:spacing w:before="1"/>
              <w:ind w:left="321" w:right="-50"/>
              <w:jc w:val="both"/>
              <w:rPr>
                <w:rFonts w:ascii="Arial" w:hAnsi="Arial" w:cs="Arial"/>
              </w:rPr>
            </w:pPr>
            <w:r w:rsidRPr="0048249B">
              <w:rPr>
                <w:rFonts w:ascii="Arial" w:hAnsi="Arial" w:cs="Arial"/>
              </w:rPr>
              <w:t>b) El aplicativo presenta restricciones de horarios para la eliminación o desvinculación de una cuenta bancaria</w:t>
            </w:r>
          </w:p>
        </w:tc>
      </w:tr>
      <w:tr w:rsidR="006621BE" w:rsidRPr="0048249B" w14:paraId="6591856F" w14:textId="77777777" w:rsidTr="007B2C75">
        <w:tc>
          <w:tcPr>
            <w:tcW w:w="993" w:type="dxa"/>
          </w:tcPr>
          <w:p w14:paraId="7A6D4E2E"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t>4</w:t>
            </w:r>
          </w:p>
        </w:tc>
        <w:tc>
          <w:tcPr>
            <w:tcW w:w="4253" w:type="dxa"/>
          </w:tcPr>
          <w:p w14:paraId="4E5D34C5" w14:textId="77777777" w:rsidR="006621BE" w:rsidRPr="0048249B" w:rsidRDefault="006621BE" w:rsidP="00EF5AF2">
            <w:pPr>
              <w:tabs>
                <w:tab w:val="left" w:pos="875"/>
              </w:tabs>
              <w:ind w:right="-50"/>
              <w:jc w:val="both"/>
              <w:rPr>
                <w:rFonts w:ascii="Arial" w:hAnsi="Arial" w:cs="Arial"/>
                <w:b/>
              </w:rPr>
            </w:pPr>
            <w:r w:rsidRPr="0048249B">
              <w:rPr>
                <w:rFonts w:ascii="Arial" w:hAnsi="Arial" w:cs="Arial"/>
                <w:b/>
              </w:rPr>
              <w:t xml:space="preserve">Soporte a la plataforma: Experticia del </w:t>
            </w:r>
            <w:r w:rsidRPr="0048249B">
              <w:rPr>
                <w:rFonts w:ascii="Arial" w:hAnsi="Arial" w:cs="Arial"/>
                <w:b/>
              </w:rPr>
              <w:lastRenderedPageBreak/>
              <w:t>personal que atiende la línea soporte</w:t>
            </w:r>
          </w:p>
        </w:tc>
        <w:tc>
          <w:tcPr>
            <w:tcW w:w="5244" w:type="dxa"/>
          </w:tcPr>
          <w:p w14:paraId="68BE3F5B" w14:textId="77777777" w:rsidR="006621BE" w:rsidRPr="0048249B" w:rsidRDefault="006621BE" w:rsidP="00EF5AF2">
            <w:pPr>
              <w:tabs>
                <w:tab w:val="left" w:pos="875"/>
              </w:tabs>
              <w:ind w:right="-50"/>
              <w:jc w:val="both"/>
              <w:rPr>
                <w:rFonts w:ascii="Arial" w:hAnsi="Arial" w:cs="Arial"/>
              </w:rPr>
            </w:pPr>
            <w:r w:rsidRPr="0048249B">
              <w:rPr>
                <w:rFonts w:ascii="Arial" w:hAnsi="Arial" w:cs="Arial"/>
              </w:rPr>
              <w:lastRenderedPageBreak/>
              <w:t xml:space="preserve">En algunas ocasiones se evidencia que el personal que </w:t>
            </w:r>
            <w:r w:rsidRPr="0048249B">
              <w:rPr>
                <w:rFonts w:ascii="Arial" w:hAnsi="Arial" w:cs="Arial"/>
              </w:rPr>
              <w:lastRenderedPageBreak/>
              <w:t>atiende las solicitudes en primera instancia no conoce los procesos sobre los que se consultan.</w:t>
            </w:r>
          </w:p>
        </w:tc>
      </w:tr>
      <w:tr w:rsidR="006621BE" w:rsidRPr="0048249B" w14:paraId="021E9F58" w14:textId="77777777" w:rsidTr="007B2C75">
        <w:tc>
          <w:tcPr>
            <w:tcW w:w="993" w:type="dxa"/>
          </w:tcPr>
          <w:p w14:paraId="1AB8EB70" w14:textId="77777777" w:rsidR="006621BE" w:rsidRPr="0048249B" w:rsidRDefault="006621BE" w:rsidP="00EF5AF2">
            <w:pPr>
              <w:tabs>
                <w:tab w:val="left" w:pos="875"/>
              </w:tabs>
              <w:ind w:right="-50"/>
              <w:jc w:val="center"/>
              <w:rPr>
                <w:rFonts w:ascii="Arial" w:hAnsi="Arial" w:cs="Arial"/>
                <w:b/>
              </w:rPr>
            </w:pPr>
            <w:r w:rsidRPr="0048249B">
              <w:rPr>
                <w:rFonts w:ascii="Arial" w:hAnsi="Arial" w:cs="Arial"/>
                <w:b/>
              </w:rPr>
              <w:lastRenderedPageBreak/>
              <w:t>5</w:t>
            </w:r>
          </w:p>
        </w:tc>
        <w:tc>
          <w:tcPr>
            <w:tcW w:w="4253" w:type="dxa"/>
          </w:tcPr>
          <w:p w14:paraId="432CE1AF" w14:textId="77777777" w:rsidR="006621BE" w:rsidRPr="0048249B" w:rsidRDefault="006621BE" w:rsidP="00EF5AF2">
            <w:pPr>
              <w:tabs>
                <w:tab w:val="left" w:pos="875"/>
              </w:tabs>
              <w:ind w:right="-50"/>
              <w:jc w:val="both"/>
              <w:rPr>
                <w:rFonts w:ascii="Arial" w:hAnsi="Arial" w:cs="Arial"/>
                <w:b/>
              </w:rPr>
            </w:pPr>
            <w:r w:rsidRPr="0048249B">
              <w:rPr>
                <w:rFonts w:ascii="Arial" w:hAnsi="Arial" w:cs="Arial"/>
                <w:b/>
              </w:rPr>
              <w:t>Otras:</w:t>
            </w:r>
          </w:p>
        </w:tc>
        <w:tc>
          <w:tcPr>
            <w:tcW w:w="5244" w:type="dxa"/>
          </w:tcPr>
          <w:p w14:paraId="2BDAC0AE" w14:textId="77777777" w:rsidR="006621BE" w:rsidRPr="0048249B" w:rsidRDefault="006621BE" w:rsidP="00EF5AF2">
            <w:pPr>
              <w:tabs>
                <w:tab w:val="left" w:pos="875"/>
              </w:tabs>
              <w:ind w:right="-50"/>
              <w:jc w:val="both"/>
              <w:rPr>
                <w:rFonts w:ascii="Arial" w:hAnsi="Arial" w:cs="Arial"/>
              </w:rPr>
            </w:pPr>
            <w:r w:rsidRPr="0048249B">
              <w:rPr>
                <w:rFonts w:ascii="Arial" w:hAnsi="Arial" w:cs="Arial"/>
              </w:rPr>
              <w:t>El personal que trabaja la línea soporte, en ocasiones da lineamientos diferentes y genera condiciones y rezago en los procesos.</w:t>
            </w:r>
          </w:p>
        </w:tc>
      </w:tr>
    </w:tbl>
    <w:p w14:paraId="6BD3950F" w14:textId="77777777" w:rsidR="006621BE" w:rsidRDefault="006621BE" w:rsidP="006621BE">
      <w:pPr>
        <w:ind w:left="-284" w:right="-234"/>
        <w:jc w:val="both"/>
        <w:rPr>
          <w:rFonts w:ascii="Arial" w:hAnsi="Arial" w:cs="Arial"/>
          <w:b/>
          <w:sz w:val="24"/>
          <w:szCs w:val="24"/>
        </w:rPr>
      </w:pPr>
    </w:p>
    <w:p w14:paraId="2F0A5318" w14:textId="77777777" w:rsidR="006621BE" w:rsidRPr="00E812CE" w:rsidRDefault="006621BE" w:rsidP="006621BE">
      <w:pPr>
        <w:ind w:left="-284"/>
        <w:jc w:val="both"/>
        <w:rPr>
          <w:rFonts w:ascii="Arial" w:hAnsi="Arial" w:cs="Arial"/>
          <w:b/>
          <w:sz w:val="28"/>
          <w:szCs w:val="28"/>
          <w:lang w:val="es-MX"/>
        </w:rPr>
      </w:pPr>
      <w:r w:rsidRPr="00E812CE">
        <w:rPr>
          <w:rFonts w:ascii="Arial" w:hAnsi="Arial" w:cs="Arial"/>
          <w:b/>
          <w:sz w:val="28"/>
          <w:szCs w:val="28"/>
          <w:lang w:val="es-MX"/>
        </w:rPr>
        <w:t>73.- INSTITUTO NACIONAL PARA SORDOS - INSOR.</w:t>
      </w:r>
    </w:p>
    <w:p w14:paraId="3A2286D4" w14:textId="77777777" w:rsidR="006621BE" w:rsidRPr="00E812CE" w:rsidRDefault="006621BE" w:rsidP="006621BE">
      <w:pPr>
        <w:ind w:left="-284" w:right="-234"/>
        <w:jc w:val="both"/>
        <w:rPr>
          <w:rFonts w:ascii="Arial" w:hAnsi="Arial" w:cs="Arial"/>
          <w:b/>
          <w:sz w:val="24"/>
          <w:szCs w:val="24"/>
        </w:rPr>
      </w:pPr>
    </w:p>
    <w:p w14:paraId="599B34F4" w14:textId="77777777" w:rsidR="006621BE" w:rsidRPr="00E812CE" w:rsidRDefault="006621BE" w:rsidP="007B2C75">
      <w:pPr>
        <w:pStyle w:val="Textoindependiente"/>
        <w:ind w:left="-284" w:right="-234"/>
        <w:jc w:val="both"/>
        <w:rPr>
          <w:rFonts w:ascii="Arial" w:hAnsi="Arial" w:cs="Arial"/>
          <w:sz w:val="24"/>
          <w:szCs w:val="24"/>
        </w:rPr>
      </w:pPr>
      <w:r w:rsidRPr="009662E3">
        <w:rPr>
          <w:b/>
          <w:bCs/>
        </w:rPr>
        <w:t>1</w:t>
      </w:r>
      <w:r w:rsidRPr="00E812CE">
        <w:rPr>
          <w:rFonts w:ascii="Arial" w:hAnsi="Arial" w:cs="Arial"/>
          <w:b/>
          <w:bCs/>
          <w:sz w:val="24"/>
          <w:szCs w:val="24"/>
        </w:rPr>
        <w:t>.2. Declaración de cumplimiento del marco normativo y limitaciones.</w:t>
      </w:r>
      <w:r>
        <w:rPr>
          <w:rFonts w:ascii="Arial" w:hAnsi="Arial" w:cs="Arial"/>
          <w:b/>
          <w:bCs/>
          <w:sz w:val="24"/>
          <w:szCs w:val="24"/>
        </w:rPr>
        <w:t xml:space="preserve"> </w:t>
      </w:r>
      <w:r w:rsidRPr="00E812CE">
        <w:rPr>
          <w:rFonts w:ascii="Arial" w:hAnsi="Arial" w:cs="Arial"/>
          <w:sz w:val="24"/>
          <w:szCs w:val="24"/>
        </w:rPr>
        <w:t>Las limitaciones y deficiencias operativas o administrativas con impacto en el desarrollo normal del proceso o en la consistencia y razonabilidad de las cifras, que se presentan en la Entidad están relacionados con:</w:t>
      </w:r>
    </w:p>
    <w:p w14:paraId="324B487D" w14:textId="77777777" w:rsidR="006621BE" w:rsidRPr="00E812CE" w:rsidRDefault="006621BE" w:rsidP="007B2C75">
      <w:pPr>
        <w:pStyle w:val="Textoindependiente"/>
        <w:ind w:left="-284" w:right="-234"/>
        <w:rPr>
          <w:rFonts w:ascii="Arial" w:hAnsi="Arial" w:cs="Arial"/>
          <w:sz w:val="24"/>
          <w:szCs w:val="24"/>
        </w:rPr>
      </w:pPr>
    </w:p>
    <w:p w14:paraId="0D28A0B4" w14:textId="77777777" w:rsidR="006621BE" w:rsidRPr="00E812CE" w:rsidRDefault="006621BE" w:rsidP="007B2C75">
      <w:pPr>
        <w:pStyle w:val="Textoindependiente"/>
        <w:ind w:left="-284" w:right="-234"/>
        <w:jc w:val="both"/>
        <w:rPr>
          <w:rFonts w:ascii="Arial" w:hAnsi="Arial" w:cs="Arial"/>
          <w:sz w:val="24"/>
          <w:szCs w:val="24"/>
        </w:rPr>
      </w:pPr>
      <w:r w:rsidRPr="00E812CE">
        <w:rPr>
          <w:rFonts w:ascii="Arial" w:hAnsi="Arial" w:cs="Arial"/>
          <w:sz w:val="24"/>
          <w:szCs w:val="24"/>
        </w:rPr>
        <w:t>Respecto de la integralidad del sistema SIIF y su interoperabilidad con el sistema de gestión de bienes así como el de administración de nómina y seguridad social usados por el INSOR; se advierte que aún no se cuenta con las funcionalidades que ayuden a integrar los sistemas de información auxiliares de la entidad con el SIIF, aspecto que limita la oportunidad y eficacia de seguimiento a la traza contable de las operaciones relacionadas con el reconocimiento de los hechos derivados de tales subsistemas.</w:t>
      </w:r>
    </w:p>
    <w:p w14:paraId="6AA9E331" w14:textId="77777777" w:rsidR="006621BE" w:rsidRDefault="006621BE" w:rsidP="006621BE">
      <w:pPr>
        <w:ind w:left="-284" w:right="-234"/>
        <w:jc w:val="both"/>
        <w:rPr>
          <w:rFonts w:ascii="Arial" w:hAnsi="Arial" w:cs="Arial"/>
          <w:b/>
          <w:sz w:val="24"/>
          <w:szCs w:val="24"/>
        </w:rPr>
      </w:pPr>
    </w:p>
    <w:p w14:paraId="127DCBC9" w14:textId="77777777" w:rsidR="006621BE" w:rsidRPr="00473931" w:rsidRDefault="006621BE" w:rsidP="006621BE">
      <w:pPr>
        <w:ind w:left="-284"/>
        <w:jc w:val="both"/>
        <w:rPr>
          <w:rFonts w:ascii="Arial" w:hAnsi="Arial" w:cs="Arial"/>
          <w:b/>
          <w:sz w:val="28"/>
          <w:szCs w:val="28"/>
          <w:lang w:val="es-MX"/>
        </w:rPr>
      </w:pPr>
      <w:r w:rsidRPr="00473931">
        <w:rPr>
          <w:rFonts w:ascii="Arial" w:hAnsi="Arial" w:cs="Arial"/>
          <w:b/>
          <w:sz w:val="28"/>
          <w:szCs w:val="28"/>
          <w:lang w:val="es-MX"/>
        </w:rPr>
        <w:t>74.- MINISTERIO DE AGRICULTURA Y DESARROLLO RURAL.</w:t>
      </w:r>
    </w:p>
    <w:p w14:paraId="7EFF9098" w14:textId="77777777" w:rsidR="006621BE" w:rsidRDefault="006621BE" w:rsidP="006621BE">
      <w:pPr>
        <w:ind w:left="-284" w:right="-234"/>
        <w:jc w:val="both"/>
        <w:rPr>
          <w:rFonts w:ascii="Arial" w:hAnsi="Arial" w:cs="Arial"/>
          <w:b/>
          <w:sz w:val="24"/>
          <w:szCs w:val="24"/>
        </w:rPr>
      </w:pPr>
    </w:p>
    <w:p w14:paraId="2D5B085D" w14:textId="77777777" w:rsidR="006621BE" w:rsidRPr="00473931" w:rsidRDefault="006621BE" w:rsidP="006621BE">
      <w:pPr>
        <w:pStyle w:val="Textoindependiente"/>
        <w:ind w:left="-284" w:right="-50"/>
        <w:jc w:val="both"/>
        <w:rPr>
          <w:rFonts w:ascii="Arial" w:hAnsi="Arial" w:cs="Arial"/>
          <w:b/>
          <w:sz w:val="24"/>
          <w:szCs w:val="24"/>
        </w:rPr>
      </w:pPr>
      <w:r w:rsidRPr="00473931">
        <w:rPr>
          <w:rFonts w:ascii="Arial" w:hAnsi="Arial" w:cs="Arial"/>
          <w:b/>
          <w:sz w:val="24"/>
          <w:szCs w:val="24"/>
        </w:rPr>
        <w:t>1.1.7</w:t>
      </w:r>
      <w:r w:rsidRPr="00473931">
        <w:rPr>
          <w:rFonts w:ascii="Arial" w:hAnsi="Arial" w:cs="Arial"/>
          <w:b/>
          <w:sz w:val="24"/>
          <w:szCs w:val="24"/>
        </w:rPr>
        <w:tab/>
        <w:t>Limitaciones y deficiencias generales de tipo operativo o administrativo.</w:t>
      </w:r>
    </w:p>
    <w:p w14:paraId="185C960E" w14:textId="77777777" w:rsidR="006621BE" w:rsidRPr="00473931" w:rsidRDefault="006621BE" w:rsidP="006621BE">
      <w:pPr>
        <w:pStyle w:val="Textoindependiente"/>
        <w:ind w:left="-284" w:right="-50"/>
        <w:jc w:val="both"/>
        <w:rPr>
          <w:rFonts w:ascii="Arial" w:hAnsi="Arial" w:cs="Arial"/>
          <w:bCs/>
          <w:sz w:val="24"/>
          <w:szCs w:val="24"/>
        </w:rPr>
      </w:pPr>
    </w:p>
    <w:p w14:paraId="32F54864" w14:textId="77777777" w:rsidR="006621BE" w:rsidRPr="00473931" w:rsidRDefault="006621BE" w:rsidP="007B2C75">
      <w:pPr>
        <w:pStyle w:val="Textoindependiente"/>
        <w:ind w:left="-284" w:right="-234"/>
        <w:jc w:val="both"/>
        <w:rPr>
          <w:rFonts w:ascii="Arial" w:hAnsi="Arial" w:cs="Arial"/>
          <w:bCs/>
          <w:sz w:val="24"/>
          <w:szCs w:val="24"/>
        </w:rPr>
      </w:pPr>
      <w:r w:rsidRPr="00473931">
        <w:rPr>
          <w:rFonts w:ascii="Arial" w:hAnsi="Arial" w:cs="Arial"/>
          <w:bCs/>
          <w:sz w:val="24"/>
          <w:szCs w:val="24"/>
        </w:rPr>
        <w:t>Debido a que el Sistema de Información Financiera SIIF Nación II, en la actualidad no ha culminado con el desarrollo de los negocios de nómina y activos fijos, el Ministerio de Agricultura y Desarrollo Rural adquirió el aplicativo SIGEP – Nomina y Novasoft – Propiedad, Planta y Equipo, mediante los cuales se han garantizado una mayor confiabilidad y oportunidad en la información contable de la entidad.</w:t>
      </w:r>
    </w:p>
    <w:p w14:paraId="06E6EBBD" w14:textId="77777777" w:rsidR="006621BE" w:rsidRPr="00473931" w:rsidRDefault="006621BE" w:rsidP="007B2C75">
      <w:pPr>
        <w:pStyle w:val="Textoindependiente"/>
        <w:ind w:left="-284" w:right="-234"/>
        <w:jc w:val="both"/>
        <w:rPr>
          <w:rFonts w:ascii="Arial" w:hAnsi="Arial" w:cs="Arial"/>
          <w:bCs/>
          <w:sz w:val="24"/>
          <w:szCs w:val="24"/>
        </w:rPr>
      </w:pPr>
    </w:p>
    <w:p w14:paraId="63EE691B" w14:textId="77777777" w:rsidR="006621BE" w:rsidRPr="00473931" w:rsidRDefault="006621BE" w:rsidP="007B2C75">
      <w:pPr>
        <w:pStyle w:val="Textoindependiente"/>
        <w:ind w:left="-284" w:right="-234"/>
        <w:jc w:val="both"/>
        <w:rPr>
          <w:rFonts w:ascii="Arial" w:hAnsi="Arial" w:cs="Arial"/>
          <w:bCs/>
          <w:sz w:val="24"/>
          <w:szCs w:val="24"/>
        </w:rPr>
      </w:pPr>
      <w:r w:rsidRPr="00473931">
        <w:rPr>
          <w:rFonts w:ascii="Arial" w:hAnsi="Arial" w:cs="Arial"/>
          <w:bCs/>
          <w:sz w:val="24"/>
          <w:szCs w:val="24"/>
        </w:rPr>
        <w:t>La información generada de estos aplicativos es incorporada mensualmente en la contabilidad a través de registros contables manuales. Este proceso garantiza la precisión y exactitud de la información contable, permitiendo una adecuada toma de decisiones y evaluación de la situación financiera de la entidad.</w:t>
      </w:r>
    </w:p>
    <w:p w14:paraId="4C431A88" w14:textId="77777777" w:rsidR="006621BE" w:rsidRPr="00473931" w:rsidRDefault="006621BE" w:rsidP="006621BE">
      <w:pPr>
        <w:pStyle w:val="Textoindependiente"/>
        <w:ind w:right="-50"/>
        <w:jc w:val="both"/>
        <w:rPr>
          <w:rFonts w:ascii="Arial" w:hAnsi="Arial" w:cs="Arial"/>
          <w:bCs/>
          <w:sz w:val="24"/>
          <w:szCs w:val="24"/>
        </w:rPr>
      </w:pPr>
    </w:p>
    <w:p w14:paraId="455DB88F" w14:textId="77777777" w:rsidR="006621BE" w:rsidRPr="001D0D31" w:rsidRDefault="006621BE" w:rsidP="006621BE">
      <w:pPr>
        <w:ind w:left="-284"/>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377E2808" w14:textId="77777777" w:rsidR="006621BE" w:rsidRPr="00473931"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1D6B3A" w14:paraId="4BFAE49C" w14:textId="77777777" w:rsidTr="007B2C75">
        <w:tc>
          <w:tcPr>
            <w:tcW w:w="993" w:type="dxa"/>
          </w:tcPr>
          <w:p w14:paraId="7DD28BD3" w14:textId="77777777" w:rsidR="006621BE" w:rsidRPr="001D6B3A" w:rsidRDefault="006621BE" w:rsidP="00EF5AF2">
            <w:pPr>
              <w:tabs>
                <w:tab w:val="left" w:pos="875"/>
              </w:tabs>
              <w:ind w:right="-50"/>
              <w:jc w:val="center"/>
              <w:rPr>
                <w:rFonts w:ascii="Arial" w:hAnsi="Arial" w:cs="Arial"/>
                <w:b/>
              </w:rPr>
            </w:pPr>
            <w:r w:rsidRPr="001D6B3A">
              <w:rPr>
                <w:rFonts w:ascii="Arial" w:hAnsi="Arial" w:cs="Arial"/>
                <w:b/>
              </w:rPr>
              <w:t>N°</w:t>
            </w:r>
          </w:p>
        </w:tc>
        <w:tc>
          <w:tcPr>
            <w:tcW w:w="4253" w:type="dxa"/>
          </w:tcPr>
          <w:p w14:paraId="114B2474" w14:textId="77777777" w:rsidR="006621BE" w:rsidRPr="001D6B3A" w:rsidRDefault="006621BE" w:rsidP="00EF5AF2">
            <w:pPr>
              <w:tabs>
                <w:tab w:val="left" w:pos="875"/>
              </w:tabs>
              <w:ind w:right="-50"/>
              <w:jc w:val="center"/>
              <w:rPr>
                <w:rFonts w:ascii="Arial" w:hAnsi="Arial" w:cs="Arial"/>
                <w:b/>
              </w:rPr>
            </w:pPr>
            <w:r w:rsidRPr="001D6B3A">
              <w:rPr>
                <w:rFonts w:ascii="Arial" w:hAnsi="Arial" w:cs="Arial"/>
                <w:b/>
              </w:rPr>
              <w:t>Limitaciones del Sistema SIIF II Nación a 31/12/2024</w:t>
            </w:r>
          </w:p>
          <w:p w14:paraId="0AC220EE" w14:textId="77777777" w:rsidR="006621BE" w:rsidRPr="001D6B3A" w:rsidRDefault="006621BE" w:rsidP="00EF5AF2">
            <w:pPr>
              <w:tabs>
                <w:tab w:val="left" w:pos="875"/>
              </w:tabs>
              <w:ind w:right="-50"/>
              <w:jc w:val="center"/>
              <w:rPr>
                <w:rFonts w:ascii="Arial" w:hAnsi="Arial" w:cs="Arial"/>
                <w:b/>
              </w:rPr>
            </w:pPr>
          </w:p>
        </w:tc>
        <w:tc>
          <w:tcPr>
            <w:tcW w:w="5244" w:type="dxa"/>
          </w:tcPr>
          <w:p w14:paraId="5475F312" w14:textId="77777777" w:rsidR="006621BE" w:rsidRPr="001D6B3A" w:rsidRDefault="006621BE" w:rsidP="00EF5AF2">
            <w:pPr>
              <w:tabs>
                <w:tab w:val="left" w:pos="875"/>
              </w:tabs>
              <w:ind w:right="-50"/>
              <w:jc w:val="center"/>
              <w:rPr>
                <w:rFonts w:ascii="Arial" w:hAnsi="Arial" w:cs="Arial"/>
                <w:b/>
              </w:rPr>
            </w:pPr>
            <w:r w:rsidRPr="001D6B3A">
              <w:rPr>
                <w:rFonts w:ascii="Arial" w:hAnsi="Arial" w:cs="Arial"/>
                <w:b/>
              </w:rPr>
              <w:t>Descripción de la limitación</w:t>
            </w:r>
          </w:p>
        </w:tc>
      </w:tr>
      <w:tr w:rsidR="006621BE" w:rsidRPr="001D6B3A" w14:paraId="3C4B46A1" w14:textId="77777777" w:rsidTr="007B2C75">
        <w:tc>
          <w:tcPr>
            <w:tcW w:w="993" w:type="dxa"/>
          </w:tcPr>
          <w:p w14:paraId="7321242A" w14:textId="77777777" w:rsidR="006621BE" w:rsidRPr="001D6B3A" w:rsidRDefault="006621BE" w:rsidP="00EF5AF2">
            <w:pPr>
              <w:tabs>
                <w:tab w:val="left" w:pos="875"/>
              </w:tabs>
              <w:ind w:right="-50"/>
              <w:jc w:val="center"/>
              <w:rPr>
                <w:rFonts w:ascii="Arial" w:hAnsi="Arial" w:cs="Arial"/>
                <w:b/>
              </w:rPr>
            </w:pPr>
            <w:r w:rsidRPr="001D6B3A">
              <w:rPr>
                <w:rFonts w:ascii="Arial" w:hAnsi="Arial" w:cs="Arial"/>
                <w:b/>
              </w:rPr>
              <w:t>1</w:t>
            </w:r>
          </w:p>
        </w:tc>
        <w:tc>
          <w:tcPr>
            <w:tcW w:w="4253" w:type="dxa"/>
          </w:tcPr>
          <w:p w14:paraId="597543E3" w14:textId="77777777" w:rsidR="006621BE" w:rsidRPr="001D6B3A" w:rsidRDefault="006621BE" w:rsidP="00EF5AF2">
            <w:pPr>
              <w:tabs>
                <w:tab w:val="left" w:pos="875"/>
              </w:tabs>
              <w:ind w:right="-50"/>
              <w:jc w:val="both"/>
              <w:rPr>
                <w:rFonts w:ascii="Arial" w:hAnsi="Arial" w:cs="Arial"/>
                <w:b/>
              </w:rPr>
            </w:pPr>
            <w:r w:rsidRPr="001D6B3A">
              <w:rPr>
                <w:rFonts w:ascii="Arial" w:hAnsi="Arial" w:cs="Arial"/>
                <w:b/>
              </w:rPr>
              <w:t>Otras:</w:t>
            </w:r>
          </w:p>
        </w:tc>
        <w:tc>
          <w:tcPr>
            <w:tcW w:w="5244" w:type="dxa"/>
          </w:tcPr>
          <w:p w14:paraId="02BA3336" w14:textId="77777777" w:rsidR="006621BE" w:rsidRPr="001D6B3A" w:rsidRDefault="006621BE" w:rsidP="00EF5AF2">
            <w:pPr>
              <w:tabs>
                <w:tab w:val="left" w:pos="875"/>
              </w:tabs>
              <w:ind w:right="-50"/>
              <w:jc w:val="both"/>
              <w:rPr>
                <w:rFonts w:ascii="Arial" w:hAnsi="Arial" w:cs="Arial"/>
              </w:rPr>
            </w:pPr>
            <w:r w:rsidRPr="001D6B3A">
              <w:rPr>
                <w:rFonts w:ascii="Arial" w:hAnsi="Arial" w:cs="Arial"/>
              </w:rPr>
              <w:t>Con relación a la vigencia 2024, no se presentaron limitaciones operativas técnicas y administrativas en el SIIF- Nación que hayan afectado de alguna forma la información presupuestal y contable, cabe resaltar que, en algunos momentos se presenta intermitencia y lentitud en la plataforma.</w:t>
            </w:r>
          </w:p>
        </w:tc>
      </w:tr>
    </w:tbl>
    <w:p w14:paraId="2EE1682E" w14:textId="77777777" w:rsidR="006621BE" w:rsidRDefault="006621BE" w:rsidP="006621BE">
      <w:pPr>
        <w:ind w:left="-284" w:right="-234"/>
        <w:jc w:val="both"/>
        <w:rPr>
          <w:rFonts w:ascii="Arial" w:hAnsi="Arial" w:cs="Arial"/>
          <w:b/>
          <w:sz w:val="24"/>
          <w:szCs w:val="24"/>
        </w:rPr>
      </w:pPr>
    </w:p>
    <w:p w14:paraId="18668774" w14:textId="77777777" w:rsidR="006621BE" w:rsidRPr="00A17947" w:rsidRDefault="006621BE" w:rsidP="006621BE">
      <w:pPr>
        <w:ind w:left="-284"/>
        <w:jc w:val="both"/>
        <w:rPr>
          <w:rFonts w:ascii="Arial" w:hAnsi="Arial" w:cs="Arial"/>
          <w:b/>
          <w:sz w:val="28"/>
          <w:szCs w:val="28"/>
          <w:lang w:val="es-MX"/>
        </w:rPr>
      </w:pPr>
      <w:r w:rsidRPr="00A17947">
        <w:rPr>
          <w:rFonts w:ascii="Arial" w:hAnsi="Arial" w:cs="Arial"/>
          <w:b/>
          <w:sz w:val="28"/>
          <w:szCs w:val="28"/>
          <w:lang w:val="es-MX"/>
        </w:rPr>
        <w:t>79.- MINISTERIO DEL DEPORTE.</w:t>
      </w:r>
    </w:p>
    <w:p w14:paraId="30671F58"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A17947" w14:paraId="6362BE04" w14:textId="77777777" w:rsidTr="007B2C75">
        <w:tc>
          <w:tcPr>
            <w:tcW w:w="993" w:type="dxa"/>
          </w:tcPr>
          <w:p w14:paraId="7F2A4144" w14:textId="77777777" w:rsidR="006621BE" w:rsidRPr="00A17947" w:rsidRDefault="006621BE" w:rsidP="00EF5AF2">
            <w:pPr>
              <w:tabs>
                <w:tab w:val="left" w:pos="875"/>
              </w:tabs>
              <w:ind w:right="-50"/>
              <w:jc w:val="center"/>
              <w:rPr>
                <w:rFonts w:ascii="Arial" w:hAnsi="Arial" w:cs="Arial"/>
                <w:b/>
              </w:rPr>
            </w:pPr>
            <w:r w:rsidRPr="00A17947">
              <w:rPr>
                <w:rFonts w:ascii="Arial" w:hAnsi="Arial" w:cs="Arial"/>
                <w:b/>
              </w:rPr>
              <w:t>N°</w:t>
            </w:r>
          </w:p>
        </w:tc>
        <w:tc>
          <w:tcPr>
            <w:tcW w:w="4253" w:type="dxa"/>
          </w:tcPr>
          <w:p w14:paraId="6BD4FB3D" w14:textId="7F101BB9" w:rsidR="006621BE" w:rsidRPr="00A17947" w:rsidRDefault="006621BE" w:rsidP="001E3E37">
            <w:pPr>
              <w:tabs>
                <w:tab w:val="left" w:pos="875"/>
              </w:tabs>
              <w:ind w:right="-50"/>
              <w:jc w:val="center"/>
              <w:rPr>
                <w:rFonts w:ascii="Arial" w:hAnsi="Arial" w:cs="Arial"/>
                <w:b/>
              </w:rPr>
            </w:pPr>
            <w:r w:rsidRPr="00A17947">
              <w:rPr>
                <w:rFonts w:ascii="Arial" w:hAnsi="Arial" w:cs="Arial"/>
                <w:b/>
              </w:rPr>
              <w:t>Limitaciones del Sistema SIIF II Nación a 31/12/2024</w:t>
            </w:r>
          </w:p>
        </w:tc>
        <w:tc>
          <w:tcPr>
            <w:tcW w:w="5244" w:type="dxa"/>
          </w:tcPr>
          <w:p w14:paraId="64B7346A" w14:textId="77777777" w:rsidR="006621BE" w:rsidRPr="00A17947" w:rsidRDefault="006621BE" w:rsidP="00EF5AF2">
            <w:pPr>
              <w:tabs>
                <w:tab w:val="left" w:pos="875"/>
              </w:tabs>
              <w:ind w:right="-50"/>
              <w:jc w:val="center"/>
              <w:rPr>
                <w:rFonts w:ascii="Arial" w:hAnsi="Arial" w:cs="Arial"/>
                <w:b/>
              </w:rPr>
            </w:pPr>
            <w:r w:rsidRPr="00A17947">
              <w:rPr>
                <w:rFonts w:ascii="Arial" w:hAnsi="Arial" w:cs="Arial"/>
                <w:b/>
              </w:rPr>
              <w:t>Descripción de la limitación</w:t>
            </w:r>
          </w:p>
        </w:tc>
      </w:tr>
      <w:tr w:rsidR="006621BE" w:rsidRPr="00A17947" w14:paraId="5C012C56" w14:textId="77777777" w:rsidTr="007B2C75">
        <w:tc>
          <w:tcPr>
            <w:tcW w:w="993" w:type="dxa"/>
          </w:tcPr>
          <w:p w14:paraId="5E2094CA" w14:textId="77777777" w:rsidR="006621BE" w:rsidRPr="00A17947" w:rsidRDefault="006621BE" w:rsidP="00EF5AF2">
            <w:pPr>
              <w:tabs>
                <w:tab w:val="left" w:pos="875"/>
              </w:tabs>
              <w:ind w:right="-50"/>
              <w:jc w:val="center"/>
              <w:rPr>
                <w:rFonts w:ascii="Arial" w:hAnsi="Arial" w:cs="Arial"/>
                <w:b/>
              </w:rPr>
            </w:pPr>
            <w:r w:rsidRPr="00A17947">
              <w:rPr>
                <w:rFonts w:ascii="Arial" w:hAnsi="Arial" w:cs="Arial"/>
                <w:b/>
              </w:rPr>
              <w:lastRenderedPageBreak/>
              <w:t>1</w:t>
            </w:r>
          </w:p>
        </w:tc>
        <w:tc>
          <w:tcPr>
            <w:tcW w:w="4253" w:type="dxa"/>
          </w:tcPr>
          <w:p w14:paraId="22F8F475" w14:textId="77777777" w:rsidR="006621BE" w:rsidRPr="00A17947" w:rsidRDefault="006621BE" w:rsidP="00EF5AF2">
            <w:pPr>
              <w:tabs>
                <w:tab w:val="left" w:pos="875"/>
              </w:tabs>
              <w:ind w:right="-50"/>
              <w:jc w:val="both"/>
              <w:rPr>
                <w:rFonts w:ascii="Arial" w:hAnsi="Arial" w:cs="Arial"/>
                <w:b/>
              </w:rPr>
            </w:pPr>
            <w:r w:rsidRPr="00A17947">
              <w:rPr>
                <w:rFonts w:ascii="Arial" w:hAnsi="Arial" w:cs="Arial"/>
                <w:b/>
              </w:rPr>
              <w:t>Técnicas:</w:t>
            </w:r>
          </w:p>
        </w:tc>
        <w:tc>
          <w:tcPr>
            <w:tcW w:w="5244" w:type="dxa"/>
          </w:tcPr>
          <w:p w14:paraId="43C6F5A2" w14:textId="77777777" w:rsidR="006621BE" w:rsidRPr="00A17947" w:rsidRDefault="006621BE" w:rsidP="00EF5AF2">
            <w:pPr>
              <w:tabs>
                <w:tab w:val="left" w:pos="875"/>
              </w:tabs>
              <w:ind w:right="-50"/>
              <w:jc w:val="both"/>
              <w:rPr>
                <w:rFonts w:ascii="Arial" w:hAnsi="Arial" w:cs="Arial"/>
              </w:rPr>
            </w:pPr>
            <w:r w:rsidRPr="00A17947">
              <w:rPr>
                <w:rFonts w:ascii="Arial" w:hAnsi="Arial" w:cs="Arial"/>
              </w:rPr>
              <w:t>-Durante la vigencia 2024, eventualmente en los últimos días hábiles del mes, no había accesibilidad para imprimir reportes.</w:t>
            </w:r>
          </w:p>
          <w:p w14:paraId="42CA2C7B" w14:textId="77777777" w:rsidR="006621BE" w:rsidRPr="00A17947" w:rsidRDefault="006621BE" w:rsidP="00EF5AF2">
            <w:pPr>
              <w:tabs>
                <w:tab w:val="left" w:pos="875"/>
              </w:tabs>
              <w:ind w:right="-50"/>
              <w:jc w:val="both"/>
              <w:rPr>
                <w:rFonts w:ascii="Arial" w:hAnsi="Arial" w:cs="Arial"/>
              </w:rPr>
            </w:pPr>
          </w:p>
          <w:p w14:paraId="61194259" w14:textId="77777777" w:rsidR="006621BE" w:rsidRPr="00A17947" w:rsidRDefault="006621BE" w:rsidP="00EF5AF2">
            <w:pPr>
              <w:tabs>
                <w:tab w:val="left" w:pos="875"/>
              </w:tabs>
              <w:ind w:right="-50"/>
              <w:jc w:val="both"/>
              <w:rPr>
                <w:rFonts w:ascii="Arial" w:hAnsi="Arial" w:cs="Arial"/>
              </w:rPr>
            </w:pPr>
            <w:r w:rsidRPr="00A17947">
              <w:rPr>
                <w:rFonts w:ascii="Arial" w:hAnsi="Arial" w:cs="Arial"/>
              </w:rPr>
              <w:t>-La imposibilidad de acceso al Sistema, en varias oportunidades generaron retraso en los trámites.</w:t>
            </w:r>
          </w:p>
          <w:p w14:paraId="21133E1B" w14:textId="77777777" w:rsidR="006621BE" w:rsidRPr="00A17947" w:rsidRDefault="006621BE" w:rsidP="00EF5AF2">
            <w:pPr>
              <w:tabs>
                <w:tab w:val="left" w:pos="875"/>
              </w:tabs>
              <w:ind w:right="-50"/>
              <w:jc w:val="both"/>
              <w:rPr>
                <w:rFonts w:ascii="Arial" w:hAnsi="Arial" w:cs="Arial"/>
              </w:rPr>
            </w:pPr>
          </w:p>
          <w:p w14:paraId="7A424941" w14:textId="77777777" w:rsidR="006621BE" w:rsidRPr="00A17947" w:rsidRDefault="006621BE" w:rsidP="00EF5AF2">
            <w:pPr>
              <w:tabs>
                <w:tab w:val="left" w:pos="875"/>
              </w:tabs>
              <w:ind w:right="-50"/>
              <w:jc w:val="both"/>
              <w:rPr>
                <w:rFonts w:ascii="Arial" w:hAnsi="Arial" w:cs="Arial"/>
              </w:rPr>
            </w:pPr>
            <w:r w:rsidRPr="00A17947">
              <w:rPr>
                <w:rFonts w:ascii="Arial" w:hAnsi="Arial" w:cs="Arial"/>
              </w:rPr>
              <w:t>-Cuando se generan actualizaciones a nivel nacional del SIIF, en muchas ocasiones no se puede ingresar al Sistema y se retrasan las transacciones, ya que se trabaja con dificultad al no ingresar fácil a la página del Ministerio de Hacienda, solo se ingresa por un link en específico, en horarios determinados y en general el rendimiento y operatividad del Sistema se ve afectado.</w:t>
            </w:r>
          </w:p>
        </w:tc>
      </w:tr>
      <w:tr w:rsidR="006621BE" w:rsidRPr="00A17947" w14:paraId="7CE67339" w14:textId="77777777" w:rsidTr="007B2C75">
        <w:tc>
          <w:tcPr>
            <w:tcW w:w="993" w:type="dxa"/>
          </w:tcPr>
          <w:p w14:paraId="340EC479" w14:textId="77777777" w:rsidR="006621BE" w:rsidRPr="00A17947" w:rsidRDefault="006621BE" w:rsidP="00EF5AF2">
            <w:pPr>
              <w:tabs>
                <w:tab w:val="left" w:pos="875"/>
              </w:tabs>
              <w:ind w:right="-50"/>
              <w:jc w:val="center"/>
              <w:rPr>
                <w:rFonts w:ascii="Arial" w:hAnsi="Arial" w:cs="Arial"/>
                <w:b/>
              </w:rPr>
            </w:pPr>
            <w:r w:rsidRPr="00A17947">
              <w:rPr>
                <w:rFonts w:ascii="Arial" w:hAnsi="Arial" w:cs="Arial"/>
                <w:b/>
              </w:rPr>
              <w:t>2</w:t>
            </w:r>
          </w:p>
        </w:tc>
        <w:tc>
          <w:tcPr>
            <w:tcW w:w="4253" w:type="dxa"/>
          </w:tcPr>
          <w:p w14:paraId="359418A5" w14:textId="77777777" w:rsidR="006621BE" w:rsidRPr="00A17947" w:rsidRDefault="006621BE" w:rsidP="00EF5AF2">
            <w:pPr>
              <w:tabs>
                <w:tab w:val="left" w:pos="875"/>
              </w:tabs>
              <w:ind w:right="-50"/>
              <w:jc w:val="both"/>
              <w:rPr>
                <w:rFonts w:ascii="Arial" w:hAnsi="Arial" w:cs="Arial"/>
                <w:b/>
              </w:rPr>
            </w:pPr>
            <w:r w:rsidRPr="00A17947">
              <w:rPr>
                <w:rFonts w:ascii="Arial" w:hAnsi="Arial" w:cs="Arial"/>
                <w:b/>
              </w:rPr>
              <w:t>Operativas:</w:t>
            </w:r>
          </w:p>
        </w:tc>
        <w:tc>
          <w:tcPr>
            <w:tcW w:w="5244" w:type="dxa"/>
          </w:tcPr>
          <w:p w14:paraId="0D823EBF" w14:textId="77777777" w:rsidR="006621BE" w:rsidRPr="00A17947" w:rsidRDefault="006621BE" w:rsidP="00EF5AF2">
            <w:pPr>
              <w:tabs>
                <w:tab w:val="left" w:pos="875"/>
              </w:tabs>
              <w:ind w:right="-50"/>
              <w:jc w:val="both"/>
              <w:rPr>
                <w:rFonts w:ascii="Arial" w:hAnsi="Arial" w:cs="Arial"/>
              </w:rPr>
            </w:pPr>
            <w:r w:rsidRPr="00A17947">
              <w:rPr>
                <w:rFonts w:ascii="Arial" w:hAnsi="Arial" w:cs="Arial"/>
              </w:rPr>
              <w:t>-Restricciones de horarios para el cierre presupuestal a partir del 18 de diciembre de 2024.</w:t>
            </w:r>
          </w:p>
          <w:p w14:paraId="58ADDFD4" w14:textId="77777777" w:rsidR="006621BE" w:rsidRPr="00A17947" w:rsidRDefault="006621BE" w:rsidP="00EF5AF2">
            <w:pPr>
              <w:tabs>
                <w:tab w:val="left" w:pos="875"/>
              </w:tabs>
              <w:ind w:right="-50"/>
              <w:jc w:val="both"/>
              <w:rPr>
                <w:rFonts w:ascii="Arial" w:hAnsi="Arial" w:cs="Arial"/>
              </w:rPr>
            </w:pPr>
          </w:p>
          <w:p w14:paraId="2170BBEF" w14:textId="77777777" w:rsidR="006621BE" w:rsidRPr="00A17947" w:rsidRDefault="006621BE" w:rsidP="00EF5AF2">
            <w:pPr>
              <w:tabs>
                <w:tab w:val="left" w:pos="875"/>
              </w:tabs>
              <w:ind w:right="-50"/>
              <w:jc w:val="both"/>
              <w:rPr>
                <w:rFonts w:ascii="Arial" w:hAnsi="Arial" w:cs="Arial"/>
              </w:rPr>
            </w:pPr>
            <w:r w:rsidRPr="00A17947">
              <w:rPr>
                <w:rFonts w:ascii="Arial" w:hAnsi="Arial" w:cs="Arial"/>
              </w:rPr>
              <w:t>-Limitación en aprobación en PAC de reservas con ejecución 2024.</w:t>
            </w:r>
          </w:p>
        </w:tc>
      </w:tr>
      <w:tr w:rsidR="006621BE" w:rsidRPr="00A17947" w14:paraId="00A1FE16" w14:textId="77777777" w:rsidTr="007B2C75">
        <w:tc>
          <w:tcPr>
            <w:tcW w:w="993" w:type="dxa"/>
          </w:tcPr>
          <w:p w14:paraId="2FDF42C6" w14:textId="77777777" w:rsidR="006621BE" w:rsidRPr="00A17947" w:rsidRDefault="006621BE" w:rsidP="00EF5AF2">
            <w:pPr>
              <w:tabs>
                <w:tab w:val="left" w:pos="875"/>
              </w:tabs>
              <w:ind w:right="-50"/>
              <w:jc w:val="center"/>
              <w:rPr>
                <w:rFonts w:ascii="Arial" w:hAnsi="Arial" w:cs="Arial"/>
                <w:b/>
              </w:rPr>
            </w:pPr>
            <w:r w:rsidRPr="00A17947">
              <w:rPr>
                <w:rFonts w:ascii="Arial" w:hAnsi="Arial" w:cs="Arial"/>
                <w:b/>
              </w:rPr>
              <w:t>3</w:t>
            </w:r>
          </w:p>
        </w:tc>
        <w:tc>
          <w:tcPr>
            <w:tcW w:w="4253" w:type="dxa"/>
          </w:tcPr>
          <w:p w14:paraId="23118384" w14:textId="77777777" w:rsidR="006621BE" w:rsidRPr="00A17947" w:rsidRDefault="006621BE" w:rsidP="00EF5AF2">
            <w:pPr>
              <w:tabs>
                <w:tab w:val="left" w:pos="875"/>
              </w:tabs>
              <w:ind w:right="-50"/>
              <w:jc w:val="both"/>
              <w:rPr>
                <w:rFonts w:ascii="Arial" w:hAnsi="Arial" w:cs="Arial"/>
                <w:b/>
              </w:rPr>
            </w:pPr>
            <w:r w:rsidRPr="00A17947">
              <w:rPr>
                <w:rFonts w:ascii="Arial" w:hAnsi="Arial" w:cs="Arial"/>
                <w:b/>
              </w:rPr>
              <w:t>Soporte a la plataforma:</w:t>
            </w:r>
          </w:p>
        </w:tc>
        <w:tc>
          <w:tcPr>
            <w:tcW w:w="5244" w:type="dxa"/>
          </w:tcPr>
          <w:p w14:paraId="71EF33C5" w14:textId="77777777" w:rsidR="006621BE" w:rsidRPr="00A17947" w:rsidRDefault="006621BE" w:rsidP="00EF5AF2">
            <w:pPr>
              <w:tabs>
                <w:tab w:val="left" w:pos="875"/>
              </w:tabs>
              <w:ind w:right="-50"/>
              <w:jc w:val="both"/>
              <w:rPr>
                <w:rFonts w:ascii="Arial" w:hAnsi="Arial" w:cs="Arial"/>
              </w:rPr>
            </w:pPr>
            <w:r w:rsidRPr="00A17947">
              <w:rPr>
                <w:rFonts w:ascii="Arial" w:hAnsi="Arial" w:cs="Arial"/>
              </w:rPr>
              <w:t>- El soporte telefónico es muy oportuno; el soporte vía chat tiene mayor tiempo de respuesta al usuario; soporte correo electrónico, un día hábil en tiempo de respuesta.</w:t>
            </w:r>
          </w:p>
        </w:tc>
      </w:tr>
    </w:tbl>
    <w:p w14:paraId="619D4CA9" w14:textId="77777777" w:rsidR="006621BE" w:rsidRDefault="006621BE" w:rsidP="006621BE">
      <w:pPr>
        <w:ind w:left="-284" w:right="-234"/>
        <w:jc w:val="both"/>
        <w:rPr>
          <w:rFonts w:ascii="Arial" w:hAnsi="Arial" w:cs="Arial"/>
          <w:b/>
          <w:sz w:val="24"/>
          <w:szCs w:val="24"/>
        </w:rPr>
      </w:pPr>
    </w:p>
    <w:p w14:paraId="6A92D1D9" w14:textId="77777777" w:rsidR="006621BE" w:rsidRPr="00BA1867" w:rsidRDefault="006621BE" w:rsidP="006621BE">
      <w:pPr>
        <w:ind w:left="-284"/>
        <w:jc w:val="both"/>
        <w:rPr>
          <w:rFonts w:ascii="Arial" w:hAnsi="Arial" w:cs="Arial"/>
          <w:b/>
          <w:bCs/>
          <w:sz w:val="24"/>
          <w:szCs w:val="24"/>
        </w:rPr>
      </w:pPr>
      <w:r w:rsidRPr="00BA1867">
        <w:rPr>
          <w:rFonts w:ascii="Arial" w:hAnsi="Arial" w:cs="Arial"/>
          <w:b/>
          <w:bCs/>
          <w:sz w:val="24"/>
          <w:szCs w:val="24"/>
        </w:rPr>
        <w:t>De las Notas a los Estados Financieros retomamos lo siguiente:</w:t>
      </w:r>
    </w:p>
    <w:p w14:paraId="1D897110" w14:textId="77777777" w:rsidR="006621BE" w:rsidRPr="00BA1867" w:rsidRDefault="006621BE" w:rsidP="006621BE">
      <w:pPr>
        <w:ind w:left="-284"/>
        <w:jc w:val="both"/>
        <w:rPr>
          <w:rFonts w:ascii="Arial" w:hAnsi="Arial" w:cs="Arial"/>
          <w:b/>
          <w:bCs/>
          <w:sz w:val="24"/>
          <w:szCs w:val="24"/>
        </w:rPr>
      </w:pPr>
    </w:p>
    <w:p w14:paraId="3CC336A0" w14:textId="77777777" w:rsidR="006621BE" w:rsidRPr="00BA1867" w:rsidRDefault="006621BE" w:rsidP="006621BE">
      <w:pPr>
        <w:widowControl/>
        <w:adjustRightInd w:val="0"/>
        <w:ind w:left="-284"/>
        <w:rPr>
          <w:rFonts w:ascii="Arial" w:eastAsiaTheme="minorHAnsi" w:hAnsi="Arial" w:cs="Arial"/>
          <w:b/>
          <w:bCs/>
          <w:color w:val="000000"/>
          <w:sz w:val="24"/>
          <w:szCs w:val="24"/>
          <w:lang w:val="es-CO"/>
        </w:rPr>
      </w:pPr>
      <w:r w:rsidRPr="00BA1867">
        <w:rPr>
          <w:rFonts w:ascii="Arial" w:eastAsiaTheme="minorHAnsi" w:hAnsi="Arial" w:cs="Arial"/>
          <w:b/>
          <w:bCs/>
          <w:color w:val="000000"/>
          <w:sz w:val="24"/>
          <w:szCs w:val="24"/>
          <w:lang w:val="es-CO"/>
        </w:rPr>
        <w:t xml:space="preserve">1.2.2 Limitaciones. </w:t>
      </w:r>
    </w:p>
    <w:p w14:paraId="28135A5D" w14:textId="77777777" w:rsidR="006621BE" w:rsidRPr="00BA1867" w:rsidRDefault="006621BE" w:rsidP="007B2C75">
      <w:pPr>
        <w:widowControl/>
        <w:adjustRightInd w:val="0"/>
        <w:ind w:left="-284" w:right="-234"/>
        <w:rPr>
          <w:rFonts w:ascii="Arial" w:eastAsiaTheme="minorHAnsi" w:hAnsi="Arial" w:cs="Arial"/>
          <w:color w:val="000000"/>
          <w:sz w:val="24"/>
          <w:szCs w:val="24"/>
          <w:lang w:val="es-CO"/>
        </w:rPr>
      </w:pPr>
    </w:p>
    <w:p w14:paraId="097E6B25" w14:textId="77777777" w:rsidR="006621BE" w:rsidRPr="00BA1867" w:rsidRDefault="006621BE" w:rsidP="007B2C75">
      <w:pPr>
        <w:widowControl/>
        <w:adjustRightInd w:val="0"/>
        <w:ind w:left="-284" w:right="-234"/>
        <w:jc w:val="both"/>
        <w:rPr>
          <w:rFonts w:ascii="Arial" w:eastAsiaTheme="minorHAnsi" w:hAnsi="Arial" w:cs="Arial"/>
          <w:color w:val="000000"/>
          <w:sz w:val="24"/>
          <w:szCs w:val="24"/>
          <w:lang w:val="es-CO"/>
        </w:rPr>
      </w:pPr>
      <w:r w:rsidRPr="00BA1867">
        <w:rPr>
          <w:rFonts w:ascii="Arial" w:eastAsiaTheme="minorHAnsi" w:hAnsi="Arial" w:cs="Arial"/>
          <w:b/>
          <w:bCs/>
          <w:color w:val="000000"/>
          <w:sz w:val="24"/>
          <w:szCs w:val="24"/>
          <w:lang w:val="es-CO"/>
        </w:rPr>
        <w:t xml:space="preserve">1.2.2.2. De orden técnico: </w:t>
      </w:r>
      <w:r w:rsidRPr="00BA1867">
        <w:rPr>
          <w:rFonts w:ascii="Arial" w:eastAsiaTheme="minorHAnsi" w:hAnsi="Arial" w:cs="Arial"/>
          <w:color w:val="000000"/>
          <w:sz w:val="24"/>
          <w:szCs w:val="24"/>
          <w:lang w:val="es-CO"/>
        </w:rPr>
        <w:t xml:space="preserve">La forma como actualmente está diseñado el funcionamiento del Sistema Integrado de Información Financiera SIIF II, en su generación de informes, dificulta en ciertos análisis su verificación. </w:t>
      </w:r>
    </w:p>
    <w:p w14:paraId="51E1173F" w14:textId="77777777" w:rsidR="006621BE" w:rsidRPr="00BA1867" w:rsidRDefault="006621BE" w:rsidP="007B2C75">
      <w:pPr>
        <w:widowControl/>
        <w:adjustRightInd w:val="0"/>
        <w:ind w:left="-284" w:right="-234"/>
        <w:jc w:val="both"/>
        <w:rPr>
          <w:rFonts w:ascii="Arial" w:eastAsiaTheme="minorHAnsi" w:hAnsi="Arial" w:cs="Arial"/>
          <w:color w:val="000000"/>
          <w:sz w:val="24"/>
          <w:szCs w:val="24"/>
          <w:lang w:val="es-CO"/>
        </w:rPr>
      </w:pPr>
    </w:p>
    <w:p w14:paraId="4345BD8E" w14:textId="77777777" w:rsidR="006621BE" w:rsidRPr="00BA1867" w:rsidRDefault="006621BE" w:rsidP="007B2C75">
      <w:pPr>
        <w:widowControl/>
        <w:adjustRightInd w:val="0"/>
        <w:ind w:left="-284" w:right="-234"/>
        <w:jc w:val="both"/>
        <w:rPr>
          <w:rFonts w:ascii="Arial" w:eastAsiaTheme="minorHAnsi" w:hAnsi="Arial" w:cs="Arial"/>
          <w:color w:val="000000"/>
          <w:sz w:val="24"/>
          <w:szCs w:val="24"/>
          <w:lang w:val="es-CO"/>
        </w:rPr>
      </w:pPr>
      <w:r w:rsidRPr="00BA1867">
        <w:rPr>
          <w:rFonts w:ascii="Arial" w:eastAsiaTheme="minorHAnsi" w:hAnsi="Arial" w:cs="Arial"/>
          <w:color w:val="000000"/>
          <w:sz w:val="24"/>
          <w:szCs w:val="24"/>
          <w:lang w:val="es-CO"/>
        </w:rPr>
        <w:t xml:space="preserve">En el sistema SIIF Nación II se trabaja los módulos Contable, Presupuesto, Tesorería, así como se encuentra operando el módulo de viáticos en todas sus etapas que integran el funcionamiento del sistema. Los procesos contables de nómina y el de propiedad, planta y quipo, se encuentran trabajando en sistemas alternos, por ende, la información se procesa en los sistemas de apoyo para su posterior cargue manual al sistema SIIF Nación II. </w:t>
      </w:r>
    </w:p>
    <w:p w14:paraId="6585B91D" w14:textId="77777777" w:rsidR="006621BE" w:rsidRPr="00BA1867" w:rsidRDefault="006621BE" w:rsidP="007B2C75">
      <w:pPr>
        <w:ind w:left="-284" w:right="-234"/>
        <w:jc w:val="both"/>
        <w:rPr>
          <w:rFonts w:ascii="Arial" w:eastAsiaTheme="minorHAnsi" w:hAnsi="Arial" w:cs="Arial"/>
          <w:color w:val="000000"/>
          <w:sz w:val="24"/>
          <w:szCs w:val="24"/>
          <w:lang w:val="es-CO"/>
        </w:rPr>
      </w:pPr>
      <w:r w:rsidRPr="00BA1867">
        <w:rPr>
          <w:rFonts w:ascii="Arial" w:eastAsiaTheme="minorHAnsi" w:hAnsi="Arial" w:cs="Arial"/>
          <w:color w:val="000000"/>
          <w:sz w:val="24"/>
          <w:szCs w:val="24"/>
          <w:lang w:val="es-CO"/>
        </w:rPr>
        <w:t>Dentro de los sistemas de apoyo que utiliza MINDEPORTE y que son auxiliares al macroproceso contable del SIIF Nación II, para el manejo de los inventarios se cuenta con el Sistema en Línea Administrativo S.O.A. en el cual se manejan la información contable de las propiedades planta y equipo, así como de los inventarios de materiales y suministros; igualmente se cuenta con el Sistema de Información de Talento Humano S.A.R.A para efectos de la liquidación de la nómina y las prestaciones sociales de los funcionarios.</w:t>
      </w:r>
    </w:p>
    <w:p w14:paraId="278AE8DE" w14:textId="77777777" w:rsidR="007B2C75" w:rsidRDefault="007B2C75" w:rsidP="007B2C75">
      <w:pPr>
        <w:ind w:left="-284" w:right="-234"/>
        <w:jc w:val="both"/>
        <w:rPr>
          <w:rFonts w:ascii="Arial" w:hAnsi="Arial" w:cs="Arial"/>
          <w:b/>
          <w:sz w:val="28"/>
          <w:szCs w:val="28"/>
        </w:rPr>
      </w:pPr>
    </w:p>
    <w:p w14:paraId="561B8725" w14:textId="3AB75D81" w:rsidR="006621BE" w:rsidRDefault="006621BE" w:rsidP="007B2C75">
      <w:pPr>
        <w:ind w:left="-284" w:right="-234"/>
        <w:jc w:val="both"/>
        <w:rPr>
          <w:rFonts w:ascii="Arial" w:hAnsi="Arial" w:cs="Arial"/>
          <w:b/>
          <w:sz w:val="28"/>
          <w:szCs w:val="28"/>
        </w:rPr>
      </w:pPr>
      <w:r w:rsidRPr="005D52AA">
        <w:rPr>
          <w:rFonts w:ascii="Arial" w:hAnsi="Arial" w:cs="Arial"/>
          <w:b/>
          <w:sz w:val="28"/>
          <w:szCs w:val="28"/>
        </w:rPr>
        <w:t xml:space="preserve">80.- UNIDAD ADMINISTRATIVA ESPECIAL DE ALIMENTACIÓN ESCOLAR - ALIMENTOS PARA APRENDER. </w:t>
      </w:r>
    </w:p>
    <w:p w14:paraId="791C68B6" w14:textId="77777777" w:rsidR="006621BE" w:rsidRDefault="006621BE" w:rsidP="006621BE">
      <w:pPr>
        <w:ind w:left="-284" w:right="-234"/>
        <w:jc w:val="both"/>
        <w:rPr>
          <w:rFonts w:ascii="Arial" w:hAnsi="Arial" w:cs="Arial"/>
          <w:b/>
          <w:sz w:val="24"/>
          <w:szCs w:val="24"/>
        </w:rPr>
      </w:pPr>
    </w:p>
    <w:p w14:paraId="51E9F8E4" w14:textId="77777777" w:rsidR="006621BE" w:rsidRPr="005E2C41" w:rsidRDefault="006621BE" w:rsidP="007B2C75">
      <w:pPr>
        <w:pStyle w:val="Textoindependiente"/>
        <w:ind w:left="-284" w:right="-234"/>
        <w:jc w:val="both"/>
        <w:rPr>
          <w:rFonts w:ascii="Arial" w:hAnsi="Arial" w:cs="Arial"/>
          <w:bCs/>
          <w:sz w:val="24"/>
          <w:szCs w:val="24"/>
        </w:rPr>
      </w:pPr>
      <w:r w:rsidRPr="005E2C41">
        <w:rPr>
          <w:rFonts w:ascii="Arial" w:hAnsi="Arial" w:cs="Arial"/>
          <w:b/>
          <w:bCs/>
          <w:sz w:val="24"/>
          <w:szCs w:val="24"/>
        </w:rPr>
        <w:t xml:space="preserve">1.2. Declaración de cumplimiento del marco normativo y limitaciones. </w:t>
      </w:r>
      <w:r w:rsidRPr="005E2C41">
        <w:rPr>
          <w:rFonts w:ascii="Arial" w:hAnsi="Arial" w:cs="Arial"/>
          <w:bCs/>
          <w:sz w:val="24"/>
          <w:szCs w:val="24"/>
        </w:rPr>
        <w:t xml:space="preserve">Dentro de las limitaciones el sistema de información de apoyo al macroproceso contable SIIF. – Nación, no cuenta con el módulo para el manejo de la propiedad planta y equipo y de cartera, por lo que se lleva en la herramienta ofimática de Excel; para el caso de la nómina, en la vigencia 2021 se adquirió la licencia del software KACTUS herramienta para la liquidación de esta y utilizada en la actualidad para dicho </w:t>
      </w:r>
      <w:r w:rsidRPr="005E2C41">
        <w:rPr>
          <w:rFonts w:ascii="Arial" w:hAnsi="Arial" w:cs="Arial"/>
          <w:bCs/>
          <w:sz w:val="24"/>
          <w:szCs w:val="24"/>
        </w:rPr>
        <w:lastRenderedPageBreak/>
        <w:t xml:space="preserve">proceso. </w:t>
      </w:r>
    </w:p>
    <w:p w14:paraId="17FE1687" w14:textId="77777777" w:rsidR="006621BE" w:rsidRPr="005E2C41" w:rsidRDefault="006621BE" w:rsidP="007B2C75">
      <w:pPr>
        <w:pStyle w:val="Textoindependiente"/>
        <w:ind w:left="-284" w:right="-234"/>
        <w:jc w:val="both"/>
        <w:rPr>
          <w:rFonts w:ascii="Arial" w:hAnsi="Arial" w:cs="Arial"/>
          <w:bCs/>
          <w:sz w:val="24"/>
          <w:szCs w:val="24"/>
        </w:rPr>
      </w:pPr>
    </w:p>
    <w:p w14:paraId="09B2E867" w14:textId="77777777" w:rsidR="006621BE" w:rsidRPr="005E2C41" w:rsidRDefault="006621BE" w:rsidP="007B2C75">
      <w:pPr>
        <w:pStyle w:val="Textoindependiente"/>
        <w:ind w:left="-284" w:right="-234"/>
        <w:jc w:val="both"/>
        <w:rPr>
          <w:rFonts w:ascii="Arial" w:hAnsi="Arial" w:cs="Arial"/>
          <w:bCs/>
          <w:sz w:val="24"/>
          <w:szCs w:val="24"/>
        </w:rPr>
      </w:pPr>
      <w:r w:rsidRPr="005E2C41">
        <w:rPr>
          <w:rFonts w:ascii="Arial" w:hAnsi="Arial" w:cs="Arial"/>
          <w:bCs/>
          <w:sz w:val="24"/>
          <w:szCs w:val="24"/>
        </w:rPr>
        <w:t>De igual forma, se elaboran registros manuales de acuerdo con las tipologías definidas en el Sistema Integrado de Información Financiera SIIF-Nación; la Unidad realiza mediante esta definición registros de pasivos reales sobre la nómina, depreciaciones, amortizaciones y reclasificaciones de retenido y pagado sobre los conceptos de impuestos, entre otros, de acuerdo con la directriz de la CGN.</w:t>
      </w:r>
    </w:p>
    <w:p w14:paraId="2F8A631A" w14:textId="77777777" w:rsidR="006621BE" w:rsidRDefault="006621BE" w:rsidP="007B2C75">
      <w:pPr>
        <w:ind w:left="-284" w:right="-234"/>
        <w:jc w:val="both"/>
        <w:rPr>
          <w:rFonts w:ascii="Arial" w:hAnsi="Arial" w:cs="Arial"/>
          <w:b/>
          <w:sz w:val="24"/>
          <w:szCs w:val="24"/>
        </w:rPr>
      </w:pPr>
    </w:p>
    <w:p w14:paraId="6B08B250" w14:textId="77777777" w:rsidR="006621BE" w:rsidRPr="007D7C09" w:rsidRDefault="006621BE" w:rsidP="007B2C75">
      <w:pPr>
        <w:ind w:left="-284" w:right="-234"/>
        <w:jc w:val="both"/>
        <w:rPr>
          <w:rFonts w:ascii="Arial" w:hAnsi="Arial" w:cs="Arial"/>
          <w:b/>
          <w:sz w:val="28"/>
          <w:szCs w:val="28"/>
          <w:lang w:val="es-MX"/>
        </w:rPr>
      </w:pPr>
      <w:r w:rsidRPr="007D7C09">
        <w:rPr>
          <w:rFonts w:ascii="Arial" w:hAnsi="Arial" w:cs="Arial"/>
          <w:b/>
          <w:sz w:val="28"/>
          <w:szCs w:val="28"/>
          <w:lang w:val="es-MX"/>
        </w:rPr>
        <w:t>82.- UNIDAD DE PLANIFICACIÓN DE TIERRAS RURALES, ADECUACIÓN DE TIERRAS Y USOS AGROPECUARIOS – UPRA.</w:t>
      </w:r>
    </w:p>
    <w:p w14:paraId="47AD870C" w14:textId="77777777" w:rsidR="006621BE" w:rsidRDefault="006621BE" w:rsidP="007B2C75">
      <w:pPr>
        <w:ind w:left="-284" w:right="-234"/>
        <w:jc w:val="both"/>
        <w:rPr>
          <w:rFonts w:ascii="Arial" w:hAnsi="Arial" w:cs="Arial"/>
          <w:b/>
          <w:sz w:val="24"/>
          <w:szCs w:val="24"/>
          <w:lang w:val="es-MX"/>
        </w:rPr>
      </w:pPr>
    </w:p>
    <w:p w14:paraId="6722A50F" w14:textId="77777777" w:rsidR="006621BE" w:rsidRPr="008F17B2" w:rsidRDefault="006621BE" w:rsidP="007B2C75">
      <w:pPr>
        <w:ind w:left="-284" w:right="-234"/>
        <w:jc w:val="both"/>
        <w:rPr>
          <w:rFonts w:ascii="Arial" w:hAnsi="Arial" w:cs="Arial"/>
          <w:sz w:val="24"/>
          <w:szCs w:val="24"/>
        </w:rPr>
      </w:pPr>
      <w:r w:rsidRPr="008F17B2">
        <w:rPr>
          <w:rFonts w:ascii="Arial" w:hAnsi="Arial" w:cs="Arial"/>
          <w:b/>
          <w:bCs/>
          <w:sz w:val="24"/>
          <w:szCs w:val="24"/>
        </w:rPr>
        <w:t xml:space="preserve">1.2.2. Limitaciones y/o deficiencias de información. </w:t>
      </w:r>
      <w:r w:rsidRPr="008F17B2">
        <w:rPr>
          <w:rFonts w:ascii="Arial" w:hAnsi="Arial" w:cs="Arial"/>
          <w:sz w:val="24"/>
          <w:szCs w:val="24"/>
        </w:rPr>
        <w:t>La UPRA registra la información financiera en SIIF (Sistema integrado de información financiera), este sistema no cuenta con un módulo o proceso en el cual se pueda llevar un registro detallado y automático de la propiedad, planta y equipo con que cuenta la entidad y sus respectivas afectaciones como lo son la depreciación y amortización. Actualmente se maneja el inventario en una hoja de cálculo de forma manual, ocasionando debilidad en el reconocimiento de hechos económicos, esta herramienta se convierte en el soporte de los registros manuales realizados en SIIF que permite tener actualizados los valores de Propiedad, planta y equipo, así como los Otros activos intangibles.</w:t>
      </w:r>
    </w:p>
    <w:p w14:paraId="37231827" w14:textId="77777777" w:rsidR="006621BE" w:rsidRPr="008F17B2" w:rsidRDefault="006621BE" w:rsidP="007B2C75">
      <w:pPr>
        <w:ind w:left="-284" w:right="-234"/>
        <w:jc w:val="both"/>
        <w:rPr>
          <w:rFonts w:ascii="Arial" w:hAnsi="Arial" w:cs="Arial"/>
          <w:sz w:val="24"/>
          <w:szCs w:val="24"/>
        </w:rPr>
      </w:pPr>
    </w:p>
    <w:p w14:paraId="586252A1" w14:textId="1AA74C66" w:rsidR="006621BE" w:rsidRDefault="006621BE" w:rsidP="007B2C75">
      <w:pPr>
        <w:ind w:left="-284" w:right="-234"/>
        <w:jc w:val="both"/>
        <w:rPr>
          <w:rFonts w:ascii="Arial" w:hAnsi="Arial" w:cs="Arial"/>
          <w:sz w:val="24"/>
          <w:szCs w:val="24"/>
        </w:rPr>
      </w:pPr>
      <w:r w:rsidRPr="008F17B2">
        <w:rPr>
          <w:rFonts w:ascii="Arial" w:hAnsi="Arial" w:cs="Arial"/>
          <w:sz w:val="24"/>
          <w:szCs w:val="24"/>
        </w:rPr>
        <w:t>Se encuentra deficiencia en la información relacionada con Intangibles (Licencias, derechos y otros intangibles), dado que no se garantiza la entrada oportuna de estos activos a la base de inventarios de la entidad.</w:t>
      </w:r>
    </w:p>
    <w:p w14:paraId="1F2AB0A9" w14:textId="77777777" w:rsidR="007B2C75" w:rsidRPr="008F17B2" w:rsidRDefault="007B2C75" w:rsidP="007B2C75">
      <w:pPr>
        <w:ind w:left="-284" w:right="-234"/>
        <w:jc w:val="both"/>
        <w:rPr>
          <w:rFonts w:ascii="Arial" w:hAnsi="Arial" w:cs="Arial"/>
          <w:sz w:val="24"/>
          <w:szCs w:val="24"/>
        </w:rPr>
      </w:pPr>
    </w:p>
    <w:p w14:paraId="4F08C8BF" w14:textId="77777777" w:rsidR="006621BE" w:rsidRPr="008F17B2" w:rsidRDefault="006621BE" w:rsidP="007B2C75">
      <w:pPr>
        <w:ind w:left="-284" w:right="-234"/>
        <w:jc w:val="both"/>
        <w:rPr>
          <w:rFonts w:ascii="Arial" w:hAnsi="Arial" w:cs="Arial"/>
          <w:sz w:val="24"/>
          <w:szCs w:val="24"/>
        </w:rPr>
      </w:pPr>
      <w:r w:rsidRPr="008F17B2">
        <w:rPr>
          <w:rFonts w:ascii="Arial" w:hAnsi="Arial" w:cs="Arial"/>
          <w:sz w:val="24"/>
          <w:szCs w:val="24"/>
        </w:rPr>
        <w:t>La nómina se elabora en el aplicativo SIGEP NOMINA, propiedad de HEINSOHN, en este sistema se ejecuta la liquidación y administración de los elementos salariales, generando archivos planos que se cargan en SIIF NACIÓN.</w:t>
      </w:r>
    </w:p>
    <w:p w14:paraId="1F0A348F" w14:textId="77777777" w:rsidR="006621BE" w:rsidRPr="008F17B2" w:rsidRDefault="006621BE" w:rsidP="007B2C75">
      <w:pPr>
        <w:ind w:left="-284" w:right="-234"/>
        <w:jc w:val="both"/>
        <w:rPr>
          <w:rFonts w:ascii="Arial" w:hAnsi="Arial" w:cs="Arial"/>
          <w:sz w:val="24"/>
          <w:szCs w:val="24"/>
        </w:rPr>
      </w:pPr>
    </w:p>
    <w:p w14:paraId="658F1E60" w14:textId="77777777" w:rsidR="006621BE" w:rsidRPr="008F17B2" w:rsidRDefault="006621BE" w:rsidP="007B2C75">
      <w:pPr>
        <w:ind w:left="-284" w:right="-234"/>
        <w:jc w:val="both"/>
        <w:rPr>
          <w:rFonts w:ascii="Arial" w:hAnsi="Arial" w:cs="Arial"/>
          <w:sz w:val="24"/>
          <w:szCs w:val="24"/>
        </w:rPr>
      </w:pPr>
      <w:r w:rsidRPr="008F17B2">
        <w:rPr>
          <w:rFonts w:ascii="Arial" w:hAnsi="Arial" w:cs="Arial"/>
          <w:sz w:val="24"/>
          <w:szCs w:val="24"/>
        </w:rPr>
        <w:t>Las incapacidades no se registran en SIIF por tercero en el momento de la obligación, de acuerdo con el procedimiento de cargue de deducciones emitido por SIIF, por lo cual se realiza conciliación mensual con el área de talento humano, en donde se discrimina el detalle de las incapacidades por tercero.</w:t>
      </w:r>
    </w:p>
    <w:p w14:paraId="3E8D2D34" w14:textId="77777777" w:rsidR="006621BE" w:rsidRPr="008F17B2" w:rsidRDefault="006621BE" w:rsidP="007B2C75">
      <w:pPr>
        <w:ind w:left="-284" w:right="-234"/>
        <w:jc w:val="both"/>
        <w:rPr>
          <w:rFonts w:ascii="Arial" w:hAnsi="Arial" w:cs="Arial"/>
          <w:sz w:val="24"/>
          <w:szCs w:val="24"/>
        </w:rPr>
      </w:pPr>
    </w:p>
    <w:p w14:paraId="490C060C" w14:textId="77777777" w:rsidR="006621BE" w:rsidRPr="008F17B2" w:rsidRDefault="006621BE" w:rsidP="007B2C75">
      <w:pPr>
        <w:ind w:left="-284" w:right="-234"/>
        <w:jc w:val="both"/>
        <w:rPr>
          <w:rFonts w:ascii="Arial" w:hAnsi="Arial" w:cs="Arial"/>
          <w:sz w:val="24"/>
          <w:szCs w:val="24"/>
        </w:rPr>
      </w:pPr>
      <w:r w:rsidRPr="008F17B2">
        <w:rPr>
          <w:rFonts w:ascii="Arial" w:hAnsi="Arial" w:cs="Arial"/>
          <w:sz w:val="24"/>
          <w:szCs w:val="24"/>
        </w:rPr>
        <w:t>Se realizan registros manuales de cuentas por pagar, aplicando el principio de devengo, esto a razón de falta de PAC o la recepción de servicios o bienes sin su respectiva factura.</w:t>
      </w:r>
    </w:p>
    <w:p w14:paraId="6D50D23F" w14:textId="77777777" w:rsidR="006621BE" w:rsidRPr="008F17B2" w:rsidRDefault="006621BE" w:rsidP="007B2C75">
      <w:pPr>
        <w:ind w:left="-284" w:right="-234"/>
        <w:jc w:val="both"/>
        <w:rPr>
          <w:rFonts w:ascii="Arial" w:hAnsi="Arial" w:cs="Arial"/>
          <w:sz w:val="24"/>
          <w:szCs w:val="24"/>
        </w:rPr>
      </w:pPr>
    </w:p>
    <w:p w14:paraId="509EBD90" w14:textId="77777777" w:rsidR="006621BE" w:rsidRPr="008F17B2" w:rsidRDefault="006621BE" w:rsidP="007B2C75">
      <w:pPr>
        <w:ind w:left="-284" w:right="-234"/>
        <w:jc w:val="both"/>
        <w:rPr>
          <w:rFonts w:ascii="Arial" w:hAnsi="Arial" w:cs="Arial"/>
          <w:sz w:val="24"/>
          <w:szCs w:val="24"/>
        </w:rPr>
      </w:pPr>
      <w:r w:rsidRPr="008F17B2">
        <w:rPr>
          <w:rFonts w:ascii="Arial" w:hAnsi="Arial" w:cs="Arial"/>
          <w:sz w:val="24"/>
          <w:szCs w:val="24"/>
        </w:rPr>
        <w:t>Las facturas electrónicas son recepcionadas por SIIF, en ocasiones a pesar de que el proveedor radica la factura, el supervisor no logra aprobar la factura porque no aparece en la plataforma, generando reprocesos en el registro de los hechos económicos.</w:t>
      </w:r>
    </w:p>
    <w:p w14:paraId="74DB0EC2" w14:textId="77777777" w:rsidR="006621BE" w:rsidRDefault="006621BE" w:rsidP="006621BE">
      <w:pPr>
        <w:ind w:left="-284" w:right="-234"/>
        <w:jc w:val="both"/>
        <w:rPr>
          <w:rFonts w:ascii="Arial" w:hAnsi="Arial" w:cs="Arial"/>
          <w:b/>
          <w:sz w:val="24"/>
          <w:szCs w:val="24"/>
        </w:rPr>
      </w:pPr>
    </w:p>
    <w:p w14:paraId="12D21354" w14:textId="0900B982" w:rsidR="006621BE" w:rsidRDefault="006621BE" w:rsidP="006621BE">
      <w:pPr>
        <w:ind w:left="-284"/>
        <w:jc w:val="both"/>
        <w:rPr>
          <w:rFonts w:ascii="Arial" w:hAnsi="Arial" w:cs="Arial"/>
          <w:b/>
          <w:sz w:val="28"/>
          <w:szCs w:val="28"/>
          <w:lang w:val="es-MX"/>
        </w:rPr>
      </w:pPr>
      <w:r w:rsidRPr="00FD4F76">
        <w:rPr>
          <w:rFonts w:ascii="Arial" w:hAnsi="Arial" w:cs="Arial"/>
          <w:b/>
          <w:sz w:val="28"/>
          <w:szCs w:val="28"/>
          <w:lang w:val="es-MX"/>
        </w:rPr>
        <w:t>85.- CONTADURÍA GENERAL DE LA NACIÓN.</w:t>
      </w:r>
    </w:p>
    <w:p w14:paraId="7BD96A98" w14:textId="77777777" w:rsidR="006C10D2" w:rsidRPr="00FD4F76" w:rsidRDefault="006C10D2" w:rsidP="006621BE">
      <w:pPr>
        <w:ind w:left="-284"/>
        <w:jc w:val="both"/>
        <w:rPr>
          <w:rFonts w:ascii="Arial" w:hAnsi="Arial" w:cs="Arial"/>
          <w:b/>
          <w:sz w:val="28"/>
          <w:szCs w:val="28"/>
          <w:lang w:val="es-MX"/>
        </w:rPr>
      </w:pPr>
    </w:p>
    <w:p w14:paraId="4052D065" w14:textId="77777777" w:rsidR="006621BE" w:rsidRPr="00FD4F76" w:rsidRDefault="006621BE" w:rsidP="003769C9">
      <w:pPr>
        <w:pStyle w:val="Prrafodelista"/>
        <w:tabs>
          <w:tab w:val="left" w:pos="875"/>
        </w:tabs>
        <w:ind w:left="-284" w:right="-234"/>
        <w:jc w:val="both"/>
        <w:rPr>
          <w:rFonts w:ascii="Arial" w:hAnsi="Arial" w:cs="Arial"/>
          <w:b/>
          <w:sz w:val="28"/>
          <w:szCs w:val="28"/>
        </w:rPr>
      </w:pPr>
      <w:r w:rsidRPr="007B2C75">
        <w:rPr>
          <w:rFonts w:ascii="Arial" w:hAnsi="Arial" w:cs="Arial"/>
          <w:b/>
          <w:sz w:val="24"/>
          <w:szCs w:val="24"/>
        </w:rPr>
        <w:t>1.3 LIMITACIONES Y DEFICIENCIAS GENERALES DE TIPO OPERATIVO O ADMINMISTRATIVO</w:t>
      </w:r>
      <w:r w:rsidRPr="00FD4F76">
        <w:rPr>
          <w:rFonts w:ascii="Arial" w:hAnsi="Arial" w:cs="Arial"/>
          <w:b/>
          <w:sz w:val="28"/>
          <w:szCs w:val="28"/>
        </w:rPr>
        <w:t>.</w:t>
      </w:r>
    </w:p>
    <w:p w14:paraId="441180FE" w14:textId="77777777" w:rsidR="006621BE" w:rsidRPr="00FD4F76" w:rsidRDefault="006621BE" w:rsidP="003769C9">
      <w:pPr>
        <w:pStyle w:val="Prrafodelista"/>
        <w:tabs>
          <w:tab w:val="left" w:pos="875"/>
        </w:tabs>
        <w:ind w:left="-284" w:right="-234"/>
        <w:jc w:val="both"/>
        <w:rPr>
          <w:rFonts w:ascii="Arial" w:hAnsi="Arial" w:cs="Arial"/>
          <w:sz w:val="28"/>
          <w:szCs w:val="28"/>
        </w:rPr>
      </w:pPr>
    </w:p>
    <w:p w14:paraId="6E8E62FE" w14:textId="77777777" w:rsidR="006621BE" w:rsidRPr="00FD4F76" w:rsidRDefault="006621BE" w:rsidP="003769C9">
      <w:pPr>
        <w:pStyle w:val="Prrafodelista"/>
        <w:tabs>
          <w:tab w:val="left" w:pos="0"/>
        </w:tabs>
        <w:ind w:left="-284" w:right="-234"/>
        <w:jc w:val="both"/>
        <w:rPr>
          <w:rFonts w:ascii="Arial" w:hAnsi="Arial" w:cs="Arial"/>
          <w:sz w:val="24"/>
          <w:szCs w:val="24"/>
        </w:rPr>
      </w:pPr>
      <w:r w:rsidRPr="00FD4F76">
        <w:rPr>
          <w:rFonts w:ascii="Arial" w:hAnsi="Arial" w:cs="Arial"/>
          <w:sz w:val="24"/>
          <w:szCs w:val="24"/>
        </w:rPr>
        <w:t>La CGN forma parte de entidades del nivel Nacional que usan el Sistema Integrado de Información Financiera - SIIF Nación, el cual garantiza la integridad de la contabilidad presupuestal frente a la contabilidad financiera.</w:t>
      </w:r>
    </w:p>
    <w:p w14:paraId="6778987E" w14:textId="77777777" w:rsidR="006621BE" w:rsidRPr="00FD4F76" w:rsidRDefault="006621BE" w:rsidP="003769C9">
      <w:pPr>
        <w:pStyle w:val="Prrafodelista"/>
        <w:tabs>
          <w:tab w:val="left" w:pos="0"/>
        </w:tabs>
        <w:ind w:left="-284" w:right="-234" w:hanging="874"/>
        <w:jc w:val="both"/>
        <w:rPr>
          <w:rFonts w:ascii="Arial" w:hAnsi="Arial" w:cs="Arial"/>
          <w:sz w:val="24"/>
          <w:szCs w:val="24"/>
        </w:rPr>
      </w:pPr>
    </w:p>
    <w:p w14:paraId="187EFB1C" w14:textId="77777777" w:rsidR="006621BE" w:rsidRPr="00FD4F76" w:rsidRDefault="006621BE" w:rsidP="003769C9">
      <w:pPr>
        <w:pStyle w:val="Prrafodelista"/>
        <w:tabs>
          <w:tab w:val="left" w:pos="0"/>
        </w:tabs>
        <w:ind w:left="-284" w:right="-234"/>
        <w:jc w:val="both"/>
        <w:rPr>
          <w:rFonts w:ascii="Arial" w:hAnsi="Arial" w:cs="Arial"/>
          <w:sz w:val="24"/>
          <w:szCs w:val="24"/>
        </w:rPr>
      </w:pPr>
      <w:r w:rsidRPr="00FD4F76">
        <w:rPr>
          <w:rFonts w:ascii="Arial" w:hAnsi="Arial" w:cs="Arial"/>
          <w:sz w:val="24"/>
          <w:szCs w:val="24"/>
        </w:rPr>
        <w:t>Dicho sistema aún no dispone de los módulos de bienes y de nómina, cuestión que obliga a manejar sistemas alternos de gestión de bienes y de administración de nómina y seguridad social, advirtiendo que no se cuenta con las funcionalidades que ayuden a integrar los sistemas de información auxiliares de la entidad con el SIIF, aspecto que limita la oportunidad y eficacia de seguimiento a la traza contable de las operaciones relacionadas con el reconocimiento de los hechos derivados de tales subsistemas.</w:t>
      </w:r>
    </w:p>
    <w:p w14:paraId="5A7412C6" w14:textId="77777777" w:rsidR="006621BE" w:rsidRDefault="006621BE" w:rsidP="003769C9">
      <w:pPr>
        <w:pStyle w:val="Prrafodelista"/>
        <w:tabs>
          <w:tab w:val="left" w:pos="0"/>
        </w:tabs>
        <w:ind w:left="-284" w:right="-234" w:hanging="874"/>
        <w:jc w:val="both"/>
        <w:rPr>
          <w:sz w:val="24"/>
          <w:szCs w:val="24"/>
        </w:rPr>
      </w:pPr>
    </w:p>
    <w:p w14:paraId="32011936" w14:textId="77777777" w:rsidR="006621BE" w:rsidRDefault="006621BE" w:rsidP="003769C9">
      <w:pPr>
        <w:pStyle w:val="Prrafodelista"/>
        <w:tabs>
          <w:tab w:val="left" w:pos="0"/>
        </w:tabs>
        <w:ind w:left="-284" w:right="-234"/>
        <w:jc w:val="both"/>
        <w:rPr>
          <w:sz w:val="24"/>
          <w:szCs w:val="24"/>
        </w:rPr>
      </w:pPr>
      <w:r w:rsidRPr="0084176C">
        <w:rPr>
          <w:sz w:val="24"/>
          <w:szCs w:val="24"/>
        </w:rPr>
        <w:t>En el proceso de reconocimiento de obligaciones presupuestales en el Sistema Integrado de</w:t>
      </w:r>
      <w:r>
        <w:rPr>
          <w:sz w:val="24"/>
          <w:szCs w:val="24"/>
        </w:rPr>
        <w:t xml:space="preserve"> </w:t>
      </w:r>
      <w:r w:rsidRPr="0084176C">
        <w:rPr>
          <w:sz w:val="24"/>
          <w:szCs w:val="24"/>
        </w:rPr>
        <w:t>Información Financiera – SIIF, se ejecutan dos actividades en las que básicamente, se diligencia</w:t>
      </w:r>
      <w:r>
        <w:rPr>
          <w:sz w:val="24"/>
          <w:szCs w:val="24"/>
        </w:rPr>
        <w:t xml:space="preserve"> </w:t>
      </w:r>
      <w:r w:rsidRPr="0084176C">
        <w:rPr>
          <w:sz w:val="24"/>
          <w:szCs w:val="24"/>
        </w:rPr>
        <w:t>la misma información, situación que incrementa los tiempos de trámite de las obligaciones a</w:t>
      </w:r>
      <w:r>
        <w:rPr>
          <w:sz w:val="24"/>
          <w:szCs w:val="24"/>
        </w:rPr>
        <w:t xml:space="preserve"> </w:t>
      </w:r>
      <w:r w:rsidRPr="0084176C">
        <w:rPr>
          <w:sz w:val="24"/>
          <w:szCs w:val="24"/>
        </w:rPr>
        <w:t>cargo de la entidad y que en nuestra opinión son redundantes. Dichas funcionalidades son:</w:t>
      </w:r>
    </w:p>
    <w:p w14:paraId="6F30F9F1" w14:textId="77777777" w:rsidR="006621BE" w:rsidRPr="0084176C" w:rsidRDefault="006621BE" w:rsidP="006621BE">
      <w:pPr>
        <w:pStyle w:val="Prrafodelista"/>
        <w:tabs>
          <w:tab w:val="left" w:pos="0"/>
        </w:tabs>
        <w:ind w:left="-284" w:right="-50"/>
        <w:jc w:val="both"/>
        <w:rPr>
          <w:sz w:val="24"/>
          <w:szCs w:val="24"/>
        </w:rPr>
      </w:pPr>
    </w:p>
    <w:p w14:paraId="44F17DC6" w14:textId="77777777" w:rsidR="006621BE" w:rsidRPr="0084176C" w:rsidRDefault="006621BE" w:rsidP="006621BE">
      <w:pPr>
        <w:pStyle w:val="Prrafodelista"/>
        <w:tabs>
          <w:tab w:val="left" w:pos="0"/>
        </w:tabs>
        <w:ind w:left="-284" w:right="-50"/>
        <w:jc w:val="both"/>
        <w:rPr>
          <w:sz w:val="24"/>
          <w:szCs w:val="24"/>
        </w:rPr>
      </w:pPr>
      <w:r w:rsidRPr="0084176C">
        <w:rPr>
          <w:sz w:val="24"/>
          <w:szCs w:val="24"/>
        </w:rPr>
        <w:t>• Radicación de soportes en central de cuentas en el perfil central de cuentas</w:t>
      </w:r>
    </w:p>
    <w:p w14:paraId="7F72EC11" w14:textId="77777777" w:rsidR="006621BE" w:rsidRDefault="006621BE" w:rsidP="006621BE">
      <w:pPr>
        <w:pStyle w:val="Prrafodelista"/>
        <w:tabs>
          <w:tab w:val="left" w:pos="0"/>
        </w:tabs>
        <w:ind w:left="-284" w:right="-50"/>
        <w:jc w:val="both"/>
        <w:rPr>
          <w:sz w:val="24"/>
          <w:szCs w:val="24"/>
        </w:rPr>
      </w:pPr>
      <w:r w:rsidRPr="0084176C">
        <w:rPr>
          <w:sz w:val="24"/>
          <w:szCs w:val="24"/>
        </w:rPr>
        <w:t>• Registro de obligaciones presupuestales</w:t>
      </w:r>
    </w:p>
    <w:p w14:paraId="76D751E4" w14:textId="77777777" w:rsidR="006621BE" w:rsidRPr="0084176C" w:rsidRDefault="006621BE" w:rsidP="006621BE">
      <w:pPr>
        <w:pStyle w:val="Prrafodelista"/>
        <w:tabs>
          <w:tab w:val="left" w:pos="0"/>
        </w:tabs>
        <w:ind w:left="-284" w:right="-50"/>
        <w:jc w:val="both"/>
        <w:rPr>
          <w:sz w:val="24"/>
          <w:szCs w:val="24"/>
        </w:rPr>
      </w:pPr>
    </w:p>
    <w:p w14:paraId="3D6D92A3" w14:textId="77777777" w:rsidR="006621BE" w:rsidRDefault="006621BE" w:rsidP="003769C9">
      <w:pPr>
        <w:pStyle w:val="Prrafodelista"/>
        <w:tabs>
          <w:tab w:val="left" w:pos="0"/>
        </w:tabs>
        <w:ind w:left="-284" w:right="-234"/>
        <w:jc w:val="both"/>
        <w:rPr>
          <w:sz w:val="24"/>
          <w:szCs w:val="24"/>
        </w:rPr>
      </w:pPr>
      <w:r w:rsidRPr="0084176C">
        <w:rPr>
          <w:sz w:val="24"/>
          <w:szCs w:val="24"/>
        </w:rPr>
        <w:t>En cuanto a la imputación de ingresos en el sistema SIIF, se presentan diferencias entre la fecha</w:t>
      </w:r>
      <w:r>
        <w:rPr>
          <w:sz w:val="24"/>
          <w:szCs w:val="24"/>
        </w:rPr>
        <w:t xml:space="preserve"> </w:t>
      </w:r>
      <w:r w:rsidRPr="0084176C">
        <w:rPr>
          <w:sz w:val="24"/>
          <w:szCs w:val="24"/>
        </w:rPr>
        <w:t>que se reporta el egreso desde el ICETEX, entidad con la que la UAE Contaduría General de la</w:t>
      </w:r>
      <w:r>
        <w:rPr>
          <w:sz w:val="24"/>
          <w:szCs w:val="24"/>
        </w:rPr>
        <w:t xml:space="preserve"> </w:t>
      </w:r>
      <w:r w:rsidRPr="0084176C">
        <w:rPr>
          <w:sz w:val="24"/>
          <w:szCs w:val="24"/>
        </w:rPr>
        <w:t>Nación tiene suscrito un convenio de administración de recursos, y la fecha de consignación de</w:t>
      </w:r>
      <w:r>
        <w:rPr>
          <w:sz w:val="24"/>
          <w:szCs w:val="24"/>
        </w:rPr>
        <w:t xml:space="preserve"> </w:t>
      </w:r>
      <w:r w:rsidRPr="0084176C">
        <w:rPr>
          <w:sz w:val="24"/>
          <w:szCs w:val="24"/>
        </w:rPr>
        <w:t>los rendimientos financieros, impidiendo imputación oportuna de dichos ingresos.</w:t>
      </w:r>
    </w:p>
    <w:p w14:paraId="2F9F45F7" w14:textId="77777777" w:rsidR="006621BE" w:rsidRDefault="006621BE" w:rsidP="006621BE">
      <w:pPr>
        <w:pStyle w:val="Textoindependiente"/>
        <w:ind w:left="-284" w:right="-50"/>
        <w:jc w:val="both"/>
        <w:rPr>
          <w:b/>
          <w:sz w:val="28"/>
          <w:szCs w:val="28"/>
        </w:rPr>
      </w:pPr>
    </w:p>
    <w:p w14:paraId="0C4BEAE7" w14:textId="77777777" w:rsidR="006621BE" w:rsidRDefault="006621BE" w:rsidP="006621BE">
      <w:pPr>
        <w:ind w:left="-284"/>
        <w:jc w:val="both"/>
        <w:rPr>
          <w:rFonts w:ascii="Arial" w:hAnsi="Arial" w:cs="Arial"/>
          <w:b/>
          <w:sz w:val="28"/>
          <w:szCs w:val="28"/>
        </w:rPr>
      </w:pPr>
      <w:r w:rsidRPr="00AA5345">
        <w:rPr>
          <w:rFonts w:ascii="Arial" w:hAnsi="Arial" w:cs="Arial"/>
          <w:b/>
          <w:sz w:val="28"/>
          <w:szCs w:val="28"/>
          <w:lang w:val="es-MX"/>
        </w:rPr>
        <w:t xml:space="preserve">86.- DEFENSA CIVIL COLOMBIANA </w:t>
      </w:r>
      <w:r w:rsidRPr="00AA5345">
        <w:rPr>
          <w:rFonts w:ascii="Arial" w:hAnsi="Arial" w:cs="Arial"/>
          <w:b/>
          <w:sz w:val="28"/>
          <w:szCs w:val="28"/>
        </w:rPr>
        <w:t>– GUILLERMO LEÓN VALENCIA.</w:t>
      </w:r>
    </w:p>
    <w:p w14:paraId="577F4F0C" w14:textId="77777777" w:rsidR="006621BE" w:rsidRDefault="006621BE" w:rsidP="006621BE">
      <w:pPr>
        <w:ind w:left="-284"/>
        <w:jc w:val="both"/>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FD4F76" w14:paraId="4BF52CEF" w14:textId="77777777" w:rsidTr="003769C9">
        <w:tc>
          <w:tcPr>
            <w:tcW w:w="993" w:type="dxa"/>
          </w:tcPr>
          <w:p w14:paraId="4A0862DD" w14:textId="77777777" w:rsidR="006621BE" w:rsidRPr="00FD4F76" w:rsidRDefault="006621BE" w:rsidP="00EF5AF2">
            <w:pPr>
              <w:tabs>
                <w:tab w:val="left" w:pos="875"/>
              </w:tabs>
              <w:ind w:right="-50"/>
              <w:jc w:val="center"/>
              <w:rPr>
                <w:rFonts w:ascii="Arial" w:hAnsi="Arial" w:cs="Arial"/>
                <w:b/>
              </w:rPr>
            </w:pPr>
            <w:r w:rsidRPr="00FD4F76">
              <w:rPr>
                <w:rFonts w:ascii="Arial" w:hAnsi="Arial" w:cs="Arial"/>
                <w:b/>
              </w:rPr>
              <w:t>N°</w:t>
            </w:r>
          </w:p>
        </w:tc>
        <w:tc>
          <w:tcPr>
            <w:tcW w:w="4253" w:type="dxa"/>
          </w:tcPr>
          <w:p w14:paraId="3EC59A84" w14:textId="77777777" w:rsidR="006621BE" w:rsidRPr="00FD4F76" w:rsidRDefault="006621BE" w:rsidP="00EF5AF2">
            <w:pPr>
              <w:tabs>
                <w:tab w:val="left" w:pos="875"/>
              </w:tabs>
              <w:ind w:right="-50"/>
              <w:jc w:val="center"/>
              <w:rPr>
                <w:rFonts w:ascii="Arial" w:hAnsi="Arial" w:cs="Arial"/>
                <w:b/>
              </w:rPr>
            </w:pPr>
            <w:r w:rsidRPr="00FD4F76">
              <w:rPr>
                <w:rFonts w:ascii="Arial" w:hAnsi="Arial" w:cs="Arial"/>
                <w:b/>
              </w:rPr>
              <w:t>Limitaciones del Sistema SIIF II Nación a 31/12/2024</w:t>
            </w:r>
          </w:p>
          <w:p w14:paraId="3DC598D0" w14:textId="77777777" w:rsidR="006621BE" w:rsidRPr="00FD4F76" w:rsidRDefault="006621BE" w:rsidP="00EF5AF2">
            <w:pPr>
              <w:tabs>
                <w:tab w:val="left" w:pos="875"/>
              </w:tabs>
              <w:ind w:right="-50"/>
              <w:jc w:val="center"/>
              <w:rPr>
                <w:rFonts w:ascii="Arial" w:hAnsi="Arial" w:cs="Arial"/>
                <w:b/>
              </w:rPr>
            </w:pPr>
          </w:p>
        </w:tc>
        <w:tc>
          <w:tcPr>
            <w:tcW w:w="5244" w:type="dxa"/>
          </w:tcPr>
          <w:p w14:paraId="60843BC0" w14:textId="77777777" w:rsidR="006621BE" w:rsidRPr="00FD4F76" w:rsidRDefault="006621BE" w:rsidP="00EF5AF2">
            <w:pPr>
              <w:tabs>
                <w:tab w:val="left" w:pos="875"/>
              </w:tabs>
              <w:ind w:right="-50"/>
              <w:jc w:val="center"/>
              <w:rPr>
                <w:rFonts w:ascii="Arial" w:hAnsi="Arial" w:cs="Arial"/>
                <w:b/>
              </w:rPr>
            </w:pPr>
            <w:r w:rsidRPr="00FD4F76">
              <w:rPr>
                <w:rFonts w:ascii="Arial" w:hAnsi="Arial" w:cs="Arial"/>
                <w:b/>
              </w:rPr>
              <w:t>Descripción de la limitación</w:t>
            </w:r>
          </w:p>
        </w:tc>
      </w:tr>
      <w:tr w:rsidR="006621BE" w:rsidRPr="00FD4F76" w14:paraId="7F18B16A" w14:textId="77777777" w:rsidTr="003769C9">
        <w:tc>
          <w:tcPr>
            <w:tcW w:w="993" w:type="dxa"/>
          </w:tcPr>
          <w:p w14:paraId="17C9B427" w14:textId="77777777" w:rsidR="006621BE" w:rsidRPr="00FD4F76" w:rsidRDefault="006621BE" w:rsidP="00EF5AF2">
            <w:pPr>
              <w:tabs>
                <w:tab w:val="left" w:pos="875"/>
              </w:tabs>
              <w:ind w:right="-50"/>
              <w:jc w:val="center"/>
              <w:rPr>
                <w:rFonts w:ascii="Arial" w:hAnsi="Arial" w:cs="Arial"/>
                <w:b/>
              </w:rPr>
            </w:pPr>
            <w:r w:rsidRPr="00FD4F76">
              <w:rPr>
                <w:rFonts w:ascii="Arial" w:hAnsi="Arial" w:cs="Arial"/>
                <w:b/>
              </w:rPr>
              <w:t>1</w:t>
            </w:r>
          </w:p>
        </w:tc>
        <w:tc>
          <w:tcPr>
            <w:tcW w:w="4253" w:type="dxa"/>
          </w:tcPr>
          <w:p w14:paraId="30110227" w14:textId="77777777" w:rsidR="006621BE" w:rsidRPr="00FD4F76" w:rsidRDefault="006621BE" w:rsidP="00EF5AF2">
            <w:pPr>
              <w:tabs>
                <w:tab w:val="left" w:pos="875"/>
              </w:tabs>
              <w:ind w:right="-50"/>
              <w:jc w:val="both"/>
              <w:rPr>
                <w:rFonts w:ascii="Arial" w:hAnsi="Arial" w:cs="Arial"/>
                <w:b/>
              </w:rPr>
            </w:pPr>
            <w:r w:rsidRPr="00FD4F76">
              <w:rPr>
                <w:rFonts w:ascii="Arial" w:hAnsi="Arial" w:cs="Arial"/>
                <w:b/>
              </w:rPr>
              <w:t>Técnicas:</w:t>
            </w:r>
          </w:p>
        </w:tc>
        <w:tc>
          <w:tcPr>
            <w:tcW w:w="5244" w:type="dxa"/>
            <w:shd w:val="clear" w:color="auto" w:fill="auto"/>
          </w:tcPr>
          <w:p w14:paraId="178C5EAC" w14:textId="77777777" w:rsidR="006621BE" w:rsidRPr="00FD4F76" w:rsidRDefault="006621BE" w:rsidP="00EF5AF2">
            <w:pPr>
              <w:tabs>
                <w:tab w:val="left" w:pos="875"/>
              </w:tabs>
              <w:ind w:right="-50"/>
              <w:jc w:val="both"/>
              <w:rPr>
                <w:rFonts w:ascii="Arial" w:hAnsi="Arial" w:cs="Arial"/>
              </w:rPr>
            </w:pPr>
            <w:r w:rsidRPr="00FD4F76">
              <w:rPr>
                <w:rFonts w:ascii="Arial" w:hAnsi="Arial" w:cs="Arial"/>
              </w:rPr>
              <w:t>Mantenimiento en la Plataforma SIIF Nación II, lo que generó lentitud en el sistema afectando la parte presupuestal y contable de la Entidad.</w:t>
            </w:r>
          </w:p>
        </w:tc>
      </w:tr>
      <w:tr w:rsidR="006621BE" w:rsidRPr="00FD4F76" w14:paraId="4C382F45" w14:textId="77777777" w:rsidTr="003769C9">
        <w:tc>
          <w:tcPr>
            <w:tcW w:w="993" w:type="dxa"/>
          </w:tcPr>
          <w:p w14:paraId="715B33E7" w14:textId="77777777" w:rsidR="006621BE" w:rsidRPr="00FD4F76" w:rsidRDefault="006621BE" w:rsidP="00EF5AF2">
            <w:pPr>
              <w:tabs>
                <w:tab w:val="left" w:pos="875"/>
              </w:tabs>
              <w:ind w:right="-50"/>
              <w:jc w:val="center"/>
              <w:rPr>
                <w:rFonts w:ascii="Arial" w:hAnsi="Arial" w:cs="Arial"/>
                <w:b/>
              </w:rPr>
            </w:pPr>
            <w:r w:rsidRPr="00FD4F76">
              <w:rPr>
                <w:rFonts w:ascii="Arial" w:hAnsi="Arial" w:cs="Arial"/>
                <w:b/>
              </w:rPr>
              <w:t>2</w:t>
            </w:r>
          </w:p>
        </w:tc>
        <w:tc>
          <w:tcPr>
            <w:tcW w:w="4253" w:type="dxa"/>
          </w:tcPr>
          <w:p w14:paraId="52E3239F" w14:textId="77777777" w:rsidR="006621BE" w:rsidRPr="00FD4F76" w:rsidRDefault="006621BE" w:rsidP="00EF5AF2">
            <w:pPr>
              <w:tabs>
                <w:tab w:val="left" w:pos="875"/>
              </w:tabs>
              <w:ind w:right="-50"/>
              <w:jc w:val="both"/>
              <w:rPr>
                <w:rFonts w:ascii="Arial" w:hAnsi="Arial" w:cs="Arial"/>
                <w:b/>
              </w:rPr>
            </w:pPr>
            <w:r w:rsidRPr="00FD4F76">
              <w:rPr>
                <w:rFonts w:ascii="Arial" w:hAnsi="Arial" w:cs="Arial"/>
                <w:b/>
              </w:rPr>
              <w:t>Operativas:</w:t>
            </w:r>
          </w:p>
        </w:tc>
        <w:tc>
          <w:tcPr>
            <w:tcW w:w="5244" w:type="dxa"/>
          </w:tcPr>
          <w:p w14:paraId="6EDA6A98" w14:textId="77777777" w:rsidR="006621BE" w:rsidRPr="00FD4F76" w:rsidRDefault="006621BE" w:rsidP="00EF5AF2">
            <w:pPr>
              <w:tabs>
                <w:tab w:val="left" w:pos="875"/>
              </w:tabs>
              <w:ind w:right="-50"/>
              <w:jc w:val="both"/>
              <w:rPr>
                <w:rFonts w:ascii="Arial" w:hAnsi="Arial" w:cs="Arial"/>
              </w:rPr>
            </w:pPr>
            <w:r w:rsidRPr="00FD4F76">
              <w:rPr>
                <w:rFonts w:ascii="Arial" w:hAnsi="Arial" w:cs="Arial"/>
                <w:lang w:val="es-CO"/>
              </w:rPr>
              <w:t>Bloqueo en algunas ocasiones en la generación de reportes.</w:t>
            </w:r>
          </w:p>
        </w:tc>
      </w:tr>
      <w:tr w:rsidR="006621BE" w:rsidRPr="00FD4F76" w14:paraId="00A5B880" w14:textId="77777777" w:rsidTr="003769C9">
        <w:tc>
          <w:tcPr>
            <w:tcW w:w="993" w:type="dxa"/>
          </w:tcPr>
          <w:p w14:paraId="227A5331" w14:textId="77777777" w:rsidR="006621BE" w:rsidRPr="00FD4F76" w:rsidRDefault="006621BE" w:rsidP="00EF5AF2">
            <w:pPr>
              <w:tabs>
                <w:tab w:val="left" w:pos="875"/>
              </w:tabs>
              <w:ind w:right="-50"/>
              <w:jc w:val="center"/>
              <w:rPr>
                <w:rFonts w:ascii="Arial" w:hAnsi="Arial" w:cs="Arial"/>
                <w:b/>
              </w:rPr>
            </w:pPr>
            <w:r w:rsidRPr="00FD4F76">
              <w:rPr>
                <w:rFonts w:ascii="Arial" w:hAnsi="Arial" w:cs="Arial"/>
                <w:b/>
              </w:rPr>
              <w:t>3</w:t>
            </w:r>
          </w:p>
        </w:tc>
        <w:tc>
          <w:tcPr>
            <w:tcW w:w="4253" w:type="dxa"/>
          </w:tcPr>
          <w:p w14:paraId="49D65292" w14:textId="77777777" w:rsidR="006621BE" w:rsidRPr="00FD4F76" w:rsidRDefault="006621BE" w:rsidP="00EF5AF2">
            <w:pPr>
              <w:tabs>
                <w:tab w:val="left" w:pos="875"/>
              </w:tabs>
              <w:ind w:right="-50"/>
              <w:jc w:val="both"/>
              <w:rPr>
                <w:rFonts w:ascii="Arial" w:hAnsi="Arial" w:cs="Arial"/>
                <w:b/>
              </w:rPr>
            </w:pPr>
            <w:r w:rsidRPr="00FD4F76">
              <w:rPr>
                <w:rFonts w:ascii="Arial" w:hAnsi="Arial" w:cs="Arial"/>
                <w:b/>
              </w:rPr>
              <w:t>Soporte a la plataforma:</w:t>
            </w:r>
          </w:p>
        </w:tc>
        <w:tc>
          <w:tcPr>
            <w:tcW w:w="5244" w:type="dxa"/>
          </w:tcPr>
          <w:p w14:paraId="3E2A87BA" w14:textId="77777777" w:rsidR="006621BE" w:rsidRPr="00FD4F76" w:rsidRDefault="006621BE" w:rsidP="00EF5AF2">
            <w:pPr>
              <w:tabs>
                <w:tab w:val="left" w:pos="875"/>
              </w:tabs>
              <w:ind w:right="-50"/>
              <w:jc w:val="both"/>
              <w:rPr>
                <w:rFonts w:ascii="Arial" w:hAnsi="Arial" w:cs="Arial"/>
              </w:rPr>
            </w:pPr>
            <w:r w:rsidRPr="00FD4F76">
              <w:rPr>
                <w:rFonts w:ascii="Arial" w:hAnsi="Arial" w:cs="Arial"/>
                <w:lang w:val="es-CO"/>
              </w:rPr>
              <w:t>Generación de incidentes masivos en la plataforma SIIF Nación II al finalizar la vigencia.</w:t>
            </w:r>
          </w:p>
        </w:tc>
      </w:tr>
    </w:tbl>
    <w:p w14:paraId="70A3B660" w14:textId="77777777" w:rsidR="006621BE" w:rsidRDefault="006621BE" w:rsidP="006621BE">
      <w:pPr>
        <w:ind w:left="-284" w:right="-234"/>
        <w:jc w:val="both"/>
        <w:rPr>
          <w:rFonts w:ascii="Arial" w:hAnsi="Arial" w:cs="Arial"/>
          <w:b/>
          <w:sz w:val="24"/>
          <w:szCs w:val="24"/>
        </w:rPr>
      </w:pPr>
    </w:p>
    <w:p w14:paraId="539883B3" w14:textId="77777777" w:rsidR="006621BE" w:rsidRPr="00652482" w:rsidRDefault="006621BE" w:rsidP="006621BE">
      <w:pPr>
        <w:ind w:left="-284"/>
        <w:jc w:val="both"/>
        <w:rPr>
          <w:rFonts w:ascii="Arial" w:hAnsi="Arial" w:cs="Arial"/>
          <w:b/>
          <w:sz w:val="28"/>
          <w:szCs w:val="28"/>
          <w:lang w:val="es-MX"/>
        </w:rPr>
      </w:pPr>
      <w:r w:rsidRPr="00652482">
        <w:rPr>
          <w:rFonts w:ascii="Arial" w:hAnsi="Arial" w:cs="Arial"/>
          <w:b/>
          <w:sz w:val="28"/>
          <w:szCs w:val="28"/>
          <w:lang w:val="es-MX"/>
        </w:rPr>
        <w:t>88.- SENADO DE LA REPÚBLICA.</w:t>
      </w:r>
    </w:p>
    <w:p w14:paraId="1D0154F4" w14:textId="77777777" w:rsidR="006621BE" w:rsidRDefault="006621BE" w:rsidP="006621BE">
      <w:pPr>
        <w:ind w:left="-284" w:right="-234"/>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72567E" w14:paraId="72AAD911" w14:textId="77777777" w:rsidTr="003769C9">
        <w:tc>
          <w:tcPr>
            <w:tcW w:w="993" w:type="dxa"/>
          </w:tcPr>
          <w:p w14:paraId="5724CFD5" w14:textId="77777777" w:rsidR="006621BE" w:rsidRPr="0072567E" w:rsidRDefault="006621BE" w:rsidP="00EF5AF2">
            <w:pPr>
              <w:tabs>
                <w:tab w:val="left" w:pos="875"/>
              </w:tabs>
              <w:ind w:right="-50"/>
              <w:jc w:val="center"/>
              <w:rPr>
                <w:rFonts w:ascii="Arial" w:hAnsi="Arial" w:cs="Arial"/>
                <w:b/>
              </w:rPr>
            </w:pPr>
            <w:r w:rsidRPr="0072567E">
              <w:rPr>
                <w:rFonts w:ascii="Arial" w:hAnsi="Arial" w:cs="Arial"/>
                <w:b/>
              </w:rPr>
              <w:t>N°</w:t>
            </w:r>
          </w:p>
        </w:tc>
        <w:tc>
          <w:tcPr>
            <w:tcW w:w="4253" w:type="dxa"/>
          </w:tcPr>
          <w:p w14:paraId="5670A154" w14:textId="77777777" w:rsidR="006621BE" w:rsidRDefault="006621BE" w:rsidP="00EF5AF2">
            <w:pPr>
              <w:tabs>
                <w:tab w:val="left" w:pos="875"/>
              </w:tabs>
              <w:ind w:right="-50"/>
              <w:jc w:val="center"/>
              <w:rPr>
                <w:rFonts w:ascii="Arial" w:hAnsi="Arial" w:cs="Arial"/>
                <w:b/>
              </w:rPr>
            </w:pPr>
            <w:r w:rsidRPr="0072567E">
              <w:rPr>
                <w:rFonts w:ascii="Arial" w:hAnsi="Arial" w:cs="Arial"/>
                <w:b/>
              </w:rPr>
              <w:t>Limitaciones del Sistema SIIF II Nación a 31/12/2024</w:t>
            </w:r>
          </w:p>
          <w:p w14:paraId="3A460B40" w14:textId="391785B1" w:rsidR="007B2C75" w:rsidRPr="0072567E" w:rsidRDefault="007B2C75" w:rsidP="00EF5AF2">
            <w:pPr>
              <w:tabs>
                <w:tab w:val="left" w:pos="875"/>
              </w:tabs>
              <w:ind w:right="-50"/>
              <w:jc w:val="center"/>
              <w:rPr>
                <w:rFonts w:ascii="Arial" w:hAnsi="Arial" w:cs="Arial"/>
                <w:b/>
              </w:rPr>
            </w:pPr>
          </w:p>
        </w:tc>
        <w:tc>
          <w:tcPr>
            <w:tcW w:w="5244" w:type="dxa"/>
          </w:tcPr>
          <w:p w14:paraId="2C2A6D2B" w14:textId="77777777" w:rsidR="006621BE" w:rsidRPr="0072567E" w:rsidRDefault="006621BE" w:rsidP="00EF5AF2">
            <w:pPr>
              <w:tabs>
                <w:tab w:val="left" w:pos="875"/>
              </w:tabs>
              <w:ind w:right="-50"/>
              <w:jc w:val="center"/>
              <w:rPr>
                <w:rFonts w:ascii="Arial" w:hAnsi="Arial" w:cs="Arial"/>
                <w:b/>
              </w:rPr>
            </w:pPr>
            <w:r w:rsidRPr="0072567E">
              <w:rPr>
                <w:rFonts w:ascii="Arial" w:hAnsi="Arial" w:cs="Arial"/>
                <w:b/>
              </w:rPr>
              <w:t>Descripción de la limitación</w:t>
            </w:r>
          </w:p>
        </w:tc>
      </w:tr>
      <w:tr w:rsidR="006621BE" w:rsidRPr="0072567E" w14:paraId="469140BA" w14:textId="77777777" w:rsidTr="003769C9">
        <w:tc>
          <w:tcPr>
            <w:tcW w:w="993" w:type="dxa"/>
          </w:tcPr>
          <w:p w14:paraId="1F566833" w14:textId="77777777" w:rsidR="006621BE" w:rsidRPr="0072567E" w:rsidRDefault="006621BE" w:rsidP="00EF5AF2">
            <w:pPr>
              <w:tabs>
                <w:tab w:val="left" w:pos="875"/>
              </w:tabs>
              <w:ind w:right="-50"/>
              <w:jc w:val="center"/>
              <w:rPr>
                <w:rFonts w:ascii="Arial" w:hAnsi="Arial" w:cs="Arial"/>
                <w:b/>
              </w:rPr>
            </w:pPr>
            <w:r w:rsidRPr="0072567E">
              <w:rPr>
                <w:rFonts w:ascii="Arial" w:hAnsi="Arial" w:cs="Arial"/>
                <w:b/>
              </w:rPr>
              <w:t>1</w:t>
            </w:r>
          </w:p>
        </w:tc>
        <w:tc>
          <w:tcPr>
            <w:tcW w:w="4253" w:type="dxa"/>
          </w:tcPr>
          <w:p w14:paraId="50E82C4A" w14:textId="77777777" w:rsidR="006621BE" w:rsidRPr="0072567E" w:rsidRDefault="006621BE" w:rsidP="00EF5AF2">
            <w:pPr>
              <w:tabs>
                <w:tab w:val="left" w:pos="875"/>
              </w:tabs>
              <w:ind w:right="-50"/>
              <w:jc w:val="both"/>
              <w:rPr>
                <w:rFonts w:ascii="Arial" w:hAnsi="Arial" w:cs="Arial"/>
                <w:b/>
              </w:rPr>
            </w:pPr>
            <w:r w:rsidRPr="0072567E">
              <w:rPr>
                <w:rFonts w:ascii="Arial" w:hAnsi="Arial" w:cs="Arial"/>
                <w:b/>
              </w:rPr>
              <w:t>Técnicas:</w:t>
            </w:r>
          </w:p>
        </w:tc>
        <w:tc>
          <w:tcPr>
            <w:tcW w:w="5244" w:type="dxa"/>
          </w:tcPr>
          <w:p w14:paraId="75F802D3" w14:textId="77777777" w:rsidR="006621BE" w:rsidRPr="0072567E" w:rsidRDefault="006621BE" w:rsidP="00EF5AF2">
            <w:pPr>
              <w:tabs>
                <w:tab w:val="left" w:pos="875"/>
              </w:tabs>
              <w:ind w:right="-50"/>
              <w:jc w:val="both"/>
              <w:rPr>
                <w:rFonts w:ascii="Arial" w:hAnsi="Arial" w:cs="Arial"/>
              </w:rPr>
            </w:pPr>
            <w:r w:rsidRPr="0072567E">
              <w:rPr>
                <w:rFonts w:ascii="Arial" w:hAnsi="Arial" w:cs="Arial"/>
              </w:rPr>
              <w:t>En ocasiones se evidenciaron fallas con la factura electrónicas gestionadas entre el operador y el SIIF Nación.</w:t>
            </w:r>
          </w:p>
        </w:tc>
      </w:tr>
    </w:tbl>
    <w:p w14:paraId="4D6D04F3" w14:textId="77777777" w:rsidR="006621BE" w:rsidRDefault="006621BE" w:rsidP="006621BE">
      <w:pPr>
        <w:ind w:left="-284" w:right="-234"/>
        <w:jc w:val="both"/>
        <w:rPr>
          <w:rFonts w:ascii="Arial" w:hAnsi="Arial" w:cs="Arial"/>
          <w:b/>
          <w:sz w:val="24"/>
          <w:szCs w:val="24"/>
        </w:rPr>
      </w:pPr>
    </w:p>
    <w:p w14:paraId="6A63AEE6" w14:textId="77777777" w:rsidR="006621BE" w:rsidRPr="00C23C0F" w:rsidRDefault="006621BE" w:rsidP="006621BE">
      <w:pPr>
        <w:ind w:left="-284"/>
        <w:jc w:val="both"/>
        <w:rPr>
          <w:rFonts w:ascii="Arial" w:hAnsi="Arial" w:cs="Arial"/>
          <w:b/>
          <w:sz w:val="28"/>
          <w:szCs w:val="28"/>
          <w:lang w:val="es-MX"/>
        </w:rPr>
      </w:pPr>
      <w:r w:rsidRPr="00C23C0F">
        <w:rPr>
          <w:rFonts w:ascii="Arial" w:hAnsi="Arial" w:cs="Arial"/>
          <w:b/>
          <w:sz w:val="28"/>
          <w:szCs w:val="28"/>
          <w:lang w:val="es-MX"/>
        </w:rPr>
        <w:t>89.- CORPORACIÓN AGENCIA NACIONAL DE GOBIERNO DIGITAL - AND.</w:t>
      </w:r>
    </w:p>
    <w:p w14:paraId="0D39987B"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A498B" w14:paraId="700C7A11" w14:textId="77777777" w:rsidTr="003769C9">
        <w:tc>
          <w:tcPr>
            <w:tcW w:w="993" w:type="dxa"/>
          </w:tcPr>
          <w:p w14:paraId="759B61E0"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N°</w:t>
            </w:r>
          </w:p>
        </w:tc>
        <w:tc>
          <w:tcPr>
            <w:tcW w:w="4253" w:type="dxa"/>
          </w:tcPr>
          <w:p w14:paraId="4E4A36E1" w14:textId="5EDB362A" w:rsidR="006621BE" w:rsidRPr="000A498B" w:rsidRDefault="006621BE" w:rsidP="006C10D2">
            <w:pPr>
              <w:tabs>
                <w:tab w:val="left" w:pos="875"/>
              </w:tabs>
              <w:ind w:right="-50"/>
              <w:jc w:val="center"/>
              <w:rPr>
                <w:rFonts w:ascii="Arial" w:hAnsi="Arial" w:cs="Arial"/>
                <w:b/>
              </w:rPr>
            </w:pPr>
            <w:r w:rsidRPr="000A498B">
              <w:rPr>
                <w:rFonts w:ascii="Arial" w:hAnsi="Arial" w:cs="Arial"/>
                <w:b/>
              </w:rPr>
              <w:t>Limitaciones del Sistema SIIF II Nación a 31/12/2024</w:t>
            </w:r>
          </w:p>
        </w:tc>
        <w:tc>
          <w:tcPr>
            <w:tcW w:w="5244" w:type="dxa"/>
          </w:tcPr>
          <w:p w14:paraId="10282B29"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t>Descripción de la limitación</w:t>
            </w:r>
          </w:p>
        </w:tc>
      </w:tr>
      <w:tr w:rsidR="006621BE" w:rsidRPr="000A498B" w14:paraId="2F1C68C1" w14:textId="77777777" w:rsidTr="003769C9">
        <w:tc>
          <w:tcPr>
            <w:tcW w:w="993" w:type="dxa"/>
          </w:tcPr>
          <w:p w14:paraId="29B3C488" w14:textId="77777777" w:rsidR="006621BE" w:rsidRPr="000A498B" w:rsidRDefault="006621BE" w:rsidP="00EF5AF2">
            <w:pPr>
              <w:tabs>
                <w:tab w:val="left" w:pos="875"/>
              </w:tabs>
              <w:ind w:right="-50"/>
              <w:jc w:val="center"/>
              <w:rPr>
                <w:rFonts w:ascii="Arial" w:hAnsi="Arial" w:cs="Arial"/>
                <w:b/>
              </w:rPr>
            </w:pPr>
            <w:r w:rsidRPr="000A498B">
              <w:rPr>
                <w:rFonts w:ascii="Arial" w:hAnsi="Arial" w:cs="Arial"/>
                <w:b/>
              </w:rPr>
              <w:lastRenderedPageBreak/>
              <w:t>1</w:t>
            </w:r>
          </w:p>
        </w:tc>
        <w:tc>
          <w:tcPr>
            <w:tcW w:w="4253" w:type="dxa"/>
          </w:tcPr>
          <w:p w14:paraId="70874DAD" w14:textId="77777777" w:rsidR="006621BE" w:rsidRPr="000A498B" w:rsidRDefault="006621BE" w:rsidP="00EF5AF2">
            <w:pPr>
              <w:tabs>
                <w:tab w:val="left" w:pos="875"/>
              </w:tabs>
              <w:ind w:right="-50"/>
              <w:jc w:val="both"/>
              <w:rPr>
                <w:rFonts w:ascii="Arial" w:hAnsi="Arial" w:cs="Arial"/>
                <w:b/>
              </w:rPr>
            </w:pPr>
            <w:r>
              <w:rPr>
                <w:rFonts w:ascii="Arial" w:hAnsi="Arial" w:cs="Arial"/>
                <w:b/>
              </w:rPr>
              <w:t>Técnicas</w:t>
            </w:r>
          </w:p>
        </w:tc>
        <w:tc>
          <w:tcPr>
            <w:tcW w:w="5244" w:type="dxa"/>
          </w:tcPr>
          <w:p w14:paraId="11BBCF80" w14:textId="77777777" w:rsidR="006621BE" w:rsidRDefault="006621BE" w:rsidP="00EF5AF2">
            <w:pPr>
              <w:ind w:right="173"/>
              <w:jc w:val="both"/>
              <w:rPr>
                <w:rFonts w:ascii="Arial" w:hAnsi="Arial" w:cs="Arial"/>
                <w:color w:val="44546A" w:themeColor="text2"/>
              </w:rPr>
            </w:pPr>
            <w:r w:rsidRPr="53567E07">
              <w:rPr>
                <w:rFonts w:ascii="Arial" w:hAnsi="Arial" w:cs="Arial"/>
                <w:color w:val="44546A" w:themeColor="text2"/>
              </w:rPr>
              <w:t>como la nuestra, que, si bien hace parte de las entidades de Gobierno y del Presupuesto General de la Nación</w:t>
            </w:r>
            <w:r>
              <w:rPr>
                <w:rFonts w:ascii="Arial" w:hAnsi="Arial" w:cs="Arial"/>
                <w:color w:val="44546A" w:themeColor="text2"/>
              </w:rPr>
              <w:t>,</w:t>
            </w:r>
            <w:r w:rsidRPr="53567E07">
              <w:rPr>
                <w:rFonts w:ascii="Arial" w:hAnsi="Arial" w:cs="Arial"/>
                <w:color w:val="44546A" w:themeColor="text2"/>
              </w:rPr>
              <w:t xml:space="preserve"> NO percibe recursos de la Nación y centramos nuestra financiación 100% a través de recursos propios generados en la venta de servicios y su nómina de personal se reglamenta por el CST, lo que implica la reclasificación permanente de partidas a través de comprobantes manuales.</w:t>
            </w:r>
          </w:p>
          <w:p w14:paraId="6D141978" w14:textId="77777777" w:rsidR="006621BE" w:rsidRPr="007818AD" w:rsidRDefault="006621BE" w:rsidP="00EF5AF2">
            <w:pPr>
              <w:ind w:right="173"/>
              <w:jc w:val="both"/>
              <w:rPr>
                <w:rFonts w:ascii="Arial" w:hAnsi="Arial" w:cs="Arial"/>
                <w:color w:val="44546A" w:themeColor="text2"/>
              </w:rPr>
            </w:pPr>
          </w:p>
          <w:p w14:paraId="372204BC" w14:textId="77777777" w:rsidR="006621BE" w:rsidRPr="005B0947" w:rsidRDefault="006621BE" w:rsidP="00EF5AF2">
            <w:pPr>
              <w:ind w:right="173"/>
              <w:jc w:val="both"/>
              <w:rPr>
                <w:rFonts w:ascii="Arial" w:hAnsi="Arial" w:cs="Arial"/>
                <w:color w:val="44546A" w:themeColor="text2"/>
              </w:rPr>
            </w:pPr>
            <w:r w:rsidRPr="007818AD">
              <w:rPr>
                <w:rFonts w:ascii="Arial" w:hAnsi="Arial" w:cs="Arial"/>
                <w:color w:val="44546A" w:themeColor="text2"/>
              </w:rPr>
              <w:t xml:space="preserve">Cuentas por pagar: La continua intermitencia del sistema en temporadas de cierre y las dificultades en la recepción y aprobación de las facturas electrónicas para asociarse en el proceso de obligación, causaron demoras y reprocesos en el desarrollo de esta actividad.  </w:t>
            </w:r>
          </w:p>
        </w:tc>
      </w:tr>
      <w:tr w:rsidR="006621BE" w:rsidRPr="000A498B" w14:paraId="27D7CC8A" w14:textId="77777777" w:rsidTr="003769C9">
        <w:tc>
          <w:tcPr>
            <w:tcW w:w="993" w:type="dxa"/>
          </w:tcPr>
          <w:p w14:paraId="6FEB8063" w14:textId="77777777" w:rsidR="006621BE" w:rsidRPr="000A498B" w:rsidRDefault="006621BE" w:rsidP="00EF5AF2">
            <w:pPr>
              <w:tabs>
                <w:tab w:val="left" w:pos="875"/>
              </w:tabs>
              <w:ind w:right="-50"/>
              <w:jc w:val="center"/>
              <w:rPr>
                <w:rFonts w:ascii="Arial" w:hAnsi="Arial" w:cs="Arial"/>
                <w:b/>
              </w:rPr>
            </w:pPr>
            <w:r>
              <w:rPr>
                <w:rFonts w:ascii="Arial" w:hAnsi="Arial" w:cs="Arial"/>
                <w:b/>
              </w:rPr>
              <w:t>2</w:t>
            </w:r>
          </w:p>
        </w:tc>
        <w:tc>
          <w:tcPr>
            <w:tcW w:w="4253" w:type="dxa"/>
          </w:tcPr>
          <w:p w14:paraId="38A952B9" w14:textId="77777777" w:rsidR="006621BE" w:rsidRPr="000A498B" w:rsidRDefault="006621BE" w:rsidP="00EF5AF2">
            <w:pPr>
              <w:tabs>
                <w:tab w:val="left" w:pos="875"/>
              </w:tabs>
              <w:ind w:right="-50"/>
              <w:jc w:val="both"/>
              <w:rPr>
                <w:rFonts w:ascii="Arial" w:hAnsi="Arial" w:cs="Arial"/>
                <w:b/>
              </w:rPr>
            </w:pPr>
            <w:r>
              <w:rPr>
                <w:rFonts w:ascii="Arial" w:hAnsi="Arial" w:cs="Arial"/>
                <w:b/>
              </w:rPr>
              <w:t>Operativas</w:t>
            </w:r>
          </w:p>
        </w:tc>
        <w:tc>
          <w:tcPr>
            <w:tcW w:w="5244" w:type="dxa"/>
          </w:tcPr>
          <w:p w14:paraId="52D74751" w14:textId="77777777" w:rsidR="006621BE" w:rsidRPr="000A498B" w:rsidRDefault="006621BE" w:rsidP="00EF5AF2">
            <w:pPr>
              <w:tabs>
                <w:tab w:val="left" w:pos="875"/>
              </w:tabs>
              <w:ind w:right="-50"/>
              <w:jc w:val="both"/>
              <w:rPr>
                <w:rFonts w:ascii="Arial" w:hAnsi="Arial" w:cs="Arial"/>
              </w:rPr>
            </w:pPr>
            <w:r w:rsidRPr="53567E07">
              <w:rPr>
                <w:rFonts w:ascii="Arial" w:hAnsi="Arial" w:cs="Arial"/>
                <w:color w:val="44546A" w:themeColor="text2"/>
              </w:rPr>
              <w:t>Gestión Contable: Para el mes de octubre de 2023</w:t>
            </w:r>
            <w:r>
              <w:rPr>
                <w:rFonts w:ascii="Arial" w:hAnsi="Arial" w:cs="Arial"/>
                <w:color w:val="44546A" w:themeColor="text2"/>
              </w:rPr>
              <w:t>,</w:t>
            </w:r>
            <w:r w:rsidRPr="53567E07">
              <w:rPr>
                <w:rFonts w:ascii="Arial" w:hAnsi="Arial" w:cs="Arial"/>
                <w:color w:val="44546A" w:themeColor="text2"/>
              </w:rPr>
              <w:t xml:space="preserve"> realizan cambios en el registro de comprobantes manuales, ahora tipificados, lo que causa traumatismos en el proceso de la entidad teniendo en cuenta que estábamos cercanos al cierre contable de la vigencia y esto atrasó los procesos.</w:t>
            </w:r>
          </w:p>
        </w:tc>
      </w:tr>
    </w:tbl>
    <w:p w14:paraId="1CCE8302" w14:textId="77777777" w:rsidR="006621BE" w:rsidRDefault="006621BE" w:rsidP="006621BE">
      <w:pPr>
        <w:ind w:left="-284" w:right="-234"/>
        <w:jc w:val="both"/>
        <w:rPr>
          <w:rFonts w:ascii="Arial" w:hAnsi="Arial" w:cs="Arial"/>
          <w:b/>
          <w:sz w:val="24"/>
          <w:szCs w:val="24"/>
        </w:rPr>
      </w:pPr>
    </w:p>
    <w:p w14:paraId="39849208" w14:textId="77777777" w:rsidR="006621BE" w:rsidRPr="00103309" w:rsidRDefault="006621BE" w:rsidP="003769C9">
      <w:pPr>
        <w:ind w:left="-284" w:right="-234"/>
        <w:jc w:val="both"/>
        <w:rPr>
          <w:rFonts w:ascii="Arial" w:hAnsi="Arial" w:cs="Arial"/>
          <w:b/>
          <w:sz w:val="28"/>
          <w:szCs w:val="28"/>
          <w:lang w:val="es-MX"/>
        </w:rPr>
      </w:pPr>
      <w:r w:rsidRPr="00103309">
        <w:rPr>
          <w:rFonts w:ascii="Arial" w:hAnsi="Arial" w:cs="Arial"/>
          <w:b/>
          <w:sz w:val="28"/>
          <w:szCs w:val="28"/>
          <w:lang w:val="es-MX"/>
        </w:rPr>
        <w:t xml:space="preserve">96.- </w:t>
      </w:r>
      <w:r w:rsidRPr="00103309">
        <w:rPr>
          <w:rFonts w:ascii="Arial" w:hAnsi="Arial" w:cs="Arial"/>
          <w:b/>
          <w:sz w:val="28"/>
          <w:szCs w:val="28"/>
        </w:rPr>
        <w:t>CORPORACIÓN NACIONAL PARA LA RECONSTRUCCIÒN DE LA CUENCA DEL RIO PAEZ Y ZONAS ALEDAÑAS - NASA KIWE.</w:t>
      </w:r>
    </w:p>
    <w:p w14:paraId="2DE3207D"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F1A0D" w14:paraId="4452AB8F" w14:textId="77777777" w:rsidTr="003769C9">
        <w:tc>
          <w:tcPr>
            <w:tcW w:w="993" w:type="dxa"/>
          </w:tcPr>
          <w:p w14:paraId="7D621E3E" w14:textId="77777777" w:rsidR="006621BE" w:rsidRPr="009F1A0D" w:rsidRDefault="006621BE" w:rsidP="00EF5AF2">
            <w:pPr>
              <w:tabs>
                <w:tab w:val="left" w:pos="875"/>
              </w:tabs>
              <w:ind w:right="-50"/>
              <w:jc w:val="center"/>
              <w:rPr>
                <w:rFonts w:ascii="Arial" w:hAnsi="Arial" w:cs="Arial"/>
                <w:b/>
              </w:rPr>
            </w:pPr>
            <w:r w:rsidRPr="009F1A0D">
              <w:rPr>
                <w:rFonts w:ascii="Arial" w:hAnsi="Arial" w:cs="Arial"/>
                <w:b/>
              </w:rPr>
              <w:t>N°</w:t>
            </w:r>
          </w:p>
        </w:tc>
        <w:tc>
          <w:tcPr>
            <w:tcW w:w="4253" w:type="dxa"/>
          </w:tcPr>
          <w:p w14:paraId="382F31A0" w14:textId="77777777" w:rsidR="006621BE" w:rsidRPr="009F1A0D" w:rsidRDefault="006621BE" w:rsidP="00EF5AF2">
            <w:pPr>
              <w:tabs>
                <w:tab w:val="left" w:pos="875"/>
              </w:tabs>
              <w:ind w:right="-50"/>
              <w:jc w:val="center"/>
              <w:rPr>
                <w:rFonts w:ascii="Arial" w:hAnsi="Arial" w:cs="Arial"/>
                <w:b/>
              </w:rPr>
            </w:pPr>
            <w:r w:rsidRPr="009F1A0D">
              <w:rPr>
                <w:rFonts w:ascii="Arial" w:hAnsi="Arial" w:cs="Arial"/>
                <w:b/>
              </w:rPr>
              <w:t>Limitaciones del Sistema SIIF II Nación a 31/12/2024</w:t>
            </w:r>
          </w:p>
          <w:p w14:paraId="058F9FC5" w14:textId="77777777" w:rsidR="006621BE" w:rsidRPr="009F1A0D" w:rsidRDefault="006621BE" w:rsidP="00EF5AF2">
            <w:pPr>
              <w:tabs>
                <w:tab w:val="left" w:pos="875"/>
              </w:tabs>
              <w:ind w:right="-50"/>
              <w:jc w:val="center"/>
              <w:rPr>
                <w:rFonts w:ascii="Arial" w:hAnsi="Arial" w:cs="Arial"/>
                <w:b/>
              </w:rPr>
            </w:pPr>
          </w:p>
        </w:tc>
        <w:tc>
          <w:tcPr>
            <w:tcW w:w="5244" w:type="dxa"/>
          </w:tcPr>
          <w:p w14:paraId="71F0F778" w14:textId="77777777" w:rsidR="006621BE" w:rsidRPr="009F1A0D" w:rsidRDefault="006621BE" w:rsidP="00EF5AF2">
            <w:pPr>
              <w:tabs>
                <w:tab w:val="left" w:pos="875"/>
              </w:tabs>
              <w:ind w:right="-50"/>
              <w:jc w:val="center"/>
              <w:rPr>
                <w:rFonts w:ascii="Arial" w:hAnsi="Arial" w:cs="Arial"/>
                <w:b/>
              </w:rPr>
            </w:pPr>
            <w:r w:rsidRPr="009F1A0D">
              <w:rPr>
                <w:rFonts w:ascii="Arial" w:hAnsi="Arial" w:cs="Arial"/>
                <w:b/>
              </w:rPr>
              <w:t>Descripción de la limitación</w:t>
            </w:r>
          </w:p>
        </w:tc>
      </w:tr>
      <w:tr w:rsidR="006621BE" w:rsidRPr="009F1A0D" w14:paraId="2FF5BE19" w14:textId="77777777" w:rsidTr="003769C9">
        <w:tc>
          <w:tcPr>
            <w:tcW w:w="993" w:type="dxa"/>
          </w:tcPr>
          <w:p w14:paraId="328C5542" w14:textId="77777777" w:rsidR="006621BE" w:rsidRPr="009F1A0D" w:rsidRDefault="006621BE" w:rsidP="00EF5AF2">
            <w:pPr>
              <w:tabs>
                <w:tab w:val="left" w:pos="875"/>
              </w:tabs>
              <w:ind w:right="-50"/>
              <w:jc w:val="center"/>
              <w:rPr>
                <w:rFonts w:ascii="Arial" w:hAnsi="Arial" w:cs="Arial"/>
                <w:b/>
              </w:rPr>
            </w:pPr>
            <w:r w:rsidRPr="009F1A0D">
              <w:rPr>
                <w:rFonts w:ascii="Arial" w:hAnsi="Arial" w:cs="Arial"/>
                <w:b/>
              </w:rPr>
              <w:t>1</w:t>
            </w:r>
          </w:p>
        </w:tc>
        <w:tc>
          <w:tcPr>
            <w:tcW w:w="4253" w:type="dxa"/>
          </w:tcPr>
          <w:p w14:paraId="4CAF8351" w14:textId="77777777" w:rsidR="006621BE" w:rsidRPr="009F1A0D" w:rsidRDefault="006621BE" w:rsidP="00EF5AF2">
            <w:pPr>
              <w:tabs>
                <w:tab w:val="left" w:pos="875"/>
              </w:tabs>
              <w:ind w:right="-50"/>
              <w:jc w:val="both"/>
              <w:rPr>
                <w:rFonts w:ascii="Arial" w:hAnsi="Arial" w:cs="Arial"/>
                <w:b/>
              </w:rPr>
            </w:pPr>
            <w:r w:rsidRPr="009F1A0D">
              <w:rPr>
                <w:rFonts w:ascii="Arial" w:hAnsi="Arial" w:cs="Arial"/>
                <w:b/>
              </w:rPr>
              <w:t>Soporte a la plataforma:</w:t>
            </w:r>
          </w:p>
        </w:tc>
        <w:tc>
          <w:tcPr>
            <w:tcW w:w="5244" w:type="dxa"/>
          </w:tcPr>
          <w:p w14:paraId="044D9910" w14:textId="77777777" w:rsidR="006621BE" w:rsidRPr="009F1A0D" w:rsidRDefault="006621BE" w:rsidP="00EF5AF2">
            <w:pPr>
              <w:tabs>
                <w:tab w:val="left" w:pos="875"/>
              </w:tabs>
              <w:ind w:right="-50"/>
              <w:jc w:val="both"/>
              <w:rPr>
                <w:rFonts w:ascii="Arial" w:hAnsi="Arial" w:cs="Arial"/>
              </w:rPr>
            </w:pPr>
            <w:r w:rsidRPr="009F1A0D">
              <w:rPr>
                <w:rFonts w:ascii="Arial" w:hAnsi="Arial" w:cs="Arial"/>
              </w:rPr>
              <w:t>Soporte, se debe mejorar respecto a respuestas más oportunas y orientadores, generalmente lo remiten a consultar guías y no dan soporte sobre el paso a paso en la plataforma.</w:t>
            </w:r>
          </w:p>
        </w:tc>
      </w:tr>
    </w:tbl>
    <w:p w14:paraId="018AA345" w14:textId="77777777" w:rsidR="006621BE" w:rsidRDefault="006621BE" w:rsidP="006621BE">
      <w:pPr>
        <w:ind w:left="-284" w:right="-234"/>
        <w:jc w:val="both"/>
        <w:rPr>
          <w:rFonts w:ascii="Arial" w:hAnsi="Arial" w:cs="Arial"/>
          <w:b/>
          <w:sz w:val="24"/>
          <w:szCs w:val="24"/>
        </w:rPr>
      </w:pPr>
    </w:p>
    <w:p w14:paraId="3EA64DE8" w14:textId="77777777" w:rsidR="006621BE" w:rsidRPr="00E40301" w:rsidRDefault="006621BE" w:rsidP="003769C9">
      <w:pPr>
        <w:ind w:left="-284" w:right="-234"/>
        <w:jc w:val="both"/>
        <w:rPr>
          <w:rFonts w:ascii="Arial" w:hAnsi="Arial" w:cs="Arial"/>
          <w:b/>
          <w:sz w:val="28"/>
          <w:szCs w:val="28"/>
          <w:lang w:val="es-MX"/>
        </w:rPr>
      </w:pPr>
      <w:r w:rsidRPr="00E40301">
        <w:rPr>
          <w:rFonts w:ascii="Arial" w:hAnsi="Arial" w:cs="Arial"/>
          <w:b/>
          <w:sz w:val="28"/>
          <w:szCs w:val="28"/>
          <w:lang w:val="es-MX"/>
        </w:rPr>
        <w:t>99.- DEPARTAMENTO ADMINISTRATIVO PARA LA PROSPERIDAD SOCIAL - DPS.</w:t>
      </w:r>
    </w:p>
    <w:p w14:paraId="0D078DD5"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0625B" w14:paraId="5794C38B" w14:textId="77777777" w:rsidTr="003769C9">
        <w:tc>
          <w:tcPr>
            <w:tcW w:w="993" w:type="dxa"/>
            <w:vAlign w:val="center"/>
          </w:tcPr>
          <w:p w14:paraId="75D8ED6E" w14:textId="77777777" w:rsidR="006621BE" w:rsidRPr="0090625B" w:rsidRDefault="006621BE" w:rsidP="00EF5AF2">
            <w:pPr>
              <w:pStyle w:val="Prrafodelista"/>
              <w:tabs>
                <w:tab w:val="left" w:pos="875"/>
              </w:tabs>
              <w:ind w:left="0"/>
              <w:jc w:val="center"/>
              <w:rPr>
                <w:rFonts w:ascii="Arial" w:hAnsi="Arial" w:cs="Arial"/>
                <w:b/>
              </w:rPr>
            </w:pPr>
            <w:r w:rsidRPr="0090625B">
              <w:rPr>
                <w:rFonts w:ascii="Arial" w:hAnsi="Arial" w:cs="Arial"/>
                <w:b/>
              </w:rPr>
              <w:t>N°</w:t>
            </w:r>
          </w:p>
        </w:tc>
        <w:tc>
          <w:tcPr>
            <w:tcW w:w="4253" w:type="dxa"/>
            <w:vAlign w:val="center"/>
          </w:tcPr>
          <w:p w14:paraId="1E1998FD" w14:textId="77777777" w:rsidR="006621BE" w:rsidRPr="0090625B" w:rsidRDefault="006621BE" w:rsidP="00EF5AF2">
            <w:pPr>
              <w:pStyle w:val="Prrafodelista"/>
              <w:tabs>
                <w:tab w:val="left" w:pos="875"/>
              </w:tabs>
              <w:ind w:left="0"/>
              <w:jc w:val="center"/>
              <w:rPr>
                <w:rFonts w:ascii="Arial" w:hAnsi="Arial" w:cs="Arial"/>
                <w:b/>
              </w:rPr>
            </w:pPr>
            <w:r w:rsidRPr="0090625B">
              <w:rPr>
                <w:rFonts w:ascii="Arial" w:hAnsi="Arial" w:cs="Arial"/>
                <w:b/>
              </w:rPr>
              <w:t>Limitaciones del Sistema SIIF II Nación a 31/12/2024</w:t>
            </w:r>
          </w:p>
          <w:p w14:paraId="570ED77C" w14:textId="77777777" w:rsidR="006621BE" w:rsidRPr="0090625B" w:rsidRDefault="006621BE" w:rsidP="00EF5AF2">
            <w:pPr>
              <w:pStyle w:val="Prrafodelista"/>
              <w:tabs>
                <w:tab w:val="left" w:pos="875"/>
              </w:tabs>
              <w:ind w:left="0"/>
              <w:jc w:val="center"/>
              <w:rPr>
                <w:rFonts w:ascii="Arial" w:hAnsi="Arial" w:cs="Arial"/>
                <w:b/>
              </w:rPr>
            </w:pPr>
          </w:p>
        </w:tc>
        <w:tc>
          <w:tcPr>
            <w:tcW w:w="5244" w:type="dxa"/>
            <w:vAlign w:val="center"/>
          </w:tcPr>
          <w:p w14:paraId="6F6D8503" w14:textId="77777777" w:rsidR="006621BE" w:rsidRPr="0090625B" w:rsidRDefault="006621BE" w:rsidP="00EF5AF2">
            <w:pPr>
              <w:pStyle w:val="Prrafodelista"/>
              <w:tabs>
                <w:tab w:val="left" w:pos="875"/>
              </w:tabs>
              <w:ind w:left="0"/>
              <w:jc w:val="center"/>
              <w:rPr>
                <w:rFonts w:ascii="Arial" w:hAnsi="Arial" w:cs="Arial"/>
                <w:b/>
              </w:rPr>
            </w:pPr>
            <w:r w:rsidRPr="0090625B">
              <w:rPr>
                <w:rFonts w:ascii="Arial" w:hAnsi="Arial" w:cs="Arial"/>
                <w:b/>
              </w:rPr>
              <w:t>Descripción de la limitación</w:t>
            </w:r>
          </w:p>
        </w:tc>
      </w:tr>
      <w:tr w:rsidR="006621BE" w:rsidRPr="0090625B" w14:paraId="73A6AEF1" w14:textId="77777777" w:rsidTr="003769C9">
        <w:tc>
          <w:tcPr>
            <w:tcW w:w="993" w:type="dxa"/>
          </w:tcPr>
          <w:p w14:paraId="011E844A" w14:textId="77777777" w:rsidR="006621BE" w:rsidRPr="0090625B" w:rsidRDefault="006621BE" w:rsidP="00EF5AF2">
            <w:pPr>
              <w:pStyle w:val="Prrafodelista"/>
              <w:tabs>
                <w:tab w:val="left" w:pos="875"/>
              </w:tabs>
              <w:ind w:left="0"/>
              <w:jc w:val="center"/>
              <w:rPr>
                <w:rFonts w:ascii="Arial" w:hAnsi="Arial" w:cs="Arial"/>
                <w:b/>
              </w:rPr>
            </w:pPr>
            <w:r w:rsidRPr="0090625B">
              <w:rPr>
                <w:rFonts w:ascii="Arial" w:hAnsi="Arial" w:cs="Arial"/>
                <w:b/>
              </w:rPr>
              <w:t>1</w:t>
            </w:r>
          </w:p>
        </w:tc>
        <w:tc>
          <w:tcPr>
            <w:tcW w:w="4253" w:type="dxa"/>
          </w:tcPr>
          <w:p w14:paraId="0AC5C7BA" w14:textId="77777777" w:rsidR="006621BE" w:rsidRPr="0090625B" w:rsidRDefault="006621BE" w:rsidP="00EF5AF2">
            <w:pPr>
              <w:pStyle w:val="Prrafodelista"/>
              <w:tabs>
                <w:tab w:val="left" w:pos="875"/>
              </w:tabs>
              <w:ind w:left="0"/>
              <w:rPr>
                <w:rFonts w:ascii="Arial" w:hAnsi="Arial" w:cs="Arial"/>
                <w:b/>
              </w:rPr>
            </w:pPr>
            <w:r w:rsidRPr="0090625B">
              <w:rPr>
                <w:rFonts w:ascii="Arial" w:hAnsi="Arial" w:cs="Arial"/>
                <w:b/>
              </w:rPr>
              <w:t>Técnicas:</w:t>
            </w:r>
          </w:p>
        </w:tc>
        <w:tc>
          <w:tcPr>
            <w:tcW w:w="5244" w:type="dxa"/>
          </w:tcPr>
          <w:p w14:paraId="608BF0ED" w14:textId="77777777" w:rsidR="006621BE" w:rsidRPr="0090625B" w:rsidRDefault="006621BE" w:rsidP="00EF5AF2">
            <w:pPr>
              <w:pStyle w:val="Prrafodelista"/>
              <w:tabs>
                <w:tab w:val="left" w:pos="875"/>
              </w:tabs>
              <w:ind w:left="0"/>
              <w:rPr>
                <w:rFonts w:ascii="Arial" w:hAnsi="Arial" w:cs="Arial"/>
                <w:b/>
              </w:rPr>
            </w:pPr>
            <w:r w:rsidRPr="0090625B">
              <w:rPr>
                <w:rFonts w:ascii="Arial" w:hAnsi="Arial" w:cs="Arial"/>
              </w:rPr>
              <w:t>Se presentaron inconvenientes en la carga masivas de obligaciones en fechas clave para el proceso de pagos, más concretamente en el mes de diciembre de 2024.</w:t>
            </w:r>
          </w:p>
        </w:tc>
      </w:tr>
      <w:tr w:rsidR="006621BE" w:rsidRPr="0090625B" w14:paraId="49A83B0D" w14:textId="77777777" w:rsidTr="003769C9">
        <w:tc>
          <w:tcPr>
            <w:tcW w:w="993" w:type="dxa"/>
          </w:tcPr>
          <w:p w14:paraId="5C9238DA" w14:textId="77777777" w:rsidR="006621BE" w:rsidRPr="0090625B" w:rsidRDefault="006621BE" w:rsidP="00EF5AF2">
            <w:pPr>
              <w:pStyle w:val="Prrafodelista"/>
              <w:tabs>
                <w:tab w:val="left" w:pos="875"/>
              </w:tabs>
              <w:ind w:left="0"/>
              <w:jc w:val="center"/>
              <w:rPr>
                <w:rFonts w:ascii="Arial" w:hAnsi="Arial" w:cs="Arial"/>
                <w:b/>
              </w:rPr>
            </w:pPr>
            <w:r w:rsidRPr="0090625B">
              <w:rPr>
                <w:rFonts w:ascii="Arial" w:hAnsi="Arial" w:cs="Arial"/>
                <w:b/>
              </w:rPr>
              <w:t>2</w:t>
            </w:r>
          </w:p>
        </w:tc>
        <w:tc>
          <w:tcPr>
            <w:tcW w:w="4253" w:type="dxa"/>
          </w:tcPr>
          <w:p w14:paraId="709BF336" w14:textId="77777777" w:rsidR="006621BE" w:rsidRPr="0090625B" w:rsidRDefault="006621BE" w:rsidP="00EF5AF2">
            <w:pPr>
              <w:pStyle w:val="Prrafodelista"/>
              <w:tabs>
                <w:tab w:val="left" w:pos="875"/>
              </w:tabs>
              <w:ind w:left="0"/>
              <w:rPr>
                <w:rFonts w:ascii="Arial" w:hAnsi="Arial" w:cs="Arial"/>
                <w:b/>
              </w:rPr>
            </w:pPr>
            <w:r w:rsidRPr="0090625B">
              <w:rPr>
                <w:rFonts w:ascii="Arial" w:hAnsi="Arial" w:cs="Arial"/>
                <w:b/>
              </w:rPr>
              <w:t>Operativas:</w:t>
            </w:r>
          </w:p>
        </w:tc>
        <w:tc>
          <w:tcPr>
            <w:tcW w:w="5244" w:type="dxa"/>
          </w:tcPr>
          <w:p w14:paraId="29CE4DAA" w14:textId="77777777" w:rsidR="006621BE" w:rsidRPr="0090625B" w:rsidRDefault="006621BE" w:rsidP="00EF5AF2">
            <w:pPr>
              <w:tabs>
                <w:tab w:val="left" w:pos="875"/>
              </w:tabs>
              <w:ind w:right="30"/>
              <w:jc w:val="both"/>
              <w:rPr>
                <w:rFonts w:ascii="Arial" w:hAnsi="Arial" w:cs="Arial"/>
                <w:lang w:val="es-CO"/>
              </w:rPr>
            </w:pPr>
            <w:r w:rsidRPr="0090625B">
              <w:rPr>
                <w:rFonts w:ascii="Arial" w:hAnsi="Arial" w:cs="Arial"/>
                <w:lang w:val="es-CO"/>
              </w:rPr>
              <w:t xml:space="preserve">-Para el registro de incapacidades en la nómina a través de carga masiva o de forma manual, no es posible definir más de un tipo de gasto para el rubro presupuestal de incapacidades, lo cual no permite el registro contable automático por separado de las incapacidades asumidas y de las incapacidades por cobrar, conforme a lo establecido en la norma (Dos primeros días asumidos por el empleador y desde el tercer día asumido por la EPS). Durante el tercer trimestre de 2024 se solicitó acompañamiento de la administración SIIF mediante incidente No. REQ-29763 y de acuerdo con las opciones que se plantearon se solicitó a la Subdirección de Talento Humano evaluar las posibles alternativas </w:t>
            </w:r>
            <w:r w:rsidRPr="0090625B">
              <w:rPr>
                <w:rFonts w:ascii="Arial" w:hAnsi="Arial" w:cs="Arial"/>
                <w:lang w:val="es-CO"/>
              </w:rPr>
              <w:lastRenderedPageBreak/>
              <w:t>expuestas en el acompañamiento, con el fin de disminuir las reclasificaciones manuales del gasto por incapacidad de los dos primeros días.</w:t>
            </w:r>
          </w:p>
          <w:p w14:paraId="6A862DB9" w14:textId="77777777" w:rsidR="006621BE" w:rsidRPr="0090625B" w:rsidRDefault="006621BE" w:rsidP="00EF5AF2">
            <w:pPr>
              <w:tabs>
                <w:tab w:val="left" w:pos="875"/>
              </w:tabs>
              <w:ind w:right="30"/>
              <w:jc w:val="both"/>
              <w:rPr>
                <w:rFonts w:ascii="Arial" w:hAnsi="Arial" w:cs="Arial"/>
                <w:lang w:val="es-CO"/>
              </w:rPr>
            </w:pPr>
            <w:r w:rsidRPr="0090625B">
              <w:rPr>
                <w:rFonts w:ascii="Arial" w:hAnsi="Arial" w:cs="Arial"/>
              </w:rPr>
              <w:t xml:space="preserve">-En cumplimiento a su misionalidad y para cofinanciar el programa de protección social al adulto mayor </w:t>
            </w:r>
            <w:r w:rsidRPr="0090625B">
              <w:rPr>
                <w:rFonts w:ascii="Arial" w:hAnsi="Arial" w:cs="Arial"/>
                <w:i/>
                <w:iCs/>
              </w:rPr>
              <w:t>“Colombia Mayor”</w:t>
            </w:r>
            <w:r w:rsidRPr="0090625B">
              <w:rPr>
                <w:rFonts w:ascii="Arial" w:hAnsi="Arial" w:cs="Arial"/>
              </w:rPr>
              <w:t>, la Entidad recibe mensualmente transferencias de recursos del Distrito Capital de Bogotá (Sin afectación presupuestal), sin situación de fondos, realizadas al portafolio asignado para la Entidad por la Dirección General de Crédito Público y del Tesoro Nacional para su posterior aplicación y pago. Por lo anterior, la Administración SIIF, conforme a concepto de la Contaduría General de la Nación No. 20221100056321, expedido el 25 de agosto de 2022, realizó la parametrización respectiva, afectando la contabilidad únicamente en el momento de pago (Dejando las cuentas implícitas del activo y del pasivo con saldos contrarios) sin la causación previa que evidencie la recepción de recursos en administración y su efecto recíproco, razón por la cual es necesario efectuar un asiento manual. Desde el tercer trimestre de 2024, se recopilaron insumos en las transacciones respectivas, para solicitar a la Administración SIIF y a la Contaduría General de la Nación, la evaluación de los registros automáticos desde las transacciones actuales, mediante la radicación del incidente No. 5863 el día 11 de octubre de 2024. Al respecto, mediante respuesta de la Contaduría General de la Nación con asunto INCIDENTE No. 5863, en documento de cierre o respuesta incidente con fecha de noviembre 27 de 2024, se informó lo siguiente: “</w:t>
            </w:r>
            <w:r w:rsidRPr="0090625B">
              <w:rPr>
                <w:rFonts w:ascii="Arial" w:hAnsi="Arial" w:cs="Arial"/>
                <w:i/>
                <w:iCs/>
              </w:rPr>
              <w:t>La solicitud no procede ya que el sistema se encuentra parametrizado conforme al Marco Normativo para Entidades de Gobierno</w:t>
            </w:r>
            <w:r w:rsidRPr="0090625B">
              <w:rPr>
                <w:rFonts w:ascii="Arial" w:hAnsi="Arial" w:cs="Arial"/>
              </w:rPr>
              <w:t>”, invitando a la entidad a utilizar la funcionalidad de </w:t>
            </w:r>
            <w:r w:rsidRPr="0090625B">
              <w:rPr>
                <w:rFonts w:ascii="Arial" w:hAnsi="Arial" w:cs="Arial"/>
                <w:lang w:val="es-CO"/>
              </w:rPr>
              <w:t>registros manuales, considerando las tipologías de comprobantes parametrizadas en el sistema. Analizada la respuesta de la Contaduría General de la Nación y en pro de disminuir asientos manuales, el día 06 de diciembre de 2024 (Con reiteración el 30 de diciembre de 2024), se solicitó mediante correo electrónico a la </w:t>
            </w:r>
            <w:r w:rsidRPr="0090625B">
              <w:rPr>
                <w:rFonts w:ascii="Arial" w:hAnsi="Arial" w:cs="Arial"/>
              </w:rPr>
              <w:t>Contaduría General de la Nación, explicación más detallada de la no procedencia de la parametrización solicitada con relación a los recursos que se reciben de Bogotá, Distrito Capital (Recepción de recursos sin afectación presupuestal), tomando como referencia lo citado en el documento respuesta: “</w:t>
            </w:r>
            <w:r w:rsidRPr="0090625B">
              <w:rPr>
                <w:rFonts w:ascii="Arial" w:hAnsi="Arial" w:cs="Arial"/>
                <w:i/>
                <w:iCs/>
              </w:rPr>
              <w:t>Esto permite que al momento de la carga del extracto y asignación del DRXC al DPS, la traza contable de esta asignación reconozca el pasivo correspondiente a los recursos recibidos en administración por parte del Distrito”. </w:t>
            </w:r>
            <w:r w:rsidRPr="0090625B">
              <w:rPr>
                <w:rFonts w:ascii="Arial" w:hAnsi="Arial" w:cs="Arial"/>
              </w:rPr>
              <w:t>Lo anterior, por cuanto precisamente ese registro no </w:t>
            </w:r>
            <w:r w:rsidRPr="0090625B">
              <w:rPr>
                <w:rFonts w:ascii="Arial" w:hAnsi="Arial" w:cs="Arial"/>
                <w:lang w:val="es-CO"/>
              </w:rPr>
              <w:t>está</w:t>
            </w:r>
            <w:r w:rsidRPr="0090625B">
              <w:rPr>
                <w:rFonts w:ascii="Arial" w:hAnsi="Arial" w:cs="Arial"/>
              </w:rPr>
              <w:t> quedando automático y que solo al momento del pago es que se genera traza contable en la entidad dando origen a saldos contrarios en el activo y el pasivo</w:t>
            </w:r>
            <w:r w:rsidRPr="0090625B">
              <w:rPr>
                <w:rFonts w:ascii="Arial" w:hAnsi="Arial" w:cs="Arial"/>
                <w:lang w:val="es-CO"/>
              </w:rPr>
              <w:t>.</w:t>
            </w:r>
          </w:p>
          <w:p w14:paraId="38951089" w14:textId="77777777" w:rsidR="006621BE" w:rsidRPr="0090625B" w:rsidRDefault="006621BE" w:rsidP="00EF5AF2">
            <w:pPr>
              <w:jc w:val="both"/>
              <w:rPr>
                <w:rFonts w:ascii="Arial" w:hAnsi="Arial" w:cs="Arial"/>
                <w:b/>
              </w:rPr>
            </w:pPr>
            <w:r w:rsidRPr="0090625B">
              <w:rPr>
                <w:rFonts w:ascii="Arial" w:hAnsi="Arial" w:cs="Arial"/>
              </w:rPr>
              <w:t>-Congestión y lentitud en algunos procesos en el cierre financiero.</w:t>
            </w:r>
          </w:p>
        </w:tc>
      </w:tr>
      <w:tr w:rsidR="006621BE" w:rsidRPr="0090625B" w14:paraId="5344938D" w14:textId="77777777" w:rsidTr="003769C9">
        <w:tc>
          <w:tcPr>
            <w:tcW w:w="993" w:type="dxa"/>
          </w:tcPr>
          <w:p w14:paraId="55EE2F0C" w14:textId="77777777" w:rsidR="006621BE" w:rsidRPr="0090625B" w:rsidRDefault="006621BE" w:rsidP="00EF5AF2">
            <w:pPr>
              <w:pStyle w:val="Prrafodelista"/>
              <w:tabs>
                <w:tab w:val="left" w:pos="875"/>
              </w:tabs>
              <w:ind w:left="0"/>
              <w:jc w:val="center"/>
              <w:rPr>
                <w:rFonts w:ascii="Arial" w:hAnsi="Arial" w:cs="Arial"/>
                <w:b/>
              </w:rPr>
            </w:pPr>
            <w:r w:rsidRPr="0090625B">
              <w:rPr>
                <w:rFonts w:ascii="Arial" w:hAnsi="Arial" w:cs="Arial"/>
                <w:b/>
              </w:rPr>
              <w:lastRenderedPageBreak/>
              <w:t>3</w:t>
            </w:r>
          </w:p>
        </w:tc>
        <w:tc>
          <w:tcPr>
            <w:tcW w:w="4253" w:type="dxa"/>
          </w:tcPr>
          <w:p w14:paraId="2D8FCA95" w14:textId="77777777" w:rsidR="006621BE" w:rsidRPr="0090625B" w:rsidRDefault="006621BE" w:rsidP="00EF5AF2">
            <w:pPr>
              <w:pStyle w:val="Prrafodelista"/>
              <w:tabs>
                <w:tab w:val="left" w:pos="875"/>
              </w:tabs>
              <w:ind w:left="0"/>
              <w:rPr>
                <w:rFonts w:ascii="Arial" w:hAnsi="Arial" w:cs="Arial"/>
                <w:b/>
              </w:rPr>
            </w:pPr>
            <w:r w:rsidRPr="0090625B">
              <w:rPr>
                <w:rFonts w:ascii="Arial" w:hAnsi="Arial" w:cs="Arial"/>
                <w:b/>
              </w:rPr>
              <w:t>Soporte a la plataforma:</w:t>
            </w:r>
          </w:p>
        </w:tc>
        <w:tc>
          <w:tcPr>
            <w:tcW w:w="5244" w:type="dxa"/>
          </w:tcPr>
          <w:p w14:paraId="005B8D33" w14:textId="77777777" w:rsidR="006621BE" w:rsidRPr="0090625B" w:rsidRDefault="006621BE" w:rsidP="00EF5AF2">
            <w:pPr>
              <w:pStyle w:val="Prrafodelista"/>
              <w:tabs>
                <w:tab w:val="left" w:pos="875"/>
              </w:tabs>
              <w:ind w:left="0"/>
              <w:rPr>
                <w:rFonts w:ascii="Arial" w:hAnsi="Arial" w:cs="Arial"/>
                <w:b/>
              </w:rPr>
            </w:pPr>
            <w:r w:rsidRPr="0090625B">
              <w:rPr>
                <w:rFonts w:ascii="Arial" w:hAnsi="Arial" w:cs="Arial"/>
              </w:rPr>
              <w:t xml:space="preserve">La resolución de los incidentes depende de los administradores del sistema lo que puede ocasionar </w:t>
            </w:r>
            <w:r w:rsidRPr="0090625B">
              <w:rPr>
                <w:rFonts w:ascii="Arial" w:hAnsi="Arial" w:cs="Arial"/>
              </w:rPr>
              <w:lastRenderedPageBreak/>
              <w:t>demoras en la gestión.</w:t>
            </w:r>
          </w:p>
        </w:tc>
      </w:tr>
    </w:tbl>
    <w:p w14:paraId="08DD60A5" w14:textId="77777777" w:rsidR="006621BE" w:rsidRDefault="006621BE" w:rsidP="006621BE">
      <w:pPr>
        <w:ind w:left="-284" w:right="-234"/>
        <w:jc w:val="both"/>
        <w:rPr>
          <w:rFonts w:ascii="Arial" w:hAnsi="Arial" w:cs="Arial"/>
          <w:b/>
          <w:sz w:val="24"/>
          <w:szCs w:val="24"/>
        </w:rPr>
      </w:pPr>
    </w:p>
    <w:p w14:paraId="2FD14254" w14:textId="77777777" w:rsidR="006621BE" w:rsidRPr="0090625B" w:rsidRDefault="006621BE" w:rsidP="003769C9">
      <w:pPr>
        <w:pStyle w:val="Textoindependiente"/>
        <w:ind w:left="-284" w:right="-234"/>
        <w:jc w:val="both"/>
        <w:rPr>
          <w:rFonts w:ascii="Arial" w:hAnsi="Arial" w:cs="Arial"/>
          <w:b/>
          <w:bCs/>
          <w:sz w:val="24"/>
          <w:szCs w:val="24"/>
        </w:rPr>
      </w:pPr>
      <w:r w:rsidRPr="0090625B">
        <w:rPr>
          <w:rFonts w:ascii="Arial" w:hAnsi="Arial" w:cs="Arial"/>
          <w:b/>
          <w:bCs/>
          <w:sz w:val="24"/>
          <w:szCs w:val="24"/>
        </w:rPr>
        <w:t>LIMITACIONES Y DEFICIENCIAS GENERALES DE TIPO OPERATIVO O ADMINISTRATIVO QUE TIENEN IMPACTO CONTABLE.</w:t>
      </w:r>
    </w:p>
    <w:p w14:paraId="09EA66B0" w14:textId="77777777" w:rsidR="006621BE" w:rsidRPr="0090625B" w:rsidRDefault="006621BE" w:rsidP="003769C9">
      <w:pPr>
        <w:pStyle w:val="Textoindependiente"/>
        <w:ind w:right="-234"/>
        <w:jc w:val="both"/>
        <w:rPr>
          <w:rFonts w:ascii="Arial" w:hAnsi="Arial" w:cs="Arial"/>
          <w:b/>
          <w:bCs/>
          <w:sz w:val="24"/>
          <w:szCs w:val="24"/>
        </w:rPr>
      </w:pPr>
    </w:p>
    <w:p w14:paraId="00721D12" w14:textId="77777777" w:rsidR="006621BE" w:rsidRPr="0090625B" w:rsidRDefault="006621BE" w:rsidP="003769C9">
      <w:pPr>
        <w:pStyle w:val="Textoindependiente"/>
        <w:ind w:left="-284" w:right="-234"/>
        <w:jc w:val="both"/>
        <w:rPr>
          <w:rFonts w:ascii="Arial" w:hAnsi="Arial" w:cs="Arial"/>
          <w:b/>
          <w:bCs/>
          <w:sz w:val="24"/>
          <w:szCs w:val="24"/>
        </w:rPr>
      </w:pPr>
      <w:r w:rsidRPr="0090625B">
        <w:rPr>
          <w:rFonts w:ascii="Arial" w:hAnsi="Arial" w:cs="Arial"/>
          <w:b/>
          <w:bCs/>
          <w:sz w:val="24"/>
          <w:szCs w:val="24"/>
        </w:rPr>
        <w:t>Sistema Integrado de Información Financiera – SIIF Nación.</w:t>
      </w:r>
    </w:p>
    <w:p w14:paraId="34D1F8AE" w14:textId="77777777" w:rsidR="006621BE" w:rsidRPr="0090625B" w:rsidRDefault="006621BE" w:rsidP="003769C9">
      <w:pPr>
        <w:pStyle w:val="Textoindependiente"/>
        <w:ind w:left="-284" w:right="-234"/>
        <w:jc w:val="both"/>
        <w:rPr>
          <w:rFonts w:ascii="Arial" w:hAnsi="Arial" w:cs="Arial"/>
          <w:sz w:val="24"/>
          <w:szCs w:val="24"/>
        </w:rPr>
      </w:pPr>
    </w:p>
    <w:p w14:paraId="763E0D71"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sz w:val="24"/>
          <w:szCs w:val="24"/>
        </w:rPr>
        <w:t>Con respecto a la funcionalidad del SIIF Nación, es necesario tener en cuenta las siguientes limitaciones, que afectaron y afectan el proceso contable:</w:t>
      </w:r>
    </w:p>
    <w:p w14:paraId="45969269" w14:textId="77777777" w:rsidR="006621BE" w:rsidRPr="0090625B" w:rsidRDefault="006621BE" w:rsidP="003769C9">
      <w:pPr>
        <w:pStyle w:val="Textoindependiente"/>
        <w:ind w:right="-234"/>
        <w:jc w:val="both"/>
        <w:rPr>
          <w:rFonts w:ascii="Arial" w:hAnsi="Arial" w:cs="Arial"/>
          <w:sz w:val="24"/>
          <w:szCs w:val="24"/>
        </w:rPr>
      </w:pPr>
    </w:p>
    <w:p w14:paraId="3C7BAD06" w14:textId="77777777" w:rsidR="006621BE" w:rsidRPr="0090625B" w:rsidRDefault="006621BE" w:rsidP="00CB6055">
      <w:pPr>
        <w:pStyle w:val="Textoindependiente"/>
        <w:numPr>
          <w:ilvl w:val="0"/>
          <w:numId w:val="24"/>
        </w:numPr>
        <w:ind w:right="-234"/>
        <w:jc w:val="both"/>
        <w:rPr>
          <w:rFonts w:ascii="Arial" w:hAnsi="Arial" w:cs="Arial"/>
          <w:sz w:val="24"/>
          <w:szCs w:val="24"/>
        </w:rPr>
      </w:pPr>
      <w:r w:rsidRPr="0090625B">
        <w:rPr>
          <w:rFonts w:ascii="Arial" w:hAnsi="Arial" w:cs="Arial"/>
          <w:sz w:val="24"/>
          <w:szCs w:val="24"/>
        </w:rPr>
        <w:t>El reporte definitivo de “Operaciones Recíprocas” que se genera del SIIF Nación, contiene algunas de las cuentas incluidas en reglas de eliminación y no presenta algunas identificaciones de entidades públicas, por lo que deben incluirse de forma manual para su transmisión vía CHIP.</w:t>
      </w:r>
    </w:p>
    <w:p w14:paraId="6FA981B7" w14:textId="77777777" w:rsidR="006621BE" w:rsidRPr="0090625B" w:rsidRDefault="006621BE" w:rsidP="003769C9">
      <w:pPr>
        <w:pStyle w:val="Textoindependiente"/>
        <w:ind w:right="-234"/>
        <w:jc w:val="both"/>
        <w:rPr>
          <w:rFonts w:ascii="Arial" w:hAnsi="Arial" w:cs="Arial"/>
          <w:sz w:val="24"/>
          <w:szCs w:val="24"/>
        </w:rPr>
      </w:pPr>
    </w:p>
    <w:p w14:paraId="54E22EB5" w14:textId="77777777" w:rsidR="006621BE" w:rsidRPr="0090625B" w:rsidRDefault="006621BE" w:rsidP="00CB6055">
      <w:pPr>
        <w:pStyle w:val="Textoindependiente"/>
        <w:numPr>
          <w:ilvl w:val="0"/>
          <w:numId w:val="23"/>
        </w:numPr>
        <w:ind w:right="-234"/>
        <w:jc w:val="both"/>
        <w:rPr>
          <w:rFonts w:ascii="Arial" w:hAnsi="Arial" w:cs="Arial"/>
          <w:sz w:val="24"/>
          <w:szCs w:val="24"/>
        </w:rPr>
      </w:pPr>
      <w:r w:rsidRPr="0090625B">
        <w:rPr>
          <w:rFonts w:ascii="Arial" w:hAnsi="Arial" w:cs="Arial"/>
          <w:sz w:val="24"/>
          <w:szCs w:val="24"/>
        </w:rPr>
        <w:t>Para el registro de incapacidades en la nómina a través de carga masiva o de forma manual, es imposible definir más de un tipo de gasto para el rubro presupuestal de incapacidades, lo cual imposibilita el registro contable automático por separado de las incapacidades asumidas y de las incapacidades por cobrar, conforme a lo establecido en la norma (Dos primeros días asumidos por el empleador y desde el tercer día asumido por la EPS). Durante el tercer trimestre de 2024 se solicitó acompañamiento de la administración SIIF mediante incidente No. REQ-29763 y de acuerdo con las opciones que se plantearon se solicitó a la Subdirección de Talento Humano evaluar las posibles alternativas expuestas en el acompañamiento, con el fin de disminuir las reclasificaciones manuales del gasto por incapacidad de los dos primeros días. Al corte del presente informe no se recibió respuesta por parte de la Subdirección de Talento Humano sobre la citada evaluación y por ende sobre la alternativa de adopción.</w:t>
      </w:r>
    </w:p>
    <w:p w14:paraId="0426BEE2" w14:textId="77777777" w:rsidR="006621BE" w:rsidRPr="0090625B" w:rsidRDefault="006621BE" w:rsidP="003769C9">
      <w:pPr>
        <w:pStyle w:val="Textoindependiente"/>
        <w:ind w:right="-234"/>
        <w:jc w:val="both"/>
        <w:rPr>
          <w:rFonts w:ascii="Arial" w:hAnsi="Arial" w:cs="Arial"/>
          <w:sz w:val="24"/>
          <w:szCs w:val="24"/>
        </w:rPr>
      </w:pPr>
      <w:r w:rsidRPr="0090625B">
        <w:rPr>
          <w:rFonts w:ascii="Arial" w:hAnsi="Arial" w:cs="Arial"/>
          <w:sz w:val="24"/>
          <w:szCs w:val="24"/>
        </w:rPr>
        <w:t xml:space="preserve"> </w:t>
      </w:r>
    </w:p>
    <w:p w14:paraId="5D759182" w14:textId="77777777" w:rsidR="006621BE" w:rsidRPr="0090625B" w:rsidRDefault="006621BE" w:rsidP="00CB6055">
      <w:pPr>
        <w:pStyle w:val="Textoindependiente"/>
        <w:numPr>
          <w:ilvl w:val="0"/>
          <w:numId w:val="22"/>
        </w:numPr>
        <w:ind w:right="-234"/>
        <w:jc w:val="both"/>
        <w:rPr>
          <w:rFonts w:ascii="Arial" w:hAnsi="Arial" w:cs="Arial"/>
          <w:sz w:val="24"/>
          <w:szCs w:val="24"/>
        </w:rPr>
      </w:pPr>
      <w:r w:rsidRPr="0090625B">
        <w:rPr>
          <w:rFonts w:ascii="Arial" w:hAnsi="Arial" w:cs="Arial"/>
          <w:sz w:val="24"/>
          <w:szCs w:val="24"/>
        </w:rPr>
        <w:t>En cumplimiento a su misionalidad y para cofinanciar el programa de protección social al adulto mayor “Colombia Mayor”, la Entidad recibe mensualmente transferencias de recursos del Distrito Capital de Bogotá (Sin afectación presupuestal) sin situación de fondos, realizadas al portafolio asignado para la Entidad por la Dirección General de Crédito Público y del Tesoro Nacional para su posterior aplicación y pago. Por lo anterior, la Administración SIIF conforme a concepto de la Contaduría General de la Nación No. 20221100056321 expedido el 25 de agosto de 2022, realizó la parametrización respectiva, afectando la contabilidad únicamente en el momento de pago (Dejando las cuentas implícitas del activo y del pasivo con saldos contrarios) sin la causación previa que evidencie la recepción de recursos en administración y su efecto recíproco, razón por la cual es necesario efectuar un asiento manual.</w:t>
      </w:r>
    </w:p>
    <w:p w14:paraId="025C04EB" w14:textId="77777777" w:rsidR="006621BE" w:rsidRPr="0090625B" w:rsidRDefault="006621BE" w:rsidP="003769C9">
      <w:pPr>
        <w:pStyle w:val="Textoindependiente"/>
        <w:ind w:right="-234"/>
        <w:jc w:val="both"/>
        <w:rPr>
          <w:rFonts w:ascii="Arial" w:hAnsi="Arial" w:cs="Arial"/>
          <w:sz w:val="24"/>
          <w:szCs w:val="24"/>
        </w:rPr>
      </w:pPr>
    </w:p>
    <w:p w14:paraId="1F3552F0"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sz w:val="24"/>
          <w:szCs w:val="24"/>
        </w:rPr>
        <w:t xml:space="preserve">Desde el tercer trimestre de 2024, se recopilaron insumos en las transacciones respectivas, para solicitar a la Administración SIIF y a la Contaduría General de la Nación, la evaluación de los registros automáticos desde las transacciones actuales, mediante la radicación del incidente No. 5863 el día 11 de octubre de 2024. Sin embargo, mediante respuesta de la Contaduría General de la Nación con asunto INCIDENTE No. 5863, en documento de cierre o respuesta incidente con fecha de noviembre 27 de 2024, se comunicó: “La solicitud no procede ya que el sistema se encuentra parametrizado conforme al Marco Normativo para Entidades de Gobierno”, </w:t>
      </w:r>
      <w:r w:rsidRPr="0090625B">
        <w:rPr>
          <w:rFonts w:ascii="Arial" w:hAnsi="Arial" w:cs="Arial"/>
          <w:b/>
          <w:bCs/>
          <w:sz w:val="24"/>
          <w:szCs w:val="24"/>
          <w:u w:val="single"/>
        </w:rPr>
        <w:t xml:space="preserve">invitando a la entidad a utilizar la funcionalidad de registros manuales, considerando las tipologías de </w:t>
      </w:r>
      <w:r w:rsidRPr="0090625B">
        <w:rPr>
          <w:rFonts w:ascii="Arial" w:hAnsi="Arial" w:cs="Arial"/>
          <w:b/>
          <w:bCs/>
          <w:sz w:val="24"/>
          <w:szCs w:val="24"/>
          <w:u w:val="single"/>
        </w:rPr>
        <w:lastRenderedPageBreak/>
        <w:t>comprobantes parametrizadas en el sistema</w:t>
      </w:r>
      <w:r w:rsidRPr="0090625B">
        <w:rPr>
          <w:rFonts w:ascii="Arial" w:hAnsi="Arial" w:cs="Arial"/>
          <w:sz w:val="24"/>
          <w:szCs w:val="24"/>
        </w:rPr>
        <w:t>.</w:t>
      </w:r>
    </w:p>
    <w:p w14:paraId="5BBB7111" w14:textId="77777777" w:rsidR="006621BE" w:rsidRPr="0090625B" w:rsidRDefault="006621BE" w:rsidP="003769C9">
      <w:pPr>
        <w:pStyle w:val="Textoindependiente"/>
        <w:ind w:left="-284" w:right="-234"/>
        <w:jc w:val="both"/>
        <w:rPr>
          <w:rFonts w:ascii="Arial" w:hAnsi="Arial" w:cs="Arial"/>
          <w:sz w:val="24"/>
          <w:szCs w:val="24"/>
        </w:rPr>
      </w:pPr>
    </w:p>
    <w:p w14:paraId="40ED8CA4"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sz w:val="24"/>
          <w:szCs w:val="24"/>
        </w:rPr>
        <w:t xml:space="preserve">Analizada la respuesta de la Contaduría General de la Nación y en pro de disminuir asientos manuales que desde el criterio contable son innecesarios, el día 06 de diciembre de 2024 (Con reiteración el 30 de diciembre de 2024), se solicitó mediante correo electrónico a la Contaduría General de la Nación, explicación más detallada de la no procedencia de la parametrización solicitada con relación a los recursos que se reciben de Bogotá (Recepción de recursos sin afectación presupuestal), tomando como referencia lo citado en el documento respuesta: “Esto permite que al momento de la carga del extracto y asignación del DRXC al DPS, la traza contable de esta asignación reconozca el pasivo correspondiente a los recursos recibidos en administración por parte del Distrito”. </w:t>
      </w:r>
      <w:r w:rsidRPr="0090625B">
        <w:rPr>
          <w:rFonts w:ascii="Arial" w:hAnsi="Arial" w:cs="Arial"/>
          <w:b/>
          <w:bCs/>
          <w:sz w:val="24"/>
          <w:szCs w:val="24"/>
          <w:u w:val="single"/>
        </w:rPr>
        <w:t>Lo anterior, por cuanto precisamente ese registro no está quedando automático y que solo al momento del pago es que se genera traza contable en la entidad dando origen a saldos contrarios en el activo y el pasivo</w:t>
      </w:r>
      <w:r w:rsidRPr="0090625B">
        <w:rPr>
          <w:rFonts w:ascii="Arial" w:hAnsi="Arial" w:cs="Arial"/>
          <w:sz w:val="24"/>
          <w:szCs w:val="24"/>
        </w:rPr>
        <w:t>.</w:t>
      </w:r>
    </w:p>
    <w:p w14:paraId="743945E5" w14:textId="77777777" w:rsidR="006621BE" w:rsidRPr="0090625B" w:rsidRDefault="006621BE" w:rsidP="003769C9">
      <w:pPr>
        <w:pStyle w:val="Textoindependiente"/>
        <w:ind w:left="-284" w:right="-234"/>
        <w:jc w:val="both"/>
        <w:rPr>
          <w:rFonts w:ascii="Arial" w:hAnsi="Arial" w:cs="Arial"/>
          <w:sz w:val="24"/>
          <w:szCs w:val="24"/>
        </w:rPr>
      </w:pPr>
    </w:p>
    <w:p w14:paraId="543B459F" w14:textId="77777777" w:rsidR="006621BE" w:rsidRPr="0090625B" w:rsidRDefault="006621BE" w:rsidP="003769C9">
      <w:pPr>
        <w:pStyle w:val="Textoindependiente"/>
        <w:ind w:left="-284" w:right="-234"/>
        <w:jc w:val="both"/>
        <w:rPr>
          <w:rFonts w:ascii="Arial" w:hAnsi="Arial" w:cs="Arial"/>
          <w:b/>
          <w:bCs/>
          <w:sz w:val="24"/>
          <w:szCs w:val="24"/>
          <w:u w:val="single"/>
        </w:rPr>
      </w:pPr>
      <w:r w:rsidRPr="0090625B">
        <w:rPr>
          <w:rFonts w:ascii="Arial" w:hAnsi="Arial" w:cs="Arial"/>
          <w:sz w:val="24"/>
          <w:szCs w:val="24"/>
        </w:rPr>
        <w:t xml:space="preserve">Si bien la Contaduría agendo acompañamiento el día 03 de enero de 2025, para analizar la solicitud de la entidad, se pudo constatar que el caso fue reasignado a otro analista, razón por la cual fue necesario comentar todos los antecedentes del caso para que nuevamente quedará pendiente respuesta por parte de ente rector, sobre la materia. </w:t>
      </w:r>
      <w:r w:rsidRPr="0090625B">
        <w:rPr>
          <w:rFonts w:ascii="Arial" w:hAnsi="Arial" w:cs="Arial"/>
          <w:b/>
          <w:bCs/>
          <w:sz w:val="24"/>
          <w:szCs w:val="24"/>
          <w:u w:val="single"/>
        </w:rPr>
        <w:t>Al corte del presente informe no se recibió respuesta definitiva por parte de la Contaduría General de la Nación.</w:t>
      </w:r>
    </w:p>
    <w:p w14:paraId="00EAC01A" w14:textId="77777777" w:rsidR="006621BE" w:rsidRPr="0090625B" w:rsidRDefault="006621BE" w:rsidP="003769C9">
      <w:pPr>
        <w:pStyle w:val="Textoindependiente"/>
        <w:ind w:left="-284" w:right="-234"/>
        <w:jc w:val="both"/>
        <w:rPr>
          <w:rFonts w:ascii="Arial" w:hAnsi="Arial" w:cs="Arial"/>
          <w:b/>
          <w:bCs/>
          <w:sz w:val="24"/>
          <w:szCs w:val="24"/>
          <w:u w:val="single"/>
        </w:rPr>
      </w:pPr>
    </w:p>
    <w:p w14:paraId="48D86908" w14:textId="77777777" w:rsidR="006621BE" w:rsidRPr="0090625B" w:rsidRDefault="006621BE" w:rsidP="003769C9">
      <w:pPr>
        <w:pStyle w:val="Textoindependiente"/>
        <w:ind w:left="-284" w:right="-234"/>
        <w:jc w:val="both"/>
        <w:rPr>
          <w:rFonts w:ascii="Arial" w:hAnsi="Arial" w:cs="Arial"/>
          <w:b/>
          <w:bCs/>
          <w:sz w:val="24"/>
          <w:szCs w:val="24"/>
        </w:rPr>
      </w:pPr>
      <w:r w:rsidRPr="0090625B">
        <w:rPr>
          <w:rFonts w:ascii="Arial" w:hAnsi="Arial" w:cs="Arial"/>
          <w:b/>
          <w:bCs/>
          <w:sz w:val="24"/>
          <w:szCs w:val="24"/>
        </w:rPr>
        <w:t>LIMITACIONES DE TIPO ADMINISTRATIVO.</w:t>
      </w:r>
    </w:p>
    <w:p w14:paraId="31422B9B" w14:textId="77777777" w:rsidR="006621BE" w:rsidRPr="0090625B" w:rsidRDefault="006621BE" w:rsidP="003769C9">
      <w:pPr>
        <w:pStyle w:val="Textoindependiente"/>
        <w:ind w:left="-284" w:right="-234"/>
        <w:jc w:val="both"/>
        <w:rPr>
          <w:rFonts w:ascii="Arial" w:hAnsi="Arial" w:cs="Arial"/>
          <w:sz w:val="24"/>
          <w:szCs w:val="24"/>
        </w:rPr>
      </w:pPr>
    </w:p>
    <w:p w14:paraId="528F9420"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b/>
          <w:bCs/>
          <w:sz w:val="24"/>
          <w:szCs w:val="24"/>
        </w:rPr>
        <w:t>Oportunidad en Insumos:</w:t>
      </w:r>
      <w:r w:rsidRPr="0090625B">
        <w:rPr>
          <w:rFonts w:ascii="Arial" w:hAnsi="Arial" w:cs="Arial"/>
          <w:sz w:val="24"/>
          <w:szCs w:val="24"/>
        </w:rPr>
        <w:t xml:space="preserve"> Si bien es cierto que la Entidad cuenta con el Manual de Políticas Contables, políticas de operación, así como diferentes documentos de lineamientos internos que reiteran a las dependencias la obligatoriedad de remitir oportunamente a la Subdirección Financiera todos los documentos que tengan efecto contable, dicha información no siempre fluye de manera expedita, razón por la cual, la Subdirección Financiera debe insistir en ello de manera reiterada, para lograr dicho objetivo. </w:t>
      </w:r>
      <w:r w:rsidRPr="0090625B">
        <w:rPr>
          <w:rFonts w:ascii="Arial" w:hAnsi="Arial" w:cs="Arial"/>
          <w:b/>
          <w:bCs/>
          <w:sz w:val="24"/>
          <w:szCs w:val="24"/>
          <w:u w:val="single"/>
        </w:rPr>
        <w:t>En muchas ocasiones, las dependencias proveedoras de información, no reciben oportunamente los insumos para la remisión de los soportes que den cuenta del adecuado registro en la contabilidad</w:t>
      </w:r>
      <w:r w:rsidRPr="0090625B">
        <w:rPr>
          <w:rFonts w:ascii="Arial" w:hAnsi="Arial" w:cs="Arial"/>
          <w:sz w:val="24"/>
          <w:szCs w:val="24"/>
        </w:rPr>
        <w:t>.</w:t>
      </w:r>
    </w:p>
    <w:p w14:paraId="69328004" w14:textId="77777777" w:rsidR="006621BE" w:rsidRPr="0090625B" w:rsidRDefault="006621BE" w:rsidP="003769C9">
      <w:pPr>
        <w:pStyle w:val="Textoindependiente"/>
        <w:ind w:left="-284" w:right="-234"/>
        <w:jc w:val="both"/>
        <w:rPr>
          <w:rFonts w:ascii="Arial" w:hAnsi="Arial" w:cs="Arial"/>
          <w:sz w:val="24"/>
          <w:szCs w:val="24"/>
        </w:rPr>
      </w:pPr>
    </w:p>
    <w:p w14:paraId="516604F9"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sz w:val="24"/>
          <w:szCs w:val="24"/>
        </w:rPr>
        <w:t>Cabe destacar que, a partir del cierre del mes de mayo de 2024, se estableció cronograma institucional para cierre mensual contable, el cual se difunde a través de correo electrónico a las partes involucradas en el proceso, identificando atrasos e incumplimientos del periodo anterior, como insumo en la medición del plan de acción institucional.</w:t>
      </w:r>
    </w:p>
    <w:p w14:paraId="51D9B765" w14:textId="77777777" w:rsidR="006621BE" w:rsidRPr="0090625B" w:rsidRDefault="006621BE" w:rsidP="003769C9">
      <w:pPr>
        <w:pStyle w:val="Textoindependiente"/>
        <w:ind w:left="-284" w:right="-234"/>
        <w:jc w:val="both"/>
        <w:rPr>
          <w:rFonts w:ascii="Arial" w:hAnsi="Arial" w:cs="Arial"/>
          <w:sz w:val="24"/>
          <w:szCs w:val="24"/>
        </w:rPr>
      </w:pPr>
    </w:p>
    <w:p w14:paraId="285D8FF5"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b/>
          <w:bCs/>
          <w:sz w:val="24"/>
          <w:szCs w:val="24"/>
        </w:rPr>
        <w:t>Personal de planta</w:t>
      </w:r>
      <w:r w:rsidRPr="0090625B">
        <w:rPr>
          <w:rFonts w:ascii="Arial" w:hAnsi="Arial" w:cs="Arial"/>
          <w:sz w:val="24"/>
          <w:szCs w:val="24"/>
        </w:rPr>
        <w:t xml:space="preserve">. La Comisión Nacional del Servicio Civil – CNSC y el Departamento Administrativo para la Prosperidad Social, expidieron el Acuerdo No. CNSC-59 del 10 de marzo de 2022, modificado mediante el acuerdo No. 339 del 2 de junio de 2022, por medio del cual se convocaron y se establecieron las reglas de Proceso de Selección, en las modalidades de Ascenso y Abierto, para proveer 526 empleos en vacancia definitiva pertenecientes al Sistema General de Carrera Administrativa de la planta de personal del Departamento Administrativo Para La Prosperidad Social - Proceso de Selección Entidades del Orden Nacional No. 2243 de 2022. </w:t>
      </w:r>
    </w:p>
    <w:p w14:paraId="286883EB" w14:textId="77777777" w:rsidR="006621BE" w:rsidRPr="0090625B" w:rsidRDefault="006621BE" w:rsidP="003769C9">
      <w:pPr>
        <w:pStyle w:val="Textoindependiente"/>
        <w:ind w:left="-284" w:right="-234"/>
        <w:jc w:val="both"/>
        <w:rPr>
          <w:rFonts w:ascii="Arial" w:hAnsi="Arial" w:cs="Arial"/>
          <w:sz w:val="24"/>
          <w:szCs w:val="24"/>
        </w:rPr>
      </w:pPr>
    </w:p>
    <w:p w14:paraId="4C99A703" w14:textId="77777777" w:rsidR="006621BE" w:rsidRPr="0090625B" w:rsidRDefault="006621BE" w:rsidP="003769C9">
      <w:pPr>
        <w:pStyle w:val="Textoindependiente"/>
        <w:ind w:left="-284" w:right="-234"/>
        <w:jc w:val="both"/>
        <w:rPr>
          <w:rFonts w:ascii="Arial" w:hAnsi="Arial" w:cs="Arial"/>
          <w:sz w:val="24"/>
          <w:szCs w:val="24"/>
        </w:rPr>
      </w:pPr>
      <w:r w:rsidRPr="0090625B">
        <w:rPr>
          <w:rFonts w:ascii="Arial" w:hAnsi="Arial" w:cs="Arial"/>
          <w:sz w:val="24"/>
          <w:szCs w:val="24"/>
        </w:rPr>
        <w:t xml:space="preserve">El normal desarrollo del concurso de méritos en cuestión ocasionó entre otros, la desvinculación del personal en provisionalidad y la renuncia anticipada de varios funcionarios con memoria histórica dentro de la entidad. Con respecto al GIT de Contabilidad, de los catorce (14) empleos que conforman el grupo, se cierra el año con diez (10) cargos provistos incluyendo cuatro (4) funcionarios </w:t>
      </w:r>
      <w:r w:rsidRPr="0090625B">
        <w:rPr>
          <w:rFonts w:ascii="Arial" w:hAnsi="Arial" w:cs="Arial"/>
          <w:sz w:val="24"/>
          <w:szCs w:val="24"/>
        </w:rPr>
        <w:lastRenderedPageBreak/>
        <w:t xml:space="preserve">con condiciones especiales de salud. </w:t>
      </w:r>
    </w:p>
    <w:p w14:paraId="3DA8F35C" w14:textId="77777777" w:rsidR="006621BE" w:rsidRDefault="006621BE" w:rsidP="003769C9">
      <w:pPr>
        <w:ind w:left="-284" w:right="-234"/>
        <w:jc w:val="both"/>
        <w:rPr>
          <w:rFonts w:ascii="Arial" w:hAnsi="Arial" w:cs="Arial"/>
          <w:b/>
          <w:sz w:val="24"/>
          <w:szCs w:val="24"/>
        </w:rPr>
      </w:pPr>
    </w:p>
    <w:p w14:paraId="158CDF06" w14:textId="77777777" w:rsidR="006621BE" w:rsidRPr="005F202B" w:rsidRDefault="006621BE" w:rsidP="003769C9">
      <w:pPr>
        <w:ind w:left="-284" w:right="-234"/>
        <w:jc w:val="both"/>
        <w:rPr>
          <w:rFonts w:ascii="Arial" w:hAnsi="Arial" w:cs="Arial"/>
          <w:b/>
          <w:sz w:val="28"/>
          <w:szCs w:val="28"/>
          <w:lang w:val="es-MX"/>
        </w:rPr>
      </w:pPr>
      <w:r w:rsidRPr="005F202B">
        <w:rPr>
          <w:rFonts w:ascii="Arial" w:hAnsi="Arial" w:cs="Arial"/>
          <w:b/>
          <w:sz w:val="28"/>
          <w:szCs w:val="28"/>
          <w:lang w:val="es-MX"/>
        </w:rPr>
        <w:t>106.- UNIDAD DE PLANEACIÓN DE INFRAESTRUCTURA DE TRANSPORTE - UPIT.</w:t>
      </w:r>
    </w:p>
    <w:p w14:paraId="5854B169" w14:textId="77777777" w:rsidR="006621BE" w:rsidRDefault="006621BE" w:rsidP="003769C9">
      <w:pPr>
        <w:ind w:left="-284" w:right="-234"/>
        <w:jc w:val="both"/>
        <w:rPr>
          <w:rFonts w:ascii="Arial" w:hAnsi="Arial" w:cs="Arial"/>
          <w:b/>
          <w:sz w:val="24"/>
          <w:szCs w:val="24"/>
          <w:lang w:val="es-MX"/>
        </w:rPr>
      </w:pPr>
    </w:p>
    <w:p w14:paraId="4426E6E1" w14:textId="77777777" w:rsidR="006621BE" w:rsidRPr="00EF67E1" w:rsidRDefault="006621BE" w:rsidP="003769C9">
      <w:pPr>
        <w:pStyle w:val="Textoindependiente"/>
        <w:ind w:left="-284" w:right="-234"/>
        <w:jc w:val="both"/>
        <w:rPr>
          <w:rFonts w:ascii="Arial" w:hAnsi="Arial" w:cs="Arial"/>
          <w:sz w:val="24"/>
          <w:szCs w:val="24"/>
        </w:rPr>
      </w:pPr>
      <w:r w:rsidRPr="00EF67E1">
        <w:rPr>
          <w:rFonts w:ascii="Arial" w:hAnsi="Arial" w:cs="Arial"/>
          <w:b/>
          <w:bCs/>
          <w:sz w:val="24"/>
          <w:szCs w:val="24"/>
        </w:rPr>
        <w:t xml:space="preserve">Declaración de cumplimiento del marco normativo y limitaciones. </w:t>
      </w:r>
      <w:r w:rsidRPr="00EF67E1">
        <w:rPr>
          <w:rFonts w:ascii="Arial" w:hAnsi="Arial" w:cs="Arial"/>
          <w:sz w:val="24"/>
          <w:szCs w:val="24"/>
        </w:rPr>
        <w:t xml:space="preserve">La Unidad de Planeación de infraestructura de Transporte prepara sus estados financieros de acuerdo con lo establecido en el marco normativo para entidades del gobierno adoptado mediante Resolución 533 de 2015 y sus debidas actualizaciones expedidas por la Contaduría General de la Nación , adicionalmente, el software de información financiera utilizado es SIIF Nación de propiedad del Ministerio de Hacienda y crédito Público, por lo cual se rige bajo las parametrizaciones y actualizaciones del Ministerio. </w:t>
      </w:r>
      <w:r w:rsidRPr="00EF67E1">
        <w:rPr>
          <w:rFonts w:ascii="Arial" w:hAnsi="Arial" w:cs="Arial"/>
          <w:sz w:val="24"/>
          <w:szCs w:val="24"/>
          <w:u w:val="single"/>
        </w:rPr>
        <w:t>Sin embargo, las limitaciones presentadas con el aplicativo SIIF corresponden a que, no cuenta con los módulos de nómina, almacén y no se tiene interoperabilidad con el aplicativo de nómina lo cual limita las actividades de seguimiento y revisión, lo que conlleva a realizar registros manuales en SIIF Nación</w:t>
      </w:r>
      <w:r w:rsidRPr="00EF67E1">
        <w:rPr>
          <w:rFonts w:ascii="Arial" w:hAnsi="Arial" w:cs="Arial"/>
          <w:sz w:val="24"/>
          <w:szCs w:val="24"/>
        </w:rPr>
        <w:t>.</w:t>
      </w:r>
    </w:p>
    <w:p w14:paraId="2374287F" w14:textId="77777777" w:rsidR="006621BE" w:rsidRDefault="006621BE" w:rsidP="003769C9">
      <w:pPr>
        <w:ind w:left="-284" w:right="-234"/>
        <w:jc w:val="both"/>
        <w:rPr>
          <w:rFonts w:ascii="Arial" w:hAnsi="Arial" w:cs="Arial"/>
          <w:b/>
          <w:sz w:val="24"/>
          <w:szCs w:val="24"/>
        </w:rPr>
      </w:pPr>
    </w:p>
    <w:p w14:paraId="3A42530C" w14:textId="77777777" w:rsidR="006621BE" w:rsidRPr="00520845" w:rsidRDefault="006621BE" w:rsidP="003769C9">
      <w:pPr>
        <w:ind w:left="-284" w:right="-234"/>
        <w:jc w:val="both"/>
        <w:rPr>
          <w:rFonts w:ascii="Arial" w:hAnsi="Arial" w:cs="Arial"/>
          <w:b/>
          <w:sz w:val="28"/>
          <w:szCs w:val="28"/>
          <w:lang w:val="es-MX"/>
        </w:rPr>
      </w:pPr>
      <w:r w:rsidRPr="00520845">
        <w:rPr>
          <w:rFonts w:ascii="Arial" w:hAnsi="Arial" w:cs="Arial"/>
          <w:b/>
          <w:sz w:val="28"/>
          <w:szCs w:val="28"/>
          <w:lang w:val="es-MX"/>
        </w:rPr>
        <w:t xml:space="preserve">109.- INSTITUTO TOLIMENSE DE FORMACIÓN TÉCNICA PROFESIONAL – ITFIP. </w:t>
      </w:r>
    </w:p>
    <w:p w14:paraId="1D78D511" w14:textId="77777777" w:rsidR="006621BE" w:rsidRDefault="006621BE" w:rsidP="006621BE">
      <w:pPr>
        <w:ind w:left="-284" w:right="-234"/>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520845" w14:paraId="7A81B243" w14:textId="77777777" w:rsidTr="003769C9">
        <w:tc>
          <w:tcPr>
            <w:tcW w:w="993" w:type="dxa"/>
          </w:tcPr>
          <w:p w14:paraId="3F92C19F"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N°</w:t>
            </w:r>
          </w:p>
        </w:tc>
        <w:tc>
          <w:tcPr>
            <w:tcW w:w="4253" w:type="dxa"/>
          </w:tcPr>
          <w:p w14:paraId="7C1ABF6F"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Limitaciones del Sistema SIIF II Nación a 31/12/2024</w:t>
            </w:r>
          </w:p>
          <w:p w14:paraId="292EFAE3" w14:textId="77777777" w:rsidR="006621BE" w:rsidRPr="00520845" w:rsidRDefault="006621BE" w:rsidP="00EF5AF2">
            <w:pPr>
              <w:tabs>
                <w:tab w:val="left" w:pos="875"/>
              </w:tabs>
              <w:ind w:right="-50"/>
              <w:jc w:val="center"/>
              <w:rPr>
                <w:rFonts w:ascii="Arial" w:hAnsi="Arial" w:cs="Arial"/>
                <w:b/>
              </w:rPr>
            </w:pPr>
          </w:p>
        </w:tc>
        <w:tc>
          <w:tcPr>
            <w:tcW w:w="5244" w:type="dxa"/>
          </w:tcPr>
          <w:p w14:paraId="0A5BB028"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Descripción de la limitación</w:t>
            </w:r>
          </w:p>
        </w:tc>
      </w:tr>
      <w:tr w:rsidR="006621BE" w:rsidRPr="00520845" w14:paraId="4A35594B" w14:textId="77777777" w:rsidTr="003769C9">
        <w:tc>
          <w:tcPr>
            <w:tcW w:w="993" w:type="dxa"/>
          </w:tcPr>
          <w:p w14:paraId="5CA0BC55"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1</w:t>
            </w:r>
          </w:p>
        </w:tc>
        <w:tc>
          <w:tcPr>
            <w:tcW w:w="4253" w:type="dxa"/>
          </w:tcPr>
          <w:p w14:paraId="1D65FCCC" w14:textId="77777777" w:rsidR="006621BE" w:rsidRPr="00520845" w:rsidRDefault="006621BE" w:rsidP="00EF5AF2">
            <w:pPr>
              <w:tabs>
                <w:tab w:val="left" w:pos="875"/>
              </w:tabs>
              <w:ind w:right="-50"/>
              <w:jc w:val="both"/>
              <w:rPr>
                <w:rFonts w:ascii="Arial" w:hAnsi="Arial" w:cs="Arial"/>
                <w:b/>
              </w:rPr>
            </w:pPr>
            <w:r w:rsidRPr="00520845">
              <w:rPr>
                <w:rFonts w:ascii="Arial" w:hAnsi="Arial" w:cs="Arial"/>
                <w:b/>
              </w:rPr>
              <w:t>Administrativas:</w:t>
            </w:r>
          </w:p>
        </w:tc>
        <w:tc>
          <w:tcPr>
            <w:tcW w:w="5244" w:type="dxa"/>
          </w:tcPr>
          <w:p w14:paraId="6C9FD182" w14:textId="77777777" w:rsidR="006621BE" w:rsidRPr="00520845" w:rsidRDefault="006621BE" w:rsidP="00EF5AF2">
            <w:pPr>
              <w:tabs>
                <w:tab w:val="left" w:pos="875"/>
              </w:tabs>
              <w:ind w:right="-50"/>
              <w:jc w:val="both"/>
              <w:rPr>
                <w:rFonts w:ascii="Arial" w:hAnsi="Arial" w:cs="Arial"/>
              </w:rPr>
            </w:pPr>
            <w:r w:rsidRPr="00520845">
              <w:rPr>
                <w:rFonts w:ascii="Arial" w:hAnsi="Arial" w:cs="Arial"/>
              </w:rPr>
              <w:t>Se dio aplicabilidad al perfil supervisor Aprobación Factura Electrónica, en la plataforma del SIIF, se autorizan las facturas de los contratistas y proveedores.</w:t>
            </w:r>
          </w:p>
        </w:tc>
      </w:tr>
      <w:tr w:rsidR="006621BE" w:rsidRPr="00520845" w14:paraId="1015322C" w14:textId="77777777" w:rsidTr="003769C9">
        <w:tc>
          <w:tcPr>
            <w:tcW w:w="993" w:type="dxa"/>
          </w:tcPr>
          <w:p w14:paraId="7BAF6FD4"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2.</w:t>
            </w:r>
          </w:p>
        </w:tc>
        <w:tc>
          <w:tcPr>
            <w:tcW w:w="4253" w:type="dxa"/>
          </w:tcPr>
          <w:p w14:paraId="14621333" w14:textId="77777777" w:rsidR="006621BE" w:rsidRPr="00520845" w:rsidRDefault="006621BE" w:rsidP="00EF5AF2">
            <w:pPr>
              <w:tabs>
                <w:tab w:val="left" w:pos="875"/>
              </w:tabs>
              <w:ind w:right="-50"/>
              <w:jc w:val="both"/>
              <w:rPr>
                <w:rFonts w:ascii="Arial" w:hAnsi="Arial" w:cs="Arial"/>
                <w:b/>
              </w:rPr>
            </w:pPr>
            <w:r w:rsidRPr="00520845">
              <w:rPr>
                <w:rFonts w:ascii="Arial" w:hAnsi="Arial" w:cs="Arial"/>
                <w:b/>
              </w:rPr>
              <w:t>Académicas</w:t>
            </w:r>
          </w:p>
        </w:tc>
        <w:tc>
          <w:tcPr>
            <w:tcW w:w="5244" w:type="dxa"/>
          </w:tcPr>
          <w:p w14:paraId="118756AF" w14:textId="77777777" w:rsidR="006621BE" w:rsidRPr="00520845" w:rsidRDefault="006621BE" w:rsidP="00EF5AF2">
            <w:pPr>
              <w:tabs>
                <w:tab w:val="left" w:pos="875"/>
              </w:tabs>
              <w:ind w:right="-50"/>
              <w:jc w:val="both"/>
              <w:rPr>
                <w:rFonts w:ascii="Arial" w:hAnsi="Arial" w:cs="Arial"/>
              </w:rPr>
            </w:pPr>
            <w:r w:rsidRPr="00520845">
              <w:rPr>
                <w:rFonts w:ascii="Arial" w:hAnsi="Arial" w:cs="Arial"/>
              </w:rPr>
              <w:t>Se requieren más capacitaciones Normas contables por parte de la Contaduría General de la Nación.</w:t>
            </w:r>
          </w:p>
        </w:tc>
      </w:tr>
      <w:tr w:rsidR="006621BE" w:rsidRPr="00520845" w14:paraId="5BBE9B5D" w14:textId="77777777" w:rsidTr="003769C9">
        <w:tc>
          <w:tcPr>
            <w:tcW w:w="993" w:type="dxa"/>
          </w:tcPr>
          <w:p w14:paraId="1832771C"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3</w:t>
            </w:r>
          </w:p>
        </w:tc>
        <w:tc>
          <w:tcPr>
            <w:tcW w:w="4253" w:type="dxa"/>
          </w:tcPr>
          <w:p w14:paraId="63103EB1" w14:textId="77777777" w:rsidR="006621BE" w:rsidRPr="00520845" w:rsidRDefault="006621BE" w:rsidP="00EF5AF2">
            <w:pPr>
              <w:tabs>
                <w:tab w:val="left" w:pos="875"/>
              </w:tabs>
              <w:ind w:right="-50"/>
              <w:jc w:val="both"/>
              <w:rPr>
                <w:rFonts w:ascii="Arial" w:hAnsi="Arial" w:cs="Arial"/>
                <w:b/>
              </w:rPr>
            </w:pPr>
            <w:r w:rsidRPr="00520845">
              <w:rPr>
                <w:rFonts w:ascii="Arial" w:hAnsi="Arial" w:cs="Arial"/>
                <w:b/>
              </w:rPr>
              <w:t>Técnicas:</w:t>
            </w:r>
          </w:p>
        </w:tc>
        <w:tc>
          <w:tcPr>
            <w:tcW w:w="5244" w:type="dxa"/>
          </w:tcPr>
          <w:p w14:paraId="0141FE1F" w14:textId="77777777" w:rsidR="006621BE" w:rsidRPr="00520845" w:rsidRDefault="006621BE" w:rsidP="00EF5AF2">
            <w:pPr>
              <w:tabs>
                <w:tab w:val="left" w:pos="875"/>
              </w:tabs>
              <w:ind w:right="-50"/>
              <w:jc w:val="both"/>
              <w:rPr>
                <w:rFonts w:ascii="Arial" w:hAnsi="Arial" w:cs="Arial"/>
              </w:rPr>
            </w:pPr>
            <w:r w:rsidRPr="00520845">
              <w:rPr>
                <w:rFonts w:ascii="Arial" w:hAnsi="Arial" w:cs="Arial"/>
              </w:rPr>
              <w:t>No recuperan los tiempos que se pierden cuando están realizando las actualizaciones al Sistema. Demora en algunas veces en responder los incidentes generados.</w:t>
            </w:r>
          </w:p>
        </w:tc>
      </w:tr>
      <w:tr w:rsidR="006621BE" w:rsidRPr="00520845" w14:paraId="64C15FAA" w14:textId="77777777" w:rsidTr="003769C9">
        <w:tc>
          <w:tcPr>
            <w:tcW w:w="993" w:type="dxa"/>
          </w:tcPr>
          <w:p w14:paraId="3A5B3027"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4.</w:t>
            </w:r>
          </w:p>
        </w:tc>
        <w:tc>
          <w:tcPr>
            <w:tcW w:w="4253" w:type="dxa"/>
          </w:tcPr>
          <w:p w14:paraId="575326A7" w14:textId="77777777" w:rsidR="006621BE" w:rsidRPr="00520845" w:rsidRDefault="006621BE" w:rsidP="00EF5AF2">
            <w:pPr>
              <w:tabs>
                <w:tab w:val="left" w:pos="875"/>
              </w:tabs>
              <w:ind w:right="-50"/>
              <w:jc w:val="both"/>
              <w:rPr>
                <w:rFonts w:ascii="Arial" w:hAnsi="Arial" w:cs="Arial"/>
                <w:b/>
              </w:rPr>
            </w:pPr>
            <w:r w:rsidRPr="00520845">
              <w:rPr>
                <w:rFonts w:ascii="Arial" w:hAnsi="Arial" w:cs="Arial"/>
                <w:b/>
              </w:rPr>
              <w:t>Operativas:</w:t>
            </w:r>
          </w:p>
        </w:tc>
        <w:tc>
          <w:tcPr>
            <w:tcW w:w="5244" w:type="dxa"/>
          </w:tcPr>
          <w:p w14:paraId="2BFEB062" w14:textId="77777777" w:rsidR="006621BE" w:rsidRPr="00520845" w:rsidRDefault="006621BE" w:rsidP="00EF5AF2">
            <w:pPr>
              <w:tabs>
                <w:tab w:val="left" w:pos="875"/>
              </w:tabs>
              <w:ind w:right="-50"/>
              <w:jc w:val="both"/>
              <w:rPr>
                <w:rFonts w:ascii="Arial" w:hAnsi="Arial" w:cs="Arial"/>
              </w:rPr>
            </w:pPr>
            <w:r w:rsidRPr="00520845">
              <w:rPr>
                <w:rFonts w:ascii="Arial" w:hAnsi="Arial" w:cs="Arial"/>
              </w:rPr>
              <w:t>No cuenta con el módulo de inventarios; asignar fechas de restricción para el cargue los extractos por el perfil pagador. Se registran los egresos de la caja menor por terceros, no hace el efecto contable por el tercero, lo lleva al NIT de la Entidad-ITFIP.</w:t>
            </w:r>
          </w:p>
        </w:tc>
      </w:tr>
      <w:tr w:rsidR="006621BE" w:rsidRPr="00520845" w14:paraId="50A38404" w14:textId="77777777" w:rsidTr="003769C9">
        <w:tc>
          <w:tcPr>
            <w:tcW w:w="993" w:type="dxa"/>
          </w:tcPr>
          <w:p w14:paraId="697FE235"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5.</w:t>
            </w:r>
          </w:p>
        </w:tc>
        <w:tc>
          <w:tcPr>
            <w:tcW w:w="4253" w:type="dxa"/>
          </w:tcPr>
          <w:p w14:paraId="6A160935" w14:textId="77777777" w:rsidR="006621BE" w:rsidRPr="00520845" w:rsidRDefault="006621BE" w:rsidP="00EF5AF2">
            <w:pPr>
              <w:tabs>
                <w:tab w:val="left" w:pos="875"/>
              </w:tabs>
              <w:ind w:right="-50"/>
              <w:jc w:val="both"/>
              <w:rPr>
                <w:rFonts w:ascii="Arial" w:hAnsi="Arial" w:cs="Arial"/>
                <w:b/>
              </w:rPr>
            </w:pPr>
            <w:r w:rsidRPr="00520845">
              <w:rPr>
                <w:rFonts w:ascii="Arial" w:hAnsi="Arial" w:cs="Arial"/>
                <w:b/>
              </w:rPr>
              <w:t>Presupuestales</w:t>
            </w:r>
          </w:p>
        </w:tc>
        <w:tc>
          <w:tcPr>
            <w:tcW w:w="5244" w:type="dxa"/>
          </w:tcPr>
          <w:p w14:paraId="6A6C1D0E" w14:textId="77777777" w:rsidR="006621BE" w:rsidRPr="00520845" w:rsidRDefault="006621BE" w:rsidP="00EF5AF2">
            <w:pPr>
              <w:tabs>
                <w:tab w:val="left" w:pos="875"/>
              </w:tabs>
              <w:ind w:right="-50"/>
              <w:jc w:val="both"/>
              <w:rPr>
                <w:rFonts w:ascii="Arial" w:hAnsi="Arial" w:cs="Arial"/>
              </w:rPr>
            </w:pPr>
            <w:r w:rsidRPr="00520845">
              <w:rPr>
                <w:rFonts w:ascii="Arial" w:hAnsi="Arial" w:cs="Arial"/>
              </w:rPr>
              <w:t>Desagregar más el catálogo en cuanto a los usos presupuestales.</w:t>
            </w:r>
          </w:p>
        </w:tc>
      </w:tr>
      <w:tr w:rsidR="006621BE" w:rsidRPr="00520845" w14:paraId="34A3B20A" w14:textId="77777777" w:rsidTr="003769C9">
        <w:tc>
          <w:tcPr>
            <w:tcW w:w="993" w:type="dxa"/>
          </w:tcPr>
          <w:p w14:paraId="2C0C76CE" w14:textId="77777777" w:rsidR="006621BE" w:rsidRPr="00520845" w:rsidRDefault="006621BE" w:rsidP="00EF5AF2">
            <w:pPr>
              <w:tabs>
                <w:tab w:val="left" w:pos="875"/>
              </w:tabs>
              <w:ind w:right="-50"/>
              <w:jc w:val="center"/>
              <w:rPr>
                <w:rFonts w:ascii="Arial" w:hAnsi="Arial" w:cs="Arial"/>
                <w:b/>
              </w:rPr>
            </w:pPr>
            <w:r w:rsidRPr="00520845">
              <w:rPr>
                <w:rFonts w:ascii="Arial" w:hAnsi="Arial" w:cs="Arial"/>
                <w:b/>
              </w:rPr>
              <w:t>6.</w:t>
            </w:r>
          </w:p>
        </w:tc>
        <w:tc>
          <w:tcPr>
            <w:tcW w:w="4253" w:type="dxa"/>
          </w:tcPr>
          <w:p w14:paraId="75367F25" w14:textId="77777777" w:rsidR="006621BE" w:rsidRPr="00520845" w:rsidRDefault="006621BE" w:rsidP="00EF5AF2">
            <w:pPr>
              <w:tabs>
                <w:tab w:val="left" w:pos="875"/>
              </w:tabs>
              <w:ind w:right="-50"/>
              <w:jc w:val="both"/>
              <w:rPr>
                <w:rFonts w:ascii="Arial" w:hAnsi="Arial" w:cs="Arial"/>
                <w:b/>
              </w:rPr>
            </w:pPr>
            <w:r w:rsidRPr="00520845">
              <w:rPr>
                <w:rFonts w:ascii="Arial" w:hAnsi="Arial" w:cs="Arial"/>
                <w:b/>
              </w:rPr>
              <w:t>Otras:</w:t>
            </w:r>
          </w:p>
        </w:tc>
        <w:tc>
          <w:tcPr>
            <w:tcW w:w="5244" w:type="dxa"/>
          </w:tcPr>
          <w:p w14:paraId="46B8A521" w14:textId="77777777" w:rsidR="006621BE" w:rsidRPr="00520845" w:rsidRDefault="006621BE" w:rsidP="00EF5AF2">
            <w:pPr>
              <w:tabs>
                <w:tab w:val="left" w:pos="875"/>
              </w:tabs>
              <w:ind w:right="-50"/>
              <w:jc w:val="both"/>
              <w:rPr>
                <w:rFonts w:ascii="Arial" w:hAnsi="Arial" w:cs="Arial"/>
              </w:rPr>
            </w:pPr>
            <w:r w:rsidRPr="00520845">
              <w:rPr>
                <w:rFonts w:ascii="Arial" w:hAnsi="Arial" w:cs="Arial"/>
              </w:rPr>
              <w:t>No contamos en el Sistema para carga masiva de obligaciones, en algunas veces el Sistema colapsa, el día de los cierres mensuales el sistema se vuelve lento más de lo normal.</w:t>
            </w:r>
          </w:p>
        </w:tc>
      </w:tr>
    </w:tbl>
    <w:p w14:paraId="06F1F550" w14:textId="77777777" w:rsidR="006621BE" w:rsidRDefault="006621BE" w:rsidP="006621BE">
      <w:pPr>
        <w:ind w:left="-284" w:right="-234"/>
        <w:jc w:val="both"/>
        <w:rPr>
          <w:rFonts w:ascii="Arial" w:hAnsi="Arial" w:cs="Arial"/>
          <w:b/>
          <w:sz w:val="24"/>
          <w:szCs w:val="24"/>
        </w:rPr>
      </w:pPr>
    </w:p>
    <w:p w14:paraId="0B5CC313" w14:textId="344F58E4" w:rsidR="006621BE" w:rsidRDefault="006621BE" w:rsidP="006621BE">
      <w:pPr>
        <w:ind w:left="-284"/>
        <w:jc w:val="both"/>
        <w:rPr>
          <w:rFonts w:ascii="Arial" w:hAnsi="Arial" w:cs="Arial"/>
          <w:b/>
          <w:sz w:val="28"/>
          <w:szCs w:val="28"/>
          <w:lang w:val="es-MX"/>
        </w:rPr>
      </w:pPr>
      <w:bookmarkStart w:id="17" w:name="_Hlk199245528"/>
      <w:r w:rsidRPr="00F10E2C">
        <w:rPr>
          <w:rFonts w:ascii="Arial" w:hAnsi="Arial" w:cs="Arial"/>
          <w:b/>
          <w:sz w:val="28"/>
          <w:szCs w:val="28"/>
          <w:lang w:val="es-MX"/>
        </w:rPr>
        <w:t xml:space="preserve">112.- </w:t>
      </w:r>
      <w:r w:rsidRPr="00F10E2C">
        <w:rPr>
          <w:rFonts w:ascii="Arial" w:hAnsi="Arial" w:cs="Arial"/>
          <w:b/>
          <w:sz w:val="28"/>
          <w:szCs w:val="28"/>
        </w:rPr>
        <w:t>FONDO ROTATORIO DE LA POLICÍA NACIONAL</w:t>
      </w:r>
      <w:r w:rsidRPr="00F10E2C">
        <w:rPr>
          <w:rFonts w:ascii="Arial" w:hAnsi="Arial" w:cs="Arial"/>
          <w:b/>
          <w:sz w:val="28"/>
          <w:szCs w:val="28"/>
          <w:lang w:val="es-MX"/>
        </w:rPr>
        <w:t>.</w:t>
      </w:r>
    </w:p>
    <w:p w14:paraId="6311DFBE" w14:textId="77777777" w:rsidR="003769C9" w:rsidRPr="00F10E2C" w:rsidRDefault="003769C9" w:rsidP="006621BE">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F10E2C" w14:paraId="6D041104" w14:textId="77777777" w:rsidTr="003769C9">
        <w:tc>
          <w:tcPr>
            <w:tcW w:w="993" w:type="dxa"/>
          </w:tcPr>
          <w:bookmarkEnd w:id="17"/>
          <w:p w14:paraId="25019EA4" w14:textId="77777777" w:rsidR="006621BE" w:rsidRPr="00F10E2C" w:rsidRDefault="006621BE" w:rsidP="00EF5AF2">
            <w:pPr>
              <w:tabs>
                <w:tab w:val="left" w:pos="875"/>
              </w:tabs>
              <w:ind w:right="-50"/>
              <w:jc w:val="center"/>
              <w:rPr>
                <w:rFonts w:ascii="Arial" w:hAnsi="Arial" w:cs="Arial"/>
                <w:b/>
              </w:rPr>
            </w:pPr>
            <w:r w:rsidRPr="00F10E2C">
              <w:rPr>
                <w:rFonts w:ascii="Arial" w:hAnsi="Arial" w:cs="Arial"/>
                <w:b/>
              </w:rPr>
              <w:t>N°</w:t>
            </w:r>
          </w:p>
        </w:tc>
        <w:tc>
          <w:tcPr>
            <w:tcW w:w="4253" w:type="dxa"/>
          </w:tcPr>
          <w:p w14:paraId="479F512B" w14:textId="77777777" w:rsidR="006621BE" w:rsidRDefault="006621BE" w:rsidP="003769C9">
            <w:pPr>
              <w:tabs>
                <w:tab w:val="left" w:pos="875"/>
              </w:tabs>
              <w:ind w:right="-50"/>
              <w:jc w:val="center"/>
              <w:rPr>
                <w:rFonts w:ascii="Arial" w:hAnsi="Arial" w:cs="Arial"/>
                <w:b/>
              </w:rPr>
            </w:pPr>
            <w:r w:rsidRPr="00F10E2C">
              <w:rPr>
                <w:rFonts w:ascii="Arial" w:hAnsi="Arial" w:cs="Arial"/>
                <w:b/>
              </w:rPr>
              <w:t>Limitaciones del Sistema SIIF II Nación a 31/12/2024</w:t>
            </w:r>
          </w:p>
          <w:p w14:paraId="27B4AE36" w14:textId="3307A706" w:rsidR="003769C9" w:rsidRPr="00F10E2C" w:rsidRDefault="003769C9" w:rsidP="003769C9">
            <w:pPr>
              <w:tabs>
                <w:tab w:val="left" w:pos="875"/>
              </w:tabs>
              <w:ind w:right="-50"/>
              <w:jc w:val="center"/>
              <w:rPr>
                <w:rFonts w:ascii="Arial" w:hAnsi="Arial" w:cs="Arial"/>
                <w:b/>
              </w:rPr>
            </w:pPr>
          </w:p>
        </w:tc>
        <w:tc>
          <w:tcPr>
            <w:tcW w:w="5244" w:type="dxa"/>
          </w:tcPr>
          <w:p w14:paraId="598C0E0E" w14:textId="77777777" w:rsidR="006621BE" w:rsidRPr="00F10E2C" w:rsidRDefault="006621BE" w:rsidP="00EF5AF2">
            <w:pPr>
              <w:tabs>
                <w:tab w:val="left" w:pos="875"/>
              </w:tabs>
              <w:ind w:right="-50"/>
              <w:jc w:val="center"/>
              <w:rPr>
                <w:rFonts w:ascii="Arial" w:hAnsi="Arial" w:cs="Arial"/>
                <w:b/>
              </w:rPr>
            </w:pPr>
            <w:r w:rsidRPr="00F10E2C">
              <w:rPr>
                <w:rFonts w:ascii="Arial" w:hAnsi="Arial" w:cs="Arial"/>
                <w:b/>
              </w:rPr>
              <w:t>Descripción de la limitación</w:t>
            </w:r>
          </w:p>
        </w:tc>
      </w:tr>
      <w:tr w:rsidR="006621BE" w:rsidRPr="00F10E2C" w14:paraId="34BEA2D2" w14:textId="77777777" w:rsidTr="003769C9">
        <w:tc>
          <w:tcPr>
            <w:tcW w:w="993" w:type="dxa"/>
          </w:tcPr>
          <w:p w14:paraId="500DAFCD" w14:textId="77777777" w:rsidR="006621BE" w:rsidRPr="00F10E2C" w:rsidRDefault="006621BE" w:rsidP="00EF5AF2">
            <w:pPr>
              <w:tabs>
                <w:tab w:val="left" w:pos="875"/>
              </w:tabs>
              <w:ind w:right="-50"/>
              <w:jc w:val="center"/>
              <w:rPr>
                <w:rFonts w:ascii="Arial" w:hAnsi="Arial" w:cs="Arial"/>
                <w:b/>
              </w:rPr>
            </w:pPr>
            <w:r w:rsidRPr="00F10E2C">
              <w:rPr>
                <w:rFonts w:ascii="Arial" w:hAnsi="Arial" w:cs="Arial"/>
                <w:b/>
              </w:rPr>
              <w:t>1</w:t>
            </w:r>
          </w:p>
        </w:tc>
        <w:tc>
          <w:tcPr>
            <w:tcW w:w="4253" w:type="dxa"/>
          </w:tcPr>
          <w:p w14:paraId="381E344C" w14:textId="77777777" w:rsidR="006621BE" w:rsidRPr="00F10E2C" w:rsidRDefault="006621BE" w:rsidP="00EF5AF2">
            <w:pPr>
              <w:tabs>
                <w:tab w:val="left" w:pos="875"/>
              </w:tabs>
              <w:ind w:right="-50"/>
              <w:jc w:val="both"/>
              <w:rPr>
                <w:rFonts w:ascii="Arial" w:hAnsi="Arial" w:cs="Arial"/>
                <w:b/>
              </w:rPr>
            </w:pPr>
            <w:r w:rsidRPr="00F10E2C">
              <w:rPr>
                <w:rFonts w:ascii="Arial" w:hAnsi="Arial" w:cs="Arial"/>
                <w:b/>
              </w:rPr>
              <w:t>Soporte a la plataforma:</w:t>
            </w:r>
          </w:p>
        </w:tc>
        <w:tc>
          <w:tcPr>
            <w:tcW w:w="5244" w:type="dxa"/>
          </w:tcPr>
          <w:p w14:paraId="79C925DE" w14:textId="77777777" w:rsidR="006621BE" w:rsidRPr="00F10E2C" w:rsidRDefault="006621BE" w:rsidP="00EF5AF2">
            <w:pPr>
              <w:tabs>
                <w:tab w:val="left" w:pos="875"/>
              </w:tabs>
              <w:ind w:right="-50"/>
              <w:jc w:val="both"/>
              <w:rPr>
                <w:rFonts w:ascii="Arial" w:hAnsi="Arial" w:cs="Arial"/>
              </w:rPr>
            </w:pPr>
            <w:r w:rsidRPr="00F10E2C">
              <w:rPr>
                <w:rFonts w:ascii="Arial" w:hAnsi="Arial" w:cs="Arial"/>
              </w:rPr>
              <w:t>Se presentaron novedades en el acceso al aplicativo SIIF en diferentes tiempos de la vigencia 2024, para lo cual fue necesario crear incidentes a través de la mesa de ayuda de SIIF.</w:t>
            </w:r>
          </w:p>
        </w:tc>
      </w:tr>
    </w:tbl>
    <w:p w14:paraId="10791ECB" w14:textId="77777777" w:rsidR="006621BE" w:rsidRDefault="006621BE" w:rsidP="006621BE">
      <w:pPr>
        <w:ind w:left="-284" w:right="-234"/>
        <w:jc w:val="both"/>
        <w:rPr>
          <w:rFonts w:ascii="Arial" w:hAnsi="Arial" w:cs="Arial"/>
          <w:b/>
          <w:sz w:val="24"/>
          <w:szCs w:val="24"/>
        </w:rPr>
      </w:pPr>
    </w:p>
    <w:p w14:paraId="119F16AF" w14:textId="77777777" w:rsidR="006621BE" w:rsidRPr="00F10E2C" w:rsidRDefault="006621BE" w:rsidP="003769C9">
      <w:pPr>
        <w:pStyle w:val="Textoindependiente"/>
        <w:ind w:left="-284" w:right="-234"/>
        <w:jc w:val="both"/>
        <w:rPr>
          <w:rFonts w:ascii="Arial" w:hAnsi="Arial" w:cs="Arial"/>
          <w:b/>
          <w:sz w:val="24"/>
          <w:szCs w:val="24"/>
        </w:rPr>
      </w:pPr>
      <w:r w:rsidRPr="00F10E2C">
        <w:rPr>
          <w:rFonts w:ascii="Arial" w:hAnsi="Arial" w:cs="Arial"/>
          <w:b/>
          <w:sz w:val="24"/>
          <w:szCs w:val="24"/>
        </w:rPr>
        <w:t xml:space="preserve">-DE LAS NOTAS DE CARÁCTER GENERAL – Limitaciones y Deficiencias Generales de tipo </w:t>
      </w:r>
      <w:r w:rsidRPr="00F10E2C">
        <w:rPr>
          <w:rFonts w:ascii="Arial" w:hAnsi="Arial" w:cs="Arial"/>
          <w:b/>
          <w:sz w:val="24"/>
          <w:szCs w:val="24"/>
        </w:rPr>
        <w:lastRenderedPageBreak/>
        <w:t>Operativo o Administrativo que tiene impacto en el desarrollo normal del proceso o en la consistencia y razonabilidad de las cifras:</w:t>
      </w:r>
    </w:p>
    <w:p w14:paraId="1F35EF40" w14:textId="77777777" w:rsidR="006621BE" w:rsidRPr="00F10E2C" w:rsidRDefault="006621BE" w:rsidP="003769C9">
      <w:pPr>
        <w:pStyle w:val="Textoindependiente"/>
        <w:ind w:right="-234"/>
        <w:jc w:val="both"/>
        <w:rPr>
          <w:rFonts w:ascii="Arial" w:hAnsi="Arial" w:cs="Arial"/>
          <w:b/>
          <w:sz w:val="24"/>
          <w:szCs w:val="24"/>
        </w:rPr>
      </w:pPr>
    </w:p>
    <w:p w14:paraId="73281C26" w14:textId="77777777" w:rsidR="006621BE" w:rsidRPr="00F10E2C" w:rsidRDefault="006621BE" w:rsidP="00CB6055">
      <w:pPr>
        <w:pStyle w:val="Textoindependiente"/>
        <w:numPr>
          <w:ilvl w:val="0"/>
          <w:numId w:val="25"/>
        </w:numPr>
        <w:ind w:left="360" w:right="-234"/>
        <w:jc w:val="both"/>
        <w:rPr>
          <w:rFonts w:ascii="Arial" w:hAnsi="Arial" w:cs="Arial"/>
          <w:sz w:val="24"/>
          <w:szCs w:val="24"/>
        </w:rPr>
      </w:pPr>
      <w:r w:rsidRPr="00F10E2C">
        <w:rPr>
          <w:rFonts w:ascii="Arial" w:hAnsi="Arial" w:cs="Arial"/>
          <w:sz w:val="24"/>
          <w:szCs w:val="24"/>
        </w:rPr>
        <w:t xml:space="preserve">Sistema Integrado de Información Financiera SIIF – NACIÓN: Teniendo en cuenta que la Entidad a partir del año 2011 hace parte del ámbito de aplicación del Sistema Integrado de Información Financiera – SIIF- Nación, </w:t>
      </w:r>
      <w:r w:rsidRPr="00F10E2C">
        <w:rPr>
          <w:rFonts w:ascii="Arial" w:hAnsi="Arial" w:cs="Arial"/>
          <w:b/>
          <w:bCs/>
          <w:sz w:val="24"/>
          <w:szCs w:val="24"/>
          <w:u w:val="single"/>
        </w:rPr>
        <w:t>y que este no tiene previstos todos los módulos de la contabilidad, tales como nómina, inventarios, ejecución de convenios interadministrativos, entre otros ha sido necesario que FORPO, tenga que generar ajustes manuales a través del cargue de archivos planos</w:t>
      </w:r>
      <w:r w:rsidRPr="00F10E2C">
        <w:rPr>
          <w:rFonts w:ascii="Arial" w:hAnsi="Arial" w:cs="Arial"/>
          <w:sz w:val="24"/>
          <w:szCs w:val="24"/>
        </w:rPr>
        <w:t xml:space="preserve">. </w:t>
      </w:r>
    </w:p>
    <w:p w14:paraId="64CCDCF5" w14:textId="77777777" w:rsidR="006621BE" w:rsidRPr="00F10E2C" w:rsidRDefault="006621BE" w:rsidP="003769C9">
      <w:pPr>
        <w:pStyle w:val="Textoindependiente"/>
        <w:ind w:left="360" w:right="-234"/>
        <w:jc w:val="both"/>
        <w:rPr>
          <w:rFonts w:ascii="Arial" w:hAnsi="Arial" w:cs="Arial"/>
          <w:b/>
          <w:sz w:val="24"/>
          <w:szCs w:val="24"/>
        </w:rPr>
      </w:pPr>
    </w:p>
    <w:p w14:paraId="22458649" w14:textId="77777777" w:rsidR="006621BE" w:rsidRPr="00F10E2C" w:rsidRDefault="006621BE" w:rsidP="003769C9">
      <w:pPr>
        <w:pStyle w:val="Textoindependiente"/>
        <w:ind w:left="360" w:right="-234"/>
        <w:jc w:val="both"/>
        <w:rPr>
          <w:rFonts w:ascii="Arial" w:hAnsi="Arial" w:cs="Arial"/>
          <w:b/>
          <w:sz w:val="24"/>
          <w:szCs w:val="24"/>
        </w:rPr>
      </w:pPr>
      <w:r w:rsidRPr="00F10E2C">
        <w:rPr>
          <w:rFonts w:ascii="Arial" w:hAnsi="Arial" w:cs="Arial"/>
          <w:sz w:val="24"/>
          <w:szCs w:val="24"/>
        </w:rPr>
        <w:t>Igualmente debido a que la parametrización de la contabilidad se realiza a partir de los rubros presupuestales, y algunos de los que utiliza la entidad no cumplen con los parámetros contables, es necesario elaborar ajustes y reclasificaciones manuales para el respectivo cargue en el sistema SIIF NACIÓN.</w:t>
      </w:r>
    </w:p>
    <w:p w14:paraId="603D6BD8" w14:textId="77777777" w:rsidR="006621BE" w:rsidRDefault="006621BE" w:rsidP="006621BE">
      <w:pPr>
        <w:ind w:left="-284" w:right="-234"/>
        <w:jc w:val="both"/>
        <w:rPr>
          <w:rFonts w:ascii="Arial" w:hAnsi="Arial" w:cs="Arial"/>
          <w:b/>
          <w:sz w:val="24"/>
          <w:szCs w:val="24"/>
        </w:rPr>
      </w:pPr>
    </w:p>
    <w:p w14:paraId="2F5F28B1" w14:textId="77777777" w:rsidR="006621BE" w:rsidRPr="008515DE" w:rsidRDefault="006621BE" w:rsidP="006621BE">
      <w:pPr>
        <w:ind w:left="-284"/>
        <w:jc w:val="both"/>
        <w:rPr>
          <w:rFonts w:ascii="Arial" w:hAnsi="Arial" w:cs="Arial"/>
          <w:b/>
          <w:sz w:val="28"/>
          <w:szCs w:val="28"/>
          <w:lang w:val="es-MX"/>
        </w:rPr>
      </w:pPr>
      <w:r w:rsidRPr="008515DE">
        <w:rPr>
          <w:rFonts w:ascii="Arial" w:hAnsi="Arial" w:cs="Arial"/>
          <w:b/>
          <w:sz w:val="28"/>
          <w:szCs w:val="28"/>
          <w:lang w:val="es-MX"/>
        </w:rPr>
        <w:t>116.- ESCUELA SUPERIOR DE ADMINISTRACIÓN PÚBLICA - ESAP.</w:t>
      </w:r>
    </w:p>
    <w:p w14:paraId="70A8E55D" w14:textId="77777777" w:rsidR="006621BE" w:rsidRDefault="006621BE" w:rsidP="006621BE">
      <w:pPr>
        <w:ind w:left="-284" w:right="-234"/>
        <w:jc w:val="both"/>
        <w:rPr>
          <w:rFonts w:ascii="Arial" w:hAnsi="Arial" w:cs="Arial"/>
          <w:b/>
          <w:sz w:val="24"/>
          <w:szCs w:val="24"/>
        </w:rPr>
      </w:pPr>
    </w:p>
    <w:p w14:paraId="1A74238A" w14:textId="77777777" w:rsidR="006621BE" w:rsidRPr="008515DE" w:rsidRDefault="006621BE" w:rsidP="003769C9">
      <w:pPr>
        <w:pStyle w:val="Prrafodelista"/>
        <w:tabs>
          <w:tab w:val="left" w:pos="875"/>
        </w:tabs>
        <w:ind w:left="-284" w:right="-234"/>
        <w:jc w:val="both"/>
        <w:rPr>
          <w:rFonts w:ascii="Arial" w:hAnsi="Arial" w:cs="Arial"/>
          <w:sz w:val="24"/>
          <w:szCs w:val="24"/>
        </w:rPr>
      </w:pPr>
      <w:r w:rsidRPr="008515DE">
        <w:rPr>
          <w:rFonts w:ascii="Arial" w:hAnsi="Arial" w:cs="Arial"/>
          <w:sz w:val="24"/>
          <w:szCs w:val="24"/>
        </w:rPr>
        <w:t>El aplicativo SIIF NACIÓN II a pesar de no contar con la integralidad y la interoperabilidad de los aplicativos de nómina, propiedad planta y equipo y cartera, utilizados por la Escuela Superior de Administración Pública, ha mejorado en su operatividad y oportunidad de respuesta de cada uno de los procesos permitiendo eficacia en el seguimiento y control a la trazabilidad de las operaciones y transacciones generadas por este aplicativo</w:t>
      </w:r>
    </w:p>
    <w:p w14:paraId="74841742" w14:textId="77777777" w:rsidR="006621BE" w:rsidRPr="008515DE" w:rsidRDefault="006621BE" w:rsidP="006621BE">
      <w:pPr>
        <w:pStyle w:val="Prrafodelista"/>
        <w:tabs>
          <w:tab w:val="left" w:pos="875"/>
        </w:tabs>
        <w:ind w:left="-142" w:right="-50"/>
        <w:rPr>
          <w:rFonts w:ascii="Arial" w:hAnsi="Arial" w:cs="Arial"/>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8515DE" w14:paraId="7C9658D9" w14:textId="77777777" w:rsidTr="003769C9">
        <w:tc>
          <w:tcPr>
            <w:tcW w:w="993" w:type="dxa"/>
          </w:tcPr>
          <w:p w14:paraId="0A7D2CAD" w14:textId="77777777" w:rsidR="006621BE" w:rsidRPr="008515DE" w:rsidRDefault="006621BE" w:rsidP="00EF5AF2">
            <w:pPr>
              <w:tabs>
                <w:tab w:val="left" w:pos="875"/>
              </w:tabs>
              <w:ind w:right="-50"/>
              <w:jc w:val="center"/>
              <w:rPr>
                <w:rFonts w:ascii="Arial" w:hAnsi="Arial" w:cs="Arial"/>
                <w:b/>
              </w:rPr>
            </w:pPr>
            <w:r w:rsidRPr="008515DE">
              <w:rPr>
                <w:rFonts w:ascii="Arial" w:hAnsi="Arial" w:cs="Arial"/>
                <w:b/>
              </w:rPr>
              <w:t>N°</w:t>
            </w:r>
          </w:p>
        </w:tc>
        <w:tc>
          <w:tcPr>
            <w:tcW w:w="4253" w:type="dxa"/>
          </w:tcPr>
          <w:p w14:paraId="7F279953" w14:textId="77777777" w:rsidR="006621BE" w:rsidRPr="008515DE" w:rsidRDefault="006621BE" w:rsidP="00EF5AF2">
            <w:pPr>
              <w:tabs>
                <w:tab w:val="left" w:pos="875"/>
              </w:tabs>
              <w:ind w:right="-50"/>
              <w:jc w:val="center"/>
              <w:rPr>
                <w:rFonts w:ascii="Arial" w:hAnsi="Arial" w:cs="Arial"/>
                <w:b/>
              </w:rPr>
            </w:pPr>
            <w:r w:rsidRPr="008515DE">
              <w:rPr>
                <w:rFonts w:ascii="Arial" w:hAnsi="Arial" w:cs="Arial"/>
                <w:b/>
              </w:rPr>
              <w:t>Limitaciones del Sistema SIIF II Nación a 31/12/2024</w:t>
            </w:r>
          </w:p>
          <w:p w14:paraId="2D31F300" w14:textId="77777777" w:rsidR="006621BE" w:rsidRPr="008515DE" w:rsidRDefault="006621BE" w:rsidP="00EF5AF2">
            <w:pPr>
              <w:tabs>
                <w:tab w:val="left" w:pos="875"/>
              </w:tabs>
              <w:ind w:right="-50"/>
              <w:jc w:val="center"/>
              <w:rPr>
                <w:rFonts w:ascii="Arial" w:hAnsi="Arial" w:cs="Arial"/>
                <w:b/>
              </w:rPr>
            </w:pPr>
          </w:p>
        </w:tc>
        <w:tc>
          <w:tcPr>
            <w:tcW w:w="5244" w:type="dxa"/>
          </w:tcPr>
          <w:p w14:paraId="70440590" w14:textId="77777777" w:rsidR="006621BE" w:rsidRPr="008515DE" w:rsidRDefault="006621BE" w:rsidP="00EF5AF2">
            <w:pPr>
              <w:tabs>
                <w:tab w:val="left" w:pos="875"/>
              </w:tabs>
              <w:ind w:right="-50"/>
              <w:jc w:val="center"/>
              <w:rPr>
                <w:rFonts w:ascii="Arial" w:hAnsi="Arial" w:cs="Arial"/>
                <w:b/>
              </w:rPr>
            </w:pPr>
            <w:r w:rsidRPr="008515DE">
              <w:rPr>
                <w:rFonts w:ascii="Arial" w:hAnsi="Arial" w:cs="Arial"/>
                <w:b/>
              </w:rPr>
              <w:t>Descripción de la limitación</w:t>
            </w:r>
          </w:p>
        </w:tc>
      </w:tr>
      <w:tr w:rsidR="006621BE" w:rsidRPr="008515DE" w14:paraId="41262866" w14:textId="77777777" w:rsidTr="003769C9">
        <w:tc>
          <w:tcPr>
            <w:tcW w:w="993" w:type="dxa"/>
          </w:tcPr>
          <w:p w14:paraId="2EDB80A2" w14:textId="77777777" w:rsidR="006621BE" w:rsidRPr="008515DE" w:rsidRDefault="006621BE" w:rsidP="00EF5AF2">
            <w:pPr>
              <w:tabs>
                <w:tab w:val="left" w:pos="875"/>
              </w:tabs>
              <w:ind w:right="-50"/>
              <w:jc w:val="center"/>
              <w:rPr>
                <w:rFonts w:ascii="Arial" w:hAnsi="Arial" w:cs="Arial"/>
                <w:b/>
              </w:rPr>
            </w:pPr>
            <w:r w:rsidRPr="008515DE">
              <w:rPr>
                <w:rFonts w:ascii="Arial" w:hAnsi="Arial" w:cs="Arial"/>
                <w:b/>
              </w:rPr>
              <w:t>2</w:t>
            </w:r>
          </w:p>
        </w:tc>
        <w:tc>
          <w:tcPr>
            <w:tcW w:w="4253" w:type="dxa"/>
          </w:tcPr>
          <w:p w14:paraId="35E28DCF" w14:textId="77777777" w:rsidR="006621BE" w:rsidRPr="008515DE" w:rsidRDefault="006621BE" w:rsidP="00EF5AF2">
            <w:pPr>
              <w:tabs>
                <w:tab w:val="left" w:pos="875"/>
              </w:tabs>
              <w:ind w:right="-50"/>
              <w:jc w:val="both"/>
              <w:rPr>
                <w:rFonts w:ascii="Arial" w:hAnsi="Arial" w:cs="Arial"/>
                <w:b/>
              </w:rPr>
            </w:pPr>
            <w:r w:rsidRPr="008515DE">
              <w:rPr>
                <w:rFonts w:ascii="Arial" w:hAnsi="Arial" w:cs="Arial"/>
                <w:b/>
              </w:rPr>
              <w:t>Técnicas:</w:t>
            </w:r>
          </w:p>
        </w:tc>
        <w:tc>
          <w:tcPr>
            <w:tcW w:w="5244" w:type="dxa"/>
          </w:tcPr>
          <w:p w14:paraId="4F671890" w14:textId="77777777" w:rsidR="006621BE" w:rsidRPr="008515DE" w:rsidRDefault="006621BE" w:rsidP="00EF5AF2">
            <w:pPr>
              <w:tabs>
                <w:tab w:val="left" w:pos="875"/>
              </w:tabs>
              <w:ind w:right="-50"/>
              <w:jc w:val="both"/>
              <w:rPr>
                <w:rFonts w:ascii="Arial" w:hAnsi="Arial" w:cs="Arial"/>
              </w:rPr>
            </w:pPr>
            <w:r w:rsidRPr="008515DE">
              <w:rPr>
                <w:rFonts w:ascii="Arial" w:hAnsi="Arial" w:cs="Arial"/>
              </w:rPr>
              <w:t>Mantenimientos</w:t>
            </w:r>
          </w:p>
        </w:tc>
      </w:tr>
      <w:tr w:rsidR="006621BE" w:rsidRPr="008515DE" w14:paraId="710F427A" w14:textId="77777777" w:rsidTr="003769C9">
        <w:tc>
          <w:tcPr>
            <w:tcW w:w="993" w:type="dxa"/>
          </w:tcPr>
          <w:p w14:paraId="6FE8B3F5" w14:textId="77777777" w:rsidR="006621BE" w:rsidRPr="008515DE" w:rsidRDefault="006621BE" w:rsidP="00EF5AF2">
            <w:pPr>
              <w:tabs>
                <w:tab w:val="left" w:pos="875"/>
              </w:tabs>
              <w:ind w:right="-50"/>
              <w:jc w:val="center"/>
              <w:rPr>
                <w:rFonts w:ascii="Arial" w:hAnsi="Arial" w:cs="Arial"/>
                <w:b/>
              </w:rPr>
            </w:pPr>
            <w:r w:rsidRPr="008515DE">
              <w:rPr>
                <w:rFonts w:ascii="Arial" w:hAnsi="Arial" w:cs="Arial"/>
                <w:b/>
              </w:rPr>
              <w:t>2</w:t>
            </w:r>
          </w:p>
        </w:tc>
        <w:tc>
          <w:tcPr>
            <w:tcW w:w="4253" w:type="dxa"/>
          </w:tcPr>
          <w:p w14:paraId="4D4CB537" w14:textId="77777777" w:rsidR="006621BE" w:rsidRPr="008515DE" w:rsidRDefault="006621BE" w:rsidP="00EF5AF2">
            <w:pPr>
              <w:tabs>
                <w:tab w:val="left" w:pos="875"/>
              </w:tabs>
              <w:ind w:right="-50"/>
              <w:jc w:val="both"/>
              <w:rPr>
                <w:rFonts w:ascii="Arial" w:hAnsi="Arial" w:cs="Arial"/>
                <w:b/>
              </w:rPr>
            </w:pPr>
            <w:r w:rsidRPr="008515DE">
              <w:rPr>
                <w:rFonts w:ascii="Arial" w:hAnsi="Arial" w:cs="Arial"/>
                <w:b/>
              </w:rPr>
              <w:t>Otras:</w:t>
            </w:r>
          </w:p>
        </w:tc>
        <w:tc>
          <w:tcPr>
            <w:tcW w:w="5244" w:type="dxa"/>
          </w:tcPr>
          <w:p w14:paraId="12D0D886" w14:textId="77777777" w:rsidR="006621BE" w:rsidRPr="008515DE" w:rsidRDefault="006621BE" w:rsidP="00EF5AF2">
            <w:pPr>
              <w:tabs>
                <w:tab w:val="left" w:pos="875"/>
              </w:tabs>
              <w:ind w:right="-50"/>
              <w:jc w:val="both"/>
              <w:rPr>
                <w:rFonts w:ascii="Arial" w:hAnsi="Arial" w:cs="Arial"/>
              </w:rPr>
            </w:pPr>
            <w:r w:rsidRPr="008515DE">
              <w:rPr>
                <w:rFonts w:ascii="Arial" w:hAnsi="Arial" w:cs="Arial"/>
              </w:rPr>
              <w:t>Intermitencias en el Sistema y restricciones en el horario</w:t>
            </w:r>
          </w:p>
        </w:tc>
      </w:tr>
    </w:tbl>
    <w:p w14:paraId="249B5CCB" w14:textId="77777777" w:rsidR="003769C9" w:rsidRDefault="003769C9" w:rsidP="006621BE">
      <w:pPr>
        <w:tabs>
          <w:tab w:val="left" w:pos="875"/>
        </w:tabs>
        <w:ind w:left="-284" w:right="-50"/>
        <w:jc w:val="both"/>
        <w:rPr>
          <w:rFonts w:ascii="Arial" w:hAnsi="Arial" w:cs="Arial"/>
          <w:sz w:val="24"/>
        </w:rPr>
      </w:pPr>
    </w:p>
    <w:p w14:paraId="71762C31" w14:textId="13C9179B" w:rsidR="006621BE" w:rsidRPr="008515DE" w:rsidRDefault="006621BE" w:rsidP="003769C9">
      <w:pPr>
        <w:tabs>
          <w:tab w:val="left" w:pos="875"/>
        </w:tabs>
        <w:ind w:left="-284" w:right="-234"/>
        <w:jc w:val="both"/>
        <w:rPr>
          <w:rFonts w:ascii="Arial" w:hAnsi="Arial" w:cs="Arial"/>
          <w:sz w:val="24"/>
        </w:rPr>
      </w:pPr>
      <w:r w:rsidRPr="008515DE">
        <w:rPr>
          <w:rFonts w:ascii="Arial" w:hAnsi="Arial" w:cs="Arial"/>
          <w:sz w:val="24"/>
        </w:rPr>
        <w:t>Las únicas limitaciones presentadas se debieron a las actualizaciones y el mantenimiento de la plataforma. En algunos momentos, el sistema experimentó lentitud e intermitencia debido al alto tráfico de transacciones, así como restricciones horarias asociadas a los perfiles de usuario.</w:t>
      </w:r>
    </w:p>
    <w:p w14:paraId="5D8A46F7" w14:textId="77777777" w:rsidR="006621BE" w:rsidRPr="008515DE" w:rsidRDefault="006621BE" w:rsidP="006621BE">
      <w:pPr>
        <w:tabs>
          <w:tab w:val="left" w:pos="875"/>
        </w:tabs>
        <w:ind w:right="-50"/>
        <w:jc w:val="both"/>
        <w:rPr>
          <w:rFonts w:ascii="Arial" w:hAnsi="Arial" w:cs="Arial"/>
          <w:sz w:val="24"/>
        </w:rPr>
      </w:pPr>
    </w:p>
    <w:p w14:paraId="1CD1529D" w14:textId="77777777" w:rsidR="006621BE" w:rsidRPr="005D4C23" w:rsidRDefault="006621BE" w:rsidP="003769C9">
      <w:pPr>
        <w:ind w:left="-284" w:right="-234"/>
        <w:jc w:val="both"/>
        <w:rPr>
          <w:rFonts w:ascii="Arial" w:hAnsi="Arial" w:cs="Arial"/>
          <w:b/>
          <w:sz w:val="28"/>
          <w:szCs w:val="28"/>
          <w:lang w:val="es-MX"/>
        </w:rPr>
      </w:pPr>
      <w:r w:rsidRPr="005D4C23">
        <w:rPr>
          <w:rFonts w:ascii="Arial" w:hAnsi="Arial" w:cs="Arial"/>
          <w:b/>
          <w:sz w:val="28"/>
          <w:szCs w:val="28"/>
          <w:lang w:val="es-MX"/>
        </w:rPr>
        <w:t xml:space="preserve">121.- INSTITUTO NACIONAL DE FORMACIÓN TÉCNICA PROFESIONAL DE SAN JUAN DEL CESAR LA GUAJIRA – INFOTEP. </w:t>
      </w:r>
    </w:p>
    <w:p w14:paraId="255B258E" w14:textId="77777777" w:rsidR="006621BE" w:rsidRDefault="006621BE" w:rsidP="006621BE">
      <w:pPr>
        <w:ind w:left="-284" w:right="-234"/>
        <w:jc w:val="both"/>
        <w:rPr>
          <w:rFonts w:ascii="Arial" w:hAnsi="Arial" w:cs="Arial"/>
          <w:b/>
          <w:sz w:val="24"/>
          <w:szCs w:val="24"/>
        </w:rPr>
      </w:pPr>
    </w:p>
    <w:p w14:paraId="34BC8E3B" w14:textId="77777777" w:rsidR="006621BE" w:rsidRPr="00DE4B52" w:rsidRDefault="006621BE" w:rsidP="006621BE">
      <w:pPr>
        <w:pStyle w:val="Textoindependiente"/>
        <w:ind w:left="-284" w:right="49"/>
        <w:jc w:val="both"/>
        <w:rPr>
          <w:rFonts w:ascii="Arial" w:hAnsi="Arial" w:cs="Arial"/>
          <w:b/>
          <w:sz w:val="24"/>
          <w:szCs w:val="24"/>
        </w:rPr>
      </w:pPr>
      <w:r w:rsidRPr="00DE4B52">
        <w:rPr>
          <w:rFonts w:ascii="Arial" w:hAnsi="Arial" w:cs="Arial"/>
          <w:b/>
          <w:sz w:val="24"/>
          <w:szCs w:val="24"/>
        </w:rPr>
        <w:t>1.2.</w:t>
      </w:r>
      <w:r w:rsidRPr="00DE4B52">
        <w:rPr>
          <w:rFonts w:ascii="Arial" w:hAnsi="Arial" w:cs="Arial"/>
          <w:b/>
          <w:sz w:val="24"/>
          <w:szCs w:val="24"/>
        </w:rPr>
        <w:tab/>
        <w:t>Declaración de Cumplimiento del marco Normativo y Limitaciones.</w:t>
      </w:r>
    </w:p>
    <w:p w14:paraId="40A93883" w14:textId="77777777" w:rsidR="006621BE" w:rsidRPr="00DE4B52" w:rsidRDefault="006621BE" w:rsidP="006621BE">
      <w:pPr>
        <w:pStyle w:val="Textoindependiente"/>
        <w:ind w:left="-284" w:right="49"/>
        <w:jc w:val="both"/>
        <w:rPr>
          <w:rFonts w:ascii="Arial" w:hAnsi="Arial" w:cs="Arial"/>
          <w:b/>
          <w:sz w:val="24"/>
          <w:szCs w:val="24"/>
        </w:rPr>
      </w:pPr>
    </w:p>
    <w:p w14:paraId="36E9D394" w14:textId="77777777" w:rsidR="006621BE" w:rsidRPr="00DE4B52" w:rsidRDefault="006621BE" w:rsidP="003769C9">
      <w:pPr>
        <w:pStyle w:val="Textoindependiente"/>
        <w:ind w:left="-284" w:right="-234"/>
        <w:jc w:val="both"/>
        <w:rPr>
          <w:rFonts w:ascii="Arial" w:hAnsi="Arial" w:cs="Arial"/>
          <w:bCs/>
          <w:sz w:val="24"/>
          <w:szCs w:val="24"/>
        </w:rPr>
      </w:pPr>
      <w:r w:rsidRPr="00DE4B52">
        <w:rPr>
          <w:rFonts w:ascii="Arial" w:hAnsi="Arial" w:cs="Arial"/>
          <w:b/>
          <w:sz w:val="24"/>
          <w:szCs w:val="24"/>
        </w:rPr>
        <w:t xml:space="preserve">1.2.2. Limitaciones. </w:t>
      </w:r>
      <w:r w:rsidRPr="00DE4B52">
        <w:rPr>
          <w:rFonts w:ascii="Arial" w:hAnsi="Arial" w:cs="Arial"/>
          <w:bCs/>
          <w:sz w:val="24"/>
          <w:szCs w:val="24"/>
        </w:rPr>
        <w:t xml:space="preserve">El Instituto Nacional de Formación Técnica Profesional de San Juan del Cesar, utiliza el Sistema Integrado de Información Financiera (SIIF) Nación que es un sistema que coordina, integra, centraliza y estandariza la gestión financiera pública nacional, con el fin de propiciar una mayor eficiencia y seguridad en el uso de los recursos del Presupuesto General de la Nación y de brindar información oportuna y confiable a tiempo real, </w:t>
      </w:r>
      <w:r w:rsidRPr="00DE4B52">
        <w:rPr>
          <w:rFonts w:ascii="Arial" w:hAnsi="Arial" w:cs="Arial"/>
          <w:b/>
          <w:bCs/>
          <w:sz w:val="24"/>
          <w:szCs w:val="24"/>
          <w:u w:val="single"/>
        </w:rPr>
        <w:t>sin embargo, el registro de los bienes muebles e inventarios de la entidad no cuenta con la integración a este sistema SIIF, por tal razón se deben realizar ciertos registros contables manuales tipificados.</w:t>
      </w:r>
    </w:p>
    <w:p w14:paraId="4366B460" w14:textId="77777777" w:rsidR="006621BE" w:rsidRDefault="006621BE" w:rsidP="006621BE">
      <w:pPr>
        <w:ind w:left="-284" w:right="49"/>
        <w:jc w:val="both"/>
        <w:rPr>
          <w:rFonts w:ascii="Arial" w:hAnsi="Arial" w:cs="Arial"/>
          <w:b/>
          <w:sz w:val="24"/>
          <w:szCs w:val="24"/>
        </w:rPr>
      </w:pPr>
    </w:p>
    <w:p w14:paraId="56229805" w14:textId="77777777" w:rsidR="006621BE" w:rsidRPr="00414F60" w:rsidRDefault="006621BE" w:rsidP="006621BE">
      <w:pPr>
        <w:ind w:left="-284"/>
        <w:jc w:val="both"/>
        <w:rPr>
          <w:rFonts w:ascii="Arial" w:hAnsi="Arial" w:cs="Arial"/>
          <w:b/>
          <w:sz w:val="28"/>
          <w:szCs w:val="28"/>
          <w:lang w:val="es-MX"/>
        </w:rPr>
      </w:pPr>
      <w:r w:rsidRPr="00414F60">
        <w:rPr>
          <w:rFonts w:ascii="Arial" w:hAnsi="Arial" w:cs="Arial"/>
          <w:b/>
          <w:sz w:val="28"/>
          <w:szCs w:val="28"/>
          <w:lang w:val="es-MX"/>
        </w:rPr>
        <w:t xml:space="preserve">122.- UNIDAD NACIONAL DE PROTECCIÓN – UNP. </w:t>
      </w:r>
    </w:p>
    <w:p w14:paraId="082EED28" w14:textId="77777777" w:rsidR="006621BE" w:rsidRDefault="006621BE" w:rsidP="006621BE">
      <w:pPr>
        <w:ind w:left="-284" w:right="49"/>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DF28EB" w14:paraId="45755859" w14:textId="77777777" w:rsidTr="003769C9">
        <w:tc>
          <w:tcPr>
            <w:tcW w:w="993" w:type="dxa"/>
          </w:tcPr>
          <w:p w14:paraId="0B4CDC3E" w14:textId="77777777" w:rsidR="006621BE" w:rsidRPr="00DF28EB" w:rsidRDefault="006621BE" w:rsidP="00EF5AF2">
            <w:pPr>
              <w:tabs>
                <w:tab w:val="left" w:pos="875"/>
              </w:tabs>
              <w:ind w:right="-50"/>
              <w:jc w:val="center"/>
              <w:rPr>
                <w:rFonts w:ascii="Arial" w:hAnsi="Arial" w:cs="Arial"/>
                <w:b/>
              </w:rPr>
            </w:pPr>
            <w:r w:rsidRPr="00DF28EB">
              <w:rPr>
                <w:rFonts w:ascii="Arial" w:hAnsi="Arial" w:cs="Arial"/>
                <w:b/>
              </w:rPr>
              <w:lastRenderedPageBreak/>
              <w:t>N°</w:t>
            </w:r>
          </w:p>
        </w:tc>
        <w:tc>
          <w:tcPr>
            <w:tcW w:w="4253" w:type="dxa"/>
          </w:tcPr>
          <w:p w14:paraId="1EA9FFA8" w14:textId="77777777" w:rsidR="006621BE" w:rsidRPr="00DF28EB" w:rsidRDefault="006621BE" w:rsidP="00EF5AF2">
            <w:pPr>
              <w:tabs>
                <w:tab w:val="left" w:pos="875"/>
              </w:tabs>
              <w:ind w:right="-50"/>
              <w:jc w:val="center"/>
              <w:rPr>
                <w:rFonts w:ascii="Arial" w:hAnsi="Arial" w:cs="Arial"/>
                <w:b/>
              </w:rPr>
            </w:pPr>
            <w:r w:rsidRPr="00DF28EB">
              <w:rPr>
                <w:rFonts w:ascii="Arial" w:hAnsi="Arial" w:cs="Arial"/>
                <w:b/>
              </w:rPr>
              <w:t>Limitaciones del Sistema SIIF II Nación a 31/12/2024</w:t>
            </w:r>
          </w:p>
          <w:p w14:paraId="7AC18E4B" w14:textId="77777777" w:rsidR="006621BE" w:rsidRPr="00DF28EB" w:rsidRDefault="006621BE" w:rsidP="00EF5AF2">
            <w:pPr>
              <w:tabs>
                <w:tab w:val="left" w:pos="875"/>
              </w:tabs>
              <w:ind w:right="-50"/>
              <w:jc w:val="center"/>
              <w:rPr>
                <w:rFonts w:ascii="Arial" w:hAnsi="Arial" w:cs="Arial"/>
                <w:b/>
              </w:rPr>
            </w:pPr>
          </w:p>
        </w:tc>
        <w:tc>
          <w:tcPr>
            <w:tcW w:w="5244" w:type="dxa"/>
          </w:tcPr>
          <w:p w14:paraId="6E7CD146" w14:textId="77777777" w:rsidR="006621BE" w:rsidRPr="00DF28EB" w:rsidRDefault="006621BE" w:rsidP="00EF5AF2">
            <w:pPr>
              <w:tabs>
                <w:tab w:val="left" w:pos="875"/>
              </w:tabs>
              <w:ind w:right="-50"/>
              <w:jc w:val="center"/>
              <w:rPr>
                <w:rFonts w:ascii="Arial" w:hAnsi="Arial" w:cs="Arial"/>
                <w:b/>
              </w:rPr>
            </w:pPr>
            <w:r w:rsidRPr="00DF28EB">
              <w:rPr>
                <w:rFonts w:ascii="Arial" w:hAnsi="Arial" w:cs="Arial"/>
                <w:b/>
              </w:rPr>
              <w:t>Descripción de la limitación</w:t>
            </w:r>
          </w:p>
        </w:tc>
      </w:tr>
      <w:tr w:rsidR="006621BE" w:rsidRPr="00DF28EB" w14:paraId="1A569520" w14:textId="77777777" w:rsidTr="003769C9">
        <w:tc>
          <w:tcPr>
            <w:tcW w:w="993" w:type="dxa"/>
          </w:tcPr>
          <w:p w14:paraId="41CB3A27" w14:textId="77777777" w:rsidR="006621BE" w:rsidRPr="00DF28EB" w:rsidRDefault="006621BE" w:rsidP="00EF5AF2">
            <w:pPr>
              <w:tabs>
                <w:tab w:val="left" w:pos="875"/>
              </w:tabs>
              <w:ind w:right="-50"/>
              <w:jc w:val="center"/>
              <w:rPr>
                <w:rFonts w:ascii="Arial" w:hAnsi="Arial" w:cs="Arial"/>
                <w:b/>
              </w:rPr>
            </w:pPr>
            <w:r w:rsidRPr="00DF28EB">
              <w:rPr>
                <w:rFonts w:ascii="Arial" w:hAnsi="Arial" w:cs="Arial"/>
                <w:b/>
              </w:rPr>
              <w:t>1</w:t>
            </w:r>
          </w:p>
        </w:tc>
        <w:tc>
          <w:tcPr>
            <w:tcW w:w="4253" w:type="dxa"/>
          </w:tcPr>
          <w:p w14:paraId="2C82D29F" w14:textId="77777777" w:rsidR="006621BE" w:rsidRPr="00DF28EB" w:rsidRDefault="006621BE" w:rsidP="00EF5AF2">
            <w:pPr>
              <w:tabs>
                <w:tab w:val="left" w:pos="875"/>
              </w:tabs>
              <w:ind w:right="-50"/>
              <w:jc w:val="both"/>
              <w:rPr>
                <w:rFonts w:ascii="Arial" w:hAnsi="Arial" w:cs="Arial"/>
                <w:b/>
              </w:rPr>
            </w:pPr>
            <w:r w:rsidRPr="00DF28EB">
              <w:rPr>
                <w:rFonts w:ascii="Arial" w:hAnsi="Arial" w:cs="Arial"/>
                <w:b/>
              </w:rPr>
              <w:t>Operativas:</w:t>
            </w:r>
          </w:p>
        </w:tc>
        <w:tc>
          <w:tcPr>
            <w:tcW w:w="5244" w:type="dxa"/>
          </w:tcPr>
          <w:p w14:paraId="31D6D92E" w14:textId="77777777" w:rsidR="006621BE" w:rsidRPr="00DF28EB" w:rsidRDefault="006621BE" w:rsidP="00EF5AF2">
            <w:pPr>
              <w:tabs>
                <w:tab w:val="left" w:pos="875"/>
              </w:tabs>
              <w:ind w:right="-50"/>
              <w:jc w:val="both"/>
              <w:rPr>
                <w:rFonts w:ascii="Arial" w:hAnsi="Arial" w:cs="Arial"/>
              </w:rPr>
            </w:pPr>
            <w:r w:rsidRPr="00DF28EB">
              <w:rPr>
                <w:rFonts w:ascii="Arial" w:hAnsi="Arial" w:cs="Arial"/>
              </w:rPr>
              <w:t>El sistema falló, no permitía el ingreso, después de entrar nos saca del programa, después de realizar el trámite al grabar se generaba error o simplemente no se sabía si quedaba aplicado, hubo días que se complicaba realizar cualquier trámite en el SIIF.</w:t>
            </w:r>
          </w:p>
        </w:tc>
      </w:tr>
      <w:tr w:rsidR="006621BE" w:rsidRPr="00DF28EB" w14:paraId="71B22A8F" w14:textId="77777777" w:rsidTr="003769C9">
        <w:tc>
          <w:tcPr>
            <w:tcW w:w="993" w:type="dxa"/>
          </w:tcPr>
          <w:p w14:paraId="06A3B72F" w14:textId="77777777" w:rsidR="006621BE" w:rsidRPr="00DF28EB" w:rsidRDefault="006621BE" w:rsidP="00EF5AF2">
            <w:pPr>
              <w:tabs>
                <w:tab w:val="left" w:pos="875"/>
              </w:tabs>
              <w:ind w:right="-50"/>
              <w:jc w:val="center"/>
              <w:rPr>
                <w:rFonts w:ascii="Arial" w:hAnsi="Arial" w:cs="Arial"/>
                <w:b/>
              </w:rPr>
            </w:pPr>
            <w:r w:rsidRPr="00DF28EB">
              <w:rPr>
                <w:rFonts w:ascii="Arial" w:hAnsi="Arial" w:cs="Arial"/>
                <w:b/>
              </w:rPr>
              <w:t>2</w:t>
            </w:r>
          </w:p>
        </w:tc>
        <w:tc>
          <w:tcPr>
            <w:tcW w:w="4253" w:type="dxa"/>
          </w:tcPr>
          <w:p w14:paraId="51B72F49" w14:textId="77777777" w:rsidR="006621BE" w:rsidRPr="00DF28EB" w:rsidRDefault="006621BE" w:rsidP="00EF5AF2">
            <w:pPr>
              <w:tabs>
                <w:tab w:val="left" w:pos="875"/>
              </w:tabs>
              <w:ind w:right="-50"/>
              <w:jc w:val="both"/>
              <w:rPr>
                <w:rFonts w:ascii="Arial" w:hAnsi="Arial" w:cs="Arial"/>
                <w:b/>
              </w:rPr>
            </w:pPr>
            <w:r w:rsidRPr="00DF28EB">
              <w:rPr>
                <w:rFonts w:ascii="Arial" w:hAnsi="Arial" w:cs="Arial"/>
                <w:b/>
              </w:rPr>
              <w:t>Soporte a la plataforma:</w:t>
            </w:r>
          </w:p>
        </w:tc>
        <w:tc>
          <w:tcPr>
            <w:tcW w:w="5244" w:type="dxa"/>
          </w:tcPr>
          <w:p w14:paraId="7B9DD99C" w14:textId="77777777" w:rsidR="006621BE" w:rsidRPr="00DF28EB" w:rsidRDefault="006621BE" w:rsidP="00EF5AF2">
            <w:pPr>
              <w:tabs>
                <w:tab w:val="left" w:pos="875"/>
              </w:tabs>
              <w:ind w:right="-50"/>
              <w:jc w:val="both"/>
              <w:rPr>
                <w:rFonts w:ascii="Arial" w:hAnsi="Arial" w:cs="Arial"/>
              </w:rPr>
            </w:pPr>
            <w:r w:rsidRPr="00DF28EB">
              <w:rPr>
                <w:rFonts w:ascii="Arial" w:hAnsi="Arial" w:cs="Arial"/>
              </w:rPr>
              <w:t>No daban solución a los problemas presentados, solo estamos trabajando en el incidente.</w:t>
            </w:r>
          </w:p>
        </w:tc>
      </w:tr>
    </w:tbl>
    <w:p w14:paraId="641F6082" w14:textId="77777777" w:rsidR="006C10D2" w:rsidRDefault="006C10D2" w:rsidP="006621BE">
      <w:pPr>
        <w:tabs>
          <w:tab w:val="left" w:pos="1276"/>
        </w:tabs>
        <w:ind w:left="-284" w:right="49"/>
        <w:jc w:val="both"/>
        <w:rPr>
          <w:rFonts w:ascii="Arial" w:hAnsi="Arial" w:cs="Arial"/>
          <w:b/>
          <w:sz w:val="28"/>
          <w:szCs w:val="28"/>
        </w:rPr>
      </w:pPr>
    </w:p>
    <w:p w14:paraId="331EC456" w14:textId="1AB9C74C" w:rsidR="006621BE" w:rsidRPr="00FB63E0" w:rsidRDefault="006621BE" w:rsidP="006621BE">
      <w:pPr>
        <w:tabs>
          <w:tab w:val="left" w:pos="1276"/>
        </w:tabs>
        <w:ind w:left="-284" w:right="49"/>
        <w:jc w:val="both"/>
        <w:rPr>
          <w:rFonts w:ascii="Arial" w:hAnsi="Arial" w:cs="Arial"/>
          <w:b/>
          <w:sz w:val="28"/>
          <w:szCs w:val="28"/>
          <w:lang w:val="es-MX"/>
        </w:rPr>
      </w:pPr>
      <w:r w:rsidRPr="00FB63E0">
        <w:rPr>
          <w:rFonts w:ascii="Arial" w:hAnsi="Arial" w:cs="Arial"/>
          <w:b/>
          <w:sz w:val="28"/>
          <w:szCs w:val="28"/>
        </w:rPr>
        <w:t>124.- U.A.E. AGENCIA NACIONAL DE CONTRATACIÓN PÚBLICA - COLOMBIA COMPRA EFICIENTE</w:t>
      </w:r>
      <w:r w:rsidRPr="00FB63E0">
        <w:rPr>
          <w:rFonts w:ascii="Arial" w:hAnsi="Arial" w:cs="Arial"/>
          <w:b/>
          <w:sz w:val="28"/>
          <w:szCs w:val="28"/>
          <w:lang w:val="es-MX"/>
        </w:rPr>
        <w:t xml:space="preserve">. </w:t>
      </w:r>
    </w:p>
    <w:p w14:paraId="3E5EDA3A" w14:textId="77777777" w:rsidR="006621BE" w:rsidRPr="009E43DA" w:rsidRDefault="006621BE" w:rsidP="006621BE">
      <w:pPr>
        <w:pStyle w:val="Prrafodelista"/>
        <w:tabs>
          <w:tab w:val="left" w:pos="875"/>
        </w:tabs>
        <w:ind w:left="-142" w:right="-50"/>
        <w:rPr>
          <w:rFonts w:ascii="Times New Roman" w:hAnsi="Times New Roman"/>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300487" w14:paraId="43BCDB22" w14:textId="77777777" w:rsidTr="003769C9">
        <w:tc>
          <w:tcPr>
            <w:tcW w:w="993" w:type="dxa"/>
          </w:tcPr>
          <w:p w14:paraId="57E6CBBE" w14:textId="77777777" w:rsidR="006621BE" w:rsidRPr="00300487" w:rsidRDefault="006621BE" w:rsidP="00EF5AF2">
            <w:pPr>
              <w:tabs>
                <w:tab w:val="left" w:pos="875"/>
              </w:tabs>
              <w:ind w:right="-50"/>
              <w:jc w:val="center"/>
              <w:rPr>
                <w:rFonts w:ascii="Arial" w:hAnsi="Arial" w:cs="Arial"/>
                <w:b/>
              </w:rPr>
            </w:pPr>
            <w:r w:rsidRPr="00300487">
              <w:rPr>
                <w:rFonts w:ascii="Arial" w:hAnsi="Arial" w:cs="Arial"/>
                <w:b/>
              </w:rPr>
              <w:t>N°</w:t>
            </w:r>
          </w:p>
        </w:tc>
        <w:tc>
          <w:tcPr>
            <w:tcW w:w="4253" w:type="dxa"/>
          </w:tcPr>
          <w:p w14:paraId="4C232EB6" w14:textId="77777777" w:rsidR="006621BE" w:rsidRPr="00300487" w:rsidRDefault="006621BE" w:rsidP="00EF5AF2">
            <w:pPr>
              <w:tabs>
                <w:tab w:val="left" w:pos="875"/>
              </w:tabs>
              <w:ind w:right="-50"/>
              <w:jc w:val="center"/>
              <w:rPr>
                <w:rFonts w:ascii="Arial" w:hAnsi="Arial" w:cs="Arial"/>
                <w:b/>
              </w:rPr>
            </w:pPr>
            <w:r w:rsidRPr="00300487">
              <w:rPr>
                <w:rFonts w:ascii="Arial" w:hAnsi="Arial" w:cs="Arial"/>
                <w:b/>
              </w:rPr>
              <w:t>Limitaciones del Sistema SIIF II Nación a 31/12/2024</w:t>
            </w:r>
          </w:p>
          <w:p w14:paraId="7CC3CB2A" w14:textId="77777777" w:rsidR="006621BE" w:rsidRPr="00300487" w:rsidRDefault="006621BE" w:rsidP="00EF5AF2">
            <w:pPr>
              <w:tabs>
                <w:tab w:val="left" w:pos="875"/>
              </w:tabs>
              <w:ind w:right="-50"/>
              <w:jc w:val="center"/>
              <w:rPr>
                <w:rFonts w:ascii="Arial" w:hAnsi="Arial" w:cs="Arial"/>
                <w:b/>
              </w:rPr>
            </w:pPr>
          </w:p>
        </w:tc>
        <w:tc>
          <w:tcPr>
            <w:tcW w:w="5244" w:type="dxa"/>
          </w:tcPr>
          <w:p w14:paraId="7E55FC4C" w14:textId="77777777" w:rsidR="006621BE" w:rsidRPr="00300487" w:rsidRDefault="006621BE" w:rsidP="00EF5AF2">
            <w:pPr>
              <w:tabs>
                <w:tab w:val="left" w:pos="875"/>
              </w:tabs>
              <w:ind w:right="-50"/>
              <w:jc w:val="center"/>
              <w:rPr>
                <w:rFonts w:ascii="Arial" w:hAnsi="Arial" w:cs="Arial"/>
                <w:b/>
              </w:rPr>
            </w:pPr>
            <w:r w:rsidRPr="00300487">
              <w:rPr>
                <w:rFonts w:ascii="Arial" w:hAnsi="Arial" w:cs="Arial"/>
                <w:b/>
              </w:rPr>
              <w:t>Descripción de la limitación</w:t>
            </w:r>
          </w:p>
        </w:tc>
      </w:tr>
      <w:tr w:rsidR="006621BE" w:rsidRPr="00300487" w14:paraId="31F4E5DF" w14:textId="77777777" w:rsidTr="003769C9">
        <w:tc>
          <w:tcPr>
            <w:tcW w:w="993" w:type="dxa"/>
          </w:tcPr>
          <w:p w14:paraId="3F2F7401" w14:textId="77777777" w:rsidR="006621BE" w:rsidRPr="00300487" w:rsidRDefault="006621BE" w:rsidP="00EF5AF2">
            <w:pPr>
              <w:tabs>
                <w:tab w:val="left" w:pos="875"/>
              </w:tabs>
              <w:ind w:right="-50"/>
              <w:jc w:val="center"/>
              <w:rPr>
                <w:rFonts w:ascii="Arial" w:hAnsi="Arial" w:cs="Arial"/>
                <w:b/>
              </w:rPr>
            </w:pPr>
            <w:r w:rsidRPr="00300487">
              <w:rPr>
                <w:rFonts w:ascii="Arial" w:hAnsi="Arial" w:cs="Arial"/>
                <w:b/>
              </w:rPr>
              <w:t>1</w:t>
            </w:r>
          </w:p>
        </w:tc>
        <w:tc>
          <w:tcPr>
            <w:tcW w:w="4253" w:type="dxa"/>
          </w:tcPr>
          <w:p w14:paraId="1A821D3D" w14:textId="77777777" w:rsidR="006621BE" w:rsidRPr="00300487" w:rsidRDefault="006621BE" w:rsidP="00EF5AF2">
            <w:pPr>
              <w:tabs>
                <w:tab w:val="left" w:pos="875"/>
              </w:tabs>
              <w:ind w:right="-50"/>
              <w:jc w:val="both"/>
              <w:rPr>
                <w:rFonts w:ascii="Arial" w:hAnsi="Arial" w:cs="Arial"/>
                <w:b/>
              </w:rPr>
            </w:pPr>
            <w:r w:rsidRPr="00300487">
              <w:rPr>
                <w:rFonts w:ascii="Arial" w:hAnsi="Arial" w:cs="Arial"/>
                <w:b/>
              </w:rPr>
              <w:t>Técnicas:</w:t>
            </w:r>
          </w:p>
        </w:tc>
        <w:tc>
          <w:tcPr>
            <w:tcW w:w="5244" w:type="dxa"/>
          </w:tcPr>
          <w:p w14:paraId="0CA85C98" w14:textId="77777777" w:rsidR="006621BE" w:rsidRPr="00300487" w:rsidRDefault="006621BE" w:rsidP="00EF5AF2">
            <w:pPr>
              <w:tabs>
                <w:tab w:val="left" w:pos="875"/>
              </w:tabs>
              <w:ind w:right="-50"/>
              <w:jc w:val="both"/>
              <w:rPr>
                <w:rFonts w:ascii="Arial" w:hAnsi="Arial" w:cs="Arial"/>
              </w:rPr>
            </w:pPr>
            <w:r w:rsidRPr="00300487">
              <w:rPr>
                <w:rFonts w:ascii="Arial" w:hAnsi="Arial" w:cs="Arial"/>
              </w:rPr>
              <w:t>Fallas técnicas en la conexión con el aplicativo SIIF Nación II.</w:t>
            </w:r>
          </w:p>
        </w:tc>
      </w:tr>
      <w:tr w:rsidR="006621BE" w:rsidRPr="00300487" w14:paraId="086D02F7" w14:textId="77777777" w:rsidTr="003769C9">
        <w:tc>
          <w:tcPr>
            <w:tcW w:w="993" w:type="dxa"/>
          </w:tcPr>
          <w:p w14:paraId="1B236DC3" w14:textId="77777777" w:rsidR="006621BE" w:rsidRPr="00300487" w:rsidRDefault="006621BE" w:rsidP="00EF5AF2">
            <w:pPr>
              <w:tabs>
                <w:tab w:val="left" w:pos="875"/>
              </w:tabs>
              <w:ind w:right="-50"/>
              <w:jc w:val="center"/>
              <w:rPr>
                <w:rFonts w:ascii="Arial" w:hAnsi="Arial" w:cs="Arial"/>
                <w:b/>
              </w:rPr>
            </w:pPr>
            <w:r w:rsidRPr="00300487">
              <w:rPr>
                <w:rFonts w:ascii="Arial" w:hAnsi="Arial" w:cs="Arial"/>
                <w:b/>
              </w:rPr>
              <w:t>2</w:t>
            </w:r>
          </w:p>
        </w:tc>
        <w:tc>
          <w:tcPr>
            <w:tcW w:w="4253" w:type="dxa"/>
          </w:tcPr>
          <w:p w14:paraId="39368BD6" w14:textId="77777777" w:rsidR="006621BE" w:rsidRPr="00300487" w:rsidRDefault="006621BE" w:rsidP="00EF5AF2">
            <w:pPr>
              <w:tabs>
                <w:tab w:val="left" w:pos="875"/>
              </w:tabs>
              <w:ind w:right="-50"/>
              <w:jc w:val="both"/>
              <w:rPr>
                <w:rFonts w:ascii="Arial" w:hAnsi="Arial" w:cs="Arial"/>
                <w:b/>
              </w:rPr>
            </w:pPr>
            <w:r w:rsidRPr="00300487">
              <w:rPr>
                <w:rFonts w:ascii="Arial" w:hAnsi="Arial" w:cs="Arial"/>
                <w:b/>
              </w:rPr>
              <w:t>Operativas:</w:t>
            </w:r>
          </w:p>
        </w:tc>
        <w:tc>
          <w:tcPr>
            <w:tcW w:w="5244" w:type="dxa"/>
          </w:tcPr>
          <w:p w14:paraId="7C9F5AD8" w14:textId="77777777" w:rsidR="006621BE" w:rsidRPr="00300487" w:rsidRDefault="006621BE" w:rsidP="00EF5AF2">
            <w:pPr>
              <w:tabs>
                <w:tab w:val="left" w:pos="875"/>
              </w:tabs>
              <w:ind w:right="-50"/>
              <w:jc w:val="both"/>
              <w:rPr>
                <w:rFonts w:ascii="Arial" w:hAnsi="Arial" w:cs="Arial"/>
              </w:rPr>
            </w:pPr>
            <w:r w:rsidRPr="00300487">
              <w:rPr>
                <w:rFonts w:ascii="Arial" w:hAnsi="Arial" w:cs="Arial"/>
              </w:rPr>
              <w:t>El módulo Gestión Recursos Físicos y de Nómina del aplicativo SIIF Nación II a la fecha se encuentra en fase de implementación, sería de gran utilidad el desarrollo de este.</w:t>
            </w:r>
          </w:p>
        </w:tc>
      </w:tr>
    </w:tbl>
    <w:p w14:paraId="59175FD2" w14:textId="77777777" w:rsidR="006621BE" w:rsidRDefault="006621BE" w:rsidP="006621BE">
      <w:pPr>
        <w:pStyle w:val="Textoindependiente"/>
        <w:ind w:right="-50"/>
        <w:jc w:val="both"/>
        <w:rPr>
          <w:rFonts w:ascii="Times New Roman" w:hAnsi="Times New Roman"/>
        </w:rPr>
      </w:pPr>
    </w:p>
    <w:p w14:paraId="70C3EDED" w14:textId="77777777" w:rsidR="006621BE" w:rsidRPr="00300487" w:rsidRDefault="006621BE" w:rsidP="003769C9">
      <w:pPr>
        <w:pStyle w:val="Textoindependiente"/>
        <w:ind w:left="-284" w:right="-234"/>
        <w:jc w:val="both"/>
        <w:rPr>
          <w:rFonts w:ascii="Arial" w:hAnsi="Arial" w:cs="Arial"/>
          <w:sz w:val="24"/>
          <w:szCs w:val="24"/>
        </w:rPr>
      </w:pPr>
      <w:r w:rsidRPr="00300487">
        <w:rPr>
          <w:rFonts w:ascii="Arial" w:hAnsi="Arial" w:cs="Arial"/>
          <w:b/>
          <w:sz w:val="24"/>
          <w:szCs w:val="24"/>
        </w:rPr>
        <w:t xml:space="preserve">1.2. Declaración de Cumplimiento del Marco Normativo y Limitaciones – Limitaciones de Orden Operativas que tienen Impacto Contable: </w:t>
      </w:r>
      <w:r w:rsidRPr="00300487">
        <w:rPr>
          <w:rFonts w:ascii="Arial" w:hAnsi="Arial" w:cs="Arial"/>
          <w:sz w:val="24"/>
          <w:szCs w:val="24"/>
        </w:rPr>
        <w:t xml:space="preserve">Teniendo en cuenta lo anterior Colombia Compra Eficiente solo utiliza el SIIF para el registro de las operaciones contables, por lo tanto, depende de la disponibilidad de este aplicativo, no se cuenta con un plan contingente, toda vez que la seguridad de la información depende de un tercero, aunque se realiza Back up de los libros contables se requiere de este sistema para registro y ejecución de la información financiera de la entidad. </w:t>
      </w:r>
    </w:p>
    <w:p w14:paraId="278B99DB" w14:textId="77777777" w:rsidR="006621BE" w:rsidRDefault="006621BE" w:rsidP="006621BE">
      <w:pPr>
        <w:ind w:left="-284" w:right="49"/>
        <w:jc w:val="both"/>
        <w:rPr>
          <w:rFonts w:ascii="Arial" w:hAnsi="Arial" w:cs="Arial"/>
          <w:b/>
          <w:sz w:val="24"/>
          <w:szCs w:val="24"/>
        </w:rPr>
      </w:pPr>
    </w:p>
    <w:p w14:paraId="319A2AAB" w14:textId="77777777" w:rsidR="006621BE" w:rsidRDefault="006621BE" w:rsidP="006621BE">
      <w:pPr>
        <w:ind w:left="-284"/>
        <w:jc w:val="both"/>
        <w:rPr>
          <w:rFonts w:ascii="Arial" w:hAnsi="Arial" w:cs="Arial"/>
          <w:b/>
          <w:sz w:val="24"/>
          <w:szCs w:val="24"/>
        </w:rPr>
      </w:pPr>
      <w:r w:rsidRPr="002A6E88">
        <w:rPr>
          <w:rFonts w:ascii="Arial" w:hAnsi="Arial" w:cs="Arial"/>
          <w:b/>
          <w:sz w:val="28"/>
          <w:szCs w:val="28"/>
          <w:lang w:val="es-MX"/>
        </w:rPr>
        <w:t xml:space="preserve">129.- </w:t>
      </w:r>
      <w:r w:rsidRPr="002A6E88">
        <w:rPr>
          <w:rFonts w:ascii="Arial" w:hAnsi="Arial" w:cs="Arial"/>
          <w:b/>
          <w:sz w:val="28"/>
          <w:szCs w:val="28"/>
        </w:rPr>
        <w:t>UNIDAD DE SERVICIOS PENITENCIARIOS Y CARCELARIOS – USPEC</w:t>
      </w:r>
      <w:r w:rsidRPr="002A6E88">
        <w:rPr>
          <w:rFonts w:ascii="Arial" w:hAnsi="Arial" w:cs="Arial"/>
          <w:b/>
          <w:sz w:val="28"/>
          <w:szCs w:val="28"/>
          <w:lang w:val="es-MX"/>
        </w:rPr>
        <w:t>.</w:t>
      </w:r>
    </w:p>
    <w:p w14:paraId="0263C03C" w14:textId="77777777" w:rsidR="006621BE" w:rsidRPr="009E43DA" w:rsidRDefault="006621BE" w:rsidP="006621BE">
      <w:pPr>
        <w:pStyle w:val="Prrafodelista"/>
        <w:tabs>
          <w:tab w:val="left" w:pos="875"/>
        </w:tabs>
        <w:ind w:left="-142" w:right="-50"/>
        <w:rPr>
          <w:rFonts w:ascii="Times New Roman" w:hAnsi="Times New Roman"/>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A95140" w14:paraId="662381EC" w14:textId="77777777" w:rsidTr="00376344">
        <w:tc>
          <w:tcPr>
            <w:tcW w:w="993" w:type="dxa"/>
          </w:tcPr>
          <w:p w14:paraId="47D276AB" w14:textId="77777777" w:rsidR="006621BE" w:rsidRPr="00A95140" w:rsidRDefault="006621BE" w:rsidP="00EF5AF2">
            <w:pPr>
              <w:tabs>
                <w:tab w:val="left" w:pos="875"/>
              </w:tabs>
              <w:ind w:right="-50"/>
              <w:jc w:val="center"/>
              <w:rPr>
                <w:rFonts w:ascii="Arial" w:hAnsi="Arial" w:cs="Arial"/>
                <w:b/>
              </w:rPr>
            </w:pPr>
            <w:r w:rsidRPr="00A95140">
              <w:rPr>
                <w:rFonts w:ascii="Arial" w:hAnsi="Arial" w:cs="Arial"/>
                <w:b/>
              </w:rPr>
              <w:t>N°</w:t>
            </w:r>
          </w:p>
        </w:tc>
        <w:tc>
          <w:tcPr>
            <w:tcW w:w="4253" w:type="dxa"/>
          </w:tcPr>
          <w:p w14:paraId="701F52CA" w14:textId="77777777" w:rsidR="006621BE" w:rsidRPr="00A95140" w:rsidRDefault="006621BE" w:rsidP="00EF5AF2">
            <w:pPr>
              <w:tabs>
                <w:tab w:val="left" w:pos="875"/>
              </w:tabs>
              <w:ind w:right="-50"/>
              <w:jc w:val="center"/>
              <w:rPr>
                <w:rFonts w:ascii="Arial" w:hAnsi="Arial" w:cs="Arial"/>
                <w:b/>
              </w:rPr>
            </w:pPr>
            <w:r w:rsidRPr="00A95140">
              <w:rPr>
                <w:rFonts w:ascii="Arial" w:hAnsi="Arial" w:cs="Arial"/>
                <w:b/>
              </w:rPr>
              <w:t>Limitaciones del Sistema SIIF II Nación a 31/12/2024</w:t>
            </w:r>
          </w:p>
          <w:p w14:paraId="7CB809F6" w14:textId="77777777" w:rsidR="006621BE" w:rsidRPr="00A95140" w:rsidRDefault="006621BE" w:rsidP="00EF5AF2">
            <w:pPr>
              <w:tabs>
                <w:tab w:val="left" w:pos="875"/>
              </w:tabs>
              <w:ind w:right="-50"/>
              <w:jc w:val="center"/>
              <w:rPr>
                <w:rFonts w:ascii="Arial" w:hAnsi="Arial" w:cs="Arial"/>
                <w:b/>
              </w:rPr>
            </w:pPr>
          </w:p>
        </w:tc>
        <w:tc>
          <w:tcPr>
            <w:tcW w:w="5244" w:type="dxa"/>
          </w:tcPr>
          <w:p w14:paraId="3B6328DD" w14:textId="77777777" w:rsidR="006621BE" w:rsidRPr="00A95140" w:rsidRDefault="006621BE" w:rsidP="00EF5AF2">
            <w:pPr>
              <w:tabs>
                <w:tab w:val="left" w:pos="875"/>
              </w:tabs>
              <w:ind w:right="-50"/>
              <w:jc w:val="center"/>
              <w:rPr>
                <w:rFonts w:ascii="Arial" w:hAnsi="Arial" w:cs="Arial"/>
                <w:b/>
              </w:rPr>
            </w:pPr>
            <w:r w:rsidRPr="00A95140">
              <w:rPr>
                <w:rFonts w:ascii="Arial" w:hAnsi="Arial" w:cs="Arial"/>
                <w:b/>
              </w:rPr>
              <w:t>Descripción de la limitación</w:t>
            </w:r>
          </w:p>
        </w:tc>
      </w:tr>
      <w:tr w:rsidR="006621BE" w:rsidRPr="00A95140" w14:paraId="7EF3D98C" w14:textId="77777777" w:rsidTr="00376344">
        <w:tc>
          <w:tcPr>
            <w:tcW w:w="993" w:type="dxa"/>
          </w:tcPr>
          <w:p w14:paraId="7B3C1A31" w14:textId="77777777" w:rsidR="006621BE" w:rsidRPr="00A95140" w:rsidRDefault="006621BE" w:rsidP="00EF5AF2">
            <w:pPr>
              <w:tabs>
                <w:tab w:val="left" w:pos="875"/>
              </w:tabs>
              <w:ind w:right="-50"/>
              <w:jc w:val="center"/>
              <w:rPr>
                <w:rFonts w:ascii="Arial" w:hAnsi="Arial" w:cs="Arial"/>
                <w:b/>
              </w:rPr>
            </w:pPr>
            <w:r w:rsidRPr="00A95140">
              <w:rPr>
                <w:rFonts w:ascii="Arial" w:hAnsi="Arial" w:cs="Arial"/>
                <w:b/>
              </w:rPr>
              <w:t>1</w:t>
            </w:r>
          </w:p>
        </w:tc>
        <w:tc>
          <w:tcPr>
            <w:tcW w:w="4253" w:type="dxa"/>
          </w:tcPr>
          <w:p w14:paraId="4BC5B360" w14:textId="77777777" w:rsidR="006621BE" w:rsidRPr="00A95140" w:rsidRDefault="006621BE" w:rsidP="00EF5AF2">
            <w:pPr>
              <w:tabs>
                <w:tab w:val="left" w:pos="875"/>
              </w:tabs>
              <w:ind w:right="-50"/>
              <w:jc w:val="both"/>
              <w:rPr>
                <w:rFonts w:ascii="Arial" w:hAnsi="Arial" w:cs="Arial"/>
                <w:b/>
              </w:rPr>
            </w:pPr>
            <w:r w:rsidRPr="00A95140">
              <w:rPr>
                <w:rFonts w:ascii="Arial" w:hAnsi="Arial" w:cs="Arial"/>
                <w:b/>
              </w:rPr>
              <w:t>Administrativas:</w:t>
            </w:r>
          </w:p>
        </w:tc>
        <w:tc>
          <w:tcPr>
            <w:tcW w:w="5244" w:type="dxa"/>
          </w:tcPr>
          <w:p w14:paraId="7A7F412A" w14:textId="77777777" w:rsidR="006621BE" w:rsidRPr="00A95140" w:rsidRDefault="006621BE" w:rsidP="00EF5AF2">
            <w:pPr>
              <w:tabs>
                <w:tab w:val="left" w:pos="875"/>
              </w:tabs>
              <w:ind w:right="-50"/>
              <w:jc w:val="both"/>
              <w:rPr>
                <w:rFonts w:ascii="Arial" w:hAnsi="Arial" w:cs="Arial"/>
              </w:rPr>
            </w:pPr>
            <w:r w:rsidRPr="00A95140">
              <w:rPr>
                <w:rFonts w:ascii="Arial" w:hAnsi="Arial" w:cs="Arial"/>
              </w:rPr>
              <w:t>No tiene integrado el aplicativo de la nómina de la entidad</w:t>
            </w:r>
          </w:p>
        </w:tc>
      </w:tr>
      <w:tr w:rsidR="006621BE" w:rsidRPr="00A95140" w14:paraId="08FE705E" w14:textId="77777777" w:rsidTr="00376344">
        <w:tc>
          <w:tcPr>
            <w:tcW w:w="993" w:type="dxa"/>
          </w:tcPr>
          <w:p w14:paraId="6BEDC246" w14:textId="77777777" w:rsidR="006621BE" w:rsidRPr="00A95140" w:rsidRDefault="006621BE" w:rsidP="00EF5AF2">
            <w:pPr>
              <w:tabs>
                <w:tab w:val="left" w:pos="875"/>
              </w:tabs>
              <w:ind w:right="-50"/>
              <w:jc w:val="center"/>
              <w:rPr>
                <w:rFonts w:ascii="Arial" w:hAnsi="Arial" w:cs="Arial"/>
                <w:b/>
              </w:rPr>
            </w:pPr>
            <w:r w:rsidRPr="00A95140">
              <w:rPr>
                <w:rFonts w:ascii="Arial" w:hAnsi="Arial" w:cs="Arial"/>
                <w:b/>
              </w:rPr>
              <w:t>2</w:t>
            </w:r>
          </w:p>
        </w:tc>
        <w:tc>
          <w:tcPr>
            <w:tcW w:w="4253" w:type="dxa"/>
          </w:tcPr>
          <w:p w14:paraId="1B42DF5C" w14:textId="77777777" w:rsidR="006621BE" w:rsidRPr="00A95140" w:rsidRDefault="006621BE" w:rsidP="00EF5AF2">
            <w:pPr>
              <w:tabs>
                <w:tab w:val="left" w:pos="875"/>
              </w:tabs>
              <w:ind w:right="-50"/>
              <w:jc w:val="both"/>
              <w:rPr>
                <w:rFonts w:ascii="Arial" w:hAnsi="Arial" w:cs="Arial"/>
                <w:b/>
              </w:rPr>
            </w:pPr>
            <w:r w:rsidRPr="00A95140">
              <w:rPr>
                <w:rFonts w:ascii="Arial" w:hAnsi="Arial" w:cs="Arial"/>
                <w:b/>
              </w:rPr>
              <w:t>Técnicas:</w:t>
            </w:r>
          </w:p>
        </w:tc>
        <w:tc>
          <w:tcPr>
            <w:tcW w:w="5244" w:type="dxa"/>
          </w:tcPr>
          <w:p w14:paraId="6F7F7D7F" w14:textId="77777777" w:rsidR="006621BE" w:rsidRPr="00A95140" w:rsidRDefault="006621BE" w:rsidP="00EF5AF2">
            <w:pPr>
              <w:tabs>
                <w:tab w:val="left" w:pos="875"/>
              </w:tabs>
              <w:ind w:right="-50"/>
              <w:jc w:val="both"/>
              <w:rPr>
                <w:rFonts w:ascii="Arial" w:hAnsi="Arial" w:cs="Arial"/>
              </w:rPr>
            </w:pPr>
            <w:r w:rsidRPr="00A95140">
              <w:rPr>
                <w:rFonts w:ascii="Arial" w:hAnsi="Arial" w:cs="Arial"/>
              </w:rPr>
              <w:t>Las frecuentes caídas del sistema especialmente año finalizar la vigencia, toda vez que ocasionan traumatismos en el ciclo normal del proceso financiero</w:t>
            </w:r>
          </w:p>
        </w:tc>
      </w:tr>
      <w:tr w:rsidR="006621BE" w:rsidRPr="00A95140" w14:paraId="06768856" w14:textId="77777777" w:rsidTr="00376344">
        <w:tc>
          <w:tcPr>
            <w:tcW w:w="993" w:type="dxa"/>
          </w:tcPr>
          <w:p w14:paraId="24298A1C" w14:textId="77777777" w:rsidR="006621BE" w:rsidRPr="00A95140" w:rsidRDefault="006621BE" w:rsidP="00EF5AF2">
            <w:pPr>
              <w:tabs>
                <w:tab w:val="left" w:pos="875"/>
              </w:tabs>
              <w:ind w:right="-50"/>
              <w:jc w:val="center"/>
              <w:rPr>
                <w:rFonts w:ascii="Arial" w:hAnsi="Arial" w:cs="Arial"/>
                <w:b/>
              </w:rPr>
            </w:pPr>
            <w:r w:rsidRPr="00A95140">
              <w:rPr>
                <w:rFonts w:ascii="Arial" w:hAnsi="Arial" w:cs="Arial"/>
                <w:b/>
              </w:rPr>
              <w:t>3</w:t>
            </w:r>
          </w:p>
        </w:tc>
        <w:tc>
          <w:tcPr>
            <w:tcW w:w="4253" w:type="dxa"/>
          </w:tcPr>
          <w:p w14:paraId="68A42458" w14:textId="77777777" w:rsidR="006621BE" w:rsidRPr="00A95140" w:rsidRDefault="006621BE" w:rsidP="00EF5AF2">
            <w:pPr>
              <w:tabs>
                <w:tab w:val="left" w:pos="875"/>
              </w:tabs>
              <w:ind w:right="-50"/>
              <w:jc w:val="both"/>
              <w:rPr>
                <w:rFonts w:ascii="Arial" w:hAnsi="Arial" w:cs="Arial"/>
                <w:b/>
              </w:rPr>
            </w:pPr>
            <w:r w:rsidRPr="00A95140">
              <w:rPr>
                <w:rFonts w:ascii="Arial" w:hAnsi="Arial" w:cs="Arial"/>
                <w:b/>
              </w:rPr>
              <w:t>Operativas:</w:t>
            </w:r>
          </w:p>
        </w:tc>
        <w:tc>
          <w:tcPr>
            <w:tcW w:w="5244" w:type="dxa"/>
          </w:tcPr>
          <w:p w14:paraId="7C132B71" w14:textId="77777777" w:rsidR="006621BE" w:rsidRPr="00A95140" w:rsidRDefault="006621BE" w:rsidP="00EF5AF2">
            <w:pPr>
              <w:tabs>
                <w:tab w:val="left" w:pos="875"/>
              </w:tabs>
              <w:ind w:right="-50"/>
              <w:jc w:val="both"/>
              <w:rPr>
                <w:rFonts w:ascii="Arial" w:hAnsi="Arial" w:cs="Arial"/>
              </w:rPr>
            </w:pPr>
            <w:r w:rsidRPr="00A95140">
              <w:rPr>
                <w:rFonts w:ascii="Arial" w:hAnsi="Arial" w:cs="Arial"/>
              </w:rPr>
              <w:t>Cuando se expide un CDP global no permite que varios usuarios de manera simultánea expidan COMPROMISOS con cargo al mismo CDP</w:t>
            </w:r>
          </w:p>
        </w:tc>
      </w:tr>
      <w:tr w:rsidR="006621BE" w:rsidRPr="00A95140" w14:paraId="0F58229E" w14:textId="77777777" w:rsidTr="00376344">
        <w:tc>
          <w:tcPr>
            <w:tcW w:w="993" w:type="dxa"/>
          </w:tcPr>
          <w:p w14:paraId="0C590F81" w14:textId="77777777" w:rsidR="006621BE" w:rsidRPr="00A95140" w:rsidRDefault="006621BE" w:rsidP="00376344">
            <w:pPr>
              <w:tabs>
                <w:tab w:val="left" w:pos="875"/>
              </w:tabs>
              <w:ind w:left="-104" w:right="-50"/>
              <w:jc w:val="center"/>
              <w:rPr>
                <w:rFonts w:ascii="Arial" w:hAnsi="Arial" w:cs="Arial"/>
                <w:b/>
              </w:rPr>
            </w:pPr>
            <w:r w:rsidRPr="00A95140">
              <w:rPr>
                <w:rFonts w:ascii="Arial" w:hAnsi="Arial" w:cs="Arial"/>
                <w:b/>
              </w:rPr>
              <w:t>4</w:t>
            </w:r>
          </w:p>
        </w:tc>
        <w:tc>
          <w:tcPr>
            <w:tcW w:w="4253" w:type="dxa"/>
          </w:tcPr>
          <w:p w14:paraId="4FB48D8C" w14:textId="77777777" w:rsidR="006621BE" w:rsidRPr="00A95140" w:rsidRDefault="006621BE" w:rsidP="00EF5AF2">
            <w:pPr>
              <w:tabs>
                <w:tab w:val="left" w:pos="875"/>
              </w:tabs>
              <w:ind w:right="-50"/>
              <w:jc w:val="both"/>
              <w:rPr>
                <w:rFonts w:ascii="Arial" w:hAnsi="Arial" w:cs="Arial"/>
                <w:b/>
              </w:rPr>
            </w:pPr>
            <w:r w:rsidRPr="00A95140">
              <w:rPr>
                <w:rFonts w:ascii="Arial" w:hAnsi="Arial" w:cs="Arial"/>
                <w:b/>
              </w:rPr>
              <w:t>Otras:</w:t>
            </w:r>
          </w:p>
        </w:tc>
        <w:tc>
          <w:tcPr>
            <w:tcW w:w="5244" w:type="dxa"/>
          </w:tcPr>
          <w:p w14:paraId="5CA70ADA" w14:textId="77777777" w:rsidR="006621BE" w:rsidRPr="00A95140" w:rsidRDefault="006621BE" w:rsidP="00EF5AF2">
            <w:pPr>
              <w:tabs>
                <w:tab w:val="left" w:pos="875"/>
              </w:tabs>
              <w:ind w:right="-50"/>
              <w:jc w:val="both"/>
              <w:rPr>
                <w:rFonts w:ascii="Arial" w:hAnsi="Arial" w:cs="Arial"/>
              </w:rPr>
            </w:pPr>
            <w:r w:rsidRPr="00A95140">
              <w:rPr>
                <w:rFonts w:ascii="Arial" w:hAnsi="Arial" w:cs="Arial"/>
              </w:rPr>
              <w:t>El sistema no emite movimientos presupuestales por tercero</w:t>
            </w:r>
          </w:p>
        </w:tc>
      </w:tr>
    </w:tbl>
    <w:p w14:paraId="4334BD92" w14:textId="77777777" w:rsidR="006621BE" w:rsidRPr="00A95140" w:rsidRDefault="006621BE" w:rsidP="006621BE">
      <w:pPr>
        <w:tabs>
          <w:tab w:val="left" w:pos="875"/>
        </w:tabs>
        <w:ind w:left="-142" w:right="-50"/>
        <w:jc w:val="both"/>
        <w:rPr>
          <w:rFonts w:ascii="Arial" w:hAnsi="Arial" w:cs="Arial"/>
          <w:sz w:val="24"/>
        </w:rPr>
      </w:pPr>
    </w:p>
    <w:p w14:paraId="59597064" w14:textId="77777777" w:rsidR="006621BE" w:rsidRPr="00A95140" w:rsidRDefault="006621BE" w:rsidP="003769C9">
      <w:pPr>
        <w:pStyle w:val="Textoindependiente"/>
        <w:ind w:left="-284" w:right="-234"/>
        <w:jc w:val="both"/>
        <w:rPr>
          <w:rFonts w:ascii="Arial" w:hAnsi="Arial" w:cs="Arial"/>
          <w:b/>
          <w:bCs/>
          <w:sz w:val="24"/>
          <w:szCs w:val="24"/>
        </w:rPr>
      </w:pPr>
      <w:r w:rsidRPr="00A95140">
        <w:rPr>
          <w:rFonts w:ascii="Arial" w:hAnsi="Arial" w:cs="Arial"/>
          <w:b/>
          <w:bCs/>
          <w:sz w:val="24"/>
          <w:szCs w:val="24"/>
        </w:rPr>
        <w:t xml:space="preserve">1.2.2. Limitaciones y deficiencias de tipo operativo o administrativo que tienen impacto contable. </w:t>
      </w:r>
    </w:p>
    <w:p w14:paraId="57398AD0" w14:textId="77777777" w:rsidR="006621BE" w:rsidRPr="00A95140" w:rsidRDefault="006621BE" w:rsidP="006621BE">
      <w:pPr>
        <w:pStyle w:val="Textoindependiente"/>
        <w:ind w:left="-284" w:right="-50" w:firstLine="284"/>
        <w:jc w:val="both"/>
        <w:rPr>
          <w:rFonts w:ascii="Arial" w:hAnsi="Arial" w:cs="Arial"/>
          <w:b/>
          <w:bCs/>
          <w:sz w:val="24"/>
          <w:szCs w:val="24"/>
        </w:rPr>
      </w:pPr>
    </w:p>
    <w:p w14:paraId="558F2946" w14:textId="77777777" w:rsidR="006621BE" w:rsidRPr="00A95140" w:rsidRDefault="006621BE" w:rsidP="006621BE">
      <w:pPr>
        <w:pStyle w:val="Textoindependiente"/>
        <w:ind w:left="-284" w:right="-50"/>
        <w:jc w:val="both"/>
        <w:rPr>
          <w:rFonts w:ascii="Arial" w:hAnsi="Arial" w:cs="Arial"/>
          <w:b/>
          <w:bCs/>
          <w:sz w:val="24"/>
          <w:szCs w:val="24"/>
        </w:rPr>
      </w:pPr>
      <w:r w:rsidRPr="00A95140">
        <w:rPr>
          <w:rFonts w:ascii="Arial" w:hAnsi="Arial" w:cs="Arial"/>
          <w:b/>
          <w:bCs/>
          <w:sz w:val="24"/>
          <w:szCs w:val="24"/>
        </w:rPr>
        <w:t xml:space="preserve">1.2.2.1. SIIF Nación. </w:t>
      </w:r>
    </w:p>
    <w:p w14:paraId="702F48DB" w14:textId="77777777" w:rsidR="006621BE" w:rsidRPr="00A95140" w:rsidRDefault="006621BE" w:rsidP="006621BE">
      <w:pPr>
        <w:pStyle w:val="Textoindependiente"/>
        <w:ind w:right="-50"/>
        <w:jc w:val="both"/>
        <w:rPr>
          <w:rFonts w:ascii="Arial" w:hAnsi="Arial" w:cs="Arial"/>
          <w:b/>
          <w:bCs/>
          <w:sz w:val="24"/>
          <w:szCs w:val="24"/>
        </w:rPr>
      </w:pPr>
    </w:p>
    <w:p w14:paraId="610ADF03" w14:textId="77777777" w:rsidR="006621BE" w:rsidRPr="00A95140" w:rsidRDefault="006621BE" w:rsidP="00CB6055">
      <w:pPr>
        <w:pStyle w:val="Textoindependiente"/>
        <w:numPr>
          <w:ilvl w:val="0"/>
          <w:numId w:val="26"/>
        </w:numPr>
        <w:ind w:right="-234"/>
        <w:jc w:val="both"/>
        <w:rPr>
          <w:rFonts w:ascii="Arial" w:hAnsi="Arial" w:cs="Arial"/>
          <w:bCs/>
          <w:sz w:val="24"/>
          <w:szCs w:val="24"/>
        </w:rPr>
      </w:pPr>
      <w:r w:rsidRPr="00A95140">
        <w:rPr>
          <w:rFonts w:ascii="Arial" w:hAnsi="Arial" w:cs="Arial"/>
          <w:bCs/>
          <w:sz w:val="24"/>
          <w:szCs w:val="24"/>
        </w:rPr>
        <w:t xml:space="preserve">No cuenta con un módulo para el manejo y control de cuentas “Inventarios”, “Propiedades, </w:t>
      </w:r>
      <w:r w:rsidRPr="00A95140">
        <w:rPr>
          <w:rFonts w:ascii="Arial" w:hAnsi="Arial" w:cs="Arial"/>
          <w:bCs/>
          <w:sz w:val="24"/>
          <w:szCs w:val="24"/>
        </w:rPr>
        <w:lastRenderedPageBreak/>
        <w:t xml:space="preserve">planta y equipo” y “Bienes intangibles”, que requieren de un seguimiento individualizado y de cálculos de deterioro, depreciación y amortización. </w:t>
      </w:r>
    </w:p>
    <w:p w14:paraId="791A4DD4" w14:textId="77777777" w:rsidR="006621BE" w:rsidRPr="00A95140" w:rsidRDefault="006621BE" w:rsidP="003769C9">
      <w:pPr>
        <w:pStyle w:val="Textoindependiente"/>
        <w:ind w:left="720" w:right="-234"/>
        <w:jc w:val="both"/>
        <w:rPr>
          <w:rFonts w:ascii="Arial" w:hAnsi="Arial" w:cs="Arial"/>
          <w:bCs/>
          <w:sz w:val="24"/>
          <w:szCs w:val="24"/>
        </w:rPr>
      </w:pPr>
    </w:p>
    <w:p w14:paraId="0128B2C2" w14:textId="77777777" w:rsidR="006621BE" w:rsidRPr="00A95140" w:rsidRDefault="006621BE" w:rsidP="00CB6055">
      <w:pPr>
        <w:pStyle w:val="Textoindependiente"/>
        <w:numPr>
          <w:ilvl w:val="0"/>
          <w:numId w:val="26"/>
        </w:numPr>
        <w:ind w:right="-234"/>
        <w:jc w:val="both"/>
        <w:rPr>
          <w:rFonts w:ascii="Arial" w:hAnsi="Arial" w:cs="Arial"/>
          <w:bCs/>
          <w:sz w:val="24"/>
          <w:szCs w:val="24"/>
        </w:rPr>
      </w:pPr>
      <w:r w:rsidRPr="00A95140">
        <w:rPr>
          <w:rFonts w:ascii="Arial" w:hAnsi="Arial" w:cs="Arial"/>
          <w:bCs/>
          <w:sz w:val="24"/>
          <w:szCs w:val="24"/>
        </w:rPr>
        <w:t xml:space="preserve">Las obligaciones asociadas a pagos de contratos y/o convenios son registradas en el SIIF con el atributo contable diferente a “Ninguno”, razón por lo cual sólo se genera el registro contable al momento en que se realiza el pago. En razón de lo anterior y para efectos de control, se requiere elaborar un registro contable manual en las cuentas de orden acreedoras. </w:t>
      </w:r>
    </w:p>
    <w:p w14:paraId="115E6FF5" w14:textId="77777777" w:rsidR="006621BE" w:rsidRPr="00A95140" w:rsidRDefault="006621BE" w:rsidP="003769C9">
      <w:pPr>
        <w:pStyle w:val="Prrafodelista"/>
        <w:ind w:right="-234"/>
        <w:rPr>
          <w:rFonts w:ascii="Arial" w:hAnsi="Arial" w:cs="Arial"/>
          <w:bCs/>
          <w:sz w:val="24"/>
          <w:szCs w:val="24"/>
        </w:rPr>
      </w:pPr>
    </w:p>
    <w:p w14:paraId="6EF9B550" w14:textId="77777777" w:rsidR="006621BE" w:rsidRPr="00A95140" w:rsidRDefault="006621BE" w:rsidP="00CB6055">
      <w:pPr>
        <w:pStyle w:val="Textoindependiente"/>
        <w:numPr>
          <w:ilvl w:val="0"/>
          <w:numId w:val="26"/>
        </w:numPr>
        <w:ind w:right="-234"/>
        <w:jc w:val="both"/>
        <w:rPr>
          <w:rFonts w:ascii="Arial" w:hAnsi="Arial" w:cs="Arial"/>
          <w:bCs/>
          <w:sz w:val="24"/>
          <w:szCs w:val="24"/>
        </w:rPr>
      </w:pPr>
      <w:r w:rsidRPr="00A95140">
        <w:rPr>
          <w:rFonts w:ascii="Arial" w:hAnsi="Arial" w:cs="Arial"/>
          <w:bCs/>
          <w:sz w:val="24"/>
          <w:szCs w:val="24"/>
        </w:rPr>
        <w:t>Los reportes de obligaciones presupuestales no permiten identificar en su impresión las cuentas contables afectadas, situación que impide identificar si la imputación contable fue adecuada para evitar asientos contables manuales de corrección.</w:t>
      </w:r>
    </w:p>
    <w:p w14:paraId="7CADA2F3" w14:textId="77777777" w:rsidR="006621BE" w:rsidRPr="00A95140" w:rsidRDefault="006621BE" w:rsidP="003769C9">
      <w:pPr>
        <w:pStyle w:val="Textoindependiente"/>
        <w:ind w:right="-234"/>
        <w:jc w:val="both"/>
        <w:rPr>
          <w:rFonts w:ascii="Arial" w:hAnsi="Arial" w:cs="Arial"/>
          <w:bCs/>
          <w:sz w:val="24"/>
          <w:szCs w:val="24"/>
        </w:rPr>
      </w:pPr>
    </w:p>
    <w:p w14:paraId="2C5147A1" w14:textId="77777777" w:rsidR="006621BE" w:rsidRPr="00A95140" w:rsidRDefault="006621BE" w:rsidP="00CB6055">
      <w:pPr>
        <w:pStyle w:val="Textoindependiente"/>
        <w:numPr>
          <w:ilvl w:val="0"/>
          <w:numId w:val="26"/>
        </w:numPr>
        <w:ind w:right="-234"/>
        <w:jc w:val="both"/>
        <w:rPr>
          <w:rFonts w:ascii="Arial" w:hAnsi="Arial" w:cs="Arial"/>
          <w:bCs/>
          <w:sz w:val="24"/>
          <w:szCs w:val="24"/>
        </w:rPr>
      </w:pPr>
      <w:r w:rsidRPr="00A95140">
        <w:rPr>
          <w:rFonts w:ascii="Arial" w:hAnsi="Arial" w:cs="Arial"/>
          <w:bCs/>
          <w:sz w:val="24"/>
          <w:szCs w:val="24"/>
        </w:rPr>
        <w:t xml:space="preserve">No genera cuentas auxiliares por períodos acumulados por tercero, por lo que se deben generar los auxiliares por cada mes y cada tercero lo que dificulta la gestión de verificación de información para depuración y análisis bajo estos criterios. </w:t>
      </w:r>
    </w:p>
    <w:p w14:paraId="4535AF00" w14:textId="77777777" w:rsidR="006621BE" w:rsidRPr="00A95140" w:rsidRDefault="006621BE" w:rsidP="003769C9">
      <w:pPr>
        <w:pStyle w:val="Prrafodelista"/>
        <w:ind w:right="-234"/>
        <w:rPr>
          <w:rFonts w:ascii="Arial" w:hAnsi="Arial" w:cs="Arial"/>
          <w:bCs/>
          <w:sz w:val="24"/>
          <w:szCs w:val="24"/>
        </w:rPr>
      </w:pPr>
    </w:p>
    <w:p w14:paraId="37875FBA" w14:textId="77777777" w:rsidR="006621BE" w:rsidRPr="00A95140" w:rsidRDefault="006621BE" w:rsidP="00CB6055">
      <w:pPr>
        <w:pStyle w:val="Textoindependiente"/>
        <w:numPr>
          <w:ilvl w:val="0"/>
          <w:numId w:val="26"/>
        </w:numPr>
        <w:ind w:right="-234"/>
        <w:jc w:val="both"/>
        <w:rPr>
          <w:rFonts w:ascii="Arial" w:hAnsi="Arial" w:cs="Arial"/>
          <w:bCs/>
          <w:sz w:val="24"/>
          <w:szCs w:val="24"/>
        </w:rPr>
      </w:pPr>
      <w:r w:rsidRPr="00A95140">
        <w:rPr>
          <w:rFonts w:ascii="Arial" w:hAnsi="Arial" w:cs="Arial"/>
          <w:bCs/>
          <w:sz w:val="24"/>
          <w:szCs w:val="24"/>
        </w:rPr>
        <w:t>No se cuenta con un módulo para el manejo y control de las cuentas “Anticipos” y “Recursos entregados en administración”, que requieren de un seguimiento por número de contrato o convenio y por proyecto razón por la cual se requiere su control en hojas de cálculo de Excel</w:t>
      </w:r>
    </w:p>
    <w:p w14:paraId="5F703C68" w14:textId="77777777" w:rsidR="006621BE" w:rsidRPr="00A95140" w:rsidRDefault="006621BE" w:rsidP="006621BE">
      <w:pPr>
        <w:tabs>
          <w:tab w:val="left" w:pos="875"/>
        </w:tabs>
        <w:ind w:left="-142" w:right="-50"/>
        <w:jc w:val="both"/>
        <w:rPr>
          <w:rFonts w:ascii="Arial" w:hAnsi="Arial" w:cs="Arial"/>
          <w:sz w:val="24"/>
          <w:szCs w:val="24"/>
        </w:rPr>
      </w:pPr>
    </w:p>
    <w:p w14:paraId="6FCA59D0" w14:textId="77777777" w:rsidR="006621BE" w:rsidRDefault="006621BE" w:rsidP="00376344">
      <w:pPr>
        <w:ind w:left="-284"/>
        <w:jc w:val="both"/>
        <w:rPr>
          <w:rFonts w:ascii="Arial" w:hAnsi="Arial" w:cs="Arial"/>
          <w:b/>
          <w:sz w:val="24"/>
          <w:szCs w:val="24"/>
        </w:rPr>
      </w:pPr>
      <w:r w:rsidRPr="003F19C1">
        <w:rPr>
          <w:rFonts w:ascii="Arial" w:hAnsi="Arial" w:cs="Arial"/>
          <w:b/>
          <w:sz w:val="28"/>
          <w:szCs w:val="28"/>
          <w:lang w:val="es-MX"/>
        </w:rPr>
        <w:t>133.- FONDO ADAPTACIÓN.</w:t>
      </w:r>
    </w:p>
    <w:p w14:paraId="40E48051" w14:textId="77777777" w:rsidR="006621BE" w:rsidRPr="009E43DA" w:rsidRDefault="006621BE" w:rsidP="006621BE">
      <w:pPr>
        <w:pStyle w:val="Prrafodelista"/>
        <w:tabs>
          <w:tab w:val="left" w:pos="875"/>
        </w:tabs>
        <w:ind w:left="-142" w:right="-50"/>
        <w:rPr>
          <w:rFonts w:ascii="Times New Roman" w:hAnsi="Times New Roman"/>
          <w:sz w:val="24"/>
        </w:rPr>
      </w:pPr>
    </w:p>
    <w:tbl>
      <w:tblPr>
        <w:tblStyle w:val="Tablaconcuadrcula"/>
        <w:tblW w:w="10490" w:type="dxa"/>
        <w:tblInd w:w="-289" w:type="dxa"/>
        <w:tblLook w:val="04A0" w:firstRow="1" w:lastRow="0" w:firstColumn="1" w:lastColumn="0" w:noHBand="0" w:noVBand="1"/>
      </w:tblPr>
      <w:tblGrid>
        <w:gridCol w:w="1135"/>
        <w:gridCol w:w="4111"/>
        <w:gridCol w:w="5244"/>
      </w:tblGrid>
      <w:tr w:rsidR="006621BE" w:rsidRPr="00884739" w14:paraId="40B78EB4" w14:textId="77777777" w:rsidTr="00D102CF">
        <w:tc>
          <w:tcPr>
            <w:tcW w:w="1135" w:type="dxa"/>
          </w:tcPr>
          <w:p w14:paraId="191B71BB" w14:textId="77777777" w:rsidR="006621BE" w:rsidRPr="00884739" w:rsidRDefault="006621BE" w:rsidP="00EF5AF2">
            <w:pPr>
              <w:tabs>
                <w:tab w:val="left" w:pos="875"/>
              </w:tabs>
              <w:ind w:right="-50"/>
              <w:jc w:val="center"/>
              <w:rPr>
                <w:rFonts w:ascii="Arial" w:hAnsi="Arial" w:cs="Arial"/>
                <w:b/>
              </w:rPr>
            </w:pPr>
            <w:r w:rsidRPr="00884739">
              <w:rPr>
                <w:rFonts w:ascii="Arial" w:hAnsi="Arial" w:cs="Arial"/>
                <w:b/>
              </w:rPr>
              <w:t>N°</w:t>
            </w:r>
          </w:p>
        </w:tc>
        <w:tc>
          <w:tcPr>
            <w:tcW w:w="4111" w:type="dxa"/>
          </w:tcPr>
          <w:p w14:paraId="5520FBE0" w14:textId="77777777" w:rsidR="006621BE" w:rsidRDefault="006621BE" w:rsidP="00EF5AF2">
            <w:pPr>
              <w:tabs>
                <w:tab w:val="left" w:pos="875"/>
              </w:tabs>
              <w:ind w:right="-50"/>
              <w:jc w:val="center"/>
              <w:rPr>
                <w:rFonts w:ascii="Arial" w:hAnsi="Arial" w:cs="Arial"/>
                <w:b/>
              </w:rPr>
            </w:pPr>
            <w:r w:rsidRPr="00884739">
              <w:rPr>
                <w:rFonts w:ascii="Arial" w:hAnsi="Arial" w:cs="Arial"/>
                <w:b/>
              </w:rPr>
              <w:t>Limitaciones del Sistema SIIF II Nación a 31/12/2024</w:t>
            </w:r>
          </w:p>
          <w:p w14:paraId="4CE6BF4A" w14:textId="0EFE842A" w:rsidR="00D102CF" w:rsidRPr="00884739" w:rsidRDefault="00D102CF" w:rsidP="00EF5AF2">
            <w:pPr>
              <w:tabs>
                <w:tab w:val="left" w:pos="875"/>
              </w:tabs>
              <w:ind w:right="-50"/>
              <w:jc w:val="center"/>
              <w:rPr>
                <w:rFonts w:ascii="Arial" w:hAnsi="Arial" w:cs="Arial"/>
                <w:b/>
              </w:rPr>
            </w:pPr>
          </w:p>
        </w:tc>
        <w:tc>
          <w:tcPr>
            <w:tcW w:w="5244" w:type="dxa"/>
          </w:tcPr>
          <w:p w14:paraId="4B45681A" w14:textId="77777777" w:rsidR="006621BE" w:rsidRPr="00884739" w:rsidRDefault="006621BE" w:rsidP="00EF5AF2">
            <w:pPr>
              <w:tabs>
                <w:tab w:val="left" w:pos="875"/>
              </w:tabs>
              <w:ind w:right="-50"/>
              <w:jc w:val="center"/>
              <w:rPr>
                <w:rFonts w:ascii="Arial" w:hAnsi="Arial" w:cs="Arial"/>
                <w:b/>
              </w:rPr>
            </w:pPr>
            <w:r w:rsidRPr="00884739">
              <w:rPr>
                <w:rFonts w:ascii="Arial" w:hAnsi="Arial" w:cs="Arial"/>
                <w:b/>
              </w:rPr>
              <w:t>Descripción de la limitación</w:t>
            </w:r>
          </w:p>
        </w:tc>
      </w:tr>
      <w:tr w:rsidR="006621BE" w:rsidRPr="00884739" w14:paraId="46EA4F52" w14:textId="77777777" w:rsidTr="00D102CF">
        <w:tc>
          <w:tcPr>
            <w:tcW w:w="1135" w:type="dxa"/>
          </w:tcPr>
          <w:p w14:paraId="5CEA6063" w14:textId="77777777" w:rsidR="006621BE" w:rsidRPr="00884739" w:rsidRDefault="006621BE" w:rsidP="00EF5AF2">
            <w:pPr>
              <w:tabs>
                <w:tab w:val="left" w:pos="875"/>
              </w:tabs>
              <w:ind w:right="-50"/>
              <w:jc w:val="center"/>
              <w:rPr>
                <w:rFonts w:ascii="Arial" w:hAnsi="Arial" w:cs="Arial"/>
                <w:b/>
              </w:rPr>
            </w:pPr>
            <w:r w:rsidRPr="00884739">
              <w:rPr>
                <w:rFonts w:ascii="Arial" w:hAnsi="Arial" w:cs="Arial"/>
                <w:b/>
              </w:rPr>
              <w:t>1</w:t>
            </w:r>
          </w:p>
        </w:tc>
        <w:tc>
          <w:tcPr>
            <w:tcW w:w="4111" w:type="dxa"/>
          </w:tcPr>
          <w:p w14:paraId="26809D5E" w14:textId="77777777" w:rsidR="006621BE" w:rsidRPr="00884739" w:rsidRDefault="006621BE" w:rsidP="00EF5AF2">
            <w:pPr>
              <w:tabs>
                <w:tab w:val="left" w:pos="875"/>
              </w:tabs>
              <w:ind w:right="-50"/>
              <w:jc w:val="both"/>
              <w:rPr>
                <w:rFonts w:ascii="Arial" w:hAnsi="Arial" w:cs="Arial"/>
                <w:b/>
              </w:rPr>
            </w:pPr>
            <w:r w:rsidRPr="00884739">
              <w:rPr>
                <w:rFonts w:ascii="Arial" w:hAnsi="Arial" w:cs="Arial"/>
                <w:b/>
              </w:rPr>
              <w:t>Operativas:</w:t>
            </w:r>
          </w:p>
        </w:tc>
        <w:tc>
          <w:tcPr>
            <w:tcW w:w="5244" w:type="dxa"/>
          </w:tcPr>
          <w:p w14:paraId="2F21EC1A" w14:textId="77777777" w:rsidR="006621BE" w:rsidRPr="00884739" w:rsidRDefault="006621BE" w:rsidP="00EF5AF2">
            <w:pPr>
              <w:tabs>
                <w:tab w:val="left" w:pos="875"/>
              </w:tabs>
              <w:jc w:val="both"/>
              <w:rPr>
                <w:rFonts w:ascii="Arial" w:hAnsi="Arial" w:cs="Arial"/>
                <w:bCs/>
              </w:rPr>
            </w:pPr>
            <w:r w:rsidRPr="00884739">
              <w:rPr>
                <w:rFonts w:ascii="Arial" w:hAnsi="Arial" w:cs="Arial"/>
                <w:bCs/>
              </w:rPr>
              <w:t>El sistema no integra la totalidad de las operaciones financieras de la entidad, toda vez que no cuenta con los módulos de inventarios, activos fijos, nómina, recursos de inversión y procesos judiciales.</w:t>
            </w:r>
          </w:p>
          <w:p w14:paraId="436B69D3" w14:textId="77777777" w:rsidR="006621BE" w:rsidRPr="00884739" w:rsidRDefault="006621BE" w:rsidP="00EF5AF2">
            <w:pPr>
              <w:tabs>
                <w:tab w:val="left" w:pos="875"/>
              </w:tabs>
              <w:jc w:val="both"/>
              <w:rPr>
                <w:rFonts w:ascii="Arial" w:hAnsi="Arial" w:cs="Arial"/>
                <w:bCs/>
              </w:rPr>
            </w:pPr>
          </w:p>
          <w:p w14:paraId="0AC7AF54" w14:textId="77777777" w:rsidR="006621BE" w:rsidRPr="00884739" w:rsidRDefault="006621BE" w:rsidP="00EF5AF2">
            <w:pPr>
              <w:tabs>
                <w:tab w:val="left" w:pos="875"/>
              </w:tabs>
              <w:jc w:val="both"/>
              <w:rPr>
                <w:rFonts w:ascii="Arial" w:hAnsi="Arial" w:cs="Arial"/>
                <w:bCs/>
              </w:rPr>
            </w:pPr>
            <w:r w:rsidRPr="00884739">
              <w:rPr>
                <w:rFonts w:ascii="Arial" w:hAnsi="Arial" w:cs="Arial"/>
                <w:bCs/>
              </w:rPr>
              <w:t>Por lo anterior, es necesario realizar registros mediante la nueva tipología de comprobantes manuales en el sistema de las siguientes operaciones: Manejo de bienes, depreciación, amortización y deterioro, amortización de bienes y servicios pagados por anticipado, litigios, demandas y laudos arbitrales y recursos de inversión.</w:t>
            </w:r>
          </w:p>
          <w:p w14:paraId="299DDDAB" w14:textId="77777777" w:rsidR="006621BE" w:rsidRPr="00884739" w:rsidRDefault="006621BE" w:rsidP="00EF5AF2">
            <w:pPr>
              <w:tabs>
                <w:tab w:val="left" w:pos="875"/>
              </w:tabs>
              <w:jc w:val="both"/>
              <w:rPr>
                <w:rFonts w:ascii="Arial" w:hAnsi="Arial" w:cs="Arial"/>
                <w:bCs/>
              </w:rPr>
            </w:pPr>
          </w:p>
          <w:p w14:paraId="284DACC8" w14:textId="77777777" w:rsidR="006621BE" w:rsidRPr="00884739" w:rsidRDefault="006621BE" w:rsidP="00EF5AF2">
            <w:pPr>
              <w:tabs>
                <w:tab w:val="left" w:pos="875"/>
              </w:tabs>
              <w:ind w:right="-50"/>
              <w:jc w:val="both"/>
              <w:rPr>
                <w:rFonts w:ascii="Arial" w:hAnsi="Arial" w:cs="Arial"/>
              </w:rPr>
            </w:pPr>
            <w:r w:rsidRPr="00884739">
              <w:rPr>
                <w:rFonts w:ascii="Arial" w:hAnsi="Arial" w:cs="Arial"/>
                <w:bCs/>
              </w:rPr>
              <w:t>De manera consecuente y teniendo en cuenta que no se dispone con las funcionalidades que ayuden a integrar los sistemas de información auxiliares de la entidad con el SIIF Nación, limita la oportunidad y eficacia de seguimiento a la traza contable de las operaciones relacionadas con el reconocimiento de los hechos derivados de estos auxiliares.</w:t>
            </w:r>
          </w:p>
        </w:tc>
      </w:tr>
      <w:tr w:rsidR="006621BE" w:rsidRPr="00884739" w14:paraId="0B7CBE72" w14:textId="77777777" w:rsidTr="00D102CF">
        <w:tc>
          <w:tcPr>
            <w:tcW w:w="1135" w:type="dxa"/>
          </w:tcPr>
          <w:p w14:paraId="25F1CE63" w14:textId="77777777" w:rsidR="006621BE" w:rsidRPr="00884739" w:rsidRDefault="006621BE" w:rsidP="00EF5AF2">
            <w:pPr>
              <w:tabs>
                <w:tab w:val="left" w:pos="875"/>
              </w:tabs>
              <w:ind w:right="-50"/>
              <w:jc w:val="center"/>
              <w:rPr>
                <w:rFonts w:ascii="Arial" w:hAnsi="Arial" w:cs="Arial"/>
                <w:b/>
              </w:rPr>
            </w:pPr>
            <w:r w:rsidRPr="00884739">
              <w:rPr>
                <w:rFonts w:ascii="Arial" w:hAnsi="Arial" w:cs="Arial"/>
                <w:b/>
              </w:rPr>
              <w:t>2</w:t>
            </w:r>
          </w:p>
        </w:tc>
        <w:tc>
          <w:tcPr>
            <w:tcW w:w="4111" w:type="dxa"/>
          </w:tcPr>
          <w:p w14:paraId="48877E63" w14:textId="77777777" w:rsidR="006621BE" w:rsidRPr="00884739" w:rsidRDefault="006621BE" w:rsidP="00EF5AF2">
            <w:pPr>
              <w:tabs>
                <w:tab w:val="left" w:pos="875"/>
              </w:tabs>
              <w:ind w:right="-50"/>
              <w:jc w:val="both"/>
              <w:rPr>
                <w:rFonts w:ascii="Arial" w:hAnsi="Arial" w:cs="Arial"/>
                <w:b/>
              </w:rPr>
            </w:pPr>
            <w:r w:rsidRPr="00884739">
              <w:rPr>
                <w:rFonts w:ascii="Arial" w:hAnsi="Arial" w:cs="Arial"/>
                <w:b/>
              </w:rPr>
              <w:t>Otras:</w:t>
            </w:r>
          </w:p>
        </w:tc>
        <w:tc>
          <w:tcPr>
            <w:tcW w:w="5244" w:type="dxa"/>
          </w:tcPr>
          <w:p w14:paraId="11086E50" w14:textId="77777777" w:rsidR="006621BE" w:rsidRPr="00884739" w:rsidRDefault="006621BE" w:rsidP="00EF5AF2">
            <w:pPr>
              <w:tabs>
                <w:tab w:val="left" w:pos="875"/>
              </w:tabs>
              <w:ind w:right="-50"/>
              <w:jc w:val="both"/>
              <w:rPr>
                <w:rFonts w:ascii="Arial" w:hAnsi="Arial" w:cs="Arial"/>
              </w:rPr>
            </w:pPr>
            <w:r w:rsidRPr="00884739">
              <w:rPr>
                <w:rFonts w:ascii="Arial" w:hAnsi="Arial" w:cs="Arial"/>
                <w:bCs/>
              </w:rPr>
              <w:t xml:space="preserve">El SIIF Nación no tiene parametrizado con tercero las subcuentas del grupo 15-Inventarios, considerando que en atención a doctrina emitida por la CGN el Fondo registra erogaciones a contratistas que temporalmente se controlan en estas subcuentas que posteriormente son reconocidas como gasto público social. </w:t>
            </w:r>
          </w:p>
        </w:tc>
      </w:tr>
    </w:tbl>
    <w:p w14:paraId="4BA2C48D" w14:textId="77777777" w:rsidR="006621BE" w:rsidRDefault="006621BE" w:rsidP="006621BE">
      <w:pPr>
        <w:tabs>
          <w:tab w:val="left" w:pos="875"/>
        </w:tabs>
        <w:ind w:left="-142" w:right="-50"/>
        <w:jc w:val="both"/>
        <w:rPr>
          <w:rFonts w:ascii="Times New Roman" w:hAnsi="Times New Roman"/>
          <w:sz w:val="24"/>
        </w:rPr>
      </w:pPr>
    </w:p>
    <w:p w14:paraId="3E5B2459" w14:textId="77777777" w:rsidR="006621BE" w:rsidRPr="003F19C1" w:rsidRDefault="006621BE" w:rsidP="00D102CF">
      <w:pPr>
        <w:ind w:left="-284" w:right="-234"/>
        <w:jc w:val="both"/>
        <w:rPr>
          <w:rFonts w:ascii="Arial" w:hAnsi="Arial" w:cs="Arial"/>
          <w:sz w:val="24"/>
          <w:szCs w:val="24"/>
        </w:rPr>
      </w:pPr>
      <w:r w:rsidRPr="003F19C1">
        <w:rPr>
          <w:rFonts w:ascii="Arial" w:hAnsi="Arial" w:cs="Arial"/>
          <w:b/>
          <w:sz w:val="24"/>
          <w:szCs w:val="24"/>
        </w:rPr>
        <w:t xml:space="preserve">DE LAS NOTAS DE CARÁCTER GENERAL – 1.2.2. Limitaciones y Deficiencias de Tipo Operativo y Administrativo:  </w:t>
      </w:r>
      <w:r w:rsidRPr="003F19C1">
        <w:rPr>
          <w:rFonts w:ascii="Arial" w:hAnsi="Arial" w:cs="Arial"/>
          <w:sz w:val="24"/>
          <w:szCs w:val="24"/>
        </w:rPr>
        <w:t>Se presentan limitaciones con el sistema SIIF Nación el cual fue regulado mediante el Decreto 1068 del 26 de mayo de 2015 “</w:t>
      </w:r>
      <w:r w:rsidRPr="003F19C1">
        <w:rPr>
          <w:rFonts w:ascii="Arial" w:hAnsi="Arial" w:cs="Arial"/>
          <w:i/>
          <w:sz w:val="24"/>
          <w:szCs w:val="24"/>
        </w:rPr>
        <w:t>Por medio del cual se expide el Decreto Único Reglamentario del Sector Hacienda y Crédito Público</w:t>
      </w:r>
      <w:r w:rsidRPr="003F19C1">
        <w:rPr>
          <w:rFonts w:ascii="Arial" w:hAnsi="Arial" w:cs="Arial"/>
          <w:sz w:val="24"/>
          <w:szCs w:val="24"/>
        </w:rPr>
        <w:t>” y compiló las normas que determinan el marco para la administración, implantación, operatividad y aplicabilidad del Sistema Integrado de Información Financiera SIIF-Nación.</w:t>
      </w:r>
    </w:p>
    <w:p w14:paraId="498E3CFA" w14:textId="77777777" w:rsidR="006621BE" w:rsidRPr="003F19C1" w:rsidRDefault="006621BE" w:rsidP="00D102CF">
      <w:pPr>
        <w:ind w:left="-284" w:right="-234"/>
        <w:jc w:val="both"/>
        <w:rPr>
          <w:rFonts w:ascii="Arial" w:hAnsi="Arial" w:cs="Arial"/>
          <w:sz w:val="24"/>
          <w:szCs w:val="24"/>
        </w:rPr>
      </w:pPr>
    </w:p>
    <w:p w14:paraId="70C62A12" w14:textId="46A55AD1" w:rsidR="006621BE" w:rsidRDefault="006621BE" w:rsidP="00D102CF">
      <w:pPr>
        <w:ind w:left="-284" w:right="-234"/>
        <w:jc w:val="both"/>
        <w:rPr>
          <w:rFonts w:ascii="Arial" w:hAnsi="Arial" w:cs="Arial"/>
          <w:sz w:val="24"/>
          <w:szCs w:val="24"/>
        </w:rPr>
      </w:pPr>
      <w:r w:rsidRPr="003F19C1">
        <w:rPr>
          <w:rFonts w:ascii="Arial" w:hAnsi="Arial" w:cs="Arial"/>
          <w:sz w:val="24"/>
          <w:szCs w:val="24"/>
        </w:rPr>
        <w:t xml:space="preserve"> Las principales deficiencias se dan debido a que dicho sistema no cuenta con los módulos de inventarios, activos fijos, nómina y recursos de inversión, es necesario realizar registros mediante comprobantes manuales en el sistema de las siguientes operaciones:</w:t>
      </w:r>
    </w:p>
    <w:p w14:paraId="5099D2E6" w14:textId="77777777" w:rsidR="00D102CF" w:rsidRPr="003F19C1" w:rsidRDefault="00D102CF" w:rsidP="00D102CF">
      <w:pPr>
        <w:ind w:left="-284" w:right="-234"/>
        <w:jc w:val="both"/>
        <w:rPr>
          <w:rFonts w:ascii="Arial" w:hAnsi="Arial" w:cs="Arial"/>
          <w:sz w:val="24"/>
          <w:szCs w:val="24"/>
        </w:rPr>
      </w:pPr>
    </w:p>
    <w:p w14:paraId="7D48D9EA" w14:textId="77777777" w:rsidR="006621BE" w:rsidRPr="003F19C1" w:rsidRDefault="006621BE" w:rsidP="00CB6055">
      <w:pPr>
        <w:widowControl/>
        <w:numPr>
          <w:ilvl w:val="0"/>
          <w:numId w:val="27"/>
        </w:numPr>
        <w:pBdr>
          <w:top w:val="nil"/>
          <w:left w:val="nil"/>
          <w:bottom w:val="nil"/>
          <w:right w:val="nil"/>
          <w:between w:val="nil"/>
        </w:pBdr>
        <w:autoSpaceDE/>
        <w:autoSpaceDN/>
        <w:ind w:right="-234"/>
        <w:jc w:val="both"/>
        <w:rPr>
          <w:rFonts w:ascii="Arial" w:hAnsi="Arial" w:cs="Arial"/>
          <w:color w:val="000000"/>
          <w:sz w:val="24"/>
          <w:szCs w:val="24"/>
        </w:rPr>
      </w:pPr>
      <w:r w:rsidRPr="003F19C1">
        <w:rPr>
          <w:rFonts w:ascii="Arial" w:hAnsi="Arial" w:cs="Arial"/>
          <w:color w:val="000000"/>
          <w:sz w:val="24"/>
          <w:szCs w:val="24"/>
        </w:rPr>
        <w:t>Manejo de bienes: Registros de los movimientos de almacén como salidas, reintegros, bajas, responsabilidades, entre otros.</w:t>
      </w:r>
    </w:p>
    <w:p w14:paraId="6EDCDD11" w14:textId="77777777" w:rsidR="006621BE" w:rsidRPr="003F19C1" w:rsidRDefault="006621BE" w:rsidP="003769C9">
      <w:pPr>
        <w:pStyle w:val="Textoindependiente"/>
        <w:ind w:right="-234"/>
        <w:jc w:val="both"/>
        <w:rPr>
          <w:rFonts w:ascii="Arial" w:hAnsi="Arial" w:cs="Arial"/>
          <w:bCs/>
          <w:sz w:val="24"/>
          <w:szCs w:val="24"/>
        </w:rPr>
      </w:pPr>
    </w:p>
    <w:p w14:paraId="2A19C725" w14:textId="77777777" w:rsidR="006621BE" w:rsidRPr="003F19C1" w:rsidRDefault="006621BE" w:rsidP="00CB6055">
      <w:pPr>
        <w:widowControl/>
        <w:numPr>
          <w:ilvl w:val="0"/>
          <w:numId w:val="27"/>
        </w:numPr>
        <w:pBdr>
          <w:top w:val="nil"/>
          <w:left w:val="nil"/>
          <w:bottom w:val="nil"/>
          <w:right w:val="nil"/>
          <w:between w:val="nil"/>
        </w:pBdr>
        <w:autoSpaceDE/>
        <w:autoSpaceDN/>
        <w:ind w:right="-234"/>
        <w:jc w:val="both"/>
        <w:rPr>
          <w:rFonts w:ascii="Arial" w:hAnsi="Arial" w:cs="Arial"/>
          <w:color w:val="000000"/>
          <w:sz w:val="24"/>
          <w:szCs w:val="24"/>
        </w:rPr>
      </w:pPr>
      <w:r w:rsidRPr="003F19C1">
        <w:rPr>
          <w:rFonts w:ascii="Arial" w:hAnsi="Arial" w:cs="Arial"/>
          <w:color w:val="000000"/>
          <w:sz w:val="24"/>
          <w:szCs w:val="24"/>
        </w:rPr>
        <w:t>Depreciación, amortización y deterioro: Registro de la depreciación de Propiedad, Planta y Equipo, así como pérdidas de deterioro de activos cuando haya lugar.</w:t>
      </w:r>
    </w:p>
    <w:p w14:paraId="39F9948F" w14:textId="77777777" w:rsidR="006621BE" w:rsidRPr="003F19C1" w:rsidRDefault="006621BE" w:rsidP="003769C9">
      <w:pPr>
        <w:widowControl/>
        <w:pBdr>
          <w:top w:val="nil"/>
          <w:left w:val="nil"/>
          <w:bottom w:val="nil"/>
          <w:right w:val="nil"/>
          <w:between w:val="nil"/>
        </w:pBdr>
        <w:autoSpaceDE/>
        <w:autoSpaceDN/>
        <w:ind w:left="502" w:right="-234"/>
        <w:jc w:val="both"/>
        <w:rPr>
          <w:rFonts w:ascii="Arial" w:hAnsi="Arial" w:cs="Arial"/>
          <w:sz w:val="24"/>
          <w:szCs w:val="24"/>
        </w:rPr>
      </w:pPr>
    </w:p>
    <w:p w14:paraId="36C4FBAE" w14:textId="77777777" w:rsidR="006621BE" w:rsidRPr="003F19C1" w:rsidRDefault="006621BE" w:rsidP="00CB6055">
      <w:pPr>
        <w:widowControl/>
        <w:numPr>
          <w:ilvl w:val="0"/>
          <w:numId w:val="27"/>
        </w:numPr>
        <w:pBdr>
          <w:top w:val="nil"/>
          <w:left w:val="nil"/>
          <w:bottom w:val="nil"/>
          <w:right w:val="nil"/>
          <w:between w:val="nil"/>
        </w:pBdr>
        <w:autoSpaceDE/>
        <w:autoSpaceDN/>
        <w:ind w:right="-234"/>
        <w:jc w:val="both"/>
        <w:rPr>
          <w:rFonts w:ascii="Arial" w:hAnsi="Arial" w:cs="Arial"/>
          <w:sz w:val="24"/>
          <w:szCs w:val="24"/>
        </w:rPr>
      </w:pPr>
      <w:r w:rsidRPr="003F19C1">
        <w:rPr>
          <w:rFonts w:ascii="Arial" w:hAnsi="Arial" w:cs="Arial"/>
          <w:color w:val="000000"/>
          <w:sz w:val="24"/>
          <w:szCs w:val="24"/>
        </w:rPr>
        <w:t>Amortización bienes y servicios pagados por anticipado: Corresponde a los registros por amortizaciones de gastos, así como de otros conceptos por gastos pagados por anticipado.</w:t>
      </w:r>
    </w:p>
    <w:p w14:paraId="3DF811DC" w14:textId="77777777" w:rsidR="006621BE" w:rsidRPr="003F19C1" w:rsidRDefault="006621BE" w:rsidP="003769C9">
      <w:pPr>
        <w:widowControl/>
        <w:pBdr>
          <w:top w:val="nil"/>
          <w:left w:val="nil"/>
          <w:bottom w:val="nil"/>
          <w:right w:val="nil"/>
          <w:between w:val="nil"/>
        </w:pBdr>
        <w:autoSpaceDE/>
        <w:autoSpaceDN/>
        <w:ind w:left="502" w:right="-234"/>
        <w:jc w:val="both"/>
        <w:rPr>
          <w:rFonts w:ascii="Arial" w:hAnsi="Arial" w:cs="Arial"/>
          <w:color w:val="000000"/>
          <w:sz w:val="24"/>
          <w:szCs w:val="24"/>
        </w:rPr>
      </w:pPr>
    </w:p>
    <w:p w14:paraId="70D201FB" w14:textId="77777777" w:rsidR="006621BE" w:rsidRPr="003F19C1" w:rsidRDefault="006621BE" w:rsidP="00CB6055">
      <w:pPr>
        <w:widowControl/>
        <w:numPr>
          <w:ilvl w:val="0"/>
          <w:numId w:val="27"/>
        </w:numPr>
        <w:pBdr>
          <w:top w:val="nil"/>
          <w:left w:val="nil"/>
          <w:bottom w:val="nil"/>
          <w:right w:val="nil"/>
          <w:between w:val="nil"/>
        </w:pBdr>
        <w:autoSpaceDE/>
        <w:autoSpaceDN/>
        <w:ind w:right="-234"/>
        <w:jc w:val="both"/>
        <w:rPr>
          <w:rFonts w:ascii="Arial" w:hAnsi="Arial" w:cs="Arial"/>
          <w:color w:val="000000"/>
          <w:sz w:val="24"/>
          <w:szCs w:val="24"/>
        </w:rPr>
      </w:pPr>
      <w:r w:rsidRPr="003F19C1">
        <w:rPr>
          <w:rFonts w:ascii="Arial" w:hAnsi="Arial" w:cs="Arial"/>
          <w:color w:val="000000"/>
          <w:sz w:val="24"/>
          <w:szCs w:val="24"/>
        </w:rPr>
        <w:t>Litigios, Demandas y Laudos arbitrales: Operaciones relacionadas con las demandas a favor y en contra de la entidad, tales como pretensiones, provisiones para pasivos contingentes, pasivos reales y deudores.</w:t>
      </w:r>
    </w:p>
    <w:p w14:paraId="43A2EAF3" w14:textId="77777777" w:rsidR="006621BE" w:rsidRPr="003F19C1" w:rsidRDefault="006621BE" w:rsidP="003769C9">
      <w:pPr>
        <w:pBdr>
          <w:top w:val="nil"/>
          <w:left w:val="nil"/>
          <w:bottom w:val="nil"/>
          <w:right w:val="nil"/>
          <w:between w:val="nil"/>
        </w:pBdr>
        <w:ind w:left="720" w:right="-234"/>
        <w:jc w:val="both"/>
        <w:rPr>
          <w:rFonts w:ascii="Arial" w:hAnsi="Arial" w:cs="Arial"/>
          <w:color w:val="000000"/>
          <w:sz w:val="24"/>
          <w:szCs w:val="24"/>
        </w:rPr>
      </w:pPr>
    </w:p>
    <w:p w14:paraId="5C1C545A" w14:textId="77777777" w:rsidR="006621BE" w:rsidRPr="003F19C1" w:rsidRDefault="006621BE" w:rsidP="00D102CF">
      <w:pPr>
        <w:ind w:left="-284" w:right="-234"/>
        <w:jc w:val="both"/>
        <w:rPr>
          <w:rFonts w:ascii="Arial" w:hAnsi="Arial" w:cs="Arial"/>
          <w:sz w:val="24"/>
          <w:szCs w:val="24"/>
        </w:rPr>
      </w:pPr>
      <w:r w:rsidRPr="003F19C1">
        <w:rPr>
          <w:rFonts w:ascii="Arial" w:hAnsi="Arial" w:cs="Arial"/>
          <w:sz w:val="24"/>
          <w:szCs w:val="24"/>
        </w:rPr>
        <w:t>Así mismo, y teniendo en cuenta que la ejecución presupuestal del gasto de inversión administrado en patrimonios autónomos no se produce de manera automática en el Sistema Integrado de Información Financiera SIIF-Nación, el movimiento de ingresos y egresos de la Fiduciaria se registran a través de comprobantes manuales (Transaccional o archivo plano), los cuales se realizan de forma diaria, debido a que la contabilidad es llevada por las Fiducias contratadas y el Fondo hace réplica de las operaciones en su contabilidad.</w:t>
      </w:r>
    </w:p>
    <w:p w14:paraId="45DCE600" w14:textId="77777777" w:rsidR="006621BE" w:rsidRPr="003F19C1" w:rsidRDefault="006621BE" w:rsidP="00D102CF">
      <w:pPr>
        <w:ind w:left="-284" w:right="-234"/>
        <w:jc w:val="both"/>
        <w:rPr>
          <w:rFonts w:ascii="Arial" w:hAnsi="Arial" w:cs="Arial"/>
          <w:sz w:val="24"/>
          <w:szCs w:val="24"/>
        </w:rPr>
      </w:pPr>
    </w:p>
    <w:p w14:paraId="467057A8" w14:textId="77777777" w:rsidR="006621BE" w:rsidRPr="003F19C1" w:rsidRDefault="006621BE" w:rsidP="00D102CF">
      <w:pPr>
        <w:ind w:left="-284" w:right="-234"/>
        <w:jc w:val="both"/>
        <w:rPr>
          <w:rFonts w:ascii="Arial" w:hAnsi="Arial" w:cs="Arial"/>
          <w:sz w:val="24"/>
          <w:szCs w:val="24"/>
        </w:rPr>
      </w:pPr>
      <w:r w:rsidRPr="003F19C1">
        <w:rPr>
          <w:rFonts w:ascii="Arial" w:hAnsi="Arial" w:cs="Arial"/>
          <w:sz w:val="24"/>
          <w:szCs w:val="24"/>
        </w:rPr>
        <w:t>Es preciso señalar, que aún no se cuenta con las funcionalidades que ayuden a integrar los sistemas de información auxiliares de la entidad con el SIIF Nación, aspecto que limita la oportunidad y eficacia de seguimiento a la traza contable de las operaciones relacionadas con el reconocimiento de los hechos derivados de tales subsistemas.</w:t>
      </w:r>
    </w:p>
    <w:p w14:paraId="5EDF90B6" w14:textId="77777777" w:rsidR="006621BE" w:rsidRPr="003F19C1" w:rsidRDefault="006621BE" w:rsidP="00D102CF">
      <w:pPr>
        <w:ind w:left="-284" w:right="-234"/>
        <w:jc w:val="both"/>
        <w:rPr>
          <w:rFonts w:ascii="Arial" w:hAnsi="Arial" w:cs="Arial"/>
          <w:sz w:val="24"/>
          <w:szCs w:val="24"/>
        </w:rPr>
      </w:pPr>
    </w:p>
    <w:p w14:paraId="41BF774D" w14:textId="77777777" w:rsidR="006621BE" w:rsidRPr="003F19C1" w:rsidRDefault="006621BE" w:rsidP="00D102CF">
      <w:pPr>
        <w:ind w:left="-284" w:right="-234"/>
        <w:jc w:val="both"/>
        <w:rPr>
          <w:rFonts w:ascii="Arial" w:hAnsi="Arial" w:cs="Arial"/>
          <w:sz w:val="24"/>
          <w:szCs w:val="24"/>
        </w:rPr>
      </w:pPr>
      <w:r w:rsidRPr="003F19C1">
        <w:rPr>
          <w:rFonts w:ascii="Arial" w:hAnsi="Arial" w:cs="Arial"/>
          <w:sz w:val="24"/>
          <w:szCs w:val="24"/>
        </w:rPr>
        <w:t>Adicional, SIIF Nación no tiene parametrizado con tercero las subcuentas del grupo 15-Inventarios, mediante radicado E-2022-001680 de fecha 30 de marzo de 2022 se solicitó concepto a la Contaduría General de la Nación para estudiar la viabilidad de la creación de terceros para las subcuentas del grupo 15-Inventarios de acuerdo con la misionalidad del Fondo, debido a que en estas subcuentas se reconocen los bienes inmuebles adquiridos por el Fondo Adaptación para ser entregados a título gratuito a la comunidad y a los entes territoriales en cumplimiento del objeto misional de la entidad, de acuerdo con el concepto emitido por la Contaduría General de la Nación de fecha 16 de junio de 2020.</w:t>
      </w:r>
    </w:p>
    <w:p w14:paraId="69508F00" w14:textId="77777777" w:rsidR="006621BE" w:rsidRPr="003F19C1" w:rsidRDefault="006621BE" w:rsidP="00D102CF">
      <w:pPr>
        <w:ind w:left="-284" w:right="-234"/>
        <w:jc w:val="both"/>
        <w:rPr>
          <w:rFonts w:ascii="Arial" w:hAnsi="Arial" w:cs="Arial"/>
          <w:sz w:val="24"/>
          <w:szCs w:val="24"/>
        </w:rPr>
      </w:pPr>
    </w:p>
    <w:p w14:paraId="528ADE85" w14:textId="77777777" w:rsidR="006621BE" w:rsidRPr="003F19C1" w:rsidRDefault="006621BE" w:rsidP="00D102CF">
      <w:pPr>
        <w:ind w:left="-284" w:right="-234"/>
        <w:jc w:val="both"/>
        <w:rPr>
          <w:rFonts w:ascii="Arial" w:hAnsi="Arial" w:cs="Arial"/>
          <w:sz w:val="24"/>
          <w:szCs w:val="24"/>
        </w:rPr>
      </w:pPr>
      <w:r w:rsidRPr="003F19C1">
        <w:rPr>
          <w:rFonts w:ascii="Arial" w:hAnsi="Arial" w:cs="Arial"/>
          <w:sz w:val="24"/>
          <w:szCs w:val="24"/>
        </w:rPr>
        <w:t>En respuesta de la Subcontaduría de Centralización de la Información-GIT SIIN (SIIF Nación) en los siguientes términos:</w:t>
      </w:r>
    </w:p>
    <w:p w14:paraId="34878742" w14:textId="77777777" w:rsidR="006621BE" w:rsidRPr="003F19C1" w:rsidRDefault="006621BE" w:rsidP="00D102CF">
      <w:pPr>
        <w:ind w:left="-284" w:right="-234"/>
        <w:jc w:val="both"/>
        <w:rPr>
          <w:rFonts w:ascii="Arial" w:hAnsi="Arial" w:cs="Arial"/>
          <w:sz w:val="24"/>
          <w:szCs w:val="24"/>
        </w:rPr>
      </w:pPr>
    </w:p>
    <w:p w14:paraId="4E5CBAE1" w14:textId="77777777" w:rsidR="006621BE" w:rsidRPr="003F19C1" w:rsidRDefault="006621BE" w:rsidP="00D102CF">
      <w:pPr>
        <w:ind w:left="-284" w:right="-234"/>
        <w:jc w:val="both"/>
        <w:rPr>
          <w:rFonts w:ascii="Arial" w:hAnsi="Arial" w:cs="Arial"/>
          <w:i/>
          <w:sz w:val="24"/>
          <w:szCs w:val="24"/>
        </w:rPr>
      </w:pPr>
      <w:r w:rsidRPr="003F19C1">
        <w:rPr>
          <w:rFonts w:ascii="Arial" w:hAnsi="Arial" w:cs="Arial"/>
          <w:sz w:val="24"/>
          <w:szCs w:val="24"/>
        </w:rPr>
        <w:t>“</w:t>
      </w:r>
      <w:r w:rsidRPr="003F19C1">
        <w:rPr>
          <w:rFonts w:ascii="Arial" w:hAnsi="Arial" w:cs="Arial"/>
          <w:i/>
          <w:sz w:val="24"/>
          <w:szCs w:val="24"/>
        </w:rPr>
        <w:t>La solicitud no procede, el sistema se encuentra parametrizado conforme al Marco Normativo para Entidades de Gobierno. El Catálogo General de Cuentas-CGC, describe que el grupo 15-Inventarios agrupa los activos adquiridos, los que se encuentran en proceso de transformación y los producidos.</w:t>
      </w:r>
    </w:p>
    <w:p w14:paraId="567A23A7" w14:textId="77777777" w:rsidR="006621BE" w:rsidRPr="003F19C1" w:rsidRDefault="006621BE" w:rsidP="00D102CF">
      <w:pPr>
        <w:ind w:left="-284" w:right="-234"/>
        <w:jc w:val="both"/>
        <w:rPr>
          <w:rFonts w:ascii="Arial" w:hAnsi="Arial" w:cs="Arial"/>
          <w:i/>
          <w:sz w:val="24"/>
          <w:szCs w:val="24"/>
        </w:rPr>
      </w:pPr>
    </w:p>
    <w:p w14:paraId="26B6964F" w14:textId="77777777" w:rsidR="006621BE" w:rsidRPr="003F19C1" w:rsidRDefault="006621BE" w:rsidP="00D102CF">
      <w:pPr>
        <w:ind w:left="-284" w:right="-234"/>
        <w:jc w:val="both"/>
        <w:rPr>
          <w:rFonts w:ascii="Arial" w:hAnsi="Arial" w:cs="Arial"/>
          <w:sz w:val="24"/>
          <w:szCs w:val="24"/>
        </w:rPr>
      </w:pPr>
      <w:r w:rsidRPr="003F19C1">
        <w:rPr>
          <w:rFonts w:ascii="Arial" w:hAnsi="Arial" w:cs="Arial"/>
          <w:i/>
          <w:sz w:val="24"/>
          <w:szCs w:val="24"/>
        </w:rPr>
        <w:t xml:space="preserve">La parametrización de cuentas con la marca Tercero-TER, se realiza con el fin de identificar y asociar personas naturales o jurídicas al código contable, </w:t>
      </w:r>
      <w:r w:rsidRPr="003F19C1">
        <w:rPr>
          <w:rFonts w:ascii="Arial" w:hAnsi="Arial" w:cs="Arial"/>
          <w:b/>
          <w:i/>
          <w:sz w:val="24"/>
          <w:szCs w:val="24"/>
        </w:rPr>
        <w:t>por lo que se concluye que no procede la parametrización de terceros tratándose de registros en las subcuentas de la cuenta 1520-PRODUCTOS EN PROCESO y 1505-BIENES PRODUCIDOS</w:t>
      </w:r>
      <w:r w:rsidRPr="003F19C1">
        <w:rPr>
          <w:rFonts w:ascii="Arial" w:hAnsi="Arial" w:cs="Arial"/>
          <w:i/>
          <w:sz w:val="24"/>
          <w:szCs w:val="24"/>
        </w:rPr>
        <w:t>, tal como lo refiere el concepto de respuesta de la CGN radicado No. 20202000022631 del 16 de junio de 2020, el reconocimiento en la subcuenta 152002, se debe realizar por el monto de los recursos que han sido empleados durante su ejecución y finalizada la construcción de las obras, éstas deben ser reclasificadas a la subcuenta 150502-Construcciones, hasta el momento en el cual se realice su transferencia a una entidad pública o a la comunidad</w:t>
      </w:r>
      <w:r w:rsidRPr="003F19C1">
        <w:rPr>
          <w:rFonts w:ascii="Arial" w:hAnsi="Arial" w:cs="Arial"/>
          <w:sz w:val="24"/>
          <w:szCs w:val="24"/>
        </w:rPr>
        <w:t>.” (Negrilla fuera de texto).</w:t>
      </w:r>
    </w:p>
    <w:p w14:paraId="45B129F8" w14:textId="77777777" w:rsidR="006621BE" w:rsidRPr="003F19C1" w:rsidRDefault="006621BE" w:rsidP="00D102CF">
      <w:pPr>
        <w:ind w:left="-284" w:right="-234"/>
        <w:jc w:val="both"/>
        <w:rPr>
          <w:rFonts w:ascii="Arial" w:hAnsi="Arial" w:cs="Arial"/>
          <w:sz w:val="24"/>
          <w:szCs w:val="24"/>
        </w:rPr>
      </w:pPr>
    </w:p>
    <w:p w14:paraId="38A3DDB2" w14:textId="77777777" w:rsidR="006621BE" w:rsidRPr="003F19C1" w:rsidRDefault="006621BE" w:rsidP="00D102CF">
      <w:pPr>
        <w:ind w:left="-284" w:right="-234"/>
        <w:jc w:val="both"/>
        <w:rPr>
          <w:rFonts w:ascii="Arial" w:hAnsi="Arial" w:cs="Arial"/>
          <w:sz w:val="24"/>
          <w:szCs w:val="24"/>
        </w:rPr>
      </w:pPr>
      <w:r w:rsidRPr="003F19C1">
        <w:rPr>
          <w:rFonts w:ascii="Arial" w:hAnsi="Arial" w:cs="Arial"/>
          <w:b/>
          <w:sz w:val="24"/>
          <w:szCs w:val="24"/>
        </w:rPr>
        <w:t xml:space="preserve">Integralidad del Sistema Integrado de Información Financiera SIIF-Nación: </w:t>
      </w:r>
      <w:r w:rsidRPr="003F19C1">
        <w:rPr>
          <w:rFonts w:ascii="Arial" w:hAnsi="Arial" w:cs="Arial"/>
          <w:sz w:val="24"/>
          <w:szCs w:val="24"/>
        </w:rPr>
        <w:t>Se tienen sistemas paralelos como E- kogui (Procesos judiciales), Software People Net Meta 4 (Operaciones de nómina, prestaciones y otras del talento humano), SIFA y múltiples bases de datos en Excel. Este manejo diverso y disperso, ocasiona riesgos en la operatividad, que son mitigados mediante operaciones de conciliación.</w:t>
      </w:r>
    </w:p>
    <w:p w14:paraId="017CBDE6" w14:textId="77777777" w:rsidR="006621BE" w:rsidRPr="003F19C1" w:rsidRDefault="006621BE" w:rsidP="00D102CF">
      <w:pPr>
        <w:ind w:left="-284" w:right="-234"/>
        <w:jc w:val="both"/>
        <w:rPr>
          <w:rFonts w:ascii="Arial" w:hAnsi="Arial" w:cs="Arial"/>
          <w:sz w:val="24"/>
          <w:szCs w:val="24"/>
        </w:rPr>
      </w:pPr>
    </w:p>
    <w:p w14:paraId="298DD7EE" w14:textId="77777777" w:rsidR="006621BE" w:rsidRPr="003F19C1" w:rsidRDefault="006621BE" w:rsidP="00D102CF">
      <w:pPr>
        <w:ind w:left="-284" w:right="-234"/>
        <w:jc w:val="both"/>
        <w:rPr>
          <w:rFonts w:ascii="Arial" w:hAnsi="Arial" w:cs="Arial"/>
          <w:sz w:val="24"/>
          <w:szCs w:val="24"/>
        </w:rPr>
      </w:pPr>
      <w:r w:rsidRPr="003F19C1">
        <w:rPr>
          <w:rFonts w:ascii="Arial" w:hAnsi="Arial" w:cs="Arial"/>
          <w:b/>
          <w:sz w:val="24"/>
          <w:szCs w:val="24"/>
        </w:rPr>
        <w:t xml:space="preserve">Otros limitantes: </w:t>
      </w:r>
      <w:r w:rsidRPr="003F19C1">
        <w:rPr>
          <w:rFonts w:ascii="Arial" w:hAnsi="Arial" w:cs="Arial"/>
          <w:sz w:val="24"/>
          <w:szCs w:val="24"/>
        </w:rPr>
        <w:t xml:space="preserve">Se presentan limitantes en la información que se recibe de las diversas áreas, debido a que alguna información no es suministrada de manera oportuna y con la calidad que se requiere.  </w:t>
      </w:r>
    </w:p>
    <w:p w14:paraId="41A181DB" w14:textId="77777777" w:rsidR="006621BE" w:rsidRPr="003F19C1" w:rsidRDefault="006621BE" w:rsidP="00D102CF">
      <w:pPr>
        <w:ind w:left="-284" w:right="-234"/>
        <w:jc w:val="both"/>
        <w:rPr>
          <w:rFonts w:ascii="Arial" w:hAnsi="Arial" w:cs="Arial"/>
          <w:sz w:val="24"/>
          <w:szCs w:val="24"/>
        </w:rPr>
      </w:pPr>
    </w:p>
    <w:p w14:paraId="6BFF7CF8" w14:textId="77777777" w:rsidR="006621BE" w:rsidRPr="003F19C1" w:rsidRDefault="006621BE" w:rsidP="00D102CF">
      <w:pPr>
        <w:ind w:left="-284" w:right="-234"/>
        <w:jc w:val="both"/>
        <w:rPr>
          <w:rFonts w:ascii="Arial" w:hAnsi="Arial" w:cs="Arial"/>
          <w:sz w:val="24"/>
          <w:szCs w:val="24"/>
        </w:rPr>
      </w:pPr>
      <w:r w:rsidRPr="003F19C1">
        <w:rPr>
          <w:rFonts w:ascii="Arial" w:hAnsi="Arial" w:cs="Arial"/>
          <w:sz w:val="24"/>
          <w:szCs w:val="24"/>
        </w:rPr>
        <w:t>Cómo recurso humano, el área cuenta con siete personas tiempo completo: El Asesor, encargado del Equipo de Gestión Financiera Contabilidad (Asesora II Gestión Financiera Encargada), un (1) profesional de planta y Cinco (5) contratistas.</w:t>
      </w:r>
    </w:p>
    <w:p w14:paraId="436A267C" w14:textId="77777777" w:rsidR="006621BE" w:rsidRPr="003F19C1" w:rsidRDefault="006621BE" w:rsidP="00D102CF">
      <w:pPr>
        <w:ind w:left="-284" w:right="-234"/>
        <w:jc w:val="both"/>
        <w:rPr>
          <w:rFonts w:ascii="Arial" w:hAnsi="Arial" w:cs="Arial"/>
          <w:sz w:val="24"/>
          <w:szCs w:val="24"/>
        </w:rPr>
      </w:pPr>
    </w:p>
    <w:p w14:paraId="5A534E91" w14:textId="77777777" w:rsidR="006621BE" w:rsidRPr="003F19C1" w:rsidRDefault="006621BE" w:rsidP="00D102CF">
      <w:pPr>
        <w:pStyle w:val="Textoindependiente"/>
        <w:ind w:left="-284" w:right="-234"/>
        <w:jc w:val="both"/>
        <w:rPr>
          <w:rFonts w:ascii="Arial" w:hAnsi="Arial" w:cs="Arial"/>
          <w:b/>
          <w:sz w:val="24"/>
          <w:szCs w:val="24"/>
        </w:rPr>
      </w:pPr>
      <w:r w:rsidRPr="003F19C1">
        <w:rPr>
          <w:rFonts w:ascii="Arial" w:hAnsi="Arial" w:cs="Arial"/>
          <w:sz w:val="24"/>
          <w:szCs w:val="24"/>
        </w:rPr>
        <w:t>El Manual de Políticas y Lineamientos Contables y las guías de aplicación complementarias del Fondo Adaptación deben seguir en proceso de actualización, conforme a las Normas de Reconocimiento y doctrina contable de la Contaduría General de la Nación (CGN).</w:t>
      </w:r>
    </w:p>
    <w:p w14:paraId="48FA039E" w14:textId="77777777" w:rsidR="006621BE" w:rsidRPr="003F19C1" w:rsidRDefault="006621BE" w:rsidP="00D102CF">
      <w:pPr>
        <w:pStyle w:val="Textoindependiente"/>
        <w:ind w:left="-284" w:right="-234"/>
        <w:jc w:val="both"/>
        <w:rPr>
          <w:rFonts w:ascii="Arial" w:hAnsi="Arial" w:cs="Arial"/>
          <w:b/>
          <w:sz w:val="24"/>
          <w:szCs w:val="24"/>
        </w:rPr>
      </w:pPr>
    </w:p>
    <w:p w14:paraId="3A69904D" w14:textId="77777777" w:rsidR="006621BE" w:rsidRPr="002F1295" w:rsidRDefault="006621BE" w:rsidP="00D102CF">
      <w:pPr>
        <w:ind w:left="-284" w:right="-234"/>
        <w:jc w:val="both"/>
        <w:rPr>
          <w:rFonts w:ascii="Arial" w:hAnsi="Arial" w:cs="Arial"/>
          <w:b/>
          <w:sz w:val="28"/>
          <w:szCs w:val="28"/>
          <w:lang w:val="es-MX"/>
        </w:rPr>
      </w:pPr>
      <w:r w:rsidRPr="002F1295">
        <w:rPr>
          <w:rFonts w:ascii="Arial" w:hAnsi="Arial" w:cs="Arial"/>
          <w:b/>
          <w:sz w:val="28"/>
          <w:szCs w:val="28"/>
          <w:lang w:val="es-MX"/>
        </w:rPr>
        <w:t>138.- INSTITUTO NACIONAL DE FORMACIÓN TÉCNICA PROFESIONAL DE SAN ANDRÉS, PROVIDENCIA Y SANTA CATALINA – INFOTEP.</w:t>
      </w:r>
    </w:p>
    <w:p w14:paraId="7ED1B3E2" w14:textId="77777777" w:rsidR="006621BE" w:rsidRPr="0014663D" w:rsidRDefault="006621BE" w:rsidP="00D102CF">
      <w:pPr>
        <w:pStyle w:val="Textoindependiente"/>
        <w:ind w:left="-284" w:right="-234"/>
        <w:jc w:val="both"/>
        <w:rPr>
          <w:rFonts w:ascii="Arial" w:hAnsi="Arial" w:cs="Arial"/>
          <w:bCs/>
          <w:sz w:val="24"/>
          <w:szCs w:val="24"/>
          <w:lang w:val="es-MX"/>
        </w:rPr>
      </w:pPr>
    </w:p>
    <w:p w14:paraId="4DEEE41B" w14:textId="77777777" w:rsidR="006621BE" w:rsidRPr="0014663D" w:rsidRDefault="006621BE" w:rsidP="00D102CF">
      <w:pPr>
        <w:pStyle w:val="Textoindependiente"/>
        <w:ind w:left="-284" w:right="-234"/>
        <w:jc w:val="both"/>
        <w:rPr>
          <w:rFonts w:ascii="Arial" w:hAnsi="Arial" w:cs="Arial"/>
          <w:sz w:val="24"/>
          <w:szCs w:val="24"/>
        </w:rPr>
      </w:pPr>
      <w:r w:rsidRPr="0014663D">
        <w:rPr>
          <w:rFonts w:ascii="Arial" w:hAnsi="Arial" w:cs="Arial"/>
          <w:sz w:val="24"/>
          <w:szCs w:val="24"/>
        </w:rPr>
        <w:t>Dentro de las limitaciones de información de apoyo al macroproceso contable, el Sistema Integrado de Información Financiera (SIIF) Nación, no cuenta con el módulo de inventarios, activos fijos y nómina. Adicional a esto se realizan registros manuales de sentencias, provisiones y reclasificaciones en el registro de la nómina de los descuentos de seguridad social a cargo de los funcionarios, entre otros.</w:t>
      </w:r>
    </w:p>
    <w:p w14:paraId="60B1B526" w14:textId="77777777" w:rsidR="006621BE" w:rsidRDefault="006621BE" w:rsidP="00D102CF">
      <w:pPr>
        <w:ind w:left="-284" w:right="-234"/>
        <w:jc w:val="both"/>
        <w:rPr>
          <w:rFonts w:ascii="Arial" w:hAnsi="Arial" w:cs="Arial"/>
          <w:b/>
          <w:sz w:val="24"/>
          <w:szCs w:val="24"/>
        </w:rPr>
      </w:pPr>
    </w:p>
    <w:p w14:paraId="1C7F6EBD" w14:textId="77777777" w:rsidR="006621BE" w:rsidRPr="00301F69" w:rsidRDefault="006621BE" w:rsidP="00D102CF">
      <w:pPr>
        <w:ind w:left="-284" w:right="-234"/>
        <w:jc w:val="both"/>
        <w:rPr>
          <w:rFonts w:ascii="Arial" w:hAnsi="Arial" w:cs="Arial"/>
          <w:b/>
          <w:sz w:val="24"/>
          <w:szCs w:val="24"/>
          <w:lang w:val="es-MX"/>
        </w:rPr>
      </w:pPr>
      <w:r w:rsidRPr="00301F69">
        <w:rPr>
          <w:rFonts w:ascii="Arial" w:hAnsi="Arial" w:cs="Arial"/>
          <w:b/>
          <w:sz w:val="24"/>
          <w:szCs w:val="24"/>
          <w:lang w:val="es-MX"/>
        </w:rPr>
        <w:t>149.- U.A.E. AERONAUTICA CIVIL - AEROCIVIL.</w:t>
      </w:r>
    </w:p>
    <w:p w14:paraId="5FC80CC5" w14:textId="77777777" w:rsidR="006621BE" w:rsidRDefault="006621BE" w:rsidP="00D102CF">
      <w:pPr>
        <w:ind w:left="-284" w:right="-234"/>
        <w:jc w:val="both"/>
        <w:rPr>
          <w:rFonts w:ascii="Arial" w:hAnsi="Arial" w:cs="Arial"/>
          <w:b/>
          <w:sz w:val="24"/>
          <w:szCs w:val="24"/>
          <w:lang w:val="es-MX"/>
        </w:rPr>
      </w:pPr>
    </w:p>
    <w:p w14:paraId="189EBFAE" w14:textId="77777777" w:rsidR="006621BE" w:rsidRPr="00501F12" w:rsidRDefault="006621BE" w:rsidP="00D102CF">
      <w:pPr>
        <w:tabs>
          <w:tab w:val="left" w:pos="875"/>
        </w:tabs>
        <w:ind w:left="-284" w:right="-234"/>
        <w:jc w:val="both"/>
        <w:rPr>
          <w:rFonts w:ascii="Arial" w:hAnsi="Arial" w:cs="Arial"/>
          <w:b/>
          <w:bCs/>
          <w:sz w:val="24"/>
          <w:szCs w:val="24"/>
        </w:rPr>
      </w:pPr>
      <w:r w:rsidRPr="00501F12">
        <w:rPr>
          <w:rFonts w:ascii="Arial" w:hAnsi="Arial" w:cs="Arial"/>
          <w:b/>
          <w:bCs/>
          <w:sz w:val="24"/>
          <w:szCs w:val="24"/>
        </w:rPr>
        <w:t>De las Notas a los Estados Financieros.</w:t>
      </w:r>
    </w:p>
    <w:p w14:paraId="1D2C2F15" w14:textId="77777777" w:rsidR="006621BE" w:rsidRPr="00501F12" w:rsidRDefault="006621BE" w:rsidP="00D102CF">
      <w:pPr>
        <w:ind w:left="-284" w:right="-234"/>
        <w:jc w:val="both"/>
        <w:rPr>
          <w:rFonts w:ascii="Arial" w:hAnsi="Arial" w:cs="Arial"/>
          <w:sz w:val="24"/>
          <w:szCs w:val="24"/>
        </w:rPr>
      </w:pPr>
    </w:p>
    <w:p w14:paraId="43170D4C" w14:textId="77777777" w:rsidR="006621BE" w:rsidRPr="00501F12" w:rsidRDefault="006621BE" w:rsidP="00D102CF">
      <w:pPr>
        <w:pStyle w:val="Textoindependiente"/>
        <w:ind w:left="-284" w:right="-234"/>
        <w:jc w:val="both"/>
        <w:rPr>
          <w:rFonts w:ascii="Arial" w:hAnsi="Arial" w:cs="Arial"/>
          <w:bCs/>
          <w:sz w:val="24"/>
          <w:szCs w:val="24"/>
        </w:rPr>
      </w:pPr>
      <w:r w:rsidRPr="00501F12">
        <w:rPr>
          <w:rFonts w:ascii="Arial" w:hAnsi="Arial" w:cs="Arial"/>
          <w:b/>
          <w:sz w:val="24"/>
          <w:szCs w:val="24"/>
        </w:rPr>
        <w:t xml:space="preserve">Limitaciones operativas. </w:t>
      </w:r>
      <w:r w:rsidRPr="00501F12">
        <w:rPr>
          <w:rFonts w:ascii="Arial" w:hAnsi="Arial" w:cs="Arial"/>
          <w:bCs/>
          <w:sz w:val="24"/>
          <w:szCs w:val="24"/>
        </w:rPr>
        <w:t xml:space="preserve">La Unidad Administrativa Especial de Aeronáutica Civil utiliza el sistema auxiliar de la contabilidad JDEdwards para la gestión, administración y control de los bienes, </w:t>
      </w:r>
      <w:r w:rsidRPr="00501F12">
        <w:rPr>
          <w:rFonts w:ascii="Arial" w:hAnsi="Arial" w:cs="Arial"/>
          <w:bCs/>
          <w:sz w:val="24"/>
          <w:szCs w:val="24"/>
        </w:rPr>
        <w:lastRenderedPageBreak/>
        <w:t>facturación, recaudo y cartera y aun no se cuenta con las funcionalidades de interoperabilidad que ayuden a integrar el sistema de información auxiliar con el SIIF Nación, por lo tanto, con la funcionalidad de comprobantes manuales y con ayuda de reportes diseñados para extraer la información del aplicativo auxiliar se cargar a SIIF Nación.</w:t>
      </w:r>
    </w:p>
    <w:p w14:paraId="66660030" w14:textId="77777777" w:rsidR="006621BE" w:rsidRDefault="006621BE" w:rsidP="00D102CF">
      <w:pPr>
        <w:ind w:left="-284" w:right="-234"/>
        <w:jc w:val="both"/>
        <w:rPr>
          <w:rFonts w:ascii="Arial" w:hAnsi="Arial" w:cs="Arial"/>
          <w:b/>
          <w:sz w:val="24"/>
          <w:szCs w:val="24"/>
        </w:rPr>
      </w:pPr>
    </w:p>
    <w:p w14:paraId="72221AA2" w14:textId="77777777" w:rsidR="006621BE" w:rsidRPr="007F2507" w:rsidRDefault="006621BE" w:rsidP="00D102CF">
      <w:pPr>
        <w:ind w:left="-284" w:right="-234"/>
        <w:jc w:val="both"/>
        <w:rPr>
          <w:rFonts w:ascii="Arial" w:hAnsi="Arial" w:cs="Arial"/>
          <w:b/>
          <w:sz w:val="28"/>
          <w:szCs w:val="28"/>
          <w:lang w:val="es-MX"/>
        </w:rPr>
      </w:pPr>
      <w:r w:rsidRPr="007F2507">
        <w:rPr>
          <w:rFonts w:ascii="Arial" w:hAnsi="Arial" w:cs="Arial"/>
          <w:b/>
          <w:sz w:val="28"/>
          <w:szCs w:val="28"/>
          <w:lang w:val="es-MX"/>
        </w:rPr>
        <w:t>150.- MINISTERIO DE JUSTICIA Y DEL DERECHO.</w:t>
      </w:r>
    </w:p>
    <w:p w14:paraId="2164B9F5" w14:textId="77777777" w:rsidR="006621BE" w:rsidRDefault="006621BE" w:rsidP="00D102CF">
      <w:pPr>
        <w:ind w:left="-284" w:right="-234"/>
        <w:jc w:val="both"/>
        <w:rPr>
          <w:rFonts w:ascii="Arial" w:hAnsi="Arial" w:cs="Arial"/>
          <w:b/>
          <w:sz w:val="24"/>
          <w:szCs w:val="24"/>
          <w:lang w:val="es-MX"/>
        </w:rPr>
      </w:pPr>
    </w:p>
    <w:p w14:paraId="303E9E48" w14:textId="77777777" w:rsidR="006621BE" w:rsidRDefault="006621BE" w:rsidP="00D102CF">
      <w:pPr>
        <w:ind w:left="-284" w:right="-234"/>
        <w:jc w:val="both"/>
        <w:rPr>
          <w:b/>
          <w:bCs/>
          <w:sz w:val="24"/>
          <w:szCs w:val="24"/>
        </w:rPr>
      </w:pPr>
      <w:r w:rsidRPr="00B07D14">
        <w:rPr>
          <w:b/>
          <w:bCs/>
          <w:sz w:val="24"/>
          <w:szCs w:val="24"/>
        </w:rPr>
        <w:t>.2. Declaración de cumplimiento del marco normativo y limitaciones</w:t>
      </w:r>
      <w:r>
        <w:rPr>
          <w:b/>
          <w:bCs/>
          <w:sz w:val="24"/>
          <w:szCs w:val="24"/>
        </w:rPr>
        <w:t>.</w:t>
      </w:r>
    </w:p>
    <w:p w14:paraId="6D4B056C" w14:textId="77777777" w:rsidR="006621BE" w:rsidRDefault="006621BE" w:rsidP="00D102CF">
      <w:pPr>
        <w:ind w:left="-284" w:right="-234"/>
        <w:jc w:val="both"/>
        <w:rPr>
          <w:b/>
          <w:bCs/>
          <w:sz w:val="24"/>
          <w:szCs w:val="24"/>
        </w:rPr>
      </w:pPr>
    </w:p>
    <w:p w14:paraId="721BF532" w14:textId="77777777" w:rsidR="006621BE" w:rsidRPr="00B56CD0" w:rsidRDefault="006621BE" w:rsidP="00D102CF">
      <w:pPr>
        <w:ind w:left="-284" w:right="-234"/>
        <w:jc w:val="both"/>
        <w:rPr>
          <w:rFonts w:ascii="Arial" w:hAnsi="Arial" w:cs="Arial"/>
          <w:sz w:val="24"/>
          <w:szCs w:val="24"/>
        </w:rPr>
      </w:pPr>
      <w:r w:rsidRPr="00B56CD0">
        <w:rPr>
          <w:rFonts w:ascii="Arial" w:hAnsi="Arial" w:cs="Arial"/>
          <w:b/>
          <w:bCs/>
          <w:sz w:val="24"/>
          <w:szCs w:val="24"/>
        </w:rPr>
        <w:t xml:space="preserve">1.2.1 Limitaciones de tipo Operativo. </w:t>
      </w:r>
      <w:r w:rsidRPr="00B56CD0">
        <w:rPr>
          <w:rFonts w:ascii="Arial" w:hAnsi="Arial" w:cs="Arial"/>
          <w:sz w:val="24"/>
          <w:szCs w:val="24"/>
        </w:rPr>
        <w:t>El sistema SIIF Nación II, tiene aún procesos por mejorar como son: Los auxiliares detallados se generan por un rango de fecha de un solo mes, lo que complica a la hora de realizar un seguimiento o análisis de una cuenta o registro, lo cual retrasa y hace más complejo el proceso contable.</w:t>
      </w:r>
    </w:p>
    <w:p w14:paraId="359A6DD6" w14:textId="77777777" w:rsidR="006621BE" w:rsidRPr="00B56CD0" w:rsidRDefault="006621BE" w:rsidP="00D102CF">
      <w:pPr>
        <w:ind w:left="-284" w:right="-234"/>
        <w:jc w:val="both"/>
        <w:rPr>
          <w:rFonts w:ascii="Arial" w:hAnsi="Arial" w:cs="Arial"/>
          <w:sz w:val="24"/>
          <w:szCs w:val="24"/>
        </w:rPr>
      </w:pPr>
    </w:p>
    <w:p w14:paraId="00746929" w14:textId="77777777" w:rsidR="006621BE" w:rsidRPr="00B56CD0" w:rsidRDefault="006621BE" w:rsidP="00D102CF">
      <w:pPr>
        <w:ind w:left="-284" w:right="-234"/>
        <w:jc w:val="both"/>
        <w:rPr>
          <w:rFonts w:ascii="Arial" w:hAnsi="Arial" w:cs="Arial"/>
          <w:sz w:val="24"/>
          <w:szCs w:val="24"/>
        </w:rPr>
      </w:pPr>
      <w:r w:rsidRPr="00B56CD0">
        <w:rPr>
          <w:rFonts w:ascii="Arial" w:hAnsi="Arial" w:cs="Arial"/>
          <w:sz w:val="24"/>
          <w:szCs w:val="24"/>
        </w:rPr>
        <w:t>El Sistema SIIF Nación II, no cuenta con los módulos de Almacén y Nómina, tampoco permite la interoperabilidad con los aplicativos que debe utilizar la entidad para el desarrollo de sus actividades, lo que implica la realización de registros manuales de manera mensual.</w:t>
      </w:r>
    </w:p>
    <w:p w14:paraId="0CF30923" w14:textId="77777777" w:rsidR="006621BE" w:rsidRPr="00B56CD0" w:rsidRDefault="006621BE" w:rsidP="00D102CF">
      <w:pPr>
        <w:ind w:left="-284" w:right="-234"/>
        <w:jc w:val="both"/>
        <w:rPr>
          <w:rFonts w:ascii="Arial" w:hAnsi="Arial" w:cs="Arial"/>
          <w:sz w:val="24"/>
          <w:szCs w:val="24"/>
        </w:rPr>
      </w:pPr>
    </w:p>
    <w:p w14:paraId="62B242E1" w14:textId="77777777" w:rsidR="006621BE" w:rsidRPr="00B56CD0" w:rsidRDefault="006621BE" w:rsidP="00D102CF">
      <w:pPr>
        <w:ind w:left="-284" w:right="-234"/>
        <w:jc w:val="both"/>
        <w:rPr>
          <w:rFonts w:ascii="Arial" w:hAnsi="Arial" w:cs="Arial"/>
          <w:sz w:val="24"/>
          <w:szCs w:val="24"/>
        </w:rPr>
      </w:pPr>
      <w:r w:rsidRPr="00B56CD0">
        <w:rPr>
          <w:rFonts w:ascii="Arial" w:hAnsi="Arial" w:cs="Arial"/>
          <w:sz w:val="24"/>
          <w:szCs w:val="24"/>
        </w:rPr>
        <w:t>En la actualidad, aún se encuentra en fase de producción el módulo de Derechos y Cartera.</w:t>
      </w:r>
    </w:p>
    <w:p w14:paraId="6BBC9BCC" w14:textId="77777777" w:rsidR="006621BE" w:rsidRPr="00B56CD0" w:rsidRDefault="006621BE" w:rsidP="00D102CF">
      <w:pPr>
        <w:ind w:left="-284" w:right="-234"/>
        <w:jc w:val="both"/>
        <w:rPr>
          <w:rFonts w:ascii="Arial" w:hAnsi="Arial" w:cs="Arial"/>
          <w:sz w:val="24"/>
          <w:szCs w:val="24"/>
        </w:rPr>
      </w:pPr>
    </w:p>
    <w:p w14:paraId="3DB1D267" w14:textId="77777777" w:rsidR="006621BE" w:rsidRPr="00B56CD0" w:rsidRDefault="006621BE" w:rsidP="00D102CF">
      <w:pPr>
        <w:ind w:left="-284" w:right="-234"/>
        <w:jc w:val="both"/>
        <w:rPr>
          <w:rFonts w:ascii="Arial" w:hAnsi="Arial" w:cs="Arial"/>
          <w:sz w:val="24"/>
          <w:szCs w:val="24"/>
        </w:rPr>
      </w:pPr>
      <w:r w:rsidRPr="00B56CD0">
        <w:rPr>
          <w:rFonts w:ascii="Arial" w:hAnsi="Arial" w:cs="Arial"/>
          <w:sz w:val="24"/>
          <w:szCs w:val="24"/>
        </w:rPr>
        <w:t>Las anteriores son algunas de las limitaciones de tipo operativo en el Sistema SIIF que no permiten acelerar los procesos de los registros en la contabilidad.</w:t>
      </w:r>
    </w:p>
    <w:p w14:paraId="69E18578" w14:textId="77777777" w:rsidR="006621BE" w:rsidRPr="00B56CD0" w:rsidRDefault="006621BE" w:rsidP="00D102CF">
      <w:pPr>
        <w:ind w:left="-284" w:right="-234"/>
        <w:jc w:val="both"/>
        <w:rPr>
          <w:rFonts w:ascii="Arial" w:hAnsi="Arial" w:cs="Arial"/>
          <w:sz w:val="24"/>
          <w:szCs w:val="24"/>
        </w:rPr>
      </w:pPr>
    </w:p>
    <w:p w14:paraId="0BCA3473" w14:textId="77777777" w:rsidR="006621BE" w:rsidRPr="00B56CD0" w:rsidRDefault="006621BE" w:rsidP="00D102CF">
      <w:pPr>
        <w:ind w:left="-284" w:right="-234"/>
        <w:jc w:val="both"/>
        <w:rPr>
          <w:rFonts w:ascii="Arial" w:hAnsi="Arial" w:cs="Arial"/>
          <w:sz w:val="24"/>
          <w:szCs w:val="24"/>
        </w:rPr>
      </w:pPr>
      <w:r w:rsidRPr="00B56CD0">
        <w:rPr>
          <w:rFonts w:ascii="Arial" w:hAnsi="Arial" w:cs="Arial"/>
          <w:b/>
          <w:bCs/>
          <w:sz w:val="24"/>
          <w:szCs w:val="24"/>
        </w:rPr>
        <w:t xml:space="preserve">1.2.3 Limitaciones de orden Contable: </w:t>
      </w:r>
      <w:r w:rsidRPr="00B56CD0">
        <w:rPr>
          <w:rFonts w:ascii="Arial" w:hAnsi="Arial" w:cs="Arial"/>
          <w:sz w:val="24"/>
          <w:szCs w:val="24"/>
        </w:rPr>
        <w:t>El Sistema de Información Financiera SIIF Nación II, no ha implementado los módulos de inventarios, de cartera, de nómina y novedades de personal, por lo que se hace necesario el manejo de aplicativos adicionales, como el de: Inventarios PCT y Nómina Kactus.</w:t>
      </w:r>
    </w:p>
    <w:p w14:paraId="674AC9CF" w14:textId="77777777" w:rsidR="006621BE" w:rsidRPr="00B56CD0" w:rsidRDefault="006621BE" w:rsidP="00D102CF">
      <w:pPr>
        <w:ind w:left="-284" w:right="-234"/>
        <w:jc w:val="both"/>
        <w:rPr>
          <w:rFonts w:ascii="Arial" w:hAnsi="Arial" w:cs="Arial"/>
          <w:sz w:val="24"/>
          <w:szCs w:val="24"/>
        </w:rPr>
      </w:pPr>
    </w:p>
    <w:p w14:paraId="3B2D0695" w14:textId="77777777" w:rsidR="006621BE" w:rsidRPr="00B56CD0" w:rsidRDefault="006621BE" w:rsidP="00D102CF">
      <w:pPr>
        <w:ind w:left="-284" w:right="-234"/>
        <w:jc w:val="both"/>
        <w:rPr>
          <w:rFonts w:ascii="Arial" w:hAnsi="Arial" w:cs="Arial"/>
          <w:sz w:val="24"/>
          <w:szCs w:val="24"/>
        </w:rPr>
      </w:pPr>
      <w:r w:rsidRPr="00B56CD0">
        <w:rPr>
          <w:rFonts w:ascii="Arial" w:hAnsi="Arial" w:cs="Arial"/>
          <w:sz w:val="24"/>
          <w:szCs w:val="24"/>
        </w:rPr>
        <w:t>Lo anterior implica la realización de registros manuales para registrar los movimientos que se presenten, en razón a que el SIIF Nación no corresponde a un sistema de información integral, que permita la interoperabilidad desde las dependencias generadoras y responsables del suministro de la información.</w:t>
      </w:r>
    </w:p>
    <w:p w14:paraId="496249AF" w14:textId="77777777" w:rsidR="006621BE" w:rsidRDefault="006621BE" w:rsidP="00D102CF">
      <w:pPr>
        <w:ind w:left="-284" w:right="49"/>
        <w:jc w:val="both"/>
        <w:rPr>
          <w:rFonts w:ascii="Arial" w:hAnsi="Arial" w:cs="Arial"/>
          <w:b/>
          <w:sz w:val="24"/>
          <w:szCs w:val="24"/>
        </w:rPr>
      </w:pPr>
    </w:p>
    <w:p w14:paraId="5AB1AA52" w14:textId="77777777" w:rsidR="006621BE" w:rsidRPr="003F464D" w:rsidRDefault="006621BE" w:rsidP="00D102CF">
      <w:pPr>
        <w:ind w:left="-284"/>
        <w:jc w:val="both"/>
        <w:rPr>
          <w:rFonts w:ascii="Arial" w:hAnsi="Arial" w:cs="Arial"/>
          <w:b/>
          <w:sz w:val="28"/>
          <w:szCs w:val="28"/>
          <w:lang w:val="es-MX"/>
        </w:rPr>
      </w:pPr>
      <w:r w:rsidRPr="003F464D">
        <w:rPr>
          <w:rFonts w:ascii="Arial" w:hAnsi="Arial" w:cs="Arial"/>
          <w:b/>
          <w:sz w:val="28"/>
          <w:szCs w:val="28"/>
          <w:lang w:val="es-MX"/>
        </w:rPr>
        <w:t>154.- FONDO NACIONAL DE VIVIENDA - FONVIVIENDA.</w:t>
      </w:r>
    </w:p>
    <w:p w14:paraId="6CDFED45"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3F464D" w14:paraId="62726F83" w14:textId="77777777" w:rsidTr="00D102CF">
        <w:tc>
          <w:tcPr>
            <w:tcW w:w="993" w:type="dxa"/>
          </w:tcPr>
          <w:p w14:paraId="659E55F8" w14:textId="77777777" w:rsidR="006621BE" w:rsidRPr="003F464D" w:rsidRDefault="006621BE" w:rsidP="00EF5AF2">
            <w:pPr>
              <w:tabs>
                <w:tab w:val="left" w:pos="875"/>
              </w:tabs>
              <w:ind w:right="-50"/>
              <w:jc w:val="center"/>
              <w:rPr>
                <w:rFonts w:ascii="Arial" w:hAnsi="Arial" w:cs="Arial"/>
                <w:b/>
              </w:rPr>
            </w:pPr>
            <w:r w:rsidRPr="003F464D">
              <w:rPr>
                <w:rFonts w:ascii="Arial" w:hAnsi="Arial" w:cs="Arial"/>
                <w:b/>
              </w:rPr>
              <w:t>N°</w:t>
            </w:r>
          </w:p>
        </w:tc>
        <w:tc>
          <w:tcPr>
            <w:tcW w:w="4253" w:type="dxa"/>
          </w:tcPr>
          <w:p w14:paraId="0654E623" w14:textId="77777777" w:rsidR="006621BE" w:rsidRPr="003F464D" w:rsidRDefault="006621BE" w:rsidP="00EF5AF2">
            <w:pPr>
              <w:tabs>
                <w:tab w:val="left" w:pos="875"/>
              </w:tabs>
              <w:ind w:right="-50"/>
              <w:jc w:val="center"/>
              <w:rPr>
                <w:rFonts w:ascii="Arial" w:hAnsi="Arial" w:cs="Arial"/>
                <w:b/>
              </w:rPr>
            </w:pPr>
            <w:r w:rsidRPr="003F464D">
              <w:rPr>
                <w:rFonts w:ascii="Arial" w:hAnsi="Arial" w:cs="Arial"/>
                <w:b/>
              </w:rPr>
              <w:t>Limitaciones del Sistema SIIF II Nación a 31/12/2024</w:t>
            </w:r>
          </w:p>
          <w:p w14:paraId="020D746E" w14:textId="77777777" w:rsidR="006621BE" w:rsidRPr="003F464D" w:rsidRDefault="006621BE" w:rsidP="00EF5AF2">
            <w:pPr>
              <w:tabs>
                <w:tab w:val="left" w:pos="875"/>
              </w:tabs>
              <w:ind w:right="-50"/>
              <w:jc w:val="center"/>
              <w:rPr>
                <w:rFonts w:ascii="Arial" w:hAnsi="Arial" w:cs="Arial"/>
                <w:b/>
              </w:rPr>
            </w:pPr>
          </w:p>
        </w:tc>
        <w:tc>
          <w:tcPr>
            <w:tcW w:w="5244" w:type="dxa"/>
          </w:tcPr>
          <w:p w14:paraId="59385DC7" w14:textId="77777777" w:rsidR="006621BE" w:rsidRPr="003F464D" w:rsidRDefault="006621BE" w:rsidP="00EF5AF2">
            <w:pPr>
              <w:tabs>
                <w:tab w:val="left" w:pos="875"/>
              </w:tabs>
              <w:ind w:right="-50"/>
              <w:jc w:val="center"/>
              <w:rPr>
                <w:rFonts w:ascii="Arial" w:hAnsi="Arial" w:cs="Arial"/>
                <w:b/>
              </w:rPr>
            </w:pPr>
            <w:r w:rsidRPr="003F464D">
              <w:rPr>
                <w:rFonts w:ascii="Arial" w:hAnsi="Arial" w:cs="Arial"/>
                <w:b/>
              </w:rPr>
              <w:t>Descripción de la limitación</w:t>
            </w:r>
          </w:p>
        </w:tc>
      </w:tr>
      <w:tr w:rsidR="006621BE" w:rsidRPr="003F464D" w14:paraId="7E640968" w14:textId="77777777" w:rsidTr="00D102CF">
        <w:tc>
          <w:tcPr>
            <w:tcW w:w="993" w:type="dxa"/>
          </w:tcPr>
          <w:p w14:paraId="5B2CEBB9" w14:textId="77777777" w:rsidR="006621BE" w:rsidRPr="003F464D" w:rsidRDefault="006621BE" w:rsidP="00D102CF">
            <w:pPr>
              <w:tabs>
                <w:tab w:val="left" w:pos="875"/>
              </w:tabs>
              <w:ind w:left="-246" w:right="-50"/>
              <w:jc w:val="center"/>
              <w:rPr>
                <w:rFonts w:ascii="Arial" w:hAnsi="Arial" w:cs="Arial"/>
                <w:b/>
              </w:rPr>
            </w:pPr>
            <w:r w:rsidRPr="003F464D">
              <w:rPr>
                <w:rFonts w:ascii="Arial" w:hAnsi="Arial" w:cs="Arial"/>
                <w:b/>
              </w:rPr>
              <w:t>1</w:t>
            </w:r>
          </w:p>
        </w:tc>
        <w:tc>
          <w:tcPr>
            <w:tcW w:w="4253" w:type="dxa"/>
          </w:tcPr>
          <w:p w14:paraId="655C1110" w14:textId="77777777" w:rsidR="006621BE" w:rsidRPr="003F464D" w:rsidRDefault="006621BE" w:rsidP="00EF5AF2">
            <w:pPr>
              <w:tabs>
                <w:tab w:val="left" w:pos="875"/>
              </w:tabs>
              <w:ind w:right="-50"/>
              <w:jc w:val="both"/>
              <w:rPr>
                <w:rFonts w:ascii="Arial" w:hAnsi="Arial" w:cs="Arial"/>
                <w:b/>
              </w:rPr>
            </w:pPr>
            <w:r w:rsidRPr="003F464D">
              <w:rPr>
                <w:rFonts w:ascii="Arial" w:hAnsi="Arial" w:cs="Arial"/>
                <w:b/>
              </w:rPr>
              <w:t>Operativas:</w:t>
            </w:r>
          </w:p>
        </w:tc>
        <w:tc>
          <w:tcPr>
            <w:tcW w:w="5244" w:type="dxa"/>
          </w:tcPr>
          <w:p w14:paraId="1807927E" w14:textId="77777777" w:rsidR="006621BE" w:rsidRPr="003F464D" w:rsidRDefault="006621BE" w:rsidP="00CB6055">
            <w:pPr>
              <w:numPr>
                <w:ilvl w:val="0"/>
                <w:numId w:val="28"/>
              </w:numPr>
              <w:tabs>
                <w:tab w:val="left" w:pos="470"/>
              </w:tabs>
              <w:ind w:left="470" w:right="91"/>
              <w:jc w:val="both"/>
              <w:rPr>
                <w:rFonts w:ascii="Arial" w:hAnsi="Arial" w:cs="Arial"/>
              </w:rPr>
            </w:pPr>
            <w:r w:rsidRPr="003F464D">
              <w:rPr>
                <w:rFonts w:ascii="Arial" w:hAnsi="Arial" w:cs="Arial"/>
              </w:rPr>
              <w:t>Se</w:t>
            </w:r>
            <w:r w:rsidRPr="003F464D">
              <w:rPr>
                <w:rFonts w:ascii="Arial" w:hAnsi="Arial" w:cs="Arial"/>
                <w:spacing w:val="-17"/>
              </w:rPr>
              <w:t xml:space="preserve"> </w:t>
            </w:r>
            <w:r w:rsidRPr="003F464D">
              <w:rPr>
                <w:rFonts w:ascii="Arial" w:hAnsi="Arial" w:cs="Arial"/>
              </w:rPr>
              <w:t>debe</w:t>
            </w:r>
            <w:r w:rsidRPr="003F464D">
              <w:rPr>
                <w:rFonts w:ascii="Arial" w:hAnsi="Arial" w:cs="Arial"/>
                <w:spacing w:val="-17"/>
              </w:rPr>
              <w:t xml:space="preserve"> </w:t>
            </w:r>
            <w:r w:rsidRPr="003F464D">
              <w:rPr>
                <w:rFonts w:ascii="Arial" w:hAnsi="Arial" w:cs="Arial"/>
              </w:rPr>
              <w:t>realizar</w:t>
            </w:r>
            <w:r w:rsidRPr="003F464D">
              <w:rPr>
                <w:rFonts w:ascii="Arial" w:hAnsi="Arial" w:cs="Arial"/>
                <w:spacing w:val="-17"/>
              </w:rPr>
              <w:t xml:space="preserve"> </w:t>
            </w:r>
            <w:r w:rsidRPr="003F464D">
              <w:rPr>
                <w:rFonts w:ascii="Arial" w:hAnsi="Arial" w:cs="Arial"/>
              </w:rPr>
              <w:t>mensualmente</w:t>
            </w:r>
            <w:r w:rsidRPr="003F464D">
              <w:rPr>
                <w:rFonts w:ascii="Arial" w:hAnsi="Arial" w:cs="Arial"/>
                <w:spacing w:val="-17"/>
              </w:rPr>
              <w:t xml:space="preserve"> </w:t>
            </w:r>
            <w:r w:rsidRPr="003F464D">
              <w:rPr>
                <w:rFonts w:ascii="Arial" w:hAnsi="Arial" w:cs="Arial"/>
              </w:rPr>
              <w:t>de</w:t>
            </w:r>
            <w:r w:rsidRPr="003F464D">
              <w:rPr>
                <w:rFonts w:ascii="Arial" w:hAnsi="Arial" w:cs="Arial"/>
                <w:spacing w:val="-17"/>
              </w:rPr>
              <w:t xml:space="preserve"> </w:t>
            </w:r>
            <w:r w:rsidRPr="003F464D">
              <w:rPr>
                <w:rFonts w:ascii="Arial" w:hAnsi="Arial" w:cs="Arial"/>
              </w:rPr>
              <w:t xml:space="preserve">forma </w:t>
            </w:r>
            <w:r w:rsidRPr="003F464D">
              <w:rPr>
                <w:rFonts w:ascii="Arial" w:hAnsi="Arial" w:cs="Arial"/>
                <w:spacing w:val="-2"/>
              </w:rPr>
              <w:t>manual</w:t>
            </w:r>
            <w:r w:rsidRPr="003F464D">
              <w:rPr>
                <w:rFonts w:ascii="Arial" w:hAnsi="Arial" w:cs="Arial"/>
                <w:spacing w:val="-10"/>
              </w:rPr>
              <w:t xml:space="preserve"> </w:t>
            </w:r>
            <w:r w:rsidRPr="003F464D">
              <w:rPr>
                <w:rFonts w:ascii="Arial" w:hAnsi="Arial" w:cs="Arial"/>
                <w:spacing w:val="-2"/>
              </w:rPr>
              <w:t>los</w:t>
            </w:r>
            <w:r w:rsidRPr="003F464D">
              <w:rPr>
                <w:rFonts w:ascii="Arial" w:hAnsi="Arial" w:cs="Arial"/>
                <w:spacing w:val="-10"/>
              </w:rPr>
              <w:t xml:space="preserve"> </w:t>
            </w:r>
            <w:r w:rsidRPr="003F464D">
              <w:rPr>
                <w:rFonts w:ascii="Arial" w:hAnsi="Arial" w:cs="Arial"/>
                <w:spacing w:val="-2"/>
              </w:rPr>
              <w:t>comprobantes</w:t>
            </w:r>
            <w:r w:rsidRPr="003F464D">
              <w:rPr>
                <w:rFonts w:ascii="Arial" w:hAnsi="Arial" w:cs="Arial"/>
                <w:spacing w:val="-10"/>
              </w:rPr>
              <w:t xml:space="preserve"> </w:t>
            </w:r>
            <w:r w:rsidRPr="003F464D">
              <w:rPr>
                <w:rFonts w:ascii="Arial" w:hAnsi="Arial" w:cs="Arial"/>
                <w:spacing w:val="-2"/>
              </w:rPr>
              <w:t>de</w:t>
            </w:r>
            <w:r w:rsidRPr="003F464D">
              <w:rPr>
                <w:rFonts w:ascii="Arial" w:hAnsi="Arial" w:cs="Arial"/>
                <w:spacing w:val="-11"/>
              </w:rPr>
              <w:t xml:space="preserve"> </w:t>
            </w:r>
            <w:r w:rsidRPr="003F464D">
              <w:rPr>
                <w:rFonts w:ascii="Arial" w:hAnsi="Arial" w:cs="Arial"/>
                <w:spacing w:val="-2"/>
              </w:rPr>
              <w:t xml:space="preserve">contabilidad </w:t>
            </w:r>
            <w:r w:rsidRPr="003F464D">
              <w:rPr>
                <w:rFonts w:ascii="Arial" w:hAnsi="Arial" w:cs="Arial"/>
              </w:rPr>
              <w:t xml:space="preserve">para la cancelación de terceros correspondiente al pago de impuestos, labor que debería ser un proceso </w:t>
            </w:r>
            <w:r w:rsidRPr="003F464D">
              <w:rPr>
                <w:rFonts w:ascii="Arial" w:hAnsi="Arial" w:cs="Arial"/>
                <w:spacing w:val="-2"/>
              </w:rPr>
              <w:t>automático.</w:t>
            </w:r>
          </w:p>
          <w:p w14:paraId="758BB307" w14:textId="77777777" w:rsidR="006621BE" w:rsidRPr="003F464D" w:rsidRDefault="006621BE" w:rsidP="00CB6055">
            <w:pPr>
              <w:numPr>
                <w:ilvl w:val="0"/>
                <w:numId w:val="28"/>
              </w:numPr>
              <w:tabs>
                <w:tab w:val="left" w:pos="470"/>
              </w:tabs>
              <w:ind w:left="470" w:right="91"/>
              <w:jc w:val="both"/>
              <w:rPr>
                <w:rFonts w:ascii="Arial" w:hAnsi="Arial" w:cs="Arial"/>
              </w:rPr>
            </w:pPr>
            <w:r w:rsidRPr="003F464D">
              <w:rPr>
                <w:rFonts w:ascii="Arial" w:hAnsi="Arial" w:cs="Arial"/>
              </w:rPr>
              <w:t>La actualización de los recursos entregados en administración en fiducia mercantil se realiza por medio de comprobantes manuales ya que en el SIIF NACION, no cuenta con un módulo para</w:t>
            </w:r>
            <w:r w:rsidRPr="003F464D">
              <w:rPr>
                <w:rFonts w:ascii="Arial" w:hAnsi="Arial" w:cs="Arial"/>
                <w:spacing w:val="-20"/>
              </w:rPr>
              <w:t xml:space="preserve"> </w:t>
            </w:r>
            <w:r w:rsidRPr="003F464D">
              <w:rPr>
                <w:rFonts w:ascii="Arial" w:hAnsi="Arial" w:cs="Arial"/>
              </w:rPr>
              <w:t>que</w:t>
            </w:r>
            <w:r w:rsidRPr="003F464D">
              <w:rPr>
                <w:rFonts w:ascii="Arial" w:hAnsi="Arial" w:cs="Arial"/>
                <w:spacing w:val="-19"/>
              </w:rPr>
              <w:t xml:space="preserve"> </w:t>
            </w:r>
            <w:r w:rsidRPr="003F464D">
              <w:rPr>
                <w:rFonts w:ascii="Arial" w:hAnsi="Arial" w:cs="Arial"/>
              </w:rPr>
              <w:t>se</w:t>
            </w:r>
            <w:r w:rsidRPr="003F464D">
              <w:rPr>
                <w:rFonts w:ascii="Arial" w:hAnsi="Arial" w:cs="Arial"/>
                <w:spacing w:val="-19"/>
              </w:rPr>
              <w:t xml:space="preserve"> </w:t>
            </w:r>
            <w:r w:rsidRPr="003F464D">
              <w:rPr>
                <w:rFonts w:ascii="Arial" w:hAnsi="Arial" w:cs="Arial"/>
              </w:rPr>
              <w:t>registre</w:t>
            </w:r>
            <w:r w:rsidRPr="003F464D">
              <w:rPr>
                <w:rFonts w:ascii="Arial" w:hAnsi="Arial" w:cs="Arial"/>
                <w:spacing w:val="-20"/>
              </w:rPr>
              <w:t xml:space="preserve"> </w:t>
            </w:r>
            <w:r w:rsidRPr="003F464D">
              <w:rPr>
                <w:rFonts w:ascii="Arial" w:hAnsi="Arial" w:cs="Arial"/>
              </w:rPr>
              <w:t>de</w:t>
            </w:r>
            <w:r w:rsidRPr="003F464D">
              <w:rPr>
                <w:rFonts w:ascii="Arial" w:hAnsi="Arial" w:cs="Arial"/>
                <w:spacing w:val="-19"/>
              </w:rPr>
              <w:t xml:space="preserve"> </w:t>
            </w:r>
            <w:r w:rsidRPr="003F464D">
              <w:rPr>
                <w:rFonts w:ascii="Arial" w:hAnsi="Arial" w:cs="Arial"/>
              </w:rPr>
              <w:t>forma</w:t>
            </w:r>
            <w:r w:rsidRPr="003F464D">
              <w:rPr>
                <w:rFonts w:ascii="Arial" w:hAnsi="Arial" w:cs="Arial"/>
                <w:spacing w:val="-20"/>
              </w:rPr>
              <w:t xml:space="preserve"> </w:t>
            </w:r>
            <w:r w:rsidRPr="003F464D">
              <w:rPr>
                <w:rFonts w:ascii="Arial" w:hAnsi="Arial" w:cs="Arial"/>
              </w:rPr>
              <w:t>automática los movimientos generados en los diferentes patrimonios autónomos.</w:t>
            </w:r>
          </w:p>
          <w:p w14:paraId="0B6009C9" w14:textId="77777777" w:rsidR="006621BE" w:rsidRPr="003F464D" w:rsidRDefault="006621BE" w:rsidP="00CB6055">
            <w:pPr>
              <w:numPr>
                <w:ilvl w:val="0"/>
                <w:numId w:val="28"/>
              </w:numPr>
              <w:tabs>
                <w:tab w:val="left" w:pos="470"/>
              </w:tabs>
              <w:ind w:left="470" w:right="41"/>
              <w:jc w:val="both"/>
              <w:rPr>
                <w:rFonts w:ascii="Arial" w:hAnsi="Arial" w:cs="Arial"/>
              </w:rPr>
            </w:pPr>
            <w:r w:rsidRPr="003F464D">
              <w:rPr>
                <w:rFonts w:ascii="Arial" w:hAnsi="Arial" w:cs="Arial"/>
              </w:rPr>
              <w:lastRenderedPageBreak/>
              <w:t>Para la devolución de donaciones a los Organismos</w:t>
            </w:r>
            <w:r w:rsidRPr="003F464D">
              <w:rPr>
                <w:rFonts w:ascii="Arial" w:hAnsi="Arial" w:cs="Arial"/>
                <w:spacing w:val="-3"/>
              </w:rPr>
              <w:t xml:space="preserve"> </w:t>
            </w:r>
            <w:r w:rsidRPr="003F464D">
              <w:rPr>
                <w:rFonts w:ascii="Arial" w:hAnsi="Arial" w:cs="Arial"/>
              </w:rPr>
              <w:t>internaciones</w:t>
            </w:r>
            <w:r w:rsidRPr="003F464D">
              <w:rPr>
                <w:rFonts w:ascii="Arial" w:hAnsi="Arial" w:cs="Arial"/>
                <w:spacing w:val="-3"/>
              </w:rPr>
              <w:t xml:space="preserve"> </w:t>
            </w:r>
            <w:r w:rsidRPr="003F464D">
              <w:rPr>
                <w:rFonts w:ascii="Arial" w:hAnsi="Arial" w:cs="Arial"/>
              </w:rPr>
              <w:t>no</w:t>
            </w:r>
            <w:r w:rsidRPr="003F464D">
              <w:rPr>
                <w:rFonts w:ascii="Arial" w:hAnsi="Arial" w:cs="Arial"/>
                <w:spacing w:val="-3"/>
              </w:rPr>
              <w:t xml:space="preserve"> </w:t>
            </w:r>
            <w:r w:rsidRPr="003F464D">
              <w:rPr>
                <w:rFonts w:ascii="Arial" w:hAnsi="Arial" w:cs="Arial"/>
              </w:rPr>
              <w:t>se</w:t>
            </w:r>
            <w:r w:rsidRPr="003F464D">
              <w:rPr>
                <w:rFonts w:ascii="Arial" w:hAnsi="Arial" w:cs="Arial"/>
                <w:spacing w:val="-3"/>
              </w:rPr>
              <w:t xml:space="preserve"> </w:t>
            </w:r>
            <w:r w:rsidRPr="003F464D">
              <w:rPr>
                <w:rFonts w:ascii="Arial" w:hAnsi="Arial" w:cs="Arial"/>
              </w:rPr>
              <w:t>realiza</w:t>
            </w:r>
            <w:r w:rsidRPr="003F464D">
              <w:rPr>
                <w:rFonts w:ascii="Arial" w:hAnsi="Arial" w:cs="Arial"/>
                <w:spacing w:val="-3"/>
              </w:rPr>
              <w:t xml:space="preserve"> </w:t>
            </w:r>
            <w:r w:rsidRPr="003F464D">
              <w:rPr>
                <w:rFonts w:ascii="Arial" w:hAnsi="Arial" w:cs="Arial"/>
              </w:rPr>
              <w:t>a través de los módulos de SIIF Nación, sino, la Dirección del Tesoro Nacional realiza</w:t>
            </w:r>
            <w:r w:rsidRPr="003F464D">
              <w:rPr>
                <w:rFonts w:ascii="Arial" w:hAnsi="Arial" w:cs="Arial"/>
                <w:spacing w:val="-12"/>
              </w:rPr>
              <w:t xml:space="preserve"> </w:t>
            </w:r>
            <w:r w:rsidRPr="003F464D">
              <w:rPr>
                <w:rFonts w:ascii="Arial" w:hAnsi="Arial" w:cs="Arial"/>
              </w:rPr>
              <w:t>la</w:t>
            </w:r>
            <w:r w:rsidRPr="003F464D">
              <w:rPr>
                <w:rFonts w:ascii="Arial" w:hAnsi="Arial" w:cs="Arial"/>
                <w:spacing w:val="-12"/>
              </w:rPr>
              <w:t xml:space="preserve"> </w:t>
            </w:r>
            <w:r w:rsidRPr="003F464D">
              <w:rPr>
                <w:rFonts w:ascii="Arial" w:hAnsi="Arial" w:cs="Arial"/>
              </w:rPr>
              <w:t>devolución</w:t>
            </w:r>
            <w:r w:rsidRPr="003F464D">
              <w:rPr>
                <w:rFonts w:ascii="Arial" w:hAnsi="Arial" w:cs="Arial"/>
                <w:spacing w:val="-12"/>
              </w:rPr>
              <w:t xml:space="preserve"> </w:t>
            </w:r>
            <w:r w:rsidRPr="003F464D">
              <w:rPr>
                <w:rFonts w:ascii="Arial" w:hAnsi="Arial" w:cs="Arial"/>
              </w:rPr>
              <w:t>directamente</w:t>
            </w:r>
            <w:r w:rsidRPr="003F464D">
              <w:rPr>
                <w:rFonts w:ascii="Arial" w:hAnsi="Arial" w:cs="Arial"/>
                <w:spacing w:val="-12"/>
              </w:rPr>
              <w:t xml:space="preserve"> </w:t>
            </w:r>
            <w:r w:rsidRPr="003F464D">
              <w:rPr>
                <w:rFonts w:ascii="Arial" w:hAnsi="Arial" w:cs="Arial"/>
              </w:rPr>
              <w:t>y</w:t>
            </w:r>
            <w:r w:rsidRPr="003F464D">
              <w:rPr>
                <w:rFonts w:ascii="Arial" w:hAnsi="Arial" w:cs="Arial"/>
                <w:spacing w:val="-12"/>
              </w:rPr>
              <w:t xml:space="preserve"> </w:t>
            </w:r>
            <w:r w:rsidRPr="003F464D">
              <w:rPr>
                <w:rFonts w:ascii="Arial" w:hAnsi="Arial" w:cs="Arial"/>
              </w:rPr>
              <w:t>en</w:t>
            </w:r>
            <w:r w:rsidRPr="003F464D">
              <w:rPr>
                <w:rFonts w:ascii="Arial" w:hAnsi="Arial" w:cs="Arial"/>
                <w:spacing w:val="-12"/>
              </w:rPr>
              <w:t xml:space="preserve"> </w:t>
            </w:r>
            <w:r w:rsidRPr="003F464D">
              <w:rPr>
                <w:rFonts w:ascii="Arial" w:hAnsi="Arial" w:cs="Arial"/>
              </w:rPr>
              <w:t>el módulo de gestión contable se realiza comprobante manual de dicha transacción</w:t>
            </w:r>
            <w:r w:rsidRPr="003F464D">
              <w:rPr>
                <w:rFonts w:ascii="Arial" w:hAnsi="Arial" w:cs="Arial"/>
                <w:spacing w:val="80"/>
                <w:w w:val="150"/>
              </w:rPr>
              <w:t xml:space="preserve"> </w:t>
            </w:r>
            <w:r w:rsidRPr="003F464D">
              <w:rPr>
                <w:rFonts w:ascii="Arial" w:hAnsi="Arial" w:cs="Arial"/>
              </w:rPr>
              <w:t>para</w:t>
            </w:r>
            <w:r w:rsidRPr="003F464D">
              <w:rPr>
                <w:rFonts w:ascii="Arial" w:hAnsi="Arial" w:cs="Arial"/>
                <w:spacing w:val="80"/>
                <w:w w:val="150"/>
              </w:rPr>
              <w:t xml:space="preserve"> </w:t>
            </w:r>
            <w:r w:rsidRPr="003F464D">
              <w:rPr>
                <w:rFonts w:ascii="Arial" w:hAnsi="Arial" w:cs="Arial"/>
              </w:rPr>
              <w:t>afectar</w:t>
            </w:r>
            <w:r w:rsidRPr="003F464D">
              <w:rPr>
                <w:rFonts w:ascii="Arial" w:hAnsi="Arial" w:cs="Arial"/>
                <w:spacing w:val="80"/>
                <w:w w:val="150"/>
              </w:rPr>
              <w:t xml:space="preserve"> </w:t>
            </w:r>
            <w:r w:rsidRPr="003F464D">
              <w:rPr>
                <w:rFonts w:ascii="Arial" w:hAnsi="Arial" w:cs="Arial"/>
              </w:rPr>
              <w:t>los</w:t>
            </w:r>
            <w:r w:rsidRPr="003F464D">
              <w:rPr>
                <w:rFonts w:ascii="Arial" w:hAnsi="Arial" w:cs="Arial"/>
                <w:spacing w:val="80"/>
                <w:w w:val="150"/>
              </w:rPr>
              <w:t xml:space="preserve"> </w:t>
            </w:r>
            <w:r w:rsidRPr="003F464D">
              <w:rPr>
                <w:rFonts w:ascii="Arial" w:hAnsi="Arial" w:cs="Arial"/>
              </w:rPr>
              <w:t xml:space="preserve">estados </w:t>
            </w:r>
            <w:r w:rsidRPr="003F464D">
              <w:rPr>
                <w:rFonts w:ascii="Arial" w:hAnsi="Arial" w:cs="Arial"/>
                <w:spacing w:val="-2"/>
              </w:rPr>
              <w:t>financieros.</w:t>
            </w:r>
          </w:p>
        </w:tc>
      </w:tr>
    </w:tbl>
    <w:p w14:paraId="5EC9CD1F" w14:textId="77777777" w:rsidR="006621BE" w:rsidRDefault="006621BE" w:rsidP="006621BE">
      <w:pPr>
        <w:ind w:left="-284" w:right="49"/>
        <w:jc w:val="both"/>
        <w:rPr>
          <w:rFonts w:ascii="Arial" w:hAnsi="Arial" w:cs="Arial"/>
          <w:b/>
          <w:sz w:val="24"/>
          <w:szCs w:val="24"/>
        </w:rPr>
      </w:pPr>
    </w:p>
    <w:p w14:paraId="7ECEFF4A" w14:textId="77777777" w:rsidR="006621BE" w:rsidRPr="00DF7570" w:rsidRDefault="006621BE" w:rsidP="00D102CF">
      <w:pPr>
        <w:ind w:left="-284" w:right="-234"/>
        <w:jc w:val="both"/>
        <w:rPr>
          <w:rFonts w:ascii="Arial" w:hAnsi="Arial" w:cs="Arial"/>
          <w:b/>
          <w:sz w:val="28"/>
          <w:szCs w:val="28"/>
          <w:lang w:val="es-MX"/>
        </w:rPr>
      </w:pPr>
      <w:r w:rsidRPr="00DF7570">
        <w:rPr>
          <w:rFonts w:ascii="Arial" w:hAnsi="Arial" w:cs="Arial"/>
          <w:b/>
          <w:sz w:val="28"/>
          <w:szCs w:val="28"/>
          <w:lang w:val="es-MX"/>
        </w:rPr>
        <w:t>158.- CORPORACIÓN AUTÓNOMA REGIONAL DE NARIÑO – CORPONARIÑO.</w:t>
      </w:r>
    </w:p>
    <w:p w14:paraId="6624C2B3"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EA5F47" w14:paraId="29C87493" w14:textId="77777777" w:rsidTr="00D102CF">
        <w:tc>
          <w:tcPr>
            <w:tcW w:w="993" w:type="dxa"/>
          </w:tcPr>
          <w:p w14:paraId="2B4E40F1" w14:textId="77777777" w:rsidR="006621BE" w:rsidRPr="00EA5F47" w:rsidRDefault="006621BE" w:rsidP="00EF5AF2">
            <w:pPr>
              <w:tabs>
                <w:tab w:val="left" w:pos="875"/>
              </w:tabs>
              <w:jc w:val="center"/>
              <w:rPr>
                <w:rFonts w:ascii="Arial" w:hAnsi="Arial" w:cs="Arial"/>
                <w:b/>
              </w:rPr>
            </w:pPr>
            <w:r w:rsidRPr="00EA5F47">
              <w:rPr>
                <w:rFonts w:ascii="Arial" w:hAnsi="Arial" w:cs="Arial"/>
                <w:b/>
              </w:rPr>
              <w:t>N°</w:t>
            </w:r>
          </w:p>
        </w:tc>
        <w:tc>
          <w:tcPr>
            <w:tcW w:w="4253" w:type="dxa"/>
          </w:tcPr>
          <w:p w14:paraId="741E3750" w14:textId="77777777" w:rsidR="006621BE" w:rsidRPr="00EA5F47" w:rsidRDefault="006621BE" w:rsidP="00EF5AF2">
            <w:pPr>
              <w:tabs>
                <w:tab w:val="left" w:pos="875"/>
              </w:tabs>
              <w:jc w:val="center"/>
              <w:rPr>
                <w:rFonts w:ascii="Arial" w:hAnsi="Arial" w:cs="Arial"/>
                <w:b/>
              </w:rPr>
            </w:pPr>
            <w:r w:rsidRPr="00EA5F47">
              <w:rPr>
                <w:rFonts w:ascii="Arial" w:hAnsi="Arial" w:cs="Arial"/>
                <w:b/>
              </w:rPr>
              <w:t>Limitaciones del Sistema SIIF II Nación a 31/12/2024</w:t>
            </w:r>
          </w:p>
        </w:tc>
        <w:tc>
          <w:tcPr>
            <w:tcW w:w="5244" w:type="dxa"/>
          </w:tcPr>
          <w:p w14:paraId="463CE921" w14:textId="77777777" w:rsidR="006621BE" w:rsidRPr="00EA5F47" w:rsidRDefault="006621BE" w:rsidP="00EF5AF2">
            <w:pPr>
              <w:tabs>
                <w:tab w:val="left" w:pos="875"/>
              </w:tabs>
              <w:jc w:val="center"/>
              <w:rPr>
                <w:rFonts w:ascii="Arial" w:hAnsi="Arial" w:cs="Arial"/>
                <w:b/>
              </w:rPr>
            </w:pPr>
            <w:r w:rsidRPr="00EA5F47">
              <w:rPr>
                <w:rFonts w:ascii="Arial" w:hAnsi="Arial" w:cs="Arial"/>
                <w:b/>
              </w:rPr>
              <w:t>Descripción de la limitación</w:t>
            </w:r>
          </w:p>
        </w:tc>
      </w:tr>
      <w:tr w:rsidR="006621BE" w:rsidRPr="00EA5F47" w14:paraId="1247C861" w14:textId="77777777" w:rsidTr="00D102CF">
        <w:tc>
          <w:tcPr>
            <w:tcW w:w="993" w:type="dxa"/>
          </w:tcPr>
          <w:p w14:paraId="0A2D003A" w14:textId="77777777" w:rsidR="006621BE" w:rsidRPr="00EA5F47" w:rsidRDefault="006621BE" w:rsidP="00EF5AF2">
            <w:pPr>
              <w:tabs>
                <w:tab w:val="left" w:pos="875"/>
              </w:tabs>
              <w:jc w:val="center"/>
              <w:rPr>
                <w:rFonts w:ascii="Arial" w:hAnsi="Arial" w:cs="Arial"/>
                <w:b/>
              </w:rPr>
            </w:pPr>
            <w:r w:rsidRPr="00EA5F47">
              <w:rPr>
                <w:rFonts w:ascii="Arial" w:hAnsi="Arial" w:cs="Arial"/>
                <w:b/>
              </w:rPr>
              <w:t>1</w:t>
            </w:r>
          </w:p>
        </w:tc>
        <w:tc>
          <w:tcPr>
            <w:tcW w:w="4253" w:type="dxa"/>
          </w:tcPr>
          <w:p w14:paraId="7B6E55DB" w14:textId="77777777" w:rsidR="006621BE" w:rsidRPr="00EA5F47" w:rsidRDefault="006621BE" w:rsidP="00EF5AF2">
            <w:pPr>
              <w:tabs>
                <w:tab w:val="left" w:pos="875"/>
              </w:tabs>
              <w:jc w:val="both"/>
              <w:rPr>
                <w:rFonts w:ascii="Arial" w:hAnsi="Arial" w:cs="Arial"/>
                <w:b/>
              </w:rPr>
            </w:pPr>
            <w:r w:rsidRPr="00EA5F47">
              <w:rPr>
                <w:rFonts w:ascii="Arial" w:hAnsi="Arial" w:cs="Arial"/>
                <w:b/>
              </w:rPr>
              <w:t>Operativas:</w:t>
            </w:r>
          </w:p>
        </w:tc>
        <w:tc>
          <w:tcPr>
            <w:tcW w:w="5244" w:type="dxa"/>
          </w:tcPr>
          <w:p w14:paraId="52E0B9E1" w14:textId="77777777" w:rsidR="006621BE" w:rsidRPr="00EA5F47" w:rsidRDefault="006621BE" w:rsidP="00EF5AF2">
            <w:pPr>
              <w:tabs>
                <w:tab w:val="left" w:pos="875"/>
              </w:tabs>
              <w:jc w:val="both"/>
              <w:rPr>
                <w:rFonts w:ascii="Arial" w:hAnsi="Arial" w:cs="Arial"/>
              </w:rPr>
            </w:pPr>
            <w:r w:rsidRPr="00EA5F47">
              <w:rPr>
                <w:rFonts w:ascii="Arial" w:hAnsi="Arial" w:cs="Arial"/>
              </w:rPr>
              <w:t>Por autonomía de las Corporaciones Autónomas Regionales los recursos propios se manejan fuera del aplicativo</w:t>
            </w:r>
          </w:p>
        </w:tc>
      </w:tr>
    </w:tbl>
    <w:p w14:paraId="66DEEA55" w14:textId="77777777" w:rsidR="006621BE" w:rsidRDefault="006621BE" w:rsidP="006621BE">
      <w:pPr>
        <w:ind w:left="-284" w:right="49"/>
        <w:jc w:val="both"/>
        <w:rPr>
          <w:rFonts w:ascii="Arial" w:hAnsi="Arial" w:cs="Arial"/>
          <w:b/>
          <w:sz w:val="24"/>
          <w:szCs w:val="24"/>
        </w:rPr>
      </w:pPr>
    </w:p>
    <w:p w14:paraId="10D0A875" w14:textId="77777777" w:rsidR="006621BE" w:rsidRPr="00B27975" w:rsidRDefault="006621BE" w:rsidP="00D102CF">
      <w:pPr>
        <w:ind w:left="-284"/>
        <w:jc w:val="both"/>
        <w:rPr>
          <w:rFonts w:ascii="Arial" w:hAnsi="Arial" w:cs="Arial"/>
          <w:b/>
          <w:sz w:val="28"/>
          <w:szCs w:val="28"/>
          <w:lang w:val="es-MX"/>
        </w:rPr>
      </w:pPr>
      <w:r w:rsidRPr="00B27975">
        <w:rPr>
          <w:rFonts w:ascii="Arial" w:hAnsi="Arial" w:cs="Arial"/>
          <w:b/>
          <w:sz w:val="28"/>
          <w:szCs w:val="28"/>
          <w:lang w:val="es-MX"/>
        </w:rPr>
        <w:t xml:space="preserve">161.- </w:t>
      </w:r>
      <w:r w:rsidRPr="00B27975">
        <w:rPr>
          <w:rFonts w:ascii="Arial" w:hAnsi="Arial" w:cs="Arial"/>
          <w:b/>
          <w:sz w:val="28"/>
          <w:szCs w:val="28"/>
          <w:lang w:val="es-CO"/>
        </w:rPr>
        <w:t>U.A.E. AGENCIA NACIONAL DE HIDROCARBUROS – ANH.</w:t>
      </w:r>
    </w:p>
    <w:p w14:paraId="2FDB415C" w14:textId="77777777" w:rsidR="006621BE" w:rsidRPr="00191572" w:rsidRDefault="006621BE" w:rsidP="00D102CF">
      <w:pPr>
        <w:pStyle w:val="Prrafodelista"/>
        <w:spacing w:before="92"/>
        <w:ind w:left="-284"/>
        <w:rPr>
          <w:rFonts w:ascii="Arial" w:hAnsi="Arial" w:cs="Arial"/>
          <w:b/>
          <w:sz w:val="24"/>
          <w:szCs w:val="24"/>
        </w:rPr>
      </w:pPr>
    </w:p>
    <w:p w14:paraId="09672A63" w14:textId="77777777" w:rsidR="006621BE" w:rsidRPr="00191572" w:rsidRDefault="006621BE" w:rsidP="00D102CF">
      <w:pPr>
        <w:pStyle w:val="Textoindependiente"/>
        <w:ind w:left="-284"/>
        <w:jc w:val="both"/>
        <w:rPr>
          <w:rFonts w:ascii="Arial" w:hAnsi="Arial" w:cs="Arial"/>
          <w:b/>
          <w:bCs/>
          <w:sz w:val="24"/>
          <w:szCs w:val="24"/>
        </w:rPr>
      </w:pPr>
      <w:r w:rsidRPr="00191572">
        <w:rPr>
          <w:rFonts w:ascii="Arial" w:hAnsi="Arial" w:cs="Arial"/>
          <w:b/>
          <w:bCs/>
          <w:sz w:val="24"/>
          <w:szCs w:val="24"/>
        </w:rPr>
        <w:t>1.1 Declaración de cumplimiento del marco normativo y limitaciones.</w:t>
      </w:r>
    </w:p>
    <w:p w14:paraId="55D1C1C6" w14:textId="77777777" w:rsidR="006621BE" w:rsidRPr="00191572" w:rsidRDefault="006621BE" w:rsidP="00D102CF">
      <w:pPr>
        <w:pStyle w:val="Textoindependiente"/>
        <w:ind w:left="-284"/>
        <w:jc w:val="both"/>
        <w:rPr>
          <w:rFonts w:ascii="Arial" w:hAnsi="Arial" w:cs="Arial"/>
          <w:sz w:val="24"/>
          <w:szCs w:val="24"/>
        </w:rPr>
      </w:pPr>
    </w:p>
    <w:p w14:paraId="6B03B067" w14:textId="77777777" w:rsidR="006621BE" w:rsidRPr="00191572" w:rsidRDefault="006621BE" w:rsidP="00D102CF">
      <w:pPr>
        <w:pStyle w:val="Textoindependiente"/>
        <w:ind w:left="-284" w:right="-234"/>
        <w:jc w:val="both"/>
        <w:rPr>
          <w:rFonts w:ascii="Arial" w:hAnsi="Arial" w:cs="Arial"/>
          <w:sz w:val="24"/>
          <w:szCs w:val="24"/>
        </w:rPr>
      </w:pPr>
      <w:r w:rsidRPr="00191572">
        <w:rPr>
          <w:rFonts w:ascii="Arial" w:hAnsi="Arial" w:cs="Arial"/>
          <w:sz w:val="24"/>
          <w:szCs w:val="24"/>
        </w:rPr>
        <w:t>Si bien, tanto en el SIIF Nación II como el SPGR, son la única fuente de información financiera válida para todos los efectos de reporte de información financiera, es importante tener en cuenta que estos aplicativos presentan limitaciones tales como:</w:t>
      </w:r>
    </w:p>
    <w:p w14:paraId="079359B4" w14:textId="77777777" w:rsidR="006621BE" w:rsidRPr="00191572" w:rsidRDefault="006621BE" w:rsidP="003769C9">
      <w:pPr>
        <w:pStyle w:val="Textoindependiente"/>
        <w:ind w:right="-234"/>
        <w:jc w:val="both"/>
        <w:rPr>
          <w:rFonts w:ascii="Arial" w:hAnsi="Arial" w:cs="Arial"/>
          <w:sz w:val="24"/>
          <w:szCs w:val="24"/>
        </w:rPr>
      </w:pPr>
    </w:p>
    <w:p w14:paraId="3AE512A7" w14:textId="77777777" w:rsidR="006621BE" w:rsidRPr="00191572" w:rsidRDefault="006621BE" w:rsidP="00CB6055">
      <w:pPr>
        <w:pStyle w:val="Textoindependiente"/>
        <w:numPr>
          <w:ilvl w:val="0"/>
          <w:numId w:val="29"/>
        </w:numPr>
        <w:ind w:right="-234"/>
        <w:jc w:val="both"/>
        <w:rPr>
          <w:rFonts w:ascii="Arial" w:hAnsi="Arial" w:cs="Arial"/>
          <w:sz w:val="24"/>
          <w:szCs w:val="24"/>
        </w:rPr>
      </w:pPr>
      <w:r w:rsidRPr="00191572">
        <w:rPr>
          <w:rFonts w:ascii="Arial" w:hAnsi="Arial" w:cs="Arial"/>
          <w:sz w:val="24"/>
          <w:szCs w:val="24"/>
        </w:rPr>
        <w:t xml:space="preserve">No cuentan con módulos de gestión de servicios como: nómina, propiedades, planta y equipo y cartera </w:t>
      </w:r>
    </w:p>
    <w:p w14:paraId="0109565B" w14:textId="77777777" w:rsidR="006621BE" w:rsidRPr="00191572" w:rsidRDefault="006621BE" w:rsidP="00CB6055">
      <w:pPr>
        <w:pStyle w:val="Textoindependiente"/>
        <w:numPr>
          <w:ilvl w:val="0"/>
          <w:numId w:val="29"/>
        </w:numPr>
        <w:ind w:right="-234"/>
        <w:jc w:val="both"/>
        <w:rPr>
          <w:rFonts w:ascii="Arial" w:hAnsi="Arial" w:cs="Arial"/>
          <w:sz w:val="24"/>
          <w:szCs w:val="24"/>
        </w:rPr>
      </w:pPr>
      <w:r w:rsidRPr="00191572">
        <w:rPr>
          <w:rFonts w:ascii="Arial" w:hAnsi="Arial" w:cs="Arial"/>
          <w:sz w:val="24"/>
          <w:szCs w:val="24"/>
        </w:rPr>
        <w:t xml:space="preserve">El SPGR no cuenta con parametrizaciones a nivel de tercero en algunas cuentas contables </w:t>
      </w:r>
    </w:p>
    <w:p w14:paraId="5E4291AF" w14:textId="77777777" w:rsidR="006621BE" w:rsidRPr="00191572" w:rsidRDefault="006621BE" w:rsidP="003769C9">
      <w:pPr>
        <w:pStyle w:val="Textoindependiente"/>
        <w:ind w:right="-234"/>
        <w:jc w:val="both"/>
        <w:rPr>
          <w:rFonts w:ascii="Arial" w:hAnsi="Arial" w:cs="Arial"/>
          <w:sz w:val="24"/>
          <w:szCs w:val="24"/>
        </w:rPr>
      </w:pPr>
    </w:p>
    <w:p w14:paraId="3ADBE25C" w14:textId="77777777" w:rsidR="006621BE" w:rsidRPr="00191572" w:rsidRDefault="006621BE" w:rsidP="00D102CF">
      <w:pPr>
        <w:pStyle w:val="Textoindependiente"/>
        <w:ind w:left="-284" w:right="-234"/>
        <w:jc w:val="both"/>
        <w:rPr>
          <w:rFonts w:ascii="Arial" w:hAnsi="Arial" w:cs="Arial"/>
          <w:sz w:val="24"/>
          <w:szCs w:val="24"/>
        </w:rPr>
      </w:pPr>
      <w:r w:rsidRPr="00191572">
        <w:rPr>
          <w:rFonts w:ascii="Arial" w:hAnsi="Arial" w:cs="Arial"/>
          <w:sz w:val="24"/>
          <w:szCs w:val="24"/>
        </w:rPr>
        <w:t xml:space="preserve">Lo anterior conlleva la utilización de mecanismos alternos para el control y seguimiento de la gestión financiera de la ANH, acorde con su objeto misional. </w:t>
      </w:r>
    </w:p>
    <w:p w14:paraId="2087A510" w14:textId="77777777" w:rsidR="006621BE" w:rsidRDefault="006621BE" w:rsidP="00D102CF">
      <w:pPr>
        <w:ind w:left="-284" w:right="-234"/>
        <w:jc w:val="both"/>
        <w:rPr>
          <w:b/>
          <w:sz w:val="28"/>
          <w:szCs w:val="28"/>
        </w:rPr>
      </w:pPr>
    </w:p>
    <w:p w14:paraId="0ED40ECA" w14:textId="77777777" w:rsidR="006621BE" w:rsidRPr="003E43AF" w:rsidRDefault="006621BE" w:rsidP="00D102CF">
      <w:pPr>
        <w:ind w:left="-284" w:right="-234"/>
        <w:jc w:val="both"/>
        <w:rPr>
          <w:rFonts w:ascii="Arial" w:hAnsi="Arial" w:cs="Arial"/>
          <w:b/>
          <w:sz w:val="28"/>
          <w:szCs w:val="28"/>
          <w:lang w:val="es-MX"/>
        </w:rPr>
      </w:pPr>
      <w:r w:rsidRPr="003E43AF">
        <w:rPr>
          <w:rFonts w:ascii="Arial" w:hAnsi="Arial" w:cs="Arial"/>
          <w:b/>
          <w:sz w:val="28"/>
          <w:szCs w:val="28"/>
          <w:lang w:val="es-MX"/>
        </w:rPr>
        <w:t>163.- COMISIÓN DE REGULACIÓN DE ENERGÍA Y GAS - CREG.</w:t>
      </w:r>
    </w:p>
    <w:p w14:paraId="784802CB" w14:textId="77777777" w:rsidR="006621BE" w:rsidRDefault="006621BE" w:rsidP="00D102CF">
      <w:pPr>
        <w:pStyle w:val="Textoindependiente"/>
        <w:ind w:left="-284" w:right="-234"/>
        <w:jc w:val="both"/>
      </w:pPr>
    </w:p>
    <w:p w14:paraId="7DA01469" w14:textId="77777777" w:rsidR="006621BE" w:rsidRPr="003E43AF" w:rsidRDefault="006621BE" w:rsidP="00D102CF">
      <w:pPr>
        <w:pStyle w:val="Textoindependiente"/>
        <w:ind w:left="-284" w:right="-234"/>
        <w:jc w:val="both"/>
        <w:rPr>
          <w:rFonts w:ascii="Arial" w:hAnsi="Arial" w:cs="Arial"/>
          <w:sz w:val="24"/>
          <w:szCs w:val="24"/>
        </w:rPr>
      </w:pPr>
      <w:r w:rsidRPr="003E43AF">
        <w:rPr>
          <w:rFonts w:ascii="Arial" w:hAnsi="Arial" w:cs="Arial"/>
          <w:sz w:val="24"/>
          <w:szCs w:val="24"/>
        </w:rPr>
        <w:t xml:space="preserve">El aplicativo usado es el SIIF – II Nación, durante el periodo se presentaron algunas fallas que fueron resueltas por el administrador del sistema y que no han conllevado errores en los reportes ni en los registros. </w:t>
      </w:r>
    </w:p>
    <w:p w14:paraId="013C0B4A" w14:textId="77777777" w:rsidR="006621BE" w:rsidRDefault="006621BE" w:rsidP="00D102CF">
      <w:pPr>
        <w:ind w:left="-284"/>
        <w:jc w:val="both"/>
        <w:rPr>
          <w:b/>
          <w:sz w:val="28"/>
          <w:szCs w:val="28"/>
        </w:rPr>
      </w:pPr>
      <w:bookmarkStart w:id="18" w:name="_Hlk200975703"/>
    </w:p>
    <w:p w14:paraId="7789D532" w14:textId="77777777" w:rsidR="006621BE" w:rsidRPr="00D1314B" w:rsidRDefault="006621BE" w:rsidP="00D102CF">
      <w:pPr>
        <w:ind w:left="-284"/>
        <w:jc w:val="both"/>
        <w:rPr>
          <w:rFonts w:ascii="Arial" w:hAnsi="Arial" w:cs="Arial"/>
          <w:b/>
          <w:sz w:val="28"/>
          <w:szCs w:val="28"/>
          <w:lang w:val="es-MX"/>
        </w:rPr>
      </w:pPr>
      <w:r w:rsidRPr="00D1314B">
        <w:rPr>
          <w:rFonts w:ascii="Arial" w:hAnsi="Arial" w:cs="Arial"/>
          <w:b/>
          <w:sz w:val="28"/>
          <w:szCs w:val="28"/>
          <w:lang w:val="es-MX"/>
        </w:rPr>
        <w:t>164.- AGENCIA NACIONAL DE SEGURIDAD VIAL.</w:t>
      </w:r>
    </w:p>
    <w:bookmarkEnd w:id="18"/>
    <w:p w14:paraId="7DC4CBA8" w14:textId="77777777" w:rsidR="006621BE" w:rsidRPr="00D1314B" w:rsidRDefault="006621BE" w:rsidP="006621BE">
      <w:pPr>
        <w:pStyle w:val="Prrafodelista"/>
        <w:spacing w:before="92"/>
        <w:ind w:left="-142"/>
        <w:rPr>
          <w:rFonts w:ascii="Arial" w:hAnsi="Arial" w:cs="Arial"/>
          <w:b/>
          <w:sz w:val="24"/>
          <w:szCs w:val="24"/>
          <w:lang w:val="es-MX"/>
        </w:rPr>
      </w:pPr>
    </w:p>
    <w:tbl>
      <w:tblPr>
        <w:tblStyle w:val="TableGrid"/>
        <w:tblW w:w="10490" w:type="dxa"/>
        <w:tblInd w:w="-289" w:type="dxa"/>
        <w:tblCellMar>
          <w:top w:w="54" w:type="dxa"/>
          <w:left w:w="108" w:type="dxa"/>
        </w:tblCellMar>
        <w:tblLook w:val="04A0" w:firstRow="1" w:lastRow="0" w:firstColumn="1" w:lastColumn="0" w:noHBand="0" w:noVBand="1"/>
      </w:tblPr>
      <w:tblGrid>
        <w:gridCol w:w="993"/>
        <w:gridCol w:w="4253"/>
        <w:gridCol w:w="5244"/>
      </w:tblGrid>
      <w:tr w:rsidR="006621BE" w:rsidRPr="00D1314B" w14:paraId="32FD61F6" w14:textId="77777777" w:rsidTr="00450379">
        <w:trPr>
          <w:trHeight w:val="502"/>
        </w:trPr>
        <w:tc>
          <w:tcPr>
            <w:tcW w:w="993" w:type="dxa"/>
            <w:tcBorders>
              <w:top w:val="single" w:sz="4" w:space="0" w:color="000000"/>
              <w:left w:val="single" w:sz="4" w:space="0" w:color="000000"/>
              <w:bottom w:val="single" w:sz="4" w:space="0" w:color="000000"/>
              <w:right w:val="single" w:sz="4" w:space="0" w:color="000000"/>
            </w:tcBorders>
          </w:tcPr>
          <w:p w14:paraId="01C5F860" w14:textId="77777777" w:rsidR="006621BE" w:rsidRPr="00D1314B" w:rsidRDefault="006621BE" w:rsidP="00EF5AF2">
            <w:pPr>
              <w:ind w:left="58"/>
              <w:jc w:val="center"/>
              <w:rPr>
                <w:rFonts w:ascii="Arial" w:hAnsi="Arial" w:cs="Arial"/>
              </w:rPr>
            </w:pPr>
            <w:r w:rsidRPr="00D1314B">
              <w:rPr>
                <w:rFonts w:ascii="Arial" w:hAnsi="Arial" w:cs="Arial"/>
                <w:b/>
                <w:sz w:val="20"/>
              </w:rPr>
              <w:t>N°</w:t>
            </w:r>
          </w:p>
        </w:tc>
        <w:tc>
          <w:tcPr>
            <w:tcW w:w="4253" w:type="dxa"/>
            <w:tcBorders>
              <w:top w:val="single" w:sz="4" w:space="0" w:color="000000"/>
              <w:left w:val="single" w:sz="4" w:space="0" w:color="000000"/>
              <w:bottom w:val="single" w:sz="4" w:space="0" w:color="000000"/>
              <w:right w:val="single" w:sz="4" w:space="0" w:color="000000"/>
            </w:tcBorders>
          </w:tcPr>
          <w:p w14:paraId="22D63698" w14:textId="77777777" w:rsidR="006621BE" w:rsidRPr="00D1314B" w:rsidRDefault="006621BE" w:rsidP="00EF5AF2">
            <w:pPr>
              <w:ind w:left="84"/>
              <w:jc w:val="center"/>
              <w:rPr>
                <w:rFonts w:ascii="Arial" w:hAnsi="Arial" w:cs="Arial"/>
              </w:rPr>
            </w:pPr>
            <w:r w:rsidRPr="00D1314B">
              <w:rPr>
                <w:rFonts w:ascii="Arial" w:hAnsi="Arial" w:cs="Arial"/>
                <w:b/>
                <w:sz w:val="20"/>
              </w:rPr>
              <w:t>Limitaciones del Sistema SIIF II Nación a 1/12/2024</w:t>
            </w:r>
          </w:p>
          <w:p w14:paraId="0EF93626" w14:textId="77777777" w:rsidR="006621BE" w:rsidRPr="00D1314B" w:rsidRDefault="006621BE" w:rsidP="00EF5AF2">
            <w:pPr>
              <w:ind w:left="9"/>
              <w:jc w:val="center"/>
              <w:rPr>
                <w:rFonts w:ascii="Arial" w:hAnsi="Arial" w:cs="Arial"/>
              </w:rPr>
            </w:pPr>
          </w:p>
        </w:tc>
        <w:tc>
          <w:tcPr>
            <w:tcW w:w="5244" w:type="dxa"/>
            <w:tcBorders>
              <w:top w:val="single" w:sz="4" w:space="0" w:color="000000"/>
              <w:left w:val="single" w:sz="4" w:space="0" w:color="000000"/>
              <w:bottom w:val="single" w:sz="4" w:space="0" w:color="000000"/>
              <w:right w:val="single" w:sz="4" w:space="0" w:color="000000"/>
            </w:tcBorders>
          </w:tcPr>
          <w:p w14:paraId="099EFA84" w14:textId="77777777" w:rsidR="006621BE" w:rsidRPr="00D1314B" w:rsidRDefault="006621BE" w:rsidP="00EF5AF2">
            <w:pPr>
              <w:ind w:right="62"/>
              <w:jc w:val="center"/>
              <w:rPr>
                <w:rFonts w:ascii="Arial" w:hAnsi="Arial" w:cs="Arial"/>
              </w:rPr>
            </w:pPr>
            <w:r w:rsidRPr="00D1314B">
              <w:rPr>
                <w:rFonts w:ascii="Arial" w:hAnsi="Arial" w:cs="Arial"/>
                <w:b/>
                <w:sz w:val="20"/>
              </w:rPr>
              <w:t>Descripción de la limitación</w:t>
            </w:r>
          </w:p>
        </w:tc>
      </w:tr>
      <w:tr w:rsidR="006621BE" w:rsidRPr="00D1314B" w14:paraId="782E4A9B" w14:textId="77777777" w:rsidTr="00450379">
        <w:trPr>
          <w:trHeight w:val="759"/>
        </w:trPr>
        <w:tc>
          <w:tcPr>
            <w:tcW w:w="993" w:type="dxa"/>
            <w:tcBorders>
              <w:top w:val="single" w:sz="4" w:space="0" w:color="000000"/>
              <w:left w:val="single" w:sz="4" w:space="0" w:color="000000"/>
              <w:bottom w:val="single" w:sz="4" w:space="0" w:color="000000"/>
              <w:right w:val="single" w:sz="4" w:space="0" w:color="000000"/>
            </w:tcBorders>
          </w:tcPr>
          <w:p w14:paraId="3DA3E333" w14:textId="77777777" w:rsidR="006621BE" w:rsidRPr="00D1314B" w:rsidRDefault="006621BE" w:rsidP="00EF5AF2">
            <w:pPr>
              <w:ind w:right="57"/>
              <w:jc w:val="center"/>
              <w:rPr>
                <w:rFonts w:ascii="Arial" w:hAnsi="Arial" w:cs="Arial"/>
              </w:rPr>
            </w:pPr>
            <w:r w:rsidRPr="00D1314B">
              <w:rPr>
                <w:rFonts w:ascii="Arial" w:hAnsi="Arial" w:cs="Arial"/>
                <w:b/>
                <w:sz w:val="20"/>
              </w:rPr>
              <w:t xml:space="preserve">1 </w:t>
            </w:r>
          </w:p>
        </w:tc>
        <w:tc>
          <w:tcPr>
            <w:tcW w:w="4253" w:type="dxa"/>
            <w:tcBorders>
              <w:top w:val="single" w:sz="4" w:space="0" w:color="000000"/>
              <w:left w:val="single" w:sz="4" w:space="0" w:color="000000"/>
              <w:bottom w:val="single" w:sz="4" w:space="0" w:color="000000"/>
              <w:right w:val="single" w:sz="4" w:space="0" w:color="000000"/>
            </w:tcBorders>
          </w:tcPr>
          <w:p w14:paraId="534FE448" w14:textId="77777777" w:rsidR="006621BE" w:rsidRPr="00D1314B" w:rsidRDefault="006621BE" w:rsidP="00EF5AF2">
            <w:pPr>
              <w:rPr>
                <w:rFonts w:ascii="Arial" w:hAnsi="Arial" w:cs="Arial"/>
              </w:rPr>
            </w:pPr>
            <w:r w:rsidRPr="00D1314B">
              <w:rPr>
                <w:rFonts w:ascii="Arial" w:hAnsi="Arial" w:cs="Arial"/>
                <w:b/>
                <w:sz w:val="20"/>
              </w:rPr>
              <w:t xml:space="preserve">Administrativas: </w:t>
            </w:r>
          </w:p>
        </w:tc>
        <w:tc>
          <w:tcPr>
            <w:tcW w:w="5244" w:type="dxa"/>
            <w:tcBorders>
              <w:top w:val="single" w:sz="4" w:space="0" w:color="000000"/>
              <w:left w:val="single" w:sz="4" w:space="0" w:color="000000"/>
              <w:bottom w:val="single" w:sz="4" w:space="0" w:color="000000"/>
              <w:right w:val="single" w:sz="4" w:space="0" w:color="000000"/>
            </w:tcBorders>
          </w:tcPr>
          <w:p w14:paraId="3AF5864F" w14:textId="77777777" w:rsidR="006621BE" w:rsidRPr="00D1314B" w:rsidRDefault="006621BE" w:rsidP="00EF5AF2">
            <w:pPr>
              <w:ind w:right="64"/>
              <w:jc w:val="both"/>
              <w:rPr>
                <w:rFonts w:ascii="Arial" w:hAnsi="Arial" w:cs="Arial"/>
              </w:rPr>
            </w:pPr>
            <w:r w:rsidRPr="00D1314B">
              <w:rPr>
                <w:rFonts w:ascii="Arial" w:hAnsi="Arial" w:cs="Arial"/>
                <w:sz w:val="20"/>
              </w:rPr>
              <w:t xml:space="preserve">Limitación en la generación de reportes, en especial las relacionadas con Ingresos y Gastos dado que las consultas por PCI de vigencias anteriores no reflejan los saldos antes del cierre contable. </w:t>
            </w:r>
          </w:p>
        </w:tc>
      </w:tr>
      <w:tr w:rsidR="006621BE" w:rsidRPr="00D1314B" w14:paraId="09593B36" w14:textId="77777777" w:rsidTr="00450379">
        <w:trPr>
          <w:trHeight w:val="910"/>
        </w:trPr>
        <w:tc>
          <w:tcPr>
            <w:tcW w:w="993" w:type="dxa"/>
            <w:tcBorders>
              <w:top w:val="single" w:sz="4" w:space="0" w:color="000000"/>
              <w:left w:val="single" w:sz="4" w:space="0" w:color="000000"/>
              <w:bottom w:val="single" w:sz="4" w:space="0" w:color="000000"/>
              <w:right w:val="single" w:sz="4" w:space="0" w:color="000000"/>
            </w:tcBorders>
          </w:tcPr>
          <w:p w14:paraId="22F10835" w14:textId="77777777" w:rsidR="006621BE" w:rsidRPr="00D1314B" w:rsidRDefault="006621BE" w:rsidP="00EF5AF2">
            <w:pPr>
              <w:ind w:right="57"/>
              <w:jc w:val="center"/>
              <w:rPr>
                <w:rFonts w:ascii="Arial" w:hAnsi="Arial" w:cs="Arial"/>
              </w:rPr>
            </w:pPr>
            <w:r w:rsidRPr="00D1314B">
              <w:rPr>
                <w:rFonts w:ascii="Arial" w:hAnsi="Arial" w:cs="Arial"/>
                <w:b/>
                <w:sz w:val="20"/>
              </w:rPr>
              <w:lastRenderedPageBreak/>
              <w:t xml:space="preserve">2 </w:t>
            </w:r>
          </w:p>
        </w:tc>
        <w:tc>
          <w:tcPr>
            <w:tcW w:w="4253" w:type="dxa"/>
            <w:tcBorders>
              <w:top w:val="single" w:sz="4" w:space="0" w:color="000000"/>
              <w:left w:val="single" w:sz="4" w:space="0" w:color="000000"/>
              <w:bottom w:val="single" w:sz="4" w:space="0" w:color="000000"/>
              <w:right w:val="single" w:sz="4" w:space="0" w:color="000000"/>
            </w:tcBorders>
          </w:tcPr>
          <w:p w14:paraId="13D4A250" w14:textId="77777777" w:rsidR="006621BE" w:rsidRPr="00D1314B" w:rsidRDefault="006621BE" w:rsidP="00EF5AF2">
            <w:pPr>
              <w:rPr>
                <w:rFonts w:ascii="Arial" w:hAnsi="Arial" w:cs="Arial"/>
              </w:rPr>
            </w:pPr>
            <w:r w:rsidRPr="00D1314B">
              <w:rPr>
                <w:rFonts w:ascii="Arial" w:hAnsi="Arial" w:cs="Arial"/>
                <w:b/>
                <w:sz w:val="20"/>
              </w:rPr>
              <w:t xml:space="preserve">Técnicas: </w:t>
            </w:r>
          </w:p>
        </w:tc>
        <w:tc>
          <w:tcPr>
            <w:tcW w:w="5244" w:type="dxa"/>
            <w:tcBorders>
              <w:top w:val="single" w:sz="4" w:space="0" w:color="000000"/>
              <w:left w:val="single" w:sz="4" w:space="0" w:color="000000"/>
              <w:bottom w:val="single" w:sz="4" w:space="0" w:color="000000"/>
              <w:right w:val="single" w:sz="4" w:space="0" w:color="000000"/>
            </w:tcBorders>
          </w:tcPr>
          <w:p w14:paraId="5F638E5C" w14:textId="77777777" w:rsidR="006621BE" w:rsidRPr="00D1314B" w:rsidRDefault="006621BE" w:rsidP="00EF5AF2">
            <w:pPr>
              <w:ind w:right="64"/>
              <w:jc w:val="both"/>
              <w:rPr>
                <w:rFonts w:ascii="Arial" w:hAnsi="Arial" w:cs="Arial"/>
              </w:rPr>
            </w:pPr>
            <w:r w:rsidRPr="00D1314B">
              <w:rPr>
                <w:rFonts w:ascii="Arial" w:hAnsi="Arial" w:cs="Arial"/>
                <w:sz w:val="20"/>
              </w:rPr>
              <w:t xml:space="preserve">En las fechas de cierre contable definidas por la Contaduría General de la Nación para el registro de operaciones en SIIF Nación el sistema suele tornarse un poco lento y presenta problemas para la consulta de Reportes. </w:t>
            </w:r>
          </w:p>
        </w:tc>
      </w:tr>
      <w:tr w:rsidR="006621BE" w:rsidRPr="00D1314B" w14:paraId="666BE2FD" w14:textId="77777777" w:rsidTr="00450379">
        <w:trPr>
          <w:trHeight w:val="334"/>
        </w:trPr>
        <w:tc>
          <w:tcPr>
            <w:tcW w:w="993" w:type="dxa"/>
            <w:tcBorders>
              <w:top w:val="single" w:sz="4" w:space="0" w:color="000000"/>
              <w:left w:val="single" w:sz="4" w:space="0" w:color="000000"/>
              <w:bottom w:val="single" w:sz="4" w:space="0" w:color="000000"/>
              <w:right w:val="single" w:sz="4" w:space="0" w:color="000000"/>
            </w:tcBorders>
          </w:tcPr>
          <w:p w14:paraId="3F414DA6" w14:textId="77777777" w:rsidR="006621BE" w:rsidRPr="00D1314B" w:rsidRDefault="006621BE" w:rsidP="00EF5AF2">
            <w:pPr>
              <w:ind w:right="57"/>
              <w:jc w:val="center"/>
              <w:rPr>
                <w:rFonts w:ascii="Arial" w:hAnsi="Arial" w:cs="Arial"/>
              </w:rPr>
            </w:pPr>
            <w:r w:rsidRPr="00D1314B">
              <w:rPr>
                <w:rFonts w:ascii="Arial" w:hAnsi="Arial" w:cs="Arial"/>
                <w:b/>
                <w:sz w:val="20"/>
              </w:rPr>
              <w:t xml:space="preserve">3 </w:t>
            </w:r>
          </w:p>
        </w:tc>
        <w:tc>
          <w:tcPr>
            <w:tcW w:w="4253" w:type="dxa"/>
            <w:tcBorders>
              <w:top w:val="single" w:sz="4" w:space="0" w:color="000000"/>
              <w:left w:val="single" w:sz="4" w:space="0" w:color="000000"/>
              <w:bottom w:val="single" w:sz="4" w:space="0" w:color="000000"/>
              <w:right w:val="single" w:sz="4" w:space="0" w:color="000000"/>
            </w:tcBorders>
          </w:tcPr>
          <w:p w14:paraId="474CBAA3" w14:textId="77777777" w:rsidR="006621BE" w:rsidRPr="00D1314B" w:rsidRDefault="006621BE" w:rsidP="00EF5AF2">
            <w:pPr>
              <w:rPr>
                <w:rFonts w:ascii="Arial" w:hAnsi="Arial" w:cs="Arial"/>
              </w:rPr>
            </w:pPr>
            <w:r w:rsidRPr="00D1314B">
              <w:rPr>
                <w:rFonts w:ascii="Arial" w:hAnsi="Arial" w:cs="Arial"/>
                <w:b/>
                <w:sz w:val="20"/>
              </w:rPr>
              <w:t xml:space="preserve">Operativas: </w:t>
            </w:r>
          </w:p>
        </w:tc>
        <w:tc>
          <w:tcPr>
            <w:tcW w:w="5244" w:type="dxa"/>
            <w:tcBorders>
              <w:top w:val="single" w:sz="4" w:space="0" w:color="000000"/>
              <w:left w:val="single" w:sz="4" w:space="0" w:color="000000"/>
              <w:bottom w:val="single" w:sz="4" w:space="0" w:color="000000"/>
              <w:right w:val="single" w:sz="4" w:space="0" w:color="000000"/>
            </w:tcBorders>
          </w:tcPr>
          <w:p w14:paraId="65A0D72E" w14:textId="77777777" w:rsidR="006621BE" w:rsidRPr="00D1314B" w:rsidRDefault="006621BE" w:rsidP="00EF5AF2">
            <w:pPr>
              <w:jc w:val="both"/>
              <w:rPr>
                <w:rFonts w:ascii="Arial" w:hAnsi="Arial" w:cs="Arial"/>
              </w:rPr>
            </w:pPr>
            <w:r w:rsidRPr="00D1314B">
              <w:rPr>
                <w:rFonts w:ascii="Arial" w:hAnsi="Arial" w:cs="Arial"/>
                <w:sz w:val="20"/>
              </w:rPr>
              <w:t xml:space="preserve">Los requerimientos de parametrización son un poco demorados. </w:t>
            </w:r>
          </w:p>
        </w:tc>
      </w:tr>
      <w:tr w:rsidR="006621BE" w:rsidRPr="00D1314B" w14:paraId="1632A64F" w14:textId="77777777" w:rsidTr="00450379">
        <w:trPr>
          <w:trHeight w:val="910"/>
        </w:trPr>
        <w:tc>
          <w:tcPr>
            <w:tcW w:w="993" w:type="dxa"/>
            <w:tcBorders>
              <w:top w:val="single" w:sz="4" w:space="0" w:color="000000"/>
              <w:left w:val="single" w:sz="4" w:space="0" w:color="000000"/>
              <w:bottom w:val="single" w:sz="4" w:space="0" w:color="000000"/>
              <w:right w:val="single" w:sz="4" w:space="0" w:color="000000"/>
            </w:tcBorders>
          </w:tcPr>
          <w:p w14:paraId="53EFF799" w14:textId="77777777" w:rsidR="006621BE" w:rsidRPr="00D1314B" w:rsidRDefault="006621BE" w:rsidP="00EF5AF2">
            <w:pPr>
              <w:ind w:right="57"/>
              <w:jc w:val="center"/>
              <w:rPr>
                <w:rFonts w:ascii="Arial" w:hAnsi="Arial" w:cs="Arial"/>
              </w:rPr>
            </w:pPr>
            <w:r w:rsidRPr="00D1314B">
              <w:rPr>
                <w:rFonts w:ascii="Arial" w:hAnsi="Arial" w:cs="Arial"/>
                <w:b/>
                <w:sz w:val="20"/>
              </w:rPr>
              <w:t xml:space="preserve">4 </w:t>
            </w:r>
          </w:p>
        </w:tc>
        <w:tc>
          <w:tcPr>
            <w:tcW w:w="4253" w:type="dxa"/>
            <w:tcBorders>
              <w:top w:val="single" w:sz="4" w:space="0" w:color="000000"/>
              <w:left w:val="single" w:sz="4" w:space="0" w:color="000000"/>
              <w:bottom w:val="single" w:sz="4" w:space="0" w:color="000000"/>
              <w:right w:val="single" w:sz="4" w:space="0" w:color="000000"/>
            </w:tcBorders>
          </w:tcPr>
          <w:p w14:paraId="37FA93CE" w14:textId="77777777" w:rsidR="006621BE" w:rsidRPr="00D1314B" w:rsidRDefault="006621BE" w:rsidP="00EF5AF2">
            <w:pPr>
              <w:rPr>
                <w:rFonts w:ascii="Arial" w:hAnsi="Arial" w:cs="Arial"/>
              </w:rPr>
            </w:pPr>
            <w:r w:rsidRPr="00D1314B">
              <w:rPr>
                <w:rFonts w:ascii="Arial" w:hAnsi="Arial" w:cs="Arial"/>
                <w:b/>
                <w:sz w:val="20"/>
              </w:rPr>
              <w:t xml:space="preserve">Soporte a la plataforma: </w:t>
            </w:r>
          </w:p>
        </w:tc>
        <w:tc>
          <w:tcPr>
            <w:tcW w:w="5244" w:type="dxa"/>
            <w:tcBorders>
              <w:top w:val="single" w:sz="4" w:space="0" w:color="000000"/>
              <w:left w:val="single" w:sz="4" w:space="0" w:color="000000"/>
              <w:bottom w:val="single" w:sz="4" w:space="0" w:color="000000"/>
              <w:right w:val="single" w:sz="4" w:space="0" w:color="000000"/>
            </w:tcBorders>
          </w:tcPr>
          <w:p w14:paraId="23051CE8" w14:textId="77777777" w:rsidR="006621BE" w:rsidRPr="00D1314B" w:rsidRDefault="006621BE" w:rsidP="00EF5AF2">
            <w:pPr>
              <w:ind w:right="64"/>
              <w:jc w:val="both"/>
              <w:rPr>
                <w:rFonts w:ascii="Arial" w:hAnsi="Arial" w:cs="Arial"/>
              </w:rPr>
            </w:pPr>
            <w:r w:rsidRPr="00D1314B">
              <w:rPr>
                <w:rFonts w:ascii="Arial" w:hAnsi="Arial" w:cs="Arial"/>
                <w:sz w:val="20"/>
              </w:rPr>
              <w:t xml:space="preserve">El soporte técnico no está habilitado en el mismo horario de disponibilidad del sistema. El tiempo de respuesta de los requerimientos es muy prolongado.  En ocasiones el incidente es resuelto, pero no indican la causa. </w:t>
            </w:r>
          </w:p>
        </w:tc>
      </w:tr>
    </w:tbl>
    <w:p w14:paraId="3022D6C1" w14:textId="77777777" w:rsidR="006621BE" w:rsidRPr="00191572" w:rsidRDefault="006621BE" w:rsidP="006621BE">
      <w:pPr>
        <w:pStyle w:val="Prrafodelista"/>
        <w:spacing w:before="92"/>
        <w:ind w:left="-142"/>
        <w:rPr>
          <w:rFonts w:ascii="Arial" w:hAnsi="Arial" w:cs="Arial"/>
          <w:b/>
          <w:sz w:val="24"/>
          <w:szCs w:val="24"/>
        </w:rPr>
      </w:pPr>
    </w:p>
    <w:p w14:paraId="43956A7A" w14:textId="77777777" w:rsidR="006621BE" w:rsidRPr="009630E1" w:rsidRDefault="006621BE" w:rsidP="00D102CF">
      <w:pPr>
        <w:ind w:left="-284"/>
        <w:jc w:val="both"/>
        <w:rPr>
          <w:rFonts w:ascii="Arial" w:hAnsi="Arial" w:cs="Arial"/>
          <w:b/>
          <w:sz w:val="28"/>
          <w:szCs w:val="28"/>
          <w:lang w:val="es-MX"/>
        </w:rPr>
      </w:pPr>
      <w:r w:rsidRPr="009630E1">
        <w:rPr>
          <w:rFonts w:ascii="Arial" w:hAnsi="Arial" w:cs="Arial"/>
          <w:b/>
          <w:sz w:val="28"/>
          <w:szCs w:val="28"/>
          <w:lang w:val="es-MX"/>
        </w:rPr>
        <w:t>175.- U.A.E. DE LA JUSTICIA PENAL MILITAR Y POLICIAL.</w:t>
      </w:r>
    </w:p>
    <w:p w14:paraId="5622A548" w14:textId="77777777" w:rsidR="006621BE" w:rsidRPr="009630E1" w:rsidRDefault="006621BE" w:rsidP="006621BE">
      <w:pPr>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9630E1" w14:paraId="46D7F68F" w14:textId="77777777" w:rsidTr="00D102CF">
        <w:tc>
          <w:tcPr>
            <w:tcW w:w="993" w:type="dxa"/>
          </w:tcPr>
          <w:p w14:paraId="0A2BA8A1" w14:textId="77777777" w:rsidR="006621BE" w:rsidRPr="009630E1" w:rsidRDefault="006621BE" w:rsidP="00EF5AF2">
            <w:pPr>
              <w:tabs>
                <w:tab w:val="left" w:pos="875"/>
              </w:tabs>
              <w:ind w:right="-50"/>
              <w:jc w:val="center"/>
              <w:rPr>
                <w:rFonts w:ascii="Arial" w:hAnsi="Arial" w:cs="Arial"/>
                <w:b/>
              </w:rPr>
            </w:pPr>
            <w:r w:rsidRPr="009630E1">
              <w:rPr>
                <w:rFonts w:ascii="Arial" w:hAnsi="Arial" w:cs="Arial"/>
                <w:b/>
              </w:rPr>
              <w:t>N°</w:t>
            </w:r>
          </w:p>
        </w:tc>
        <w:tc>
          <w:tcPr>
            <w:tcW w:w="4253" w:type="dxa"/>
          </w:tcPr>
          <w:p w14:paraId="47F0EA6D" w14:textId="77777777" w:rsidR="006621BE" w:rsidRPr="009630E1" w:rsidRDefault="006621BE" w:rsidP="00EF5AF2">
            <w:pPr>
              <w:tabs>
                <w:tab w:val="left" w:pos="875"/>
              </w:tabs>
              <w:ind w:right="-50"/>
              <w:jc w:val="center"/>
              <w:rPr>
                <w:rFonts w:ascii="Arial" w:hAnsi="Arial" w:cs="Arial"/>
                <w:b/>
              </w:rPr>
            </w:pPr>
            <w:r w:rsidRPr="009630E1">
              <w:rPr>
                <w:rFonts w:ascii="Arial" w:hAnsi="Arial" w:cs="Arial"/>
                <w:b/>
              </w:rPr>
              <w:t>Limitaciones del Sistema SIIF II Nación a 31/12/2024</w:t>
            </w:r>
          </w:p>
          <w:p w14:paraId="005E2B72" w14:textId="77777777" w:rsidR="006621BE" w:rsidRPr="009630E1" w:rsidRDefault="006621BE" w:rsidP="00EF5AF2">
            <w:pPr>
              <w:tabs>
                <w:tab w:val="left" w:pos="875"/>
              </w:tabs>
              <w:ind w:right="-50"/>
              <w:jc w:val="center"/>
              <w:rPr>
                <w:rFonts w:ascii="Arial" w:hAnsi="Arial" w:cs="Arial"/>
                <w:b/>
              </w:rPr>
            </w:pPr>
          </w:p>
        </w:tc>
        <w:tc>
          <w:tcPr>
            <w:tcW w:w="5244" w:type="dxa"/>
          </w:tcPr>
          <w:p w14:paraId="37B571B5" w14:textId="77777777" w:rsidR="006621BE" w:rsidRPr="009630E1" w:rsidRDefault="006621BE" w:rsidP="003769C9">
            <w:pPr>
              <w:tabs>
                <w:tab w:val="left" w:pos="875"/>
              </w:tabs>
              <w:ind w:right="-110"/>
              <w:jc w:val="center"/>
              <w:rPr>
                <w:rFonts w:ascii="Arial" w:hAnsi="Arial" w:cs="Arial"/>
                <w:b/>
              </w:rPr>
            </w:pPr>
            <w:r w:rsidRPr="009630E1">
              <w:rPr>
                <w:rFonts w:ascii="Arial" w:hAnsi="Arial" w:cs="Arial"/>
                <w:b/>
              </w:rPr>
              <w:t>Descripción de la limitación</w:t>
            </w:r>
          </w:p>
        </w:tc>
      </w:tr>
      <w:tr w:rsidR="006621BE" w:rsidRPr="009630E1" w14:paraId="2F20F6C2" w14:textId="77777777" w:rsidTr="00D102CF">
        <w:tc>
          <w:tcPr>
            <w:tcW w:w="993" w:type="dxa"/>
          </w:tcPr>
          <w:p w14:paraId="661AB0F3" w14:textId="77777777" w:rsidR="006621BE" w:rsidRPr="009630E1" w:rsidRDefault="006621BE" w:rsidP="00EF5AF2">
            <w:pPr>
              <w:tabs>
                <w:tab w:val="left" w:pos="875"/>
              </w:tabs>
              <w:ind w:right="-50"/>
              <w:jc w:val="center"/>
              <w:rPr>
                <w:rFonts w:ascii="Arial" w:hAnsi="Arial" w:cs="Arial"/>
                <w:b/>
              </w:rPr>
            </w:pPr>
            <w:r w:rsidRPr="009630E1">
              <w:rPr>
                <w:rFonts w:ascii="Arial" w:hAnsi="Arial" w:cs="Arial"/>
                <w:b/>
              </w:rPr>
              <w:t>1</w:t>
            </w:r>
          </w:p>
        </w:tc>
        <w:tc>
          <w:tcPr>
            <w:tcW w:w="4253" w:type="dxa"/>
          </w:tcPr>
          <w:p w14:paraId="290354C9" w14:textId="77777777" w:rsidR="006621BE" w:rsidRPr="009630E1" w:rsidRDefault="006621BE" w:rsidP="00EF5AF2">
            <w:pPr>
              <w:tabs>
                <w:tab w:val="left" w:pos="875"/>
              </w:tabs>
              <w:ind w:right="-50"/>
              <w:jc w:val="both"/>
              <w:rPr>
                <w:rFonts w:ascii="Arial" w:hAnsi="Arial" w:cs="Arial"/>
                <w:b/>
              </w:rPr>
            </w:pPr>
            <w:r w:rsidRPr="009630E1">
              <w:rPr>
                <w:rFonts w:ascii="Arial" w:hAnsi="Arial" w:cs="Arial"/>
                <w:b/>
              </w:rPr>
              <w:t>Técnicas:</w:t>
            </w:r>
          </w:p>
        </w:tc>
        <w:tc>
          <w:tcPr>
            <w:tcW w:w="5244" w:type="dxa"/>
          </w:tcPr>
          <w:p w14:paraId="7FD87C2E" w14:textId="77777777" w:rsidR="006621BE" w:rsidRPr="009630E1" w:rsidRDefault="006621BE" w:rsidP="00EF5AF2">
            <w:pPr>
              <w:tabs>
                <w:tab w:val="left" w:pos="875"/>
              </w:tabs>
              <w:ind w:right="-50"/>
              <w:jc w:val="both"/>
              <w:rPr>
                <w:rFonts w:ascii="Arial" w:hAnsi="Arial" w:cs="Arial"/>
              </w:rPr>
            </w:pPr>
            <w:r w:rsidRPr="009630E1">
              <w:rPr>
                <w:rFonts w:ascii="Arial" w:eastAsia="Times New Roman" w:hAnsi="Arial" w:cs="Arial"/>
                <w:lang w:val="es-MX" w:eastAsia="es-MX"/>
              </w:rPr>
              <w:t>Con la implementación de la facturación electrónica por parte del SIIF Nación II, se presenta demoras en el cargue de la misma, por lo que no es posible generar la obligación al no visualizar el documento en el SIIF.</w:t>
            </w:r>
          </w:p>
        </w:tc>
      </w:tr>
      <w:tr w:rsidR="006621BE" w:rsidRPr="009630E1" w14:paraId="65B512B8" w14:textId="77777777" w:rsidTr="00D102CF">
        <w:tc>
          <w:tcPr>
            <w:tcW w:w="993" w:type="dxa"/>
          </w:tcPr>
          <w:p w14:paraId="1EA748AB" w14:textId="77777777" w:rsidR="006621BE" w:rsidRPr="009630E1" w:rsidRDefault="006621BE" w:rsidP="00EF5AF2">
            <w:pPr>
              <w:tabs>
                <w:tab w:val="left" w:pos="875"/>
              </w:tabs>
              <w:ind w:right="-50"/>
              <w:jc w:val="center"/>
              <w:rPr>
                <w:rFonts w:ascii="Arial" w:hAnsi="Arial" w:cs="Arial"/>
                <w:b/>
              </w:rPr>
            </w:pPr>
            <w:r w:rsidRPr="009630E1">
              <w:rPr>
                <w:rFonts w:ascii="Arial" w:hAnsi="Arial" w:cs="Arial"/>
                <w:b/>
              </w:rPr>
              <w:t>2</w:t>
            </w:r>
          </w:p>
        </w:tc>
        <w:tc>
          <w:tcPr>
            <w:tcW w:w="4253" w:type="dxa"/>
          </w:tcPr>
          <w:p w14:paraId="129B99F2" w14:textId="77777777" w:rsidR="006621BE" w:rsidRPr="009630E1" w:rsidRDefault="006621BE" w:rsidP="00EF5AF2">
            <w:pPr>
              <w:tabs>
                <w:tab w:val="left" w:pos="875"/>
              </w:tabs>
              <w:ind w:right="-50"/>
              <w:jc w:val="both"/>
              <w:rPr>
                <w:rFonts w:ascii="Arial" w:hAnsi="Arial" w:cs="Arial"/>
                <w:b/>
              </w:rPr>
            </w:pPr>
            <w:r w:rsidRPr="009630E1">
              <w:rPr>
                <w:rFonts w:ascii="Arial" w:hAnsi="Arial" w:cs="Arial"/>
                <w:b/>
              </w:rPr>
              <w:t>Operativas:</w:t>
            </w:r>
          </w:p>
        </w:tc>
        <w:tc>
          <w:tcPr>
            <w:tcW w:w="5244" w:type="dxa"/>
          </w:tcPr>
          <w:p w14:paraId="766D99E0" w14:textId="77777777" w:rsidR="006621BE" w:rsidRPr="009630E1" w:rsidRDefault="006621BE" w:rsidP="00EF5AF2">
            <w:pPr>
              <w:tabs>
                <w:tab w:val="left" w:pos="875"/>
              </w:tabs>
              <w:ind w:right="-50"/>
              <w:jc w:val="both"/>
              <w:rPr>
                <w:rFonts w:ascii="Arial" w:hAnsi="Arial" w:cs="Arial"/>
              </w:rPr>
            </w:pPr>
            <w:r w:rsidRPr="009630E1">
              <w:rPr>
                <w:rFonts w:ascii="Arial" w:eastAsia="Times New Roman" w:hAnsi="Arial" w:cs="Arial"/>
                <w:lang w:val="es-MX" w:eastAsia="es-MX"/>
              </w:rPr>
              <w:t>No tiene modulo para el manejo de entradas y salidas de almacén, control de la propiedad, planta y equipo y el cálculo de las depreciaciones, generando demoras en los reportes contables en razón a que se requieren hacer conciliaciones de los registros y ajustes manuales.</w:t>
            </w:r>
          </w:p>
        </w:tc>
      </w:tr>
      <w:tr w:rsidR="006621BE" w:rsidRPr="009630E1" w14:paraId="325DC8F7" w14:textId="77777777" w:rsidTr="00D102CF">
        <w:tc>
          <w:tcPr>
            <w:tcW w:w="993" w:type="dxa"/>
          </w:tcPr>
          <w:p w14:paraId="6E9C0FDB" w14:textId="77777777" w:rsidR="006621BE" w:rsidRPr="009630E1" w:rsidRDefault="006621BE" w:rsidP="00EF5AF2">
            <w:pPr>
              <w:tabs>
                <w:tab w:val="left" w:pos="875"/>
              </w:tabs>
              <w:ind w:right="-50"/>
              <w:jc w:val="center"/>
              <w:rPr>
                <w:rFonts w:ascii="Arial" w:hAnsi="Arial" w:cs="Arial"/>
                <w:b/>
              </w:rPr>
            </w:pPr>
            <w:r w:rsidRPr="009630E1">
              <w:rPr>
                <w:rFonts w:ascii="Arial" w:hAnsi="Arial" w:cs="Arial"/>
                <w:b/>
              </w:rPr>
              <w:t>3</w:t>
            </w:r>
          </w:p>
        </w:tc>
        <w:tc>
          <w:tcPr>
            <w:tcW w:w="4253" w:type="dxa"/>
          </w:tcPr>
          <w:p w14:paraId="74193DCA" w14:textId="77777777" w:rsidR="006621BE" w:rsidRPr="009630E1" w:rsidRDefault="006621BE" w:rsidP="00EF5AF2">
            <w:pPr>
              <w:tabs>
                <w:tab w:val="left" w:pos="875"/>
              </w:tabs>
              <w:ind w:right="-50"/>
              <w:jc w:val="both"/>
              <w:rPr>
                <w:rFonts w:ascii="Arial" w:hAnsi="Arial" w:cs="Arial"/>
                <w:b/>
              </w:rPr>
            </w:pPr>
            <w:r w:rsidRPr="009630E1">
              <w:rPr>
                <w:rFonts w:ascii="Arial" w:hAnsi="Arial" w:cs="Arial"/>
                <w:b/>
              </w:rPr>
              <w:t>Soporte a la plataforma:</w:t>
            </w:r>
          </w:p>
        </w:tc>
        <w:tc>
          <w:tcPr>
            <w:tcW w:w="5244" w:type="dxa"/>
          </w:tcPr>
          <w:p w14:paraId="07646AB1" w14:textId="77777777" w:rsidR="006621BE" w:rsidRPr="009630E1" w:rsidRDefault="006621BE" w:rsidP="00EF5AF2">
            <w:pPr>
              <w:tabs>
                <w:tab w:val="left" w:pos="875"/>
              </w:tabs>
              <w:ind w:right="-50"/>
              <w:jc w:val="both"/>
              <w:rPr>
                <w:rFonts w:ascii="Arial" w:hAnsi="Arial" w:cs="Arial"/>
              </w:rPr>
            </w:pPr>
            <w:r w:rsidRPr="009630E1">
              <w:rPr>
                <w:rFonts w:ascii="Arial" w:eastAsia="Times New Roman" w:hAnsi="Arial" w:cs="Arial"/>
                <w:lang w:val="es-MX" w:eastAsia="es-MX"/>
              </w:rPr>
              <w:t xml:space="preserve">En las fechas de cierre el programa SIIF Nación presentó interrupciones para el registro de las obligaciones y pagos, generando demoras en los registros para trámite de pagos congestionando el sistema.   </w:t>
            </w:r>
          </w:p>
        </w:tc>
      </w:tr>
    </w:tbl>
    <w:p w14:paraId="52F37C34" w14:textId="77777777" w:rsidR="006621BE" w:rsidRDefault="006621BE" w:rsidP="006621BE">
      <w:pPr>
        <w:ind w:left="-284" w:right="49"/>
        <w:jc w:val="both"/>
        <w:rPr>
          <w:rFonts w:ascii="Arial" w:hAnsi="Arial" w:cs="Arial"/>
          <w:b/>
          <w:sz w:val="24"/>
          <w:szCs w:val="24"/>
        </w:rPr>
      </w:pPr>
    </w:p>
    <w:p w14:paraId="61F0B3E0" w14:textId="77777777" w:rsidR="006621BE" w:rsidRPr="009630E1" w:rsidRDefault="006621BE" w:rsidP="00D102CF">
      <w:pPr>
        <w:pStyle w:val="Textoindependiente"/>
        <w:ind w:left="-284" w:right="-234"/>
        <w:jc w:val="both"/>
        <w:rPr>
          <w:rFonts w:ascii="Arial" w:hAnsi="Arial" w:cs="Arial"/>
          <w:bCs/>
          <w:sz w:val="24"/>
          <w:szCs w:val="24"/>
        </w:rPr>
      </w:pPr>
      <w:r w:rsidRPr="009630E1">
        <w:rPr>
          <w:rFonts w:ascii="Arial" w:hAnsi="Arial" w:cs="Arial"/>
          <w:b/>
          <w:bCs/>
          <w:sz w:val="24"/>
          <w:szCs w:val="24"/>
        </w:rPr>
        <w:t>DE LAS NOTAS DE CARÁCTER GENERAL – 1.2. Declaración de Cumplimiento del Marco Normativo y Limitaciones.</w:t>
      </w:r>
    </w:p>
    <w:p w14:paraId="6A31822C" w14:textId="77777777" w:rsidR="006621BE" w:rsidRPr="009630E1" w:rsidRDefault="006621BE" w:rsidP="00D102CF">
      <w:pPr>
        <w:pStyle w:val="Textoindependiente"/>
        <w:ind w:left="-284" w:right="-50"/>
        <w:jc w:val="both"/>
        <w:rPr>
          <w:rFonts w:ascii="Arial" w:hAnsi="Arial" w:cs="Arial"/>
          <w:bCs/>
          <w:sz w:val="24"/>
          <w:szCs w:val="24"/>
        </w:rPr>
      </w:pPr>
    </w:p>
    <w:p w14:paraId="085BBE1C" w14:textId="77777777" w:rsidR="006621BE" w:rsidRPr="009630E1" w:rsidRDefault="006621BE" w:rsidP="00D102CF">
      <w:pPr>
        <w:pStyle w:val="Textoindependiente"/>
        <w:ind w:left="-284" w:right="-234"/>
        <w:jc w:val="both"/>
        <w:rPr>
          <w:rFonts w:ascii="Arial" w:hAnsi="Arial" w:cs="Arial"/>
          <w:bCs/>
          <w:sz w:val="24"/>
          <w:szCs w:val="24"/>
        </w:rPr>
      </w:pPr>
      <w:r w:rsidRPr="009630E1">
        <w:rPr>
          <w:rFonts w:ascii="Arial" w:hAnsi="Arial" w:cs="Arial"/>
          <w:bCs/>
          <w:sz w:val="24"/>
          <w:szCs w:val="24"/>
        </w:rPr>
        <w:t>No existen funcionalidades que integren los sistemas de información auxiliares que utiliza la unidad con el sistema SIIF Nación, lo cual limita la oportunidad y eficacia de seguimiento a la traza contable de las operaciones relacionadas con el reconocimiento de los hechos derivados de tales subsistemas.</w:t>
      </w:r>
    </w:p>
    <w:p w14:paraId="4298EFC5" w14:textId="77777777" w:rsidR="006621BE" w:rsidRDefault="006621BE" w:rsidP="00D102CF">
      <w:pPr>
        <w:ind w:left="-284" w:right="-234"/>
        <w:jc w:val="both"/>
        <w:rPr>
          <w:rFonts w:ascii="Arial" w:hAnsi="Arial" w:cs="Arial"/>
          <w:b/>
          <w:sz w:val="24"/>
          <w:szCs w:val="24"/>
        </w:rPr>
      </w:pPr>
    </w:p>
    <w:p w14:paraId="003329DE" w14:textId="77777777" w:rsidR="006621BE" w:rsidRPr="002A7998" w:rsidRDefault="006621BE" w:rsidP="00D102CF">
      <w:pPr>
        <w:ind w:left="-284" w:right="-234"/>
        <w:jc w:val="both"/>
        <w:rPr>
          <w:rFonts w:ascii="Arial" w:hAnsi="Arial" w:cs="Arial"/>
          <w:b/>
          <w:sz w:val="28"/>
          <w:szCs w:val="28"/>
          <w:lang w:val="es-MX"/>
        </w:rPr>
      </w:pPr>
      <w:r w:rsidRPr="002A7998">
        <w:rPr>
          <w:rFonts w:ascii="Arial" w:hAnsi="Arial" w:cs="Arial"/>
          <w:b/>
          <w:sz w:val="28"/>
          <w:szCs w:val="28"/>
          <w:lang w:val="es-MX"/>
        </w:rPr>
        <w:t>180.- U.A.E. AGENCIA DEL INSPECTOR GENERAL DE TRIBUTOS, RENTAS Y CONTRIBUCIONES PARAFISCALES - ITRC.</w:t>
      </w:r>
    </w:p>
    <w:p w14:paraId="45D9E032" w14:textId="77777777" w:rsidR="006621BE" w:rsidRDefault="006621BE" w:rsidP="00D102CF">
      <w:pPr>
        <w:ind w:left="-284" w:right="-234"/>
        <w:jc w:val="both"/>
        <w:rPr>
          <w:rFonts w:ascii="Arial" w:hAnsi="Arial" w:cs="Arial"/>
          <w:b/>
          <w:sz w:val="24"/>
          <w:szCs w:val="24"/>
          <w:lang w:val="es-MX"/>
        </w:rPr>
      </w:pPr>
    </w:p>
    <w:p w14:paraId="527AC0FF" w14:textId="77777777" w:rsidR="006621BE" w:rsidRPr="002A7998" w:rsidRDefault="006621BE" w:rsidP="00D102CF">
      <w:pPr>
        <w:widowControl/>
        <w:autoSpaceDE/>
        <w:autoSpaceDN/>
        <w:ind w:left="-284" w:right="-234"/>
        <w:jc w:val="both"/>
        <w:rPr>
          <w:rFonts w:ascii="Arial" w:eastAsia="Times New Roman" w:hAnsi="Arial" w:cs="Arial"/>
          <w:color w:val="000000"/>
          <w:sz w:val="24"/>
          <w:lang w:val="es-CO" w:eastAsia="es-CO"/>
        </w:rPr>
      </w:pPr>
      <w:r w:rsidRPr="002A7998">
        <w:rPr>
          <w:rFonts w:ascii="Arial" w:eastAsia="Times New Roman" w:hAnsi="Arial" w:cs="Arial"/>
          <w:b/>
          <w:color w:val="000000"/>
          <w:sz w:val="24"/>
          <w:lang w:val="es-CO" w:eastAsia="es-CO"/>
        </w:rPr>
        <w:t xml:space="preserve">1.2. Declaración de cumplimiento del marco normativo y limitaciones. </w:t>
      </w:r>
      <w:r w:rsidRPr="002A7998">
        <w:rPr>
          <w:rFonts w:ascii="Arial" w:eastAsia="Times New Roman" w:hAnsi="Arial" w:cs="Arial"/>
          <w:color w:val="000000"/>
          <w:sz w:val="24"/>
          <w:lang w:val="es-CO" w:eastAsia="es-CO"/>
        </w:rPr>
        <w:t>Las limitaciones identificadas dentro del proceso de generación y suministro de información contable se relacionan con el Sistema Integrado de Información Financiera — SIIF Nación y su interoperabilidad con sistemas de gestión de bienes, así como el de administración de nómina usados por la Agencia ITRC, para lo cual se advierte que aún no se cuenta con las funcionalidades que permitan integrar estos sistemas, lo que limita la oportunidad y eficacia de seguimiento a la traza de las operaciones contables relacionadas con el reconocimiento de los hechos derivados de estos sistemas.</w:t>
      </w:r>
    </w:p>
    <w:p w14:paraId="4A4ACEE7" w14:textId="77777777" w:rsidR="006621BE" w:rsidRPr="00450379" w:rsidRDefault="006621BE" w:rsidP="00D102CF">
      <w:pPr>
        <w:ind w:left="-284" w:right="49"/>
        <w:jc w:val="both"/>
        <w:rPr>
          <w:rFonts w:ascii="Arial" w:hAnsi="Arial" w:cs="Arial"/>
          <w:b/>
          <w:sz w:val="24"/>
          <w:szCs w:val="24"/>
          <w:lang w:val="es-CO"/>
        </w:rPr>
      </w:pPr>
    </w:p>
    <w:p w14:paraId="32F04CB6" w14:textId="2AF84BBE" w:rsidR="006621BE" w:rsidRDefault="006621BE" w:rsidP="00D102CF">
      <w:pPr>
        <w:ind w:left="-284"/>
        <w:jc w:val="both"/>
        <w:rPr>
          <w:rFonts w:ascii="Arial" w:hAnsi="Arial" w:cs="Arial"/>
          <w:b/>
          <w:sz w:val="28"/>
          <w:szCs w:val="28"/>
          <w:lang w:val="es-MX"/>
        </w:rPr>
      </w:pPr>
      <w:r w:rsidRPr="00450379">
        <w:rPr>
          <w:rFonts w:ascii="Arial" w:hAnsi="Arial" w:cs="Arial"/>
          <w:b/>
          <w:sz w:val="28"/>
          <w:szCs w:val="28"/>
          <w:lang w:val="es-MX"/>
        </w:rPr>
        <w:t>181.- AGENCIA DE DESARROLLO RURAL – ADR.</w:t>
      </w:r>
    </w:p>
    <w:p w14:paraId="127E8B7F" w14:textId="77777777" w:rsidR="008E2438" w:rsidRPr="00450379" w:rsidRDefault="008E2438" w:rsidP="00D102CF">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450379" w14:paraId="271FBE08" w14:textId="77777777" w:rsidTr="00D102CF">
        <w:tc>
          <w:tcPr>
            <w:tcW w:w="993" w:type="dxa"/>
          </w:tcPr>
          <w:p w14:paraId="03CE09BB" w14:textId="77777777" w:rsidR="006621BE" w:rsidRPr="00450379" w:rsidRDefault="006621BE" w:rsidP="00EF5AF2">
            <w:pPr>
              <w:tabs>
                <w:tab w:val="left" w:pos="875"/>
              </w:tabs>
              <w:jc w:val="center"/>
              <w:rPr>
                <w:rFonts w:ascii="Arial" w:hAnsi="Arial" w:cs="Arial"/>
                <w:b/>
              </w:rPr>
            </w:pPr>
            <w:r w:rsidRPr="00450379">
              <w:rPr>
                <w:rFonts w:ascii="Arial" w:hAnsi="Arial" w:cs="Arial"/>
                <w:b/>
              </w:rPr>
              <w:t>N°</w:t>
            </w:r>
          </w:p>
        </w:tc>
        <w:tc>
          <w:tcPr>
            <w:tcW w:w="4253" w:type="dxa"/>
          </w:tcPr>
          <w:p w14:paraId="1257ED8E" w14:textId="77777777" w:rsidR="006621BE" w:rsidRPr="00450379" w:rsidRDefault="006621BE" w:rsidP="00EF5AF2">
            <w:pPr>
              <w:tabs>
                <w:tab w:val="left" w:pos="875"/>
              </w:tabs>
              <w:jc w:val="center"/>
              <w:rPr>
                <w:rFonts w:ascii="Arial" w:hAnsi="Arial" w:cs="Arial"/>
                <w:b/>
              </w:rPr>
            </w:pPr>
            <w:r w:rsidRPr="00450379">
              <w:rPr>
                <w:rFonts w:ascii="Arial" w:hAnsi="Arial" w:cs="Arial"/>
                <w:b/>
              </w:rPr>
              <w:t>Limitaciones del Sistema SIIF II Nación a 31/12/2024</w:t>
            </w:r>
          </w:p>
          <w:p w14:paraId="524110EA" w14:textId="77777777" w:rsidR="006621BE" w:rsidRPr="00450379" w:rsidRDefault="006621BE" w:rsidP="00EF5AF2">
            <w:pPr>
              <w:tabs>
                <w:tab w:val="left" w:pos="875"/>
              </w:tabs>
              <w:jc w:val="center"/>
              <w:rPr>
                <w:rFonts w:ascii="Arial" w:hAnsi="Arial" w:cs="Arial"/>
                <w:b/>
              </w:rPr>
            </w:pPr>
          </w:p>
        </w:tc>
        <w:tc>
          <w:tcPr>
            <w:tcW w:w="5244" w:type="dxa"/>
          </w:tcPr>
          <w:p w14:paraId="2532C0EB" w14:textId="77777777" w:rsidR="006621BE" w:rsidRPr="00450379" w:rsidRDefault="006621BE" w:rsidP="00EF5AF2">
            <w:pPr>
              <w:tabs>
                <w:tab w:val="left" w:pos="875"/>
              </w:tabs>
              <w:jc w:val="center"/>
              <w:rPr>
                <w:rFonts w:ascii="Arial" w:hAnsi="Arial" w:cs="Arial"/>
                <w:b/>
              </w:rPr>
            </w:pPr>
            <w:r w:rsidRPr="00450379">
              <w:rPr>
                <w:rFonts w:ascii="Arial" w:hAnsi="Arial" w:cs="Arial"/>
                <w:b/>
              </w:rPr>
              <w:t>Descripción de la limitación</w:t>
            </w:r>
          </w:p>
        </w:tc>
      </w:tr>
      <w:tr w:rsidR="006621BE" w:rsidRPr="00450379" w14:paraId="0F637753" w14:textId="77777777" w:rsidTr="00D102CF">
        <w:tc>
          <w:tcPr>
            <w:tcW w:w="993" w:type="dxa"/>
          </w:tcPr>
          <w:p w14:paraId="07C9F766" w14:textId="77777777" w:rsidR="006621BE" w:rsidRPr="00450379" w:rsidRDefault="006621BE" w:rsidP="00EF5AF2">
            <w:pPr>
              <w:tabs>
                <w:tab w:val="left" w:pos="875"/>
              </w:tabs>
              <w:jc w:val="center"/>
              <w:rPr>
                <w:rFonts w:ascii="Arial" w:hAnsi="Arial" w:cs="Arial"/>
                <w:b/>
              </w:rPr>
            </w:pPr>
            <w:r w:rsidRPr="00450379">
              <w:rPr>
                <w:rFonts w:ascii="Arial" w:hAnsi="Arial" w:cs="Arial"/>
                <w:b/>
              </w:rPr>
              <w:t>1</w:t>
            </w:r>
          </w:p>
        </w:tc>
        <w:tc>
          <w:tcPr>
            <w:tcW w:w="4253" w:type="dxa"/>
          </w:tcPr>
          <w:p w14:paraId="6A24CA43" w14:textId="77777777" w:rsidR="006621BE" w:rsidRPr="00450379" w:rsidRDefault="006621BE" w:rsidP="00EF5AF2">
            <w:pPr>
              <w:tabs>
                <w:tab w:val="left" w:pos="875"/>
              </w:tabs>
              <w:jc w:val="both"/>
              <w:rPr>
                <w:rFonts w:ascii="Arial" w:hAnsi="Arial" w:cs="Arial"/>
                <w:b/>
              </w:rPr>
            </w:pPr>
            <w:r w:rsidRPr="00450379">
              <w:rPr>
                <w:rFonts w:ascii="Arial" w:hAnsi="Arial" w:cs="Arial"/>
                <w:b/>
              </w:rPr>
              <w:t>Operativas:</w:t>
            </w:r>
          </w:p>
        </w:tc>
        <w:tc>
          <w:tcPr>
            <w:tcW w:w="5244" w:type="dxa"/>
          </w:tcPr>
          <w:p w14:paraId="20704DC0" w14:textId="77777777" w:rsidR="006621BE" w:rsidRPr="00450379" w:rsidRDefault="006621BE" w:rsidP="00EF5AF2">
            <w:pPr>
              <w:tabs>
                <w:tab w:val="left" w:pos="875"/>
              </w:tabs>
              <w:jc w:val="both"/>
              <w:rPr>
                <w:rFonts w:ascii="Arial" w:hAnsi="Arial" w:cs="Arial"/>
              </w:rPr>
            </w:pPr>
            <w:r w:rsidRPr="00450379">
              <w:rPr>
                <w:rFonts w:ascii="Arial" w:hAnsi="Arial" w:cs="Arial"/>
              </w:rPr>
              <w:t>Se presentaron limitaciones de carácter operativo principalmente en el último trimestre del año 2024; el sistema se tornó bastante lento, situación que genero retrasos en el trámite de compromisos</w:t>
            </w:r>
          </w:p>
        </w:tc>
      </w:tr>
    </w:tbl>
    <w:p w14:paraId="75E563F2" w14:textId="77777777" w:rsidR="006621BE" w:rsidRDefault="006621BE" w:rsidP="006621BE">
      <w:pPr>
        <w:ind w:left="-284" w:right="49"/>
        <w:jc w:val="both"/>
        <w:rPr>
          <w:rFonts w:ascii="Arial" w:hAnsi="Arial" w:cs="Arial"/>
          <w:b/>
          <w:sz w:val="24"/>
          <w:szCs w:val="24"/>
        </w:rPr>
      </w:pPr>
    </w:p>
    <w:p w14:paraId="7C382EFA" w14:textId="77777777" w:rsidR="006621BE" w:rsidRPr="00C0043E" w:rsidRDefault="006621BE" w:rsidP="00D102CF">
      <w:pPr>
        <w:pStyle w:val="Textoindependiente"/>
        <w:ind w:left="-284"/>
        <w:jc w:val="both"/>
        <w:rPr>
          <w:b/>
          <w:bCs/>
        </w:rPr>
      </w:pPr>
      <w:r w:rsidRPr="00C0043E">
        <w:rPr>
          <w:b/>
          <w:bCs/>
        </w:rPr>
        <w:t>1.2.3 Limitaciones y deficiencias generales de tipo operativo o administrativo</w:t>
      </w:r>
      <w:r>
        <w:rPr>
          <w:b/>
          <w:bCs/>
        </w:rPr>
        <w:t>.</w:t>
      </w:r>
    </w:p>
    <w:p w14:paraId="126F1499" w14:textId="77777777" w:rsidR="006621BE" w:rsidRPr="00940B01" w:rsidRDefault="006621BE" w:rsidP="00D102CF">
      <w:pPr>
        <w:pStyle w:val="Textoindependiente"/>
        <w:ind w:left="-284"/>
        <w:jc w:val="both"/>
        <w:rPr>
          <w:rFonts w:ascii="Arial" w:hAnsi="Arial" w:cs="Arial"/>
          <w:sz w:val="24"/>
          <w:szCs w:val="24"/>
        </w:rPr>
      </w:pPr>
    </w:p>
    <w:p w14:paraId="4A75FB16" w14:textId="77777777" w:rsidR="006621BE" w:rsidRPr="00940B01" w:rsidRDefault="006621BE" w:rsidP="00D102CF">
      <w:pPr>
        <w:pStyle w:val="Textoindependiente"/>
        <w:ind w:left="-284" w:right="-234"/>
        <w:jc w:val="both"/>
        <w:rPr>
          <w:rFonts w:ascii="Arial" w:hAnsi="Arial" w:cs="Arial"/>
          <w:sz w:val="24"/>
          <w:szCs w:val="24"/>
        </w:rPr>
      </w:pPr>
      <w:r w:rsidRPr="00940B01">
        <w:rPr>
          <w:rFonts w:ascii="Arial" w:hAnsi="Arial" w:cs="Arial"/>
          <w:sz w:val="24"/>
          <w:szCs w:val="24"/>
        </w:rPr>
        <w:t xml:space="preserve">Debido a que el Sistema de Información Financiera SIIF Nación II, en la actualidad no ha culminado con el desarrollo de los negocios de nómina, activos fijos y cartera, la Agencia de Desarrollo Rural adquirió para la administración del proceso de nómina, prestaciones sociales y seguridad social integral el software administrativo denominado KACTUS; para la administración la propiedad, planta y equipo (Bienes muebles e inmuebles), el software administrativo denominado SEVEN ERP y para la administración de la facturación por concepto de cartera, el software DYNAMICS. </w:t>
      </w:r>
    </w:p>
    <w:p w14:paraId="2B2E5C1A" w14:textId="77777777" w:rsidR="006621BE" w:rsidRPr="00940B01" w:rsidRDefault="006621BE" w:rsidP="00D102CF">
      <w:pPr>
        <w:pStyle w:val="Textoindependiente"/>
        <w:ind w:left="-284" w:right="-234"/>
        <w:jc w:val="both"/>
        <w:rPr>
          <w:rFonts w:ascii="Arial" w:hAnsi="Arial" w:cs="Arial"/>
          <w:sz w:val="24"/>
          <w:szCs w:val="24"/>
        </w:rPr>
      </w:pPr>
    </w:p>
    <w:p w14:paraId="2C901482" w14:textId="77777777" w:rsidR="006621BE" w:rsidRPr="00940B01" w:rsidRDefault="006621BE" w:rsidP="00D102CF">
      <w:pPr>
        <w:pStyle w:val="Textoindependiente"/>
        <w:ind w:left="-284" w:right="-234"/>
        <w:jc w:val="both"/>
        <w:rPr>
          <w:rFonts w:ascii="Arial" w:hAnsi="Arial" w:cs="Arial"/>
          <w:sz w:val="24"/>
          <w:szCs w:val="24"/>
        </w:rPr>
      </w:pPr>
      <w:r w:rsidRPr="00940B01">
        <w:rPr>
          <w:rFonts w:ascii="Arial" w:hAnsi="Arial" w:cs="Arial"/>
          <w:sz w:val="24"/>
          <w:szCs w:val="24"/>
        </w:rPr>
        <w:t xml:space="preserve">La información generada de estos aplicativos es incorporada en el módulo de Gestión Contable del Sistema Integrado de Información Financiera- SIIF a través del registro de comprobantes contables manuales. </w:t>
      </w:r>
    </w:p>
    <w:p w14:paraId="2E6F8882" w14:textId="77777777" w:rsidR="006621BE" w:rsidRPr="00940B01" w:rsidRDefault="006621BE" w:rsidP="00D102CF">
      <w:pPr>
        <w:pStyle w:val="Textoindependiente"/>
        <w:ind w:left="-284" w:right="-234"/>
        <w:jc w:val="both"/>
        <w:rPr>
          <w:rFonts w:ascii="Arial" w:hAnsi="Arial" w:cs="Arial"/>
          <w:sz w:val="24"/>
          <w:szCs w:val="24"/>
        </w:rPr>
      </w:pPr>
    </w:p>
    <w:p w14:paraId="07D4AF6F" w14:textId="77777777" w:rsidR="006621BE" w:rsidRPr="00940B01" w:rsidRDefault="006621BE" w:rsidP="00D102CF">
      <w:pPr>
        <w:pStyle w:val="Textoindependiente"/>
        <w:ind w:left="-284" w:right="-234"/>
        <w:jc w:val="both"/>
        <w:rPr>
          <w:rFonts w:ascii="Arial" w:hAnsi="Arial" w:cs="Arial"/>
          <w:b/>
          <w:bCs/>
          <w:sz w:val="24"/>
          <w:szCs w:val="24"/>
        </w:rPr>
      </w:pPr>
      <w:r w:rsidRPr="00940B01">
        <w:rPr>
          <w:rFonts w:ascii="Arial" w:hAnsi="Arial" w:cs="Arial"/>
          <w:b/>
          <w:bCs/>
          <w:sz w:val="24"/>
          <w:szCs w:val="24"/>
        </w:rPr>
        <w:t xml:space="preserve">1.2.4 Limitaciones y deficiencias que tienen efectos en el Sistema Contable. </w:t>
      </w:r>
    </w:p>
    <w:p w14:paraId="055ADE64" w14:textId="77777777" w:rsidR="006621BE" w:rsidRPr="00940B01" w:rsidRDefault="006621BE" w:rsidP="00D102CF">
      <w:pPr>
        <w:pStyle w:val="Textoindependiente"/>
        <w:ind w:left="-284" w:right="-234"/>
        <w:jc w:val="both"/>
        <w:rPr>
          <w:rFonts w:ascii="Arial" w:hAnsi="Arial" w:cs="Arial"/>
          <w:b/>
          <w:bCs/>
          <w:sz w:val="24"/>
          <w:szCs w:val="24"/>
        </w:rPr>
      </w:pPr>
    </w:p>
    <w:p w14:paraId="0A124420" w14:textId="77777777" w:rsidR="006621BE" w:rsidRPr="00940B01" w:rsidRDefault="006621BE" w:rsidP="00D102CF">
      <w:pPr>
        <w:pStyle w:val="Textoindependiente"/>
        <w:ind w:left="-284" w:right="-234"/>
        <w:jc w:val="both"/>
        <w:rPr>
          <w:rFonts w:ascii="Arial" w:hAnsi="Arial" w:cs="Arial"/>
          <w:b/>
          <w:bCs/>
          <w:sz w:val="24"/>
          <w:szCs w:val="24"/>
        </w:rPr>
      </w:pPr>
      <w:r w:rsidRPr="00940B01">
        <w:rPr>
          <w:rFonts w:ascii="Arial" w:hAnsi="Arial" w:cs="Arial"/>
          <w:b/>
          <w:bCs/>
          <w:sz w:val="24"/>
          <w:szCs w:val="24"/>
        </w:rPr>
        <w:t xml:space="preserve">1.2.5 Limitaciones de orden contable: </w:t>
      </w:r>
    </w:p>
    <w:p w14:paraId="79CC3007" w14:textId="77777777" w:rsidR="006621BE" w:rsidRPr="00940B01" w:rsidRDefault="006621BE" w:rsidP="00D102CF">
      <w:pPr>
        <w:pStyle w:val="Textoindependiente"/>
        <w:ind w:left="-284" w:right="-234"/>
        <w:jc w:val="both"/>
        <w:rPr>
          <w:rFonts w:ascii="Arial" w:hAnsi="Arial" w:cs="Arial"/>
          <w:sz w:val="24"/>
          <w:szCs w:val="24"/>
        </w:rPr>
      </w:pPr>
    </w:p>
    <w:p w14:paraId="295B636C" w14:textId="77777777" w:rsidR="006621BE" w:rsidRPr="00940B01" w:rsidRDefault="006621BE" w:rsidP="00D102CF">
      <w:pPr>
        <w:pStyle w:val="Textoindependiente"/>
        <w:ind w:left="-284" w:right="-234"/>
        <w:jc w:val="both"/>
        <w:rPr>
          <w:rFonts w:ascii="Arial" w:hAnsi="Arial" w:cs="Arial"/>
          <w:sz w:val="24"/>
          <w:szCs w:val="24"/>
        </w:rPr>
      </w:pPr>
      <w:r w:rsidRPr="00940B01">
        <w:rPr>
          <w:rFonts w:ascii="Arial" w:hAnsi="Arial" w:cs="Arial"/>
          <w:sz w:val="24"/>
          <w:szCs w:val="24"/>
        </w:rPr>
        <w:t>El Sistema de Información Financiera SIIF Nación II funciona como un software administrativo y no cuenta con las funcionalidades propias de un software contable, lo que genera dificultad en algunos procesos de registro, reportes y consultas.</w:t>
      </w:r>
    </w:p>
    <w:p w14:paraId="3201E8D9" w14:textId="77777777" w:rsidR="006621BE" w:rsidRDefault="006621BE" w:rsidP="00D102CF">
      <w:pPr>
        <w:ind w:left="-284" w:right="49"/>
        <w:jc w:val="both"/>
        <w:rPr>
          <w:rFonts w:ascii="Arial" w:hAnsi="Arial" w:cs="Arial"/>
          <w:b/>
          <w:sz w:val="24"/>
          <w:szCs w:val="24"/>
        </w:rPr>
      </w:pPr>
    </w:p>
    <w:p w14:paraId="0E4E92AB" w14:textId="77777777" w:rsidR="006621BE" w:rsidRPr="00941163" w:rsidRDefault="006621BE" w:rsidP="00D102CF">
      <w:pPr>
        <w:ind w:left="-284"/>
        <w:jc w:val="both"/>
        <w:rPr>
          <w:rFonts w:ascii="Arial" w:hAnsi="Arial" w:cs="Arial"/>
          <w:b/>
          <w:sz w:val="28"/>
          <w:szCs w:val="28"/>
          <w:lang w:val="es-MX"/>
        </w:rPr>
      </w:pPr>
      <w:r w:rsidRPr="00941163">
        <w:rPr>
          <w:rFonts w:ascii="Arial" w:hAnsi="Arial" w:cs="Arial"/>
          <w:b/>
          <w:sz w:val="28"/>
          <w:szCs w:val="28"/>
          <w:lang w:val="es-MX"/>
        </w:rPr>
        <w:t xml:space="preserve">183.- U.A.E. MIGRACIÓN COLOMBIA. </w:t>
      </w:r>
    </w:p>
    <w:p w14:paraId="775D68AF"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CF5158" w14:paraId="483D4635" w14:textId="77777777" w:rsidTr="00D102CF">
        <w:tc>
          <w:tcPr>
            <w:tcW w:w="993" w:type="dxa"/>
          </w:tcPr>
          <w:p w14:paraId="5585F51D" w14:textId="77777777" w:rsidR="006621BE" w:rsidRPr="00CF5158" w:rsidRDefault="006621BE" w:rsidP="00EF5AF2">
            <w:pPr>
              <w:tabs>
                <w:tab w:val="left" w:pos="875"/>
              </w:tabs>
              <w:ind w:right="-50"/>
              <w:jc w:val="center"/>
              <w:rPr>
                <w:rFonts w:ascii="Arial" w:hAnsi="Arial" w:cs="Arial"/>
                <w:b/>
              </w:rPr>
            </w:pPr>
            <w:r w:rsidRPr="00CF5158">
              <w:rPr>
                <w:rFonts w:ascii="Arial" w:hAnsi="Arial" w:cs="Arial"/>
                <w:b/>
              </w:rPr>
              <w:t>N°</w:t>
            </w:r>
          </w:p>
        </w:tc>
        <w:tc>
          <w:tcPr>
            <w:tcW w:w="4253" w:type="dxa"/>
          </w:tcPr>
          <w:p w14:paraId="0F1936F9" w14:textId="77777777" w:rsidR="006621BE" w:rsidRPr="00CF5158" w:rsidRDefault="006621BE" w:rsidP="00EF5AF2">
            <w:pPr>
              <w:tabs>
                <w:tab w:val="left" w:pos="875"/>
              </w:tabs>
              <w:ind w:right="-50"/>
              <w:jc w:val="center"/>
              <w:rPr>
                <w:rFonts w:ascii="Arial" w:hAnsi="Arial" w:cs="Arial"/>
                <w:b/>
              </w:rPr>
            </w:pPr>
            <w:r w:rsidRPr="00CF5158">
              <w:rPr>
                <w:rFonts w:ascii="Arial" w:hAnsi="Arial" w:cs="Arial"/>
                <w:b/>
              </w:rPr>
              <w:t>Limitaciones del Sistema SIIF II Nación a 31/12/2024</w:t>
            </w:r>
          </w:p>
          <w:p w14:paraId="555EB557" w14:textId="77777777" w:rsidR="006621BE" w:rsidRPr="00CF5158" w:rsidRDefault="006621BE" w:rsidP="00EF5AF2">
            <w:pPr>
              <w:tabs>
                <w:tab w:val="left" w:pos="875"/>
              </w:tabs>
              <w:ind w:right="-50"/>
              <w:jc w:val="center"/>
              <w:rPr>
                <w:rFonts w:ascii="Arial" w:hAnsi="Arial" w:cs="Arial"/>
                <w:b/>
              </w:rPr>
            </w:pPr>
          </w:p>
        </w:tc>
        <w:tc>
          <w:tcPr>
            <w:tcW w:w="5244" w:type="dxa"/>
          </w:tcPr>
          <w:p w14:paraId="2D5F9E01" w14:textId="77777777" w:rsidR="006621BE" w:rsidRPr="00CF5158" w:rsidRDefault="006621BE" w:rsidP="00EF5AF2">
            <w:pPr>
              <w:tabs>
                <w:tab w:val="left" w:pos="875"/>
              </w:tabs>
              <w:ind w:right="-50"/>
              <w:jc w:val="center"/>
              <w:rPr>
                <w:rFonts w:ascii="Arial" w:hAnsi="Arial" w:cs="Arial"/>
                <w:b/>
              </w:rPr>
            </w:pPr>
            <w:r w:rsidRPr="00CF5158">
              <w:rPr>
                <w:rFonts w:ascii="Arial" w:hAnsi="Arial" w:cs="Arial"/>
                <w:b/>
              </w:rPr>
              <w:t>Descripción de la limitación</w:t>
            </w:r>
          </w:p>
        </w:tc>
      </w:tr>
      <w:tr w:rsidR="006621BE" w:rsidRPr="00CF5158" w14:paraId="00D23056" w14:textId="77777777" w:rsidTr="00D102CF">
        <w:tc>
          <w:tcPr>
            <w:tcW w:w="993" w:type="dxa"/>
          </w:tcPr>
          <w:p w14:paraId="71BB41C8" w14:textId="77777777" w:rsidR="006621BE" w:rsidRPr="00CF5158" w:rsidRDefault="006621BE" w:rsidP="00EF5AF2">
            <w:pPr>
              <w:tabs>
                <w:tab w:val="left" w:pos="875"/>
              </w:tabs>
              <w:ind w:right="-50"/>
              <w:jc w:val="center"/>
              <w:rPr>
                <w:rFonts w:ascii="Arial" w:hAnsi="Arial" w:cs="Arial"/>
                <w:b/>
              </w:rPr>
            </w:pPr>
            <w:r w:rsidRPr="00CF5158">
              <w:rPr>
                <w:rFonts w:ascii="Arial" w:hAnsi="Arial" w:cs="Arial"/>
                <w:b/>
              </w:rPr>
              <w:t>1</w:t>
            </w:r>
          </w:p>
        </w:tc>
        <w:tc>
          <w:tcPr>
            <w:tcW w:w="4253" w:type="dxa"/>
          </w:tcPr>
          <w:p w14:paraId="37D79064" w14:textId="77777777" w:rsidR="006621BE" w:rsidRPr="00CF5158" w:rsidRDefault="006621BE" w:rsidP="00EF5AF2">
            <w:pPr>
              <w:tabs>
                <w:tab w:val="left" w:pos="875"/>
              </w:tabs>
              <w:ind w:right="-50"/>
              <w:jc w:val="both"/>
              <w:rPr>
                <w:rFonts w:ascii="Arial" w:hAnsi="Arial" w:cs="Arial"/>
                <w:b/>
              </w:rPr>
            </w:pPr>
            <w:r w:rsidRPr="00CF5158">
              <w:rPr>
                <w:rFonts w:ascii="Arial" w:hAnsi="Arial" w:cs="Arial"/>
                <w:b/>
              </w:rPr>
              <w:t>Técnicas:</w:t>
            </w:r>
          </w:p>
        </w:tc>
        <w:tc>
          <w:tcPr>
            <w:tcW w:w="5244" w:type="dxa"/>
          </w:tcPr>
          <w:p w14:paraId="63CB142F" w14:textId="77777777" w:rsidR="006621BE" w:rsidRPr="00CF5158" w:rsidRDefault="006621BE" w:rsidP="00EF5AF2">
            <w:pPr>
              <w:tabs>
                <w:tab w:val="left" w:pos="875"/>
              </w:tabs>
              <w:ind w:right="-50"/>
              <w:jc w:val="both"/>
              <w:rPr>
                <w:rFonts w:ascii="Arial" w:hAnsi="Arial" w:cs="Arial"/>
              </w:rPr>
            </w:pPr>
            <w:r w:rsidRPr="00CF5158">
              <w:rPr>
                <w:rFonts w:ascii="Arial" w:hAnsi="Arial" w:cs="Arial"/>
              </w:rPr>
              <w:t>Colapsos de la plataforma en fechas críticas de procesos, este suceso no generó impacto en los reportes presupuestales presentados. Contablemente no presentó limitaciones.</w:t>
            </w:r>
          </w:p>
        </w:tc>
      </w:tr>
      <w:tr w:rsidR="006621BE" w:rsidRPr="00CF5158" w14:paraId="4DC97B87" w14:textId="77777777" w:rsidTr="00D102CF">
        <w:tc>
          <w:tcPr>
            <w:tcW w:w="993" w:type="dxa"/>
          </w:tcPr>
          <w:p w14:paraId="1A94FDE1" w14:textId="77777777" w:rsidR="006621BE" w:rsidRPr="00CF5158" w:rsidRDefault="006621BE" w:rsidP="00EF5AF2">
            <w:pPr>
              <w:tabs>
                <w:tab w:val="left" w:pos="875"/>
              </w:tabs>
              <w:ind w:right="-50"/>
              <w:jc w:val="center"/>
              <w:rPr>
                <w:rFonts w:ascii="Arial" w:hAnsi="Arial" w:cs="Arial"/>
                <w:b/>
              </w:rPr>
            </w:pPr>
            <w:r w:rsidRPr="00CF5158">
              <w:rPr>
                <w:rFonts w:ascii="Arial" w:hAnsi="Arial" w:cs="Arial"/>
                <w:b/>
              </w:rPr>
              <w:t>2</w:t>
            </w:r>
          </w:p>
        </w:tc>
        <w:tc>
          <w:tcPr>
            <w:tcW w:w="4253" w:type="dxa"/>
          </w:tcPr>
          <w:p w14:paraId="60DC61C7" w14:textId="77777777" w:rsidR="006621BE" w:rsidRPr="00CF5158" w:rsidRDefault="006621BE" w:rsidP="00EF5AF2">
            <w:pPr>
              <w:tabs>
                <w:tab w:val="left" w:pos="875"/>
              </w:tabs>
              <w:ind w:right="-50"/>
              <w:jc w:val="both"/>
              <w:rPr>
                <w:rFonts w:ascii="Arial" w:hAnsi="Arial" w:cs="Arial"/>
                <w:b/>
              </w:rPr>
            </w:pPr>
            <w:r w:rsidRPr="00CF5158">
              <w:rPr>
                <w:rFonts w:ascii="Arial" w:hAnsi="Arial" w:cs="Arial"/>
                <w:b/>
              </w:rPr>
              <w:t>Operativas:</w:t>
            </w:r>
          </w:p>
        </w:tc>
        <w:tc>
          <w:tcPr>
            <w:tcW w:w="5244" w:type="dxa"/>
          </w:tcPr>
          <w:p w14:paraId="019FE7C0" w14:textId="77777777" w:rsidR="006621BE" w:rsidRPr="00CF5158" w:rsidRDefault="006621BE" w:rsidP="00EF5AF2">
            <w:pPr>
              <w:tabs>
                <w:tab w:val="left" w:pos="875"/>
              </w:tabs>
              <w:ind w:right="-50"/>
              <w:jc w:val="both"/>
              <w:rPr>
                <w:rFonts w:ascii="Arial" w:hAnsi="Arial" w:cs="Arial"/>
              </w:rPr>
            </w:pPr>
            <w:r w:rsidRPr="00CF5158">
              <w:rPr>
                <w:rFonts w:ascii="Arial" w:hAnsi="Arial" w:cs="Arial"/>
              </w:rPr>
              <w:t>No integración de módulos para la realización de algunos procesos. (Creación y aprobación de cuentas bancarias tanto para funcionarios como para terceros), este suceso no generó impacto en los reportes presupuestales presentados.</w:t>
            </w:r>
          </w:p>
          <w:p w14:paraId="6E8A6173" w14:textId="77777777" w:rsidR="006621BE" w:rsidRPr="00CF5158" w:rsidRDefault="006621BE" w:rsidP="00EF5AF2">
            <w:pPr>
              <w:tabs>
                <w:tab w:val="left" w:pos="875"/>
              </w:tabs>
              <w:ind w:right="-50"/>
              <w:jc w:val="both"/>
              <w:rPr>
                <w:rFonts w:ascii="Arial" w:hAnsi="Arial" w:cs="Arial"/>
              </w:rPr>
            </w:pPr>
            <w:r w:rsidRPr="00CF5158">
              <w:rPr>
                <w:rFonts w:ascii="Arial" w:hAnsi="Arial" w:cs="Arial"/>
              </w:rPr>
              <w:t>Contablemente las limitaciones que presenta son referidas a la integridad de los módulos faltantes como lo son Propiedad Planta y Equipo y Nómina. Estos hechos económicos deben ser controlados en sistemas externos al SIIF.</w:t>
            </w:r>
          </w:p>
        </w:tc>
      </w:tr>
      <w:tr w:rsidR="006621BE" w:rsidRPr="00CF5158" w14:paraId="36EE3AAB" w14:textId="77777777" w:rsidTr="00D102CF">
        <w:tc>
          <w:tcPr>
            <w:tcW w:w="993" w:type="dxa"/>
          </w:tcPr>
          <w:p w14:paraId="4594CE12" w14:textId="77777777" w:rsidR="006621BE" w:rsidRPr="00CF5158" w:rsidRDefault="006621BE" w:rsidP="00EF5AF2">
            <w:pPr>
              <w:tabs>
                <w:tab w:val="left" w:pos="875"/>
              </w:tabs>
              <w:ind w:right="-50"/>
              <w:jc w:val="center"/>
              <w:rPr>
                <w:rFonts w:ascii="Arial" w:hAnsi="Arial" w:cs="Arial"/>
                <w:b/>
              </w:rPr>
            </w:pPr>
            <w:r w:rsidRPr="00CF5158">
              <w:rPr>
                <w:rFonts w:ascii="Arial" w:hAnsi="Arial" w:cs="Arial"/>
                <w:b/>
              </w:rPr>
              <w:t>3</w:t>
            </w:r>
          </w:p>
        </w:tc>
        <w:tc>
          <w:tcPr>
            <w:tcW w:w="4253" w:type="dxa"/>
          </w:tcPr>
          <w:p w14:paraId="78B2752F" w14:textId="77777777" w:rsidR="006621BE" w:rsidRPr="00CF5158" w:rsidRDefault="006621BE" w:rsidP="00EF5AF2">
            <w:pPr>
              <w:tabs>
                <w:tab w:val="left" w:pos="875"/>
              </w:tabs>
              <w:ind w:right="-50"/>
              <w:jc w:val="both"/>
              <w:rPr>
                <w:rFonts w:ascii="Arial" w:hAnsi="Arial" w:cs="Arial"/>
                <w:b/>
              </w:rPr>
            </w:pPr>
            <w:r w:rsidRPr="00CF5158">
              <w:rPr>
                <w:rFonts w:ascii="Arial" w:hAnsi="Arial" w:cs="Arial"/>
                <w:b/>
              </w:rPr>
              <w:t>Soporte a la plataforma:</w:t>
            </w:r>
          </w:p>
        </w:tc>
        <w:tc>
          <w:tcPr>
            <w:tcW w:w="5244" w:type="dxa"/>
          </w:tcPr>
          <w:p w14:paraId="71467472" w14:textId="77777777" w:rsidR="006621BE" w:rsidRPr="00CF5158" w:rsidRDefault="006621BE" w:rsidP="00EF5AF2">
            <w:pPr>
              <w:tabs>
                <w:tab w:val="left" w:pos="875"/>
              </w:tabs>
              <w:ind w:right="-50"/>
              <w:jc w:val="both"/>
              <w:rPr>
                <w:rFonts w:ascii="Arial" w:hAnsi="Arial" w:cs="Arial"/>
              </w:rPr>
            </w:pPr>
            <w:r w:rsidRPr="00CF5158">
              <w:rPr>
                <w:rFonts w:ascii="Arial" w:hAnsi="Arial" w:cs="Arial"/>
              </w:rPr>
              <w:t xml:space="preserve">Cuando se presentan inconvenientes que son informados al SIIF, los cuales deben ser escalonados a áreas más especializadas, la respuesta puede ser con bastante </w:t>
            </w:r>
            <w:r w:rsidRPr="00CF5158">
              <w:rPr>
                <w:rFonts w:ascii="Arial" w:hAnsi="Arial" w:cs="Arial"/>
              </w:rPr>
              <w:lastRenderedPageBreak/>
              <w:t>tiempo y la necesidad de la entidad es urgente, este suceso no generó impacto en los reportes presupuestales presentados. Contablemente no presentó limitaciones.</w:t>
            </w:r>
          </w:p>
        </w:tc>
      </w:tr>
    </w:tbl>
    <w:p w14:paraId="6C4D7255" w14:textId="77777777" w:rsidR="006621BE" w:rsidRDefault="006621BE" w:rsidP="006621BE">
      <w:pPr>
        <w:ind w:left="-284" w:right="49"/>
        <w:jc w:val="both"/>
        <w:rPr>
          <w:rFonts w:ascii="Arial" w:hAnsi="Arial" w:cs="Arial"/>
          <w:b/>
          <w:sz w:val="24"/>
          <w:szCs w:val="24"/>
          <w:lang w:val="es-MX"/>
        </w:rPr>
      </w:pPr>
    </w:p>
    <w:p w14:paraId="72281A44" w14:textId="77777777" w:rsidR="006621BE" w:rsidRPr="00027E68" w:rsidRDefault="006621BE" w:rsidP="00D102CF">
      <w:pPr>
        <w:ind w:left="-284" w:right="-234"/>
        <w:jc w:val="both"/>
        <w:rPr>
          <w:rFonts w:ascii="Arial" w:hAnsi="Arial" w:cs="Arial"/>
          <w:b/>
          <w:sz w:val="28"/>
          <w:szCs w:val="28"/>
          <w:lang w:val="es-MX"/>
        </w:rPr>
      </w:pPr>
      <w:r w:rsidRPr="00027E68">
        <w:rPr>
          <w:rFonts w:ascii="Arial" w:hAnsi="Arial" w:cs="Arial"/>
          <w:b/>
          <w:sz w:val="28"/>
          <w:szCs w:val="28"/>
          <w:lang w:val="es-MX"/>
        </w:rPr>
        <w:t xml:space="preserve">187.- </w:t>
      </w:r>
      <w:r w:rsidRPr="00027E68">
        <w:rPr>
          <w:rFonts w:ascii="Arial" w:hAnsi="Arial" w:cs="Arial"/>
          <w:b/>
          <w:sz w:val="28"/>
          <w:szCs w:val="28"/>
        </w:rPr>
        <w:t>MINISTERIO DE CIENCIA, TECNOLOGÍA E INNOVACIÓN - MINCIENCIAS.</w:t>
      </w:r>
    </w:p>
    <w:p w14:paraId="0784986B"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582A32" w14:paraId="4B304620" w14:textId="77777777" w:rsidTr="00D102CF">
        <w:tc>
          <w:tcPr>
            <w:tcW w:w="993" w:type="dxa"/>
          </w:tcPr>
          <w:p w14:paraId="04D80223"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N°</w:t>
            </w:r>
          </w:p>
        </w:tc>
        <w:tc>
          <w:tcPr>
            <w:tcW w:w="4253" w:type="dxa"/>
          </w:tcPr>
          <w:p w14:paraId="6DD6B435"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Limitaciones del Sistema SIIF II Nación a 31/12/2024</w:t>
            </w:r>
          </w:p>
          <w:p w14:paraId="60CC37A2" w14:textId="77777777" w:rsidR="006621BE" w:rsidRPr="00582A32" w:rsidRDefault="006621BE" w:rsidP="00EF5AF2">
            <w:pPr>
              <w:tabs>
                <w:tab w:val="left" w:pos="875"/>
              </w:tabs>
              <w:ind w:right="-50"/>
              <w:jc w:val="center"/>
              <w:rPr>
                <w:rFonts w:ascii="Arial" w:hAnsi="Arial" w:cs="Arial"/>
                <w:b/>
              </w:rPr>
            </w:pPr>
          </w:p>
        </w:tc>
        <w:tc>
          <w:tcPr>
            <w:tcW w:w="5244" w:type="dxa"/>
          </w:tcPr>
          <w:p w14:paraId="157F2EBA"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Descripción de la limitación</w:t>
            </w:r>
          </w:p>
        </w:tc>
      </w:tr>
      <w:tr w:rsidR="006621BE" w:rsidRPr="00582A32" w14:paraId="3522F62E" w14:textId="77777777" w:rsidTr="00D102CF">
        <w:tc>
          <w:tcPr>
            <w:tcW w:w="993" w:type="dxa"/>
          </w:tcPr>
          <w:p w14:paraId="15FF0814"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1</w:t>
            </w:r>
          </w:p>
        </w:tc>
        <w:tc>
          <w:tcPr>
            <w:tcW w:w="4253" w:type="dxa"/>
          </w:tcPr>
          <w:p w14:paraId="73E5A18F" w14:textId="77777777" w:rsidR="006621BE" w:rsidRPr="00582A32" w:rsidRDefault="006621BE" w:rsidP="00EF5AF2">
            <w:pPr>
              <w:tabs>
                <w:tab w:val="left" w:pos="875"/>
              </w:tabs>
              <w:ind w:right="-50"/>
              <w:jc w:val="both"/>
              <w:rPr>
                <w:rFonts w:ascii="Arial" w:hAnsi="Arial" w:cs="Arial"/>
                <w:b/>
              </w:rPr>
            </w:pPr>
            <w:r w:rsidRPr="00582A32">
              <w:rPr>
                <w:rFonts w:ascii="Arial" w:hAnsi="Arial" w:cs="Arial"/>
                <w:b/>
              </w:rPr>
              <w:t>Técnicas:</w:t>
            </w:r>
          </w:p>
        </w:tc>
        <w:tc>
          <w:tcPr>
            <w:tcW w:w="5244" w:type="dxa"/>
          </w:tcPr>
          <w:p w14:paraId="4B73D0ED"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Falta desarrollar módulos de Propiedad, planta y equipo, Nómina.</w:t>
            </w:r>
          </w:p>
        </w:tc>
      </w:tr>
      <w:tr w:rsidR="006621BE" w:rsidRPr="00582A32" w14:paraId="2E2FC2F0" w14:textId="77777777" w:rsidTr="00D102CF">
        <w:tc>
          <w:tcPr>
            <w:tcW w:w="993" w:type="dxa"/>
          </w:tcPr>
          <w:p w14:paraId="194B13A3"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2</w:t>
            </w:r>
          </w:p>
        </w:tc>
        <w:tc>
          <w:tcPr>
            <w:tcW w:w="4253" w:type="dxa"/>
          </w:tcPr>
          <w:p w14:paraId="703D0E48" w14:textId="77777777" w:rsidR="006621BE" w:rsidRPr="00582A32" w:rsidRDefault="006621BE" w:rsidP="00EF5AF2">
            <w:pPr>
              <w:tabs>
                <w:tab w:val="left" w:pos="875"/>
              </w:tabs>
              <w:ind w:right="-50"/>
              <w:jc w:val="both"/>
              <w:rPr>
                <w:rFonts w:ascii="Arial" w:hAnsi="Arial" w:cs="Arial"/>
                <w:b/>
              </w:rPr>
            </w:pPr>
            <w:r w:rsidRPr="00582A32">
              <w:rPr>
                <w:rFonts w:ascii="Arial" w:hAnsi="Arial" w:cs="Arial"/>
                <w:b/>
              </w:rPr>
              <w:t>Operativas:</w:t>
            </w:r>
          </w:p>
        </w:tc>
        <w:tc>
          <w:tcPr>
            <w:tcW w:w="5244" w:type="dxa"/>
          </w:tcPr>
          <w:p w14:paraId="7159D797"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 xml:space="preserve">Integralidad del Sistema a Nivel Contable. </w:t>
            </w:r>
          </w:p>
          <w:p w14:paraId="1EB0AA61" w14:textId="77777777" w:rsidR="006621BE" w:rsidRPr="00582A32" w:rsidRDefault="006621BE" w:rsidP="00EF5AF2">
            <w:pPr>
              <w:tabs>
                <w:tab w:val="left" w:pos="875"/>
              </w:tabs>
              <w:ind w:right="-50"/>
              <w:jc w:val="both"/>
              <w:rPr>
                <w:rFonts w:ascii="Arial" w:hAnsi="Arial" w:cs="Arial"/>
              </w:rPr>
            </w:pPr>
          </w:p>
          <w:p w14:paraId="7A84FBB7"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 xml:space="preserve">El Sistema Integrado de Información Financiera - SIIF NACION II, proporciona al Ministerio una seguridad y transparencia en la gestión y ejecución de las actividades contables, presupuestales y de tesorería; sin embargo, el sistema no cuenta con los desarrollos para registrar de manera transaccional las operaciones relacionadas con la propiedad, planta y equipo y nómina, por lo que se hace necesario acceder a aplicativos complementarios de apoyo para el control de cada uno de ellos, aspecto que limita la oportunidad y eficacia de seguimiento a las operaciones relacionadas con mencionados aplicativos. Adicional a esto, se realizan registros manuales de litigios y demandas, provisiones de nómina, amortizaciones, entre otros. </w:t>
            </w:r>
          </w:p>
          <w:p w14:paraId="5AB98953" w14:textId="77777777" w:rsidR="006621BE" w:rsidRPr="00582A32" w:rsidRDefault="006621BE" w:rsidP="00EF5AF2">
            <w:pPr>
              <w:tabs>
                <w:tab w:val="left" w:pos="875"/>
              </w:tabs>
              <w:ind w:right="-50"/>
              <w:jc w:val="both"/>
              <w:rPr>
                <w:rFonts w:ascii="Arial" w:hAnsi="Arial" w:cs="Arial"/>
              </w:rPr>
            </w:pPr>
          </w:p>
          <w:p w14:paraId="1AD61A15"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 xml:space="preserve">La redundancia operativa que se genera en el proceso de reconocimiento de obligaciones presupuestales en el Sistema Integrado de Información Financiera – SlIF NACION II, ya que se registran dos (2) transacciones que en esencia contienen la misma información, situación que incrementa los tiempos de trámite de las obligaciones a cargo de la entidad. </w:t>
            </w:r>
          </w:p>
          <w:p w14:paraId="22B364CF" w14:textId="77777777" w:rsidR="006621BE" w:rsidRPr="00582A32" w:rsidRDefault="006621BE" w:rsidP="00EF5AF2">
            <w:pPr>
              <w:tabs>
                <w:tab w:val="left" w:pos="875"/>
              </w:tabs>
              <w:ind w:right="-50"/>
              <w:jc w:val="both"/>
              <w:rPr>
                <w:rFonts w:ascii="Arial" w:hAnsi="Arial" w:cs="Arial"/>
              </w:rPr>
            </w:pPr>
          </w:p>
          <w:p w14:paraId="572F101F"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 xml:space="preserve">Dichas actividades son: </w:t>
            </w:r>
          </w:p>
          <w:p w14:paraId="438A5492" w14:textId="77777777" w:rsidR="006621BE" w:rsidRPr="00582A32" w:rsidRDefault="006621BE" w:rsidP="00EF5AF2">
            <w:pPr>
              <w:tabs>
                <w:tab w:val="left" w:pos="875"/>
              </w:tabs>
              <w:ind w:right="-50"/>
              <w:jc w:val="both"/>
              <w:rPr>
                <w:rFonts w:ascii="Arial" w:hAnsi="Arial" w:cs="Arial"/>
              </w:rPr>
            </w:pPr>
          </w:p>
          <w:p w14:paraId="2CDB40AE"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 xml:space="preserve">• Registro de documentos soporte o cuenta por pagar y </w:t>
            </w:r>
          </w:p>
          <w:p w14:paraId="724D0C4E" w14:textId="77777777" w:rsidR="006621BE" w:rsidRPr="00582A32" w:rsidRDefault="006621BE" w:rsidP="00EF5AF2">
            <w:pPr>
              <w:tabs>
                <w:tab w:val="left" w:pos="875"/>
              </w:tabs>
              <w:ind w:right="-50"/>
              <w:jc w:val="both"/>
              <w:rPr>
                <w:rFonts w:ascii="Arial" w:hAnsi="Arial" w:cs="Arial"/>
              </w:rPr>
            </w:pPr>
          </w:p>
          <w:p w14:paraId="10DDF5EA"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 Registro de obligaciones presupuestales imposibilidad de anular comprobantes contables dentro de un periodo determinado. Además, se requieren desarrollos en la generación de reportes, tanto nuevos como en los ya existentes, que permitan realizar otro tipo de análisis y así poder dar mayor consistencia a las cifras de los estados financieros.</w:t>
            </w:r>
          </w:p>
        </w:tc>
      </w:tr>
      <w:tr w:rsidR="006621BE" w:rsidRPr="00582A32" w14:paraId="39EFB255" w14:textId="77777777" w:rsidTr="00D102CF">
        <w:tc>
          <w:tcPr>
            <w:tcW w:w="993" w:type="dxa"/>
          </w:tcPr>
          <w:p w14:paraId="79563C1D"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3</w:t>
            </w:r>
          </w:p>
        </w:tc>
        <w:tc>
          <w:tcPr>
            <w:tcW w:w="4253" w:type="dxa"/>
          </w:tcPr>
          <w:p w14:paraId="7C4D16F3" w14:textId="77777777" w:rsidR="006621BE" w:rsidRPr="00582A32" w:rsidRDefault="006621BE" w:rsidP="00EF5AF2">
            <w:pPr>
              <w:tabs>
                <w:tab w:val="left" w:pos="875"/>
              </w:tabs>
              <w:ind w:right="-50"/>
              <w:jc w:val="both"/>
              <w:rPr>
                <w:rFonts w:ascii="Arial" w:hAnsi="Arial" w:cs="Arial"/>
                <w:b/>
              </w:rPr>
            </w:pPr>
            <w:r w:rsidRPr="00582A32">
              <w:rPr>
                <w:rFonts w:ascii="Arial" w:hAnsi="Arial" w:cs="Arial"/>
                <w:b/>
              </w:rPr>
              <w:t>Soporte a la plataforma:</w:t>
            </w:r>
          </w:p>
        </w:tc>
        <w:tc>
          <w:tcPr>
            <w:tcW w:w="5244" w:type="dxa"/>
          </w:tcPr>
          <w:p w14:paraId="34765034"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En algunas ocasiones comunicarse con las líneas de soporte y conseguir que le solucionen el inconveniente se vuelve un poco engorroso y se podría mejorar en los tiempos que se demoran en solucionar estos inconvenientes telefónicamente.</w:t>
            </w:r>
          </w:p>
        </w:tc>
      </w:tr>
      <w:tr w:rsidR="006621BE" w:rsidRPr="00582A32" w14:paraId="07832C90" w14:textId="77777777" w:rsidTr="00D102CF">
        <w:tc>
          <w:tcPr>
            <w:tcW w:w="993" w:type="dxa"/>
          </w:tcPr>
          <w:p w14:paraId="3B993FBF" w14:textId="77777777" w:rsidR="006621BE" w:rsidRPr="00582A32" w:rsidRDefault="006621BE" w:rsidP="00EF5AF2">
            <w:pPr>
              <w:tabs>
                <w:tab w:val="left" w:pos="875"/>
              </w:tabs>
              <w:ind w:right="-50"/>
              <w:jc w:val="center"/>
              <w:rPr>
                <w:rFonts w:ascii="Arial" w:hAnsi="Arial" w:cs="Arial"/>
                <w:b/>
              </w:rPr>
            </w:pPr>
            <w:r w:rsidRPr="00582A32">
              <w:rPr>
                <w:rFonts w:ascii="Arial" w:hAnsi="Arial" w:cs="Arial"/>
                <w:b/>
              </w:rPr>
              <w:t>4</w:t>
            </w:r>
          </w:p>
        </w:tc>
        <w:tc>
          <w:tcPr>
            <w:tcW w:w="4253" w:type="dxa"/>
          </w:tcPr>
          <w:p w14:paraId="012F4633" w14:textId="77777777" w:rsidR="006621BE" w:rsidRPr="00582A32" w:rsidRDefault="006621BE" w:rsidP="00EF5AF2">
            <w:pPr>
              <w:tabs>
                <w:tab w:val="left" w:pos="875"/>
              </w:tabs>
              <w:ind w:right="-50"/>
              <w:jc w:val="both"/>
              <w:rPr>
                <w:rFonts w:ascii="Arial" w:hAnsi="Arial" w:cs="Arial"/>
                <w:b/>
              </w:rPr>
            </w:pPr>
            <w:r w:rsidRPr="00582A32">
              <w:rPr>
                <w:rFonts w:ascii="Arial" w:hAnsi="Arial" w:cs="Arial"/>
                <w:b/>
              </w:rPr>
              <w:t>Otras:</w:t>
            </w:r>
          </w:p>
        </w:tc>
        <w:tc>
          <w:tcPr>
            <w:tcW w:w="5244" w:type="dxa"/>
          </w:tcPr>
          <w:p w14:paraId="0DA4D4C4" w14:textId="77777777" w:rsidR="006621BE" w:rsidRPr="00582A32" w:rsidRDefault="006621BE" w:rsidP="00EF5AF2">
            <w:pPr>
              <w:tabs>
                <w:tab w:val="left" w:pos="875"/>
              </w:tabs>
              <w:ind w:right="-50"/>
              <w:jc w:val="both"/>
              <w:rPr>
                <w:rFonts w:ascii="Arial" w:hAnsi="Arial" w:cs="Arial"/>
              </w:rPr>
            </w:pPr>
            <w:r w:rsidRPr="00582A32">
              <w:rPr>
                <w:rFonts w:ascii="Arial" w:hAnsi="Arial" w:cs="Arial"/>
              </w:rPr>
              <w:t>Durante la Vigencia fiscal se presentó lentitud en el ingreso al sistema SIIF Nación.</w:t>
            </w:r>
          </w:p>
        </w:tc>
      </w:tr>
    </w:tbl>
    <w:p w14:paraId="4E51489F" w14:textId="77777777" w:rsidR="006621BE" w:rsidRDefault="006621BE" w:rsidP="006621BE">
      <w:pPr>
        <w:ind w:left="-284" w:right="49"/>
        <w:jc w:val="both"/>
        <w:rPr>
          <w:rFonts w:ascii="Arial" w:hAnsi="Arial" w:cs="Arial"/>
          <w:b/>
          <w:sz w:val="24"/>
          <w:szCs w:val="24"/>
          <w:lang w:val="es-MX"/>
        </w:rPr>
      </w:pPr>
    </w:p>
    <w:p w14:paraId="1F5BD5B7" w14:textId="77777777" w:rsidR="006621BE" w:rsidRPr="00FA6653" w:rsidRDefault="006621BE" w:rsidP="00D102CF">
      <w:pPr>
        <w:pStyle w:val="Textoindependiente"/>
        <w:ind w:left="-284" w:right="-234"/>
        <w:jc w:val="both"/>
        <w:rPr>
          <w:rFonts w:ascii="Arial" w:hAnsi="Arial" w:cs="Arial"/>
          <w:b/>
          <w:sz w:val="24"/>
          <w:szCs w:val="24"/>
          <w:u w:val="single"/>
        </w:rPr>
      </w:pPr>
      <w:r w:rsidRPr="00FA6653">
        <w:rPr>
          <w:rFonts w:ascii="Arial" w:hAnsi="Arial" w:cs="Arial"/>
          <w:b/>
          <w:sz w:val="24"/>
          <w:szCs w:val="24"/>
        </w:rPr>
        <w:t xml:space="preserve">DE LAS NOTAS DE CARÁCTER GENERAL – Limitaciones y Deficiencias que inciden en el </w:t>
      </w:r>
      <w:r w:rsidRPr="00FA6653">
        <w:rPr>
          <w:rFonts w:ascii="Arial" w:hAnsi="Arial" w:cs="Arial"/>
          <w:b/>
          <w:sz w:val="24"/>
          <w:szCs w:val="24"/>
        </w:rPr>
        <w:lastRenderedPageBreak/>
        <w:t xml:space="preserve">Proceso Contable y Operativo – Integralidad del Sistema a Nivel Contable: </w:t>
      </w:r>
      <w:r w:rsidRPr="00FA6653">
        <w:rPr>
          <w:rFonts w:ascii="Arial" w:hAnsi="Arial" w:cs="Arial"/>
          <w:sz w:val="24"/>
          <w:szCs w:val="24"/>
        </w:rPr>
        <w:t xml:space="preserve">El Sistema Integrado de Información Financiera - SIIF NACION II, brinda a Minciencias seguridad y transparencia en la gestión y ejecución del Presupuesto General de la Nación; </w:t>
      </w:r>
      <w:r w:rsidRPr="00FA6653">
        <w:rPr>
          <w:rFonts w:ascii="Arial" w:hAnsi="Arial" w:cs="Arial"/>
          <w:b/>
          <w:sz w:val="24"/>
          <w:szCs w:val="24"/>
          <w:u w:val="single"/>
        </w:rPr>
        <w:t>sin embargo, el sistema no cuenta con los módulos de propiedad, planta y equipo, nómina y seguridad social, y cartera específica aplicable al Ministerio, por lo que se hace necesario acceder a aplicativos complementarios de apoyo para el control de cada uno de ellos, aspecto que limita la oportunidad y eficacia de seguimiento a las operaciones relacionadas con mencionados aplicativos</w:t>
      </w:r>
      <w:r w:rsidRPr="00FA6653">
        <w:rPr>
          <w:rFonts w:ascii="Arial" w:hAnsi="Arial" w:cs="Arial"/>
          <w:sz w:val="24"/>
          <w:szCs w:val="24"/>
        </w:rPr>
        <w:t xml:space="preserve">. </w:t>
      </w:r>
      <w:r w:rsidRPr="00FA6653">
        <w:rPr>
          <w:rFonts w:ascii="Arial" w:hAnsi="Arial" w:cs="Arial"/>
          <w:b/>
          <w:sz w:val="24"/>
          <w:szCs w:val="24"/>
          <w:u w:val="single"/>
        </w:rPr>
        <w:t>Adicional a esto, se realizan registros manuales de litigios y demandas, provisiones de nómina, amortizaciones, depreciación, entre otros.</w:t>
      </w:r>
    </w:p>
    <w:p w14:paraId="21229676" w14:textId="77777777" w:rsidR="006621BE" w:rsidRPr="00FA6653" w:rsidRDefault="006621BE" w:rsidP="00D102CF">
      <w:pPr>
        <w:pStyle w:val="Textoindependiente"/>
        <w:ind w:left="-284" w:right="-234" w:firstLine="284"/>
        <w:jc w:val="both"/>
        <w:rPr>
          <w:rFonts w:ascii="Arial" w:hAnsi="Arial" w:cs="Arial"/>
          <w:b/>
          <w:sz w:val="24"/>
          <w:szCs w:val="24"/>
          <w:u w:val="single"/>
        </w:rPr>
      </w:pPr>
    </w:p>
    <w:p w14:paraId="46F3038F" w14:textId="77777777" w:rsidR="006621BE" w:rsidRPr="00FA6653" w:rsidRDefault="006621BE" w:rsidP="00D102CF">
      <w:pPr>
        <w:pStyle w:val="Textoindependiente"/>
        <w:ind w:left="-284" w:right="-234"/>
        <w:jc w:val="both"/>
        <w:rPr>
          <w:rFonts w:ascii="Arial" w:hAnsi="Arial" w:cs="Arial"/>
          <w:sz w:val="24"/>
          <w:szCs w:val="24"/>
        </w:rPr>
      </w:pPr>
      <w:r w:rsidRPr="00FA6653">
        <w:rPr>
          <w:rFonts w:ascii="Arial" w:hAnsi="Arial" w:cs="Arial"/>
          <w:b/>
          <w:sz w:val="24"/>
          <w:szCs w:val="24"/>
          <w:u w:val="single"/>
        </w:rPr>
        <w:t>Por otra parte, se mantiene la anotación relativa a la redundancia operativa que se genera en el proceso de reconocimiento de obligaciones presupuestales en el Sistema Integrado de Información Financiera – SIIF NACION II, ya que en esencia se diligencia la misma información, situación que incrementa los tiempos de trámite de las obligaciones a cargo de la entidad</w:t>
      </w:r>
      <w:r w:rsidRPr="00FA6653">
        <w:rPr>
          <w:rFonts w:ascii="Arial" w:hAnsi="Arial" w:cs="Arial"/>
          <w:sz w:val="24"/>
          <w:szCs w:val="24"/>
        </w:rPr>
        <w:t xml:space="preserve">. Dichas actividades son: </w:t>
      </w:r>
    </w:p>
    <w:p w14:paraId="73DC64DB" w14:textId="77777777" w:rsidR="006621BE" w:rsidRPr="00FA6653" w:rsidRDefault="006621BE" w:rsidP="00D102CF">
      <w:pPr>
        <w:pStyle w:val="Textoindependiente"/>
        <w:ind w:left="-284" w:right="-234" w:firstLine="284"/>
        <w:jc w:val="both"/>
        <w:rPr>
          <w:rFonts w:ascii="Arial" w:hAnsi="Arial" w:cs="Arial"/>
          <w:sz w:val="24"/>
          <w:szCs w:val="24"/>
        </w:rPr>
      </w:pPr>
    </w:p>
    <w:p w14:paraId="69161294" w14:textId="77777777" w:rsidR="006621BE" w:rsidRPr="00FA6653" w:rsidRDefault="006621BE" w:rsidP="00D102CF">
      <w:pPr>
        <w:pStyle w:val="Textoindependiente"/>
        <w:ind w:left="-284" w:right="-234" w:firstLine="284"/>
        <w:jc w:val="both"/>
        <w:rPr>
          <w:rFonts w:ascii="Arial" w:hAnsi="Arial" w:cs="Arial"/>
          <w:sz w:val="24"/>
          <w:szCs w:val="24"/>
        </w:rPr>
      </w:pPr>
      <w:r w:rsidRPr="00FA6653">
        <w:rPr>
          <w:rFonts w:ascii="Arial" w:hAnsi="Arial" w:cs="Arial"/>
          <w:sz w:val="24"/>
          <w:szCs w:val="24"/>
        </w:rPr>
        <w:t xml:space="preserve">• Registro de documentos soporte o cuenta por pagar y </w:t>
      </w:r>
    </w:p>
    <w:p w14:paraId="0ED39CB3" w14:textId="77777777" w:rsidR="006621BE" w:rsidRPr="00FA6653" w:rsidRDefault="006621BE" w:rsidP="00D102CF">
      <w:pPr>
        <w:pStyle w:val="Textoindependiente"/>
        <w:ind w:left="-284" w:right="-234" w:firstLine="284"/>
        <w:jc w:val="both"/>
        <w:rPr>
          <w:rFonts w:ascii="Arial" w:hAnsi="Arial" w:cs="Arial"/>
          <w:sz w:val="24"/>
          <w:szCs w:val="24"/>
        </w:rPr>
      </w:pPr>
      <w:r w:rsidRPr="00FA6653">
        <w:rPr>
          <w:rFonts w:ascii="Arial" w:hAnsi="Arial" w:cs="Arial"/>
          <w:sz w:val="24"/>
          <w:szCs w:val="24"/>
        </w:rPr>
        <w:t xml:space="preserve">• Registro de obligaciones presupuestales </w:t>
      </w:r>
    </w:p>
    <w:p w14:paraId="672F25D7" w14:textId="77777777" w:rsidR="006621BE" w:rsidRPr="00FA6653" w:rsidRDefault="006621BE" w:rsidP="00D102CF">
      <w:pPr>
        <w:pStyle w:val="Textoindependiente"/>
        <w:ind w:left="-284" w:right="-234" w:firstLine="284"/>
        <w:jc w:val="both"/>
        <w:rPr>
          <w:rFonts w:ascii="Arial" w:hAnsi="Arial" w:cs="Arial"/>
          <w:sz w:val="24"/>
          <w:szCs w:val="24"/>
        </w:rPr>
      </w:pPr>
    </w:p>
    <w:p w14:paraId="16CB8665" w14:textId="77777777" w:rsidR="006621BE" w:rsidRPr="00FA6653" w:rsidRDefault="006621BE" w:rsidP="00D102CF">
      <w:pPr>
        <w:pStyle w:val="Textoindependiente"/>
        <w:ind w:left="-284" w:right="-234"/>
        <w:jc w:val="both"/>
        <w:rPr>
          <w:rFonts w:ascii="Arial" w:hAnsi="Arial" w:cs="Arial"/>
          <w:b/>
          <w:sz w:val="24"/>
          <w:szCs w:val="24"/>
        </w:rPr>
      </w:pPr>
      <w:r w:rsidRPr="00FA6653">
        <w:rPr>
          <w:rFonts w:ascii="Arial" w:hAnsi="Arial" w:cs="Arial"/>
          <w:b/>
          <w:sz w:val="24"/>
          <w:szCs w:val="24"/>
          <w:u w:val="single"/>
        </w:rPr>
        <w:t>Otra deficiencia, es la imposibilidad de anular comprobantes contables dentro de un periodo determinado. Además, se requieren desarrollos en la generación de reportes, tanto nuevos como en los ya existentes, que permitan realizar de manera más eficiente y oportuna otros tipos de análisis y así poder dar mayor consistencia a las cifras de los estados financieros</w:t>
      </w:r>
      <w:r w:rsidRPr="00FA6653">
        <w:rPr>
          <w:rFonts w:ascii="Arial" w:hAnsi="Arial" w:cs="Arial"/>
          <w:sz w:val="24"/>
          <w:szCs w:val="24"/>
        </w:rPr>
        <w:t>.</w:t>
      </w:r>
    </w:p>
    <w:p w14:paraId="18EF89A4" w14:textId="77777777" w:rsidR="006621BE" w:rsidRDefault="006621BE" w:rsidP="00D102CF">
      <w:pPr>
        <w:ind w:left="-284" w:right="49" w:firstLine="284"/>
        <w:jc w:val="both"/>
        <w:rPr>
          <w:rFonts w:ascii="Arial" w:hAnsi="Arial" w:cs="Arial"/>
          <w:b/>
          <w:sz w:val="24"/>
          <w:szCs w:val="24"/>
          <w:lang w:val="es-MX"/>
        </w:rPr>
      </w:pPr>
    </w:p>
    <w:p w14:paraId="38800DDA" w14:textId="33078F55" w:rsidR="006621BE" w:rsidRDefault="006621BE" w:rsidP="00D102CF">
      <w:pPr>
        <w:ind w:left="-284"/>
        <w:jc w:val="both"/>
        <w:rPr>
          <w:rFonts w:ascii="Arial" w:hAnsi="Arial" w:cs="Arial"/>
          <w:b/>
          <w:sz w:val="28"/>
          <w:szCs w:val="28"/>
          <w:lang w:val="es-MX"/>
        </w:rPr>
      </w:pPr>
      <w:r w:rsidRPr="00D55E3E">
        <w:rPr>
          <w:rFonts w:ascii="Arial" w:hAnsi="Arial" w:cs="Arial"/>
          <w:b/>
          <w:sz w:val="28"/>
          <w:szCs w:val="28"/>
          <w:lang w:val="es-MX"/>
        </w:rPr>
        <w:t xml:space="preserve">223.- </w:t>
      </w:r>
      <w:r w:rsidRPr="00D55E3E">
        <w:rPr>
          <w:rFonts w:ascii="Arial" w:hAnsi="Arial" w:cs="Arial"/>
          <w:b/>
          <w:sz w:val="28"/>
          <w:szCs w:val="28"/>
        </w:rPr>
        <w:t>INSTITUTO NACIONAL PENITENCIARIO Y CARCELARIO – INPEC</w:t>
      </w:r>
      <w:r w:rsidRPr="00D55E3E">
        <w:rPr>
          <w:rFonts w:ascii="Arial" w:hAnsi="Arial" w:cs="Arial"/>
          <w:b/>
          <w:sz w:val="28"/>
          <w:szCs w:val="28"/>
          <w:lang w:val="es-MX"/>
        </w:rPr>
        <w:t>.</w:t>
      </w:r>
    </w:p>
    <w:p w14:paraId="44128C31" w14:textId="16990540" w:rsidR="00D102CF" w:rsidRDefault="00D102CF" w:rsidP="00D102CF">
      <w:pPr>
        <w:ind w:left="-284"/>
        <w:jc w:val="both"/>
        <w:rPr>
          <w:rFonts w:ascii="Arial" w:hAnsi="Arial" w:cs="Arial"/>
          <w:b/>
          <w:sz w:val="28"/>
          <w:szCs w:val="28"/>
          <w:lang w:val="es-MX"/>
        </w:rPr>
      </w:pPr>
    </w:p>
    <w:tbl>
      <w:tblPr>
        <w:tblStyle w:val="Tablaconcuadrcula"/>
        <w:tblW w:w="10485" w:type="dxa"/>
        <w:tblInd w:w="-284" w:type="dxa"/>
        <w:tblLook w:val="04A0" w:firstRow="1" w:lastRow="0" w:firstColumn="1" w:lastColumn="0" w:noHBand="0" w:noVBand="1"/>
      </w:tblPr>
      <w:tblGrid>
        <w:gridCol w:w="988"/>
        <w:gridCol w:w="4253"/>
        <w:gridCol w:w="5244"/>
      </w:tblGrid>
      <w:tr w:rsidR="00D102CF" w14:paraId="6CA60476" w14:textId="77777777" w:rsidTr="00D102CF">
        <w:tc>
          <w:tcPr>
            <w:tcW w:w="988" w:type="dxa"/>
          </w:tcPr>
          <w:p w14:paraId="112C1E03" w14:textId="25A42A39" w:rsidR="00D102CF" w:rsidRPr="00D102CF" w:rsidRDefault="00D102CF" w:rsidP="00D102CF">
            <w:pPr>
              <w:jc w:val="center"/>
              <w:rPr>
                <w:rFonts w:ascii="Arial" w:hAnsi="Arial" w:cs="Arial"/>
                <w:b/>
                <w:lang w:val="es-MX"/>
              </w:rPr>
            </w:pPr>
            <w:r w:rsidRPr="00936EC5">
              <w:rPr>
                <w:rFonts w:ascii="Arial" w:hAnsi="Arial" w:cs="Arial"/>
                <w:b/>
              </w:rPr>
              <w:t>N°</w:t>
            </w:r>
          </w:p>
        </w:tc>
        <w:tc>
          <w:tcPr>
            <w:tcW w:w="4253" w:type="dxa"/>
          </w:tcPr>
          <w:p w14:paraId="25F49025" w14:textId="77777777" w:rsidR="00D102CF" w:rsidRPr="00936EC5" w:rsidRDefault="00D102CF" w:rsidP="00D102CF">
            <w:pPr>
              <w:tabs>
                <w:tab w:val="left" w:pos="875"/>
              </w:tabs>
              <w:ind w:right="-50"/>
              <w:jc w:val="center"/>
              <w:rPr>
                <w:rFonts w:ascii="Arial" w:hAnsi="Arial" w:cs="Arial"/>
                <w:b/>
              </w:rPr>
            </w:pPr>
            <w:r w:rsidRPr="00936EC5">
              <w:rPr>
                <w:rFonts w:ascii="Arial" w:hAnsi="Arial" w:cs="Arial"/>
                <w:b/>
              </w:rPr>
              <w:t>Limitaciones del Sistema SIIF II Nación a 31/12/2024</w:t>
            </w:r>
          </w:p>
          <w:p w14:paraId="64881DDF" w14:textId="77777777" w:rsidR="00D102CF" w:rsidRPr="00D102CF" w:rsidRDefault="00D102CF" w:rsidP="00D102CF">
            <w:pPr>
              <w:jc w:val="center"/>
              <w:rPr>
                <w:rFonts w:ascii="Arial" w:hAnsi="Arial" w:cs="Arial"/>
                <w:b/>
                <w:lang w:val="es-MX"/>
              </w:rPr>
            </w:pPr>
          </w:p>
        </w:tc>
        <w:tc>
          <w:tcPr>
            <w:tcW w:w="5244" w:type="dxa"/>
          </w:tcPr>
          <w:p w14:paraId="54EEEA79" w14:textId="324AA133" w:rsidR="00D102CF" w:rsidRPr="00D102CF" w:rsidRDefault="00D102CF" w:rsidP="00D102CF">
            <w:pPr>
              <w:jc w:val="center"/>
              <w:rPr>
                <w:rFonts w:ascii="Arial" w:hAnsi="Arial" w:cs="Arial"/>
                <w:b/>
                <w:lang w:val="es-MX"/>
              </w:rPr>
            </w:pPr>
            <w:r w:rsidRPr="00936EC5">
              <w:rPr>
                <w:rFonts w:ascii="Arial" w:hAnsi="Arial" w:cs="Arial"/>
                <w:b/>
              </w:rPr>
              <w:t>Descripción de la limitación</w:t>
            </w:r>
          </w:p>
        </w:tc>
      </w:tr>
      <w:tr w:rsidR="00D102CF" w14:paraId="18A6DFFB" w14:textId="77777777" w:rsidTr="00D102CF">
        <w:tc>
          <w:tcPr>
            <w:tcW w:w="988" w:type="dxa"/>
          </w:tcPr>
          <w:p w14:paraId="38062146" w14:textId="02F0BD47" w:rsidR="00D102CF" w:rsidRPr="00D102CF" w:rsidRDefault="00D102CF" w:rsidP="00D102CF">
            <w:pPr>
              <w:jc w:val="center"/>
              <w:rPr>
                <w:rFonts w:ascii="Arial" w:hAnsi="Arial" w:cs="Arial"/>
                <w:b/>
                <w:lang w:val="es-MX"/>
              </w:rPr>
            </w:pPr>
            <w:r w:rsidRPr="00936EC5">
              <w:rPr>
                <w:rFonts w:ascii="Arial" w:hAnsi="Arial" w:cs="Arial"/>
                <w:b/>
              </w:rPr>
              <w:t>1</w:t>
            </w:r>
          </w:p>
        </w:tc>
        <w:tc>
          <w:tcPr>
            <w:tcW w:w="4253" w:type="dxa"/>
          </w:tcPr>
          <w:p w14:paraId="5E373E63" w14:textId="6899F39B" w:rsidR="00D102CF" w:rsidRPr="00D102CF" w:rsidRDefault="00D102CF" w:rsidP="00D102CF">
            <w:pPr>
              <w:jc w:val="both"/>
              <w:rPr>
                <w:rFonts w:ascii="Arial" w:hAnsi="Arial" w:cs="Arial"/>
                <w:b/>
                <w:lang w:val="es-MX"/>
              </w:rPr>
            </w:pPr>
            <w:r w:rsidRPr="00936EC5">
              <w:rPr>
                <w:rFonts w:ascii="Arial" w:hAnsi="Arial" w:cs="Arial"/>
                <w:b/>
              </w:rPr>
              <w:t>Administrativas:</w:t>
            </w:r>
          </w:p>
        </w:tc>
        <w:tc>
          <w:tcPr>
            <w:tcW w:w="5244" w:type="dxa"/>
          </w:tcPr>
          <w:p w14:paraId="75235E98"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La información plasmada en los estados financieros ha estado sujeta a registros manuales, reclasificaciones y ajustes permanentes, toda vez que, el aplicativo SIIF Nación no ha desarrollado los módulos de nómina, bienes y servicios y costos entre otros.  La información contable está sujeta a reclasificaciones y ajustes, toda vez que la parametrización es elaborada por la Contaduría General de la Nación, es decir, es de carácter general; se ha evidenciado al generar algunos registros automáticos, que se afectan cuentas contables que no corresponden, ocasionando inconsistencias en las trazas contables.</w:t>
            </w:r>
          </w:p>
          <w:p w14:paraId="08615281" w14:textId="68F0E387" w:rsidR="00D102CF" w:rsidRPr="00D102CF" w:rsidRDefault="00D102CF" w:rsidP="00D102CF">
            <w:pPr>
              <w:jc w:val="both"/>
              <w:rPr>
                <w:rFonts w:ascii="Arial" w:hAnsi="Arial" w:cs="Arial"/>
                <w:b/>
                <w:lang w:val="es-MX"/>
              </w:rPr>
            </w:pPr>
            <w:r w:rsidRPr="00936EC5">
              <w:rPr>
                <w:rFonts w:ascii="Arial" w:hAnsi="Arial" w:cs="Arial"/>
              </w:rPr>
              <w:t>La información contable está sujeta a reclasificaciones y ajustes, toda vez que la parametrización es elaborada por la Contaduría General de la Nación, es decir, es de carácter general; Se ha evidenciado al generar algunos registros automáticos, que se afectan cuentas contables que no corresponden, ocasionando inconsistencias en las trazas contables.</w:t>
            </w:r>
          </w:p>
        </w:tc>
      </w:tr>
      <w:tr w:rsidR="00D102CF" w14:paraId="33E025E2" w14:textId="77777777" w:rsidTr="00D102CF">
        <w:tc>
          <w:tcPr>
            <w:tcW w:w="988" w:type="dxa"/>
          </w:tcPr>
          <w:p w14:paraId="54EB4DBD" w14:textId="6153AC4E" w:rsidR="00D102CF" w:rsidRPr="00D102CF" w:rsidRDefault="00D102CF" w:rsidP="00D102CF">
            <w:pPr>
              <w:jc w:val="center"/>
              <w:rPr>
                <w:rFonts w:ascii="Arial" w:hAnsi="Arial" w:cs="Arial"/>
                <w:b/>
                <w:lang w:val="es-MX"/>
              </w:rPr>
            </w:pPr>
            <w:r w:rsidRPr="00936EC5">
              <w:rPr>
                <w:rFonts w:ascii="Arial" w:hAnsi="Arial" w:cs="Arial"/>
                <w:b/>
              </w:rPr>
              <w:t>2</w:t>
            </w:r>
          </w:p>
        </w:tc>
        <w:tc>
          <w:tcPr>
            <w:tcW w:w="4253" w:type="dxa"/>
          </w:tcPr>
          <w:p w14:paraId="62123648" w14:textId="62061742" w:rsidR="00D102CF" w:rsidRPr="00D102CF" w:rsidRDefault="00D102CF" w:rsidP="00D102CF">
            <w:pPr>
              <w:jc w:val="both"/>
              <w:rPr>
                <w:rFonts w:ascii="Arial" w:hAnsi="Arial" w:cs="Arial"/>
                <w:b/>
                <w:lang w:val="es-MX"/>
              </w:rPr>
            </w:pPr>
            <w:r w:rsidRPr="00936EC5">
              <w:rPr>
                <w:rFonts w:ascii="Arial" w:hAnsi="Arial" w:cs="Arial"/>
                <w:b/>
              </w:rPr>
              <w:t>Operativas:</w:t>
            </w:r>
          </w:p>
        </w:tc>
        <w:tc>
          <w:tcPr>
            <w:tcW w:w="5244" w:type="dxa"/>
          </w:tcPr>
          <w:p w14:paraId="1EB72089"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Presenta restricción para generar el reporte por periodos superiores a un mes, dificultando la consolidación de una cuenta denominada para agilizar el análisis contable.</w:t>
            </w:r>
          </w:p>
          <w:p w14:paraId="7267EE46" w14:textId="77777777" w:rsidR="00D102CF" w:rsidRPr="00936EC5" w:rsidRDefault="00D102CF" w:rsidP="00D102CF">
            <w:pPr>
              <w:tabs>
                <w:tab w:val="left" w:pos="875"/>
              </w:tabs>
              <w:ind w:right="-50"/>
              <w:jc w:val="both"/>
              <w:rPr>
                <w:rFonts w:ascii="Arial" w:hAnsi="Arial" w:cs="Arial"/>
              </w:rPr>
            </w:pPr>
          </w:p>
          <w:p w14:paraId="182CF0B6" w14:textId="53AD172D" w:rsidR="00D102CF" w:rsidRPr="00936EC5" w:rsidRDefault="00D102CF" w:rsidP="00D102CF">
            <w:pPr>
              <w:tabs>
                <w:tab w:val="left" w:pos="875"/>
              </w:tabs>
              <w:ind w:right="-50"/>
              <w:jc w:val="both"/>
              <w:rPr>
                <w:rFonts w:ascii="Arial" w:hAnsi="Arial" w:cs="Arial"/>
              </w:rPr>
            </w:pPr>
            <w:r w:rsidRPr="00936EC5">
              <w:rPr>
                <w:rFonts w:ascii="Arial" w:hAnsi="Arial" w:cs="Arial"/>
              </w:rPr>
              <w:t xml:space="preserve">Los reportes del SIIF exógena, saldos y movimientos, </w:t>
            </w:r>
            <w:r w:rsidRPr="00936EC5">
              <w:rPr>
                <w:rFonts w:ascii="Arial" w:hAnsi="Arial" w:cs="Arial"/>
              </w:rPr>
              <w:lastRenderedPageBreak/>
              <w:t xml:space="preserve">libro diario, reporte auxiliar contable por PCI y detallado, </w:t>
            </w:r>
            <w:r w:rsidR="00770CAC" w:rsidRPr="00936EC5">
              <w:rPr>
                <w:rFonts w:ascii="Arial" w:hAnsi="Arial" w:cs="Arial"/>
              </w:rPr>
              <w:t>etc.</w:t>
            </w:r>
            <w:r w:rsidRPr="00936EC5">
              <w:rPr>
                <w:rFonts w:ascii="Arial" w:hAnsi="Arial" w:cs="Arial"/>
              </w:rPr>
              <w:t>, al exportarlos a Excel para el análisis hay que convertirlos en número entero con l riesgo de que el valor se modifique.</w:t>
            </w:r>
          </w:p>
          <w:p w14:paraId="0F1B4492" w14:textId="77777777" w:rsidR="00D102CF" w:rsidRPr="00936EC5" w:rsidRDefault="00D102CF" w:rsidP="00D102CF">
            <w:pPr>
              <w:tabs>
                <w:tab w:val="left" w:pos="875"/>
              </w:tabs>
              <w:ind w:right="-50"/>
              <w:jc w:val="both"/>
              <w:rPr>
                <w:rFonts w:ascii="Arial" w:hAnsi="Arial" w:cs="Arial"/>
              </w:rPr>
            </w:pPr>
          </w:p>
          <w:p w14:paraId="24224F56"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El reporte libro auxiliar detallado no permite visualizar el documento fuente, solo el comprobante contable lo que hace dispendioso la búsqueda de un documento.</w:t>
            </w:r>
          </w:p>
          <w:p w14:paraId="534A55DB" w14:textId="77777777" w:rsidR="00D102CF" w:rsidRPr="00936EC5" w:rsidRDefault="00D102CF" w:rsidP="00D102CF">
            <w:pPr>
              <w:tabs>
                <w:tab w:val="left" w:pos="875"/>
              </w:tabs>
              <w:ind w:right="-50"/>
              <w:jc w:val="both"/>
              <w:rPr>
                <w:rFonts w:ascii="Arial" w:hAnsi="Arial" w:cs="Arial"/>
              </w:rPr>
            </w:pPr>
          </w:p>
          <w:p w14:paraId="65CC9490"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En el reporte de libro diario no existe un campo que indique el número de documento de recaudo por clasificar que se esté afectando, toda vez que es complejo identificar los valores que afectan el DRXC. Además, en este reporte no existe un campo con descripción de los documentos, lo cual hace más dispendioso su búsqueda.</w:t>
            </w:r>
          </w:p>
          <w:p w14:paraId="746C48A1" w14:textId="77777777" w:rsidR="00D102CF" w:rsidRPr="00936EC5" w:rsidRDefault="00D102CF" w:rsidP="00D102CF">
            <w:pPr>
              <w:tabs>
                <w:tab w:val="left" w:pos="875"/>
              </w:tabs>
              <w:ind w:right="-50"/>
              <w:jc w:val="both"/>
              <w:rPr>
                <w:rFonts w:ascii="Arial" w:hAnsi="Arial" w:cs="Arial"/>
              </w:rPr>
            </w:pPr>
          </w:p>
          <w:p w14:paraId="792B2D0A"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Reportes:</w:t>
            </w:r>
          </w:p>
          <w:p w14:paraId="086BCFD9" w14:textId="77777777" w:rsidR="00D102CF" w:rsidRPr="00936EC5" w:rsidRDefault="00D102CF" w:rsidP="00D102CF">
            <w:pPr>
              <w:tabs>
                <w:tab w:val="left" w:pos="875"/>
              </w:tabs>
              <w:ind w:right="-50"/>
              <w:jc w:val="both"/>
              <w:rPr>
                <w:rFonts w:ascii="Arial" w:hAnsi="Arial" w:cs="Arial"/>
              </w:rPr>
            </w:pPr>
          </w:p>
          <w:p w14:paraId="2B116B02"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Reportes de acreedores varios: No figura el número de documento de recaudo por clasificar afectado.</w:t>
            </w:r>
          </w:p>
          <w:p w14:paraId="564307E3" w14:textId="77777777" w:rsidR="00D102CF" w:rsidRPr="00936EC5" w:rsidRDefault="00D102CF" w:rsidP="00D102CF">
            <w:pPr>
              <w:tabs>
                <w:tab w:val="left" w:pos="875"/>
              </w:tabs>
              <w:ind w:right="-50"/>
              <w:jc w:val="both"/>
              <w:rPr>
                <w:rFonts w:ascii="Arial" w:hAnsi="Arial" w:cs="Arial"/>
              </w:rPr>
            </w:pPr>
          </w:p>
          <w:p w14:paraId="64927956"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Los reportes contables generados por el sistema SIIF para el análisis de la información presentan restricción en la generación por periodos mensuales y por horarios, dificultando la consulta y análisis de las cuentas que conforman los estados financieros de la entidad.</w:t>
            </w:r>
          </w:p>
          <w:p w14:paraId="6245CB55"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 xml:space="preserve">Registro de obligaciones: </w:t>
            </w:r>
          </w:p>
          <w:p w14:paraId="2A9655B8" w14:textId="77777777" w:rsidR="00D102CF" w:rsidRPr="00936EC5" w:rsidRDefault="00D102CF" w:rsidP="00D102CF">
            <w:pPr>
              <w:tabs>
                <w:tab w:val="left" w:pos="875"/>
              </w:tabs>
              <w:ind w:right="-50"/>
              <w:jc w:val="both"/>
              <w:rPr>
                <w:rFonts w:ascii="Arial" w:hAnsi="Arial" w:cs="Arial"/>
              </w:rPr>
            </w:pPr>
            <w:r w:rsidRPr="00936EC5">
              <w:rPr>
                <w:rFonts w:ascii="Arial" w:hAnsi="Arial" w:cs="Arial"/>
              </w:rPr>
              <w:t>Al hacer el registro de obligaciones, no permite cambiar la cuenta contable toda vez que son registros automáticos, por lo tanto, se convierte en una contabilidad manual, debiéndose hacer los ajustes por medio de comprobantes contables manuales en su mayoría.</w:t>
            </w:r>
          </w:p>
          <w:p w14:paraId="64634584" w14:textId="77777777" w:rsidR="00D102CF" w:rsidRPr="00936EC5" w:rsidRDefault="00D102CF" w:rsidP="00D102CF">
            <w:pPr>
              <w:tabs>
                <w:tab w:val="left" w:pos="875"/>
              </w:tabs>
              <w:ind w:right="-50"/>
              <w:jc w:val="both"/>
              <w:rPr>
                <w:rFonts w:ascii="Arial" w:hAnsi="Arial" w:cs="Arial"/>
              </w:rPr>
            </w:pPr>
          </w:p>
          <w:p w14:paraId="6FB95433" w14:textId="4F6EB258" w:rsidR="00D102CF" w:rsidRPr="00D102CF" w:rsidRDefault="00D102CF" w:rsidP="00D102CF">
            <w:pPr>
              <w:jc w:val="both"/>
              <w:rPr>
                <w:rFonts w:ascii="Arial" w:hAnsi="Arial" w:cs="Arial"/>
                <w:b/>
                <w:lang w:val="es-MX"/>
              </w:rPr>
            </w:pPr>
            <w:r w:rsidRPr="00936EC5">
              <w:rPr>
                <w:rFonts w:ascii="Arial" w:hAnsi="Arial" w:cs="Arial"/>
              </w:rPr>
              <w:t>Durante la vigencia 2022, se trabajaron los perfiles intermitentemente de acuerdo a instrucciones emitidas por los operadores del mismo SIIF, razón por la cual se vieron retrasados todos los procesos tanto presupuestales, contables y de pagaduría.</w:t>
            </w:r>
          </w:p>
        </w:tc>
      </w:tr>
      <w:tr w:rsidR="00D102CF" w14:paraId="2D536F85" w14:textId="77777777" w:rsidTr="00D102CF">
        <w:tc>
          <w:tcPr>
            <w:tcW w:w="988" w:type="dxa"/>
          </w:tcPr>
          <w:p w14:paraId="22BEE737" w14:textId="7CFCF028" w:rsidR="00D102CF" w:rsidRPr="00936EC5" w:rsidRDefault="00D102CF" w:rsidP="00D102CF">
            <w:pPr>
              <w:jc w:val="center"/>
              <w:rPr>
                <w:rFonts w:ascii="Arial" w:hAnsi="Arial" w:cs="Arial"/>
                <w:b/>
              </w:rPr>
            </w:pPr>
            <w:r w:rsidRPr="00936EC5">
              <w:rPr>
                <w:rFonts w:ascii="Arial" w:hAnsi="Arial" w:cs="Arial"/>
                <w:b/>
              </w:rPr>
              <w:lastRenderedPageBreak/>
              <w:t>3</w:t>
            </w:r>
          </w:p>
        </w:tc>
        <w:tc>
          <w:tcPr>
            <w:tcW w:w="4253" w:type="dxa"/>
          </w:tcPr>
          <w:p w14:paraId="10B8FD81" w14:textId="0E961842" w:rsidR="00D102CF" w:rsidRPr="00936EC5" w:rsidRDefault="00D102CF" w:rsidP="00D102CF">
            <w:pPr>
              <w:jc w:val="both"/>
              <w:rPr>
                <w:rFonts w:ascii="Arial" w:hAnsi="Arial" w:cs="Arial"/>
                <w:b/>
              </w:rPr>
            </w:pPr>
            <w:r w:rsidRPr="00936EC5">
              <w:rPr>
                <w:rFonts w:ascii="Arial" w:hAnsi="Arial" w:cs="Arial"/>
                <w:b/>
              </w:rPr>
              <w:t>Otras:</w:t>
            </w:r>
          </w:p>
        </w:tc>
        <w:tc>
          <w:tcPr>
            <w:tcW w:w="5244" w:type="dxa"/>
          </w:tcPr>
          <w:p w14:paraId="23E1ED25" w14:textId="2F2D5AD8" w:rsidR="00D102CF" w:rsidRPr="00936EC5" w:rsidRDefault="00D102CF" w:rsidP="00D102CF">
            <w:pPr>
              <w:tabs>
                <w:tab w:val="left" w:pos="875"/>
              </w:tabs>
              <w:ind w:right="-50"/>
              <w:jc w:val="both"/>
              <w:rPr>
                <w:rFonts w:ascii="Arial" w:hAnsi="Arial" w:cs="Arial"/>
              </w:rPr>
            </w:pPr>
            <w:r w:rsidRPr="00936EC5">
              <w:rPr>
                <w:rFonts w:ascii="Arial" w:hAnsi="Arial" w:cs="Arial"/>
              </w:rPr>
              <w:t>A partir del mes de octubre de 2023 la CGN implementó la tipificación de comprobantes contables de acuerdo al tipo de operación, lo que dificultó el registro de los movimientos diarios, a pesar de las capacitaciones que realizó el SIIF Nación. Por otra parte, las operaciones correspondientes a vigencias anteriores quedaron habilitadas en el aplicativo SIIF únicamente para el perfil aprobador y consolidador, es decir, direcciones regionales y sede central, lo que dificulta el proceso de depuración de las cuentas del balance.</w:t>
            </w:r>
          </w:p>
        </w:tc>
      </w:tr>
    </w:tbl>
    <w:p w14:paraId="076B2CBD" w14:textId="77777777" w:rsidR="00D102CF" w:rsidRPr="00D55E3E" w:rsidRDefault="00D102CF" w:rsidP="00D102CF">
      <w:pPr>
        <w:ind w:left="-284"/>
        <w:jc w:val="both"/>
        <w:rPr>
          <w:rFonts w:ascii="Arial" w:hAnsi="Arial" w:cs="Arial"/>
          <w:b/>
          <w:sz w:val="28"/>
          <w:szCs w:val="28"/>
          <w:lang w:val="es-MX"/>
        </w:rPr>
      </w:pPr>
    </w:p>
    <w:p w14:paraId="47F3D7E7" w14:textId="77777777" w:rsidR="006621BE" w:rsidRPr="004C7766" w:rsidRDefault="006621BE" w:rsidP="00D102CF">
      <w:pPr>
        <w:pStyle w:val="Textoindependiente"/>
        <w:ind w:left="-284" w:right="-234"/>
        <w:jc w:val="both"/>
        <w:rPr>
          <w:rFonts w:ascii="Arial" w:hAnsi="Arial" w:cs="Arial"/>
          <w:sz w:val="24"/>
          <w:szCs w:val="24"/>
        </w:rPr>
      </w:pPr>
      <w:r w:rsidRPr="004C7766">
        <w:rPr>
          <w:rFonts w:ascii="Arial" w:hAnsi="Arial" w:cs="Arial"/>
          <w:b/>
          <w:sz w:val="24"/>
          <w:szCs w:val="24"/>
        </w:rPr>
        <w:t xml:space="preserve">NOTA 5. EFECTIVO Y EQUIVALENTES AL EFECTIVO – 5.1. Depósitos en Instituciones Financieras: </w:t>
      </w:r>
      <w:r w:rsidRPr="004C7766">
        <w:rPr>
          <w:rFonts w:ascii="Arial" w:hAnsi="Arial" w:cs="Arial"/>
          <w:sz w:val="24"/>
          <w:szCs w:val="24"/>
        </w:rPr>
        <w:t xml:space="preserve">El saldo de esta cuenta a 31 de diciembre de 2024 es por $169.856.695.811,90, está conformado por las cuentas bancarias, tanto corriente como de ahorro de la entidad, </w:t>
      </w:r>
      <w:r w:rsidRPr="004C7766">
        <w:rPr>
          <w:rFonts w:ascii="Arial" w:hAnsi="Arial" w:cs="Arial"/>
          <w:b/>
          <w:sz w:val="24"/>
          <w:szCs w:val="24"/>
          <w:u w:val="single"/>
        </w:rPr>
        <w:t>presentando partidas pendientes de depurar</w:t>
      </w:r>
      <w:r w:rsidRPr="004C7766">
        <w:rPr>
          <w:rFonts w:ascii="Arial" w:hAnsi="Arial" w:cs="Arial"/>
          <w:sz w:val="24"/>
          <w:szCs w:val="24"/>
        </w:rPr>
        <w:t>.</w:t>
      </w:r>
    </w:p>
    <w:p w14:paraId="70AE83EB" w14:textId="77777777" w:rsidR="006621BE" w:rsidRPr="004C7766" w:rsidRDefault="006621BE" w:rsidP="00D102CF">
      <w:pPr>
        <w:pStyle w:val="Textoindependiente"/>
        <w:ind w:left="-284" w:right="-234"/>
        <w:jc w:val="both"/>
        <w:rPr>
          <w:rFonts w:ascii="Arial" w:hAnsi="Arial" w:cs="Arial"/>
          <w:sz w:val="24"/>
          <w:szCs w:val="24"/>
        </w:rPr>
      </w:pPr>
    </w:p>
    <w:p w14:paraId="7207C7C1" w14:textId="77777777" w:rsidR="006621BE" w:rsidRPr="004C7766" w:rsidRDefault="006621BE" w:rsidP="00D102CF">
      <w:pPr>
        <w:pStyle w:val="Textoindependiente"/>
        <w:ind w:left="-284" w:right="-234"/>
        <w:jc w:val="both"/>
        <w:rPr>
          <w:rFonts w:ascii="Arial" w:hAnsi="Arial" w:cs="Arial"/>
          <w:sz w:val="24"/>
          <w:szCs w:val="24"/>
        </w:rPr>
      </w:pPr>
      <w:r w:rsidRPr="004C7766">
        <w:rPr>
          <w:rFonts w:ascii="Arial" w:hAnsi="Arial" w:cs="Arial"/>
          <w:sz w:val="24"/>
          <w:szCs w:val="24"/>
        </w:rPr>
        <w:t xml:space="preserve">Al cierre de la vigencia 2024 y según información suministrada por el grupo de tesorería, el INPEC tiene 823 cuentas corrientes y 8 de ahorro a nivel nacional que se encuentran activas, de las cuales </w:t>
      </w:r>
      <w:r w:rsidRPr="004C7766">
        <w:rPr>
          <w:rFonts w:ascii="Arial" w:hAnsi="Arial" w:cs="Arial"/>
          <w:sz w:val="24"/>
          <w:szCs w:val="24"/>
        </w:rPr>
        <w:lastRenderedPageBreak/>
        <w:t xml:space="preserve">16 corresponden a la sede central (11 corrientes y 4 de ahorros); los recursos de estas cuentas corresponden a recursos Nación, recursos propios (Caja especial, actividades productivas) y administrados (Matriz internos). El saldo en cuentas corresponde a recursos situados por la Dirección del Tesoro Nacional, para atender los compromisos adquiridos con terceros, giros reglamentarios y excedentes financieros consignados por los establecimientos carcelarios. </w:t>
      </w:r>
    </w:p>
    <w:p w14:paraId="2F871AD8" w14:textId="77777777" w:rsidR="006621BE" w:rsidRPr="004C7766" w:rsidRDefault="006621BE" w:rsidP="00D102CF">
      <w:pPr>
        <w:pStyle w:val="Textoindependiente"/>
        <w:ind w:left="-284" w:right="-234"/>
        <w:jc w:val="both"/>
        <w:rPr>
          <w:rFonts w:ascii="Arial" w:hAnsi="Arial" w:cs="Arial"/>
          <w:sz w:val="24"/>
          <w:szCs w:val="24"/>
        </w:rPr>
      </w:pPr>
    </w:p>
    <w:p w14:paraId="6D1DA150" w14:textId="77777777" w:rsidR="006621BE" w:rsidRPr="004C7766" w:rsidRDefault="006621BE" w:rsidP="00D102CF">
      <w:pPr>
        <w:pStyle w:val="Textoindependiente"/>
        <w:ind w:left="-284" w:right="-234"/>
        <w:jc w:val="both"/>
        <w:rPr>
          <w:rFonts w:ascii="Arial" w:hAnsi="Arial" w:cs="Arial"/>
          <w:sz w:val="24"/>
          <w:szCs w:val="24"/>
        </w:rPr>
      </w:pPr>
      <w:r w:rsidRPr="004C7766">
        <w:rPr>
          <w:rFonts w:ascii="Arial" w:hAnsi="Arial" w:cs="Arial"/>
          <w:b/>
          <w:sz w:val="24"/>
          <w:szCs w:val="24"/>
          <w:u w:val="single"/>
        </w:rPr>
        <w:t>Dentro de estas cuentas se encuentran partidas conciliatorias significativas como consecuencia de la implementación de SIIF Nación en el año 2011, en vista de que el sistema no generaba libro auxiliar de bancos y a procesos no terminados en vigencias posteriores al 2011 por el grupo de tesorería y pagadurías de los establecimientos de reclusión (Ingresos y gastos), lo cual conlleva al incremento de partidas conciliatorias por registrar contablemente; a la fecha no se cuenta con la totalidad de los documentos soporte para el registro de los ajustes correspondientes</w:t>
      </w:r>
      <w:r w:rsidRPr="004C7766">
        <w:rPr>
          <w:rFonts w:ascii="Arial" w:hAnsi="Arial" w:cs="Arial"/>
          <w:sz w:val="24"/>
          <w:szCs w:val="24"/>
        </w:rPr>
        <w:t xml:space="preserve">. </w:t>
      </w:r>
    </w:p>
    <w:p w14:paraId="24C279E4" w14:textId="77777777" w:rsidR="006621BE" w:rsidRDefault="006621BE" w:rsidP="00D102CF">
      <w:pPr>
        <w:ind w:left="-284" w:right="49"/>
        <w:jc w:val="both"/>
        <w:rPr>
          <w:rFonts w:ascii="Arial" w:hAnsi="Arial" w:cs="Arial"/>
          <w:b/>
          <w:sz w:val="24"/>
          <w:szCs w:val="24"/>
          <w:lang w:val="es-MX"/>
        </w:rPr>
      </w:pPr>
    </w:p>
    <w:p w14:paraId="53CAF52C" w14:textId="77777777" w:rsidR="006621BE" w:rsidRPr="008F1D26" w:rsidRDefault="006621BE" w:rsidP="00D102CF">
      <w:pPr>
        <w:ind w:left="-284" w:right="-234"/>
        <w:jc w:val="both"/>
        <w:rPr>
          <w:rFonts w:ascii="Arial" w:hAnsi="Arial" w:cs="Arial"/>
          <w:b/>
          <w:sz w:val="28"/>
          <w:szCs w:val="28"/>
          <w:lang w:val="es-MX"/>
        </w:rPr>
      </w:pPr>
      <w:r w:rsidRPr="008F1D26">
        <w:rPr>
          <w:rFonts w:ascii="Arial" w:hAnsi="Arial" w:cs="Arial"/>
          <w:b/>
          <w:sz w:val="28"/>
          <w:szCs w:val="28"/>
          <w:lang w:val="es-MX"/>
        </w:rPr>
        <w:t>227.- DEPARTAMENTO ADMINISTRATIVO DE LA PRESIDENCIA DE LA REPÚBLICA – DAPRE.</w:t>
      </w:r>
    </w:p>
    <w:p w14:paraId="2C2C6E8E"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697D54" w14:paraId="667A50AD" w14:textId="77777777" w:rsidTr="00D102CF">
        <w:tc>
          <w:tcPr>
            <w:tcW w:w="993" w:type="dxa"/>
          </w:tcPr>
          <w:p w14:paraId="3F9A01B2" w14:textId="77777777" w:rsidR="006621BE" w:rsidRPr="00697D54" w:rsidRDefault="006621BE" w:rsidP="00EF5AF2">
            <w:pPr>
              <w:tabs>
                <w:tab w:val="left" w:pos="875"/>
              </w:tabs>
              <w:ind w:right="-50"/>
              <w:jc w:val="center"/>
              <w:rPr>
                <w:rFonts w:ascii="Arial" w:hAnsi="Arial" w:cs="Arial"/>
                <w:b/>
              </w:rPr>
            </w:pPr>
            <w:r w:rsidRPr="00697D54">
              <w:rPr>
                <w:rFonts w:ascii="Arial" w:hAnsi="Arial" w:cs="Arial"/>
                <w:b/>
              </w:rPr>
              <w:t>N°</w:t>
            </w:r>
          </w:p>
        </w:tc>
        <w:tc>
          <w:tcPr>
            <w:tcW w:w="4253" w:type="dxa"/>
          </w:tcPr>
          <w:p w14:paraId="123FE7C7" w14:textId="77777777" w:rsidR="006621BE" w:rsidRPr="00697D54" w:rsidRDefault="006621BE" w:rsidP="00EF5AF2">
            <w:pPr>
              <w:tabs>
                <w:tab w:val="left" w:pos="875"/>
              </w:tabs>
              <w:ind w:right="-50"/>
              <w:jc w:val="center"/>
              <w:rPr>
                <w:rFonts w:ascii="Arial" w:hAnsi="Arial" w:cs="Arial"/>
                <w:b/>
              </w:rPr>
            </w:pPr>
            <w:r w:rsidRPr="00697D54">
              <w:rPr>
                <w:rFonts w:ascii="Arial" w:hAnsi="Arial" w:cs="Arial"/>
                <w:b/>
              </w:rPr>
              <w:t>Limitaciones del Sistema SIIF II Nación a 31/12/2024</w:t>
            </w:r>
          </w:p>
          <w:p w14:paraId="38AB762A" w14:textId="77777777" w:rsidR="006621BE" w:rsidRPr="00697D54" w:rsidRDefault="006621BE" w:rsidP="00EF5AF2">
            <w:pPr>
              <w:tabs>
                <w:tab w:val="left" w:pos="875"/>
              </w:tabs>
              <w:ind w:right="-50"/>
              <w:jc w:val="center"/>
              <w:rPr>
                <w:rFonts w:ascii="Arial" w:hAnsi="Arial" w:cs="Arial"/>
                <w:b/>
              </w:rPr>
            </w:pPr>
          </w:p>
        </w:tc>
        <w:tc>
          <w:tcPr>
            <w:tcW w:w="5244" w:type="dxa"/>
          </w:tcPr>
          <w:p w14:paraId="24E0FDEE" w14:textId="77777777" w:rsidR="006621BE" w:rsidRPr="00697D54" w:rsidRDefault="006621BE" w:rsidP="00EF5AF2">
            <w:pPr>
              <w:tabs>
                <w:tab w:val="left" w:pos="875"/>
              </w:tabs>
              <w:ind w:right="-50"/>
              <w:jc w:val="center"/>
              <w:rPr>
                <w:rFonts w:ascii="Arial" w:hAnsi="Arial" w:cs="Arial"/>
                <w:b/>
              </w:rPr>
            </w:pPr>
            <w:r w:rsidRPr="00697D54">
              <w:rPr>
                <w:rFonts w:ascii="Arial" w:hAnsi="Arial" w:cs="Arial"/>
                <w:b/>
              </w:rPr>
              <w:t>Descripción de la limitación</w:t>
            </w:r>
          </w:p>
        </w:tc>
      </w:tr>
      <w:tr w:rsidR="006621BE" w:rsidRPr="00697D54" w14:paraId="3063067A" w14:textId="77777777" w:rsidTr="00D102CF">
        <w:tc>
          <w:tcPr>
            <w:tcW w:w="993" w:type="dxa"/>
          </w:tcPr>
          <w:p w14:paraId="7D75E60B" w14:textId="77777777" w:rsidR="006621BE" w:rsidRPr="00697D54" w:rsidRDefault="006621BE" w:rsidP="00EF5AF2">
            <w:pPr>
              <w:tabs>
                <w:tab w:val="left" w:pos="875"/>
              </w:tabs>
              <w:ind w:right="-50"/>
              <w:jc w:val="center"/>
              <w:rPr>
                <w:rFonts w:ascii="Arial" w:hAnsi="Arial" w:cs="Arial"/>
                <w:b/>
              </w:rPr>
            </w:pPr>
            <w:r w:rsidRPr="00697D54">
              <w:rPr>
                <w:rFonts w:ascii="Arial" w:hAnsi="Arial" w:cs="Arial"/>
                <w:b/>
              </w:rPr>
              <w:t>1</w:t>
            </w:r>
          </w:p>
        </w:tc>
        <w:tc>
          <w:tcPr>
            <w:tcW w:w="4253" w:type="dxa"/>
          </w:tcPr>
          <w:p w14:paraId="2F073519" w14:textId="77777777" w:rsidR="006621BE" w:rsidRPr="00697D54" w:rsidRDefault="006621BE" w:rsidP="00EF5AF2">
            <w:pPr>
              <w:tabs>
                <w:tab w:val="left" w:pos="875"/>
              </w:tabs>
              <w:ind w:right="-50"/>
              <w:jc w:val="both"/>
              <w:rPr>
                <w:rFonts w:ascii="Arial" w:hAnsi="Arial" w:cs="Arial"/>
                <w:b/>
              </w:rPr>
            </w:pPr>
            <w:r w:rsidRPr="00697D54">
              <w:rPr>
                <w:rFonts w:ascii="Arial" w:hAnsi="Arial" w:cs="Arial"/>
                <w:b/>
              </w:rPr>
              <w:t>Soporte a la plataforma:</w:t>
            </w:r>
          </w:p>
        </w:tc>
        <w:tc>
          <w:tcPr>
            <w:tcW w:w="5244" w:type="dxa"/>
          </w:tcPr>
          <w:p w14:paraId="428CD8B9" w14:textId="77777777" w:rsidR="006621BE" w:rsidRPr="00697D54" w:rsidRDefault="006621BE" w:rsidP="00EF5AF2">
            <w:pPr>
              <w:tabs>
                <w:tab w:val="left" w:pos="875"/>
              </w:tabs>
              <w:ind w:right="-50"/>
              <w:jc w:val="both"/>
              <w:rPr>
                <w:rFonts w:ascii="Arial" w:hAnsi="Arial" w:cs="Arial"/>
              </w:rPr>
            </w:pPr>
            <w:r w:rsidRPr="00697D54">
              <w:rPr>
                <w:rFonts w:ascii="Arial" w:hAnsi="Arial" w:cs="Arial"/>
              </w:rPr>
              <w:t>A cierre de vigencia se presentaron fallas de conexión en SIIF Nación II.</w:t>
            </w:r>
          </w:p>
        </w:tc>
      </w:tr>
    </w:tbl>
    <w:p w14:paraId="61FC44EB" w14:textId="77777777" w:rsidR="006621BE" w:rsidRDefault="006621BE" w:rsidP="006621BE">
      <w:pPr>
        <w:ind w:left="-284" w:right="49"/>
        <w:jc w:val="both"/>
        <w:rPr>
          <w:rFonts w:ascii="Arial" w:hAnsi="Arial" w:cs="Arial"/>
          <w:b/>
          <w:sz w:val="24"/>
          <w:szCs w:val="24"/>
          <w:lang w:val="es-MX"/>
        </w:rPr>
      </w:pPr>
    </w:p>
    <w:p w14:paraId="25ECD9F8" w14:textId="77777777" w:rsidR="006621BE" w:rsidRPr="00697D54" w:rsidRDefault="006621BE" w:rsidP="00D102CF">
      <w:pPr>
        <w:pStyle w:val="Textoindependiente"/>
        <w:ind w:left="-284" w:right="-234"/>
        <w:jc w:val="both"/>
        <w:rPr>
          <w:rFonts w:ascii="Arial" w:hAnsi="Arial" w:cs="Arial"/>
          <w:sz w:val="24"/>
          <w:szCs w:val="24"/>
        </w:rPr>
      </w:pPr>
      <w:r w:rsidRPr="00697D54">
        <w:rPr>
          <w:rFonts w:ascii="Arial" w:hAnsi="Arial" w:cs="Arial"/>
          <w:b/>
          <w:sz w:val="24"/>
          <w:szCs w:val="24"/>
        </w:rPr>
        <w:t xml:space="preserve">Limitaciones y Deficiencias Generales que Inciden en el Sistema Contable – Limitaciones del Aplicativo SIIF Nación: </w:t>
      </w:r>
      <w:r w:rsidRPr="00697D54">
        <w:rPr>
          <w:rFonts w:ascii="Arial" w:hAnsi="Arial" w:cs="Arial"/>
          <w:sz w:val="24"/>
          <w:szCs w:val="24"/>
        </w:rPr>
        <w:t>Este sistema presenta las siguientes insuficiencias en el campo contable:</w:t>
      </w:r>
    </w:p>
    <w:p w14:paraId="0A72B678" w14:textId="77777777" w:rsidR="006621BE" w:rsidRPr="00697D54" w:rsidRDefault="006621BE" w:rsidP="00D102CF">
      <w:pPr>
        <w:pStyle w:val="Textoindependiente"/>
        <w:ind w:right="-234"/>
        <w:jc w:val="both"/>
        <w:rPr>
          <w:rFonts w:ascii="Arial" w:hAnsi="Arial" w:cs="Arial"/>
          <w:sz w:val="24"/>
          <w:szCs w:val="24"/>
        </w:rPr>
      </w:pPr>
    </w:p>
    <w:p w14:paraId="6DCED5FC"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color w:val="000000"/>
          <w:sz w:val="24"/>
          <w:szCs w:val="24"/>
          <w:lang w:eastAsia="es-ES_tradnl"/>
        </w:rPr>
        <w:t xml:space="preserve">El SIIF Nación se encuentra desarrollando e implementando un módulo de propiedad planta y equipo del cual el DAPRE es una de las entidades piloto, hasta que no se encuentre en producción este módulo, los registros efectuados en estas dependencias deben elaborarse en forma manual. </w:t>
      </w:r>
    </w:p>
    <w:p w14:paraId="32F40DD2" w14:textId="77777777" w:rsidR="006621BE" w:rsidRPr="00697D54" w:rsidRDefault="006621BE" w:rsidP="00D102CF">
      <w:pPr>
        <w:ind w:left="284" w:right="-234"/>
        <w:contextualSpacing/>
        <w:jc w:val="both"/>
        <w:rPr>
          <w:rFonts w:ascii="Arial" w:hAnsi="Arial" w:cs="Arial"/>
          <w:sz w:val="24"/>
          <w:szCs w:val="24"/>
          <w:lang w:eastAsia="es-ES_tradnl"/>
        </w:rPr>
      </w:pPr>
    </w:p>
    <w:p w14:paraId="57C31312"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color w:val="000000"/>
          <w:sz w:val="24"/>
          <w:szCs w:val="24"/>
          <w:lang w:eastAsia="es-ES_tradnl"/>
        </w:rPr>
        <w:t>Igualmente sucede con las depreciaciones, provisiones y amortizaciones</w:t>
      </w:r>
      <w:r w:rsidRPr="00697D54">
        <w:rPr>
          <w:rFonts w:ascii="Arial" w:hAnsi="Arial" w:cs="Arial"/>
          <w:sz w:val="24"/>
          <w:szCs w:val="24"/>
          <w:lang w:eastAsia="es-ES_tradnl"/>
        </w:rPr>
        <w:t>; para suplir estas carencias la Entidad cuenta con el siguiente sistema complementario, el cual es auxiliar del macroproceso contable del SIIF Nación:</w:t>
      </w:r>
    </w:p>
    <w:p w14:paraId="71BF74F3" w14:textId="77777777" w:rsidR="006621BE" w:rsidRPr="00697D54" w:rsidRDefault="006621BE" w:rsidP="00D102CF">
      <w:pPr>
        <w:ind w:right="-234"/>
        <w:jc w:val="both"/>
        <w:rPr>
          <w:rFonts w:ascii="Arial" w:hAnsi="Arial" w:cs="Arial"/>
          <w:sz w:val="24"/>
          <w:szCs w:val="24"/>
          <w:lang w:eastAsia="es-ES_tradnl"/>
        </w:rPr>
      </w:pPr>
    </w:p>
    <w:p w14:paraId="58F67F31" w14:textId="77777777" w:rsidR="006621BE" w:rsidRPr="00697D54" w:rsidRDefault="006621BE" w:rsidP="00D102CF">
      <w:pPr>
        <w:ind w:right="-234"/>
        <w:jc w:val="both"/>
        <w:rPr>
          <w:rFonts w:ascii="Arial" w:hAnsi="Arial" w:cs="Arial"/>
          <w:sz w:val="24"/>
          <w:szCs w:val="24"/>
          <w:lang w:eastAsia="es-ES_tradnl"/>
        </w:rPr>
      </w:pPr>
      <w:r w:rsidRPr="00697D54">
        <w:rPr>
          <w:rFonts w:ascii="Arial" w:hAnsi="Arial" w:cs="Arial"/>
          <w:b/>
          <w:sz w:val="24"/>
          <w:szCs w:val="24"/>
          <w:lang w:eastAsia="es-ES_tradnl"/>
        </w:rPr>
        <w:t>Aladino</w:t>
      </w:r>
      <w:r w:rsidRPr="00697D54">
        <w:rPr>
          <w:rFonts w:ascii="Arial" w:hAnsi="Arial" w:cs="Arial"/>
          <w:sz w:val="24"/>
          <w:szCs w:val="24"/>
          <w:lang w:eastAsia="es-ES_tradnl"/>
        </w:rPr>
        <w:t>: En el cual se registra el movimiento de almacén e inventarios y se efectúan las depreciaciones y provisiones correspondientes a los bienes muebles, inmuebles e intangibles de todas las cuantías, que estén al servicio de la Entidad y los bienes recibidos en comodato.</w:t>
      </w:r>
    </w:p>
    <w:p w14:paraId="037A70D1" w14:textId="77777777" w:rsidR="006621BE" w:rsidRPr="00697D54" w:rsidRDefault="006621BE" w:rsidP="00D102CF">
      <w:pPr>
        <w:ind w:right="-234"/>
        <w:jc w:val="both"/>
        <w:rPr>
          <w:rFonts w:ascii="Arial" w:hAnsi="Arial" w:cs="Arial"/>
          <w:sz w:val="24"/>
          <w:szCs w:val="24"/>
          <w:lang w:eastAsia="es-ES_tradnl"/>
        </w:rPr>
      </w:pPr>
    </w:p>
    <w:p w14:paraId="0B46B8A1" w14:textId="77777777" w:rsidR="006621BE" w:rsidRPr="00697D54" w:rsidRDefault="006621BE" w:rsidP="00D102CF">
      <w:pPr>
        <w:ind w:right="-234"/>
        <w:jc w:val="both"/>
        <w:rPr>
          <w:rFonts w:ascii="Arial" w:hAnsi="Arial" w:cs="Arial"/>
          <w:sz w:val="24"/>
          <w:szCs w:val="24"/>
          <w:lang w:eastAsia="es-ES_tradnl"/>
        </w:rPr>
      </w:pPr>
      <w:r w:rsidRPr="00697D54">
        <w:rPr>
          <w:rFonts w:ascii="Arial" w:hAnsi="Arial" w:cs="Arial"/>
          <w:sz w:val="24"/>
          <w:szCs w:val="24"/>
          <w:lang w:eastAsia="es-ES_tradnl"/>
        </w:rPr>
        <w:t>El SIIF Nación tampoco cuenta con un módulo para el manejo y liquidación de la nómina, por tanto, el DAPRE elabora estas operaciones en el aplicativo kactus:</w:t>
      </w:r>
    </w:p>
    <w:p w14:paraId="44F2CF0B" w14:textId="77777777" w:rsidR="006621BE" w:rsidRPr="00697D54" w:rsidRDefault="006621BE" w:rsidP="00D102CF">
      <w:pPr>
        <w:ind w:right="-234"/>
        <w:contextualSpacing/>
        <w:jc w:val="both"/>
        <w:rPr>
          <w:rFonts w:ascii="Arial" w:hAnsi="Arial" w:cs="Arial"/>
          <w:sz w:val="24"/>
          <w:szCs w:val="24"/>
          <w:lang w:eastAsia="es-ES_tradnl"/>
        </w:rPr>
      </w:pPr>
      <w:r w:rsidRPr="00697D54">
        <w:rPr>
          <w:rFonts w:ascii="Arial" w:hAnsi="Arial" w:cs="Arial"/>
          <w:b/>
          <w:sz w:val="24"/>
          <w:szCs w:val="24"/>
          <w:lang w:eastAsia="es-ES_tradnl"/>
        </w:rPr>
        <w:t>Kactus</w:t>
      </w:r>
      <w:r w:rsidRPr="00697D54">
        <w:rPr>
          <w:rFonts w:ascii="Arial" w:hAnsi="Arial" w:cs="Arial"/>
          <w:sz w:val="24"/>
          <w:szCs w:val="24"/>
          <w:lang w:eastAsia="es-ES_tradnl"/>
        </w:rPr>
        <w:t>: Para la Administración y Gestión Integral del Talento Humano, a través de éste se liquida la nómina y los beneficios a los empleados por prestaciones sociales, el cual es auxiliar del macroproceso contable del SIIF Nación.</w:t>
      </w:r>
    </w:p>
    <w:p w14:paraId="31FDB755" w14:textId="77777777" w:rsidR="006621BE" w:rsidRPr="00697D54" w:rsidRDefault="006621BE" w:rsidP="00D102CF">
      <w:pPr>
        <w:ind w:right="-234"/>
        <w:contextualSpacing/>
        <w:jc w:val="both"/>
        <w:rPr>
          <w:rFonts w:ascii="Arial" w:hAnsi="Arial" w:cs="Arial"/>
          <w:sz w:val="24"/>
          <w:szCs w:val="24"/>
          <w:lang w:eastAsia="es-ES_tradnl"/>
        </w:rPr>
      </w:pPr>
    </w:p>
    <w:p w14:paraId="6D6F05A7" w14:textId="77777777" w:rsidR="006621BE" w:rsidRPr="00697D54" w:rsidRDefault="006621BE" w:rsidP="00D102CF">
      <w:pPr>
        <w:ind w:right="-234"/>
        <w:contextualSpacing/>
        <w:jc w:val="both"/>
        <w:rPr>
          <w:rFonts w:ascii="Arial" w:hAnsi="Arial" w:cs="Arial"/>
          <w:sz w:val="24"/>
          <w:szCs w:val="24"/>
          <w:lang w:eastAsia="es-ES_tradnl"/>
        </w:rPr>
      </w:pPr>
      <w:r w:rsidRPr="00697D54">
        <w:rPr>
          <w:rFonts w:ascii="Arial" w:hAnsi="Arial" w:cs="Arial"/>
          <w:sz w:val="24"/>
          <w:szCs w:val="24"/>
          <w:lang w:eastAsia="es-ES_tradnl"/>
        </w:rPr>
        <w:t>El SIIF Nación creó una nueva funcionalidad para el pago masivo de la nómina, en consecuencia, el pago de la nómina se está realizando al beneficiario final.</w:t>
      </w:r>
    </w:p>
    <w:p w14:paraId="5738C656" w14:textId="77777777" w:rsidR="006621BE" w:rsidRPr="00697D54" w:rsidRDefault="006621BE" w:rsidP="00D102CF">
      <w:pPr>
        <w:ind w:right="-234"/>
        <w:jc w:val="both"/>
        <w:rPr>
          <w:rFonts w:ascii="Arial" w:hAnsi="Arial" w:cs="Arial"/>
          <w:sz w:val="24"/>
          <w:szCs w:val="24"/>
          <w:lang w:eastAsia="es-ES_tradnl"/>
        </w:rPr>
      </w:pPr>
    </w:p>
    <w:p w14:paraId="381DB606" w14:textId="77777777" w:rsidR="006621BE" w:rsidRPr="00697D54" w:rsidRDefault="006621BE" w:rsidP="00D102CF">
      <w:pPr>
        <w:ind w:right="-234"/>
        <w:jc w:val="both"/>
        <w:rPr>
          <w:rFonts w:ascii="Arial" w:hAnsi="Arial" w:cs="Arial"/>
          <w:sz w:val="24"/>
          <w:szCs w:val="24"/>
          <w:lang w:eastAsia="es-ES_tradnl"/>
        </w:rPr>
      </w:pPr>
      <w:r w:rsidRPr="00697D54">
        <w:rPr>
          <w:rFonts w:ascii="Arial" w:hAnsi="Arial" w:cs="Arial"/>
          <w:sz w:val="24"/>
          <w:szCs w:val="24"/>
          <w:lang w:eastAsia="es-ES_tradnl"/>
        </w:rPr>
        <w:t xml:space="preserve">A su vez la Secretaría Jurídica de la Entidad cuenta con una hoja en Excel en la cual controla las </w:t>
      </w:r>
      <w:r w:rsidRPr="00697D54">
        <w:rPr>
          <w:rFonts w:ascii="Arial" w:hAnsi="Arial" w:cs="Arial"/>
          <w:sz w:val="24"/>
          <w:szCs w:val="24"/>
          <w:lang w:eastAsia="es-ES_tradnl"/>
        </w:rPr>
        <w:lastRenderedPageBreak/>
        <w:t xml:space="preserve">demandas </w:t>
      </w:r>
      <w:r w:rsidRPr="00697D54">
        <w:rPr>
          <w:rFonts w:ascii="Arial" w:hAnsi="Arial" w:cs="Arial"/>
          <w:sz w:val="24"/>
          <w:szCs w:val="24"/>
        </w:rPr>
        <w:t>y conciliaciones a favor y en contra de la Entidad.</w:t>
      </w:r>
    </w:p>
    <w:p w14:paraId="66DCC36B" w14:textId="77777777" w:rsidR="006621BE" w:rsidRPr="00697D54" w:rsidRDefault="006621BE" w:rsidP="00D102CF">
      <w:pPr>
        <w:ind w:right="-234"/>
        <w:jc w:val="both"/>
        <w:rPr>
          <w:rFonts w:ascii="Arial" w:hAnsi="Arial" w:cs="Arial"/>
          <w:sz w:val="24"/>
          <w:szCs w:val="24"/>
          <w:lang w:eastAsia="es-ES_tradnl"/>
        </w:rPr>
      </w:pPr>
    </w:p>
    <w:p w14:paraId="3E41C566" w14:textId="77777777" w:rsidR="006621BE" w:rsidRPr="00697D54" w:rsidRDefault="006621BE" w:rsidP="00D102CF">
      <w:pPr>
        <w:ind w:right="-234"/>
        <w:jc w:val="both"/>
        <w:rPr>
          <w:rFonts w:ascii="Arial" w:hAnsi="Arial" w:cs="Arial"/>
          <w:sz w:val="24"/>
          <w:szCs w:val="24"/>
          <w:lang w:eastAsia="es-ES_tradnl"/>
        </w:rPr>
      </w:pPr>
      <w:r w:rsidRPr="00697D54">
        <w:rPr>
          <w:rFonts w:ascii="Arial" w:hAnsi="Arial" w:cs="Arial"/>
          <w:sz w:val="24"/>
          <w:szCs w:val="24"/>
          <w:lang w:eastAsia="es-ES_tradnl"/>
        </w:rPr>
        <w:t>Adicionalmente, el Área Financiera cuenta con el aplicativo en el Grupo de Central de Cuentas</w:t>
      </w:r>
      <w:r w:rsidRPr="00697D54">
        <w:rPr>
          <w:rFonts w:ascii="Arial" w:hAnsi="Arial" w:cs="Arial"/>
          <w:b/>
          <w:sz w:val="24"/>
          <w:szCs w:val="24"/>
          <w:lang w:eastAsia="es-ES_tradnl"/>
        </w:rPr>
        <w:t xml:space="preserve"> </w:t>
      </w:r>
      <w:r w:rsidRPr="00697D54">
        <w:rPr>
          <w:rFonts w:ascii="Arial" w:hAnsi="Arial" w:cs="Arial"/>
          <w:sz w:val="24"/>
          <w:szCs w:val="24"/>
          <w:lang w:eastAsia="es-ES_tradnl"/>
        </w:rPr>
        <w:t>el cual fue desarrollado por la Entidad para la elaboración de las cuentas de pago, denominado Cuentas por Pagar.</w:t>
      </w:r>
    </w:p>
    <w:p w14:paraId="7C3EB89C" w14:textId="77777777" w:rsidR="006621BE" w:rsidRPr="00697D54" w:rsidRDefault="006621BE" w:rsidP="00D102CF">
      <w:pPr>
        <w:ind w:right="-234"/>
        <w:jc w:val="both"/>
        <w:rPr>
          <w:rFonts w:ascii="Arial" w:hAnsi="Arial" w:cs="Arial"/>
          <w:sz w:val="24"/>
          <w:szCs w:val="24"/>
          <w:lang w:eastAsia="es-ES_tradnl"/>
        </w:rPr>
      </w:pPr>
    </w:p>
    <w:p w14:paraId="0D3D41B8" w14:textId="77777777" w:rsidR="006621BE" w:rsidRPr="00697D54" w:rsidRDefault="006621BE" w:rsidP="00D102CF">
      <w:pPr>
        <w:ind w:left="-284" w:right="-234"/>
        <w:jc w:val="both"/>
        <w:rPr>
          <w:rFonts w:ascii="Arial" w:hAnsi="Arial" w:cs="Arial"/>
          <w:sz w:val="24"/>
          <w:szCs w:val="24"/>
          <w:lang w:eastAsia="es-ES_tradnl"/>
        </w:rPr>
      </w:pPr>
      <w:r w:rsidRPr="00697D54">
        <w:rPr>
          <w:rFonts w:ascii="Arial" w:hAnsi="Arial" w:cs="Arial"/>
          <w:sz w:val="24"/>
          <w:szCs w:val="24"/>
          <w:lang w:eastAsia="es-ES_tradnl"/>
        </w:rPr>
        <w:t>Igualmente, el SIIF presenta otras insuficiencias, así:</w:t>
      </w:r>
    </w:p>
    <w:p w14:paraId="020EEBDE" w14:textId="77777777" w:rsidR="006621BE" w:rsidRPr="00697D54" w:rsidRDefault="006621BE" w:rsidP="00D102CF">
      <w:pPr>
        <w:ind w:right="-234"/>
        <w:jc w:val="both"/>
        <w:rPr>
          <w:rFonts w:ascii="Arial" w:hAnsi="Arial" w:cs="Arial"/>
          <w:sz w:val="24"/>
          <w:szCs w:val="24"/>
          <w:lang w:eastAsia="es-ES_tradnl"/>
        </w:rPr>
      </w:pPr>
    </w:p>
    <w:p w14:paraId="117B43B9"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sz w:val="24"/>
          <w:szCs w:val="24"/>
        </w:rPr>
        <w:t xml:space="preserve">En el momento de generar la orden bancaria (Extensivas) para contabilizar los recursos situados a las cuentas bancarias de la Entidad, el SIIF no permite digitar el valor real a girar, lo cual genera ajustes manuales, no permitiendo el pago directo y se deben trasladar los recursos para pago por medio de las cuentas bancarias, presentándose en los siguientes casos:  solicitud del pago de Impuesto para la declaración de retención de ICA, por el ajuste al mil y para la seguridad social. </w:t>
      </w:r>
    </w:p>
    <w:p w14:paraId="40E1B9CB" w14:textId="77777777" w:rsidR="006621BE" w:rsidRPr="00697D54" w:rsidRDefault="006621BE" w:rsidP="00D102CF">
      <w:pPr>
        <w:widowControl/>
        <w:autoSpaceDE/>
        <w:autoSpaceDN/>
        <w:ind w:left="284" w:right="-234"/>
        <w:contextualSpacing/>
        <w:jc w:val="both"/>
        <w:rPr>
          <w:rFonts w:ascii="Arial" w:hAnsi="Arial" w:cs="Arial"/>
          <w:sz w:val="24"/>
          <w:szCs w:val="24"/>
          <w:lang w:eastAsia="es-ES_tradnl"/>
        </w:rPr>
      </w:pPr>
    </w:p>
    <w:p w14:paraId="2EA18A52"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sz w:val="24"/>
          <w:szCs w:val="24"/>
          <w:lang w:eastAsia="es-ES_tradnl"/>
        </w:rPr>
        <w:t>Una vez aprobados los comprobantes de diario, el sistema no permite anularlos.</w:t>
      </w:r>
    </w:p>
    <w:p w14:paraId="06444302" w14:textId="77777777" w:rsidR="006621BE" w:rsidRPr="00697D54" w:rsidRDefault="006621BE" w:rsidP="00D102CF">
      <w:pPr>
        <w:ind w:right="-234"/>
        <w:jc w:val="both"/>
        <w:rPr>
          <w:rFonts w:ascii="Arial" w:hAnsi="Arial" w:cs="Arial"/>
          <w:sz w:val="24"/>
          <w:szCs w:val="24"/>
          <w:lang w:eastAsia="es-ES_tradnl"/>
        </w:rPr>
      </w:pPr>
    </w:p>
    <w:p w14:paraId="03CB67B1"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sz w:val="24"/>
          <w:szCs w:val="24"/>
          <w:lang w:eastAsia="es-ES_tradnl"/>
        </w:rPr>
        <w:t>En el momento de guardar una obligación, si no se selecciona la pestaña de “Datos Contables”, el sistema no la guarda y tampoco permite realizar la modificación para agregar los datos contables, por tanto, se debe iniciar nuevamente todo el proceso.</w:t>
      </w:r>
    </w:p>
    <w:p w14:paraId="2D559B1D" w14:textId="77777777" w:rsidR="006621BE" w:rsidRPr="00697D54" w:rsidRDefault="006621BE" w:rsidP="00D102CF">
      <w:pPr>
        <w:pStyle w:val="Prrafodelista"/>
        <w:ind w:right="-234"/>
        <w:rPr>
          <w:rFonts w:ascii="Arial" w:hAnsi="Arial" w:cs="Arial"/>
          <w:sz w:val="24"/>
          <w:szCs w:val="24"/>
          <w:lang w:eastAsia="es-ES_tradnl"/>
        </w:rPr>
      </w:pPr>
    </w:p>
    <w:p w14:paraId="482C68A6"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sz w:val="24"/>
          <w:szCs w:val="24"/>
          <w:lang w:eastAsia="es-ES_tradnl"/>
        </w:rPr>
        <w:t>El campo de “Líneas de pago de la obligación” no permite realizar la consulta del cupo PAC, lo que genera que no se pueda verificar si existe disponibilidad de PAC en el período en el momento de realizar la obligación, en consecuencia, se debe hacer nuevamente la obligación.</w:t>
      </w:r>
    </w:p>
    <w:p w14:paraId="6AB77C39" w14:textId="77777777" w:rsidR="006621BE" w:rsidRPr="00697D54" w:rsidRDefault="006621BE" w:rsidP="00D102CF">
      <w:pPr>
        <w:widowControl/>
        <w:autoSpaceDE/>
        <w:autoSpaceDN/>
        <w:ind w:left="284" w:right="-234"/>
        <w:contextualSpacing/>
        <w:jc w:val="both"/>
        <w:rPr>
          <w:rFonts w:ascii="Arial" w:hAnsi="Arial" w:cs="Arial"/>
          <w:sz w:val="24"/>
          <w:szCs w:val="24"/>
          <w:lang w:eastAsia="es-ES_tradnl"/>
        </w:rPr>
      </w:pPr>
    </w:p>
    <w:p w14:paraId="1C258155" w14:textId="77777777" w:rsidR="006621BE" w:rsidRPr="00697D54" w:rsidRDefault="006621BE" w:rsidP="00CB6055">
      <w:pPr>
        <w:widowControl/>
        <w:numPr>
          <w:ilvl w:val="0"/>
          <w:numId w:val="30"/>
        </w:numPr>
        <w:autoSpaceDE/>
        <w:autoSpaceDN/>
        <w:ind w:left="284" w:right="-234"/>
        <w:contextualSpacing/>
        <w:jc w:val="both"/>
        <w:rPr>
          <w:rFonts w:ascii="Arial" w:hAnsi="Arial" w:cs="Arial"/>
          <w:sz w:val="24"/>
          <w:szCs w:val="24"/>
          <w:lang w:eastAsia="es-ES_tradnl"/>
        </w:rPr>
      </w:pPr>
      <w:r w:rsidRPr="00697D54">
        <w:rPr>
          <w:rFonts w:ascii="Arial" w:hAnsi="Arial" w:cs="Arial"/>
          <w:sz w:val="24"/>
          <w:szCs w:val="24"/>
          <w:lang w:eastAsia="es-ES_tradnl"/>
        </w:rPr>
        <w:t>Con el cambio de campo de tipificación del comprobante contable, si no se encuentra parametrizado se hace más dispendiosa la creación del comprobante.</w:t>
      </w:r>
    </w:p>
    <w:p w14:paraId="65DF5F8F" w14:textId="77777777" w:rsidR="006621BE" w:rsidRPr="00697D54" w:rsidRDefault="006621BE" w:rsidP="00D102CF">
      <w:pPr>
        <w:ind w:right="-234"/>
        <w:jc w:val="both"/>
        <w:rPr>
          <w:rFonts w:ascii="Arial" w:hAnsi="Arial" w:cs="Arial"/>
          <w:sz w:val="24"/>
          <w:szCs w:val="24"/>
          <w:lang w:eastAsia="es-ES_tradnl"/>
        </w:rPr>
      </w:pPr>
    </w:p>
    <w:p w14:paraId="4561EE4E" w14:textId="77777777" w:rsidR="006621BE" w:rsidRPr="00697D54" w:rsidRDefault="006621BE" w:rsidP="00D102CF">
      <w:pPr>
        <w:ind w:right="-234"/>
        <w:jc w:val="both"/>
        <w:rPr>
          <w:rFonts w:ascii="Arial" w:hAnsi="Arial" w:cs="Arial"/>
          <w:sz w:val="24"/>
          <w:szCs w:val="24"/>
          <w:lang w:eastAsia="es-ES"/>
        </w:rPr>
      </w:pPr>
      <w:r w:rsidRPr="00697D54">
        <w:rPr>
          <w:rFonts w:ascii="Arial" w:hAnsi="Arial" w:cs="Arial"/>
          <w:sz w:val="24"/>
          <w:szCs w:val="24"/>
          <w:lang w:eastAsia="es-ES"/>
        </w:rPr>
        <w:t>El 21 de agosto de 2020 se realizó una actualización al SIIF Nación, desde esa fecha, el sistema compila todos los egresos de caja menor utilizados en la legalización en un solo comprobante contable dejando como tercero, para aquellos códigos contables que así lo requieren, el número de NIT de la entidad.</w:t>
      </w:r>
    </w:p>
    <w:p w14:paraId="58FFFBC1" w14:textId="77777777" w:rsidR="006621BE" w:rsidRPr="00697D54" w:rsidRDefault="006621BE" w:rsidP="00D102CF">
      <w:pPr>
        <w:pStyle w:val="Textoindependiente"/>
        <w:ind w:right="-234"/>
        <w:jc w:val="both"/>
        <w:rPr>
          <w:rFonts w:ascii="Arial" w:hAnsi="Arial" w:cs="Arial"/>
          <w:sz w:val="24"/>
          <w:szCs w:val="24"/>
        </w:rPr>
      </w:pPr>
    </w:p>
    <w:p w14:paraId="6F69F7A6" w14:textId="77777777" w:rsidR="006621BE" w:rsidRPr="00697D54" w:rsidRDefault="006621BE" w:rsidP="00D102CF">
      <w:pPr>
        <w:ind w:right="-234"/>
        <w:jc w:val="both"/>
        <w:rPr>
          <w:rFonts w:ascii="Arial" w:hAnsi="Arial" w:cs="Arial"/>
          <w:sz w:val="24"/>
          <w:szCs w:val="24"/>
          <w:lang w:eastAsia="es-ES_tradnl"/>
        </w:rPr>
      </w:pPr>
      <w:r w:rsidRPr="00697D54">
        <w:rPr>
          <w:rFonts w:ascii="Arial" w:hAnsi="Arial" w:cs="Arial"/>
          <w:b/>
          <w:sz w:val="24"/>
          <w:szCs w:val="24"/>
        </w:rPr>
        <w:t xml:space="preserve">Limitaciones Presupuestales: </w:t>
      </w:r>
      <w:r w:rsidRPr="00697D54">
        <w:rPr>
          <w:rFonts w:ascii="Arial" w:hAnsi="Arial" w:cs="Arial"/>
          <w:sz w:val="24"/>
          <w:szCs w:val="24"/>
          <w:lang w:eastAsia="es-ES_tradnl"/>
        </w:rPr>
        <w:t xml:space="preserve">Desde el año 2017, debido a la nueva normatividad presupuestal no es posible realizar obligaciones sino se cuenta con el Programa Anual Mensualizado de Caja – PAC de la vigencia, lo que genera que cuando se reciben bienes o servicios y no se cuente con PAC, se deben hacer registros manuales para cumplir con el principio de devengo. </w:t>
      </w:r>
    </w:p>
    <w:p w14:paraId="4F4E81A8" w14:textId="77777777" w:rsidR="006621BE" w:rsidRPr="00697D54" w:rsidRDefault="006621BE" w:rsidP="00D102CF">
      <w:pPr>
        <w:ind w:right="-234"/>
        <w:jc w:val="both"/>
        <w:rPr>
          <w:rFonts w:ascii="Arial" w:hAnsi="Arial" w:cs="Arial"/>
          <w:sz w:val="24"/>
          <w:szCs w:val="24"/>
          <w:lang w:eastAsia="es-ES_tradnl"/>
        </w:rPr>
      </w:pPr>
    </w:p>
    <w:p w14:paraId="11D0E8AB" w14:textId="77777777" w:rsidR="006621BE" w:rsidRPr="00697D54" w:rsidRDefault="006621BE" w:rsidP="00D102CF">
      <w:pPr>
        <w:adjustRightInd w:val="0"/>
        <w:ind w:right="-234"/>
        <w:jc w:val="both"/>
        <w:rPr>
          <w:rFonts w:ascii="Arial" w:hAnsi="Arial" w:cs="Arial"/>
          <w:sz w:val="24"/>
          <w:szCs w:val="24"/>
          <w:lang w:eastAsia="es-ES_tradnl"/>
        </w:rPr>
      </w:pPr>
      <w:r w:rsidRPr="00697D54">
        <w:rPr>
          <w:rFonts w:ascii="Arial" w:hAnsi="Arial" w:cs="Arial"/>
          <w:sz w:val="24"/>
          <w:szCs w:val="24"/>
          <w:lang w:eastAsia="es-ES_tradnl"/>
        </w:rPr>
        <w:t xml:space="preserve">Al cierre de la vigencia fiscal de 2024, se constituyeron las siguientes Cuentas por Pagar Presupuestales: </w:t>
      </w:r>
    </w:p>
    <w:p w14:paraId="167AAB69" w14:textId="77777777" w:rsidR="006621BE" w:rsidRDefault="006621BE" w:rsidP="00D102CF">
      <w:pPr>
        <w:pStyle w:val="Textoindependiente"/>
        <w:ind w:right="-234"/>
        <w:jc w:val="both"/>
        <w:rPr>
          <w:b/>
        </w:rPr>
      </w:pPr>
    </w:p>
    <w:p w14:paraId="7B0E92F6" w14:textId="77777777" w:rsidR="006621BE" w:rsidRPr="00E7131C" w:rsidRDefault="006621BE" w:rsidP="006621BE">
      <w:pPr>
        <w:pStyle w:val="Textoindependiente"/>
        <w:ind w:right="-50"/>
        <w:jc w:val="center"/>
        <w:rPr>
          <w:b/>
        </w:rPr>
      </w:pPr>
      <w:r w:rsidRPr="00FA0B5D">
        <w:rPr>
          <w:b/>
          <w:noProof/>
          <w:lang w:val="es-CO" w:eastAsia="es-CO"/>
        </w:rPr>
        <w:lastRenderedPageBreak/>
        <w:drawing>
          <wp:inline distT="0" distB="0" distL="0" distR="0" wp14:anchorId="6FE871B0" wp14:editId="435E602D">
            <wp:extent cx="6106377" cy="142894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377" cy="1428949"/>
                    </a:xfrm>
                    <a:prstGeom prst="rect">
                      <a:avLst/>
                    </a:prstGeom>
                  </pic:spPr>
                </pic:pic>
              </a:graphicData>
            </a:graphic>
          </wp:inline>
        </w:drawing>
      </w:r>
    </w:p>
    <w:p w14:paraId="7928F3EE" w14:textId="77777777" w:rsidR="006621BE" w:rsidRPr="005B0358" w:rsidRDefault="006621BE" w:rsidP="006621BE">
      <w:pPr>
        <w:pStyle w:val="Textoindependiente"/>
        <w:ind w:right="-50"/>
        <w:jc w:val="both"/>
      </w:pPr>
    </w:p>
    <w:p w14:paraId="3322E860" w14:textId="77777777" w:rsidR="006621BE" w:rsidRPr="00697D54" w:rsidRDefault="006621BE" w:rsidP="00D102CF">
      <w:pPr>
        <w:ind w:left="-284" w:right="-234"/>
        <w:jc w:val="both"/>
        <w:rPr>
          <w:rFonts w:ascii="Arial" w:hAnsi="Arial" w:cs="Arial"/>
          <w:sz w:val="24"/>
          <w:szCs w:val="24"/>
          <w:lang w:val="es-ES_tradnl" w:eastAsia="es-ES_tradnl"/>
        </w:rPr>
      </w:pPr>
      <w:r w:rsidRPr="00697D54">
        <w:rPr>
          <w:rFonts w:ascii="Arial" w:hAnsi="Arial" w:cs="Arial"/>
          <w:sz w:val="24"/>
          <w:szCs w:val="24"/>
          <w:lang w:eastAsia="es-ES_tradnl"/>
        </w:rPr>
        <w:t>Ahora bien, para efectuar la totalidad de las obligaciones y constituir las Cuentas por Pagar Presupuestales, de los bienes y/o servicios recibidos a satisfacción al 31 de diciembre de 2024, y como en el periodo de transición (01 al 20 de enero) de cada vigencia no es posible realizar obligaciones en el aplicativo SIIF Nación, los bienes y/o servicios recibidos el último día del año se constituyen como una reserva presupuestal, de acuerdo con lo anterior, la Entidad procedió a constituirlas como “Reservas presupuestales”, conforme a lo dispuesto en el artículo 29 del Decreto 1621 de 30 de diciembre de 2024, que establece</w:t>
      </w:r>
      <w:r w:rsidRPr="00697D54">
        <w:rPr>
          <w:rFonts w:ascii="Arial" w:hAnsi="Arial" w:cs="Arial"/>
          <w:sz w:val="24"/>
          <w:szCs w:val="24"/>
          <w:lang w:val="es-ES_tradnl" w:eastAsia="es-ES_tradnl"/>
        </w:rPr>
        <w:t>: "</w:t>
      </w:r>
      <w:r w:rsidRPr="00697D54">
        <w:rPr>
          <w:rFonts w:ascii="Arial" w:hAnsi="Arial" w:cs="Arial"/>
          <w:i/>
          <w:sz w:val="24"/>
          <w:szCs w:val="24"/>
          <w:lang w:val="es-ES_tradnl" w:eastAsia="es-ES_tradnl"/>
        </w:rPr>
        <w:t>A través del Sistema Integrado de Información Financiera (SIIF) - Nación se constituirán con corte a 31 de diciembre de 2024 las reservas presupuestales y cuentas por pagar de cada una de las secciones del Presupuesto General de la Nación, a las que se refiere el artículo 89 del Estatuto Orgánico del Presupuesto. Como máximo, las reservas presupuestales corresponderán a la diferencia entre los compromisos y las obligaciones, y las cuentas por pagar por la diferencia entre las obligaciones y los pagos.</w:t>
      </w:r>
    </w:p>
    <w:p w14:paraId="5D39688A" w14:textId="77777777" w:rsidR="006621BE" w:rsidRPr="00697D54" w:rsidRDefault="006621BE" w:rsidP="00D102CF">
      <w:pPr>
        <w:tabs>
          <w:tab w:val="right" w:pos="8789"/>
        </w:tabs>
        <w:ind w:left="-284" w:right="-234"/>
        <w:jc w:val="both"/>
        <w:rPr>
          <w:rFonts w:ascii="Arial" w:hAnsi="Arial" w:cs="Arial"/>
          <w:i/>
          <w:sz w:val="24"/>
          <w:szCs w:val="24"/>
          <w:lang w:val="es-ES_tradnl" w:eastAsia="es-ES_tradnl"/>
        </w:rPr>
      </w:pPr>
    </w:p>
    <w:p w14:paraId="7E6C62C6" w14:textId="47E0381C" w:rsidR="006621BE" w:rsidRPr="00697D54" w:rsidRDefault="006621BE" w:rsidP="00D102CF">
      <w:pPr>
        <w:tabs>
          <w:tab w:val="right" w:pos="8789"/>
        </w:tabs>
        <w:ind w:left="-284" w:right="-234"/>
        <w:jc w:val="both"/>
        <w:rPr>
          <w:rFonts w:ascii="Arial" w:hAnsi="Arial" w:cs="Arial"/>
          <w:i/>
          <w:sz w:val="24"/>
          <w:szCs w:val="24"/>
          <w:lang w:val="es-ES_tradnl" w:eastAsia="es-ES_tradnl"/>
        </w:rPr>
      </w:pPr>
      <w:r w:rsidRPr="00697D54">
        <w:rPr>
          <w:rFonts w:ascii="Arial" w:hAnsi="Arial" w:cs="Arial"/>
          <w:i/>
          <w:sz w:val="24"/>
          <w:szCs w:val="24"/>
          <w:lang w:val="es-ES_tradnl" w:eastAsia="es-ES_tradnl"/>
        </w:rPr>
        <w:t xml:space="preserve">Para las cuentas por pagar que se constituyan a 31 de diciembre de 2024 se debe contar con el correspondiente programa anual mensualizado de caja de la vigencia, de lo contrario deberán hacerse los ajustes en los registros y constituir las correspondientes reservas presupuestales. Igual procedimiento se deberá cumplir en la vigencia </w:t>
      </w:r>
      <w:r w:rsidR="005F0936" w:rsidRPr="00697D54">
        <w:rPr>
          <w:rFonts w:ascii="Arial" w:hAnsi="Arial" w:cs="Arial"/>
          <w:i/>
          <w:sz w:val="24"/>
          <w:szCs w:val="24"/>
          <w:lang w:val="es-ES_tradnl" w:eastAsia="es-ES_tradnl"/>
        </w:rPr>
        <w:t>2025. (...)</w:t>
      </w:r>
      <w:r w:rsidRPr="00697D54">
        <w:rPr>
          <w:rFonts w:ascii="Arial" w:hAnsi="Arial" w:cs="Arial"/>
          <w:i/>
          <w:sz w:val="24"/>
          <w:szCs w:val="24"/>
          <w:lang w:val="es-ES_tradnl" w:eastAsia="es-ES_tradnl"/>
        </w:rPr>
        <w:t xml:space="preserve">” </w:t>
      </w:r>
    </w:p>
    <w:p w14:paraId="1F1654AC" w14:textId="77777777" w:rsidR="006621BE" w:rsidRPr="00697D54" w:rsidRDefault="006621BE" w:rsidP="00D102CF">
      <w:pPr>
        <w:tabs>
          <w:tab w:val="right" w:pos="8789"/>
        </w:tabs>
        <w:ind w:left="-284" w:right="-234"/>
        <w:jc w:val="both"/>
        <w:rPr>
          <w:rFonts w:ascii="Arial" w:hAnsi="Arial" w:cs="Arial"/>
          <w:i/>
          <w:sz w:val="24"/>
          <w:szCs w:val="24"/>
          <w:lang w:val="es-ES_tradnl" w:eastAsia="es-ES_tradnl"/>
        </w:rPr>
      </w:pPr>
    </w:p>
    <w:p w14:paraId="36BAFF03" w14:textId="77777777" w:rsidR="006621BE" w:rsidRPr="00697D54" w:rsidRDefault="006621BE" w:rsidP="00D102CF">
      <w:pPr>
        <w:ind w:left="-284" w:right="-234"/>
        <w:jc w:val="both"/>
        <w:rPr>
          <w:rFonts w:ascii="Arial" w:hAnsi="Arial" w:cs="Arial"/>
          <w:sz w:val="24"/>
          <w:szCs w:val="24"/>
          <w:lang w:val="es-ES_tradnl" w:eastAsia="es-ES_tradnl"/>
        </w:rPr>
      </w:pPr>
      <w:r w:rsidRPr="00697D54">
        <w:rPr>
          <w:rFonts w:ascii="Arial" w:hAnsi="Arial" w:cs="Arial"/>
          <w:sz w:val="24"/>
          <w:szCs w:val="24"/>
          <w:lang w:val="es-ES_tradnl" w:eastAsia="es-ES_tradnl"/>
        </w:rPr>
        <w:t>Concordantes, con la anterior normatividad la Contaduría General de la Nación en el numeral 4.1 Aspectos previos al cierre contable del año 2024 del Instructivo 001 del 16 de diciembre de 2024, establece en la descripción de la actividad Numero 19, lo siguiente:</w:t>
      </w:r>
    </w:p>
    <w:p w14:paraId="3ED5D63B" w14:textId="77777777" w:rsidR="006621BE" w:rsidRPr="00697D54" w:rsidRDefault="006621BE" w:rsidP="00D102CF">
      <w:pPr>
        <w:ind w:left="-284" w:right="-234"/>
        <w:jc w:val="both"/>
        <w:rPr>
          <w:rFonts w:ascii="Arial" w:hAnsi="Arial" w:cs="Arial"/>
          <w:sz w:val="24"/>
          <w:szCs w:val="24"/>
          <w:lang w:val="es-ES_tradnl" w:eastAsia="es-ES_tradnl"/>
        </w:rPr>
      </w:pPr>
    </w:p>
    <w:p w14:paraId="2C885B7E" w14:textId="77777777" w:rsidR="006621BE" w:rsidRPr="00697D54" w:rsidRDefault="006621BE" w:rsidP="00D102CF">
      <w:pPr>
        <w:ind w:left="-284" w:right="-234"/>
        <w:jc w:val="both"/>
        <w:rPr>
          <w:rFonts w:ascii="Arial" w:hAnsi="Arial" w:cs="Arial"/>
          <w:i/>
          <w:sz w:val="24"/>
          <w:szCs w:val="24"/>
          <w:lang w:val="es-ES_tradnl" w:eastAsia="es-ES_tradnl"/>
        </w:rPr>
      </w:pPr>
      <w:r w:rsidRPr="00697D54">
        <w:rPr>
          <w:rFonts w:ascii="Arial" w:hAnsi="Arial" w:cs="Arial"/>
          <w:i/>
          <w:sz w:val="24"/>
          <w:szCs w:val="24"/>
          <w:lang w:val="es-ES_tradnl" w:eastAsia="es-ES_tradnl"/>
        </w:rPr>
        <w:t>“PRINCIPIOS Y NORMAS DE CONTABILIDAD". Cuando se trate de hechos económicos en los cuales se haya materializado el recibo de bienes o la prestación de servicios, con independencia que esto configure o no cuentas por pagar presupuestales y se tenga o no la disponibilidad del PAC, corresponde a las ECP efectuar su reconocimiento en aplicación del principio de devengo.</w:t>
      </w:r>
    </w:p>
    <w:p w14:paraId="062AC43F" w14:textId="77777777" w:rsidR="006621BE" w:rsidRPr="00697D54" w:rsidRDefault="006621BE" w:rsidP="00D102CF">
      <w:pPr>
        <w:ind w:left="-284" w:right="-234"/>
        <w:jc w:val="both"/>
        <w:rPr>
          <w:rFonts w:ascii="Arial" w:hAnsi="Arial" w:cs="Arial"/>
          <w:i/>
          <w:sz w:val="24"/>
          <w:szCs w:val="24"/>
          <w:lang w:val="es-ES_tradnl" w:eastAsia="es-ES_tradnl"/>
        </w:rPr>
      </w:pPr>
    </w:p>
    <w:p w14:paraId="31B765B3" w14:textId="77777777" w:rsidR="006621BE" w:rsidRPr="00697D54" w:rsidRDefault="006621BE" w:rsidP="00D102CF">
      <w:pPr>
        <w:ind w:left="-284" w:right="-234"/>
        <w:jc w:val="both"/>
        <w:rPr>
          <w:rFonts w:ascii="Arial" w:hAnsi="Arial" w:cs="Arial"/>
          <w:i/>
          <w:sz w:val="24"/>
          <w:szCs w:val="24"/>
          <w:lang w:val="es-ES_tradnl" w:eastAsia="es-ES_tradnl"/>
        </w:rPr>
      </w:pPr>
      <w:r w:rsidRPr="00697D54">
        <w:rPr>
          <w:rFonts w:ascii="Arial" w:hAnsi="Arial" w:cs="Arial"/>
          <w:i/>
          <w:sz w:val="24"/>
          <w:szCs w:val="24"/>
          <w:lang w:val="es-ES_tradnl" w:eastAsia="es-ES_tradnl"/>
        </w:rPr>
        <w:t>Cuando el hecho económico no se origine en la ejecución presupuestal como consecuencia de la no disponibilidad de PAC, el registro contable se realiza mediante la funcionalidad de comprobantes manuales…”.</w:t>
      </w:r>
    </w:p>
    <w:p w14:paraId="63C5626F" w14:textId="77777777" w:rsidR="006621BE" w:rsidRPr="00697D54" w:rsidRDefault="006621BE" w:rsidP="00D102CF">
      <w:pPr>
        <w:ind w:left="-284" w:right="-234"/>
        <w:jc w:val="both"/>
        <w:rPr>
          <w:rFonts w:ascii="Arial" w:hAnsi="Arial" w:cs="Arial"/>
          <w:i/>
          <w:sz w:val="24"/>
          <w:szCs w:val="24"/>
          <w:lang w:val="es-ES_tradnl" w:eastAsia="es-ES_tradnl"/>
        </w:rPr>
      </w:pPr>
    </w:p>
    <w:p w14:paraId="265E376F" w14:textId="77777777" w:rsidR="006621BE" w:rsidRPr="00697D54" w:rsidRDefault="006621BE" w:rsidP="00D102CF">
      <w:pPr>
        <w:ind w:left="-284" w:right="-234"/>
        <w:jc w:val="both"/>
        <w:rPr>
          <w:rFonts w:ascii="Arial" w:hAnsi="Arial" w:cs="Arial"/>
          <w:sz w:val="24"/>
          <w:szCs w:val="24"/>
          <w:lang w:val="es-ES_tradnl" w:eastAsia="es-ES_tradnl"/>
        </w:rPr>
      </w:pPr>
      <w:r w:rsidRPr="00697D54">
        <w:rPr>
          <w:rFonts w:ascii="Arial" w:hAnsi="Arial" w:cs="Arial"/>
          <w:sz w:val="24"/>
          <w:szCs w:val="24"/>
          <w:lang w:val="es-ES_tradnl" w:eastAsia="es-ES_tradnl"/>
        </w:rPr>
        <w:t>Igualmente, la Contaduría General de la Nación establece en sus principios:</w:t>
      </w:r>
    </w:p>
    <w:p w14:paraId="07816183" w14:textId="77777777" w:rsidR="006621BE" w:rsidRPr="00697D54" w:rsidRDefault="006621BE" w:rsidP="00D102CF">
      <w:pPr>
        <w:ind w:left="-284" w:right="-234"/>
        <w:jc w:val="both"/>
        <w:rPr>
          <w:rFonts w:ascii="Arial" w:hAnsi="Arial" w:cs="Arial"/>
          <w:i/>
          <w:sz w:val="24"/>
          <w:szCs w:val="24"/>
          <w:lang w:val="es-ES_tradnl" w:eastAsia="es-ES_tradnl"/>
        </w:rPr>
      </w:pPr>
    </w:p>
    <w:p w14:paraId="09869D4F" w14:textId="77777777" w:rsidR="006621BE" w:rsidRPr="00697D54" w:rsidRDefault="006621BE" w:rsidP="00D102CF">
      <w:pPr>
        <w:ind w:left="-284" w:right="-234"/>
        <w:jc w:val="both"/>
        <w:rPr>
          <w:rFonts w:ascii="Arial" w:hAnsi="Arial" w:cs="Arial"/>
          <w:i/>
          <w:sz w:val="24"/>
          <w:szCs w:val="24"/>
          <w:lang w:val="es-ES_tradnl" w:eastAsia="es-ES_tradnl"/>
        </w:rPr>
      </w:pPr>
      <w:r w:rsidRPr="00697D54">
        <w:rPr>
          <w:rFonts w:ascii="Arial" w:hAnsi="Arial" w:cs="Arial"/>
          <w:i/>
          <w:sz w:val="24"/>
          <w:szCs w:val="24"/>
          <w:lang w:val="es-ES_tradnl" w:eastAsia="es-ES_tradnl"/>
        </w:rPr>
        <w:t>“Esencia sobre forma: Las transacciones y otros hechos económicos de las Entidades se reconocen atendiendo a su esencia económica, independientemente de la forma legal que da origen a los mismos.</w:t>
      </w:r>
    </w:p>
    <w:p w14:paraId="0C4D9474" w14:textId="77777777" w:rsidR="006621BE" w:rsidRPr="00697D54" w:rsidRDefault="006621BE" w:rsidP="00D102CF">
      <w:pPr>
        <w:ind w:left="-284" w:right="-234"/>
        <w:jc w:val="both"/>
        <w:rPr>
          <w:rFonts w:ascii="Arial" w:hAnsi="Arial" w:cs="Arial"/>
          <w:i/>
          <w:sz w:val="24"/>
          <w:szCs w:val="24"/>
          <w:lang w:val="es-ES_tradnl" w:eastAsia="es-ES_tradnl"/>
        </w:rPr>
      </w:pPr>
    </w:p>
    <w:p w14:paraId="1744D4D3" w14:textId="77777777" w:rsidR="006621BE" w:rsidRPr="00697D54" w:rsidRDefault="006621BE" w:rsidP="00D102CF">
      <w:pPr>
        <w:ind w:left="-284" w:right="-234"/>
        <w:jc w:val="both"/>
        <w:rPr>
          <w:rFonts w:ascii="Arial" w:hAnsi="Arial" w:cs="Arial"/>
          <w:i/>
          <w:sz w:val="24"/>
          <w:szCs w:val="24"/>
          <w:lang w:val="es-ES_tradnl" w:eastAsia="es-ES_tradnl"/>
        </w:rPr>
      </w:pPr>
      <w:r w:rsidRPr="00697D54">
        <w:rPr>
          <w:rFonts w:ascii="Arial" w:hAnsi="Arial" w:cs="Arial"/>
          <w:i/>
          <w:sz w:val="24"/>
          <w:szCs w:val="24"/>
          <w:lang w:val="es-ES_tradnl" w:eastAsia="es-ES_tradnl"/>
        </w:rPr>
        <w:t xml:space="preserve">Período Contable: Corresponde al tiempo máximo en que la entidad mide los resultados de los hechos económicos y el patrimonio bajo su control, efectuando las operaciones contables de ajuste </w:t>
      </w:r>
      <w:r w:rsidRPr="00697D54">
        <w:rPr>
          <w:rFonts w:ascii="Arial" w:hAnsi="Arial" w:cs="Arial"/>
          <w:i/>
          <w:sz w:val="24"/>
          <w:szCs w:val="24"/>
          <w:lang w:val="es-ES_tradnl" w:eastAsia="es-ES_tradnl"/>
        </w:rPr>
        <w:lastRenderedPageBreak/>
        <w:t xml:space="preserve">y cierre. El periodo contable es el lapso trascurrido entre el 1 de enero y el 31 de diciembre. No obstante, se pueden solicitar estados financieros intermedios e informes y reportes contables para propósitos especiales, de acuerdo con las necesidades o requerimientos de las autoridades competentes sin que esto signifique, necesariamente, la ejecución de un cierre”. </w:t>
      </w:r>
    </w:p>
    <w:p w14:paraId="46A55C59" w14:textId="77777777" w:rsidR="006621BE" w:rsidRPr="00697D54" w:rsidRDefault="006621BE" w:rsidP="00D102CF">
      <w:pPr>
        <w:ind w:left="-284" w:right="-234"/>
        <w:jc w:val="both"/>
        <w:rPr>
          <w:rFonts w:ascii="Arial" w:hAnsi="Arial" w:cs="Arial"/>
          <w:b/>
          <w:sz w:val="28"/>
          <w:szCs w:val="28"/>
        </w:rPr>
      </w:pPr>
    </w:p>
    <w:p w14:paraId="50D496ED" w14:textId="77777777" w:rsidR="006621BE" w:rsidRPr="00697D54" w:rsidRDefault="006621BE" w:rsidP="00D102CF">
      <w:pPr>
        <w:tabs>
          <w:tab w:val="right" w:pos="8789"/>
        </w:tabs>
        <w:ind w:left="-284" w:right="-234"/>
        <w:jc w:val="both"/>
        <w:rPr>
          <w:rFonts w:ascii="Arial" w:hAnsi="Arial" w:cs="Arial"/>
          <w:sz w:val="24"/>
          <w:szCs w:val="24"/>
          <w:lang w:val="es-ES_tradnl" w:eastAsia="es-ES_tradnl"/>
        </w:rPr>
      </w:pPr>
      <w:r w:rsidRPr="00697D54">
        <w:rPr>
          <w:rFonts w:ascii="Arial" w:hAnsi="Arial" w:cs="Arial"/>
          <w:sz w:val="24"/>
          <w:szCs w:val="24"/>
          <w:lang w:val="es-ES_tradnl" w:eastAsia="es-ES_tradnl"/>
        </w:rPr>
        <w:t>En cumplimiento de las normas contables transcritas, y como quiera que el aplicativo SIIF Nación no permite elaborar obligaciones sino se cuenta con PAC, y que después del 31 de diciembre de 2024, se</w:t>
      </w:r>
      <w:r w:rsidRPr="00697D54">
        <w:rPr>
          <w:rFonts w:ascii="Arial" w:hAnsi="Arial" w:cs="Arial"/>
          <w:sz w:val="24"/>
          <w:szCs w:val="24"/>
          <w:lang w:val="es-ES_tradnl"/>
        </w:rPr>
        <w:t xml:space="preserve"> recibió la documentación soporte de contratos cuyos bienes y/o servicios fueron recibidos a diciembre 31 de 2024, pero cuya facturación y/o certificación por parte del supervisor fue expedida en el año 2025, </w:t>
      </w:r>
      <w:r w:rsidRPr="00697D54">
        <w:rPr>
          <w:rFonts w:ascii="Arial" w:hAnsi="Arial" w:cs="Arial"/>
          <w:sz w:val="24"/>
          <w:szCs w:val="24"/>
          <w:lang w:val="es-ES_tradnl" w:eastAsia="es-ES_tradnl"/>
        </w:rPr>
        <w:t>el DAPRE registró de forma manual en los Estados Financieros a diciembre 31 de 2024, estas facturas, con independencia de su constitución como reservas presupuestales.</w:t>
      </w:r>
    </w:p>
    <w:p w14:paraId="06AEDEB6" w14:textId="77777777" w:rsidR="006621BE" w:rsidRDefault="006621BE" w:rsidP="00D102CF">
      <w:pPr>
        <w:ind w:left="-284" w:right="-234"/>
        <w:jc w:val="both"/>
        <w:rPr>
          <w:rFonts w:ascii="Arial" w:hAnsi="Arial" w:cs="Arial"/>
          <w:b/>
          <w:sz w:val="24"/>
          <w:szCs w:val="24"/>
          <w:lang w:val="es-MX"/>
        </w:rPr>
      </w:pPr>
    </w:p>
    <w:p w14:paraId="7DA2B312" w14:textId="77777777" w:rsidR="006621BE" w:rsidRPr="00344677" w:rsidRDefault="006621BE" w:rsidP="00D102CF">
      <w:pPr>
        <w:ind w:left="-284" w:right="-234"/>
        <w:jc w:val="both"/>
        <w:rPr>
          <w:rFonts w:ascii="Arial" w:hAnsi="Arial" w:cs="Arial"/>
          <w:b/>
          <w:sz w:val="28"/>
          <w:szCs w:val="28"/>
          <w:lang w:val="es-MX"/>
        </w:rPr>
      </w:pPr>
      <w:r w:rsidRPr="00344677">
        <w:rPr>
          <w:rFonts w:ascii="Arial" w:hAnsi="Arial" w:cs="Arial"/>
          <w:b/>
          <w:sz w:val="28"/>
          <w:szCs w:val="28"/>
          <w:lang w:val="es-MX"/>
        </w:rPr>
        <w:t xml:space="preserve">229.- </w:t>
      </w:r>
      <w:r w:rsidRPr="00344677">
        <w:rPr>
          <w:rFonts w:ascii="Arial" w:hAnsi="Arial" w:cs="Arial"/>
          <w:b/>
          <w:sz w:val="28"/>
          <w:szCs w:val="28"/>
        </w:rPr>
        <w:t>CAJA DE RETIRO DE LAS FUERZAS MILITARES - CREMIL</w:t>
      </w:r>
      <w:r w:rsidRPr="00344677">
        <w:rPr>
          <w:rFonts w:ascii="Arial" w:hAnsi="Arial" w:cs="Arial"/>
          <w:b/>
          <w:sz w:val="28"/>
          <w:szCs w:val="28"/>
          <w:lang w:val="es-MX"/>
        </w:rPr>
        <w:t>.</w:t>
      </w:r>
    </w:p>
    <w:p w14:paraId="65BCBA44" w14:textId="77777777" w:rsidR="006621BE" w:rsidRDefault="006621BE" w:rsidP="006621BE">
      <w:pPr>
        <w:ind w:left="-284" w:right="49"/>
        <w:jc w:val="both"/>
        <w:rPr>
          <w:rFonts w:ascii="Arial" w:hAnsi="Arial" w:cs="Arial"/>
          <w:b/>
          <w:sz w:val="24"/>
          <w:szCs w:val="24"/>
          <w:lang w:val="es-MX"/>
        </w:rPr>
      </w:pPr>
    </w:p>
    <w:p w14:paraId="14429EF1" w14:textId="77777777" w:rsidR="006621BE" w:rsidRPr="00D00717" w:rsidRDefault="006621BE" w:rsidP="00D102CF">
      <w:pPr>
        <w:pStyle w:val="Textoindependiente"/>
        <w:ind w:left="-284" w:right="-234"/>
        <w:jc w:val="both"/>
        <w:rPr>
          <w:rFonts w:ascii="Arial" w:hAnsi="Arial" w:cs="Arial"/>
          <w:sz w:val="24"/>
          <w:szCs w:val="24"/>
        </w:rPr>
      </w:pPr>
      <w:r w:rsidRPr="00D00717">
        <w:rPr>
          <w:rFonts w:ascii="Arial" w:hAnsi="Arial" w:cs="Arial"/>
          <w:b/>
          <w:sz w:val="24"/>
          <w:szCs w:val="24"/>
        </w:rPr>
        <w:t xml:space="preserve">1.2. Declaración de Cumplimiento del marco Normativo y Limitación: </w:t>
      </w:r>
      <w:r w:rsidRPr="00D00717">
        <w:rPr>
          <w:rFonts w:ascii="Arial" w:hAnsi="Arial" w:cs="Arial"/>
          <w:sz w:val="24"/>
          <w:szCs w:val="24"/>
        </w:rPr>
        <w:t xml:space="preserve">(…) En cuanto a la integralidad del sistema SIIF Nación y su interoperabilidad con los sistemas de gestión contable empleados por CREMIL, para administrar los procesos de administración de bienes de almacén, facturación y cartera y acreedores varios y para el registro de cuentas auxiliares se debe comentar que el SIIF Nación no cuenta con las 6 funcionalidades que integrarían los sistemas de información de la entidad. </w:t>
      </w:r>
    </w:p>
    <w:p w14:paraId="5AD84E07" w14:textId="77777777" w:rsidR="006621BE" w:rsidRPr="00D00717" w:rsidRDefault="006621BE" w:rsidP="006621BE">
      <w:pPr>
        <w:pStyle w:val="Textoindependiente"/>
        <w:ind w:right="-50"/>
        <w:jc w:val="both"/>
        <w:rPr>
          <w:rFonts w:ascii="Arial" w:hAnsi="Arial" w:cs="Arial"/>
          <w:sz w:val="24"/>
          <w:szCs w:val="24"/>
        </w:rPr>
      </w:pPr>
    </w:p>
    <w:p w14:paraId="37365183" w14:textId="77777777" w:rsidR="006621BE" w:rsidRPr="00F7784D" w:rsidRDefault="006621BE" w:rsidP="00D102CF">
      <w:pPr>
        <w:ind w:left="-284"/>
        <w:jc w:val="both"/>
        <w:rPr>
          <w:rFonts w:ascii="Arial" w:hAnsi="Arial" w:cs="Arial"/>
          <w:b/>
          <w:sz w:val="28"/>
          <w:szCs w:val="28"/>
          <w:lang w:val="es-MX"/>
        </w:rPr>
      </w:pPr>
      <w:r w:rsidRPr="00F7784D">
        <w:rPr>
          <w:rFonts w:ascii="Arial" w:hAnsi="Arial" w:cs="Arial"/>
          <w:b/>
          <w:sz w:val="28"/>
          <w:szCs w:val="28"/>
          <w:lang w:val="es-MX"/>
        </w:rPr>
        <w:t xml:space="preserve">240.- </w:t>
      </w:r>
      <w:r w:rsidRPr="00F7784D">
        <w:rPr>
          <w:rFonts w:ascii="Arial" w:hAnsi="Arial" w:cs="Arial"/>
          <w:b/>
          <w:sz w:val="28"/>
          <w:szCs w:val="28"/>
        </w:rPr>
        <w:t>AUTORIDAD NACIONAL DE LICENCIAS AMBIENTALES - ANLA</w:t>
      </w:r>
      <w:r w:rsidRPr="00F7784D">
        <w:rPr>
          <w:rFonts w:ascii="Arial" w:hAnsi="Arial" w:cs="Arial"/>
          <w:b/>
          <w:sz w:val="28"/>
          <w:szCs w:val="28"/>
          <w:lang w:val="es-MX"/>
        </w:rPr>
        <w:t>.</w:t>
      </w:r>
    </w:p>
    <w:p w14:paraId="39E1E8CE" w14:textId="77777777" w:rsidR="006621BE" w:rsidRDefault="006621BE" w:rsidP="006621BE">
      <w:pPr>
        <w:ind w:left="-284" w:right="49"/>
        <w:jc w:val="both"/>
        <w:rPr>
          <w:rFonts w:ascii="Arial" w:hAnsi="Arial" w:cs="Arial"/>
          <w:b/>
          <w:sz w:val="24"/>
          <w:szCs w:val="24"/>
          <w:lang w:val="es-MX"/>
        </w:rPr>
      </w:pPr>
    </w:p>
    <w:p w14:paraId="2AACF4FD" w14:textId="77777777" w:rsidR="006621BE" w:rsidRPr="00F7784D" w:rsidRDefault="006621BE" w:rsidP="00D102CF">
      <w:pPr>
        <w:pStyle w:val="Textoindependiente"/>
        <w:ind w:left="-284" w:right="-234"/>
        <w:jc w:val="both"/>
        <w:rPr>
          <w:rFonts w:ascii="Arial" w:hAnsi="Arial" w:cs="Arial"/>
          <w:b/>
          <w:sz w:val="24"/>
          <w:szCs w:val="24"/>
        </w:rPr>
      </w:pPr>
      <w:r>
        <w:rPr>
          <w:b/>
        </w:rPr>
        <w:t>1</w:t>
      </w:r>
      <w:r w:rsidRPr="00F7784D">
        <w:rPr>
          <w:rFonts w:ascii="Arial" w:hAnsi="Arial" w:cs="Arial"/>
          <w:b/>
          <w:sz w:val="24"/>
          <w:szCs w:val="24"/>
        </w:rPr>
        <w:t xml:space="preserve">.2.2.Limitaciones y Deficiencias de Tipo Operativo o Administrativo que Inciden en el Desarrollo del Proceso Contable: </w:t>
      </w:r>
      <w:r w:rsidRPr="00F7784D">
        <w:rPr>
          <w:rFonts w:ascii="Arial" w:hAnsi="Arial" w:cs="Arial"/>
          <w:sz w:val="24"/>
          <w:szCs w:val="24"/>
        </w:rPr>
        <w:t>Se menciona la integralidad del sistema SIIF Nación II a nivel contable, dado que aún no se cuenta con los módulos de activos fijos y nómina integrados, y se deben tener sistemas de gestión auxiliares por ende los registros contables originados en dichos procesos se deben realizar de forma manual, al igual que los relacionados con procesos judiciales, no obstante, en la entidad se realizan conciliaciones entre las áreas, para verificar la consistencia de los registros.</w:t>
      </w:r>
    </w:p>
    <w:p w14:paraId="483F52B2" w14:textId="77777777" w:rsidR="006621BE" w:rsidRDefault="006621BE" w:rsidP="006621BE">
      <w:pPr>
        <w:ind w:left="-284" w:right="49"/>
        <w:jc w:val="both"/>
        <w:rPr>
          <w:rFonts w:ascii="Arial" w:hAnsi="Arial" w:cs="Arial"/>
          <w:b/>
          <w:sz w:val="24"/>
          <w:szCs w:val="24"/>
          <w:lang w:val="es-MX"/>
        </w:rPr>
      </w:pPr>
    </w:p>
    <w:p w14:paraId="405446C3" w14:textId="77777777" w:rsidR="006621BE" w:rsidRPr="003356FC" w:rsidRDefault="006621BE" w:rsidP="00F65172">
      <w:pPr>
        <w:ind w:left="-284" w:right="-234"/>
        <w:jc w:val="both"/>
        <w:rPr>
          <w:rFonts w:ascii="Arial" w:hAnsi="Arial" w:cs="Arial"/>
          <w:b/>
          <w:sz w:val="28"/>
          <w:szCs w:val="28"/>
          <w:lang w:val="es-MX"/>
        </w:rPr>
      </w:pPr>
      <w:r w:rsidRPr="003356FC">
        <w:rPr>
          <w:rFonts w:ascii="Arial" w:hAnsi="Arial" w:cs="Arial"/>
          <w:b/>
          <w:sz w:val="28"/>
          <w:szCs w:val="28"/>
          <w:lang w:val="es-MX"/>
        </w:rPr>
        <w:t xml:space="preserve">247.- INSTITUTO NACIONAL DE VIGILANCIA DE MEDICAMENTOS Y ALIMENTOS – INVIMA. </w:t>
      </w:r>
    </w:p>
    <w:p w14:paraId="7C2B8758"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503F97" w14:paraId="173F70F8" w14:textId="77777777" w:rsidTr="00F65172">
        <w:tc>
          <w:tcPr>
            <w:tcW w:w="993" w:type="dxa"/>
          </w:tcPr>
          <w:p w14:paraId="2CF43960" w14:textId="77777777" w:rsidR="006621BE" w:rsidRPr="00503F97" w:rsidRDefault="006621BE" w:rsidP="00EF5AF2">
            <w:pPr>
              <w:tabs>
                <w:tab w:val="left" w:pos="875"/>
              </w:tabs>
              <w:ind w:right="-50"/>
              <w:jc w:val="center"/>
              <w:rPr>
                <w:rFonts w:ascii="Arial" w:hAnsi="Arial" w:cs="Arial"/>
                <w:b/>
              </w:rPr>
            </w:pPr>
            <w:r w:rsidRPr="00503F97">
              <w:rPr>
                <w:rFonts w:ascii="Arial" w:hAnsi="Arial" w:cs="Arial"/>
                <w:b/>
              </w:rPr>
              <w:t>N°</w:t>
            </w:r>
          </w:p>
        </w:tc>
        <w:tc>
          <w:tcPr>
            <w:tcW w:w="4253" w:type="dxa"/>
          </w:tcPr>
          <w:p w14:paraId="3049DBD6" w14:textId="77777777" w:rsidR="006621BE" w:rsidRPr="00503F97" w:rsidRDefault="006621BE" w:rsidP="00EF5AF2">
            <w:pPr>
              <w:tabs>
                <w:tab w:val="left" w:pos="875"/>
              </w:tabs>
              <w:ind w:right="-50"/>
              <w:jc w:val="center"/>
              <w:rPr>
                <w:rFonts w:ascii="Arial" w:hAnsi="Arial" w:cs="Arial"/>
                <w:b/>
              </w:rPr>
            </w:pPr>
            <w:r w:rsidRPr="00503F97">
              <w:rPr>
                <w:rFonts w:ascii="Arial" w:hAnsi="Arial" w:cs="Arial"/>
                <w:b/>
              </w:rPr>
              <w:t>Limitaciones del Sistema SIIF II Nación a 31/12/2024</w:t>
            </w:r>
          </w:p>
          <w:p w14:paraId="1C8370EB" w14:textId="77777777" w:rsidR="006621BE" w:rsidRPr="00503F97" w:rsidRDefault="006621BE" w:rsidP="00EF5AF2">
            <w:pPr>
              <w:tabs>
                <w:tab w:val="left" w:pos="875"/>
              </w:tabs>
              <w:ind w:right="-50"/>
              <w:jc w:val="center"/>
              <w:rPr>
                <w:rFonts w:ascii="Arial" w:hAnsi="Arial" w:cs="Arial"/>
                <w:b/>
              </w:rPr>
            </w:pPr>
          </w:p>
        </w:tc>
        <w:tc>
          <w:tcPr>
            <w:tcW w:w="5244" w:type="dxa"/>
          </w:tcPr>
          <w:p w14:paraId="798FA87B" w14:textId="77777777" w:rsidR="006621BE" w:rsidRPr="00503F97" w:rsidRDefault="006621BE" w:rsidP="00EF5AF2">
            <w:pPr>
              <w:tabs>
                <w:tab w:val="left" w:pos="875"/>
              </w:tabs>
              <w:ind w:right="-50"/>
              <w:jc w:val="center"/>
              <w:rPr>
                <w:rFonts w:ascii="Arial" w:hAnsi="Arial" w:cs="Arial"/>
                <w:b/>
              </w:rPr>
            </w:pPr>
            <w:r w:rsidRPr="00503F97">
              <w:rPr>
                <w:rFonts w:ascii="Arial" w:hAnsi="Arial" w:cs="Arial"/>
                <w:b/>
              </w:rPr>
              <w:t>Descripción de la limitación</w:t>
            </w:r>
          </w:p>
        </w:tc>
      </w:tr>
      <w:tr w:rsidR="006621BE" w:rsidRPr="00503F97" w14:paraId="644D20C5" w14:textId="77777777" w:rsidTr="00F65172">
        <w:tc>
          <w:tcPr>
            <w:tcW w:w="993" w:type="dxa"/>
          </w:tcPr>
          <w:p w14:paraId="77DD9E5A" w14:textId="77777777" w:rsidR="006621BE" w:rsidRPr="00503F97" w:rsidRDefault="006621BE" w:rsidP="00EF5AF2">
            <w:pPr>
              <w:tabs>
                <w:tab w:val="left" w:pos="875"/>
              </w:tabs>
              <w:ind w:right="-50"/>
              <w:jc w:val="center"/>
              <w:rPr>
                <w:rFonts w:ascii="Arial" w:hAnsi="Arial" w:cs="Arial"/>
                <w:b/>
              </w:rPr>
            </w:pPr>
            <w:r>
              <w:rPr>
                <w:rFonts w:ascii="Arial" w:hAnsi="Arial" w:cs="Arial"/>
                <w:b/>
              </w:rPr>
              <w:t>1</w:t>
            </w:r>
          </w:p>
        </w:tc>
        <w:tc>
          <w:tcPr>
            <w:tcW w:w="4253" w:type="dxa"/>
          </w:tcPr>
          <w:p w14:paraId="0C10CEBF" w14:textId="77777777" w:rsidR="006621BE" w:rsidRPr="00503F97" w:rsidRDefault="006621BE" w:rsidP="00EF5AF2">
            <w:pPr>
              <w:tabs>
                <w:tab w:val="left" w:pos="875"/>
              </w:tabs>
              <w:ind w:right="-50"/>
              <w:jc w:val="both"/>
              <w:rPr>
                <w:rFonts w:ascii="Arial" w:hAnsi="Arial" w:cs="Arial"/>
                <w:b/>
              </w:rPr>
            </w:pPr>
            <w:r w:rsidRPr="00503F97">
              <w:rPr>
                <w:rFonts w:ascii="Arial" w:hAnsi="Arial" w:cs="Arial"/>
                <w:b/>
              </w:rPr>
              <w:t>Operativas:</w:t>
            </w:r>
          </w:p>
        </w:tc>
        <w:tc>
          <w:tcPr>
            <w:tcW w:w="5244" w:type="dxa"/>
          </w:tcPr>
          <w:p w14:paraId="7BD82629" w14:textId="77777777" w:rsidR="006621BE" w:rsidRPr="00503F97" w:rsidRDefault="006621BE" w:rsidP="00EF5AF2">
            <w:pPr>
              <w:tabs>
                <w:tab w:val="left" w:pos="875"/>
              </w:tabs>
              <w:ind w:right="-50"/>
              <w:jc w:val="both"/>
              <w:rPr>
                <w:rFonts w:ascii="Arial" w:hAnsi="Arial" w:cs="Arial"/>
              </w:rPr>
            </w:pPr>
            <w:r w:rsidRPr="00503F97">
              <w:rPr>
                <w:rFonts w:ascii="Arial" w:hAnsi="Arial" w:cs="Arial"/>
              </w:rPr>
              <w:t>Aun no se encuentra la parametrización del manual tarifario e ingresos del INVIMA dentro del módulo de Derechos de Cartera de SIIF NACIÓN.</w:t>
            </w:r>
          </w:p>
          <w:p w14:paraId="2E3CFC9D" w14:textId="77777777" w:rsidR="006621BE" w:rsidRPr="00503F97" w:rsidRDefault="006621BE" w:rsidP="00EF5AF2">
            <w:pPr>
              <w:tabs>
                <w:tab w:val="left" w:pos="875"/>
              </w:tabs>
              <w:ind w:right="-50"/>
              <w:jc w:val="both"/>
              <w:rPr>
                <w:rFonts w:ascii="Arial" w:hAnsi="Arial" w:cs="Arial"/>
              </w:rPr>
            </w:pPr>
          </w:p>
          <w:p w14:paraId="74B3E77A" w14:textId="77777777" w:rsidR="006621BE" w:rsidRPr="00503F97" w:rsidRDefault="006621BE" w:rsidP="00EF5AF2">
            <w:pPr>
              <w:tabs>
                <w:tab w:val="left" w:pos="875"/>
              </w:tabs>
              <w:ind w:right="-50"/>
              <w:jc w:val="both"/>
              <w:rPr>
                <w:rFonts w:ascii="Arial" w:hAnsi="Arial" w:cs="Arial"/>
              </w:rPr>
            </w:pPr>
            <w:r w:rsidRPr="00503F97">
              <w:rPr>
                <w:rFonts w:ascii="Arial" w:hAnsi="Arial" w:cs="Arial"/>
              </w:rPr>
              <w:t>La plataforma de validación de factura electrónica de SIIF Nación, genera retrasos en el cierre de la vigencia.</w:t>
            </w:r>
          </w:p>
          <w:p w14:paraId="34C4285C" w14:textId="77777777" w:rsidR="006621BE" w:rsidRPr="00503F97" w:rsidRDefault="006621BE" w:rsidP="00EF5AF2">
            <w:pPr>
              <w:tabs>
                <w:tab w:val="left" w:pos="875"/>
              </w:tabs>
              <w:ind w:right="-50"/>
              <w:jc w:val="both"/>
              <w:rPr>
                <w:rFonts w:ascii="Arial" w:hAnsi="Arial" w:cs="Arial"/>
              </w:rPr>
            </w:pPr>
            <w:r w:rsidRPr="00503F97">
              <w:rPr>
                <w:rFonts w:ascii="Arial" w:hAnsi="Arial" w:cs="Arial"/>
              </w:rPr>
              <w:t xml:space="preserve">La manera de consulta del estado de una factura electrónica cargada para la casación contable no se evidencia transaccionalmente. </w:t>
            </w:r>
          </w:p>
        </w:tc>
      </w:tr>
      <w:tr w:rsidR="006621BE" w:rsidRPr="00503F97" w14:paraId="41A9AD9C" w14:textId="77777777" w:rsidTr="00F65172">
        <w:tc>
          <w:tcPr>
            <w:tcW w:w="993" w:type="dxa"/>
          </w:tcPr>
          <w:p w14:paraId="7DEF0D1D" w14:textId="77777777" w:rsidR="006621BE" w:rsidRPr="00503F97" w:rsidRDefault="006621BE" w:rsidP="00EF5AF2">
            <w:pPr>
              <w:tabs>
                <w:tab w:val="left" w:pos="875"/>
              </w:tabs>
              <w:ind w:right="-50"/>
              <w:jc w:val="center"/>
              <w:rPr>
                <w:rFonts w:ascii="Arial" w:hAnsi="Arial" w:cs="Arial"/>
                <w:b/>
              </w:rPr>
            </w:pPr>
            <w:r>
              <w:rPr>
                <w:rFonts w:ascii="Arial" w:hAnsi="Arial" w:cs="Arial"/>
                <w:b/>
              </w:rPr>
              <w:t>2</w:t>
            </w:r>
          </w:p>
        </w:tc>
        <w:tc>
          <w:tcPr>
            <w:tcW w:w="4253" w:type="dxa"/>
          </w:tcPr>
          <w:p w14:paraId="56D712C9" w14:textId="77777777" w:rsidR="006621BE" w:rsidRPr="00503F97" w:rsidRDefault="006621BE" w:rsidP="00EF5AF2">
            <w:pPr>
              <w:tabs>
                <w:tab w:val="left" w:pos="875"/>
              </w:tabs>
              <w:ind w:right="-50"/>
              <w:jc w:val="both"/>
              <w:rPr>
                <w:rFonts w:ascii="Arial" w:hAnsi="Arial" w:cs="Arial"/>
                <w:b/>
              </w:rPr>
            </w:pPr>
            <w:r w:rsidRPr="00503F97">
              <w:rPr>
                <w:rFonts w:ascii="Arial" w:hAnsi="Arial" w:cs="Arial"/>
                <w:b/>
              </w:rPr>
              <w:t>Soporte a la plataforma:</w:t>
            </w:r>
          </w:p>
        </w:tc>
        <w:tc>
          <w:tcPr>
            <w:tcW w:w="5244" w:type="dxa"/>
          </w:tcPr>
          <w:p w14:paraId="13F88F99" w14:textId="77777777" w:rsidR="006621BE" w:rsidRPr="00503F97" w:rsidRDefault="006621BE" w:rsidP="00EF5AF2">
            <w:pPr>
              <w:tabs>
                <w:tab w:val="left" w:pos="875"/>
              </w:tabs>
              <w:ind w:right="-50"/>
              <w:jc w:val="both"/>
              <w:rPr>
                <w:rFonts w:ascii="Arial" w:hAnsi="Arial" w:cs="Arial"/>
              </w:rPr>
            </w:pPr>
            <w:r w:rsidRPr="00503F97">
              <w:rPr>
                <w:rFonts w:ascii="Arial" w:hAnsi="Arial" w:cs="Arial"/>
              </w:rPr>
              <w:t xml:space="preserve">El primer nivel de soporte SIIF no atiende de fondo los requerimientos de acceso a la plataforma o errores que se presenten en la operatividad del sistema, desconociendo la tipología de los errores en el uso del </w:t>
            </w:r>
            <w:r w:rsidRPr="00503F97">
              <w:rPr>
                <w:rFonts w:ascii="Arial" w:hAnsi="Arial" w:cs="Arial"/>
              </w:rPr>
              <w:lastRenderedPageBreak/>
              <w:t>aplicativo.</w:t>
            </w:r>
          </w:p>
        </w:tc>
      </w:tr>
    </w:tbl>
    <w:p w14:paraId="25760906" w14:textId="77777777" w:rsidR="006621BE" w:rsidRDefault="006621BE" w:rsidP="006621BE">
      <w:pPr>
        <w:ind w:left="-284" w:right="49"/>
        <w:jc w:val="both"/>
        <w:rPr>
          <w:rFonts w:ascii="Arial" w:hAnsi="Arial" w:cs="Arial"/>
          <w:b/>
          <w:sz w:val="24"/>
          <w:szCs w:val="24"/>
        </w:rPr>
      </w:pPr>
    </w:p>
    <w:p w14:paraId="3C44EC5E" w14:textId="77777777" w:rsidR="006621BE" w:rsidRPr="00674FEC" w:rsidRDefault="006621BE" w:rsidP="00F65172">
      <w:pPr>
        <w:ind w:left="-284"/>
        <w:jc w:val="both"/>
        <w:rPr>
          <w:rFonts w:ascii="Arial" w:hAnsi="Arial" w:cs="Arial"/>
          <w:b/>
          <w:sz w:val="28"/>
          <w:szCs w:val="28"/>
          <w:lang w:val="es-MX"/>
        </w:rPr>
      </w:pPr>
      <w:r w:rsidRPr="00674FEC">
        <w:rPr>
          <w:rFonts w:ascii="Arial" w:hAnsi="Arial" w:cs="Arial"/>
          <w:b/>
          <w:sz w:val="28"/>
          <w:szCs w:val="28"/>
          <w:lang w:val="es-MX"/>
        </w:rPr>
        <w:t>250.- MINISTERIO DE COMERCIO, INDUSTRIA Y TURISMO – MINCIT.</w:t>
      </w:r>
    </w:p>
    <w:p w14:paraId="3B2CAD09"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1125C4" w14:paraId="0C92A2EC" w14:textId="77777777" w:rsidTr="00F65172">
        <w:tc>
          <w:tcPr>
            <w:tcW w:w="993" w:type="dxa"/>
          </w:tcPr>
          <w:p w14:paraId="3BF718C6" w14:textId="77777777" w:rsidR="006621BE" w:rsidRPr="001125C4" w:rsidRDefault="006621BE" w:rsidP="00EF5AF2">
            <w:pPr>
              <w:tabs>
                <w:tab w:val="left" w:pos="875"/>
              </w:tabs>
              <w:ind w:right="-50"/>
              <w:jc w:val="center"/>
              <w:rPr>
                <w:rFonts w:ascii="Arial" w:hAnsi="Arial" w:cs="Arial"/>
                <w:b/>
              </w:rPr>
            </w:pPr>
            <w:r w:rsidRPr="001125C4">
              <w:rPr>
                <w:rFonts w:ascii="Arial" w:hAnsi="Arial" w:cs="Arial"/>
                <w:b/>
              </w:rPr>
              <w:t>N°</w:t>
            </w:r>
          </w:p>
        </w:tc>
        <w:tc>
          <w:tcPr>
            <w:tcW w:w="4253" w:type="dxa"/>
          </w:tcPr>
          <w:p w14:paraId="117E29FE" w14:textId="77777777" w:rsidR="006621BE" w:rsidRPr="001125C4" w:rsidRDefault="006621BE" w:rsidP="00EF5AF2">
            <w:pPr>
              <w:tabs>
                <w:tab w:val="left" w:pos="875"/>
              </w:tabs>
              <w:ind w:right="-50"/>
              <w:jc w:val="center"/>
              <w:rPr>
                <w:rFonts w:ascii="Arial" w:hAnsi="Arial" w:cs="Arial"/>
                <w:b/>
              </w:rPr>
            </w:pPr>
            <w:r w:rsidRPr="001125C4">
              <w:rPr>
                <w:rFonts w:ascii="Arial" w:hAnsi="Arial" w:cs="Arial"/>
                <w:b/>
              </w:rPr>
              <w:t>Limitaciones del Sistema SIIF II Nación a 31/12/2024</w:t>
            </w:r>
          </w:p>
          <w:p w14:paraId="301DA262" w14:textId="77777777" w:rsidR="006621BE" w:rsidRPr="001125C4" w:rsidRDefault="006621BE" w:rsidP="00EF5AF2">
            <w:pPr>
              <w:tabs>
                <w:tab w:val="left" w:pos="875"/>
              </w:tabs>
              <w:ind w:right="-50"/>
              <w:jc w:val="center"/>
              <w:rPr>
                <w:rFonts w:ascii="Arial" w:hAnsi="Arial" w:cs="Arial"/>
                <w:b/>
              </w:rPr>
            </w:pPr>
          </w:p>
        </w:tc>
        <w:tc>
          <w:tcPr>
            <w:tcW w:w="5244" w:type="dxa"/>
          </w:tcPr>
          <w:p w14:paraId="7BEB4A69" w14:textId="77777777" w:rsidR="006621BE" w:rsidRPr="001125C4" w:rsidRDefault="006621BE" w:rsidP="00EF5AF2">
            <w:pPr>
              <w:tabs>
                <w:tab w:val="left" w:pos="875"/>
              </w:tabs>
              <w:ind w:right="-50"/>
              <w:jc w:val="center"/>
              <w:rPr>
                <w:rFonts w:ascii="Arial" w:hAnsi="Arial" w:cs="Arial"/>
                <w:b/>
              </w:rPr>
            </w:pPr>
            <w:r w:rsidRPr="001125C4">
              <w:rPr>
                <w:rFonts w:ascii="Arial" w:hAnsi="Arial" w:cs="Arial"/>
                <w:b/>
              </w:rPr>
              <w:t>Descripción de la limitación</w:t>
            </w:r>
          </w:p>
        </w:tc>
      </w:tr>
      <w:tr w:rsidR="006621BE" w:rsidRPr="001125C4" w14:paraId="45B6759C" w14:textId="77777777" w:rsidTr="00F65172">
        <w:tc>
          <w:tcPr>
            <w:tcW w:w="993" w:type="dxa"/>
          </w:tcPr>
          <w:p w14:paraId="7080E61D" w14:textId="77777777" w:rsidR="006621BE" w:rsidRPr="001125C4" w:rsidRDefault="006621BE" w:rsidP="00EF5AF2">
            <w:pPr>
              <w:tabs>
                <w:tab w:val="left" w:pos="875"/>
              </w:tabs>
              <w:ind w:right="-50"/>
              <w:jc w:val="center"/>
              <w:rPr>
                <w:rFonts w:ascii="Arial" w:hAnsi="Arial" w:cs="Arial"/>
                <w:b/>
              </w:rPr>
            </w:pPr>
            <w:r w:rsidRPr="001125C4">
              <w:rPr>
                <w:rFonts w:ascii="Arial" w:hAnsi="Arial" w:cs="Arial"/>
                <w:b/>
              </w:rPr>
              <w:t>1</w:t>
            </w:r>
          </w:p>
        </w:tc>
        <w:tc>
          <w:tcPr>
            <w:tcW w:w="4253" w:type="dxa"/>
          </w:tcPr>
          <w:p w14:paraId="1C08D116" w14:textId="77777777" w:rsidR="006621BE" w:rsidRPr="001125C4" w:rsidRDefault="006621BE" w:rsidP="00EF5AF2">
            <w:pPr>
              <w:tabs>
                <w:tab w:val="left" w:pos="875"/>
              </w:tabs>
              <w:ind w:right="-50"/>
              <w:jc w:val="both"/>
              <w:rPr>
                <w:rFonts w:ascii="Arial" w:hAnsi="Arial" w:cs="Arial"/>
                <w:b/>
              </w:rPr>
            </w:pPr>
            <w:r w:rsidRPr="001125C4">
              <w:rPr>
                <w:rFonts w:ascii="Arial" w:hAnsi="Arial" w:cs="Arial"/>
                <w:b/>
              </w:rPr>
              <w:t>Operativas:</w:t>
            </w:r>
          </w:p>
        </w:tc>
        <w:tc>
          <w:tcPr>
            <w:tcW w:w="5244" w:type="dxa"/>
          </w:tcPr>
          <w:p w14:paraId="1949F7DC" w14:textId="77777777" w:rsidR="006621BE" w:rsidRPr="001125C4" w:rsidRDefault="006621BE" w:rsidP="00EF5AF2">
            <w:pPr>
              <w:tabs>
                <w:tab w:val="left" w:pos="875"/>
              </w:tabs>
              <w:ind w:right="-50"/>
              <w:jc w:val="both"/>
              <w:rPr>
                <w:rFonts w:ascii="Arial" w:hAnsi="Arial" w:cs="Arial"/>
              </w:rPr>
            </w:pPr>
            <w:r w:rsidRPr="001125C4">
              <w:rPr>
                <w:rFonts w:ascii="Arial" w:hAnsi="Arial" w:cs="Arial"/>
              </w:rPr>
              <w:t>Caídas e inconvenientes tecnológicos propios de un sistema que opera en línea.</w:t>
            </w:r>
          </w:p>
        </w:tc>
      </w:tr>
    </w:tbl>
    <w:p w14:paraId="03CAAE7A" w14:textId="77777777" w:rsidR="006621BE" w:rsidRDefault="006621BE" w:rsidP="006621BE">
      <w:pPr>
        <w:ind w:left="-284" w:right="49"/>
        <w:jc w:val="both"/>
        <w:rPr>
          <w:rFonts w:ascii="Arial" w:hAnsi="Arial" w:cs="Arial"/>
          <w:b/>
          <w:sz w:val="24"/>
          <w:szCs w:val="24"/>
        </w:rPr>
      </w:pPr>
    </w:p>
    <w:p w14:paraId="119438C4" w14:textId="1BBA47F4" w:rsidR="006621BE" w:rsidRDefault="006621BE" w:rsidP="00F65172">
      <w:pPr>
        <w:ind w:left="-284" w:right="49"/>
        <w:jc w:val="both"/>
        <w:rPr>
          <w:rFonts w:ascii="Arial" w:hAnsi="Arial" w:cs="Arial"/>
          <w:b/>
          <w:sz w:val="28"/>
          <w:szCs w:val="28"/>
          <w:lang w:val="es-MX"/>
        </w:rPr>
      </w:pPr>
      <w:r w:rsidRPr="00163274">
        <w:rPr>
          <w:rFonts w:ascii="Arial" w:hAnsi="Arial" w:cs="Arial"/>
          <w:b/>
          <w:sz w:val="28"/>
          <w:szCs w:val="28"/>
          <w:lang w:val="es-MX"/>
        </w:rPr>
        <w:t>257.- AGENCIA PARA LA REINCORPORACIÓN Y LA NORMALIZACIÓN – ARN.</w:t>
      </w:r>
    </w:p>
    <w:p w14:paraId="546713B0" w14:textId="77777777" w:rsidR="008E2438" w:rsidRPr="00163274" w:rsidRDefault="008E2438" w:rsidP="00F65172">
      <w:pPr>
        <w:ind w:left="-284" w:right="49"/>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5F63FF" w14:paraId="77E013EF" w14:textId="77777777" w:rsidTr="00F65172">
        <w:tc>
          <w:tcPr>
            <w:tcW w:w="993" w:type="dxa"/>
          </w:tcPr>
          <w:p w14:paraId="3EBBB9E1" w14:textId="77777777" w:rsidR="006621BE" w:rsidRPr="005F63FF" w:rsidRDefault="006621BE" w:rsidP="00EF5AF2">
            <w:pPr>
              <w:tabs>
                <w:tab w:val="left" w:pos="875"/>
              </w:tabs>
              <w:ind w:right="-50"/>
              <w:jc w:val="center"/>
              <w:rPr>
                <w:rFonts w:ascii="Arial" w:hAnsi="Arial" w:cs="Arial"/>
                <w:b/>
              </w:rPr>
            </w:pPr>
            <w:r w:rsidRPr="005F63FF">
              <w:rPr>
                <w:rFonts w:ascii="Arial" w:hAnsi="Arial" w:cs="Arial"/>
                <w:b/>
              </w:rPr>
              <w:t>N°</w:t>
            </w:r>
          </w:p>
        </w:tc>
        <w:tc>
          <w:tcPr>
            <w:tcW w:w="4253" w:type="dxa"/>
          </w:tcPr>
          <w:p w14:paraId="42D6B798" w14:textId="77777777" w:rsidR="006621BE" w:rsidRPr="005F63FF" w:rsidRDefault="006621BE" w:rsidP="00EF5AF2">
            <w:pPr>
              <w:tabs>
                <w:tab w:val="left" w:pos="875"/>
              </w:tabs>
              <w:ind w:right="-50"/>
              <w:jc w:val="center"/>
              <w:rPr>
                <w:rFonts w:ascii="Arial" w:hAnsi="Arial" w:cs="Arial"/>
                <w:b/>
              </w:rPr>
            </w:pPr>
            <w:r w:rsidRPr="005F63FF">
              <w:rPr>
                <w:rFonts w:ascii="Arial" w:hAnsi="Arial" w:cs="Arial"/>
                <w:b/>
              </w:rPr>
              <w:t>Limitaciones del Sistema SIIF II Nación a 31/12/2024</w:t>
            </w:r>
          </w:p>
          <w:p w14:paraId="424E074E" w14:textId="77777777" w:rsidR="006621BE" w:rsidRPr="005F63FF" w:rsidRDefault="006621BE" w:rsidP="00EF5AF2">
            <w:pPr>
              <w:tabs>
                <w:tab w:val="left" w:pos="875"/>
              </w:tabs>
              <w:ind w:right="-50"/>
              <w:jc w:val="center"/>
              <w:rPr>
                <w:rFonts w:ascii="Arial" w:hAnsi="Arial" w:cs="Arial"/>
                <w:b/>
              </w:rPr>
            </w:pPr>
          </w:p>
        </w:tc>
        <w:tc>
          <w:tcPr>
            <w:tcW w:w="5244" w:type="dxa"/>
          </w:tcPr>
          <w:p w14:paraId="467B00F2" w14:textId="77777777" w:rsidR="006621BE" w:rsidRPr="005F63FF" w:rsidRDefault="006621BE" w:rsidP="00EF5AF2">
            <w:pPr>
              <w:tabs>
                <w:tab w:val="left" w:pos="875"/>
              </w:tabs>
              <w:ind w:right="-50"/>
              <w:jc w:val="center"/>
              <w:rPr>
                <w:rFonts w:ascii="Arial" w:hAnsi="Arial" w:cs="Arial"/>
                <w:b/>
              </w:rPr>
            </w:pPr>
            <w:r w:rsidRPr="005F63FF">
              <w:rPr>
                <w:rFonts w:ascii="Arial" w:hAnsi="Arial" w:cs="Arial"/>
                <w:b/>
              </w:rPr>
              <w:t>Descripción de la limitación</w:t>
            </w:r>
          </w:p>
        </w:tc>
      </w:tr>
      <w:tr w:rsidR="006621BE" w:rsidRPr="005F63FF" w14:paraId="21B71703" w14:textId="77777777" w:rsidTr="00F65172">
        <w:tc>
          <w:tcPr>
            <w:tcW w:w="993" w:type="dxa"/>
          </w:tcPr>
          <w:p w14:paraId="6A69B7B9" w14:textId="77777777" w:rsidR="006621BE" w:rsidRPr="005F63FF" w:rsidRDefault="006621BE" w:rsidP="00EF5AF2">
            <w:pPr>
              <w:tabs>
                <w:tab w:val="left" w:pos="875"/>
              </w:tabs>
              <w:ind w:right="-50"/>
              <w:jc w:val="center"/>
              <w:rPr>
                <w:rFonts w:ascii="Arial" w:hAnsi="Arial" w:cs="Arial"/>
                <w:b/>
              </w:rPr>
            </w:pPr>
            <w:r w:rsidRPr="005F63FF">
              <w:rPr>
                <w:rFonts w:ascii="Arial" w:hAnsi="Arial" w:cs="Arial"/>
                <w:b/>
              </w:rPr>
              <w:t>1</w:t>
            </w:r>
          </w:p>
        </w:tc>
        <w:tc>
          <w:tcPr>
            <w:tcW w:w="4253" w:type="dxa"/>
          </w:tcPr>
          <w:p w14:paraId="74BA36CE" w14:textId="77777777" w:rsidR="006621BE" w:rsidRPr="005F63FF" w:rsidRDefault="006621BE" w:rsidP="00EF5AF2">
            <w:pPr>
              <w:tabs>
                <w:tab w:val="left" w:pos="875"/>
              </w:tabs>
              <w:ind w:right="-50"/>
              <w:jc w:val="both"/>
              <w:rPr>
                <w:rFonts w:ascii="Arial" w:hAnsi="Arial" w:cs="Arial"/>
                <w:b/>
              </w:rPr>
            </w:pPr>
            <w:r w:rsidRPr="005F63FF">
              <w:rPr>
                <w:rFonts w:ascii="Arial" w:hAnsi="Arial" w:cs="Arial"/>
                <w:b/>
              </w:rPr>
              <w:t>Otras:</w:t>
            </w:r>
          </w:p>
        </w:tc>
        <w:tc>
          <w:tcPr>
            <w:tcW w:w="5244" w:type="dxa"/>
          </w:tcPr>
          <w:p w14:paraId="26D56DAE" w14:textId="77777777" w:rsidR="006621BE" w:rsidRPr="005F63FF" w:rsidRDefault="006621BE" w:rsidP="00EF5AF2">
            <w:pPr>
              <w:tabs>
                <w:tab w:val="left" w:pos="875"/>
              </w:tabs>
              <w:ind w:right="-50"/>
              <w:jc w:val="both"/>
              <w:rPr>
                <w:rFonts w:ascii="Arial" w:hAnsi="Arial" w:cs="Arial"/>
              </w:rPr>
            </w:pPr>
            <w:r w:rsidRPr="005F63FF">
              <w:rPr>
                <w:rFonts w:ascii="Arial" w:hAnsi="Arial" w:cs="Arial"/>
              </w:rPr>
              <w:t>Limitación en la aprobación dado que se realizó un bloqueo de recursos.</w:t>
            </w:r>
          </w:p>
          <w:p w14:paraId="64DD74F7" w14:textId="77777777" w:rsidR="006621BE" w:rsidRPr="005F63FF" w:rsidRDefault="006621BE" w:rsidP="00EF5AF2">
            <w:pPr>
              <w:tabs>
                <w:tab w:val="left" w:pos="875"/>
              </w:tabs>
              <w:ind w:right="-50"/>
              <w:jc w:val="both"/>
              <w:rPr>
                <w:rFonts w:ascii="Arial" w:hAnsi="Arial" w:cs="Arial"/>
              </w:rPr>
            </w:pPr>
          </w:p>
          <w:p w14:paraId="1EDD0FE2" w14:textId="77777777" w:rsidR="006621BE" w:rsidRPr="005F63FF" w:rsidRDefault="006621BE" w:rsidP="00EF5AF2">
            <w:pPr>
              <w:tabs>
                <w:tab w:val="left" w:pos="875"/>
              </w:tabs>
              <w:ind w:right="-50"/>
              <w:jc w:val="both"/>
              <w:rPr>
                <w:rFonts w:ascii="Arial" w:hAnsi="Arial" w:cs="Arial"/>
              </w:rPr>
            </w:pPr>
            <w:r w:rsidRPr="005F63FF">
              <w:rPr>
                <w:rFonts w:ascii="Arial" w:hAnsi="Arial" w:cs="Arial"/>
              </w:rPr>
              <w:t>Constitución de reserva inducida por limitación de PAC.</w:t>
            </w:r>
          </w:p>
        </w:tc>
      </w:tr>
    </w:tbl>
    <w:p w14:paraId="07FA93A1" w14:textId="77777777" w:rsidR="006621BE" w:rsidRDefault="006621BE" w:rsidP="006621BE">
      <w:pPr>
        <w:ind w:left="-284" w:right="49"/>
        <w:jc w:val="both"/>
        <w:rPr>
          <w:rFonts w:ascii="Arial" w:hAnsi="Arial" w:cs="Arial"/>
          <w:b/>
          <w:sz w:val="24"/>
          <w:szCs w:val="24"/>
        </w:rPr>
      </w:pPr>
    </w:p>
    <w:p w14:paraId="32FE2A2E" w14:textId="77777777" w:rsidR="006621BE" w:rsidRPr="00D61BCE" w:rsidRDefault="006621BE" w:rsidP="004B15A2">
      <w:pPr>
        <w:ind w:left="-284"/>
        <w:jc w:val="both"/>
        <w:rPr>
          <w:rFonts w:ascii="Arial" w:hAnsi="Arial" w:cs="Arial"/>
          <w:b/>
          <w:sz w:val="28"/>
          <w:szCs w:val="28"/>
          <w:lang w:val="es-MX"/>
        </w:rPr>
      </w:pPr>
      <w:r w:rsidRPr="00D61BCE">
        <w:rPr>
          <w:rFonts w:ascii="Arial" w:hAnsi="Arial" w:cs="Arial"/>
          <w:b/>
          <w:sz w:val="28"/>
          <w:szCs w:val="28"/>
          <w:lang w:val="es-MX"/>
        </w:rPr>
        <w:t>258.- COMPUTADORES PARA EDUCAR – CPE.</w:t>
      </w:r>
    </w:p>
    <w:p w14:paraId="5BA5045F" w14:textId="77777777" w:rsidR="006621BE" w:rsidRDefault="006621BE" w:rsidP="006621BE">
      <w:pPr>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851843" w14:paraId="7ABA57C4" w14:textId="77777777" w:rsidTr="004B15A2">
        <w:tc>
          <w:tcPr>
            <w:tcW w:w="993" w:type="dxa"/>
          </w:tcPr>
          <w:p w14:paraId="64A58C4C" w14:textId="77777777" w:rsidR="006621BE" w:rsidRPr="00851843" w:rsidRDefault="006621BE" w:rsidP="00EF5AF2">
            <w:pPr>
              <w:tabs>
                <w:tab w:val="left" w:pos="875"/>
              </w:tabs>
              <w:ind w:right="-50"/>
              <w:jc w:val="center"/>
              <w:rPr>
                <w:rFonts w:ascii="Arial" w:hAnsi="Arial" w:cs="Arial"/>
                <w:b/>
              </w:rPr>
            </w:pPr>
            <w:r w:rsidRPr="00851843">
              <w:rPr>
                <w:rFonts w:ascii="Arial" w:hAnsi="Arial" w:cs="Arial"/>
                <w:b/>
              </w:rPr>
              <w:t>N°</w:t>
            </w:r>
          </w:p>
        </w:tc>
        <w:tc>
          <w:tcPr>
            <w:tcW w:w="4253" w:type="dxa"/>
          </w:tcPr>
          <w:p w14:paraId="3E042D01" w14:textId="77777777" w:rsidR="006621BE" w:rsidRPr="00851843" w:rsidRDefault="006621BE" w:rsidP="00EF5AF2">
            <w:pPr>
              <w:tabs>
                <w:tab w:val="left" w:pos="875"/>
              </w:tabs>
              <w:ind w:right="-50"/>
              <w:jc w:val="center"/>
              <w:rPr>
                <w:rFonts w:ascii="Arial" w:hAnsi="Arial" w:cs="Arial"/>
                <w:b/>
              </w:rPr>
            </w:pPr>
            <w:r w:rsidRPr="00851843">
              <w:rPr>
                <w:rFonts w:ascii="Arial" w:hAnsi="Arial" w:cs="Arial"/>
                <w:b/>
              </w:rPr>
              <w:t>Limitaciones del Sistema SIIF II Nación a 31/12/2024</w:t>
            </w:r>
          </w:p>
          <w:p w14:paraId="413F60B2" w14:textId="77777777" w:rsidR="006621BE" w:rsidRPr="00851843" w:rsidRDefault="006621BE" w:rsidP="00EF5AF2">
            <w:pPr>
              <w:tabs>
                <w:tab w:val="left" w:pos="875"/>
              </w:tabs>
              <w:ind w:right="-50"/>
              <w:jc w:val="center"/>
              <w:rPr>
                <w:rFonts w:ascii="Arial" w:hAnsi="Arial" w:cs="Arial"/>
                <w:b/>
              </w:rPr>
            </w:pPr>
          </w:p>
        </w:tc>
        <w:tc>
          <w:tcPr>
            <w:tcW w:w="5244" w:type="dxa"/>
          </w:tcPr>
          <w:p w14:paraId="376D64A1" w14:textId="77777777" w:rsidR="006621BE" w:rsidRPr="00851843" w:rsidRDefault="006621BE" w:rsidP="00EF5AF2">
            <w:pPr>
              <w:tabs>
                <w:tab w:val="left" w:pos="875"/>
              </w:tabs>
              <w:ind w:right="-50"/>
              <w:jc w:val="center"/>
              <w:rPr>
                <w:rFonts w:ascii="Arial" w:hAnsi="Arial" w:cs="Arial"/>
                <w:b/>
              </w:rPr>
            </w:pPr>
            <w:r w:rsidRPr="00851843">
              <w:rPr>
                <w:rFonts w:ascii="Arial" w:hAnsi="Arial" w:cs="Arial"/>
                <w:b/>
              </w:rPr>
              <w:t>Descripción de la limitación</w:t>
            </w:r>
          </w:p>
        </w:tc>
      </w:tr>
      <w:tr w:rsidR="006621BE" w:rsidRPr="00851843" w14:paraId="5F9C0DC5" w14:textId="77777777" w:rsidTr="004B15A2">
        <w:tc>
          <w:tcPr>
            <w:tcW w:w="993" w:type="dxa"/>
          </w:tcPr>
          <w:p w14:paraId="59C5EDE4" w14:textId="77777777" w:rsidR="006621BE" w:rsidRPr="00851843" w:rsidRDefault="006621BE" w:rsidP="00EF5AF2">
            <w:pPr>
              <w:tabs>
                <w:tab w:val="left" w:pos="875"/>
              </w:tabs>
              <w:ind w:right="-50"/>
              <w:jc w:val="center"/>
              <w:rPr>
                <w:rFonts w:ascii="Arial" w:hAnsi="Arial" w:cs="Arial"/>
                <w:b/>
              </w:rPr>
            </w:pPr>
            <w:r w:rsidRPr="00851843">
              <w:rPr>
                <w:rFonts w:ascii="Arial" w:hAnsi="Arial" w:cs="Arial"/>
                <w:b/>
              </w:rPr>
              <w:t>1</w:t>
            </w:r>
          </w:p>
        </w:tc>
        <w:tc>
          <w:tcPr>
            <w:tcW w:w="4253" w:type="dxa"/>
          </w:tcPr>
          <w:p w14:paraId="19442F0E" w14:textId="77777777" w:rsidR="006621BE" w:rsidRPr="00851843" w:rsidRDefault="006621BE" w:rsidP="00EF5AF2">
            <w:pPr>
              <w:tabs>
                <w:tab w:val="left" w:pos="875"/>
              </w:tabs>
              <w:ind w:right="-50"/>
              <w:jc w:val="both"/>
              <w:rPr>
                <w:rFonts w:ascii="Arial" w:hAnsi="Arial" w:cs="Arial"/>
                <w:b/>
              </w:rPr>
            </w:pPr>
            <w:r w:rsidRPr="00851843">
              <w:rPr>
                <w:rFonts w:ascii="Arial" w:hAnsi="Arial" w:cs="Arial"/>
                <w:b/>
              </w:rPr>
              <w:t>Operativas:</w:t>
            </w:r>
          </w:p>
        </w:tc>
        <w:tc>
          <w:tcPr>
            <w:tcW w:w="5244" w:type="dxa"/>
          </w:tcPr>
          <w:p w14:paraId="67CDDCCA" w14:textId="77777777" w:rsidR="006621BE" w:rsidRPr="00851843" w:rsidRDefault="006621BE" w:rsidP="00EF5AF2">
            <w:pPr>
              <w:tabs>
                <w:tab w:val="left" w:pos="875"/>
              </w:tabs>
              <w:ind w:right="-50"/>
              <w:jc w:val="both"/>
              <w:rPr>
                <w:rFonts w:ascii="Arial" w:hAnsi="Arial" w:cs="Arial"/>
              </w:rPr>
            </w:pPr>
            <w:r w:rsidRPr="00851843">
              <w:rPr>
                <w:rFonts w:ascii="Arial" w:hAnsi="Arial" w:cs="Arial"/>
              </w:rPr>
              <w:t>Para el pago de las facturas de Acueducto, no es posible vincular instrucciones adicionales de pago, por lo que la entidad debe generar traspasos a pagaduría para estos pagos y asumir el gasto por Gravamen a Movimientos Financieros adicional.</w:t>
            </w:r>
          </w:p>
        </w:tc>
      </w:tr>
    </w:tbl>
    <w:p w14:paraId="00C916FC" w14:textId="77777777" w:rsidR="006621BE" w:rsidRPr="00851843" w:rsidRDefault="006621BE" w:rsidP="006621BE">
      <w:pPr>
        <w:jc w:val="both"/>
        <w:rPr>
          <w:rFonts w:ascii="Arial" w:hAnsi="Arial" w:cs="Arial"/>
          <w:b/>
          <w:sz w:val="28"/>
          <w:szCs w:val="28"/>
        </w:rPr>
      </w:pPr>
    </w:p>
    <w:p w14:paraId="3D8381E9" w14:textId="3EF437E8" w:rsidR="006621BE" w:rsidRDefault="006621BE" w:rsidP="004B15A2">
      <w:pPr>
        <w:ind w:left="-284"/>
        <w:jc w:val="both"/>
        <w:rPr>
          <w:rFonts w:ascii="Arial" w:hAnsi="Arial" w:cs="Arial"/>
          <w:b/>
          <w:sz w:val="28"/>
          <w:szCs w:val="28"/>
          <w:lang w:val="es-MX"/>
        </w:rPr>
      </w:pPr>
      <w:r w:rsidRPr="003E370B">
        <w:rPr>
          <w:rFonts w:ascii="Arial" w:hAnsi="Arial" w:cs="Arial"/>
          <w:b/>
          <w:sz w:val="28"/>
          <w:szCs w:val="28"/>
          <w:lang w:val="es-MX"/>
        </w:rPr>
        <w:t>264.- MINISTERIO DE EDUCACIÓN NACIONAL.</w:t>
      </w:r>
    </w:p>
    <w:p w14:paraId="3A1182B8" w14:textId="77777777" w:rsidR="00F65172" w:rsidRPr="003E370B" w:rsidRDefault="00F65172" w:rsidP="006621BE">
      <w:pPr>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DD3ABF" w14:paraId="63F16A45" w14:textId="77777777" w:rsidTr="004B15A2">
        <w:tc>
          <w:tcPr>
            <w:tcW w:w="993" w:type="dxa"/>
          </w:tcPr>
          <w:p w14:paraId="791BA29B" w14:textId="77777777" w:rsidR="006621BE" w:rsidRPr="00DD3ABF" w:rsidRDefault="006621BE" w:rsidP="00EF5AF2">
            <w:pPr>
              <w:tabs>
                <w:tab w:val="left" w:pos="875"/>
              </w:tabs>
              <w:ind w:right="-50"/>
              <w:jc w:val="center"/>
              <w:rPr>
                <w:rFonts w:ascii="Arial" w:hAnsi="Arial" w:cs="Arial"/>
                <w:b/>
              </w:rPr>
            </w:pPr>
            <w:r w:rsidRPr="00DD3ABF">
              <w:rPr>
                <w:rFonts w:ascii="Arial" w:hAnsi="Arial" w:cs="Arial"/>
                <w:b/>
              </w:rPr>
              <w:t>N°</w:t>
            </w:r>
          </w:p>
        </w:tc>
        <w:tc>
          <w:tcPr>
            <w:tcW w:w="4253" w:type="dxa"/>
          </w:tcPr>
          <w:p w14:paraId="343A0D3E" w14:textId="77777777" w:rsidR="006621BE" w:rsidRPr="00DD3ABF" w:rsidRDefault="006621BE" w:rsidP="00EF5AF2">
            <w:pPr>
              <w:tabs>
                <w:tab w:val="left" w:pos="875"/>
              </w:tabs>
              <w:ind w:right="-50"/>
              <w:jc w:val="center"/>
              <w:rPr>
                <w:rFonts w:ascii="Arial" w:hAnsi="Arial" w:cs="Arial"/>
                <w:b/>
              </w:rPr>
            </w:pPr>
            <w:r w:rsidRPr="00DD3ABF">
              <w:rPr>
                <w:rFonts w:ascii="Arial" w:hAnsi="Arial" w:cs="Arial"/>
                <w:b/>
              </w:rPr>
              <w:t>Limitaciones del Sistema SIIF II Nación a 31/12/2024</w:t>
            </w:r>
          </w:p>
          <w:p w14:paraId="321AE3F5" w14:textId="77777777" w:rsidR="006621BE" w:rsidRPr="00DD3ABF" w:rsidRDefault="006621BE" w:rsidP="00EF5AF2">
            <w:pPr>
              <w:tabs>
                <w:tab w:val="left" w:pos="875"/>
              </w:tabs>
              <w:ind w:right="-50"/>
              <w:jc w:val="center"/>
              <w:rPr>
                <w:rFonts w:ascii="Arial" w:hAnsi="Arial" w:cs="Arial"/>
                <w:b/>
              </w:rPr>
            </w:pPr>
          </w:p>
        </w:tc>
        <w:tc>
          <w:tcPr>
            <w:tcW w:w="5244" w:type="dxa"/>
          </w:tcPr>
          <w:p w14:paraId="4CA7FF13" w14:textId="77777777" w:rsidR="006621BE" w:rsidRPr="00DD3ABF" w:rsidRDefault="006621BE" w:rsidP="00EF5AF2">
            <w:pPr>
              <w:tabs>
                <w:tab w:val="left" w:pos="875"/>
              </w:tabs>
              <w:ind w:right="-50"/>
              <w:jc w:val="center"/>
              <w:rPr>
                <w:rFonts w:ascii="Arial" w:hAnsi="Arial" w:cs="Arial"/>
                <w:b/>
              </w:rPr>
            </w:pPr>
            <w:r w:rsidRPr="00DD3ABF">
              <w:rPr>
                <w:rFonts w:ascii="Arial" w:hAnsi="Arial" w:cs="Arial"/>
                <w:b/>
              </w:rPr>
              <w:t>Descripción de la limitación</w:t>
            </w:r>
          </w:p>
        </w:tc>
      </w:tr>
      <w:tr w:rsidR="006621BE" w:rsidRPr="00DD3ABF" w14:paraId="50C143EB" w14:textId="77777777" w:rsidTr="004B15A2">
        <w:trPr>
          <w:trHeight w:val="45"/>
        </w:trPr>
        <w:tc>
          <w:tcPr>
            <w:tcW w:w="993" w:type="dxa"/>
            <w:vMerge w:val="restart"/>
          </w:tcPr>
          <w:p w14:paraId="3F86C843" w14:textId="77777777" w:rsidR="006621BE" w:rsidRPr="00DD3ABF" w:rsidRDefault="006621BE" w:rsidP="00EF5AF2">
            <w:pPr>
              <w:tabs>
                <w:tab w:val="left" w:pos="875"/>
              </w:tabs>
              <w:ind w:right="-50"/>
              <w:jc w:val="center"/>
              <w:rPr>
                <w:rFonts w:ascii="Arial" w:hAnsi="Arial" w:cs="Arial"/>
                <w:b/>
              </w:rPr>
            </w:pPr>
            <w:r w:rsidRPr="00DD3ABF">
              <w:rPr>
                <w:rFonts w:ascii="Arial" w:hAnsi="Arial" w:cs="Arial"/>
                <w:b/>
              </w:rPr>
              <w:t>1</w:t>
            </w:r>
          </w:p>
        </w:tc>
        <w:tc>
          <w:tcPr>
            <w:tcW w:w="4253" w:type="dxa"/>
            <w:vMerge w:val="restart"/>
          </w:tcPr>
          <w:p w14:paraId="30BD7B19" w14:textId="77777777" w:rsidR="006621BE" w:rsidRPr="00DD3ABF" w:rsidRDefault="006621BE" w:rsidP="00EF5AF2">
            <w:pPr>
              <w:tabs>
                <w:tab w:val="left" w:pos="875"/>
              </w:tabs>
              <w:ind w:right="-50"/>
              <w:jc w:val="both"/>
              <w:rPr>
                <w:rFonts w:ascii="Arial" w:hAnsi="Arial" w:cs="Arial"/>
                <w:b/>
              </w:rPr>
            </w:pPr>
            <w:r w:rsidRPr="00DD3ABF">
              <w:rPr>
                <w:rFonts w:ascii="Arial" w:hAnsi="Arial" w:cs="Arial"/>
                <w:b/>
              </w:rPr>
              <w:t>Operativas:</w:t>
            </w:r>
          </w:p>
        </w:tc>
        <w:tc>
          <w:tcPr>
            <w:tcW w:w="5244" w:type="dxa"/>
          </w:tcPr>
          <w:p w14:paraId="70282FDE" w14:textId="77777777" w:rsidR="006621BE" w:rsidRPr="00DD3ABF" w:rsidRDefault="006621BE" w:rsidP="00EF5AF2">
            <w:pPr>
              <w:tabs>
                <w:tab w:val="left" w:pos="875"/>
              </w:tabs>
              <w:ind w:right="-50"/>
              <w:jc w:val="both"/>
              <w:rPr>
                <w:rFonts w:ascii="Arial" w:hAnsi="Arial" w:cs="Arial"/>
              </w:rPr>
            </w:pPr>
            <w:r w:rsidRPr="00DD3ABF">
              <w:rPr>
                <w:rFonts w:ascii="Arial" w:hAnsi="Arial" w:cs="Arial"/>
                <w:b/>
                <w:bCs/>
              </w:rPr>
              <w:t>Reciprocas:</w:t>
            </w:r>
            <w:r w:rsidRPr="00DD3ABF">
              <w:rPr>
                <w:rFonts w:ascii="Arial" w:hAnsi="Arial" w:cs="Arial"/>
              </w:rPr>
              <w:t xml:space="preserve"> El reporte de operaciones reciprocas disponible en el sistema no toma la totalidad con las entidades a reportar; por lo tanto, el MEN se ve en la necesidad de culminar el proceso manualmente.</w:t>
            </w:r>
          </w:p>
        </w:tc>
      </w:tr>
      <w:tr w:rsidR="006621BE" w:rsidRPr="00DD3ABF" w14:paraId="50F245B9" w14:textId="77777777" w:rsidTr="004B15A2">
        <w:trPr>
          <w:trHeight w:val="45"/>
        </w:trPr>
        <w:tc>
          <w:tcPr>
            <w:tcW w:w="993" w:type="dxa"/>
            <w:vMerge/>
          </w:tcPr>
          <w:p w14:paraId="21577A58" w14:textId="77777777" w:rsidR="006621BE" w:rsidRPr="00DD3ABF" w:rsidRDefault="006621BE" w:rsidP="00EF5AF2">
            <w:pPr>
              <w:tabs>
                <w:tab w:val="left" w:pos="875"/>
              </w:tabs>
              <w:ind w:right="-50"/>
              <w:jc w:val="center"/>
              <w:rPr>
                <w:rFonts w:ascii="Arial" w:hAnsi="Arial" w:cs="Arial"/>
                <w:b/>
              </w:rPr>
            </w:pPr>
          </w:p>
        </w:tc>
        <w:tc>
          <w:tcPr>
            <w:tcW w:w="4253" w:type="dxa"/>
            <w:vMerge/>
          </w:tcPr>
          <w:p w14:paraId="33FD51FE" w14:textId="77777777" w:rsidR="006621BE" w:rsidRPr="00DD3ABF" w:rsidRDefault="006621BE" w:rsidP="00EF5AF2">
            <w:pPr>
              <w:tabs>
                <w:tab w:val="left" w:pos="875"/>
              </w:tabs>
              <w:ind w:right="-50"/>
              <w:jc w:val="both"/>
              <w:rPr>
                <w:rFonts w:ascii="Arial" w:hAnsi="Arial" w:cs="Arial"/>
                <w:b/>
              </w:rPr>
            </w:pPr>
          </w:p>
        </w:tc>
        <w:tc>
          <w:tcPr>
            <w:tcW w:w="5244" w:type="dxa"/>
          </w:tcPr>
          <w:p w14:paraId="183F56D1" w14:textId="77777777" w:rsidR="006621BE" w:rsidRPr="00DD3ABF" w:rsidRDefault="006621BE" w:rsidP="00EF5AF2">
            <w:pPr>
              <w:tabs>
                <w:tab w:val="left" w:pos="875"/>
              </w:tabs>
              <w:ind w:right="-50"/>
              <w:jc w:val="both"/>
              <w:rPr>
                <w:rFonts w:ascii="Arial" w:hAnsi="Arial" w:cs="Arial"/>
              </w:rPr>
            </w:pPr>
            <w:r w:rsidRPr="00DD3ABF">
              <w:rPr>
                <w:rFonts w:ascii="Arial" w:hAnsi="Arial" w:cs="Arial"/>
                <w:b/>
                <w:bCs/>
              </w:rPr>
              <w:t>Aprobación masiva de comprobantes:</w:t>
            </w:r>
            <w:r w:rsidRPr="00DD3ABF">
              <w:rPr>
                <w:rFonts w:ascii="Arial" w:hAnsi="Arial" w:cs="Arial"/>
              </w:rPr>
              <w:t xml:space="preserve"> Si bien el sistema permite realizar cargas masivas de comprobantes, en el momento de la aprobación se debe realizar uno a uno teniendo en cuenta que no se encuentra habilitada alguna opción para realizar aprobaciones masivas</w:t>
            </w:r>
          </w:p>
        </w:tc>
      </w:tr>
      <w:tr w:rsidR="006621BE" w:rsidRPr="00DD3ABF" w14:paraId="4515DB3A" w14:textId="77777777" w:rsidTr="004B15A2">
        <w:trPr>
          <w:trHeight w:val="45"/>
        </w:trPr>
        <w:tc>
          <w:tcPr>
            <w:tcW w:w="993" w:type="dxa"/>
            <w:vMerge/>
          </w:tcPr>
          <w:p w14:paraId="7969B414" w14:textId="77777777" w:rsidR="006621BE" w:rsidRPr="00DD3ABF" w:rsidRDefault="006621BE" w:rsidP="00EF5AF2">
            <w:pPr>
              <w:tabs>
                <w:tab w:val="left" w:pos="875"/>
              </w:tabs>
              <w:ind w:right="-50"/>
              <w:jc w:val="center"/>
              <w:rPr>
                <w:rFonts w:ascii="Arial" w:hAnsi="Arial" w:cs="Arial"/>
                <w:b/>
              </w:rPr>
            </w:pPr>
          </w:p>
        </w:tc>
        <w:tc>
          <w:tcPr>
            <w:tcW w:w="4253" w:type="dxa"/>
            <w:vMerge/>
          </w:tcPr>
          <w:p w14:paraId="672E565A" w14:textId="77777777" w:rsidR="006621BE" w:rsidRPr="00DD3ABF" w:rsidRDefault="006621BE" w:rsidP="00EF5AF2">
            <w:pPr>
              <w:tabs>
                <w:tab w:val="left" w:pos="875"/>
              </w:tabs>
              <w:ind w:right="-50"/>
              <w:jc w:val="both"/>
              <w:rPr>
                <w:rFonts w:ascii="Arial" w:hAnsi="Arial" w:cs="Arial"/>
                <w:b/>
              </w:rPr>
            </w:pPr>
          </w:p>
        </w:tc>
        <w:tc>
          <w:tcPr>
            <w:tcW w:w="5244" w:type="dxa"/>
          </w:tcPr>
          <w:p w14:paraId="77B3BAE5" w14:textId="77777777" w:rsidR="006621BE" w:rsidRPr="00DD3ABF" w:rsidRDefault="006621BE" w:rsidP="00EF5AF2">
            <w:pPr>
              <w:tabs>
                <w:tab w:val="left" w:pos="875"/>
              </w:tabs>
              <w:ind w:right="-50"/>
              <w:jc w:val="both"/>
              <w:rPr>
                <w:rFonts w:ascii="Arial" w:hAnsi="Arial" w:cs="Arial"/>
              </w:rPr>
            </w:pPr>
            <w:r w:rsidRPr="00DD3ABF">
              <w:rPr>
                <w:rFonts w:ascii="Arial" w:hAnsi="Arial" w:cs="Arial"/>
                <w:b/>
                <w:bCs/>
              </w:rPr>
              <w:t>Consulta de comprobantes contables:</w:t>
            </w:r>
            <w:r w:rsidRPr="00DD3ABF">
              <w:rPr>
                <w:rFonts w:ascii="Arial" w:hAnsi="Arial" w:cs="Arial"/>
              </w:rPr>
              <w:t xml:space="preserve"> Con las actualizaciones realizadas en la vigencia 2023 el SIIF Nación no permite realizar búsqueda de documentos por número de comprobante, por tercero o por valor, dificultando la consulta de comprobantes contables</w:t>
            </w:r>
          </w:p>
        </w:tc>
      </w:tr>
      <w:tr w:rsidR="006621BE" w:rsidRPr="00DD3ABF" w14:paraId="20F34415" w14:textId="77777777" w:rsidTr="004B15A2">
        <w:trPr>
          <w:trHeight w:val="45"/>
        </w:trPr>
        <w:tc>
          <w:tcPr>
            <w:tcW w:w="993" w:type="dxa"/>
            <w:vMerge/>
          </w:tcPr>
          <w:p w14:paraId="7288199B" w14:textId="77777777" w:rsidR="006621BE" w:rsidRPr="00DD3ABF" w:rsidRDefault="006621BE" w:rsidP="00EF5AF2">
            <w:pPr>
              <w:tabs>
                <w:tab w:val="left" w:pos="875"/>
              </w:tabs>
              <w:ind w:right="-50"/>
              <w:jc w:val="center"/>
              <w:rPr>
                <w:rFonts w:ascii="Arial" w:hAnsi="Arial" w:cs="Arial"/>
                <w:b/>
              </w:rPr>
            </w:pPr>
          </w:p>
        </w:tc>
        <w:tc>
          <w:tcPr>
            <w:tcW w:w="4253" w:type="dxa"/>
            <w:vMerge/>
          </w:tcPr>
          <w:p w14:paraId="6A4B51D5" w14:textId="77777777" w:rsidR="006621BE" w:rsidRPr="00DD3ABF" w:rsidRDefault="006621BE" w:rsidP="00EF5AF2">
            <w:pPr>
              <w:tabs>
                <w:tab w:val="left" w:pos="875"/>
              </w:tabs>
              <w:ind w:right="-50"/>
              <w:jc w:val="both"/>
              <w:rPr>
                <w:rFonts w:ascii="Arial" w:hAnsi="Arial" w:cs="Arial"/>
                <w:b/>
              </w:rPr>
            </w:pPr>
          </w:p>
        </w:tc>
        <w:tc>
          <w:tcPr>
            <w:tcW w:w="5244" w:type="dxa"/>
          </w:tcPr>
          <w:p w14:paraId="668F4267" w14:textId="77777777" w:rsidR="006621BE" w:rsidRPr="00DD3ABF" w:rsidRDefault="006621BE" w:rsidP="00EF5AF2">
            <w:pPr>
              <w:tabs>
                <w:tab w:val="left" w:pos="875"/>
              </w:tabs>
              <w:ind w:right="-50"/>
              <w:jc w:val="both"/>
              <w:rPr>
                <w:rFonts w:ascii="Arial" w:hAnsi="Arial" w:cs="Arial"/>
              </w:rPr>
            </w:pPr>
            <w:r w:rsidRPr="00DD3ABF">
              <w:rPr>
                <w:rFonts w:ascii="Arial" w:hAnsi="Arial" w:cs="Arial"/>
                <w:b/>
                <w:bCs/>
              </w:rPr>
              <w:t>Cargas masivas:</w:t>
            </w:r>
            <w:r w:rsidRPr="00DD3ABF">
              <w:rPr>
                <w:rFonts w:ascii="Arial" w:hAnsi="Arial" w:cs="Arial"/>
              </w:rPr>
              <w:t xml:space="preserve"> El SIIF no permite hacer carga masiva de CDPs, RPs y Obligaciones por las subunidades 22-01-</w:t>
            </w:r>
            <w:r w:rsidRPr="00DD3ABF">
              <w:rPr>
                <w:rFonts w:ascii="Arial" w:hAnsi="Arial" w:cs="Arial"/>
              </w:rPr>
              <w:lastRenderedPageBreak/>
              <w:t>01- 004, 22-01-01-00Q, 22-01-01-00N.</w:t>
            </w:r>
          </w:p>
        </w:tc>
      </w:tr>
      <w:tr w:rsidR="006621BE" w:rsidRPr="00DD3ABF" w14:paraId="692706A4" w14:textId="77777777" w:rsidTr="004B15A2">
        <w:trPr>
          <w:trHeight w:val="45"/>
        </w:trPr>
        <w:tc>
          <w:tcPr>
            <w:tcW w:w="993" w:type="dxa"/>
            <w:vMerge/>
          </w:tcPr>
          <w:p w14:paraId="2F87AB3A" w14:textId="77777777" w:rsidR="006621BE" w:rsidRPr="00DD3ABF" w:rsidRDefault="006621BE" w:rsidP="00EF5AF2">
            <w:pPr>
              <w:tabs>
                <w:tab w:val="left" w:pos="875"/>
              </w:tabs>
              <w:ind w:right="-50"/>
              <w:jc w:val="center"/>
              <w:rPr>
                <w:rFonts w:ascii="Arial" w:hAnsi="Arial" w:cs="Arial"/>
                <w:b/>
              </w:rPr>
            </w:pPr>
          </w:p>
        </w:tc>
        <w:tc>
          <w:tcPr>
            <w:tcW w:w="4253" w:type="dxa"/>
            <w:vMerge/>
          </w:tcPr>
          <w:p w14:paraId="02C0A27F" w14:textId="77777777" w:rsidR="006621BE" w:rsidRPr="00DD3ABF" w:rsidRDefault="006621BE" w:rsidP="00EF5AF2">
            <w:pPr>
              <w:tabs>
                <w:tab w:val="left" w:pos="875"/>
              </w:tabs>
              <w:ind w:right="-50"/>
              <w:jc w:val="both"/>
              <w:rPr>
                <w:rFonts w:ascii="Arial" w:hAnsi="Arial" w:cs="Arial"/>
                <w:b/>
              </w:rPr>
            </w:pPr>
          </w:p>
        </w:tc>
        <w:tc>
          <w:tcPr>
            <w:tcW w:w="5244" w:type="dxa"/>
          </w:tcPr>
          <w:p w14:paraId="33268E1F" w14:textId="77777777" w:rsidR="006621BE" w:rsidRPr="00DD3ABF" w:rsidRDefault="006621BE" w:rsidP="00EF5AF2">
            <w:pPr>
              <w:tabs>
                <w:tab w:val="left" w:pos="875"/>
              </w:tabs>
              <w:ind w:right="-50"/>
              <w:jc w:val="both"/>
              <w:rPr>
                <w:rFonts w:ascii="Arial" w:hAnsi="Arial" w:cs="Arial"/>
              </w:rPr>
            </w:pPr>
            <w:r w:rsidRPr="00DD3ABF">
              <w:rPr>
                <w:rFonts w:ascii="Arial" w:hAnsi="Arial" w:cs="Arial"/>
              </w:rPr>
              <w:t>La carga masiva de compromisos no funciona cuando se incluyen cuentas que fueron cuentas de tesorería y después pasan a ser cuentas de terceros.</w:t>
            </w:r>
          </w:p>
        </w:tc>
      </w:tr>
    </w:tbl>
    <w:p w14:paraId="1936A815" w14:textId="77777777" w:rsidR="006621BE" w:rsidRDefault="006621BE" w:rsidP="006621BE">
      <w:pPr>
        <w:ind w:left="-284" w:right="49"/>
        <w:jc w:val="both"/>
        <w:rPr>
          <w:rFonts w:ascii="Arial" w:hAnsi="Arial" w:cs="Arial"/>
          <w:b/>
          <w:sz w:val="24"/>
          <w:szCs w:val="24"/>
        </w:rPr>
      </w:pPr>
    </w:p>
    <w:p w14:paraId="60DAF3AF" w14:textId="77777777" w:rsidR="006621BE" w:rsidRPr="00F65172" w:rsidRDefault="006621BE" w:rsidP="004B15A2">
      <w:pPr>
        <w:pStyle w:val="Textoindependiente"/>
        <w:ind w:left="-284" w:right="-234"/>
        <w:jc w:val="both"/>
        <w:rPr>
          <w:rFonts w:ascii="Arial" w:hAnsi="Arial" w:cs="Arial"/>
          <w:sz w:val="24"/>
          <w:szCs w:val="24"/>
        </w:rPr>
      </w:pPr>
      <w:r w:rsidRPr="00F65172">
        <w:rPr>
          <w:rFonts w:ascii="Arial" w:hAnsi="Arial" w:cs="Arial"/>
          <w:b/>
          <w:sz w:val="24"/>
          <w:szCs w:val="24"/>
        </w:rPr>
        <w:t xml:space="preserve">-DE LAS NOTAS DE CARÁCTER GENERAL – 1.2. Declaración de Cumplimiento del Marco Normativo y Limitaciones: </w:t>
      </w:r>
      <w:r w:rsidRPr="00F65172">
        <w:rPr>
          <w:rFonts w:ascii="Arial" w:hAnsi="Arial" w:cs="Arial"/>
          <w:bCs/>
          <w:sz w:val="24"/>
          <w:szCs w:val="24"/>
        </w:rPr>
        <w:t xml:space="preserve">(…) </w:t>
      </w:r>
      <w:r w:rsidRPr="00F65172">
        <w:rPr>
          <w:rFonts w:ascii="Arial" w:hAnsi="Arial" w:cs="Arial"/>
          <w:b/>
          <w:bCs/>
          <w:sz w:val="24"/>
          <w:szCs w:val="24"/>
          <w:u w:val="single"/>
        </w:rPr>
        <w:t>Dentro de las limitaciones de información de apoyo al macroproceso contable, el Sistema Integrado de Información Financiera (SIIF) Nación, no cuenta con el módulo de inventarios, activos fijos y nómina. Adicional a esto se realizan registros manuales de sentencias, provisiones y de pasivos reales, entre otros</w:t>
      </w:r>
      <w:r w:rsidRPr="00F65172">
        <w:rPr>
          <w:rFonts w:ascii="Arial" w:hAnsi="Arial" w:cs="Arial"/>
          <w:sz w:val="24"/>
          <w:szCs w:val="24"/>
        </w:rPr>
        <w:t>.</w:t>
      </w:r>
    </w:p>
    <w:p w14:paraId="4AC37A68" w14:textId="77777777" w:rsidR="006621BE" w:rsidRPr="00AA370A" w:rsidRDefault="006621BE" w:rsidP="006621BE">
      <w:pPr>
        <w:pStyle w:val="Textoindependiente"/>
        <w:ind w:right="-50"/>
        <w:jc w:val="both"/>
        <w:rPr>
          <w:rFonts w:ascii="Arial" w:hAnsi="Arial" w:cs="Arial"/>
        </w:rPr>
      </w:pPr>
    </w:p>
    <w:p w14:paraId="483BCEF5" w14:textId="22C65A62" w:rsidR="006621BE" w:rsidRDefault="006621BE" w:rsidP="004B15A2">
      <w:pPr>
        <w:ind w:left="-284"/>
        <w:jc w:val="both"/>
        <w:rPr>
          <w:rFonts w:ascii="Arial" w:hAnsi="Arial" w:cs="Arial"/>
          <w:b/>
          <w:sz w:val="28"/>
          <w:szCs w:val="28"/>
          <w:lang w:val="es-MX"/>
        </w:rPr>
      </w:pPr>
      <w:r w:rsidRPr="00292B9C">
        <w:rPr>
          <w:rFonts w:ascii="Arial" w:hAnsi="Arial" w:cs="Arial"/>
          <w:b/>
          <w:sz w:val="28"/>
          <w:szCs w:val="28"/>
          <w:lang w:val="es-MX"/>
        </w:rPr>
        <w:t>267.- UNIDAD DE PLANEACIÓN MINERO ENERGÉTICA - UPME.</w:t>
      </w:r>
    </w:p>
    <w:p w14:paraId="2E861E72" w14:textId="77777777" w:rsidR="006C10D2" w:rsidRPr="00292B9C" w:rsidRDefault="006C10D2" w:rsidP="004B15A2">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A247B7" w14:paraId="2702BC45" w14:textId="77777777" w:rsidTr="004B15A2">
        <w:tc>
          <w:tcPr>
            <w:tcW w:w="993" w:type="dxa"/>
          </w:tcPr>
          <w:p w14:paraId="68489640" w14:textId="77777777" w:rsidR="006621BE" w:rsidRPr="00A247B7" w:rsidRDefault="006621BE" w:rsidP="00EF5AF2">
            <w:pPr>
              <w:tabs>
                <w:tab w:val="left" w:pos="875"/>
              </w:tabs>
              <w:ind w:right="-50"/>
              <w:jc w:val="center"/>
              <w:rPr>
                <w:rFonts w:ascii="Arial" w:hAnsi="Arial" w:cs="Arial"/>
                <w:b/>
              </w:rPr>
            </w:pPr>
            <w:r w:rsidRPr="00A247B7">
              <w:rPr>
                <w:rFonts w:ascii="Arial" w:hAnsi="Arial" w:cs="Arial"/>
                <w:b/>
              </w:rPr>
              <w:t>N°</w:t>
            </w:r>
          </w:p>
        </w:tc>
        <w:tc>
          <w:tcPr>
            <w:tcW w:w="4253" w:type="dxa"/>
          </w:tcPr>
          <w:p w14:paraId="43B8FFCC" w14:textId="77777777" w:rsidR="006621BE" w:rsidRPr="00A247B7" w:rsidRDefault="006621BE" w:rsidP="00EF5AF2">
            <w:pPr>
              <w:tabs>
                <w:tab w:val="left" w:pos="875"/>
              </w:tabs>
              <w:ind w:right="-50"/>
              <w:jc w:val="center"/>
              <w:rPr>
                <w:rFonts w:ascii="Arial" w:hAnsi="Arial" w:cs="Arial"/>
                <w:b/>
              </w:rPr>
            </w:pPr>
            <w:r w:rsidRPr="00A247B7">
              <w:rPr>
                <w:rFonts w:ascii="Arial" w:hAnsi="Arial" w:cs="Arial"/>
                <w:b/>
              </w:rPr>
              <w:t>Limitaciones del Sistema SIIF II Nación a 31/12/2024</w:t>
            </w:r>
          </w:p>
          <w:p w14:paraId="2B3A1A30" w14:textId="77777777" w:rsidR="006621BE" w:rsidRPr="00A247B7" w:rsidRDefault="006621BE" w:rsidP="00EF5AF2">
            <w:pPr>
              <w:tabs>
                <w:tab w:val="left" w:pos="875"/>
              </w:tabs>
              <w:ind w:right="-50"/>
              <w:jc w:val="center"/>
              <w:rPr>
                <w:rFonts w:ascii="Arial" w:hAnsi="Arial" w:cs="Arial"/>
                <w:b/>
              </w:rPr>
            </w:pPr>
          </w:p>
        </w:tc>
        <w:tc>
          <w:tcPr>
            <w:tcW w:w="5244" w:type="dxa"/>
          </w:tcPr>
          <w:p w14:paraId="6F0B7E8C" w14:textId="77777777" w:rsidR="006621BE" w:rsidRPr="00A247B7" w:rsidRDefault="006621BE" w:rsidP="00EF5AF2">
            <w:pPr>
              <w:tabs>
                <w:tab w:val="left" w:pos="875"/>
              </w:tabs>
              <w:ind w:right="-50"/>
              <w:jc w:val="center"/>
              <w:rPr>
                <w:rFonts w:ascii="Arial" w:hAnsi="Arial" w:cs="Arial"/>
                <w:b/>
              </w:rPr>
            </w:pPr>
            <w:r w:rsidRPr="00A247B7">
              <w:rPr>
                <w:rFonts w:ascii="Arial" w:hAnsi="Arial" w:cs="Arial"/>
                <w:b/>
              </w:rPr>
              <w:t>Descripción de la limitación</w:t>
            </w:r>
          </w:p>
        </w:tc>
      </w:tr>
      <w:tr w:rsidR="006621BE" w:rsidRPr="00A247B7" w14:paraId="1A57D55A" w14:textId="77777777" w:rsidTr="004B15A2">
        <w:tc>
          <w:tcPr>
            <w:tcW w:w="993" w:type="dxa"/>
          </w:tcPr>
          <w:p w14:paraId="2EFD5CD6" w14:textId="77777777" w:rsidR="006621BE" w:rsidRPr="00A247B7" w:rsidRDefault="006621BE" w:rsidP="00EF5AF2">
            <w:pPr>
              <w:tabs>
                <w:tab w:val="left" w:pos="875"/>
              </w:tabs>
              <w:ind w:right="-50"/>
              <w:jc w:val="center"/>
              <w:rPr>
                <w:rFonts w:ascii="Arial" w:hAnsi="Arial" w:cs="Arial"/>
                <w:b/>
              </w:rPr>
            </w:pPr>
            <w:r w:rsidRPr="00A247B7">
              <w:rPr>
                <w:rFonts w:ascii="Arial" w:hAnsi="Arial" w:cs="Arial"/>
                <w:b/>
              </w:rPr>
              <w:t>1</w:t>
            </w:r>
          </w:p>
        </w:tc>
        <w:tc>
          <w:tcPr>
            <w:tcW w:w="4253" w:type="dxa"/>
          </w:tcPr>
          <w:p w14:paraId="48DF594E" w14:textId="77777777" w:rsidR="006621BE" w:rsidRPr="00A247B7" w:rsidRDefault="006621BE" w:rsidP="00EF5AF2">
            <w:pPr>
              <w:tabs>
                <w:tab w:val="left" w:pos="875"/>
              </w:tabs>
              <w:ind w:right="-50"/>
              <w:jc w:val="both"/>
              <w:rPr>
                <w:rFonts w:ascii="Arial" w:hAnsi="Arial" w:cs="Arial"/>
                <w:b/>
              </w:rPr>
            </w:pPr>
            <w:r w:rsidRPr="00A247B7">
              <w:rPr>
                <w:rFonts w:ascii="Arial" w:hAnsi="Arial" w:cs="Arial"/>
                <w:b/>
              </w:rPr>
              <w:t xml:space="preserve">Operativas: </w:t>
            </w:r>
            <w:r w:rsidRPr="00A247B7">
              <w:rPr>
                <w:rFonts w:ascii="Arial" w:hAnsi="Arial" w:cs="Arial"/>
                <w:bCs/>
              </w:rPr>
              <w:t>Caídas del Sistema</w:t>
            </w:r>
          </w:p>
        </w:tc>
        <w:tc>
          <w:tcPr>
            <w:tcW w:w="5244" w:type="dxa"/>
          </w:tcPr>
          <w:p w14:paraId="3B71DDD4" w14:textId="77777777" w:rsidR="006621BE" w:rsidRPr="00A247B7" w:rsidRDefault="006621BE" w:rsidP="00EF5AF2">
            <w:pPr>
              <w:tabs>
                <w:tab w:val="left" w:pos="875"/>
              </w:tabs>
              <w:ind w:right="-50"/>
              <w:jc w:val="both"/>
              <w:rPr>
                <w:rFonts w:ascii="Arial" w:hAnsi="Arial" w:cs="Arial"/>
              </w:rPr>
            </w:pPr>
            <w:r w:rsidRPr="00A247B7">
              <w:rPr>
                <w:rFonts w:ascii="Arial" w:hAnsi="Arial" w:cs="Arial"/>
              </w:rPr>
              <w:t>En la vigencia 2024 se presentaron caídas esporádicas del sistema.</w:t>
            </w:r>
          </w:p>
        </w:tc>
      </w:tr>
    </w:tbl>
    <w:p w14:paraId="36A08E2D" w14:textId="77777777" w:rsidR="006621BE" w:rsidRDefault="006621BE" w:rsidP="006621BE">
      <w:pPr>
        <w:ind w:left="-284" w:right="49"/>
        <w:jc w:val="both"/>
        <w:rPr>
          <w:rFonts w:ascii="Arial" w:hAnsi="Arial" w:cs="Arial"/>
          <w:b/>
          <w:sz w:val="24"/>
          <w:szCs w:val="24"/>
        </w:rPr>
      </w:pPr>
    </w:p>
    <w:p w14:paraId="487B1BD4" w14:textId="77777777" w:rsidR="006621BE" w:rsidRPr="0037765B" w:rsidRDefault="006621BE" w:rsidP="004B15A2">
      <w:pPr>
        <w:ind w:left="-284" w:right="-234"/>
        <w:jc w:val="both"/>
        <w:rPr>
          <w:rFonts w:ascii="Arial" w:hAnsi="Arial" w:cs="Arial"/>
          <w:b/>
          <w:sz w:val="28"/>
          <w:szCs w:val="28"/>
          <w:lang w:val="es-MX"/>
        </w:rPr>
      </w:pPr>
      <w:bookmarkStart w:id="19" w:name="_Hlk203470494"/>
      <w:r w:rsidRPr="0037765B">
        <w:rPr>
          <w:rFonts w:ascii="Arial" w:hAnsi="Arial" w:cs="Arial"/>
          <w:b/>
          <w:sz w:val="28"/>
          <w:szCs w:val="28"/>
          <w:lang w:val="es-MX"/>
        </w:rPr>
        <w:t>268.- CORPORACIÓN AUTÓNOMA REGIONAL DEL SUR DE BOLÍVAR - CSB.</w:t>
      </w:r>
    </w:p>
    <w:bookmarkEnd w:id="19"/>
    <w:p w14:paraId="35E778CC"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3D338D" w14:paraId="4975A517" w14:textId="77777777" w:rsidTr="004B15A2">
        <w:tc>
          <w:tcPr>
            <w:tcW w:w="993" w:type="dxa"/>
          </w:tcPr>
          <w:p w14:paraId="0C11E95A" w14:textId="77777777" w:rsidR="006621BE" w:rsidRPr="003D338D" w:rsidRDefault="006621BE" w:rsidP="00EF5AF2">
            <w:pPr>
              <w:tabs>
                <w:tab w:val="left" w:pos="875"/>
              </w:tabs>
              <w:jc w:val="center"/>
              <w:rPr>
                <w:rFonts w:ascii="Arial" w:hAnsi="Arial" w:cs="Arial"/>
                <w:b/>
              </w:rPr>
            </w:pPr>
            <w:r w:rsidRPr="003D338D">
              <w:rPr>
                <w:rFonts w:ascii="Arial" w:hAnsi="Arial" w:cs="Arial"/>
                <w:b/>
              </w:rPr>
              <w:t>N°</w:t>
            </w:r>
          </w:p>
        </w:tc>
        <w:tc>
          <w:tcPr>
            <w:tcW w:w="4253" w:type="dxa"/>
          </w:tcPr>
          <w:p w14:paraId="2631E0DD" w14:textId="77777777" w:rsidR="006621BE" w:rsidRPr="003D338D" w:rsidRDefault="006621BE" w:rsidP="00EF5AF2">
            <w:pPr>
              <w:tabs>
                <w:tab w:val="left" w:pos="875"/>
              </w:tabs>
              <w:jc w:val="center"/>
              <w:rPr>
                <w:rFonts w:ascii="Arial" w:hAnsi="Arial" w:cs="Arial"/>
                <w:b/>
              </w:rPr>
            </w:pPr>
            <w:r w:rsidRPr="003D338D">
              <w:rPr>
                <w:rFonts w:ascii="Arial" w:hAnsi="Arial" w:cs="Arial"/>
                <w:b/>
              </w:rPr>
              <w:t>Limitaciones del Sistema SIIF II Nación a 31/12/2024</w:t>
            </w:r>
          </w:p>
          <w:p w14:paraId="628C367B" w14:textId="77777777" w:rsidR="006621BE" w:rsidRPr="003D338D" w:rsidRDefault="006621BE" w:rsidP="00EF5AF2">
            <w:pPr>
              <w:tabs>
                <w:tab w:val="left" w:pos="875"/>
              </w:tabs>
              <w:jc w:val="center"/>
              <w:rPr>
                <w:rFonts w:ascii="Arial" w:hAnsi="Arial" w:cs="Arial"/>
                <w:b/>
              </w:rPr>
            </w:pPr>
          </w:p>
        </w:tc>
        <w:tc>
          <w:tcPr>
            <w:tcW w:w="5244" w:type="dxa"/>
          </w:tcPr>
          <w:p w14:paraId="3812EF5D" w14:textId="77777777" w:rsidR="006621BE" w:rsidRPr="003D338D" w:rsidRDefault="006621BE" w:rsidP="00EF5AF2">
            <w:pPr>
              <w:tabs>
                <w:tab w:val="left" w:pos="875"/>
              </w:tabs>
              <w:jc w:val="center"/>
              <w:rPr>
                <w:rFonts w:ascii="Arial" w:hAnsi="Arial" w:cs="Arial"/>
                <w:b/>
              </w:rPr>
            </w:pPr>
            <w:r w:rsidRPr="003D338D">
              <w:rPr>
                <w:rFonts w:ascii="Arial" w:hAnsi="Arial" w:cs="Arial"/>
                <w:b/>
              </w:rPr>
              <w:t>Descripción de la limitación</w:t>
            </w:r>
          </w:p>
        </w:tc>
      </w:tr>
      <w:tr w:rsidR="006621BE" w:rsidRPr="003D338D" w14:paraId="3C5C9E05" w14:textId="77777777" w:rsidTr="004B15A2">
        <w:tc>
          <w:tcPr>
            <w:tcW w:w="993" w:type="dxa"/>
          </w:tcPr>
          <w:p w14:paraId="414B492F" w14:textId="77777777" w:rsidR="006621BE" w:rsidRPr="003D338D" w:rsidRDefault="006621BE" w:rsidP="00EF5AF2">
            <w:pPr>
              <w:tabs>
                <w:tab w:val="left" w:pos="875"/>
              </w:tabs>
              <w:jc w:val="center"/>
              <w:rPr>
                <w:rFonts w:ascii="Arial" w:hAnsi="Arial" w:cs="Arial"/>
                <w:b/>
              </w:rPr>
            </w:pPr>
            <w:r w:rsidRPr="003D338D">
              <w:rPr>
                <w:rFonts w:ascii="Arial" w:hAnsi="Arial" w:cs="Arial"/>
                <w:b/>
              </w:rPr>
              <w:t>1</w:t>
            </w:r>
          </w:p>
        </w:tc>
        <w:tc>
          <w:tcPr>
            <w:tcW w:w="4253" w:type="dxa"/>
          </w:tcPr>
          <w:p w14:paraId="00436426" w14:textId="77777777" w:rsidR="006621BE" w:rsidRPr="003D338D" w:rsidRDefault="006621BE" w:rsidP="00EF5AF2">
            <w:pPr>
              <w:tabs>
                <w:tab w:val="left" w:pos="875"/>
              </w:tabs>
              <w:jc w:val="both"/>
              <w:rPr>
                <w:rFonts w:ascii="Arial" w:hAnsi="Arial" w:cs="Arial"/>
                <w:b/>
              </w:rPr>
            </w:pPr>
            <w:r w:rsidRPr="003D338D">
              <w:rPr>
                <w:rFonts w:ascii="Arial" w:hAnsi="Arial" w:cs="Arial"/>
                <w:b/>
              </w:rPr>
              <w:t>Administrativas:</w:t>
            </w:r>
          </w:p>
        </w:tc>
        <w:tc>
          <w:tcPr>
            <w:tcW w:w="5244" w:type="dxa"/>
          </w:tcPr>
          <w:p w14:paraId="3465B1A4" w14:textId="77777777" w:rsidR="006621BE" w:rsidRPr="003D338D" w:rsidRDefault="006621BE" w:rsidP="00EF5AF2">
            <w:pPr>
              <w:tabs>
                <w:tab w:val="left" w:pos="875"/>
              </w:tabs>
              <w:jc w:val="both"/>
              <w:rPr>
                <w:rFonts w:ascii="Arial" w:hAnsi="Arial" w:cs="Arial"/>
              </w:rPr>
            </w:pPr>
            <w:r w:rsidRPr="003D338D">
              <w:rPr>
                <w:rFonts w:ascii="Arial" w:eastAsia="Calibri" w:hAnsi="Arial" w:cs="Arial"/>
                <w:color w:val="000000"/>
                <w:lang w:val="es-CO"/>
              </w:rPr>
              <w:t>Para Realizar solicitud de PAC, con el fin de pagar obligaciones tanto de reservas como de vigencia actual en proyectos de inversión, requiere de muchos trámites para situar los fondos a la CUN de la Corporación</w:t>
            </w:r>
          </w:p>
        </w:tc>
      </w:tr>
      <w:tr w:rsidR="006621BE" w:rsidRPr="003D338D" w14:paraId="6B06DB22" w14:textId="77777777" w:rsidTr="004B15A2">
        <w:tc>
          <w:tcPr>
            <w:tcW w:w="993" w:type="dxa"/>
          </w:tcPr>
          <w:p w14:paraId="48270BF2" w14:textId="77777777" w:rsidR="006621BE" w:rsidRPr="003D338D" w:rsidRDefault="006621BE" w:rsidP="00EF5AF2">
            <w:pPr>
              <w:tabs>
                <w:tab w:val="left" w:pos="875"/>
              </w:tabs>
              <w:jc w:val="center"/>
              <w:rPr>
                <w:rFonts w:ascii="Arial" w:hAnsi="Arial" w:cs="Arial"/>
                <w:b/>
              </w:rPr>
            </w:pPr>
            <w:r w:rsidRPr="003D338D">
              <w:rPr>
                <w:rFonts w:ascii="Arial" w:hAnsi="Arial" w:cs="Arial"/>
                <w:b/>
              </w:rPr>
              <w:t>2</w:t>
            </w:r>
          </w:p>
        </w:tc>
        <w:tc>
          <w:tcPr>
            <w:tcW w:w="4253" w:type="dxa"/>
          </w:tcPr>
          <w:p w14:paraId="1D020C7F" w14:textId="77777777" w:rsidR="006621BE" w:rsidRPr="003D338D" w:rsidRDefault="006621BE" w:rsidP="00EF5AF2">
            <w:pPr>
              <w:tabs>
                <w:tab w:val="left" w:pos="875"/>
              </w:tabs>
              <w:jc w:val="both"/>
              <w:rPr>
                <w:rFonts w:ascii="Arial" w:hAnsi="Arial" w:cs="Arial"/>
                <w:b/>
              </w:rPr>
            </w:pPr>
            <w:r w:rsidRPr="003D338D">
              <w:rPr>
                <w:rFonts w:ascii="Arial" w:hAnsi="Arial" w:cs="Arial"/>
                <w:b/>
              </w:rPr>
              <w:t>Técnicas:</w:t>
            </w:r>
          </w:p>
        </w:tc>
        <w:tc>
          <w:tcPr>
            <w:tcW w:w="5244" w:type="dxa"/>
          </w:tcPr>
          <w:p w14:paraId="72A625D9" w14:textId="77777777" w:rsidR="006621BE" w:rsidRPr="003D338D" w:rsidRDefault="006621BE" w:rsidP="00EF5AF2">
            <w:pPr>
              <w:tabs>
                <w:tab w:val="left" w:pos="875"/>
              </w:tabs>
              <w:jc w:val="both"/>
              <w:rPr>
                <w:rFonts w:ascii="Arial" w:hAnsi="Arial" w:cs="Arial"/>
              </w:rPr>
            </w:pPr>
            <w:r w:rsidRPr="003D338D">
              <w:rPr>
                <w:rFonts w:ascii="Arial" w:hAnsi="Arial" w:cs="Arial"/>
              </w:rPr>
              <w:t>En ocasiones el sistema se encuentra sin servicios o fuera de línea, además existen operaciones que requieren muchos tramites</w:t>
            </w:r>
          </w:p>
        </w:tc>
      </w:tr>
      <w:tr w:rsidR="006621BE" w:rsidRPr="003D338D" w14:paraId="0E593AF9" w14:textId="77777777" w:rsidTr="004B15A2">
        <w:tc>
          <w:tcPr>
            <w:tcW w:w="993" w:type="dxa"/>
          </w:tcPr>
          <w:p w14:paraId="01119760" w14:textId="77777777" w:rsidR="006621BE" w:rsidRPr="003D338D" w:rsidRDefault="006621BE" w:rsidP="00EF5AF2">
            <w:pPr>
              <w:tabs>
                <w:tab w:val="left" w:pos="875"/>
              </w:tabs>
              <w:jc w:val="center"/>
              <w:rPr>
                <w:rFonts w:ascii="Arial" w:hAnsi="Arial" w:cs="Arial"/>
                <w:b/>
              </w:rPr>
            </w:pPr>
            <w:r w:rsidRPr="003D338D">
              <w:rPr>
                <w:rFonts w:ascii="Arial" w:hAnsi="Arial" w:cs="Arial"/>
                <w:b/>
              </w:rPr>
              <w:t>3</w:t>
            </w:r>
          </w:p>
        </w:tc>
        <w:tc>
          <w:tcPr>
            <w:tcW w:w="4253" w:type="dxa"/>
          </w:tcPr>
          <w:p w14:paraId="1AE8E045" w14:textId="77777777" w:rsidR="006621BE" w:rsidRPr="003D338D" w:rsidRDefault="006621BE" w:rsidP="00EF5AF2">
            <w:pPr>
              <w:tabs>
                <w:tab w:val="left" w:pos="875"/>
              </w:tabs>
              <w:jc w:val="both"/>
              <w:rPr>
                <w:rFonts w:ascii="Arial" w:hAnsi="Arial" w:cs="Arial"/>
                <w:b/>
              </w:rPr>
            </w:pPr>
            <w:r w:rsidRPr="003D338D">
              <w:rPr>
                <w:rFonts w:ascii="Arial" w:hAnsi="Arial" w:cs="Arial"/>
                <w:b/>
              </w:rPr>
              <w:t>Operativas:</w:t>
            </w:r>
          </w:p>
        </w:tc>
        <w:tc>
          <w:tcPr>
            <w:tcW w:w="5244" w:type="dxa"/>
          </w:tcPr>
          <w:p w14:paraId="72F078DA" w14:textId="77777777" w:rsidR="006621BE" w:rsidRPr="003D338D" w:rsidRDefault="006621BE" w:rsidP="00EF5AF2">
            <w:pPr>
              <w:tabs>
                <w:tab w:val="left" w:pos="875"/>
              </w:tabs>
              <w:jc w:val="both"/>
              <w:rPr>
                <w:rFonts w:ascii="Arial" w:hAnsi="Arial" w:cs="Arial"/>
              </w:rPr>
            </w:pPr>
            <w:r w:rsidRPr="003D338D">
              <w:rPr>
                <w:rFonts w:ascii="Arial" w:hAnsi="Arial" w:cs="Arial"/>
              </w:rPr>
              <w:t>La comunicación con los funcionarios de la mesa de ayuda en ocasiones no responde o no están disponibles para atender consultas</w:t>
            </w:r>
          </w:p>
        </w:tc>
      </w:tr>
      <w:tr w:rsidR="006621BE" w:rsidRPr="003D338D" w14:paraId="4C563243" w14:textId="77777777" w:rsidTr="004B15A2">
        <w:tc>
          <w:tcPr>
            <w:tcW w:w="993" w:type="dxa"/>
          </w:tcPr>
          <w:p w14:paraId="10381064" w14:textId="77777777" w:rsidR="006621BE" w:rsidRPr="003D338D" w:rsidRDefault="006621BE" w:rsidP="00EF5AF2">
            <w:pPr>
              <w:tabs>
                <w:tab w:val="left" w:pos="875"/>
              </w:tabs>
              <w:jc w:val="center"/>
              <w:rPr>
                <w:rFonts w:ascii="Arial" w:hAnsi="Arial" w:cs="Arial"/>
                <w:b/>
              </w:rPr>
            </w:pPr>
            <w:r w:rsidRPr="003D338D">
              <w:rPr>
                <w:rFonts w:ascii="Arial" w:hAnsi="Arial" w:cs="Arial"/>
                <w:b/>
              </w:rPr>
              <w:t>4</w:t>
            </w:r>
          </w:p>
        </w:tc>
        <w:tc>
          <w:tcPr>
            <w:tcW w:w="4253" w:type="dxa"/>
          </w:tcPr>
          <w:p w14:paraId="51D98D11" w14:textId="77777777" w:rsidR="006621BE" w:rsidRPr="003D338D" w:rsidRDefault="006621BE" w:rsidP="00EF5AF2">
            <w:pPr>
              <w:tabs>
                <w:tab w:val="left" w:pos="875"/>
              </w:tabs>
              <w:jc w:val="both"/>
              <w:rPr>
                <w:rFonts w:ascii="Arial" w:hAnsi="Arial" w:cs="Arial"/>
                <w:b/>
              </w:rPr>
            </w:pPr>
            <w:r w:rsidRPr="003D338D">
              <w:rPr>
                <w:rFonts w:ascii="Arial" w:hAnsi="Arial" w:cs="Arial"/>
                <w:b/>
              </w:rPr>
              <w:t>Soporte a la plataforma:</w:t>
            </w:r>
          </w:p>
        </w:tc>
        <w:tc>
          <w:tcPr>
            <w:tcW w:w="5244" w:type="dxa"/>
          </w:tcPr>
          <w:p w14:paraId="22059C9F" w14:textId="77777777" w:rsidR="006621BE" w:rsidRPr="003D338D" w:rsidRDefault="006621BE" w:rsidP="00EF5AF2">
            <w:pPr>
              <w:tabs>
                <w:tab w:val="left" w:pos="875"/>
              </w:tabs>
              <w:jc w:val="both"/>
              <w:rPr>
                <w:rFonts w:ascii="Arial" w:hAnsi="Arial" w:cs="Arial"/>
              </w:rPr>
            </w:pPr>
            <w:r w:rsidRPr="003D338D">
              <w:rPr>
                <w:rFonts w:ascii="Arial" w:hAnsi="Arial" w:cs="Arial"/>
              </w:rPr>
              <w:t>En ocasiones la plataforma se colapsa, más que todo al finalizar la vigencia</w:t>
            </w:r>
          </w:p>
        </w:tc>
      </w:tr>
      <w:tr w:rsidR="006621BE" w:rsidRPr="003D338D" w14:paraId="0946BEB5" w14:textId="77777777" w:rsidTr="004B15A2">
        <w:tc>
          <w:tcPr>
            <w:tcW w:w="993" w:type="dxa"/>
          </w:tcPr>
          <w:p w14:paraId="21D31E84" w14:textId="77777777" w:rsidR="006621BE" w:rsidRPr="003D338D" w:rsidRDefault="006621BE" w:rsidP="00EF5AF2">
            <w:pPr>
              <w:tabs>
                <w:tab w:val="left" w:pos="875"/>
              </w:tabs>
              <w:jc w:val="center"/>
              <w:rPr>
                <w:rFonts w:ascii="Arial" w:hAnsi="Arial" w:cs="Arial"/>
                <w:b/>
              </w:rPr>
            </w:pPr>
            <w:r w:rsidRPr="003D338D">
              <w:rPr>
                <w:rFonts w:ascii="Arial" w:hAnsi="Arial" w:cs="Arial"/>
                <w:b/>
              </w:rPr>
              <w:t>5</w:t>
            </w:r>
          </w:p>
        </w:tc>
        <w:tc>
          <w:tcPr>
            <w:tcW w:w="4253" w:type="dxa"/>
          </w:tcPr>
          <w:p w14:paraId="3B467031" w14:textId="77777777" w:rsidR="006621BE" w:rsidRPr="003D338D" w:rsidRDefault="006621BE" w:rsidP="00EF5AF2">
            <w:pPr>
              <w:tabs>
                <w:tab w:val="left" w:pos="875"/>
              </w:tabs>
              <w:jc w:val="both"/>
              <w:rPr>
                <w:rFonts w:ascii="Arial" w:hAnsi="Arial" w:cs="Arial"/>
                <w:b/>
              </w:rPr>
            </w:pPr>
            <w:r w:rsidRPr="003D338D">
              <w:rPr>
                <w:rFonts w:ascii="Arial" w:hAnsi="Arial" w:cs="Arial"/>
                <w:b/>
              </w:rPr>
              <w:t>Otras:</w:t>
            </w:r>
          </w:p>
        </w:tc>
        <w:tc>
          <w:tcPr>
            <w:tcW w:w="5244" w:type="dxa"/>
          </w:tcPr>
          <w:p w14:paraId="184AD129" w14:textId="77777777" w:rsidR="006621BE" w:rsidRPr="003D338D" w:rsidRDefault="006621BE" w:rsidP="00EF5AF2">
            <w:pPr>
              <w:tabs>
                <w:tab w:val="left" w:pos="875"/>
              </w:tabs>
              <w:jc w:val="both"/>
              <w:rPr>
                <w:rFonts w:ascii="Arial" w:hAnsi="Arial" w:cs="Arial"/>
              </w:rPr>
            </w:pPr>
            <w:r w:rsidRPr="003D338D">
              <w:rPr>
                <w:rFonts w:ascii="Arial" w:hAnsi="Arial" w:cs="Arial"/>
              </w:rPr>
              <w:t>Algunos procesos del sistema requieren mayor capacitación para su respectiva ejecución</w:t>
            </w:r>
          </w:p>
        </w:tc>
      </w:tr>
    </w:tbl>
    <w:p w14:paraId="7A0ECAB1" w14:textId="77777777" w:rsidR="006621BE" w:rsidRDefault="006621BE" w:rsidP="006621BE">
      <w:pPr>
        <w:ind w:left="-284" w:right="49"/>
        <w:jc w:val="both"/>
        <w:rPr>
          <w:rFonts w:ascii="Arial" w:hAnsi="Arial" w:cs="Arial"/>
          <w:b/>
          <w:sz w:val="24"/>
          <w:szCs w:val="24"/>
        </w:rPr>
      </w:pPr>
    </w:p>
    <w:p w14:paraId="2482D732" w14:textId="77777777" w:rsidR="006621BE" w:rsidRPr="001A2520" w:rsidRDefault="006621BE" w:rsidP="004B15A2">
      <w:pPr>
        <w:ind w:left="-284"/>
        <w:jc w:val="both"/>
        <w:rPr>
          <w:rFonts w:ascii="Arial" w:hAnsi="Arial" w:cs="Arial"/>
          <w:b/>
          <w:sz w:val="28"/>
          <w:szCs w:val="28"/>
          <w:lang w:val="es-MX"/>
        </w:rPr>
      </w:pPr>
      <w:r w:rsidRPr="001A2520">
        <w:rPr>
          <w:rFonts w:ascii="Arial" w:hAnsi="Arial" w:cs="Arial"/>
          <w:b/>
          <w:sz w:val="28"/>
          <w:szCs w:val="28"/>
          <w:lang w:val="es-MX"/>
        </w:rPr>
        <w:t>273.- FISCALÍA GENERAL DE LA NACIÓN.</w:t>
      </w:r>
    </w:p>
    <w:p w14:paraId="4A866C69" w14:textId="77777777" w:rsidR="006621BE" w:rsidRDefault="006621BE" w:rsidP="006621BE">
      <w:pPr>
        <w:jc w:val="both"/>
        <w:rPr>
          <w:rFonts w:ascii="Arial" w:hAnsi="Arial" w:cs="Arial"/>
          <w:b/>
          <w:sz w:val="28"/>
          <w:szCs w:val="28"/>
          <w:lang w:val="es-MX"/>
        </w:rPr>
      </w:pPr>
    </w:p>
    <w:tbl>
      <w:tblPr>
        <w:tblW w:w="5265" w:type="pct"/>
        <w:tblInd w:w="-289" w:type="dxa"/>
        <w:tblCellMar>
          <w:left w:w="10" w:type="dxa"/>
          <w:right w:w="10" w:type="dxa"/>
        </w:tblCellMar>
        <w:tblLook w:val="0000" w:firstRow="0" w:lastRow="0" w:firstColumn="0" w:lastColumn="0" w:noHBand="0" w:noVBand="0"/>
      </w:tblPr>
      <w:tblGrid>
        <w:gridCol w:w="1002"/>
        <w:gridCol w:w="4293"/>
        <w:gridCol w:w="5293"/>
      </w:tblGrid>
      <w:tr w:rsidR="006621BE" w:rsidRPr="00A05A5C" w14:paraId="41B3910B" w14:textId="77777777" w:rsidTr="004B15A2">
        <w:trPr>
          <w:trHeight w:val="64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9CA6B" w14:textId="77777777" w:rsidR="006621BE" w:rsidRPr="00A05A5C" w:rsidRDefault="006621BE" w:rsidP="00EF5AF2">
            <w:pPr>
              <w:tabs>
                <w:tab w:val="left" w:pos="875"/>
              </w:tabs>
              <w:suppressAutoHyphens/>
              <w:ind w:right="-50"/>
              <w:jc w:val="center"/>
              <w:rPr>
                <w:rFonts w:ascii="Arial" w:eastAsia="Arial MT" w:hAnsi="Arial" w:cs="Arial"/>
                <w:b/>
                <w:sz w:val="20"/>
                <w:szCs w:val="20"/>
              </w:rPr>
            </w:pPr>
            <w:r w:rsidRPr="00A05A5C">
              <w:rPr>
                <w:rFonts w:ascii="Arial" w:eastAsia="Arial MT" w:hAnsi="Arial" w:cs="Arial"/>
                <w:b/>
                <w:sz w:val="20"/>
                <w:szCs w:val="20"/>
              </w:rPr>
              <w:t>No.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2F49" w14:textId="77777777" w:rsidR="006621BE" w:rsidRPr="00A05A5C" w:rsidRDefault="006621BE" w:rsidP="00EF5AF2">
            <w:pPr>
              <w:tabs>
                <w:tab w:val="left" w:pos="875"/>
              </w:tabs>
              <w:suppressAutoHyphens/>
              <w:ind w:right="-50"/>
              <w:jc w:val="center"/>
              <w:rPr>
                <w:rFonts w:ascii="Arial" w:eastAsia="Arial MT" w:hAnsi="Arial" w:cs="Arial"/>
                <w:b/>
                <w:sz w:val="20"/>
                <w:szCs w:val="20"/>
              </w:rPr>
            </w:pPr>
            <w:r w:rsidRPr="00A05A5C">
              <w:rPr>
                <w:rFonts w:ascii="Arial" w:eastAsia="Arial MT" w:hAnsi="Arial" w:cs="Arial"/>
                <w:b/>
                <w:sz w:val="20"/>
                <w:szCs w:val="20"/>
              </w:rPr>
              <w:t>Limitaciones del Sistema SIIF II Nación a 31/12/2024</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DB0C8" w14:textId="77777777" w:rsidR="006621BE" w:rsidRPr="00A05A5C" w:rsidRDefault="006621BE" w:rsidP="00EF5AF2">
            <w:pPr>
              <w:tabs>
                <w:tab w:val="left" w:pos="875"/>
              </w:tabs>
              <w:suppressAutoHyphens/>
              <w:ind w:right="-50"/>
              <w:jc w:val="center"/>
              <w:rPr>
                <w:rFonts w:ascii="Arial" w:eastAsia="Arial MT" w:hAnsi="Arial" w:cs="Arial"/>
                <w:b/>
                <w:sz w:val="20"/>
                <w:szCs w:val="20"/>
              </w:rPr>
            </w:pPr>
            <w:r w:rsidRPr="00A05A5C">
              <w:rPr>
                <w:rFonts w:ascii="Arial" w:eastAsia="Arial MT" w:hAnsi="Arial" w:cs="Arial"/>
                <w:b/>
                <w:sz w:val="20"/>
                <w:szCs w:val="20"/>
              </w:rPr>
              <w:t>Descripción de la limitación</w:t>
            </w:r>
          </w:p>
        </w:tc>
      </w:tr>
      <w:tr w:rsidR="006621BE" w:rsidRPr="00A05A5C" w14:paraId="12E3D0DC" w14:textId="77777777" w:rsidTr="004B15A2">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0292A"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6CC805C0"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50917A41" w14:textId="77777777" w:rsidR="006621BE" w:rsidRPr="00A05A5C" w:rsidRDefault="006621BE" w:rsidP="00EF5AF2">
            <w:pPr>
              <w:tabs>
                <w:tab w:val="left" w:pos="875"/>
              </w:tabs>
              <w:suppressAutoHyphens/>
              <w:ind w:right="-50"/>
              <w:jc w:val="center"/>
              <w:rPr>
                <w:rFonts w:ascii="Arial" w:eastAsia="Arial MT" w:hAnsi="Arial" w:cs="Arial"/>
                <w:b/>
                <w:sz w:val="20"/>
                <w:szCs w:val="20"/>
              </w:rPr>
            </w:pPr>
            <w:r w:rsidRPr="00A05A5C">
              <w:rPr>
                <w:rFonts w:ascii="Arial" w:eastAsia="Arial MT" w:hAnsi="Arial" w:cs="Arial"/>
                <w:b/>
                <w:sz w:val="20"/>
                <w:szCs w:val="20"/>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BF1D7" w14:textId="77777777" w:rsidR="006621BE" w:rsidRPr="00A05A5C" w:rsidRDefault="006621BE" w:rsidP="00EF5AF2">
            <w:pPr>
              <w:tabs>
                <w:tab w:val="left" w:pos="875"/>
              </w:tabs>
              <w:suppressAutoHyphens/>
              <w:ind w:right="-50"/>
              <w:rPr>
                <w:rFonts w:ascii="Arial" w:eastAsia="Arial MT" w:hAnsi="Arial" w:cs="Arial"/>
                <w:b/>
                <w:sz w:val="20"/>
                <w:szCs w:val="20"/>
              </w:rPr>
            </w:pPr>
            <w:r w:rsidRPr="00A05A5C">
              <w:rPr>
                <w:rFonts w:ascii="Arial" w:eastAsia="Arial MT" w:hAnsi="Arial" w:cs="Arial"/>
                <w:b/>
                <w:sz w:val="20"/>
                <w:szCs w:val="20"/>
              </w:rPr>
              <w:t>Administrativas: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9CA53" w14:textId="77777777" w:rsidR="006621BE" w:rsidRPr="00A05A5C" w:rsidRDefault="006621BE" w:rsidP="00EF5AF2">
            <w:pPr>
              <w:suppressAutoHyphens/>
              <w:autoSpaceDE/>
              <w:jc w:val="both"/>
              <w:textAlignment w:val="baseline"/>
              <w:rPr>
                <w:rFonts w:ascii="Arial" w:eastAsia="Times New Roman" w:hAnsi="Arial" w:cs="Arial"/>
                <w:color w:val="000000"/>
                <w:kern w:val="3"/>
                <w:sz w:val="20"/>
                <w:szCs w:val="20"/>
                <w:lang w:val="es-CO" w:eastAsia="es-CO"/>
              </w:rPr>
            </w:pPr>
            <w:r w:rsidRPr="00A05A5C">
              <w:rPr>
                <w:rFonts w:ascii="Arial" w:eastAsia="Times New Roman" w:hAnsi="Arial" w:cs="Arial"/>
                <w:color w:val="000000"/>
                <w:kern w:val="3"/>
                <w:sz w:val="20"/>
                <w:szCs w:val="20"/>
                <w:lang w:val="es-CO" w:eastAsia="es-CO"/>
              </w:rPr>
              <w:t>Al interior de la entidad se ajustaron las políticas de</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seguridad en el sistema de conectividad, lo que ha</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llevado a realizar ajustes en los equipos que tienen</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asignados los usuarios como administradores de cada</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máquina en SIIF, realizando trámites en cada computador.</w:t>
            </w:r>
          </w:p>
        </w:tc>
      </w:tr>
      <w:tr w:rsidR="006621BE" w:rsidRPr="00A05A5C" w14:paraId="6EBB335D" w14:textId="77777777" w:rsidTr="004B15A2">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04164"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78697F61"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02489538"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359124E4"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1C41045E"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055143D9" w14:textId="77777777" w:rsidR="006621BE" w:rsidRPr="00A05A5C" w:rsidRDefault="006621BE" w:rsidP="00EF5AF2">
            <w:pPr>
              <w:tabs>
                <w:tab w:val="left" w:pos="875"/>
              </w:tabs>
              <w:suppressAutoHyphens/>
              <w:ind w:right="-50"/>
              <w:jc w:val="center"/>
              <w:rPr>
                <w:rFonts w:ascii="Arial" w:eastAsia="Arial MT" w:hAnsi="Arial" w:cs="Arial"/>
                <w:b/>
                <w:sz w:val="20"/>
                <w:szCs w:val="20"/>
              </w:rPr>
            </w:pPr>
            <w:r w:rsidRPr="00A05A5C">
              <w:rPr>
                <w:rFonts w:ascii="Arial" w:eastAsia="Arial MT" w:hAnsi="Arial" w:cs="Arial"/>
                <w:b/>
                <w:sz w:val="20"/>
                <w:szCs w:val="20"/>
              </w:rPr>
              <w:lastRenderedPageBreak/>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48A11" w14:textId="77777777" w:rsidR="006621BE" w:rsidRPr="00A05A5C" w:rsidRDefault="006621BE" w:rsidP="00EF5AF2">
            <w:pPr>
              <w:tabs>
                <w:tab w:val="left" w:pos="875"/>
              </w:tabs>
              <w:suppressAutoHyphens/>
              <w:ind w:right="-50"/>
              <w:rPr>
                <w:rFonts w:ascii="Arial" w:eastAsia="Arial MT" w:hAnsi="Arial" w:cs="Arial"/>
                <w:b/>
                <w:sz w:val="20"/>
                <w:szCs w:val="20"/>
              </w:rPr>
            </w:pPr>
            <w:r w:rsidRPr="00A05A5C">
              <w:rPr>
                <w:rFonts w:ascii="Arial" w:eastAsia="Arial MT" w:hAnsi="Arial" w:cs="Arial"/>
                <w:b/>
                <w:sz w:val="20"/>
                <w:szCs w:val="20"/>
              </w:rPr>
              <w:lastRenderedPageBreak/>
              <w:t>Técnicas: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1646C" w14:textId="77777777" w:rsidR="006621BE" w:rsidRPr="00A05A5C" w:rsidRDefault="006621BE" w:rsidP="00EF5AF2">
            <w:pPr>
              <w:suppressAutoHyphens/>
              <w:autoSpaceDE/>
              <w:jc w:val="both"/>
              <w:textAlignment w:val="baseline"/>
              <w:rPr>
                <w:rFonts w:ascii="Arial" w:eastAsia="Lucida Sans Unicode" w:hAnsi="Arial" w:cs="Arial"/>
                <w:kern w:val="3"/>
                <w:sz w:val="24"/>
                <w:szCs w:val="24"/>
                <w:lang w:val="es-CO" w:eastAsia="es-CO"/>
              </w:rPr>
            </w:pPr>
            <w:r w:rsidRPr="00A05A5C">
              <w:rPr>
                <w:rFonts w:ascii="Arial" w:eastAsia="Times New Roman" w:hAnsi="Arial" w:cs="Arial"/>
                <w:color w:val="000000"/>
                <w:kern w:val="3"/>
                <w:sz w:val="20"/>
                <w:szCs w:val="20"/>
                <w:lang w:val="es-CO" w:eastAsia="es-CO"/>
              </w:rPr>
              <w:t>Proceso de contención programada en el mes de noviembre y diciembre; según información del MHCP– Administración SIIF, problemas en varios meses</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(Julio, septiembre, noviembre y en especial diciembre)</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con el generador de reportes del aplicativo.</w:t>
            </w:r>
            <w:r w:rsidRPr="00A05A5C">
              <w:rPr>
                <w:rFonts w:ascii="Arial" w:eastAsia="Lucida Sans Unicode" w:hAnsi="Arial" w:cs="Arial"/>
                <w:color w:val="000000"/>
                <w:kern w:val="3"/>
                <w:sz w:val="20"/>
                <w:szCs w:val="20"/>
                <w:lang w:val="es-CO" w:eastAsia="es-CO"/>
              </w:rPr>
              <w:t xml:space="preserve"> </w:t>
            </w:r>
          </w:p>
          <w:p w14:paraId="4586708E" w14:textId="77777777" w:rsidR="006621BE" w:rsidRPr="00A05A5C" w:rsidRDefault="006621BE" w:rsidP="00EF5AF2">
            <w:pPr>
              <w:suppressAutoHyphens/>
              <w:autoSpaceDE/>
              <w:jc w:val="both"/>
              <w:textAlignment w:val="baseline"/>
              <w:rPr>
                <w:rFonts w:ascii="Arial" w:eastAsia="Lucida Sans Unicode" w:hAnsi="Arial" w:cs="Arial"/>
                <w:color w:val="000000"/>
                <w:kern w:val="3"/>
                <w:sz w:val="20"/>
                <w:szCs w:val="20"/>
                <w:lang w:val="es-CO" w:eastAsia="es-CO"/>
              </w:rPr>
            </w:pPr>
          </w:p>
          <w:p w14:paraId="5198D1F3" w14:textId="77777777" w:rsidR="006621BE" w:rsidRPr="00A05A5C" w:rsidRDefault="006621BE" w:rsidP="00EF5AF2">
            <w:pPr>
              <w:suppressAutoHyphens/>
              <w:autoSpaceDE/>
              <w:jc w:val="both"/>
              <w:textAlignment w:val="baseline"/>
              <w:rPr>
                <w:rFonts w:ascii="Arial" w:eastAsia="Lucida Sans Unicode" w:hAnsi="Arial" w:cs="Arial"/>
                <w:kern w:val="3"/>
                <w:sz w:val="24"/>
                <w:szCs w:val="24"/>
                <w:lang w:val="es-CO" w:eastAsia="es-CO"/>
              </w:rPr>
            </w:pPr>
            <w:r w:rsidRPr="00A05A5C">
              <w:rPr>
                <w:rFonts w:ascii="Arial" w:eastAsia="Times New Roman" w:hAnsi="Arial" w:cs="Arial"/>
                <w:color w:val="000000"/>
                <w:kern w:val="3"/>
                <w:sz w:val="20"/>
                <w:szCs w:val="20"/>
                <w:lang w:val="es-CO" w:eastAsia="es-CO"/>
              </w:rPr>
              <w:t>Lentitud en el proceso de registro de datos por conectividad puesto que contamos con servicio</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tercerizado con empresa privada (Comcel - Claro) que</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han informado problemas de integración de</w:t>
            </w:r>
            <w:r w:rsidRPr="00A05A5C">
              <w:rPr>
                <w:rFonts w:ascii="Arial" w:eastAsia="Lucida Sans Unicode" w:hAnsi="Arial" w:cs="Arial"/>
                <w:color w:val="000000"/>
                <w:kern w:val="3"/>
                <w:sz w:val="20"/>
                <w:szCs w:val="20"/>
                <w:lang w:val="es-CO" w:eastAsia="es-CO"/>
              </w:rPr>
              <w:t xml:space="preserve"> </w:t>
            </w:r>
            <w:r w:rsidRPr="00A05A5C">
              <w:rPr>
                <w:rFonts w:ascii="Arial" w:eastAsia="Times New Roman" w:hAnsi="Arial" w:cs="Arial"/>
                <w:color w:val="000000"/>
                <w:kern w:val="3"/>
                <w:sz w:val="20"/>
                <w:szCs w:val="20"/>
                <w:lang w:val="es-CO" w:eastAsia="es-CO"/>
              </w:rPr>
              <w:t>navegabilidad.</w:t>
            </w:r>
          </w:p>
        </w:tc>
      </w:tr>
      <w:tr w:rsidR="006621BE" w:rsidRPr="00A05A5C" w14:paraId="551A4CF8" w14:textId="77777777" w:rsidTr="004B15A2">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E59B1" w14:textId="77777777" w:rsidR="006621BE" w:rsidRPr="00A05A5C" w:rsidRDefault="006621BE" w:rsidP="00EF5AF2">
            <w:pPr>
              <w:tabs>
                <w:tab w:val="left" w:pos="875"/>
              </w:tabs>
              <w:suppressAutoHyphens/>
              <w:ind w:right="-50"/>
              <w:jc w:val="center"/>
              <w:rPr>
                <w:rFonts w:ascii="Arial" w:eastAsia="Arial MT" w:hAnsi="Arial" w:cs="Arial"/>
                <w:b/>
                <w:sz w:val="20"/>
                <w:szCs w:val="20"/>
              </w:rPr>
            </w:pPr>
          </w:p>
          <w:p w14:paraId="21B3AC27" w14:textId="77777777" w:rsidR="006621BE" w:rsidRPr="00A05A5C" w:rsidRDefault="006621BE" w:rsidP="00EF5AF2">
            <w:pPr>
              <w:tabs>
                <w:tab w:val="left" w:pos="875"/>
              </w:tabs>
              <w:suppressAutoHyphens/>
              <w:ind w:right="-50"/>
              <w:jc w:val="center"/>
              <w:rPr>
                <w:rFonts w:ascii="Arial" w:eastAsia="Arial MT" w:hAnsi="Arial" w:cs="Arial"/>
                <w:b/>
                <w:sz w:val="20"/>
                <w:szCs w:val="20"/>
              </w:rPr>
            </w:pPr>
            <w:r w:rsidRPr="00A05A5C">
              <w:rPr>
                <w:rFonts w:ascii="Arial" w:eastAsia="Arial MT" w:hAnsi="Arial" w:cs="Arial"/>
                <w:b/>
                <w:sz w:val="20"/>
                <w:szCs w:val="20"/>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00746" w14:textId="77777777" w:rsidR="006621BE" w:rsidRPr="00A05A5C" w:rsidRDefault="006621BE" w:rsidP="00EF5AF2">
            <w:pPr>
              <w:tabs>
                <w:tab w:val="left" w:pos="875"/>
              </w:tabs>
              <w:suppressAutoHyphens/>
              <w:ind w:right="-50"/>
              <w:rPr>
                <w:rFonts w:ascii="Arial" w:eastAsia="Arial MT" w:hAnsi="Arial" w:cs="Arial"/>
                <w:b/>
                <w:sz w:val="20"/>
                <w:szCs w:val="20"/>
              </w:rPr>
            </w:pPr>
            <w:r w:rsidRPr="00A05A5C">
              <w:rPr>
                <w:rFonts w:ascii="Arial" w:eastAsia="Arial MT" w:hAnsi="Arial" w:cs="Arial"/>
                <w:b/>
                <w:sz w:val="20"/>
                <w:szCs w:val="20"/>
              </w:rPr>
              <w:t>Operativas: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3B743" w14:textId="77777777" w:rsidR="006621BE" w:rsidRPr="00A05A5C" w:rsidRDefault="006621BE" w:rsidP="00EF5AF2">
            <w:pPr>
              <w:suppressAutoHyphens/>
              <w:autoSpaceDE/>
              <w:jc w:val="both"/>
              <w:textAlignment w:val="baseline"/>
              <w:rPr>
                <w:rFonts w:ascii="Arial" w:eastAsia="Lucida Sans Unicode" w:hAnsi="Arial" w:cs="Arial"/>
                <w:kern w:val="3"/>
                <w:sz w:val="24"/>
                <w:szCs w:val="24"/>
                <w:lang w:val="es-CO" w:eastAsia="es-CO"/>
              </w:rPr>
            </w:pPr>
            <w:r w:rsidRPr="00A05A5C">
              <w:rPr>
                <w:rFonts w:ascii="Arial" w:eastAsia="Times New Roman" w:hAnsi="Arial" w:cs="Arial"/>
                <w:color w:val="000000"/>
                <w:kern w:val="3"/>
                <w:sz w:val="20"/>
                <w:szCs w:val="20"/>
                <w:lang w:val="es-CO" w:eastAsia="es-CO"/>
              </w:rPr>
              <w:t>Actualizaciones constantes de los diferentes softwares que requiere el aplicativo para su funcionamiento (Elogic Monitor, JAVA, entre otros)</w:t>
            </w:r>
          </w:p>
        </w:tc>
      </w:tr>
    </w:tbl>
    <w:p w14:paraId="6D07B8CE" w14:textId="77777777" w:rsidR="006621BE" w:rsidRDefault="006621BE" w:rsidP="006621BE">
      <w:pPr>
        <w:jc w:val="both"/>
        <w:rPr>
          <w:rFonts w:ascii="Arial" w:hAnsi="Arial" w:cs="Arial"/>
          <w:b/>
          <w:sz w:val="28"/>
          <w:szCs w:val="28"/>
        </w:rPr>
      </w:pPr>
    </w:p>
    <w:p w14:paraId="5C49BA8F" w14:textId="77777777" w:rsidR="006621BE" w:rsidRPr="00D537A3" w:rsidRDefault="006621BE" w:rsidP="004B15A2">
      <w:pPr>
        <w:pStyle w:val="Textoindependiente"/>
        <w:ind w:left="-284"/>
        <w:jc w:val="both"/>
        <w:rPr>
          <w:rFonts w:ascii="Arial" w:hAnsi="Arial" w:cs="Arial"/>
          <w:b/>
          <w:bCs/>
          <w:sz w:val="24"/>
          <w:szCs w:val="24"/>
        </w:rPr>
      </w:pPr>
      <w:r w:rsidRPr="00D537A3">
        <w:rPr>
          <w:rFonts w:ascii="Arial" w:hAnsi="Arial" w:cs="Arial"/>
          <w:b/>
          <w:bCs/>
          <w:sz w:val="24"/>
          <w:szCs w:val="24"/>
        </w:rPr>
        <w:t>1.2. Declaración del cumplimiento del marco normativo</w:t>
      </w:r>
    </w:p>
    <w:p w14:paraId="1386E661" w14:textId="77777777" w:rsidR="006621BE" w:rsidRPr="00D537A3" w:rsidRDefault="006621BE" w:rsidP="004B15A2">
      <w:pPr>
        <w:pStyle w:val="Textoindependiente"/>
        <w:ind w:left="-284"/>
        <w:jc w:val="both"/>
        <w:rPr>
          <w:rFonts w:ascii="Arial" w:hAnsi="Arial" w:cs="Arial"/>
          <w:b/>
          <w:bCs/>
          <w:sz w:val="24"/>
          <w:szCs w:val="24"/>
        </w:rPr>
      </w:pPr>
    </w:p>
    <w:p w14:paraId="3940D654" w14:textId="77777777" w:rsidR="006621BE" w:rsidRPr="00D537A3" w:rsidRDefault="006621BE" w:rsidP="004B15A2">
      <w:pPr>
        <w:pStyle w:val="Textoindependiente"/>
        <w:ind w:left="-284" w:right="-234"/>
        <w:jc w:val="both"/>
        <w:rPr>
          <w:rFonts w:ascii="Arial" w:hAnsi="Arial" w:cs="Arial"/>
          <w:sz w:val="24"/>
          <w:szCs w:val="24"/>
        </w:rPr>
      </w:pPr>
      <w:r w:rsidRPr="00D537A3">
        <w:rPr>
          <w:rFonts w:ascii="Arial" w:hAnsi="Arial" w:cs="Arial"/>
          <w:b/>
          <w:bCs/>
          <w:sz w:val="24"/>
          <w:szCs w:val="24"/>
        </w:rPr>
        <w:t xml:space="preserve">Limitaciones. </w:t>
      </w:r>
      <w:r w:rsidRPr="00D537A3">
        <w:rPr>
          <w:rFonts w:ascii="Arial" w:hAnsi="Arial" w:cs="Arial"/>
          <w:sz w:val="24"/>
          <w:szCs w:val="24"/>
        </w:rPr>
        <w:t xml:space="preserve">El sistema SIIF Nación, presenta algunas oportunidades de mejora identificadas en la restricción actual en la generación de auxiliares detallados, que limita la selección de fechas a un trimestre, dificulta el análisis de cuentas y registros en periodos más extensos. Esta limitación podría impactar negativamente en la capacidad de realizar análisis financieros y contables de manera integral y oportuna. </w:t>
      </w:r>
    </w:p>
    <w:p w14:paraId="076B2C1C" w14:textId="77777777" w:rsidR="006621BE" w:rsidRPr="00D537A3" w:rsidRDefault="006621BE" w:rsidP="004B15A2">
      <w:pPr>
        <w:pStyle w:val="Textoindependiente"/>
        <w:ind w:left="-284" w:right="-234"/>
        <w:jc w:val="both"/>
        <w:rPr>
          <w:rFonts w:ascii="Arial" w:hAnsi="Arial" w:cs="Arial"/>
          <w:sz w:val="24"/>
          <w:szCs w:val="24"/>
        </w:rPr>
      </w:pPr>
    </w:p>
    <w:p w14:paraId="3587EE9C" w14:textId="77777777" w:rsidR="006621BE" w:rsidRPr="00D537A3" w:rsidRDefault="006621BE" w:rsidP="004B15A2">
      <w:pPr>
        <w:pStyle w:val="Textoindependiente"/>
        <w:ind w:left="-284" w:right="-234"/>
        <w:jc w:val="both"/>
        <w:rPr>
          <w:rFonts w:ascii="Arial" w:hAnsi="Arial" w:cs="Arial"/>
          <w:sz w:val="24"/>
          <w:szCs w:val="24"/>
        </w:rPr>
      </w:pPr>
      <w:r w:rsidRPr="00D537A3">
        <w:rPr>
          <w:rFonts w:ascii="Arial" w:hAnsi="Arial" w:cs="Arial"/>
          <w:sz w:val="24"/>
          <w:szCs w:val="24"/>
        </w:rPr>
        <w:t>Asimismo, la ausencia de un módulo específico para la gestión de bienes y el cálculo automático de depreciaciones y amortizaciones en el Sistema SIIF Nación, implica que estos registros contables se realicen manualmente, lo que podría incrementar el margen de error y disminuir la eficiencia de los procesos.</w:t>
      </w:r>
    </w:p>
    <w:p w14:paraId="3AD9B89B" w14:textId="77777777" w:rsidR="006621BE" w:rsidRPr="00A05A5C" w:rsidRDefault="006621BE" w:rsidP="004B15A2">
      <w:pPr>
        <w:ind w:left="-284"/>
        <w:jc w:val="both"/>
        <w:rPr>
          <w:rFonts w:ascii="Arial" w:hAnsi="Arial" w:cs="Arial"/>
          <w:b/>
          <w:sz w:val="28"/>
          <w:szCs w:val="28"/>
        </w:rPr>
      </w:pPr>
    </w:p>
    <w:p w14:paraId="4D8BD54B" w14:textId="6A4AC1C5" w:rsidR="006621BE" w:rsidRDefault="006621BE" w:rsidP="004B15A2">
      <w:pPr>
        <w:ind w:left="-284"/>
        <w:jc w:val="both"/>
        <w:rPr>
          <w:rFonts w:ascii="Arial" w:hAnsi="Arial" w:cs="Arial"/>
          <w:b/>
          <w:sz w:val="28"/>
          <w:szCs w:val="28"/>
          <w:lang w:val="es-MX"/>
        </w:rPr>
      </w:pPr>
      <w:r w:rsidRPr="00C927E4">
        <w:rPr>
          <w:rFonts w:ascii="Arial" w:hAnsi="Arial" w:cs="Arial"/>
          <w:b/>
          <w:sz w:val="28"/>
          <w:szCs w:val="28"/>
          <w:lang w:val="es-MX"/>
        </w:rPr>
        <w:t>27</w:t>
      </w:r>
      <w:r>
        <w:rPr>
          <w:rFonts w:ascii="Arial" w:hAnsi="Arial" w:cs="Arial"/>
          <w:b/>
          <w:sz w:val="28"/>
          <w:szCs w:val="28"/>
          <w:lang w:val="es-MX"/>
        </w:rPr>
        <w:t>4</w:t>
      </w:r>
      <w:r w:rsidRPr="00C927E4">
        <w:rPr>
          <w:rFonts w:ascii="Arial" w:hAnsi="Arial" w:cs="Arial"/>
          <w:b/>
          <w:sz w:val="28"/>
          <w:szCs w:val="28"/>
          <w:lang w:val="es-MX"/>
        </w:rPr>
        <w:t xml:space="preserve">.- CONTRALORÍA GENERAL DE LA REPÚBLICA – CGR. </w:t>
      </w:r>
    </w:p>
    <w:p w14:paraId="50F891E9" w14:textId="77777777" w:rsidR="006C10D2" w:rsidRPr="00C927E4" w:rsidRDefault="006C10D2" w:rsidP="004B15A2">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E3382" w14:paraId="426108EC" w14:textId="77777777" w:rsidTr="004B15A2">
        <w:tc>
          <w:tcPr>
            <w:tcW w:w="993" w:type="dxa"/>
          </w:tcPr>
          <w:p w14:paraId="127EDC10" w14:textId="77777777" w:rsidR="006621BE" w:rsidRPr="000E3382" w:rsidRDefault="006621BE" w:rsidP="00EF5AF2">
            <w:pPr>
              <w:tabs>
                <w:tab w:val="left" w:pos="875"/>
              </w:tabs>
              <w:ind w:right="-50"/>
              <w:jc w:val="center"/>
              <w:rPr>
                <w:rFonts w:ascii="Arial" w:hAnsi="Arial" w:cs="Arial"/>
                <w:b/>
              </w:rPr>
            </w:pPr>
            <w:r w:rsidRPr="000E3382">
              <w:rPr>
                <w:rFonts w:ascii="Arial" w:hAnsi="Arial" w:cs="Arial"/>
                <w:b/>
              </w:rPr>
              <w:t>N°</w:t>
            </w:r>
          </w:p>
        </w:tc>
        <w:tc>
          <w:tcPr>
            <w:tcW w:w="4253" w:type="dxa"/>
          </w:tcPr>
          <w:p w14:paraId="27CCFA80" w14:textId="77777777" w:rsidR="006621BE" w:rsidRPr="000E3382" w:rsidRDefault="006621BE" w:rsidP="00EF5AF2">
            <w:pPr>
              <w:tabs>
                <w:tab w:val="left" w:pos="875"/>
              </w:tabs>
              <w:ind w:right="-50"/>
              <w:jc w:val="center"/>
              <w:rPr>
                <w:rFonts w:ascii="Arial" w:hAnsi="Arial" w:cs="Arial"/>
                <w:b/>
              </w:rPr>
            </w:pPr>
            <w:r w:rsidRPr="000E3382">
              <w:rPr>
                <w:rFonts w:ascii="Arial" w:hAnsi="Arial" w:cs="Arial"/>
                <w:b/>
              </w:rPr>
              <w:t>Limitaciones del Sistema SIIF II Nación a 31/12/2024</w:t>
            </w:r>
          </w:p>
          <w:p w14:paraId="7DB2CC2D" w14:textId="77777777" w:rsidR="006621BE" w:rsidRPr="000E3382" w:rsidRDefault="006621BE" w:rsidP="00EF5AF2">
            <w:pPr>
              <w:tabs>
                <w:tab w:val="left" w:pos="875"/>
              </w:tabs>
              <w:ind w:right="-50"/>
              <w:jc w:val="center"/>
              <w:rPr>
                <w:rFonts w:ascii="Arial" w:hAnsi="Arial" w:cs="Arial"/>
                <w:b/>
              </w:rPr>
            </w:pPr>
          </w:p>
        </w:tc>
        <w:tc>
          <w:tcPr>
            <w:tcW w:w="5244" w:type="dxa"/>
          </w:tcPr>
          <w:p w14:paraId="4F4FC5B8" w14:textId="77777777" w:rsidR="006621BE" w:rsidRPr="000E3382" w:rsidRDefault="006621BE" w:rsidP="00EF5AF2">
            <w:pPr>
              <w:tabs>
                <w:tab w:val="left" w:pos="875"/>
              </w:tabs>
              <w:ind w:right="-50"/>
              <w:jc w:val="center"/>
              <w:rPr>
                <w:rFonts w:ascii="Arial" w:hAnsi="Arial" w:cs="Arial"/>
                <w:b/>
              </w:rPr>
            </w:pPr>
            <w:r w:rsidRPr="000E3382">
              <w:rPr>
                <w:rFonts w:ascii="Arial" w:hAnsi="Arial" w:cs="Arial"/>
                <w:b/>
              </w:rPr>
              <w:t>Descripción de la limitación</w:t>
            </w:r>
          </w:p>
        </w:tc>
      </w:tr>
      <w:tr w:rsidR="006621BE" w:rsidRPr="000E3382" w14:paraId="2F3304EB" w14:textId="77777777" w:rsidTr="004B15A2">
        <w:tc>
          <w:tcPr>
            <w:tcW w:w="993" w:type="dxa"/>
          </w:tcPr>
          <w:p w14:paraId="1FA020D9" w14:textId="77777777" w:rsidR="006621BE" w:rsidRPr="000E3382" w:rsidRDefault="006621BE" w:rsidP="00EF5AF2">
            <w:pPr>
              <w:tabs>
                <w:tab w:val="left" w:pos="875"/>
              </w:tabs>
              <w:ind w:right="-50"/>
              <w:jc w:val="center"/>
              <w:rPr>
                <w:rFonts w:ascii="Arial" w:hAnsi="Arial" w:cs="Arial"/>
                <w:b/>
              </w:rPr>
            </w:pPr>
            <w:r w:rsidRPr="000E3382">
              <w:rPr>
                <w:rFonts w:ascii="Arial" w:hAnsi="Arial" w:cs="Arial"/>
                <w:b/>
              </w:rPr>
              <w:t>1</w:t>
            </w:r>
          </w:p>
        </w:tc>
        <w:tc>
          <w:tcPr>
            <w:tcW w:w="4253" w:type="dxa"/>
          </w:tcPr>
          <w:p w14:paraId="5D18F9E0" w14:textId="77777777" w:rsidR="006621BE" w:rsidRPr="000E3382" w:rsidRDefault="006621BE" w:rsidP="00EF5AF2">
            <w:pPr>
              <w:tabs>
                <w:tab w:val="left" w:pos="875"/>
              </w:tabs>
              <w:ind w:right="-50"/>
              <w:jc w:val="both"/>
              <w:rPr>
                <w:rFonts w:ascii="Arial" w:hAnsi="Arial" w:cs="Arial"/>
                <w:b/>
              </w:rPr>
            </w:pPr>
            <w:r w:rsidRPr="000E3382">
              <w:rPr>
                <w:rFonts w:ascii="Arial" w:hAnsi="Arial" w:cs="Arial"/>
                <w:b/>
              </w:rPr>
              <w:t>Técnicas:</w:t>
            </w:r>
          </w:p>
        </w:tc>
        <w:tc>
          <w:tcPr>
            <w:tcW w:w="5244" w:type="dxa"/>
          </w:tcPr>
          <w:p w14:paraId="2236E66F" w14:textId="77777777" w:rsidR="006621BE" w:rsidRPr="000E3382" w:rsidRDefault="006621BE" w:rsidP="00EF5AF2">
            <w:pPr>
              <w:tabs>
                <w:tab w:val="left" w:pos="875"/>
              </w:tabs>
              <w:ind w:right="-50"/>
              <w:jc w:val="both"/>
              <w:rPr>
                <w:rFonts w:ascii="Arial" w:hAnsi="Arial" w:cs="Arial"/>
              </w:rPr>
            </w:pPr>
            <w:r w:rsidRPr="000E3382">
              <w:rPr>
                <w:rFonts w:ascii="Arial" w:hAnsi="Arial" w:cs="Arial"/>
              </w:rPr>
              <w:t>Intermitente.</w:t>
            </w:r>
          </w:p>
        </w:tc>
      </w:tr>
    </w:tbl>
    <w:p w14:paraId="45F74042" w14:textId="77777777" w:rsidR="004B15A2" w:rsidRDefault="004B15A2" w:rsidP="006621BE">
      <w:pPr>
        <w:jc w:val="both"/>
        <w:rPr>
          <w:rFonts w:ascii="Arial" w:hAnsi="Arial" w:cs="Arial"/>
          <w:b/>
          <w:sz w:val="28"/>
          <w:szCs w:val="28"/>
          <w:lang w:val="es-MX"/>
        </w:rPr>
      </w:pPr>
    </w:p>
    <w:p w14:paraId="535087FB" w14:textId="1397E9F6" w:rsidR="006621BE" w:rsidRPr="001B59EE" w:rsidRDefault="006621BE" w:rsidP="004B15A2">
      <w:pPr>
        <w:ind w:left="-284"/>
        <w:jc w:val="both"/>
        <w:rPr>
          <w:rFonts w:ascii="Arial" w:hAnsi="Arial" w:cs="Arial"/>
          <w:b/>
          <w:sz w:val="28"/>
          <w:szCs w:val="28"/>
          <w:lang w:val="es-MX"/>
        </w:rPr>
      </w:pPr>
      <w:r w:rsidRPr="001B59EE">
        <w:rPr>
          <w:rFonts w:ascii="Arial" w:hAnsi="Arial" w:cs="Arial"/>
          <w:b/>
          <w:sz w:val="28"/>
          <w:szCs w:val="28"/>
          <w:lang w:val="es-MX"/>
        </w:rPr>
        <w:t>276.- INSTITUTO COLOMBIANO AGROPECUARIO – ICA.</w:t>
      </w:r>
    </w:p>
    <w:p w14:paraId="537D9581" w14:textId="77777777" w:rsidR="006621BE" w:rsidRDefault="006621BE" w:rsidP="006621BE">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D55519" w14:paraId="41F9B03C" w14:textId="77777777" w:rsidTr="004B15A2">
        <w:tc>
          <w:tcPr>
            <w:tcW w:w="993" w:type="dxa"/>
          </w:tcPr>
          <w:p w14:paraId="13DD503B" w14:textId="77777777" w:rsidR="006621BE" w:rsidRPr="00D55519" w:rsidRDefault="006621BE" w:rsidP="00EF5AF2">
            <w:pPr>
              <w:tabs>
                <w:tab w:val="left" w:pos="875"/>
              </w:tabs>
              <w:ind w:right="-50"/>
              <w:jc w:val="center"/>
              <w:rPr>
                <w:rFonts w:ascii="Arial" w:hAnsi="Arial" w:cs="Arial"/>
                <w:b/>
              </w:rPr>
            </w:pPr>
            <w:r w:rsidRPr="00D55519">
              <w:rPr>
                <w:rFonts w:ascii="Arial" w:hAnsi="Arial" w:cs="Arial"/>
                <w:b/>
              </w:rPr>
              <w:t>N°</w:t>
            </w:r>
          </w:p>
        </w:tc>
        <w:tc>
          <w:tcPr>
            <w:tcW w:w="4253" w:type="dxa"/>
          </w:tcPr>
          <w:p w14:paraId="2C5B9D29" w14:textId="77777777" w:rsidR="006621BE" w:rsidRPr="00D55519" w:rsidRDefault="006621BE" w:rsidP="00EF5AF2">
            <w:pPr>
              <w:tabs>
                <w:tab w:val="left" w:pos="875"/>
              </w:tabs>
              <w:ind w:right="-50"/>
              <w:jc w:val="center"/>
              <w:rPr>
                <w:rFonts w:ascii="Arial" w:hAnsi="Arial" w:cs="Arial"/>
                <w:b/>
              </w:rPr>
            </w:pPr>
            <w:r w:rsidRPr="00D55519">
              <w:rPr>
                <w:rFonts w:ascii="Arial" w:hAnsi="Arial" w:cs="Arial"/>
                <w:b/>
              </w:rPr>
              <w:t>Limitaciones del Sistema SIIF II Nación a 31/12/2024</w:t>
            </w:r>
          </w:p>
          <w:p w14:paraId="51A8EA70" w14:textId="77777777" w:rsidR="006621BE" w:rsidRPr="00D55519" w:rsidRDefault="006621BE" w:rsidP="00EF5AF2">
            <w:pPr>
              <w:tabs>
                <w:tab w:val="left" w:pos="875"/>
              </w:tabs>
              <w:ind w:right="-50"/>
              <w:jc w:val="center"/>
              <w:rPr>
                <w:rFonts w:ascii="Arial" w:hAnsi="Arial" w:cs="Arial"/>
                <w:b/>
              </w:rPr>
            </w:pPr>
          </w:p>
        </w:tc>
        <w:tc>
          <w:tcPr>
            <w:tcW w:w="5244" w:type="dxa"/>
          </w:tcPr>
          <w:p w14:paraId="58369B89" w14:textId="77777777" w:rsidR="006621BE" w:rsidRPr="00D55519" w:rsidRDefault="006621BE" w:rsidP="00EF5AF2">
            <w:pPr>
              <w:tabs>
                <w:tab w:val="left" w:pos="875"/>
              </w:tabs>
              <w:ind w:right="-50"/>
              <w:jc w:val="center"/>
              <w:rPr>
                <w:rFonts w:ascii="Arial" w:hAnsi="Arial" w:cs="Arial"/>
                <w:b/>
              </w:rPr>
            </w:pPr>
            <w:r w:rsidRPr="00D55519">
              <w:rPr>
                <w:rFonts w:ascii="Arial" w:hAnsi="Arial" w:cs="Arial"/>
                <w:b/>
              </w:rPr>
              <w:t>Descripción de la limitación</w:t>
            </w:r>
          </w:p>
        </w:tc>
      </w:tr>
      <w:tr w:rsidR="006621BE" w:rsidRPr="00D55519" w14:paraId="53980D36" w14:textId="77777777" w:rsidTr="004B15A2">
        <w:tc>
          <w:tcPr>
            <w:tcW w:w="993" w:type="dxa"/>
          </w:tcPr>
          <w:p w14:paraId="22EAC2FE" w14:textId="77777777" w:rsidR="006621BE" w:rsidRPr="00D55519" w:rsidRDefault="006621BE" w:rsidP="00EF5AF2">
            <w:pPr>
              <w:tabs>
                <w:tab w:val="left" w:pos="875"/>
              </w:tabs>
              <w:ind w:right="-50"/>
              <w:jc w:val="center"/>
              <w:rPr>
                <w:rFonts w:ascii="Arial" w:hAnsi="Arial" w:cs="Arial"/>
                <w:b/>
              </w:rPr>
            </w:pPr>
            <w:r w:rsidRPr="00D55519">
              <w:rPr>
                <w:rFonts w:ascii="Arial" w:hAnsi="Arial" w:cs="Arial"/>
                <w:b/>
              </w:rPr>
              <w:t>1</w:t>
            </w:r>
          </w:p>
        </w:tc>
        <w:tc>
          <w:tcPr>
            <w:tcW w:w="4253" w:type="dxa"/>
          </w:tcPr>
          <w:p w14:paraId="234751E8" w14:textId="77777777" w:rsidR="006621BE" w:rsidRPr="00D55519" w:rsidRDefault="006621BE" w:rsidP="00EF5AF2">
            <w:pPr>
              <w:tabs>
                <w:tab w:val="left" w:pos="875"/>
              </w:tabs>
              <w:ind w:right="-50"/>
              <w:jc w:val="both"/>
              <w:rPr>
                <w:rFonts w:ascii="Arial" w:hAnsi="Arial" w:cs="Arial"/>
                <w:b/>
              </w:rPr>
            </w:pPr>
            <w:r w:rsidRPr="00D55519">
              <w:rPr>
                <w:rFonts w:ascii="Arial" w:hAnsi="Arial" w:cs="Arial"/>
                <w:b/>
              </w:rPr>
              <w:t>Operativas:</w:t>
            </w:r>
          </w:p>
        </w:tc>
        <w:tc>
          <w:tcPr>
            <w:tcW w:w="5244" w:type="dxa"/>
          </w:tcPr>
          <w:p w14:paraId="021DFDA3" w14:textId="77777777" w:rsidR="006621BE" w:rsidRPr="00D55519" w:rsidRDefault="006621BE" w:rsidP="00EF5AF2">
            <w:pPr>
              <w:tabs>
                <w:tab w:val="left" w:pos="875"/>
              </w:tabs>
              <w:ind w:right="-50"/>
              <w:jc w:val="both"/>
              <w:rPr>
                <w:rFonts w:ascii="Arial" w:hAnsi="Arial" w:cs="Arial"/>
              </w:rPr>
            </w:pPr>
            <w:r w:rsidRPr="00D55519">
              <w:rPr>
                <w:rFonts w:ascii="Arial" w:hAnsi="Arial" w:cs="Arial"/>
              </w:rPr>
              <w:t>El sistema no permitió el registro total de los saldos por imputar en la ejecución presupuestal de ingresos.</w:t>
            </w:r>
          </w:p>
        </w:tc>
      </w:tr>
      <w:tr w:rsidR="006621BE" w:rsidRPr="00D55519" w14:paraId="27F2F5FB" w14:textId="77777777" w:rsidTr="004B15A2">
        <w:tc>
          <w:tcPr>
            <w:tcW w:w="993" w:type="dxa"/>
          </w:tcPr>
          <w:p w14:paraId="0B3FB6E6" w14:textId="77777777" w:rsidR="006621BE" w:rsidRPr="00D55519" w:rsidRDefault="006621BE" w:rsidP="00EF5AF2">
            <w:pPr>
              <w:tabs>
                <w:tab w:val="left" w:pos="875"/>
              </w:tabs>
              <w:ind w:right="-50"/>
              <w:jc w:val="center"/>
              <w:rPr>
                <w:rFonts w:ascii="Arial" w:hAnsi="Arial" w:cs="Arial"/>
                <w:b/>
              </w:rPr>
            </w:pPr>
            <w:r w:rsidRPr="00D55519">
              <w:rPr>
                <w:rFonts w:ascii="Arial" w:hAnsi="Arial" w:cs="Arial"/>
                <w:b/>
              </w:rPr>
              <w:t>2</w:t>
            </w:r>
          </w:p>
        </w:tc>
        <w:tc>
          <w:tcPr>
            <w:tcW w:w="4253" w:type="dxa"/>
          </w:tcPr>
          <w:p w14:paraId="26585DB6" w14:textId="77777777" w:rsidR="006621BE" w:rsidRPr="00D55519" w:rsidRDefault="006621BE" w:rsidP="00EF5AF2">
            <w:pPr>
              <w:tabs>
                <w:tab w:val="left" w:pos="875"/>
              </w:tabs>
              <w:ind w:right="-50"/>
              <w:jc w:val="both"/>
              <w:rPr>
                <w:rFonts w:ascii="Arial" w:hAnsi="Arial" w:cs="Arial"/>
                <w:b/>
              </w:rPr>
            </w:pPr>
            <w:r w:rsidRPr="00D55519">
              <w:rPr>
                <w:rFonts w:ascii="Arial" w:hAnsi="Arial" w:cs="Arial"/>
                <w:b/>
              </w:rPr>
              <w:t>Soporte a la plataforma:</w:t>
            </w:r>
          </w:p>
        </w:tc>
        <w:tc>
          <w:tcPr>
            <w:tcW w:w="5244" w:type="dxa"/>
          </w:tcPr>
          <w:p w14:paraId="270FE5E3" w14:textId="77777777" w:rsidR="006621BE" w:rsidRPr="00D55519" w:rsidRDefault="006621BE" w:rsidP="00EF5AF2">
            <w:pPr>
              <w:tabs>
                <w:tab w:val="left" w:pos="875"/>
              </w:tabs>
              <w:ind w:right="-50"/>
              <w:jc w:val="both"/>
              <w:rPr>
                <w:rFonts w:ascii="Arial" w:hAnsi="Arial" w:cs="Arial"/>
              </w:rPr>
            </w:pPr>
            <w:r w:rsidRPr="00D55519">
              <w:rPr>
                <w:rFonts w:ascii="Arial" w:hAnsi="Arial" w:cs="Arial"/>
              </w:rPr>
              <w:t>El sistema dejó en estado de acumulación algunos documentos de recaudo por clasificar, por lo que al 20/01/2025 no fue posible finalizar los procesos. Se recibió respuesta del incidente el 22/01/2025.</w:t>
            </w:r>
          </w:p>
        </w:tc>
      </w:tr>
    </w:tbl>
    <w:p w14:paraId="2ED360B9" w14:textId="77777777" w:rsidR="006621BE" w:rsidRDefault="006621BE" w:rsidP="006621BE">
      <w:pPr>
        <w:tabs>
          <w:tab w:val="left" w:pos="875"/>
        </w:tabs>
        <w:ind w:left="-142" w:right="-50"/>
        <w:jc w:val="both"/>
        <w:rPr>
          <w:rFonts w:ascii="Times New Roman" w:hAnsi="Times New Roman"/>
          <w:sz w:val="24"/>
        </w:rPr>
      </w:pPr>
    </w:p>
    <w:p w14:paraId="7E325812" w14:textId="77777777" w:rsidR="006621BE" w:rsidRPr="00D55519" w:rsidRDefault="006621BE" w:rsidP="004B15A2">
      <w:pPr>
        <w:tabs>
          <w:tab w:val="left" w:pos="875"/>
        </w:tabs>
        <w:ind w:left="-284" w:right="-234"/>
        <w:jc w:val="both"/>
        <w:rPr>
          <w:rFonts w:ascii="Arial" w:hAnsi="Arial" w:cs="Arial"/>
          <w:sz w:val="24"/>
        </w:rPr>
      </w:pPr>
      <w:r w:rsidRPr="00D55519">
        <w:rPr>
          <w:rFonts w:ascii="Arial" w:hAnsi="Arial" w:cs="Arial"/>
          <w:b/>
          <w:bCs/>
          <w:sz w:val="24"/>
        </w:rPr>
        <w:t>NOTA DE LA ENTIDAD</w:t>
      </w:r>
      <w:r w:rsidRPr="00D55519">
        <w:rPr>
          <w:rFonts w:ascii="Arial" w:hAnsi="Arial" w:cs="Arial"/>
          <w:sz w:val="24"/>
        </w:rPr>
        <w:t>: Se presentó un incidente en el período de transición del cierre presupuestal de ingresos de la vigencia 2024, específicamente el 20/01/2025, donde el aplicativo SIIF Nación bloqueó seis (6) documentos de recaudo por clasificar, los cuales se mostraban en estado "</w:t>
      </w:r>
      <w:r w:rsidRPr="00D55519">
        <w:rPr>
          <w:rFonts w:ascii="Arial" w:hAnsi="Arial" w:cs="Arial"/>
          <w:i/>
          <w:iCs/>
          <w:sz w:val="24"/>
        </w:rPr>
        <w:t>Pendiente de acumular</w:t>
      </w:r>
      <w:r w:rsidRPr="00D55519">
        <w:rPr>
          <w:rFonts w:ascii="Arial" w:hAnsi="Arial" w:cs="Arial"/>
          <w:sz w:val="24"/>
        </w:rPr>
        <w:t>” y "</w:t>
      </w:r>
      <w:r w:rsidRPr="00D55519">
        <w:rPr>
          <w:rFonts w:ascii="Arial" w:hAnsi="Arial" w:cs="Arial"/>
          <w:i/>
          <w:iCs/>
          <w:sz w:val="24"/>
        </w:rPr>
        <w:t>Clasificado acumulación</w:t>
      </w:r>
      <w:r w:rsidRPr="00D55519">
        <w:rPr>
          <w:rFonts w:ascii="Arial" w:hAnsi="Arial" w:cs="Arial"/>
          <w:sz w:val="24"/>
        </w:rPr>
        <w:t>”, por haber sido utilizados en la aplicación de recaudos de facturación electrónica el 16/01/2025.</w:t>
      </w:r>
    </w:p>
    <w:p w14:paraId="6C699396" w14:textId="77777777" w:rsidR="006621BE" w:rsidRPr="00D55519" w:rsidRDefault="006621BE" w:rsidP="004B15A2">
      <w:pPr>
        <w:tabs>
          <w:tab w:val="left" w:pos="875"/>
        </w:tabs>
        <w:ind w:left="-284" w:right="-234"/>
        <w:jc w:val="both"/>
        <w:rPr>
          <w:rFonts w:ascii="Arial" w:hAnsi="Arial" w:cs="Arial"/>
          <w:sz w:val="24"/>
        </w:rPr>
      </w:pPr>
      <w:r w:rsidRPr="00D55519">
        <w:rPr>
          <w:rFonts w:ascii="Arial" w:hAnsi="Arial" w:cs="Arial"/>
          <w:sz w:val="24"/>
        </w:rPr>
        <w:t xml:space="preserve"> </w:t>
      </w:r>
    </w:p>
    <w:p w14:paraId="294FD4CF" w14:textId="77777777" w:rsidR="006621BE" w:rsidRPr="00D55519" w:rsidRDefault="006621BE" w:rsidP="004B15A2">
      <w:pPr>
        <w:tabs>
          <w:tab w:val="left" w:pos="875"/>
        </w:tabs>
        <w:ind w:left="-284" w:right="-234"/>
        <w:jc w:val="both"/>
        <w:rPr>
          <w:rFonts w:ascii="Arial" w:hAnsi="Arial" w:cs="Arial"/>
          <w:sz w:val="24"/>
        </w:rPr>
      </w:pPr>
      <w:r w:rsidRPr="00D55519">
        <w:rPr>
          <w:rFonts w:ascii="Arial" w:hAnsi="Arial" w:cs="Arial"/>
          <w:sz w:val="24"/>
        </w:rPr>
        <w:t xml:space="preserve">Se realizó la radicación del caso mediante la línea de soporte de SIIF Nación y del oficio 20252100437 dirigido a la Administración del aplicativo, manifestando la situación presentada y solicitando la posibilidad de generar el registro, sin recibir respuesta al respecto, más que la </w:t>
      </w:r>
      <w:r w:rsidRPr="00D55519">
        <w:rPr>
          <w:rFonts w:ascii="Arial" w:hAnsi="Arial" w:cs="Arial"/>
          <w:sz w:val="24"/>
        </w:rPr>
        <w:lastRenderedPageBreak/>
        <w:t>confirmación de la inconsistencia presentada, pero no solución respecto al registro pendiente de generar recaudo y causación simultánea.</w:t>
      </w:r>
    </w:p>
    <w:p w14:paraId="76A3D1A7" w14:textId="77777777" w:rsidR="006621BE" w:rsidRPr="00D55519" w:rsidRDefault="006621BE" w:rsidP="004B15A2">
      <w:pPr>
        <w:tabs>
          <w:tab w:val="left" w:pos="875"/>
        </w:tabs>
        <w:ind w:left="-284" w:right="-234"/>
        <w:jc w:val="both"/>
        <w:rPr>
          <w:rFonts w:ascii="Arial" w:hAnsi="Arial" w:cs="Arial"/>
          <w:sz w:val="24"/>
        </w:rPr>
      </w:pPr>
    </w:p>
    <w:p w14:paraId="05AEE650" w14:textId="77777777" w:rsidR="006621BE" w:rsidRPr="00D55519" w:rsidRDefault="006621BE" w:rsidP="004B15A2">
      <w:pPr>
        <w:tabs>
          <w:tab w:val="left" w:pos="875"/>
        </w:tabs>
        <w:ind w:left="-284" w:right="-234"/>
        <w:jc w:val="both"/>
        <w:rPr>
          <w:rFonts w:ascii="Arial" w:hAnsi="Arial" w:cs="Arial"/>
          <w:sz w:val="24"/>
        </w:rPr>
      </w:pPr>
      <w:r w:rsidRPr="00D55519">
        <w:rPr>
          <w:rFonts w:ascii="Arial" w:hAnsi="Arial" w:cs="Arial"/>
          <w:sz w:val="24"/>
        </w:rPr>
        <w:t>Esta situación generó un saldo de la cuenta contable 2.4.07.20 Recaudos por Clasificar con corte al 31/12/2024, que corresponde a $4.624.544.239,97.</w:t>
      </w:r>
    </w:p>
    <w:p w14:paraId="21C63B3E" w14:textId="77777777" w:rsidR="006621BE" w:rsidRDefault="006621BE" w:rsidP="004B15A2">
      <w:pPr>
        <w:ind w:left="-284" w:right="-234"/>
        <w:jc w:val="both"/>
        <w:rPr>
          <w:rFonts w:ascii="Arial" w:hAnsi="Arial" w:cs="Arial"/>
          <w:b/>
          <w:sz w:val="24"/>
          <w:szCs w:val="24"/>
        </w:rPr>
      </w:pPr>
    </w:p>
    <w:p w14:paraId="4CDB8B7F" w14:textId="77777777" w:rsidR="006621BE" w:rsidRPr="001D1504" w:rsidRDefault="006621BE" w:rsidP="004B15A2">
      <w:pPr>
        <w:ind w:left="-284" w:right="-234"/>
        <w:jc w:val="both"/>
        <w:rPr>
          <w:rFonts w:ascii="Arial" w:hAnsi="Arial" w:cs="Arial"/>
          <w:b/>
          <w:sz w:val="28"/>
          <w:szCs w:val="28"/>
          <w:lang w:val="es-MX"/>
        </w:rPr>
      </w:pPr>
      <w:r w:rsidRPr="001D1504">
        <w:rPr>
          <w:rFonts w:ascii="Arial" w:hAnsi="Arial" w:cs="Arial"/>
          <w:b/>
          <w:sz w:val="28"/>
          <w:szCs w:val="28"/>
          <w:lang w:val="es-MX"/>
        </w:rPr>
        <w:t>279.- FONDO ESPECIAL PARA LA ADMINISTRACIÓN DE BIENES DE LA FISCALÍA GENERAL DE LA NACIÓN.</w:t>
      </w:r>
    </w:p>
    <w:p w14:paraId="1D83560A" w14:textId="77777777" w:rsidR="006621BE" w:rsidRPr="00855904" w:rsidRDefault="006621BE" w:rsidP="006621BE">
      <w:pPr>
        <w:ind w:right="-93"/>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855904" w14:paraId="44CE2C1C" w14:textId="77777777" w:rsidTr="004B15A2">
        <w:tc>
          <w:tcPr>
            <w:tcW w:w="993" w:type="dxa"/>
          </w:tcPr>
          <w:p w14:paraId="52887B5F" w14:textId="77777777" w:rsidR="006621BE" w:rsidRPr="00855904" w:rsidRDefault="006621BE" w:rsidP="00EF5AF2">
            <w:pPr>
              <w:tabs>
                <w:tab w:val="left" w:pos="875"/>
              </w:tabs>
              <w:ind w:right="-50"/>
              <w:jc w:val="center"/>
              <w:rPr>
                <w:rFonts w:ascii="Arial" w:hAnsi="Arial" w:cs="Arial"/>
                <w:b/>
              </w:rPr>
            </w:pPr>
            <w:r w:rsidRPr="00855904">
              <w:rPr>
                <w:rFonts w:ascii="Arial" w:hAnsi="Arial" w:cs="Arial"/>
                <w:b/>
              </w:rPr>
              <w:t>N°</w:t>
            </w:r>
          </w:p>
        </w:tc>
        <w:tc>
          <w:tcPr>
            <w:tcW w:w="4253" w:type="dxa"/>
          </w:tcPr>
          <w:p w14:paraId="58F1DF20" w14:textId="77777777" w:rsidR="006621BE" w:rsidRPr="00855904" w:rsidRDefault="006621BE" w:rsidP="00EF5AF2">
            <w:pPr>
              <w:tabs>
                <w:tab w:val="left" w:pos="875"/>
              </w:tabs>
              <w:ind w:right="-50"/>
              <w:jc w:val="center"/>
              <w:rPr>
                <w:rFonts w:ascii="Arial" w:hAnsi="Arial" w:cs="Arial"/>
                <w:b/>
              </w:rPr>
            </w:pPr>
            <w:r w:rsidRPr="00855904">
              <w:rPr>
                <w:rFonts w:ascii="Arial" w:hAnsi="Arial" w:cs="Arial"/>
                <w:b/>
              </w:rPr>
              <w:t>Limitaciones del Sistema SIIF II Nación a 31/12/2024</w:t>
            </w:r>
          </w:p>
          <w:p w14:paraId="5209B2E1" w14:textId="77777777" w:rsidR="006621BE" w:rsidRPr="00855904" w:rsidRDefault="006621BE" w:rsidP="00EF5AF2">
            <w:pPr>
              <w:tabs>
                <w:tab w:val="left" w:pos="875"/>
              </w:tabs>
              <w:ind w:right="-50"/>
              <w:jc w:val="center"/>
              <w:rPr>
                <w:rFonts w:ascii="Arial" w:hAnsi="Arial" w:cs="Arial"/>
                <w:b/>
              </w:rPr>
            </w:pPr>
          </w:p>
        </w:tc>
        <w:tc>
          <w:tcPr>
            <w:tcW w:w="5244" w:type="dxa"/>
          </w:tcPr>
          <w:p w14:paraId="59203CED" w14:textId="77777777" w:rsidR="006621BE" w:rsidRPr="00855904" w:rsidRDefault="006621BE" w:rsidP="00EF5AF2">
            <w:pPr>
              <w:tabs>
                <w:tab w:val="left" w:pos="875"/>
              </w:tabs>
              <w:ind w:right="-50"/>
              <w:jc w:val="center"/>
              <w:rPr>
                <w:rFonts w:ascii="Arial" w:hAnsi="Arial" w:cs="Arial"/>
                <w:b/>
              </w:rPr>
            </w:pPr>
            <w:r w:rsidRPr="00855904">
              <w:rPr>
                <w:rFonts w:ascii="Arial" w:hAnsi="Arial" w:cs="Arial"/>
                <w:b/>
              </w:rPr>
              <w:t>Descripción de la limitación</w:t>
            </w:r>
          </w:p>
        </w:tc>
      </w:tr>
      <w:tr w:rsidR="006621BE" w:rsidRPr="00855904" w14:paraId="35BC8156" w14:textId="77777777" w:rsidTr="004B15A2">
        <w:tc>
          <w:tcPr>
            <w:tcW w:w="993" w:type="dxa"/>
          </w:tcPr>
          <w:p w14:paraId="347F0A1C" w14:textId="77777777" w:rsidR="006621BE" w:rsidRPr="00855904" w:rsidRDefault="006621BE" w:rsidP="00EF5AF2">
            <w:pPr>
              <w:tabs>
                <w:tab w:val="left" w:pos="875"/>
              </w:tabs>
              <w:ind w:right="-50"/>
              <w:jc w:val="center"/>
              <w:rPr>
                <w:rFonts w:ascii="Arial" w:hAnsi="Arial" w:cs="Arial"/>
                <w:b/>
              </w:rPr>
            </w:pPr>
            <w:r w:rsidRPr="00855904">
              <w:rPr>
                <w:rFonts w:ascii="Arial" w:hAnsi="Arial" w:cs="Arial"/>
                <w:b/>
              </w:rPr>
              <w:t>1</w:t>
            </w:r>
          </w:p>
        </w:tc>
        <w:tc>
          <w:tcPr>
            <w:tcW w:w="4253" w:type="dxa"/>
          </w:tcPr>
          <w:p w14:paraId="08B3A925" w14:textId="77777777" w:rsidR="006621BE" w:rsidRPr="00855904" w:rsidRDefault="006621BE" w:rsidP="00EF5AF2">
            <w:pPr>
              <w:tabs>
                <w:tab w:val="left" w:pos="875"/>
              </w:tabs>
              <w:ind w:right="-50"/>
              <w:jc w:val="both"/>
              <w:rPr>
                <w:rFonts w:ascii="Arial" w:hAnsi="Arial" w:cs="Arial"/>
                <w:b/>
              </w:rPr>
            </w:pPr>
            <w:r w:rsidRPr="00855904">
              <w:rPr>
                <w:rFonts w:ascii="Arial" w:hAnsi="Arial" w:cs="Arial"/>
                <w:b/>
              </w:rPr>
              <w:t>Administrativas:</w:t>
            </w:r>
          </w:p>
        </w:tc>
        <w:tc>
          <w:tcPr>
            <w:tcW w:w="5244" w:type="dxa"/>
          </w:tcPr>
          <w:p w14:paraId="6F6CA32A" w14:textId="77777777" w:rsidR="006621BE" w:rsidRPr="00855904" w:rsidRDefault="006621BE" w:rsidP="00EF5AF2">
            <w:pPr>
              <w:tabs>
                <w:tab w:val="left" w:pos="875"/>
              </w:tabs>
              <w:ind w:right="-50"/>
              <w:jc w:val="both"/>
              <w:rPr>
                <w:rFonts w:ascii="Arial" w:hAnsi="Arial" w:cs="Arial"/>
              </w:rPr>
            </w:pPr>
            <w:r w:rsidRPr="00855904">
              <w:rPr>
                <w:rFonts w:ascii="Arial" w:hAnsi="Arial" w:cs="Arial"/>
                <w:lang w:val="es-CO"/>
              </w:rPr>
              <w:t>Al interior de la entidad se ajustaron las políticas de seguridad en el sistema de conectividad, lo que ha llevado a realizar ajustes en los equipos que tienen asignados los usuarios como administradores de cada máquina en SIIF, realizando trámites en cada computador</w:t>
            </w:r>
          </w:p>
        </w:tc>
      </w:tr>
      <w:tr w:rsidR="006621BE" w:rsidRPr="00855904" w14:paraId="2E526374" w14:textId="77777777" w:rsidTr="004B15A2">
        <w:tc>
          <w:tcPr>
            <w:tcW w:w="993" w:type="dxa"/>
          </w:tcPr>
          <w:p w14:paraId="1BBA9C7B" w14:textId="77777777" w:rsidR="006621BE" w:rsidRPr="00855904" w:rsidRDefault="006621BE" w:rsidP="00EF5AF2">
            <w:pPr>
              <w:tabs>
                <w:tab w:val="left" w:pos="875"/>
              </w:tabs>
              <w:ind w:right="-50"/>
              <w:jc w:val="center"/>
              <w:rPr>
                <w:rFonts w:ascii="Arial" w:hAnsi="Arial" w:cs="Arial"/>
                <w:b/>
              </w:rPr>
            </w:pPr>
            <w:r w:rsidRPr="00855904">
              <w:rPr>
                <w:rFonts w:ascii="Arial" w:hAnsi="Arial" w:cs="Arial"/>
                <w:b/>
              </w:rPr>
              <w:t>2</w:t>
            </w:r>
          </w:p>
        </w:tc>
        <w:tc>
          <w:tcPr>
            <w:tcW w:w="4253" w:type="dxa"/>
          </w:tcPr>
          <w:p w14:paraId="6111E529" w14:textId="77777777" w:rsidR="006621BE" w:rsidRPr="00855904" w:rsidRDefault="006621BE" w:rsidP="00EF5AF2">
            <w:pPr>
              <w:tabs>
                <w:tab w:val="left" w:pos="875"/>
              </w:tabs>
              <w:ind w:right="-50"/>
              <w:jc w:val="both"/>
              <w:rPr>
                <w:rFonts w:ascii="Arial" w:hAnsi="Arial" w:cs="Arial"/>
                <w:b/>
              </w:rPr>
            </w:pPr>
            <w:r w:rsidRPr="00855904">
              <w:rPr>
                <w:rFonts w:ascii="Arial" w:hAnsi="Arial" w:cs="Arial"/>
                <w:b/>
              </w:rPr>
              <w:t>Técnicas:</w:t>
            </w:r>
          </w:p>
        </w:tc>
        <w:tc>
          <w:tcPr>
            <w:tcW w:w="5244" w:type="dxa"/>
          </w:tcPr>
          <w:p w14:paraId="069144DE" w14:textId="77777777" w:rsidR="006621BE" w:rsidRPr="00855904" w:rsidRDefault="006621BE" w:rsidP="00EF5AF2">
            <w:pPr>
              <w:tabs>
                <w:tab w:val="left" w:pos="875"/>
              </w:tabs>
              <w:ind w:right="-50"/>
              <w:jc w:val="both"/>
              <w:rPr>
                <w:rFonts w:ascii="Arial" w:hAnsi="Arial" w:cs="Arial"/>
                <w:lang w:val="es-CO"/>
              </w:rPr>
            </w:pPr>
            <w:r w:rsidRPr="00855904">
              <w:rPr>
                <w:rFonts w:ascii="Arial" w:hAnsi="Arial" w:cs="Arial"/>
                <w:lang w:val="es-CO"/>
              </w:rPr>
              <w:t>Proceso de contención programada en el mes de noviembre y diciembre; según información del MHCP - Administración SllF, problemas en varios meses (Julio. septiembre, noviembre y en especial diciembre) con el generador de reportes del aplicativo.</w:t>
            </w:r>
          </w:p>
          <w:p w14:paraId="0E0BAC81" w14:textId="77777777" w:rsidR="006621BE" w:rsidRPr="00855904" w:rsidRDefault="006621BE" w:rsidP="00EF5AF2">
            <w:pPr>
              <w:tabs>
                <w:tab w:val="left" w:pos="875"/>
              </w:tabs>
              <w:ind w:right="-50"/>
              <w:jc w:val="both"/>
              <w:rPr>
                <w:rFonts w:ascii="Arial" w:hAnsi="Arial" w:cs="Arial"/>
                <w:lang w:val="es-CO"/>
              </w:rPr>
            </w:pPr>
          </w:p>
          <w:p w14:paraId="70E578A6" w14:textId="77777777" w:rsidR="006621BE" w:rsidRPr="00855904" w:rsidRDefault="006621BE" w:rsidP="00EF5AF2">
            <w:pPr>
              <w:tabs>
                <w:tab w:val="left" w:pos="875"/>
              </w:tabs>
              <w:ind w:right="-50"/>
              <w:jc w:val="both"/>
              <w:rPr>
                <w:rFonts w:ascii="Arial" w:hAnsi="Arial" w:cs="Arial"/>
              </w:rPr>
            </w:pPr>
            <w:r w:rsidRPr="00855904">
              <w:rPr>
                <w:rFonts w:ascii="Arial" w:hAnsi="Arial" w:cs="Arial"/>
                <w:lang w:val="es-CO"/>
              </w:rPr>
              <w:t>Lentitud en el proceso de registro de datos por conectividad puesto que contamos con servicio tercerizado con empresa privada {Comcel - Claro) que han informado problemas de integración de navegabilidad</w:t>
            </w:r>
          </w:p>
        </w:tc>
      </w:tr>
      <w:tr w:rsidR="006621BE" w:rsidRPr="00855904" w14:paraId="6171389F" w14:textId="77777777" w:rsidTr="004B15A2">
        <w:tc>
          <w:tcPr>
            <w:tcW w:w="993" w:type="dxa"/>
          </w:tcPr>
          <w:p w14:paraId="29BE2964" w14:textId="77777777" w:rsidR="006621BE" w:rsidRPr="00855904" w:rsidRDefault="006621BE" w:rsidP="00EF5AF2">
            <w:pPr>
              <w:tabs>
                <w:tab w:val="left" w:pos="875"/>
              </w:tabs>
              <w:ind w:right="-50"/>
              <w:jc w:val="center"/>
              <w:rPr>
                <w:rFonts w:ascii="Arial" w:hAnsi="Arial" w:cs="Arial"/>
                <w:b/>
              </w:rPr>
            </w:pPr>
            <w:r w:rsidRPr="00855904">
              <w:rPr>
                <w:rFonts w:ascii="Arial" w:hAnsi="Arial" w:cs="Arial"/>
                <w:b/>
              </w:rPr>
              <w:t>3</w:t>
            </w:r>
          </w:p>
        </w:tc>
        <w:tc>
          <w:tcPr>
            <w:tcW w:w="4253" w:type="dxa"/>
          </w:tcPr>
          <w:p w14:paraId="7F46A968" w14:textId="77777777" w:rsidR="006621BE" w:rsidRPr="00855904" w:rsidRDefault="006621BE" w:rsidP="00EF5AF2">
            <w:pPr>
              <w:tabs>
                <w:tab w:val="left" w:pos="875"/>
              </w:tabs>
              <w:ind w:right="-50"/>
              <w:jc w:val="both"/>
              <w:rPr>
                <w:rFonts w:ascii="Arial" w:hAnsi="Arial" w:cs="Arial"/>
                <w:b/>
              </w:rPr>
            </w:pPr>
            <w:r w:rsidRPr="00855904">
              <w:rPr>
                <w:rFonts w:ascii="Arial" w:hAnsi="Arial" w:cs="Arial"/>
                <w:b/>
              </w:rPr>
              <w:t>Operativas:</w:t>
            </w:r>
          </w:p>
        </w:tc>
        <w:tc>
          <w:tcPr>
            <w:tcW w:w="5244" w:type="dxa"/>
          </w:tcPr>
          <w:p w14:paraId="54DDF0F1" w14:textId="5B50B342" w:rsidR="006621BE" w:rsidRPr="00855904" w:rsidRDefault="006621BE" w:rsidP="00EF5AF2">
            <w:pPr>
              <w:tabs>
                <w:tab w:val="left" w:pos="875"/>
              </w:tabs>
              <w:ind w:right="-50"/>
              <w:jc w:val="both"/>
              <w:rPr>
                <w:rFonts w:ascii="Arial" w:hAnsi="Arial" w:cs="Arial"/>
              </w:rPr>
            </w:pPr>
            <w:r w:rsidRPr="00855904">
              <w:rPr>
                <w:rFonts w:ascii="Arial" w:hAnsi="Arial" w:cs="Arial"/>
                <w:lang w:val="es-CO"/>
              </w:rPr>
              <w:t xml:space="preserve">Actualizaciones constantes de los diferentes softwares que requiere el aplicativo para su funcionamiento </w:t>
            </w:r>
            <w:r w:rsidR="00770CAC">
              <w:rPr>
                <w:rFonts w:ascii="Arial" w:hAnsi="Arial" w:cs="Arial"/>
                <w:lang w:val="es-CO"/>
              </w:rPr>
              <w:t>(</w:t>
            </w:r>
            <w:r w:rsidR="00770CAC" w:rsidRPr="00855904">
              <w:rPr>
                <w:rFonts w:ascii="Arial" w:hAnsi="Arial" w:cs="Arial"/>
                <w:lang w:val="es-CO"/>
              </w:rPr>
              <w:t>Elogic</w:t>
            </w:r>
            <w:r w:rsidRPr="00855904">
              <w:rPr>
                <w:rFonts w:ascii="Arial" w:hAnsi="Arial" w:cs="Arial"/>
                <w:lang w:val="es-CO"/>
              </w:rPr>
              <w:t xml:space="preserve"> Monitor, JAVA, entre otros)</w:t>
            </w:r>
          </w:p>
        </w:tc>
      </w:tr>
    </w:tbl>
    <w:p w14:paraId="4F961B41" w14:textId="77777777" w:rsidR="006621BE" w:rsidRPr="00855904" w:rsidRDefault="006621BE" w:rsidP="006621BE">
      <w:pPr>
        <w:pStyle w:val="Textoindependiente"/>
        <w:ind w:right="-50"/>
        <w:jc w:val="both"/>
        <w:rPr>
          <w:rFonts w:ascii="Arial" w:hAnsi="Arial" w:cs="Arial"/>
        </w:rPr>
      </w:pPr>
    </w:p>
    <w:p w14:paraId="4CA0713E" w14:textId="77777777" w:rsidR="006621BE" w:rsidRPr="00855904" w:rsidRDefault="006621BE" w:rsidP="004B15A2">
      <w:pPr>
        <w:widowControl/>
        <w:autoSpaceDE/>
        <w:autoSpaceDN/>
        <w:ind w:left="-284" w:right="-234"/>
        <w:jc w:val="both"/>
        <w:rPr>
          <w:rFonts w:ascii="Arial" w:eastAsiaTheme="minorHAnsi" w:hAnsi="Arial" w:cs="Arial"/>
          <w:b/>
          <w:sz w:val="24"/>
          <w:szCs w:val="24"/>
          <w:lang w:val="es-CO"/>
        </w:rPr>
      </w:pPr>
      <w:r w:rsidRPr="00855904">
        <w:rPr>
          <w:rFonts w:ascii="Arial" w:eastAsiaTheme="minorHAnsi" w:hAnsi="Arial" w:cs="Arial"/>
          <w:b/>
          <w:sz w:val="24"/>
          <w:szCs w:val="24"/>
          <w:lang w:val="es-CO"/>
        </w:rPr>
        <w:t xml:space="preserve">1.2. 1. Deficiencias. </w:t>
      </w:r>
    </w:p>
    <w:p w14:paraId="42252F31" w14:textId="77777777" w:rsidR="006621BE" w:rsidRPr="00855904" w:rsidRDefault="006621BE" w:rsidP="004B15A2">
      <w:pPr>
        <w:widowControl/>
        <w:autoSpaceDE/>
        <w:autoSpaceDN/>
        <w:ind w:left="-284" w:right="-234"/>
        <w:jc w:val="both"/>
        <w:rPr>
          <w:rFonts w:ascii="Arial" w:eastAsiaTheme="minorHAnsi" w:hAnsi="Arial" w:cs="Arial"/>
          <w:sz w:val="24"/>
          <w:szCs w:val="24"/>
          <w:lang w:val="es-CO"/>
        </w:rPr>
      </w:pPr>
    </w:p>
    <w:p w14:paraId="27903236" w14:textId="77777777" w:rsidR="006621BE" w:rsidRPr="00855904" w:rsidRDefault="006621BE" w:rsidP="004B15A2">
      <w:pPr>
        <w:widowControl/>
        <w:autoSpaceDE/>
        <w:autoSpaceDN/>
        <w:ind w:left="-284" w:right="-234"/>
        <w:jc w:val="both"/>
        <w:rPr>
          <w:rFonts w:ascii="Arial" w:eastAsiaTheme="minorHAnsi" w:hAnsi="Arial" w:cs="Arial"/>
          <w:sz w:val="24"/>
          <w:szCs w:val="24"/>
          <w:lang w:val="es-CO"/>
        </w:rPr>
      </w:pPr>
      <w:r w:rsidRPr="00855904">
        <w:rPr>
          <w:rFonts w:ascii="Arial" w:eastAsiaTheme="minorHAnsi" w:hAnsi="Arial" w:cs="Arial"/>
          <w:sz w:val="24"/>
          <w:szCs w:val="24"/>
          <w:lang w:val="es-CO"/>
        </w:rPr>
        <w:t xml:space="preserve">El Sistema Integrado de información Financiera - SIIF Nación, no cuenta con un módulo de Inventarios Propiedad Planta y Equipo e intangibles, razón por la cual el área de Contabilidad debe realizar de forma manual los registros de los movimientos de entradas y de salidas de bienes, sin embargo, se cuenta con el Sistema de Información Administrativo y Financiero SIAF que registra y controla los inventarios de la Propiedad Planta y Equipo, Activos Intangibles y elementos de consumo del Fondo de Especial para la Administración de Bienes. </w:t>
      </w:r>
    </w:p>
    <w:p w14:paraId="61E2F910" w14:textId="77777777" w:rsidR="006621BE" w:rsidRDefault="006621BE" w:rsidP="004B15A2">
      <w:pPr>
        <w:ind w:left="-284" w:right="-234"/>
        <w:jc w:val="both"/>
        <w:rPr>
          <w:rFonts w:ascii="Arial" w:hAnsi="Arial" w:cs="Arial"/>
          <w:b/>
          <w:sz w:val="24"/>
          <w:szCs w:val="24"/>
        </w:rPr>
      </w:pPr>
    </w:p>
    <w:p w14:paraId="5B79C489" w14:textId="77777777" w:rsidR="006621BE" w:rsidRPr="0047136B" w:rsidRDefault="006621BE" w:rsidP="004B15A2">
      <w:pPr>
        <w:ind w:left="-284" w:right="-234"/>
        <w:jc w:val="both"/>
        <w:rPr>
          <w:rFonts w:ascii="Arial" w:hAnsi="Arial" w:cs="Arial"/>
          <w:b/>
          <w:sz w:val="28"/>
          <w:szCs w:val="28"/>
          <w:lang w:val="es-MX"/>
        </w:rPr>
      </w:pPr>
      <w:r w:rsidRPr="0047136B">
        <w:rPr>
          <w:rFonts w:ascii="Arial" w:hAnsi="Arial" w:cs="Arial"/>
          <w:b/>
          <w:sz w:val="28"/>
          <w:szCs w:val="28"/>
          <w:lang w:val="es-MX"/>
        </w:rPr>
        <w:t>283.- CORPORACIÓN PARA EL DESARROLLO SOSTENIBLE DEL SUR DE LA AMAZONÍA – CORPOAMAZONÍA.</w:t>
      </w:r>
    </w:p>
    <w:p w14:paraId="6975A0EC" w14:textId="77777777" w:rsidR="006621BE" w:rsidRDefault="006621BE" w:rsidP="006621BE">
      <w:pPr>
        <w:pStyle w:val="Prrafodelista"/>
        <w:spacing w:before="92"/>
        <w:ind w:left="-142"/>
        <w:rPr>
          <w:rFonts w:ascii="Arial" w:hAnsi="Arial" w:cs="Arial"/>
          <w:b/>
          <w:sz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47136B" w14:paraId="596F7D4C" w14:textId="77777777" w:rsidTr="004B15A2">
        <w:tc>
          <w:tcPr>
            <w:tcW w:w="993" w:type="dxa"/>
          </w:tcPr>
          <w:p w14:paraId="60AB5FD0" w14:textId="77777777" w:rsidR="006621BE" w:rsidRPr="0047136B" w:rsidRDefault="006621BE" w:rsidP="00EF5AF2">
            <w:pPr>
              <w:tabs>
                <w:tab w:val="left" w:pos="875"/>
              </w:tabs>
              <w:jc w:val="center"/>
              <w:rPr>
                <w:rFonts w:ascii="Arial" w:hAnsi="Arial" w:cs="Arial"/>
                <w:b/>
              </w:rPr>
            </w:pPr>
            <w:r w:rsidRPr="0047136B">
              <w:rPr>
                <w:rFonts w:ascii="Arial" w:hAnsi="Arial" w:cs="Arial"/>
                <w:b/>
              </w:rPr>
              <w:t>N°</w:t>
            </w:r>
          </w:p>
        </w:tc>
        <w:tc>
          <w:tcPr>
            <w:tcW w:w="4253" w:type="dxa"/>
          </w:tcPr>
          <w:p w14:paraId="2987A5DA" w14:textId="77777777" w:rsidR="006621BE" w:rsidRPr="0047136B" w:rsidRDefault="006621BE" w:rsidP="00EF5AF2">
            <w:pPr>
              <w:tabs>
                <w:tab w:val="left" w:pos="875"/>
              </w:tabs>
              <w:jc w:val="center"/>
              <w:rPr>
                <w:rFonts w:ascii="Arial" w:hAnsi="Arial" w:cs="Arial"/>
                <w:b/>
              </w:rPr>
            </w:pPr>
            <w:r w:rsidRPr="0047136B">
              <w:rPr>
                <w:rFonts w:ascii="Arial" w:hAnsi="Arial" w:cs="Arial"/>
                <w:b/>
              </w:rPr>
              <w:t>Limitaciones del Sistema SIIF II Nación a 31/12/2024</w:t>
            </w:r>
          </w:p>
          <w:p w14:paraId="53F25644" w14:textId="77777777" w:rsidR="006621BE" w:rsidRPr="0047136B" w:rsidRDefault="006621BE" w:rsidP="00EF5AF2">
            <w:pPr>
              <w:tabs>
                <w:tab w:val="left" w:pos="875"/>
              </w:tabs>
              <w:jc w:val="center"/>
              <w:rPr>
                <w:rFonts w:ascii="Arial" w:hAnsi="Arial" w:cs="Arial"/>
                <w:b/>
              </w:rPr>
            </w:pPr>
          </w:p>
        </w:tc>
        <w:tc>
          <w:tcPr>
            <w:tcW w:w="5244" w:type="dxa"/>
          </w:tcPr>
          <w:p w14:paraId="12E43FC7" w14:textId="77777777" w:rsidR="006621BE" w:rsidRPr="0047136B" w:rsidRDefault="006621BE" w:rsidP="00EF5AF2">
            <w:pPr>
              <w:tabs>
                <w:tab w:val="left" w:pos="875"/>
              </w:tabs>
              <w:jc w:val="center"/>
              <w:rPr>
                <w:rFonts w:ascii="Arial" w:hAnsi="Arial" w:cs="Arial"/>
                <w:b/>
              </w:rPr>
            </w:pPr>
            <w:r w:rsidRPr="0047136B">
              <w:rPr>
                <w:rFonts w:ascii="Arial" w:hAnsi="Arial" w:cs="Arial"/>
                <w:b/>
              </w:rPr>
              <w:t>Descripción de la limitación</w:t>
            </w:r>
          </w:p>
        </w:tc>
      </w:tr>
      <w:tr w:rsidR="006621BE" w:rsidRPr="0047136B" w14:paraId="02B69DA4" w14:textId="77777777" w:rsidTr="004B15A2">
        <w:tc>
          <w:tcPr>
            <w:tcW w:w="993" w:type="dxa"/>
          </w:tcPr>
          <w:p w14:paraId="2526BBCE" w14:textId="77777777" w:rsidR="006621BE" w:rsidRPr="0047136B" w:rsidRDefault="006621BE" w:rsidP="00EF5AF2">
            <w:pPr>
              <w:tabs>
                <w:tab w:val="left" w:pos="875"/>
              </w:tabs>
              <w:jc w:val="center"/>
              <w:rPr>
                <w:rFonts w:ascii="Arial" w:hAnsi="Arial" w:cs="Arial"/>
                <w:b/>
              </w:rPr>
            </w:pPr>
            <w:r w:rsidRPr="0047136B">
              <w:rPr>
                <w:rFonts w:ascii="Arial" w:hAnsi="Arial" w:cs="Arial"/>
                <w:b/>
              </w:rPr>
              <w:t>1</w:t>
            </w:r>
          </w:p>
        </w:tc>
        <w:tc>
          <w:tcPr>
            <w:tcW w:w="4253" w:type="dxa"/>
          </w:tcPr>
          <w:p w14:paraId="59FF9697" w14:textId="77777777" w:rsidR="006621BE" w:rsidRPr="0047136B" w:rsidRDefault="006621BE" w:rsidP="00EF5AF2">
            <w:pPr>
              <w:tabs>
                <w:tab w:val="left" w:pos="875"/>
              </w:tabs>
              <w:jc w:val="both"/>
              <w:rPr>
                <w:rFonts w:ascii="Arial" w:hAnsi="Arial" w:cs="Arial"/>
                <w:b/>
              </w:rPr>
            </w:pPr>
            <w:r w:rsidRPr="0047136B">
              <w:rPr>
                <w:rFonts w:ascii="Arial" w:hAnsi="Arial" w:cs="Arial"/>
                <w:b/>
              </w:rPr>
              <w:t>Otras:</w:t>
            </w:r>
          </w:p>
        </w:tc>
        <w:tc>
          <w:tcPr>
            <w:tcW w:w="5244" w:type="dxa"/>
          </w:tcPr>
          <w:p w14:paraId="3D410702" w14:textId="77777777" w:rsidR="006621BE" w:rsidRPr="0047136B" w:rsidRDefault="006621BE" w:rsidP="00EF5AF2">
            <w:pPr>
              <w:tabs>
                <w:tab w:val="left" w:pos="875"/>
              </w:tabs>
              <w:jc w:val="both"/>
              <w:rPr>
                <w:rFonts w:ascii="Arial" w:hAnsi="Arial" w:cs="Arial"/>
              </w:rPr>
            </w:pPr>
            <w:r w:rsidRPr="0047136B">
              <w:rPr>
                <w:rFonts w:ascii="Arial" w:hAnsi="Arial" w:cs="Arial"/>
              </w:rPr>
              <w:t>Al cierre del periodo contable No permitió el cargue de obligaciones por inexistencia de PAC</w:t>
            </w:r>
          </w:p>
        </w:tc>
      </w:tr>
    </w:tbl>
    <w:p w14:paraId="32CA3BC0" w14:textId="77777777" w:rsidR="006621BE" w:rsidRPr="0047136B" w:rsidRDefault="006621BE" w:rsidP="006621BE">
      <w:pPr>
        <w:pStyle w:val="Prrafodelista"/>
        <w:spacing w:before="92"/>
        <w:ind w:left="-142"/>
        <w:rPr>
          <w:rFonts w:ascii="Arial" w:hAnsi="Arial" w:cs="Arial"/>
          <w:b/>
          <w:sz w:val="24"/>
        </w:rPr>
      </w:pPr>
    </w:p>
    <w:p w14:paraId="1362FDCF" w14:textId="77777777" w:rsidR="006621BE" w:rsidRPr="000B1B18" w:rsidRDefault="006621BE" w:rsidP="004B15A2">
      <w:pPr>
        <w:ind w:left="-284" w:right="-234"/>
        <w:jc w:val="both"/>
        <w:rPr>
          <w:rFonts w:ascii="Arial" w:hAnsi="Arial" w:cs="Arial"/>
          <w:b/>
          <w:sz w:val="28"/>
          <w:szCs w:val="28"/>
          <w:lang w:val="es-MX"/>
        </w:rPr>
      </w:pPr>
      <w:r w:rsidRPr="000B1B18">
        <w:rPr>
          <w:rFonts w:ascii="Arial" w:hAnsi="Arial" w:cs="Arial"/>
          <w:b/>
          <w:sz w:val="28"/>
          <w:szCs w:val="28"/>
          <w:lang w:val="es-MX"/>
        </w:rPr>
        <w:t xml:space="preserve">285.- </w:t>
      </w:r>
      <w:r w:rsidRPr="000B1B18">
        <w:rPr>
          <w:rFonts w:ascii="Arial" w:hAnsi="Arial" w:cs="Arial"/>
          <w:b/>
          <w:sz w:val="28"/>
          <w:szCs w:val="28"/>
          <w:lang w:val="es-CO"/>
        </w:rPr>
        <w:t>FONDO ROTATORIO DEL DEPARTAMENTO ADMINISTRATIVO NACIONAL DE ESTADÍSTICA – FONDANE.</w:t>
      </w:r>
      <w:r w:rsidRPr="000B1B18">
        <w:rPr>
          <w:rFonts w:ascii="Arial" w:hAnsi="Arial" w:cs="Arial"/>
          <w:b/>
          <w:sz w:val="28"/>
          <w:szCs w:val="28"/>
          <w:lang w:val="es-MX"/>
        </w:rPr>
        <w:t xml:space="preserve"> </w:t>
      </w:r>
    </w:p>
    <w:p w14:paraId="57AFBC80" w14:textId="77777777" w:rsidR="006621BE" w:rsidRDefault="006621BE" w:rsidP="006621BE">
      <w:pPr>
        <w:ind w:right="-93"/>
        <w:jc w:val="both"/>
        <w:rPr>
          <w:rFonts w:ascii="Arial" w:hAnsi="Arial" w:cs="Arial"/>
          <w:b/>
          <w:sz w:val="24"/>
          <w:szCs w:val="24"/>
        </w:rPr>
      </w:pPr>
    </w:p>
    <w:p w14:paraId="0BDF4D39" w14:textId="77777777" w:rsidR="006621BE" w:rsidRPr="000B1B18" w:rsidRDefault="006621BE" w:rsidP="004B15A2">
      <w:pPr>
        <w:pStyle w:val="Textoindependiente"/>
        <w:ind w:left="-284" w:right="-234"/>
        <w:jc w:val="both"/>
        <w:rPr>
          <w:rFonts w:ascii="Arial" w:hAnsi="Arial" w:cs="Arial"/>
          <w:b/>
          <w:sz w:val="24"/>
          <w:szCs w:val="24"/>
        </w:rPr>
      </w:pPr>
      <w:r w:rsidRPr="000B1B18">
        <w:rPr>
          <w:rFonts w:ascii="Arial" w:hAnsi="Arial" w:cs="Arial"/>
          <w:b/>
          <w:sz w:val="24"/>
          <w:szCs w:val="24"/>
        </w:rPr>
        <w:t>1.2. Declaración de cumplimiento del Marco Normativo.</w:t>
      </w:r>
    </w:p>
    <w:p w14:paraId="10A24B91" w14:textId="77777777" w:rsidR="006621BE" w:rsidRPr="000B1B18" w:rsidRDefault="006621BE" w:rsidP="004B15A2">
      <w:pPr>
        <w:pStyle w:val="Textoindependiente"/>
        <w:ind w:left="-284" w:right="-234"/>
        <w:jc w:val="both"/>
        <w:rPr>
          <w:rFonts w:ascii="Arial" w:hAnsi="Arial" w:cs="Arial"/>
          <w:b/>
          <w:sz w:val="24"/>
          <w:szCs w:val="24"/>
        </w:rPr>
      </w:pPr>
    </w:p>
    <w:p w14:paraId="3D39B492" w14:textId="77777777" w:rsidR="006621BE" w:rsidRPr="000B1B18" w:rsidRDefault="006621BE" w:rsidP="004B15A2">
      <w:pPr>
        <w:pStyle w:val="Textoindependiente"/>
        <w:ind w:left="-284" w:right="-234"/>
        <w:jc w:val="both"/>
        <w:rPr>
          <w:rFonts w:ascii="Arial" w:hAnsi="Arial" w:cs="Arial"/>
          <w:sz w:val="24"/>
          <w:szCs w:val="24"/>
        </w:rPr>
      </w:pPr>
      <w:r w:rsidRPr="000B1B18">
        <w:rPr>
          <w:rFonts w:ascii="Arial" w:hAnsi="Arial" w:cs="Arial"/>
          <w:sz w:val="24"/>
          <w:szCs w:val="24"/>
        </w:rPr>
        <w:t>1.2.1 Limitaciones y Deficiencias Generales de tipo Operativo.</w:t>
      </w:r>
    </w:p>
    <w:p w14:paraId="69D11609" w14:textId="77777777" w:rsidR="006621BE" w:rsidRPr="000B1B18" w:rsidRDefault="006621BE" w:rsidP="004B15A2">
      <w:pPr>
        <w:pStyle w:val="Textoindependiente"/>
        <w:ind w:left="-284" w:right="-234"/>
        <w:jc w:val="both"/>
        <w:rPr>
          <w:rFonts w:ascii="Arial" w:hAnsi="Arial" w:cs="Arial"/>
          <w:sz w:val="24"/>
          <w:szCs w:val="24"/>
        </w:rPr>
      </w:pPr>
    </w:p>
    <w:p w14:paraId="15473EAC" w14:textId="77777777" w:rsidR="006621BE" w:rsidRPr="000B1B18" w:rsidRDefault="006621BE" w:rsidP="004B15A2">
      <w:pPr>
        <w:pStyle w:val="Textoindependiente"/>
        <w:ind w:left="-284" w:right="-234"/>
        <w:jc w:val="both"/>
        <w:rPr>
          <w:rFonts w:ascii="Arial" w:hAnsi="Arial" w:cs="Arial"/>
          <w:sz w:val="24"/>
          <w:szCs w:val="24"/>
        </w:rPr>
      </w:pPr>
      <w:r w:rsidRPr="000B1B18">
        <w:rPr>
          <w:rFonts w:ascii="Arial" w:hAnsi="Arial" w:cs="Arial"/>
          <w:sz w:val="24"/>
          <w:szCs w:val="24"/>
        </w:rPr>
        <w:t xml:space="preserve">El FONDANE registra sus operaciones financieras en el Sistema Integrado de Información Financiera - SIIF NACIÓN, que administra el Ministerio de Hacienda y Crédito Público mediante los Decretos 178 del 29 de enero de 2003 y el 2674 del 21 de diciembre de 2012, los cuales reglamentaron al SIIF, “Como un sistema que coordina, centraliza y estandariza la gestión financiera pública nacional, con el fin de proporcionar una mayor eficiencia y seguridad en el uso de los recursos del Presupuesto General de la Nación, y de brindar información oportuna y confiable”, el presente Decreto deroga los Decretos 2789 de 2004 y 4318 de 2006. </w:t>
      </w:r>
    </w:p>
    <w:p w14:paraId="41A8A612" w14:textId="77777777" w:rsidR="006621BE" w:rsidRPr="000B1B18" w:rsidRDefault="006621BE" w:rsidP="004B15A2">
      <w:pPr>
        <w:pStyle w:val="Textoindependiente"/>
        <w:ind w:left="-284" w:right="-234"/>
        <w:jc w:val="both"/>
        <w:rPr>
          <w:rFonts w:ascii="Arial" w:hAnsi="Arial" w:cs="Arial"/>
          <w:sz w:val="24"/>
          <w:szCs w:val="24"/>
        </w:rPr>
      </w:pPr>
      <w:r w:rsidRPr="000B1B18">
        <w:rPr>
          <w:rFonts w:ascii="Arial" w:hAnsi="Arial" w:cs="Arial"/>
          <w:sz w:val="24"/>
          <w:szCs w:val="24"/>
        </w:rPr>
        <w:t xml:space="preserve">De acuerdo con lo anterior, y teniendo en cuenta la limitación del Sistema Integrado de Información Financiera - SIIF NACIÓN para el registro de la información de propiedad planta y equipo, el FONDANE gestiona esta información a través del aplicativo de detalle administrado por el Área Administrativa -GIT Almacén e Inventarios nombrado como SAI para el registro del detalle de los bienes devolutivos y el SAE para el registro del detalle de los bienes de consumo. </w:t>
      </w:r>
    </w:p>
    <w:p w14:paraId="7DF7C5D8" w14:textId="77777777" w:rsidR="006621BE" w:rsidRPr="000B1B18" w:rsidRDefault="006621BE" w:rsidP="004B15A2">
      <w:pPr>
        <w:pStyle w:val="Textoindependiente"/>
        <w:ind w:left="-284" w:right="-234"/>
        <w:jc w:val="both"/>
        <w:rPr>
          <w:rFonts w:ascii="Arial" w:hAnsi="Arial" w:cs="Arial"/>
          <w:sz w:val="24"/>
          <w:szCs w:val="24"/>
        </w:rPr>
      </w:pPr>
    </w:p>
    <w:p w14:paraId="256DF059" w14:textId="6B026E56" w:rsidR="006621BE" w:rsidRDefault="006621BE" w:rsidP="004B15A2">
      <w:pPr>
        <w:pStyle w:val="Textoindependiente"/>
        <w:ind w:left="-284" w:right="-234"/>
        <w:jc w:val="both"/>
        <w:rPr>
          <w:rFonts w:ascii="Arial" w:hAnsi="Arial" w:cs="Arial"/>
          <w:sz w:val="24"/>
          <w:szCs w:val="24"/>
        </w:rPr>
      </w:pPr>
      <w:r w:rsidRPr="000B1B18">
        <w:rPr>
          <w:rFonts w:ascii="Arial" w:hAnsi="Arial" w:cs="Arial"/>
          <w:sz w:val="24"/>
          <w:szCs w:val="24"/>
        </w:rPr>
        <w:t xml:space="preserve">Para la vigencia 2024, se ha llevado a cabo el proceso de estabilización de la implementación en el sistema SIIF Nación, del procedimiento de facturación electrónica de ingresos, el cual ha presentado limitaciones en el reconocimiento contable automático de algunas transacciones que por su naturaleza demandan un desgaste administrativo adicional para la identificación de las novedades y determinación de asientos contables manuales. </w:t>
      </w:r>
    </w:p>
    <w:p w14:paraId="574FB926" w14:textId="77777777" w:rsidR="006C10D2" w:rsidRPr="000B1B18" w:rsidRDefault="006C10D2" w:rsidP="004B15A2">
      <w:pPr>
        <w:pStyle w:val="Textoindependiente"/>
        <w:ind w:left="-284" w:right="-234"/>
        <w:jc w:val="both"/>
        <w:rPr>
          <w:rFonts w:ascii="Arial" w:hAnsi="Arial" w:cs="Arial"/>
          <w:sz w:val="24"/>
          <w:szCs w:val="24"/>
        </w:rPr>
      </w:pPr>
    </w:p>
    <w:p w14:paraId="70E56FEF" w14:textId="77777777" w:rsidR="006621BE" w:rsidRPr="000B1B18" w:rsidRDefault="006621BE" w:rsidP="004B15A2">
      <w:pPr>
        <w:pStyle w:val="Textoindependiente"/>
        <w:ind w:left="-284" w:right="-234"/>
        <w:jc w:val="both"/>
        <w:rPr>
          <w:rFonts w:ascii="Arial" w:hAnsi="Arial" w:cs="Arial"/>
          <w:sz w:val="24"/>
          <w:szCs w:val="24"/>
        </w:rPr>
      </w:pPr>
      <w:r w:rsidRPr="000B1B18">
        <w:rPr>
          <w:rFonts w:ascii="Arial" w:hAnsi="Arial" w:cs="Arial"/>
          <w:sz w:val="24"/>
          <w:szCs w:val="24"/>
        </w:rPr>
        <w:t xml:space="preserve">Cabe indicar que, en el transcurso del periodo contable fueron subsanadas muchas de las inconsistencias, no obstante, dado el volumen de transacciones y de información contenida en la operatividad del módulo de Derechos y Cartera, el riesgo en la generación de informes presupuestales, contables y tributarios, continua vigente. </w:t>
      </w:r>
    </w:p>
    <w:p w14:paraId="2D041BC9" w14:textId="77777777" w:rsidR="006621BE" w:rsidRDefault="006621BE" w:rsidP="004B15A2">
      <w:pPr>
        <w:pStyle w:val="Textoindependiente"/>
        <w:ind w:left="-284" w:right="-234"/>
        <w:jc w:val="both"/>
      </w:pPr>
    </w:p>
    <w:p w14:paraId="11AAC085" w14:textId="77777777" w:rsidR="006621BE" w:rsidRDefault="006621BE" w:rsidP="004B15A2">
      <w:pPr>
        <w:pStyle w:val="Textoindependiente"/>
        <w:ind w:left="-284" w:right="-234"/>
        <w:jc w:val="both"/>
      </w:pPr>
      <w:r w:rsidRPr="00500C88">
        <w:t>En cuanto a la validación de facturación electrónica en la radicación y pago de obligaciones, viene presentando novedades en las asignaciones de las PCI a las diferentes territoriales, las cuales han sido solucionadas por el Grupo Interno de Contabilidad, los cuales causan demoras en las operaciones del área financiera de la entidad.</w:t>
      </w:r>
    </w:p>
    <w:p w14:paraId="5EA86144" w14:textId="77777777" w:rsidR="006621BE" w:rsidRDefault="006621BE" w:rsidP="004B15A2">
      <w:pPr>
        <w:pStyle w:val="Textoindependiente"/>
        <w:ind w:left="-284" w:right="-234"/>
        <w:jc w:val="both"/>
      </w:pPr>
    </w:p>
    <w:p w14:paraId="7CA85B52" w14:textId="77777777" w:rsidR="006621BE" w:rsidRPr="00D2616E" w:rsidRDefault="006621BE" w:rsidP="004B15A2">
      <w:pPr>
        <w:ind w:left="-284" w:right="-234"/>
        <w:jc w:val="both"/>
        <w:rPr>
          <w:rFonts w:ascii="Arial" w:hAnsi="Arial" w:cs="Arial"/>
          <w:b/>
          <w:sz w:val="28"/>
          <w:szCs w:val="28"/>
          <w:lang w:val="es-MX"/>
        </w:rPr>
      </w:pPr>
      <w:r w:rsidRPr="00D2616E">
        <w:rPr>
          <w:rFonts w:ascii="Arial" w:hAnsi="Arial" w:cs="Arial"/>
          <w:b/>
          <w:sz w:val="28"/>
          <w:szCs w:val="28"/>
          <w:lang w:val="es-MX"/>
        </w:rPr>
        <w:t>286.- U.A.E. UNIDAD DE PROYECCIÓN NORMATIVA Y ESTUDIOS DE REGULACIÓN FINANCIERA – URF.</w:t>
      </w:r>
    </w:p>
    <w:p w14:paraId="61C44F06" w14:textId="77777777" w:rsidR="006621BE" w:rsidRPr="00D2616E" w:rsidRDefault="006621BE" w:rsidP="004B15A2">
      <w:pPr>
        <w:pStyle w:val="Textoindependiente"/>
        <w:ind w:left="-284" w:right="-234"/>
        <w:jc w:val="both"/>
        <w:rPr>
          <w:lang w:val="es-MX"/>
        </w:rPr>
      </w:pPr>
    </w:p>
    <w:p w14:paraId="43188B4C" w14:textId="77777777" w:rsidR="006621BE" w:rsidRPr="00D2616E" w:rsidRDefault="006621BE" w:rsidP="004B15A2">
      <w:pPr>
        <w:pStyle w:val="Textoindependiente"/>
        <w:ind w:left="-284" w:right="-234"/>
        <w:jc w:val="both"/>
        <w:rPr>
          <w:rFonts w:ascii="Arial" w:hAnsi="Arial" w:cs="Arial"/>
          <w:b/>
          <w:sz w:val="24"/>
          <w:szCs w:val="24"/>
        </w:rPr>
      </w:pPr>
      <w:r w:rsidRPr="00D2616E">
        <w:rPr>
          <w:rFonts w:ascii="Arial" w:hAnsi="Arial" w:cs="Arial"/>
          <w:b/>
          <w:sz w:val="24"/>
          <w:szCs w:val="24"/>
        </w:rPr>
        <w:t>1.2. Declaración de cumplimiento del marco normativo y limitaciones</w:t>
      </w:r>
    </w:p>
    <w:p w14:paraId="1FA4AE97" w14:textId="77777777" w:rsidR="006621BE" w:rsidRPr="00D2616E" w:rsidRDefault="006621BE" w:rsidP="004B15A2">
      <w:pPr>
        <w:pStyle w:val="Textoindependiente"/>
        <w:ind w:left="-284" w:right="-234"/>
        <w:jc w:val="both"/>
        <w:rPr>
          <w:rFonts w:ascii="Arial" w:hAnsi="Arial" w:cs="Arial"/>
          <w:b/>
          <w:sz w:val="24"/>
          <w:szCs w:val="24"/>
        </w:rPr>
      </w:pPr>
    </w:p>
    <w:p w14:paraId="0BCA9161" w14:textId="77777777" w:rsidR="006621BE" w:rsidRPr="00D2616E" w:rsidRDefault="006621BE" w:rsidP="004B15A2">
      <w:pPr>
        <w:pStyle w:val="Textoindependiente"/>
        <w:ind w:left="-284" w:right="-234"/>
        <w:jc w:val="both"/>
        <w:rPr>
          <w:rFonts w:ascii="Arial" w:hAnsi="Arial" w:cs="Arial"/>
          <w:b/>
          <w:sz w:val="24"/>
          <w:szCs w:val="24"/>
        </w:rPr>
      </w:pPr>
      <w:r w:rsidRPr="00D2616E">
        <w:rPr>
          <w:rFonts w:ascii="Arial" w:hAnsi="Arial" w:cs="Arial"/>
          <w:b/>
          <w:sz w:val="24"/>
          <w:szCs w:val="24"/>
        </w:rPr>
        <w:t xml:space="preserve">Limitaciones en el proceso contable </w:t>
      </w:r>
    </w:p>
    <w:p w14:paraId="7537E464" w14:textId="77777777" w:rsidR="006621BE" w:rsidRPr="00D2616E" w:rsidRDefault="006621BE" w:rsidP="004B15A2">
      <w:pPr>
        <w:pStyle w:val="Textoindependiente"/>
        <w:ind w:left="-284" w:right="-234"/>
        <w:jc w:val="both"/>
        <w:rPr>
          <w:rFonts w:ascii="Arial" w:hAnsi="Arial" w:cs="Arial"/>
          <w:bCs/>
          <w:sz w:val="24"/>
          <w:szCs w:val="24"/>
        </w:rPr>
      </w:pPr>
    </w:p>
    <w:p w14:paraId="7C41CC55" w14:textId="77777777" w:rsidR="006621BE" w:rsidRPr="00D2616E" w:rsidRDefault="006621BE" w:rsidP="004B15A2">
      <w:pPr>
        <w:pStyle w:val="Textoindependiente"/>
        <w:ind w:left="-284" w:right="-234"/>
        <w:jc w:val="both"/>
        <w:rPr>
          <w:rFonts w:ascii="Arial" w:hAnsi="Arial" w:cs="Arial"/>
          <w:bCs/>
          <w:sz w:val="24"/>
          <w:szCs w:val="24"/>
        </w:rPr>
      </w:pPr>
      <w:r w:rsidRPr="00D2616E">
        <w:rPr>
          <w:rFonts w:ascii="Arial" w:hAnsi="Arial" w:cs="Arial"/>
          <w:bCs/>
          <w:sz w:val="24"/>
          <w:szCs w:val="24"/>
        </w:rPr>
        <w:t xml:space="preserve">El manejo de los bienes y el software de la nómina y seguridad social no cuenta con las funcionalidades que se integren con el SIIF, por lo tanto, limita la oportunidad y eficacia de seguimiento a la traza contable de las operaciones. </w:t>
      </w:r>
    </w:p>
    <w:p w14:paraId="0348CA66" w14:textId="77777777" w:rsidR="006621BE" w:rsidRPr="00D2616E" w:rsidRDefault="006621BE" w:rsidP="004B15A2">
      <w:pPr>
        <w:pStyle w:val="Textoindependiente"/>
        <w:ind w:left="-284" w:right="-234"/>
        <w:jc w:val="both"/>
        <w:rPr>
          <w:rFonts w:ascii="Arial" w:hAnsi="Arial" w:cs="Arial"/>
          <w:bCs/>
          <w:sz w:val="24"/>
          <w:szCs w:val="24"/>
        </w:rPr>
      </w:pPr>
    </w:p>
    <w:p w14:paraId="1A8965BA" w14:textId="77777777" w:rsidR="006621BE" w:rsidRPr="00D2616E" w:rsidRDefault="006621BE" w:rsidP="004B15A2">
      <w:pPr>
        <w:pStyle w:val="Textoindependiente"/>
        <w:ind w:left="-284" w:right="-234"/>
        <w:jc w:val="both"/>
        <w:rPr>
          <w:rFonts w:ascii="Arial" w:hAnsi="Arial" w:cs="Arial"/>
          <w:bCs/>
          <w:sz w:val="24"/>
          <w:szCs w:val="24"/>
        </w:rPr>
      </w:pPr>
      <w:r w:rsidRPr="00D2616E">
        <w:rPr>
          <w:rFonts w:ascii="Arial" w:hAnsi="Arial" w:cs="Arial"/>
          <w:bCs/>
          <w:sz w:val="24"/>
          <w:szCs w:val="24"/>
        </w:rPr>
        <w:t xml:space="preserve">Adicionalmente, el Sistema SIIF limita la operación porque no permite anular comprobantes de diario, no permite el cargue de comprobantes manuales que son predefinidos en cada mes y las cuentas contables del plan de cuentas manejan códigos auxiliares que son innecesarios, como es el caso de </w:t>
      </w:r>
      <w:r w:rsidRPr="00D2616E">
        <w:rPr>
          <w:rFonts w:ascii="Arial" w:hAnsi="Arial" w:cs="Arial"/>
          <w:bCs/>
          <w:sz w:val="24"/>
          <w:szCs w:val="24"/>
        </w:rPr>
        <w:lastRenderedPageBreak/>
        <w:t>auxiliares por rubros presupuestales.</w:t>
      </w:r>
    </w:p>
    <w:p w14:paraId="24104CAB" w14:textId="77777777" w:rsidR="006621BE" w:rsidRDefault="006621BE" w:rsidP="004B15A2">
      <w:pPr>
        <w:ind w:left="-284" w:right="-234"/>
        <w:jc w:val="both"/>
        <w:rPr>
          <w:rFonts w:ascii="Arial" w:hAnsi="Arial" w:cs="Arial"/>
          <w:b/>
          <w:sz w:val="24"/>
          <w:szCs w:val="24"/>
        </w:rPr>
      </w:pPr>
    </w:p>
    <w:p w14:paraId="2059FA2A" w14:textId="77777777" w:rsidR="006621BE" w:rsidRPr="000574F4" w:rsidRDefault="006621BE" w:rsidP="004B15A2">
      <w:pPr>
        <w:ind w:left="-284" w:right="-234"/>
        <w:jc w:val="both"/>
        <w:rPr>
          <w:rFonts w:ascii="Arial" w:hAnsi="Arial" w:cs="Arial"/>
          <w:b/>
          <w:sz w:val="28"/>
          <w:szCs w:val="28"/>
          <w:lang w:val="es-MX"/>
        </w:rPr>
      </w:pPr>
      <w:r w:rsidRPr="000574F4">
        <w:rPr>
          <w:rFonts w:ascii="Arial" w:hAnsi="Arial" w:cs="Arial"/>
          <w:b/>
          <w:sz w:val="28"/>
          <w:szCs w:val="28"/>
          <w:lang w:val="es-MX"/>
        </w:rPr>
        <w:t>287.- CORPORACION AUTONOMA REGIONAL DEL CESAR - CORPOCESAR.</w:t>
      </w:r>
    </w:p>
    <w:p w14:paraId="36DEE005" w14:textId="77777777" w:rsidR="006621BE" w:rsidRDefault="006621BE" w:rsidP="006621BE">
      <w:pPr>
        <w:ind w:right="-93"/>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0574F4" w14:paraId="1832940B" w14:textId="77777777" w:rsidTr="004B15A2">
        <w:tc>
          <w:tcPr>
            <w:tcW w:w="993" w:type="dxa"/>
          </w:tcPr>
          <w:p w14:paraId="1F44F397" w14:textId="77777777" w:rsidR="006621BE" w:rsidRPr="000574F4" w:rsidRDefault="006621BE" w:rsidP="00EF5AF2">
            <w:pPr>
              <w:tabs>
                <w:tab w:val="left" w:pos="875"/>
              </w:tabs>
              <w:ind w:right="-50"/>
              <w:jc w:val="center"/>
              <w:rPr>
                <w:rFonts w:ascii="Arial" w:hAnsi="Arial" w:cs="Arial"/>
                <w:b/>
              </w:rPr>
            </w:pPr>
            <w:r w:rsidRPr="000574F4">
              <w:rPr>
                <w:rFonts w:ascii="Arial" w:hAnsi="Arial" w:cs="Arial"/>
                <w:b/>
              </w:rPr>
              <w:t>N°</w:t>
            </w:r>
          </w:p>
        </w:tc>
        <w:tc>
          <w:tcPr>
            <w:tcW w:w="4253" w:type="dxa"/>
          </w:tcPr>
          <w:p w14:paraId="33419E2E" w14:textId="77777777" w:rsidR="006621BE" w:rsidRPr="000574F4" w:rsidRDefault="006621BE" w:rsidP="00EF5AF2">
            <w:pPr>
              <w:tabs>
                <w:tab w:val="left" w:pos="875"/>
              </w:tabs>
              <w:ind w:right="-50"/>
              <w:jc w:val="center"/>
              <w:rPr>
                <w:rFonts w:ascii="Arial" w:hAnsi="Arial" w:cs="Arial"/>
                <w:b/>
              </w:rPr>
            </w:pPr>
            <w:r w:rsidRPr="000574F4">
              <w:rPr>
                <w:rFonts w:ascii="Arial" w:hAnsi="Arial" w:cs="Arial"/>
                <w:b/>
              </w:rPr>
              <w:t>Limitaciones del Sistema SIIF II Nación a 31/12/2024</w:t>
            </w:r>
          </w:p>
          <w:p w14:paraId="775E18A2" w14:textId="77777777" w:rsidR="006621BE" w:rsidRPr="000574F4" w:rsidRDefault="006621BE" w:rsidP="00EF5AF2">
            <w:pPr>
              <w:tabs>
                <w:tab w:val="left" w:pos="875"/>
              </w:tabs>
              <w:ind w:right="-50"/>
              <w:jc w:val="center"/>
              <w:rPr>
                <w:rFonts w:ascii="Arial" w:hAnsi="Arial" w:cs="Arial"/>
                <w:b/>
              </w:rPr>
            </w:pPr>
          </w:p>
        </w:tc>
        <w:tc>
          <w:tcPr>
            <w:tcW w:w="5244" w:type="dxa"/>
          </w:tcPr>
          <w:p w14:paraId="6FE3FB74" w14:textId="77777777" w:rsidR="006621BE" w:rsidRPr="000574F4" w:rsidRDefault="006621BE" w:rsidP="00EF5AF2">
            <w:pPr>
              <w:tabs>
                <w:tab w:val="left" w:pos="875"/>
              </w:tabs>
              <w:ind w:right="-50"/>
              <w:jc w:val="center"/>
              <w:rPr>
                <w:rFonts w:ascii="Arial" w:hAnsi="Arial" w:cs="Arial"/>
                <w:b/>
              </w:rPr>
            </w:pPr>
            <w:r w:rsidRPr="000574F4">
              <w:rPr>
                <w:rFonts w:ascii="Arial" w:hAnsi="Arial" w:cs="Arial"/>
                <w:b/>
              </w:rPr>
              <w:t>Descripción de la limitación</w:t>
            </w:r>
          </w:p>
        </w:tc>
      </w:tr>
      <w:tr w:rsidR="006621BE" w:rsidRPr="000574F4" w14:paraId="4301F907" w14:textId="77777777" w:rsidTr="004B15A2">
        <w:tc>
          <w:tcPr>
            <w:tcW w:w="993" w:type="dxa"/>
          </w:tcPr>
          <w:p w14:paraId="67662A0F" w14:textId="77777777" w:rsidR="006621BE" w:rsidRPr="000574F4" w:rsidRDefault="006621BE" w:rsidP="00EF5AF2">
            <w:pPr>
              <w:tabs>
                <w:tab w:val="left" w:pos="875"/>
              </w:tabs>
              <w:ind w:right="-50"/>
              <w:jc w:val="center"/>
              <w:rPr>
                <w:rFonts w:ascii="Arial" w:hAnsi="Arial" w:cs="Arial"/>
                <w:b/>
              </w:rPr>
            </w:pPr>
            <w:r w:rsidRPr="000574F4">
              <w:rPr>
                <w:rFonts w:ascii="Arial" w:hAnsi="Arial" w:cs="Arial"/>
                <w:b/>
              </w:rPr>
              <w:t>1</w:t>
            </w:r>
          </w:p>
        </w:tc>
        <w:tc>
          <w:tcPr>
            <w:tcW w:w="4253" w:type="dxa"/>
          </w:tcPr>
          <w:p w14:paraId="556866E7" w14:textId="77777777" w:rsidR="006621BE" w:rsidRPr="000574F4" w:rsidRDefault="006621BE" w:rsidP="00EF5AF2">
            <w:pPr>
              <w:tabs>
                <w:tab w:val="left" w:pos="875"/>
              </w:tabs>
              <w:ind w:right="-50"/>
              <w:jc w:val="both"/>
              <w:rPr>
                <w:rFonts w:ascii="Arial" w:hAnsi="Arial" w:cs="Arial"/>
                <w:b/>
              </w:rPr>
            </w:pPr>
            <w:r w:rsidRPr="000574F4">
              <w:rPr>
                <w:rFonts w:ascii="Arial" w:hAnsi="Arial" w:cs="Arial"/>
                <w:b/>
              </w:rPr>
              <w:t>Otras:</w:t>
            </w:r>
          </w:p>
        </w:tc>
        <w:tc>
          <w:tcPr>
            <w:tcW w:w="5244" w:type="dxa"/>
          </w:tcPr>
          <w:p w14:paraId="21408383" w14:textId="77777777" w:rsidR="006621BE" w:rsidRPr="000574F4" w:rsidRDefault="006621BE" w:rsidP="00EF5AF2">
            <w:pPr>
              <w:tabs>
                <w:tab w:val="left" w:pos="875"/>
              </w:tabs>
              <w:ind w:right="-50"/>
              <w:jc w:val="both"/>
              <w:rPr>
                <w:rFonts w:ascii="Arial" w:hAnsi="Arial" w:cs="Arial"/>
              </w:rPr>
            </w:pPr>
            <w:r w:rsidRPr="000574F4">
              <w:rPr>
                <w:rFonts w:ascii="Arial" w:hAnsi="Arial" w:cs="Arial"/>
              </w:rPr>
              <w:t>Programar capacitaciones a usuarios</w:t>
            </w:r>
            <w:r w:rsidRPr="000574F4">
              <w:rPr>
                <w:rFonts w:ascii="Arial" w:hAnsi="Arial" w:cs="Arial"/>
                <w:lang w:val="es-ES_tradnl"/>
              </w:rPr>
              <w:t xml:space="preserve"> externos </w:t>
            </w:r>
            <w:r w:rsidRPr="000574F4">
              <w:rPr>
                <w:rFonts w:ascii="Arial" w:hAnsi="Arial" w:cs="Arial"/>
              </w:rPr>
              <w:t>para lograr una mejor efectividad en las operaciones</w:t>
            </w:r>
          </w:p>
        </w:tc>
      </w:tr>
    </w:tbl>
    <w:p w14:paraId="3DBB637A" w14:textId="77777777" w:rsidR="006621BE" w:rsidRDefault="006621BE" w:rsidP="006621BE">
      <w:pPr>
        <w:ind w:right="-93"/>
        <w:jc w:val="both"/>
        <w:rPr>
          <w:rFonts w:ascii="Arial" w:hAnsi="Arial" w:cs="Arial"/>
          <w:b/>
          <w:sz w:val="24"/>
          <w:szCs w:val="24"/>
        </w:rPr>
      </w:pPr>
    </w:p>
    <w:p w14:paraId="58E4024E" w14:textId="77777777" w:rsidR="006621BE" w:rsidRPr="00222115" w:rsidRDefault="006621BE" w:rsidP="004B15A2">
      <w:pPr>
        <w:ind w:left="-284" w:right="-234"/>
        <w:jc w:val="both"/>
        <w:rPr>
          <w:rFonts w:ascii="Arial" w:hAnsi="Arial" w:cs="Arial"/>
          <w:b/>
          <w:sz w:val="28"/>
          <w:szCs w:val="28"/>
          <w:lang w:val="es-MX"/>
        </w:rPr>
      </w:pPr>
      <w:r w:rsidRPr="00222115">
        <w:rPr>
          <w:rFonts w:ascii="Arial" w:hAnsi="Arial" w:cs="Arial"/>
          <w:b/>
          <w:sz w:val="28"/>
          <w:szCs w:val="28"/>
          <w:lang w:val="es-MX"/>
        </w:rPr>
        <w:t>300.- SUPERINTENDENCIA DE LA ECONOMIA SOLIDARIA - SUPERSOLIDARIA.</w:t>
      </w:r>
    </w:p>
    <w:p w14:paraId="3E395303" w14:textId="77777777" w:rsidR="006621BE" w:rsidRDefault="006621BE" w:rsidP="006621BE">
      <w:pPr>
        <w:ind w:right="-93"/>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222115" w14:paraId="491EE9A4" w14:textId="77777777" w:rsidTr="004B15A2">
        <w:tc>
          <w:tcPr>
            <w:tcW w:w="993" w:type="dxa"/>
          </w:tcPr>
          <w:p w14:paraId="38326A6A" w14:textId="77777777" w:rsidR="006621BE" w:rsidRPr="00222115" w:rsidRDefault="006621BE" w:rsidP="00EF5AF2">
            <w:pPr>
              <w:tabs>
                <w:tab w:val="left" w:pos="875"/>
              </w:tabs>
              <w:jc w:val="center"/>
              <w:rPr>
                <w:rFonts w:ascii="Arial" w:hAnsi="Arial" w:cs="Arial"/>
                <w:b/>
              </w:rPr>
            </w:pPr>
            <w:r w:rsidRPr="00222115">
              <w:rPr>
                <w:rFonts w:ascii="Arial" w:hAnsi="Arial" w:cs="Arial"/>
                <w:b/>
              </w:rPr>
              <w:t>N°</w:t>
            </w:r>
          </w:p>
        </w:tc>
        <w:tc>
          <w:tcPr>
            <w:tcW w:w="4253" w:type="dxa"/>
          </w:tcPr>
          <w:p w14:paraId="01293390" w14:textId="77777777" w:rsidR="006621BE" w:rsidRPr="00222115" w:rsidRDefault="006621BE" w:rsidP="00EF5AF2">
            <w:pPr>
              <w:tabs>
                <w:tab w:val="left" w:pos="875"/>
              </w:tabs>
              <w:jc w:val="center"/>
              <w:rPr>
                <w:rFonts w:ascii="Arial" w:hAnsi="Arial" w:cs="Arial"/>
                <w:b/>
              </w:rPr>
            </w:pPr>
            <w:r w:rsidRPr="00222115">
              <w:rPr>
                <w:rFonts w:ascii="Arial" w:hAnsi="Arial" w:cs="Arial"/>
                <w:b/>
              </w:rPr>
              <w:t>Limitaciones del Sistema SIIF II Nación a 31/12/2024</w:t>
            </w:r>
          </w:p>
          <w:p w14:paraId="24ABC0A1" w14:textId="77777777" w:rsidR="006621BE" w:rsidRPr="00222115" w:rsidRDefault="006621BE" w:rsidP="00EF5AF2">
            <w:pPr>
              <w:tabs>
                <w:tab w:val="left" w:pos="875"/>
              </w:tabs>
              <w:jc w:val="center"/>
              <w:rPr>
                <w:rFonts w:ascii="Arial" w:hAnsi="Arial" w:cs="Arial"/>
                <w:b/>
              </w:rPr>
            </w:pPr>
          </w:p>
        </w:tc>
        <w:tc>
          <w:tcPr>
            <w:tcW w:w="5244" w:type="dxa"/>
          </w:tcPr>
          <w:p w14:paraId="6C09A57F" w14:textId="77777777" w:rsidR="006621BE" w:rsidRPr="00222115" w:rsidRDefault="006621BE" w:rsidP="00EF5AF2">
            <w:pPr>
              <w:tabs>
                <w:tab w:val="left" w:pos="875"/>
              </w:tabs>
              <w:jc w:val="center"/>
              <w:rPr>
                <w:rFonts w:ascii="Arial" w:hAnsi="Arial" w:cs="Arial"/>
                <w:b/>
              </w:rPr>
            </w:pPr>
            <w:r w:rsidRPr="00222115">
              <w:rPr>
                <w:rFonts w:ascii="Arial" w:hAnsi="Arial" w:cs="Arial"/>
                <w:b/>
              </w:rPr>
              <w:t>Descripción de la limitación</w:t>
            </w:r>
          </w:p>
        </w:tc>
      </w:tr>
      <w:tr w:rsidR="006621BE" w:rsidRPr="00222115" w14:paraId="1C55C806" w14:textId="77777777" w:rsidTr="004B15A2">
        <w:tc>
          <w:tcPr>
            <w:tcW w:w="993" w:type="dxa"/>
          </w:tcPr>
          <w:p w14:paraId="41F61B69" w14:textId="77777777" w:rsidR="006621BE" w:rsidRPr="00222115" w:rsidRDefault="006621BE" w:rsidP="00EF5AF2">
            <w:pPr>
              <w:tabs>
                <w:tab w:val="left" w:pos="875"/>
              </w:tabs>
              <w:jc w:val="center"/>
              <w:rPr>
                <w:rFonts w:ascii="Arial" w:hAnsi="Arial" w:cs="Arial"/>
                <w:b/>
              </w:rPr>
            </w:pPr>
            <w:r w:rsidRPr="00222115">
              <w:rPr>
                <w:rFonts w:ascii="Arial" w:hAnsi="Arial" w:cs="Arial"/>
                <w:b/>
              </w:rPr>
              <w:t>1</w:t>
            </w:r>
          </w:p>
        </w:tc>
        <w:tc>
          <w:tcPr>
            <w:tcW w:w="4253" w:type="dxa"/>
          </w:tcPr>
          <w:p w14:paraId="19865507" w14:textId="77777777" w:rsidR="006621BE" w:rsidRPr="00222115" w:rsidRDefault="006621BE" w:rsidP="00EF5AF2">
            <w:pPr>
              <w:tabs>
                <w:tab w:val="left" w:pos="875"/>
              </w:tabs>
              <w:jc w:val="both"/>
              <w:rPr>
                <w:rFonts w:ascii="Arial" w:hAnsi="Arial" w:cs="Arial"/>
                <w:b/>
              </w:rPr>
            </w:pPr>
            <w:r w:rsidRPr="00222115">
              <w:rPr>
                <w:rFonts w:ascii="Arial" w:hAnsi="Arial" w:cs="Arial"/>
                <w:b/>
              </w:rPr>
              <w:t>Administrativas:</w:t>
            </w:r>
          </w:p>
        </w:tc>
        <w:tc>
          <w:tcPr>
            <w:tcW w:w="5244" w:type="dxa"/>
          </w:tcPr>
          <w:p w14:paraId="5178A4C4" w14:textId="77777777" w:rsidR="006621BE" w:rsidRPr="00222115" w:rsidRDefault="006621BE" w:rsidP="00EF5AF2">
            <w:pPr>
              <w:tabs>
                <w:tab w:val="left" w:pos="875"/>
              </w:tabs>
              <w:jc w:val="both"/>
              <w:rPr>
                <w:rFonts w:ascii="Arial" w:hAnsi="Arial" w:cs="Arial"/>
              </w:rPr>
            </w:pPr>
            <w:r w:rsidRPr="00222115">
              <w:rPr>
                <w:rFonts w:ascii="Arial" w:hAnsi="Arial" w:cs="Arial"/>
              </w:rPr>
              <w:t>Para la vigencia 2024, se registraron diferentes incidentes, que por el funcionamiento de la plataforma la Super Solidaria, se vio en fallas administrativas, teniendo en cuenta que, se incumplieron diferentes tiempos legales, de cara los derechos de los terceros para la percepción de sus honorarios o haberes por conceptos salariales.</w:t>
            </w:r>
          </w:p>
        </w:tc>
      </w:tr>
      <w:tr w:rsidR="006621BE" w:rsidRPr="00222115" w14:paraId="3AA7C3F5" w14:textId="77777777" w:rsidTr="004B15A2">
        <w:tc>
          <w:tcPr>
            <w:tcW w:w="993" w:type="dxa"/>
          </w:tcPr>
          <w:p w14:paraId="21E75956" w14:textId="77777777" w:rsidR="006621BE" w:rsidRPr="00222115" w:rsidRDefault="006621BE" w:rsidP="00EF5AF2">
            <w:pPr>
              <w:tabs>
                <w:tab w:val="left" w:pos="875"/>
              </w:tabs>
              <w:jc w:val="center"/>
              <w:rPr>
                <w:rFonts w:ascii="Arial" w:hAnsi="Arial" w:cs="Arial"/>
                <w:b/>
              </w:rPr>
            </w:pPr>
            <w:r w:rsidRPr="00222115">
              <w:rPr>
                <w:rFonts w:ascii="Arial" w:hAnsi="Arial" w:cs="Arial"/>
                <w:b/>
              </w:rPr>
              <w:t>2</w:t>
            </w:r>
          </w:p>
        </w:tc>
        <w:tc>
          <w:tcPr>
            <w:tcW w:w="4253" w:type="dxa"/>
          </w:tcPr>
          <w:p w14:paraId="435AF2D6" w14:textId="77777777" w:rsidR="006621BE" w:rsidRPr="00222115" w:rsidRDefault="006621BE" w:rsidP="00EF5AF2">
            <w:pPr>
              <w:tabs>
                <w:tab w:val="left" w:pos="875"/>
              </w:tabs>
              <w:jc w:val="both"/>
              <w:rPr>
                <w:rFonts w:ascii="Arial" w:hAnsi="Arial" w:cs="Arial"/>
                <w:b/>
              </w:rPr>
            </w:pPr>
            <w:r w:rsidRPr="00222115">
              <w:rPr>
                <w:rFonts w:ascii="Arial" w:hAnsi="Arial" w:cs="Arial"/>
                <w:b/>
              </w:rPr>
              <w:t>Técnicas:</w:t>
            </w:r>
          </w:p>
        </w:tc>
        <w:tc>
          <w:tcPr>
            <w:tcW w:w="5244" w:type="dxa"/>
          </w:tcPr>
          <w:p w14:paraId="1322D73C" w14:textId="77777777" w:rsidR="006621BE" w:rsidRPr="00222115" w:rsidRDefault="006621BE" w:rsidP="00EF5AF2">
            <w:pPr>
              <w:tabs>
                <w:tab w:val="left" w:pos="875"/>
              </w:tabs>
              <w:jc w:val="both"/>
              <w:rPr>
                <w:rFonts w:ascii="Arial" w:hAnsi="Arial" w:cs="Arial"/>
              </w:rPr>
            </w:pPr>
            <w:r w:rsidRPr="00222115">
              <w:rPr>
                <w:rFonts w:ascii="Arial" w:hAnsi="Arial" w:cs="Arial"/>
              </w:rPr>
              <w:t>Las fallas técnicas se encuentran soportadas mediante llamadas y correos electrónicos cargados como soporte a este documento, los cuales representaron fallas ante la gestión financiera adelantada.</w:t>
            </w:r>
          </w:p>
        </w:tc>
      </w:tr>
      <w:tr w:rsidR="006621BE" w:rsidRPr="00222115" w14:paraId="6284DBE3" w14:textId="77777777" w:rsidTr="004B15A2">
        <w:tc>
          <w:tcPr>
            <w:tcW w:w="993" w:type="dxa"/>
          </w:tcPr>
          <w:p w14:paraId="51155975" w14:textId="77777777" w:rsidR="006621BE" w:rsidRPr="00222115" w:rsidRDefault="006621BE" w:rsidP="00EF5AF2">
            <w:pPr>
              <w:tabs>
                <w:tab w:val="left" w:pos="875"/>
              </w:tabs>
              <w:jc w:val="center"/>
              <w:rPr>
                <w:rFonts w:ascii="Arial" w:hAnsi="Arial" w:cs="Arial"/>
                <w:b/>
              </w:rPr>
            </w:pPr>
            <w:r w:rsidRPr="00222115">
              <w:rPr>
                <w:rFonts w:ascii="Arial" w:hAnsi="Arial" w:cs="Arial"/>
                <w:b/>
              </w:rPr>
              <w:t>3</w:t>
            </w:r>
          </w:p>
        </w:tc>
        <w:tc>
          <w:tcPr>
            <w:tcW w:w="4253" w:type="dxa"/>
          </w:tcPr>
          <w:p w14:paraId="3B15B3F9" w14:textId="77777777" w:rsidR="006621BE" w:rsidRPr="00222115" w:rsidRDefault="006621BE" w:rsidP="00EF5AF2">
            <w:pPr>
              <w:tabs>
                <w:tab w:val="left" w:pos="875"/>
              </w:tabs>
              <w:jc w:val="both"/>
              <w:rPr>
                <w:rFonts w:ascii="Arial" w:hAnsi="Arial" w:cs="Arial"/>
                <w:b/>
              </w:rPr>
            </w:pPr>
            <w:r w:rsidRPr="00222115">
              <w:rPr>
                <w:rFonts w:ascii="Arial" w:hAnsi="Arial" w:cs="Arial"/>
                <w:b/>
              </w:rPr>
              <w:t>Operativas:</w:t>
            </w:r>
          </w:p>
        </w:tc>
        <w:tc>
          <w:tcPr>
            <w:tcW w:w="5244" w:type="dxa"/>
          </w:tcPr>
          <w:p w14:paraId="4AA62276" w14:textId="77777777" w:rsidR="006621BE" w:rsidRPr="00222115" w:rsidRDefault="006621BE" w:rsidP="00EF5AF2">
            <w:pPr>
              <w:tabs>
                <w:tab w:val="left" w:pos="875"/>
              </w:tabs>
              <w:jc w:val="both"/>
              <w:rPr>
                <w:rFonts w:ascii="Arial" w:hAnsi="Arial" w:cs="Arial"/>
              </w:rPr>
            </w:pPr>
            <w:r w:rsidRPr="00222115">
              <w:rPr>
                <w:rFonts w:ascii="Arial" w:hAnsi="Arial" w:cs="Arial"/>
              </w:rPr>
              <w:t>Debido a las fallas masivas de ingreso a la plataforma SIIF Nación, en los meses de noviembre y diciembre, se presentaron altos picos de trabajo fuera del horario laboral.</w:t>
            </w:r>
          </w:p>
        </w:tc>
      </w:tr>
    </w:tbl>
    <w:p w14:paraId="1DF47732" w14:textId="77777777" w:rsidR="006621BE" w:rsidRDefault="006621BE" w:rsidP="006621BE">
      <w:pPr>
        <w:ind w:right="-93"/>
        <w:jc w:val="both"/>
        <w:rPr>
          <w:rFonts w:ascii="Arial" w:hAnsi="Arial" w:cs="Arial"/>
          <w:b/>
          <w:sz w:val="24"/>
          <w:szCs w:val="24"/>
        </w:rPr>
      </w:pPr>
    </w:p>
    <w:p w14:paraId="468D89F0" w14:textId="77777777" w:rsidR="006621BE" w:rsidRPr="00CB592B" w:rsidRDefault="006621BE" w:rsidP="004B15A2">
      <w:pPr>
        <w:ind w:left="-284"/>
        <w:jc w:val="both"/>
        <w:rPr>
          <w:rFonts w:ascii="Arial" w:hAnsi="Arial" w:cs="Arial"/>
          <w:b/>
          <w:sz w:val="28"/>
          <w:szCs w:val="28"/>
          <w:lang w:val="es-MX"/>
        </w:rPr>
      </w:pPr>
      <w:r w:rsidRPr="00CB592B">
        <w:rPr>
          <w:rFonts w:ascii="Arial" w:hAnsi="Arial" w:cs="Arial"/>
          <w:b/>
          <w:sz w:val="28"/>
          <w:szCs w:val="28"/>
          <w:lang w:val="es-MX"/>
        </w:rPr>
        <w:t>303.- MINISTERIO DE VIVIENDA, CIUDAD Y TERRITORIO.</w:t>
      </w:r>
    </w:p>
    <w:p w14:paraId="3EF18EAF" w14:textId="77777777" w:rsidR="006621BE" w:rsidRDefault="006621BE" w:rsidP="006621BE">
      <w:pPr>
        <w:ind w:right="-93"/>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CB592B" w14:paraId="15D32066" w14:textId="77777777" w:rsidTr="004B15A2">
        <w:tc>
          <w:tcPr>
            <w:tcW w:w="993" w:type="dxa"/>
          </w:tcPr>
          <w:p w14:paraId="53FBA8E3" w14:textId="77777777" w:rsidR="006621BE" w:rsidRPr="00CB592B" w:rsidRDefault="006621BE" w:rsidP="00EF5AF2">
            <w:pPr>
              <w:tabs>
                <w:tab w:val="left" w:pos="875"/>
              </w:tabs>
              <w:jc w:val="center"/>
              <w:rPr>
                <w:rFonts w:ascii="Arial" w:hAnsi="Arial" w:cs="Arial"/>
                <w:b/>
              </w:rPr>
            </w:pPr>
            <w:r w:rsidRPr="00CB592B">
              <w:rPr>
                <w:rFonts w:ascii="Arial" w:hAnsi="Arial" w:cs="Arial"/>
                <w:b/>
              </w:rPr>
              <w:t>N°</w:t>
            </w:r>
          </w:p>
        </w:tc>
        <w:tc>
          <w:tcPr>
            <w:tcW w:w="4253" w:type="dxa"/>
          </w:tcPr>
          <w:p w14:paraId="788AFA15" w14:textId="77777777" w:rsidR="006621BE" w:rsidRPr="00CB592B" w:rsidRDefault="006621BE" w:rsidP="00EF5AF2">
            <w:pPr>
              <w:tabs>
                <w:tab w:val="left" w:pos="875"/>
              </w:tabs>
              <w:jc w:val="center"/>
              <w:rPr>
                <w:rFonts w:ascii="Arial" w:hAnsi="Arial" w:cs="Arial"/>
                <w:b/>
              </w:rPr>
            </w:pPr>
            <w:r w:rsidRPr="00CB592B">
              <w:rPr>
                <w:rFonts w:ascii="Arial" w:hAnsi="Arial" w:cs="Arial"/>
                <w:b/>
              </w:rPr>
              <w:t>Limitaciones del Sistema SIIF II Nación a 31/12/2024</w:t>
            </w:r>
          </w:p>
          <w:p w14:paraId="06A8EDDF" w14:textId="77777777" w:rsidR="006621BE" w:rsidRPr="00CB592B" w:rsidRDefault="006621BE" w:rsidP="00EF5AF2">
            <w:pPr>
              <w:tabs>
                <w:tab w:val="left" w:pos="875"/>
              </w:tabs>
              <w:jc w:val="center"/>
              <w:rPr>
                <w:rFonts w:ascii="Arial" w:hAnsi="Arial" w:cs="Arial"/>
                <w:b/>
              </w:rPr>
            </w:pPr>
          </w:p>
        </w:tc>
        <w:tc>
          <w:tcPr>
            <w:tcW w:w="5244" w:type="dxa"/>
          </w:tcPr>
          <w:p w14:paraId="19BA2967" w14:textId="77777777" w:rsidR="006621BE" w:rsidRPr="00CB592B" w:rsidRDefault="006621BE" w:rsidP="00EF5AF2">
            <w:pPr>
              <w:tabs>
                <w:tab w:val="left" w:pos="875"/>
              </w:tabs>
              <w:jc w:val="center"/>
              <w:rPr>
                <w:rFonts w:ascii="Arial" w:hAnsi="Arial" w:cs="Arial"/>
                <w:b/>
              </w:rPr>
            </w:pPr>
            <w:r w:rsidRPr="00CB592B">
              <w:rPr>
                <w:rFonts w:ascii="Arial" w:hAnsi="Arial" w:cs="Arial"/>
                <w:b/>
              </w:rPr>
              <w:t>Descripción de la limitación</w:t>
            </w:r>
          </w:p>
        </w:tc>
      </w:tr>
      <w:tr w:rsidR="006621BE" w:rsidRPr="00CB592B" w14:paraId="08CEC64A" w14:textId="77777777" w:rsidTr="004B15A2">
        <w:tc>
          <w:tcPr>
            <w:tcW w:w="993" w:type="dxa"/>
          </w:tcPr>
          <w:p w14:paraId="5F8EA392" w14:textId="77777777" w:rsidR="006621BE" w:rsidRPr="00CB592B" w:rsidRDefault="006621BE" w:rsidP="00EF5AF2">
            <w:pPr>
              <w:tabs>
                <w:tab w:val="left" w:pos="875"/>
              </w:tabs>
              <w:jc w:val="center"/>
              <w:rPr>
                <w:rFonts w:ascii="Arial" w:hAnsi="Arial" w:cs="Arial"/>
                <w:b/>
              </w:rPr>
            </w:pPr>
            <w:r w:rsidRPr="00CB592B">
              <w:rPr>
                <w:rFonts w:ascii="Arial" w:hAnsi="Arial" w:cs="Arial"/>
                <w:b/>
              </w:rPr>
              <w:t>1</w:t>
            </w:r>
          </w:p>
        </w:tc>
        <w:tc>
          <w:tcPr>
            <w:tcW w:w="4253" w:type="dxa"/>
          </w:tcPr>
          <w:p w14:paraId="7E2612EB" w14:textId="77777777" w:rsidR="006621BE" w:rsidRPr="00CB592B" w:rsidRDefault="006621BE" w:rsidP="00EF5AF2">
            <w:pPr>
              <w:tabs>
                <w:tab w:val="left" w:pos="875"/>
              </w:tabs>
              <w:jc w:val="both"/>
              <w:rPr>
                <w:rFonts w:ascii="Arial" w:hAnsi="Arial" w:cs="Arial"/>
                <w:b/>
              </w:rPr>
            </w:pPr>
            <w:r w:rsidRPr="00CB592B">
              <w:rPr>
                <w:rFonts w:ascii="Arial" w:hAnsi="Arial" w:cs="Arial"/>
                <w:b/>
              </w:rPr>
              <w:t>Administrativas:</w:t>
            </w:r>
          </w:p>
        </w:tc>
        <w:tc>
          <w:tcPr>
            <w:tcW w:w="5244" w:type="dxa"/>
          </w:tcPr>
          <w:p w14:paraId="15B0BD61" w14:textId="77777777" w:rsidR="006621BE" w:rsidRPr="00CB592B" w:rsidRDefault="006621BE" w:rsidP="00EF5AF2">
            <w:pPr>
              <w:tabs>
                <w:tab w:val="left" w:pos="875"/>
              </w:tabs>
              <w:jc w:val="both"/>
              <w:rPr>
                <w:rFonts w:ascii="Arial" w:eastAsia="Calibri" w:hAnsi="Arial" w:cs="Arial"/>
                <w:kern w:val="2"/>
              </w:rPr>
            </w:pPr>
            <w:r w:rsidRPr="00CB592B">
              <w:rPr>
                <w:rFonts w:ascii="Arial" w:eastAsia="Calibri" w:hAnsi="Arial" w:cs="Arial"/>
                <w:kern w:val="2"/>
              </w:rPr>
              <w:t xml:space="preserve">De acuerdo con lo establecido en literal 4.1. Aspectos previos al cierre del periodo contable 2024   numeral 6) del Instructivo 001 del 16 de diciembre de 2024 de la CGN, “Las (ECP) efectuaran las reclasificaciones contables a nivel de auxiliar directo y de tercero de los  valores retenidos a los sujetos de retención y de los valores pagados a la DIAN, y a las secretarias de hacienda, que se encuentren reconocidos en las subcuentas de la cuenta  2436-RETENCIÓN EN LA FUENTE E IMPUESTO DE TIMBRE, para tal fin, en el momento que se realice el pago del impuesto se registrara mediante la funcionalidad de comprobantes manuales. Para el caso del SIFF -Nación, se dispone de la Tipología contable “T58 Reclasificaciones de retenciones e impuestos nacionales y territoriales. Dicho proceso en la operatividad del Sistema Integrado de Información Financiera (SIIF Nación II), se debe realizar mensualmente a través del cargue de archivos planos la cancelación de terceros correspondiente al pago de </w:t>
            </w:r>
            <w:r w:rsidRPr="00CB592B">
              <w:rPr>
                <w:rFonts w:ascii="Arial" w:eastAsia="Calibri" w:hAnsi="Arial" w:cs="Arial"/>
                <w:kern w:val="2"/>
              </w:rPr>
              <w:lastRenderedPageBreak/>
              <w:t>impuestos, labor que debería ser un proceso automático.</w:t>
            </w:r>
          </w:p>
          <w:p w14:paraId="385DFD64" w14:textId="77777777" w:rsidR="006621BE" w:rsidRPr="00CB592B" w:rsidRDefault="006621BE" w:rsidP="00EF5AF2">
            <w:pPr>
              <w:tabs>
                <w:tab w:val="left" w:pos="875"/>
              </w:tabs>
              <w:jc w:val="both"/>
              <w:rPr>
                <w:rFonts w:ascii="Arial" w:hAnsi="Arial" w:cs="Arial"/>
              </w:rPr>
            </w:pPr>
          </w:p>
        </w:tc>
      </w:tr>
    </w:tbl>
    <w:p w14:paraId="7F99BA01" w14:textId="77777777" w:rsidR="006621BE" w:rsidRDefault="006621BE" w:rsidP="006621BE">
      <w:pPr>
        <w:ind w:right="-93"/>
        <w:jc w:val="both"/>
        <w:rPr>
          <w:rFonts w:ascii="Arial" w:hAnsi="Arial" w:cs="Arial"/>
          <w:b/>
          <w:sz w:val="28"/>
          <w:szCs w:val="28"/>
        </w:rPr>
      </w:pPr>
    </w:p>
    <w:p w14:paraId="4781B040" w14:textId="77777777" w:rsidR="006621BE" w:rsidRDefault="006621BE" w:rsidP="004B15A2">
      <w:pPr>
        <w:ind w:left="-284"/>
        <w:jc w:val="both"/>
        <w:rPr>
          <w:rFonts w:ascii="Arial" w:hAnsi="Arial" w:cs="Arial"/>
          <w:b/>
          <w:sz w:val="28"/>
          <w:szCs w:val="28"/>
          <w:lang w:val="es-MX"/>
        </w:rPr>
      </w:pPr>
      <w:r w:rsidRPr="00C07DAC">
        <w:rPr>
          <w:rFonts w:ascii="Arial" w:hAnsi="Arial" w:cs="Arial"/>
          <w:b/>
          <w:sz w:val="28"/>
          <w:szCs w:val="28"/>
          <w:lang w:val="es-MX"/>
        </w:rPr>
        <w:t xml:space="preserve">306.- </w:t>
      </w:r>
      <w:r w:rsidRPr="00C07DAC">
        <w:rPr>
          <w:rFonts w:ascii="Arial" w:hAnsi="Arial" w:cs="Arial"/>
          <w:b/>
          <w:sz w:val="28"/>
          <w:szCs w:val="28"/>
        </w:rPr>
        <w:t>MINISTERIO</w:t>
      </w:r>
      <w:r w:rsidRPr="00C07DAC">
        <w:rPr>
          <w:rFonts w:ascii="Arial" w:hAnsi="Arial" w:cs="Arial"/>
          <w:b/>
          <w:spacing w:val="-12"/>
          <w:sz w:val="28"/>
          <w:szCs w:val="28"/>
        </w:rPr>
        <w:t xml:space="preserve"> </w:t>
      </w:r>
      <w:r w:rsidRPr="00C07DAC">
        <w:rPr>
          <w:rFonts w:ascii="Arial" w:hAnsi="Arial" w:cs="Arial"/>
          <w:b/>
          <w:sz w:val="28"/>
          <w:szCs w:val="28"/>
        </w:rPr>
        <w:t>DE</w:t>
      </w:r>
      <w:r w:rsidRPr="00C07DAC">
        <w:rPr>
          <w:rFonts w:ascii="Arial" w:hAnsi="Arial" w:cs="Arial"/>
          <w:b/>
          <w:spacing w:val="-9"/>
          <w:sz w:val="28"/>
          <w:szCs w:val="28"/>
        </w:rPr>
        <w:t xml:space="preserve"> </w:t>
      </w:r>
      <w:r w:rsidRPr="00C07DAC">
        <w:rPr>
          <w:rFonts w:ascii="Arial" w:hAnsi="Arial" w:cs="Arial"/>
          <w:b/>
          <w:sz w:val="28"/>
          <w:szCs w:val="28"/>
        </w:rPr>
        <w:t>DEFENSA</w:t>
      </w:r>
      <w:r w:rsidRPr="00C07DAC">
        <w:rPr>
          <w:rFonts w:ascii="Arial" w:hAnsi="Arial" w:cs="Arial"/>
          <w:b/>
          <w:spacing w:val="-9"/>
          <w:sz w:val="28"/>
          <w:szCs w:val="28"/>
        </w:rPr>
        <w:t xml:space="preserve"> </w:t>
      </w:r>
      <w:r w:rsidRPr="00C07DAC">
        <w:rPr>
          <w:rFonts w:ascii="Arial" w:hAnsi="Arial" w:cs="Arial"/>
          <w:b/>
          <w:sz w:val="28"/>
          <w:szCs w:val="28"/>
        </w:rPr>
        <w:t>NACIONAL</w:t>
      </w:r>
      <w:r w:rsidRPr="00C07DAC">
        <w:rPr>
          <w:rFonts w:ascii="Arial" w:hAnsi="Arial" w:cs="Arial"/>
          <w:b/>
          <w:sz w:val="28"/>
          <w:szCs w:val="28"/>
          <w:lang w:val="es-MX"/>
        </w:rPr>
        <w:t xml:space="preserve"> CONSOLIDADO.</w:t>
      </w:r>
    </w:p>
    <w:p w14:paraId="555352B4" w14:textId="77777777" w:rsidR="006621BE" w:rsidRPr="00C07DAC" w:rsidRDefault="006621BE" w:rsidP="006621BE">
      <w:pPr>
        <w:ind w:left="-142"/>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300728" w14:paraId="0D0FF728" w14:textId="77777777" w:rsidTr="004B15A2">
        <w:tc>
          <w:tcPr>
            <w:tcW w:w="993" w:type="dxa"/>
          </w:tcPr>
          <w:p w14:paraId="789899DB" w14:textId="77777777" w:rsidR="006621BE" w:rsidRPr="00300728" w:rsidRDefault="006621BE" w:rsidP="00EF5AF2">
            <w:pPr>
              <w:tabs>
                <w:tab w:val="left" w:pos="875"/>
              </w:tabs>
              <w:ind w:right="-50"/>
              <w:jc w:val="center"/>
              <w:rPr>
                <w:rFonts w:ascii="Arial" w:hAnsi="Arial" w:cs="Arial"/>
                <w:b/>
              </w:rPr>
            </w:pPr>
            <w:r w:rsidRPr="00300728">
              <w:rPr>
                <w:rFonts w:ascii="Arial" w:hAnsi="Arial" w:cs="Arial"/>
                <w:b/>
              </w:rPr>
              <w:t>N°</w:t>
            </w:r>
          </w:p>
        </w:tc>
        <w:tc>
          <w:tcPr>
            <w:tcW w:w="4253" w:type="dxa"/>
          </w:tcPr>
          <w:p w14:paraId="115357EE" w14:textId="77777777" w:rsidR="006621BE" w:rsidRPr="00300728" w:rsidRDefault="006621BE" w:rsidP="00EF5AF2">
            <w:pPr>
              <w:tabs>
                <w:tab w:val="left" w:pos="875"/>
              </w:tabs>
              <w:ind w:right="-50"/>
              <w:jc w:val="center"/>
              <w:rPr>
                <w:rFonts w:ascii="Arial" w:hAnsi="Arial" w:cs="Arial"/>
                <w:b/>
              </w:rPr>
            </w:pPr>
            <w:r w:rsidRPr="00300728">
              <w:rPr>
                <w:rFonts w:ascii="Arial" w:hAnsi="Arial" w:cs="Arial"/>
                <w:b/>
              </w:rPr>
              <w:t>Limitaciones del Sistema SIIF II Nación a 31/12/2024</w:t>
            </w:r>
          </w:p>
          <w:p w14:paraId="4560F231" w14:textId="77777777" w:rsidR="006621BE" w:rsidRPr="00300728" w:rsidRDefault="006621BE" w:rsidP="00EF5AF2">
            <w:pPr>
              <w:tabs>
                <w:tab w:val="left" w:pos="875"/>
              </w:tabs>
              <w:ind w:right="-50"/>
              <w:jc w:val="center"/>
              <w:rPr>
                <w:rFonts w:ascii="Arial" w:hAnsi="Arial" w:cs="Arial"/>
                <w:b/>
              </w:rPr>
            </w:pPr>
          </w:p>
        </w:tc>
        <w:tc>
          <w:tcPr>
            <w:tcW w:w="5244" w:type="dxa"/>
          </w:tcPr>
          <w:p w14:paraId="33382C80" w14:textId="77777777" w:rsidR="006621BE" w:rsidRPr="00300728" w:rsidRDefault="006621BE" w:rsidP="00EF5AF2">
            <w:pPr>
              <w:tabs>
                <w:tab w:val="left" w:pos="875"/>
              </w:tabs>
              <w:ind w:right="-50"/>
              <w:jc w:val="center"/>
              <w:rPr>
                <w:rFonts w:ascii="Arial" w:hAnsi="Arial" w:cs="Arial"/>
                <w:b/>
              </w:rPr>
            </w:pPr>
            <w:r w:rsidRPr="00300728">
              <w:rPr>
                <w:rFonts w:ascii="Arial" w:hAnsi="Arial" w:cs="Arial"/>
                <w:b/>
              </w:rPr>
              <w:t>Descripción de la limitación</w:t>
            </w:r>
          </w:p>
        </w:tc>
      </w:tr>
      <w:tr w:rsidR="006621BE" w:rsidRPr="00300728" w14:paraId="0BF2C9C9" w14:textId="77777777" w:rsidTr="004B15A2">
        <w:tc>
          <w:tcPr>
            <w:tcW w:w="993" w:type="dxa"/>
          </w:tcPr>
          <w:p w14:paraId="3889660A" w14:textId="77777777" w:rsidR="006621BE" w:rsidRPr="00300728" w:rsidRDefault="006621BE" w:rsidP="00EF5AF2">
            <w:pPr>
              <w:tabs>
                <w:tab w:val="left" w:pos="875"/>
              </w:tabs>
              <w:ind w:right="-50"/>
              <w:jc w:val="center"/>
              <w:rPr>
                <w:rFonts w:ascii="Arial" w:hAnsi="Arial" w:cs="Arial"/>
                <w:b/>
              </w:rPr>
            </w:pPr>
            <w:r w:rsidRPr="00300728">
              <w:rPr>
                <w:rFonts w:ascii="Arial" w:hAnsi="Arial" w:cs="Arial"/>
                <w:b/>
              </w:rPr>
              <w:t>1</w:t>
            </w:r>
          </w:p>
        </w:tc>
        <w:tc>
          <w:tcPr>
            <w:tcW w:w="4253" w:type="dxa"/>
          </w:tcPr>
          <w:p w14:paraId="0A1C636E" w14:textId="77777777" w:rsidR="006621BE" w:rsidRPr="00300728" w:rsidRDefault="006621BE" w:rsidP="00EF5AF2">
            <w:pPr>
              <w:tabs>
                <w:tab w:val="left" w:pos="875"/>
              </w:tabs>
              <w:ind w:right="-50"/>
              <w:jc w:val="both"/>
              <w:rPr>
                <w:rFonts w:ascii="Arial" w:hAnsi="Arial" w:cs="Arial"/>
                <w:b/>
              </w:rPr>
            </w:pPr>
            <w:r w:rsidRPr="00300728">
              <w:rPr>
                <w:rFonts w:ascii="Arial" w:hAnsi="Arial" w:cs="Arial"/>
                <w:b/>
              </w:rPr>
              <w:t>Técnicas:</w:t>
            </w:r>
          </w:p>
        </w:tc>
        <w:tc>
          <w:tcPr>
            <w:tcW w:w="5244" w:type="dxa"/>
          </w:tcPr>
          <w:p w14:paraId="7E1F259C" w14:textId="77777777" w:rsidR="006621BE" w:rsidRPr="00300728" w:rsidRDefault="006621BE" w:rsidP="00EF5AF2">
            <w:pPr>
              <w:tabs>
                <w:tab w:val="left" w:pos="875"/>
              </w:tabs>
              <w:ind w:right="-50"/>
              <w:jc w:val="both"/>
              <w:rPr>
                <w:rFonts w:ascii="Arial" w:hAnsi="Arial" w:cs="Arial"/>
              </w:rPr>
            </w:pPr>
            <w:r w:rsidRPr="00300728">
              <w:rPr>
                <w:rFonts w:ascii="Arial" w:hAnsi="Arial" w:cs="Arial"/>
              </w:rPr>
              <w:t>La consulta de documentos soporte en adquisiciones con no obligados a facturar presentó error en el SVFE, razón por la cual desde la mesa de ayuda del SIIF Nación se dio la instrucción a los usuarios de consultar los documentos transmitidos en el repositorio de la página Web del Ministerio de Hacienda y Crédito Público MHCP, sin embargo, el cargue de esta información la realiza la Administración SIIF cada 2 semanas o más, por lo cual se solicitó que dicha información se actualizara por lo menos cada 2 días para que los pagadores puedan verificar oportunamente los documentos soporte generados y transmitidos con éxito a la DIAN.</w:t>
            </w:r>
          </w:p>
        </w:tc>
      </w:tr>
      <w:tr w:rsidR="006621BE" w:rsidRPr="00300728" w14:paraId="3C026AEC" w14:textId="77777777" w:rsidTr="004B15A2">
        <w:tc>
          <w:tcPr>
            <w:tcW w:w="993" w:type="dxa"/>
          </w:tcPr>
          <w:p w14:paraId="7C33DE16" w14:textId="77777777" w:rsidR="006621BE" w:rsidRPr="00300728" w:rsidRDefault="006621BE" w:rsidP="00EF5AF2">
            <w:pPr>
              <w:tabs>
                <w:tab w:val="left" w:pos="875"/>
              </w:tabs>
              <w:ind w:right="-50"/>
              <w:jc w:val="center"/>
              <w:rPr>
                <w:rFonts w:ascii="Arial" w:hAnsi="Arial" w:cs="Arial"/>
                <w:b/>
              </w:rPr>
            </w:pPr>
            <w:r w:rsidRPr="00300728">
              <w:rPr>
                <w:rFonts w:ascii="Arial" w:hAnsi="Arial" w:cs="Arial"/>
                <w:b/>
              </w:rPr>
              <w:t>2</w:t>
            </w:r>
          </w:p>
        </w:tc>
        <w:tc>
          <w:tcPr>
            <w:tcW w:w="4253" w:type="dxa"/>
          </w:tcPr>
          <w:p w14:paraId="6CDBE96D" w14:textId="77777777" w:rsidR="006621BE" w:rsidRPr="00300728" w:rsidRDefault="006621BE" w:rsidP="00EF5AF2">
            <w:pPr>
              <w:tabs>
                <w:tab w:val="left" w:pos="875"/>
              </w:tabs>
              <w:ind w:right="-50"/>
              <w:jc w:val="both"/>
              <w:rPr>
                <w:rFonts w:ascii="Arial" w:hAnsi="Arial" w:cs="Arial"/>
                <w:b/>
              </w:rPr>
            </w:pPr>
            <w:r w:rsidRPr="00300728">
              <w:rPr>
                <w:rFonts w:ascii="Arial" w:hAnsi="Arial" w:cs="Arial"/>
                <w:b/>
              </w:rPr>
              <w:t>Operativas:</w:t>
            </w:r>
          </w:p>
        </w:tc>
        <w:tc>
          <w:tcPr>
            <w:tcW w:w="5244" w:type="dxa"/>
          </w:tcPr>
          <w:p w14:paraId="4B96E91E" w14:textId="77777777" w:rsidR="006621BE" w:rsidRPr="00300728" w:rsidRDefault="006621BE" w:rsidP="00EF5AF2">
            <w:pPr>
              <w:ind w:left="322" w:right="-50" w:hanging="322"/>
              <w:jc w:val="both"/>
              <w:rPr>
                <w:rFonts w:ascii="Arial" w:hAnsi="Arial" w:cs="Arial"/>
              </w:rPr>
            </w:pPr>
            <w:r w:rsidRPr="00300728">
              <w:rPr>
                <w:rFonts w:ascii="Arial" w:hAnsi="Arial" w:cs="Arial"/>
              </w:rPr>
              <w:t>-</w:t>
            </w:r>
            <w:r w:rsidRPr="00300728">
              <w:rPr>
                <w:rFonts w:ascii="Arial" w:hAnsi="Arial" w:cs="Arial"/>
              </w:rPr>
              <w:tab/>
              <w:t>Desde el mes de agosto del 2024 se identificó que la clasificación del ingreso mediante carga masiva de recaudo y causación simultánea no generaba la afectación contable en algunos documentos, en los cuales se evidenció que presupuestalmente si queda la afectación del ingreso, pero contablemente no.</w:t>
            </w:r>
          </w:p>
          <w:p w14:paraId="7779FABD" w14:textId="77777777" w:rsidR="006621BE" w:rsidRPr="00300728" w:rsidRDefault="006621BE" w:rsidP="00EF5AF2">
            <w:pPr>
              <w:ind w:left="322" w:right="-50" w:hanging="322"/>
              <w:jc w:val="both"/>
              <w:rPr>
                <w:rFonts w:ascii="Arial" w:hAnsi="Arial" w:cs="Arial"/>
              </w:rPr>
            </w:pPr>
          </w:p>
          <w:p w14:paraId="1D951282" w14:textId="77777777" w:rsidR="006621BE" w:rsidRPr="00300728" w:rsidRDefault="006621BE" w:rsidP="00EF5AF2">
            <w:pPr>
              <w:ind w:left="322" w:right="-50" w:hanging="322"/>
              <w:jc w:val="both"/>
              <w:rPr>
                <w:rFonts w:ascii="Arial" w:hAnsi="Arial" w:cs="Arial"/>
              </w:rPr>
            </w:pPr>
            <w:r w:rsidRPr="00300728">
              <w:rPr>
                <w:rFonts w:ascii="Arial" w:hAnsi="Arial" w:cs="Arial"/>
              </w:rPr>
              <w:t>-</w:t>
            </w:r>
            <w:r w:rsidRPr="00300728">
              <w:rPr>
                <w:rFonts w:ascii="Arial" w:hAnsi="Arial" w:cs="Arial"/>
              </w:rPr>
              <w:tab/>
              <w:t>Otorgar a la entidad la facultad de administrar los cierres contables de sus Unidades en el SIIF Nación, así como contar con un procedimiento en el SIIF Nación para incorporar mediante archivo plano la información de las notas a los estados contables.</w:t>
            </w:r>
          </w:p>
          <w:p w14:paraId="7AF3C3CA" w14:textId="77777777" w:rsidR="006621BE" w:rsidRPr="00300728" w:rsidRDefault="006621BE" w:rsidP="00EF5AF2">
            <w:pPr>
              <w:ind w:left="322" w:right="-50" w:hanging="322"/>
              <w:jc w:val="both"/>
              <w:rPr>
                <w:rFonts w:ascii="Arial" w:hAnsi="Arial" w:cs="Arial"/>
              </w:rPr>
            </w:pPr>
          </w:p>
          <w:p w14:paraId="74AB0FEB" w14:textId="77777777" w:rsidR="006621BE" w:rsidRPr="00300728" w:rsidRDefault="006621BE" w:rsidP="00EF5AF2">
            <w:pPr>
              <w:ind w:left="322" w:right="-50" w:hanging="322"/>
              <w:jc w:val="both"/>
              <w:rPr>
                <w:rFonts w:ascii="Arial" w:hAnsi="Arial" w:cs="Arial"/>
              </w:rPr>
            </w:pPr>
            <w:r w:rsidRPr="00300728">
              <w:rPr>
                <w:rFonts w:ascii="Arial" w:hAnsi="Arial" w:cs="Arial"/>
              </w:rPr>
              <w:t>-</w:t>
            </w:r>
            <w:r w:rsidRPr="00300728">
              <w:rPr>
                <w:rFonts w:ascii="Arial" w:hAnsi="Arial" w:cs="Arial"/>
              </w:rPr>
              <w:tab/>
              <w:t>Disponer de una funcionalidad de carga masiva para la emisión de Factura electrónica de contado debido al alto volumen de facturación que se maneja.</w:t>
            </w:r>
          </w:p>
          <w:p w14:paraId="618EAE2B" w14:textId="77777777" w:rsidR="006621BE" w:rsidRPr="00300728" w:rsidRDefault="006621BE" w:rsidP="00EF5AF2">
            <w:pPr>
              <w:ind w:left="322" w:right="-50" w:hanging="322"/>
              <w:jc w:val="both"/>
              <w:rPr>
                <w:rFonts w:ascii="Arial" w:hAnsi="Arial" w:cs="Arial"/>
              </w:rPr>
            </w:pPr>
          </w:p>
          <w:p w14:paraId="39BC94F1" w14:textId="77777777" w:rsidR="006621BE" w:rsidRPr="00300728" w:rsidRDefault="006621BE" w:rsidP="00EF5AF2">
            <w:pPr>
              <w:ind w:left="322" w:right="-50" w:hanging="322"/>
              <w:jc w:val="both"/>
              <w:rPr>
                <w:rFonts w:ascii="Arial" w:hAnsi="Arial" w:cs="Arial"/>
              </w:rPr>
            </w:pPr>
            <w:r w:rsidRPr="00300728">
              <w:rPr>
                <w:rFonts w:ascii="Arial" w:hAnsi="Arial" w:cs="Arial"/>
              </w:rPr>
              <w:t>-</w:t>
            </w:r>
            <w:r w:rsidRPr="00300728">
              <w:rPr>
                <w:rFonts w:ascii="Arial" w:hAnsi="Arial" w:cs="Arial"/>
              </w:rPr>
              <w:tab/>
              <w:t>Optimización del registro de las IAP en la obligación para pagos en moneda diferente a pesos.</w:t>
            </w:r>
          </w:p>
          <w:p w14:paraId="12AABBEB" w14:textId="77777777" w:rsidR="006621BE" w:rsidRPr="00300728" w:rsidRDefault="006621BE" w:rsidP="00EF5AF2">
            <w:pPr>
              <w:ind w:left="322" w:right="-50" w:hanging="322"/>
              <w:jc w:val="both"/>
              <w:rPr>
                <w:rFonts w:ascii="Arial" w:hAnsi="Arial" w:cs="Arial"/>
              </w:rPr>
            </w:pPr>
          </w:p>
          <w:p w14:paraId="3AF7DC18" w14:textId="77777777" w:rsidR="006621BE" w:rsidRPr="00300728" w:rsidRDefault="006621BE" w:rsidP="00EF5AF2">
            <w:pPr>
              <w:ind w:left="322" w:right="-50" w:hanging="322"/>
              <w:jc w:val="both"/>
              <w:rPr>
                <w:rFonts w:ascii="Arial" w:hAnsi="Arial" w:cs="Arial"/>
              </w:rPr>
            </w:pPr>
            <w:r w:rsidRPr="00300728">
              <w:rPr>
                <w:rFonts w:ascii="Arial" w:hAnsi="Arial" w:cs="Arial"/>
              </w:rPr>
              <w:t>-</w:t>
            </w:r>
            <w:r w:rsidRPr="00300728">
              <w:rPr>
                <w:rFonts w:ascii="Arial" w:hAnsi="Arial" w:cs="Arial"/>
              </w:rPr>
              <w:tab/>
              <w:t>Disponer de reportes y consultar para: Operaciones reciprocas a nivel de PCI o consulta por código de entidad, registro de instrucciones adicionales de pago asociadas a una orden de pago presupuestal de gasto de servicios públicos, un reporte o comprobante de pago de nómina por tercero, un reporte que permita consultar las órdenes de pago en moneda extranjera desde el nivel de Unidad Ejecutora (6 dígitos), con el fin de enviar los formularios cambiarios de los pagos en moneda extranjera y simplificar el seguimiento a los pagos y una consulta que permita verificar a que obligaciones u órdenes de pago pagadas en el Sistema SIIF Nación se le han vinculado documentos electrónicos.</w:t>
            </w:r>
          </w:p>
          <w:p w14:paraId="51C367A0" w14:textId="77777777" w:rsidR="006621BE" w:rsidRPr="00300728" w:rsidRDefault="006621BE" w:rsidP="00EF5AF2">
            <w:pPr>
              <w:ind w:left="322" w:right="-50" w:hanging="281"/>
              <w:jc w:val="both"/>
              <w:rPr>
                <w:rFonts w:ascii="Arial" w:hAnsi="Arial" w:cs="Arial"/>
              </w:rPr>
            </w:pPr>
          </w:p>
          <w:p w14:paraId="506B35F9" w14:textId="77777777" w:rsidR="006621BE" w:rsidRPr="00300728" w:rsidRDefault="006621BE" w:rsidP="00CB6055">
            <w:pPr>
              <w:pStyle w:val="Prrafodelista"/>
              <w:numPr>
                <w:ilvl w:val="0"/>
                <w:numId w:val="31"/>
              </w:numPr>
              <w:spacing w:before="1"/>
              <w:ind w:left="325" w:right="-50" w:hanging="325"/>
              <w:jc w:val="both"/>
              <w:rPr>
                <w:rFonts w:ascii="Arial" w:hAnsi="Arial" w:cs="Arial"/>
              </w:rPr>
            </w:pPr>
            <w:r w:rsidRPr="00300728">
              <w:rPr>
                <w:rFonts w:ascii="Arial" w:hAnsi="Arial" w:cs="Arial"/>
              </w:rPr>
              <w:t xml:space="preserve">Optimizar la transacción “Legalización del Anticipo, Pago Anticipado o Avance” para que se pueda </w:t>
            </w:r>
            <w:r w:rsidRPr="00300728">
              <w:rPr>
                <w:rFonts w:ascii="Arial" w:hAnsi="Arial" w:cs="Arial"/>
              </w:rPr>
              <w:lastRenderedPageBreak/>
              <w:t>escoger como fecha de registro, el periodo contable que se encuentre abierto para su reconocimiento, así como contar con un reporte a través del cual se pueda verificar el estado de amortización de los anticipos y pagos anticipados.</w:t>
            </w:r>
          </w:p>
        </w:tc>
      </w:tr>
      <w:tr w:rsidR="006621BE" w:rsidRPr="00300728" w14:paraId="25D546E7" w14:textId="77777777" w:rsidTr="004B15A2">
        <w:tc>
          <w:tcPr>
            <w:tcW w:w="993" w:type="dxa"/>
          </w:tcPr>
          <w:p w14:paraId="43CCB4EE" w14:textId="77777777" w:rsidR="006621BE" w:rsidRPr="00300728" w:rsidRDefault="006621BE" w:rsidP="00EF5AF2">
            <w:pPr>
              <w:tabs>
                <w:tab w:val="left" w:pos="875"/>
              </w:tabs>
              <w:ind w:right="-50"/>
              <w:jc w:val="center"/>
              <w:rPr>
                <w:rFonts w:ascii="Arial" w:hAnsi="Arial" w:cs="Arial"/>
                <w:b/>
              </w:rPr>
            </w:pPr>
            <w:r w:rsidRPr="00300728">
              <w:rPr>
                <w:rFonts w:ascii="Arial" w:hAnsi="Arial" w:cs="Arial"/>
                <w:b/>
              </w:rPr>
              <w:lastRenderedPageBreak/>
              <w:t>3</w:t>
            </w:r>
          </w:p>
        </w:tc>
        <w:tc>
          <w:tcPr>
            <w:tcW w:w="4253" w:type="dxa"/>
          </w:tcPr>
          <w:p w14:paraId="1F45D618" w14:textId="77777777" w:rsidR="006621BE" w:rsidRPr="00300728" w:rsidRDefault="006621BE" w:rsidP="00EF5AF2">
            <w:pPr>
              <w:tabs>
                <w:tab w:val="left" w:pos="875"/>
              </w:tabs>
              <w:ind w:right="-50"/>
              <w:jc w:val="both"/>
              <w:rPr>
                <w:rFonts w:ascii="Arial" w:hAnsi="Arial" w:cs="Arial"/>
                <w:b/>
              </w:rPr>
            </w:pPr>
            <w:r w:rsidRPr="00300728">
              <w:rPr>
                <w:rFonts w:ascii="Arial" w:hAnsi="Arial" w:cs="Arial"/>
                <w:b/>
              </w:rPr>
              <w:t>Soporte a la plataforma:</w:t>
            </w:r>
          </w:p>
        </w:tc>
        <w:tc>
          <w:tcPr>
            <w:tcW w:w="5244" w:type="dxa"/>
          </w:tcPr>
          <w:p w14:paraId="55332312" w14:textId="77777777" w:rsidR="006621BE" w:rsidRPr="00300728" w:rsidRDefault="006621BE" w:rsidP="00EF5AF2">
            <w:pPr>
              <w:tabs>
                <w:tab w:val="left" w:pos="875"/>
              </w:tabs>
              <w:ind w:right="-50"/>
              <w:jc w:val="both"/>
              <w:rPr>
                <w:rFonts w:ascii="Arial" w:hAnsi="Arial" w:cs="Arial"/>
              </w:rPr>
            </w:pPr>
            <w:r w:rsidRPr="00300728">
              <w:rPr>
                <w:rFonts w:ascii="Arial" w:hAnsi="Arial" w:cs="Arial"/>
              </w:rPr>
              <w:t>La mayoría de los incidentes y solicitudes de mesas de acompañamiento fueron atendidas con oportunidad por parte de la administración SIIF.</w:t>
            </w:r>
          </w:p>
        </w:tc>
      </w:tr>
    </w:tbl>
    <w:p w14:paraId="020DCBD6" w14:textId="77777777" w:rsidR="006621BE" w:rsidRDefault="006621BE" w:rsidP="006621BE">
      <w:pPr>
        <w:ind w:right="-93"/>
        <w:jc w:val="both"/>
        <w:rPr>
          <w:rFonts w:ascii="Arial" w:hAnsi="Arial" w:cs="Arial"/>
          <w:b/>
          <w:sz w:val="28"/>
          <w:szCs w:val="28"/>
        </w:rPr>
      </w:pPr>
    </w:p>
    <w:p w14:paraId="665181E5" w14:textId="77777777" w:rsidR="006621BE" w:rsidRPr="004C02FC" w:rsidRDefault="006621BE" w:rsidP="004B15A2">
      <w:pPr>
        <w:ind w:left="-284"/>
        <w:jc w:val="both"/>
        <w:rPr>
          <w:rFonts w:ascii="Arial" w:hAnsi="Arial" w:cs="Arial"/>
          <w:b/>
          <w:sz w:val="28"/>
          <w:szCs w:val="28"/>
          <w:lang w:val="es-MX"/>
        </w:rPr>
      </w:pPr>
      <w:r w:rsidRPr="004C02FC">
        <w:rPr>
          <w:rFonts w:ascii="Arial" w:hAnsi="Arial" w:cs="Arial"/>
          <w:b/>
          <w:sz w:val="28"/>
          <w:szCs w:val="28"/>
          <w:lang w:val="es-MX"/>
        </w:rPr>
        <w:t>308.- U.A.E. DE ORGANIZACIONES SOLIDARIAS.</w:t>
      </w:r>
    </w:p>
    <w:p w14:paraId="5FF10E07" w14:textId="77777777" w:rsidR="006621BE" w:rsidRDefault="006621BE" w:rsidP="006621BE">
      <w:pPr>
        <w:jc w:val="both"/>
        <w:rPr>
          <w:b/>
          <w:sz w:val="28"/>
          <w:szCs w:val="28"/>
          <w:lang w:val="es-MX"/>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5278E6" w14:paraId="41AD7335" w14:textId="77777777" w:rsidTr="004B15A2">
        <w:tc>
          <w:tcPr>
            <w:tcW w:w="993" w:type="dxa"/>
          </w:tcPr>
          <w:p w14:paraId="3DB3F93C" w14:textId="77777777" w:rsidR="006621BE" w:rsidRPr="005278E6" w:rsidRDefault="006621BE" w:rsidP="00EF5AF2">
            <w:pPr>
              <w:tabs>
                <w:tab w:val="left" w:pos="875"/>
              </w:tabs>
              <w:ind w:right="-50"/>
              <w:jc w:val="center"/>
              <w:rPr>
                <w:rFonts w:ascii="Arial" w:hAnsi="Arial" w:cs="Arial"/>
                <w:b/>
              </w:rPr>
            </w:pPr>
            <w:r w:rsidRPr="005278E6">
              <w:rPr>
                <w:rFonts w:ascii="Arial" w:hAnsi="Arial" w:cs="Arial"/>
                <w:b/>
              </w:rPr>
              <w:t>N°</w:t>
            </w:r>
          </w:p>
        </w:tc>
        <w:tc>
          <w:tcPr>
            <w:tcW w:w="4253" w:type="dxa"/>
          </w:tcPr>
          <w:p w14:paraId="3C6D52B5" w14:textId="77777777" w:rsidR="006621BE" w:rsidRPr="005278E6" w:rsidRDefault="006621BE" w:rsidP="00EF5AF2">
            <w:pPr>
              <w:tabs>
                <w:tab w:val="left" w:pos="875"/>
              </w:tabs>
              <w:ind w:right="-50"/>
              <w:jc w:val="center"/>
              <w:rPr>
                <w:rFonts w:ascii="Arial" w:hAnsi="Arial" w:cs="Arial"/>
                <w:b/>
              </w:rPr>
            </w:pPr>
            <w:r w:rsidRPr="005278E6">
              <w:rPr>
                <w:rFonts w:ascii="Arial" w:hAnsi="Arial" w:cs="Arial"/>
                <w:b/>
              </w:rPr>
              <w:t>Limitaciones del Sistema SIIF II Nación a 31/12/2024</w:t>
            </w:r>
          </w:p>
          <w:p w14:paraId="490AB069" w14:textId="77777777" w:rsidR="006621BE" w:rsidRPr="005278E6" w:rsidRDefault="006621BE" w:rsidP="00EF5AF2">
            <w:pPr>
              <w:tabs>
                <w:tab w:val="left" w:pos="875"/>
              </w:tabs>
              <w:ind w:right="-50"/>
              <w:jc w:val="center"/>
              <w:rPr>
                <w:rFonts w:ascii="Arial" w:hAnsi="Arial" w:cs="Arial"/>
                <w:b/>
              </w:rPr>
            </w:pPr>
          </w:p>
        </w:tc>
        <w:tc>
          <w:tcPr>
            <w:tcW w:w="5244" w:type="dxa"/>
          </w:tcPr>
          <w:p w14:paraId="3A1E9100" w14:textId="77777777" w:rsidR="006621BE" w:rsidRPr="005278E6" w:rsidRDefault="006621BE" w:rsidP="00EF5AF2">
            <w:pPr>
              <w:tabs>
                <w:tab w:val="left" w:pos="875"/>
              </w:tabs>
              <w:ind w:right="-50"/>
              <w:jc w:val="center"/>
              <w:rPr>
                <w:rFonts w:ascii="Arial" w:hAnsi="Arial" w:cs="Arial"/>
                <w:b/>
              </w:rPr>
            </w:pPr>
            <w:r w:rsidRPr="005278E6">
              <w:rPr>
                <w:rFonts w:ascii="Arial" w:hAnsi="Arial" w:cs="Arial"/>
                <w:b/>
              </w:rPr>
              <w:t>Descripción de la limitación</w:t>
            </w:r>
          </w:p>
        </w:tc>
      </w:tr>
      <w:tr w:rsidR="006621BE" w:rsidRPr="005278E6" w14:paraId="36037AB3" w14:textId="77777777" w:rsidTr="004B15A2">
        <w:tc>
          <w:tcPr>
            <w:tcW w:w="993" w:type="dxa"/>
          </w:tcPr>
          <w:p w14:paraId="362999A9" w14:textId="77777777" w:rsidR="006621BE" w:rsidRPr="005278E6" w:rsidRDefault="006621BE" w:rsidP="00EF5AF2">
            <w:pPr>
              <w:tabs>
                <w:tab w:val="left" w:pos="875"/>
              </w:tabs>
              <w:ind w:right="-50"/>
              <w:jc w:val="center"/>
              <w:rPr>
                <w:rFonts w:ascii="Arial" w:hAnsi="Arial" w:cs="Arial"/>
                <w:b/>
              </w:rPr>
            </w:pPr>
            <w:r w:rsidRPr="005278E6">
              <w:rPr>
                <w:rFonts w:ascii="Arial" w:hAnsi="Arial" w:cs="Arial"/>
                <w:b/>
              </w:rPr>
              <w:t>1</w:t>
            </w:r>
          </w:p>
        </w:tc>
        <w:tc>
          <w:tcPr>
            <w:tcW w:w="4253" w:type="dxa"/>
          </w:tcPr>
          <w:p w14:paraId="74F8C753" w14:textId="77777777" w:rsidR="006621BE" w:rsidRPr="005278E6" w:rsidRDefault="006621BE" w:rsidP="00EF5AF2">
            <w:pPr>
              <w:tabs>
                <w:tab w:val="left" w:pos="875"/>
              </w:tabs>
              <w:ind w:right="-50"/>
              <w:jc w:val="both"/>
              <w:rPr>
                <w:rFonts w:ascii="Arial" w:hAnsi="Arial" w:cs="Arial"/>
                <w:b/>
              </w:rPr>
            </w:pPr>
            <w:r w:rsidRPr="005278E6">
              <w:rPr>
                <w:rFonts w:ascii="Arial" w:hAnsi="Arial" w:cs="Arial"/>
                <w:b/>
              </w:rPr>
              <w:t>Administrativas:</w:t>
            </w:r>
          </w:p>
        </w:tc>
        <w:tc>
          <w:tcPr>
            <w:tcW w:w="5244" w:type="dxa"/>
          </w:tcPr>
          <w:p w14:paraId="0703C0AE" w14:textId="77777777" w:rsidR="006621BE" w:rsidRPr="005278E6" w:rsidRDefault="006621BE" w:rsidP="00EF5AF2">
            <w:pPr>
              <w:tabs>
                <w:tab w:val="left" w:pos="875"/>
              </w:tabs>
              <w:ind w:right="-50"/>
              <w:jc w:val="both"/>
              <w:rPr>
                <w:rFonts w:ascii="Arial" w:hAnsi="Arial" w:cs="Arial"/>
              </w:rPr>
            </w:pPr>
            <w:r w:rsidRPr="005278E6">
              <w:rPr>
                <w:rFonts w:ascii="Arial" w:hAnsi="Arial" w:cs="Arial"/>
              </w:rPr>
              <w:t>Personal del área.  El Grupo de Gestión Financiera no cuenta con el personal suficiente de planta en el área contable, debido a que, en la estructura de la planta global de la Unidad, no se tiene contemplado un cargo adicional a niveles profesionales y/o niveles técnicos que permitan al grupo de gestión financiera apoyar esta área, con el fin de desarrollar actividades de carácter contable y tributario aplicables a la Unidad. Por tal motivo se hace necesario contratar personal por prestación de servicios para el apoyo en el registro, análisis y control de la información contable. Lo anterior teniendo en cuenta que ha crecido el volumen de trabajo, por el aumento de asignación presupuestal.</w:t>
            </w:r>
          </w:p>
        </w:tc>
      </w:tr>
      <w:tr w:rsidR="006621BE" w:rsidRPr="005278E6" w14:paraId="1C1216B9" w14:textId="77777777" w:rsidTr="004B15A2">
        <w:tc>
          <w:tcPr>
            <w:tcW w:w="993" w:type="dxa"/>
          </w:tcPr>
          <w:p w14:paraId="3E86F44D" w14:textId="77777777" w:rsidR="006621BE" w:rsidRPr="005278E6" w:rsidRDefault="006621BE" w:rsidP="00EF5AF2">
            <w:pPr>
              <w:tabs>
                <w:tab w:val="left" w:pos="875"/>
              </w:tabs>
              <w:ind w:right="-50"/>
              <w:jc w:val="center"/>
              <w:rPr>
                <w:rFonts w:ascii="Arial" w:hAnsi="Arial" w:cs="Arial"/>
                <w:b/>
              </w:rPr>
            </w:pPr>
            <w:r w:rsidRPr="005278E6">
              <w:rPr>
                <w:rFonts w:ascii="Arial" w:hAnsi="Arial" w:cs="Arial"/>
                <w:b/>
              </w:rPr>
              <w:t>2</w:t>
            </w:r>
          </w:p>
        </w:tc>
        <w:tc>
          <w:tcPr>
            <w:tcW w:w="4253" w:type="dxa"/>
          </w:tcPr>
          <w:p w14:paraId="5A570E8E" w14:textId="77777777" w:rsidR="006621BE" w:rsidRPr="005278E6" w:rsidRDefault="006621BE" w:rsidP="00EF5AF2">
            <w:pPr>
              <w:tabs>
                <w:tab w:val="left" w:pos="875"/>
              </w:tabs>
              <w:ind w:right="-50"/>
              <w:jc w:val="both"/>
              <w:rPr>
                <w:rFonts w:ascii="Arial" w:hAnsi="Arial" w:cs="Arial"/>
                <w:b/>
              </w:rPr>
            </w:pPr>
            <w:r w:rsidRPr="005278E6">
              <w:rPr>
                <w:rFonts w:ascii="Arial" w:hAnsi="Arial" w:cs="Arial"/>
                <w:b/>
              </w:rPr>
              <w:t>Operativas:</w:t>
            </w:r>
          </w:p>
        </w:tc>
        <w:tc>
          <w:tcPr>
            <w:tcW w:w="5244" w:type="dxa"/>
          </w:tcPr>
          <w:p w14:paraId="58D63C98" w14:textId="77777777" w:rsidR="006621BE" w:rsidRPr="005278E6" w:rsidRDefault="006621BE" w:rsidP="00EF5AF2">
            <w:pPr>
              <w:tabs>
                <w:tab w:val="left" w:pos="875"/>
              </w:tabs>
              <w:ind w:right="-50"/>
              <w:jc w:val="both"/>
              <w:rPr>
                <w:rFonts w:ascii="Arial" w:hAnsi="Arial" w:cs="Arial"/>
              </w:rPr>
            </w:pPr>
            <w:r w:rsidRPr="005278E6">
              <w:rPr>
                <w:rFonts w:ascii="Arial" w:hAnsi="Arial" w:cs="Arial"/>
              </w:rPr>
              <w:t>Bancos SIIF Nación, no tiene entre sus reportes disponibles, un libro de bancos que contenga la información consolidada de: fecha de pago, descripción, tercero, Orden de pago Presupuestal, Orden de pago No presupuestal, No de cheques usados en el mes, movimientos y saldos, que sirve como soporte para la elaboración de las conciliaciones bancarias, ocasionando que la tesorería consolide dicha información de manera manual.</w:t>
            </w:r>
          </w:p>
          <w:p w14:paraId="2DDF7959" w14:textId="77777777" w:rsidR="006621BE" w:rsidRPr="005278E6" w:rsidRDefault="006621BE" w:rsidP="00EF5AF2">
            <w:pPr>
              <w:tabs>
                <w:tab w:val="left" w:pos="875"/>
              </w:tabs>
              <w:ind w:right="-50"/>
              <w:jc w:val="both"/>
              <w:rPr>
                <w:rFonts w:ascii="Arial" w:hAnsi="Arial" w:cs="Arial"/>
              </w:rPr>
            </w:pPr>
          </w:p>
          <w:p w14:paraId="713F14E9" w14:textId="77777777" w:rsidR="006621BE" w:rsidRPr="005278E6" w:rsidRDefault="006621BE" w:rsidP="00EF5AF2">
            <w:pPr>
              <w:tabs>
                <w:tab w:val="left" w:pos="875"/>
              </w:tabs>
              <w:ind w:right="-50"/>
              <w:jc w:val="both"/>
              <w:rPr>
                <w:rFonts w:ascii="Arial" w:hAnsi="Arial" w:cs="Arial"/>
              </w:rPr>
            </w:pPr>
            <w:r w:rsidRPr="005278E6">
              <w:rPr>
                <w:rFonts w:ascii="Arial" w:hAnsi="Arial" w:cs="Arial"/>
              </w:rPr>
              <w:t>Deudores En el caso del registro de incapacidades en la nómina a través de carga masiva, es imposible definir más de un tipo de gasto para un rubro presupuestal, lo cual imposibilita el registro contable automático por separado de las incapacidades asumidas, auxilio de maternidad y de incapacidades por cobrar, conforme a lo establecido en la norma (2 primeros días asumidos por el empleador y desde el 3er día asumido por la EPS).</w:t>
            </w:r>
          </w:p>
        </w:tc>
      </w:tr>
    </w:tbl>
    <w:p w14:paraId="7CFE7638" w14:textId="77777777" w:rsidR="006621BE" w:rsidRDefault="006621BE" w:rsidP="006621BE">
      <w:pPr>
        <w:ind w:right="-93"/>
        <w:jc w:val="both"/>
        <w:rPr>
          <w:rFonts w:ascii="Arial" w:hAnsi="Arial" w:cs="Arial"/>
          <w:b/>
          <w:sz w:val="28"/>
          <w:szCs w:val="28"/>
        </w:rPr>
      </w:pPr>
    </w:p>
    <w:p w14:paraId="490A3954" w14:textId="77777777" w:rsidR="006621BE" w:rsidRPr="00F634DB" w:rsidRDefault="006621BE" w:rsidP="00DF24BB">
      <w:pPr>
        <w:ind w:left="-284"/>
        <w:jc w:val="both"/>
        <w:rPr>
          <w:rFonts w:ascii="Arial" w:hAnsi="Arial" w:cs="Arial"/>
          <w:b/>
          <w:sz w:val="28"/>
          <w:szCs w:val="28"/>
          <w:lang w:val="es-MX"/>
        </w:rPr>
      </w:pPr>
      <w:r w:rsidRPr="00F634DB">
        <w:rPr>
          <w:rFonts w:ascii="Arial" w:hAnsi="Arial" w:cs="Arial"/>
          <w:b/>
          <w:sz w:val="28"/>
          <w:szCs w:val="28"/>
          <w:lang w:val="es-MX"/>
        </w:rPr>
        <w:t>312.- U.A.E. COMISIÓN DE REGULACIÓN DE COMUNICACIONES – CRC.</w:t>
      </w:r>
    </w:p>
    <w:p w14:paraId="28463671" w14:textId="77777777" w:rsidR="006621BE" w:rsidRDefault="006621BE" w:rsidP="004B15A2">
      <w:pPr>
        <w:ind w:left="-284" w:right="-93"/>
        <w:jc w:val="both"/>
        <w:rPr>
          <w:rFonts w:ascii="Arial" w:hAnsi="Arial" w:cs="Arial"/>
          <w:b/>
          <w:sz w:val="28"/>
          <w:szCs w:val="28"/>
          <w:lang w:val="es-MX"/>
        </w:rPr>
      </w:pPr>
    </w:p>
    <w:p w14:paraId="28A3483F" w14:textId="77777777" w:rsidR="006621BE" w:rsidRPr="00EC5151" w:rsidRDefault="006621BE" w:rsidP="004B15A2">
      <w:pPr>
        <w:ind w:left="-284"/>
        <w:rPr>
          <w:rFonts w:ascii="Arial" w:hAnsi="Arial" w:cs="Arial"/>
          <w:b/>
          <w:sz w:val="24"/>
          <w:szCs w:val="24"/>
          <w:lang w:val="es-MX"/>
        </w:rPr>
      </w:pPr>
      <w:r w:rsidRPr="00EC5151">
        <w:rPr>
          <w:rFonts w:ascii="Arial" w:hAnsi="Arial" w:cs="Arial"/>
          <w:b/>
          <w:sz w:val="24"/>
          <w:szCs w:val="24"/>
          <w:lang w:val="es-MX"/>
        </w:rPr>
        <w:t>1.2. Declaración de cumplimiento del marco normativo y limitaciones.</w:t>
      </w:r>
    </w:p>
    <w:p w14:paraId="1B175F66" w14:textId="77777777" w:rsidR="006621BE" w:rsidRPr="00EC5151" w:rsidRDefault="006621BE" w:rsidP="004B15A2">
      <w:pPr>
        <w:ind w:left="-284"/>
        <w:rPr>
          <w:rFonts w:ascii="Arial" w:hAnsi="Arial" w:cs="Arial"/>
          <w:b/>
          <w:sz w:val="28"/>
          <w:szCs w:val="28"/>
          <w:lang w:val="es-MX"/>
        </w:rPr>
      </w:pPr>
    </w:p>
    <w:p w14:paraId="6AB37C9B" w14:textId="77777777" w:rsidR="006621BE" w:rsidRPr="00EC5151" w:rsidRDefault="006621BE" w:rsidP="004B15A2">
      <w:pPr>
        <w:ind w:left="-284"/>
        <w:jc w:val="both"/>
        <w:rPr>
          <w:rFonts w:ascii="Arial" w:hAnsi="Arial" w:cs="Arial"/>
          <w:bCs/>
          <w:sz w:val="24"/>
          <w:szCs w:val="24"/>
          <w:lang w:val="es-MX"/>
        </w:rPr>
      </w:pPr>
      <w:r w:rsidRPr="00EC5151">
        <w:rPr>
          <w:rFonts w:ascii="Arial" w:hAnsi="Arial" w:cs="Arial"/>
          <w:bCs/>
          <w:sz w:val="24"/>
          <w:szCs w:val="24"/>
          <w:lang w:val="es-MX"/>
        </w:rPr>
        <w:t>En cuanto a las limitaciones tenemos:</w:t>
      </w:r>
    </w:p>
    <w:p w14:paraId="02C03B20" w14:textId="77777777" w:rsidR="006621BE" w:rsidRPr="00EC5151" w:rsidRDefault="006621BE" w:rsidP="006621BE">
      <w:pPr>
        <w:jc w:val="both"/>
        <w:rPr>
          <w:rFonts w:ascii="Arial" w:hAnsi="Arial" w:cs="Arial"/>
          <w:bCs/>
          <w:sz w:val="24"/>
          <w:szCs w:val="24"/>
          <w:lang w:val="es-MX"/>
        </w:rPr>
      </w:pPr>
    </w:p>
    <w:p w14:paraId="23A8F4EC" w14:textId="77777777" w:rsidR="006621BE" w:rsidRPr="00EC5151" w:rsidRDefault="006621BE" w:rsidP="00CB6055">
      <w:pPr>
        <w:pStyle w:val="Prrafodelista"/>
        <w:numPr>
          <w:ilvl w:val="0"/>
          <w:numId w:val="32"/>
        </w:numPr>
        <w:spacing w:before="1"/>
        <w:jc w:val="both"/>
        <w:rPr>
          <w:rFonts w:ascii="Arial" w:hAnsi="Arial" w:cs="Arial"/>
          <w:bCs/>
          <w:sz w:val="24"/>
          <w:szCs w:val="24"/>
          <w:lang w:val="es-MX"/>
        </w:rPr>
      </w:pPr>
      <w:r w:rsidRPr="00EC5151">
        <w:rPr>
          <w:rFonts w:ascii="Arial" w:hAnsi="Arial" w:cs="Arial"/>
          <w:bCs/>
          <w:sz w:val="24"/>
          <w:szCs w:val="24"/>
          <w:lang w:val="es-MX"/>
        </w:rPr>
        <w:t>De Orden Operativo.</w:t>
      </w:r>
    </w:p>
    <w:p w14:paraId="23C8C15A" w14:textId="77777777" w:rsidR="006621BE" w:rsidRPr="00EC5151" w:rsidRDefault="006621BE" w:rsidP="006621BE">
      <w:pPr>
        <w:pStyle w:val="Prrafodelista"/>
        <w:ind w:left="720"/>
        <w:rPr>
          <w:rFonts w:ascii="Arial" w:hAnsi="Arial" w:cs="Arial"/>
          <w:bCs/>
          <w:sz w:val="24"/>
          <w:szCs w:val="24"/>
          <w:lang w:val="es-MX"/>
        </w:rPr>
      </w:pPr>
    </w:p>
    <w:p w14:paraId="67AE6C57" w14:textId="77777777" w:rsidR="006621BE" w:rsidRPr="004B7C6A" w:rsidRDefault="006621BE" w:rsidP="004B15A2">
      <w:pPr>
        <w:ind w:left="-284"/>
        <w:jc w:val="both"/>
        <w:rPr>
          <w:rFonts w:ascii="Arial" w:hAnsi="Arial" w:cs="Arial"/>
          <w:b/>
          <w:sz w:val="24"/>
          <w:szCs w:val="24"/>
          <w:u w:val="single"/>
          <w:lang w:val="es-MX"/>
        </w:rPr>
      </w:pPr>
      <w:r w:rsidRPr="004B7C6A">
        <w:rPr>
          <w:rFonts w:ascii="Arial" w:hAnsi="Arial" w:cs="Arial"/>
          <w:b/>
          <w:sz w:val="24"/>
          <w:szCs w:val="24"/>
          <w:u w:val="single"/>
          <w:lang w:val="es-MX"/>
        </w:rPr>
        <w:lastRenderedPageBreak/>
        <w:t>Integralidad del sistema a nivel contable.</w:t>
      </w:r>
    </w:p>
    <w:p w14:paraId="297F2CDC" w14:textId="77777777" w:rsidR="006621BE" w:rsidRPr="00EC5151" w:rsidRDefault="006621BE" w:rsidP="006621BE">
      <w:pPr>
        <w:jc w:val="both"/>
        <w:rPr>
          <w:rFonts w:ascii="Arial" w:hAnsi="Arial" w:cs="Arial"/>
          <w:bCs/>
          <w:sz w:val="24"/>
          <w:szCs w:val="24"/>
          <w:u w:val="single"/>
          <w:lang w:val="es-MX"/>
        </w:rPr>
      </w:pPr>
    </w:p>
    <w:p w14:paraId="0EE8B2F1" w14:textId="77777777" w:rsidR="006621BE" w:rsidRPr="00EC5151" w:rsidRDefault="006621BE" w:rsidP="004B7C6A">
      <w:pPr>
        <w:ind w:left="-284" w:right="-234"/>
        <w:jc w:val="both"/>
        <w:rPr>
          <w:rFonts w:ascii="Arial" w:hAnsi="Arial" w:cs="Arial"/>
          <w:bCs/>
          <w:sz w:val="24"/>
          <w:szCs w:val="24"/>
          <w:lang w:val="es-MX"/>
        </w:rPr>
      </w:pPr>
      <w:r w:rsidRPr="00404103">
        <w:rPr>
          <w:rFonts w:ascii="Arial" w:hAnsi="Arial" w:cs="Arial"/>
          <w:b/>
          <w:sz w:val="24"/>
          <w:szCs w:val="24"/>
          <w:lang w:val="es-MX"/>
        </w:rPr>
        <w:t>El Sistema Integrado de Información Financiera - SIIF NACION II</w:t>
      </w:r>
      <w:r w:rsidRPr="00EC5151">
        <w:rPr>
          <w:rFonts w:ascii="Arial" w:hAnsi="Arial" w:cs="Arial"/>
          <w:bCs/>
          <w:sz w:val="24"/>
          <w:szCs w:val="24"/>
          <w:lang w:val="es-MX"/>
        </w:rPr>
        <w:t>, brinda a la CRC seguridad y transparencia en la gestión y ejecución del Presupuesto General de la Nación; sin embargo, dicho sistema, a cargo del Ministerio de Hacienda y Crédito Público no cuenta con los módulos de inventarios, activos fijos y nómina, por lo que se hace necesario para la CRC, acceder a aplicativos complementarios de apoyo para el control de cada uno de ellos.</w:t>
      </w:r>
    </w:p>
    <w:p w14:paraId="102571D0" w14:textId="77777777" w:rsidR="006621BE" w:rsidRDefault="006621BE" w:rsidP="006621BE">
      <w:pPr>
        <w:ind w:right="-93"/>
        <w:jc w:val="both"/>
        <w:rPr>
          <w:rFonts w:ascii="Arial" w:hAnsi="Arial" w:cs="Arial"/>
          <w:b/>
          <w:sz w:val="28"/>
          <w:szCs w:val="28"/>
          <w:lang w:val="es-MX"/>
        </w:rPr>
      </w:pPr>
    </w:p>
    <w:p w14:paraId="078BFD20" w14:textId="3E112946" w:rsidR="006621BE" w:rsidRDefault="006621BE" w:rsidP="004B7C6A">
      <w:pPr>
        <w:ind w:left="-284" w:right="-234"/>
        <w:jc w:val="both"/>
        <w:rPr>
          <w:rFonts w:ascii="Arial" w:hAnsi="Arial" w:cs="Arial"/>
          <w:b/>
          <w:sz w:val="28"/>
          <w:szCs w:val="28"/>
          <w:lang w:val="es-MX"/>
        </w:rPr>
      </w:pPr>
      <w:r w:rsidRPr="00A7741B">
        <w:rPr>
          <w:rFonts w:ascii="Arial" w:hAnsi="Arial" w:cs="Arial"/>
          <w:b/>
          <w:sz w:val="28"/>
          <w:szCs w:val="28"/>
          <w:lang w:val="es-MX"/>
        </w:rPr>
        <w:t>313.- INSTITUTO TÉCNICO NACIONAL DE COMERCIO “SIMÓN RODRÍGUEZ” DE CALI – INTENALCO.</w:t>
      </w:r>
    </w:p>
    <w:p w14:paraId="33694184" w14:textId="77777777" w:rsidR="004B7C6A" w:rsidRPr="00A7741B" w:rsidRDefault="004B7C6A" w:rsidP="006621BE">
      <w:pPr>
        <w:ind w:right="49"/>
        <w:jc w:val="both"/>
        <w:rPr>
          <w:rFonts w:ascii="Arial" w:hAnsi="Arial" w:cs="Arial"/>
          <w:b/>
          <w:sz w:val="28"/>
          <w:szCs w:val="28"/>
          <w:lang w:val="es-MX"/>
        </w:rPr>
      </w:pPr>
    </w:p>
    <w:tbl>
      <w:tblPr>
        <w:tblStyle w:val="Tablaconcuadrcula"/>
        <w:tblW w:w="10348" w:type="dxa"/>
        <w:tblInd w:w="-147" w:type="dxa"/>
        <w:tblLook w:val="04A0" w:firstRow="1" w:lastRow="0" w:firstColumn="1" w:lastColumn="0" w:noHBand="0" w:noVBand="1"/>
      </w:tblPr>
      <w:tblGrid>
        <w:gridCol w:w="851"/>
        <w:gridCol w:w="9497"/>
      </w:tblGrid>
      <w:tr w:rsidR="006621BE" w:rsidRPr="00610B39" w14:paraId="7307D8FD" w14:textId="77777777" w:rsidTr="004B7C6A">
        <w:tc>
          <w:tcPr>
            <w:tcW w:w="851" w:type="dxa"/>
          </w:tcPr>
          <w:p w14:paraId="207A6FD2" w14:textId="77777777" w:rsidR="006621BE" w:rsidRPr="00610B39" w:rsidRDefault="006621BE" w:rsidP="00EF5AF2">
            <w:pPr>
              <w:tabs>
                <w:tab w:val="left" w:pos="875"/>
              </w:tabs>
              <w:ind w:right="-50"/>
              <w:jc w:val="center"/>
              <w:rPr>
                <w:rFonts w:ascii="Arial" w:hAnsi="Arial" w:cs="Arial"/>
                <w:b/>
              </w:rPr>
            </w:pPr>
            <w:r w:rsidRPr="00610B39">
              <w:rPr>
                <w:rFonts w:ascii="Arial" w:hAnsi="Arial" w:cs="Arial"/>
                <w:b/>
              </w:rPr>
              <w:t>N°</w:t>
            </w:r>
          </w:p>
        </w:tc>
        <w:tc>
          <w:tcPr>
            <w:tcW w:w="9497" w:type="dxa"/>
          </w:tcPr>
          <w:p w14:paraId="142091CD" w14:textId="77777777" w:rsidR="006621BE" w:rsidRPr="00610B39" w:rsidRDefault="006621BE" w:rsidP="00EF5AF2">
            <w:pPr>
              <w:tabs>
                <w:tab w:val="left" w:pos="875"/>
              </w:tabs>
              <w:ind w:right="-50"/>
              <w:jc w:val="center"/>
              <w:rPr>
                <w:rFonts w:ascii="Arial" w:hAnsi="Arial" w:cs="Arial"/>
                <w:b/>
              </w:rPr>
            </w:pPr>
            <w:r w:rsidRPr="00610B39">
              <w:rPr>
                <w:rFonts w:ascii="Arial" w:hAnsi="Arial" w:cs="Arial"/>
                <w:b/>
              </w:rPr>
              <w:t>Descripción de la limitación</w:t>
            </w:r>
          </w:p>
          <w:p w14:paraId="40861607" w14:textId="77777777" w:rsidR="006621BE" w:rsidRPr="00610B39" w:rsidRDefault="006621BE" w:rsidP="00EF5AF2">
            <w:pPr>
              <w:tabs>
                <w:tab w:val="left" w:pos="875"/>
              </w:tabs>
              <w:ind w:right="-50"/>
              <w:jc w:val="center"/>
              <w:rPr>
                <w:rFonts w:ascii="Arial" w:hAnsi="Arial" w:cs="Arial"/>
                <w:b/>
              </w:rPr>
            </w:pPr>
          </w:p>
        </w:tc>
      </w:tr>
      <w:tr w:rsidR="006621BE" w:rsidRPr="00610B39" w14:paraId="1F3D6270" w14:textId="77777777" w:rsidTr="004B7C6A">
        <w:tc>
          <w:tcPr>
            <w:tcW w:w="851" w:type="dxa"/>
          </w:tcPr>
          <w:p w14:paraId="0F1C68EF" w14:textId="77777777" w:rsidR="006621BE" w:rsidRPr="00610B39" w:rsidRDefault="006621BE" w:rsidP="00EF5AF2">
            <w:pPr>
              <w:tabs>
                <w:tab w:val="left" w:pos="875"/>
              </w:tabs>
              <w:ind w:right="-50"/>
              <w:jc w:val="center"/>
              <w:rPr>
                <w:rFonts w:ascii="Arial" w:hAnsi="Arial" w:cs="Arial"/>
                <w:b/>
              </w:rPr>
            </w:pPr>
            <w:r w:rsidRPr="00610B39">
              <w:rPr>
                <w:rFonts w:ascii="Arial" w:hAnsi="Arial" w:cs="Arial"/>
                <w:b/>
              </w:rPr>
              <w:t>1</w:t>
            </w:r>
          </w:p>
        </w:tc>
        <w:tc>
          <w:tcPr>
            <w:tcW w:w="9497" w:type="dxa"/>
          </w:tcPr>
          <w:p w14:paraId="4FF25896" w14:textId="77777777" w:rsidR="006621BE" w:rsidRPr="00610B39" w:rsidRDefault="006621BE" w:rsidP="00EF5AF2">
            <w:pPr>
              <w:tabs>
                <w:tab w:val="left" w:pos="875"/>
              </w:tabs>
              <w:ind w:right="-50"/>
              <w:jc w:val="both"/>
              <w:rPr>
                <w:rFonts w:ascii="Arial" w:hAnsi="Arial" w:cs="Arial"/>
              </w:rPr>
            </w:pPr>
            <w:r w:rsidRPr="00610B39">
              <w:rPr>
                <w:rFonts w:ascii="Arial" w:hAnsi="Arial" w:cs="Arial"/>
              </w:rPr>
              <w:t>Los inconvenientes presentados por la plataforma SIIF II Nación, fueron básicamente de conexión, teniendo en cuenta que el sistema en ocasiones funcionaba un poco lento, pero esto no afecto el manejo, ni procesamiento de la información Contable, ni presupuestal de la institución a diciembre 31 de 2024.</w:t>
            </w:r>
          </w:p>
        </w:tc>
      </w:tr>
    </w:tbl>
    <w:p w14:paraId="10F62467" w14:textId="77777777" w:rsidR="006621BE" w:rsidRDefault="006621BE" w:rsidP="006621BE">
      <w:pPr>
        <w:ind w:right="-93"/>
        <w:jc w:val="both"/>
        <w:rPr>
          <w:rFonts w:ascii="Arial" w:hAnsi="Arial" w:cs="Arial"/>
          <w:b/>
          <w:sz w:val="28"/>
          <w:szCs w:val="28"/>
        </w:rPr>
      </w:pPr>
    </w:p>
    <w:p w14:paraId="4DDF425B" w14:textId="77777777" w:rsidR="006621BE" w:rsidRPr="000024C6" w:rsidRDefault="006621BE" w:rsidP="004B7C6A">
      <w:pPr>
        <w:ind w:left="-284" w:right="-234"/>
        <w:jc w:val="both"/>
        <w:rPr>
          <w:rFonts w:ascii="Arial" w:hAnsi="Arial" w:cs="Arial"/>
          <w:b/>
          <w:sz w:val="28"/>
          <w:szCs w:val="28"/>
          <w:lang w:val="es-MX"/>
        </w:rPr>
      </w:pPr>
      <w:r w:rsidRPr="000024C6">
        <w:rPr>
          <w:rFonts w:ascii="Arial" w:hAnsi="Arial" w:cs="Arial"/>
          <w:b/>
          <w:sz w:val="28"/>
          <w:szCs w:val="28"/>
          <w:lang w:val="es-MX"/>
        </w:rPr>
        <w:t xml:space="preserve">314.- </w:t>
      </w:r>
      <w:r w:rsidRPr="000024C6">
        <w:rPr>
          <w:rFonts w:ascii="Arial" w:hAnsi="Arial" w:cs="Arial"/>
          <w:b/>
          <w:sz w:val="28"/>
          <w:szCs w:val="28"/>
          <w:lang w:val="es-CO"/>
        </w:rPr>
        <w:t>UNIDAD ADMINISTRATIVA ESPECIAL DE GESTIÓN DE RESTITUCIÓN DE TIERRAS DESPOJADAS.</w:t>
      </w:r>
    </w:p>
    <w:p w14:paraId="09018D14" w14:textId="77777777" w:rsidR="006621BE" w:rsidRDefault="006621BE" w:rsidP="006621BE">
      <w:pPr>
        <w:pStyle w:val="Prrafodelista"/>
        <w:spacing w:before="92"/>
        <w:ind w:left="-142"/>
        <w:rPr>
          <w:b/>
          <w:sz w:val="24"/>
        </w:rPr>
      </w:pPr>
    </w:p>
    <w:p w14:paraId="1B8E00F3" w14:textId="77777777" w:rsidR="006621BE" w:rsidRPr="000024C6" w:rsidRDefault="006621BE" w:rsidP="004B7C6A">
      <w:pPr>
        <w:pStyle w:val="Textoindependiente"/>
        <w:ind w:left="-284" w:right="-234"/>
        <w:jc w:val="both"/>
        <w:rPr>
          <w:rFonts w:ascii="Arial" w:hAnsi="Arial" w:cs="Arial"/>
          <w:b/>
          <w:sz w:val="24"/>
          <w:szCs w:val="24"/>
        </w:rPr>
      </w:pPr>
      <w:r>
        <w:rPr>
          <w:b/>
        </w:rPr>
        <w:t>-</w:t>
      </w:r>
      <w:r w:rsidRPr="000024C6">
        <w:rPr>
          <w:rFonts w:ascii="Arial" w:hAnsi="Arial" w:cs="Arial"/>
          <w:b/>
          <w:sz w:val="24"/>
          <w:szCs w:val="24"/>
        </w:rPr>
        <w:t>1.2 Declaración de cumplimiento del marco normativo y limitaciones</w:t>
      </w:r>
    </w:p>
    <w:p w14:paraId="31C72519" w14:textId="77777777" w:rsidR="006621BE" w:rsidRPr="000024C6" w:rsidRDefault="006621BE" w:rsidP="004B7C6A">
      <w:pPr>
        <w:pStyle w:val="Textoindependiente"/>
        <w:ind w:left="-284" w:right="-234"/>
        <w:jc w:val="both"/>
        <w:rPr>
          <w:rFonts w:ascii="Arial" w:hAnsi="Arial" w:cs="Arial"/>
          <w:b/>
          <w:sz w:val="24"/>
          <w:szCs w:val="24"/>
        </w:rPr>
      </w:pPr>
    </w:p>
    <w:p w14:paraId="3FE6FA1D" w14:textId="77777777" w:rsidR="006621BE" w:rsidRPr="000024C6" w:rsidRDefault="006621BE" w:rsidP="004B7C6A">
      <w:pPr>
        <w:pStyle w:val="Textoindependiente"/>
        <w:ind w:left="-284" w:right="-234"/>
        <w:jc w:val="both"/>
        <w:rPr>
          <w:rFonts w:ascii="Arial" w:hAnsi="Arial" w:cs="Arial"/>
          <w:b/>
          <w:sz w:val="24"/>
          <w:szCs w:val="24"/>
        </w:rPr>
      </w:pPr>
      <w:r w:rsidRPr="000024C6">
        <w:rPr>
          <w:rFonts w:ascii="Arial" w:hAnsi="Arial" w:cs="Arial"/>
          <w:b/>
          <w:sz w:val="24"/>
          <w:szCs w:val="24"/>
        </w:rPr>
        <w:t xml:space="preserve">1.2.3 Limitaciones y deficiencias que tienen efectos en el Sistema Contable. </w:t>
      </w:r>
    </w:p>
    <w:p w14:paraId="1B15EFB2" w14:textId="77777777" w:rsidR="006621BE" w:rsidRPr="000024C6" w:rsidRDefault="006621BE" w:rsidP="004B7C6A">
      <w:pPr>
        <w:pStyle w:val="Textoindependiente"/>
        <w:ind w:left="-284" w:right="-234"/>
        <w:jc w:val="both"/>
        <w:rPr>
          <w:rFonts w:ascii="Arial" w:hAnsi="Arial" w:cs="Arial"/>
          <w:bCs/>
          <w:sz w:val="24"/>
          <w:szCs w:val="24"/>
        </w:rPr>
      </w:pPr>
    </w:p>
    <w:p w14:paraId="33994C3E" w14:textId="77777777" w:rsidR="006621BE" w:rsidRPr="000024C6" w:rsidRDefault="006621BE" w:rsidP="004B7C6A">
      <w:pPr>
        <w:pStyle w:val="Textoindependiente"/>
        <w:ind w:left="-284" w:right="-234"/>
        <w:jc w:val="both"/>
        <w:rPr>
          <w:rFonts w:ascii="Arial" w:hAnsi="Arial" w:cs="Arial"/>
          <w:bCs/>
          <w:sz w:val="24"/>
          <w:szCs w:val="24"/>
        </w:rPr>
      </w:pPr>
      <w:r w:rsidRPr="000024C6">
        <w:rPr>
          <w:rFonts w:ascii="Arial" w:hAnsi="Arial" w:cs="Arial"/>
          <w:bCs/>
          <w:sz w:val="24"/>
          <w:szCs w:val="24"/>
        </w:rPr>
        <w:t>SIIF Nación presenta las siguientes limitaciones que pueden afectar la oportunidad en la gestión contable:</w:t>
      </w:r>
    </w:p>
    <w:p w14:paraId="1B0EB26E" w14:textId="77777777" w:rsidR="006621BE" w:rsidRPr="000024C6" w:rsidRDefault="006621BE" w:rsidP="004B7C6A">
      <w:pPr>
        <w:pStyle w:val="Textoindependiente"/>
        <w:ind w:left="-142" w:right="-234"/>
        <w:jc w:val="both"/>
        <w:rPr>
          <w:rFonts w:ascii="Arial" w:hAnsi="Arial" w:cs="Arial"/>
          <w:bCs/>
          <w:sz w:val="24"/>
          <w:szCs w:val="24"/>
        </w:rPr>
      </w:pPr>
    </w:p>
    <w:p w14:paraId="1DDFD984" w14:textId="77777777" w:rsidR="006621BE" w:rsidRPr="000024C6" w:rsidRDefault="006621BE" w:rsidP="004B7C6A">
      <w:pPr>
        <w:pStyle w:val="Textoindependiente"/>
        <w:ind w:left="-142" w:right="-234"/>
        <w:jc w:val="both"/>
        <w:rPr>
          <w:rFonts w:ascii="Arial" w:hAnsi="Arial" w:cs="Arial"/>
          <w:bCs/>
          <w:sz w:val="24"/>
          <w:szCs w:val="24"/>
        </w:rPr>
      </w:pPr>
      <w:r w:rsidRPr="000024C6">
        <w:rPr>
          <w:rFonts w:ascii="Arial" w:hAnsi="Arial" w:cs="Arial"/>
          <w:bCs/>
          <w:sz w:val="24"/>
          <w:szCs w:val="24"/>
        </w:rPr>
        <w:t xml:space="preserve"> - </w:t>
      </w:r>
      <w:r w:rsidRPr="000024C6">
        <w:rPr>
          <w:rFonts w:ascii="Arial" w:hAnsi="Arial" w:cs="Arial"/>
          <w:b/>
          <w:sz w:val="24"/>
          <w:szCs w:val="24"/>
        </w:rPr>
        <w:t>Generación de reportes</w:t>
      </w:r>
      <w:r w:rsidRPr="000024C6">
        <w:rPr>
          <w:rFonts w:ascii="Arial" w:hAnsi="Arial" w:cs="Arial"/>
          <w:bCs/>
          <w:sz w:val="24"/>
          <w:szCs w:val="24"/>
        </w:rPr>
        <w:t>: Al estar predefinidos los reportes existe una dificultad en la interpretación y análisis de la información contable.</w:t>
      </w:r>
    </w:p>
    <w:p w14:paraId="2FA84F3B" w14:textId="77777777" w:rsidR="006621BE" w:rsidRPr="000024C6" w:rsidRDefault="006621BE" w:rsidP="004B7C6A">
      <w:pPr>
        <w:pStyle w:val="Textoindependiente"/>
        <w:ind w:left="-142" w:right="-234"/>
        <w:jc w:val="both"/>
        <w:rPr>
          <w:rFonts w:ascii="Arial" w:hAnsi="Arial" w:cs="Arial"/>
          <w:bCs/>
          <w:sz w:val="24"/>
          <w:szCs w:val="24"/>
        </w:rPr>
      </w:pPr>
    </w:p>
    <w:p w14:paraId="66F45FB3" w14:textId="77777777" w:rsidR="006621BE" w:rsidRPr="000024C6" w:rsidRDefault="006621BE" w:rsidP="004B7C6A">
      <w:pPr>
        <w:pStyle w:val="Textoindependiente"/>
        <w:ind w:left="-142" w:right="-234"/>
        <w:jc w:val="both"/>
        <w:rPr>
          <w:rFonts w:ascii="Arial" w:hAnsi="Arial" w:cs="Arial"/>
          <w:bCs/>
          <w:sz w:val="24"/>
          <w:szCs w:val="24"/>
        </w:rPr>
      </w:pPr>
      <w:r w:rsidRPr="000024C6">
        <w:rPr>
          <w:rFonts w:ascii="Arial" w:hAnsi="Arial" w:cs="Arial"/>
          <w:bCs/>
          <w:sz w:val="24"/>
          <w:szCs w:val="24"/>
        </w:rPr>
        <w:t xml:space="preserve"> - </w:t>
      </w:r>
      <w:r w:rsidRPr="000024C6">
        <w:rPr>
          <w:rFonts w:ascii="Arial" w:hAnsi="Arial" w:cs="Arial"/>
          <w:b/>
          <w:sz w:val="24"/>
          <w:szCs w:val="24"/>
        </w:rPr>
        <w:t>Visualización de las facturas electrónicas</w:t>
      </w:r>
      <w:r w:rsidRPr="000024C6">
        <w:rPr>
          <w:rFonts w:ascii="Arial" w:hAnsi="Arial" w:cs="Arial"/>
          <w:bCs/>
          <w:sz w:val="24"/>
          <w:szCs w:val="24"/>
        </w:rPr>
        <w:t>: En la vigencia 2021, SIIF Nación implementó en su flujo de información la facturación electrónica según lineamientos de la Dirección de Impuesto y Aduana Nacionales - DIAN, las cuales son cargadas y aprobadas en internamente por el supervisor asignado.</w:t>
      </w:r>
    </w:p>
    <w:p w14:paraId="48084AFE" w14:textId="77777777" w:rsidR="006621BE" w:rsidRPr="000024C6" w:rsidRDefault="006621BE" w:rsidP="004B7C6A">
      <w:pPr>
        <w:pStyle w:val="Textoindependiente"/>
        <w:ind w:left="-142" w:right="-234"/>
        <w:jc w:val="both"/>
        <w:rPr>
          <w:rFonts w:ascii="Arial" w:hAnsi="Arial" w:cs="Arial"/>
          <w:bCs/>
          <w:sz w:val="24"/>
          <w:szCs w:val="24"/>
        </w:rPr>
      </w:pPr>
    </w:p>
    <w:p w14:paraId="0131BA82" w14:textId="77777777" w:rsidR="006621BE" w:rsidRPr="000024C6" w:rsidRDefault="006621BE" w:rsidP="004B7C6A">
      <w:pPr>
        <w:pStyle w:val="Textoindependiente"/>
        <w:ind w:left="-142" w:right="-234"/>
        <w:jc w:val="both"/>
        <w:rPr>
          <w:rFonts w:ascii="Arial" w:hAnsi="Arial" w:cs="Arial"/>
          <w:bCs/>
          <w:sz w:val="24"/>
          <w:szCs w:val="24"/>
        </w:rPr>
      </w:pPr>
      <w:r w:rsidRPr="000024C6">
        <w:rPr>
          <w:rFonts w:ascii="Arial" w:hAnsi="Arial" w:cs="Arial"/>
          <w:b/>
          <w:sz w:val="24"/>
          <w:szCs w:val="24"/>
        </w:rPr>
        <w:t>- Tipificación de los asientos contables</w:t>
      </w:r>
      <w:r w:rsidRPr="000024C6">
        <w:rPr>
          <w:rFonts w:ascii="Arial" w:hAnsi="Arial" w:cs="Arial"/>
          <w:bCs/>
          <w:sz w:val="24"/>
          <w:szCs w:val="24"/>
        </w:rPr>
        <w:t>: Registrados manualmente en el módulo contable. (nuevos códigos contables)</w:t>
      </w:r>
    </w:p>
    <w:p w14:paraId="6BCCC499" w14:textId="77777777" w:rsidR="006621BE" w:rsidRPr="000024C6" w:rsidRDefault="006621BE" w:rsidP="004B7C6A">
      <w:pPr>
        <w:pStyle w:val="Textoindependiente"/>
        <w:ind w:left="-142" w:right="-234"/>
        <w:jc w:val="both"/>
        <w:rPr>
          <w:rFonts w:ascii="Arial" w:hAnsi="Arial" w:cs="Arial"/>
          <w:bCs/>
          <w:sz w:val="24"/>
          <w:szCs w:val="24"/>
        </w:rPr>
      </w:pPr>
    </w:p>
    <w:p w14:paraId="299F0457" w14:textId="77777777" w:rsidR="006621BE" w:rsidRPr="000024C6" w:rsidRDefault="006621BE" w:rsidP="004B7C6A">
      <w:pPr>
        <w:pStyle w:val="Textoindependiente"/>
        <w:ind w:left="-142" w:right="-234"/>
        <w:jc w:val="both"/>
        <w:rPr>
          <w:rFonts w:ascii="Arial" w:hAnsi="Arial" w:cs="Arial"/>
          <w:bCs/>
          <w:sz w:val="24"/>
          <w:szCs w:val="24"/>
        </w:rPr>
      </w:pPr>
      <w:r w:rsidRPr="000024C6">
        <w:rPr>
          <w:rFonts w:ascii="Arial" w:hAnsi="Arial" w:cs="Arial"/>
          <w:bCs/>
          <w:sz w:val="24"/>
          <w:szCs w:val="24"/>
        </w:rPr>
        <w:t xml:space="preserve">- </w:t>
      </w:r>
      <w:r w:rsidRPr="000024C6">
        <w:rPr>
          <w:rFonts w:ascii="Arial" w:hAnsi="Arial" w:cs="Arial"/>
          <w:b/>
          <w:sz w:val="24"/>
          <w:szCs w:val="24"/>
        </w:rPr>
        <w:t>Nuevas funcionalidades de SIIF Nación</w:t>
      </w:r>
      <w:r w:rsidRPr="000024C6">
        <w:rPr>
          <w:rFonts w:ascii="Arial" w:hAnsi="Arial" w:cs="Arial"/>
          <w:bCs/>
          <w:sz w:val="24"/>
          <w:szCs w:val="24"/>
        </w:rPr>
        <w:t>: Para elaborar y transmitir documentos soporte en adquisiciones efectuadas con sujetos no obligados a expedir factura de venta o documento equivalente según lo indicado en la Circular Externa No 22 del 16 julio del 2024, expedida por el Ministerio de Hacienda y Crédito Público, las cuales ha presentado dificultades, incidentes que afectan el flujo de información documental y financiero.</w:t>
      </w:r>
    </w:p>
    <w:p w14:paraId="54764C0E" w14:textId="77777777" w:rsidR="006621BE" w:rsidRPr="000024C6" w:rsidRDefault="006621BE" w:rsidP="004B7C6A">
      <w:pPr>
        <w:pStyle w:val="Textoindependiente"/>
        <w:ind w:left="-142" w:right="-234"/>
        <w:jc w:val="both"/>
        <w:rPr>
          <w:rFonts w:ascii="Arial" w:hAnsi="Arial" w:cs="Arial"/>
          <w:bCs/>
          <w:sz w:val="24"/>
          <w:szCs w:val="24"/>
        </w:rPr>
      </w:pPr>
    </w:p>
    <w:p w14:paraId="595095BE" w14:textId="77777777" w:rsidR="006621BE" w:rsidRPr="000024C6" w:rsidRDefault="006621BE" w:rsidP="004B7C6A">
      <w:pPr>
        <w:pStyle w:val="Textoindependiente"/>
        <w:ind w:left="-284" w:right="-234"/>
        <w:jc w:val="both"/>
        <w:rPr>
          <w:rFonts w:ascii="Arial" w:hAnsi="Arial" w:cs="Arial"/>
          <w:b/>
          <w:sz w:val="24"/>
          <w:szCs w:val="24"/>
        </w:rPr>
      </w:pPr>
      <w:r w:rsidRPr="000024C6">
        <w:rPr>
          <w:rFonts w:ascii="Arial" w:hAnsi="Arial" w:cs="Arial"/>
          <w:b/>
          <w:sz w:val="24"/>
          <w:szCs w:val="24"/>
        </w:rPr>
        <w:t>1.2.4 Limitaciones Presupuestales:</w:t>
      </w:r>
    </w:p>
    <w:p w14:paraId="038D8001" w14:textId="77777777" w:rsidR="006621BE" w:rsidRPr="000024C6" w:rsidRDefault="006621BE" w:rsidP="004B7C6A">
      <w:pPr>
        <w:pStyle w:val="Textoindependiente"/>
        <w:ind w:left="-142" w:right="-234"/>
        <w:jc w:val="both"/>
        <w:rPr>
          <w:rFonts w:ascii="Arial" w:hAnsi="Arial" w:cs="Arial"/>
          <w:bCs/>
          <w:sz w:val="24"/>
          <w:szCs w:val="24"/>
        </w:rPr>
      </w:pPr>
    </w:p>
    <w:p w14:paraId="66746201" w14:textId="77777777" w:rsidR="006621BE" w:rsidRPr="000024C6" w:rsidRDefault="006621BE" w:rsidP="004B7C6A">
      <w:pPr>
        <w:pStyle w:val="Textoindependiente"/>
        <w:ind w:left="-284" w:right="-234"/>
        <w:jc w:val="both"/>
        <w:rPr>
          <w:rFonts w:ascii="Arial" w:hAnsi="Arial" w:cs="Arial"/>
          <w:bCs/>
          <w:sz w:val="24"/>
          <w:szCs w:val="24"/>
        </w:rPr>
      </w:pPr>
      <w:r w:rsidRPr="000024C6">
        <w:rPr>
          <w:rFonts w:ascii="Arial" w:hAnsi="Arial" w:cs="Arial"/>
          <w:bCs/>
          <w:sz w:val="24"/>
          <w:szCs w:val="24"/>
        </w:rPr>
        <w:t xml:space="preserve">Los bienes y/o servicios recibidos a satisfacción que no sean obligados y registrados en el aplicativo </w:t>
      </w:r>
      <w:r w:rsidRPr="000024C6">
        <w:rPr>
          <w:rFonts w:ascii="Arial" w:hAnsi="Arial" w:cs="Arial"/>
          <w:bCs/>
          <w:sz w:val="24"/>
          <w:szCs w:val="24"/>
        </w:rPr>
        <w:lastRenderedPageBreak/>
        <w:t xml:space="preserve">SIIF Nación, por insuficiencia de PAC, se deberán registrar de forma manual contablemente para cumplir con el principio de causación o devengo. </w:t>
      </w:r>
    </w:p>
    <w:p w14:paraId="19E0B0AF" w14:textId="77777777" w:rsidR="006621BE" w:rsidRPr="000024C6" w:rsidRDefault="006621BE" w:rsidP="004B7C6A">
      <w:pPr>
        <w:pStyle w:val="Textoindependiente"/>
        <w:ind w:left="-284" w:right="-234"/>
        <w:jc w:val="both"/>
        <w:rPr>
          <w:rFonts w:ascii="Arial" w:hAnsi="Arial" w:cs="Arial"/>
          <w:bCs/>
          <w:sz w:val="24"/>
          <w:szCs w:val="24"/>
        </w:rPr>
      </w:pPr>
    </w:p>
    <w:p w14:paraId="5BE6E7C3" w14:textId="77777777" w:rsidR="006621BE" w:rsidRPr="000024C6" w:rsidRDefault="006621BE" w:rsidP="004B7C6A">
      <w:pPr>
        <w:pStyle w:val="Textoindependiente"/>
        <w:ind w:left="-284" w:right="-234"/>
        <w:jc w:val="both"/>
        <w:rPr>
          <w:rFonts w:ascii="Arial" w:hAnsi="Arial" w:cs="Arial"/>
          <w:bCs/>
          <w:sz w:val="24"/>
          <w:szCs w:val="24"/>
        </w:rPr>
      </w:pPr>
      <w:r w:rsidRPr="000024C6">
        <w:rPr>
          <w:rFonts w:ascii="Arial" w:hAnsi="Arial" w:cs="Arial"/>
          <w:bCs/>
          <w:sz w:val="24"/>
          <w:szCs w:val="24"/>
        </w:rPr>
        <w:t>Desde el año 2017, debido a la nueva normatividad presupuestal, existen limitaciones que pueden llegar a afectar el proceso contable, puesto que no es posible realizar obligaciones si no se cuenta con la asignación de los recursos por medio del Programa Anual Mensualizado de Caja - PAC de la vigencia.</w:t>
      </w:r>
    </w:p>
    <w:p w14:paraId="44561AE7" w14:textId="77777777" w:rsidR="006621BE" w:rsidRPr="000024C6" w:rsidRDefault="006621BE" w:rsidP="004B7C6A">
      <w:pPr>
        <w:pStyle w:val="Textoindependiente"/>
        <w:ind w:left="-284" w:right="-234"/>
        <w:jc w:val="both"/>
        <w:rPr>
          <w:rFonts w:ascii="Arial" w:hAnsi="Arial" w:cs="Arial"/>
          <w:bCs/>
          <w:sz w:val="24"/>
          <w:szCs w:val="24"/>
        </w:rPr>
      </w:pPr>
    </w:p>
    <w:p w14:paraId="3652DB72" w14:textId="77777777" w:rsidR="006621BE" w:rsidRPr="000024C6" w:rsidRDefault="006621BE" w:rsidP="004B7C6A">
      <w:pPr>
        <w:pStyle w:val="Textoindependiente"/>
        <w:ind w:left="-284" w:right="-234"/>
        <w:jc w:val="both"/>
        <w:rPr>
          <w:rFonts w:ascii="Arial" w:hAnsi="Arial" w:cs="Arial"/>
          <w:bCs/>
          <w:sz w:val="24"/>
          <w:szCs w:val="24"/>
        </w:rPr>
      </w:pPr>
      <w:r w:rsidRPr="000024C6">
        <w:rPr>
          <w:rFonts w:ascii="Arial" w:hAnsi="Arial" w:cs="Arial"/>
          <w:bCs/>
          <w:sz w:val="24"/>
          <w:szCs w:val="24"/>
        </w:rPr>
        <w:t>Lo anterior genera que, para los cierres de vigencia, aquellos bienes y/o servicios recibidos a satisfacción que no alcanzaron a ser registrados en el SIIF Nación, por insuficiencia de PAC, se deban registrar de forma manual para cumplir con el principio de causación o devengo</w:t>
      </w:r>
    </w:p>
    <w:p w14:paraId="5511CCC2" w14:textId="77777777" w:rsidR="008E2438" w:rsidRDefault="008E2438" w:rsidP="004B7C6A">
      <w:pPr>
        <w:ind w:left="-284" w:right="-234"/>
        <w:jc w:val="both"/>
        <w:rPr>
          <w:rFonts w:ascii="Arial" w:hAnsi="Arial" w:cs="Arial"/>
          <w:b/>
          <w:sz w:val="28"/>
          <w:szCs w:val="28"/>
          <w:lang w:val="es-MX"/>
        </w:rPr>
      </w:pPr>
    </w:p>
    <w:p w14:paraId="23B981DA" w14:textId="116B1BAF" w:rsidR="006621BE" w:rsidRPr="0088094B" w:rsidRDefault="006621BE" w:rsidP="004B7C6A">
      <w:pPr>
        <w:ind w:left="-284" w:right="-234"/>
        <w:jc w:val="both"/>
        <w:rPr>
          <w:rFonts w:ascii="Arial" w:hAnsi="Arial" w:cs="Arial"/>
          <w:b/>
          <w:sz w:val="28"/>
          <w:szCs w:val="28"/>
          <w:lang w:val="es-MX"/>
        </w:rPr>
      </w:pPr>
      <w:r w:rsidRPr="0088094B">
        <w:rPr>
          <w:rFonts w:ascii="Arial" w:hAnsi="Arial" w:cs="Arial"/>
          <w:b/>
          <w:sz w:val="28"/>
          <w:szCs w:val="28"/>
          <w:lang w:val="es-MX"/>
        </w:rPr>
        <w:t>322.- DIRECCIÓN GENERAL DE CRÉDITO PÚBLICO Y TESORO NACIONAL - DGCPTN.</w:t>
      </w:r>
    </w:p>
    <w:p w14:paraId="1EB74F14" w14:textId="77777777" w:rsidR="006621BE" w:rsidRPr="000D1BC9" w:rsidRDefault="006621BE" w:rsidP="004B7C6A">
      <w:pPr>
        <w:pStyle w:val="Textoindependiente"/>
        <w:ind w:left="-284" w:right="-234"/>
        <w:jc w:val="both"/>
        <w:rPr>
          <w:rFonts w:ascii="Arial" w:hAnsi="Arial" w:cs="Arial"/>
          <w:bCs/>
          <w:sz w:val="24"/>
          <w:szCs w:val="24"/>
          <w:lang w:val="es-MX"/>
        </w:rPr>
      </w:pPr>
    </w:p>
    <w:p w14:paraId="796185A8" w14:textId="77777777" w:rsidR="006621BE" w:rsidRPr="000D1BC9" w:rsidRDefault="006621BE" w:rsidP="004B7C6A">
      <w:pPr>
        <w:pStyle w:val="Textoindependiente"/>
        <w:ind w:left="-284" w:right="-234"/>
        <w:jc w:val="both"/>
        <w:rPr>
          <w:rFonts w:ascii="Arial" w:hAnsi="Arial" w:cs="Arial"/>
          <w:b/>
          <w:bCs/>
          <w:sz w:val="24"/>
          <w:szCs w:val="24"/>
        </w:rPr>
      </w:pPr>
      <w:r w:rsidRPr="000D1BC9">
        <w:rPr>
          <w:rFonts w:ascii="Arial" w:hAnsi="Arial" w:cs="Arial"/>
          <w:b/>
          <w:bCs/>
          <w:sz w:val="24"/>
          <w:szCs w:val="24"/>
        </w:rPr>
        <w:t>-1.2</w:t>
      </w:r>
      <w:r w:rsidRPr="000D1BC9">
        <w:rPr>
          <w:rFonts w:ascii="Arial" w:hAnsi="Arial" w:cs="Arial"/>
          <w:b/>
          <w:bCs/>
          <w:sz w:val="24"/>
          <w:szCs w:val="24"/>
        </w:rPr>
        <w:tab/>
        <w:t>Declaración de cumplimiento del marco normativo y limitaciones.</w:t>
      </w:r>
    </w:p>
    <w:p w14:paraId="2D51849B" w14:textId="77777777" w:rsidR="006621BE" w:rsidRPr="000D1BC9" w:rsidRDefault="006621BE" w:rsidP="004B7C6A">
      <w:pPr>
        <w:pStyle w:val="Textoindependiente"/>
        <w:ind w:left="-284" w:right="-234"/>
        <w:jc w:val="both"/>
        <w:rPr>
          <w:rFonts w:ascii="Arial" w:hAnsi="Arial" w:cs="Arial"/>
          <w:b/>
          <w:bCs/>
          <w:sz w:val="24"/>
          <w:szCs w:val="24"/>
        </w:rPr>
      </w:pPr>
    </w:p>
    <w:p w14:paraId="2B58EA7A" w14:textId="77777777" w:rsidR="006621BE" w:rsidRPr="000D1BC9" w:rsidRDefault="006621BE" w:rsidP="004B7C6A">
      <w:pPr>
        <w:pStyle w:val="Textoindependiente"/>
        <w:ind w:left="-284" w:right="-234"/>
        <w:jc w:val="both"/>
        <w:rPr>
          <w:rFonts w:ascii="Arial" w:hAnsi="Arial" w:cs="Arial"/>
          <w:b/>
          <w:bCs/>
          <w:sz w:val="24"/>
          <w:szCs w:val="24"/>
        </w:rPr>
      </w:pPr>
      <w:r w:rsidRPr="000D1BC9">
        <w:rPr>
          <w:rFonts w:ascii="Arial" w:hAnsi="Arial" w:cs="Arial"/>
          <w:b/>
          <w:bCs/>
          <w:sz w:val="24"/>
          <w:szCs w:val="24"/>
        </w:rPr>
        <w:t>1.2.2</w:t>
      </w:r>
      <w:r w:rsidRPr="000D1BC9">
        <w:rPr>
          <w:rFonts w:ascii="Arial" w:hAnsi="Arial" w:cs="Arial"/>
          <w:b/>
          <w:bCs/>
          <w:sz w:val="24"/>
          <w:szCs w:val="24"/>
        </w:rPr>
        <w:tab/>
        <w:t>Limitaciones.</w:t>
      </w:r>
    </w:p>
    <w:p w14:paraId="0D281EB1" w14:textId="77777777" w:rsidR="006621BE" w:rsidRPr="000D1BC9" w:rsidRDefault="006621BE" w:rsidP="004B7C6A">
      <w:pPr>
        <w:pStyle w:val="Textoindependiente"/>
        <w:ind w:left="-284" w:right="-234"/>
        <w:jc w:val="both"/>
        <w:rPr>
          <w:rFonts w:ascii="Arial" w:hAnsi="Arial" w:cs="Arial"/>
          <w:bCs/>
          <w:sz w:val="24"/>
          <w:szCs w:val="24"/>
        </w:rPr>
      </w:pPr>
    </w:p>
    <w:p w14:paraId="572E3402" w14:textId="77777777" w:rsidR="006621BE" w:rsidRPr="000D1BC9" w:rsidRDefault="006621BE" w:rsidP="004B7C6A">
      <w:pPr>
        <w:pStyle w:val="Textoindependiente"/>
        <w:ind w:left="-284" w:right="-234"/>
        <w:jc w:val="both"/>
        <w:rPr>
          <w:rFonts w:ascii="Arial" w:hAnsi="Arial" w:cs="Arial"/>
          <w:bCs/>
          <w:sz w:val="24"/>
          <w:szCs w:val="24"/>
        </w:rPr>
      </w:pPr>
      <w:r w:rsidRPr="000D1BC9">
        <w:rPr>
          <w:rFonts w:ascii="Arial" w:hAnsi="Arial" w:cs="Arial"/>
          <w:bCs/>
          <w:sz w:val="24"/>
          <w:szCs w:val="24"/>
        </w:rPr>
        <w:t>El Decreto 1068 de mayo 26 de 2015 Reglamentario del Sector Hacienda y Crédito Público, en la parte 9 del Libro 2 determinó el marco para la administración, implantación, operatividad, uso y aplicabilidad del Sistema Integrado de Información Financiera - SIIF Nación.</w:t>
      </w:r>
    </w:p>
    <w:p w14:paraId="228E040D" w14:textId="77777777" w:rsidR="006621BE" w:rsidRPr="000D1BC9" w:rsidRDefault="006621BE" w:rsidP="004B7C6A">
      <w:pPr>
        <w:pStyle w:val="Textoindependiente"/>
        <w:ind w:left="-284" w:right="-234"/>
        <w:jc w:val="both"/>
        <w:rPr>
          <w:rFonts w:ascii="Arial" w:hAnsi="Arial" w:cs="Arial"/>
          <w:bCs/>
          <w:sz w:val="24"/>
          <w:szCs w:val="24"/>
        </w:rPr>
      </w:pPr>
    </w:p>
    <w:p w14:paraId="3D3E1999" w14:textId="77777777" w:rsidR="006621BE" w:rsidRPr="000D1BC9" w:rsidRDefault="006621BE" w:rsidP="004B7C6A">
      <w:pPr>
        <w:pStyle w:val="Textoindependiente"/>
        <w:ind w:left="-284" w:right="-234"/>
        <w:jc w:val="both"/>
        <w:rPr>
          <w:rFonts w:ascii="Arial" w:hAnsi="Arial" w:cs="Arial"/>
          <w:bCs/>
          <w:sz w:val="24"/>
          <w:szCs w:val="24"/>
        </w:rPr>
      </w:pPr>
      <w:r w:rsidRPr="000D1BC9">
        <w:rPr>
          <w:rFonts w:ascii="Arial" w:hAnsi="Arial" w:cs="Arial"/>
          <w:bCs/>
          <w:sz w:val="24"/>
          <w:szCs w:val="24"/>
        </w:rPr>
        <w:t>En vista de la normatividad relacionada con las operaciones de crédito Público junto con las de tesorería y manejo de recursos públicos definidas en el Libro 2 parte 2 y 3, respectivamente, del citado Decreto, reconocidos y registrados en la entidad contable Dirección General de Crédito Público y Tesoro Nacional, el uso y aplicabilidad del SIIF presenta situaciones relacionadas con:</w:t>
      </w:r>
    </w:p>
    <w:p w14:paraId="1268E93D" w14:textId="77777777" w:rsidR="006621BE" w:rsidRPr="000D1BC9" w:rsidRDefault="006621BE" w:rsidP="006621BE">
      <w:pPr>
        <w:pStyle w:val="Textoindependiente"/>
        <w:jc w:val="both"/>
        <w:rPr>
          <w:rFonts w:ascii="Arial" w:hAnsi="Arial" w:cs="Arial"/>
          <w:bCs/>
          <w:sz w:val="24"/>
          <w:szCs w:val="24"/>
        </w:rPr>
      </w:pPr>
    </w:p>
    <w:p w14:paraId="5DC876CA" w14:textId="77777777" w:rsidR="006621BE" w:rsidRPr="000D1BC9" w:rsidRDefault="006621BE" w:rsidP="00CB6055">
      <w:pPr>
        <w:pStyle w:val="Textoindependiente"/>
        <w:numPr>
          <w:ilvl w:val="0"/>
          <w:numId w:val="33"/>
        </w:numPr>
        <w:ind w:right="-234"/>
        <w:jc w:val="both"/>
        <w:rPr>
          <w:rFonts w:ascii="Arial" w:hAnsi="Arial" w:cs="Arial"/>
          <w:bCs/>
          <w:sz w:val="24"/>
          <w:szCs w:val="24"/>
        </w:rPr>
      </w:pPr>
      <w:r w:rsidRPr="000D1BC9">
        <w:rPr>
          <w:rFonts w:ascii="Arial" w:hAnsi="Arial" w:cs="Arial"/>
          <w:bCs/>
          <w:sz w:val="24"/>
          <w:szCs w:val="24"/>
        </w:rPr>
        <w:t>No cuenta con un macroproceso que permita el registro y control de operaciones de administración de recursos de liquidez, por lo que la DGCPTN dispone de una plataforma tecnológica de apoyo, denominada Sistema portafolio de servicio - PORFIN, a través de la cual se realiza la gestión relacionada con el manejo del portafolio de recursos de liquidez de excedentes de Tesorería y fondos en administración.</w:t>
      </w:r>
    </w:p>
    <w:p w14:paraId="6E8214F9" w14:textId="77777777" w:rsidR="006621BE" w:rsidRPr="000D1BC9" w:rsidRDefault="006621BE" w:rsidP="004B7C6A">
      <w:pPr>
        <w:pStyle w:val="Textoindependiente"/>
        <w:ind w:right="-234"/>
        <w:jc w:val="both"/>
        <w:rPr>
          <w:rFonts w:ascii="Arial" w:hAnsi="Arial" w:cs="Arial"/>
          <w:bCs/>
          <w:sz w:val="24"/>
          <w:szCs w:val="24"/>
        </w:rPr>
      </w:pPr>
    </w:p>
    <w:p w14:paraId="0F6B7C63" w14:textId="77777777" w:rsidR="006621BE" w:rsidRPr="000D1BC9" w:rsidRDefault="006621BE" w:rsidP="00CB6055">
      <w:pPr>
        <w:pStyle w:val="Textoindependiente"/>
        <w:numPr>
          <w:ilvl w:val="0"/>
          <w:numId w:val="33"/>
        </w:numPr>
        <w:ind w:right="-234"/>
        <w:jc w:val="both"/>
        <w:rPr>
          <w:rFonts w:ascii="Arial" w:hAnsi="Arial" w:cs="Arial"/>
          <w:bCs/>
          <w:sz w:val="24"/>
          <w:szCs w:val="24"/>
        </w:rPr>
      </w:pPr>
      <w:r w:rsidRPr="000D1BC9">
        <w:rPr>
          <w:rFonts w:ascii="Arial" w:hAnsi="Arial" w:cs="Arial"/>
          <w:bCs/>
          <w:sz w:val="24"/>
          <w:szCs w:val="24"/>
        </w:rPr>
        <w:t>No cuenta con un macroproceso que permita registrar y controlar las operaciones de Deuda Pública, razón por la cual, se hace uso de la plataforma tecnológica de apoyo Sistema de Deuda Pública – SDP; a través de la cual, la Dirección General de Crédito Público y Tesoro Nacional - DGCPTN realiza el seguimiento, validación y, por ende, registro y control de las operaciones de crédito público y las actividades conexas.</w:t>
      </w:r>
    </w:p>
    <w:p w14:paraId="298F930B" w14:textId="77777777" w:rsidR="006621BE" w:rsidRPr="000D1BC9" w:rsidRDefault="006621BE" w:rsidP="004B7C6A">
      <w:pPr>
        <w:pStyle w:val="Textoindependiente"/>
        <w:ind w:right="-234"/>
        <w:jc w:val="both"/>
        <w:rPr>
          <w:rFonts w:ascii="Arial" w:hAnsi="Arial" w:cs="Arial"/>
          <w:bCs/>
          <w:sz w:val="24"/>
          <w:szCs w:val="24"/>
        </w:rPr>
      </w:pPr>
    </w:p>
    <w:p w14:paraId="0408E5DD" w14:textId="77777777" w:rsidR="006621BE" w:rsidRPr="000D1BC9" w:rsidRDefault="006621BE" w:rsidP="00CB6055">
      <w:pPr>
        <w:pStyle w:val="Textoindependiente"/>
        <w:numPr>
          <w:ilvl w:val="0"/>
          <w:numId w:val="33"/>
        </w:numPr>
        <w:ind w:right="-234"/>
        <w:jc w:val="both"/>
        <w:rPr>
          <w:rFonts w:ascii="Arial" w:hAnsi="Arial" w:cs="Arial"/>
          <w:bCs/>
          <w:sz w:val="24"/>
          <w:szCs w:val="24"/>
        </w:rPr>
      </w:pPr>
      <w:r w:rsidRPr="000D1BC9">
        <w:rPr>
          <w:rFonts w:ascii="Arial" w:hAnsi="Arial" w:cs="Arial"/>
          <w:bCs/>
          <w:sz w:val="24"/>
          <w:szCs w:val="24"/>
        </w:rPr>
        <w:t>No garantiza el registro adecuado, conciliación y validación de las operaciones asociadas con la administración de liquidez, así como, de las operaciones de crédito público de forma directa, razón por la cual, estos sistemas de apoyo ofrecen esta alternativa de solución.</w:t>
      </w:r>
    </w:p>
    <w:p w14:paraId="64671318" w14:textId="77777777" w:rsidR="006621BE" w:rsidRPr="000D1BC9" w:rsidRDefault="006621BE" w:rsidP="004B7C6A">
      <w:pPr>
        <w:pStyle w:val="Textoindependiente"/>
        <w:ind w:right="-234"/>
        <w:jc w:val="both"/>
        <w:rPr>
          <w:rFonts w:ascii="Arial" w:hAnsi="Arial" w:cs="Arial"/>
          <w:bCs/>
          <w:sz w:val="24"/>
          <w:szCs w:val="24"/>
        </w:rPr>
      </w:pPr>
    </w:p>
    <w:p w14:paraId="61546851" w14:textId="77777777" w:rsidR="006621BE" w:rsidRPr="000D1BC9" w:rsidRDefault="006621BE" w:rsidP="004B7C6A">
      <w:pPr>
        <w:pStyle w:val="Textoindependiente"/>
        <w:ind w:left="-284" w:right="-234"/>
        <w:jc w:val="both"/>
        <w:rPr>
          <w:rFonts w:ascii="Arial" w:hAnsi="Arial" w:cs="Arial"/>
          <w:bCs/>
          <w:sz w:val="24"/>
          <w:szCs w:val="24"/>
        </w:rPr>
      </w:pPr>
      <w:r w:rsidRPr="000D1BC9">
        <w:rPr>
          <w:rFonts w:ascii="Arial" w:hAnsi="Arial" w:cs="Arial"/>
          <w:bCs/>
          <w:sz w:val="24"/>
          <w:szCs w:val="24"/>
        </w:rPr>
        <w:t xml:space="preserve">En virtud de lo establecido por la Contaduría General de la Nación, en el procedimiento contable para el registro de las operaciones interinstitucionales y lo dispuesto en el subnumeral “Conciliación de operaciones recíprocas” del instructivo de cambio de período contable, la entidad contable Dirección General de Crédito Público y Tesoro Nacional - DGCPTN, teniendo en cuenta el volumen </w:t>
      </w:r>
      <w:r w:rsidRPr="000D1BC9">
        <w:rPr>
          <w:rFonts w:ascii="Arial" w:hAnsi="Arial" w:cs="Arial"/>
          <w:bCs/>
          <w:sz w:val="24"/>
          <w:szCs w:val="24"/>
        </w:rPr>
        <w:lastRenderedPageBreak/>
        <w:t>significativo de operaciones recíprocas que realiza con las entidades ejecutoras del Presupuesto General de la Nación y demás entidades públicas, tiene implementado el ejercicio de conciliación, por consiguiente en la estructura del SIIF:</w:t>
      </w:r>
    </w:p>
    <w:p w14:paraId="7E32DB24" w14:textId="77777777" w:rsidR="006621BE" w:rsidRPr="000D1BC9" w:rsidRDefault="006621BE" w:rsidP="006621BE">
      <w:pPr>
        <w:pStyle w:val="Textoindependiente"/>
        <w:jc w:val="both"/>
        <w:rPr>
          <w:rFonts w:ascii="Arial" w:hAnsi="Arial" w:cs="Arial"/>
          <w:b/>
          <w:bCs/>
          <w:sz w:val="24"/>
          <w:szCs w:val="24"/>
        </w:rPr>
      </w:pPr>
    </w:p>
    <w:p w14:paraId="000DED9E" w14:textId="77777777" w:rsidR="006621BE" w:rsidRPr="000D1BC9" w:rsidRDefault="006621BE" w:rsidP="00CB6055">
      <w:pPr>
        <w:pStyle w:val="Textoindependiente"/>
        <w:numPr>
          <w:ilvl w:val="0"/>
          <w:numId w:val="34"/>
        </w:numPr>
        <w:ind w:right="-234"/>
        <w:jc w:val="both"/>
        <w:rPr>
          <w:rFonts w:ascii="Arial" w:hAnsi="Arial" w:cs="Arial"/>
          <w:bCs/>
          <w:sz w:val="24"/>
          <w:szCs w:val="24"/>
        </w:rPr>
      </w:pPr>
      <w:r w:rsidRPr="000D1BC9">
        <w:rPr>
          <w:rFonts w:ascii="Arial" w:hAnsi="Arial" w:cs="Arial"/>
          <w:bCs/>
          <w:sz w:val="24"/>
          <w:szCs w:val="24"/>
        </w:rPr>
        <w:t>El reporte de operaciones recíprocas se encuentra delimitado a la generación de saldos y no de movimientos, esto conlleva al uso de reportes contables alternos que, requieren de intervención por parte del usuario que los genera para envío y conciliación de las diferentes entidades públicas.</w:t>
      </w:r>
    </w:p>
    <w:p w14:paraId="31616B7D" w14:textId="77777777" w:rsidR="006621BE" w:rsidRPr="000D1BC9" w:rsidRDefault="006621BE" w:rsidP="006621BE">
      <w:pPr>
        <w:pStyle w:val="Prrafodelista"/>
        <w:spacing w:before="92"/>
        <w:ind w:left="-142"/>
        <w:rPr>
          <w:b/>
          <w:sz w:val="24"/>
          <w:szCs w:val="24"/>
        </w:rPr>
      </w:pPr>
    </w:p>
    <w:p w14:paraId="016570E2" w14:textId="77777777" w:rsidR="006621BE" w:rsidRPr="006762CB" w:rsidRDefault="006621BE" w:rsidP="004B7C6A">
      <w:pPr>
        <w:ind w:left="-284"/>
        <w:jc w:val="both"/>
        <w:rPr>
          <w:rFonts w:ascii="Arial" w:hAnsi="Arial" w:cs="Arial"/>
          <w:b/>
          <w:sz w:val="28"/>
          <w:szCs w:val="28"/>
          <w:lang w:val="es-MX"/>
        </w:rPr>
      </w:pPr>
      <w:r w:rsidRPr="006762CB">
        <w:rPr>
          <w:rFonts w:ascii="Arial" w:hAnsi="Arial" w:cs="Arial"/>
          <w:b/>
          <w:sz w:val="28"/>
          <w:szCs w:val="28"/>
          <w:lang w:val="es-MX"/>
        </w:rPr>
        <w:t xml:space="preserve">329.- SERVICIO NACIONAL DE APRENDIZAJE – SENA. </w:t>
      </w:r>
    </w:p>
    <w:p w14:paraId="2BA84061" w14:textId="77777777" w:rsidR="006621BE" w:rsidRDefault="006621BE" w:rsidP="006621BE">
      <w:pPr>
        <w:ind w:right="-93"/>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A44FDE" w14:paraId="5828E27A" w14:textId="77777777" w:rsidTr="004B7C6A">
        <w:tc>
          <w:tcPr>
            <w:tcW w:w="993" w:type="dxa"/>
          </w:tcPr>
          <w:p w14:paraId="70BA9E81" w14:textId="77777777" w:rsidR="006621BE" w:rsidRPr="00A44FDE" w:rsidRDefault="006621BE" w:rsidP="00EF5AF2">
            <w:pPr>
              <w:tabs>
                <w:tab w:val="left" w:pos="875"/>
              </w:tabs>
              <w:ind w:right="-50"/>
              <w:jc w:val="center"/>
              <w:rPr>
                <w:rFonts w:ascii="Arial" w:hAnsi="Arial" w:cs="Arial"/>
                <w:b/>
              </w:rPr>
            </w:pPr>
            <w:r w:rsidRPr="00A44FDE">
              <w:rPr>
                <w:rFonts w:ascii="Arial" w:hAnsi="Arial" w:cs="Arial"/>
                <w:b/>
              </w:rPr>
              <w:t>N°</w:t>
            </w:r>
          </w:p>
        </w:tc>
        <w:tc>
          <w:tcPr>
            <w:tcW w:w="4253" w:type="dxa"/>
          </w:tcPr>
          <w:p w14:paraId="425FBB54" w14:textId="77777777" w:rsidR="006621BE" w:rsidRPr="00A44FDE" w:rsidRDefault="006621BE" w:rsidP="00EF5AF2">
            <w:pPr>
              <w:tabs>
                <w:tab w:val="left" w:pos="875"/>
              </w:tabs>
              <w:ind w:right="-50"/>
              <w:jc w:val="center"/>
              <w:rPr>
                <w:rFonts w:ascii="Arial" w:hAnsi="Arial" w:cs="Arial"/>
                <w:b/>
              </w:rPr>
            </w:pPr>
            <w:r w:rsidRPr="00A44FDE">
              <w:rPr>
                <w:rFonts w:ascii="Arial" w:hAnsi="Arial" w:cs="Arial"/>
                <w:b/>
              </w:rPr>
              <w:t>Limitaciones del Sistema SIIF II Nación a 31/12/2024</w:t>
            </w:r>
          </w:p>
          <w:p w14:paraId="6DA25C81" w14:textId="77777777" w:rsidR="006621BE" w:rsidRPr="00A44FDE" w:rsidRDefault="006621BE" w:rsidP="00EF5AF2">
            <w:pPr>
              <w:tabs>
                <w:tab w:val="left" w:pos="875"/>
              </w:tabs>
              <w:ind w:right="-50"/>
              <w:jc w:val="center"/>
              <w:rPr>
                <w:rFonts w:ascii="Arial" w:hAnsi="Arial" w:cs="Arial"/>
                <w:b/>
              </w:rPr>
            </w:pPr>
          </w:p>
        </w:tc>
        <w:tc>
          <w:tcPr>
            <w:tcW w:w="5244" w:type="dxa"/>
          </w:tcPr>
          <w:p w14:paraId="08C3BCA6" w14:textId="77777777" w:rsidR="006621BE" w:rsidRPr="00A44FDE" w:rsidRDefault="006621BE" w:rsidP="00EF5AF2">
            <w:pPr>
              <w:tabs>
                <w:tab w:val="left" w:pos="875"/>
              </w:tabs>
              <w:ind w:right="-50"/>
              <w:jc w:val="center"/>
              <w:rPr>
                <w:rFonts w:ascii="Arial" w:hAnsi="Arial" w:cs="Arial"/>
                <w:b/>
              </w:rPr>
            </w:pPr>
            <w:r w:rsidRPr="00A44FDE">
              <w:rPr>
                <w:rFonts w:ascii="Arial" w:hAnsi="Arial" w:cs="Arial"/>
                <w:b/>
              </w:rPr>
              <w:t>Descripción de la limitación</w:t>
            </w:r>
          </w:p>
        </w:tc>
      </w:tr>
      <w:tr w:rsidR="006621BE" w:rsidRPr="00A44FDE" w14:paraId="175AC244" w14:textId="77777777" w:rsidTr="004B7C6A">
        <w:tc>
          <w:tcPr>
            <w:tcW w:w="993" w:type="dxa"/>
          </w:tcPr>
          <w:p w14:paraId="338548AC" w14:textId="77777777" w:rsidR="006621BE" w:rsidRPr="00A44FDE" w:rsidRDefault="006621BE" w:rsidP="00EF5AF2">
            <w:pPr>
              <w:tabs>
                <w:tab w:val="left" w:pos="875"/>
              </w:tabs>
              <w:ind w:right="-50"/>
              <w:jc w:val="center"/>
              <w:rPr>
                <w:rFonts w:ascii="Arial" w:hAnsi="Arial" w:cs="Arial"/>
                <w:b/>
              </w:rPr>
            </w:pPr>
            <w:r w:rsidRPr="00A44FDE">
              <w:rPr>
                <w:rFonts w:ascii="Arial" w:hAnsi="Arial" w:cs="Arial"/>
                <w:b/>
              </w:rPr>
              <w:t>1</w:t>
            </w:r>
          </w:p>
        </w:tc>
        <w:tc>
          <w:tcPr>
            <w:tcW w:w="4253" w:type="dxa"/>
          </w:tcPr>
          <w:p w14:paraId="1B41CCF9" w14:textId="77777777" w:rsidR="006621BE" w:rsidRPr="00A44FDE" w:rsidRDefault="006621BE" w:rsidP="00EF5AF2">
            <w:pPr>
              <w:tabs>
                <w:tab w:val="left" w:pos="875"/>
              </w:tabs>
              <w:ind w:right="-50"/>
              <w:jc w:val="both"/>
              <w:rPr>
                <w:rFonts w:ascii="Arial" w:hAnsi="Arial" w:cs="Arial"/>
                <w:b/>
              </w:rPr>
            </w:pPr>
            <w:r w:rsidRPr="00A44FDE">
              <w:rPr>
                <w:rFonts w:ascii="Arial" w:hAnsi="Arial" w:cs="Arial"/>
                <w:b/>
              </w:rPr>
              <w:t>Técnicas:</w:t>
            </w:r>
          </w:p>
        </w:tc>
        <w:tc>
          <w:tcPr>
            <w:tcW w:w="5244" w:type="dxa"/>
          </w:tcPr>
          <w:p w14:paraId="466121CE" w14:textId="77777777" w:rsidR="006621BE" w:rsidRPr="00A44FDE" w:rsidRDefault="006621BE" w:rsidP="00EF5AF2">
            <w:pPr>
              <w:tabs>
                <w:tab w:val="left" w:pos="875"/>
              </w:tabs>
              <w:ind w:right="-50"/>
              <w:jc w:val="both"/>
              <w:rPr>
                <w:rFonts w:ascii="Arial" w:hAnsi="Arial" w:cs="Arial"/>
              </w:rPr>
            </w:pPr>
            <w:r w:rsidRPr="00A44FDE">
              <w:rPr>
                <w:rFonts w:ascii="Arial" w:hAnsi="Arial" w:cs="Arial"/>
              </w:rPr>
              <w:t>La intermitencia del funcionamiento del aplicativo SIIF NACIÓN.</w:t>
            </w:r>
          </w:p>
        </w:tc>
      </w:tr>
      <w:tr w:rsidR="006621BE" w:rsidRPr="00A44FDE" w14:paraId="4E2891ED" w14:textId="77777777" w:rsidTr="004B7C6A">
        <w:tc>
          <w:tcPr>
            <w:tcW w:w="993" w:type="dxa"/>
          </w:tcPr>
          <w:p w14:paraId="0FDB69CC" w14:textId="77777777" w:rsidR="006621BE" w:rsidRPr="00A44FDE" w:rsidRDefault="006621BE" w:rsidP="00EF5AF2">
            <w:pPr>
              <w:tabs>
                <w:tab w:val="left" w:pos="875"/>
              </w:tabs>
              <w:ind w:right="-50"/>
              <w:jc w:val="center"/>
              <w:rPr>
                <w:rFonts w:ascii="Arial" w:hAnsi="Arial" w:cs="Arial"/>
                <w:b/>
              </w:rPr>
            </w:pPr>
            <w:r w:rsidRPr="00A44FDE">
              <w:rPr>
                <w:rFonts w:ascii="Arial" w:hAnsi="Arial" w:cs="Arial"/>
                <w:b/>
              </w:rPr>
              <w:t>2</w:t>
            </w:r>
          </w:p>
        </w:tc>
        <w:tc>
          <w:tcPr>
            <w:tcW w:w="4253" w:type="dxa"/>
          </w:tcPr>
          <w:p w14:paraId="6F766856" w14:textId="77777777" w:rsidR="006621BE" w:rsidRPr="00A44FDE" w:rsidRDefault="006621BE" w:rsidP="00EF5AF2">
            <w:pPr>
              <w:tabs>
                <w:tab w:val="left" w:pos="875"/>
              </w:tabs>
              <w:ind w:right="-50"/>
              <w:jc w:val="both"/>
              <w:rPr>
                <w:rFonts w:ascii="Arial" w:hAnsi="Arial" w:cs="Arial"/>
                <w:b/>
              </w:rPr>
            </w:pPr>
            <w:r w:rsidRPr="00A44FDE">
              <w:rPr>
                <w:rFonts w:ascii="Arial" w:hAnsi="Arial" w:cs="Arial"/>
                <w:b/>
              </w:rPr>
              <w:t>Soporte a la plataforma:</w:t>
            </w:r>
          </w:p>
        </w:tc>
        <w:tc>
          <w:tcPr>
            <w:tcW w:w="5244" w:type="dxa"/>
          </w:tcPr>
          <w:p w14:paraId="2C8D920C" w14:textId="77777777" w:rsidR="006621BE" w:rsidRPr="00A44FDE" w:rsidRDefault="006621BE" w:rsidP="00EF5AF2">
            <w:pPr>
              <w:tabs>
                <w:tab w:val="left" w:pos="875"/>
              </w:tabs>
              <w:ind w:right="-50"/>
              <w:jc w:val="both"/>
              <w:rPr>
                <w:rFonts w:ascii="Arial" w:hAnsi="Arial" w:cs="Arial"/>
              </w:rPr>
            </w:pPr>
            <w:r w:rsidRPr="00A44FDE">
              <w:rPr>
                <w:rFonts w:ascii="Arial" w:hAnsi="Arial" w:cs="Arial"/>
              </w:rPr>
              <w:t>Los mantenimientos del aplicativo SIIF NACIÓN, programados en fechas cercana a los cierres contables mensuales.</w:t>
            </w:r>
          </w:p>
        </w:tc>
      </w:tr>
    </w:tbl>
    <w:p w14:paraId="05731A73" w14:textId="77777777" w:rsidR="006621BE" w:rsidRDefault="006621BE" w:rsidP="006621BE">
      <w:pPr>
        <w:ind w:right="-93"/>
        <w:jc w:val="both"/>
        <w:rPr>
          <w:rFonts w:ascii="Arial" w:hAnsi="Arial" w:cs="Arial"/>
          <w:b/>
          <w:sz w:val="24"/>
          <w:szCs w:val="24"/>
        </w:rPr>
      </w:pPr>
    </w:p>
    <w:p w14:paraId="2BCA7017" w14:textId="52430921" w:rsidR="006621BE" w:rsidRPr="00A44FDE" w:rsidRDefault="004B7C6A" w:rsidP="004B7C6A">
      <w:pPr>
        <w:pStyle w:val="Textoindependiente"/>
        <w:ind w:left="-284" w:right="-50"/>
        <w:jc w:val="both"/>
        <w:rPr>
          <w:rFonts w:ascii="Arial" w:hAnsi="Arial" w:cs="Arial"/>
          <w:b/>
          <w:bCs/>
          <w:sz w:val="24"/>
          <w:szCs w:val="24"/>
        </w:rPr>
      </w:pPr>
      <w:r>
        <w:rPr>
          <w:rFonts w:ascii="Arial" w:hAnsi="Arial" w:cs="Arial"/>
          <w:b/>
          <w:bCs/>
          <w:sz w:val="24"/>
          <w:szCs w:val="24"/>
        </w:rPr>
        <w:t xml:space="preserve">1.2.- </w:t>
      </w:r>
      <w:r w:rsidR="006621BE" w:rsidRPr="00A44FDE">
        <w:rPr>
          <w:rFonts w:ascii="Arial" w:hAnsi="Arial" w:cs="Arial"/>
          <w:b/>
          <w:bCs/>
          <w:sz w:val="24"/>
          <w:szCs w:val="24"/>
        </w:rPr>
        <w:t>Declaración de cumplimiento del marco normativo y limitaciones.</w:t>
      </w:r>
    </w:p>
    <w:p w14:paraId="5545F53A" w14:textId="77777777" w:rsidR="004B7C6A" w:rsidRDefault="004B7C6A" w:rsidP="006621BE">
      <w:pPr>
        <w:pStyle w:val="Textoindependiente"/>
        <w:ind w:right="-50"/>
        <w:jc w:val="both"/>
        <w:rPr>
          <w:rFonts w:ascii="Arial" w:hAnsi="Arial" w:cs="Arial"/>
          <w:b/>
          <w:bCs/>
          <w:sz w:val="24"/>
          <w:szCs w:val="24"/>
        </w:rPr>
      </w:pPr>
    </w:p>
    <w:p w14:paraId="407CCC43" w14:textId="794132C7" w:rsidR="006621BE" w:rsidRPr="00A44FDE" w:rsidRDefault="006621BE" w:rsidP="004B7C6A">
      <w:pPr>
        <w:pStyle w:val="Textoindependiente"/>
        <w:ind w:left="-284" w:right="-50"/>
        <w:jc w:val="both"/>
        <w:rPr>
          <w:rFonts w:ascii="Arial" w:hAnsi="Arial" w:cs="Arial"/>
          <w:b/>
          <w:bCs/>
          <w:sz w:val="24"/>
          <w:szCs w:val="24"/>
        </w:rPr>
      </w:pPr>
      <w:r w:rsidRPr="00A44FDE">
        <w:rPr>
          <w:rFonts w:ascii="Arial" w:hAnsi="Arial" w:cs="Arial"/>
          <w:b/>
          <w:bCs/>
          <w:sz w:val="24"/>
          <w:szCs w:val="24"/>
        </w:rPr>
        <w:t>Limitaciones y/o deficiencias de tipo operativo o de orden administrativo.</w:t>
      </w:r>
    </w:p>
    <w:p w14:paraId="0EB4F205" w14:textId="77777777" w:rsidR="006621BE" w:rsidRPr="00A44FDE" w:rsidRDefault="006621BE" w:rsidP="004B7C6A">
      <w:pPr>
        <w:pStyle w:val="Textoindependiente"/>
        <w:ind w:left="-284" w:right="-50"/>
        <w:jc w:val="both"/>
        <w:rPr>
          <w:rFonts w:ascii="Arial" w:hAnsi="Arial" w:cs="Arial"/>
          <w:b/>
          <w:bCs/>
          <w:sz w:val="24"/>
          <w:szCs w:val="24"/>
        </w:rPr>
      </w:pPr>
    </w:p>
    <w:p w14:paraId="4EB56ED3" w14:textId="77777777" w:rsidR="006621BE" w:rsidRPr="00A44FDE" w:rsidRDefault="006621BE" w:rsidP="004B7C6A">
      <w:pPr>
        <w:pStyle w:val="Textoindependiente"/>
        <w:ind w:left="-284" w:right="-234"/>
        <w:jc w:val="both"/>
        <w:rPr>
          <w:rFonts w:ascii="Arial" w:hAnsi="Arial" w:cs="Arial"/>
          <w:sz w:val="24"/>
          <w:szCs w:val="24"/>
        </w:rPr>
      </w:pPr>
      <w:r w:rsidRPr="00A44FDE">
        <w:rPr>
          <w:rFonts w:ascii="Arial" w:hAnsi="Arial" w:cs="Arial"/>
          <w:sz w:val="24"/>
          <w:szCs w:val="24"/>
        </w:rPr>
        <w:t>El SIIF Nación es un sistema que requiere la utilización de herramientas y aplicaciones de apoyo para el registro total de la información contable pública generada por las áreas (préstamos por cobrar, inventarios, bienes muebles, bienes inmuebles, cuentas por cobrar e intangibles), donde se requiere conciliar las cifras del macroproceso contable del SIIF Nación con las áreas correspondientes y sus sistemas auxiliares.</w:t>
      </w:r>
    </w:p>
    <w:p w14:paraId="216979A8" w14:textId="77777777" w:rsidR="006621BE" w:rsidRPr="00A44FDE" w:rsidRDefault="006621BE" w:rsidP="004B7C6A">
      <w:pPr>
        <w:pStyle w:val="Textoindependiente"/>
        <w:ind w:left="-284" w:right="-234"/>
        <w:jc w:val="both"/>
        <w:rPr>
          <w:rFonts w:ascii="Arial" w:hAnsi="Arial" w:cs="Arial"/>
          <w:sz w:val="24"/>
          <w:szCs w:val="24"/>
        </w:rPr>
      </w:pPr>
    </w:p>
    <w:p w14:paraId="666CF62C" w14:textId="77777777" w:rsidR="006621BE" w:rsidRPr="00A44FDE" w:rsidRDefault="006621BE" w:rsidP="004B7C6A">
      <w:pPr>
        <w:pStyle w:val="Textoindependiente"/>
        <w:ind w:left="-284" w:right="-234"/>
        <w:jc w:val="both"/>
        <w:rPr>
          <w:rFonts w:ascii="Arial" w:hAnsi="Arial" w:cs="Arial"/>
          <w:sz w:val="24"/>
          <w:szCs w:val="24"/>
        </w:rPr>
      </w:pPr>
      <w:r w:rsidRPr="00A44FDE">
        <w:rPr>
          <w:rFonts w:ascii="Arial" w:hAnsi="Arial" w:cs="Arial"/>
          <w:sz w:val="24"/>
          <w:szCs w:val="24"/>
        </w:rPr>
        <w:t>Se evidencia una oportunidad de mejora con las herramientas informáticas que cuenta actualmente la Entidad, considerando que no garantizan la integridad y confiabilidad de la información reflejada en aplicativos auxiliares, lo que puede generar dificultades en la conciliación de la información contable y en el cumplimiento de la generación de los informes intermedios y estados financieros del periodo.</w:t>
      </w:r>
    </w:p>
    <w:p w14:paraId="7D2CF582" w14:textId="77777777" w:rsidR="006621BE" w:rsidRPr="00A44FDE" w:rsidRDefault="006621BE" w:rsidP="004B7C6A">
      <w:pPr>
        <w:pStyle w:val="Textoindependiente"/>
        <w:ind w:left="-284" w:right="-234"/>
        <w:jc w:val="both"/>
        <w:rPr>
          <w:rFonts w:ascii="Arial" w:hAnsi="Arial" w:cs="Arial"/>
          <w:sz w:val="24"/>
          <w:szCs w:val="24"/>
        </w:rPr>
      </w:pPr>
    </w:p>
    <w:p w14:paraId="40D38246" w14:textId="77777777" w:rsidR="006621BE" w:rsidRPr="00A44FDE" w:rsidRDefault="006621BE" w:rsidP="004B7C6A">
      <w:pPr>
        <w:pStyle w:val="Textoindependiente"/>
        <w:ind w:left="-284" w:right="-234"/>
        <w:jc w:val="both"/>
        <w:rPr>
          <w:rFonts w:ascii="Arial" w:hAnsi="Arial" w:cs="Arial"/>
          <w:sz w:val="24"/>
          <w:szCs w:val="24"/>
        </w:rPr>
      </w:pPr>
      <w:r w:rsidRPr="00A44FDE">
        <w:rPr>
          <w:rFonts w:ascii="Arial" w:hAnsi="Arial" w:cs="Arial"/>
          <w:sz w:val="24"/>
          <w:szCs w:val="24"/>
        </w:rPr>
        <w:t>Con la implementación de la tipificación en la elaboración de comprobantes manuales contables en sistema SIIF Nación (Circular externa No 030 del 04 de noviembre de 2023 del Ministerio de Hacienda y Crédito Público - MHCP) ha conllevado a que se tenga que generar un mayor número de transacciones dentro de los procesos que aún no tienen interoperabilidad con SIIF NACIÓN como Propiedad, Planta y Equipo, Cuentas por Cobrar, Préstamos por cobrar, provisiones de nómina, entre otros.</w:t>
      </w:r>
    </w:p>
    <w:p w14:paraId="0D398FA0" w14:textId="77777777" w:rsidR="006621BE" w:rsidRPr="00A44FDE" w:rsidRDefault="006621BE" w:rsidP="004B7C6A">
      <w:pPr>
        <w:pStyle w:val="Textoindependiente"/>
        <w:ind w:left="-284" w:right="-234"/>
        <w:jc w:val="both"/>
        <w:rPr>
          <w:rFonts w:ascii="Arial" w:hAnsi="Arial" w:cs="Arial"/>
          <w:sz w:val="24"/>
          <w:szCs w:val="24"/>
        </w:rPr>
      </w:pPr>
    </w:p>
    <w:p w14:paraId="74479895" w14:textId="77777777" w:rsidR="006621BE" w:rsidRPr="00A44FDE" w:rsidRDefault="006621BE" w:rsidP="004B7C6A">
      <w:pPr>
        <w:pStyle w:val="Textoindependiente"/>
        <w:ind w:left="-284" w:right="-234"/>
        <w:jc w:val="both"/>
        <w:rPr>
          <w:rFonts w:ascii="Arial" w:hAnsi="Arial" w:cs="Arial"/>
          <w:sz w:val="24"/>
          <w:szCs w:val="24"/>
        </w:rPr>
      </w:pPr>
      <w:r w:rsidRPr="00A44FDE">
        <w:rPr>
          <w:rFonts w:ascii="Arial" w:hAnsi="Arial" w:cs="Arial"/>
          <w:sz w:val="24"/>
          <w:szCs w:val="24"/>
        </w:rPr>
        <w:t>De otra parte, al corte del mes de diciembre 2024, los valores correspondientes a excedentes de SMA quedaron registrados al corte de agosto 2024, por cuanto el área generadora de información no remitió información para constitución de las cuentas por cobrar para los meses de septiembre, octubre, noviembre y diciembre 2024.</w:t>
      </w:r>
    </w:p>
    <w:p w14:paraId="79B57374" w14:textId="77777777" w:rsidR="006621BE" w:rsidRDefault="006621BE" w:rsidP="006621BE">
      <w:pPr>
        <w:ind w:right="-93"/>
        <w:jc w:val="both"/>
        <w:rPr>
          <w:rFonts w:ascii="Arial" w:hAnsi="Arial" w:cs="Arial"/>
          <w:b/>
          <w:sz w:val="24"/>
          <w:szCs w:val="24"/>
        </w:rPr>
      </w:pPr>
    </w:p>
    <w:p w14:paraId="411B1590" w14:textId="77777777" w:rsidR="006621BE" w:rsidRPr="00FD46C7" w:rsidRDefault="006621BE" w:rsidP="004B7C6A">
      <w:pPr>
        <w:ind w:left="-284" w:right="-234"/>
        <w:jc w:val="both"/>
        <w:rPr>
          <w:rFonts w:ascii="Arial" w:hAnsi="Arial" w:cs="Arial"/>
          <w:b/>
          <w:sz w:val="28"/>
          <w:szCs w:val="28"/>
          <w:lang w:val="es-MX"/>
        </w:rPr>
      </w:pPr>
      <w:r w:rsidRPr="00FD46C7">
        <w:rPr>
          <w:rFonts w:ascii="Arial" w:hAnsi="Arial" w:cs="Arial"/>
          <w:b/>
          <w:sz w:val="28"/>
          <w:szCs w:val="28"/>
          <w:lang w:val="es-MX"/>
        </w:rPr>
        <w:t xml:space="preserve">330.- FONDO DE BIENESTAR SOCIAL CONTRALORÍA GENERAL DE LA </w:t>
      </w:r>
      <w:r w:rsidRPr="00FD46C7">
        <w:rPr>
          <w:rFonts w:ascii="Arial" w:hAnsi="Arial" w:cs="Arial"/>
          <w:b/>
          <w:sz w:val="28"/>
          <w:szCs w:val="28"/>
          <w:lang w:val="es-MX"/>
        </w:rPr>
        <w:lastRenderedPageBreak/>
        <w:t>REPÚBLICA.</w:t>
      </w:r>
    </w:p>
    <w:p w14:paraId="471708DC" w14:textId="77777777" w:rsidR="006621BE" w:rsidRDefault="006621BE" w:rsidP="006621BE">
      <w:pPr>
        <w:ind w:right="-93"/>
        <w:jc w:val="both"/>
        <w:rPr>
          <w:rFonts w:ascii="Arial" w:hAnsi="Arial" w:cs="Arial"/>
          <w:b/>
          <w:sz w:val="24"/>
          <w:szCs w:val="24"/>
        </w:rPr>
      </w:pPr>
    </w:p>
    <w:tbl>
      <w:tblPr>
        <w:tblStyle w:val="Tablaconcuadrcula"/>
        <w:tblW w:w="10444" w:type="dxa"/>
        <w:jc w:val="center"/>
        <w:tblLook w:val="04A0" w:firstRow="1" w:lastRow="0" w:firstColumn="1" w:lastColumn="0" w:noHBand="0" w:noVBand="1"/>
      </w:tblPr>
      <w:tblGrid>
        <w:gridCol w:w="988"/>
        <w:gridCol w:w="4252"/>
        <w:gridCol w:w="5204"/>
      </w:tblGrid>
      <w:tr w:rsidR="006621BE" w:rsidRPr="00AB632A" w14:paraId="0EC9AC0C" w14:textId="77777777" w:rsidTr="004B7C6A">
        <w:trPr>
          <w:jc w:val="center"/>
        </w:trPr>
        <w:tc>
          <w:tcPr>
            <w:tcW w:w="988" w:type="dxa"/>
          </w:tcPr>
          <w:p w14:paraId="59BBA7B4" w14:textId="77777777" w:rsidR="006621BE" w:rsidRPr="00AB632A" w:rsidRDefault="006621BE" w:rsidP="00EF5AF2">
            <w:pPr>
              <w:tabs>
                <w:tab w:val="left" w:pos="875"/>
              </w:tabs>
              <w:ind w:right="-50"/>
              <w:jc w:val="center"/>
              <w:rPr>
                <w:rFonts w:ascii="Arial" w:hAnsi="Arial" w:cs="Arial"/>
                <w:b/>
              </w:rPr>
            </w:pPr>
            <w:r w:rsidRPr="00AB632A">
              <w:rPr>
                <w:rFonts w:ascii="Arial" w:hAnsi="Arial" w:cs="Arial"/>
                <w:b/>
              </w:rPr>
              <w:t>N°</w:t>
            </w:r>
          </w:p>
        </w:tc>
        <w:tc>
          <w:tcPr>
            <w:tcW w:w="4252" w:type="dxa"/>
          </w:tcPr>
          <w:p w14:paraId="0F1D7EAF" w14:textId="77777777" w:rsidR="006621BE" w:rsidRDefault="006621BE" w:rsidP="00EF5AF2">
            <w:pPr>
              <w:tabs>
                <w:tab w:val="left" w:pos="875"/>
              </w:tabs>
              <w:ind w:right="-50"/>
              <w:jc w:val="center"/>
              <w:rPr>
                <w:rFonts w:ascii="Arial" w:hAnsi="Arial" w:cs="Arial"/>
                <w:b/>
              </w:rPr>
            </w:pPr>
            <w:r w:rsidRPr="00AB632A">
              <w:rPr>
                <w:rFonts w:ascii="Arial" w:hAnsi="Arial" w:cs="Arial"/>
                <w:b/>
              </w:rPr>
              <w:t>Limitaciones del Sistema SIIF II Nación a 31/12/202</w:t>
            </w:r>
            <w:r>
              <w:rPr>
                <w:rFonts w:ascii="Arial" w:hAnsi="Arial" w:cs="Arial"/>
                <w:b/>
              </w:rPr>
              <w:t>4</w:t>
            </w:r>
          </w:p>
          <w:p w14:paraId="7991AE54" w14:textId="77777777" w:rsidR="006621BE" w:rsidRPr="00AB632A" w:rsidRDefault="006621BE" w:rsidP="00EF5AF2">
            <w:pPr>
              <w:tabs>
                <w:tab w:val="left" w:pos="875"/>
              </w:tabs>
              <w:ind w:right="-50"/>
              <w:jc w:val="center"/>
              <w:rPr>
                <w:rFonts w:ascii="Arial" w:hAnsi="Arial" w:cs="Arial"/>
                <w:b/>
              </w:rPr>
            </w:pPr>
          </w:p>
        </w:tc>
        <w:tc>
          <w:tcPr>
            <w:tcW w:w="5204" w:type="dxa"/>
          </w:tcPr>
          <w:p w14:paraId="64D9B38A" w14:textId="77777777" w:rsidR="006621BE" w:rsidRPr="00AB632A" w:rsidRDefault="006621BE" w:rsidP="00EF5AF2">
            <w:pPr>
              <w:tabs>
                <w:tab w:val="left" w:pos="875"/>
              </w:tabs>
              <w:ind w:right="-50"/>
              <w:jc w:val="center"/>
              <w:rPr>
                <w:rFonts w:ascii="Arial" w:hAnsi="Arial" w:cs="Arial"/>
                <w:b/>
              </w:rPr>
            </w:pPr>
            <w:r w:rsidRPr="00AB632A">
              <w:rPr>
                <w:rFonts w:ascii="Arial" w:hAnsi="Arial" w:cs="Arial"/>
                <w:b/>
              </w:rPr>
              <w:t>Descripción de la limitación</w:t>
            </w:r>
          </w:p>
        </w:tc>
      </w:tr>
      <w:tr w:rsidR="006621BE" w:rsidRPr="00AB632A" w14:paraId="0ACEA228" w14:textId="77777777" w:rsidTr="004B7C6A">
        <w:trPr>
          <w:jc w:val="center"/>
        </w:trPr>
        <w:tc>
          <w:tcPr>
            <w:tcW w:w="988" w:type="dxa"/>
          </w:tcPr>
          <w:p w14:paraId="69DA05F3" w14:textId="77777777" w:rsidR="006621BE" w:rsidRPr="00AB632A" w:rsidRDefault="006621BE" w:rsidP="00EF5AF2">
            <w:pPr>
              <w:tabs>
                <w:tab w:val="left" w:pos="875"/>
              </w:tabs>
              <w:ind w:right="-50"/>
              <w:jc w:val="center"/>
              <w:rPr>
                <w:rFonts w:ascii="Arial" w:hAnsi="Arial" w:cs="Arial"/>
                <w:b/>
              </w:rPr>
            </w:pPr>
            <w:r>
              <w:rPr>
                <w:rFonts w:ascii="Arial" w:hAnsi="Arial" w:cs="Arial"/>
                <w:b/>
              </w:rPr>
              <w:t>1</w:t>
            </w:r>
          </w:p>
        </w:tc>
        <w:tc>
          <w:tcPr>
            <w:tcW w:w="4252" w:type="dxa"/>
          </w:tcPr>
          <w:p w14:paraId="6C2320F4" w14:textId="77777777" w:rsidR="006621BE" w:rsidRPr="00AB632A" w:rsidRDefault="006621BE" w:rsidP="00EF5AF2">
            <w:pPr>
              <w:tabs>
                <w:tab w:val="left" w:pos="875"/>
              </w:tabs>
              <w:ind w:right="-50"/>
              <w:jc w:val="both"/>
              <w:rPr>
                <w:rFonts w:ascii="Arial" w:hAnsi="Arial" w:cs="Arial"/>
                <w:b/>
              </w:rPr>
            </w:pPr>
            <w:r w:rsidRPr="00AB632A">
              <w:rPr>
                <w:rFonts w:ascii="Arial" w:hAnsi="Arial" w:cs="Arial"/>
                <w:b/>
              </w:rPr>
              <w:t>Técnicas:</w:t>
            </w:r>
          </w:p>
        </w:tc>
        <w:tc>
          <w:tcPr>
            <w:tcW w:w="5204" w:type="dxa"/>
            <w:tcBorders>
              <w:top w:val="nil"/>
              <w:left w:val="nil"/>
              <w:bottom w:val="single" w:sz="8" w:space="0" w:color="000000"/>
              <w:right w:val="single" w:sz="8" w:space="0" w:color="000000"/>
            </w:tcBorders>
            <w:shd w:val="clear" w:color="000000" w:fill="FFFFFF"/>
            <w:vAlign w:val="center"/>
          </w:tcPr>
          <w:p w14:paraId="1AB41D24" w14:textId="77777777" w:rsidR="006621BE" w:rsidRPr="008502DA" w:rsidRDefault="006621BE" w:rsidP="00EF5AF2">
            <w:pPr>
              <w:jc w:val="both"/>
              <w:rPr>
                <w:rFonts w:ascii="Arial" w:eastAsia="Times New Roman" w:hAnsi="Arial" w:cs="Arial"/>
                <w:color w:val="222222"/>
              </w:rPr>
            </w:pPr>
            <w:r w:rsidRPr="008502DA">
              <w:rPr>
                <w:rFonts w:ascii="Arial" w:eastAsia="Times New Roman" w:hAnsi="Arial" w:cs="Arial"/>
                <w:color w:val="222222"/>
              </w:rPr>
              <w:t>Intermitencia en el acceso al sistema en el mes de diciembre</w:t>
            </w:r>
          </w:p>
        </w:tc>
      </w:tr>
      <w:tr w:rsidR="006621BE" w:rsidRPr="00AB632A" w14:paraId="13CD1095" w14:textId="77777777" w:rsidTr="004B7C6A">
        <w:trPr>
          <w:jc w:val="center"/>
        </w:trPr>
        <w:tc>
          <w:tcPr>
            <w:tcW w:w="988" w:type="dxa"/>
          </w:tcPr>
          <w:p w14:paraId="342F9539" w14:textId="77777777" w:rsidR="006621BE" w:rsidRPr="00AB632A" w:rsidRDefault="006621BE" w:rsidP="00EF5AF2">
            <w:pPr>
              <w:tabs>
                <w:tab w:val="left" w:pos="875"/>
              </w:tabs>
              <w:ind w:right="-50"/>
              <w:jc w:val="center"/>
              <w:rPr>
                <w:rFonts w:ascii="Arial" w:hAnsi="Arial" w:cs="Arial"/>
                <w:b/>
              </w:rPr>
            </w:pPr>
            <w:r>
              <w:rPr>
                <w:rFonts w:ascii="Arial" w:hAnsi="Arial" w:cs="Arial"/>
                <w:b/>
              </w:rPr>
              <w:t>2</w:t>
            </w:r>
          </w:p>
        </w:tc>
        <w:tc>
          <w:tcPr>
            <w:tcW w:w="4252" w:type="dxa"/>
          </w:tcPr>
          <w:p w14:paraId="207C8A7E" w14:textId="77777777" w:rsidR="006621BE" w:rsidRPr="00AB632A" w:rsidRDefault="006621BE" w:rsidP="00EF5AF2">
            <w:pPr>
              <w:tabs>
                <w:tab w:val="left" w:pos="875"/>
              </w:tabs>
              <w:ind w:right="-50"/>
              <w:jc w:val="both"/>
              <w:rPr>
                <w:rFonts w:ascii="Arial" w:hAnsi="Arial" w:cs="Arial"/>
                <w:b/>
              </w:rPr>
            </w:pPr>
            <w:r w:rsidRPr="00AB632A">
              <w:rPr>
                <w:rFonts w:ascii="Arial" w:hAnsi="Arial" w:cs="Arial"/>
                <w:b/>
              </w:rPr>
              <w:t>Operativas:</w:t>
            </w:r>
          </w:p>
        </w:tc>
        <w:tc>
          <w:tcPr>
            <w:tcW w:w="5204" w:type="dxa"/>
            <w:tcBorders>
              <w:top w:val="nil"/>
              <w:left w:val="nil"/>
              <w:bottom w:val="single" w:sz="8" w:space="0" w:color="000000"/>
              <w:right w:val="single" w:sz="8" w:space="0" w:color="000000"/>
            </w:tcBorders>
            <w:shd w:val="clear" w:color="000000" w:fill="FFFFFF"/>
            <w:vAlign w:val="center"/>
          </w:tcPr>
          <w:p w14:paraId="64D9D4FE" w14:textId="77777777" w:rsidR="006621BE" w:rsidRPr="008502DA" w:rsidRDefault="006621BE" w:rsidP="00EF5AF2">
            <w:pPr>
              <w:jc w:val="both"/>
              <w:rPr>
                <w:rFonts w:ascii="Arial" w:eastAsia="Times New Roman" w:hAnsi="Arial" w:cs="Arial"/>
                <w:color w:val="222222"/>
              </w:rPr>
            </w:pPr>
            <w:r w:rsidRPr="008502DA">
              <w:rPr>
                <w:rFonts w:ascii="Arial" w:eastAsia="Times New Roman" w:hAnsi="Arial" w:cs="Arial"/>
                <w:color w:val="222222"/>
              </w:rPr>
              <w:t>Intermitencia en el acceso al sistema en el mes de diciembre</w:t>
            </w:r>
          </w:p>
        </w:tc>
      </w:tr>
    </w:tbl>
    <w:p w14:paraId="3D01E4B8" w14:textId="77777777" w:rsidR="006621BE" w:rsidRDefault="006621BE" w:rsidP="006621BE">
      <w:pPr>
        <w:ind w:right="-93"/>
        <w:jc w:val="both"/>
        <w:rPr>
          <w:rFonts w:ascii="Arial" w:hAnsi="Arial" w:cs="Arial"/>
          <w:b/>
          <w:sz w:val="24"/>
          <w:szCs w:val="24"/>
        </w:rPr>
      </w:pPr>
    </w:p>
    <w:p w14:paraId="0CB0305A" w14:textId="77777777" w:rsidR="006621BE" w:rsidRPr="00057F2B" w:rsidRDefault="006621BE" w:rsidP="004B7C6A">
      <w:pPr>
        <w:ind w:left="-284" w:right="-234"/>
        <w:jc w:val="both"/>
        <w:rPr>
          <w:rFonts w:ascii="Arial" w:hAnsi="Arial" w:cs="Arial"/>
          <w:b/>
          <w:sz w:val="28"/>
          <w:szCs w:val="28"/>
          <w:lang w:val="es-MX"/>
        </w:rPr>
      </w:pPr>
      <w:r w:rsidRPr="00057F2B">
        <w:rPr>
          <w:rFonts w:ascii="Arial" w:hAnsi="Arial" w:cs="Arial"/>
          <w:b/>
          <w:sz w:val="28"/>
          <w:szCs w:val="28"/>
          <w:lang w:val="es-MX"/>
        </w:rPr>
        <w:t xml:space="preserve">332.- MINISTERIO DE RELACIONES EXTERIORES. </w:t>
      </w:r>
    </w:p>
    <w:p w14:paraId="5E3BA770" w14:textId="77777777" w:rsidR="006621BE" w:rsidRDefault="006621BE" w:rsidP="004B7C6A">
      <w:pPr>
        <w:ind w:left="-284" w:right="-234"/>
        <w:jc w:val="both"/>
        <w:rPr>
          <w:rFonts w:ascii="Arial" w:hAnsi="Arial" w:cs="Arial"/>
          <w:b/>
          <w:sz w:val="24"/>
          <w:szCs w:val="24"/>
        </w:rPr>
      </w:pPr>
    </w:p>
    <w:p w14:paraId="31935D1D" w14:textId="77777777" w:rsidR="006621BE" w:rsidRPr="00C61DF3" w:rsidRDefault="006621BE" w:rsidP="004B7C6A">
      <w:pPr>
        <w:pStyle w:val="Textoindependiente"/>
        <w:ind w:left="-284" w:right="-234"/>
        <w:jc w:val="both"/>
        <w:rPr>
          <w:rFonts w:ascii="Arial" w:hAnsi="Arial" w:cs="Arial"/>
          <w:b/>
          <w:bCs/>
          <w:sz w:val="24"/>
          <w:szCs w:val="24"/>
        </w:rPr>
      </w:pPr>
      <w:r w:rsidRPr="00C61DF3">
        <w:rPr>
          <w:rFonts w:ascii="Arial" w:hAnsi="Arial" w:cs="Arial"/>
          <w:b/>
          <w:bCs/>
          <w:sz w:val="24"/>
          <w:szCs w:val="24"/>
        </w:rPr>
        <w:t>1.2.</w:t>
      </w:r>
      <w:r w:rsidRPr="00C61DF3">
        <w:rPr>
          <w:rFonts w:ascii="Arial" w:hAnsi="Arial" w:cs="Arial"/>
          <w:b/>
          <w:bCs/>
          <w:sz w:val="24"/>
          <w:szCs w:val="24"/>
        </w:rPr>
        <w:tab/>
        <w:t>Declaración de cumplimiento del marco normativo y limitaciones.</w:t>
      </w:r>
    </w:p>
    <w:p w14:paraId="7D67EAD0" w14:textId="77777777" w:rsidR="006621BE" w:rsidRPr="00C61DF3" w:rsidRDefault="006621BE" w:rsidP="004B7C6A">
      <w:pPr>
        <w:pStyle w:val="Textoindependiente"/>
        <w:ind w:left="-284" w:right="-234"/>
        <w:jc w:val="both"/>
        <w:rPr>
          <w:rFonts w:ascii="Arial" w:hAnsi="Arial" w:cs="Arial"/>
          <w:b/>
          <w:bCs/>
          <w:sz w:val="24"/>
          <w:szCs w:val="24"/>
        </w:rPr>
      </w:pPr>
    </w:p>
    <w:p w14:paraId="16A82021" w14:textId="77777777" w:rsidR="006621BE" w:rsidRPr="00C61DF3" w:rsidRDefault="006621BE" w:rsidP="004B7C6A">
      <w:pPr>
        <w:pStyle w:val="Textoindependiente"/>
        <w:ind w:left="-284" w:right="-234"/>
        <w:jc w:val="both"/>
        <w:rPr>
          <w:rFonts w:ascii="Arial" w:hAnsi="Arial" w:cs="Arial"/>
          <w:b/>
          <w:bCs/>
          <w:sz w:val="24"/>
          <w:szCs w:val="24"/>
        </w:rPr>
      </w:pPr>
      <w:r w:rsidRPr="00C61DF3">
        <w:rPr>
          <w:rFonts w:ascii="Arial" w:hAnsi="Arial" w:cs="Arial"/>
          <w:b/>
          <w:bCs/>
          <w:sz w:val="24"/>
          <w:szCs w:val="24"/>
        </w:rPr>
        <w:t>1.2.2.</w:t>
      </w:r>
      <w:r w:rsidRPr="00C61DF3">
        <w:rPr>
          <w:rFonts w:ascii="Arial" w:hAnsi="Arial" w:cs="Arial"/>
          <w:b/>
          <w:bCs/>
          <w:sz w:val="24"/>
          <w:szCs w:val="24"/>
        </w:rPr>
        <w:tab/>
        <w:t>Limitaciones.</w:t>
      </w:r>
    </w:p>
    <w:p w14:paraId="4AE5617D" w14:textId="77777777" w:rsidR="006621BE" w:rsidRPr="00C61DF3" w:rsidRDefault="006621BE" w:rsidP="004B7C6A">
      <w:pPr>
        <w:pStyle w:val="Textoindependiente"/>
        <w:ind w:left="-284" w:right="-234"/>
        <w:jc w:val="both"/>
        <w:rPr>
          <w:rFonts w:ascii="Arial" w:hAnsi="Arial" w:cs="Arial"/>
          <w:b/>
          <w:bCs/>
          <w:sz w:val="24"/>
          <w:szCs w:val="24"/>
        </w:rPr>
      </w:pPr>
    </w:p>
    <w:p w14:paraId="5CD9C788" w14:textId="77777777" w:rsidR="006621BE" w:rsidRPr="00C61DF3" w:rsidRDefault="006621BE" w:rsidP="004B7C6A">
      <w:pPr>
        <w:pStyle w:val="Textoindependiente"/>
        <w:ind w:left="-284" w:right="-234"/>
        <w:jc w:val="both"/>
        <w:rPr>
          <w:rFonts w:ascii="Arial" w:hAnsi="Arial" w:cs="Arial"/>
          <w:sz w:val="24"/>
          <w:szCs w:val="24"/>
        </w:rPr>
      </w:pPr>
      <w:r w:rsidRPr="00C61DF3">
        <w:rPr>
          <w:rFonts w:ascii="Arial" w:hAnsi="Arial" w:cs="Arial"/>
          <w:sz w:val="24"/>
          <w:szCs w:val="24"/>
        </w:rPr>
        <w:t xml:space="preserve">El Ministerio de Relaciones Exteriores, cuenta con el Sistema de Información Administrativo y de Recursos Humanos - SIAD como herramienta de apoyo para gestión de Talento Humano. </w:t>
      </w:r>
      <w:r w:rsidRPr="00C61DF3">
        <w:rPr>
          <w:rFonts w:ascii="Arial" w:hAnsi="Arial" w:cs="Arial"/>
          <w:b/>
          <w:sz w:val="24"/>
          <w:szCs w:val="24"/>
          <w:u w:val="single"/>
        </w:rPr>
        <w:t>Este sistema no cuenta con interface con el Sistema Integrado de Información Financiera - SIIF Nación, por tal razón se deben realizar los registros contables manuales puesto que ese sistema provee la información de los beneficios a empleados incorporados al Ministerio de Relaciones Exteriores</w:t>
      </w:r>
      <w:r w:rsidRPr="00C61DF3">
        <w:rPr>
          <w:rFonts w:ascii="Arial" w:hAnsi="Arial" w:cs="Arial"/>
          <w:sz w:val="24"/>
          <w:szCs w:val="24"/>
        </w:rPr>
        <w:t>.</w:t>
      </w:r>
    </w:p>
    <w:p w14:paraId="29C8A56B" w14:textId="77777777" w:rsidR="006621BE" w:rsidRDefault="006621BE" w:rsidP="004B7C6A">
      <w:pPr>
        <w:ind w:left="-284" w:right="-234"/>
        <w:jc w:val="both"/>
        <w:rPr>
          <w:rFonts w:ascii="Arial" w:hAnsi="Arial" w:cs="Arial"/>
          <w:b/>
          <w:sz w:val="24"/>
          <w:szCs w:val="24"/>
        </w:rPr>
      </w:pPr>
    </w:p>
    <w:p w14:paraId="117EBAC3" w14:textId="77777777" w:rsidR="006621BE" w:rsidRPr="000A42AE" w:rsidRDefault="006621BE" w:rsidP="004B7C6A">
      <w:pPr>
        <w:ind w:left="-284" w:right="-234"/>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45CF89DB" w14:textId="77777777" w:rsidR="006621BE" w:rsidRDefault="006621BE" w:rsidP="006621BE">
      <w:pPr>
        <w:ind w:right="-93"/>
        <w:jc w:val="both"/>
        <w:rPr>
          <w:rFonts w:ascii="Arial" w:hAnsi="Arial" w:cs="Arial"/>
          <w:b/>
          <w:sz w:val="24"/>
          <w:szCs w:val="24"/>
        </w:rPr>
      </w:pPr>
    </w:p>
    <w:tbl>
      <w:tblPr>
        <w:tblStyle w:val="Tablaconcuadrcula"/>
        <w:tblW w:w="10490" w:type="dxa"/>
        <w:jc w:val="center"/>
        <w:tblLook w:val="04A0" w:firstRow="1" w:lastRow="0" w:firstColumn="1" w:lastColumn="0" w:noHBand="0" w:noVBand="1"/>
      </w:tblPr>
      <w:tblGrid>
        <w:gridCol w:w="988"/>
        <w:gridCol w:w="4257"/>
        <w:gridCol w:w="5245"/>
      </w:tblGrid>
      <w:tr w:rsidR="006621BE" w:rsidRPr="00AB632A" w14:paraId="58CF6153" w14:textId="77777777" w:rsidTr="001A72C9">
        <w:trPr>
          <w:jc w:val="center"/>
        </w:trPr>
        <w:tc>
          <w:tcPr>
            <w:tcW w:w="988" w:type="dxa"/>
          </w:tcPr>
          <w:p w14:paraId="45E8672E" w14:textId="77777777" w:rsidR="006621BE" w:rsidRPr="00AB632A" w:rsidRDefault="006621BE" w:rsidP="00EF5AF2">
            <w:pPr>
              <w:tabs>
                <w:tab w:val="left" w:pos="875"/>
              </w:tabs>
              <w:ind w:right="-50"/>
              <w:jc w:val="center"/>
              <w:rPr>
                <w:rFonts w:ascii="Arial" w:hAnsi="Arial" w:cs="Arial"/>
                <w:b/>
              </w:rPr>
            </w:pPr>
            <w:r w:rsidRPr="00AB632A">
              <w:rPr>
                <w:rFonts w:ascii="Arial" w:hAnsi="Arial" w:cs="Arial"/>
                <w:b/>
              </w:rPr>
              <w:t>N°</w:t>
            </w:r>
          </w:p>
        </w:tc>
        <w:tc>
          <w:tcPr>
            <w:tcW w:w="4257" w:type="dxa"/>
          </w:tcPr>
          <w:p w14:paraId="7FCB3AA1" w14:textId="77777777" w:rsidR="006621BE" w:rsidRDefault="006621BE" w:rsidP="00EF5AF2">
            <w:pPr>
              <w:tabs>
                <w:tab w:val="left" w:pos="875"/>
              </w:tabs>
              <w:ind w:right="-50"/>
              <w:jc w:val="center"/>
              <w:rPr>
                <w:rFonts w:ascii="Arial" w:hAnsi="Arial" w:cs="Arial"/>
                <w:b/>
              </w:rPr>
            </w:pPr>
            <w:r w:rsidRPr="00AB632A">
              <w:rPr>
                <w:rFonts w:ascii="Arial" w:hAnsi="Arial" w:cs="Arial"/>
                <w:b/>
              </w:rPr>
              <w:t>Limitaciones del Sistema SIIF II Nación a 31/12/202</w:t>
            </w:r>
            <w:r>
              <w:rPr>
                <w:rFonts w:ascii="Arial" w:hAnsi="Arial" w:cs="Arial"/>
                <w:b/>
              </w:rPr>
              <w:t>4</w:t>
            </w:r>
          </w:p>
          <w:p w14:paraId="32953A69" w14:textId="77777777" w:rsidR="006621BE" w:rsidRPr="00AB632A" w:rsidRDefault="006621BE" w:rsidP="00EF5AF2">
            <w:pPr>
              <w:tabs>
                <w:tab w:val="left" w:pos="875"/>
              </w:tabs>
              <w:ind w:right="-50"/>
              <w:jc w:val="center"/>
              <w:rPr>
                <w:rFonts w:ascii="Arial" w:hAnsi="Arial" w:cs="Arial"/>
                <w:b/>
              </w:rPr>
            </w:pPr>
          </w:p>
        </w:tc>
        <w:tc>
          <w:tcPr>
            <w:tcW w:w="5245" w:type="dxa"/>
          </w:tcPr>
          <w:p w14:paraId="21EE94CE" w14:textId="77777777" w:rsidR="006621BE" w:rsidRPr="00AB632A" w:rsidRDefault="006621BE" w:rsidP="00EF5AF2">
            <w:pPr>
              <w:tabs>
                <w:tab w:val="left" w:pos="875"/>
              </w:tabs>
              <w:ind w:right="-50"/>
              <w:jc w:val="center"/>
              <w:rPr>
                <w:rFonts w:ascii="Arial" w:hAnsi="Arial" w:cs="Arial"/>
                <w:b/>
              </w:rPr>
            </w:pPr>
            <w:r w:rsidRPr="00AB632A">
              <w:rPr>
                <w:rFonts w:ascii="Arial" w:hAnsi="Arial" w:cs="Arial"/>
                <w:b/>
              </w:rPr>
              <w:t>Descripción de la limitación</w:t>
            </w:r>
          </w:p>
        </w:tc>
      </w:tr>
      <w:tr w:rsidR="006621BE" w:rsidRPr="00AB632A" w14:paraId="4DAFA154" w14:textId="77777777" w:rsidTr="001A72C9">
        <w:trPr>
          <w:jc w:val="center"/>
        </w:trPr>
        <w:tc>
          <w:tcPr>
            <w:tcW w:w="988" w:type="dxa"/>
          </w:tcPr>
          <w:p w14:paraId="26D599BA" w14:textId="77777777" w:rsidR="006621BE" w:rsidRPr="00AB632A" w:rsidRDefault="006621BE" w:rsidP="00EF5AF2">
            <w:pPr>
              <w:tabs>
                <w:tab w:val="left" w:pos="875"/>
              </w:tabs>
              <w:ind w:right="-50"/>
              <w:jc w:val="center"/>
              <w:rPr>
                <w:rFonts w:ascii="Arial" w:hAnsi="Arial" w:cs="Arial"/>
                <w:b/>
              </w:rPr>
            </w:pPr>
            <w:r>
              <w:rPr>
                <w:rFonts w:ascii="Arial" w:hAnsi="Arial" w:cs="Arial"/>
                <w:b/>
              </w:rPr>
              <w:t>1</w:t>
            </w:r>
          </w:p>
        </w:tc>
        <w:tc>
          <w:tcPr>
            <w:tcW w:w="4257" w:type="dxa"/>
          </w:tcPr>
          <w:p w14:paraId="6B772F9D" w14:textId="77777777" w:rsidR="006621BE" w:rsidRPr="00AB632A" w:rsidRDefault="006621BE" w:rsidP="00EF5AF2">
            <w:pPr>
              <w:tabs>
                <w:tab w:val="left" w:pos="875"/>
              </w:tabs>
              <w:ind w:right="-50"/>
              <w:jc w:val="both"/>
              <w:rPr>
                <w:rFonts w:ascii="Arial" w:hAnsi="Arial" w:cs="Arial"/>
                <w:b/>
              </w:rPr>
            </w:pPr>
            <w:r w:rsidRPr="00AB632A">
              <w:rPr>
                <w:rFonts w:ascii="Arial" w:hAnsi="Arial" w:cs="Arial"/>
                <w:b/>
              </w:rPr>
              <w:t>Operativas:</w:t>
            </w:r>
          </w:p>
        </w:tc>
        <w:tc>
          <w:tcPr>
            <w:tcW w:w="5245" w:type="dxa"/>
          </w:tcPr>
          <w:p w14:paraId="566A78F8" w14:textId="77777777" w:rsidR="006621BE" w:rsidRPr="00AB632A" w:rsidRDefault="006621BE" w:rsidP="00EF5AF2">
            <w:pPr>
              <w:tabs>
                <w:tab w:val="left" w:pos="875"/>
              </w:tabs>
              <w:ind w:right="-50"/>
              <w:jc w:val="both"/>
              <w:rPr>
                <w:rFonts w:ascii="Arial" w:hAnsi="Arial" w:cs="Arial"/>
              </w:rPr>
            </w:pPr>
            <w:r>
              <w:rPr>
                <w:rFonts w:ascii="Arial" w:hAnsi="Arial" w:cs="Arial"/>
              </w:rPr>
              <w:t>Indisponibilidades del aplicativo para el acceso al Sistema, restricción de acceso por horario, errores de acceso y al registrar operaciones principalmente al final del mes, no permitía culminar el registro, lo que generó demoras y reprocesos.</w:t>
            </w:r>
          </w:p>
        </w:tc>
      </w:tr>
      <w:tr w:rsidR="006621BE" w:rsidRPr="00AB632A" w14:paraId="6F0C5863" w14:textId="77777777" w:rsidTr="001A72C9">
        <w:trPr>
          <w:jc w:val="center"/>
        </w:trPr>
        <w:tc>
          <w:tcPr>
            <w:tcW w:w="988" w:type="dxa"/>
          </w:tcPr>
          <w:p w14:paraId="65CCE82F" w14:textId="77777777" w:rsidR="006621BE" w:rsidRPr="00AB632A" w:rsidRDefault="006621BE" w:rsidP="00EF5AF2">
            <w:pPr>
              <w:tabs>
                <w:tab w:val="left" w:pos="875"/>
              </w:tabs>
              <w:ind w:right="-50"/>
              <w:jc w:val="center"/>
              <w:rPr>
                <w:rFonts w:ascii="Arial" w:hAnsi="Arial" w:cs="Arial"/>
                <w:b/>
              </w:rPr>
            </w:pPr>
            <w:r>
              <w:rPr>
                <w:rFonts w:ascii="Arial" w:hAnsi="Arial" w:cs="Arial"/>
                <w:b/>
              </w:rPr>
              <w:t>2</w:t>
            </w:r>
          </w:p>
        </w:tc>
        <w:tc>
          <w:tcPr>
            <w:tcW w:w="4257" w:type="dxa"/>
          </w:tcPr>
          <w:p w14:paraId="00F436A8" w14:textId="77777777" w:rsidR="006621BE" w:rsidRPr="00AB632A" w:rsidRDefault="006621BE" w:rsidP="00EF5AF2">
            <w:pPr>
              <w:tabs>
                <w:tab w:val="left" w:pos="875"/>
              </w:tabs>
              <w:ind w:right="-50"/>
              <w:jc w:val="both"/>
              <w:rPr>
                <w:rFonts w:ascii="Arial" w:hAnsi="Arial" w:cs="Arial"/>
                <w:b/>
              </w:rPr>
            </w:pPr>
            <w:r w:rsidRPr="00AB632A">
              <w:rPr>
                <w:rFonts w:ascii="Arial" w:hAnsi="Arial" w:cs="Arial"/>
                <w:b/>
              </w:rPr>
              <w:t>Otras:</w:t>
            </w:r>
          </w:p>
        </w:tc>
        <w:tc>
          <w:tcPr>
            <w:tcW w:w="5245" w:type="dxa"/>
          </w:tcPr>
          <w:p w14:paraId="33E18DDE" w14:textId="77777777" w:rsidR="006621BE" w:rsidRPr="00AB632A" w:rsidRDefault="006621BE" w:rsidP="00EF5AF2">
            <w:pPr>
              <w:tabs>
                <w:tab w:val="left" w:pos="875"/>
              </w:tabs>
              <w:ind w:right="-50"/>
              <w:jc w:val="both"/>
              <w:rPr>
                <w:rFonts w:ascii="Arial" w:hAnsi="Arial" w:cs="Arial"/>
              </w:rPr>
            </w:pPr>
            <w:r>
              <w:rPr>
                <w:rFonts w:ascii="Arial" w:hAnsi="Arial" w:cs="Arial"/>
              </w:rPr>
              <w:t>El Sistema Integrado de Información Financiera SIIF Nación, no dispone de los módulos de bienes y de nómina, por lo cual, se requiere de sistemas de apoyo para la gestión de estos conceptos, como son, el software de inventarios (QUICK DATA ERP) y el software de nómina (SIGEP). Es importante resaltar que estos sistemas no cuentan con funcionalidades que permitan integrarlos entre sí, motivo por el cual es necesario realizar todos los meses registros contables manuales.</w:t>
            </w:r>
          </w:p>
        </w:tc>
      </w:tr>
    </w:tbl>
    <w:p w14:paraId="47A7B208" w14:textId="77777777" w:rsidR="006621BE" w:rsidRDefault="006621BE" w:rsidP="006621BE">
      <w:pPr>
        <w:ind w:right="-93"/>
        <w:jc w:val="both"/>
        <w:rPr>
          <w:rFonts w:ascii="Arial" w:hAnsi="Arial" w:cs="Arial"/>
          <w:b/>
          <w:sz w:val="24"/>
          <w:szCs w:val="24"/>
        </w:rPr>
      </w:pPr>
    </w:p>
    <w:p w14:paraId="0765B9E5" w14:textId="77777777" w:rsidR="006621BE" w:rsidRPr="005179BE" w:rsidRDefault="006621BE" w:rsidP="004B7C6A">
      <w:pPr>
        <w:pStyle w:val="Prrafodelista"/>
        <w:ind w:left="-284" w:right="-234"/>
        <w:jc w:val="both"/>
        <w:rPr>
          <w:rFonts w:ascii="Arial" w:hAnsi="Arial" w:cs="Arial"/>
          <w:b/>
          <w:sz w:val="28"/>
          <w:szCs w:val="28"/>
          <w:lang w:val="es-MX"/>
        </w:rPr>
      </w:pPr>
      <w:r w:rsidRPr="005179BE">
        <w:rPr>
          <w:rFonts w:ascii="Arial" w:hAnsi="Arial" w:cs="Arial"/>
          <w:b/>
          <w:sz w:val="28"/>
          <w:szCs w:val="28"/>
          <w:lang w:val="es-MX"/>
        </w:rPr>
        <w:t>335.- FONDO DE PASIVO SOCIAL FERROCARRILES NACIONALES DE COLOMBIA.</w:t>
      </w:r>
    </w:p>
    <w:p w14:paraId="649949A0" w14:textId="77777777" w:rsidR="006621BE" w:rsidRDefault="006621BE" w:rsidP="006621BE">
      <w:pPr>
        <w:ind w:right="-93"/>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A35D57" w14:paraId="5FDF9762" w14:textId="77777777" w:rsidTr="001A72C9">
        <w:tc>
          <w:tcPr>
            <w:tcW w:w="993" w:type="dxa"/>
          </w:tcPr>
          <w:p w14:paraId="67AA6B3F" w14:textId="77777777" w:rsidR="006621BE" w:rsidRPr="00A35D57" w:rsidRDefault="006621BE" w:rsidP="00EF5AF2">
            <w:pPr>
              <w:tabs>
                <w:tab w:val="left" w:pos="875"/>
              </w:tabs>
              <w:ind w:right="-50"/>
              <w:jc w:val="center"/>
              <w:rPr>
                <w:rFonts w:ascii="Arial" w:hAnsi="Arial" w:cs="Arial"/>
                <w:b/>
              </w:rPr>
            </w:pPr>
            <w:r w:rsidRPr="00A35D57">
              <w:rPr>
                <w:rFonts w:ascii="Arial" w:hAnsi="Arial" w:cs="Arial"/>
                <w:b/>
              </w:rPr>
              <w:t>N°</w:t>
            </w:r>
          </w:p>
        </w:tc>
        <w:tc>
          <w:tcPr>
            <w:tcW w:w="4253" w:type="dxa"/>
          </w:tcPr>
          <w:p w14:paraId="0FE12DDA" w14:textId="77777777" w:rsidR="006621BE" w:rsidRPr="00A35D57" w:rsidRDefault="006621BE" w:rsidP="00EF5AF2">
            <w:pPr>
              <w:tabs>
                <w:tab w:val="left" w:pos="875"/>
              </w:tabs>
              <w:ind w:right="-50"/>
              <w:jc w:val="center"/>
              <w:rPr>
                <w:rFonts w:ascii="Arial" w:hAnsi="Arial" w:cs="Arial"/>
                <w:b/>
              </w:rPr>
            </w:pPr>
            <w:r w:rsidRPr="00A35D57">
              <w:rPr>
                <w:rFonts w:ascii="Arial" w:hAnsi="Arial" w:cs="Arial"/>
                <w:b/>
              </w:rPr>
              <w:t>Limitaciones del Sistema SIIF II Nación a 31/12/2024</w:t>
            </w:r>
          </w:p>
          <w:p w14:paraId="4CA8AF21" w14:textId="77777777" w:rsidR="006621BE" w:rsidRPr="00A35D57" w:rsidRDefault="006621BE" w:rsidP="00EF5AF2">
            <w:pPr>
              <w:tabs>
                <w:tab w:val="left" w:pos="875"/>
              </w:tabs>
              <w:ind w:right="-50"/>
              <w:jc w:val="center"/>
              <w:rPr>
                <w:rFonts w:ascii="Arial" w:hAnsi="Arial" w:cs="Arial"/>
                <w:b/>
              </w:rPr>
            </w:pPr>
          </w:p>
        </w:tc>
        <w:tc>
          <w:tcPr>
            <w:tcW w:w="5244" w:type="dxa"/>
          </w:tcPr>
          <w:p w14:paraId="7E5361E5" w14:textId="77777777" w:rsidR="006621BE" w:rsidRPr="00A35D57" w:rsidRDefault="006621BE" w:rsidP="00EF5AF2">
            <w:pPr>
              <w:tabs>
                <w:tab w:val="left" w:pos="875"/>
              </w:tabs>
              <w:ind w:right="-50"/>
              <w:jc w:val="center"/>
              <w:rPr>
                <w:rFonts w:ascii="Arial" w:hAnsi="Arial" w:cs="Arial"/>
                <w:b/>
              </w:rPr>
            </w:pPr>
            <w:r w:rsidRPr="00A35D57">
              <w:rPr>
                <w:rFonts w:ascii="Arial" w:hAnsi="Arial" w:cs="Arial"/>
                <w:b/>
              </w:rPr>
              <w:t>Descripción de la limitación</w:t>
            </w:r>
          </w:p>
        </w:tc>
      </w:tr>
      <w:tr w:rsidR="006621BE" w:rsidRPr="00A35D57" w14:paraId="1CF355A1" w14:textId="77777777" w:rsidTr="001A72C9">
        <w:tc>
          <w:tcPr>
            <w:tcW w:w="993" w:type="dxa"/>
          </w:tcPr>
          <w:p w14:paraId="1FBF7AEC" w14:textId="77777777" w:rsidR="006621BE" w:rsidRPr="00A35D57" w:rsidRDefault="006621BE" w:rsidP="004B7C6A">
            <w:pPr>
              <w:tabs>
                <w:tab w:val="left" w:pos="875"/>
              </w:tabs>
              <w:ind w:right="-50"/>
              <w:jc w:val="center"/>
              <w:rPr>
                <w:rFonts w:ascii="Arial" w:hAnsi="Arial" w:cs="Arial"/>
                <w:b/>
              </w:rPr>
            </w:pPr>
            <w:r w:rsidRPr="00A35D57">
              <w:rPr>
                <w:rFonts w:ascii="Arial" w:hAnsi="Arial" w:cs="Arial"/>
                <w:b/>
              </w:rPr>
              <w:t>1</w:t>
            </w:r>
          </w:p>
        </w:tc>
        <w:tc>
          <w:tcPr>
            <w:tcW w:w="4253" w:type="dxa"/>
          </w:tcPr>
          <w:p w14:paraId="0FDB6DEE" w14:textId="77777777" w:rsidR="006621BE" w:rsidRPr="00A35D57" w:rsidRDefault="006621BE" w:rsidP="00EF5AF2">
            <w:pPr>
              <w:tabs>
                <w:tab w:val="left" w:pos="875"/>
              </w:tabs>
              <w:ind w:right="-50"/>
              <w:jc w:val="both"/>
              <w:rPr>
                <w:rFonts w:ascii="Arial" w:hAnsi="Arial" w:cs="Arial"/>
                <w:b/>
              </w:rPr>
            </w:pPr>
            <w:r w:rsidRPr="00A35D57">
              <w:rPr>
                <w:rFonts w:ascii="Arial" w:hAnsi="Arial" w:cs="Arial"/>
                <w:b/>
              </w:rPr>
              <w:t>Administrativas:</w:t>
            </w:r>
          </w:p>
        </w:tc>
        <w:tc>
          <w:tcPr>
            <w:tcW w:w="5244" w:type="dxa"/>
          </w:tcPr>
          <w:p w14:paraId="7014EDCB" w14:textId="77777777" w:rsidR="006621BE" w:rsidRPr="00A35D57" w:rsidRDefault="006621BE" w:rsidP="00EF5AF2">
            <w:pPr>
              <w:tabs>
                <w:tab w:val="left" w:pos="875"/>
              </w:tabs>
              <w:suppressAutoHyphens/>
              <w:autoSpaceDN/>
              <w:ind w:right="-50"/>
              <w:contextualSpacing/>
              <w:jc w:val="both"/>
              <w:rPr>
                <w:rFonts w:ascii="Arial" w:hAnsi="Arial" w:cs="Arial"/>
              </w:rPr>
            </w:pPr>
            <w:r w:rsidRPr="00A35D57">
              <w:rPr>
                <w:rFonts w:ascii="Arial" w:hAnsi="Arial" w:cs="Arial"/>
              </w:rPr>
              <w:t xml:space="preserve">Demora en el cargue de los saldos iniciales en el balance de la entidad, para el cierre de una vigencia y comienzo </w:t>
            </w:r>
            <w:r w:rsidRPr="00A35D57">
              <w:rPr>
                <w:rFonts w:ascii="Arial" w:hAnsi="Arial" w:cs="Arial"/>
              </w:rPr>
              <w:lastRenderedPageBreak/>
              <w:t>de la otra, dado que la entidad debe presentar información financiera a la Supersalud de manera mensual, y los saldos deben ser transcritos manualmente, lo cual puede generar error en la presentación de los mismos.</w:t>
            </w:r>
          </w:p>
          <w:p w14:paraId="6DF376A2" w14:textId="77777777" w:rsidR="006621BE" w:rsidRPr="00A35D57" w:rsidRDefault="006621BE" w:rsidP="00EF5AF2">
            <w:pPr>
              <w:tabs>
                <w:tab w:val="left" w:pos="875"/>
              </w:tabs>
              <w:suppressAutoHyphens/>
              <w:ind w:right="-50"/>
              <w:jc w:val="both"/>
              <w:rPr>
                <w:rFonts w:ascii="Arial" w:eastAsia="Calibri" w:hAnsi="Arial" w:cs="Arial"/>
              </w:rPr>
            </w:pPr>
          </w:p>
          <w:p w14:paraId="301B28A7" w14:textId="77777777" w:rsidR="006621BE" w:rsidRPr="00A35D57" w:rsidRDefault="006621BE" w:rsidP="00EF5AF2">
            <w:pPr>
              <w:tabs>
                <w:tab w:val="left" w:pos="875"/>
              </w:tabs>
              <w:ind w:right="-50"/>
              <w:jc w:val="both"/>
              <w:rPr>
                <w:rFonts w:ascii="Arial" w:hAnsi="Arial" w:cs="Arial"/>
              </w:rPr>
            </w:pPr>
            <w:r w:rsidRPr="00A35D57">
              <w:rPr>
                <w:rFonts w:ascii="Arial" w:hAnsi="Arial" w:cs="Arial"/>
              </w:rPr>
              <w:t>Demora en los tiempos para solucionar los INC radicados por la entidad, cuando estos son escalados a la Contaduría General de la Nación, dado a la cantidad de INC recibidos, los tiempos de respuestas son demorados en tema de parametrizaciones de rubros contables o conceptos.</w:t>
            </w:r>
          </w:p>
        </w:tc>
      </w:tr>
      <w:tr w:rsidR="006621BE" w:rsidRPr="00A35D57" w14:paraId="2D04EDD8" w14:textId="77777777" w:rsidTr="001A72C9">
        <w:tc>
          <w:tcPr>
            <w:tcW w:w="993" w:type="dxa"/>
          </w:tcPr>
          <w:p w14:paraId="3E28B57D" w14:textId="77777777" w:rsidR="006621BE" w:rsidRPr="00A35D57" w:rsidRDefault="006621BE" w:rsidP="004B7C6A">
            <w:pPr>
              <w:tabs>
                <w:tab w:val="left" w:pos="875"/>
              </w:tabs>
              <w:ind w:right="-50"/>
              <w:jc w:val="center"/>
              <w:rPr>
                <w:rFonts w:ascii="Arial" w:hAnsi="Arial" w:cs="Arial"/>
                <w:b/>
              </w:rPr>
            </w:pPr>
            <w:r w:rsidRPr="00A35D57">
              <w:rPr>
                <w:rFonts w:ascii="Arial" w:hAnsi="Arial" w:cs="Arial"/>
                <w:b/>
              </w:rPr>
              <w:lastRenderedPageBreak/>
              <w:t>2</w:t>
            </w:r>
          </w:p>
        </w:tc>
        <w:tc>
          <w:tcPr>
            <w:tcW w:w="4253" w:type="dxa"/>
          </w:tcPr>
          <w:p w14:paraId="3AC7587F" w14:textId="77777777" w:rsidR="006621BE" w:rsidRPr="00A35D57" w:rsidRDefault="006621BE" w:rsidP="00EF5AF2">
            <w:pPr>
              <w:tabs>
                <w:tab w:val="left" w:pos="875"/>
              </w:tabs>
              <w:ind w:right="-50"/>
              <w:jc w:val="both"/>
              <w:rPr>
                <w:rFonts w:ascii="Arial" w:hAnsi="Arial" w:cs="Arial"/>
                <w:b/>
              </w:rPr>
            </w:pPr>
            <w:r w:rsidRPr="00A35D57">
              <w:rPr>
                <w:rFonts w:ascii="Arial" w:hAnsi="Arial" w:cs="Arial"/>
                <w:b/>
              </w:rPr>
              <w:t>Técnicas:</w:t>
            </w:r>
          </w:p>
        </w:tc>
        <w:tc>
          <w:tcPr>
            <w:tcW w:w="5244" w:type="dxa"/>
          </w:tcPr>
          <w:p w14:paraId="0C9AE30C" w14:textId="77777777" w:rsidR="006621BE" w:rsidRPr="00A35D57" w:rsidRDefault="006621BE" w:rsidP="00EF5AF2">
            <w:pPr>
              <w:tabs>
                <w:tab w:val="left" w:pos="875"/>
              </w:tabs>
              <w:ind w:right="-50"/>
              <w:jc w:val="both"/>
              <w:rPr>
                <w:rFonts w:ascii="Arial" w:hAnsi="Arial" w:cs="Arial"/>
              </w:rPr>
            </w:pPr>
            <w:r w:rsidRPr="00A35D57">
              <w:rPr>
                <w:rFonts w:ascii="Arial" w:eastAsia="Calibri" w:hAnsi="Arial" w:cs="Arial"/>
              </w:rPr>
              <w:t>Para los cierres de fin de mes en la ejecución de PAC, el sistema muestra lentitud ocasionando reprocesos y demoraras en los registros de obligaciones y ordenes de pagos.</w:t>
            </w:r>
          </w:p>
        </w:tc>
      </w:tr>
      <w:tr w:rsidR="006621BE" w:rsidRPr="00A35D57" w14:paraId="3D48D945" w14:textId="77777777" w:rsidTr="001A72C9">
        <w:tc>
          <w:tcPr>
            <w:tcW w:w="993" w:type="dxa"/>
          </w:tcPr>
          <w:p w14:paraId="312550EF" w14:textId="77777777" w:rsidR="006621BE" w:rsidRPr="00A35D57" w:rsidRDefault="006621BE" w:rsidP="004B7C6A">
            <w:pPr>
              <w:tabs>
                <w:tab w:val="left" w:pos="875"/>
              </w:tabs>
              <w:ind w:right="-50"/>
              <w:jc w:val="center"/>
              <w:rPr>
                <w:rFonts w:ascii="Arial" w:hAnsi="Arial" w:cs="Arial"/>
                <w:b/>
              </w:rPr>
            </w:pPr>
            <w:r w:rsidRPr="00A35D57">
              <w:rPr>
                <w:rFonts w:ascii="Arial" w:hAnsi="Arial" w:cs="Arial"/>
                <w:b/>
              </w:rPr>
              <w:t>3</w:t>
            </w:r>
          </w:p>
        </w:tc>
        <w:tc>
          <w:tcPr>
            <w:tcW w:w="4253" w:type="dxa"/>
          </w:tcPr>
          <w:p w14:paraId="7F9EB604" w14:textId="77777777" w:rsidR="006621BE" w:rsidRPr="00A35D57" w:rsidRDefault="006621BE" w:rsidP="00EF5AF2">
            <w:pPr>
              <w:tabs>
                <w:tab w:val="left" w:pos="875"/>
              </w:tabs>
              <w:ind w:right="-50"/>
              <w:jc w:val="both"/>
              <w:rPr>
                <w:rFonts w:ascii="Arial" w:hAnsi="Arial" w:cs="Arial"/>
                <w:b/>
              </w:rPr>
            </w:pPr>
            <w:r w:rsidRPr="00A35D57">
              <w:rPr>
                <w:rFonts w:ascii="Arial" w:hAnsi="Arial" w:cs="Arial"/>
                <w:b/>
              </w:rPr>
              <w:t>Operativas:</w:t>
            </w:r>
          </w:p>
        </w:tc>
        <w:tc>
          <w:tcPr>
            <w:tcW w:w="5244" w:type="dxa"/>
          </w:tcPr>
          <w:p w14:paraId="06B9A574" w14:textId="77777777" w:rsidR="006621BE" w:rsidRPr="00A35D57" w:rsidRDefault="006621BE" w:rsidP="00EF5AF2">
            <w:pPr>
              <w:tabs>
                <w:tab w:val="left" w:pos="875"/>
              </w:tabs>
              <w:suppressAutoHyphens/>
              <w:ind w:right="-50"/>
              <w:jc w:val="both"/>
              <w:rPr>
                <w:rFonts w:ascii="Arial" w:eastAsia="Calibri" w:hAnsi="Arial" w:cs="Arial"/>
              </w:rPr>
            </w:pPr>
            <w:r w:rsidRPr="00A35D57">
              <w:rPr>
                <w:rFonts w:ascii="Arial" w:eastAsia="Calibri" w:hAnsi="Arial" w:cs="Arial"/>
              </w:rPr>
              <w:t>Consulta y generación de comprobantes contables aprobados: Para la consulta y generación se debe especificar fechas dentro un mismo mes. Limitando la ampliación de consulta de comprobantes con fechas diferentes en la anualidad.</w:t>
            </w:r>
          </w:p>
          <w:p w14:paraId="1B0CF922" w14:textId="77777777" w:rsidR="006621BE" w:rsidRPr="00A35D57" w:rsidRDefault="006621BE" w:rsidP="00EF5AF2">
            <w:pPr>
              <w:tabs>
                <w:tab w:val="left" w:pos="875"/>
              </w:tabs>
              <w:suppressAutoHyphens/>
              <w:ind w:right="-50"/>
              <w:jc w:val="both"/>
              <w:rPr>
                <w:rFonts w:ascii="Arial" w:eastAsia="Calibri" w:hAnsi="Arial" w:cs="Arial"/>
              </w:rPr>
            </w:pPr>
          </w:p>
          <w:p w14:paraId="5BBE4459" w14:textId="77777777" w:rsidR="006621BE" w:rsidRPr="00A35D57" w:rsidRDefault="006621BE" w:rsidP="00EF5AF2">
            <w:pPr>
              <w:tabs>
                <w:tab w:val="left" w:pos="875"/>
              </w:tabs>
              <w:suppressAutoHyphens/>
              <w:ind w:right="-50"/>
              <w:jc w:val="both"/>
              <w:rPr>
                <w:rFonts w:ascii="Arial" w:eastAsia="Calibri" w:hAnsi="Arial" w:cs="Arial"/>
              </w:rPr>
            </w:pPr>
            <w:r w:rsidRPr="00A35D57">
              <w:rPr>
                <w:rFonts w:ascii="Arial" w:eastAsia="Calibri" w:hAnsi="Arial" w:cs="Arial"/>
              </w:rPr>
              <w:t>Para la consulta masiva de comprobantes, se limita a generar solo 100 comprobantes. Generando demoras en el descargue, ya que en área de contabilidad el volumen de registros es grande durante los periodos mensuales.</w:t>
            </w:r>
          </w:p>
          <w:p w14:paraId="2D50F09C" w14:textId="77777777" w:rsidR="006621BE" w:rsidRPr="00A35D57" w:rsidRDefault="006621BE" w:rsidP="00EF5AF2">
            <w:pPr>
              <w:tabs>
                <w:tab w:val="left" w:pos="875"/>
              </w:tabs>
              <w:suppressAutoHyphens/>
              <w:ind w:right="-50"/>
              <w:jc w:val="both"/>
              <w:rPr>
                <w:rFonts w:ascii="Arial" w:eastAsia="Calibri" w:hAnsi="Arial" w:cs="Arial"/>
              </w:rPr>
            </w:pPr>
          </w:p>
          <w:p w14:paraId="152B6831" w14:textId="77777777" w:rsidR="006621BE" w:rsidRPr="00A35D57" w:rsidRDefault="006621BE" w:rsidP="00EF5AF2">
            <w:pPr>
              <w:tabs>
                <w:tab w:val="left" w:pos="875"/>
              </w:tabs>
              <w:ind w:right="-50"/>
              <w:jc w:val="both"/>
              <w:rPr>
                <w:rFonts w:ascii="Arial" w:hAnsi="Arial" w:cs="Arial"/>
              </w:rPr>
            </w:pPr>
            <w:r w:rsidRPr="00A35D57">
              <w:rPr>
                <w:rFonts w:ascii="Arial" w:eastAsia="Calibri" w:hAnsi="Arial" w:cs="Arial"/>
              </w:rPr>
              <w:t>Consulta y generación de Los listados de comprobantes aprobados: se debe especificar rangos de fechas dentro de un mismo mes. Limitando la ampliación de la búsqueda a un periodo más amplio dentro de la anualidad.</w:t>
            </w:r>
          </w:p>
        </w:tc>
      </w:tr>
      <w:tr w:rsidR="006621BE" w:rsidRPr="00A35D57" w14:paraId="3C6DAA2F" w14:textId="77777777" w:rsidTr="001A72C9">
        <w:tc>
          <w:tcPr>
            <w:tcW w:w="993" w:type="dxa"/>
          </w:tcPr>
          <w:p w14:paraId="2EC4121F" w14:textId="77777777" w:rsidR="006621BE" w:rsidRPr="00A35D57" w:rsidRDefault="006621BE" w:rsidP="004B7C6A">
            <w:pPr>
              <w:tabs>
                <w:tab w:val="left" w:pos="875"/>
              </w:tabs>
              <w:ind w:right="-50"/>
              <w:jc w:val="center"/>
              <w:rPr>
                <w:rFonts w:ascii="Arial" w:hAnsi="Arial" w:cs="Arial"/>
                <w:b/>
              </w:rPr>
            </w:pPr>
            <w:r w:rsidRPr="00A35D57">
              <w:rPr>
                <w:rFonts w:ascii="Arial" w:hAnsi="Arial" w:cs="Arial"/>
                <w:b/>
              </w:rPr>
              <w:t>4</w:t>
            </w:r>
          </w:p>
        </w:tc>
        <w:tc>
          <w:tcPr>
            <w:tcW w:w="4253" w:type="dxa"/>
          </w:tcPr>
          <w:p w14:paraId="32F7F1E0" w14:textId="77777777" w:rsidR="006621BE" w:rsidRPr="00A35D57" w:rsidRDefault="006621BE" w:rsidP="00EF5AF2">
            <w:pPr>
              <w:tabs>
                <w:tab w:val="left" w:pos="875"/>
              </w:tabs>
              <w:ind w:right="-50"/>
              <w:jc w:val="both"/>
              <w:rPr>
                <w:rFonts w:ascii="Arial" w:hAnsi="Arial" w:cs="Arial"/>
                <w:b/>
              </w:rPr>
            </w:pPr>
            <w:r w:rsidRPr="00A35D57">
              <w:rPr>
                <w:rFonts w:ascii="Arial" w:hAnsi="Arial" w:cs="Arial"/>
                <w:b/>
              </w:rPr>
              <w:t>Soporte a la plataforma:</w:t>
            </w:r>
          </w:p>
        </w:tc>
        <w:tc>
          <w:tcPr>
            <w:tcW w:w="5244" w:type="dxa"/>
          </w:tcPr>
          <w:p w14:paraId="6D06E435" w14:textId="77777777" w:rsidR="006621BE" w:rsidRPr="00A35D57" w:rsidRDefault="006621BE" w:rsidP="00EF5AF2">
            <w:pPr>
              <w:tabs>
                <w:tab w:val="left" w:pos="875"/>
              </w:tabs>
              <w:ind w:right="-50"/>
              <w:jc w:val="both"/>
              <w:rPr>
                <w:rFonts w:ascii="Arial" w:hAnsi="Arial" w:cs="Arial"/>
              </w:rPr>
            </w:pPr>
            <w:r w:rsidRPr="00A35D57">
              <w:rPr>
                <w:rFonts w:ascii="Arial" w:eastAsia="Calibri" w:hAnsi="Arial" w:cs="Arial"/>
              </w:rPr>
              <w:t>Que el SIIF debería realizar los mantenimientos a la plataforma y actualización de los procesos en horarios no laborales, deberían ser programados estos en horas de la noche o fines de semana.</w:t>
            </w:r>
          </w:p>
        </w:tc>
      </w:tr>
    </w:tbl>
    <w:p w14:paraId="56269A53" w14:textId="77777777" w:rsidR="006621BE" w:rsidRDefault="006621BE" w:rsidP="006621BE">
      <w:pPr>
        <w:ind w:right="-93"/>
        <w:jc w:val="both"/>
        <w:rPr>
          <w:rFonts w:ascii="Arial" w:hAnsi="Arial" w:cs="Arial"/>
          <w:b/>
          <w:sz w:val="24"/>
          <w:szCs w:val="24"/>
        </w:rPr>
      </w:pPr>
    </w:p>
    <w:p w14:paraId="21FB4669" w14:textId="77777777" w:rsidR="006621BE" w:rsidRPr="0084290C" w:rsidRDefault="006621BE" w:rsidP="008045C7">
      <w:pPr>
        <w:ind w:left="-284" w:right="-234"/>
        <w:jc w:val="both"/>
        <w:rPr>
          <w:rFonts w:ascii="Arial" w:hAnsi="Arial" w:cs="Arial"/>
          <w:b/>
          <w:sz w:val="28"/>
          <w:szCs w:val="28"/>
          <w:lang w:val="es-MX"/>
        </w:rPr>
      </w:pPr>
      <w:r w:rsidRPr="0084290C">
        <w:rPr>
          <w:rFonts w:ascii="Arial" w:hAnsi="Arial" w:cs="Arial"/>
          <w:b/>
          <w:sz w:val="28"/>
          <w:szCs w:val="28"/>
          <w:lang w:val="es-MX"/>
        </w:rPr>
        <w:t xml:space="preserve">336.- </w:t>
      </w:r>
      <w:r w:rsidRPr="0084290C">
        <w:rPr>
          <w:rFonts w:ascii="Arial" w:hAnsi="Arial" w:cs="Arial"/>
          <w:b/>
          <w:sz w:val="28"/>
          <w:szCs w:val="28"/>
          <w:lang w:val="es-CO"/>
        </w:rPr>
        <w:t xml:space="preserve">CORPORACIÓN AUTÓNOMA REGIONAL PARA LA DEFENSA DE LA MESETA DE BUCARAMANGA - CDMB. </w:t>
      </w:r>
    </w:p>
    <w:p w14:paraId="3FC8DEF8" w14:textId="77777777" w:rsidR="006621BE" w:rsidRDefault="006621BE" w:rsidP="006621BE">
      <w:pPr>
        <w:ind w:right="-93"/>
        <w:jc w:val="both"/>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6621BE" w:rsidRPr="0084290C" w14:paraId="055A5944" w14:textId="77777777" w:rsidTr="008045C7">
        <w:tc>
          <w:tcPr>
            <w:tcW w:w="993" w:type="dxa"/>
          </w:tcPr>
          <w:p w14:paraId="181EAC1C" w14:textId="77777777" w:rsidR="006621BE" w:rsidRPr="0084290C" w:rsidRDefault="006621BE" w:rsidP="00EF5AF2">
            <w:pPr>
              <w:tabs>
                <w:tab w:val="left" w:pos="875"/>
              </w:tabs>
              <w:jc w:val="center"/>
              <w:rPr>
                <w:rFonts w:ascii="Arial" w:hAnsi="Arial" w:cs="Arial"/>
                <w:b/>
              </w:rPr>
            </w:pPr>
            <w:r w:rsidRPr="0084290C">
              <w:rPr>
                <w:rFonts w:ascii="Arial" w:hAnsi="Arial" w:cs="Arial"/>
                <w:b/>
              </w:rPr>
              <w:t>N°</w:t>
            </w:r>
          </w:p>
        </w:tc>
        <w:tc>
          <w:tcPr>
            <w:tcW w:w="4253" w:type="dxa"/>
          </w:tcPr>
          <w:p w14:paraId="6BBD63BE" w14:textId="77777777" w:rsidR="006621BE" w:rsidRPr="0084290C" w:rsidRDefault="006621BE" w:rsidP="00EF5AF2">
            <w:pPr>
              <w:tabs>
                <w:tab w:val="left" w:pos="875"/>
              </w:tabs>
              <w:jc w:val="center"/>
              <w:rPr>
                <w:rFonts w:ascii="Arial" w:hAnsi="Arial" w:cs="Arial"/>
                <w:b/>
              </w:rPr>
            </w:pPr>
            <w:r w:rsidRPr="0084290C">
              <w:rPr>
                <w:rFonts w:ascii="Arial" w:hAnsi="Arial" w:cs="Arial"/>
                <w:b/>
              </w:rPr>
              <w:t>Limitaciones del Sistema SIIF II Nación a 31/12/2024</w:t>
            </w:r>
          </w:p>
          <w:p w14:paraId="5BA86B5B" w14:textId="77777777" w:rsidR="006621BE" w:rsidRPr="0084290C" w:rsidRDefault="006621BE" w:rsidP="00EF5AF2">
            <w:pPr>
              <w:tabs>
                <w:tab w:val="left" w:pos="875"/>
              </w:tabs>
              <w:jc w:val="center"/>
              <w:rPr>
                <w:rFonts w:ascii="Arial" w:hAnsi="Arial" w:cs="Arial"/>
                <w:b/>
              </w:rPr>
            </w:pPr>
          </w:p>
        </w:tc>
        <w:tc>
          <w:tcPr>
            <w:tcW w:w="5244" w:type="dxa"/>
          </w:tcPr>
          <w:p w14:paraId="672B5B4C" w14:textId="77777777" w:rsidR="006621BE" w:rsidRPr="0084290C" w:rsidRDefault="006621BE" w:rsidP="00EF5AF2">
            <w:pPr>
              <w:tabs>
                <w:tab w:val="left" w:pos="875"/>
              </w:tabs>
              <w:jc w:val="center"/>
              <w:rPr>
                <w:rFonts w:ascii="Arial" w:hAnsi="Arial" w:cs="Arial"/>
                <w:b/>
              </w:rPr>
            </w:pPr>
            <w:r w:rsidRPr="0084290C">
              <w:rPr>
                <w:rFonts w:ascii="Arial" w:hAnsi="Arial" w:cs="Arial"/>
                <w:b/>
              </w:rPr>
              <w:t>Descripción de la limitación</w:t>
            </w:r>
          </w:p>
        </w:tc>
      </w:tr>
      <w:tr w:rsidR="006621BE" w:rsidRPr="0084290C" w14:paraId="511ED9AF" w14:textId="77777777" w:rsidTr="008045C7">
        <w:tc>
          <w:tcPr>
            <w:tcW w:w="993" w:type="dxa"/>
          </w:tcPr>
          <w:p w14:paraId="761F3355" w14:textId="77777777" w:rsidR="006621BE" w:rsidRPr="0084290C" w:rsidRDefault="006621BE" w:rsidP="00EF5AF2">
            <w:pPr>
              <w:tabs>
                <w:tab w:val="left" w:pos="875"/>
              </w:tabs>
              <w:jc w:val="center"/>
              <w:rPr>
                <w:rFonts w:ascii="Arial" w:hAnsi="Arial" w:cs="Arial"/>
                <w:b/>
              </w:rPr>
            </w:pPr>
            <w:r w:rsidRPr="0084290C">
              <w:rPr>
                <w:rFonts w:ascii="Arial" w:hAnsi="Arial" w:cs="Arial"/>
                <w:b/>
              </w:rPr>
              <w:t>1</w:t>
            </w:r>
          </w:p>
        </w:tc>
        <w:tc>
          <w:tcPr>
            <w:tcW w:w="4253" w:type="dxa"/>
          </w:tcPr>
          <w:p w14:paraId="26013579" w14:textId="77777777" w:rsidR="006621BE" w:rsidRPr="0084290C" w:rsidRDefault="006621BE" w:rsidP="00EF5AF2">
            <w:pPr>
              <w:tabs>
                <w:tab w:val="left" w:pos="875"/>
              </w:tabs>
              <w:jc w:val="both"/>
              <w:rPr>
                <w:rFonts w:ascii="Arial" w:hAnsi="Arial" w:cs="Arial"/>
                <w:b/>
              </w:rPr>
            </w:pPr>
            <w:r w:rsidRPr="0084290C">
              <w:rPr>
                <w:rFonts w:ascii="Arial" w:hAnsi="Arial" w:cs="Arial"/>
                <w:b/>
              </w:rPr>
              <w:t>Operativas:</w:t>
            </w:r>
          </w:p>
        </w:tc>
        <w:tc>
          <w:tcPr>
            <w:tcW w:w="5244" w:type="dxa"/>
          </w:tcPr>
          <w:p w14:paraId="176D2486" w14:textId="77777777" w:rsidR="006621BE" w:rsidRPr="0084290C" w:rsidRDefault="006621BE" w:rsidP="00EF5AF2">
            <w:pPr>
              <w:tabs>
                <w:tab w:val="left" w:pos="875"/>
              </w:tabs>
              <w:jc w:val="both"/>
              <w:rPr>
                <w:rFonts w:ascii="Arial" w:hAnsi="Arial" w:cs="Arial"/>
              </w:rPr>
            </w:pPr>
            <w:r w:rsidRPr="0084290C">
              <w:rPr>
                <w:rFonts w:ascii="Arial" w:hAnsi="Arial" w:cs="Arial"/>
              </w:rPr>
              <w:t>No son claros los manuales que se encuentran en la página y se requiere constantemente asesoría telefónica</w:t>
            </w:r>
          </w:p>
        </w:tc>
      </w:tr>
    </w:tbl>
    <w:p w14:paraId="2791E079" w14:textId="77777777" w:rsidR="006621BE" w:rsidRDefault="006621BE" w:rsidP="006621BE">
      <w:pPr>
        <w:ind w:right="-93"/>
        <w:jc w:val="both"/>
        <w:rPr>
          <w:rFonts w:ascii="Arial" w:hAnsi="Arial" w:cs="Arial"/>
          <w:b/>
          <w:sz w:val="24"/>
          <w:szCs w:val="24"/>
        </w:rPr>
      </w:pPr>
    </w:p>
    <w:p w14:paraId="09A6994D" w14:textId="48183AF4" w:rsidR="00951330" w:rsidRPr="003F19CF" w:rsidRDefault="00951330" w:rsidP="00951330">
      <w:pPr>
        <w:ind w:left="-284" w:right="-518"/>
        <w:jc w:val="center"/>
        <w:rPr>
          <w:rFonts w:ascii="Arial" w:hAnsi="Arial" w:cs="Arial"/>
          <w:b/>
          <w:sz w:val="28"/>
          <w:szCs w:val="28"/>
          <w:lang w:val="es-ES_tradnl"/>
        </w:rPr>
      </w:pPr>
      <w:bookmarkStart w:id="20" w:name="_Hlk210821889"/>
      <w:r>
        <w:rPr>
          <w:rFonts w:ascii="Arial" w:hAnsi="Arial" w:cs="Arial"/>
          <w:b/>
          <w:sz w:val="28"/>
          <w:szCs w:val="28"/>
          <w:lang w:val="es-ES_tradnl"/>
        </w:rPr>
        <w:t>8</w:t>
      </w:r>
      <w:r w:rsidRPr="00951330">
        <w:rPr>
          <w:rFonts w:ascii="Arial" w:hAnsi="Arial" w:cs="Arial"/>
          <w:b/>
          <w:sz w:val="28"/>
          <w:szCs w:val="28"/>
          <w:u w:val="single"/>
          <w:lang w:val="es-ES_tradnl"/>
        </w:rPr>
        <w:t xml:space="preserve">.- UNIDADES EJECUTORAS DEL PRESUPUESTO GENERAL DE LA NACIÓN QUE LE REPORTARON A LA COMISIÓN LEGAL DE CUENTAS DE LA CÁMARA DE REPRESENTANTES </w:t>
      </w:r>
      <w:r w:rsidRPr="00951330">
        <w:rPr>
          <w:rFonts w:ascii="Arial" w:hAnsi="Arial" w:cs="Arial"/>
          <w:b/>
          <w:sz w:val="28"/>
          <w:szCs w:val="28"/>
          <w:u w:val="single"/>
        </w:rPr>
        <w:t xml:space="preserve">LIMITACIONES EN LA IMPLEMENTACIÓN Y PUESTA EN MARCHA DE LOS CLASIFICADORES PRESUPUESTALES </w:t>
      </w:r>
      <w:r w:rsidRPr="00951330">
        <w:rPr>
          <w:rFonts w:ascii="Arial" w:hAnsi="Arial" w:cs="Arial"/>
          <w:b/>
          <w:sz w:val="28"/>
          <w:szCs w:val="28"/>
          <w:u w:val="single"/>
          <w:lang w:val="es-ES_tradnl"/>
        </w:rPr>
        <w:t>A 31 DE DICIEMBRE DE 2024, ASÍ:</w:t>
      </w:r>
    </w:p>
    <w:bookmarkEnd w:id="20"/>
    <w:p w14:paraId="5753E4A8" w14:textId="77777777" w:rsidR="00951330" w:rsidRPr="003F19CF" w:rsidRDefault="00951330" w:rsidP="00951330">
      <w:pPr>
        <w:ind w:left="-284" w:right="-518"/>
        <w:jc w:val="both"/>
        <w:rPr>
          <w:rFonts w:ascii="Arial" w:hAnsi="Arial" w:cs="Arial"/>
          <w:sz w:val="28"/>
          <w:szCs w:val="28"/>
        </w:rPr>
      </w:pPr>
    </w:p>
    <w:p w14:paraId="47DADE5E" w14:textId="77777777" w:rsidR="00951330" w:rsidRPr="00AF0A22" w:rsidRDefault="00951330" w:rsidP="00951330">
      <w:pPr>
        <w:ind w:left="-284"/>
        <w:jc w:val="both"/>
        <w:rPr>
          <w:rFonts w:ascii="Arial" w:hAnsi="Arial" w:cs="Arial"/>
          <w:b/>
          <w:sz w:val="28"/>
          <w:szCs w:val="28"/>
          <w:lang w:val="es-MX"/>
        </w:rPr>
      </w:pPr>
      <w:r w:rsidRPr="00AF0A22">
        <w:rPr>
          <w:rFonts w:ascii="Arial" w:hAnsi="Arial" w:cs="Arial"/>
          <w:b/>
          <w:sz w:val="28"/>
          <w:szCs w:val="28"/>
          <w:lang w:val="es-MX"/>
        </w:rPr>
        <w:t>47.- INSTITUTO COLOMBIANO DE BIENESTAR FAMILIAR – ICBF.</w:t>
      </w:r>
    </w:p>
    <w:p w14:paraId="329190E5" w14:textId="77777777" w:rsidR="00951330" w:rsidRPr="00AF6363" w:rsidRDefault="00951330" w:rsidP="00951330">
      <w:pPr>
        <w:ind w:left="-284" w:right="-234"/>
        <w:jc w:val="both"/>
        <w:rPr>
          <w:rFonts w:ascii="Arial" w:hAnsi="Arial" w:cs="Arial"/>
          <w:b/>
          <w:sz w:val="28"/>
          <w:szCs w:val="28"/>
          <w:lang w:val="es-MX"/>
        </w:rPr>
      </w:pPr>
    </w:p>
    <w:tbl>
      <w:tblPr>
        <w:tblStyle w:val="Tablaconcuadrcula"/>
        <w:tblW w:w="10477" w:type="dxa"/>
        <w:jc w:val="center"/>
        <w:tblLook w:val="04A0" w:firstRow="1" w:lastRow="0" w:firstColumn="1" w:lastColumn="0" w:noHBand="0" w:noVBand="1"/>
      </w:tblPr>
      <w:tblGrid>
        <w:gridCol w:w="988"/>
        <w:gridCol w:w="9489"/>
      </w:tblGrid>
      <w:tr w:rsidR="00951330" w:rsidRPr="0070464F" w14:paraId="0C15D698" w14:textId="77777777" w:rsidTr="00EF5AF2">
        <w:trPr>
          <w:trHeight w:val="567"/>
          <w:jc w:val="center"/>
        </w:trPr>
        <w:tc>
          <w:tcPr>
            <w:tcW w:w="988" w:type="dxa"/>
            <w:vAlign w:val="center"/>
          </w:tcPr>
          <w:p w14:paraId="15706561" w14:textId="77777777" w:rsidR="00951330" w:rsidRPr="0070464F" w:rsidRDefault="00951330" w:rsidP="00EF5AF2">
            <w:pPr>
              <w:tabs>
                <w:tab w:val="left" w:pos="875"/>
              </w:tabs>
              <w:ind w:right="-50"/>
              <w:jc w:val="center"/>
              <w:rPr>
                <w:rFonts w:ascii="Arial" w:hAnsi="Arial" w:cs="Arial"/>
                <w:b/>
              </w:rPr>
            </w:pPr>
            <w:r w:rsidRPr="0070464F">
              <w:rPr>
                <w:rFonts w:ascii="Arial" w:hAnsi="Arial" w:cs="Arial"/>
                <w:b/>
              </w:rPr>
              <w:lastRenderedPageBreak/>
              <w:t>N°</w:t>
            </w:r>
          </w:p>
        </w:tc>
        <w:tc>
          <w:tcPr>
            <w:tcW w:w="9489" w:type="dxa"/>
            <w:vAlign w:val="center"/>
          </w:tcPr>
          <w:p w14:paraId="13EDF8F5" w14:textId="77777777" w:rsidR="00951330" w:rsidRPr="0070464F" w:rsidRDefault="00951330" w:rsidP="00EF5AF2">
            <w:pPr>
              <w:tabs>
                <w:tab w:val="left" w:pos="875"/>
              </w:tabs>
              <w:ind w:right="-50"/>
              <w:jc w:val="center"/>
              <w:rPr>
                <w:rFonts w:ascii="Arial" w:hAnsi="Arial" w:cs="Arial"/>
                <w:b/>
              </w:rPr>
            </w:pPr>
            <w:r w:rsidRPr="0070464F">
              <w:rPr>
                <w:rFonts w:ascii="Arial" w:hAnsi="Arial" w:cs="Arial"/>
                <w:b/>
              </w:rPr>
              <w:t xml:space="preserve">Limitaciones en la aplicación de los Clasificadores Presupuestales </w:t>
            </w:r>
          </w:p>
          <w:p w14:paraId="2B7483C1" w14:textId="77777777" w:rsidR="00951330" w:rsidRPr="0070464F" w:rsidRDefault="00951330" w:rsidP="00EF5AF2">
            <w:pPr>
              <w:tabs>
                <w:tab w:val="left" w:pos="875"/>
              </w:tabs>
              <w:ind w:right="-50"/>
              <w:jc w:val="center"/>
              <w:rPr>
                <w:rFonts w:ascii="Arial" w:hAnsi="Arial" w:cs="Arial"/>
                <w:b/>
              </w:rPr>
            </w:pPr>
            <w:r w:rsidRPr="0070464F">
              <w:rPr>
                <w:rFonts w:ascii="Arial" w:hAnsi="Arial" w:cs="Arial"/>
                <w:b/>
              </w:rPr>
              <w:t>durante la vigencia fiscal 2024</w:t>
            </w:r>
          </w:p>
          <w:p w14:paraId="2FEF5828" w14:textId="77777777" w:rsidR="00951330" w:rsidRPr="0070464F" w:rsidRDefault="00951330" w:rsidP="00EF5AF2">
            <w:pPr>
              <w:tabs>
                <w:tab w:val="left" w:pos="875"/>
              </w:tabs>
              <w:ind w:right="-50"/>
              <w:jc w:val="center"/>
              <w:rPr>
                <w:rFonts w:ascii="Arial" w:hAnsi="Arial" w:cs="Arial"/>
                <w:b/>
              </w:rPr>
            </w:pPr>
          </w:p>
        </w:tc>
      </w:tr>
      <w:tr w:rsidR="00951330" w:rsidRPr="0070464F" w14:paraId="4B4D5DA7" w14:textId="77777777" w:rsidTr="00EF5AF2">
        <w:trPr>
          <w:trHeight w:val="340"/>
          <w:jc w:val="center"/>
        </w:trPr>
        <w:tc>
          <w:tcPr>
            <w:tcW w:w="988" w:type="dxa"/>
          </w:tcPr>
          <w:p w14:paraId="3CD63373" w14:textId="77777777" w:rsidR="00951330" w:rsidRPr="0070464F" w:rsidRDefault="00951330" w:rsidP="00EF5AF2">
            <w:pPr>
              <w:tabs>
                <w:tab w:val="left" w:pos="875"/>
              </w:tabs>
              <w:ind w:right="-50"/>
              <w:jc w:val="center"/>
              <w:rPr>
                <w:rFonts w:ascii="Arial" w:hAnsi="Arial" w:cs="Arial"/>
                <w:b/>
              </w:rPr>
            </w:pPr>
            <w:r w:rsidRPr="0070464F">
              <w:rPr>
                <w:rFonts w:ascii="Arial" w:hAnsi="Arial" w:cs="Arial"/>
                <w:b/>
              </w:rPr>
              <w:t>1</w:t>
            </w:r>
          </w:p>
        </w:tc>
        <w:tc>
          <w:tcPr>
            <w:tcW w:w="9489" w:type="dxa"/>
          </w:tcPr>
          <w:p w14:paraId="00809F65" w14:textId="77777777" w:rsidR="00951330" w:rsidRPr="0070464F" w:rsidRDefault="00951330" w:rsidP="00EF5AF2">
            <w:pPr>
              <w:tabs>
                <w:tab w:val="left" w:pos="875"/>
              </w:tabs>
              <w:ind w:right="-50"/>
              <w:jc w:val="both"/>
              <w:rPr>
                <w:rFonts w:ascii="Arial" w:hAnsi="Arial" w:cs="Arial"/>
              </w:rPr>
            </w:pPr>
            <w:r w:rsidRPr="0070464F">
              <w:rPr>
                <w:rFonts w:ascii="Arial" w:hAnsi="Arial" w:cs="Arial"/>
              </w:rPr>
              <w:t>La Subdirección de Programación de la Dirección de Planeación y Control de Gestión acoge los Lineamientos que el Ministerio de Hacienda y Crédito Público disponga en su sitio web oficial, para el Catálogo de Clasificación Presupuestal de gasto de Funcionamiento, Deuda e Inversión; por tal motivo cualquier actualización y/o modificación que esté realice a éstos, podrían afectar la desagregación, distribución y asignación del presupuesto de ingresos y de gastos del Instituto Colombiano de Bienestar Familiar – ICBF, situación que se presentó en la  Vigencia Fiscal del 2024.</w:t>
            </w:r>
          </w:p>
          <w:p w14:paraId="616F8649" w14:textId="77777777" w:rsidR="00951330" w:rsidRPr="0070464F" w:rsidRDefault="00951330" w:rsidP="00EF5AF2">
            <w:pPr>
              <w:tabs>
                <w:tab w:val="left" w:pos="875"/>
              </w:tabs>
              <w:ind w:right="-50"/>
              <w:jc w:val="both"/>
              <w:rPr>
                <w:rFonts w:ascii="Arial" w:hAnsi="Arial" w:cs="Arial"/>
              </w:rPr>
            </w:pPr>
          </w:p>
          <w:p w14:paraId="0E7F78E3" w14:textId="77777777" w:rsidR="00951330" w:rsidRPr="0070464F" w:rsidRDefault="00951330" w:rsidP="00EF5AF2">
            <w:pPr>
              <w:jc w:val="both"/>
              <w:rPr>
                <w:rFonts w:ascii="Arial" w:hAnsi="Arial" w:cs="Arial"/>
                <w:b/>
                <w:sz w:val="22"/>
                <w:szCs w:val="22"/>
                <w:lang w:val="es-MX"/>
              </w:rPr>
            </w:pPr>
            <w:r w:rsidRPr="0070464F">
              <w:rPr>
                <w:rFonts w:ascii="Arial" w:hAnsi="Arial" w:cs="Arial"/>
              </w:rPr>
              <w:t xml:space="preserve">Tomando como base lo anterior, se hizo necesario expedir la RESOLUCIÓN No. 0129 DEL 19 DE ENERO DE 2024 </w:t>
            </w:r>
            <w:r w:rsidRPr="0070464F">
              <w:rPr>
                <w:rFonts w:ascii="Arial" w:hAnsi="Arial" w:cs="Arial"/>
                <w:i/>
              </w:rPr>
              <w:t>“Por la cual se modifica la desagregación, distribución y asignación a la Unidad, a las Regionales y a la Sede de la Dirección General del Instituto Colombiano de Bienestar Familiar contemplada en el artículo segundo de la Resolución No. 0001 del 01 de enero de 2024 y se deroga la Resolución No. 0049 del 4 de enero de 2024”.</w:t>
            </w:r>
          </w:p>
        </w:tc>
      </w:tr>
    </w:tbl>
    <w:p w14:paraId="720EAA8E" w14:textId="77777777" w:rsidR="00951330" w:rsidRDefault="00951330" w:rsidP="00951330"/>
    <w:p w14:paraId="37B1F017" w14:textId="77777777" w:rsidR="00951330" w:rsidRPr="00413CBA" w:rsidRDefault="00951330" w:rsidP="00951330">
      <w:pPr>
        <w:ind w:left="-284"/>
        <w:jc w:val="both"/>
        <w:rPr>
          <w:rFonts w:ascii="Arial" w:hAnsi="Arial" w:cs="Arial"/>
          <w:b/>
          <w:sz w:val="28"/>
          <w:szCs w:val="28"/>
          <w:lang w:val="es-MX"/>
        </w:rPr>
      </w:pPr>
      <w:r w:rsidRPr="00413CBA">
        <w:rPr>
          <w:rFonts w:ascii="Arial" w:hAnsi="Arial" w:cs="Arial"/>
          <w:b/>
          <w:sz w:val="28"/>
          <w:szCs w:val="28"/>
          <w:lang w:val="es-MX"/>
        </w:rPr>
        <w:t>70.- INSTITUTO NACIONAL PARA CIEGOS - INCI.</w:t>
      </w:r>
    </w:p>
    <w:p w14:paraId="4054686A" w14:textId="77777777" w:rsidR="00951330" w:rsidRDefault="00951330" w:rsidP="00951330"/>
    <w:tbl>
      <w:tblPr>
        <w:tblStyle w:val="Tablaconcuadrcula"/>
        <w:tblW w:w="10490" w:type="dxa"/>
        <w:tblInd w:w="-289" w:type="dxa"/>
        <w:tblLook w:val="04A0" w:firstRow="1" w:lastRow="0" w:firstColumn="1" w:lastColumn="0" w:noHBand="0" w:noVBand="1"/>
      </w:tblPr>
      <w:tblGrid>
        <w:gridCol w:w="993"/>
        <w:gridCol w:w="9497"/>
      </w:tblGrid>
      <w:tr w:rsidR="00951330" w:rsidRPr="00EA594E" w14:paraId="6B07E42D" w14:textId="77777777" w:rsidTr="00951330">
        <w:tc>
          <w:tcPr>
            <w:tcW w:w="993" w:type="dxa"/>
          </w:tcPr>
          <w:p w14:paraId="01367DFB" w14:textId="77777777" w:rsidR="00951330" w:rsidRPr="00EA594E" w:rsidRDefault="00951330" w:rsidP="00EF5AF2">
            <w:pPr>
              <w:tabs>
                <w:tab w:val="left" w:pos="875"/>
              </w:tabs>
              <w:ind w:right="-50"/>
              <w:jc w:val="center"/>
              <w:rPr>
                <w:rFonts w:ascii="Arial" w:hAnsi="Arial" w:cs="Arial"/>
                <w:b/>
              </w:rPr>
            </w:pPr>
            <w:r w:rsidRPr="00EA594E">
              <w:rPr>
                <w:rFonts w:ascii="Arial" w:hAnsi="Arial" w:cs="Arial"/>
                <w:b/>
              </w:rPr>
              <w:t>N°</w:t>
            </w:r>
          </w:p>
        </w:tc>
        <w:tc>
          <w:tcPr>
            <w:tcW w:w="9497" w:type="dxa"/>
          </w:tcPr>
          <w:p w14:paraId="228BC700" w14:textId="77777777" w:rsidR="00951330" w:rsidRPr="00EA594E" w:rsidRDefault="00951330" w:rsidP="00EF5AF2">
            <w:pPr>
              <w:tabs>
                <w:tab w:val="left" w:pos="875"/>
              </w:tabs>
              <w:ind w:right="-50"/>
              <w:jc w:val="center"/>
              <w:rPr>
                <w:rFonts w:ascii="Arial" w:hAnsi="Arial" w:cs="Arial"/>
                <w:b/>
              </w:rPr>
            </w:pPr>
            <w:r w:rsidRPr="00EA594E">
              <w:rPr>
                <w:rFonts w:ascii="Arial" w:hAnsi="Arial" w:cs="Arial"/>
                <w:b/>
              </w:rPr>
              <w:t xml:space="preserve">Limitaciones en la aplicación de los Clasificadores Presupuestales durante </w:t>
            </w:r>
          </w:p>
          <w:p w14:paraId="675E030C" w14:textId="77777777" w:rsidR="00951330" w:rsidRPr="00EA594E" w:rsidRDefault="00951330" w:rsidP="00EF5AF2">
            <w:pPr>
              <w:tabs>
                <w:tab w:val="left" w:pos="875"/>
              </w:tabs>
              <w:ind w:right="-50"/>
              <w:jc w:val="center"/>
              <w:rPr>
                <w:rFonts w:ascii="Arial" w:hAnsi="Arial" w:cs="Arial"/>
                <w:b/>
              </w:rPr>
            </w:pPr>
            <w:r w:rsidRPr="00EA594E">
              <w:rPr>
                <w:rFonts w:ascii="Arial" w:hAnsi="Arial" w:cs="Arial"/>
                <w:b/>
              </w:rPr>
              <w:t>la vigencia fiscal 2024</w:t>
            </w:r>
          </w:p>
          <w:p w14:paraId="1CA7C39B" w14:textId="77777777" w:rsidR="00951330" w:rsidRPr="00EA594E" w:rsidRDefault="00951330" w:rsidP="00EF5AF2">
            <w:pPr>
              <w:tabs>
                <w:tab w:val="left" w:pos="875"/>
              </w:tabs>
              <w:ind w:right="-50"/>
              <w:jc w:val="center"/>
              <w:rPr>
                <w:rFonts w:ascii="Arial" w:hAnsi="Arial" w:cs="Arial"/>
                <w:b/>
              </w:rPr>
            </w:pPr>
          </w:p>
        </w:tc>
      </w:tr>
      <w:tr w:rsidR="00951330" w:rsidRPr="00EA594E" w14:paraId="02A6405C" w14:textId="77777777" w:rsidTr="00951330">
        <w:tc>
          <w:tcPr>
            <w:tcW w:w="993" w:type="dxa"/>
          </w:tcPr>
          <w:p w14:paraId="28C98E81" w14:textId="77777777" w:rsidR="00951330" w:rsidRPr="00EA594E" w:rsidRDefault="00951330" w:rsidP="00EF5AF2">
            <w:pPr>
              <w:tabs>
                <w:tab w:val="left" w:pos="875"/>
              </w:tabs>
              <w:ind w:right="-50"/>
              <w:jc w:val="center"/>
              <w:rPr>
                <w:rFonts w:ascii="Arial" w:hAnsi="Arial" w:cs="Arial"/>
                <w:b/>
              </w:rPr>
            </w:pPr>
            <w:r w:rsidRPr="00EA594E">
              <w:rPr>
                <w:rFonts w:ascii="Arial" w:hAnsi="Arial" w:cs="Arial"/>
                <w:b/>
              </w:rPr>
              <w:t>1</w:t>
            </w:r>
          </w:p>
        </w:tc>
        <w:tc>
          <w:tcPr>
            <w:tcW w:w="9497" w:type="dxa"/>
          </w:tcPr>
          <w:p w14:paraId="576CC3F4" w14:textId="77777777" w:rsidR="00951330" w:rsidRPr="00EA594E" w:rsidRDefault="00951330" w:rsidP="00EF5AF2">
            <w:pPr>
              <w:tabs>
                <w:tab w:val="left" w:pos="875"/>
              </w:tabs>
              <w:ind w:right="-50"/>
              <w:jc w:val="both"/>
              <w:rPr>
                <w:rFonts w:ascii="Arial" w:hAnsi="Arial" w:cs="Arial"/>
                <w:bCs/>
              </w:rPr>
            </w:pPr>
            <w:r w:rsidRPr="00EA594E">
              <w:rPr>
                <w:rFonts w:ascii="Arial" w:hAnsi="Arial" w:cs="Arial"/>
                <w:bCs/>
              </w:rPr>
              <w:t>La entidad ha implementado los clasificadores presupuestales de acuerdo al catálogo de cuentas presupuestales, sin embargo, en ocasiones el detalle en el manual de clasificación presupuestal no es tan específico y en ocasiones se presenta dificultad para casos particulares como gastos de aseo y cafetería, en los que no es claro en qué rubro clasificarse y conlleva mucho tiempo obtener respuesta a la solicitud.</w:t>
            </w:r>
          </w:p>
        </w:tc>
      </w:tr>
    </w:tbl>
    <w:p w14:paraId="3EFFBF4C" w14:textId="77777777" w:rsidR="00951330" w:rsidRDefault="00951330" w:rsidP="00951330"/>
    <w:p w14:paraId="745A9116" w14:textId="77777777" w:rsidR="00951330" w:rsidRPr="00CE224C" w:rsidRDefault="00951330" w:rsidP="00951330">
      <w:pPr>
        <w:ind w:left="-284"/>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517CFEF7" w14:textId="77777777" w:rsidR="00951330" w:rsidRDefault="00951330" w:rsidP="00951330"/>
    <w:tbl>
      <w:tblPr>
        <w:tblStyle w:val="Tablaconcuadrcula"/>
        <w:tblW w:w="10490" w:type="dxa"/>
        <w:tblInd w:w="-289" w:type="dxa"/>
        <w:tblLook w:val="04A0" w:firstRow="1" w:lastRow="0" w:firstColumn="1" w:lastColumn="0" w:noHBand="0" w:noVBand="1"/>
      </w:tblPr>
      <w:tblGrid>
        <w:gridCol w:w="993"/>
        <w:gridCol w:w="9497"/>
      </w:tblGrid>
      <w:tr w:rsidR="00951330" w:rsidRPr="008D199D" w14:paraId="6DCD8016" w14:textId="77777777" w:rsidTr="00951330">
        <w:tc>
          <w:tcPr>
            <w:tcW w:w="993" w:type="dxa"/>
          </w:tcPr>
          <w:p w14:paraId="434E1AE1" w14:textId="77777777" w:rsidR="00951330" w:rsidRPr="008D199D" w:rsidRDefault="00951330" w:rsidP="00EF5AF2">
            <w:pPr>
              <w:tabs>
                <w:tab w:val="left" w:pos="875"/>
              </w:tabs>
              <w:ind w:right="-50"/>
              <w:jc w:val="center"/>
              <w:rPr>
                <w:rFonts w:ascii="Arial" w:hAnsi="Arial" w:cs="Arial"/>
                <w:b/>
              </w:rPr>
            </w:pPr>
            <w:r w:rsidRPr="008D199D">
              <w:rPr>
                <w:rFonts w:ascii="Arial" w:hAnsi="Arial" w:cs="Arial"/>
                <w:b/>
              </w:rPr>
              <w:t>N°</w:t>
            </w:r>
          </w:p>
        </w:tc>
        <w:tc>
          <w:tcPr>
            <w:tcW w:w="9497" w:type="dxa"/>
          </w:tcPr>
          <w:p w14:paraId="2669F8B7" w14:textId="77777777" w:rsidR="00951330" w:rsidRPr="008D199D" w:rsidRDefault="00951330" w:rsidP="00EF5AF2">
            <w:pPr>
              <w:tabs>
                <w:tab w:val="left" w:pos="875"/>
              </w:tabs>
              <w:ind w:right="-50"/>
              <w:jc w:val="center"/>
              <w:rPr>
                <w:rFonts w:ascii="Arial" w:hAnsi="Arial" w:cs="Arial"/>
                <w:b/>
              </w:rPr>
            </w:pPr>
            <w:r w:rsidRPr="008D199D">
              <w:rPr>
                <w:rFonts w:ascii="Arial" w:hAnsi="Arial" w:cs="Arial"/>
                <w:b/>
              </w:rPr>
              <w:t xml:space="preserve">Limitaciones en la aplicación de los Clasificadores Presupuestales durante </w:t>
            </w:r>
          </w:p>
          <w:p w14:paraId="4A774930" w14:textId="77777777" w:rsidR="00951330" w:rsidRPr="008D199D" w:rsidRDefault="00951330" w:rsidP="00EF5AF2">
            <w:pPr>
              <w:tabs>
                <w:tab w:val="left" w:pos="875"/>
              </w:tabs>
              <w:ind w:right="-50"/>
              <w:jc w:val="center"/>
              <w:rPr>
                <w:rFonts w:ascii="Arial" w:hAnsi="Arial" w:cs="Arial"/>
                <w:b/>
              </w:rPr>
            </w:pPr>
            <w:r w:rsidRPr="008D199D">
              <w:rPr>
                <w:rFonts w:ascii="Arial" w:hAnsi="Arial" w:cs="Arial"/>
                <w:b/>
              </w:rPr>
              <w:t>la vigencia fiscal 2024</w:t>
            </w:r>
          </w:p>
          <w:p w14:paraId="5D3FA5EE" w14:textId="77777777" w:rsidR="00951330" w:rsidRPr="008D199D" w:rsidRDefault="00951330" w:rsidP="00EF5AF2">
            <w:pPr>
              <w:tabs>
                <w:tab w:val="left" w:pos="875"/>
              </w:tabs>
              <w:ind w:right="-50"/>
              <w:jc w:val="center"/>
              <w:rPr>
                <w:rFonts w:ascii="Arial" w:hAnsi="Arial" w:cs="Arial"/>
                <w:b/>
              </w:rPr>
            </w:pPr>
          </w:p>
        </w:tc>
      </w:tr>
      <w:tr w:rsidR="00951330" w:rsidRPr="008D199D" w14:paraId="243E8B1F" w14:textId="77777777" w:rsidTr="00951330">
        <w:tc>
          <w:tcPr>
            <w:tcW w:w="993" w:type="dxa"/>
          </w:tcPr>
          <w:p w14:paraId="7FB7CA05" w14:textId="77777777" w:rsidR="00951330" w:rsidRPr="008D199D" w:rsidRDefault="00951330" w:rsidP="00EF5AF2">
            <w:pPr>
              <w:tabs>
                <w:tab w:val="left" w:pos="875"/>
              </w:tabs>
              <w:ind w:right="-50"/>
              <w:jc w:val="center"/>
              <w:rPr>
                <w:rFonts w:ascii="Arial" w:hAnsi="Arial" w:cs="Arial"/>
                <w:b/>
              </w:rPr>
            </w:pPr>
            <w:r w:rsidRPr="008D199D">
              <w:rPr>
                <w:rFonts w:ascii="Arial" w:hAnsi="Arial" w:cs="Arial"/>
                <w:b/>
              </w:rPr>
              <w:t>1</w:t>
            </w:r>
          </w:p>
        </w:tc>
        <w:tc>
          <w:tcPr>
            <w:tcW w:w="9497" w:type="dxa"/>
          </w:tcPr>
          <w:p w14:paraId="48CE0FBC" w14:textId="77777777" w:rsidR="00951330" w:rsidRPr="008D199D" w:rsidRDefault="00951330" w:rsidP="00EF5AF2">
            <w:pPr>
              <w:tabs>
                <w:tab w:val="left" w:pos="875"/>
              </w:tabs>
              <w:ind w:right="-50"/>
              <w:jc w:val="both"/>
              <w:rPr>
                <w:rFonts w:ascii="Arial" w:hAnsi="Arial" w:cs="Arial"/>
                <w:b/>
              </w:rPr>
            </w:pPr>
            <w:r w:rsidRPr="008D199D">
              <w:rPr>
                <w:rFonts w:ascii="Arial" w:hAnsi="Arial" w:cs="Arial"/>
                <w:bCs/>
              </w:rPr>
              <w:t>El proceso de elección del rubro y uso presupuestal, de acuerdo con el catálogo de clasificación presupuestal establecido con Resolución 042 de 2019, conlleva una mayor dedicación de tiempo y análisis por parte del personal asignado en las distintas etapas del proceso, por su extensa composición la cual a su vez debe ser validada con el Clasificador Central de Productos del DANE, situación que genera demoras en los procesos de gestión misionales debido a los trámites administrativos requeridos.</w:t>
            </w:r>
          </w:p>
        </w:tc>
      </w:tr>
    </w:tbl>
    <w:p w14:paraId="0E6BE65A" w14:textId="77777777" w:rsidR="00951330" w:rsidRDefault="00951330" w:rsidP="00951330"/>
    <w:p w14:paraId="5C70C61D" w14:textId="77777777" w:rsidR="00951330" w:rsidRPr="00A17947" w:rsidRDefault="00951330" w:rsidP="00951330">
      <w:pPr>
        <w:ind w:left="-284"/>
        <w:jc w:val="both"/>
        <w:rPr>
          <w:rFonts w:ascii="Arial" w:hAnsi="Arial" w:cs="Arial"/>
          <w:b/>
          <w:sz w:val="28"/>
          <w:szCs w:val="28"/>
          <w:lang w:val="es-MX"/>
        </w:rPr>
      </w:pPr>
      <w:r w:rsidRPr="00A17947">
        <w:rPr>
          <w:rFonts w:ascii="Arial" w:hAnsi="Arial" w:cs="Arial"/>
          <w:b/>
          <w:sz w:val="28"/>
          <w:szCs w:val="28"/>
          <w:lang w:val="es-MX"/>
        </w:rPr>
        <w:t>79.- MINISTERIO DEL DEPORTE.</w:t>
      </w:r>
    </w:p>
    <w:p w14:paraId="6D6D21F2" w14:textId="77777777" w:rsidR="00951330" w:rsidRDefault="00951330" w:rsidP="00951330"/>
    <w:tbl>
      <w:tblPr>
        <w:tblStyle w:val="Tablaconcuadrcula"/>
        <w:tblW w:w="10490" w:type="dxa"/>
        <w:tblInd w:w="-289" w:type="dxa"/>
        <w:tblLook w:val="04A0" w:firstRow="1" w:lastRow="0" w:firstColumn="1" w:lastColumn="0" w:noHBand="0" w:noVBand="1"/>
      </w:tblPr>
      <w:tblGrid>
        <w:gridCol w:w="993"/>
        <w:gridCol w:w="9497"/>
      </w:tblGrid>
      <w:tr w:rsidR="00951330" w:rsidRPr="00D0511E" w14:paraId="24193B1F" w14:textId="77777777" w:rsidTr="00951330">
        <w:tc>
          <w:tcPr>
            <w:tcW w:w="993" w:type="dxa"/>
          </w:tcPr>
          <w:p w14:paraId="0EBC31D6" w14:textId="77777777" w:rsidR="00951330" w:rsidRPr="00D0511E" w:rsidRDefault="00951330" w:rsidP="00EF5AF2">
            <w:pPr>
              <w:tabs>
                <w:tab w:val="left" w:pos="875"/>
              </w:tabs>
              <w:ind w:right="-50"/>
              <w:jc w:val="center"/>
              <w:rPr>
                <w:rFonts w:ascii="Arial" w:hAnsi="Arial" w:cs="Arial"/>
                <w:b/>
              </w:rPr>
            </w:pPr>
            <w:r w:rsidRPr="00D0511E">
              <w:rPr>
                <w:rFonts w:ascii="Arial" w:hAnsi="Arial" w:cs="Arial"/>
                <w:b/>
              </w:rPr>
              <w:t>N°</w:t>
            </w:r>
          </w:p>
        </w:tc>
        <w:tc>
          <w:tcPr>
            <w:tcW w:w="9497" w:type="dxa"/>
          </w:tcPr>
          <w:p w14:paraId="64D08807" w14:textId="77777777" w:rsidR="00951330" w:rsidRPr="00D0511E" w:rsidRDefault="00951330" w:rsidP="00EF5AF2">
            <w:pPr>
              <w:tabs>
                <w:tab w:val="left" w:pos="875"/>
              </w:tabs>
              <w:ind w:right="-50"/>
              <w:jc w:val="center"/>
              <w:rPr>
                <w:rFonts w:ascii="Arial" w:hAnsi="Arial" w:cs="Arial"/>
                <w:b/>
              </w:rPr>
            </w:pPr>
            <w:r w:rsidRPr="00D0511E">
              <w:rPr>
                <w:rFonts w:ascii="Arial" w:hAnsi="Arial" w:cs="Arial"/>
                <w:b/>
              </w:rPr>
              <w:t xml:space="preserve">Limitaciones en la aplicación de los Clasificadores Presupuestales durante </w:t>
            </w:r>
          </w:p>
          <w:p w14:paraId="2EFF519B" w14:textId="77777777" w:rsidR="00951330" w:rsidRPr="00D0511E" w:rsidRDefault="00951330" w:rsidP="00EF5AF2">
            <w:pPr>
              <w:tabs>
                <w:tab w:val="left" w:pos="875"/>
              </w:tabs>
              <w:ind w:right="-50"/>
              <w:jc w:val="center"/>
              <w:rPr>
                <w:rFonts w:ascii="Arial" w:hAnsi="Arial" w:cs="Arial"/>
                <w:b/>
              </w:rPr>
            </w:pPr>
            <w:r w:rsidRPr="00D0511E">
              <w:rPr>
                <w:rFonts w:ascii="Arial" w:hAnsi="Arial" w:cs="Arial"/>
                <w:b/>
              </w:rPr>
              <w:t>la vigencia fiscal 2024</w:t>
            </w:r>
          </w:p>
          <w:p w14:paraId="13EA71B7" w14:textId="77777777" w:rsidR="00951330" w:rsidRPr="00D0511E" w:rsidRDefault="00951330" w:rsidP="00EF5AF2">
            <w:pPr>
              <w:tabs>
                <w:tab w:val="left" w:pos="875"/>
              </w:tabs>
              <w:ind w:right="-50"/>
              <w:jc w:val="center"/>
              <w:rPr>
                <w:rFonts w:ascii="Arial" w:hAnsi="Arial" w:cs="Arial"/>
                <w:b/>
              </w:rPr>
            </w:pPr>
          </w:p>
        </w:tc>
      </w:tr>
      <w:tr w:rsidR="00951330" w:rsidRPr="00D0511E" w14:paraId="2F10BADC" w14:textId="77777777" w:rsidTr="00951330">
        <w:tc>
          <w:tcPr>
            <w:tcW w:w="993" w:type="dxa"/>
          </w:tcPr>
          <w:p w14:paraId="76FDCC3B" w14:textId="77777777" w:rsidR="00951330" w:rsidRPr="00D0511E" w:rsidRDefault="00951330" w:rsidP="00EF5AF2">
            <w:pPr>
              <w:tabs>
                <w:tab w:val="left" w:pos="875"/>
              </w:tabs>
              <w:ind w:right="-50"/>
              <w:jc w:val="center"/>
              <w:rPr>
                <w:rFonts w:ascii="Arial" w:hAnsi="Arial" w:cs="Arial"/>
                <w:b/>
              </w:rPr>
            </w:pPr>
            <w:r w:rsidRPr="00D0511E">
              <w:rPr>
                <w:rFonts w:ascii="Arial" w:hAnsi="Arial" w:cs="Arial"/>
                <w:b/>
              </w:rPr>
              <w:t>1</w:t>
            </w:r>
          </w:p>
        </w:tc>
        <w:tc>
          <w:tcPr>
            <w:tcW w:w="9497" w:type="dxa"/>
          </w:tcPr>
          <w:p w14:paraId="0190E794" w14:textId="77777777" w:rsidR="00951330" w:rsidRPr="00D0511E" w:rsidRDefault="00951330" w:rsidP="00EF5AF2">
            <w:pPr>
              <w:tabs>
                <w:tab w:val="left" w:pos="875"/>
              </w:tabs>
              <w:ind w:right="-50"/>
              <w:jc w:val="both"/>
              <w:rPr>
                <w:rFonts w:ascii="Arial" w:hAnsi="Arial" w:cs="Arial"/>
                <w:bCs/>
              </w:rPr>
            </w:pPr>
            <w:r w:rsidRPr="00D0511E">
              <w:rPr>
                <w:rFonts w:ascii="Arial" w:hAnsi="Arial" w:cs="Arial"/>
                <w:bCs/>
              </w:rPr>
              <w:t>Se presentaron inconvenientes y demoras por parte del SIIF, en la creación y posterior vinculación de un nuevo uso presupuestal requerido para la ejecución de los proyectos de recursos y herramientas del Sistema Nacional del Deporte: A-04-02-002 APOYO A LA INFRAESTRUCTURA DEPORTIVA Y DE ALTA COMPETENCIA, situación que afecto la ejecución oportuna de estos recursos.</w:t>
            </w:r>
          </w:p>
        </w:tc>
      </w:tr>
    </w:tbl>
    <w:p w14:paraId="2FDD5634" w14:textId="77777777" w:rsidR="00951330" w:rsidRDefault="00951330" w:rsidP="00951330"/>
    <w:p w14:paraId="5940C46C" w14:textId="77777777" w:rsidR="00951330" w:rsidRPr="00520845" w:rsidRDefault="00951330" w:rsidP="00951330">
      <w:pPr>
        <w:ind w:left="-284" w:right="-234"/>
        <w:jc w:val="both"/>
        <w:rPr>
          <w:rFonts w:ascii="Arial" w:hAnsi="Arial" w:cs="Arial"/>
          <w:b/>
          <w:sz w:val="28"/>
          <w:szCs w:val="28"/>
          <w:lang w:val="es-MX"/>
        </w:rPr>
      </w:pPr>
      <w:r w:rsidRPr="00520845">
        <w:rPr>
          <w:rFonts w:ascii="Arial" w:hAnsi="Arial" w:cs="Arial"/>
          <w:b/>
          <w:sz w:val="28"/>
          <w:szCs w:val="28"/>
          <w:lang w:val="es-MX"/>
        </w:rPr>
        <w:t xml:space="preserve">109.- INSTITUTO TOLIMENSE DE FORMACIÓN TÉCNICA PROFESIONAL – ITFIP. </w:t>
      </w:r>
    </w:p>
    <w:p w14:paraId="24BC35EB" w14:textId="77777777" w:rsidR="00951330" w:rsidRDefault="00951330" w:rsidP="00951330">
      <w:pPr>
        <w:rPr>
          <w:lang w:val="es-MX"/>
        </w:rPr>
      </w:pPr>
    </w:p>
    <w:tbl>
      <w:tblPr>
        <w:tblStyle w:val="Tablaconcuadrcula"/>
        <w:tblW w:w="10490" w:type="dxa"/>
        <w:tblInd w:w="-289" w:type="dxa"/>
        <w:tblLook w:val="04A0" w:firstRow="1" w:lastRow="0" w:firstColumn="1" w:lastColumn="0" w:noHBand="0" w:noVBand="1"/>
      </w:tblPr>
      <w:tblGrid>
        <w:gridCol w:w="993"/>
        <w:gridCol w:w="9497"/>
      </w:tblGrid>
      <w:tr w:rsidR="00951330" w:rsidRPr="0022490E" w14:paraId="6CF3D215" w14:textId="77777777" w:rsidTr="00951330">
        <w:tc>
          <w:tcPr>
            <w:tcW w:w="993" w:type="dxa"/>
          </w:tcPr>
          <w:p w14:paraId="636D4FE3" w14:textId="77777777" w:rsidR="00951330" w:rsidRPr="0022490E" w:rsidRDefault="00951330" w:rsidP="00EF5AF2">
            <w:pPr>
              <w:tabs>
                <w:tab w:val="left" w:pos="875"/>
              </w:tabs>
              <w:ind w:right="-50"/>
              <w:jc w:val="center"/>
              <w:rPr>
                <w:rFonts w:ascii="Arial" w:hAnsi="Arial" w:cs="Arial"/>
                <w:b/>
              </w:rPr>
            </w:pPr>
            <w:r w:rsidRPr="0022490E">
              <w:rPr>
                <w:rFonts w:ascii="Arial" w:hAnsi="Arial" w:cs="Arial"/>
                <w:b/>
              </w:rPr>
              <w:t>N°</w:t>
            </w:r>
          </w:p>
        </w:tc>
        <w:tc>
          <w:tcPr>
            <w:tcW w:w="9497" w:type="dxa"/>
          </w:tcPr>
          <w:p w14:paraId="739E974C" w14:textId="77777777" w:rsidR="00951330" w:rsidRPr="0022490E" w:rsidRDefault="00951330" w:rsidP="00EF5AF2">
            <w:pPr>
              <w:tabs>
                <w:tab w:val="left" w:pos="875"/>
              </w:tabs>
              <w:ind w:right="-50"/>
              <w:jc w:val="center"/>
              <w:rPr>
                <w:rFonts w:ascii="Arial" w:hAnsi="Arial" w:cs="Arial"/>
                <w:b/>
              </w:rPr>
            </w:pPr>
            <w:r w:rsidRPr="0022490E">
              <w:rPr>
                <w:rFonts w:ascii="Arial" w:hAnsi="Arial" w:cs="Arial"/>
                <w:b/>
              </w:rPr>
              <w:t xml:space="preserve">Limitaciones en la aplicación de los Clasificadores Presupuestales durante </w:t>
            </w:r>
          </w:p>
          <w:p w14:paraId="261F24AA" w14:textId="77777777" w:rsidR="00951330" w:rsidRPr="0022490E" w:rsidRDefault="00951330" w:rsidP="00EF5AF2">
            <w:pPr>
              <w:tabs>
                <w:tab w:val="left" w:pos="875"/>
              </w:tabs>
              <w:ind w:right="-50"/>
              <w:jc w:val="center"/>
              <w:rPr>
                <w:rFonts w:ascii="Arial" w:hAnsi="Arial" w:cs="Arial"/>
                <w:b/>
              </w:rPr>
            </w:pPr>
            <w:r w:rsidRPr="0022490E">
              <w:rPr>
                <w:rFonts w:ascii="Arial" w:hAnsi="Arial" w:cs="Arial"/>
                <w:b/>
              </w:rPr>
              <w:t>la vigencia fiscal 2024</w:t>
            </w:r>
          </w:p>
          <w:p w14:paraId="13CE5086" w14:textId="77777777" w:rsidR="00951330" w:rsidRPr="0022490E" w:rsidRDefault="00951330" w:rsidP="00EF5AF2">
            <w:pPr>
              <w:tabs>
                <w:tab w:val="left" w:pos="875"/>
              </w:tabs>
              <w:ind w:right="-50"/>
              <w:jc w:val="center"/>
              <w:rPr>
                <w:rFonts w:ascii="Arial" w:hAnsi="Arial" w:cs="Arial"/>
                <w:b/>
              </w:rPr>
            </w:pPr>
          </w:p>
        </w:tc>
      </w:tr>
      <w:tr w:rsidR="00951330" w:rsidRPr="0022490E" w14:paraId="75A533D3" w14:textId="77777777" w:rsidTr="00951330">
        <w:tc>
          <w:tcPr>
            <w:tcW w:w="993" w:type="dxa"/>
          </w:tcPr>
          <w:p w14:paraId="60CF72AD" w14:textId="77777777" w:rsidR="00951330" w:rsidRPr="0022490E" w:rsidRDefault="00951330" w:rsidP="00EF5AF2">
            <w:pPr>
              <w:tabs>
                <w:tab w:val="left" w:pos="875"/>
              </w:tabs>
              <w:ind w:right="-50"/>
              <w:jc w:val="center"/>
              <w:rPr>
                <w:rFonts w:ascii="Arial" w:hAnsi="Arial" w:cs="Arial"/>
                <w:b/>
              </w:rPr>
            </w:pPr>
            <w:r w:rsidRPr="0022490E">
              <w:rPr>
                <w:rFonts w:ascii="Arial" w:hAnsi="Arial" w:cs="Arial"/>
                <w:b/>
              </w:rPr>
              <w:t>1</w:t>
            </w:r>
          </w:p>
        </w:tc>
        <w:tc>
          <w:tcPr>
            <w:tcW w:w="9497" w:type="dxa"/>
          </w:tcPr>
          <w:p w14:paraId="116F4B37" w14:textId="77777777" w:rsidR="00951330" w:rsidRPr="0022490E" w:rsidRDefault="00951330" w:rsidP="00EF5AF2">
            <w:pPr>
              <w:tabs>
                <w:tab w:val="left" w:pos="875"/>
              </w:tabs>
              <w:ind w:right="-50"/>
              <w:jc w:val="both"/>
              <w:rPr>
                <w:rFonts w:ascii="Arial" w:hAnsi="Arial" w:cs="Arial"/>
                <w:bCs/>
              </w:rPr>
            </w:pPr>
            <w:r w:rsidRPr="0022490E">
              <w:rPr>
                <w:rFonts w:ascii="Arial" w:hAnsi="Arial" w:cs="Arial"/>
                <w:bCs/>
              </w:rPr>
              <w:t>La clasificación es muy global y a veces es muy difícil asociar un bien y/o un servicio a una cuenta.</w:t>
            </w:r>
          </w:p>
        </w:tc>
      </w:tr>
    </w:tbl>
    <w:p w14:paraId="5DC2245B" w14:textId="77777777" w:rsidR="00951330" w:rsidRDefault="00951330" w:rsidP="00951330"/>
    <w:p w14:paraId="7BF996E3" w14:textId="77777777" w:rsidR="00951330" w:rsidRPr="008217F4" w:rsidRDefault="00951330" w:rsidP="00951330">
      <w:pPr>
        <w:ind w:left="-284"/>
        <w:jc w:val="both"/>
        <w:rPr>
          <w:rFonts w:ascii="Arial" w:hAnsi="Arial" w:cs="Arial"/>
          <w:b/>
          <w:sz w:val="32"/>
          <w:szCs w:val="32"/>
        </w:rPr>
      </w:pPr>
      <w:r w:rsidRPr="008217F4">
        <w:rPr>
          <w:rFonts w:ascii="Arial" w:hAnsi="Arial" w:cs="Arial"/>
          <w:b/>
          <w:sz w:val="28"/>
          <w:szCs w:val="28"/>
          <w:lang w:val="es-MX"/>
        </w:rPr>
        <w:lastRenderedPageBreak/>
        <w:t xml:space="preserve">125.- </w:t>
      </w:r>
      <w:r w:rsidRPr="008217F4">
        <w:rPr>
          <w:rFonts w:ascii="Arial" w:hAnsi="Arial" w:cs="Arial"/>
          <w:b/>
          <w:sz w:val="28"/>
          <w:szCs w:val="28"/>
        </w:rPr>
        <w:t>CORPORACIÓN AUTÓNOMA REGIONAL DE SANTANDER – CAS.</w:t>
      </w:r>
    </w:p>
    <w:p w14:paraId="311E8EE2" w14:textId="77777777" w:rsidR="00951330" w:rsidRDefault="00951330" w:rsidP="00951330"/>
    <w:tbl>
      <w:tblPr>
        <w:tblStyle w:val="Tablaconcuadrcula"/>
        <w:tblW w:w="10490" w:type="dxa"/>
        <w:tblInd w:w="-289" w:type="dxa"/>
        <w:tblLook w:val="04A0" w:firstRow="1" w:lastRow="0" w:firstColumn="1" w:lastColumn="0" w:noHBand="0" w:noVBand="1"/>
      </w:tblPr>
      <w:tblGrid>
        <w:gridCol w:w="993"/>
        <w:gridCol w:w="9497"/>
      </w:tblGrid>
      <w:tr w:rsidR="00951330" w:rsidRPr="00B633CB" w14:paraId="7CB87D73" w14:textId="77777777" w:rsidTr="00951330">
        <w:tc>
          <w:tcPr>
            <w:tcW w:w="993" w:type="dxa"/>
          </w:tcPr>
          <w:p w14:paraId="7C5C36DC" w14:textId="77777777" w:rsidR="00951330" w:rsidRPr="00B633CB" w:rsidRDefault="00951330" w:rsidP="00EF5AF2">
            <w:pPr>
              <w:tabs>
                <w:tab w:val="left" w:pos="875"/>
              </w:tabs>
              <w:ind w:right="-50"/>
              <w:jc w:val="center"/>
              <w:rPr>
                <w:rFonts w:ascii="Arial" w:hAnsi="Arial" w:cs="Arial"/>
                <w:b/>
              </w:rPr>
            </w:pPr>
            <w:r w:rsidRPr="00B633CB">
              <w:rPr>
                <w:rFonts w:ascii="Arial" w:hAnsi="Arial" w:cs="Arial"/>
                <w:b/>
              </w:rPr>
              <w:t>N°</w:t>
            </w:r>
          </w:p>
        </w:tc>
        <w:tc>
          <w:tcPr>
            <w:tcW w:w="9497" w:type="dxa"/>
          </w:tcPr>
          <w:p w14:paraId="78B1900D" w14:textId="77777777" w:rsidR="00951330" w:rsidRPr="00B633CB" w:rsidRDefault="00951330" w:rsidP="00EF5AF2">
            <w:pPr>
              <w:tabs>
                <w:tab w:val="left" w:pos="875"/>
              </w:tabs>
              <w:ind w:right="-50"/>
              <w:jc w:val="center"/>
              <w:rPr>
                <w:rFonts w:ascii="Arial" w:hAnsi="Arial" w:cs="Arial"/>
                <w:b/>
              </w:rPr>
            </w:pPr>
            <w:r w:rsidRPr="00B633CB">
              <w:rPr>
                <w:rFonts w:ascii="Arial" w:hAnsi="Arial" w:cs="Arial"/>
                <w:b/>
              </w:rPr>
              <w:t xml:space="preserve">Limitaciones en la aplicación de los Clasificadores Presupuestales durante </w:t>
            </w:r>
          </w:p>
          <w:p w14:paraId="4EF045EC" w14:textId="77777777" w:rsidR="00951330" w:rsidRPr="00B633CB" w:rsidRDefault="00951330" w:rsidP="00EF5AF2">
            <w:pPr>
              <w:tabs>
                <w:tab w:val="left" w:pos="875"/>
              </w:tabs>
              <w:ind w:right="-50"/>
              <w:jc w:val="center"/>
              <w:rPr>
                <w:rFonts w:ascii="Arial" w:hAnsi="Arial" w:cs="Arial"/>
                <w:b/>
              </w:rPr>
            </w:pPr>
            <w:r w:rsidRPr="00B633CB">
              <w:rPr>
                <w:rFonts w:ascii="Arial" w:hAnsi="Arial" w:cs="Arial"/>
                <w:b/>
              </w:rPr>
              <w:t>la vigencia fiscal 2024</w:t>
            </w:r>
          </w:p>
          <w:p w14:paraId="72B74AAB" w14:textId="77777777" w:rsidR="00951330" w:rsidRPr="00B633CB" w:rsidRDefault="00951330" w:rsidP="00EF5AF2">
            <w:pPr>
              <w:tabs>
                <w:tab w:val="left" w:pos="875"/>
              </w:tabs>
              <w:ind w:right="-50"/>
              <w:jc w:val="center"/>
              <w:rPr>
                <w:rFonts w:ascii="Arial" w:hAnsi="Arial" w:cs="Arial"/>
                <w:b/>
              </w:rPr>
            </w:pPr>
          </w:p>
        </w:tc>
      </w:tr>
      <w:tr w:rsidR="00951330" w:rsidRPr="00B633CB" w14:paraId="55688C90" w14:textId="77777777" w:rsidTr="00951330">
        <w:tc>
          <w:tcPr>
            <w:tcW w:w="993" w:type="dxa"/>
          </w:tcPr>
          <w:p w14:paraId="4CB1A461" w14:textId="77777777" w:rsidR="00951330" w:rsidRPr="00B633CB" w:rsidRDefault="00951330" w:rsidP="00EF5AF2">
            <w:pPr>
              <w:tabs>
                <w:tab w:val="left" w:pos="875"/>
              </w:tabs>
              <w:ind w:right="-50"/>
              <w:jc w:val="center"/>
              <w:rPr>
                <w:rFonts w:ascii="Arial" w:hAnsi="Arial" w:cs="Arial"/>
                <w:b/>
              </w:rPr>
            </w:pPr>
            <w:r w:rsidRPr="00B633CB">
              <w:rPr>
                <w:rFonts w:ascii="Arial" w:hAnsi="Arial" w:cs="Arial"/>
                <w:b/>
              </w:rPr>
              <w:t>1</w:t>
            </w:r>
          </w:p>
        </w:tc>
        <w:tc>
          <w:tcPr>
            <w:tcW w:w="9497" w:type="dxa"/>
          </w:tcPr>
          <w:p w14:paraId="55FC03F7" w14:textId="77777777" w:rsidR="00951330" w:rsidRPr="00B633CB" w:rsidRDefault="00951330" w:rsidP="00EF5AF2">
            <w:pPr>
              <w:tabs>
                <w:tab w:val="left" w:pos="875"/>
              </w:tabs>
              <w:ind w:right="-50"/>
              <w:jc w:val="both"/>
              <w:rPr>
                <w:rFonts w:ascii="Arial" w:hAnsi="Arial" w:cs="Arial"/>
                <w:bCs/>
              </w:rPr>
            </w:pPr>
            <w:r w:rsidRPr="00B633CB">
              <w:rPr>
                <w:rFonts w:ascii="Arial" w:hAnsi="Arial" w:cs="Arial"/>
                <w:bCs/>
              </w:rPr>
              <w:t>En el caso de la Corporación Autónoma Regional de Santander CAS, la implementación del CICP ha estado acompañada por parte de la Contraloría General de la República en concordancia a los dispuesto en el Artículo 354 de La Constitución Política; Las resoluciones aplicables en este sentido son las resoluciones orgánicas 035-040-045 de 2020 expedidas por la Contraloría General de la República, así como las  046, 048, 051 de 2021.054 De 2022; y la reciente 065 de 2023 que definió la versión 6 del CICP Igualmente de la CGR; Ya que la Resoluciones No 3832, 042 de 2019 y No 1355 de 2020  atañe al catálogo de clasificación presupuestal propio de entidades territoriales.</w:t>
            </w:r>
          </w:p>
          <w:p w14:paraId="4030F5B2" w14:textId="77777777" w:rsidR="00951330" w:rsidRPr="00B633CB" w:rsidRDefault="00951330" w:rsidP="00EF5AF2">
            <w:pPr>
              <w:tabs>
                <w:tab w:val="left" w:pos="875"/>
              </w:tabs>
              <w:ind w:right="-50"/>
              <w:jc w:val="both"/>
              <w:rPr>
                <w:rFonts w:ascii="Arial" w:hAnsi="Arial" w:cs="Arial"/>
                <w:bCs/>
              </w:rPr>
            </w:pPr>
          </w:p>
          <w:p w14:paraId="314E74C6" w14:textId="77777777" w:rsidR="00951330" w:rsidRPr="00B633CB" w:rsidRDefault="00951330" w:rsidP="00EF5AF2">
            <w:pPr>
              <w:tabs>
                <w:tab w:val="left" w:pos="875"/>
              </w:tabs>
              <w:ind w:right="-50"/>
              <w:jc w:val="both"/>
              <w:rPr>
                <w:rFonts w:ascii="Arial" w:hAnsi="Arial" w:cs="Arial"/>
                <w:bCs/>
              </w:rPr>
            </w:pPr>
            <w:r w:rsidRPr="00B633CB">
              <w:rPr>
                <w:rFonts w:ascii="Arial" w:hAnsi="Arial" w:cs="Arial"/>
                <w:bCs/>
              </w:rPr>
              <w:t>Estas nuevas versiones del catálogo, expedidas de manera constante, han evidenciado dificultades en la identificación de los conceptos propios en los que se deben enmarcar los diferentes ingresos, en el entendido de que las Corporaciones Autónomas Regionales como entidades el orden nacional, manejan diversidad de rentas de acuerdo a su jurisdicción regional.</w:t>
            </w:r>
          </w:p>
          <w:p w14:paraId="29E291DE" w14:textId="77777777" w:rsidR="00951330" w:rsidRPr="00B633CB" w:rsidRDefault="00951330" w:rsidP="00EF5AF2">
            <w:pPr>
              <w:tabs>
                <w:tab w:val="left" w:pos="875"/>
              </w:tabs>
              <w:ind w:right="-50"/>
              <w:jc w:val="both"/>
              <w:rPr>
                <w:rFonts w:ascii="Arial" w:hAnsi="Arial" w:cs="Arial"/>
                <w:bCs/>
              </w:rPr>
            </w:pPr>
          </w:p>
          <w:p w14:paraId="7402C57E" w14:textId="77777777" w:rsidR="00951330" w:rsidRPr="00B633CB" w:rsidRDefault="00951330" w:rsidP="00EF5AF2">
            <w:pPr>
              <w:tabs>
                <w:tab w:val="left" w:pos="875"/>
              </w:tabs>
              <w:ind w:right="-50"/>
              <w:jc w:val="both"/>
              <w:rPr>
                <w:rFonts w:ascii="Arial" w:hAnsi="Arial" w:cs="Arial"/>
                <w:bCs/>
              </w:rPr>
            </w:pPr>
            <w:r w:rsidRPr="00B633CB">
              <w:rPr>
                <w:rFonts w:ascii="Arial" w:hAnsi="Arial" w:cs="Arial"/>
                <w:bCs/>
              </w:rPr>
              <w:t>De igual forma han sido prolíficas las posiciones de las formas en que debe definirse la inversión, por cuanto para ello deben tenerse en cuenta clasificadores adicionales a los de Concepto de ingreso y objeto de gasto, tales como el clasificador programático del DNP y el clasificador central de productos del DANE, atendiendo los diferentes proyectos que cada entidad de manera particular maneja.</w:t>
            </w:r>
          </w:p>
          <w:p w14:paraId="295F566E" w14:textId="77777777" w:rsidR="00951330" w:rsidRPr="00B633CB" w:rsidRDefault="00951330" w:rsidP="00EF5AF2">
            <w:pPr>
              <w:tabs>
                <w:tab w:val="left" w:pos="875"/>
              </w:tabs>
              <w:ind w:right="-50"/>
              <w:jc w:val="both"/>
              <w:rPr>
                <w:rFonts w:ascii="Arial" w:hAnsi="Arial" w:cs="Arial"/>
                <w:bCs/>
              </w:rPr>
            </w:pPr>
          </w:p>
          <w:p w14:paraId="498383EA" w14:textId="77777777" w:rsidR="00951330" w:rsidRPr="00B633CB" w:rsidRDefault="00951330" w:rsidP="00EF5AF2">
            <w:pPr>
              <w:tabs>
                <w:tab w:val="left" w:pos="875"/>
              </w:tabs>
              <w:ind w:right="-50"/>
              <w:jc w:val="both"/>
              <w:rPr>
                <w:rFonts w:ascii="Arial" w:hAnsi="Arial" w:cs="Arial"/>
                <w:b/>
              </w:rPr>
            </w:pPr>
            <w:r w:rsidRPr="00B633CB">
              <w:rPr>
                <w:rFonts w:ascii="Arial" w:hAnsi="Arial" w:cs="Arial"/>
                <w:bCs/>
              </w:rPr>
              <w:t>Ya de manera particular, se presentaron algunas dificultades desde el procedimiento operativo y tecnológico por parte de los proveedores del software financiero que maneja la entidad, en la integración de los calificadores principales y sus auxiliares como fuente el de fuente de financiación, y sobre todo el catálogo Central de productos –CPC- del DANE. Por tratarse de un proceso incipiente, en el cual la misma contraloría ha venido en constante implementación. No obstante, en el caso particular de nuestra entidad hemos venido avanzando y creemos que ya hemos logrado articular la información para su uso y reporte</w:t>
            </w:r>
          </w:p>
        </w:tc>
      </w:tr>
    </w:tbl>
    <w:p w14:paraId="1EFF62AB" w14:textId="77777777" w:rsidR="00951330" w:rsidRDefault="00951330" w:rsidP="00951330">
      <w:pPr>
        <w:ind w:left="-284"/>
        <w:jc w:val="both"/>
        <w:rPr>
          <w:rFonts w:ascii="Arial" w:hAnsi="Arial" w:cs="Arial"/>
          <w:b/>
          <w:sz w:val="28"/>
          <w:szCs w:val="28"/>
          <w:lang w:val="es-MX"/>
        </w:rPr>
      </w:pPr>
    </w:p>
    <w:p w14:paraId="26E54103" w14:textId="6EF7442D" w:rsidR="00951330" w:rsidRDefault="00951330" w:rsidP="00951330">
      <w:pPr>
        <w:ind w:left="-284"/>
        <w:jc w:val="both"/>
        <w:rPr>
          <w:rFonts w:ascii="Arial" w:hAnsi="Arial" w:cs="Arial"/>
          <w:b/>
          <w:sz w:val="24"/>
          <w:szCs w:val="24"/>
        </w:rPr>
      </w:pPr>
      <w:r w:rsidRPr="002A6E88">
        <w:rPr>
          <w:rFonts w:ascii="Arial" w:hAnsi="Arial" w:cs="Arial"/>
          <w:b/>
          <w:sz w:val="28"/>
          <w:szCs w:val="28"/>
          <w:lang w:val="es-MX"/>
        </w:rPr>
        <w:t xml:space="preserve">129.- </w:t>
      </w:r>
      <w:r w:rsidRPr="002A6E88">
        <w:rPr>
          <w:rFonts w:ascii="Arial" w:hAnsi="Arial" w:cs="Arial"/>
          <w:b/>
          <w:sz w:val="28"/>
          <w:szCs w:val="28"/>
        </w:rPr>
        <w:t>UNIDAD DE SERVICIOS PENITENCIARIOS Y CARCELARIOS – USPEC</w:t>
      </w:r>
      <w:r w:rsidRPr="002A6E88">
        <w:rPr>
          <w:rFonts w:ascii="Arial" w:hAnsi="Arial" w:cs="Arial"/>
          <w:b/>
          <w:sz w:val="28"/>
          <w:szCs w:val="28"/>
          <w:lang w:val="es-MX"/>
        </w:rPr>
        <w:t>.</w:t>
      </w:r>
    </w:p>
    <w:p w14:paraId="43FBDB9E" w14:textId="77777777" w:rsidR="00951330" w:rsidRDefault="00951330" w:rsidP="00951330"/>
    <w:tbl>
      <w:tblPr>
        <w:tblStyle w:val="Tablaconcuadrcula"/>
        <w:tblW w:w="10490" w:type="dxa"/>
        <w:tblInd w:w="-289" w:type="dxa"/>
        <w:tblLook w:val="04A0" w:firstRow="1" w:lastRow="0" w:firstColumn="1" w:lastColumn="0" w:noHBand="0" w:noVBand="1"/>
      </w:tblPr>
      <w:tblGrid>
        <w:gridCol w:w="993"/>
        <w:gridCol w:w="9497"/>
      </w:tblGrid>
      <w:tr w:rsidR="00951330" w:rsidRPr="00B54567" w14:paraId="36D66336" w14:textId="77777777" w:rsidTr="00951330">
        <w:tc>
          <w:tcPr>
            <w:tcW w:w="993" w:type="dxa"/>
          </w:tcPr>
          <w:p w14:paraId="302519D6" w14:textId="77777777" w:rsidR="00951330" w:rsidRPr="00B54567" w:rsidRDefault="00951330" w:rsidP="00EF5AF2">
            <w:pPr>
              <w:tabs>
                <w:tab w:val="left" w:pos="875"/>
              </w:tabs>
              <w:ind w:right="-50"/>
              <w:jc w:val="center"/>
              <w:rPr>
                <w:b/>
              </w:rPr>
            </w:pPr>
            <w:r w:rsidRPr="00B54567">
              <w:rPr>
                <w:b/>
              </w:rPr>
              <w:t>N°</w:t>
            </w:r>
          </w:p>
        </w:tc>
        <w:tc>
          <w:tcPr>
            <w:tcW w:w="9497" w:type="dxa"/>
          </w:tcPr>
          <w:p w14:paraId="1A5CEDA1" w14:textId="77777777" w:rsidR="00951330" w:rsidRPr="00B54567" w:rsidRDefault="00951330" w:rsidP="00EF5AF2">
            <w:pPr>
              <w:tabs>
                <w:tab w:val="left" w:pos="875"/>
              </w:tabs>
              <w:ind w:right="-50"/>
              <w:jc w:val="center"/>
              <w:rPr>
                <w:b/>
              </w:rPr>
            </w:pPr>
            <w:r w:rsidRPr="00B54567">
              <w:rPr>
                <w:b/>
              </w:rPr>
              <w:t xml:space="preserve">Limitaciones en la aplicación de los Clasificadores Presupuestales durante </w:t>
            </w:r>
          </w:p>
          <w:p w14:paraId="7A14E684" w14:textId="77777777" w:rsidR="00951330" w:rsidRPr="00B54567" w:rsidRDefault="00951330" w:rsidP="00EF5AF2">
            <w:pPr>
              <w:tabs>
                <w:tab w:val="left" w:pos="875"/>
              </w:tabs>
              <w:ind w:right="-50"/>
              <w:jc w:val="center"/>
              <w:rPr>
                <w:b/>
              </w:rPr>
            </w:pPr>
            <w:r w:rsidRPr="00B54567">
              <w:rPr>
                <w:b/>
              </w:rPr>
              <w:t>la vigencia fiscal 2024</w:t>
            </w:r>
          </w:p>
          <w:p w14:paraId="0EDC5C87" w14:textId="77777777" w:rsidR="00951330" w:rsidRPr="00B54567" w:rsidRDefault="00951330" w:rsidP="00EF5AF2">
            <w:pPr>
              <w:tabs>
                <w:tab w:val="left" w:pos="875"/>
              </w:tabs>
              <w:ind w:right="-50"/>
              <w:jc w:val="center"/>
              <w:rPr>
                <w:b/>
              </w:rPr>
            </w:pPr>
          </w:p>
        </w:tc>
      </w:tr>
      <w:tr w:rsidR="00951330" w:rsidRPr="00B54567" w14:paraId="35483FB8" w14:textId="77777777" w:rsidTr="00951330">
        <w:tc>
          <w:tcPr>
            <w:tcW w:w="993" w:type="dxa"/>
          </w:tcPr>
          <w:p w14:paraId="59A8E2FC" w14:textId="77777777" w:rsidR="00951330" w:rsidRPr="00B54567" w:rsidRDefault="00951330" w:rsidP="00EF5AF2">
            <w:pPr>
              <w:tabs>
                <w:tab w:val="left" w:pos="875"/>
              </w:tabs>
              <w:ind w:right="-50"/>
              <w:jc w:val="center"/>
              <w:rPr>
                <w:b/>
              </w:rPr>
            </w:pPr>
            <w:r w:rsidRPr="00B54567">
              <w:rPr>
                <w:b/>
              </w:rPr>
              <w:t>1</w:t>
            </w:r>
          </w:p>
        </w:tc>
        <w:tc>
          <w:tcPr>
            <w:tcW w:w="9497" w:type="dxa"/>
          </w:tcPr>
          <w:p w14:paraId="3F18CB9E" w14:textId="77777777" w:rsidR="00951330" w:rsidRPr="002E14E6" w:rsidRDefault="00951330" w:rsidP="00EF5AF2">
            <w:pPr>
              <w:tabs>
                <w:tab w:val="left" w:pos="875"/>
              </w:tabs>
              <w:ind w:right="-50"/>
              <w:jc w:val="both"/>
            </w:pPr>
            <w:r w:rsidRPr="002E14E6">
              <w:t>Dificultad a la hora de consultar lo relacionado con clasificadores porque la búsqueda se hace dispendiosa y no se encuentra en un solo documento</w:t>
            </w:r>
          </w:p>
        </w:tc>
      </w:tr>
      <w:tr w:rsidR="00951330" w:rsidRPr="00B54567" w14:paraId="78CE0126" w14:textId="77777777" w:rsidTr="00951330">
        <w:tc>
          <w:tcPr>
            <w:tcW w:w="993" w:type="dxa"/>
          </w:tcPr>
          <w:p w14:paraId="2FC14F16" w14:textId="77777777" w:rsidR="00951330" w:rsidRPr="00B54567" w:rsidRDefault="00951330" w:rsidP="00EF5AF2">
            <w:pPr>
              <w:tabs>
                <w:tab w:val="left" w:pos="875"/>
              </w:tabs>
              <w:ind w:right="-50"/>
              <w:jc w:val="center"/>
              <w:rPr>
                <w:b/>
              </w:rPr>
            </w:pPr>
            <w:r>
              <w:rPr>
                <w:b/>
              </w:rPr>
              <w:t>2</w:t>
            </w:r>
          </w:p>
        </w:tc>
        <w:tc>
          <w:tcPr>
            <w:tcW w:w="9497" w:type="dxa"/>
          </w:tcPr>
          <w:p w14:paraId="2603BF48" w14:textId="77777777" w:rsidR="00951330" w:rsidRPr="002E14E6" w:rsidRDefault="00951330" w:rsidP="00EF5AF2">
            <w:pPr>
              <w:tabs>
                <w:tab w:val="left" w:pos="875"/>
              </w:tabs>
              <w:ind w:right="-50"/>
              <w:jc w:val="both"/>
            </w:pPr>
            <w:r w:rsidRPr="002E14E6">
              <w:t>Falta de capacitación frecuente sobre el tema de clasificadores que permita actualizar a los usuarios sobre el uso de esta herramienta</w:t>
            </w:r>
          </w:p>
        </w:tc>
      </w:tr>
    </w:tbl>
    <w:p w14:paraId="120F0066" w14:textId="77777777" w:rsidR="00951330" w:rsidRDefault="00951330" w:rsidP="00951330"/>
    <w:p w14:paraId="648F0A9D" w14:textId="77777777" w:rsidR="00951330" w:rsidRPr="00997EED" w:rsidRDefault="00951330" w:rsidP="00951330">
      <w:pPr>
        <w:ind w:left="-284" w:right="-234"/>
        <w:jc w:val="both"/>
        <w:rPr>
          <w:rFonts w:ascii="Arial" w:hAnsi="Arial" w:cs="Arial"/>
          <w:b/>
          <w:sz w:val="28"/>
          <w:szCs w:val="28"/>
          <w:lang w:val="es-MX"/>
        </w:rPr>
      </w:pPr>
      <w:r w:rsidRPr="00997EED">
        <w:rPr>
          <w:rFonts w:ascii="Arial" w:hAnsi="Arial" w:cs="Arial"/>
          <w:b/>
          <w:sz w:val="28"/>
          <w:szCs w:val="28"/>
          <w:lang w:val="es-MX"/>
        </w:rPr>
        <w:t>148.- SUPERINTENDENCIA DE SERVICIOS PÚBLICOS DOMICILIARIOS - SUPERSERVICIOS.</w:t>
      </w:r>
    </w:p>
    <w:p w14:paraId="5E9726C3" w14:textId="77777777" w:rsidR="00951330" w:rsidRDefault="00951330" w:rsidP="00951330">
      <w:pPr>
        <w:rPr>
          <w:lang w:val="es-MX"/>
        </w:rPr>
      </w:pPr>
    </w:p>
    <w:tbl>
      <w:tblPr>
        <w:tblStyle w:val="Tablaconcuadrcula"/>
        <w:tblW w:w="10490" w:type="dxa"/>
        <w:tblInd w:w="-289" w:type="dxa"/>
        <w:tblLook w:val="04A0" w:firstRow="1" w:lastRow="0" w:firstColumn="1" w:lastColumn="0" w:noHBand="0" w:noVBand="1"/>
      </w:tblPr>
      <w:tblGrid>
        <w:gridCol w:w="993"/>
        <w:gridCol w:w="9497"/>
      </w:tblGrid>
      <w:tr w:rsidR="00951330" w:rsidRPr="00E040E8" w14:paraId="20E02E70" w14:textId="77777777" w:rsidTr="00951330">
        <w:tc>
          <w:tcPr>
            <w:tcW w:w="993" w:type="dxa"/>
          </w:tcPr>
          <w:p w14:paraId="67B6FF19" w14:textId="77777777" w:rsidR="00951330" w:rsidRPr="00E040E8" w:rsidRDefault="00951330" w:rsidP="00EF5AF2">
            <w:pPr>
              <w:tabs>
                <w:tab w:val="left" w:pos="875"/>
              </w:tabs>
              <w:ind w:right="-50"/>
              <w:jc w:val="center"/>
              <w:rPr>
                <w:rFonts w:ascii="Arial" w:hAnsi="Arial" w:cs="Arial"/>
                <w:b/>
              </w:rPr>
            </w:pPr>
            <w:r w:rsidRPr="00E040E8">
              <w:rPr>
                <w:rFonts w:ascii="Arial" w:hAnsi="Arial" w:cs="Arial"/>
                <w:b/>
              </w:rPr>
              <w:t>N°</w:t>
            </w:r>
          </w:p>
        </w:tc>
        <w:tc>
          <w:tcPr>
            <w:tcW w:w="9497" w:type="dxa"/>
          </w:tcPr>
          <w:p w14:paraId="72655060" w14:textId="77777777" w:rsidR="00951330" w:rsidRPr="00E040E8" w:rsidRDefault="00951330" w:rsidP="00EF5AF2">
            <w:pPr>
              <w:tabs>
                <w:tab w:val="left" w:pos="875"/>
              </w:tabs>
              <w:ind w:right="-50"/>
              <w:jc w:val="center"/>
              <w:rPr>
                <w:rFonts w:ascii="Arial" w:hAnsi="Arial" w:cs="Arial"/>
                <w:b/>
              </w:rPr>
            </w:pPr>
            <w:r w:rsidRPr="00E040E8">
              <w:rPr>
                <w:rFonts w:ascii="Arial" w:hAnsi="Arial" w:cs="Arial"/>
                <w:b/>
              </w:rPr>
              <w:t xml:space="preserve">Limitaciones en la aplicación de los Clasificadores Presupuestales durante </w:t>
            </w:r>
          </w:p>
          <w:p w14:paraId="33C95B1A" w14:textId="77777777" w:rsidR="00951330" w:rsidRPr="00E040E8" w:rsidRDefault="00951330" w:rsidP="00EF5AF2">
            <w:pPr>
              <w:tabs>
                <w:tab w:val="left" w:pos="875"/>
              </w:tabs>
              <w:ind w:right="-50"/>
              <w:jc w:val="center"/>
              <w:rPr>
                <w:rFonts w:ascii="Arial" w:hAnsi="Arial" w:cs="Arial"/>
                <w:b/>
              </w:rPr>
            </w:pPr>
            <w:r w:rsidRPr="00E040E8">
              <w:rPr>
                <w:rFonts w:ascii="Arial" w:hAnsi="Arial" w:cs="Arial"/>
                <w:b/>
              </w:rPr>
              <w:t>la vigencia fiscal 2024</w:t>
            </w:r>
          </w:p>
          <w:p w14:paraId="4EB8C165" w14:textId="77777777" w:rsidR="00951330" w:rsidRPr="00E040E8" w:rsidRDefault="00951330" w:rsidP="00EF5AF2">
            <w:pPr>
              <w:tabs>
                <w:tab w:val="left" w:pos="875"/>
              </w:tabs>
              <w:ind w:right="-50"/>
              <w:jc w:val="center"/>
              <w:rPr>
                <w:rFonts w:ascii="Arial" w:hAnsi="Arial" w:cs="Arial"/>
                <w:b/>
              </w:rPr>
            </w:pPr>
          </w:p>
        </w:tc>
      </w:tr>
      <w:tr w:rsidR="00951330" w:rsidRPr="00E040E8" w14:paraId="11C363D5" w14:textId="77777777" w:rsidTr="00951330">
        <w:tc>
          <w:tcPr>
            <w:tcW w:w="993" w:type="dxa"/>
          </w:tcPr>
          <w:p w14:paraId="536243FF" w14:textId="77777777" w:rsidR="00951330" w:rsidRPr="00E040E8" w:rsidRDefault="00951330" w:rsidP="00EF5AF2">
            <w:pPr>
              <w:tabs>
                <w:tab w:val="left" w:pos="875"/>
              </w:tabs>
              <w:ind w:right="-50"/>
              <w:jc w:val="center"/>
              <w:rPr>
                <w:rFonts w:ascii="Arial" w:hAnsi="Arial" w:cs="Arial"/>
                <w:b/>
              </w:rPr>
            </w:pPr>
            <w:r w:rsidRPr="00E040E8">
              <w:rPr>
                <w:rFonts w:ascii="Arial" w:hAnsi="Arial" w:cs="Arial"/>
                <w:b/>
              </w:rPr>
              <w:t>1</w:t>
            </w:r>
          </w:p>
        </w:tc>
        <w:tc>
          <w:tcPr>
            <w:tcW w:w="9497" w:type="dxa"/>
          </w:tcPr>
          <w:p w14:paraId="7BD76826" w14:textId="77777777" w:rsidR="00951330" w:rsidRPr="00E040E8" w:rsidRDefault="00951330" w:rsidP="00EF5AF2">
            <w:pPr>
              <w:tabs>
                <w:tab w:val="left" w:pos="875"/>
              </w:tabs>
              <w:ind w:right="-50"/>
              <w:jc w:val="both"/>
              <w:rPr>
                <w:rFonts w:ascii="Arial" w:hAnsi="Arial" w:cs="Arial"/>
                <w:bCs/>
              </w:rPr>
            </w:pPr>
            <w:r w:rsidRPr="00E040E8">
              <w:rPr>
                <w:rFonts w:ascii="Arial" w:hAnsi="Arial" w:cs="Arial"/>
                <w:bCs/>
              </w:rPr>
              <w:t>Para la vigencia 2024 el aplicativo no registró algunos usos presupuestales que ya habían sido creados y solicitados en vigencias anteriores, por lo cual se hizo necesario adelantar la solicitud de creación nuevamente generando reprocesos y demoras en la causación de cuentas presentadas por los proveedores.</w:t>
            </w:r>
          </w:p>
        </w:tc>
      </w:tr>
    </w:tbl>
    <w:p w14:paraId="0FD996C2" w14:textId="77777777" w:rsidR="00951330" w:rsidRDefault="00951330" w:rsidP="00951330"/>
    <w:p w14:paraId="297942AE" w14:textId="77777777" w:rsidR="00951330" w:rsidRPr="003356FC" w:rsidRDefault="00951330" w:rsidP="00951330">
      <w:pPr>
        <w:ind w:left="-284" w:right="-234"/>
        <w:jc w:val="both"/>
        <w:rPr>
          <w:rFonts w:ascii="Arial" w:hAnsi="Arial" w:cs="Arial"/>
          <w:b/>
          <w:sz w:val="28"/>
          <w:szCs w:val="28"/>
          <w:lang w:val="es-MX"/>
        </w:rPr>
      </w:pPr>
      <w:r w:rsidRPr="003356FC">
        <w:rPr>
          <w:rFonts w:ascii="Arial" w:hAnsi="Arial" w:cs="Arial"/>
          <w:b/>
          <w:sz w:val="28"/>
          <w:szCs w:val="28"/>
          <w:lang w:val="es-MX"/>
        </w:rPr>
        <w:t xml:space="preserve">247.- INSTITUTO NACIONAL DE VIGILANCIA DE MEDICAMENTOS Y ALIMENTOS – INVIMA. </w:t>
      </w:r>
    </w:p>
    <w:p w14:paraId="2BFFDB83" w14:textId="77777777" w:rsidR="00951330" w:rsidRDefault="00951330" w:rsidP="00951330">
      <w:pPr>
        <w:ind w:left="-284" w:right="49"/>
        <w:jc w:val="both"/>
        <w:rPr>
          <w:rFonts w:ascii="Arial" w:hAnsi="Arial" w:cs="Arial"/>
          <w:b/>
          <w:sz w:val="24"/>
          <w:szCs w:val="24"/>
          <w:lang w:val="es-MX"/>
        </w:rPr>
      </w:pPr>
    </w:p>
    <w:tbl>
      <w:tblPr>
        <w:tblStyle w:val="Tablaconcuadrcula"/>
        <w:tblW w:w="10490" w:type="dxa"/>
        <w:tblInd w:w="-289" w:type="dxa"/>
        <w:tblLook w:val="04A0" w:firstRow="1" w:lastRow="0" w:firstColumn="1" w:lastColumn="0" w:noHBand="0" w:noVBand="1"/>
      </w:tblPr>
      <w:tblGrid>
        <w:gridCol w:w="993"/>
        <w:gridCol w:w="9497"/>
      </w:tblGrid>
      <w:tr w:rsidR="00951330" w:rsidRPr="00195996" w14:paraId="51442872" w14:textId="77777777" w:rsidTr="00951330">
        <w:tc>
          <w:tcPr>
            <w:tcW w:w="993" w:type="dxa"/>
          </w:tcPr>
          <w:p w14:paraId="11950350" w14:textId="77777777" w:rsidR="00951330" w:rsidRPr="00195996" w:rsidRDefault="00951330" w:rsidP="00EF5AF2">
            <w:pPr>
              <w:tabs>
                <w:tab w:val="left" w:pos="875"/>
              </w:tabs>
              <w:ind w:right="-50"/>
              <w:jc w:val="center"/>
              <w:rPr>
                <w:rFonts w:ascii="Arial" w:hAnsi="Arial" w:cs="Arial"/>
                <w:b/>
              </w:rPr>
            </w:pPr>
            <w:r w:rsidRPr="00195996">
              <w:rPr>
                <w:rFonts w:ascii="Arial" w:hAnsi="Arial" w:cs="Arial"/>
                <w:b/>
              </w:rPr>
              <w:t>N°</w:t>
            </w:r>
          </w:p>
        </w:tc>
        <w:tc>
          <w:tcPr>
            <w:tcW w:w="9497" w:type="dxa"/>
          </w:tcPr>
          <w:p w14:paraId="1CACDBEC" w14:textId="77777777" w:rsidR="00951330" w:rsidRPr="00195996" w:rsidRDefault="00951330" w:rsidP="00EF5AF2">
            <w:pPr>
              <w:tabs>
                <w:tab w:val="left" w:pos="875"/>
              </w:tabs>
              <w:ind w:right="-50"/>
              <w:jc w:val="center"/>
              <w:rPr>
                <w:rFonts w:ascii="Arial" w:hAnsi="Arial" w:cs="Arial"/>
                <w:b/>
              </w:rPr>
            </w:pPr>
            <w:r w:rsidRPr="00195996">
              <w:rPr>
                <w:rFonts w:ascii="Arial" w:hAnsi="Arial" w:cs="Arial"/>
                <w:b/>
              </w:rPr>
              <w:t xml:space="preserve">Limitaciones en la aplicación de los Clasificadores Presupuestales durante </w:t>
            </w:r>
          </w:p>
          <w:p w14:paraId="2E7DA7A1" w14:textId="77777777" w:rsidR="00951330" w:rsidRPr="00195996" w:rsidRDefault="00951330" w:rsidP="00EF5AF2">
            <w:pPr>
              <w:tabs>
                <w:tab w:val="left" w:pos="875"/>
              </w:tabs>
              <w:ind w:right="-50"/>
              <w:jc w:val="center"/>
              <w:rPr>
                <w:rFonts w:ascii="Arial" w:hAnsi="Arial" w:cs="Arial"/>
                <w:b/>
              </w:rPr>
            </w:pPr>
            <w:r w:rsidRPr="00195996">
              <w:rPr>
                <w:rFonts w:ascii="Arial" w:hAnsi="Arial" w:cs="Arial"/>
                <w:b/>
              </w:rPr>
              <w:t>la vigencia fiscal 2024</w:t>
            </w:r>
          </w:p>
          <w:p w14:paraId="25949C7D" w14:textId="77777777" w:rsidR="00951330" w:rsidRPr="00195996" w:rsidRDefault="00951330" w:rsidP="00EF5AF2">
            <w:pPr>
              <w:tabs>
                <w:tab w:val="left" w:pos="875"/>
              </w:tabs>
              <w:ind w:right="-50"/>
              <w:jc w:val="center"/>
              <w:rPr>
                <w:rFonts w:ascii="Arial" w:hAnsi="Arial" w:cs="Arial"/>
                <w:b/>
              </w:rPr>
            </w:pPr>
          </w:p>
        </w:tc>
      </w:tr>
      <w:tr w:rsidR="00951330" w:rsidRPr="00195996" w14:paraId="4390CEBC" w14:textId="77777777" w:rsidTr="00951330">
        <w:tc>
          <w:tcPr>
            <w:tcW w:w="993" w:type="dxa"/>
          </w:tcPr>
          <w:p w14:paraId="3ED090BB" w14:textId="77777777" w:rsidR="00951330" w:rsidRPr="00195996" w:rsidRDefault="00951330" w:rsidP="00EF5AF2">
            <w:pPr>
              <w:tabs>
                <w:tab w:val="left" w:pos="875"/>
              </w:tabs>
              <w:ind w:right="-50"/>
              <w:jc w:val="center"/>
              <w:rPr>
                <w:rFonts w:ascii="Arial" w:hAnsi="Arial" w:cs="Arial"/>
                <w:b/>
              </w:rPr>
            </w:pPr>
            <w:r w:rsidRPr="00195996">
              <w:rPr>
                <w:rFonts w:ascii="Arial" w:hAnsi="Arial" w:cs="Arial"/>
                <w:b/>
              </w:rPr>
              <w:t>1</w:t>
            </w:r>
          </w:p>
        </w:tc>
        <w:tc>
          <w:tcPr>
            <w:tcW w:w="9497" w:type="dxa"/>
          </w:tcPr>
          <w:p w14:paraId="624D1E50" w14:textId="77777777" w:rsidR="00951330" w:rsidRPr="00195996" w:rsidRDefault="00951330" w:rsidP="00EF5AF2">
            <w:pPr>
              <w:tabs>
                <w:tab w:val="left" w:pos="875"/>
              </w:tabs>
              <w:ind w:right="-50"/>
              <w:jc w:val="both"/>
              <w:rPr>
                <w:rFonts w:ascii="Arial" w:hAnsi="Arial" w:cs="Arial"/>
                <w:bCs/>
              </w:rPr>
            </w:pPr>
            <w:r w:rsidRPr="00195996">
              <w:rPr>
                <w:rFonts w:ascii="Arial" w:hAnsi="Arial" w:cs="Arial"/>
                <w:bCs/>
              </w:rPr>
              <w:t>No se determina uso presupuestal para los gastos asociados a tasas y derechos administrativos.</w:t>
            </w:r>
          </w:p>
        </w:tc>
      </w:tr>
    </w:tbl>
    <w:p w14:paraId="2557DCD0" w14:textId="77777777" w:rsidR="00951330" w:rsidRDefault="00951330" w:rsidP="00951330"/>
    <w:p w14:paraId="36BEDB39" w14:textId="77777777" w:rsidR="00951330" w:rsidRPr="00163274" w:rsidRDefault="00951330" w:rsidP="00951330">
      <w:pPr>
        <w:ind w:left="-284" w:right="49"/>
        <w:jc w:val="both"/>
        <w:rPr>
          <w:rFonts w:ascii="Arial" w:hAnsi="Arial" w:cs="Arial"/>
          <w:b/>
          <w:sz w:val="28"/>
          <w:szCs w:val="28"/>
          <w:lang w:val="es-MX"/>
        </w:rPr>
      </w:pPr>
      <w:r w:rsidRPr="00163274">
        <w:rPr>
          <w:rFonts w:ascii="Arial" w:hAnsi="Arial" w:cs="Arial"/>
          <w:b/>
          <w:sz w:val="28"/>
          <w:szCs w:val="28"/>
          <w:lang w:val="es-MX"/>
        </w:rPr>
        <w:t>257.- AGENCIA PARA LA REINCORPORACIÓN Y LA NORMALIZACIÓN – ARN.</w:t>
      </w:r>
    </w:p>
    <w:p w14:paraId="52ECF45F" w14:textId="77777777" w:rsidR="00951330" w:rsidRDefault="00951330" w:rsidP="00951330">
      <w:pPr>
        <w:rPr>
          <w:lang w:val="es-MX"/>
        </w:rPr>
      </w:pPr>
    </w:p>
    <w:tbl>
      <w:tblPr>
        <w:tblStyle w:val="Tablaconcuadrcula"/>
        <w:tblW w:w="10490" w:type="dxa"/>
        <w:tblInd w:w="-289" w:type="dxa"/>
        <w:tblLook w:val="04A0" w:firstRow="1" w:lastRow="0" w:firstColumn="1" w:lastColumn="0" w:noHBand="0" w:noVBand="1"/>
      </w:tblPr>
      <w:tblGrid>
        <w:gridCol w:w="993"/>
        <w:gridCol w:w="9497"/>
      </w:tblGrid>
      <w:tr w:rsidR="00951330" w:rsidRPr="00763318" w14:paraId="57211D95" w14:textId="77777777" w:rsidTr="00951330">
        <w:tc>
          <w:tcPr>
            <w:tcW w:w="993" w:type="dxa"/>
          </w:tcPr>
          <w:p w14:paraId="6767B21B" w14:textId="77777777" w:rsidR="00951330" w:rsidRPr="00763318" w:rsidRDefault="00951330" w:rsidP="00EF5AF2">
            <w:pPr>
              <w:tabs>
                <w:tab w:val="left" w:pos="875"/>
              </w:tabs>
              <w:ind w:right="-50"/>
              <w:jc w:val="center"/>
              <w:rPr>
                <w:rFonts w:ascii="Arial" w:hAnsi="Arial" w:cs="Arial"/>
                <w:b/>
              </w:rPr>
            </w:pPr>
            <w:r w:rsidRPr="00763318">
              <w:rPr>
                <w:rFonts w:ascii="Arial" w:hAnsi="Arial" w:cs="Arial"/>
                <w:b/>
              </w:rPr>
              <w:t>N°</w:t>
            </w:r>
          </w:p>
        </w:tc>
        <w:tc>
          <w:tcPr>
            <w:tcW w:w="9497" w:type="dxa"/>
          </w:tcPr>
          <w:p w14:paraId="1028AE99" w14:textId="77777777" w:rsidR="00951330" w:rsidRPr="00763318" w:rsidRDefault="00951330" w:rsidP="00EF5AF2">
            <w:pPr>
              <w:tabs>
                <w:tab w:val="left" w:pos="875"/>
              </w:tabs>
              <w:ind w:right="-50"/>
              <w:jc w:val="center"/>
              <w:rPr>
                <w:rFonts w:ascii="Arial" w:hAnsi="Arial" w:cs="Arial"/>
                <w:b/>
              </w:rPr>
            </w:pPr>
            <w:r w:rsidRPr="00763318">
              <w:rPr>
                <w:rFonts w:ascii="Arial" w:hAnsi="Arial" w:cs="Arial"/>
                <w:b/>
              </w:rPr>
              <w:t xml:space="preserve">Limitaciones en la aplicación de los Clasificadores Presupuestales durante </w:t>
            </w:r>
          </w:p>
          <w:p w14:paraId="03BECF92" w14:textId="77777777" w:rsidR="00951330" w:rsidRPr="00763318" w:rsidRDefault="00951330" w:rsidP="00EF5AF2">
            <w:pPr>
              <w:tabs>
                <w:tab w:val="left" w:pos="875"/>
              </w:tabs>
              <w:ind w:right="-50"/>
              <w:jc w:val="center"/>
              <w:rPr>
                <w:rFonts w:ascii="Arial" w:hAnsi="Arial" w:cs="Arial"/>
                <w:b/>
              </w:rPr>
            </w:pPr>
            <w:r w:rsidRPr="00763318">
              <w:rPr>
                <w:rFonts w:ascii="Arial" w:hAnsi="Arial" w:cs="Arial"/>
                <w:b/>
              </w:rPr>
              <w:t>la vigencia fiscal 2024</w:t>
            </w:r>
          </w:p>
          <w:p w14:paraId="4A2DB90E" w14:textId="77777777" w:rsidR="00951330" w:rsidRPr="00763318" w:rsidRDefault="00951330" w:rsidP="00EF5AF2">
            <w:pPr>
              <w:tabs>
                <w:tab w:val="left" w:pos="875"/>
              </w:tabs>
              <w:ind w:right="-50"/>
              <w:jc w:val="center"/>
              <w:rPr>
                <w:rFonts w:ascii="Arial" w:hAnsi="Arial" w:cs="Arial"/>
                <w:b/>
              </w:rPr>
            </w:pPr>
          </w:p>
        </w:tc>
      </w:tr>
      <w:tr w:rsidR="00951330" w:rsidRPr="00763318" w14:paraId="2E37EF40" w14:textId="77777777" w:rsidTr="00951330">
        <w:tc>
          <w:tcPr>
            <w:tcW w:w="993" w:type="dxa"/>
          </w:tcPr>
          <w:p w14:paraId="2C78D29E" w14:textId="77777777" w:rsidR="00951330" w:rsidRPr="00763318" w:rsidRDefault="00951330" w:rsidP="00EF5AF2">
            <w:pPr>
              <w:tabs>
                <w:tab w:val="left" w:pos="875"/>
              </w:tabs>
              <w:ind w:right="-50"/>
              <w:jc w:val="center"/>
              <w:rPr>
                <w:rFonts w:ascii="Arial" w:hAnsi="Arial" w:cs="Arial"/>
                <w:b/>
              </w:rPr>
            </w:pPr>
            <w:r w:rsidRPr="00763318">
              <w:rPr>
                <w:rFonts w:ascii="Arial" w:hAnsi="Arial" w:cs="Arial"/>
                <w:b/>
              </w:rPr>
              <w:t>1</w:t>
            </w:r>
          </w:p>
        </w:tc>
        <w:tc>
          <w:tcPr>
            <w:tcW w:w="9497" w:type="dxa"/>
          </w:tcPr>
          <w:p w14:paraId="3234CA0C" w14:textId="77777777" w:rsidR="00951330" w:rsidRPr="00763318" w:rsidRDefault="00951330" w:rsidP="00EF5AF2">
            <w:pPr>
              <w:tabs>
                <w:tab w:val="left" w:pos="875"/>
              </w:tabs>
              <w:ind w:right="-50"/>
              <w:jc w:val="both"/>
              <w:rPr>
                <w:rFonts w:ascii="Arial" w:hAnsi="Arial" w:cs="Arial"/>
                <w:b/>
              </w:rPr>
            </w:pPr>
            <w:r w:rsidRPr="00763318">
              <w:rPr>
                <w:rFonts w:ascii="Arial" w:eastAsia="Arial Narrow" w:hAnsi="Arial" w:cs="Arial"/>
              </w:rPr>
              <w:t>En cuanto a clasificador presupuestal encontramos que, en el momento de revisar el informe de austeridad en el gasto, no se clasifica correctamente por rubro de transferencias el uso presupuestal, dado que al comparar con los datos que genera la entidad se evidencian diferencias por la manera en que se clasifican los usos presupuestales.</w:t>
            </w:r>
            <w:r w:rsidRPr="00763318">
              <w:rPr>
                <w:rFonts w:ascii="Arial" w:eastAsia="Arial Narrow" w:hAnsi="Arial" w:cs="Arial"/>
                <w:lang w:val="es-CO"/>
              </w:rPr>
              <w:t> </w:t>
            </w:r>
          </w:p>
        </w:tc>
      </w:tr>
    </w:tbl>
    <w:p w14:paraId="32E22944" w14:textId="77777777" w:rsidR="00951330" w:rsidRDefault="00951330" w:rsidP="00951330"/>
    <w:p w14:paraId="2955E654" w14:textId="77777777" w:rsidR="00951330" w:rsidRPr="009725B8" w:rsidRDefault="00951330" w:rsidP="00951330">
      <w:pPr>
        <w:ind w:left="-284" w:right="-234"/>
        <w:jc w:val="both"/>
        <w:rPr>
          <w:rFonts w:ascii="Arial" w:hAnsi="Arial" w:cs="Arial"/>
          <w:b/>
          <w:sz w:val="28"/>
          <w:szCs w:val="28"/>
          <w:lang w:val="es-MX"/>
        </w:rPr>
      </w:pPr>
      <w:r w:rsidRPr="009725B8">
        <w:rPr>
          <w:rFonts w:ascii="Arial" w:hAnsi="Arial" w:cs="Arial"/>
          <w:b/>
          <w:sz w:val="28"/>
          <w:szCs w:val="28"/>
          <w:lang w:val="es-MX"/>
        </w:rPr>
        <w:t xml:space="preserve">309.- CORPORACIÓN AUTÓNOMA REGIONAL DEL GUAVIO – CORPOGUAVIO. </w:t>
      </w:r>
    </w:p>
    <w:p w14:paraId="5F71E913" w14:textId="77777777" w:rsidR="00951330" w:rsidRDefault="00951330" w:rsidP="00951330">
      <w:pPr>
        <w:rPr>
          <w:lang w:val="es-MX"/>
        </w:rPr>
      </w:pPr>
    </w:p>
    <w:tbl>
      <w:tblPr>
        <w:tblStyle w:val="Tablaconcuadrcula"/>
        <w:tblW w:w="10490" w:type="dxa"/>
        <w:tblInd w:w="-289" w:type="dxa"/>
        <w:tblLook w:val="04A0" w:firstRow="1" w:lastRow="0" w:firstColumn="1" w:lastColumn="0" w:noHBand="0" w:noVBand="1"/>
      </w:tblPr>
      <w:tblGrid>
        <w:gridCol w:w="993"/>
        <w:gridCol w:w="9497"/>
      </w:tblGrid>
      <w:tr w:rsidR="00951330" w:rsidRPr="001748FD" w14:paraId="1C1709D4" w14:textId="77777777" w:rsidTr="00951330">
        <w:tc>
          <w:tcPr>
            <w:tcW w:w="993" w:type="dxa"/>
          </w:tcPr>
          <w:p w14:paraId="30075F76" w14:textId="77777777" w:rsidR="00951330" w:rsidRPr="001748FD" w:rsidRDefault="00951330" w:rsidP="00EF5AF2">
            <w:pPr>
              <w:tabs>
                <w:tab w:val="left" w:pos="875"/>
              </w:tabs>
              <w:ind w:right="-50"/>
              <w:jc w:val="center"/>
              <w:rPr>
                <w:rFonts w:ascii="Arial" w:hAnsi="Arial" w:cs="Arial"/>
                <w:b/>
              </w:rPr>
            </w:pPr>
            <w:r w:rsidRPr="001748FD">
              <w:rPr>
                <w:rFonts w:ascii="Arial" w:hAnsi="Arial" w:cs="Arial"/>
                <w:b/>
              </w:rPr>
              <w:t>N°</w:t>
            </w:r>
          </w:p>
        </w:tc>
        <w:tc>
          <w:tcPr>
            <w:tcW w:w="9497" w:type="dxa"/>
          </w:tcPr>
          <w:p w14:paraId="25E5F860" w14:textId="77777777" w:rsidR="00951330" w:rsidRPr="001748FD" w:rsidRDefault="00951330" w:rsidP="00EF5AF2">
            <w:pPr>
              <w:tabs>
                <w:tab w:val="left" w:pos="875"/>
              </w:tabs>
              <w:ind w:right="-50"/>
              <w:jc w:val="center"/>
              <w:rPr>
                <w:rFonts w:ascii="Arial" w:hAnsi="Arial" w:cs="Arial"/>
                <w:b/>
              </w:rPr>
            </w:pPr>
            <w:r w:rsidRPr="001748FD">
              <w:rPr>
                <w:rFonts w:ascii="Arial" w:hAnsi="Arial" w:cs="Arial"/>
                <w:b/>
              </w:rPr>
              <w:t xml:space="preserve">Limitaciones en la aplicación de los Clasificadores Presupuestales durante </w:t>
            </w:r>
          </w:p>
          <w:p w14:paraId="027651CC" w14:textId="77777777" w:rsidR="00951330" w:rsidRPr="001748FD" w:rsidRDefault="00951330" w:rsidP="00EF5AF2">
            <w:pPr>
              <w:tabs>
                <w:tab w:val="left" w:pos="875"/>
              </w:tabs>
              <w:ind w:right="-50"/>
              <w:jc w:val="center"/>
              <w:rPr>
                <w:rFonts w:ascii="Arial" w:hAnsi="Arial" w:cs="Arial"/>
                <w:b/>
              </w:rPr>
            </w:pPr>
            <w:r w:rsidRPr="001748FD">
              <w:rPr>
                <w:rFonts w:ascii="Arial" w:hAnsi="Arial" w:cs="Arial"/>
                <w:b/>
              </w:rPr>
              <w:t>la vigencia fiscal 2024</w:t>
            </w:r>
          </w:p>
          <w:p w14:paraId="102CA733" w14:textId="77777777" w:rsidR="00951330" w:rsidRPr="001748FD" w:rsidRDefault="00951330" w:rsidP="00EF5AF2">
            <w:pPr>
              <w:tabs>
                <w:tab w:val="left" w:pos="875"/>
              </w:tabs>
              <w:ind w:right="-50"/>
              <w:jc w:val="center"/>
              <w:rPr>
                <w:rFonts w:ascii="Arial" w:hAnsi="Arial" w:cs="Arial"/>
                <w:b/>
              </w:rPr>
            </w:pPr>
          </w:p>
        </w:tc>
      </w:tr>
      <w:tr w:rsidR="00951330" w:rsidRPr="001748FD" w14:paraId="4D5D9181" w14:textId="77777777" w:rsidTr="00951330">
        <w:tc>
          <w:tcPr>
            <w:tcW w:w="993" w:type="dxa"/>
          </w:tcPr>
          <w:p w14:paraId="3AE0BA45" w14:textId="77777777" w:rsidR="00951330" w:rsidRPr="001748FD" w:rsidRDefault="00951330" w:rsidP="00EF5AF2">
            <w:pPr>
              <w:tabs>
                <w:tab w:val="left" w:pos="875"/>
              </w:tabs>
              <w:ind w:right="-50"/>
              <w:jc w:val="center"/>
              <w:rPr>
                <w:rFonts w:ascii="Arial" w:hAnsi="Arial" w:cs="Arial"/>
                <w:b/>
              </w:rPr>
            </w:pPr>
            <w:r w:rsidRPr="001748FD">
              <w:rPr>
                <w:rFonts w:ascii="Arial" w:hAnsi="Arial" w:cs="Arial"/>
                <w:b/>
              </w:rPr>
              <w:t>1</w:t>
            </w:r>
          </w:p>
        </w:tc>
        <w:tc>
          <w:tcPr>
            <w:tcW w:w="9497" w:type="dxa"/>
          </w:tcPr>
          <w:p w14:paraId="5A56C201" w14:textId="77777777" w:rsidR="00951330" w:rsidRPr="001748FD" w:rsidRDefault="00951330" w:rsidP="00EF5AF2">
            <w:pPr>
              <w:tabs>
                <w:tab w:val="left" w:pos="875"/>
              </w:tabs>
              <w:ind w:right="-50"/>
              <w:jc w:val="both"/>
              <w:rPr>
                <w:rFonts w:ascii="Arial" w:hAnsi="Arial" w:cs="Arial"/>
                <w:bCs/>
              </w:rPr>
            </w:pPr>
            <w:r w:rsidRPr="001748FD">
              <w:rPr>
                <w:rFonts w:ascii="Arial" w:hAnsi="Arial" w:cs="Arial"/>
                <w:bCs/>
              </w:rPr>
              <w:t>Para la aplicación de los clasificadores presupuestales, según las Resoluciones enunciadas anteriormente, se han presentado limitaciones en las capacitaciones presenciales por parte del Ministerio de Hacienda, sin embargo, éstos se han venido implementando de acuerdo a la norma.</w:t>
            </w:r>
          </w:p>
        </w:tc>
      </w:tr>
    </w:tbl>
    <w:p w14:paraId="19A3E658" w14:textId="77777777" w:rsidR="00951330" w:rsidRDefault="00951330" w:rsidP="00951330"/>
    <w:p w14:paraId="3FC887B3" w14:textId="77777777" w:rsidR="00951330" w:rsidRPr="0084290C" w:rsidRDefault="00951330" w:rsidP="00951330">
      <w:pPr>
        <w:ind w:left="-284" w:right="-234"/>
        <w:jc w:val="both"/>
        <w:rPr>
          <w:rFonts w:ascii="Arial" w:hAnsi="Arial" w:cs="Arial"/>
          <w:b/>
          <w:sz w:val="28"/>
          <w:szCs w:val="28"/>
          <w:lang w:val="es-MX"/>
        </w:rPr>
      </w:pPr>
      <w:r w:rsidRPr="0084290C">
        <w:rPr>
          <w:rFonts w:ascii="Arial" w:hAnsi="Arial" w:cs="Arial"/>
          <w:b/>
          <w:sz w:val="28"/>
          <w:szCs w:val="28"/>
          <w:lang w:val="es-MX"/>
        </w:rPr>
        <w:t xml:space="preserve">336.- </w:t>
      </w:r>
      <w:r w:rsidRPr="0084290C">
        <w:rPr>
          <w:rFonts w:ascii="Arial" w:hAnsi="Arial" w:cs="Arial"/>
          <w:b/>
          <w:sz w:val="28"/>
          <w:szCs w:val="28"/>
          <w:lang w:val="es-CO"/>
        </w:rPr>
        <w:t xml:space="preserve">CORPORACIÓN AUTÓNOMA REGIONAL PARA LA DEFENSA DE LA MESETA DE BUCARAMANGA - CDMB. </w:t>
      </w:r>
    </w:p>
    <w:p w14:paraId="0B0AADAE" w14:textId="77777777" w:rsidR="00951330" w:rsidRDefault="00951330" w:rsidP="00951330"/>
    <w:tbl>
      <w:tblPr>
        <w:tblStyle w:val="Tablaconcuadrcula"/>
        <w:tblW w:w="10490" w:type="dxa"/>
        <w:tblInd w:w="-289" w:type="dxa"/>
        <w:tblLook w:val="04A0" w:firstRow="1" w:lastRow="0" w:firstColumn="1" w:lastColumn="0" w:noHBand="0" w:noVBand="1"/>
      </w:tblPr>
      <w:tblGrid>
        <w:gridCol w:w="993"/>
        <w:gridCol w:w="9497"/>
      </w:tblGrid>
      <w:tr w:rsidR="00951330" w:rsidRPr="009C33A5" w14:paraId="55DFAA40" w14:textId="77777777" w:rsidTr="00951330">
        <w:tc>
          <w:tcPr>
            <w:tcW w:w="993" w:type="dxa"/>
          </w:tcPr>
          <w:p w14:paraId="33B5A2E9" w14:textId="77777777" w:rsidR="00951330" w:rsidRPr="009C33A5" w:rsidRDefault="00951330" w:rsidP="00EF5AF2">
            <w:pPr>
              <w:tabs>
                <w:tab w:val="left" w:pos="875"/>
              </w:tabs>
              <w:jc w:val="center"/>
              <w:rPr>
                <w:rFonts w:ascii="Arial" w:hAnsi="Arial" w:cs="Arial"/>
                <w:b/>
                <w:iCs/>
              </w:rPr>
            </w:pPr>
            <w:r w:rsidRPr="009C33A5">
              <w:rPr>
                <w:rFonts w:ascii="Arial" w:hAnsi="Arial" w:cs="Arial"/>
                <w:b/>
                <w:iCs/>
              </w:rPr>
              <w:t>N°</w:t>
            </w:r>
          </w:p>
        </w:tc>
        <w:tc>
          <w:tcPr>
            <w:tcW w:w="9497" w:type="dxa"/>
          </w:tcPr>
          <w:p w14:paraId="5A378F0C" w14:textId="77777777" w:rsidR="00951330" w:rsidRPr="009C33A5" w:rsidRDefault="00951330" w:rsidP="00EF5AF2">
            <w:pPr>
              <w:tabs>
                <w:tab w:val="left" w:pos="875"/>
              </w:tabs>
              <w:jc w:val="center"/>
              <w:rPr>
                <w:rFonts w:ascii="Arial" w:hAnsi="Arial" w:cs="Arial"/>
                <w:b/>
                <w:iCs/>
              </w:rPr>
            </w:pPr>
            <w:r w:rsidRPr="009C33A5">
              <w:rPr>
                <w:rFonts w:ascii="Arial" w:hAnsi="Arial" w:cs="Arial"/>
                <w:b/>
                <w:iCs/>
              </w:rPr>
              <w:t xml:space="preserve">Limitaciones en la aplicación de los Clasificadores Presupuestales durante </w:t>
            </w:r>
          </w:p>
          <w:p w14:paraId="2077A75D" w14:textId="77777777" w:rsidR="00951330" w:rsidRPr="009C33A5" w:rsidRDefault="00951330" w:rsidP="00EF5AF2">
            <w:pPr>
              <w:tabs>
                <w:tab w:val="left" w:pos="875"/>
              </w:tabs>
              <w:jc w:val="center"/>
              <w:rPr>
                <w:rFonts w:ascii="Arial" w:hAnsi="Arial" w:cs="Arial"/>
                <w:b/>
                <w:iCs/>
              </w:rPr>
            </w:pPr>
            <w:r w:rsidRPr="009C33A5">
              <w:rPr>
                <w:rFonts w:ascii="Arial" w:hAnsi="Arial" w:cs="Arial"/>
                <w:b/>
                <w:iCs/>
              </w:rPr>
              <w:t>la vigencia fiscal 2024</w:t>
            </w:r>
          </w:p>
          <w:p w14:paraId="295C52C2" w14:textId="77777777" w:rsidR="00951330" w:rsidRPr="009C33A5" w:rsidRDefault="00951330" w:rsidP="00EF5AF2">
            <w:pPr>
              <w:tabs>
                <w:tab w:val="left" w:pos="875"/>
              </w:tabs>
              <w:jc w:val="center"/>
              <w:rPr>
                <w:rFonts w:ascii="Arial" w:hAnsi="Arial" w:cs="Arial"/>
                <w:b/>
                <w:iCs/>
              </w:rPr>
            </w:pPr>
          </w:p>
        </w:tc>
      </w:tr>
      <w:tr w:rsidR="00951330" w:rsidRPr="009C33A5" w14:paraId="47BFA28A" w14:textId="77777777" w:rsidTr="00951330">
        <w:tc>
          <w:tcPr>
            <w:tcW w:w="993" w:type="dxa"/>
          </w:tcPr>
          <w:p w14:paraId="009347EC" w14:textId="77777777" w:rsidR="00951330" w:rsidRPr="009C33A5" w:rsidRDefault="00951330" w:rsidP="00EF5AF2">
            <w:pPr>
              <w:tabs>
                <w:tab w:val="left" w:pos="875"/>
              </w:tabs>
              <w:jc w:val="center"/>
              <w:rPr>
                <w:rFonts w:ascii="Arial" w:hAnsi="Arial" w:cs="Arial"/>
                <w:b/>
                <w:iCs/>
              </w:rPr>
            </w:pPr>
            <w:r w:rsidRPr="009C33A5">
              <w:rPr>
                <w:rFonts w:ascii="Arial" w:hAnsi="Arial" w:cs="Arial"/>
                <w:b/>
                <w:iCs/>
              </w:rPr>
              <w:t>1</w:t>
            </w:r>
          </w:p>
        </w:tc>
        <w:tc>
          <w:tcPr>
            <w:tcW w:w="9497" w:type="dxa"/>
          </w:tcPr>
          <w:p w14:paraId="2D3AE714" w14:textId="77777777" w:rsidR="00951330" w:rsidRPr="009C33A5" w:rsidRDefault="00951330" w:rsidP="00EF5AF2">
            <w:pPr>
              <w:tabs>
                <w:tab w:val="left" w:pos="875"/>
              </w:tabs>
              <w:jc w:val="both"/>
              <w:rPr>
                <w:rFonts w:ascii="Arial" w:hAnsi="Arial" w:cs="Arial"/>
                <w:b/>
                <w:iCs/>
              </w:rPr>
            </w:pPr>
            <w:r w:rsidRPr="009C33A5">
              <w:rPr>
                <w:rFonts w:ascii="Arial" w:eastAsia="Calibri" w:hAnsi="Arial" w:cs="Arial"/>
                <w:iCs/>
                <w:lang w:val="es-CO"/>
              </w:rPr>
              <w:t>Falta de capacitaciones presenciales, a las entidades que ejecutan recursos de la Nación</w:t>
            </w:r>
          </w:p>
        </w:tc>
      </w:tr>
    </w:tbl>
    <w:p w14:paraId="1DCB56EC" w14:textId="77777777" w:rsidR="00951330" w:rsidRDefault="00951330" w:rsidP="00951330"/>
    <w:p w14:paraId="6980B6D5" w14:textId="6EB6C61A" w:rsidR="00D96A90" w:rsidRPr="00D96A90" w:rsidRDefault="00D96A90" w:rsidP="00D96A90">
      <w:pPr>
        <w:ind w:left="-284" w:right="-234"/>
        <w:jc w:val="center"/>
        <w:rPr>
          <w:rFonts w:ascii="Arial" w:hAnsi="Arial" w:cs="Arial"/>
          <w:b/>
          <w:bCs/>
          <w:sz w:val="28"/>
          <w:szCs w:val="28"/>
          <w:u w:val="single"/>
        </w:rPr>
      </w:pPr>
      <w:bookmarkStart w:id="21" w:name="_Hlk210306439"/>
      <w:bookmarkStart w:id="22" w:name="_Hlk210822060"/>
      <w:r w:rsidRPr="008C0EBC">
        <w:rPr>
          <w:rFonts w:ascii="Arial" w:hAnsi="Arial" w:cs="Arial"/>
          <w:b/>
          <w:sz w:val="28"/>
          <w:szCs w:val="28"/>
          <w:lang w:val="es-MX"/>
        </w:rPr>
        <w:t>9</w:t>
      </w:r>
      <w:r w:rsidRPr="00D96A90">
        <w:rPr>
          <w:rFonts w:ascii="Arial" w:hAnsi="Arial" w:cs="Arial"/>
          <w:b/>
          <w:sz w:val="28"/>
          <w:szCs w:val="28"/>
          <w:u w:val="single"/>
          <w:lang w:val="es-MX"/>
        </w:rPr>
        <w:t>.- UNIDADES EJECUTORAS QUE INCUM</w:t>
      </w:r>
      <w:r w:rsidRPr="00D96A90">
        <w:rPr>
          <w:rFonts w:ascii="Arial" w:hAnsi="Arial" w:cs="Arial"/>
          <w:b/>
          <w:bCs/>
          <w:sz w:val="28"/>
          <w:szCs w:val="28"/>
          <w:u w:val="single"/>
        </w:rPr>
        <w:t>PLIERON A 31 DE DICIEMBRE DE 2024, LO ESTABLECIDO EN EL ARTÍCULO 78 DEL DECRETO LEY 111 DE 1996 SOBRE EL LÍMITE PARA CONSTITUIR RESERVAS PARA GASTOS DE FUNCIONAMIENTO DEL 2% Y PARA GASTOS DE INVERSIÓN DEL 15%?</w:t>
      </w:r>
      <w:bookmarkEnd w:id="21"/>
    </w:p>
    <w:p w14:paraId="09F2EDDD" w14:textId="77777777" w:rsidR="00D96A90" w:rsidRPr="008C0EBC" w:rsidRDefault="00D96A90" w:rsidP="00D96A90">
      <w:pPr>
        <w:ind w:left="-284" w:right="-234"/>
        <w:jc w:val="center"/>
        <w:rPr>
          <w:rFonts w:ascii="Arial" w:hAnsi="Arial" w:cs="Arial"/>
          <w:sz w:val="28"/>
          <w:szCs w:val="28"/>
        </w:rPr>
      </w:pPr>
    </w:p>
    <w:bookmarkEnd w:id="22"/>
    <w:p w14:paraId="49F9B245" w14:textId="77777777" w:rsidR="00D96A90" w:rsidRPr="008C0EBC" w:rsidRDefault="00D96A90" w:rsidP="00D96A90">
      <w:pPr>
        <w:ind w:left="-284"/>
        <w:jc w:val="both"/>
        <w:rPr>
          <w:rFonts w:ascii="Arial" w:hAnsi="Arial" w:cs="Arial"/>
          <w:b/>
          <w:sz w:val="28"/>
          <w:szCs w:val="28"/>
          <w:lang w:val="es-MX"/>
        </w:rPr>
      </w:pPr>
      <w:r w:rsidRPr="008C0EBC">
        <w:rPr>
          <w:rFonts w:ascii="Arial" w:hAnsi="Arial" w:cs="Arial"/>
          <w:b/>
          <w:sz w:val="28"/>
          <w:szCs w:val="28"/>
          <w:lang w:val="es-MX"/>
        </w:rPr>
        <w:t>3.- SUPERINTENDENCIA DE VIGILANCIA Y SEGURIDAD PRIVADA.</w:t>
      </w:r>
    </w:p>
    <w:p w14:paraId="0B38D776" w14:textId="77777777" w:rsidR="00D96A90" w:rsidRPr="008C0EBC" w:rsidRDefault="00D96A90" w:rsidP="00D96A90">
      <w:pPr>
        <w:ind w:right="-460"/>
        <w:rPr>
          <w:rFonts w:ascii="Arial" w:hAnsi="Arial" w:cs="Arial"/>
          <w:b/>
          <w:sz w:val="28"/>
          <w:szCs w:val="28"/>
          <w:lang w:val="es-MX"/>
        </w:rPr>
      </w:pPr>
    </w:p>
    <w:p w14:paraId="1EAE8DE8"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t xml:space="preserve">La entidad informa: </w:t>
      </w:r>
      <w:r w:rsidRPr="008C0EBC">
        <w:rPr>
          <w:rFonts w:ascii="Arial" w:hAnsi="Arial" w:cs="Arial"/>
          <w:sz w:val="24"/>
          <w:szCs w:val="24"/>
        </w:rPr>
        <w:t xml:space="preserve">En cuanto a los límites para constitución de reservas por gastos de funcionamiento la entidad ha dado pleno cumplimiento al artículo 78 del Decreto Ley 111 de 1996, para los gastos de funcionamiento. </w:t>
      </w:r>
    </w:p>
    <w:p w14:paraId="2986AE10" w14:textId="77777777" w:rsidR="00D96A90" w:rsidRPr="008C0EBC" w:rsidRDefault="00D96A90" w:rsidP="00D96A90">
      <w:pPr>
        <w:pStyle w:val="Textoindependiente"/>
        <w:spacing w:before="3"/>
        <w:ind w:left="-284" w:right="-234"/>
        <w:jc w:val="both"/>
        <w:rPr>
          <w:rFonts w:ascii="Arial" w:hAnsi="Arial" w:cs="Arial"/>
          <w:sz w:val="24"/>
          <w:szCs w:val="24"/>
        </w:rPr>
      </w:pPr>
    </w:p>
    <w:p w14:paraId="2ED058CE" w14:textId="06E34721" w:rsidR="00D96A90" w:rsidRDefault="00D96A90" w:rsidP="00D96A90">
      <w:pPr>
        <w:pStyle w:val="Textoindependiente"/>
        <w:spacing w:before="3"/>
        <w:ind w:left="-284" w:right="-234"/>
        <w:jc w:val="both"/>
        <w:rPr>
          <w:rFonts w:ascii="Arial" w:hAnsi="Arial" w:cs="Arial"/>
          <w:sz w:val="24"/>
          <w:szCs w:val="24"/>
        </w:rPr>
      </w:pPr>
      <w:r w:rsidRPr="008C0EBC">
        <w:rPr>
          <w:rFonts w:ascii="Arial" w:hAnsi="Arial" w:cs="Arial"/>
          <w:b/>
          <w:bCs/>
          <w:sz w:val="24"/>
          <w:szCs w:val="24"/>
          <w:u w:val="single"/>
        </w:rPr>
        <w:t>Sin embargo, se evidencia un incumplimiento en las reservas presupuestales con respecto al proyecto de inversión</w:t>
      </w:r>
      <w:r w:rsidRPr="008C0EBC">
        <w:rPr>
          <w:rFonts w:ascii="Arial" w:hAnsi="Arial" w:cs="Arial"/>
          <w:sz w:val="24"/>
          <w:szCs w:val="24"/>
        </w:rPr>
        <w:t>.</w:t>
      </w:r>
    </w:p>
    <w:p w14:paraId="582C6AEB" w14:textId="77777777" w:rsidR="00A85772" w:rsidRPr="008C0EBC" w:rsidRDefault="00A85772" w:rsidP="00D96A90">
      <w:pPr>
        <w:pStyle w:val="Textoindependiente"/>
        <w:spacing w:before="3"/>
        <w:ind w:left="-284" w:right="-234"/>
        <w:jc w:val="both"/>
        <w:rPr>
          <w:rFonts w:ascii="Arial" w:hAnsi="Arial" w:cs="Arial"/>
          <w:sz w:val="24"/>
          <w:szCs w:val="24"/>
        </w:rPr>
      </w:pPr>
    </w:p>
    <w:p w14:paraId="3110F817"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6.- ARCHIVO GENERAL DE LA NACIÓN JORGE PALACIOS PRECIADO.</w:t>
      </w:r>
    </w:p>
    <w:p w14:paraId="730A61CB" w14:textId="77777777" w:rsidR="00D96A90" w:rsidRPr="008C0EBC" w:rsidRDefault="00D96A90" w:rsidP="00D96A90">
      <w:pPr>
        <w:ind w:right="-460"/>
        <w:rPr>
          <w:rFonts w:ascii="Arial" w:hAnsi="Arial" w:cs="Arial"/>
          <w:b/>
          <w:sz w:val="24"/>
          <w:szCs w:val="24"/>
          <w:lang w:val="es-MX"/>
        </w:rPr>
      </w:pPr>
    </w:p>
    <w:p w14:paraId="7056A7F9"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t xml:space="preserve">La entidad informa: </w:t>
      </w:r>
      <w:r w:rsidRPr="008C0EBC">
        <w:rPr>
          <w:rFonts w:ascii="Arial" w:hAnsi="Arial" w:cs="Arial"/>
          <w:sz w:val="24"/>
          <w:szCs w:val="24"/>
        </w:rPr>
        <w:t xml:space="preserve">La entidad cumplió en gastos de funcionamiento de acuerdo con los límites </w:t>
      </w:r>
      <w:r w:rsidRPr="008C0EBC">
        <w:rPr>
          <w:rFonts w:ascii="Arial" w:hAnsi="Arial" w:cs="Arial"/>
          <w:sz w:val="24"/>
          <w:szCs w:val="24"/>
        </w:rPr>
        <w:lastRenderedPageBreak/>
        <w:t>establecidos en el artículo 78 del Decreto Ley 111 de 1996.</w:t>
      </w:r>
    </w:p>
    <w:p w14:paraId="4776E5C8" w14:textId="77777777" w:rsidR="00D96A90" w:rsidRPr="008C0EBC" w:rsidRDefault="00D96A90" w:rsidP="00D96A90">
      <w:pPr>
        <w:ind w:left="-284" w:right="-234"/>
        <w:rPr>
          <w:rFonts w:ascii="Arial" w:hAnsi="Arial" w:cs="Arial"/>
          <w:sz w:val="24"/>
          <w:szCs w:val="24"/>
        </w:rPr>
      </w:pPr>
    </w:p>
    <w:p w14:paraId="3759F9E8" w14:textId="77777777" w:rsidR="00D96A90" w:rsidRPr="008C0EBC" w:rsidRDefault="00D96A90" w:rsidP="00D96A90">
      <w:pPr>
        <w:ind w:left="-284" w:right="-234"/>
        <w:jc w:val="both"/>
        <w:rPr>
          <w:rFonts w:ascii="Arial" w:hAnsi="Arial" w:cs="Arial"/>
          <w:sz w:val="24"/>
          <w:szCs w:val="24"/>
        </w:rPr>
      </w:pPr>
      <w:r w:rsidRPr="008C0EBC">
        <w:rPr>
          <w:rFonts w:ascii="Arial" w:hAnsi="Arial" w:cs="Arial"/>
          <w:b/>
          <w:bCs/>
          <w:sz w:val="24"/>
          <w:szCs w:val="24"/>
          <w:u w:val="single"/>
        </w:rPr>
        <w:t>En cuanto a inversión: El incremento del tope de las reservas presupuestales de inversión principalmente se dio por las siguientes situaciones contractuales</w:t>
      </w:r>
      <w:r w:rsidRPr="008C0EBC">
        <w:rPr>
          <w:rFonts w:ascii="Arial" w:hAnsi="Arial" w:cs="Arial"/>
          <w:sz w:val="24"/>
          <w:szCs w:val="24"/>
        </w:rPr>
        <w:t>:</w:t>
      </w:r>
    </w:p>
    <w:p w14:paraId="11D5015E" w14:textId="77777777" w:rsidR="00D96A90" w:rsidRPr="008C0EBC" w:rsidRDefault="00D96A90" w:rsidP="00D96A90">
      <w:pPr>
        <w:ind w:left="-284" w:right="-234"/>
        <w:jc w:val="both"/>
        <w:rPr>
          <w:rFonts w:ascii="Arial" w:hAnsi="Arial" w:cs="Arial"/>
          <w:sz w:val="24"/>
          <w:szCs w:val="24"/>
        </w:rPr>
      </w:pPr>
    </w:p>
    <w:p w14:paraId="33A21C96" w14:textId="77777777" w:rsidR="00D96A90" w:rsidRPr="008C0EBC" w:rsidRDefault="00D96A90" w:rsidP="00D96A90">
      <w:pPr>
        <w:ind w:left="-284" w:right="-234"/>
        <w:jc w:val="both"/>
        <w:rPr>
          <w:rFonts w:ascii="Arial" w:hAnsi="Arial" w:cs="Arial"/>
          <w:sz w:val="24"/>
          <w:szCs w:val="24"/>
        </w:rPr>
      </w:pPr>
      <w:r w:rsidRPr="008C0EBC">
        <w:rPr>
          <w:rFonts w:ascii="Arial" w:hAnsi="Arial" w:cs="Arial"/>
          <w:sz w:val="24"/>
          <w:szCs w:val="24"/>
        </w:rPr>
        <w:t>Contrato No. 343 de 2024 Proveedor DB System S.A.S.: Se presentó debido a demoras imprevistas en la entrega de equipos causadas por factores externos como congestión en vuelos y retrasos en la nacionalización por parte de la DIAN. Esto ha resultado en la necesidad de prorrogar el contrato hasta el 31 de enero de 2025.</w:t>
      </w:r>
    </w:p>
    <w:p w14:paraId="6D2F6B20" w14:textId="77777777" w:rsidR="00D96A90" w:rsidRPr="008C0EBC" w:rsidRDefault="00D96A90" w:rsidP="00D96A90">
      <w:pPr>
        <w:ind w:left="-284" w:right="-234"/>
        <w:jc w:val="both"/>
        <w:rPr>
          <w:rFonts w:ascii="Arial" w:hAnsi="Arial" w:cs="Arial"/>
          <w:sz w:val="24"/>
          <w:szCs w:val="24"/>
        </w:rPr>
      </w:pPr>
    </w:p>
    <w:p w14:paraId="4F2D9326" w14:textId="77777777" w:rsidR="00D96A90" w:rsidRPr="008C0EBC" w:rsidRDefault="00D96A90" w:rsidP="00D96A90">
      <w:pPr>
        <w:ind w:left="-284" w:right="-234"/>
        <w:jc w:val="both"/>
        <w:rPr>
          <w:rFonts w:ascii="Arial" w:hAnsi="Arial" w:cs="Arial"/>
          <w:sz w:val="24"/>
          <w:szCs w:val="24"/>
        </w:rPr>
      </w:pPr>
      <w:r w:rsidRPr="008C0EBC">
        <w:rPr>
          <w:rFonts w:ascii="Arial" w:hAnsi="Arial" w:cs="Arial"/>
          <w:sz w:val="24"/>
          <w:szCs w:val="24"/>
        </w:rPr>
        <w:t>Contrato No. 350 de 2024 Proveedor Consorcio Archivo AP: Representa el 68% del total de las reservas presupuestales constituidas. Se realizó requerimiento de posible incumplimiento, el contratista no cumplió con el objeto contractual de: Adelantar la obra para el montaje de la Fase 1 del módulo 8, en la sede Funza del Archivo General de la Nación Jorge Palacios Preciado.</w:t>
      </w:r>
    </w:p>
    <w:p w14:paraId="227301A2" w14:textId="77777777" w:rsidR="00D96A90" w:rsidRPr="008C0EBC" w:rsidRDefault="00D96A90" w:rsidP="00D96A90">
      <w:pPr>
        <w:ind w:left="-284" w:right="-234"/>
        <w:jc w:val="both"/>
        <w:rPr>
          <w:rFonts w:ascii="Arial" w:hAnsi="Arial" w:cs="Arial"/>
          <w:sz w:val="24"/>
          <w:szCs w:val="24"/>
        </w:rPr>
      </w:pPr>
    </w:p>
    <w:p w14:paraId="31125BC0" w14:textId="77777777" w:rsidR="00D96A90" w:rsidRPr="008C0EBC" w:rsidRDefault="00D96A90" w:rsidP="00D96A90">
      <w:pPr>
        <w:ind w:left="-284" w:right="-234"/>
        <w:jc w:val="both"/>
        <w:rPr>
          <w:rFonts w:ascii="Arial" w:hAnsi="Arial" w:cs="Arial"/>
          <w:sz w:val="24"/>
          <w:szCs w:val="24"/>
        </w:rPr>
      </w:pPr>
      <w:r w:rsidRPr="008C0EBC">
        <w:rPr>
          <w:rFonts w:ascii="Arial" w:hAnsi="Arial" w:cs="Arial"/>
          <w:sz w:val="24"/>
          <w:szCs w:val="24"/>
        </w:rPr>
        <w:t>Contrato No. 351 de 2024 Proveedor Inter Obras GR SAS: Se presentaron imprevistos en la implementación del diseño del módulo 8 identificando algunos entrecruzamientos con la estructura actual de la bodega, lo que hizo necesario realizar un alcance al estudio de suelo y ajuste a los diseños entregados inicialmente. Se realizó requerimiento de posible incumplimiento al contratista.</w:t>
      </w:r>
    </w:p>
    <w:p w14:paraId="28569B8F" w14:textId="77777777" w:rsidR="00D96A90" w:rsidRPr="008C0EBC" w:rsidRDefault="00D96A90" w:rsidP="00D96A90">
      <w:pPr>
        <w:ind w:left="-284" w:right="-234"/>
        <w:jc w:val="both"/>
        <w:rPr>
          <w:rFonts w:ascii="Arial" w:hAnsi="Arial" w:cs="Arial"/>
          <w:sz w:val="24"/>
          <w:szCs w:val="24"/>
        </w:rPr>
      </w:pPr>
    </w:p>
    <w:p w14:paraId="1D9A8961" w14:textId="77777777" w:rsidR="00D96A90" w:rsidRPr="008C0EBC" w:rsidRDefault="00D96A90" w:rsidP="00D96A90">
      <w:pPr>
        <w:ind w:left="-284" w:right="-234"/>
        <w:jc w:val="both"/>
        <w:rPr>
          <w:rFonts w:ascii="Arial" w:hAnsi="Arial" w:cs="Arial"/>
          <w:sz w:val="24"/>
          <w:szCs w:val="24"/>
        </w:rPr>
      </w:pPr>
      <w:r w:rsidRPr="008C0EBC">
        <w:rPr>
          <w:rFonts w:ascii="Arial" w:hAnsi="Arial" w:cs="Arial"/>
          <w:sz w:val="24"/>
          <w:szCs w:val="24"/>
        </w:rPr>
        <w:t>Contrato No. 373 de 2024 Proveedor Técnicas Colombianas de Ingeniería S.A.S: Debido a situaciones técnicas y ambientales que afectaron la ejecución del contrato para la intervención por humedades y reparaciones urgentes en la sede centro del AGN, se presentó un retraso en el cronograma. El contratista inicialmente requería un permiso de la Aeronáutica Civil para realizar un sobrevuelo con dron, pero debido a la proximidad con la Presidencia, el permiso tardaría aproximadamente dos meses, lo que retrasó las actividades. Para mitigar el impacto, el contratista propuso usar tecnología Leica BLK 360 de escaneo terrestre, las lluvias de octubre y noviembre también interrumpieron el trabajo. Como resultado, el supervisor solicitó una prórroga del contrato hasta el 28 de febrero de 2025, para continuar con la intervención y reparaciones necesarias.</w:t>
      </w:r>
    </w:p>
    <w:p w14:paraId="4C950C34" w14:textId="77777777" w:rsidR="00D96A90" w:rsidRPr="008C0EBC" w:rsidRDefault="00D96A90" w:rsidP="00D96A90">
      <w:pPr>
        <w:ind w:left="-284" w:right="-234"/>
        <w:rPr>
          <w:rFonts w:ascii="Arial" w:hAnsi="Arial" w:cs="Arial"/>
          <w:b/>
          <w:sz w:val="24"/>
          <w:szCs w:val="24"/>
        </w:rPr>
      </w:pPr>
    </w:p>
    <w:p w14:paraId="0D02090D"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8.- DEPARTAMENTO ADMINISTRATIVO DIRECCIÓN NACIONAL DE INTELIGENCIA.</w:t>
      </w:r>
    </w:p>
    <w:p w14:paraId="2221E941" w14:textId="77777777" w:rsidR="00D96A90" w:rsidRPr="008C0EBC" w:rsidRDefault="00D96A90" w:rsidP="00D96A90">
      <w:pPr>
        <w:ind w:left="-284" w:right="-234"/>
        <w:rPr>
          <w:rFonts w:ascii="Arial" w:hAnsi="Arial" w:cs="Arial"/>
          <w:b/>
          <w:sz w:val="24"/>
          <w:szCs w:val="24"/>
          <w:lang w:val="es-MX"/>
        </w:rPr>
      </w:pPr>
    </w:p>
    <w:p w14:paraId="09FE1891" w14:textId="77777777" w:rsidR="00D96A90" w:rsidRPr="008C0EBC" w:rsidRDefault="00D96A90" w:rsidP="00D96A90">
      <w:pPr>
        <w:pStyle w:val="Textoindependiente"/>
        <w:spacing w:before="3"/>
        <w:ind w:left="-284" w:right="-234"/>
        <w:jc w:val="both"/>
        <w:rPr>
          <w:rFonts w:ascii="Arial" w:hAnsi="Arial" w:cs="Arial"/>
          <w:b/>
          <w:sz w:val="24"/>
          <w:szCs w:val="24"/>
        </w:rPr>
      </w:pPr>
      <w:r w:rsidRPr="008C0EBC">
        <w:rPr>
          <w:rFonts w:ascii="Arial" w:hAnsi="Arial" w:cs="Arial"/>
          <w:b/>
          <w:sz w:val="24"/>
          <w:szCs w:val="24"/>
        </w:rPr>
        <w:t xml:space="preserve">La entidad informa: </w:t>
      </w:r>
    </w:p>
    <w:p w14:paraId="74011DC2" w14:textId="77777777" w:rsidR="00D96A90" w:rsidRPr="008C0EBC" w:rsidRDefault="00D96A90" w:rsidP="00D96A90">
      <w:pPr>
        <w:pStyle w:val="Textoindependiente"/>
        <w:spacing w:before="3"/>
        <w:ind w:left="-284" w:right="-234"/>
        <w:jc w:val="both"/>
        <w:rPr>
          <w:rFonts w:ascii="Arial" w:hAnsi="Arial" w:cs="Arial"/>
          <w:b/>
          <w:sz w:val="24"/>
          <w:szCs w:val="24"/>
        </w:rPr>
      </w:pPr>
    </w:p>
    <w:p w14:paraId="69DF8652" w14:textId="77777777" w:rsidR="00D96A90" w:rsidRPr="008C0EBC" w:rsidRDefault="00D96A90" w:rsidP="00CB6055">
      <w:pPr>
        <w:pStyle w:val="Textoindependiente"/>
        <w:numPr>
          <w:ilvl w:val="0"/>
          <w:numId w:val="35"/>
        </w:numPr>
        <w:spacing w:before="3"/>
        <w:ind w:left="-284" w:right="-234" w:firstLine="0"/>
        <w:rPr>
          <w:rFonts w:ascii="Arial" w:hAnsi="Arial" w:cs="Arial"/>
          <w:b/>
          <w:sz w:val="24"/>
          <w:szCs w:val="24"/>
          <w:lang w:val="es-CO"/>
        </w:rPr>
      </w:pPr>
      <w:r w:rsidRPr="008C0EBC">
        <w:rPr>
          <w:rFonts w:ascii="Arial" w:hAnsi="Arial" w:cs="Arial"/>
          <w:b/>
          <w:sz w:val="24"/>
          <w:szCs w:val="24"/>
          <w:lang w:val="es-CO"/>
        </w:rPr>
        <w:t>“Reserva Presupuestal por caso fortuito y fuerza mayor:</w:t>
      </w:r>
    </w:p>
    <w:p w14:paraId="3F30F8E4" w14:textId="77777777" w:rsidR="00D96A90" w:rsidRPr="008C0EBC" w:rsidRDefault="00D96A90" w:rsidP="00D96A90">
      <w:pPr>
        <w:pStyle w:val="Textoindependiente"/>
        <w:spacing w:before="3"/>
        <w:ind w:left="-284" w:right="-234"/>
        <w:rPr>
          <w:rFonts w:ascii="Arial" w:hAnsi="Arial" w:cs="Arial"/>
          <w:b/>
          <w:sz w:val="24"/>
          <w:szCs w:val="24"/>
          <w:lang w:val="es-CO"/>
        </w:rPr>
      </w:pPr>
    </w:p>
    <w:p w14:paraId="54C91B64" w14:textId="77777777" w:rsidR="00D96A90" w:rsidRPr="008C0EBC" w:rsidRDefault="00D96A90" w:rsidP="00D96A90">
      <w:pPr>
        <w:pStyle w:val="Textoindependiente"/>
        <w:spacing w:before="3"/>
        <w:ind w:left="-284" w:right="-234"/>
        <w:jc w:val="both"/>
        <w:rPr>
          <w:rFonts w:ascii="Arial" w:hAnsi="Arial" w:cs="Arial"/>
          <w:sz w:val="24"/>
          <w:szCs w:val="24"/>
          <w:lang w:val="es-CO"/>
        </w:rPr>
      </w:pPr>
      <w:r w:rsidRPr="008C0EBC">
        <w:rPr>
          <w:rFonts w:ascii="Arial" w:hAnsi="Arial" w:cs="Arial"/>
          <w:sz w:val="24"/>
          <w:szCs w:val="24"/>
          <w:lang w:val="es-MX"/>
        </w:rPr>
        <w:t xml:space="preserve">• </w:t>
      </w:r>
      <w:r w:rsidRPr="008C0EBC">
        <w:rPr>
          <w:rFonts w:ascii="Arial" w:hAnsi="Arial" w:cs="Arial"/>
          <w:b/>
          <w:sz w:val="24"/>
          <w:szCs w:val="24"/>
          <w:lang w:val="es-CO"/>
        </w:rPr>
        <w:t>Inversión:</w:t>
      </w:r>
      <w:r w:rsidRPr="008C0EBC">
        <w:rPr>
          <w:rFonts w:ascii="Arial" w:hAnsi="Arial" w:cs="Arial"/>
          <w:sz w:val="24"/>
          <w:szCs w:val="24"/>
          <w:lang w:val="es-CO"/>
        </w:rPr>
        <w:t xml:space="preserve"> Se constituyó una reserva presupuestal de $12.084 millones, equivalente al 30% del valor total de lo apropiado. Esta reserva está sujeta a eventos imprevisibles, excepcionales y de fuerza mayor, tal como se evidencia en las justificaciones y modificaciones contractuales gestionadas por parte del supervisor del contrato, las cuales se encuentran debidamente archivadas en los expedientes contractuales.</w:t>
      </w:r>
    </w:p>
    <w:p w14:paraId="422CBFFE" w14:textId="77777777" w:rsidR="00D96A90" w:rsidRPr="008C0EBC" w:rsidRDefault="00D96A90" w:rsidP="00D96A90">
      <w:pPr>
        <w:pStyle w:val="Textoindependiente"/>
        <w:spacing w:before="3"/>
        <w:ind w:left="-284" w:right="-234"/>
        <w:jc w:val="both"/>
        <w:rPr>
          <w:rFonts w:ascii="Arial" w:hAnsi="Arial" w:cs="Arial"/>
          <w:sz w:val="24"/>
          <w:szCs w:val="24"/>
          <w:lang w:val="es-CO"/>
        </w:rPr>
      </w:pPr>
    </w:p>
    <w:p w14:paraId="49CE45FE" w14:textId="77777777" w:rsidR="00D96A90" w:rsidRPr="008C0EBC" w:rsidRDefault="00D96A90" w:rsidP="00CB6055">
      <w:pPr>
        <w:pStyle w:val="Textoindependiente"/>
        <w:numPr>
          <w:ilvl w:val="0"/>
          <w:numId w:val="35"/>
        </w:numPr>
        <w:spacing w:before="3"/>
        <w:ind w:left="-284" w:right="-234" w:firstLine="0"/>
        <w:jc w:val="both"/>
        <w:rPr>
          <w:rFonts w:ascii="Arial" w:hAnsi="Arial" w:cs="Arial"/>
          <w:b/>
          <w:sz w:val="24"/>
          <w:szCs w:val="24"/>
          <w:lang w:val="es-CO"/>
        </w:rPr>
      </w:pPr>
      <w:r w:rsidRPr="008C0EBC">
        <w:rPr>
          <w:rFonts w:ascii="Arial" w:hAnsi="Arial" w:cs="Arial"/>
          <w:b/>
          <w:sz w:val="24"/>
          <w:szCs w:val="24"/>
          <w:lang w:val="es-CO"/>
        </w:rPr>
        <w:t>Reserva Presupuestal por ausencia de PAC.</w:t>
      </w:r>
    </w:p>
    <w:p w14:paraId="09600F7F" w14:textId="77777777" w:rsidR="00D96A90" w:rsidRPr="008C0EBC" w:rsidRDefault="00D96A90" w:rsidP="00D96A90">
      <w:pPr>
        <w:pStyle w:val="Textoindependiente"/>
        <w:spacing w:before="3"/>
        <w:ind w:left="-284" w:right="-234"/>
        <w:jc w:val="both"/>
        <w:rPr>
          <w:rFonts w:ascii="Arial" w:hAnsi="Arial" w:cs="Arial"/>
          <w:sz w:val="24"/>
          <w:szCs w:val="24"/>
          <w:lang w:val="es-CO"/>
        </w:rPr>
      </w:pPr>
    </w:p>
    <w:p w14:paraId="453F3608"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lang w:val="es-CO"/>
        </w:rPr>
        <w:t xml:space="preserve">Se constituye reserva presupuestal </w:t>
      </w:r>
      <w:r w:rsidRPr="008C0EBC">
        <w:rPr>
          <w:rFonts w:ascii="Arial" w:hAnsi="Arial" w:cs="Arial"/>
          <w:b/>
          <w:sz w:val="24"/>
          <w:szCs w:val="24"/>
          <w:lang w:val="es-CO"/>
        </w:rPr>
        <w:t>inducida por la ausencia de PAC</w:t>
      </w:r>
      <w:r w:rsidRPr="008C0EBC">
        <w:rPr>
          <w:rFonts w:ascii="Arial" w:hAnsi="Arial" w:cs="Arial"/>
          <w:sz w:val="24"/>
          <w:szCs w:val="24"/>
          <w:lang w:val="es-CO"/>
        </w:rPr>
        <w:t xml:space="preserve"> alcanzando un valor de $13.073 millones.”</w:t>
      </w:r>
    </w:p>
    <w:p w14:paraId="2508A1E8" w14:textId="77777777" w:rsidR="00D96A90" w:rsidRPr="008C0EBC" w:rsidRDefault="00D96A90" w:rsidP="00D96A90">
      <w:pPr>
        <w:ind w:left="-284" w:right="-234"/>
        <w:rPr>
          <w:rFonts w:ascii="Arial" w:hAnsi="Arial" w:cs="Arial"/>
          <w:b/>
          <w:sz w:val="24"/>
          <w:szCs w:val="24"/>
        </w:rPr>
      </w:pPr>
    </w:p>
    <w:p w14:paraId="57380251"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lastRenderedPageBreak/>
        <w:t>12.- FONDO DE PREVISIÓN SOCIAL DEL CONGRESO DE LA REPÚBLICA – ADMINISTRADORA DE PENSIONES Y CESANTÍAS – FONPRECON.</w:t>
      </w:r>
    </w:p>
    <w:p w14:paraId="1ABDD0BE" w14:textId="77777777" w:rsidR="00D96A90" w:rsidRPr="008C0EBC" w:rsidRDefault="00D96A90" w:rsidP="00D96A90">
      <w:pPr>
        <w:ind w:left="-284" w:right="-234"/>
        <w:rPr>
          <w:rFonts w:ascii="Arial" w:hAnsi="Arial" w:cs="Arial"/>
          <w:b/>
          <w:sz w:val="24"/>
          <w:szCs w:val="24"/>
        </w:rPr>
      </w:pPr>
    </w:p>
    <w:p w14:paraId="7EFDD167"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t xml:space="preserve">La entidad informa: </w:t>
      </w:r>
      <w:r w:rsidRPr="008C0EBC">
        <w:rPr>
          <w:rFonts w:ascii="Arial" w:hAnsi="Arial" w:cs="Arial"/>
          <w:sz w:val="24"/>
          <w:szCs w:val="24"/>
        </w:rPr>
        <w:t>Para los gastos de inversión se superó el límite, en razón a que el proveedor con el cual se contrató los servicios para la implementación, actualización y automatización de los procesos para el reconocimiento de las prestaciones económicas, la preservación de la información a largo plazo y su diligente acceso, a través del sistema de ORFEO en la versión NG (Nueva Generación), no allegó los respectivos informes y soportes para tramitar el pago de los servicios prestados, dentro del plazo establecido para el trámite de pago en la vigencia de 2024.</w:t>
      </w:r>
    </w:p>
    <w:p w14:paraId="6A574816" w14:textId="77777777" w:rsidR="00D96A90" w:rsidRPr="008C0EBC" w:rsidRDefault="00D96A90" w:rsidP="00D96A90">
      <w:pPr>
        <w:ind w:left="-284" w:right="-234" w:firstLine="284"/>
        <w:rPr>
          <w:rFonts w:ascii="Arial" w:hAnsi="Arial" w:cs="Arial"/>
          <w:b/>
          <w:sz w:val="24"/>
          <w:szCs w:val="24"/>
        </w:rPr>
      </w:pPr>
    </w:p>
    <w:p w14:paraId="317574F2" w14:textId="77777777" w:rsidR="00D96A90" w:rsidRPr="008C0EBC" w:rsidRDefault="00D96A90" w:rsidP="00D96A90">
      <w:pPr>
        <w:ind w:left="-284"/>
        <w:jc w:val="both"/>
        <w:rPr>
          <w:rFonts w:ascii="Arial" w:hAnsi="Arial" w:cs="Arial"/>
          <w:b/>
          <w:sz w:val="28"/>
          <w:szCs w:val="28"/>
          <w:lang w:val="es-MX"/>
        </w:rPr>
      </w:pPr>
      <w:r w:rsidRPr="008C0EBC">
        <w:rPr>
          <w:rFonts w:ascii="Arial" w:hAnsi="Arial" w:cs="Arial"/>
          <w:b/>
          <w:sz w:val="28"/>
          <w:szCs w:val="28"/>
          <w:lang w:val="es-MX"/>
        </w:rPr>
        <w:t>22.- DIRECCIÓN NACIONAL DE BOMBEROS DE COLOMBIA - DNBC.</w:t>
      </w:r>
    </w:p>
    <w:p w14:paraId="0214328C" w14:textId="77777777" w:rsidR="00D96A90" w:rsidRPr="008C0EBC" w:rsidRDefault="00D96A90" w:rsidP="00D96A90">
      <w:pPr>
        <w:ind w:left="-284" w:right="-234" w:firstLine="284"/>
        <w:rPr>
          <w:rFonts w:ascii="Arial" w:hAnsi="Arial" w:cs="Arial"/>
          <w:b/>
          <w:sz w:val="24"/>
          <w:szCs w:val="24"/>
          <w:lang w:val="es-MX"/>
        </w:rPr>
      </w:pPr>
    </w:p>
    <w:p w14:paraId="5BE3D509"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
          <w:sz w:val="24"/>
          <w:szCs w:val="24"/>
        </w:rPr>
        <w:t xml:space="preserve">La entidad informa: </w:t>
      </w:r>
      <w:r w:rsidRPr="008C0EBC">
        <w:rPr>
          <w:rFonts w:ascii="Arial" w:hAnsi="Arial" w:cs="Arial"/>
          <w:bCs/>
          <w:sz w:val="24"/>
          <w:szCs w:val="24"/>
        </w:rPr>
        <w:t>Para la vigencia fiscal 2024, la Dirección Nacional de Bomberos, superó el límite de constitución de reservas presupuestales de funcionamiento e inversión, ya que, para el cierre fiscal, la entidad no tenía aprobado el PAC solicitado para poder realizar los pagos de los diferentes compromisos contractuales adquiridos.</w:t>
      </w:r>
    </w:p>
    <w:p w14:paraId="4E70B29B" w14:textId="77777777" w:rsidR="00D96A90" w:rsidRPr="008C0EBC" w:rsidRDefault="00D96A90" w:rsidP="00D96A90">
      <w:pPr>
        <w:ind w:left="-284" w:right="-234" w:firstLine="284"/>
        <w:rPr>
          <w:rFonts w:ascii="Arial" w:hAnsi="Arial" w:cs="Arial"/>
          <w:b/>
          <w:sz w:val="24"/>
          <w:szCs w:val="24"/>
        </w:rPr>
      </w:pPr>
    </w:p>
    <w:p w14:paraId="5480CA36" w14:textId="77777777" w:rsidR="00D96A90" w:rsidRPr="008C0EBC" w:rsidRDefault="00D96A90" w:rsidP="00D96A90">
      <w:pPr>
        <w:ind w:left="-284"/>
        <w:jc w:val="both"/>
        <w:rPr>
          <w:rFonts w:ascii="Arial" w:hAnsi="Arial" w:cs="Arial"/>
          <w:b/>
          <w:sz w:val="28"/>
          <w:szCs w:val="28"/>
          <w:lang w:val="es-MX"/>
        </w:rPr>
      </w:pPr>
      <w:r w:rsidRPr="008C0EBC">
        <w:rPr>
          <w:rFonts w:ascii="Arial" w:hAnsi="Arial" w:cs="Arial"/>
          <w:b/>
          <w:sz w:val="28"/>
          <w:szCs w:val="28"/>
          <w:lang w:val="es-MX"/>
        </w:rPr>
        <w:t>23.- INSTITUTO NACIONAL DE VÍAS - INVÍAS.</w:t>
      </w:r>
    </w:p>
    <w:p w14:paraId="6BDA54A7" w14:textId="77777777" w:rsidR="00D96A90" w:rsidRPr="008C0EBC" w:rsidRDefault="00D96A90" w:rsidP="00D96A90">
      <w:pPr>
        <w:ind w:left="-284" w:right="-234" w:firstLine="284"/>
        <w:rPr>
          <w:rFonts w:ascii="Arial" w:hAnsi="Arial" w:cs="Arial"/>
          <w:b/>
          <w:sz w:val="24"/>
          <w:szCs w:val="24"/>
          <w:lang w:val="es-MX"/>
        </w:rPr>
      </w:pPr>
    </w:p>
    <w:p w14:paraId="31EE7F1C" w14:textId="77777777" w:rsidR="00D96A90" w:rsidRPr="008C0EBC" w:rsidRDefault="00D96A90" w:rsidP="00D96A90">
      <w:pPr>
        <w:ind w:left="-284" w:right="-234"/>
        <w:jc w:val="both"/>
        <w:rPr>
          <w:rFonts w:ascii="Arial" w:hAnsi="Arial" w:cs="Arial"/>
          <w:sz w:val="24"/>
          <w:szCs w:val="24"/>
          <w:lang w:val="es-MX"/>
        </w:rPr>
      </w:pPr>
      <w:r w:rsidRPr="008C0EBC">
        <w:rPr>
          <w:rFonts w:ascii="Arial" w:hAnsi="Arial" w:cs="Arial"/>
          <w:b/>
          <w:sz w:val="24"/>
          <w:szCs w:val="24"/>
          <w:lang w:val="es-MX"/>
        </w:rPr>
        <w:t xml:space="preserve">La entidad informa: </w:t>
      </w:r>
      <w:r w:rsidRPr="008C0EBC">
        <w:rPr>
          <w:rFonts w:ascii="Arial" w:hAnsi="Arial" w:cs="Arial"/>
          <w:sz w:val="24"/>
          <w:szCs w:val="24"/>
          <w:lang w:val="es-MX"/>
        </w:rPr>
        <w:t>En atención a su solicitud respecto al cumplimiento del Artículo 78 del Decreto Ley 111 de 1996, relacionado con los límites para la constitución de reservas presupuestales en la vigencia fiscal 2024, el Instituto Nacional de Vías se permite informar lo siguiente:</w:t>
      </w:r>
    </w:p>
    <w:p w14:paraId="258F1324" w14:textId="77777777" w:rsidR="00D96A90" w:rsidRPr="008C0EBC" w:rsidRDefault="00D96A90" w:rsidP="00D96A90">
      <w:pPr>
        <w:ind w:left="-284" w:right="-234"/>
        <w:jc w:val="both"/>
        <w:rPr>
          <w:rFonts w:ascii="Arial" w:hAnsi="Arial" w:cs="Arial"/>
          <w:sz w:val="24"/>
          <w:szCs w:val="24"/>
          <w:lang w:val="es-MX"/>
        </w:rPr>
      </w:pPr>
    </w:p>
    <w:p w14:paraId="7CDE07DE" w14:textId="77777777" w:rsidR="00D96A90" w:rsidRPr="008C0EBC" w:rsidRDefault="00D96A90" w:rsidP="00D96A90">
      <w:pPr>
        <w:ind w:left="-284" w:right="-234"/>
        <w:jc w:val="both"/>
        <w:rPr>
          <w:rFonts w:ascii="Arial" w:hAnsi="Arial" w:cs="Arial"/>
          <w:sz w:val="24"/>
          <w:szCs w:val="24"/>
          <w:lang w:val="es-MX"/>
        </w:rPr>
      </w:pPr>
      <w:r w:rsidRPr="008C0EBC">
        <w:rPr>
          <w:rFonts w:ascii="Arial" w:hAnsi="Arial" w:cs="Arial"/>
          <w:sz w:val="24"/>
          <w:szCs w:val="24"/>
          <w:lang w:val="es-MX"/>
        </w:rPr>
        <w:t>Para la mencionada vigencia, la Entidad constituyó reservas presupuestales que representan el 10,2% del presupuesto asignado en Gastos de Funcionamiento y el 54.2% del presupuesto asignado en Gastos de Inversión.</w:t>
      </w:r>
    </w:p>
    <w:p w14:paraId="6CE0CDE6" w14:textId="77777777" w:rsidR="00D96A90" w:rsidRPr="008C0EBC" w:rsidRDefault="00D96A90" w:rsidP="00D96A90">
      <w:pPr>
        <w:ind w:left="-284" w:right="-234"/>
        <w:jc w:val="both"/>
        <w:rPr>
          <w:rFonts w:ascii="Arial" w:hAnsi="Arial" w:cs="Arial"/>
          <w:sz w:val="24"/>
          <w:szCs w:val="24"/>
          <w:lang w:val="es-MX"/>
        </w:rPr>
      </w:pPr>
    </w:p>
    <w:p w14:paraId="0747F34F" w14:textId="77777777" w:rsidR="00D96A90" w:rsidRPr="008C0EBC" w:rsidRDefault="00D96A90" w:rsidP="00D96A90">
      <w:pPr>
        <w:ind w:left="-284" w:right="-234"/>
        <w:jc w:val="both"/>
        <w:rPr>
          <w:rFonts w:ascii="Arial" w:hAnsi="Arial" w:cs="Arial"/>
          <w:sz w:val="24"/>
          <w:szCs w:val="24"/>
          <w:lang w:val="es-MX"/>
        </w:rPr>
      </w:pPr>
      <w:r w:rsidRPr="008C0EBC">
        <w:rPr>
          <w:rFonts w:ascii="Arial" w:hAnsi="Arial" w:cs="Arial"/>
          <w:sz w:val="24"/>
          <w:szCs w:val="24"/>
          <w:lang w:val="es-MX"/>
        </w:rPr>
        <w:t>El monto de Reservas constituidas obedece a diferentes situaciones de origen interno y externo, como las que se destacan a continuación:</w:t>
      </w:r>
    </w:p>
    <w:p w14:paraId="6E4DCFD3" w14:textId="77777777" w:rsidR="00D96A90" w:rsidRPr="008C0EBC" w:rsidRDefault="00D96A90" w:rsidP="00D96A90">
      <w:pPr>
        <w:jc w:val="both"/>
        <w:rPr>
          <w:rFonts w:ascii="Arial" w:hAnsi="Arial" w:cs="Arial"/>
          <w:sz w:val="24"/>
          <w:szCs w:val="24"/>
          <w:lang w:val="es-MX"/>
        </w:rPr>
      </w:pPr>
    </w:p>
    <w:p w14:paraId="3A2ABF59" w14:textId="77777777" w:rsidR="00D96A90" w:rsidRPr="008C0EBC" w:rsidRDefault="00D96A90" w:rsidP="00CB6055">
      <w:pPr>
        <w:pStyle w:val="Prrafodelista"/>
        <w:numPr>
          <w:ilvl w:val="0"/>
          <w:numId w:val="36"/>
        </w:numPr>
        <w:spacing w:before="1"/>
        <w:ind w:right="-234"/>
        <w:jc w:val="both"/>
        <w:rPr>
          <w:rFonts w:ascii="Arial" w:hAnsi="Arial" w:cs="Arial"/>
          <w:sz w:val="24"/>
          <w:szCs w:val="24"/>
          <w:lang w:val="es-MX"/>
        </w:rPr>
      </w:pPr>
      <w:r w:rsidRPr="008C0EBC">
        <w:rPr>
          <w:rFonts w:ascii="Arial" w:hAnsi="Arial" w:cs="Arial"/>
          <w:sz w:val="24"/>
          <w:szCs w:val="24"/>
          <w:lang w:val="es-MX"/>
        </w:rPr>
        <w:t>Restricciones, limitaciones o dificultades no controlables de tipo técnico, que generaron retrasos en la ejecución de ciertos contratos de funcionamiento e inversión, afectando el flujo normal de la ejecución del gasto.</w:t>
      </w:r>
    </w:p>
    <w:p w14:paraId="14FB902D" w14:textId="77777777" w:rsidR="00D96A90" w:rsidRPr="008C0EBC" w:rsidRDefault="00D96A90" w:rsidP="00D96A90">
      <w:pPr>
        <w:ind w:right="-234"/>
        <w:jc w:val="both"/>
        <w:rPr>
          <w:rFonts w:ascii="Arial" w:hAnsi="Arial" w:cs="Arial"/>
          <w:b/>
          <w:sz w:val="24"/>
          <w:szCs w:val="24"/>
          <w:lang w:val="es-MX"/>
        </w:rPr>
      </w:pPr>
    </w:p>
    <w:p w14:paraId="11D6D5D5" w14:textId="77777777" w:rsidR="00D96A90" w:rsidRPr="008C0EBC" w:rsidRDefault="00D96A90" w:rsidP="00CB6055">
      <w:pPr>
        <w:pStyle w:val="Prrafodelista"/>
        <w:numPr>
          <w:ilvl w:val="0"/>
          <w:numId w:val="36"/>
        </w:numPr>
        <w:spacing w:before="1"/>
        <w:ind w:right="-234"/>
        <w:jc w:val="both"/>
        <w:rPr>
          <w:rFonts w:ascii="Arial" w:hAnsi="Arial" w:cs="Arial"/>
          <w:sz w:val="24"/>
          <w:szCs w:val="24"/>
          <w:lang w:val="es-MX"/>
        </w:rPr>
      </w:pPr>
      <w:r w:rsidRPr="008C0EBC">
        <w:rPr>
          <w:rFonts w:ascii="Arial" w:hAnsi="Arial" w:cs="Arial"/>
          <w:sz w:val="24"/>
          <w:szCs w:val="24"/>
          <w:lang w:val="es-MX"/>
        </w:rPr>
        <w:t>La aprobación de traslados presupuestales necesarios para garantizar la contratación y ejecución de los recursos exigió un extenso trámite ante a Dirección General de Presupuesto Nacional del MHCP, dependencia que autorizó operaciones gestionadas por el Invias desde el primer semestre del año, solo hasta el mes de diciembre 2024, generando un alto impacto en los tiempos planificados para la ejecución oportuna de los compromisos adquiridos.</w:t>
      </w:r>
    </w:p>
    <w:p w14:paraId="79D60ACA" w14:textId="77777777" w:rsidR="00D96A90" w:rsidRPr="008C0EBC" w:rsidRDefault="00D96A90" w:rsidP="00D96A90">
      <w:pPr>
        <w:ind w:right="-234"/>
        <w:jc w:val="both"/>
        <w:rPr>
          <w:rFonts w:ascii="Arial" w:hAnsi="Arial" w:cs="Arial"/>
          <w:sz w:val="24"/>
          <w:szCs w:val="24"/>
          <w:lang w:val="es-MX"/>
        </w:rPr>
      </w:pPr>
    </w:p>
    <w:p w14:paraId="2368F35A" w14:textId="77777777" w:rsidR="00D96A90" w:rsidRPr="008C0EBC" w:rsidRDefault="00D96A90" w:rsidP="00CB6055">
      <w:pPr>
        <w:pStyle w:val="Prrafodelista"/>
        <w:numPr>
          <w:ilvl w:val="0"/>
          <w:numId w:val="36"/>
        </w:numPr>
        <w:spacing w:before="1"/>
        <w:ind w:right="-234"/>
        <w:jc w:val="both"/>
        <w:rPr>
          <w:rFonts w:ascii="Arial" w:hAnsi="Arial" w:cs="Arial"/>
          <w:sz w:val="24"/>
          <w:szCs w:val="24"/>
          <w:lang w:val="es-MX"/>
        </w:rPr>
      </w:pPr>
      <w:r w:rsidRPr="008C0EBC">
        <w:rPr>
          <w:rFonts w:ascii="Arial" w:hAnsi="Arial" w:cs="Arial"/>
          <w:sz w:val="24"/>
          <w:szCs w:val="24"/>
          <w:lang w:val="es-MX"/>
        </w:rPr>
        <w:t>La ejecución de proyectos de infraestructura y programas estratégicos con tiempos de ejecución extendidos, los cuales requirieron ajustes técnicos y administrativos que afectaron su implementación dentro de la vigencia.</w:t>
      </w:r>
    </w:p>
    <w:p w14:paraId="0C4C82DD" w14:textId="77777777" w:rsidR="00D96A90" w:rsidRPr="008C0EBC" w:rsidRDefault="00D96A90" w:rsidP="00D96A90">
      <w:pPr>
        <w:jc w:val="both"/>
        <w:rPr>
          <w:rFonts w:ascii="Arial" w:hAnsi="Arial" w:cs="Arial"/>
          <w:sz w:val="24"/>
          <w:szCs w:val="24"/>
          <w:lang w:val="es-MX"/>
        </w:rPr>
      </w:pPr>
    </w:p>
    <w:p w14:paraId="6E45107B" w14:textId="77777777" w:rsidR="00D96A90" w:rsidRPr="008C0EBC" w:rsidRDefault="00D96A90" w:rsidP="00CB6055">
      <w:pPr>
        <w:pStyle w:val="Prrafodelista"/>
        <w:numPr>
          <w:ilvl w:val="0"/>
          <w:numId w:val="36"/>
        </w:numPr>
        <w:spacing w:before="1"/>
        <w:ind w:right="-234"/>
        <w:jc w:val="both"/>
        <w:rPr>
          <w:rFonts w:ascii="Arial" w:hAnsi="Arial" w:cs="Arial"/>
          <w:sz w:val="24"/>
          <w:szCs w:val="24"/>
          <w:lang w:val="es-MX"/>
        </w:rPr>
      </w:pPr>
      <w:r w:rsidRPr="008C0EBC">
        <w:rPr>
          <w:rFonts w:ascii="Arial" w:hAnsi="Arial" w:cs="Arial"/>
          <w:sz w:val="24"/>
          <w:szCs w:val="24"/>
          <w:lang w:val="es-MX"/>
        </w:rPr>
        <w:t xml:space="preserve">En el caso de gastos de funcionamiento, tal situación se presentó por razones administrativas y operativas debido a procesos pendientes de legalización y ejecución, </w:t>
      </w:r>
      <w:r w:rsidRPr="008C0EBC">
        <w:rPr>
          <w:rFonts w:ascii="Arial" w:hAnsi="Arial" w:cs="Arial"/>
          <w:sz w:val="24"/>
          <w:szCs w:val="24"/>
          <w:lang w:val="es-MX"/>
        </w:rPr>
        <w:lastRenderedPageBreak/>
        <w:t xml:space="preserve">principalmente relacionados con bienes y servicios recurrentes. </w:t>
      </w:r>
    </w:p>
    <w:p w14:paraId="6A96215D" w14:textId="77777777" w:rsidR="00D96A90" w:rsidRPr="008C0EBC" w:rsidRDefault="00D96A90" w:rsidP="00D96A90">
      <w:pPr>
        <w:jc w:val="both"/>
        <w:rPr>
          <w:rFonts w:ascii="Arial" w:hAnsi="Arial" w:cs="Arial"/>
          <w:sz w:val="24"/>
          <w:szCs w:val="24"/>
          <w:lang w:val="es-MX"/>
        </w:rPr>
      </w:pPr>
    </w:p>
    <w:p w14:paraId="1C8ACF2B" w14:textId="77777777" w:rsidR="00D96A90" w:rsidRPr="008C0EBC" w:rsidRDefault="00D96A90" w:rsidP="00D96A90">
      <w:pPr>
        <w:ind w:left="-284" w:right="-234"/>
        <w:jc w:val="both"/>
        <w:rPr>
          <w:rFonts w:ascii="Arial" w:hAnsi="Arial" w:cs="Arial"/>
          <w:sz w:val="24"/>
          <w:szCs w:val="24"/>
          <w:lang w:val="es-MX"/>
        </w:rPr>
      </w:pPr>
      <w:r w:rsidRPr="008C0EBC">
        <w:rPr>
          <w:rFonts w:ascii="Arial" w:hAnsi="Arial" w:cs="Arial"/>
          <w:sz w:val="24"/>
          <w:szCs w:val="24"/>
          <w:lang w:val="es-MX"/>
        </w:rPr>
        <w:t>Debe  anotarse que, en el caso específico de los gastos de Inversión financiados con fuente Nación, que es dónde se presenta el mayor porcentaje de reservas presupuestales constituidas,  la razón principal de las mismas, es atribuible a  factores de orden fiscal y financiero de la Nación que afectaron la liquidez del Tesoro Nacional, conllevando a la NO ASIGNACIÓN DE  PAC DE INVERSION, imposibilitando la obligación y pago de más de 5.000 cuentas  debidamente radicadas y autorizadas al cierre de la vigencia, por valor de $969 mil millones.</w:t>
      </w:r>
    </w:p>
    <w:p w14:paraId="143A6B0F" w14:textId="77777777" w:rsidR="00D96A90" w:rsidRPr="008C0EBC" w:rsidRDefault="00D96A90" w:rsidP="00D96A90">
      <w:pPr>
        <w:ind w:left="-284" w:right="-234" w:firstLine="284"/>
        <w:rPr>
          <w:rFonts w:ascii="Arial" w:hAnsi="Arial" w:cs="Arial"/>
          <w:b/>
          <w:sz w:val="24"/>
          <w:szCs w:val="24"/>
          <w:lang w:val="es-MX"/>
        </w:rPr>
      </w:pPr>
    </w:p>
    <w:p w14:paraId="2029C809" w14:textId="77777777" w:rsidR="00D96A90" w:rsidRPr="008C0EBC" w:rsidRDefault="00D96A90" w:rsidP="00D96A90">
      <w:pPr>
        <w:ind w:left="-284" w:right="-234"/>
        <w:jc w:val="both"/>
        <w:rPr>
          <w:rFonts w:ascii="Arial" w:hAnsi="Arial" w:cs="Arial"/>
          <w:sz w:val="24"/>
          <w:szCs w:val="24"/>
          <w:lang w:val="es-MX"/>
        </w:rPr>
      </w:pPr>
      <w:r w:rsidRPr="008C0EBC">
        <w:rPr>
          <w:rFonts w:ascii="Arial" w:hAnsi="Arial" w:cs="Arial"/>
          <w:sz w:val="24"/>
          <w:szCs w:val="24"/>
          <w:lang w:val="es-MX"/>
        </w:rPr>
        <w:t>Estas cuentas, bajo el marco normativo vigente (artículo 28 de la Ley 2342 de 2023) debieron constituirse como RESERVA PRESUPUESTAL al cierre de la vigencia 2024 (RESERVA INDUCIDA), lo que explica el indicador tan alto de las Reservas de Inversión.</w:t>
      </w:r>
    </w:p>
    <w:p w14:paraId="7DEBD3D6" w14:textId="77777777" w:rsidR="00D96A90" w:rsidRPr="008C0EBC" w:rsidRDefault="00D96A90" w:rsidP="00D96A90">
      <w:pPr>
        <w:ind w:right="49"/>
        <w:jc w:val="both"/>
        <w:rPr>
          <w:rFonts w:ascii="Arial" w:hAnsi="Arial" w:cs="Arial"/>
          <w:sz w:val="24"/>
          <w:szCs w:val="24"/>
          <w:lang w:val="es-MX"/>
        </w:rPr>
      </w:pPr>
    </w:p>
    <w:p w14:paraId="11FD228B"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24.- ESCUELA TECNOLOGICA INSTITUTO TECNICO CENTRAL.</w:t>
      </w:r>
    </w:p>
    <w:p w14:paraId="3722DF5A" w14:textId="77777777" w:rsidR="00D96A90" w:rsidRPr="008C0EBC" w:rsidRDefault="00D96A90" w:rsidP="00D96A90">
      <w:pPr>
        <w:ind w:left="-284" w:right="-234"/>
        <w:jc w:val="both"/>
        <w:rPr>
          <w:rFonts w:ascii="Arial" w:hAnsi="Arial" w:cs="Arial"/>
          <w:b/>
          <w:sz w:val="24"/>
          <w:szCs w:val="24"/>
          <w:lang w:val="es-MX"/>
        </w:rPr>
      </w:pPr>
    </w:p>
    <w:p w14:paraId="4FDF43A8"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t xml:space="preserve">La entidad informa: </w:t>
      </w:r>
      <w:r w:rsidRPr="008C0EBC">
        <w:rPr>
          <w:rFonts w:ascii="Arial" w:hAnsi="Arial" w:cs="Arial"/>
          <w:sz w:val="24"/>
          <w:szCs w:val="24"/>
        </w:rPr>
        <w:t>Infortunadamente no se cumplieron los límites para constituir reservas presupuestales, tanto de funcionamiento como de inversión, debido a que la adición de recursos que se incorporaron al presupuesto se recibió hacia los meses de octubre y noviembre, y no se alcanzaron a ejecutar, por tanto, se dejaron en reserva. E igualmente la aprobación por parte del Ministerio de Hacienda y Crédito Público del traslado presupuestal de los recursos provenientes de Levantamiento de Previo Concepto surtió efectos posteriores a las fechas habilitadas en el calendario PAC.</w:t>
      </w:r>
    </w:p>
    <w:p w14:paraId="43335434" w14:textId="77777777" w:rsidR="00D96A90" w:rsidRPr="008C0EBC" w:rsidRDefault="00D96A90" w:rsidP="00D96A90">
      <w:pPr>
        <w:pStyle w:val="Textoindependiente"/>
        <w:spacing w:before="3"/>
        <w:ind w:left="-284" w:right="-234"/>
        <w:jc w:val="both"/>
        <w:rPr>
          <w:rFonts w:ascii="Arial" w:hAnsi="Arial" w:cs="Arial"/>
          <w:sz w:val="24"/>
          <w:szCs w:val="24"/>
        </w:rPr>
      </w:pPr>
    </w:p>
    <w:p w14:paraId="2332365E"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bCs/>
          <w:sz w:val="24"/>
          <w:szCs w:val="24"/>
        </w:rPr>
        <w:t>NOTA</w:t>
      </w:r>
      <w:r w:rsidRPr="008C0EBC">
        <w:rPr>
          <w:rFonts w:ascii="Arial" w:hAnsi="Arial" w:cs="Arial"/>
          <w:sz w:val="24"/>
          <w:szCs w:val="24"/>
        </w:rPr>
        <w:t>: La entidad no informa en que porcentaje se sobrepasó los topes establecidos para funcionamiento e inversión.</w:t>
      </w:r>
    </w:p>
    <w:p w14:paraId="585C8811" w14:textId="77777777" w:rsidR="00D96A90" w:rsidRPr="008C0EBC" w:rsidRDefault="00D96A90" w:rsidP="00D96A90">
      <w:pPr>
        <w:ind w:right="49"/>
        <w:jc w:val="both"/>
        <w:rPr>
          <w:rFonts w:ascii="Arial" w:hAnsi="Arial" w:cs="Arial"/>
          <w:b/>
          <w:sz w:val="24"/>
          <w:szCs w:val="24"/>
        </w:rPr>
      </w:pPr>
    </w:p>
    <w:p w14:paraId="70DCDECC"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26.- AGENCIA NACIONAL INMOBILIARIA VIRGILIO BARCO.</w:t>
      </w:r>
    </w:p>
    <w:p w14:paraId="645C2427" w14:textId="77777777" w:rsidR="00D96A90" w:rsidRPr="008C0EBC" w:rsidRDefault="00D96A90" w:rsidP="00D96A90">
      <w:pPr>
        <w:ind w:left="-284" w:right="-234"/>
        <w:jc w:val="both"/>
        <w:rPr>
          <w:rFonts w:ascii="Arial" w:hAnsi="Arial" w:cs="Arial"/>
          <w:b/>
          <w:sz w:val="24"/>
          <w:szCs w:val="24"/>
          <w:lang w:val="es-MX"/>
        </w:rPr>
      </w:pPr>
    </w:p>
    <w:p w14:paraId="3DE3E9AC" w14:textId="77777777" w:rsidR="00D96A90" w:rsidRPr="008C0EBC" w:rsidRDefault="00D96A90" w:rsidP="00D96A90">
      <w:pPr>
        <w:pStyle w:val="Textoindependiente"/>
        <w:spacing w:before="3"/>
        <w:ind w:left="-284" w:right="-234"/>
        <w:jc w:val="both"/>
        <w:rPr>
          <w:rFonts w:ascii="Arial" w:hAnsi="Arial" w:cs="Arial"/>
          <w:b/>
          <w:sz w:val="24"/>
          <w:szCs w:val="24"/>
        </w:rPr>
      </w:pPr>
      <w:r w:rsidRPr="008C0EBC">
        <w:rPr>
          <w:rFonts w:ascii="Arial" w:hAnsi="Arial" w:cs="Arial"/>
          <w:b/>
          <w:sz w:val="24"/>
          <w:szCs w:val="24"/>
        </w:rPr>
        <w:t>La entidad informa:</w:t>
      </w:r>
    </w:p>
    <w:p w14:paraId="6B884ED6" w14:textId="77777777" w:rsidR="00D96A90" w:rsidRPr="008C0EBC" w:rsidRDefault="00D96A90" w:rsidP="00D96A90">
      <w:pPr>
        <w:pStyle w:val="Textoindependiente"/>
        <w:spacing w:before="3"/>
        <w:ind w:left="-284" w:right="-234"/>
        <w:jc w:val="both"/>
        <w:rPr>
          <w:rFonts w:ascii="Arial" w:hAnsi="Arial" w:cs="Arial"/>
          <w:b/>
          <w:sz w:val="24"/>
          <w:szCs w:val="24"/>
        </w:rPr>
      </w:pPr>
    </w:p>
    <w:p w14:paraId="67456266" w14:textId="77777777" w:rsidR="00D96A90" w:rsidRPr="008C0EBC" w:rsidRDefault="00D96A90" w:rsidP="00CB6055">
      <w:pPr>
        <w:pStyle w:val="Textoindependiente"/>
        <w:numPr>
          <w:ilvl w:val="0"/>
          <w:numId w:val="37"/>
        </w:numPr>
        <w:spacing w:before="3"/>
        <w:ind w:left="-284" w:right="-234" w:firstLine="0"/>
        <w:jc w:val="both"/>
        <w:rPr>
          <w:rFonts w:ascii="Arial" w:hAnsi="Arial" w:cs="Arial"/>
          <w:bCs/>
          <w:sz w:val="24"/>
          <w:szCs w:val="24"/>
        </w:rPr>
      </w:pPr>
      <w:r w:rsidRPr="008C0EBC">
        <w:rPr>
          <w:rFonts w:ascii="Arial" w:hAnsi="Arial" w:cs="Arial"/>
          <w:b/>
          <w:sz w:val="24"/>
          <w:szCs w:val="24"/>
        </w:rPr>
        <w:t xml:space="preserve">Reservas Inversión. </w:t>
      </w:r>
      <w:r w:rsidRPr="008C0EBC">
        <w:rPr>
          <w:rFonts w:ascii="Arial" w:hAnsi="Arial" w:cs="Arial"/>
          <w:bCs/>
          <w:sz w:val="24"/>
          <w:szCs w:val="24"/>
        </w:rPr>
        <w:t>A 31 de diciembre de 2024, se constituyó una reserva presupuestal del presupuesto de Inversión por $52.495 millones de pesos, apropiados en el proyecto Desarrollo y formulación de proyectos estratégicos de renovación y desarrollo urbano en municipios y distritos de Colombia Nacional, identificado con el rubro C-0209-1000-4. El proyecto inmobiliario adelanta la construcción de la Fase I del Proyecto Ministerios – Manzana 6, y fue declarado de importancia estratégica en el CONPES 4032 de 2021.</w:t>
      </w:r>
    </w:p>
    <w:p w14:paraId="6BDCCA3B" w14:textId="77777777" w:rsidR="00D96A90" w:rsidRPr="008C0EBC" w:rsidRDefault="00D96A90" w:rsidP="00D96A90">
      <w:pPr>
        <w:pStyle w:val="Textoindependiente"/>
        <w:spacing w:before="3"/>
        <w:ind w:left="-284" w:right="-234"/>
        <w:jc w:val="both"/>
        <w:rPr>
          <w:rFonts w:ascii="Arial" w:hAnsi="Arial" w:cs="Arial"/>
          <w:bCs/>
          <w:sz w:val="24"/>
          <w:szCs w:val="24"/>
        </w:rPr>
      </w:pPr>
    </w:p>
    <w:p w14:paraId="104717D9"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Cs/>
          <w:sz w:val="24"/>
          <w:szCs w:val="24"/>
        </w:rPr>
        <w:t>Como resultado de los estudios y diseños técnicos adelantados para la Fase I del Proyecto Ministerios Manzana 6, el valor de la iniciativa, correspondiente a la inversión en la etapa de construcción, fue estimado en $232.727 millones de pesos, los cuales fueron distribuidos en cuatro (4) vigencias, de la siguiente forma:</w:t>
      </w:r>
    </w:p>
    <w:p w14:paraId="126A8E37" w14:textId="77777777" w:rsidR="00D96A90" w:rsidRPr="008C0EBC" w:rsidRDefault="00D96A90" w:rsidP="00D96A90">
      <w:pPr>
        <w:pStyle w:val="Textoindependiente"/>
        <w:spacing w:before="3"/>
        <w:jc w:val="both"/>
        <w:rPr>
          <w:rFonts w:ascii="Arial" w:hAnsi="Arial" w:cs="Arial"/>
          <w:bCs/>
          <w:sz w:val="24"/>
          <w:szCs w:val="24"/>
        </w:rPr>
      </w:pPr>
    </w:p>
    <w:p w14:paraId="1CDE982B" w14:textId="77777777" w:rsidR="00D96A90" w:rsidRPr="008C0EBC" w:rsidRDefault="00D96A90" w:rsidP="00D96A90">
      <w:pPr>
        <w:pStyle w:val="Textoindependiente"/>
        <w:spacing w:before="3"/>
        <w:jc w:val="both"/>
        <w:rPr>
          <w:rFonts w:ascii="Arial" w:hAnsi="Arial" w:cs="Arial"/>
          <w:bCs/>
          <w:sz w:val="24"/>
          <w:szCs w:val="24"/>
        </w:rPr>
      </w:pPr>
    </w:p>
    <w:tbl>
      <w:tblPr>
        <w:tblW w:w="4777"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2484"/>
        <w:gridCol w:w="2293"/>
      </w:tblGrid>
      <w:tr w:rsidR="00D96A90" w:rsidRPr="008C0EBC" w14:paraId="21BC9381" w14:textId="77777777" w:rsidTr="00EF5AF2">
        <w:trPr>
          <w:trHeight w:val="232"/>
          <w:jc w:val="center"/>
        </w:trPr>
        <w:tc>
          <w:tcPr>
            <w:tcW w:w="2484" w:type="dxa"/>
            <w:tcBorders>
              <w:bottom w:val="single" w:sz="12" w:space="0" w:color="95B3D7"/>
            </w:tcBorders>
            <w:shd w:val="clear" w:color="auto" w:fill="auto"/>
            <w:noWrap/>
            <w:hideMark/>
          </w:tcPr>
          <w:p w14:paraId="22806857"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t>Vigencia Fiscal</w:t>
            </w:r>
          </w:p>
        </w:tc>
        <w:tc>
          <w:tcPr>
            <w:tcW w:w="2293" w:type="dxa"/>
            <w:tcBorders>
              <w:bottom w:val="single" w:sz="12" w:space="0" w:color="95B3D7"/>
            </w:tcBorders>
            <w:shd w:val="clear" w:color="auto" w:fill="auto"/>
            <w:noWrap/>
            <w:hideMark/>
          </w:tcPr>
          <w:p w14:paraId="332F865B"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t>Valor</w:t>
            </w:r>
          </w:p>
          <w:p w14:paraId="4142261A"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p>
        </w:tc>
      </w:tr>
      <w:tr w:rsidR="00D96A90" w:rsidRPr="008C0EBC" w14:paraId="3E2606DB" w14:textId="77777777" w:rsidTr="00EF5AF2">
        <w:trPr>
          <w:trHeight w:val="232"/>
          <w:jc w:val="center"/>
        </w:trPr>
        <w:tc>
          <w:tcPr>
            <w:tcW w:w="2484" w:type="dxa"/>
            <w:shd w:val="clear" w:color="auto" w:fill="auto"/>
            <w:noWrap/>
          </w:tcPr>
          <w:p w14:paraId="5A739075"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t>2021</w:t>
            </w:r>
          </w:p>
        </w:tc>
        <w:tc>
          <w:tcPr>
            <w:tcW w:w="2293" w:type="dxa"/>
            <w:shd w:val="clear" w:color="auto" w:fill="auto"/>
            <w:noWrap/>
          </w:tcPr>
          <w:p w14:paraId="1E79B51E" w14:textId="77777777" w:rsidR="00D96A90" w:rsidRPr="008C0EBC" w:rsidRDefault="00D96A90" w:rsidP="00EF5AF2">
            <w:pPr>
              <w:pStyle w:val="Sinespaciado"/>
              <w:widowControl w:val="0"/>
              <w:autoSpaceDE w:val="0"/>
              <w:autoSpaceDN w:val="0"/>
              <w:jc w:val="right"/>
              <w:rPr>
                <w:rFonts w:ascii="Arial" w:hAnsi="Arial" w:cs="Arial"/>
                <w:sz w:val="24"/>
                <w:szCs w:val="24"/>
                <w:lang w:eastAsia="es-CO"/>
              </w:rPr>
            </w:pPr>
            <w:r w:rsidRPr="008C0EBC">
              <w:rPr>
                <w:rFonts w:ascii="Arial" w:hAnsi="Arial" w:cs="Arial"/>
                <w:sz w:val="24"/>
                <w:szCs w:val="24"/>
                <w:lang w:eastAsia="es-CO"/>
              </w:rPr>
              <w:t>60.232.000.000</w:t>
            </w:r>
          </w:p>
        </w:tc>
      </w:tr>
      <w:tr w:rsidR="00D96A90" w:rsidRPr="008C0EBC" w14:paraId="24AF7132" w14:textId="77777777" w:rsidTr="00EF5AF2">
        <w:trPr>
          <w:trHeight w:val="232"/>
          <w:jc w:val="center"/>
        </w:trPr>
        <w:tc>
          <w:tcPr>
            <w:tcW w:w="2484" w:type="dxa"/>
            <w:shd w:val="clear" w:color="auto" w:fill="auto"/>
            <w:noWrap/>
            <w:hideMark/>
          </w:tcPr>
          <w:p w14:paraId="53E1D9EC"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t>2022</w:t>
            </w:r>
          </w:p>
        </w:tc>
        <w:tc>
          <w:tcPr>
            <w:tcW w:w="2293" w:type="dxa"/>
            <w:shd w:val="clear" w:color="auto" w:fill="auto"/>
            <w:noWrap/>
            <w:hideMark/>
          </w:tcPr>
          <w:p w14:paraId="1A720ED3" w14:textId="77777777" w:rsidR="00D96A90" w:rsidRPr="008C0EBC" w:rsidRDefault="00D96A90" w:rsidP="00EF5AF2">
            <w:pPr>
              <w:pStyle w:val="Sinespaciado"/>
              <w:widowControl w:val="0"/>
              <w:autoSpaceDE w:val="0"/>
              <w:autoSpaceDN w:val="0"/>
              <w:jc w:val="right"/>
              <w:rPr>
                <w:rFonts w:ascii="Arial" w:hAnsi="Arial" w:cs="Arial"/>
                <w:sz w:val="24"/>
                <w:szCs w:val="24"/>
                <w:lang w:eastAsia="es-CO"/>
              </w:rPr>
            </w:pPr>
            <w:r w:rsidRPr="008C0EBC">
              <w:rPr>
                <w:rFonts w:ascii="Arial" w:hAnsi="Arial" w:cs="Arial"/>
                <w:sz w:val="24"/>
                <w:szCs w:val="24"/>
                <w:lang w:eastAsia="es-CO"/>
              </w:rPr>
              <w:t>60.000.000.000</w:t>
            </w:r>
          </w:p>
        </w:tc>
      </w:tr>
      <w:tr w:rsidR="00D96A90" w:rsidRPr="008C0EBC" w14:paraId="0538F4EF" w14:textId="77777777" w:rsidTr="00EF5AF2">
        <w:trPr>
          <w:trHeight w:val="232"/>
          <w:jc w:val="center"/>
        </w:trPr>
        <w:tc>
          <w:tcPr>
            <w:tcW w:w="2484" w:type="dxa"/>
            <w:shd w:val="clear" w:color="auto" w:fill="auto"/>
            <w:noWrap/>
            <w:hideMark/>
          </w:tcPr>
          <w:p w14:paraId="79965C02"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t>2023</w:t>
            </w:r>
          </w:p>
        </w:tc>
        <w:tc>
          <w:tcPr>
            <w:tcW w:w="2293" w:type="dxa"/>
            <w:shd w:val="clear" w:color="auto" w:fill="auto"/>
            <w:noWrap/>
            <w:hideMark/>
          </w:tcPr>
          <w:p w14:paraId="1854B88F" w14:textId="77777777" w:rsidR="00D96A90" w:rsidRPr="008C0EBC" w:rsidRDefault="00D96A90" w:rsidP="00EF5AF2">
            <w:pPr>
              <w:pStyle w:val="Sinespaciado"/>
              <w:widowControl w:val="0"/>
              <w:autoSpaceDE w:val="0"/>
              <w:autoSpaceDN w:val="0"/>
              <w:jc w:val="right"/>
              <w:rPr>
                <w:rFonts w:ascii="Arial" w:hAnsi="Arial" w:cs="Arial"/>
                <w:sz w:val="24"/>
                <w:szCs w:val="24"/>
                <w:lang w:eastAsia="es-CO"/>
              </w:rPr>
            </w:pPr>
            <w:r w:rsidRPr="008C0EBC">
              <w:rPr>
                <w:rFonts w:ascii="Arial" w:hAnsi="Arial" w:cs="Arial"/>
                <w:sz w:val="24"/>
                <w:szCs w:val="24"/>
                <w:lang w:eastAsia="es-CO"/>
              </w:rPr>
              <w:t>60.000.000.000</w:t>
            </w:r>
          </w:p>
        </w:tc>
      </w:tr>
      <w:tr w:rsidR="00D96A90" w:rsidRPr="008C0EBC" w14:paraId="5EA3316A" w14:textId="77777777" w:rsidTr="00EF5AF2">
        <w:trPr>
          <w:trHeight w:val="232"/>
          <w:jc w:val="center"/>
        </w:trPr>
        <w:tc>
          <w:tcPr>
            <w:tcW w:w="2484" w:type="dxa"/>
            <w:shd w:val="clear" w:color="auto" w:fill="auto"/>
            <w:noWrap/>
            <w:hideMark/>
          </w:tcPr>
          <w:p w14:paraId="75192407"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t>2024</w:t>
            </w:r>
          </w:p>
          <w:p w14:paraId="60880B04"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p>
        </w:tc>
        <w:tc>
          <w:tcPr>
            <w:tcW w:w="2293" w:type="dxa"/>
            <w:shd w:val="clear" w:color="auto" w:fill="auto"/>
            <w:noWrap/>
            <w:hideMark/>
          </w:tcPr>
          <w:p w14:paraId="5E1B76A3" w14:textId="77777777" w:rsidR="00D96A90" w:rsidRPr="008C0EBC" w:rsidRDefault="00D96A90" w:rsidP="00EF5AF2">
            <w:pPr>
              <w:pStyle w:val="Sinespaciado"/>
              <w:widowControl w:val="0"/>
              <w:autoSpaceDE w:val="0"/>
              <w:autoSpaceDN w:val="0"/>
              <w:jc w:val="right"/>
              <w:rPr>
                <w:rFonts w:ascii="Arial" w:hAnsi="Arial" w:cs="Arial"/>
                <w:sz w:val="24"/>
                <w:szCs w:val="24"/>
                <w:lang w:eastAsia="es-CO"/>
              </w:rPr>
            </w:pPr>
            <w:r w:rsidRPr="008C0EBC">
              <w:rPr>
                <w:rFonts w:ascii="Arial" w:hAnsi="Arial" w:cs="Arial"/>
                <w:sz w:val="24"/>
                <w:szCs w:val="24"/>
                <w:lang w:eastAsia="es-CO"/>
              </w:rPr>
              <w:t>52.495.000.000</w:t>
            </w:r>
          </w:p>
        </w:tc>
      </w:tr>
      <w:tr w:rsidR="00D96A90" w:rsidRPr="008C0EBC" w14:paraId="77099654" w14:textId="77777777" w:rsidTr="00EF5AF2">
        <w:trPr>
          <w:trHeight w:val="232"/>
          <w:jc w:val="center"/>
        </w:trPr>
        <w:tc>
          <w:tcPr>
            <w:tcW w:w="2484" w:type="dxa"/>
            <w:shd w:val="clear" w:color="auto" w:fill="auto"/>
            <w:noWrap/>
            <w:hideMark/>
          </w:tcPr>
          <w:p w14:paraId="35ABA66C" w14:textId="77777777" w:rsidR="00D96A90" w:rsidRPr="008C0EBC" w:rsidRDefault="00D96A90" w:rsidP="00EF5AF2">
            <w:pPr>
              <w:pStyle w:val="Sinespaciado"/>
              <w:widowControl w:val="0"/>
              <w:autoSpaceDE w:val="0"/>
              <w:autoSpaceDN w:val="0"/>
              <w:jc w:val="center"/>
              <w:rPr>
                <w:rFonts w:ascii="Arial" w:hAnsi="Arial" w:cs="Arial"/>
                <w:b/>
                <w:bCs/>
                <w:sz w:val="24"/>
                <w:szCs w:val="24"/>
                <w:lang w:eastAsia="es-CO"/>
              </w:rPr>
            </w:pPr>
            <w:r w:rsidRPr="008C0EBC">
              <w:rPr>
                <w:rFonts w:ascii="Arial" w:hAnsi="Arial" w:cs="Arial"/>
                <w:b/>
                <w:bCs/>
                <w:sz w:val="24"/>
                <w:szCs w:val="24"/>
                <w:lang w:eastAsia="es-CO"/>
              </w:rPr>
              <w:lastRenderedPageBreak/>
              <w:t>Total Valor Proyecto</w:t>
            </w:r>
          </w:p>
        </w:tc>
        <w:tc>
          <w:tcPr>
            <w:tcW w:w="2293" w:type="dxa"/>
            <w:shd w:val="clear" w:color="auto" w:fill="auto"/>
            <w:noWrap/>
            <w:hideMark/>
          </w:tcPr>
          <w:p w14:paraId="151C3AD4" w14:textId="77777777" w:rsidR="00D96A90" w:rsidRPr="008C0EBC" w:rsidRDefault="00D96A90" w:rsidP="00EF5AF2">
            <w:pPr>
              <w:pStyle w:val="Sinespaciado"/>
              <w:widowControl w:val="0"/>
              <w:autoSpaceDE w:val="0"/>
              <w:autoSpaceDN w:val="0"/>
              <w:jc w:val="right"/>
              <w:rPr>
                <w:rFonts w:ascii="Arial" w:hAnsi="Arial" w:cs="Arial"/>
                <w:b/>
                <w:sz w:val="24"/>
                <w:szCs w:val="24"/>
                <w:lang w:eastAsia="es-CO"/>
              </w:rPr>
            </w:pPr>
            <w:r w:rsidRPr="008C0EBC">
              <w:rPr>
                <w:rFonts w:ascii="Arial" w:hAnsi="Arial" w:cs="Arial"/>
                <w:b/>
                <w:sz w:val="24"/>
                <w:szCs w:val="24"/>
                <w:lang w:eastAsia="es-CO"/>
              </w:rPr>
              <w:t>232.727.000.000</w:t>
            </w:r>
          </w:p>
        </w:tc>
      </w:tr>
    </w:tbl>
    <w:p w14:paraId="45D90103" w14:textId="77777777" w:rsidR="00D96A90" w:rsidRPr="008C0EBC" w:rsidRDefault="00D96A90" w:rsidP="00D96A90">
      <w:pPr>
        <w:pStyle w:val="Textoindependiente"/>
        <w:spacing w:before="3"/>
        <w:jc w:val="both"/>
        <w:rPr>
          <w:rFonts w:ascii="Arial" w:hAnsi="Arial" w:cs="Arial"/>
          <w:bCs/>
          <w:sz w:val="24"/>
          <w:szCs w:val="24"/>
        </w:rPr>
      </w:pPr>
    </w:p>
    <w:p w14:paraId="3108AA88"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Cs/>
          <w:sz w:val="24"/>
          <w:szCs w:val="24"/>
        </w:rPr>
        <w:t>El Decreto 1081 de 2015 en el artículo 2.4.1.2.3, establece las competencias y facultades otorgadas a la ANIM, en aplicación de estas la Agencia definió que el mecanismo de ejecución del proyecto se realizaría a través de la Fiduciaria Scotiabank Colpatria S.A. como vocera y administradora del P.A. PROYECTO MINISTERIOS E.V.B. y en concordancia realizó la planeación de los recursos para las metas de ejecución sectorial del presupuesto de gastos de inversión.</w:t>
      </w:r>
    </w:p>
    <w:p w14:paraId="3482E019" w14:textId="77777777" w:rsidR="00D96A90" w:rsidRPr="008C0EBC" w:rsidRDefault="00D96A90" w:rsidP="00D96A90">
      <w:pPr>
        <w:pStyle w:val="Textoindependiente"/>
        <w:spacing w:before="3"/>
        <w:ind w:left="-284" w:right="-234"/>
        <w:jc w:val="both"/>
        <w:rPr>
          <w:rFonts w:ascii="Arial" w:hAnsi="Arial" w:cs="Arial"/>
          <w:bCs/>
          <w:sz w:val="24"/>
          <w:szCs w:val="24"/>
        </w:rPr>
      </w:pPr>
    </w:p>
    <w:p w14:paraId="1BDBFDDE"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Cs/>
          <w:sz w:val="24"/>
          <w:szCs w:val="24"/>
        </w:rPr>
        <w:t>Por tanto, se hizo necesaria la incorporación de los recursos, a título de aporte fiduciario del proyecto a la FIDUCIARIA SCOTIABANK COLPATRIA S.A. como vocera y administradora al P.A. PROYECTO MINISTERIOS E.V.B, mediante los ACTOS ADMINISTRATIVOS: Resolución ANIM 034 de 2021 por valor de SIETE MIL OCHOCIENTOS TREINTA MILLONES SEISCIENTOS SETENTA Y OCHO MIL DOSCIENTOS NOVENTA Y OCHO PESOS ($7.830.678.298)  y Resolución ANIM 040 de 2021 por la suma de DOSCIENTOS VEINTICUATRO MIL SEISCIENTOS SETENTA Y CUATRO MILLONES SETECIENTOS CUARENTA Y NUEVE MIL SETECIENTOS DOS DE PESOS MCTE. ($224.674.749.702), estos últimos recursos amparados en la apropiación vigente para la vigencia 2021 y el cupo de vigencias autorizadas.</w:t>
      </w:r>
    </w:p>
    <w:p w14:paraId="61A6FEDE" w14:textId="77777777" w:rsidR="00D96A90" w:rsidRPr="008C0EBC" w:rsidRDefault="00D96A90" w:rsidP="00D96A90">
      <w:pPr>
        <w:pStyle w:val="Textoindependiente"/>
        <w:spacing w:before="3"/>
        <w:ind w:left="-284" w:right="-234"/>
        <w:jc w:val="both"/>
        <w:rPr>
          <w:rFonts w:ascii="Arial" w:hAnsi="Arial" w:cs="Arial"/>
          <w:bCs/>
          <w:sz w:val="24"/>
          <w:szCs w:val="24"/>
        </w:rPr>
      </w:pPr>
    </w:p>
    <w:p w14:paraId="5E8C86F4"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Cs/>
          <w:sz w:val="24"/>
          <w:szCs w:val="24"/>
        </w:rPr>
        <w:t>Por lo expuesto y atendiendo lo dispuesto en Articulo 27 de la Ley 2159 del 12 de noviembre de 2021, la ANIM justificó la constitución de una reserva presupuestal por razones de fuerza mayor en un valor de $52.495 millones de pesos.</w:t>
      </w:r>
    </w:p>
    <w:p w14:paraId="50222597" w14:textId="77777777" w:rsidR="00D96A90" w:rsidRPr="008C0EBC" w:rsidRDefault="00D96A90" w:rsidP="00D96A90">
      <w:pPr>
        <w:pStyle w:val="Textoindependiente"/>
        <w:spacing w:before="3"/>
        <w:jc w:val="both"/>
        <w:rPr>
          <w:rFonts w:ascii="Arial" w:hAnsi="Arial" w:cs="Arial"/>
          <w:bCs/>
          <w:sz w:val="24"/>
          <w:szCs w:val="24"/>
        </w:rPr>
      </w:pPr>
    </w:p>
    <w:p w14:paraId="490901B9" w14:textId="77777777" w:rsidR="00D96A90" w:rsidRPr="008C0EBC" w:rsidRDefault="00D96A90" w:rsidP="00D96A90">
      <w:pPr>
        <w:pStyle w:val="Textoindependiente"/>
        <w:spacing w:before="3"/>
        <w:ind w:right="-234"/>
        <w:jc w:val="both"/>
        <w:rPr>
          <w:rFonts w:ascii="Arial" w:hAnsi="Arial" w:cs="Arial"/>
          <w:bCs/>
          <w:sz w:val="24"/>
          <w:szCs w:val="24"/>
        </w:rPr>
      </w:pPr>
      <w:r w:rsidRPr="008C0EBC">
        <w:rPr>
          <w:rFonts w:ascii="Arial" w:hAnsi="Arial" w:cs="Arial"/>
          <w:b/>
          <w:sz w:val="24"/>
          <w:szCs w:val="24"/>
        </w:rPr>
        <w:t>b)</w:t>
      </w:r>
      <w:r w:rsidRPr="008C0EBC">
        <w:rPr>
          <w:rFonts w:ascii="Arial" w:hAnsi="Arial" w:cs="Arial"/>
          <w:b/>
          <w:sz w:val="24"/>
          <w:szCs w:val="24"/>
        </w:rPr>
        <w:tab/>
        <w:t>Reservas de funcionamiento</w:t>
      </w:r>
      <w:r w:rsidRPr="008C0EBC">
        <w:rPr>
          <w:rFonts w:ascii="Arial" w:hAnsi="Arial" w:cs="Arial"/>
          <w:bCs/>
          <w:sz w:val="24"/>
          <w:szCs w:val="24"/>
        </w:rPr>
        <w:t xml:space="preserve">: </w:t>
      </w:r>
      <w:r w:rsidRPr="008C0EBC">
        <w:rPr>
          <w:rFonts w:ascii="Arial" w:hAnsi="Arial" w:cs="Arial"/>
          <w:b/>
          <w:sz w:val="24"/>
          <w:szCs w:val="24"/>
          <w:u w:val="single"/>
        </w:rPr>
        <w:t>Se realizaron reservas inducidas</w:t>
      </w:r>
      <w:r w:rsidRPr="008C0EBC">
        <w:rPr>
          <w:rFonts w:ascii="Arial" w:hAnsi="Arial" w:cs="Arial"/>
          <w:bCs/>
          <w:sz w:val="24"/>
          <w:szCs w:val="24"/>
        </w:rPr>
        <w:t xml:space="preserve"> por $ 420.877.815 ya que no se contaba con el PAC para el trámite de pago en la vigencia 2024.</w:t>
      </w:r>
    </w:p>
    <w:p w14:paraId="7993F750" w14:textId="77777777" w:rsidR="00D96A90" w:rsidRPr="008C0EBC" w:rsidRDefault="00D96A90" w:rsidP="00D96A90">
      <w:pPr>
        <w:ind w:right="49"/>
        <w:jc w:val="both"/>
        <w:rPr>
          <w:rFonts w:ascii="Arial" w:hAnsi="Arial" w:cs="Arial"/>
          <w:b/>
          <w:sz w:val="24"/>
          <w:szCs w:val="24"/>
        </w:rPr>
      </w:pPr>
    </w:p>
    <w:p w14:paraId="3C83A17D"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31.- INSTITUTO CARO Y CUERVO.</w:t>
      </w:r>
    </w:p>
    <w:p w14:paraId="20D701C4" w14:textId="77777777" w:rsidR="00D96A90" w:rsidRPr="008C0EBC" w:rsidRDefault="00D96A90" w:rsidP="00D96A90">
      <w:pPr>
        <w:ind w:left="-284" w:right="-234"/>
        <w:jc w:val="both"/>
        <w:rPr>
          <w:rFonts w:ascii="Arial" w:hAnsi="Arial" w:cs="Arial"/>
          <w:b/>
          <w:sz w:val="24"/>
          <w:szCs w:val="24"/>
        </w:rPr>
      </w:pPr>
    </w:p>
    <w:p w14:paraId="736B8F5F"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t xml:space="preserve">La entidad informa: </w:t>
      </w:r>
      <w:r w:rsidRPr="008C0EBC">
        <w:rPr>
          <w:rFonts w:ascii="Arial" w:hAnsi="Arial" w:cs="Arial"/>
          <w:sz w:val="24"/>
          <w:szCs w:val="24"/>
        </w:rPr>
        <w:t>La entidad supero el límite establecido del 2% en el presupuesto de funcionamiento, debido a que el contrato de obra ICC-OB-235-2024 y su respectiva interventoría, contrato número ICC-IN-244-2024, tuvieron que ser adicionados y prorrogados en diciembre de 2024, dado que en la ejecución se presentaron imprevistos relacionados con filtraciones y humedades no detectadas por ser inmuebles con más de 100 años, además de las condiciones climáticas  de lluvia que ponían en riesgo la seguridad de los trabajadores del contratista al ser actividades en espacios exteriores , lo cual retrasó el cronograma inicial de la obra.</w:t>
      </w:r>
    </w:p>
    <w:p w14:paraId="0068212F" w14:textId="77777777" w:rsidR="00D96A90" w:rsidRPr="008C0EBC" w:rsidRDefault="00D96A90" w:rsidP="00D96A90">
      <w:pPr>
        <w:pStyle w:val="Textoindependiente"/>
        <w:spacing w:before="3"/>
        <w:ind w:left="-284" w:right="-234"/>
        <w:jc w:val="both"/>
        <w:rPr>
          <w:rFonts w:ascii="Arial" w:hAnsi="Arial" w:cs="Arial"/>
          <w:sz w:val="24"/>
          <w:szCs w:val="24"/>
        </w:rPr>
      </w:pPr>
    </w:p>
    <w:p w14:paraId="35CDAA51"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rPr>
        <w:t>Por otro lado, el proveedor de adquisición de equipos de cómputo, no logró entregar los elementos a tiempo, debido a imprevistos de fuerza mayor en la importación de los equipos, lo cual obligó a prorrogar la orden de compra según lo establecido en el instrumento de agregación de demanda.</w:t>
      </w:r>
    </w:p>
    <w:p w14:paraId="2E0BBFA4" w14:textId="77777777" w:rsidR="00D96A90" w:rsidRPr="008C0EBC" w:rsidRDefault="00D96A90" w:rsidP="00D96A90">
      <w:pPr>
        <w:pStyle w:val="Textoindependiente"/>
        <w:spacing w:before="3"/>
        <w:ind w:left="-284" w:right="-234"/>
        <w:jc w:val="both"/>
        <w:rPr>
          <w:rFonts w:ascii="Arial" w:hAnsi="Arial" w:cs="Arial"/>
          <w:sz w:val="24"/>
          <w:szCs w:val="24"/>
        </w:rPr>
      </w:pPr>
    </w:p>
    <w:p w14:paraId="13C3D31E"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rPr>
        <w:t>Así mismo se identificó que algunas facturas electrónicas no se reflejaron en el sistema SIIF Nación, lo que impidió completar las transacciones de las obligaciones dentro del plazo establecido para cierre de la vigencia fiscal, conforme a las disposiciones del Ministerio de Hacienda y Crédito Público, a continuación, se presentan los contratos afectados:</w:t>
      </w:r>
    </w:p>
    <w:p w14:paraId="5A86E5E3" w14:textId="77777777" w:rsidR="00D96A90" w:rsidRPr="008C0EBC" w:rsidRDefault="00D96A90" w:rsidP="00D96A90">
      <w:pPr>
        <w:pStyle w:val="Textoindependiente"/>
        <w:spacing w:before="3"/>
        <w:jc w:val="both"/>
        <w:rPr>
          <w:rFonts w:ascii="Arial" w:hAnsi="Arial" w:cs="Arial"/>
        </w:rPr>
      </w:pPr>
    </w:p>
    <w:p w14:paraId="042E13F4" w14:textId="77777777" w:rsidR="00D96A90" w:rsidRPr="008C0EBC" w:rsidRDefault="00D96A90" w:rsidP="00D96A90">
      <w:pPr>
        <w:pStyle w:val="Textoindependiente"/>
        <w:spacing w:before="3"/>
        <w:jc w:val="center"/>
        <w:rPr>
          <w:rFonts w:ascii="Arial" w:hAnsi="Arial" w:cs="Arial"/>
        </w:rPr>
      </w:pPr>
      <w:r w:rsidRPr="008C0EBC">
        <w:rPr>
          <w:rFonts w:ascii="Arial" w:hAnsi="Arial" w:cs="Arial"/>
          <w:noProof/>
          <w:lang w:val="es-CO" w:eastAsia="es-CO"/>
        </w:rPr>
        <w:lastRenderedPageBreak/>
        <w:drawing>
          <wp:inline distT="0" distB="0" distL="0" distR="0" wp14:anchorId="0558D499" wp14:editId="3BE09D6A">
            <wp:extent cx="5886450" cy="135967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1" t="11144" r="4917" b="7412"/>
                    <a:stretch/>
                  </pic:blipFill>
                  <pic:spPr bwMode="auto">
                    <a:xfrm>
                      <a:off x="0" y="0"/>
                      <a:ext cx="5896153" cy="1361914"/>
                    </a:xfrm>
                    <a:prstGeom prst="rect">
                      <a:avLst/>
                    </a:prstGeom>
                    <a:ln>
                      <a:noFill/>
                    </a:ln>
                    <a:extLst>
                      <a:ext uri="{53640926-AAD7-44D8-BBD7-CCE9431645EC}">
                        <a14:shadowObscured xmlns:a14="http://schemas.microsoft.com/office/drawing/2010/main"/>
                      </a:ext>
                    </a:extLst>
                  </pic:spPr>
                </pic:pic>
              </a:graphicData>
            </a:graphic>
          </wp:inline>
        </w:drawing>
      </w:r>
    </w:p>
    <w:p w14:paraId="31D23F06" w14:textId="77777777" w:rsidR="00D96A90" w:rsidRDefault="00D96A90" w:rsidP="00D96A90">
      <w:pPr>
        <w:jc w:val="both"/>
        <w:rPr>
          <w:rFonts w:ascii="Arial" w:hAnsi="Arial" w:cs="Arial"/>
          <w:b/>
          <w:sz w:val="28"/>
          <w:szCs w:val="28"/>
          <w:lang w:val="es-MX"/>
        </w:rPr>
      </w:pPr>
    </w:p>
    <w:p w14:paraId="458ACC56" w14:textId="769E4BE3" w:rsidR="00D96A90" w:rsidRPr="008C0EBC" w:rsidRDefault="00D96A90" w:rsidP="00D96A90">
      <w:pPr>
        <w:ind w:left="-284"/>
        <w:jc w:val="both"/>
        <w:rPr>
          <w:rFonts w:ascii="Arial" w:hAnsi="Arial" w:cs="Arial"/>
          <w:b/>
          <w:sz w:val="28"/>
          <w:szCs w:val="28"/>
          <w:lang w:val="es-MX"/>
        </w:rPr>
      </w:pPr>
      <w:r w:rsidRPr="008C0EBC">
        <w:rPr>
          <w:rFonts w:ascii="Arial" w:hAnsi="Arial" w:cs="Arial"/>
          <w:b/>
          <w:sz w:val="28"/>
          <w:szCs w:val="28"/>
          <w:lang w:val="es-MX"/>
        </w:rPr>
        <w:t>39.- MINISTERIO DE IGUALDAD Y EQUIDAD.</w:t>
      </w:r>
    </w:p>
    <w:p w14:paraId="78CDE4C4" w14:textId="77777777" w:rsidR="00D96A90" w:rsidRPr="008C0EBC" w:rsidRDefault="00D96A90" w:rsidP="00D96A90">
      <w:pPr>
        <w:pStyle w:val="Textoindependiente"/>
        <w:spacing w:before="3"/>
        <w:jc w:val="both"/>
        <w:rPr>
          <w:rFonts w:ascii="Arial" w:hAnsi="Arial" w:cs="Arial"/>
          <w:lang w:val="es-MX"/>
        </w:rPr>
      </w:pPr>
    </w:p>
    <w:p w14:paraId="0DCE3821" w14:textId="77777777" w:rsidR="00D96A90" w:rsidRPr="008C0EBC" w:rsidRDefault="00D96A90" w:rsidP="00D96A90">
      <w:pPr>
        <w:pStyle w:val="Textoindependiente"/>
        <w:spacing w:before="3"/>
        <w:ind w:left="-284"/>
        <w:jc w:val="both"/>
        <w:rPr>
          <w:rFonts w:ascii="Arial" w:hAnsi="Arial" w:cs="Arial"/>
          <w:sz w:val="24"/>
          <w:szCs w:val="24"/>
        </w:rPr>
      </w:pPr>
      <w:r w:rsidRPr="008C0EBC">
        <w:rPr>
          <w:rFonts w:ascii="Arial" w:hAnsi="Arial" w:cs="Arial"/>
          <w:sz w:val="24"/>
          <w:szCs w:val="24"/>
        </w:rPr>
        <w:t>La entidad informa en la certificación expedida lo siguiente:</w:t>
      </w:r>
    </w:p>
    <w:p w14:paraId="3B4C0675" w14:textId="77777777" w:rsidR="00D96A90" w:rsidRPr="008C0EBC" w:rsidRDefault="00D96A90" w:rsidP="00D96A90">
      <w:pPr>
        <w:pStyle w:val="Textoindependiente"/>
        <w:spacing w:before="3"/>
        <w:jc w:val="both"/>
        <w:rPr>
          <w:rFonts w:ascii="Arial" w:hAnsi="Arial" w:cs="Arial"/>
          <w:b/>
          <w:sz w:val="24"/>
          <w:szCs w:val="24"/>
        </w:rPr>
      </w:pPr>
    </w:p>
    <w:p w14:paraId="6EA08061" w14:textId="77777777" w:rsidR="00D96A90" w:rsidRPr="008C0EBC" w:rsidRDefault="00D96A90" w:rsidP="00D96A90">
      <w:pPr>
        <w:pStyle w:val="Textoindependiente"/>
        <w:spacing w:before="3"/>
        <w:jc w:val="center"/>
        <w:rPr>
          <w:rFonts w:ascii="Arial" w:hAnsi="Arial" w:cs="Arial"/>
          <w:b/>
        </w:rPr>
      </w:pPr>
      <w:r w:rsidRPr="008C0EBC">
        <w:rPr>
          <w:rFonts w:ascii="Arial" w:hAnsi="Arial" w:cs="Arial"/>
          <w:b/>
        </w:rPr>
        <w:t>RESERVA PRESUPUESTAL CONSTITUIDA VS APROPIACION 2024</w:t>
      </w:r>
    </w:p>
    <w:p w14:paraId="1E6A0D30" w14:textId="77777777" w:rsidR="00D96A90" w:rsidRPr="008C0EBC" w:rsidRDefault="00D96A90" w:rsidP="00D96A90">
      <w:pPr>
        <w:pStyle w:val="Textoindependiente"/>
        <w:spacing w:before="3"/>
        <w:jc w:val="center"/>
        <w:rPr>
          <w:rFonts w:ascii="Arial" w:hAnsi="Arial" w:cs="Arial"/>
          <w:b/>
        </w:rPr>
      </w:pPr>
      <w:r w:rsidRPr="008C0EBC">
        <w:rPr>
          <w:rFonts w:ascii="Arial" w:hAnsi="Arial" w:cs="Arial"/>
          <w:b/>
        </w:rPr>
        <w:t>(Cifras en miles de pesos)</w:t>
      </w:r>
    </w:p>
    <w:p w14:paraId="6588BF54" w14:textId="77777777" w:rsidR="00D96A90" w:rsidRPr="008C0EBC" w:rsidRDefault="00D96A90" w:rsidP="00D96A90">
      <w:pPr>
        <w:pStyle w:val="Textoindependiente"/>
        <w:spacing w:before="3"/>
        <w:jc w:val="both"/>
        <w:rPr>
          <w:rFonts w:ascii="Arial" w:hAnsi="Arial" w:cs="Arial"/>
          <w:b/>
        </w:rPr>
      </w:pPr>
    </w:p>
    <w:p w14:paraId="4A20F200" w14:textId="77777777" w:rsidR="00D96A90" w:rsidRPr="008C0EBC" w:rsidRDefault="00D96A90" w:rsidP="00D96A90">
      <w:pPr>
        <w:pStyle w:val="Textoindependiente"/>
        <w:spacing w:before="3"/>
        <w:jc w:val="both"/>
        <w:rPr>
          <w:rFonts w:ascii="Arial" w:hAnsi="Arial" w:cs="Arial"/>
          <w:b/>
        </w:rPr>
      </w:pPr>
      <w:r w:rsidRPr="008C0EBC">
        <w:rPr>
          <w:rFonts w:ascii="Arial" w:hAnsi="Arial" w:cs="Arial"/>
          <w:b/>
          <w:noProof/>
          <w:lang w:val="es-CO" w:eastAsia="es-CO"/>
        </w:rPr>
        <w:drawing>
          <wp:inline distT="0" distB="0" distL="0" distR="0" wp14:anchorId="3303CF50" wp14:editId="343507CE">
            <wp:extent cx="5830114" cy="68589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0114" cy="685896"/>
                    </a:xfrm>
                    <a:prstGeom prst="rect">
                      <a:avLst/>
                    </a:prstGeom>
                  </pic:spPr>
                </pic:pic>
              </a:graphicData>
            </a:graphic>
          </wp:inline>
        </w:drawing>
      </w:r>
    </w:p>
    <w:p w14:paraId="6CF0C6D5" w14:textId="77777777" w:rsidR="00D96A90" w:rsidRPr="008C0EBC" w:rsidRDefault="00D96A90" w:rsidP="00D96A90">
      <w:pPr>
        <w:pStyle w:val="Textoindependiente"/>
        <w:spacing w:before="3"/>
        <w:jc w:val="both"/>
        <w:rPr>
          <w:rFonts w:ascii="Arial" w:hAnsi="Arial" w:cs="Arial"/>
          <w:b/>
        </w:rPr>
      </w:pPr>
    </w:p>
    <w:p w14:paraId="6C08DB9A"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rPr>
        <w:t>Del total de la reserva presupuestal constituida, el 0.08% correspondió a los compromisos no cumplidos a 31 de diciembre de 2024, el 0.61% correspondió a compromisos con bienes y servicios recibidos a 31 de diciembre de 2024 pero no se contaba con PAC disponible para realizar las obligaciones y el 99,32% correspondió a recursos trasladados al Fondo para la superación de brechas de desigualdad poblacional e inequidad territorial en el marco del Decreto 1896 de 2023 "Por el cual se reglamenta el Fondo para la Superación de Brechas de Desigualdad Poblacional e Inequidad Territorial, establecido en el artículo 72 de la Ley 2294 de 2023 "Por el cual se expide el Plan Nacional de Desarrollo 2022-2026 "Colombia Potencia Mundial de la Vida"'"</w:t>
      </w:r>
    </w:p>
    <w:p w14:paraId="2ADD9776" w14:textId="77777777" w:rsidR="00D96A90" w:rsidRPr="008C0EBC" w:rsidRDefault="00D96A90" w:rsidP="00D96A90">
      <w:pPr>
        <w:pStyle w:val="Textoindependiente"/>
        <w:spacing w:before="3"/>
        <w:jc w:val="both"/>
        <w:rPr>
          <w:rFonts w:ascii="Arial" w:hAnsi="Arial" w:cs="Arial"/>
          <w:b/>
        </w:rPr>
      </w:pPr>
    </w:p>
    <w:p w14:paraId="12084EBB" w14:textId="77777777" w:rsidR="00D96A90" w:rsidRPr="008C0EBC" w:rsidRDefault="00D96A90" w:rsidP="00D96A90">
      <w:pPr>
        <w:pStyle w:val="Textoindependiente"/>
        <w:spacing w:before="3"/>
        <w:jc w:val="center"/>
        <w:rPr>
          <w:rFonts w:ascii="Arial" w:hAnsi="Arial" w:cs="Arial"/>
          <w:b/>
        </w:rPr>
      </w:pPr>
      <w:r w:rsidRPr="008C0EBC">
        <w:rPr>
          <w:rFonts w:ascii="Arial" w:hAnsi="Arial" w:cs="Arial"/>
          <w:b/>
        </w:rPr>
        <w:t>RESERVA PRESUPUESTAL CONSTITUÍDA</w:t>
      </w:r>
    </w:p>
    <w:p w14:paraId="63C10CA3" w14:textId="77777777" w:rsidR="00D96A90" w:rsidRPr="008C0EBC" w:rsidRDefault="00D96A90" w:rsidP="00D96A90">
      <w:pPr>
        <w:pStyle w:val="Textoindependiente"/>
        <w:spacing w:before="3"/>
        <w:jc w:val="center"/>
        <w:rPr>
          <w:rFonts w:ascii="Arial" w:hAnsi="Arial" w:cs="Arial"/>
          <w:b/>
        </w:rPr>
      </w:pPr>
      <w:r w:rsidRPr="008C0EBC">
        <w:rPr>
          <w:rFonts w:ascii="Arial" w:hAnsi="Arial" w:cs="Arial"/>
          <w:b/>
        </w:rPr>
        <w:t>(Cifras en miles de pesos)</w:t>
      </w:r>
    </w:p>
    <w:p w14:paraId="000EA59B" w14:textId="77777777" w:rsidR="00D96A90" w:rsidRPr="008C0EBC" w:rsidRDefault="00D96A90" w:rsidP="00D96A90">
      <w:pPr>
        <w:pStyle w:val="Textoindependiente"/>
        <w:spacing w:before="3"/>
        <w:jc w:val="center"/>
        <w:rPr>
          <w:rFonts w:ascii="Arial" w:hAnsi="Arial" w:cs="Arial"/>
          <w:b/>
        </w:rPr>
      </w:pPr>
    </w:p>
    <w:p w14:paraId="4CF3DD5C" w14:textId="77777777" w:rsidR="00D96A90" w:rsidRPr="008C0EBC" w:rsidRDefault="00D96A90" w:rsidP="00D96A90">
      <w:pPr>
        <w:pStyle w:val="Textoindependiente"/>
        <w:spacing w:before="3"/>
        <w:jc w:val="center"/>
        <w:rPr>
          <w:rFonts w:ascii="Arial" w:hAnsi="Arial" w:cs="Arial"/>
          <w:sz w:val="28"/>
          <w:szCs w:val="28"/>
        </w:rPr>
      </w:pPr>
      <w:r w:rsidRPr="008C0EBC">
        <w:rPr>
          <w:rFonts w:ascii="Arial" w:hAnsi="Arial" w:cs="Arial"/>
          <w:noProof/>
          <w:sz w:val="28"/>
          <w:szCs w:val="28"/>
          <w:lang w:val="es-CO" w:eastAsia="es-CO"/>
        </w:rPr>
        <w:drawing>
          <wp:inline distT="0" distB="0" distL="0" distR="0" wp14:anchorId="71793835" wp14:editId="526E494E">
            <wp:extent cx="6058746" cy="1533739"/>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8746" cy="1533739"/>
                    </a:xfrm>
                    <a:prstGeom prst="rect">
                      <a:avLst/>
                    </a:prstGeom>
                  </pic:spPr>
                </pic:pic>
              </a:graphicData>
            </a:graphic>
          </wp:inline>
        </w:drawing>
      </w:r>
    </w:p>
    <w:p w14:paraId="427FF926" w14:textId="77777777" w:rsidR="00D96A90" w:rsidRPr="008C0EBC" w:rsidRDefault="00D96A90" w:rsidP="00D96A90">
      <w:pPr>
        <w:pStyle w:val="Textoindependiente"/>
        <w:spacing w:before="3"/>
        <w:jc w:val="both"/>
        <w:rPr>
          <w:rFonts w:ascii="Arial" w:hAnsi="Arial" w:cs="Arial"/>
          <w:b/>
        </w:rPr>
      </w:pPr>
    </w:p>
    <w:p w14:paraId="42860F68"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rPr>
        <w:t>Teniendo en cuenta lo anterior y las justificaciones de las reservas enviadas por las dependencias en las cuales manifestaron dificultades en la formulación técnica y jurídica para la ejecución de planes, programas y proyectos, de índole nacional o territorio para el sector de Igualdad y Equidad, dirigidos a superar la desigualdad poblacional e inequidad territorial</w:t>
      </w:r>
    </w:p>
    <w:p w14:paraId="2C09D223" w14:textId="77777777" w:rsidR="00D96A90" w:rsidRPr="008C0EBC" w:rsidRDefault="00D96A90" w:rsidP="00D96A90">
      <w:pPr>
        <w:ind w:left="-284" w:right="-234"/>
        <w:jc w:val="both"/>
        <w:rPr>
          <w:rFonts w:ascii="Arial" w:hAnsi="Arial" w:cs="Arial"/>
          <w:b/>
          <w:sz w:val="28"/>
          <w:szCs w:val="28"/>
        </w:rPr>
      </w:pPr>
    </w:p>
    <w:p w14:paraId="0FCF5BE3" w14:textId="77777777" w:rsidR="00D96A90" w:rsidRPr="008C0EBC" w:rsidRDefault="00D96A90" w:rsidP="00D96A90">
      <w:pPr>
        <w:ind w:left="-284" w:right="-234"/>
        <w:jc w:val="both"/>
        <w:rPr>
          <w:rFonts w:ascii="Arial" w:hAnsi="Arial" w:cs="Arial"/>
          <w:b/>
          <w:sz w:val="28"/>
          <w:szCs w:val="28"/>
        </w:rPr>
      </w:pPr>
      <w:r w:rsidRPr="008C0EBC">
        <w:rPr>
          <w:rFonts w:ascii="Arial" w:hAnsi="Arial" w:cs="Arial"/>
          <w:b/>
          <w:sz w:val="28"/>
          <w:szCs w:val="28"/>
          <w:lang w:val="es-MX"/>
        </w:rPr>
        <w:t xml:space="preserve">42.- </w:t>
      </w:r>
      <w:r w:rsidRPr="008C0EBC">
        <w:rPr>
          <w:rFonts w:ascii="Arial" w:hAnsi="Arial" w:cs="Arial"/>
          <w:b/>
          <w:sz w:val="28"/>
          <w:szCs w:val="28"/>
        </w:rPr>
        <w:t>MINISTERIO DE AMBIENTE Y DESARROLLO SOSTENIBLE.</w:t>
      </w:r>
    </w:p>
    <w:p w14:paraId="52E2F419"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lastRenderedPageBreak/>
        <w:t xml:space="preserve">La entidad informa: NO. </w:t>
      </w:r>
      <w:r w:rsidRPr="008C0EBC">
        <w:rPr>
          <w:rFonts w:ascii="Arial" w:hAnsi="Arial" w:cs="Arial"/>
          <w:sz w:val="24"/>
          <w:szCs w:val="24"/>
        </w:rPr>
        <w:t>Al respecto, el Grupo de Presupuesto, relaciona el siguiente cuadro:</w:t>
      </w:r>
    </w:p>
    <w:p w14:paraId="67BB3653" w14:textId="77777777" w:rsidR="00D96A90" w:rsidRPr="008C0EBC" w:rsidRDefault="00D96A90" w:rsidP="00D96A90">
      <w:pPr>
        <w:pStyle w:val="Textoindependiente"/>
        <w:spacing w:before="3"/>
        <w:jc w:val="both"/>
        <w:rPr>
          <w:rFonts w:ascii="Arial" w:hAnsi="Arial" w:cs="Arial"/>
          <w:sz w:val="24"/>
          <w:szCs w:val="24"/>
        </w:rPr>
      </w:pPr>
    </w:p>
    <w:tbl>
      <w:tblPr>
        <w:tblStyle w:val="Tablaconcuadrcula"/>
        <w:tblW w:w="0" w:type="auto"/>
        <w:tblLook w:val="04A0" w:firstRow="1" w:lastRow="0" w:firstColumn="1" w:lastColumn="0" w:noHBand="0" w:noVBand="1"/>
      </w:tblPr>
      <w:tblGrid>
        <w:gridCol w:w="3320"/>
        <w:gridCol w:w="3321"/>
        <w:gridCol w:w="3321"/>
      </w:tblGrid>
      <w:tr w:rsidR="00D96A90" w:rsidRPr="008C0EBC" w14:paraId="11E9F6E7" w14:textId="77777777" w:rsidTr="00EF5AF2">
        <w:tc>
          <w:tcPr>
            <w:tcW w:w="3320" w:type="dxa"/>
          </w:tcPr>
          <w:p w14:paraId="142006CA" w14:textId="77777777" w:rsidR="00D96A90" w:rsidRPr="008C0EBC" w:rsidRDefault="00D96A90" w:rsidP="00EF5AF2">
            <w:pPr>
              <w:pStyle w:val="Textoindependiente"/>
              <w:spacing w:before="3"/>
              <w:jc w:val="both"/>
              <w:rPr>
                <w:rFonts w:ascii="Arial" w:hAnsi="Arial" w:cs="Arial"/>
                <w:sz w:val="24"/>
                <w:szCs w:val="24"/>
              </w:rPr>
            </w:pPr>
            <w:r w:rsidRPr="008C0EBC">
              <w:rPr>
                <w:rFonts w:ascii="Arial" w:hAnsi="Arial" w:cs="Arial"/>
                <w:sz w:val="24"/>
                <w:szCs w:val="24"/>
              </w:rPr>
              <w:t>Inversión</w:t>
            </w:r>
          </w:p>
        </w:tc>
        <w:tc>
          <w:tcPr>
            <w:tcW w:w="3321" w:type="dxa"/>
          </w:tcPr>
          <w:p w14:paraId="2BB137CB" w14:textId="77777777" w:rsidR="00D96A90" w:rsidRPr="008C0EBC" w:rsidRDefault="00D96A90" w:rsidP="00EF5AF2">
            <w:pPr>
              <w:pStyle w:val="Textoindependiente"/>
              <w:spacing w:before="3"/>
              <w:jc w:val="right"/>
              <w:rPr>
                <w:rFonts w:ascii="Arial" w:hAnsi="Arial" w:cs="Arial"/>
                <w:sz w:val="24"/>
                <w:szCs w:val="24"/>
              </w:rPr>
            </w:pPr>
            <w:r w:rsidRPr="008C0EBC">
              <w:rPr>
                <w:rFonts w:ascii="Arial" w:hAnsi="Arial" w:cs="Arial"/>
                <w:sz w:val="24"/>
                <w:szCs w:val="24"/>
              </w:rPr>
              <w:t>802.028.070.991,44</w:t>
            </w:r>
          </w:p>
        </w:tc>
        <w:tc>
          <w:tcPr>
            <w:tcW w:w="3321" w:type="dxa"/>
          </w:tcPr>
          <w:p w14:paraId="48B63A5E" w14:textId="77777777" w:rsidR="00D96A90" w:rsidRPr="008C0EBC" w:rsidRDefault="00D96A90" w:rsidP="00EF5AF2">
            <w:pPr>
              <w:pStyle w:val="Textoindependiente"/>
              <w:spacing w:before="3"/>
              <w:jc w:val="right"/>
              <w:rPr>
                <w:rFonts w:ascii="Arial" w:hAnsi="Arial" w:cs="Arial"/>
                <w:sz w:val="24"/>
                <w:szCs w:val="24"/>
              </w:rPr>
            </w:pPr>
            <w:r w:rsidRPr="008C0EBC">
              <w:rPr>
                <w:rFonts w:ascii="Arial" w:hAnsi="Arial" w:cs="Arial"/>
                <w:sz w:val="24"/>
                <w:szCs w:val="24"/>
              </w:rPr>
              <w:t>78%</w:t>
            </w:r>
          </w:p>
        </w:tc>
      </w:tr>
    </w:tbl>
    <w:p w14:paraId="57B1ABB9" w14:textId="77777777" w:rsidR="00D96A90" w:rsidRPr="008C0EBC" w:rsidRDefault="00D96A90" w:rsidP="00D96A90">
      <w:pPr>
        <w:pStyle w:val="Textoindependiente"/>
        <w:spacing w:before="3"/>
        <w:jc w:val="both"/>
        <w:rPr>
          <w:rFonts w:ascii="Arial" w:hAnsi="Arial" w:cs="Arial"/>
          <w:sz w:val="24"/>
          <w:szCs w:val="24"/>
        </w:rPr>
      </w:pPr>
    </w:p>
    <w:p w14:paraId="5615ADB3"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rPr>
        <w:t>En relación con el cuadro anterior, el Coordinador del Grupo de Presupuesto sostiene lo siguiente:</w:t>
      </w:r>
    </w:p>
    <w:p w14:paraId="18B58F89" w14:textId="77777777" w:rsidR="00D96A90" w:rsidRPr="008C0EBC" w:rsidRDefault="00D96A90" w:rsidP="00D96A90">
      <w:pPr>
        <w:pStyle w:val="Textoindependiente"/>
        <w:spacing w:before="3"/>
        <w:ind w:left="-284" w:right="-234"/>
        <w:jc w:val="both"/>
        <w:rPr>
          <w:rFonts w:ascii="Arial" w:hAnsi="Arial" w:cs="Arial"/>
          <w:sz w:val="24"/>
          <w:szCs w:val="24"/>
        </w:rPr>
      </w:pPr>
    </w:p>
    <w:p w14:paraId="085036A4"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sz w:val="24"/>
          <w:szCs w:val="24"/>
        </w:rPr>
        <w:t>“Como se evidencia en el cuadro anterior, para el caso de la reserva presupuestal en los gastos de funcionamiento se da cumplimiento al techo de reservas a constituir, entre tanto respecto a inversión no se da cumplimiento a lo establecido en el artículo 78 del Decreto 111 de 1996, la principal razón corresponde a los recursos no girados al P.A. Fondo para la Vida y la Biodiversidad por valor de $790.207.259.946,01”.</w:t>
      </w:r>
    </w:p>
    <w:p w14:paraId="084CEA14" w14:textId="77777777" w:rsidR="00D96A90" w:rsidRPr="008C0EBC" w:rsidRDefault="00D96A90" w:rsidP="00D96A90">
      <w:pPr>
        <w:ind w:left="-284" w:right="-234"/>
        <w:jc w:val="both"/>
        <w:rPr>
          <w:rFonts w:ascii="Arial" w:hAnsi="Arial" w:cs="Arial"/>
          <w:b/>
          <w:sz w:val="28"/>
          <w:szCs w:val="28"/>
        </w:rPr>
      </w:pPr>
    </w:p>
    <w:p w14:paraId="09BCB319"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43.- CÁMARA DE REPRESENTANTES.</w:t>
      </w:r>
    </w:p>
    <w:p w14:paraId="272F718B" w14:textId="77777777" w:rsidR="00D96A90" w:rsidRPr="008C0EBC" w:rsidRDefault="00D96A90" w:rsidP="00D96A90">
      <w:pPr>
        <w:pStyle w:val="Textoindependiente"/>
        <w:spacing w:before="3"/>
        <w:ind w:left="-284" w:right="-234"/>
        <w:jc w:val="both"/>
        <w:rPr>
          <w:rFonts w:ascii="Arial" w:hAnsi="Arial" w:cs="Arial"/>
          <w:b/>
          <w:sz w:val="24"/>
          <w:szCs w:val="24"/>
        </w:rPr>
      </w:pPr>
    </w:p>
    <w:p w14:paraId="6223A275" w14:textId="77777777" w:rsidR="00D96A90" w:rsidRPr="008C0EBC" w:rsidRDefault="00D96A90" w:rsidP="00D96A90">
      <w:pPr>
        <w:pStyle w:val="Textoindependiente"/>
        <w:spacing w:before="3"/>
        <w:ind w:left="-284" w:right="-234"/>
        <w:jc w:val="both"/>
        <w:rPr>
          <w:rFonts w:ascii="Arial" w:hAnsi="Arial" w:cs="Arial"/>
          <w:sz w:val="24"/>
          <w:szCs w:val="24"/>
        </w:rPr>
      </w:pPr>
      <w:r w:rsidRPr="008C0EBC">
        <w:rPr>
          <w:rFonts w:ascii="Arial" w:hAnsi="Arial" w:cs="Arial"/>
          <w:b/>
          <w:sz w:val="24"/>
          <w:szCs w:val="24"/>
        </w:rPr>
        <w:t xml:space="preserve">La entidad informa: NO. </w:t>
      </w:r>
      <w:r w:rsidRPr="008C0EBC">
        <w:rPr>
          <w:rFonts w:ascii="Arial" w:hAnsi="Arial" w:cs="Arial"/>
          <w:sz w:val="24"/>
          <w:szCs w:val="24"/>
        </w:rPr>
        <w:t>A pesar de las solicitudes realizadas por la Corporación para el pago de cuentas radicadas en la División financiera, el Ministerio de Hacienda y Crédito Público no aprobó los requerimientos de PAC para realizar los pagos en el mes de diciembre.</w:t>
      </w:r>
    </w:p>
    <w:p w14:paraId="0C1C4EDB" w14:textId="77777777" w:rsidR="00D96A90" w:rsidRPr="008C0EBC" w:rsidRDefault="00D96A90" w:rsidP="00D96A90">
      <w:pPr>
        <w:ind w:left="-284" w:right="-234"/>
        <w:jc w:val="both"/>
        <w:rPr>
          <w:rFonts w:ascii="Arial" w:hAnsi="Arial" w:cs="Arial"/>
          <w:b/>
          <w:sz w:val="24"/>
          <w:szCs w:val="24"/>
        </w:rPr>
      </w:pPr>
    </w:p>
    <w:p w14:paraId="3509CDB3"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45.- U.A.E INSTITUTO NACIONAL DE ACUICULTURA Y PESCA - AUNAP.</w:t>
      </w:r>
    </w:p>
    <w:p w14:paraId="542510F6" w14:textId="77777777" w:rsidR="00D96A90" w:rsidRPr="008C0EBC" w:rsidRDefault="00D96A90" w:rsidP="00D96A90">
      <w:pPr>
        <w:ind w:left="-284" w:right="-234"/>
        <w:jc w:val="both"/>
        <w:rPr>
          <w:rFonts w:ascii="Arial" w:hAnsi="Arial" w:cs="Arial"/>
          <w:b/>
          <w:sz w:val="24"/>
          <w:szCs w:val="24"/>
          <w:lang w:val="es-MX"/>
        </w:rPr>
      </w:pPr>
    </w:p>
    <w:p w14:paraId="2D088B67"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
          <w:sz w:val="24"/>
          <w:szCs w:val="24"/>
        </w:rPr>
        <w:t xml:space="preserve">La entidad informa: </w:t>
      </w:r>
      <w:r w:rsidRPr="008C0EBC">
        <w:rPr>
          <w:rFonts w:ascii="Arial" w:hAnsi="Arial" w:cs="Arial"/>
          <w:bCs/>
          <w:sz w:val="24"/>
          <w:szCs w:val="24"/>
        </w:rPr>
        <w:t xml:space="preserve">En el caso de inversión </w:t>
      </w:r>
      <w:r w:rsidRPr="008C0EBC">
        <w:rPr>
          <w:rFonts w:ascii="Arial" w:hAnsi="Arial" w:cs="Arial"/>
          <w:b/>
          <w:sz w:val="24"/>
          <w:szCs w:val="24"/>
        </w:rPr>
        <w:t>NO</w:t>
      </w:r>
      <w:r w:rsidRPr="008C0EBC">
        <w:rPr>
          <w:rFonts w:ascii="Arial" w:hAnsi="Arial" w:cs="Arial"/>
          <w:bCs/>
          <w:sz w:val="24"/>
          <w:szCs w:val="24"/>
        </w:rPr>
        <w:t xml:space="preserve"> cumple, puesto que la apropiación vigente fue de $138.224.974.905 y la reserva constituida por la AUNAP es de $33.066.300.487,33 que representa un 23.9%.</w:t>
      </w:r>
    </w:p>
    <w:p w14:paraId="3BD8C6AF" w14:textId="77777777" w:rsidR="00D96A90" w:rsidRPr="008C0EBC" w:rsidRDefault="00D96A90" w:rsidP="00D96A90">
      <w:pPr>
        <w:pStyle w:val="Textoindependiente"/>
        <w:spacing w:before="3"/>
        <w:ind w:left="-284" w:right="-234"/>
        <w:jc w:val="both"/>
        <w:rPr>
          <w:rFonts w:ascii="Arial" w:hAnsi="Arial" w:cs="Arial"/>
          <w:bCs/>
          <w:sz w:val="24"/>
          <w:szCs w:val="24"/>
        </w:rPr>
      </w:pPr>
    </w:p>
    <w:p w14:paraId="064B005E"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Cs/>
          <w:sz w:val="24"/>
          <w:szCs w:val="24"/>
        </w:rPr>
        <w:t>La principal razón para no cumplir con el porcentaje del 15% para inversión se debió a la necesidad de realizar prórrogas de varios convenios y contratos por diferentes razones que se encuentran plasmadas en los respectivos documentos contractuales aprobados en la plataforma SECOP II, en los cuales requerían que los mismos se siguieran ejecutando en el transcurso de la vigencia 2025 y así poder cumplir con el objeto y obligaciones establecidas en dichos procesos.</w:t>
      </w:r>
    </w:p>
    <w:p w14:paraId="0659D2FE" w14:textId="77777777" w:rsidR="00D96A90" w:rsidRPr="008C0EBC" w:rsidRDefault="00D96A90" w:rsidP="00D96A90">
      <w:pPr>
        <w:ind w:left="-284" w:right="-234"/>
        <w:jc w:val="both"/>
        <w:rPr>
          <w:rFonts w:ascii="Arial" w:hAnsi="Arial" w:cs="Arial"/>
          <w:b/>
          <w:sz w:val="24"/>
          <w:szCs w:val="24"/>
        </w:rPr>
      </w:pPr>
    </w:p>
    <w:p w14:paraId="3F0020A2" w14:textId="77777777" w:rsidR="00D96A90" w:rsidRPr="008C0EBC" w:rsidRDefault="00D96A90" w:rsidP="00D96A90">
      <w:pPr>
        <w:ind w:left="-284" w:right="-234"/>
        <w:jc w:val="both"/>
        <w:rPr>
          <w:rFonts w:ascii="Arial" w:hAnsi="Arial" w:cs="Arial"/>
          <w:b/>
          <w:sz w:val="28"/>
          <w:szCs w:val="28"/>
          <w:lang w:val="es-MX"/>
        </w:rPr>
      </w:pPr>
      <w:r w:rsidRPr="008C0EBC">
        <w:rPr>
          <w:rFonts w:ascii="Arial" w:hAnsi="Arial" w:cs="Arial"/>
          <w:b/>
          <w:sz w:val="28"/>
          <w:szCs w:val="28"/>
          <w:lang w:val="es-MX"/>
        </w:rPr>
        <w:t>51.- INSTITUTO GEOGRÁFICO AGUSTIN CODAZZI - IGAC.</w:t>
      </w:r>
    </w:p>
    <w:p w14:paraId="02F0AFD6" w14:textId="77777777" w:rsidR="00D96A90" w:rsidRPr="008C0EBC" w:rsidRDefault="00D96A90" w:rsidP="00D96A90">
      <w:pPr>
        <w:ind w:left="-284" w:right="-234"/>
        <w:jc w:val="both"/>
        <w:rPr>
          <w:rFonts w:ascii="Arial" w:hAnsi="Arial" w:cs="Arial"/>
          <w:b/>
          <w:sz w:val="24"/>
          <w:szCs w:val="24"/>
        </w:rPr>
      </w:pPr>
    </w:p>
    <w:p w14:paraId="66965512"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
          <w:sz w:val="24"/>
          <w:szCs w:val="24"/>
        </w:rPr>
        <w:t xml:space="preserve">La entidad informa:  </w:t>
      </w:r>
      <w:r w:rsidRPr="008C0EBC">
        <w:rPr>
          <w:rFonts w:ascii="Arial" w:hAnsi="Arial" w:cs="Arial"/>
          <w:bCs/>
          <w:sz w:val="24"/>
          <w:szCs w:val="24"/>
        </w:rPr>
        <w:t>Al cierre de la vigencia 2024, el IGAC cumplió parcialmente con los límites establecidos por el artículo 78 del Decreto Ley 111 de 1996, lo cual está originado principalmente en la no asignación de PAC, para el cumplimiento del pago de las obligaciones contraídas y también limitando la ejecución de los recursos asignados para la vigencia en estudio. De esta forma las reservas presupuestales del IGAC corresponden al siguiente indicador expresado en miles de pesos.</w:t>
      </w:r>
    </w:p>
    <w:p w14:paraId="304A7373" w14:textId="77777777" w:rsidR="00D96A90" w:rsidRPr="008C0EBC" w:rsidRDefault="00D96A90" w:rsidP="00D96A90">
      <w:pPr>
        <w:pStyle w:val="Textoindependiente"/>
        <w:spacing w:before="3"/>
        <w:jc w:val="both"/>
        <w:rPr>
          <w:rFonts w:ascii="Arial" w:hAnsi="Arial" w:cs="Arial"/>
          <w:bCs/>
          <w:sz w:val="24"/>
          <w:szCs w:val="24"/>
        </w:rPr>
      </w:pPr>
    </w:p>
    <w:p w14:paraId="333BE070" w14:textId="77777777" w:rsidR="00D96A90" w:rsidRPr="008C0EBC" w:rsidRDefault="00D96A90" w:rsidP="00D96A90">
      <w:pPr>
        <w:pStyle w:val="Textoindependiente"/>
        <w:spacing w:before="3"/>
        <w:jc w:val="center"/>
        <w:rPr>
          <w:rFonts w:ascii="Arial" w:hAnsi="Arial" w:cs="Arial"/>
          <w:bCs/>
        </w:rPr>
      </w:pPr>
      <w:r w:rsidRPr="008C0EBC">
        <w:rPr>
          <w:rFonts w:ascii="Arial" w:hAnsi="Arial" w:cs="Arial"/>
          <w:noProof/>
          <w:lang w:val="es-CO" w:eastAsia="es-CO"/>
        </w:rPr>
        <w:drawing>
          <wp:inline distT="0" distB="0" distL="0" distR="0" wp14:anchorId="6BFF1F82" wp14:editId="3568A6D4">
            <wp:extent cx="5419164" cy="810895"/>
            <wp:effectExtent l="0" t="0" r="0" b="8255"/>
            <wp:docPr id="454597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97555" name=""/>
                    <pic:cNvPicPr/>
                  </pic:nvPicPr>
                  <pic:blipFill rotWithShape="1">
                    <a:blip r:embed="rId12"/>
                    <a:srcRect l="25872" t="43591" r="29754" b="39294"/>
                    <a:stretch/>
                  </pic:blipFill>
                  <pic:spPr bwMode="auto">
                    <a:xfrm>
                      <a:off x="0" y="0"/>
                      <a:ext cx="5521812" cy="826255"/>
                    </a:xfrm>
                    <a:prstGeom prst="rect">
                      <a:avLst/>
                    </a:prstGeom>
                    <a:ln>
                      <a:noFill/>
                    </a:ln>
                    <a:extLst>
                      <a:ext uri="{53640926-AAD7-44D8-BBD7-CCE9431645EC}">
                        <a14:shadowObscured xmlns:a14="http://schemas.microsoft.com/office/drawing/2010/main"/>
                      </a:ext>
                    </a:extLst>
                  </pic:spPr>
                </pic:pic>
              </a:graphicData>
            </a:graphic>
          </wp:inline>
        </w:drawing>
      </w:r>
    </w:p>
    <w:p w14:paraId="1B1E047A" w14:textId="77777777" w:rsidR="00D96A90" w:rsidRPr="008C0EBC" w:rsidRDefault="00D96A90" w:rsidP="00D96A90">
      <w:pPr>
        <w:ind w:right="49"/>
        <w:jc w:val="both"/>
        <w:rPr>
          <w:rFonts w:ascii="Arial" w:hAnsi="Arial" w:cs="Arial"/>
          <w:b/>
          <w:sz w:val="24"/>
          <w:szCs w:val="24"/>
        </w:rPr>
      </w:pPr>
    </w:p>
    <w:p w14:paraId="699E835A" w14:textId="77777777" w:rsidR="00D96A90" w:rsidRPr="008C0EBC" w:rsidRDefault="00D96A90" w:rsidP="00D96A90">
      <w:pPr>
        <w:ind w:left="-284"/>
        <w:jc w:val="both"/>
        <w:rPr>
          <w:rFonts w:ascii="Arial" w:hAnsi="Arial" w:cs="Arial"/>
          <w:b/>
          <w:sz w:val="28"/>
          <w:szCs w:val="28"/>
          <w:lang w:val="es-MX"/>
        </w:rPr>
      </w:pPr>
      <w:r w:rsidRPr="008C0EBC">
        <w:rPr>
          <w:rFonts w:ascii="Arial" w:hAnsi="Arial" w:cs="Arial"/>
          <w:b/>
          <w:sz w:val="28"/>
          <w:szCs w:val="28"/>
          <w:lang w:val="es-MX"/>
        </w:rPr>
        <w:t>52.- CLUB MILITAR DE OFICIALES.</w:t>
      </w:r>
    </w:p>
    <w:p w14:paraId="0121F508" w14:textId="77777777" w:rsidR="00D96A90" w:rsidRPr="008C0EBC" w:rsidRDefault="00D96A90" w:rsidP="00D96A90">
      <w:pPr>
        <w:ind w:right="49"/>
        <w:jc w:val="both"/>
        <w:rPr>
          <w:rFonts w:ascii="Arial" w:hAnsi="Arial" w:cs="Arial"/>
          <w:b/>
          <w:sz w:val="24"/>
          <w:szCs w:val="24"/>
        </w:rPr>
      </w:pPr>
    </w:p>
    <w:p w14:paraId="0EC1E583"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
          <w:sz w:val="24"/>
          <w:szCs w:val="24"/>
        </w:rPr>
        <w:t xml:space="preserve">La entidad informa: NO. </w:t>
      </w:r>
      <w:r w:rsidRPr="008C0EBC">
        <w:rPr>
          <w:rFonts w:ascii="Arial" w:hAnsi="Arial" w:cs="Arial"/>
          <w:bCs/>
          <w:sz w:val="24"/>
          <w:szCs w:val="24"/>
        </w:rPr>
        <w:t>Con relación a lo establecido en el artículo 78 de la Ley 111 de 1996, es importante precisar, que se sobrepasó el techo permitido en razón a las siguientes situaciones:</w:t>
      </w:r>
    </w:p>
    <w:p w14:paraId="3F8E8F82" w14:textId="77777777" w:rsidR="00D96A90" w:rsidRPr="008C0EBC" w:rsidRDefault="00D96A90" w:rsidP="00D96A90">
      <w:pPr>
        <w:pStyle w:val="Textoindependiente"/>
        <w:spacing w:before="3"/>
        <w:jc w:val="both"/>
        <w:rPr>
          <w:rFonts w:ascii="Arial" w:hAnsi="Arial" w:cs="Arial"/>
          <w:bCs/>
          <w:sz w:val="24"/>
          <w:szCs w:val="24"/>
        </w:rPr>
      </w:pPr>
    </w:p>
    <w:p w14:paraId="5B24470D" w14:textId="77777777" w:rsidR="00D96A90" w:rsidRPr="008C0EBC" w:rsidRDefault="00D96A90" w:rsidP="00CB6055">
      <w:pPr>
        <w:pStyle w:val="Textoindependiente"/>
        <w:numPr>
          <w:ilvl w:val="0"/>
          <w:numId w:val="38"/>
        </w:numPr>
        <w:spacing w:before="3"/>
        <w:ind w:left="284" w:right="-234" w:hanging="284"/>
        <w:jc w:val="both"/>
        <w:rPr>
          <w:rFonts w:ascii="Arial" w:hAnsi="Arial" w:cs="Arial"/>
          <w:bCs/>
          <w:sz w:val="24"/>
          <w:szCs w:val="24"/>
        </w:rPr>
      </w:pPr>
      <w:r w:rsidRPr="008C0EBC">
        <w:rPr>
          <w:rFonts w:ascii="Arial" w:hAnsi="Arial" w:cs="Arial"/>
          <w:bCs/>
          <w:sz w:val="24"/>
          <w:szCs w:val="24"/>
        </w:rPr>
        <w:t>La Dirección General de Presupuesto autorizó el levantamiento del previo concepto de rubro “Otras Transferencias”, por valor de $2.990 millones, y la gestión de traslado presupuestal de estos recursos, se aprobó al corte del mes de noviembre de 2024, afectando en gran medida la proyección de gastos de las necesidades detalladas en el Plan Anual de Adquisiciones – PAA.</w:t>
      </w:r>
    </w:p>
    <w:p w14:paraId="19C6B78F" w14:textId="77777777" w:rsidR="00D96A90" w:rsidRPr="008C0EBC" w:rsidRDefault="00D96A90" w:rsidP="00CB6055">
      <w:pPr>
        <w:pStyle w:val="Textoindependiente"/>
        <w:numPr>
          <w:ilvl w:val="0"/>
          <w:numId w:val="38"/>
        </w:numPr>
        <w:spacing w:before="3"/>
        <w:ind w:left="284" w:right="-234" w:hanging="284"/>
        <w:jc w:val="both"/>
        <w:rPr>
          <w:rFonts w:ascii="Arial" w:hAnsi="Arial" w:cs="Arial"/>
          <w:bCs/>
          <w:sz w:val="24"/>
          <w:szCs w:val="24"/>
        </w:rPr>
      </w:pPr>
      <w:r w:rsidRPr="008C0EBC">
        <w:rPr>
          <w:rFonts w:ascii="Arial" w:hAnsi="Arial" w:cs="Arial"/>
          <w:bCs/>
          <w:sz w:val="24"/>
          <w:szCs w:val="24"/>
        </w:rPr>
        <w:t>Al corte del mes de noviembre se autoriza a la entidad las vigencias futuras de adquisición de bienes y servicios.</w:t>
      </w:r>
    </w:p>
    <w:p w14:paraId="777CA9C2" w14:textId="77777777" w:rsidR="00D96A90" w:rsidRPr="008C0EBC" w:rsidRDefault="00D96A90" w:rsidP="00D96A90">
      <w:pPr>
        <w:pStyle w:val="Prrafodelista"/>
        <w:ind w:left="284" w:right="-234" w:hanging="284"/>
        <w:rPr>
          <w:rFonts w:ascii="Arial" w:hAnsi="Arial" w:cs="Arial"/>
          <w:bCs/>
          <w:sz w:val="24"/>
          <w:szCs w:val="24"/>
        </w:rPr>
      </w:pPr>
    </w:p>
    <w:p w14:paraId="04897C41" w14:textId="77777777" w:rsidR="00D96A90" w:rsidRPr="008C0EBC" w:rsidRDefault="00D96A90" w:rsidP="00CB6055">
      <w:pPr>
        <w:pStyle w:val="Textoindependiente"/>
        <w:numPr>
          <w:ilvl w:val="0"/>
          <w:numId w:val="38"/>
        </w:numPr>
        <w:spacing w:before="3"/>
        <w:ind w:left="284" w:right="-234" w:hanging="284"/>
        <w:jc w:val="both"/>
        <w:rPr>
          <w:rFonts w:ascii="Arial" w:hAnsi="Arial" w:cs="Arial"/>
          <w:bCs/>
          <w:sz w:val="24"/>
          <w:szCs w:val="24"/>
        </w:rPr>
      </w:pPr>
      <w:r w:rsidRPr="008C0EBC">
        <w:rPr>
          <w:rFonts w:ascii="Arial" w:hAnsi="Arial" w:cs="Arial"/>
          <w:bCs/>
          <w:sz w:val="24"/>
          <w:szCs w:val="24"/>
        </w:rPr>
        <w:t>Al corte del 26 de diciembre de 2024, se autoriza la entidad las vigencias futuras para los contratos de prestación de servicios.</w:t>
      </w:r>
    </w:p>
    <w:p w14:paraId="297077FF" w14:textId="77777777" w:rsidR="00D96A90" w:rsidRPr="008C0EBC" w:rsidRDefault="00D96A90" w:rsidP="00D96A90">
      <w:pPr>
        <w:pStyle w:val="Prrafodelista"/>
        <w:ind w:left="284" w:right="-234" w:hanging="284"/>
        <w:rPr>
          <w:rFonts w:ascii="Arial" w:hAnsi="Arial" w:cs="Arial"/>
          <w:bCs/>
          <w:sz w:val="24"/>
          <w:szCs w:val="24"/>
        </w:rPr>
      </w:pPr>
    </w:p>
    <w:p w14:paraId="5AB835D2" w14:textId="77777777" w:rsidR="00D96A90" w:rsidRPr="008C0EBC" w:rsidRDefault="00D96A90" w:rsidP="00CB6055">
      <w:pPr>
        <w:pStyle w:val="Textoindependiente"/>
        <w:numPr>
          <w:ilvl w:val="0"/>
          <w:numId w:val="38"/>
        </w:numPr>
        <w:spacing w:before="3"/>
        <w:ind w:left="284" w:right="-234" w:hanging="284"/>
        <w:jc w:val="both"/>
        <w:rPr>
          <w:rFonts w:ascii="Arial" w:hAnsi="Arial" w:cs="Arial"/>
          <w:bCs/>
          <w:sz w:val="24"/>
          <w:szCs w:val="24"/>
        </w:rPr>
      </w:pPr>
      <w:r w:rsidRPr="008C0EBC">
        <w:rPr>
          <w:rFonts w:ascii="Arial" w:hAnsi="Arial" w:cs="Arial"/>
          <w:bCs/>
          <w:sz w:val="24"/>
          <w:szCs w:val="24"/>
        </w:rPr>
        <w:t>Al corte del mes de diciembre, se colapsa la plataforma SECOPII, y se presenta intermitencia, ocasionando demoras en la evidencia de las firmas de las partes de los contratos de bienes y servicios, requisito indispensable para la solicitud y expedición del registro presupuestal, como también de sus adiciones.</w:t>
      </w:r>
    </w:p>
    <w:p w14:paraId="67F59E5D" w14:textId="77777777" w:rsidR="00D96A90" w:rsidRPr="008C0EBC" w:rsidRDefault="00D96A90" w:rsidP="00D96A90">
      <w:pPr>
        <w:pStyle w:val="Prrafodelista"/>
        <w:ind w:left="284" w:right="-234" w:hanging="284"/>
        <w:rPr>
          <w:rFonts w:ascii="Arial" w:hAnsi="Arial" w:cs="Arial"/>
          <w:bCs/>
          <w:sz w:val="24"/>
          <w:szCs w:val="24"/>
        </w:rPr>
      </w:pPr>
    </w:p>
    <w:p w14:paraId="54C95743" w14:textId="77777777" w:rsidR="00D96A90" w:rsidRPr="008C0EBC" w:rsidRDefault="00D96A90" w:rsidP="00CB6055">
      <w:pPr>
        <w:pStyle w:val="Textoindependiente"/>
        <w:numPr>
          <w:ilvl w:val="0"/>
          <w:numId w:val="38"/>
        </w:numPr>
        <w:spacing w:before="3"/>
        <w:ind w:left="284" w:right="-234" w:hanging="284"/>
        <w:jc w:val="both"/>
        <w:rPr>
          <w:rFonts w:ascii="Arial" w:hAnsi="Arial" w:cs="Arial"/>
          <w:bCs/>
          <w:sz w:val="24"/>
          <w:szCs w:val="24"/>
        </w:rPr>
      </w:pPr>
      <w:r w:rsidRPr="008C0EBC">
        <w:rPr>
          <w:rFonts w:ascii="Arial" w:hAnsi="Arial" w:cs="Arial"/>
          <w:bCs/>
          <w:sz w:val="24"/>
          <w:szCs w:val="24"/>
        </w:rPr>
        <w:t>En la parte contable, al registrar la obligación presupuestal de las facturas, el Sistema Integrado de Información Financiera SIIF, se quedaba procesando y no generó las obligaciones, por lo que se configuró “Reserva presupuestal forzosa”, toda vez que ya se recibió el bien o servicio.</w:t>
      </w:r>
    </w:p>
    <w:p w14:paraId="4B257A62" w14:textId="77777777" w:rsidR="00D96A90" w:rsidRPr="008C0EBC" w:rsidRDefault="00D96A90" w:rsidP="00D96A90">
      <w:pPr>
        <w:pStyle w:val="Prrafodelista"/>
        <w:ind w:left="284" w:right="-234" w:hanging="284"/>
        <w:rPr>
          <w:rFonts w:ascii="Arial" w:hAnsi="Arial" w:cs="Arial"/>
          <w:bCs/>
          <w:sz w:val="24"/>
          <w:szCs w:val="24"/>
        </w:rPr>
      </w:pPr>
    </w:p>
    <w:p w14:paraId="77D4E1A8" w14:textId="77777777" w:rsidR="00D96A90" w:rsidRPr="008C0EBC" w:rsidRDefault="00D96A90" w:rsidP="00D96A90">
      <w:pPr>
        <w:pStyle w:val="Textoindependiente"/>
        <w:spacing w:before="3"/>
        <w:ind w:left="284" w:right="-234"/>
        <w:jc w:val="both"/>
        <w:rPr>
          <w:rFonts w:ascii="Arial" w:hAnsi="Arial" w:cs="Arial"/>
          <w:bCs/>
          <w:sz w:val="24"/>
          <w:szCs w:val="24"/>
        </w:rPr>
      </w:pPr>
      <w:r w:rsidRPr="008C0EBC">
        <w:rPr>
          <w:rFonts w:ascii="Arial" w:hAnsi="Arial" w:cs="Arial"/>
          <w:b/>
          <w:sz w:val="24"/>
          <w:szCs w:val="24"/>
        </w:rPr>
        <w:t>NOTA</w:t>
      </w:r>
      <w:r w:rsidRPr="008C0EBC">
        <w:rPr>
          <w:rFonts w:ascii="Arial" w:hAnsi="Arial" w:cs="Arial"/>
          <w:bCs/>
          <w:sz w:val="24"/>
          <w:szCs w:val="24"/>
        </w:rPr>
        <w:t>: En las actas de Constitución de la reserva presupuestal del 2024, se detalla la justificación de fuerza mayor, debido a este incidente presentado.</w:t>
      </w:r>
    </w:p>
    <w:p w14:paraId="3CE1E4FD" w14:textId="77777777" w:rsidR="00D96A90" w:rsidRPr="008C0EBC" w:rsidRDefault="00D96A90" w:rsidP="00D96A90">
      <w:pPr>
        <w:pStyle w:val="Textoindependiente"/>
        <w:spacing w:before="3"/>
        <w:ind w:left="284" w:right="-234"/>
        <w:jc w:val="both"/>
        <w:rPr>
          <w:rFonts w:ascii="Arial" w:hAnsi="Arial" w:cs="Arial"/>
          <w:bCs/>
          <w:sz w:val="24"/>
          <w:szCs w:val="24"/>
        </w:rPr>
      </w:pPr>
    </w:p>
    <w:p w14:paraId="411A9A99" w14:textId="77777777" w:rsidR="00D96A90" w:rsidRPr="008C0EBC" w:rsidRDefault="00D96A90" w:rsidP="00CB6055">
      <w:pPr>
        <w:pStyle w:val="Textoindependiente"/>
        <w:numPr>
          <w:ilvl w:val="0"/>
          <w:numId w:val="39"/>
        </w:numPr>
        <w:spacing w:before="3"/>
        <w:ind w:left="284" w:right="-234" w:hanging="284"/>
        <w:jc w:val="both"/>
        <w:rPr>
          <w:rFonts w:ascii="Arial" w:hAnsi="Arial" w:cs="Arial"/>
          <w:bCs/>
          <w:sz w:val="24"/>
          <w:szCs w:val="24"/>
        </w:rPr>
      </w:pPr>
      <w:r w:rsidRPr="008C0EBC">
        <w:rPr>
          <w:rFonts w:ascii="Arial" w:hAnsi="Arial" w:cs="Arial"/>
          <w:bCs/>
          <w:sz w:val="24"/>
          <w:szCs w:val="24"/>
        </w:rPr>
        <w:t>Adicionalmente, en lo referente a la Reserva Presupuestal, constituida por presupuesto de inversión, además de lo detallado anteriormente, no se nos autorizó PAC, en el mes de diciembre recursos “Nación”, por causas externas.</w:t>
      </w:r>
    </w:p>
    <w:p w14:paraId="34A9AD82" w14:textId="77777777" w:rsidR="00D96A90" w:rsidRPr="008C0EBC" w:rsidRDefault="00D96A90" w:rsidP="00D96A90">
      <w:pPr>
        <w:ind w:right="49"/>
        <w:jc w:val="both"/>
        <w:rPr>
          <w:rFonts w:ascii="Arial" w:hAnsi="Arial" w:cs="Arial"/>
          <w:b/>
          <w:sz w:val="24"/>
          <w:szCs w:val="24"/>
        </w:rPr>
      </w:pPr>
    </w:p>
    <w:p w14:paraId="6C722A77" w14:textId="77777777" w:rsidR="00D96A90" w:rsidRPr="008C0EBC" w:rsidRDefault="00D96A90" w:rsidP="00D96A90">
      <w:pPr>
        <w:ind w:left="-284" w:right="-234"/>
        <w:jc w:val="both"/>
        <w:rPr>
          <w:rFonts w:ascii="Arial" w:hAnsi="Arial" w:cs="Arial"/>
          <w:b/>
          <w:sz w:val="32"/>
          <w:szCs w:val="32"/>
        </w:rPr>
      </w:pPr>
      <w:r w:rsidRPr="008C0EBC">
        <w:rPr>
          <w:rFonts w:ascii="Arial" w:hAnsi="Arial" w:cs="Arial"/>
          <w:b/>
          <w:sz w:val="28"/>
          <w:szCs w:val="28"/>
          <w:lang w:val="es-MX"/>
        </w:rPr>
        <w:t xml:space="preserve">59.- </w:t>
      </w:r>
      <w:r w:rsidRPr="008C0EBC">
        <w:rPr>
          <w:rFonts w:ascii="Arial" w:hAnsi="Arial" w:cs="Arial"/>
          <w:b/>
          <w:sz w:val="28"/>
          <w:szCs w:val="28"/>
        </w:rPr>
        <w:t>FONDO UNICO DE TECNOLOGÍAS DE LA INFORMACIÓN Y LAS COMUNICACIONES – FUTIC.</w:t>
      </w:r>
    </w:p>
    <w:p w14:paraId="72D41A0D" w14:textId="77777777" w:rsidR="00D96A90" w:rsidRPr="008C0EBC" w:rsidRDefault="00D96A90" w:rsidP="00D96A90">
      <w:pPr>
        <w:ind w:left="-284"/>
        <w:jc w:val="both"/>
        <w:rPr>
          <w:rFonts w:ascii="Arial" w:hAnsi="Arial" w:cs="Arial"/>
          <w:b/>
          <w:sz w:val="32"/>
          <w:szCs w:val="32"/>
        </w:rPr>
      </w:pPr>
    </w:p>
    <w:p w14:paraId="4DF86A9E" w14:textId="77777777" w:rsidR="00D96A90" w:rsidRPr="008C0EBC" w:rsidRDefault="00D96A90" w:rsidP="00D96A90">
      <w:pPr>
        <w:pStyle w:val="Textoindependiente"/>
        <w:spacing w:before="3"/>
        <w:ind w:left="-284"/>
        <w:jc w:val="both"/>
        <w:rPr>
          <w:rFonts w:ascii="Arial" w:hAnsi="Arial" w:cs="Arial"/>
          <w:b/>
        </w:rPr>
      </w:pPr>
      <w:r w:rsidRPr="008C0EBC">
        <w:rPr>
          <w:rFonts w:ascii="Arial" w:hAnsi="Arial" w:cs="Arial"/>
          <w:b/>
          <w:sz w:val="28"/>
          <w:szCs w:val="28"/>
        </w:rPr>
        <w:t>-</w:t>
      </w:r>
      <w:r w:rsidRPr="008C0EBC">
        <w:rPr>
          <w:rFonts w:ascii="Arial" w:hAnsi="Arial" w:cs="Arial"/>
          <w:b/>
        </w:rPr>
        <w:t>LA ENTIDAD INFORMA:</w:t>
      </w:r>
    </w:p>
    <w:p w14:paraId="4E1F2004" w14:textId="77777777" w:rsidR="00D96A90" w:rsidRPr="008C0EBC" w:rsidRDefault="00D96A90" w:rsidP="00D96A90">
      <w:pPr>
        <w:pStyle w:val="Textoindependiente"/>
        <w:spacing w:before="3"/>
        <w:jc w:val="both"/>
        <w:rPr>
          <w:rFonts w:ascii="Arial" w:hAnsi="Arial" w:cs="Arial"/>
          <w:b/>
        </w:rPr>
      </w:pPr>
    </w:p>
    <w:tbl>
      <w:tblPr>
        <w:tblStyle w:val="Tablaconcuadrcula"/>
        <w:tblW w:w="0" w:type="auto"/>
        <w:tblLook w:val="04A0" w:firstRow="1" w:lastRow="0" w:firstColumn="1" w:lastColumn="0" w:noHBand="0" w:noVBand="1"/>
      </w:tblPr>
      <w:tblGrid>
        <w:gridCol w:w="3964"/>
        <w:gridCol w:w="1843"/>
        <w:gridCol w:w="2268"/>
        <w:gridCol w:w="1887"/>
      </w:tblGrid>
      <w:tr w:rsidR="00D96A90" w:rsidRPr="008C0EBC" w14:paraId="1F259588" w14:textId="77777777" w:rsidTr="00EF5AF2">
        <w:tc>
          <w:tcPr>
            <w:tcW w:w="9962" w:type="dxa"/>
            <w:gridSpan w:val="4"/>
          </w:tcPr>
          <w:p w14:paraId="1B1C1385"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REZAGO PRESUPUESTAL CONSTITUIDO A 31 DE DICIEMBRE (Cifras en miles de pesos)</w:t>
            </w:r>
          </w:p>
        </w:tc>
      </w:tr>
      <w:tr w:rsidR="00D96A90" w:rsidRPr="008C0EBC" w14:paraId="418224AC" w14:textId="77777777" w:rsidTr="00EF5AF2">
        <w:tc>
          <w:tcPr>
            <w:tcW w:w="9962" w:type="dxa"/>
            <w:gridSpan w:val="4"/>
          </w:tcPr>
          <w:p w14:paraId="7FE64F6E"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Vigencia Fiscal 2024</w:t>
            </w:r>
          </w:p>
        </w:tc>
      </w:tr>
      <w:tr w:rsidR="00D96A90" w:rsidRPr="008C0EBC" w14:paraId="15B48E08" w14:textId="77777777" w:rsidTr="00EF5AF2">
        <w:tc>
          <w:tcPr>
            <w:tcW w:w="9962" w:type="dxa"/>
            <w:gridSpan w:val="4"/>
          </w:tcPr>
          <w:p w14:paraId="38C5C21C" w14:textId="77777777" w:rsidR="00D96A90" w:rsidRPr="008C0EBC" w:rsidRDefault="00D96A90" w:rsidP="00EF5AF2">
            <w:pPr>
              <w:pStyle w:val="Textoindependiente"/>
              <w:spacing w:before="3"/>
              <w:jc w:val="both"/>
              <w:rPr>
                <w:rFonts w:ascii="Arial" w:hAnsi="Arial" w:cs="Arial"/>
              </w:rPr>
            </w:pPr>
          </w:p>
        </w:tc>
      </w:tr>
      <w:tr w:rsidR="00D96A90" w:rsidRPr="008C0EBC" w14:paraId="23AE30C6" w14:textId="77777777" w:rsidTr="00EF5AF2">
        <w:tc>
          <w:tcPr>
            <w:tcW w:w="3964" w:type="dxa"/>
          </w:tcPr>
          <w:p w14:paraId="4AB984EC"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CONCEPTO</w:t>
            </w:r>
          </w:p>
        </w:tc>
        <w:tc>
          <w:tcPr>
            <w:tcW w:w="1843" w:type="dxa"/>
          </w:tcPr>
          <w:p w14:paraId="4A2D3E88"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APR. DEFINITIVA</w:t>
            </w:r>
          </w:p>
        </w:tc>
        <w:tc>
          <w:tcPr>
            <w:tcW w:w="2268" w:type="dxa"/>
          </w:tcPr>
          <w:p w14:paraId="44C4B75B"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VALOR CONSTITUIDO</w:t>
            </w:r>
          </w:p>
        </w:tc>
        <w:tc>
          <w:tcPr>
            <w:tcW w:w="1887" w:type="dxa"/>
          </w:tcPr>
          <w:p w14:paraId="49BAF0A1"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PORCENTAJE CONSTITUIDO</w:t>
            </w:r>
          </w:p>
        </w:tc>
      </w:tr>
      <w:tr w:rsidR="00D96A90" w:rsidRPr="008C0EBC" w14:paraId="2667B89E" w14:textId="77777777" w:rsidTr="00EF5AF2">
        <w:tc>
          <w:tcPr>
            <w:tcW w:w="3964" w:type="dxa"/>
          </w:tcPr>
          <w:p w14:paraId="6C91DF10" w14:textId="77777777" w:rsidR="00D96A90" w:rsidRPr="008C0EBC" w:rsidRDefault="00D96A90" w:rsidP="00EF5AF2">
            <w:pPr>
              <w:pStyle w:val="Textoindependiente"/>
              <w:spacing w:before="3"/>
              <w:jc w:val="center"/>
              <w:rPr>
                <w:rFonts w:ascii="Arial" w:hAnsi="Arial" w:cs="Arial"/>
              </w:rPr>
            </w:pPr>
            <w:r w:rsidRPr="008C0EBC">
              <w:rPr>
                <w:rFonts w:ascii="Arial" w:hAnsi="Arial" w:cs="Arial"/>
              </w:rPr>
              <w:t>Reservas presupuestales funcionamiento (Máximo 2%)</w:t>
            </w:r>
          </w:p>
        </w:tc>
        <w:tc>
          <w:tcPr>
            <w:tcW w:w="1843" w:type="dxa"/>
          </w:tcPr>
          <w:p w14:paraId="33275F6D" w14:textId="77777777" w:rsidR="00D96A90" w:rsidRPr="008C0EBC" w:rsidRDefault="00D96A90" w:rsidP="00EF5AF2">
            <w:pPr>
              <w:pStyle w:val="Textoindependiente"/>
              <w:spacing w:before="3"/>
              <w:jc w:val="right"/>
              <w:rPr>
                <w:rFonts w:ascii="Arial" w:hAnsi="Arial" w:cs="Arial"/>
              </w:rPr>
            </w:pPr>
            <w:r w:rsidRPr="008C0EBC">
              <w:rPr>
                <w:rFonts w:ascii="Arial" w:hAnsi="Arial" w:cs="Arial"/>
                <w:lang w:val="es-ES_tradnl"/>
              </w:rPr>
              <w:t>590.536.481</w:t>
            </w:r>
          </w:p>
        </w:tc>
        <w:tc>
          <w:tcPr>
            <w:tcW w:w="2268" w:type="dxa"/>
          </w:tcPr>
          <w:p w14:paraId="0884A0C2" w14:textId="77777777" w:rsidR="00D96A90" w:rsidRPr="008C0EBC" w:rsidRDefault="00D96A90" w:rsidP="00EF5AF2">
            <w:pPr>
              <w:pStyle w:val="Textoindependiente"/>
              <w:spacing w:before="3"/>
              <w:jc w:val="right"/>
              <w:rPr>
                <w:rFonts w:ascii="Arial" w:hAnsi="Arial" w:cs="Arial"/>
              </w:rPr>
            </w:pPr>
            <w:r w:rsidRPr="008C0EBC">
              <w:rPr>
                <w:rFonts w:ascii="Arial" w:hAnsi="Arial" w:cs="Arial"/>
                <w:lang w:val="es-ES_tradnl"/>
              </w:rPr>
              <w:t>9.351.096</w:t>
            </w:r>
          </w:p>
        </w:tc>
        <w:tc>
          <w:tcPr>
            <w:tcW w:w="1887" w:type="dxa"/>
          </w:tcPr>
          <w:p w14:paraId="6317E2E1" w14:textId="77777777" w:rsidR="00D96A90" w:rsidRPr="008C0EBC" w:rsidRDefault="00D96A90" w:rsidP="00EF5AF2">
            <w:pPr>
              <w:pStyle w:val="Textoindependiente"/>
              <w:spacing w:before="3"/>
              <w:jc w:val="right"/>
              <w:rPr>
                <w:rFonts w:ascii="Arial" w:hAnsi="Arial" w:cs="Arial"/>
              </w:rPr>
            </w:pPr>
            <w:r w:rsidRPr="008C0EBC">
              <w:rPr>
                <w:rFonts w:ascii="Arial" w:hAnsi="Arial" w:cs="Arial"/>
                <w:lang w:val="es-ES_tradnl"/>
              </w:rPr>
              <w:t>1,58%</w:t>
            </w:r>
          </w:p>
        </w:tc>
      </w:tr>
      <w:tr w:rsidR="00D96A90" w:rsidRPr="008C0EBC" w14:paraId="63B660A1" w14:textId="77777777" w:rsidTr="00EF5AF2">
        <w:tc>
          <w:tcPr>
            <w:tcW w:w="3964" w:type="dxa"/>
          </w:tcPr>
          <w:p w14:paraId="742247EF" w14:textId="77777777" w:rsidR="00D96A90" w:rsidRPr="008C0EBC" w:rsidRDefault="00D96A90" w:rsidP="00EF5AF2">
            <w:pPr>
              <w:pStyle w:val="Textoindependiente"/>
              <w:spacing w:before="3"/>
              <w:jc w:val="center"/>
              <w:rPr>
                <w:rFonts w:ascii="Arial" w:hAnsi="Arial" w:cs="Arial"/>
              </w:rPr>
            </w:pPr>
            <w:r w:rsidRPr="008C0EBC">
              <w:rPr>
                <w:rFonts w:ascii="Arial" w:hAnsi="Arial" w:cs="Arial"/>
              </w:rPr>
              <w:t>Reservas presupuestales inversión (Máximo 15%)</w:t>
            </w:r>
          </w:p>
        </w:tc>
        <w:tc>
          <w:tcPr>
            <w:tcW w:w="1843" w:type="dxa"/>
          </w:tcPr>
          <w:p w14:paraId="622E810D" w14:textId="77777777" w:rsidR="00D96A90" w:rsidRPr="008C0EBC" w:rsidRDefault="00D96A90" w:rsidP="00EF5AF2">
            <w:pPr>
              <w:pStyle w:val="Textoindependiente"/>
              <w:spacing w:before="3"/>
              <w:jc w:val="right"/>
              <w:rPr>
                <w:rFonts w:ascii="Arial" w:hAnsi="Arial" w:cs="Arial"/>
              </w:rPr>
            </w:pPr>
            <w:r w:rsidRPr="008C0EBC">
              <w:rPr>
                <w:rFonts w:ascii="Arial" w:hAnsi="Arial" w:cs="Arial"/>
                <w:lang w:val="es-ES_tradnl"/>
              </w:rPr>
              <w:t>2.833.137.741</w:t>
            </w:r>
          </w:p>
        </w:tc>
        <w:tc>
          <w:tcPr>
            <w:tcW w:w="2268" w:type="dxa"/>
          </w:tcPr>
          <w:p w14:paraId="2D19B8D9" w14:textId="77777777" w:rsidR="00D96A90" w:rsidRPr="008C0EBC" w:rsidRDefault="00D96A90" w:rsidP="00EF5AF2">
            <w:pPr>
              <w:pStyle w:val="Textoindependiente"/>
              <w:spacing w:before="3"/>
              <w:jc w:val="right"/>
              <w:rPr>
                <w:rFonts w:ascii="Arial" w:hAnsi="Arial" w:cs="Arial"/>
              </w:rPr>
            </w:pPr>
            <w:r w:rsidRPr="008C0EBC">
              <w:rPr>
                <w:rFonts w:ascii="Arial" w:hAnsi="Arial" w:cs="Arial"/>
                <w:lang w:val="es-ES_tradnl"/>
              </w:rPr>
              <w:t>796.025.664</w:t>
            </w:r>
          </w:p>
        </w:tc>
        <w:tc>
          <w:tcPr>
            <w:tcW w:w="1887" w:type="dxa"/>
          </w:tcPr>
          <w:p w14:paraId="4ED5309A" w14:textId="77777777" w:rsidR="00D96A90" w:rsidRPr="008C0EBC" w:rsidRDefault="00D96A90" w:rsidP="00EF5AF2">
            <w:pPr>
              <w:pStyle w:val="Textoindependiente"/>
              <w:spacing w:before="3"/>
              <w:jc w:val="right"/>
              <w:rPr>
                <w:rFonts w:ascii="Arial" w:hAnsi="Arial" w:cs="Arial"/>
              </w:rPr>
            </w:pPr>
            <w:r w:rsidRPr="008C0EBC">
              <w:rPr>
                <w:rFonts w:ascii="Arial" w:hAnsi="Arial" w:cs="Arial"/>
                <w:lang w:val="es-ES_tradnl"/>
              </w:rPr>
              <w:t>28,10%</w:t>
            </w:r>
          </w:p>
        </w:tc>
      </w:tr>
      <w:tr w:rsidR="00D96A90" w:rsidRPr="008C0EBC" w14:paraId="1E7DA968" w14:textId="77777777" w:rsidTr="00EF5AF2">
        <w:tc>
          <w:tcPr>
            <w:tcW w:w="3964" w:type="dxa"/>
          </w:tcPr>
          <w:p w14:paraId="66A5F4C6" w14:textId="77777777" w:rsidR="00D96A90" w:rsidRPr="008C0EBC" w:rsidRDefault="00D96A90" w:rsidP="00EF5AF2">
            <w:pPr>
              <w:pStyle w:val="Textoindependiente"/>
              <w:spacing w:before="3"/>
              <w:jc w:val="center"/>
              <w:rPr>
                <w:rFonts w:ascii="Arial" w:hAnsi="Arial" w:cs="Arial"/>
                <w:b/>
              </w:rPr>
            </w:pPr>
          </w:p>
          <w:p w14:paraId="07AC4C8A" w14:textId="77777777" w:rsidR="00D96A90" w:rsidRPr="008C0EBC" w:rsidRDefault="00D96A90" w:rsidP="00EF5AF2">
            <w:pPr>
              <w:pStyle w:val="Textoindependiente"/>
              <w:spacing w:before="3"/>
              <w:jc w:val="center"/>
              <w:rPr>
                <w:rFonts w:ascii="Arial" w:hAnsi="Arial" w:cs="Arial"/>
                <w:b/>
              </w:rPr>
            </w:pPr>
            <w:r w:rsidRPr="008C0EBC">
              <w:rPr>
                <w:rFonts w:ascii="Arial" w:hAnsi="Arial" w:cs="Arial"/>
                <w:b/>
              </w:rPr>
              <w:t>TOTAL</w:t>
            </w:r>
          </w:p>
        </w:tc>
        <w:tc>
          <w:tcPr>
            <w:tcW w:w="1843" w:type="dxa"/>
          </w:tcPr>
          <w:p w14:paraId="7801003A" w14:textId="77777777" w:rsidR="00D96A90" w:rsidRPr="008C0EBC" w:rsidRDefault="00D96A90" w:rsidP="00EF5AF2">
            <w:pPr>
              <w:ind w:left="142"/>
              <w:jc w:val="right"/>
              <w:rPr>
                <w:rFonts w:ascii="Arial" w:hAnsi="Arial" w:cs="Arial"/>
                <w:b/>
                <w:lang w:val="es-ES_tradnl"/>
              </w:rPr>
            </w:pPr>
          </w:p>
          <w:p w14:paraId="5972B6D1" w14:textId="77777777" w:rsidR="00D96A90" w:rsidRPr="008C0EBC" w:rsidRDefault="00D96A90" w:rsidP="00EF5AF2">
            <w:pPr>
              <w:pStyle w:val="Textoindependiente"/>
              <w:spacing w:before="3"/>
              <w:jc w:val="right"/>
              <w:rPr>
                <w:rFonts w:ascii="Arial" w:hAnsi="Arial" w:cs="Arial"/>
                <w:b/>
              </w:rPr>
            </w:pPr>
            <w:r w:rsidRPr="008C0EBC">
              <w:rPr>
                <w:rFonts w:ascii="Arial" w:hAnsi="Arial" w:cs="Arial"/>
                <w:b/>
                <w:lang w:val="es-ES_tradnl"/>
              </w:rPr>
              <w:t>3.423.674.222</w:t>
            </w:r>
          </w:p>
        </w:tc>
        <w:tc>
          <w:tcPr>
            <w:tcW w:w="2268" w:type="dxa"/>
          </w:tcPr>
          <w:p w14:paraId="20DC529C" w14:textId="77777777" w:rsidR="00D96A90" w:rsidRPr="008C0EBC" w:rsidRDefault="00D96A90" w:rsidP="00EF5AF2">
            <w:pPr>
              <w:ind w:left="142"/>
              <w:jc w:val="right"/>
              <w:rPr>
                <w:rFonts w:ascii="Arial" w:hAnsi="Arial" w:cs="Arial"/>
                <w:b/>
                <w:lang w:val="es-ES_tradnl"/>
              </w:rPr>
            </w:pPr>
          </w:p>
          <w:p w14:paraId="3F59E69D" w14:textId="77777777" w:rsidR="00D96A90" w:rsidRPr="008C0EBC" w:rsidRDefault="00D96A90" w:rsidP="00EF5AF2">
            <w:pPr>
              <w:pStyle w:val="Textoindependiente"/>
              <w:spacing w:before="3"/>
              <w:jc w:val="right"/>
              <w:rPr>
                <w:rFonts w:ascii="Arial" w:hAnsi="Arial" w:cs="Arial"/>
                <w:b/>
              </w:rPr>
            </w:pPr>
            <w:r w:rsidRPr="008C0EBC">
              <w:rPr>
                <w:rFonts w:ascii="Arial" w:hAnsi="Arial" w:cs="Arial"/>
                <w:b/>
                <w:lang w:val="es-ES_tradnl"/>
              </w:rPr>
              <w:t>805.376.760</w:t>
            </w:r>
          </w:p>
        </w:tc>
        <w:tc>
          <w:tcPr>
            <w:tcW w:w="1887" w:type="dxa"/>
          </w:tcPr>
          <w:p w14:paraId="76F0FADC" w14:textId="77777777" w:rsidR="00D96A90" w:rsidRPr="008C0EBC" w:rsidRDefault="00D96A90" w:rsidP="00EF5AF2">
            <w:pPr>
              <w:ind w:left="142"/>
              <w:jc w:val="center"/>
              <w:rPr>
                <w:rFonts w:ascii="Arial" w:hAnsi="Arial" w:cs="Arial"/>
                <w:b/>
                <w:u w:val="single"/>
                <w:lang w:val="es-ES_tradnl"/>
              </w:rPr>
            </w:pPr>
          </w:p>
          <w:p w14:paraId="15D4C45C" w14:textId="77777777" w:rsidR="00D96A90" w:rsidRPr="008C0EBC" w:rsidRDefault="00D96A90" w:rsidP="00EF5AF2">
            <w:pPr>
              <w:pStyle w:val="Textoindependiente"/>
              <w:spacing w:before="3"/>
              <w:jc w:val="right"/>
              <w:rPr>
                <w:rFonts w:ascii="Arial" w:hAnsi="Arial" w:cs="Arial"/>
                <w:b/>
              </w:rPr>
            </w:pPr>
            <w:r w:rsidRPr="008C0EBC">
              <w:rPr>
                <w:rFonts w:ascii="Arial" w:hAnsi="Arial" w:cs="Arial"/>
                <w:b/>
                <w:u w:val="single"/>
                <w:lang w:val="es-ES_tradnl"/>
              </w:rPr>
              <w:t>23,52%</w:t>
            </w:r>
          </w:p>
        </w:tc>
      </w:tr>
    </w:tbl>
    <w:p w14:paraId="55D8C628" w14:textId="77777777" w:rsidR="00D96A90" w:rsidRPr="008C0EBC" w:rsidRDefault="00D96A90" w:rsidP="00D96A90">
      <w:pPr>
        <w:pStyle w:val="Textoindependiente"/>
        <w:spacing w:before="3"/>
        <w:jc w:val="both"/>
        <w:rPr>
          <w:rFonts w:ascii="Arial" w:hAnsi="Arial" w:cs="Arial"/>
          <w:b/>
        </w:rPr>
      </w:pPr>
    </w:p>
    <w:p w14:paraId="7836E264" w14:textId="5740F516" w:rsidR="00D96A90" w:rsidRPr="00D96A90" w:rsidRDefault="00D96A90" w:rsidP="00D96A90">
      <w:pPr>
        <w:pStyle w:val="Textoindependiente"/>
        <w:spacing w:before="1"/>
        <w:ind w:left="-284" w:right="-234"/>
        <w:jc w:val="both"/>
        <w:rPr>
          <w:rFonts w:ascii="Arial" w:hAnsi="Arial" w:cs="Arial"/>
          <w:sz w:val="24"/>
          <w:szCs w:val="24"/>
        </w:rPr>
      </w:pPr>
      <w:r w:rsidRPr="008C0EBC">
        <w:rPr>
          <w:rFonts w:ascii="Arial" w:hAnsi="Arial" w:cs="Arial"/>
          <w:b/>
        </w:rPr>
        <w:t xml:space="preserve"> </w:t>
      </w:r>
      <w:r w:rsidRPr="00D96A90">
        <w:rPr>
          <w:rFonts w:ascii="Arial" w:hAnsi="Arial" w:cs="Arial"/>
          <w:sz w:val="24"/>
          <w:szCs w:val="24"/>
        </w:rPr>
        <w:t>Debido a la limitación del PAC no se pudo realizar la obligación de compromisos por valor de $384.818.095.591,30, representando el 13,53% de las reservas presupuestales de constituidas lo que desbordo las mismas.</w:t>
      </w:r>
    </w:p>
    <w:p w14:paraId="6C980BD0" w14:textId="77777777" w:rsidR="00D96A90" w:rsidRPr="008C0EBC" w:rsidRDefault="00D96A90" w:rsidP="00D96A90">
      <w:pPr>
        <w:pStyle w:val="Textoindependiente"/>
        <w:spacing w:before="3"/>
        <w:jc w:val="both"/>
        <w:rPr>
          <w:rFonts w:ascii="Arial" w:hAnsi="Arial" w:cs="Arial"/>
          <w:b/>
        </w:rPr>
      </w:pPr>
    </w:p>
    <w:p w14:paraId="200A2393" w14:textId="77777777" w:rsidR="00D96A90" w:rsidRPr="004A6385" w:rsidRDefault="00D96A90" w:rsidP="00D96A90">
      <w:pPr>
        <w:ind w:left="-284" w:right="-234"/>
        <w:jc w:val="both"/>
        <w:rPr>
          <w:rFonts w:ascii="Arial" w:hAnsi="Arial" w:cs="Arial"/>
          <w:b/>
          <w:sz w:val="28"/>
          <w:szCs w:val="28"/>
          <w:lang w:val="es-MX"/>
        </w:rPr>
      </w:pPr>
      <w:r w:rsidRPr="004A6385">
        <w:rPr>
          <w:rFonts w:ascii="Arial" w:hAnsi="Arial" w:cs="Arial"/>
          <w:b/>
          <w:sz w:val="28"/>
          <w:szCs w:val="28"/>
          <w:lang w:val="es-MX"/>
        </w:rPr>
        <w:lastRenderedPageBreak/>
        <w:t>60.- CAJA DE SUELDOS DE RETIRO DE LA POLICIA NACIONAL – CASUR.</w:t>
      </w:r>
    </w:p>
    <w:p w14:paraId="40037F5E" w14:textId="77777777" w:rsidR="00D96A90" w:rsidRDefault="00D96A90" w:rsidP="00D96A90">
      <w:pPr>
        <w:ind w:left="-284" w:right="-234"/>
        <w:jc w:val="both"/>
        <w:rPr>
          <w:rFonts w:ascii="Arial" w:hAnsi="Arial" w:cs="Arial"/>
          <w:b/>
          <w:sz w:val="24"/>
          <w:szCs w:val="24"/>
          <w:lang w:val="es-MX"/>
        </w:rPr>
      </w:pPr>
    </w:p>
    <w:p w14:paraId="6139FF21" w14:textId="77777777" w:rsidR="00D96A90" w:rsidRPr="00102005" w:rsidRDefault="00D96A90" w:rsidP="00D96A90">
      <w:pPr>
        <w:pStyle w:val="Textoindependiente"/>
        <w:spacing w:before="3"/>
        <w:ind w:left="-284" w:right="-234"/>
        <w:jc w:val="both"/>
        <w:rPr>
          <w:rFonts w:ascii="Arial" w:hAnsi="Arial" w:cs="Arial"/>
          <w:bCs/>
          <w:sz w:val="24"/>
          <w:szCs w:val="24"/>
          <w:lang w:eastAsia="es-CO"/>
        </w:rPr>
      </w:pPr>
      <w:r w:rsidRPr="00102005">
        <w:rPr>
          <w:rFonts w:ascii="Arial" w:hAnsi="Arial" w:cs="Arial"/>
          <w:b/>
          <w:sz w:val="24"/>
          <w:szCs w:val="24"/>
        </w:rPr>
        <w:t xml:space="preserve">La entidad informa: </w:t>
      </w:r>
      <w:r w:rsidRPr="00102005">
        <w:rPr>
          <w:rFonts w:ascii="Arial" w:hAnsi="Arial" w:cs="Arial"/>
          <w:bCs/>
          <w:sz w:val="24"/>
          <w:szCs w:val="24"/>
          <w:lang w:eastAsia="es-CO"/>
        </w:rPr>
        <w:t>Porcentaje constituido para gastos de inversión:  47</w:t>
      </w:r>
      <w:r w:rsidRPr="00102005">
        <w:rPr>
          <w:rFonts w:ascii="Arial" w:hAnsi="Arial" w:cs="Arial"/>
          <w:b/>
          <w:sz w:val="24"/>
          <w:szCs w:val="24"/>
          <w:lang w:eastAsia="es-CO"/>
        </w:rPr>
        <w:t>.</w:t>
      </w:r>
      <w:r w:rsidRPr="00102005">
        <w:rPr>
          <w:rFonts w:ascii="Arial" w:hAnsi="Arial" w:cs="Arial"/>
          <w:bCs/>
          <w:sz w:val="24"/>
          <w:szCs w:val="24"/>
          <w:lang w:eastAsia="es-CO"/>
        </w:rPr>
        <w:t>23%.</w:t>
      </w:r>
    </w:p>
    <w:p w14:paraId="08FD87DB" w14:textId="77777777" w:rsidR="00D96A90" w:rsidRDefault="00D96A90" w:rsidP="00D96A90">
      <w:pPr>
        <w:ind w:left="-284" w:right="-234"/>
        <w:jc w:val="both"/>
        <w:rPr>
          <w:rFonts w:ascii="Arial" w:hAnsi="Arial" w:cs="Arial"/>
          <w:b/>
          <w:sz w:val="24"/>
          <w:szCs w:val="24"/>
        </w:rPr>
      </w:pPr>
    </w:p>
    <w:p w14:paraId="0151A17F" w14:textId="77777777" w:rsidR="00D96A90" w:rsidRPr="003C23FC" w:rsidRDefault="00D96A90" w:rsidP="00D96A90">
      <w:pPr>
        <w:pStyle w:val="Ttulo6"/>
        <w:tabs>
          <w:tab w:val="left" w:pos="8505"/>
        </w:tabs>
        <w:spacing w:before="0"/>
        <w:ind w:left="-284" w:right="-234" w:firstLine="0"/>
        <w:jc w:val="both"/>
        <w:rPr>
          <w:rFonts w:ascii="Arial" w:hAnsi="Arial" w:cs="Arial"/>
          <w:b/>
          <w:i w:val="0"/>
          <w:iCs w:val="0"/>
          <w:color w:val="auto"/>
          <w:spacing w:val="-2"/>
          <w:sz w:val="28"/>
          <w:szCs w:val="28"/>
        </w:rPr>
      </w:pPr>
      <w:r w:rsidRPr="003C23FC">
        <w:rPr>
          <w:rFonts w:ascii="Arial" w:hAnsi="Arial" w:cs="Arial"/>
          <w:b/>
          <w:i w:val="0"/>
          <w:iCs w:val="0"/>
          <w:color w:val="auto"/>
          <w:sz w:val="28"/>
          <w:szCs w:val="28"/>
          <w:lang w:val="es-MX"/>
        </w:rPr>
        <w:t xml:space="preserve">61.- </w:t>
      </w:r>
      <w:r w:rsidRPr="003C23FC">
        <w:rPr>
          <w:rFonts w:ascii="Arial" w:hAnsi="Arial" w:cs="Arial"/>
          <w:b/>
          <w:i w:val="0"/>
          <w:iCs w:val="0"/>
          <w:color w:val="auto"/>
          <w:sz w:val="28"/>
          <w:szCs w:val="28"/>
        </w:rPr>
        <w:t xml:space="preserve">UNIDAD NACIONAL PARA LA GESTIÓN DEL RIESGO DE DESASTRES - </w:t>
      </w:r>
      <w:r w:rsidRPr="003C23FC">
        <w:rPr>
          <w:rFonts w:ascii="Arial" w:hAnsi="Arial" w:cs="Arial"/>
          <w:b/>
          <w:i w:val="0"/>
          <w:iCs w:val="0"/>
          <w:color w:val="auto"/>
          <w:spacing w:val="-2"/>
          <w:sz w:val="28"/>
          <w:szCs w:val="28"/>
        </w:rPr>
        <w:t>UNGRD.</w:t>
      </w:r>
    </w:p>
    <w:p w14:paraId="33AD3CCF" w14:textId="77777777" w:rsidR="00D96A90" w:rsidRDefault="00D96A90" w:rsidP="00D96A90">
      <w:pPr>
        <w:ind w:left="-284" w:right="-234"/>
        <w:jc w:val="both"/>
        <w:rPr>
          <w:rFonts w:ascii="Arial" w:hAnsi="Arial" w:cs="Arial"/>
          <w:b/>
          <w:sz w:val="24"/>
          <w:szCs w:val="24"/>
        </w:rPr>
      </w:pPr>
    </w:p>
    <w:p w14:paraId="1802A978" w14:textId="77777777" w:rsidR="00D96A90" w:rsidRPr="003C23FC" w:rsidRDefault="00D96A90" w:rsidP="00D96A90">
      <w:pPr>
        <w:pStyle w:val="Textoindependiente"/>
        <w:spacing w:before="3"/>
        <w:ind w:left="-284" w:right="-234"/>
        <w:jc w:val="both"/>
        <w:rPr>
          <w:rFonts w:ascii="Arial" w:hAnsi="Arial" w:cs="Arial"/>
          <w:bCs/>
          <w:sz w:val="24"/>
          <w:szCs w:val="24"/>
        </w:rPr>
      </w:pPr>
      <w:r w:rsidRPr="003C23FC">
        <w:rPr>
          <w:rFonts w:ascii="Arial" w:hAnsi="Arial" w:cs="Arial"/>
          <w:b/>
          <w:sz w:val="24"/>
          <w:szCs w:val="24"/>
        </w:rPr>
        <w:t xml:space="preserve">La entidad informa: NO. </w:t>
      </w:r>
      <w:r w:rsidRPr="003C23FC">
        <w:rPr>
          <w:rFonts w:ascii="Arial" w:hAnsi="Arial" w:cs="Arial"/>
          <w:bCs/>
          <w:sz w:val="24"/>
          <w:szCs w:val="24"/>
        </w:rPr>
        <w:t>Para la vigencia 2024, no se cumplieron los límites para constitución de reservas presupuestales contemplados en el artículo 78, Decreto Ley 111 de 1996, debido a que en gastos de funcionamiento las reservas corresponden en un 90% a transferencias al FNGRD y las reservas de gastos de inversión corresponden al 96% a transferencias realizadas al FNGRD que cuentan con una destinación específica.</w:t>
      </w:r>
    </w:p>
    <w:p w14:paraId="392C1E86" w14:textId="77777777" w:rsidR="00D96A90" w:rsidRDefault="00D96A90" w:rsidP="00D96A90">
      <w:pPr>
        <w:ind w:left="-284" w:right="-234"/>
        <w:jc w:val="both"/>
        <w:rPr>
          <w:rFonts w:ascii="Arial" w:hAnsi="Arial" w:cs="Arial"/>
          <w:b/>
          <w:sz w:val="24"/>
          <w:szCs w:val="24"/>
        </w:rPr>
      </w:pPr>
    </w:p>
    <w:p w14:paraId="6C9BC62B" w14:textId="77777777" w:rsidR="00D96A90" w:rsidRPr="006E15FA" w:rsidRDefault="00D96A90" w:rsidP="00D96A90">
      <w:pPr>
        <w:ind w:left="-284" w:right="-234"/>
        <w:rPr>
          <w:rFonts w:ascii="Arial" w:hAnsi="Arial" w:cs="Arial"/>
          <w:b/>
          <w:sz w:val="28"/>
          <w:szCs w:val="28"/>
          <w:lang w:val="es-MX"/>
        </w:rPr>
      </w:pPr>
      <w:r w:rsidRPr="006E15FA">
        <w:rPr>
          <w:rFonts w:ascii="Arial" w:hAnsi="Arial" w:cs="Arial"/>
          <w:b/>
          <w:sz w:val="28"/>
          <w:szCs w:val="28"/>
        </w:rPr>
        <w:t>63.- AGENCIA DE RENOVACIÓN DE TERRITORIO - ART.</w:t>
      </w:r>
    </w:p>
    <w:p w14:paraId="2F0E4CB8" w14:textId="77777777" w:rsidR="00D96A90" w:rsidRDefault="00D96A90" w:rsidP="00D96A90">
      <w:pPr>
        <w:ind w:left="-284" w:right="-234"/>
        <w:jc w:val="both"/>
        <w:rPr>
          <w:rFonts w:ascii="Arial" w:hAnsi="Arial" w:cs="Arial"/>
          <w:b/>
          <w:sz w:val="24"/>
          <w:szCs w:val="24"/>
        </w:rPr>
      </w:pPr>
    </w:p>
    <w:p w14:paraId="52A1F44D"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Respecto al rubro de inversión, se constituyeron reservas presupuestales por un valor de $20.364.556.483,52 que corresponden al 32.78%. De ese monto, $7.815.570.053,52 (12,58%) corresponden al no pago de obligaciones recibidas a satisfacción por la Entidad, cuyo compromiso debía ser cancelado en diciembre de 2024. No obstante, la ART adelantó las acciones y solicitudes pertinentes sobre el Plan Anual Mensualizado de Caja-PAC ante el Ministerio de Hacienda y Crédito Público, que no fueron atendidas debido a la falta de recursos disponibles en la Dirección del Tesoro Nacional.</w:t>
      </w:r>
    </w:p>
    <w:p w14:paraId="2A26166D" w14:textId="77777777" w:rsidR="00D96A90" w:rsidRPr="00533FD7" w:rsidRDefault="00D96A90" w:rsidP="00D96A90">
      <w:pPr>
        <w:ind w:left="-284" w:right="-234"/>
        <w:jc w:val="both"/>
        <w:rPr>
          <w:rFonts w:ascii="Arial" w:hAnsi="Arial" w:cs="Arial"/>
          <w:sz w:val="24"/>
          <w:szCs w:val="24"/>
          <w:lang w:val="es-MX"/>
        </w:rPr>
      </w:pPr>
    </w:p>
    <w:p w14:paraId="12370F05"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Por esa razón, se procedió a la constitución de la reserva presupuestal, de conformidad con el Artículo 29 del Decreto 1523 de 2024, que indica lo siguiente:</w:t>
      </w:r>
    </w:p>
    <w:p w14:paraId="6547E7DD" w14:textId="77777777" w:rsidR="00D96A90" w:rsidRPr="00533FD7" w:rsidRDefault="00D96A90" w:rsidP="00D96A90">
      <w:pPr>
        <w:ind w:left="-284" w:right="-234"/>
        <w:jc w:val="both"/>
        <w:rPr>
          <w:rFonts w:ascii="Arial" w:hAnsi="Arial" w:cs="Arial"/>
          <w:sz w:val="24"/>
          <w:szCs w:val="24"/>
          <w:lang w:val="es-MX"/>
        </w:rPr>
      </w:pPr>
    </w:p>
    <w:p w14:paraId="1296FA35" w14:textId="77777777" w:rsidR="00D96A90" w:rsidRPr="00533FD7" w:rsidRDefault="00D96A90" w:rsidP="00D96A90">
      <w:pPr>
        <w:ind w:left="708" w:right="-234"/>
        <w:jc w:val="both"/>
        <w:rPr>
          <w:rFonts w:ascii="Arial" w:hAnsi="Arial" w:cs="Arial"/>
          <w:lang w:val="es-MX"/>
        </w:rPr>
      </w:pPr>
      <w:r w:rsidRPr="00533FD7">
        <w:rPr>
          <w:rFonts w:ascii="Arial" w:hAnsi="Arial" w:cs="Arial"/>
          <w:lang w:val="es-MX"/>
        </w:rPr>
        <w:t>(…) Para las cuentas por pagar que se constituyan a 31 de diciembre de 2024 se debe contar con el correspondiente programa anual mensualizado de caja de la vigencia, de lo contrario deberán hacerse los ajustes en los registros y constituir las correspondientes reservas presupuestales. Igual procedimiento se deberá cumplir en la vigencia 2025.</w:t>
      </w:r>
    </w:p>
    <w:p w14:paraId="45096C77" w14:textId="77777777" w:rsidR="00D96A90" w:rsidRPr="00533FD7" w:rsidRDefault="00D96A90" w:rsidP="00D96A90">
      <w:pPr>
        <w:jc w:val="both"/>
        <w:rPr>
          <w:rFonts w:ascii="Arial" w:hAnsi="Arial" w:cs="Arial"/>
          <w:sz w:val="24"/>
          <w:szCs w:val="24"/>
          <w:lang w:val="es-MX"/>
        </w:rPr>
      </w:pPr>
    </w:p>
    <w:p w14:paraId="1592E753"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Además, la reserva por valor de $12.548.986.430 (20,20% restante del presupuesto de inversión), se constituyó por circunstancias de fuerza mayor, es decir, hechos exógenos de carácter imprevisible e irresistible a las partes contratantes, que dieron lugar a la inejecución de las obligaciones derivadas de los contratos. En materia contractual, esos hechos se traducen en la imposibilidad absoluta para el contratante o contratista de cumplir sus obligaciones en las condiciones o plazos acordados, para ello, las razones principales sobre las cuales no se pudo lograr la correcta ejecución de los contratos se detallan a continuación:</w:t>
      </w:r>
    </w:p>
    <w:p w14:paraId="3FC129AD" w14:textId="77777777" w:rsidR="00D96A90" w:rsidRPr="00533FD7" w:rsidRDefault="00D96A90" w:rsidP="00D96A90">
      <w:pPr>
        <w:jc w:val="both"/>
        <w:rPr>
          <w:rFonts w:ascii="Arial" w:hAnsi="Arial" w:cs="Arial"/>
          <w:sz w:val="24"/>
          <w:szCs w:val="24"/>
          <w:lang w:val="es-MX"/>
        </w:rPr>
      </w:pPr>
    </w:p>
    <w:p w14:paraId="7068B979" w14:textId="77777777" w:rsidR="00D96A90" w:rsidRPr="00533FD7" w:rsidRDefault="00D96A90" w:rsidP="00CB6055">
      <w:pPr>
        <w:pStyle w:val="Prrafodelista"/>
        <w:numPr>
          <w:ilvl w:val="0"/>
          <w:numId w:val="40"/>
        </w:numPr>
        <w:spacing w:before="1"/>
        <w:ind w:right="-234"/>
        <w:jc w:val="both"/>
        <w:rPr>
          <w:sz w:val="24"/>
          <w:szCs w:val="24"/>
          <w:lang w:val="es-MX"/>
        </w:rPr>
      </w:pPr>
      <w:r w:rsidRPr="00533FD7">
        <w:rPr>
          <w:sz w:val="24"/>
          <w:szCs w:val="24"/>
          <w:lang w:val="es-MX"/>
        </w:rPr>
        <w:t xml:space="preserve">La entidad adelantó la contratación para la adquisición y entrega de ambulancias terrestres (TAB) para las Subregiones PDET en el marco de los planes de acción para la transformación regional - PATR. </w:t>
      </w:r>
    </w:p>
    <w:p w14:paraId="7CA038CF" w14:textId="77777777" w:rsidR="00D96A90" w:rsidRPr="00533FD7" w:rsidRDefault="00D96A90" w:rsidP="00D96A90">
      <w:pPr>
        <w:ind w:right="-234"/>
        <w:jc w:val="both"/>
        <w:rPr>
          <w:rFonts w:ascii="Arial" w:hAnsi="Arial" w:cs="Arial"/>
          <w:sz w:val="24"/>
          <w:szCs w:val="24"/>
          <w:lang w:val="es-MX"/>
        </w:rPr>
      </w:pPr>
    </w:p>
    <w:p w14:paraId="29B06618"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 xml:space="preserve">En el desarrollo de los objetos contractuales, se presentaron circunstancias de desabastecimiento del mercado imputable a un tercero como lo es el importador, que configuraron hechos extraños a la ejecución de los contratos definidos bajo la figura de la fuerza mayor en la modalidad de la teoría de la imprevisión, que se constituye en sí misma una causal de admisión de prórrogas de los contratos de conformidad a las previsiones jurisprudenciales. En este sentido, se presentaron </w:t>
      </w:r>
      <w:r w:rsidRPr="00533FD7">
        <w:rPr>
          <w:rFonts w:ascii="Arial" w:hAnsi="Arial" w:cs="Arial"/>
          <w:sz w:val="24"/>
          <w:szCs w:val="24"/>
          <w:lang w:val="es-MX"/>
        </w:rPr>
        <w:lastRenderedPageBreak/>
        <w:t>demoras en la importación de los chasises y vehículos, lo cual no permitió el trabajo de fabricación de las ambulancias y elementos de dotación en los tiempos programados para la ejecución y entrega de sus obligaciones.</w:t>
      </w:r>
    </w:p>
    <w:p w14:paraId="6F497B29" w14:textId="77777777" w:rsidR="00D96A90" w:rsidRPr="00533FD7" w:rsidRDefault="00D96A90" w:rsidP="00D96A90">
      <w:pPr>
        <w:jc w:val="both"/>
        <w:rPr>
          <w:rFonts w:ascii="Arial" w:hAnsi="Arial" w:cs="Arial"/>
          <w:sz w:val="24"/>
          <w:szCs w:val="24"/>
          <w:lang w:val="es-MX"/>
        </w:rPr>
      </w:pPr>
    </w:p>
    <w:p w14:paraId="7106C8EE"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Con el fin de realizar seguimiento a esos contratos, se solicitaron avances en el proceso de adquisición de los vehículos y se solicitó el apoyo del Ministerio de Transporte. Además, se tuvieron abiertos los canales de comunicación con los contratistas, realizando reuniones de actualización de la ejecución y dando continuidad al seguimiento de la importación de los vehículos.</w:t>
      </w:r>
    </w:p>
    <w:p w14:paraId="2C57482D" w14:textId="77777777" w:rsidR="00D96A90" w:rsidRPr="00533FD7" w:rsidRDefault="00D96A90" w:rsidP="00D96A90">
      <w:pPr>
        <w:jc w:val="both"/>
        <w:rPr>
          <w:rFonts w:ascii="Arial" w:hAnsi="Arial" w:cs="Arial"/>
          <w:sz w:val="24"/>
          <w:szCs w:val="24"/>
          <w:lang w:val="es-MX"/>
        </w:rPr>
      </w:pPr>
    </w:p>
    <w:p w14:paraId="2B78A79D" w14:textId="77777777" w:rsidR="00D96A90" w:rsidRPr="00D96A90" w:rsidRDefault="00D96A90" w:rsidP="00CB6055">
      <w:pPr>
        <w:pStyle w:val="Prrafodelista"/>
        <w:numPr>
          <w:ilvl w:val="0"/>
          <w:numId w:val="40"/>
        </w:numPr>
        <w:spacing w:before="1"/>
        <w:ind w:right="-234"/>
        <w:jc w:val="both"/>
        <w:rPr>
          <w:rFonts w:ascii="Arial" w:hAnsi="Arial" w:cs="Arial"/>
          <w:sz w:val="24"/>
          <w:szCs w:val="24"/>
          <w:lang w:val="es-MX"/>
        </w:rPr>
      </w:pPr>
      <w:r w:rsidRPr="00D96A90">
        <w:rPr>
          <w:rFonts w:ascii="Arial" w:hAnsi="Arial" w:cs="Arial"/>
          <w:sz w:val="24"/>
          <w:szCs w:val="24"/>
          <w:lang w:val="es-MX"/>
        </w:rPr>
        <w:t>Igualmente, se adelantó la contratación para la adquisición y entrega de ambulancias fluviales de transporte asistencial básico (TAB dotadas) y transporte escolar fluvial dotado, para las subregiones PDET, en el marco de los PATR.</w:t>
      </w:r>
    </w:p>
    <w:p w14:paraId="4EC2ED87" w14:textId="77777777" w:rsidR="00D96A90" w:rsidRPr="00533FD7" w:rsidRDefault="00D96A90" w:rsidP="00D96A90">
      <w:pPr>
        <w:jc w:val="both"/>
        <w:rPr>
          <w:rFonts w:ascii="Arial" w:hAnsi="Arial" w:cs="Arial"/>
          <w:sz w:val="24"/>
          <w:szCs w:val="24"/>
          <w:lang w:val="es-MX"/>
        </w:rPr>
      </w:pPr>
    </w:p>
    <w:p w14:paraId="271F366D"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 xml:space="preserve">En ese caso, el contratista expuso las razones por las cuales se presentaron demoras en las etapas de fabricación y matrícula de las embarcaciones, por lo que fue necesario realizar modificaciones  en el cronograma de ejecución ante hechos de fuerza mayor como condiciones atmosféricas adversas señaladas por el Ideam en su Boletín No. 324 del 19 de noviembre de 2024, así como lluvias que no permitieron avanzar en el proceso de pintura, pues para esa tarea se requiere un nivel de temperatura y humedad especial, que permita el secado indicado. </w:t>
      </w:r>
    </w:p>
    <w:p w14:paraId="7377BA07" w14:textId="77777777" w:rsidR="00D96A90" w:rsidRPr="00533FD7" w:rsidRDefault="00D96A90" w:rsidP="00D96A90">
      <w:pPr>
        <w:ind w:left="-284" w:right="-234"/>
        <w:jc w:val="both"/>
        <w:rPr>
          <w:rFonts w:ascii="Arial" w:hAnsi="Arial" w:cs="Arial"/>
          <w:sz w:val="24"/>
          <w:szCs w:val="24"/>
          <w:lang w:val="es-MX"/>
        </w:rPr>
      </w:pPr>
    </w:p>
    <w:p w14:paraId="532894DB" w14:textId="77777777" w:rsidR="00D96A90" w:rsidRPr="00533FD7" w:rsidRDefault="00D96A90" w:rsidP="00D96A90">
      <w:pPr>
        <w:ind w:left="-284" w:right="-234"/>
        <w:jc w:val="both"/>
        <w:rPr>
          <w:rFonts w:ascii="Arial" w:hAnsi="Arial" w:cs="Arial"/>
          <w:sz w:val="24"/>
          <w:szCs w:val="24"/>
          <w:lang w:val="es-MX"/>
        </w:rPr>
      </w:pPr>
      <w:r w:rsidRPr="00533FD7">
        <w:rPr>
          <w:rFonts w:ascii="Arial" w:hAnsi="Arial" w:cs="Arial"/>
          <w:sz w:val="24"/>
          <w:szCs w:val="24"/>
          <w:lang w:val="es-MX"/>
        </w:rPr>
        <w:t>Adicionalmente, se evidenciaron otros eventos como: i) el largo tiempo que tomó la autoridad aduanera en Leticia para el trámite de nacionalización del material para la construcción de las canoas y ii) capacidad limitada en el transporte aéreo para las cantidades y dimensiones de carga hacia Bogotá, debido a la priorización del transporte de alimentos y elementos de primera necesidad por vía aérea, por esta razón se optó por fraccionar los envíos en varios vuelos retrasando los tiempos de inicio de la producción.</w:t>
      </w:r>
    </w:p>
    <w:p w14:paraId="56E36834" w14:textId="77777777" w:rsidR="00D96A90" w:rsidRDefault="00D96A90" w:rsidP="00D96A90">
      <w:pPr>
        <w:ind w:left="-284" w:right="-234"/>
        <w:jc w:val="both"/>
        <w:rPr>
          <w:rFonts w:ascii="Arial" w:hAnsi="Arial" w:cs="Arial"/>
          <w:b/>
          <w:sz w:val="24"/>
          <w:szCs w:val="24"/>
        </w:rPr>
      </w:pPr>
    </w:p>
    <w:p w14:paraId="6D217A24" w14:textId="77777777" w:rsidR="00D96A90" w:rsidRPr="007E4447" w:rsidRDefault="00D96A90" w:rsidP="00D96A90">
      <w:pPr>
        <w:ind w:left="-284" w:right="-234"/>
        <w:jc w:val="both"/>
        <w:rPr>
          <w:rFonts w:ascii="Arial" w:hAnsi="Arial" w:cs="Arial"/>
          <w:b/>
          <w:sz w:val="28"/>
          <w:szCs w:val="28"/>
          <w:lang w:val="es-MX"/>
        </w:rPr>
      </w:pPr>
      <w:r w:rsidRPr="007E4447">
        <w:rPr>
          <w:rFonts w:ascii="Arial" w:hAnsi="Arial" w:cs="Arial"/>
          <w:b/>
          <w:sz w:val="28"/>
          <w:szCs w:val="28"/>
          <w:lang w:val="es-MX"/>
        </w:rPr>
        <w:t>67.- CONSEJO NACIONAL ELECTORAL - CNE.</w:t>
      </w:r>
    </w:p>
    <w:p w14:paraId="38579C75" w14:textId="77777777" w:rsidR="00D96A90" w:rsidRDefault="00D96A90" w:rsidP="00D96A90">
      <w:pPr>
        <w:pStyle w:val="Textoindependiente"/>
        <w:spacing w:before="3"/>
        <w:ind w:left="-284" w:right="-234"/>
        <w:jc w:val="both"/>
        <w:rPr>
          <w:b/>
        </w:rPr>
      </w:pPr>
    </w:p>
    <w:p w14:paraId="141A0534" w14:textId="77777777" w:rsidR="00D96A90" w:rsidRPr="00467F99" w:rsidRDefault="00D96A90" w:rsidP="00D96A90">
      <w:pPr>
        <w:pStyle w:val="Textoindependiente"/>
        <w:spacing w:before="3"/>
        <w:ind w:left="-284" w:right="-234"/>
        <w:jc w:val="both"/>
        <w:rPr>
          <w:rFonts w:ascii="Arial" w:hAnsi="Arial" w:cs="Arial"/>
          <w:bCs/>
          <w:sz w:val="24"/>
          <w:szCs w:val="24"/>
        </w:rPr>
      </w:pPr>
      <w:r w:rsidRPr="00467F99">
        <w:rPr>
          <w:rFonts w:ascii="Arial" w:hAnsi="Arial" w:cs="Arial"/>
          <w:b/>
          <w:sz w:val="24"/>
          <w:szCs w:val="24"/>
        </w:rPr>
        <w:t xml:space="preserve">La entidad informa: </w:t>
      </w:r>
      <w:r w:rsidRPr="00467F99">
        <w:rPr>
          <w:rFonts w:ascii="Arial" w:hAnsi="Arial" w:cs="Arial"/>
          <w:bCs/>
          <w:sz w:val="24"/>
          <w:szCs w:val="24"/>
        </w:rPr>
        <w:t>El Consejo Nacional Electoral constituyó al cierre de la vigencia 2024, un rezago presupuestal por valor de $34.713.810.530,84, de los cuales $40.460.585 corresponden a Cuentas por Pagar y $34.673.349.945,84 a la reserva presupuestal. De acuerdo a lo anterior, el porcentaje de constitución del rezago presupuestal en Funcionamiento corresponde al 13%.</w:t>
      </w:r>
    </w:p>
    <w:p w14:paraId="4546676B" w14:textId="77777777" w:rsidR="00D96A90" w:rsidRPr="00467F99" w:rsidRDefault="00D96A90" w:rsidP="00D96A90">
      <w:pPr>
        <w:pStyle w:val="Textoindependiente"/>
        <w:spacing w:before="3"/>
        <w:ind w:left="-284" w:right="-234"/>
        <w:jc w:val="both"/>
        <w:rPr>
          <w:rFonts w:ascii="Arial" w:hAnsi="Arial" w:cs="Arial"/>
          <w:bCs/>
          <w:sz w:val="24"/>
          <w:szCs w:val="24"/>
        </w:rPr>
      </w:pPr>
    </w:p>
    <w:p w14:paraId="38FA514F" w14:textId="77777777" w:rsidR="00D96A90" w:rsidRPr="00467F99" w:rsidRDefault="00D96A90" w:rsidP="00D96A90">
      <w:pPr>
        <w:pStyle w:val="Textoindependiente"/>
        <w:spacing w:before="3"/>
        <w:ind w:left="-284" w:right="-234"/>
        <w:jc w:val="both"/>
        <w:rPr>
          <w:rFonts w:ascii="Arial" w:hAnsi="Arial" w:cs="Arial"/>
          <w:bCs/>
          <w:sz w:val="24"/>
          <w:szCs w:val="24"/>
        </w:rPr>
      </w:pPr>
      <w:r w:rsidRPr="00467F99">
        <w:rPr>
          <w:rFonts w:ascii="Arial" w:hAnsi="Arial" w:cs="Arial"/>
          <w:bCs/>
          <w:sz w:val="24"/>
          <w:szCs w:val="24"/>
        </w:rPr>
        <w:t>Dicho porcentaje de reserva presupuestal se presenta, toda vez que, el día 30 de diciembre de 2024 el Ministerio de Hacienda y Crédito Público, notificó al CNE mediante radicado No. 2-2024-073612, la aprobación de recursos adicionales por valor de $41.819.176.730,00 para el rubro de Financiación de Partidos y Campañas Electorales, con el fin de cubrir gastos inherentes a la Reposición de Gastos de Campañas, elecciones de autoridades locales 2023, 2019, 2015, Consultas 2023, Congreso 2022 y elecciones Atípicas, de los Partidos, Movimientos Políticos y Grupos Significativos de Ciudadanos de los cuales se comprometieron $25.425.275.338,96.</w:t>
      </w:r>
    </w:p>
    <w:p w14:paraId="760E0A94" w14:textId="77777777" w:rsidR="00D96A90" w:rsidRPr="00467F99" w:rsidRDefault="00D96A90" w:rsidP="00D96A90">
      <w:pPr>
        <w:pStyle w:val="Textoindependiente"/>
        <w:spacing w:before="3"/>
        <w:ind w:left="-284" w:right="-234"/>
        <w:jc w:val="both"/>
        <w:rPr>
          <w:rFonts w:ascii="Arial" w:hAnsi="Arial" w:cs="Arial"/>
          <w:b/>
          <w:sz w:val="24"/>
          <w:szCs w:val="24"/>
        </w:rPr>
      </w:pPr>
    </w:p>
    <w:p w14:paraId="13B8C987" w14:textId="77777777" w:rsidR="00D96A90" w:rsidRPr="00467F99" w:rsidRDefault="00D96A90" w:rsidP="00D96A90">
      <w:pPr>
        <w:pStyle w:val="Textoindependiente"/>
        <w:spacing w:before="3"/>
        <w:ind w:left="-284" w:right="-234"/>
        <w:jc w:val="both"/>
        <w:rPr>
          <w:rFonts w:ascii="Arial" w:hAnsi="Arial" w:cs="Arial"/>
          <w:sz w:val="24"/>
          <w:szCs w:val="24"/>
        </w:rPr>
      </w:pPr>
      <w:r w:rsidRPr="00467F99">
        <w:rPr>
          <w:rFonts w:ascii="Arial" w:hAnsi="Arial" w:cs="Arial"/>
          <w:sz w:val="24"/>
          <w:szCs w:val="24"/>
        </w:rPr>
        <w:t>Ahora bien, teniendo en cuenta la fecha de asignación de los recursos, no se tenía disponibilidad de PAC para la constitución de cuentas por pagar, obteniendo como resultado un incremento en el porcentaje de constitución de reserva presupuestal a cierre de la vigencia 2024.</w:t>
      </w:r>
    </w:p>
    <w:p w14:paraId="3317F9F7" w14:textId="77777777" w:rsidR="00D96A90" w:rsidRPr="00467F99" w:rsidRDefault="00D96A90" w:rsidP="00D96A90">
      <w:pPr>
        <w:pStyle w:val="Textoindependiente"/>
        <w:spacing w:before="3"/>
        <w:ind w:left="-284" w:right="-234"/>
        <w:jc w:val="both"/>
        <w:rPr>
          <w:rFonts w:ascii="Arial" w:hAnsi="Arial" w:cs="Arial"/>
          <w:sz w:val="24"/>
          <w:szCs w:val="24"/>
        </w:rPr>
      </w:pPr>
    </w:p>
    <w:p w14:paraId="39DD3BDE" w14:textId="77777777" w:rsidR="00D96A90" w:rsidRPr="00467F99" w:rsidRDefault="00D96A90" w:rsidP="00D96A90">
      <w:pPr>
        <w:pStyle w:val="Textoindependiente"/>
        <w:spacing w:before="3"/>
        <w:ind w:left="-284" w:right="-234"/>
        <w:jc w:val="both"/>
        <w:rPr>
          <w:rFonts w:ascii="Arial" w:hAnsi="Arial" w:cs="Arial"/>
          <w:bCs/>
          <w:sz w:val="24"/>
          <w:szCs w:val="24"/>
        </w:rPr>
      </w:pPr>
      <w:r w:rsidRPr="00467F99">
        <w:rPr>
          <w:rFonts w:ascii="Arial" w:hAnsi="Arial" w:cs="Arial"/>
          <w:bCs/>
          <w:sz w:val="24"/>
          <w:szCs w:val="24"/>
        </w:rPr>
        <w:t xml:space="preserve">Así mismo, al 31 de diciembre de 2024, los contratistas y proveedores no remitieron la completitud de documentos requeridos para proceder con el pago correspondiente y por el termino de ejecución </w:t>
      </w:r>
      <w:r w:rsidRPr="00467F99">
        <w:rPr>
          <w:rFonts w:ascii="Arial" w:hAnsi="Arial" w:cs="Arial"/>
          <w:bCs/>
          <w:sz w:val="24"/>
          <w:szCs w:val="24"/>
        </w:rPr>
        <w:lastRenderedPageBreak/>
        <w:t>de los contratos, los supervisores no alcanzaron a realizar las validaciones de la entrega a satisfacción de los bienes y servicios contratados. Lo anterior, teniendo en cuenta que la verificación y aprobación de la documentación resulta importante para asegurar la calidad y conformidad de los bienes y servicios recibidos.</w:t>
      </w:r>
    </w:p>
    <w:p w14:paraId="774E83E5" w14:textId="77777777" w:rsidR="00D96A90" w:rsidRDefault="00D96A90" w:rsidP="00D96A90">
      <w:pPr>
        <w:ind w:left="-284" w:right="-234"/>
        <w:jc w:val="both"/>
        <w:rPr>
          <w:rFonts w:ascii="Arial" w:hAnsi="Arial" w:cs="Arial"/>
          <w:b/>
          <w:sz w:val="24"/>
          <w:szCs w:val="24"/>
        </w:rPr>
      </w:pPr>
    </w:p>
    <w:p w14:paraId="1A26D6A3" w14:textId="77777777" w:rsidR="00D96A90" w:rsidRPr="00C911EA" w:rsidRDefault="00D96A90" w:rsidP="00D96A90">
      <w:pPr>
        <w:ind w:left="-284" w:right="-234"/>
        <w:jc w:val="both"/>
        <w:rPr>
          <w:rFonts w:ascii="Arial" w:hAnsi="Arial" w:cs="Arial"/>
          <w:b/>
          <w:sz w:val="28"/>
          <w:szCs w:val="28"/>
          <w:lang w:val="es-MX"/>
        </w:rPr>
      </w:pPr>
      <w:r w:rsidRPr="00C911EA">
        <w:rPr>
          <w:rFonts w:ascii="Arial" w:hAnsi="Arial" w:cs="Arial"/>
          <w:b/>
          <w:sz w:val="28"/>
          <w:szCs w:val="28"/>
          <w:lang w:val="es-MX"/>
        </w:rPr>
        <w:t xml:space="preserve">68.- PROCURADURÍA GENERAL DE LA NACIÓN. </w:t>
      </w:r>
    </w:p>
    <w:p w14:paraId="5F04FB29" w14:textId="77777777" w:rsidR="00D96A90" w:rsidRDefault="00D96A90" w:rsidP="00D96A90">
      <w:pPr>
        <w:ind w:left="-284" w:right="-234"/>
        <w:jc w:val="both"/>
        <w:rPr>
          <w:rFonts w:ascii="Arial" w:hAnsi="Arial" w:cs="Arial"/>
          <w:b/>
          <w:sz w:val="24"/>
          <w:szCs w:val="24"/>
        </w:rPr>
      </w:pPr>
    </w:p>
    <w:p w14:paraId="5D244CD4" w14:textId="77777777" w:rsidR="00D96A90" w:rsidRPr="00EA7B47" w:rsidRDefault="00D96A90" w:rsidP="00D96A90">
      <w:pPr>
        <w:pStyle w:val="Textoindependiente"/>
        <w:spacing w:before="3"/>
        <w:ind w:left="-284" w:right="-234"/>
        <w:jc w:val="both"/>
        <w:rPr>
          <w:rFonts w:ascii="Arial" w:hAnsi="Arial" w:cs="Arial"/>
          <w:bCs/>
          <w:sz w:val="24"/>
          <w:szCs w:val="24"/>
        </w:rPr>
      </w:pPr>
      <w:r w:rsidRPr="00EA7B47">
        <w:rPr>
          <w:rFonts w:ascii="Arial" w:hAnsi="Arial" w:cs="Arial"/>
          <w:b/>
          <w:sz w:val="24"/>
          <w:szCs w:val="24"/>
        </w:rPr>
        <w:t xml:space="preserve">La entidad informa: </w:t>
      </w:r>
      <w:r w:rsidRPr="00EA7B47">
        <w:rPr>
          <w:rFonts w:ascii="Arial" w:hAnsi="Arial" w:cs="Arial"/>
          <w:bCs/>
          <w:sz w:val="24"/>
          <w:szCs w:val="24"/>
        </w:rPr>
        <w:t>Las reservas por gastos de inversión representan el 47,85%.</w:t>
      </w:r>
    </w:p>
    <w:p w14:paraId="54A4414C" w14:textId="77777777" w:rsidR="00D96A90" w:rsidRPr="00EA7B47" w:rsidRDefault="00D96A90" w:rsidP="00D96A90">
      <w:pPr>
        <w:pStyle w:val="Textoindependiente"/>
        <w:spacing w:before="3"/>
        <w:ind w:left="-284" w:right="-234"/>
        <w:jc w:val="both"/>
        <w:rPr>
          <w:rFonts w:ascii="Arial" w:hAnsi="Arial" w:cs="Arial"/>
          <w:bCs/>
          <w:sz w:val="24"/>
          <w:szCs w:val="24"/>
        </w:rPr>
      </w:pPr>
    </w:p>
    <w:p w14:paraId="3C69EA1C" w14:textId="77777777" w:rsidR="00D96A90" w:rsidRPr="00EA7B47" w:rsidRDefault="00D96A90" w:rsidP="00D96A90">
      <w:pPr>
        <w:ind w:left="-284" w:right="-234"/>
        <w:jc w:val="both"/>
        <w:rPr>
          <w:rFonts w:ascii="Arial" w:hAnsi="Arial" w:cs="Arial"/>
          <w:bCs/>
          <w:sz w:val="24"/>
          <w:szCs w:val="24"/>
        </w:rPr>
      </w:pPr>
      <w:r w:rsidRPr="00EA7B47">
        <w:rPr>
          <w:rFonts w:ascii="Arial" w:hAnsi="Arial" w:cs="Arial"/>
          <w:bCs/>
          <w:sz w:val="24"/>
          <w:szCs w:val="24"/>
        </w:rPr>
        <w:t xml:space="preserve">Del total de reservas presupuestales de inversión, el 28,53% </w:t>
      </w:r>
      <w:r w:rsidRPr="00EA7B47">
        <w:rPr>
          <w:rFonts w:ascii="Arial" w:hAnsi="Arial" w:cs="Arial"/>
          <w:b/>
          <w:bCs/>
          <w:sz w:val="24"/>
          <w:szCs w:val="24"/>
          <w:u w:val="single"/>
        </w:rPr>
        <w:t>se debe a la falta de PAC</w:t>
      </w:r>
      <w:r w:rsidRPr="00EA7B47">
        <w:rPr>
          <w:rFonts w:ascii="Arial" w:hAnsi="Arial" w:cs="Arial"/>
          <w:bCs/>
          <w:sz w:val="24"/>
          <w:szCs w:val="24"/>
        </w:rPr>
        <w:t>. Por su parte, una parte del 19,33% restante obedece a la no aprobación de las vigencias futuras en gastos de inversión.</w:t>
      </w:r>
    </w:p>
    <w:p w14:paraId="4647046C" w14:textId="77777777" w:rsidR="00D96A90" w:rsidRPr="00EA7B47" w:rsidRDefault="00D96A90" w:rsidP="00D96A90">
      <w:pPr>
        <w:pStyle w:val="Textoindependiente"/>
        <w:spacing w:before="3"/>
        <w:ind w:left="-284" w:right="-234"/>
        <w:jc w:val="both"/>
        <w:rPr>
          <w:rFonts w:ascii="Arial" w:hAnsi="Arial" w:cs="Arial"/>
          <w:bCs/>
          <w:sz w:val="24"/>
          <w:szCs w:val="24"/>
        </w:rPr>
      </w:pPr>
    </w:p>
    <w:p w14:paraId="2D816B51" w14:textId="77777777" w:rsidR="00D96A90" w:rsidRPr="00EA7B47" w:rsidRDefault="00D96A90" w:rsidP="00D96A90">
      <w:pPr>
        <w:pStyle w:val="Textoindependiente"/>
        <w:spacing w:before="3"/>
        <w:ind w:left="-284" w:right="-234"/>
        <w:jc w:val="both"/>
        <w:rPr>
          <w:rFonts w:ascii="Arial" w:hAnsi="Arial" w:cs="Arial"/>
          <w:bCs/>
          <w:sz w:val="24"/>
          <w:szCs w:val="24"/>
        </w:rPr>
      </w:pPr>
      <w:r w:rsidRPr="00EA7B47">
        <w:rPr>
          <w:rFonts w:ascii="Arial" w:hAnsi="Arial" w:cs="Arial"/>
          <w:bCs/>
          <w:sz w:val="24"/>
          <w:szCs w:val="24"/>
        </w:rPr>
        <w:t>Las vigencias futuras son uno de los mecanismos utilizados para evitar la constitución de reservas presupuestales. En este sentido, la no aprobación de las vigencias futuras en gastos de inversión ha contribuido a la generación de reservas, especialmente debido a las restricciones establecidas en las circulares 023 del 25 de julio de 2024 y 033 del 16 de octubre de 2024. Estas circulares limitaron el trámite de vigencias futuras que afectaran el gasto en la vigencia 2025, hasta la definición del presupuesto general para dicho año.</w:t>
      </w:r>
    </w:p>
    <w:p w14:paraId="58FED239" w14:textId="77777777" w:rsidR="00D96A90" w:rsidRPr="00EA7B47" w:rsidRDefault="00D96A90" w:rsidP="00D96A90">
      <w:pPr>
        <w:pStyle w:val="Textoindependiente"/>
        <w:spacing w:before="3"/>
        <w:ind w:left="-284" w:right="-234"/>
        <w:jc w:val="both"/>
        <w:rPr>
          <w:rFonts w:ascii="Arial" w:hAnsi="Arial" w:cs="Arial"/>
          <w:b/>
          <w:sz w:val="24"/>
          <w:szCs w:val="24"/>
        </w:rPr>
      </w:pPr>
    </w:p>
    <w:p w14:paraId="42D3BFB4" w14:textId="77777777" w:rsidR="00D96A90" w:rsidRPr="00CE224C" w:rsidRDefault="00D96A90" w:rsidP="00D96A90">
      <w:pPr>
        <w:ind w:left="-284" w:right="-234"/>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506E44EA" w14:textId="77777777" w:rsidR="00D96A90" w:rsidRDefault="00D96A90" w:rsidP="00D96A90">
      <w:pPr>
        <w:ind w:left="-284" w:right="-234"/>
        <w:jc w:val="both"/>
        <w:rPr>
          <w:rFonts w:ascii="Arial" w:hAnsi="Arial" w:cs="Arial"/>
          <w:b/>
          <w:sz w:val="24"/>
          <w:szCs w:val="24"/>
        </w:rPr>
      </w:pPr>
    </w:p>
    <w:p w14:paraId="3156ADC2" w14:textId="77777777" w:rsidR="00D96A90" w:rsidRPr="0058394A" w:rsidRDefault="00D96A90" w:rsidP="00D96A90">
      <w:pPr>
        <w:pStyle w:val="Textoindependiente"/>
        <w:spacing w:before="3"/>
        <w:ind w:left="-284" w:right="-234"/>
        <w:jc w:val="both"/>
        <w:rPr>
          <w:rFonts w:ascii="Arial" w:eastAsiaTheme="minorHAnsi" w:hAnsi="Arial" w:cs="Arial"/>
          <w:sz w:val="24"/>
          <w:szCs w:val="24"/>
          <w:lang w:val="es-CO"/>
        </w:rPr>
      </w:pPr>
      <w:r w:rsidRPr="0058394A">
        <w:rPr>
          <w:rFonts w:ascii="Arial" w:hAnsi="Arial" w:cs="Arial"/>
          <w:b/>
          <w:sz w:val="24"/>
          <w:szCs w:val="24"/>
        </w:rPr>
        <w:t xml:space="preserve">La entidad informa: </w:t>
      </w:r>
      <w:r w:rsidRPr="0058394A">
        <w:rPr>
          <w:rFonts w:ascii="Arial" w:eastAsiaTheme="minorHAnsi" w:hAnsi="Arial" w:cs="Arial"/>
          <w:sz w:val="24"/>
          <w:szCs w:val="24"/>
          <w:lang w:val="es-CO"/>
        </w:rPr>
        <w:t>Para los gastos de inversión no se dio el cumplimiento del 15% sobre el límite para constituir la reserva presupuestal, toda vez que durante la vigencia 2024 el Ministerio de Hacienda y Crédito Público, no aprobó PAC para pagos de recurso nación por instrucciones del CONFIS. Lo anterior conllevo a que efectivamente el porcentaje de constitución de reserva presupuestal fuese del 26% lo que sin duda supera el límite establecido en el Decreto.</w:t>
      </w:r>
    </w:p>
    <w:p w14:paraId="6554C2C4" w14:textId="77777777" w:rsidR="00D96A90" w:rsidRDefault="00D96A90" w:rsidP="00D96A90">
      <w:pPr>
        <w:ind w:left="-284" w:right="-234"/>
        <w:jc w:val="both"/>
        <w:rPr>
          <w:rFonts w:ascii="Arial" w:hAnsi="Arial" w:cs="Arial"/>
          <w:b/>
          <w:sz w:val="24"/>
          <w:szCs w:val="24"/>
        </w:rPr>
      </w:pPr>
    </w:p>
    <w:p w14:paraId="7FC0CA7E" w14:textId="77777777" w:rsidR="00D96A90" w:rsidRPr="001D0D31" w:rsidRDefault="00D96A90" w:rsidP="00D96A90">
      <w:pPr>
        <w:ind w:left="-284" w:right="-234"/>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22253631" w14:textId="77777777" w:rsidR="00D96A90" w:rsidRPr="001D0D31" w:rsidRDefault="00D96A90" w:rsidP="00D96A90">
      <w:pPr>
        <w:ind w:left="-284" w:right="-234"/>
        <w:jc w:val="both"/>
        <w:rPr>
          <w:rFonts w:ascii="Arial" w:hAnsi="Arial" w:cs="Arial"/>
          <w:b/>
          <w:sz w:val="28"/>
          <w:szCs w:val="28"/>
          <w:lang w:val="es-MX"/>
        </w:rPr>
      </w:pPr>
    </w:p>
    <w:p w14:paraId="089CB75E" w14:textId="77777777" w:rsidR="00D96A90" w:rsidRPr="00575D52" w:rsidRDefault="00D96A90" w:rsidP="00D96A90">
      <w:pPr>
        <w:pStyle w:val="Textoindependiente"/>
        <w:spacing w:before="3"/>
        <w:ind w:left="-284" w:right="-234"/>
        <w:jc w:val="both"/>
        <w:rPr>
          <w:rFonts w:ascii="Arial" w:hAnsi="Arial" w:cs="Arial"/>
          <w:bCs/>
          <w:sz w:val="24"/>
          <w:szCs w:val="24"/>
        </w:rPr>
      </w:pPr>
      <w:r w:rsidRPr="00575D52">
        <w:rPr>
          <w:rFonts w:ascii="Arial" w:hAnsi="Arial" w:cs="Arial"/>
          <w:b/>
          <w:sz w:val="24"/>
          <w:szCs w:val="24"/>
        </w:rPr>
        <w:t xml:space="preserve">- La Entidad Informa: NO. </w:t>
      </w:r>
      <w:r w:rsidRPr="00575D52">
        <w:rPr>
          <w:rFonts w:ascii="Arial" w:hAnsi="Arial" w:cs="Arial"/>
          <w:bCs/>
          <w:sz w:val="24"/>
          <w:szCs w:val="24"/>
        </w:rPr>
        <w:t>Este Departamento Administrativo constituyó reserva presupuestal de la vigencia 2024, para ser ejecutada en la vigencia 2025, como se observa en la siguiente tabla:</w:t>
      </w:r>
    </w:p>
    <w:p w14:paraId="7F334226" w14:textId="77777777" w:rsidR="00D96A90" w:rsidRDefault="00D96A90" w:rsidP="00D96A90">
      <w:pPr>
        <w:pStyle w:val="Textoindependiente"/>
        <w:spacing w:before="3"/>
        <w:ind w:left="-284" w:right="-234"/>
        <w:jc w:val="both"/>
        <w:rPr>
          <w:b/>
        </w:rPr>
      </w:pPr>
    </w:p>
    <w:p w14:paraId="6C7DA410" w14:textId="77777777" w:rsidR="00D96A90" w:rsidRDefault="00D96A90" w:rsidP="00D96A90">
      <w:pPr>
        <w:pStyle w:val="Textoindependiente"/>
        <w:spacing w:before="3"/>
        <w:jc w:val="both"/>
        <w:rPr>
          <w:b/>
        </w:rPr>
      </w:pPr>
      <w:r w:rsidRPr="009F24CB">
        <w:rPr>
          <w:b/>
          <w:noProof/>
          <w:lang w:val="es-CO" w:eastAsia="es-CO"/>
        </w:rPr>
        <w:drawing>
          <wp:inline distT="0" distB="0" distL="0" distR="0" wp14:anchorId="0AD4DC60" wp14:editId="2316FBAF">
            <wp:extent cx="6315956" cy="154326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5956" cy="1543265"/>
                    </a:xfrm>
                    <a:prstGeom prst="rect">
                      <a:avLst/>
                    </a:prstGeom>
                  </pic:spPr>
                </pic:pic>
              </a:graphicData>
            </a:graphic>
          </wp:inline>
        </w:drawing>
      </w:r>
    </w:p>
    <w:p w14:paraId="2B0BE82F" w14:textId="77777777" w:rsidR="00D96A90" w:rsidRDefault="00D96A90" w:rsidP="00D96A90">
      <w:pPr>
        <w:pStyle w:val="Textoindependiente"/>
        <w:spacing w:before="3"/>
        <w:jc w:val="both"/>
        <w:rPr>
          <w:b/>
        </w:rPr>
      </w:pPr>
    </w:p>
    <w:p w14:paraId="02D71BFC" w14:textId="77777777" w:rsidR="00D96A90" w:rsidRPr="00575D52" w:rsidRDefault="00D96A90" w:rsidP="00D96A90">
      <w:pPr>
        <w:pStyle w:val="Textoindependiente"/>
        <w:spacing w:before="3"/>
        <w:ind w:left="-284" w:right="-234"/>
        <w:jc w:val="both"/>
        <w:rPr>
          <w:rFonts w:ascii="Arial" w:hAnsi="Arial" w:cs="Arial"/>
          <w:bCs/>
          <w:sz w:val="24"/>
          <w:szCs w:val="24"/>
        </w:rPr>
      </w:pPr>
      <w:r w:rsidRPr="00575D52">
        <w:rPr>
          <w:rFonts w:ascii="Arial" w:hAnsi="Arial" w:cs="Arial"/>
          <w:sz w:val="24"/>
          <w:szCs w:val="24"/>
        </w:rPr>
        <w:t>El total de la reserva por el rubro de funcionamiento equivale al 3%, en donde el 2% equivale a la reserva presupuestal inducida por PAC en los términos de artículo 29 del Decreto 1621 de 2024 y para el rubro de inversión equivale al 50%, que se compone por reserva justificada el 5% y la reserva presupuestal inducida equivale al 45%.</w:t>
      </w:r>
    </w:p>
    <w:p w14:paraId="11593BE9" w14:textId="77777777" w:rsidR="00D96A90" w:rsidRDefault="00D96A90" w:rsidP="00D96A90">
      <w:pPr>
        <w:ind w:left="-284" w:right="49"/>
        <w:jc w:val="both"/>
        <w:rPr>
          <w:rFonts w:ascii="Arial" w:hAnsi="Arial" w:cs="Arial"/>
          <w:b/>
          <w:sz w:val="24"/>
          <w:szCs w:val="24"/>
        </w:rPr>
      </w:pPr>
    </w:p>
    <w:p w14:paraId="275C1751" w14:textId="77777777" w:rsidR="00D96A90" w:rsidRPr="00951D28" w:rsidRDefault="00D96A90" w:rsidP="00D96A90">
      <w:pPr>
        <w:ind w:left="-284"/>
        <w:jc w:val="both"/>
        <w:rPr>
          <w:rFonts w:ascii="Arial" w:hAnsi="Arial" w:cs="Arial"/>
          <w:b/>
          <w:sz w:val="28"/>
          <w:szCs w:val="28"/>
          <w:lang w:val="es-MX"/>
        </w:rPr>
      </w:pPr>
      <w:r w:rsidRPr="00951D28">
        <w:rPr>
          <w:rFonts w:ascii="Arial" w:hAnsi="Arial" w:cs="Arial"/>
          <w:b/>
          <w:sz w:val="28"/>
          <w:szCs w:val="28"/>
          <w:lang w:val="es-MX"/>
        </w:rPr>
        <w:lastRenderedPageBreak/>
        <w:t>79.- MINISTERIO DEL DEPORTE.</w:t>
      </w:r>
    </w:p>
    <w:p w14:paraId="12F7355A" w14:textId="77777777" w:rsidR="00D96A90" w:rsidRDefault="00D96A90" w:rsidP="00D96A90">
      <w:pPr>
        <w:ind w:left="-284" w:right="49"/>
        <w:jc w:val="both"/>
        <w:rPr>
          <w:rFonts w:ascii="Arial" w:hAnsi="Arial" w:cs="Arial"/>
          <w:b/>
          <w:sz w:val="24"/>
          <w:szCs w:val="24"/>
        </w:rPr>
      </w:pPr>
    </w:p>
    <w:p w14:paraId="30C676A4" w14:textId="77777777" w:rsidR="00D96A90" w:rsidRPr="0063799A" w:rsidRDefault="00D96A90" w:rsidP="0063799A">
      <w:pPr>
        <w:pStyle w:val="Textoindependiente"/>
        <w:spacing w:before="3"/>
        <w:ind w:left="-284" w:right="-234"/>
        <w:jc w:val="both"/>
        <w:rPr>
          <w:rFonts w:ascii="Arial" w:hAnsi="Arial" w:cs="Arial"/>
          <w:bCs/>
          <w:sz w:val="24"/>
          <w:szCs w:val="24"/>
        </w:rPr>
      </w:pPr>
      <w:r w:rsidRPr="0063799A">
        <w:rPr>
          <w:rFonts w:ascii="Arial" w:hAnsi="Arial" w:cs="Arial"/>
          <w:b/>
          <w:sz w:val="24"/>
          <w:szCs w:val="24"/>
        </w:rPr>
        <w:t xml:space="preserve">La entidad informa: NO. </w:t>
      </w:r>
      <w:r w:rsidRPr="0063799A">
        <w:rPr>
          <w:rFonts w:ascii="Arial" w:hAnsi="Arial" w:cs="Arial"/>
          <w:bCs/>
          <w:sz w:val="24"/>
          <w:szCs w:val="24"/>
        </w:rPr>
        <w:t>Para dar respuesta al presente requerimiento, se anexa tabla con la información de las reservas constituidas en la vigencia 2024:</w:t>
      </w:r>
    </w:p>
    <w:p w14:paraId="48C24D37" w14:textId="77777777" w:rsidR="00D96A90" w:rsidRPr="00136F21" w:rsidRDefault="00D96A90" w:rsidP="00D96A90">
      <w:pPr>
        <w:pStyle w:val="Textoindependiente"/>
        <w:spacing w:before="3"/>
        <w:jc w:val="both"/>
        <w:rPr>
          <w:rFonts w:ascii="Arial" w:hAnsi="Arial" w:cs="Arial"/>
          <w:bCs/>
        </w:rPr>
      </w:pPr>
    </w:p>
    <w:tbl>
      <w:tblPr>
        <w:tblStyle w:val="Tablaconcuadrcula"/>
        <w:tblW w:w="0" w:type="auto"/>
        <w:tblLook w:val="04A0" w:firstRow="1" w:lastRow="0" w:firstColumn="1" w:lastColumn="0" w:noHBand="0" w:noVBand="1"/>
      </w:tblPr>
      <w:tblGrid>
        <w:gridCol w:w="1355"/>
        <w:gridCol w:w="1345"/>
        <w:gridCol w:w="1361"/>
        <w:gridCol w:w="759"/>
        <w:gridCol w:w="1728"/>
        <w:gridCol w:w="759"/>
        <w:gridCol w:w="1989"/>
        <w:gridCol w:w="759"/>
      </w:tblGrid>
      <w:tr w:rsidR="00D96A90" w:rsidRPr="00136F21" w14:paraId="2084D19C" w14:textId="77777777" w:rsidTr="00EF5AF2">
        <w:tc>
          <w:tcPr>
            <w:tcW w:w="1355" w:type="dxa"/>
          </w:tcPr>
          <w:p w14:paraId="61191670"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TIPO DE GASTO</w:t>
            </w:r>
          </w:p>
        </w:tc>
        <w:tc>
          <w:tcPr>
            <w:tcW w:w="1345" w:type="dxa"/>
          </w:tcPr>
          <w:p w14:paraId="1A7EB044"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 xml:space="preserve">APROPIACION VIGENTE </w:t>
            </w:r>
          </w:p>
          <w:p w14:paraId="093CD18F"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31-12-2024</w:t>
            </w:r>
          </w:p>
        </w:tc>
        <w:tc>
          <w:tcPr>
            <w:tcW w:w="1382" w:type="dxa"/>
          </w:tcPr>
          <w:p w14:paraId="7D401EE8"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RESERVA CONSTITUIDA</w:t>
            </w:r>
          </w:p>
        </w:tc>
        <w:tc>
          <w:tcPr>
            <w:tcW w:w="759" w:type="dxa"/>
          </w:tcPr>
          <w:p w14:paraId="1FEEA0D2"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w:t>
            </w:r>
          </w:p>
        </w:tc>
        <w:tc>
          <w:tcPr>
            <w:tcW w:w="1728" w:type="dxa"/>
          </w:tcPr>
          <w:p w14:paraId="209C598E"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RESERVAS PRESUPUESTALES DE APROPIACIÓN</w:t>
            </w:r>
          </w:p>
        </w:tc>
        <w:tc>
          <w:tcPr>
            <w:tcW w:w="759" w:type="dxa"/>
          </w:tcPr>
          <w:p w14:paraId="29245815"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w:t>
            </w:r>
          </w:p>
        </w:tc>
        <w:tc>
          <w:tcPr>
            <w:tcW w:w="2165" w:type="dxa"/>
          </w:tcPr>
          <w:p w14:paraId="7253D9A5"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RESERVAS PRESUPUESTALES SIN PAC (CXP Contable)</w:t>
            </w:r>
          </w:p>
        </w:tc>
        <w:tc>
          <w:tcPr>
            <w:tcW w:w="469" w:type="dxa"/>
          </w:tcPr>
          <w:p w14:paraId="15D17BBD" w14:textId="77777777" w:rsidR="00D96A90" w:rsidRPr="00136F21" w:rsidRDefault="00D96A90" w:rsidP="00EF5AF2">
            <w:pPr>
              <w:pStyle w:val="Textoindependiente"/>
              <w:spacing w:before="3"/>
              <w:jc w:val="center"/>
              <w:rPr>
                <w:rFonts w:ascii="Arial" w:hAnsi="Arial" w:cs="Arial"/>
                <w:b/>
                <w:sz w:val="16"/>
                <w:szCs w:val="16"/>
              </w:rPr>
            </w:pPr>
            <w:r w:rsidRPr="00136F21">
              <w:rPr>
                <w:rFonts w:ascii="Arial" w:hAnsi="Arial" w:cs="Arial"/>
                <w:b/>
                <w:sz w:val="16"/>
                <w:szCs w:val="16"/>
              </w:rPr>
              <w:t>%</w:t>
            </w:r>
          </w:p>
        </w:tc>
      </w:tr>
      <w:tr w:rsidR="00D96A90" w:rsidRPr="00136F21" w14:paraId="091CEACB" w14:textId="77777777" w:rsidTr="00EF5AF2">
        <w:tc>
          <w:tcPr>
            <w:tcW w:w="1355" w:type="dxa"/>
          </w:tcPr>
          <w:p w14:paraId="226A203F"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Funcionamiento</w:t>
            </w:r>
          </w:p>
        </w:tc>
        <w:tc>
          <w:tcPr>
            <w:tcW w:w="1345" w:type="dxa"/>
          </w:tcPr>
          <w:p w14:paraId="5C63CACE"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64.627.885.67</w:t>
            </w:r>
          </w:p>
        </w:tc>
        <w:tc>
          <w:tcPr>
            <w:tcW w:w="1382" w:type="dxa"/>
          </w:tcPr>
          <w:p w14:paraId="7B682A55"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2.297.013.03</w:t>
            </w:r>
          </w:p>
        </w:tc>
        <w:tc>
          <w:tcPr>
            <w:tcW w:w="759" w:type="dxa"/>
          </w:tcPr>
          <w:p w14:paraId="662CF57D"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3.55%</w:t>
            </w:r>
          </w:p>
        </w:tc>
        <w:tc>
          <w:tcPr>
            <w:tcW w:w="1728" w:type="dxa"/>
          </w:tcPr>
          <w:p w14:paraId="65D2AAED"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1.155.483.65</w:t>
            </w:r>
          </w:p>
        </w:tc>
        <w:tc>
          <w:tcPr>
            <w:tcW w:w="759" w:type="dxa"/>
          </w:tcPr>
          <w:p w14:paraId="5DF4433A"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1.79%</w:t>
            </w:r>
          </w:p>
        </w:tc>
        <w:tc>
          <w:tcPr>
            <w:tcW w:w="2165" w:type="dxa"/>
          </w:tcPr>
          <w:p w14:paraId="7EC3EEF1"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1.141.529.38</w:t>
            </w:r>
          </w:p>
        </w:tc>
        <w:tc>
          <w:tcPr>
            <w:tcW w:w="469" w:type="dxa"/>
          </w:tcPr>
          <w:p w14:paraId="3DB2A2D0"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1.77%</w:t>
            </w:r>
          </w:p>
        </w:tc>
      </w:tr>
      <w:tr w:rsidR="00D96A90" w:rsidRPr="00136F21" w14:paraId="0938A563" w14:textId="77777777" w:rsidTr="00EF5AF2">
        <w:tc>
          <w:tcPr>
            <w:tcW w:w="1355" w:type="dxa"/>
          </w:tcPr>
          <w:p w14:paraId="3568306F"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Inversión</w:t>
            </w:r>
          </w:p>
        </w:tc>
        <w:tc>
          <w:tcPr>
            <w:tcW w:w="1345" w:type="dxa"/>
          </w:tcPr>
          <w:p w14:paraId="7916DF1F"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994.038.873.89</w:t>
            </w:r>
          </w:p>
        </w:tc>
        <w:tc>
          <w:tcPr>
            <w:tcW w:w="1382" w:type="dxa"/>
          </w:tcPr>
          <w:p w14:paraId="7D7AAF6E"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608.404.233.87</w:t>
            </w:r>
          </w:p>
        </w:tc>
        <w:tc>
          <w:tcPr>
            <w:tcW w:w="759" w:type="dxa"/>
          </w:tcPr>
          <w:p w14:paraId="66A902DF"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61.21%</w:t>
            </w:r>
          </w:p>
        </w:tc>
        <w:tc>
          <w:tcPr>
            <w:tcW w:w="1728" w:type="dxa"/>
          </w:tcPr>
          <w:p w14:paraId="7CE02536"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423.333.448.55</w:t>
            </w:r>
          </w:p>
        </w:tc>
        <w:tc>
          <w:tcPr>
            <w:tcW w:w="759" w:type="dxa"/>
          </w:tcPr>
          <w:p w14:paraId="3E0080A7"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42.59%</w:t>
            </w:r>
          </w:p>
        </w:tc>
        <w:tc>
          <w:tcPr>
            <w:tcW w:w="2165" w:type="dxa"/>
          </w:tcPr>
          <w:p w14:paraId="34546035" w14:textId="77777777" w:rsidR="00D96A90" w:rsidRPr="00136F21" w:rsidRDefault="00D96A90" w:rsidP="00EF5AF2">
            <w:pPr>
              <w:pStyle w:val="Textoindependiente"/>
              <w:spacing w:before="3"/>
              <w:jc w:val="right"/>
              <w:rPr>
                <w:rFonts w:ascii="Arial" w:hAnsi="Arial" w:cs="Arial"/>
                <w:bCs/>
                <w:sz w:val="16"/>
                <w:szCs w:val="16"/>
              </w:rPr>
            </w:pPr>
            <w:r w:rsidRPr="00136F21">
              <w:rPr>
                <w:rFonts w:ascii="Arial" w:hAnsi="Arial" w:cs="Arial"/>
                <w:bCs/>
                <w:sz w:val="16"/>
                <w:szCs w:val="16"/>
              </w:rPr>
              <w:t>185.070.785.32</w:t>
            </w:r>
          </w:p>
        </w:tc>
        <w:tc>
          <w:tcPr>
            <w:tcW w:w="469" w:type="dxa"/>
          </w:tcPr>
          <w:p w14:paraId="23FBAD6B" w14:textId="77777777" w:rsidR="00D96A90" w:rsidRPr="00136F21" w:rsidRDefault="00D96A90" w:rsidP="00EF5AF2">
            <w:pPr>
              <w:pStyle w:val="Textoindependiente"/>
              <w:spacing w:before="3"/>
              <w:jc w:val="both"/>
              <w:rPr>
                <w:rFonts w:ascii="Arial" w:hAnsi="Arial" w:cs="Arial"/>
                <w:bCs/>
                <w:sz w:val="16"/>
                <w:szCs w:val="16"/>
              </w:rPr>
            </w:pPr>
            <w:r w:rsidRPr="00136F21">
              <w:rPr>
                <w:rFonts w:ascii="Arial" w:hAnsi="Arial" w:cs="Arial"/>
                <w:bCs/>
                <w:sz w:val="16"/>
                <w:szCs w:val="16"/>
              </w:rPr>
              <w:t>18.62%</w:t>
            </w:r>
          </w:p>
        </w:tc>
      </w:tr>
    </w:tbl>
    <w:p w14:paraId="5D2D6D54" w14:textId="77777777" w:rsidR="00D96A90" w:rsidRPr="00136F21" w:rsidRDefault="00D96A90" w:rsidP="00D96A90">
      <w:pPr>
        <w:pStyle w:val="Textoindependiente"/>
        <w:spacing w:before="3"/>
        <w:jc w:val="both"/>
        <w:rPr>
          <w:rFonts w:ascii="Arial" w:hAnsi="Arial" w:cs="Arial"/>
          <w:bCs/>
        </w:rPr>
      </w:pPr>
    </w:p>
    <w:p w14:paraId="32C8095B" w14:textId="77777777" w:rsidR="00D96A90" w:rsidRPr="00AA5345" w:rsidRDefault="00D96A90" w:rsidP="0063799A">
      <w:pPr>
        <w:pStyle w:val="Textoindependiente"/>
        <w:spacing w:before="3"/>
        <w:ind w:left="-284" w:right="-234"/>
        <w:jc w:val="both"/>
        <w:rPr>
          <w:rFonts w:ascii="Arial" w:hAnsi="Arial" w:cs="Arial"/>
          <w:bCs/>
          <w:sz w:val="24"/>
          <w:szCs w:val="24"/>
        </w:rPr>
      </w:pPr>
      <w:r w:rsidRPr="00AA5345">
        <w:rPr>
          <w:rFonts w:ascii="Arial" w:hAnsi="Arial" w:cs="Arial"/>
          <w:bCs/>
          <w:sz w:val="24"/>
          <w:szCs w:val="24"/>
        </w:rPr>
        <w:t>En cuanto a los motivos que incidieron en la constitución de reservas se presentan entre otras:</w:t>
      </w:r>
    </w:p>
    <w:p w14:paraId="3F1BB9BB" w14:textId="77777777" w:rsidR="00D96A90" w:rsidRPr="00AA5345" w:rsidRDefault="00D96A90" w:rsidP="0063799A">
      <w:pPr>
        <w:pStyle w:val="Textoindependiente"/>
        <w:spacing w:before="3"/>
        <w:ind w:left="-284" w:right="-234"/>
        <w:jc w:val="both"/>
        <w:rPr>
          <w:rFonts w:ascii="Arial" w:hAnsi="Arial" w:cs="Arial"/>
          <w:b/>
          <w:sz w:val="24"/>
          <w:szCs w:val="24"/>
        </w:rPr>
      </w:pPr>
    </w:p>
    <w:p w14:paraId="25B11453" w14:textId="77777777" w:rsidR="00D96A90" w:rsidRPr="00AA5345" w:rsidRDefault="00D96A90" w:rsidP="0063799A">
      <w:pPr>
        <w:pStyle w:val="Textoindependiente"/>
        <w:spacing w:before="3"/>
        <w:ind w:left="-284" w:right="-234"/>
        <w:jc w:val="both"/>
        <w:rPr>
          <w:rFonts w:ascii="Arial" w:hAnsi="Arial" w:cs="Arial"/>
          <w:bCs/>
          <w:sz w:val="24"/>
          <w:szCs w:val="24"/>
        </w:rPr>
      </w:pPr>
      <w:r w:rsidRPr="00AA5345">
        <w:rPr>
          <w:rFonts w:ascii="Arial" w:hAnsi="Arial" w:cs="Arial"/>
          <w:bCs/>
          <w:sz w:val="24"/>
          <w:szCs w:val="24"/>
        </w:rPr>
        <w:t>Que la mayor apropiación presupuestal del rubro de inversión del Ministerio del Deporte, se encontraba asignada al proyecto denominado “ Apoyo a la Infraestructura Deportiva, Recreativa y de Alta Competencia en Colombia Nacional”; sin embargo debido a modificaciones realizadas en el Ministerio de Hacienda y Crédito Público en la funcionalidad del uso presupuestal mediante el Sistema SIIF Nación II, desde febrero de 2024 no fue posible adelantar compromisos, generar obligaciones, ni efectuar pagos relacionados con este rubro. Esta situación generó una afectación directa en la ejecución presupuestal del principal rubro a cargo del Ministerio del Deporte. En atención a lo anterior, este Ministerio adelanto diversas gestiones ante el Ministerio de Hacienda y Crédito Público y el Departamento Nacional de Planeación, incluyendo solicitudes formales y mesas técnicas de trabajo, con el objeto de solucionar dicha restricción presupuestal, situación que finalmente fue superada en el mes de septiembre de la vigencia 2024.</w:t>
      </w:r>
    </w:p>
    <w:p w14:paraId="15658261" w14:textId="77777777" w:rsidR="00D96A90" w:rsidRPr="00AA5345" w:rsidRDefault="00D96A90" w:rsidP="0063799A">
      <w:pPr>
        <w:pStyle w:val="Textoindependiente"/>
        <w:spacing w:before="3"/>
        <w:ind w:left="-284" w:right="-234"/>
        <w:jc w:val="both"/>
        <w:rPr>
          <w:rFonts w:ascii="Arial" w:hAnsi="Arial" w:cs="Arial"/>
          <w:bCs/>
          <w:sz w:val="24"/>
          <w:szCs w:val="24"/>
        </w:rPr>
      </w:pPr>
    </w:p>
    <w:p w14:paraId="72478EFD" w14:textId="268491A7" w:rsidR="00D96A90" w:rsidRPr="00AA5345" w:rsidRDefault="00D96A90" w:rsidP="0063799A">
      <w:pPr>
        <w:pStyle w:val="Textoindependiente"/>
        <w:spacing w:before="3"/>
        <w:ind w:left="-284" w:right="-234"/>
        <w:jc w:val="both"/>
        <w:rPr>
          <w:rFonts w:ascii="Arial" w:hAnsi="Arial" w:cs="Arial"/>
          <w:bCs/>
          <w:sz w:val="24"/>
          <w:szCs w:val="24"/>
        </w:rPr>
      </w:pPr>
      <w:r w:rsidRPr="00AA5345">
        <w:rPr>
          <w:rFonts w:ascii="Arial" w:hAnsi="Arial" w:cs="Arial"/>
          <w:bCs/>
          <w:sz w:val="24"/>
          <w:szCs w:val="24"/>
        </w:rPr>
        <w:t xml:space="preserve">Otro factor incidente en la constitución de reservas, </w:t>
      </w:r>
      <w:r w:rsidR="00770CAC" w:rsidRPr="00AA5345">
        <w:rPr>
          <w:rFonts w:ascii="Arial" w:hAnsi="Arial" w:cs="Arial"/>
          <w:bCs/>
          <w:sz w:val="24"/>
          <w:szCs w:val="24"/>
        </w:rPr>
        <w:t>está</w:t>
      </w:r>
      <w:r w:rsidRPr="00AA5345">
        <w:rPr>
          <w:rFonts w:ascii="Arial" w:hAnsi="Arial" w:cs="Arial"/>
          <w:bCs/>
          <w:sz w:val="24"/>
          <w:szCs w:val="24"/>
        </w:rPr>
        <w:t xml:space="preserve"> relacionado con la ejecución de proyectos de infraestructura, corresponde a lo dispuesto en el artículo 70 de la Ley 181 de 1995, según el cual la construcción y el mantenimiento de escenarios recreo-deportivos están a cargo directo de los entes territoriales. En consecuencia, corresponde a estas entidades elevar solicitudes ante el Ministerio del Deporte, acreditando previamente el cumplimiento integral de los requisitos establecidos en la Resolución No. 000933 del 24 de octubre de 2024; sin embargo, se presentaron deficiencias significativas en los proyectos remitidos por parte de los entes territoriales, lo cual requirió realizar múltiples mesas técnicas de trabajo orientadas a subsanar dichas falencias. Lo anterior ocasionó demoras en la emisión de los conceptos técnicos sectoriales favorables y, en consecuencia, generó una afectación en los tiempos previstos inicialmente para otorgar la viabilidad y comprometer los recursos.</w:t>
      </w:r>
    </w:p>
    <w:p w14:paraId="3E457240" w14:textId="77777777" w:rsidR="00D96A90" w:rsidRPr="00AA5345" w:rsidRDefault="00D96A90" w:rsidP="0063799A">
      <w:pPr>
        <w:pStyle w:val="Textoindependiente"/>
        <w:spacing w:before="3"/>
        <w:ind w:left="-284" w:right="-234"/>
        <w:jc w:val="both"/>
        <w:rPr>
          <w:rFonts w:ascii="Arial" w:hAnsi="Arial" w:cs="Arial"/>
          <w:bCs/>
          <w:sz w:val="24"/>
          <w:szCs w:val="24"/>
        </w:rPr>
      </w:pPr>
    </w:p>
    <w:p w14:paraId="093CE249" w14:textId="77777777" w:rsidR="00D96A90" w:rsidRPr="00136F21" w:rsidRDefault="00D96A90" w:rsidP="0063799A">
      <w:pPr>
        <w:pStyle w:val="Textoindependiente"/>
        <w:spacing w:before="3"/>
        <w:ind w:left="-284" w:right="-234"/>
        <w:jc w:val="both"/>
        <w:rPr>
          <w:rFonts w:ascii="Arial" w:hAnsi="Arial" w:cs="Arial"/>
          <w:bCs/>
        </w:rPr>
      </w:pPr>
      <w:r w:rsidRPr="00AA5345">
        <w:rPr>
          <w:rFonts w:ascii="Arial" w:hAnsi="Arial" w:cs="Arial"/>
          <w:bCs/>
          <w:sz w:val="24"/>
          <w:szCs w:val="24"/>
        </w:rPr>
        <w:t>Finalmente, otra dificultad relevante durante la ejecución de recursos en la vigencia 2024, se relacionó con la disminución en el recaudo tributario nacional, situación que llevó al Ministerio de Hacienda y Crédito Público a efectuar ajustes en el giro de recursos a las entidades públicas del orden nacional mediante el Programa Anual Mensualizado de Caja (PAC), particularmente durante el segundo semestre del año. Este ajuste afecto directamente el cumplimiento oportuno de las obligaciones</w:t>
      </w:r>
      <w:r w:rsidRPr="00136F21">
        <w:rPr>
          <w:rFonts w:ascii="Arial" w:hAnsi="Arial" w:cs="Arial"/>
          <w:bCs/>
        </w:rPr>
        <w:t xml:space="preserve"> contraídas por el Ministerio del Deporte, en virtud de los diferentes contratos suscritos, generando como consecuencia la constitución de un número considerable de cuentas por pagar al cierre de la vigencia.</w:t>
      </w:r>
    </w:p>
    <w:p w14:paraId="7FC1C69C" w14:textId="77777777" w:rsidR="00D96A90" w:rsidRDefault="00D96A90" w:rsidP="0063799A">
      <w:pPr>
        <w:ind w:left="-284" w:right="-234"/>
        <w:jc w:val="both"/>
        <w:rPr>
          <w:rFonts w:ascii="Arial" w:hAnsi="Arial" w:cs="Arial"/>
          <w:b/>
          <w:sz w:val="24"/>
          <w:szCs w:val="24"/>
        </w:rPr>
      </w:pPr>
    </w:p>
    <w:p w14:paraId="47ED4270" w14:textId="7D86F9BC" w:rsidR="00D96A90" w:rsidRDefault="00D96A90" w:rsidP="0063799A">
      <w:pPr>
        <w:ind w:left="-284" w:right="-234"/>
        <w:jc w:val="both"/>
        <w:rPr>
          <w:rFonts w:ascii="Arial" w:hAnsi="Arial" w:cs="Arial"/>
          <w:b/>
          <w:sz w:val="28"/>
          <w:szCs w:val="28"/>
        </w:rPr>
      </w:pPr>
      <w:r w:rsidRPr="00AA5345">
        <w:rPr>
          <w:rFonts w:ascii="Arial" w:hAnsi="Arial" w:cs="Arial"/>
          <w:b/>
          <w:sz w:val="28"/>
          <w:szCs w:val="28"/>
          <w:lang w:val="es-MX"/>
        </w:rPr>
        <w:t xml:space="preserve">86.- DEFENSA CIVIL COLOMBIANA </w:t>
      </w:r>
      <w:r w:rsidRPr="00AA5345">
        <w:rPr>
          <w:rFonts w:ascii="Arial" w:hAnsi="Arial" w:cs="Arial"/>
          <w:b/>
          <w:sz w:val="28"/>
          <w:szCs w:val="28"/>
        </w:rPr>
        <w:t>– GUILLERMO LEÓN VALENCIA.</w:t>
      </w:r>
    </w:p>
    <w:p w14:paraId="3E279C41" w14:textId="77777777" w:rsidR="00CD7FC8" w:rsidRPr="00AA5345" w:rsidRDefault="00CD7FC8" w:rsidP="0063799A">
      <w:pPr>
        <w:ind w:left="-284" w:right="-234"/>
        <w:jc w:val="both"/>
        <w:rPr>
          <w:rFonts w:ascii="Arial" w:hAnsi="Arial" w:cs="Arial"/>
          <w:b/>
          <w:sz w:val="28"/>
          <w:szCs w:val="28"/>
          <w:lang w:val="es-MX"/>
        </w:rPr>
      </w:pPr>
    </w:p>
    <w:p w14:paraId="39DD10C5" w14:textId="77777777" w:rsidR="00D96A90" w:rsidRPr="00AA5345" w:rsidRDefault="00D96A90" w:rsidP="0063799A">
      <w:pPr>
        <w:pStyle w:val="Textoindependiente"/>
        <w:spacing w:before="3"/>
        <w:ind w:left="-284" w:right="-234"/>
        <w:jc w:val="both"/>
        <w:rPr>
          <w:rFonts w:ascii="Arial" w:hAnsi="Arial" w:cs="Arial"/>
          <w:bCs/>
          <w:sz w:val="24"/>
          <w:szCs w:val="24"/>
        </w:rPr>
      </w:pPr>
      <w:r w:rsidRPr="00AA5345">
        <w:rPr>
          <w:rFonts w:ascii="Arial" w:hAnsi="Arial" w:cs="Arial"/>
          <w:b/>
          <w:sz w:val="24"/>
          <w:szCs w:val="24"/>
        </w:rPr>
        <w:t xml:space="preserve">La entidad informa: </w:t>
      </w:r>
      <w:r w:rsidRPr="00AA5345">
        <w:rPr>
          <w:rFonts w:ascii="Arial" w:hAnsi="Arial" w:cs="Arial"/>
          <w:bCs/>
          <w:sz w:val="24"/>
          <w:szCs w:val="24"/>
        </w:rPr>
        <w:t xml:space="preserve">En Funcionamiento, el porcentaje de la reserva presupuestal fue del 2,1%, </w:t>
      </w:r>
      <w:r w:rsidRPr="00AA5345">
        <w:rPr>
          <w:rFonts w:ascii="Arial" w:hAnsi="Arial" w:cs="Arial"/>
          <w:bCs/>
          <w:sz w:val="24"/>
          <w:szCs w:val="24"/>
        </w:rPr>
        <w:lastRenderedPageBreak/>
        <w:t>superando en 0,1 puntos porcentuales el límite establecido en el en el artículo 78 del Decreto Ley 111 de 1996.</w:t>
      </w:r>
    </w:p>
    <w:p w14:paraId="70D92E34" w14:textId="77777777" w:rsidR="00D96A90" w:rsidRPr="00AA5345" w:rsidRDefault="00D96A90" w:rsidP="0063799A">
      <w:pPr>
        <w:pStyle w:val="Textoindependiente"/>
        <w:spacing w:before="3"/>
        <w:ind w:left="-284" w:right="-234"/>
        <w:jc w:val="both"/>
        <w:rPr>
          <w:bCs/>
          <w:sz w:val="24"/>
          <w:szCs w:val="24"/>
        </w:rPr>
      </w:pPr>
    </w:p>
    <w:p w14:paraId="56CE7C85" w14:textId="77777777" w:rsidR="00D96A90" w:rsidRPr="00652482" w:rsidRDefault="00D96A90" w:rsidP="0063799A">
      <w:pPr>
        <w:ind w:left="-284" w:right="-234"/>
        <w:jc w:val="both"/>
        <w:rPr>
          <w:rFonts w:ascii="Arial" w:hAnsi="Arial" w:cs="Arial"/>
          <w:b/>
          <w:sz w:val="28"/>
          <w:szCs w:val="28"/>
          <w:lang w:val="es-MX"/>
        </w:rPr>
      </w:pPr>
      <w:r w:rsidRPr="00652482">
        <w:rPr>
          <w:rFonts w:ascii="Arial" w:hAnsi="Arial" w:cs="Arial"/>
          <w:b/>
          <w:sz w:val="28"/>
          <w:szCs w:val="28"/>
          <w:lang w:val="es-MX"/>
        </w:rPr>
        <w:t>88.- SENADO DE LA REPÚBLICA.</w:t>
      </w:r>
    </w:p>
    <w:p w14:paraId="4A8BEF6E" w14:textId="77777777" w:rsidR="00D96A90" w:rsidRDefault="00D96A90" w:rsidP="0063799A">
      <w:pPr>
        <w:ind w:left="-284" w:right="-234"/>
        <w:jc w:val="both"/>
        <w:rPr>
          <w:rFonts w:ascii="Arial" w:hAnsi="Arial" w:cs="Arial"/>
          <w:b/>
          <w:sz w:val="24"/>
          <w:szCs w:val="24"/>
        </w:rPr>
      </w:pPr>
    </w:p>
    <w:p w14:paraId="756D2520" w14:textId="77777777" w:rsidR="00D96A90" w:rsidRPr="00CA2E82" w:rsidRDefault="00D96A90" w:rsidP="0063799A">
      <w:pPr>
        <w:pStyle w:val="Textoindependiente"/>
        <w:spacing w:before="3"/>
        <w:ind w:left="-284" w:right="-234"/>
        <w:jc w:val="both"/>
        <w:rPr>
          <w:rFonts w:ascii="Arial" w:hAnsi="Arial" w:cs="Arial"/>
          <w:bCs/>
          <w:sz w:val="24"/>
          <w:szCs w:val="24"/>
        </w:rPr>
      </w:pPr>
      <w:r w:rsidRPr="00CA2E82">
        <w:rPr>
          <w:rFonts w:ascii="Arial" w:hAnsi="Arial" w:cs="Arial"/>
          <w:b/>
          <w:sz w:val="24"/>
          <w:szCs w:val="24"/>
        </w:rPr>
        <w:t xml:space="preserve">La entidad informa: NO. </w:t>
      </w:r>
      <w:r w:rsidRPr="00CA2E82">
        <w:rPr>
          <w:rFonts w:ascii="Arial" w:hAnsi="Arial" w:cs="Arial"/>
          <w:bCs/>
          <w:sz w:val="24"/>
          <w:szCs w:val="24"/>
        </w:rPr>
        <w:t>Durante la vigencia fiscal 2024, no se le dio cumplimiento a lo establecido en el artículo 78 del Decreto Ley 111 de 1996, en cuanto los topes para constituir las reservas presupuestales para gastos de funcionamiento del 2% y para gastos de inversión del 15%, en virtud a que el Ministerio de Hacienda no apropio los recursos de PAC solicitados por el Senado de la República para el mes de diciembre de 2024.</w:t>
      </w:r>
    </w:p>
    <w:p w14:paraId="7736387A" w14:textId="77777777" w:rsidR="00D96A90" w:rsidRPr="00CA2E82" w:rsidRDefault="00D96A90" w:rsidP="0063799A">
      <w:pPr>
        <w:pStyle w:val="Textoindependiente"/>
        <w:spacing w:before="3"/>
        <w:ind w:left="-284" w:right="-234"/>
        <w:jc w:val="both"/>
        <w:rPr>
          <w:rFonts w:ascii="Arial" w:hAnsi="Arial" w:cs="Arial"/>
          <w:bCs/>
          <w:sz w:val="24"/>
          <w:szCs w:val="24"/>
        </w:rPr>
      </w:pPr>
    </w:p>
    <w:p w14:paraId="7621AA43" w14:textId="77777777" w:rsidR="00D96A90" w:rsidRPr="00CA2E82" w:rsidRDefault="00D96A90" w:rsidP="0063799A">
      <w:pPr>
        <w:pStyle w:val="Textoindependiente"/>
        <w:spacing w:before="3"/>
        <w:ind w:left="-284" w:right="-234"/>
        <w:jc w:val="both"/>
        <w:rPr>
          <w:rFonts w:ascii="Arial" w:hAnsi="Arial" w:cs="Arial"/>
          <w:bCs/>
          <w:sz w:val="24"/>
          <w:szCs w:val="24"/>
        </w:rPr>
      </w:pPr>
      <w:r w:rsidRPr="00CA2E82">
        <w:rPr>
          <w:rFonts w:ascii="Arial" w:hAnsi="Arial" w:cs="Arial"/>
          <w:bCs/>
          <w:sz w:val="24"/>
          <w:szCs w:val="24"/>
        </w:rPr>
        <w:t>Por tal razón mediante comunicación DGA-CS-6447-2024 del 2024, se reiteró solicitud PAC para el mes de diciembre de 2024 al Grupo de programa anual mensualizado de caja -PAC del Ministerio de Hacienda, se anexa documento radicado – Anexo No. 1 – Reiteración solicitud de PAC Minhacienda.</w:t>
      </w:r>
    </w:p>
    <w:p w14:paraId="048DB59E" w14:textId="77777777" w:rsidR="00D96A90" w:rsidRDefault="00D96A90" w:rsidP="0063799A">
      <w:pPr>
        <w:ind w:left="-284" w:right="-234"/>
        <w:jc w:val="both"/>
        <w:rPr>
          <w:rFonts w:ascii="Arial" w:hAnsi="Arial" w:cs="Arial"/>
          <w:b/>
          <w:sz w:val="24"/>
          <w:szCs w:val="24"/>
        </w:rPr>
      </w:pPr>
    </w:p>
    <w:p w14:paraId="4B7D29D1" w14:textId="77777777" w:rsidR="00D96A90" w:rsidRPr="00C23C0F" w:rsidRDefault="00D96A90" w:rsidP="0063799A">
      <w:pPr>
        <w:ind w:left="-284" w:right="-234"/>
        <w:jc w:val="both"/>
        <w:rPr>
          <w:rFonts w:ascii="Arial" w:hAnsi="Arial" w:cs="Arial"/>
          <w:b/>
          <w:sz w:val="28"/>
          <w:szCs w:val="28"/>
          <w:lang w:val="es-MX"/>
        </w:rPr>
      </w:pPr>
      <w:r w:rsidRPr="00C23C0F">
        <w:rPr>
          <w:rFonts w:ascii="Arial" w:hAnsi="Arial" w:cs="Arial"/>
          <w:b/>
          <w:sz w:val="28"/>
          <w:szCs w:val="28"/>
          <w:lang w:val="es-MX"/>
        </w:rPr>
        <w:t>89.- CORPORACIÓN AGENCIA NACIONAL DE GOBIERNO DIGITAL - AND.</w:t>
      </w:r>
    </w:p>
    <w:p w14:paraId="1BBA1257" w14:textId="77777777" w:rsidR="00D96A90" w:rsidRDefault="00D96A90" w:rsidP="0063799A">
      <w:pPr>
        <w:ind w:left="-284" w:right="-234"/>
        <w:jc w:val="both"/>
        <w:rPr>
          <w:rFonts w:ascii="Arial" w:hAnsi="Arial" w:cs="Arial"/>
          <w:b/>
          <w:sz w:val="24"/>
          <w:szCs w:val="24"/>
          <w:lang w:val="es-MX"/>
        </w:rPr>
      </w:pPr>
    </w:p>
    <w:p w14:paraId="4C5E5E29" w14:textId="77777777" w:rsidR="00D96A90" w:rsidRPr="002C2E18" w:rsidRDefault="00D96A90" w:rsidP="0063799A">
      <w:pPr>
        <w:ind w:left="-284" w:right="-234"/>
        <w:jc w:val="both"/>
        <w:rPr>
          <w:rFonts w:ascii="Arial" w:hAnsi="Arial" w:cs="Arial"/>
          <w:sz w:val="24"/>
          <w:szCs w:val="24"/>
          <w:lang w:val="es-MX"/>
        </w:rPr>
      </w:pPr>
      <w:r>
        <w:rPr>
          <w:rFonts w:ascii="Arial" w:hAnsi="Arial" w:cs="Arial"/>
          <w:b/>
          <w:sz w:val="24"/>
          <w:szCs w:val="24"/>
          <w:lang w:val="es-MX"/>
        </w:rPr>
        <w:t>La entidad informa</w:t>
      </w:r>
      <w:r w:rsidRPr="00193CEC">
        <w:rPr>
          <w:rFonts w:ascii="Arial" w:hAnsi="Arial" w:cs="Arial"/>
          <w:b/>
          <w:sz w:val="24"/>
          <w:szCs w:val="24"/>
          <w:lang w:val="es-MX"/>
        </w:rPr>
        <w:t>:</w:t>
      </w:r>
      <w:r>
        <w:rPr>
          <w:rFonts w:ascii="Arial" w:hAnsi="Arial" w:cs="Arial"/>
          <w:b/>
          <w:sz w:val="24"/>
          <w:szCs w:val="24"/>
          <w:lang w:val="es-MX"/>
        </w:rPr>
        <w:t xml:space="preserve"> </w:t>
      </w:r>
      <w:r w:rsidRPr="005B0947">
        <w:rPr>
          <w:rFonts w:ascii="Arial" w:hAnsi="Arial" w:cs="Arial"/>
          <w:b/>
          <w:sz w:val="24"/>
          <w:szCs w:val="24"/>
          <w:lang w:val="es-MX"/>
        </w:rPr>
        <w:t>SI</w:t>
      </w:r>
      <w:r w:rsidRPr="002C2E18">
        <w:rPr>
          <w:rFonts w:ascii="Arial" w:hAnsi="Arial" w:cs="Arial"/>
          <w:sz w:val="24"/>
          <w:szCs w:val="24"/>
        </w:rPr>
        <w:t xml:space="preserve"> constituyeron reservas equivalentes al 3% para las cuentas de Funcionamiento e Inversión del presupuesto de la Agencia, para la vigencia fiscal 2023.</w:t>
      </w:r>
    </w:p>
    <w:p w14:paraId="5B4F1A78" w14:textId="77777777" w:rsidR="00D96A90" w:rsidRDefault="00D96A90" w:rsidP="0063799A">
      <w:pPr>
        <w:ind w:left="-284" w:right="-234"/>
        <w:jc w:val="both"/>
        <w:rPr>
          <w:rFonts w:ascii="Arial" w:hAnsi="Arial" w:cs="Arial"/>
          <w:b/>
          <w:sz w:val="24"/>
          <w:szCs w:val="24"/>
          <w:lang w:val="es-MX"/>
        </w:rPr>
      </w:pPr>
    </w:p>
    <w:p w14:paraId="04B743B1" w14:textId="77777777" w:rsidR="00D96A90" w:rsidRPr="00E40301" w:rsidRDefault="00D96A90" w:rsidP="0063799A">
      <w:pPr>
        <w:ind w:left="-284" w:right="-234"/>
        <w:jc w:val="both"/>
        <w:rPr>
          <w:rFonts w:ascii="Arial" w:hAnsi="Arial" w:cs="Arial"/>
          <w:b/>
          <w:sz w:val="28"/>
          <w:szCs w:val="28"/>
          <w:lang w:val="es-MX"/>
        </w:rPr>
      </w:pPr>
      <w:r w:rsidRPr="00E40301">
        <w:rPr>
          <w:rFonts w:ascii="Arial" w:hAnsi="Arial" w:cs="Arial"/>
          <w:b/>
          <w:sz w:val="28"/>
          <w:szCs w:val="28"/>
          <w:lang w:val="es-MX"/>
        </w:rPr>
        <w:t>99.- DEPARTAMENTO ADMINISTRATIVO PARA LA PROSPERIDAD SOCIAL - DPS.</w:t>
      </w:r>
    </w:p>
    <w:p w14:paraId="05AC8577" w14:textId="77777777" w:rsidR="00D96A90" w:rsidRDefault="00D96A90" w:rsidP="00D96A90">
      <w:pPr>
        <w:ind w:left="-284" w:right="49"/>
        <w:jc w:val="both"/>
        <w:rPr>
          <w:rFonts w:ascii="Arial" w:hAnsi="Arial" w:cs="Arial"/>
          <w:b/>
          <w:sz w:val="24"/>
          <w:szCs w:val="24"/>
          <w:lang w:val="es-MX"/>
        </w:rPr>
      </w:pPr>
    </w:p>
    <w:p w14:paraId="4688E77E" w14:textId="77777777" w:rsidR="00D96A90" w:rsidRDefault="00D96A90" w:rsidP="00D96A90">
      <w:pPr>
        <w:pStyle w:val="Textoindependiente"/>
        <w:spacing w:before="3"/>
        <w:jc w:val="center"/>
        <w:rPr>
          <w:b/>
        </w:rPr>
      </w:pPr>
      <w:r w:rsidRPr="005924F7">
        <w:rPr>
          <w:b/>
          <w:noProof/>
          <w:lang w:val="es-CO" w:eastAsia="es-CO"/>
        </w:rPr>
        <w:drawing>
          <wp:inline distT="0" distB="0" distL="0" distR="0" wp14:anchorId="43C233E1" wp14:editId="0C4D0746">
            <wp:extent cx="5676900" cy="1400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900" cy="1400175"/>
                    </a:xfrm>
                    <a:prstGeom prst="rect">
                      <a:avLst/>
                    </a:prstGeom>
                  </pic:spPr>
                </pic:pic>
              </a:graphicData>
            </a:graphic>
          </wp:inline>
        </w:drawing>
      </w:r>
    </w:p>
    <w:p w14:paraId="0D25AEA2" w14:textId="77777777" w:rsidR="00D96A90" w:rsidRDefault="00D96A90" w:rsidP="00D96A90">
      <w:pPr>
        <w:pStyle w:val="Textoindependiente"/>
        <w:spacing w:before="3"/>
        <w:jc w:val="both"/>
        <w:rPr>
          <w:b/>
        </w:rPr>
      </w:pPr>
    </w:p>
    <w:p w14:paraId="79A938DE" w14:textId="77777777" w:rsidR="00D96A90" w:rsidRPr="00B631E0" w:rsidRDefault="00D96A90" w:rsidP="0063799A">
      <w:pPr>
        <w:pStyle w:val="Textoindependiente"/>
        <w:spacing w:before="3"/>
        <w:ind w:left="-284" w:right="-234"/>
        <w:jc w:val="both"/>
        <w:rPr>
          <w:rFonts w:ascii="Arial" w:hAnsi="Arial" w:cs="Arial"/>
          <w:bCs/>
          <w:sz w:val="24"/>
          <w:szCs w:val="24"/>
        </w:rPr>
      </w:pPr>
      <w:r w:rsidRPr="00B631E0">
        <w:rPr>
          <w:rFonts w:ascii="Arial" w:hAnsi="Arial" w:cs="Arial"/>
          <w:bCs/>
          <w:sz w:val="24"/>
          <w:szCs w:val="24"/>
        </w:rPr>
        <w:t xml:space="preserve">Del total de las reservas presupuestales constituidas por $1.354.443.206 miles de pesos, la distribución fue la siguiente: </w:t>
      </w:r>
    </w:p>
    <w:p w14:paraId="6BF78971" w14:textId="77777777" w:rsidR="00D96A90" w:rsidRPr="00B631E0" w:rsidRDefault="00D96A90" w:rsidP="00D96A90">
      <w:pPr>
        <w:pStyle w:val="Textoindependiente"/>
        <w:spacing w:before="3"/>
        <w:jc w:val="both"/>
        <w:rPr>
          <w:rFonts w:ascii="Arial" w:hAnsi="Arial" w:cs="Arial"/>
          <w:bCs/>
          <w:sz w:val="24"/>
          <w:szCs w:val="24"/>
        </w:rPr>
      </w:pPr>
    </w:p>
    <w:p w14:paraId="1260AA5E" w14:textId="77777777" w:rsidR="00D96A90" w:rsidRPr="00B631E0" w:rsidRDefault="00D96A90" w:rsidP="00CB6055">
      <w:pPr>
        <w:pStyle w:val="Textoindependiente"/>
        <w:numPr>
          <w:ilvl w:val="0"/>
          <w:numId w:val="41"/>
        </w:numPr>
        <w:spacing w:before="3"/>
        <w:ind w:right="-234"/>
        <w:jc w:val="both"/>
        <w:rPr>
          <w:rFonts w:ascii="Arial" w:hAnsi="Arial" w:cs="Arial"/>
          <w:bCs/>
          <w:sz w:val="24"/>
          <w:szCs w:val="24"/>
        </w:rPr>
      </w:pPr>
      <w:r w:rsidRPr="00B631E0">
        <w:rPr>
          <w:rFonts w:ascii="Arial" w:hAnsi="Arial" w:cs="Arial"/>
          <w:bCs/>
          <w:sz w:val="24"/>
          <w:szCs w:val="24"/>
        </w:rPr>
        <w:t>$115.137.255 miles de pesos, que fueron constituidos como reserva presupuestal justificada, corresponden a obligaciones por bienes y servicios recibidos a satisfacción a 31 de diciembre de 2024, pero no fueron obligados en dicha vigencia. Estas partidas fueron constituidas como reserva en aplicación del artículo 29 del Decreto No. 1621 de 2024, "Por el cual se liquida el Presupuesto General de la Nación para la vigencia fiscal de 2025, se detallan las apropiaciones y se clasifican y definen los gastos", el cual establece lo siguiente:</w:t>
      </w:r>
    </w:p>
    <w:p w14:paraId="7A00DBAD" w14:textId="77777777" w:rsidR="0063799A" w:rsidRDefault="0063799A" w:rsidP="0063799A">
      <w:pPr>
        <w:pStyle w:val="Textoindependiente"/>
        <w:spacing w:before="3"/>
        <w:ind w:right="-234"/>
        <w:jc w:val="both"/>
        <w:rPr>
          <w:rFonts w:ascii="Arial" w:hAnsi="Arial" w:cs="Arial"/>
          <w:bCs/>
          <w:sz w:val="24"/>
          <w:szCs w:val="24"/>
        </w:rPr>
      </w:pPr>
    </w:p>
    <w:p w14:paraId="2174846F" w14:textId="489E3FC2" w:rsidR="00D96A90" w:rsidRPr="00B631E0" w:rsidRDefault="00D96A90" w:rsidP="0063799A">
      <w:pPr>
        <w:pStyle w:val="Textoindependiente"/>
        <w:spacing w:before="3"/>
        <w:ind w:left="-284" w:right="-234"/>
        <w:jc w:val="both"/>
        <w:rPr>
          <w:rFonts w:ascii="Arial" w:hAnsi="Arial" w:cs="Arial"/>
          <w:bCs/>
          <w:sz w:val="24"/>
          <w:szCs w:val="24"/>
          <w:u w:val="single"/>
        </w:rPr>
      </w:pPr>
      <w:r w:rsidRPr="00B631E0">
        <w:rPr>
          <w:rFonts w:ascii="Arial" w:hAnsi="Arial" w:cs="Arial"/>
          <w:bCs/>
          <w:sz w:val="24"/>
          <w:szCs w:val="24"/>
        </w:rPr>
        <w:t xml:space="preserve">"(…) Para las cuentas por pagar que se constituyan a 31 de diciembre de 2024 </w:t>
      </w:r>
      <w:r w:rsidRPr="00B631E0">
        <w:rPr>
          <w:rFonts w:ascii="Arial" w:hAnsi="Arial" w:cs="Arial"/>
          <w:bCs/>
          <w:sz w:val="24"/>
          <w:szCs w:val="24"/>
          <w:u w:val="single"/>
        </w:rPr>
        <w:t xml:space="preserve">se debe contar con el correspondiente programa anual mensualizado de caja de la vigencia, de lo contrario deberán hacerse los ajustes en los registros y constituir las correspondientes reservas presupuestales. Igual </w:t>
      </w:r>
      <w:r w:rsidRPr="00B631E0">
        <w:rPr>
          <w:rFonts w:ascii="Arial" w:hAnsi="Arial" w:cs="Arial"/>
          <w:bCs/>
          <w:sz w:val="24"/>
          <w:szCs w:val="24"/>
          <w:u w:val="single"/>
        </w:rPr>
        <w:lastRenderedPageBreak/>
        <w:t xml:space="preserve">procedimiento se deberá cumplir en la vigencia 2025 (…)" (Subrayado fuera de texto). </w:t>
      </w:r>
    </w:p>
    <w:p w14:paraId="0E095737" w14:textId="77777777" w:rsidR="00D96A90" w:rsidRPr="00B631E0" w:rsidRDefault="00D96A90" w:rsidP="0063799A">
      <w:pPr>
        <w:pStyle w:val="Textoindependiente"/>
        <w:spacing w:before="3"/>
        <w:ind w:right="-234"/>
        <w:jc w:val="both"/>
        <w:rPr>
          <w:rFonts w:ascii="Arial" w:hAnsi="Arial" w:cs="Arial"/>
          <w:bCs/>
          <w:sz w:val="24"/>
          <w:szCs w:val="24"/>
        </w:rPr>
      </w:pPr>
    </w:p>
    <w:p w14:paraId="176397FF" w14:textId="77777777" w:rsidR="00D96A90" w:rsidRPr="00B631E0" w:rsidRDefault="00D96A90" w:rsidP="0063799A">
      <w:pPr>
        <w:pStyle w:val="Textoindependiente"/>
        <w:spacing w:before="3"/>
        <w:ind w:left="-284" w:right="-234"/>
        <w:jc w:val="both"/>
        <w:rPr>
          <w:rFonts w:ascii="Arial" w:hAnsi="Arial" w:cs="Arial"/>
          <w:bCs/>
          <w:sz w:val="24"/>
          <w:szCs w:val="24"/>
        </w:rPr>
      </w:pPr>
      <w:r w:rsidRPr="00B631E0">
        <w:rPr>
          <w:rFonts w:ascii="Arial" w:hAnsi="Arial" w:cs="Arial"/>
          <w:bCs/>
          <w:sz w:val="24"/>
          <w:szCs w:val="24"/>
        </w:rPr>
        <w:t>Adicionalmente, se constituyó como reserva presupuestal justificada aquellas cuentas por pagar contables, correspondiente a los bienes y servicios recibidos a satisfacción a 31 de diciembre de 2024, facturados a dicha fecha, cuyos soportes fueron radicados por los respectivos supervisores durante el período de transición.</w:t>
      </w:r>
    </w:p>
    <w:p w14:paraId="62CAE242" w14:textId="77777777" w:rsidR="00D96A90" w:rsidRPr="00B631E0" w:rsidRDefault="00D96A90" w:rsidP="0063799A">
      <w:pPr>
        <w:pStyle w:val="Textoindependiente"/>
        <w:spacing w:before="3"/>
        <w:ind w:right="-234"/>
        <w:jc w:val="both"/>
        <w:rPr>
          <w:rFonts w:ascii="Arial" w:hAnsi="Arial" w:cs="Arial"/>
          <w:bCs/>
          <w:sz w:val="24"/>
          <w:szCs w:val="24"/>
        </w:rPr>
      </w:pPr>
    </w:p>
    <w:p w14:paraId="1C56E8E7" w14:textId="77777777" w:rsidR="00D96A90" w:rsidRPr="00B631E0" w:rsidRDefault="00D96A90" w:rsidP="00CB6055">
      <w:pPr>
        <w:pStyle w:val="Textoindependiente"/>
        <w:numPr>
          <w:ilvl w:val="0"/>
          <w:numId w:val="41"/>
        </w:numPr>
        <w:spacing w:before="3"/>
        <w:ind w:right="-234"/>
        <w:jc w:val="both"/>
        <w:rPr>
          <w:rFonts w:ascii="Arial" w:hAnsi="Arial" w:cs="Arial"/>
          <w:bCs/>
          <w:sz w:val="24"/>
          <w:szCs w:val="24"/>
        </w:rPr>
      </w:pPr>
      <w:r w:rsidRPr="00B631E0">
        <w:rPr>
          <w:rFonts w:ascii="Arial" w:hAnsi="Arial" w:cs="Arial"/>
          <w:bCs/>
          <w:sz w:val="24"/>
          <w:szCs w:val="24"/>
        </w:rPr>
        <w:t>$1.239.305.951 miles de pesos fueron constituidos como reserva presupuestal autorizada en la vigencia 2024, dando cumplimiento al Artículo 2.8.1.7.3.2., del Decreto 1068 de 2015, modificado por el Artículo 17 del Decreto 412 del 2 de marzo de 2018, el cual establece lo siguiente:</w:t>
      </w:r>
    </w:p>
    <w:p w14:paraId="4D31A11C" w14:textId="77777777" w:rsidR="00D96A90" w:rsidRDefault="00D96A90" w:rsidP="00D96A90">
      <w:pPr>
        <w:ind w:left="-284" w:right="49"/>
        <w:jc w:val="both"/>
        <w:rPr>
          <w:rFonts w:ascii="Arial" w:hAnsi="Arial" w:cs="Arial"/>
          <w:b/>
          <w:sz w:val="24"/>
          <w:szCs w:val="24"/>
        </w:rPr>
      </w:pPr>
    </w:p>
    <w:p w14:paraId="03FE9C0C" w14:textId="77777777" w:rsidR="00D96A90" w:rsidRPr="001908C4" w:rsidRDefault="00D96A90" w:rsidP="0063799A">
      <w:pPr>
        <w:ind w:left="-284" w:right="-234"/>
        <w:jc w:val="both"/>
        <w:rPr>
          <w:rFonts w:ascii="Arial" w:hAnsi="Arial" w:cs="Arial"/>
          <w:b/>
          <w:sz w:val="28"/>
          <w:szCs w:val="28"/>
          <w:lang w:val="es-MX"/>
        </w:rPr>
      </w:pPr>
      <w:r w:rsidRPr="001908C4">
        <w:rPr>
          <w:rFonts w:ascii="Arial" w:hAnsi="Arial" w:cs="Arial"/>
          <w:b/>
          <w:sz w:val="28"/>
          <w:szCs w:val="28"/>
          <w:lang w:val="es-MX"/>
        </w:rPr>
        <w:t xml:space="preserve">109.- INSTITUTO TOLIMENSE DE FORMACIÓN TÉCNICA PROFESIONAL – ITFIP. </w:t>
      </w:r>
    </w:p>
    <w:p w14:paraId="59B528E9" w14:textId="77777777" w:rsidR="00D96A90" w:rsidRDefault="00D96A90" w:rsidP="0063799A">
      <w:pPr>
        <w:ind w:left="-284" w:right="49"/>
        <w:jc w:val="both"/>
        <w:rPr>
          <w:rFonts w:ascii="Arial" w:hAnsi="Arial" w:cs="Arial"/>
          <w:b/>
          <w:sz w:val="24"/>
          <w:szCs w:val="24"/>
          <w:lang w:val="es-MX"/>
        </w:rPr>
      </w:pPr>
    </w:p>
    <w:p w14:paraId="15EF6776" w14:textId="77777777" w:rsidR="00D96A90" w:rsidRPr="001908C4" w:rsidRDefault="00D96A90" w:rsidP="0063799A">
      <w:pPr>
        <w:pStyle w:val="Textoindependiente"/>
        <w:spacing w:before="3"/>
        <w:ind w:left="-284"/>
        <w:jc w:val="both"/>
        <w:rPr>
          <w:rFonts w:ascii="Arial" w:hAnsi="Arial" w:cs="Arial"/>
          <w:b/>
          <w:sz w:val="24"/>
          <w:szCs w:val="24"/>
        </w:rPr>
      </w:pPr>
      <w:r w:rsidRPr="001908C4">
        <w:rPr>
          <w:rFonts w:ascii="Arial" w:hAnsi="Arial" w:cs="Arial"/>
          <w:b/>
          <w:sz w:val="24"/>
          <w:szCs w:val="24"/>
        </w:rPr>
        <w:t xml:space="preserve">La entidad informa: </w:t>
      </w:r>
    </w:p>
    <w:p w14:paraId="1C60D42A" w14:textId="77777777" w:rsidR="00D96A90" w:rsidRPr="001908C4" w:rsidRDefault="00D96A90" w:rsidP="0063799A">
      <w:pPr>
        <w:pStyle w:val="Textoindependiente"/>
        <w:spacing w:before="3"/>
        <w:ind w:left="-284"/>
        <w:jc w:val="both"/>
        <w:rPr>
          <w:rFonts w:ascii="Arial" w:hAnsi="Arial" w:cs="Arial"/>
          <w:b/>
          <w:sz w:val="24"/>
          <w:szCs w:val="24"/>
        </w:rPr>
      </w:pPr>
    </w:p>
    <w:p w14:paraId="49B80EDF" w14:textId="77777777" w:rsidR="00D96A90" w:rsidRPr="001908C4" w:rsidRDefault="00D96A90" w:rsidP="0063799A">
      <w:pPr>
        <w:pStyle w:val="Textoindependiente"/>
        <w:spacing w:before="3"/>
        <w:ind w:left="-284"/>
        <w:jc w:val="both"/>
        <w:rPr>
          <w:rFonts w:ascii="Arial" w:hAnsi="Arial" w:cs="Arial"/>
          <w:b/>
          <w:sz w:val="24"/>
          <w:szCs w:val="24"/>
        </w:rPr>
      </w:pPr>
      <w:r w:rsidRPr="001908C4">
        <w:rPr>
          <w:rFonts w:ascii="Arial" w:hAnsi="Arial" w:cs="Arial"/>
          <w:b/>
          <w:sz w:val="24"/>
          <w:szCs w:val="24"/>
        </w:rPr>
        <w:t>C.1.- Aclaración Límite Constitución Reservas Presupuestales.</w:t>
      </w:r>
    </w:p>
    <w:p w14:paraId="351F6305" w14:textId="77777777" w:rsidR="00D96A90" w:rsidRPr="001908C4" w:rsidRDefault="00D96A90" w:rsidP="0063799A">
      <w:pPr>
        <w:pStyle w:val="Textoindependiente"/>
        <w:spacing w:before="3"/>
        <w:ind w:left="-284"/>
        <w:jc w:val="both"/>
        <w:rPr>
          <w:rFonts w:ascii="Arial" w:hAnsi="Arial" w:cs="Arial"/>
          <w:b/>
          <w:sz w:val="24"/>
          <w:szCs w:val="24"/>
        </w:rPr>
      </w:pPr>
    </w:p>
    <w:p w14:paraId="102680C6"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El acta de Constitución de las reservas del año 2024 se constituyó por el valor de $5.395.122.052, como consta en ACTA DE CONSTITUCIÓN y se detalla en el siguiente cuadro:</w:t>
      </w:r>
    </w:p>
    <w:p w14:paraId="3026EA1F" w14:textId="77777777" w:rsidR="00D96A90" w:rsidRPr="00AA6E1E" w:rsidRDefault="00D96A90" w:rsidP="00D96A90">
      <w:pPr>
        <w:pStyle w:val="Textoindependiente"/>
        <w:spacing w:before="3"/>
        <w:jc w:val="both"/>
        <w:rPr>
          <w:b/>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3"/>
        <w:gridCol w:w="1268"/>
        <w:gridCol w:w="1481"/>
        <w:gridCol w:w="1267"/>
        <w:gridCol w:w="1267"/>
        <w:gridCol w:w="1267"/>
        <w:gridCol w:w="1267"/>
      </w:tblGrid>
      <w:tr w:rsidR="00D96A90" w:rsidRPr="00AA6E1E" w14:paraId="235CE353" w14:textId="77777777" w:rsidTr="00EF5AF2">
        <w:trPr>
          <w:trHeight w:val="485"/>
          <w:jc w:val="center"/>
        </w:trPr>
        <w:tc>
          <w:tcPr>
            <w:tcW w:w="1563" w:type="dxa"/>
            <w:tcBorders>
              <w:bottom w:val="single" w:sz="12" w:space="0" w:color="000000"/>
              <w:right w:val="single" w:sz="12" w:space="0" w:color="000000"/>
            </w:tcBorders>
          </w:tcPr>
          <w:p w14:paraId="5FF077F5" w14:textId="77777777" w:rsidR="00D96A90" w:rsidRPr="00AA6E1E" w:rsidRDefault="00D96A90" w:rsidP="00EF5AF2">
            <w:pPr>
              <w:spacing w:before="123"/>
              <w:ind w:left="363"/>
              <w:rPr>
                <w:rFonts w:ascii="Calibri" w:eastAsia="Arial MT" w:hAnsi="Arial MT" w:cs="Arial MT"/>
                <w:sz w:val="19"/>
              </w:rPr>
            </w:pPr>
            <w:r w:rsidRPr="00AA6E1E">
              <w:rPr>
                <w:rFonts w:ascii="Calibri" w:eastAsia="Arial MT" w:hAnsi="Arial MT" w:cs="Arial MT"/>
                <w:spacing w:val="-2"/>
                <w:sz w:val="19"/>
              </w:rPr>
              <w:t>CONCEPTO</w:t>
            </w:r>
          </w:p>
        </w:tc>
        <w:tc>
          <w:tcPr>
            <w:tcW w:w="1268" w:type="dxa"/>
            <w:tcBorders>
              <w:left w:val="single" w:sz="12" w:space="0" w:color="000000"/>
              <w:bottom w:val="single" w:sz="12" w:space="0" w:color="000000"/>
              <w:right w:val="single" w:sz="12" w:space="0" w:color="000000"/>
            </w:tcBorders>
          </w:tcPr>
          <w:p w14:paraId="2736E3E6" w14:textId="77777777" w:rsidR="00D96A90" w:rsidRPr="00AA6E1E" w:rsidRDefault="00D96A90" w:rsidP="00EF5AF2">
            <w:pPr>
              <w:spacing w:line="230" w:lineRule="exact"/>
              <w:ind w:left="73"/>
              <w:rPr>
                <w:rFonts w:ascii="Calibri" w:eastAsia="Arial MT" w:hAnsi="Arial MT" w:cs="Arial MT"/>
                <w:sz w:val="19"/>
              </w:rPr>
            </w:pPr>
            <w:r w:rsidRPr="00AA6E1E">
              <w:rPr>
                <w:rFonts w:ascii="Calibri" w:eastAsia="Arial MT" w:hAnsi="Arial MT" w:cs="Arial MT"/>
                <w:spacing w:val="-2"/>
                <w:sz w:val="19"/>
              </w:rPr>
              <w:t>PRESUPUESTO</w:t>
            </w:r>
          </w:p>
          <w:p w14:paraId="7FD1A5A0" w14:textId="77777777" w:rsidR="00D96A90" w:rsidRPr="00AA6E1E" w:rsidRDefault="00D96A90" w:rsidP="00EF5AF2">
            <w:pPr>
              <w:spacing w:before="19" w:line="217" w:lineRule="exact"/>
              <w:ind w:left="60"/>
              <w:rPr>
                <w:rFonts w:ascii="Calibri" w:eastAsia="Arial MT" w:hAnsi="Arial MT" w:cs="Arial MT"/>
                <w:sz w:val="19"/>
              </w:rPr>
            </w:pPr>
            <w:r w:rsidRPr="00AA6E1E">
              <w:rPr>
                <w:rFonts w:ascii="Calibri" w:eastAsia="Arial MT" w:hAnsi="Arial MT" w:cs="Arial MT"/>
                <w:spacing w:val="-2"/>
                <w:sz w:val="19"/>
              </w:rPr>
              <w:t>VIGENCIA</w:t>
            </w:r>
            <w:r w:rsidRPr="00AA6E1E">
              <w:rPr>
                <w:rFonts w:ascii="Calibri" w:eastAsia="Arial MT" w:hAnsi="Arial MT" w:cs="Arial MT"/>
                <w:spacing w:val="3"/>
                <w:sz w:val="19"/>
              </w:rPr>
              <w:t xml:space="preserve"> </w:t>
            </w:r>
            <w:r w:rsidRPr="00AA6E1E">
              <w:rPr>
                <w:rFonts w:ascii="Calibri" w:eastAsia="Arial MT" w:hAnsi="Arial MT" w:cs="Arial MT"/>
                <w:spacing w:val="-4"/>
                <w:sz w:val="19"/>
              </w:rPr>
              <w:t>2024</w:t>
            </w:r>
          </w:p>
        </w:tc>
        <w:tc>
          <w:tcPr>
            <w:tcW w:w="1481" w:type="dxa"/>
            <w:tcBorders>
              <w:left w:val="single" w:sz="12" w:space="0" w:color="000000"/>
              <w:bottom w:val="single" w:sz="12" w:space="0" w:color="000000"/>
              <w:right w:val="single" w:sz="12" w:space="0" w:color="000000"/>
            </w:tcBorders>
          </w:tcPr>
          <w:p w14:paraId="28CBD85F" w14:textId="77777777" w:rsidR="00D96A90" w:rsidRPr="00AA6E1E" w:rsidRDefault="00D96A90" w:rsidP="00EF5AF2">
            <w:pPr>
              <w:spacing w:before="123"/>
              <w:ind w:left="400"/>
              <w:rPr>
                <w:rFonts w:ascii="Calibri" w:eastAsia="Arial MT" w:hAnsi="Arial MT" w:cs="Arial MT"/>
                <w:sz w:val="19"/>
              </w:rPr>
            </w:pPr>
            <w:r w:rsidRPr="00AA6E1E">
              <w:rPr>
                <w:rFonts w:ascii="Calibri" w:eastAsia="Arial MT" w:hAnsi="Arial MT" w:cs="Arial MT"/>
                <w:spacing w:val="-2"/>
                <w:sz w:val="19"/>
              </w:rPr>
              <w:t>PROPIOS</w:t>
            </w:r>
          </w:p>
        </w:tc>
        <w:tc>
          <w:tcPr>
            <w:tcW w:w="1267" w:type="dxa"/>
            <w:tcBorders>
              <w:left w:val="single" w:sz="12" w:space="0" w:color="000000"/>
              <w:bottom w:val="single" w:sz="12" w:space="0" w:color="000000"/>
              <w:right w:val="single" w:sz="12" w:space="0" w:color="000000"/>
            </w:tcBorders>
          </w:tcPr>
          <w:p w14:paraId="2F38880F" w14:textId="77777777" w:rsidR="00D96A90" w:rsidRPr="00AA6E1E" w:rsidRDefault="00D96A90" w:rsidP="00EF5AF2">
            <w:pPr>
              <w:spacing w:before="123"/>
              <w:ind w:left="325"/>
              <w:rPr>
                <w:rFonts w:ascii="Calibri" w:eastAsia="Arial MT" w:hAnsi="Calibri" w:cs="Arial MT"/>
                <w:sz w:val="19"/>
              </w:rPr>
            </w:pPr>
            <w:r w:rsidRPr="00AA6E1E">
              <w:rPr>
                <w:rFonts w:ascii="Calibri" w:eastAsia="Arial MT" w:hAnsi="Calibri" w:cs="Arial MT"/>
                <w:spacing w:val="-2"/>
                <w:sz w:val="19"/>
              </w:rPr>
              <w:t>NACIÓN</w:t>
            </w:r>
          </w:p>
        </w:tc>
        <w:tc>
          <w:tcPr>
            <w:tcW w:w="1267" w:type="dxa"/>
            <w:tcBorders>
              <w:left w:val="single" w:sz="12" w:space="0" w:color="000000"/>
              <w:bottom w:val="single" w:sz="12" w:space="0" w:color="000000"/>
              <w:right w:val="single" w:sz="12" w:space="0" w:color="000000"/>
            </w:tcBorders>
          </w:tcPr>
          <w:p w14:paraId="26C86F3B" w14:textId="77777777" w:rsidR="00D96A90" w:rsidRPr="00AA6E1E" w:rsidRDefault="00D96A90" w:rsidP="00EF5AF2">
            <w:pPr>
              <w:spacing w:line="230" w:lineRule="exact"/>
              <w:ind w:left="2"/>
              <w:jc w:val="center"/>
              <w:rPr>
                <w:rFonts w:ascii="Calibri" w:eastAsia="Arial MT" w:hAnsi="Arial MT" w:cs="Arial MT"/>
                <w:sz w:val="19"/>
              </w:rPr>
            </w:pPr>
            <w:r w:rsidRPr="00AA6E1E">
              <w:rPr>
                <w:rFonts w:ascii="Calibri" w:eastAsia="Arial MT" w:hAnsi="Arial MT" w:cs="Arial MT"/>
                <w:spacing w:val="-2"/>
                <w:sz w:val="19"/>
              </w:rPr>
              <w:t>TOTAL,</w:t>
            </w:r>
          </w:p>
          <w:p w14:paraId="726004B8" w14:textId="77777777" w:rsidR="00D96A90" w:rsidRPr="00AA6E1E" w:rsidRDefault="00D96A90" w:rsidP="00EF5AF2">
            <w:pPr>
              <w:spacing w:before="19" w:line="217" w:lineRule="exact"/>
              <w:ind w:left="38"/>
              <w:jc w:val="center"/>
              <w:rPr>
                <w:rFonts w:ascii="Calibri" w:eastAsia="Arial MT" w:hAnsi="Arial MT" w:cs="Arial MT"/>
                <w:sz w:val="19"/>
              </w:rPr>
            </w:pPr>
            <w:r w:rsidRPr="00AA6E1E">
              <w:rPr>
                <w:rFonts w:ascii="Calibri" w:eastAsia="Arial MT" w:hAnsi="Arial MT" w:cs="Arial MT"/>
                <w:spacing w:val="-2"/>
                <w:sz w:val="19"/>
              </w:rPr>
              <w:t>RESERVAS</w:t>
            </w:r>
            <w:r w:rsidRPr="00AA6E1E">
              <w:rPr>
                <w:rFonts w:ascii="Calibri" w:eastAsia="Arial MT" w:hAnsi="Arial MT" w:cs="Arial MT"/>
                <w:spacing w:val="-6"/>
                <w:sz w:val="19"/>
              </w:rPr>
              <w:t xml:space="preserve"> </w:t>
            </w:r>
            <w:r w:rsidRPr="00AA6E1E">
              <w:rPr>
                <w:rFonts w:ascii="Calibri" w:eastAsia="Arial MT" w:hAnsi="Arial MT" w:cs="Arial MT"/>
                <w:spacing w:val="-4"/>
                <w:sz w:val="19"/>
              </w:rPr>
              <w:t>2023</w:t>
            </w:r>
          </w:p>
        </w:tc>
        <w:tc>
          <w:tcPr>
            <w:tcW w:w="1267" w:type="dxa"/>
            <w:tcBorders>
              <w:left w:val="single" w:sz="12" w:space="0" w:color="000000"/>
              <w:bottom w:val="single" w:sz="12" w:space="0" w:color="000000"/>
              <w:right w:val="single" w:sz="12" w:space="0" w:color="000000"/>
            </w:tcBorders>
          </w:tcPr>
          <w:p w14:paraId="68A20253" w14:textId="77777777" w:rsidR="00D96A90" w:rsidRPr="00AA6E1E" w:rsidRDefault="00D96A90" w:rsidP="00EF5AF2">
            <w:pPr>
              <w:spacing w:line="230" w:lineRule="exact"/>
              <w:ind w:left="7"/>
              <w:jc w:val="center"/>
              <w:rPr>
                <w:rFonts w:ascii="Calibri" w:eastAsia="Arial MT" w:hAnsi="Arial MT" w:cs="Arial MT"/>
                <w:sz w:val="19"/>
              </w:rPr>
            </w:pPr>
            <w:r w:rsidRPr="00AA6E1E">
              <w:rPr>
                <w:rFonts w:ascii="Calibri" w:eastAsia="Arial MT" w:hAnsi="Arial MT" w:cs="Arial MT"/>
                <w:spacing w:val="-4"/>
                <w:sz w:val="19"/>
              </w:rPr>
              <w:t>TOPES</w:t>
            </w:r>
            <w:r w:rsidRPr="00AA6E1E">
              <w:rPr>
                <w:rFonts w:ascii="Calibri" w:eastAsia="Arial MT" w:hAnsi="Arial MT" w:cs="Arial MT"/>
                <w:spacing w:val="1"/>
                <w:sz w:val="19"/>
              </w:rPr>
              <w:t xml:space="preserve"> </w:t>
            </w:r>
            <w:r w:rsidRPr="00AA6E1E">
              <w:rPr>
                <w:rFonts w:ascii="Calibri" w:eastAsia="Arial MT" w:hAnsi="Arial MT" w:cs="Arial MT"/>
                <w:spacing w:val="-2"/>
                <w:sz w:val="19"/>
              </w:rPr>
              <w:t>MONTO</w:t>
            </w:r>
          </w:p>
          <w:p w14:paraId="2A40112E" w14:textId="77777777" w:rsidR="00D96A90" w:rsidRPr="00AA6E1E" w:rsidRDefault="00D96A90" w:rsidP="00EF5AF2">
            <w:pPr>
              <w:spacing w:before="19" w:line="217" w:lineRule="exact"/>
              <w:ind w:left="45"/>
              <w:jc w:val="center"/>
              <w:rPr>
                <w:rFonts w:ascii="Calibri" w:eastAsia="Arial MT" w:hAnsi="Arial MT" w:cs="Arial MT"/>
                <w:sz w:val="19"/>
              </w:rPr>
            </w:pPr>
            <w:r w:rsidRPr="00AA6E1E">
              <w:rPr>
                <w:rFonts w:ascii="Calibri" w:eastAsia="Arial MT" w:hAnsi="Arial MT" w:cs="Arial MT"/>
                <w:spacing w:val="-2"/>
                <w:sz w:val="19"/>
              </w:rPr>
              <w:t>RESERVAS</w:t>
            </w:r>
          </w:p>
        </w:tc>
        <w:tc>
          <w:tcPr>
            <w:tcW w:w="1267" w:type="dxa"/>
            <w:tcBorders>
              <w:left w:val="single" w:sz="12" w:space="0" w:color="000000"/>
              <w:bottom w:val="single" w:sz="12" w:space="0" w:color="000000"/>
              <w:right w:val="single" w:sz="12" w:space="0" w:color="000000"/>
            </w:tcBorders>
          </w:tcPr>
          <w:p w14:paraId="76DFE22E" w14:textId="77777777" w:rsidR="00D96A90" w:rsidRPr="00AA6E1E" w:rsidRDefault="00D96A90" w:rsidP="00EF5AF2">
            <w:pPr>
              <w:spacing w:line="230" w:lineRule="exact"/>
              <w:ind w:left="3"/>
              <w:jc w:val="center"/>
              <w:rPr>
                <w:rFonts w:ascii="Calibri" w:eastAsia="Arial MT" w:hAnsi="Arial MT" w:cs="Arial MT"/>
                <w:sz w:val="19"/>
              </w:rPr>
            </w:pPr>
            <w:r w:rsidRPr="00AA6E1E">
              <w:rPr>
                <w:rFonts w:ascii="Calibri" w:eastAsia="Arial MT" w:hAnsi="Arial MT" w:cs="Arial MT"/>
                <w:spacing w:val="-4"/>
                <w:sz w:val="19"/>
              </w:rPr>
              <w:t>TOPE</w:t>
            </w:r>
          </w:p>
          <w:p w14:paraId="05F50210" w14:textId="77777777" w:rsidR="00D96A90" w:rsidRPr="00AA6E1E" w:rsidRDefault="00D96A90" w:rsidP="00EF5AF2">
            <w:pPr>
              <w:spacing w:before="19" w:line="217" w:lineRule="exact"/>
              <w:ind w:left="35"/>
              <w:jc w:val="center"/>
              <w:rPr>
                <w:rFonts w:ascii="Calibri" w:eastAsia="Arial MT" w:hAnsi="Arial MT" w:cs="Arial MT"/>
                <w:sz w:val="19"/>
              </w:rPr>
            </w:pPr>
            <w:r w:rsidRPr="00AA6E1E">
              <w:rPr>
                <w:rFonts w:ascii="Calibri" w:eastAsia="Arial MT" w:hAnsi="Arial MT" w:cs="Arial MT"/>
                <w:spacing w:val="-2"/>
                <w:sz w:val="19"/>
              </w:rPr>
              <w:t>ALCANZADO</w:t>
            </w:r>
          </w:p>
        </w:tc>
      </w:tr>
      <w:tr w:rsidR="00D96A90" w:rsidRPr="00AA6E1E" w14:paraId="49607EE7" w14:textId="77777777" w:rsidTr="00EF5AF2">
        <w:trPr>
          <w:trHeight w:val="233"/>
          <w:jc w:val="center"/>
        </w:trPr>
        <w:tc>
          <w:tcPr>
            <w:tcW w:w="1563" w:type="dxa"/>
            <w:tcBorders>
              <w:top w:val="single" w:sz="12" w:space="0" w:color="000000"/>
              <w:bottom w:val="single" w:sz="12" w:space="0" w:color="000000"/>
              <w:right w:val="single" w:sz="12" w:space="0" w:color="000000"/>
            </w:tcBorders>
          </w:tcPr>
          <w:p w14:paraId="3D89B3E1" w14:textId="77777777" w:rsidR="00D96A90" w:rsidRPr="00AA6E1E" w:rsidRDefault="00D96A90" w:rsidP="00EF5AF2">
            <w:pPr>
              <w:spacing w:line="214" w:lineRule="exact"/>
              <w:ind w:left="36"/>
              <w:rPr>
                <w:rFonts w:ascii="Calibri" w:eastAsia="Arial MT" w:hAnsi="Arial MT" w:cs="Arial MT"/>
                <w:sz w:val="19"/>
              </w:rPr>
            </w:pPr>
            <w:r w:rsidRPr="00AA6E1E">
              <w:rPr>
                <w:rFonts w:ascii="Calibri" w:eastAsia="Arial MT" w:hAnsi="Arial MT" w:cs="Arial MT"/>
                <w:spacing w:val="-2"/>
                <w:sz w:val="19"/>
              </w:rPr>
              <w:t>FUNCIONAMIENTO</w:t>
            </w:r>
          </w:p>
        </w:tc>
        <w:tc>
          <w:tcPr>
            <w:tcW w:w="1268" w:type="dxa"/>
            <w:tcBorders>
              <w:top w:val="single" w:sz="12" w:space="0" w:color="000000"/>
              <w:left w:val="single" w:sz="12" w:space="0" w:color="000000"/>
              <w:bottom w:val="single" w:sz="12" w:space="0" w:color="000000"/>
              <w:right w:val="single" w:sz="12" w:space="0" w:color="000000"/>
            </w:tcBorders>
          </w:tcPr>
          <w:p w14:paraId="66C69893" w14:textId="77777777" w:rsidR="00D96A90" w:rsidRPr="00AA6E1E" w:rsidRDefault="00D96A90" w:rsidP="00EF5AF2">
            <w:pPr>
              <w:spacing w:line="214" w:lineRule="exact"/>
              <w:ind w:left="123" w:right="-15"/>
              <w:jc w:val="center"/>
              <w:rPr>
                <w:rFonts w:ascii="Calibri" w:eastAsia="Arial MT" w:hAnsi="Arial MT" w:cs="Arial MT"/>
                <w:sz w:val="19"/>
              </w:rPr>
            </w:pPr>
            <w:r w:rsidRPr="00AA6E1E">
              <w:rPr>
                <w:rFonts w:ascii="Calibri" w:eastAsia="Arial MT" w:hAnsi="Arial MT" w:cs="Arial MT"/>
                <w:spacing w:val="-7"/>
                <w:sz w:val="19"/>
              </w:rPr>
              <w:t>27.744.712.630</w:t>
            </w:r>
          </w:p>
        </w:tc>
        <w:tc>
          <w:tcPr>
            <w:tcW w:w="1481" w:type="dxa"/>
            <w:tcBorders>
              <w:top w:val="single" w:sz="12" w:space="0" w:color="000000"/>
              <w:left w:val="single" w:sz="12" w:space="0" w:color="000000"/>
              <w:bottom w:val="single" w:sz="12" w:space="0" w:color="000000"/>
              <w:right w:val="single" w:sz="12" w:space="0" w:color="000000"/>
            </w:tcBorders>
          </w:tcPr>
          <w:p w14:paraId="6BD8376F" w14:textId="77777777" w:rsidR="00D96A90" w:rsidRPr="00AA6E1E" w:rsidRDefault="00D96A90" w:rsidP="00EF5AF2">
            <w:pPr>
              <w:spacing w:line="214" w:lineRule="exact"/>
              <w:ind w:right="-15"/>
              <w:jc w:val="right"/>
              <w:rPr>
                <w:rFonts w:ascii="Calibri" w:eastAsia="Arial MT" w:hAnsi="Arial MT" w:cs="Arial MT"/>
                <w:sz w:val="19"/>
              </w:rPr>
            </w:pPr>
            <w:r w:rsidRPr="00AA6E1E">
              <w:rPr>
                <w:rFonts w:ascii="Calibri" w:eastAsia="Arial MT" w:hAnsi="Arial MT" w:cs="Arial MT"/>
                <w:spacing w:val="-2"/>
                <w:sz w:val="19"/>
              </w:rPr>
              <w:t>375.009.749</w:t>
            </w:r>
          </w:p>
        </w:tc>
        <w:tc>
          <w:tcPr>
            <w:tcW w:w="1267" w:type="dxa"/>
            <w:tcBorders>
              <w:top w:val="single" w:sz="12" w:space="0" w:color="000000"/>
              <w:left w:val="single" w:sz="12" w:space="0" w:color="000000"/>
              <w:bottom w:val="single" w:sz="12" w:space="0" w:color="000000"/>
              <w:right w:val="single" w:sz="12" w:space="0" w:color="000000"/>
            </w:tcBorders>
          </w:tcPr>
          <w:p w14:paraId="60D39D13" w14:textId="77777777" w:rsidR="00D96A90" w:rsidRPr="00AA6E1E" w:rsidRDefault="00D96A90" w:rsidP="00EF5AF2">
            <w:pPr>
              <w:spacing w:line="214" w:lineRule="exact"/>
              <w:ind w:right="-15"/>
              <w:jc w:val="right"/>
              <w:rPr>
                <w:rFonts w:ascii="Calibri" w:eastAsia="Arial MT" w:hAnsi="Arial MT" w:cs="Arial MT"/>
                <w:sz w:val="19"/>
              </w:rPr>
            </w:pPr>
            <w:r w:rsidRPr="00AA6E1E">
              <w:rPr>
                <w:rFonts w:ascii="Calibri" w:eastAsia="Arial MT" w:hAnsi="Arial MT" w:cs="Arial MT"/>
                <w:spacing w:val="-2"/>
                <w:sz w:val="19"/>
              </w:rPr>
              <w:t>1.859.065.243</w:t>
            </w:r>
          </w:p>
        </w:tc>
        <w:tc>
          <w:tcPr>
            <w:tcW w:w="1267" w:type="dxa"/>
            <w:tcBorders>
              <w:top w:val="single" w:sz="12" w:space="0" w:color="000000"/>
              <w:left w:val="single" w:sz="12" w:space="0" w:color="000000"/>
              <w:bottom w:val="single" w:sz="12" w:space="0" w:color="000000"/>
              <w:right w:val="single" w:sz="12" w:space="0" w:color="000000"/>
            </w:tcBorders>
          </w:tcPr>
          <w:p w14:paraId="313DD691" w14:textId="77777777" w:rsidR="00D96A90" w:rsidRPr="00AA6E1E" w:rsidRDefault="00D96A90" w:rsidP="00EF5AF2">
            <w:pPr>
              <w:spacing w:line="214" w:lineRule="exact"/>
              <w:ind w:right="-15"/>
              <w:jc w:val="right"/>
              <w:rPr>
                <w:rFonts w:ascii="Calibri" w:eastAsia="Arial MT" w:hAnsi="Arial MT" w:cs="Arial MT"/>
                <w:sz w:val="19"/>
              </w:rPr>
            </w:pPr>
            <w:r w:rsidRPr="00AA6E1E">
              <w:rPr>
                <w:rFonts w:ascii="Calibri" w:eastAsia="Arial MT" w:hAnsi="Arial MT" w:cs="Arial MT"/>
                <w:spacing w:val="-2"/>
                <w:sz w:val="19"/>
              </w:rPr>
              <w:t>2.234.074.991</w:t>
            </w:r>
          </w:p>
        </w:tc>
        <w:tc>
          <w:tcPr>
            <w:tcW w:w="1267" w:type="dxa"/>
            <w:tcBorders>
              <w:top w:val="single" w:sz="12" w:space="0" w:color="000000"/>
              <w:left w:val="single" w:sz="12" w:space="0" w:color="000000"/>
              <w:bottom w:val="single" w:sz="12" w:space="0" w:color="000000"/>
              <w:right w:val="single" w:sz="12" w:space="0" w:color="000000"/>
            </w:tcBorders>
          </w:tcPr>
          <w:p w14:paraId="2C5D4B66" w14:textId="77777777" w:rsidR="00D96A90" w:rsidRPr="00AA6E1E" w:rsidRDefault="00D96A90" w:rsidP="00EF5AF2">
            <w:pPr>
              <w:spacing w:line="214" w:lineRule="exact"/>
              <w:ind w:left="35"/>
              <w:jc w:val="center"/>
              <w:rPr>
                <w:rFonts w:ascii="Calibri" w:eastAsia="Arial MT" w:hAnsi="Arial MT" w:cs="Arial MT"/>
                <w:sz w:val="19"/>
              </w:rPr>
            </w:pPr>
            <w:r w:rsidRPr="00AA6E1E">
              <w:rPr>
                <w:rFonts w:ascii="Calibri" w:eastAsia="Arial MT" w:hAnsi="Arial MT" w:cs="Arial MT"/>
                <w:spacing w:val="-5"/>
                <w:sz w:val="19"/>
              </w:rPr>
              <w:t>2%</w:t>
            </w:r>
          </w:p>
        </w:tc>
        <w:tc>
          <w:tcPr>
            <w:tcW w:w="1267" w:type="dxa"/>
            <w:tcBorders>
              <w:top w:val="single" w:sz="12" w:space="0" w:color="000000"/>
              <w:left w:val="single" w:sz="12" w:space="0" w:color="000000"/>
              <w:bottom w:val="single" w:sz="12" w:space="0" w:color="000000"/>
              <w:right w:val="single" w:sz="12" w:space="0" w:color="000000"/>
            </w:tcBorders>
          </w:tcPr>
          <w:p w14:paraId="12224FEA" w14:textId="77777777" w:rsidR="00D96A90" w:rsidRPr="00AA6E1E" w:rsidRDefault="00D96A90" w:rsidP="00EF5AF2">
            <w:pPr>
              <w:spacing w:line="214" w:lineRule="exact"/>
              <w:ind w:left="46"/>
              <w:jc w:val="center"/>
              <w:rPr>
                <w:rFonts w:ascii="Calibri" w:eastAsia="Arial MT" w:hAnsi="Arial MT" w:cs="Arial MT"/>
                <w:sz w:val="19"/>
              </w:rPr>
            </w:pPr>
            <w:r w:rsidRPr="00AA6E1E">
              <w:rPr>
                <w:rFonts w:ascii="Calibri" w:eastAsia="Arial MT" w:hAnsi="Arial MT" w:cs="Arial MT"/>
                <w:spacing w:val="-2"/>
                <w:sz w:val="19"/>
              </w:rPr>
              <w:t>8,05%</w:t>
            </w:r>
          </w:p>
        </w:tc>
      </w:tr>
      <w:tr w:rsidR="00D96A90" w:rsidRPr="00AA6E1E" w14:paraId="728F6764" w14:textId="77777777" w:rsidTr="00EF5AF2">
        <w:trPr>
          <w:trHeight w:val="233"/>
          <w:jc w:val="center"/>
        </w:trPr>
        <w:tc>
          <w:tcPr>
            <w:tcW w:w="1563" w:type="dxa"/>
            <w:tcBorders>
              <w:top w:val="single" w:sz="12" w:space="0" w:color="000000"/>
              <w:bottom w:val="single" w:sz="12" w:space="0" w:color="000000"/>
              <w:right w:val="single" w:sz="12" w:space="0" w:color="000000"/>
            </w:tcBorders>
          </w:tcPr>
          <w:p w14:paraId="15F134EB" w14:textId="77777777" w:rsidR="00D96A90" w:rsidRPr="00AA6E1E" w:rsidRDefault="00D96A90" w:rsidP="00EF5AF2">
            <w:pPr>
              <w:spacing w:line="214" w:lineRule="exact"/>
              <w:ind w:left="36"/>
              <w:rPr>
                <w:rFonts w:ascii="Calibri" w:eastAsia="Arial MT" w:hAnsi="Arial MT" w:cs="Arial MT"/>
                <w:sz w:val="19"/>
              </w:rPr>
            </w:pPr>
            <w:r w:rsidRPr="00AA6E1E">
              <w:rPr>
                <w:rFonts w:ascii="Calibri" w:eastAsia="Arial MT" w:hAnsi="Arial MT" w:cs="Arial MT"/>
                <w:spacing w:val="-2"/>
                <w:sz w:val="19"/>
              </w:rPr>
              <w:t>INVERSION</w:t>
            </w:r>
          </w:p>
        </w:tc>
        <w:tc>
          <w:tcPr>
            <w:tcW w:w="1268" w:type="dxa"/>
            <w:tcBorders>
              <w:top w:val="single" w:sz="12" w:space="0" w:color="000000"/>
              <w:left w:val="single" w:sz="12" w:space="0" w:color="000000"/>
              <w:bottom w:val="single" w:sz="12" w:space="0" w:color="000000"/>
              <w:right w:val="single" w:sz="12" w:space="0" w:color="000000"/>
            </w:tcBorders>
          </w:tcPr>
          <w:p w14:paraId="6187DC68" w14:textId="77777777" w:rsidR="00D96A90" w:rsidRPr="00AA6E1E" w:rsidRDefault="00D96A90" w:rsidP="00EF5AF2">
            <w:pPr>
              <w:spacing w:line="214" w:lineRule="exact"/>
              <w:ind w:left="123" w:right="-15"/>
              <w:jc w:val="center"/>
              <w:rPr>
                <w:rFonts w:ascii="Calibri" w:eastAsia="Arial MT" w:hAnsi="Arial MT" w:cs="Arial MT"/>
                <w:sz w:val="19"/>
              </w:rPr>
            </w:pPr>
            <w:r w:rsidRPr="00AA6E1E">
              <w:rPr>
                <w:rFonts w:ascii="Calibri" w:eastAsia="Arial MT" w:hAnsi="Arial MT" w:cs="Arial MT"/>
                <w:spacing w:val="-7"/>
                <w:sz w:val="19"/>
              </w:rPr>
              <w:t>10.631.908.034</w:t>
            </w:r>
          </w:p>
        </w:tc>
        <w:tc>
          <w:tcPr>
            <w:tcW w:w="1481" w:type="dxa"/>
            <w:tcBorders>
              <w:top w:val="single" w:sz="12" w:space="0" w:color="000000"/>
              <w:left w:val="single" w:sz="12" w:space="0" w:color="000000"/>
              <w:bottom w:val="single" w:sz="12" w:space="0" w:color="000000"/>
              <w:right w:val="single" w:sz="12" w:space="0" w:color="000000"/>
            </w:tcBorders>
          </w:tcPr>
          <w:p w14:paraId="341F7519" w14:textId="77777777" w:rsidR="00D96A90" w:rsidRPr="00AA6E1E" w:rsidRDefault="00D96A90" w:rsidP="00EF5AF2">
            <w:pPr>
              <w:spacing w:line="214" w:lineRule="exact"/>
              <w:ind w:right="-15"/>
              <w:jc w:val="right"/>
              <w:rPr>
                <w:rFonts w:ascii="Calibri" w:eastAsia="Arial MT" w:hAnsi="Arial MT" w:cs="Arial MT"/>
                <w:sz w:val="19"/>
              </w:rPr>
            </w:pPr>
            <w:r w:rsidRPr="00AA6E1E">
              <w:rPr>
                <w:rFonts w:ascii="Calibri" w:eastAsia="Arial MT" w:hAnsi="Arial MT" w:cs="Arial MT"/>
                <w:spacing w:val="-2"/>
                <w:sz w:val="19"/>
              </w:rPr>
              <w:t>1.838.029.684</w:t>
            </w:r>
          </w:p>
        </w:tc>
        <w:tc>
          <w:tcPr>
            <w:tcW w:w="1267" w:type="dxa"/>
            <w:tcBorders>
              <w:top w:val="single" w:sz="12" w:space="0" w:color="000000"/>
              <w:left w:val="single" w:sz="12" w:space="0" w:color="000000"/>
              <w:bottom w:val="single" w:sz="12" w:space="0" w:color="000000"/>
              <w:right w:val="single" w:sz="12" w:space="0" w:color="000000"/>
            </w:tcBorders>
          </w:tcPr>
          <w:p w14:paraId="35DC0877" w14:textId="77777777" w:rsidR="00D96A90" w:rsidRPr="00AA6E1E" w:rsidRDefault="00D96A90" w:rsidP="00EF5AF2">
            <w:pPr>
              <w:spacing w:line="214" w:lineRule="exact"/>
              <w:ind w:right="-15"/>
              <w:jc w:val="right"/>
              <w:rPr>
                <w:rFonts w:ascii="Calibri" w:eastAsia="Arial MT" w:hAnsi="Arial MT" w:cs="Arial MT"/>
                <w:sz w:val="19"/>
              </w:rPr>
            </w:pPr>
            <w:r w:rsidRPr="00AA6E1E">
              <w:rPr>
                <w:rFonts w:ascii="Calibri" w:eastAsia="Arial MT" w:hAnsi="Arial MT" w:cs="Arial MT"/>
                <w:spacing w:val="-2"/>
                <w:sz w:val="19"/>
              </w:rPr>
              <w:t>2.795.970.688</w:t>
            </w:r>
          </w:p>
        </w:tc>
        <w:tc>
          <w:tcPr>
            <w:tcW w:w="1267" w:type="dxa"/>
            <w:tcBorders>
              <w:top w:val="single" w:sz="12" w:space="0" w:color="000000"/>
              <w:left w:val="single" w:sz="12" w:space="0" w:color="000000"/>
              <w:bottom w:val="single" w:sz="12" w:space="0" w:color="000000"/>
              <w:right w:val="single" w:sz="12" w:space="0" w:color="000000"/>
            </w:tcBorders>
          </w:tcPr>
          <w:p w14:paraId="553D828A" w14:textId="77777777" w:rsidR="00D96A90" w:rsidRPr="00AA6E1E" w:rsidRDefault="00D96A90" w:rsidP="00EF5AF2">
            <w:pPr>
              <w:spacing w:line="214" w:lineRule="exact"/>
              <w:ind w:right="-15"/>
              <w:jc w:val="right"/>
              <w:rPr>
                <w:rFonts w:ascii="Calibri" w:eastAsia="Arial MT" w:hAnsi="Arial MT" w:cs="Arial MT"/>
                <w:sz w:val="19"/>
              </w:rPr>
            </w:pPr>
            <w:r w:rsidRPr="00AA6E1E">
              <w:rPr>
                <w:rFonts w:ascii="Calibri" w:eastAsia="Arial MT" w:hAnsi="Arial MT" w:cs="Arial MT"/>
                <w:spacing w:val="-2"/>
                <w:sz w:val="19"/>
              </w:rPr>
              <w:t>4.634.000.372</w:t>
            </w:r>
          </w:p>
        </w:tc>
        <w:tc>
          <w:tcPr>
            <w:tcW w:w="1267" w:type="dxa"/>
            <w:tcBorders>
              <w:top w:val="single" w:sz="12" w:space="0" w:color="000000"/>
              <w:left w:val="single" w:sz="12" w:space="0" w:color="000000"/>
              <w:bottom w:val="single" w:sz="12" w:space="0" w:color="000000"/>
              <w:right w:val="single" w:sz="12" w:space="0" w:color="000000"/>
            </w:tcBorders>
          </w:tcPr>
          <w:p w14:paraId="33C5C2A6" w14:textId="77777777" w:rsidR="00D96A90" w:rsidRPr="00AA6E1E" w:rsidRDefault="00D96A90" w:rsidP="00EF5AF2">
            <w:pPr>
              <w:spacing w:line="214" w:lineRule="exact"/>
              <w:ind w:left="48"/>
              <w:jc w:val="center"/>
              <w:rPr>
                <w:rFonts w:ascii="Calibri" w:eastAsia="Arial MT" w:hAnsi="Arial MT" w:cs="Arial MT"/>
                <w:sz w:val="19"/>
              </w:rPr>
            </w:pPr>
            <w:r w:rsidRPr="00AA6E1E">
              <w:rPr>
                <w:rFonts w:ascii="Calibri" w:eastAsia="Arial MT" w:hAnsi="Arial MT" w:cs="Arial MT"/>
                <w:spacing w:val="-5"/>
                <w:sz w:val="19"/>
              </w:rPr>
              <w:t>15%</w:t>
            </w:r>
          </w:p>
        </w:tc>
        <w:tc>
          <w:tcPr>
            <w:tcW w:w="1267" w:type="dxa"/>
            <w:tcBorders>
              <w:top w:val="single" w:sz="12" w:space="0" w:color="000000"/>
              <w:left w:val="single" w:sz="12" w:space="0" w:color="000000"/>
              <w:bottom w:val="single" w:sz="12" w:space="0" w:color="000000"/>
              <w:right w:val="single" w:sz="12" w:space="0" w:color="000000"/>
            </w:tcBorders>
          </w:tcPr>
          <w:p w14:paraId="44C91DF7" w14:textId="77777777" w:rsidR="00D96A90" w:rsidRPr="00AA6E1E" w:rsidRDefault="00D96A90" w:rsidP="00EF5AF2">
            <w:pPr>
              <w:spacing w:line="214" w:lineRule="exact"/>
              <w:ind w:left="59"/>
              <w:jc w:val="center"/>
              <w:rPr>
                <w:rFonts w:ascii="Calibri" w:eastAsia="Arial MT" w:hAnsi="Arial MT" w:cs="Arial MT"/>
                <w:sz w:val="19"/>
              </w:rPr>
            </w:pPr>
            <w:r w:rsidRPr="00AA6E1E">
              <w:rPr>
                <w:rFonts w:ascii="Calibri" w:eastAsia="Arial MT" w:hAnsi="Arial MT" w:cs="Arial MT"/>
                <w:spacing w:val="-2"/>
                <w:sz w:val="19"/>
              </w:rPr>
              <w:t>43,59%</w:t>
            </w:r>
          </w:p>
        </w:tc>
      </w:tr>
      <w:tr w:rsidR="00D96A90" w:rsidRPr="00AA6E1E" w14:paraId="497C5C75" w14:textId="77777777" w:rsidTr="00EF5AF2">
        <w:trPr>
          <w:trHeight w:val="233"/>
          <w:jc w:val="center"/>
        </w:trPr>
        <w:tc>
          <w:tcPr>
            <w:tcW w:w="1563" w:type="dxa"/>
            <w:tcBorders>
              <w:top w:val="single" w:sz="12" w:space="0" w:color="000000"/>
              <w:bottom w:val="single" w:sz="12" w:space="0" w:color="000000"/>
              <w:right w:val="single" w:sz="12" w:space="0" w:color="000000"/>
            </w:tcBorders>
          </w:tcPr>
          <w:p w14:paraId="027E5F4B" w14:textId="77777777" w:rsidR="00D96A90" w:rsidRPr="00AA6E1E" w:rsidRDefault="00D96A90" w:rsidP="00EF5AF2">
            <w:pPr>
              <w:spacing w:line="214" w:lineRule="exact"/>
              <w:ind w:left="36"/>
              <w:rPr>
                <w:rFonts w:ascii="Calibri" w:eastAsia="Arial MT" w:hAnsi="Arial MT" w:cs="Arial MT"/>
                <w:b/>
                <w:sz w:val="19"/>
              </w:rPr>
            </w:pPr>
            <w:r w:rsidRPr="00AA6E1E">
              <w:rPr>
                <w:rFonts w:ascii="Calibri" w:eastAsia="Arial MT" w:hAnsi="Arial MT" w:cs="Arial MT"/>
                <w:b/>
                <w:spacing w:val="-2"/>
                <w:sz w:val="19"/>
              </w:rPr>
              <w:t>TOTAL</w:t>
            </w:r>
          </w:p>
        </w:tc>
        <w:tc>
          <w:tcPr>
            <w:tcW w:w="1268" w:type="dxa"/>
            <w:tcBorders>
              <w:top w:val="single" w:sz="12" w:space="0" w:color="000000"/>
              <w:left w:val="single" w:sz="12" w:space="0" w:color="000000"/>
              <w:bottom w:val="single" w:sz="12" w:space="0" w:color="000000"/>
              <w:right w:val="single" w:sz="12" w:space="0" w:color="000000"/>
            </w:tcBorders>
          </w:tcPr>
          <w:p w14:paraId="451A6C61" w14:textId="77777777" w:rsidR="00D96A90" w:rsidRPr="00AA6E1E" w:rsidRDefault="00D96A90" w:rsidP="00EF5AF2">
            <w:pPr>
              <w:spacing w:line="214" w:lineRule="exact"/>
              <w:ind w:left="123" w:right="-15"/>
              <w:jc w:val="center"/>
              <w:rPr>
                <w:rFonts w:ascii="Calibri" w:eastAsia="Arial MT" w:hAnsi="Arial MT" w:cs="Arial MT"/>
                <w:b/>
                <w:sz w:val="19"/>
              </w:rPr>
            </w:pPr>
            <w:r w:rsidRPr="00AA6E1E">
              <w:rPr>
                <w:rFonts w:ascii="Calibri" w:eastAsia="Arial MT" w:hAnsi="Arial MT" w:cs="Arial MT"/>
                <w:b/>
                <w:spacing w:val="-8"/>
                <w:sz w:val="19"/>
              </w:rPr>
              <w:t>38.376.620.664</w:t>
            </w:r>
          </w:p>
        </w:tc>
        <w:tc>
          <w:tcPr>
            <w:tcW w:w="1481" w:type="dxa"/>
            <w:tcBorders>
              <w:top w:val="single" w:sz="12" w:space="0" w:color="000000"/>
              <w:left w:val="single" w:sz="12" w:space="0" w:color="000000"/>
              <w:bottom w:val="single" w:sz="12" w:space="0" w:color="000000"/>
              <w:right w:val="single" w:sz="12" w:space="0" w:color="000000"/>
            </w:tcBorders>
          </w:tcPr>
          <w:p w14:paraId="21BC9E8F" w14:textId="77777777" w:rsidR="00D96A90" w:rsidRPr="00AA6E1E" w:rsidRDefault="00D96A90" w:rsidP="00EF5AF2">
            <w:pPr>
              <w:spacing w:line="214" w:lineRule="exact"/>
              <w:ind w:right="-15"/>
              <w:jc w:val="right"/>
              <w:rPr>
                <w:rFonts w:ascii="Calibri" w:eastAsia="Arial MT" w:hAnsi="Arial MT" w:cs="Arial MT"/>
                <w:b/>
                <w:sz w:val="19"/>
              </w:rPr>
            </w:pPr>
            <w:r w:rsidRPr="00AA6E1E">
              <w:rPr>
                <w:rFonts w:ascii="Calibri" w:eastAsia="Arial MT" w:hAnsi="Arial MT" w:cs="Arial MT"/>
                <w:b/>
                <w:spacing w:val="-2"/>
                <w:sz w:val="19"/>
              </w:rPr>
              <w:t>2.213.039.433</w:t>
            </w:r>
          </w:p>
        </w:tc>
        <w:tc>
          <w:tcPr>
            <w:tcW w:w="1267" w:type="dxa"/>
            <w:tcBorders>
              <w:top w:val="single" w:sz="12" w:space="0" w:color="000000"/>
              <w:left w:val="single" w:sz="12" w:space="0" w:color="000000"/>
              <w:bottom w:val="single" w:sz="12" w:space="0" w:color="000000"/>
              <w:right w:val="single" w:sz="12" w:space="0" w:color="000000"/>
            </w:tcBorders>
          </w:tcPr>
          <w:p w14:paraId="5C1B8BD8" w14:textId="77777777" w:rsidR="00D96A90" w:rsidRPr="00AA6E1E" w:rsidRDefault="00D96A90" w:rsidP="00EF5AF2">
            <w:pPr>
              <w:spacing w:line="214" w:lineRule="exact"/>
              <w:ind w:right="-15"/>
              <w:jc w:val="right"/>
              <w:rPr>
                <w:rFonts w:ascii="Calibri" w:eastAsia="Arial MT" w:hAnsi="Arial MT" w:cs="Arial MT"/>
                <w:b/>
                <w:sz w:val="19"/>
              </w:rPr>
            </w:pPr>
            <w:r w:rsidRPr="00AA6E1E">
              <w:rPr>
                <w:rFonts w:ascii="Calibri" w:eastAsia="Arial MT" w:hAnsi="Arial MT" w:cs="Arial MT"/>
                <w:b/>
                <w:spacing w:val="-2"/>
                <w:sz w:val="19"/>
              </w:rPr>
              <w:t>4.655.035.931</w:t>
            </w:r>
          </w:p>
        </w:tc>
        <w:tc>
          <w:tcPr>
            <w:tcW w:w="1267" w:type="dxa"/>
            <w:tcBorders>
              <w:top w:val="single" w:sz="12" w:space="0" w:color="000000"/>
              <w:left w:val="single" w:sz="12" w:space="0" w:color="000000"/>
              <w:bottom w:val="single" w:sz="12" w:space="0" w:color="000000"/>
              <w:right w:val="single" w:sz="12" w:space="0" w:color="000000"/>
            </w:tcBorders>
          </w:tcPr>
          <w:p w14:paraId="27D0CAA4" w14:textId="77777777" w:rsidR="00D96A90" w:rsidRPr="00AA6E1E" w:rsidRDefault="00D96A90" w:rsidP="00EF5AF2">
            <w:pPr>
              <w:spacing w:line="214" w:lineRule="exact"/>
              <w:ind w:right="-15"/>
              <w:jc w:val="right"/>
              <w:rPr>
                <w:rFonts w:ascii="Calibri" w:eastAsia="Arial MT" w:hAnsi="Arial MT" w:cs="Arial MT"/>
                <w:b/>
                <w:sz w:val="19"/>
              </w:rPr>
            </w:pPr>
            <w:r w:rsidRPr="00AA6E1E">
              <w:rPr>
                <w:rFonts w:ascii="Calibri" w:eastAsia="Arial MT" w:hAnsi="Arial MT" w:cs="Arial MT"/>
                <w:b/>
                <w:spacing w:val="-2"/>
                <w:sz w:val="19"/>
              </w:rPr>
              <w:t>6.868.075.363</w:t>
            </w:r>
          </w:p>
        </w:tc>
        <w:tc>
          <w:tcPr>
            <w:tcW w:w="1267" w:type="dxa"/>
            <w:tcBorders>
              <w:top w:val="single" w:sz="12" w:space="0" w:color="000000"/>
              <w:left w:val="single" w:sz="12" w:space="0" w:color="000000"/>
              <w:bottom w:val="single" w:sz="12" w:space="0" w:color="000000"/>
              <w:right w:val="single" w:sz="12" w:space="0" w:color="000000"/>
            </w:tcBorders>
          </w:tcPr>
          <w:p w14:paraId="0FFAC202" w14:textId="77777777" w:rsidR="00D96A90" w:rsidRPr="00AA6E1E" w:rsidRDefault="00D96A90" w:rsidP="00EF5AF2">
            <w:pPr>
              <w:spacing w:line="214" w:lineRule="exact"/>
              <w:ind w:left="54"/>
              <w:jc w:val="center"/>
              <w:rPr>
                <w:rFonts w:ascii="Calibri" w:eastAsia="Arial MT" w:hAnsi="Arial MT" w:cs="Arial MT"/>
                <w:sz w:val="19"/>
              </w:rPr>
            </w:pPr>
            <w:r w:rsidRPr="00AA6E1E">
              <w:rPr>
                <w:rFonts w:ascii="Calibri" w:eastAsia="Arial MT" w:hAnsi="Arial MT" w:cs="Arial MT"/>
                <w:spacing w:val="-10"/>
                <w:sz w:val="19"/>
              </w:rPr>
              <w:t>-</w:t>
            </w:r>
          </w:p>
        </w:tc>
        <w:tc>
          <w:tcPr>
            <w:tcW w:w="1267" w:type="dxa"/>
            <w:tcBorders>
              <w:top w:val="single" w:sz="12" w:space="0" w:color="000000"/>
              <w:left w:val="single" w:sz="12" w:space="0" w:color="000000"/>
              <w:bottom w:val="single" w:sz="12" w:space="0" w:color="000000"/>
              <w:right w:val="single" w:sz="12" w:space="0" w:color="000000"/>
            </w:tcBorders>
          </w:tcPr>
          <w:p w14:paraId="21F184B2" w14:textId="77777777" w:rsidR="00D96A90" w:rsidRPr="00AA6E1E" w:rsidRDefault="00D96A90" w:rsidP="00EF5AF2">
            <w:pPr>
              <w:spacing w:line="214" w:lineRule="exact"/>
              <w:ind w:left="59"/>
              <w:jc w:val="center"/>
              <w:rPr>
                <w:rFonts w:ascii="Calibri" w:eastAsia="Arial MT" w:hAnsi="Arial MT" w:cs="Arial MT"/>
                <w:sz w:val="19"/>
              </w:rPr>
            </w:pPr>
            <w:r w:rsidRPr="00AA6E1E">
              <w:rPr>
                <w:rFonts w:ascii="Calibri" w:eastAsia="Arial MT" w:hAnsi="Arial MT" w:cs="Arial MT"/>
                <w:spacing w:val="-2"/>
                <w:sz w:val="19"/>
              </w:rPr>
              <w:t>51,64%</w:t>
            </w:r>
          </w:p>
        </w:tc>
      </w:tr>
    </w:tbl>
    <w:p w14:paraId="42F3CC65" w14:textId="77777777" w:rsidR="00D96A90" w:rsidRDefault="00D96A90" w:rsidP="00D96A90">
      <w:pPr>
        <w:pStyle w:val="Textoindependiente"/>
        <w:spacing w:before="3"/>
        <w:jc w:val="both"/>
        <w:rPr>
          <w:b/>
        </w:rPr>
      </w:pPr>
    </w:p>
    <w:p w14:paraId="1DF51B01"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A continuación, se realiza nuevamente el cuadro explicativo de las reservas con el cálculo de los porcentajes, frente a Las reservas que se constituyeron inducidas por falta de PAC en el caso de Nación y por problemas con el nuevo proceso de Factura electrónica del SIIF, se detalla la información correcta emitida por la Institución y por el SIIF:</w:t>
      </w:r>
    </w:p>
    <w:p w14:paraId="5F19C6CF" w14:textId="77777777" w:rsidR="00D96A90" w:rsidRPr="00AA6E1E" w:rsidRDefault="00D96A90" w:rsidP="00D96A90">
      <w:pPr>
        <w:pStyle w:val="Textoindependiente"/>
        <w:spacing w:before="3"/>
        <w:jc w:val="both"/>
        <w:rPr>
          <w:bCs/>
        </w:rPr>
      </w:pPr>
    </w:p>
    <w:tbl>
      <w:tblPr>
        <w:tblStyle w:val="TableNormal"/>
        <w:tblW w:w="0" w:type="auto"/>
        <w:jc w:val="center"/>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2700"/>
        <w:gridCol w:w="1919"/>
        <w:gridCol w:w="1919"/>
        <w:gridCol w:w="1919"/>
      </w:tblGrid>
      <w:tr w:rsidR="00D96A90" w:rsidRPr="00AA6E1E" w14:paraId="6C0F4CF2" w14:textId="77777777" w:rsidTr="00EF5AF2">
        <w:trPr>
          <w:trHeight w:val="299"/>
          <w:jc w:val="center"/>
        </w:trPr>
        <w:tc>
          <w:tcPr>
            <w:tcW w:w="8457" w:type="dxa"/>
            <w:gridSpan w:val="4"/>
            <w:tcBorders>
              <w:bottom w:val="single" w:sz="6" w:space="0" w:color="000000"/>
            </w:tcBorders>
          </w:tcPr>
          <w:p w14:paraId="7AECDE0B" w14:textId="77777777" w:rsidR="00D96A90" w:rsidRPr="00AA6E1E" w:rsidRDefault="00D96A90" w:rsidP="00EF5AF2">
            <w:pPr>
              <w:spacing w:before="15" w:line="265" w:lineRule="exact"/>
              <w:ind w:right="16"/>
              <w:jc w:val="center"/>
              <w:rPr>
                <w:rFonts w:ascii="Calibri" w:eastAsia="Arial MT" w:hAnsi="Calibri" w:cs="Arial MT"/>
              </w:rPr>
            </w:pPr>
            <w:r w:rsidRPr="00AA6E1E">
              <w:rPr>
                <w:rFonts w:ascii="Calibri" w:eastAsia="Arial MT" w:hAnsi="Calibri" w:cs="Arial MT"/>
              </w:rPr>
              <w:t>ACLARACION</w:t>
            </w:r>
            <w:r w:rsidRPr="00AA6E1E">
              <w:rPr>
                <w:rFonts w:ascii="Calibri" w:eastAsia="Arial MT" w:hAnsi="Calibri" w:cs="Arial MT"/>
                <w:spacing w:val="5"/>
              </w:rPr>
              <w:t xml:space="preserve"> </w:t>
            </w:r>
            <w:r w:rsidRPr="00AA6E1E">
              <w:rPr>
                <w:rFonts w:ascii="Calibri" w:eastAsia="Arial MT" w:hAnsi="Calibri" w:cs="Arial MT"/>
              </w:rPr>
              <w:t>DE</w:t>
            </w:r>
            <w:r w:rsidRPr="00AA6E1E">
              <w:rPr>
                <w:rFonts w:ascii="Calibri" w:eastAsia="Arial MT" w:hAnsi="Calibri" w:cs="Arial MT"/>
                <w:spacing w:val="-7"/>
              </w:rPr>
              <w:t xml:space="preserve"> </w:t>
            </w:r>
            <w:r w:rsidRPr="00AA6E1E">
              <w:rPr>
                <w:rFonts w:ascii="Calibri" w:eastAsia="Arial MT" w:hAnsi="Calibri" w:cs="Arial MT"/>
              </w:rPr>
              <w:t>LAS</w:t>
            </w:r>
            <w:r w:rsidRPr="00AA6E1E">
              <w:rPr>
                <w:rFonts w:ascii="Calibri" w:eastAsia="Arial MT" w:hAnsi="Calibri" w:cs="Arial MT"/>
                <w:spacing w:val="2"/>
              </w:rPr>
              <w:t xml:space="preserve"> </w:t>
            </w:r>
            <w:r w:rsidRPr="00AA6E1E">
              <w:rPr>
                <w:rFonts w:ascii="Calibri" w:eastAsia="Arial MT" w:hAnsi="Calibri" w:cs="Arial MT"/>
              </w:rPr>
              <w:t>RESERVAS</w:t>
            </w:r>
            <w:r w:rsidRPr="00AA6E1E">
              <w:rPr>
                <w:rFonts w:ascii="Calibri" w:eastAsia="Arial MT" w:hAnsi="Calibri" w:cs="Arial MT"/>
                <w:spacing w:val="2"/>
              </w:rPr>
              <w:t xml:space="preserve"> </w:t>
            </w:r>
            <w:r w:rsidRPr="00AA6E1E">
              <w:rPr>
                <w:rFonts w:ascii="Calibri" w:eastAsia="Arial MT" w:hAnsi="Calibri" w:cs="Arial MT"/>
              </w:rPr>
              <w:t>SEGÚN</w:t>
            </w:r>
            <w:r w:rsidRPr="00AA6E1E">
              <w:rPr>
                <w:rFonts w:ascii="Calibri" w:eastAsia="Arial MT" w:hAnsi="Calibri" w:cs="Arial MT"/>
                <w:spacing w:val="5"/>
              </w:rPr>
              <w:t xml:space="preserve"> </w:t>
            </w:r>
            <w:r w:rsidRPr="00AA6E1E">
              <w:rPr>
                <w:rFonts w:ascii="Calibri" w:eastAsia="Arial MT" w:hAnsi="Calibri" w:cs="Arial MT"/>
              </w:rPr>
              <w:t>ESTADOS</w:t>
            </w:r>
            <w:r w:rsidRPr="00AA6E1E">
              <w:rPr>
                <w:rFonts w:ascii="Calibri" w:eastAsia="Arial MT" w:hAnsi="Calibri" w:cs="Arial MT"/>
                <w:spacing w:val="1"/>
              </w:rPr>
              <w:t xml:space="preserve"> </w:t>
            </w:r>
            <w:r w:rsidRPr="00AA6E1E">
              <w:rPr>
                <w:rFonts w:ascii="Calibri" w:eastAsia="Arial MT" w:hAnsi="Calibri" w:cs="Arial MT"/>
                <w:spacing w:val="-2"/>
              </w:rPr>
              <w:t>FINANCIEROS</w:t>
            </w:r>
          </w:p>
        </w:tc>
      </w:tr>
      <w:tr w:rsidR="00D96A90" w:rsidRPr="00AA6E1E" w14:paraId="7F90850B" w14:textId="77777777" w:rsidTr="00EF5AF2">
        <w:trPr>
          <w:trHeight w:val="599"/>
          <w:jc w:val="center"/>
        </w:trPr>
        <w:tc>
          <w:tcPr>
            <w:tcW w:w="2700" w:type="dxa"/>
            <w:tcBorders>
              <w:top w:val="single" w:sz="6" w:space="0" w:color="000000"/>
              <w:left w:val="single" w:sz="6" w:space="0" w:color="000000"/>
              <w:bottom w:val="single" w:sz="6" w:space="0" w:color="000000"/>
              <w:right w:val="single" w:sz="6" w:space="0" w:color="000000"/>
            </w:tcBorders>
          </w:tcPr>
          <w:p w14:paraId="2207D0FC" w14:textId="77777777" w:rsidR="00D96A90" w:rsidRPr="00AA6E1E" w:rsidRDefault="00D96A90" w:rsidP="00EF5AF2">
            <w:pPr>
              <w:spacing w:before="165"/>
              <w:ind w:left="307"/>
              <w:rPr>
                <w:rFonts w:ascii="Calibri" w:eastAsia="Arial MT" w:hAnsi="Arial MT" w:cs="Arial MT"/>
              </w:rPr>
            </w:pPr>
            <w:r w:rsidRPr="00AA6E1E">
              <w:rPr>
                <w:rFonts w:ascii="Calibri" w:eastAsia="Arial MT" w:hAnsi="Arial MT" w:cs="Arial MT"/>
              </w:rPr>
              <w:t>RUBRO</w:t>
            </w:r>
            <w:r w:rsidRPr="00AA6E1E">
              <w:rPr>
                <w:rFonts w:ascii="Calibri" w:eastAsia="Arial MT" w:hAnsi="Arial MT" w:cs="Arial MT"/>
                <w:spacing w:val="-13"/>
              </w:rPr>
              <w:t xml:space="preserve"> </w:t>
            </w:r>
            <w:r w:rsidRPr="00AA6E1E">
              <w:rPr>
                <w:rFonts w:ascii="Calibri" w:eastAsia="Arial MT" w:hAnsi="Arial MT" w:cs="Arial MT"/>
                <w:spacing w:val="-2"/>
              </w:rPr>
              <w:t>PRESUPUESTAL</w:t>
            </w:r>
          </w:p>
        </w:tc>
        <w:tc>
          <w:tcPr>
            <w:tcW w:w="1919" w:type="dxa"/>
            <w:tcBorders>
              <w:top w:val="single" w:sz="6" w:space="0" w:color="000000"/>
              <w:left w:val="single" w:sz="6" w:space="0" w:color="000000"/>
              <w:bottom w:val="single" w:sz="6" w:space="0" w:color="000000"/>
              <w:right w:val="single" w:sz="6" w:space="0" w:color="000000"/>
            </w:tcBorders>
          </w:tcPr>
          <w:p w14:paraId="20E90AC5" w14:textId="77777777" w:rsidR="00D96A90" w:rsidRPr="00AA6E1E" w:rsidRDefault="00D96A90" w:rsidP="00EF5AF2">
            <w:pPr>
              <w:spacing w:before="165"/>
              <w:ind w:left="29" w:right="30"/>
              <w:jc w:val="center"/>
              <w:rPr>
                <w:rFonts w:ascii="Calibri" w:eastAsia="Arial MT" w:hAnsi="Arial MT" w:cs="Arial MT"/>
              </w:rPr>
            </w:pPr>
            <w:r w:rsidRPr="00AA6E1E">
              <w:rPr>
                <w:rFonts w:ascii="Calibri" w:eastAsia="Arial MT" w:hAnsi="Arial MT" w:cs="Arial MT"/>
              </w:rPr>
              <w:t>RESERVA</w:t>
            </w:r>
            <w:r w:rsidRPr="00AA6E1E">
              <w:rPr>
                <w:rFonts w:ascii="Calibri" w:eastAsia="Arial MT" w:hAnsi="Arial MT" w:cs="Arial MT"/>
                <w:spacing w:val="3"/>
              </w:rPr>
              <w:t xml:space="preserve"> </w:t>
            </w:r>
            <w:r w:rsidRPr="00AA6E1E">
              <w:rPr>
                <w:rFonts w:ascii="Calibri" w:eastAsia="Arial MT" w:hAnsi="Arial MT" w:cs="Arial MT"/>
                <w:spacing w:val="-4"/>
              </w:rPr>
              <w:t>SIIF</w:t>
            </w:r>
          </w:p>
        </w:tc>
        <w:tc>
          <w:tcPr>
            <w:tcW w:w="1919" w:type="dxa"/>
            <w:tcBorders>
              <w:top w:val="single" w:sz="6" w:space="0" w:color="000000"/>
              <w:left w:val="single" w:sz="6" w:space="0" w:color="000000"/>
              <w:bottom w:val="single" w:sz="6" w:space="0" w:color="000000"/>
              <w:right w:val="single" w:sz="6" w:space="0" w:color="000000"/>
            </w:tcBorders>
          </w:tcPr>
          <w:p w14:paraId="274EFC63" w14:textId="77777777" w:rsidR="00D96A90" w:rsidRPr="00AA6E1E" w:rsidRDefault="00D96A90" w:rsidP="00EF5AF2">
            <w:pPr>
              <w:ind w:left="29" w:right="30"/>
              <w:jc w:val="center"/>
              <w:rPr>
                <w:rFonts w:ascii="Calibri" w:eastAsia="Arial MT" w:hAnsi="Arial MT" w:cs="Arial MT"/>
              </w:rPr>
            </w:pPr>
            <w:r w:rsidRPr="00AA6E1E">
              <w:rPr>
                <w:rFonts w:ascii="Calibri" w:eastAsia="Arial MT" w:hAnsi="Arial MT" w:cs="Arial MT"/>
              </w:rPr>
              <w:t>RESERVA</w:t>
            </w:r>
            <w:r w:rsidRPr="00AA6E1E">
              <w:rPr>
                <w:rFonts w:ascii="Calibri" w:eastAsia="Arial MT" w:hAnsi="Arial MT" w:cs="Arial MT"/>
                <w:spacing w:val="3"/>
              </w:rPr>
              <w:t xml:space="preserve"> </w:t>
            </w:r>
            <w:r w:rsidRPr="00AA6E1E">
              <w:rPr>
                <w:rFonts w:ascii="Calibri" w:eastAsia="Arial MT" w:hAnsi="Arial MT" w:cs="Arial MT"/>
                <w:spacing w:val="-2"/>
              </w:rPr>
              <w:t>INDUCIDA</w:t>
            </w:r>
          </w:p>
          <w:p w14:paraId="1C352D1F" w14:textId="77777777" w:rsidR="00D96A90" w:rsidRPr="00AA6E1E" w:rsidRDefault="00D96A90" w:rsidP="00EF5AF2">
            <w:pPr>
              <w:spacing w:before="32"/>
              <w:ind w:left="29" w:right="29"/>
              <w:jc w:val="center"/>
              <w:rPr>
                <w:rFonts w:ascii="Calibri" w:eastAsia="Arial MT" w:hAnsi="Arial MT" w:cs="Arial MT"/>
              </w:rPr>
            </w:pPr>
            <w:r w:rsidRPr="00AA6E1E">
              <w:rPr>
                <w:rFonts w:ascii="Calibri" w:eastAsia="Arial MT" w:hAnsi="Arial MT" w:cs="Arial MT"/>
                <w:spacing w:val="-5"/>
              </w:rPr>
              <w:t>CXP</w:t>
            </w:r>
          </w:p>
        </w:tc>
        <w:tc>
          <w:tcPr>
            <w:tcW w:w="1919" w:type="dxa"/>
            <w:tcBorders>
              <w:top w:val="single" w:sz="6" w:space="0" w:color="000000"/>
              <w:left w:val="single" w:sz="6" w:space="0" w:color="000000"/>
              <w:bottom w:val="single" w:sz="6" w:space="0" w:color="000000"/>
              <w:right w:val="single" w:sz="6" w:space="0" w:color="000000"/>
            </w:tcBorders>
          </w:tcPr>
          <w:p w14:paraId="3F10B8DB" w14:textId="77777777" w:rsidR="00D96A90" w:rsidRPr="00AA6E1E" w:rsidRDefault="00D96A90" w:rsidP="00EF5AF2">
            <w:pPr>
              <w:spacing w:before="165"/>
              <w:ind w:left="30" w:right="1"/>
              <w:jc w:val="center"/>
              <w:rPr>
                <w:rFonts w:ascii="Calibri" w:eastAsia="Arial MT" w:hAnsi="Arial MT" w:cs="Arial MT"/>
              </w:rPr>
            </w:pPr>
            <w:r w:rsidRPr="00AA6E1E">
              <w:rPr>
                <w:rFonts w:ascii="Calibri" w:eastAsia="Arial MT" w:hAnsi="Arial MT" w:cs="Arial MT"/>
              </w:rPr>
              <w:t>VALOR</w:t>
            </w:r>
            <w:r w:rsidRPr="00AA6E1E">
              <w:rPr>
                <w:rFonts w:ascii="Calibri" w:eastAsia="Arial MT" w:hAnsi="Arial MT" w:cs="Arial MT"/>
                <w:spacing w:val="8"/>
              </w:rPr>
              <w:t xml:space="preserve"> </w:t>
            </w:r>
            <w:r w:rsidRPr="00AA6E1E">
              <w:rPr>
                <w:rFonts w:ascii="Calibri" w:eastAsia="Arial MT" w:hAnsi="Arial MT" w:cs="Arial MT"/>
                <w:spacing w:val="-2"/>
              </w:rPr>
              <w:t>RESERVA</w:t>
            </w:r>
          </w:p>
        </w:tc>
      </w:tr>
      <w:tr w:rsidR="00D96A90" w:rsidRPr="00AA6E1E" w14:paraId="04C24261" w14:textId="77777777" w:rsidTr="00EF5AF2">
        <w:trPr>
          <w:trHeight w:val="300"/>
          <w:jc w:val="center"/>
        </w:trPr>
        <w:tc>
          <w:tcPr>
            <w:tcW w:w="2700" w:type="dxa"/>
            <w:tcBorders>
              <w:top w:val="single" w:sz="6" w:space="0" w:color="000000"/>
              <w:left w:val="single" w:sz="6" w:space="0" w:color="000000"/>
              <w:bottom w:val="single" w:sz="6" w:space="0" w:color="000000"/>
              <w:right w:val="single" w:sz="6" w:space="0" w:color="000000"/>
            </w:tcBorders>
          </w:tcPr>
          <w:p w14:paraId="664CEEE1" w14:textId="77777777" w:rsidR="00D96A90" w:rsidRPr="00AA6E1E" w:rsidRDefault="00D96A90" w:rsidP="00EF5AF2">
            <w:pPr>
              <w:spacing w:before="15" w:line="264" w:lineRule="exact"/>
              <w:ind w:left="37"/>
              <w:rPr>
                <w:rFonts w:ascii="Calibri" w:eastAsia="Arial MT" w:hAnsi="Arial MT" w:cs="Arial MT"/>
              </w:rPr>
            </w:pPr>
            <w:r w:rsidRPr="00AA6E1E">
              <w:rPr>
                <w:rFonts w:ascii="Calibri" w:eastAsia="Arial MT" w:hAnsi="Arial MT" w:cs="Arial MT"/>
              </w:rPr>
              <w:t>FUNCIONAMIENTO</w:t>
            </w:r>
            <w:r w:rsidRPr="00AA6E1E">
              <w:rPr>
                <w:rFonts w:ascii="Calibri" w:eastAsia="Arial MT" w:hAnsi="Arial MT" w:cs="Arial MT"/>
                <w:spacing w:val="10"/>
              </w:rPr>
              <w:t xml:space="preserve"> </w:t>
            </w:r>
            <w:r w:rsidRPr="00AA6E1E">
              <w:rPr>
                <w:rFonts w:ascii="Calibri" w:eastAsia="Arial MT" w:hAnsi="Arial MT" w:cs="Arial MT"/>
                <w:spacing w:val="-2"/>
              </w:rPr>
              <w:t>NACION</w:t>
            </w:r>
          </w:p>
        </w:tc>
        <w:tc>
          <w:tcPr>
            <w:tcW w:w="1919" w:type="dxa"/>
            <w:tcBorders>
              <w:top w:val="single" w:sz="6" w:space="0" w:color="000000"/>
              <w:left w:val="single" w:sz="6" w:space="0" w:color="000000"/>
              <w:bottom w:val="single" w:sz="6" w:space="0" w:color="000000"/>
              <w:right w:val="single" w:sz="6" w:space="0" w:color="000000"/>
            </w:tcBorders>
          </w:tcPr>
          <w:p w14:paraId="30751F8E" w14:textId="77777777" w:rsidR="00D96A90" w:rsidRPr="00AA6E1E" w:rsidRDefault="00D96A90" w:rsidP="00EF5AF2">
            <w:pPr>
              <w:tabs>
                <w:tab w:val="left" w:pos="489"/>
              </w:tabs>
              <w:spacing w:before="15" w:line="264" w:lineRule="exact"/>
              <w:ind w:left="24"/>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1.859.065.243</w:t>
            </w:r>
          </w:p>
        </w:tc>
        <w:tc>
          <w:tcPr>
            <w:tcW w:w="1919" w:type="dxa"/>
            <w:tcBorders>
              <w:top w:val="single" w:sz="6" w:space="0" w:color="000000"/>
              <w:left w:val="single" w:sz="6" w:space="0" w:color="000000"/>
              <w:bottom w:val="single" w:sz="6" w:space="0" w:color="000000"/>
              <w:right w:val="single" w:sz="6" w:space="0" w:color="000000"/>
            </w:tcBorders>
          </w:tcPr>
          <w:p w14:paraId="1848610E" w14:textId="77777777" w:rsidR="00D96A90" w:rsidRPr="00AA6E1E" w:rsidRDefault="00D96A90" w:rsidP="00EF5AF2">
            <w:pPr>
              <w:tabs>
                <w:tab w:val="left" w:pos="743"/>
              </w:tabs>
              <w:spacing w:before="15" w:line="264" w:lineRule="exact"/>
              <w:ind w:left="113"/>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259.943.450</w:t>
            </w:r>
          </w:p>
        </w:tc>
        <w:tc>
          <w:tcPr>
            <w:tcW w:w="1919" w:type="dxa"/>
            <w:tcBorders>
              <w:top w:val="single" w:sz="6" w:space="0" w:color="000000"/>
              <w:left w:val="single" w:sz="6" w:space="0" w:color="000000"/>
              <w:bottom w:val="single" w:sz="6" w:space="0" w:color="000000"/>
              <w:right w:val="single" w:sz="6" w:space="0" w:color="000000"/>
            </w:tcBorders>
          </w:tcPr>
          <w:p w14:paraId="2BC02117" w14:textId="77777777" w:rsidR="00D96A90" w:rsidRPr="00AA6E1E" w:rsidRDefault="00D96A90" w:rsidP="00EF5AF2">
            <w:pPr>
              <w:tabs>
                <w:tab w:val="left" w:pos="492"/>
              </w:tabs>
              <w:spacing w:before="15" w:line="264" w:lineRule="exact"/>
              <w:ind w:left="28"/>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1.599.121.793</w:t>
            </w:r>
          </w:p>
        </w:tc>
      </w:tr>
      <w:tr w:rsidR="00D96A90" w:rsidRPr="00AA6E1E" w14:paraId="289CA7CF" w14:textId="77777777" w:rsidTr="00EF5AF2">
        <w:trPr>
          <w:trHeight w:val="300"/>
          <w:jc w:val="center"/>
        </w:trPr>
        <w:tc>
          <w:tcPr>
            <w:tcW w:w="2700" w:type="dxa"/>
            <w:tcBorders>
              <w:top w:val="single" w:sz="6" w:space="0" w:color="000000"/>
              <w:left w:val="single" w:sz="6" w:space="0" w:color="000000"/>
              <w:bottom w:val="single" w:sz="6" w:space="0" w:color="000000"/>
              <w:right w:val="single" w:sz="6" w:space="0" w:color="000000"/>
            </w:tcBorders>
          </w:tcPr>
          <w:p w14:paraId="2B79409B" w14:textId="77777777" w:rsidR="00D96A90" w:rsidRPr="00AA6E1E" w:rsidRDefault="00D96A90" w:rsidP="00EF5AF2">
            <w:pPr>
              <w:spacing w:before="15" w:line="264" w:lineRule="exact"/>
              <w:ind w:left="37"/>
              <w:rPr>
                <w:rFonts w:ascii="Calibri" w:eastAsia="Arial MT" w:hAnsi="Arial MT" w:cs="Arial MT"/>
              </w:rPr>
            </w:pPr>
            <w:r w:rsidRPr="00AA6E1E">
              <w:rPr>
                <w:rFonts w:ascii="Calibri" w:eastAsia="Arial MT" w:hAnsi="Arial MT" w:cs="Arial MT"/>
              </w:rPr>
              <w:t>FUNCIONAMENTO</w:t>
            </w:r>
            <w:r w:rsidRPr="00AA6E1E">
              <w:rPr>
                <w:rFonts w:ascii="Calibri" w:eastAsia="Arial MT" w:hAnsi="Arial MT" w:cs="Arial MT"/>
                <w:spacing w:val="7"/>
              </w:rPr>
              <w:t xml:space="preserve"> </w:t>
            </w:r>
            <w:r w:rsidRPr="00AA6E1E">
              <w:rPr>
                <w:rFonts w:ascii="Calibri" w:eastAsia="Arial MT" w:hAnsi="Arial MT" w:cs="Arial MT"/>
                <w:spacing w:val="-2"/>
              </w:rPr>
              <w:t>PROPIOS</w:t>
            </w:r>
          </w:p>
        </w:tc>
        <w:tc>
          <w:tcPr>
            <w:tcW w:w="1919" w:type="dxa"/>
            <w:tcBorders>
              <w:top w:val="single" w:sz="6" w:space="0" w:color="000000"/>
              <w:left w:val="single" w:sz="6" w:space="0" w:color="000000"/>
              <w:bottom w:val="single" w:sz="6" w:space="0" w:color="000000"/>
              <w:right w:val="single" w:sz="6" w:space="0" w:color="000000"/>
            </w:tcBorders>
          </w:tcPr>
          <w:p w14:paraId="65B04B14" w14:textId="77777777" w:rsidR="00D96A90" w:rsidRPr="00AA6E1E" w:rsidRDefault="00D96A90" w:rsidP="00EF5AF2">
            <w:pPr>
              <w:tabs>
                <w:tab w:val="left" w:pos="653"/>
              </w:tabs>
              <w:spacing w:before="15" w:line="264" w:lineRule="exact"/>
              <w:ind w:left="24"/>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375.009.749</w:t>
            </w:r>
          </w:p>
        </w:tc>
        <w:tc>
          <w:tcPr>
            <w:tcW w:w="1919" w:type="dxa"/>
            <w:tcBorders>
              <w:top w:val="single" w:sz="6" w:space="0" w:color="000000"/>
              <w:left w:val="single" w:sz="6" w:space="0" w:color="000000"/>
              <w:bottom w:val="single" w:sz="6" w:space="0" w:color="000000"/>
              <w:right w:val="single" w:sz="6" w:space="0" w:color="000000"/>
            </w:tcBorders>
          </w:tcPr>
          <w:p w14:paraId="373D3720" w14:textId="77777777" w:rsidR="00D96A90" w:rsidRPr="00AA6E1E" w:rsidRDefault="00D96A90" w:rsidP="00EF5AF2">
            <w:pPr>
              <w:tabs>
                <w:tab w:val="left" w:pos="1118"/>
              </w:tabs>
              <w:spacing w:before="15" w:line="264" w:lineRule="exact"/>
              <w:ind w:left="113"/>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538.000</w:t>
            </w:r>
          </w:p>
        </w:tc>
        <w:tc>
          <w:tcPr>
            <w:tcW w:w="1919" w:type="dxa"/>
            <w:tcBorders>
              <w:top w:val="single" w:sz="6" w:space="0" w:color="000000"/>
              <w:left w:val="single" w:sz="6" w:space="0" w:color="000000"/>
              <w:bottom w:val="single" w:sz="6" w:space="0" w:color="000000"/>
              <w:right w:val="single" w:sz="6" w:space="0" w:color="000000"/>
            </w:tcBorders>
          </w:tcPr>
          <w:p w14:paraId="42789FF1" w14:textId="77777777" w:rsidR="00D96A90" w:rsidRPr="00AA6E1E" w:rsidRDefault="00D96A90" w:rsidP="00EF5AF2">
            <w:pPr>
              <w:tabs>
                <w:tab w:val="left" w:pos="658"/>
              </w:tabs>
              <w:spacing w:before="15" w:line="264" w:lineRule="exact"/>
              <w:ind w:left="28"/>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374.471.749</w:t>
            </w:r>
          </w:p>
        </w:tc>
      </w:tr>
      <w:tr w:rsidR="00D96A90" w:rsidRPr="00AA6E1E" w14:paraId="003D22CA" w14:textId="77777777" w:rsidTr="00EF5AF2">
        <w:trPr>
          <w:trHeight w:val="299"/>
          <w:jc w:val="center"/>
        </w:trPr>
        <w:tc>
          <w:tcPr>
            <w:tcW w:w="2700" w:type="dxa"/>
            <w:tcBorders>
              <w:top w:val="single" w:sz="6" w:space="0" w:color="000000"/>
              <w:left w:val="single" w:sz="6" w:space="0" w:color="000000"/>
              <w:bottom w:val="single" w:sz="6" w:space="0" w:color="000000"/>
              <w:right w:val="single" w:sz="6" w:space="0" w:color="000000"/>
            </w:tcBorders>
          </w:tcPr>
          <w:p w14:paraId="1CDE8013" w14:textId="77777777" w:rsidR="00D96A90" w:rsidRPr="00AA6E1E" w:rsidRDefault="00D96A90" w:rsidP="00EF5AF2">
            <w:pPr>
              <w:spacing w:before="15" w:line="264" w:lineRule="exact"/>
              <w:ind w:left="37"/>
              <w:rPr>
                <w:rFonts w:ascii="Calibri" w:eastAsia="Arial MT" w:hAnsi="Arial MT" w:cs="Arial MT"/>
              </w:rPr>
            </w:pPr>
            <w:r w:rsidRPr="00AA6E1E">
              <w:rPr>
                <w:rFonts w:ascii="Calibri" w:eastAsia="Arial MT" w:hAnsi="Arial MT" w:cs="Arial MT"/>
              </w:rPr>
              <w:t>INVERSION</w:t>
            </w:r>
            <w:r w:rsidRPr="00AA6E1E">
              <w:rPr>
                <w:rFonts w:ascii="Calibri" w:eastAsia="Arial MT" w:hAnsi="Arial MT" w:cs="Arial MT"/>
                <w:spacing w:val="22"/>
              </w:rPr>
              <w:t xml:space="preserve"> </w:t>
            </w:r>
            <w:r w:rsidRPr="00AA6E1E">
              <w:rPr>
                <w:rFonts w:ascii="Calibri" w:eastAsia="Arial MT" w:hAnsi="Arial MT" w:cs="Arial MT"/>
                <w:spacing w:val="-2"/>
              </w:rPr>
              <w:t>NACION</w:t>
            </w:r>
          </w:p>
        </w:tc>
        <w:tc>
          <w:tcPr>
            <w:tcW w:w="1919" w:type="dxa"/>
            <w:tcBorders>
              <w:top w:val="single" w:sz="6" w:space="0" w:color="000000"/>
              <w:left w:val="single" w:sz="6" w:space="0" w:color="000000"/>
              <w:bottom w:val="single" w:sz="6" w:space="0" w:color="000000"/>
              <w:right w:val="single" w:sz="6" w:space="0" w:color="000000"/>
            </w:tcBorders>
          </w:tcPr>
          <w:p w14:paraId="1EE42482" w14:textId="77777777" w:rsidR="00D96A90" w:rsidRPr="00AA6E1E" w:rsidRDefault="00D96A90" w:rsidP="00EF5AF2">
            <w:pPr>
              <w:tabs>
                <w:tab w:val="left" w:pos="489"/>
              </w:tabs>
              <w:spacing w:before="15" w:line="264" w:lineRule="exact"/>
              <w:ind w:left="24"/>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2.795.970.688</w:t>
            </w:r>
          </w:p>
        </w:tc>
        <w:tc>
          <w:tcPr>
            <w:tcW w:w="1919" w:type="dxa"/>
            <w:tcBorders>
              <w:top w:val="single" w:sz="6" w:space="0" w:color="000000"/>
              <w:left w:val="single" w:sz="6" w:space="0" w:color="000000"/>
              <w:bottom w:val="single" w:sz="6" w:space="0" w:color="000000"/>
              <w:right w:val="single" w:sz="6" w:space="0" w:color="000000"/>
            </w:tcBorders>
          </w:tcPr>
          <w:p w14:paraId="31594D45" w14:textId="77777777" w:rsidR="00D96A90" w:rsidRPr="00AA6E1E" w:rsidRDefault="00D96A90" w:rsidP="00EF5AF2">
            <w:pPr>
              <w:tabs>
                <w:tab w:val="left" w:pos="578"/>
              </w:tabs>
              <w:spacing w:before="15" w:line="264" w:lineRule="exact"/>
              <w:ind w:left="113"/>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1.142.670.365</w:t>
            </w:r>
          </w:p>
        </w:tc>
        <w:tc>
          <w:tcPr>
            <w:tcW w:w="1919" w:type="dxa"/>
            <w:tcBorders>
              <w:top w:val="single" w:sz="6" w:space="0" w:color="000000"/>
              <w:left w:val="single" w:sz="6" w:space="0" w:color="000000"/>
              <w:bottom w:val="single" w:sz="6" w:space="0" w:color="000000"/>
              <w:right w:val="single" w:sz="6" w:space="0" w:color="000000"/>
            </w:tcBorders>
          </w:tcPr>
          <w:p w14:paraId="49F612D4" w14:textId="77777777" w:rsidR="00D96A90" w:rsidRPr="00AA6E1E" w:rsidRDefault="00D96A90" w:rsidP="00EF5AF2">
            <w:pPr>
              <w:tabs>
                <w:tab w:val="left" w:pos="492"/>
              </w:tabs>
              <w:spacing w:before="15" w:line="264" w:lineRule="exact"/>
              <w:ind w:left="28"/>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1.653.300.323</w:t>
            </w:r>
          </w:p>
        </w:tc>
      </w:tr>
      <w:tr w:rsidR="00D96A90" w:rsidRPr="00AA6E1E" w14:paraId="2C49DB56" w14:textId="77777777" w:rsidTr="00EF5AF2">
        <w:trPr>
          <w:trHeight w:val="285"/>
          <w:jc w:val="center"/>
        </w:trPr>
        <w:tc>
          <w:tcPr>
            <w:tcW w:w="2700" w:type="dxa"/>
            <w:tcBorders>
              <w:top w:val="single" w:sz="6" w:space="0" w:color="000000"/>
              <w:left w:val="single" w:sz="6" w:space="0" w:color="000000"/>
              <w:bottom w:val="single" w:sz="6" w:space="0" w:color="000000"/>
              <w:right w:val="single" w:sz="6" w:space="0" w:color="000000"/>
            </w:tcBorders>
          </w:tcPr>
          <w:p w14:paraId="446C55B5" w14:textId="77777777" w:rsidR="00D96A90" w:rsidRPr="00AA6E1E" w:rsidRDefault="00D96A90" w:rsidP="00EF5AF2">
            <w:pPr>
              <w:spacing w:before="15" w:line="250" w:lineRule="exact"/>
              <w:ind w:left="37"/>
              <w:rPr>
                <w:rFonts w:ascii="Calibri" w:eastAsia="Arial MT" w:hAnsi="Arial MT" w:cs="Arial MT"/>
              </w:rPr>
            </w:pPr>
            <w:r w:rsidRPr="00AA6E1E">
              <w:rPr>
                <w:rFonts w:ascii="Calibri" w:eastAsia="Arial MT" w:hAnsi="Arial MT" w:cs="Arial MT"/>
              </w:rPr>
              <w:t>INVERSION</w:t>
            </w:r>
            <w:r w:rsidRPr="00AA6E1E">
              <w:rPr>
                <w:rFonts w:ascii="Calibri" w:eastAsia="Arial MT" w:hAnsi="Arial MT" w:cs="Arial MT"/>
                <w:spacing w:val="22"/>
              </w:rPr>
              <w:t xml:space="preserve"> </w:t>
            </w:r>
            <w:r w:rsidRPr="00AA6E1E">
              <w:rPr>
                <w:rFonts w:ascii="Calibri" w:eastAsia="Arial MT" w:hAnsi="Arial MT" w:cs="Arial MT"/>
                <w:spacing w:val="-2"/>
              </w:rPr>
              <w:t>PROPIOS</w:t>
            </w:r>
          </w:p>
        </w:tc>
        <w:tc>
          <w:tcPr>
            <w:tcW w:w="1919" w:type="dxa"/>
            <w:tcBorders>
              <w:top w:val="single" w:sz="6" w:space="0" w:color="000000"/>
              <w:left w:val="single" w:sz="6" w:space="0" w:color="000000"/>
              <w:bottom w:val="single" w:sz="6" w:space="0" w:color="000000"/>
              <w:right w:val="single" w:sz="6" w:space="0" w:color="000000"/>
            </w:tcBorders>
          </w:tcPr>
          <w:p w14:paraId="0B20CEAF" w14:textId="77777777" w:rsidR="00D96A90" w:rsidRPr="00AA6E1E" w:rsidRDefault="00D96A90" w:rsidP="00EF5AF2">
            <w:pPr>
              <w:tabs>
                <w:tab w:val="left" w:pos="489"/>
              </w:tabs>
              <w:spacing w:before="15" w:line="250" w:lineRule="exact"/>
              <w:ind w:left="24"/>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1.838.029.684</w:t>
            </w:r>
          </w:p>
        </w:tc>
        <w:tc>
          <w:tcPr>
            <w:tcW w:w="1919" w:type="dxa"/>
            <w:tcBorders>
              <w:top w:val="single" w:sz="6" w:space="0" w:color="000000"/>
              <w:left w:val="single" w:sz="6" w:space="0" w:color="000000"/>
              <w:bottom w:val="single" w:sz="6" w:space="0" w:color="000000"/>
              <w:right w:val="single" w:sz="6" w:space="0" w:color="000000"/>
            </w:tcBorders>
          </w:tcPr>
          <w:p w14:paraId="04A5CDD8" w14:textId="77777777" w:rsidR="00D96A90" w:rsidRPr="00AA6E1E" w:rsidRDefault="00D96A90" w:rsidP="00EF5AF2">
            <w:pPr>
              <w:tabs>
                <w:tab w:val="left" w:pos="1523"/>
              </w:tabs>
              <w:spacing w:before="15" w:line="250" w:lineRule="exact"/>
              <w:ind w:left="113"/>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10"/>
              </w:rPr>
              <w:t>-</w:t>
            </w:r>
          </w:p>
        </w:tc>
        <w:tc>
          <w:tcPr>
            <w:tcW w:w="1919" w:type="dxa"/>
            <w:tcBorders>
              <w:top w:val="single" w:sz="6" w:space="0" w:color="000000"/>
              <w:left w:val="single" w:sz="6" w:space="0" w:color="000000"/>
              <w:bottom w:val="single" w:sz="6" w:space="0" w:color="000000"/>
              <w:right w:val="single" w:sz="6" w:space="0" w:color="000000"/>
            </w:tcBorders>
          </w:tcPr>
          <w:p w14:paraId="67D688C5" w14:textId="77777777" w:rsidR="00D96A90" w:rsidRPr="00AA6E1E" w:rsidRDefault="00D96A90" w:rsidP="00EF5AF2">
            <w:pPr>
              <w:tabs>
                <w:tab w:val="left" w:pos="492"/>
              </w:tabs>
              <w:spacing w:before="15" w:line="250" w:lineRule="exact"/>
              <w:ind w:left="28"/>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1.838.029.684</w:t>
            </w:r>
          </w:p>
        </w:tc>
      </w:tr>
      <w:tr w:rsidR="00D96A90" w:rsidRPr="00AA6E1E" w14:paraId="37113537" w14:textId="77777777" w:rsidTr="00EF5AF2">
        <w:trPr>
          <w:trHeight w:val="282"/>
          <w:jc w:val="center"/>
        </w:trPr>
        <w:tc>
          <w:tcPr>
            <w:tcW w:w="2700" w:type="dxa"/>
            <w:tcBorders>
              <w:top w:val="single" w:sz="6" w:space="0" w:color="000000"/>
              <w:left w:val="single" w:sz="6" w:space="0" w:color="000000"/>
              <w:bottom w:val="single" w:sz="8" w:space="0" w:color="000000"/>
              <w:right w:val="single" w:sz="6" w:space="0" w:color="000000"/>
            </w:tcBorders>
          </w:tcPr>
          <w:p w14:paraId="2870500E" w14:textId="77777777" w:rsidR="00D96A90" w:rsidRPr="00AA6E1E" w:rsidRDefault="00D96A90" w:rsidP="00EF5AF2">
            <w:pPr>
              <w:spacing w:before="15" w:line="247" w:lineRule="exact"/>
              <w:ind w:left="37"/>
              <w:rPr>
                <w:rFonts w:ascii="Calibri" w:eastAsia="Arial MT" w:hAnsi="Arial MT" w:cs="Arial MT"/>
              </w:rPr>
            </w:pPr>
            <w:r w:rsidRPr="00AA6E1E">
              <w:rPr>
                <w:rFonts w:ascii="Calibri" w:eastAsia="Arial MT" w:hAnsi="Arial MT" w:cs="Arial MT"/>
                <w:spacing w:val="-2"/>
              </w:rPr>
              <w:t>TOTAL</w:t>
            </w:r>
          </w:p>
        </w:tc>
        <w:tc>
          <w:tcPr>
            <w:tcW w:w="1919" w:type="dxa"/>
            <w:tcBorders>
              <w:top w:val="single" w:sz="6" w:space="0" w:color="000000"/>
              <w:left w:val="single" w:sz="6" w:space="0" w:color="000000"/>
              <w:bottom w:val="single" w:sz="8" w:space="0" w:color="000000"/>
              <w:right w:val="single" w:sz="6" w:space="0" w:color="000000"/>
            </w:tcBorders>
          </w:tcPr>
          <w:p w14:paraId="77BBEC72" w14:textId="77777777" w:rsidR="00D96A90" w:rsidRPr="00AA6E1E" w:rsidRDefault="00D96A90" w:rsidP="00EF5AF2">
            <w:pPr>
              <w:tabs>
                <w:tab w:val="left" w:pos="489"/>
              </w:tabs>
              <w:spacing w:before="15" w:line="247" w:lineRule="exact"/>
              <w:ind w:left="24"/>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6.868.075.363</w:t>
            </w:r>
          </w:p>
        </w:tc>
        <w:tc>
          <w:tcPr>
            <w:tcW w:w="1919" w:type="dxa"/>
            <w:tcBorders>
              <w:top w:val="single" w:sz="6" w:space="0" w:color="000000"/>
              <w:left w:val="single" w:sz="6" w:space="0" w:color="000000"/>
              <w:bottom w:val="single" w:sz="8" w:space="0" w:color="000000"/>
              <w:right w:val="single" w:sz="6" w:space="0" w:color="000000"/>
            </w:tcBorders>
          </w:tcPr>
          <w:p w14:paraId="7F6AB690" w14:textId="77777777" w:rsidR="00D96A90" w:rsidRPr="00AA6E1E" w:rsidRDefault="00D96A90" w:rsidP="00EF5AF2">
            <w:pPr>
              <w:tabs>
                <w:tab w:val="left" w:pos="578"/>
              </w:tabs>
              <w:spacing w:before="15" w:line="247" w:lineRule="exact"/>
              <w:ind w:left="113"/>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1.403.151.815</w:t>
            </w:r>
          </w:p>
        </w:tc>
        <w:tc>
          <w:tcPr>
            <w:tcW w:w="1919" w:type="dxa"/>
            <w:tcBorders>
              <w:top w:val="single" w:sz="6" w:space="0" w:color="000000"/>
              <w:left w:val="single" w:sz="6" w:space="0" w:color="000000"/>
              <w:bottom w:val="single" w:sz="8" w:space="0" w:color="000000"/>
              <w:right w:val="single" w:sz="6" w:space="0" w:color="000000"/>
            </w:tcBorders>
          </w:tcPr>
          <w:p w14:paraId="3BEABAE8" w14:textId="77777777" w:rsidR="00D96A90" w:rsidRPr="00AA6E1E" w:rsidRDefault="00D96A90" w:rsidP="00EF5AF2">
            <w:pPr>
              <w:tabs>
                <w:tab w:val="left" w:pos="492"/>
              </w:tabs>
              <w:spacing w:before="15" w:line="247" w:lineRule="exact"/>
              <w:ind w:left="28"/>
              <w:jc w:val="center"/>
              <w:rPr>
                <w:rFonts w:ascii="Calibri" w:eastAsia="Arial MT" w:hAnsi="Arial MT" w:cs="Arial MT"/>
              </w:rPr>
            </w:pPr>
            <w:r w:rsidRPr="00AA6E1E">
              <w:rPr>
                <w:rFonts w:ascii="Calibri" w:eastAsia="Arial MT" w:hAnsi="Arial MT" w:cs="Arial MT"/>
                <w:spacing w:val="-10"/>
              </w:rPr>
              <w:t>$</w:t>
            </w:r>
            <w:r w:rsidRPr="00AA6E1E">
              <w:rPr>
                <w:rFonts w:ascii="Calibri" w:eastAsia="Arial MT" w:hAnsi="Arial MT" w:cs="Arial MT"/>
              </w:rPr>
              <w:tab/>
            </w:r>
            <w:r w:rsidRPr="00AA6E1E">
              <w:rPr>
                <w:rFonts w:ascii="Calibri" w:eastAsia="Arial MT" w:hAnsi="Arial MT" w:cs="Arial MT"/>
                <w:spacing w:val="-2"/>
              </w:rPr>
              <w:t>5.464.923.548</w:t>
            </w:r>
          </w:p>
        </w:tc>
      </w:tr>
    </w:tbl>
    <w:p w14:paraId="2A335E24" w14:textId="77777777" w:rsidR="00D96A90" w:rsidRDefault="00D96A90" w:rsidP="00D96A90">
      <w:pPr>
        <w:pStyle w:val="Textoindependiente"/>
        <w:spacing w:before="3"/>
        <w:jc w:val="both"/>
        <w:rPr>
          <w:b/>
        </w:rPr>
      </w:pPr>
    </w:p>
    <w:p w14:paraId="0FAF58C8" w14:textId="77777777" w:rsidR="00D96A90" w:rsidRPr="001908C4" w:rsidRDefault="00D96A90" w:rsidP="0063799A">
      <w:pPr>
        <w:pStyle w:val="Textoindependiente"/>
        <w:spacing w:before="3"/>
        <w:ind w:left="-284" w:right="-234"/>
        <w:jc w:val="both"/>
        <w:rPr>
          <w:rFonts w:ascii="Arial" w:hAnsi="Arial" w:cs="Arial"/>
          <w:b/>
          <w:sz w:val="24"/>
          <w:szCs w:val="24"/>
        </w:rPr>
      </w:pPr>
      <w:r w:rsidRPr="001908C4">
        <w:rPr>
          <w:rFonts w:ascii="Arial" w:hAnsi="Arial" w:cs="Arial"/>
          <w:b/>
          <w:sz w:val="24"/>
          <w:szCs w:val="24"/>
        </w:rPr>
        <w:t>Por consecuencia de estos ajustes los valores de los topes alcanzados varían para funcionamiento del 5.95%, Inversión del 33.61%, los cuales se justifican según las siguientes modificaciones y adiciones presupuestales del año 2024 de RECURSOS NACION:</w:t>
      </w:r>
    </w:p>
    <w:p w14:paraId="54EDB1FE" w14:textId="77777777" w:rsidR="00D96A90" w:rsidRDefault="00D96A90" w:rsidP="00D96A90">
      <w:pPr>
        <w:pStyle w:val="Textoindependiente"/>
        <w:spacing w:before="3"/>
        <w:jc w:val="both"/>
        <w:rPr>
          <w:b/>
        </w:rPr>
      </w:pPr>
    </w:p>
    <w:tbl>
      <w:tblPr>
        <w:tblStyle w:val="TableNormal"/>
        <w:tblW w:w="0" w:type="auto"/>
        <w:jc w:val="center"/>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1563"/>
        <w:gridCol w:w="1268"/>
        <w:gridCol w:w="1481"/>
        <w:gridCol w:w="1267"/>
        <w:gridCol w:w="1267"/>
        <w:gridCol w:w="1267"/>
        <w:gridCol w:w="1267"/>
      </w:tblGrid>
      <w:tr w:rsidR="00D96A90" w:rsidRPr="00AA6E1E" w14:paraId="46D80B57" w14:textId="77777777" w:rsidTr="00EF5AF2">
        <w:trPr>
          <w:trHeight w:val="234"/>
          <w:jc w:val="center"/>
        </w:trPr>
        <w:tc>
          <w:tcPr>
            <w:tcW w:w="9380" w:type="dxa"/>
            <w:gridSpan w:val="7"/>
            <w:tcBorders>
              <w:bottom w:val="single" w:sz="12" w:space="0" w:color="000000"/>
            </w:tcBorders>
          </w:tcPr>
          <w:p w14:paraId="3DD24619" w14:textId="77777777" w:rsidR="00D96A90" w:rsidRPr="00AA6E1E" w:rsidRDefault="00D96A90" w:rsidP="00EF5AF2">
            <w:pPr>
              <w:spacing w:line="215" w:lineRule="exact"/>
              <w:ind w:left="29"/>
              <w:jc w:val="center"/>
              <w:rPr>
                <w:rFonts w:ascii="Calibri" w:eastAsia="Arial MT" w:hAnsi="Calibri" w:cs="Arial MT"/>
                <w:sz w:val="19"/>
              </w:rPr>
            </w:pPr>
            <w:r w:rsidRPr="00AA6E1E">
              <w:rPr>
                <w:rFonts w:ascii="Calibri" w:eastAsia="Arial MT" w:hAnsi="Calibri" w:cs="Arial MT"/>
                <w:spacing w:val="-2"/>
                <w:sz w:val="19"/>
              </w:rPr>
              <w:t>RESERVAS</w:t>
            </w:r>
            <w:r w:rsidRPr="00AA6E1E">
              <w:rPr>
                <w:rFonts w:ascii="Calibri" w:eastAsia="Arial MT" w:hAnsi="Calibri" w:cs="Arial MT"/>
                <w:spacing w:val="-9"/>
                <w:sz w:val="19"/>
              </w:rPr>
              <w:t xml:space="preserve"> </w:t>
            </w:r>
            <w:r w:rsidRPr="00AA6E1E">
              <w:rPr>
                <w:rFonts w:ascii="Calibri" w:eastAsia="Arial MT" w:hAnsi="Calibri" w:cs="Arial MT"/>
                <w:spacing w:val="-2"/>
                <w:sz w:val="19"/>
              </w:rPr>
              <w:t>SEGÚN</w:t>
            </w:r>
            <w:r w:rsidRPr="00AA6E1E">
              <w:rPr>
                <w:rFonts w:ascii="Calibri" w:eastAsia="Arial MT" w:hAnsi="Calibri" w:cs="Arial MT"/>
                <w:spacing w:val="-9"/>
                <w:sz w:val="19"/>
              </w:rPr>
              <w:t xml:space="preserve"> </w:t>
            </w:r>
            <w:r w:rsidRPr="00AA6E1E">
              <w:rPr>
                <w:rFonts w:ascii="Calibri" w:eastAsia="Arial MT" w:hAnsi="Calibri" w:cs="Arial MT"/>
                <w:spacing w:val="-2"/>
                <w:sz w:val="19"/>
              </w:rPr>
              <w:t>REVELACIONES</w:t>
            </w:r>
            <w:r w:rsidRPr="00AA6E1E">
              <w:rPr>
                <w:rFonts w:ascii="Calibri" w:eastAsia="Arial MT" w:hAnsi="Calibri" w:cs="Arial MT"/>
                <w:spacing w:val="-9"/>
                <w:sz w:val="19"/>
              </w:rPr>
              <w:t xml:space="preserve"> </w:t>
            </w:r>
            <w:r w:rsidRPr="00AA6E1E">
              <w:rPr>
                <w:rFonts w:ascii="Calibri" w:eastAsia="Arial MT" w:hAnsi="Calibri" w:cs="Arial MT"/>
                <w:spacing w:val="-2"/>
                <w:sz w:val="19"/>
              </w:rPr>
              <w:t>DE</w:t>
            </w:r>
            <w:r w:rsidRPr="00AA6E1E">
              <w:rPr>
                <w:rFonts w:ascii="Calibri" w:eastAsia="Arial MT" w:hAnsi="Calibri" w:cs="Arial MT"/>
                <w:spacing w:val="-11"/>
                <w:sz w:val="19"/>
              </w:rPr>
              <w:t xml:space="preserve"> </w:t>
            </w:r>
            <w:r w:rsidRPr="00AA6E1E">
              <w:rPr>
                <w:rFonts w:ascii="Calibri" w:eastAsia="Arial MT" w:hAnsi="Calibri" w:cs="Arial MT"/>
                <w:spacing w:val="-2"/>
                <w:sz w:val="19"/>
              </w:rPr>
              <w:t>LAS</w:t>
            </w:r>
            <w:r w:rsidRPr="00AA6E1E">
              <w:rPr>
                <w:rFonts w:ascii="Calibri" w:eastAsia="Arial MT" w:hAnsi="Calibri" w:cs="Arial MT"/>
                <w:spacing w:val="-8"/>
                <w:sz w:val="19"/>
              </w:rPr>
              <w:t xml:space="preserve"> </w:t>
            </w:r>
            <w:r w:rsidRPr="00AA6E1E">
              <w:rPr>
                <w:rFonts w:ascii="Calibri" w:eastAsia="Arial MT" w:hAnsi="Calibri" w:cs="Arial MT"/>
                <w:spacing w:val="-2"/>
                <w:sz w:val="19"/>
              </w:rPr>
              <w:t>RESERVAS</w:t>
            </w:r>
            <w:r w:rsidRPr="00AA6E1E">
              <w:rPr>
                <w:rFonts w:ascii="Calibri" w:eastAsia="Arial MT" w:hAnsi="Calibri" w:cs="Arial MT"/>
                <w:spacing w:val="-9"/>
                <w:sz w:val="19"/>
              </w:rPr>
              <w:t xml:space="preserve"> </w:t>
            </w:r>
            <w:r w:rsidRPr="00AA6E1E">
              <w:rPr>
                <w:rFonts w:ascii="Calibri" w:eastAsia="Arial MT" w:hAnsi="Calibri" w:cs="Arial MT"/>
                <w:spacing w:val="-2"/>
                <w:sz w:val="19"/>
              </w:rPr>
              <w:t>INDUCIDAS</w:t>
            </w:r>
          </w:p>
        </w:tc>
      </w:tr>
      <w:tr w:rsidR="00D96A90" w:rsidRPr="00AA6E1E" w14:paraId="52C657AF" w14:textId="77777777" w:rsidTr="00EF5AF2">
        <w:trPr>
          <w:trHeight w:val="484"/>
          <w:jc w:val="center"/>
        </w:trPr>
        <w:tc>
          <w:tcPr>
            <w:tcW w:w="1563" w:type="dxa"/>
            <w:tcBorders>
              <w:top w:val="single" w:sz="12" w:space="0" w:color="000000"/>
              <w:left w:val="single" w:sz="6" w:space="0" w:color="000000"/>
              <w:bottom w:val="single" w:sz="12" w:space="0" w:color="000000"/>
              <w:right w:val="single" w:sz="12" w:space="0" w:color="000000"/>
            </w:tcBorders>
          </w:tcPr>
          <w:p w14:paraId="6937F5C6" w14:textId="77777777" w:rsidR="00D96A90" w:rsidRPr="00AA6E1E" w:rsidRDefault="00D96A90" w:rsidP="00EF5AF2">
            <w:pPr>
              <w:spacing w:before="117"/>
              <w:ind w:left="363"/>
              <w:rPr>
                <w:rFonts w:ascii="Calibri" w:eastAsia="Arial MT" w:hAnsi="Arial MT" w:cs="Arial MT"/>
                <w:sz w:val="19"/>
              </w:rPr>
            </w:pPr>
            <w:r w:rsidRPr="00AA6E1E">
              <w:rPr>
                <w:rFonts w:ascii="Calibri" w:eastAsia="Arial MT" w:hAnsi="Arial MT" w:cs="Arial MT"/>
                <w:spacing w:val="-2"/>
                <w:sz w:val="19"/>
              </w:rPr>
              <w:lastRenderedPageBreak/>
              <w:t>CONCEPTO</w:t>
            </w:r>
          </w:p>
        </w:tc>
        <w:tc>
          <w:tcPr>
            <w:tcW w:w="1268" w:type="dxa"/>
            <w:tcBorders>
              <w:top w:val="single" w:sz="12" w:space="0" w:color="000000"/>
              <w:left w:val="single" w:sz="12" w:space="0" w:color="000000"/>
              <w:bottom w:val="single" w:sz="12" w:space="0" w:color="000000"/>
              <w:right w:val="single" w:sz="12" w:space="0" w:color="000000"/>
            </w:tcBorders>
          </w:tcPr>
          <w:p w14:paraId="22DC9FB9" w14:textId="77777777" w:rsidR="00D96A90" w:rsidRPr="00AA6E1E" w:rsidRDefault="00D96A90" w:rsidP="00EF5AF2">
            <w:pPr>
              <w:spacing w:line="224" w:lineRule="exact"/>
              <w:ind w:left="73"/>
              <w:rPr>
                <w:rFonts w:ascii="Calibri" w:eastAsia="Arial MT" w:hAnsi="Arial MT" w:cs="Arial MT"/>
                <w:sz w:val="19"/>
              </w:rPr>
            </w:pPr>
            <w:r w:rsidRPr="00AA6E1E">
              <w:rPr>
                <w:rFonts w:ascii="Calibri" w:eastAsia="Arial MT" w:hAnsi="Arial MT" w:cs="Arial MT"/>
                <w:spacing w:val="-2"/>
                <w:sz w:val="19"/>
              </w:rPr>
              <w:t>PRESUPUESTO</w:t>
            </w:r>
          </w:p>
          <w:p w14:paraId="04E83A2D" w14:textId="77777777" w:rsidR="00D96A90" w:rsidRPr="00AA6E1E" w:rsidRDefault="00D96A90" w:rsidP="00EF5AF2">
            <w:pPr>
              <w:spacing w:before="19" w:line="221" w:lineRule="exact"/>
              <w:ind w:left="60"/>
              <w:rPr>
                <w:rFonts w:ascii="Calibri" w:eastAsia="Arial MT" w:hAnsi="Arial MT" w:cs="Arial MT"/>
                <w:sz w:val="19"/>
              </w:rPr>
            </w:pPr>
            <w:r w:rsidRPr="00AA6E1E">
              <w:rPr>
                <w:rFonts w:ascii="Calibri" w:eastAsia="Arial MT" w:hAnsi="Arial MT" w:cs="Arial MT"/>
                <w:spacing w:val="-2"/>
                <w:sz w:val="19"/>
              </w:rPr>
              <w:t>VIGENCIA</w:t>
            </w:r>
            <w:r w:rsidRPr="00AA6E1E">
              <w:rPr>
                <w:rFonts w:ascii="Calibri" w:eastAsia="Arial MT" w:hAnsi="Arial MT" w:cs="Arial MT"/>
                <w:spacing w:val="3"/>
                <w:sz w:val="19"/>
              </w:rPr>
              <w:t xml:space="preserve"> </w:t>
            </w:r>
            <w:r w:rsidRPr="00AA6E1E">
              <w:rPr>
                <w:rFonts w:ascii="Calibri" w:eastAsia="Arial MT" w:hAnsi="Arial MT" w:cs="Arial MT"/>
                <w:spacing w:val="-4"/>
                <w:sz w:val="19"/>
              </w:rPr>
              <w:t>2024</w:t>
            </w:r>
          </w:p>
        </w:tc>
        <w:tc>
          <w:tcPr>
            <w:tcW w:w="1481" w:type="dxa"/>
            <w:tcBorders>
              <w:top w:val="single" w:sz="12" w:space="0" w:color="000000"/>
              <w:left w:val="single" w:sz="12" w:space="0" w:color="000000"/>
              <w:bottom w:val="single" w:sz="12" w:space="0" w:color="000000"/>
              <w:right w:val="single" w:sz="12" w:space="0" w:color="000000"/>
            </w:tcBorders>
          </w:tcPr>
          <w:p w14:paraId="5C0C8C24" w14:textId="77777777" w:rsidR="00D96A90" w:rsidRPr="00AA6E1E" w:rsidRDefault="00D96A90" w:rsidP="00EF5AF2">
            <w:pPr>
              <w:spacing w:before="117"/>
              <w:ind w:left="400"/>
              <w:rPr>
                <w:rFonts w:ascii="Calibri" w:eastAsia="Arial MT" w:hAnsi="Arial MT" w:cs="Arial MT"/>
                <w:sz w:val="19"/>
              </w:rPr>
            </w:pPr>
            <w:r w:rsidRPr="00AA6E1E">
              <w:rPr>
                <w:rFonts w:ascii="Calibri" w:eastAsia="Arial MT" w:hAnsi="Arial MT" w:cs="Arial MT"/>
                <w:spacing w:val="-2"/>
                <w:sz w:val="19"/>
              </w:rPr>
              <w:t>PROPIOS</w:t>
            </w:r>
          </w:p>
        </w:tc>
        <w:tc>
          <w:tcPr>
            <w:tcW w:w="1267" w:type="dxa"/>
            <w:tcBorders>
              <w:top w:val="single" w:sz="12" w:space="0" w:color="000000"/>
              <w:left w:val="single" w:sz="12" w:space="0" w:color="000000"/>
              <w:bottom w:val="single" w:sz="12" w:space="0" w:color="000000"/>
              <w:right w:val="single" w:sz="12" w:space="0" w:color="000000"/>
            </w:tcBorders>
          </w:tcPr>
          <w:p w14:paraId="686918F8" w14:textId="77777777" w:rsidR="00D96A90" w:rsidRPr="00AA6E1E" w:rsidRDefault="00D96A90" w:rsidP="00EF5AF2">
            <w:pPr>
              <w:spacing w:before="117"/>
              <w:ind w:left="325"/>
              <w:rPr>
                <w:rFonts w:ascii="Calibri" w:eastAsia="Arial MT" w:hAnsi="Calibri" w:cs="Arial MT"/>
                <w:sz w:val="19"/>
              </w:rPr>
            </w:pPr>
            <w:r w:rsidRPr="00AA6E1E">
              <w:rPr>
                <w:rFonts w:ascii="Calibri" w:eastAsia="Arial MT" w:hAnsi="Calibri" w:cs="Arial MT"/>
                <w:spacing w:val="-2"/>
                <w:sz w:val="19"/>
              </w:rPr>
              <w:t>NACIÓN</w:t>
            </w:r>
          </w:p>
        </w:tc>
        <w:tc>
          <w:tcPr>
            <w:tcW w:w="1267" w:type="dxa"/>
            <w:tcBorders>
              <w:top w:val="single" w:sz="12" w:space="0" w:color="000000"/>
              <w:left w:val="single" w:sz="12" w:space="0" w:color="000000"/>
              <w:bottom w:val="single" w:sz="12" w:space="0" w:color="000000"/>
              <w:right w:val="single" w:sz="12" w:space="0" w:color="000000"/>
            </w:tcBorders>
          </w:tcPr>
          <w:p w14:paraId="22EFBE68" w14:textId="77777777" w:rsidR="00D96A90" w:rsidRPr="00AA6E1E" w:rsidRDefault="00D96A90" w:rsidP="00EF5AF2">
            <w:pPr>
              <w:spacing w:line="224" w:lineRule="exact"/>
              <w:ind w:left="2"/>
              <w:jc w:val="center"/>
              <w:rPr>
                <w:rFonts w:ascii="Calibri" w:eastAsia="Arial MT" w:hAnsi="Arial MT" w:cs="Arial MT"/>
                <w:sz w:val="19"/>
              </w:rPr>
            </w:pPr>
            <w:r w:rsidRPr="00AA6E1E">
              <w:rPr>
                <w:rFonts w:ascii="Calibri" w:eastAsia="Arial MT" w:hAnsi="Arial MT" w:cs="Arial MT"/>
                <w:spacing w:val="-2"/>
                <w:sz w:val="19"/>
              </w:rPr>
              <w:t>TOTAL,</w:t>
            </w:r>
          </w:p>
          <w:p w14:paraId="62686D3A" w14:textId="77777777" w:rsidR="00D96A90" w:rsidRPr="00AA6E1E" w:rsidRDefault="00D96A90" w:rsidP="00EF5AF2">
            <w:pPr>
              <w:spacing w:before="19" w:line="221" w:lineRule="exact"/>
              <w:ind w:left="38"/>
              <w:jc w:val="center"/>
              <w:rPr>
                <w:rFonts w:ascii="Calibri" w:eastAsia="Arial MT" w:hAnsi="Arial MT" w:cs="Arial MT"/>
                <w:sz w:val="19"/>
              </w:rPr>
            </w:pPr>
            <w:r w:rsidRPr="00AA6E1E">
              <w:rPr>
                <w:rFonts w:ascii="Calibri" w:eastAsia="Arial MT" w:hAnsi="Arial MT" w:cs="Arial MT"/>
                <w:spacing w:val="-2"/>
                <w:sz w:val="19"/>
              </w:rPr>
              <w:t>RESERVAS</w:t>
            </w:r>
            <w:r w:rsidRPr="00AA6E1E">
              <w:rPr>
                <w:rFonts w:ascii="Calibri" w:eastAsia="Arial MT" w:hAnsi="Arial MT" w:cs="Arial MT"/>
                <w:spacing w:val="-6"/>
                <w:sz w:val="19"/>
              </w:rPr>
              <w:t xml:space="preserve"> </w:t>
            </w:r>
            <w:r w:rsidRPr="00AA6E1E">
              <w:rPr>
                <w:rFonts w:ascii="Calibri" w:eastAsia="Arial MT" w:hAnsi="Arial MT" w:cs="Arial MT"/>
                <w:spacing w:val="-4"/>
                <w:sz w:val="19"/>
              </w:rPr>
              <w:t>2023</w:t>
            </w:r>
          </w:p>
        </w:tc>
        <w:tc>
          <w:tcPr>
            <w:tcW w:w="1267" w:type="dxa"/>
            <w:tcBorders>
              <w:top w:val="single" w:sz="12" w:space="0" w:color="000000"/>
              <w:left w:val="single" w:sz="12" w:space="0" w:color="000000"/>
              <w:bottom w:val="single" w:sz="12" w:space="0" w:color="000000"/>
              <w:right w:val="single" w:sz="12" w:space="0" w:color="000000"/>
            </w:tcBorders>
          </w:tcPr>
          <w:p w14:paraId="5B3334EB" w14:textId="77777777" w:rsidR="00D96A90" w:rsidRPr="00AA6E1E" w:rsidRDefault="00D96A90" w:rsidP="00EF5AF2">
            <w:pPr>
              <w:spacing w:line="224" w:lineRule="exact"/>
              <w:ind w:left="7"/>
              <w:jc w:val="center"/>
              <w:rPr>
                <w:rFonts w:ascii="Calibri" w:eastAsia="Arial MT" w:hAnsi="Arial MT" w:cs="Arial MT"/>
                <w:sz w:val="19"/>
              </w:rPr>
            </w:pPr>
            <w:r w:rsidRPr="00AA6E1E">
              <w:rPr>
                <w:rFonts w:ascii="Calibri" w:eastAsia="Arial MT" w:hAnsi="Arial MT" w:cs="Arial MT"/>
                <w:spacing w:val="-4"/>
                <w:sz w:val="19"/>
              </w:rPr>
              <w:t>TOPES</w:t>
            </w:r>
            <w:r w:rsidRPr="00AA6E1E">
              <w:rPr>
                <w:rFonts w:ascii="Calibri" w:eastAsia="Arial MT" w:hAnsi="Arial MT" w:cs="Arial MT"/>
                <w:spacing w:val="1"/>
                <w:sz w:val="19"/>
              </w:rPr>
              <w:t xml:space="preserve"> </w:t>
            </w:r>
            <w:r w:rsidRPr="00AA6E1E">
              <w:rPr>
                <w:rFonts w:ascii="Calibri" w:eastAsia="Arial MT" w:hAnsi="Arial MT" w:cs="Arial MT"/>
                <w:spacing w:val="-2"/>
                <w:sz w:val="19"/>
              </w:rPr>
              <w:t>MONTO</w:t>
            </w:r>
          </w:p>
          <w:p w14:paraId="5681F5F5" w14:textId="77777777" w:rsidR="00D96A90" w:rsidRPr="00AA6E1E" w:rsidRDefault="00D96A90" w:rsidP="00EF5AF2">
            <w:pPr>
              <w:spacing w:before="19" w:line="221" w:lineRule="exact"/>
              <w:ind w:left="45"/>
              <w:jc w:val="center"/>
              <w:rPr>
                <w:rFonts w:ascii="Calibri" w:eastAsia="Arial MT" w:hAnsi="Arial MT" w:cs="Arial MT"/>
                <w:sz w:val="19"/>
              </w:rPr>
            </w:pPr>
            <w:r w:rsidRPr="00AA6E1E">
              <w:rPr>
                <w:rFonts w:ascii="Calibri" w:eastAsia="Arial MT" w:hAnsi="Arial MT" w:cs="Arial MT"/>
                <w:spacing w:val="-2"/>
                <w:sz w:val="19"/>
              </w:rPr>
              <w:t>RESERVAS</w:t>
            </w:r>
          </w:p>
        </w:tc>
        <w:tc>
          <w:tcPr>
            <w:tcW w:w="1267" w:type="dxa"/>
            <w:tcBorders>
              <w:top w:val="single" w:sz="12" w:space="0" w:color="000000"/>
              <w:left w:val="single" w:sz="12" w:space="0" w:color="000000"/>
              <w:bottom w:val="single" w:sz="12" w:space="0" w:color="000000"/>
              <w:right w:val="single" w:sz="12" w:space="0" w:color="000000"/>
            </w:tcBorders>
          </w:tcPr>
          <w:p w14:paraId="52C5A8FF" w14:textId="77777777" w:rsidR="00D96A90" w:rsidRPr="00AA6E1E" w:rsidRDefault="00D96A90" w:rsidP="00EF5AF2">
            <w:pPr>
              <w:spacing w:line="224" w:lineRule="exact"/>
              <w:ind w:left="3"/>
              <w:jc w:val="center"/>
              <w:rPr>
                <w:rFonts w:ascii="Calibri" w:eastAsia="Arial MT" w:hAnsi="Arial MT" w:cs="Arial MT"/>
                <w:sz w:val="19"/>
              </w:rPr>
            </w:pPr>
            <w:r w:rsidRPr="00AA6E1E">
              <w:rPr>
                <w:rFonts w:ascii="Calibri" w:eastAsia="Arial MT" w:hAnsi="Arial MT" w:cs="Arial MT"/>
                <w:spacing w:val="-4"/>
                <w:sz w:val="19"/>
              </w:rPr>
              <w:t>TOPE</w:t>
            </w:r>
          </w:p>
          <w:p w14:paraId="03F1152F" w14:textId="77777777" w:rsidR="00D96A90" w:rsidRPr="00AA6E1E" w:rsidRDefault="00D96A90" w:rsidP="00EF5AF2">
            <w:pPr>
              <w:spacing w:before="19" w:line="221" w:lineRule="exact"/>
              <w:ind w:left="35"/>
              <w:jc w:val="center"/>
              <w:rPr>
                <w:rFonts w:ascii="Calibri" w:eastAsia="Arial MT" w:hAnsi="Arial MT" w:cs="Arial MT"/>
                <w:sz w:val="19"/>
              </w:rPr>
            </w:pPr>
            <w:r w:rsidRPr="00AA6E1E">
              <w:rPr>
                <w:rFonts w:ascii="Calibri" w:eastAsia="Arial MT" w:hAnsi="Arial MT" w:cs="Arial MT"/>
                <w:spacing w:val="-2"/>
                <w:sz w:val="19"/>
              </w:rPr>
              <w:t>ALCANZADO</w:t>
            </w:r>
          </w:p>
        </w:tc>
      </w:tr>
      <w:tr w:rsidR="00D96A90" w:rsidRPr="00AA6E1E" w14:paraId="30EF33CF" w14:textId="77777777" w:rsidTr="00EF5AF2">
        <w:trPr>
          <w:trHeight w:val="233"/>
          <w:jc w:val="center"/>
        </w:trPr>
        <w:tc>
          <w:tcPr>
            <w:tcW w:w="1563" w:type="dxa"/>
            <w:tcBorders>
              <w:top w:val="single" w:sz="12" w:space="0" w:color="000000"/>
              <w:left w:val="single" w:sz="6" w:space="0" w:color="000000"/>
              <w:bottom w:val="single" w:sz="12" w:space="0" w:color="000000"/>
              <w:right w:val="single" w:sz="12" w:space="0" w:color="000000"/>
            </w:tcBorders>
          </w:tcPr>
          <w:p w14:paraId="1E1EA37A" w14:textId="77777777" w:rsidR="00D96A90" w:rsidRPr="00AA6E1E" w:rsidRDefault="00D96A90" w:rsidP="00EF5AF2">
            <w:pPr>
              <w:spacing w:line="213" w:lineRule="exact"/>
              <w:ind w:left="36"/>
              <w:rPr>
                <w:rFonts w:ascii="Calibri" w:eastAsia="Arial MT" w:hAnsi="Arial MT" w:cs="Arial MT"/>
                <w:sz w:val="19"/>
              </w:rPr>
            </w:pPr>
            <w:r w:rsidRPr="00AA6E1E">
              <w:rPr>
                <w:rFonts w:ascii="Calibri" w:eastAsia="Arial MT" w:hAnsi="Arial MT" w:cs="Arial MT"/>
                <w:spacing w:val="-2"/>
                <w:sz w:val="19"/>
              </w:rPr>
              <w:t>FUNCIONAMIENTO</w:t>
            </w:r>
          </w:p>
        </w:tc>
        <w:tc>
          <w:tcPr>
            <w:tcW w:w="1268" w:type="dxa"/>
            <w:tcBorders>
              <w:top w:val="single" w:sz="12" w:space="0" w:color="000000"/>
              <w:left w:val="single" w:sz="12" w:space="0" w:color="000000"/>
              <w:bottom w:val="single" w:sz="12" w:space="0" w:color="000000"/>
              <w:right w:val="single" w:sz="12" w:space="0" w:color="000000"/>
            </w:tcBorders>
          </w:tcPr>
          <w:p w14:paraId="18723D10" w14:textId="77777777" w:rsidR="00D96A90" w:rsidRPr="00AA6E1E" w:rsidRDefault="00D96A90" w:rsidP="00EF5AF2">
            <w:pPr>
              <w:spacing w:line="213" w:lineRule="exact"/>
              <w:ind w:left="123" w:right="-15"/>
              <w:jc w:val="center"/>
              <w:rPr>
                <w:rFonts w:ascii="Calibri" w:eastAsia="Arial MT" w:hAnsi="Arial MT" w:cs="Arial MT"/>
                <w:sz w:val="19"/>
              </w:rPr>
            </w:pPr>
            <w:r w:rsidRPr="00AA6E1E">
              <w:rPr>
                <w:rFonts w:ascii="Calibri" w:eastAsia="Arial MT" w:hAnsi="Arial MT" w:cs="Arial MT"/>
                <w:spacing w:val="-7"/>
                <w:sz w:val="19"/>
              </w:rPr>
              <w:t>27.744.712.630</w:t>
            </w:r>
          </w:p>
        </w:tc>
        <w:tc>
          <w:tcPr>
            <w:tcW w:w="1481" w:type="dxa"/>
            <w:tcBorders>
              <w:top w:val="single" w:sz="12" w:space="0" w:color="000000"/>
              <w:left w:val="single" w:sz="12" w:space="0" w:color="000000"/>
              <w:bottom w:val="single" w:sz="12" w:space="0" w:color="000000"/>
              <w:right w:val="single" w:sz="12" w:space="0" w:color="000000"/>
            </w:tcBorders>
          </w:tcPr>
          <w:p w14:paraId="719D5C10" w14:textId="77777777" w:rsidR="00D96A90" w:rsidRPr="00AA6E1E" w:rsidRDefault="00D96A90" w:rsidP="00EF5AF2">
            <w:pPr>
              <w:spacing w:line="213" w:lineRule="exact"/>
              <w:ind w:right="-15"/>
              <w:jc w:val="right"/>
              <w:rPr>
                <w:rFonts w:ascii="Calibri" w:eastAsia="Arial MT" w:hAnsi="Arial MT" w:cs="Arial MT"/>
                <w:sz w:val="19"/>
              </w:rPr>
            </w:pPr>
            <w:r w:rsidRPr="00AA6E1E">
              <w:rPr>
                <w:rFonts w:ascii="Calibri" w:eastAsia="Arial MT" w:hAnsi="Arial MT" w:cs="Arial MT"/>
                <w:spacing w:val="-2"/>
                <w:sz w:val="19"/>
              </w:rPr>
              <w:t>369.629.749</w:t>
            </w:r>
          </w:p>
        </w:tc>
        <w:tc>
          <w:tcPr>
            <w:tcW w:w="1267" w:type="dxa"/>
            <w:tcBorders>
              <w:top w:val="single" w:sz="12" w:space="0" w:color="000000"/>
              <w:left w:val="single" w:sz="12" w:space="0" w:color="000000"/>
              <w:bottom w:val="single" w:sz="12" w:space="0" w:color="000000"/>
              <w:right w:val="single" w:sz="12" w:space="0" w:color="000000"/>
            </w:tcBorders>
          </w:tcPr>
          <w:p w14:paraId="3CE1B611" w14:textId="77777777" w:rsidR="00D96A90" w:rsidRPr="00AA6E1E" w:rsidRDefault="00D96A90" w:rsidP="00EF5AF2">
            <w:pPr>
              <w:spacing w:line="213" w:lineRule="exact"/>
              <w:ind w:right="-15"/>
              <w:jc w:val="right"/>
              <w:rPr>
                <w:rFonts w:ascii="Calibri" w:eastAsia="Arial MT" w:hAnsi="Arial MT" w:cs="Arial MT"/>
                <w:sz w:val="19"/>
              </w:rPr>
            </w:pPr>
            <w:r w:rsidRPr="00AA6E1E">
              <w:rPr>
                <w:rFonts w:ascii="Calibri" w:eastAsia="Arial MT" w:hAnsi="Arial MT" w:cs="Arial MT"/>
                <w:spacing w:val="-2"/>
                <w:sz w:val="19"/>
              </w:rPr>
              <w:t>1.599.121.793</w:t>
            </w:r>
          </w:p>
        </w:tc>
        <w:tc>
          <w:tcPr>
            <w:tcW w:w="1267" w:type="dxa"/>
            <w:tcBorders>
              <w:top w:val="single" w:sz="12" w:space="0" w:color="000000"/>
              <w:left w:val="single" w:sz="12" w:space="0" w:color="000000"/>
              <w:bottom w:val="single" w:sz="12" w:space="0" w:color="000000"/>
              <w:right w:val="single" w:sz="12" w:space="0" w:color="000000"/>
            </w:tcBorders>
          </w:tcPr>
          <w:p w14:paraId="3A128584" w14:textId="77777777" w:rsidR="00D96A90" w:rsidRPr="00AA6E1E" w:rsidRDefault="00D96A90" w:rsidP="00EF5AF2">
            <w:pPr>
              <w:spacing w:line="213" w:lineRule="exact"/>
              <w:ind w:right="-15"/>
              <w:jc w:val="right"/>
              <w:rPr>
                <w:rFonts w:ascii="Calibri" w:eastAsia="Arial MT" w:hAnsi="Arial MT" w:cs="Arial MT"/>
                <w:sz w:val="19"/>
              </w:rPr>
            </w:pPr>
            <w:r w:rsidRPr="00AA6E1E">
              <w:rPr>
                <w:rFonts w:ascii="Calibri" w:eastAsia="Arial MT" w:hAnsi="Arial MT" w:cs="Arial MT"/>
                <w:spacing w:val="-2"/>
                <w:sz w:val="19"/>
              </w:rPr>
              <w:t>1.968.751.541</w:t>
            </w:r>
          </w:p>
        </w:tc>
        <w:tc>
          <w:tcPr>
            <w:tcW w:w="1267" w:type="dxa"/>
            <w:tcBorders>
              <w:top w:val="single" w:sz="12" w:space="0" w:color="000000"/>
              <w:left w:val="single" w:sz="12" w:space="0" w:color="000000"/>
              <w:bottom w:val="single" w:sz="12" w:space="0" w:color="000000"/>
              <w:right w:val="single" w:sz="12" w:space="0" w:color="000000"/>
            </w:tcBorders>
          </w:tcPr>
          <w:p w14:paraId="7398DC89" w14:textId="77777777" w:rsidR="00D96A90" w:rsidRPr="00AA6E1E" w:rsidRDefault="00D96A90" w:rsidP="00EF5AF2">
            <w:pPr>
              <w:spacing w:line="213" w:lineRule="exact"/>
              <w:ind w:left="35"/>
              <w:jc w:val="center"/>
              <w:rPr>
                <w:rFonts w:ascii="Calibri" w:eastAsia="Arial MT" w:hAnsi="Arial MT" w:cs="Arial MT"/>
                <w:sz w:val="19"/>
              </w:rPr>
            </w:pPr>
            <w:r w:rsidRPr="00AA6E1E">
              <w:rPr>
                <w:rFonts w:ascii="Calibri" w:eastAsia="Arial MT" w:hAnsi="Arial MT" w:cs="Arial MT"/>
                <w:spacing w:val="-5"/>
                <w:sz w:val="19"/>
              </w:rPr>
              <w:t>2%</w:t>
            </w:r>
          </w:p>
        </w:tc>
        <w:tc>
          <w:tcPr>
            <w:tcW w:w="1267" w:type="dxa"/>
            <w:tcBorders>
              <w:top w:val="single" w:sz="12" w:space="0" w:color="000000"/>
              <w:left w:val="single" w:sz="12" w:space="0" w:color="000000"/>
              <w:bottom w:val="single" w:sz="12" w:space="0" w:color="000000"/>
              <w:right w:val="single" w:sz="12" w:space="0" w:color="000000"/>
            </w:tcBorders>
          </w:tcPr>
          <w:p w14:paraId="4A516DD4" w14:textId="77777777" w:rsidR="00D96A90" w:rsidRPr="00AA6E1E" w:rsidRDefault="00D96A90" w:rsidP="00EF5AF2">
            <w:pPr>
              <w:spacing w:line="213" w:lineRule="exact"/>
              <w:ind w:left="46"/>
              <w:jc w:val="center"/>
              <w:rPr>
                <w:rFonts w:ascii="Calibri" w:eastAsia="Arial MT" w:hAnsi="Arial MT" w:cs="Arial MT"/>
                <w:sz w:val="19"/>
              </w:rPr>
            </w:pPr>
            <w:r w:rsidRPr="00AA6E1E">
              <w:rPr>
                <w:rFonts w:ascii="Calibri" w:eastAsia="Arial MT" w:hAnsi="Arial MT" w:cs="Arial MT"/>
                <w:spacing w:val="-2"/>
                <w:sz w:val="19"/>
              </w:rPr>
              <w:t>7,10%</w:t>
            </w:r>
          </w:p>
        </w:tc>
      </w:tr>
      <w:tr w:rsidR="00D96A90" w:rsidRPr="00AA6E1E" w14:paraId="58283412" w14:textId="77777777" w:rsidTr="00EF5AF2">
        <w:trPr>
          <w:trHeight w:val="233"/>
          <w:jc w:val="center"/>
        </w:trPr>
        <w:tc>
          <w:tcPr>
            <w:tcW w:w="1563" w:type="dxa"/>
            <w:tcBorders>
              <w:top w:val="single" w:sz="12" w:space="0" w:color="000000"/>
              <w:left w:val="single" w:sz="6" w:space="0" w:color="000000"/>
              <w:bottom w:val="single" w:sz="12" w:space="0" w:color="000000"/>
              <w:right w:val="single" w:sz="12" w:space="0" w:color="000000"/>
            </w:tcBorders>
          </w:tcPr>
          <w:p w14:paraId="63A36536" w14:textId="77777777" w:rsidR="00D96A90" w:rsidRPr="00AA6E1E" w:rsidRDefault="00D96A90" w:rsidP="00EF5AF2">
            <w:pPr>
              <w:spacing w:line="213" w:lineRule="exact"/>
              <w:ind w:left="36"/>
              <w:rPr>
                <w:rFonts w:ascii="Calibri" w:eastAsia="Arial MT" w:hAnsi="Arial MT" w:cs="Arial MT"/>
                <w:sz w:val="19"/>
              </w:rPr>
            </w:pPr>
            <w:r w:rsidRPr="00AA6E1E">
              <w:rPr>
                <w:rFonts w:ascii="Calibri" w:eastAsia="Arial MT" w:hAnsi="Arial MT" w:cs="Arial MT"/>
                <w:spacing w:val="-2"/>
                <w:sz w:val="19"/>
              </w:rPr>
              <w:t>INVERSION</w:t>
            </w:r>
          </w:p>
        </w:tc>
        <w:tc>
          <w:tcPr>
            <w:tcW w:w="1268" w:type="dxa"/>
            <w:tcBorders>
              <w:top w:val="single" w:sz="12" w:space="0" w:color="000000"/>
              <w:left w:val="single" w:sz="12" w:space="0" w:color="000000"/>
              <w:bottom w:val="single" w:sz="12" w:space="0" w:color="000000"/>
              <w:right w:val="single" w:sz="12" w:space="0" w:color="000000"/>
            </w:tcBorders>
          </w:tcPr>
          <w:p w14:paraId="0E6EC0BB" w14:textId="77777777" w:rsidR="00D96A90" w:rsidRPr="00AA6E1E" w:rsidRDefault="00D96A90" w:rsidP="00EF5AF2">
            <w:pPr>
              <w:spacing w:line="213" w:lineRule="exact"/>
              <w:ind w:left="123" w:right="-15"/>
              <w:jc w:val="center"/>
              <w:rPr>
                <w:rFonts w:ascii="Calibri" w:eastAsia="Arial MT" w:hAnsi="Arial MT" w:cs="Arial MT"/>
                <w:sz w:val="19"/>
              </w:rPr>
            </w:pPr>
            <w:r w:rsidRPr="00AA6E1E">
              <w:rPr>
                <w:rFonts w:ascii="Calibri" w:eastAsia="Arial MT" w:hAnsi="Arial MT" w:cs="Arial MT"/>
                <w:spacing w:val="-7"/>
                <w:sz w:val="19"/>
              </w:rPr>
              <w:t>10.631.908.034</w:t>
            </w:r>
          </w:p>
        </w:tc>
        <w:tc>
          <w:tcPr>
            <w:tcW w:w="1481" w:type="dxa"/>
            <w:tcBorders>
              <w:top w:val="single" w:sz="12" w:space="0" w:color="000000"/>
              <w:left w:val="single" w:sz="12" w:space="0" w:color="000000"/>
              <w:bottom w:val="single" w:sz="12" w:space="0" w:color="000000"/>
              <w:right w:val="single" w:sz="12" w:space="0" w:color="000000"/>
            </w:tcBorders>
          </w:tcPr>
          <w:p w14:paraId="49E47FEE" w14:textId="77777777" w:rsidR="00D96A90" w:rsidRPr="00AA6E1E" w:rsidRDefault="00D96A90" w:rsidP="00EF5AF2">
            <w:pPr>
              <w:spacing w:line="213" w:lineRule="exact"/>
              <w:ind w:right="-15"/>
              <w:jc w:val="right"/>
              <w:rPr>
                <w:rFonts w:ascii="Calibri" w:eastAsia="Arial MT" w:hAnsi="Arial MT" w:cs="Arial MT"/>
                <w:sz w:val="19"/>
              </w:rPr>
            </w:pPr>
            <w:r w:rsidRPr="00AA6E1E">
              <w:rPr>
                <w:rFonts w:ascii="Calibri" w:eastAsia="Arial MT" w:hAnsi="Arial MT" w:cs="Arial MT"/>
                <w:spacing w:val="-2"/>
                <w:sz w:val="19"/>
              </w:rPr>
              <w:t>1.838.029.684</w:t>
            </w:r>
          </w:p>
        </w:tc>
        <w:tc>
          <w:tcPr>
            <w:tcW w:w="1267" w:type="dxa"/>
            <w:tcBorders>
              <w:top w:val="single" w:sz="12" w:space="0" w:color="000000"/>
              <w:left w:val="single" w:sz="12" w:space="0" w:color="000000"/>
              <w:bottom w:val="single" w:sz="12" w:space="0" w:color="000000"/>
              <w:right w:val="single" w:sz="12" w:space="0" w:color="000000"/>
            </w:tcBorders>
          </w:tcPr>
          <w:p w14:paraId="5E0C9790" w14:textId="77777777" w:rsidR="00D96A90" w:rsidRPr="00AA6E1E" w:rsidRDefault="00D96A90" w:rsidP="00EF5AF2">
            <w:pPr>
              <w:spacing w:line="213" w:lineRule="exact"/>
              <w:ind w:right="-15"/>
              <w:jc w:val="right"/>
              <w:rPr>
                <w:rFonts w:ascii="Calibri" w:eastAsia="Arial MT" w:hAnsi="Arial MT" w:cs="Arial MT"/>
                <w:sz w:val="19"/>
              </w:rPr>
            </w:pPr>
            <w:r w:rsidRPr="00AA6E1E">
              <w:rPr>
                <w:rFonts w:ascii="Calibri" w:eastAsia="Arial MT" w:hAnsi="Arial MT" w:cs="Arial MT"/>
                <w:spacing w:val="-2"/>
                <w:sz w:val="19"/>
              </w:rPr>
              <w:t>1.653.300.323</w:t>
            </w:r>
          </w:p>
        </w:tc>
        <w:tc>
          <w:tcPr>
            <w:tcW w:w="1267" w:type="dxa"/>
            <w:tcBorders>
              <w:top w:val="single" w:sz="12" w:space="0" w:color="000000"/>
              <w:left w:val="single" w:sz="12" w:space="0" w:color="000000"/>
              <w:bottom w:val="single" w:sz="12" w:space="0" w:color="000000"/>
              <w:right w:val="single" w:sz="12" w:space="0" w:color="000000"/>
            </w:tcBorders>
          </w:tcPr>
          <w:p w14:paraId="241F61CE" w14:textId="77777777" w:rsidR="00D96A90" w:rsidRPr="00AA6E1E" w:rsidRDefault="00D96A90" w:rsidP="00EF5AF2">
            <w:pPr>
              <w:spacing w:line="213" w:lineRule="exact"/>
              <w:ind w:right="-15"/>
              <w:jc w:val="right"/>
              <w:rPr>
                <w:rFonts w:ascii="Calibri" w:eastAsia="Arial MT" w:hAnsi="Arial MT" w:cs="Arial MT"/>
                <w:sz w:val="19"/>
              </w:rPr>
            </w:pPr>
            <w:r w:rsidRPr="00AA6E1E">
              <w:rPr>
                <w:rFonts w:ascii="Calibri" w:eastAsia="Arial MT" w:hAnsi="Arial MT" w:cs="Arial MT"/>
                <w:spacing w:val="-2"/>
                <w:sz w:val="19"/>
              </w:rPr>
              <w:t>3.491.330.007</w:t>
            </w:r>
          </w:p>
        </w:tc>
        <w:tc>
          <w:tcPr>
            <w:tcW w:w="1267" w:type="dxa"/>
            <w:tcBorders>
              <w:top w:val="single" w:sz="12" w:space="0" w:color="000000"/>
              <w:left w:val="single" w:sz="12" w:space="0" w:color="000000"/>
              <w:bottom w:val="single" w:sz="12" w:space="0" w:color="000000"/>
              <w:right w:val="single" w:sz="12" w:space="0" w:color="000000"/>
            </w:tcBorders>
          </w:tcPr>
          <w:p w14:paraId="62F7E44A" w14:textId="77777777" w:rsidR="00D96A90" w:rsidRPr="00AA6E1E" w:rsidRDefault="00D96A90" w:rsidP="00EF5AF2">
            <w:pPr>
              <w:spacing w:line="213" w:lineRule="exact"/>
              <w:ind w:left="48"/>
              <w:jc w:val="center"/>
              <w:rPr>
                <w:rFonts w:ascii="Calibri" w:eastAsia="Arial MT" w:hAnsi="Arial MT" w:cs="Arial MT"/>
                <w:sz w:val="19"/>
              </w:rPr>
            </w:pPr>
            <w:r w:rsidRPr="00AA6E1E">
              <w:rPr>
                <w:rFonts w:ascii="Calibri" w:eastAsia="Arial MT" w:hAnsi="Arial MT" w:cs="Arial MT"/>
                <w:spacing w:val="-5"/>
                <w:sz w:val="19"/>
              </w:rPr>
              <w:t>15%</w:t>
            </w:r>
          </w:p>
        </w:tc>
        <w:tc>
          <w:tcPr>
            <w:tcW w:w="1267" w:type="dxa"/>
            <w:tcBorders>
              <w:top w:val="single" w:sz="12" w:space="0" w:color="000000"/>
              <w:left w:val="single" w:sz="12" w:space="0" w:color="000000"/>
              <w:bottom w:val="single" w:sz="12" w:space="0" w:color="000000"/>
              <w:right w:val="single" w:sz="12" w:space="0" w:color="000000"/>
            </w:tcBorders>
          </w:tcPr>
          <w:p w14:paraId="5AFDDD86" w14:textId="77777777" w:rsidR="00D96A90" w:rsidRPr="00AA6E1E" w:rsidRDefault="00D96A90" w:rsidP="00EF5AF2">
            <w:pPr>
              <w:spacing w:line="213" w:lineRule="exact"/>
              <w:ind w:left="59"/>
              <w:jc w:val="center"/>
              <w:rPr>
                <w:rFonts w:ascii="Calibri" w:eastAsia="Arial MT" w:hAnsi="Arial MT" w:cs="Arial MT"/>
                <w:sz w:val="19"/>
              </w:rPr>
            </w:pPr>
            <w:r w:rsidRPr="00AA6E1E">
              <w:rPr>
                <w:rFonts w:ascii="Calibri" w:eastAsia="Arial MT" w:hAnsi="Arial MT" w:cs="Arial MT"/>
                <w:spacing w:val="-2"/>
                <w:sz w:val="19"/>
              </w:rPr>
              <w:t>32,84%</w:t>
            </w:r>
          </w:p>
        </w:tc>
      </w:tr>
      <w:tr w:rsidR="00D96A90" w:rsidRPr="00AA6E1E" w14:paraId="62FB6219" w14:textId="77777777" w:rsidTr="00EF5AF2">
        <w:trPr>
          <w:trHeight w:val="233"/>
          <w:jc w:val="center"/>
        </w:trPr>
        <w:tc>
          <w:tcPr>
            <w:tcW w:w="1563" w:type="dxa"/>
            <w:tcBorders>
              <w:top w:val="single" w:sz="12" w:space="0" w:color="000000"/>
              <w:left w:val="single" w:sz="6" w:space="0" w:color="000000"/>
              <w:bottom w:val="single" w:sz="12" w:space="0" w:color="000000"/>
              <w:right w:val="single" w:sz="12" w:space="0" w:color="000000"/>
            </w:tcBorders>
          </w:tcPr>
          <w:p w14:paraId="196280F1" w14:textId="77777777" w:rsidR="00D96A90" w:rsidRPr="00AA6E1E" w:rsidRDefault="00D96A90" w:rsidP="00EF5AF2">
            <w:pPr>
              <w:spacing w:line="213" w:lineRule="exact"/>
              <w:ind w:left="36"/>
              <w:rPr>
                <w:rFonts w:ascii="Calibri" w:eastAsia="Arial MT" w:hAnsi="Arial MT" w:cs="Arial MT"/>
                <w:b/>
                <w:sz w:val="19"/>
              </w:rPr>
            </w:pPr>
            <w:r w:rsidRPr="00AA6E1E">
              <w:rPr>
                <w:rFonts w:ascii="Calibri" w:eastAsia="Arial MT" w:hAnsi="Arial MT" w:cs="Arial MT"/>
                <w:b/>
                <w:spacing w:val="-2"/>
                <w:sz w:val="19"/>
              </w:rPr>
              <w:t>TOTAL</w:t>
            </w:r>
          </w:p>
        </w:tc>
        <w:tc>
          <w:tcPr>
            <w:tcW w:w="1268" w:type="dxa"/>
            <w:tcBorders>
              <w:top w:val="single" w:sz="12" w:space="0" w:color="000000"/>
              <w:left w:val="single" w:sz="12" w:space="0" w:color="000000"/>
              <w:bottom w:val="single" w:sz="12" w:space="0" w:color="000000"/>
              <w:right w:val="single" w:sz="12" w:space="0" w:color="000000"/>
            </w:tcBorders>
          </w:tcPr>
          <w:p w14:paraId="72F94E54" w14:textId="77777777" w:rsidR="00D96A90" w:rsidRPr="00AA6E1E" w:rsidRDefault="00D96A90" w:rsidP="00EF5AF2">
            <w:pPr>
              <w:spacing w:line="213" w:lineRule="exact"/>
              <w:ind w:left="123" w:right="-15"/>
              <w:jc w:val="center"/>
              <w:rPr>
                <w:rFonts w:ascii="Calibri" w:eastAsia="Arial MT" w:hAnsi="Arial MT" w:cs="Arial MT"/>
                <w:b/>
                <w:sz w:val="19"/>
              </w:rPr>
            </w:pPr>
            <w:r w:rsidRPr="00AA6E1E">
              <w:rPr>
                <w:rFonts w:ascii="Calibri" w:eastAsia="Arial MT" w:hAnsi="Arial MT" w:cs="Arial MT"/>
                <w:b/>
                <w:spacing w:val="-8"/>
                <w:sz w:val="19"/>
              </w:rPr>
              <w:t>38.376.620.664</w:t>
            </w:r>
          </w:p>
        </w:tc>
        <w:tc>
          <w:tcPr>
            <w:tcW w:w="1481" w:type="dxa"/>
            <w:tcBorders>
              <w:top w:val="single" w:sz="12" w:space="0" w:color="000000"/>
              <w:left w:val="single" w:sz="12" w:space="0" w:color="000000"/>
              <w:bottom w:val="single" w:sz="12" w:space="0" w:color="000000"/>
              <w:right w:val="single" w:sz="12" w:space="0" w:color="000000"/>
            </w:tcBorders>
          </w:tcPr>
          <w:p w14:paraId="613ECFDE" w14:textId="77777777" w:rsidR="00D96A90" w:rsidRPr="00AA6E1E" w:rsidRDefault="00D96A90" w:rsidP="00EF5AF2">
            <w:pPr>
              <w:spacing w:line="213" w:lineRule="exact"/>
              <w:ind w:right="-15"/>
              <w:jc w:val="right"/>
              <w:rPr>
                <w:rFonts w:ascii="Calibri" w:eastAsia="Arial MT" w:hAnsi="Arial MT" w:cs="Arial MT"/>
                <w:b/>
                <w:sz w:val="19"/>
              </w:rPr>
            </w:pPr>
            <w:r w:rsidRPr="00AA6E1E">
              <w:rPr>
                <w:rFonts w:ascii="Calibri" w:eastAsia="Arial MT" w:hAnsi="Arial MT" w:cs="Arial MT"/>
                <w:b/>
                <w:spacing w:val="-2"/>
                <w:sz w:val="19"/>
              </w:rPr>
              <w:t>2.207.659.433</w:t>
            </w:r>
          </w:p>
        </w:tc>
        <w:tc>
          <w:tcPr>
            <w:tcW w:w="1267" w:type="dxa"/>
            <w:tcBorders>
              <w:top w:val="single" w:sz="12" w:space="0" w:color="000000"/>
              <w:left w:val="single" w:sz="12" w:space="0" w:color="000000"/>
              <w:bottom w:val="single" w:sz="12" w:space="0" w:color="000000"/>
              <w:right w:val="single" w:sz="12" w:space="0" w:color="000000"/>
            </w:tcBorders>
          </w:tcPr>
          <w:p w14:paraId="41B97275" w14:textId="77777777" w:rsidR="00D96A90" w:rsidRPr="00AA6E1E" w:rsidRDefault="00D96A90" w:rsidP="00EF5AF2">
            <w:pPr>
              <w:spacing w:line="213" w:lineRule="exact"/>
              <w:ind w:right="-15"/>
              <w:jc w:val="right"/>
              <w:rPr>
                <w:rFonts w:ascii="Calibri" w:eastAsia="Arial MT" w:hAnsi="Arial MT" w:cs="Arial MT"/>
                <w:b/>
                <w:sz w:val="19"/>
              </w:rPr>
            </w:pPr>
            <w:r w:rsidRPr="00AA6E1E">
              <w:rPr>
                <w:rFonts w:ascii="Calibri" w:eastAsia="Arial MT" w:hAnsi="Arial MT" w:cs="Arial MT"/>
                <w:b/>
                <w:spacing w:val="-2"/>
                <w:sz w:val="19"/>
              </w:rPr>
              <w:t>3.252.422.116</w:t>
            </w:r>
          </w:p>
        </w:tc>
        <w:tc>
          <w:tcPr>
            <w:tcW w:w="1267" w:type="dxa"/>
            <w:tcBorders>
              <w:top w:val="single" w:sz="12" w:space="0" w:color="000000"/>
              <w:left w:val="single" w:sz="12" w:space="0" w:color="000000"/>
              <w:bottom w:val="single" w:sz="12" w:space="0" w:color="000000"/>
              <w:right w:val="single" w:sz="12" w:space="0" w:color="000000"/>
            </w:tcBorders>
          </w:tcPr>
          <w:p w14:paraId="0268C12F" w14:textId="77777777" w:rsidR="00D96A90" w:rsidRPr="00AA6E1E" w:rsidRDefault="00D96A90" w:rsidP="00EF5AF2">
            <w:pPr>
              <w:spacing w:line="213" w:lineRule="exact"/>
              <w:ind w:right="-15"/>
              <w:jc w:val="right"/>
              <w:rPr>
                <w:rFonts w:ascii="Calibri" w:eastAsia="Arial MT" w:hAnsi="Arial MT" w:cs="Arial MT"/>
                <w:b/>
                <w:sz w:val="19"/>
              </w:rPr>
            </w:pPr>
            <w:r w:rsidRPr="00AA6E1E">
              <w:rPr>
                <w:rFonts w:ascii="Calibri" w:eastAsia="Arial MT" w:hAnsi="Arial MT" w:cs="Arial MT"/>
                <w:b/>
                <w:spacing w:val="-2"/>
                <w:sz w:val="19"/>
              </w:rPr>
              <w:t>5.460.081.548</w:t>
            </w:r>
          </w:p>
        </w:tc>
        <w:tc>
          <w:tcPr>
            <w:tcW w:w="1267" w:type="dxa"/>
            <w:tcBorders>
              <w:top w:val="single" w:sz="12" w:space="0" w:color="000000"/>
              <w:left w:val="single" w:sz="12" w:space="0" w:color="000000"/>
              <w:bottom w:val="single" w:sz="12" w:space="0" w:color="000000"/>
              <w:right w:val="single" w:sz="12" w:space="0" w:color="000000"/>
            </w:tcBorders>
          </w:tcPr>
          <w:p w14:paraId="07C7D0EA" w14:textId="77777777" w:rsidR="00D96A90" w:rsidRPr="00AA6E1E" w:rsidRDefault="00D96A90" w:rsidP="00EF5AF2">
            <w:pPr>
              <w:spacing w:line="213" w:lineRule="exact"/>
              <w:ind w:left="54"/>
              <w:jc w:val="center"/>
              <w:rPr>
                <w:rFonts w:ascii="Calibri" w:eastAsia="Arial MT" w:hAnsi="Arial MT" w:cs="Arial MT"/>
                <w:sz w:val="19"/>
              </w:rPr>
            </w:pPr>
            <w:r w:rsidRPr="00AA6E1E">
              <w:rPr>
                <w:rFonts w:ascii="Calibri" w:eastAsia="Arial MT" w:hAnsi="Arial MT" w:cs="Arial MT"/>
                <w:spacing w:val="-10"/>
                <w:sz w:val="19"/>
              </w:rPr>
              <w:t>-</w:t>
            </w:r>
          </w:p>
        </w:tc>
        <w:tc>
          <w:tcPr>
            <w:tcW w:w="1267" w:type="dxa"/>
            <w:tcBorders>
              <w:top w:val="single" w:sz="12" w:space="0" w:color="000000"/>
              <w:left w:val="single" w:sz="12" w:space="0" w:color="000000"/>
              <w:bottom w:val="single" w:sz="12" w:space="0" w:color="000000"/>
              <w:right w:val="single" w:sz="12" w:space="0" w:color="000000"/>
            </w:tcBorders>
          </w:tcPr>
          <w:p w14:paraId="17A65444" w14:textId="77777777" w:rsidR="00D96A90" w:rsidRPr="00AA6E1E" w:rsidRDefault="00D96A90" w:rsidP="00EF5AF2">
            <w:pPr>
              <w:spacing w:line="213" w:lineRule="exact"/>
              <w:ind w:left="59"/>
              <w:jc w:val="center"/>
              <w:rPr>
                <w:rFonts w:ascii="Calibri" w:eastAsia="Arial MT" w:hAnsi="Arial MT" w:cs="Arial MT"/>
                <w:sz w:val="19"/>
              </w:rPr>
            </w:pPr>
            <w:r w:rsidRPr="00AA6E1E">
              <w:rPr>
                <w:rFonts w:ascii="Calibri" w:eastAsia="Arial MT" w:hAnsi="Arial MT" w:cs="Arial MT"/>
                <w:spacing w:val="-2"/>
                <w:sz w:val="19"/>
              </w:rPr>
              <w:t>39,93%</w:t>
            </w:r>
          </w:p>
        </w:tc>
      </w:tr>
    </w:tbl>
    <w:p w14:paraId="60EF4CE2" w14:textId="77777777" w:rsidR="00D96A90" w:rsidRDefault="00D96A90" w:rsidP="00D96A90">
      <w:pPr>
        <w:pStyle w:val="Textoindependiente"/>
        <w:spacing w:before="3"/>
        <w:jc w:val="both"/>
        <w:rPr>
          <w:b/>
        </w:rPr>
      </w:pPr>
    </w:p>
    <w:p w14:paraId="57655C8E"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Con relación al año 2023, el porcentaje disminuye en Inversión y sube en Funcionamiento por los recursos adicionales que se recibieron en el mes de noviembre del 2024, con destino a los proyectos de inversión para ejecutar por los Planes de Fomento a la calidad, que cambio el porcentaje de ejecución.</w:t>
      </w:r>
    </w:p>
    <w:p w14:paraId="669CA759" w14:textId="77777777" w:rsidR="00D96A90" w:rsidRPr="001908C4" w:rsidRDefault="00D96A90" w:rsidP="0063799A">
      <w:pPr>
        <w:pStyle w:val="Textoindependiente"/>
        <w:spacing w:before="3"/>
        <w:ind w:left="-284" w:right="-234"/>
        <w:jc w:val="both"/>
        <w:rPr>
          <w:rFonts w:ascii="Arial" w:hAnsi="Arial" w:cs="Arial"/>
          <w:bCs/>
          <w:sz w:val="24"/>
          <w:szCs w:val="24"/>
        </w:rPr>
      </w:pPr>
    </w:p>
    <w:p w14:paraId="22CCF386" w14:textId="3B0EA079" w:rsidR="00D96A90"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A continuación, se detalle el porcentaje de constitución de reservas del año 2023:</w:t>
      </w:r>
    </w:p>
    <w:p w14:paraId="3B2F1966" w14:textId="77777777" w:rsidR="00A85772" w:rsidRPr="001908C4" w:rsidRDefault="00A85772" w:rsidP="0063799A">
      <w:pPr>
        <w:pStyle w:val="Textoindependiente"/>
        <w:spacing w:before="3"/>
        <w:ind w:left="-284" w:right="-234"/>
        <w:jc w:val="both"/>
        <w:rPr>
          <w:rFonts w:ascii="Arial" w:hAnsi="Arial" w:cs="Arial"/>
          <w:bCs/>
          <w:sz w:val="24"/>
          <w:szCs w:val="24"/>
        </w:rPr>
      </w:pPr>
    </w:p>
    <w:p w14:paraId="2BA72EA0" w14:textId="77777777" w:rsidR="00D96A90" w:rsidRPr="00AA6E1E" w:rsidRDefault="00D96A90" w:rsidP="00D96A90">
      <w:pPr>
        <w:pStyle w:val="Textoindependiente"/>
        <w:spacing w:before="3"/>
        <w:jc w:val="both"/>
        <w:rPr>
          <w:bCs/>
        </w:rPr>
      </w:pPr>
    </w:p>
    <w:tbl>
      <w:tblPr>
        <w:tblStyle w:val="TableNormal"/>
        <w:tblW w:w="0" w:type="auto"/>
        <w:jc w:val="center"/>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1563"/>
        <w:gridCol w:w="1268"/>
        <w:gridCol w:w="1481"/>
        <w:gridCol w:w="1267"/>
        <w:gridCol w:w="1267"/>
        <w:gridCol w:w="1267"/>
        <w:gridCol w:w="1267"/>
      </w:tblGrid>
      <w:tr w:rsidR="00D96A90" w:rsidRPr="006B0349" w14:paraId="748DB55B" w14:textId="77777777" w:rsidTr="00EF5AF2">
        <w:trPr>
          <w:trHeight w:val="234"/>
          <w:jc w:val="center"/>
        </w:trPr>
        <w:tc>
          <w:tcPr>
            <w:tcW w:w="9380" w:type="dxa"/>
            <w:gridSpan w:val="7"/>
            <w:tcBorders>
              <w:bottom w:val="single" w:sz="12" w:space="0" w:color="000000"/>
            </w:tcBorders>
          </w:tcPr>
          <w:p w14:paraId="47B48CE3" w14:textId="77777777" w:rsidR="00D96A90" w:rsidRPr="006B0349" w:rsidRDefault="00D96A90" w:rsidP="00EF5AF2">
            <w:pPr>
              <w:spacing w:before="5" w:line="209" w:lineRule="exact"/>
              <w:ind w:left="29"/>
              <w:jc w:val="center"/>
              <w:rPr>
                <w:rFonts w:ascii="Calibri" w:eastAsia="Arial MT" w:hAnsi="Calibri" w:cs="Arial MT"/>
                <w:sz w:val="19"/>
              </w:rPr>
            </w:pPr>
            <w:r w:rsidRPr="006B0349">
              <w:rPr>
                <w:rFonts w:ascii="Calibri" w:eastAsia="Arial MT" w:hAnsi="Calibri" w:cs="Arial MT"/>
                <w:spacing w:val="-2"/>
                <w:sz w:val="19"/>
              </w:rPr>
              <w:t>RESERVAS</w:t>
            </w:r>
            <w:r w:rsidRPr="006B0349">
              <w:rPr>
                <w:rFonts w:ascii="Calibri" w:eastAsia="Arial MT" w:hAnsi="Calibri" w:cs="Arial MT"/>
                <w:spacing w:val="-9"/>
                <w:sz w:val="19"/>
              </w:rPr>
              <w:t xml:space="preserve"> </w:t>
            </w:r>
            <w:r w:rsidRPr="006B0349">
              <w:rPr>
                <w:rFonts w:ascii="Calibri" w:eastAsia="Arial MT" w:hAnsi="Calibri" w:cs="Arial MT"/>
                <w:spacing w:val="-2"/>
                <w:sz w:val="19"/>
              </w:rPr>
              <w:t>SEGÚN</w:t>
            </w:r>
            <w:r w:rsidRPr="006B0349">
              <w:rPr>
                <w:rFonts w:ascii="Calibri" w:eastAsia="Arial MT" w:hAnsi="Calibri" w:cs="Arial MT"/>
                <w:spacing w:val="-9"/>
                <w:sz w:val="19"/>
              </w:rPr>
              <w:t xml:space="preserve"> </w:t>
            </w:r>
            <w:r w:rsidRPr="006B0349">
              <w:rPr>
                <w:rFonts w:ascii="Calibri" w:eastAsia="Arial MT" w:hAnsi="Calibri" w:cs="Arial MT"/>
                <w:spacing w:val="-2"/>
                <w:sz w:val="19"/>
              </w:rPr>
              <w:t>REVELACIONES</w:t>
            </w:r>
            <w:r w:rsidRPr="006B0349">
              <w:rPr>
                <w:rFonts w:ascii="Calibri" w:eastAsia="Arial MT" w:hAnsi="Calibri" w:cs="Arial MT"/>
                <w:spacing w:val="-9"/>
                <w:sz w:val="19"/>
              </w:rPr>
              <w:t xml:space="preserve"> </w:t>
            </w:r>
            <w:r w:rsidRPr="006B0349">
              <w:rPr>
                <w:rFonts w:ascii="Calibri" w:eastAsia="Arial MT" w:hAnsi="Calibri" w:cs="Arial MT"/>
                <w:spacing w:val="-2"/>
                <w:sz w:val="19"/>
              </w:rPr>
              <w:t>DE</w:t>
            </w:r>
            <w:r w:rsidRPr="006B0349">
              <w:rPr>
                <w:rFonts w:ascii="Calibri" w:eastAsia="Arial MT" w:hAnsi="Calibri" w:cs="Arial MT"/>
                <w:spacing w:val="-11"/>
                <w:sz w:val="19"/>
              </w:rPr>
              <w:t xml:space="preserve"> </w:t>
            </w:r>
            <w:r w:rsidRPr="006B0349">
              <w:rPr>
                <w:rFonts w:ascii="Calibri" w:eastAsia="Arial MT" w:hAnsi="Calibri" w:cs="Arial MT"/>
                <w:spacing w:val="-2"/>
                <w:sz w:val="19"/>
              </w:rPr>
              <w:t>LAS</w:t>
            </w:r>
            <w:r w:rsidRPr="006B0349">
              <w:rPr>
                <w:rFonts w:ascii="Calibri" w:eastAsia="Arial MT" w:hAnsi="Calibri" w:cs="Arial MT"/>
                <w:spacing w:val="-8"/>
                <w:sz w:val="19"/>
              </w:rPr>
              <w:t xml:space="preserve"> </w:t>
            </w:r>
            <w:r w:rsidRPr="006B0349">
              <w:rPr>
                <w:rFonts w:ascii="Calibri" w:eastAsia="Arial MT" w:hAnsi="Calibri" w:cs="Arial MT"/>
                <w:spacing w:val="-2"/>
                <w:sz w:val="19"/>
              </w:rPr>
              <w:t>RESERVAS</w:t>
            </w:r>
            <w:r w:rsidRPr="006B0349">
              <w:rPr>
                <w:rFonts w:ascii="Calibri" w:eastAsia="Arial MT" w:hAnsi="Calibri" w:cs="Arial MT"/>
                <w:spacing w:val="-9"/>
                <w:sz w:val="19"/>
              </w:rPr>
              <w:t xml:space="preserve"> </w:t>
            </w:r>
            <w:r w:rsidRPr="006B0349">
              <w:rPr>
                <w:rFonts w:ascii="Calibri" w:eastAsia="Arial MT" w:hAnsi="Calibri" w:cs="Arial MT"/>
                <w:spacing w:val="-2"/>
                <w:sz w:val="19"/>
              </w:rPr>
              <w:t>INDUCIDAS</w:t>
            </w:r>
          </w:p>
        </w:tc>
      </w:tr>
      <w:tr w:rsidR="00D96A90" w:rsidRPr="006B0349" w14:paraId="6A8E9667" w14:textId="77777777" w:rsidTr="00EF5AF2">
        <w:trPr>
          <w:trHeight w:val="484"/>
          <w:jc w:val="center"/>
        </w:trPr>
        <w:tc>
          <w:tcPr>
            <w:tcW w:w="1563" w:type="dxa"/>
            <w:tcBorders>
              <w:top w:val="single" w:sz="12" w:space="0" w:color="000000"/>
              <w:left w:val="single" w:sz="6" w:space="0" w:color="000000"/>
              <w:bottom w:val="single" w:sz="12" w:space="0" w:color="000000"/>
              <w:right w:val="single" w:sz="12" w:space="0" w:color="000000"/>
            </w:tcBorders>
          </w:tcPr>
          <w:p w14:paraId="7B735C8A" w14:textId="77777777" w:rsidR="00D96A90" w:rsidRPr="006B0349" w:rsidRDefault="00D96A90" w:rsidP="00EF5AF2">
            <w:pPr>
              <w:spacing w:before="130"/>
              <w:ind w:left="363"/>
              <w:rPr>
                <w:rFonts w:ascii="Calibri" w:eastAsia="Arial MT" w:hAnsi="Arial MT" w:cs="Arial MT"/>
                <w:sz w:val="19"/>
              </w:rPr>
            </w:pPr>
            <w:r w:rsidRPr="006B0349">
              <w:rPr>
                <w:rFonts w:ascii="Calibri" w:eastAsia="Arial MT" w:hAnsi="Arial MT" w:cs="Arial MT"/>
                <w:spacing w:val="-2"/>
                <w:sz w:val="19"/>
              </w:rPr>
              <w:t>CONCEPTO</w:t>
            </w:r>
          </w:p>
        </w:tc>
        <w:tc>
          <w:tcPr>
            <w:tcW w:w="1268" w:type="dxa"/>
            <w:tcBorders>
              <w:top w:val="single" w:sz="12" w:space="0" w:color="000000"/>
              <w:left w:val="single" w:sz="12" w:space="0" w:color="000000"/>
              <w:bottom w:val="single" w:sz="12" w:space="0" w:color="000000"/>
              <w:right w:val="single" w:sz="12" w:space="0" w:color="000000"/>
            </w:tcBorders>
          </w:tcPr>
          <w:p w14:paraId="13B21D56" w14:textId="77777777" w:rsidR="00D96A90" w:rsidRPr="006B0349" w:rsidRDefault="00D96A90" w:rsidP="00EF5AF2">
            <w:pPr>
              <w:spacing w:before="5"/>
              <w:ind w:left="73"/>
              <w:rPr>
                <w:rFonts w:ascii="Calibri" w:eastAsia="Arial MT" w:hAnsi="Arial MT" w:cs="Arial MT"/>
                <w:sz w:val="19"/>
              </w:rPr>
            </w:pPr>
            <w:r w:rsidRPr="006B0349">
              <w:rPr>
                <w:rFonts w:ascii="Calibri" w:eastAsia="Arial MT" w:hAnsi="Arial MT" w:cs="Arial MT"/>
                <w:spacing w:val="-2"/>
                <w:sz w:val="19"/>
              </w:rPr>
              <w:t>PRESUPUESTO</w:t>
            </w:r>
          </w:p>
          <w:p w14:paraId="331C21D1" w14:textId="77777777" w:rsidR="00D96A90" w:rsidRPr="006B0349" w:rsidRDefault="00D96A90" w:rsidP="00EF5AF2">
            <w:pPr>
              <w:spacing w:before="18" w:line="209" w:lineRule="exact"/>
              <w:ind w:left="60"/>
              <w:rPr>
                <w:rFonts w:ascii="Calibri" w:eastAsia="Arial MT" w:hAnsi="Arial MT" w:cs="Arial MT"/>
                <w:sz w:val="19"/>
              </w:rPr>
            </w:pPr>
            <w:r w:rsidRPr="006B0349">
              <w:rPr>
                <w:rFonts w:ascii="Calibri" w:eastAsia="Arial MT" w:hAnsi="Arial MT" w:cs="Arial MT"/>
                <w:spacing w:val="-2"/>
                <w:sz w:val="19"/>
              </w:rPr>
              <w:t>VIGENCIA</w:t>
            </w:r>
            <w:r w:rsidRPr="006B0349">
              <w:rPr>
                <w:rFonts w:ascii="Calibri" w:eastAsia="Arial MT" w:hAnsi="Arial MT" w:cs="Arial MT"/>
                <w:spacing w:val="3"/>
                <w:sz w:val="19"/>
              </w:rPr>
              <w:t xml:space="preserve"> </w:t>
            </w:r>
            <w:r w:rsidRPr="006B0349">
              <w:rPr>
                <w:rFonts w:ascii="Calibri" w:eastAsia="Arial MT" w:hAnsi="Arial MT" w:cs="Arial MT"/>
                <w:spacing w:val="-4"/>
                <w:sz w:val="19"/>
              </w:rPr>
              <w:t>2023</w:t>
            </w:r>
          </w:p>
        </w:tc>
        <w:tc>
          <w:tcPr>
            <w:tcW w:w="1481" w:type="dxa"/>
            <w:tcBorders>
              <w:top w:val="single" w:sz="12" w:space="0" w:color="000000"/>
              <w:left w:val="single" w:sz="12" w:space="0" w:color="000000"/>
              <w:bottom w:val="single" w:sz="12" w:space="0" w:color="000000"/>
              <w:right w:val="single" w:sz="12" w:space="0" w:color="000000"/>
            </w:tcBorders>
          </w:tcPr>
          <w:p w14:paraId="594A23E5" w14:textId="77777777" w:rsidR="00D96A90" w:rsidRPr="006B0349" w:rsidRDefault="00D96A90" w:rsidP="00EF5AF2">
            <w:pPr>
              <w:spacing w:before="130"/>
              <w:ind w:left="400"/>
              <w:rPr>
                <w:rFonts w:ascii="Calibri" w:eastAsia="Arial MT" w:hAnsi="Arial MT" w:cs="Arial MT"/>
                <w:sz w:val="19"/>
              </w:rPr>
            </w:pPr>
            <w:r w:rsidRPr="006B0349">
              <w:rPr>
                <w:rFonts w:ascii="Calibri" w:eastAsia="Arial MT" w:hAnsi="Arial MT" w:cs="Arial MT"/>
                <w:spacing w:val="-2"/>
                <w:sz w:val="19"/>
              </w:rPr>
              <w:t>PROPIOS</w:t>
            </w:r>
          </w:p>
        </w:tc>
        <w:tc>
          <w:tcPr>
            <w:tcW w:w="1267" w:type="dxa"/>
            <w:tcBorders>
              <w:top w:val="single" w:sz="12" w:space="0" w:color="000000"/>
              <w:left w:val="single" w:sz="12" w:space="0" w:color="000000"/>
              <w:bottom w:val="single" w:sz="12" w:space="0" w:color="000000"/>
              <w:right w:val="single" w:sz="12" w:space="0" w:color="000000"/>
            </w:tcBorders>
          </w:tcPr>
          <w:p w14:paraId="0C4FE149" w14:textId="77777777" w:rsidR="00D96A90" w:rsidRPr="006B0349" w:rsidRDefault="00D96A90" w:rsidP="00EF5AF2">
            <w:pPr>
              <w:spacing w:before="130"/>
              <w:ind w:left="325"/>
              <w:rPr>
                <w:rFonts w:ascii="Calibri" w:eastAsia="Arial MT" w:hAnsi="Calibri" w:cs="Arial MT"/>
                <w:sz w:val="19"/>
              </w:rPr>
            </w:pPr>
            <w:r w:rsidRPr="006B0349">
              <w:rPr>
                <w:rFonts w:ascii="Calibri" w:eastAsia="Arial MT" w:hAnsi="Calibri" w:cs="Arial MT"/>
                <w:spacing w:val="-2"/>
                <w:sz w:val="19"/>
              </w:rPr>
              <w:t>NACIÓN</w:t>
            </w:r>
          </w:p>
        </w:tc>
        <w:tc>
          <w:tcPr>
            <w:tcW w:w="1267" w:type="dxa"/>
            <w:tcBorders>
              <w:top w:val="single" w:sz="12" w:space="0" w:color="000000"/>
              <w:left w:val="single" w:sz="12" w:space="0" w:color="000000"/>
              <w:bottom w:val="single" w:sz="12" w:space="0" w:color="000000"/>
              <w:right w:val="single" w:sz="12" w:space="0" w:color="000000"/>
            </w:tcBorders>
          </w:tcPr>
          <w:p w14:paraId="6F825FDE" w14:textId="77777777" w:rsidR="00D96A90" w:rsidRPr="006B0349" w:rsidRDefault="00D96A90" w:rsidP="00EF5AF2">
            <w:pPr>
              <w:spacing w:before="5"/>
              <w:ind w:left="2"/>
              <w:jc w:val="center"/>
              <w:rPr>
                <w:rFonts w:ascii="Calibri" w:eastAsia="Arial MT" w:hAnsi="Arial MT" w:cs="Arial MT"/>
                <w:sz w:val="19"/>
              </w:rPr>
            </w:pPr>
            <w:r w:rsidRPr="006B0349">
              <w:rPr>
                <w:rFonts w:ascii="Calibri" w:eastAsia="Arial MT" w:hAnsi="Arial MT" w:cs="Arial MT"/>
                <w:spacing w:val="-2"/>
                <w:sz w:val="19"/>
              </w:rPr>
              <w:t>TOTAL,</w:t>
            </w:r>
          </w:p>
          <w:p w14:paraId="77A4CA3F" w14:textId="77777777" w:rsidR="00D96A90" w:rsidRPr="006B0349" w:rsidRDefault="00D96A90" w:rsidP="00EF5AF2">
            <w:pPr>
              <w:spacing w:before="18" w:line="209" w:lineRule="exact"/>
              <w:ind w:left="38"/>
              <w:jc w:val="center"/>
              <w:rPr>
                <w:rFonts w:ascii="Calibri" w:eastAsia="Arial MT" w:hAnsi="Arial MT" w:cs="Arial MT"/>
                <w:sz w:val="19"/>
              </w:rPr>
            </w:pPr>
            <w:r w:rsidRPr="006B0349">
              <w:rPr>
                <w:rFonts w:ascii="Calibri" w:eastAsia="Arial MT" w:hAnsi="Arial MT" w:cs="Arial MT"/>
                <w:spacing w:val="-2"/>
                <w:sz w:val="19"/>
              </w:rPr>
              <w:t>RESERVAS</w:t>
            </w:r>
            <w:r w:rsidRPr="006B0349">
              <w:rPr>
                <w:rFonts w:ascii="Calibri" w:eastAsia="Arial MT" w:hAnsi="Arial MT" w:cs="Arial MT"/>
                <w:spacing w:val="-6"/>
                <w:sz w:val="19"/>
              </w:rPr>
              <w:t xml:space="preserve"> </w:t>
            </w:r>
            <w:r w:rsidRPr="006B0349">
              <w:rPr>
                <w:rFonts w:ascii="Calibri" w:eastAsia="Arial MT" w:hAnsi="Arial MT" w:cs="Arial MT"/>
                <w:spacing w:val="-4"/>
                <w:sz w:val="19"/>
              </w:rPr>
              <w:t>2023</w:t>
            </w:r>
          </w:p>
        </w:tc>
        <w:tc>
          <w:tcPr>
            <w:tcW w:w="1267" w:type="dxa"/>
            <w:tcBorders>
              <w:top w:val="single" w:sz="12" w:space="0" w:color="000000"/>
              <w:left w:val="single" w:sz="12" w:space="0" w:color="000000"/>
              <w:bottom w:val="single" w:sz="12" w:space="0" w:color="000000"/>
              <w:right w:val="single" w:sz="12" w:space="0" w:color="000000"/>
            </w:tcBorders>
          </w:tcPr>
          <w:p w14:paraId="07EFC3CF" w14:textId="77777777" w:rsidR="00D96A90" w:rsidRPr="006B0349" w:rsidRDefault="00D96A90" w:rsidP="00EF5AF2">
            <w:pPr>
              <w:spacing w:before="5"/>
              <w:ind w:left="7"/>
              <w:jc w:val="center"/>
              <w:rPr>
                <w:rFonts w:ascii="Calibri" w:eastAsia="Arial MT" w:hAnsi="Arial MT" w:cs="Arial MT"/>
                <w:sz w:val="19"/>
              </w:rPr>
            </w:pPr>
            <w:r w:rsidRPr="006B0349">
              <w:rPr>
                <w:rFonts w:ascii="Calibri" w:eastAsia="Arial MT" w:hAnsi="Arial MT" w:cs="Arial MT"/>
                <w:spacing w:val="-4"/>
                <w:sz w:val="19"/>
              </w:rPr>
              <w:t>TOPES</w:t>
            </w:r>
            <w:r w:rsidRPr="006B0349">
              <w:rPr>
                <w:rFonts w:ascii="Calibri" w:eastAsia="Arial MT" w:hAnsi="Arial MT" w:cs="Arial MT"/>
                <w:spacing w:val="1"/>
                <w:sz w:val="19"/>
              </w:rPr>
              <w:t xml:space="preserve"> </w:t>
            </w:r>
            <w:r w:rsidRPr="006B0349">
              <w:rPr>
                <w:rFonts w:ascii="Calibri" w:eastAsia="Arial MT" w:hAnsi="Arial MT" w:cs="Arial MT"/>
                <w:spacing w:val="-2"/>
                <w:sz w:val="19"/>
              </w:rPr>
              <w:t>MONTO</w:t>
            </w:r>
          </w:p>
          <w:p w14:paraId="1437857D" w14:textId="77777777" w:rsidR="00D96A90" w:rsidRPr="006B0349" w:rsidRDefault="00D96A90" w:rsidP="00EF5AF2">
            <w:pPr>
              <w:spacing w:before="18" w:line="209" w:lineRule="exact"/>
              <w:ind w:left="45"/>
              <w:jc w:val="center"/>
              <w:rPr>
                <w:rFonts w:ascii="Calibri" w:eastAsia="Arial MT" w:hAnsi="Arial MT" w:cs="Arial MT"/>
                <w:sz w:val="19"/>
              </w:rPr>
            </w:pPr>
            <w:r w:rsidRPr="006B0349">
              <w:rPr>
                <w:rFonts w:ascii="Calibri" w:eastAsia="Arial MT" w:hAnsi="Arial MT" w:cs="Arial MT"/>
                <w:spacing w:val="-2"/>
                <w:sz w:val="19"/>
              </w:rPr>
              <w:t>RESERVAS</w:t>
            </w:r>
          </w:p>
        </w:tc>
        <w:tc>
          <w:tcPr>
            <w:tcW w:w="1267" w:type="dxa"/>
            <w:tcBorders>
              <w:top w:val="single" w:sz="12" w:space="0" w:color="000000"/>
              <w:left w:val="single" w:sz="12" w:space="0" w:color="000000"/>
              <w:bottom w:val="single" w:sz="12" w:space="0" w:color="000000"/>
              <w:right w:val="single" w:sz="12" w:space="0" w:color="000000"/>
            </w:tcBorders>
          </w:tcPr>
          <w:p w14:paraId="3108C31C" w14:textId="77777777" w:rsidR="00D96A90" w:rsidRPr="006B0349" w:rsidRDefault="00D96A90" w:rsidP="00EF5AF2">
            <w:pPr>
              <w:spacing w:before="5"/>
              <w:ind w:left="3"/>
              <w:jc w:val="center"/>
              <w:rPr>
                <w:rFonts w:ascii="Calibri" w:eastAsia="Arial MT" w:hAnsi="Arial MT" w:cs="Arial MT"/>
                <w:sz w:val="19"/>
              </w:rPr>
            </w:pPr>
            <w:r w:rsidRPr="006B0349">
              <w:rPr>
                <w:rFonts w:ascii="Calibri" w:eastAsia="Arial MT" w:hAnsi="Arial MT" w:cs="Arial MT"/>
                <w:spacing w:val="-4"/>
                <w:sz w:val="19"/>
              </w:rPr>
              <w:t>TOPE</w:t>
            </w:r>
          </w:p>
          <w:p w14:paraId="3831D394" w14:textId="77777777" w:rsidR="00D96A90" w:rsidRPr="006B0349" w:rsidRDefault="00D96A90" w:rsidP="00EF5AF2">
            <w:pPr>
              <w:spacing w:before="18" w:line="209" w:lineRule="exact"/>
              <w:ind w:left="35"/>
              <w:jc w:val="center"/>
              <w:rPr>
                <w:rFonts w:ascii="Calibri" w:eastAsia="Arial MT" w:hAnsi="Arial MT" w:cs="Arial MT"/>
                <w:sz w:val="19"/>
              </w:rPr>
            </w:pPr>
            <w:r w:rsidRPr="006B0349">
              <w:rPr>
                <w:rFonts w:ascii="Calibri" w:eastAsia="Arial MT" w:hAnsi="Arial MT" w:cs="Arial MT"/>
                <w:spacing w:val="-2"/>
                <w:sz w:val="19"/>
              </w:rPr>
              <w:t>ALCANZADO</w:t>
            </w:r>
          </w:p>
        </w:tc>
      </w:tr>
      <w:tr w:rsidR="00D96A90" w:rsidRPr="006B0349" w14:paraId="1A2EE00B" w14:textId="77777777" w:rsidTr="00EF5AF2">
        <w:trPr>
          <w:trHeight w:val="233"/>
          <w:jc w:val="center"/>
        </w:trPr>
        <w:tc>
          <w:tcPr>
            <w:tcW w:w="1563" w:type="dxa"/>
            <w:tcBorders>
              <w:top w:val="single" w:sz="12" w:space="0" w:color="000000"/>
              <w:left w:val="single" w:sz="6" w:space="0" w:color="000000"/>
              <w:bottom w:val="single" w:sz="12" w:space="0" w:color="000000"/>
              <w:right w:val="single" w:sz="12" w:space="0" w:color="000000"/>
            </w:tcBorders>
          </w:tcPr>
          <w:p w14:paraId="7B2CCBC0" w14:textId="77777777" w:rsidR="00D96A90" w:rsidRPr="006B0349" w:rsidRDefault="00D96A90" w:rsidP="00EF5AF2">
            <w:pPr>
              <w:spacing w:before="5" w:line="209" w:lineRule="exact"/>
              <w:ind w:left="36"/>
              <w:rPr>
                <w:rFonts w:ascii="Calibri" w:eastAsia="Arial MT" w:hAnsi="Arial MT" w:cs="Arial MT"/>
                <w:sz w:val="19"/>
              </w:rPr>
            </w:pPr>
            <w:r w:rsidRPr="006B0349">
              <w:rPr>
                <w:rFonts w:ascii="Calibri" w:eastAsia="Arial MT" w:hAnsi="Arial MT" w:cs="Arial MT"/>
                <w:spacing w:val="-2"/>
                <w:sz w:val="19"/>
              </w:rPr>
              <w:t>FUNCIONAMIENTO</w:t>
            </w:r>
          </w:p>
        </w:tc>
        <w:tc>
          <w:tcPr>
            <w:tcW w:w="1268" w:type="dxa"/>
            <w:tcBorders>
              <w:top w:val="single" w:sz="12" w:space="0" w:color="000000"/>
              <w:left w:val="single" w:sz="12" w:space="0" w:color="000000"/>
              <w:bottom w:val="single" w:sz="12" w:space="0" w:color="000000"/>
              <w:right w:val="single" w:sz="12" w:space="0" w:color="000000"/>
            </w:tcBorders>
          </w:tcPr>
          <w:p w14:paraId="009178E5" w14:textId="77777777" w:rsidR="00D96A90" w:rsidRPr="006B0349" w:rsidRDefault="00D96A90" w:rsidP="00EF5AF2">
            <w:pPr>
              <w:spacing w:before="5" w:line="209" w:lineRule="exact"/>
              <w:ind w:left="123" w:right="-15"/>
              <w:jc w:val="center"/>
              <w:rPr>
                <w:rFonts w:ascii="Calibri" w:eastAsia="Arial MT" w:hAnsi="Arial MT" w:cs="Arial MT"/>
                <w:sz w:val="19"/>
              </w:rPr>
            </w:pPr>
            <w:r w:rsidRPr="006B0349">
              <w:rPr>
                <w:rFonts w:ascii="Calibri" w:eastAsia="Arial MT" w:hAnsi="Arial MT" w:cs="Arial MT"/>
                <w:spacing w:val="-7"/>
                <w:sz w:val="19"/>
              </w:rPr>
              <w:t>23.886.081.255</w:t>
            </w:r>
          </w:p>
        </w:tc>
        <w:tc>
          <w:tcPr>
            <w:tcW w:w="1481" w:type="dxa"/>
            <w:tcBorders>
              <w:top w:val="single" w:sz="12" w:space="0" w:color="000000"/>
              <w:left w:val="single" w:sz="12" w:space="0" w:color="000000"/>
              <w:bottom w:val="single" w:sz="12" w:space="0" w:color="000000"/>
              <w:right w:val="single" w:sz="12" w:space="0" w:color="000000"/>
            </w:tcBorders>
          </w:tcPr>
          <w:p w14:paraId="67D78B48" w14:textId="77777777" w:rsidR="00D96A90" w:rsidRPr="006B0349" w:rsidRDefault="00D96A90" w:rsidP="00EF5AF2">
            <w:pPr>
              <w:spacing w:before="5" w:line="209" w:lineRule="exact"/>
              <w:ind w:left="425" w:right="-15"/>
              <w:rPr>
                <w:rFonts w:ascii="Calibri" w:eastAsia="Arial MT" w:hAnsi="Arial MT" w:cs="Arial MT"/>
                <w:sz w:val="19"/>
              </w:rPr>
            </w:pPr>
            <w:r w:rsidRPr="006B0349">
              <w:rPr>
                <w:rFonts w:ascii="Calibri" w:eastAsia="Arial MT" w:hAnsi="Arial MT" w:cs="Arial MT"/>
                <w:spacing w:val="-7"/>
                <w:sz w:val="19"/>
              </w:rPr>
              <w:t>1.241.488.143</w:t>
            </w:r>
          </w:p>
        </w:tc>
        <w:tc>
          <w:tcPr>
            <w:tcW w:w="1267" w:type="dxa"/>
            <w:tcBorders>
              <w:top w:val="single" w:sz="12" w:space="0" w:color="000000"/>
              <w:left w:val="single" w:sz="12" w:space="0" w:color="000000"/>
              <w:bottom w:val="single" w:sz="12" w:space="0" w:color="000000"/>
              <w:right w:val="single" w:sz="12" w:space="0" w:color="000000"/>
            </w:tcBorders>
          </w:tcPr>
          <w:p w14:paraId="53073BCC" w14:textId="77777777" w:rsidR="00D96A90" w:rsidRPr="006B0349" w:rsidRDefault="00D96A90" w:rsidP="00EF5AF2">
            <w:pPr>
              <w:spacing w:before="5" w:line="209" w:lineRule="exact"/>
              <w:ind w:right="-15"/>
              <w:jc w:val="right"/>
              <w:rPr>
                <w:rFonts w:ascii="Calibri" w:eastAsia="Arial MT" w:hAnsi="Arial MT" w:cs="Arial MT"/>
                <w:sz w:val="19"/>
              </w:rPr>
            </w:pPr>
            <w:r w:rsidRPr="006B0349">
              <w:rPr>
                <w:rFonts w:ascii="Calibri" w:eastAsia="Arial MT" w:hAnsi="Arial MT" w:cs="Arial MT"/>
                <w:spacing w:val="-2"/>
                <w:sz w:val="19"/>
              </w:rPr>
              <w:t>179.106.050</w:t>
            </w:r>
          </w:p>
        </w:tc>
        <w:tc>
          <w:tcPr>
            <w:tcW w:w="1267" w:type="dxa"/>
            <w:tcBorders>
              <w:top w:val="single" w:sz="12" w:space="0" w:color="000000"/>
              <w:left w:val="single" w:sz="12" w:space="0" w:color="000000"/>
              <w:bottom w:val="single" w:sz="12" w:space="0" w:color="000000"/>
              <w:right w:val="single" w:sz="12" w:space="0" w:color="000000"/>
            </w:tcBorders>
          </w:tcPr>
          <w:p w14:paraId="578DE2F7" w14:textId="77777777" w:rsidR="00D96A90" w:rsidRPr="006B0349" w:rsidRDefault="00D96A90" w:rsidP="00EF5AF2">
            <w:pPr>
              <w:spacing w:before="5" w:line="209" w:lineRule="exact"/>
              <w:ind w:right="-15"/>
              <w:jc w:val="right"/>
              <w:rPr>
                <w:rFonts w:ascii="Calibri" w:eastAsia="Arial MT" w:hAnsi="Arial MT" w:cs="Arial MT"/>
                <w:sz w:val="19"/>
              </w:rPr>
            </w:pPr>
            <w:r w:rsidRPr="006B0349">
              <w:rPr>
                <w:rFonts w:ascii="Calibri" w:eastAsia="Arial MT" w:hAnsi="Arial MT" w:cs="Arial MT"/>
                <w:spacing w:val="-2"/>
                <w:sz w:val="19"/>
              </w:rPr>
              <w:t>1.420.594.193</w:t>
            </w:r>
          </w:p>
        </w:tc>
        <w:tc>
          <w:tcPr>
            <w:tcW w:w="1267" w:type="dxa"/>
            <w:tcBorders>
              <w:top w:val="single" w:sz="12" w:space="0" w:color="000000"/>
              <w:left w:val="single" w:sz="12" w:space="0" w:color="000000"/>
              <w:bottom w:val="single" w:sz="12" w:space="0" w:color="000000"/>
              <w:right w:val="single" w:sz="12" w:space="0" w:color="000000"/>
            </w:tcBorders>
          </w:tcPr>
          <w:p w14:paraId="7949001C" w14:textId="77777777" w:rsidR="00D96A90" w:rsidRPr="006B0349" w:rsidRDefault="00D96A90" w:rsidP="00EF5AF2">
            <w:pPr>
              <w:spacing w:before="5" w:line="209" w:lineRule="exact"/>
              <w:ind w:left="35"/>
              <w:jc w:val="center"/>
              <w:rPr>
                <w:rFonts w:ascii="Calibri" w:eastAsia="Arial MT" w:hAnsi="Arial MT" w:cs="Arial MT"/>
                <w:sz w:val="19"/>
              </w:rPr>
            </w:pPr>
            <w:r w:rsidRPr="006B0349">
              <w:rPr>
                <w:rFonts w:ascii="Calibri" w:eastAsia="Arial MT" w:hAnsi="Arial MT" w:cs="Arial MT"/>
                <w:spacing w:val="-5"/>
                <w:sz w:val="19"/>
              </w:rPr>
              <w:t>2%</w:t>
            </w:r>
          </w:p>
        </w:tc>
        <w:tc>
          <w:tcPr>
            <w:tcW w:w="1267" w:type="dxa"/>
            <w:tcBorders>
              <w:top w:val="single" w:sz="12" w:space="0" w:color="000000"/>
              <w:left w:val="single" w:sz="12" w:space="0" w:color="000000"/>
              <w:bottom w:val="single" w:sz="12" w:space="0" w:color="000000"/>
              <w:right w:val="single" w:sz="12" w:space="0" w:color="000000"/>
            </w:tcBorders>
          </w:tcPr>
          <w:p w14:paraId="00961EF9" w14:textId="77777777" w:rsidR="00D96A90" w:rsidRPr="006B0349" w:rsidRDefault="00D96A90" w:rsidP="00EF5AF2">
            <w:pPr>
              <w:spacing w:before="5" w:line="209" w:lineRule="exact"/>
              <w:ind w:left="46"/>
              <w:jc w:val="center"/>
              <w:rPr>
                <w:rFonts w:ascii="Calibri" w:eastAsia="Arial MT" w:hAnsi="Arial MT" w:cs="Arial MT"/>
                <w:sz w:val="19"/>
              </w:rPr>
            </w:pPr>
            <w:r w:rsidRPr="006B0349">
              <w:rPr>
                <w:rFonts w:ascii="Calibri" w:eastAsia="Arial MT" w:hAnsi="Arial MT" w:cs="Arial MT"/>
                <w:spacing w:val="-2"/>
                <w:sz w:val="19"/>
              </w:rPr>
              <w:t>5,95%</w:t>
            </w:r>
          </w:p>
        </w:tc>
      </w:tr>
      <w:tr w:rsidR="00D96A90" w:rsidRPr="006B0349" w14:paraId="79BEDA71" w14:textId="77777777" w:rsidTr="00EF5AF2">
        <w:trPr>
          <w:trHeight w:val="233"/>
          <w:jc w:val="center"/>
        </w:trPr>
        <w:tc>
          <w:tcPr>
            <w:tcW w:w="1563" w:type="dxa"/>
            <w:tcBorders>
              <w:top w:val="single" w:sz="12" w:space="0" w:color="000000"/>
              <w:left w:val="single" w:sz="6" w:space="0" w:color="000000"/>
              <w:bottom w:val="single" w:sz="12" w:space="0" w:color="000000"/>
              <w:right w:val="single" w:sz="12" w:space="0" w:color="000000"/>
            </w:tcBorders>
          </w:tcPr>
          <w:p w14:paraId="1355D892" w14:textId="77777777" w:rsidR="00D96A90" w:rsidRPr="006B0349" w:rsidRDefault="00D96A90" w:rsidP="00EF5AF2">
            <w:pPr>
              <w:spacing w:before="5" w:line="209" w:lineRule="exact"/>
              <w:ind w:left="36"/>
              <w:rPr>
                <w:rFonts w:ascii="Calibri" w:eastAsia="Arial MT" w:hAnsi="Arial MT" w:cs="Arial MT"/>
                <w:sz w:val="19"/>
              </w:rPr>
            </w:pPr>
            <w:r w:rsidRPr="006B0349">
              <w:rPr>
                <w:rFonts w:ascii="Calibri" w:eastAsia="Arial MT" w:hAnsi="Arial MT" w:cs="Arial MT"/>
                <w:spacing w:val="-2"/>
                <w:sz w:val="19"/>
              </w:rPr>
              <w:t>INVERSION</w:t>
            </w:r>
          </w:p>
        </w:tc>
        <w:tc>
          <w:tcPr>
            <w:tcW w:w="1268" w:type="dxa"/>
            <w:tcBorders>
              <w:top w:val="single" w:sz="12" w:space="0" w:color="000000"/>
              <w:left w:val="single" w:sz="12" w:space="0" w:color="000000"/>
              <w:bottom w:val="single" w:sz="12" w:space="0" w:color="000000"/>
              <w:right w:val="single" w:sz="12" w:space="0" w:color="000000"/>
            </w:tcBorders>
          </w:tcPr>
          <w:p w14:paraId="5F621E75" w14:textId="77777777" w:rsidR="00D96A90" w:rsidRPr="006B0349" w:rsidRDefault="00D96A90" w:rsidP="00EF5AF2">
            <w:pPr>
              <w:spacing w:before="5" w:line="209" w:lineRule="exact"/>
              <w:ind w:left="123" w:right="-15"/>
              <w:jc w:val="center"/>
              <w:rPr>
                <w:rFonts w:ascii="Calibri" w:eastAsia="Arial MT" w:hAnsi="Arial MT" w:cs="Arial MT"/>
                <w:sz w:val="19"/>
              </w:rPr>
            </w:pPr>
            <w:r w:rsidRPr="006B0349">
              <w:rPr>
                <w:rFonts w:ascii="Calibri" w:eastAsia="Arial MT" w:hAnsi="Arial MT" w:cs="Arial MT"/>
                <w:spacing w:val="-7"/>
                <w:sz w:val="19"/>
              </w:rPr>
              <w:t>10.852.594.774</w:t>
            </w:r>
          </w:p>
        </w:tc>
        <w:tc>
          <w:tcPr>
            <w:tcW w:w="1481" w:type="dxa"/>
            <w:tcBorders>
              <w:top w:val="single" w:sz="12" w:space="0" w:color="000000"/>
              <w:left w:val="single" w:sz="12" w:space="0" w:color="000000"/>
              <w:bottom w:val="single" w:sz="12" w:space="0" w:color="000000"/>
              <w:right w:val="single" w:sz="12" w:space="0" w:color="000000"/>
            </w:tcBorders>
          </w:tcPr>
          <w:p w14:paraId="523766A7" w14:textId="77777777" w:rsidR="00D96A90" w:rsidRPr="006B0349" w:rsidRDefault="00D96A90" w:rsidP="00EF5AF2">
            <w:pPr>
              <w:spacing w:before="5" w:line="209" w:lineRule="exact"/>
              <w:ind w:left="425" w:right="-15"/>
              <w:rPr>
                <w:rFonts w:ascii="Calibri" w:eastAsia="Arial MT" w:hAnsi="Arial MT" w:cs="Arial MT"/>
                <w:sz w:val="19"/>
              </w:rPr>
            </w:pPr>
            <w:r w:rsidRPr="006B0349">
              <w:rPr>
                <w:rFonts w:ascii="Calibri" w:eastAsia="Arial MT" w:hAnsi="Arial MT" w:cs="Arial MT"/>
                <w:spacing w:val="-7"/>
                <w:sz w:val="19"/>
              </w:rPr>
              <w:t>1.208.253.484</w:t>
            </w:r>
          </w:p>
        </w:tc>
        <w:tc>
          <w:tcPr>
            <w:tcW w:w="1267" w:type="dxa"/>
            <w:tcBorders>
              <w:top w:val="single" w:sz="12" w:space="0" w:color="000000"/>
              <w:left w:val="single" w:sz="12" w:space="0" w:color="000000"/>
              <w:bottom w:val="single" w:sz="12" w:space="0" w:color="000000"/>
              <w:right w:val="single" w:sz="12" w:space="0" w:color="000000"/>
            </w:tcBorders>
          </w:tcPr>
          <w:p w14:paraId="3269E54B" w14:textId="77777777" w:rsidR="00D96A90" w:rsidRPr="006B0349" w:rsidRDefault="00D96A90" w:rsidP="00EF5AF2">
            <w:pPr>
              <w:spacing w:before="5" w:line="209" w:lineRule="exact"/>
              <w:ind w:right="-15"/>
              <w:jc w:val="right"/>
              <w:rPr>
                <w:rFonts w:ascii="Calibri" w:eastAsia="Arial MT" w:hAnsi="Arial MT" w:cs="Arial MT"/>
                <w:sz w:val="19"/>
              </w:rPr>
            </w:pPr>
            <w:r w:rsidRPr="006B0349">
              <w:rPr>
                <w:rFonts w:ascii="Calibri" w:eastAsia="Arial MT" w:hAnsi="Arial MT" w:cs="Arial MT"/>
                <w:spacing w:val="-2"/>
                <w:sz w:val="19"/>
              </w:rPr>
              <w:t>2.439.029.786</w:t>
            </w:r>
          </w:p>
        </w:tc>
        <w:tc>
          <w:tcPr>
            <w:tcW w:w="1267" w:type="dxa"/>
            <w:tcBorders>
              <w:top w:val="single" w:sz="12" w:space="0" w:color="000000"/>
              <w:left w:val="single" w:sz="12" w:space="0" w:color="000000"/>
              <w:bottom w:val="single" w:sz="12" w:space="0" w:color="000000"/>
              <w:right w:val="single" w:sz="12" w:space="0" w:color="000000"/>
            </w:tcBorders>
          </w:tcPr>
          <w:p w14:paraId="238E32CF" w14:textId="77777777" w:rsidR="00D96A90" w:rsidRPr="006B0349" w:rsidRDefault="00D96A90" w:rsidP="00EF5AF2">
            <w:pPr>
              <w:spacing w:before="5" w:line="209" w:lineRule="exact"/>
              <w:ind w:right="-15"/>
              <w:jc w:val="right"/>
              <w:rPr>
                <w:rFonts w:ascii="Calibri" w:eastAsia="Arial MT" w:hAnsi="Arial MT" w:cs="Arial MT"/>
                <w:sz w:val="19"/>
              </w:rPr>
            </w:pPr>
            <w:r w:rsidRPr="006B0349">
              <w:rPr>
                <w:rFonts w:ascii="Calibri" w:eastAsia="Arial MT" w:hAnsi="Arial MT" w:cs="Arial MT"/>
                <w:spacing w:val="-2"/>
                <w:sz w:val="19"/>
              </w:rPr>
              <w:t>3.647.283.270</w:t>
            </w:r>
          </w:p>
        </w:tc>
        <w:tc>
          <w:tcPr>
            <w:tcW w:w="1267" w:type="dxa"/>
            <w:tcBorders>
              <w:top w:val="single" w:sz="12" w:space="0" w:color="000000"/>
              <w:left w:val="single" w:sz="12" w:space="0" w:color="000000"/>
              <w:bottom w:val="single" w:sz="12" w:space="0" w:color="000000"/>
              <w:right w:val="single" w:sz="12" w:space="0" w:color="000000"/>
            </w:tcBorders>
          </w:tcPr>
          <w:p w14:paraId="213FEA65" w14:textId="77777777" w:rsidR="00D96A90" w:rsidRPr="006B0349" w:rsidRDefault="00D96A90" w:rsidP="00EF5AF2">
            <w:pPr>
              <w:spacing w:before="5" w:line="209" w:lineRule="exact"/>
              <w:ind w:left="48"/>
              <w:jc w:val="center"/>
              <w:rPr>
                <w:rFonts w:ascii="Calibri" w:eastAsia="Arial MT" w:hAnsi="Arial MT" w:cs="Arial MT"/>
                <w:sz w:val="19"/>
              </w:rPr>
            </w:pPr>
            <w:r w:rsidRPr="006B0349">
              <w:rPr>
                <w:rFonts w:ascii="Calibri" w:eastAsia="Arial MT" w:hAnsi="Arial MT" w:cs="Arial MT"/>
                <w:spacing w:val="-5"/>
                <w:sz w:val="19"/>
              </w:rPr>
              <w:t>15%</w:t>
            </w:r>
          </w:p>
        </w:tc>
        <w:tc>
          <w:tcPr>
            <w:tcW w:w="1267" w:type="dxa"/>
            <w:tcBorders>
              <w:top w:val="single" w:sz="12" w:space="0" w:color="000000"/>
              <w:left w:val="single" w:sz="12" w:space="0" w:color="000000"/>
              <w:bottom w:val="single" w:sz="12" w:space="0" w:color="000000"/>
              <w:right w:val="single" w:sz="12" w:space="0" w:color="000000"/>
            </w:tcBorders>
          </w:tcPr>
          <w:p w14:paraId="2C0FEB33" w14:textId="77777777" w:rsidR="00D96A90" w:rsidRPr="006B0349" w:rsidRDefault="00D96A90" w:rsidP="00EF5AF2">
            <w:pPr>
              <w:spacing w:before="5" w:line="209" w:lineRule="exact"/>
              <w:ind w:left="59"/>
              <w:jc w:val="center"/>
              <w:rPr>
                <w:rFonts w:ascii="Calibri" w:eastAsia="Arial MT" w:hAnsi="Arial MT" w:cs="Arial MT"/>
                <w:sz w:val="19"/>
              </w:rPr>
            </w:pPr>
            <w:r w:rsidRPr="006B0349">
              <w:rPr>
                <w:rFonts w:ascii="Calibri" w:eastAsia="Arial MT" w:hAnsi="Arial MT" w:cs="Arial MT"/>
                <w:spacing w:val="-2"/>
                <w:sz w:val="19"/>
              </w:rPr>
              <w:t>33,61%</w:t>
            </w:r>
          </w:p>
        </w:tc>
      </w:tr>
      <w:tr w:rsidR="00D96A90" w:rsidRPr="006B0349" w14:paraId="26770A95" w14:textId="77777777" w:rsidTr="00EF5AF2">
        <w:trPr>
          <w:trHeight w:val="233"/>
          <w:jc w:val="center"/>
        </w:trPr>
        <w:tc>
          <w:tcPr>
            <w:tcW w:w="1563" w:type="dxa"/>
            <w:tcBorders>
              <w:top w:val="single" w:sz="12" w:space="0" w:color="000000"/>
              <w:left w:val="single" w:sz="6" w:space="0" w:color="000000"/>
              <w:bottom w:val="single" w:sz="12" w:space="0" w:color="000000"/>
              <w:right w:val="single" w:sz="12" w:space="0" w:color="000000"/>
            </w:tcBorders>
          </w:tcPr>
          <w:p w14:paraId="29CF15DE" w14:textId="77777777" w:rsidR="00D96A90" w:rsidRPr="006B0349" w:rsidRDefault="00D96A90" w:rsidP="00EF5AF2">
            <w:pPr>
              <w:spacing w:before="5" w:line="209" w:lineRule="exact"/>
              <w:ind w:left="36"/>
              <w:rPr>
                <w:rFonts w:ascii="Calibri" w:eastAsia="Arial MT" w:hAnsi="Arial MT" w:cs="Arial MT"/>
                <w:b/>
                <w:sz w:val="19"/>
              </w:rPr>
            </w:pPr>
            <w:r w:rsidRPr="006B0349">
              <w:rPr>
                <w:rFonts w:ascii="Calibri" w:eastAsia="Arial MT" w:hAnsi="Arial MT" w:cs="Arial MT"/>
                <w:b/>
                <w:spacing w:val="-2"/>
                <w:sz w:val="19"/>
              </w:rPr>
              <w:t>TOTAL</w:t>
            </w:r>
          </w:p>
        </w:tc>
        <w:tc>
          <w:tcPr>
            <w:tcW w:w="1268" w:type="dxa"/>
            <w:tcBorders>
              <w:top w:val="single" w:sz="12" w:space="0" w:color="000000"/>
              <w:left w:val="single" w:sz="12" w:space="0" w:color="000000"/>
              <w:bottom w:val="single" w:sz="12" w:space="0" w:color="000000"/>
              <w:right w:val="single" w:sz="12" w:space="0" w:color="000000"/>
            </w:tcBorders>
          </w:tcPr>
          <w:p w14:paraId="0886A005" w14:textId="77777777" w:rsidR="00D96A90" w:rsidRPr="006B0349" w:rsidRDefault="00D96A90" w:rsidP="00EF5AF2">
            <w:pPr>
              <w:spacing w:before="5" w:line="209" w:lineRule="exact"/>
              <w:ind w:left="123" w:right="-15"/>
              <w:jc w:val="center"/>
              <w:rPr>
                <w:rFonts w:ascii="Calibri" w:eastAsia="Arial MT" w:hAnsi="Arial MT" w:cs="Arial MT"/>
                <w:b/>
                <w:sz w:val="19"/>
              </w:rPr>
            </w:pPr>
            <w:r w:rsidRPr="006B0349">
              <w:rPr>
                <w:rFonts w:ascii="Calibri" w:eastAsia="Arial MT" w:hAnsi="Arial MT" w:cs="Arial MT"/>
                <w:b/>
                <w:spacing w:val="-8"/>
                <w:sz w:val="19"/>
              </w:rPr>
              <w:t>34.738.676.029</w:t>
            </w:r>
          </w:p>
        </w:tc>
        <w:tc>
          <w:tcPr>
            <w:tcW w:w="1481" w:type="dxa"/>
            <w:tcBorders>
              <w:top w:val="single" w:sz="12" w:space="0" w:color="000000"/>
              <w:left w:val="single" w:sz="12" w:space="0" w:color="000000"/>
              <w:bottom w:val="single" w:sz="12" w:space="0" w:color="000000"/>
              <w:right w:val="single" w:sz="12" w:space="0" w:color="000000"/>
            </w:tcBorders>
          </w:tcPr>
          <w:p w14:paraId="2FB5A666" w14:textId="77777777" w:rsidR="00D96A90" w:rsidRPr="006B0349" w:rsidRDefault="00D96A90" w:rsidP="00EF5AF2">
            <w:pPr>
              <w:spacing w:before="5" w:line="209" w:lineRule="exact"/>
              <w:ind w:left="425" w:right="-15"/>
              <w:rPr>
                <w:rFonts w:ascii="Calibri" w:eastAsia="Arial MT" w:hAnsi="Arial MT" w:cs="Arial MT"/>
                <w:b/>
                <w:sz w:val="19"/>
              </w:rPr>
            </w:pPr>
            <w:r w:rsidRPr="006B0349">
              <w:rPr>
                <w:rFonts w:ascii="Calibri" w:eastAsia="Arial MT" w:hAnsi="Arial MT" w:cs="Arial MT"/>
                <w:b/>
                <w:spacing w:val="-8"/>
                <w:sz w:val="19"/>
              </w:rPr>
              <w:t>2.449.741.627</w:t>
            </w:r>
          </w:p>
        </w:tc>
        <w:tc>
          <w:tcPr>
            <w:tcW w:w="1267" w:type="dxa"/>
            <w:tcBorders>
              <w:top w:val="single" w:sz="12" w:space="0" w:color="000000"/>
              <w:left w:val="single" w:sz="12" w:space="0" w:color="000000"/>
              <w:bottom w:val="single" w:sz="12" w:space="0" w:color="000000"/>
              <w:right w:val="single" w:sz="12" w:space="0" w:color="000000"/>
            </w:tcBorders>
          </w:tcPr>
          <w:p w14:paraId="66BD74F0" w14:textId="77777777" w:rsidR="00D96A90" w:rsidRPr="006B0349" w:rsidRDefault="00D96A90" w:rsidP="00EF5AF2">
            <w:pPr>
              <w:spacing w:before="5" w:line="209" w:lineRule="exact"/>
              <w:ind w:right="-15"/>
              <w:jc w:val="right"/>
              <w:rPr>
                <w:rFonts w:ascii="Calibri" w:eastAsia="Arial MT" w:hAnsi="Arial MT" w:cs="Arial MT"/>
                <w:b/>
                <w:sz w:val="19"/>
              </w:rPr>
            </w:pPr>
            <w:r w:rsidRPr="006B0349">
              <w:rPr>
                <w:rFonts w:ascii="Calibri" w:eastAsia="Arial MT" w:hAnsi="Arial MT" w:cs="Arial MT"/>
                <w:b/>
                <w:spacing w:val="-2"/>
                <w:sz w:val="19"/>
              </w:rPr>
              <w:t>2.618.135.836</w:t>
            </w:r>
          </w:p>
        </w:tc>
        <w:tc>
          <w:tcPr>
            <w:tcW w:w="1267" w:type="dxa"/>
            <w:tcBorders>
              <w:top w:val="single" w:sz="12" w:space="0" w:color="000000"/>
              <w:left w:val="single" w:sz="12" w:space="0" w:color="000000"/>
              <w:bottom w:val="single" w:sz="12" w:space="0" w:color="000000"/>
              <w:right w:val="single" w:sz="12" w:space="0" w:color="000000"/>
            </w:tcBorders>
          </w:tcPr>
          <w:p w14:paraId="0D3C0BE2" w14:textId="77777777" w:rsidR="00D96A90" w:rsidRPr="006B0349" w:rsidRDefault="00D96A90" w:rsidP="00EF5AF2">
            <w:pPr>
              <w:spacing w:before="5" w:line="209" w:lineRule="exact"/>
              <w:ind w:right="-15"/>
              <w:jc w:val="right"/>
              <w:rPr>
                <w:rFonts w:ascii="Calibri" w:eastAsia="Arial MT" w:hAnsi="Arial MT" w:cs="Arial MT"/>
                <w:b/>
                <w:sz w:val="19"/>
              </w:rPr>
            </w:pPr>
            <w:r w:rsidRPr="006B0349">
              <w:rPr>
                <w:rFonts w:ascii="Calibri" w:eastAsia="Arial MT" w:hAnsi="Arial MT" w:cs="Arial MT"/>
                <w:b/>
                <w:spacing w:val="-2"/>
                <w:sz w:val="19"/>
              </w:rPr>
              <w:t>5.067.877.463</w:t>
            </w:r>
          </w:p>
        </w:tc>
        <w:tc>
          <w:tcPr>
            <w:tcW w:w="1267" w:type="dxa"/>
            <w:tcBorders>
              <w:top w:val="single" w:sz="12" w:space="0" w:color="000000"/>
              <w:left w:val="single" w:sz="12" w:space="0" w:color="000000"/>
              <w:bottom w:val="single" w:sz="12" w:space="0" w:color="000000"/>
              <w:right w:val="single" w:sz="12" w:space="0" w:color="000000"/>
            </w:tcBorders>
          </w:tcPr>
          <w:p w14:paraId="53A097C5" w14:textId="77777777" w:rsidR="00D96A90" w:rsidRPr="006B0349" w:rsidRDefault="00D96A90" w:rsidP="00EF5AF2">
            <w:pPr>
              <w:spacing w:before="5" w:line="209" w:lineRule="exact"/>
              <w:ind w:left="54"/>
              <w:jc w:val="center"/>
              <w:rPr>
                <w:rFonts w:ascii="Calibri" w:eastAsia="Arial MT" w:hAnsi="Arial MT" w:cs="Arial MT"/>
                <w:sz w:val="19"/>
              </w:rPr>
            </w:pPr>
            <w:r w:rsidRPr="006B0349">
              <w:rPr>
                <w:rFonts w:ascii="Calibri" w:eastAsia="Arial MT" w:hAnsi="Arial MT" w:cs="Arial MT"/>
                <w:spacing w:val="-10"/>
                <w:sz w:val="19"/>
              </w:rPr>
              <w:t>-</w:t>
            </w:r>
          </w:p>
        </w:tc>
        <w:tc>
          <w:tcPr>
            <w:tcW w:w="1267" w:type="dxa"/>
            <w:tcBorders>
              <w:top w:val="single" w:sz="12" w:space="0" w:color="000000"/>
              <w:left w:val="single" w:sz="12" w:space="0" w:color="000000"/>
              <w:bottom w:val="single" w:sz="12" w:space="0" w:color="000000"/>
              <w:right w:val="single" w:sz="12" w:space="0" w:color="000000"/>
            </w:tcBorders>
          </w:tcPr>
          <w:p w14:paraId="52EB4305" w14:textId="77777777" w:rsidR="00D96A90" w:rsidRPr="006B0349" w:rsidRDefault="00D96A90" w:rsidP="00EF5AF2">
            <w:pPr>
              <w:spacing w:before="5" w:line="209" w:lineRule="exact"/>
              <w:ind w:left="59"/>
              <w:jc w:val="center"/>
              <w:rPr>
                <w:rFonts w:ascii="Calibri" w:eastAsia="Arial MT" w:hAnsi="Arial MT" w:cs="Arial MT"/>
                <w:sz w:val="19"/>
              </w:rPr>
            </w:pPr>
            <w:r w:rsidRPr="006B0349">
              <w:rPr>
                <w:rFonts w:ascii="Calibri" w:eastAsia="Arial MT" w:hAnsi="Arial MT" w:cs="Arial MT"/>
                <w:spacing w:val="-2"/>
                <w:sz w:val="19"/>
              </w:rPr>
              <w:t>39,55%</w:t>
            </w:r>
          </w:p>
        </w:tc>
      </w:tr>
    </w:tbl>
    <w:p w14:paraId="3FDDC1F5" w14:textId="77777777" w:rsidR="00D96A90" w:rsidRDefault="00D96A90" w:rsidP="00D96A90">
      <w:pPr>
        <w:pStyle w:val="Textoindependiente"/>
        <w:spacing w:before="3"/>
        <w:jc w:val="both"/>
        <w:rPr>
          <w:b/>
        </w:rPr>
      </w:pPr>
    </w:p>
    <w:p w14:paraId="3966A6F3"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ACLARACION DE CAMBIO DE PORCENTAJES EN LA EJECUCIÓN DE INVERSIÓN Y SU CAUSA:</w:t>
      </w:r>
    </w:p>
    <w:p w14:paraId="321F950A" w14:textId="77777777" w:rsidR="00D96A90" w:rsidRPr="001908C4" w:rsidRDefault="00D96A90" w:rsidP="0063799A">
      <w:pPr>
        <w:pStyle w:val="Textoindependiente"/>
        <w:spacing w:before="3"/>
        <w:ind w:left="-284" w:right="-234"/>
        <w:jc w:val="both"/>
        <w:rPr>
          <w:rFonts w:ascii="Arial" w:hAnsi="Arial" w:cs="Arial"/>
          <w:bCs/>
          <w:sz w:val="24"/>
          <w:szCs w:val="24"/>
        </w:rPr>
      </w:pPr>
    </w:p>
    <w:p w14:paraId="00A57588" w14:textId="10A2464E" w:rsidR="00D96A90"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Frente a este porcentaje se aclara que el presupuesto de la vigencia se realizaron modificaciones y ADICION con recursos NACION al Presupuesto de la vigencia 2023, que afecto la ejecución de los proyectos de inversión, como se detalla a continuación:</w:t>
      </w:r>
    </w:p>
    <w:p w14:paraId="3C6FC5E6" w14:textId="77777777" w:rsidR="00CD7FC8" w:rsidRPr="001908C4" w:rsidRDefault="00CD7FC8" w:rsidP="0063799A">
      <w:pPr>
        <w:pStyle w:val="Textoindependiente"/>
        <w:spacing w:before="3"/>
        <w:ind w:left="-284" w:right="-234"/>
        <w:jc w:val="both"/>
        <w:rPr>
          <w:rFonts w:ascii="Arial" w:hAnsi="Arial" w:cs="Arial"/>
          <w:bCs/>
          <w:sz w:val="24"/>
          <w:szCs w:val="24"/>
        </w:rPr>
      </w:pPr>
    </w:p>
    <w:p w14:paraId="524CBE18" w14:textId="77777777" w:rsidR="00D96A90" w:rsidRPr="001908C4" w:rsidRDefault="00D96A90" w:rsidP="00CB6055">
      <w:pPr>
        <w:pStyle w:val="Textoindependiente"/>
        <w:numPr>
          <w:ilvl w:val="0"/>
          <w:numId w:val="43"/>
        </w:numPr>
        <w:spacing w:before="3"/>
        <w:ind w:right="-234"/>
        <w:jc w:val="both"/>
        <w:rPr>
          <w:rFonts w:ascii="Arial" w:hAnsi="Arial" w:cs="Arial"/>
          <w:bCs/>
          <w:sz w:val="24"/>
          <w:szCs w:val="24"/>
        </w:rPr>
      </w:pPr>
      <w:r w:rsidRPr="001908C4">
        <w:rPr>
          <w:rFonts w:ascii="Arial" w:hAnsi="Arial" w:cs="Arial"/>
          <w:bCs/>
          <w:sz w:val="24"/>
          <w:szCs w:val="24"/>
        </w:rPr>
        <w:t>Adición a recursos de Inversión por valor de $2.139.617.913 Recursos NACION, según resolución 018433 de 18 de octubre del 2024 “Por la cual se efectúa una distribución en el Presupuesto de Gastos de Inversión y Funcionamiento del Ministerio de Educación Nacional para la vigencia 2024” para la vigencia 2024.</w:t>
      </w:r>
    </w:p>
    <w:p w14:paraId="6525860B" w14:textId="77777777" w:rsidR="00D96A90" w:rsidRPr="001908C4" w:rsidRDefault="00D96A90" w:rsidP="00D96A90">
      <w:pPr>
        <w:pStyle w:val="Textoindependiente"/>
        <w:spacing w:before="3"/>
        <w:jc w:val="both"/>
        <w:rPr>
          <w:rFonts w:ascii="Arial" w:hAnsi="Arial" w:cs="Arial"/>
          <w:bCs/>
          <w:sz w:val="24"/>
          <w:szCs w:val="24"/>
        </w:rPr>
      </w:pPr>
    </w:p>
    <w:p w14:paraId="6B944057"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Adjuntamos presentación de las ejecuciones de los proyectos de inversión de la vigencia 2024 por separado; incluye el avance y alcance de los proyectos de inversión para tener una claridad de la secuencia dé cada uno los proyectos, se realizó seguimiento a estos de forma aparte porque la ejecución presupuestal cambia al incluir los montos adicionales asignados por el MEN; se presentan los proyectos con la apropiación inicial y otro seguimiento de los proyectos ejecutados con los recursos de los planes de fomento, aclarando que son estos recursos que afectaron la ejecución presupuestal debido a que fueron apropiados el 18 de octubre del 2024, con la Resolución No. 018433 del 2024 (Adjunta)</w:t>
      </w:r>
    </w:p>
    <w:p w14:paraId="31753C79" w14:textId="77777777" w:rsidR="00D96A90" w:rsidRPr="001908C4" w:rsidRDefault="00D96A90" w:rsidP="00D96A90">
      <w:pPr>
        <w:pStyle w:val="Textoindependiente"/>
        <w:spacing w:before="3"/>
        <w:jc w:val="both"/>
        <w:rPr>
          <w:rFonts w:ascii="Arial" w:hAnsi="Arial" w:cs="Arial"/>
          <w:b/>
          <w:sz w:val="24"/>
          <w:szCs w:val="24"/>
        </w:rPr>
      </w:pPr>
    </w:p>
    <w:p w14:paraId="799DB2F6" w14:textId="7668AC90" w:rsidR="00D96A90" w:rsidRDefault="00D96A90" w:rsidP="00CB6055">
      <w:pPr>
        <w:pStyle w:val="Textoindependiente"/>
        <w:numPr>
          <w:ilvl w:val="0"/>
          <w:numId w:val="42"/>
        </w:numPr>
        <w:spacing w:before="3"/>
        <w:ind w:right="-234"/>
        <w:jc w:val="both"/>
        <w:rPr>
          <w:b/>
        </w:rPr>
      </w:pPr>
      <w:r w:rsidRPr="001908C4">
        <w:rPr>
          <w:rFonts w:ascii="Arial" w:hAnsi="Arial" w:cs="Arial"/>
          <w:b/>
          <w:sz w:val="24"/>
          <w:szCs w:val="24"/>
        </w:rPr>
        <w:t>AVANCE EJECUCIÒN PROYECTOS DE INVERSION A OCTUBRE DEL 2024 CON UN 92.96% EJECUCIÒN</w:t>
      </w:r>
      <w:r>
        <w:rPr>
          <w:b/>
        </w:rPr>
        <w:t>.</w:t>
      </w:r>
    </w:p>
    <w:p w14:paraId="28B0FE9C" w14:textId="77777777" w:rsidR="0063799A" w:rsidRDefault="0063799A" w:rsidP="0063799A">
      <w:pPr>
        <w:pStyle w:val="Textoindependiente"/>
        <w:spacing w:before="3"/>
        <w:ind w:left="720"/>
        <w:jc w:val="both"/>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025"/>
        <w:gridCol w:w="992"/>
        <w:gridCol w:w="1052"/>
        <w:gridCol w:w="1039"/>
        <w:gridCol w:w="992"/>
        <w:gridCol w:w="992"/>
        <w:gridCol w:w="959"/>
      </w:tblGrid>
      <w:tr w:rsidR="00D96A90" w:rsidRPr="006B0349" w14:paraId="76436476" w14:textId="77777777" w:rsidTr="00EF5AF2">
        <w:trPr>
          <w:trHeight w:val="286"/>
          <w:jc w:val="center"/>
        </w:trPr>
        <w:tc>
          <w:tcPr>
            <w:tcW w:w="2350" w:type="dxa"/>
            <w:shd w:val="clear" w:color="auto" w:fill="DDEBF7"/>
          </w:tcPr>
          <w:p w14:paraId="31E792BC" w14:textId="77777777" w:rsidR="00D96A90" w:rsidRPr="006B0349" w:rsidRDefault="00D96A90" w:rsidP="00EF5AF2">
            <w:pPr>
              <w:spacing w:before="79"/>
              <w:ind w:left="500"/>
              <w:rPr>
                <w:rFonts w:eastAsia="Arial MT" w:hAnsi="Arial MT" w:cs="Arial MT"/>
                <w:b/>
                <w:sz w:val="11"/>
              </w:rPr>
            </w:pPr>
            <w:r w:rsidRPr="006B0349">
              <w:rPr>
                <w:rFonts w:eastAsia="Arial MT" w:hAnsi="Arial MT" w:cs="Arial MT"/>
                <w:b/>
                <w:spacing w:val="-4"/>
                <w:sz w:val="11"/>
              </w:rPr>
              <w:t>NOMBRE</w:t>
            </w:r>
            <w:r w:rsidRPr="006B0349">
              <w:rPr>
                <w:rFonts w:eastAsia="Arial MT" w:hAnsi="Arial MT" w:cs="Arial MT"/>
                <w:b/>
                <w:spacing w:val="1"/>
                <w:sz w:val="11"/>
              </w:rPr>
              <w:t xml:space="preserve"> </w:t>
            </w:r>
            <w:r w:rsidRPr="006B0349">
              <w:rPr>
                <w:rFonts w:eastAsia="Arial MT" w:hAnsi="Arial MT" w:cs="Arial MT"/>
                <w:b/>
                <w:spacing w:val="-4"/>
                <w:sz w:val="11"/>
              </w:rPr>
              <w:t>DEL</w:t>
            </w:r>
            <w:r w:rsidRPr="006B0349">
              <w:rPr>
                <w:rFonts w:eastAsia="Arial MT" w:hAnsi="Arial MT" w:cs="Arial MT"/>
                <w:b/>
                <w:spacing w:val="2"/>
                <w:sz w:val="11"/>
              </w:rPr>
              <w:t xml:space="preserve"> </w:t>
            </w:r>
            <w:r w:rsidRPr="006B0349">
              <w:rPr>
                <w:rFonts w:eastAsia="Arial MT" w:hAnsi="Arial MT" w:cs="Arial MT"/>
                <w:b/>
                <w:spacing w:val="-4"/>
                <w:sz w:val="11"/>
              </w:rPr>
              <w:t>PROYECTO</w:t>
            </w:r>
          </w:p>
        </w:tc>
        <w:tc>
          <w:tcPr>
            <w:tcW w:w="1025" w:type="dxa"/>
            <w:shd w:val="clear" w:color="auto" w:fill="DDEBF7"/>
          </w:tcPr>
          <w:p w14:paraId="1BF50A72" w14:textId="77777777" w:rsidR="00D96A90" w:rsidRPr="006B0349" w:rsidRDefault="00D96A90" w:rsidP="00EF5AF2">
            <w:pPr>
              <w:spacing w:before="8"/>
              <w:ind w:left="4" w:right="33"/>
              <w:jc w:val="center"/>
              <w:rPr>
                <w:rFonts w:eastAsia="Arial MT" w:cs="Arial MT"/>
                <w:b/>
                <w:sz w:val="11"/>
              </w:rPr>
            </w:pPr>
            <w:r w:rsidRPr="006B0349">
              <w:rPr>
                <w:rFonts w:eastAsia="Arial MT" w:cs="Arial MT"/>
                <w:b/>
                <w:spacing w:val="-2"/>
                <w:sz w:val="11"/>
              </w:rPr>
              <w:t>APROPIACIÓN</w:t>
            </w:r>
          </w:p>
          <w:p w14:paraId="229E6A38" w14:textId="77777777" w:rsidR="00D96A90" w:rsidRPr="006B0349" w:rsidRDefault="00D96A90" w:rsidP="00EF5AF2">
            <w:pPr>
              <w:spacing w:before="22" w:line="110" w:lineRule="exact"/>
              <w:ind w:left="33" w:right="29"/>
              <w:jc w:val="center"/>
              <w:rPr>
                <w:rFonts w:eastAsia="Arial MT" w:hAnsi="Arial MT" w:cs="Arial MT"/>
                <w:b/>
                <w:sz w:val="11"/>
              </w:rPr>
            </w:pPr>
            <w:r w:rsidRPr="006B0349">
              <w:rPr>
                <w:rFonts w:eastAsia="Arial MT" w:hAnsi="Arial MT" w:cs="Arial MT"/>
                <w:b/>
                <w:spacing w:val="-2"/>
                <w:sz w:val="11"/>
              </w:rPr>
              <w:t>INICIAL</w:t>
            </w:r>
          </w:p>
        </w:tc>
        <w:tc>
          <w:tcPr>
            <w:tcW w:w="992" w:type="dxa"/>
            <w:shd w:val="clear" w:color="auto" w:fill="DDEBF7"/>
          </w:tcPr>
          <w:p w14:paraId="325D9FAA" w14:textId="77777777" w:rsidR="00D96A90" w:rsidRPr="006B0349" w:rsidRDefault="00D96A90" w:rsidP="00EF5AF2">
            <w:pPr>
              <w:spacing w:before="8"/>
              <w:ind w:left="8" w:right="31"/>
              <w:jc w:val="center"/>
              <w:rPr>
                <w:rFonts w:eastAsia="Arial MT" w:cs="Arial MT"/>
                <w:b/>
                <w:sz w:val="11"/>
              </w:rPr>
            </w:pPr>
            <w:r w:rsidRPr="006B0349">
              <w:rPr>
                <w:rFonts w:eastAsia="Arial MT" w:cs="Arial MT"/>
                <w:b/>
                <w:spacing w:val="-2"/>
                <w:sz w:val="11"/>
              </w:rPr>
              <w:t>APROPIACIÓN</w:t>
            </w:r>
          </w:p>
          <w:p w14:paraId="4CC314DF" w14:textId="77777777" w:rsidR="00D96A90" w:rsidRPr="006B0349" w:rsidRDefault="00D96A90" w:rsidP="00EF5AF2">
            <w:pPr>
              <w:spacing w:before="22" w:line="110" w:lineRule="exact"/>
              <w:ind w:left="31" w:right="23"/>
              <w:jc w:val="center"/>
              <w:rPr>
                <w:rFonts w:eastAsia="Arial MT" w:cs="Arial MT"/>
                <w:b/>
                <w:sz w:val="11"/>
              </w:rPr>
            </w:pPr>
            <w:r w:rsidRPr="006B0349">
              <w:rPr>
                <w:rFonts w:eastAsia="Arial MT" w:cs="Arial MT"/>
                <w:b/>
                <w:spacing w:val="-2"/>
                <w:sz w:val="11"/>
              </w:rPr>
              <w:t>ADICIÓN</w:t>
            </w:r>
          </w:p>
        </w:tc>
        <w:tc>
          <w:tcPr>
            <w:tcW w:w="1052" w:type="dxa"/>
            <w:shd w:val="clear" w:color="auto" w:fill="DDEBF7"/>
          </w:tcPr>
          <w:p w14:paraId="7304A03A" w14:textId="77777777" w:rsidR="00D96A90" w:rsidRPr="006B0349" w:rsidRDefault="00D96A90" w:rsidP="00EF5AF2">
            <w:pPr>
              <w:spacing w:before="79"/>
              <w:ind w:left="5"/>
              <w:jc w:val="center"/>
              <w:rPr>
                <w:rFonts w:eastAsia="Arial MT" w:hAnsi="Arial MT" w:cs="Arial MT"/>
                <w:b/>
                <w:sz w:val="11"/>
              </w:rPr>
            </w:pPr>
            <w:r w:rsidRPr="006B0349">
              <w:rPr>
                <w:rFonts w:eastAsia="Arial MT" w:hAnsi="Arial MT" w:cs="Arial MT"/>
                <w:b/>
                <w:spacing w:val="-5"/>
                <w:sz w:val="11"/>
              </w:rPr>
              <w:t>CDP</w:t>
            </w:r>
          </w:p>
        </w:tc>
        <w:tc>
          <w:tcPr>
            <w:tcW w:w="1039" w:type="dxa"/>
            <w:shd w:val="clear" w:color="auto" w:fill="DDEBF7"/>
          </w:tcPr>
          <w:p w14:paraId="1383BC85" w14:textId="77777777" w:rsidR="00D96A90" w:rsidRPr="006B0349" w:rsidRDefault="00D96A90" w:rsidP="00EF5AF2">
            <w:pPr>
              <w:spacing w:before="8"/>
              <w:ind w:left="127"/>
              <w:rPr>
                <w:rFonts w:eastAsia="Arial MT" w:cs="Arial MT"/>
                <w:b/>
                <w:sz w:val="11"/>
              </w:rPr>
            </w:pPr>
            <w:r w:rsidRPr="006B0349">
              <w:rPr>
                <w:rFonts w:eastAsia="Arial MT" w:cs="Arial MT"/>
                <w:b/>
                <w:spacing w:val="-2"/>
                <w:sz w:val="11"/>
              </w:rPr>
              <w:t>APROPIACIÓN</w:t>
            </w:r>
          </w:p>
          <w:p w14:paraId="3FE40013" w14:textId="77777777" w:rsidR="00D96A90" w:rsidRPr="006B0349" w:rsidRDefault="00D96A90" w:rsidP="00EF5AF2">
            <w:pPr>
              <w:spacing w:before="22" w:line="110" w:lineRule="exact"/>
              <w:ind w:left="187"/>
              <w:rPr>
                <w:rFonts w:eastAsia="Arial MT" w:hAnsi="Arial MT" w:cs="Arial MT"/>
                <w:b/>
                <w:sz w:val="11"/>
              </w:rPr>
            </w:pPr>
            <w:r w:rsidRPr="006B0349">
              <w:rPr>
                <w:rFonts w:eastAsia="Arial MT" w:hAnsi="Arial MT" w:cs="Arial MT"/>
                <w:b/>
                <w:spacing w:val="-2"/>
                <w:sz w:val="11"/>
              </w:rPr>
              <w:t>DISPONIBLE</w:t>
            </w:r>
          </w:p>
        </w:tc>
        <w:tc>
          <w:tcPr>
            <w:tcW w:w="992" w:type="dxa"/>
            <w:shd w:val="clear" w:color="auto" w:fill="DDEBF7"/>
          </w:tcPr>
          <w:p w14:paraId="28E3B6DD" w14:textId="77777777" w:rsidR="00D96A90" w:rsidRPr="006B0349" w:rsidRDefault="00D96A90" w:rsidP="00EF5AF2">
            <w:pPr>
              <w:spacing w:before="79"/>
              <w:ind w:left="19"/>
              <w:rPr>
                <w:rFonts w:eastAsia="Arial MT" w:hAnsi="Arial MT" w:cs="Arial MT"/>
                <w:b/>
                <w:sz w:val="11"/>
              </w:rPr>
            </w:pPr>
            <w:r w:rsidRPr="006B0349">
              <w:rPr>
                <w:rFonts w:eastAsia="Arial MT" w:hAnsi="Arial MT" w:cs="Arial MT"/>
                <w:b/>
                <w:spacing w:val="-2"/>
                <w:sz w:val="11"/>
              </w:rPr>
              <w:t>COMPROMISOS</w:t>
            </w:r>
          </w:p>
        </w:tc>
        <w:tc>
          <w:tcPr>
            <w:tcW w:w="992" w:type="dxa"/>
            <w:shd w:val="clear" w:color="auto" w:fill="DDEBF7"/>
          </w:tcPr>
          <w:p w14:paraId="42EB0D95" w14:textId="77777777" w:rsidR="00D96A90" w:rsidRPr="006B0349" w:rsidRDefault="00D96A90" w:rsidP="00EF5AF2">
            <w:pPr>
              <w:spacing w:before="79"/>
              <w:ind w:right="85"/>
              <w:jc w:val="right"/>
              <w:rPr>
                <w:rFonts w:eastAsia="Arial MT" w:hAnsi="Arial MT" w:cs="Arial MT"/>
                <w:b/>
                <w:sz w:val="11"/>
              </w:rPr>
            </w:pPr>
            <w:r w:rsidRPr="006B0349">
              <w:rPr>
                <w:rFonts w:eastAsia="Arial MT" w:hAnsi="Arial MT" w:cs="Arial MT"/>
                <w:b/>
                <w:spacing w:val="-2"/>
                <w:sz w:val="11"/>
              </w:rPr>
              <w:t>OBLIGACIONES</w:t>
            </w:r>
          </w:p>
        </w:tc>
        <w:tc>
          <w:tcPr>
            <w:tcW w:w="959" w:type="dxa"/>
            <w:shd w:val="clear" w:color="auto" w:fill="DDEBF7"/>
          </w:tcPr>
          <w:p w14:paraId="4E74EA0A" w14:textId="77777777" w:rsidR="00D96A90" w:rsidRPr="006B0349" w:rsidRDefault="00D96A90" w:rsidP="00EF5AF2">
            <w:pPr>
              <w:spacing w:before="79"/>
              <w:ind w:left="285"/>
              <w:rPr>
                <w:rFonts w:eastAsia="Arial MT" w:hAnsi="Arial MT" w:cs="Arial MT"/>
                <w:b/>
                <w:sz w:val="11"/>
              </w:rPr>
            </w:pPr>
            <w:r w:rsidRPr="006B0349">
              <w:rPr>
                <w:rFonts w:eastAsia="Arial MT" w:hAnsi="Arial MT" w:cs="Arial MT"/>
                <w:b/>
                <w:spacing w:val="-2"/>
                <w:sz w:val="11"/>
              </w:rPr>
              <w:t>PAGOS</w:t>
            </w:r>
          </w:p>
        </w:tc>
      </w:tr>
      <w:tr w:rsidR="00D96A90" w:rsidRPr="006B0349" w14:paraId="4211108F" w14:textId="77777777" w:rsidTr="00EF5AF2">
        <w:trPr>
          <w:trHeight w:val="469"/>
          <w:jc w:val="center"/>
        </w:trPr>
        <w:tc>
          <w:tcPr>
            <w:tcW w:w="2350" w:type="dxa"/>
          </w:tcPr>
          <w:p w14:paraId="1271F31D" w14:textId="77777777" w:rsidR="00D96A90" w:rsidRPr="006B0349" w:rsidRDefault="00D96A90" w:rsidP="00EF5AF2">
            <w:pPr>
              <w:spacing w:before="6" w:line="278" w:lineRule="auto"/>
              <w:ind w:left="14"/>
              <w:rPr>
                <w:rFonts w:ascii="Arial MT" w:eastAsia="Arial MT" w:hAnsi="Arial MT" w:cs="Arial MT"/>
                <w:sz w:val="9"/>
              </w:rPr>
            </w:pPr>
            <w:r w:rsidRPr="006B0349">
              <w:rPr>
                <w:rFonts w:ascii="Arial MT" w:eastAsia="Arial MT" w:hAnsi="Arial MT" w:cs="Arial MT"/>
                <w:spacing w:val="-2"/>
                <w:sz w:val="9"/>
              </w:rPr>
              <w:t>AMBIENTES</w:t>
            </w:r>
            <w:r w:rsidRPr="006B0349">
              <w:rPr>
                <w:rFonts w:ascii="Arial MT" w:eastAsia="Arial MT" w:hAnsi="Arial MT" w:cs="Arial MT"/>
                <w:spacing w:val="-5"/>
                <w:sz w:val="9"/>
              </w:rPr>
              <w:t xml:space="preserve"> </w:t>
            </w:r>
            <w:r w:rsidRPr="006B0349">
              <w:rPr>
                <w:rFonts w:ascii="Arial MT" w:eastAsia="Arial MT" w:hAnsi="Arial MT" w:cs="Arial MT"/>
                <w:spacing w:val="-2"/>
                <w:sz w:val="9"/>
              </w:rPr>
              <w:t>DE</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APRENDIZAJE</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DOTADOS</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w:t>
            </w:r>
            <w:r w:rsidRPr="006B0349">
              <w:rPr>
                <w:rFonts w:ascii="Arial MT" w:eastAsia="Arial MT" w:hAnsi="Arial MT" w:cs="Arial MT"/>
                <w:spacing w:val="-5"/>
                <w:sz w:val="9"/>
              </w:rPr>
              <w:t xml:space="preserve"> </w:t>
            </w:r>
            <w:r w:rsidRPr="006B0349">
              <w:rPr>
                <w:rFonts w:ascii="Arial MT" w:eastAsia="Arial MT" w:hAnsi="Arial MT" w:cs="Arial MT"/>
                <w:spacing w:val="-2"/>
                <w:sz w:val="9"/>
              </w:rPr>
              <w:t>DOTACION</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DE AMBIENTES DE APRENDIZAJES EN</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EL</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INSTITUTO</w:t>
            </w:r>
            <w:r w:rsidRPr="006B0349">
              <w:rPr>
                <w:rFonts w:ascii="Arial MT" w:eastAsia="Arial MT" w:hAnsi="Arial MT" w:cs="Arial MT"/>
                <w:spacing w:val="40"/>
                <w:sz w:val="9"/>
              </w:rPr>
              <w:t xml:space="preserve"> </w:t>
            </w:r>
            <w:r w:rsidRPr="006B0349">
              <w:rPr>
                <w:rFonts w:ascii="Arial MT" w:eastAsia="Arial MT" w:hAnsi="Arial MT" w:cs="Arial MT"/>
                <w:spacing w:val="-4"/>
                <w:sz w:val="9"/>
              </w:rPr>
              <w:t>TOLIMENSE</w:t>
            </w:r>
            <w:r w:rsidRPr="006B0349">
              <w:rPr>
                <w:rFonts w:ascii="Arial MT" w:eastAsia="Arial MT" w:hAnsi="Arial MT" w:cs="Arial MT"/>
                <w:sz w:val="9"/>
              </w:rPr>
              <w:t xml:space="preserve"> </w:t>
            </w:r>
            <w:r w:rsidRPr="006B0349">
              <w:rPr>
                <w:rFonts w:ascii="Arial MT" w:eastAsia="Arial MT" w:hAnsi="Arial MT" w:cs="Arial MT"/>
                <w:spacing w:val="-4"/>
                <w:sz w:val="9"/>
              </w:rPr>
              <w:t>DE</w:t>
            </w:r>
            <w:r w:rsidRPr="006B0349">
              <w:rPr>
                <w:rFonts w:ascii="Arial MT" w:eastAsia="Arial MT" w:hAnsi="Arial MT" w:cs="Arial MT"/>
                <w:sz w:val="9"/>
              </w:rPr>
              <w:t xml:space="preserve"> </w:t>
            </w:r>
            <w:r w:rsidRPr="006B0349">
              <w:rPr>
                <w:rFonts w:ascii="Arial MT" w:eastAsia="Arial MT" w:hAnsi="Arial MT" w:cs="Arial MT"/>
                <w:spacing w:val="-4"/>
                <w:sz w:val="9"/>
              </w:rPr>
              <w:t>FORMACION</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TECNICA</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PROFESIONAL</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w:t>
            </w:r>
          </w:p>
          <w:p w14:paraId="388856E8" w14:textId="77777777" w:rsidR="00D96A90" w:rsidRPr="006B0349" w:rsidRDefault="00D96A90" w:rsidP="00EF5AF2">
            <w:pPr>
              <w:spacing w:line="84" w:lineRule="exact"/>
              <w:ind w:left="14"/>
              <w:rPr>
                <w:rFonts w:ascii="Arial MT" w:eastAsia="Arial MT" w:hAnsi="Arial MT" w:cs="Arial MT"/>
                <w:sz w:val="9"/>
              </w:rPr>
            </w:pPr>
            <w:r w:rsidRPr="006B0349">
              <w:rPr>
                <w:rFonts w:ascii="Arial MT" w:eastAsia="Arial MT" w:hAnsi="Arial MT" w:cs="Arial MT"/>
                <w:sz w:val="9"/>
              </w:rPr>
              <w:t>ITFIP-</w:t>
            </w:r>
            <w:r w:rsidRPr="006B0349">
              <w:rPr>
                <w:rFonts w:ascii="Arial MT" w:eastAsia="Arial MT" w:hAnsi="Arial MT" w:cs="Arial MT"/>
                <w:spacing w:val="-7"/>
                <w:sz w:val="9"/>
              </w:rPr>
              <w:t xml:space="preserve"> </w:t>
            </w:r>
            <w:r w:rsidRPr="006B0349">
              <w:rPr>
                <w:rFonts w:ascii="Arial MT" w:eastAsia="Arial MT" w:hAnsi="Arial MT" w:cs="Arial MT"/>
                <w:sz w:val="9"/>
              </w:rPr>
              <w:t>EN</w:t>
            </w:r>
            <w:r w:rsidRPr="006B0349">
              <w:rPr>
                <w:rFonts w:ascii="Arial MT" w:eastAsia="Arial MT" w:hAnsi="Arial MT" w:cs="Arial MT"/>
                <w:spacing w:val="10"/>
                <w:sz w:val="9"/>
              </w:rPr>
              <w:t xml:space="preserve"> </w:t>
            </w:r>
            <w:r w:rsidRPr="006B0349">
              <w:rPr>
                <w:rFonts w:ascii="Arial MT" w:eastAsia="Arial MT" w:hAnsi="Arial MT" w:cs="Arial MT"/>
                <w:sz w:val="9"/>
              </w:rPr>
              <w:t>EL</w:t>
            </w:r>
            <w:r w:rsidRPr="006B0349">
              <w:rPr>
                <w:rFonts w:ascii="Arial MT" w:eastAsia="Arial MT" w:hAnsi="Arial MT" w:cs="Arial MT"/>
                <w:spacing w:val="-6"/>
                <w:sz w:val="9"/>
              </w:rPr>
              <w:t xml:space="preserve"> </w:t>
            </w:r>
            <w:r w:rsidRPr="006B0349">
              <w:rPr>
                <w:rFonts w:ascii="Arial MT" w:eastAsia="Arial MT" w:hAnsi="Arial MT" w:cs="Arial MT"/>
                <w:sz w:val="9"/>
              </w:rPr>
              <w:t>ESPINAL,</w:t>
            </w:r>
            <w:r w:rsidRPr="006B0349">
              <w:rPr>
                <w:rFonts w:ascii="Arial MT" w:eastAsia="Arial MT" w:hAnsi="Arial MT" w:cs="Arial MT"/>
                <w:spacing w:val="35"/>
                <w:sz w:val="9"/>
              </w:rPr>
              <w:t xml:space="preserve"> </w:t>
            </w:r>
            <w:r w:rsidRPr="006B0349">
              <w:rPr>
                <w:rFonts w:ascii="Arial MT" w:eastAsia="Arial MT" w:hAnsi="Arial MT" w:cs="Arial MT"/>
                <w:spacing w:val="-2"/>
                <w:sz w:val="9"/>
              </w:rPr>
              <w:t>TOLIMA</w:t>
            </w:r>
          </w:p>
        </w:tc>
        <w:tc>
          <w:tcPr>
            <w:tcW w:w="1025" w:type="dxa"/>
          </w:tcPr>
          <w:p w14:paraId="617AE509" w14:textId="77777777" w:rsidR="00D96A90" w:rsidRPr="006B0349" w:rsidRDefault="00D96A90" w:rsidP="00EF5AF2">
            <w:pPr>
              <w:spacing w:before="51"/>
              <w:rPr>
                <w:rFonts w:eastAsia="Arial MT" w:hAnsi="Arial MT" w:cs="Arial MT"/>
                <w:b/>
                <w:sz w:val="11"/>
              </w:rPr>
            </w:pPr>
          </w:p>
          <w:p w14:paraId="42B1738B" w14:textId="77777777" w:rsidR="00D96A90" w:rsidRPr="006B0349" w:rsidRDefault="00D96A90" w:rsidP="00EF5AF2">
            <w:pPr>
              <w:ind w:right="48"/>
              <w:jc w:val="right"/>
              <w:rPr>
                <w:rFonts w:ascii="Arial MT" w:eastAsia="Arial MT" w:hAnsi="Arial MT" w:cs="Arial MT"/>
                <w:sz w:val="11"/>
              </w:rPr>
            </w:pPr>
            <w:r w:rsidRPr="006B0349">
              <w:rPr>
                <w:rFonts w:ascii="Arial MT" w:eastAsia="Arial MT" w:hAnsi="Arial MT" w:cs="Arial MT"/>
                <w:spacing w:val="-2"/>
                <w:sz w:val="11"/>
              </w:rPr>
              <w:t>350.000.000</w:t>
            </w:r>
          </w:p>
        </w:tc>
        <w:tc>
          <w:tcPr>
            <w:tcW w:w="992" w:type="dxa"/>
          </w:tcPr>
          <w:p w14:paraId="2CAA7D34" w14:textId="77777777" w:rsidR="00D96A90" w:rsidRPr="006B0349" w:rsidRDefault="00D96A90" w:rsidP="00EF5AF2">
            <w:pPr>
              <w:spacing w:before="51"/>
              <w:rPr>
                <w:rFonts w:eastAsia="Arial MT" w:hAnsi="Arial MT" w:cs="Arial MT"/>
                <w:b/>
                <w:sz w:val="11"/>
              </w:rPr>
            </w:pPr>
          </w:p>
          <w:p w14:paraId="23920856" w14:textId="77777777" w:rsidR="00D96A90" w:rsidRPr="006B0349" w:rsidRDefault="00D96A90" w:rsidP="00EF5AF2">
            <w:pPr>
              <w:ind w:right="14"/>
              <w:jc w:val="right"/>
              <w:rPr>
                <w:rFonts w:ascii="Arial MT" w:eastAsia="Arial MT" w:hAnsi="Arial MT" w:cs="Arial MT"/>
                <w:sz w:val="11"/>
              </w:rPr>
            </w:pPr>
            <w:r w:rsidRPr="006B0349">
              <w:rPr>
                <w:rFonts w:ascii="Arial MT" w:eastAsia="Arial MT" w:hAnsi="Arial MT" w:cs="Arial MT"/>
                <w:spacing w:val="-2"/>
                <w:sz w:val="11"/>
              </w:rPr>
              <w:t>$0,00</w:t>
            </w:r>
          </w:p>
        </w:tc>
        <w:tc>
          <w:tcPr>
            <w:tcW w:w="1052" w:type="dxa"/>
          </w:tcPr>
          <w:p w14:paraId="345699EB" w14:textId="77777777" w:rsidR="00D96A90" w:rsidRPr="006B0349" w:rsidRDefault="00D96A90" w:rsidP="00EF5AF2">
            <w:pPr>
              <w:spacing w:before="51"/>
              <w:rPr>
                <w:rFonts w:eastAsia="Arial MT" w:hAnsi="Arial MT" w:cs="Arial MT"/>
                <w:b/>
                <w:sz w:val="11"/>
              </w:rPr>
            </w:pPr>
          </w:p>
          <w:p w14:paraId="795B9B91" w14:textId="77777777" w:rsidR="00D96A90" w:rsidRPr="006B0349" w:rsidRDefault="00D96A90" w:rsidP="00EF5AF2">
            <w:pPr>
              <w:ind w:right="15"/>
              <w:jc w:val="right"/>
              <w:rPr>
                <w:rFonts w:ascii="Arial MT" w:eastAsia="Arial MT" w:hAnsi="Arial MT" w:cs="Arial MT"/>
                <w:sz w:val="11"/>
              </w:rPr>
            </w:pPr>
            <w:r w:rsidRPr="006B0349">
              <w:rPr>
                <w:rFonts w:ascii="Arial MT" w:eastAsia="Arial MT" w:hAnsi="Arial MT" w:cs="Arial MT"/>
                <w:spacing w:val="-2"/>
                <w:sz w:val="11"/>
              </w:rPr>
              <w:t>$0,00</w:t>
            </w:r>
          </w:p>
        </w:tc>
        <w:tc>
          <w:tcPr>
            <w:tcW w:w="1039" w:type="dxa"/>
          </w:tcPr>
          <w:p w14:paraId="4A6C09A7" w14:textId="77777777" w:rsidR="00D96A90" w:rsidRPr="006B0349" w:rsidRDefault="00D96A90" w:rsidP="00EF5AF2">
            <w:pPr>
              <w:spacing w:before="51"/>
              <w:rPr>
                <w:rFonts w:eastAsia="Arial MT" w:hAnsi="Arial MT" w:cs="Arial MT"/>
                <w:b/>
                <w:sz w:val="11"/>
              </w:rPr>
            </w:pPr>
          </w:p>
          <w:p w14:paraId="2DBB2ECD" w14:textId="77777777" w:rsidR="00D96A90" w:rsidRPr="006B0349" w:rsidRDefault="00D96A90" w:rsidP="00EF5AF2">
            <w:pPr>
              <w:ind w:right="50"/>
              <w:jc w:val="right"/>
              <w:rPr>
                <w:rFonts w:ascii="Arial MT" w:eastAsia="Arial MT" w:hAnsi="Arial MT" w:cs="Arial MT"/>
                <w:sz w:val="11"/>
              </w:rPr>
            </w:pPr>
            <w:r w:rsidRPr="006B0349">
              <w:rPr>
                <w:rFonts w:ascii="Arial MT" w:eastAsia="Arial MT" w:hAnsi="Arial MT" w:cs="Arial MT"/>
                <w:spacing w:val="-2"/>
                <w:sz w:val="11"/>
              </w:rPr>
              <w:t>350.000.000</w:t>
            </w:r>
          </w:p>
        </w:tc>
        <w:tc>
          <w:tcPr>
            <w:tcW w:w="992" w:type="dxa"/>
          </w:tcPr>
          <w:p w14:paraId="00FF2DDE" w14:textId="77777777" w:rsidR="00D96A90" w:rsidRPr="006B0349" w:rsidRDefault="00D96A90" w:rsidP="00EF5AF2">
            <w:pPr>
              <w:spacing w:before="51"/>
              <w:rPr>
                <w:rFonts w:eastAsia="Arial MT" w:hAnsi="Arial MT" w:cs="Arial MT"/>
                <w:b/>
                <w:sz w:val="11"/>
              </w:rPr>
            </w:pPr>
          </w:p>
          <w:p w14:paraId="588F4463" w14:textId="77777777" w:rsidR="00D96A90" w:rsidRPr="006B0349" w:rsidRDefault="00D96A90" w:rsidP="00EF5AF2">
            <w:pPr>
              <w:ind w:right="16"/>
              <w:jc w:val="right"/>
              <w:rPr>
                <w:rFonts w:ascii="Arial MT" w:eastAsia="Arial MT" w:hAnsi="Arial MT" w:cs="Arial MT"/>
                <w:sz w:val="11"/>
              </w:rPr>
            </w:pPr>
            <w:r w:rsidRPr="006B0349">
              <w:rPr>
                <w:rFonts w:ascii="Arial MT" w:eastAsia="Arial MT" w:hAnsi="Arial MT" w:cs="Arial MT"/>
                <w:spacing w:val="-2"/>
                <w:sz w:val="11"/>
              </w:rPr>
              <w:t>$0,00</w:t>
            </w:r>
          </w:p>
        </w:tc>
        <w:tc>
          <w:tcPr>
            <w:tcW w:w="992" w:type="dxa"/>
          </w:tcPr>
          <w:p w14:paraId="0B3F6049" w14:textId="77777777" w:rsidR="00D96A90" w:rsidRPr="006B0349" w:rsidRDefault="00D96A90" w:rsidP="00EF5AF2">
            <w:pPr>
              <w:spacing w:before="51"/>
              <w:rPr>
                <w:rFonts w:eastAsia="Arial MT" w:hAnsi="Arial MT" w:cs="Arial MT"/>
                <w:b/>
                <w:sz w:val="11"/>
              </w:rPr>
            </w:pPr>
          </w:p>
          <w:p w14:paraId="195D990E" w14:textId="77777777" w:rsidR="00D96A90" w:rsidRPr="006B0349" w:rsidRDefault="00D96A90" w:rsidP="00EF5AF2">
            <w:pPr>
              <w:ind w:right="16"/>
              <w:jc w:val="right"/>
              <w:rPr>
                <w:rFonts w:ascii="Arial MT" w:eastAsia="Arial MT" w:hAnsi="Arial MT" w:cs="Arial MT"/>
                <w:sz w:val="11"/>
              </w:rPr>
            </w:pPr>
            <w:r w:rsidRPr="006B0349">
              <w:rPr>
                <w:rFonts w:ascii="Arial MT" w:eastAsia="Arial MT" w:hAnsi="Arial MT" w:cs="Arial MT"/>
                <w:spacing w:val="-2"/>
                <w:sz w:val="11"/>
              </w:rPr>
              <w:t>$0,00</w:t>
            </w:r>
          </w:p>
        </w:tc>
        <w:tc>
          <w:tcPr>
            <w:tcW w:w="959" w:type="dxa"/>
          </w:tcPr>
          <w:p w14:paraId="36C55AF8" w14:textId="77777777" w:rsidR="00D96A90" w:rsidRPr="006B0349" w:rsidRDefault="00D96A90" w:rsidP="00EF5AF2">
            <w:pPr>
              <w:spacing w:before="51"/>
              <w:rPr>
                <w:rFonts w:eastAsia="Arial MT" w:hAnsi="Arial MT" w:cs="Arial MT"/>
                <w:b/>
                <w:sz w:val="11"/>
              </w:rPr>
            </w:pPr>
          </w:p>
          <w:p w14:paraId="4C3FAE5D" w14:textId="77777777" w:rsidR="00D96A90" w:rsidRPr="006B0349" w:rsidRDefault="00D96A90" w:rsidP="00EF5AF2">
            <w:pPr>
              <w:ind w:right="17"/>
              <w:jc w:val="right"/>
              <w:rPr>
                <w:rFonts w:ascii="Arial MT" w:eastAsia="Arial MT" w:hAnsi="Arial MT" w:cs="Arial MT"/>
                <w:sz w:val="11"/>
              </w:rPr>
            </w:pPr>
            <w:r w:rsidRPr="006B0349">
              <w:rPr>
                <w:rFonts w:ascii="Arial MT" w:eastAsia="Arial MT" w:hAnsi="Arial MT" w:cs="Arial MT"/>
                <w:spacing w:val="-2"/>
                <w:sz w:val="11"/>
              </w:rPr>
              <w:t>$0,00</w:t>
            </w:r>
          </w:p>
        </w:tc>
      </w:tr>
      <w:tr w:rsidR="00D96A90" w:rsidRPr="006B0349" w14:paraId="55865D8C" w14:textId="77777777" w:rsidTr="00EF5AF2">
        <w:trPr>
          <w:trHeight w:val="710"/>
          <w:jc w:val="center"/>
        </w:trPr>
        <w:tc>
          <w:tcPr>
            <w:tcW w:w="2350" w:type="dxa"/>
          </w:tcPr>
          <w:p w14:paraId="23B51192" w14:textId="77777777" w:rsidR="00D96A90" w:rsidRPr="006B0349" w:rsidRDefault="00D96A90" w:rsidP="00EF5AF2">
            <w:pPr>
              <w:spacing w:before="6" w:line="278" w:lineRule="auto"/>
              <w:ind w:left="14"/>
              <w:rPr>
                <w:rFonts w:ascii="Arial MT" w:eastAsia="Arial MT" w:hAnsi="Arial MT" w:cs="Arial MT"/>
                <w:sz w:val="9"/>
              </w:rPr>
            </w:pPr>
            <w:r w:rsidRPr="006B0349">
              <w:rPr>
                <w:rFonts w:ascii="Arial MT" w:eastAsia="Arial MT" w:hAnsi="Arial MT" w:cs="Arial MT"/>
                <w:sz w:val="9"/>
              </w:rPr>
              <w:lastRenderedPageBreak/>
              <w:t>SERVICIOS</w:t>
            </w:r>
            <w:r w:rsidRPr="006B0349">
              <w:rPr>
                <w:rFonts w:ascii="Arial MT" w:eastAsia="Arial MT" w:hAnsi="Arial MT" w:cs="Arial MT"/>
                <w:spacing w:val="-7"/>
                <w:sz w:val="9"/>
              </w:rPr>
              <w:t xml:space="preserve"> </w:t>
            </w:r>
            <w:r w:rsidRPr="006B0349">
              <w:rPr>
                <w:rFonts w:ascii="Arial MT" w:eastAsia="Arial MT" w:hAnsi="Arial MT" w:cs="Arial MT"/>
                <w:sz w:val="9"/>
              </w:rPr>
              <w:t>DE</w:t>
            </w:r>
            <w:r w:rsidRPr="006B0349">
              <w:rPr>
                <w:rFonts w:ascii="Arial MT" w:eastAsia="Arial MT" w:hAnsi="Arial MT" w:cs="Arial MT"/>
                <w:spacing w:val="-5"/>
                <w:sz w:val="9"/>
              </w:rPr>
              <w:t xml:space="preserve"> </w:t>
            </w:r>
            <w:r w:rsidRPr="006B0349">
              <w:rPr>
                <w:rFonts w:ascii="Arial MT" w:eastAsia="Arial MT" w:hAnsi="Arial MT" w:cs="Arial MT"/>
                <w:sz w:val="9"/>
              </w:rPr>
              <w:t>APOYO</w:t>
            </w:r>
            <w:r w:rsidRPr="006B0349">
              <w:rPr>
                <w:rFonts w:ascii="Arial MT" w:eastAsia="Arial MT" w:hAnsi="Arial MT" w:cs="Arial MT"/>
                <w:spacing w:val="-7"/>
                <w:sz w:val="9"/>
              </w:rPr>
              <w:t xml:space="preserve"> </w:t>
            </w:r>
            <w:r w:rsidRPr="006B0349">
              <w:rPr>
                <w:rFonts w:ascii="Arial MT" w:eastAsia="Arial MT" w:hAnsi="Arial MT" w:cs="Arial MT"/>
                <w:sz w:val="9"/>
              </w:rPr>
              <w:t>A</w:t>
            </w:r>
            <w:r w:rsidRPr="006B0349">
              <w:rPr>
                <w:rFonts w:ascii="Arial MT" w:eastAsia="Arial MT" w:hAnsi="Arial MT" w:cs="Arial MT"/>
                <w:spacing w:val="-5"/>
                <w:sz w:val="9"/>
              </w:rPr>
              <w:t xml:space="preserve"> </w:t>
            </w:r>
            <w:r w:rsidRPr="006B0349">
              <w:rPr>
                <w:rFonts w:ascii="Arial MT" w:eastAsia="Arial MT" w:hAnsi="Arial MT" w:cs="Arial MT"/>
                <w:sz w:val="9"/>
              </w:rPr>
              <w:t>LA</w:t>
            </w:r>
            <w:r w:rsidRPr="006B0349">
              <w:rPr>
                <w:rFonts w:ascii="Arial MT" w:eastAsia="Arial MT" w:hAnsi="Arial MT" w:cs="Arial MT"/>
                <w:spacing w:val="-6"/>
                <w:sz w:val="9"/>
              </w:rPr>
              <w:t xml:space="preserve"> </w:t>
            </w:r>
            <w:r w:rsidRPr="006B0349">
              <w:rPr>
                <w:rFonts w:ascii="Arial MT" w:eastAsia="Arial MT" w:hAnsi="Arial MT" w:cs="Arial MT"/>
                <w:sz w:val="9"/>
              </w:rPr>
              <w:t>INVESTIGACIÓN,</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PROYECCIÓN</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SOCIAL E</w:t>
            </w:r>
            <w:r w:rsidRPr="006B0349">
              <w:rPr>
                <w:rFonts w:ascii="Arial MT" w:eastAsia="Arial MT" w:hAnsi="Arial MT" w:cs="Arial MT"/>
                <w:sz w:val="9"/>
              </w:rPr>
              <w:t xml:space="preserve"> </w:t>
            </w:r>
            <w:r w:rsidRPr="006B0349">
              <w:rPr>
                <w:rFonts w:ascii="Arial MT" w:eastAsia="Arial MT" w:hAnsi="Arial MT" w:cs="Arial MT"/>
                <w:spacing w:val="-2"/>
                <w:sz w:val="9"/>
              </w:rPr>
              <w:t>INTERNACIONALIZACIÓN</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w:t>
            </w:r>
            <w:r w:rsidRPr="006B0349">
              <w:rPr>
                <w:rFonts w:ascii="Arial MT" w:eastAsia="Arial MT" w:hAnsi="Arial MT" w:cs="Arial MT"/>
                <w:spacing w:val="40"/>
                <w:sz w:val="9"/>
              </w:rPr>
              <w:t xml:space="preserve"> </w:t>
            </w:r>
            <w:r w:rsidRPr="006B0349">
              <w:rPr>
                <w:rFonts w:ascii="Arial MT" w:eastAsia="Arial MT" w:hAnsi="Arial MT" w:cs="Arial MT"/>
                <w:sz w:val="9"/>
              </w:rPr>
              <w:t>FORTALECIMIENTO</w:t>
            </w:r>
            <w:r w:rsidRPr="006B0349">
              <w:rPr>
                <w:rFonts w:ascii="Arial MT" w:eastAsia="Arial MT" w:hAnsi="Arial MT" w:cs="Arial MT"/>
                <w:spacing w:val="-9"/>
                <w:sz w:val="9"/>
              </w:rPr>
              <w:t xml:space="preserve"> </w:t>
            </w:r>
            <w:r w:rsidRPr="006B0349">
              <w:rPr>
                <w:rFonts w:ascii="Arial MT" w:eastAsia="Arial MT" w:hAnsi="Arial MT" w:cs="Arial MT"/>
                <w:sz w:val="9"/>
              </w:rPr>
              <w:t>A</w:t>
            </w:r>
            <w:r w:rsidRPr="006B0349">
              <w:rPr>
                <w:rFonts w:ascii="Arial MT" w:eastAsia="Arial MT" w:hAnsi="Arial MT" w:cs="Arial MT"/>
                <w:spacing w:val="-6"/>
                <w:sz w:val="9"/>
              </w:rPr>
              <w:t xml:space="preserve"> </w:t>
            </w:r>
            <w:r w:rsidRPr="006B0349">
              <w:rPr>
                <w:rFonts w:ascii="Arial MT" w:eastAsia="Arial MT" w:hAnsi="Arial MT" w:cs="Arial MT"/>
                <w:sz w:val="9"/>
              </w:rPr>
              <w:t>LOS</w:t>
            </w:r>
            <w:r w:rsidRPr="006B0349">
              <w:rPr>
                <w:rFonts w:ascii="Arial MT" w:eastAsia="Arial MT" w:hAnsi="Arial MT" w:cs="Arial MT"/>
                <w:spacing w:val="-6"/>
                <w:sz w:val="9"/>
              </w:rPr>
              <w:t xml:space="preserve"> </w:t>
            </w:r>
            <w:r w:rsidRPr="006B0349">
              <w:rPr>
                <w:rFonts w:ascii="Arial MT" w:eastAsia="Arial MT" w:hAnsi="Arial MT" w:cs="Arial MT"/>
                <w:sz w:val="9"/>
              </w:rPr>
              <w:t>PROCESOS</w:t>
            </w:r>
            <w:r w:rsidRPr="006B0349">
              <w:rPr>
                <w:rFonts w:ascii="Arial MT" w:eastAsia="Arial MT" w:hAnsi="Arial MT" w:cs="Arial MT"/>
                <w:spacing w:val="-6"/>
                <w:sz w:val="9"/>
              </w:rPr>
              <w:t xml:space="preserve"> </w:t>
            </w:r>
            <w:r w:rsidRPr="006B0349">
              <w:rPr>
                <w:rFonts w:ascii="Arial MT" w:eastAsia="Arial MT" w:hAnsi="Arial MT" w:cs="Arial MT"/>
                <w:sz w:val="9"/>
              </w:rPr>
              <w:t>DE</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INVESTIGACION</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E</w:t>
            </w:r>
            <w:r w:rsidRPr="006B0349">
              <w:rPr>
                <w:rFonts w:ascii="Arial MT" w:eastAsia="Arial MT" w:hAnsi="Arial MT" w:cs="Arial MT"/>
                <w:sz w:val="9"/>
              </w:rPr>
              <w:t xml:space="preserve"> </w:t>
            </w:r>
            <w:r w:rsidRPr="006B0349">
              <w:rPr>
                <w:rFonts w:ascii="Arial MT" w:eastAsia="Arial MT" w:hAnsi="Arial MT" w:cs="Arial MT"/>
                <w:spacing w:val="-2"/>
                <w:sz w:val="9"/>
              </w:rPr>
              <w:t>INNOVACION</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EN</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EL</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INSTITUTO</w:t>
            </w:r>
            <w:r w:rsidRPr="006B0349">
              <w:rPr>
                <w:rFonts w:ascii="Arial MT" w:eastAsia="Arial MT" w:hAnsi="Arial MT" w:cs="Arial MT"/>
                <w:spacing w:val="40"/>
                <w:sz w:val="9"/>
              </w:rPr>
              <w:t xml:space="preserve"> </w:t>
            </w:r>
            <w:r w:rsidRPr="006B0349">
              <w:rPr>
                <w:rFonts w:ascii="Arial MT" w:eastAsia="Arial MT" w:hAnsi="Arial MT" w:cs="Arial MT"/>
                <w:spacing w:val="-4"/>
                <w:sz w:val="9"/>
              </w:rPr>
              <w:t>TOLIMENSE</w:t>
            </w:r>
            <w:r w:rsidRPr="006B0349">
              <w:rPr>
                <w:rFonts w:ascii="Arial MT" w:eastAsia="Arial MT" w:hAnsi="Arial MT" w:cs="Arial MT"/>
                <w:sz w:val="9"/>
              </w:rPr>
              <w:t xml:space="preserve"> </w:t>
            </w:r>
            <w:r w:rsidRPr="006B0349">
              <w:rPr>
                <w:rFonts w:ascii="Arial MT" w:eastAsia="Arial MT" w:hAnsi="Arial MT" w:cs="Arial MT"/>
                <w:spacing w:val="-4"/>
                <w:sz w:val="9"/>
              </w:rPr>
              <w:t>DE</w:t>
            </w:r>
            <w:r w:rsidRPr="006B0349">
              <w:rPr>
                <w:rFonts w:ascii="Arial MT" w:eastAsia="Arial MT" w:hAnsi="Arial MT" w:cs="Arial MT"/>
                <w:sz w:val="9"/>
              </w:rPr>
              <w:t xml:space="preserve"> </w:t>
            </w:r>
            <w:r w:rsidRPr="006B0349">
              <w:rPr>
                <w:rFonts w:ascii="Arial MT" w:eastAsia="Arial MT" w:hAnsi="Arial MT" w:cs="Arial MT"/>
                <w:spacing w:val="-4"/>
                <w:sz w:val="9"/>
              </w:rPr>
              <w:t>FORMACION</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TECNICA</w:t>
            </w:r>
            <w:r w:rsidRPr="006B0349">
              <w:rPr>
                <w:rFonts w:ascii="Arial MT" w:eastAsia="Arial MT" w:hAnsi="Arial MT" w:cs="Arial MT"/>
                <w:sz w:val="9"/>
              </w:rPr>
              <w:t xml:space="preserve"> </w:t>
            </w:r>
            <w:r w:rsidRPr="006B0349">
              <w:rPr>
                <w:rFonts w:ascii="Arial MT" w:eastAsia="Arial MT" w:hAnsi="Arial MT" w:cs="Arial MT"/>
                <w:spacing w:val="-4"/>
                <w:sz w:val="9"/>
              </w:rPr>
              <w:t>PROFESIONAL</w:t>
            </w:r>
          </w:p>
          <w:p w14:paraId="746FDCC9" w14:textId="77777777" w:rsidR="00D96A90" w:rsidRPr="006B0349" w:rsidRDefault="00D96A90" w:rsidP="00EF5AF2">
            <w:pPr>
              <w:spacing w:line="84" w:lineRule="exact"/>
              <w:ind w:left="14"/>
              <w:rPr>
                <w:rFonts w:ascii="Arial MT" w:eastAsia="Arial MT" w:hAnsi="Arial MT" w:cs="Arial MT"/>
                <w:sz w:val="9"/>
              </w:rPr>
            </w:pPr>
            <w:r w:rsidRPr="006B0349">
              <w:rPr>
                <w:rFonts w:ascii="Arial MT" w:eastAsia="Arial MT" w:hAnsi="Arial MT" w:cs="Arial MT"/>
                <w:spacing w:val="-4"/>
                <w:sz w:val="9"/>
              </w:rPr>
              <w:t>"ITFIP"</w:t>
            </w:r>
            <w:r w:rsidRPr="006B0349">
              <w:rPr>
                <w:rFonts w:ascii="Arial MT" w:eastAsia="Arial MT" w:hAnsi="Arial MT" w:cs="Arial MT"/>
                <w:spacing w:val="7"/>
                <w:sz w:val="9"/>
              </w:rPr>
              <w:t xml:space="preserve"> </w:t>
            </w:r>
            <w:r w:rsidRPr="006B0349">
              <w:rPr>
                <w:rFonts w:ascii="Arial MT" w:eastAsia="Arial MT" w:hAnsi="Arial MT" w:cs="Arial MT"/>
                <w:spacing w:val="-5"/>
                <w:sz w:val="9"/>
              </w:rPr>
              <w:t>EN</w:t>
            </w:r>
          </w:p>
        </w:tc>
        <w:tc>
          <w:tcPr>
            <w:tcW w:w="1025" w:type="dxa"/>
          </w:tcPr>
          <w:p w14:paraId="0276078E" w14:textId="77777777" w:rsidR="00D96A90" w:rsidRPr="006B0349" w:rsidRDefault="00D96A90" w:rsidP="00EF5AF2">
            <w:pPr>
              <w:rPr>
                <w:rFonts w:eastAsia="Arial MT" w:hAnsi="Arial MT" w:cs="Arial MT"/>
                <w:b/>
                <w:sz w:val="11"/>
              </w:rPr>
            </w:pPr>
          </w:p>
          <w:p w14:paraId="050C81DF" w14:textId="77777777" w:rsidR="00D96A90" w:rsidRPr="006B0349" w:rsidRDefault="00D96A90" w:rsidP="00EF5AF2">
            <w:pPr>
              <w:spacing w:before="44"/>
              <w:rPr>
                <w:rFonts w:eastAsia="Arial MT" w:hAnsi="Arial MT" w:cs="Arial MT"/>
                <w:b/>
                <w:sz w:val="11"/>
              </w:rPr>
            </w:pPr>
          </w:p>
          <w:p w14:paraId="4BDEECBB" w14:textId="77777777" w:rsidR="00D96A90" w:rsidRPr="006B0349" w:rsidRDefault="00D96A90" w:rsidP="00EF5AF2">
            <w:pPr>
              <w:spacing w:before="1"/>
              <w:ind w:right="48"/>
              <w:jc w:val="right"/>
              <w:rPr>
                <w:rFonts w:ascii="Arial MT" w:eastAsia="Arial MT" w:hAnsi="Arial MT" w:cs="Arial MT"/>
                <w:sz w:val="11"/>
              </w:rPr>
            </w:pPr>
            <w:r w:rsidRPr="006B0349">
              <w:rPr>
                <w:rFonts w:ascii="Arial MT" w:eastAsia="Arial MT" w:hAnsi="Arial MT" w:cs="Arial MT"/>
                <w:spacing w:val="-2"/>
                <w:sz w:val="11"/>
              </w:rPr>
              <w:t>500.000.000</w:t>
            </w:r>
          </w:p>
        </w:tc>
        <w:tc>
          <w:tcPr>
            <w:tcW w:w="992" w:type="dxa"/>
          </w:tcPr>
          <w:p w14:paraId="422C8C8E" w14:textId="77777777" w:rsidR="00D96A90" w:rsidRPr="006B0349" w:rsidRDefault="00D96A90" w:rsidP="00EF5AF2">
            <w:pPr>
              <w:rPr>
                <w:rFonts w:eastAsia="Arial MT" w:hAnsi="Arial MT" w:cs="Arial MT"/>
                <w:b/>
                <w:sz w:val="11"/>
              </w:rPr>
            </w:pPr>
          </w:p>
          <w:p w14:paraId="4218EAD8" w14:textId="77777777" w:rsidR="00D96A90" w:rsidRPr="006B0349" w:rsidRDefault="00D96A90" w:rsidP="00EF5AF2">
            <w:pPr>
              <w:spacing w:before="44"/>
              <w:rPr>
                <w:rFonts w:eastAsia="Arial MT" w:hAnsi="Arial MT" w:cs="Arial MT"/>
                <w:b/>
                <w:sz w:val="11"/>
              </w:rPr>
            </w:pPr>
          </w:p>
          <w:p w14:paraId="50F63057" w14:textId="77777777" w:rsidR="00D96A90" w:rsidRPr="006B0349" w:rsidRDefault="00D96A90" w:rsidP="00EF5AF2">
            <w:pPr>
              <w:spacing w:before="1"/>
              <w:ind w:right="14"/>
              <w:jc w:val="right"/>
              <w:rPr>
                <w:rFonts w:ascii="Arial MT" w:eastAsia="Arial MT" w:hAnsi="Arial MT" w:cs="Arial MT"/>
                <w:sz w:val="11"/>
              </w:rPr>
            </w:pPr>
            <w:r w:rsidRPr="006B0349">
              <w:rPr>
                <w:rFonts w:ascii="Arial MT" w:eastAsia="Arial MT" w:hAnsi="Arial MT" w:cs="Arial MT"/>
                <w:spacing w:val="-2"/>
                <w:sz w:val="11"/>
              </w:rPr>
              <w:t>$0,00</w:t>
            </w:r>
          </w:p>
        </w:tc>
        <w:tc>
          <w:tcPr>
            <w:tcW w:w="1052" w:type="dxa"/>
          </w:tcPr>
          <w:p w14:paraId="0FA96B93" w14:textId="77777777" w:rsidR="00D96A90" w:rsidRPr="006B0349" w:rsidRDefault="00D96A90" w:rsidP="00EF5AF2">
            <w:pPr>
              <w:rPr>
                <w:rFonts w:eastAsia="Arial MT" w:hAnsi="Arial MT" w:cs="Arial MT"/>
                <w:b/>
                <w:sz w:val="11"/>
              </w:rPr>
            </w:pPr>
          </w:p>
          <w:p w14:paraId="7190A471" w14:textId="77777777" w:rsidR="00D96A90" w:rsidRPr="006B0349" w:rsidRDefault="00D96A90" w:rsidP="00EF5AF2">
            <w:pPr>
              <w:spacing w:before="44"/>
              <w:rPr>
                <w:rFonts w:eastAsia="Arial MT" w:hAnsi="Arial MT" w:cs="Arial MT"/>
                <w:b/>
                <w:sz w:val="11"/>
              </w:rPr>
            </w:pPr>
          </w:p>
          <w:p w14:paraId="55016C2D"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463.395.081</w:t>
            </w:r>
          </w:p>
        </w:tc>
        <w:tc>
          <w:tcPr>
            <w:tcW w:w="1039" w:type="dxa"/>
          </w:tcPr>
          <w:p w14:paraId="329FCE32" w14:textId="77777777" w:rsidR="00D96A90" w:rsidRPr="006B0349" w:rsidRDefault="00D96A90" w:rsidP="00EF5AF2">
            <w:pPr>
              <w:rPr>
                <w:rFonts w:eastAsia="Arial MT" w:hAnsi="Arial MT" w:cs="Arial MT"/>
                <w:b/>
                <w:sz w:val="11"/>
              </w:rPr>
            </w:pPr>
          </w:p>
          <w:p w14:paraId="37B61175" w14:textId="77777777" w:rsidR="00D96A90" w:rsidRPr="006B0349" w:rsidRDefault="00D96A90" w:rsidP="00EF5AF2">
            <w:pPr>
              <w:spacing w:before="44"/>
              <w:rPr>
                <w:rFonts w:eastAsia="Arial MT" w:hAnsi="Arial MT" w:cs="Arial MT"/>
                <w:b/>
                <w:sz w:val="11"/>
              </w:rPr>
            </w:pPr>
          </w:p>
          <w:p w14:paraId="5EC87F4F"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36.604.919</w:t>
            </w:r>
          </w:p>
        </w:tc>
        <w:tc>
          <w:tcPr>
            <w:tcW w:w="992" w:type="dxa"/>
          </w:tcPr>
          <w:p w14:paraId="4CC8D051" w14:textId="77777777" w:rsidR="00D96A90" w:rsidRPr="006B0349" w:rsidRDefault="00D96A90" w:rsidP="00EF5AF2">
            <w:pPr>
              <w:rPr>
                <w:rFonts w:eastAsia="Arial MT" w:hAnsi="Arial MT" w:cs="Arial MT"/>
                <w:b/>
                <w:sz w:val="11"/>
              </w:rPr>
            </w:pPr>
          </w:p>
          <w:p w14:paraId="4EEC8C5D" w14:textId="77777777" w:rsidR="00D96A90" w:rsidRPr="006B0349" w:rsidRDefault="00D96A90" w:rsidP="00EF5AF2">
            <w:pPr>
              <w:spacing w:before="44"/>
              <w:rPr>
                <w:rFonts w:eastAsia="Arial MT" w:hAnsi="Arial MT" w:cs="Arial MT"/>
                <w:b/>
                <w:sz w:val="11"/>
              </w:rPr>
            </w:pPr>
          </w:p>
          <w:p w14:paraId="63D1BCED" w14:textId="77777777" w:rsidR="00D96A90" w:rsidRPr="006B0349" w:rsidRDefault="00D96A90" w:rsidP="00EF5AF2">
            <w:pPr>
              <w:spacing w:before="1"/>
              <w:ind w:right="17"/>
              <w:jc w:val="right"/>
              <w:rPr>
                <w:rFonts w:ascii="Arial MT" w:eastAsia="Arial MT" w:hAnsi="Arial MT" w:cs="Arial MT"/>
                <w:sz w:val="11"/>
              </w:rPr>
            </w:pPr>
            <w:r w:rsidRPr="006B0349">
              <w:rPr>
                <w:rFonts w:ascii="Arial MT" w:eastAsia="Arial MT" w:hAnsi="Arial MT" w:cs="Arial MT"/>
                <w:spacing w:val="-2"/>
                <w:sz w:val="11"/>
              </w:rPr>
              <w:t>$421.743.725,00</w:t>
            </w:r>
          </w:p>
        </w:tc>
        <w:tc>
          <w:tcPr>
            <w:tcW w:w="992" w:type="dxa"/>
          </w:tcPr>
          <w:p w14:paraId="0049B495" w14:textId="77777777" w:rsidR="00D96A90" w:rsidRPr="006B0349" w:rsidRDefault="00D96A90" w:rsidP="00EF5AF2">
            <w:pPr>
              <w:rPr>
                <w:rFonts w:eastAsia="Arial MT" w:hAnsi="Arial MT" w:cs="Arial MT"/>
                <w:b/>
                <w:sz w:val="11"/>
              </w:rPr>
            </w:pPr>
          </w:p>
          <w:p w14:paraId="26A15B7F" w14:textId="77777777" w:rsidR="00D96A90" w:rsidRPr="006B0349" w:rsidRDefault="00D96A90" w:rsidP="00EF5AF2">
            <w:pPr>
              <w:spacing w:before="44"/>
              <w:rPr>
                <w:rFonts w:eastAsia="Arial MT" w:hAnsi="Arial MT" w:cs="Arial MT"/>
                <w:b/>
                <w:sz w:val="11"/>
              </w:rPr>
            </w:pPr>
          </w:p>
          <w:p w14:paraId="173FE6CA"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$323.375.264,00</w:t>
            </w:r>
          </w:p>
        </w:tc>
        <w:tc>
          <w:tcPr>
            <w:tcW w:w="959" w:type="dxa"/>
          </w:tcPr>
          <w:p w14:paraId="09859878" w14:textId="77777777" w:rsidR="00D96A90" w:rsidRPr="006B0349" w:rsidRDefault="00D96A90" w:rsidP="00EF5AF2">
            <w:pPr>
              <w:rPr>
                <w:rFonts w:eastAsia="Arial MT" w:hAnsi="Arial MT" w:cs="Arial MT"/>
                <w:b/>
                <w:sz w:val="11"/>
              </w:rPr>
            </w:pPr>
          </w:p>
          <w:p w14:paraId="6536F933" w14:textId="77777777" w:rsidR="00D96A90" w:rsidRPr="006B0349" w:rsidRDefault="00D96A90" w:rsidP="00EF5AF2">
            <w:pPr>
              <w:spacing w:before="44"/>
              <w:rPr>
                <w:rFonts w:eastAsia="Arial MT" w:hAnsi="Arial MT" w:cs="Arial MT"/>
                <w:b/>
                <w:sz w:val="11"/>
              </w:rPr>
            </w:pPr>
          </w:p>
          <w:p w14:paraId="09030FEB"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$323.375.264,00</w:t>
            </w:r>
          </w:p>
        </w:tc>
      </w:tr>
      <w:tr w:rsidR="00D96A90" w:rsidRPr="006B0349" w14:paraId="5EC42CC7" w14:textId="77777777" w:rsidTr="00EF5AF2">
        <w:trPr>
          <w:trHeight w:val="829"/>
          <w:jc w:val="center"/>
        </w:trPr>
        <w:tc>
          <w:tcPr>
            <w:tcW w:w="2350" w:type="dxa"/>
          </w:tcPr>
          <w:p w14:paraId="1EBFA006" w14:textId="77777777" w:rsidR="00D96A90" w:rsidRPr="006B0349" w:rsidRDefault="00D96A90" w:rsidP="00EF5AF2">
            <w:pPr>
              <w:spacing w:before="62" w:line="278" w:lineRule="auto"/>
              <w:ind w:left="14" w:right="53"/>
              <w:rPr>
                <w:rFonts w:ascii="Arial MT" w:eastAsia="Arial MT" w:hAnsi="Arial MT" w:cs="Arial MT"/>
                <w:sz w:val="9"/>
              </w:rPr>
            </w:pPr>
            <w:r w:rsidRPr="006B0349">
              <w:rPr>
                <w:rFonts w:ascii="Arial MT" w:eastAsia="Arial MT" w:hAnsi="Arial MT" w:cs="Arial MT"/>
                <w:spacing w:val="-4"/>
                <w:sz w:val="9"/>
              </w:rPr>
              <w:t>SEDES</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DE</w:t>
            </w:r>
            <w:r w:rsidRPr="006B0349">
              <w:rPr>
                <w:rFonts w:ascii="Arial MT" w:eastAsia="Arial MT" w:hAnsi="Arial MT" w:cs="Arial MT"/>
                <w:sz w:val="9"/>
              </w:rPr>
              <w:t xml:space="preserve"> </w:t>
            </w:r>
            <w:r w:rsidRPr="006B0349">
              <w:rPr>
                <w:rFonts w:ascii="Arial MT" w:eastAsia="Arial MT" w:hAnsi="Arial MT" w:cs="Arial MT"/>
                <w:spacing w:val="-4"/>
                <w:sz w:val="9"/>
              </w:rPr>
              <w:t>INSTITUCIONES</w:t>
            </w:r>
            <w:r w:rsidRPr="006B0349">
              <w:rPr>
                <w:rFonts w:ascii="Arial MT" w:eastAsia="Arial MT" w:hAnsi="Arial MT" w:cs="Arial MT"/>
                <w:sz w:val="9"/>
              </w:rPr>
              <w:t xml:space="preserve"> </w:t>
            </w:r>
            <w:r w:rsidRPr="006B0349">
              <w:rPr>
                <w:rFonts w:ascii="Arial MT" w:eastAsia="Arial MT" w:hAnsi="Arial MT" w:cs="Arial MT"/>
                <w:spacing w:val="-4"/>
                <w:sz w:val="9"/>
              </w:rPr>
              <w:t>DE</w:t>
            </w:r>
            <w:r w:rsidRPr="006B0349">
              <w:rPr>
                <w:rFonts w:ascii="Arial MT" w:eastAsia="Arial MT" w:hAnsi="Arial MT" w:cs="Arial MT"/>
                <w:sz w:val="9"/>
              </w:rPr>
              <w:t xml:space="preserve"> </w:t>
            </w:r>
            <w:r w:rsidRPr="006B0349">
              <w:rPr>
                <w:rFonts w:ascii="Arial MT" w:eastAsia="Arial MT" w:hAnsi="Arial MT" w:cs="Arial MT"/>
                <w:spacing w:val="-4"/>
                <w:sz w:val="9"/>
              </w:rPr>
              <w:t>EDUCACIÓN</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SUPERIOR</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O</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TERCIARIA CONSTRUIDAS -</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CONSTRUCCIÓN</w:t>
            </w:r>
            <w:r w:rsidRPr="006B0349">
              <w:rPr>
                <w:rFonts w:ascii="Arial MT" w:eastAsia="Arial MT" w:hAnsi="Arial MT" w:cs="Arial MT"/>
                <w:spacing w:val="19"/>
                <w:sz w:val="9"/>
              </w:rPr>
              <w:t xml:space="preserve"> </w:t>
            </w:r>
            <w:r w:rsidRPr="006B0349">
              <w:rPr>
                <w:rFonts w:ascii="Arial MT" w:eastAsia="Arial MT" w:hAnsi="Arial MT" w:cs="Arial MT"/>
                <w:spacing w:val="-2"/>
                <w:sz w:val="9"/>
              </w:rPr>
              <w:t>Y</w:t>
            </w:r>
            <w:r w:rsidRPr="006B0349">
              <w:rPr>
                <w:rFonts w:ascii="Arial MT" w:eastAsia="Arial MT" w:hAnsi="Arial MT" w:cs="Arial MT"/>
                <w:spacing w:val="40"/>
                <w:sz w:val="9"/>
              </w:rPr>
              <w:t xml:space="preserve"> </w:t>
            </w:r>
            <w:r w:rsidRPr="006B0349">
              <w:rPr>
                <w:rFonts w:ascii="Arial MT" w:eastAsia="Arial MT" w:hAnsi="Arial MT" w:cs="Arial MT"/>
                <w:sz w:val="9"/>
              </w:rPr>
              <w:t>MEJORAMIENTO</w:t>
            </w:r>
            <w:r w:rsidRPr="006B0349">
              <w:rPr>
                <w:rFonts w:ascii="Arial MT" w:eastAsia="Arial MT" w:hAnsi="Arial MT" w:cs="Arial MT"/>
                <w:spacing w:val="-7"/>
                <w:sz w:val="9"/>
              </w:rPr>
              <w:t xml:space="preserve"> </w:t>
            </w:r>
            <w:r w:rsidRPr="006B0349">
              <w:rPr>
                <w:rFonts w:ascii="Arial MT" w:eastAsia="Arial MT" w:hAnsi="Arial MT" w:cs="Arial MT"/>
                <w:sz w:val="9"/>
              </w:rPr>
              <w:t>DE</w:t>
            </w:r>
            <w:r w:rsidRPr="006B0349">
              <w:rPr>
                <w:rFonts w:ascii="Arial MT" w:eastAsia="Arial MT" w:hAnsi="Arial MT" w:cs="Arial MT"/>
                <w:spacing w:val="-6"/>
                <w:sz w:val="9"/>
              </w:rPr>
              <w:t xml:space="preserve"> </w:t>
            </w:r>
            <w:r w:rsidRPr="006B0349">
              <w:rPr>
                <w:rFonts w:ascii="Arial MT" w:eastAsia="Arial MT" w:hAnsi="Arial MT" w:cs="Arial MT"/>
                <w:sz w:val="9"/>
              </w:rPr>
              <w:t>ESCENARIOS</w:t>
            </w:r>
            <w:r w:rsidRPr="006B0349">
              <w:rPr>
                <w:rFonts w:ascii="Arial MT" w:eastAsia="Arial MT" w:hAnsi="Arial MT" w:cs="Arial MT"/>
                <w:spacing w:val="-6"/>
                <w:sz w:val="9"/>
              </w:rPr>
              <w:t xml:space="preserve"> </w:t>
            </w:r>
            <w:r w:rsidRPr="006B0349">
              <w:rPr>
                <w:rFonts w:ascii="Arial MT" w:eastAsia="Arial MT" w:hAnsi="Arial MT" w:cs="Arial MT"/>
                <w:sz w:val="9"/>
              </w:rPr>
              <w:t>ACADÉMICOS</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DEPORTIVOS, FORMATIVOS Y COMPETITIVOS EN</w:t>
            </w:r>
            <w:r w:rsidRPr="006B0349">
              <w:rPr>
                <w:rFonts w:ascii="Arial MT" w:eastAsia="Arial MT" w:hAnsi="Arial MT" w:cs="Arial MT"/>
                <w:spacing w:val="-5"/>
                <w:sz w:val="9"/>
              </w:rPr>
              <w:t xml:space="preserve"> </w:t>
            </w:r>
            <w:r w:rsidRPr="006B0349">
              <w:rPr>
                <w:rFonts w:ascii="Arial MT" w:eastAsia="Arial MT" w:hAnsi="Arial MT" w:cs="Arial MT"/>
                <w:spacing w:val="-2"/>
                <w:sz w:val="9"/>
              </w:rPr>
              <w:t>EL</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INSTITUTO</w:t>
            </w:r>
            <w:r w:rsidRPr="006B0349">
              <w:rPr>
                <w:rFonts w:ascii="Arial MT" w:eastAsia="Arial MT" w:hAnsi="Arial MT" w:cs="Arial MT"/>
                <w:spacing w:val="-7"/>
                <w:sz w:val="9"/>
              </w:rPr>
              <w:t xml:space="preserve"> </w:t>
            </w:r>
            <w:r w:rsidRPr="006B0349">
              <w:rPr>
                <w:rFonts w:ascii="Arial MT" w:eastAsia="Arial MT" w:hAnsi="Arial MT" w:cs="Arial MT"/>
                <w:spacing w:val="-2"/>
                <w:sz w:val="9"/>
              </w:rPr>
              <w:t>TOLIMENSE</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DE</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FORMACIÓN</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TÉCNICA</w:t>
            </w:r>
            <w:r w:rsidRPr="006B0349">
              <w:rPr>
                <w:rFonts w:ascii="Arial MT" w:eastAsia="Arial MT" w:hAnsi="Arial MT" w:cs="Arial MT"/>
                <w:spacing w:val="40"/>
                <w:sz w:val="9"/>
              </w:rPr>
              <w:t xml:space="preserve"> </w:t>
            </w:r>
            <w:r w:rsidRPr="006B0349">
              <w:rPr>
                <w:rFonts w:ascii="Arial MT" w:eastAsia="Arial MT" w:hAnsi="Arial MT" w:cs="Arial MT"/>
                <w:sz w:val="9"/>
              </w:rPr>
              <w:t>PROFESIONAL "ITFIP" MU</w:t>
            </w:r>
          </w:p>
        </w:tc>
        <w:tc>
          <w:tcPr>
            <w:tcW w:w="1025" w:type="dxa"/>
          </w:tcPr>
          <w:p w14:paraId="386AC9B1" w14:textId="77777777" w:rsidR="00D96A90" w:rsidRPr="006B0349" w:rsidRDefault="00D96A90" w:rsidP="00EF5AF2">
            <w:pPr>
              <w:rPr>
                <w:rFonts w:eastAsia="Arial MT" w:hAnsi="Arial MT" w:cs="Arial MT"/>
                <w:b/>
                <w:sz w:val="11"/>
              </w:rPr>
            </w:pPr>
          </w:p>
          <w:p w14:paraId="73C85806" w14:textId="77777777" w:rsidR="00D96A90" w:rsidRPr="006B0349" w:rsidRDefault="00D96A90" w:rsidP="00EF5AF2">
            <w:pPr>
              <w:spacing w:before="101"/>
              <w:rPr>
                <w:rFonts w:eastAsia="Arial MT" w:hAnsi="Arial MT" w:cs="Arial MT"/>
                <w:b/>
                <w:sz w:val="11"/>
              </w:rPr>
            </w:pPr>
          </w:p>
          <w:p w14:paraId="67E5DE61" w14:textId="77777777" w:rsidR="00D96A90" w:rsidRPr="006B0349" w:rsidRDefault="00D96A90" w:rsidP="00EF5AF2">
            <w:pPr>
              <w:ind w:right="49"/>
              <w:jc w:val="right"/>
              <w:rPr>
                <w:rFonts w:ascii="Arial MT" w:eastAsia="Arial MT" w:hAnsi="Arial MT" w:cs="Arial MT"/>
                <w:sz w:val="11"/>
              </w:rPr>
            </w:pPr>
            <w:r w:rsidRPr="006B0349">
              <w:rPr>
                <w:rFonts w:ascii="Arial MT" w:eastAsia="Arial MT" w:hAnsi="Arial MT" w:cs="Arial MT"/>
                <w:spacing w:val="-2"/>
                <w:sz w:val="11"/>
              </w:rPr>
              <w:t>2.000.000.000</w:t>
            </w:r>
          </w:p>
        </w:tc>
        <w:tc>
          <w:tcPr>
            <w:tcW w:w="992" w:type="dxa"/>
          </w:tcPr>
          <w:p w14:paraId="78912758" w14:textId="77777777" w:rsidR="00D96A90" w:rsidRPr="006B0349" w:rsidRDefault="00D96A90" w:rsidP="00EF5AF2">
            <w:pPr>
              <w:rPr>
                <w:rFonts w:eastAsia="Arial MT" w:hAnsi="Arial MT" w:cs="Arial MT"/>
                <w:b/>
                <w:sz w:val="11"/>
              </w:rPr>
            </w:pPr>
          </w:p>
          <w:p w14:paraId="739F61B0" w14:textId="77777777" w:rsidR="00D96A90" w:rsidRPr="006B0349" w:rsidRDefault="00D96A90" w:rsidP="00EF5AF2">
            <w:pPr>
              <w:spacing w:before="101"/>
              <w:rPr>
                <w:rFonts w:eastAsia="Arial MT" w:hAnsi="Arial MT" w:cs="Arial MT"/>
                <w:b/>
                <w:sz w:val="11"/>
              </w:rPr>
            </w:pPr>
          </w:p>
          <w:p w14:paraId="44738D8E" w14:textId="77777777" w:rsidR="00D96A90" w:rsidRPr="006B0349" w:rsidRDefault="00D96A90" w:rsidP="00EF5AF2">
            <w:pPr>
              <w:ind w:right="14"/>
              <w:jc w:val="right"/>
              <w:rPr>
                <w:rFonts w:ascii="Arial MT" w:eastAsia="Arial MT" w:hAnsi="Arial MT" w:cs="Arial MT"/>
                <w:sz w:val="11"/>
              </w:rPr>
            </w:pPr>
            <w:r w:rsidRPr="006B0349">
              <w:rPr>
                <w:rFonts w:ascii="Arial MT" w:eastAsia="Arial MT" w:hAnsi="Arial MT" w:cs="Arial MT"/>
                <w:spacing w:val="-2"/>
                <w:sz w:val="11"/>
              </w:rPr>
              <w:t>$0,00</w:t>
            </w:r>
          </w:p>
        </w:tc>
        <w:tc>
          <w:tcPr>
            <w:tcW w:w="1052" w:type="dxa"/>
          </w:tcPr>
          <w:p w14:paraId="200A5ABA" w14:textId="77777777" w:rsidR="00D96A90" w:rsidRPr="006B0349" w:rsidRDefault="00D96A90" w:rsidP="00EF5AF2">
            <w:pPr>
              <w:rPr>
                <w:rFonts w:eastAsia="Arial MT" w:hAnsi="Arial MT" w:cs="Arial MT"/>
                <w:b/>
                <w:sz w:val="11"/>
              </w:rPr>
            </w:pPr>
          </w:p>
          <w:p w14:paraId="484758C1" w14:textId="77777777" w:rsidR="00D96A90" w:rsidRPr="006B0349" w:rsidRDefault="00D96A90" w:rsidP="00EF5AF2">
            <w:pPr>
              <w:spacing w:before="101"/>
              <w:rPr>
                <w:rFonts w:eastAsia="Arial MT" w:hAnsi="Arial MT" w:cs="Arial MT"/>
                <w:b/>
                <w:sz w:val="11"/>
              </w:rPr>
            </w:pPr>
          </w:p>
          <w:p w14:paraId="7424AD04" w14:textId="77777777" w:rsidR="00D96A90" w:rsidRPr="006B0349" w:rsidRDefault="00D96A90" w:rsidP="00EF5AF2">
            <w:pPr>
              <w:ind w:right="49"/>
              <w:jc w:val="right"/>
              <w:rPr>
                <w:rFonts w:ascii="Arial MT" w:eastAsia="Arial MT" w:hAnsi="Arial MT" w:cs="Arial MT"/>
                <w:sz w:val="11"/>
              </w:rPr>
            </w:pPr>
            <w:r w:rsidRPr="006B0349">
              <w:rPr>
                <w:rFonts w:ascii="Arial MT" w:eastAsia="Arial MT" w:hAnsi="Arial MT" w:cs="Arial MT"/>
                <w:spacing w:val="-2"/>
                <w:sz w:val="11"/>
              </w:rPr>
              <w:t>1.799.999.999</w:t>
            </w:r>
          </w:p>
        </w:tc>
        <w:tc>
          <w:tcPr>
            <w:tcW w:w="1039" w:type="dxa"/>
          </w:tcPr>
          <w:p w14:paraId="3E0E688A" w14:textId="77777777" w:rsidR="00D96A90" w:rsidRPr="006B0349" w:rsidRDefault="00D96A90" w:rsidP="00EF5AF2">
            <w:pPr>
              <w:rPr>
                <w:rFonts w:eastAsia="Arial MT" w:hAnsi="Arial MT" w:cs="Arial MT"/>
                <w:b/>
                <w:sz w:val="11"/>
              </w:rPr>
            </w:pPr>
          </w:p>
          <w:p w14:paraId="49CD5A29" w14:textId="77777777" w:rsidR="00D96A90" w:rsidRPr="006B0349" w:rsidRDefault="00D96A90" w:rsidP="00EF5AF2">
            <w:pPr>
              <w:spacing w:before="101"/>
              <w:rPr>
                <w:rFonts w:eastAsia="Arial MT" w:hAnsi="Arial MT" w:cs="Arial MT"/>
                <w:b/>
                <w:sz w:val="11"/>
              </w:rPr>
            </w:pPr>
          </w:p>
          <w:p w14:paraId="6608C38A" w14:textId="77777777" w:rsidR="00D96A90" w:rsidRPr="006B0349" w:rsidRDefault="00D96A90" w:rsidP="00EF5AF2">
            <w:pPr>
              <w:ind w:right="50"/>
              <w:jc w:val="right"/>
              <w:rPr>
                <w:rFonts w:ascii="Arial MT" w:eastAsia="Arial MT" w:hAnsi="Arial MT" w:cs="Arial MT"/>
                <w:sz w:val="11"/>
              </w:rPr>
            </w:pPr>
            <w:r w:rsidRPr="006B0349">
              <w:rPr>
                <w:rFonts w:ascii="Arial MT" w:eastAsia="Arial MT" w:hAnsi="Arial MT" w:cs="Arial MT"/>
                <w:spacing w:val="-2"/>
                <w:sz w:val="11"/>
              </w:rPr>
              <w:t>200.000.001</w:t>
            </w:r>
          </w:p>
        </w:tc>
        <w:tc>
          <w:tcPr>
            <w:tcW w:w="992" w:type="dxa"/>
          </w:tcPr>
          <w:p w14:paraId="79426D81" w14:textId="77777777" w:rsidR="00D96A90" w:rsidRPr="006B0349" w:rsidRDefault="00D96A90" w:rsidP="00EF5AF2">
            <w:pPr>
              <w:rPr>
                <w:rFonts w:eastAsia="Arial MT" w:hAnsi="Arial MT" w:cs="Arial MT"/>
                <w:b/>
                <w:sz w:val="11"/>
              </w:rPr>
            </w:pPr>
          </w:p>
          <w:p w14:paraId="046FEF0B" w14:textId="77777777" w:rsidR="00D96A90" w:rsidRPr="006B0349" w:rsidRDefault="00D96A90" w:rsidP="00EF5AF2">
            <w:pPr>
              <w:spacing w:before="101"/>
              <w:rPr>
                <w:rFonts w:eastAsia="Arial MT" w:hAnsi="Arial MT" w:cs="Arial MT"/>
                <w:b/>
                <w:sz w:val="11"/>
              </w:rPr>
            </w:pPr>
          </w:p>
          <w:p w14:paraId="5532322A" w14:textId="77777777" w:rsidR="00D96A90" w:rsidRPr="006B0349" w:rsidRDefault="00D96A90" w:rsidP="00EF5AF2">
            <w:pPr>
              <w:ind w:right="18"/>
              <w:jc w:val="right"/>
              <w:rPr>
                <w:rFonts w:ascii="Arial MT" w:eastAsia="Arial MT" w:hAnsi="Arial MT" w:cs="Arial MT"/>
                <w:sz w:val="11"/>
              </w:rPr>
            </w:pPr>
            <w:r w:rsidRPr="006B0349">
              <w:rPr>
                <w:rFonts w:ascii="Arial MT" w:eastAsia="Arial MT" w:hAnsi="Arial MT" w:cs="Arial MT"/>
                <w:spacing w:val="-2"/>
                <w:sz w:val="11"/>
              </w:rPr>
              <w:t>$1.799.968.901,00</w:t>
            </w:r>
          </w:p>
        </w:tc>
        <w:tc>
          <w:tcPr>
            <w:tcW w:w="992" w:type="dxa"/>
          </w:tcPr>
          <w:p w14:paraId="01BB65CE" w14:textId="77777777" w:rsidR="00D96A90" w:rsidRPr="006B0349" w:rsidRDefault="00D96A90" w:rsidP="00EF5AF2">
            <w:pPr>
              <w:rPr>
                <w:rFonts w:eastAsia="Arial MT" w:hAnsi="Arial MT" w:cs="Arial MT"/>
                <w:b/>
                <w:sz w:val="11"/>
              </w:rPr>
            </w:pPr>
          </w:p>
          <w:p w14:paraId="0D3D3C92" w14:textId="77777777" w:rsidR="00D96A90" w:rsidRPr="006B0349" w:rsidRDefault="00D96A90" w:rsidP="00EF5AF2">
            <w:pPr>
              <w:spacing w:before="101"/>
              <w:rPr>
                <w:rFonts w:eastAsia="Arial MT" w:hAnsi="Arial MT" w:cs="Arial MT"/>
                <w:b/>
                <w:sz w:val="11"/>
              </w:rPr>
            </w:pPr>
          </w:p>
          <w:p w14:paraId="01497161" w14:textId="77777777" w:rsidR="00D96A90" w:rsidRPr="006B0349" w:rsidRDefault="00D96A90" w:rsidP="00EF5AF2">
            <w:pPr>
              <w:ind w:right="18"/>
              <w:jc w:val="right"/>
              <w:rPr>
                <w:rFonts w:ascii="Arial MT" w:eastAsia="Arial MT" w:hAnsi="Arial MT" w:cs="Arial MT"/>
                <w:sz w:val="11"/>
              </w:rPr>
            </w:pPr>
            <w:r w:rsidRPr="006B0349">
              <w:rPr>
                <w:rFonts w:ascii="Arial MT" w:eastAsia="Arial MT" w:hAnsi="Arial MT" w:cs="Arial MT"/>
                <w:spacing w:val="-2"/>
                <w:sz w:val="11"/>
              </w:rPr>
              <w:t>$143.216.458,00</w:t>
            </w:r>
          </w:p>
        </w:tc>
        <w:tc>
          <w:tcPr>
            <w:tcW w:w="959" w:type="dxa"/>
          </w:tcPr>
          <w:p w14:paraId="798F5384" w14:textId="77777777" w:rsidR="00D96A90" w:rsidRPr="006B0349" w:rsidRDefault="00D96A90" w:rsidP="00EF5AF2">
            <w:pPr>
              <w:rPr>
                <w:rFonts w:eastAsia="Arial MT" w:hAnsi="Arial MT" w:cs="Arial MT"/>
                <w:b/>
                <w:sz w:val="11"/>
              </w:rPr>
            </w:pPr>
          </w:p>
          <w:p w14:paraId="0A83F63B" w14:textId="77777777" w:rsidR="00D96A90" w:rsidRPr="006B0349" w:rsidRDefault="00D96A90" w:rsidP="00EF5AF2">
            <w:pPr>
              <w:spacing w:before="101"/>
              <w:rPr>
                <w:rFonts w:eastAsia="Arial MT" w:hAnsi="Arial MT" w:cs="Arial MT"/>
                <w:b/>
                <w:sz w:val="11"/>
              </w:rPr>
            </w:pPr>
          </w:p>
          <w:p w14:paraId="0389F68D" w14:textId="77777777" w:rsidR="00D96A90" w:rsidRPr="006B0349" w:rsidRDefault="00D96A90" w:rsidP="00EF5AF2">
            <w:pPr>
              <w:ind w:right="18"/>
              <w:jc w:val="right"/>
              <w:rPr>
                <w:rFonts w:ascii="Arial MT" w:eastAsia="Arial MT" w:hAnsi="Arial MT" w:cs="Arial MT"/>
                <w:sz w:val="11"/>
              </w:rPr>
            </w:pPr>
            <w:r w:rsidRPr="006B0349">
              <w:rPr>
                <w:rFonts w:ascii="Arial MT" w:eastAsia="Arial MT" w:hAnsi="Arial MT" w:cs="Arial MT"/>
                <w:spacing w:val="-2"/>
                <w:sz w:val="11"/>
              </w:rPr>
              <w:t>$143.216.458,00</w:t>
            </w:r>
          </w:p>
        </w:tc>
      </w:tr>
      <w:tr w:rsidR="00D96A90" w:rsidRPr="006B0349" w14:paraId="12B2BCA5" w14:textId="77777777" w:rsidTr="00EF5AF2">
        <w:trPr>
          <w:trHeight w:val="738"/>
          <w:jc w:val="center"/>
        </w:trPr>
        <w:tc>
          <w:tcPr>
            <w:tcW w:w="2350" w:type="dxa"/>
          </w:tcPr>
          <w:p w14:paraId="26F6B8EB" w14:textId="77777777" w:rsidR="00D96A90" w:rsidRPr="006B0349" w:rsidRDefault="00D96A90" w:rsidP="00EF5AF2">
            <w:pPr>
              <w:spacing w:line="120" w:lineRule="exact"/>
              <w:ind w:left="14" w:right="114"/>
              <w:rPr>
                <w:rFonts w:ascii="Arial MT" w:eastAsia="Arial MT" w:hAnsi="Arial MT" w:cs="Arial MT"/>
                <w:sz w:val="9"/>
              </w:rPr>
            </w:pPr>
            <w:r w:rsidRPr="006B0349">
              <w:rPr>
                <w:rFonts w:ascii="Arial MT" w:eastAsia="Arial MT" w:hAnsi="Arial MT" w:cs="Arial MT"/>
                <w:spacing w:val="-2"/>
                <w:sz w:val="9"/>
              </w:rPr>
              <w:t>SERVICIO</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DE APOYO</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PARA LA PERMANENCIA A LA</w:t>
            </w:r>
            <w:r w:rsidRPr="006B0349">
              <w:rPr>
                <w:rFonts w:ascii="Arial MT" w:eastAsia="Arial MT" w:hAnsi="Arial MT" w:cs="Arial MT"/>
                <w:spacing w:val="40"/>
                <w:sz w:val="9"/>
              </w:rPr>
              <w:t xml:space="preserve"> </w:t>
            </w:r>
            <w:r w:rsidRPr="006B0349">
              <w:rPr>
                <w:rFonts w:ascii="Arial MT" w:eastAsia="Arial MT" w:hAnsi="Arial MT" w:cs="Arial MT"/>
                <w:sz w:val="9"/>
              </w:rPr>
              <w:t>EDUCACIÓN</w:t>
            </w:r>
            <w:r w:rsidRPr="006B0349">
              <w:rPr>
                <w:rFonts w:ascii="Arial MT" w:eastAsia="Arial MT" w:hAnsi="Arial MT" w:cs="Arial MT"/>
                <w:spacing w:val="-9"/>
                <w:sz w:val="9"/>
              </w:rPr>
              <w:t xml:space="preserve"> </w:t>
            </w:r>
            <w:r w:rsidRPr="006B0349">
              <w:rPr>
                <w:rFonts w:ascii="Arial MT" w:eastAsia="Arial MT" w:hAnsi="Arial MT" w:cs="Arial MT"/>
                <w:sz w:val="9"/>
              </w:rPr>
              <w:t>SUPERIOR</w:t>
            </w:r>
            <w:r w:rsidRPr="006B0349">
              <w:rPr>
                <w:rFonts w:ascii="Arial MT" w:eastAsia="Arial MT" w:hAnsi="Arial MT" w:cs="Arial MT"/>
                <w:spacing w:val="-6"/>
                <w:sz w:val="9"/>
              </w:rPr>
              <w:t xml:space="preserve"> </w:t>
            </w:r>
            <w:r w:rsidRPr="006B0349">
              <w:rPr>
                <w:rFonts w:ascii="Arial MT" w:eastAsia="Arial MT" w:hAnsi="Arial MT" w:cs="Arial MT"/>
                <w:sz w:val="9"/>
              </w:rPr>
              <w:t>O</w:t>
            </w:r>
            <w:r w:rsidRPr="006B0349">
              <w:rPr>
                <w:rFonts w:ascii="Arial MT" w:eastAsia="Arial MT" w:hAnsi="Arial MT" w:cs="Arial MT"/>
                <w:spacing w:val="-6"/>
                <w:sz w:val="9"/>
              </w:rPr>
              <w:t xml:space="preserve"> </w:t>
            </w:r>
            <w:r w:rsidRPr="006B0349">
              <w:rPr>
                <w:rFonts w:ascii="Arial MT" w:eastAsia="Arial MT" w:hAnsi="Arial MT" w:cs="Arial MT"/>
                <w:sz w:val="9"/>
              </w:rPr>
              <w:t>TERCIARIA</w:t>
            </w:r>
            <w:r w:rsidRPr="006B0349">
              <w:rPr>
                <w:rFonts w:ascii="Arial MT" w:eastAsia="Arial MT" w:hAnsi="Arial MT" w:cs="Arial MT"/>
                <w:spacing w:val="-6"/>
                <w:sz w:val="9"/>
              </w:rPr>
              <w:t xml:space="preserve"> </w:t>
            </w:r>
            <w:r w:rsidRPr="006B0349">
              <w:rPr>
                <w:rFonts w:ascii="Arial MT" w:eastAsia="Arial MT" w:hAnsi="Arial MT" w:cs="Arial MT"/>
                <w:sz w:val="9"/>
              </w:rPr>
              <w:t>-</w:t>
            </w:r>
            <w:r w:rsidRPr="006B0349">
              <w:rPr>
                <w:rFonts w:ascii="Arial MT" w:eastAsia="Arial MT" w:hAnsi="Arial MT" w:cs="Arial MT"/>
                <w:spacing w:val="40"/>
                <w:sz w:val="9"/>
              </w:rPr>
              <w:t xml:space="preserve"> </w:t>
            </w:r>
            <w:r w:rsidRPr="006B0349">
              <w:rPr>
                <w:rFonts w:ascii="Arial MT" w:eastAsia="Arial MT" w:hAnsi="Arial MT" w:cs="Arial MT"/>
                <w:sz w:val="9"/>
              </w:rPr>
              <w:t>FORTALECIMIENTO</w:t>
            </w:r>
            <w:r w:rsidRPr="006B0349">
              <w:rPr>
                <w:rFonts w:ascii="Arial MT" w:eastAsia="Arial MT" w:hAnsi="Arial MT" w:cs="Arial MT"/>
                <w:spacing w:val="8"/>
                <w:sz w:val="9"/>
              </w:rPr>
              <w:t xml:space="preserve"> </w:t>
            </w:r>
            <w:r w:rsidRPr="006B0349">
              <w:rPr>
                <w:rFonts w:ascii="Arial MT" w:eastAsia="Arial MT" w:hAnsi="Arial MT" w:cs="Arial MT"/>
                <w:sz w:val="9"/>
              </w:rPr>
              <w:t>DE</w:t>
            </w:r>
            <w:r w:rsidRPr="006B0349">
              <w:rPr>
                <w:rFonts w:ascii="Arial MT" w:eastAsia="Arial MT" w:hAnsi="Arial MT" w:cs="Arial MT"/>
                <w:spacing w:val="-6"/>
                <w:sz w:val="9"/>
              </w:rPr>
              <w:t xml:space="preserve"> </w:t>
            </w:r>
            <w:r w:rsidRPr="006B0349">
              <w:rPr>
                <w:rFonts w:ascii="Arial MT" w:eastAsia="Arial MT" w:hAnsi="Arial MT" w:cs="Arial MT"/>
                <w:sz w:val="9"/>
              </w:rPr>
              <w:t>LOS</w:t>
            </w:r>
            <w:r w:rsidRPr="006B0349">
              <w:rPr>
                <w:rFonts w:ascii="Arial MT" w:eastAsia="Arial MT" w:hAnsi="Arial MT" w:cs="Arial MT"/>
                <w:spacing w:val="-6"/>
                <w:sz w:val="9"/>
              </w:rPr>
              <w:t xml:space="preserve"> </w:t>
            </w:r>
            <w:r w:rsidRPr="006B0349">
              <w:rPr>
                <w:rFonts w:ascii="Arial MT" w:eastAsia="Arial MT" w:hAnsi="Arial MT" w:cs="Arial MT"/>
                <w:sz w:val="9"/>
              </w:rPr>
              <w:t>PROGRAMAS</w:t>
            </w:r>
            <w:r w:rsidRPr="006B0349">
              <w:rPr>
                <w:rFonts w:ascii="Arial MT" w:eastAsia="Arial MT" w:hAnsi="Arial MT" w:cs="Arial MT"/>
                <w:spacing w:val="-6"/>
                <w:sz w:val="9"/>
              </w:rPr>
              <w:t xml:space="preserve"> </w:t>
            </w:r>
            <w:r w:rsidRPr="006B0349">
              <w:rPr>
                <w:rFonts w:ascii="Arial MT" w:eastAsia="Arial MT" w:hAnsi="Arial MT" w:cs="Arial MT"/>
                <w:sz w:val="9"/>
              </w:rPr>
              <w:t>DE</w:t>
            </w:r>
            <w:r w:rsidRPr="006B0349">
              <w:rPr>
                <w:rFonts w:ascii="Arial MT" w:eastAsia="Arial MT" w:hAnsi="Arial MT" w:cs="Arial MT"/>
                <w:spacing w:val="40"/>
                <w:sz w:val="9"/>
              </w:rPr>
              <w:t xml:space="preserve"> </w:t>
            </w:r>
            <w:r w:rsidRPr="006B0349">
              <w:rPr>
                <w:rFonts w:ascii="Arial MT" w:eastAsia="Arial MT" w:hAnsi="Arial MT" w:cs="Arial MT"/>
                <w:spacing w:val="-4"/>
                <w:sz w:val="9"/>
              </w:rPr>
              <w:t>BIENESTAR</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UNIVERSITARIO</w:t>
            </w:r>
            <w:r w:rsidRPr="006B0349">
              <w:rPr>
                <w:rFonts w:ascii="Arial MT" w:eastAsia="Arial MT" w:hAnsi="Arial MT" w:cs="Arial MT"/>
                <w:sz w:val="9"/>
              </w:rPr>
              <w:t xml:space="preserve"> </w:t>
            </w:r>
            <w:r w:rsidRPr="006B0349">
              <w:rPr>
                <w:rFonts w:ascii="Arial MT" w:eastAsia="Arial MT" w:hAnsi="Arial MT" w:cs="Arial MT"/>
                <w:spacing w:val="-4"/>
                <w:sz w:val="9"/>
              </w:rPr>
              <w:t>Y</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GESTIÓN</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ACADÉMICA</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EN EL INSTITUTO TOLIMENSE DE FORMACIÓN</w:t>
            </w:r>
            <w:r w:rsidRPr="006B0349">
              <w:rPr>
                <w:rFonts w:ascii="Arial MT" w:eastAsia="Arial MT" w:hAnsi="Arial MT" w:cs="Arial MT"/>
                <w:spacing w:val="40"/>
                <w:sz w:val="9"/>
              </w:rPr>
              <w:t xml:space="preserve"> </w:t>
            </w:r>
            <w:r w:rsidRPr="006B0349">
              <w:rPr>
                <w:rFonts w:ascii="Arial MT" w:eastAsia="Arial MT" w:hAnsi="Arial MT" w:cs="Arial MT"/>
                <w:sz w:val="9"/>
              </w:rPr>
              <w:t>TÉCNICA</w:t>
            </w:r>
            <w:r w:rsidRPr="006B0349">
              <w:rPr>
                <w:rFonts w:ascii="Arial MT" w:eastAsia="Arial MT" w:hAnsi="Arial MT" w:cs="Arial MT"/>
                <w:spacing w:val="-7"/>
                <w:sz w:val="9"/>
              </w:rPr>
              <w:t xml:space="preserve"> </w:t>
            </w:r>
            <w:r w:rsidRPr="006B0349">
              <w:rPr>
                <w:rFonts w:ascii="Arial MT" w:eastAsia="Arial MT" w:hAnsi="Arial MT" w:cs="Arial MT"/>
                <w:sz w:val="9"/>
              </w:rPr>
              <w:t>PROFESIONAL</w:t>
            </w:r>
            <w:r w:rsidRPr="006B0349">
              <w:rPr>
                <w:rFonts w:ascii="Arial MT" w:eastAsia="Arial MT" w:hAnsi="Arial MT" w:cs="Arial MT"/>
                <w:spacing w:val="-6"/>
                <w:sz w:val="9"/>
              </w:rPr>
              <w:t xml:space="preserve"> </w:t>
            </w:r>
            <w:r w:rsidRPr="006B0349">
              <w:rPr>
                <w:rFonts w:ascii="Arial MT" w:eastAsia="Arial MT" w:hAnsi="Arial MT" w:cs="Arial MT"/>
                <w:sz w:val="9"/>
              </w:rPr>
              <w:t>"ITFIP"</w:t>
            </w:r>
            <w:r w:rsidRPr="006B0349">
              <w:rPr>
                <w:rFonts w:ascii="Arial MT" w:eastAsia="Arial MT" w:hAnsi="Arial MT" w:cs="Arial MT"/>
                <w:spacing w:val="11"/>
                <w:sz w:val="9"/>
              </w:rPr>
              <w:t xml:space="preserve"> </w:t>
            </w:r>
            <w:r w:rsidRPr="006B0349">
              <w:rPr>
                <w:rFonts w:ascii="Arial MT" w:eastAsia="Arial MT" w:hAnsi="Arial MT" w:cs="Arial MT"/>
                <w:sz w:val="9"/>
              </w:rPr>
              <w:t>ESPINAL</w:t>
            </w:r>
          </w:p>
        </w:tc>
        <w:tc>
          <w:tcPr>
            <w:tcW w:w="1025" w:type="dxa"/>
          </w:tcPr>
          <w:p w14:paraId="6220D50D" w14:textId="77777777" w:rsidR="00D96A90" w:rsidRPr="006B0349" w:rsidRDefault="00D96A90" w:rsidP="00EF5AF2">
            <w:pPr>
              <w:rPr>
                <w:rFonts w:eastAsia="Arial MT" w:hAnsi="Arial MT" w:cs="Arial MT"/>
                <w:b/>
                <w:sz w:val="11"/>
              </w:rPr>
            </w:pPr>
          </w:p>
          <w:p w14:paraId="209A5114" w14:textId="77777777" w:rsidR="00D96A90" w:rsidRPr="006B0349" w:rsidRDefault="00D96A90" w:rsidP="00EF5AF2">
            <w:pPr>
              <w:spacing w:before="58"/>
              <w:rPr>
                <w:rFonts w:eastAsia="Arial MT" w:hAnsi="Arial MT" w:cs="Arial MT"/>
                <w:b/>
                <w:sz w:val="11"/>
              </w:rPr>
            </w:pPr>
          </w:p>
          <w:p w14:paraId="5B2541AF"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1.250.000.000</w:t>
            </w:r>
          </w:p>
        </w:tc>
        <w:tc>
          <w:tcPr>
            <w:tcW w:w="992" w:type="dxa"/>
          </w:tcPr>
          <w:p w14:paraId="3F55B31C" w14:textId="77777777" w:rsidR="00D96A90" w:rsidRPr="006B0349" w:rsidRDefault="00D96A90" w:rsidP="00EF5AF2">
            <w:pPr>
              <w:rPr>
                <w:rFonts w:eastAsia="Arial MT" w:hAnsi="Arial MT" w:cs="Arial MT"/>
                <w:b/>
                <w:sz w:val="11"/>
              </w:rPr>
            </w:pPr>
          </w:p>
          <w:p w14:paraId="55C51F86" w14:textId="77777777" w:rsidR="00D96A90" w:rsidRPr="006B0349" w:rsidRDefault="00D96A90" w:rsidP="00EF5AF2">
            <w:pPr>
              <w:spacing w:before="58"/>
              <w:rPr>
                <w:rFonts w:eastAsia="Arial MT" w:hAnsi="Arial MT" w:cs="Arial MT"/>
                <w:b/>
                <w:sz w:val="11"/>
              </w:rPr>
            </w:pPr>
          </w:p>
          <w:p w14:paraId="0657362B" w14:textId="77777777" w:rsidR="00D96A90" w:rsidRPr="006B0349" w:rsidRDefault="00D96A90" w:rsidP="00EF5AF2">
            <w:pPr>
              <w:spacing w:before="1"/>
              <w:ind w:right="14"/>
              <w:jc w:val="right"/>
              <w:rPr>
                <w:rFonts w:ascii="Arial MT" w:eastAsia="Arial MT" w:hAnsi="Arial MT" w:cs="Arial MT"/>
                <w:sz w:val="11"/>
              </w:rPr>
            </w:pPr>
            <w:r w:rsidRPr="006B0349">
              <w:rPr>
                <w:rFonts w:ascii="Arial MT" w:eastAsia="Arial MT" w:hAnsi="Arial MT" w:cs="Arial MT"/>
                <w:spacing w:val="-2"/>
                <w:sz w:val="11"/>
              </w:rPr>
              <w:t>$0,00</w:t>
            </w:r>
          </w:p>
        </w:tc>
        <w:tc>
          <w:tcPr>
            <w:tcW w:w="1052" w:type="dxa"/>
          </w:tcPr>
          <w:p w14:paraId="5AC5C4F8" w14:textId="77777777" w:rsidR="00D96A90" w:rsidRPr="006B0349" w:rsidRDefault="00D96A90" w:rsidP="00EF5AF2">
            <w:pPr>
              <w:rPr>
                <w:rFonts w:eastAsia="Arial MT" w:hAnsi="Arial MT" w:cs="Arial MT"/>
                <w:b/>
                <w:sz w:val="11"/>
              </w:rPr>
            </w:pPr>
          </w:p>
          <w:p w14:paraId="70224485" w14:textId="77777777" w:rsidR="00D96A90" w:rsidRPr="006B0349" w:rsidRDefault="00D96A90" w:rsidP="00EF5AF2">
            <w:pPr>
              <w:spacing w:before="58"/>
              <w:rPr>
                <w:rFonts w:eastAsia="Arial MT" w:hAnsi="Arial MT" w:cs="Arial MT"/>
                <w:b/>
                <w:sz w:val="11"/>
              </w:rPr>
            </w:pPr>
          </w:p>
          <w:p w14:paraId="6DAB87C4"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1.247.595.492</w:t>
            </w:r>
          </w:p>
        </w:tc>
        <w:tc>
          <w:tcPr>
            <w:tcW w:w="1039" w:type="dxa"/>
          </w:tcPr>
          <w:p w14:paraId="6884684E" w14:textId="77777777" w:rsidR="00D96A90" w:rsidRPr="006B0349" w:rsidRDefault="00D96A90" w:rsidP="00EF5AF2">
            <w:pPr>
              <w:rPr>
                <w:rFonts w:eastAsia="Arial MT" w:hAnsi="Arial MT" w:cs="Arial MT"/>
                <w:b/>
                <w:sz w:val="11"/>
              </w:rPr>
            </w:pPr>
          </w:p>
          <w:p w14:paraId="3AA26D26" w14:textId="77777777" w:rsidR="00D96A90" w:rsidRPr="006B0349" w:rsidRDefault="00D96A90" w:rsidP="00EF5AF2">
            <w:pPr>
              <w:spacing w:before="58"/>
              <w:rPr>
                <w:rFonts w:eastAsia="Arial MT" w:hAnsi="Arial MT" w:cs="Arial MT"/>
                <w:b/>
                <w:sz w:val="11"/>
              </w:rPr>
            </w:pPr>
          </w:p>
          <w:p w14:paraId="04422B77"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2.404.508</w:t>
            </w:r>
          </w:p>
        </w:tc>
        <w:tc>
          <w:tcPr>
            <w:tcW w:w="992" w:type="dxa"/>
          </w:tcPr>
          <w:p w14:paraId="798A33D7" w14:textId="77777777" w:rsidR="00D96A90" w:rsidRPr="006B0349" w:rsidRDefault="00D96A90" w:rsidP="00EF5AF2">
            <w:pPr>
              <w:rPr>
                <w:rFonts w:eastAsia="Arial MT" w:hAnsi="Arial MT" w:cs="Arial MT"/>
                <w:b/>
                <w:sz w:val="11"/>
              </w:rPr>
            </w:pPr>
          </w:p>
          <w:p w14:paraId="45F3C77A" w14:textId="77777777" w:rsidR="00D96A90" w:rsidRPr="006B0349" w:rsidRDefault="00D96A90" w:rsidP="00EF5AF2">
            <w:pPr>
              <w:spacing w:before="58"/>
              <w:rPr>
                <w:rFonts w:eastAsia="Arial MT" w:hAnsi="Arial MT" w:cs="Arial MT"/>
                <w:b/>
                <w:sz w:val="11"/>
              </w:rPr>
            </w:pPr>
          </w:p>
          <w:p w14:paraId="34385D47"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$1.241.874.949,00</w:t>
            </w:r>
          </w:p>
        </w:tc>
        <w:tc>
          <w:tcPr>
            <w:tcW w:w="992" w:type="dxa"/>
          </w:tcPr>
          <w:p w14:paraId="715F2AFB" w14:textId="77777777" w:rsidR="00D96A90" w:rsidRPr="006B0349" w:rsidRDefault="00D96A90" w:rsidP="00EF5AF2">
            <w:pPr>
              <w:rPr>
                <w:rFonts w:eastAsia="Arial MT" w:hAnsi="Arial MT" w:cs="Arial MT"/>
                <w:b/>
                <w:sz w:val="11"/>
              </w:rPr>
            </w:pPr>
          </w:p>
          <w:p w14:paraId="6B00D63E" w14:textId="77777777" w:rsidR="00D96A90" w:rsidRPr="006B0349" w:rsidRDefault="00D96A90" w:rsidP="00EF5AF2">
            <w:pPr>
              <w:spacing w:before="58"/>
              <w:rPr>
                <w:rFonts w:eastAsia="Arial MT" w:hAnsi="Arial MT" w:cs="Arial MT"/>
                <w:b/>
                <w:sz w:val="11"/>
              </w:rPr>
            </w:pPr>
          </w:p>
          <w:p w14:paraId="1A27FA7E"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$620.239.795,00</w:t>
            </w:r>
          </w:p>
        </w:tc>
        <w:tc>
          <w:tcPr>
            <w:tcW w:w="959" w:type="dxa"/>
          </w:tcPr>
          <w:p w14:paraId="0AC171E4" w14:textId="77777777" w:rsidR="00D96A90" w:rsidRPr="006B0349" w:rsidRDefault="00D96A90" w:rsidP="00EF5AF2">
            <w:pPr>
              <w:rPr>
                <w:rFonts w:eastAsia="Arial MT" w:hAnsi="Arial MT" w:cs="Arial MT"/>
                <w:b/>
                <w:sz w:val="11"/>
              </w:rPr>
            </w:pPr>
          </w:p>
          <w:p w14:paraId="3A3B018F" w14:textId="77777777" w:rsidR="00D96A90" w:rsidRPr="006B0349" w:rsidRDefault="00D96A90" w:rsidP="00EF5AF2">
            <w:pPr>
              <w:spacing w:before="58"/>
              <w:rPr>
                <w:rFonts w:eastAsia="Arial MT" w:hAnsi="Arial MT" w:cs="Arial MT"/>
                <w:b/>
                <w:sz w:val="11"/>
              </w:rPr>
            </w:pPr>
          </w:p>
          <w:p w14:paraId="04B79A9A"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$620.239.795,00</w:t>
            </w:r>
          </w:p>
        </w:tc>
      </w:tr>
      <w:tr w:rsidR="00D96A90" w:rsidRPr="006B0349" w14:paraId="1B5A58EE" w14:textId="77777777" w:rsidTr="00EF5AF2">
        <w:trPr>
          <w:trHeight w:val="710"/>
          <w:jc w:val="center"/>
        </w:trPr>
        <w:tc>
          <w:tcPr>
            <w:tcW w:w="2350" w:type="dxa"/>
          </w:tcPr>
          <w:p w14:paraId="6DFBD058" w14:textId="77777777" w:rsidR="00D96A90" w:rsidRPr="006B0349" w:rsidRDefault="00D96A90" w:rsidP="00EF5AF2">
            <w:pPr>
              <w:spacing w:before="6" w:line="278" w:lineRule="auto"/>
              <w:ind w:left="14" w:right="53"/>
              <w:rPr>
                <w:rFonts w:ascii="Arial MT" w:eastAsia="Arial MT" w:hAnsi="Arial MT" w:cs="Arial MT"/>
                <w:sz w:val="9"/>
              </w:rPr>
            </w:pPr>
            <w:r w:rsidRPr="006B0349">
              <w:rPr>
                <w:rFonts w:ascii="Arial MT" w:eastAsia="Arial MT" w:hAnsi="Arial MT" w:cs="Arial MT"/>
                <w:sz w:val="9"/>
              </w:rPr>
              <w:t>SERVICIO</w:t>
            </w:r>
            <w:r w:rsidRPr="006B0349">
              <w:rPr>
                <w:rFonts w:ascii="Arial MT" w:eastAsia="Arial MT" w:hAnsi="Arial MT" w:cs="Arial MT"/>
                <w:spacing w:val="-9"/>
                <w:sz w:val="9"/>
              </w:rPr>
              <w:t xml:space="preserve"> </w:t>
            </w:r>
            <w:r w:rsidRPr="006B0349">
              <w:rPr>
                <w:rFonts w:ascii="Arial MT" w:eastAsia="Arial MT" w:hAnsi="Arial MT" w:cs="Arial MT"/>
                <w:sz w:val="9"/>
              </w:rPr>
              <w:t>DE</w:t>
            </w:r>
            <w:r w:rsidRPr="006B0349">
              <w:rPr>
                <w:rFonts w:ascii="Arial MT" w:eastAsia="Arial MT" w:hAnsi="Arial MT" w:cs="Arial MT"/>
                <w:spacing w:val="-6"/>
                <w:sz w:val="9"/>
              </w:rPr>
              <w:t xml:space="preserve"> </w:t>
            </w:r>
            <w:r w:rsidRPr="006B0349">
              <w:rPr>
                <w:rFonts w:ascii="Arial MT" w:eastAsia="Arial MT" w:hAnsi="Arial MT" w:cs="Arial MT"/>
                <w:sz w:val="9"/>
              </w:rPr>
              <w:t>INFORMACIÓN</w:t>
            </w:r>
            <w:r w:rsidRPr="006B0349">
              <w:rPr>
                <w:rFonts w:ascii="Arial MT" w:eastAsia="Arial MT" w:hAnsi="Arial MT" w:cs="Arial MT"/>
                <w:spacing w:val="-6"/>
                <w:sz w:val="9"/>
              </w:rPr>
              <w:t xml:space="preserve"> </w:t>
            </w:r>
            <w:r w:rsidRPr="006B0349">
              <w:rPr>
                <w:rFonts w:ascii="Arial MT" w:eastAsia="Arial MT" w:hAnsi="Arial MT" w:cs="Arial MT"/>
                <w:sz w:val="9"/>
              </w:rPr>
              <w:t>IMPLEMENTADO</w:t>
            </w:r>
            <w:r w:rsidRPr="006B0349">
              <w:rPr>
                <w:rFonts w:ascii="Arial MT" w:eastAsia="Arial MT" w:hAnsi="Arial MT" w:cs="Arial MT"/>
                <w:spacing w:val="-6"/>
                <w:sz w:val="9"/>
              </w:rPr>
              <w:t xml:space="preserve"> </w:t>
            </w:r>
            <w:r w:rsidRPr="006B0349">
              <w:rPr>
                <w:rFonts w:ascii="Arial MT" w:eastAsia="Arial MT" w:hAnsi="Arial MT" w:cs="Arial MT"/>
                <w:sz w:val="9"/>
              </w:rPr>
              <w:t>-</w:t>
            </w:r>
            <w:r w:rsidRPr="006B0349">
              <w:rPr>
                <w:rFonts w:ascii="Arial MT" w:eastAsia="Arial MT" w:hAnsi="Arial MT" w:cs="Arial MT"/>
                <w:spacing w:val="40"/>
                <w:sz w:val="9"/>
              </w:rPr>
              <w:t xml:space="preserve"> </w:t>
            </w:r>
            <w:r w:rsidRPr="006B0349">
              <w:rPr>
                <w:rFonts w:ascii="Arial MT" w:eastAsia="Arial MT" w:hAnsi="Arial MT" w:cs="Arial MT"/>
                <w:sz w:val="9"/>
              </w:rPr>
              <w:t>DOTACIÓN</w:t>
            </w:r>
            <w:r w:rsidRPr="006B0349">
              <w:rPr>
                <w:rFonts w:ascii="Arial MT" w:eastAsia="Arial MT" w:hAnsi="Arial MT" w:cs="Arial MT"/>
                <w:spacing w:val="9"/>
                <w:sz w:val="9"/>
              </w:rPr>
              <w:t xml:space="preserve"> </w:t>
            </w:r>
            <w:r w:rsidRPr="006B0349">
              <w:rPr>
                <w:rFonts w:ascii="Arial MT" w:eastAsia="Arial MT" w:hAnsi="Arial MT" w:cs="Arial MT"/>
                <w:sz w:val="9"/>
              </w:rPr>
              <w:t>MEJORAMIENTO</w:t>
            </w:r>
            <w:r w:rsidRPr="006B0349">
              <w:rPr>
                <w:rFonts w:ascii="Arial MT" w:eastAsia="Arial MT" w:hAnsi="Arial MT" w:cs="Arial MT"/>
                <w:spacing w:val="-7"/>
                <w:sz w:val="9"/>
              </w:rPr>
              <w:t xml:space="preserve"> </w:t>
            </w:r>
            <w:r w:rsidRPr="006B0349">
              <w:rPr>
                <w:rFonts w:ascii="Arial MT" w:eastAsia="Arial MT" w:hAnsi="Arial MT" w:cs="Arial MT"/>
                <w:sz w:val="9"/>
              </w:rPr>
              <w:t>DE</w:t>
            </w:r>
            <w:r w:rsidRPr="006B0349">
              <w:rPr>
                <w:rFonts w:ascii="Arial MT" w:eastAsia="Arial MT" w:hAnsi="Arial MT" w:cs="Arial MT"/>
                <w:spacing w:val="-5"/>
                <w:sz w:val="9"/>
              </w:rPr>
              <w:t xml:space="preserve"> </w:t>
            </w:r>
            <w:r w:rsidRPr="006B0349">
              <w:rPr>
                <w:rFonts w:ascii="Arial MT" w:eastAsia="Arial MT" w:hAnsi="Arial MT" w:cs="Arial MT"/>
                <w:sz w:val="9"/>
              </w:rPr>
              <w:t>LA</w:t>
            </w:r>
            <w:r w:rsidRPr="006B0349">
              <w:rPr>
                <w:rFonts w:ascii="Arial MT" w:eastAsia="Arial MT" w:hAnsi="Arial MT" w:cs="Arial MT"/>
                <w:spacing w:val="40"/>
                <w:sz w:val="9"/>
              </w:rPr>
              <w:t xml:space="preserve"> </w:t>
            </w:r>
            <w:r w:rsidRPr="006B0349">
              <w:rPr>
                <w:rFonts w:ascii="Arial MT" w:eastAsia="Arial MT" w:hAnsi="Arial MT" w:cs="Arial MT"/>
                <w:spacing w:val="-4"/>
                <w:sz w:val="9"/>
              </w:rPr>
              <w:t>INFRAESTRUCTURA</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TECNOLÓGICA,</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LOS</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RECURSOS</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EDUCATIVOS</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Y</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BIBLIOTECA</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Y</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LOS</w:t>
            </w:r>
            <w:r w:rsidRPr="006B0349">
              <w:rPr>
                <w:rFonts w:ascii="Arial MT" w:eastAsia="Arial MT" w:hAnsi="Arial MT" w:cs="Arial MT"/>
                <w:spacing w:val="-3"/>
                <w:sz w:val="9"/>
              </w:rPr>
              <w:t xml:space="preserve"> </w:t>
            </w:r>
            <w:r w:rsidRPr="006B0349">
              <w:rPr>
                <w:rFonts w:ascii="Arial MT" w:eastAsia="Arial MT" w:hAnsi="Arial MT" w:cs="Arial MT"/>
                <w:spacing w:val="-2"/>
                <w:sz w:val="9"/>
              </w:rPr>
              <w:t>LABORATORIOS</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ACADÉMICOS DEL INSTITUTO DE TOLIMENSE</w:t>
            </w:r>
          </w:p>
          <w:p w14:paraId="7074A7F7" w14:textId="77777777" w:rsidR="00D96A90" w:rsidRPr="006B0349" w:rsidRDefault="00D96A90" w:rsidP="00EF5AF2">
            <w:pPr>
              <w:spacing w:line="84" w:lineRule="exact"/>
              <w:ind w:left="14"/>
              <w:rPr>
                <w:rFonts w:ascii="Arial MT" w:eastAsia="Arial MT" w:hAnsi="Arial MT" w:cs="Arial MT"/>
                <w:sz w:val="9"/>
              </w:rPr>
            </w:pPr>
            <w:r w:rsidRPr="006B0349">
              <w:rPr>
                <w:rFonts w:ascii="Arial MT" w:eastAsia="Arial MT" w:hAnsi="Arial MT" w:cs="Arial MT"/>
                <w:spacing w:val="-4"/>
                <w:sz w:val="9"/>
              </w:rPr>
              <w:t>FORMACIÓN</w:t>
            </w:r>
            <w:r w:rsidRPr="006B0349">
              <w:rPr>
                <w:rFonts w:ascii="Arial MT" w:eastAsia="Arial MT" w:hAnsi="Arial MT" w:cs="Arial MT"/>
                <w:spacing w:val="1"/>
                <w:sz w:val="9"/>
              </w:rPr>
              <w:t xml:space="preserve"> </w:t>
            </w:r>
            <w:r w:rsidRPr="006B0349">
              <w:rPr>
                <w:rFonts w:ascii="Arial MT" w:eastAsia="Arial MT" w:hAnsi="Arial MT" w:cs="Arial MT"/>
                <w:spacing w:val="-4"/>
                <w:sz w:val="9"/>
              </w:rPr>
              <w:t>TÉCNICA</w:t>
            </w:r>
            <w:r w:rsidRPr="006B0349">
              <w:rPr>
                <w:rFonts w:ascii="Arial MT" w:eastAsia="Arial MT" w:hAnsi="Arial MT" w:cs="Arial MT"/>
                <w:spacing w:val="7"/>
                <w:sz w:val="9"/>
              </w:rPr>
              <w:t xml:space="preserve"> </w:t>
            </w:r>
            <w:r w:rsidRPr="006B0349">
              <w:rPr>
                <w:rFonts w:ascii="Arial MT" w:eastAsia="Arial MT" w:hAnsi="Arial MT" w:cs="Arial MT"/>
                <w:spacing w:val="-4"/>
                <w:sz w:val="9"/>
              </w:rPr>
              <w:t>PROFESIONAL</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"ITFIP"</w:t>
            </w:r>
            <w:r w:rsidRPr="006B0349">
              <w:rPr>
                <w:rFonts w:ascii="Arial MT" w:eastAsia="Arial MT" w:hAnsi="Arial MT" w:cs="Arial MT"/>
                <w:spacing w:val="7"/>
                <w:sz w:val="9"/>
              </w:rPr>
              <w:t xml:space="preserve"> </w:t>
            </w:r>
            <w:r w:rsidRPr="006B0349">
              <w:rPr>
                <w:rFonts w:ascii="Arial MT" w:eastAsia="Arial MT" w:hAnsi="Arial MT" w:cs="Arial MT"/>
                <w:spacing w:val="-5"/>
                <w:sz w:val="9"/>
              </w:rPr>
              <w:t>DE</w:t>
            </w:r>
          </w:p>
        </w:tc>
        <w:tc>
          <w:tcPr>
            <w:tcW w:w="1025" w:type="dxa"/>
          </w:tcPr>
          <w:p w14:paraId="465CB36E" w14:textId="77777777" w:rsidR="00D96A90" w:rsidRPr="006B0349" w:rsidRDefault="00D96A90" w:rsidP="00EF5AF2">
            <w:pPr>
              <w:rPr>
                <w:rFonts w:eastAsia="Arial MT" w:hAnsi="Arial MT" w:cs="Arial MT"/>
                <w:b/>
                <w:sz w:val="11"/>
              </w:rPr>
            </w:pPr>
          </w:p>
          <w:p w14:paraId="6D5C50CF" w14:textId="77777777" w:rsidR="00D96A90" w:rsidRPr="006B0349" w:rsidRDefault="00D96A90" w:rsidP="00EF5AF2">
            <w:pPr>
              <w:spacing w:before="44"/>
              <w:rPr>
                <w:rFonts w:eastAsia="Arial MT" w:hAnsi="Arial MT" w:cs="Arial MT"/>
                <w:b/>
                <w:sz w:val="11"/>
              </w:rPr>
            </w:pPr>
          </w:p>
          <w:p w14:paraId="09950AD7"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1.200.000.000</w:t>
            </w:r>
          </w:p>
        </w:tc>
        <w:tc>
          <w:tcPr>
            <w:tcW w:w="992" w:type="dxa"/>
          </w:tcPr>
          <w:p w14:paraId="35CD947A" w14:textId="77777777" w:rsidR="00D96A90" w:rsidRPr="006B0349" w:rsidRDefault="00D96A90" w:rsidP="00EF5AF2">
            <w:pPr>
              <w:rPr>
                <w:rFonts w:eastAsia="Arial MT" w:hAnsi="Arial MT" w:cs="Arial MT"/>
                <w:b/>
                <w:sz w:val="11"/>
              </w:rPr>
            </w:pPr>
          </w:p>
          <w:p w14:paraId="2AC5D2E8" w14:textId="77777777" w:rsidR="00D96A90" w:rsidRPr="006B0349" w:rsidRDefault="00D96A90" w:rsidP="00EF5AF2">
            <w:pPr>
              <w:spacing w:before="44"/>
              <w:rPr>
                <w:rFonts w:eastAsia="Arial MT" w:hAnsi="Arial MT" w:cs="Arial MT"/>
                <w:b/>
                <w:sz w:val="11"/>
              </w:rPr>
            </w:pPr>
          </w:p>
          <w:p w14:paraId="0238C5CF" w14:textId="77777777" w:rsidR="00D96A90" w:rsidRPr="006B0349" w:rsidRDefault="00D96A90" w:rsidP="00EF5AF2">
            <w:pPr>
              <w:spacing w:before="1"/>
              <w:ind w:right="14"/>
              <w:jc w:val="right"/>
              <w:rPr>
                <w:rFonts w:ascii="Arial MT" w:eastAsia="Arial MT" w:hAnsi="Arial MT" w:cs="Arial MT"/>
                <w:sz w:val="11"/>
              </w:rPr>
            </w:pPr>
            <w:r w:rsidRPr="006B0349">
              <w:rPr>
                <w:rFonts w:ascii="Arial MT" w:eastAsia="Arial MT" w:hAnsi="Arial MT" w:cs="Arial MT"/>
                <w:spacing w:val="-2"/>
                <w:sz w:val="11"/>
              </w:rPr>
              <w:t>$0,00</w:t>
            </w:r>
          </w:p>
        </w:tc>
        <w:tc>
          <w:tcPr>
            <w:tcW w:w="1052" w:type="dxa"/>
          </w:tcPr>
          <w:p w14:paraId="57093A2A" w14:textId="77777777" w:rsidR="00D96A90" w:rsidRPr="006B0349" w:rsidRDefault="00D96A90" w:rsidP="00EF5AF2">
            <w:pPr>
              <w:rPr>
                <w:rFonts w:eastAsia="Arial MT" w:hAnsi="Arial MT" w:cs="Arial MT"/>
                <w:b/>
                <w:sz w:val="11"/>
              </w:rPr>
            </w:pPr>
          </w:p>
          <w:p w14:paraId="18093E4C" w14:textId="77777777" w:rsidR="00D96A90" w:rsidRPr="006B0349" w:rsidRDefault="00D96A90" w:rsidP="00EF5AF2">
            <w:pPr>
              <w:spacing w:before="44"/>
              <w:rPr>
                <w:rFonts w:eastAsia="Arial MT" w:hAnsi="Arial MT" w:cs="Arial MT"/>
                <w:b/>
                <w:sz w:val="11"/>
              </w:rPr>
            </w:pPr>
          </w:p>
          <w:p w14:paraId="35A79658" w14:textId="77777777" w:rsidR="00D96A90" w:rsidRPr="006B0349" w:rsidRDefault="00D96A90" w:rsidP="00EF5AF2">
            <w:pPr>
              <w:spacing w:before="1"/>
              <w:ind w:right="49"/>
              <w:jc w:val="right"/>
              <w:rPr>
                <w:rFonts w:ascii="Arial MT" w:eastAsia="Arial MT" w:hAnsi="Arial MT" w:cs="Arial MT"/>
                <w:sz w:val="11"/>
              </w:rPr>
            </w:pPr>
            <w:r w:rsidRPr="006B0349">
              <w:rPr>
                <w:rFonts w:ascii="Arial MT" w:eastAsia="Arial MT" w:hAnsi="Arial MT" w:cs="Arial MT"/>
                <w:spacing w:val="-2"/>
                <w:sz w:val="11"/>
              </w:rPr>
              <w:t>1.200.000.000</w:t>
            </w:r>
          </w:p>
        </w:tc>
        <w:tc>
          <w:tcPr>
            <w:tcW w:w="1039" w:type="dxa"/>
          </w:tcPr>
          <w:p w14:paraId="793F724D" w14:textId="77777777" w:rsidR="00D96A90" w:rsidRPr="006B0349" w:rsidRDefault="00D96A90" w:rsidP="00EF5AF2">
            <w:pPr>
              <w:rPr>
                <w:rFonts w:eastAsia="Arial MT" w:hAnsi="Arial MT" w:cs="Arial MT"/>
                <w:b/>
                <w:sz w:val="11"/>
              </w:rPr>
            </w:pPr>
          </w:p>
          <w:p w14:paraId="1210E6FE" w14:textId="77777777" w:rsidR="00D96A90" w:rsidRPr="006B0349" w:rsidRDefault="00D96A90" w:rsidP="00EF5AF2">
            <w:pPr>
              <w:spacing w:before="44"/>
              <w:rPr>
                <w:rFonts w:eastAsia="Arial MT" w:hAnsi="Arial MT" w:cs="Arial MT"/>
                <w:b/>
                <w:sz w:val="11"/>
              </w:rPr>
            </w:pPr>
          </w:p>
          <w:p w14:paraId="2D7A4ADB" w14:textId="77777777" w:rsidR="00D96A90" w:rsidRPr="006B0349" w:rsidRDefault="00D96A90" w:rsidP="00EF5AF2">
            <w:pPr>
              <w:spacing w:before="1"/>
              <w:ind w:right="15"/>
              <w:jc w:val="right"/>
              <w:rPr>
                <w:rFonts w:ascii="Arial MT" w:eastAsia="Arial MT" w:hAnsi="Arial MT" w:cs="Arial MT"/>
                <w:sz w:val="11"/>
              </w:rPr>
            </w:pPr>
            <w:r w:rsidRPr="006B0349">
              <w:rPr>
                <w:rFonts w:ascii="Arial MT" w:eastAsia="Arial MT" w:hAnsi="Arial MT" w:cs="Arial MT"/>
                <w:spacing w:val="-2"/>
                <w:sz w:val="11"/>
              </w:rPr>
              <w:t>$0,00</w:t>
            </w:r>
          </w:p>
        </w:tc>
        <w:tc>
          <w:tcPr>
            <w:tcW w:w="992" w:type="dxa"/>
          </w:tcPr>
          <w:p w14:paraId="47969052" w14:textId="77777777" w:rsidR="00D96A90" w:rsidRPr="006B0349" w:rsidRDefault="00D96A90" w:rsidP="00EF5AF2">
            <w:pPr>
              <w:rPr>
                <w:rFonts w:eastAsia="Arial MT" w:hAnsi="Arial MT" w:cs="Arial MT"/>
                <w:b/>
                <w:sz w:val="11"/>
              </w:rPr>
            </w:pPr>
          </w:p>
          <w:p w14:paraId="762B6EAE" w14:textId="77777777" w:rsidR="00D96A90" w:rsidRPr="006B0349" w:rsidRDefault="00D96A90" w:rsidP="00EF5AF2">
            <w:pPr>
              <w:spacing w:before="44"/>
              <w:rPr>
                <w:rFonts w:eastAsia="Arial MT" w:hAnsi="Arial MT" w:cs="Arial MT"/>
                <w:b/>
                <w:sz w:val="11"/>
              </w:rPr>
            </w:pPr>
          </w:p>
          <w:p w14:paraId="7B4201B1"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$1.195.699.710,00</w:t>
            </w:r>
          </w:p>
        </w:tc>
        <w:tc>
          <w:tcPr>
            <w:tcW w:w="992" w:type="dxa"/>
          </w:tcPr>
          <w:p w14:paraId="2E47E680" w14:textId="77777777" w:rsidR="00D96A90" w:rsidRPr="006B0349" w:rsidRDefault="00D96A90" w:rsidP="00EF5AF2">
            <w:pPr>
              <w:rPr>
                <w:rFonts w:eastAsia="Arial MT" w:hAnsi="Arial MT" w:cs="Arial MT"/>
                <w:b/>
                <w:sz w:val="11"/>
              </w:rPr>
            </w:pPr>
          </w:p>
          <w:p w14:paraId="17629871" w14:textId="77777777" w:rsidR="00D96A90" w:rsidRPr="006B0349" w:rsidRDefault="00D96A90" w:rsidP="00EF5AF2">
            <w:pPr>
              <w:spacing w:before="44"/>
              <w:rPr>
                <w:rFonts w:eastAsia="Arial MT" w:hAnsi="Arial MT" w:cs="Arial MT"/>
                <w:b/>
                <w:sz w:val="11"/>
              </w:rPr>
            </w:pPr>
          </w:p>
          <w:p w14:paraId="3C7ED5A8"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$607.591.000,00</w:t>
            </w:r>
          </w:p>
        </w:tc>
        <w:tc>
          <w:tcPr>
            <w:tcW w:w="959" w:type="dxa"/>
          </w:tcPr>
          <w:p w14:paraId="68D7671E" w14:textId="77777777" w:rsidR="00D96A90" w:rsidRPr="006B0349" w:rsidRDefault="00D96A90" w:rsidP="00EF5AF2">
            <w:pPr>
              <w:rPr>
                <w:rFonts w:eastAsia="Arial MT" w:hAnsi="Arial MT" w:cs="Arial MT"/>
                <w:b/>
                <w:sz w:val="11"/>
              </w:rPr>
            </w:pPr>
          </w:p>
          <w:p w14:paraId="2A9BE8FA" w14:textId="77777777" w:rsidR="00D96A90" w:rsidRPr="006B0349" w:rsidRDefault="00D96A90" w:rsidP="00EF5AF2">
            <w:pPr>
              <w:spacing w:before="44"/>
              <w:rPr>
                <w:rFonts w:eastAsia="Arial MT" w:hAnsi="Arial MT" w:cs="Arial MT"/>
                <w:b/>
                <w:sz w:val="11"/>
              </w:rPr>
            </w:pPr>
          </w:p>
          <w:p w14:paraId="3A459B0F" w14:textId="77777777" w:rsidR="00D96A90" w:rsidRPr="006B0349" w:rsidRDefault="00D96A90" w:rsidP="00EF5AF2">
            <w:pPr>
              <w:spacing w:before="1"/>
              <w:ind w:right="18"/>
              <w:jc w:val="right"/>
              <w:rPr>
                <w:rFonts w:ascii="Arial MT" w:eastAsia="Arial MT" w:hAnsi="Arial MT" w:cs="Arial MT"/>
                <w:sz w:val="11"/>
              </w:rPr>
            </w:pPr>
            <w:r w:rsidRPr="006B0349">
              <w:rPr>
                <w:rFonts w:ascii="Arial MT" w:eastAsia="Arial MT" w:hAnsi="Arial MT" w:cs="Arial MT"/>
                <w:spacing w:val="-2"/>
                <w:sz w:val="11"/>
              </w:rPr>
              <w:t>$607.591.000,00</w:t>
            </w:r>
          </w:p>
        </w:tc>
      </w:tr>
      <w:tr w:rsidR="00D96A90" w:rsidRPr="006B0349" w14:paraId="00738CB6" w14:textId="77777777" w:rsidTr="00EF5AF2">
        <w:trPr>
          <w:trHeight w:val="709"/>
          <w:jc w:val="center"/>
        </w:trPr>
        <w:tc>
          <w:tcPr>
            <w:tcW w:w="2350" w:type="dxa"/>
          </w:tcPr>
          <w:p w14:paraId="74126B10" w14:textId="77777777" w:rsidR="00D96A90" w:rsidRPr="006B0349" w:rsidRDefault="00D96A90" w:rsidP="00EF5AF2">
            <w:pPr>
              <w:spacing w:before="5" w:line="278" w:lineRule="auto"/>
              <w:ind w:left="14" w:right="53"/>
              <w:rPr>
                <w:rFonts w:ascii="Arial MT" w:eastAsia="Arial MT" w:hAnsi="Arial MT" w:cs="Arial MT"/>
                <w:sz w:val="9"/>
              </w:rPr>
            </w:pPr>
            <w:r w:rsidRPr="006B0349">
              <w:rPr>
                <w:rFonts w:ascii="Arial MT" w:eastAsia="Arial MT" w:hAnsi="Arial MT" w:cs="Arial MT"/>
                <w:spacing w:val="-4"/>
                <w:sz w:val="9"/>
              </w:rPr>
              <w:t>SEDES</w:t>
            </w:r>
            <w:r w:rsidRPr="006B0349">
              <w:rPr>
                <w:rFonts w:ascii="Arial MT" w:eastAsia="Arial MT" w:hAnsi="Arial MT" w:cs="Arial MT"/>
                <w:spacing w:val="-2"/>
                <w:sz w:val="9"/>
              </w:rPr>
              <w:t xml:space="preserve"> </w:t>
            </w:r>
            <w:r w:rsidRPr="006B0349">
              <w:rPr>
                <w:rFonts w:ascii="Arial MT" w:eastAsia="Arial MT" w:hAnsi="Arial MT" w:cs="Arial MT"/>
                <w:spacing w:val="-4"/>
                <w:sz w:val="9"/>
              </w:rPr>
              <w:t>DE</w:t>
            </w:r>
            <w:r w:rsidRPr="006B0349">
              <w:rPr>
                <w:rFonts w:ascii="Arial MT" w:eastAsia="Arial MT" w:hAnsi="Arial MT" w:cs="Arial MT"/>
                <w:sz w:val="9"/>
              </w:rPr>
              <w:t xml:space="preserve"> </w:t>
            </w:r>
            <w:r w:rsidRPr="006B0349">
              <w:rPr>
                <w:rFonts w:ascii="Arial MT" w:eastAsia="Arial MT" w:hAnsi="Arial MT" w:cs="Arial MT"/>
                <w:spacing w:val="-4"/>
                <w:sz w:val="9"/>
              </w:rPr>
              <w:t>INSTITUCIONES</w:t>
            </w:r>
            <w:r w:rsidRPr="006B0349">
              <w:rPr>
                <w:rFonts w:ascii="Arial MT" w:eastAsia="Arial MT" w:hAnsi="Arial MT" w:cs="Arial MT"/>
                <w:sz w:val="9"/>
              </w:rPr>
              <w:t xml:space="preserve"> </w:t>
            </w:r>
            <w:r w:rsidRPr="006B0349">
              <w:rPr>
                <w:rFonts w:ascii="Arial MT" w:eastAsia="Arial MT" w:hAnsi="Arial MT" w:cs="Arial MT"/>
                <w:spacing w:val="-4"/>
                <w:sz w:val="9"/>
              </w:rPr>
              <w:t>DE</w:t>
            </w:r>
            <w:r w:rsidRPr="006B0349">
              <w:rPr>
                <w:rFonts w:ascii="Arial MT" w:eastAsia="Arial MT" w:hAnsi="Arial MT" w:cs="Arial MT"/>
                <w:sz w:val="9"/>
              </w:rPr>
              <w:t xml:space="preserve"> </w:t>
            </w:r>
            <w:r w:rsidRPr="006B0349">
              <w:rPr>
                <w:rFonts w:ascii="Arial MT" w:eastAsia="Arial MT" w:hAnsi="Arial MT" w:cs="Arial MT"/>
                <w:spacing w:val="-4"/>
                <w:sz w:val="9"/>
              </w:rPr>
              <w:t>EDUCACIÓN</w:t>
            </w:r>
            <w:r w:rsidRPr="006B0349">
              <w:rPr>
                <w:rFonts w:ascii="Arial MT" w:eastAsia="Arial MT" w:hAnsi="Arial MT" w:cs="Arial MT"/>
                <w:spacing w:val="-3"/>
                <w:sz w:val="9"/>
              </w:rPr>
              <w:t xml:space="preserve"> </w:t>
            </w:r>
            <w:r w:rsidRPr="006B0349">
              <w:rPr>
                <w:rFonts w:ascii="Arial MT" w:eastAsia="Arial MT" w:hAnsi="Arial MT" w:cs="Arial MT"/>
                <w:spacing w:val="-4"/>
                <w:sz w:val="9"/>
              </w:rPr>
              <w:t>SUPERIOR</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O</w:t>
            </w:r>
            <w:r w:rsidRPr="006B0349">
              <w:rPr>
                <w:rFonts w:ascii="Arial MT" w:eastAsia="Arial MT" w:hAnsi="Arial MT" w:cs="Arial MT"/>
                <w:spacing w:val="-5"/>
                <w:sz w:val="9"/>
              </w:rPr>
              <w:t xml:space="preserve"> </w:t>
            </w:r>
            <w:r w:rsidRPr="006B0349">
              <w:rPr>
                <w:rFonts w:ascii="Arial MT" w:eastAsia="Arial MT" w:hAnsi="Arial MT" w:cs="Arial MT"/>
                <w:spacing w:val="-2"/>
                <w:sz w:val="9"/>
              </w:rPr>
              <w:t>TERCIARIA CONSTRUIDAS -</w:t>
            </w:r>
            <w:r w:rsidRPr="006B0349">
              <w:rPr>
                <w:rFonts w:ascii="Arial MT" w:eastAsia="Arial MT" w:hAnsi="Arial MT" w:cs="Arial MT"/>
                <w:spacing w:val="-5"/>
                <w:sz w:val="9"/>
              </w:rPr>
              <w:t xml:space="preserve"> </w:t>
            </w:r>
            <w:r w:rsidRPr="006B0349">
              <w:rPr>
                <w:rFonts w:ascii="Arial MT" w:eastAsia="Arial MT" w:hAnsi="Arial MT" w:cs="Arial MT"/>
                <w:spacing w:val="-2"/>
                <w:sz w:val="9"/>
              </w:rPr>
              <w:t>CONSTRUCCIÓN</w:t>
            </w:r>
            <w:r w:rsidRPr="006B0349">
              <w:rPr>
                <w:rFonts w:ascii="Arial MT" w:eastAsia="Arial MT" w:hAnsi="Arial MT" w:cs="Arial MT"/>
                <w:spacing w:val="40"/>
                <w:sz w:val="9"/>
              </w:rPr>
              <w:t xml:space="preserve"> </w:t>
            </w:r>
            <w:r w:rsidRPr="006B0349">
              <w:rPr>
                <w:rFonts w:ascii="Arial MT" w:eastAsia="Arial MT" w:hAnsi="Arial MT" w:cs="Arial MT"/>
                <w:sz w:val="9"/>
              </w:rPr>
              <w:t>REMODELACIÓN</w:t>
            </w:r>
            <w:r w:rsidRPr="006B0349">
              <w:rPr>
                <w:rFonts w:ascii="Arial MT" w:eastAsia="Arial MT" w:hAnsi="Arial MT" w:cs="Arial MT"/>
                <w:spacing w:val="-7"/>
                <w:sz w:val="9"/>
              </w:rPr>
              <w:t xml:space="preserve"> </w:t>
            </w:r>
            <w:r w:rsidRPr="006B0349">
              <w:rPr>
                <w:rFonts w:ascii="Arial MT" w:eastAsia="Arial MT" w:hAnsi="Arial MT" w:cs="Arial MT"/>
                <w:sz w:val="9"/>
              </w:rPr>
              <w:t>Y</w:t>
            </w:r>
            <w:r w:rsidRPr="006B0349">
              <w:rPr>
                <w:rFonts w:ascii="Arial MT" w:eastAsia="Arial MT" w:hAnsi="Arial MT" w:cs="Arial MT"/>
                <w:spacing w:val="-6"/>
                <w:sz w:val="9"/>
              </w:rPr>
              <w:t xml:space="preserve"> </w:t>
            </w:r>
            <w:r w:rsidRPr="006B0349">
              <w:rPr>
                <w:rFonts w:ascii="Arial MT" w:eastAsia="Arial MT" w:hAnsi="Arial MT" w:cs="Arial MT"/>
                <w:sz w:val="9"/>
              </w:rPr>
              <w:t>ADECUACIÓN</w:t>
            </w:r>
            <w:r w:rsidRPr="006B0349">
              <w:rPr>
                <w:rFonts w:ascii="Arial MT" w:eastAsia="Arial MT" w:hAnsi="Arial MT" w:cs="Arial MT"/>
                <w:spacing w:val="-6"/>
                <w:sz w:val="9"/>
              </w:rPr>
              <w:t xml:space="preserve"> </w:t>
            </w:r>
            <w:r w:rsidRPr="006B0349">
              <w:rPr>
                <w:rFonts w:ascii="Arial MT" w:eastAsia="Arial MT" w:hAnsi="Arial MT" w:cs="Arial MT"/>
                <w:sz w:val="9"/>
              </w:rPr>
              <w:t>DE</w:t>
            </w:r>
            <w:r w:rsidRPr="006B0349">
              <w:rPr>
                <w:rFonts w:ascii="Arial MT" w:eastAsia="Arial MT" w:hAnsi="Arial MT" w:cs="Arial MT"/>
                <w:spacing w:val="-5"/>
                <w:sz w:val="9"/>
              </w:rPr>
              <w:t xml:space="preserve"> </w:t>
            </w:r>
            <w:r w:rsidRPr="006B0349">
              <w:rPr>
                <w:rFonts w:ascii="Arial MT" w:eastAsia="Arial MT" w:hAnsi="Arial MT" w:cs="Arial MT"/>
                <w:sz w:val="9"/>
              </w:rPr>
              <w:t>LA</w:t>
            </w:r>
            <w:r w:rsidRPr="006B0349">
              <w:rPr>
                <w:rFonts w:ascii="Arial MT" w:eastAsia="Arial MT" w:hAnsi="Arial MT" w:cs="Arial MT"/>
                <w:spacing w:val="40"/>
                <w:sz w:val="9"/>
              </w:rPr>
              <w:t xml:space="preserve"> </w:t>
            </w:r>
            <w:r w:rsidRPr="006B0349">
              <w:rPr>
                <w:rFonts w:ascii="Arial MT" w:eastAsia="Arial MT" w:hAnsi="Arial MT" w:cs="Arial MT"/>
                <w:sz w:val="9"/>
              </w:rPr>
              <w:t>INFRAESTRUCTURA</w:t>
            </w:r>
            <w:r w:rsidRPr="006B0349">
              <w:rPr>
                <w:rFonts w:ascii="Arial MT" w:eastAsia="Arial MT" w:hAnsi="Arial MT" w:cs="Arial MT"/>
                <w:spacing w:val="-9"/>
                <w:sz w:val="9"/>
              </w:rPr>
              <w:t xml:space="preserve"> </w:t>
            </w:r>
            <w:r w:rsidRPr="006B0349">
              <w:rPr>
                <w:rFonts w:ascii="Arial MT" w:eastAsia="Arial MT" w:hAnsi="Arial MT" w:cs="Arial MT"/>
                <w:sz w:val="9"/>
              </w:rPr>
              <w:t>FÍSICA</w:t>
            </w:r>
            <w:r w:rsidRPr="006B0349">
              <w:rPr>
                <w:rFonts w:ascii="Arial MT" w:eastAsia="Arial MT" w:hAnsi="Arial MT" w:cs="Arial MT"/>
                <w:spacing w:val="-6"/>
                <w:sz w:val="9"/>
              </w:rPr>
              <w:t xml:space="preserve"> </w:t>
            </w:r>
            <w:r w:rsidRPr="006B0349">
              <w:rPr>
                <w:rFonts w:ascii="Arial MT" w:eastAsia="Arial MT" w:hAnsi="Arial MT" w:cs="Arial MT"/>
                <w:sz w:val="9"/>
              </w:rPr>
              <w:t>DEL</w:t>
            </w:r>
            <w:r w:rsidRPr="006B0349">
              <w:rPr>
                <w:rFonts w:ascii="Arial MT" w:eastAsia="Arial MT" w:hAnsi="Arial MT" w:cs="Arial MT"/>
                <w:spacing w:val="-6"/>
                <w:sz w:val="9"/>
              </w:rPr>
              <w:t xml:space="preserve"> </w:t>
            </w:r>
            <w:r w:rsidRPr="006B0349">
              <w:rPr>
                <w:rFonts w:ascii="Arial MT" w:eastAsia="Arial MT" w:hAnsi="Arial MT" w:cs="Arial MT"/>
                <w:sz w:val="9"/>
              </w:rPr>
              <w:t>CAMPUS</w:t>
            </w:r>
            <w:r w:rsidRPr="006B0349">
              <w:rPr>
                <w:rFonts w:ascii="Arial MT" w:eastAsia="Arial MT" w:hAnsi="Arial MT" w:cs="Arial MT"/>
                <w:spacing w:val="-6"/>
                <w:sz w:val="9"/>
              </w:rPr>
              <w:t xml:space="preserve"> </w:t>
            </w:r>
            <w:r w:rsidRPr="006B0349">
              <w:rPr>
                <w:rFonts w:ascii="Arial MT" w:eastAsia="Arial MT" w:hAnsi="Arial MT" w:cs="Arial MT"/>
                <w:sz w:val="9"/>
              </w:rPr>
              <w:t>DEL</w:t>
            </w:r>
            <w:r w:rsidRPr="006B0349">
              <w:rPr>
                <w:rFonts w:ascii="Arial MT" w:eastAsia="Arial MT" w:hAnsi="Arial MT" w:cs="Arial MT"/>
                <w:spacing w:val="40"/>
                <w:sz w:val="9"/>
              </w:rPr>
              <w:t xml:space="preserve"> </w:t>
            </w:r>
            <w:r w:rsidRPr="006B0349">
              <w:rPr>
                <w:rFonts w:ascii="Arial MT" w:eastAsia="Arial MT" w:hAnsi="Arial MT" w:cs="Arial MT"/>
                <w:spacing w:val="-2"/>
                <w:sz w:val="9"/>
              </w:rPr>
              <w:t>INSTITUTO</w:t>
            </w:r>
            <w:r w:rsidRPr="006B0349">
              <w:rPr>
                <w:rFonts w:ascii="Arial MT" w:eastAsia="Arial MT" w:hAnsi="Arial MT" w:cs="Arial MT"/>
                <w:spacing w:val="-7"/>
                <w:sz w:val="9"/>
              </w:rPr>
              <w:t xml:space="preserve"> </w:t>
            </w:r>
            <w:r w:rsidRPr="006B0349">
              <w:rPr>
                <w:rFonts w:ascii="Arial MT" w:eastAsia="Arial MT" w:hAnsi="Arial MT" w:cs="Arial MT"/>
                <w:spacing w:val="-2"/>
                <w:sz w:val="9"/>
              </w:rPr>
              <w:t>TOLIMENSE</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DE</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FORMACIÓN</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TÉCNICA</w:t>
            </w:r>
          </w:p>
          <w:p w14:paraId="01A24565" w14:textId="77777777" w:rsidR="00D96A90" w:rsidRPr="006B0349" w:rsidRDefault="00D96A90" w:rsidP="00EF5AF2">
            <w:pPr>
              <w:spacing w:line="84" w:lineRule="exact"/>
              <w:ind w:left="14"/>
              <w:rPr>
                <w:rFonts w:ascii="Arial MT" w:eastAsia="Arial MT" w:hAnsi="Arial MT" w:cs="Arial MT"/>
                <w:sz w:val="9"/>
              </w:rPr>
            </w:pPr>
            <w:r w:rsidRPr="006B0349">
              <w:rPr>
                <w:rFonts w:ascii="Arial MT" w:eastAsia="Arial MT" w:hAnsi="Arial MT" w:cs="Arial MT"/>
                <w:spacing w:val="-2"/>
                <w:sz w:val="9"/>
              </w:rPr>
              <w:t>PROFESIONAL</w:t>
            </w:r>
            <w:r w:rsidRPr="006B0349">
              <w:rPr>
                <w:rFonts w:ascii="Arial MT" w:eastAsia="Arial MT" w:hAnsi="Arial MT" w:cs="Arial MT"/>
                <w:spacing w:val="-5"/>
                <w:sz w:val="9"/>
              </w:rPr>
              <w:t xml:space="preserve"> </w:t>
            </w:r>
            <w:r w:rsidRPr="006B0349">
              <w:rPr>
                <w:rFonts w:ascii="Arial MT" w:eastAsia="Arial MT" w:hAnsi="Arial MT" w:cs="Arial MT"/>
                <w:spacing w:val="-2"/>
                <w:sz w:val="9"/>
              </w:rPr>
              <w:t>"ITFIP"</w:t>
            </w:r>
            <w:r w:rsidRPr="006B0349">
              <w:rPr>
                <w:rFonts w:ascii="Arial MT" w:eastAsia="Arial MT" w:hAnsi="Arial MT" w:cs="Arial MT"/>
                <w:spacing w:val="-4"/>
                <w:sz w:val="9"/>
              </w:rPr>
              <w:t xml:space="preserve"> </w:t>
            </w:r>
            <w:r w:rsidRPr="006B0349">
              <w:rPr>
                <w:rFonts w:ascii="Arial MT" w:eastAsia="Arial MT" w:hAnsi="Arial MT" w:cs="Arial MT"/>
                <w:spacing w:val="-2"/>
                <w:sz w:val="9"/>
              </w:rPr>
              <w:t>DE</w:t>
            </w:r>
            <w:r w:rsidRPr="006B0349">
              <w:rPr>
                <w:rFonts w:ascii="Arial MT" w:eastAsia="Arial MT" w:hAnsi="Arial MT" w:cs="Arial MT"/>
                <w:spacing w:val="19"/>
                <w:sz w:val="9"/>
              </w:rPr>
              <w:t xml:space="preserve"> </w:t>
            </w:r>
            <w:r w:rsidRPr="006B0349">
              <w:rPr>
                <w:rFonts w:ascii="Arial MT" w:eastAsia="Arial MT" w:hAnsi="Arial MT" w:cs="Arial MT"/>
                <w:spacing w:val="-2"/>
                <w:sz w:val="9"/>
              </w:rPr>
              <w:t>ESPINAL</w:t>
            </w:r>
          </w:p>
        </w:tc>
        <w:tc>
          <w:tcPr>
            <w:tcW w:w="1025" w:type="dxa"/>
          </w:tcPr>
          <w:p w14:paraId="494CDB7A" w14:textId="77777777" w:rsidR="00D96A90" w:rsidRPr="006B0349" w:rsidRDefault="00D96A90" w:rsidP="00EF5AF2">
            <w:pPr>
              <w:rPr>
                <w:rFonts w:eastAsia="Arial MT" w:hAnsi="Arial MT" w:cs="Arial MT"/>
                <w:b/>
                <w:sz w:val="11"/>
              </w:rPr>
            </w:pPr>
          </w:p>
          <w:p w14:paraId="248CC279" w14:textId="77777777" w:rsidR="00D96A90" w:rsidRPr="006B0349" w:rsidRDefault="00D96A90" w:rsidP="00EF5AF2">
            <w:pPr>
              <w:spacing w:before="44"/>
              <w:rPr>
                <w:rFonts w:eastAsia="Arial MT" w:hAnsi="Arial MT" w:cs="Arial MT"/>
                <w:b/>
                <w:sz w:val="11"/>
              </w:rPr>
            </w:pPr>
          </w:p>
          <w:p w14:paraId="470D5128" w14:textId="77777777" w:rsidR="00D96A90" w:rsidRPr="006B0349" w:rsidRDefault="00D96A90" w:rsidP="00EF5AF2">
            <w:pPr>
              <w:ind w:right="49"/>
              <w:jc w:val="right"/>
              <w:rPr>
                <w:rFonts w:ascii="Arial MT" w:eastAsia="Arial MT" w:hAnsi="Arial MT" w:cs="Arial MT"/>
                <w:sz w:val="11"/>
              </w:rPr>
            </w:pPr>
            <w:r w:rsidRPr="006B0349">
              <w:rPr>
                <w:rFonts w:ascii="Arial MT" w:eastAsia="Arial MT" w:hAnsi="Arial MT" w:cs="Arial MT"/>
                <w:spacing w:val="-2"/>
                <w:sz w:val="11"/>
              </w:rPr>
              <w:t>3.192.290.121</w:t>
            </w:r>
          </w:p>
        </w:tc>
        <w:tc>
          <w:tcPr>
            <w:tcW w:w="992" w:type="dxa"/>
          </w:tcPr>
          <w:p w14:paraId="64EF4405" w14:textId="77777777" w:rsidR="00D96A90" w:rsidRPr="006B0349" w:rsidRDefault="00D96A90" w:rsidP="00EF5AF2">
            <w:pPr>
              <w:rPr>
                <w:rFonts w:eastAsia="Arial MT" w:hAnsi="Arial MT" w:cs="Arial MT"/>
                <w:b/>
                <w:sz w:val="11"/>
              </w:rPr>
            </w:pPr>
          </w:p>
          <w:p w14:paraId="4A116183" w14:textId="77777777" w:rsidR="00D96A90" w:rsidRPr="006B0349" w:rsidRDefault="00D96A90" w:rsidP="00EF5AF2">
            <w:pPr>
              <w:spacing w:before="44"/>
              <w:rPr>
                <w:rFonts w:eastAsia="Arial MT" w:hAnsi="Arial MT" w:cs="Arial MT"/>
                <w:b/>
                <w:sz w:val="11"/>
              </w:rPr>
            </w:pPr>
          </w:p>
          <w:p w14:paraId="17D6B56F" w14:textId="77777777" w:rsidR="00D96A90" w:rsidRPr="006B0349" w:rsidRDefault="00D96A90" w:rsidP="00EF5AF2">
            <w:pPr>
              <w:ind w:right="14"/>
              <w:jc w:val="right"/>
              <w:rPr>
                <w:rFonts w:ascii="Arial MT" w:eastAsia="Arial MT" w:hAnsi="Arial MT" w:cs="Arial MT"/>
                <w:sz w:val="11"/>
              </w:rPr>
            </w:pPr>
            <w:r w:rsidRPr="006B0349">
              <w:rPr>
                <w:rFonts w:ascii="Arial MT" w:eastAsia="Arial MT" w:hAnsi="Arial MT" w:cs="Arial MT"/>
                <w:spacing w:val="-2"/>
                <w:sz w:val="11"/>
              </w:rPr>
              <w:t>$0,00</w:t>
            </w:r>
          </w:p>
        </w:tc>
        <w:tc>
          <w:tcPr>
            <w:tcW w:w="1052" w:type="dxa"/>
          </w:tcPr>
          <w:p w14:paraId="22FB2ACF" w14:textId="77777777" w:rsidR="00D96A90" w:rsidRPr="006B0349" w:rsidRDefault="00D96A90" w:rsidP="00EF5AF2">
            <w:pPr>
              <w:rPr>
                <w:rFonts w:eastAsia="Arial MT" w:hAnsi="Arial MT" w:cs="Arial MT"/>
                <w:b/>
                <w:sz w:val="11"/>
              </w:rPr>
            </w:pPr>
          </w:p>
          <w:p w14:paraId="18A6059E" w14:textId="77777777" w:rsidR="00D96A90" w:rsidRPr="006B0349" w:rsidRDefault="00D96A90" w:rsidP="00EF5AF2">
            <w:pPr>
              <w:spacing w:before="44"/>
              <w:rPr>
                <w:rFonts w:eastAsia="Arial MT" w:hAnsi="Arial MT" w:cs="Arial MT"/>
                <w:b/>
                <w:sz w:val="11"/>
              </w:rPr>
            </w:pPr>
          </w:p>
          <w:p w14:paraId="34323DA4" w14:textId="77777777" w:rsidR="00D96A90" w:rsidRPr="006B0349" w:rsidRDefault="00D96A90" w:rsidP="00EF5AF2">
            <w:pPr>
              <w:ind w:right="49"/>
              <w:jc w:val="right"/>
              <w:rPr>
                <w:rFonts w:ascii="Arial MT" w:eastAsia="Arial MT" w:hAnsi="Arial MT" w:cs="Arial MT"/>
                <w:sz w:val="11"/>
              </w:rPr>
            </w:pPr>
            <w:r w:rsidRPr="006B0349">
              <w:rPr>
                <w:rFonts w:ascii="Arial MT" w:eastAsia="Arial MT" w:hAnsi="Arial MT" w:cs="Arial MT"/>
                <w:spacing w:val="-2"/>
                <w:sz w:val="11"/>
              </w:rPr>
              <w:t>3.183.856.124</w:t>
            </w:r>
          </w:p>
        </w:tc>
        <w:tc>
          <w:tcPr>
            <w:tcW w:w="1039" w:type="dxa"/>
          </w:tcPr>
          <w:p w14:paraId="06737BBF" w14:textId="77777777" w:rsidR="00D96A90" w:rsidRPr="006B0349" w:rsidRDefault="00D96A90" w:rsidP="00EF5AF2">
            <w:pPr>
              <w:rPr>
                <w:rFonts w:eastAsia="Arial MT" w:hAnsi="Arial MT" w:cs="Arial MT"/>
                <w:b/>
                <w:sz w:val="11"/>
              </w:rPr>
            </w:pPr>
          </w:p>
          <w:p w14:paraId="175F0696" w14:textId="77777777" w:rsidR="00D96A90" w:rsidRPr="006B0349" w:rsidRDefault="00D96A90" w:rsidP="00EF5AF2">
            <w:pPr>
              <w:spacing w:before="44"/>
              <w:rPr>
                <w:rFonts w:eastAsia="Arial MT" w:hAnsi="Arial MT" w:cs="Arial MT"/>
                <w:b/>
                <w:sz w:val="11"/>
              </w:rPr>
            </w:pPr>
          </w:p>
          <w:p w14:paraId="338C64D0" w14:textId="77777777" w:rsidR="00D96A90" w:rsidRPr="006B0349" w:rsidRDefault="00D96A90" w:rsidP="00EF5AF2">
            <w:pPr>
              <w:ind w:right="49"/>
              <w:jc w:val="right"/>
              <w:rPr>
                <w:rFonts w:ascii="Arial MT" w:eastAsia="Arial MT" w:hAnsi="Arial MT" w:cs="Arial MT"/>
                <w:sz w:val="11"/>
              </w:rPr>
            </w:pPr>
            <w:r w:rsidRPr="006B0349">
              <w:rPr>
                <w:rFonts w:ascii="Arial MT" w:eastAsia="Arial MT" w:hAnsi="Arial MT" w:cs="Arial MT"/>
                <w:spacing w:val="-2"/>
                <w:sz w:val="11"/>
              </w:rPr>
              <w:t>8.433.997</w:t>
            </w:r>
          </w:p>
        </w:tc>
        <w:tc>
          <w:tcPr>
            <w:tcW w:w="992" w:type="dxa"/>
          </w:tcPr>
          <w:p w14:paraId="2C043B82" w14:textId="77777777" w:rsidR="00D96A90" w:rsidRPr="006B0349" w:rsidRDefault="00D96A90" w:rsidP="00EF5AF2">
            <w:pPr>
              <w:rPr>
                <w:rFonts w:eastAsia="Arial MT" w:hAnsi="Arial MT" w:cs="Arial MT"/>
                <w:b/>
                <w:sz w:val="11"/>
              </w:rPr>
            </w:pPr>
          </w:p>
          <w:p w14:paraId="396BA9B1" w14:textId="77777777" w:rsidR="00D96A90" w:rsidRPr="006B0349" w:rsidRDefault="00D96A90" w:rsidP="00EF5AF2">
            <w:pPr>
              <w:spacing w:before="44"/>
              <w:rPr>
                <w:rFonts w:eastAsia="Arial MT" w:hAnsi="Arial MT" w:cs="Arial MT"/>
                <w:b/>
                <w:sz w:val="11"/>
              </w:rPr>
            </w:pPr>
          </w:p>
          <w:p w14:paraId="7259BF5E" w14:textId="77777777" w:rsidR="00D96A90" w:rsidRPr="006B0349" w:rsidRDefault="00D96A90" w:rsidP="00EF5AF2">
            <w:pPr>
              <w:ind w:right="17"/>
              <w:jc w:val="right"/>
              <w:rPr>
                <w:rFonts w:ascii="Arial MT" w:eastAsia="Arial MT" w:hAnsi="Arial MT" w:cs="Arial MT"/>
                <w:sz w:val="11"/>
              </w:rPr>
            </w:pPr>
            <w:r w:rsidRPr="006B0349">
              <w:rPr>
                <w:rFonts w:ascii="Arial MT" w:eastAsia="Arial MT" w:hAnsi="Arial MT" w:cs="Arial MT"/>
                <w:spacing w:val="-2"/>
                <w:sz w:val="11"/>
              </w:rPr>
              <w:t>$927.448.652,00</w:t>
            </w:r>
          </w:p>
        </w:tc>
        <w:tc>
          <w:tcPr>
            <w:tcW w:w="992" w:type="dxa"/>
          </w:tcPr>
          <w:p w14:paraId="780F71B4" w14:textId="77777777" w:rsidR="00D96A90" w:rsidRPr="006B0349" w:rsidRDefault="00D96A90" w:rsidP="00EF5AF2">
            <w:pPr>
              <w:rPr>
                <w:rFonts w:eastAsia="Arial MT" w:hAnsi="Arial MT" w:cs="Arial MT"/>
                <w:b/>
                <w:sz w:val="11"/>
              </w:rPr>
            </w:pPr>
          </w:p>
          <w:p w14:paraId="038A10A3" w14:textId="77777777" w:rsidR="00D96A90" w:rsidRPr="006B0349" w:rsidRDefault="00D96A90" w:rsidP="00EF5AF2">
            <w:pPr>
              <w:spacing w:before="44"/>
              <w:rPr>
                <w:rFonts w:eastAsia="Arial MT" w:hAnsi="Arial MT" w:cs="Arial MT"/>
                <w:b/>
                <w:sz w:val="11"/>
              </w:rPr>
            </w:pPr>
          </w:p>
          <w:p w14:paraId="62ACF5A2" w14:textId="77777777" w:rsidR="00D96A90" w:rsidRPr="006B0349" w:rsidRDefault="00D96A90" w:rsidP="00EF5AF2">
            <w:pPr>
              <w:ind w:right="18"/>
              <w:jc w:val="right"/>
              <w:rPr>
                <w:rFonts w:ascii="Arial MT" w:eastAsia="Arial MT" w:hAnsi="Arial MT" w:cs="Arial MT"/>
                <w:sz w:val="11"/>
              </w:rPr>
            </w:pPr>
            <w:r w:rsidRPr="006B0349">
              <w:rPr>
                <w:rFonts w:ascii="Arial MT" w:eastAsia="Arial MT" w:hAnsi="Arial MT" w:cs="Arial MT"/>
                <w:spacing w:val="-2"/>
                <w:sz w:val="11"/>
              </w:rPr>
              <w:t>$350.000.000,00</w:t>
            </w:r>
          </w:p>
        </w:tc>
        <w:tc>
          <w:tcPr>
            <w:tcW w:w="959" w:type="dxa"/>
          </w:tcPr>
          <w:p w14:paraId="20583F70" w14:textId="77777777" w:rsidR="00D96A90" w:rsidRPr="006B0349" w:rsidRDefault="00D96A90" w:rsidP="00EF5AF2">
            <w:pPr>
              <w:rPr>
                <w:rFonts w:eastAsia="Arial MT" w:hAnsi="Arial MT" w:cs="Arial MT"/>
                <w:b/>
                <w:sz w:val="11"/>
              </w:rPr>
            </w:pPr>
          </w:p>
          <w:p w14:paraId="748681A1" w14:textId="77777777" w:rsidR="00D96A90" w:rsidRPr="006B0349" w:rsidRDefault="00D96A90" w:rsidP="00EF5AF2">
            <w:pPr>
              <w:spacing w:before="44"/>
              <w:rPr>
                <w:rFonts w:eastAsia="Arial MT" w:hAnsi="Arial MT" w:cs="Arial MT"/>
                <w:b/>
                <w:sz w:val="11"/>
              </w:rPr>
            </w:pPr>
          </w:p>
          <w:p w14:paraId="6727E470" w14:textId="77777777" w:rsidR="00D96A90" w:rsidRPr="006B0349" w:rsidRDefault="00D96A90" w:rsidP="00EF5AF2">
            <w:pPr>
              <w:ind w:right="18"/>
              <w:jc w:val="right"/>
              <w:rPr>
                <w:rFonts w:ascii="Arial MT" w:eastAsia="Arial MT" w:hAnsi="Arial MT" w:cs="Arial MT"/>
                <w:sz w:val="11"/>
              </w:rPr>
            </w:pPr>
            <w:r w:rsidRPr="006B0349">
              <w:rPr>
                <w:rFonts w:ascii="Arial MT" w:eastAsia="Arial MT" w:hAnsi="Arial MT" w:cs="Arial MT"/>
                <w:spacing w:val="-2"/>
                <w:sz w:val="11"/>
              </w:rPr>
              <w:t>$350.000.000,00</w:t>
            </w:r>
          </w:p>
        </w:tc>
      </w:tr>
      <w:tr w:rsidR="00D96A90" w:rsidRPr="006B0349" w14:paraId="6F837E8A" w14:textId="77777777" w:rsidTr="00EF5AF2">
        <w:trPr>
          <w:trHeight w:val="138"/>
          <w:jc w:val="center"/>
        </w:trPr>
        <w:tc>
          <w:tcPr>
            <w:tcW w:w="2350" w:type="dxa"/>
            <w:shd w:val="clear" w:color="auto" w:fill="DDEBF7"/>
          </w:tcPr>
          <w:p w14:paraId="6BE9C46F" w14:textId="77777777" w:rsidR="00D96A90" w:rsidRPr="006B0349" w:rsidRDefault="00D96A90" w:rsidP="00EF5AF2">
            <w:pPr>
              <w:spacing w:before="8" w:line="110" w:lineRule="exact"/>
              <w:ind w:left="21"/>
              <w:rPr>
                <w:rFonts w:eastAsia="Arial MT" w:hAnsi="Arial MT" w:cs="Arial MT"/>
                <w:b/>
                <w:sz w:val="11"/>
              </w:rPr>
            </w:pPr>
            <w:r w:rsidRPr="006B0349">
              <w:rPr>
                <w:rFonts w:eastAsia="Arial MT" w:hAnsi="Arial MT" w:cs="Arial MT"/>
                <w:b/>
                <w:spacing w:val="-5"/>
                <w:sz w:val="11"/>
              </w:rPr>
              <w:t>TOTAL</w:t>
            </w:r>
            <w:r w:rsidRPr="006B0349">
              <w:rPr>
                <w:rFonts w:eastAsia="Arial MT" w:hAnsi="Arial MT" w:cs="Arial MT"/>
                <w:b/>
                <w:spacing w:val="1"/>
                <w:sz w:val="11"/>
              </w:rPr>
              <w:t xml:space="preserve"> </w:t>
            </w:r>
            <w:r w:rsidRPr="006B0349">
              <w:rPr>
                <w:rFonts w:eastAsia="Arial MT" w:hAnsi="Arial MT" w:cs="Arial MT"/>
                <w:b/>
                <w:spacing w:val="-2"/>
                <w:sz w:val="11"/>
              </w:rPr>
              <w:t>PRESUPUESTO</w:t>
            </w:r>
          </w:p>
        </w:tc>
        <w:tc>
          <w:tcPr>
            <w:tcW w:w="1025" w:type="dxa"/>
            <w:shd w:val="clear" w:color="auto" w:fill="D5DCE3"/>
          </w:tcPr>
          <w:p w14:paraId="0221B783" w14:textId="77777777" w:rsidR="00D96A90" w:rsidRPr="006B0349" w:rsidRDefault="00D96A90" w:rsidP="00EF5AF2">
            <w:pPr>
              <w:spacing w:before="8" w:line="110" w:lineRule="exact"/>
              <w:ind w:right="16"/>
              <w:jc w:val="right"/>
              <w:rPr>
                <w:rFonts w:eastAsia="Arial MT" w:hAnsi="Arial MT" w:cs="Arial MT"/>
                <w:b/>
                <w:sz w:val="11"/>
              </w:rPr>
            </w:pPr>
            <w:r w:rsidRPr="006B0349">
              <w:rPr>
                <w:rFonts w:eastAsia="Arial MT" w:hAnsi="Arial MT" w:cs="Arial MT"/>
                <w:b/>
                <w:spacing w:val="-2"/>
                <w:sz w:val="11"/>
              </w:rPr>
              <w:t>8.492.290.121,00</w:t>
            </w:r>
          </w:p>
        </w:tc>
        <w:tc>
          <w:tcPr>
            <w:tcW w:w="992" w:type="dxa"/>
            <w:shd w:val="clear" w:color="auto" w:fill="D5DCE3"/>
          </w:tcPr>
          <w:p w14:paraId="6289CBDE" w14:textId="77777777" w:rsidR="00D96A90" w:rsidRPr="006B0349" w:rsidRDefault="00D96A90" w:rsidP="00EF5AF2">
            <w:pPr>
              <w:spacing w:before="8" w:line="110" w:lineRule="exact"/>
              <w:ind w:right="14"/>
              <w:jc w:val="right"/>
              <w:rPr>
                <w:rFonts w:eastAsia="Arial MT" w:hAnsi="Arial MT" w:cs="Arial MT"/>
                <w:b/>
                <w:sz w:val="11"/>
              </w:rPr>
            </w:pPr>
            <w:r w:rsidRPr="006B0349">
              <w:rPr>
                <w:rFonts w:eastAsia="Arial MT" w:hAnsi="Arial MT" w:cs="Arial MT"/>
                <w:b/>
                <w:spacing w:val="-4"/>
                <w:sz w:val="11"/>
              </w:rPr>
              <w:t>0,00</w:t>
            </w:r>
          </w:p>
        </w:tc>
        <w:tc>
          <w:tcPr>
            <w:tcW w:w="1052" w:type="dxa"/>
            <w:shd w:val="clear" w:color="auto" w:fill="D5DCE3"/>
          </w:tcPr>
          <w:p w14:paraId="5B5EF517" w14:textId="77777777" w:rsidR="00D96A90" w:rsidRPr="006B0349" w:rsidRDefault="00D96A90" w:rsidP="00EF5AF2">
            <w:pPr>
              <w:spacing w:before="8" w:line="110" w:lineRule="exact"/>
              <w:ind w:right="16"/>
              <w:jc w:val="right"/>
              <w:rPr>
                <w:rFonts w:eastAsia="Arial MT" w:hAnsi="Arial MT" w:cs="Arial MT"/>
                <w:b/>
                <w:sz w:val="11"/>
              </w:rPr>
            </w:pPr>
            <w:r w:rsidRPr="006B0349">
              <w:rPr>
                <w:rFonts w:eastAsia="Arial MT" w:hAnsi="Arial MT" w:cs="Arial MT"/>
                <w:b/>
                <w:spacing w:val="-2"/>
                <w:sz w:val="11"/>
              </w:rPr>
              <w:t>7.894.846.696,00</w:t>
            </w:r>
          </w:p>
        </w:tc>
        <w:tc>
          <w:tcPr>
            <w:tcW w:w="1039" w:type="dxa"/>
            <w:shd w:val="clear" w:color="auto" w:fill="D5DCE3"/>
          </w:tcPr>
          <w:p w14:paraId="64ED6458" w14:textId="77777777" w:rsidR="00D96A90" w:rsidRPr="006B0349" w:rsidRDefault="00D96A90" w:rsidP="00EF5AF2">
            <w:pPr>
              <w:spacing w:before="8" w:line="110" w:lineRule="exact"/>
              <w:ind w:right="17"/>
              <w:jc w:val="right"/>
              <w:rPr>
                <w:rFonts w:eastAsia="Arial MT" w:hAnsi="Arial MT" w:cs="Arial MT"/>
                <w:b/>
                <w:sz w:val="11"/>
              </w:rPr>
            </w:pPr>
            <w:r w:rsidRPr="006B0349">
              <w:rPr>
                <w:rFonts w:eastAsia="Arial MT" w:hAnsi="Arial MT" w:cs="Arial MT"/>
                <w:b/>
                <w:spacing w:val="-2"/>
                <w:sz w:val="11"/>
              </w:rPr>
              <w:t>597.443.425,00</w:t>
            </w:r>
          </w:p>
        </w:tc>
        <w:tc>
          <w:tcPr>
            <w:tcW w:w="992" w:type="dxa"/>
            <w:shd w:val="clear" w:color="auto" w:fill="D5DCE3"/>
          </w:tcPr>
          <w:p w14:paraId="022F80E1" w14:textId="77777777" w:rsidR="00D96A90" w:rsidRPr="006B0349" w:rsidRDefault="00D96A90" w:rsidP="00EF5AF2">
            <w:pPr>
              <w:spacing w:before="8" w:line="110" w:lineRule="exact"/>
              <w:ind w:right="17"/>
              <w:jc w:val="right"/>
              <w:rPr>
                <w:rFonts w:eastAsia="Arial MT" w:hAnsi="Arial MT" w:cs="Arial MT"/>
                <w:b/>
                <w:sz w:val="11"/>
              </w:rPr>
            </w:pPr>
            <w:r w:rsidRPr="006B0349">
              <w:rPr>
                <w:rFonts w:eastAsia="Arial MT" w:hAnsi="Arial MT" w:cs="Arial MT"/>
                <w:b/>
                <w:spacing w:val="-2"/>
                <w:sz w:val="11"/>
              </w:rPr>
              <w:t>5.586.735.937,00</w:t>
            </w:r>
          </w:p>
        </w:tc>
        <w:tc>
          <w:tcPr>
            <w:tcW w:w="992" w:type="dxa"/>
            <w:shd w:val="clear" w:color="auto" w:fill="D5DCE3"/>
          </w:tcPr>
          <w:p w14:paraId="736FE358" w14:textId="77777777" w:rsidR="00D96A90" w:rsidRPr="006B0349" w:rsidRDefault="00D96A90" w:rsidP="00EF5AF2">
            <w:pPr>
              <w:spacing w:before="8" w:line="110" w:lineRule="exact"/>
              <w:ind w:right="18"/>
              <w:jc w:val="right"/>
              <w:rPr>
                <w:rFonts w:eastAsia="Arial MT" w:hAnsi="Arial MT" w:cs="Arial MT"/>
                <w:b/>
                <w:sz w:val="11"/>
              </w:rPr>
            </w:pPr>
            <w:r w:rsidRPr="006B0349">
              <w:rPr>
                <w:rFonts w:eastAsia="Arial MT" w:hAnsi="Arial MT" w:cs="Arial MT"/>
                <w:b/>
                <w:spacing w:val="-2"/>
                <w:sz w:val="11"/>
              </w:rPr>
              <w:t>2.044.422.517,00</w:t>
            </w:r>
          </w:p>
        </w:tc>
        <w:tc>
          <w:tcPr>
            <w:tcW w:w="959" w:type="dxa"/>
            <w:shd w:val="clear" w:color="auto" w:fill="D5DCE3"/>
          </w:tcPr>
          <w:p w14:paraId="26719C3C" w14:textId="77777777" w:rsidR="00D96A90" w:rsidRPr="006B0349" w:rsidRDefault="00D96A90" w:rsidP="00EF5AF2">
            <w:pPr>
              <w:spacing w:before="8" w:line="110" w:lineRule="exact"/>
              <w:ind w:right="18"/>
              <w:jc w:val="right"/>
              <w:rPr>
                <w:rFonts w:eastAsia="Arial MT" w:hAnsi="Arial MT" w:cs="Arial MT"/>
                <w:b/>
                <w:sz w:val="11"/>
              </w:rPr>
            </w:pPr>
            <w:r w:rsidRPr="006B0349">
              <w:rPr>
                <w:rFonts w:eastAsia="Arial MT" w:hAnsi="Arial MT" w:cs="Arial MT"/>
                <w:b/>
                <w:spacing w:val="-2"/>
                <w:sz w:val="11"/>
              </w:rPr>
              <w:t>2.044.422.517,00</w:t>
            </w:r>
          </w:p>
        </w:tc>
      </w:tr>
    </w:tbl>
    <w:p w14:paraId="56A009B3" w14:textId="77777777" w:rsidR="008E2438" w:rsidRPr="008E2438" w:rsidRDefault="008E2438" w:rsidP="00A03CB3">
      <w:pPr>
        <w:pStyle w:val="Textoindependiente"/>
        <w:ind w:left="720" w:right="-234"/>
        <w:jc w:val="both"/>
        <w:rPr>
          <w:b/>
        </w:rPr>
      </w:pPr>
    </w:p>
    <w:p w14:paraId="172F1E71" w14:textId="26E9138F" w:rsidR="00D96A90" w:rsidRPr="001908C4" w:rsidRDefault="00D96A90" w:rsidP="00CB6055">
      <w:pPr>
        <w:pStyle w:val="Textoindependiente"/>
        <w:numPr>
          <w:ilvl w:val="0"/>
          <w:numId w:val="44"/>
        </w:numPr>
        <w:ind w:right="-234"/>
        <w:jc w:val="both"/>
        <w:rPr>
          <w:b/>
        </w:rPr>
      </w:pPr>
      <w:r w:rsidRPr="001908C4">
        <w:rPr>
          <w:rFonts w:ascii="Arial" w:hAnsi="Arial" w:cs="Arial"/>
          <w:b/>
          <w:sz w:val="24"/>
          <w:szCs w:val="24"/>
        </w:rPr>
        <w:t>AVANCE EJECUCIÒN PROYECTOS DE INVERSION A DICIEMBRE DEL 2024 CON UN 99.51% DESPUES DEL INGRESO DE LOS RECURSOS DE LOS PLANES DE FOMENTO:</w:t>
      </w:r>
    </w:p>
    <w:p w14:paraId="05AF97BE" w14:textId="77777777" w:rsidR="00D96A90" w:rsidRPr="001908C4" w:rsidRDefault="00D96A90" w:rsidP="00D96A90">
      <w:pPr>
        <w:pStyle w:val="Textoindependiente"/>
        <w:ind w:left="720"/>
        <w:jc w:val="both"/>
        <w:rPr>
          <w:b/>
        </w:rPr>
      </w:pPr>
    </w:p>
    <w:tbl>
      <w:tblPr>
        <w:tblStyle w:val="TableNormal"/>
        <w:tblpPr w:leftFromText="141" w:rightFromText="141" w:vertAnchor="text" w:horzAnchor="margin" w:tblpXSpec="center"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025"/>
        <w:gridCol w:w="992"/>
        <w:gridCol w:w="1052"/>
        <w:gridCol w:w="1039"/>
        <w:gridCol w:w="992"/>
        <w:gridCol w:w="992"/>
        <w:gridCol w:w="959"/>
      </w:tblGrid>
      <w:tr w:rsidR="00D96A90" w:rsidRPr="006B0349" w14:paraId="6F0E5AE2" w14:textId="77777777" w:rsidTr="00EF5AF2">
        <w:trPr>
          <w:trHeight w:val="310"/>
        </w:trPr>
        <w:tc>
          <w:tcPr>
            <w:tcW w:w="2350" w:type="dxa"/>
            <w:shd w:val="clear" w:color="auto" w:fill="DDEBF7"/>
          </w:tcPr>
          <w:p w14:paraId="3C5CFA76" w14:textId="77777777" w:rsidR="00D96A90" w:rsidRPr="006B0349" w:rsidRDefault="00D96A90" w:rsidP="00EF5AF2">
            <w:pPr>
              <w:spacing w:before="84"/>
              <w:ind w:left="500"/>
              <w:rPr>
                <w:rFonts w:eastAsia="Arial MT" w:hAnsi="Arial MT" w:cs="Arial MT"/>
                <w:b/>
                <w:sz w:val="12"/>
              </w:rPr>
            </w:pPr>
            <w:r w:rsidRPr="006B0349">
              <w:rPr>
                <w:rFonts w:eastAsia="Arial MT" w:hAnsi="Arial MT" w:cs="Arial MT"/>
                <w:b/>
                <w:w w:val="85"/>
                <w:sz w:val="12"/>
              </w:rPr>
              <w:t>NOMBRE</w:t>
            </w:r>
            <w:r w:rsidRPr="006B0349">
              <w:rPr>
                <w:rFonts w:eastAsia="Arial MT" w:hAnsi="Arial MT" w:cs="Arial MT"/>
                <w:b/>
                <w:spacing w:val="7"/>
                <w:sz w:val="12"/>
              </w:rPr>
              <w:t xml:space="preserve"> </w:t>
            </w:r>
            <w:r w:rsidRPr="006B0349">
              <w:rPr>
                <w:rFonts w:eastAsia="Arial MT" w:hAnsi="Arial MT" w:cs="Arial MT"/>
                <w:b/>
                <w:w w:val="85"/>
                <w:sz w:val="12"/>
              </w:rPr>
              <w:t>DEL</w:t>
            </w:r>
            <w:r w:rsidRPr="006B0349">
              <w:rPr>
                <w:rFonts w:eastAsia="Arial MT" w:hAnsi="Arial MT" w:cs="Arial MT"/>
                <w:b/>
                <w:spacing w:val="7"/>
                <w:sz w:val="12"/>
              </w:rPr>
              <w:t xml:space="preserve"> </w:t>
            </w:r>
            <w:r w:rsidRPr="006B0349">
              <w:rPr>
                <w:rFonts w:eastAsia="Arial MT" w:hAnsi="Arial MT" w:cs="Arial MT"/>
                <w:b/>
                <w:spacing w:val="-2"/>
                <w:w w:val="85"/>
                <w:sz w:val="12"/>
              </w:rPr>
              <w:t>PROYECTO</w:t>
            </w:r>
          </w:p>
        </w:tc>
        <w:tc>
          <w:tcPr>
            <w:tcW w:w="1025" w:type="dxa"/>
            <w:shd w:val="clear" w:color="auto" w:fill="DDEBF7"/>
          </w:tcPr>
          <w:p w14:paraId="560161AC" w14:textId="77777777" w:rsidR="00D96A90" w:rsidRPr="006B0349" w:rsidRDefault="00D96A90" w:rsidP="00EF5AF2">
            <w:pPr>
              <w:spacing w:before="8"/>
              <w:ind w:left="4" w:right="33"/>
              <w:jc w:val="center"/>
              <w:rPr>
                <w:rFonts w:eastAsia="Arial MT" w:cs="Arial MT"/>
                <w:b/>
                <w:sz w:val="12"/>
              </w:rPr>
            </w:pPr>
            <w:r w:rsidRPr="006B0349">
              <w:rPr>
                <w:rFonts w:eastAsia="Arial MT" w:cs="Arial MT"/>
                <w:b/>
                <w:spacing w:val="-2"/>
                <w:sz w:val="12"/>
              </w:rPr>
              <w:t>APROPIACIÓN</w:t>
            </w:r>
          </w:p>
          <w:p w14:paraId="0E0CF767" w14:textId="77777777" w:rsidR="00D96A90" w:rsidRPr="006B0349" w:rsidRDefault="00D96A90" w:rsidP="00EF5AF2">
            <w:pPr>
              <w:spacing w:before="22" w:line="122" w:lineRule="exact"/>
              <w:ind w:left="33" w:right="29"/>
              <w:jc w:val="center"/>
              <w:rPr>
                <w:rFonts w:eastAsia="Arial MT" w:hAnsi="Arial MT" w:cs="Arial MT"/>
                <w:b/>
                <w:sz w:val="12"/>
              </w:rPr>
            </w:pPr>
            <w:r w:rsidRPr="006B0349">
              <w:rPr>
                <w:rFonts w:eastAsia="Arial MT" w:hAnsi="Arial MT" w:cs="Arial MT"/>
                <w:b/>
                <w:spacing w:val="-2"/>
                <w:sz w:val="12"/>
              </w:rPr>
              <w:t>INICIAL</w:t>
            </w:r>
          </w:p>
        </w:tc>
        <w:tc>
          <w:tcPr>
            <w:tcW w:w="992" w:type="dxa"/>
            <w:shd w:val="clear" w:color="auto" w:fill="DDEBF7"/>
          </w:tcPr>
          <w:p w14:paraId="227BDDD2" w14:textId="77777777" w:rsidR="00D96A90" w:rsidRPr="006B0349" w:rsidRDefault="00D96A90" w:rsidP="00EF5AF2">
            <w:pPr>
              <w:spacing w:before="8"/>
              <w:ind w:left="8" w:right="31"/>
              <w:jc w:val="center"/>
              <w:rPr>
                <w:rFonts w:eastAsia="Arial MT" w:cs="Arial MT"/>
                <w:b/>
                <w:sz w:val="12"/>
              </w:rPr>
            </w:pPr>
            <w:r w:rsidRPr="006B0349">
              <w:rPr>
                <w:rFonts w:eastAsia="Arial MT" w:cs="Arial MT"/>
                <w:b/>
                <w:spacing w:val="-2"/>
                <w:sz w:val="12"/>
              </w:rPr>
              <w:t>APROPIACIÓN</w:t>
            </w:r>
          </w:p>
          <w:p w14:paraId="04F98BFF" w14:textId="77777777" w:rsidR="00D96A90" w:rsidRPr="006B0349" w:rsidRDefault="00D96A90" w:rsidP="00EF5AF2">
            <w:pPr>
              <w:spacing w:before="22" w:line="122" w:lineRule="exact"/>
              <w:ind w:left="31" w:right="23"/>
              <w:jc w:val="center"/>
              <w:rPr>
                <w:rFonts w:eastAsia="Arial MT" w:cs="Arial MT"/>
                <w:b/>
                <w:sz w:val="12"/>
              </w:rPr>
            </w:pPr>
            <w:r w:rsidRPr="006B0349">
              <w:rPr>
                <w:rFonts w:eastAsia="Arial MT" w:cs="Arial MT"/>
                <w:b/>
                <w:spacing w:val="-2"/>
                <w:sz w:val="12"/>
              </w:rPr>
              <w:t>ADICIÓN</w:t>
            </w:r>
          </w:p>
        </w:tc>
        <w:tc>
          <w:tcPr>
            <w:tcW w:w="1052" w:type="dxa"/>
            <w:shd w:val="clear" w:color="auto" w:fill="DDEBF7"/>
          </w:tcPr>
          <w:p w14:paraId="747C6CC8" w14:textId="77777777" w:rsidR="00D96A90" w:rsidRPr="006B0349" w:rsidRDefault="00D96A90" w:rsidP="00EF5AF2">
            <w:pPr>
              <w:spacing w:before="84"/>
              <w:ind w:left="5"/>
              <w:jc w:val="center"/>
              <w:rPr>
                <w:rFonts w:eastAsia="Arial MT" w:hAnsi="Arial MT" w:cs="Arial MT"/>
                <w:b/>
                <w:sz w:val="12"/>
              </w:rPr>
            </w:pPr>
            <w:r w:rsidRPr="006B0349">
              <w:rPr>
                <w:rFonts w:eastAsia="Arial MT" w:hAnsi="Arial MT" w:cs="Arial MT"/>
                <w:b/>
                <w:spacing w:val="-5"/>
                <w:sz w:val="12"/>
              </w:rPr>
              <w:t>CDP</w:t>
            </w:r>
          </w:p>
        </w:tc>
        <w:tc>
          <w:tcPr>
            <w:tcW w:w="1039" w:type="dxa"/>
            <w:shd w:val="clear" w:color="auto" w:fill="DDEBF7"/>
          </w:tcPr>
          <w:p w14:paraId="646628DE" w14:textId="77777777" w:rsidR="00D96A90" w:rsidRPr="006B0349" w:rsidRDefault="00D96A90" w:rsidP="00EF5AF2">
            <w:pPr>
              <w:spacing w:before="8"/>
              <w:ind w:left="127"/>
              <w:rPr>
                <w:rFonts w:eastAsia="Arial MT" w:cs="Arial MT"/>
                <w:b/>
                <w:sz w:val="12"/>
              </w:rPr>
            </w:pPr>
            <w:r w:rsidRPr="006B0349">
              <w:rPr>
                <w:rFonts w:eastAsia="Arial MT" w:cs="Arial MT"/>
                <w:b/>
                <w:spacing w:val="-2"/>
                <w:sz w:val="12"/>
              </w:rPr>
              <w:t>APROPIACIÓN</w:t>
            </w:r>
          </w:p>
          <w:p w14:paraId="3E3AC25C" w14:textId="77777777" w:rsidR="00D96A90" w:rsidRPr="006B0349" w:rsidRDefault="00D96A90" w:rsidP="00EF5AF2">
            <w:pPr>
              <w:spacing w:before="22" w:line="122" w:lineRule="exact"/>
              <w:ind w:left="187"/>
              <w:rPr>
                <w:rFonts w:eastAsia="Arial MT" w:hAnsi="Arial MT" w:cs="Arial MT"/>
                <w:b/>
                <w:sz w:val="12"/>
              </w:rPr>
            </w:pPr>
            <w:r w:rsidRPr="006B0349">
              <w:rPr>
                <w:rFonts w:eastAsia="Arial MT" w:hAnsi="Arial MT" w:cs="Arial MT"/>
                <w:b/>
                <w:spacing w:val="-2"/>
                <w:sz w:val="12"/>
              </w:rPr>
              <w:t>DISPONIBLE</w:t>
            </w:r>
          </w:p>
        </w:tc>
        <w:tc>
          <w:tcPr>
            <w:tcW w:w="992" w:type="dxa"/>
            <w:shd w:val="clear" w:color="auto" w:fill="DDEBF7"/>
          </w:tcPr>
          <w:p w14:paraId="6F3F2AF8" w14:textId="77777777" w:rsidR="00D96A90" w:rsidRPr="006B0349" w:rsidRDefault="00D96A90" w:rsidP="00EF5AF2">
            <w:pPr>
              <w:spacing w:before="84"/>
              <w:ind w:left="19"/>
              <w:rPr>
                <w:rFonts w:eastAsia="Arial MT" w:hAnsi="Arial MT" w:cs="Arial MT"/>
                <w:b/>
                <w:sz w:val="12"/>
              </w:rPr>
            </w:pPr>
            <w:r w:rsidRPr="006B0349">
              <w:rPr>
                <w:rFonts w:eastAsia="Arial MT" w:hAnsi="Arial MT" w:cs="Arial MT"/>
                <w:b/>
                <w:spacing w:val="-2"/>
                <w:sz w:val="12"/>
              </w:rPr>
              <w:t>COMPROMISOS</w:t>
            </w:r>
          </w:p>
        </w:tc>
        <w:tc>
          <w:tcPr>
            <w:tcW w:w="992" w:type="dxa"/>
            <w:shd w:val="clear" w:color="auto" w:fill="DDEBF7"/>
          </w:tcPr>
          <w:p w14:paraId="65606D58" w14:textId="77777777" w:rsidR="00D96A90" w:rsidRPr="006B0349" w:rsidRDefault="00D96A90" w:rsidP="00EF5AF2">
            <w:pPr>
              <w:spacing w:before="84"/>
              <w:ind w:right="85"/>
              <w:jc w:val="right"/>
              <w:rPr>
                <w:rFonts w:eastAsia="Arial MT" w:hAnsi="Arial MT" w:cs="Arial MT"/>
                <w:b/>
                <w:sz w:val="12"/>
              </w:rPr>
            </w:pPr>
            <w:r w:rsidRPr="006B0349">
              <w:rPr>
                <w:rFonts w:eastAsia="Arial MT" w:hAnsi="Arial MT" w:cs="Arial MT"/>
                <w:b/>
                <w:spacing w:val="-5"/>
                <w:sz w:val="12"/>
              </w:rPr>
              <w:t>OBLIGACIONES</w:t>
            </w:r>
          </w:p>
        </w:tc>
        <w:tc>
          <w:tcPr>
            <w:tcW w:w="959" w:type="dxa"/>
            <w:shd w:val="clear" w:color="auto" w:fill="DDEBF7"/>
          </w:tcPr>
          <w:p w14:paraId="3F4FAF8C" w14:textId="77777777" w:rsidR="00D96A90" w:rsidRPr="006B0349" w:rsidRDefault="00D96A90" w:rsidP="00EF5AF2">
            <w:pPr>
              <w:spacing w:before="84"/>
              <w:ind w:left="285"/>
              <w:rPr>
                <w:rFonts w:eastAsia="Arial MT" w:hAnsi="Arial MT" w:cs="Arial MT"/>
                <w:b/>
                <w:sz w:val="12"/>
              </w:rPr>
            </w:pPr>
            <w:r w:rsidRPr="006B0349">
              <w:rPr>
                <w:rFonts w:eastAsia="Arial MT" w:hAnsi="Arial MT" w:cs="Arial MT"/>
                <w:b/>
                <w:spacing w:val="-2"/>
                <w:sz w:val="12"/>
              </w:rPr>
              <w:t>PAGOS</w:t>
            </w:r>
          </w:p>
        </w:tc>
      </w:tr>
      <w:tr w:rsidR="00D96A90" w:rsidRPr="006B0349" w14:paraId="566BA6FC" w14:textId="77777777" w:rsidTr="00EF5AF2">
        <w:trPr>
          <w:trHeight w:val="508"/>
        </w:trPr>
        <w:tc>
          <w:tcPr>
            <w:tcW w:w="2350" w:type="dxa"/>
          </w:tcPr>
          <w:p w14:paraId="14C185D1" w14:textId="77777777" w:rsidR="00D96A90" w:rsidRPr="006B0349" w:rsidRDefault="00D96A90" w:rsidP="00EF5AF2">
            <w:pPr>
              <w:spacing w:before="4" w:line="271" w:lineRule="auto"/>
              <w:ind w:left="14"/>
              <w:rPr>
                <w:rFonts w:ascii="Arial MT" w:eastAsia="Arial MT" w:hAnsi="Arial MT" w:cs="Arial MT"/>
                <w:sz w:val="10"/>
              </w:rPr>
            </w:pPr>
            <w:r w:rsidRPr="006B0349">
              <w:rPr>
                <w:rFonts w:ascii="Arial MT" w:eastAsia="Arial MT" w:hAnsi="Arial MT" w:cs="Arial MT"/>
                <w:spacing w:val="-2"/>
                <w:w w:val="90"/>
                <w:sz w:val="10"/>
              </w:rPr>
              <w:t>AMBIENTES</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DE</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APRENDIZAJE</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DOTADOS</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DOTACION</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DE</w:t>
            </w:r>
            <w:r w:rsidRPr="006B0349">
              <w:rPr>
                <w:rFonts w:ascii="Arial MT" w:eastAsia="Arial MT" w:hAnsi="Arial MT" w:cs="Arial MT"/>
                <w:spacing w:val="-3"/>
                <w:sz w:val="10"/>
              </w:rPr>
              <w:t xml:space="preserve"> </w:t>
            </w:r>
            <w:r w:rsidRPr="006B0349">
              <w:rPr>
                <w:rFonts w:ascii="Arial MT" w:eastAsia="Arial MT" w:hAnsi="Arial MT" w:cs="Arial MT"/>
                <w:spacing w:val="-2"/>
                <w:w w:val="90"/>
                <w:sz w:val="10"/>
              </w:rPr>
              <w:t>AMBIENTES</w:t>
            </w:r>
            <w:r w:rsidRPr="006B0349">
              <w:rPr>
                <w:rFonts w:ascii="Arial MT" w:eastAsia="Arial MT" w:hAnsi="Arial MT" w:cs="Arial MT"/>
                <w:spacing w:val="-2"/>
                <w:sz w:val="10"/>
              </w:rPr>
              <w:t xml:space="preserve"> </w:t>
            </w:r>
            <w:r w:rsidRPr="006B0349">
              <w:rPr>
                <w:rFonts w:ascii="Arial MT" w:eastAsia="Arial MT" w:hAnsi="Arial MT" w:cs="Arial MT"/>
                <w:spacing w:val="-2"/>
                <w:w w:val="90"/>
                <w:sz w:val="10"/>
              </w:rPr>
              <w:t>DE</w:t>
            </w:r>
            <w:r w:rsidRPr="006B0349">
              <w:rPr>
                <w:rFonts w:ascii="Arial MT" w:eastAsia="Arial MT" w:hAnsi="Arial MT" w:cs="Arial MT"/>
                <w:spacing w:val="-2"/>
                <w:sz w:val="10"/>
              </w:rPr>
              <w:t xml:space="preserve"> </w:t>
            </w:r>
            <w:r w:rsidRPr="006B0349">
              <w:rPr>
                <w:rFonts w:ascii="Arial MT" w:eastAsia="Arial MT" w:hAnsi="Arial MT" w:cs="Arial MT"/>
                <w:spacing w:val="-2"/>
                <w:w w:val="90"/>
                <w:sz w:val="10"/>
              </w:rPr>
              <w:t>APRENDIZAJES</w:t>
            </w:r>
            <w:r w:rsidRPr="006B0349">
              <w:rPr>
                <w:rFonts w:ascii="Arial MT" w:eastAsia="Arial MT" w:hAnsi="Arial MT" w:cs="Arial MT"/>
                <w:spacing w:val="-2"/>
                <w:sz w:val="10"/>
              </w:rPr>
              <w:t xml:space="preserve"> </w:t>
            </w:r>
            <w:r w:rsidRPr="006B0349">
              <w:rPr>
                <w:rFonts w:ascii="Arial MT" w:eastAsia="Arial MT" w:hAnsi="Arial MT" w:cs="Arial MT"/>
                <w:spacing w:val="-2"/>
                <w:w w:val="90"/>
                <w:sz w:val="10"/>
              </w:rPr>
              <w:t>EN</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EL</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INSTITUTO</w:t>
            </w:r>
            <w:r w:rsidRPr="006B0349">
              <w:rPr>
                <w:rFonts w:ascii="Arial MT" w:eastAsia="Arial MT" w:hAnsi="Arial MT" w:cs="Arial MT"/>
                <w:spacing w:val="40"/>
                <w:sz w:val="10"/>
              </w:rPr>
              <w:t xml:space="preserve"> </w:t>
            </w:r>
            <w:r w:rsidRPr="006B0349">
              <w:rPr>
                <w:rFonts w:ascii="Arial MT" w:eastAsia="Arial MT" w:hAnsi="Arial MT" w:cs="Arial MT"/>
                <w:w w:val="85"/>
                <w:sz w:val="10"/>
              </w:rPr>
              <w:t>TOLIMENSE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DE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FORMACION</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TECNICA</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PROFESIONAL</w:t>
            </w:r>
            <w:r w:rsidRPr="006B0349">
              <w:rPr>
                <w:rFonts w:ascii="Arial MT" w:eastAsia="Arial MT" w:hAnsi="Arial MT" w:cs="Arial MT"/>
                <w:spacing w:val="-2"/>
                <w:w w:val="85"/>
                <w:sz w:val="10"/>
              </w:rPr>
              <w:t xml:space="preserve"> </w:t>
            </w:r>
            <w:r w:rsidRPr="006B0349">
              <w:rPr>
                <w:rFonts w:ascii="Arial MT" w:eastAsia="Arial MT" w:hAnsi="Arial MT" w:cs="Arial MT"/>
                <w:w w:val="85"/>
                <w:sz w:val="10"/>
              </w:rPr>
              <w:t>-</w:t>
            </w:r>
          </w:p>
          <w:p w14:paraId="5F376430" w14:textId="77777777" w:rsidR="00D96A90" w:rsidRPr="006B0349" w:rsidRDefault="00D96A90" w:rsidP="00EF5AF2">
            <w:pPr>
              <w:spacing w:line="94" w:lineRule="exact"/>
              <w:ind w:left="14"/>
              <w:rPr>
                <w:rFonts w:ascii="Arial MT" w:eastAsia="Arial MT" w:hAnsi="Arial MT" w:cs="Arial MT"/>
                <w:sz w:val="10"/>
              </w:rPr>
            </w:pPr>
            <w:r w:rsidRPr="006B0349">
              <w:rPr>
                <w:rFonts w:ascii="Arial MT" w:eastAsia="Arial MT" w:hAnsi="Arial MT" w:cs="Arial MT"/>
                <w:w w:val="90"/>
                <w:sz w:val="10"/>
              </w:rPr>
              <w:t>ITFIP-</w:t>
            </w:r>
            <w:r w:rsidRPr="006B0349">
              <w:rPr>
                <w:rFonts w:ascii="Arial MT" w:eastAsia="Arial MT" w:hAnsi="Arial MT" w:cs="Arial MT"/>
                <w:spacing w:val="-7"/>
                <w:w w:val="90"/>
                <w:sz w:val="10"/>
              </w:rPr>
              <w:t xml:space="preserve"> </w:t>
            </w:r>
            <w:r w:rsidRPr="006B0349">
              <w:rPr>
                <w:rFonts w:ascii="Arial MT" w:eastAsia="Arial MT" w:hAnsi="Arial MT" w:cs="Arial MT"/>
                <w:w w:val="90"/>
                <w:sz w:val="10"/>
              </w:rPr>
              <w:t>EN</w:t>
            </w:r>
            <w:r w:rsidRPr="006B0349">
              <w:rPr>
                <w:rFonts w:ascii="Arial MT" w:eastAsia="Arial MT" w:hAnsi="Arial MT" w:cs="Arial MT"/>
                <w:spacing w:val="4"/>
                <w:sz w:val="10"/>
              </w:rPr>
              <w:t xml:space="preserve"> </w:t>
            </w:r>
            <w:r w:rsidRPr="006B0349">
              <w:rPr>
                <w:rFonts w:ascii="Arial MT" w:eastAsia="Arial MT" w:hAnsi="Arial MT" w:cs="Arial MT"/>
                <w:w w:val="90"/>
                <w:sz w:val="10"/>
              </w:rPr>
              <w:t>EL</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ESPINAL,</w:t>
            </w:r>
            <w:r w:rsidRPr="006B0349">
              <w:rPr>
                <w:rFonts w:ascii="Arial MT" w:eastAsia="Arial MT" w:hAnsi="Arial MT" w:cs="Arial MT"/>
                <w:spacing w:val="26"/>
                <w:sz w:val="10"/>
              </w:rPr>
              <w:t xml:space="preserve"> </w:t>
            </w:r>
            <w:r w:rsidRPr="006B0349">
              <w:rPr>
                <w:rFonts w:ascii="Arial MT" w:eastAsia="Arial MT" w:hAnsi="Arial MT" w:cs="Arial MT"/>
                <w:spacing w:val="-2"/>
                <w:w w:val="90"/>
                <w:sz w:val="10"/>
              </w:rPr>
              <w:t>TOLIMA</w:t>
            </w:r>
          </w:p>
        </w:tc>
        <w:tc>
          <w:tcPr>
            <w:tcW w:w="1025" w:type="dxa"/>
          </w:tcPr>
          <w:p w14:paraId="6B0B674B" w14:textId="77777777" w:rsidR="00D96A90" w:rsidRPr="006B0349" w:rsidRDefault="00D96A90" w:rsidP="00EF5AF2">
            <w:pPr>
              <w:spacing w:before="53"/>
              <w:rPr>
                <w:rFonts w:eastAsia="Arial MT" w:hAnsi="Arial MT" w:cs="Arial MT"/>
                <w:b/>
                <w:sz w:val="12"/>
              </w:rPr>
            </w:pPr>
          </w:p>
          <w:p w14:paraId="2F868AA1" w14:textId="77777777" w:rsidR="00D96A90" w:rsidRPr="006B0349" w:rsidRDefault="00D96A90" w:rsidP="00EF5AF2">
            <w:pPr>
              <w:ind w:right="48"/>
              <w:jc w:val="right"/>
              <w:rPr>
                <w:rFonts w:ascii="Arial MT" w:eastAsia="Arial MT" w:hAnsi="Arial MT" w:cs="Arial MT"/>
                <w:sz w:val="12"/>
              </w:rPr>
            </w:pPr>
            <w:r w:rsidRPr="006B0349">
              <w:rPr>
                <w:rFonts w:ascii="Arial MT" w:eastAsia="Arial MT" w:hAnsi="Arial MT" w:cs="Arial MT"/>
                <w:spacing w:val="-2"/>
                <w:sz w:val="12"/>
              </w:rPr>
              <w:t>350.000.000</w:t>
            </w:r>
          </w:p>
        </w:tc>
        <w:tc>
          <w:tcPr>
            <w:tcW w:w="992" w:type="dxa"/>
          </w:tcPr>
          <w:p w14:paraId="578108FF" w14:textId="77777777" w:rsidR="00D96A90" w:rsidRPr="006B0349" w:rsidRDefault="00D96A90" w:rsidP="00EF5AF2">
            <w:pPr>
              <w:spacing w:before="53"/>
              <w:rPr>
                <w:rFonts w:eastAsia="Arial MT" w:hAnsi="Arial MT" w:cs="Arial MT"/>
                <w:b/>
                <w:sz w:val="12"/>
              </w:rPr>
            </w:pPr>
          </w:p>
          <w:p w14:paraId="0C42F58F" w14:textId="77777777" w:rsidR="00D96A90" w:rsidRPr="006B0349" w:rsidRDefault="00D96A90" w:rsidP="00EF5AF2">
            <w:pPr>
              <w:ind w:right="14"/>
              <w:jc w:val="right"/>
              <w:rPr>
                <w:rFonts w:ascii="Arial MT" w:eastAsia="Arial MT" w:hAnsi="Arial MT" w:cs="Arial MT"/>
                <w:sz w:val="12"/>
              </w:rPr>
            </w:pPr>
            <w:r w:rsidRPr="006B0349">
              <w:rPr>
                <w:rFonts w:ascii="Arial MT" w:eastAsia="Arial MT" w:hAnsi="Arial MT" w:cs="Arial MT"/>
                <w:spacing w:val="-2"/>
                <w:sz w:val="12"/>
              </w:rPr>
              <w:t>$0,00</w:t>
            </w:r>
          </w:p>
        </w:tc>
        <w:tc>
          <w:tcPr>
            <w:tcW w:w="1052" w:type="dxa"/>
          </w:tcPr>
          <w:p w14:paraId="7FD31708" w14:textId="77777777" w:rsidR="00D96A90" w:rsidRPr="006B0349" w:rsidRDefault="00D96A90" w:rsidP="00EF5AF2">
            <w:pPr>
              <w:spacing w:before="53"/>
              <w:rPr>
                <w:rFonts w:eastAsia="Arial MT" w:hAnsi="Arial MT" w:cs="Arial MT"/>
                <w:b/>
                <w:sz w:val="12"/>
              </w:rPr>
            </w:pPr>
          </w:p>
          <w:p w14:paraId="602794ED"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$350.000.000,00</w:t>
            </w:r>
          </w:p>
        </w:tc>
        <w:tc>
          <w:tcPr>
            <w:tcW w:w="1039" w:type="dxa"/>
          </w:tcPr>
          <w:p w14:paraId="69892E39" w14:textId="77777777" w:rsidR="00D96A90" w:rsidRPr="006B0349" w:rsidRDefault="00D96A90" w:rsidP="00EF5AF2">
            <w:pPr>
              <w:spacing w:before="53"/>
              <w:rPr>
                <w:rFonts w:eastAsia="Arial MT" w:hAnsi="Arial MT" w:cs="Arial MT"/>
                <w:b/>
                <w:sz w:val="12"/>
              </w:rPr>
            </w:pPr>
          </w:p>
          <w:p w14:paraId="4EBF30A6" w14:textId="77777777" w:rsidR="00D96A90" w:rsidRPr="006B0349" w:rsidRDefault="00D96A90" w:rsidP="00EF5AF2">
            <w:pPr>
              <w:ind w:right="15"/>
              <w:jc w:val="right"/>
              <w:rPr>
                <w:rFonts w:ascii="Arial MT" w:eastAsia="Arial MT" w:hAnsi="Arial MT" w:cs="Arial MT"/>
                <w:sz w:val="12"/>
              </w:rPr>
            </w:pPr>
            <w:r w:rsidRPr="006B0349">
              <w:rPr>
                <w:rFonts w:ascii="Arial MT" w:eastAsia="Arial MT" w:hAnsi="Arial MT" w:cs="Arial MT"/>
                <w:spacing w:val="-2"/>
                <w:sz w:val="12"/>
              </w:rPr>
              <w:t>$0,00</w:t>
            </w:r>
          </w:p>
        </w:tc>
        <w:tc>
          <w:tcPr>
            <w:tcW w:w="992" w:type="dxa"/>
          </w:tcPr>
          <w:p w14:paraId="17BA3862" w14:textId="77777777" w:rsidR="00D96A90" w:rsidRPr="006B0349" w:rsidRDefault="00D96A90" w:rsidP="00EF5AF2">
            <w:pPr>
              <w:spacing w:before="53"/>
              <w:rPr>
                <w:rFonts w:eastAsia="Arial MT" w:hAnsi="Arial MT" w:cs="Arial MT"/>
                <w:b/>
                <w:sz w:val="12"/>
              </w:rPr>
            </w:pPr>
          </w:p>
          <w:p w14:paraId="5E11C68A"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$0,00</w:t>
            </w:r>
          </w:p>
        </w:tc>
        <w:tc>
          <w:tcPr>
            <w:tcW w:w="992" w:type="dxa"/>
          </w:tcPr>
          <w:p w14:paraId="6AFA8C26" w14:textId="77777777" w:rsidR="00D96A90" w:rsidRPr="006B0349" w:rsidRDefault="00D96A90" w:rsidP="00EF5AF2">
            <w:pPr>
              <w:spacing w:before="53"/>
              <w:rPr>
                <w:rFonts w:eastAsia="Arial MT" w:hAnsi="Arial MT" w:cs="Arial MT"/>
                <w:b/>
                <w:sz w:val="12"/>
              </w:rPr>
            </w:pPr>
          </w:p>
          <w:p w14:paraId="28DF7CDA"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$0,00</w:t>
            </w:r>
          </w:p>
        </w:tc>
        <w:tc>
          <w:tcPr>
            <w:tcW w:w="959" w:type="dxa"/>
          </w:tcPr>
          <w:p w14:paraId="20C5722B" w14:textId="77777777" w:rsidR="00D96A90" w:rsidRPr="006B0349" w:rsidRDefault="00D96A90" w:rsidP="00EF5AF2">
            <w:pPr>
              <w:spacing w:before="53"/>
              <w:rPr>
                <w:rFonts w:eastAsia="Arial MT" w:hAnsi="Arial MT" w:cs="Arial MT"/>
                <w:b/>
                <w:sz w:val="12"/>
              </w:rPr>
            </w:pPr>
          </w:p>
          <w:p w14:paraId="51B98D39" w14:textId="77777777" w:rsidR="00D96A90" w:rsidRPr="006B0349" w:rsidRDefault="00D96A90" w:rsidP="00EF5AF2">
            <w:pPr>
              <w:ind w:right="17"/>
              <w:jc w:val="right"/>
              <w:rPr>
                <w:rFonts w:ascii="Arial MT" w:eastAsia="Arial MT" w:hAnsi="Arial MT" w:cs="Arial MT"/>
                <w:sz w:val="12"/>
              </w:rPr>
            </w:pPr>
            <w:r w:rsidRPr="006B0349">
              <w:rPr>
                <w:rFonts w:ascii="Arial MT" w:eastAsia="Arial MT" w:hAnsi="Arial MT" w:cs="Arial MT"/>
                <w:spacing w:val="-2"/>
                <w:sz w:val="12"/>
              </w:rPr>
              <w:t>$0,00</w:t>
            </w:r>
          </w:p>
        </w:tc>
      </w:tr>
      <w:tr w:rsidR="00D96A90" w:rsidRPr="006B0349" w14:paraId="097FF566" w14:textId="77777777" w:rsidTr="00EF5AF2">
        <w:trPr>
          <w:trHeight w:val="767"/>
        </w:trPr>
        <w:tc>
          <w:tcPr>
            <w:tcW w:w="2350" w:type="dxa"/>
          </w:tcPr>
          <w:p w14:paraId="7AF2053C" w14:textId="77777777" w:rsidR="00D96A90" w:rsidRPr="006B0349" w:rsidRDefault="00D96A90" w:rsidP="00EF5AF2">
            <w:pPr>
              <w:spacing w:before="4" w:line="271" w:lineRule="auto"/>
              <w:ind w:left="14"/>
              <w:rPr>
                <w:rFonts w:ascii="Arial MT" w:eastAsia="Arial MT" w:hAnsi="Arial MT" w:cs="Arial MT"/>
                <w:sz w:val="10"/>
              </w:rPr>
            </w:pPr>
            <w:r w:rsidRPr="006B0349">
              <w:rPr>
                <w:rFonts w:ascii="Arial MT" w:eastAsia="Arial MT" w:hAnsi="Arial MT" w:cs="Arial MT"/>
                <w:w w:val="90"/>
                <w:sz w:val="10"/>
              </w:rPr>
              <w:t>SERVICIOS</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3"/>
                <w:w w:val="90"/>
                <w:sz w:val="10"/>
              </w:rPr>
              <w:t xml:space="preserve"> </w:t>
            </w:r>
            <w:r w:rsidRPr="006B0349">
              <w:rPr>
                <w:rFonts w:ascii="Arial MT" w:eastAsia="Arial MT" w:hAnsi="Arial MT" w:cs="Arial MT"/>
                <w:w w:val="90"/>
                <w:sz w:val="10"/>
              </w:rPr>
              <w:t>APOYO</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A</w:t>
            </w:r>
            <w:r w:rsidRPr="006B0349">
              <w:rPr>
                <w:rFonts w:ascii="Arial MT" w:eastAsia="Arial MT" w:hAnsi="Arial MT" w:cs="Arial MT"/>
                <w:spacing w:val="-3"/>
                <w:w w:val="90"/>
                <w:sz w:val="10"/>
              </w:rPr>
              <w:t xml:space="preserve"> </w:t>
            </w:r>
            <w:r w:rsidRPr="006B0349">
              <w:rPr>
                <w:rFonts w:ascii="Arial MT" w:eastAsia="Arial MT" w:hAnsi="Arial MT" w:cs="Arial MT"/>
                <w:w w:val="90"/>
                <w:sz w:val="10"/>
              </w:rPr>
              <w:t>LA</w:t>
            </w:r>
            <w:r w:rsidRPr="006B0349">
              <w:rPr>
                <w:rFonts w:ascii="Arial MT" w:eastAsia="Arial MT" w:hAnsi="Arial MT" w:cs="Arial MT"/>
                <w:spacing w:val="-3"/>
                <w:w w:val="90"/>
                <w:sz w:val="10"/>
              </w:rPr>
              <w:t xml:space="preserve"> </w:t>
            </w:r>
            <w:r w:rsidRPr="006B0349">
              <w:rPr>
                <w:rFonts w:ascii="Arial MT" w:eastAsia="Arial MT" w:hAnsi="Arial MT" w:cs="Arial MT"/>
                <w:w w:val="90"/>
                <w:sz w:val="10"/>
              </w:rPr>
              <w:t>INVESTIGACIÓN,</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PROYECCIÓN SOCIAL E</w:t>
            </w:r>
            <w:r w:rsidRPr="006B0349">
              <w:rPr>
                <w:rFonts w:ascii="Arial MT" w:eastAsia="Arial MT" w:hAnsi="Arial MT" w:cs="Arial MT"/>
                <w:sz w:val="10"/>
              </w:rPr>
              <w:t xml:space="preserve"> </w:t>
            </w:r>
            <w:r w:rsidRPr="006B0349">
              <w:rPr>
                <w:rFonts w:ascii="Arial MT" w:eastAsia="Arial MT" w:hAnsi="Arial MT" w:cs="Arial MT"/>
                <w:spacing w:val="-2"/>
                <w:w w:val="90"/>
                <w:sz w:val="10"/>
              </w:rPr>
              <w:t>INTERNACIONALIZACIÓN -</w:t>
            </w:r>
            <w:r w:rsidRPr="006B0349">
              <w:rPr>
                <w:rFonts w:ascii="Arial MT" w:eastAsia="Arial MT" w:hAnsi="Arial MT" w:cs="Arial MT"/>
                <w:spacing w:val="40"/>
                <w:sz w:val="10"/>
              </w:rPr>
              <w:t xml:space="preserve"> </w:t>
            </w:r>
            <w:r w:rsidRPr="006B0349">
              <w:rPr>
                <w:rFonts w:ascii="Arial MT" w:eastAsia="Arial MT" w:hAnsi="Arial MT" w:cs="Arial MT"/>
                <w:w w:val="90"/>
                <w:sz w:val="10"/>
              </w:rPr>
              <w:t>FORTALECIMIENTO</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A</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LOS</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PROCESOS</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INVESTIGACION E</w:t>
            </w:r>
            <w:r w:rsidRPr="006B0349">
              <w:rPr>
                <w:rFonts w:ascii="Arial MT" w:eastAsia="Arial MT" w:hAnsi="Arial MT" w:cs="Arial MT"/>
                <w:sz w:val="10"/>
              </w:rPr>
              <w:t xml:space="preserve"> </w:t>
            </w:r>
            <w:r w:rsidRPr="006B0349">
              <w:rPr>
                <w:rFonts w:ascii="Arial MT" w:eastAsia="Arial MT" w:hAnsi="Arial MT" w:cs="Arial MT"/>
                <w:spacing w:val="-2"/>
                <w:w w:val="90"/>
                <w:sz w:val="10"/>
              </w:rPr>
              <w:t>INNOVACION EN EL INSTITUTO</w:t>
            </w:r>
            <w:r w:rsidRPr="006B0349">
              <w:rPr>
                <w:rFonts w:ascii="Arial MT" w:eastAsia="Arial MT" w:hAnsi="Arial MT" w:cs="Arial MT"/>
                <w:spacing w:val="40"/>
                <w:sz w:val="10"/>
              </w:rPr>
              <w:t xml:space="preserve"> </w:t>
            </w:r>
            <w:r w:rsidRPr="006B0349">
              <w:rPr>
                <w:rFonts w:ascii="Arial MT" w:eastAsia="Arial MT" w:hAnsi="Arial MT" w:cs="Arial MT"/>
                <w:w w:val="85"/>
                <w:sz w:val="10"/>
              </w:rPr>
              <w:t>TOLIMENSE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DE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FORMACION</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TECNICA</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PROFESIONAL</w:t>
            </w:r>
          </w:p>
          <w:p w14:paraId="31BFBA05" w14:textId="77777777" w:rsidR="00D96A90" w:rsidRPr="006B0349" w:rsidRDefault="00D96A90" w:rsidP="00EF5AF2">
            <w:pPr>
              <w:spacing w:line="94" w:lineRule="exact"/>
              <w:ind w:left="14"/>
              <w:rPr>
                <w:rFonts w:ascii="Arial MT" w:eastAsia="Arial MT" w:hAnsi="Arial MT" w:cs="Arial MT"/>
                <w:sz w:val="10"/>
              </w:rPr>
            </w:pPr>
            <w:r w:rsidRPr="006B0349">
              <w:rPr>
                <w:rFonts w:ascii="Arial MT" w:eastAsia="Arial MT" w:hAnsi="Arial MT" w:cs="Arial MT"/>
                <w:spacing w:val="-2"/>
                <w:w w:val="85"/>
                <w:sz w:val="10"/>
              </w:rPr>
              <w:t>"ITFIP"</w:t>
            </w:r>
            <w:r w:rsidRPr="006B0349">
              <w:rPr>
                <w:rFonts w:ascii="Arial MT" w:eastAsia="Arial MT" w:hAnsi="Arial MT" w:cs="Arial MT"/>
                <w:spacing w:val="6"/>
                <w:sz w:val="10"/>
              </w:rPr>
              <w:t xml:space="preserve"> </w:t>
            </w:r>
            <w:r w:rsidRPr="006B0349">
              <w:rPr>
                <w:rFonts w:ascii="Arial MT" w:eastAsia="Arial MT" w:hAnsi="Arial MT" w:cs="Arial MT"/>
                <w:spacing w:val="-5"/>
                <w:w w:val="95"/>
                <w:sz w:val="10"/>
              </w:rPr>
              <w:t>EN</w:t>
            </w:r>
          </w:p>
        </w:tc>
        <w:tc>
          <w:tcPr>
            <w:tcW w:w="1025" w:type="dxa"/>
          </w:tcPr>
          <w:p w14:paraId="235028F6" w14:textId="77777777" w:rsidR="00D96A90" w:rsidRPr="006B0349" w:rsidRDefault="00D96A90" w:rsidP="00EF5AF2">
            <w:pPr>
              <w:rPr>
                <w:rFonts w:eastAsia="Arial MT" w:hAnsi="Arial MT" w:cs="Arial MT"/>
                <w:b/>
                <w:sz w:val="12"/>
              </w:rPr>
            </w:pPr>
          </w:p>
          <w:p w14:paraId="5540225C" w14:textId="77777777" w:rsidR="00D96A90" w:rsidRPr="006B0349" w:rsidRDefault="00D96A90" w:rsidP="00EF5AF2">
            <w:pPr>
              <w:spacing w:before="44"/>
              <w:rPr>
                <w:rFonts w:eastAsia="Arial MT" w:hAnsi="Arial MT" w:cs="Arial MT"/>
                <w:b/>
                <w:sz w:val="12"/>
              </w:rPr>
            </w:pPr>
          </w:p>
          <w:p w14:paraId="1872F7B8" w14:textId="77777777" w:rsidR="00D96A90" w:rsidRPr="006B0349" w:rsidRDefault="00D96A90" w:rsidP="00EF5AF2">
            <w:pPr>
              <w:spacing w:before="1"/>
              <w:ind w:right="48"/>
              <w:jc w:val="right"/>
              <w:rPr>
                <w:rFonts w:ascii="Arial MT" w:eastAsia="Arial MT" w:hAnsi="Arial MT" w:cs="Arial MT"/>
                <w:sz w:val="12"/>
              </w:rPr>
            </w:pPr>
            <w:r w:rsidRPr="006B0349">
              <w:rPr>
                <w:rFonts w:ascii="Arial MT" w:eastAsia="Arial MT" w:hAnsi="Arial MT" w:cs="Arial MT"/>
                <w:spacing w:val="-2"/>
                <w:sz w:val="12"/>
              </w:rPr>
              <w:t>500.000.000</w:t>
            </w:r>
          </w:p>
        </w:tc>
        <w:tc>
          <w:tcPr>
            <w:tcW w:w="992" w:type="dxa"/>
          </w:tcPr>
          <w:p w14:paraId="0D960E96" w14:textId="77777777" w:rsidR="00D96A90" w:rsidRPr="006B0349" w:rsidRDefault="00D96A90" w:rsidP="00EF5AF2">
            <w:pPr>
              <w:rPr>
                <w:rFonts w:eastAsia="Arial MT" w:hAnsi="Arial MT" w:cs="Arial MT"/>
                <w:b/>
                <w:sz w:val="12"/>
              </w:rPr>
            </w:pPr>
          </w:p>
          <w:p w14:paraId="50BA4192" w14:textId="77777777" w:rsidR="00D96A90" w:rsidRPr="006B0349" w:rsidRDefault="00D96A90" w:rsidP="00EF5AF2">
            <w:pPr>
              <w:spacing w:before="44"/>
              <w:rPr>
                <w:rFonts w:eastAsia="Arial MT" w:hAnsi="Arial MT" w:cs="Arial MT"/>
                <w:b/>
                <w:sz w:val="12"/>
              </w:rPr>
            </w:pPr>
          </w:p>
          <w:p w14:paraId="147256E8" w14:textId="77777777" w:rsidR="00D96A90" w:rsidRPr="006B0349" w:rsidRDefault="00D96A90" w:rsidP="00EF5AF2">
            <w:pPr>
              <w:spacing w:before="1"/>
              <w:ind w:right="14"/>
              <w:jc w:val="right"/>
              <w:rPr>
                <w:rFonts w:ascii="Arial MT" w:eastAsia="Arial MT" w:hAnsi="Arial MT" w:cs="Arial MT"/>
                <w:sz w:val="12"/>
              </w:rPr>
            </w:pPr>
            <w:r w:rsidRPr="006B0349">
              <w:rPr>
                <w:rFonts w:ascii="Arial MT" w:eastAsia="Arial MT" w:hAnsi="Arial MT" w:cs="Arial MT"/>
                <w:spacing w:val="-2"/>
                <w:sz w:val="12"/>
              </w:rPr>
              <w:t>$0,00</w:t>
            </w:r>
          </w:p>
        </w:tc>
        <w:tc>
          <w:tcPr>
            <w:tcW w:w="1052" w:type="dxa"/>
          </w:tcPr>
          <w:p w14:paraId="017CC618" w14:textId="77777777" w:rsidR="00D96A90" w:rsidRPr="006B0349" w:rsidRDefault="00D96A90" w:rsidP="00EF5AF2">
            <w:pPr>
              <w:rPr>
                <w:rFonts w:eastAsia="Arial MT" w:hAnsi="Arial MT" w:cs="Arial MT"/>
                <w:b/>
                <w:sz w:val="12"/>
              </w:rPr>
            </w:pPr>
          </w:p>
          <w:p w14:paraId="2AC848F5" w14:textId="77777777" w:rsidR="00D96A90" w:rsidRPr="006B0349" w:rsidRDefault="00D96A90" w:rsidP="00EF5AF2">
            <w:pPr>
              <w:spacing w:before="44"/>
              <w:rPr>
                <w:rFonts w:eastAsia="Arial MT" w:hAnsi="Arial MT" w:cs="Arial MT"/>
                <w:b/>
                <w:sz w:val="12"/>
              </w:rPr>
            </w:pPr>
          </w:p>
          <w:p w14:paraId="60A3A85C" w14:textId="77777777" w:rsidR="00D96A90" w:rsidRPr="006B0349" w:rsidRDefault="00D96A90" w:rsidP="00EF5AF2">
            <w:pPr>
              <w:spacing w:before="1"/>
              <w:ind w:right="49"/>
              <w:jc w:val="right"/>
              <w:rPr>
                <w:rFonts w:ascii="Arial MT" w:eastAsia="Arial MT" w:hAnsi="Arial MT" w:cs="Arial MT"/>
                <w:sz w:val="12"/>
              </w:rPr>
            </w:pPr>
            <w:r w:rsidRPr="006B0349">
              <w:rPr>
                <w:rFonts w:ascii="Arial MT" w:eastAsia="Arial MT" w:hAnsi="Arial MT" w:cs="Arial MT"/>
                <w:spacing w:val="-2"/>
                <w:sz w:val="12"/>
              </w:rPr>
              <w:t>457.185.100</w:t>
            </w:r>
          </w:p>
        </w:tc>
        <w:tc>
          <w:tcPr>
            <w:tcW w:w="1039" w:type="dxa"/>
          </w:tcPr>
          <w:p w14:paraId="017EB019" w14:textId="77777777" w:rsidR="00D96A90" w:rsidRPr="006B0349" w:rsidRDefault="00D96A90" w:rsidP="00EF5AF2">
            <w:pPr>
              <w:rPr>
                <w:rFonts w:eastAsia="Arial MT" w:hAnsi="Arial MT" w:cs="Arial MT"/>
                <w:b/>
                <w:sz w:val="12"/>
              </w:rPr>
            </w:pPr>
          </w:p>
          <w:p w14:paraId="743662A1" w14:textId="77777777" w:rsidR="00D96A90" w:rsidRPr="006B0349" w:rsidRDefault="00D96A90" w:rsidP="00EF5AF2">
            <w:pPr>
              <w:spacing w:before="44"/>
              <w:rPr>
                <w:rFonts w:eastAsia="Arial MT" w:hAnsi="Arial MT" w:cs="Arial MT"/>
                <w:b/>
                <w:sz w:val="12"/>
              </w:rPr>
            </w:pPr>
          </w:p>
          <w:p w14:paraId="6572B97E" w14:textId="77777777" w:rsidR="00D96A90" w:rsidRPr="006B0349" w:rsidRDefault="00D96A90" w:rsidP="00EF5AF2">
            <w:pPr>
              <w:spacing w:before="1"/>
              <w:ind w:right="49"/>
              <w:jc w:val="right"/>
              <w:rPr>
                <w:rFonts w:ascii="Arial MT" w:eastAsia="Arial MT" w:hAnsi="Arial MT" w:cs="Arial MT"/>
                <w:sz w:val="12"/>
              </w:rPr>
            </w:pPr>
            <w:r w:rsidRPr="006B0349">
              <w:rPr>
                <w:rFonts w:ascii="Arial MT" w:eastAsia="Arial MT" w:hAnsi="Arial MT" w:cs="Arial MT"/>
                <w:spacing w:val="-2"/>
                <w:sz w:val="12"/>
              </w:rPr>
              <w:t>42.814.900</w:t>
            </w:r>
          </w:p>
        </w:tc>
        <w:tc>
          <w:tcPr>
            <w:tcW w:w="992" w:type="dxa"/>
          </w:tcPr>
          <w:p w14:paraId="7D42F7A7" w14:textId="77777777" w:rsidR="00D96A90" w:rsidRPr="006B0349" w:rsidRDefault="00D96A90" w:rsidP="00EF5AF2">
            <w:pPr>
              <w:rPr>
                <w:rFonts w:eastAsia="Arial MT" w:hAnsi="Arial MT" w:cs="Arial MT"/>
                <w:b/>
                <w:sz w:val="12"/>
              </w:rPr>
            </w:pPr>
          </w:p>
          <w:p w14:paraId="0D23BC8E" w14:textId="77777777" w:rsidR="00D96A90" w:rsidRPr="006B0349" w:rsidRDefault="00D96A90" w:rsidP="00EF5AF2">
            <w:pPr>
              <w:spacing w:before="44"/>
              <w:rPr>
                <w:rFonts w:eastAsia="Arial MT" w:hAnsi="Arial MT" w:cs="Arial MT"/>
                <w:b/>
                <w:sz w:val="12"/>
              </w:rPr>
            </w:pPr>
          </w:p>
          <w:p w14:paraId="2F0542DE" w14:textId="77777777" w:rsidR="00D96A90" w:rsidRPr="006B0349" w:rsidRDefault="00D96A90" w:rsidP="00EF5AF2">
            <w:pPr>
              <w:spacing w:before="1"/>
              <w:ind w:right="17"/>
              <w:jc w:val="right"/>
              <w:rPr>
                <w:rFonts w:ascii="Arial MT" w:eastAsia="Arial MT" w:hAnsi="Arial MT" w:cs="Arial MT"/>
                <w:sz w:val="12"/>
              </w:rPr>
            </w:pPr>
            <w:r w:rsidRPr="006B0349">
              <w:rPr>
                <w:rFonts w:ascii="Arial MT" w:eastAsia="Arial MT" w:hAnsi="Arial MT" w:cs="Arial MT"/>
                <w:spacing w:val="-2"/>
                <w:sz w:val="12"/>
              </w:rPr>
              <w:t>$421.743.725,00</w:t>
            </w:r>
          </w:p>
        </w:tc>
        <w:tc>
          <w:tcPr>
            <w:tcW w:w="992" w:type="dxa"/>
          </w:tcPr>
          <w:p w14:paraId="77E309B9" w14:textId="77777777" w:rsidR="00D96A90" w:rsidRPr="006B0349" w:rsidRDefault="00D96A90" w:rsidP="00EF5AF2">
            <w:pPr>
              <w:rPr>
                <w:rFonts w:eastAsia="Arial MT" w:hAnsi="Arial MT" w:cs="Arial MT"/>
                <w:b/>
                <w:sz w:val="12"/>
              </w:rPr>
            </w:pPr>
          </w:p>
          <w:p w14:paraId="5BF8FE8F" w14:textId="77777777" w:rsidR="00D96A90" w:rsidRPr="006B0349" w:rsidRDefault="00D96A90" w:rsidP="00EF5AF2">
            <w:pPr>
              <w:spacing w:before="44"/>
              <w:rPr>
                <w:rFonts w:eastAsia="Arial MT" w:hAnsi="Arial MT" w:cs="Arial MT"/>
                <w:b/>
                <w:sz w:val="12"/>
              </w:rPr>
            </w:pPr>
          </w:p>
          <w:p w14:paraId="7A4A93A1" w14:textId="77777777" w:rsidR="00D96A90" w:rsidRPr="006B0349" w:rsidRDefault="00D96A90" w:rsidP="00EF5AF2">
            <w:pPr>
              <w:spacing w:before="1"/>
              <w:ind w:right="18"/>
              <w:jc w:val="right"/>
              <w:rPr>
                <w:rFonts w:ascii="Arial MT" w:eastAsia="Arial MT" w:hAnsi="Arial MT" w:cs="Arial MT"/>
                <w:sz w:val="12"/>
              </w:rPr>
            </w:pPr>
            <w:r w:rsidRPr="006B0349">
              <w:rPr>
                <w:rFonts w:ascii="Arial MT" w:eastAsia="Arial MT" w:hAnsi="Arial MT" w:cs="Arial MT"/>
                <w:spacing w:val="-2"/>
                <w:sz w:val="12"/>
              </w:rPr>
              <w:t>$323.375.264,00</w:t>
            </w:r>
          </w:p>
        </w:tc>
        <w:tc>
          <w:tcPr>
            <w:tcW w:w="959" w:type="dxa"/>
          </w:tcPr>
          <w:p w14:paraId="1A0E85F8" w14:textId="77777777" w:rsidR="00D96A90" w:rsidRPr="006B0349" w:rsidRDefault="00D96A90" w:rsidP="00EF5AF2">
            <w:pPr>
              <w:rPr>
                <w:rFonts w:eastAsia="Arial MT" w:hAnsi="Arial MT" w:cs="Arial MT"/>
                <w:b/>
                <w:sz w:val="12"/>
              </w:rPr>
            </w:pPr>
          </w:p>
          <w:p w14:paraId="3A3645F3" w14:textId="77777777" w:rsidR="00D96A90" w:rsidRPr="006B0349" w:rsidRDefault="00D96A90" w:rsidP="00EF5AF2">
            <w:pPr>
              <w:spacing w:before="44"/>
              <w:rPr>
                <w:rFonts w:eastAsia="Arial MT" w:hAnsi="Arial MT" w:cs="Arial MT"/>
                <w:b/>
                <w:sz w:val="12"/>
              </w:rPr>
            </w:pPr>
          </w:p>
          <w:p w14:paraId="4F26405C" w14:textId="77777777" w:rsidR="00D96A90" w:rsidRPr="006B0349" w:rsidRDefault="00D96A90" w:rsidP="00EF5AF2">
            <w:pPr>
              <w:spacing w:before="1"/>
              <w:ind w:right="18"/>
              <w:jc w:val="right"/>
              <w:rPr>
                <w:rFonts w:ascii="Arial MT" w:eastAsia="Arial MT" w:hAnsi="Arial MT" w:cs="Arial MT"/>
                <w:sz w:val="12"/>
              </w:rPr>
            </w:pPr>
            <w:r w:rsidRPr="006B0349">
              <w:rPr>
                <w:rFonts w:ascii="Arial MT" w:eastAsia="Arial MT" w:hAnsi="Arial MT" w:cs="Arial MT"/>
                <w:spacing w:val="-2"/>
                <w:sz w:val="12"/>
              </w:rPr>
              <w:t>$323.375.264,00</w:t>
            </w:r>
          </w:p>
        </w:tc>
      </w:tr>
      <w:tr w:rsidR="00D96A90" w:rsidRPr="006B0349" w14:paraId="4324E52E" w14:textId="77777777" w:rsidTr="00EF5AF2">
        <w:trPr>
          <w:trHeight w:val="897"/>
        </w:trPr>
        <w:tc>
          <w:tcPr>
            <w:tcW w:w="2350" w:type="dxa"/>
          </w:tcPr>
          <w:p w14:paraId="0CF5F3B8" w14:textId="77777777" w:rsidR="00D96A90" w:rsidRPr="006B0349" w:rsidRDefault="00D96A90" w:rsidP="00EF5AF2">
            <w:pPr>
              <w:spacing w:before="65" w:line="271" w:lineRule="auto"/>
              <w:ind w:left="14" w:right="53"/>
              <w:rPr>
                <w:rFonts w:ascii="Arial MT" w:eastAsia="Arial MT" w:hAnsi="Arial MT" w:cs="Arial MT"/>
                <w:sz w:val="10"/>
              </w:rPr>
            </w:pPr>
            <w:r w:rsidRPr="006B0349">
              <w:rPr>
                <w:rFonts w:ascii="Arial MT" w:eastAsia="Arial MT" w:hAnsi="Arial MT" w:cs="Arial MT"/>
                <w:w w:val="85"/>
                <w:sz w:val="10"/>
              </w:rPr>
              <w:t>SEDES</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DE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INSTITUCIONES</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DE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EDUCACIÓN</w:t>
            </w:r>
            <w:r w:rsidRPr="006B0349">
              <w:rPr>
                <w:rFonts w:ascii="Arial MT" w:eastAsia="Arial MT" w:hAnsi="Arial MT" w:cs="Arial MT"/>
                <w:spacing w:val="-2"/>
                <w:w w:val="85"/>
                <w:sz w:val="10"/>
              </w:rPr>
              <w:t xml:space="preserve"> </w:t>
            </w:r>
            <w:r w:rsidRPr="006B0349">
              <w:rPr>
                <w:rFonts w:ascii="Arial MT" w:eastAsia="Arial MT" w:hAnsi="Arial MT" w:cs="Arial MT"/>
                <w:w w:val="85"/>
                <w:sz w:val="10"/>
              </w:rPr>
              <w:t>SUPERIOR</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O TERCIARIA CONSTRUIDAS -</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CONSTRUCCIÓN</w:t>
            </w:r>
            <w:r w:rsidRPr="006B0349">
              <w:rPr>
                <w:rFonts w:ascii="Arial MT" w:eastAsia="Arial MT" w:hAnsi="Arial MT" w:cs="Arial MT"/>
                <w:spacing w:val="20"/>
                <w:sz w:val="10"/>
              </w:rPr>
              <w:t xml:space="preserve"> </w:t>
            </w:r>
            <w:r w:rsidRPr="006B0349">
              <w:rPr>
                <w:rFonts w:ascii="Arial MT" w:eastAsia="Arial MT" w:hAnsi="Arial MT" w:cs="Arial MT"/>
                <w:spacing w:val="-2"/>
                <w:w w:val="90"/>
                <w:sz w:val="10"/>
              </w:rPr>
              <w:t>Y</w:t>
            </w:r>
            <w:r w:rsidRPr="006B0349">
              <w:rPr>
                <w:rFonts w:ascii="Arial MT" w:eastAsia="Arial MT" w:hAnsi="Arial MT" w:cs="Arial MT"/>
                <w:spacing w:val="40"/>
                <w:sz w:val="10"/>
              </w:rPr>
              <w:t xml:space="preserve"> </w:t>
            </w:r>
            <w:r w:rsidRPr="006B0349">
              <w:rPr>
                <w:rFonts w:ascii="Arial MT" w:eastAsia="Arial MT" w:hAnsi="Arial MT" w:cs="Arial MT"/>
                <w:w w:val="90"/>
                <w:sz w:val="10"/>
              </w:rPr>
              <w:t>MEJORAMIENTO</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ESCENARIOS</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ACADÉMICOS</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DEPORTIVOS,</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FORMATIVOS</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Y</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COMPETITIVOS</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EN</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EL</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INSTITUTO</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TOLIMENSE</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DE</w:t>
            </w:r>
            <w:r w:rsidRPr="006B0349">
              <w:rPr>
                <w:rFonts w:ascii="Arial MT" w:eastAsia="Arial MT" w:hAnsi="Arial MT" w:cs="Arial MT"/>
                <w:spacing w:val="-3"/>
                <w:sz w:val="10"/>
              </w:rPr>
              <w:t xml:space="preserve"> </w:t>
            </w:r>
            <w:r w:rsidRPr="006B0349">
              <w:rPr>
                <w:rFonts w:ascii="Arial MT" w:eastAsia="Arial MT" w:hAnsi="Arial MT" w:cs="Arial MT"/>
                <w:spacing w:val="-2"/>
                <w:w w:val="90"/>
                <w:sz w:val="10"/>
              </w:rPr>
              <w:t>FORMACIÓN</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TÉCNICA</w:t>
            </w:r>
            <w:r w:rsidRPr="006B0349">
              <w:rPr>
                <w:rFonts w:ascii="Arial MT" w:eastAsia="Arial MT" w:hAnsi="Arial MT" w:cs="Arial MT"/>
                <w:spacing w:val="40"/>
                <w:sz w:val="10"/>
              </w:rPr>
              <w:t xml:space="preserve"> </w:t>
            </w:r>
            <w:r w:rsidRPr="006B0349">
              <w:rPr>
                <w:rFonts w:ascii="Arial MT" w:eastAsia="Arial MT" w:hAnsi="Arial MT" w:cs="Arial MT"/>
                <w:w w:val="95"/>
                <w:sz w:val="10"/>
              </w:rPr>
              <w:t>PROFESIONAL</w:t>
            </w:r>
            <w:r w:rsidRPr="006B0349">
              <w:rPr>
                <w:rFonts w:ascii="Arial MT" w:eastAsia="Arial MT" w:hAnsi="Arial MT" w:cs="Arial MT"/>
                <w:spacing w:val="-6"/>
                <w:w w:val="95"/>
                <w:sz w:val="10"/>
              </w:rPr>
              <w:t xml:space="preserve"> </w:t>
            </w:r>
            <w:r w:rsidRPr="006B0349">
              <w:rPr>
                <w:rFonts w:ascii="Arial MT" w:eastAsia="Arial MT" w:hAnsi="Arial MT" w:cs="Arial MT"/>
                <w:w w:val="95"/>
                <w:sz w:val="10"/>
              </w:rPr>
              <w:t>"ITFIP"</w:t>
            </w:r>
            <w:r w:rsidRPr="006B0349">
              <w:rPr>
                <w:rFonts w:ascii="Arial MT" w:eastAsia="Arial MT" w:hAnsi="Arial MT" w:cs="Arial MT"/>
                <w:spacing w:val="-6"/>
                <w:w w:val="95"/>
                <w:sz w:val="10"/>
              </w:rPr>
              <w:t xml:space="preserve"> </w:t>
            </w:r>
            <w:r w:rsidRPr="006B0349">
              <w:rPr>
                <w:rFonts w:ascii="Arial MT" w:eastAsia="Arial MT" w:hAnsi="Arial MT" w:cs="Arial MT"/>
                <w:w w:val="95"/>
                <w:sz w:val="10"/>
              </w:rPr>
              <w:t>MU</w:t>
            </w:r>
          </w:p>
        </w:tc>
        <w:tc>
          <w:tcPr>
            <w:tcW w:w="1025" w:type="dxa"/>
          </w:tcPr>
          <w:p w14:paraId="52938D05" w14:textId="77777777" w:rsidR="00D96A90" w:rsidRPr="006B0349" w:rsidRDefault="00D96A90" w:rsidP="00EF5AF2">
            <w:pPr>
              <w:rPr>
                <w:rFonts w:eastAsia="Arial MT" w:hAnsi="Arial MT" w:cs="Arial MT"/>
                <w:b/>
                <w:sz w:val="12"/>
              </w:rPr>
            </w:pPr>
          </w:p>
          <w:p w14:paraId="0195D4FB" w14:textId="77777777" w:rsidR="00D96A90" w:rsidRPr="006B0349" w:rsidRDefault="00D96A90" w:rsidP="00EF5AF2">
            <w:pPr>
              <w:spacing w:before="105"/>
              <w:rPr>
                <w:rFonts w:eastAsia="Arial MT" w:hAnsi="Arial MT" w:cs="Arial MT"/>
                <w:b/>
                <w:sz w:val="12"/>
              </w:rPr>
            </w:pPr>
          </w:p>
          <w:p w14:paraId="6C1864B1" w14:textId="77777777" w:rsidR="00D96A90" w:rsidRPr="006B0349" w:rsidRDefault="00D96A90" w:rsidP="00EF5AF2">
            <w:pPr>
              <w:spacing w:before="1"/>
              <w:ind w:right="49"/>
              <w:jc w:val="right"/>
              <w:rPr>
                <w:rFonts w:ascii="Arial MT" w:eastAsia="Arial MT" w:hAnsi="Arial MT" w:cs="Arial MT"/>
                <w:sz w:val="12"/>
              </w:rPr>
            </w:pPr>
            <w:r w:rsidRPr="006B0349">
              <w:rPr>
                <w:rFonts w:ascii="Arial MT" w:eastAsia="Arial MT" w:hAnsi="Arial MT" w:cs="Arial MT"/>
                <w:spacing w:val="-2"/>
                <w:sz w:val="12"/>
              </w:rPr>
              <w:t>2.000.000.000</w:t>
            </w:r>
          </w:p>
        </w:tc>
        <w:tc>
          <w:tcPr>
            <w:tcW w:w="992" w:type="dxa"/>
          </w:tcPr>
          <w:p w14:paraId="7EDBCD63" w14:textId="77777777" w:rsidR="00D96A90" w:rsidRPr="006B0349" w:rsidRDefault="00D96A90" w:rsidP="00EF5AF2">
            <w:pPr>
              <w:rPr>
                <w:rFonts w:eastAsia="Arial MT" w:hAnsi="Arial MT" w:cs="Arial MT"/>
                <w:b/>
                <w:sz w:val="12"/>
              </w:rPr>
            </w:pPr>
          </w:p>
          <w:p w14:paraId="51635AB5" w14:textId="77777777" w:rsidR="00D96A90" w:rsidRPr="006B0349" w:rsidRDefault="00D96A90" w:rsidP="00EF5AF2">
            <w:pPr>
              <w:spacing w:before="105"/>
              <w:rPr>
                <w:rFonts w:eastAsia="Arial MT" w:hAnsi="Arial MT" w:cs="Arial MT"/>
                <w:b/>
                <w:sz w:val="12"/>
              </w:rPr>
            </w:pPr>
          </w:p>
          <w:p w14:paraId="6B9BA273" w14:textId="77777777" w:rsidR="00D96A90" w:rsidRPr="006B0349" w:rsidRDefault="00D96A90" w:rsidP="00EF5AF2">
            <w:pPr>
              <w:spacing w:before="1"/>
              <w:ind w:right="14"/>
              <w:jc w:val="right"/>
              <w:rPr>
                <w:rFonts w:ascii="Arial MT" w:eastAsia="Arial MT" w:hAnsi="Arial MT" w:cs="Arial MT"/>
                <w:sz w:val="12"/>
              </w:rPr>
            </w:pPr>
            <w:r w:rsidRPr="006B0349">
              <w:rPr>
                <w:rFonts w:ascii="Arial MT" w:eastAsia="Arial MT" w:hAnsi="Arial MT" w:cs="Arial MT"/>
                <w:spacing w:val="-2"/>
                <w:sz w:val="12"/>
              </w:rPr>
              <w:t>$0,00</w:t>
            </w:r>
          </w:p>
        </w:tc>
        <w:tc>
          <w:tcPr>
            <w:tcW w:w="1052" w:type="dxa"/>
          </w:tcPr>
          <w:p w14:paraId="4CB407AB" w14:textId="77777777" w:rsidR="00D96A90" w:rsidRPr="006B0349" w:rsidRDefault="00D96A90" w:rsidP="00EF5AF2">
            <w:pPr>
              <w:rPr>
                <w:rFonts w:eastAsia="Arial MT" w:hAnsi="Arial MT" w:cs="Arial MT"/>
                <w:b/>
                <w:sz w:val="12"/>
              </w:rPr>
            </w:pPr>
          </w:p>
          <w:p w14:paraId="3197088F" w14:textId="77777777" w:rsidR="00D96A90" w:rsidRPr="006B0349" w:rsidRDefault="00D96A90" w:rsidP="00EF5AF2">
            <w:pPr>
              <w:spacing w:before="105"/>
              <w:rPr>
                <w:rFonts w:eastAsia="Arial MT" w:hAnsi="Arial MT" w:cs="Arial MT"/>
                <w:b/>
                <w:sz w:val="12"/>
              </w:rPr>
            </w:pPr>
          </w:p>
          <w:p w14:paraId="0A301CD6" w14:textId="77777777" w:rsidR="00D96A90" w:rsidRPr="006B0349" w:rsidRDefault="00D96A90" w:rsidP="00EF5AF2">
            <w:pPr>
              <w:spacing w:before="1"/>
              <w:ind w:right="49"/>
              <w:jc w:val="right"/>
              <w:rPr>
                <w:rFonts w:ascii="Arial MT" w:eastAsia="Arial MT" w:hAnsi="Arial MT" w:cs="Arial MT"/>
                <w:sz w:val="12"/>
              </w:rPr>
            </w:pPr>
            <w:r w:rsidRPr="006B0349">
              <w:rPr>
                <w:rFonts w:ascii="Arial MT" w:eastAsia="Arial MT" w:hAnsi="Arial MT" w:cs="Arial MT"/>
                <w:spacing w:val="-2"/>
                <w:sz w:val="12"/>
              </w:rPr>
              <w:t>1.999.968.901</w:t>
            </w:r>
          </w:p>
        </w:tc>
        <w:tc>
          <w:tcPr>
            <w:tcW w:w="1039" w:type="dxa"/>
          </w:tcPr>
          <w:p w14:paraId="72CEEAC5" w14:textId="77777777" w:rsidR="00D96A90" w:rsidRPr="006B0349" w:rsidRDefault="00D96A90" w:rsidP="00EF5AF2">
            <w:pPr>
              <w:rPr>
                <w:rFonts w:eastAsia="Arial MT" w:hAnsi="Arial MT" w:cs="Arial MT"/>
                <w:b/>
                <w:sz w:val="12"/>
              </w:rPr>
            </w:pPr>
          </w:p>
          <w:p w14:paraId="07118E24" w14:textId="77777777" w:rsidR="00D96A90" w:rsidRPr="006B0349" w:rsidRDefault="00D96A90" w:rsidP="00EF5AF2">
            <w:pPr>
              <w:spacing w:before="105"/>
              <w:rPr>
                <w:rFonts w:eastAsia="Arial MT" w:hAnsi="Arial MT" w:cs="Arial MT"/>
                <w:b/>
                <w:sz w:val="12"/>
              </w:rPr>
            </w:pPr>
          </w:p>
          <w:p w14:paraId="4786B73F" w14:textId="77777777" w:rsidR="00D96A90" w:rsidRPr="006B0349" w:rsidRDefault="00D96A90" w:rsidP="00EF5AF2">
            <w:pPr>
              <w:spacing w:before="1"/>
              <w:ind w:right="49"/>
              <w:jc w:val="right"/>
              <w:rPr>
                <w:rFonts w:ascii="Arial MT" w:eastAsia="Arial MT" w:hAnsi="Arial MT" w:cs="Arial MT"/>
                <w:sz w:val="12"/>
              </w:rPr>
            </w:pPr>
            <w:r w:rsidRPr="006B0349">
              <w:rPr>
                <w:rFonts w:ascii="Arial MT" w:eastAsia="Arial MT" w:hAnsi="Arial MT" w:cs="Arial MT"/>
                <w:spacing w:val="-2"/>
                <w:sz w:val="12"/>
              </w:rPr>
              <w:t>31.099</w:t>
            </w:r>
          </w:p>
        </w:tc>
        <w:tc>
          <w:tcPr>
            <w:tcW w:w="992" w:type="dxa"/>
          </w:tcPr>
          <w:p w14:paraId="1630C042" w14:textId="77777777" w:rsidR="00D96A90" w:rsidRPr="006B0349" w:rsidRDefault="00D96A90" w:rsidP="00EF5AF2">
            <w:pPr>
              <w:rPr>
                <w:rFonts w:eastAsia="Arial MT" w:hAnsi="Arial MT" w:cs="Arial MT"/>
                <w:b/>
                <w:sz w:val="12"/>
              </w:rPr>
            </w:pPr>
          </w:p>
          <w:p w14:paraId="674C6BAE" w14:textId="77777777" w:rsidR="00D96A90" w:rsidRPr="006B0349" w:rsidRDefault="00D96A90" w:rsidP="00EF5AF2">
            <w:pPr>
              <w:spacing w:before="105"/>
              <w:rPr>
                <w:rFonts w:eastAsia="Arial MT" w:hAnsi="Arial MT" w:cs="Arial MT"/>
                <w:b/>
                <w:sz w:val="12"/>
              </w:rPr>
            </w:pPr>
          </w:p>
          <w:p w14:paraId="79CBEBE4" w14:textId="77777777" w:rsidR="00D96A90" w:rsidRPr="006B0349" w:rsidRDefault="00D96A90" w:rsidP="00EF5AF2">
            <w:pPr>
              <w:spacing w:before="1"/>
              <w:ind w:right="18"/>
              <w:jc w:val="right"/>
              <w:rPr>
                <w:rFonts w:ascii="Arial MT" w:eastAsia="Arial MT" w:hAnsi="Arial MT" w:cs="Arial MT"/>
                <w:sz w:val="12"/>
              </w:rPr>
            </w:pPr>
            <w:r w:rsidRPr="006B0349">
              <w:rPr>
                <w:rFonts w:ascii="Arial MT" w:eastAsia="Arial MT" w:hAnsi="Arial MT" w:cs="Arial MT"/>
                <w:spacing w:val="-4"/>
                <w:sz w:val="12"/>
              </w:rPr>
              <w:t>$1.799.968.901,00</w:t>
            </w:r>
          </w:p>
        </w:tc>
        <w:tc>
          <w:tcPr>
            <w:tcW w:w="992" w:type="dxa"/>
          </w:tcPr>
          <w:p w14:paraId="1F25896F" w14:textId="77777777" w:rsidR="00D96A90" w:rsidRPr="006B0349" w:rsidRDefault="00D96A90" w:rsidP="00EF5AF2">
            <w:pPr>
              <w:rPr>
                <w:rFonts w:eastAsia="Arial MT" w:hAnsi="Arial MT" w:cs="Arial MT"/>
                <w:b/>
                <w:sz w:val="12"/>
              </w:rPr>
            </w:pPr>
          </w:p>
          <w:p w14:paraId="7E1627AF" w14:textId="77777777" w:rsidR="00D96A90" w:rsidRPr="006B0349" w:rsidRDefault="00D96A90" w:rsidP="00EF5AF2">
            <w:pPr>
              <w:spacing w:before="105"/>
              <w:rPr>
                <w:rFonts w:eastAsia="Arial MT" w:hAnsi="Arial MT" w:cs="Arial MT"/>
                <w:b/>
                <w:sz w:val="12"/>
              </w:rPr>
            </w:pPr>
          </w:p>
          <w:p w14:paraId="32FD65E7" w14:textId="77777777" w:rsidR="00D96A90" w:rsidRPr="006B0349" w:rsidRDefault="00D96A90" w:rsidP="00EF5AF2">
            <w:pPr>
              <w:spacing w:before="1"/>
              <w:ind w:right="18"/>
              <w:jc w:val="right"/>
              <w:rPr>
                <w:rFonts w:ascii="Arial MT" w:eastAsia="Arial MT" w:hAnsi="Arial MT" w:cs="Arial MT"/>
                <w:sz w:val="12"/>
              </w:rPr>
            </w:pPr>
            <w:r w:rsidRPr="006B0349">
              <w:rPr>
                <w:rFonts w:ascii="Arial MT" w:eastAsia="Arial MT" w:hAnsi="Arial MT" w:cs="Arial MT"/>
                <w:spacing w:val="-2"/>
                <w:sz w:val="12"/>
              </w:rPr>
              <w:t>$143.216.458,00</w:t>
            </w:r>
          </w:p>
        </w:tc>
        <w:tc>
          <w:tcPr>
            <w:tcW w:w="959" w:type="dxa"/>
          </w:tcPr>
          <w:p w14:paraId="3E3B162D" w14:textId="77777777" w:rsidR="00D96A90" w:rsidRPr="006B0349" w:rsidRDefault="00D96A90" w:rsidP="00EF5AF2">
            <w:pPr>
              <w:rPr>
                <w:rFonts w:eastAsia="Arial MT" w:hAnsi="Arial MT" w:cs="Arial MT"/>
                <w:b/>
                <w:sz w:val="12"/>
              </w:rPr>
            </w:pPr>
          </w:p>
          <w:p w14:paraId="7BCE8C38" w14:textId="77777777" w:rsidR="00D96A90" w:rsidRPr="006B0349" w:rsidRDefault="00D96A90" w:rsidP="00EF5AF2">
            <w:pPr>
              <w:spacing w:before="105"/>
              <w:rPr>
                <w:rFonts w:eastAsia="Arial MT" w:hAnsi="Arial MT" w:cs="Arial MT"/>
                <w:b/>
                <w:sz w:val="12"/>
              </w:rPr>
            </w:pPr>
          </w:p>
          <w:p w14:paraId="3DE6324F" w14:textId="77777777" w:rsidR="00D96A90" w:rsidRPr="006B0349" w:rsidRDefault="00D96A90" w:rsidP="00EF5AF2">
            <w:pPr>
              <w:spacing w:before="1"/>
              <w:ind w:right="18"/>
              <w:jc w:val="right"/>
              <w:rPr>
                <w:rFonts w:ascii="Arial MT" w:eastAsia="Arial MT" w:hAnsi="Arial MT" w:cs="Arial MT"/>
                <w:sz w:val="12"/>
              </w:rPr>
            </w:pPr>
            <w:r w:rsidRPr="006B0349">
              <w:rPr>
                <w:rFonts w:ascii="Arial MT" w:eastAsia="Arial MT" w:hAnsi="Arial MT" w:cs="Arial MT"/>
                <w:spacing w:val="-2"/>
                <w:sz w:val="12"/>
              </w:rPr>
              <w:t>$143.216.458,00</w:t>
            </w:r>
          </w:p>
        </w:tc>
      </w:tr>
      <w:tr w:rsidR="00D96A90" w:rsidRPr="006B0349" w14:paraId="45107A66" w14:textId="77777777" w:rsidTr="00EF5AF2">
        <w:trPr>
          <w:trHeight w:val="798"/>
        </w:trPr>
        <w:tc>
          <w:tcPr>
            <w:tcW w:w="2350" w:type="dxa"/>
          </w:tcPr>
          <w:p w14:paraId="7978DF70" w14:textId="77777777" w:rsidR="00D96A90" w:rsidRPr="006B0349" w:rsidRDefault="00D96A90" w:rsidP="00EF5AF2">
            <w:pPr>
              <w:spacing w:before="19" w:line="271" w:lineRule="auto"/>
              <w:ind w:left="14" w:right="53"/>
              <w:rPr>
                <w:rFonts w:ascii="Arial MT" w:eastAsia="Arial MT" w:hAnsi="Arial MT" w:cs="Arial MT"/>
                <w:sz w:val="10"/>
              </w:rPr>
            </w:pPr>
            <w:r w:rsidRPr="006B0349">
              <w:rPr>
                <w:rFonts w:ascii="Arial MT" w:eastAsia="Arial MT" w:hAnsi="Arial MT" w:cs="Arial MT"/>
                <w:spacing w:val="-2"/>
                <w:w w:val="90"/>
                <w:sz w:val="10"/>
              </w:rPr>
              <w:t>SERVICIO</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DE</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APOYO</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PARA</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LA</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PERMANENCIA</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A</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LA</w:t>
            </w:r>
            <w:r w:rsidRPr="006B0349">
              <w:rPr>
                <w:rFonts w:ascii="Arial MT" w:eastAsia="Arial MT" w:hAnsi="Arial MT" w:cs="Arial MT"/>
                <w:spacing w:val="40"/>
                <w:sz w:val="10"/>
              </w:rPr>
              <w:t xml:space="preserve"> </w:t>
            </w:r>
            <w:r w:rsidRPr="006B0349">
              <w:rPr>
                <w:rFonts w:ascii="Arial MT" w:eastAsia="Arial MT" w:hAnsi="Arial MT" w:cs="Arial MT"/>
                <w:w w:val="90"/>
                <w:sz w:val="10"/>
              </w:rPr>
              <w:t>EDUCACIÓN</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SUPERIOR</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O</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TERCIARIA</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w:t>
            </w:r>
            <w:r w:rsidRPr="006B0349">
              <w:rPr>
                <w:rFonts w:ascii="Arial MT" w:eastAsia="Arial MT" w:hAnsi="Arial MT" w:cs="Arial MT"/>
                <w:spacing w:val="40"/>
                <w:sz w:val="10"/>
              </w:rPr>
              <w:t xml:space="preserve"> </w:t>
            </w:r>
            <w:r w:rsidRPr="006B0349">
              <w:rPr>
                <w:rFonts w:ascii="Arial MT" w:eastAsia="Arial MT" w:hAnsi="Arial MT" w:cs="Arial MT"/>
                <w:w w:val="90"/>
                <w:sz w:val="10"/>
              </w:rPr>
              <w:t>FORTALECIMIENTO</w:t>
            </w:r>
            <w:r w:rsidRPr="006B0349">
              <w:rPr>
                <w:rFonts w:ascii="Arial MT" w:eastAsia="Arial MT" w:hAnsi="Arial MT" w:cs="Arial MT"/>
                <w:spacing w:val="9"/>
                <w:sz w:val="10"/>
              </w:rPr>
              <w:t xml:space="preserve"> </w:t>
            </w:r>
            <w:r w:rsidRPr="006B0349">
              <w:rPr>
                <w:rFonts w:ascii="Arial MT" w:eastAsia="Arial MT" w:hAnsi="Arial MT" w:cs="Arial MT"/>
                <w:w w:val="90"/>
                <w:sz w:val="10"/>
              </w:rPr>
              <w:t>DE</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LOS</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PROGRAMAS</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40"/>
                <w:sz w:val="10"/>
              </w:rPr>
              <w:t xml:space="preserve"> </w:t>
            </w:r>
            <w:r w:rsidRPr="006B0349">
              <w:rPr>
                <w:rFonts w:ascii="Arial MT" w:eastAsia="Arial MT" w:hAnsi="Arial MT" w:cs="Arial MT"/>
                <w:w w:val="85"/>
                <w:sz w:val="10"/>
              </w:rPr>
              <w:t>BIENESTAR</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UNIVERSITARIO</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Y</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GESTIÓN</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ACADÉMICA</w:t>
            </w:r>
            <w:r w:rsidRPr="006B0349">
              <w:rPr>
                <w:rFonts w:ascii="Arial MT" w:eastAsia="Arial MT" w:hAnsi="Arial MT" w:cs="Arial MT"/>
                <w:spacing w:val="40"/>
                <w:sz w:val="10"/>
              </w:rPr>
              <w:t xml:space="preserve"> </w:t>
            </w:r>
            <w:r w:rsidRPr="006B0349">
              <w:rPr>
                <w:rFonts w:ascii="Arial MT" w:eastAsia="Arial MT" w:hAnsi="Arial MT" w:cs="Arial MT"/>
                <w:w w:val="90"/>
                <w:sz w:val="10"/>
              </w:rPr>
              <w:t>EN</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EL</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INSTITUTO</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TOLIMENSE</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FORMACIÓN</w:t>
            </w:r>
          </w:p>
          <w:p w14:paraId="2D20C1B3" w14:textId="77777777" w:rsidR="00D96A90" w:rsidRPr="006B0349" w:rsidRDefault="00D96A90" w:rsidP="00EF5AF2">
            <w:pPr>
              <w:spacing w:line="109" w:lineRule="exact"/>
              <w:ind w:left="14"/>
              <w:rPr>
                <w:rFonts w:ascii="Arial MT" w:eastAsia="Arial MT" w:hAnsi="Arial MT" w:cs="Arial MT"/>
                <w:sz w:val="10"/>
              </w:rPr>
            </w:pPr>
            <w:r w:rsidRPr="006B0349">
              <w:rPr>
                <w:rFonts w:ascii="Arial MT" w:eastAsia="Arial MT" w:hAnsi="Arial MT" w:cs="Arial MT"/>
                <w:w w:val="85"/>
                <w:sz w:val="10"/>
              </w:rPr>
              <w:t>TÉCNICA</w:t>
            </w:r>
            <w:r w:rsidRPr="006B0349">
              <w:rPr>
                <w:rFonts w:ascii="Arial MT" w:eastAsia="Arial MT" w:hAnsi="Arial MT" w:cs="Arial MT"/>
                <w:spacing w:val="-5"/>
                <w:w w:val="85"/>
                <w:sz w:val="10"/>
              </w:rPr>
              <w:t xml:space="preserve"> </w:t>
            </w:r>
            <w:r w:rsidRPr="006B0349">
              <w:rPr>
                <w:rFonts w:ascii="Arial MT" w:eastAsia="Arial MT" w:hAnsi="Arial MT" w:cs="Arial MT"/>
                <w:w w:val="85"/>
                <w:sz w:val="10"/>
              </w:rPr>
              <w:t>PROFESIONAL</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"ITFIP"</w:t>
            </w:r>
            <w:r w:rsidRPr="006B0349">
              <w:rPr>
                <w:rFonts w:ascii="Arial MT" w:eastAsia="Arial MT" w:hAnsi="Arial MT" w:cs="Arial MT"/>
                <w:spacing w:val="16"/>
                <w:sz w:val="10"/>
              </w:rPr>
              <w:t xml:space="preserve"> </w:t>
            </w:r>
            <w:r w:rsidRPr="006B0349">
              <w:rPr>
                <w:rFonts w:ascii="Arial MT" w:eastAsia="Arial MT" w:hAnsi="Arial MT" w:cs="Arial MT"/>
                <w:spacing w:val="-2"/>
                <w:w w:val="85"/>
                <w:sz w:val="10"/>
              </w:rPr>
              <w:t>ESPINAL</w:t>
            </w:r>
          </w:p>
        </w:tc>
        <w:tc>
          <w:tcPr>
            <w:tcW w:w="1025" w:type="dxa"/>
          </w:tcPr>
          <w:p w14:paraId="5CB3CD29" w14:textId="77777777" w:rsidR="00D96A90" w:rsidRPr="006B0349" w:rsidRDefault="00D96A90" w:rsidP="00EF5AF2">
            <w:pPr>
              <w:rPr>
                <w:rFonts w:eastAsia="Arial MT" w:hAnsi="Arial MT" w:cs="Arial MT"/>
                <w:b/>
                <w:sz w:val="12"/>
              </w:rPr>
            </w:pPr>
          </w:p>
          <w:p w14:paraId="78D295A0" w14:textId="77777777" w:rsidR="00D96A90" w:rsidRPr="006B0349" w:rsidRDefault="00D96A90" w:rsidP="00EF5AF2">
            <w:pPr>
              <w:spacing w:before="60"/>
              <w:rPr>
                <w:rFonts w:eastAsia="Arial MT" w:hAnsi="Arial MT" w:cs="Arial MT"/>
                <w:b/>
                <w:sz w:val="12"/>
              </w:rPr>
            </w:pPr>
          </w:p>
          <w:p w14:paraId="41C3255E"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1.250.000.000</w:t>
            </w:r>
          </w:p>
        </w:tc>
        <w:tc>
          <w:tcPr>
            <w:tcW w:w="992" w:type="dxa"/>
          </w:tcPr>
          <w:p w14:paraId="767D65EE" w14:textId="77777777" w:rsidR="00D96A90" w:rsidRPr="006B0349" w:rsidRDefault="00D96A90" w:rsidP="00EF5AF2">
            <w:pPr>
              <w:rPr>
                <w:rFonts w:eastAsia="Arial MT" w:hAnsi="Arial MT" w:cs="Arial MT"/>
                <w:b/>
                <w:sz w:val="12"/>
              </w:rPr>
            </w:pPr>
          </w:p>
          <w:p w14:paraId="43BC530C" w14:textId="77777777" w:rsidR="00D96A90" w:rsidRPr="006B0349" w:rsidRDefault="00D96A90" w:rsidP="00EF5AF2">
            <w:pPr>
              <w:spacing w:before="60"/>
              <w:rPr>
                <w:rFonts w:eastAsia="Arial MT" w:hAnsi="Arial MT" w:cs="Arial MT"/>
                <w:b/>
                <w:sz w:val="12"/>
              </w:rPr>
            </w:pPr>
          </w:p>
          <w:p w14:paraId="2ACAC94E"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$600.000.000,00</w:t>
            </w:r>
          </w:p>
        </w:tc>
        <w:tc>
          <w:tcPr>
            <w:tcW w:w="1052" w:type="dxa"/>
          </w:tcPr>
          <w:p w14:paraId="409975ED" w14:textId="77777777" w:rsidR="00D96A90" w:rsidRPr="006B0349" w:rsidRDefault="00D96A90" w:rsidP="00EF5AF2">
            <w:pPr>
              <w:rPr>
                <w:rFonts w:eastAsia="Arial MT" w:hAnsi="Arial MT" w:cs="Arial MT"/>
                <w:b/>
                <w:sz w:val="12"/>
              </w:rPr>
            </w:pPr>
          </w:p>
          <w:p w14:paraId="5A4DCE9A" w14:textId="77777777" w:rsidR="00D96A90" w:rsidRPr="006B0349" w:rsidRDefault="00D96A90" w:rsidP="00EF5AF2">
            <w:pPr>
              <w:spacing w:before="60"/>
              <w:rPr>
                <w:rFonts w:eastAsia="Arial MT" w:hAnsi="Arial MT" w:cs="Arial MT"/>
                <w:b/>
                <w:sz w:val="12"/>
              </w:rPr>
            </w:pPr>
          </w:p>
          <w:p w14:paraId="75FBCB0D"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1.841.817.707</w:t>
            </w:r>
          </w:p>
        </w:tc>
        <w:tc>
          <w:tcPr>
            <w:tcW w:w="1039" w:type="dxa"/>
          </w:tcPr>
          <w:p w14:paraId="57A99B25" w14:textId="77777777" w:rsidR="00D96A90" w:rsidRPr="006B0349" w:rsidRDefault="00D96A90" w:rsidP="00EF5AF2">
            <w:pPr>
              <w:rPr>
                <w:rFonts w:eastAsia="Arial MT" w:hAnsi="Arial MT" w:cs="Arial MT"/>
                <w:b/>
                <w:sz w:val="12"/>
              </w:rPr>
            </w:pPr>
          </w:p>
          <w:p w14:paraId="20B1CA29" w14:textId="77777777" w:rsidR="00D96A90" w:rsidRPr="006B0349" w:rsidRDefault="00D96A90" w:rsidP="00EF5AF2">
            <w:pPr>
              <w:spacing w:before="60"/>
              <w:rPr>
                <w:rFonts w:eastAsia="Arial MT" w:hAnsi="Arial MT" w:cs="Arial MT"/>
                <w:b/>
                <w:sz w:val="12"/>
              </w:rPr>
            </w:pPr>
          </w:p>
          <w:p w14:paraId="5FA55A10"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8.182.293</w:t>
            </w:r>
          </w:p>
        </w:tc>
        <w:tc>
          <w:tcPr>
            <w:tcW w:w="992" w:type="dxa"/>
          </w:tcPr>
          <w:p w14:paraId="657D097A" w14:textId="77777777" w:rsidR="00D96A90" w:rsidRPr="006B0349" w:rsidRDefault="00D96A90" w:rsidP="00EF5AF2">
            <w:pPr>
              <w:rPr>
                <w:rFonts w:eastAsia="Arial MT" w:hAnsi="Arial MT" w:cs="Arial MT"/>
                <w:b/>
                <w:sz w:val="12"/>
              </w:rPr>
            </w:pPr>
          </w:p>
          <w:p w14:paraId="08E17C38" w14:textId="77777777" w:rsidR="00D96A90" w:rsidRPr="006B0349" w:rsidRDefault="00D96A90" w:rsidP="00EF5AF2">
            <w:pPr>
              <w:spacing w:before="60"/>
              <w:rPr>
                <w:rFonts w:eastAsia="Arial MT" w:hAnsi="Arial MT" w:cs="Arial MT"/>
                <w:b/>
                <w:sz w:val="12"/>
              </w:rPr>
            </w:pPr>
          </w:p>
          <w:p w14:paraId="4D671D3A"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4"/>
                <w:sz w:val="12"/>
              </w:rPr>
              <w:t>$1.241.874.949,00</w:t>
            </w:r>
          </w:p>
        </w:tc>
        <w:tc>
          <w:tcPr>
            <w:tcW w:w="992" w:type="dxa"/>
          </w:tcPr>
          <w:p w14:paraId="07D90C58" w14:textId="77777777" w:rsidR="00D96A90" w:rsidRPr="006B0349" w:rsidRDefault="00D96A90" w:rsidP="00EF5AF2">
            <w:pPr>
              <w:rPr>
                <w:rFonts w:eastAsia="Arial MT" w:hAnsi="Arial MT" w:cs="Arial MT"/>
                <w:b/>
                <w:sz w:val="12"/>
              </w:rPr>
            </w:pPr>
          </w:p>
          <w:p w14:paraId="2CBB5061" w14:textId="77777777" w:rsidR="00D96A90" w:rsidRPr="006B0349" w:rsidRDefault="00D96A90" w:rsidP="00EF5AF2">
            <w:pPr>
              <w:spacing w:before="60"/>
              <w:rPr>
                <w:rFonts w:eastAsia="Arial MT" w:hAnsi="Arial MT" w:cs="Arial MT"/>
                <w:b/>
                <w:sz w:val="12"/>
              </w:rPr>
            </w:pPr>
          </w:p>
          <w:p w14:paraId="29076CDC"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2"/>
                <w:sz w:val="12"/>
              </w:rPr>
              <w:t>$620.239.795,00</w:t>
            </w:r>
          </w:p>
        </w:tc>
        <w:tc>
          <w:tcPr>
            <w:tcW w:w="959" w:type="dxa"/>
          </w:tcPr>
          <w:p w14:paraId="1CE802AD" w14:textId="77777777" w:rsidR="00D96A90" w:rsidRPr="006B0349" w:rsidRDefault="00D96A90" w:rsidP="00EF5AF2">
            <w:pPr>
              <w:rPr>
                <w:rFonts w:eastAsia="Arial MT" w:hAnsi="Arial MT" w:cs="Arial MT"/>
                <w:b/>
                <w:sz w:val="12"/>
              </w:rPr>
            </w:pPr>
          </w:p>
          <w:p w14:paraId="0BBB56A8" w14:textId="77777777" w:rsidR="00D96A90" w:rsidRPr="006B0349" w:rsidRDefault="00D96A90" w:rsidP="00EF5AF2">
            <w:pPr>
              <w:spacing w:before="60"/>
              <w:rPr>
                <w:rFonts w:eastAsia="Arial MT" w:hAnsi="Arial MT" w:cs="Arial MT"/>
                <w:b/>
                <w:sz w:val="12"/>
              </w:rPr>
            </w:pPr>
          </w:p>
          <w:p w14:paraId="2CF81A2A"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2"/>
                <w:sz w:val="12"/>
              </w:rPr>
              <w:t>$620.239.795,00</w:t>
            </w:r>
          </w:p>
        </w:tc>
      </w:tr>
      <w:tr w:rsidR="00D96A90" w:rsidRPr="006B0349" w14:paraId="7845EFAD" w14:textId="77777777" w:rsidTr="00EF5AF2">
        <w:trPr>
          <w:trHeight w:val="767"/>
        </w:trPr>
        <w:tc>
          <w:tcPr>
            <w:tcW w:w="2350" w:type="dxa"/>
          </w:tcPr>
          <w:p w14:paraId="24347D4A" w14:textId="77777777" w:rsidR="00D96A90" w:rsidRPr="006B0349" w:rsidRDefault="00D96A90" w:rsidP="00EF5AF2">
            <w:pPr>
              <w:spacing w:before="4" w:line="271" w:lineRule="auto"/>
              <w:ind w:left="14" w:right="114"/>
              <w:rPr>
                <w:rFonts w:ascii="Arial MT" w:eastAsia="Arial MT" w:hAnsi="Arial MT" w:cs="Arial MT"/>
                <w:sz w:val="10"/>
              </w:rPr>
            </w:pPr>
            <w:r w:rsidRPr="006B0349">
              <w:rPr>
                <w:rFonts w:ascii="Arial MT" w:eastAsia="Arial MT" w:hAnsi="Arial MT" w:cs="Arial MT"/>
                <w:w w:val="90"/>
                <w:sz w:val="10"/>
              </w:rPr>
              <w:t>SERVICIO</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INFORMACIÓN</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IMPLEMENTADO</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w:t>
            </w:r>
            <w:r w:rsidRPr="006B0349">
              <w:rPr>
                <w:rFonts w:ascii="Arial MT" w:eastAsia="Arial MT" w:hAnsi="Arial MT" w:cs="Arial MT"/>
                <w:spacing w:val="40"/>
                <w:sz w:val="10"/>
              </w:rPr>
              <w:t xml:space="preserve"> </w:t>
            </w:r>
            <w:r w:rsidRPr="006B0349">
              <w:rPr>
                <w:rFonts w:ascii="Arial MT" w:eastAsia="Arial MT" w:hAnsi="Arial MT" w:cs="Arial MT"/>
                <w:spacing w:val="-2"/>
                <w:w w:val="95"/>
                <w:sz w:val="10"/>
              </w:rPr>
              <w:t>DOTACIÓN</w:t>
            </w:r>
            <w:r w:rsidRPr="006B0349">
              <w:rPr>
                <w:rFonts w:ascii="Arial MT" w:eastAsia="Arial MT" w:hAnsi="Arial MT" w:cs="Arial MT"/>
                <w:spacing w:val="3"/>
                <w:sz w:val="10"/>
              </w:rPr>
              <w:t xml:space="preserve"> </w:t>
            </w:r>
            <w:r w:rsidRPr="006B0349">
              <w:rPr>
                <w:rFonts w:ascii="Arial MT" w:eastAsia="Arial MT" w:hAnsi="Arial MT" w:cs="Arial MT"/>
                <w:spacing w:val="-2"/>
                <w:w w:val="95"/>
                <w:sz w:val="10"/>
              </w:rPr>
              <w:t>MEJORAMIENTO</w:t>
            </w:r>
            <w:r w:rsidRPr="006B0349">
              <w:rPr>
                <w:rFonts w:ascii="Arial MT" w:eastAsia="Arial MT" w:hAnsi="Arial MT" w:cs="Arial MT"/>
                <w:spacing w:val="-3"/>
                <w:w w:val="95"/>
                <w:sz w:val="10"/>
              </w:rPr>
              <w:t xml:space="preserve"> </w:t>
            </w:r>
            <w:r w:rsidRPr="006B0349">
              <w:rPr>
                <w:rFonts w:ascii="Arial MT" w:eastAsia="Arial MT" w:hAnsi="Arial MT" w:cs="Arial MT"/>
                <w:spacing w:val="-2"/>
                <w:w w:val="95"/>
                <w:sz w:val="10"/>
              </w:rPr>
              <w:t>DE</w:t>
            </w:r>
            <w:r w:rsidRPr="006B0349">
              <w:rPr>
                <w:rFonts w:ascii="Arial MT" w:eastAsia="Arial MT" w:hAnsi="Arial MT" w:cs="Arial MT"/>
                <w:spacing w:val="-4"/>
                <w:w w:val="95"/>
                <w:sz w:val="10"/>
              </w:rPr>
              <w:t xml:space="preserve"> </w:t>
            </w:r>
            <w:r w:rsidRPr="006B0349">
              <w:rPr>
                <w:rFonts w:ascii="Arial MT" w:eastAsia="Arial MT" w:hAnsi="Arial MT" w:cs="Arial MT"/>
                <w:spacing w:val="-2"/>
                <w:w w:val="95"/>
                <w:sz w:val="10"/>
              </w:rPr>
              <w:t>LA</w:t>
            </w:r>
            <w:r w:rsidRPr="006B0349">
              <w:rPr>
                <w:rFonts w:ascii="Arial MT" w:eastAsia="Arial MT" w:hAnsi="Arial MT" w:cs="Arial MT"/>
                <w:spacing w:val="40"/>
                <w:sz w:val="10"/>
              </w:rPr>
              <w:t xml:space="preserve"> </w:t>
            </w:r>
            <w:r w:rsidRPr="006B0349">
              <w:rPr>
                <w:rFonts w:ascii="Arial MT" w:eastAsia="Arial MT" w:hAnsi="Arial MT" w:cs="Arial MT"/>
                <w:w w:val="85"/>
                <w:sz w:val="10"/>
              </w:rPr>
              <w:t>INFRAESTRUCTURA</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TECNOLÓGICA,</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LOS</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RECURSOS</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EDUCATIVOS</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Y</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BIBLIOTECA</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Y</w:t>
            </w:r>
            <w:r w:rsidRPr="006B0349">
              <w:rPr>
                <w:rFonts w:ascii="Arial MT" w:eastAsia="Arial MT" w:hAnsi="Arial MT" w:cs="Arial MT"/>
                <w:spacing w:val="-4"/>
                <w:sz w:val="10"/>
              </w:rPr>
              <w:t xml:space="preserve"> </w:t>
            </w:r>
            <w:r w:rsidRPr="006B0349">
              <w:rPr>
                <w:rFonts w:ascii="Arial MT" w:eastAsia="Arial MT" w:hAnsi="Arial MT" w:cs="Arial MT"/>
                <w:spacing w:val="-2"/>
                <w:w w:val="90"/>
                <w:sz w:val="10"/>
              </w:rPr>
              <w:t>LOS</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LABORATORIOS</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ACADÉMICOS</w:t>
            </w:r>
            <w:r w:rsidRPr="006B0349">
              <w:rPr>
                <w:rFonts w:ascii="Arial MT" w:eastAsia="Arial MT" w:hAnsi="Arial MT" w:cs="Arial MT"/>
                <w:sz w:val="10"/>
              </w:rPr>
              <w:t xml:space="preserve"> </w:t>
            </w:r>
            <w:r w:rsidRPr="006B0349">
              <w:rPr>
                <w:rFonts w:ascii="Arial MT" w:eastAsia="Arial MT" w:hAnsi="Arial MT" w:cs="Arial MT"/>
                <w:spacing w:val="-2"/>
                <w:w w:val="90"/>
                <w:sz w:val="10"/>
              </w:rPr>
              <w:t>DEL INSTITUTO DE</w:t>
            </w:r>
            <w:r w:rsidRPr="006B0349">
              <w:rPr>
                <w:rFonts w:ascii="Arial MT" w:eastAsia="Arial MT" w:hAnsi="Arial MT" w:cs="Arial MT"/>
                <w:sz w:val="10"/>
              </w:rPr>
              <w:t xml:space="preserve"> </w:t>
            </w:r>
            <w:r w:rsidRPr="006B0349">
              <w:rPr>
                <w:rFonts w:ascii="Arial MT" w:eastAsia="Arial MT" w:hAnsi="Arial MT" w:cs="Arial MT"/>
                <w:spacing w:val="-2"/>
                <w:w w:val="90"/>
                <w:sz w:val="10"/>
              </w:rPr>
              <w:t>TOLIMENSE</w:t>
            </w:r>
          </w:p>
          <w:p w14:paraId="0CB73862" w14:textId="77777777" w:rsidR="00D96A90" w:rsidRPr="006B0349" w:rsidRDefault="00D96A90" w:rsidP="00EF5AF2">
            <w:pPr>
              <w:spacing w:line="94" w:lineRule="exact"/>
              <w:ind w:left="14"/>
              <w:rPr>
                <w:rFonts w:ascii="Arial MT" w:eastAsia="Arial MT" w:hAnsi="Arial MT" w:cs="Arial MT"/>
                <w:sz w:val="10"/>
              </w:rPr>
            </w:pPr>
            <w:r w:rsidRPr="006B0349">
              <w:rPr>
                <w:rFonts w:ascii="Arial MT" w:eastAsia="Arial MT" w:hAnsi="Arial MT" w:cs="Arial MT"/>
                <w:spacing w:val="-2"/>
                <w:w w:val="85"/>
                <w:sz w:val="10"/>
              </w:rPr>
              <w:t>FORMACIÓN</w:t>
            </w:r>
            <w:r w:rsidRPr="006B0349">
              <w:rPr>
                <w:rFonts w:ascii="Arial MT" w:eastAsia="Arial MT" w:hAnsi="Arial MT" w:cs="Arial MT"/>
                <w:spacing w:val="5"/>
                <w:sz w:val="10"/>
              </w:rPr>
              <w:t xml:space="preserve"> </w:t>
            </w:r>
            <w:r w:rsidRPr="006B0349">
              <w:rPr>
                <w:rFonts w:ascii="Arial MT" w:eastAsia="Arial MT" w:hAnsi="Arial MT" w:cs="Arial MT"/>
                <w:spacing w:val="-2"/>
                <w:w w:val="85"/>
                <w:sz w:val="10"/>
              </w:rPr>
              <w:t>TÉCNICA</w:t>
            </w:r>
            <w:r w:rsidRPr="006B0349">
              <w:rPr>
                <w:rFonts w:ascii="Arial MT" w:eastAsia="Arial MT" w:hAnsi="Arial MT" w:cs="Arial MT"/>
                <w:spacing w:val="11"/>
                <w:sz w:val="10"/>
              </w:rPr>
              <w:t xml:space="preserve"> </w:t>
            </w:r>
            <w:r w:rsidRPr="006B0349">
              <w:rPr>
                <w:rFonts w:ascii="Arial MT" w:eastAsia="Arial MT" w:hAnsi="Arial MT" w:cs="Arial MT"/>
                <w:spacing w:val="-2"/>
                <w:w w:val="85"/>
                <w:sz w:val="10"/>
              </w:rPr>
              <w:t>PROFESIONAL</w:t>
            </w:r>
            <w:r w:rsidRPr="006B0349">
              <w:rPr>
                <w:rFonts w:ascii="Arial MT" w:eastAsia="Arial MT" w:hAnsi="Arial MT" w:cs="Arial MT"/>
                <w:spacing w:val="7"/>
                <w:sz w:val="10"/>
              </w:rPr>
              <w:t xml:space="preserve"> </w:t>
            </w:r>
            <w:r w:rsidRPr="006B0349">
              <w:rPr>
                <w:rFonts w:ascii="Arial MT" w:eastAsia="Arial MT" w:hAnsi="Arial MT" w:cs="Arial MT"/>
                <w:spacing w:val="-2"/>
                <w:w w:val="85"/>
                <w:sz w:val="10"/>
              </w:rPr>
              <w:t>"ITFIP"</w:t>
            </w:r>
            <w:r w:rsidRPr="006B0349">
              <w:rPr>
                <w:rFonts w:ascii="Arial MT" w:eastAsia="Arial MT" w:hAnsi="Arial MT" w:cs="Arial MT"/>
                <w:spacing w:val="12"/>
                <w:sz w:val="10"/>
              </w:rPr>
              <w:t xml:space="preserve"> </w:t>
            </w:r>
            <w:r w:rsidRPr="006B0349">
              <w:rPr>
                <w:rFonts w:ascii="Arial MT" w:eastAsia="Arial MT" w:hAnsi="Arial MT" w:cs="Arial MT"/>
                <w:spacing w:val="-5"/>
                <w:w w:val="85"/>
                <w:sz w:val="10"/>
              </w:rPr>
              <w:t>DE</w:t>
            </w:r>
          </w:p>
        </w:tc>
        <w:tc>
          <w:tcPr>
            <w:tcW w:w="1025" w:type="dxa"/>
          </w:tcPr>
          <w:p w14:paraId="6BFAB96D" w14:textId="77777777" w:rsidR="00D96A90" w:rsidRPr="006B0349" w:rsidRDefault="00D96A90" w:rsidP="00EF5AF2">
            <w:pPr>
              <w:rPr>
                <w:rFonts w:eastAsia="Arial MT" w:hAnsi="Arial MT" w:cs="Arial MT"/>
                <w:b/>
                <w:sz w:val="12"/>
              </w:rPr>
            </w:pPr>
          </w:p>
          <w:p w14:paraId="0CA882C9" w14:textId="77777777" w:rsidR="00D96A90" w:rsidRPr="006B0349" w:rsidRDefault="00D96A90" w:rsidP="00EF5AF2">
            <w:pPr>
              <w:spacing w:before="45"/>
              <w:rPr>
                <w:rFonts w:eastAsia="Arial MT" w:hAnsi="Arial MT" w:cs="Arial MT"/>
                <w:b/>
                <w:sz w:val="12"/>
              </w:rPr>
            </w:pPr>
          </w:p>
          <w:p w14:paraId="37AE19FC"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1.200.000.000</w:t>
            </w:r>
          </w:p>
        </w:tc>
        <w:tc>
          <w:tcPr>
            <w:tcW w:w="992" w:type="dxa"/>
          </w:tcPr>
          <w:p w14:paraId="2D279E88" w14:textId="77777777" w:rsidR="00D96A90" w:rsidRPr="006B0349" w:rsidRDefault="00D96A90" w:rsidP="00EF5AF2">
            <w:pPr>
              <w:rPr>
                <w:rFonts w:eastAsia="Arial MT" w:hAnsi="Arial MT" w:cs="Arial MT"/>
                <w:b/>
                <w:sz w:val="12"/>
              </w:rPr>
            </w:pPr>
          </w:p>
          <w:p w14:paraId="63F993E8" w14:textId="77777777" w:rsidR="00D96A90" w:rsidRPr="006B0349" w:rsidRDefault="00D96A90" w:rsidP="00EF5AF2">
            <w:pPr>
              <w:spacing w:before="45"/>
              <w:rPr>
                <w:rFonts w:eastAsia="Arial MT" w:hAnsi="Arial MT" w:cs="Arial MT"/>
                <w:b/>
                <w:sz w:val="12"/>
              </w:rPr>
            </w:pPr>
          </w:p>
          <w:p w14:paraId="78AC1693"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$839.617.913,00</w:t>
            </w:r>
          </w:p>
        </w:tc>
        <w:tc>
          <w:tcPr>
            <w:tcW w:w="1052" w:type="dxa"/>
          </w:tcPr>
          <w:p w14:paraId="7CEB09CC" w14:textId="77777777" w:rsidR="00D96A90" w:rsidRPr="006B0349" w:rsidRDefault="00D96A90" w:rsidP="00EF5AF2">
            <w:pPr>
              <w:rPr>
                <w:rFonts w:eastAsia="Arial MT" w:hAnsi="Arial MT" w:cs="Arial MT"/>
                <w:b/>
                <w:sz w:val="12"/>
              </w:rPr>
            </w:pPr>
          </w:p>
          <w:p w14:paraId="5FE3D5D0" w14:textId="77777777" w:rsidR="00D96A90" w:rsidRPr="006B0349" w:rsidRDefault="00D96A90" w:rsidP="00EF5AF2">
            <w:pPr>
              <w:spacing w:before="45"/>
              <w:rPr>
                <w:rFonts w:eastAsia="Arial MT" w:hAnsi="Arial MT" w:cs="Arial MT"/>
                <w:b/>
                <w:sz w:val="12"/>
              </w:rPr>
            </w:pPr>
          </w:p>
          <w:p w14:paraId="428E6C65"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2.039.611.782</w:t>
            </w:r>
          </w:p>
        </w:tc>
        <w:tc>
          <w:tcPr>
            <w:tcW w:w="1039" w:type="dxa"/>
          </w:tcPr>
          <w:p w14:paraId="6CE144BE" w14:textId="77777777" w:rsidR="00D96A90" w:rsidRPr="006B0349" w:rsidRDefault="00D96A90" w:rsidP="00EF5AF2">
            <w:pPr>
              <w:rPr>
                <w:rFonts w:eastAsia="Arial MT" w:hAnsi="Arial MT" w:cs="Arial MT"/>
                <w:b/>
                <w:sz w:val="12"/>
              </w:rPr>
            </w:pPr>
          </w:p>
          <w:p w14:paraId="19171600" w14:textId="77777777" w:rsidR="00D96A90" w:rsidRPr="006B0349" w:rsidRDefault="00D96A90" w:rsidP="00EF5AF2">
            <w:pPr>
              <w:spacing w:before="45"/>
              <w:rPr>
                <w:rFonts w:eastAsia="Arial MT" w:hAnsi="Arial MT" w:cs="Arial MT"/>
                <w:b/>
                <w:sz w:val="12"/>
              </w:rPr>
            </w:pPr>
          </w:p>
          <w:p w14:paraId="25B3C3E9"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$6.131,00</w:t>
            </w:r>
          </w:p>
        </w:tc>
        <w:tc>
          <w:tcPr>
            <w:tcW w:w="992" w:type="dxa"/>
          </w:tcPr>
          <w:p w14:paraId="7C6F872D" w14:textId="77777777" w:rsidR="00D96A90" w:rsidRPr="006B0349" w:rsidRDefault="00D96A90" w:rsidP="00EF5AF2">
            <w:pPr>
              <w:rPr>
                <w:rFonts w:eastAsia="Arial MT" w:hAnsi="Arial MT" w:cs="Arial MT"/>
                <w:b/>
                <w:sz w:val="12"/>
              </w:rPr>
            </w:pPr>
          </w:p>
          <w:p w14:paraId="5DA1B8C4" w14:textId="77777777" w:rsidR="00D96A90" w:rsidRPr="006B0349" w:rsidRDefault="00D96A90" w:rsidP="00EF5AF2">
            <w:pPr>
              <w:spacing w:before="45"/>
              <w:rPr>
                <w:rFonts w:eastAsia="Arial MT" w:hAnsi="Arial MT" w:cs="Arial MT"/>
                <w:b/>
                <w:sz w:val="12"/>
              </w:rPr>
            </w:pPr>
          </w:p>
          <w:p w14:paraId="203A14F1"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4"/>
                <w:sz w:val="12"/>
              </w:rPr>
              <w:t>$1.195.699.710,00</w:t>
            </w:r>
          </w:p>
        </w:tc>
        <w:tc>
          <w:tcPr>
            <w:tcW w:w="992" w:type="dxa"/>
          </w:tcPr>
          <w:p w14:paraId="6F421DF1" w14:textId="77777777" w:rsidR="00D96A90" w:rsidRPr="006B0349" w:rsidRDefault="00D96A90" w:rsidP="00EF5AF2">
            <w:pPr>
              <w:rPr>
                <w:rFonts w:eastAsia="Arial MT" w:hAnsi="Arial MT" w:cs="Arial MT"/>
                <w:b/>
                <w:sz w:val="12"/>
              </w:rPr>
            </w:pPr>
          </w:p>
          <w:p w14:paraId="56838FD3" w14:textId="77777777" w:rsidR="00D96A90" w:rsidRPr="006B0349" w:rsidRDefault="00D96A90" w:rsidP="00EF5AF2">
            <w:pPr>
              <w:spacing w:before="45"/>
              <w:rPr>
                <w:rFonts w:eastAsia="Arial MT" w:hAnsi="Arial MT" w:cs="Arial MT"/>
                <w:b/>
                <w:sz w:val="12"/>
              </w:rPr>
            </w:pPr>
          </w:p>
          <w:p w14:paraId="10317370"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2"/>
                <w:sz w:val="12"/>
              </w:rPr>
              <w:t>$607.591.000,00</w:t>
            </w:r>
          </w:p>
        </w:tc>
        <w:tc>
          <w:tcPr>
            <w:tcW w:w="959" w:type="dxa"/>
          </w:tcPr>
          <w:p w14:paraId="542644BC" w14:textId="77777777" w:rsidR="00D96A90" w:rsidRPr="006B0349" w:rsidRDefault="00D96A90" w:rsidP="00EF5AF2">
            <w:pPr>
              <w:rPr>
                <w:rFonts w:eastAsia="Arial MT" w:hAnsi="Arial MT" w:cs="Arial MT"/>
                <w:b/>
                <w:sz w:val="12"/>
              </w:rPr>
            </w:pPr>
          </w:p>
          <w:p w14:paraId="5B27D136" w14:textId="77777777" w:rsidR="00D96A90" w:rsidRPr="006B0349" w:rsidRDefault="00D96A90" w:rsidP="00EF5AF2">
            <w:pPr>
              <w:spacing w:before="45"/>
              <w:rPr>
                <w:rFonts w:eastAsia="Arial MT" w:hAnsi="Arial MT" w:cs="Arial MT"/>
                <w:b/>
                <w:sz w:val="12"/>
              </w:rPr>
            </w:pPr>
          </w:p>
          <w:p w14:paraId="2191FA8E"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2"/>
                <w:sz w:val="12"/>
              </w:rPr>
              <w:t>$607.591.000,00</w:t>
            </w:r>
          </w:p>
        </w:tc>
      </w:tr>
      <w:tr w:rsidR="00D96A90" w:rsidRPr="006B0349" w14:paraId="38FEFEDE" w14:textId="77777777" w:rsidTr="00EF5AF2">
        <w:trPr>
          <w:trHeight w:val="767"/>
        </w:trPr>
        <w:tc>
          <w:tcPr>
            <w:tcW w:w="2350" w:type="dxa"/>
          </w:tcPr>
          <w:p w14:paraId="2E08B4BD" w14:textId="77777777" w:rsidR="00D96A90" w:rsidRPr="006B0349" w:rsidRDefault="00D96A90" w:rsidP="00EF5AF2">
            <w:pPr>
              <w:spacing w:before="4" w:line="271" w:lineRule="auto"/>
              <w:ind w:left="14" w:right="53"/>
              <w:rPr>
                <w:rFonts w:ascii="Arial MT" w:eastAsia="Arial MT" w:hAnsi="Arial MT" w:cs="Arial MT"/>
                <w:sz w:val="10"/>
              </w:rPr>
            </w:pPr>
            <w:r w:rsidRPr="006B0349">
              <w:rPr>
                <w:rFonts w:ascii="Arial MT" w:eastAsia="Arial MT" w:hAnsi="Arial MT" w:cs="Arial MT"/>
                <w:w w:val="85"/>
                <w:sz w:val="10"/>
              </w:rPr>
              <w:t>SEDES</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DE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INSTITUCIONES</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DE</w:t>
            </w:r>
            <w:r w:rsidRPr="006B0349">
              <w:rPr>
                <w:rFonts w:ascii="Arial MT" w:eastAsia="Arial MT" w:hAnsi="Arial MT" w:cs="Arial MT"/>
                <w:spacing w:val="-3"/>
                <w:w w:val="85"/>
                <w:sz w:val="10"/>
              </w:rPr>
              <w:t xml:space="preserve"> </w:t>
            </w:r>
            <w:r w:rsidRPr="006B0349">
              <w:rPr>
                <w:rFonts w:ascii="Arial MT" w:eastAsia="Arial MT" w:hAnsi="Arial MT" w:cs="Arial MT"/>
                <w:w w:val="85"/>
                <w:sz w:val="10"/>
              </w:rPr>
              <w:t>EDUCACIÓN</w:t>
            </w:r>
            <w:r w:rsidRPr="006B0349">
              <w:rPr>
                <w:rFonts w:ascii="Arial MT" w:eastAsia="Arial MT" w:hAnsi="Arial MT" w:cs="Arial MT"/>
                <w:spacing w:val="-2"/>
                <w:w w:val="85"/>
                <w:sz w:val="10"/>
              </w:rPr>
              <w:t xml:space="preserve"> </w:t>
            </w:r>
            <w:r w:rsidRPr="006B0349">
              <w:rPr>
                <w:rFonts w:ascii="Arial MT" w:eastAsia="Arial MT" w:hAnsi="Arial MT" w:cs="Arial MT"/>
                <w:w w:val="85"/>
                <w:sz w:val="10"/>
              </w:rPr>
              <w:t>SUPERIOR</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O TERCIARIA</w:t>
            </w:r>
            <w:r w:rsidRPr="006B0349">
              <w:rPr>
                <w:rFonts w:ascii="Arial MT" w:eastAsia="Arial MT" w:hAnsi="Arial MT" w:cs="Arial MT"/>
                <w:spacing w:val="-2"/>
                <w:sz w:val="10"/>
              </w:rPr>
              <w:t xml:space="preserve"> </w:t>
            </w:r>
            <w:r w:rsidRPr="006B0349">
              <w:rPr>
                <w:rFonts w:ascii="Arial MT" w:eastAsia="Arial MT" w:hAnsi="Arial MT" w:cs="Arial MT"/>
                <w:spacing w:val="-2"/>
                <w:w w:val="90"/>
                <w:sz w:val="10"/>
              </w:rPr>
              <w:t>CONSTRUIDAS</w:t>
            </w:r>
            <w:r w:rsidRPr="006B0349">
              <w:rPr>
                <w:rFonts w:ascii="Arial MT" w:eastAsia="Arial MT" w:hAnsi="Arial MT" w:cs="Arial MT"/>
                <w:spacing w:val="-2"/>
                <w:sz w:val="10"/>
              </w:rPr>
              <w:t xml:space="preserve"> </w:t>
            </w:r>
            <w:r w:rsidRPr="006B0349">
              <w:rPr>
                <w:rFonts w:ascii="Arial MT" w:eastAsia="Arial MT" w:hAnsi="Arial MT" w:cs="Arial MT"/>
                <w:spacing w:val="-2"/>
                <w:w w:val="90"/>
                <w:sz w:val="10"/>
              </w:rPr>
              <w:t>-</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CONSTRUCCIÓN</w:t>
            </w:r>
            <w:r w:rsidRPr="006B0349">
              <w:rPr>
                <w:rFonts w:ascii="Arial MT" w:eastAsia="Arial MT" w:hAnsi="Arial MT" w:cs="Arial MT"/>
                <w:spacing w:val="40"/>
                <w:sz w:val="10"/>
              </w:rPr>
              <w:t xml:space="preserve"> </w:t>
            </w:r>
            <w:r w:rsidRPr="006B0349">
              <w:rPr>
                <w:rFonts w:ascii="Arial MT" w:eastAsia="Arial MT" w:hAnsi="Arial MT" w:cs="Arial MT"/>
                <w:w w:val="90"/>
                <w:sz w:val="10"/>
              </w:rPr>
              <w:t>REMODELACIÓN</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Y</w:t>
            </w:r>
            <w:r w:rsidRPr="006B0349">
              <w:rPr>
                <w:rFonts w:ascii="Arial MT" w:eastAsia="Arial MT" w:hAnsi="Arial MT" w:cs="Arial MT"/>
                <w:spacing w:val="-1"/>
                <w:w w:val="90"/>
                <w:sz w:val="10"/>
              </w:rPr>
              <w:t xml:space="preserve"> </w:t>
            </w:r>
            <w:r w:rsidRPr="006B0349">
              <w:rPr>
                <w:rFonts w:ascii="Arial MT" w:eastAsia="Arial MT" w:hAnsi="Arial MT" w:cs="Arial MT"/>
                <w:w w:val="90"/>
                <w:sz w:val="10"/>
              </w:rPr>
              <w:t>ADECUACIÓN</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DE</w:t>
            </w:r>
            <w:r w:rsidRPr="006B0349">
              <w:rPr>
                <w:rFonts w:ascii="Arial MT" w:eastAsia="Arial MT" w:hAnsi="Arial MT" w:cs="Arial MT"/>
                <w:spacing w:val="-1"/>
                <w:w w:val="90"/>
                <w:sz w:val="10"/>
              </w:rPr>
              <w:t xml:space="preserve"> </w:t>
            </w:r>
            <w:r w:rsidRPr="006B0349">
              <w:rPr>
                <w:rFonts w:ascii="Arial MT" w:eastAsia="Arial MT" w:hAnsi="Arial MT" w:cs="Arial MT"/>
                <w:w w:val="90"/>
                <w:sz w:val="10"/>
              </w:rPr>
              <w:t>LA</w:t>
            </w:r>
            <w:r w:rsidRPr="006B0349">
              <w:rPr>
                <w:rFonts w:ascii="Arial MT" w:eastAsia="Arial MT" w:hAnsi="Arial MT" w:cs="Arial MT"/>
                <w:spacing w:val="40"/>
                <w:sz w:val="10"/>
              </w:rPr>
              <w:t xml:space="preserve"> </w:t>
            </w:r>
            <w:r w:rsidRPr="006B0349">
              <w:rPr>
                <w:rFonts w:ascii="Arial MT" w:eastAsia="Arial MT" w:hAnsi="Arial MT" w:cs="Arial MT"/>
                <w:w w:val="90"/>
                <w:sz w:val="10"/>
              </w:rPr>
              <w:t>INFRAESTRUCTURA</w:t>
            </w:r>
            <w:r w:rsidRPr="006B0349">
              <w:rPr>
                <w:rFonts w:ascii="Arial MT" w:eastAsia="Arial MT" w:hAnsi="Arial MT" w:cs="Arial MT"/>
                <w:spacing w:val="-5"/>
                <w:w w:val="90"/>
                <w:sz w:val="10"/>
              </w:rPr>
              <w:t xml:space="preserve"> </w:t>
            </w:r>
            <w:r w:rsidRPr="006B0349">
              <w:rPr>
                <w:rFonts w:ascii="Arial MT" w:eastAsia="Arial MT" w:hAnsi="Arial MT" w:cs="Arial MT"/>
                <w:w w:val="90"/>
                <w:sz w:val="10"/>
              </w:rPr>
              <w:t>FÍSICA</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DEL</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CAMPUS</w:t>
            </w:r>
            <w:r w:rsidRPr="006B0349">
              <w:rPr>
                <w:rFonts w:ascii="Arial MT" w:eastAsia="Arial MT" w:hAnsi="Arial MT" w:cs="Arial MT"/>
                <w:spacing w:val="-4"/>
                <w:w w:val="90"/>
                <w:sz w:val="10"/>
              </w:rPr>
              <w:t xml:space="preserve"> </w:t>
            </w:r>
            <w:r w:rsidRPr="006B0349">
              <w:rPr>
                <w:rFonts w:ascii="Arial MT" w:eastAsia="Arial MT" w:hAnsi="Arial MT" w:cs="Arial MT"/>
                <w:w w:val="90"/>
                <w:sz w:val="10"/>
              </w:rPr>
              <w:t>DEL</w:t>
            </w:r>
            <w:r w:rsidRPr="006B0349">
              <w:rPr>
                <w:rFonts w:ascii="Arial MT" w:eastAsia="Arial MT" w:hAnsi="Arial MT" w:cs="Arial MT"/>
                <w:spacing w:val="40"/>
                <w:sz w:val="10"/>
              </w:rPr>
              <w:t xml:space="preserve"> </w:t>
            </w:r>
            <w:r w:rsidRPr="006B0349">
              <w:rPr>
                <w:rFonts w:ascii="Arial MT" w:eastAsia="Arial MT" w:hAnsi="Arial MT" w:cs="Arial MT"/>
                <w:spacing w:val="-2"/>
                <w:w w:val="90"/>
                <w:sz w:val="10"/>
              </w:rPr>
              <w:t>INSTITUTO</w:t>
            </w:r>
            <w:r w:rsidRPr="006B0349">
              <w:rPr>
                <w:rFonts w:ascii="Arial MT" w:eastAsia="Arial MT" w:hAnsi="Arial MT" w:cs="Arial MT"/>
                <w:spacing w:val="-3"/>
                <w:w w:val="90"/>
                <w:sz w:val="10"/>
              </w:rPr>
              <w:t xml:space="preserve"> </w:t>
            </w:r>
            <w:r w:rsidRPr="006B0349">
              <w:rPr>
                <w:rFonts w:ascii="Arial MT" w:eastAsia="Arial MT" w:hAnsi="Arial MT" w:cs="Arial MT"/>
                <w:spacing w:val="-2"/>
                <w:w w:val="90"/>
                <w:sz w:val="10"/>
              </w:rPr>
              <w:t>TOLIMENSE</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DE</w:t>
            </w:r>
            <w:r w:rsidRPr="006B0349">
              <w:rPr>
                <w:rFonts w:ascii="Arial MT" w:eastAsia="Arial MT" w:hAnsi="Arial MT" w:cs="Arial MT"/>
                <w:spacing w:val="-3"/>
                <w:sz w:val="10"/>
              </w:rPr>
              <w:t xml:space="preserve"> </w:t>
            </w:r>
            <w:r w:rsidRPr="006B0349">
              <w:rPr>
                <w:rFonts w:ascii="Arial MT" w:eastAsia="Arial MT" w:hAnsi="Arial MT" w:cs="Arial MT"/>
                <w:spacing w:val="-2"/>
                <w:w w:val="90"/>
                <w:sz w:val="10"/>
              </w:rPr>
              <w:t>FORMACIÓN</w:t>
            </w:r>
            <w:r w:rsidRPr="006B0349">
              <w:rPr>
                <w:rFonts w:ascii="Arial MT" w:eastAsia="Arial MT" w:hAnsi="Arial MT" w:cs="Arial MT"/>
                <w:spacing w:val="-5"/>
                <w:sz w:val="10"/>
              </w:rPr>
              <w:t xml:space="preserve"> </w:t>
            </w:r>
            <w:r w:rsidRPr="006B0349">
              <w:rPr>
                <w:rFonts w:ascii="Arial MT" w:eastAsia="Arial MT" w:hAnsi="Arial MT" w:cs="Arial MT"/>
                <w:spacing w:val="-2"/>
                <w:w w:val="90"/>
                <w:sz w:val="10"/>
              </w:rPr>
              <w:t>TÉCNICA</w:t>
            </w:r>
          </w:p>
          <w:p w14:paraId="1F0A77ED" w14:textId="77777777" w:rsidR="00D96A90" w:rsidRPr="006B0349" w:rsidRDefault="00D96A90" w:rsidP="00EF5AF2">
            <w:pPr>
              <w:spacing w:line="94" w:lineRule="exact"/>
              <w:ind w:left="14"/>
              <w:rPr>
                <w:rFonts w:ascii="Arial MT" w:eastAsia="Arial MT" w:hAnsi="Arial MT" w:cs="Arial MT"/>
                <w:sz w:val="10"/>
              </w:rPr>
            </w:pPr>
            <w:r w:rsidRPr="006B0349">
              <w:rPr>
                <w:rFonts w:ascii="Arial MT" w:eastAsia="Arial MT" w:hAnsi="Arial MT" w:cs="Arial MT"/>
                <w:w w:val="85"/>
                <w:sz w:val="10"/>
              </w:rPr>
              <w:t>PROFESIONAL</w:t>
            </w:r>
            <w:r w:rsidRPr="006B0349">
              <w:rPr>
                <w:rFonts w:ascii="Arial MT" w:eastAsia="Arial MT" w:hAnsi="Arial MT" w:cs="Arial MT"/>
                <w:spacing w:val="-1"/>
                <w:w w:val="85"/>
                <w:sz w:val="10"/>
              </w:rPr>
              <w:t xml:space="preserve"> </w:t>
            </w:r>
            <w:r w:rsidRPr="006B0349">
              <w:rPr>
                <w:rFonts w:ascii="Arial MT" w:eastAsia="Arial MT" w:hAnsi="Arial MT" w:cs="Arial MT"/>
                <w:w w:val="85"/>
                <w:sz w:val="10"/>
              </w:rPr>
              <w:t>"ITFIP"</w:t>
            </w:r>
            <w:r w:rsidRPr="006B0349">
              <w:rPr>
                <w:rFonts w:ascii="Arial MT" w:eastAsia="Arial MT" w:hAnsi="Arial MT" w:cs="Arial MT"/>
                <w:spacing w:val="-1"/>
                <w:sz w:val="10"/>
              </w:rPr>
              <w:t xml:space="preserve"> </w:t>
            </w:r>
            <w:r w:rsidRPr="006B0349">
              <w:rPr>
                <w:rFonts w:ascii="Arial MT" w:eastAsia="Arial MT" w:hAnsi="Arial MT" w:cs="Arial MT"/>
                <w:w w:val="85"/>
                <w:sz w:val="10"/>
              </w:rPr>
              <w:t>DE</w:t>
            </w:r>
            <w:r w:rsidRPr="006B0349">
              <w:rPr>
                <w:rFonts w:ascii="Arial MT" w:eastAsia="Arial MT" w:hAnsi="Arial MT" w:cs="Arial MT"/>
                <w:spacing w:val="21"/>
                <w:sz w:val="10"/>
              </w:rPr>
              <w:t xml:space="preserve"> </w:t>
            </w:r>
            <w:r w:rsidRPr="006B0349">
              <w:rPr>
                <w:rFonts w:ascii="Arial MT" w:eastAsia="Arial MT" w:hAnsi="Arial MT" w:cs="Arial MT"/>
                <w:spacing w:val="-2"/>
                <w:w w:val="85"/>
                <w:sz w:val="10"/>
              </w:rPr>
              <w:t>ESPINAL</w:t>
            </w:r>
          </w:p>
        </w:tc>
        <w:tc>
          <w:tcPr>
            <w:tcW w:w="1025" w:type="dxa"/>
          </w:tcPr>
          <w:p w14:paraId="6FA77A97" w14:textId="77777777" w:rsidR="00D96A90" w:rsidRPr="006B0349" w:rsidRDefault="00D96A90" w:rsidP="00EF5AF2">
            <w:pPr>
              <w:rPr>
                <w:rFonts w:eastAsia="Arial MT" w:hAnsi="Arial MT" w:cs="Arial MT"/>
                <w:b/>
                <w:sz w:val="12"/>
              </w:rPr>
            </w:pPr>
          </w:p>
          <w:p w14:paraId="0716D53D" w14:textId="77777777" w:rsidR="00D96A90" w:rsidRPr="006B0349" w:rsidRDefault="00D96A90" w:rsidP="00EF5AF2">
            <w:pPr>
              <w:spacing w:before="44"/>
              <w:rPr>
                <w:rFonts w:eastAsia="Arial MT" w:hAnsi="Arial MT" w:cs="Arial MT"/>
                <w:b/>
                <w:sz w:val="12"/>
              </w:rPr>
            </w:pPr>
          </w:p>
          <w:p w14:paraId="11FF4BAC"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3.192.290.121</w:t>
            </w:r>
          </w:p>
        </w:tc>
        <w:tc>
          <w:tcPr>
            <w:tcW w:w="992" w:type="dxa"/>
          </w:tcPr>
          <w:p w14:paraId="0A06B60B" w14:textId="77777777" w:rsidR="00D96A90" w:rsidRPr="006B0349" w:rsidRDefault="00D96A90" w:rsidP="00EF5AF2">
            <w:pPr>
              <w:rPr>
                <w:rFonts w:eastAsia="Arial MT" w:hAnsi="Arial MT" w:cs="Arial MT"/>
                <w:b/>
                <w:sz w:val="12"/>
              </w:rPr>
            </w:pPr>
          </w:p>
          <w:p w14:paraId="3E826C15" w14:textId="77777777" w:rsidR="00D96A90" w:rsidRPr="006B0349" w:rsidRDefault="00D96A90" w:rsidP="00EF5AF2">
            <w:pPr>
              <w:spacing w:before="44"/>
              <w:rPr>
                <w:rFonts w:eastAsia="Arial MT" w:hAnsi="Arial MT" w:cs="Arial MT"/>
                <w:b/>
                <w:sz w:val="12"/>
              </w:rPr>
            </w:pPr>
          </w:p>
          <w:p w14:paraId="2C79424A" w14:textId="77777777" w:rsidR="00D96A90" w:rsidRPr="006B0349" w:rsidRDefault="00D96A90" w:rsidP="00EF5AF2">
            <w:pPr>
              <w:ind w:right="16"/>
              <w:jc w:val="right"/>
              <w:rPr>
                <w:rFonts w:ascii="Arial MT" w:eastAsia="Arial MT" w:hAnsi="Arial MT" w:cs="Arial MT"/>
                <w:sz w:val="12"/>
              </w:rPr>
            </w:pPr>
            <w:r w:rsidRPr="006B0349">
              <w:rPr>
                <w:rFonts w:ascii="Arial MT" w:eastAsia="Arial MT" w:hAnsi="Arial MT" w:cs="Arial MT"/>
                <w:spacing w:val="-2"/>
                <w:sz w:val="12"/>
              </w:rPr>
              <w:t>$700.000.000,00</w:t>
            </w:r>
          </w:p>
        </w:tc>
        <w:tc>
          <w:tcPr>
            <w:tcW w:w="1052" w:type="dxa"/>
          </w:tcPr>
          <w:p w14:paraId="42F0D07F" w14:textId="77777777" w:rsidR="00D96A90" w:rsidRPr="006B0349" w:rsidRDefault="00D96A90" w:rsidP="00EF5AF2">
            <w:pPr>
              <w:rPr>
                <w:rFonts w:eastAsia="Arial MT" w:hAnsi="Arial MT" w:cs="Arial MT"/>
                <w:b/>
                <w:sz w:val="12"/>
              </w:rPr>
            </w:pPr>
          </w:p>
          <w:p w14:paraId="2B7B7A25" w14:textId="77777777" w:rsidR="00D96A90" w:rsidRPr="006B0349" w:rsidRDefault="00D96A90" w:rsidP="00EF5AF2">
            <w:pPr>
              <w:spacing w:before="44"/>
              <w:rPr>
                <w:rFonts w:eastAsia="Arial MT" w:hAnsi="Arial MT" w:cs="Arial MT"/>
                <w:b/>
                <w:sz w:val="12"/>
              </w:rPr>
            </w:pPr>
          </w:p>
          <w:p w14:paraId="3B09A765"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3.890.939.009</w:t>
            </w:r>
          </w:p>
        </w:tc>
        <w:tc>
          <w:tcPr>
            <w:tcW w:w="1039" w:type="dxa"/>
          </w:tcPr>
          <w:p w14:paraId="7C67B23E" w14:textId="77777777" w:rsidR="00D96A90" w:rsidRPr="006B0349" w:rsidRDefault="00D96A90" w:rsidP="00EF5AF2">
            <w:pPr>
              <w:rPr>
                <w:rFonts w:eastAsia="Arial MT" w:hAnsi="Arial MT" w:cs="Arial MT"/>
                <w:b/>
                <w:sz w:val="12"/>
              </w:rPr>
            </w:pPr>
          </w:p>
          <w:p w14:paraId="312DEB96" w14:textId="77777777" w:rsidR="00D96A90" w:rsidRPr="006B0349" w:rsidRDefault="00D96A90" w:rsidP="00EF5AF2">
            <w:pPr>
              <w:spacing w:before="44"/>
              <w:rPr>
                <w:rFonts w:eastAsia="Arial MT" w:hAnsi="Arial MT" w:cs="Arial MT"/>
                <w:b/>
                <w:sz w:val="12"/>
              </w:rPr>
            </w:pPr>
          </w:p>
          <w:p w14:paraId="49B3A518" w14:textId="77777777" w:rsidR="00D96A90" w:rsidRPr="006B0349" w:rsidRDefault="00D96A90" w:rsidP="00EF5AF2">
            <w:pPr>
              <w:ind w:right="49"/>
              <w:jc w:val="right"/>
              <w:rPr>
                <w:rFonts w:ascii="Arial MT" w:eastAsia="Arial MT" w:hAnsi="Arial MT" w:cs="Arial MT"/>
                <w:sz w:val="12"/>
              </w:rPr>
            </w:pPr>
            <w:r w:rsidRPr="006B0349">
              <w:rPr>
                <w:rFonts w:ascii="Arial MT" w:eastAsia="Arial MT" w:hAnsi="Arial MT" w:cs="Arial MT"/>
                <w:spacing w:val="-2"/>
                <w:sz w:val="12"/>
              </w:rPr>
              <w:t>1.351.112</w:t>
            </w:r>
          </w:p>
        </w:tc>
        <w:tc>
          <w:tcPr>
            <w:tcW w:w="992" w:type="dxa"/>
          </w:tcPr>
          <w:p w14:paraId="0BD16E20" w14:textId="77777777" w:rsidR="00D96A90" w:rsidRPr="006B0349" w:rsidRDefault="00D96A90" w:rsidP="00EF5AF2">
            <w:pPr>
              <w:rPr>
                <w:rFonts w:eastAsia="Arial MT" w:hAnsi="Arial MT" w:cs="Arial MT"/>
                <w:b/>
                <w:sz w:val="12"/>
              </w:rPr>
            </w:pPr>
          </w:p>
          <w:p w14:paraId="7C7A8462" w14:textId="77777777" w:rsidR="00D96A90" w:rsidRPr="006B0349" w:rsidRDefault="00D96A90" w:rsidP="00EF5AF2">
            <w:pPr>
              <w:spacing w:before="44"/>
              <w:rPr>
                <w:rFonts w:eastAsia="Arial MT" w:hAnsi="Arial MT" w:cs="Arial MT"/>
                <w:b/>
                <w:sz w:val="12"/>
              </w:rPr>
            </w:pPr>
          </w:p>
          <w:p w14:paraId="03359DBD" w14:textId="77777777" w:rsidR="00D96A90" w:rsidRPr="006B0349" w:rsidRDefault="00D96A90" w:rsidP="00EF5AF2">
            <w:pPr>
              <w:ind w:right="17"/>
              <w:jc w:val="right"/>
              <w:rPr>
                <w:rFonts w:ascii="Arial MT" w:eastAsia="Arial MT" w:hAnsi="Arial MT" w:cs="Arial MT"/>
                <w:sz w:val="12"/>
              </w:rPr>
            </w:pPr>
            <w:r w:rsidRPr="006B0349">
              <w:rPr>
                <w:rFonts w:ascii="Arial MT" w:eastAsia="Arial MT" w:hAnsi="Arial MT" w:cs="Arial MT"/>
                <w:spacing w:val="-2"/>
                <w:sz w:val="12"/>
              </w:rPr>
              <w:t>$927.448.652,00</w:t>
            </w:r>
          </w:p>
        </w:tc>
        <w:tc>
          <w:tcPr>
            <w:tcW w:w="992" w:type="dxa"/>
          </w:tcPr>
          <w:p w14:paraId="3AF11222" w14:textId="77777777" w:rsidR="00D96A90" w:rsidRPr="006B0349" w:rsidRDefault="00D96A90" w:rsidP="00EF5AF2">
            <w:pPr>
              <w:rPr>
                <w:rFonts w:eastAsia="Arial MT" w:hAnsi="Arial MT" w:cs="Arial MT"/>
                <w:b/>
                <w:sz w:val="12"/>
              </w:rPr>
            </w:pPr>
          </w:p>
          <w:p w14:paraId="4D517E37" w14:textId="77777777" w:rsidR="00D96A90" w:rsidRPr="006B0349" w:rsidRDefault="00D96A90" w:rsidP="00EF5AF2">
            <w:pPr>
              <w:spacing w:before="44"/>
              <w:rPr>
                <w:rFonts w:eastAsia="Arial MT" w:hAnsi="Arial MT" w:cs="Arial MT"/>
                <w:b/>
                <w:sz w:val="12"/>
              </w:rPr>
            </w:pPr>
          </w:p>
          <w:p w14:paraId="4A63E8FC"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2"/>
                <w:sz w:val="12"/>
              </w:rPr>
              <w:t>$350.000.000,00</w:t>
            </w:r>
          </w:p>
        </w:tc>
        <w:tc>
          <w:tcPr>
            <w:tcW w:w="959" w:type="dxa"/>
          </w:tcPr>
          <w:p w14:paraId="75EDDFB0" w14:textId="77777777" w:rsidR="00D96A90" w:rsidRPr="006B0349" w:rsidRDefault="00D96A90" w:rsidP="00EF5AF2">
            <w:pPr>
              <w:rPr>
                <w:rFonts w:eastAsia="Arial MT" w:hAnsi="Arial MT" w:cs="Arial MT"/>
                <w:b/>
                <w:sz w:val="12"/>
              </w:rPr>
            </w:pPr>
          </w:p>
          <w:p w14:paraId="41AB6277" w14:textId="77777777" w:rsidR="00D96A90" w:rsidRPr="006B0349" w:rsidRDefault="00D96A90" w:rsidP="00EF5AF2">
            <w:pPr>
              <w:spacing w:before="44"/>
              <w:rPr>
                <w:rFonts w:eastAsia="Arial MT" w:hAnsi="Arial MT" w:cs="Arial MT"/>
                <w:b/>
                <w:sz w:val="12"/>
              </w:rPr>
            </w:pPr>
          </w:p>
          <w:p w14:paraId="66ED4F10" w14:textId="77777777" w:rsidR="00D96A90" w:rsidRPr="006B0349" w:rsidRDefault="00D96A90" w:rsidP="00EF5AF2">
            <w:pPr>
              <w:ind w:right="18"/>
              <w:jc w:val="right"/>
              <w:rPr>
                <w:rFonts w:ascii="Arial MT" w:eastAsia="Arial MT" w:hAnsi="Arial MT" w:cs="Arial MT"/>
                <w:sz w:val="12"/>
              </w:rPr>
            </w:pPr>
            <w:r w:rsidRPr="006B0349">
              <w:rPr>
                <w:rFonts w:ascii="Arial MT" w:eastAsia="Arial MT" w:hAnsi="Arial MT" w:cs="Arial MT"/>
                <w:spacing w:val="-2"/>
                <w:sz w:val="12"/>
              </w:rPr>
              <w:t>$350.000.000,00</w:t>
            </w:r>
          </w:p>
        </w:tc>
      </w:tr>
      <w:tr w:rsidR="00D96A90" w:rsidRPr="006B0349" w14:paraId="510E29B6" w14:textId="77777777" w:rsidTr="00EF5AF2">
        <w:trPr>
          <w:trHeight w:val="150"/>
        </w:trPr>
        <w:tc>
          <w:tcPr>
            <w:tcW w:w="2350" w:type="dxa"/>
            <w:shd w:val="clear" w:color="auto" w:fill="DDEBF7"/>
          </w:tcPr>
          <w:p w14:paraId="29844D43" w14:textId="77777777" w:rsidR="00D96A90" w:rsidRPr="006B0349" w:rsidRDefault="00D96A90" w:rsidP="00EF5AF2">
            <w:pPr>
              <w:spacing w:before="8" w:line="122" w:lineRule="exact"/>
              <w:ind w:left="21"/>
              <w:rPr>
                <w:rFonts w:eastAsia="Arial MT" w:hAnsi="Arial MT" w:cs="Arial MT"/>
                <w:b/>
                <w:sz w:val="12"/>
              </w:rPr>
            </w:pPr>
            <w:r w:rsidRPr="006B0349">
              <w:rPr>
                <w:rFonts w:eastAsia="Arial MT" w:hAnsi="Arial MT" w:cs="Arial MT"/>
                <w:b/>
                <w:w w:val="85"/>
                <w:sz w:val="12"/>
              </w:rPr>
              <w:t>TOTAL,</w:t>
            </w:r>
            <w:r w:rsidRPr="006B0349">
              <w:rPr>
                <w:rFonts w:eastAsia="Arial MT" w:hAnsi="Arial MT" w:cs="Arial MT"/>
                <w:b/>
                <w:spacing w:val="-2"/>
                <w:sz w:val="12"/>
              </w:rPr>
              <w:t xml:space="preserve"> PRESUPUESTO</w:t>
            </w:r>
          </w:p>
        </w:tc>
        <w:tc>
          <w:tcPr>
            <w:tcW w:w="1025" w:type="dxa"/>
            <w:shd w:val="clear" w:color="auto" w:fill="D5DCE3"/>
          </w:tcPr>
          <w:p w14:paraId="5394C92C" w14:textId="77777777" w:rsidR="00D96A90" w:rsidRPr="006B0349" w:rsidRDefault="00D96A90" w:rsidP="00EF5AF2">
            <w:pPr>
              <w:spacing w:before="8" w:line="122" w:lineRule="exact"/>
              <w:ind w:right="16"/>
              <w:jc w:val="right"/>
              <w:rPr>
                <w:rFonts w:eastAsia="Arial MT" w:hAnsi="Arial MT" w:cs="Arial MT"/>
                <w:b/>
                <w:sz w:val="12"/>
              </w:rPr>
            </w:pPr>
            <w:r w:rsidRPr="006B0349">
              <w:rPr>
                <w:rFonts w:eastAsia="Arial MT" w:hAnsi="Arial MT" w:cs="Arial MT"/>
                <w:b/>
                <w:spacing w:val="-2"/>
                <w:sz w:val="12"/>
              </w:rPr>
              <w:t>8.492.290.121,00</w:t>
            </w:r>
          </w:p>
        </w:tc>
        <w:tc>
          <w:tcPr>
            <w:tcW w:w="992" w:type="dxa"/>
            <w:shd w:val="clear" w:color="auto" w:fill="D5DCE3"/>
          </w:tcPr>
          <w:p w14:paraId="0DF681EB" w14:textId="77777777" w:rsidR="00D96A90" w:rsidRPr="006B0349" w:rsidRDefault="00D96A90" w:rsidP="00EF5AF2">
            <w:pPr>
              <w:spacing w:before="8" w:line="122" w:lineRule="exact"/>
              <w:ind w:right="16"/>
              <w:jc w:val="right"/>
              <w:rPr>
                <w:rFonts w:eastAsia="Arial MT" w:hAnsi="Arial MT" w:cs="Arial MT"/>
                <w:b/>
                <w:sz w:val="12"/>
              </w:rPr>
            </w:pPr>
            <w:r w:rsidRPr="006B0349">
              <w:rPr>
                <w:rFonts w:eastAsia="Arial MT" w:hAnsi="Arial MT" w:cs="Arial MT"/>
                <w:b/>
                <w:spacing w:val="-2"/>
                <w:sz w:val="12"/>
              </w:rPr>
              <w:t>2.139.617.913,00</w:t>
            </w:r>
          </w:p>
        </w:tc>
        <w:tc>
          <w:tcPr>
            <w:tcW w:w="1052" w:type="dxa"/>
            <w:shd w:val="clear" w:color="auto" w:fill="D5DCE3"/>
          </w:tcPr>
          <w:p w14:paraId="44E2BB2F" w14:textId="77777777" w:rsidR="00D96A90" w:rsidRPr="006B0349" w:rsidRDefault="00D96A90" w:rsidP="00EF5AF2">
            <w:pPr>
              <w:spacing w:before="8" w:line="122" w:lineRule="exact"/>
              <w:ind w:right="17"/>
              <w:jc w:val="right"/>
              <w:rPr>
                <w:rFonts w:eastAsia="Arial MT" w:hAnsi="Arial MT" w:cs="Arial MT"/>
                <w:b/>
                <w:sz w:val="12"/>
              </w:rPr>
            </w:pPr>
            <w:r w:rsidRPr="006B0349">
              <w:rPr>
                <w:rFonts w:eastAsia="Arial MT" w:hAnsi="Arial MT" w:cs="Arial MT"/>
                <w:b/>
                <w:spacing w:val="-2"/>
                <w:sz w:val="12"/>
              </w:rPr>
              <w:t>10.579.522.499,00</w:t>
            </w:r>
          </w:p>
        </w:tc>
        <w:tc>
          <w:tcPr>
            <w:tcW w:w="1039" w:type="dxa"/>
            <w:shd w:val="clear" w:color="auto" w:fill="D5DCE3"/>
          </w:tcPr>
          <w:p w14:paraId="4933D75C" w14:textId="77777777" w:rsidR="00D96A90" w:rsidRPr="006B0349" w:rsidRDefault="00D96A90" w:rsidP="00EF5AF2">
            <w:pPr>
              <w:spacing w:before="8" w:line="122" w:lineRule="exact"/>
              <w:ind w:right="17"/>
              <w:jc w:val="right"/>
              <w:rPr>
                <w:rFonts w:eastAsia="Arial MT" w:hAnsi="Arial MT" w:cs="Arial MT"/>
                <w:b/>
                <w:sz w:val="12"/>
              </w:rPr>
            </w:pPr>
            <w:r w:rsidRPr="006B0349">
              <w:rPr>
                <w:rFonts w:eastAsia="Arial MT" w:hAnsi="Arial MT" w:cs="Arial MT"/>
                <w:b/>
                <w:spacing w:val="-2"/>
                <w:sz w:val="12"/>
              </w:rPr>
              <w:t>52.385.535,00</w:t>
            </w:r>
          </w:p>
        </w:tc>
        <w:tc>
          <w:tcPr>
            <w:tcW w:w="992" w:type="dxa"/>
            <w:shd w:val="clear" w:color="auto" w:fill="D5DCE3"/>
          </w:tcPr>
          <w:p w14:paraId="64D9C3BB" w14:textId="77777777" w:rsidR="00D96A90" w:rsidRPr="006B0349" w:rsidRDefault="00D96A90" w:rsidP="00EF5AF2">
            <w:pPr>
              <w:spacing w:before="8" w:line="122" w:lineRule="exact"/>
              <w:ind w:right="17"/>
              <w:jc w:val="right"/>
              <w:rPr>
                <w:rFonts w:eastAsia="Arial MT" w:hAnsi="Arial MT" w:cs="Arial MT"/>
                <w:b/>
                <w:sz w:val="12"/>
              </w:rPr>
            </w:pPr>
            <w:r w:rsidRPr="006B0349">
              <w:rPr>
                <w:rFonts w:eastAsia="Arial MT" w:hAnsi="Arial MT" w:cs="Arial MT"/>
                <w:b/>
                <w:spacing w:val="-2"/>
                <w:sz w:val="12"/>
              </w:rPr>
              <w:t>5.586.735.937,00</w:t>
            </w:r>
          </w:p>
        </w:tc>
        <w:tc>
          <w:tcPr>
            <w:tcW w:w="992" w:type="dxa"/>
            <w:shd w:val="clear" w:color="auto" w:fill="D5DCE3"/>
          </w:tcPr>
          <w:p w14:paraId="1136B893" w14:textId="77777777" w:rsidR="00D96A90" w:rsidRPr="006B0349" w:rsidRDefault="00D96A90" w:rsidP="00EF5AF2">
            <w:pPr>
              <w:spacing w:before="8" w:line="122" w:lineRule="exact"/>
              <w:ind w:right="18"/>
              <w:jc w:val="right"/>
              <w:rPr>
                <w:rFonts w:eastAsia="Arial MT" w:hAnsi="Arial MT" w:cs="Arial MT"/>
                <w:b/>
                <w:sz w:val="12"/>
              </w:rPr>
            </w:pPr>
            <w:r w:rsidRPr="006B0349">
              <w:rPr>
                <w:rFonts w:eastAsia="Arial MT" w:hAnsi="Arial MT" w:cs="Arial MT"/>
                <w:b/>
                <w:spacing w:val="-2"/>
                <w:sz w:val="12"/>
              </w:rPr>
              <w:t>2.044.422.517,00</w:t>
            </w:r>
          </w:p>
        </w:tc>
        <w:tc>
          <w:tcPr>
            <w:tcW w:w="959" w:type="dxa"/>
            <w:shd w:val="clear" w:color="auto" w:fill="D5DCE3"/>
          </w:tcPr>
          <w:p w14:paraId="7B53987F" w14:textId="77777777" w:rsidR="00D96A90" w:rsidRPr="006B0349" w:rsidRDefault="00D96A90" w:rsidP="00EF5AF2">
            <w:pPr>
              <w:spacing w:before="8" w:line="122" w:lineRule="exact"/>
              <w:ind w:right="18"/>
              <w:jc w:val="right"/>
              <w:rPr>
                <w:rFonts w:eastAsia="Arial MT" w:hAnsi="Arial MT" w:cs="Arial MT"/>
                <w:b/>
                <w:sz w:val="12"/>
              </w:rPr>
            </w:pPr>
            <w:r w:rsidRPr="006B0349">
              <w:rPr>
                <w:rFonts w:eastAsia="Arial MT" w:hAnsi="Arial MT" w:cs="Arial MT"/>
                <w:b/>
                <w:spacing w:val="-2"/>
                <w:sz w:val="12"/>
              </w:rPr>
              <w:t>2.044.422.517,00</w:t>
            </w:r>
          </w:p>
        </w:tc>
      </w:tr>
    </w:tbl>
    <w:p w14:paraId="27630269" w14:textId="77777777" w:rsidR="00D96A90" w:rsidRDefault="00D96A90" w:rsidP="00D96A90">
      <w:pPr>
        <w:pStyle w:val="Textoindependiente"/>
        <w:spacing w:before="3"/>
        <w:jc w:val="both"/>
        <w:rPr>
          <w:b/>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6"/>
        <w:gridCol w:w="1320"/>
        <w:gridCol w:w="1277"/>
        <w:gridCol w:w="1354"/>
        <w:gridCol w:w="1337"/>
        <w:gridCol w:w="1277"/>
      </w:tblGrid>
      <w:tr w:rsidR="00D96A90" w:rsidRPr="006B0349" w14:paraId="6302391E" w14:textId="77777777" w:rsidTr="00EF5AF2">
        <w:trPr>
          <w:trHeight w:val="274"/>
          <w:jc w:val="center"/>
        </w:trPr>
        <w:tc>
          <w:tcPr>
            <w:tcW w:w="3026" w:type="dxa"/>
            <w:tcBorders>
              <w:left w:val="single" w:sz="4" w:space="0" w:color="000000"/>
              <w:right w:val="single" w:sz="4" w:space="0" w:color="000000"/>
            </w:tcBorders>
            <w:shd w:val="clear" w:color="auto" w:fill="DDEBF7"/>
          </w:tcPr>
          <w:p w14:paraId="1C604113" w14:textId="77777777" w:rsidR="00D96A90" w:rsidRPr="006B0349" w:rsidRDefault="00D96A90" w:rsidP="00EF5AF2">
            <w:pPr>
              <w:spacing w:before="7" w:line="248" w:lineRule="exact"/>
              <w:ind w:left="414"/>
              <w:rPr>
                <w:rFonts w:eastAsia="Arial MT" w:hAnsi="Arial MT" w:cs="Arial MT"/>
                <w:b/>
              </w:rPr>
            </w:pPr>
            <w:r w:rsidRPr="006B0349">
              <w:rPr>
                <w:rFonts w:eastAsia="Arial MT" w:hAnsi="Arial MT" w:cs="Arial MT"/>
                <w:b/>
                <w:spacing w:val="2"/>
                <w:w w:val="60"/>
              </w:rPr>
              <w:t>PRESUPUESTO</w:t>
            </w:r>
            <w:r w:rsidRPr="006B0349">
              <w:rPr>
                <w:rFonts w:eastAsia="Arial MT" w:hAnsi="Arial MT" w:cs="Arial MT"/>
                <w:b/>
                <w:spacing w:val="-16"/>
              </w:rPr>
              <w:t xml:space="preserve"> </w:t>
            </w:r>
            <w:r w:rsidRPr="006B0349">
              <w:rPr>
                <w:rFonts w:eastAsia="Arial MT" w:hAnsi="Arial MT" w:cs="Arial MT"/>
                <w:b/>
                <w:spacing w:val="2"/>
                <w:w w:val="60"/>
              </w:rPr>
              <w:t>2024</w:t>
            </w:r>
            <w:r w:rsidRPr="006B0349">
              <w:rPr>
                <w:rFonts w:eastAsia="Arial MT" w:hAnsi="Arial MT" w:cs="Arial MT"/>
                <w:b/>
                <w:spacing w:val="-8"/>
              </w:rPr>
              <w:t xml:space="preserve"> </w:t>
            </w:r>
            <w:r w:rsidRPr="006B0349">
              <w:rPr>
                <w:rFonts w:eastAsia="Arial MT" w:hAnsi="Arial MT" w:cs="Arial MT"/>
                <w:b/>
                <w:spacing w:val="-2"/>
                <w:w w:val="60"/>
              </w:rPr>
              <w:t>INVERSION</w:t>
            </w:r>
          </w:p>
        </w:tc>
        <w:tc>
          <w:tcPr>
            <w:tcW w:w="1320" w:type="dxa"/>
            <w:tcBorders>
              <w:left w:val="single" w:sz="4" w:space="0" w:color="000000"/>
              <w:right w:val="single" w:sz="4" w:space="0" w:color="000000"/>
            </w:tcBorders>
            <w:shd w:val="clear" w:color="auto" w:fill="DDEBF7"/>
          </w:tcPr>
          <w:p w14:paraId="33AD41F5" w14:textId="77777777" w:rsidR="00D96A90" w:rsidRPr="006B0349" w:rsidRDefault="00D96A90" w:rsidP="00EF5AF2">
            <w:pPr>
              <w:spacing w:before="7" w:line="248" w:lineRule="exact"/>
              <w:ind w:left="251"/>
              <w:rPr>
                <w:rFonts w:eastAsia="Arial MT" w:hAnsi="Arial MT" w:cs="Arial MT"/>
                <w:b/>
              </w:rPr>
            </w:pPr>
            <w:r w:rsidRPr="006B0349">
              <w:rPr>
                <w:rFonts w:eastAsia="Arial MT" w:hAnsi="Arial MT" w:cs="Arial MT"/>
                <w:b/>
                <w:spacing w:val="-2"/>
                <w:w w:val="70"/>
              </w:rPr>
              <w:t>APROPIADO</w:t>
            </w:r>
          </w:p>
        </w:tc>
        <w:tc>
          <w:tcPr>
            <w:tcW w:w="1277" w:type="dxa"/>
            <w:tcBorders>
              <w:left w:val="single" w:sz="4" w:space="0" w:color="000000"/>
              <w:right w:val="single" w:sz="4" w:space="0" w:color="000000"/>
            </w:tcBorders>
            <w:shd w:val="clear" w:color="auto" w:fill="DDEBF7"/>
          </w:tcPr>
          <w:p w14:paraId="18C8157E" w14:textId="77777777" w:rsidR="00D96A90" w:rsidRPr="006B0349" w:rsidRDefault="00D96A90" w:rsidP="00EF5AF2">
            <w:pPr>
              <w:spacing w:before="7" w:line="248" w:lineRule="exact"/>
              <w:ind w:left="17"/>
              <w:jc w:val="center"/>
              <w:rPr>
                <w:rFonts w:eastAsia="Arial MT" w:hAnsi="Arial MT" w:cs="Arial MT"/>
                <w:b/>
              </w:rPr>
            </w:pPr>
            <w:r w:rsidRPr="006B0349">
              <w:rPr>
                <w:rFonts w:eastAsia="Arial MT" w:hAnsi="Arial MT" w:cs="Arial MT"/>
                <w:b/>
                <w:spacing w:val="-5"/>
                <w:w w:val="70"/>
              </w:rPr>
              <w:t>CDP</w:t>
            </w:r>
          </w:p>
        </w:tc>
        <w:tc>
          <w:tcPr>
            <w:tcW w:w="1354" w:type="dxa"/>
            <w:tcBorders>
              <w:left w:val="single" w:sz="4" w:space="0" w:color="000000"/>
              <w:right w:val="single" w:sz="4" w:space="0" w:color="000000"/>
            </w:tcBorders>
            <w:shd w:val="clear" w:color="auto" w:fill="DDEBF7"/>
          </w:tcPr>
          <w:p w14:paraId="4EED532C" w14:textId="77777777" w:rsidR="00D96A90" w:rsidRPr="006B0349" w:rsidRDefault="00D96A90" w:rsidP="00EF5AF2">
            <w:pPr>
              <w:spacing w:before="7" w:line="248" w:lineRule="exact"/>
              <w:ind w:left="28"/>
              <w:rPr>
                <w:rFonts w:eastAsia="Arial MT" w:hAnsi="Arial MT" w:cs="Arial MT"/>
                <w:b/>
              </w:rPr>
            </w:pPr>
            <w:r w:rsidRPr="006B0349">
              <w:rPr>
                <w:rFonts w:eastAsia="Arial MT" w:hAnsi="Arial MT" w:cs="Arial MT"/>
                <w:b/>
                <w:spacing w:val="-2"/>
                <w:w w:val="70"/>
              </w:rPr>
              <w:t>COMPROMISOS</w:t>
            </w:r>
          </w:p>
        </w:tc>
        <w:tc>
          <w:tcPr>
            <w:tcW w:w="1337" w:type="dxa"/>
            <w:tcBorders>
              <w:left w:val="single" w:sz="4" w:space="0" w:color="000000"/>
              <w:right w:val="single" w:sz="4" w:space="0" w:color="000000"/>
            </w:tcBorders>
            <w:shd w:val="clear" w:color="auto" w:fill="DDEBF7"/>
          </w:tcPr>
          <w:p w14:paraId="019C9502" w14:textId="77777777" w:rsidR="00D96A90" w:rsidRPr="006B0349" w:rsidRDefault="00D96A90" w:rsidP="00EF5AF2">
            <w:pPr>
              <w:spacing w:before="7" w:line="248" w:lineRule="exact"/>
              <w:ind w:left="140"/>
              <w:rPr>
                <w:rFonts w:eastAsia="Arial MT" w:hAnsi="Arial MT" w:cs="Arial MT"/>
                <w:b/>
              </w:rPr>
            </w:pPr>
            <w:r w:rsidRPr="006B0349">
              <w:rPr>
                <w:rFonts w:eastAsia="Arial MT" w:hAnsi="Arial MT" w:cs="Arial MT"/>
                <w:b/>
                <w:spacing w:val="-2"/>
                <w:w w:val="70"/>
              </w:rPr>
              <w:t>OBLIGACIONES</w:t>
            </w:r>
          </w:p>
        </w:tc>
        <w:tc>
          <w:tcPr>
            <w:tcW w:w="1277" w:type="dxa"/>
            <w:tcBorders>
              <w:left w:val="single" w:sz="4" w:space="0" w:color="000000"/>
              <w:right w:val="single" w:sz="4" w:space="0" w:color="000000"/>
            </w:tcBorders>
            <w:shd w:val="clear" w:color="auto" w:fill="DDEBF7"/>
          </w:tcPr>
          <w:p w14:paraId="6F0D0EEB" w14:textId="77777777" w:rsidR="00D96A90" w:rsidRPr="006B0349" w:rsidRDefault="00D96A90" w:rsidP="00EF5AF2">
            <w:pPr>
              <w:spacing w:before="7" w:line="248" w:lineRule="exact"/>
              <w:ind w:left="389"/>
              <w:rPr>
                <w:rFonts w:eastAsia="Arial MT" w:hAnsi="Arial MT" w:cs="Arial MT"/>
                <w:b/>
              </w:rPr>
            </w:pPr>
            <w:r w:rsidRPr="006B0349">
              <w:rPr>
                <w:rFonts w:eastAsia="Arial MT" w:hAnsi="Arial MT" w:cs="Arial MT"/>
                <w:b/>
                <w:spacing w:val="-4"/>
                <w:w w:val="70"/>
              </w:rPr>
              <w:t>PAGOS</w:t>
            </w:r>
          </w:p>
        </w:tc>
      </w:tr>
      <w:tr w:rsidR="00D96A90" w:rsidRPr="006B0349" w14:paraId="05A16773" w14:textId="77777777" w:rsidTr="00EF5AF2">
        <w:trPr>
          <w:trHeight w:val="274"/>
          <w:jc w:val="center"/>
        </w:trPr>
        <w:tc>
          <w:tcPr>
            <w:tcW w:w="3026" w:type="dxa"/>
            <w:tcBorders>
              <w:left w:val="single" w:sz="4" w:space="0" w:color="000000"/>
              <w:bottom w:val="single" w:sz="6" w:space="0" w:color="D3D3D3"/>
              <w:right w:val="single" w:sz="4" w:space="0" w:color="000000"/>
            </w:tcBorders>
          </w:tcPr>
          <w:p w14:paraId="675620EB" w14:textId="77777777" w:rsidR="00D96A90" w:rsidRPr="006B0349" w:rsidRDefault="00D96A90" w:rsidP="00EF5AF2">
            <w:pPr>
              <w:spacing w:before="6" w:line="248" w:lineRule="exact"/>
              <w:ind w:left="29"/>
              <w:rPr>
                <w:rFonts w:ascii="Arial MT" w:eastAsia="Arial MT" w:hAnsi="Arial MT" w:cs="Arial MT"/>
              </w:rPr>
            </w:pPr>
            <w:r w:rsidRPr="006B0349">
              <w:rPr>
                <w:rFonts w:ascii="Arial MT" w:eastAsia="Arial MT" w:hAnsi="Arial MT" w:cs="Arial MT"/>
                <w:spacing w:val="-2"/>
                <w:w w:val="60"/>
              </w:rPr>
              <w:t>INVERSION</w:t>
            </w:r>
            <w:r w:rsidRPr="006B0349">
              <w:rPr>
                <w:rFonts w:ascii="Arial MT" w:eastAsia="Arial MT" w:hAnsi="Arial MT" w:cs="Arial MT"/>
                <w:spacing w:val="-4"/>
                <w:w w:val="60"/>
              </w:rPr>
              <w:t xml:space="preserve"> </w:t>
            </w:r>
            <w:r w:rsidRPr="006B0349">
              <w:rPr>
                <w:rFonts w:ascii="Arial MT" w:eastAsia="Arial MT" w:hAnsi="Arial MT" w:cs="Arial MT"/>
                <w:spacing w:val="-2"/>
                <w:w w:val="70"/>
              </w:rPr>
              <w:t>BIENESTAR</w:t>
            </w:r>
          </w:p>
        </w:tc>
        <w:tc>
          <w:tcPr>
            <w:tcW w:w="1320" w:type="dxa"/>
            <w:tcBorders>
              <w:left w:val="single" w:sz="4" w:space="0" w:color="000000"/>
              <w:bottom w:val="single" w:sz="6" w:space="0" w:color="D3D3D3"/>
              <w:right w:val="single" w:sz="4" w:space="0" w:color="000000"/>
            </w:tcBorders>
          </w:tcPr>
          <w:p w14:paraId="6E39BC39"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1.850.000.000</w:t>
            </w:r>
          </w:p>
        </w:tc>
        <w:tc>
          <w:tcPr>
            <w:tcW w:w="1277" w:type="dxa"/>
            <w:tcBorders>
              <w:left w:val="single" w:sz="4" w:space="0" w:color="000000"/>
              <w:bottom w:val="single" w:sz="6" w:space="0" w:color="D3D3D3"/>
              <w:right w:val="single" w:sz="4" w:space="0" w:color="000000"/>
            </w:tcBorders>
          </w:tcPr>
          <w:p w14:paraId="37F6C347"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1.841.817.707</w:t>
            </w:r>
          </w:p>
        </w:tc>
        <w:tc>
          <w:tcPr>
            <w:tcW w:w="1354" w:type="dxa"/>
            <w:tcBorders>
              <w:left w:val="single" w:sz="4" w:space="0" w:color="000000"/>
              <w:bottom w:val="single" w:sz="6" w:space="0" w:color="D3D3D3"/>
              <w:right w:val="single" w:sz="4" w:space="0" w:color="000000"/>
            </w:tcBorders>
          </w:tcPr>
          <w:p w14:paraId="10AE5C47"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1.841.817.707</w:t>
            </w:r>
          </w:p>
        </w:tc>
        <w:tc>
          <w:tcPr>
            <w:tcW w:w="1337" w:type="dxa"/>
            <w:tcBorders>
              <w:left w:val="single" w:sz="4" w:space="0" w:color="000000"/>
              <w:bottom w:val="single" w:sz="6" w:space="0" w:color="D3D3D3"/>
              <w:right w:val="single" w:sz="4" w:space="0" w:color="000000"/>
            </w:tcBorders>
          </w:tcPr>
          <w:p w14:paraId="0C16CF56" w14:textId="77777777" w:rsidR="00D96A90" w:rsidRPr="006B0349" w:rsidRDefault="00D96A90" w:rsidP="00EF5AF2">
            <w:pPr>
              <w:spacing w:before="6" w:line="248" w:lineRule="exact"/>
              <w:ind w:right="65"/>
              <w:jc w:val="right"/>
              <w:rPr>
                <w:rFonts w:ascii="Arial MT" w:eastAsia="Arial MT" w:hAnsi="Arial MT" w:cs="Arial MT"/>
              </w:rPr>
            </w:pPr>
            <w:r w:rsidRPr="006B0349">
              <w:rPr>
                <w:rFonts w:ascii="Arial MT" w:eastAsia="Arial MT" w:hAnsi="Arial MT" w:cs="Arial MT"/>
                <w:spacing w:val="-2"/>
                <w:w w:val="70"/>
              </w:rPr>
              <w:t>1.537.579.155</w:t>
            </w:r>
          </w:p>
        </w:tc>
        <w:tc>
          <w:tcPr>
            <w:tcW w:w="1277" w:type="dxa"/>
            <w:tcBorders>
              <w:left w:val="single" w:sz="4" w:space="0" w:color="000000"/>
              <w:bottom w:val="single" w:sz="6" w:space="0" w:color="D3D3D3"/>
              <w:right w:val="single" w:sz="4" w:space="0" w:color="000000"/>
            </w:tcBorders>
          </w:tcPr>
          <w:p w14:paraId="621CCAEA" w14:textId="77777777" w:rsidR="00D96A90" w:rsidRPr="006B0349" w:rsidRDefault="00D96A90" w:rsidP="00EF5AF2">
            <w:pPr>
              <w:spacing w:before="6" w:line="248" w:lineRule="exact"/>
              <w:ind w:right="63"/>
              <w:jc w:val="right"/>
              <w:rPr>
                <w:rFonts w:ascii="Arial MT" w:eastAsia="Arial MT" w:hAnsi="Arial MT" w:cs="Arial MT"/>
              </w:rPr>
            </w:pPr>
            <w:r w:rsidRPr="006B0349">
              <w:rPr>
                <w:rFonts w:ascii="Arial MT" w:eastAsia="Arial MT" w:hAnsi="Arial MT" w:cs="Arial MT"/>
                <w:spacing w:val="-2"/>
                <w:w w:val="70"/>
              </w:rPr>
              <w:t>1.537.579.155</w:t>
            </w:r>
          </w:p>
        </w:tc>
      </w:tr>
      <w:tr w:rsidR="00D96A90" w:rsidRPr="006B0349" w14:paraId="5B1F3DE8" w14:textId="77777777" w:rsidTr="00EF5AF2">
        <w:trPr>
          <w:trHeight w:val="274"/>
          <w:jc w:val="center"/>
        </w:trPr>
        <w:tc>
          <w:tcPr>
            <w:tcW w:w="3026" w:type="dxa"/>
            <w:tcBorders>
              <w:top w:val="single" w:sz="6" w:space="0" w:color="D3D3D3"/>
              <w:left w:val="single" w:sz="4" w:space="0" w:color="000000"/>
              <w:bottom w:val="single" w:sz="6" w:space="0" w:color="D3D3D3"/>
              <w:right w:val="single" w:sz="4" w:space="0" w:color="000000"/>
            </w:tcBorders>
          </w:tcPr>
          <w:p w14:paraId="1C0A6499" w14:textId="77777777" w:rsidR="00D96A90" w:rsidRPr="006B0349" w:rsidRDefault="00D96A90" w:rsidP="00EF5AF2">
            <w:pPr>
              <w:spacing w:before="6" w:line="248" w:lineRule="exact"/>
              <w:ind w:left="29"/>
              <w:rPr>
                <w:rFonts w:ascii="Arial MT" w:eastAsia="Arial MT" w:hAnsi="Arial MT" w:cs="Arial MT"/>
              </w:rPr>
            </w:pPr>
            <w:r w:rsidRPr="006B0349">
              <w:rPr>
                <w:rFonts w:ascii="Arial MT" w:eastAsia="Arial MT" w:hAnsi="Arial MT" w:cs="Arial MT"/>
                <w:spacing w:val="-2"/>
                <w:w w:val="60"/>
              </w:rPr>
              <w:t>INVERSION</w:t>
            </w:r>
            <w:r w:rsidRPr="006B0349">
              <w:rPr>
                <w:rFonts w:ascii="Arial MT" w:eastAsia="Arial MT" w:hAnsi="Arial MT" w:cs="Arial MT"/>
                <w:spacing w:val="-4"/>
                <w:w w:val="60"/>
              </w:rPr>
              <w:t xml:space="preserve"> </w:t>
            </w:r>
            <w:r w:rsidRPr="006B0349">
              <w:rPr>
                <w:rFonts w:ascii="Arial MT" w:eastAsia="Arial MT" w:hAnsi="Arial MT" w:cs="Arial MT"/>
                <w:spacing w:val="-2"/>
                <w:w w:val="70"/>
              </w:rPr>
              <w:t>INVESTIGACIÓN</w:t>
            </w:r>
          </w:p>
        </w:tc>
        <w:tc>
          <w:tcPr>
            <w:tcW w:w="1320" w:type="dxa"/>
            <w:tcBorders>
              <w:top w:val="single" w:sz="6" w:space="0" w:color="D3D3D3"/>
              <w:left w:val="single" w:sz="4" w:space="0" w:color="000000"/>
              <w:bottom w:val="single" w:sz="6" w:space="0" w:color="D3D3D3"/>
              <w:right w:val="single" w:sz="4" w:space="0" w:color="000000"/>
            </w:tcBorders>
          </w:tcPr>
          <w:p w14:paraId="55C1EF70"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500.000.000</w:t>
            </w:r>
          </w:p>
        </w:tc>
        <w:tc>
          <w:tcPr>
            <w:tcW w:w="1277" w:type="dxa"/>
            <w:tcBorders>
              <w:top w:val="single" w:sz="6" w:space="0" w:color="D3D3D3"/>
              <w:left w:val="single" w:sz="4" w:space="0" w:color="000000"/>
              <w:bottom w:val="single" w:sz="6" w:space="0" w:color="D3D3D3"/>
              <w:right w:val="single" w:sz="4" w:space="0" w:color="000000"/>
            </w:tcBorders>
          </w:tcPr>
          <w:p w14:paraId="0C0B7BD3" w14:textId="77777777" w:rsidR="00D96A90" w:rsidRPr="006B0349" w:rsidRDefault="00D96A90" w:rsidP="00EF5AF2">
            <w:pPr>
              <w:spacing w:before="6" w:line="248" w:lineRule="exact"/>
              <w:ind w:right="63"/>
              <w:jc w:val="right"/>
              <w:rPr>
                <w:rFonts w:ascii="Arial MT" w:eastAsia="Arial MT" w:hAnsi="Arial MT" w:cs="Arial MT"/>
              </w:rPr>
            </w:pPr>
            <w:r w:rsidRPr="006B0349">
              <w:rPr>
                <w:rFonts w:ascii="Arial MT" w:eastAsia="Arial MT" w:hAnsi="Arial MT" w:cs="Arial MT"/>
                <w:spacing w:val="-2"/>
                <w:w w:val="70"/>
              </w:rPr>
              <w:t>457.185.100</w:t>
            </w:r>
          </w:p>
        </w:tc>
        <w:tc>
          <w:tcPr>
            <w:tcW w:w="1354" w:type="dxa"/>
            <w:tcBorders>
              <w:top w:val="single" w:sz="6" w:space="0" w:color="D3D3D3"/>
              <w:left w:val="single" w:sz="4" w:space="0" w:color="000000"/>
              <w:bottom w:val="single" w:sz="6" w:space="0" w:color="D3D3D3"/>
              <w:right w:val="single" w:sz="4" w:space="0" w:color="000000"/>
            </w:tcBorders>
          </w:tcPr>
          <w:p w14:paraId="2F9A02DA" w14:textId="77777777" w:rsidR="00D96A90" w:rsidRPr="006B0349" w:rsidRDefault="00D96A90" w:rsidP="00EF5AF2">
            <w:pPr>
              <w:spacing w:before="6" w:line="248" w:lineRule="exact"/>
              <w:ind w:right="63"/>
              <w:jc w:val="right"/>
              <w:rPr>
                <w:rFonts w:ascii="Arial MT" w:eastAsia="Arial MT" w:hAnsi="Arial MT" w:cs="Arial MT"/>
              </w:rPr>
            </w:pPr>
            <w:r w:rsidRPr="006B0349">
              <w:rPr>
                <w:rFonts w:ascii="Arial MT" w:eastAsia="Arial MT" w:hAnsi="Arial MT" w:cs="Arial MT"/>
                <w:spacing w:val="-2"/>
                <w:w w:val="70"/>
              </w:rPr>
              <w:t>457.185.100</w:t>
            </w:r>
          </w:p>
        </w:tc>
        <w:tc>
          <w:tcPr>
            <w:tcW w:w="1337" w:type="dxa"/>
            <w:tcBorders>
              <w:top w:val="single" w:sz="6" w:space="0" w:color="D3D3D3"/>
              <w:left w:val="single" w:sz="4" w:space="0" w:color="000000"/>
              <w:bottom w:val="single" w:sz="6" w:space="0" w:color="D3D3D3"/>
              <w:right w:val="single" w:sz="4" w:space="0" w:color="000000"/>
            </w:tcBorders>
          </w:tcPr>
          <w:p w14:paraId="426C3DB0" w14:textId="77777777" w:rsidR="00D96A90" w:rsidRPr="006B0349" w:rsidRDefault="00D96A90" w:rsidP="00EF5AF2">
            <w:pPr>
              <w:spacing w:before="6" w:line="248" w:lineRule="exact"/>
              <w:ind w:right="63"/>
              <w:jc w:val="right"/>
              <w:rPr>
                <w:rFonts w:ascii="Arial MT" w:eastAsia="Arial MT" w:hAnsi="Arial MT" w:cs="Arial MT"/>
              </w:rPr>
            </w:pPr>
            <w:r w:rsidRPr="006B0349">
              <w:rPr>
                <w:rFonts w:ascii="Arial MT" w:eastAsia="Arial MT" w:hAnsi="Arial MT" w:cs="Arial MT"/>
                <w:spacing w:val="-2"/>
                <w:w w:val="70"/>
              </w:rPr>
              <w:t>421.672.100</w:t>
            </w:r>
          </w:p>
        </w:tc>
        <w:tc>
          <w:tcPr>
            <w:tcW w:w="1277" w:type="dxa"/>
            <w:tcBorders>
              <w:top w:val="single" w:sz="6" w:space="0" w:color="D3D3D3"/>
              <w:left w:val="single" w:sz="4" w:space="0" w:color="000000"/>
              <w:bottom w:val="single" w:sz="6" w:space="0" w:color="D3D3D3"/>
              <w:right w:val="single" w:sz="4" w:space="0" w:color="000000"/>
            </w:tcBorders>
          </w:tcPr>
          <w:p w14:paraId="4D875045" w14:textId="77777777" w:rsidR="00D96A90" w:rsidRPr="006B0349" w:rsidRDefault="00D96A90" w:rsidP="00EF5AF2">
            <w:pPr>
              <w:spacing w:before="6" w:line="248" w:lineRule="exact"/>
              <w:ind w:right="63"/>
              <w:jc w:val="right"/>
              <w:rPr>
                <w:rFonts w:ascii="Arial MT" w:eastAsia="Arial MT" w:hAnsi="Arial MT" w:cs="Arial MT"/>
              </w:rPr>
            </w:pPr>
            <w:r w:rsidRPr="006B0349">
              <w:rPr>
                <w:rFonts w:ascii="Arial MT" w:eastAsia="Arial MT" w:hAnsi="Arial MT" w:cs="Arial MT"/>
                <w:spacing w:val="-2"/>
                <w:w w:val="70"/>
              </w:rPr>
              <w:t>421.672.100</w:t>
            </w:r>
          </w:p>
        </w:tc>
      </w:tr>
      <w:tr w:rsidR="00D96A90" w:rsidRPr="006B0349" w14:paraId="5A151383" w14:textId="77777777" w:rsidTr="00EF5AF2">
        <w:trPr>
          <w:trHeight w:val="274"/>
          <w:jc w:val="center"/>
        </w:trPr>
        <w:tc>
          <w:tcPr>
            <w:tcW w:w="3026" w:type="dxa"/>
            <w:tcBorders>
              <w:top w:val="single" w:sz="6" w:space="0" w:color="D3D3D3"/>
              <w:left w:val="single" w:sz="4" w:space="0" w:color="000000"/>
              <w:bottom w:val="single" w:sz="6" w:space="0" w:color="D3D3D3"/>
              <w:right w:val="single" w:sz="4" w:space="0" w:color="000000"/>
            </w:tcBorders>
          </w:tcPr>
          <w:p w14:paraId="5896DB20" w14:textId="77777777" w:rsidR="00D96A90" w:rsidRPr="006B0349" w:rsidRDefault="00D96A90" w:rsidP="00EF5AF2">
            <w:pPr>
              <w:spacing w:before="6" w:line="248" w:lineRule="exact"/>
              <w:ind w:left="29"/>
              <w:rPr>
                <w:rFonts w:ascii="Arial MT" w:eastAsia="Arial MT" w:hAnsi="Arial MT" w:cs="Arial MT"/>
              </w:rPr>
            </w:pPr>
            <w:r w:rsidRPr="006B0349">
              <w:rPr>
                <w:rFonts w:ascii="Arial MT" w:eastAsia="Arial MT" w:hAnsi="Arial MT" w:cs="Arial MT"/>
                <w:spacing w:val="-2"/>
                <w:w w:val="60"/>
              </w:rPr>
              <w:t>INVERSION</w:t>
            </w:r>
            <w:r w:rsidRPr="006B0349">
              <w:rPr>
                <w:rFonts w:ascii="Arial MT" w:eastAsia="Arial MT" w:hAnsi="Arial MT" w:cs="Arial MT"/>
                <w:spacing w:val="-4"/>
                <w:w w:val="60"/>
              </w:rPr>
              <w:t xml:space="preserve"> </w:t>
            </w:r>
            <w:r w:rsidRPr="006B0349">
              <w:rPr>
                <w:rFonts w:ascii="Arial MT" w:eastAsia="Arial MT" w:hAnsi="Arial MT" w:cs="Arial MT"/>
                <w:spacing w:val="-2"/>
                <w:w w:val="70"/>
              </w:rPr>
              <w:t>INFRAESTRUCTURA</w:t>
            </w:r>
          </w:p>
        </w:tc>
        <w:tc>
          <w:tcPr>
            <w:tcW w:w="1320" w:type="dxa"/>
            <w:tcBorders>
              <w:top w:val="single" w:sz="6" w:space="0" w:color="D3D3D3"/>
              <w:left w:val="single" w:sz="4" w:space="0" w:color="000000"/>
              <w:bottom w:val="single" w:sz="6" w:space="0" w:color="D3D3D3"/>
              <w:right w:val="single" w:sz="4" w:space="0" w:color="000000"/>
            </w:tcBorders>
          </w:tcPr>
          <w:p w14:paraId="2E613F68"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5.892.290.121</w:t>
            </w:r>
          </w:p>
        </w:tc>
        <w:tc>
          <w:tcPr>
            <w:tcW w:w="1277" w:type="dxa"/>
            <w:tcBorders>
              <w:top w:val="single" w:sz="6" w:space="0" w:color="D3D3D3"/>
              <w:left w:val="single" w:sz="4" w:space="0" w:color="000000"/>
              <w:bottom w:val="single" w:sz="6" w:space="0" w:color="D3D3D3"/>
              <w:right w:val="single" w:sz="4" w:space="0" w:color="000000"/>
            </w:tcBorders>
          </w:tcPr>
          <w:p w14:paraId="63CA3805"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5.890.907.910</w:t>
            </w:r>
          </w:p>
        </w:tc>
        <w:tc>
          <w:tcPr>
            <w:tcW w:w="1354" w:type="dxa"/>
            <w:tcBorders>
              <w:top w:val="single" w:sz="6" w:space="0" w:color="D3D3D3"/>
              <w:left w:val="single" w:sz="4" w:space="0" w:color="000000"/>
              <w:bottom w:val="single" w:sz="6" w:space="0" w:color="D3D3D3"/>
              <w:right w:val="single" w:sz="4" w:space="0" w:color="000000"/>
            </w:tcBorders>
          </w:tcPr>
          <w:p w14:paraId="5FD3FD58" w14:textId="77777777" w:rsidR="00D96A90" w:rsidRPr="006B0349" w:rsidRDefault="00D96A90" w:rsidP="00EF5AF2">
            <w:pPr>
              <w:spacing w:before="6" w:line="248" w:lineRule="exact"/>
              <w:ind w:right="64"/>
              <w:jc w:val="right"/>
              <w:rPr>
                <w:rFonts w:ascii="Arial MT" w:eastAsia="Arial MT" w:hAnsi="Arial MT" w:cs="Arial MT"/>
              </w:rPr>
            </w:pPr>
            <w:r w:rsidRPr="006B0349">
              <w:rPr>
                <w:rFonts w:ascii="Arial MT" w:eastAsia="Arial MT" w:hAnsi="Arial MT" w:cs="Arial MT"/>
                <w:spacing w:val="-2"/>
                <w:w w:val="70"/>
              </w:rPr>
              <w:t>5.888.859.604</w:t>
            </w:r>
          </w:p>
        </w:tc>
        <w:tc>
          <w:tcPr>
            <w:tcW w:w="1337" w:type="dxa"/>
            <w:tcBorders>
              <w:top w:val="single" w:sz="6" w:space="0" w:color="D3D3D3"/>
              <w:left w:val="single" w:sz="4" w:space="0" w:color="000000"/>
              <w:bottom w:val="single" w:sz="6" w:space="0" w:color="D3D3D3"/>
              <w:right w:val="single" w:sz="4" w:space="0" w:color="000000"/>
            </w:tcBorders>
          </w:tcPr>
          <w:p w14:paraId="62AAF787" w14:textId="77777777" w:rsidR="00D96A90" w:rsidRPr="006B0349" w:rsidRDefault="00D96A90" w:rsidP="00EF5AF2">
            <w:pPr>
              <w:spacing w:before="6" w:line="248" w:lineRule="exact"/>
              <w:ind w:right="65"/>
              <w:jc w:val="right"/>
              <w:rPr>
                <w:rFonts w:ascii="Arial MT" w:eastAsia="Arial MT" w:hAnsi="Arial MT" w:cs="Arial MT"/>
              </w:rPr>
            </w:pPr>
            <w:r w:rsidRPr="006B0349">
              <w:rPr>
                <w:rFonts w:ascii="Arial MT" w:eastAsia="Arial MT" w:hAnsi="Arial MT" w:cs="Arial MT"/>
                <w:spacing w:val="-2"/>
                <w:w w:val="70"/>
              </w:rPr>
              <w:t>2.784.227.184</w:t>
            </w:r>
          </w:p>
        </w:tc>
        <w:tc>
          <w:tcPr>
            <w:tcW w:w="1277" w:type="dxa"/>
            <w:tcBorders>
              <w:top w:val="single" w:sz="6" w:space="0" w:color="D3D3D3"/>
              <w:left w:val="single" w:sz="4" w:space="0" w:color="000000"/>
              <w:bottom w:val="single" w:sz="6" w:space="0" w:color="D3D3D3"/>
              <w:right w:val="single" w:sz="4" w:space="0" w:color="000000"/>
            </w:tcBorders>
          </w:tcPr>
          <w:p w14:paraId="53E6D8B9" w14:textId="77777777" w:rsidR="00D96A90" w:rsidRPr="006B0349" w:rsidRDefault="00D96A90" w:rsidP="00EF5AF2">
            <w:pPr>
              <w:spacing w:before="6" w:line="248" w:lineRule="exact"/>
              <w:ind w:right="63"/>
              <w:jc w:val="right"/>
              <w:rPr>
                <w:rFonts w:ascii="Arial MT" w:eastAsia="Arial MT" w:hAnsi="Arial MT" w:cs="Arial MT"/>
              </w:rPr>
            </w:pPr>
            <w:r w:rsidRPr="006B0349">
              <w:rPr>
                <w:rFonts w:ascii="Arial MT" w:eastAsia="Arial MT" w:hAnsi="Arial MT" w:cs="Arial MT"/>
                <w:spacing w:val="-2"/>
                <w:w w:val="70"/>
              </w:rPr>
              <w:t>2.784.227.184</w:t>
            </w:r>
          </w:p>
        </w:tc>
      </w:tr>
      <w:tr w:rsidR="00D96A90" w:rsidRPr="006B0349" w14:paraId="5D3FCC70" w14:textId="77777777" w:rsidTr="00EF5AF2">
        <w:trPr>
          <w:trHeight w:val="274"/>
          <w:jc w:val="center"/>
        </w:trPr>
        <w:tc>
          <w:tcPr>
            <w:tcW w:w="3026" w:type="dxa"/>
            <w:tcBorders>
              <w:top w:val="single" w:sz="6" w:space="0" w:color="D3D3D3"/>
              <w:left w:val="single" w:sz="4" w:space="0" w:color="000000"/>
              <w:bottom w:val="nil"/>
              <w:right w:val="single" w:sz="4" w:space="0" w:color="000000"/>
            </w:tcBorders>
          </w:tcPr>
          <w:p w14:paraId="759A6E6A" w14:textId="77777777" w:rsidR="00D96A90" w:rsidRPr="006B0349" w:rsidRDefault="00D96A90" w:rsidP="00EF5AF2">
            <w:pPr>
              <w:spacing w:before="7" w:line="248" w:lineRule="exact"/>
              <w:ind w:left="29"/>
              <w:rPr>
                <w:rFonts w:ascii="Arial MT" w:eastAsia="Arial MT" w:hAnsi="Arial MT" w:cs="Arial MT"/>
              </w:rPr>
            </w:pPr>
            <w:r w:rsidRPr="006B0349">
              <w:rPr>
                <w:rFonts w:ascii="Arial MT" w:eastAsia="Arial MT" w:hAnsi="Arial MT" w:cs="Arial MT"/>
                <w:spacing w:val="-2"/>
                <w:w w:val="60"/>
              </w:rPr>
              <w:t>INVERSION</w:t>
            </w:r>
            <w:r w:rsidRPr="006B0349">
              <w:rPr>
                <w:rFonts w:ascii="Arial MT" w:eastAsia="Arial MT" w:hAnsi="Arial MT" w:cs="Arial MT"/>
                <w:spacing w:val="-4"/>
                <w:w w:val="60"/>
              </w:rPr>
              <w:t xml:space="preserve"> </w:t>
            </w:r>
            <w:r w:rsidRPr="006B0349">
              <w:rPr>
                <w:rFonts w:ascii="Arial MT" w:eastAsia="Arial MT" w:hAnsi="Arial MT" w:cs="Arial MT"/>
                <w:spacing w:val="-2"/>
                <w:w w:val="70"/>
              </w:rPr>
              <w:t>DOTACIÓN</w:t>
            </w:r>
          </w:p>
        </w:tc>
        <w:tc>
          <w:tcPr>
            <w:tcW w:w="1320" w:type="dxa"/>
            <w:tcBorders>
              <w:top w:val="single" w:sz="6" w:space="0" w:color="D3D3D3"/>
              <w:left w:val="single" w:sz="4" w:space="0" w:color="000000"/>
              <w:bottom w:val="nil"/>
              <w:right w:val="single" w:sz="4" w:space="0" w:color="000000"/>
            </w:tcBorders>
          </w:tcPr>
          <w:p w14:paraId="408AD2F1" w14:textId="77777777" w:rsidR="00D96A90" w:rsidRPr="006B0349" w:rsidRDefault="00D96A90" w:rsidP="00EF5AF2">
            <w:pPr>
              <w:spacing w:before="7" w:line="248" w:lineRule="exact"/>
              <w:ind w:right="64"/>
              <w:jc w:val="right"/>
              <w:rPr>
                <w:rFonts w:ascii="Arial MT" w:eastAsia="Arial MT" w:hAnsi="Arial MT" w:cs="Arial MT"/>
              </w:rPr>
            </w:pPr>
            <w:r w:rsidRPr="006B0349">
              <w:rPr>
                <w:rFonts w:ascii="Arial MT" w:eastAsia="Arial MT" w:hAnsi="Arial MT" w:cs="Arial MT"/>
                <w:spacing w:val="-2"/>
                <w:w w:val="70"/>
              </w:rPr>
              <w:t>2.389.617.913</w:t>
            </w:r>
          </w:p>
        </w:tc>
        <w:tc>
          <w:tcPr>
            <w:tcW w:w="1277" w:type="dxa"/>
            <w:tcBorders>
              <w:top w:val="single" w:sz="6" w:space="0" w:color="D3D3D3"/>
              <w:left w:val="single" w:sz="4" w:space="0" w:color="000000"/>
              <w:right w:val="single" w:sz="4" w:space="0" w:color="000000"/>
            </w:tcBorders>
          </w:tcPr>
          <w:p w14:paraId="28CB39E6" w14:textId="77777777" w:rsidR="00D96A90" w:rsidRPr="006B0349" w:rsidRDefault="00D96A90" w:rsidP="00EF5AF2">
            <w:pPr>
              <w:spacing w:before="7" w:line="248" w:lineRule="exact"/>
              <w:ind w:right="64"/>
              <w:jc w:val="right"/>
              <w:rPr>
                <w:rFonts w:ascii="Arial MT" w:eastAsia="Arial MT" w:hAnsi="Arial MT" w:cs="Arial MT"/>
              </w:rPr>
            </w:pPr>
            <w:r w:rsidRPr="006B0349">
              <w:rPr>
                <w:rFonts w:ascii="Arial MT" w:eastAsia="Arial MT" w:hAnsi="Arial MT" w:cs="Arial MT"/>
                <w:spacing w:val="-2"/>
                <w:w w:val="70"/>
              </w:rPr>
              <w:t>2.389.611.782</w:t>
            </w:r>
          </w:p>
        </w:tc>
        <w:tc>
          <w:tcPr>
            <w:tcW w:w="1354" w:type="dxa"/>
            <w:tcBorders>
              <w:top w:val="single" w:sz="6" w:space="0" w:color="D3D3D3"/>
              <w:left w:val="single" w:sz="4" w:space="0" w:color="000000"/>
              <w:right w:val="single" w:sz="4" w:space="0" w:color="000000"/>
            </w:tcBorders>
          </w:tcPr>
          <w:p w14:paraId="1778F7EF" w14:textId="77777777" w:rsidR="00D96A90" w:rsidRPr="006B0349" w:rsidRDefault="00D96A90" w:rsidP="00EF5AF2">
            <w:pPr>
              <w:spacing w:before="7" w:line="248" w:lineRule="exact"/>
              <w:ind w:right="64"/>
              <w:jc w:val="right"/>
              <w:rPr>
                <w:rFonts w:ascii="Arial MT" w:eastAsia="Arial MT" w:hAnsi="Arial MT" w:cs="Arial MT"/>
              </w:rPr>
            </w:pPr>
            <w:r w:rsidRPr="006B0349">
              <w:rPr>
                <w:rFonts w:ascii="Arial MT" w:eastAsia="Arial MT" w:hAnsi="Arial MT" w:cs="Arial MT"/>
                <w:spacing w:val="-2"/>
                <w:w w:val="70"/>
              </w:rPr>
              <w:t>2.385.316.110</w:t>
            </w:r>
          </w:p>
        </w:tc>
        <w:tc>
          <w:tcPr>
            <w:tcW w:w="1337" w:type="dxa"/>
            <w:tcBorders>
              <w:top w:val="single" w:sz="6" w:space="0" w:color="D3D3D3"/>
              <w:left w:val="single" w:sz="4" w:space="0" w:color="000000"/>
              <w:right w:val="single" w:sz="4" w:space="0" w:color="000000"/>
            </w:tcBorders>
          </w:tcPr>
          <w:p w14:paraId="16CC5B53" w14:textId="77777777" w:rsidR="00D96A90" w:rsidRPr="006B0349" w:rsidRDefault="00D96A90" w:rsidP="00EF5AF2">
            <w:pPr>
              <w:spacing w:before="7" w:line="248" w:lineRule="exact"/>
              <w:ind w:right="65"/>
              <w:jc w:val="right"/>
              <w:rPr>
                <w:rFonts w:ascii="Arial MT" w:eastAsia="Arial MT" w:hAnsi="Arial MT" w:cs="Arial MT"/>
              </w:rPr>
            </w:pPr>
            <w:r w:rsidRPr="006B0349">
              <w:rPr>
                <w:rFonts w:ascii="Arial MT" w:eastAsia="Arial MT" w:hAnsi="Arial MT" w:cs="Arial MT"/>
                <w:spacing w:val="-2"/>
                <w:w w:val="70"/>
              </w:rPr>
              <w:t>1.195.699.710</w:t>
            </w:r>
          </w:p>
        </w:tc>
        <w:tc>
          <w:tcPr>
            <w:tcW w:w="1277" w:type="dxa"/>
            <w:tcBorders>
              <w:top w:val="single" w:sz="6" w:space="0" w:color="D3D3D3"/>
              <w:left w:val="single" w:sz="4" w:space="0" w:color="000000"/>
              <w:right w:val="single" w:sz="4" w:space="0" w:color="000000"/>
            </w:tcBorders>
          </w:tcPr>
          <w:p w14:paraId="38D84E47" w14:textId="77777777" w:rsidR="00D96A90" w:rsidRPr="006B0349" w:rsidRDefault="00D96A90" w:rsidP="00EF5AF2">
            <w:pPr>
              <w:spacing w:before="7" w:line="248" w:lineRule="exact"/>
              <w:ind w:right="63"/>
              <w:jc w:val="right"/>
              <w:rPr>
                <w:rFonts w:ascii="Arial MT" w:eastAsia="Arial MT" w:hAnsi="Arial MT" w:cs="Arial MT"/>
              </w:rPr>
            </w:pPr>
            <w:r w:rsidRPr="006B0349">
              <w:rPr>
                <w:rFonts w:ascii="Arial MT" w:eastAsia="Arial MT" w:hAnsi="Arial MT" w:cs="Arial MT"/>
                <w:spacing w:val="-2"/>
                <w:w w:val="70"/>
              </w:rPr>
              <w:t>1.195.699.710</w:t>
            </w:r>
          </w:p>
        </w:tc>
      </w:tr>
      <w:tr w:rsidR="00D96A90" w:rsidRPr="006B0349" w14:paraId="563B8672" w14:textId="77777777" w:rsidTr="00EF5AF2">
        <w:trPr>
          <w:trHeight w:val="274"/>
          <w:jc w:val="center"/>
        </w:trPr>
        <w:tc>
          <w:tcPr>
            <w:tcW w:w="3026" w:type="dxa"/>
            <w:tcBorders>
              <w:top w:val="nil"/>
              <w:left w:val="single" w:sz="4" w:space="0" w:color="000000"/>
              <w:right w:val="single" w:sz="4" w:space="0" w:color="000000"/>
            </w:tcBorders>
            <w:shd w:val="clear" w:color="auto" w:fill="DDEBF7"/>
          </w:tcPr>
          <w:p w14:paraId="7392CBF0" w14:textId="77777777" w:rsidR="00D96A90" w:rsidRPr="006B0349" w:rsidRDefault="00D96A90" w:rsidP="00EF5AF2">
            <w:pPr>
              <w:spacing w:before="6" w:line="248" w:lineRule="exact"/>
              <w:ind w:left="29"/>
              <w:rPr>
                <w:rFonts w:eastAsia="Arial MT" w:hAnsi="Arial MT" w:cs="Arial MT"/>
                <w:b/>
              </w:rPr>
            </w:pPr>
            <w:r w:rsidRPr="006B0349">
              <w:rPr>
                <w:rFonts w:eastAsia="Arial MT" w:hAnsi="Arial MT" w:cs="Arial MT"/>
                <w:b/>
                <w:w w:val="60"/>
              </w:rPr>
              <w:t>TOTAL,</w:t>
            </w:r>
            <w:r w:rsidRPr="006B0349">
              <w:rPr>
                <w:rFonts w:eastAsia="Arial MT" w:hAnsi="Arial MT" w:cs="Arial MT"/>
                <w:b/>
                <w:spacing w:val="-4"/>
                <w:w w:val="70"/>
              </w:rPr>
              <w:t xml:space="preserve"> </w:t>
            </w:r>
            <w:r w:rsidRPr="006B0349">
              <w:rPr>
                <w:rFonts w:eastAsia="Arial MT" w:hAnsi="Arial MT" w:cs="Arial MT"/>
                <w:b/>
                <w:spacing w:val="-2"/>
                <w:w w:val="70"/>
              </w:rPr>
              <w:t>PRESUPUESTO</w:t>
            </w:r>
          </w:p>
        </w:tc>
        <w:tc>
          <w:tcPr>
            <w:tcW w:w="1320" w:type="dxa"/>
            <w:tcBorders>
              <w:top w:val="nil"/>
              <w:left w:val="single" w:sz="4" w:space="0" w:color="000000"/>
              <w:right w:val="single" w:sz="4" w:space="0" w:color="000000"/>
            </w:tcBorders>
            <w:shd w:val="clear" w:color="auto" w:fill="DDEBF7"/>
          </w:tcPr>
          <w:p w14:paraId="61A69B90" w14:textId="77777777" w:rsidR="00D96A90" w:rsidRPr="006B0349" w:rsidRDefault="00D96A90" w:rsidP="00EF5AF2">
            <w:pPr>
              <w:spacing w:before="6" w:line="248" w:lineRule="exact"/>
              <w:ind w:right="64"/>
              <w:jc w:val="right"/>
              <w:rPr>
                <w:rFonts w:eastAsia="Arial MT" w:hAnsi="Arial MT" w:cs="Arial MT"/>
                <w:b/>
              </w:rPr>
            </w:pPr>
            <w:r w:rsidRPr="006B0349">
              <w:rPr>
                <w:rFonts w:eastAsia="Arial MT" w:hAnsi="Arial MT" w:cs="Arial MT"/>
                <w:b/>
                <w:spacing w:val="-2"/>
                <w:w w:val="70"/>
              </w:rPr>
              <w:t>10.631.908.034</w:t>
            </w:r>
          </w:p>
        </w:tc>
        <w:tc>
          <w:tcPr>
            <w:tcW w:w="1277" w:type="dxa"/>
            <w:tcBorders>
              <w:left w:val="single" w:sz="4" w:space="0" w:color="000000"/>
              <w:right w:val="single" w:sz="4" w:space="0" w:color="000000"/>
            </w:tcBorders>
          </w:tcPr>
          <w:p w14:paraId="4FAADA5F" w14:textId="77777777" w:rsidR="00D96A90" w:rsidRPr="006B0349" w:rsidRDefault="00D96A90" w:rsidP="00EF5AF2">
            <w:pPr>
              <w:spacing w:before="6" w:line="248" w:lineRule="exact"/>
              <w:ind w:right="22"/>
              <w:jc w:val="right"/>
              <w:rPr>
                <w:rFonts w:eastAsia="Arial MT" w:hAnsi="Arial MT" w:cs="Arial MT"/>
                <w:b/>
              </w:rPr>
            </w:pPr>
            <w:r w:rsidRPr="006B0349">
              <w:rPr>
                <w:rFonts w:eastAsia="Arial MT" w:hAnsi="Arial MT" w:cs="Arial MT"/>
                <w:b/>
                <w:spacing w:val="-2"/>
                <w:w w:val="65"/>
              </w:rPr>
              <w:t>10.579.522.499,00</w:t>
            </w:r>
          </w:p>
        </w:tc>
        <w:tc>
          <w:tcPr>
            <w:tcW w:w="1354" w:type="dxa"/>
            <w:tcBorders>
              <w:left w:val="single" w:sz="4" w:space="0" w:color="000000"/>
              <w:right w:val="single" w:sz="4" w:space="0" w:color="000000"/>
            </w:tcBorders>
          </w:tcPr>
          <w:p w14:paraId="68886067" w14:textId="77777777" w:rsidR="00D96A90" w:rsidRPr="006B0349" w:rsidRDefault="00D96A90" w:rsidP="00EF5AF2">
            <w:pPr>
              <w:spacing w:before="6" w:line="248" w:lineRule="exact"/>
              <w:ind w:right="21"/>
              <w:jc w:val="right"/>
              <w:rPr>
                <w:rFonts w:eastAsia="Arial MT" w:hAnsi="Arial MT" w:cs="Arial MT"/>
                <w:b/>
              </w:rPr>
            </w:pPr>
            <w:r w:rsidRPr="006B0349">
              <w:rPr>
                <w:rFonts w:eastAsia="Arial MT" w:hAnsi="Arial MT" w:cs="Arial MT"/>
                <w:b/>
                <w:spacing w:val="-2"/>
                <w:w w:val="70"/>
              </w:rPr>
              <w:t>10.573.178.521,00</w:t>
            </w:r>
          </w:p>
        </w:tc>
        <w:tc>
          <w:tcPr>
            <w:tcW w:w="1337" w:type="dxa"/>
            <w:tcBorders>
              <w:left w:val="single" w:sz="4" w:space="0" w:color="000000"/>
              <w:right w:val="single" w:sz="4" w:space="0" w:color="000000"/>
            </w:tcBorders>
          </w:tcPr>
          <w:p w14:paraId="52E72CDA" w14:textId="77777777" w:rsidR="00D96A90" w:rsidRPr="006B0349" w:rsidRDefault="00D96A90" w:rsidP="00EF5AF2">
            <w:pPr>
              <w:spacing w:before="6" w:line="248" w:lineRule="exact"/>
              <w:ind w:right="21"/>
              <w:jc w:val="right"/>
              <w:rPr>
                <w:rFonts w:eastAsia="Arial MT" w:hAnsi="Arial MT" w:cs="Arial MT"/>
                <w:b/>
              </w:rPr>
            </w:pPr>
            <w:r w:rsidRPr="006B0349">
              <w:rPr>
                <w:rFonts w:eastAsia="Arial MT" w:hAnsi="Arial MT" w:cs="Arial MT"/>
                <w:b/>
                <w:spacing w:val="-2"/>
                <w:w w:val="70"/>
              </w:rPr>
              <w:t>5.939.178.149,04</w:t>
            </w:r>
          </w:p>
        </w:tc>
        <w:tc>
          <w:tcPr>
            <w:tcW w:w="1277" w:type="dxa"/>
            <w:tcBorders>
              <w:left w:val="single" w:sz="4" w:space="0" w:color="000000"/>
              <w:right w:val="single" w:sz="4" w:space="0" w:color="000000"/>
            </w:tcBorders>
          </w:tcPr>
          <w:p w14:paraId="09B09472" w14:textId="77777777" w:rsidR="00D96A90" w:rsidRPr="006B0349" w:rsidRDefault="00D96A90" w:rsidP="00EF5AF2">
            <w:pPr>
              <w:spacing w:before="6" w:line="248" w:lineRule="exact"/>
              <w:ind w:right="21"/>
              <w:jc w:val="right"/>
              <w:rPr>
                <w:rFonts w:eastAsia="Arial MT" w:hAnsi="Arial MT" w:cs="Arial MT"/>
                <w:b/>
              </w:rPr>
            </w:pPr>
            <w:r w:rsidRPr="006B0349">
              <w:rPr>
                <w:rFonts w:eastAsia="Arial MT" w:hAnsi="Arial MT" w:cs="Arial MT"/>
                <w:b/>
                <w:spacing w:val="-2"/>
                <w:w w:val="70"/>
              </w:rPr>
              <w:t>5.939.178.149,04</w:t>
            </w:r>
          </w:p>
        </w:tc>
      </w:tr>
      <w:tr w:rsidR="00D96A90" w:rsidRPr="006B0349" w14:paraId="03987D3B" w14:textId="77777777" w:rsidTr="00EF5AF2">
        <w:trPr>
          <w:trHeight w:val="274"/>
          <w:jc w:val="center"/>
        </w:trPr>
        <w:tc>
          <w:tcPr>
            <w:tcW w:w="4346" w:type="dxa"/>
            <w:gridSpan w:val="2"/>
            <w:tcBorders>
              <w:left w:val="nil"/>
              <w:bottom w:val="nil"/>
              <w:right w:val="nil"/>
            </w:tcBorders>
          </w:tcPr>
          <w:p w14:paraId="44A1A39F" w14:textId="77777777" w:rsidR="00D96A90" w:rsidRPr="006B0349" w:rsidRDefault="00D96A90" w:rsidP="00EF5AF2">
            <w:pPr>
              <w:rPr>
                <w:rFonts w:ascii="Times New Roman" w:eastAsia="Arial MT" w:hAnsi="Arial MT" w:cs="Arial MT"/>
                <w:sz w:val="20"/>
              </w:rPr>
            </w:pPr>
          </w:p>
        </w:tc>
        <w:tc>
          <w:tcPr>
            <w:tcW w:w="1277" w:type="dxa"/>
            <w:tcBorders>
              <w:left w:val="nil"/>
              <w:bottom w:val="single" w:sz="6" w:space="0" w:color="D3D3D3"/>
              <w:right w:val="single" w:sz="4" w:space="0" w:color="D3D3D3"/>
            </w:tcBorders>
          </w:tcPr>
          <w:p w14:paraId="080EED4C" w14:textId="77777777" w:rsidR="00D96A90" w:rsidRPr="006B0349" w:rsidRDefault="00D96A90" w:rsidP="00EF5AF2">
            <w:pPr>
              <w:spacing w:before="6" w:line="248" w:lineRule="exact"/>
              <w:ind w:left="402"/>
              <w:rPr>
                <w:rFonts w:eastAsia="Arial MT" w:hAnsi="Arial MT" w:cs="Arial MT"/>
                <w:b/>
              </w:rPr>
            </w:pPr>
            <w:r w:rsidRPr="006B0349">
              <w:rPr>
                <w:rFonts w:eastAsia="Arial MT" w:hAnsi="Arial MT" w:cs="Arial MT"/>
                <w:b/>
                <w:spacing w:val="-2"/>
                <w:w w:val="70"/>
              </w:rPr>
              <w:t>99,51%</w:t>
            </w:r>
          </w:p>
        </w:tc>
        <w:tc>
          <w:tcPr>
            <w:tcW w:w="1354" w:type="dxa"/>
            <w:tcBorders>
              <w:left w:val="single" w:sz="4" w:space="0" w:color="D3D3D3"/>
              <w:bottom w:val="single" w:sz="6" w:space="0" w:color="D3D3D3"/>
              <w:right w:val="single" w:sz="4" w:space="0" w:color="D3D3D3"/>
            </w:tcBorders>
          </w:tcPr>
          <w:p w14:paraId="3FB22A9E" w14:textId="77777777" w:rsidR="00D96A90" w:rsidRPr="006B0349" w:rsidRDefault="00D96A90" w:rsidP="00EF5AF2">
            <w:pPr>
              <w:spacing w:before="6" w:line="248" w:lineRule="exact"/>
              <w:ind w:left="440"/>
              <w:rPr>
                <w:rFonts w:eastAsia="Arial MT" w:hAnsi="Arial MT" w:cs="Arial MT"/>
                <w:b/>
              </w:rPr>
            </w:pPr>
            <w:r w:rsidRPr="006B0349">
              <w:rPr>
                <w:rFonts w:eastAsia="Arial MT" w:hAnsi="Arial MT" w:cs="Arial MT"/>
                <w:b/>
                <w:spacing w:val="-2"/>
                <w:w w:val="70"/>
              </w:rPr>
              <w:t>99,45%</w:t>
            </w:r>
          </w:p>
        </w:tc>
        <w:tc>
          <w:tcPr>
            <w:tcW w:w="1337" w:type="dxa"/>
            <w:tcBorders>
              <w:left w:val="single" w:sz="4" w:space="0" w:color="D3D3D3"/>
              <w:bottom w:val="single" w:sz="6" w:space="0" w:color="D3D3D3"/>
              <w:right w:val="single" w:sz="4" w:space="0" w:color="D3D3D3"/>
            </w:tcBorders>
          </w:tcPr>
          <w:p w14:paraId="3119B71B" w14:textId="77777777" w:rsidR="00D96A90" w:rsidRPr="006B0349" w:rsidRDefault="00D96A90" w:rsidP="00EF5AF2">
            <w:pPr>
              <w:spacing w:before="6" w:line="248" w:lineRule="exact"/>
              <w:ind w:left="432"/>
              <w:rPr>
                <w:rFonts w:eastAsia="Arial MT" w:hAnsi="Arial MT" w:cs="Arial MT"/>
                <w:b/>
              </w:rPr>
            </w:pPr>
            <w:r w:rsidRPr="006B0349">
              <w:rPr>
                <w:rFonts w:eastAsia="Arial MT" w:hAnsi="Arial MT" w:cs="Arial MT"/>
                <w:b/>
                <w:spacing w:val="-2"/>
                <w:w w:val="70"/>
              </w:rPr>
              <w:t>55,86%</w:t>
            </w:r>
          </w:p>
        </w:tc>
        <w:tc>
          <w:tcPr>
            <w:tcW w:w="1277" w:type="dxa"/>
            <w:tcBorders>
              <w:left w:val="single" w:sz="4" w:space="0" w:color="D3D3D3"/>
              <w:bottom w:val="single" w:sz="6" w:space="0" w:color="D3D3D3"/>
              <w:right w:val="single" w:sz="4" w:space="0" w:color="D3D3D3"/>
            </w:tcBorders>
          </w:tcPr>
          <w:p w14:paraId="42925A21" w14:textId="77777777" w:rsidR="00D96A90" w:rsidRPr="006B0349" w:rsidRDefault="00D96A90" w:rsidP="00EF5AF2">
            <w:pPr>
              <w:spacing w:before="6" w:line="248" w:lineRule="exact"/>
              <w:ind w:left="398"/>
              <w:rPr>
                <w:rFonts w:eastAsia="Arial MT" w:hAnsi="Arial MT" w:cs="Arial MT"/>
                <w:b/>
              </w:rPr>
            </w:pPr>
            <w:r w:rsidRPr="006B0349">
              <w:rPr>
                <w:rFonts w:eastAsia="Arial MT" w:hAnsi="Arial MT" w:cs="Arial MT"/>
                <w:b/>
                <w:spacing w:val="-2"/>
                <w:w w:val="70"/>
              </w:rPr>
              <w:t>55,86%</w:t>
            </w:r>
          </w:p>
        </w:tc>
      </w:tr>
    </w:tbl>
    <w:p w14:paraId="0C0900BA" w14:textId="77777777" w:rsidR="00D96A90" w:rsidRDefault="00D96A90" w:rsidP="00D96A90">
      <w:pPr>
        <w:pStyle w:val="Textoindependiente"/>
        <w:spacing w:before="3"/>
        <w:jc w:val="both"/>
        <w:rPr>
          <w:b/>
        </w:rPr>
      </w:pPr>
    </w:p>
    <w:p w14:paraId="506D8D33"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De igual manera para la ejecución de estos recursos y por qué no se alcanzaba a cumplir con los tiempos de los procesos contractuales, la Institución determino que no era viable usar estos recursos para no incurrir en sanciones con los entes de inspección, vigilancia y control, por tal razón quedó un saldo disponible en la apropiación de los recursos de inversión de $52.385.535, se realizó nuevamente el ejercicio de ejecución restando este monto, el avance de ejecución presupuestal de los proyectos de inversión que se ejecutaron dentro de la vigencia es del 100%.</w:t>
      </w:r>
    </w:p>
    <w:p w14:paraId="15CECF1F" w14:textId="77777777" w:rsidR="00D96A90" w:rsidRPr="001908C4" w:rsidRDefault="00D96A90" w:rsidP="00D96A90">
      <w:pPr>
        <w:pStyle w:val="Textoindependiente"/>
        <w:spacing w:before="3"/>
        <w:jc w:val="both"/>
        <w:rPr>
          <w:rFonts w:ascii="Arial" w:hAnsi="Arial" w:cs="Arial"/>
          <w:b/>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89"/>
        <w:gridCol w:w="1770"/>
      </w:tblGrid>
      <w:tr w:rsidR="00D96A90" w:rsidRPr="006B0349" w14:paraId="627190B6" w14:textId="77777777" w:rsidTr="00EF5AF2">
        <w:trPr>
          <w:trHeight w:val="285"/>
          <w:jc w:val="center"/>
        </w:trPr>
        <w:tc>
          <w:tcPr>
            <w:tcW w:w="3389" w:type="dxa"/>
          </w:tcPr>
          <w:p w14:paraId="39EC99D3" w14:textId="77777777" w:rsidR="00D96A90" w:rsidRPr="006B0349" w:rsidRDefault="00D96A90" w:rsidP="00EF5AF2">
            <w:pPr>
              <w:spacing w:before="15" w:line="249" w:lineRule="exact"/>
              <w:ind w:left="37"/>
              <w:rPr>
                <w:rFonts w:ascii="Calibri" w:eastAsia="Arial MT" w:hAnsi="Arial MT" w:cs="Arial MT"/>
                <w:b/>
              </w:rPr>
            </w:pPr>
            <w:r w:rsidRPr="006B0349">
              <w:rPr>
                <w:rFonts w:ascii="Calibri" w:eastAsia="Arial MT" w:hAnsi="Arial MT" w:cs="Arial MT"/>
                <w:b/>
              </w:rPr>
              <w:t>APROPIACION</w:t>
            </w:r>
            <w:r w:rsidRPr="006B0349">
              <w:rPr>
                <w:rFonts w:ascii="Calibri" w:eastAsia="Arial MT" w:hAnsi="Arial MT" w:cs="Arial MT"/>
                <w:b/>
                <w:spacing w:val="7"/>
              </w:rPr>
              <w:t xml:space="preserve"> </w:t>
            </w:r>
            <w:r w:rsidRPr="006B0349">
              <w:rPr>
                <w:rFonts w:ascii="Calibri" w:eastAsia="Arial MT" w:hAnsi="Arial MT" w:cs="Arial MT"/>
                <w:b/>
                <w:spacing w:val="-2"/>
              </w:rPr>
              <w:t>INVERSION</w:t>
            </w:r>
          </w:p>
        </w:tc>
        <w:tc>
          <w:tcPr>
            <w:tcW w:w="1770" w:type="dxa"/>
            <w:tcBorders>
              <w:right w:val="single" w:sz="8" w:space="0" w:color="000000"/>
            </w:tcBorders>
          </w:tcPr>
          <w:p w14:paraId="44D60B05" w14:textId="77777777" w:rsidR="00D96A90" w:rsidRPr="006B0349" w:rsidRDefault="00D96A90" w:rsidP="00EF5AF2">
            <w:pPr>
              <w:spacing w:before="15" w:line="249" w:lineRule="exact"/>
              <w:ind w:left="31"/>
              <w:jc w:val="center"/>
              <w:rPr>
                <w:rFonts w:ascii="Calibri" w:eastAsia="Arial MT" w:hAnsi="Arial MT" w:cs="Arial MT"/>
                <w:b/>
              </w:rPr>
            </w:pPr>
            <w:r w:rsidRPr="006B0349">
              <w:rPr>
                <w:rFonts w:ascii="Calibri" w:eastAsia="Arial MT" w:hAnsi="Arial MT" w:cs="Arial MT"/>
                <w:b/>
                <w:w w:val="105"/>
              </w:rPr>
              <w:t>$</w:t>
            </w:r>
            <w:r w:rsidRPr="006B0349">
              <w:rPr>
                <w:rFonts w:ascii="Calibri" w:eastAsia="Arial MT" w:hAnsi="Arial MT" w:cs="Arial MT"/>
                <w:b/>
                <w:spacing w:val="39"/>
                <w:w w:val="105"/>
              </w:rPr>
              <w:t xml:space="preserve"> </w:t>
            </w:r>
            <w:r w:rsidRPr="006B0349">
              <w:rPr>
                <w:rFonts w:ascii="Calibri" w:eastAsia="Arial MT" w:hAnsi="Arial MT" w:cs="Arial MT"/>
                <w:b/>
                <w:spacing w:val="-2"/>
                <w:w w:val="105"/>
              </w:rPr>
              <w:t>10.631.908.034</w:t>
            </w:r>
          </w:p>
        </w:tc>
      </w:tr>
      <w:tr w:rsidR="00D96A90" w:rsidRPr="006B0349" w14:paraId="56874163" w14:textId="77777777" w:rsidTr="00EF5AF2">
        <w:trPr>
          <w:trHeight w:val="285"/>
          <w:jc w:val="center"/>
        </w:trPr>
        <w:tc>
          <w:tcPr>
            <w:tcW w:w="3389" w:type="dxa"/>
          </w:tcPr>
          <w:p w14:paraId="39C9846A" w14:textId="77777777" w:rsidR="00D96A90" w:rsidRPr="006B0349" w:rsidRDefault="00D96A90" w:rsidP="00EF5AF2">
            <w:pPr>
              <w:spacing w:before="15" w:line="249" w:lineRule="exact"/>
              <w:ind w:left="37"/>
              <w:rPr>
                <w:rFonts w:ascii="Calibri" w:eastAsia="Arial MT" w:hAnsi="Arial MT" w:cs="Arial MT"/>
              </w:rPr>
            </w:pPr>
            <w:r w:rsidRPr="006B0349">
              <w:rPr>
                <w:rFonts w:ascii="Calibri" w:eastAsia="Arial MT" w:hAnsi="Arial MT" w:cs="Arial MT"/>
              </w:rPr>
              <w:t>APROPIACION</w:t>
            </w:r>
            <w:r w:rsidRPr="006B0349">
              <w:rPr>
                <w:rFonts w:ascii="Calibri" w:eastAsia="Arial MT" w:hAnsi="Arial MT" w:cs="Arial MT"/>
                <w:spacing w:val="45"/>
              </w:rPr>
              <w:t xml:space="preserve"> </w:t>
            </w:r>
            <w:r w:rsidRPr="006B0349">
              <w:rPr>
                <w:rFonts w:ascii="Calibri" w:eastAsia="Arial MT" w:hAnsi="Arial MT" w:cs="Arial MT"/>
                <w:spacing w:val="-2"/>
              </w:rPr>
              <w:t>DISPONIBLE</w:t>
            </w:r>
          </w:p>
        </w:tc>
        <w:tc>
          <w:tcPr>
            <w:tcW w:w="1770" w:type="dxa"/>
            <w:tcBorders>
              <w:right w:val="single" w:sz="8" w:space="0" w:color="000000"/>
            </w:tcBorders>
          </w:tcPr>
          <w:p w14:paraId="02E99860" w14:textId="77777777" w:rsidR="00D96A90" w:rsidRPr="006B0349" w:rsidRDefault="00D96A90" w:rsidP="00EF5AF2">
            <w:pPr>
              <w:tabs>
                <w:tab w:val="left" w:pos="614"/>
              </w:tabs>
              <w:spacing w:before="15" w:line="249" w:lineRule="exact"/>
              <w:ind w:left="30"/>
              <w:jc w:val="center"/>
              <w:rPr>
                <w:rFonts w:ascii="Calibri" w:eastAsia="Arial MT" w:hAnsi="Arial MT" w:cs="Arial MT"/>
              </w:rPr>
            </w:pPr>
            <w:r w:rsidRPr="006B0349">
              <w:rPr>
                <w:rFonts w:ascii="Calibri" w:eastAsia="Arial MT" w:hAnsi="Arial MT" w:cs="Arial MT"/>
                <w:spacing w:val="-10"/>
                <w:w w:val="105"/>
              </w:rPr>
              <w:t>$</w:t>
            </w:r>
            <w:r w:rsidRPr="006B0349">
              <w:rPr>
                <w:rFonts w:ascii="Calibri" w:eastAsia="Arial MT" w:hAnsi="Arial MT" w:cs="Arial MT"/>
              </w:rPr>
              <w:tab/>
            </w:r>
            <w:r w:rsidRPr="006B0349">
              <w:rPr>
                <w:rFonts w:ascii="Calibri" w:eastAsia="Arial MT" w:hAnsi="Arial MT" w:cs="Arial MT"/>
                <w:spacing w:val="-2"/>
                <w:w w:val="105"/>
              </w:rPr>
              <w:t>52.385.535</w:t>
            </w:r>
          </w:p>
        </w:tc>
      </w:tr>
      <w:tr w:rsidR="00D96A90" w:rsidRPr="006B0349" w14:paraId="51165893" w14:textId="77777777" w:rsidTr="00EF5AF2">
        <w:trPr>
          <w:trHeight w:val="285"/>
          <w:jc w:val="center"/>
        </w:trPr>
        <w:tc>
          <w:tcPr>
            <w:tcW w:w="3389" w:type="dxa"/>
          </w:tcPr>
          <w:p w14:paraId="1DE45ABF" w14:textId="77777777" w:rsidR="00D96A90" w:rsidRPr="006B0349" w:rsidRDefault="00D96A90" w:rsidP="00EF5AF2">
            <w:pPr>
              <w:spacing w:before="15" w:line="249" w:lineRule="exact"/>
              <w:ind w:left="37"/>
              <w:rPr>
                <w:rFonts w:ascii="Calibri" w:eastAsia="Arial MT" w:hAnsi="Arial MT" w:cs="Arial MT"/>
              </w:rPr>
            </w:pPr>
            <w:r w:rsidRPr="006B0349">
              <w:rPr>
                <w:rFonts w:ascii="Calibri" w:eastAsia="Arial MT" w:hAnsi="Arial MT" w:cs="Arial MT"/>
              </w:rPr>
              <w:t>TOTAL,</w:t>
            </w:r>
            <w:r w:rsidRPr="006B0349">
              <w:rPr>
                <w:rFonts w:ascii="Calibri" w:eastAsia="Arial MT" w:hAnsi="Arial MT" w:cs="Arial MT"/>
                <w:spacing w:val="15"/>
              </w:rPr>
              <w:t xml:space="preserve"> </w:t>
            </w:r>
            <w:r w:rsidRPr="006B0349">
              <w:rPr>
                <w:rFonts w:ascii="Calibri" w:eastAsia="Arial MT" w:hAnsi="Arial MT" w:cs="Arial MT"/>
              </w:rPr>
              <w:t>APROPIACION</w:t>
            </w:r>
            <w:r w:rsidRPr="006B0349">
              <w:rPr>
                <w:rFonts w:ascii="Calibri" w:eastAsia="Arial MT" w:hAnsi="Arial MT" w:cs="Arial MT"/>
                <w:spacing w:val="28"/>
              </w:rPr>
              <w:t xml:space="preserve"> </w:t>
            </w:r>
            <w:r w:rsidRPr="006B0349">
              <w:rPr>
                <w:rFonts w:ascii="Calibri" w:eastAsia="Arial MT" w:hAnsi="Arial MT" w:cs="Arial MT"/>
                <w:spacing w:val="-2"/>
              </w:rPr>
              <w:t>INVERSION</w:t>
            </w:r>
          </w:p>
        </w:tc>
        <w:tc>
          <w:tcPr>
            <w:tcW w:w="1770" w:type="dxa"/>
            <w:tcBorders>
              <w:right w:val="single" w:sz="8" w:space="0" w:color="000000"/>
            </w:tcBorders>
          </w:tcPr>
          <w:p w14:paraId="5C7A0B74" w14:textId="77777777" w:rsidR="00D96A90" w:rsidRPr="006B0349" w:rsidRDefault="00D96A90" w:rsidP="00EF5AF2">
            <w:pPr>
              <w:spacing w:before="15" w:line="249" w:lineRule="exact"/>
              <w:ind w:left="30"/>
              <w:jc w:val="center"/>
              <w:rPr>
                <w:rFonts w:ascii="Calibri" w:eastAsia="Arial MT" w:hAnsi="Arial MT" w:cs="Arial MT"/>
              </w:rPr>
            </w:pPr>
            <w:r w:rsidRPr="006B0349">
              <w:rPr>
                <w:rFonts w:ascii="Calibri" w:eastAsia="Arial MT" w:hAnsi="Arial MT" w:cs="Arial MT"/>
                <w:w w:val="105"/>
              </w:rPr>
              <w:t>$</w:t>
            </w:r>
            <w:r w:rsidRPr="006B0349">
              <w:rPr>
                <w:rFonts w:ascii="Calibri" w:eastAsia="Arial MT" w:hAnsi="Arial MT" w:cs="Arial MT"/>
                <w:spacing w:val="39"/>
                <w:w w:val="105"/>
              </w:rPr>
              <w:t xml:space="preserve"> </w:t>
            </w:r>
            <w:r w:rsidRPr="006B0349">
              <w:rPr>
                <w:rFonts w:ascii="Calibri" w:eastAsia="Arial MT" w:hAnsi="Arial MT" w:cs="Arial MT"/>
                <w:spacing w:val="-2"/>
                <w:w w:val="105"/>
              </w:rPr>
              <w:t>10.579.522.499</w:t>
            </w:r>
          </w:p>
        </w:tc>
      </w:tr>
      <w:tr w:rsidR="00D96A90" w:rsidRPr="006B0349" w14:paraId="41513A98" w14:textId="77777777" w:rsidTr="00EF5AF2">
        <w:trPr>
          <w:trHeight w:val="285"/>
          <w:jc w:val="center"/>
        </w:trPr>
        <w:tc>
          <w:tcPr>
            <w:tcW w:w="3389" w:type="dxa"/>
          </w:tcPr>
          <w:p w14:paraId="6150EDC5" w14:textId="77777777" w:rsidR="00D96A90" w:rsidRPr="006B0349" w:rsidRDefault="00D96A90" w:rsidP="00EF5AF2">
            <w:pPr>
              <w:spacing w:before="15" w:line="249" w:lineRule="exact"/>
              <w:ind w:left="37"/>
              <w:rPr>
                <w:rFonts w:ascii="Calibri" w:eastAsia="Arial MT" w:hAnsi="Arial MT" w:cs="Arial MT"/>
              </w:rPr>
            </w:pPr>
            <w:r w:rsidRPr="006B0349">
              <w:rPr>
                <w:rFonts w:ascii="Calibri" w:eastAsia="Arial MT" w:hAnsi="Arial MT" w:cs="Arial MT"/>
                <w:spacing w:val="-2"/>
                <w:w w:val="105"/>
              </w:rPr>
              <w:t>COMPROMISOS</w:t>
            </w:r>
          </w:p>
        </w:tc>
        <w:tc>
          <w:tcPr>
            <w:tcW w:w="1770" w:type="dxa"/>
            <w:tcBorders>
              <w:right w:val="single" w:sz="8" w:space="0" w:color="000000"/>
            </w:tcBorders>
          </w:tcPr>
          <w:p w14:paraId="78BE8DC2" w14:textId="77777777" w:rsidR="00D96A90" w:rsidRPr="006B0349" w:rsidRDefault="00D96A90" w:rsidP="00EF5AF2">
            <w:pPr>
              <w:spacing w:before="15" w:line="249" w:lineRule="exact"/>
              <w:ind w:left="30"/>
              <w:jc w:val="center"/>
              <w:rPr>
                <w:rFonts w:ascii="Calibri" w:eastAsia="Arial MT" w:hAnsi="Arial MT" w:cs="Arial MT"/>
              </w:rPr>
            </w:pPr>
            <w:r w:rsidRPr="006B0349">
              <w:rPr>
                <w:rFonts w:ascii="Calibri" w:eastAsia="Arial MT" w:hAnsi="Arial MT" w:cs="Arial MT"/>
                <w:w w:val="105"/>
              </w:rPr>
              <w:t>$</w:t>
            </w:r>
            <w:r w:rsidRPr="006B0349">
              <w:rPr>
                <w:rFonts w:ascii="Calibri" w:eastAsia="Arial MT" w:hAnsi="Arial MT" w:cs="Arial MT"/>
                <w:spacing w:val="39"/>
                <w:w w:val="105"/>
              </w:rPr>
              <w:t xml:space="preserve"> </w:t>
            </w:r>
            <w:r w:rsidRPr="006B0349">
              <w:rPr>
                <w:rFonts w:ascii="Calibri" w:eastAsia="Arial MT" w:hAnsi="Arial MT" w:cs="Arial MT"/>
                <w:spacing w:val="-2"/>
                <w:w w:val="105"/>
              </w:rPr>
              <w:t>10.579.522.499</w:t>
            </w:r>
          </w:p>
        </w:tc>
      </w:tr>
      <w:tr w:rsidR="00D96A90" w:rsidRPr="006B0349" w14:paraId="269CA1A9" w14:textId="77777777" w:rsidTr="00EF5AF2">
        <w:trPr>
          <w:trHeight w:val="285"/>
          <w:jc w:val="center"/>
        </w:trPr>
        <w:tc>
          <w:tcPr>
            <w:tcW w:w="3389" w:type="dxa"/>
          </w:tcPr>
          <w:p w14:paraId="6441C171" w14:textId="77777777" w:rsidR="00D96A90" w:rsidRPr="006B0349" w:rsidRDefault="00D96A90" w:rsidP="00EF5AF2">
            <w:pPr>
              <w:spacing w:before="15" w:line="249" w:lineRule="exact"/>
              <w:ind w:left="37"/>
              <w:rPr>
                <w:rFonts w:ascii="Calibri" w:eastAsia="Arial MT" w:hAnsi="Arial MT" w:cs="Arial MT"/>
                <w:b/>
              </w:rPr>
            </w:pPr>
            <w:r w:rsidRPr="006B0349">
              <w:rPr>
                <w:rFonts w:ascii="Calibri" w:eastAsia="Arial MT" w:hAnsi="Arial MT" w:cs="Arial MT"/>
                <w:b/>
              </w:rPr>
              <w:t>AVANCE</w:t>
            </w:r>
            <w:r w:rsidRPr="006B0349">
              <w:rPr>
                <w:rFonts w:ascii="Calibri" w:eastAsia="Arial MT" w:hAnsi="Arial MT" w:cs="Arial MT"/>
                <w:b/>
                <w:spacing w:val="-4"/>
              </w:rPr>
              <w:t xml:space="preserve"> </w:t>
            </w:r>
            <w:r w:rsidRPr="006B0349">
              <w:rPr>
                <w:rFonts w:ascii="Calibri" w:eastAsia="Arial MT" w:hAnsi="Arial MT" w:cs="Arial MT"/>
                <w:b/>
              </w:rPr>
              <w:t>DE</w:t>
            </w:r>
            <w:r w:rsidRPr="006B0349">
              <w:rPr>
                <w:rFonts w:ascii="Calibri" w:eastAsia="Arial MT" w:hAnsi="Arial MT" w:cs="Arial MT"/>
                <w:b/>
                <w:spacing w:val="-3"/>
              </w:rPr>
              <w:t xml:space="preserve"> </w:t>
            </w:r>
            <w:r w:rsidRPr="006B0349">
              <w:rPr>
                <w:rFonts w:ascii="Calibri" w:eastAsia="Arial MT" w:hAnsi="Arial MT" w:cs="Arial MT"/>
                <w:b/>
                <w:spacing w:val="-2"/>
              </w:rPr>
              <w:t>EJECUCION</w:t>
            </w:r>
          </w:p>
        </w:tc>
        <w:tc>
          <w:tcPr>
            <w:tcW w:w="1770" w:type="dxa"/>
            <w:tcBorders>
              <w:right w:val="single" w:sz="8" w:space="0" w:color="000000"/>
            </w:tcBorders>
          </w:tcPr>
          <w:p w14:paraId="49A6FF4A" w14:textId="77777777" w:rsidR="00D96A90" w:rsidRPr="006B0349" w:rsidRDefault="00D96A90" w:rsidP="00EF5AF2">
            <w:pPr>
              <w:spacing w:before="15" w:line="249" w:lineRule="exact"/>
              <w:ind w:left="25"/>
              <w:jc w:val="center"/>
              <w:rPr>
                <w:rFonts w:ascii="Calibri" w:eastAsia="Arial MT" w:hAnsi="Arial MT" w:cs="Arial MT"/>
                <w:b/>
              </w:rPr>
            </w:pPr>
            <w:r w:rsidRPr="006B0349">
              <w:rPr>
                <w:rFonts w:ascii="Calibri" w:eastAsia="Arial MT" w:hAnsi="Arial MT" w:cs="Arial MT"/>
                <w:b/>
                <w:spacing w:val="-4"/>
                <w:w w:val="105"/>
              </w:rPr>
              <w:t>100%</w:t>
            </w:r>
          </w:p>
        </w:tc>
      </w:tr>
    </w:tbl>
    <w:p w14:paraId="61F299D3" w14:textId="77777777" w:rsidR="00D96A90" w:rsidRDefault="00D96A90" w:rsidP="00D96A90">
      <w:pPr>
        <w:pStyle w:val="Textoindependiente"/>
        <w:spacing w:before="3"/>
        <w:jc w:val="both"/>
        <w:rPr>
          <w:b/>
        </w:rPr>
      </w:pPr>
    </w:p>
    <w:p w14:paraId="33040DCB"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En cuanto a las obligaciones se debe tener en cuenta el Valor total de las obligaciones (en pesos) que quedaron pendientes de pago a 31 de diciembre de 2024, con recursos del Presupuesto General de la Nación, por Unidad Ejecutora, en razón a que no tenían PAC y se constituyeron como reserva presupuestal, en atención a lo contemplado en el artículo 28 de la Ley 2342 de 2023: POR LA CUAL SE DECRETA EL PRESUPUESTO DE RENTAS Y RECURSOS DE CAPITAL Y LEY DE APROPIACIONES PARA LA VIGENCIA FISCAL DEL 1o. DE ENERO AL 31 DE DICIEMBRE DE 2024:</w:t>
      </w:r>
    </w:p>
    <w:p w14:paraId="3D91EBEE" w14:textId="77777777" w:rsidR="00D96A90" w:rsidRPr="001908C4" w:rsidRDefault="00D96A90" w:rsidP="0063799A">
      <w:pPr>
        <w:pStyle w:val="Textoindependiente"/>
        <w:spacing w:before="3"/>
        <w:ind w:left="-284" w:right="-234"/>
        <w:jc w:val="both"/>
        <w:rPr>
          <w:rFonts w:ascii="Arial" w:hAnsi="Arial" w:cs="Arial"/>
          <w:bCs/>
          <w:sz w:val="24"/>
          <w:szCs w:val="24"/>
        </w:rPr>
      </w:pPr>
    </w:p>
    <w:p w14:paraId="2214D25E" w14:textId="77777777" w:rsidR="00D96A90" w:rsidRPr="001908C4" w:rsidRDefault="00D96A90" w:rsidP="0063799A">
      <w:pPr>
        <w:pStyle w:val="Textoindependiente"/>
        <w:spacing w:before="3"/>
        <w:ind w:left="-284" w:right="-234"/>
        <w:jc w:val="both"/>
        <w:rPr>
          <w:rFonts w:ascii="Arial" w:hAnsi="Arial" w:cs="Arial"/>
          <w:bCs/>
          <w:sz w:val="24"/>
          <w:szCs w:val="24"/>
        </w:rPr>
      </w:pPr>
      <w:r w:rsidRPr="001908C4">
        <w:rPr>
          <w:rFonts w:ascii="Arial" w:hAnsi="Arial" w:cs="Arial"/>
          <w:bCs/>
          <w:sz w:val="24"/>
          <w:szCs w:val="24"/>
        </w:rPr>
        <w:t>Para las cuentas por pagar que se constituyan a 31 de diciembre de 2023 se debe contar con el correspondiente programa anual mensualizado de caja de la vigencia, de lo contrario deberán hacerse los ajustes en los registros y constituir las correspondientes reservas presupuestales. Igual procedimiento se deberá cumplir en la vigencia 2024.</w:t>
      </w:r>
    </w:p>
    <w:p w14:paraId="13D72FE0" w14:textId="77777777" w:rsidR="00D96A90" w:rsidRDefault="00D96A90" w:rsidP="0063799A">
      <w:pPr>
        <w:ind w:left="-284" w:right="-234"/>
        <w:jc w:val="both"/>
        <w:rPr>
          <w:rFonts w:ascii="Arial" w:hAnsi="Arial" w:cs="Arial"/>
          <w:b/>
          <w:sz w:val="24"/>
          <w:szCs w:val="24"/>
          <w:lang w:val="es-MX"/>
        </w:rPr>
      </w:pPr>
    </w:p>
    <w:p w14:paraId="4154620B" w14:textId="77777777" w:rsidR="00D96A90" w:rsidRPr="00F644DB" w:rsidRDefault="00D96A90" w:rsidP="0063799A">
      <w:pPr>
        <w:ind w:left="-284" w:right="-234"/>
        <w:jc w:val="both"/>
        <w:rPr>
          <w:rFonts w:ascii="Arial" w:hAnsi="Arial" w:cs="Arial"/>
          <w:b/>
          <w:sz w:val="28"/>
          <w:szCs w:val="28"/>
          <w:lang w:val="es-MX"/>
        </w:rPr>
      </w:pPr>
      <w:r w:rsidRPr="00F644DB">
        <w:rPr>
          <w:rFonts w:ascii="Arial" w:hAnsi="Arial" w:cs="Arial"/>
          <w:b/>
          <w:sz w:val="28"/>
          <w:szCs w:val="28"/>
          <w:lang w:val="es-MX"/>
        </w:rPr>
        <w:t xml:space="preserve">112.- </w:t>
      </w:r>
      <w:r w:rsidRPr="00F644DB">
        <w:rPr>
          <w:rFonts w:ascii="Arial" w:hAnsi="Arial" w:cs="Arial"/>
          <w:b/>
          <w:sz w:val="28"/>
          <w:szCs w:val="28"/>
        </w:rPr>
        <w:t>FONDO ROTATORIO DE LA POLICÍA NACIONAL</w:t>
      </w:r>
      <w:r w:rsidRPr="00F644DB">
        <w:rPr>
          <w:rFonts w:ascii="Arial" w:hAnsi="Arial" w:cs="Arial"/>
          <w:b/>
          <w:sz w:val="28"/>
          <w:szCs w:val="28"/>
          <w:lang w:val="es-MX"/>
        </w:rPr>
        <w:t>.</w:t>
      </w:r>
    </w:p>
    <w:p w14:paraId="5D420647" w14:textId="77777777" w:rsidR="00D96A90" w:rsidRDefault="00D96A90" w:rsidP="0063799A">
      <w:pPr>
        <w:ind w:left="-284" w:right="-234"/>
        <w:jc w:val="both"/>
        <w:rPr>
          <w:rFonts w:ascii="Arial" w:hAnsi="Arial" w:cs="Arial"/>
          <w:b/>
          <w:sz w:val="24"/>
          <w:szCs w:val="24"/>
          <w:lang w:val="es-MX"/>
        </w:rPr>
      </w:pPr>
    </w:p>
    <w:p w14:paraId="48F7BA2B" w14:textId="77777777" w:rsidR="00D96A90" w:rsidRPr="00F644DB" w:rsidRDefault="00D96A90" w:rsidP="0063799A">
      <w:pPr>
        <w:pStyle w:val="Textoindependiente"/>
        <w:spacing w:before="3"/>
        <w:ind w:left="-284" w:right="-234"/>
        <w:jc w:val="both"/>
        <w:rPr>
          <w:rFonts w:ascii="Arial" w:hAnsi="Arial" w:cs="Arial"/>
          <w:bCs/>
          <w:sz w:val="24"/>
          <w:szCs w:val="24"/>
        </w:rPr>
      </w:pPr>
      <w:r w:rsidRPr="00F644DB">
        <w:rPr>
          <w:rFonts w:ascii="Arial" w:hAnsi="Arial" w:cs="Arial"/>
          <w:b/>
          <w:sz w:val="24"/>
          <w:szCs w:val="24"/>
        </w:rPr>
        <w:t xml:space="preserve">La entidad informa: NO. </w:t>
      </w:r>
      <w:r w:rsidRPr="00F644DB">
        <w:rPr>
          <w:rFonts w:ascii="Arial" w:hAnsi="Arial" w:cs="Arial"/>
          <w:bCs/>
          <w:sz w:val="24"/>
          <w:szCs w:val="24"/>
        </w:rPr>
        <w:t xml:space="preserve">El Fondo Rotatorio de la Policía, </w:t>
      </w:r>
      <w:r w:rsidRPr="00F644DB">
        <w:rPr>
          <w:rFonts w:ascii="Arial" w:hAnsi="Arial" w:cs="Arial"/>
          <w:b/>
          <w:sz w:val="24"/>
          <w:szCs w:val="24"/>
          <w:u w:val="single"/>
        </w:rPr>
        <w:t>superó el tope establecido en gastos de funcionamiento del 2%,</w:t>
      </w:r>
      <w:r w:rsidRPr="00F644DB">
        <w:rPr>
          <w:rFonts w:ascii="Arial" w:hAnsi="Arial" w:cs="Arial"/>
          <w:bCs/>
          <w:sz w:val="24"/>
          <w:szCs w:val="24"/>
        </w:rPr>
        <w:t xml:space="preserve"> lo cual se justifica en razón al cumplimiento de la misionalidad de la entidad cuyo gasto principal es de funcionamiento por ser generador de recursos derivados de los contratos producto de la comercialización y producción para y por el sector defensa.  Así, el mayor porcentaje de la reserva presupuestal de funcionamiento se deriva de los contratos del proceso productivo de la fábrica de confecciones de la policía en especial el suministro de insumos para la confección y producción de uniformes del proceso industrial, insumos esenciales para la ejecución de los contratos de confección de uniformes y de suministro de telas al sector defensa.</w:t>
      </w:r>
    </w:p>
    <w:p w14:paraId="62ADDE6F" w14:textId="77777777" w:rsidR="00D96A90" w:rsidRPr="00F644DB" w:rsidRDefault="00D96A90" w:rsidP="0063799A">
      <w:pPr>
        <w:pStyle w:val="Textoindependiente"/>
        <w:spacing w:before="3"/>
        <w:ind w:left="-284" w:right="-234"/>
        <w:jc w:val="both"/>
        <w:rPr>
          <w:rFonts w:ascii="Arial" w:hAnsi="Arial" w:cs="Arial"/>
          <w:sz w:val="24"/>
          <w:szCs w:val="24"/>
        </w:rPr>
      </w:pPr>
    </w:p>
    <w:p w14:paraId="433B27DC" w14:textId="77777777" w:rsidR="00D96A90" w:rsidRPr="00F644DB" w:rsidRDefault="00D96A90" w:rsidP="0063799A">
      <w:pPr>
        <w:pStyle w:val="Textoindependiente"/>
        <w:spacing w:before="3"/>
        <w:ind w:left="-284" w:right="-234"/>
        <w:jc w:val="both"/>
        <w:rPr>
          <w:rFonts w:ascii="Arial" w:hAnsi="Arial" w:cs="Arial"/>
          <w:sz w:val="24"/>
          <w:szCs w:val="24"/>
        </w:rPr>
      </w:pPr>
      <w:r w:rsidRPr="00F644DB">
        <w:rPr>
          <w:rFonts w:ascii="Arial" w:hAnsi="Arial" w:cs="Arial"/>
          <w:b/>
          <w:bCs/>
          <w:sz w:val="24"/>
          <w:szCs w:val="24"/>
        </w:rPr>
        <w:t>NOTA:</w:t>
      </w:r>
      <w:r w:rsidRPr="00F644DB">
        <w:rPr>
          <w:rFonts w:ascii="Arial" w:hAnsi="Arial" w:cs="Arial"/>
          <w:sz w:val="24"/>
          <w:szCs w:val="24"/>
        </w:rPr>
        <w:t xml:space="preserve"> No informan cual fue el porcentaje de gastos de funcionamiento a 31 de diciembre de 2024.</w:t>
      </w:r>
    </w:p>
    <w:p w14:paraId="4F74ED1A" w14:textId="77777777" w:rsidR="00D96A90" w:rsidRDefault="00D96A90" w:rsidP="0063799A">
      <w:pPr>
        <w:ind w:left="-284" w:right="-234"/>
        <w:jc w:val="both"/>
        <w:rPr>
          <w:rFonts w:ascii="Arial" w:hAnsi="Arial" w:cs="Arial"/>
          <w:b/>
          <w:sz w:val="24"/>
          <w:szCs w:val="24"/>
        </w:rPr>
      </w:pPr>
    </w:p>
    <w:p w14:paraId="53B8D18A" w14:textId="77777777" w:rsidR="00D96A90" w:rsidRPr="005D4C23" w:rsidRDefault="00D96A90" w:rsidP="0063799A">
      <w:pPr>
        <w:ind w:left="-284" w:right="-234"/>
        <w:jc w:val="both"/>
        <w:rPr>
          <w:rFonts w:ascii="Arial" w:hAnsi="Arial" w:cs="Arial"/>
          <w:b/>
          <w:sz w:val="28"/>
          <w:szCs w:val="28"/>
          <w:lang w:val="es-MX"/>
        </w:rPr>
      </w:pPr>
      <w:r w:rsidRPr="005D4C23">
        <w:rPr>
          <w:rFonts w:ascii="Arial" w:hAnsi="Arial" w:cs="Arial"/>
          <w:b/>
          <w:sz w:val="28"/>
          <w:szCs w:val="28"/>
          <w:lang w:val="es-MX"/>
        </w:rPr>
        <w:t xml:space="preserve">121.- INSTITUTO NACIONAL DE FORMACIÓN TÉCNICA PROFESIONAL DE SAN JUAN DEL CESAR LA GUAJIRA – INFOTEP. </w:t>
      </w:r>
    </w:p>
    <w:p w14:paraId="744B85D4" w14:textId="77777777" w:rsidR="00D96A90" w:rsidRDefault="00D96A90" w:rsidP="0063799A">
      <w:pPr>
        <w:ind w:left="-284" w:right="-234"/>
        <w:jc w:val="both"/>
        <w:rPr>
          <w:rFonts w:ascii="Arial" w:hAnsi="Arial" w:cs="Arial"/>
          <w:b/>
          <w:sz w:val="24"/>
          <w:szCs w:val="24"/>
        </w:rPr>
      </w:pPr>
    </w:p>
    <w:p w14:paraId="105A0909" w14:textId="77777777" w:rsidR="00D96A90" w:rsidRPr="0063799A" w:rsidRDefault="00D96A90" w:rsidP="0063799A">
      <w:pPr>
        <w:pStyle w:val="Textoindependiente"/>
        <w:spacing w:before="3"/>
        <w:ind w:left="-284" w:right="-234"/>
        <w:jc w:val="both"/>
        <w:rPr>
          <w:rFonts w:ascii="Arial" w:hAnsi="Arial" w:cs="Arial"/>
          <w:b/>
          <w:sz w:val="24"/>
          <w:szCs w:val="24"/>
        </w:rPr>
      </w:pPr>
      <w:r w:rsidRPr="0063799A">
        <w:rPr>
          <w:rFonts w:ascii="Arial" w:hAnsi="Arial" w:cs="Arial"/>
          <w:b/>
          <w:sz w:val="24"/>
          <w:szCs w:val="24"/>
        </w:rPr>
        <w:t xml:space="preserve">La entidad informa: </w:t>
      </w:r>
    </w:p>
    <w:p w14:paraId="69194ADA" w14:textId="77777777" w:rsidR="00D96A90" w:rsidRPr="00F8034D" w:rsidRDefault="00D96A90" w:rsidP="00D96A90">
      <w:pPr>
        <w:pStyle w:val="Textoindependiente"/>
        <w:spacing w:before="3"/>
        <w:jc w:val="both"/>
        <w:rPr>
          <w:rFonts w:ascii="Arial" w:hAnsi="Arial" w:cs="Arial"/>
          <w:b/>
        </w:rPr>
      </w:pPr>
    </w:p>
    <w:tbl>
      <w:tblPr>
        <w:tblStyle w:val="TableNormal"/>
        <w:tblW w:w="9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4"/>
        <w:gridCol w:w="2196"/>
        <w:gridCol w:w="2155"/>
        <w:gridCol w:w="2157"/>
      </w:tblGrid>
      <w:tr w:rsidR="00D96A90" w:rsidRPr="00F8034D" w14:paraId="727D25AF" w14:textId="77777777" w:rsidTr="00EF5AF2">
        <w:trPr>
          <w:trHeight w:val="1112"/>
          <w:jc w:val="center"/>
        </w:trPr>
        <w:tc>
          <w:tcPr>
            <w:tcW w:w="2984" w:type="dxa"/>
            <w:vAlign w:val="center"/>
          </w:tcPr>
          <w:p w14:paraId="0A5969F6" w14:textId="77777777" w:rsidR="00D96A90" w:rsidRPr="00F8034D" w:rsidRDefault="00D96A90" w:rsidP="00EF5AF2">
            <w:pPr>
              <w:ind w:left="107"/>
              <w:jc w:val="center"/>
              <w:rPr>
                <w:rFonts w:ascii="Arial" w:hAnsi="Arial" w:cs="Arial"/>
                <w:b/>
                <w:sz w:val="20"/>
              </w:rPr>
            </w:pPr>
            <w:r w:rsidRPr="00F8034D">
              <w:rPr>
                <w:rFonts w:ascii="Arial" w:hAnsi="Arial" w:cs="Arial"/>
                <w:b/>
                <w:color w:val="333333"/>
                <w:sz w:val="20"/>
              </w:rPr>
              <w:lastRenderedPageBreak/>
              <w:t>Concepto</w:t>
            </w:r>
          </w:p>
        </w:tc>
        <w:tc>
          <w:tcPr>
            <w:tcW w:w="2196" w:type="dxa"/>
            <w:vAlign w:val="center"/>
          </w:tcPr>
          <w:p w14:paraId="2342B0E6" w14:textId="77777777" w:rsidR="00D96A90" w:rsidRPr="00F8034D" w:rsidRDefault="00D96A90" w:rsidP="00EF5AF2">
            <w:pPr>
              <w:ind w:left="107"/>
              <w:jc w:val="center"/>
              <w:rPr>
                <w:rFonts w:ascii="Arial" w:hAnsi="Arial" w:cs="Arial"/>
                <w:b/>
                <w:sz w:val="20"/>
              </w:rPr>
            </w:pPr>
            <w:r w:rsidRPr="00F8034D">
              <w:rPr>
                <w:rFonts w:ascii="Arial" w:hAnsi="Arial" w:cs="Arial"/>
                <w:b/>
                <w:color w:val="333333"/>
                <w:sz w:val="20"/>
              </w:rPr>
              <w:t>Presupuesto gastos 2024</w:t>
            </w:r>
          </w:p>
        </w:tc>
        <w:tc>
          <w:tcPr>
            <w:tcW w:w="2155" w:type="dxa"/>
            <w:vAlign w:val="center"/>
          </w:tcPr>
          <w:p w14:paraId="508939AD" w14:textId="77777777" w:rsidR="00D96A90" w:rsidRPr="00F8034D" w:rsidRDefault="00D96A90" w:rsidP="00EF5AF2">
            <w:pPr>
              <w:ind w:right="223"/>
              <w:jc w:val="center"/>
              <w:rPr>
                <w:rFonts w:ascii="Arial" w:hAnsi="Arial" w:cs="Arial"/>
                <w:b/>
                <w:sz w:val="20"/>
              </w:rPr>
            </w:pPr>
            <w:r w:rsidRPr="00F8034D">
              <w:rPr>
                <w:rFonts w:ascii="Arial" w:hAnsi="Arial" w:cs="Arial"/>
                <w:b/>
                <w:color w:val="333333"/>
                <w:sz w:val="20"/>
              </w:rPr>
              <w:t>Reservas Presupuestales 2024</w:t>
            </w:r>
          </w:p>
          <w:p w14:paraId="3B767EAF" w14:textId="77777777" w:rsidR="00D96A90" w:rsidRPr="00F8034D" w:rsidRDefault="00D96A90" w:rsidP="00EF5AF2">
            <w:pPr>
              <w:ind w:left="106"/>
              <w:jc w:val="center"/>
              <w:rPr>
                <w:rFonts w:ascii="Arial" w:hAnsi="Arial" w:cs="Arial"/>
                <w:b/>
                <w:sz w:val="20"/>
              </w:rPr>
            </w:pPr>
          </w:p>
        </w:tc>
        <w:tc>
          <w:tcPr>
            <w:tcW w:w="2157" w:type="dxa"/>
            <w:vAlign w:val="center"/>
          </w:tcPr>
          <w:p w14:paraId="4BE6DB70" w14:textId="77777777" w:rsidR="00D96A90" w:rsidRPr="00F8034D" w:rsidRDefault="00D96A90" w:rsidP="00EF5AF2">
            <w:pPr>
              <w:tabs>
                <w:tab w:val="left" w:pos="1476"/>
              </w:tabs>
              <w:ind w:left="106" w:right="98"/>
              <w:jc w:val="center"/>
              <w:rPr>
                <w:rFonts w:ascii="Arial" w:hAnsi="Arial" w:cs="Arial"/>
                <w:b/>
                <w:sz w:val="20"/>
              </w:rPr>
            </w:pPr>
            <w:r w:rsidRPr="00F8034D">
              <w:rPr>
                <w:rFonts w:ascii="Arial" w:hAnsi="Arial" w:cs="Arial"/>
                <w:b/>
                <w:color w:val="333333"/>
                <w:sz w:val="20"/>
              </w:rPr>
              <w:t>Porcentaje</w:t>
            </w:r>
            <w:r w:rsidRPr="00F8034D">
              <w:rPr>
                <w:rFonts w:ascii="Arial" w:hAnsi="Arial" w:cs="Arial"/>
                <w:b/>
                <w:color w:val="333333"/>
                <w:sz w:val="20"/>
              </w:rPr>
              <w:tab/>
            </w:r>
            <w:r w:rsidRPr="00F8034D">
              <w:rPr>
                <w:rFonts w:ascii="Arial" w:hAnsi="Arial" w:cs="Arial"/>
                <w:b/>
                <w:color w:val="333333"/>
                <w:spacing w:val="-9"/>
                <w:sz w:val="20"/>
              </w:rPr>
              <w:t xml:space="preserve">de </w:t>
            </w:r>
            <w:r w:rsidRPr="00F8034D">
              <w:rPr>
                <w:rFonts w:ascii="Arial" w:hAnsi="Arial" w:cs="Arial"/>
                <w:b/>
                <w:color w:val="333333"/>
                <w:sz w:val="20"/>
              </w:rPr>
              <w:t>las</w:t>
            </w:r>
            <w:r w:rsidRPr="00F8034D">
              <w:rPr>
                <w:rFonts w:ascii="Arial" w:hAnsi="Arial" w:cs="Arial"/>
                <w:b/>
                <w:color w:val="333333"/>
                <w:spacing w:val="-1"/>
                <w:sz w:val="20"/>
              </w:rPr>
              <w:t xml:space="preserve"> </w:t>
            </w:r>
            <w:r w:rsidRPr="00F8034D">
              <w:rPr>
                <w:rFonts w:ascii="Arial" w:hAnsi="Arial" w:cs="Arial"/>
                <w:b/>
                <w:color w:val="333333"/>
                <w:sz w:val="20"/>
              </w:rPr>
              <w:t>reservas%</w:t>
            </w:r>
          </w:p>
        </w:tc>
      </w:tr>
      <w:tr w:rsidR="00D96A90" w:rsidRPr="00F8034D" w14:paraId="0D46A7D9" w14:textId="77777777" w:rsidTr="00EF5AF2">
        <w:trPr>
          <w:trHeight w:val="364"/>
          <w:jc w:val="center"/>
        </w:trPr>
        <w:tc>
          <w:tcPr>
            <w:tcW w:w="2984" w:type="dxa"/>
          </w:tcPr>
          <w:p w14:paraId="461BAE26" w14:textId="77777777" w:rsidR="00D96A90" w:rsidRPr="00F8034D" w:rsidRDefault="00D96A90" w:rsidP="00EF5AF2">
            <w:pPr>
              <w:spacing w:before="1"/>
              <w:ind w:left="107"/>
              <w:rPr>
                <w:rFonts w:ascii="Arial" w:hAnsi="Arial" w:cs="Arial"/>
                <w:sz w:val="20"/>
              </w:rPr>
            </w:pPr>
            <w:r w:rsidRPr="00F8034D">
              <w:rPr>
                <w:rFonts w:ascii="Arial" w:hAnsi="Arial" w:cs="Arial"/>
                <w:sz w:val="20"/>
              </w:rPr>
              <w:t>Gastos de Personal</w:t>
            </w:r>
          </w:p>
        </w:tc>
        <w:tc>
          <w:tcPr>
            <w:tcW w:w="2196" w:type="dxa"/>
          </w:tcPr>
          <w:p w14:paraId="2EF4C026" w14:textId="77777777" w:rsidR="00D96A90" w:rsidRPr="00F8034D" w:rsidRDefault="00D96A90" w:rsidP="00EF5AF2">
            <w:pPr>
              <w:ind w:right="94"/>
              <w:jc w:val="right"/>
              <w:rPr>
                <w:rFonts w:ascii="Arial" w:hAnsi="Arial" w:cs="Arial"/>
                <w:sz w:val="20"/>
              </w:rPr>
            </w:pPr>
            <w:r w:rsidRPr="00F8034D">
              <w:rPr>
                <w:rFonts w:ascii="Arial" w:hAnsi="Arial" w:cs="Arial"/>
                <w:sz w:val="20"/>
              </w:rPr>
              <w:t>7.184.457.928</w:t>
            </w:r>
          </w:p>
        </w:tc>
        <w:tc>
          <w:tcPr>
            <w:tcW w:w="2155" w:type="dxa"/>
          </w:tcPr>
          <w:p w14:paraId="7E7C2B32" w14:textId="77777777" w:rsidR="00D96A90" w:rsidRPr="00F8034D" w:rsidRDefault="00D96A90" w:rsidP="00EF5AF2">
            <w:pPr>
              <w:ind w:right="94"/>
              <w:jc w:val="right"/>
              <w:rPr>
                <w:rFonts w:ascii="Arial" w:hAnsi="Arial" w:cs="Arial"/>
                <w:sz w:val="20"/>
              </w:rPr>
            </w:pPr>
            <w:r w:rsidRPr="00F8034D">
              <w:rPr>
                <w:rFonts w:ascii="Arial" w:hAnsi="Arial" w:cs="Arial"/>
                <w:sz w:val="20"/>
              </w:rPr>
              <w:t>67.617.225</w:t>
            </w:r>
          </w:p>
        </w:tc>
        <w:tc>
          <w:tcPr>
            <w:tcW w:w="2157" w:type="dxa"/>
          </w:tcPr>
          <w:p w14:paraId="7C92229C" w14:textId="77777777" w:rsidR="00D96A90" w:rsidRPr="00F8034D" w:rsidRDefault="00D96A90" w:rsidP="00EF5AF2">
            <w:pPr>
              <w:ind w:left="706"/>
              <w:rPr>
                <w:rFonts w:ascii="Arial" w:hAnsi="Arial" w:cs="Arial"/>
                <w:sz w:val="20"/>
              </w:rPr>
            </w:pPr>
            <w:r w:rsidRPr="00F8034D">
              <w:rPr>
                <w:rFonts w:ascii="Arial" w:hAnsi="Arial" w:cs="Arial"/>
                <w:sz w:val="20"/>
              </w:rPr>
              <w:t>0,94</w:t>
            </w:r>
          </w:p>
        </w:tc>
      </w:tr>
      <w:tr w:rsidR="00D96A90" w:rsidRPr="00F8034D" w14:paraId="2E7DEB84" w14:textId="77777777" w:rsidTr="00EF5AF2">
        <w:trPr>
          <w:trHeight w:val="526"/>
          <w:jc w:val="center"/>
        </w:trPr>
        <w:tc>
          <w:tcPr>
            <w:tcW w:w="2984" w:type="dxa"/>
          </w:tcPr>
          <w:p w14:paraId="6AA1D5F8" w14:textId="77777777" w:rsidR="00D96A90" w:rsidRPr="00F8034D" w:rsidRDefault="00D96A90" w:rsidP="00EF5AF2">
            <w:pPr>
              <w:tabs>
                <w:tab w:val="left" w:pos="2200"/>
              </w:tabs>
              <w:ind w:left="107"/>
              <w:rPr>
                <w:rFonts w:ascii="Arial" w:hAnsi="Arial" w:cs="Arial"/>
                <w:color w:val="333333"/>
                <w:sz w:val="20"/>
              </w:rPr>
            </w:pPr>
            <w:r w:rsidRPr="00F8034D">
              <w:rPr>
                <w:rFonts w:ascii="Arial" w:hAnsi="Arial" w:cs="Arial"/>
                <w:color w:val="333333"/>
                <w:sz w:val="20"/>
              </w:rPr>
              <w:t>Adquisición de Bienes y Servicios</w:t>
            </w:r>
          </w:p>
        </w:tc>
        <w:tc>
          <w:tcPr>
            <w:tcW w:w="2196" w:type="dxa"/>
          </w:tcPr>
          <w:p w14:paraId="5D9A7664" w14:textId="77777777" w:rsidR="00D96A90" w:rsidRPr="00F8034D" w:rsidRDefault="00D96A90" w:rsidP="00EF5AF2">
            <w:pPr>
              <w:ind w:right="94"/>
              <w:jc w:val="right"/>
              <w:rPr>
                <w:rFonts w:ascii="Arial" w:hAnsi="Arial" w:cs="Arial"/>
                <w:color w:val="333333"/>
                <w:sz w:val="20"/>
              </w:rPr>
            </w:pPr>
            <w:r w:rsidRPr="00F8034D">
              <w:rPr>
                <w:rFonts w:ascii="Arial" w:hAnsi="Arial" w:cs="Arial"/>
                <w:color w:val="333333"/>
                <w:sz w:val="20"/>
              </w:rPr>
              <w:t>4.157.382.820</w:t>
            </w:r>
          </w:p>
        </w:tc>
        <w:tc>
          <w:tcPr>
            <w:tcW w:w="2155" w:type="dxa"/>
          </w:tcPr>
          <w:p w14:paraId="09BCB85E" w14:textId="77777777" w:rsidR="00D96A90" w:rsidRPr="00F8034D" w:rsidRDefault="00D96A90" w:rsidP="00EF5AF2">
            <w:pPr>
              <w:ind w:right="94"/>
              <w:jc w:val="right"/>
              <w:rPr>
                <w:rFonts w:ascii="Arial" w:hAnsi="Arial" w:cs="Arial"/>
                <w:color w:val="333333"/>
                <w:sz w:val="20"/>
              </w:rPr>
            </w:pPr>
            <w:r w:rsidRPr="00F8034D">
              <w:rPr>
                <w:rFonts w:ascii="Arial" w:hAnsi="Arial" w:cs="Arial"/>
                <w:color w:val="333333"/>
                <w:sz w:val="20"/>
              </w:rPr>
              <w:t>567.867.697</w:t>
            </w:r>
          </w:p>
        </w:tc>
        <w:tc>
          <w:tcPr>
            <w:tcW w:w="2157" w:type="dxa"/>
          </w:tcPr>
          <w:p w14:paraId="27F9A00D" w14:textId="77777777" w:rsidR="00D96A90" w:rsidRPr="00F8034D" w:rsidRDefault="00D96A90" w:rsidP="00EF5AF2">
            <w:pPr>
              <w:ind w:left="706"/>
              <w:rPr>
                <w:rFonts w:ascii="Arial" w:hAnsi="Arial" w:cs="Arial"/>
                <w:color w:val="333333"/>
                <w:sz w:val="20"/>
              </w:rPr>
            </w:pPr>
            <w:r w:rsidRPr="00F8034D">
              <w:rPr>
                <w:rFonts w:ascii="Arial" w:hAnsi="Arial" w:cs="Arial"/>
                <w:color w:val="333333"/>
                <w:sz w:val="20"/>
              </w:rPr>
              <w:t>13,66</w:t>
            </w:r>
          </w:p>
        </w:tc>
      </w:tr>
      <w:tr w:rsidR="00D96A90" w:rsidRPr="00F8034D" w14:paraId="45F20DA0" w14:textId="77777777" w:rsidTr="00EF5AF2">
        <w:trPr>
          <w:trHeight w:val="269"/>
          <w:jc w:val="center"/>
        </w:trPr>
        <w:tc>
          <w:tcPr>
            <w:tcW w:w="2984" w:type="dxa"/>
          </w:tcPr>
          <w:p w14:paraId="2FC0E3CC" w14:textId="77777777" w:rsidR="00D96A90" w:rsidRPr="00F8034D" w:rsidRDefault="00D96A90" w:rsidP="00EF5AF2">
            <w:pPr>
              <w:tabs>
                <w:tab w:val="left" w:pos="2200"/>
              </w:tabs>
              <w:ind w:left="107"/>
              <w:rPr>
                <w:rFonts w:ascii="Arial" w:hAnsi="Arial" w:cs="Arial"/>
                <w:color w:val="333333"/>
                <w:sz w:val="20"/>
              </w:rPr>
            </w:pPr>
            <w:r w:rsidRPr="00F8034D">
              <w:rPr>
                <w:rFonts w:ascii="Arial" w:hAnsi="Arial" w:cs="Arial"/>
                <w:color w:val="333333"/>
                <w:sz w:val="20"/>
              </w:rPr>
              <w:t>Transferencias</w:t>
            </w:r>
          </w:p>
        </w:tc>
        <w:tc>
          <w:tcPr>
            <w:tcW w:w="2196" w:type="dxa"/>
          </w:tcPr>
          <w:p w14:paraId="15EFCF78" w14:textId="77777777" w:rsidR="00D96A90" w:rsidRPr="00F8034D" w:rsidRDefault="00D96A90" w:rsidP="00EF5AF2">
            <w:pPr>
              <w:ind w:right="94"/>
              <w:jc w:val="right"/>
              <w:rPr>
                <w:rFonts w:ascii="Arial" w:hAnsi="Arial" w:cs="Arial"/>
                <w:color w:val="333333"/>
                <w:sz w:val="20"/>
              </w:rPr>
            </w:pPr>
            <w:r w:rsidRPr="00F8034D">
              <w:rPr>
                <w:rFonts w:ascii="Arial" w:hAnsi="Arial" w:cs="Arial"/>
                <w:color w:val="333333"/>
                <w:sz w:val="20"/>
              </w:rPr>
              <w:t>265.470.415</w:t>
            </w:r>
          </w:p>
        </w:tc>
        <w:tc>
          <w:tcPr>
            <w:tcW w:w="2155" w:type="dxa"/>
          </w:tcPr>
          <w:p w14:paraId="2BF6F793" w14:textId="77777777" w:rsidR="00D96A90" w:rsidRPr="00F8034D" w:rsidRDefault="00D96A90" w:rsidP="00EF5AF2">
            <w:pPr>
              <w:ind w:right="94"/>
              <w:jc w:val="right"/>
              <w:rPr>
                <w:rFonts w:ascii="Arial" w:hAnsi="Arial" w:cs="Arial"/>
                <w:color w:val="333333"/>
                <w:sz w:val="20"/>
              </w:rPr>
            </w:pPr>
          </w:p>
        </w:tc>
        <w:tc>
          <w:tcPr>
            <w:tcW w:w="2157" w:type="dxa"/>
          </w:tcPr>
          <w:p w14:paraId="3C849918" w14:textId="77777777" w:rsidR="00D96A90" w:rsidRPr="00F8034D" w:rsidRDefault="00D96A90" w:rsidP="00EF5AF2">
            <w:pPr>
              <w:ind w:left="706"/>
              <w:rPr>
                <w:rFonts w:ascii="Arial" w:hAnsi="Arial" w:cs="Arial"/>
                <w:color w:val="333333"/>
                <w:sz w:val="20"/>
              </w:rPr>
            </w:pPr>
          </w:p>
        </w:tc>
      </w:tr>
      <w:tr w:rsidR="00D96A90" w:rsidRPr="00F8034D" w14:paraId="1313F799" w14:textId="77777777" w:rsidTr="00EF5AF2">
        <w:trPr>
          <w:trHeight w:val="526"/>
          <w:jc w:val="center"/>
        </w:trPr>
        <w:tc>
          <w:tcPr>
            <w:tcW w:w="2984" w:type="dxa"/>
          </w:tcPr>
          <w:p w14:paraId="7201A025" w14:textId="77777777" w:rsidR="00D96A90" w:rsidRPr="00F8034D" w:rsidRDefault="00D96A90" w:rsidP="00EF5AF2">
            <w:pPr>
              <w:tabs>
                <w:tab w:val="left" w:pos="2200"/>
              </w:tabs>
              <w:ind w:left="107"/>
              <w:rPr>
                <w:rFonts w:ascii="Arial" w:hAnsi="Arial" w:cs="Arial"/>
                <w:color w:val="333333"/>
                <w:sz w:val="20"/>
              </w:rPr>
            </w:pPr>
            <w:r w:rsidRPr="00F8034D">
              <w:rPr>
                <w:rFonts w:ascii="Arial" w:hAnsi="Arial" w:cs="Arial"/>
                <w:color w:val="333333"/>
                <w:sz w:val="20"/>
              </w:rPr>
              <w:t>Gastos Por Tributos, Multas, Sanciones</w:t>
            </w:r>
          </w:p>
        </w:tc>
        <w:tc>
          <w:tcPr>
            <w:tcW w:w="2196" w:type="dxa"/>
          </w:tcPr>
          <w:p w14:paraId="4369904C" w14:textId="77777777" w:rsidR="00D96A90" w:rsidRPr="00F8034D" w:rsidRDefault="00D96A90" w:rsidP="00EF5AF2">
            <w:pPr>
              <w:ind w:right="94"/>
              <w:jc w:val="right"/>
              <w:rPr>
                <w:rFonts w:ascii="Arial" w:hAnsi="Arial" w:cs="Arial"/>
                <w:color w:val="333333"/>
                <w:sz w:val="20"/>
              </w:rPr>
            </w:pPr>
            <w:r w:rsidRPr="00F8034D">
              <w:rPr>
                <w:rFonts w:ascii="Arial" w:hAnsi="Arial" w:cs="Arial"/>
                <w:color w:val="333333"/>
                <w:sz w:val="20"/>
              </w:rPr>
              <w:t>43.485.794</w:t>
            </w:r>
          </w:p>
        </w:tc>
        <w:tc>
          <w:tcPr>
            <w:tcW w:w="2155" w:type="dxa"/>
          </w:tcPr>
          <w:p w14:paraId="43D179F8" w14:textId="77777777" w:rsidR="00D96A90" w:rsidRPr="00F8034D" w:rsidRDefault="00D96A90" w:rsidP="00EF5AF2">
            <w:pPr>
              <w:ind w:right="94"/>
              <w:jc w:val="right"/>
              <w:rPr>
                <w:rFonts w:ascii="Arial" w:hAnsi="Arial" w:cs="Arial"/>
                <w:color w:val="333333"/>
                <w:sz w:val="20"/>
              </w:rPr>
            </w:pPr>
          </w:p>
        </w:tc>
        <w:tc>
          <w:tcPr>
            <w:tcW w:w="2157" w:type="dxa"/>
          </w:tcPr>
          <w:p w14:paraId="5640E813" w14:textId="77777777" w:rsidR="00D96A90" w:rsidRPr="00F8034D" w:rsidRDefault="00D96A90" w:rsidP="00EF5AF2">
            <w:pPr>
              <w:ind w:left="706"/>
              <w:rPr>
                <w:rFonts w:ascii="Arial" w:hAnsi="Arial" w:cs="Arial"/>
                <w:color w:val="333333"/>
                <w:sz w:val="20"/>
              </w:rPr>
            </w:pPr>
          </w:p>
        </w:tc>
      </w:tr>
      <w:tr w:rsidR="00D96A90" w:rsidRPr="00F8034D" w14:paraId="7F66CD4B" w14:textId="77777777" w:rsidTr="00EF5AF2">
        <w:trPr>
          <w:trHeight w:val="526"/>
          <w:jc w:val="center"/>
        </w:trPr>
        <w:tc>
          <w:tcPr>
            <w:tcW w:w="2984" w:type="dxa"/>
          </w:tcPr>
          <w:p w14:paraId="000E6222" w14:textId="77777777" w:rsidR="00D96A90" w:rsidRPr="00F8034D" w:rsidRDefault="00D96A90" w:rsidP="00EF5AF2">
            <w:pPr>
              <w:tabs>
                <w:tab w:val="left" w:pos="2200"/>
              </w:tabs>
              <w:ind w:left="107"/>
              <w:rPr>
                <w:rFonts w:ascii="Arial" w:hAnsi="Arial" w:cs="Arial"/>
                <w:b/>
                <w:bCs/>
                <w:sz w:val="20"/>
              </w:rPr>
            </w:pPr>
            <w:r w:rsidRPr="00F8034D">
              <w:rPr>
                <w:rFonts w:ascii="Arial" w:hAnsi="Arial" w:cs="Arial"/>
                <w:b/>
                <w:bCs/>
                <w:color w:val="333333"/>
                <w:sz w:val="20"/>
              </w:rPr>
              <w:t>TOTAL, GASTOS FUNCIONAMIENTO</w:t>
            </w:r>
          </w:p>
        </w:tc>
        <w:tc>
          <w:tcPr>
            <w:tcW w:w="2196" w:type="dxa"/>
          </w:tcPr>
          <w:p w14:paraId="42D752A5" w14:textId="77777777" w:rsidR="00D96A90" w:rsidRPr="00F8034D" w:rsidRDefault="00D96A90" w:rsidP="00EF5AF2">
            <w:pPr>
              <w:ind w:right="94"/>
              <w:jc w:val="right"/>
              <w:rPr>
                <w:rFonts w:ascii="Arial" w:hAnsi="Arial" w:cs="Arial"/>
                <w:color w:val="333333"/>
                <w:sz w:val="20"/>
              </w:rPr>
            </w:pPr>
            <w:r w:rsidRPr="00F8034D">
              <w:rPr>
                <w:rFonts w:ascii="Arial" w:hAnsi="Arial" w:cs="Arial"/>
                <w:color w:val="333333"/>
                <w:sz w:val="20"/>
              </w:rPr>
              <w:t>11.650.796.957</w:t>
            </w:r>
          </w:p>
        </w:tc>
        <w:tc>
          <w:tcPr>
            <w:tcW w:w="2155" w:type="dxa"/>
          </w:tcPr>
          <w:p w14:paraId="598A68CC" w14:textId="77777777" w:rsidR="00D96A90" w:rsidRPr="00F8034D" w:rsidRDefault="00D96A90" w:rsidP="00EF5AF2">
            <w:pPr>
              <w:ind w:right="94"/>
              <w:jc w:val="right"/>
              <w:rPr>
                <w:rFonts w:ascii="Arial" w:hAnsi="Arial" w:cs="Arial"/>
                <w:color w:val="333333"/>
                <w:sz w:val="20"/>
              </w:rPr>
            </w:pPr>
            <w:r w:rsidRPr="00F8034D">
              <w:rPr>
                <w:rFonts w:ascii="Arial" w:hAnsi="Arial" w:cs="Arial"/>
                <w:color w:val="333333"/>
                <w:sz w:val="20"/>
              </w:rPr>
              <w:t>635.484.922</w:t>
            </w:r>
          </w:p>
        </w:tc>
        <w:tc>
          <w:tcPr>
            <w:tcW w:w="2157" w:type="dxa"/>
          </w:tcPr>
          <w:p w14:paraId="2DE32DF5" w14:textId="77777777" w:rsidR="00D96A90" w:rsidRPr="00F8034D" w:rsidRDefault="00D96A90" w:rsidP="00EF5AF2">
            <w:pPr>
              <w:ind w:left="706"/>
              <w:rPr>
                <w:rFonts w:ascii="Arial" w:hAnsi="Arial" w:cs="Arial"/>
                <w:color w:val="333333"/>
                <w:sz w:val="20"/>
              </w:rPr>
            </w:pPr>
            <w:r w:rsidRPr="00F8034D">
              <w:rPr>
                <w:rFonts w:ascii="Arial" w:hAnsi="Arial" w:cs="Arial"/>
                <w:color w:val="333333"/>
                <w:sz w:val="20"/>
              </w:rPr>
              <w:t>5,45</w:t>
            </w:r>
          </w:p>
        </w:tc>
      </w:tr>
      <w:tr w:rsidR="00D96A90" w:rsidRPr="00F8034D" w14:paraId="6F47CED2" w14:textId="77777777" w:rsidTr="00EF5AF2">
        <w:trPr>
          <w:trHeight w:val="305"/>
          <w:jc w:val="center"/>
        </w:trPr>
        <w:tc>
          <w:tcPr>
            <w:tcW w:w="2984" w:type="dxa"/>
          </w:tcPr>
          <w:p w14:paraId="25DEA66A" w14:textId="77777777" w:rsidR="00D96A90" w:rsidRPr="00F8034D" w:rsidRDefault="00D96A90" w:rsidP="00EF5AF2">
            <w:pPr>
              <w:ind w:left="107"/>
              <w:rPr>
                <w:rFonts w:ascii="Arial" w:hAnsi="Arial" w:cs="Arial"/>
                <w:sz w:val="20"/>
              </w:rPr>
            </w:pPr>
            <w:r w:rsidRPr="00F8034D">
              <w:rPr>
                <w:rFonts w:ascii="Arial" w:hAnsi="Arial" w:cs="Arial"/>
                <w:color w:val="333333"/>
                <w:sz w:val="20"/>
              </w:rPr>
              <w:t>Gastos de Inversión</w:t>
            </w:r>
          </w:p>
        </w:tc>
        <w:tc>
          <w:tcPr>
            <w:tcW w:w="2196" w:type="dxa"/>
          </w:tcPr>
          <w:p w14:paraId="69A30733" w14:textId="77777777" w:rsidR="00D96A90" w:rsidRPr="00F8034D" w:rsidRDefault="00D96A90" w:rsidP="00EF5AF2">
            <w:pPr>
              <w:ind w:right="94"/>
              <w:jc w:val="right"/>
              <w:rPr>
                <w:rFonts w:ascii="Arial" w:hAnsi="Arial" w:cs="Arial"/>
                <w:sz w:val="20"/>
              </w:rPr>
            </w:pPr>
            <w:r w:rsidRPr="00F8034D">
              <w:rPr>
                <w:rFonts w:ascii="Arial" w:hAnsi="Arial" w:cs="Arial"/>
                <w:sz w:val="20"/>
              </w:rPr>
              <w:t>10.607.386.749</w:t>
            </w:r>
          </w:p>
        </w:tc>
        <w:tc>
          <w:tcPr>
            <w:tcW w:w="2155" w:type="dxa"/>
          </w:tcPr>
          <w:p w14:paraId="2E580F70" w14:textId="77777777" w:rsidR="00D96A90" w:rsidRPr="00F8034D" w:rsidRDefault="00D96A90" w:rsidP="00EF5AF2">
            <w:pPr>
              <w:ind w:right="95"/>
              <w:jc w:val="right"/>
              <w:rPr>
                <w:rFonts w:ascii="Arial" w:hAnsi="Arial" w:cs="Arial"/>
                <w:sz w:val="20"/>
              </w:rPr>
            </w:pPr>
            <w:r w:rsidRPr="00F8034D">
              <w:rPr>
                <w:rFonts w:ascii="Arial" w:hAnsi="Arial" w:cs="Arial"/>
                <w:color w:val="333333"/>
                <w:sz w:val="20"/>
              </w:rPr>
              <w:t>5.287.303.837</w:t>
            </w:r>
          </w:p>
        </w:tc>
        <w:tc>
          <w:tcPr>
            <w:tcW w:w="2157" w:type="dxa"/>
          </w:tcPr>
          <w:p w14:paraId="03550259" w14:textId="77777777" w:rsidR="00D96A90" w:rsidRPr="00F8034D" w:rsidRDefault="00D96A90" w:rsidP="00EF5AF2">
            <w:pPr>
              <w:ind w:left="706"/>
              <w:rPr>
                <w:rFonts w:ascii="Arial" w:hAnsi="Arial" w:cs="Arial"/>
                <w:sz w:val="20"/>
              </w:rPr>
            </w:pPr>
            <w:r w:rsidRPr="00F8034D">
              <w:rPr>
                <w:rFonts w:ascii="Arial" w:hAnsi="Arial" w:cs="Arial"/>
                <w:color w:val="333333"/>
                <w:sz w:val="20"/>
              </w:rPr>
              <w:t>49,84</w:t>
            </w:r>
          </w:p>
        </w:tc>
      </w:tr>
      <w:tr w:rsidR="00D96A90" w:rsidRPr="00F8034D" w14:paraId="4386D923" w14:textId="77777777" w:rsidTr="00EF5AF2">
        <w:trPr>
          <w:trHeight w:val="311"/>
          <w:jc w:val="center"/>
        </w:trPr>
        <w:tc>
          <w:tcPr>
            <w:tcW w:w="2984" w:type="dxa"/>
          </w:tcPr>
          <w:p w14:paraId="30D63ADD" w14:textId="77777777" w:rsidR="00D96A90" w:rsidRPr="00F8034D" w:rsidRDefault="00D96A90" w:rsidP="00EF5AF2">
            <w:pPr>
              <w:tabs>
                <w:tab w:val="left" w:pos="1460"/>
                <w:tab w:val="left" w:pos="2274"/>
              </w:tabs>
              <w:spacing w:before="6"/>
              <w:ind w:left="107" w:right="94"/>
              <w:rPr>
                <w:rFonts w:ascii="Arial" w:hAnsi="Arial" w:cs="Arial"/>
                <w:b/>
                <w:bCs/>
                <w:sz w:val="20"/>
              </w:rPr>
            </w:pPr>
            <w:r w:rsidRPr="00F8034D">
              <w:rPr>
                <w:rFonts w:ascii="Arial" w:hAnsi="Arial" w:cs="Arial"/>
                <w:b/>
                <w:bCs/>
                <w:color w:val="333333"/>
                <w:sz w:val="20"/>
              </w:rPr>
              <w:t>TOTAL, PRESUPUESTO</w:t>
            </w:r>
          </w:p>
        </w:tc>
        <w:tc>
          <w:tcPr>
            <w:tcW w:w="2196" w:type="dxa"/>
          </w:tcPr>
          <w:p w14:paraId="259D0255" w14:textId="77777777" w:rsidR="00D96A90" w:rsidRPr="00F8034D" w:rsidRDefault="00D96A90" w:rsidP="00EF5AF2">
            <w:pPr>
              <w:ind w:right="94"/>
              <w:jc w:val="right"/>
              <w:rPr>
                <w:rFonts w:ascii="Arial" w:hAnsi="Arial" w:cs="Arial"/>
                <w:b/>
                <w:bCs/>
                <w:sz w:val="20"/>
              </w:rPr>
            </w:pPr>
            <w:r w:rsidRPr="00F8034D">
              <w:rPr>
                <w:rFonts w:ascii="Arial" w:hAnsi="Arial" w:cs="Arial"/>
                <w:b/>
                <w:bCs/>
                <w:sz w:val="20"/>
              </w:rPr>
              <w:t>22.258.183.706</w:t>
            </w:r>
          </w:p>
        </w:tc>
        <w:tc>
          <w:tcPr>
            <w:tcW w:w="2155" w:type="dxa"/>
          </w:tcPr>
          <w:p w14:paraId="136F4CC0" w14:textId="77777777" w:rsidR="00D96A90" w:rsidRPr="00F8034D" w:rsidRDefault="00D96A90" w:rsidP="00EF5AF2">
            <w:pPr>
              <w:ind w:right="95"/>
              <w:jc w:val="right"/>
              <w:rPr>
                <w:rFonts w:ascii="Arial" w:hAnsi="Arial" w:cs="Arial"/>
                <w:b/>
                <w:bCs/>
                <w:sz w:val="20"/>
              </w:rPr>
            </w:pPr>
            <w:r w:rsidRPr="00F8034D">
              <w:rPr>
                <w:rFonts w:ascii="Arial" w:hAnsi="Arial" w:cs="Arial"/>
                <w:b/>
                <w:bCs/>
                <w:color w:val="333333"/>
                <w:sz w:val="20"/>
              </w:rPr>
              <w:t>5.922.788.759</w:t>
            </w:r>
          </w:p>
        </w:tc>
        <w:tc>
          <w:tcPr>
            <w:tcW w:w="2157" w:type="dxa"/>
          </w:tcPr>
          <w:p w14:paraId="2FE01B5F" w14:textId="77777777" w:rsidR="00D96A90" w:rsidRPr="00F8034D" w:rsidRDefault="00D96A90" w:rsidP="00EF5AF2">
            <w:pPr>
              <w:rPr>
                <w:rFonts w:ascii="Arial" w:hAnsi="Arial" w:cs="Arial"/>
                <w:sz w:val="20"/>
              </w:rPr>
            </w:pPr>
          </w:p>
        </w:tc>
      </w:tr>
    </w:tbl>
    <w:p w14:paraId="2744F473" w14:textId="77777777" w:rsidR="00D96A90" w:rsidRPr="00F8034D" w:rsidRDefault="00D96A90" w:rsidP="00D96A90">
      <w:pPr>
        <w:pStyle w:val="Textoindependiente"/>
        <w:spacing w:before="3"/>
        <w:jc w:val="both"/>
        <w:rPr>
          <w:rFonts w:ascii="Arial" w:hAnsi="Arial" w:cs="Arial"/>
          <w:b/>
        </w:rPr>
      </w:pPr>
    </w:p>
    <w:p w14:paraId="1B62A65D" w14:textId="77777777" w:rsidR="00D96A90" w:rsidRPr="00F8034D" w:rsidRDefault="00D96A90" w:rsidP="0063799A">
      <w:pPr>
        <w:pStyle w:val="Textoindependiente"/>
        <w:spacing w:before="3"/>
        <w:ind w:left="-284" w:right="-234"/>
        <w:jc w:val="both"/>
        <w:rPr>
          <w:rFonts w:ascii="Arial" w:hAnsi="Arial" w:cs="Arial"/>
        </w:rPr>
      </w:pPr>
      <w:r w:rsidRPr="00F8034D">
        <w:rPr>
          <w:rFonts w:ascii="Arial" w:hAnsi="Arial" w:cs="Arial"/>
        </w:rPr>
        <w:t>El total de las reservas por Gastos de Inversión es por valor de $5.287.303.837, que representan el 49,84% en relación con las apropiaciones del presupuesto de Gasto de inversión, superando el límite del 15%.</w:t>
      </w:r>
    </w:p>
    <w:p w14:paraId="3294F54F" w14:textId="77777777" w:rsidR="00D96A90" w:rsidRPr="00F8034D" w:rsidRDefault="00D96A90" w:rsidP="0063799A">
      <w:pPr>
        <w:pStyle w:val="Textoindependiente"/>
        <w:spacing w:before="3"/>
        <w:ind w:left="-284" w:right="-234"/>
        <w:jc w:val="both"/>
        <w:rPr>
          <w:rFonts w:ascii="Arial" w:hAnsi="Arial" w:cs="Arial"/>
        </w:rPr>
      </w:pPr>
    </w:p>
    <w:p w14:paraId="1793A208" w14:textId="77777777" w:rsidR="00D96A90" w:rsidRPr="00F8034D" w:rsidRDefault="00D96A90" w:rsidP="0063799A">
      <w:pPr>
        <w:pStyle w:val="Textoindependiente"/>
        <w:spacing w:before="3"/>
        <w:ind w:left="-284" w:right="-234"/>
        <w:jc w:val="both"/>
        <w:rPr>
          <w:rFonts w:ascii="Arial" w:hAnsi="Arial" w:cs="Arial"/>
        </w:rPr>
      </w:pPr>
      <w:r w:rsidRPr="00F8034D">
        <w:rPr>
          <w:rFonts w:ascii="Arial" w:hAnsi="Arial" w:cs="Arial"/>
        </w:rPr>
        <w:t>INVERSIÓN: En el último trimestre de la vigencia 2024, se apropiaron recursos adicionales por concepto de Plan de Fomento de la Calidad por valor de $2.846.600.103, con el objetivo de financiar proyectos de inversión. De esta cifra se asignaron $2.316.600.103 para ejecutar obras de infraestructura física y tecnológica, lo que requirió procesos precontractuales y contractuales extensos por la naturaleza de la contratación a suscribir. Además, a algunos contratos no se les contempló el otorgamiento de anticipos al contratista seleccionado, hecho que hizo que se aumentara el valor de la reserva presupuestal.</w:t>
      </w:r>
    </w:p>
    <w:p w14:paraId="15BBC794" w14:textId="77777777" w:rsidR="00D96A90" w:rsidRPr="00F8034D" w:rsidRDefault="00D96A90" w:rsidP="0063799A">
      <w:pPr>
        <w:pStyle w:val="Textoindependiente"/>
        <w:spacing w:before="3"/>
        <w:ind w:left="-284" w:right="-234"/>
        <w:jc w:val="both"/>
        <w:rPr>
          <w:rFonts w:ascii="Arial" w:hAnsi="Arial" w:cs="Arial"/>
        </w:rPr>
      </w:pPr>
    </w:p>
    <w:p w14:paraId="5FE434DB" w14:textId="77777777" w:rsidR="00D96A90" w:rsidRPr="00414F60" w:rsidRDefault="00D96A90" w:rsidP="0063799A">
      <w:pPr>
        <w:ind w:left="-284" w:right="-234"/>
        <w:jc w:val="both"/>
        <w:rPr>
          <w:rFonts w:ascii="Arial" w:hAnsi="Arial" w:cs="Arial"/>
          <w:b/>
          <w:sz w:val="28"/>
          <w:szCs w:val="28"/>
          <w:lang w:val="es-MX"/>
        </w:rPr>
      </w:pPr>
      <w:r w:rsidRPr="00414F60">
        <w:rPr>
          <w:rFonts w:ascii="Arial" w:hAnsi="Arial" w:cs="Arial"/>
          <w:b/>
          <w:sz w:val="28"/>
          <w:szCs w:val="28"/>
          <w:lang w:val="es-MX"/>
        </w:rPr>
        <w:t xml:space="preserve">122.- UNIDAD NACIONAL DE PROTECCIÓN – UNP. </w:t>
      </w:r>
    </w:p>
    <w:p w14:paraId="50CCA952" w14:textId="77777777" w:rsidR="00D96A90" w:rsidRDefault="00D96A90" w:rsidP="0063799A">
      <w:pPr>
        <w:ind w:left="-284" w:right="-234"/>
        <w:jc w:val="both"/>
        <w:rPr>
          <w:rFonts w:ascii="Arial" w:hAnsi="Arial" w:cs="Arial"/>
          <w:b/>
          <w:sz w:val="24"/>
          <w:szCs w:val="24"/>
        </w:rPr>
      </w:pPr>
    </w:p>
    <w:p w14:paraId="5688A0FB" w14:textId="77777777" w:rsidR="00D96A90" w:rsidRPr="00414F60" w:rsidRDefault="00D96A90" w:rsidP="0063799A">
      <w:pPr>
        <w:pStyle w:val="Textoindependiente"/>
        <w:spacing w:before="3"/>
        <w:ind w:left="-284" w:right="-234"/>
        <w:jc w:val="both"/>
        <w:rPr>
          <w:rFonts w:ascii="Arial" w:hAnsi="Arial" w:cs="Arial"/>
          <w:bCs/>
          <w:sz w:val="24"/>
          <w:szCs w:val="24"/>
        </w:rPr>
      </w:pPr>
      <w:r w:rsidRPr="00414F60">
        <w:rPr>
          <w:rFonts w:ascii="Arial" w:hAnsi="Arial" w:cs="Arial"/>
          <w:b/>
          <w:bCs/>
          <w:sz w:val="24"/>
          <w:szCs w:val="24"/>
        </w:rPr>
        <w:t>La entidad informa</w:t>
      </w:r>
      <w:r w:rsidRPr="00414F60">
        <w:rPr>
          <w:rFonts w:ascii="Arial" w:hAnsi="Arial" w:cs="Arial"/>
          <w:bCs/>
          <w:sz w:val="24"/>
          <w:szCs w:val="24"/>
        </w:rPr>
        <w:t>: Esto se debió a que, debido a su misión de velar por la seguridad, libertad y vida de los protegidos, la Unidad Nacional de Protección, en sus contratos misionales (Como los de Hombres de Protección y Vehículos en Arrendamiento), enfrenta una particularidad en la facturación el mes de diciembre.</w:t>
      </w:r>
    </w:p>
    <w:p w14:paraId="52949021" w14:textId="77777777" w:rsidR="00D96A90" w:rsidRPr="00414F60" w:rsidRDefault="00D96A90" w:rsidP="0063799A">
      <w:pPr>
        <w:pStyle w:val="Textoindependiente"/>
        <w:spacing w:before="3"/>
        <w:ind w:left="-284" w:right="-234"/>
        <w:jc w:val="both"/>
        <w:rPr>
          <w:rFonts w:ascii="Arial" w:hAnsi="Arial" w:cs="Arial"/>
          <w:bCs/>
          <w:sz w:val="24"/>
          <w:szCs w:val="24"/>
        </w:rPr>
      </w:pPr>
    </w:p>
    <w:p w14:paraId="286A1EC0" w14:textId="77777777" w:rsidR="00D96A90" w:rsidRPr="00414F60" w:rsidRDefault="00D96A90" w:rsidP="0063799A">
      <w:pPr>
        <w:pStyle w:val="Textoindependiente"/>
        <w:spacing w:before="3"/>
        <w:ind w:left="-284" w:right="-234"/>
        <w:jc w:val="both"/>
        <w:rPr>
          <w:rFonts w:ascii="Arial" w:hAnsi="Arial" w:cs="Arial"/>
          <w:bCs/>
          <w:sz w:val="24"/>
          <w:szCs w:val="24"/>
        </w:rPr>
      </w:pPr>
      <w:r w:rsidRPr="00414F60">
        <w:rPr>
          <w:rFonts w:ascii="Arial" w:hAnsi="Arial" w:cs="Arial"/>
          <w:bCs/>
          <w:sz w:val="24"/>
          <w:szCs w:val="24"/>
        </w:rPr>
        <w:t>Esta facturación está sujeta a un cruce de mallas, lo que provoca que los pagos correspondientes solo se generen en enero de la siguiente vigencia.</w:t>
      </w:r>
    </w:p>
    <w:p w14:paraId="0A2A80A6" w14:textId="77777777" w:rsidR="00D96A90" w:rsidRPr="00414F60" w:rsidRDefault="00D96A90" w:rsidP="0063799A">
      <w:pPr>
        <w:pStyle w:val="Textoindependiente"/>
        <w:spacing w:before="3"/>
        <w:ind w:left="-284" w:right="-234"/>
        <w:jc w:val="both"/>
        <w:rPr>
          <w:rFonts w:ascii="Arial" w:hAnsi="Arial" w:cs="Arial"/>
          <w:bCs/>
          <w:sz w:val="24"/>
          <w:szCs w:val="24"/>
        </w:rPr>
      </w:pPr>
    </w:p>
    <w:p w14:paraId="1B960C11" w14:textId="77777777" w:rsidR="00D96A90" w:rsidRPr="00414F60" w:rsidRDefault="00D96A90" w:rsidP="0063799A">
      <w:pPr>
        <w:pStyle w:val="Textoindependiente"/>
        <w:spacing w:before="3"/>
        <w:ind w:left="-284" w:right="-234"/>
        <w:jc w:val="both"/>
        <w:rPr>
          <w:rFonts w:ascii="Arial" w:hAnsi="Arial" w:cs="Arial"/>
          <w:bCs/>
          <w:sz w:val="24"/>
          <w:szCs w:val="24"/>
        </w:rPr>
      </w:pPr>
      <w:r w:rsidRPr="00414F60">
        <w:rPr>
          <w:rFonts w:ascii="Arial" w:hAnsi="Arial" w:cs="Arial"/>
          <w:bCs/>
          <w:sz w:val="24"/>
          <w:szCs w:val="24"/>
        </w:rPr>
        <w:t>Por otro lado, debido a las restricciones impuestas por el Ministerio de Hacienda y Crédito Público, en relación con el PAC asignado, no fue posible efectuar el pago de algunas facturas o cuentas ya radicadas para su trámite correspondiente.</w:t>
      </w:r>
    </w:p>
    <w:p w14:paraId="66599EA6" w14:textId="77777777" w:rsidR="00D96A90" w:rsidRPr="00414F60" w:rsidRDefault="00D96A90" w:rsidP="0063799A">
      <w:pPr>
        <w:pStyle w:val="Textoindependiente"/>
        <w:spacing w:before="3"/>
        <w:ind w:left="-284" w:right="-234"/>
        <w:jc w:val="both"/>
        <w:rPr>
          <w:rFonts w:ascii="Arial" w:hAnsi="Arial" w:cs="Arial"/>
          <w:sz w:val="24"/>
          <w:szCs w:val="24"/>
        </w:rPr>
      </w:pPr>
    </w:p>
    <w:p w14:paraId="1728222B" w14:textId="77777777" w:rsidR="00D96A90" w:rsidRPr="0090278D" w:rsidRDefault="00D96A90" w:rsidP="0063799A">
      <w:pPr>
        <w:ind w:left="-284" w:right="-234"/>
        <w:jc w:val="both"/>
        <w:rPr>
          <w:rFonts w:ascii="Arial" w:hAnsi="Arial" w:cs="Arial"/>
          <w:b/>
          <w:sz w:val="28"/>
          <w:szCs w:val="28"/>
          <w:lang w:val="es-MX"/>
        </w:rPr>
      </w:pPr>
      <w:r w:rsidRPr="0090278D">
        <w:rPr>
          <w:rFonts w:ascii="Arial" w:hAnsi="Arial" w:cs="Arial"/>
          <w:b/>
          <w:sz w:val="28"/>
          <w:szCs w:val="28"/>
          <w:lang w:val="es-MX"/>
        </w:rPr>
        <w:t>123.- HOSPITAL MILITAR CENTRAL.</w:t>
      </w:r>
    </w:p>
    <w:p w14:paraId="79B3999E" w14:textId="77777777" w:rsidR="00D96A90" w:rsidRDefault="00D96A90" w:rsidP="00D96A90">
      <w:pPr>
        <w:ind w:left="-284" w:right="49"/>
        <w:jc w:val="both"/>
        <w:rPr>
          <w:rFonts w:ascii="Arial" w:hAnsi="Arial" w:cs="Arial"/>
          <w:b/>
          <w:sz w:val="24"/>
          <w:szCs w:val="24"/>
        </w:rPr>
      </w:pPr>
    </w:p>
    <w:p w14:paraId="7A1945F8" w14:textId="77777777" w:rsidR="00D96A90" w:rsidRPr="0090278D" w:rsidRDefault="00D96A90" w:rsidP="0063799A">
      <w:pPr>
        <w:pStyle w:val="Textoindependiente"/>
        <w:spacing w:before="3"/>
        <w:ind w:left="-284"/>
        <w:jc w:val="both"/>
        <w:rPr>
          <w:rFonts w:ascii="Arial" w:hAnsi="Arial" w:cs="Arial"/>
          <w:b/>
          <w:sz w:val="24"/>
          <w:szCs w:val="24"/>
        </w:rPr>
      </w:pPr>
      <w:r w:rsidRPr="0090278D">
        <w:rPr>
          <w:rFonts w:ascii="Arial" w:hAnsi="Arial" w:cs="Arial"/>
          <w:b/>
          <w:sz w:val="24"/>
          <w:szCs w:val="24"/>
        </w:rPr>
        <w:t xml:space="preserve">La entidad informa: </w:t>
      </w:r>
    </w:p>
    <w:p w14:paraId="369E39CC" w14:textId="77777777" w:rsidR="00D96A90" w:rsidRDefault="00D96A90" w:rsidP="00D96A90">
      <w:pPr>
        <w:pStyle w:val="Textoindependiente"/>
        <w:spacing w:before="3"/>
        <w:ind w:left="-142"/>
        <w:jc w:val="both"/>
      </w:pPr>
    </w:p>
    <w:p w14:paraId="6F1C26F1" w14:textId="77777777" w:rsidR="00D96A90" w:rsidRDefault="00D96A90" w:rsidP="00D96A90">
      <w:pPr>
        <w:pStyle w:val="Textoindependiente"/>
        <w:spacing w:before="3"/>
        <w:ind w:left="-142"/>
        <w:jc w:val="center"/>
      </w:pPr>
      <w:r w:rsidRPr="007F6732">
        <w:rPr>
          <w:noProof/>
          <w:lang w:val="es-CO" w:eastAsia="es-CO"/>
        </w:rPr>
        <w:drawing>
          <wp:inline distT="0" distB="0" distL="0" distR="0" wp14:anchorId="021CB551" wp14:editId="22649056">
            <wp:extent cx="5943600" cy="91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14400"/>
                    </a:xfrm>
                    <a:prstGeom prst="rect">
                      <a:avLst/>
                    </a:prstGeom>
                  </pic:spPr>
                </pic:pic>
              </a:graphicData>
            </a:graphic>
          </wp:inline>
        </w:drawing>
      </w:r>
    </w:p>
    <w:p w14:paraId="292D57F6" w14:textId="77777777" w:rsidR="00A03CB3" w:rsidRDefault="00A03CB3" w:rsidP="0063799A">
      <w:pPr>
        <w:ind w:left="-284" w:right="-234"/>
        <w:jc w:val="both"/>
        <w:rPr>
          <w:rFonts w:ascii="Arial" w:hAnsi="Arial" w:cs="Arial"/>
          <w:b/>
          <w:sz w:val="28"/>
          <w:szCs w:val="28"/>
          <w:lang w:val="es-MX"/>
        </w:rPr>
      </w:pPr>
    </w:p>
    <w:p w14:paraId="218BEA12" w14:textId="53CAE12D" w:rsidR="00D96A90" w:rsidRPr="002A6E88" w:rsidRDefault="00D96A90" w:rsidP="0063799A">
      <w:pPr>
        <w:ind w:left="-284" w:right="-234"/>
        <w:jc w:val="both"/>
        <w:rPr>
          <w:rFonts w:ascii="Arial" w:hAnsi="Arial" w:cs="Arial"/>
          <w:b/>
          <w:sz w:val="28"/>
          <w:szCs w:val="28"/>
          <w:lang w:val="es-MX"/>
        </w:rPr>
      </w:pPr>
      <w:r w:rsidRPr="002A6E88">
        <w:rPr>
          <w:rFonts w:ascii="Arial" w:hAnsi="Arial" w:cs="Arial"/>
          <w:b/>
          <w:sz w:val="28"/>
          <w:szCs w:val="28"/>
          <w:lang w:val="es-MX"/>
        </w:rPr>
        <w:t xml:space="preserve">129.- </w:t>
      </w:r>
      <w:r w:rsidRPr="002A6E88">
        <w:rPr>
          <w:rFonts w:ascii="Arial" w:hAnsi="Arial" w:cs="Arial"/>
          <w:b/>
          <w:sz w:val="28"/>
          <w:szCs w:val="28"/>
        </w:rPr>
        <w:t>UNIDAD DE SERVICIOS PENITENCIARIOS Y CARCELARIOS – USPEC</w:t>
      </w:r>
      <w:r w:rsidRPr="002A6E88">
        <w:rPr>
          <w:rFonts w:ascii="Arial" w:hAnsi="Arial" w:cs="Arial"/>
          <w:b/>
          <w:sz w:val="28"/>
          <w:szCs w:val="28"/>
          <w:lang w:val="es-MX"/>
        </w:rPr>
        <w:t>.</w:t>
      </w:r>
    </w:p>
    <w:p w14:paraId="0F9F8850" w14:textId="77777777" w:rsidR="00D96A90" w:rsidRDefault="00D96A90" w:rsidP="0063799A">
      <w:pPr>
        <w:ind w:left="-284" w:right="-234"/>
        <w:jc w:val="both"/>
        <w:rPr>
          <w:rFonts w:ascii="Arial" w:hAnsi="Arial" w:cs="Arial"/>
          <w:b/>
          <w:sz w:val="24"/>
          <w:szCs w:val="24"/>
        </w:rPr>
      </w:pPr>
    </w:p>
    <w:p w14:paraId="763D1B62" w14:textId="77777777" w:rsidR="00D96A90" w:rsidRPr="002A6E88" w:rsidRDefault="00D96A90" w:rsidP="0063799A">
      <w:pPr>
        <w:pStyle w:val="Textoindependiente"/>
        <w:spacing w:before="3"/>
        <w:ind w:left="-284" w:right="-234"/>
        <w:jc w:val="both"/>
        <w:rPr>
          <w:rFonts w:ascii="Arial" w:hAnsi="Arial" w:cs="Arial"/>
          <w:sz w:val="24"/>
          <w:szCs w:val="24"/>
        </w:rPr>
      </w:pPr>
      <w:r w:rsidRPr="002A6E88">
        <w:rPr>
          <w:rFonts w:ascii="Arial" w:hAnsi="Arial" w:cs="Arial"/>
          <w:b/>
          <w:sz w:val="24"/>
          <w:szCs w:val="24"/>
        </w:rPr>
        <w:t xml:space="preserve">La entidad informa: </w:t>
      </w:r>
      <w:r w:rsidRPr="002A6E88">
        <w:rPr>
          <w:rFonts w:ascii="Arial" w:hAnsi="Arial" w:cs="Arial"/>
          <w:sz w:val="24"/>
          <w:szCs w:val="24"/>
        </w:rPr>
        <w:t>En la constitución de reservas se sobrepasó el límite establecido en el artículo citado, toda vez que se presentaron algunas novedades que afectaron el cumplimiento de la norma. Una de las situaciones se relaciona con compromisos por valor de $225.289.988.112,98 que cumplían requisitos para constituir Cuentas por Pagar, pero no se obtuvo aprobación de PAC que permitirá realizar el proceso de pago y por lo tanto se hizo necesario constituir este valor en reservas presupuestales.</w:t>
      </w:r>
    </w:p>
    <w:p w14:paraId="215072E4" w14:textId="77777777" w:rsidR="00D96A90" w:rsidRPr="002A6E88" w:rsidRDefault="00D96A90" w:rsidP="0063799A">
      <w:pPr>
        <w:pStyle w:val="Textoindependiente"/>
        <w:spacing w:before="3"/>
        <w:ind w:left="-284" w:right="-234"/>
        <w:jc w:val="both"/>
        <w:rPr>
          <w:rFonts w:ascii="Arial" w:hAnsi="Arial" w:cs="Arial"/>
          <w:sz w:val="24"/>
          <w:szCs w:val="24"/>
        </w:rPr>
      </w:pPr>
    </w:p>
    <w:p w14:paraId="26546B13" w14:textId="77777777" w:rsidR="00D96A90" w:rsidRPr="002A6E88" w:rsidRDefault="00D96A90" w:rsidP="0063799A">
      <w:pPr>
        <w:pStyle w:val="Textoindependiente"/>
        <w:spacing w:before="3"/>
        <w:ind w:left="-284" w:right="-234"/>
        <w:jc w:val="both"/>
        <w:rPr>
          <w:rFonts w:ascii="Arial" w:hAnsi="Arial" w:cs="Arial"/>
          <w:sz w:val="24"/>
          <w:szCs w:val="24"/>
          <w:lang w:val="es-CO"/>
        </w:rPr>
      </w:pPr>
      <w:r w:rsidRPr="002A6E88">
        <w:rPr>
          <w:rFonts w:ascii="Arial" w:hAnsi="Arial" w:cs="Arial"/>
          <w:b/>
          <w:bCs/>
          <w:sz w:val="24"/>
          <w:szCs w:val="24"/>
          <w:lang w:val="es-CO"/>
        </w:rPr>
        <w:t xml:space="preserve">La Oficina Asesora de Planeación y Desarrollo. </w:t>
      </w:r>
      <w:r w:rsidRPr="002A6E88">
        <w:rPr>
          <w:rFonts w:ascii="Arial" w:hAnsi="Arial" w:cs="Arial"/>
          <w:sz w:val="24"/>
          <w:szCs w:val="24"/>
          <w:lang w:val="es-CO"/>
        </w:rPr>
        <w:t>Mediante memorando N° I-2024- 004850, solicitó a la Dirección General la autorización de la constitución de la reserva presupuestal al Contrato No.101/2024, cuyo objeto es: "Contratar la migración del servicio en la nube del software para la administración del Sistema Integrado de Gestión Institucional - SIGI de la USPEC, con soporte, actualización de versión, horas ingeniero, mantenimiento preventivo y correctivo."</w:t>
      </w:r>
    </w:p>
    <w:p w14:paraId="0F9C6E01" w14:textId="77777777" w:rsidR="00D96A90" w:rsidRPr="003869E7" w:rsidRDefault="00D96A90" w:rsidP="0063799A">
      <w:pPr>
        <w:pStyle w:val="Textoindependiente"/>
        <w:spacing w:before="3"/>
        <w:ind w:left="-284" w:right="-234"/>
        <w:jc w:val="both"/>
        <w:rPr>
          <w:lang w:val="es-CO"/>
        </w:rPr>
      </w:pPr>
    </w:p>
    <w:p w14:paraId="7F34D561" w14:textId="77777777" w:rsidR="00D96A90" w:rsidRPr="002A6E88" w:rsidRDefault="00D96A90" w:rsidP="0063799A">
      <w:pPr>
        <w:pStyle w:val="Textoindependiente"/>
        <w:spacing w:before="3"/>
        <w:ind w:left="-284" w:right="-234"/>
        <w:jc w:val="both"/>
        <w:rPr>
          <w:rFonts w:ascii="Arial" w:hAnsi="Arial" w:cs="Arial"/>
          <w:lang w:val="es-CO"/>
        </w:rPr>
      </w:pPr>
      <w:r w:rsidRPr="002A6E88">
        <w:rPr>
          <w:rFonts w:ascii="Arial" w:hAnsi="Arial" w:cs="Arial"/>
          <w:lang w:val="es-CO"/>
        </w:rPr>
        <w:t>En consecuencia, la Dirección general mediante memorando N° I-2024-004945 y al evidenciarse que el principio de anualidad presupuestal contiene excepciones que se aplican con el fin de dar continuidad al objeto contractual, y que de acuerdo con el artículo 89 del Estatuto Orgánico de Presupuesto, al cierre de cada vigencia fiscal se constituyen reservas presupuestales con los compromisos que al 31 de diciembre no se haya cumplido, siempre y cuando estén legalmente contraídos y desarrollen el objeto de la apropiación, lo que permite que aunque la ejecución del contrato no se haya terminado, es decir no sea aún exigible su pago, se reserve del presupuesto para que este entre, a título de reserva, en el nuevo presupuesto y así el pago con estos dineros en la siguiente vigencia fiscal sea posible. Por lo que es necesario solicitar que los Registros Presupuestales que se expidan con vigencias del 2023 para el contrato en referencia sean constituidos como reserva presupuestal para garantizar su ejecución en la próxima vigencia.</w:t>
      </w:r>
    </w:p>
    <w:p w14:paraId="28EAF335" w14:textId="77777777" w:rsidR="00D96A90" w:rsidRPr="002A6E88" w:rsidRDefault="00D96A90" w:rsidP="0063799A">
      <w:pPr>
        <w:pStyle w:val="Textoindependiente"/>
        <w:spacing w:before="3"/>
        <w:ind w:left="-284" w:right="-234"/>
        <w:jc w:val="both"/>
        <w:rPr>
          <w:rFonts w:ascii="Arial" w:hAnsi="Arial" w:cs="Arial"/>
          <w:lang w:val="es-CO"/>
        </w:rPr>
      </w:pPr>
    </w:p>
    <w:p w14:paraId="58811397" w14:textId="77777777" w:rsidR="00D96A90" w:rsidRPr="002A6E88" w:rsidRDefault="00D96A90" w:rsidP="0063799A">
      <w:pPr>
        <w:pStyle w:val="Textoindependiente"/>
        <w:spacing w:before="3"/>
        <w:ind w:left="-284" w:right="-234"/>
        <w:jc w:val="both"/>
        <w:rPr>
          <w:rFonts w:ascii="Arial" w:hAnsi="Arial" w:cs="Arial"/>
          <w:lang w:val="en-US"/>
        </w:rPr>
      </w:pPr>
      <w:r w:rsidRPr="002A6E88">
        <w:rPr>
          <w:rFonts w:ascii="Arial" w:hAnsi="Arial" w:cs="Arial"/>
          <w:lang w:val="en-US"/>
        </w:rPr>
        <w:t>1. MEN N° I-2024- 004850 - PDF</w:t>
      </w:r>
    </w:p>
    <w:p w14:paraId="6AD971CD" w14:textId="792385E9" w:rsidR="00D96A90" w:rsidRDefault="00D96A90" w:rsidP="0063799A">
      <w:pPr>
        <w:pStyle w:val="Textoindependiente"/>
        <w:spacing w:before="3"/>
        <w:ind w:left="-284" w:right="-234"/>
        <w:jc w:val="both"/>
        <w:rPr>
          <w:rFonts w:ascii="Arial" w:hAnsi="Arial" w:cs="Arial"/>
          <w:lang w:val="en-US"/>
        </w:rPr>
      </w:pPr>
      <w:r w:rsidRPr="00301F69">
        <w:rPr>
          <w:rFonts w:ascii="Arial" w:hAnsi="Arial" w:cs="Arial"/>
          <w:lang w:val="en-US"/>
        </w:rPr>
        <w:t xml:space="preserve">2. MEN N° I-2023- 004945 </w:t>
      </w:r>
      <w:r w:rsidR="00CD7FC8">
        <w:rPr>
          <w:rFonts w:ascii="Arial" w:hAnsi="Arial" w:cs="Arial"/>
          <w:lang w:val="en-US"/>
        </w:rPr>
        <w:t>–</w:t>
      </w:r>
      <w:r w:rsidRPr="00301F69">
        <w:rPr>
          <w:rFonts w:ascii="Arial" w:hAnsi="Arial" w:cs="Arial"/>
          <w:lang w:val="en-US"/>
        </w:rPr>
        <w:t xml:space="preserve"> PDF</w:t>
      </w:r>
    </w:p>
    <w:p w14:paraId="73FB1491" w14:textId="77777777" w:rsidR="00CD7FC8" w:rsidRPr="00301F69" w:rsidRDefault="00CD7FC8" w:rsidP="0063799A">
      <w:pPr>
        <w:pStyle w:val="Textoindependiente"/>
        <w:spacing w:before="3"/>
        <w:ind w:left="-284" w:right="-234"/>
        <w:jc w:val="both"/>
        <w:rPr>
          <w:rFonts w:ascii="Arial" w:hAnsi="Arial" w:cs="Arial"/>
          <w:lang w:val="en-US"/>
        </w:rPr>
      </w:pPr>
    </w:p>
    <w:p w14:paraId="32939A33" w14:textId="77777777" w:rsidR="00D96A90" w:rsidRPr="002A6E88" w:rsidRDefault="00D96A90" w:rsidP="0063799A">
      <w:pPr>
        <w:pStyle w:val="Textoindependiente"/>
        <w:spacing w:before="3"/>
        <w:ind w:left="-284" w:right="-234"/>
        <w:jc w:val="both"/>
        <w:rPr>
          <w:rFonts w:ascii="Arial" w:hAnsi="Arial" w:cs="Arial"/>
          <w:sz w:val="24"/>
          <w:szCs w:val="24"/>
        </w:rPr>
      </w:pPr>
      <w:r w:rsidRPr="002A6E88">
        <w:rPr>
          <w:rFonts w:ascii="Arial" w:hAnsi="Arial" w:cs="Arial"/>
          <w:b/>
          <w:sz w:val="24"/>
          <w:szCs w:val="24"/>
        </w:rPr>
        <w:t xml:space="preserve">Dirección de Infraestructura – Subdirección de Seguimiento a la Infraestructura. </w:t>
      </w:r>
      <w:r w:rsidRPr="002A6E88">
        <w:rPr>
          <w:rFonts w:ascii="Arial" w:hAnsi="Arial" w:cs="Arial"/>
          <w:sz w:val="24"/>
          <w:szCs w:val="24"/>
        </w:rPr>
        <w:t>Teniendo en cuenta la solicitud de información, es importante anotar que los recursos que maneja la Subdirección de Seguimiento a la infraestructura son de inversión y se enmarcan en la ejecución del proyecto aprobado por el DNP y numerado con el BPIN 2018011000329 cuyo objeto es el de “CONSTRUCCION, AMPLIACION DE INFRAESTRUCTURA PARA GENERACION DE CUPOS EN LOS ESTABLECIMINETOS DE RECLUSION DEL ORDEN NACIONAL”.</w:t>
      </w:r>
    </w:p>
    <w:p w14:paraId="638F6F8A" w14:textId="77777777" w:rsidR="00D96A90" w:rsidRPr="002A6E88" w:rsidRDefault="00D96A90" w:rsidP="0063799A">
      <w:pPr>
        <w:pStyle w:val="Textoindependiente"/>
        <w:spacing w:before="3"/>
        <w:ind w:left="-284" w:right="-234"/>
        <w:jc w:val="both"/>
        <w:rPr>
          <w:rFonts w:ascii="Arial" w:hAnsi="Arial" w:cs="Arial"/>
          <w:sz w:val="24"/>
          <w:szCs w:val="24"/>
        </w:rPr>
      </w:pPr>
    </w:p>
    <w:p w14:paraId="10B6F93F" w14:textId="77777777" w:rsidR="00D96A90" w:rsidRPr="002A6E88" w:rsidRDefault="00D96A90" w:rsidP="0063799A">
      <w:pPr>
        <w:pStyle w:val="Textoindependiente"/>
        <w:spacing w:before="3"/>
        <w:ind w:left="-284" w:right="-234"/>
        <w:jc w:val="both"/>
        <w:rPr>
          <w:rFonts w:ascii="Arial" w:hAnsi="Arial" w:cs="Arial"/>
          <w:sz w:val="24"/>
          <w:szCs w:val="24"/>
        </w:rPr>
      </w:pPr>
      <w:r w:rsidRPr="002A6E88">
        <w:rPr>
          <w:rFonts w:ascii="Arial" w:hAnsi="Arial" w:cs="Arial"/>
          <w:sz w:val="24"/>
          <w:szCs w:val="24"/>
        </w:rPr>
        <w:t xml:space="preserve">Para la vigencia 2024, la USPEC comprometió recursos de inversión por valor de CUATROCIENTOS OCHENTA Y CINCO MIL DOCIENTOS NOVENTA Y NUEVE MILLONES DE PESOS ($485.299.000.000,00) </w:t>
      </w:r>
    </w:p>
    <w:p w14:paraId="56849FE1" w14:textId="77777777" w:rsidR="00D96A90" w:rsidRPr="002A6E88" w:rsidRDefault="00D96A90" w:rsidP="0063799A">
      <w:pPr>
        <w:pStyle w:val="Textoindependiente"/>
        <w:spacing w:before="3"/>
        <w:ind w:left="-284" w:right="-234"/>
        <w:jc w:val="both"/>
        <w:rPr>
          <w:rFonts w:ascii="Arial" w:hAnsi="Arial" w:cs="Arial"/>
          <w:sz w:val="24"/>
          <w:szCs w:val="24"/>
        </w:rPr>
      </w:pPr>
    </w:p>
    <w:p w14:paraId="38F66B35" w14:textId="77777777" w:rsidR="00D96A90" w:rsidRPr="002A6E88" w:rsidRDefault="00D96A90" w:rsidP="0063799A">
      <w:pPr>
        <w:pStyle w:val="Textoindependiente"/>
        <w:spacing w:before="3"/>
        <w:ind w:left="-284" w:right="-234"/>
        <w:jc w:val="both"/>
        <w:rPr>
          <w:rFonts w:ascii="Arial" w:hAnsi="Arial" w:cs="Arial"/>
          <w:sz w:val="24"/>
          <w:szCs w:val="24"/>
        </w:rPr>
      </w:pPr>
      <w:r w:rsidRPr="002A6E88">
        <w:rPr>
          <w:rFonts w:ascii="Arial" w:hAnsi="Arial" w:cs="Arial"/>
          <w:sz w:val="24"/>
          <w:szCs w:val="24"/>
        </w:rPr>
        <w:t>Finalizando la misma vigencia y terminando la revisión de las obligaciones, la subdirección solicitó la constitución de reserva por un valor de DOSCIENTOS TREINTA MIL MILLONES NOVECIENTOS CINCUENTA Y SEIS MILLONES OCHOCIENTOS SETENTA Y SEIS MIL SETECIENTOS OCHENTA Y DOS PESOS CON 60/100 ($230.956.876.782,60).</w:t>
      </w:r>
    </w:p>
    <w:p w14:paraId="607B9C61" w14:textId="77777777" w:rsidR="00D96A90" w:rsidRPr="002A6E88" w:rsidRDefault="00D96A90" w:rsidP="0063799A">
      <w:pPr>
        <w:pStyle w:val="Textoindependiente"/>
        <w:spacing w:before="3"/>
        <w:ind w:left="-284" w:right="-234"/>
        <w:jc w:val="both"/>
        <w:rPr>
          <w:rFonts w:ascii="Arial" w:hAnsi="Arial" w:cs="Arial"/>
          <w:sz w:val="24"/>
          <w:szCs w:val="24"/>
        </w:rPr>
      </w:pPr>
    </w:p>
    <w:p w14:paraId="012B2410" w14:textId="77777777" w:rsidR="00D96A90" w:rsidRPr="002A6E88" w:rsidRDefault="00D96A90" w:rsidP="0063799A">
      <w:pPr>
        <w:pStyle w:val="Textoindependiente"/>
        <w:spacing w:before="3"/>
        <w:ind w:left="-284" w:right="-234"/>
        <w:jc w:val="both"/>
        <w:rPr>
          <w:rFonts w:ascii="Arial" w:hAnsi="Arial" w:cs="Arial"/>
          <w:b/>
          <w:sz w:val="24"/>
          <w:szCs w:val="24"/>
          <w:u w:val="single"/>
        </w:rPr>
      </w:pPr>
      <w:r w:rsidRPr="002A6E88">
        <w:rPr>
          <w:rFonts w:ascii="Arial" w:hAnsi="Arial" w:cs="Arial"/>
          <w:b/>
          <w:sz w:val="24"/>
          <w:szCs w:val="24"/>
          <w:u w:val="single"/>
        </w:rPr>
        <w:t>Así las cosas, para la vigencia 2025, la subdirección de seguimiento a la infraestructura, constituyo reservas 2024 por un porcentaje del 47,60 % del total de los recursos de inversión de la USPEC, situación que nos exige realizar las siguientes explicaciones:</w:t>
      </w:r>
    </w:p>
    <w:p w14:paraId="6F131FB9" w14:textId="77777777" w:rsidR="00D96A90" w:rsidRPr="002A6E88" w:rsidRDefault="00D96A90" w:rsidP="00D96A90">
      <w:pPr>
        <w:pStyle w:val="Textoindependiente"/>
        <w:spacing w:before="3"/>
        <w:jc w:val="both"/>
        <w:rPr>
          <w:rFonts w:ascii="Arial" w:hAnsi="Arial" w:cs="Arial"/>
          <w:sz w:val="24"/>
          <w:szCs w:val="24"/>
        </w:rPr>
      </w:pPr>
    </w:p>
    <w:p w14:paraId="4BB4F8F7" w14:textId="77777777" w:rsidR="00D96A90" w:rsidRPr="002A6E88" w:rsidRDefault="00D96A90" w:rsidP="00CB6055">
      <w:pPr>
        <w:pStyle w:val="Textoindependiente"/>
        <w:numPr>
          <w:ilvl w:val="0"/>
          <w:numId w:val="45"/>
        </w:numPr>
        <w:spacing w:before="3"/>
        <w:ind w:right="-234"/>
        <w:jc w:val="both"/>
        <w:rPr>
          <w:rFonts w:ascii="Arial" w:hAnsi="Arial" w:cs="Arial"/>
          <w:sz w:val="24"/>
          <w:szCs w:val="24"/>
        </w:rPr>
      </w:pPr>
      <w:r w:rsidRPr="002A6E88">
        <w:rPr>
          <w:rFonts w:ascii="Arial" w:hAnsi="Arial" w:cs="Arial"/>
          <w:b/>
          <w:sz w:val="24"/>
          <w:szCs w:val="24"/>
          <w:u w:val="single"/>
        </w:rPr>
        <w:t>En el mes de diciembre del 2024, la subdirección solicitó PAC de vigencia por un valor de SETENTA Y SIETE MIL TRESCIENTOS CINCUENTA Y NUEVE MILLONES CINCUENTA MIL TRESCIENTOS OCHENTA Y NUEVE PESOS CON 37/100 ($77.359.050.389.37) para atender obligaciones, sin embargo, el Ministerio de Hacienda no giró los recursos a la entidad</w:t>
      </w:r>
      <w:r w:rsidRPr="002A6E88">
        <w:rPr>
          <w:rFonts w:ascii="Arial" w:hAnsi="Arial" w:cs="Arial"/>
          <w:sz w:val="24"/>
          <w:szCs w:val="24"/>
        </w:rPr>
        <w:t xml:space="preserve">. </w:t>
      </w:r>
    </w:p>
    <w:p w14:paraId="78BFEB60" w14:textId="77777777" w:rsidR="00D96A90" w:rsidRPr="002A6E88" w:rsidRDefault="00D96A90" w:rsidP="00D96A90">
      <w:pPr>
        <w:pStyle w:val="Textoindependiente"/>
        <w:spacing w:before="3"/>
        <w:ind w:left="720"/>
        <w:jc w:val="both"/>
        <w:rPr>
          <w:rFonts w:ascii="Arial" w:hAnsi="Arial" w:cs="Arial"/>
          <w:sz w:val="24"/>
          <w:szCs w:val="24"/>
        </w:rPr>
      </w:pPr>
    </w:p>
    <w:p w14:paraId="75B5C54C" w14:textId="77777777" w:rsidR="00D96A90" w:rsidRPr="002A6E88" w:rsidRDefault="00D96A90" w:rsidP="0063799A">
      <w:pPr>
        <w:pStyle w:val="Textoindependiente"/>
        <w:spacing w:before="3"/>
        <w:ind w:left="-284" w:right="-234"/>
        <w:jc w:val="both"/>
        <w:rPr>
          <w:rFonts w:ascii="Arial" w:hAnsi="Arial" w:cs="Arial"/>
          <w:sz w:val="24"/>
          <w:szCs w:val="24"/>
        </w:rPr>
      </w:pPr>
      <w:r w:rsidRPr="002A6E88">
        <w:rPr>
          <w:rFonts w:ascii="Arial" w:hAnsi="Arial" w:cs="Arial"/>
          <w:sz w:val="24"/>
          <w:szCs w:val="24"/>
        </w:rPr>
        <w:t>En el evento en que la subdirección contara con estos recursos, la Reserva constituida seria, para el 2025, el 31,64%</w:t>
      </w:r>
    </w:p>
    <w:p w14:paraId="595EE586" w14:textId="77777777" w:rsidR="00D96A90" w:rsidRPr="002A6E88" w:rsidRDefault="00D96A90" w:rsidP="00D96A90">
      <w:pPr>
        <w:pStyle w:val="Textoindependiente"/>
        <w:spacing w:before="3"/>
        <w:jc w:val="both"/>
        <w:rPr>
          <w:rFonts w:ascii="Arial" w:hAnsi="Arial" w:cs="Arial"/>
          <w:sz w:val="24"/>
          <w:szCs w:val="24"/>
        </w:rPr>
      </w:pPr>
    </w:p>
    <w:p w14:paraId="28983BB2" w14:textId="77777777" w:rsidR="00D96A90" w:rsidRPr="002A6E88" w:rsidRDefault="00D96A90" w:rsidP="00CB6055">
      <w:pPr>
        <w:pStyle w:val="Textoindependiente"/>
        <w:numPr>
          <w:ilvl w:val="0"/>
          <w:numId w:val="45"/>
        </w:numPr>
        <w:spacing w:before="3"/>
        <w:ind w:right="-234"/>
        <w:jc w:val="both"/>
        <w:rPr>
          <w:rFonts w:ascii="Arial" w:hAnsi="Arial" w:cs="Arial"/>
          <w:sz w:val="24"/>
          <w:szCs w:val="24"/>
        </w:rPr>
      </w:pPr>
      <w:r w:rsidRPr="002A6E88">
        <w:rPr>
          <w:rFonts w:ascii="Arial" w:hAnsi="Arial" w:cs="Arial"/>
          <w:sz w:val="24"/>
          <w:szCs w:val="24"/>
        </w:rPr>
        <w:t>La reserva constituida esta soportada en la ejecución sin obligación en la vigencia 2024 de un total de 18 proyectos.</w:t>
      </w:r>
    </w:p>
    <w:p w14:paraId="7336D25C" w14:textId="77777777" w:rsidR="00D96A90" w:rsidRDefault="00D96A90" w:rsidP="00D96A90">
      <w:pPr>
        <w:ind w:left="-284" w:right="49"/>
        <w:jc w:val="both"/>
        <w:rPr>
          <w:rFonts w:ascii="Arial" w:hAnsi="Arial" w:cs="Arial"/>
          <w:b/>
          <w:sz w:val="24"/>
          <w:szCs w:val="24"/>
        </w:rPr>
      </w:pPr>
    </w:p>
    <w:p w14:paraId="19310431" w14:textId="77777777" w:rsidR="00D96A90" w:rsidRPr="00FB49FB" w:rsidRDefault="00D96A90" w:rsidP="0063799A">
      <w:pPr>
        <w:ind w:left="-284" w:right="-234"/>
        <w:jc w:val="both"/>
        <w:rPr>
          <w:rFonts w:ascii="Arial" w:hAnsi="Arial" w:cs="Arial"/>
          <w:b/>
          <w:sz w:val="28"/>
          <w:szCs w:val="28"/>
          <w:lang w:val="es-MX"/>
        </w:rPr>
      </w:pPr>
      <w:r w:rsidRPr="00FB49FB">
        <w:rPr>
          <w:rFonts w:ascii="Arial" w:hAnsi="Arial" w:cs="Arial"/>
          <w:b/>
          <w:sz w:val="28"/>
          <w:szCs w:val="28"/>
          <w:lang w:val="es-MX"/>
        </w:rPr>
        <w:t>130.- U.A.E. JUNTA CENTRAL DE CONTADORES.</w:t>
      </w:r>
    </w:p>
    <w:p w14:paraId="087A8D84" w14:textId="77777777" w:rsidR="00D96A90" w:rsidRDefault="00D96A90" w:rsidP="0063799A">
      <w:pPr>
        <w:ind w:left="-284" w:right="-234"/>
        <w:jc w:val="both"/>
        <w:rPr>
          <w:rFonts w:ascii="Arial" w:hAnsi="Arial" w:cs="Arial"/>
          <w:b/>
          <w:sz w:val="24"/>
          <w:szCs w:val="24"/>
        </w:rPr>
      </w:pPr>
    </w:p>
    <w:p w14:paraId="6093BFE4" w14:textId="77777777" w:rsidR="00D96A90" w:rsidRPr="00FB49FB" w:rsidRDefault="00D96A90" w:rsidP="0063799A">
      <w:pPr>
        <w:pStyle w:val="Textoindependiente"/>
        <w:ind w:left="-284" w:right="-234"/>
        <w:jc w:val="both"/>
        <w:rPr>
          <w:rFonts w:ascii="Arial" w:hAnsi="Arial" w:cs="Arial"/>
          <w:sz w:val="24"/>
          <w:szCs w:val="24"/>
        </w:rPr>
      </w:pPr>
      <w:r w:rsidRPr="00FB49FB">
        <w:rPr>
          <w:rFonts w:ascii="Arial" w:hAnsi="Arial" w:cs="Arial"/>
          <w:b/>
          <w:sz w:val="24"/>
          <w:szCs w:val="24"/>
        </w:rPr>
        <w:t>Respuesta</w:t>
      </w:r>
      <w:r w:rsidRPr="00FB49FB">
        <w:rPr>
          <w:rFonts w:ascii="Arial" w:hAnsi="Arial" w:cs="Arial"/>
          <w:sz w:val="24"/>
          <w:szCs w:val="24"/>
        </w:rPr>
        <w:t>: En la vigencia 2024, la UAE Junta Central de Contadores informa que, en lo correspondiente a la Reserva Presupuestal, componente de Funcionamiento se excedió el porcentaje límite. Situación originada al no presentar en debida forma, algunos prestadores de servicios, sus respectivos informes de actividades o cuentas de cobro, a pesar de haberle prestado los servicios a la entidad, al corte del 30 de diciembre de 2024.</w:t>
      </w:r>
    </w:p>
    <w:p w14:paraId="1F357DD9" w14:textId="77777777" w:rsidR="00D96A90" w:rsidRPr="00FB49FB" w:rsidRDefault="00D96A90" w:rsidP="0063799A">
      <w:pPr>
        <w:pStyle w:val="Textoindependiente"/>
        <w:ind w:left="-284" w:right="-234"/>
        <w:jc w:val="both"/>
        <w:rPr>
          <w:rFonts w:ascii="Arial" w:hAnsi="Arial" w:cs="Arial"/>
          <w:sz w:val="24"/>
          <w:szCs w:val="24"/>
        </w:rPr>
      </w:pPr>
    </w:p>
    <w:p w14:paraId="6229B683" w14:textId="77777777" w:rsidR="00D96A90" w:rsidRPr="00FB49FB" w:rsidRDefault="00D96A90" w:rsidP="0063799A">
      <w:pPr>
        <w:pStyle w:val="Textoindependiente"/>
        <w:ind w:left="-284" w:right="-234"/>
        <w:jc w:val="both"/>
        <w:rPr>
          <w:rFonts w:ascii="Arial" w:hAnsi="Arial" w:cs="Arial"/>
          <w:sz w:val="24"/>
          <w:szCs w:val="24"/>
        </w:rPr>
      </w:pPr>
      <w:r w:rsidRPr="00FB49FB">
        <w:rPr>
          <w:rFonts w:ascii="Arial" w:hAnsi="Arial" w:cs="Arial"/>
          <w:sz w:val="24"/>
          <w:szCs w:val="24"/>
        </w:rPr>
        <w:t>En la tabla a continuación de presente el resumen de lo informado:</w:t>
      </w:r>
    </w:p>
    <w:p w14:paraId="754BA0C5" w14:textId="77777777" w:rsidR="00D96A90" w:rsidRPr="00F9447F" w:rsidRDefault="00D96A90" w:rsidP="00D96A90">
      <w:pPr>
        <w:pStyle w:val="Textoindependiente"/>
        <w:ind w:right="49"/>
        <w:jc w:val="both"/>
      </w:pPr>
    </w:p>
    <w:tbl>
      <w:tblPr>
        <w:tblW w:w="10042" w:type="dxa"/>
        <w:tblInd w:w="-10" w:type="dxa"/>
        <w:tblCellMar>
          <w:left w:w="70" w:type="dxa"/>
          <w:right w:w="70" w:type="dxa"/>
        </w:tblCellMar>
        <w:tblLook w:val="04A0" w:firstRow="1" w:lastRow="0" w:firstColumn="1" w:lastColumn="0" w:noHBand="0" w:noVBand="1"/>
      </w:tblPr>
      <w:tblGrid>
        <w:gridCol w:w="1985"/>
        <w:gridCol w:w="1935"/>
        <w:gridCol w:w="1020"/>
        <w:gridCol w:w="1723"/>
        <w:gridCol w:w="2123"/>
        <w:gridCol w:w="1256"/>
      </w:tblGrid>
      <w:tr w:rsidR="00D96A90" w:rsidRPr="00FB49FB" w14:paraId="651DBF43" w14:textId="77777777" w:rsidTr="00EF5AF2">
        <w:trPr>
          <w:trHeight w:val="420"/>
        </w:trPr>
        <w:tc>
          <w:tcPr>
            <w:tcW w:w="1985" w:type="dxa"/>
            <w:tcBorders>
              <w:top w:val="single" w:sz="8" w:space="0" w:color="auto"/>
              <w:left w:val="single" w:sz="8" w:space="0" w:color="auto"/>
              <w:bottom w:val="single" w:sz="8" w:space="0" w:color="auto"/>
              <w:right w:val="single" w:sz="8" w:space="0" w:color="auto"/>
              <w:tr2bl w:val="single" w:sz="8" w:space="0" w:color="auto"/>
            </w:tcBorders>
            <w:shd w:val="clear" w:color="auto" w:fill="auto"/>
            <w:noWrap/>
            <w:vAlign w:val="bottom"/>
            <w:hideMark/>
          </w:tcPr>
          <w:p w14:paraId="716395F5" w14:textId="77777777" w:rsidR="00D96A90" w:rsidRPr="00FB49FB" w:rsidRDefault="00D96A90" w:rsidP="00EF5AF2">
            <w:pPr>
              <w:widowControl/>
              <w:autoSpaceDE/>
              <w:autoSpaceDN/>
              <w:rPr>
                <w:rFonts w:eastAsia="Times New Roman"/>
                <w:b/>
                <w:bCs/>
                <w:color w:val="000000"/>
                <w:sz w:val="14"/>
                <w:szCs w:val="14"/>
                <w:lang w:val="es-CO" w:eastAsia="es-CO"/>
              </w:rPr>
            </w:pPr>
            <w:r w:rsidRPr="00FB49FB">
              <w:rPr>
                <w:rFonts w:eastAsia="Times New Roman"/>
                <w:b/>
                <w:bCs/>
                <w:color w:val="000000"/>
                <w:sz w:val="14"/>
                <w:szCs w:val="14"/>
                <w:lang w:val="es-CO" w:eastAsia="es-CO"/>
              </w:rPr>
              <w:t> </w:t>
            </w:r>
          </w:p>
        </w:tc>
        <w:tc>
          <w:tcPr>
            <w:tcW w:w="1935" w:type="dxa"/>
            <w:tcBorders>
              <w:top w:val="single" w:sz="8" w:space="0" w:color="auto"/>
              <w:left w:val="nil"/>
              <w:bottom w:val="single" w:sz="8" w:space="0" w:color="auto"/>
              <w:right w:val="single" w:sz="8" w:space="0" w:color="auto"/>
            </w:tcBorders>
            <w:shd w:val="clear" w:color="auto" w:fill="auto"/>
            <w:vAlign w:val="center"/>
            <w:hideMark/>
          </w:tcPr>
          <w:p w14:paraId="147CC387" w14:textId="77777777" w:rsidR="00D96A90" w:rsidRPr="00FB49FB" w:rsidRDefault="00D96A90" w:rsidP="00EF5AF2">
            <w:pPr>
              <w:widowControl/>
              <w:autoSpaceDE/>
              <w:autoSpaceDN/>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APROPIACION </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1165DEB3" w14:textId="77777777" w:rsidR="00D96A90" w:rsidRPr="00FB49FB" w:rsidRDefault="00D96A90" w:rsidP="00EF5AF2">
            <w:pPr>
              <w:widowControl/>
              <w:autoSpaceDE/>
              <w:autoSpaceDN/>
              <w:jc w:val="center"/>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MAXIMO RESERVA </w:t>
            </w:r>
          </w:p>
        </w:tc>
        <w:tc>
          <w:tcPr>
            <w:tcW w:w="1723" w:type="dxa"/>
            <w:tcBorders>
              <w:top w:val="single" w:sz="8" w:space="0" w:color="auto"/>
              <w:left w:val="nil"/>
              <w:bottom w:val="single" w:sz="8" w:space="0" w:color="auto"/>
              <w:right w:val="single" w:sz="8" w:space="0" w:color="auto"/>
            </w:tcBorders>
            <w:shd w:val="clear" w:color="auto" w:fill="auto"/>
            <w:vAlign w:val="center"/>
            <w:hideMark/>
          </w:tcPr>
          <w:p w14:paraId="0C1D258A" w14:textId="77777777" w:rsidR="00D96A90" w:rsidRPr="00FB49FB" w:rsidRDefault="00D96A90" w:rsidP="00EF5AF2">
            <w:pPr>
              <w:widowControl/>
              <w:autoSpaceDE/>
              <w:autoSpaceDN/>
              <w:jc w:val="center"/>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RESERVA </w:t>
            </w:r>
          </w:p>
        </w:tc>
        <w:tc>
          <w:tcPr>
            <w:tcW w:w="2123" w:type="dxa"/>
            <w:tcBorders>
              <w:top w:val="single" w:sz="8" w:space="0" w:color="auto"/>
              <w:left w:val="nil"/>
              <w:bottom w:val="single" w:sz="8" w:space="0" w:color="auto"/>
              <w:right w:val="single" w:sz="8" w:space="0" w:color="auto"/>
            </w:tcBorders>
            <w:shd w:val="clear" w:color="auto" w:fill="auto"/>
            <w:vAlign w:val="center"/>
            <w:hideMark/>
          </w:tcPr>
          <w:p w14:paraId="5535CE90" w14:textId="77777777" w:rsidR="00D96A90" w:rsidRPr="00FB49FB" w:rsidRDefault="00D96A90" w:rsidP="00EF5AF2">
            <w:pPr>
              <w:widowControl/>
              <w:autoSpaceDE/>
              <w:autoSpaceDN/>
              <w:jc w:val="center"/>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RESERVA CONSTITUIDA </w:t>
            </w:r>
          </w:p>
        </w:tc>
        <w:tc>
          <w:tcPr>
            <w:tcW w:w="1256" w:type="dxa"/>
            <w:tcBorders>
              <w:top w:val="single" w:sz="8" w:space="0" w:color="auto"/>
              <w:left w:val="nil"/>
              <w:bottom w:val="single" w:sz="8" w:space="0" w:color="auto"/>
              <w:right w:val="single" w:sz="8" w:space="0" w:color="auto"/>
            </w:tcBorders>
            <w:shd w:val="clear" w:color="auto" w:fill="auto"/>
            <w:vAlign w:val="center"/>
            <w:hideMark/>
          </w:tcPr>
          <w:p w14:paraId="0C424355" w14:textId="77777777" w:rsidR="00D96A90" w:rsidRPr="00FB49FB" w:rsidRDefault="00D96A90" w:rsidP="00EF5AF2">
            <w:pPr>
              <w:widowControl/>
              <w:autoSpaceDE/>
              <w:autoSpaceDN/>
              <w:jc w:val="center"/>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VARIACION </w:t>
            </w:r>
          </w:p>
        </w:tc>
      </w:tr>
      <w:tr w:rsidR="00D96A90" w:rsidRPr="00FB49FB" w14:paraId="6BCF68EA" w14:textId="77777777" w:rsidTr="00EF5AF2">
        <w:trPr>
          <w:trHeigh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13F4DB3" w14:textId="77777777" w:rsidR="00D96A90" w:rsidRPr="00FB49FB" w:rsidRDefault="00D96A90" w:rsidP="00EF5AF2">
            <w:pPr>
              <w:widowControl/>
              <w:autoSpaceDE/>
              <w:autoSpaceDN/>
              <w:rPr>
                <w:rFonts w:eastAsia="Times New Roman"/>
                <w:b/>
                <w:bCs/>
                <w:color w:val="000000"/>
                <w:sz w:val="14"/>
                <w:szCs w:val="14"/>
                <w:highlight w:val="yellow"/>
                <w:lang w:val="es-CO" w:eastAsia="es-CO"/>
              </w:rPr>
            </w:pPr>
            <w:r w:rsidRPr="00FB49FB">
              <w:rPr>
                <w:rFonts w:eastAsia="Times New Roman"/>
                <w:b/>
                <w:bCs/>
                <w:color w:val="000000"/>
                <w:sz w:val="14"/>
                <w:szCs w:val="14"/>
                <w:highlight w:val="yellow"/>
                <w:lang w:val="es-CO" w:eastAsia="es-CO"/>
              </w:rPr>
              <w:t xml:space="preserve"> FUNCIONAMIENTO  </w:t>
            </w:r>
          </w:p>
        </w:tc>
        <w:tc>
          <w:tcPr>
            <w:tcW w:w="1935" w:type="dxa"/>
            <w:tcBorders>
              <w:top w:val="nil"/>
              <w:left w:val="nil"/>
              <w:bottom w:val="single" w:sz="8" w:space="0" w:color="auto"/>
              <w:right w:val="single" w:sz="8" w:space="0" w:color="auto"/>
            </w:tcBorders>
            <w:shd w:val="clear" w:color="auto" w:fill="auto"/>
            <w:vAlign w:val="center"/>
            <w:hideMark/>
          </w:tcPr>
          <w:p w14:paraId="34949622" w14:textId="77777777" w:rsidR="00D96A90" w:rsidRPr="00FB49FB" w:rsidRDefault="00D96A90" w:rsidP="00EF5AF2">
            <w:pPr>
              <w:widowControl/>
              <w:autoSpaceDE/>
              <w:autoSpaceDN/>
              <w:jc w:val="right"/>
              <w:rPr>
                <w:rFonts w:eastAsia="Times New Roman"/>
                <w:color w:val="000000"/>
                <w:sz w:val="14"/>
                <w:szCs w:val="14"/>
                <w:highlight w:val="yellow"/>
                <w:lang w:val="es-CO" w:eastAsia="es-CO"/>
              </w:rPr>
            </w:pPr>
            <w:r w:rsidRPr="00FB49FB">
              <w:rPr>
                <w:rFonts w:eastAsia="Times New Roman"/>
                <w:color w:val="000000"/>
                <w:sz w:val="14"/>
                <w:szCs w:val="14"/>
                <w:highlight w:val="yellow"/>
                <w:lang w:val="es-CO" w:eastAsia="es-CO"/>
              </w:rPr>
              <w:t xml:space="preserve"> $          8.023.108,00 </w:t>
            </w:r>
          </w:p>
        </w:tc>
        <w:tc>
          <w:tcPr>
            <w:tcW w:w="1020" w:type="dxa"/>
            <w:tcBorders>
              <w:top w:val="nil"/>
              <w:left w:val="nil"/>
              <w:bottom w:val="single" w:sz="8" w:space="0" w:color="auto"/>
              <w:right w:val="single" w:sz="8" w:space="0" w:color="auto"/>
            </w:tcBorders>
            <w:shd w:val="clear" w:color="auto" w:fill="auto"/>
            <w:vAlign w:val="center"/>
            <w:hideMark/>
          </w:tcPr>
          <w:p w14:paraId="4350627B" w14:textId="77777777" w:rsidR="00D96A90" w:rsidRPr="00FB49FB" w:rsidRDefault="00D96A90" w:rsidP="00EF5AF2">
            <w:pPr>
              <w:widowControl/>
              <w:autoSpaceDE/>
              <w:autoSpaceDN/>
              <w:jc w:val="right"/>
              <w:rPr>
                <w:rFonts w:eastAsia="Times New Roman"/>
                <w:color w:val="000000"/>
                <w:sz w:val="14"/>
                <w:szCs w:val="14"/>
                <w:highlight w:val="yellow"/>
                <w:lang w:val="es-CO" w:eastAsia="es-CO"/>
              </w:rPr>
            </w:pPr>
            <w:r w:rsidRPr="00FB49FB">
              <w:rPr>
                <w:rFonts w:eastAsia="Times New Roman"/>
                <w:color w:val="000000"/>
                <w:sz w:val="14"/>
                <w:szCs w:val="14"/>
                <w:highlight w:val="yellow"/>
                <w:lang w:val="es-CO" w:eastAsia="es-CO"/>
              </w:rPr>
              <w:t>2%</w:t>
            </w:r>
          </w:p>
        </w:tc>
        <w:tc>
          <w:tcPr>
            <w:tcW w:w="1723" w:type="dxa"/>
            <w:tcBorders>
              <w:top w:val="nil"/>
              <w:left w:val="nil"/>
              <w:bottom w:val="single" w:sz="8" w:space="0" w:color="auto"/>
              <w:right w:val="single" w:sz="8" w:space="0" w:color="auto"/>
            </w:tcBorders>
            <w:shd w:val="clear" w:color="auto" w:fill="auto"/>
            <w:vAlign w:val="center"/>
            <w:hideMark/>
          </w:tcPr>
          <w:p w14:paraId="7DDED123" w14:textId="77777777" w:rsidR="00D96A90" w:rsidRPr="00FB49FB" w:rsidRDefault="00D96A90" w:rsidP="00EF5AF2">
            <w:pPr>
              <w:widowControl/>
              <w:autoSpaceDE/>
              <w:autoSpaceDN/>
              <w:jc w:val="right"/>
              <w:rPr>
                <w:rFonts w:eastAsia="Times New Roman"/>
                <w:color w:val="000000"/>
                <w:sz w:val="14"/>
                <w:szCs w:val="14"/>
                <w:highlight w:val="yellow"/>
                <w:lang w:val="es-CO" w:eastAsia="es-CO"/>
              </w:rPr>
            </w:pPr>
            <w:r w:rsidRPr="00FB49FB">
              <w:rPr>
                <w:rFonts w:eastAsia="Times New Roman"/>
                <w:color w:val="000000"/>
                <w:sz w:val="14"/>
                <w:szCs w:val="14"/>
                <w:highlight w:val="yellow"/>
                <w:lang w:val="es-CO" w:eastAsia="es-CO"/>
              </w:rPr>
              <w:t xml:space="preserve"> $          160.462,16 </w:t>
            </w:r>
          </w:p>
        </w:tc>
        <w:tc>
          <w:tcPr>
            <w:tcW w:w="2123" w:type="dxa"/>
            <w:tcBorders>
              <w:top w:val="nil"/>
              <w:left w:val="nil"/>
              <w:bottom w:val="single" w:sz="8" w:space="0" w:color="auto"/>
              <w:right w:val="single" w:sz="8" w:space="0" w:color="auto"/>
            </w:tcBorders>
            <w:shd w:val="clear" w:color="auto" w:fill="auto"/>
            <w:vAlign w:val="center"/>
            <w:hideMark/>
          </w:tcPr>
          <w:p w14:paraId="680A1E5A" w14:textId="77777777" w:rsidR="00D96A90" w:rsidRPr="00FB49FB" w:rsidRDefault="00D96A90" w:rsidP="00EF5AF2">
            <w:pPr>
              <w:widowControl/>
              <w:autoSpaceDE/>
              <w:autoSpaceDN/>
              <w:jc w:val="right"/>
              <w:rPr>
                <w:rFonts w:eastAsia="Times New Roman"/>
                <w:color w:val="000000"/>
                <w:sz w:val="14"/>
                <w:szCs w:val="14"/>
                <w:highlight w:val="yellow"/>
                <w:lang w:val="es-CO" w:eastAsia="es-CO"/>
              </w:rPr>
            </w:pPr>
            <w:r w:rsidRPr="00FB49FB">
              <w:rPr>
                <w:rFonts w:eastAsia="Times New Roman"/>
                <w:color w:val="000000"/>
                <w:sz w:val="14"/>
                <w:szCs w:val="14"/>
                <w:highlight w:val="yellow"/>
                <w:lang w:val="es-CO" w:eastAsia="es-CO"/>
              </w:rPr>
              <w:t xml:space="preserve"> $            203.234,67 </w:t>
            </w:r>
          </w:p>
        </w:tc>
        <w:tc>
          <w:tcPr>
            <w:tcW w:w="1256" w:type="dxa"/>
            <w:tcBorders>
              <w:top w:val="nil"/>
              <w:left w:val="nil"/>
              <w:bottom w:val="single" w:sz="8" w:space="0" w:color="auto"/>
              <w:right w:val="single" w:sz="8" w:space="0" w:color="auto"/>
            </w:tcBorders>
            <w:shd w:val="clear" w:color="auto" w:fill="auto"/>
            <w:vAlign w:val="center"/>
            <w:hideMark/>
          </w:tcPr>
          <w:p w14:paraId="673B5F99" w14:textId="77777777" w:rsidR="00D96A90" w:rsidRPr="00FB49FB" w:rsidRDefault="00D96A90" w:rsidP="00EF5AF2">
            <w:pPr>
              <w:widowControl/>
              <w:autoSpaceDE/>
              <w:autoSpaceDN/>
              <w:jc w:val="right"/>
              <w:rPr>
                <w:rFonts w:eastAsia="Times New Roman"/>
                <w:color w:val="000000"/>
                <w:sz w:val="14"/>
                <w:szCs w:val="14"/>
                <w:highlight w:val="yellow"/>
                <w:lang w:val="es-CO" w:eastAsia="es-CO"/>
              </w:rPr>
            </w:pPr>
            <w:r w:rsidRPr="00FB49FB">
              <w:rPr>
                <w:rFonts w:eastAsia="Times New Roman"/>
                <w:color w:val="000000"/>
                <w:sz w:val="14"/>
                <w:szCs w:val="14"/>
                <w:highlight w:val="yellow"/>
                <w:lang w:val="es-CO" w:eastAsia="es-CO"/>
              </w:rPr>
              <w:t>2,53%</w:t>
            </w:r>
          </w:p>
        </w:tc>
      </w:tr>
      <w:tr w:rsidR="00D96A90" w:rsidRPr="00FB49FB" w14:paraId="4A3ACAE0" w14:textId="77777777" w:rsidTr="00EF5AF2">
        <w:trPr>
          <w:trHeigh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EF8CE46" w14:textId="77777777" w:rsidR="00D96A90" w:rsidRPr="00FB49FB" w:rsidRDefault="00D96A90" w:rsidP="00EF5AF2">
            <w:pPr>
              <w:widowControl/>
              <w:autoSpaceDE/>
              <w:autoSpaceDN/>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INVERSION </w:t>
            </w:r>
          </w:p>
        </w:tc>
        <w:tc>
          <w:tcPr>
            <w:tcW w:w="1935" w:type="dxa"/>
            <w:tcBorders>
              <w:top w:val="nil"/>
              <w:left w:val="nil"/>
              <w:bottom w:val="single" w:sz="8" w:space="0" w:color="auto"/>
              <w:right w:val="single" w:sz="8" w:space="0" w:color="auto"/>
            </w:tcBorders>
            <w:shd w:val="clear" w:color="auto" w:fill="auto"/>
            <w:vAlign w:val="center"/>
            <w:hideMark/>
          </w:tcPr>
          <w:p w14:paraId="7A0E113E"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xml:space="preserve"> $         10.748.535,00 </w:t>
            </w:r>
          </w:p>
        </w:tc>
        <w:tc>
          <w:tcPr>
            <w:tcW w:w="1020" w:type="dxa"/>
            <w:tcBorders>
              <w:top w:val="nil"/>
              <w:left w:val="nil"/>
              <w:bottom w:val="single" w:sz="8" w:space="0" w:color="auto"/>
              <w:right w:val="single" w:sz="8" w:space="0" w:color="auto"/>
            </w:tcBorders>
            <w:shd w:val="clear" w:color="auto" w:fill="auto"/>
            <w:vAlign w:val="center"/>
            <w:hideMark/>
          </w:tcPr>
          <w:p w14:paraId="08B8721C"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15%</w:t>
            </w:r>
          </w:p>
        </w:tc>
        <w:tc>
          <w:tcPr>
            <w:tcW w:w="1723" w:type="dxa"/>
            <w:tcBorders>
              <w:top w:val="nil"/>
              <w:left w:val="nil"/>
              <w:bottom w:val="single" w:sz="8" w:space="0" w:color="auto"/>
              <w:right w:val="single" w:sz="8" w:space="0" w:color="auto"/>
            </w:tcBorders>
            <w:shd w:val="clear" w:color="auto" w:fill="auto"/>
            <w:vAlign w:val="center"/>
            <w:hideMark/>
          </w:tcPr>
          <w:p w14:paraId="26FE55F2"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xml:space="preserve"> $       1.612.280,25 </w:t>
            </w:r>
          </w:p>
        </w:tc>
        <w:tc>
          <w:tcPr>
            <w:tcW w:w="2123" w:type="dxa"/>
            <w:tcBorders>
              <w:top w:val="nil"/>
              <w:left w:val="nil"/>
              <w:bottom w:val="single" w:sz="8" w:space="0" w:color="auto"/>
              <w:right w:val="single" w:sz="8" w:space="0" w:color="auto"/>
            </w:tcBorders>
            <w:shd w:val="clear" w:color="auto" w:fill="auto"/>
            <w:vAlign w:val="center"/>
            <w:hideMark/>
          </w:tcPr>
          <w:p w14:paraId="0633DA1E"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xml:space="preserve"> $            181.934,72 </w:t>
            </w:r>
          </w:p>
        </w:tc>
        <w:tc>
          <w:tcPr>
            <w:tcW w:w="1256" w:type="dxa"/>
            <w:tcBorders>
              <w:top w:val="nil"/>
              <w:left w:val="nil"/>
              <w:bottom w:val="single" w:sz="8" w:space="0" w:color="auto"/>
              <w:right w:val="single" w:sz="8" w:space="0" w:color="auto"/>
            </w:tcBorders>
            <w:shd w:val="clear" w:color="auto" w:fill="auto"/>
            <w:vAlign w:val="center"/>
            <w:hideMark/>
          </w:tcPr>
          <w:p w14:paraId="0E436307"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1,69%</w:t>
            </w:r>
          </w:p>
        </w:tc>
      </w:tr>
      <w:tr w:rsidR="00D96A90" w:rsidRPr="00FB49FB" w14:paraId="11F5BC71" w14:textId="77777777" w:rsidTr="00EF5AF2">
        <w:trPr>
          <w:trHeigh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C85CA37" w14:textId="77777777" w:rsidR="00D96A90" w:rsidRPr="00FB49FB" w:rsidRDefault="00D96A90" w:rsidP="00EF5AF2">
            <w:pPr>
              <w:widowControl/>
              <w:autoSpaceDE/>
              <w:autoSpaceDN/>
              <w:rPr>
                <w:rFonts w:eastAsia="Times New Roman"/>
                <w:b/>
                <w:bCs/>
                <w:color w:val="000000"/>
                <w:sz w:val="14"/>
                <w:szCs w:val="14"/>
                <w:lang w:val="es-CO" w:eastAsia="es-CO"/>
              </w:rPr>
            </w:pPr>
            <w:r w:rsidRPr="00FB49FB">
              <w:rPr>
                <w:rFonts w:eastAsia="Times New Roman"/>
                <w:b/>
                <w:bCs/>
                <w:color w:val="000000"/>
                <w:sz w:val="14"/>
                <w:szCs w:val="14"/>
                <w:lang w:val="es-CO" w:eastAsia="es-CO"/>
              </w:rPr>
              <w:t xml:space="preserve"> TOTAL, RESERVA </w:t>
            </w:r>
          </w:p>
        </w:tc>
        <w:tc>
          <w:tcPr>
            <w:tcW w:w="1935" w:type="dxa"/>
            <w:tcBorders>
              <w:top w:val="nil"/>
              <w:left w:val="nil"/>
              <w:bottom w:val="single" w:sz="8" w:space="0" w:color="auto"/>
              <w:right w:val="single" w:sz="8" w:space="0" w:color="auto"/>
            </w:tcBorders>
            <w:shd w:val="clear" w:color="auto" w:fill="auto"/>
            <w:vAlign w:val="center"/>
            <w:hideMark/>
          </w:tcPr>
          <w:p w14:paraId="43AB8DD3"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xml:space="preserve"> $         18.771.643,00 </w:t>
            </w:r>
          </w:p>
        </w:tc>
        <w:tc>
          <w:tcPr>
            <w:tcW w:w="1020" w:type="dxa"/>
            <w:tcBorders>
              <w:top w:val="nil"/>
              <w:left w:val="nil"/>
              <w:bottom w:val="single" w:sz="8" w:space="0" w:color="auto"/>
              <w:right w:val="single" w:sz="8" w:space="0" w:color="auto"/>
            </w:tcBorders>
            <w:shd w:val="clear" w:color="auto" w:fill="auto"/>
            <w:vAlign w:val="center"/>
            <w:hideMark/>
          </w:tcPr>
          <w:p w14:paraId="276CBC6F"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w:t>
            </w:r>
          </w:p>
        </w:tc>
        <w:tc>
          <w:tcPr>
            <w:tcW w:w="1723" w:type="dxa"/>
            <w:tcBorders>
              <w:top w:val="nil"/>
              <w:left w:val="nil"/>
              <w:bottom w:val="single" w:sz="8" w:space="0" w:color="auto"/>
              <w:right w:val="single" w:sz="8" w:space="0" w:color="auto"/>
            </w:tcBorders>
            <w:shd w:val="clear" w:color="auto" w:fill="auto"/>
            <w:vAlign w:val="center"/>
            <w:hideMark/>
          </w:tcPr>
          <w:p w14:paraId="1185AD91"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w:t>
            </w:r>
          </w:p>
        </w:tc>
        <w:tc>
          <w:tcPr>
            <w:tcW w:w="2123" w:type="dxa"/>
            <w:tcBorders>
              <w:top w:val="nil"/>
              <w:left w:val="nil"/>
              <w:bottom w:val="single" w:sz="8" w:space="0" w:color="auto"/>
              <w:right w:val="single" w:sz="8" w:space="0" w:color="auto"/>
            </w:tcBorders>
            <w:shd w:val="clear" w:color="auto" w:fill="auto"/>
            <w:vAlign w:val="center"/>
            <w:hideMark/>
          </w:tcPr>
          <w:p w14:paraId="506052D7"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xml:space="preserve"> $            385.169,39 </w:t>
            </w:r>
          </w:p>
        </w:tc>
        <w:tc>
          <w:tcPr>
            <w:tcW w:w="1256" w:type="dxa"/>
            <w:tcBorders>
              <w:top w:val="nil"/>
              <w:left w:val="nil"/>
              <w:bottom w:val="single" w:sz="8" w:space="0" w:color="auto"/>
              <w:right w:val="single" w:sz="8" w:space="0" w:color="auto"/>
            </w:tcBorders>
            <w:shd w:val="clear" w:color="auto" w:fill="auto"/>
            <w:vAlign w:val="center"/>
            <w:hideMark/>
          </w:tcPr>
          <w:p w14:paraId="1A56E0AB" w14:textId="77777777" w:rsidR="00D96A90" w:rsidRPr="00FB49FB" w:rsidRDefault="00D96A90" w:rsidP="00EF5AF2">
            <w:pPr>
              <w:widowControl/>
              <w:autoSpaceDE/>
              <w:autoSpaceDN/>
              <w:jc w:val="right"/>
              <w:rPr>
                <w:rFonts w:eastAsia="Times New Roman"/>
                <w:color w:val="000000"/>
                <w:sz w:val="14"/>
                <w:szCs w:val="14"/>
                <w:lang w:val="es-CO" w:eastAsia="es-CO"/>
              </w:rPr>
            </w:pPr>
            <w:r w:rsidRPr="00FB49FB">
              <w:rPr>
                <w:rFonts w:eastAsia="Times New Roman"/>
                <w:color w:val="000000"/>
                <w:sz w:val="14"/>
                <w:szCs w:val="14"/>
                <w:lang w:val="es-CO" w:eastAsia="es-CO"/>
              </w:rPr>
              <w:t> </w:t>
            </w:r>
          </w:p>
        </w:tc>
      </w:tr>
    </w:tbl>
    <w:p w14:paraId="1B4AF6FF" w14:textId="77777777" w:rsidR="00D96A90" w:rsidRPr="00F9447F" w:rsidRDefault="00D96A90" w:rsidP="00D96A90">
      <w:pPr>
        <w:pStyle w:val="Textoindependiente"/>
        <w:spacing w:before="3"/>
        <w:jc w:val="both"/>
      </w:pPr>
    </w:p>
    <w:p w14:paraId="25F2541A" w14:textId="77777777" w:rsidR="00D96A90" w:rsidRPr="00CD7FC8" w:rsidRDefault="00D96A90" w:rsidP="0063799A">
      <w:pPr>
        <w:ind w:left="-284" w:right="-234"/>
        <w:jc w:val="both"/>
        <w:rPr>
          <w:rFonts w:ascii="Arial" w:hAnsi="Arial" w:cs="Arial"/>
          <w:b/>
          <w:sz w:val="28"/>
          <w:szCs w:val="28"/>
          <w:lang w:val="es-MX"/>
        </w:rPr>
      </w:pPr>
      <w:r w:rsidRPr="00CD7FC8">
        <w:rPr>
          <w:rFonts w:ascii="Arial" w:hAnsi="Arial" w:cs="Arial"/>
          <w:b/>
          <w:sz w:val="28"/>
          <w:szCs w:val="28"/>
          <w:lang w:val="es-MX"/>
        </w:rPr>
        <w:t>149.- U.A.E. AERONAUTICA CIVIL - AEROCIVIL.</w:t>
      </w:r>
    </w:p>
    <w:p w14:paraId="5C913D83" w14:textId="77777777" w:rsidR="00D96A90" w:rsidRPr="00301F69" w:rsidRDefault="00D96A90" w:rsidP="0063799A">
      <w:pPr>
        <w:ind w:left="-284" w:right="-234"/>
        <w:jc w:val="both"/>
        <w:rPr>
          <w:rFonts w:ascii="Arial" w:hAnsi="Arial" w:cs="Arial"/>
          <w:b/>
          <w:sz w:val="24"/>
          <w:szCs w:val="24"/>
          <w:lang w:val="es-MX"/>
        </w:rPr>
      </w:pPr>
    </w:p>
    <w:p w14:paraId="4AF1C326" w14:textId="77777777" w:rsidR="00D96A90" w:rsidRPr="00301F69" w:rsidRDefault="00D96A90" w:rsidP="0063799A">
      <w:pPr>
        <w:pStyle w:val="Textoindependiente"/>
        <w:spacing w:before="3"/>
        <w:ind w:left="-284" w:right="-234"/>
        <w:jc w:val="both"/>
        <w:rPr>
          <w:rFonts w:ascii="Arial" w:hAnsi="Arial" w:cs="Arial"/>
          <w:bCs/>
          <w:sz w:val="24"/>
          <w:szCs w:val="24"/>
        </w:rPr>
      </w:pPr>
      <w:r w:rsidRPr="00301F69">
        <w:rPr>
          <w:rFonts w:ascii="Arial" w:hAnsi="Arial" w:cs="Arial"/>
          <w:b/>
          <w:sz w:val="24"/>
          <w:szCs w:val="24"/>
        </w:rPr>
        <w:t xml:space="preserve">La entidad informa: </w:t>
      </w:r>
      <w:r w:rsidRPr="00301F69">
        <w:rPr>
          <w:rFonts w:ascii="Arial" w:hAnsi="Arial" w:cs="Arial"/>
          <w:bCs/>
          <w:sz w:val="24"/>
          <w:szCs w:val="24"/>
        </w:rPr>
        <w:t>En lo que se refiere a gastos de inversión que se constituyó en reserva $867.026.732, valor equivalente al 49% de la apropiación asignada no se cumplió el límite del 15%. Lo anterior, debido a que por la complejidad de los proyectos a implementar se requirió de la aprobación de vigencias futuras, las cuales fueron aprobadas a finales de octubre y en el mes de noviembre respectivamente, por lo cual se adelantaron los procesos contractuales, adjudicándose así en el mes de diciembre y en cumplimiento a lo establecido en el artículo 89 del decreto 111 de 1996 se constituyeron las reservas presupuestales.</w:t>
      </w:r>
    </w:p>
    <w:p w14:paraId="7285806B" w14:textId="77777777" w:rsidR="0063799A" w:rsidRDefault="0063799A" w:rsidP="0063799A">
      <w:pPr>
        <w:ind w:left="-284" w:right="-234"/>
        <w:jc w:val="both"/>
        <w:rPr>
          <w:rFonts w:ascii="Arial" w:hAnsi="Arial" w:cs="Arial"/>
          <w:b/>
          <w:sz w:val="28"/>
          <w:szCs w:val="28"/>
          <w:lang w:val="es-MX"/>
        </w:rPr>
      </w:pPr>
    </w:p>
    <w:p w14:paraId="37D86C9C" w14:textId="59C19532" w:rsidR="00D96A90" w:rsidRPr="007F2507" w:rsidRDefault="00D96A90" w:rsidP="0063799A">
      <w:pPr>
        <w:ind w:left="-284" w:right="-234"/>
        <w:jc w:val="both"/>
        <w:rPr>
          <w:rFonts w:ascii="Arial" w:hAnsi="Arial" w:cs="Arial"/>
          <w:b/>
          <w:sz w:val="28"/>
          <w:szCs w:val="28"/>
          <w:lang w:val="es-MX"/>
        </w:rPr>
      </w:pPr>
      <w:r w:rsidRPr="007F2507">
        <w:rPr>
          <w:rFonts w:ascii="Arial" w:hAnsi="Arial" w:cs="Arial"/>
          <w:b/>
          <w:sz w:val="28"/>
          <w:szCs w:val="28"/>
          <w:lang w:val="es-MX"/>
        </w:rPr>
        <w:t>150.- MINISTERIO DE JUSTICIA Y DEL DERECHO.</w:t>
      </w:r>
    </w:p>
    <w:p w14:paraId="04CB746B" w14:textId="77777777" w:rsidR="00D96A90" w:rsidRDefault="00D96A90" w:rsidP="0063799A">
      <w:pPr>
        <w:ind w:left="-284" w:right="-234"/>
        <w:jc w:val="both"/>
        <w:rPr>
          <w:rFonts w:ascii="Arial" w:hAnsi="Arial" w:cs="Arial"/>
          <w:b/>
          <w:sz w:val="24"/>
          <w:szCs w:val="24"/>
          <w:lang w:val="es-MX"/>
        </w:rPr>
      </w:pPr>
    </w:p>
    <w:p w14:paraId="0C3DD4E3" w14:textId="77777777" w:rsidR="00D96A90" w:rsidRPr="007F2507" w:rsidRDefault="00D96A90" w:rsidP="0063799A">
      <w:pPr>
        <w:pStyle w:val="Textoindependiente"/>
        <w:spacing w:before="3"/>
        <w:ind w:left="-284" w:right="-234"/>
        <w:jc w:val="both"/>
        <w:rPr>
          <w:rFonts w:ascii="Arial" w:hAnsi="Arial" w:cs="Arial"/>
          <w:b/>
          <w:sz w:val="24"/>
          <w:szCs w:val="24"/>
        </w:rPr>
      </w:pPr>
      <w:r w:rsidRPr="007F2507">
        <w:rPr>
          <w:rFonts w:ascii="Arial" w:hAnsi="Arial" w:cs="Arial"/>
          <w:b/>
          <w:sz w:val="24"/>
          <w:szCs w:val="24"/>
        </w:rPr>
        <w:t xml:space="preserve">La entidad informa: </w:t>
      </w:r>
    </w:p>
    <w:p w14:paraId="3B1CBBCB" w14:textId="77777777" w:rsidR="00D96A90" w:rsidRDefault="00D96A90" w:rsidP="00D96A90">
      <w:pPr>
        <w:pStyle w:val="Textoindependiente"/>
        <w:spacing w:before="3"/>
        <w:jc w:val="both"/>
        <w:rPr>
          <w:b/>
        </w:rPr>
      </w:pPr>
    </w:p>
    <w:p w14:paraId="585D1E7B" w14:textId="77777777" w:rsidR="00D96A90" w:rsidRDefault="00D96A90" w:rsidP="00D96A90">
      <w:pPr>
        <w:pStyle w:val="Textoindependiente"/>
        <w:spacing w:before="3"/>
        <w:jc w:val="center"/>
        <w:rPr>
          <w:b/>
        </w:rPr>
      </w:pPr>
      <w:r w:rsidRPr="00637E65">
        <w:rPr>
          <w:noProof/>
          <w:lang w:val="es-CO" w:eastAsia="es-CO"/>
        </w:rPr>
        <w:lastRenderedPageBreak/>
        <w:drawing>
          <wp:inline distT="0" distB="0" distL="0" distR="0" wp14:anchorId="0701F7A8" wp14:editId="7186AC4A">
            <wp:extent cx="3846830" cy="898497"/>
            <wp:effectExtent l="0" t="0" r="1270" b="0"/>
            <wp:docPr id="138280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0138" name=""/>
                    <pic:cNvPicPr/>
                  </pic:nvPicPr>
                  <pic:blipFill rotWithShape="1">
                    <a:blip r:embed="rId16"/>
                    <a:srcRect l="40308" t="46212" r="35832" b="42845"/>
                    <a:stretch/>
                  </pic:blipFill>
                  <pic:spPr bwMode="auto">
                    <a:xfrm>
                      <a:off x="0" y="0"/>
                      <a:ext cx="3964297" cy="925934"/>
                    </a:xfrm>
                    <a:prstGeom prst="rect">
                      <a:avLst/>
                    </a:prstGeom>
                    <a:ln>
                      <a:noFill/>
                    </a:ln>
                    <a:extLst>
                      <a:ext uri="{53640926-AAD7-44D8-BBD7-CCE9431645EC}">
                        <a14:shadowObscured xmlns:a14="http://schemas.microsoft.com/office/drawing/2010/main"/>
                      </a:ext>
                    </a:extLst>
                  </pic:spPr>
                </pic:pic>
              </a:graphicData>
            </a:graphic>
          </wp:inline>
        </w:drawing>
      </w:r>
    </w:p>
    <w:p w14:paraId="07673652" w14:textId="77777777" w:rsidR="00D96A90" w:rsidRDefault="00D96A90" w:rsidP="00D96A90">
      <w:pPr>
        <w:pStyle w:val="Textoindependiente"/>
        <w:spacing w:before="3"/>
        <w:jc w:val="both"/>
        <w:rPr>
          <w:b/>
        </w:rPr>
      </w:pPr>
    </w:p>
    <w:p w14:paraId="1D9B8EE7" w14:textId="77777777" w:rsidR="00D96A90" w:rsidRPr="007F2507" w:rsidRDefault="00D96A90" w:rsidP="0063799A">
      <w:pPr>
        <w:pStyle w:val="Textoindependiente"/>
        <w:spacing w:before="3"/>
        <w:ind w:left="-284" w:right="-234"/>
        <w:jc w:val="both"/>
        <w:rPr>
          <w:rFonts w:ascii="Arial" w:hAnsi="Arial" w:cs="Arial"/>
          <w:bCs/>
          <w:sz w:val="24"/>
          <w:szCs w:val="24"/>
        </w:rPr>
      </w:pPr>
      <w:r w:rsidRPr="007F2507">
        <w:rPr>
          <w:rFonts w:ascii="Arial" w:hAnsi="Arial" w:cs="Arial"/>
          <w:bCs/>
          <w:sz w:val="24"/>
          <w:szCs w:val="24"/>
        </w:rPr>
        <w:t>Como se evidencia en el cuadro anterior, el Ministerio de Justicia y del Derecho a 31 de diciembre de 2024, NO superó el límite en la constitución de reservas por el agregado de inversión; sin embargo, en el agregado de funcionamiento, la entidad superó el límite establecido de 2%, en razón a pesar de que el MHCP asigno PAC, por concepto de gastos generales, este no fue suficiente para cubrir cuentas de montos importantes derivadas de la prestación de los servicios de tecnología. Adicionalmente, por este agregado, se financian gastos recurrentes como: Vigilancia, aseo, cafetería y tiquetes entre otras, los cuales por su naturaleza prestan servicios hasta el 31 de diciembre y al cierre de la vigencia, se imposibilita contar con las cuentas de cobro en los tiempos establecidos por el MHCP, quedando así constituidas como Reservas Presupuestales.</w:t>
      </w:r>
    </w:p>
    <w:p w14:paraId="73C606B6" w14:textId="77777777" w:rsidR="00D96A90" w:rsidRDefault="00D96A90" w:rsidP="0063799A">
      <w:pPr>
        <w:ind w:left="-284" w:right="-234"/>
        <w:jc w:val="both"/>
        <w:rPr>
          <w:rFonts w:ascii="Arial" w:hAnsi="Arial" w:cs="Arial"/>
          <w:b/>
          <w:sz w:val="24"/>
          <w:szCs w:val="24"/>
        </w:rPr>
      </w:pPr>
    </w:p>
    <w:p w14:paraId="0EFC694F" w14:textId="77777777" w:rsidR="00D96A90" w:rsidRPr="00570600" w:rsidRDefault="00D96A90" w:rsidP="0063799A">
      <w:pPr>
        <w:ind w:left="-284" w:right="-234"/>
        <w:jc w:val="both"/>
        <w:rPr>
          <w:rFonts w:ascii="Arial" w:hAnsi="Arial" w:cs="Arial"/>
          <w:b/>
          <w:sz w:val="28"/>
          <w:szCs w:val="28"/>
          <w:lang w:val="es-MX"/>
        </w:rPr>
      </w:pPr>
      <w:r w:rsidRPr="00570600">
        <w:rPr>
          <w:rFonts w:ascii="Arial" w:hAnsi="Arial" w:cs="Arial"/>
          <w:b/>
          <w:sz w:val="28"/>
          <w:szCs w:val="28"/>
          <w:lang w:val="es-MX"/>
        </w:rPr>
        <w:t>154.- FONDO NACIONAL DE VIVIENDA - FONVIVIENDA.</w:t>
      </w:r>
    </w:p>
    <w:p w14:paraId="0460B27A" w14:textId="77777777" w:rsidR="00D96A90" w:rsidRDefault="00D96A90" w:rsidP="0063799A">
      <w:pPr>
        <w:ind w:left="-284" w:right="-234"/>
        <w:jc w:val="both"/>
        <w:rPr>
          <w:rFonts w:ascii="Arial" w:hAnsi="Arial" w:cs="Arial"/>
          <w:b/>
          <w:sz w:val="24"/>
          <w:szCs w:val="24"/>
          <w:lang w:val="es-MX"/>
        </w:rPr>
      </w:pPr>
    </w:p>
    <w:p w14:paraId="0CAB9D55" w14:textId="77777777" w:rsidR="00D96A90" w:rsidRPr="0007751D" w:rsidRDefault="00D96A90" w:rsidP="0063799A">
      <w:pPr>
        <w:pStyle w:val="Textoindependiente"/>
        <w:spacing w:before="3"/>
        <w:ind w:left="-284" w:right="-234"/>
        <w:jc w:val="both"/>
        <w:rPr>
          <w:rFonts w:ascii="Arial" w:hAnsi="Arial" w:cs="Arial"/>
          <w:sz w:val="24"/>
          <w:szCs w:val="24"/>
        </w:rPr>
      </w:pPr>
      <w:r w:rsidRPr="0007751D">
        <w:rPr>
          <w:rFonts w:ascii="Arial" w:hAnsi="Arial" w:cs="Arial"/>
          <w:b/>
          <w:sz w:val="24"/>
          <w:szCs w:val="24"/>
        </w:rPr>
        <w:t xml:space="preserve">La entidad informa: </w:t>
      </w:r>
      <w:r w:rsidRPr="0007751D">
        <w:rPr>
          <w:rFonts w:ascii="Arial" w:hAnsi="Arial" w:cs="Arial"/>
          <w:sz w:val="24"/>
          <w:szCs w:val="24"/>
        </w:rPr>
        <w:t>El Fondo Nacional de Vivienda -FONVIVIENDA dio cumplimiento de manera parcial con lo establecido en el artículo 78 del Decreto Ley 111 de 1996 sobre el límite para constituir reservas; para gastos de funcionamiento no se constituyó reserva 0% y para gastos de inversión constituyó 64%, frente a la apropiación asignada en inversión.</w:t>
      </w:r>
    </w:p>
    <w:p w14:paraId="7DF3CEAB" w14:textId="77777777" w:rsidR="00454845" w:rsidRDefault="00454845" w:rsidP="0063799A">
      <w:pPr>
        <w:ind w:left="-284" w:right="-234"/>
        <w:jc w:val="both"/>
        <w:rPr>
          <w:rFonts w:ascii="Arial" w:hAnsi="Arial" w:cs="Arial"/>
          <w:b/>
          <w:sz w:val="28"/>
          <w:szCs w:val="28"/>
          <w:lang w:val="es-MX"/>
        </w:rPr>
      </w:pPr>
    </w:p>
    <w:p w14:paraId="04209868" w14:textId="47C57A5B" w:rsidR="00D96A90" w:rsidRPr="00EA427F" w:rsidRDefault="00D96A90" w:rsidP="0063799A">
      <w:pPr>
        <w:ind w:left="-284" w:right="-234"/>
        <w:jc w:val="both"/>
        <w:rPr>
          <w:rFonts w:ascii="Arial" w:hAnsi="Arial" w:cs="Arial"/>
          <w:b/>
          <w:sz w:val="32"/>
          <w:szCs w:val="32"/>
        </w:rPr>
      </w:pPr>
      <w:r w:rsidRPr="00EA427F">
        <w:rPr>
          <w:rFonts w:ascii="Arial" w:hAnsi="Arial" w:cs="Arial"/>
          <w:b/>
          <w:sz w:val="28"/>
          <w:szCs w:val="28"/>
          <w:lang w:val="es-MX"/>
        </w:rPr>
        <w:t>172.- POLICÍA NACIONAL.</w:t>
      </w:r>
    </w:p>
    <w:p w14:paraId="718371AB" w14:textId="77777777" w:rsidR="00D96A90" w:rsidRDefault="00D96A90" w:rsidP="00D96A90">
      <w:pPr>
        <w:ind w:left="-284" w:right="49"/>
        <w:jc w:val="both"/>
        <w:rPr>
          <w:rFonts w:ascii="Arial" w:hAnsi="Arial" w:cs="Arial"/>
          <w:b/>
          <w:sz w:val="24"/>
          <w:szCs w:val="24"/>
        </w:rPr>
      </w:pPr>
    </w:p>
    <w:p w14:paraId="5AACAD8C" w14:textId="77777777" w:rsidR="00D96A90" w:rsidRDefault="00D96A90" w:rsidP="00D96A90">
      <w:pPr>
        <w:ind w:left="-284" w:right="49"/>
        <w:jc w:val="center"/>
        <w:rPr>
          <w:rFonts w:ascii="Arial" w:hAnsi="Arial" w:cs="Arial"/>
          <w:b/>
          <w:sz w:val="24"/>
          <w:szCs w:val="24"/>
        </w:rPr>
      </w:pPr>
      <w:r w:rsidRPr="00084B2C">
        <w:rPr>
          <w:rFonts w:eastAsia="Times New Roman"/>
          <w:noProof/>
          <w:bdr w:val="none" w:sz="0" w:space="0" w:color="auto" w:frame="1"/>
          <w:lang w:val="es-CO" w:eastAsia="es-CO"/>
        </w:rPr>
        <w:drawing>
          <wp:inline distT="0" distB="0" distL="0" distR="0" wp14:anchorId="568C7EEE" wp14:editId="66EE479A">
            <wp:extent cx="4972744" cy="7240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2744" cy="724001"/>
                    </a:xfrm>
                    <a:prstGeom prst="rect">
                      <a:avLst/>
                    </a:prstGeom>
                  </pic:spPr>
                </pic:pic>
              </a:graphicData>
            </a:graphic>
          </wp:inline>
        </w:drawing>
      </w:r>
    </w:p>
    <w:p w14:paraId="2D8ABA96" w14:textId="77777777" w:rsidR="00D96A90" w:rsidRPr="007A2F9F" w:rsidRDefault="00D96A90" w:rsidP="00D96A90">
      <w:pPr>
        <w:rPr>
          <w:rFonts w:ascii="Arial" w:hAnsi="Arial" w:cs="Arial"/>
          <w:sz w:val="24"/>
          <w:szCs w:val="24"/>
        </w:rPr>
      </w:pPr>
    </w:p>
    <w:p w14:paraId="3E24E775" w14:textId="77777777" w:rsidR="00D96A90" w:rsidRPr="003A7226" w:rsidRDefault="00D96A90" w:rsidP="0063799A">
      <w:pPr>
        <w:ind w:left="-284" w:right="-234"/>
        <w:jc w:val="both"/>
        <w:rPr>
          <w:rFonts w:ascii="Arial" w:hAnsi="Arial" w:cs="Arial"/>
          <w:b/>
          <w:sz w:val="28"/>
          <w:szCs w:val="28"/>
          <w:lang w:val="es-MX"/>
        </w:rPr>
      </w:pPr>
      <w:r w:rsidRPr="003A7226">
        <w:rPr>
          <w:rFonts w:ascii="Arial" w:hAnsi="Arial" w:cs="Arial"/>
          <w:b/>
          <w:sz w:val="28"/>
          <w:szCs w:val="28"/>
          <w:lang w:val="es-MX"/>
        </w:rPr>
        <w:t>175.- U.A.E. DE LA JUSTICIA PENAL MILITAR Y POLICIAL.</w:t>
      </w:r>
    </w:p>
    <w:p w14:paraId="28D03A9D" w14:textId="77777777" w:rsidR="00D96A90" w:rsidRDefault="00D96A90" w:rsidP="0063799A">
      <w:pPr>
        <w:ind w:left="-284" w:right="-234"/>
        <w:jc w:val="both"/>
        <w:rPr>
          <w:rFonts w:ascii="Arial" w:hAnsi="Arial" w:cs="Arial"/>
          <w:b/>
          <w:bCs/>
          <w:sz w:val="28"/>
          <w:szCs w:val="28"/>
          <w:lang w:val="es-MX"/>
        </w:rPr>
      </w:pPr>
    </w:p>
    <w:p w14:paraId="57655AF9" w14:textId="77777777" w:rsidR="00D96A90" w:rsidRPr="007A2F9F" w:rsidRDefault="00D96A90" w:rsidP="0063799A">
      <w:pPr>
        <w:pStyle w:val="Textoindependiente"/>
        <w:spacing w:before="3"/>
        <w:ind w:left="-284" w:right="-234"/>
        <w:jc w:val="both"/>
        <w:rPr>
          <w:rFonts w:ascii="Arial" w:hAnsi="Arial" w:cs="Arial"/>
          <w:b/>
          <w:sz w:val="24"/>
          <w:szCs w:val="24"/>
        </w:rPr>
      </w:pPr>
      <w:r w:rsidRPr="007A2F9F">
        <w:rPr>
          <w:rFonts w:ascii="Arial" w:hAnsi="Arial" w:cs="Arial"/>
          <w:b/>
          <w:sz w:val="24"/>
          <w:szCs w:val="24"/>
        </w:rPr>
        <w:t xml:space="preserve">La entidad informa: NO. </w:t>
      </w:r>
      <w:r w:rsidRPr="007A2F9F">
        <w:rPr>
          <w:rFonts w:ascii="Arial" w:hAnsi="Arial" w:cs="Arial"/>
          <w:sz w:val="24"/>
          <w:szCs w:val="24"/>
        </w:rPr>
        <w:t>Con respecto al proyecto de Inversión se cumplió en cuánto que la Reserva constituida fue del 14,77% de la apropiación inicial; ahora, con respecto a gastos de funcionamiento no se cumplió en el 0,44% principalmente por un contrato relacionado con las adecuaciones de la red eléctrica, el cual no fue posible iniciar su ejecución por cuánto el proceso de Interventoría no se pudo adjudicar en la vigencia 2024 ya que fue declarado dos veces desierto. Por lo anterior, el contrato de obra de las adecuaciones para la red eléctrica se prorrogó hasta la vigencia 2025, pues sin contrato de interventoría no es posible adelantar las obras.</w:t>
      </w:r>
    </w:p>
    <w:p w14:paraId="665FD64D" w14:textId="77777777" w:rsidR="00D96A90" w:rsidRDefault="00D96A90" w:rsidP="0063799A">
      <w:pPr>
        <w:ind w:left="-284" w:right="-234" w:firstLine="708"/>
        <w:rPr>
          <w:rFonts w:ascii="Arial" w:hAnsi="Arial" w:cs="Arial"/>
          <w:sz w:val="24"/>
          <w:szCs w:val="24"/>
        </w:rPr>
      </w:pPr>
    </w:p>
    <w:p w14:paraId="05AD2BA2" w14:textId="77777777" w:rsidR="00D96A90" w:rsidRPr="00BC3A9C" w:rsidRDefault="00D96A90" w:rsidP="0063799A">
      <w:pPr>
        <w:ind w:left="-284" w:right="-234"/>
        <w:jc w:val="both"/>
        <w:rPr>
          <w:rFonts w:ascii="Arial" w:hAnsi="Arial" w:cs="Arial"/>
          <w:b/>
          <w:sz w:val="28"/>
          <w:szCs w:val="28"/>
          <w:lang w:val="es-MX"/>
        </w:rPr>
      </w:pPr>
      <w:r w:rsidRPr="00BC3A9C">
        <w:rPr>
          <w:rFonts w:ascii="Arial" w:hAnsi="Arial" w:cs="Arial"/>
          <w:b/>
          <w:sz w:val="28"/>
          <w:szCs w:val="28"/>
          <w:lang w:val="es-MX"/>
        </w:rPr>
        <w:t>181.- AGENCIA DE DESARROLLO RURAL – ADR.</w:t>
      </w:r>
    </w:p>
    <w:p w14:paraId="03CF3336" w14:textId="77777777" w:rsidR="0063799A" w:rsidRDefault="0063799A" w:rsidP="0063799A">
      <w:pPr>
        <w:ind w:left="-284" w:right="-234"/>
        <w:jc w:val="both"/>
        <w:rPr>
          <w:rFonts w:ascii="Arial" w:hAnsi="Arial" w:cs="Arial"/>
          <w:b/>
        </w:rPr>
      </w:pPr>
    </w:p>
    <w:p w14:paraId="5F6F894B" w14:textId="4AF71436" w:rsidR="00D96A90" w:rsidRPr="0063799A" w:rsidRDefault="00D96A90" w:rsidP="0063799A">
      <w:pPr>
        <w:ind w:left="-284" w:right="-234"/>
        <w:jc w:val="both"/>
        <w:rPr>
          <w:rFonts w:ascii="Arial" w:hAnsi="Arial" w:cs="Arial"/>
          <w:color w:val="000000"/>
          <w:sz w:val="24"/>
          <w:szCs w:val="24"/>
          <w:lang w:val="es-CO" w:eastAsia="es-CO"/>
        </w:rPr>
      </w:pPr>
      <w:r w:rsidRPr="0063799A">
        <w:rPr>
          <w:rFonts w:ascii="Arial" w:hAnsi="Arial" w:cs="Arial"/>
          <w:b/>
          <w:sz w:val="24"/>
          <w:szCs w:val="24"/>
        </w:rPr>
        <w:t xml:space="preserve">La entidad informa: </w:t>
      </w:r>
      <w:r w:rsidRPr="0063799A">
        <w:rPr>
          <w:rFonts w:ascii="Arial" w:hAnsi="Arial" w:cs="Arial"/>
          <w:color w:val="000000"/>
          <w:sz w:val="24"/>
          <w:szCs w:val="24"/>
          <w:lang w:val="es-CO" w:eastAsia="es-CO"/>
        </w:rPr>
        <w:t xml:space="preserve">Para la vigencia fiscal 2024 la ADR constituyó las reservas presupuestales así: </w:t>
      </w:r>
    </w:p>
    <w:p w14:paraId="54F2D8DD" w14:textId="77777777" w:rsidR="00D96A90" w:rsidRDefault="00D96A90" w:rsidP="00D96A90">
      <w:pPr>
        <w:jc w:val="both"/>
        <w:rPr>
          <w:color w:val="000000"/>
          <w:sz w:val="24"/>
          <w:lang w:val="es-CO" w:eastAsia="es-CO"/>
        </w:rPr>
      </w:pPr>
    </w:p>
    <w:tbl>
      <w:tblPr>
        <w:tblStyle w:val="TableGrid"/>
        <w:tblW w:w="9796" w:type="dxa"/>
        <w:tblInd w:w="73" w:type="dxa"/>
        <w:tblCellMar>
          <w:top w:w="9" w:type="dxa"/>
          <w:left w:w="68" w:type="dxa"/>
          <w:right w:w="18" w:type="dxa"/>
        </w:tblCellMar>
        <w:tblLook w:val="04A0" w:firstRow="1" w:lastRow="0" w:firstColumn="1" w:lastColumn="0" w:noHBand="0" w:noVBand="1"/>
      </w:tblPr>
      <w:tblGrid>
        <w:gridCol w:w="2216"/>
        <w:gridCol w:w="2060"/>
        <w:gridCol w:w="2098"/>
        <w:gridCol w:w="982"/>
        <w:gridCol w:w="747"/>
        <w:gridCol w:w="1693"/>
      </w:tblGrid>
      <w:tr w:rsidR="00D96A90" w:rsidRPr="008E3C0D" w14:paraId="6125FC79" w14:textId="77777777" w:rsidTr="00EF5AF2">
        <w:trPr>
          <w:trHeight w:val="705"/>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66F3B" w14:textId="77777777" w:rsidR="00D96A90" w:rsidRPr="008E3C0D" w:rsidRDefault="00D96A90" w:rsidP="00EF5AF2">
            <w:pPr>
              <w:spacing w:line="259" w:lineRule="auto"/>
              <w:ind w:right="103"/>
              <w:jc w:val="center"/>
              <w:rPr>
                <w:rFonts w:eastAsia="Calibri"/>
                <w:b/>
                <w:sz w:val="20"/>
                <w:szCs w:val="20"/>
              </w:rPr>
            </w:pPr>
            <w:r w:rsidRPr="008E3C0D">
              <w:rPr>
                <w:b/>
                <w:sz w:val="20"/>
                <w:szCs w:val="20"/>
              </w:rPr>
              <w:t xml:space="preserve">Concepto  </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CED9" w14:textId="77777777" w:rsidR="00D96A90" w:rsidRPr="008E3C0D" w:rsidRDefault="00D96A90" w:rsidP="00EF5AF2">
            <w:pPr>
              <w:spacing w:line="259" w:lineRule="auto"/>
              <w:ind w:right="49"/>
              <w:jc w:val="center"/>
              <w:rPr>
                <w:rFonts w:eastAsia="Calibri"/>
                <w:b/>
                <w:sz w:val="20"/>
                <w:szCs w:val="20"/>
              </w:rPr>
            </w:pPr>
            <w:r w:rsidRPr="008E3C0D">
              <w:rPr>
                <w:rFonts w:eastAsia="Calibri"/>
                <w:b/>
                <w:sz w:val="20"/>
                <w:szCs w:val="20"/>
              </w:rPr>
              <w:t>APR VIG 2024</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3F50" w14:textId="77777777" w:rsidR="00D96A90" w:rsidRPr="008E3C0D" w:rsidRDefault="00D96A90" w:rsidP="00EF5AF2">
            <w:pPr>
              <w:spacing w:line="259" w:lineRule="auto"/>
              <w:ind w:right="102"/>
              <w:jc w:val="center"/>
              <w:rPr>
                <w:rFonts w:eastAsia="Calibri"/>
                <w:b/>
                <w:sz w:val="20"/>
                <w:szCs w:val="20"/>
              </w:rPr>
            </w:pPr>
            <w:r w:rsidRPr="008E3C0D">
              <w:rPr>
                <w:b/>
                <w:sz w:val="20"/>
                <w:szCs w:val="20"/>
              </w:rPr>
              <w:t xml:space="preserve"> Reserva Constituida   </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A9DE" w14:textId="77777777" w:rsidR="00D96A90" w:rsidRPr="008E3C0D" w:rsidRDefault="00D96A90" w:rsidP="00EF5AF2">
            <w:pPr>
              <w:spacing w:line="259" w:lineRule="auto"/>
              <w:ind w:right="51"/>
              <w:jc w:val="center"/>
              <w:rPr>
                <w:rFonts w:eastAsia="Calibri"/>
                <w:b/>
                <w:sz w:val="20"/>
                <w:szCs w:val="20"/>
              </w:rPr>
            </w:pPr>
            <w:r w:rsidRPr="008E3C0D">
              <w:rPr>
                <w:rFonts w:eastAsia="Calibri"/>
                <w:b/>
                <w:sz w:val="20"/>
                <w:szCs w:val="20"/>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B8044" w14:textId="77777777" w:rsidR="00D96A90" w:rsidRPr="008E3C0D" w:rsidRDefault="00D96A90" w:rsidP="00EF5AF2">
            <w:pPr>
              <w:spacing w:line="259" w:lineRule="auto"/>
              <w:ind w:right="83"/>
              <w:rPr>
                <w:rFonts w:eastAsia="Calibri"/>
                <w:b/>
                <w:sz w:val="20"/>
                <w:szCs w:val="20"/>
              </w:rPr>
            </w:pPr>
            <w:r w:rsidRPr="008E3C0D">
              <w:rPr>
                <w:b/>
                <w:sz w:val="20"/>
                <w:szCs w:val="20"/>
              </w:rPr>
              <w:t xml:space="preserve">Tope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6B9489A4" w14:textId="77777777" w:rsidR="00D96A90" w:rsidRPr="008E3C0D" w:rsidRDefault="00D96A90" w:rsidP="00EF5AF2">
            <w:pPr>
              <w:spacing w:line="259" w:lineRule="auto"/>
              <w:ind w:left="2"/>
              <w:jc w:val="center"/>
              <w:rPr>
                <w:rFonts w:eastAsia="Calibri"/>
                <w:b/>
                <w:sz w:val="20"/>
                <w:szCs w:val="20"/>
              </w:rPr>
            </w:pPr>
            <w:r w:rsidRPr="008E3C0D">
              <w:rPr>
                <w:b/>
                <w:sz w:val="20"/>
                <w:szCs w:val="20"/>
              </w:rPr>
              <w:t xml:space="preserve"> </w:t>
            </w:r>
          </w:p>
          <w:p w14:paraId="3C7149B8" w14:textId="77777777" w:rsidR="00D96A90" w:rsidRPr="008E3C0D" w:rsidRDefault="00D96A90" w:rsidP="00EF5AF2">
            <w:pPr>
              <w:spacing w:line="259" w:lineRule="auto"/>
              <w:ind w:right="47"/>
              <w:jc w:val="center"/>
              <w:rPr>
                <w:rFonts w:eastAsia="Calibri"/>
                <w:b/>
                <w:sz w:val="20"/>
                <w:szCs w:val="20"/>
              </w:rPr>
            </w:pPr>
            <w:r w:rsidRPr="008E3C0D">
              <w:rPr>
                <w:b/>
                <w:sz w:val="20"/>
                <w:szCs w:val="20"/>
              </w:rPr>
              <w:t xml:space="preserve">Cumplimiento </w:t>
            </w:r>
          </w:p>
        </w:tc>
      </w:tr>
      <w:tr w:rsidR="00D96A90" w:rsidRPr="00A865B2" w14:paraId="1EF346B1" w14:textId="77777777" w:rsidTr="00EF5AF2">
        <w:trPr>
          <w:trHeight w:val="339"/>
        </w:trPr>
        <w:tc>
          <w:tcPr>
            <w:tcW w:w="2365" w:type="dxa"/>
            <w:tcBorders>
              <w:top w:val="single" w:sz="4" w:space="0" w:color="000000"/>
              <w:left w:val="single" w:sz="4" w:space="0" w:color="000000"/>
              <w:bottom w:val="single" w:sz="4" w:space="0" w:color="000000"/>
              <w:right w:val="single" w:sz="4" w:space="0" w:color="000000"/>
            </w:tcBorders>
          </w:tcPr>
          <w:p w14:paraId="095385A0" w14:textId="77777777" w:rsidR="00D96A90" w:rsidRPr="00A865B2" w:rsidRDefault="00D96A90" w:rsidP="00EF5AF2">
            <w:pPr>
              <w:spacing w:line="259" w:lineRule="auto"/>
              <w:rPr>
                <w:rFonts w:eastAsia="Calibri"/>
                <w:b/>
                <w:bCs/>
                <w:color w:val="000000"/>
                <w:sz w:val="20"/>
                <w:szCs w:val="20"/>
              </w:rPr>
            </w:pPr>
            <w:r w:rsidRPr="00A865B2">
              <w:rPr>
                <w:b/>
                <w:bCs/>
                <w:color w:val="000000"/>
                <w:sz w:val="20"/>
                <w:szCs w:val="20"/>
              </w:rPr>
              <w:lastRenderedPageBreak/>
              <w:t xml:space="preserve">FUNCIONAMIENTO  </w:t>
            </w:r>
          </w:p>
        </w:tc>
        <w:tc>
          <w:tcPr>
            <w:tcW w:w="1681" w:type="dxa"/>
            <w:tcBorders>
              <w:top w:val="single" w:sz="4" w:space="0" w:color="000000"/>
              <w:left w:val="single" w:sz="4" w:space="0" w:color="000000"/>
              <w:bottom w:val="single" w:sz="4" w:space="0" w:color="000000"/>
              <w:right w:val="single" w:sz="4" w:space="0" w:color="000000"/>
            </w:tcBorders>
          </w:tcPr>
          <w:p w14:paraId="643A1288" w14:textId="77777777" w:rsidR="00D96A90" w:rsidRPr="00A865B2" w:rsidRDefault="00D96A90" w:rsidP="00EF5AF2">
            <w:pPr>
              <w:spacing w:line="259" w:lineRule="auto"/>
              <w:ind w:right="49"/>
              <w:jc w:val="right"/>
              <w:rPr>
                <w:rFonts w:eastAsia="Calibri"/>
                <w:color w:val="000000"/>
                <w:sz w:val="20"/>
                <w:szCs w:val="20"/>
              </w:rPr>
            </w:pPr>
            <w:r w:rsidRPr="00A865B2">
              <w:rPr>
                <w:rFonts w:eastAsia="Calibri"/>
                <w:color w:val="000000"/>
                <w:sz w:val="20"/>
                <w:szCs w:val="20"/>
              </w:rPr>
              <w:t>52.257.120.864</w:t>
            </w:r>
          </w:p>
        </w:tc>
        <w:tc>
          <w:tcPr>
            <w:tcW w:w="1720" w:type="dxa"/>
            <w:tcBorders>
              <w:top w:val="single" w:sz="4" w:space="0" w:color="000000"/>
              <w:left w:val="single" w:sz="4" w:space="0" w:color="000000"/>
              <w:bottom w:val="single" w:sz="4" w:space="0" w:color="000000"/>
              <w:right w:val="single" w:sz="4" w:space="0" w:color="000000"/>
            </w:tcBorders>
          </w:tcPr>
          <w:p w14:paraId="22E5C938" w14:textId="77777777" w:rsidR="00D96A90" w:rsidRPr="00A865B2" w:rsidRDefault="00D96A90" w:rsidP="00EF5AF2">
            <w:pPr>
              <w:spacing w:line="259" w:lineRule="auto"/>
              <w:ind w:right="52"/>
              <w:jc w:val="right"/>
              <w:rPr>
                <w:rFonts w:eastAsia="Calibri"/>
                <w:color w:val="000000"/>
                <w:sz w:val="20"/>
                <w:szCs w:val="20"/>
              </w:rPr>
            </w:pPr>
            <w:r w:rsidRPr="00A865B2">
              <w:rPr>
                <w:rFonts w:eastAsia="Calibri"/>
                <w:color w:val="000000"/>
                <w:sz w:val="20"/>
                <w:szCs w:val="20"/>
              </w:rPr>
              <w:t>914.561.823</w:t>
            </w:r>
          </w:p>
        </w:tc>
        <w:tc>
          <w:tcPr>
            <w:tcW w:w="975" w:type="dxa"/>
            <w:tcBorders>
              <w:top w:val="single" w:sz="4" w:space="0" w:color="000000"/>
              <w:left w:val="single" w:sz="4" w:space="0" w:color="000000"/>
              <w:bottom w:val="single" w:sz="4" w:space="0" w:color="000000"/>
              <w:right w:val="single" w:sz="4" w:space="0" w:color="000000"/>
            </w:tcBorders>
          </w:tcPr>
          <w:p w14:paraId="64652CB4" w14:textId="77777777" w:rsidR="00D96A90" w:rsidRPr="00A865B2" w:rsidRDefault="00D96A90" w:rsidP="00EF5AF2">
            <w:pPr>
              <w:spacing w:line="259" w:lineRule="auto"/>
              <w:ind w:right="48"/>
              <w:jc w:val="center"/>
              <w:rPr>
                <w:rFonts w:eastAsia="Calibri"/>
                <w:color w:val="000000"/>
                <w:sz w:val="20"/>
                <w:szCs w:val="20"/>
              </w:rPr>
            </w:pPr>
            <w:r w:rsidRPr="00A865B2">
              <w:rPr>
                <w:rFonts w:eastAsia="Calibri"/>
                <w:color w:val="000000"/>
                <w:sz w:val="20"/>
                <w:szCs w:val="20"/>
              </w:rPr>
              <w:t>1.75%</w:t>
            </w:r>
          </w:p>
        </w:tc>
        <w:tc>
          <w:tcPr>
            <w:tcW w:w="1356" w:type="dxa"/>
            <w:tcBorders>
              <w:top w:val="single" w:sz="4" w:space="0" w:color="000000"/>
              <w:left w:val="single" w:sz="4" w:space="0" w:color="000000"/>
              <w:bottom w:val="single" w:sz="4" w:space="0" w:color="000000"/>
              <w:right w:val="single" w:sz="4" w:space="0" w:color="000000"/>
            </w:tcBorders>
          </w:tcPr>
          <w:p w14:paraId="1870DA8C" w14:textId="77777777" w:rsidR="00D96A90" w:rsidRPr="00A865B2" w:rsidRDefault="00D96A90" w:rsidP="00EF5AF2">
            <w:pPr>
              <w:spacing w:line="259" w:lineRule="auto"/>
              <w:ind w:right="48"/>
              <w:jc w:val="center"/>
              <w:rPr>
                <w:rFonts w:eastAsia="Calibri"/>
                <w:color w:val="000000"/>
                <w:sz w:val="20"/>
                <w:szCs w:val="20"/>
              </w:rPr>
            </w:pPr>
            <w:r w:rsidRPr="00A865B2">
              <w:rPr>
                <w:rFonts w:eastAsia="Calibri"/>
                <w:color w:val="000000"/>
                <w:sz w:val="20"/>
                <w:szCs w:val="20"/>
              </w:rPr>
              <w:t>2%</w:t>
            </w:r>
          </w:p>
        </w:tc>
        <w:tc>
          <w:tcPr>
            <w:tcW w:w="1699" w:type="dxa"/>
            <w:tcBorders>
              <w:top w:val="single" w:sz="4" w:space="0" w:color="000000"/>
              <w:left w:val="single" w:sz="4" w:space="0" w:color="000000"/>
              <w:bottom w:val="single" w:sz="4" w:space="0" w:color="000000"/>
              <w:right w:val="single" w:sz="4" w:space="0" w:color="000000"/>
            </w:tcBorders>
          </w:tcPr>
          <w:p w14:paraId="3C7CE894" w14:textId="77777777" w:rsidR="00D96A90" w:rsidRPr="00A865B2" w:rsidRDefault="00D96A90" w:rsidP="00EF5AF2">
            <w:pPr>
              <w:spacing w:line="259" w:lineRule="auto"/>
              <w:ind w:right="50"/>
              <w:jc w:val="center"/>
              <w:rPr>
                <w:rFonts w:eastAsia="Calibri"/>
                <w:b/>
                <w:bCs/>
                <w:color w:val="000000"/>
                <w:sz w:val="20"/>
                <w:szCs w:val="20"/>
              </w:rPr>
            </w:pPr>
            <w:r w:rsidRPr="00A865B2">
              <w:rPr>
                <w:rFonts w:eastAsia="Calibri"/>
                <w:b/>
                <w:bCs/>
                <w:color w:val="000000"/>
                <w:sz w:val="20"/>
                <w:szCs w:val="20"/>
              </w:rPr>
              <w:t>CUMPLE</w:t>
            </w:r>
          </w:p>
        </w:tc>
      </w:tr>
      <w:tr w:rsidR="00D96A90" w:rsidRPr="00A865B2" w14:paraId="4640E6F4" w14:textId="77777777" w:rsidTr="00EF5AF2">
        <w:trPr>
          <w:trHeight w:val="339"/>
        </w:trPr>
        <w:tc>
          <w:tcPr>
            <w:tcW w:w="2365" w:type="dxa"/>
            <w:tcBorders>
              <w:top w:val="single" w:sz="4" w:space="0" w:color="000000"/>
              <w:left w:val="single" w:sz="4" w:space="0" w:color="000000"/>
              <w:bottom w:val="single" w:sz="4" w:space="0" w:color="000000"/>
              <w:right w:val="single" w:sz="4" w:space="0" w:color="000000"/>
            </w:tcBorders>
          </w:tcPr>
          <w:p w14:paraId="75EBAE5E" w14:textId="77777777" w:rsidR="00D96A90" w:rsidRPr="00A865B2" w:rsidRDefault="00D96A90" w:rsidP="00EF5AF2">
            <w:pPr>
              <w:spacing w:line="259" w:lineRule="auto"/>
              <w:rPr>
                <w:b/>
                <w:bCs/>
                <w:color w:val="000000"/>
                <w:sz w:val="20"/>
                <w:szCs w:val="20"/>
              </w:rPr>
            </w:pPr>
            <w:r w:rsidRPr="00A865B2">
              <w:rPr>
                <w:b/>
                <w:bCs/>
                <w:color w:val="000000"/>
                <w:sz w:val="20"/>
                <w:szCs w:val="20"/>
              </w:rPr>
              <w:t>INVERSION</w:t>
            </w:r>
          </w:p>
        </w:tc>
        <w:tc>
          <w:tcPr>
            <w:tcW w:w="1681" w:type="dxa"/>
            <w:tcBorders>
              <w:top w:val="single" w:sz="4" w:space="0" w:color="000000"/>
              <w:left w:val="single" w:sz="4" w:space="0" w:color="000000"/>
              <w:bottom w:val="single" w:sz="4" w:space="0" w:color="000000"/>
              <w:right w:val="single" w:sz="4" w:space="0" w:color="000000"/>
            </w:tcBorders>
          </w:tcPr>
          <w:p w14:paraId="6D8D4395" w14:textId="77777777" w:rsidR="00D96A90" w:rsidRPr="00A865B2" w:rsidRDefault="00D96A90" w:rsidP="00EF5AF2">
            <w:pPr>
              <w:spacing w:line="259" w:lineRule="auto"/>
              <w:ind w:right="49"/>
              <w:jc w:val="right"/>
              <w:rPr>
                <w:rFonts w:eastAsia="Calibri"/>
                <w:color w:val="000000"/>
                <w:sz w:val="20"/>
                <w:szCs w:val="20"/>
              </w:rPr>
            </w:pPr>
            <w:r w:rsidRPr="00A865B2">
              <w:rPr>
                <w:rFonts w:eastAsia="Calibri"/>
                <w:color w:val="000000"/>
                <w:sz w:val="20"/>
                <w:szCs w:val="20"/>
              </w:rPr>
              <w:t>805.579.373.607</w:t>
            </w:r>
          </w:p>
        </w:tc>
        <w:tc>
          <w:tcPr>
            <w:tcW w:w="1720" w:type="dxa"/>
            <w:tcBorders>
              <w:top w:val="single" w:sz="4" w:space="0" w:color="000000"/>
              <w:left w:val="single" w:sz="4" w:space="0" w:color="000000"/>
              <w:bottom w:val="single" w:sz="4" w:space="0" w:color="000000"/>
              <w:right w:val="single" w:sz="4" w:space="0" w:color="000000"/>
            </w:tcBorders>
          </w:tcPr>
          <w:p w14:paraId="5F6699A6" w14:textId="77777777" w:rsidR="00D96A90" w:rsidRPr="00A865B2" w:rsidRDefault="00D96A90" w:rsidP="00EF5AF2">
            <w:pPr>
              <w:spacing w:line="259" w:lineRule="auto"/>
              <w:ind w:right="52"/>
              <w:jc w:val="right"/>
              <w:rPr>
                <w:rFonts w:eastAsia="Calibri"/>
                <w:color w:val="000000"/>
                <w:sz w:val="20"/>
                <w:szCs w:val="20"/>
              </w:rPr>
            </w:pPr>
            <w:r w:rsidRPr="00A865B2">
              <w:rPr>
                <w:rFonts w:eastAsia="Calibri"/>
                <w:color w:val="000000"/>
                <w:sz w:val="20"/>
                <w:szCs w:val="20"/>
              </w:rPr>
              <w:t>400.208.757.864</w:t>
            </w:r>
          </w:p>
        </w:tc>
        <w:tc>
          <w:tcPr>
            <w:tcW w:w="975" w:type="dxa"/>
            <w:tcBorders>
              <w:top w:val="single" w:sz="4" w:space="0" w:color="000000"/>
              <w:left w:val="single" w:sz="4" w:space="0" w:color="000000"/>
              <w:bottom w:val="single" w:sz="4" w:space="0" w:color="000000"/>
              <w:right w:val="single" w:sz="4" w:space="0" w:color="000000"/>
            </w:tcBorders>
          </w:tcPr>
          <w:p w14:paraId="7E214C25" w14:textId="77777777" w:rsidR="00D96A90" w:rsidRPr="00A865B2" w:rsidRDefault="00D96A90" w:rsidP="00EF5AF2">
            <w:pPr>
              <w:spacing w:line="259" w:lineRule="auto"/>
              <w:ind w:right="48"/>
              <w:jc w:val="center"/>
              <w:rPr>
                <w:rFonts w:eastAsia="Calibri"/>
                <w:color w:val="000000"/>
                <w:sz w:val="20"/>
                <w:szCs w:val="20"/>
              </w:rPr>
            </w:pPr>
            <w:r w:rsidRPr="00A865B2">
              <w:rPr>
                <w:rFonts w:eastAsia="Calibri"/>
                <w:color w:val="000000"/>
                <w:sz w:val="20"/>
                <w:szCs w:val="20"/>
              </w:rPr>
              <w:t>49.68%</w:t>
            </w:r>
          </w:p>
        </w:tc>
        <w:tc>
          <w:tcPr>
            <w:tcW w:w="1356" w:type="dxa"/>
            <w:tcBorders>
              <w:top w:val="single" w:sz="4" w:space="0" w:color="000000"/>
              <w:left w:val="single" w:sz="4" w:space="0" w:color="000000"/>
              <w:bottom w:val="single" w:sz="4" w:space="0" w:color="000000"/>
              <w:right w:val="single" w:sz="4" w:space="0" w:color="000000"/>
            </w:tcBorders>
          </w:tcPr>
          <w:p w14:paraId="5E731549" w14:textId="77777777" w:rsidR="00D96A90" w:rsidRPr="00A865B2" w:rsidRDefault="00D96A90" w:rsidP="00EF5AF2">
            <w:pPr>
              <w:spacing w:line="259" w:lineRule="auto"/>
              <w:ind w:right="48"/>
              <w:jc w:val="center"/>
              <w:rPr>
                <w:rFonts w:eastAsia="Calibri"/>
                <w:color w:val="000000"/>
                <w:sz w:val="20"/>
                <w:szCs w:val="20"/>
              </w:rPr>
            </w:pPr>
            <w:r w:rsidRPr="00A865B2">
              <w:rPr>
                <w:rFonts w:eastAsia="Calibri"/>
                <w:color w:val="000000"/>
                <w:sz w:val="20"/>
                <w:szCs w:val="20"/>
              </w:rPr>
              <w:t>15%</w:t>
            </w:r>
          </w:p>
        </w:tc>
        <w:tc>
          <w:tcPr>
            <w:tcW w:w="1699" w:type="dxa"/>
            <w:tcBorders>
              <w:top w:val="single" w:sz="4" w:space="0" w:color="000000"/>
              <w:left w:val="single" w:sz="4" w:space="0" w:color="000000"/>
              <w:bottom w:val="single" w:sz="4" w:space="0" w:color="000000"/>
              <w:right w:val="single" w:sz="4" w:space="0" w:color="000000"/>
            </w:tcBorders>
          </w:tcPr>
          <w:p w14:paraId="00047674" w14:textId="77777777" w:rsidR="00D96A90" w:rsidRPr="00A865B2" w:rsidRDefault="00D96A90" w:rsidP="00EF5AF2">
            <w:pPr>
              <w:spacing w:line="259" w:lineRule="auto"/>
              <w:ind w:right="50"/>
              <w:jc w:val="center"/>
              <w:rPr>
                <w:rFonts w:eastAsia="Calibri"/>
                <w:b/>
                <w:bCs/>
                <w:color w:val="000000"/>
                <w:sz w:val="20"/>
                <w:szCs w:val="20"/>
              </w:rPr>
            </w:pPr>
            <w:r w:rsidRPr="00A865B2">
              <w:rPr>
                <w:rFonts w:eastAsia="Calibri"/>
                <w:b/>
                <w:bCs/>
                <w:color w:val="000000"/>
                <w:sz w:val="20"/>
                <w:szCs w:val="20"/>
              </w:rPr>
              <w:t>NO CUMPLE</w:t>
            </w:r>
          </w:p>
        </w:tc>
      </w:tr>
      <w:tr w:rsidR="00D96A90" w:rsidRPr="00A865B2" w14:paraId="78459268" w14:textId="77777777" w:rsidTr="00EF5AF2">
        <w:trPr>
          <w:trHeight w:val="335"/>
        </w:trPr>
        <w:tc>
          <w:tcPr>
            <w:tcW w:w="2365" w:type="dxa"/>
            <w:tcBorders>
              <w:top w:val="single" w:sz="4" w:space="0" w:color="000000"/>
              <w:left w:val="single" w:sz="4" w:space="0" w:color="000000"/>
              <w:bottom w:val="single" w:sz="4" w:space="0" w:color="000000"/>
              <w:right w:val="single" w:sz="4" w:space="0" w:color="000000"/>
            </w:tcBorders>
            <w:shd w:val="clear" w:color="auto" w:fill="auto"/>
          </w:tcPr>
          <w:p w14:paraId="42E8FBEE" w14:textId="77777777" w:rsidR="00D96A90" w:rsidRPr="00A865B2" w:rsidRDefault="00D96A90" w:rsidP="00EF5AF2">
            <w:pPr>
              <w:spacing w:line="259" w:lineRule="auto"/>
              <w:ind w:right="52"/>
              <w:jc w:val="center"/>
              <w:rPr>
                <w:rFonts w:eastAsia="Calibri"/>
                <w:b/>
                <w:bCs/>
                <w:color w:val="000000"/>
                <w:sz w:val="20"/>
                <w:szCs w:val="20"/>
              </w:rPr>
            </w:pPr>
            <w:r w:rsidRPr="00A865B2">
              <w:rPr>
                <w:b/>
                <w:bCs/>
                <w:color w:val="000000"/>
                <w:sz w:val="20"/>
                <w:szCs w:val="20"/>
              </w:rPr>
              <w:t xml:space="preserve"> TOTAL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14:paraId="7F15A044" w14:textId="77777777" w:rsidR="00D96A90" w:rsidRPr="00A865B2" w:rsidRDefault="00D96A90" w:rsidP="00EF5AF2">
            <w:pPr>
              <w:spacing w:line="259" w:lineRule="auto"/>
              <w:ind w:right="50"/>
              <w:jc w:val="right"/>
              <w:rPr>
                <w:rFonts w:eastAsia="Calibri"/>
                <w:b/>
                <w:bCs/>
                <w:color w:val="000000"/>
                <w:sz w:val="20"/>
                <w:szCs w:val="20"/>
              </w:rPr>
            </w:pPr>
            <w:r w:rsidRPr="00A865B2">
              <w:rPr>
                <w:rFonts w:eastAsia="Calibri"/>
                <w:b/>
                <w:bCs/>
                <w:color w:val="000000"/>
                <w:sz w:val="20"/>
                <w:szCs w:val="20"/>
              </w:rPr>
              <w:t>857.836.494.471</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7BB2437D" w14:textId="77777777" w:rsidR="00D96A90" w:rsidRPr="00A865B2" w:rsidRDefault="00D96A90" w:rsidP="00EF5AF2">
            <w:pPr>
              <w:spacing w:line="259" w:lineRule="auto"/>
              <w:ind w:left="88"/>
              <w:jc w:val="right"/>
              <w:rPr>
                <w:rFonts w:eastAsia="Calibri"/>
                <w:b/>
                <w:bCs/>
                <w:color w:val="000000"/>
                <w:sz w:val="20"/>
                <w:szCs w:val="20"/>
              </w:rPr>
            </w:pPr>
            <w:r w:rsidRPr="00A865B2">
              <w:rPr>
                <w:rFonts w:eastAsia="Calibri"/>
                <w:b/>
                <w:bCs/>
                <w:color w:val="000000"/>
                <w:sz w:val="20"/>
                <w:szCs w:val="20"/>
              </w:rPr>
              <w:t>401.123.319.687</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41D1B" w14:textId="77777777" w:rsidR="00D96A90" w:rsidRPr="00A865B2" w:rsidRDefault="00D96A90" w:rsidP="00EF5AF2">
            <w:pPr>
              <w:spacing w:line="259" w:lineRule="auto"/>
              <w:jc w:val="center"/>
              <w:rPr>
                <w:rFonts w:eastAsia="Calibri"/>
                <w:b/>
                <w:bCs/>
                <w:color w:val="000000"/>
                <w:sz w:val="20"/>
                <w:szCs w:val="20"/>
              </w:rPr>
            </w:pPr>
            <w:r w:rsidRPr="00A865B2">
              <w:rPr>
                <w:rFonts w:eastAsia="Calibri"/>
                <w:b/>
                <w:bCs/>
                <w:color w:val="000000"/>
                <w:sz w:val="20"/>
                <w:szCs w:val="20"/>
              </w:rPr>
              <w:t>46.76%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46D50AD" w14:textId="77777777" w:rsidR="00D96A90" w:rsidRPr="00A865B2" w:rsidRDefault="00D96A90" w:rsidP="00EF5AF2">
            <w:pPr>
              <w:spacing w:line="259" w:lineRule="auto"/>
              <w:ind w:right="48"/>
              <w:jc w:val="center"/>
              <w:rPr>
                <w:rFonts w:eastAsia="Calibri"/>
                <w:b/>
                <w:bCs/>
                <w:color w:val="000000"/>
                <w:sz w:val="20"/>
                <w:szCs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50BCDBB5" w14:textId="77777777" w:rsidR="00D96A90" w:rsidRPr="00A865B2" w:rsidRDefault="00D96A90" w:rsidP="00EF5AF2">
            <w:pPr>
              <w:spacing w:line="259" w:lineRule="auto"/>
              <w:jc w:val="right"/>
              <w:rPr>
                <w:rFonts w:eastAsia="Calibri"/>
                <w:b/>
                <w:bCs/>
                <w:color w:val="000000"/>
                <w:sz w:val="20"/>
                <w:szCs w:val="20"/>
              </w:rPr>
            </w:pPr>
          </w:p>
        </w:tc>
      </w:tr>
    </w:tbl>
    <w:p w14:paraId="200E8FF4" w14:textId="77777777" w:rsidR="00D96A90" w:rsidRDefault="00D96A90" w:rsidP="00D96A90">
      <w:pPr>
        <w:jc w:val="both"/>
        <w:rPr>
          <w:color w:val="000000"/>
          <w:sz w:val="24"/>
          <w:lang w:val="es-CO" w:eastAsia="es-CO"/>
        </w:rPr>
      </w:pPr>
    </w:p>
    <w:p w14:paraId="69B533F8" w14:textId="77777777" w:rsidR="00D96A90" w:rsidRPr="00730288" w:rsidRDefault="00D96A90" w:rsidP="0063799A">
      <w:pPr>
        <w:ind w:left="-284" w:right="-234"/>
        <w:jc w:val="both"/>
        <w:rPr>
          <w:rFonts w:ascii="Arial" w:hAnsi="Arial" w:cs="Arial"/>
          <w:color w:val="000000"/>
          <w:sz w:val="24"/>
          <w:lang w:val="es-CO" w:eastAsia="es-CO"/>
        </w:rPr>
      </w:pPr>
      <w:r w:rsidRPr="00730288">
        <w:rPr>
          <w:rFonts w:ascii="Arial" w:hAnsi="Arial" w:cs="Arial"/>
          <w:color w:val="000000"/>
          <w:sz w:val="24"/>
          <w:lang w:val="es-CO" w:eastAsia="es-CO"/>
        </w:rPr>
        <w:t>Una de las razones por las cuales se sobrepasó el tope establecido en el artículo 78 del Decreto Ley 111 de 1996 se debe a la falta de asignación de PAC por parte del Ministerio de Hacienda y Crédito Público durante el segundo semestre de 2024. Esta situación conllevo a que el valor de $39.219.044.743 no se lograra obligar y pagar, por lo cual fue necesario constituir las reservas presupuestales inducidas por falta de PAC, para cumplir con los compromisos adquiridos. De otra parte, existen contratos y convenios que por causa fuerza mayor o caso fortuito no fue posible su ejecución en la vigencia 2024.</w:t>
      </w:r>
    </w:p>
    <w:p w14:paraId="67979100" w14:textId="77777777" w:rsidR="00D96A90" w:rsidRDefault="00D96A90" w:rsidP="0063799A">
      <w:pPr>
        <w:ind w:left="-284" w:right="-234"/>
        <w:rPr>
          <w:rFonts w:ascii="Arial" w:hAnsi="Arial" w:cs="Arial"/>
          <w:sz w:val="24"/>
          <w:szCs w:val="24"/>
          <w:lang w:val="es-CO"/>
        </w:rPr>
      </w:pPr>
    </w:p>
    <w:p w14:paraId="3CA29A05" w14:textId="77777777" w:rsidR="00D96A90" w:rsidRPr="002A4417" w:rsidRDefault="00D96A90" w:rsidP="0063799A">
      <w:pPr>
        <w:ind w:left="-284" w:right="-234"/>
        <w:jc w:val="both"/>
        <w:rPr>
          <w:rFonts w:ascii="Arial" w:hAnsi="Arial" w:cs="Arial"/>
          <w:b/>
          <w:sz w:val="28"/>
          <w:szCs w:val="28"/>
          <w:lang w:val="es-MX"/>
        </w:rPr>
      </w:pPr>
      <w:r w:rsidRPr="002A4417">
        <w:rPr>
          <w:rFonts w:ascii="Arial" w:hAnsi="Arial" w:cs="Arial"/>
          <w:b/>
          <w:sz w:val="28"/>
          <w:szCs w:val="28"/>
          <w:lang w:val="es-MX"/>
        </w:rPr>
        <w:t>182.- INSTITUTO DE PLANIFICACION Y PROMOCION DE SOLUCIONES ENERGETICAS - IPSE.</w:t>
      </w:r>
    </w:p>
    <w:p w14:paraId="44FB96AB" w14:textId="77777777" w:rsidR="00D96A90" w:rsidRDefault="00D96A90" w:rsidP="0063799A">
      <w:pPr>
        <w:ind w:left="-284" w:right="-234"/>
        <w:rPr>
          <w:rFonts w:ascii="Arial" w:hAnsi="Arial" w:cs="Arial"/>
          <w:sz w:val="24"/>
          <w:szCs w:val="24"/>
          <w:lang w:val="es-MX"/>
        </w:rPr>
      </w:pPr>
    </w:p>
    <w:p w14:paraId="02D00AB2" w14:textId="77777777" w:rsidR="00D96A90" w:rsidRPr="00496A2F" w:rsidRDefault="00D96A90" w:rsidP="0063799A">
      <w:pPr>
        <w:pStyle w:val="Textoindependiente"/>
        <w:spacing w:before="3"/>
        <w:ind w:left="-284" w:right="-234"/>
        <w:jc w:val="both"/>
        <w:rPr>
          <w:rFonts w:ascii="Arial" w:hAnsi="Arial" w:cs="Arial"/>
          <w:bCs/>
          <w:sz w:val="24"/>
          <w:szCs w:val="24"/>
        </w:rPr>
      </w:pPr>
      <w:r w:rsidRPr="00496A2F">
        <w:rPr>
          <w:rFonts w:ascii="Arial" w:hAnsi="Arial" w:cs="Arial"/>
          <w:b/>
          <w:sz w:val="24"/>
          <w:szCs w:val="24"/>
        </w:rPr>
        <w:t xml:space="preserve">La entidad informa: </w:t>
      </w:r>
      <w:r w:rsidRPr="00496A2F">
        <w:rPr>
          <w:rFonts w:ascii="Arial" w:hAnsi="Arial" w:cs="Arial"/>
          <w:bCs/>
          <w:sz w:val="24"/>
          <w:szCs w:val="24"/>
        </w:rPr>
        <w:t>La reserva presupuestal constituida al 31 de diciembre del 2024, supero los porcentajes límites establecidos en el artículo 78 del Decreto Ley 111 de 1996, lo anterior obedeciendo a diferentes factores que presentaron modificaciones en la estructuración final de los proyectos, debido a algunas diferencias entre la caracterización inicial en campo en contraste con lo encontrado como insumo para diseño de la solución energética; esto como consecuencia de las condiciones particulares de las comunidades a beneficiar en las zonas no interconectadas del territorio nacional, como ejemplo las comunidades indígenas y campesinas que presentan movilidad constante por temas de orden público, culturales y ancestrales; adicionalmente las regiones presentaron características geográficas y técnicas que intervienen o afectan el tipo de solución a implementar.</w:t>
      </w:r>
    </w:p>
    <w:p w14:paraId="023709B6" w14:textId="77777777" w:rsidR="00D96A90" w:rsidRPr="00496A2F" w:rsidRDefault="00D96A90" w:rsidP="0063799A">
      <w:pPr>
        <w:pStyle w:val="Textoindependiente"/>
        <w:spacing w:before="3"/>
        <w:ind w:left="-284" w:right="-234"/>
        <w:jc w:val="both"/>
        <w:rPr>
          <w:rFonts w:ascii="Arial" w:hAnsi="Arial" w:cs="Arial"/>
          <w:bCs/>
          <w:sz w:val="24"/>
          <w:szCs w:val="24"/>
        </w:rPr>
      </w:pPr>
    </w:p>
    <w:p w14:paraId="147C43B2" w14:textId="77777777" w:rsidR="00D96A90" w:rsidRPr="00496A2F" w:rsidRDefault="00D96A90" w:rsidP="0063799A">
      <w:pPr>
        <w:pStyle w:val="Textoindependiente"/>
        <w:spacing w:before="3"/>
        <w:ind w:left="-284" w:right="-234"/>
        <w:jc w:val="both"/>
        <w:rPr>
          <w:rFonts w:ascii="Arial" w:hAnsi="Arial" w:cs="Arial"/>
          <w:bCs/>
          <w:sz w:val="24"/>
          <w:szCs w:val="24"/>
        </w:rPr>
      </w:pPr>
      <w:r w:rsidRPr="00496A2F">
        <w:rPr>
          <w:rFonts w:ascii="Arial" w:hAnsi="Arial" w:cs="Arial"/>
          <w:bCs/>
          <w:sz w:val="24"/>
          <w:szCs w:val="24"/>
        </w:rPr>
        <w:t>Las anteriores condiciones implicaron mayores tiempos en la etapa de estructuración, planeación y precontractual, dando como resultado una contratación para el último trimestre del 2024.</w:t>
      </w:r>
    </w:p>
    <w:p w14:paraId="7E3DAD17" w14:textId="77777777" w:rsidR="00D96A90" w:rsidRPr="00496A2F" w:rsidRDefault="00D96A90" w:rsidP="0063799A">
      <w:pPr>
        <w:pStyle w:val="Textoindependiente"/>
        <w:spacing w:before="3"/>
        <w:ind w:left="-284" w:right="-234"/>
        <w:jc w:val="both"/>
        <w:rPr>
          <w:rFonts w:ascii="Arial" w:hAnsi="Arial" w:cs="Arial"/>
          <w:bCs/>
          <w:sz w:val="24"/>
          <w:szCs w:val="24"/>
        </w:rPr>
      </w:pPr>
    </w:p>
    <w:p w14:paraId="1F265518" w14:textId="77777777" w:rsidR="00D96A90" w:rsidRPr="00496A2F" w:rsidRDefault="00D96A90" w:rsidP="0063799A">
      <w:pPr>
        <w:pStyle w:val="Textoindependiente"/>
        <w:spacing w:before="3"/>
        <w:ind w:left="-284" w:right="-234"/>
        <w:jc w:val="both"/>
        <w:rPr>
          <w:rFonts w:ascii="Arial" w:hAnsi="Arial" w:cs="Arial"/>
          <w:bCs/>
          <w:sz w:val="24"/>
          <w:szCs w:val="24"/>
        </w:rPr>
      </w:pPr>
      <w:r w:rsidRPr="00496A2F">
        <w:rPr>
          <w:rFonts w:ascii="Arial" w:hAnsi="Arial" w:cs="Arial"/>
          <w:b/>
          <w:sz w:val="24"/>
          <w:szCs w:val="24"/>
        </w:rPr>
        <w:t>NOTA:</w:t>
      </w:r>
      <w:r w:rsidRPr="00496A2F">
        <w:rPr>
          <w:rFonts w:ascii="Arial" w:hAnsi="Arial" w:cs="Arial"/>
          <w:bCs/>
          <w:sz w:val="24"/>
          <w:szCs w:val="24"/>
        </w:rPr>
        <w:t xml:space="preserve"> No informan los porcentajes constituidos.</w:t>
      </w:r>
    </w:p>
    <w:p w14:paraId="1C9B4639" w14:textId="77777777" w:rsidR="00D96A90" w:rsidRDefault="00D96A90" w:rsidP="0063799A">
      <w:pPr>
        <w:ind w:left="-284" w:right="-234"/>
        <w:rPr>
          <w:rFonts w:ascii="Arial" w:hAnsi="Arial" w:cs="Arial"/>
          <w:sz w:val="24"/>
          <w:szCs w:val="24"/>
        </w:rPr>
      </w:pPr>
    </w:p>
    <w:p w14:paraId="0BE1BDA5" w14:textId="77777777" w:rsidR="00D96A90" w:rsidRPr="00941163" w:rsidRDefault="00D96A90" w:rsidP="0063799A">
      <w:pPr>
        <w:ind w:left="-284" w:right="-234"/>
        <w:jc w:val="both"/>
        <w:rPr>
          <w:rFonts w:ascii="Arial" w:hAnsi="Arial" w:cs="Arial"/>
          <w:b/>
          <w:sz w:val="28"/>
          <w:szCs w:val="28"/>
          <w:lang w:val="es-MX"/>
        </w:rPr>
      </w:pPr>
      <w:r w:rsidRPr="00941163">
        <w:rPr>
          <w:rFonts w:ascii="Arial" w:hAnsi="Arial" w:cs="Arial"/>
          <w:b/>
          <w:sz w:val="28"/>
          <w:szCs w:val="28"/>
          <w:lang w:val="es-MX"/>
        </w:rPr>
        <w:t xml:space="preserve">183.- U.A.E. MIGRACIÓN COLOMBIA. </w:t>
      </w:r>
    </w:p>
    <w:p w14:paraId="6E351A9C" w14:textId="77777777" w:rsidR="00D96A90" w:rsidRDefault="00D96A90" w:rsidP="0063799A">
      <w:pPr>
        <w:ind w:left="-284" w:right="-234"/>
        <w:rPr>
          <w:rFonts w:ascii="Arial" w:hAnsi="Arial" w:cs="Arial"/>
          <w:sz w:val="24"/>
          <w:szCs w:val="24"/>
          <w:lang w:val="es-MX"/>
        </w:rPr>
      </w:pPr>
    </w:p>
    <w:p w14:paraId="064AD14E" w14:textId="77777777" w:rsidR="00D96A90" w:rsidRPr="00FB00F9" w:rsidRDefault="00D96A90" w:rsidP="0063799A">
      <w:pPr>
        <w:pStyle w:val="Textoindependiente"/>
        <w:spacing w:before="3"/>
        <w:ind w:left="-284" w:right="-234"/>
        <w:jc w:val="both"/>
        <w:rPr>
          <w:rFonts w:ascii="Arial" w:hAnsi="Arial" w:cs="Arial"/>
          <w:b/>
          <w:iCs/>
          <w:sz w:val="24"/>
          <w:szCs w:val="24"/>
        </w:rPr>
      </w:pPr>
      <w:r w:rsidRPr="00FB00F9">
        <w:rPr>
          <w:rFonts w:ascii="Arial" w:hAnsi="Arial" w:cs="Arial"/>
          <w:b/>
          <w:sz w:val="24"/>
          <w:szCs w:val="24"/>
        </w:rPr>
        <w:t xml:space="preserve">La entidad informa: </w:t>
      </w:r>
      <w:r w:rsidRPr="00FB00F9">
        <w:rPr>
          <w:rFonts w:ascii="Arial" w:hAnsi="Arial" w:cs="Arial"/>
          <w:b/>
          <w:sz w:val="24"/>
          <w:szCs w:val="24"/>
          <w:u w:val="single"/>
        </w:rPr>
        <w:t>La constitución de reservas presupuestales en la vigencia 2024, fue generada en mayor medida por las reservas inducidas</w:t>
      </w:r>
      <w:r w:rsidRPr="00FB00F9">
        <w:rPr>
          <w:rFonts w:ascii="Arial" w:hAnsi="Arial" w:cs="Arial"/>
          <w:bCs/>
          <w:sz w:val="24"/>
          <w:szCs w:val="24"/>
        </w:rPr>
        <w:t>, quedando soportada con lo establecido en la circular de cierre 040 de 2024 expedida por el Ministerio de Hacienda y Crédito Público – Administración SIIF, y en cumplimiento del artículo 29 de la ley 1523 de 2024, el cual indica “</w:t>
      </w:r>
      <w:r w:rsidRPr="00FB00F9">
        <w:rPr>
          <w:rFonts w:ascii="Arial" w:hAnsi="Arial" w:cs="Arial"/>
          <w:b/>
          <w:iCs/>
          <w:sz w:val="24"/>
          <w:szCs w:val="24"/>
        </w:rPr>
        <w:t>A través del Sistema Integrado de información Financiera (SIIF) – Nación se constituirán con corte a 31 de diciembre de 2024 las reservas presupuestales y cuentas por pagar de cada una de las secciones del Presupuesto General de la Nación, a las que se refiere el artículo 89 del Estatuto Orgánico del Presupuesto. Como máximo, las reservas presupuestales corresponderán a la diferencia entre los compromisos y las obligaciones, y las cuentas por pagar por la diferencia entre las obligaciones y los pagos.</w:t>
      </w:r>
    </w:p>
    <w:p w14:paraId="7F4C4FE9" w14:textId="77777777" w:rsidR="00D96A90" w:rsidRPr="00FB00F9" w:rsidRDefault="00D96A90" w:rsidP="0063799A">
      <w:pPr>
        <w:pStyle w:val="Textoindependiente"/>
        <w:spacing w:before="3"/>
        <w:ind w:left="-284" w:right="-234"/>
        <w:jc w:val="both"/>
        <w:rPr>
          <w:rFonts w:ascii="Arial" w:hAnsi="Arial" w:cs="Arial"/>
          <w:b/>
          <w:iCs/>
          <w:sz w:val="24"/>
          <w:szCs w:val="24"/>
        </w:rPr>
      </w:pPr>
    </w:p>
    <w:p w14:paraId="2DA28ECA" w14:textId="77777777" w:rsidR="00D96A90" w:rsidRPr="00FB00F9" w:rsidRDefault="00D96A90" w:rsidP="0063799A">
      <w:pPr>
        <w:pStyle w:val="Textoindependiente"/>
        <w:spacing w:before="3"/>
        <w:ind w:left="-284" w:right="-234"/>
        <w:jc w:val="both"/>
        <w:rPr>
          <w:rFonts w:ascii="Arial" w:hAnsi="Arial" w:cs="Arial"/>
          <w:b/>
          <w:iCs/>
          <w:sz w:val="24"/>
          <w:szCs w:val="24"/>
        </w:rPr>
      </w:pPr>
      <w:r w:rsidRPr="00FB00F9">
        <w:rPr>
          <w:rFonts w:ascii="Arial" w:hAnsi="Arial" w:cs="Arial"/>
          <w:b/>
          <w:iCs/>
          <w:sz w:val="24"/>
          <w:szCs w:val="24"/>
        </w:rPr>
        <w:t xml:space="preserve">Para las cuentas por pagar que constituyen a 31 de diciembre de 2024 se debe contar con el correspondiente programa anual mensualizado de caja de la vigencia, de lo contrario deberán hacerse los ajustes en los registros y constituir las correspondientes reservas </w:t>
      </w:r>
      <w:r w:rsidRPr="00FB00F9">
        <w:rPr>
          <w:rFonts w:ascii="Arial" w:hAnsi="Arial" w:cs="Arial"/>
          <w:b/>
          <w:iCs/>
          <w:sz w:val="24"/>
          <w:szCs w:val="24"/>
        </w:rPr>
        <w:lastRenderedPageBreak/>
        <w:t>presupuestales. Igual procedimiento se deberá cumplir en la vigencia 2025.</w:t>
      </w:r>
    </w:p>
    <w:p w14:paraId="504C99A6" w14:textId="77777777" w:rsidR="00D96A90" w:rsidRPr="00FB00F9" w:rsidRDefault="00D96A90" w:rsidP="0063799A">
      <w:pPr>
        <w:pStyle w:val="Textoindependiente"/>
        <w:spacing w:before="3"/>
        <w:ind w:left="-284" w:right="-234"/>
        <w:jc w:val="both"/>
        <w:rPr>
          <w:rFonts w:ascii="Arial" w:hAnsi="Arial" w:cs="Arial"/>
          <w:b/>
          <w:iCs/>
          <w:sz w:val="24"/>
          <w:szCs w:val="24"/>
        </w:rPr>
      </w:pPr>
    </w:p>
    <w:p w14:paraId="25AF4CF9" w14:textId="77777777" w:rsidR="00D96A90" w:rsidRPr="00FB00F9" w:rsidRDefault="00D96A90" w:rsidP="0063799A">
      <w:pPr>
        <w:pStyle w:val="Textoindependiente"/>
        <w:spacing w:before="3"/>
        <w:ind w:left="-284" w:right="-234"/>
        <w:jc w:val="both"/>
        <w:rPr>
          <w:rFonts w:ascii="Arial" w:hAnsi="Arial" w:cs="Arial"/>
          <w:b/>
          <w:sz w:val="24"/>
          <w:szCs w:val="24"/>
        </w:rPr>
      </w:pPr>
      <w:r w:rsidRPr="00FB00F9">
        <w:rPr>
          <w:rFonts w:ascii="Arial" w:hAnsi="Arial" w:cs="Arial"/>
          <w:b/>
          <w:iCs/>
          <w:sz w:val="24"/>
          <w:szCs w:val="24"/>
        </w:rPr>
        <w:t>Si durante el año de la vigencia de la reserva presupuestal o de la cuenta por pagar desaparece el compromiso u obligación que las originó, se podrán hacer los ajustes respectivos en el Sistema Integrado de Información Financiera – SIIF Nación.</w:t>
      </w:r>
      <w:r w:rsidRPr="00FB00F9">
        <w:rPr>
          <w:rFonts w:ascii="Arial" w:hAnsi="Arial" w:cs="Arial"/>
          <w:b/>
          <w:sz w:val="24"/>
          <w:szCs w:val="24"/>
        </w:rPr>
        <w:t>”</w:t>
      </w:r>
    </w:p>
    <w:p w14:paraId="5128B3DD" w14:textId="77777777" w:rsidR="00D96A90" w:rsidRDefault="00D96A90" w:rsidP="0063799A">
      <w:pPr>
        <w:ind w:left="-284" w:right="-234"/>
        <w:rPr>
          <w:rFonts w:ascii="Arial" w:hAnsi="Arial" w:cs="Arial"/>
          <w:sz w:val="24"/>
          <w:szCs w:val="24"/>
        </w:rPr>
      </w:pPr>
    </w:p>
    <w:p w14:paraId="21890319" w14:textId="77777777" w:rsidR="00D96A90" w:rsidRPr="00A03531" w:rsidRDefault="00D96A90" w:rsidP="0063799A">
      <w:pPr>
        <w:ind w:left="-284" w:right="-234"/>
        <w:jc w:val="both"/>
        <w:rPr>
          <w:rFonts w:ascii="Arial" w:hAnsi="Arial" w:cs="Arial"/>
          <w:b/>
          <w:sz w:val="28"/>
          <w:szCs w:val="28"/>
          <w:lang w:val="es-MX"/>
        </w:rPr>
      </w:pPr>
      <w:r w:rsidRPr="00A03531">
        <w:rPr>
          <w:rFonts w:ascii="Arial" w:hAnsi="Arial" w:cs="Arial"/>
          <w:b/>
          <w:sz w:val="28"/>
          <w:szCs w:val="28"/>
          <w:lang w:val="es-MX"/>
        </w:rPr>
        <w:t>215.- MINISTERIO DE LAS CULTURAS, LAS ARTES Y LOS SABERES.</w:t>
      </w:r>
    </w:p>
    <w:p w14:paraId="20489972" w14:textId="77777777" w:rsidR="00D96A90" w:rsidRDefault="00D96A90" w:rsidP="0063799A">
      <w:pPr>
        <w:ind w:left="-284" w:right="-234"/>
        <w:rPr>
          <w:rFonts w:ascii="Arial" w:hAnsi="Arial" w:cs="Arial"/>
          <w:sz w:val="24"/>
          <w:szCs w:val="24"/>
        </w:rPr>
      </w:pPr>
    </w:p>
    <w:p w14:paraId="1C336935" w14:textId="77777777" w:rsidR="00D96A90" w:rsidRPr="00065E88" w:rsidRDefault="00D96A90" w:rsidP="0063799A">
      <w:pPr>
        <w:pStyle w:val="Textoindependiente"/>
        <w:spacing w:before="3"/>
        <w:ind w:left="-284" w:right="-234"/>
        <w:jc w:val="both"/>
        <w:rPr>
          <w:rFonts w:ascii="Arial" w:hAnsi="Arial" w:cs="Arial"/>
          <w:bCs/>
          <w:sz w:val="24"/>
          <w:szCs w:val="24"/>
        </w:rPr>
      </w:pPr>
      <w:r w:rsidRPr="00065E88">
        <w:rPr>
          <w:rFonts w:ascii="Arial" w:hAnsi="Arial" w:cs="Arial"/>
          <w:b/>
          <w:sz w:val="24"/>
          <w:szCs w:val="24"/>
        </w:rPr>
        <w:t xml:space="preserve">La entidad informa: NO. </w:t>
      </w:r>
      <w:r w:rsidRPr="00065E88">
        <w:rPr>
          <w:rFonts w:ascii="Arial" w:hAnsi="Arial" w:cs="Arial"/>
          <w:bCs/>
          <w:sz w:val="24"/>
          <w:szCs w:val="24"/>
        </w:rPr>
        <w:t>En cumplimiento de lo dispuesto en el artículo 78 del Decreto 111 de 1996 – Estatuto Orgánico del Presupuesto y de acuerdo con los lineamientos del Ministerio de Hacienda y Crédito Público, el Ministerio de las Culturas, las Artes y los Saberes efectuó el cierre de la vigencia 2024, conforme a las disposiciones sobre los límites de constitución de reservas presupuestales nos permitimos informar:</w:t>
      </w:r>
    </w:p>
    <w:p w14:paraId="7B57D1F8" w14:textId="77777777" w:rsidR="00D96A90" w:rsidRPr="00065E88" w:rsidRDefault="00D96A90" w:rsidP="0063799A">
      <w:pPr>
        <w:pStyle w:val="Textoindependiente"/>
        <w:spacing w:before="3"/>
        <w:ind w:left="-284" w:right="-234"/>
        <w:jc w:val="both"/>
        <w:rPr>
          <w:rFonts w:ascii="Arial" w:hAnsi="Arial" w:cs="Arial"/>
          <w:bCs/>
          <w:sz w:val="24"/>
          <w:szCs w:val="24"/>
        </w:rPr>
      </w:pPr>
    </w:p>
    <w:p w14:paraId="731F0E60" w14:textId="77777777" w:rsidR="00D96A90" w:rsidRPr="00065E88" w:rsidRDefault="00D96A90" w:rsidP="0063799A">
      <w:pPr>
        <w:pStyle w:val="Textoindependiente"/>
        <w:spacing w:before="3"/>
        <w:ind w:left="-284" w:right="-234"/>
        <w:jc w:val="both"/>
        <w:rPr>
          <w:rFonts w:ascii="Arial" w:hAnsi="Arial" w:cs="Arial"/>
          <w:bCs/>
          <w:sz w:val="24"/>
          <w:szCs w:val="24"/>
        </w:rPr>
      </w:pPr>
      <w:r w:rsidRPr="00065E88">
        <w:rPr>
          <w:rFonts w:ascii="Arial" w:hAnsi="Arial" w:cs="Arial"/>
          <w:bCs/>
          <w:sz w:val="24"/>
          <w:szCs w:val="24"/>
        </w:rPr>
        <w:t>Dado el contexto fiscal del país en relación con las metas de recaudo fiscal y las restricciones en la disponibilidad del Programa Anual de Caja (PAC) durante la vigencia 2024, los cuales son hechos económicos exógenos que impactan de manera directa las proyecciones y programaciones de los cierres presupuestales de las entidades públicas del orden nacional, no fue posible atender la totalidad de las obligaciones registradas al 31 de diciembre de 2024.  Esta situación impactó de manera directa en la ejecución de convenios y contratos, lo que hizo necesario recurrir a los instrumentos de ejecución presupuestal previstos en la norma y los lineamientos establecidos por el Ministerio de Hacienda y Crédito Público para la adecuada gestión de los compromisos adquiridos por la entidad.</w:t>
      </w:r>
    </w:p>
    <w:p w14:paraId="09777FAD" w14:textId="77777777" w:rsidR="00D96A90" w:rsidRPr="00065E88" w:rsidRDefault="00D96A90" w:rsidP="0063799A">
      <w:pPr>
        <w:pStyle w:val="Textoindependiente"/>
        <w:spacing w:before="3"/>
        <w:ind w:left="-284" w:right="-234"/>
        <w:jc w:val="both"/>
        <w:rPr>
          <w:rFonts w:ascii="Arial" w:hAnsi="Arial" w:cs="Arial"/>
          <w:bCs/>
          <w:sz w:val="24"/>
          <w:szCs w:val="24"/>
        </w:rPr>
      </w:pPr>
    </w:p>
    <w:p w14:paraId="4869BAA2" w14:textId="77777777" w:rsidR="00D96A90" w:rsidRPr="00065E88" w:rsidRDefault="00D96A90" w:rsidP="0063799A">
      <w:pPr>
        <w:pStyle w:val="Textoindependiente"/>
        <w:spacing w:before="3"/>
        <w:ind w:left="-284" w:right="-234"/>
        <w:jc w:val="both"/>
        <w:rPr>
          <w:rFonts w:ascii="Arial" w:hAnsi="Arial" w:cs="Arial"/>
          <w:bCs/>
          <w:sz w:val="24"/>
          <w:szCs w:val="24"/>
        </w:rPr>
      </w:pPr>
      <w:r w:rsidRPr="00065E88">
        <w:rPr>
          <w:rFonts w:ascii="Arial" w:hAnsi="Arial" w:cs="Arial"/>
          <w:bCs/>
          <w:sz w:val="24"/>
          <w:szCs w:val="24"/>
        </w:rPr>
        <w:t>Es así como de conformidad a lo dispuesto en la Circular 040 del 14 de noviembre de 2024 (SIIF Nación), numeral 12 “Aspectos relacionados con el Módulo de Contabilidad”, literal b, señala lo siguiente:</w:t>
      </w:r>
    </w:p>
    <w:p w14:paraId="1B29A7D4" w14:textId="77777777" w:rsidR="00D96A90" w:rsidRPr="00065E88" w:rsidRDefault="00D96A90" w:rsidP="00D96A90">
      <w:pPr>
        <w:pStyle w:val="Textoindependiente"/>
        <w:spacing w:before="3"/>
        <w:jc w:val="both"/>
        <w:rPr>
          <w:rFonts w:ascii="Arial" w:hAnsi="Arial" w:cs="Arial"/>
          <w:bCs/>
          <w:sz w:val="24"/>
          <w:szCs w:val="24"/>
        </w:rPr>
      </w:pPr>
    </w:p>
    <w:p w14:paraId="281834BA" w14:textId="77777777" w:rsidR="00D96A90" w:rsidRPr="00065E88" w:rsidRDefault="00D96A90" w:rsidP="0063799A">
      <w:pPr>
        <w:pStyle w:val="Textoindependiente"/>
        <w:spacing w:before="3"/>
        <w:ind w:left="708" w:right="-234"/>
        <w:jc w:val="both"/>
        <w:rPr>
          <w:rFonts w:ascii="Arial" w:hAnsi="Arial" w:cs="Arial"/>
          <w:bCs/>
          <w:sz w:val="24"/>
          <w:szCs w:val="24"/>
        </w:rPr>
      </w:pPr>
      <w:r w:rsidRPr="00065E88">
        <w:rPr>
          <w:rFonts w:ascii="Arial" w:hAnsi="Arial" w:cs="Arial"/>
          <w:bCs/>
          <w:sz w:val="24"/>
          <w:szCs w:val="24"/>
        </w:rPr>
        <w:t>“(…) b. Ajustes contables manuales por efecto de la ausencia de PAC: En el evento que se reciban bienes y/o servicios y la entidad no cuente con PAC para registrar la obligación, el área contable deberá hacer los respectivos ajustes manuales correspondientes para reflejar en la contabilidad del SIIF Nación el hecho económico.</w:t>
      </w:r>
    </w:p>
    <w:p w14:paraId="43AB8CB3" w14:textId="77777777" w:rsidR="00D96A90" w:rsidRPr="00065E88" w:rsidRDefault="00D96A90" w:rsidP="0063799A">
      <w:pPr>
        <w:pStyle w:val="Textoindependiente"/>
        <w:spacing w:before="3"/>
        <w:ind w:left="708" w:right="-234"/>
        <w:jc w:val="both"/>
        <w:rPr>
          <w:rFonts w:ascii="Arial" w:hAnsi="Arial" w:cs="Arial"/>
          <w:bCs/>
          <w:sz w:val="24"/>
          <w:szCs w:val="24"/>
        </w:rPr>
      </w:pPr>
    </w:p>
    <w:p w14:paraId="274193A8" w14:textId="77777777" w:rsidR="00D96A90" w:rsidRPr="00065E88" w:rsidRDefault="00D96A90" w:rsidP="0063799A">
      <w:pPr>
        <w:pStyle w:val="Textoindependiente"/>
        <w:spacing w:before="3"/>
        <w:ind w:left="708" w:right="-234"/>
        <w:jc w:val="both"/>
        <w:rPr>
          <w:rFonts w:ascii="Arial" w:hAnsi="Arial" w:cs="Arial"/>
          <w:bCs/>
          <w:sz w:val="24"/>
          <w:szCs w:val="24"/>
        </w:rPr>
      </w:pPr>
      <w:r w:rsidRPr="00065E88">
        <w:rPr>
          <w:rFonts w:ascii="Arial" w:hAnsi="Arial" w:cs="Arial"/>
          <w:bCs/>
          <w:sz w:val="24"/>
          <w:szCs w:val="24"/>
        </w:rPr>
        <w:t>En el año 2025, al momento de obligar la reserva presupuestal inducida por la ley por la ausencia de PAC, se deberá seleccionar el atributo contable diferente al 5 – Ninguno que corresponda en la parametrización de la tabla TCON09, con el fin de que no se realice registro contable dado que, el hecho económico debió ser registrado en diciembre del año 2024 (…)”.</w:t>
      </w:r>
    </w:p>
    <w:p w14:paraId="19CA6BB3" w14:textId="77777777" w:rsidR="00D96A90" w:rsidRPr="00065E88" w:rsidRDefault="00D96A90" w:rsidP="00D96A90">
      <w:pPr>
        <w:pStyle w:val="Textoindependiente"/>
        <w:spacing w:before="3"/>
        <w:jc w:val="both"/>
        <w:rPr>
          <w:rFonts w:ascii="Arial" w:hAnsi="Arial" w:cs="Arial"/>
          <w:bCs/>
          <w:sz w:val="24"/>
          <w:szCs w:val="24"/>
        </w:rPr>
      </w:pPr>
    </w:p>
    <w:p w14:paraId="05927970" w14:textId="77777777" w:rsidR="00D96A90" w:rsidRPr="00065E88" w:rsidRDefault="00D96A90" w:rsidP="0063799A">
      <w:pPr>
        <w:pStyle w:val="Textoindependiente"/>
        <w:spacing w:before="3"/>
        <w:ind w:left="-284" w:right="-234"/>
        <w:jc w:val="both"/>
        <w:rPr>
          <w:rFonts w:ascii="Arial" w:hAnsi="Arial" w:cs="Arial"/>
          <w:bCs/>
          <w:sz w:val="24"/>
          <w:szCs w:val="24"/>
        </w:rPr>
      </w:pPr>
      <w:r w:rsidRPr="00065E88">
        <w:rPr>
          <w:rFonts w:ascii="Arial" w:hAnsi="Arial" w:cs="Arial"/>
          <w:bCs/>
          <w:sz w:val="24"/>
          <w:szCs w:val="24"/>
        </w:rPr>
        <w:t>Por esta razón, y dada la ausencia de PAC no fue posible registrar obligaciones y se constituyeron las reservas presupuestales sobre los bienes y servicios recibidos en la vigencia 2024, realizando el reconocimiento del hecho económico en la contabilidad como “Cuentas por pagar” con el atributo 40.</w:t>
      </w:r>
    </w:p>
    <w:p w14:paraId="5F497522" w14:textId="77777777" w:rsidR="00D96A90" w:rsidRPr="00065E88" w:rsidRDefault="00D96A90" w:rsidP="0063799A">
      <w:pPr>
        <w:pStyle w:val="Textoindependiente"/>
        <w:spacing w:before="3"/>
        <w:ind w:right="-234"/>
        <w:jc w:val="both"/>
        <w:rPr>
          <w:rFonts w:ascii="Arial" w:hAnsi="Arial" w:cs="Arial"/>
          <w:bCs/>
          <w:sz w:val="24"/>
          <w:szCs w:val="24"/>
        </w:rPr>
      </w:pPr>
    </w:p>
    <w:p w14:paraId="201F8314" w14:textId="77777777" w:rsidR="00D96A90" w:rsidRPr="00065E88" w:rsidRDefault="00D96A90" w:rsidP="0063799A">
      <w:pPr>
        <w:pStyle w:val="Textoindependiente"/>
        <w:spacing w:before="3"/>
        <w:ind w:left="-284" w:right="-234"/>
        <w:jc w:val="both"/>
        <w:rPr>
          <w:rFonts w:ascii="Arial" w:hAnsi="Arial" w:cs="Arial"/>
          <w:bCs/>
          <w:sz w:val="24"/>
          <w:szCs w:val="24"/>
        </w:rPr>
      </w:pPr>
      <w:r w:rsidRPr="00065E88">
        <w:rPr>
          <w:rFonts w:ascii="Arial" w:hAnsi="Arial" w:cs="Arial"/>
          <w:bCs/>
          <w:sz w:val="24"/>
          <w:szCs w:val="24"/>
        </w:rPr>
        <w:t>Atendiendo a lo anterior, el valor de las reservas presupuestales constituidas en el SIIF al 31 de diciembre de 2024, con registro de atributo 40 corresponde a $224.488.584.021,88.</w:t>
      </w:r>
    </w:p>
    <w:p w14:paraId="73F4550D" w14:textId="77777777" w:rsidR="00D96A90" w:rsidRPr="00065E88" w:rsidRDefault="00D96A90" w:rsidP="00D96A90">
      <w:pPr>
        <w:pStyle w:val="Textoindependiente"/>
        <w:spacing w:before="3"/>
        <w:jc w:val="both"/>
        <w:rPr>
          <w:rFonts w:ascii="Arial" w:hAnsi="Arial" w:cs="Arial"/>
          <w:bCs/>
          <w:sz w:val="24"/>
          <w:szCs w:val="24"/>
        </w:rPr>
      </w:pPr>
    </w:p>
    <w:p w14:paraId="7F6FDC2A" w14:textId="77777777" w:rsidR="00D96A90" w:rsidRDefault="00D96A90" w:rsidP="00D96A90">
      <w:pPr>
        <w:pStyle w:val="Textoindependiente"/>
        <w:spacing w:before="3"/>
        <w:jc w:val="center"/>
        <w:rPr>
          <w:bCs/>
        </w:rPr>
      </w:pPr>
      <w:r w:rsidRPr="002C778A">
        <w:rPr>
          <w:bCs/>
          <w:noProof/>
          <w:lang w:val="es-CO" w:eastAsia="es-CO"/>
        </w:rPr>
        <w:lastRenderedPageBreak/>
        <w:drawing>
          <wp:inline distT="0" distB="0" distL="0" distR="0" wp14:anchorId="5E3DC24C" wp14:editId="0253D845">
            <wp:extent cx="5258534" cy="7430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8534" cy="743054"/>
                    </a:xfrm>
                    <a:prstGeom prst="rect">
                      <a:avLst/>
                    </a:prstGeom>
                  </pic:spPr>
                </pic:pic>
              </a:graphicData>
            </a:graphic>
          </wp:inline>
        </w:drawing>
      </w:r>
    </w:p>
    <w:p w14:paraId="015E2E9F" w14:textId="77777777" w:rsidR="00D96A90" w:rsidRDefault="00D96A90" w:rsidP="00D96A90">
      <w:pPr>
        <w:pStyle w:val="Textoindependiente"/>
        <w:spacing w:before="3"/>
        <w:jc w:val="both"/>
        <w:rPr>
          <w:bCs/>
        </w:rPr>
      </w:pPr>
    </w:p>
    <w:p w14:paraId="152F4AE1" w14:textId="77777777" w:rsidR="00D96A90" w:rsidRPr="00065E88" w:rsidRDefault="00D96A90" w:rsidP="00886603">
      <w:pPr>
        <w:pStyle w:val="Textoindependiente"/>
        <w:spacing w:before="3"/>
        <w:ind w:left="-284" w:right="-234"/>
        <w:jc w:val="both"/>
        <w:rPr>
          <w:rFonts w:ascii="Arial" w:hAnsi="Arial" w:cs="Arial"/>
          <w:bCs/>
          <w:sz w:val="24"/>
          <w:szCs w:val="24"/>
        </w:rPr>
      </w:pPr>
      <w:r w:rsidRPr="00065E88">
        <w:rPr>
          <w:rFonts w:ascii="Arial" w:hAnsi="Arial" w:cs="Arial"/>
          <w:bCs/>
          <w:sz w:val="24"/>
          <w:szCs w:val="24"/>
        </w:rPr>
        <w:t>Así mismo, el artículo 2.8.1.7.3.1. del Decreto 1068 de 2015, establece que, a través del Sistema Integrado de Información Financiera (SIIF Nación), se definirán, con corte al 31 de diciembre de cada vigencia fiscal, las reservas presupuestales y cuentas por pagar para cada sección del Presupuesto General de la Nación (PGN). Según la norma, las reservas presupuestales corresponden a la diferencia entre los compromisos y las obligaciones, mientras que, las cuentas por pagar resultan de la diferencia entre las obligaciones y los pagos realizados. Por tanto, el total del rezago presupuestal total se constituye así:</w:t>
      </w:r>
    </w:p>
    <w:p w14:paraId="5258474C" w14:textId="77777777" w:rsidR="00D96A90" w:rsidRPr="00065E88" w:rsidRDefault="00D96A90" w:rsidP="00D96A90">
      <w:pPr>
        <w:tabs>
          <w:tab w:val="left" w:pos="875"/>
        </w:tabs>
        <w:spacing w:before="92"/>
        <w:ind w:left="-142" w:right="157"/>
        <w:rPr>
          <w:rFonts w:ascii="Arial" w:hAnsi="Arial" w:cs="Arial"/>
          <w:sz w:val="24"/>
          <w:szCs w:val="24"/>
        </w:rPr>
      </w:pPr>
    </w:p>
    <w:tbl>
      <w:tblPr>
        <w:tblStyle w:val="Tablaconcuadrcula"/>
        <w:tblW w:w="10065" w:type="dxa"/>
        <w:tblInd w:w="-5" w:type="dxa"/>
        <w:tblLook w:val="04A0" w:firstRow="1" w:lastRow="0" w:firstColumn="1" w:lastColumn="0" w:noHBand="0" w:noVBand="1"/>
      </w:tblPr>
      <w:tblGrid>
        <w:gridCol w:w="8222"/>
        <w:gridCol w:w="1843"/>
      </w:tblGrid>
      <w:tr w:rsidR="00D96A90" w:rsidRPr="00B54567" w14:paraId="413BE3CF" w14:textId="77777777" w:rsidTr="00EF5AF2">
        <w:tc>
          <w:tcPr>
            <w:tcW w:w="8222" w:type="dxa"/>
          </w:tcPr>
          <w:p w14:paraId="1FB3FE5F" w14:textId="77777777" w:rsidR="00D96A90" w:rsidRPr="00B54567" w:rsidRDefault="00D96A90" w:rsidP="00EF5AF2">
            <w:pPr>
              <w:tabs>
                <w:tab w:val="left" w:pos="875"/>
              </w:tabs>
              <w:ind w:right="157"/>
              <w:rPr>
                <w:sz w:val="18"/>
                <w:szCs w:val="18"/>
              </w:rPr>
            </w:pPr>
            <w:r w:rsidRPr="00B54567">
              <w:rPr>
                <w:lang w:val="es-ES_tradnl"/>
              </w:rPr>
              <w:t>Reservas presupuestales constituidas a 31 de diciembre de 2024</w:t>
            </w:r>
          </w:p>
        </w:tc>
        <w:tc>
          <w:tcPr>
            <w:tcW w:w="1843" w:type="dxa"/>
          </w:tcPr>
          <w:p w14:paraId="573256E1" w14:textId="77777777" w:rsidR="00D96A90" w:rsidRPr="00B54567" w:rsidRDefault="00D96A90" w:rsidP="00EF5AF2">
            <w:pPr>
              <w:tabs>
                <w:tab w:val="left" w:pos="875"/>
              </w:tabs>
              <w:jc w:val="right"/>
              <w:rPr>
                <w:sz w:val="18"/>
                <w:szCs w:val="18"/>
              </w:rPr>
            </w:pPr>
            <w:r>
              <w:rPr>
                <w:sz w:val="18"/>
                <w:szCs w:val="18"/>
              </w:rPr>
              <w:t>437.810.879,73</w:t>
            </w:r>
          </w:p>
        </w:tc>
      </w:tr>
      <w:tr w:rsidR="00D96A90" w:rsidRPr="00B54567" w14:paraId="57FC803D" w14:textId="77777777" w:rsidTr="00EF5AF2">
        <w:tc>
          <w:tcPr>
            <w:tcW w:w="8222" w:type="dxa"/>
          </w:tcPr>
          <w:p w14:paraId="319F4F85" w14:textId="77777777" w:rsidR="00D96A90" w:rsidRPr="00B54567" w:rsidRDefault="00D96A90" w:rsidP="00EF5AF2">
            <w:pPr>
              <w:tabs>
                <w:tab w:val="left" w:pos="875"/>
              </w:tabs>
              <w:ind w:right="157"/>
              <w:rPr>
                <w:sz w:val="18"/>
                <w:szCs w:val="18"/>
              </w:rPr>
            </w:pPr>
            <w:r w:rsidRPr="00B54567">
              <w:rPr>
                <w:lang w:val="es-ES_tradnl"/>
              </w:rPr>
              <w:t>Cuentas por pagar constituidas a 31 de diciembre de 2024</w:t>
            </w:r>
          </w:p>
        </w:tc>
        <w:tc>
          <w:tcPr>
            <w:tcW w:w="1843" w:type="dxa"/>
          </w:tcPr>
          <w:p w14:paraId="47BA7A8E" w14:textId="77777777" w:rsidR="00D96A90" w:rsidRPr="00B54567" w:rsidRDefault="00D96A90" w:rsidP="00EF5AF2">
            <w:pPr>
              <w:tabs>
                <w:tab w:val="left" w:pos="875"/>
              </w:tabs>
              <w:jc w:val="right"/>
              <w:rPr>
                <w:sz w:val="18"/>
                <w:szCs w:val="18"/>
              </w:rPr>
            </w:pPr>
            <w:r>
              <w:rPr>
                <w:sz w:val="18"/>
                <w:szCs w:val="18"/>
              </w:rPr>
              <w:t>11.208.157,94</w:t>
            </w:r>
          </w:p>
        </w:tc>
      </w:tr>
      <w:tr w:rsidR="00D96A90" w:rsidRPr="00B54567" w14:paraId="3B193767" w14:textId="77777777" w:rsidTr="00EF5AF2">
        <w:tc>
          <w:tcPr>
            <w:tcW w:w="8222" w:type="dxa"/>
          </w:tcPr>
          <w:p w14:paraId="0CD07829" w14:textId="77777777" w:rsidR="00D96A90" w:rsidRPr="00B54567" w:rsidRDefault="00D96A90" w:rsidP="00EF5AF2">
            <w:pPr>
              <w:tabs>
                <w:tab w:val="left" w:pos="875"/>
              </w:tabs>
              <w:ind w:right="157"/>
              <w:rPr>
                <w:sz w:val="18"/>
                <w:szCs w:val="18"/>
              </w:rPr>
            </w:pPr>
            <w:r w:rsidRPr="00B54567">
              <w:rPr>
                <w:b/>
                <w:lang w:val="es-ES_tradnl"/>
              </w:rPr>
              <w:t>TOTAL REZAGO PRESUPUESTAL CONSTITUIDO A 31 DE DICIEMBRE DE 2024</w:t>
            </w:r>
          </w:p>
        </w:tc>
        <w:tc>
          <w:tcPr>
            <w:tcW w:w="1843" w:type="dxa"/>
          </w:tcPr>
          <w:p w14:paraId="349E61C3" w14:textId="77777777" w:rsidR="00D96A90" w:rsidRPr="00B54567" w:rsidRDefault="00D96A90" w:rsidP="00EF5AF2">
            <w:pPr>
              <w:tabs>
                <w:tab w:val="left" w:pos="875"/>
              </w:tabs>
              <w:jc w:val="right"/>
              <w:rPr>
                <w:b/>
                <w:sz w:val="18"/>
                <w:szCs w:val="18"/>
                <w:u w:val="single"/>
              </w:rPr>
            </w:pPr>
            <w:r>
              <w:rPr>
                <w:b/>
                <w:sz w:val="18"/>
                <w:szCs w:val="18"/>
                <w:u w:val="single"/>
              </w:rPr>
              <w:t>449.019.037,67</w:t>
            </w:r>
          </w:p>
        </w:tc>
      </w:tr>
    </w:tbl>
    <w:p w14:paraId="516F41C9" w14:textId="77777777" w:rsidR="00D96A90" w:rsidRDefault="00D96A90" w:rsidP="00D96A90">
      <w:pPr>
        <w:pStyle w:val="Textoindependiente"/>
        <w:spacing w:before="3"/>
        <w:jc w:val="both"/>
        <w:rPr>
          <w:bCs/>
        </w:rPr>
      </w:pPr>
    </w:p>
    <w:p w14:paraId="343B8DEB" w14:textId="77777777" w:rsidR="00D96A90" w:rsidRPr="00065E88" w:rsidRDefault="00D96A90" w:rsidP="00886603">
      <w:pPr>
        <w:pStyle w:val="Textoindependiente"/>
        <w:spacing w:before="3"/>
        <w:ind w:left="-284" w:right="-234"/>
        <w:jc w:val="both"/>
        <w:rPr>
          <w:rFonts w:ascii="Arial" w:hAnsi="Arial" w:cs="Arial"/>
          <w:bCs/>
          <w:sz w:val="24"/>
          <w:szCs w:val="24"/>
        </w:rPr>
      </w:pPr>
      <w:r w:rsidRPr="00065E88">
        <w:rPr>
          <w:rFonts w:ascii="Arial" w:hAnsi="Arial" w:cs="Arial"/>
          <w:bCs/>
          <w:sz w:val="24"/>
          <w:szCs w:val="24"/>
        </w:rPr>
        <w:t>Es importante aclarar que la cifra relacionada anteriormente incluye las reservas por indisponibilidad de PAC y las cuentas por pagar al cierre de la vigencia fiscal.</w:t>
      </w:r>
    </w:p>
    <w:p w14:paraId="6BC0384D" w14:textId="77777777" w:rsidR="00D96A90" w:rsidRPr="00065E88" w:rsidRDefault="00D96A90" w:rsidP="00886603">
      <w:pPr>
        <w:pStyle w:val="Textoindependiente"/>
        <w:spacing w:before="3"/>
        <w:ind w:left="-284" w:right="-234"/>
        <w:jc w:val="both"/>
        <w:rPr>
          <w:rFonts w:ascii="Arial" w:hAnsi="Arial" w:cs="Arial"/>
          <w:bCs/>
          <w:sz w:val="24"/>
          <w:szCs w:val="24"/>
        </w:rPr>
      </w:pPr>
    </w:p>
    <w:p w14:paraId="483CCA33" w14:textId="77777777" w:rsidR="00D96A90" w:rsidRPr="00065E88" w:rsidRDefault="00D96A90" w:rsidP="00886603">
      <w:pPr>
        <w:pStyle w:val="Textoindependiente"/>
        <w:spacing w:before="3"/>
        <w:ind w:left="-284" w:right="-234"/>
        <w:jc w:val="both"/>
        <w:rPr>
          <w:rFonts w:ascii="Arial" w:hAnsi="Arial" w:cs="Arial"/>
          <w:bCs/>
          <w:sz w:val="24"/>
          <w:szCs w:val="24"/>
        </w:rPr>
      </w:pPr>
      <w:r w:rsidRPr="00065E88">
        <w:rPr>
          <w:rFonts w:ascii="Arial" w:hAnsi="Arial" w:cs="Arial"/>
          <w:bCs/>
          <w:sz w:val="24"/>
          <w:szCs w:val="24"/>
        </w:rPr>
        <w:t>Finalmente, acorde con lo dispuesto en la Circular Externa 001 del 7 de enero de 2025 del Ministerio de Hacienda y Crédito Público sobre rezago presupuestal 2023, la cual señaló que con base a lo señalado por el CONFIS, en su sesión del 18 de diciembre de 2024, la Dirección de Crédito Público y Tesoro Nacional comunica lo señalado:</w:t>
      </w:r>
    </w:p>
    <w:p w14:paraId="5F25D37A" w14:textId="77777777" w:rsidR="00D96A90" w:rsidRPr="00065E88" w:rsidRDefault="00D96A90" w:rsidP="00D96A90">
      <w:pPr>
        <w:pStyle w:val="Textoindependiente"/>
        <w:spacing w:before="3"/>
        <w:jc w:val="both"/>
        <w:rPr>
          <w:rFonts w:ascii="Arial" w:hAnsi="Arial" w:cs="Arial"/>
          <w:bCs/>
          <w:sz w:val="24"/>
          <w:szCs w:val="24"/>
        </w:rPr>
      </w:pPr>
    </w:p>
    <w:p w14:paraId="492EDE10" w14:textId="77777777" w:rsidR="00D96A90" w:rsidRPr="00065E88" w:rsidRDefault="00D96A90" w:rsidP="00886603">
      <w:pPr>
        <w:pStyle w:val="Textoindependiente"/>
        <w:spacing w:before="3"/>
        <w:ind w:left="708" w:right="-234"/>
        <w:jc w:val="both"/>
        <w:rPr>
          <w:rFonts w:ascii="Arial" w:hAnsi="Arial" w:cs="Arial"/>
          <w:bCs/>
          <w:sz w:val="24"/>
          <w:szCs w:val="24"/>
        </w:rPr>
      </w:pPr>
      <w:r w:rsidRPr="00065E88">
        <w:rPr>
          <w:rFonts w:ascii="Arial" w:hAnsi="Arial" w:cs="Arial"/>
          <w:bCs/>
          <w:sz w:val="24"/>
          <w:szCs w:val="24"/>
        </w:rPr>
        <w:t>“(…) Informar a las entidades que conforman el Presupuesto General de la Nación, para que si, al final de la ejecución de la vigencia fiscal 2024, existiesen obligaciones del rezago presupuestal pendientes de pago, deberán recurrir a los mecanismos contemplados en la norma presupuestal vigente”.</w:t>
      </w:r>
    </w:p>
    <w:p w14:paraId="2609F77D" w14:textId="77777777" w:rsidR="00D96A90" w:rsidRPr="00065E88" w:rsidRDefault="00D96A90" w:rsidP="00D96A90">
      <w:pPr>
        <w:pStyle w:val="Textoindependiente"/>
        <w:spacing w:before="3"/>
        <w:jc w:val="both"/>
        <w:rPr>
          <w:rFonts w:ascii="Arial" w:hAnsi="Arial" w:cs="Arial"/>
          <w:bCs/>
          <w:sz w:val="24"/>
          <w:szCs w:val="24"/>
        </w:rPr>
      </w:pPr>
    </w:p>
    <w:p w14:paraId="67682A8F" w14:textId="77777777" w:rsidR="00D96A90" w:rsidRPr="00065E88" w:rsidRDefault="00D96A90" w:rsidP="00886603">
      <w:pPr>
        <w:pStyle w:val="Textoindependiente"/>
        <w:spacing w:before="3"/>
        <w:ind w:left="-284" w:right="-234"/>
        <w:jc w:val="both"/>
        <w:rPr>
          <w:rFonts w:ascii="Arial" w:hAnsi="Arial" w:cs="Arial"/>
          <w:bCs/>
          <w:sz w:val="24"/>
          <w:szCs w:val="24"/>
        </w:rPr>
      </w:pPr>
      <w:r w:rsidRPr="00065E88">
        <w:rPr>
          <w:rFonts w:ascii="Arial" w:hAnsi="Arial" w:cs="Arial"/>
          <w:bCs/>
          <w:sz w:val="24"/>
          <w:szCs w:val="24"/>
        </w:rPr>
        <w:t>En este sentido, la constitución de reservas presupuestales se realizó conforme a los principios de anualidad, planeación y responsabilidad fiscal, garantizando la correcta asignación y ejecución de los recursos, en armonía con las directrices del Marco Fiscal de Mediano Plazo (MFMP) y las políticas de sostenibilidad del gasto establecidas por el Ministerio de Hacienda y Crédito Público.</w:t>
      </w:r>
    </w:p>
    <w:p w14:paraId="223599FA" w14:textId="77777777" w:rsidR="00D96A90" w:rsidRDefault="00D96A90" w:rsidP="00886603">
      <w:pPr>
        <w:ind w:left="-284" w:right="-234"/>
        <w:rPr>
          <w:rFonts w:ascii="Arial" w:hAnsi="Arial" w:cs="Arial"/>
          <w:sz w:val="24"/>
          <w:szCs w:val="24"/>
        </w:rPr>
      </w:pPr>
    </w:p>
    <w:p w14:paraId="7D60C01E" w14:textId="77777777" w:rsidR="00D96A90" w:rsidRPr="00315227" w:rsidRDefault="00D96A90" w:rsidP="00886603">
      <w:pPr>
        <w:ind w:left="-284" w:right="-234"/>
        <w:jc w:val="both"/>
        <w:rPr>
          <w:rFonts w:ascii="Arial" w:hAnsi="Arial" w:cs="Arial"/>
          <w:b/>
          <w:sz w:val="28"/>
          <w:szCs w:val="28"/>
          <w:lang w:val="es-MX"/>
        </w:rPr>
      </w:pPr>
      <w:r w:rsidRPr="00315227">
        <w:rPr>
          <w:rFonts w:ascii="Arial" w:hAnsi="Arial" w:cs="Arial"/>
          <w:b/>
          <w:sz w:val="28"/>
          <w:szCs w:val="28"/>
          <w:lang w:val="es-MX"/>
        </w:rPr>
        <w:t>224.- MINISTERIO DE MINAS Y ENERGÍA.</w:t>
      </w:r>
    </w:p>
    <w:p w14:paraId="03B736DD" w14:textId="77777777" w:rsidR="00D96A90" w:rsidRDefault="00D96A90" w:rsidP="00886603">
      <w:pPr>
        <w:ind w:left="-284" w:right="-234"/>
        <w:rPr>
          <w:rFonts w:ascii="Arial" w:hAnsi="Arial" w:cs="Arial"/>
          <w:sz w:val="24"/>
          <w:szCs w:val="24"/>
          <w:lang w:val="es-MX"/>
        </w:rPr>
      </w:pPr>
    </w:p>
    <w:p w14:paraId="26C0686B" w14:textId="77777777" w:rsidR="00D96A90" w:rsidRPr="00B60BEB" w:rsidRDefault="00D96A90" w:rsidP="00886603">
      <w:pPr>
        <w:pStyle w:val="Textoindependiente"/>
        <w:spacing w:before="3"/>
        <w:ind w:left="-284" w:right="-234"/>
        <w:jc w:val="both"/>
        <w:rPr>
          <w:rFonts w:ascii="Arial" w:hAnsi="Arial" w:cs="Arial"/>
          <w:bCs/>
          <w:sz w:val="24"/>
          <w:szCs w:val="24"/>
        </w:rPr>
      </w:pPr>
      <w:r w:rsidRPr="00B60BEB">
        <w:rPr>
          <w:rFonts w:ascii="Arial" w:hAnsi="Arial" w:cs="Arial"/>
          <w:b/>
          <w:sz w:val="24"/>
          <w:szCs w:val="24"/>
        </w:rPr>
        <w:t xml:space="preserve">La entidad informa: NO. </w:t>
      </w:r>
      <w:r w:rsidRPr="00B60BEB">
        <w:rPr>
          <w:rFonts w:ascii="Arial" w:hAnsi="Arial" w:cs="Arial"/>
          <w:bCs/>
          <w:sz w:val="24"/>
          <w:szCs w:val="24"/>
        </w:rPr>
        <w:t>Al Ministerio de Minas y Energía – Gestión General, al cierre de la vigencia 2024 le fue imposible cumplir al constituir las Reservas Presupuestales 2024, con los porcentajes del 2% en gastos de funcionamiento y 15% en gastos de inversión, por cuanto la no asignación de recursos requeridos para atender algunos gastos de funcionamiento y el pago de subsidios de menores tarifas sector eléctrico y gas en inversión por parte del Ministerio de Hacienda y Crédito Público, obligó a incluir muchos de estos compromisos en la Reserva Presupuesto.</w:t>
      </w:r>
    </w:p>
    <w:p w14:paraId="3E72AA30" w14:textId="77777777" w:rsidR="00D96A90" w:rsidRPr="00B60BEB" w:rsidRDefault="00D96A90" w:rsidP="00886603">
      <w:pPr>
        <w:pStyle w:val="Textoindependiente"/>
        <w:spacing w:before="3"/>
        <w:ind w:left="-284" w:right="-234"/>
        <w:jc w:val="both"/>
        <w:rPr>
          <w:rFonts w:ascii="Arial" w:hAnsi="Arial" w:cs="Arial"/>
          <w:bCs/>
          <w:sz w:val="24"/>
          <w:szCs w:val="24"/>
        </w:rPr>
      </w:pPr>
    </w:p>
    <w:p w14:paraId="4FF7BAB2" w14:textId="77777777" w:rsidR="00D96A90" w:rsidRPr="00B60BEB" w:rsidRDefault="00D96A90" w:rsidP="00886603">
      <w:pPr>
        <w:pStyle w:val="Textoindependiente"/>
        <w:spacing w:before="3"/>
        <w:ind w:left="-284" w:right="-234"/>
        <w:jc w:val="both"/>
        <w:rPr>
          <w:rFonts w:ascii="Arial" w:hAnsi="Arial" w:cs="Arial"/>
          <w:bCs/>
          <w:sz w:val="24"/>
          <w:szCs w:val="24"/>
        </w:rPr>
      </w:pPr>
      <w:r w:rsidRPr="00B60BEB">
        <w:rPr>
          <w:rFonts w:ascii="Arial" w:hAnsi="Arial" w:cs="Arial"/>
          <w:bCs/>
          <w:sz w:val="24"/>
          <w:szCs w:val="24"/>
        </w:rPr>
        <w:t xml:space="preserve">No obstante, es necesario tener en cuento que el artículo 78 del Decreto Ley 111 de 1996, cita la obligación al Gobierno Nacional, de atender estos porcentajes “… el gobierno reducirá el presupuesto de gastos de funcionamiento cuando las reservas constituidas para ello superen el 2% </w:t>
      </w:r>
      <w:r w:rsidRPr="00B60BEB">
        <w:rPr>
          <w:rFonts w:ascii="Arial" w:hAnsi="Arial" w:cs="Arial"/>
          <w:bCs/>
          <w:sz w:val="24"/>
          <w:szCs w:val="24"/>
        </w:rPr>
        <w:lastRenderedPageBreak/>
        <w:t>del presupuesto del año inmediatamente anterior. Igual operación realizará sobre las apropiaciones de inversión, cuando las reservas para tal fin excedan el 15% del presupuesto de inversión del año anterior”.</w:t>
      </w:r>
    </w:p>
    <w:p w14:paraId="6DC20E89" w14:textId="77777777" w:rsidR="00D96A90" w:rsidRDefault="00D96A90" w:rsidP="00886603">
      <w:pPr>
        <w:ind w:left="-284" w:right="-234"/>
        <w:rPr>
          <w:rFonts w:ascii="Arial" w:hAnsi="Arial" w:cs="Arial"/>
          <w:sz w:val="24"/>
          <w:szCs w:val="24"/>
        </w:rPr>
      </w:pPr>
    </w:p>
    <w:p w14:paraId="48B48FBC" w14:textId="77777777" w:rsidR="00D96A90" w:rsidRPr="008F1D26" w:rsidRDefault="00D96A90" w:rsidP="00886603">
      <w:pPr>
        <w:ind w:left="-284" w:right="-234"/>
        <w:jc w:val="both"/>
        <w:rPr>
          <w:rFonts w:ascii="Arial" w:hAnsi="Arial" w:cs="Arial"/>
          <w:b/>
          <w:sz w:val="28"/>
          <w:szCs w:val="28"/>
          <w:lang w:val="es-MX"/>
        </w:rPr>
      </w:pPr>
      <w:r w:rsidRPr="008F1D26">
        <w:rPr>
          <w:rFonts w:ascii="Arial" w:hAnsi="Arial" w:cs="Arial"/>
          <w:b/>
          <w:sz w:val="28"/>
          <w:szCs w:val="28"/>
          <w:lang w:val="es-MX"/>
        </w:rPr>
        <w:t>227.- DEPARTAMENTO ADMINISTRATIVO DE LA PRESIDENCIA DE LA REPÚBLICA – DAPRE.</w:t>
      </w:r>
    </w:p>
    <w:p w14:paraId="51FB03C6" w14:textId="77777777" w:rsidR="00D96A90" w:rsidRDefault="00D96A90" w:rsidP="00D96A90">
      <w:pPr>
        <w:rPr>
          <w:rFonts w:ascii="Arial" w:hAnsi="Arial" w:cs="Arial"/>
          <w:sz w:val="24"/>
          <w:szCs w:val="24"/>
        </w:rPr>
      </w:pPr>
    </w:p>
    <w:p w14:paraId="25CCB306" w14:textId="77777777" w:rsidR="00D96A90" w:rsidRPr="00FB00F9" w:rsidRDefault="00D96A90" w:rsidP="00886603">
      <w:pPr>
        <w:pStyle w:val="Textoindependiente"/>
        <w:spacing w:before="3"/>
        <w:ind w:left="-284" w:right="-234"/>
        <w:jc w:val="both"/>
        <w:rPr>
          <w:rFonts w:ascii="Arial" w:hAnsi="Arial" w:cs="Arial"/>
          <w:sz w:val="24"/>
          <w:szCs w:val="24"/>
        </w:rPr>
      </w:pPr>
      <w:r w:rsidRPr="00FB00F9">
        <w:rPr>
          <w:rFonts w:ascii="Arial" w:hAnsi="Arial" w:cs="Arial"/>
          <w:b/>
          <w:sz w:val="24"/>
          <w:szCs w:val="24"/>
        </w:rPr>
        <w:t xml:space="preserve">La entidad informa: NO. </w:t>
      </w:r>
      <w:r w:rsidRPr="00FB00F9">
        <w:rPr>
          <w:rFonts w:ascii="Arial" w:hAnsi="Arial" w:cs="Arial"/>
          <w:sz w:val="24"/>
          <w:szCs w:val="24"/>
        </w:rPr>
        <w:t>Para la vigencia fiscal 2024, no se cumplió con lo establecido en el artículo 78 de 1996 en relación con el porcentaje de constitución de reservas, esta situación se dio considerando que dentro del presupuesto asignado a la Presidencia de la República se encuentran los recursos para el Fondo Programas Especiales para la Paz creado mediante Ley 368 de 1997, el Fondo Colombia en Paz creado mediante Decreto Ley 691 del 27 de abril de 2017 y el Patrimonio Autónomo Fondo Mujer Libre y Productiva (Antes Mujer Emprende), creado con el Decreto 810 del 04 de junio de 2020 y transformado mediante el artículo 73 de la Ley 2294 de 2023.</w:t>
      </w:r>
    </w:p>
    <w:p w14:paraId="38FCBCD4" w14:textId="77777777" w:rsidR="00D96A90" w:rsidRDefault="00D96A90" w:rsidP="00886603">
      <w:pPr>
        <w:ind w:left="-284" w:right="-234"/>
        <w:rPr>
          <w:rFonts w:ascii="Arial" w:hAnsi="Arial" w:cs="Arial"/>
          <w:sz w:val="24"/>
          <w:szCs w:val="24"/>
        </w:rPr>
      </w:pPr>
    </w:p>
    <w:p w14:paraId="52E4EE13" w14:textId="77777777" w:rsidR="00D96A90" w:rsidRPr="00344677" w:rsidRDefault="00D96A90" w:rsidP="00886603">
      <w:pPr>
        <w:ind w:left="-284" w:right="-234"/>
        <w:jc w:val="both"/>
        <w:rPr>
          <w:rFonts w:ascii="Arial" w:hAnsi="Arial" w:cs="Arial"/>
          <w:b/>
          <w:sz w:val="28"/>
          <w:szCs w:val="28"/>
          <w:lang w:val="es-MX"/>
        </w:rPr>
      </w:pPr>
      <w:r w:rsidRPr="00344677">
        <w:rPr>
          <w:rFonts w:ascii="Arial" w:hAnsi="Arial" w:cs="Arial"/>
          <w:b/>
          <w:sz w:val="28"/>
          <w:szCs w:val="28"/>
          <w:lang w:val="es-MX"/>
        </w:rPr>
        <w:t xml:space="preserve">229.- </w:t>
      </w:r>
      <w:r w:rsidRPr="00344677">
        <w:rPr>
          <w:rFonts w:ascii="Arial" w:hAnsi="Arial" w:cs="Arial"/>
          <w:b/>
          <w:sz w:val="28"/>
          <w:szCs w:val="28"/>
        </w:rPr>
        <w:t>CAJA DE RETIRO DE LAS FUERZAS MILITARES - CREMIL</w:t>
      </w:r>
      <w:r w:rsidRPr="00344677">
        <w:rPr>
          <w:rFonts w:ascii="Arial" w:hAnsi="Arial" w:cs="Arial"/>
          <w:b/>
          <w:sz w:val="28"/>
          <w:szCs w:val="28"/>
          <w:lang w:val="es-MX"/>
        </w:rPr>
        <w:t>.</w:t>
      </w:r>
    </w:p>
    <w:p w14:paraId="338E3FAC" w14:textId="77777777" w:rsidR="00D96A90" w:rsidRDefault="00D96A90" w:rsidP="00886603">
      <w:pPr>
        <w:ind w:left="-284" w:right="-234"/>
        <w:rPr>
          <w:rFonts w:ascii="Arial" w:hAnsi="Arial" w:cs="Arial"/>
          <w:sz w:val="24"/>
          <w:szCs w:val="24"/>
        </w:rPr>
      </w:pPr>
    </w:p>
    <w:p w14:paraId="732D6B1E" w14:textId="77777777" w:rsidR="00D96A90" w:rsidRPr="00102389" w:rsidRDefault="00D96A90" w:rsidP="00886603">
      <w:pPr>
        <w:pStyle w:val="Textoindependiente"/>
        <w:spacing w:before="3"/>
        <w:ind w:left="-284" w:right="-234"/>
        <w:jc w:val="both"/>
        <w:rPr>
          <w:rFonts w:ascii="Arial" w:hAnsi="Arial" w:cs="Arial"/>
          <w:sz w:val="24"/>
          <w:szCs w:val="24"/>
        </w:rPr>
      </w:pPr>
      <w:r w:rsidRPr="00102389">
        <w:rPr>
          <w:rFonts w:ascii="Arial" w:hAnsi="Arial" w:cs="Arial"/>
          <w:b/>
          <w:sz w:val="24"/>
          <w:szCs w:val="24"/>
        </w:rPr>
        <w:t xml:space="preserve">La entidad informa: </w:t>
      </w:r>
      <w:r w:rsidRPr="00102389">
        <w:rPr>
          <w:rFonts w:ascii="Arial" w:hAnsi="Arial" w:cs="Arial"/>
          <w:sz w:val="24"/>
          <w:szCs w:val="24"/>
        </w:rPr>
        <w:t>No dio cumplimiento para los gastos de inversión, toda vez que, del total de la reserva constituida por dicho gasto, el 63% de la reserva fue constituida por insuficiencia de PAC para continuar el proceso de pago.  El 37% restante fueron constituidas al no recibir los bienes y servicios objeto de cada uno de los contratos no obligados.</w:t>
      </w:r>
    </w:p>
    <w:p w14:paraId="30736299" w14:textId="77777777" w:rsidR="00D96A90" w:rsidRPr="00102389" w:rsidRDefault="00D96A90" w:rsidP="00886603">
      <w:pPr>
        <w:pStyle w:val="Textoindependiente"/>
        <w:ind w:left="-284" w:right="-234"/>
        <w:jc w:val="both"/>
        <w:rPr>
          <w:rFonts w:ascii="Arial" w:hAnsi="Arial" w:cs="Arial"/>
          <w:sz w:val="24"/>
          <w:szCs w:val="24"/>
        </w:rPr>
      </w:pPr>
    </w:p>
    <w:p w14:paraId="559A556E" w14:textId="77777777" w:rsidR="00D96A90" w:rsidRPr="003C28E7" w:rsidRDefault="00D96A90" w:rsidP="00886603">
      <w:pPr>
        <w:ind w:left="-284" w:right="-234"/>
        <w:jc w:val="both"/>
        <w:rPr>
          <w:rFonts w:ascii="Arial" w:hAnsi="Arial" w:cs="Arial"/>
          <w:b/>
          <w:sz w:val="28"/>
          <w:szCs w:val="28"/>
          <w:lang w:val="es-MX"/>
        </w:rPr>
      </w:pPr>
      <w:r w:rsidRPr="003C28E7">
        <w:rPr>
          <w:rFonts w:ascii="Arial" w:hAnsi="Arial" w:cs="Arial"/>
          <w:b/>
          <w:sz w:val="28"/>
          <w:szCs w:val="28"/>
          <w:lang w:val="es-MX"/>
        </w:rPr>
        <w:t xml:space="preserve">256.- U.A.E. DE GESTIÓN PENSIONAL Y CONTRIBUCIONES PARAFISCALES DE LA PROTECCIÓN SOCIAL – UGPP. </w:t>
      </w:r>
    </w:p>
    <w:p w14:paraId="114E2D85" w14:textId="77777777" w:rsidR="00A03CB3" w:rsidRDefault="00A03CB3" w:rsidP="00886603">
      <w:pPr>
        <w:pStyle w:val="Textoindependiente"/>
        <w:spacing w:before="3"/>
        <w:ind w:left="-284" w:right="-234"/>
        <w:jc w:val="both"/>
        <w:rPr>
          <w:rFonts w:ascii="Arial" w:hAnsi="Arial" w:cs="Arial"/>
          <w:b/>
          <w:sz w:val="24"/>
          <w:szCs w:val="24"/>
        </w:rPr>
      </w:pPr>
    </w:p>
    <w:p w14:paraId="6589982A" w14:textId="4B943F53" w:rsidR="00D96A90" w:rsidRPr="003C28E7" w:rsidRDefault="00D96A90" w:rsidP="00886603">
      <w:pPr>
        <w:pStyle w:val="Textoindependiente"/>
        <w:spacing w:before="3"/>
        <w:ind w:left="-284" w:right="-234"/>
        <w:jc w:val="both"/>
        <w:rPr>
          <w:rFonts w:ascii="Arial" w:hAnsi="Arial" w:cs="Arial"/>
          <w:bCs/>
          <w:sz w:val="24"/>
          <w:szCs w:val="24"/>
        </w:rPr>
      </w:pPr>
      <w:r w:rsidRPr="003C28E7">
        <w:rPr>
          <w:rFonts w:ascii="Arial" w:hAnsi="Arial" w:cs="Arial"/>
          <w:b/>
          <w:sz w:val="24"/>
          <w:szCs w:val="24"/>
        </w:rPr>
        <w:t>La entidad informa: No Cumplió.</w:t>
      </w:r>
    </w:p>
    <w:p w14:paraId="6A9F6244" w14:textId="77777777" w:rsidR="00D96A90" w:rsidRPr="003C28E7" w:rsidRDefault="00D96A90" w:rsidP="00886603">
      <w:pPr>
        <w:pStyle w:val="Textoindependiente"/>
        <w:spacing w:before="3"/>
        <w:ind w:left="-284" w:right="-234"/>
        <w:jc w:val="both"/>
        <w:rPr>
          <w:rFonts w:ascii="Arial" w:hAnsi="Arial" w:cs="Arial"/>
          <w:b/>
          <w:sz w:val="24"/>
          <w:szCs w:val="24"/>
        </w:rPr>
      </w:pPr>
    </w:p>
    <w:p w14:paraId="7F89B0D4" w14:textId="77777777" w:rsidR="00D96A90" w:rsidRDefault="00D96A90" w:rsidP="00886603">
      <w:pPr>
        <w:pStyle w:val="Textoindependiente"/>
        <w:spacing w:before="3"/>
        <w:ind w:left="-284" w:right="-234"/>
        <w:jc w:val="both"/>
        <w:rPr>
          <w:rFonts w:ascii="Arial" w:hAnsi="Arial" w:cs="Arial"/>
          <w:bCs/>
          <w:sz w:val="24"/>
          <w:szCs w:val="24"/>
        </w:rPr>
      </w:pPr>
      <w:r w:rsidRPr="003C28E7">
        <w:rPr>
          <w:rFonts w:ascii="Arial" w:hAnsi="Arial" w:cs="Arial"/>
          <w:bCs/>
          <w:sz w:val="24"/>
          <w:szCs w:val="24"/>
        </w:rPr>
        <w:t>En el presupuesto de funcionamiento no se cumplió, el 2% equivale a $4.914 millones de pesos y las reservas constituidas ascendieron a la suma de $10.528 millones de pesos, estando por encima del tope máximo permitido en un 2.28% ($8.692 millones corresponde a reserva inducida y $1.836 millones a reserva presupuestal) no obstante, del 4.28% constituido como reserva, el 3.53% corresponde a reserva inducida por no disponibilidad de PAC para registrar la obligación (Bien o servicio recibido al 31de diciembre de 2024) y el 0.75% corresponde a reserva presupuestal.</w:t>
      </w:r>
    </w:p>
    <w:p w14:paraId="6051A4F5" w14:textId="77777777" w:rsidR="00D96A90" w:rsidRDefault="00D96A90" w:rsidP="00886603">
      <w:pPr>
        <w:pStyle w:val="Textoindependiente"/>
        <w:spacing w:before="3"/>
        <w:ind w:left="-284" w:right="-234"/>
        <w:jc w:val="both"/>
        <w:rPr>
          <w:rFonts w:ascii="Arial" w:hAnsi="Arial" w:cs="Arial"/>
          <w:bCs/>
          <w:sz w:val="24"/>
          <w:szCs w:val="24"/>
        </w:rPr>
      </w:pPr>
    </w:p>
    <w:p w14:paraId="3732333B" w14:textId="7FD574F1" w:rsidR="00D96A90" w:rsidRDefault="00D96A90" w:rsidP="00886603">
      <w:pPr>
        <w:ind w:left="-284" w:right="-234"/>
        <w:jc w:val="both"/>
        <w:rPr>
          <w:rFonts w:ascii="Arial" w:hAnsi="Arial" w:cs="Arial"/>
          <w:b/>
          <w:sz w:val="28"/>
          <w:szCs w:val="28"/>
          <w:lang w:val="es-MX"/>
        </w:rPr>
      </w:pPr>
      <w:r w:rsidRPr="00D23165">
        <w:rPr>
          <w:rFonts w:ascii="Arial" w:hAnsi="Arial" w:cs="Arial"/>
          <w:b/>
          <w:sz w:val="28"/>
          <w:szCs w:val="28"/>
          <w:lang w:val="es-MX"/>
        </w:rPr>
        <w:t>258.- COMPUTADORES PARA EDUCAR – CPE.</w:t>
      </w:r>
    </w:p>
    <w:p w14:paraId="3AF43B89" w14:textId="77777777" w:rsidR="005F0936" w:rsidRPr="00D23165" w:rsidRDefault="005F0936" w:rsidP="00886603">
      <w:pPr>
        <w:ind w:left="-284" w:right="-234"/>
        <w:jc w:val="both"/>
        <w:rPr>
          <w:rFonts w:ascii="Arial" w:hAnsi="Arial" w:cs="Arial"/>
          <w:b/>
          <w:sz w:val="28"/>
          <w:szCs w:val="28"/>
          <w:lang w:val="es-MX"/>
        </w:rPr>
      </w:pPr>
    </w:p>
    <w:p w14:paraId="1B5E5D7A" w14:textId="77777777" w:rsidR="00D96A90" w:rsidRPr="006E424A" w:rsidRDefault="00D96A90" w:rsidP="00886603">
      <w:pPr>
        <w:pStyle w:val="Textoindependiente"/>
        <w:spacing w:before="3"/>
        <w:ind w:left="-284" w:right="-234"/>
        <w:jc w:val="both"/>
        <w:rPr>
          <w:rFonts w:ascii="Arial" w:hAnsi="Arial" w:cs="Arial"/>
          <w:bCs/>
          <w:sz w:val="24"/>
          <w:szCs w:val="24"/>
        </w:rPr>
      </w:pPr>
      <w:r w:rsidRPr="006E424A">
        <w:rPr>
          <w:rFonts w:ascii="Arial" w:hAnsi="Arial" w:cs="Arial"/>
          <w:b/>
          <w:sz w:val="24"/>
          <w:szCs w:val="24"/>
        </w:rPr>
        <w:t xml:space="preserve">La entidad informa: </w:t>
      </w:r>
      <w:r w:rsidRPr="006E424A">
        <w:rPr>
          <w:rFonts w:ascii="Arial" w:hAnsi="Arial" w:cs="Arial"/>
          <w:bCs/>
          <w:sz w:val="24"/>
          <w:szCs w:val="24"/>
        </w:rPr>
        <w:t>No se dio cumplimiento, a lo establecido en el artículo 78 del Decreto Ley 111 de 1996 sobre el límite para constituir reservas para gastos de inversión del 15%. A continuación, se relaciona el detalle de las reservas presupuestales constituidas al 31 de diciembre de 2024, igualmente se anexan los documentos con la justificación para cada una de ellas.</w:t>
      </w:r>
    </w:p>
    <w:p w14:paraId="0E34DAC1" w14:textId="77777777" w:rsidR="00D96A90" w:rsidRDefault="00D96A90" w:rsidP="00D96A90">
      <w:pPr>
        <w:pStyle w:val="Textoindependiente"/>
        <w:spacing w:before="3"/>
        <w:jc w:val="both"/>
        <w:rPr>
          <w:bCs/>
        </w:rPr>
      </w:pPr>
    </w:p>
    <w:tbl>
      <w:tblPr>
        <w:tblW w:w="4980" w:type="pct"/>
        <w:jc w:val="center"/>
        <w:tblLayout w:type="fixed"/>
        <w:tblCellMar>
          <w:left w:w="70" w:type="dxa"/>
          <w:right w:w="70" w:type="dxa"/>
        </w:tblCellMar>
        <w:tblLook w:val="04A0" w:firstRow="1" w:lastRow="0" w:firstColumn="1" w:lastColumn="0" w:noHBand="0" w:noVBand="1"/>
      </w:tblPr>
      <w:tblGrid>
        <w:gridCol w:w="1719"/>
        <w:gridCol w:w="1717"/>
        <w:gridCol w:w="1146"/>
        <w:gridCol w:w="1576"/>
        <w:gridCol w:w="857"/>
        <w:gridCol w:w="1574"/>
        <w:gridCol w:w="1426"/>
      </w:tblGrid>
      <w:tr w:rsidR="00D96A90" w:rsidRPr="00DF03ED" w14:paraId="6B2682DA" w14:textId="77777777" w:rsidTr="00EF5AF2">
        <w:trPr>
          <w:trHeight w:val="790"/>
          <w:jc w:val="center"/>
        </w:trPr>
        <w:tc>
          <w:tcPr>
            <w:tcW w:w="8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CB8D1E4"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Dependencia Interna</w:t>
            </w:r>
          </w:p>
        </w:tc>
        <w:tc>
          <w:tcPr>
            <w:tcW w:w="857" w:type="pct"/>
            <w:tcBorders>
              <w:top w:val="single" w:sz="4" w:space="0" w:color="auto"/>
              <w:left w:val="nil"/>
              <w:bottom w:val="single" w:sz="4" w:space="0" w:color="auto"/>
              <w:right w:val="single" w:sz="4" w:space="0" w:color="auto"/>
            </w:tcBorders>
            <w:shd w:val="clear" w:color="auto" w:fill="F2F2F2"/>
            <w:vAlign w:val="center"/>
            <w:hideMark/>
          </w:tcPr>
          <w:p w14:paraId="7958DF02"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Rubro</w:t>
            </w:r>
          </w:p>
        </w:tc>
        <w:tc>
          <w:tcPr>
            <w:tcW w:w="572" w:type="pct"/>
            <w:tcBorders>
              <w:top w:val="single" w:sz="4" w:space="0" w:color="auto"/>
              <w:left w:val="nil"/>
              <w:bottom w:val="single" w:sz="4" w:space="0" w:color="auto"/>
              <w:right w:val="single" w:sz="4" w:space="0" w:color="auto"/>
            </w:tcBorders>
            <w:shd w:val="clear" w:color="auto" w:fill="F2F2F2"/>
            <w:vAlign w:val="center"/>
            <w:hideMark/>
          </w:tcPr>
          <w:p w14:paraId="61703EFE"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No. Reserva</w:t>
            </w:r>
          </w:p>
        </w:tc>
        <w:tc>
          <w:tcPr>
            <w:tcW w:w="787" w:type="pct"/>
            <w:tcBorders>
              <w:top w:val="single" w:sz="4" w:space="0" w:color="auto"/>
              <w:left w:val="nil"/>
              <w:bottom w:val="single" w:sz="4" w:space="0" w:color="auto"/>
              <w:right w:val="single" w:sz="4" w:space="0" w:color="auto"/>
            </w:tcBorders>
            <w:shd w:val="clear" w:color="auto" w:fill="F2F2F2"/>
            <w:vAlign w:val="center"/>
            <w:hideMark/>
          </w:tcPr>
          <w:p w14:paraId="2A2D8C70"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Tipo Documento Soporte</w:t>
            </w:r>
          </w:p>
        </w:tc>
        <w:tc>
          <w:tcPr>
            <w:tcW w:w="428" w:type="pct"/>
            <w:tcBorders>
              <w:top w:val="single" w:sz="4" w:space="0" w:color="auto"/>
              <w:left w:val="nil"/>
              <w:bottom w:val="single" w:sz="4" w:space="0" w:color="auto"/>
              <w:right w:val="single" w:sz="4" w:space="0" w:color="auto"/>
            </w:tcBorders>
            <w:shd w:val="clear" w:color="auto" w:fill="F2F2F2"/>
            <w:vAlign w:val="center"/>
            <w:hideMark/>
          </w:tcPr>
          <w:p w14:paraId="30716953"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No. Doc Soporte</w:t>
            </w:r>
          </w:p>
        </w:tc>
        <w:tc>
          <w:tcPr>
            <w:tcW w:w="786" w:type="pct"/>
            <w:tcBorders>
              <w:top w:val="single" w:sz="4" w:space="0" w:color="auto"/>
              <w:left w:val="nil"/>
              <w:bottom w:val="single" w:sz="4" w:space="0" w:color="auto"/>
              <w:right w:val="single" w:sz="4" w:space="0" w:color="auto"/>
            </w:tcBorders>
            <w:shd w:val="clear" w:color="auto" w:fill="F2F2F2"/>
            <w:vAlign w:val="center"/>
            <w:hideMark/>
          </w:tcPr>
          <w:p w14:paraId="09E25751"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Nombre Razón Social</w:t>
            </w:r>
          </w:p>
        </w:tc>
        <w:tc>
          <w:tcPr>
            <w:tcW w:w="713" w:type="pct"/>
            <w:tcBorders>
              <w:top w:val="single" w:sz="4" w:space="0" w:color="auto"/>
              <w:left w:val="nil"/>
              <w:bottom w:val="single" w:sz="4" w:space="0" w:color="auto"/>
              <w:right w:val="single" w:sz="4" w:space="0" w:color="auto"/>
            </w:tcBorders>
            <w:shd w:val="clear" w:color="auto" w:fill="F2F2F2"/>
            <w:vAlign w:val="center"/>
            <w:hideMark/>
          </w:tcPr>
          <w:p w14:paraId="4B3C80D0"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Valor Reserva Presupuesta 31 Dic</w:t>
            </w:r>
          </w:p>
        </w:tc>
      </w:tr>
      <w:tr w:rsidR="00D96A90" w:rsidRPr="00DF03ED" w14:paraId="6F4C0D39"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F76D67D"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Sostenibilidad Ambiental</w:t>
            </w:r>
          </w:p>
        </w:tc>
        <w:tc>
          <w:tcPr>
            <w:tcW w:w="857" w:type="pct"/>
            <w:tcBorders>
              <w:top w:val="nil"/>
              <w:left w:val="nil"/>
              <w:bottom w:val="single" w:sz="4" w:space="0" w:color="auto"/>
              <w:right w:val="single" w:sz="4" w:space="0" w:color="auto"/>
            </w:tcBorders>
            <w:shd w:val="clear" w:color="auto" w:fill="auto"/>
            <w:vAlign w:val="center"/>
            <w:hideMark/>
          </w:tcPr>
          <w:p w14:paraId="4D0F4576"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C-2301-0400-2-20204A-2301064-02</w:t>
            </w:r>
          </w:p>
        </w:tc>
        <w:tc>
          <w:tcPr>
            <w:tcW w:w="572" w:type="pct"/>
            <w:tcBorders>
              <w:top w:val="nil"/>
              <w:left w:val="nil"/>
              <w:bottom w:val="single" w:sz="4" w:space="0" w:color="auto"/>
              <w:right w:val="single" w:sz="4" w:space="0" w:color="auto"/>
            </w:tcBorders>
            <w:shd w:val="clear" w:color="auto" w:fill="auto"/>
            <w:vAlign w:val="center"/>
            <w:hideMark/>
          </w:tcPr>
          <w:p w14:paraId="5DE8A7B7"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22124</w:t>
            </w:r>
          </w:p>
        </w:tc>
        <w:tc>
          <w:tcPr>
            <w:tcW w:w="787" w:type="pct"/>
            <w:tcBorders>
              <w:top w:val="nil"/>
              <w:left w:val="nil"/>
              <w:bottom w:val="single" w:sz="4" w:space="0" w:color="auto"/>
              <w:right w:val="single" w:sz="4" w:space="0" w:color="auto"/>
            </w:tcBorders>
            <w:shd w:val="clear" w:color="auto" w:fill="auto"/>
            <w:vAlign w:val="center"/>
            <w:hideMark/>
          </w:tcPr>
          <w:p w14:paraId="41770E3E"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0F6A368B"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78BB3A0D"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41AEF078"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$497.579.347,00</w:t>
            </w:r>
          </w:p>
        </w:tc>
      </w:tr>
      <w:tr w:rsidR="00D96A90" w:rsidRPr="00DF03ED" w14:paraId="33806C9C"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3A4378C"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Servicio al Cliente</w:t>
            </w:r>
          </w:p>
        </w:tc>
        <w:tc>
          <w:tcPr>
            <w:tcW w:w="857" w:type="pct"/>
            <w:tcBorders>
              <w:top w:val="nil"/>
              <w:left w:val="nil"/>
              <w:bottom w:val="single" w:sz="4" w:space="0" w:color="auto"/>
              <w:right w:val="single" w:sz="4" w:space="0" w:color="auto"/>
            </w:tcBorders>
            <w:shd w:val="clear" w:color="auto" w:fill="auto"/>
            <w:vAlign w:val="center"/>
            <w:hideMark/>
          </w:tcPr>
          <w:p w14:paraId="5DF3C8CE"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6C6B6398"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22224</w:t>
            </w:r>
          </w:p>
        </w:tc>
        <w:tc>
          <w:tcPr>
            <w:tcW w:w="787" w:type="pct"/>
            <w:tcBorders>
              <w:top w:val="nil"/>
              <w:left w:val="nil"/>
              <w:bottom w:val="single" w:sz="4" w:space="0" w:color="auto"/>
              <w:right w:val="single" w:sz="4" w:space="0" w:color="auto"/>
            </w:tcBorders>
            <w:shd w:val="clear" w:color="auto" w:fill="auto"/>
            <w:vAlign w:val="center"/>
            <w:hideMark/>
          </w:tcPr>
          <w:p w14:paraId="6ED8B979"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0B504F85"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23075ED6"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6CCDF016"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$268.221.027,47</w:t>
            </w:r>
          </w:p>
        </w:tc>
      </w:tr>
      <w:tr w:rsidR="00D96A90" w:rsidRPr="00DF03ED" w14:paraId="759A06D7"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0D376CF"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lastRenderedPageBreak/>
              <w:t>Servicio al Cliente</w:t>
            </w:r>
          </w:p>
        </w:tc>
        <w:tc>
          <w:tcPr>
            <w:tcW w:w="857" w:type="pct"/>
            <w:tcBorders>
              <w:top w:val="nil"/>
              <w:left w:val="nil"/>
              <w:bottom w:val="single" w:sz="4" w:space="0" w:color="auto"/>
              <w:right w:val="single" w:sz="4" w:space="0" w:color="auto"/>
            </w:tcBorders>
            <w:shd w:val="clear" w:color="auto" w:fill="auto"/>
            <w:vAlign w:val="center"/>
            <w:hideMark/>
          </w:tcPr>
          <w:p w14:paraId="2B81D0BF"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C-2301-0400-3-20204A-2301085-02</w:t>
            </w:r>
          </w:p>
        </w:tc>
        <w:tc>
          <w:tcPr>
            <w:tcW w:w="572" w:type="pct"/>
            <w:tcBorders>
              <w:top w:val="nil"/>
              <w:left w:val="nil"/>
              <w:bottom w:val="single" w:sz="4" w:space="0" w:color="auto"/>
              <w:right w:val="single" w:sz="4" w:space="0" w:color="auto"/>
            </w:tcBorders>
            <w:shd w:val="clear" w:color="auto" w:fill="auto"/>
            <w:vAlign w:val="center"/>
            <w:hideMark/>
          </w:tcPr>
          <w:p w14:paraId="2E31F84B"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22324</w:t>
            </w:r>
          </w:p>
        </w:tc>
        <w:tc>
          <w:tcPr>
            <w:tcW w:w="787" w:type="pct"/>
            <w:tcBorders>
              <w:top w:val="nil"/>
              <w:left w:val="nil"/>
              <w:bottom w:val="single" w:sz="4" w:space="0" w:color="auto"/>
              <w:right w:val="single" w:sz="4" w:space="0" w:color="auto"/>
            </w:tcBorders>
            <w:shd w:val="clear" w:color="auto" w:fill="auto"/>
            <w:vAlign w:val="center"/>
            <w:hideMark/>
          </w:tcPr>
          <w:p w14:paraId="4E0F24F8"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360A2220"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3DCBEBE8"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53260BA8"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$819.819.858,06</w:t>
            </w:r>
          </w:p>
        </w:tc>
      </w:tr>
      <w:tr w:rsidR="00D96A90" w:rsidRPr="00DF03ED" w14:paraId="0DC2C34B"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1056C01"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Logística</w:t>
            </w:r>
          </w:p>
        </w:tc>
        <w:tc>
          <w:tcPr>
            <w:tcW w:w="857" w:type="pct"/>
            <w:tcBorders>
              <w:top w:val="nil"/>
              <w:left w:val="nil"/>
              <w:bottom w:val="single" w:sz="4" w:space="0" w:color="auto"/>
              <w:right w:val="single" w:sz="4" w:space="0" w:color="auto"/>
            </w:tcBorders>
            <w:shd w:val="clear" w:color="auto" w:fill="auto"/>
            <w:vAlign w:val="center"/>
            <w:hideMark/>
          </w:tcPr>
          <w:p w14:paraId="380D2C9E"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6C758376"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22424</w:t>
            </w:r>
          </w:p>
        </w:tc>
        <w:tc>
          <w:tcPr>
            <w:tcW w:w="787" w:type="pct"/>
            <w:tcBorders>
              <w:top w:val="nil"/>
              <w:left w:val="nil"/>
              <w:bottom w:val="single" w:sz="4" w:space="0" w:color="auto"/>
              <w:right w:val="single" w:sz="4" w:space="0" w:color="auto"/>
            </w:tcBorders>
            <w:shd w:val="clear" w:color="auto" w:fill="auto"/>
            <w:vAlign w:val="center"/>
            <w:hideMark/>
          </w:tcPr>
          <w:p w14:paraId="73412C71"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2652DE84"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542F4458"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345DCE5E"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$308.591.100,00</w:t>
            </w:r>
          </w:p>
        </w:tc>
      </w:tr>
      <w:tr w:rsidR="00D96A90" w:rsidRPr="00DF03ED" w14:paraId="777B6FD0"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3CAD13E"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Logística</w:t>
            </w:r>
          </w:p>
        </w:tc>
        <w:tc>
          <w:tcPr>
            <w:tcW w:w="857" w:type="pct"/>
            <w:tcBorders>
              <w:top w:val="nil"/>
              <w:left w:val="nil"/>
              <w:bottom w:val="single" w:sz="4" w:space="0" w:color="auto"/>
              <w:right w:val="single" w:sz="4" w:space="0" w:color="auto"/>
            </w:tcBorders>
            <w:shd w:val="clear" w:color="auto" w:fill="auto"/>
            <w:vAlign w:val="center"/>
            <w:hideMark/>
          </w:tcPr>
          <w:p w14:paraId="16C9E575"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5A747A3E"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22524</w:t>
            </w:r>
          </w:p>
        </w:tc>
        <w:tc>
          <w:tcPr>
            <w:tcW w:w="787" w:type="pct"/>
            <w:tcBorders>
              <w:top w:val="nil"/>
              <w:left w:val="nil"/>
              <w:bottom w:val="single" w:sz="4" w:space="0" w:color="auto"/>
              <w:right w:val="single" w:sz="4" w:space="0" w:color="auto"/>
            </w:tcBorders>
            <w:shd w:val="clear" w:color="auto" w:fill="auto"/>
            <w:vAlign w:val="center"/>
            <w:hideMark/>
          </w:tcPr>
          <w:p w14:paraId="418273F7"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44A7A398"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6E3BE864"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0B4F2CEE"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$50.750.130,00</w:t>
            </w:r>
          </w:p>
        </w:tc>
      </w:tr>
      <w:tr w:rsidR="00D96A90" w:rsidRPr="00DF03ED" w14:paraId="3B1071CA"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57D7818"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Logística</w:t>
            </w:r>
          </w:p>
        </w:tc>
        <w:tc>
          <w:tcPr>
            <w:tcW w:w="857" w:type="pct"/>
            <w:tcBorders>
              <w:top w:val="nil"/>
              <w:left w:val="nil"/>
              <w:bottom w:val="single" w:sz="4" w:space="0" w:color="auto"/>
              <w:right w:val="single" w:sz="4" w:space="0" w:color="auto"/>
            </w:tcBorders>
            <w:shd w:val="clear" w:color="auto" w:fill="auto"/>
            <w:vAlign w:val="center"/>
            <w:hideMark/>
          </w:tcPr>
          <w:p w14:paraId="49752289"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2DBAB83D"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22624</w:t>
            </w:r>
          </w:p>
        </w:tc>
        <w:tc>
          <w:tcPr>
            <w:tcW w:w="787" w:type="pct"/>
            <w:tcBorders>
              <w:top w:val="nil"/>
              <w:left w:val="nil"/>
              <w:bottom w:val="single" w:sz="4" w:space="0" w:color="auto"/>
              <w:right w:val="single" w:sz="4" w:space="0" w:color="auto"/>
            </w:tcBorders>
            <w:shd w:val="clear" w:color="auto" w:fill="auto"/>
            <w:vAlign w:val="center"/>
            <w:hideMark/>
          </w:tcPr>
          <w:p w14:paraId="6F3AC729"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3CF76947"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7A8EAC85"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4E7D6174"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$1.488.615.290,00</w:t>
            </w:r>
          </w:p>
        </w:tc>
      </w:tr>
      <w:tr w:rsidR="00D96A90" w:rsidRPr="00DF03ED" w14:paraId="445CE8A3"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0EA1346"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Logística</w:t>
            </w:r>
          </w:p>
        </w:tc>
        <w:tc>
          <w:tcPr>
            <w:tcW w:w="857" w:type="pct"/>
            <w:tcBorders>
              <w:top w:val="nil"/>
              <w:left w:val="nil"/>
              <w:bottom w:val="single" w:sz="4" w:space="0" w:color="auto"/>
              <w:right w:val="single" w:sz="4" w:space="0" w:color="auto"/>
            </w:tcBorders>
            <w:shd w:val="clear" w:color="auto" w:fill="auto"/>
            <w:vAlign w:val="center"/>
            <w:hideMark/>
          </w:tcPr>
          <w:p w14:paraId="2EF22372"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C-2301-0400-3-20204A-2301085-02</w:t>
            </w:r>
          </w:p>
        </w:tc>
        <w:tc>
          <w:tcPr>
            <w:tcW w:w="572" w:type="pct"/>
            <w:tcBorders>
              <w:top w:val="nil"/>
              <w:left w:val="nil"/>
              <w:bottom w:val="single" w:sz="4" w:space="0" w:color="auto"/>
              <w:right w:val="single" w:sz="4" w:space="0" w:color="auto"/>
            </w:tcBorders>
            <w:shd w:val="clear" w:color="auto" w:fill="auto"/>
            <w:vAlign w:val="center"/>
            <w:hideMark/>
          </w:tcPr>
          <w:p w14:paraId="1A469D0A"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22724</w:t>
            </w:r>
          </w:p>
        </w:tc>
        <w:tc>
          <w:tcPr>
            <w:tcW w:w="787" w:type="pct"/>
            <w:tcBorders>
              <w:top w:val="nil"/>
              <w:left w:val="nil"/>
              <w:bottom w:val="single" w:sz="4" w:space="0" w:color="auto"/>
              <w:right w:val="single" w:sz="4" w:space="0" w:color="auto"/>
            </w:tcBorders>
            <w:shd w:val="clear" w:color="auto" w:fill="auto"/>
            <w:vAlign w:val="center"/>
            <w:hideMark/>
          </w:tcPr>
          <w:p w14:paraId="220358B2"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756E6E81"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01-24</w:t>
            </w:r>
          </w:p>
        </w:tc>
        <w:tc>
          <w:tcPr>
            <w:tcW w:w="786" w:type="pct"/>
            <w:tcBorders>
              <w:top w:val="nil"/>
              <w:left w:val="nil"/>
              <w:bottom w:val="single" w:sz="4" w:space="0" w:color="auto"/>
              <w:right w:val="single" w:sz="4" w:space="0" w:color="auto"/>
            </w:tcBorders>
            <w:shd w:val="clear" w:color="auto" w:fill="auto"/>
            <w:vAlign w:val="center"/>
            <w:hideMark/>
          </w:tcPr>
          <w:p w14:paraId="28923826"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Servicios Postales Nacionales SAS</w:t>
            </w:r>
          </w:p>
        </w:tc>
        <w:tc>
          <w:tcPr>
            <w:tcW w:w="713" w:type="pct"/>
            <w:tcBorders>
              <w:top w:val="nil"/>
              <w:left w:val="nil"/>
              <w:bottom w:val="single" w:sz="4" w:space="0" w:color="auto"/>
              <w:right w:val="single" w:sz="4" w:space="0" w:color="auto"/>
            </w:tcBorders>
            <w:shd w:val="clear" w:color="auto" w:fill="auto"/>
            <w:vAlign w:val="center"/>
            <w:hideMark/>
          </w:tcPr>
          <w:p w14:paraId="0C80CD9E"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$2.425.724.840,00</w:t>
            </w:r>
          </w:p>
        </w:tc>
      </w:tr>
      <w:tr w:rsidR="00D96A90" w:rsidRPr="00DF03ED" w14:paraId="62A1A078" w14:textId="77777777" w:rsidTr="00EF5AF2">
        <w:trPr>
          <w:trHeight w:val="312"/>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B557E92"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59E57A35"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538E34EB"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188924</w:t>
            </w:r>
          </w:p>
        </w:tc>
        <w:tc>
          <w:tcPr>
            <w:tcW w:w="787" w:type="pct"/>
            <w:tcBorders>
              <w:top w:val="nil"/>
              <w:left w:val="nil"/>
              <w:bottom w:val="single" w:sz="4" w:space="0" w:color="auto"/>
              <w:right w:val="single" w:sz="4" w:space="0" w:color="auto"/>
            </w:tcBorders>
            <w:shd w:val="clear" w:color="auto" w:fill="auto"/>
            <w:vAlign w:val="center"/>
            <w:hideMark/>
          </w:tcPr>
          <w:p w14:paraId="11910A45"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Orden de Compra</w:t>
            </w:r>
          </w:p>
        </w:tc>
        <w:tc>
          <w:tcPr>
            <w:tcW w:w="428" w:type="pct"/>
            <w:tcBorders>
              <w:top w:val="nil"/>
              <w:left w:val="nil"/>
              <w:bottom w:val="single" w:sz="4" w:space="0" w:color="auto"/>
              <w:right w:val="single" w:sz="4" w:space="0" w:color="auto"/>
            </w:tcBorders>
            <w:shd w:val="clear" w:color="auto" w:fill="auto"/>
            <w:vAlign w:val="center"/>
            <w:hideMark/>
          </w:tcPr>
          <w:p w14:paraId="0443A5F4"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133307</w:t>
            </w:r>
          </w:p>
        </w:tc>
        <w:tc>
          <w:tcPr>
            <w:tcW w:w="786" w:type="pct"/>
            <w:tcBorders>
              <w:top w:val="nil"/>
              <w:left w:val="nil"/>
              <w:bottom w:val="single" w:sz="4" w:space="0" w:color="auto"/>
              <w:right w:val="single" w:sz="4" w:space="0" w:color="auto"/>
            </w:tcBorders>
            <w:shd w:val="clear" w:color="auto" w:fill="auto"/>
            <w:vAlign w:val="center"/>
            <w:hideMark/>
          </w:tcPr>
          <w:p w14:paraId="32422D8D"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Sistetronics SAS</w:t>
            </w:r>
          </w:p>
        </w:tc>
        <w:tc>
          <w:tcPr>
            <w:tcW w:w="713" w:type="pct"/>
            <w:tcBorders>
              <w:top w:val="nil"/>
              <w:left w:val="nil"/>
              <w:bottom w:val="single" w:sz="4" w:space="0" w:color="auto"/>
              <w:right w:val="single" w:sz="4" w:space="0" w:color="auto"/>
            </w:tcBorders>
            <w:shd w:val="clear" w:color="auto" w:fill="auto"/>
            <w:vAlign w:val="center"/>
            <w:hideMark/>
          </w:tcPr>
          <w:p w14:paraId="2FDA3EA2"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$16.941.726.568,00</w:t>
            </w:r>
          </w:p>
        </w:tc>
      </w:tr>
      <w:tr w:rsidR="00D96A90" w:rsidRPr="00DF03ED" w14:paraId="6790F655" w14:textId="77777777" w:rsidTr="00EF5AF2">
        <w:trPr>
          <w:trHeight w:val="312"/>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D9610B4"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310BC5EC"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2BB4C461"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189024</w:t>
            </w:r>
          </w:p>
        </w:tc>
        <w:tc>
          <w:tcPr>
            <w:tcW w:w="787" w:type="pct"/>
            <w:tcBorders>
              <w:top w:val="nil"/>
              <w:left w:val="nil"/>
              <w:bottom w:val="single" w:sz="4" w:space="0" w:color="auto"/>
              <w:right w:val="single" w:sz="4" w:space="0" w:color="auto"/>
            </w:tcBorders>
            <w:shd w:val="clear" w:color="auto" w:fill="auto"/>
            <w:vAlign w:val="center"/>
            <w:hideMark/>
          </w:tcPr>
          <w:p w14:paraId="50DE8851"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Orden de Compra</w:t>
            </w:r>
          </w:p>
        </w:tc>
        <w:tc>
          <w:tcPr>
            <w:tcW w:w="428" w:type="pct"/>
            <w:tcBorders>
              <w:top w:val="nil"/>
              <w:left w:val="nil"/>
              <w:bottom w:val="single" w:sz="4" w:space="0" w:color="auto"/>
              <w:right w:val="single" w:sz="4" w:space="0" w:color="auto"/>
            </w:tcBorders>
            <w:shd w:val="clear" w:color="auto" w:fill="auto"/>
            <w:vAlign w:val="center"/>
            <w:hideMark/>
          </w:tcPr>
          <w:p w14:paraId="0420656B"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133308</w:t>
            </w:r>
          </w:p>
        </w:tc>
        <w:tc>
          <w:tcPr>
            <w:tcW w:w="786" w:type="pct"/>
            <w:tcBorders>
              <w:top w:val="nil"/>
              <w:left w:val="nil"/>
              <w:bottom w:val="single" w:sz="4" w:space="0" w:color="auto"/>
              <w:right w:val="single" w:sz="4" w:space="0" w:color="auto"/>
            </w:tcBorders>
            <w:shd w:val="clear" w:color="auto" w:fill="auto"/>
            <w:vAlign w:val="center"/>
            <w:hideMark/>
          </w:tcPr>
          <w:p w14:paraId="69DF731D"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Nueva Era Soluciones SAS</w:t>
            </w:r>
          </w:p>
        </w:tc>
        <w:tc>
          <w:tcPr>
            <w:tcW w:w="713" w:type="pct"/>
            <w:tcBorders>
              <w:top w:val="nil"/>
              <w:left w:val="nil"/>
              <w:bottom w:val="single" w:sz="4" w:space="0" w:color="auto"/>
              <w:right w:val="single" w:sz="4" w:space="0" w:color="auto"/>
            </w:tcBorders>
            <w:shd w:val="clear" w:color="auto" w:fill="auto"/>
            <w:vAlign w:val="center"/>
            <w:hideMark/>
          </w:tcPr>
          <w:p w14:paraId="3C50170C" w14:textId="77777777" w:rsidR="00D96A90" w:rsidRPr="00DF03ED" w:rsidRDefault="00D96A90" w:rsidP="00EF5AF2">
            <w:pPr>
              <w:widowControl/>
              <w:autoSpaceDE/>
              <w:autoSpaceDN/>
              <w:jc w:val="right"/>
              <w:rPr>
                <w:rFonts w:eastAsia="Times New Roman" w:cs="Times New Roman"/>
                <w:sz w:val="14"/>
                <w:szCs w:val="14"/>
                <w:lang w:val="es-CO" w:eastAsia="es-CO"/>
              </w:rPr>
            </w:pPr>
            <w:r w:rsidRPr="00DF03ED">
              <w:rPr>
                <w:rFonts w:eastAsia="Times New Roman" w:cs="Times New Roman"/>
                <w:sz w:val="14"/>
                <w:szCs w:val="14"/>
                <w:lang w:val="es-CO" w:eastAsia="es-CO"/>
              </w:rPr>
              <w:t>$18.403.050.400,00</w:t>
            </w:r>
          </w:p>
        </w:tc>
      </w:tr>
      <w:tr w:rsidR="00D96A90" w:rsidRPr="00DF03ED" w14:paraId="345C64D0" w14:textId="77777777" w:rsidTr="00EF5AF2">
        <w:trPr>
          <w:trHeight w:val="312"/>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F4705F4"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22BC2AC6"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27C1AC32"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189124</w:t>
            </w:r>
          </w:p>
        </w:tc>
        <w:tc>
          <w:tcPr>
            <w:tcW w:w="787" w:type="pct"/>
            <w:tcBorders>
              <w:top w:val="nil"/>
              <w:left w:val="nil"/>
              <w:bottom w:val="single" w:sz="4" w:space="0" w:color="auto"/>
              <w:right w:val="single" w:sz="4" w:space="0" w:color="auto"/>
            </w:tcBorders>
            <w:shd w:val="clear" w:color="auto" w:fill="auto"/>
            <w:vAlign w:val="center"/>
            <w:hideMark/>
          </w:tcPr>
          <w:p w14:paraId="4BF7D1D4"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Orden de Compra</w:t>
            </w:r>
          </w:p>
        </w:tc>
        <w:tc>
          <w:tcPr>
            <w:tcW w:w="428" w:type="pct"/>
            <w:tcBorders>
              <w:top w:val="nil"/>
              <w:left w:val="nil"/>
              <w:bottom w:val="single" w:sz="4" w:space="0" w:color="auto"/>
              <w:right w:val="single" w:sz="4" w:space="0" w:color="auto"/>
            </w:tcBorders>
            <w:shd w:val="clear" w:color="auto" w:fill="auto"/>
            <w:vAlign w:val="center"/>
            <w:hideMark/>
          </w:tcPr>
          <w:p w14:paraId="7D399FC8"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133309</w:t>
            </w:r>
          </w:p>
        </w:tc>
        <w:tc>
          <w:tcPr>
            <w:tcW w:w="786" w:type="pct"/>
            <w:tcBorders>
              <w:top w:val="nil"/>
              <w:left w:val="nil"/>
              <w:bottom w:val="single" w:sz="4" w:space="0" w:color="auto"/>
              <w:right w:val="single" w:sz="4" w:space="0" w:color="auto"/>
            </w:tcBorders>
            <w:shd w:val="clear" w:color="auto" w:fill="auto"/>
            <w:vAlign w:val="center"/>
            <w:hideMark/>
          </w:tcPr>
          <w:p w14:paraId="26B3BFD5"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Computel System SAS</w:t>
            </w:r>
          </w:p>
        </w:tc>
        <w:tc>
          <w:tcPr>
            <w:tcW w:w="713" w:type="pct"/>
            <w:tcBorders>
              <w:top w:val="nil"/>
              <w:left w:val="nil"/>
              <w:bottom w:val="single" w:sz="4" w:space="0" w:color="auto"/>
              <w:right w:val="single" w:sz="4" w:space="0" w:color="auto"/>
            </w:tcBorders>
            <w:shd w:val="clear" w:color="auto" w:fill="auto"/>
            <w:vAlign w:val="center"/>
            <w:hideMark/>
          </w:tcPr>
          <w:p w14:paraId="58D311BD"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$18.403.807.816,00</w:t>
            </w:r>
          </w:p>
        </w:tc>
      </w:tr>
      <w:tr w:rsidR="00D96A90" w:rsidRPr="00DF03ED" w14:paraId="4A8F70C4" w14:textId="77777777" w:rsidTr="00EF5AF2">
        <w:trPr>
          <w:trHeight w:val="312"/>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79461A4"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7272C7DC"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C-2301-0400-3-20204A-2301085-02</w:t>
            </w:r>
          </w:p>
        </w:tc>
        <w:tc>
          <w:tcPr>
            <w:tcW w:w="572" w:type="pct"/>
            <w:tcBorders>
              <w:top w:val="nil"/>
              <w:left w:val="nil"/>
              <w:bottom w:val="single" w:sz="4" w:space="0" w:color="auto"/>
              <w:right w:val="single" w:sz="4" w:space="0" w:color="auto"/>
            </w:tcBorders>
            <w:shd w:val="clear" w:color="auto" w:fill="auto"/>
            <w:vAlign w:val="center"/>
            <w:hideMark/>
          </w:tcPr>
          <w:p w14:paraId="386A49B8"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189224</w:t>
            </w:r>
          </w:p>
        </w:tc>
        <w:tc>
          <w:tcPr>
            <w:tcW w:w="787" w:type="pct"/>
            <w:tcBorders>
              <w:top w:val="nil"/>
              <w:left w:val="nil"/>
              <w:bottom w:val="single" w:sz="4" w:space="0" w:color="auto"/>
              <w:right w:val="single" w:sz="4" w:space="0" w:color="auto"/>
            </w:tcBorders>
            <w:shd w:val="clear" w:color="auto" w:fill="auto"/>
            <w:vAlign w:val="center"/>
            <w:hideMark/>
          </w:tcPr>
          <w:p w14:paraId="609AE8FD"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Orden de Compra</w:t>
            </w:r>
          </w:p>
        </w:tc>
        <w:tc>
          <w:tcPr>
            <w:tcW w:w="428" w:type="pct"/>
            <w:tcBorders>
              <w:top w:val="nil"/>
              <w:left w:val="nil"/>
              <w:bottom w:val="single" w:sz="4" w:space="0" w:color="auto"/>
              <w:right w:val="single" w:sz="4" w:space="0" w:color="auto"/>
            </w:tcBorders>
            <w:shd w:val="clear" w:color="auto" w:fill="auto"/>
            <w:vAlign w:val="center"/>
            <w:hideMark/>
          </w:tcPr>
          <w:p w14:paraId="31E92740"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133310</w:t>
            </w:r>
          </w:p>
        </w:tc>
        <w:tc>
          <w:tcPr>
            <w:tcW w:w="786" w:type="pct"/>
            <w:tcBorders>
              <w:top w:val="nil"/>
              <w:left w:val="nil"/>
              <w:bottom w:val="single" w:sz="4" w:space="0" w:color="auto"/>
              <w:right w:val="single" w:sz="4" w:space="0" w:color="auto"/>
            </w:tcBorders>
            <w:shd w:val="clear" w:color="auto" w:fill="auto"/>
            <w:vAlign w:val="center"/>
            <w:hideMark/>
          </w:tcPr>
          <w:p w14:paraId="589386F5"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Selcomp Ingenieria SAS</w:t>
            </w:r>
          </w:p>
        </w:tc>
        <w:tc>
          <w:tcPr>
            <w:tcW w:w="713" w:type="pct"/>
            <w:tcBorders>
              <w:top w:val="nil"/>
              <w:left w:val="nil"/>
              <w:bottom w:val="single" w:sz="4" w:space="0" w:color="auto"/>
              <w:right w:val="single" w:sz="4" w:space="0" w:color="auto"/>
            </w:tcBorders>
            <w:shd w:val="clear" w:color="auto" w:fill="auto"/>
            <w:vAlign w:val="center"/>
            <w:hideMark/>
          </w:tcPr>
          <w:p w14:paraId="2EAD5480"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$12.904.412.953,00</w:t>
            </w:r>
          </w:p>
        </w:tc>
      </w:tr>
      <w:tr w:rsidR="00D96A90" w:rsidRPr="00DF03ED" w14:paraId="06D65C73" w14:textId="77777777" w:rsidTr="00EF5AF2">
        <w:trPr>
          <w:trHeight w:val="312"/>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7BE5E6DE"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3DD6C06B"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C-2301-0400-3-20204A-2301085-02</w:t>
            </w:r>
          </w:p>
        </w:tc>
        <w:tc>
          <w:tcPr>
            <w:tcW w:w="572" w:type="pct"/>
            <w:tcBorders>
              <w:top w:val="nil"/>
              <w:left w:val="nil"/>
              <w:bottom w:val="single" w:sz="4" w:space="0" w:color="auto"/>
              <w:right w:val="single" w:sz="4" w:space="0" w:color="auto"/>
            </w:tcBorders>
            <w:shd w:val="clear" w:color="auto" w:fill="auto"/>
            <w:vAlign w:val="center"/>
            <w:hideMark/>
          </w:tcPr>
          <w:p w14:paraId="72A0A6C1"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189324</w:t>
            </w:r>
          </w:p>
        </w:tc>
        <w:tc>
          <w:tcPr>
            <w:tcW w:w="787" w:type="pct"/>
            <w:tcBorders>
              <w:top w:val="nil"/>
              <w:left w:val="nil"/>
              <w:bottom w:val="single" w:sz="4" w:space="0" w:color="auto"/>
              <w:right w:val="single" w:sz="4" w:space="0" w:color="auto"/>
            </w:tcBorders>
            <w:shd w:val="clear" w:color="auto" w:fill="auto"/>
            <w:vAlign w:val="center"/>
            <w:hideMark/>
          </w:tcPr>
          <w:p w14:paraId="182A2ACF"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Orden de Compra</w:t>
            </w:r>
          </w:p>
        </w:tc>
        <w:tc>
          <w:tcPr>
            <w:tcW w:w="428" w:type="pct"/>
            <w:tcBorders>
              <w:top w:val="nil"/>
              <w:left w:val="nil"/>
              <w:bottom w:val="single" w:sz="4" w:space="0" w:color="auto"/>
              <w:right w:val="single" w:sz="4" w:space="0" w:color="auto"/>
            </w:tcBorders>
            <w:shd w:val="clear" w:color="auto" w:fill="auto"/>
            <w:vAlign w:val="center"/>
            <w:hideMark/>
          </w:tcPr>
          <w:p w14:paraId="24B901DF"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133311</w:t>
            </w:r>
          </w:p>
        </w:tc>
        <w:tc>
          <w:tcPr>
            <w:tcW w:w="786" w:type="pct"/>
            <w:tcBorders>
              <w:top w:val="nil"/>
              <w:left w:val="nil"/>
              <w:bottom w:val="single" w:sz="4" w:space="0" w:color="auto"/>
              <w:right w:val="single" w:sz="4" w:space="0" w:color="auto"/>
            </w:tcBorders>
            <w:shd w:val="clear" w:color="auto" w:fill="auto"/>
            <w:vAlign w:val="center"/>
            <w:hideMark/>
          </w:tcPr>
          <w:p w14:paraId="6889841A"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Computel System SAS</w:t>
            </w:r>
          </w:p>
        </w:tc>
        <w:tc>
          <w:tcPr>
            <w:tcW w:w="713" w:type="pct"/>
            <w:tcBorders>
              <w:top w:val="nil"/>
              <w:left w:val="nil"/>
              <w:bottom w:val="single" w:sz="4" w:space="0" w:color="auto"/>
              <w:right w:val="single" w:sz="4" w:space="0" w:color="auto"/>
            </w:tcBorders>
            <w:shd w:val="clear" w:color="auto" w:fill="auto"/>
            <w:vAlign w:val="center"/>
            <w:hideMark/>
          </w:tcPr>
          <w:p w14:paraId="7E9DCD35"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$15.850.588.160,00</w:t>
            </w:r>
          </w:p>
        </w:tc>
      </w:tr>
      <w:tr w:rsidR="00D96A90" w:rsidRPr="00DF03ED" w14:paraId="068793D1" w14:textId="77777777" w:rsidTr="00EF5AF2">
        <w:trPr>
          <w:trHeight w:val="312"/>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8A5545C"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29A22A2F"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C-2301-0400-3-20204A-2301085-02</w:t>
            </w:r>
          </w:p>
        </w:tc>
        <w:tc>
          <w:tcPr>
            <w:tcW w:w="572" w:type="pct"/>
            <w:tcBorders>
              <w:top w:val="nil"/>
              <w:left w:val="nil"/>
              <w:bottom w:val="single" w:sz="4" w:space="0" w:color="auto"/>
              <w:right w:val="single" w:sz="4" w:space="0" w:color="auto"/>
            </w:tcBorders>
            <w:shd w:val="clear" w:color="auto" w:fill="auto"/>
            <w:vAlign w:val="center"/>
            <w:hideMark/>
          </w:tcPr>
          <w:p w14:paraId="4D3921F8"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189424</w:t>
            </w:r>
          </w:p>
        </w:tc>
        <w:tc>
          <w:tcPr>
            <w:tcW w:w="787" w:type="pct"/>
            <w:tcBorders>
              <w:top w:val="nil"/>
              <w:left w:val="nil"/>
              <w:bottom w:val="single" w:sz="4" w:space="0" w:color="auto"/>
              <w:right w:val="single" w:sz="4" w:space="0" w:color="auto"/>
            </w:tcBorders>
            <w:shd w:val="clear" w:color="auto" w:fill="auto"/>
            <w:vAlign w:val="center"/>
            <w:hideMark/>
          </w:tcPr>
          <w:p w14:paraId="23D8F938"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Orden de Compra</w:t>
            </w:r>
          </w:p>
        </w:tc>
        <w:tc>
          <w:tcPr>
            <w:tcW w:w="428" w:type="pct"/>
            <w:tcBorders>
              <w:top w:val="nil"/>
              <w:left w:val="nil"/>
              <w:bottom w:val="single" w:sz="4" w:space="0" w:color="auto"/>
              <w:right w:val="single" w:sz="4" w:space="0" w:color="auto"/>
            </w:tcBorders>
            <w:shd w:val="clear" w:color="auto" w:fill="auto"/>
            <w:vAlign w:val="center"/>
            <w:hideMark/>
          </w:tcPr>
          <w:p w14:paraId="55DD8FD1"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133312</w:t>
            </w:r>
          </w:p>
        </w:tc>
        <w:tc>
          <w:tcPr>
            <w:tcW w:w="786" w:type="pct"/>
            <w:tcBorders>
              <w:top w:val="nil"/>
              <w:left w:val="nil"/>
              <w:bottom w:val="single" w:sz="4" w:space="0" w:color="auto"/>
              <w:right w:val="single" w:sz="4" w:space="0" w:color="auto"/>
            </w:tcBorders>
            <w:shd w:val="clear" w:color="auto" w:fill="auto"/>
            <w:vAlign w:val="center"/>
            <w:hideMark/>
          </w:tcPr>
          <w:p w14:paraId="2FE320CA"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Colsof SAS</w:t>
            </w:r>
          </w:p>
        </w:tc>
        <w:tc>
          <w:tcPr>
            <w:tcW w:w="713" w:type="pct"/>
            <w:tcBorders>
              <w:top w:val="nil"/>
              <w:left w:val="nil"/>
              <w:bottom w:val="single" w:sz="4" w:space="0" w:color="auto"/>
              <w:right w:val="single" w:sz="4" w:space="0" w:color="auto"/>
            </w:tcBorders>
            <w:shd w:val="clear" w:color="auto" w:fill="auto"/>
            <w:vAlign w:val="center"/>
            <w:hideMark/>
          </w:tcPr>
          <w:p w14:paraId="376DB362"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$2.201.635.271,16</w:t>
            </w:r>
          </w:p>
        </w:tc>
      </w:tr>
      <w:tr w:rsidR="00D96A90" w:rsidRPr="00DF03ED" w14:paraId="19C95865"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A3E6AE8"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Formación Educativa</w:t>
            </w:r>
          </w:p>
        </w:tc>
        <w:tc>
          <w:tcPr>
            <w:tcW w:w="857" w:type="pct"/>
            <w:tcBorders>
              <w:top w:val="nil"/>
              <w:left w:val="nil"/>
              <w:bottom w:val="single" w:sz="4" w:space="0" w:color="auto"/>
              <w:right w:val="single" w:sz="4" w:space="0" w:color="auto"/>
            </w:tcBorders>
            <w:shd w:val="clear" w:color="auto" w:fill="auto"/>
            <w:vAlign w:val="center"/>
            <w:hideMark/>
          </w:tcPr>
          <w:p w14:paraId="6797FFAD"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C-2301-0400-1-20204A-2301035-02</w:t>
            </w:r>
          </w:p>
        </w:tc>
        <w:tc>
          <w:tcPr>
            <w:tcW w:w="572" w:type="pct"/>
            <w:tcBorders>
              <w:top w:val="nil"/>
              <w:left w:val="nil"/>
              <w:bottom w:val="single" w:sz="4" w:space="0" w:color="auto"/>
              <w:right w:val="single" w:sz="4" w:space="0" w:color="auto"/>
            </w:tcBorders>
            <w:shd w:val="clear" w:color="auto" w:fill="auto"/>
            <w:vAlign w:val="center"/>
            <w:hideMark/>
          </w:tcPr>
          <w:p w14:paraId="4D386EEE"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203424</w:t>
            </w:r>
          </w:p>
        </w:tc>
        <w:tc>
          <w:tcPr>
            <w:tcW w:w="787" w:type="pct"/>
            <w:tcBorders>
              <w:top w:val="nil"/>
              <w:left w:val="nil"/>
              <w:bottom w:val="single" w:sz="4" w:space="0" w:color="auto"/>
              <w:right w:val="single" w:sz="4" w:space="0" w:color="auto"/>
            </w:tcBorders>
            <w:shd w:val="clear" w:color="auto" w:fill="auto"/>
            <w:vAlign w:val="center"/>
            <w:hideMark/>
          </w:tcPr>
          <w:p w14:paraId="09048D8F"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0EB76C69"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CI 81-24</w:t>
            </w:r>
          </w:p>
        </w:tc>
        <w:tc>
          <w:tcPr>
            <w:tcW w:w="786" w:type="pct"/>
            <w:tcBorders>
              <w:top w:val="nil"/>
              <w:left w:val="nil"/>
              <w:bottom w:val="single" w:sz="4" w:space="0" w:color="auto"/>
              <w:right w:val="single" w:sz="4" w:space="0" w:color="auto"/>
            </w:tcBorders>
            <w:shd w:val="clear" w:color="auto" w:fill="auto"/>
            <w:vAlign w:val="center"/>
            <w:hideMark/>
          </w:tcPr>
          <w:p w14:paraId="2DC6BA3C"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Universidad de Cartagena</w:t>
            </w:r>
          </w:p>
        </w:tc>
        <w:tc>
          <w:tcPr>
            <w:tcW w:w="713" w:type="pct"/>
            <w:tcBorders>
              <w:top w:val="nil"/>
              <w:left w:val="nil"/>
              <w:bottom w:val="single" w:sz="4" w:space="0" w:color="auto"/>
              <w:right w:val="single" w:sz="4" w:space="0" w:color="auto"/>
            </w:tcBorders>
            <w:shd w:val="clear" w:color="auto" w:fill="auto"/>
            <w:vAlign w:val="center"/>
            <w:hideMark/>
          </w:tcPr>
          <w:p w14:paraId="3BE34B37"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$780.000.000,00</w:t>
            </w:r>
          </w:p>
        </w:tc>
      </w:tr>
      <w:tr w:rsidR="00D96A90" w:rsidRPr="00DF03ED" w14:paraId="238C6840"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C50E53E"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Formación Educativa</w:t>
            </w:r>
          </w:p>
        </w:tc>
        <w:tc>
          <w:tcPr>
            <w:tcW w:w="857" w:type="pct"/>
            <w:tcBorders>
              <w:top w:val="nil"/>
              <w:left w:val="nil"/>
              <w:bottom w:val="single" w:sz="4" w:space="0" w:color="auto"/>
              <w:right w:val="single" w:sz="4" w:space="0" w:color="auto"/>
            </w:tcBorders>
            <w:shd w:val="clear" w:color="auto" w:fill="auto"/>
            <w:vAlign w:val="center"/>
            <w:hideMark/>
          </w:tcPr>
          <w:p w14:paraId="26777176"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C-2301-0400-1-20204A-2301035-02</w:t>
            </w:r>
          </w:p>
        </w:tc>
        <w:tc>
          <w:tcPr>
            <w:tcW w:w="572" w:type="pct"/>
            <w:tcBorders>
              <w:top w:val="nil"/>
              <w:left w:val="nil"/>
              <w:bottom w:val="single" w:sz="4" w:space="0" w:color="auto"/>
              <w:right w:val="single" w:sz="4" w:space="0" w:color="auto"/>
            </w:tcBorders>
            <w:shd w:val="clear" w:color="auto" w:fill="auto"/>
            <w:vAlign w:val="center"/>
            <w:hideMark/>
          </w:tcPr>
          <w:p w14:paraId="4F4891F6"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203524</w:t>
            </w:r>
          </w:p>
        </w:tc>
        <w:tc>
          <w:tcPr>
            <w:tcW w:w="787" w:type="pct"/>
            <w:tcBorders>
              <w:top w:val="nil"/>
              <w:left w:val="nil"/>
              <w:bottom w:val="single" w:sz="4" w:space="0" w:color="auto"/>
              <w:right w:val="single" w:sz="4" w:space="0" w:color="auto"/>
            </w:tcBorders>
            <w:shd w:val="clear" w:color="auto" w:fill="auto"/>
            <w:vAlign w:val="center"/>
            <w:hideMark/>
          </w:tcPr>
          <w:p w14:paraId="2E1458E5"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5DA30A74"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CI 81-24</w:t>
            </w:r>
          </w:p>
        </w:tc>
        <w:tc>
          <w:tcPr>
            <w:tcW w:w="786" w:type="pct"/>
            <w:tcBorders>
              <w:top w:val="nil"/>
              <w:left w:val="nil"/>
              <w:bottom w:val="single" w:sz="4" w:space="0" w:color="auto"/>
              <w:right w:val="single" w:sz="4" w:space="0" w:color="auto"/>
            </w:tcBorders>
            <w:shd w:val="clear" w:color="auto" w:fill="auto"/>
            <w:vAlign w:val="center"/>
            <w:hideMark/>
          </w:tcPr>
          <w:p w14:paraId="52D4E5FF"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Universidad de Cartagena</w:t>
            </w:r>
          </w:p>
        </w:tc>
        <w:tc>
          <w:tcPr>
            <w:tcW w:w="713" w:type="pct"/>
            <w:tcBorders>
              <w:top w:val="nil"/>
              <w:left w:val="nil"/>
              <w:bottom w:val="single" w:sz="4" w:space="0" w:color="auto"/>
              <w:right w:val="single" w:sz="4" w:space="0" w:color="auto"/>
            </w:tcBorders>
            <w:shd w:val="clear" w:color="auto" w:fill="auto"/>
            <w:vAlign w:val="center"/>
            <w:hideMark/>
          </w:tcPr>
          <w:p w14:paraId="4C884A04"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$948.426.147,50</w:t>
            </w:r>
          </w:p>
        </w:tc>
      </w:tr>
      <w:tr w:rsidR="00D96A90" w:rsidRPr="00DF03ED" w14:paraId="09D1CB47"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C882F32"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Formación Educativa</w:t>
            </w:r>
          </w:p>
        </w:tc>
        <w:tc>
          <w:tcPr>
            <w:tcW w:w="857" w:type="pct"/>
            <w:tcBorders>
              <w:top w:val="nil"/>
              <w:left w:val="nil"/>
              <w:bottom w:val="single" w:sz="4" w:space="0" w:color="auto"/>
              <w:right w:val="single" w:sz="4" w:space="0" w:color="auto"/>
            </w:tcBorders>
            <w:shd w:val="clear" w:color="auto" w:fill="auto"/>
            <w:vAlign w:val="center"/>
            <w:hideMark/>
          </w:tcPr>
          <w:p w14:paraId="6F878A19"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C-2301-0400-1-20204A-2301035-02</w:t>
            </w:r>
          </w:p>
        </w:tc>
        <w:tc>
          <w:tcPr>
            <w:tcW w:w="572" w:type="pct"/>
            <w:tcBorders>
              <w:top w:val="nil"/>
              <w:left w:val="nil"/>
              <w:bottom w:val="single" w:sz="4" w:space="0" w:color="auto"/>
              <w:right w:val="single" w:sz="4" w:space="0" w:color="auto"/>
            </w:tcBorders>
            <w:shd w:val="clear" w:color="auto" w:fill="auto"/>
            <w:vAlign w:val="center"/>
            <w:hideMark/>
          </w:tcPr>
          <w:p w14:paraId="3DC9C15E"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207024</w:t>
            </w:r>
          </w:p>
        </w:tc>
        <w:tc>
          <w:tcPr>
            <w:tcW w:w="787" w:type="pct"/>
            <w:tcBorders>
              <w:top w:val="nil"/>
              <w:left w:val="nil"/>
              <w:bottom w:val="single" w:sz="4" w:space="0" w:color="auto"/>
              <w:right w:val="single" w:sz="4" w:space="0" w:color="auto"/>
            </w:tcBorders>
            <w:shd w:val="clear" w:color="auto" w:fill="auto"/>
            <w:vAlign w:val="center"/>
            <w:hideMark/>
          </w:tcPr>
          <w:p w14:paraId="000BF65D"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65F6FEA3"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87-24</w:t>
            </w:r>
          </w:p>
        </w:tc>
        <w:tc>
          <w:tcPr>
            <w:tcW w:w="786" w:type="pct"/>
            <w:tcBorders>
              <w:top w:val="nil"/>
              <w:left w:val="nil"/>
              <w:bottom w:val="single" w:sz="4" w:space="0" w:color="auto"/>
              <w:right w:val="single" w:sz="4" w:space="0" w:color="auto"/>
            </w:tcBorders>
            <w:shd w:val="clear" w:color="auto" w:fill="auto"/>
            <w:vAlign w:val="center"/>
            <w:hideMark/>
          </w:tcPr>
          <w:p w14:paraId="4F939D8A"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Universidad Tecnológica de Pereira</w:t>
            </w:r>
          </w:p>
        </w:tc>
        <w:tc>
          <w:tcPr>
            <w:tcW w:w="713" w:type="pct"/>
            <w:tcBorders>
              <w:top w:val="nil"/>
              <w:left w:val="nil"/>
              <w:bottom w:val="single" w:sz="4" w:space="0" w:color="auto"/>
              <w:right w:val="single" w:sz="4" w:space="0" w:color="auto"/>
            </w:tcBorders>
            <w:shd w:val="clear" w:color="auto" w:fill="auto"/>
            <w:vAlign w:val="center"/>
            <w:hideMark/>
          </w:tcPr>
          <w:p w14:paraId="6D0F94F1"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$743.025.000,00</w:t>
            </w:r>
          </w:p>
        </w:tc>
      </w:tr>
      <w:tr w:rsidR="00D96A90" w:rsidRPr="00DF03ED" w14:paraId="5170CFBF" w14:textId="77777777" w:rsidTr="00EF5AF2">
        <w:trPr>
          <w:trHeight w:val="479"/>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07021A8"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Formación Educativa</w:t>
            </w:r>
          </w:p>
        </w:tc>
        <w:tc>
          <w:tcPr>
            <w:tcW w:w="857" w:type="pct"/>
            <w:tcBorders>
              <w:top w:val="nil"/>
              <w:left w:val="nil"/>
              <w:bottom w:val="single" w:sz="4" w:space="0" w:color="auto"/>
              <w:right w:val="single" w:sz="4" w:space="0" w:color="auto"/>
            </w:tcBorders>
            <w:shd w:val="clear" w:color="auto" w:fill="auto"/>
            <w:vAlign w:val="center"/>
            <w:hideMark/>
          </w:tcPr>
          <w:p w14:paraId="78C81314"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C-2301-0400-1-20204A-2301035-02</w:t>
            </w:r>
          </w:p>
        </w:tc>
        <w:tc>
          <w:tcPr>
            <w:tcW w:w="572" w:type="pct"/>
            <w:tcBorders>
              <w:top w:val="nil"/>
              <w:left w:val="nil"/>
              <w:bottom w:val="single" w:sz="4" w:space="0" w:color="auto"/>
              <w:right w:val="single" w:sz="4" w:space="0" w:color="auto"/>
            </w:tcBorders>
            <w:shd w:val="clear" w:color="auto" w:fill="auto"/>
            <w:vAlign w:val="center"/>
            <w:hideMark/>
          </w:tcPr>
          <w:p w14:paraId="2E90D96F"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207624</w:t>
            </w:r>
          </w:p>
        </w:tc>
        <w:tc>
          <w:tcPr>
            <w:tcW w:w="787" w:type="pct"/>
            <w:tcBorders>
              <w:top w:val="nil"/>
              <w:left w:val="nil"/>
              <w:bottom w:val="single" w:sz="4" w:space="0" w:color="auto"/>
              <w:right w:val="single" w:sz="4" w:space="0" w:color="auto"/>
            </w:tcBorders>
            <w:shd w:val="clear" w:color="auto" w:fill="auto"/>
            <w:vAlign w:val="center"/>
            <w:hideMark/>
          </w:tcPr>
          <w:p w14:paraId="05F231D9"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Contrato Interadministrativo</w:t>
            </w:r>
          </w:p>
        </w:tc>
        <w:tc>
          <w:tcPr>
            <w:tcW w:w="428" w:type="pct"/>
            <w:tcBorders>
              <w:top w:val="nil"/>
              <w:left w:val="nil"/>
              <w:bottom w:val="single" w:sz="4" w:space="0" w:color="auto"/>
              <w:right w:val="single" w:sz="4" w:space="0" w:color="auto"/>
            </w:tcBorders>
            <w:shd w:val="clear" w:color="auto" w:fill="auto"/>
            <w:vAlign w:val="center"/>
            <w:hideMark/>
          </w:tcPr>
          <w:p w14:paraId="376EFFFD"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91-24</w:t>
            </w:r>
          </w:p>
        </w:tc>
        <w:tc>
          <w:tcPr>
            <w:tcW w:w="786" w:type="pct"/>
            <w:tcBorders>
              <w:top w:val="nil"/>
              <w:left w:val="nil"/>
              <w:bottom w:val="single" w:sz="4" w:space="0" w:color="auto"/>
              <w:right w:val="single" w:sz="4" w:space="0" w:color="auto"/>
            </w:tcBorders>
            <w:shd w:val="clear" w:color="auto" w:fill="auto"/>
            <w:vAlign w:val="center"/>
            <w:hideMark/>
          </w:tcPr>
          <w:p w14:paraId="385F628E"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Universidad Surcolombiana</w:t>
            </w:r>
          </w:p>
        </w:tc>
        <w:tc>
          <w:tcPr>
            <w:tcW w:w="713" w:type="pct"/>
            <w:tcBorders>
              <w:top w:val="nil"/>
              <w:left w:val="nil"/>
              <w:bottom w:val="single" w:sz="4" w:space="0" w:color="auto"/>
              <w:right w:val="single" w:sz="4" w:space="0" w:color="auto"/>
            </w:tcBorders>
            <w:shd w:val="clear" w:color="auto" w:fill="auto"/>
            <w:vAlign w:val="center"/>
            <w:hideMark/>
          </w:tcPr>
          <w:p w14:paraId="3E54ACAA"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$2.399.499.451,05</w:t>
            </w:r>
          </w:p>
        </w:tc>
      </w:tr>
      <w:tr w:rsidR="00D96A90" w:rsidRPr="00DF03ED" w14:paraId="01777A27" w14:textId="77777777" w:rsidTr="00EF5AF2">
        <w:trPr>
          <w:trHeight w:val="703"/>
          <w:jc w:val="center"/>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FDEB1FE" w14:textId="77777777" w:rsidR="00D96A90" w:rsidRPr="00DF03ED" w:rsidRDefault="00D96A90" w:rsidP="00EF5AF2">
            <w:pPr>
              <w:widowControl/>
              <w:autoSpaceDE/>
              <w:autoSpaceDN/>
              <w:rPr>
                <w:rFonts w:eastAsia="Times New Roman" w:cs="Calibri"/>
                <w:color w:val="000000"/>
                <w:sz w:val="14"/>
                <w:szCs w:val="14"/>
                <w:lang w:val="es-CO" w:eastAsia="es-CO"/>
              </w:rPr>
            </w:pPr>
            <w:r w:rsidRPr="00DF03ED">
              <w:rPr>
                <w:rFonts w:eastAsia="Times New Roman" w:cs="Calibri"/>
                <w:color w:val="000000"/>
                <w:sz w:val="14"/>
                <w:szCs w:val="14"/>
                <w:lang w:val="es-CO" w:eastAsia="es-CO"/>
              </w:rPr>
              <w:t>Gestión Soluciones Tecnológicas</w:t>
            </w:r>
          </w:p>
        </w:tc>
        <w:tc>
          <w:tcPr>
            <w:tcW w:w="857" w:type="pct"/>
            <w:tcBorders>
              <w:top w:val="nil"/>
              <w:left w:val="nil"/>
              <w:bottom w:val="single" w:sz="4" w:space="0" w:color="auto"/>
              <w:right w:val="single" w:sz="4" w:space="0" w:color="auto"/>
            </w:tcBorders>
            <w:shd w:val="clear" w:color="auto" w:fill="auto"/>
            <w:vAlign w:val="center"/>
            <w:hideMark/>
          </w:tcPr>
          <w:p w14:paraId="4D5F54C9"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C-2301-0400-1-20204A-2301062-02</w:t>
            </w:r>
          </w:p>
        </w:tc>
        <w:tc>
          <w:tcPr>
            <w:tcW w:w="572" w:type="pct"/>
            <w:tcBorders>
              <w:top w:val="nil"/>
              <w:left w:val="nil"/>
              <w:bottom w:val="single" w:sz="4" w:space="0" w:color="auto"/>
              <w:right w:val="single" w:sz="4" w:space="0" w:color="auto"/>
            </w:tcBorders>
            <w:shd w:val="clear" w:color="auto" w:fill="auto"/>
            <w:vAlign w:val="center"/>
            <w:hideMark/>
          </w:tcPr>
          <w:p w14:paraId="5D447211"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208424</w:t>
            </w:r>
          </w:p>
        </w:tc>
        <w:tc>
          <w:tcPr>
            <w:tcW w:w="787" w:type="pct"/>
            <w:tcBorders>
              <w:top w:val="nil"/>
              <w:left w:val="nil"/>
              <w:bottom w:val="single" w:sz="4" w:space="0" w:color="auto"/>
              <w:right w:val="single" w:sz="4" w:space="0" w:color="auto"/>
            </w:tcBorders>
            <w:shd w:val="clear" w:color="auto" w:fill="auto"/>
            <w:vAlign w:val="center"/>
            <w:hideMark/>
          </w:tcPr>
          <w:p w14:paraId="25D8E838" w14:textId="77777777" w:rsidR="00D96A90" w:rsidRPr="00DF03ED" w:rsidRDefault="00D96A90" w:rsidP="00EF5AF2">
            <w:pPr>
              <w:widowControl/>
              <w:autoSpaceDE/>
              <w:autoSpaceDN/>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Compra Venta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D51715B"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92-24</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08766EB4" w14:textId="77777777" w:rsidR="00D96A90" w:rsidRPr="00DF03ED" w:rsidRDefault="00D96A90" w:rsidP="00EF5AF2">
            <w:pPr>
              <w:widowControl/>
              <w:autoSpaceDE/>
              <w:autoSpaceDN/>
              <w:jc w:val="center"/>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Unión Temporal Soluciones Tecnologías Steam 2024</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42819D2C" w14:textId="77777777" w:rsidR="00D96A90" w:rsidRPr="00DF03ED" w:rsidRDefault="00D96A90" w:rsidP="00EF5AF2">
            <w:pPr>
              <w:widowControl/>
              <w:autoSpaceDE/>
              <w:autoSpaceDN/>
              <w:jc w:val="right"/>
              <w:rPr>
                <w:rFonts w:eastAsia="Times New Roman" w:cs="Times New Roman"/>
                <w:color w:val="000000"/>
                <w:sz w:val="14"/>
                <w:szCs w:val="14"/>
                <w:lang w:val="es-CO" w:eastAsia="es-CO"/>
              </w:rPr>
            </w:pPr>
            <w:r w:rsidRPr="00DF03ED">
              <w:rPr>
                <w:rFonts w:eastAsia="Times New Roman" w:cs="Times New Roman"/>
                <w:color w:val="000000"/>
                <w:sz w:val="14"/>
                <w:szCs w:val="14"/>
                <w:lang w:val="es-CO" w:eastAsia="es-CO"/>
              </w:rPr>
              <w:t>$37.042.720.000,00</w:t>
            </w:r>
          </w:p>
        </w:tc>
      </w:tr>
      <w:tr w:rsidR="00D96A90" w:rsidRPr="00DF03ED" w14:paraId="37B1B35C" w14:textId="77777777" w:rsidTr="00EF5AF2">
        <w:trPr>
          <w:trHeight w:val="369"/>
          <w:jc w:val="center"/>
        </w:trPr>
        <w:tc>
          <w:tcPr>
            <w:tcW w:w="4287" w:type="pct"/>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5F95E37D" w14:textId="77777777" w:rsidR="00D96A90" w:rsidRPr="00DF03ED" w:rsidRDefault="00D96A90" w:rsidP="00EF5AF2">
            <w:pPr>
              <w:widowControl/>
              <w:autoSpaceDE/>
              <w:autoSpaceDN/>
              <w:jc w:val="center"/>
              <w:rPr>
                <w:rFonts w:eastAsia="Times New Roman" w:cs="Times New Roman"/>
                <w:b/>
                <w:bCs/>
                <w:sz w:val="14"/>
                <w:szCs w:val="14"/>
                <w:lang w:val="es-CO" w:eastAsia="es-CO"/>
              </w:rPr>
            </w:pPr>
            <w:r w:rsidRPr="00DF03ED">
              <w:rPr>
                <w:rFonts w:eastAsia="Times New Roman" w:cs="Times New Roman"/>
                <w:b/>
                <w:bCs/>
                <w:sz w:val="14"/>
                <w:szCs w:val="14"/>
                <w:lang w:val="es-CO" w:eastAsia="es-CO"/>
              </w:rPr>
              <w:t>Total Reservas Presupuestales</w:t>
            </w:r>
          </w:p>
        </w:tc>
        <w:tc>
          <w:tcPr>
            <w:tcW w:w="71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4450A88" w14:textId="77777777" w:rsidR="00D96A90" w:rsidRPr="00DF03ED" w:rsidRDefault="00D96A90" w:rsidP="00EF5AF2">
            <w:pPr>
              <w:widowControl/>
              <w:autoSpaceDE/>
              <w:autoSpaceDN/>
              <w:jc w:val="right"/>
              <w:rPr>
                <w:rFonts w:eastAsia="Times New Roman" w:cs="Times New Roman"/>
                <w:b/>
                <w:bCs/>
                <w:sz w:val="14"/>
                <w:szCs w:val="14"/>
                <w:lang w:val="es-CO" w:eastAsia="es-CO"/>
              </w:rPr>
            </w:pPr>
            <w:r w:rsidRPr="00DF03ED">
              <w:rPr>
                <w:rFonts w:eastAsia="Times New Roman" w:cs="Times New Roman"/>
                <w:b/>
                <w:bCs/>
                <w:sz w:val="14"/>
                <w:szCs w:val="14"/>
                <w:lang w:val="es-CO" w:eastAsia="es-CO"/>
              </w:rPr>
              <w:t>$132.478.193.359,24</w:t>
            </w:r>
          </w:p>
        </w:tc>
      </w:tr>
    </w:tbl>
    <w:p w14:paraId="373AB3DA" w14:textId="77777777" w:rsidR="00D96A90" w:rsidRPr="00DF03ED" w:rsidRDefault="00D96A90" w:rsidP="00D96A90">
      <w:pPr>
        <w:pStyle w:val="Textoindependiente"/>
        <w:spacing w:before="3"/>
        <w:jc w:val="both"/>
        <w:rPr>
          <w:b/>
          <w:sz w:val="18"/>
          <w:szCs w:val="18"/>
        </w:rPr>
      </w:pPr>
      <w:r w:rsidRPr="00DF03ED">
        <w:rPr>
          <w:b/>
          <w:sz w:val="18"/>
          <w:szCs w:val="18"/>
        </w:rPr>
        <w:t>Anexo N°. 003 justificaciones reserva presupuestal</w:t>
      </w:r>
    </w:p>
    <w:p w14:paraId="62128D75" w14:textId="77777777" w:rsidR="00D96A90" w:rsidRDefault="00D96A90" w:rsidP="00D96A90">
      <w:pPr>
        <w:rPr>
          <w:rFonts w:ascii="Arial" w:hAnsi="Arial" w:cs="Arial"/>
          <w:sz w:val="24"/>
          <w:szCs w:val="24"/>
        </w:rPr>
      </w:pPr>
    </w:p>
    <w:p w14:paraId="7CC9A47B" w14:textId="77777777" w:rsidR="00D96A90" w:rsidRPr="003E370B" w:rsidRDefault="00D96A90" w:rsidP="00886603">
      <w:pPr>
        <w:ind w:left="-284" w:right="-234"/>
        <w:jc w:val="both"/>
        <w:rPr>
          <w:rFonts w:ascii="Arial" w:hAnsi="Arial" w:cs="Arial"/>
          <w:b/>
          <w:sz w:val="28"/>
          <w:szCs w:val="28"/>
          <w:lang w:val="es-MX"/>
        </w:rPr>
      </w:pPr>
      <w:r w:rsidRPr="003E370B">
        <w:rPr>
          <w:rFonts w:ascii="Arial" w:hAnsi="Arial" w:cs="Arial"/>
          <w:b/>
          <w:sz w:val="28"/>
          <w:szCs w:val="28"/>
          <w:lang w:val="es-MX"/>
        </w:rPr>
        <w:t>264.- MINISTERIO DE EDUCACIÓN NACIONAL.</w:t>
      </w:r>
    </w:p>
    <w:p w14:paraId="5EB800DC" w14:textId="77777777" w:rsidR="00D96A90" w:rsidRDefault="00D96A90" w:rsidP="00886603">
      <w:pPr>
        <w:ind w:left="-284" w:right="-234"/>
        <w:rPr>
          <w:rFonts w:ascii="Arial" w:hAnsi="Arial" w:cs="Arial"/>
          <w:sz w:val="24"/>
          <w:szCs w:val="24"/>
        </w:rPr>
      </w:pPr>
    </w:p>
    <w:p w14:paraId="5405F3A1" w14:textId="77777777" w:rsidR="00D96A90" w:rsidRPr="006B2570" w:rsidRDefault="00D96A90" w:rsidP="00886603">
      <w:pPr>
        <w:pStyle w:val="Textoindependiente"/>
        <w:spacing w:before="3"/>
        <w:ind w:left="-284" w:right="-234"/>
        <w:jc w:val="both"/>
        <w:rPr>
          <w:rFonts w:ascii="Arial" w:hAnsi="Arial" w:cs="Arial"/>
          <w:sz w:val="24"/>
          <w:szCs w:val="24"/>
        </w:rPr>
      </w:pPr>
      <w:r w:rsidRPr="006B2570">
        <w:rPr>
          <w:rFonts w:ascii="Arial" w:hAnsi="Arial" w:cs="Arial"/>
          <w:b/>
          <w:sz w:val="24"/>
          <w:szCs w:val="24"/>
        </w:rPr>
        <w:t xml:space="preserve">La entidad informa: NO. </w:t>
      </w:r>
      <w:r w:rsidRPr="006B2570">
        <w:rPr>
          <w:rFonts w:ascii="Arial" w:hAnsi="Arial" w:cs="Arial"/>
          <w:sz w:val="24"/>
          <w:szCs w:val="24"/>
        </w:rPr>
        <w:t>El Ministerio de Educación Nacional a continuación presenta el límite para constituir reservas como se puede observar a continuación:</w:t>
      </w:r>
    </w:p>
    <w:p w14:paraId="03603D0F" w14:textId="77777777" w:rsidR="00D96A90" w:rsidRPr="006B2570" w:rsidRDefault="00D96A90" w:rsidP="00D96A90">
      <w:pPr>
        <w:pStyle w:val="Textoindependiente"/>
        <w:spacing w:before="3"/>
        <w:jc w:val="both"/>
        <w:rPr>
          <w:rFonts w:ascii="Arial" w:hAnsi="Arial" w:cs="Arial"/>
          <w:sz w:val="24"/>
          <w:szCs w:val="24"/>
        </w:rPr>
      </w:pPr>
    </w:p>
    <w:p w14:paraId="1E132C90" w14:textId="77777777" w:rsidR="00D96A90" w:rsidRDefault="00D96A90" w:rsidP="00D96A90">
      <w:pPr>
        <w:pStyle w:val="Textoindependiente"/>
        <w:spacing w:before="3"/>
        <w:jc w:val="center"/>
      </w:pPr>
      <w:r w:rsidRPr="009A4FD3">
        <w:rPr>
          <w:noProof/>
          <w:lang w:val="es-CO" w:eastAsia="es-CO"/>
        </w:rPr>
        <w:drawing>
          <wp:inline distT="0" distB="0" distL="0" distR="0" wp14:anchorId="659C8FCD" wp14:editId="4245A948">
            <wp:extent cx="5087060" cy="73352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7060" cy="733527"/>
                    </a:xfrm>
                    <a:prstGeom prst="rect">
                      <a:avLst/>
                    </a:prstGeom>
                  </pic:spPr>
                </pic:pic>
              </a:graphicData>
            </a:graphic>
          </wp:inline>
        </w:drawing>
      </w:r>
    </w:p>
    <w:p w14:paraId="60A1480F" w14:textId="77777777" w:rsidR="00D96A90" w:rsidRDefault="00D96A90" w:rsidP="00D96A90">
      <w:pPr>
        <w:pStyle w:val="Textoindependiente"/>
        <w:spacing w:before="3"/>
        <w:jc w:val="both"/>
      </w:pPr>
    </w:p>
    <w:p w14:paraId="265646AF" w14:textId="77777777" w:rsidR="00D96A90" w:rsidRPr="006B2570" w:rsidRDefault="00D96A90" w:rsidP="00886603">
      <w:pPr>
        <w:pStyle w:val="Textoindependiente"/>
        <w:spacing w:before="3"/>
        <w:ind w:left="-284" w:right="-234"/>
        <w:jc w:val="both"/>
        <w:rPr>
          <w:rFonts w:ascii="Arial" w:hAnsi="Arial" w:cs="Arial"/>
          <w:sz w:val="24"/>
          <w:szCs w:val="24"/>
        </w:rPr>
      </w:pPr>
      <w:r w:rsidRPr="006B2570">
        <w:rPr>
          <w:rFonts w:ascii="Arial" w:hAnsi="Arial" w:cs="Arial"/>
          <w:sz w:val="24"/>
          <w:szCs w:val="24"/>
        </w:rPr>
        <w:t xml:space="preserve">Es importante mencionar que de acuerdo con las limitaciones de flujo de caja para la vigencia 2024 por parte del Ministerio de Hacienda y Crédito Público, que fueron conociendo a nivel nacional, se informa que por la no aprobación de PAC de valor constituido de reserva presupuestal de gastos de inversión $1.719.075.994 corresponden a reservas inducidas por la ley. </w:t>
      </w:r>
    </w:p>
    <w:p w14:paraId="56E27C3E" w14:textId="77777777" w:rsidR="00D96A90" w:rsidRPr="006B2570" w:rsidRDefault="00D96A90" w:rsidP="00886603">
      <w:pPr>
        <w:pStyle w:val="Textoindependiente"/>
        <w:spacing w:before="3"/>
        <w:ind w:left="-284" w:right="-234"/>
        <w:jc w:val="both"/>
        <w:rPr>
          <w:rFonts w:ascii="Arial" w:hAnsi="Arial" w:cs="Arial"/>
          <w:sz w:val="24"/>
          <w:szCs w:val="24"/>
        </w:rPr>
      </w:pPr>
    </w:p>
    <w:p w14:paraId="49C53A1A" w14:textId="77777777" w:rsidR="00D96A90" w:rsidRPr="006B2570" w:rsidRDefault="00D96A90" w:rsidP="00886603">
      <w:pPr>
        <w:pStyle w:val="Textoindependiente"/>
        <w:spacing w:before="3"/>
        <w:ind w:left="-284" w:right="-234"/>
        <w:jc w:val="both"/>
        <w:rPr>
          <w:rFonts w:ascii="Arial" w:hAnsi="Arial" w:cs="Arial"/>
          <w:sz w:val="24"/>
          <w:szCs w:val="24"/>
        </w:rPr>
      </w:pPr>
      <w:r w:rsidRPr="006B2570">
        <w:rPr>
          <w:rFonts w:ascii="Arial" w:hAnsi="Arial" w:cs="Arial"/>
          <w:sz w:val="24"/>
          <w:szCs w:val="24"/>
        </w:rPr>
        <w:t>Por lo anterior, el valor real constituido de reserva presupuestal descontando la reserva inducida, es como se detalla a continuación:</w:t>
      </w:r>
    </w:p>
    <w:p w14:paraId="2E52E0A5" w14:textId="77777777" w:rsidR="00D96A90" w:rsidRDefault="00D96A90" w:rsidP="00D96A90">
      <w:pPr>
        <w:pStyle w:val="Textoindependiente"/>
        <w:spacing w:before="3"/>
        <w:jc w:val="both"/>
      </w:pPr>
    </w:p>
    <w:p w14:paraId="3C80F4AE" w14:textId="77777777" w:rsidR="00D96A90" w:rsidRPr="009A4FD3" w:rsidRDefault="00D96A90" w:rsidP="00D96A90">
      <w:pPr>
        <w:pStyle w:val="Textoindependiente"/>
        <w:spacing w:before="3"/>
        <w:jc w:val="center"/>
      </w:pPr>
      <w:r w:rsidRPr="009A4FD3">
        <w:rPr>
          <w:noProof/>
          <w:lang w:val="es-CO" w:eastAsia="es-CO"/>
        </w:rPr>
        <w:lastRenderedPageBreak/>
        <w:drawing>
          <wp:inline distT="0" distB="0" distL="0" distR="0" wp14:anchorId="057BF8AA" wp14:editId="7FFF4C7F">
            <wp:extent cx="5077534" cy="752580"/>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7534" cy="752580"/>
                    </a:xfrm>
                    <a:prstGeom prst="rect">
                      <a:avLst/>
                    </a:prstGeom>
                  </pic:spPr>
                </pic:pic>
              </a:graphicData>
            </a:graphic>
          </wp:inline>
        </w:drawing>
      </w:r>
    </w:p>
    <w:p w14:paraId="3A378FC7" w14:textId="77777777" w:rsidR="00D96A90" w:rsidRDefault="00D96A90" w:rsidP="00D96A90">
      <w:pPr>
        <w:tabs>
          <w:tab w:val="left" w:pos="875"/>
        </w:tabs>
        <w:ind w:right="-50"/>
        <w:jc w:val="both"/>
        <w:rPr>
          <w:b/>
          <w:sz w:val="28"/>
          <w:szCs w:val="28"/>
        </w:rPr>
      </w:pPr>
    </w:p>
    <w:p w14:paraId="00939399" w14:textId="77777777" w:rsidR="00D96A90" w:rsidRPr="00E92A3B" w:rsidRDefault="00D96A90" w:rsidP="00886603">
      <w:pPr>
        <w:ind w:left="-284" w:right="-234"/>
        <w:jc w:val="both"/>
        <w:rPr>
          <w:rFonts w:ascii="Arial" w:hAnsi="Arial" w:cs="Arial"/>
          <w:b/>
          <w:sz w:val="28"/>
          <w:szCs w:val="28"/>
          <w:lang w:val="es-MX"/>
        </w:rPr>
      </w:pPr>
      <w:r w:rsidRPr="00E92A3B">
        <w:rPr>
          <w:rFonts w:ascii="Arial" w:hAnsi="Arial" w:cs="Arial"/>
          <w:b/>
          <w:sz w:val="28"/>
          <w:szCs w:val="28"/>
          <w:lang w:val="es-MX"/>
        </w:rPr>
        <w:t>269.- DEPARTAMENTO ADMINISTRATIVO NACIONAL DE ESTADÍSTICA - DANE.</w:t>
      </w:r>
    </w:p>
    <w:p w14:paraId="389200F1" w14:textId="77777777" w:rsidR="00D96A90" w:rsidRDefault="00D96A90" w:rsidP="00886603">
      <w:pPr>
        <w:ind w:left="-284" w:right="-234"/>
        <w:rPr>
          <w:rFonts w:ascii="Arial" w:hAnsi="Arial" w:cs="Arial"/>
          <w:sz w:val="24"/>
          <w:szCs w:val="24"/>
          <w:lang w:val="es-MX"/>
        </w:rPr>
      </w:pPr>
    </w:p>
    <w:p w14:paraId="543AE568" w14:textId="77777777" w:rsidR="00D96A90" w:rsidRPr="00571C0D" w:rsidRDefault="00D96A90" w:rsidP="00886603">
      <w:pPr>
        <w:pStyle w:val="Textoindependiente"/>
        <w:spacing w:before="3"/>
        <w:ind w:left="-284" w:right="-234"/>
        <w:jc w:val="both"/>
        <w:rPr>
          <w:rFonts w:ascii="Arial" w:hAnsi="Arial" w:cs="Arial"/>
          <w:sz w:val="24"/>
          <w:szCs w:val="24"/>
        </w:rPr>
      </w:pPr>
      <w:r w:rsidRPr="006B2570">
        <w:rPr>
          <w:rFonts w:ascii="Arial" w:hAnsi="Arial" w:cs="Arial"/>
          <w:b/>
          <w:sz w:val="24"/>
          <w:szCs w:val="24"/>
        </w:rPr>
        <w:t xml:space="preserve">La entidad informa: </w:t>
      </w:r>
      <w:r w:rsidRPr="00571C0D">
        <w:rPr>
          <w:rFonts w:ascii="Arial" w:hAnsi="Arial" w:cs="Arial"/>
          <w:sz w:val="24"/>
          <w:szCs w:val="24"/>
        </w:rPr>
        <w:t>Para el caso de Inversión, cuyas reservas constituidas en el 2024 fueron de $109.428.878 miles, equivalentes al 25,15% del total de la apropiación de Inversión y que nos generó el incumplimiento frente a la norma, superando el 15%, tenemos que, de haber contado con la disponibilidad de PAC, la constitución de reservas presupuestales estaría por el orden del 11,62%, cumpliendo con la normativa para la constitución de reservas presupuestales, tal como se relaciona en el siguiente cuadro:</w:t>
      </w:r>
    </w:p>
    <w:p w14:paraId="727FB380" w14:textId="77777777" w:rsidR="00D96A90" w:rsidRDefault="00D96A90" w:rsidP="00D96A90">
      <w:pPr>
        <w:pStyle w:val="Textoindependiente"/>
        <w:spacing w:before="3"/>
        <w:jc w:val="both"/>
      </w:pPr>
    </w:p>
    <w:tbl>
      <w:tblPr>
        <w:tblStyle w:val="TableNormal"/>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97"/>
        <w:gridCol w:w="2226"/>
      </w:tblGrid>
      <w:tr w:rsidR="00D96A90" w14:paraId="7490494F" w14:textId="77777777" w:rsidTr="00EF5AF2">
        <w:trPr>
          <w:trHeight w:val="282"/>
        </w:trPr>
        <w:tc>
          <w:tcPr>
            <w:tcW w:w="9923" w:type="dxa"/>
            <w:gridSpan w:val="2"/>
          </w:tcPr>
          <w:p w14:paraId="281624D8" w14:textId="77777777" w:rsidR="00D96A90" w:rsidRDefault="00D96A90" w:rsidP="00EF5AF2">
            <w:pPr>
              <w:pStyle w:val="TableParagraph"/>
              <w:spacing w:before="15" w:line="247" w:lineRule="exact"/>
              <w:ind w:left="13"/>
              <w:jc w:val="center"/>
              <w:rPr>
                <w:b/>
                <w:sz w:val="20"/>
              </w:rPr>
            </w:pPr>
            <w:r>
              <w:rPr>
                <w:b/>
                <w:sz w:val="20"/>
              </w:rPr>
              <w:t>%</w:t>
            </w:r>
            <w:r>
              <w:rPr>
                <w:b/>
                <w:spacing w:val="-11"/>
                <w:sz w:val="20"/>
              </w:rPr>
              <w:t xml:space="preserve"> </w:t>
            </w:r>
            <w:r>
              <w:rPr>
                <w:b/>
                <w:sz w:val="20"/>
              </w:rPr>
              <w:t>REAL</w:t>
            </w:r>
            <w:r>
              <w:rPr>
                <w:b/>
                <w:spacing w:val="-6"/>
                <w:sz w:val="20"/>
              </w:rPr>
              <w:t xml:space="preserve"> </w:t>
            </w:r>
            <w:r>
              <w:rPr>
                <w:b/>
                <w:sz w:val="20"/>
              </w:rPr>
              <w:t>DE</w:t>
            </w:r>
            <w:r>
              <w:rPr>
                <w:b/>
                <w:spacing w:val="-10"/>
                <w:sz w:val="20"/>
              </w:rPr>
              <w:t xml:space="preserve"> </w:t>
            </w:r>
            <w:r>
              <w:rPr>
                <w:b/>
                <w:sz w:val="20"/>
              </w:rPr>
              <w:t>CONSTITUCIÓN</w:t>
            </w:r>
            <w:r>
              <w:rPr>
                <w:b/>
                <w:spacing w:val="-6"/>
                <w:sz w:val="20"/>
              </w:rPr>
              <w:t xml:space="preserve"> </w:t>
            </w:r>
            <w:r>
              <w:rPr>
                <w:b/>
                <w:sz w:val="20"/>
              </w:rPr>
              <w:t>RESERVAS</w:t>
            </w:r>
            <w:r>
              <w:rPr>
                <w:b/>
                <w:spacing w:val="-1"/>
                <w:sz w:val="20"/>
              </w:rPr>
              <w:t xml:space="preserve"> </w:t>
            </w:r>
            <w:r>
              <w:rPr>
                <w:b/>
                <w:sz w:val="20"/>
              </w:rPr>
              <w:t>CON</w:t>
            </w:r>
            <w:r>
              <w:rPr>
                <w:b/>
                <w:spacing w:val="-10"/>
                <w:sz w:val="20"/>
              </w:rPr>
              <w:t xml:space="preserve"> </w:t>
            </w:r>
            <w:r>
              <w:rPr>
                <w:b/>
                <w:sz w:val="20"/>
              </w:rPr>
              <w:t>DISPONIBILIDAD</w:t>
            </w:r>
            <w:r>
              <w:rPr>
                <w:b/>
                <w:spacing w:val="-7"/>
                <w:sz w:val="20"/>
              </w:rPr>
              <w:t xml:space="preserve"> </w:t>
            </w:r>
            <w:r>
              <w:rPr>
                <w:b/>
                <w:sz w:val="20"/>
              </w:rPr>
              <w:t>DE</w:t>
            </w:r>
            <w:r>
              <w:rPr>
                <w:b/>
                <w:spacing w:val="-10"/>
                <w:sz w:val="20"/>
              </w:rPr>
              <w:t xml:space="preserve"> </w:t>
            </w:r>
            <w:r>
              <w:rPr>
                <w:b/>
                <w:sz w:val="20"/>
              </w:rPr>
              <w:t>PAC</w:t>
            </w:r>
            <w:r>
              <w:rPr>
                <w:b/>
                <w:spacing w:val="-9"/>
                <w:sz w:val="20"/>
              </w:rPr>
              <w:t xml:space="preserve"> </w:t>
            </w:r>
            <w:r>
              <w:rPr>
                <w:b/>
                <w:spacing w:val="-2"/>
                <w:sz w:val="20"/>
              </w:rPr>
              <w:t>INVERSIÓN</w:t>
            </w:r>
          </w:p>
        </w:tc>
      </w:tr>
      <w:tr w:rsidR="00D96A90" w14:paraId="6DD2A8C5" w14:textId="77777777" w:rsidTr="00EF5AF2">
        <w:trPr>
          <w:trHeight w:val="292"/>
        </w:trPr>
        <w:tc>
          <w:tcPr>
            <w:tcW w:w="7697" w:type="dxa"/>
          </w:tcPr>
          <w:p w14:paraId="5E59498B" w14:textId="77777777" w:rsidR="00D96A90" w:rsidRDefault="00D96A90" w:rsidP="00EF5AF2">
            <w:pPr>
              <w:pStyle w:val="TableParagraph"/>
              <w:spacing w:before="30" w:line="242" w:lineRule="exact"/>
              <w:ind w:left="69"/>
              <w:rPr>
                <w:sz w:val="20"/>
              </w:rPr>
            </w:pPr>
            <w:r>
              <w:rPr>
                <w:spacing w:val="-2"/>
                <w:sz w:val="20"/>
              </w:rPr>
              <w:t>RESERVAS</w:t>
            </w:r>
            <w:r>
              <w:rPr>
                <w:spacing w:val="6"/>
                <w:sz w:val="20"/>
              </w:rPr>
              <w:t xml:space="preserve"> </w:t>
            </w:r>
            <w:r>
              <w:rPr>
                <w:spacing w:val="-2"/>
                <w:sz w:val="20"/>
              </w:rPr>
              <w:t>CONSTITUIDAS</w:t>
            </w:r>
            <w:r>
              <w:rPr>
                <w:spacing w:val="4"/>
                <w:sz w:val="20"/>
              </w:rPr>
              <w:t xml:space="preserve"> </w:t>
            </w:r>
            <w:r>
              <w:rPr>
                <w:spacing w:val="-4"/>
                <w:sz w:val="20"/>
              </w:rPr>
              <w:t>2024</w:t>
            </w:r>
          </w:p>
        </w:tc>
        <w:tc>
          <w:tcPr>
            <w:tcW w:w="2226" w:type="dxa"/>
          </w:tcPr>
          <w:p w14:paraId="22673E6D" w14:textId="77777777" w:rsidR="00D96A90" w:rsidRDefault="00D96A90" w:rsidP="00EF5AF2">
            <w:pPr>
              <w:pStyle w:val="TableParagraph"/>
              <w:tabs>
                <w:tab w:val="left" w:pos="565"/>
              </w:tabs>
              <w:spacing w:before="30" w:line="242" w:lineRule="exact"/>
              <w:ind w:left="129"/>
              <w:rPr>
                <w:sz w:val="20"/>
              </w:rPr>
            </w:pPr>
            <w:r>
              <w:rPr>
                <w:spacing w:val="-10"/>
                <w:sz w:val="20"/>
              </w:rPr>
              <w:t>$</w:t>
            </w:r>
            <w:r>
              <w:rPr>
                <w:sz w:val="20"/>
              </w:rPr>
              <w:tab/>
            </w:r>
            <w:r>
              <w:rPr>
                <w:spacing w:val="-2"/>
                <w:sz w:val="20"/>
              </w:rPr>
              <w:t>109.428.878,00</w:t>
            </w:r>
          </w:p>
        </w:tc>
      </w:tr>
      <w:tr w:rsidR="00D96A90" w14:paraId="36FC3464" w14:textId="77777777" w:rsidTr="00EF5AF2">
        <w:trPr>
          <w:trHeight w:val="282"/>
        </w:trPr>
        <w:tc>
          <w:tcPr>
            <w:tcW w:w="7697" w:type="dxa"/>
          </w:tcPr>
          <w:p w14:paraId="45A19137" w14:textId="77777777" w:rsidR="00D96A90" w:rsidRDefault="00D96A90" w:rsidP="00EF5AF2">
            <w:pPr>
              <w:pStyle w:val="TableParagraph"/>
              <w:spacing w:before="15" w:line="247" w:lineRule="exact"/>
              <w:ind w:left="69"/>
              <w:rPr>
                <w:sz w:val="20"/>
              </w:rPr>
            </w:pPr>
            <w:r>
              <w:rPr>
                <w:sz w:val="20"/>
              </w:rPr>
              <w:t>CUENTAS</w:t>
            </w:r>
            <w:r>
              <w:rPr>
                <w:spacing w:val="-7"/>
                <w:sz w:val="20"/>
              </w:rPr>
              <w:t xml:space="preserve"> </w:t>
            </w:r>
            <w:r>
              <w:rPr>
                <w:sz w:val="20"/>
              </w:rPr>
              <w:t>RADICADAS</w:t>
            </w:r>
            <w:r>
              <w:rPr>
                <w:spacing w:val="-10"/>
                <w:sz w:val="20"/>
              </w:rPr>
              <w:t xml:space="preserve"> </w:t>
            </w:r>
            <w:r>
              <w:rPr>
                <w:sz w:val="20"/>
              </w:rPr>
              <w:t>SIN</w:t>
            </w:r>
            <w:r>
              <w:rPr>
                <w:spacing w:val="-6"/>
                <w:sz w:val="20"/>
              </w:rPr>
              <w:t xml:space="preserve"> </w:t>
            </w:r>
            <w:r>
              <w:rPr>
                <w:sz w:val="20"/>
              </w:rPr>
              <w:t>DISPONIBILIDAD</w:t>
            </w:r>
            <w:r>
              <w:rPr>
                <w:spacing w:val="-10"/>
                <w:sz w:val="20"/>
              </w:rPr>
              <w:t xml:space="preserve"> </w:t>
            </w:r>
            <w:r>
              <w:rPr>
                <w:sz w:val="20"/>
              </w:rPr>
              <w:t>DE</w:t>
            </w:r>
            <w:r>
              <w:rPr>
                <w:spacing w:val="-10"/>
                <w:sz w:val="20"/>
              </w:rPr>
              <w:t xml:space="preserve"> </w:t>
            </w:r>
            <w:r>
              <w:rPr>
                <w:sz w:val="20"/>
              </w:rPr>
              <w:t>PAC</w:t>
            </w:r>
            <w:r>
              <w:rPr>
                <w:spacing w:val="-14"/>
                <w:sz w:val="20"/>
              </w:rPr>
              <w:t xml:space="preserve"> </w:t>
            </w:r>
            <w:r>
              <w:rPr>
                <w:sz w:val="20"/>
              </w:rPr>
              <w:t>PARA</w:t>
            </w:r>
            <w:r>
              <w:rPr>
                <w:spacing w:val="-4"/>
                <w:sz w:val="20"/>
              </w:rPr>
              <w:t xml:space="preserve"> PAGO</w:t>
            </w:r>
          </w:p>
        </w:tc>
        <w:tc>
          <w:tcPr>
            <w:tcW w:w="2226" w:type="dxa"/>
          </w:tcPr>
          <w:p w14:paraId="624CCA5D" w14:textId="77777777" w:rsidR="00D96A90" w:rsidRDefault="00D96A90" w:rsidP="00EF5AF2">
            <w:pPr>
              <w:pStyle w:val="TableParagraph"/>
              <w:tabs>
                <w:tab w:val="left" w:pos="617"/>
              </w:tabs>
              <w:spacing w:before="15" w:line="247" w:lineRule="exact"/>
              <w:ind w:left="129"/>
              <w:rPr>
                <w:sz w:val="20"/>
              </w:rPr>
            </w:pPr>
            <w:r>
              <w:rPr>
                <w:spacing w:val="-10"/>
                <w:sz w:val="20"/>
              </w:rPr>
              <w:t>$</w:t>
            </w:r>
            <w:r>
              <w:rPr>
                <w:sz w:val="20"/>
              </w:rPr>
              <w:tab/>
            </w:r>
            <w:r>
              <w:rPr>
                <w:spacing w:val="-2"/>
                <w:sz w:val="20"/>
              </w:rPr>
              <w:t>58.863.975,00</w:t>
            </w:r>
          </w:p>
        </w:tc>
      </w:tr>
      <w:tr w:rsidR="00D96A90" w14:paraId="61EFBD72" w14:textId="77777777" w:rsidTr="00EF5AF2">
        <w:trPr>
          <w:trHeight w:val="277"/>
        </w:trPr>
        <w:tc>
          <w:tcPr>
            <w:tcW w:w="7697" w:type="dxa"/>
            <w:shd w:val="clear" w:color="auto" w:fill="D8E1F2"/>
          </w:tcPr>
          <w:p w14:paraId="0472BBAB" w14:textId="77777777" w:rsidR="00D96A90" w:rsidRDefault="00D96A90" w:rsidP="00EF5AF2">
            <w:pPr>
              <w:pStyle w:val="TableParagraph"/>
              <w:spacing w:before="18" w:line="240" w:lineRule="exact"/>
              <w:ind w:left="69"/>
              <w:rPr>
                <w:sz w:val="20"/>
              </w:rPr>
            </w:pPr>
            <w:r>
              <w:rPr>
                <w:sz w:val="20"/>
              </w:rPr>
              <w:t>VALOR</w:t>
            </w:r>
            <w:r>
              <w:rPr>
                <w:spacing w:val="-10"/>
                <w:sz w:val="20"/>
              </w:rPr>
              <w:t xml:space="preserve"> </w:t>
            </w:r>
            <w:r>
              <w:rPr>
                <w:sz w:val="20"/>
              </w:rPr>
              <w:t>REAL</w:t>
            </w:r>
            <w:r>
              <w:rPr>
                <w:spacing w:val="-10"/>
                <w:sz w:val="20"/>
              </w:rPr>
              <w:t xml:space="preserve"> </w:t>
            </w:r>
            <w:r>
              <w:rPr>
                <w:sz w:val="20"/>
              </w:rPr>
              <w:t>CONSTITUCIÓN</w:t>
            </w:r>
            <w:r>
              <w:rPr>
                <w:spacing w:val="-7"/>
                <w:sz w:val="20"/>
              </w:rPr>
              <w:t xml:space="preserve"> </w:t>
            </w:r>
            <w:r>
              <w:rPr>
                <w:sz w:val="20"/>
              </w:rPr>
              <w:t>DE</w:t>
            </w:r>
            <w:r>
              <w:rPr>
                <w:spacing w:val="-9"/>
                <w:sz w:val="20"/>
              </w:rPr>
              <w:t xml:space="preserve"> </w:t>
            </w:r>
            <w:r>
              <w:rPr>
                <w:sz w:val="20"/>
              </w:rPr>
              <w:t>RESERVAS</w:t>
            </w:r>
            <w:r>
              <w:rPr>
                <w:spacing w:val="-10"/>
                <w:sz w:val="20"/>
              </w:rPr>
              <w:t xml:space="preserve"> </w:t>
            </w:r>
            <w:r>
              <w:rPr>
                <w:spacing w:val="-2"/>
                <w:sz w:val="20"/>
              </w:rPr>
              <w:t>PRESUPUESTALES</w:t>
            </w:r>
          </w:p>
        </w:tc>
        <w:tc>
          <w:tcPr>
            <w:tcW w:w="2226" w:type="dxa"/>
            <w:shd w:val="clear" w:color="auto" w:fill="D8E1F2"/>
          </w:tcPr>
          <w:p w14:paraId="409652B5" w14:textId="77777777" w:rsidR="00D96A90" w:rsidRDefault="00D96A90" w:rsidP="00EF5AF2">
            <w:pPr>
              <w:pStyle w:val="TableParagraph"/>
              <w:tabs>
                <w:tab w:val="left" w:pos="618"/>
              </w:tabs>
              <w:spacing w:before="18" w:line="240" w:lineRule="exact"/>
              <w:ind w:left="129"/>
              <w:rPr>
                <w:sz w:val="20"/>
              </w:rPr>
            </w:pPr>
            <w:r>
              <w:rPr>
                <w:spacing w:val="-10"/>
                <w:sz w:val="20"/>
              </w:rPr>
              <w:t>$</w:t>
            </w:r>
            <w:r>
              <w:rPr>
                <w:sz w:val="20"/>
              </w:rPr>
              <w:tab/>
            </w:r>
            <w:r>
              <w:rPr>
                <w:spacing w:val="-2"/>
                <w:sz w:val="20"/>
              </w:rPr>
              <w:t>50.564.903,00</w:t>
            </w:r>
          </w:p>
        </w:tc>
      </w:tr>
      <w:tr w:rsidR="00D96A90" w14:paraId="58811CF1" w14:textId="77777777" w:rsidTr="00EF5AF2">
        <w:trPr>
          <w:trHeight w:val="296"/>
        </w:trPr>
        <w:tc>
          <w:tcPr>
            <w:tcW w:w="7697" w:type="dxa"/>
          </w:tcPr>
          <w:p w14:paraId="4543BA7F" w14:textId="77777777" w:rsidR="00D96A90" w:rsidRDefault="00D96A90" w:rsidP="00EF5AF2">
            <w:pPr>
              <w:pStyle w:val="TableParagraph"/>
              <w:spacing w:before="32" w:line="245" w:lineRule="exact"/>
              <w:ind w:left="69"/>
              <w:rPr>
                <w:sz w:val="20"/>
              </w:rPr>
            </w:pPr>
            <w:r>
              <w:rPr>
                <w:sz w:val="20"/>
              </w:rPr>
              <w:t>%</w:t>
            </w:r>
            <w:r>
              <w:rPr>
                <w:spacing w:val="-6"/>
                <w:sz w:val="20"/>
              </w:rPr>
              <w:t xml:space="preserve"> </w:t>
            </w:r>
            <w:r>
              <w:rPr>
                <w:sz w:val="20"/>
              </w:rPr>
              <w:t>REAL</w:t>
            </w:r>
            <w:r>
              <w:rPr>
                <w:spacing w:val="-6"/>
                <w:sz w:val="20"/>
              </w:rPr>
              <w:t xml:space="preserve"> </w:t>
            </w:r>
            <w:r>
              <w:rPr>
                <w:sz w:val="20"/>
              </w:rPr>
              <w:t>DE</w:t>
            </w:r>
            <w:r>
              <w:rPr>
                <w:spacing w:val="-4"/>
                <w:sz w:val="20"/>
              </w:rPr>
              <w:t xml:space="preserve"> </w:t>
            </w:r>
            <w:r>
              <w:rPr>
                <w:sz w:val="20"/>
              </w:rPr>
              <w:t>CONSTITUCIÓN</w:t>
            </w:r>
            <w:r>
              <w:rPr>
                <w:spacing w:val="-5"/>
                <w:sz w:val="20"/>
              </w:rPr>
              <w:t xml:space="preserve"> </w:t>
            </w:r>
            <w:r>
              <w:rPr>
                <w:sz w:val="20"/>
              </w:rPr>
              <w:t>RESERVAS</w:t>
            </w:r>
            <w:r>
              <w:rPr>
                <w:spacing w:val="-6"/>
                <w:sz w:val="20"/>
              </w:rPr>
              <w:t xml:space="preserve"> </w:t>
            </w:r>
            <w:r>
              <w:rPr>
                <w:sz w:val="20"/>
              </w:rPr>
              <w:t>FRENTE</w:t>
            </w:r>
            <w:r>
              <w:rPr>
                <w:spacing w:val="-5"/>
                <w:sz w:val="20"/>
              </w:rPr>
              <w:t xml:space="preserve"> </w:t>
            </w:r>
            <w:r>
              <w:rPr>
                <w:sz w:val="20"/>
              </w:rPr>
              <w:t>A</w:t>
            </w:r>
            <w:r>
              <w:rPr>
                <w:spacing w:val="-8"/>
                <w:sz w:val="20"/>
              </w:rPr>
              <w:t xml:space="preserve"> </w:t>
            </w:r>
            <w:r>
              <w:rPr>
                <w:sz w:val="20"/>
              </w:rPr>
              <w:t>LA</w:t>
            </w:r>
            <w:r>
              <w:rPr>
                <w:spacing w:val="-8"/>
                <w:sz w:val="20"/>
              </w:rPr>
              <w:t xml:space="preserve"> </w:t>
            </w:r>
            <w:r>
              <w:rPr>
                <w:spacing w:val="-2"/>
                <w:sz w:val="20"/>
              </w:rPr>
              <w:t>APROPIACIÓN</w:t>
            </w:r>
          </w:p>
        </w:tc>
        <w:tc>
          <w:tcPr>
            <w:tcW w:w="2226" w:type="dxa"/>
          </w:tcPr>
          <w:p w14:paraId="52566C2F" w14:textId="77777777" w:rsidR="00D96A90" w:rsidRDefault="00D96A90" w:rsidP="00EF5AF2">
            <w:pPr>
              <w:pStyle w:val="TableParagraph"/>
              <w:spacing w:before="32" w:line="245" w:lineRule="exact"/>
              <w:ind w:left="11"/>
              <w:jc w:val="center"/>
              <w:rPr>
                <w:b/>
                <w:sz w:val="20"/>
              </w:rPr>
            </w:pPr>
            <w:r>
              <w:rPr>
                <w:b/>
                <w:spacing w:val="-2"/>
                <w:sz w:val="20"/>
              </w:rPr>
              <w:t>11,62%</w:t>
            </w:r>
          </w:p>
        </w:tc>
      </w:tr>
    </w:tbl>
    <w:p w14:paraId="6C402988" w14:textId="77777777" w:rsidR="00D96A90" w:rsidRDefault="00D96A90" w:rsidP="00D96A90">
      <w:pPr>
        <w:pStyle w:val="Textoindependiente"/>
        <w:spacing w:before="3"/>
        <w:jc w:val="both"/>
      </w:pPr>
    </w:p>
    <w:p w14:paraId="74863A64" w14:textId="77777777" w:rsidR="00D96A90" w:rsidRPr="00571C0D" w:rsidRDefault="00D96A90" w:rsidP="00886603">
      <w:pPr>
        <w:pStyle w:val="Textoindependiente"/>
        <w:spacing w:before="3"/>
        <w:ind w:left="-284" w:right="-234"/>
        <w:jc w:val="both"/>
        <w:rPr>
          <w:rFonts w:ascii="Arial" w:hAnsi="Arial" w:cs="Arial"/>
          <w:sz w:val="24"/>
          <w:szCs w:val="24"/>
        </w:rPr>
      </w:pPr>
      <w:r w:rsidRPr="00571C0D">
        <w:rPr>
          <w:rFonts w:ascii="Arial" w:hAnsi="Arial" w:cs="Arial"/>
          <w:sz w:val="24"/>
          <w:szCs w:val="24"/>
        </w:rPr>
        <w:t xml:space="preserve">Es preciso informar que, en el mes de diciembre se liquidaron, obligaron y pagaron en el Área Financiera, 19664 cuentas de cobro, además se radicaron a nivel nacional 24055 cuentas de cobro por un valor superior a los $58 mil millones de pesos, en su mayoría, para el pago del personal contratista vinculado al desarrollo de los operativos en Territorio del Censo Económico Nacional Urbano </w:t>
      </w:r>
      <w:r w:rsidRPr="00571C0D">
        <w:rPr>
          <w:rFonts w:ascii="Arial" w:hAnsi="Arial" w:cs="Arial"/>
          <w:noProof/>
          <w:sz w:val="24"/>
          <w:szCs w:val="24"/>
          <w:lang w:val="es-CO" w:eastAsia="es-CO"/>
        </w:rPr>
        <w:drawing>
          <wp:inline distT="0" distB="0" distL="0" distR="0" wp14:anchorId="0026B3EE" wp14:editId="67D15473">
            <wp:extent cx="71628" cy="1066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71628" cy="10667"/>
                    </a:xfrm>
                    <a:prstGeom prst="rect">
                      <a:avLst/>
                    </a:prstGeom>
                  </pic:spPr>
                </pic:pic>
              </a:graphicData>
            </a:graphic>
          </wp:inline>
        </w:drawing>
      </w:r>
      <w:r w:rsidRPr="00571C0D">
        <w:rPr>
          <w:rFonts w:ascii="Arial" w:hAnsi="Arial" w:cs="Arial"/>
          <w:sz w:val="24"/>
          <w:szCs w:val="24"/>
        </w:rPr>
        <w:t xml:space="preserve"> CENU.</w:t>
      </w:r>
    </w:p>
    <w:p w14:paraId="5C7B156C" w14:textId="77777777" w:rsidR="00D96A90" w:rsidRPr="00571C0D" w:rsidRDefault="00D96A90" w:rsidP="00886603">
      <w:pPr>
        <w:pStyle w:val="Textoindependiente"/>
        <w:spacing w:before="3"/>
        <w:ind w:left="-284" w:right="-234"/>
        <w:jc w:val="both"/>
        <w:rPr>
          <w:rFonts w:ascii="Arial" w:hAnsi="Arial" w:cs="Arial"/>
          <w:sz w:val="24"/>
          <w:szCs w:val="24"/>
        </w:rPr>
      </w:pPr>
    </w:p>
    <w:p w14:paraId="78F1BD40" w14:textId="77777777" w:rsidR="00D96A90" w:rsidRPr="00571C0D" w:rsidRDefault="00D96A90" w:rsidP="00886603">
      <w:pPr>
        <w:pStyle w:val="Textoindependiente"/>
        <w:spacing w:before="3"/>
        <w:ind w:left="-284" w:right="-234"/>
        <w:jc w:val="both"/>
        <w:rPr>
          <w:rFonts w:ascii="Arial" w:hAnsi="Arial" w:cs="Arial"/>
          <w:sz w:val="24"/>
          <w:szCs w:val="24"/>
        </w:rPr>
      </w:pPr>
      <w:r w:rsidRPr="00571C0D">
        <w:rPr>
          <w:rFonts w:ascii="Arial" w:hAnsi="Arial" w:cs="Arial"/>
          <w:sz w:val="24"/>
          <w:szCs w:val="24"/>
        </w:rPr>
        <w:t xml:space="preserve">Con fecha de corte al mes de marzo de 2025, el Departamento Administrativo Nacional de Estadística </w:t>
      </w:r>
      <w:r w:rsidRPr="00571C0D">
        <w:rPr>
          <w:rFonts w:ascii="Arial" w:hAnsi="Arial" w:cs="Arial"/>
          <w:noProof/>
          <w:sz w:val="24"/>
          <w:szCs w:val="24"/>
          <w:lang w:val="es-CO" w:eastAsia="es-CO"/>
        </w:rPr>
        <w:drawing>
          <wp:inline distT="0" distB="0" distL="0" distR="0" wp14:anchorId="64A1B950" wp14:editId="2B4F0BC1">
            <wp:extent cx="71628" cy="1066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71628" cy="10668"/>
                    </a:xfrm>
                    <a:prstGeom prst="rect">
                      <a:avLst/>
                    </a:prstGeom>
                  </pic:spPr>
                </pic:pic>
              </a:graphicData>
            </a:graphic>
          </wp:inline>
        </w:drawing>
      </w:r>
      <w:r w:rsidRPr="00571C0D">
        <w:rPr>
          <w:rFonts w:ascii="Arial" w:hAnsi="Arial" w:cs="Arial"/>
          <w:sz w:val="24"/>
          <w:szCs w:val="24"/>
        </w:rPr>
        <w:t xml:space="preserve"> DANE, ha realizado seis (6) solicitudes de PAC rezago presupuestal por valor de $71.850.738 miles, realizando el proceso de pago de aproximadamente 26300 cuentas de cobro, por lo tanto, se ha ejecutado el 47,14% de las reservas presupuestales de Funcionamiento y se ha ejecutado el 71,13% de las reservas presupuestales del rubro de Inversión.</w:t>
      </w:r>
    </w:p>
    <w:p w14:paraId="6CF64B77" w14:textId="77777777" w:rsidR="00D96A90" w:rsidRPr="00571C0D" w:rsidRDefault="00D96A90" w:rsidP="00886603">
      <w:pPr>
        <w:pStyle w:val="Textoindependiente"/>
        <w:spacing w:before="3"/>
        <w:ind w:left="-284" w:right="-234"/>
        <w:jc w:val="both"/>
        <w:rPr>
          <w:rFonts w:ascii="Arial" w:hAnsi="Arial" w:cs="Arial"/>
          <w:sz w:val="24"/>
          <w:szCs w:val="24"/>
        </w:rPr>
      </w:pPr>
    </w:p>
    <w:p w14:paraId="3FBA00F4" w14:textId="77777777" w:rsidR="00D96A90" w:rsidRPr="00571C0D" w:rsidRDefault="00D96A90" w:rsidP="00886603">
      <w:pPr>
        <w:pStyle w:val="Textoindependiente"/>
        <w:spacing w:before="3"/>
        <w:ind w:left="-284" w:right="-234"/>
        <w:jc w:val="both"/>
        <w:rPr>
          <w:rFonts w:ascii="Arial" w:hAnsi="Arial" w:cs="Arial"/>
          <w:sz w:val="24"/>
          <w:szCs w:val="24"/>
        </w:rPr>
      </w:pPr>
      <w:r w:rsidRPr="00571C0D">
        <w:rPr>
          <w:rFonts w:ascii="Arial" w:hAnsi="Arial" w:cs="Arial"/>
          <w:sz w:val="24"/>
          <w:szCs w:val="24"/>
        </w:rPr>
        <w:t>Teniendo en cuenta lo anterior, me permito indicar que existen tres hechos jurídicos que permiten la constitución de las reservas presupuestales, los cuales se pueden definir de la siguiente manera:</w:t>
      </w:r>
    </w:p>
    <w:p w14:paraId="2A54DF53" w14:textId="77777777" w:rsidR="00D96A90" w:rsidRPr="00571C0D" w:rsidRDefault="00D96A90" w:rsidP="00CB6055">
      <w:pPr>
        <w:pStyle w:val="Textoindependiente"/>
        <w:numPr>
          <w:ilvl w:val="0"/>
          <w:numId w:val="46"/>
        </w:numPr>
        <w:spacing w:before="3"/>
        <w:ind w:right="-234"/>
        <w:jc w:val="both"/>
        <w:rPr>
          <w:rFonts w:ascii="Arial" w:hAnsi="Arial" w:cs="Arial"/>
          <w:sz w:val="24"/>
          <w:szCs w:val="24"/>
        </w:rPr>
      </w:pPr>
      <w:r w:rsidRPr="00571C0D">
        <w:rPr>
          <w:rFonts w:ascii="Arial" w:hAnsi="Arial" w:cs="Arial"/>
          <w:sz w:val="24"/>
          <w:szCs w:val="24"/>
        </w:rPr>
        <w:t>El proceso de constitución de la reserva presupuestal, bajo el enunciado del Artículo 89 del Decreto 111 de 1996, que cita lo siguiente:</w:t>
      </w:r>
    </w:p>
    <w:p w14:paraId="15084EF1" w14:textId="77777777" w:rsidR="00D96A90" w:rsidRPr="00571C0D" w:rsidRDefault="00D96A90" w:rsidP="00D96A90">
      <w:pPr>
        <w:pStyle w:val="Textoindependiente"/>
        <w:spacing w:before="3"/>
        <w:ind w:left="772"/>
        <w:jc w:val="both"/>
        <w:rPr>
          <w:rFonts w:ascii="Arial" w:hAnsi="Arial" w:cs="Arial"/>
          <w:sz w:val="24"/>
          <w:szCs w:val="24"/>
        </w:rPr>
      </w:pPr>
    </w:p>
    <w:p w14:paraId="7AC93A94" w14:textId="77777777" w:rsidR="00D96A90" w:rsidRPr="00571C0D" w:rsidRDefault="00D96A90" w:rsidP="005F6CF8">
      <w:pPr>
        <w:pStyle w:val="Textoindependiente"/>
        <w:spacing w:before="3"/>
        <w:ind w:left="-284" w:right="-234"/>
        <w:jc w:val="both"/>
        <w:rPr>
          <w:rFonts w:ascii="Arial" w:hAnsi="Arial" w:cs="Arial"/>
          <w:sz w:val="24"/>
          <w:szCs w:val="24"/>
        </w:rPr>
      </w:pPr>
      <w:r w:rsidRPr="00571C0D">
        <w:rPr>
          <w:rFonts w:ascii="Arial" w:hAnsi="Arial" w:cs="Arial"/>
          <w:sz w:val="24"/>
          <w:szCs w:val="24"/>
        </w:rPr>
        <w:t>ARTICULO 89. Las apropiaciones incluidas en el presupuesto general de la Nación, son autorizaciones máximas de gasto que el Congreso aprueba para ser ejecutadas o comprometidas durante la vigencia fiscal respectiva.</w:t>
      </w:r>
    </w:p>
    <w:p w14:paraId="14D94777" w14:textId="77777777" w:rsidR="00D96A90" w:rsidRPr="00571C0D" w:rsidRDefault="00D96A90" w:rsidP="005F6CF8">
      <w:pPr>
        <w:pStyle w:val="Textoindependiente"/>
        <w:spacing w:before="3"/>
        <w:ind w:left="-284" w:right="-234"/>
        <w:jc w:val="both"/>
        <w:rPr>
          <w:rFonts w:ascii="Arial" w:hAnsi="Arial" w:cs="Arial"/>
          <w:sz w:val="24"/>
          <w:szCs w:val="24"/>
        </w:rPr>
      </w:pPr>
    </w:p>
    <w:p w14:paraId="6E9751E8" w14:textId="77777777" w:rsidR="00D96A90" w:rsidRPr="00571C0D" w:rsidRDefault="00D96A90" w:rsidP="005F6CF8">
      <w:pPr>
        <w:pStyle w:val="Textoindependiente"/>
        <w:spacing w:before="3"/>
        <w:ind w:left="-284" w:right="-234"/>
        <w:jc w:val="both"/>
        <w:rPr>
          <w:rFonts w:ascii="Arial" w:hAnsi="Arial" w:cs="Arial"/>
          <w:sz w:val="24"/>
          <w:szCs w:val="24"/>
        </w:rPr>
      </w:pPr>
      <w:r w:rsidRPr="00571C0D">
        <w:rPr>
          <w:rFonts w:ascii="Arial" w:hAnsi="Arial" w:cs="Arial"/>
          <w:sz w:val="24"/>
          <w:szCs w:val="24"/>
        </w:rPr>
        <w:t>Después del 31 de diciembre de cada año estas autorizaciones expiran y, en consecuencia, no podrán comprometerse, adicionarse, transferirse, ni contracreditarse.</w:t>
      </w:r>
    </w:p>
    <w:p w14:paraId="3E2E1B88" w14:textId="77777777" w:rsidR="00D96A90" w:rsidRPr="00571C0D" w:rsidRDefault="00D96A90" w:rsidP="005F6CF8">
      <w:pPr>
        <w:pStyle w:val="Textoindependiente"/>
        <w:spacing w:before="3"/>
        <w:ind w:left="-284" w:right="-234"/>
        <w:jc w:val="both"/>
        <w:rPr>
          <w:rFonts w:ascii="Arial" w:hAnsi="Arial" w:cs="Arial"/>
          <w:sz w:val="24"/>
          <w:szCs w:val="24"/>
        </w:rPr>
      </w:pPr>
    </w:p>
    <w:p w14:paraId="09E2F9C4" w14:textId="77777777" w:rsidR="00D96A90" w:rsidRPr="00571C0D" w:rsidRDefault="00D96A90" w:rsidP="005F6CF8">
      <w:pPr>
        <w:pStyle w:val="Textoindependiente"/>
        <w:spacing w:before="3"/>
        <w:ind w:left="-284" w:right="-234"/>
        <w:jc w:val="both"/>
        <w:rPr>
          <w:rFonts w:ascii="Arial" w:hAnsi="Arial" w:cs="Arial"/>
          <w:sz w:val="24"/>
          <w:szCs w:val="24"/>
        </w:rPr>
      </w:pPr>
      <w:r w:rsidRPr="00571C0D">
        <w:rPr>
          <w:rFonts w:ascii="Arial" w:hAnsi="Arial" w:cs="Arial"/>
          <w:sz w:val="24"/>
          <w:szCs w:val="24"/>
        </w:rPr>
        <w:t xml:space="preserve">Al cierre de la vigencia fiscal cada órgano constituirá las reservas presupuestales con los compromisos que al 31 de diciembre no se hayan cumplido, siempre y cuando estén legalmente contraídos y desarrollen el objeto de la apropiación. Las reservas presupuestales sólo podrán </w:t>
      </w:r>
      <w:r w:rsidRPr="00571C0D">
        <w:rPr>
          <w:rFonts w:ascii="Arial" w:hAnsi="Arial" w:cs="Arial"/>
          <w:sz w:val="24"/>
          <w:szCs w:val="24"/>
        </w:rPr>
        <w:lastRenderedPageBreak/>
        <w:t>utilizarse para cancelar los compromisos que les dieron origen.</w:t>
      </w:r>
    </w:p>
    <w:p w14:paraId="63948102" w14:textId="77777777" w:rsidR="00D96A90" w:rsidRPr="00571C0D" w:rsidRDefault="00D96A90" w:rsidP="00886603">
      <w:pPr>
        <w:pStyle w:val="Textoindependiente"/>
        <w:spacing w:before="3"/>
        <w:ind w:left="-284" w:right="-93"/>
        <w:jc w:val="both"/>
        <w:rPr>
          <w:rFonts w:ascii="Arial" w:hAnsi="Arial" w:cs="Arial"/>
          <w:sz w:val="24"/>
          <w:szCs w:val="24"/>
        </w:rPr>
      </w:pPr>
    </w:p>
    <w:p w14:paraId="53261B64" w14:textId="77777777" w:rsidR="00D96A90" w:rsidRPr="00571C0D" w:rsidRDefault="00D96A90" w:rsidP="005F6CF8">
      <w:pPr>
        <w:pStyle w:val="Textoindependiente"/>
        <w:spacing w:before="3"/>
        <w:ind w:left="-284" w:right="-234"/>
        <w:jc w:val="both"/>
        <w:rPr>
          <w:rFonts w:ascii="Arial" w:hAnsi="Arial" w:cs="Arial"/>
          <w:sz w:val="24"/>
          <w:szCs w:val="24"/>
        </w:rPr>
      </w:pPr>
      <w:r w:rsidRPr="00571C0D">
        <w:rPr>
          <w:rFonts w:ascii="Arial" w:hAnsi="Arial" w:cs="Arial"/>
          <w:sz w:val="24"/>
          <w:szCs w:val="24"/>
        </w:rPr>
        <w:t>Igualmente, cada órgano constituirá al 31 de diciembre del año cuentas por pagar con las obligaciones correspondientes a los anticipos pactados en los contratos y a la entrega de bienes y servicios.</w:t>
      </w:r>
    </w:p>
    <w:p w14:paraId="77F5BA38" w14:textId="77777777" w:rsidR="00D96A90" w:rsidRPr="00571C0D" w:rsidRDefault="00D96A90" w:rsidP="00886603">
      <w:pPr>
        <w:pStyle w:val="Textoindependiente"/>
        <w:spacing w:before="3"/>
        <w:ind w:left="-284" w:right="-93"/>
        <w:jc w:val="both"/>
        <w:rPr>
          <w:rFonts w:ascii="Arial" w:hAnsi="Arial" w:cs="Arial"/>
          <w:sz w:val="24"/>
          <w:szCs w:val="24"/>
        </w:rPr>
      </w:pPr>
    </w:p>
    <w:p w14:paraId="28F5EFF4" w14:textId="77777777" w:rsidR="00D96A90" w:rsidRPr="00571C0D" w:rsidRDefault="00D96A90" w:rsidP="005F6CF8">
      <w:pPr>
        <w:pStyle w:val="Textoindependiente"/>
        <w:spacing w:before="3"/>
        <w:ind w:left="-284" w:right="-234"/>
        <w:jc w:val="both"/>
        <w:rPr>
          <w:rFonts w:ascii="Arial" w:hAnsi="Arial" w:cs="Arial"/>
          <w:i/>
          <w:iCs/>
          <w:sz w:val="24"/>
          <w:szCs w:val="24"/>
          <w:lang w:val="es-CO"/>
        </w:rPr>
      </w:pPr>
      <w:r w:rsidRPr="00571C0D">
        <w:rPr>
          <w:rFonts w:ascii="Arial" w:hAnsi="Arial" w:cs="Arial"/>
          <w:i/>
          <w:iCs/>
          <w:sz w:val="24"/>
          <w:szCs w:val="24"/>
          <w:lang w:val="es-CO"/>
        </w:rPr>
        <w:t>El Gobierno Nacional establecerá los requisitos y plazos que se deben observar para el cumplimiento del presente artículo (L. 38/89, art. 72; L. 179/94, art. 38; L. 225/95, art. 8)”.</w:t>
      </w:r>
    </w:p>
    <w:p w14:paraId="7E0335FC" w14:textId="77777777" w:rsidR="00D96A90" w:rsidRPr="00571C0D" w:rsidRDefault="00D96A90" w:rsidP="00D96A90">
      <w:pPr>
        <w:pStyle w:val="Textoindependiente"/>
        <w:spacing w:before="3"/>
        <w:jc w:val="both"/>
        <w:rPr>
          <w:rFonts w:ascii="Arial" w:hAnsi="Arial" w:cs="Arial"/>
          <w:i/>
          <w:iCs/>
          <w:sz w:val="24"/>
          <w:szCs w:val="24"/>
          <w:lang w:val="es-CO"/>
        </w:rPr>
      </w:pPr>
    </w:p>
    <w:p w14:paraId="5C3AF649" w14:textId="77777777" w:rsidR="00D96A90" w:rsidRPr="00571C0D" w:rsidRDefault="00D96A90" w:rsidP="00CB6055">
      <w:pPr>
        <w:pStyle w:val="Textoindependiente"/>
        <w:numPr>
          <w:ilvl w:val="0"/>
          <w:numId w:val="47"/>
        </w:numPr>
        <w:spacing w:before="3"/>
        <w:ind w:right="-234"/>
        <w:jc w:val="both"/>
        <w:rPr>
          <w:rFonts w:ascii="Arial" w:hAnsi="Arial" w:cs="Arial"/>
          <w:sz w:val="24"/>
          <w:szCs w:val="24"/>
        </w:rPr>
      </w:pPr>
      <w:r w:rsidRPr="00571C0D">
        <w:rPr>
          <w:rFonts w:ascii="Arial" w:hAnsi="Arial" w:cs="Arial"/>
          <w:sz w:val="24"/>
          <w:szCs w:val="24"/>
        </w:rPr>
        <w:t xml:space="preserve">Que no exista el PAC disponible para registrar su obligación y posterior pago, tal como lo cita el artículo 28 del Decreto 2590 diciembre 23 de 2022” Por el cual se liquida el Presupuesto General de la Nación para la vigencia fiscal de 2023, se detallan las apropiaciones y se clasifican y definen los gastos” y que dicta: </w:t>
      </w:r>
    </w:p>
    <w:p w14:paraId="5D074488" w14:textId="77777777" w:rsidR="00D96A90" w:rsidRPr="00571C0D" w:rsidRDefault="00D96A90" w:rsidP="00886603">
      <w:pPr>
        <w:pStyle w:val="Textoindependiente"/>
        <w:spacing w:before="3"/>
        <w:ind w:right="-234"/>
        <w:jc w:val="both"/>
        <w:rPr>
          <w:rFonts w:ascii="Arial" w:hAnsi="Arial" w:cs="Arial"/>
          <w:sz w:val="24"/>
          <w:szCs w:val="24"/>
        </w:rPr>
      </w:pPr>
    </w:p>
    <w:p w14:paraId="7ADCF277" w14:textId="77777777" w:rsidR="00D96A90" w:rsidRPr="00571C0D" w:rsidRDefault="00D96A90" w:rsidP="005F6CF8">
      <w:pPr>
        <w:pStyle w:val="Textoindependiente"/>
        <w:spacing w:before="3"/>
        <w:ind w:left="-284" w:right="-234"/>
        <w:jc w:val="both"/>
        <w:rPr>
          <w:rFonts w:ascii="Arial" w:hAnsi="Arial" w:cs="Arial"/>
          <w:i/>
          <w:iCs/>
          <w:sz w:val="24"/>
          <w:szCs w:val="24"/>
        </w:rPr>
      </w:pPr>
      <w:r w:rsidRPr="00571C0D">
        <w:rPr>
          <w:rFonts w:ascii="Arial" w:hAnsi="Arial" w:cs="Arial"/>
          <w:sz w:val="24"/>
          <w:szCs w:val="24"/>
        </w:rPr>
        <w:t>“</w:t>
      </w:r>
      <w:r w:rsidRPr="00571C0D">
        <w:rPr>
          <w:rFonts w:ascii="Arial" w:hAnsi="Arial" w:cs="Arial"/>
          <w:i/>
          <w:iCs/>
          <w:sz w:val="24"/>
          <w:szCs w:val="24"/>
        </w:rPr>
        <w:t>Para las cuentas por pagar que se constituyan a 31 de diciembre de 2022, se debe contar con el correspondiente programa anual mensualizado de caja de la vigencia, de lo contrario deberán hacerse los ajustes en los registros y constituir las correspondientes reservas presupuestales. Igual procedimiento se deberá cumplir en la vigencia 2023”</w:t>
      </w:r>
    </w:p>
    <w:p w14:paraId="094EB000" w14:textId="77777777" w:rsidR="00D96A90" w:rsidRPr="00571C0D" w:rsidRDefault="00D96A90" w:rsidP="00886603">
      <w:pPr>
        <w:pStyle w:val="Textoindependiente"/>
        <w:spacing w:before="3"/>
        <w:ind w:right="-234"/>
        <w:jc w:val="both"/>
        <w:rPr>
          <w:rFonts w:ascii="Arial" w:hAnsi="Arial" w:cs="Arial"/>
          <w:i/>
          <w:iCs/>
          <w:sz w:val="24"/>
          <w:szCs w:val="24"/>
        </w:rPr>
      </w:pPr>
    </w:p>
    <w:p w14:paraId="2AC2B1B7" w14:textId="77777777" w:rsidR="00D96A90" w:rsidRPr="00571C0D" w:rsidRDefault="00D96A90" w:rsidP="00CB6055">
      <w:pPr>
        <w:pStyle w:val="Textoindependiente"/>
        <w:numPr>
          <w:ilvl w:val="0"/>
          <w:numId w:val="47"/>
        </w:numPr>
        <w:spacing w:before="3"/>
        <w:ind w:right="-234"/>
        <w:jc w:val="both"/>
        <w:rPr>
          <w:rFonts w:ascii="Arial" w:hAnsi="Arial" w:cs="Arial"/>
          <w:sz w:val="24"/>
          <w:szCs w:val="24"/>
          <w:lang w:val="es-CO"/>
        </w:rPr>
      </w:pPr>
      <w:r w:rsidRPr="00571C0D">
        <w:rPr>
          <w:rFonts w:ascii="Arial" w:hAnsi="Arial" w:cs="Arial"/>
          <w:sz w:val="24"/>
          <w:szCs w:val="24"/>
          <w:lang w:val="es-CO"/>
        </w:rPr>
        <w:t>Para el caso que, aunque se haya recibido el bien y/o servicio, no se hayan dado todas las exigibilidades para su pago. Esto se enmarca en el Decreto 412 del 2018, que modificó el artículo 2.8.1.7.6 del Decreto 1068 de 2015, así:</w:t>
      </w:r>
    </w:p>
    <w:p w14:paraId="0A28786D" w14:textId="77777777" w:rsidR="00D96A90" w:rsidRPr="00571C0D" w:rsidRDefault="00D96A90" w:rsidP="00886603">
      <w:pPr>
        <w:pStyle w:val="Textoindependiente"/>
        <w:spacing w:before="3"/>
        <w:ind w:left="360" w:right="-234"/>
        <w:jc w:val="both"/>
        <w:rPr>
          <w:rFonts w:ascii="Arial" w:hAnsi="Arial" w:cs="Arial"/>
          <w:sz w:val="24"/>
          <w:szCs w:val="24"/>
          <w:lang w:val="es-CO"/>
        </w:rPr>
      </w:pPr>
    </w:p>
    <w:p w14:paraId="4DA090E3" w14:textId="77777777" w:rsidR="00D96A90" w:rsidRPr="00571C0D" w:rsidRDefault="00D96A90" w:rsidP="00886603">
      <w:pPr>
        <w:pStyle w:val="Textoindependiente"/>
        <w:spacing w:before="3"/>
        <w:ind w:right="-234"/>
        <w:jc w:val="both"/>
        <w:rPr>
          <w:rFonts w:ascii="Arial" w:hAnsi="Arial" w:cs="Arial"/>
          <w:i/>
          <w:iCs/>
          <w:sz w:val="24"/>
          <w:szCs w:val="24"/>
          <w:lang w:val="es-CO"/>
        </w:rPr>
      </w:pPr>
      <w:r w:rsidRPr="00571C0D">
        <w:rPr>
          <w:rFonts w:ascii="Arial" w:hAnsi="Arial" w:cs="Arial"/>
          <w:sz w:val="24"/>
          <w:szCs w:val="24"/>
          <w:lang w:val="es-CO"/>
        </w:rPr>
        <w:t>"</w:t>
      </w:r>
      <w:r w:rsidRPr="00571C0D">
        <w:rPr>
          <w:rFonts w:ascii="Arial" w:hAnsi="Arial" w:cs="Arial"/>
          <w:i/>
          <w:iCs/>
          <w:sz w:val="24"/>
          <w:szCs w:val="24"/>
          <w:lang w:val="es-CO"/>
        </w:rPr>
        <w:t>ARTÍCULO 2.8.1.7.6. Ejecución compromisos presupuestales. Los compromisos presupuestales legalmente adquiridos, se cumplen o ejecutan, tratándose de contratos o convenios, con la recepción de los bienes y servicios, y en los demás eventos, con el cumplimiento de los requisitos que hagan exigible su pago.</w:t>
      </w:r>
    </w:p>
    <w:p w14:paraId="23E34383" w14:textId="77777777" w:rsidR="00D96A90" w:rsidRPr="00571C0D" w:rsidRDefault="00D96A90" w:rsidP="00886603">
      <w:pPr>
        <w:pStyle w:val="Textoindependiente"/>
        <w:spacing w:before="3"/>
        <w:ind w:right="-234"/>
        <w:jc w:val="both"/>
        <w:rPr>
          <w:rFonts w:ascii="Arial" w:hAnsi="Arial" w:cs="Arial"/>
          <w:i/>
          <w:iCs/>
          <w:sz w:val="24"/>
          <w:szCs w:val="24"/>
          <w:lang w:val="es-CO"/>
        </w:rPr>
      </w:pPr>
    </w:p>
    <w:p w14:paraId="60A1B368" w14:textId="3F6FBC6C" w:rsidR="00D96A90" w:rsidRDefault="00D96A90" w:rsidP="00886603">
      <w:pPr>
        <w:pStyle w:val="Textoindependiente"/>
        <w:spacing w:before="3"/>
        <w:ind w:right="-234"/>
        <w:jc w:val="both"/>
        <w:rPr>
          <w:rFonts w:ascii="Arial" w:hAnsi="Arial" w:cs="Arial"/>
          <w:sz w:val="24"/>
          <w:szCs w:val="24"/>
          <w:lang w:val="es-CO"/>
        </w:rPr>
      </w:pPr>
      <w:r w:rsidRPr="00571C0D">
        <w:rPr>
          <w:rFonts w:ascii="Arial" w:hAnsi="Arial" w:cs="Arial"/>
          <w:i/>
          <w:iCs/>
          <w:sz w:val="24"/>
          <w:szCs w:val="24"/>
          <w:lang w:val="es-CO"/>
        </w:rPr>
        <w:t>El cumplimiento de la obligación se da cuando se cuente con las exigibilidades correspondientes para su pago</w:t>
      </w:r>
      <w:r w:rsidRPr="00571C0D">
        <w:rPr>
          <w:rFonts w:ascii="Arial" w:hAnsi="Arial" w:cs="Arial"/>
          <w:sz w:val="24"/>
          <w:szCs w:val="24"/>
          <w:lang w:val="es-CO"/>
        </w:rPr>
        <w:t>”.</w:t>
      </w:r>
    </w:p>
    <w:p w14:paraId="3C9C55C0" w14:textId="77777777" w:rsidR="005F6CF8" w:rsidRPr="00571C0D" w:rsidRDefault="005F6CF8" w:rsidP="00886603">
      <w:pPr>
        <w:pStyle w:val="Textoindependiente"/>
        <w:spacing w:before="3"/>
        <w:ind w:right="-234"/>
        <w:jc w:val="both"/>
        <w:rPr>
          <w:rFonts w:ascii="Arial" w:hAnsi="Arial" w:cs="Arial"/>
          <w:sz w:val="24"/>
          <w:szCs w:val="24"/>
          <w:lang w:val="es-CO"/>
        </w:rPr>
      </w:pPr>
    </w:p>
    <w:p w14:paraId="366C8D2D" w14:textId="77777777" w:rsidR="00D96A90" w:rsidRPr="001A2520" w:rsidRDefault="00D96A90" w:rsidP="00D96A90">
      <w:pPr>
        <w:jc w:val="both"/>
        <w:rPr>
          <w:rFonts w:ascii="Arial" w:hAnsi="Arial" w:cs="Arial"/>
          <w:b/>
          <w:sz w:val="28"/>
          <w:szCs w:val="28"/>
          <w:lang w:val="es-MX"/>
        </w:rPr>
      </w:pPr>
      <w:r w:rsidRPr="001A2520">
        <w:rPr>
          <w:rFonts w:ascii="Arial" w:hAnsi="Arial" w:cs="Arial"/>
          <w:b/>
          <w:sz w:val="28"/>
          <w:szCs w:val="28"/>
          <w:lang w:val="es-MX"/>
        </w:rPr>
        <w:t>273.- FISCALÍA GENERAL DE LA NACIÓN.</w:t>
      </w:r>
    </w:p>
    <w:p w14:paraId="7D70BC81" w14:textId="77777777" w:rsidR="00D96A90" w:rsidRDefault="00D96A90" w:rsidP="00D96A90">
      <w:pPr>
        <w:ind w:left="-142"/>
        <w:jc w:val="both"/>
        <w:rPr>
          <w:rFonts w:ascii="Arial" w:hAnsi="Arial" w:cs="Arial"/>
          <w:b/>
          <w:sz w:val="28"/>
          <w:szCs w:val="28"/>
          <w:lang w:val="es-MX"/>
        </w:rPr>
      </w:pPr>
    </w:p>
    <w:p w14:paraId="68FC93CD" w14:textId="77777777" w:rsidR="00D96A90" w:rsidRPr="00BC3A42" w:rsidRDefault="00D96A90" w:rsidP="005F6CF8">
      <w:pPr>
        <w:pStyle w:val="Textoindependiente"/>
        <w:spacing w:before="3"/>
        <w:ind w:left="-284" w:right="-234"/>
        <w:jc w:val="both"/>
        <w:rPr>
          <w:rFonts w:ascii="Arial" w:hAnsi="Arial" w:cs="Arial"/>
          <w:bCs/>
          <w:sz w:val="24"/>
          <w:szCs w:val="24"/>
        </w:rPr>
      </w:pPr>
      <w:r w:rsidRPr="00BC3A42">
        <w:rPr>
          <w:rFonts w:ascii="Arial" w:hAnsi="Arial" w:cs="Arial"/>
          <w:b/>
          <w:sz w:val="24"/>
          <w:szCs w:val="24"/>
        </w:rPr>
        <w:t xml:space="preserve">La entidad informa: </w:t>
      </w:r>
      <w:r w:rsidRPr="00BC3A42">
        <w:rPr>
          <w:rFonts w:ascii="Arial" w:hAnsi="Arial" w:cs="Arial"/>
          <w:bCs/>
          <w:sz w:val="24"/>
          <w:szCs w:val="24"/>
        </w:rPr>
        <w:t>Por gastos de inversión se constituyó una reserva presupuestal por valor de $25.491.393, equivalente al 16.68%, superando el 1.68% de lo establecido en el artículo 78 del Decreto 111 de 1996, y en virtud con lo normado en el   artículo 29 del Decreto No. 1621 del 30 de diciembre de 2024, sin embargo, es preciso señalar que el valor de $23.290.135, equivalente al 15.24%, corresponde a una reserva presupuestal inducida, por las razones antes expuestas.</w:t>
      </w:r>
    </w:p>
    <w:p w14:paraId="3CBF11E4" w14:textId="77777777" w:rsidR="00D96A90" w:rsidRPr="0027292D" w:rsidRDefault="00D96A90" w:rsidP="005F6CF8">
      <w:pPr>
        <w:pStyle w:val="Textoindependiente"/>
        <w:spacing w:before="3"/>
        <w:ind w:left="-284" w:right="-234"/>
        <w:jc w:val="both"/>
        <w:rPr>
          <w:bCs/>
        </w:rPr>
      </w:pPr>
    </w:p>
    <w:p w14:paraId="091E1952" w14:textId="77777777" w:rsidR="00D96A90" w:rsidRPr="009B5803" w:rsidRDefault="00D96A90" w:rsidP="005F6CF8">
      <w:pPr>
        <w:ind w:left="-284" w:right="-234"/>
        <w:jc w:val="both"/>
        <w:rPr>
          <w:rFonts w:ascii="Arial" w:hAnsi="Arial" w:cs="Arial"/>
          <w:b/>
          <w:sz w:val="28"/>
          <w:szCs w:val="28"/>
          <w:lang w:val="es-MX"/>
        </w:rPr>
      </w:pPr>
      <w:r w:rsidRPr="009B5803">
        <w:rPr>
          <w:rFonts w:ascii="Arial" w:hAnsi="Arial" w:cs="Arial"/>
          <w:b/>
          <w:sz w:val="28"/>
          <w:szCs w:val="28"/>
          <w:lang w:val="es-MX"/>
        </w:rPr>
        <w:t>275.- CORPORACIÓN AUTÓNOMA REGIONAL DE LA GUAJIRA - CORPOGUAJIRA.</w:t>
      </w:r>
    </w:p>
    <w:p w14:paraId="62BE08D2" w14:textId="77777777" w:rsidR="00D96A90" w:rsidRDefault="00D96A90" w:rsidP="005F6CF8">
      <w:pPr>
        <w:ind w:left="-284" w:right="-234"/>
        <w:rPr>
          <w:rFonts w:ascii="Arial" w:hAnsi="Arial" w:cs="Arial"/>
          <w:sz w:val="24"/>
          <w:szCs w:val="24"/>
          <w:lang w:val="es-MX"/>
        </w:rPr>
      </w:pPr>
    </w:p>
    <w:p w14:paraId="2F655CAC" w14:textId="77777777" w:rsidR="00D96A90" w:rsidRPr="0050616D" w:rsidRDefault="00D96A90" w:rsidP="005F6CF8">
      <w:pPr>
        <w:pStyle w:val="Textoindependiente"/>
        <w:spacing w:before="3"/>
        <w:ind w:left="-284" w:right="-234"/>
        <w:jc w:val="both"/>
        <w:rPr>
          <w:rFonts w:ascii="Arial" w:hAnsi="Arial" w:cs="Arial"/>
          <w:b/>
          <w:sz w:val="24"/>
          <w:szCs w:val="24"/>
        </w:rPr>
      </w:pPr>
      <w:r w:rsidRPr="0050616D">
        <w:rPr>
          <w:rFonts w:ascii="Arial" w:hAnsi="Arial" w:cs="Arial"/>
          <w:b/>
          <w:sz w:val="24"/>
          <w:szCs w:val="24"/>
        </w:rPr>
        <w:t>La entidad informa: NO.</w:t>
      </w:r>
    </w:p>
    <w:p w14:paraId="5EA0FA0A" w14:textId="77777777" w:rsidR="00D96A90" w:rsidRPr="0050616D" w:rsidRDefault="00D96A90" w:rsidP="00D96A90">
      <w:pPr>
        <w:pStyle w:val="Textoindependiente"/>
        <w:spacing w:before="3"/>
        <w:jc w:val="both"/>
        <w:rPr>
          <w:rFonts w:ascii="Arial" w:hAnsi="Arial" w:cs="Arial"/>
          <w:b/>
          <w:sz w:val="24"/>
          <w:szCs w:val="24"/>
        </w:rPr>
      </w:pPr>
    </w:p>
    <w:tbl>
      <w:tblPr>
        <w:tblStyle w:val="Tablaconcuadrcula"/>
        <w:tblW w:w="0" w:type="auto"/>
        <w:tblLook w:val="04A0" w:firstRow="1" w:lastRow="0" w:firstColumn="1" w:lastColumn="0" w:noHBand="0" w:noVBand="1"/>
      </w:tblPr>
      <w:tblGrid>
        <w:gridCol w:w="2490"/>
        <w:gridCol w:w="2490"/>
        <w:gridCol w:w="2491"/>
        <w:gridCol w:w="2491"/>
      </w:tblGrid>
      <w:tr w:rsidR="00D96A90" w:rsidRPr="0050616D" w14:paraId="2F738CAD" w14:textId="77777777" w:rsidTr="00EF5AF2">
        <w:tc>
          <w:tcPr>
            <w:tcW w:w="2490" w:type="dxa"/>
            <w:tcBorders>
              <w:top w:val="nil"/>
              <w:left w:val="nil"/>
              <w:bottom w:val="single" w:sz="4" w:space="0" w:color="auto"/>
              <w:right w:val="single" w:sz="4" w:space="0" w:color="auto"/>
            </w:tcBorders>
          </w:tcPr>
          <w:p w14:paraId="60A53D61" w14:textId="77777777" w:rsidR="00D96A90" w:rsidRPr="0050616D" w:rsidRDefault="00D96A90" w:rsidP="00EF5AF2">
            <w:pPr>
              <w:pStyle w:val="Textoindependiente"/>
              <w:spacing w:before="3"/>
              <w:jc w:val="both"/>
              <w:rPr>
                <w:rFonts w:ascii="Arial" w:hAnsi="Arial" w:cs="Arial"/>
                <w:b/>
              </w:rPr>
            </w:pPr>
          </w:p>
        </w:tc>
        <w:tc>
          <w:tcPr>
            <w:tcW w:w="2490" w:type="dxa"/>
            <w:tcBorders>
              <w:left w:val="single" w:sz="4" w:space="0" w:color="auto"/>
            </w:tcBorders>
            <w:shd w:val="clear" w:color="auto" w:fill="D9D9D9" w:themeFill="background1" w:themeFillShade="D9"/>
          </w:tcPr>
          <w:p w14:paraId="3E3093B8" w14:textId="77777777" w:rsidR="00D96A90" w:rsidRPr="0050616D" w:rsidRDefault="00D96A90" w:rsidP="00EF5AF2">
            <w:pPr>
              <w:pStyle w:val="Textoindependiente"/>
              <w:spacing w:before="3"/>
              <w:jc w:val="center"/>
              <w:rPr>
                <w:rFonts w:ascii="Arial" w:hAnsi="Arial" w:cs="Arial"/>
                <w:b/>
              </w:rPr>
            </w:pPr>
            <w:r w:rsidRPr="0050616D">
              <w:rPr>
                <w:rFonts w:ascii="Arial" w:hAnsi="Arial" w:cs="Arial"/>
                <w:b/>
              </w:rPr>
              <w:t>APROPIACIÓN</w:t>
            </w:r>
          </w:p>
        </w:tc>
        <w:tc>
          <w:tcPr>
            <w:tcW w:w="2491" w:type="dxa"/>
            <w:shd w:val="clear" w:color="auto" w:fill="D9D9D9" w:themeFill="background1" w:themeFillShade="D9"/>
          </w:tcPr>
          <w:p w14:paraId="689FDFBE" w14:textId="77777777" w:rsidR="00D96A90" w:rsidRPr="0050616D" w:rsidRDefault="00D96A90" w:rsidP="00EF5AF2">
            <w:pPr>
              <w:pStyle w:val="Textoindependiente"/>
              <w:spacing w:before="3"/>
              <w:jc w:val="center"/>
              <w:rPr>
                <w:rFonts w:ascii="Arial" w:hAnsi="Arial" w:cs="Arial"/>
                <w:b/>
              </w:rPr>
            </w:pPr>
            <w:r w:rsidRPr="0050616D">
              <w:rPr>
                <w:rFonts w:ascii="Arial" w:hAnsi="Arial" w:cs="Arial"/>
                <w:b/>
              </w:rPr>
              <w:t>RESERVAS</w:t>
            </w:r>
          </w:p>
        </w:tc>
        <w:tc>
          <w:tcPr>
            <w:tcW w:w="2491" w:type="dxa"/>
            <w:shd w:val="clear" w:color="auto" w:fill="D9D9D9" w:themeFill="background1" w:themeFillShade="D9"/>
          </w:tcPr>
          <w:p w14:paraId="58577D6C" w14:textId="77777777" w:rsidR="00D96A90" w:rsidRPr="0050616D" w:rsidRDefault="00D96A90" w:rsidP="00EF5AF2">
            <w:pPr>
              <w:pStyle w:val="Textoindependiente"/>
              <w:spacing w:before="3"/>
              <w:jc w:val="center"/>
              <w:rPr>
                <w:rFonts w:ascii="Arial" w:hAnsi="Arial" w:cs="Arial"/>
                <w:b/>
              </w:rPr>
            </w:pPr>
            <w:r w:rsidRPr="0050616D">
              <w:rPr>
                <w:rFonts w:ascii="Arial" w:hAnsi="Arial" w:cs="Arial"/>
                <w:b/>
              </w:rPr>
              <w:t>%</w:t>
            </w:r>
          </w:p>
        </w:tc>
      </w:tr>
      <w:tr w:rsidR="00D96A90" w:rsidRPr="0050616D" w14:paraId="54BB4C88" w14:textId="77777777" w:rsidTr="00EF5AF2">
        <w:tc>
          <w:tcPr>
            <w:tcW w:w="2490" w:type="dxa"/>
            <w:tcBorders>
              <w:top w:val="single" w:sz="4" w:space="0" w:color="auto"/>
            </w:tcBorders>
          </w:tcPr>
          <w:p w14:paraId="7EE886A9" w14:textId="77777777" w:rsidR="00D96A90" w:rsidRPr="0050616D" w:rsidRDefault="00D96A90" w:rsidP="00EF5AF2">
            <w:pPr>
              <w:pStyle w:val="Textoindependiente"/>
              <w:spacing w:before="3"/>
              <w:jc w:val="both"/>
              <w:rPr>
                <w:rFonts w:ascii="Arial" w:hAnsi="Arial" w:cs="Arial"/>
                <w:b/>
              </w:rPr>
            </w:pPr>
            <w:r w:rsidRPr="0050616D">
              <w:rPr>
                <w:rFonts w:ascii="Arial" w:hAnsi="Arial" w:cs="Arial"/>
                <w:b/>
              </w:rPr>
              <w:t>FUNCIONAMIENTO</w:t>
            </w:r>
          </w:p>
        </w:tc>
        <w:tc>
          <w:tcPr>
            <w:tcW w:w="2490" w:type="dxa"/>
          </w:tcPr>
          <w:p w14:paraId="3982FBFA" w14:textId="77777777" w:rsidR="00D96A90" w:rsidRPr="0050616D" w:rsidRDefault="00D96A90" w:rsidP="00EF5AF2">
            <w:pPr>
              <w:pStyle w:val="Textoindependiente"/>
              <w:spacing w:before="3"/>
              <w:jc w:val="right"/>
              <w:rPr>
                <w:rFonts w:ascii="Arial" w:hAnsi="Arial" w:cs="Arial"/>
                <w:bCs/>
              </w:rPr>
            </w:pPr>
            <w:r w:rsidRPr="0050616D">
              <w:rPr>
                <w:rFonts w:ascii="Arial" w:hAnsi="Arial" w:cs="Arial"/>
                <w:bCs/>
              </w:rPr>
              <w:t>5.625.390.706,00</w:t>
            </w:r>
          </w:p>
        </w:tc>
        <w:tc>
          <w:tcPr>
            <w:tcW w:w="2491" w:type="dxa"/>
          </w:tcPr>
          <w:p w14:paraId="710985F3" w14:textId="77777777" w:rsidR="00D96A90" w:rsidRPr="0050616D" w:rsidRDefault="00D96A90" w:rsidP="00EF5AF2">
            <w:pPr>
              <w:pStyle w:val="Textoindependiente"/>
              <w:spacing w:before="3"/>
              <w:jc w:val="right"/>
              <w:rPr>
                <w:rFonts w:ascii="Arial" w:hAnsi="Arial" w:cs="Arial"/>
                <w:bCs/>
              </w:rPr>
            </w:pPr>
            <w:r w:rsidRPr="0050616D">
              <w:rPr>
                <w:rFonts w:ascii="Arial" w:hAnsi="Arial" w:cs="Arial"/>
                <w:bCs/>
              </w:rPr>
              <w:t>58.097.661,47</w:t>
            </w:r>
          </w:p>
        </w:tc>
        <w:tc>
          <w:tcPr>
            <w:tcW w:w="2491" w:type="dxa"/>
          </w:tcPr>
          <w:p w14:paraId="1564BD35" w14:textId="77777777" w:rsidR="00D96A90" w:rsidRPr="0050616D" w:rsidRDefault="00D96A90" w:rsidP="00EF5AF2">
            <w:pPr>
              <w:pStyle w:val="Textoindependiente"/>
              <w:spacing w:before="3"/>
              <w:jc w:val="center"/>
              <w:rPr>
                <w:rFonts w:ascii="Arial" w:hAnsi="Arial" w:cs="Arial"/>
                <w:bCs/>
              </w:rPr>
            </w:pPr>
            <w:r w:rsidRPr="0050616D">
              <w:rPr>
                <w:rFonts w:ascii="Arial" w:hAnsi="Arial" w:cs="Arial"/>
                <w:bCs/>
              </w:rPr>
              <w:t>1%</w:t>
            </w:r>
          </w:p>
        </w:tc>
      </w:tr>
      <w:tr w:rsidR="00D96A90" w:rsidRPr="0050616D" w14:paraId="258E10B3" w14:textId="77777777" w:rsidTr="00EF5AF2">
        <w:tc>
          <w:tcPr>
            <w:tcW w:w="2490" w:type="dxa"/>
          </w:tcPr>
          <w:p w14:paraId="3073D2AD" w14:textId="77777777" w:rsidR="00D96A90" w:rsidRPr="0050616D" w:rsidRDefault="00D96A90" w:rsidP="00EF5AF2">
            <w:pPr>
              <w:pStyle w:val="Textoindependiente"/>
              <w:spacing w:before="3"/>
              <w:jc w:val="both"/>
              <w:rPr>
                <w:rFonts w:ascii="Arial" w:hAnsi="Arial" w:cs="Arial"/>
                <w:b/>
              </w:rPr>
            </w:pPr>
            <w:r w:rsidRPr="0050616D">
              <w:rPr>
                <w:rFonts w:ascii="Arial" w:hAnsi="Arial" w:cs="Arial"/>
                <w:b/>
              </w:rPr>
              <w:t>INVERSIÓN</w:t>
            </w:r>
          </w:p>
        </w:tc>
        <w:tc>
          <w:tcPr>
            <w:tcW w:w="2490" w:type="dxa"/>
          </w:tcPr>
          <w:p w14:paraId="66660572" w14:textId="77777777" w:rsidR="00D96A90" w:rsidRPr="0050616D" w:rsidRDefault="00D96A90" w:rsidP="00EF5AF2">
            <w:pPr>
              <w:pStyle w:val="Textoindependiente"/>
              <w:spacing w:before="3"/>
              <w:jc w:val="right"/>
              <w:rPr>
                <w:rFonts w:ascii="Arial" w:hAnsi="Arial" w:cs="Arial"/>
                <w:bCs/>
              </w:rPr>
            </w:pPr>
            <w:r w:rsidRPr="0050616D">
              <w:rPr>
                <w:rFonts w:ascii="Arial" w:hAnsi="Arial" w:cs="Arial"/>
                <w:bCs/>
              </w:rPr>
              <w:t>4.478.162.665,00</w:t>
            </w:r>
          </w:p>
        </w:tc>
        <w:tc>
          <w:tcPr>
            <w:tcW w:w="2491" w:type="dxa"/>
          </w:tcPr>
          <w:p w14:paraId="72EBD501" w14:textId="77777777" w:rsidR="00D96A90" w:rsidRPr="0050616D" w:rsidRDefault="00D96A90" w:rsidP="00EF5AF2">
            <w:pPr>
              <w:pStyle w:val="Textoindependiente"/>
              <w:spacing w:before="3"/>
              <w:jc w:val="right"/>
              <w:rPr>
                <w:rFonts w:ascii="Arial" w:hAnsi="Arial" w:cs="Arial"/>
                <w:bCs/>
              </w:rPr>
            </w:pPr>
            <w:r w:rsidRPr="0050616D">
              <w:rPr>
                <w:rFonts w:ascii="Arial" w:hAnsi="Arial" w:cs="Arial"/>
                <w:bCs/>
              </w:rPr>
              <w:t>3.521.999.400,46</w:t>
            </w:r>
          </w:p>
        </w:tc>
        <w:tc>
          <w:tcPr>
            <w:tcW w:w="2491" w:type="dxa"/>
          </w:tcPr>
          <w:p w14:paraId="5C578B76" w14:textId="77777777" w:rsidR="00D96A90" w:rsidRPr="0050616D" w:rsidRDefault="00D96A90" w:rsidP="00EF5AF2">
            <w:pPr>
              <w:pStyle w:val="Textoindependiente"/>
              <w:spacing w:before="3"/>
              <w:jc w:val="center"/>
              <w:rPr>
                <w:rFonts w:ascii="Arial" w:hAnsi="Arial" w:cs="Arial"/>
                <w:bCs/>
              </w:rPr>
            </w:pPr>
            <w:r w:rsidRPr="0050616D">
              <w:rPr>
                <w:rFonts w:ascii="Arial" w:hAnsi="Arial" w:cs="Arial"/>
                <w:bCs/>
              </w:rPr>
              <w:t>79%</w:t>
            </w:r>
          </w:p>
        </w:tc>
      </w:tr>
    </w:tbl>
    <w:p w14:paraId="56236CE8" w14:textId="77777777" w:rsidR="00D96A90" w:rsidRDefault="00D96A90" w:rsidP="00D96A90">
      <w:pPr>
        <w:rPr>
          <w:rFonts w:ascii="Arial" w:hAnsi="Arial" w:cs="Arial"/>
          <w:sz w:val="24"/>
          <w:szCs w:val="24"/>
          <w:lang w:val="es-MX"/>
        </w:rPr>
      </w:pPr>
    </w:p>
    <w:p w14:paraId="2815DDDE" w14:textId="77777777" w:rsidR="00D96A90" w:rsidRPr="00C60DCC" w:rsidRDefault="00D96A90" w:rsidP="005F6CF8">
      <w:pPr>
        <w:ind w:left="-284" w:right="-234"/>
        <w:jc w:val="both"/>
        <w:rPr>
          <w:rFonts w:ascii="Arial" w:hAnsi="Arial" w:cs="Arial"/>
          <w:b/>
          <w:sz w:val="28"/>
          <w:szCs w:val="28"/>
          <w:lang w:val="es-MX"/>
        </w:rPr>
      </w:pPr>
      <w:r w:rsidRPr="00C60DCC">
        <w:rPr>
          <w:rFonts w:ascii="Arial" w:hAnsi="Arial" w:cs="Arial"/>
          <w:b/>
          <w:sz w:val="28"/>
          <w:szCs w:val="28"/>
          <w:lang w:val="es-MX"/>
        </w:rPr>
        <w:lastRenderedPageBreak/>
        <w:t xml:space="preserve">285.- </w:t>
      </w:r>
      <w:r w:rsidRPr="00C60DCC">
        <w:rPr>
          <w:rFonts w:ascii="Arial" w:hAnsi="Arial" w:cs="Arial"/>
          <w:b/>
          <w:sz w:val="28"/>
          <w:szCs w:val="28"/>
          <w:lang w:val="es-CO"/>
        </w:rPr>
        <w:t>FONDO ROTATORIO DEL DEPARTAMENTO ADMINISTRATIVO NACIONAL DE ESTADÍSTICA – FONDANE.</w:t>
      </w:r>
      <w:r w:rsidRPr="00C60DCC">
        <w:rPr>
          <w:rFonts w:ascii="Arial" w:hAnsi="Arial" w:cs="Arial"/>
          <w:b/>
          <w:sz w:val="28"/>
          <w:szCs w:val="28"/>
          <w:lang w:val="es-MX"/>
        </w:rPr>
        <w:t xml:space="preserve"> </w:t>
      </w:r>
    </w:p>
    <w:p w14:paraId="69ED6277" w14:textId="77777777" w:rsidR="00D96A90" w:rsidRDefault="00D96A90" w:rsidP="005F6CF8">
      <w:pPr>
        <w:ind w:left="-284" w:right="-234"/>
        <w:rPr>
          <w:rFonts w:ascii="Arial" w:hAnsi="Arial" w:cs="Arial"/>
          <w:sz w:val="24"/>
          <w:szCs w:val="24"/>
          <w:lang w:val="es-MX"/>
        </w:rPr>
      </w:pPr>
    </w:p>
    <w:p w14:paraId="52E760BF" w14:textId="77777777" w:rsidR="00D96A90" w:rsidRPr="009A79C3" w:rsidRDefault="00D96A90" w:rsidP="005F6CF8">
      <w:pPr>
        <w:tabs>
          <w:tab w:val="left" w:pos="875"/>
        </w:tabs>
        <w:ind w:left="-284" w:right="-234"/>
        <w:jc w:val="both"/>
        <w:rPr>
          <w:rFonts w:ascii="Arial" w:hAnsi="Arial" w:cs="Arial"/>
          <w:sz w:val="24"/>
          <w:szCs w:val="24"/>
        </w:rPr>
      </w:pPr>
      <w:r w:rsidRPr="009A79C3">
        <w:rPr>
          <w:rFonts w:ascii="Arial" w:hAnsi="Arial" w:cs="Arial"/>
          <w:b/>
          <w:sz w:val="24"/>
          <w:szCs w:val="24"/>
          <w:u w:val="single"/>
        </w:rPr>
        <w:t>Para funcionamiento no se cumplió con el límite del 2% para constituir reservas</w:t>
      </w:r>
      <w:r w:rsidRPr="009A79C3">
        <w:rPr>
          <w:rFonts w:ascii="Arial" w:hAnsi="Arial" w:cs="Arial"/>
          <w:sz w:val="24"/>
          <w:szCs w:val="24"/>
        </w:rPr>
        <w:t xml:space="preserve"> debido básicamente a inconvenientes en la tramitación de los documentos exigidos para la cancelación de las cuentas por pagar dentro del cronograma de cierre de vigencia, esto es, la respectiva factura electrónica que debe emitir el proveedor y posteriormente radicar en el SIIF Nación, para que, la entidad pueda realizar el proceso efectivo del pago de la cuenta.</w:t>
      </w:r>
    </w:p>
    <w:p w14:paraId="11776059" w14:textId="77777777" w:rsidR="00D96A90" w:rsidRDefault="00D96A90" w:rsidP="005F6CF8">
      <w:pPr>
        <w:ind w:left="-284" w:right="-234"/>
        <w:rPr>
          <w:rFonts w:ascii="Arial" w:hAnsi="Arial" w:cs="Arial"/>
          <w:sz w:val="24"/>
          <w:szCs w:val="24"/>
          <w:lang w:val="es-MX"/>
        </w:rPr>
      </w:pPr>
    </w:p>
    <w:p w14:paraId="2BB7EB75" w14:textId="77777777" w:rsidR="00D96A90" w:rsidRPr="0095406A" w:rsidRDefault="00D96A90" w:rsidP="005F6CF8">
      <w:pPr>
        <w:ind w:left="-284" w:right="-234"/>
        <w:rPr>
          <w:rFonts w:ascii="Arial" w:hAnsi="Arial" w:cs="Arial"/>
          <w:b/>
          <w:sz w:val="28"/>
          <w:szCs w:val="28"/>
          <w:lang w:val="es-MX"/>
        </w:rPr>
      </w:pPr>
      <w:r w:rsidRPr="0095406A">
        <w:rPr>
          <w:rFonts w:ascii="Arial" w:hAnsi="Arial" w:cs="Arial"/>
          <w:b/>
          <w:sz w:val="28"/>
          <w:szCs w:val="28"/>
          <w:lang w:val="es-MX"/>
        </w:rPr>
        <w:t>296.- AGENCIA NACIONAL DE MINERIA - ANM.</w:t>
      </w:r>
    </w:p>
    <w:p w14:paraId="49D0B907" w14:textId="77777777" w:rsidR="00D96A90" w:rsidRDefault="00D96A90" w:rsidP="005F6CF8">
      <w:pPr>
        <w:ind w:left="-284" w:right="-234"/>
        <w:jc w:val="both"/>
        <w:rPr>
          <w:b/>
        </w:rPr>
      </w:pPr>
    </w:p>
    <w:p w14:paraId="67570CFE" w14:textId="77777777" w:rsidR="00D96A90" w:rsidRPr="0095406A" w:rsidRDefault="00D96A90" w:rsidP="005F6CF8">
      <w:pPr>
        <w:ind w:left="-284" w:right="-234"/>
        <w:jc w:val="both"/>
        <w:rPr>
          <w:rFonts w:ascii="Arial" w:hAnsi="Arial" w:cs="Arial"/>
          <w:bCs/>
          <w:sz w:val="24"/>
          <w:szCs w:val="24"/>
        </w:rPr>
      </w:pPr>
      <w:r w:rsidRPr="0095406A">
        <w:rPr>
          <w:rFonts w:ascii="Arial" w:hAnsi="Arial" w:cs="Arial"/>
          <w:b/>
          <w:sz w:val="24"/>
          <w:szCs w:val="24"/>
        </w:rPr>
        <w:t xml:space="preserve">La entidad informa: </w:t>
      </w:r>
      <w:r w:rsidRPr="0095406A">
        <w:rPr>
          <w:rFonts w:ascii="Arial" w:hAnsi="Arial" w:cs="Arial"/>
          <w:bCs/>
          <w:sz w:val="24"/>
          <w:szCs w:val="24"/>
        </w:rPr>
        <w:t xml:space="preserve">Al cierre del 2024 se constituyó reservas por $13.170.361,31 miles de pesos, el 2.3% de funcionamiento y 7.05 % de inversión, una de las razones del incumplimiento es el PAC Recursos Nación no asignado. </w:t>
      </w:r>
    </w:p>
    <w:p w14:paraId="119A691B" w14:textId="77777777" w:rsidR="00D96A90" w:rsidRDefault="00D96A90" w:rsidP="005F6CF8">
      <w:pPr>
        <w:tabs>
          <w:tab w:val="left" w:pos="875"/>
        </w:tabs>
        <w:ind w:left="-284" w:right="-234"/>
        <w:jc w:val="both"/>
        <w:rPr>
          <w:b/>
          <w:sz w:val="28"/>
          <w:szCs w:val="28"/>
        </w:rPr>
      </w:pPr>
    </w:p>
    <w:p w14:paraId="6BBEFBCF" w14:textId="77777777" w:rsidR="00D96A90" w:rsidRPr="00C432CD" w:rsidRDefault="00D96A90" w:rsidP="005F6CF8">
      <w:pPr>
        <w:ind w:left="-284" w:right="-234"/>
        <w:jc w:val="both"/>
        <w:rPr>
          <w:rFonts w:ascii="Arial" w:hAnsi="Arial" w:cs="Arial"/>
          <w:b/>
          <w:sz w:val="28"/>
          <w:szCs w:val="28"/>
          <w:lang w:val="es-MX"/>
        </w:rPr>
      </w:pPr>
      <w:r w:rsidRPr="00C432CD">
        <w:rPr>
          <w:rFonts w:ascii="Arial" w:hAnsi="Arial" w:cs="Arial"/>
          <w:b/>
          <w:sz w:val="28"/>
          <w:szCs w:val="28"/>
          <w:lang w:val="es-MX"/>
        </w:rPr>
        <w:t>303.- MINISTERIO DE VIVIENDA, CIUDAD Y TERRITORIO.</w:t>
      </w:r>
    </w:p>
    <w:p w14:paraId="18CF2D96" w14:textId="77777777" w:rsidR="00D96A90" w:rsidRDefault="00D96A90" w:rsidP="005F6CF8">
      <w:pPr>
        <w:tabs>
          <w:tab w:val="left" w:pos="875"/>
        </w:tabs>
        <w:ind w:left="-284" w:right="-234"/>
        <w:jc w:val="both"/>
        <w:rPr>
          <w:b/>
          <w:sz w:val="28"/>
          <w:szCs w:val="28"/>
          <w:lang w:val="es-MX"/>
        </w:rPr>
      </w:pPr>
    </w:p>
    <w:p w14:paraId="5F1490DB" w14:textId="77777777" w:rsidR="00D96A90" w:rsidRPr="008F1BAB" w:rsidRDefault="00D96A90" w:rsidP="005F6CF8">
      <w:pPr>
        <w:pStyle w:val="Textoindependiente"/>
        <w:spacing w:before="3"/>
        <w:ind w:left="-284" w:right="-234"/>
        <w:jc w:val="both"/>
        <w:rPr>
          <w:rFonts w:ascii="Arial" w:hAnsi="Arial" w:cs="Arial"/>
          <w:bCs/>
          <w:sz w:val="24"/>
          <w:szCs w:val="24"/>
        </w:rPr>
      </w:pPr>
      <w:r w:rsidRPr="008F1BAB">
        <w:rPr>
          <w:rFonts w:ascii="Arial" w:hAnsi="Arial" w:cs="Arial"/>
          <w:b/>
          <w:sz w:val="24"/>
          <w:szCs w:val="24"/>
        </w:rPr>
        <w:t xml:space="preserve">La entidad informa: </w:t>
      </w:r>
      <w:r w:rsidRPr="008F1BAB">
        <w:rPr>
          <w:rFonts w:ascii="Arial" w:hAnsi="Arial" w:cs="Arial"/>
          <w:bCs/>
          <w:sz w:val="24"/>
          <w:szCs w:val="24"/>
        </w:rPr>
        <w:t>El Ministerio de Vivienda, Ciudad y Territorio, al cierre de la vigencia 2024, dio cumplimiento de manera parcial con lo establecido en el art</w:t>
      </w:r>
      <w:r>
        <w:rPr>
          <w:rFonts w:ascii="Arial" w:hAnsi="Arial" w:cs="Arial"/>
          <w:bCs/>
          <w:sz w:val="24"/>
          <w:szCs w:val="24"/>
        </w:rPr>
        <w:t>í</w:t>
      </w:r>
      <w:r w:rsidRPr="008F1BAB">
        <w:rPr>
          <w:rFonts w:ascii="Arial" w:hAnsi="Arial" w:cs="Arial"/>
          <w:bCs/>
          <w:sz w:val="24"/>
          <w:szCs w:val="24"/>
        </w:rPr>
        <w:t>culo 78 del Decreto Ley 111 de 1996 sobre el l</w:t>
      </w:r>
      <w:r>
        <w:rPr>
          <w:rFonts w:ascii="Arial" w:hAnsi="Arial" w:cs="Arial"/>
          <w:bCs/>
          <w:sz w:val="24"/>
          <w:szCs w:val="24"/>
        </w:rPr>
        <w:t>í</w:t>
      </w:r>
      <w:r w:rsidRPr="008F1BAB">
        <w:rPr>
          <w:rFonts w:ascii="Arial" w:hAnsi="Arial" w:cs="Arial"/>
          <w:bCs/>
          <w:sz w:val="24"/>
          <w:szCs w:val="24"/>
        </w:rPr>
        <w:t xml:space="preserve">mite para construir reservas; para gastos de funcionamiento constituyo 0.08% y </w:t>
      </w:r>
      <w:r w:rsidRPr="008F1BAB">
        <w:rPr>
          <w:rFonts w:ascii="Arial" w:hAnsi="Arial" w:cs="Arial"/>
          <w:b/>
          <w:sz w:val="24"/>
          <w:szCs w:val="24"/>
          <w:u w:val="single"/>
        </w:rPr>
        <w:t>para gastos de inversión constituyo 86.61% frente a la apropiación asignada</w:t>
      </w:r>
      <w:r w:rsidRPr="008F1BAB">
        <w:rPr>
          <w:rFonts w:ascii="Arial" w:hAnsi="Arial" w:cs="Arial"/>
          <w:bCs/>
          <w:sz w:val="24"/>
          <w:szCs w:val="24"/>
        </w:rPr>
        <w:t>.</w:t>
      </w:r>
    </w:p>
    <w:p w14:paraId="330618B2" w14:textId="77777777" w:rsidR="00D96A90" w:rsidRPr="008F1BAB" w:rsidRDefault="00D96A90" w:rsidP="005F6CF8">
      <w:pPr>
        <w:pStyle w:val="Textoindependiente"/>
        <w:spacing w:before="3"/>
        <w:ind w:left="-284" w:right="-234"/>
        <w:jc w:val="both"/>
        <w:rPr>
          <w:rFonts w:ascii="Arial" w:hAnsi="Arial" w:cs="Arial"/>
          <w:sz w:val="24"/>
          <w:szCs w:val="24"/>
        </w:rPr>
      </w:pPr>
    </w:p>
    <w:p w14:paraId="0BEE372A" w14:textId="77777777" w:rsidR="00D96A90" w:rsidRPr="002346E8" w:rsidRDefault="00D96A90" w:rsidP="005F6CF8">
      <w:pPr>
        <w:ind w:left="-284" w:right="-234"/>
        <w:jc w:val="both"/>
        <w:rPr>
          <w:rFonts w:ascii="Arial" w:hAnsi="Arial" w:cs="Arial"/>
          <w:b/>
          <w:sz w:val="28"/>
          <w:szCs w:val="28"/>
          <w:lang w:val="es-MX"/>
        </w:rPr>
      </w:pPr>
      <w:r w:rsidRPr="002346E8">
        <w:rPr>
          <w:rFonts w:ascii="Arial" w:hAnsi="Arial" w:cs="Arial"/>
          <w:b/>
          <w:sz w:val="28"/>
          <w:szCs w:val="28"/>
          <w:lang w:val="es-MX"/>
        </w:rPr>
        <w:t>304.- FONDO ROTATORIO DE LA REGISTRADURÍA NACIONAL DEL ESTADO CIVIL.</w:t>
      </w:r>
    </w:p>
    <w:p w14:paraId="4CC6F935" w14:textId="77777777" w:rsidR="00D96A90" w:rsidRDefault="00D96A90" w:rsidP="005F6CF8">
      <w:pPr>
        <w:tabs>
          <w:tab w:val="left" w:pos="875"/>
        </w:tabs>
        <w:ind w:left="-284" w:right="-234"/>
        <w:jc w:val="both"/>
        <w:rPr>
          <w:b/>
          <w:sz w:val="28"/>
          <w:szCs w:val="28"/>
          <w:lang w:val="es-MX"/>
        </w:rPr>
      </w:pPr>
    </w:p>
    <w:p w14:paraId="085353E1" w14:textId="77777777" w:rsidR="00D96A90" w:rsidRPr="00392FB8" w:rsidRDefault="00D96A90" w:rsidP="005F6CF8">
      <w:pPr>
        <w:pStyle w:val="Textoindependiente"/>
        <w:spacing w:before="3"/>
        <w:ind w:left="-284" w:right="-234"/>
        <w:jc w:val="both"/>
        <w:rPr>
          <w:rFonts w:ascii="Arial" w:hAnsi="Arial" w:cs="Arial"/>
          <w:sz w:val="24"/>
          <w:szCs w:val="24"/>
        </w:rPr>
      </w:pPr>
      <w:r w:rsidRPr="00392FB8">
        <w:rPr>
          <w:rFonts w:ascii="Arial" w:hAnsi="Arial" w:cs="Arial"/>
          <w:b/>
          <w:sz w:val="24"/>
          <w:szCs w:val="24"/>
        </w:rPr>
        <w:t xml:space="preserve">La entidad informa: </w:t>
      </w:r>
      <w:r w:rsidRPr="00392FB8">
        <w:rPr>
          <w:rFonts w:ascii="Arial" w:hAnsi="Arial" w:cs="Arial"/>
          <w:sz w:val="24"/>
          <w:szCs w:val="24"/>
        </w:rPr>
        <w:t xml:space="preserve">El Fondo Rotatorio de la Registraduría Nacional del Estado Civil, constituyó reservas presupuestales en la cuenta de gastos de funcionamiento por valor de $ 6.409 millones, de los cuales la suma de  $3.053 millones correspondía a cuentas por pagar registradas contablemente como Atributo 40, en consideración a que en el periodo de transición, no se contaba con la opción de obligar las cuentas por pagar y así mismo no existía cupo de PAC habilitado para realizar la transacción en el Sistema Integrado de Información Financiera SIIF Nación. </w:t>
      </w:r>
    </w:p>
    <w:p w14:paraId="7FC5883F" w14:textId="77777777" w:rsidR="00D96A90" w:rsidRPr="00392FB8" w:rsidRDefault="00D96A90" w:rsidP="005F6CF8">
      <w:pPr>
        <w:pStyle w:val="Textoindependiente"/>
        <w:spacing w:before="3"/>
        <w:ind w:left="-284" w:right="-234"/>
        <w:jc w:val="both"/>
        <w:rPr>
          <w:rFonts w:ascii="Arial" w:hAnsi="Arial" w:cs="Arial"/>
          <w:sz w:val="24"/>
          <w:szCs w:val="24"/>
        </w:rPr>
      </w:pPr>
    </w:p>
    <w:p w14:paraId="5808CADA" w14:textId="77777777" w:rsidR="00D96A90" w:rsidRPr="00392FB8" w:rsidRDefault="00D96A90" w:rsidP="005F6CF8">
      <w:pPr>
        <w:pStyle w:val="Textoindependiente"/>
        <w:spacing w:before="3"/>
        <w:ind w:left="-284" w:right="-234"/>
        <w:jc w:val="both"/>
        <w:rPr>
          <w:rFonts w:ascii="Arial" w:hAnsi="Arial" w:cs="Arial"/>
          <w:sz w:val="24"/>
          <w:szCs w:val="24"/>
        </w:rPr>
      </w:pPr>
      <w:r w:rsidRPr="00392FB8">
        <w:rPr>
          <w:rFonts w:ascii="Arial" w:hAnsi="Arial" w:cs="Arial"/>
          <w:sz w:val="24"/>
          <w:szCs w:val="24"/>
        </w:rPr>
        <w:t>Las reservas presupuestales reales no inducidas, superan el techo del 2% del total de la apropiación vigente de funcionamiento de la vigencia 2024, lo anterior debido al contrato de mensajería y objetos postales el cual ha presentado dificultades al momento de su ejecución, lo que genero incumplimientos por parte del contratista que generaron estas reservas presupuestales. En lo relacionado con inversión se constituyeron reservas por valor $34.924 millones, de los cuales la suma de $21.681 millones es reserva inducida, es decir, todas que las  cuentas quedaron registradas contablemente como atributo 40 en el periodo de transición, debido a que no se contaba con la opción de obligar las cuentas por pagar y así mismo no existía cupo de PAC habilitado para realizar la transacción en el Sistema Integrado de Información Financiera SIIF Nación, por lo anterior la entidad no supero el porcentaje establecido para inversión.</w:t>
      </w:r>
    </w:p>
    <w:p w14:paraId="645AF1AC" w14:textId="77777777" w:rsidR="00D96A90" w:rsidRDefault="00D96A90" w:rsidP="005F6CF8">
      <w:pPr>
        <w:tabs>
          <w:tab w:val="left" w:pos="875"/>
        </w:tabs>
        <w:ind w:left="-284" w:right="-234"/>
        <w:jc w:val="both"/>
        <w:rPr>
          <w:rFonts w:ascii="Arial" w:hAnsi="Arial" w:cs="Arial"/>
          <w:b/>
          <w:sz w:val="24"/>
          <w:szCs w:val="24"/>
        </w:rPr>
      </w:pPr>
    </w:p>
    <w:p w14:paraId="0FF64395" w14:textId="77777777" w:rsidR="00D96A90" w:rsidRPr="00B215A2" w:rsidRDefault="00D96A90" w:rsidP="005F6CF8">
      <w:pPr>
        <w:ind w:left="-284" w:right="-234"/>
        <w:jc w:val="both"/>
        <w:rPr>
          <w:rFonts w:ascii="Arial" w:eastAsia="Calibri" w:hAnsi="Arial" w:cs="Arial"/>
          <w:b/>
          <w:sz w:val="28"/>
          <w:szCs w:val="28"/>
          <w:lang w:val="es-MX"/>
        </w:rPr>
      </w:pPr>
      <w:r w:rsidRPr="00B215A2">
        <w:rPr>
          <w:rFonts w:ascii="Arial" w:hAnsi="Arial" w:cs="Arial"/>
          <w:b/>
          <w:sz w:val="28"/>
          <w:szCs w:val="28"/>
          <w:lang w:val="es-MX"/>
        </w:rPr>
        <w:t xml:space="preserve">305.- </w:t>
      </w:r>
      <w:r w:rsidRPr="00B215A2">
        <w:rPr>
          <w:rFonts w:ascii="Arial" w:eastAsia="Calibri" w:hAnsi="Arial" w:cs="Arial"/>
          <w:b/>
          <w:sz w:val="28"/>
          <w:szCs w:val="28"/>
          <w:lang w:val="es-MX"/>
        </w:rPr>
        <w:t>FONDO SOCIAL DE VIVIENDA - REGISTRADURÍA NACIONAL DEL ESTADO CIVIL.</w:t>
      </w:r>
    </w:p>
    <w:p w14:paraId="758B5469" w14:textId="77777777" w:rsidR="00D96A90" w:rsidRPr="007C6C59" w:rsidRDefault="00D96A90" w:rsidP="005F6CF8">
      <w:pPr>
        <w:tabs>
          <w:tab w:val="left" w:pos="875"/>
        </w:tabs>
        <w:ind w:left="-284" w:right="-234"/>
        <w:jc w:val="both"/>
        <w:rPr>
          <w:rFonts w:ascii="Arial" w:hAnsi="Arial" w:cs="Arial"/>
          <w:b/>
          <w:sz w:val="24"/>
          <w:szCs w:val="24"/>
          <w:lang w:val="es-MX"/>
        </w:rPr>
      </w:pPr>
    </w:p>
    <w:p w14:paraId="7D324391" w14:textId="77777777" w:rsidR="00D96A90" w:rsidRPr="007C6C59" w:rsidRDefault="00D96A90" w:rsidP="005F6CF8">
      <w:pPr>
        <w:pStyle w:val="Textoindependiente"/>
        <w:ind w:left="-284" w:right="-234"/>
        <w:jc w:val="both"/>
        <w:rPr>
          <w:rFonts w:ascii="Arial" w:eastAsia="Times New Roman" w:hAnsi="Arial" w:cs="Arial"/>
          <w:sz w:val="24"/>
          <w:szCs w:val="24"/>
          <w:lang w:val="es-CO" w:eastAsia="es-ES"/>
        </w:rPr>
      </w:pPr>
      <w:r w:rsidRPr="007C6C59">
        <w:rPr>
          <w:rFonts w:ascii="Arial" w:hAnsi="Arial" w:cs="Arial"/>
          <w:b/>
          <w:sz w:val="24"/>
          <w:szCs w:val="24"/>
        </w:rPr>
        <w:lastRenderedPageBreak/>
        <w:t xml:space="preserve">La entidad informa: </w:t>
      </w:r>
      <w:r w:rsidRPr="007C6C59">
        <w:rPr>
          <w:rFonts w:ascii="Arial" w:eastAsia="Times New Roman" w:hAnsi="Arial" w:cs="Arial"/>
          <w:sz w:val="24"/>
          <w:szCs w:val="24"/>
          <w:lang w:val="es-CO" w:eastAsia="es-ES"/>
        </w:rPr>
        <w:t>El Fondo Social de Vivienda de la Registraduría Nacional del Estado Civil, constituyó reservas presupuestales en la cuenta de gastos de funcionamiento por valor de $ 3.368 millones. Las reservas presupuestales, superan el techo del 2% del total de la apropiación vigente de funcionamiento de la vigencia 2024, lo anterior debido a que, si bien la convocatoria y adjudicación de los créditos se realizó de manera oportuna, el proceso de perfeccionamiento requiere de la intervención de diversos actores externos, tales como bancos, notarías y la Superintendencia de Notariado y Registro. En este contexto, aunque el crédito ya contaba con una escritura pública en la que se protocolizaba la garantía, el Fondo debía esperar a que la respectiva anotación quedara inscrita en el Certificado de Tradición y Libertad. Así mismo, los créditos se otorgaron dando cumplimiento a lo señalado en el numeral 2 del artículo 7 de la Resolución No.9294 del 25 de noviembre de 2020, mediante la cual se adopta el Estatuto del Fondo Social de Vivienda de la Registraduría Nacional del Estado Civil (RNEC), establece la figura de los Créditos Extraordinarios. Estos créditos pueden ser adjudicados por la Junta Directiva del Fondo a solicitud de los servidores públicos que enfrenten situaciones especiales de urgencia o necesidad, tales como:</w:t>
      </w:r>
    </w:p>
    <w:p w14:paraId="0C570299" w14:textId="77777777" w:rsidR="00D96A90" w:rsidRPr="007C6C59" w:rsidRDefault="00D96A90" w:rsidP="00D96A90">
      <w:pPr>
        <w:widowControl/>
        <w:autoSpaceDE/>
        <w:autoSpaceDN/>
        <w:jc w:val="both"/>
        <w:rPr>
          <w:rFonts w:ascii="Arial" w:eastAsia="Times New Roman" w:hAnsi="Arial" w:cs="Arial"/>
          <w:sz w:val="24"/>
          <w:szCs w:val="24"/>
          <w:lang w:val="es-CO" w:eastAsia="es-ES"/>
        </w:rPr>
      </w:pPr>
    </w:p>
    <w:p w14:paraId="010B50DF"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Desastres naturales que afecten la vivienda.</w:t>
      </w:r>
    </w:p>
    <w:p w14:paraId="2A2A31B6"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Condición de madre o padre cabeza de familia o dependencia económica de sus padres que convivan bajo el mismo techo.</w:t>
      </w:r>
    </w:p>
    <w:p w14:paraId="2FC1DD86"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Deterioro severo de la vivienda, que ponga en riesgo la habitabilidad</w:t>
      </w:r>
    </w:p>
    <w:p w14:paraId="3B5C2AD2"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Grave hacinamiento, que comprometa las condiciones de vida digna.</w:t>
      </w:r>
    </w:p>
    <w:p w14:paraId="59E380E8"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Altas cuotas de crédito hipotecario o riesgo de pérdida de la vivienda por procesos hipotecarios con entidades diferentes al Fondo Social de Vivienda.</w:t>
      </w:r>
    </w:p>
    <w:p w14:paraId="07D538E0"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Condiciones de inseguridad o insalubridad en la vivienda.</w:t>
      </w:r>
    </w:p>
    <w:p w14:paraId="19F38EC4" w14:textId="77777777" w:rsidR="00D96A90" w:rsidRPr="007C6C59" w:rsidRDefault="00D96A90" w:rsidP="00CB6055">
      <w:pPr>
        <w:pStyle w:val="Prrafodelista"/>
        <w:widowControl/>
        <w:numPr>
          <w:ilvl w:val="0"/>
          <w:numId w:val="48"/>
        </w:numPr>
        <w:autoSpaceDE/>
        <w:autoSpaceDN/>
        <w:spacing w:before="1"/>
        <w:ind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Alteraciones en las condiciones normales de vida o convivencia, que afecten la estabilidad del servidor público y su núcleo familiar.</w:t>
      </w:r>
    </w:p>
    <w:p w14:paraId="2FB8C12F" w14:textId="77777777" w:rsidR="00D96A90" w:rsidRPr="007C6C59" w:rsidRDefault="00D96A90" w:rsidP="005F6CF8">
      <w:pPr>
        <w:widowControl/>
        <w:autoSpaceDE/>
        <w:autoSpaceDN/>
        <w:ind w:right="-234"/>
        <w:jc w:val="both"/>
        <w:rPr>
          <w:rFonts w:ascii="Arial" w:eastAsia="Times New Roman" w:hAnsi="Arial" w:cs="Arial"/>
          <w:sz w:val="24"/>
          <w:szCs w:val="24"/>
          <w:lang w:val="es-CO" w:eastAsia="es-ES"/>
        </w:rPr>
      </w:pPr>
    </w:p>
    <w:p w14:paraId="5DD7E297" w14:textId="77777777" w:rsidR="00D96A90" w:rsidRPr="007C6C59" w:rsidRDefault="00D96A90" w:rsidP="005F6CF8">
      <w:pPr>
        <w:widowControl/>
        <w:autoSpaceDE/>
        <w:autoSpaceDN/>
        <w:ind w:left="-284"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Dado que estas situaciones representan circunstancias excepcionales de urgencia y necesidad, se considera imperativo garantizar el acceso a estos créditos con el fin de mitigar los riesgos que afectan la estabilidad habitacional de los empleados de la RNEC.</w:t>
      </w:r>
    </w:p>
    <w:p w14:paraId="3E1CB5BD" w14:textId="77777777" w:rsidR="00D96A90" w:rsidRPr="007C6C59" w:rsidRDefault="00D96A90" w:rsidP="005F6CF8">
      <w:pPr>
        <w:widowControl/>
        <w:autoSpaceDE/>
        <w:autoSpaceDN/>
        <w:ind w:left="-284" w:right="-234"/>
        <w:jc w:val="both"/>
        <w:rPr>
          <w:rFonts w:ascii="Arial" w:eastAsia="Times New Roman" w:hAnsi="Arial" w:cs="Arial"/>
          <w:sz w:val="24"/>
          <w:szCs w:val="24"/>
          <w:lang w:val="es-CO" w:eastAsia="es-ES"/>
        </w:rPr>
      </w:pPr>
    </w:p>
    <w:p w14:paraId="6E74E94D" w14:textId="5CB1FA44" w:rsidR="00D96A90" w:rsidRDefault="00D96A90" w:rsidP="005F6CF8">
      <w:pPr>
        <w:widowControl/>
        <w:autoSpaceDE/>
        <w:autoSpaceDN/>
        <w:ind w:left="-284"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El objeto social del Fondo Social de Vivienda es brindar soluciones efectivas para mejorar las condiciones de vivienda de los servidores públicos de la Registraduría Nacional del Estado Civil. En este sentido, la adjudicación de créditos extraordinarios no solo responde a una necesidad inmediata, sino que también se enmarca en los principios de bienestar social y protección de los derechos fundamentales, asegurando condiciones dignas de habitabilidad y calidad de vida para los beneficiarios.</w:t>
      </w:r>
    </w:p>
    <w:p w14:paraId="32DAD8CC" w14:textId="77777777" w:rsidR="007D517D" w:rsidRPr="007C6C59" w:rsidRDefault="007D517D" w:rsidP="005F6CF8">
      <w:pPr>
        <w:widowControl/>
        <w:autoSpaceDE/>
        <w:autoSpaceDN/>
        <w:ind w:left="-284" w:right="-234"/>
        <w:jc w:val="both"/>
        <w:rPr>
          <w:rFonts w:ascii="Arial" w:eastAsia="Times New Roman" w:hAnsi="Arial" w:cs="Arial"/>
          <w:sz w:val="24"/>
          <w:szCs w:val="24"/>
          <w:lang w:val="es-CO" w:eastAsia="es-ES"/>
        </w:rPr>
      </w:pPr>
    </w:p>
    <w:p w14:paraId="76135CA5" w14:textId="77777777" w:rsidR="00D96A90" w:rsidRPr="007C6C59" w:rsidRDefault="00D96A90" w:rsidP="005F6CF8">
      <w:pPr>
        <w:widowControl/>
        <w:autoSpaceDE/>
        <w:autoSpaceDN/>
        <w:ind w:left="-284" w:right="-234"/>
        <w:jc w:val="both"/>
        <w:rPr>
          <w:rFonts w:ascii="Arial" w:eastAsia="Times New Roman" w:hAnsi="Arial" w:cs="Arial"/>
          <w:sz w:val="24"/>
          <w:szCs w:val="24"/>
          <w:lang w:val="es-CO" w:eastAsia="es-ES"/>
        </w:rPr>
      </w:pPr>
      <w:r w:rsidRPr="007C6C59">
        <w:rPr>
          <w:rFonts w:ascii="Arial" w:eastAsia="Times New Roman" w:hAnsi="Arial" w:cs="Arial"/>
          <w:sz w:val="24"/>
          <w:szCs w:val="24"/>
          <w:lang w:val="es-CO" w:eastAsia="es-ES"/>
        </w:rPr>
        <w:t>No obstante, durante este procedimiento, la actuación de un actor externo impidió que se efectuara el desembolso dentro de la vigencia fiscal establecida. Esta situación, ajena a la voluntad del Fondo y del beneficiario, representa una circunstancia excepcional que afecta directamente el acceso oportuno a los recursos y, por ende, la estabilidad habitacional de los empleados de la Registraduría Nacional del Estado Civil (RNEC).</w:t>
      </w:r>
    </w:p>
    <w:p w14:paraId="5FD6137C" w14:textId="77777777" w:rsidR="00D96A90" w:rsidRPr="007C6C59" w:rsidRDefault="00D96A90" w:rsidP="005F6CF8">
      <w:pPr>
        <w:pStyle w:val="Prrafodelista"/>
        <w:ind w:left="-284" w:right="-234"/>
        <w:rPr>
          <w:rFonts w:ascii="Arial" w:hAnsi="Arial" w:cs="Arial"/>
          <w:b/>
          <w:sz w:val="24"/>
          <w:szCs w:val="24"/>
          <w:lang w:val="es-CO"/>
        </w:rPr>
      </w:pPr>
    </w:p>
    <w:p w14:paraId="32B66B77" w14:textId="77777777" w:rsidR="00D96A90" w:rsidRDefault="00D96A90" w:rsidP="005F6CF8">
      <w:pPr>
        <w:ind w:left="-284" w:right="-234"/>
        <w:jc w:val="both"/>
        <w:rPr>
          <w:rFonts w:ascii="Arial" w:hAnsi="Arial" w:cs="Arial"/>
          <w:b/>
          <w:sz w:val="28"/>
          <w:szCs w:val="28"/>
          <w:lang w:val="es-MX"/>
        </w:rPr>
      </w:pPr>
      <w:r w:rsidRPr="00C07DAC">
        <w:rPr>
          <w:rFonts w:ascii="Arial" w:hAnsi="Arial" w:cs="Arial"/>
          <w:b/>
          <w:sz w:val="28"/>
          <w:szCs w:val="28"/>
          <w:lang w:val="es-MX"/>
        </w:rPr>
        <w:t xml:space="preserve">306.- </w:t>
      </w:r>
      <w:r w:rsidRPr="00C07DAC">
        <w:rPr>
          <w:rFonts w:ascii="Arial" w:hAnsi="Arial" w:cs="Arial"/>
          <w:b/>
          <w:sz w:val="28"/>
          <w:szCs w:val="28"/>
        </w:rPr>
        <w:t>MINISTERIO</w:t>
      </w:r>
      <w:r w:rsidRPr="00C07DAC">
        <w:rPr>
          <w:rFonts w:ascii="Arial" w:hAnsi="Arial" w:cs="Arial"/>
          <w:b/>
          <w:spacing w:val="-12"/>
          <w:sz w:val="28"/>
          <w:szCs w:val="28"/>
        </w:rPr>
        <w:t xml:space="preserve"> </w:t>
      </w:r>
      <w:r w:rsidRPr="00C07DAC">
        <w:rPr>
          <w:rFonts w:ascii="Arial" w:hAnsi="Arial" w:cs="Arial"/>
          <w:b/>
          <w:sz w:val="28"/>
          <w:szCs w:val="28"/>
        </w:rPr>
        <w:t>DE</w:t>
      </w:r>
      <w:r w:rsidRPr="00C07DAC">
        <w:rPr>
          <w:rFonts w:ascii="Arial" w:hAnsi="Arial" w:cs="Arial"/>
          <w:b/>
          <w:spacing w:val="-9"/>
          <w:sz w:val="28"/>
          <w:szCs w:val="28"/>
        </w:rPr>
        <w:t xml:space="preserve"> </w:t>
      </w:r>
      <w:r w:rsidRPr="00C07DAC">
        <w:rPr>
          <w:rFonts w:ascii="Arial" w:hAnsi="Arial" w:cs="Arial"/>
          <w:b/>
          <w:sz w:val="28"/>
          <w:szCs w:val="28"/>
        </w:rPr>
        <w:t>DEFENSA</w:t>
      </w:r>
      <w:r w:rsidRPr="00C07DAC">
        <w:rPr>
          <w:rFonts w:ascii="Arial" w:hAnsi="Arial" w:cs="Arial"/>
          <w:b/>
          <w:spacing w:val="-9"/>
          <w:sz w:val="28"/>
          <w:szCs w:val="28"/>
        </w:rPr>
        <w:t xml:space="preserve"> </w:t>
      </w:r>
      <w:r w:rsidRPr="00C07DAC">
        <w:rPr>
          <w:rFonts w:ascii="Arial" w:hAnsi="Arial" w:cs="Arial"/>
          <w:b/>
          <w:sz w:val="28"/>
          <w:szCs w:val="28"/>
        </w:rPr>
        <w:t>NACIONAL</w:t>
      </w:r>
      <w:r w:rsidRPr="00C07DAC">
        <w:rPr>
          <w:rFonts w:ascii="Arial" w:hAnsi="Arial" w:cs="Arial"/>
          <w:b/>
          <w:sz w:val="28"/>
          <w:szCs w:val="28"/>
          <w:lang w:val="es-MX"/>
        </w:rPr>
        <w:t xml:space="preserve"> CONSOLIDADO.</w:t>
      </w:r>
    </w:p>
    <w:p w14:paraId="1B4591E5" w14:textId="77777777" w:rsidR="00D96A90" w:rsidRPr="00C07DAC" w:rsidRDefault="00D96A90" w:rsidP="005F6CF8">
      <w:pPr>
        <w:ind w:left="-284" w:right="-234"/>
        <w:jc w:val="both"/>
        <w:rPr>
          <w:rFonts w:ascii="Arial" w:hAnsi="Arial" w:cs="Arial"/>
          <w:b/>
          <w:sz w:val="28"/>
          <w:szCs w:val="28"/>
          <w:lang w:val="es-MX"/>
        </w:rPr>
      </w:pPr>
    </w:p>
    <w:p w14:paraId="56FAB39D" w14:textId="77777777" w:rsidR="00D96A90" w:rsidRPr="00847E0C" w:rsidRDefault="00D96A90" w:rsidP="005F6CF8">
      <w:pPr>
        <w:pStyle w:val="Textoindependiente"/>
        <w:spacing w:before="3"/>
        <w:ind w:left="-284" w:right="-234"/>
        <w:jc w:val="both"/>
        <w:rPr>
          <w:rFonts w:ascii="Arial" w:hAnsi="Arial" w:cs="Arial"/>
          <w:b/>
          <w:sz w:val="24"/>
          <w:szCs w:val="24"/>
        </w:rPr>
      </w:pPr>
      <w:r w:rsidRPr="00847E0C">
        <w:rPr>
          <w:rFonts w:ascii="Arial" w:hAnsi="Arial" w:cs="Arial"/>
          <w:b/>
          <w:sz w:val="24"/>
          <w:szCs w:val="24"/>
        </w:rPr>
        <w:t>La entidad informa: NO.</w:t>
      </w:r>
    </w:p>
    <w:p w14:paraId="6AC97B6E" w14:textId="77777777" w:rsidR="00D96A90" w:rsidRPr="00B66E87" w:rsidRDefault="00D96A90" w:rsidP="00D96A90">
      <w:pPr>
        <w:pStyle w:val="Textoindependiente"/>
        <w:spacing w:before="3"/>
        <w:ind w:left="-142"/>
        <w:jc w:val="both"/>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559"/>
        <w:gridCol w:w="1560"/>
        <w:gridCol w:w="1559"/>
        <w:gridCol w:w="1559"/>
        <w:gridCol w:w="1418"/>
      </w:tblGrid>
      <w:tr w:rsidR="00D96A90" w:rsidRPr="00847E0C" w14:paraId="62E562B1" w14:textId="77777777" w:rsidTr="00EF5AF2">
        <w:trPr>
          <w:jc w:val="center"/>
        </w:trPr>
        <w:tc>
          <w:tcPr>
            <w:tcW w:w="1565" w:type="dxa"/>
            <w:shd w:val="clear" w:color="auto" w:fill="auto"/>
            <w:vAlign w:val="center"/>
          </w:tcPr>
          <w:p w14:paraId="4E910C4B" w14:textId="77777777" w:rsidR="00D96A90" w:rsidRPr="00847E0C" w:rsidRDefault="00D96A90" w:rsidP="00EF5AF2">
            <w:pPr>
              <w:pStyle w:val="Textoindependiente"/>
              <w:jc w:val="center"/>
              <w:rPr>
                <w:rFonts w:ascii="Arial" w:eastAsia="Calibri" w:hAnsi="Arial" w:cs="Arial"/>
                <w:b/>
                <w:bCs/>
                <w:sz w:val="16"/>
                <w:szCs w:val="16"/>
              </w:rPr>
            </w:pPr>
            <w:r w:rsidRPr="00847E0C">
              <w:rPr>
                <w:rFonts w:ascii="Arial" w:eastAsia="Calibri" w:hAnsi="Arial" w:cs="Arial"/>
                <w:b/>
                <w:bCs/>
                <w:sz w:val="16"/>
                <w:szCs w:val="16"/>
              </w:rPr>
              <w:t>TIPO DE GASTO</w:t>
            </w:r>
          </w:p>
        </w:tc>
        <w:tc>
          <w:tcPr>
            <w:tcW w:w="1559" w:type="dxa"/>
            <w:shd w:val="clear" w:color="auto" w:fill="auto"/>
            <w:vAlign w:val="center"/>
          </w:tcPr>
          <w:p w14:paraId="2D91714A" w14:textId="77777777" w:rsidR="00D96A90" w:rsidRPr="00847E0C" w:rsidRDefault="00D96A90" w:rsidP="00EF5AF2">
            <w:pPr>
              <w:pStyle w:val="Textoindependiente"/>
              <w:jc w:val="center"/>
              <w:rPr>
                <w:rFonts w:ascii="Arial" w:eastAsia="Calibri" w:hAnsi="Arial" w:cs="Arial"/>
                <w:b/>
                <w:bCs/>
                <w:sz w:val="16"/>
                <w:szCs w:val="16"/>
              </w:rPr>
            </w:pPr>
            <w:r w:rsidRPr="00847E0C">
              <w:rPr>
                <w:rFonts w:ascii="Arial" w:eastAsia="Calibri" w:hAnsi="Arial" w:cs="Arial"/>
                <w:b/>
                <w:bCs/>
                <w:sz w:val="16"/>
                <w:szCs w:val="16"/>
              </w:rPr>
              <w:t xml:space="preserve">APROPIACIÓN </w:t>
            </w:r>
            <w:r w:rsidRPr="00847E0C">
              <w:rPr>
                <w:rFonts w:ascii="Arial" w:eastAsia="Calibri" w:hAnsi="Arial" w:cs="Arial"/>
                <w:b/>
                <w:bCs/>
                <w:sz w:val="16"/>
                <w:szCs w:val="16"/>
              </w:rPr>
              <w:lastRenderedPageBreak/>
              <w:t>VIGENTE</w:t>
            </w:r>
          </w:p>
        </w:tc>
        <w:tc>
          <w:tcPr>
            <w:tcW w:w="1560" w:type="dxa"/>
            <w:shd w:val="clear" w:color="auto" w:fill="auto"/>
            <w:vAlign w:val="center"/>
          </w:tcPr>
          <w:p w14:paraId="3FB3E7C5" w14:textId="77777777" w:rsidR="00D96A90" w:rsidRPr="00847E0C" w:rsidRDefault="00D96A90" w:rsidP="00EF5AF2">
            <w:pPr>
              <w:pStyle w:val="Textoindependiente"/>
              <w:jc w:val="center"/>
              <w:rPr>
                <w:rFonts w:ascii="Arial" w:eastAsia="Calibri" w:hAnsi="Arial" w:cs="Arial"/>
                <w:b/>
                <w:bCs/>
                <w:sz w:val="16"/>
                <w:szCs w:val="16"/>
              </w:rPr>
            </w:pPr>
            <w:r w:rsidRPr="00847E0C">
              <w:rPr>
                <w:rFonts w:ascii="Arial" w:eastAsia="Calibri" w:hAnsi="Arial" w:cs="Arial"/>
                <w:b/>
                <w:bCs/>
                <w:sz w:val="16"/>
                <w:szCs w:val="16"/>
              </w:rPr>
              <w:lastRenderedPageBreak/>
              <w:t>COMPROMISOS</w:t>
            </w:r>
          </w:p>
        </w:tc>
        <w:tc>
          <w:tcPr>
            <w:tcW w:w="1559" w:type="dxa"/>
            <w:vAlign w:val="center"/>
          </w:tcPr>
          <w:p w14:paraId="73CF39C5" w14:textId="77777777" w:rsidR="00D96A90" w:rsidRPr="00847E0C" w:rsidRDefault="00D96A90" w:rsidP="00EF5AF2">
            <w:pPr>
              <w:pStyle w:val="Textoindependiente"/>
              <w:jc w:val="center"/>
              <w:rPr>
                <w:rFonts w:ascii="Arial" w:eastAsia="Calibri" w:hAnsi="Arial" w:cs="Arial"/>
                <w:b/>
                <w:bCs/>
                <w:sz w:val="16"/>
                <w:szCs w:val="16"/>
              </w:rPr>
            </w:pPr>
            <w:r w:rsidRPr="00847E0C">
              <w:rPr>
                <w:rFonts w:ascii="Arial" w:eastAsia="Calibri" w:hAnsi="Arial" w:cs="Arial"/>
                <w:b/>
                <w:bCs/>
                <w:sz w:val="16"/>
                <w:szCs w:val="16"/>
              </w:rPr>
              <w:t>OBLIGACIONES</w:t>
            </w:r>
          </w:p>
        </w:tc>
        <w:tc>
          <w:tcPr>
            <w:tcW w:w="1559" w:type="dxa"/>
            <w:shd w:val="clear" w:color="auto" w:fill="auto"/>
            <w:vAlign w:val="center"/>
          </w:tcPr>
          <w:p w14:paraId="6FE82629" w14:textId="77777777" w:rsidR="00D96A90" w:rsidRPr="00847E0C" w:rsidRDefault="00D96A90" w:rsidP="00EF5AF2">
            <w:pPr>
              <w:pStyle w:val="Textoindependiente"/>
              <w:jc w:val="center"/>
              <w:rPr>
                <w:rFonts w:ascii="Arial" w:eastAsia="Calibri" w:hAnsi="Arial" w:cs="Arial"/>
                <w:b/>
                <w:bCs/>
                <w:sz w:val="16"/>
                <w:szCs w:val="16"/>
              </w:rPr>
            </w:pPr>
            <w:r w:rsidRPr="00847E0C">
              <w:rPr>
                <w:rFonts w:ascii="Arial" w:eastAsia="Calibri" w:hAnsi="Arial" w:cs="Arial"/>
                <w:b/>
                <w:bCs/>
                <w:sz w:val="16"/>
                <w:szCs w:val="16"/>
              </w:rPr>
              <w:t xml:space="preserve">RESERVA </w:t>
            </w:r>
            <w:r w:rsidRPr="00847E0C">
              <w:rPr>
                <w:rFonts w:ascii="Arial" w:eastAsia="Calibri" w:hAnsi="Arial" w:cs="Arial"/>
                <w:b/>
                <w:bCs/>
                <w:sz w:val="16"/>
                <w:szCs w:val="16"/>
              </w:rPr>
              <w:lastRenderedPageBreak/>
              <w:t>CONSTITUIDA</w:t>
            </w:r>
          </w:p>
        </w:tc>
        <w:tc>
          <w:tcPr>
            <w:tcW w:w="1418" w:type="dxa"/>
            <w:shd w:val="clear" w:color="auto" w:fill="auto"/>
            <w:vAlign w:val="center"/>
          </w:tcPr>
          <w:p w14:paraId="380CECCE" w14:textId="77777777" w:rsidR="00D96A90" w:rsidRPr="00847E0C" w:rsidRDefault="00D96A90" w:rsidP="00EF5AF2">
            <w:pPr>
              <w:pStyle w:val="Textoindependiente"/>
              <w:jc w:val="center"/>
              <w:rPr>
                <w:rFonts w:ascii="Arial" w:eastAsia="Calibri" w:hAnsi="Arial" w:cs="Arial"/>
                <w:b/>
                <w:bCs/>
                <w:sz w:val="16"/>
                <w:szCs w:val="16"/>
              </w:rPr>
            </w:pPr>
            <w:r w:rsidRPr="00847E0C">
              <w:rPr>
                <w:rFonts w:ascii="Arial" w:eastAsia="Calibri" w:hAnsi="Arial" w:cs="Arial"/>
                <w:b/>
                <w:bCs/>
                <w:sz w:val="16"/>
                <w:szCs w:val="16"/>
              </w:rPr>
              <w:lastRenderedPageBreak/>
              <w:t xml:space="preserve">% RESERVA </w:t>
            </w:r>
            <w:r w:rsidRPr="00847E0C">
              <w:rPr>
                <w:rFonts w:ascii="Arial" w:eastAsia="Calibri" w:hAnsi="Arial" w:cs="Arial"/>
                <w:b/>
                <w:bCs/>
                <w:sz w:val="16"/>
                <w:szCs w:val="16"/>
              </w:rPr>
              <w:lastRenderedPageBreak/>
              <w:t>CONSTITUIDA</w:t>
            </w:r>
          </w:p>
        </w:tc>
      </w:tr>
      <w:tr w:rsidR="00D96A90" w:rsidRPr="00847E0C" w14:paraId="7292050D" w14:textId="77777777" w:rsidTr="00EF5AF2">
        <w:trPr>
          <w:trHeight w:val="368"/>
          <w:jc w:val="center"/>
        </w:trPr>
        <w:tc>
          <w:tcPr>
            <w:tcW w:w="1565" w:type="dxa"/>
            <w:shd w:val="clear" w:color="auto" w:fill="auto"/>
            <w:vAlign w:val="center"/>
          </w:tcPr>
          <w:p w14:paraId="15080190" w14:textId="77777777" w:rsidR="00D96A90" w:rsidRPr="00847E0C" w:rsidRDefault="00D96A90" w:rsidP="00EF5AF2">
            <w:pPr>
              <w:pStyle w:val="Textoindependiente"/>
              <w:rPr>
                <w:rFonts w:ascii="Arial" w:eastAsia="Calibri" w:hAnsi="Arial" w:cs="Arial"/>
                <w:sz w:val="16"/>
                <w:szCs w:val="16"/>
              </w:rPr>
            </w:pPr>
            <w:r w:rsidRPr="00847E0C">
              <w:rPr>
                <w:rFonts w:ascii="Arial" w:eastAsia="Calibri" w:hAnsi="Arial" w:cs="Arial"/>
                <w:sz w:val="16"/>
                <w:szCs w:val="16"/>
              </w:rPr>
              <w:lastRenderedPageBreak/>
              <w:t>Funcionamiento</w:t>
            </w:r>
          </w:p>
        </w:tc>
        <w:tc>
          <w:tcPr>
            <w:tcW w:w="1559" w:type="dxa"/>
            <w:shd w:val="clear" w:color="auto" w:fill="auto"/>
            <w:vAlign w:val="center"/>
          </w:tcPr>
          <w:p w14:paraId="6F309BF2"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21.255.772.174,28</w:t>
            </w:r>
          </w:p>
        </w:tc>
        <w:tc>
          <w:tcPr>
            <w:tcW w:w="1560" w:type="dxa"/>
            <w:shd w:val="clear" w:color="auto" w:fill="auto"/>
            <w:vAlign w:val="center"/>
          </w:tcPr>
          <w:p w14:paraId="36DB7A51"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2.480.240.662,14</w:t>
            </w:r>
          </w:p>
        </w:tc>
        <w:tc>
          <w:tcPr>
            <w:tcW w:w="1559" w:type="dxa"/>
            <w:vAlign w:val="center"/>
          </w:tcPr>
          <w:p w14:paraId="1CF04261"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18.940.044.704,37</w:t>
            </w:r>
          </w:p>
        </w:tc>
        <w:tc>
          <w:tcPr>
            <w:tcW w:w="1559" w:type="dxa"/>
            <w:shd w:val="clear" w:color="auto" w:fill="auto"/>
            <w:vAlign w:val="center"/>
          </w:tcPr>
          <w:p w14:paraId="482F4B9E"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2.119.554.193,06</w:t>
            </w:r>
          </w:p>
        </w:tc>
        <w:tc>
          <w:tcPr>
            <w:tcW w:w="1418" w:type="dxa"/>
            <w:shd w:val="clear" w:color="auto" w:fill="auto"/>
            <w:vAlign w:val="center"/>
          </w:tcPr>
          <w:p w14:paraId="5974D812" w14:textId="77777777" w:rsidR="00D96A90" w:rsidRPr="00847E0C" w:rsidRDefault="00D96A90" w:rsidP="00EF5AF2">
            <w:pPr>
              <w:pStyle w:val="Textoindependiente"/>
              <w:jc w:val="center"/>
              <w:rPr>
                <w:rFonts w:ascii="Arial" w:eastAsia="Calibri" w:hAnsi="Arial" w:cs="Arial"/>
                <w:sz w:val="16"/>
                <w:szCs w:val="16"/>
              </w:rPr>
            </w:pPr>
            <w:r w:rsidRPr="00847E0C">
              <w:rPr>
                <w:rFonts w:ascii="Arial" w:hAnsi="Arial" w:cs="Arial"/>
                <w:b/>
                <w:bCs/>
                <w:sz w:val="16"/>
                <w:szCs w:val="16"/>
              </w:rPr>
              <w:t>9,97%</w:t>
            </w:r>
          </w:p>
        </w:tc>
      </w:tr>
      <w:tr w:rsidR="00D96A90" w:rsidRPr="00847E0C" w14:paraId="62FE3977" w14:textId="77777777" w:rsidTr="00EF5AF2">
        <w:trPr>
          <w:trHeight w:val="274"/>
          <w:jc w:val="center"/>
        </w:trPr>
        <w:tc>
          <w:tcPr>
            <w:tcW w:w="1565" w:type="dxa"/>
            <w:shd w:val="clear" w:color="auto" w:fill="auto"/>
            <w:vAlign w:val="center"/>
          </w:tcPr>
          <w:p w14:paraId="66D8ADBF" w14:textId="77777777" w:rsidR="00D96A90" w:rsidRPr="00847E0C" w:rsidRDefault="00D96A90" w:rsidP="00EF5AF2">
            <w:pPr>
              <w:pStyle w:val="Textoindependiente"/>
              <w:rPr>
                <w:rFonts w:ascii="Arial" w:eastAsia="Calibri" w:hAnsi="Arial" w:cs="Arial"/>
                <w:sz w:val="16"/>
                <w:szCs w:val="16"/>
              </w:rPr>
            </w:pPr>
            <w:r w:rsidRPr="00847E0C">
              <w:rPr>
                <w:rFonts w:ascii="Arial" w:eastAsia="Calibri" w:hAnsi="Arial" w:cs="Arial"/>
                <w:sz w:val="16"/>
                <w:szCs w:val="16"/>
              </w:rPr>
              <w:t>Inversión</w:t>
            </w:r>
          </w:p>
        </w:tc>
        <w:tc>
          <w:tcPr>
            <w:tcW w:w="1559" w:type="dxa"/>
            <w:shd w:val="clear" w:color="auto" w:fill="auto"/>
            <w:vAlign w:val="center"/>
          </w:tcPr>
          <w:p w14:paraId="218E5321"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2.622.505.682,47</w:t>
            </w:r>
          </w:p>
        </w:tc>
        <w:tc>
          <w:tcPr>
            <w:tcW w:w="1560" w:type="dxa"/>
            <w:shd w:val="clear" w:color="auto" w:fill="auto"/>
            <w:vAlign w:val="center"/>
          </w:tcPr>
          <w:p w14:paraId="6C17CB30"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2.480.240.662,14</w:t>
            </w:r>
          </w:p>
        </w:tc>
        <w:tc>
          <w:tcPr>
            <w:tcW w:w="1559" w:type="dxa"/>
            <w:vAlign w:val="center"/>
          </w:tcPr>
          <w:p w14:paraId="67DAE519"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964.880.788,51</w:t>
            </w:r>
          </w:p>
        </w:tc>
        <w:tc>
          <w:tcPr>
            <w:tcW w:w="1559" w:type="dxa"/>
            <w:shd w:val="clear" w:color="auto" w:fill="auto"/>
            <w:vAlign w:val="center"/>
          </w:tcPr>
          <w:p w14:paraId="5393E93D" w14:textId="77777777" w:rsidR="00D96A90" w:rsidRPr="00847E0C" w:rsidRDefault="00D96A90" w:rsidP="00EF5AF2">
            <w:pPr>
              <w:pStyle w:val="Textoindependiente"/>
              <w:jc w:val="right"/>
              <w:rPr>
                <w:rFonts w:ascii="Arial" w:hAnsi="Arial" w:cs="Arial"/>
                <w:sz w:val="16"/>
                <w:szCs w:val="16"/>
              </w:rPr>
            </w:pPr>
            <w:r w:rsidRPr="00847E0C">
              <w:rPr>
                <w:rFonts w:ascii="Arial" w:hAnsi="Arial" w:cs="Arial"/>
                <w:sz w:val="16"/>
                <w:szCs w:val="16"/>
              </w:rPr>
              <w:t>1.515.359.873,63</w:t>
            </w:r>
          </w:p>
        </w:tc>
        <w:tc>
          <w:tcPr>
            <w:tcW w:w="1418" w:type="dxa"/>
            <w:shd w:val="clear" w:color="auto" w:fill="auto"/>
            <w:vAlign w:val="center"/>
          </w:tcPr>
          <w:p w14:paraId="6C67BE58" w14:textId="77777777" w:rsidR="00D96A90" w:rsidRPr="00847E0C" w:rsidRDefault="00D96A90" w:rsidP="00EF5AF2">
            <w:pPr>
              <w:pStyle w:val="Textoindependiente"/>
              <w:jc w:val="center"/>
              <w:rPr>
                <w:rFonts w:ascii="Arial" w:eastAsia="Calibri" w:hAnsi="Arial" w:cs="Arial"/>
                <w:sz w:val="16"/>
                <w:szCs w:val="16"/>
              </w:rPr>
            </w:pPr>
            <w:r w:rsidRPr="00847E0C">
              <w:rPr>
                <w:rFonts w:ascii="Arial" w:hAnsi="Arial" w:cs="Arial"/>
                <w:b/>
                <w:bCs/>
                <w:sz w:val="16"/>
                <w:szCs w:val="16"/>
              </w:rPr>
              <w:t>57,78%</w:t>
            </w:r>
          </w:p>
        </w:tc>
      </w:tr>
    </w:tbl>
    <w:p w14:paraId="4DEF820A" w14:textId="77777777" w:rsidR="00D96A90" w:rsidRPr="00B66E87" w:rsidRDefault="00D96A90" w:rsidP="00D96A90">
      <w:pPr>
        <w:pStyle w:val="Textoindependiente"/>
        <w:rPr>
          <w:rFonts w:eastAsia="Calibri"/>
        </w:rPr>
      </w:pPr>
    </w:p>
    <w:p w14:paraId="785CA47A" w14:textId="77777777" w:rsidR="00D96A90" w:rsidRPr="00847E0C" w:rsidRDefault="00D96A90" w:rsidP="005F6CF8">
      <w:pPr>
        <w:pStyle w:val="Textoindependiente"/>
        <w:ind w:left="-284" w:right="-234"/>
        <w:jc w:val="both"/>
        <w:rPr>
          <w:rFonts w:ascii="Arial" w:eastAsia="Calibri" w:hAnsi="Arial" w:cs="Arial"/>
          <w:sz w:val="24"/>
          <w:szCs w:val="24"/>
        </w:rPr>
      </w:pPr>
      <w:r w:rsidRPr="00847E0C">
        <w:rPr>
          <w:rFonts w:ascii="Arial" w:eastAsia="Calibri" w:hAnsi="Arial" w:cs="Arial"/>
          <w:sz w:val="24"/>
          <w:szCs w:val="24"/>
        </w:rPr>
        <w:t>El incumplimiento sobre el límite para constituir reservas presupuestales para gastos de funcionamiento e inversión se justifica por aspectos de índole administrativo siendo los más relevantes los siguientes:</w:t>
      </w:r>
    </w:p>
    <w:p w14:paraId="151EDD46" w14:textId="77777777" w:rsidR="00D96A90" w:rsidRPr="00847E0C" w:rsidRDefault="00D96A90" w:rsidP="00D96A90">
      <w:pPr>
        <w:pStyle w:val="Textoindependiente"/>
        <w:ind w:left="-284"/>
        <w:jc w:val="both"/>
        <w:rPr>
          <w:rFonts w:ascii="Arial" w:eastAsia="Calibri" w:hAnsi="Arial" w:cs="Arial"/>
          <w:sz w:val="24"/>
          <w:szCs w:val="24"/>
        </w:rPr>
      </w:pPr>
    </w:p>
    <w:p w14:paraId="5C1B9122" w14:textId="77777777" w:rsidR="00D96A90" w:rsidRPr="00847E0C" w:rsidRDefault="00D96A90" w:rsidP="00CB6055">
      <w:pPr>
        <w:pStyle w:val="Textoindependiente"/>
        <w:widowControl/>
        <w:numPr>
          <w:ilvl w:val="0"/>
          <w:numId w:val="16"/>
        </w:numPr>
        <w:autoSpaceDE/>
        <w:autoSpaceDN/>
        <w:ind w:left="284" w:right="-234"/>
        <w:jc w:val="both"/>
        <w:rPr>
          <w:rFonts w:ascii="Arial" w:eastAsia="Calibri" w:hAnsi="Arial" w:cs="Arial"/>
          <w:sz w:val="24"/>
          <w:szCs w:val="24"/>
        </w:rPr>
      </w:pPr>
      <w:bookmarkStart w:id="23" w:name="_Hlk161322227"/>
      <w:r w:rsidRPr="00847E0C">
        <w:rPr>
          <w:rFonts w:ascii="Arial" w:eastAsia="Calibri" w:hAnsi="Arial" w:cs="Arial"/>
          <w:sz w:val="24"/>
          <w:szCs w:val="24"/>
        </w:rPr>
        <w:t xml:space="preserve">No asignación de cupo PAC para el mes de diciembre de 2024, siendo el concepto más significativo que incidió en la constitución de reservas presupuestales. </w:t>
      </w:r>
    </w:p>
    <w:bookmarkEnd w:id="23"/>
    <w:p w14:paraId="289BA2DD" w14:textId="77777777" w:rsidR="00D96A90" w:rsidRPr="00847E0C" w:rsidRDefault="00D96A90" w:rsidP="00CB6055">
      <w:pPr>
        <w:pStyle w:val="Textoindependiente"/>
        <w:widowControl/>
        <w:numPr>
          <w:ilvl w:val="0"/>
          <w:numId w:val="16"/>
        </w:numPr>
        <w:autoSpaceDE/>
        <w:autoSpaceDN/>
        <w:ind w:left="284" w:right="-234"/>
        <w:jc w:val="both"/>
        <w:rPr>
          <w:rFonts w:ascii="Arial" w:eastAsia="Calibri" w:hAnsi="Arial" w:cs="Arial"/>
          <w:sz w:val="24"/>
          <w:szCs w:val="24"/>
        </w:rPr>
      </w:pPr>
      <w:r w:rsidRPr="00847E0C">
        <w:rPr>
          <w:rFonts w:ascii="Arial" w:eastAsia="Calibri" w:hAnsi="Arial" w:cs="Arial"/>
          <w:sz w:val="24"/>
          <w:szCs w:val="24"/>
        </w:rPr>
        <w:t>Fuerza mayor y caso fortuito.</w:t>
      </w:r>
    </w:p>
    <w:p w14:paraId="75C3C622" w14:textId="77777777" w:rsidR="00D96A90" w:rsidRPr="00847E0C" w:rsidRDefault="00D96A90" w:rsidP="00CB6055">
      <w:pPr>
        <w:pStyle w:val="Textoindependiente"/>
        <w:widowControl/>
        <w:numPr>
          <w:ilvl w:val="0"/>
          <w:numId w:val="16"/>
        </w:numPr>
        <w:autoSpaceDE/>
        <w:autoSpaceDN/>
        <w:ind w:left="284" w:right="-234"/>
        <w:jc w:val="both"/>
        <w:rPr>
          <w:rFonts w:ascii="Arial" w:eastAsia="Calibri" w:hAnsi="Arial" w:cs="Arial"/>
          <w:sz w:val="24"/>
          <w:szCs w:val="24"/>
        </w:rPr>
      </w:pPr>
      <w:r w:rsidRPr="00847E0C">
        <w:rPr>
          <w:rFonts w:ascii="Arial" w:eastAsia="Calibri" w:hAnsi="Arial" w:cs="Arial"/>
          <w:sz w:val="24"/>
          <w:szCs w:val="24"/>
        </w:rPr>
        <w:t>Trámite de Debido Proceso.</w:t>
      </w:r>
    </w:p>
    <w:p w14:paraId="7294FBFC" w14:textId="77777777" w:rsidR="00D96A90" w:rsidRPr="00847E0C" w:rsidRDefault="00D96A90" w:rsidP="00CB6055">
      <w:pPr>
        <w:pStyle w:val="Textoindependiente"/>
        <w:widowControl/>
        <w:numPr>
          <w:ilvl w:val="0"/>
          <w:numId w:val="16"/>
        </w:numPr>
        <w:autoSpaceDE/>
        <w:autoSpaceDN/>
        <w:ind w:left="284" w:right="-234"/>
        <w:jc w:val="both"/>
        <w:rPr>
          <w:rFonts w:ascii="Arial" w:eastAsia="Calibri" w:hAnsi="Arial" w:cs="Arial"/>
          <w:sz w:val="24"/>
          <w:szCs w:val="24"/>
        </w:rPr>
      </w:pPr>
      <w:r w:rsidRPr="00847E0C">
        <w:rPr>
          <w:rFonts w:ascii="Arial" w:eastAsia="Calibri" w:hAnsi="Arial" w:cs="Arial"/>
          <w:sz w:val="24"/>
          <w:szCs w:val="24"/>
        </w:rPr>
        <w:t>Prórroga justificada en el plazo de entrega de bienes y servicios.</w:t>
      </w:r>
    </w:p>
    <w:p w14:paraId="5893F9A4" w14:textId="77777777" w:rsidR="00D96A90" w:rsidRPr="00847E0C" w:rsidRDefault="00D96A90" w:rsidP="00CB6055">
      <w:pPr>
        <w:pStyle w:val="Textoindependiente"/>
        <w:widowControl/>
        <w:numPr>
          <w:ilvl w:val="0"/>
          <w:numId w:val="16"/>
        </w:numPr>
        <w:autoSpaceDE/>
        <w:autoSpaceDN/>
        <w:ind w:left="284" w:right="-234"/>
        <w:jc w:val="both"/>
        <w:rPr>
          <w:rFonts w:ascii="Arial" w:eastAsia="Calibri" w:hAnsi="Arial" w:cs="Arial"/>
          <w:sz w:val="24"/>
          <w:szCs w:val="24"/>
        </w:rPr>
      </w:pPr>
      <w:r w:rsidRPr="00847E0C">
        <w:rPr>
          <w:rFonts w:ascii="Arial" w:eastAsia="Calibri" w:hAnsi="Arial" w:cs="Arial"/>
          <w:sz w:val="24"/>
          <w:szCs w:val="24"/>
        </w:rPr>
        <w:t>Recepción del bien o servicio en la última semana.</w:t>
      </w:r>
    </w:p>
    <w:p w14:paraId="3FDCF599" w14:textId="77777777" w:rsidR="00D96A90" w:rsidRDefault="00D96A90" w:rsidP="00D96A90">
      <w:pPr>
        <w:rPr>
          <w:rFonts w:ascii="Arial" w:hAnsi="Arial" w:cs="Arial"/>
          <w:sz w:val="24"/>
          <w:szCs w:val="24"/>
        </w:rPr>
      </w:pPr>
    </w:p>
    <w:p w14:paraId="1AC6D370" w14:textId="77777777" w:rsidR="00D96A90" w:rsidRPr="009725B8" w:rsidRDefault="00D96A90" w:rsidP="005F6CF8">
      <w:pPr>
        <w:ind w:left="-284" w:right="-234"/>
        <w:jc w:val="both"/>
        <w:rPr>
          <w:rFonts w:ascii="Arial" w:hAnsi="Arial" w:cs="Arial"/>
          <w:b/>
          <w:sz w:val="28"/>
          <w:szCs w:val="28"/>
          <w:lang w:val="es-MX"/>
        </w:rPr>
      </w:pPr>
      <w:r w:rsidRPr="009725B8">
        <w:rPr>
          <w:rFonts w:ascii="Arial" w:hAnsi="Arial" w:cs="Arial"/>
          <w:b/>
          <w:sz w:val="28"/>
          <w:szCs w:val="28"/>
          <w:lang w:val="es-MX"/>
        </w:rPr>
        <w:t xml:space="preserve">309.- CORPORACIÓN AUTÓNOMA REGIONAL DEL GUAVIO – CORPOGUAVIO. </w:t>
      </w:r>
    </w:p>
    <w:p w14:paraId="58AA35E5" w14:textId="77777777" w:rsidR="00D96A90" w:rsidRDefault="00D96A90" w:rsidP="005F6CF8">
      <w:pPr>
        <w:ind w:left="-284" w:right="-234"/>
        <w:rPr>
          <w:rFonts w:ascii="Arial" w:hAnsi="Arial" w:cs="Arial"/>
          <w:sz w:val="24"/>
          <w:szCs w:val="24"/>
          <w:lang w:val="es-MX"/>
        </w:rPr>
      </w:pPr>
    </w:p>
    <w:p w14:paraId="14E2739A" w14:textId="77777777" w:rsidR="00D96A90" w:rsidRPr="007543DD" w:rsidRDefault="00D96A90" w:rsidP="005F6CF8">
      <w:pPr>
        <w:pStyle w:val="Textoindependiente"/>
        <w:spacing w:before="3"/>
        <w:ind w:left="-284" w:right="-234"/>
        <w:jc w:val="both"/>
        <w:rPr>
          <w:rFonts w:ascii="Arial" w:hAnsi="Arial" w:cs="Arial"/>
          <w:bCs/>
          <w:sz w:val="24"/>
          <w:szCs w:val="24"/>
        </w:rPr>
      </w:pPr>
      <w:r w:rsidRPr="007543DD">
        <w:rPr>
          <w:rFonts w:ascii="Arial" w:hAnsi="Arial" w:cs="Arial"/>
          <w:b/>
          <w:sz w:val="24"/>
          <w:szCs w:val="24"/>
        </w:rPr>
        <w:t xml:space="preserve">La entidad informa: </w:t>
      </w:r>
      <w:r w:rsidRPr="007543DD">
        <w:rPr>
          <w:rFonts w:ascii="Arial" w:hAnsi="Arial" w:cs="Arial"/>
          <w:bCs/>
          <w:sz w:val="24"/>
          <w:szCs w:val="24"/>
        </w:rPr>
        <w:t>Dentro de la vigencia 2024, con relación a la constitución de Reservas presupuestales y teniendo en cuenta lo establecido en el Decreto Ley 11 de 1996, la Corporación Autónoma Regional del Guavio – Corpoguavio cumple con el límite del 2% para Funcionamiento, frente al total del presupuesto.</w:t>
      </w:r>
    </w:p>
    <w:p w14:paraId="4E799384" w14:textId="77777777" w:rsidR="00D96A90" w:rsidRPr="007543DD" w:rsidRDefault="00D96A90" w:rsidP="005F6CF8">
      <w:pPr>
        <w:pStyle w:val="Textoindependiente"/>
        <w:spacing w:before="3"/>
        <w:ind w:left="-284" w:right="-234"/>
        <w:jc w:val="both"/>
        <w:rPr>
          <w:rFonts w:ascii="Arial" w:hAnsi="Arial" w:cs="Arial"/>
          <w:bCs/>
          <w:sz w:val="24"/>
          <w:szCs w:val="24"/>
        </w:rPr>
      </w:pPr>
    </w:p>
    <w:p w14:paraId="291D0E1D" w14:textId="77777777" w:rsidR="00D96A90" w:rsidRPr="007543DD" w:rsidRDefault="00D96A90" w:rsidP="005F6CF8">
      <w:pPr>
        <w:pStyle w:val="Textoindependiente"/>
        <w:spacing w:before="3"/>
        <w:ind w:left="-284" w:right="-234"/>
        <w:jc w:val="both"/>
        <w:rPr>
          <w:rFonts w:ascii="Arial" w:hAnsi="Arial" w:cs="Arial"/>
          <w:bCs/>
          <w:sz w:val="24"/>
          <w:szCs w:val="24"/>
        </w:rPr>
      </w:pPr>
      <w:r w:rsidRPr="007543DD">
        <w:rPr>
          <w:rFonts w:ascii="Arial" w:hAnsi="Arial" w:cs="Arial"/>
          <w:bCs/>
          <w:sz w:val="24"/>
          <w:szCs w:val="24"/>
        </w:rPr>
        <w:t>En relación con las Reservas Presupuestales de Inversión, por valor de $3.457’147 la entidad supera el 15% establecido en el Decreto Ley 11 de 1996, teniendo en cuenta que los recursos provenientes del Fondo de Compensación Ambiental, son asignados mediante Resoluciones No. 510 de 2/05/2024 y 652 de 31/05/2025, del Ministerio de Medio Ambiente y Desarrollo Sostenible e incorporados al Presupuesto de la Corporación el 22/07/2024, tiempo limitado para la ejecución de los recursos dentro de la misma vigencia, siendo necesario constituir reserva presupuestal para ejecutarse en la vigencia 2025.</w:t>
      </w:r>
      <w:r w:rsidRPr="007543DD">
        <w:rPr>
          <w:rFonts w:ascii="Arial" w:hAnsi="Arial" w:cs="Arial"/>
          <w:bCs/>
          <w:sz w:val="24"/>
          <w:szCs w:val="24"/>
        </w:rPr>
        <w:cr/>
      </w:r>
    </w:p>
    <w:p w14:paraId="5AB33C3C" w14:textId="77777777" w:rsidR="00D96A90" w:rsidRPr="00A76DCA" w:rsidRDefault="00D96A90" w:rsidP="005F6CF8">
      <w:pPr>
        <w:ind w:left="-284" w:right="-234"/>
        <w:jc w:val="both"/>
        <w:rPr>
          <w:rFonts w:ascii="Arial" w:hAnsi="Arial" w:cs="Arial"/>
          <w:b/>
          <w:sz w:val="28"/>
          <w:szCs w:val="28"/>
          <w:lang w:val="es-MX"/>
        </w:rPr>
      </w:pPr>
      <w:r w:rsidRPr="00A76DCA">
        <w:rPr>
          <w:rFonts w:ascii="Arial" w:hAnsi="Arial" w:cs="Arial"/>
          <w:b/>
          <w:sz w:val="28"/>
          <w:szCs w:val="28"/>
          <w:lang w:val="es-MX"/>
        </w:rPr>
        <w:t>311.- CORPORACIÓN PARA EL DESARROLLO SOSTENIBLE DE LA MOJANA Y EL SAN JORGE – CORPOMOJANA.</w:t>
      </w:r>
    </w:p>
    <w:p w14:paraId="291AB180" w14:textId="77777777" w:rsidR="00D96A90" w:rsidRDefault="00D96A90" w:rsidP="005F6CF8">
      <w:pPr>
        <w:ind w:left="-284" w:right="-234"/>
        <w:rPr>
          <w:rFonts w:ascii="Arial" w:hAnsi="Arial" w:cs="Arial"/>
          <w:sz w:val="24"/>
          <w:szCs w:val="24"/>
          <w:lang w:val="es-MX"/>
        </w:rPr>
      </w:pPr>
    </w:p>
    <w:p w14:paraId="00183DF7" w14:textId="77777777" w:rsidR="00D96A90" w:rsidRPr="00BD3F65" w:rsidRDefault="00D96A90" w:rsidP="005F6CF8">
      <w:pPr>
        <w:pStyle w:val="Textoindependiente"/>
        <w:spacing w:before="3"/>
        <w:ind w:left="-284" w:right="-234"/>
        <w:jc w:val="both"/>
        <w:rPr>
          <w:rFonts w:ascii="Arial" w:hAnsi="Arial" w:cs="Arial"/>
          <w:bCs/>
          <w:sz w:val="24"/>
          <w:szCs w:val="24"/>
        </w:rPr>
      </w:pPr>
      <w:r w:rsidRPr="00BD3F65">
        <w:rPr>
          <w:rFonts w:ascii="Arial" w:hAnsi="Arial" w:cs="Arial"/>
          <w:b/>
          <w:sz w:val="24"/>
          <w:szCs w:val="24"/>
        </w:rPr>
        <w:t xml:space="preserve">La entidad informa: No cumplió. </w:t>
      </w:r>
      <w:r w:rsidRPr="00BD3F65">
        <w:rPr>
          <w:rFonts w:ascii="Arial" w:hAnsi="Arial" w:cs="Arial"/>
          <w:bCs/>
          <w:sz w:val="24"/>
          <w:szCs w:val="24"/>
        </w:rPr>
        <w:t>En este interrogante se le hace saber que para el funcionamiento, la entidad si cumplió con lo establecido en el artículo 78 del Decreto Ley 111 de 1996, puesto que el porcentaje está por debajo de 1%, sin embargo, para la inversión tenemos un porcentaje del 42.8%, esto debido a que se nos viene presentando el inconveniente de la aprobación de los recursos del Fondo de Compensación Ambiental, los cuales para la vigencia 2024, estos fueron aprobados por medio de las Resoluciones N° 0397 y 0511 de abril 08 y mayo 02 del 204, respectivamente.</w:t>
      </w:r>
    </w:p>
    <w:p w14:paraId="3D0DE4A1" w14:textId="77777777" w:rsidR="00D96A90" w:rsidRPr="00BD3F65" w:rsidRDefault="00D96A90" w:rsidP="005F6CF8">
      <w:pPr>
        <w:pStyle w:val="Textoindependiente"/>
        <w:spacing w:before="3"/>
        <w:ind w:left="-284" w:right="-234"/>
        <w:jc w:val="both"/>
        <w:rPr>
          <w:rFonts w:ascii="Arial" w:hAnsi="Arial" w:cs="Arial"/>
          <w:bCs/>
          <w:sz w:val="24"/>
          <w:szCs w:val="24"/>
        </w:rPr>
      </w:pPr>
    </w:p>
    <w:p w14:paraId="5908BB4C" w14:textId="77777777" w:rsidR="00D96A90" w:rsidRPr="00BD3F65" w:rsidRDefault="00D96A90" w:rsidP="005F6CF8">
      <w:pPr>
        <w:pStyle w:val="Textoindependiente"/>
        <w:spacing w:before="3"/>
        <w:ind w:left="-284" w:right="-234"/>
        <w:jc w:val="both"/>
        <w:rPr>
          <w:rFonts w:ascii="Arial" w:hAnsi="Arial" w:cs="Arial"/>
          <w:bCs/>
          <w:sz w:val="24"/>
          <w:szCs w:val="24"/>
        </w:rPr>
      </w:pPr>
      <w:r w:rsidRPr="00BD3F65">
        <w:rPr>
          <w:rFonts w:ascii="Arial" w:hAnsi="Arial" w:cs="Arial"/>
          <w:bCs/>
          <w:sz w:val="24"/>
          <w:szCs w:val="24"/>
        </w:rPr>
        <w:t>Los proyectos están para ejecutar en un periodo de 10 a 12 meses, por lo que el tiempo para ejecutar estos recursos no son suficientes en la vigencia en que son aprobados, es así, como nos corresponde crear un rezago presupuestal, para poder cumplir con los compromisos adquiridos.</w:t>
      </w:r>
    </w:p>
    <w:p w14:paraId="3F062CAC" w14:textId="77777777" w:rsidR="00D96A90" w:rsidRPr="00BD3F65" w:rsidRDefault="00D96A90" w:rsidP="005F6CF8">
      <w:pPr>
        <w:pStyle w:val="Textoindependiente"/>
        <w:spacing w:before="3"/>
        <w:ind w:left="-284" w:right="-234"/>
        <w:jc w:val="both"/>
        <w:rPr>
          <w:rFonts w:ascii="Arial" w:hAnsi="Arial" w:cs="Arial"/>
          <w:bCs/>
          <w:sz w:val="24"/>
          <w:szCs w:val="24"/>
        </w:rPr>
      </w:pPr>
    </w:p>
    <w:p w14:paraId="6AECA90F" w14:textId="77777777" w:rsidR="00D96A90" w:rsidRPr="00BD3F65" w:rsidRDefault="00D96A90" w:rsidP="005F6CF8">
      <w:pPr>
        <w:pStyle w:val="Textoindependiente"/>
        <w:spacing w:before="3"/>
        <w:ind w:left="-284" w:right="-234"/>
        <w:jc w:val="both"/>
        <w:rPr>
          <w:rFonts w:ascii="Arial" w:hAnsi="Arial" w:cs="Arial"/>
          <w:bCs/>
          <w:sz w:val="24"/>
          <w:szCs w:val="24"/>
        </w:rPr>
      </w:pPr>
      <w:r w:rsidRPr="00BD3F65">
        <w:rPr>
          <w:rFonts w:ascii="Arial" w:hAnsi="Arial" w:cs="Arial"/>
          <w:bCs/>
          <w:sz w:val="24"/>
          <w:szCs w:val="24"/>
        </w:rPr>
        <w:t>Siendo este uno de los principales motivos por lo que no cumplimos con lo establecido en el Artículo 78 del Decreto Ley 111.</w:t>
      </w:r>
    </w:p>
    <w:p w14:paraId="141E97D7" w14:textId="77777777" w:rsidR="00D96A90" w:rsidRDefault="00D96A90" w:rsidP="005F6CF8">
      <w:pPr>
        <w:ind w:left="-284" w:right="-234"/>
        <w:rPr>
          <w:rFonts w:ascii="Arial" w:hAnsi="Arial" w:cs="Arial"/>
          <w:sz w:val="24"/>
          <w:szCs w:val="24"/>
        </w:rPr>
      </w:pPr>
    </w:p>
    <w:p w14:paraId="74B3E274" w14:textId="77777777" w:rsidR="00D96A90" w:rsidRPr="00C72C4A" w:rsidRDefault="00D96A90" w:rsidP="005F6CF8">
      <w:pPr>
        <w:ind w:left="-284" w:right="-234"/>
        <w:jc w:val="both"/>
        <w:rPr>
          <w:rFonts w:ascii="Arial" w:hAnsi="Arial" w:cs="Arial"/>
          <w:b/>
          <w:sz w:val="28"/>
          <w:szCs w:val="28"/>
          <w:lang w:val="es-MX"/>
        </w:rPr>
      </w:pPr>
      <w:r w:rsidRPr="00C72C4A">
        <w:rPr>
          <w:rFonts w:ascii="Arial" w:hAnsi="Arial" w:cs="Arial"/>
          <w:b/>
          <w:sz w:val="28"/>
          <w:szCs w:val="28"/>
          <w:lang w:val="es-MX"/>
        </w:rPr>
        <w:lastRenderedPageBreak/>
        <w:t>317.- INSTITUTO COLOMBIANO DE ANTROPOLOGÍA E HISTORIA – ICANH.</w:t>
      </w:r>
    </w:p>
    <w:p w14:paraId="340363B1" w14:textId="77777777" w:rsidR="00D96A90" w:rsidRDefault="00D96A90" w:rsidP="005F6CF8">
      <w:pPr>
        <w:ind w:left="-284" w:right="-234"/>
        <w:rPr>
          <w:rFonts w:ascii="Arial" w:hAnsi="Arial" w:cs="Arial"/>
          <w:sz w:val="24"/>
          <w:szCs w:val="24"/>
          <w:lang w:val="es-MX"/>
        </w:rPr>
      </w:pPr>
    </w:p>
    <w:p w14:paraId="01145858" w14:textId="77777777" w:rsidR="00D96A90" w:rsidRPr="00BD3F65" w:rsidRDefault="00D96A90" w:rsidP="005F6CF8">
      <w:pPr>
        <w:ind w:left="-284" w:right="-234"/>
        <w:jc w:val="both"/>
        <w:rPr>
          <w:rFonts w:ascii="Arial" w:hAnsi="Arial" w:cs="Arial"/>
          <w:sz w:val="24"/>
          <w:szCs w:val="24"/>
          <w:lang w:val="es-MX"/>
        </w:rPr>
      </w:pPr>
      <w:r w:rsidRPr="00BD3F65">
        <w:rPr>
          <w:rFonts w:ascii="Arial" w:hAnsi="Arial" w:cs="Arial"/>
          <w:b/>
          <w:sz w:val="24"/>
          <w:szCs w:val="24"/>
          <w:lang w:val="es-MX"/>
        </w:rPr>
        <w:t>RESPUESTA:</w:t>
      </w:r>
      <w:r w:rsidRPr="00BD3F65">
        <w:rPr>
          <w:rFonts w:ascii="Arial" w:hAnsi="Arial" w:cs="Arial"/>
          <w:sz w:val="24"/>
          <w:szCs w:val="24"/>
          <w:lang w:val="es-MX"/>
        </w:rPr>
        <w:t xml:space="preserve"> La entidad dio cumplimiento al límite para constituir reserva presupuestal para gastos de inversión quedando un porcentaje de reserva del 6% sobre el total de la apropiación. </w:t>
      </w:r>
    </w:p>
    <w:p w14:paraId="048DCFAF" w14:textId="77777777" w:rsidR="00D96A90" w:rsidRPr="00BD3F65" w:rsidRDefault="00D96A90" w:rsidP="005F6CF8">
      <w:pPr>
        <w:ind w:left="-284" w:right="-234"/>
        <w:jc w:val="both"/>
        <w:rPr>
          <w:rFonts w:ascii="Arial" w:hAnsi="Arial" w:cs="Arial"/>
          <w:sz w:val="24"/>
          <w:szCs w:val="24"/>
          <w:lang w:val="es-MX"/>
        </w:rPr>
      </w:pPr>
    </w:p>
    <w:p w14:paraId="4F652A64" w14:textId="77777777" w:rsidR="00D96A90" w:rsidRPr="00BD3F65" w:rsidRDefault="00D96A90" w:rsidP="005F6CF8">
      <w:pPr>
        <w:ind w:left="-284" w:right="-234"/>
        <w:jc w:val="both"/>
        <w:rPr>
          <w:rFonts w:ascii="Arial" w:hAnsi="Arial" w:cs="Arial"/>
          <w:sz w:val="24"/>
          <w:szCs w:val="24"/>
          <w:lang w:val="es-MX"/>
        </w:rPr>
      </w:pPr>
      <w:r w:rsidRPr="00BD3F65">
        <w:rPr>
          <w:rFonts w:ascii="Arial" w:hAnsi="Arial" w:cs="Arial"/>
          <w:sz w:val="24"/>
          <w:szCs w:val="24"/>
          <w:lang w:val="es-MX"/>
        </w:rPr>
        <w:t>Sin embargo, en lo que respecta a los gastos de funcionamiento, se sobrepasó el tope del 2% quedando constituida la reserva presupuestal por el 6% de la apropiación vigente. Esta situación obedeció a la existencia de saldos de apropiación disponibles al cierre de la vigencia y a la previsión de insuficiencia de recursos para el año 2025, derivada de la no aprobación de la Ley de Financiamiento.</w:t>
      </w:r>
    </w:p>
    <w:p w14:paraId="77181E0B" w14:textId="77777777" w:rsidR="00D96A90" w:rsidRPr="00BD3F65" w:rsidRDefault="00D96A90" w:rsidP="005F6CF8">
      <w:pPr>
        <w:ind w:left="-284" w:right="-234"/>
        <w:jc w:val="both"/>
        <w:rPr>
          <w:rFonts w:ascii="Arial" w:hAnsi="Arial" w:cs="Arial"/>
          <w:sz w:val="24"/>
          <w:szCs w:val="24"/>
          <w:lang w:val="es-MX"/>
        </w:rPr>
      </w:pPr>
    </w:p>
    <w:p w14:paraId="7345732B" w14:textId="77777777" w:rsidR="00D96A90" w:rsidRPr="00BD3F65" w:rsidRDefault="00D96A90" w:rsidP="005F6CF8">
      <w:pPr>
        <w:ind w:left="-284" w:right="-234"/>
        <w:jc w:val="both"/>
        <w:rPr>
          <w:rFonts w:ascii="Arial" w:hAnsi="Arial" w:cs="Arial"/>
          <w:sz w:val="24"/>
          <w:szCs w:val="24"/>
          <w:lang w:val="es-MX"/>
        </w:rPr>
      </w:pPr>
      <w:r w:rsidRPr="00BD3F65">
        <w:rPr>
          <w:rFonts w:ascii="Arial" w:hAnsi="Arial" w:cs="Arial"/>
          <w:sz w:val="24"/>
          <w:szCs w:val="24"/>
          <w:lang w:val="es-MX"/>
        </w:rPr>
        <w:t>En este contexto, la entidad, con base en un análisis técnico y presupuestal, determinó la necesidad de prorrogar y adicionar ciertos contratos esenciales para garantizar la continuidad de servicios críticos, tales como fumigación, mantenimiento de pozos sépticos, instalación de cubiertas, sostenimiento de la infraestructura en la nube, suministro de gasolina y publicación de actos administrativos, entre otros. La decisión de comprometer estos recursos respondió a la imperiosa necesidad de evitar afectaciones en la operatividad de la entidad y la prestación de sus funciones misionales.</w:t>
      </w:r>
    </w:p>
    <w:p w14:paraId="4A603D78" w14:textId="77777777" w:rsidR="00D96A90" w:rsidRPr="00BD3F65" w:rsidRDefault="00D96A90" w:rsidP="005F6CF8">
      <w:pPr>
        <w:ind w:left="-284" w:right="-234"/>
        <w:jc w:val="both"/>
        <w:rPr>
          <w:rFonts w:ascii="Arial" w:hAnsi="Arial" w:cs="Arial"/>
          <w:sz w:val="24"/>
          <w:szCs w:val="24"/>
          <w:lang w:val="es-MX"/>
        </w:rPr>
      </w:pPr>
    </w:p>
    <w:p w14:paraId="69230061" w14:textId="77777777" w:rsidR="00D96A90" w:rsidRPr="00BD3F65" w:rsidRDefault="00D96A90" w:rsidP="005F6CF8">
      <w:pPr>
        <w:ind w:left="-284" w:right="-234"/>
        <w:jc w:val="both"/>
        <w:rPr>
          <w:rFonts w:ascii="Arial" w:hAnsi="Arial" w:cs="Arial"/>
          <w:sz w:val="24"/>
          <w:szCs w:val="24"/>
          <w:lang w:val="es-MX"/>
        </w:rPr>
      </w:pPr>
      <w:r w:rsidRPr="00BD3F65">
        <w:rPr>
          <w:rFonts w:ascii="Arial" w:hAnsi="Arial" w:cs="Arial"/>
          <w:sz w:val="24"/>
          <w:szCs w:val="24"/>
          <w:lang w:val="es-MX"/>
        </w:rPr>
        <w:t>Así las cosas, si bien la ejecución de estos compromisos estaba programada para cumplirse antes del 31 de diciembre de 2024, circunstancias imprevistas y ajenas a la entidad hicieron necesario constituir reservas presupuestales adicionales, con el fin de garantizar la continuidad de los servicios básicos del instituto y evitar afectaciones en su operatividad. Esta medida permitió asegurar la ejecución efectiva de los contratos y mitigar el riesgo de una mayor pérdida de apropiaciones correspondientes a la vigencia 2024.</w:t>
      </w:r>
    </w:p>
    <w:p w14:paraId="7ED276A1" w14:textId="77777777" w:rsidR="00D96A90" w:rsidRDefault="00D96A90" w:rsidP="005F6CF8">
      <w:pPr>
        <w:ind w:left="-284" w:right="-234"/>
        <w:rPr>
          <w:rFonts w:ascii="Arial" w:hAnsi="Arial" w:cs="Arial"/>
          <w:sz w:val="24"/>
          <w:szCs w:val="24"/>
          <w:lang w:val="es-MX"/>
        </w:rPr>
      </w:pPr>
    </w:p>
    <w:p w14:paraId="6B1E062E" w14:textId="77777777" w:rsidR="00D96A90" w:rsidRPr="000A42AE" w:rsidRDefault="00D96A90" w:rsidP="005F6CF8">
      <w:pPr>
        <w:ind w:left="-284" w:right="-234"/>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79E0111D" w14:textId="77777777" w:rsidR="00D96A90" w:rsidRDefault="00D96A90" w:rsidP="005F6CF8">
      <w:pPr>
        <w:ind w:left="-284" w:right="-234"/>
        <w:rPr>
          <w:rFonts w:ascii="Arial" w:hAnsi="Arial" w:cs="Arial"/>
          <w:sz w:val="24"/>
          <w:szCs w:val="24"/>
          <w:lang w:val="es-MX"/>
        </w:rPr>
      </w:pPr>
    </w:p>
    <w:p w14:paraId="23FD6FDC" w14:textId="77777777" w:rsidR="00D96A90" w:rsidRDefault="00D96A90" w:rsidP="005F6CF8">
      <w:pPr>
        <w:ind w:left="-284" w:right="-234"/>
        <w:jc w:val="both"/>
        <w:rPr>
          <w:rFonts w:ascii="Arial" w:hAnsi="Arial" w:cs="Arial"/>
          <w:b/>
          <w:sz w:val="24"/>
          <w:szCs w:val="24"/>
          <w:lang w:val="es-MX"/>
        </w:rPr>
      </w:pPr>
      <w:r>
        <w:rPr>
          <w:rFonts w:ascii="Arial" w:hAnsi="Arial" w:cs="Arial"/>
          <w:b/>
          <w:sz w:val="24"/>
          <w:szCs w:val="24"/>
          <w:lang w:val="es-MX"/>
        </w:rPr>
        <w:t>La entidad informa:</w:t>
      </w:r>
    </w:p>
    <w:p w14:paraId="4CB91B2B" w14:textId="77777777" w:rsidR="00D96A90" w:rsidRDefault="00D96A90" w:rsidP="00D96A90">
      <w:pPr>
        <w:jc w:val="both"/>
        <w:rPr>
          <w:rFonts w:ascii="Arial" w:hAnsi="Arial" w:cs="Arial"/>
          <w:b/>
          <w:sz w:val="24"/>
          <w:szCs w:val="24"/>
          <w:lang w:val="es-MX"/>
        </w:rPr>
      </w:pPr>
    </w:p>
    <w:tbl>
      <w:tblPr>
        <w:tblW w:w="9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1"/>
        <w:gridCol w:w="1572"/>
        <w:gridCol w:w="1367"/>
        <w:gridCol w:w="1183"/>
        <w:gridCol w:w="1369"/>
        <w:gridCol w:w="1303"/>
        <w:gridCol w:w="948"/>
      </w:tblGrid>
      <w:tr w:rsidR="00D96A90" w:rsidRPr="00836458" w14:paraId="643DC7D8" w14:textId="77777777" w:rsidTr="00EF5AF2">
        <w:trPr>
          <w:trHeight w:val="555"/>
          <w:tblHeader/>
          <w:jc w:val="center"/>
        </w:trPr>
        <w:tc>
          <w:tcPr>
            <w:tcW w:w="1591" w:type="dxa"/>
            <w:shd w:val="clear" w:color="auto" w:fill="CC99FF"/>
            <w:vAlign w:val="center"/>
          </w:tcPr>
          <w:p w14:paraId="74542F10" w14:textId="77777777" w:rsidR="00D96A90" w:rsidRPr="00836458" w:rsidRDefault="00D96A90" w:rsidP="00EF5AF2">
            <w:pPr>
              <w:tabs>
                <w:tab w:val="left" w:pos="875"/>
              </w:tabs>
              <w:ind w:right="52"/>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Tipo de Gasto</w:t>
            </w:r>
          </w:p>
        </w:tc>
        <w:tc>
          <w:tcPr>
            <w:tcW w:w="1572" w:type="dxa"/>
            <w:shd w:val="clear" w:color="auto" w:fill="CC99FF"/>
            <w:vAlign w:val="center"/>
          </w:tcPr>
          <w:p w14:paraId="5C9E6EF9" w14:textId="77777777" w:rsidR="00D96A90" w:rsidRPr="00836458" w:rsidRDefault="00D96A90" w:rsidP="00EF5AF2">
            <w:pPr>
              <w:tabs>
                <w:tab w:val="left" w:pos="875"/>
                <w:tab w:val="left" w:pos="1141"/>
              </w:tabs>
              <w:ind w:right="157"/>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Apropiación Definitiva</w:t>
            </w:r>
          </w:p>
        </w:tc>
        <w:tc>
          <w:tcPr>
            <w:tcW w:w="1367" w:type="dxa"/>
            <w:shd w:val="clear" w:color="auto" w:fill="CC99FF"/>
            <w:vAlign w:val="center"/>
          </w:tcPr>
          <w:p w14:paraId="45143188" w14:textId="77777777" w:rsidR="00D96A90" w:rsidRPr="00836458" w:rsidRDefault="00D96A90" w:rsidP="00EF5AF2">
            <w:pPr>
              <w:tabs>
                <w:tab w:val="left" w:pos="875"/>
              </w:tabs>
              <w:ind w:right="157"/>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Reserva Justificada</w:t>
            </w:r>
          </w:p>
        </w:tc>
        <w:tc>
          <w:tcPr>
            <w:tcW w:w="1183" w:type="dxa"/>
            <w:shd w:val="clear" w:color="auto" w:fill="CC99FF"/>
            <w:vAlign w:val="center"/>
          </w:tcPr>
          <w:p w14:paraId="32BCF78A" w14:textId="77777777" w:rsidR="00D96A90" w:rsidRPr="00836458" w:rsidRDefault="00D96A90" w:rsidP="00EF5AF2">
            <w:pPr>
              <w:tabs>
                <w:tab w:val="left" w:pos="875"/>
              </w:tabs>
              <w:ind w:right="157"/>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 de Reserva Justificada</w:t>
            </w:r>
          </w:p>
        </w:tc>
        <w:tc>
          <w:tcPr>
            <w:tcW w:w="1369" w:type="dxa"/>
            <w:shd w:val="clear" w:color="auto" w:fill="CC99FF"/>
            <w:vAlign w:val="center"/>
          </w:tcPr>
          <w:p w14:paraId="16712767" w14:textId="77777777" w:rsidR="00D96A90" w:rsidRPr="00836458" w:rsidRDefault="00D96A90" w:rsidP="00EF5AF2">
            <w:pPr>
              <w:tabs>
                <w:tab w:val="left" w:pos="875"/>
              </w:tabs>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Reserva Inducida por PAC</w:t>
            </w:r>
          </w:p>
        </w:tc>
        <w:tc>
          <w:tcPr>
            <w:tcW w:w="1303" w:type="dxa"/>
            <w:shd w:val="clear" w:color="auto" w:fill="CC99FF"/>
            <w:vAlign w:val="center"/>
          </w:tcPr>
          <w:p w14:paraId="0E014BB9" w14:textId="77777777" w:rsidR="00D96A90" w:rsidRPr="00836458" w:rsidRDefault="00D96A90" w:rsidP="00EF5AF2">
            <w:pPr>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Total Reserva</w:t>
            </w:r>
          </w:p>
        </w:tc>
        <w:tc>
          <w:tcPr>
            <w:tcW w:w="948" w:type="dxa"/>
            <w:shd w:val="clear" w:color="auto" w:fill="CC99FF"/>
            <w:vAlign w:val="center"/>
          </w:tcPr>
          <w:p w14:paraId="62C2BF9D" w14:textId="77777777" w:rsidR="00D96A90" w:rsidRPr="00836458" w:rsidRDefault="00D96A90" w:rsidP="00EF5AF2">
            <w:pPr>
              <w:tabs>
                <w:tab w:val="left" w:pos="565"/>
              </w:tabs>
              <w:ind w:right="157"/>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 de Reserva</w:t>
            </w:r>
          </w:p>
        </w:tc>
      </w:tr>
      <w:tr w:rsidR="00D96A90" w:rsidRPr="00836458" w14:paraId="60E45EF4" w14:textId="77777777" w:rsidTr="00EF5AF2">
        <w:trPr>
          <w:trHeight w:val="300"/>
          <w:jc w:val="center"/>
        </w:trPr>
        <w:tc>
          <w:tcPr>
            <w:tcW w:w="1591" w:type="dxa"/>
            <w:vAlign w:val="center"/>
          </w:tcPr>
          <w:p w14:paraId="31289332" w14:textId="77777777" w:rsidR="00D96A90" w:rsidRPr="00836458" w:rsidRDefault="00D96A90" w:rsidP="00EF5AF2">
            <w:pPr>
              <w:tabs>
                <w:tab w:val="left" w:pos="875"/>
              </w:tabs>
              <w:ind w:right="157"/>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Funcionamiento</w:t>
            </w:r>
          </w:p>
        </w:tc>
        <w:tc>
          <w:tcPr>
            <w:tcW w:w="1572" w:type="dxa"/>
            <w:vAlign w:val="center"/>
          </w:tcPr>
          <w:p w14:paraId="7CA3A3F3"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$ 106.976.727,16</w:t>
            </w:r>
          </w:p>
        </w:tc>
        <w:tc>
          <w:tcPr>
            <w:tcW w:w="1367" w:type="dxa"/>
            <w:vAlign w:val="center"/>
          </w:tcPr>
          <w:p w14:paraId="2CD5A9B9"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$ 677.868,04</w:t>
            </w:r>
          </w:p>
        </w:tc>
        <w:tc>
          <w:tcPr>
            <w:tcW w:w="1183" w:type="dxa"/>
            <w:vAlign w:val="center"/>
          </w:tcPr>
          <w:p w14:paraId="1BDCEF35" w14:textId="77777777" w:rsidR="00D96A90" w:rsidRPr="00836458" w:rsidRDefault="00D96A90" w:rsidP="00EF5AF2">
            <w:pPr>
              <w:tabs>
                <w:tab w:val="left" w:pos="875"/>
              </w:tabs>
              <w:ind w:right="157"/>
              <w:jc w:val="center"/>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0,6%</w:t>
            </w:r>
          </w:p>
        </w:tc>
        <w:tc>
          <w:tcPr>
            <w:tcW w:w="1369" w:type="dxa"/>
            <w:vAlign w:val="center"/>
          </w:tcPr>
          <w:p w14:paraId="05D1854C"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$ 0,00</w:t>
            </w:r>
          </w:p>
        </w:tc>
        <w:tc>
          <w:tcPr>
            <w:tcW w:w="1303" w:type="dxa"/>
            <w:vAlign w:val="center"/>
          </w:tcPr>
          <w:p w14:paraId="51F35B32"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$ 677.868,04</w:t>
            </w:r>
          </w:p>
        </w:tc>
        <w:tc>
          <w:tcPr>
            <w:tcW w:w="948" w:type="dxa"/>
            <w:vAlign w:val="center"/>
          </w:tcPr>
          <w:p w14:paraId="7FFE7BE8" w14:textId="77777777" w:rsidR="00D96A90" w:rsidRPr="00836458" w:rsidRDefault="00D96A90" w:rsidP="00EF5AF2">
            <w:pPr>
              <w:tabs>
                <w:tab w:val="left" w:pos="875"/>
              </w:tabs>
              <w:ind w:right="157"/>
              <w:jc w:val="center"/>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0,6%</w:t>
            </w:r>
          </w:p>
        </w:tc>
      </w:tr>
      <w:tr w:rsidR="00D96A90" w:rsidRPr="00836458" w14:paraId="00E5BDBB" w14:textId="77777777" w:rsidTr="00EF5AF2">
        <w:trPr>
          <w:trHeight w:val="315"/>
          <w:jc w:val="center"/>
        </w:trPr>
        <w:tc>
          <w:tcPr>
            <w:tcW w:w="1591" w:type="dxa"/>
            <w:vAlign w:val="center"/>
          </w:tcPr>
          <w:p w14:paraId="341B913B" w14:textId="77777777" w:rsidR="00D96A90" w:rsidRPr="00836458" w:rsidRDefault="00D96A90" w:rsidP="00EF5AF2">
            <w:pPr>
              <w:tabs>
                <w:tab w:val="left" w:pos="875"/>
              </w:tabs>
              <w:ind w:right="157"/>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Inversión</w:t>
            </w:r>
          </w:p>
        </w:tc>
        <w:tc>
          <w:tcPr>
            <w:tcW w:w="1572" w:type="dxa"/>
            <w:vAlign w:val="center"/>
          </w:tcPr>
          <w:p w14:paraId="209F4F10"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$ 76.394.293,88</w:t>
            </w:r>
          </w:p>
        </w:tc>
        <w:tc>
          <w:tcPr>
            <w:tcW w:w="1367" w:type="dxa"/>
            <w:vAlign w:val="center"/>
          </w:tcPr>
          <w:p w14:paraId="1AA8EF5B"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$ 211.634,90</w:t>
            </w:r>
          </w:p>
        </w:tc>
        <w:tc>
          <w:tcPr>
            <w:tcW w:w="1183" w:type="dxa"/>
            <w:vAlign w:val="center"/>
          </w:tcPr>
          <w:p w14:paraId="5DF34807" w14:textId="77777777" w:rsidR="00D96A90" w:rsidRPr="00836458" w:rsidRDefault="00D96A90" w:rsidP="00EF5AF2">
            <w:pPr>
              <w:tabs>
                <w:tab w:val="left" w:pos="875"/>
              </w:tabs>
              <w:ind w:right="157"/>
              <w:jc w:val="center"/>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0,3%</w:t>
            </w:r>
          </w:p>
        </w:tc>
        <w:tc>
          <w:tcPr>
            <w:tcW w:w="1369" w:type="dxa"/>
            <w:vAlign w:val="center"/>
          </w:tcPr>
          <w:p w14:paraId="591F29CE"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$ 13.615.309,28</w:t>
            </w:r>
          </w:p>
        </w:tc>
        <w:tc>
          <w:tcPr>
            <w:tcW w:w="1303" w:type="dxa"/>
            <w:vAlign w:val="center"/>
          </w:tcPr>
          <w:p w14:paraId="1B93A7F1" w14:textId="77777777" w:rsidR="00D96A90" w:rsidRPr="00836458" w:rsidRDefault="00D96A90" w:rsidP="00EF5AF2">
            <w:pPr>
              <w:jc w:val="right"/>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$ 13.826.944,18</w:t>
            </w:r>
          </w:p>
        </w:tc>
        <w:tc>
          <w:tcPr>
            <w:tcW w:w="948" w:type="dxa"/>
            <w:vAlign w:val="center"/>
          </w:tcPr>
          <w:p w14:paraId="0A9E95CE" w14:textId="77777777" w:rsidR="00D96A90" w:rsidRPr="00836458" w:rsidRDefault="00D96A90" w:rsidP="00EF5AF2">
            <w:pPr>
              <w:tabs>
                <w:tab w:val="left" w:pos="875"/>
              </w:tabs>
              <w:ind w:right="157"/>
              <w:jc w:val="center"/>
              <w:rPr>
                <w:rFonts w:ascii="Arial Narrow" w:eastAsia="Arial Narrow" w:hAnsi="Arial Narrow" w:cs="Arial Narrow"/>
                <w:sz w:val="18"/>
                <w:szCs w:val="18"/>
                <w:lang w:eastAsia="es-ES"/>
              </w:rPr>
            </w:pPr>
            <w:r w:rsidRPr="00836458">
              <w:rPr>
                <w:rFonts w:ascii="Arial Narrow" w:eastAsia="Arial Narrow" w:hAnsi="Arial Narrow" w:cs="Arial Narrow"/>
                <w:sz w:val="18"/>
                <w:szCs w:val="18"/>
                <w:lang w:eastAsia="es-ES"/>
              </w:rPr>
              <w:t>18,1%</w:t>
            </w:r>
          </w:p>
        </w:tc>
      </w:tr>
      <w:tr w:rsidR="00D96A90" w:rsidRPr="00836458" w14:paraId="69F4CED9" w14:textId="77777777" w:rsidTr="00EF5AF2">
        <w:trPr>
          <w:trHeight w:val="315"/>
          <w:jc w:val="center"/>
        </w:trPr>
        <w:tc>
          <w:tcPr>
            <w:tcW w:w="1591" w:type="dxa"/>
            <w:vAlign w:val="center"/>
          </w:tcPr>
          <w:p w14:paraId="08AC63C3" w14:textId="77777777" w:rsidR="00D96A90" w:rsidRPr="00836458" w:rsidRDefault="00D96A90" w:rsidP="00EF5AF2">
            <w:pPr>
              <w:tabs>
                <w:tab w:val="left" w:pos="875"/>
              </w:tabs>
              <w:ind w:right="157"/>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TOTAL</w:t>
            </w:r>
          </w:p>
        </w:tc>
        <w:tc>
          <w:tcPr>
            <w:tcW w:w="1572" w:type="dxa"/>
            <w:vAlign w:val="center"/>
          </w:tcPr>
          <w:p w14:paraId="587BE57D" w14:textId="77777777" w:rsidR="00D96A90" w:rsidRPr="00836458" w:rsidRDefault="00D96A90" w:rsidP="00EF5AF2">
            <w:pPr>
              <w:jc w:val="right"/>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$ 183.371.021,04</w:t>
            </w:r>
          </w:p>
        </w:tc>
        <w:tc>
          <w:tcPr>
            <w:tcW w:w="1367" w:type="dxa"/>
            <w:vAlign w:val="center"/>
          </w:tcPr>
          <w:p w14:paraId="241FD3DA" w14:textId="77777777" w:rsidR="00D96A90" w:rsidRPr="00836458" w:rsidRDefault="00D96A90" w:rsidP="00EF5AF2">
            <w:pPr>
              <w:jc w:val="right"/>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$ 889.502,94</w:t>
            </w:r>
          </w:p>
        </w:tc>
        <w:tc>
          <w:tcPr>
            <w:tcW w:w="1183" w:type="dxa"/>
            <w:vAlign w:val="center"/>
          </w:tcPr>
          <w:p w14:paraId="740F0F7C" w14:textId="77777777" w:rsidR="00D96A90" w:rsidRPr="00836458" w:rsidRDefault="00D96A90" w:rsidP="00EF5AF2">
            <w:pPr>
              <w:tabs>
                <w:tab w:val="left" w:pos="875"/>
              </w:tabs>
              <w:ind w:right="157"/>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0,5%</w:t>
            </w:r>
          </w:p>
        </w:tc>
        <w:tc>
          <w:tcPr>
            <w:tcW w:w="1369" w:type="dxa"/>
            <w:vAlign w:val="center"/>
          </w:tcPr>
          <w:p w14:paraId="00D1F838" w14:textId="77777777" w:rsidR="00D96A90" w:rsidRPr="00836458" w:rsidRDefault="00D96A90" w:rsidP="00EF5AF2">
            <w:pPr>
              <w:jc w:val="right"/>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$ 13.615.309,28</w:t>
            </w:r>
          </w:p>
        </w:tc>
        <w:tc>
          <w:tcPr>
            <w:tcW w:w="1303" w:type="dxa"/>
            <w:vAlign w:val="center"/>
          </w:tcPr>
          <w:p w14:paraId="122C2CAD" w14:textId="77777777" w:rsidR="00D96A90" w:rsidRPr="00836458" w:rsidRDefault="00D96A90" w:rsidP="00EF5AF2">
            <w:pPr>
              <w:jc w:val="right"/>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$ 14.504.812,22</w:t>
            </w:r>
          </w:p>
        </w:tc>
        <w:tc>
          <w:tcPr>
            <w:tcW w:w="948" w:type="dxa"/>
            <w:vAlign w:val="center"/>
          </w:tcPr>
          <w:p w14:paraId="43BAA265" w14:textId="77777777" w:rsidR="00D96A90" w:rsidRPr="00836458" w:rsidRDefault="00D96A90" w:rsidP="00EF5AF2">
            <w:pPr>
              <w:tabs>
                <w:tab w:val="left" w:pos="875"/>
              </w:tabs>
              <w:ind w:right="157"/>
              <w:jc w:val="center"/>
              <w:rPr>
                <w:rFonts w:ascii="Arial Narrow" w:eastAsia="Arial Narrow" w:hAnsi="Arial Narrow" w:cs="Arial Narrow"/>
                <w:b/>
                <w:sz w:val="18"/>
                <w:szCs w:val="18"/>
                <w:lang w:eastAsia="es-ES"/>
              </w:rPr>
            </w:pPr>
            <w:r w:rsidRPr="00836458">
              <w:rPr>
                <w:rFonts w:ascii="Arial Narrow" w:eastAsia="Arial Narrow" w:hAnsi="Arial Narrow" w:cs="Arial Narrow"/>
                <w:b/>
                <w:sz w:val="18"/>
                <w:szCs w:val="18"/>
                <w:lang w:eastAsia="es-ES"/>
              </w:rPr>
              <w:t>7,9%</w:t>
            </w:r>
          </w:p>
        </w:tc>
      </w:tr>
    </w:tbl>
    <w:p w14:paraId="6FB04E5E" w14:textId="77777777" w:rsidR="00D96A90" w:rsidRDefault="00D96A90" w:rsidP="00D96A90">
      <w:pPr>
        <w:jc w:val="both"/>
        <w:rPr>
          <w:rFonts w:ascii="Arial" w:hAnsi="Arial" w:cs="Arial"/>
          <w:b/>
          <w:sz w:val="24"/>
          <w:szCs w:val="24"/>
          <w:lang w:val="es-MX"/>
        </w:rPr>
      </w:pPr>
    </w:p>
    <w:p w14:paraId="59BB6FCC" w14:textId="77777777" w:rsidR="00D96A90" w:rsidRDefault="00D96A90" w:rsidP="005F6CF8">
      <w:pPr>
        <w:ind w:left="-284" w:right="-234"/>
        <w:jc w:val="both"/>
        <w:rPr>
          <w:rFonts w:ascii="Arial" w:hAnsi="Arial" w:cs="Arial"/>
          <w:bCs/>
          <w:sz w:val="24"/>
          <w:szCs w:val="24"/>
          <w:lang w:val="es-MX"/>
        </w:rPr>
      </w:pPr>
      <w:r w:rsidRPr="00836458">
        <w:rPr>
          <w:rFonts w:ascii="Arial" w:hAnsi="Arial" w:cs="Arial"/>
          <w:bCs/>
          <w:sz w:val="24"/>
          <w:szCs w:val="24"/>
          <w:lang w:val="es-MX"/>
        </w:rPr>
        <w:t xml:space="preserve">En cuanto a las reservas constituidas de gastos de inversión, es importante aclarar que $13.615.309.277,98 equivalente al 17.8% corresponden a reservas inducidas por ausencia de PAC, pese a las reiteradas solicitudes de asignación de recursos realizadas al subdirector de Operaciones de la Dirección General de Crédito Público y Tesoro Nacional del Ministerio de Hacienda y Crédito Público. (Se adjuntan Oficios de Solicitudes Ver Anexos 3a, 3b y 3c)). </w:t>
      </w:r>
    </w:p>
    <w:p w14:paraId="06BCC47F" w14:textId="77777777" w:rsidR="00D96A90" w:rsidRPr="00836458" w:rsidRDefault="00D96A90" w:rsidP="005F6CF8">
      <w:pPr>
        <w:ind w:left="-284" w:right="-234"/>
        <w:jc w:val="both"/>
        <w:rPr>
          <w:rFonts w:ascii="Arial" w:hAnsi="Arial" w:cs="Arial"/>
          <w:bCs/>
          <w:sz w:val="24"/>
          <w:szCs w:val="24"/>
          <w:lang w:val="es-MX"/>
        </w:rPr>
      </w:pPr>
    </w:p>
    <w:p w14:paraId="12CAF862" w14:textId="77777777" w:rsidR="00D96A90" w:rsidRPr="00836458" w:rsidRDefault="00D96A90" w:rsidP="005F6CF8">
      <w:pPr>
        <w:ind w:left="-284" w:right="-234"/>
        <w:jc w:val="both"/>
        <w:rPr>
          <w:rFonts w:ascii="Arial" w:hAnsi="Arial" w:cs="Arial"/>
          <w:bCs/>
          <w:sz w:val="24"/>
          <w:szCs w:val="24"/>
          <w:lang w:val="es-MX"/>
        </w:rPr>
      </w:pPr>
      <w:r w:rsidRPr="00836458">
        <w:rPr>
          <w:rFonts w:ascii="Arial" w:hAnsi="Arial" w:cs="Arial"/>
          <w:bCs/>
          <w:sz w:val="24"/>
          <w:szCs w:val="24"/>
          <w:lang w:val="es-MX"/>
        </w:rPr>
        <w:t>En relación a la diferencia de $211.634.904,00 equivalente al 0.3% del valor de las Reservas de inversión, esta corresponde a Reservas Justificadas, por lo tanto, se dio cumplimiento a lo establecido en el artículo 78 del Decreto Ley 111 de 1996.</w:t>
      </w:r>
    </w:p>
    <w:p w14:paraId="0FA77C94" w14:textId="77777777" w:rsidR="00D96A90" w:rsidRDefault="00D96A90" w:rsidP="005F6CF8">
      <w:pPr>
        <w:ind w:left="-284" w:right="-234"/>
        <w:rPr>
          <w:rFonts w:ascii="Arial" w:hAnsi="Arial" w:cs="Arial"/>
          <w:sz w:val="24"/>
          <w:szCs w:val="24"/>
          <w:lang w:val="es-MX"/>
        </w:rPr>
      </w:pPr>
    </w:p>
    <w:p w14:paraId="2762FD5A" w14:textId="77777777" w:rsidR="00D96A90" w:rsidRPr="00997514" w:rsidRDefault="00D96A90" w:rsidP="005F6CF8">
      <w:pPr>
        <w:ind w:left="-284" w:right="-234"/>
        <w:jc w:val="both"/>
        <w:rPr>
          <w:rFonts w:ascii="Arial" w:hAnsi="Arial" w:cs="Arial"/>
          <w:b/>
          <w:sz w:val="28"/>
          <w:szCs w:val="28"/>
          <w:lang w:val="es-MX"/>
        </w:rPr>
      </w:pPr>
      <w:r w:rsidRPr="00997514">
        <w:rPr>
          <w:rFonts w:ascii="Arial" w:hAnsi="Arial" w:cs="Arial"/>
          <w:b/>
          <w:sz w:val="28"/>
          <w:szCs w:val="28"/>
          <w:lang w:val="es-MX"/>
        </w:rPr>
        <w:lastRenderedPageBreak/>
        <w:t>342.- MINISTERIO DEL TRABAJO.</w:t>
      </w:r>
    </w:p>
    <w:p w14:paraId="1B9E3965" w14:textId="77777777" w:rsidR="00D96A90" w:rsidRDefault="00D96A90" w:rsidP="005F6CF8">
      <w:pPr>
        <w:ind w:left="-284" w:right="-234"/>
        <w:rPr>
          <w:rFonts w:ascii="Arial" w:hAnsi="Arial" w:cs="Arial"/>
          <w:sz w:val="24"/>
          <w:szCs w:val="24"/>
          <w:lang w:val="es-MX"/>
        </w:rPr>
      </w:pPr>
    </w:p>
    <w:p w14:paraId="200C870C" w14:textId="77777777" w:rsidR="00D96A90" w:rsidRPr="00855DD2" w:rsidRDefault="00D96A90" w:rsidP="005F6CF8">
      <w:pPr>
        <w:pStyle w:val="Textoindependiente"/>
        <w:spacing w:before="3"/>
        <w:ind w:left="-284" w:right="-234"/>
        <w:jc w:val="both"/>
        <w:rPr>
          <w:rFonts w:ascii="Arial" w:hAnsi="Arial" w:cs="Arial"/>
          <w:sz w:val="24"/>
          <w:szCs w:val="24"/>
        </w:rPr>
      </w:pPr>
      <w:r w:rsidRPr="00855DD2">
        <w:rPr>
          <w:rFonts w:ascii="Arial" w:hAnsi="Arial" w:cs="Arial"/>
          <w:b/>
          <w:sz w:val="24"/>
          <w:szCs w:val="24"/>
        </w:rPr>
        <w:t xml:space="preserve">La entidad informa:  NO. </w:t>
      </w:r>
      <w:r w:rsidRPr="00855DD2">
        <w:rPr>
          <w:rFonts w:ascii="Arial" w:hAnsi="Arial" w:cs="Arial"/>
          <w:sz w:val="24"/>
          <w:szCs w:val="24"/>
        </w:rPr>
        <w:t xml:space="preserve">La entidad no cumplió con el límite de constitución de reserva presupuestal para los gastos de funcionamiento que se constituyó en (10,84%) y para los gastos de inversión el porcentaje fue (15,85%) por las razones que se exponen a continuación: </w:t>
      </w:r>
    </w:p>
    <w:p w14:paraId="1BA5A969" w14:textId="77777777" w:rsidR="00D96A90" w:rsidRPr="00855DD2" w:rsidRDefault="00D96A90" w:rsidP="005F6CF8">
      <w:pPr>
        <w:pStyle w:val="Textoindependiente"/>
        <w:spacing w:before="3"/>
        <w:ind w:left="-284" w:right="-234"/>
        <w:jc w:val="both"/>
        <w:rPr>
          <w:rFonts w:ascii="Arial" w:hAnsi="Arial" w:cs="Arial"/>
          <w:sz w:val="24"/>
          <w:szCs w:val="24"/>
        </w:rPr>
      </w:pPr>
    </w:p>
    <w:p w14:paraId="3D60D0A6" w14:textId="77777777" w:rsidR="00D96A90" w:rsidRPr="00855DD2" w:rsidRDefault="00D96A90" w:rsidP="005F6CF8">
      <w:pPr>
        <w:pStyle w:val="Textoindependiente"/>
        <w:spacing w:before="3"/>
        <w:ind w:left="-284" w:right="-234"/>
        <w:jc w:val="both"/>
        <w:rPr>
          <w:rFonts w:ascii="Arial" w:hAnsi="Arial" w:cs="Arial"/>
          <w:sz w:val="24"/>
          <w:szCs w:val="24"/>
        </w:rPr>
      </w:pPr>
      <w:r w:rsidRPr="00855DD2">
        <w:rPr>
          <w:rFonts w:ascii="Arial" w:hAnsi="Arial" w:cs="Arial"/>
          <w:sz w:val="24"/>
          <w:szCs w:val="24"/>
        </w:rPr>
        <w:t>En lo que respecta a los gastos de funcionamiento el porcentaje constituido fue del 10,84% de los cuales el 98,82% corresponde a la reserva constituida por el Ministerio del Trabajo, en los rubros de COLPENSIONES (Prima Media y Empos y Metales Preciosos) y en los rubros del FONDO DE PENSIONES PÚBLICAS DEL NIVEL NACIONAL - FOPEP; que por tratarse de rubros de transferencias corrientes para el pago de pensiones a nivel nacional, se constituyen como una provisión para atender el pago oportuno del pasivo pensional de la Nación, en virtud del ARTICULO 29 - Ley 2342 del 15 de DIC 2023: “Las entidades que hacen parte del Presupuesto General de la Nación que administran recursos para el pago de pensiones podrán constituir reservas presupuestales o cuentas por pagar con los saldos de apropiación que a 31 de diciembre se registren en el Sistema Integrado de Información Financiera (SIIF) Nación para estos propósitos. Lo anterior se constituye como una provisión para atender el pago oportuno del pasivo pensional a cargo de dichas entidades en la siguiente vigencia”. Así las cosas, el porcentaje real de la reserva por concepto de gastos de funcionamiento es inferior al 2% (0,19%), sin los recursos de destinación y tratamiento específico (pensiones):</w:t>
      </w:r>
    </w:p>
    <w:p w14:paraId="4631504A" w14:textId="77777777" w:rsidR="00D96A90" w:rsidRPr="00855DD2" w:rsidRDefault="00D96A90" w:rsidP="00D96A90">
      <w:pPr>
        <w:pStyle w:val="Textoindependiente"/>
        <w:spacing w:before="3"/>
        <w:jc w:val="both"/>
        <w:rPr>
          <w:rFonts w:ascii="Arial" w:hAnsi="Arial" w:cs="Arial"/>
          <w:sz w:val="24"/>
          <w:szCs w:val="24"/>
        </w:rPr>
      </w:pPr>
    </w:p>
    <w:p w14:paraId="6CE1F482" w14:textId="77777777" w:rsidR="00D96A90" w:rsidRDefault="00D96A90" w:rsidP="00D96A90">
      <w:pPr>
        <w:pStyle w:val="Textoindependiente"/>
        <w:spacing w:before="3"/>
        <w:jc w:val="center"/>
      </w:pPr>
      <w:r w:rsidRPr="00836C86">
        <w:rPr>
          <w:noProof/>
          <w:lang w:val="es-CO" w:eastAsia="es-CO"/>
        </w:rPr>
        <w:drawing>
          <wp:inline distT="0" distB="0" distL="0" distR="0" wp14:anchorId="1282AEDA" wp14:editId="3A7A9C77">
            <wp:extent cx="5706271" cy="1133633"/>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6271" cy="1133633"/>
                    </a:xfrm>
                    <a:prstGeom prst="rect">
                      <a:avLst/>
                    </a:prstGeom>
                  </pic:spPr>
                </pic:pic>
              </a:graphicData>
            </a:graphic>
          </wp:inline>
        </w:drawing>
      </w:r>
    </w:p>
    <w:p w14:paraId="336DFFF6" w14:textId="77777777" w:rsidR="00D96A90" w:rsidRDefault="00D96A90" w:rsidP="00D96A90">
      <w:pPr>
        <w:pStyle w:val="Textoindependiente"/>
        <w:spacing w:before="3"/>
        <w:jc w:val="both"/>
      </w:pPr>
    </w:p>
    <w:p w14:paraId="1E014707" w14:textId="77777777" w:rsidR="00D96A90" w:rsidRPr="00855DD2" w:rsidRDefault="00D96A90" w:rsidP="005F6CF8">
      <w:pPr>
        <w:pStyle w:val="Textoindependiente"/>
        <w:spacing w:before="3"/>
        <w:ind w:left="-284" w:right="-234"/>
        <w:jc w:val="both"/>
        <w:rPr>
          <w:rFonts w:ascii="Arial" w:hAnsi="Arial" w:cs="Arial"/>
          <w:sz w:val="24"/>
          <w:szCs w:val="24"/>
        </w:rPr>
      </w:pPr>
      <w:r w:rsidRPr="00855DD2">
        <w:rPr>
          <w:rFonts w:ascii="Arial" w:hAnsi="Arial" w:cs="Arial"/>
          <w:sz w:val="24"/>
          <w:szCs w:val="24"/>
        </w:rPr>
        <w:t>Por otra parte, de conformidad con las circulares externas Nos. 034 y 040 del 14 de noviembre de 2024 “Aspectos a considerar para el cierre de la vigencia 2024 y apertura del año 2025 en el Sistema Integrado de Información Financiera - SIIF NACIÓN”, expedidas por el Ministerio de Hacienda y Crédito Público: Constitución de reservas presupuestales y cuentas por pagar del año 2024: De conformidad con lo establecido en los artículos 2.8.1.7.3.1. y 2.8.1.7.3.2. del Decreto 1068 de 2015, las reservas presupuestales y las cuentas por pagar del año 2024, se constituyen con los saldos registrados en el SIIF Nación al 20 de enero de 2025, así: Reservas presupuestales: Con los Compromisos no obligados a 31 de diciembre. Cuentas por pagar: Con las obligaciones no pagadas a 31 de diciembre.</w:t>
      </w:r>
    </w:p>
    <w:p w14:paraId="320E9609" w14:textId="77777777" w:rsidR="00D96A90" w:rsidRPr="00855DD2" w:rsidRDefault="00D96A90" w:rsidP="005F6CF8">
      <w:pPr>
        <w:pStyle w:val="Textoindependiente"/>
        <w:spacing w:before="3"/>
        <w:ind w:left="-284" w:right="-234"/>
        <w:jc w:val="both"/>
        <w:rPr>
          <w:rFonts w:ascii="Arial" w:hAnsi="Arial" w:cs="Arial"/>
          <w:sz w:val="24"/>
          <w:szCs w:val="24"/>
        </w:rPr>
      </w:pPr>
    </w:p>
    <w:p w14:paraId="749E9D79" w14:textId="77777777" w:rsidR="00D96A90" w:rsidRPr="00855DD2" w:rsidRDefault="00D96A90" w:rsidP="005F6CF8">
      <w:pPr>
        <w:pStyle w:val="Textoindependiente"/>
        <w:spacing w:before="3"/>
        <w:ind w:left="-284" w:right="-234"/>
        <w:jc w:val="both"/>
        <w:rPr>
          <w:rFonts w:ascii="Arial" w:hAnsi="Arial" w:cs="Arial"/>
          <w:sz w:val="24"/>
          <w:szCs w:val="24"/>
        </w:rPr>
      </w:pPr>
      <w:r w:rsidRPr="00855DD2">
        <w:rPr>
          <w:rFonts w:ascii="Arial" w:hAnsi="Arial" w:cs="Arial"/>
          <w:sz w:val="24"/>
          <w:szCs w:val="24"/>
        </w:rPr>
        <w:t>Según lo establece el artículo 28 de la Ley de Presupuesto para la vigencia 2024, “Para las cuentas por pagar que se constituyen a 31 de diciembre de 2023 se debe contar con el correspondiente programa anual mensualizado de caja de la vigencia, de lo contrario deberán hacerse los ajustes en los registros y constituir las correspondientes reservas presupuestales. Igual procedimiento se deberá cumplir en la vigencia 2024”.</w:t>
      </w:r>
    </w:p>
    <w:p w14:paraId="040C32BB" w14:textId="77777777" w:rsidR="00D96A90" w:rsidRPr="00855DD2" w:rsidRDefault="00D96A90" w:rsidP="005F6CF8">
      <w:pPr>
        <w:pStyle w:val="Textoindependiente"/>
        <w:spacing w:before="3"/>
        <w:ind w:left="-284" w:right="-234"/>
        <w:jc w:val="both"/>
        <w:rPr>
          <w:rFonts w:ascii="Arial" w:hAnsi="Arial" w:cs="Arial"/>
          <w:sz w:val="24"/>
          <w:szCs w:val="24"/>
        </w:rPr>
      </w:pPr>
    </w:p>
    <w:p w14:paraId="6302E881" w14:textId="77777777" w:rsidR="00D96A90" w:rsidRPr="00855DD2" w:rsidRDefault="00D96A90" w:rsidP="005F6CF8">
      <w:pPr>
        <w:pStyle w:val="Textoindependiente"/>
        <w:spacing w:before="3"/>
        <w:ind w:left="-284" w:right="-234"/>
        <w:jc w:val="both"/>
        <w:rPr>
          <w:rFonts w:ascii="Arial" w:hAnsi="Arial" w:cs="Arial"/>
          <w:sz w:val="24"/>
          <w:szCs w:val="24"/>
        </w:rPr>
      </w:pPr>
      <w:r w:rsidRPr="00855DD2">
        <w:rPr>
          <w:rFonts w:ascii="Arial" w:hAnsi="Arial" w:cs="Arial"/>
          <w:sz w:val="24"/>
          <w:szCs w:val="24"/>
        </w:rPr>
        <w:t>La justificación general de la constitución de las reservas de apropiación correspondientes a recursos diferentes a los de pensiones, con corte al 31 de diciembre de 2024, radica, en tres aspectos:</w:t>
      </w:r>
    </w:p>
    <w:p w14:paraId="019E7C07" w14:textId="77777777" w:rsidR="00D96A90" w:rsidRPr="00855DD2" w:rsidRDefault="00D96A90" w:rsidP="00D96A90">
      <w:pPr>
        <w:pStyle w:val="Textoindependiente"/>
        <w:spacing w:before="3"/>
        <w:jc w:val="both"/>
        <w:rPr>
          <w:rFonts w:ascii="Arial" w:hAnsi="Arial" w:cs="Arial"/>
          <w:sz w:val="24"/>
          <w:szCs w:val="24"/>
        </w:rPr>
      </w:pPr>
    </w:p>
    <w:p w14:paraId="3808BFE2" w14:textId="77777777" w:rsidR="00D96A90" w:rsidRPr="00855DD2" w:rsidRDefault="00D96A90" w:rsidP="00D96A90">
      <w:pPr>
        <w:pStyle w:val="Textoindependiente"/>
        <w:spacing w:before="3"/>
        <w:jc w:val="both"/>
        <w:rPr>
          <w:rFonts w:ascii="Arial" w:hAnsi="Arial" w:cs="Arial"/>
          <w:sz w:val="24"/>
          <w:szCs w:val="24"/>
        </w:rPr>
      </w:pPr>
      <w:r w:rsidRPr="00855DD2">
        <w:rPr>
          <w:rFonts w:ascii="Arial" w:hAnsi="Arial" w:cs="Arial"/>
          <w:sz w:val="24"/>
          <w:szCs w:val="24"/>
        </w:rPr>
        <w:lastRenderedPageBreak/>
        <w:t xml:space="preserve">1) Contratos con plazo de ejecución a 31 de diciembre de 2024, que se cumplieron a satisfacción, por lo que corresponden a cuentas por pagar, pero que no fueron obligadas dentro de la vigencia por diversos factores como las restricciones del Plan Anual de Caja - PAC, entre otros. </w:t>
      </w:r>
    </w:p>
    <w:p w14:paraId="42B60271" w14:textId="77777777" w:rsidR="00D96A90" w:rsidRPr="00855DD2" w:rsidRDefault="00D96A90" w:rsidP="00D96A90">
      <w:pPr>
        <w:pStyle w:val="Textoindependiente"/>
        <w:spacing w:before="3"/>
        <w:jc w:val="both"/>
        <w:rPr>
          <w:rFonts w:ascii="Arial" w:hAnsi="Arial" w:cs="Arial"/>
          <w:sz w:val="24"/>
          <w:szCs w:val="24"/>
        </w:rPr>
      </w:pPr>
    </w:p>
    <w:p w14:paraId="5B8876FA" w14:textId="77777777" w:rsidR="00D96A90" w:rsidRPr="00855DD2" w:rsidRDefault="00D96A90" w:rsidP="00D96A90">
      <w:pPr>
        <w:pStyle w:val="Textoindependiente"/>
        <w:spacing w:before="3"/>
        <w:jc w:val="both"/>
        <w:rPr>
          <w:rFonts w:ascii="Arial" w:hAnsi="Arial" w:cs="Arial"/>
          <w:sz w:val="24"/>
          <w:szCs w:val="24"/>
        </w:rPr>
      </w:pPr>
      <w:r w:rsidRPr="00855DD2">
        <w:rPr>
          <w:rFonts w:ascii="Arial" w:hAnsi="Arial" w:cs="Arial"/>
          <w:sz w:val="24"/>
          <w:szCs w:val="24"/>
        </w:rPr>
        <w:t xml:space="preserve">2) Compromisos legalmente constituidos, cuyo plazo inicial era el 31 de diciembre de 2024, pero que como caso fortuito o de fuerza mayor su objeto no fue cumplido dentro del año fiscal 2024, por lo que su plazo de ejecución se prorrogó y se debe ejecutar y pagar en la vigencia siguiente. </w:t>
      </w:r>
    </w:p>
    <w:p w14:paraId="1D492B11" w14:textId="77777777" w:rsidR="00D96A90" w:rsidRPr="00855DD2" w:rsidRDefault="00D96A90" w:rsidP="00D96A90">
      <w:pPr>
        <w:pStyle w:val="Textoindependiente"/>
        <w:spacing w:before="3"/>
        <w:jc w:val="both"/>
        <w:rPr>
          <w:rFonts w:ascii="Arial" w:hAnsi="Arial" w:cs="Arial"/>
          <w:sz w:val="24"/>
          <w:szCs w:val="24"/>
        </w:rPr>
      </w:pPr>
    </w:p>
    <w:p w14:paraId="1B05E147" w14:textId="77777777" w:rsidR="00D96A90" w:rsidRPr="00855DD2" w:rsidRDefault="00D96A90" w:rsidP="00D96A90">
      <w:pPr>
        <w:pStyle w:val="Textoindependiente"/>
        <w:spacing w:before="3"/>
        <w:jc w:val="both"/>
        <w:rPr>
          <w:rFonts w:ascii="Arial" w:hAnsi="Arial" w:cs="Arial"/>
          <w:sz w:val="24"/>
          <w:szCs w:val="24"/>
        </w:rPr>
      </w:pPr>
      <w:r w:rsidRPr="00855DD2">
        <w:rPr>
          <w:rFonts w:ascii="Arial" w:hAnsi="Arial" w:cs="Arial"/>
          <w:sz w:val="24"/>
          <w:szCs w:val="24"/>
        </w:rPr>
        <w:t>3) Recursos de Inversión correspondientes al Fondo de Solidaridad Pensional, cuyos subsidios pendientes de pago deben garantizarse para darle cumplimiento a lo establecido en la Ley.</w:t>
      </w:r>
    </w:p>
    <w:p w14:paraId="4BA019D0" w14:textId="77777777" w:rsidR="00D96A90" w:rsidRDefault="00D96A90" w:rsidP="00D96A90">
      <w:pPr>
        <w:pStyle w:val="Textoindependiente"/>
        <w:spacing w:before="3"/>
        <w:jc w:val="both"/>
      </w:pPr>
    </w:p>
    <w:p w14:paraId="580B232B" w14:textId="77777777" w:rsidR="00D96A90" w:rsidRDefault="00D96A90" w:rsidP="00D96A90">
      <w:pPr>
        <w:pStyle w:val="Textoindependiente"/>
        <w:spacing w:before="3"/>
        <w:jc w:val="center"/>
      </w:pPr>
      <w:r w:rsidRPr="00836C86">
        <w:rPr>
          <w:noProof/>
          <w:lang w:val="es-CO" w:eastAsia="es-CO"/>
        </w:rPr>
        <w:drawing>
          <wp:inline distT="0" distB="0" distL="0" distR="0" wp14:anchorId="0CD14EB6" wp14:editId="54C5488C">
            <wp:extent cx="5639587" cy="221963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9587" cy="2219635"/>
                    </a:xfrm>
                    <a:prstGeom prst="rect">
                      <a:avLst/>
                    </a:prstGeom>
                  </pic:spPr>
                </pic:pic>
              </a:graphicData>
            </a:graphic>
          </wp:inline>
        </w:drawing>
      </w:r>
    </w:p>
    <w:p w14:paraId="3E5103F6" w14:textId="77777777" w:rsidR="00D96A90" w:rsidRDefault="00D96A90" w:rsidP="00D96A90">
      <w:pPr>
        <w:pStyle w:val="Textoindependiente"/>
        <w:spacing w:before="3"/>
        <w:jc w:val="center"/>
      </w:pPr>
      <w:r w:rsidRPr="00836C86">
        <w:rPr>
          <w:noProof/>
          <w:lang w:val="es-CO" w:eastAsia="es-CO"/>
        </w:rPr>
        <w:drawing>
          <wp:inline distT="0" distB="0" distL="0" distR="0" wp14:anchorId="2F7D180C" wp14:editId="6D10617E">
            <wp:extent cx="5620534" cy="191479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0534" cy="1914792"/>
                    </a:xfrm>
                    <a:prstGeom prst="rect">
                      <a:avLst/>
                    </a:prstGeom>
                  </pic:spPr>
                </pic:pic>
              </a:graphicData>
            </a:graphic>
          </wp:inline>
        </w:drawing>
      </w:r>
    </w:p>
    <w:p w14:paraId="4511B7F4" w14:textId="77777777" w:rsidR="00D96A90" w:rsidRDefault="00D96A90" w:rsidP="00D96A90">
      <w:pPr>
        <w:pStyle w:val="Textoindependiente"/>
        <w:spacing w:before="3"/>
        <w:jc w:val="both"/>
      </w:pPr>
    </w:p>
    <w:p w14:paraId="53CADF56" w14:textId="77777777" w:rsidR="00D96A90" w:rsidRPr="00855DD2" w:rsidRDefault="00D96A90" w:rsidP="005F6CF8">
      <w:pPr>
        <w:pStyle w:val="Textoindependiente"/>
        <w:spacing w:before="3"/>
        <w:ind w:left="-284" w:right="-234"/>
        <w:jc w:val="both"/>
        <w:rPr>
          <w:rFonts w:ascii="Arial" w:hAnsi="Arial" w:cs="Arial"/>
          <w:sz w:val="24"/>
          <w:szCs w:val="24"/>
        </w:rPr>
      </w:pPr>
      <w:r w:rsidRPr="00855DD2">
        <w:rPr>
          <w:rFonts w:ascii="Arial" w:hAnsi="Arial" w:cs="Arial"/>
          <w:sz w:val="24"/>
          <w:szCs w:val="24"/>
        </w:rPr>
        <w:t>Como se puede observar, el mayor porcentaje de la reserva de gastos de inversión corresponde a los recursos del Fondo de Solidaridad Pensional, recursos de destinación específica, Fondos Especiales Recurso 16 SSF; los cuales deben garantizarse para cumplir, entre otros, con lo establecido en la Ley 100 – “Artículo 26: Objeto del Fondo. El Fondo de Solidaridad Pensional tiene por objeto subsidiar los aportes al Régimen General de Pensiones de los trabajadores asalariados o independientes del sector rural y urbano que carezcan de suficientes recursos para efectuar la totalidad del aporte, tales como artistas, deportistas, músicos, compositores, toreros y sus subalternos, la mujer microempresaria, las madres comunitarias, los discapacitados físicos, psíquicos y sensoriales, los miembros de las cooperativas de trabajo asociado y otras formas asociativas de producción, de conformidad con la reglamentación que para el efecto expida el Gobierno Nacional”.</w:t>
      </w:r>
    </w:p>
    <w:p w14:paraId="28E6BBF6" w14:textId="77777777" w:rsidR="00D96A90" w:rsidRDefault="00D96A90" w:rsidP="005F6CF8">
      <w:pPr>
        <w:ind w:left="-284" w:right="-234"/>
        <w:rPr>
          <w:rFonts w:ascii="Arial" w:hAnsi="Arial" w:cs="Arial"/>
          <w:sz w:val="24"/>
          <w:szCs w:val="24"/>
          <w:lang w:val="es-MX"/>
        </w:rPr>
      </w:pPr>
    </w:p>
    <w:p w14:paraId="36C59E6A" w14:textId="77777777" w:rsidR="00D96A90" w:rsidRPr="008F19E9" w:rsidRDefault="00D96A90" w:rsidP="005F6CF8">
      <w:pPr>
        <w:ind w:left="-284" w:right="-234"/>
        <w:jc w:val="both"/>
        <w:rPr>
          <w:rFonts w:ascii="Arial" w:hAnsi="Arial" w:cs="Arial"/>
          <w:b/>
          <w:sz w:val="28"/>
          <w:szCs w:val="28"/>
          <w:lang w:val="es-MX"/>
        </w:rPr>
      </w:pPr>
      <w:r w:rsidRPr="008F19E9">
        <w:rPr>
          <w:rFonts w:ascii="Arial" w:hAnsi="Arial" w:cs="Arial"/>
          <w:b/>
          <w:sz w:val="28"/>
          <w:szCs w:val="28"/>
          <w:lang w:val="es-MX"/>
        </w:rPr>
        <w:t>343.- AGENCIA NACIONAL DE TIERRAS - ANT.</w:t>
      </w:r>
    </w:p>
    <w:p w14:paraId="565B1E60" w14:textId="77777777" w:rsidR="00D96A90" w:rsidRDefault="00D96A90" w:rsidP="005F6CF8">
      <w:pPr>
        <w:ind w:left="-284" w:right="-234"/>
        <w:rPr>
          <w:rFonts w:ascii="Arial" w:hAnsi="Arial" w:cs="Arial"/>
          <w:lang w:val="es-MX"/>
        </w:rPr>
      </w:pPr>
    </w:p>
    <w:p w14:paraId="00A928DD" w14:textId="77777777" w:rsidR="00D96A90" w:rsidRPr="00AB540E" w:rsidRDefault="00D96A90" w:rsidP="005F6CF8">
      <w:pPr>
        <w:ind w:left="-284" w:right="-234" w:hanging="10"/>
        <w:jc w:val="both"/>
        <w:rPr>
          <w:rFonts w:ascii="Arial" w:hAnsi="Arial" w:cs="Arial"/>
          <w:sz w:val="24"/>
        </w:rPr>
      </w:pPr>
      <w:r w:rsidRPr="00AB540E">
        <w:rPr>
          <w:rFonts w:ascii="Arial" w:hAnsi="Arial" w:cs="Arial"/>
          <w:b/>
        </w:rPr>
        <w:t xml:space="preserve">La entidad informa: </w:t>
      </w:r>
      <w:r w:rsidRPr="00AB540E">
        <w:rPr>
          <w:rFonts w:ascii="Arial" w:hAnsi="Arial" w:cs="Arial"/>
          <w:sz w:val="24"/>
        </w:rPr>
        <w:t>Al respecto nos permitimos informar que la Agencia Nacional de Tierras no pudo cumplir con lo establecido en el Artículo 78 del Decreto Ley 111 de 1996, toda vez que superó estos porcentajes obteniendo un 42 % para gastos de funcionamiento y un 78% para gastos de inversión. Lo anterior se generó por la falta de asignación de PAC, aun cuando la ANT solicitaba los recursos para los pagos requeridos, la Dirección de Tesoro Nacional asignaba únicamente lo relacionado con el sostenimiento básico institucional. Esta escasa asignación obedeció a su vez a la falta de ingresos de la nación durante la vigencia 2024. Cabe indicar que el porcentaje en gastos de funcionamiento se incrementó por el hecho que la ANT solicitó al Ministerio de Hacienda una apropiación por $45.000 millones (Adición y traslado) para pago de una conciliación, el cual fue aprobado y asignado al final de la vigencia (última semana de diciembre), por lo que, sin este valor, el porcentaje de reservas de funcionamiento habría sido del 2,7%, igualmente se superaba el límite por falta de PAC.</w:t>
      </w:r>
    </w:p>
    <w:p w14:paraId="74914D8B" w14:textId="77777777" w:rsidR="00D96A90" w:rsidRPr="00AB540E" w:rsidRDefault="00D96A90" w:rsidP="005F6CF8">
      <w:pPr>
        <w:ind w:left="-284" w:right="-234"/>
        <w:rPr>
          <w:rFonts w:ascii="Arial" w:hAnsi="Arial" w:cs="Arial"/>
          <w:sz w:val="24"/>
          <w:szCs w:val="24"/>
          <w:lang w:val="es-MX"/>
        </w:rPr>
      </w:pPr>
    </w:p>
    <w:p w14:paraId="55CA8C31" w14:textId="77777777" w:rsidR="00374832" w:rsidRPr="00A85772" w:rsidRDefault="00374832" w:rsidP="00A85772">
      <w:pPr>
        <w:ind w:left="-284" w:right="-234"/>
        <w:jc w:val="center"/>
        <w:rPr>
          <w:rFonts w:ascii="Arial" w:hAnsi="Arial" w:cs="Arial"/>
          <w:b/>
          <w:sz w:val="28"/>
          <w:szCs w:val="28"/>
          <w:u w:val="single"/>
        </w:rPr>
      </w:pPr>
      <w:bookmarkStart w:id="24" w:name="_Hlk210306609"/>
      <w:bookmarkStart w:id="25" w:name="_Hlk169505463"/>
      <w:r w:rsidRPr="00A85772">
        <w:rPr>
          <w:rFonts w:ascii="Arial" w:hAnsi="Arial" w:cs="Arial"/>
          <w:b/>
          <w:sz w:val="28"/>
          <w:szCs w:val="28"/>
          <w:u w:val="single"/>
        </w:rPr>
        <w:t>10.- OBSERVACIONES GENERALES DE ORDEN CONTABLE DETERMINADAS POR LA COMISIÓN LEGAL DE CUENTAS DE LA CÁMARA DE REPRESENTANTES PARA LA VIGENCIA FISCAL 2024. (BANDERAS ROJAS).</w:t>
      </w:r>
    </w:p>
    <w:bookmarkEnd w:id="24"/>
    <w:p w14:paraId="56711030" w14:textId="77777777" w:rsidR="00374832" w:rsidRPr="003F19CF" w:rsidRDefault="00374832" w:rsidP="00374832">
      <w:pPr>
        <w:ind w:left="-284" w:right="-234"/>
        <w:jc w:val="both"/>
        <w:rPr>
          <w:rFonts w:ascii="Arial" w:hAnsi="Arial" w:cs="Arial"/>
          <w:b/>
          <w:sz w:val="28"/>
          <w:szCs w:val="28"/>
        </w:rPr>
      </w:pPr>
    </w:p>
    <w:tbl>
      <w:tblPr>
        <w:tblStyle w:val="Tablaconcuadrcula"/>
        <w:tblW w:w="10587" w:type="dxa"/>
        <w:tblInd w:w="-289" w:type="dxa"/>
        <w:tblLook w:val="04A0" w:firstRow="1" w:lastRow="0" w:firstColumn="1" w:lastColumn="0" w:noHBand="0" w:noVBand="1"/>
      </w:tblPr>
      <w:tblGrid>
        <w:gridCol w:w="441"/>
        <w:gridCol w:w="10146"/>
      </w:tblGrid>
      <w:tr w:rsidR="00374832" w:rsidRPr="003A1EE7" w14:paraId="2E72B184" w14:textId="77777777" w:rsidTr="007D517D">
        <w:tc>
          <w:tcPr>
            <w:tcW w:w="441" w:type="dxa"/>
          </w:tcPr>
          <w:p w14:paraId="7116E8A6" w14:textId="77777777" w:rsidR="00374832" w:rsidRPr="00352BDC" w:rsidRDefault="00374832" w:rsidP="00994680">
            <w:pPr>
              <w:jc w:val="center"/>
              <w:rPr>
                <w:rFonts w:ascii="Arial" w:hAnsi="Arial" w:cs="Arial"/>
                <w:b/>
              </w:rPr>
            </w:pPr>
            <w:r w:rsidRPr="00352BDC">
              <w:rPr>
                <w:rFonts w:ascii="Arial" w:hAnsi="Arial" w:cs="Arial"/>
                <w:b/>
              </w:rPr>
              <w:t xml:space="preserve"> N° </w:t>
            </w:r>
          </w:p>
          <w:p w14:paraId="16E82284" w14:textId="77777777" w:rsidR="00374832" w:rsidRPr="00352BDC" w:rsidRDefault="00374832" w:rsidP="00994680">
            <w:pPr>
              <w:tabs>
                <w:tab w:val="left" w:pos="1920"/>
              </w:tabs>
              <w:ind w:right="-108"/>
              <w:jc w:val="center"/>
              <w:rPr>
                <w:rFonts w:ascii="Arial" w:hAnsi="Arial" w:cs="Arial"/>
                <w:b/>
              </w:rPr>
            </w:pPr>
          </w:p>
        </w:tc>
        <w:tc>
          <w:tcPr>
            <w:tcW w:w="10146" w:type="dxa"/>
          </w:tcPr>
          <w:p w14:paraId="6280DF51" w14:textId="77777777" w:rsidR="00374832" w:rsidRPr="00352BDC" w:rsidRDefault="00374832" w:rsidP="00994680">
            <w:pPr>
              <w:tabs>
                <w:tab w:val="left" w:pos="1395"/>
              </w:tabs>
              <w:jc w:val="center"/>
              <w:rPr>
                <w:rFonts w:ascii="Arial" w:hAnsi="Arial" w:cs="Arial"/>
                <w:b/>
              </w:rPr>
            </w:pPr>
            <w:r w:rsidRPr="00352BDC">
              <w:rPr>
                <w:rFonts w:ascii="Arial" w:hAnsi="Arial" w:cs="Arial"/>
                <w:b/>
              </w:rPr>
              <w:t>OBSERVACIONES GENERALES DE ORDEN CONTABLE</w:t>
            </w:r>
          </w:p>
          <w:p w14:paraId="05041D91" w14:textId="77777777" w:rsidR="00374832" w:rsidRPr="00352BDC" w:rsidRDefault="00374832" w:rsidP="00994680">
            <w:pPr>
              <w:tabs>
                <w:tab w:val="left" w:pos="1395"/>
              </w:tabs>
              <w:jc w:val="center"/>
              <w:rPr>
                <w:rFonts w:ascii="Arial" w:hAnsi="Arial" w:cs="Arial"/>
                <w:b/>
              </w:rPr>
            </w:pPr>
            <w:r w:rsidRPr="00352BDC">
              <w:rPr>
                <w:rFonts w:ascii="Arial" w:hAnsi="Arial" w:cs="Arial"/>
                <w:b/>
              </w:rPr>
              <w:t>2024</w:t>
            </w:r>
          </w:p>
          <w:p w14:paraId="09EEEFD0" w14:textId="77777777" w:rsidR="00374832" w:rsidRPr="00352BDC" w:rsidRDefault="00374832" w:rsidP="00994680">
            <w:pPr>
              <w:tabs>
                <w:tab w:val="left" w:pos="1395"/>
              </w:tabs>
              <w:jc w:val="center"/>
              <w:rPr>
                <w:rFonts w:ascii="Arial" w:hAnsi="Arial" w:cs="Arial"/>
                <w:b/>
              </w:rPr>
            </w:pPr>
          </w:p>
        </w:tc>
      </w:tr>
      <w:tr w:rsidR="00374832" w:rsidRPr="003A1EE7" w14:paraId="78AA5460" w14:textId="77777777" w:rsidTr="007D517D">
        <w:tc>
          <w:tcPr>
            <w:tcW w:w="441" w:type="dxa"/>
          </w:tcPr>
          <w:p w14:paraId="0110DC37" w14:textId="77777777" w:rsidR="00374832" w:rsidRPr="003A1EE7" w:rsidRDefault="00374832" w:rsidP="00994680">
            <w:pPr>
              <w:jc w:val="center"/>
              <w:rPr>
                <w:rFonts w:ascii="Arial" w:hAnsi="Arial" w:cs="Arial"/>
                <w:b/>
                <w:color w:val="FF0000"/>
              </w:rPr>
            </w:pPr>
            <w:r w:rsidRPr="001B5219">
              <w:rPr>
                <w:rFonts w:ascii="Arial" w:hAnsi="Arial" w:cs="Arial"/>
                <w:b/>
              </w:rPr>
              <w:t>1</w:t>
            </w:r>
          </w:p>
        </w:tc>
        <w:tc>
          <w:tcPr>
            <w:tcW w:w="10146" w:type="dxa"/>
          </w:tcPr>
          <w:p w14:paraId="7EDCD37D" w14:textId="77777777" w:rsidR="00374832" w:rsidRPr="001B5219" w:rsidRDefault="00374832" w:rsidP="00994680">
            <w:pPr>
              <w:jc w:val="both"/>
              <w:rPr>
                <w:rFonts w:ascii="Arial" w:hAnsi="Arial" w:cs="Arial"/>
                <w:b/>
                <w:lang w:val="es-ES_tradnl"/>
              </w:rPr>
            </w:pPr>
            <w:r>
              <w:rPr>
                <w:rFonts w:ascii="Arial" w:hAnsi="Arial" w:cs="Arial"/>
                <w:b/>
                <w:lang w:val="es-ES_tradnl"/>
              </w:rPr>
              <w:t xml:space="preserve">Se sigue observando corrección de errores del periodo contable anterior. </w:t>
            </w:r>
            <w:r w:rsidRPr="001B5219">
              <w:rPr>
                <w:rFonts w:ascii="Arial" w:hAnsi="Arial" w:cs="Arial"/>
                <w:b/>
                <w:lang w:val="es-ES_tradnl"/>
              </w:rPr>
              <w:t xml:space="preserve">Estos errores, </w:t>
            </w:r>
            <w:proofErr w:type="gramStart"/>
            <w:r w:rsidRPr="001B5219">
              <w:rPr>
                <w:rFonts w:ascii="Arial" w:hAnsi="Arial" w:cs="Arial"/>
                <w:b/>
                <w:lang w:val="es-ES_tradnl"/>
              </w:rPr>
              <w:t>le</w:t>
            </w:r>
            <w:proofErr w:type="gramEnd"/>
            <w:r w:rsidRPr="001B5219">
              <w:rPr>
                <w:rFonts w:ascii="Arial" w:hAnsi="Arial" w:cs="Arial"/>
                <w:b/>
                <w:lang w:val="es-ES_tradnl"/>
              </w:rPr>
              <w:t xml:space="preserve"> quitan razonabilidad a los estados financieros aprobados para la vigencia 202</w:t>
            </w:r>
            <w:r>
              <w:rPr>
                <w:rFonts w:ascii="Arial" w:hAnsi="Arial" w:cs="Arial"/>
                <w:b/>
                <w:lang w:val="es-ES_tradnl"/>
              </w:rPr>
              <w:t>4</w:t>
            </w:r>
            <w:r w:rsidRPr="001B5219">
              <w:rPr>
                <w:rFonts w:ascii="Arial" w:hAnsi="Arial" w:cs="Arial"/>
                <w:b/>
                <w:lang w:val="es-ES_tradnl"/>
              </w:rPr>
              <w:t>.</w:t>
            </w:r>
          </w:p>
        </w:tc>
      </w:tr>
      <w:tr w:rsidR="00374832" w:rsidRPr="003A1EE7" w14:paraId="43F44711" w14:textId="77777777" w:rsidTr="007D517D">
        <w:tc>
          <w:tcPr>
            <w:tcW w:w="441" w:type="dxa"/>
          </w:tcPr>
          <w:p w14:paraId="3973D6E5" w14:textId="77777777" w:rsidR="00374832" w:rsidRPr="001B5219" w:rsidRDefault="00374832" w:rsidP="00994680">
            <w:pPr>
              <w:jc w:val="center"/>
              <w:rPr>
                <w:rFonts w:ascii="Arial" w:hAnsi="Arial" w:cs="Arial"/>
                <w:b/>
              </w:rPr>
            </w:pPr>
            <w:r>
              <w:rPr>
                <w:rFonts w:ascii="Arial" w:hAnsi="Arial" w:cs="Arial"/>
                <w:b/>
              </w:rPr>
              <w:t>2</w:t>
            </w:r>
          </w:p>
        </w:tc>
        <w:tc>
          <w:tcPr>
            <w:tcW w:w="10146" w:type="dxa"/>
          </w:tcPr>
          <w:p w14:paraId="2C07D7F3" w14:textId="77777777" w:rsidR="00374832" w:rsidRDefault="00374832" w:rsidP="00994680">
            <w:pPr>
              <w:jc w:val="both"/>
              <w:rPr>
                <w:rFonts w:ascii="Arial" w:hAnsi="Arial" w:cs="Arial"/>
                <w:b/>
                <w:lang w:val="es-ES_tradnl"/>
              </w:rPr>
            </w:pPr>
            <w:r w:rsidRPr="0035039A">
              <w:rPr>
                <w:rFonts w:ascii="Arial" w:eastAsia="Calibri" w:hAnsi="Arial" w:cs="Arial"/>
                <w:b/>
              </w:rPr>
              <w:t xml:space="preserve">DEPURACIÓN DE OPERACIONES RECIPROCAS. </w:t>
            </w:r>
            <w:r w:rsidRPr="0035039A">
              <w:rPr>
                <w:rFonts w:ascii="Arial" w:eastAsia="Calibri" w:hAnsi="Arial" w:cs="Arial"/>
              </w:rPr>
              <w:t>Las entidades informan que este proceso no culmina en una conciliación del cien por ciento (100%) de las partidas. Esto obedece a que no se recibe respuesta oportuna de las entidades involucradas en el proceso, por lo cual no se pueden identificar los ajustes a realizar antes del cierre contable. En otros casos no hay información.</w:t>
            </w:r>
          </w:p>
        </w:tc>
      </w:tr>
      <w:tr w:rsidR="00374832" w:rsidRPr="003A1EE7" w14:paraId="3F4BF619" w14:textId="77777777" w:rsidTr="007D517D">
        <w:tc>
          <w:tcPr>
            <w:tcW w:w="441" w:type="dxa"/>
          </w:tcPr>
          <w:p w14:paraId="0D571D16" w14:textId="77777777" w:rsidR="00374832" w:rsidRDefault="00374832" w:rsidP="00994680">
            <w:pPr>
              <w:jc w:val="center"/>
              <w:rPr>
                <w:rFonts w:ascii="Arial" w:hAnsi="Arial" w:cs="Arial"/>
                <w:b/>
              </w:rPr>
            </w:pPr>
            <w:r>
              <w:rPr>
                <w:rFonts w:ascii="Arial" w:hAnsi="Arial" w:cs="Arial"/>
                <w:b/>
              </w:rPr>
              <w:t>3</w:t>
            </w:r>
          </w:p>
        </w:tc>
        <w:tc>
          <w:tcPr>
            <w:tcW w:w="10146" w:type="dxa"/>
          </w:tcPr>
          <w:p w14:paraId="62039A86" w14:textId="77777777" w:rsidR="00374832" w:rsidRPr="0035039A" w:rsidRDefault="00374832" w:rsidP="00994680">
            <w:pPr>
              <w:jc w:val="both"/>
              <w:rPr>
                <w:rFonts w:ascii="Arial" w:eastAsia="Calibri" w:hAnsi="Arial" w:cs="Arial"/>
                <w:b/>
              </w:rPr>
            </w:pPr>
            <w:r>
              <w:rPr>
                <w:rFonts w:ascii="Arial" w:eastAsia="Calibri" w:hAnsi="Arial" w:cs="Arial"/>
                <w:b/>
              </w:rPr>
              <w:t>Se siguen observando cuentas por cobrar con elevada antigüedad por concepto de incapacidades ante las EPS y las ARL.</w:t>
            </w:r>
          </w:p>
        </w:tc>
      </w:tr>
      <w:tr w:rsidR="00374832" w:rsidRPr="003A1EE7" w14:paraId="5989C098" w14:textId="77777777" w:rsidTr="007D517D">
        <w:tc>
          <w:tcPr>
            <w:tcW w:w="441" w:type="dxa"/>
          </w:tcPr>
          <w:p w14:paraId="602CFABE" w14:textId="77777777" w:rsidR="00374832" w:rsidRDefault="00374832" w:rsidP="00994680">
            <w:pPr>
              <w:jc w:val="center"/>
              <w:rPr>
                <w:rFonts w:ascii="Arial" w:hAnsi="Arial" w:cs="Arial"/>
                <w:b/>
              </w:rPr>
            </w:pPr>
            <w:r>
              <w:rPr>
                <w:rFonts w:ascii="Arial" w:hAnsi="Arial" w:cs="Arial"/>
                <w:b/>
              </w:rPr>
              <w:t>4</w:t>
            </w:r>
          </w:p>
        </w:tc>
        <w:tc>
          <w:tcPr>
            <w:tcW w:w="10146" w:type="dxa"/>
          </w:tcPr>
          <w:p w14:paraId="389C26D0" w14:textId="77777777" w:rsidR="00374832" w:rsidRPr="0035039A" w:rsidRDefault="00374832" w:rsidP="00994680">
            <w:pPr>
              <w:jc w:val="both"/>
              <w:rPr>
                <w:rFonts w:ascii="Arial" w:eastAsia="Calibri" w:hAnsi="Arial" w:cs="Arial"/>
                <w:b/>
              </w:rPr>
            </w:pPr>
            <w:r>
              <w:rPr>
                <w:rFonts w:ascii="Arial" w:eastAsia="Calibri" w:hAnsi="Arial" w:cs="Arial"/>
                <w:b/>
              </w:rPr>
              <w:t>Se observan convenios no ejecutados.</w:t>
            </w:r>
          </w:p>
        </w:tc>
      </w:tr>
      <w:tr w:rsidR="00374832" w:rsidRPr="003A1EE7" w14:paraId="191931B8" w14:textId="77777777" w:rsidTr="007D517D">
        <w:tc>
          <w:tcPr>
            <w:tcW w:w="441" w:type="dxa"/>
          </w:tcPr>
          <w:p w14:paraId="14AE688E" w14:textId="77777777" w:rsidR="00374832" w:rsidRDefault="00374832" w:rsidP="00994680">
            <w:pPr>
              <w:jc w:val="center"/>
              <w:rPr>
                <w:rFonts w:ascii="Arial" w:hAnsi="Arial" w:cs="Arial"/>
                <w:b/>
              </w:rPr>
            </w:pPr>
            <w:r>
              <w:rPr>
                <w:rFonts w:ascii="Arial" w:hAnsi="Arial" w:cs="Arial"/>
                <w:b/>
              </w:rPr>
              <w:t>5</w:t>
            </w:r>
          </w:p>
        </w:tc>
        <w:tc>
          <w:tcPr>
            <w:tcW w:w="10146" w:type="dxa"/>
          </w:tcPr>
          <w:p w14:paraId="01EDC131" w14:textId="77777777" w:rsidR="00374832" w:rsidRPr="0035039A" w:rsidRDefault="00374832" w:rsidP="00994680">
            <w:pPr>
              <w:jc w:val="both"/>
              <w:rPr>
                <w:rFonts w:ascii="Arial" w:eastAsia="Calibri" w:hAnsi="Arial" w:cs="Arial"/>
                <w:b/>
              </w:rPr>
            </w:pPr>
            <w:r>
              <w:rPr>
                <w:rFonts w:ascii="Arial" w:eastAsia="Calibri" w:hAnsi="Arial" w:cs="Arial"/>
                <w:b/>
              </w:rPr>
              <w:t>Se observan bienes no ingresados oportunamente a los inventarios.</w:t>
            </w:r>
          </w:p>
        </w:tc>
      </w:tr>
      <w:tr w:rsidR="00374832" w:rsidRPr="003A1EE7" w14:paraId="24A96EFC" w14:textId="77777777" w:rsidTr="007D517D">
        <w:tc>
          <w:tcPr>
            <w:tcW w:w="441" w:type="dxa"/>
          </w:tcPr>
          <w:p w14:paraId="76952D2B" w14:textId="659AFEB0" w:rsidR="00374832" w:rsidRDefault="007D517D" w:rsidP="00994680">
            <w:pPr>
              <w:jc w:val="center"/>
              <w:rPr>
                <w:rFonts w:ascii="Arial" w:hAnsi="Arial" w:cs="Arial"/>
                <w:b/>
              </w:rPr>
            </w:pPr>
            <w:r>
              <w:rPr>
                <w:rFonts w:ascii="Arial" w:hAnsi="Arial" w:cs="Arial"/>
                <w:b/>
              </w:rPr>
              <w:t>6</w:t>
            </w:r>
          </w:p>
        </w:tc>
        <w:tc>
          <w:tcPr>
            <w:tcW w:w="10146" w:type="dxa"/>
          </w:tcPr>
          <w:p w14:paraId="53F2CCD8" w14:textId="77777777" w:rsidR="00374832" w:rsidRPr="0035039A" w:rsidRDefault="00374832" w:rsidP="00994680">
            <w:pPr>
              <w:jc w:val="both"/>
              <w:rPr>
                <w:rFonts w:ascii="Arial" w:eastAsia="Calibri" w:hAnsi="Arial" w:cs="Arial"/>
                <w:b/>
              </w:rPr>
            </w:pPr>
            <w:r>
              <w:rPr>
                <w:rFonts w:ascii="Arial" w:eastAsia="Calibri" w:hAnsi="Arial" w:cs="Arial"/>
                <w:b/>
              </w:rPr>
              <w:t>Se observan recursos a favor de terceros por falta de identificación de los terceros que realizaron la operación.</w:t>
            </w:r>
          </w:p>
        </w:tc>
      </w:tr>
      <w:tr w:rsidR="007D517D" w:rsidRPr="003A1EE7" w14:paraId="1E962155" w14:textId="77777777" w:rsidTr="007D517D">
        <w:tc>
          <w:tcPr>
            <w:tcW w:w="441" w:type="dxa"/>
          </w:tcPr>
          <w:p w14:paraId="13137E56" w14:textId="312D8E01" w:rsidR="007D517D" w:rsidRDefault="007D517D" w:rsidP="007D517D">
            <w:pPr>
              <w:jc w:val="center"/>
              <w:rPr>
                <w:rFonts w:ascii="Arial" w:hAnsi="Arial" w:cs="Arial"/>
                <w:b/>
              </w:rPr>
            </w:pPr>
            <w:r>
              <w:rPr>
                <w:rFonts w:ascii="Arial" w:hAnsi="Arial" w:cs="Arial"/>
                <w:b/>
              </w:rPr>
              <w:t>7</w:t>
            </w:r>
          </w:p>
        </w:tc>
        <w:tc>
          <w:tcPr>
            <w:tcW w:w="10146" w:type="dxa"/>
          </w:tcPr>
          <w:p w14:paraId="6DE252FA" w14:textId="77777777" w:rsidR="007D517D" w:rsidRPr="0035039A" w:rsidRDefault="007D517D" w:rsidP="007D517D">
            <w:pPr>
              <w:jc w:val="both"/>
              <w:rPr>
                <w:rFonts w:ascii="Arial" w:eastAsia="Calibri" w:hAnsi="Arial" w:cs="Arial"/>
                <w:b/>
              </w:rPr>
            </w:pPr>
            <w:r>
              <w:rPr>
                <w:rFonts w:ascii="Arial" w:eastAsia="Calibri" w:hAnsi="Arial" w:cs="Arial"/>
                <w:b/>
              </w:rPr>
              <w:t>Se observan documentos de recaudo por identificar.</w:t>
            </w:r>
          </w:p>
        </w:tc>
      </w:tr>
      <w:tr w:rsidR="007D517D" w:rsidRPr="003A1EE7" w14:paraId="3EC2AAF3" w14:textId="77777777" w:rsidTr="007D517D">
        <w:tc>
          <w:tcPr>
            <w:tcW w:w="441" w:type="dxa"/>
          </w:tcPr>
          <w:p w14:paraId="00896B90" w14:textId="3BAD7A8E" w:rsidR="007D517D" w:rsidRDefault="007D517D" w:rsidP="007D517D">
            <w:pPr>
              <w:jc w:val="center"/>
              <w:rPr>
                <w:rFonts w:ascii="Arial" w:hAnsi="Arial" w:cs="Arial"/>
                <w:b/>
              </w:rPr>
            </w:pPr>
            <w:r>
              <w:rPr>
                <w:rFonts w:ascii="Arial" w:hAnsi="Arial" w:cs="Arial"/>
                <w:b/>
              </w:rPr>
              <w:t>8</w:t>
            </w:r>
          </w:p>
        </w:tc>
        <w:tc>
          <w:tcPr>
            <w:tcW w:w="10146" w:type="dxa"/>
          </w:tcPr>
          <w:p w14:paraId="32F010D6" w14:textId="77777777" w:rsidR="007D517D" w:rsidRPr="00B96306" w:rsidRDefault="007D517D" w:rsidP="007D517D">
            <w:pPr>
              <w:jc w:val="both"/>
              <w:rPr>
                <w:rFonts w:ascii="Arial" w:eastAsia="Calibri" w:hAnsi="Arial" w:cs="Arial"/>
                <w:b/>
              </w:rPr>
            </w:pPr>
            <w:r>
              <w:rPr>
                <w:rFonts w:ascii="Arial" w:hAnsi="Arial" w:cs="Arial"/>
                <w:b/>
              </w:rPr>
              <w:t>En la DIAN se siguen observando f</w:t>
            </w:r>
            <w:r w:rsidRPr="00B96306">
              <w:rPr>
                <w:rFonts w:ascii="Arial" w:hAnsi="Arial" w:cs="Arial"/>
                <w:b/>
              </w:rPr>
              <w:t>altante de bienes aprehendidos o incautados</w:t>
            </w:r>
            <w:r>
              <w:rPr>
                <w:rFonts w:ascii="Arial" w:hAnsi="Arial" w:cs="Arial"/>
                <w:b/>
              </w:rPr>
              <w:t xml:space="preserve"> con elevada antigüedad.</w:t>
            </w:r>
          </w:p>
        </w:tc>
      </w:tr>
      <w:tr w:rsidR="007D517D" w:rsidRPr="003A1EE7" w14:paraId="0D5FCEC8" w14:textId="77777777" w:rsidTr="007D517D">
        <w:tc>
          <w:tcPr>
            <w:tcW w:w="441" w:type="dxa"/>
          </w:tcPr>
          <w:p w14:paraId="4D24FD03" w14:textId="09436A4A" w:rsidR="007D517D" w:rsidRDefault="007D517D" w:rsidP="007D517D">
            <w:pPr>
              <w:jc w:val="center"/>
              <w:rPr>
                <w:rFonts w:ascii="Arial" w:hAnsi="Arial" w:cs="Arial"/>
                <w:b/>
              </w:rPr>
            </w:pPr>
            <w:r>
              <w:rPr>
                <w:rFonts w:ascii="Arial" w:hAnsi="Arial" w:cs="Arial"/>
                <w:b/>
              </w:rPr>
              <w:t>9</w:t>
            </w:r>
          </w:p>
        </w:tc>
        <w:tc>
          <w:tcPr>
            <w:tcW w:w="10146" w:type="dxa"/>
          </w:tcPr>
          <w:p w14:paraId="1F0B3E40" w14:textId="77777777" w:rsidR="007D517D" w:rsidRDefault="007D517D" w:rsidP="007D517D">
            <w:pPr>
              <w:jc w:val="both"/>
              <w:rPr>
                <w:rFonts w:ascii="Arial" w:eastAsia="Calibri" w:hAnsi="Arial" w:cs="Arial"/>
                <w:b/>
              </w:rPr>
            </w:pPr>
            <w:r>
              <w:rPr>
                <w:rFonts w:ascii="Arial" w:eastAsia="Calibri" w:hAnsi="Arial" w:cs="Arial"/>
                <w:b/>
              </w:rPr>
              <w:t>Se observan cuentas por cobrar de difícil recaudo deterioradas al 100%.</w:t>
            </w:r>
          </w:p>
        </w:tc>
      </w:tr>
      <w:tr w:rsidR="007D517D" w:rsidRPr="003A1EE7" w14:paraId="5FAB79F6" w14:textId="77777777" w:rsidTr="007D517D">
        <w:tc>
          <w:tcPr>
            <w:tcW w:w="441" w:type="dxa"/>
          </w:tcPr>
          <w:p w14:paraId="2F8C849B" w14:textId="7A513E0B" w:rsidR="007D517D" w:rsidRDefault="007D517D" w:rsidP="007D517D">
            <w:pPr>
              <w:jc w:val="center"/>
              <w:rPr>
                <w:rFonts w:ascii="Arial" w:hAnsi="Arial" w:cs="Arial"/>
                <w:b/>
              </w:rPr>
            </w:pPr>
            <w:r>
              <w:rPr>
                <w:rFonts w:ascii="Arial" w:hAnsi="Arial" w:cs="Arial"/>
                <w:b/>
              </w:rPr>
              <w:t>10</w:t>
            </w:r>
          </w:p>
        </w:tc>
        <w:tc>
          <w:tcPr>
            <w:tcW w:w="10146" w:type="dxa"/>
          </w:tcPr>
          <w:p w14:paraId="3CC7FFC2" w14:textId="77777777" w:rsidR="007D517D" w:rsidRDefault="007D517D" w:rsidP="007D517D">
            <w:pPr>
              <w:jc w:val="both"/>
              <w:rPr>
                <w:rFonts w:ascii="Arial" w:eastAsia="Calibri" w:hAnsi="Arial" w:cs="Arial"/>
                <w:b/>
              </w:rPr>
            </w:pPr>
            <w:r>
              <w:rPr>
                <w:rFonts w:ascii="Arial" w:eastAsia="Calibri" w:hAnsi="Arial" w:cs="Arial"/>
                <w:b/>
              </w:rPr>
              <w:t>En el Instituto Nacional de Salud, se observan cuentas por pagar por falta de PAC.</w:t>
            </w:r>
          </w:p>
        </w:tc>
      </w:tr>
      <w:tr w:rsidR="007D517D" w:rsidRPr="003A1EE7" w14:paraId="7C4C0664" w14:textId="77777777" w:rsidTr="007D517D">
        <w:tc>
          <w:tcPr>
            <w:tcW w:w="441" w:type="dxa"/>
          </w:tcPr>
          <w:p w14:paraId="5072ACF4" w14:textId="19C62FCC" w:rsidR="007D517D" w:rsidRDefault="007D517D" w:rsidP="007D517D">
            <w:pPr>
              <w:jc w:val="center"/>
              <w:rPr>
                <w:rFonts w:ascii="Arial" w:hAnsi="Arial" w:cs="Arial"/>
                <w:b/>
              </w:rPr>
            </w:pPr>
            <w:r>
              <w:rPr>
                <w:rFonts w:ascii="Arial" w:hAnsi="Arial" w:cs="Arial"/>
                <w:b/>
              </w:rPr>
              <w:t>11</w:t>
            </w:r>
          </w:p>
        </w:tc>
        <w:tc>
          <w:tcPr>
            <w:tcW w:w="10146" w:type="dxa"/>
          </w:tcPr>
          <w:p w14:paraId="5A61FDA2" w14:textId="77777777" w:rsidR="007D517D" w:rsidRDefault="007D517D" w:rsidP="007D517D">
            <w:pPr>
              <w:jc w:val="both"/>
              <w:rPr>
                <w:rFonts w:ascii="Arial" w:eastAsia="Calibri" w:hAnsi="Arial" w:cs="Arial"/>
                <w:b/>
              </w:rPr>
            </w:pPr>
            <w:r w:rsidRPr="00066B04">
              <w:rPr>
                <w:rFonts w:ascii="Arial" w:hAnsi="Arial" w:cs="Arial"/>
                <w:b/>
                <w:bCs/>
              </w:rPr>
              <w:t>Se observan cuentas por cobrar con calificación D: Riesgo Significativo y E: Riesgo de Incobrabilidad</w:t>
            </w:r>
            <w:r>
              <w:rPr>
                <w:rFonts w:ascii="Arial" w:hAnsi="Arial" w:cs="Arial"/>
                <w:b/>
                <w:bCs/>
              </w:rPr>
              <w:t xml:space="preserve">. </w:t>
            </w:r>
            <w:r>
              <w:rPr>
                <w:rFonts w:ascii="Arial" w:hAnsi="Arial" w:cs="Arial"/>
              </w:rPr>
              <w:t xml:space="preserve"> </w:t>
            </w:r>
            <w:r w:rsidRPr="00066B04">
              <w:rPr>
                <w:rFonts w:ascii="Arial" w:hAnsi="Arial" w:cs="Arial"/>
                <w:b/>
                <w:bCs/>
              </w:rPr>
              <w:t>(Icetex).</w:t>
            </w:r>
          </w:p>
        </w:tc>
      </w:tr>
      <w:tr w:rsidR="007D517D" w:rsidRPr="003A1EE7" w14:paraId="6306AAE0" w14:textId="77777777" w:rsidTr="007D517D">
        <w:tc>
          <w:tcPr>
            <w:tcW w:w="441" w:type="dxa"/>
          </w:tcPr>
          <w:p w14:paraId="0B9E22AB" w14:textId="63246C11" w:rsidR="007D517D" w:rsidRDefault="007D517D" w:rsidP="007D517D">
            <w:pPr>
              <w:jc w:val="center"/>
              <w:rPr>
                <w:rFonts w:ascii="Arial" w:hAnsi="Arial" w:cs="Arial"/>
                <w:b/>
              </w:rPr>
            </w:pPr>
            <w:r>
              <w:rPr>
                <w:rFonts w:ascii="Arial" w:hAnsi="Arial" w:cs="Arial"/>
                <w:b/>
              </w:rPr>
              <w:t>12</w:t>
            </w:r>
          </w:p>
        </w:tc>
        <w:tc>
          <w:tcPr>
            <w:tcW w:w="10146" w:type="dxa"/>
          </w:tcPr>
          <w:p w14:paraId="4CA4A2CF" w14:textId="77777777" w:rsidR="007D517D" w:rsidRDefault="007D517D" w:rsidP="007D517D">
            <w:pPr>
              <w:jc w:val="both"/>
              <w:rPr>
                <w:rFonts w:ascii="Arial" w:eastAsia="Calibri" w:hAnsi="Arial" w:cs="Arial"/>
                <w:b/>
              </w:rPr>
            </w:pPr>
            <w:r w:rsidRPr="00B241D2">
              <w:rPr>
                <w:rFonts w:ascii="Arial" w:hAnsi="Arial" w:cs="Arial"/>
                <w:b/>
                <w:bCs/>
                <w:color w:val="000000" w:themeColor="text1"/>
              </w:rPr>
              <w:t>En la Superintendencia de industria y C0mercio se tienen partidas conciliatorias en el efectivo</w:t>
            </w:r>
            <w:r>
              <w:rPr>
                <w:rFonts w:ascii="Arial" w:hAnsi="Arial" w:cs="Arial"/>
                <w:b/>
                <w:bCs/>
                <w:color w:val="000000" w:themeColor="text1"/>
              </w:rPr>
              <w:t xml:space="preserve"> </w:t>
            </w:r>
            <w:r w:rsidRPr="00B241D2">
              <w:rPr>
                <w:rFonts w:ascii="Arial" w:hAnsi="Arial" w:cs="Arial"/>
                <w:b/>
                <w:bCs/>
                <w:color w:val="000000" w:themeColor="text1"/>
              </w:rPr>
              <w:t>a 31 de diciembre de 202</w:t>
            </w:r>
            <w:r>
              <w:rPr>
                <w:rFonts w:ascii="Arial" w:hAnsi="Arial" w:cs="Arial"/>
                <w:b/>
                <w:bCs/>
                <w:color w:val="000000" w:themeColor="text1"/>
              </w:rPr>
              <w:t>4</w:t>
            </w:r>
            <w:r w:rsidRPr="003A1EE7">
              <w:rPr>
                <w:rFonts w:ascii="Arial" w:hAnsi="Arial" w:cs="Arial"/>
                <w:color w:val="FF0000"/>
              </w:rPr>
              <w:t>.</w:t>
            </w:r>
          </w:p>
        </w:tc>
      </w:tr>
      <w:tr w:rsidR="007D517D" w:rsidRPr="003A1EE7" w14:paraId="11C5727A" w14:textId="77777777" w:rsidTr="007D517D">
        <w:tc>
          <w:tcPr>
            <w:tcW w:w="441" w:type="dxa"/>
          </w:tcPr>
          <w:p w14:paraId="11D63EC0" w14:textId="0752A28B" w:rsidR="007D517D" w:rsidRDefault="007D517D" w:rsidP="007D517D">
            <w:pPr>
              <w:jc w:val="center"/>
              <w:rPr>
                <w:rFonts w:ascii="Arial" w:hAnsi="Arial" w:cs="Arial"/>
                <w:b/>
              </w:rPr>
            </w:pPr>
            <w:r>
              <w:rPr>
                <w:rFonts w:ascii="Arial" w:hAnsi="Arial" w:cs="Arial"/>
                <w:b/>
              </w:rPr>
              <w:t>13</w:t>
            </w:r>
          </w:p>
        </w:tc>
        <w:tc>
          <w:tcPr>
            <w:tcW w:w="10146" w:type="dxa"/>
          </w:tcPr>
          <w:p w14:paraId="63320A63" w14:textId="77777777" w:rsidR="007D517D" w:rsidRDefault="007D517D" w:rsidP="007D517D">
            <w:pPr>
              <w:ind w:right="-234"/>
              <w:jc w:val="both"/>
              <w:rPr>
                <w:rFonts w:ascii="Arial" w:eastAsia="Calibri" w:hAnsi="Arial" w:cs="Arial"/>
                <w:b/>
              </w:rPr>
            </w:pPr>
            <w:r>
              <w:rPr>
                <w:rFonts w:ascii="Arial" w:eastAsia="Calibri" w:hAnsi="Arial" w:cs="Arial"/>
                <w:b/>
              </w:rPr>
              <w:t>Se observan incapacidades por cobrar a las diferentes EPS.</w:t>
            </w:r>
          </w:p>
        </w:tc>
      </w:tr>
      <w:tr w:rsidR="007D517D" w:rsidRPr="003A1EE7" w14:paraId="07A13F6E" w14:textId="77777777" w:rsidTr="007D517D">
        <w:tc>
          <w:tcPr>
            <w:tcW w:w="441" w:type="dxa"/>
          </w:tcPr>
          <w:p w14:paraId="5EC5651F" w14:textId="08326439" w:rsidR="007D517D" w:rsidRDefault="007D517D" w:rsidP="007D517D">
            <w:pPr>
              <w:jc w:val="center"/>
              <w:rPr>
                <w:rFonts w:ascii="Arial" w:hAnsi="Arial" w:cs="Arial"/>
                <w:b/>
              </w:rPr>
            </w:pPr>
            <w:r>
              <w:rPr>
                <w:rFonts w:ascii="Arial" w:hAnsi="Arial" w:cs="Arial"/>
                <w:b/>
              </w:rPr>
              <w:t>14</w:t>
            </w:r>
          </w:p>
        </w:tc>
        <w:tc>
          <w:tcPr>
            <w:tcW w:w="10146" w:type="dxa"/>
          </w:tcPr>
          <w:p w14:paraId="55C535F2" w14:textId="77777777" w:rsidR="007D517D" w:rsidRDefault="007D517D" w:rsidP="007D517D">
            <w:pPr>
              <w:jc w:val="both"/>
              <w:rPr>
                <w:rFonts w:ascii="Arial" w:hAnsi="Arial" w:cs="Arial"/>
                <w:b/>
                <w:lang w:val="es-MX"/>
              </w:rPr>
            </w:pPr>
            <w:r>
              <w:rPr>
                <w:rFonts w:ascii="Arial" w:hAnsi="Arial" w:cs="Arial"/>
                <w:b/>
                <w:lang w:val="es-MX"/>
              </w:rPr>
              <w:t xml:space="preserve">El </w:t>
            </w:r>
            <w:r w:rsidRPr="00A0084A">
              <w:rPr>
                <w:rFonts w:ascii="Arial" w:hAnsi="Arial" w:cs="Arial"/>
                <w:b/>
                <w:lang w:val="es-MX"/>
              </w:rPr>
              <w:t xml:space="preserve">INSTITUTO NACIONAL DE VÍAS </w:t>
            </w:r>
            <w:r>
              <w:rPr>
                <w:rFonts w:ascii="Arial" w:hAnsi="Arial" w:cs="Arial"/>
                <w:b/>
                <w:lang w:val="es-MX"/>
              </w:rPr>
              <w:t>–</w:t>
            </w:r>
            <w:r w:rsidRPr="00A0084A">
              <w:rPr>
                <w:rFonts w:ascii="Arial" w:hAnsi="Arial" w:cs="Arial"/>
                <w:b/>
                <w:lang w:val="es-MX"/>
              </w:rPr>
              <w:t xml:space="preserve"> INVÍAS</w:t>
            </w:r>
            <w:r>
              <w:rPr>
                <w:rFonts w:ascii="Arial" w:hAnsi="Arial" w:cs="Arial"/>
                <w:b/>
                <w:lang w:val="es-MX"/>
              </w:rPr>
              <w:t xml:space="preserve"> informa lo siguiente:</w:t>
            </w:r>
          </w:p>
          <w:p w14:paraId="09B35D09" w14:textId="77777777" w:rsidR="007D517D" w:rsidRDefault="007D517D" w:rsidP="007D517D">
            <w:pPr>
              <w:jc w:val="both"/>
              <w:rPr>
                <w:rFonts w:ascii="Arial" w:hAnsi="Arial" w:cs="Arial"/>
                <w:b/>
                <w:lang w:val="es-MX"/>
              </w:rPr>
            </w:pPr>
          </w:p>
          <w:p w14:paraId="4104C6C3" w14:textId="77777777" w:rsidR="007D517D" w:rsidRPr="00E15D9C" w:rsidRDefault="007D517D" w:rsidP="007D517D">
            <w:pPr>
              <w:pStyle w:val="Textoindependiente"/>
              <w:jc w:val="both"/>
              <w:rPr>
                <w:rFonts w:ascii="Arial" w:hAnsi="Arial" w:cs="Arial"/>
                <w:bCs/>
              </w:rPr>
            </w:pPr>
            <w:r w:rsidRPr="00E15D9C">
              <w:rPr>
                <w:rFonts w:ascii="Arial" w:hAnsi="Arial" w:cs="Arial"/>
                <w:bCs/>
              </w:rPr>
              <w:t>Las principales limitaciones que afectan el proceso contable desarrollado por el INVIAS se refieren, entre otras, a las situaciones que se relacionan a continuación:</w:t>
            </w:r>
          </w:p>
          <w:p w14:paraId="6F49EBEC" w14:textId="77777777" w:rsidR="007D517D" w:rsidRPr="00E15D9C" w:rsidRDefault="007D517D" w:rsidP="007D517D">
            <w:pPr>
              <w:pStyle w:val="Textoindependiente"/>
              <w:jc w:val="both"/>
              <w:rPr>
                <w:rFonts w:ascii="Arial" w:hAnsi="Arial" w:cs="Arial"/>
                <w:bCs/>
              </w:rPr>
            </w:pPr>
          </w:p>
          <w:p w14:paraId="01ECA8B6" w14:textId="77777777" w:rsidR="007D517D" w:rsidRPr="00E15D9C" w:rsidRDefault="007D517D" w:rsidP="007D517D">
            <w:pPr>
              <w:pStyle w:val="Textoindependiente"/>
              <w:numPr>
                <w:ilvl w:val="0"/>
                <w:numId w:val="49"/>
              </w:numPr>
              <w:jc w:val="both"/>
              <w:rPr>
                <w:rFonts w:ascii="Arial" w:hAnsi="Arial" w:cs="Arial"/>
                <w:bCs/>
              </w:rPr>
            </w:pPr>
            <w:r w:rsidRPr="00E15D9C">
              <w:rPr>
                <w:rFonts w:ascii="Arial" w:hAnsi="Arial" w:cs="Arial"/>
                <w:bCs/>
              </w:rPr>
              <w:t>Dependencia de la gestión que debe realizar la Agencia Nacional de Infraestructura ANI para suministrar la información requerida para la incorporación al sistema contable del INVIAS de las infraestructuras de transporte revertidas por los concesionarios una vez finalizan los contratos suscritos por estos con la ANI; es decir, que se trata de una actividad que no se encuentra bajo la gobernabilidad de este Instituto.</w:t>
            </w:r>
          </w:p>
          <w:p w14:paraId="6F10F7DA" w14:textId="77777777" w:rsidR="007D517D" w:rsidRPr="00E15D9C" w:rsidRDefault="007D517D" w:rsidP="007D517D">
            <w:pPr>
              <w:pStyle w:val="Textoindependiente"/>
              <w:jc w:val="both"/>
              <w:rPr>
                <w:rFonts w:ascii="Arial" w:hAnsi="Arial" w:cs="Arial"/>
                <w:bCs/>
              </w:rPr>
            </w:pPr>
          </w:p>
          <w:p w14:paraId="790146B4" w14:textId="77777777" w:rsidR="007D517D" w:rsidRPr="00E15D9C" w:rsidRDefault="007D517D" w:rsidP="007D517D">
            <w:pPr>
              <w:pStyle w:val="Textoindependiente"/>
              <w:numPr>
                <w:ilvl w:val="0"/>
                <w:numId w:val="49"/>
              </w:numPr>
              <w:jc w:val="both"/>
              <w:rPr>
                <w:rFonts w:ascii="Arial" w:hAnsi="Arial" w:cs="Arial"/>
                <w:bCs/>
              </w:rPr>
            </w:pPr>
            <w:r w:rsidRPr="00E15D9C">
              <w:rPr>
                <w:rFonts w:ascii="Arial" w:hAnsi="Arial" w:cs="Arial"/>
                <w:bCs/>
              </w:rPr>
              <w:lastRenderedPageBreak/>
              <w:t>Restricciones en la identificación y valoración masiva de los terrenos que hacen parte de las infraestructuras de transporte, para los cuales no fue posible su individualización e incorporación a la “Base Única de Predios del INVIAS” (BUPI), debido a que no se encontró información geográfica, catastral o jurídica disponible, luego de ejecutar todas las acciones investigativas posibles para lograr su identificación y registro en ese inventario. (Ver Nota 38 Depuración de las infraestructuras de Transporte – Resolución 602 de 2018). Lo anterior, siguiendo los criterios previstos para el catastro multipropósito.</w:t>
            </w:r>
          </w:p>
          <w:p w14:paraId="41025682" w14:textId="77777777" w:rsidR="007D517D" w:rsidRPr="00E15D9C" w:rsidRDefault="007D517D" w:rsidP="007D517D">
            <w:pPr>
              <w:pStyle w:val="Textoindependiente"/>
              <w:numPr>
                <w:ilvl w:val="0"/>
                <w:numId w:val="49"/>
              </w:numPr>
              <w:jc w:val="both"/>
              <w:rPr>
                <w:rFonts w:ascii="Arial" w:hAnsi="Arial" w:cs="Arial"/>
                <w:bCs/>
              </w:rPr>
            </w:pPr>
            <w:r w:rsidRPr="00E15D9C">
              <w:rPr>
                <w:rFonts w:ascii="Arial" w:hAnsi="Arial" w:cs="Arial"/>
                <w:bCs/>
              </w:rPr>
              <w:t>Imposibilidad de contar con la información contractual requerida, en especial la ejecución de obras públicas realizada mediante la suscripción de convenios interadministrativos; lo anterior, dado que estas actividades se encuentran a cargo de contratistas de prestación de servicios, que finalizan su relación contractual el 31 de diciembre de cada vigencia fiscal, pudiendo retomarse la gestión de estas actividades, en fecha posterior a la de entrega de los estados financieros. En adición, se tiene el manejo manual de la información de seguimiento contractual, que limita la oportunidad y calidad de la misma.</w:t>
            </w:r>
          </w:p>
          <w:p w14:paraId="11BDA174" w14:textId="77777777" w:rsidR="007D517D" w:rsidRPr="00E15D9C" w:rsidRDefault="007D517D" w:rsidP="007D517D">
            <w:pPr>
              <w:pStyle w:val="Textoindependiente"/>
              <w:jc w:val="both"/>
              <w:rPr>
                <w:rFonts w:ascii="Arial" w:hAnsi="Arial" w:cs="Arial"/>
                <w:bCs/>
              </w:rPr>
            </w:pPr>
          </w:p>
          <w:p w14:paraId="32E7AC05" w14:textId="77777777" w:rsidR="007D517D" w:rsidRPr="00E15D9C" w:rsidRDefault="007D517D" w:rsidP="007D517D">
            <w:pPr>
              <w:pStyle w:val="Textoindependiente"/>
              <w:numPr>
                <w:ilvl w:val="0"/>
                <w:numId w:val="49"/>
              </w:numPr>
              <w:jc w:val="both"/>
              <w:rPr>
                <w:rFonts w:ascii="Arial" w:hAnsi="Arial" w:cs="Arial"/>
                <w:bCs/>
              </w:rPr>
            </w:pPr>
            <w:r w:rsidRPr="00E15D9C">
              <w:rPr>
                <w:rFonts w:ascii="Arial" w:hAnsi="Arial" w:cs="Arial"/>
                <w:bCs/>
              </w:rPr>
              <w:t>La operatividad del Sistema Integrado de Información Financiera SIIF Nación, de obligatorio uso por parte de este Instituto y sobre el cual no se tienen ninguna gobernabilidad, dado que es administrado por el MHCP y parametrizado por la CGN. Este aplicativo, no dispone de desarrollos para el registro en línea y el control automático de las transacciones que no tienen efecto presupuestal; tampoco cuenta con las funcionalidades para integrar módulos o sistemas auxiliares o satélites utilizados por el INVIAS para el control de las operaciones propias de la entidad, no desarrollados en SIIF.</w:t>
            </w:r>
          </w:p>
          <w:p w14:paraId="7CBEFD3A" w14:textId="77777777" w:rsidR="007D517D" w:rsidRPr="00E15D9C" w:rsidRDefault="007D517D" w:rsidP="007D517D">
            <w:pPr>
              <w:pStyle w:val="Textoindependiente"/>
              <w:jc w:val="both"/>
              <w:rPr>
                <w:rFonts w:ascii="Arial" w:hAnsi="Arial" w:cs="Arial"/>
                <w:bCs/>
              </w:rPr>
            </w:pPr>
          </w:p>
          <w:p w14:paraId="460589DD" w14:textId="77777777" w:rsidR="007D517D" w:rsidRPr="00E15D9C" w:rsidRDefault="007D517D" w:rsidP="007D517D">
            <w:pPr>
              <w:pStyle w:val="Textoindependiente"/>
              <w:jc w:val="both"/>
              <w:rPr>
                <w:rFonts w:ascii="Arial" w:hAnsi="Arial" w:cs="Arial"/>
                <w:bCs/>
              </w:rPr>
            </w:pPr>
            <w:r w:rsidRPr="00E15D9C">
              <w:rPr>
                <w:rFonts w:ascii="Arial" w:hAnsi="Arial" w:cs="Arial"/>
                <w:bCs/>
              </w:rPr>
              <w:t>Lo anterior genera una alta carga operativa derivada de la manualidad en la traza de las operaciones, que se lleva en hojas de Excel, diseñadas y definidas de acuerdo a las necesidades identificadas por los responsables de los diferentes tipos de transacciones. En consecuencia, el factor riesgo inherente a la oportunidad y calidad de la información es muy alto, en especial en la etapa de cierre financiero de cada vigencia, que coincide, además, con la menor disponibilidad de recurso humano para apoyar el proceso de cierre financiero.</w:t>
            </w:r>
          </w:p>
          <w:p w14:paraId="5D86BD6C" w14:textId="77777777" w:rsidR="007D517D" w:rsidRPr="00E15D9C" w:rsidRDefault="007D517D" w:rsidP="007D517D">
            <w:pPr>
              <w:pStyle w:val="Textoindependiente"/>
              <w:jc w:val="both"/>
              <w:rPr>
                <w:rFonts w:ascii="Arial" w:hAnsi="Arial" w:cs="Arial"/>
                <w:bCs/>
              </w:rPr>
            </w:pPr>
          </w:p>
          <w:p w14:paraId="151DC5C8" w14:textId="77777777" w:rsidR="007D517D" w:rsidRDefault="007D517D" w:rsidP="007D517D">
            <w:pPr>
              <w:pStyle w:val="Textoindependiente"/>
              <w:jc w:val="both"/>
              <w:rPr>
                <w:rFonts w:ascii="Arial" w:hAnsi="Arial" w:cs="Arial"/>
                <w:bCs/>
              </w:rPr>
            </w:pPr>
            <w:r w:rsidRPr="00E15D9C">
              <w:rPr>
                <w:rFonts w:ascii="Arial" w:hAnsi="Arial" w:cs="Arial"/>
                <w:bCs/>
              </w:rPr>
              <w:t>La magnitud y complejidad de la operación financiera del Instituto, requiere un apoyo integral desde la administración del SIIF, que parta del entendimiento de sus necesidades operativas y el desarrollo de soluciones tecnológicas para el seguimiento y control de las transacciones individuales en línea, en especial las referidas a:</w:t>
            </w:r>
          </w:p>
          <w:p w14:paraId="32395290" w14:textId="77777777" w:rsidR="007D517D" w:rsidRPr="00E15D9C" w:rsidRDefault="007D517D" w:rsidP="007D517D">
            <w:pPr>
              <w:pStyle w:val="Textoindependiente"/>
              <w:jc w:val="both"/>
              <w:rPr>
                <w:rFonts w:ascii="Arial" w:hAnsi="Arial" w:cs="Arial"/>
                <w:bCs/>
              </w:rPr>
            </w:pPr>
          </w:p>
          <w:p w14:paraId="5C212E09" w14:textId="77777777" w:rsidR="007D517D" w:rsidRDefault="007D517D" w:rsidP="007D517D">
            <w:pPr>
              <w:pStyle w:val="Textoindependiente"/>
              <w:numPr>
                <w:ilvl w:val="0"/>
                <w:numId w:val="50"/>
              </w:numPr>
              <w:jc w:val="both"/>
              <w:rPr>
                <w:rFonts w:ascii="Arial" w:hAnsi="Arial" w:cs="Arial"/>
                <w:bCs/>
              </w:rPr>
            </w:pPr>
            <w:r w:rsidRPr="00E15D9C">
              <w:rPr>
                <w:rFonts w:ascii="Arial" w:hAnsi="Arial" w:cs="Arial"/>
                <w:bCs/>
              </w:rPr>
              <w:t>Administración de recursos entregados y/o a través de convenios interadministrativos</w:t>
            </w:r>
            <w:r>
              <w:rPr>
                <w:rFonts w:ascii="Arial" w:hAnsi="Arial" w:cs="Arial"/>
                <w:bCs/>
              </w:rPr>
              <w:t>.</w:t>
            </w:r>
          </w:p>
          <w:p w14:paraId="7FEFF34C" w14:textId="77777777" w:rsidR="007D517D" w:rsidRPr="00E15D9C" w:rsidRDefault="007D517D" w:rsidP="007D517D">
            <w:pPr>
              <w:pStyle w:val="Textoindependiente"/>
              <w:numPr>
                <w:ilvl w:val="0"/>
                <w:numId w:val="50"/>
              </w:numPr>
              <w:jc w:val="both"/>
              <w:rPr>
                <w:rFonts w:ascii="Arial" w:hAnsi="Arial" w:cs="Arial"/>
                <w:bCs/>
              </w:rPr>
            </w:pPr>
            <w:r w:rsidRPr="00E15D9C">
              <w:rPr>
                <w:rFonts w:ascii="Arial" w:hAnsi="Arial" w:cs="Arial"/>
                <w:bCs/>
              </w:rPr>
              <w:t>Registro y seguimiento individualizado a la amortización de anticipos</w:t>
            </w:r>
            <w:r>
              <w:rPr>
                <w:rFonts w:ascii="Arial" w:hAnsi="Arial" w:cs="Arial"/>
                <w:bCs/>
              </w:rPr>
              <w:t>.</w:t>
            </w:r>
          </w:p>
          <w:p w14:paraId="33559742" w14:textId="77777777" w:rsidR="007D517D" w:rsidRPr="00E15D9C" w:rsidRDefault="007D517D" w:rsidP="007D517D">
            <w:pPr>
              <w:pStyle w:val="Textoindependiente"/>
              <w:numPr>
                <w:ilvl w:val="0"/>
                <w:numId w:val="50"/>
              </w:numPr>
              <w:jc w:val="both"/>
              <w:rPr>
                <w:rFonts w:ascii="Arial" w:hAnsi="Arial" w:cs="Arial"/>
                <w:bCs/>
              </w:rPr>
            </w:pPr>
            <w:r w:rsidRPr="00E15D9C">
              <w:rPr>
                <w:rFonts w:ascii="Arial" w:hAnsi="Arial" w:cs="Arial"/>
                <w:bCs/>
              </w:rPr>
              <w:t>Seguimiento a los recursos ejecutados a través de fiducias, perfilando las características propias de cada negocio</w:t>
            </w:r>
            <w:r>
              <w:rPr>
                <w:rFonts w:ascii="Arial" w:hAnsi="Arial" w:cs="Arial"/>
                <w:bCs/>
              </w:rPr>
              <w:t>.</w:t>
            </w:r>
          </w:p>
          <w:p w14:paraId="75988123" w14:textId="77777777" w:rsidR="007D517D" w:rsidRPr="00E15D9C" w:rsidRDefault="007D517D" w:rsidP="007D517D">
            <w:pPr>
              <w:pStyle w:val="Textoindependiente"/>
              <w:numPr>
                <w:ilvl w:val="0"/>
                <w:numId w:val="50"/>
              </w:numPr>
              <w:jc w:val="both"/>
              <w:rPr>
                <w:rFonts w:ascii="Arial" w:hAnsi="Arial" w:cs="Arial"/>
                <w:bCs/>
              </w:rPr>
            </w:pPr>
            <w:r w:rsidRPr="00E15D9C">
              <w:rPr>
                <w:rFonts w:ascii="Arial" w:hAnsi="Arial" w:cs="Arial"/>
                <w:bCs/>
              </w:rPr>
              <w:t>Seguimiento y control de las cuentas presentadas por los Terceros y la traza que deben seguir para su revisión, obligación y pago; de tal forma que los reportes de cuentas pagadas y no pagadas se generen directamente del SIIF</w:t>
            </w:r>
            <w:r>
              <w:rPr>
                <w:rFonts w:ascii="Arial" w:hAnsi="Arial" w:cs="Arial"/>
                <w:bCs/>
              </w:rPr>
              <w:t>.</w:t>
            </w:r>
          </w:p>
          <w:p w14:paraId="769F0476" w14:textId="77777777" w:rsidR="007D517D" w:rsidRPr="00E15D9C" w:rsidRDefault="007D517D" w:rsidP="007D517D">
            <w:pPr>
              <w:pStyle w:val="Textoindependiente"/>
              <w:numPr>
                <w:ilvl w:val="0"/>
                <w:numId w:val="50"/>
              </w:numPr>
              <w:jc w:val="both"/>
              <w:rPr>
                <w:rFonts w:ascii="Arial" w:hAnsi="Arial" w:cs="Arial"/>
                <w:bCs/>
              </w:rPr>
            </w:pPr>
            <w:r w:rsidRPr="00E15D9C">
              <w:rPr>
                <w:rFonts w:ascii="Arial" w:hAnsi="Arial" w:cs="Arial"/>
                <w:bCs/>
              </w:rPr>
              <w:t>Seguimiento detallado de los ingresos propios de la entidad, liquidación, reconocimiento y recaudo</w:t>
            </w:r>
            <w:r>
              <w:rPr>
                <w:rFonts w:ascii="Arial" w:hAnsi="Arial" w:cs="Arial"/>
                <w:bCs/>
              </w:rPr>
              <w:t>.</w:t>
            </w:r>
          </w:p>
          <w:p w14:paraId="4D7B20AC" w14:textId="77777777" w:rsidR="007D517D" w:rsidRPr="00A0084A" w:rsidRDefault="007D517D" w:rsidP="007D517D">
            <w:pPr>
              <w:pStyle w:val="Textoindependiente"/>
              <w:numPr>
                <w:ilvl w:val="0"/>
                <w:numId w:val="50"/>
              </w:numPr>
              <w:jc w:val="both"/>
              <w:rPr>
                <w:rFonts w:ascii="Arial" w:hAnsi="Arial" w:cs="Arial"/>
                <w:bCs/>
              </w:rPr>
            </w:pPr>
            <w:r w:rsidRPr="00E15D9C">
              <w:rPr>
                <w:rFonts w:ascii="Arial" w:hAnsi="Arial" w:cs="Arial"/>
                <w:bCs/>
              </w:rPr>
              <w:t>Generación de informes y reportes que faciliten las acciones de control de la información</w:t>
            </w:r>
            <w:r>
              <w:rPr>
                <w:rFonts w:ascii="Arial" w:hAnsi="Arial" w:cs="Arial"/>
                <w:bCs/>
              </w:rPr>
              <w:t>.</w:t>
            </w:r>
          </w:p>
        </w:tc>
      </w:tr>
      <w:tr w:rsidR="007D517D" w:rsidRPr="003A1EE7" w14:paraId="376992CA" w14:textId="77777777" w:rsidTr="007D517D">
        <w:tc>
          <w:tcPr>
            <w:tcW w:w="441" w:type="dxa"/>
          </w:tcPr>
          <w:p w14:paraId="500B0360" w14:textId="103B9B41" w:rsidR="007D517D" w:rsidRDefault="007D517D" w:rsidP="007D517D">
            <w:pPr>
              <w:jc w:val="center"/>
              <w:rPr>
                <w:rFonts w:ascii="Arial" w:hAnsi="Arial" w:cs="Arial"/>
                <w:b/>
              </w:rPr>
            </w:pPr>
            <w:r>
              <w:rPr>
                <w:rFonts w:ascii="Arial" w:hAnsi="Arial" w:cs="Arial"/>
                <w:b/>
              </w:rPr>
              <w:lastRenderedPageBreak/>
              <w:t>15</w:t>
            </w:r>
          </w:p>
        </w:tc>
        <w:tc>
          <w:tcPr>
            <w:tcW w:w="10146" w:type="dxa"/>
          </w:tcPr>
          <w:p w14:paraId="518D5E5A" w14:textId="77777777" w:rsidR="007D517D" w:rsidRDefault="007D517D" w:rsidP="007D517D">
            <w:pPr>
              <w:ind w:right="31"/>
              <w:jc w:val="both"/>
              <w:rPr>
                <w:rFonts w:ascii="Arial" w:eastAsia="Calibri" w:hAnsi="Arial" w:cs="Arial"/>
                <w:b/>
              </w:rPr>
            </w:pPr>
            <w:r>
              <w:rPr>
                <w:rFonts w:ascii="Arial" w:eastAsia="Calibri" w:hAnsi="Arial" w:cs="Arial"/>
                <w:b/>
              </w:rPr>
              <w:t>Se siguen observando embargos a las cuentas de las entidades del estado, ordenados por los jueces de la República.</w:t>
            </w:r>
          </w:p>
        </w:tc>
      </w:tr>
      <w:tr w:rsidR="007D517D" w:rsidRPr="003A1EE7" w14:paraId="38FBBE80" w14:textId="77777777" w:rsidTr="007D517D">
        <w:tc>
          <w:tcPr>
            <w:tcW w:w="441" w:type="dxa"/>
          </w:tcPr>
          <w:p w14:paraId="68311F08" w14:textId="59BFB719" w:rsidR="007D517D" w:rsidRDefault="007D517D" w:rsidP="007D517D">
            <w:pPr>
              <w:jc w:val="center"/>
              <w:rPr>
                <w:rFonts w:ascii="Arial" w:hAnsi="Arial" w:cs="Arial"/>
                <w:b/>
              </w:rPr>
            </w:pPr>
            <w:r>
              <w:rPr>
                <w:rFonts w:ascii="Arial" w:hAnsi="Arial" w:cs="Arial"/>
                <w:b/>
              </w:rPr>
              <w:t>16</w:t>
            </w:r>
          </w:p>
        </w:tc>
        <w:tc>
          <w:tcPr>
            <w:tcW w:w="10146" w:type="dxa"/>
          </w:tcPr>
          <w:p w14:paraId="3F8052F8" w14:textId="77777777" w:rsidR="007D517D" w:rsidRPr="001C02DE" w:rsidRDefault="007D517D" w:rsidP="007D517D">
            <w:pPr>
              <w:pStyle w:val="Textoindependiente"/>
              <w:jc w:val="both"/>
              <w:rPr>
                <w:rFonts w:ascii="Arial" w:hAnsi="Arial" w:cs="Arial"/>
                <w:bCs/>
              </w:rPr>
            </w:pPr>
            <w:r>
              <w:rPr>
                <w:rFonts w:ascii="Arial" w:eastAsia="Calibri" w:hAnsi="Arial" w:cs="Arial"/>
                <w:b/>
              </w:rPr>
              <w:t xml:space="preserve">El INVÍAS informa que tiene dos (2) bienes en comodato que no </w:t>
            </w:r>
            <w:r w:rsidRPr="00A34ECF">
              <w:rPr>
                <w:rFonts w:ascii="Arial" w:hAnsi="Arial" w:cs="Arial"/>
                <w:bCs/>
              </w:rPr>
              <w:t>cuentan con una medición fiable</w:t>
            </w:r>
            <w:r>
              <w:rPr>
                <w:rFonts w:ascii="Arial" w:hAnsi="Arial" w:cs="Arial"/>
                <w:bCs/>
              </w:rPr>
              <w:t xml:space="preserve">. Igualmente tienen bienes en cuentas de orden, </w:t>
            </w:r>
            <w:r w:rsidRPr="00A34ECF">
              <w:rPr>
                <w:rFonts w:ascii="Arial" w:hAnsi="Arial" w:cs="Arial"/>
                <w:bCs/>
              </w:rPr>
              <w:t xml:space="preserve">sin </w:t>
            </w:r>
            <w:r>
              <w:rPr>
                <w:rFonts w:ascii="Arial" w:hAnsi="Arial" w:cs="Arial"/>
                <w:bCs/>
              </w:rPr>
              <w:t xml:space="preserve">confirmar la </w:t>
            </w:r>
            <w:r w:rsidRPr="00A34ECF">
              <w:rPr>
                <w:rFonts w:ascii="Arial" w:hAnsi="Arial" w:cs="Arial"/>
                <w:bCs/>
              </w:rPr>
              <w:t>existe</w:t>
            </w:r>
            <w:r>
              <w:rPr>
                <w:rFonts w:ascii="Arial" w:hAnsi="Arial" w:cs="Arial"/>
                <w:bCs/>
              </w:rPr>
              <w:t xml:space="preserve">ncia del </w:t>
            </w:r>
            <w:r w:rsidRPr="00A34ECF">
              <w:rPr>
                <w:rFonts w:ascii="Arial" w:hAnsi="Arial" w:cs="Arial"/>
                <w:bCs/>
              </w:rPr>
              <w:t xml:space="preserve">documento soporte que determine </w:t>
            </w:r>
            <w:r>
              <w:rPr>
                <w:rFonts w:ascii="Arial" w:hAnsi="Arial" w:cs="Arial"/>
                <w:bCs/>
              </w:rPr>
              <w:t xml:space="preserve">que </w:t>
            </w:r>
            <w:r w:rsidRPr="00A34ECF">
              <w:rPr>
                <w:rFonts w:ascii="Arial" w:hAnsi="Arial" w:cs="Arial"/>
                <w:bCs/>
              </w:rPr>
              <w:t>efectivamente son bienes del Instituto.</w:t>
            </w:r>
          </w:p>
        </w:tc>
      </w:tr>
      <w:tr w:rsidR="007D517D" w:rsidRPr="003A1EE7" w14:paraId="748F6F7F" w14:textId="77777777" w:rsidTr="007D517D">
        <w:tc>
          <w:tcPr>
            <w:tcW w:w="441" w:type="dxa"/>
          </w:tcPr>
          <w:p w14:paraId="2CC7F624" w14:textId="2AE0138C" w:rsidR="007D517D" w:rsidRDefault="007D517D" w:rsidP="007D517D">
            <w:pPr>
              <w:jc w:val="center"/>
              <w:rPr>
                <w:rFonts w:ascii="Arial" w:hAnsi="Arial" w:cs="Arial"/>
                <w:b/>
              </w:rPr>
            </w:pPr>
            <w:r>
              <w:rPr>
                <w:rFonts w:ascii="Arial" w:hAnsi="Arial" w:cs="Arial"/>
                <w:b/>
              </w:rPr>
              <w:t>17</w:t>
            </w:r>
          </w:p>
        </w:tc>
        <w:tc>
          <w:tcPr>
            <w:tcW w:w="10146" w:type="dxa"/>
          </w:tcPr>
          <w:p w14:paraId="0E3A7B0E" w14:textId="77777777" w:rsidR="007D517D" w:rsidRPr="00262261" w:rsidRDefault="007D517D" w:rsidP="007D517D">
            <w:pPr>
              <w:pStyle w:val="Textoindependiente"/>
              <w:ind w:right="-50"/>
              <w:jc w:val="both"/>
              <w:rPr>
                <w:rFonts w:ascii="Arial" w:hAnsi="Arial" w:cs="Arial"/>
              </w:rPr>
            </w:pPr>
            <w:r w:rsidRPr="00262261">
              <w:rPr>
                <w:rFonts w:ascii="Arial" w:hAnsi="Arial" w:cs="Arial"/>
                <w:b/>
              </w:rPr>
              <w:t>CORPORACIÓN DE ALTA TECNOLOGÍA PARA LA DEFENSA</w:t>
            </w:r>
            <w:r>
              <w:rPr>
                <w:rFonts w:ascii="Arial" w:hAnsi="Arial" w:cs="Arial"/>
                <w:b/>
              </w:rPr>
              <w:t>.</w:t>
            </w:r>
            <w:r w:rsidRPr="00262261">
              <w:rPr>
                <w:rFonts w:ascii="Arial" w:hAnsi="Arial" w:cs="Arial"/>
                <w:b/>
              </w:rPr>
              <w:t xml:space="preserve"> –</w:t>
            </w:r>
            <w:r>
              <w:rPr>
                <w:rFonts w:ascii="Arial" w:hAnsi="Arial" w:cs="Arial"/>
                <w:b/>
              </w:rPr>
              <w:t xml:space="preserve"> </w:t>
            </w:r>
            <w:r w:rsidRPr="00262261">
              <w:rPr>
                <w:rFonts w:ascii="Arial" w:hAnsi="Arial" w:cs="Arial"/>
                <w:b/>
              </w:rPr>
              <w:t xml:space="preserve">Declaración de Cumplimiento del Marco Normativo y Limitaciones: </w:t>
            </w:r>
            <w:r w:rsidRPr="00262261">
              <w:rPr>
                <w:rFonts w:ascii="Arial" w:hAnsi="Arial" w:cs="Arial"/>
              </w:rPr>
              <w:t xml:space="preserve">(…) </w:t>
            </w:r>
            <w:r w:rsidRPr="00262261">
              <w:rPr>
                <w:rFonts w:ascii="Arial" w:hAnsi="Arial" w:cs="Arial"/>
                <w:b/>
                <w:u w:val="single"/>
              </w:rPr>
              <w:t>Una limitación que se presenta al momento de aplicar la medición posterior, mejoras o adiciones en los activos intangibles y las propiedades, planta y equipo es la falta de recursos para adquirir servicios de avalúo de estos.</w:t>
            </w:r>
          </w:p>
        </w:tc>
      </w:tr>
      <w:tr w:rsidR="007D517D" w:rsidRPr="003A1EE7" w14:paraId="3A3794A3" w14:textId="77777777" w:rsidTr="007D517D">
        <w:tc>
          <w:tcPr>
            <w:tcW w:w="441" w:type="dxa"/>
          </w:tcPr>
          <w:p w14:paraId="3DB549CE" w14:textId="715AB70D" w:rsidR="007D517D" w:rsidRPr="0050038F" w:rsidRDefault="007D517D" w:rsidP="007D517D">
            <w:pPr>
              <w:tabs>
                <w:tab w:val="left" w:pos="1920"/>
              </w:tabs>
              <w:jc w:val="center"/>
              <w:rPr>
                <w:rFonts w:ascii="Arial" w:hAnsi="Arial" w:cs="Arial"/>
                <w:b/>
              </w:rPr>
            </w:pPr>
            <w:r w:rsidRPr="0050038F">
              <w:rPr>
                <w:rFonts w:ascii="Arial" w:hAnsi="Arial" w:cs="Arial"/>
                <w:b/>
              </w:rPr>
              <w:t>18</w:t>
            </w:r>
          </w:p>
        </w:tc>
        <w:tc>
          <w:tcPr>
            <w:tcW w:w="10146" w:type="dxa"/>
          </w:tcPr>
          <w:p w14:paraId="6EDD489D" w14:textId="77777777" w:rsidR="007D517D" w:rsidRPr="0050038F" w:rsidRDefault="007D517D" w:rsidP="007D517D">
            <w:pPr>
              <w:ind w:right="60"/>
              <w:jc w:val="both"/>
              <w:rPr>
                <w:rFonts w:ascii="Arial" w:hAnsi="Arial" w:cs="Arial"/>
              </w:rPr>
            </w:pPr>
            <w:r w:rsidRPr="0050038F">
              <w:rPr>
                <w:rFonts w:ascii="Arial" w:hAnsi="Arial" w:cs="Arial"/>
              </w:rPr>
              <w:t>Nuevamente se observan cuotas partes pensionales por cobrar con elevada antigüedad.</w:t>
            </w:r>
          </w:p>
        </w:tc>
      </w:tr>
      <w:tr w:rsidR="007D517D" w:rsidRPr="003A1EE7" w14:paraId="329F17D0" w14:textId="77777777" w:rsidTr="007D517D">
        <w:tc>
          <w:tcPr>
            <w:tcW w:w="441" w:type="dxa"/>
          </w:tcPr>
          <w:p w14:paraId="014E16BF" w14:textId="402D5BB8" w:rsidR="007D517D" w:rsidRPr="00005EE5" w:rsidRDefault="007D517D" w:rsidP="007D517D">
            <w:pPr>
              <w:tabs>
                <w:tab w:val="left" w:pos="1920"/>
              </w:tabs>
              <w:jc w:val="center"/>
              <w:rPr>
                <w:rFonts w:ascii="Arial" w:hAnsi="Arial" w:cs="Arial"/>
                <w:b/>
              </w:rPr>
            </w:pPr>
            <w:r w:rsidRPr="00005EE5">
              <w:rPr>
                <w:rFonts w:ascii="Arial" w:hAnsi="Arial" w:cs="Arial"/>
                <w:b/>
              </w:rPr>
              <w:t>19</w:t>
            </w:r>
          </w:p>
        </w:tc>
        <w:tc>
          <w:tcPr>
            <w:tcW w:w="10146" w:type="dxa"/>
          </w:tcPr>
          <w:p w14:paraId="2BCB5596" w14:textId="77777777" w:rsidR="007D517D" w:rsidRPr="00EC3E55" w:rsidRDefault="007D517D" w:rsidP="007D517D">
            <w:pPr>
              <w:jc w:val="both"/>
              <w:rPr>
                <w:rFonts w:ascii="Arial" w:hAnsi="Arial" w:cs="Arial"/>
                <w:b/>
                <w:lang w:val="es-MX"/>
              </w:rPr>
            </w:pPr>
            <w:r w:rsidRPr="00EC3E55">
              <w:rPr>
                <w:rFonts w:ascii="Arial" w:hAnsi="Arial" w:cs="Arial"/>
                <w:b/>
                <w:lang w:val="es-MX"/>
              </w:rPr>
              <w:t>CLUB MILITAR DE OFICIALES.</w:t>
            </w:r>
            <w:r>
              <w:rPr>
                <w:rFonts w:ascii="Arial" w:hAnsi="Arial" w:cs="Arial"/>
                <w:b/>
                <w:lang w:val="es-MX"/>
              </w:rPr>
              <w:t xml:space="preserve"> </w:t>
            </w:r>
            <w:r w:rsidRPr="00F23FE5">
              <w:rPr>
                <w:rFonts w:ascii="Arial" w:hAnsi="Arial" w:cs="Arial"/>
                <w:bCs/>
                <w:lang w:val="es-MX"/>
              </w:rPr>
              <w:t>A 31 de diciembre de 2024 presenta un terreno sin registrar en la Oficina de Instrumentos Públicos.</w:t>
            </w:r>
          </w:p>
        </w:tc>
      </w:tr>
      <w:tr w:rsidR="007D517D" w:rsidRPr="003A1EE7" w14:paraId="569AABCB" w14:textId="77777777" w:rsidTr="007D517D">
        <w:tc>
          <w:tcPr>
            <w:tcW w:w="441" w:type="dxa"/>
          </w:tcPr>
          <w:p w14:paraId="1C614E02" w14:textId="27246E33" w:rsidR="007D517D" w:rsidRPr="00005EE5" w:rsidRDefault="007D517D" w:rsidP="007D517D">
            <w:pPr>
              <w:tabs>
                <w:tab w:val="left" w:pos="1920"/>
              </w:tabs>
              <w:jc w:val="center"/>
              <w:rPr>
                <w:rFonts w:ascii="Arial" w:hAnsi="Arial" w:cs="Arial"/>
                <w:b/>
              </w:rPr>
            </w:pPr>
            <w:r w:rsidRPr="00005EE5">
              <w:rPr>
                <w:rFonts w:ascii="Arial" w:hAnsi="Arial" w:cs="Arial"/>
                <w:b/>
              </w:rPr>
              <w:t>20</w:t>
            </w:r>
          </w:p>
        </w:tc>
        <w:tc>
          <w:tcPr>
            <w:tcW w:w="10146" w:type="dxa"/>
          </w:tcPr>
          <w:p w14:paraId="5BFA70D7" w14:textId="77777777" w:rsidR="007D517D" w:rsidRDefault="007D517D" w:rsidP="007D517D">
            <w:pPr>
              <w:rPr>
                <w:rFonts w:ascii="Arial" w:hAnsi="Arial" w:cs="Arial"/>
              </w:rPr>
            </w:pPr>
            <w:r w:rsidRPr="00005EE5">
              <w:rPr>
                <w:rFonts w:ascii="Arial" w:hAnsi="Arial" w:cs="Arial"/>
                <w:b/>
              </w:rPr>
              <w:t>AGENCIA DE RENOVACIÓN DE TERRITORIO - ART.</w:t>
            </w:r>
            <w:r>
              <w:rPr>
                <w:rFonts w:ascii="Arial" w:hAnsi="Arial" w:cs="Arial"/>
                <w:b/>
              </w:rPr>
              <w:t xml:space="preserve"> </w:t>
            </w:r>
            <w:r>
              <w:rPr>
                <w:rFonts w:ascii="Arial" w:hAnsi="Arial" w:cs="Arial"/>
              </w:rPr>
              <w:t>Recibió terreno a título gratuito de la SAE sin la debida información para su contabilización.</w:t>
            </w:r>
          </w:p>
          <w:p w14:paraId="31C7BC97" w14:textId="77777777" w:rsidR="007D517D" w:rsidRPr="006938CD" w:rsidRDefault="007D517D" w:rsidP="007D517D">
            <w:pPr>
              <w:rPr>
                <w:rFonts w:ascii="Arial" w:hAnsi="Arial" w:cs="Arial"/>
                <w:u w:val="single"/>
              </w:rPr>
            </w:pPr>
            <w:r w:rsidRPr="006938CD">
              <w:rPr>
                <w:rFonts w:ascii="Arial" w:hAnsi="Arial" w:cs="Arial"/>
                <w:u w:val="single"/>
              </w:rPr>
              <w:t>Presenta convenios sin actas de entrega y/o liquidación de los mismos.</w:t>
            </w:r>
          </w:p>
        </w:tc>
      </w:tr>
      <w:tr w:rsidR="007D517D" w:rsidRPr="003A1EE7" w14:paraId="6F1FB448" w14:textId="77777777" w:rsidTr="007D517D">
        <w:tc>
          <w:tcPr>
            <w:tcW w:w="441" w:type="dxa"/>
          </w:tcPr>
          <w:p w14:paraId="06BD7AC5" w14:textId="3BA45186" w:rsidR="007D517D" w:rsidRPr="003A1EE7" w:rsidRDefault="007D517D" w:rsidP="007D517D">
            <w:pPr>
              <w:tabs>
                <w:tab w:val="left" w:pos="1920"/>
              </w:tabs>
              <w:jc w:val="center"/>
              <w:rPr>
                <w:rFonts w:ascii="Arial" w:hAnsi="Arial" w:cs="Arial"/>
                <w:b/>
                <w:color w:val="FF0000"/>
              </w:rPr>
            </w:pPr>
            <w:r w:rsidRPr="002D4D7A">
              <w:rPr>
                <w:rFonts w:ascii="Arial" w:hAnsi="Arial" w:cs="Arial"/>
                <w:b/>
              </w:rPr>
              <w:t>21</w:t>
            </w:r>
          </w:p>
        </w:tc>
        <w:tc>
          <w:tcPr>
            <w:tcW w:w="10146" w:type="dxa"/>
          </w:tcPr>
          <w:p w14:paraId="2E1B79E3" w14:textId="77777777" w:rsidR="007D517D" w:rsidRPr="008715DE" w:rsidRDefault="007D517D" w:rsidP="007D517D">
            <w:pPr>
              <w:jc w:val="both"/>
              <w:rPr>
                <w:rFonts w:ascii="Arial" w:hAnsi="Arial" w:cs="Arial"/>
                <w:lang w:val="es-MX"/>
              </w:rPr>
            </w:pPr>
            <w:r w:rsidRPr="008715DE">
              <w:rPr>
                <w:rFonts w:ascii="Arial" w:hAnsi="Arial" w:cs="Arial"/>
                <w:b/>
                <w:lang w:val="es-MX"/>
              </w:rPr>
              <w:t>CORPORACIÓN AUTÓNOMA REGIONAL DEL ALTO MAGDALENA - CAM.</w:t>
            </w:r>
            <w:r>
              <w:rPr>
                <w:rFonts w:ascii="Arial" w:hAnsi="Arial" w:cs="Arial"/>
                <w:b/>
                <w:lang w:val="es-MX"/>
              </w:rPr>
              <w:t xml:space="preserve"> </w:t>
            </w:r>
            <w:r w:rsidRPr="009C2650">
              <w:rPr>
                <w:rFonts w:ascii="Arial" w:hAnsi="Arial" w:cs="Arial"/>
                <w:lang w:val="es-MX"/>
              </w:rPr>
              <w:t>Inversiones. N</w:t>
            </w:r>
            <w:r w:rsidRPr="009C2650">
              <w:rPr>
                <w:rFonts w:ascii="Arial" w:hAnsi="Arial" w:cs="Arial"/>
              </w:rPr>
              <w:t>o fue posible tener la información de los Estados Financieros del IV trimestre de la Empresa Forestal del Huila, para actualizar estas inversiones a 31 de diciembre de 2024.</w:t>
            </w:r>
          </w:p>
        </w:tc>
      </w:tr>
      <w:tr w:rsidR="007D517D" w:rsidRPr="003A1EE7" w14:paraId="5AC1982D" w14:textId="77777777" w:rsidTr="007D517D">
        <w:tc>
          <w:tcPr>
            <w:tcW w:w="441" w:type="dxa"/>
          </w:tcPr>
          <w:p w14:paraId="2E541E8D" w14:textId="29D867F5" w:rsidR="007D517D" w:rsidRPr="003A1EE7" w:rsidRDefault="007D517D" w:rsidP="007D517D">
            <w:pPr>
              <w:tabs>
                <w:tab w:val="left" w:pos="1920"/>
              </w:tabs>
              <w:jc w:val="center"/>
              <w:rPr>
                <w:rFonts w:ascii="Arial" w:hAnsi="Arial" w:cs="Arial"/>
                <w:b/>
                <w:color w:val="FF0000"/>
              </w:rPr>
            </w:pPr>
            <w:r w:rsidRPr="009C2650">
              <w:rPr>
                <w:rFonts w:ascii="Arial" w:hAnsi="Arial" w:cs="Arial"/>
                <w:b/>
              </w:rPr>
              <w:lastRenderedPageBreak/>
              <w:t>22</w:t>
            </w:r>
          </w:p>
        </w:tc>
        <w:tc>
          <w:tcPr>
            <w:tcW w:w="10146" w:type="dxa"/>
          </w:tcPr>
          <w:p w14:paraId="6C24CC61" w14:textId="77777777" w:rsidR="007D517D" w:rsidRPr="00F2091C" w:rsidRDefault="007D517D" w:rsidP="007D517D">
            <w:pPr>
              <w:pStyle w:val="Textoindependiente"/>
              <w:ind w:right="-50"/>
              <w:jc w:val="both"/>
              <w:rPr>
                <w:rFonts w:ascii="Arial" w:hAnsi="Arial" w:cs="Arial"/>
                <w:bCs/>
              </w:rPr>
            </w:pPr>
            <w:r w:rsidRPr="009C2650">
              <w:rPr>
                <w:rFonts w:ascii="Arial" w:hAnsi="Arial" w:cs="Arial"/>
                <w:b/>
                <w:lang w:val="es-MX"/>
              </w:rPr>
              <w:t>MINISTERIO DEL DEPORTE.</w:t>
            </w:r>
            <w:r>
              <w:rPr>
                <w:rFonts w:ascii="Arial" w:hAnsi="Arial" w:cs="Arial"/>
                <w:b/>
                <w:lang w:val="es-MX"/>
              </w:rPr>
              <w:t xml:space="preserve"> </w:t>
            </w:r>
            <w:r w:rsidRPr="009C2650">
              <w:rPr>
                <w:rFonts w:ascii="Arial" w:hAnsi="Arial" w:cs="Arial"/>
                <w:b/>
              </w:rPr>
              <w:t xml:space="preserve">Beneficios y plan de activos posempleo – pensiones y otros. </w:t>
            </w:r>
            <w:r w:rsidRPr="009C2650">
              <w:rPr>
                <w:rFonts w:ascii="Arial" w:hAnsi="Arial" w:cs="Arial"/>
                <w:b/>
                <w:u w:val="single"/>
              </w:rPr>
              <w:t>Con corte a los presentes Estados Financieros es decir a diciembre 31 de 2024, la oficina jurídica NO entrego antes del cierre para el cargue de información financiera en el aplicativo SIIF Nación II, el informe del cálculo actuarial actualizado al año 2024 de las cuotas partes pensionales que se encuentran a cargo de la entidad, para ser debidamente actualizada en los Estados Financieros</w:t>
            </w:r>
            <w:r w:rsidRPr="009C2650">
              <w:rPr>
                <w:rFonts w:ascii="Arial" w:hAnsi="Arial" w:cs="Arial"/>
                <w:bCs/>
              </w:rPr>
              <w:t>.</w:t>
            </w:r>
          </w:p>
        </w:tc>
      </w:tr>
      <w:tr w:rsidR="007D517D" w:rsidRPr="003A1EE7" w14:paraId="3B0FFEC9" w14:textId="77777777" w:rsidTr="007D517D">
        <w:tc>
          <w:tcPr>
            <w:tcW w:w="441" w:type="dxa"/>
          </w:tcPr>
          <w:p w14:paraId="4FF7E8C3" w14:textId="6E18F985" w:rsidR="007D517D" w:rsidRPr="003A1EE7" w:rsidRDefault="007D517D" w:rsidP="007D517D">
            <w:pPr>
              <w:tabs>
                <w:tab w:val="left" w:pos="1920"/>
              </w:tabs>
              <w:jc w:val="center"/>
              <w:rPr>
                <w:rFonts w:ascii="Arial" w:hAnsi="Arial" w:cs="Arial"/>
                <w:b/>
                <w:color w:val="FF0000"/>
              </w:rPr>
            </w:pPr>
            <w:r w:rsidRPr="003B0A86">
              <w:rPr>
                <w:rFonts w:ascii="Arial" w:hAnsi="Arial" w:cs="Arial"/>
                <w:b/>
              </w:rPr>
              <w:t>23</w:t>
            </w:r>
          </w:p>
        </w:tc>
        <w:tc>
          <w:tcPr>
            <w:tcW w:w="10146" w:type="dxa"/>
          </w:tcPr>
          <w:p w14:paraId="74A968B0" w14:textId="77777777" w:rsidR="007D517D" w:rsidRDefault="007D517D" w:rsidP="007D517D">
            <w:pPr>
              <w:pStyle w:val="Textoindependiente"/>
              <w:ind w:right="-50"/>
              <w:jc w:val="both"/>
              <w:rPr>
                <w:b/>
                <w:bCs/>
              </w:rPr>
            </w:pPr>
            <w:bookmarkStart w:id="26" w:name="_Hlk198209377"/>
            <w:r w:rsidRPr="00F2091C">
              <w:rPr>
                <w:rFonts w:ascii="Arial" w:hAnsi="Arial" w:cs="Arial"/>
                <w:b/>
                <w:lang w:val="es-MX"/>
              </w:rPr>
              <w:t>SENADO DE LA REPÚBLICA.</w:t>
            </w:r>
            <w:r>
              <w:rPr>
                <w:rFonts w:ascii="Arial" w:hAnsi="Arial" w:cs="Arial"/>
                <w:b/>
                <w:lang w:val="es-MX"/>
              </w:rPr>
              <w:t xml:space="preserve"> </w:t>
            </w:r>
            <w:r w:rsidRPr="008A6632">
              <w:rPr>
                <w:b/>
                <w:bCs/>
              </w:rPr>
              <w:t>Limitaciones y Deficiencias Generales que Inciden en el Sistema Contable:</w:t>
            </w:r>
          </w:p>
          <w:p w14:paraId="22221EB3" w14:textId="77777777" w:rsidR="007D517D" w:rsidRPr="00F2091C" w:rsidRDefault="007D517D" w:rsidP="007D517D">
            <w:pPr>
              <w:pStyle w:val="Textoindependiente"/>
              <w:ind w:right="-50"/>
              <w:jc w:val="both"/>
              <w:rPr>
                <w:rFonts w:ascii="Arial" w:hAnsi="Arial" w:cs="Arial"/>
                <w:b/>
                <w:bCs/>
                <w:sz w:val="28"/>
                <w:szCs w:val="28"/>
              </w:rPr>
            </w:pPr>
          </w:p>
          <w:p w14:paraId="12008F20" w14:textId="77777777" w:rsidR="007D517D" w:rsidRPr="00F2091C" w:rsidRDefault="007D517D" w:rsidP="007D517D">
            <w:pPr>
              <w:pStyle w:val="Textoindependiente"/>
              <w:ind w:right="-50"/>
              <w:jc w:val="both"/>
              <w:rPr>
                <w:rFonts w:ascii="Arial" w:hAnsi="Arial" w:cs="Arial"/>
              </w:rPr>
            </w:pPr>
            <w:r w:rsidRPr="00F2091C">
              <w:rPr>
                <w:rFonts w:ascii="Arial" w:hAnsi="Arial" w:cs="Arial"/>
                <w:b/>
                <w:bCs/>
              </w:rPr>
              <w:t xml:space="preserve">Dinámica Gerencial: </w:t>
            </w:r>
            <w:r w:rsidRPr="00F2091C">
              <w:rPr>
                <w:rFonts w:ascii="Arial" w:hAnsi="Arial" w:cs="Arial"/>
              </w:rPr>
              <w:t>En este aplicativo se realiza la gestión de los recursos físicos e intangibles, complementada con la herramienta ofimática de seguimiento y verificación de la consistencia de la información fuente para el proceso financiero, que hace parte integral de la gestión de los recursos físicos e intangibles, dadas las complicaciones en Dinámica Gerencial en cuanto a las vidas útiles y cálculos de depreciación o reclasificaciones por inconsistencias en la clasificación de tipos de bienes y grupos de activos.</w:t>
            </w:r>
          </w:p>
          <w:p w14:paraId="3A7F66CA" w14:textId="77777777" w:rsidR="007D517D" w:rsidRPr="00F2091C" w:rsidRDefault="007D517D" w:rsidP="007D517D">
            <w:pPr>
              <w:pStyle w:val="Textoindependiente"/>
              <w:ind w:right="-50"/>
              <w:jc w:val="both"/>
              <w:rPr>
                <w:rFonts w:ascii="Arial" w:hAnsi="Arial" w:cs="Arial"/>
              </w:rPr>
            </w:pPr>
          </w:p>
          <w:p w14:paraId="449714A5" w14:textId="77777777" w:rsidR="007D517D" w:rsidRPr="00F2091C" w:rsidRDefault="007D517D" w:rsidP="007D517D">
            <w:pPr>
              <w:pStyle w:val="Textoindependiente"/>
              <w:ind w:right="-50"/>
              <w:jc w:val="both"/>
              <w:rPr>
                <w:rFonts w:ascii="Arial" w:hAnsi="Arial" w:cs="Arial"/>
              </w:rPr>
            </w:pPr>
            <w:r w:rsidRPr="00F2091C">
              <w:rPr>
                <w:rFonts w:ascii="Arial" w:hAnsi="Arial" w:cs="Arial"/>
              </w:rPr>
              <w:t>Las complicaciones son:</w:t>
            </w:r>
          </w:p>
          <w:p w14:paraId="72FFDFCC" w14:textId="77777777" w:rsidR="007D517D" w:rsidRPr="00F2091C" w:rsidRDefault="007D517D" w:rsidP="007D517D">
            <w:pPr>
              <w:pStyle w:val="Textoindependiente"/>
              <w:ind w:right="-50"/>
              <w:jc w:val="both"/>
              <w:rPr>
                <w:rFonts w:ascii="Arial" w:hAnsi="Arial" w:cs="Arial"/>
              </w:rPr>
            </w:pPr>
          </w:p>
          <w:p w14:paraId="5D39777D" w14:textId="77777777" w:rsidR="007D517D" w:rsidRPr="00F2091C" w:rsidRDefault="007D517D" w:rsidP="007D517D">
            <w:pPr>
              <w:pStyle w:val="Textoindependiente"/>
              <w:numPr>
                <w:ilvl w:val="0"/>
                <w:numId w:val="51"/>
              </w:numPr>
              <w:ind w:right="-50"/>
              <w:jc w:val="both"/>
              <w:rPr>
                <w:rFonts w:ascii="Arial" w:hAnsi="Arial" w:cs="Arial"/>
              </w:rPr>
            </w:pPr>
            <w:r w:rsidRPr="00F2091C">
              <w:rPr>
                <w:rFonts w:ascii="Arial" w:hAnsi="Arial" w:cs="Arial"/>
              </w:rPr>
              <w:t>No genera ajustes a los cálculos de las alícuotas de depreciación por tal razón hubo necesidad de efectuarlos utilizando una matriz en hojas de Excel.</w:t>
            </w:r>
          </w:p>
          <w:p w14:paraId="00A9E349" w14:textId="77777777" w:rsidR="007D517D" w:rsidRPr="00F2091C" w:rsidRDefault="007D517D" w:rsidP="007D517D">
            <w:pPr>
              <w:pStyle w:val="Textoindependiente"/>
              <w:ind w:right="-50"/>
              <w:jc w:val="both"/>
              <w:rPr>
                <w:rFonts w:ascii="Arial" w:hAnsi="Arial" w:cs="Arial"/>
              </w:rPr>
            </w:pPr>
          </w:p>
          <w:p w14:paraId="10811814" w14:textId="77777777" w:rsidR="007D517D" w:rsidRPr="00F2091C" w:rsidRDefault="007D517D" w:rsidP="007D517D">
            <w:pPr>
              <w:pStyle w:val="Textoindependiente"/>
              <w:numPr>
                <w:ilvl w:val="0"/>
                <w:numId w:val="51"/>
              </w:numPr>
              <w:ind w:right="-50"/>
              <w:jc w:val="both"/>
              <w:rPr>
                <w:rFonts w:ascii="Arial" w:hAnsi="Arial" w:cs="Arial"/>
              </w:rPr>
            </w:pPr>
            <w:r w:rsidRPr="00F2091C">
              <w:rPr>
                <w:rFonts w:ascii="Arial" w:hAnsi="Arial" w:cs="Arial"/>
              </w:rPr>
              <w:t>Las actualizaciones de estado de los bienes se debieron realizar con base en archivos de Excel (ingresos, salidas, traslados y depreciaciones) enviadas por la Unidad de Almacén. Esta información permitió realizar las respectivas conversiones a códigos contables para cada movimiento generado en la gestión recursos físicos.</w:t>
            </w:r>
          </w:p>
          <w:p w14:paraId="43855F5B" w14:textId="77777777" w:rsidR="007D517D" w:rsidRPr="00F2091C" w:rsidRDefault="007D517D" w:rsidP="007D517D">
            <w:pPr>
              <w:pStyle w:val="Textoindependiente"/>
              <w:ind w:right="-50"/>
              <w:jc w:val="both"/>
              <w:rPr>
                <w:rFonts w:ascii="Arial" w:hAnsi="Arial" w:cs="Arial"/>
              </w:rPr>
            </w:pPr>
          </w:p>
          <w:p w14:paraId="6EA7EBDA" w14:textId="77777777" w:rsidR="007D517D" w:rsidRPr="00F2091C" w:rsidRDefault="007D517D" w:rsidP="007D517D">
            <w:pPr>
              <w:pStyle w:val="Textoindependiente"/>
              <w:ind w:right="-50"/>
              <w:jc w:val="both"/>
              <w:rPr>
                <w:rFonts w:ascii="Arial" w:hAnsi="Arial" w:cs="Arial"/>
              </w:rPr>
            </w:pPr>
            <w:r w:rsidRPr="00F2091C">
              <w:rPr>
                <w:rFonts w:ascii="Arial" w:hAnsi="Arial" w:cs="Arial"/>
              </w:rPr>
              <w:t>Kactus: Es utilizado para la Gestión de Nómina y Beneficios a Empleados, Este aplicativo requiere y por ende se está trabajando en su mejora, en lo relativo a la generación de informes o reportes que muestren los movimientos mensuales para la verificación y comparación mensuales de los saldos y movimientos de las novedades de nómina y los beneficios a los empleados.</w:t>
            </w:r>
            <w:bookmarkEnd w:id="26"/>
          </w:p>
        </w:tc>
      </w:tr>
      <w:tr w:rsidR="007D517D" w:rsidRPr="003A1EE7" w14:paraId="607A9050" w14:textId="77777777" w:rsidTr="007D517D">
        <w:tc>
          <w:tcPr>
            <w:tcW w:w="441" w:type="dxa"/>
          </w:tcPr>
          <w:p w14:paraId="6FAE30C5" w14:textId="4F294326" w:rsidR="007D517D" w:rsidRPr="003B0A86" w:rsidRDefault="007D517D" w:rsidP="007D517D">
            <w:pPr>
              <w:tabs>
                <w:tab w:val="left" w:pos="1920"/>
              </w:tabs>
              <w:jc w:val="center"/>
              <w:rPr>
                <w:rFonts w:ascii="Arial" w:hAnsi="Arial" w:cs="Arial"/>
                <w:b/>
              </w:rPr>
            </w:pPr>
            <w:r w:rsidRPr="003B0A86">
              <w:rPr>
                <w:rFonts w:ascii="Arial" w:hAnsi="Arial" w:cs="Arial"/>
                <w:b/>
              </w:rPr>
              <w:t>24</w:t>
            </w:r>
          </w:p>
        </w:tc>
        <w:tc>
          <w:tcPr>
            <w:tcW w:w="10146" w:type="dxa"/>
          </w:tcPr>
          <w:p w14:paraId="0891E7E9" w14:textId="77777777" w:rsidR="007D517D" w:rsidRPr="003B0A86" w:rsidRDefault="007D517D" w:rsidP="007D517D">
            <w:pPr>
              <w:pStyle w:val="Textoindependiente"/>
              <w:ind w:right="-50"/>
              <w:jc w:val="both"/>
            </w:pPr>
            <w:r w:rsidRPr="003B0A86">
              <w:rPr>
                <w:rFonts w:ascii="Arial" w:hAnsi="Arial" w:cs="Arial"/>
                <w:b/>
                <w:lang w:val="es-MX"/>
              </w:rPr>
              <w:t xml:space="preserve">E.S.P. CENTRALES ELECTRICAS DE NARIÑO S.A. – CEDENAR. </w:t>
            </w:r>
            <w:r w:rsidRPr="00A31478">
              <w:rPr>
                <w:bCs/>
              </w:rPr>
              <w:t>Los</w:t>
            </w:r>
            <w:r>
              <w:rPr>
                <w:b/>
              </w:rPr>
              <w:t xml:space="preserve"> </w:t>
            </w:r>
            <w:r w:rsidRPr="00CA6802">
              <w:t xml:space="preserve">estados financieros enviados por la entidad no se </w:t>
            </w:r>
            <w:r>
              <w:t xml:space="preserve">están </w:t>
            </w:r>
            <w:r w:rsidRPr="00CA6802">
              <w:t xml:space="preserve">encuentran firmados por </w:t>
            </w:r>
            <w:r>
              <w:t>el representante legal y el contador de la entidad.</w:t>
            </w:r>
          </w:p>
        </w:tc>
      </w:tr>
      <w:tr w:rsidR="007D517D" w:rsidRPr="003A1EE7" w14:paraId="28DD34AC" w14:textId="77777777" w:rsidTr="007D517D">
        <w:tc>
          <w:tcPr>
            <w:tcW w:w="441" w:type="dxa"/>
          </w:tcPr>
          <w:p w14:paraId="58FF2F84" w14:textId="7D01EEEE" w:rsidR="007D517D" w:rsidRPr="005E4B98" w:rsidRDefault="007D517D" w:rsidP="007D517D">
            <w:pPr>
              <w:tabs>
                <w:tab w:val="left" w:pos="1920"/>
              </w:tabs>
              <w:jc w:val="center"/>
              <w:rPr>
                <w:rFonts w:ascii="Arial" w:hAnsi="Arial" w:cs="Arial"/>
                <w:b/>
              </w:rPr>
            </w:pPr>
            <w:r w:rsidRPr="005E4B98">
              <w:rPr>
                <w:rFonts w:ascii="Arial" w:hAnsi="Arial" w:cs="Arial"/>
                <w:b/>
              </w:rPr>
              <w:t>25</w:t>
            </w:r>
          </w:p>
        </w:tc>
        <w:tc>
          <w:tcPr>
            <w:tcW w:w="10146" w:type="dxa"/>
          </w:tcPr>
          <w:p w14:paraId="50CECEB7" w14:textId="77777777" w:rsidR="007D517D" w:rsidRPr="005E4B98" w:rsidRDefault="007D517D" w:rsidP="007D517D">
            <w:pPr>
              <w:ind w:right="60"/>
              <w:jc w:val="both"/>
              <w:rPr>
                <w:rFonts w:ascii="Arial" w:hAnsi="Arial" w:cs="Arial"/>
              </w:rPr>
            </w:pPr>
            <w:r w:rsidRPr="005E4B98">
              <w:rPr>
                <w:rFonts w:ascii="Arial" w:hAnsi="Arial" w:cs="Arial"/>
              </w:rPr>
              <w:t>En términos generales se observan operaciones reciprocas no conciliadas al 100% por falta de información o porque simplemente las entidades no informan al re</w:t>
            </w:r>
            <w:r>
              <w:rPr>
                <w:rFonts w:ascii="Arial" w:hAnsi="Arial" w:cs="Arial"/>
              </w:rPr>
              <w:t>spe</w:t>
            </w:r>
            <w:r w:rsidRPr="005E4B98">
              <w:rPr>
                <w:rFonts w:ascii="Arial" w:hAnsi="Arial" w:cs="Arial"/>
              </w:rPr>
              <w:t>cto.</w:t>
            </w:r>
          </w:p>
        </w:tc>
      </w:tr>
      <w:tr w:rsidR="007D517D" w:rsidRPr="003A1EE7" w14:paraId="4016AB1A" w14:textId="77777777" w:rsidTr="007D517D">
        <w:tc>
          <w:tcPr>
            <w:tcW w:w="441" w:type="dxa"/>
          </w:tcPr>
          <w:p w14:paraId="493A7D6E" w14:textId="4E381067" w:rsidR="007D517D" w:rsidRPr="00401D3F" w:rsidRDefault="007D517D" w:rsidP="007D517D">
            <w:pPr>
              <w:tabs>
                <w:tab w:val="left" w:pos="1920"/>
              </w:tabs>
              <w:jc w:val="center"/>
              <w:rPr>
                <w:rFonts w:ascii="Arial" w:hAnsi="Arial" w:cs="Arial"/>
                <w:b/>
                <w:color w:val="002060"/>
              </w:rPr>
            </w:pPr>
            <w:r w:rsidRPr="00401D3F">
              <w:rPr>
                <w:rFonts w:ascii="Arial" w:hAnsi="Arial" w:cs="Arial"/>
                <w:b/>
                <w:color w:val="002060"/>
              </w:rPr>
              <w:t>26</w:t>
            </w:r>
          </w:p>
        </w:tc>
        <w:tc>
          <w:tcPr>
            <w:tcW w:w="10146" w:type="dxa"/>
          </w:tcPr>
          <w:p w14:paraId="63EAC1B8" w14:textId="77777777" w:rsidR="007D517D" w:rsidRPr="001C393E" w:rsidRDefault="007D517D" w:rsidP="007D517D">
            <w:pPr>
              <w:jc w:val="both"/>
              <w:rPr>
                <w:rFonts w:ascii="Arial" w:hAnsi="Arial" w:cs="Arial"/>
                <w:bCs/>
              </w:rPr>
            </w:pPr>
            <w:r w:rsidRPr="001C393E">
              <w:rPr>
                <w:rFonts w:ascii="Arial" w:hAnsi="Arial" w:cs="Arial"/>
                <w:bCs/>
              </w:rPr>
              <w:t>CORPORACIÓN AUTÓNOMA REGIONAL DEL QUINDIO – CRQ</w:t>
            </w:r>
            <w:r w:rsidRPr="001C393E">
              <w:rPr>
                <w:rFonts w:ascii="Arial" w:hAnsi="Arial" w:cs="Arial"/>
                <w:bCs/>
                <w:lang w:val="es-MX"/>
              </w:rPr>
              <w:t>. Procesos en contra de la entidad que no están debidamente actualizados y se recuerda el</w:t>
            </w:r>
            <w:r w:rsidRPr="001C393E">
              <w:rPr>
                <w:rFonts w:ascii="Arial" w:hAnsi="Arial" w:cs="Arial"/>
                <w:bCs/>
              </w:rPr>
              <w:t xml:space="preserve"> seguimiento que se debe tener con el avance de los procesos dada la importancia de la cifra pretendida por los demandantes.</w:t>
            </w:r>
          </w:p>
        </w:tc>
      </w:tr>
      <w:tr w:rsidR="007D517D" w:rsidRPr="003A1EE7" w14:paraId="5A08A38A" w14:textId="77777777" w:rsidTr="007D517D">
        <w:tc>
          <w:tcPr>
            <w:tcW w:w="441" w:type="dxa"/>
          </w:tcPr>
          <w:p w14:paraId="40AED691" w14:textId="57DA27A4" w:rsidR="007D517D" w:rsidRPr="00401D3F" w:rsidRDefault="007D517D" w:rsidP="007D517D">
            <w:pPr>
              <w:tabs>
                <w:tab w:val="left" w:pos="1920"/>
              </w:tabs>
              <w:jc w:val="center"/>
              <w:rPr>
                <w:rFonts w:ascii="Arial" w:hAnsi="Arial" w:cs="Arial"/>
                <w:b/>
                <w:color w:val="002060"/>
              </w:rPr>
            </w:pPr>
            <w:r w:rsidRPr="00401D3F">
              <w:rPr>
                <w:rFonts w:ascii="Arial" w:hAnsi="Arial" w:cs="Arial"/>
                <w:b/>
                <w:color w:val="002060"/>
              </w:rPr>
              <w:t>27</w:t>
            </w:r>
          </w:p>
        </w:tc>
        <w:tc>
          <w:tcPr>
            <w:tcW w:w="10146" w:type="dxa"/>
          </w:tcPr>
          <w:p w14:paraId="0E6A5584" w14:textId="77777777" w:rsidR="007D517D" w:rsidRPr="00401D3F" w:rsidRDefault="007D517D" w:rsidP="007D517D">
            <w:pPr>
              <w:pStyle w:val="Textoindependiente"/>
              <w:jc w:val="both"/>
              <w:rPr>
                <w:rFonts w:ascii="Arial" w:hAnsi="Arial" w:cs="Arial"/>
                <w:bCs/>
              </w:rPr>
            </w:pPr>
            <w:r w:rsidRPr="00401D3F">
              <w:rPr>
                <w:rFonts w:ascii="Arial" w:eastAsia="Calibri" w:hAnsi="Arial" w:cs="Arial"/>
                <w:b/>
                <w:lang w:val="es-CO"/>
              </w:rPr>
              <w:t xml:space="preserve">SOCIEDAD DE TELEVISIÓN DE CALDAS, RISARALDA Y QUINDÍO LTDA. - TELECAFÉ LTDA. </w:t>
            </w:r>
            <w:r w:rsidRPr="00401D3F">
              <w:rPr>
                <w:rFonts w:ascii="Arial" w:hAnsi="Arial" w:cs="Arial"/>
                <w:b/>
              </w:rPr>
              <w:t>NOTA:</w:t>
            </w:r>
            <w:r w:rsidRPr="00401D3F">
              <w:rPr>
                <w:rFonts w:ascii="Arial" w:hAnsi="Arial" w:cs="Arial"/>
                <w:bCs/>
              </w:rPr>
              <w:t xml:space="preserve"> La entidad con fecha 9 de abril de 2025, envía un segundo informe sobre los estados financieros a 31 de diciembre de 2024 así: </w:t>
            </w:r>
            <w:r w:rsidRPr="00401D3F">
              <w:rPr>
                <w:rFonts w:ascii="Arial" w:hAnsi="Arial" w:cs="Arial"/>
                <w:b/>
              </w:rPr>
              <w:t>Asunto</w:t>
            </w:r>
            <w:r w:rsidRPr="00401D3F">
              <w:rPr>
                <w:rFonts w:ascii="Arial" w:hAnsi="Arial" w:cs="Arial"/>
                <w:bCs/>
              </w:rPr>
              <w:t xml:space="preserve">: </w:t>
            </w:r>
            <w:r w:rsidRPr="00401D3F">
              <w:rPr>
                <w:rFonts w:ascii="Arial" w:hAnsi="Arial" w:cs="Arial"/>
                <w:b/>
                <w:u w:val="single"/>
              </w:rPr>
              <w:t>Entrega de Información Financiera 2023 Reexpresada e Información Financiera Consolidada Año 2024, en donde informan</w:t>
            </w:r>
            <w:r w:rsidRPr="00401D3F">
              <w:rPr>
                <w:rFonts w:ascii="Arial" w:hAnsi="Arial" w:cs="Arial"/>
                <w:bCs/>
              </w:rPr>
              <w:t xml:space="preserve">: </w:t>
            </w:r>
          </w:p>
          <w:p w14:paraId="205F5E74" w14:textId="77777777" w:rsidR="007D517D" w:rsidRPr="00401D3F" w:rsidRDefault="007D517D" w:rsidP="007D517D">
            <w:pPr>
              <w:pStyle w:val="Textoindependiente"/>
              <w:jc w:val="both"/>
              <w:rPr>
                <w:rFonts w:ascii="Arial" w:hAnsi="Arial" w:cs="Arial"/>
                <w:bCs/>
              </w:rPr>
            </w:pPr>
          </w:p>
          <w:p w14:paraId="05B75625" w14:textId="77777777" w:rsidR="007D517D" w:rsidRPr="00401D3F" w:rsidRDefault="007D517D" w:rsidP="007D517D">
            <w:pPr>
              <w:pStyle w:val="Textoindependiente"/>
              <w:jc w:val="both"/>
              <w:rPr>
                <w:rFonts w:ascii="Arial" w:hAnsi="Arial" w:cs="Arial"/>
                <w:bCs/>
              </w:rPr>
            </w:pPr>
            <w:r w:rsidRPr="00401D3F">
              <w:rPr>
                <w:rFonts w:ascii="Arial" w:hAnsi="Arial" w:cs="Arial"/>
                <w:bCs/>
              </w:rPr>
              <w:t xml:space="preserve">La Gerente de la Sociedad de Televisión de Caldas, Risaralda y Quindío Ltda., TELECAFE LTDA., en uso de sus atributos legales y estatutarias y en especial las conferidas por la Escritura Publica No. 1450 del 27 de noviembre de 1997, de la Notaria Única del Circuito de Villamaría (Caldas), y </w:t>
            </w:r>
          </w:p>
          <w:p w14:paraId="65708049" w14:textId="77777777" w:rsidR="007D517D" w:rsidRPr="00401D3F" w:rsidRDefault="007D517D" w:rsidP="007D517D">
            <w:pPr>
              <w:pStyle w:val="Textoindependiente"/>
              <w:jc w:val="both"/>
              <w:rPr>
                <w:rFonts w:ascii="Arial" w:hAnsi="Arial" w:cs="Arial"/>
                <w:bCs/>
              </w:rPr>
            </w:pPr>
          </w:p>
          <w:p w14:paraId="27F66F3A" w14:textId="77777777" w:rsidR="007D517D" w:rsidRPr="00401D3F" w:rsidRDefault="007D517D" w:rsidP="007D517D">
            <w:pPr>
              <w:pStyle w:val="Textoindependiente"/>
              <w:jc w:val="both"/>
              <w:rPr>
                <w:rFonts w:ascii="Arial" w:hAnsi="Arial" w:cs="Arial"/>
                <w:b/>
              </w:rPr>
            </w:pPr>
            <w:r w:rsidRPr="00401D3F">
              <w:rPr>
                <w:rFonts w:ascii="Arial" w:hAnsi="Arial" w:cs="Arial"/>
                <w:b/>
              </w:rPr>
              <w:t xml:space="preserve">Considerando… </w:t>
            </w:r>
          </w:p>
          <w:p w14:paraId="3415BD77" w14:textId="77777777" w:rsidR="007D517D" w:rsidRPr="00401D3F" w:rsidRDefault="007D517D" w:rsidP="007D517D">
            <w:pPr>
              <w:pStyle w:val="Textoindependiente"/>
              <w:jc w:val="both"/>
              <w:rPr>
                <w:rFonts w:ascii="Arial" w:hAnsi="Arial" w:cs="Arial"/>
                <w:bCs/>
              </w:rPr>
            </w:pPr>
          </w:p>
          <w:p w14:paraId="41125D51" w14:textId="77777777" w:rsidR="007D517D" w:rsidRPr="00401D3F" w:rsidRDefault="007D517D" w:rsidP="007D517D">
            <w:pPr>
              <w:pStyle w:val="Textoindependiente"/>
              <w:jc w:val="both"/>
              <w:rPr>
                <w:rFonts w:ascii="Arial" w:hAnsi="Arial" w:cs="Arial"/>
                <w:bCs/>
              </w:rPr>
            </w:pPr>
            <w:r w:rsidRPr="00401D3F">
              <w:rPr>
                <w:rFonts w:ascii="Arial" w:hAnsi="Arial" w:cs="Arial"/>
                <w:bCs/>
              </w:rPr>
              <w:t>Que el Canal de Televisión Nacional Telecafé Ltda., en el mes de marzo del año 2024 cambio de Administración bajo la dirección de AMANDA JAIMES MENDOZA identificada con cedula de ciudadanía No. 60358578 y obrando en representación del Canal bajo el número de identificación RUT 890807724-8. Recibe del administrador saliente informe de empalme del Dr MARTIN FERNANDO MONTOYA GARCIA en cumplimiento de la Ley 951 de 2005.</w:t>
            </w:r>
          </w:p>
          <w:p w14:paraId="7892B328" w14:textId="77777777" w:rsidR="007D517D" w:rsidRPr="00401D3F" w:rsidRDefault="007D517D" w:rsidP="007D517D">
            <w:pPr>
              <w:pStyle w:val="Textoindependiente"/>
              <w:jc w:val="both"/>
              <w:rPr>
                <w:rFonts w:ascii="Arial" w:hAnsi="Arial" w:cs="Arial"/>
                <w:bCs/>
              </w:rPr>
            </w:pPr>
          </w:p>
          <w:p w14:paraId="2EEFF15B" w14:textId="77777777" w:rsidR="007D517D" w:rsidRPr="00401D3F" w:rsidRDefault="007D517D" w:rsidP="007D517D">
            <w:pPr>
              <w:pStyle w:val="Textoindependiente"/>
              <w:jc w:val="both"/>
              <w:rPr>
                <w:rFonts w:ascii="Arial" w:hAnsi="Arial" w:cs="Arial"/>
                <w:bCs/>
              </w:rPr>
            </w:pPr>
            <w:r w:rsidRPr="00401D3F">
              <w:rPr>
                <w:rFonts w:ascii="Arial" w:hAnsi="Arial" w:cs="Arial"/>
                <w:b/>
                <w:u w:val="single"/>
              </w:rPr>
              <w:t>Que, dentro del proceso de revisión de la información recibida, se encontraron inconsistencias, las cuales no fue posible su respuesta en la solicitud de ampliación del informe, lo que origino para esta administración la puesta en conocimiento a organismos de control, temas de carácter financiero y contractual</w:t>
            </w:r>
            <w:r w:rsidRPr="00401D3F">
              <w:rPr>
                <w:rFonts w:ascii="Arial" w:hAnsi="Arial" w:cs="Arial"/>
                <w:bCs/>
              </w:rPr>
              <w:t>.</w:t>
            </w:r>
          </w:p>
          <w:p w14:paraId="460AF238" w14:textId="77777777" w:rsidR="007D517D" w:rsidRPr="00401D3F" w:rsidRDefault="007D517D" w:rsidP="007D517D">
            <w:pPr>
              <w:pStyle w:val="Textoindependiente"/>
              <w:jc w:val="both"/>
              <w:rPr>
                <w:rFonts w:ascii="Arial" w:hAnsi="Arial" w:cs="Arial"/>
                <w:bCs/>
              </w:rPr>
            </w:pPr>
          </w:p>
          <w:p w14:paraId="2CFB3718" w14:textId="77777777" w:rsidR="007D517D" w:rsidRPr="00401D3F" w:rsidRDefault="007D517D" w:rsidP="007D517D">
            <w:pPr>
              <w:pStyle w:val="Textoindependiente"/>
              <w:jc w:val="both"/>
              <w:rPr>
                <w:rFonts w:ascii="Arial" w:hAnsi="Arial" w:cs="Arial"/>
                <w:bCs/>
              </w:rPr>
            </w:pPr>
            <w:r w:rsidRPr="00401D3F">
              <w:rPr>
                <w:rFonts w:ascii="Arial" w:hAnsi="Arial" w:cs="Arial"/>
                <w:b/>
                <w:u w:val="single"/>
              </w:rPr>
              <w:lastRenderedPageBreak/>
              <w:t>Que a falta de completitud y claridad en la información contractual y financiera, junto a un inadecuado manejo del software contable y presupuestal, da clara muestra que los estados financieros del año 2023 de Telecafé, no fueron confiables, ni reales, y por tanto se desconociera la realidad y viabilidad financiera encontrada en la entidad</w:t>
            </w:r>
            <w:r w:rsidRPr="00401D3F">
              <w:rPr>
                <w:rFonts w:ascii="Arial" w:hAnsi="Arial" w:cs="Arial"/>
                <w:bCs/>
              </w:rPr>
              <w:t>, los miembros de la Junta Administradora Regional, solicitaron de manera unánime llevar a cabo el ejercicio de una AUDITORIA EXTERNA, con el fin de precisar las situaciones y resultados presentadas en ese periodo.</w:t>
            </w:r>
          </w:p>
          <w:p w14:paraId="3C7D6B03" w14:textId="77777777" w:rsidR="007D517D" w:rsidRPr="00401D3F" w:rsidRDefault="007D517D" w:rsidP="007D517D">
            <w:pPr>
              <w:pStyle w:val="Textoindependiente"/>
              <w:jc w:val="both"/>
              <w:rPr>
                <w:rFonts w:ascii="Arial" w:hAnsi="Arial" w:cs="Arial"/>
                <w:bCs/>
              </w:rPr>
            </w:pPr>
          </w:p>
          <w:p w14:paraId="327F1D05" w14:textId="77777777" w:rsidR="007D517D" w:rsidRPr="00401D3F" w:rsidRDefault="007D517D" w:rsidP="007D517D">
            <w:pPr>
              <w:pStyle w:val="Textoindependiente"/>
              <w:jc w:val="both"/>
              <w:rPr>
                <w:rFonts w:ascii="Arial" w:hAnsi="Arial" w:cs="Arial"/>
                <w:bCs/>
              </w:rPr>
            </w:pPr>
            <w:r w:rsidRPr="00401D3F">
              <w:rPr>
                <w:rFonts w:ascii="Arial" w:hAnsi="Arial" w:cs="Arial"/>
                <w:bCs/>
              </w:rPr>
              <w:t>Que como resultado de la Auditoría externa, según informe recibido el 8 de octubre del 2024 número AI-001-2024, la firma BUSINESS ADVISORY SAS recomienda: “</w:t>
            </w:r>
            <w:r w:rsidRPr="00401D3F">
              <w:rPr>
                <w:rFonts w:ascii="Arial" w:hAnsi="Arial" w:cs="Arial"/>
                <w:b/>
                <w:u w:val="single"/>
              </w:rPr>
              <w:t>Efectuar los ajustes necesarios evaluando su impacto financiero y tributario, debido a que existen errores materiales y estos deben ser Reexpresados</w:t>
            </w:r>
            <w:r w:rsidRPr="00401D3F">
              <w:rPr>
                <w:rFonts w:ascii="Arial" w:hAnsi="Arial" w:cs="Arial"/>
                <w:bCs/>
              </w:rPr>
              <w:t>” y en concordancia con el capítulo VI Normas para la presentación de los Estados Financieros y revelaciones en su numeral 4 de políticas contables, cambios en las estimaciones y correcciones de errores de las Normas de reconocimiento, medición, revelación y presentación del marco normativo para empresas que no cotizan en el mercado de valores y que no captan ni administran ahorro del público (Expedido por la Contaduría General de la Nación)</w:t>
            </w:r>
          </w:p>
          <w:p w14:paraId="518914DE" w14:textId="77777777" w:rsidR="007D517D" w:rsidRPr="00401D3F" w:rsidRDefault="007D517D" w:rsidP="007D517D">
            <w:pPr>
              <w:pStyle w:val="Textoindependiente"/>
              <w:jc w:val="both"/>
              <w:rPr>
                <w:rFonts w:ascii="Arial" w:hAnsi="Arial" w:cs="Arial"/>
                <w:bCs/>
              </w:rPr>
            </w:pPr>
          </w:p>
          <w:p w14:paraId="12F27081" w14:textId="77777777" w:rsidR="007D517D" w:rsidRPr="00401D3F" w:rsidRDefault="007D517D" w:rsidP="007D517D">
            <w:pPr>
              <w:pStyle w:val="Textoindependiente"/>
              <w:jc w:val="both"/>
              <w:rPr>
                <w:rFonts w:ascii="Arial" w:hAnsi="Arial" w:cs="Arial"/>
                <w:bCs/>
              </w:rPr>
            </w:pPr>
            <w:r w:rsidRPr="00401D3F">
              <w:rPr>
                <w:rFonts w:ascii="Arial" w:hAnsi="Arial" w:cs="Arial"/>
                <w:bCs/>
              </w:rPr>
              <w:t>Acatando las observaciones de la Revisoría y la Auditoría externa, se realiza trabajo de Reexpresion de los estados financieros de la vigencia 2023, aprobada por la Junta Regional de Socios del 22 de agosto de 2024, por medio de acta No. 9, con el fin de conocer la verdadera situación de la entidad y contar con información fidedigna y transparente que permita la toma de decisión de manera correcta.</w:t>
            </w:r>
          </w:p>
          <w:p w14:paraId="79D2AEE5" w14:textId="77777777" w:rsidR="007D517D" w:rsidRPr="00401D3F" w:rsidRDefault="007D517D" w:rsidP="007D517D">
            <w:pPr>
              <w:pStyle w:val="Textoindependiente"/>
              <w:jc w:val="both"/>
              <w:rPr>
                <w:rFonts w:ascii="Arial" w:hAnsi="Arial" w:cs="Arial"/>
                <w:bCs/>
              </w:rPr>
            </w:pPr>
          </w:p>
          <w:p w14:paraId="228C8393" w14:textId="77777777" w:rsidR="007D517D" w:rsidRPr="00401D3F" w:rsidRDefault="007D517D" w:rsidP="007D517D">
            <w:pPr>
              <w:pStyle w:val="Textoindependiente"/>
              <w:jc w:val="both"/>
              <w:rPr>
                <w:rFonts w:ascii="Arial" w:hAnsi="Arial" w:cs="Arial"/>
                <w:bCs/>
              </w:rPr>
            </w:pPr>
            <w:r w:rsidRPr="00401D3F">
              <w:rPr>
                <w:rFonts w:ascii="Arial" w:hAnsi="Arial" w:cs="Arial"/>
                <w:bCs/>
              </w:rPr>
              <w:t xml:space="preserve">Como resultado de la Reexpresion de los estados financieros, se evidencia errores materiales en las afirmaciones sobre tipos de transacciones, saldos contables o revelaciones </w:t>
            </w:r>
          </w:p>
          <w:p w14:paraId="03A065F6" w14:textId="77777777" w:rsidR="007D517D" w:rsidRPr="00401D3F" w:rsidRDefault="007D517D" w:rsidP="007D517D">
            <w:pPr>
              <w:pStyle w:val="Textoindependiente"/>
              <w:jc w:val="both"/>
              <w:rPr>
                <w:rFonts w:ascii="Arial" w:hAnsi="Arial" w:cs="Arial"/>
                <w:bCs/>
              </w:rPr>
            </w:pPr>
          </w:p>
          <w:tbl>
            <w:tblPr>
              <w:tblStyle w:val="Tablaconcuadrcula"/>
              <w:tblW w:w="0" w:type="auto"/>
              <w:tblInd w:w="319" w:type="dxa"/>
              <w:tblLook w:val="04A0" w:firstRow="1" w:lastRow="0" w:firstColumn="1" w:lastColumn="0" w:noHBand="0" w:noVBand="1"/>
            </w:tblPr>
            <w:tblGrid>
              <w:gridCol w:w="2939"/>
              <w:gridCol w:w="2276"/>
              <w:gridCol w:w="1907"/>
              <w:gridCol w:w="1667"/>
            </w:tblGrid>
            <w:tr w:rsidR="007D517D" w:rsidRPr="00401D3F" w14:paraId="326DACBF" w14:textId="77777777" w:rsidTr="00994680">
              <w:tc>
                <w:tcPr>
                  <w:tcW w:w="2939" w:type="dxa"/>
                </w:tcPr>
                <w:p w14:paraId="3B7453C0" w14:textId="77777777" w:rsidR="007D517D" w:rsidRPr="00401D3F" w:rsidRDefault="007D517D" w:rsidP="007D517D">
                  <w:pPr>
                    <w:pStyle w:val="Textoindependiente"/>
                    <w:jc w:val="center"/>
                    <w:rPr>
                      <w:rFonts w:ascii="Arial" w:hAnsi="Arial" w:cs="Arial"/>
                      <w:b/>
                    </w:rPr>
                  </w:pPr>
                  <w:r w:rsidRPr="00401D3F">
                    <w:rPr>
                      <w:rFonts w:ascii="Arial" w:hAnsi="Arial" w:cs="Arial"/>
                      <w:b/>
                    </w:rPr>
                    <w:t>CUENTAS DE BALANCE Y DE RESULTADOS</w:t>
                  </w:r>
                </w:p>
              </w:tc>
              <w:tc>
                <w:tcPr>
                  <w:tcW w:w="2276" w:type="dxa"/>
                </w:tcPr>
                <w:p w14:paraId="78BDCE3B" w14:textId="77777777" w:rsidR="007D517D" w:rsidRPr="00401D3F" w:rsidRDefault="007D517D" w:rsidP="007D517D">
                  <w:pPr>
                    <w:pStyle w:val="Textoindependiente"/>
                    <w:jc w:val="center"/>
                    <w:rPr>
                      <w:rFonts w:ascii="Arial" w:hAnsi="Arial" w:cs="Arial"/>
                      <w:b/>
                    </w:rPr>
                  </w:pPr>
                  <w:r w:rsidRPr="00401D3F">
                    <w:rPr>
                      <w:rFonts w:ascii="Arial" w:hAnsi="Arial" w:cs="Arial"/>
                      <w:b/>
                    </w:rPr>
                    <w:t>01-01-23</w:t>
                  </w:r>
                </w:p>
                <w:p w14:paraId="249D9357" w14:textId="77777777" w:rsidR="007D517D" w:rsidRPr="00401D3F" w:rsidRDefault="007D517D" w:rsidP="007D517D">
                  <w:pPr>
                    <w:pStyle w:val="Textoindependiente"/>
                    <w:jc w:val="center"/>
                    <w:rPr>
                      <w:rFonts w:ascii="Arial" w:hAnsi="Arial" w:cs="Arial"/>
                      <w:b/>
                    </w:rPr>
                  </w:pPr>
                  <w:r w:rsidRPr="00401D3F">
                    <w:rPr>
                      <w:rFonts w:ascii="Arial" w:hAnsi="Arial" w:cs="Arial"/>
                      <w:b/>
                    </w:rPr>
                    <w:t>31-12-23</w:t>
                  </w:r>
                </w:p>
                <w:p w14:paraId="4C2A2548" w14:textId="77777777" w:rsidR="007D517D" w:rsidRPr="00401D3F" w:rsidRDefault="007D517D" w:rsidP="007D517D">
                  <w:pPr>
                    <w:pStyle w:val="Textoindependiente"/>
                    <w:jc w:val="center"/>
                    <w:rPr>
                      <w:rFonts w:ascii="Arial" w:hAnsi="Arial" w:cs="Arial"/>
                      <w:b/>
                    </w:rPr>
                  </w:pPr>
                  <w:r w:rsidRPr="00401D3F">
                    <w:rPr>
                      <w:rFonts w:ascii="Arial" w:hAnsi="Arial" w:cs="Arial"/>
                      <w:b/>
                    </w:rPr>
                    <w:t>REEXPRESADO</w:t>
                  </w:r>
                </w:p>
              </w:tc>
              <w:tc>
                <w:tcPr>
                  <w:tcW w:w="1907" w:type="dxa"/>
                </w:tcPr>
                <w:p w14:paraId="07E5093C" w14:textId="77777777" w:rsidR="007D517D" w:rsidRPr="00401D3F" w:rsidRDefault="007D517D" w:rsidP="007D517D">
                  <w:pPr>
                    <w:pStyle w:val="Textoindependiente"/>
                    <w:jc w:val="center"/>
                    <w:rPr>
                      <w:rFonts w:ascii="Arial" w:hAnsi="Arial" w:cs="Arial"/>
                      <w:b/>
                    </w:rPr>
                  </w:pPr>
                  <w:r w:rsidRPr="00401D3F">
                    <w:rPr>
                      <w:rFonts w:ascii="Arial" w:hAnsi="Arial" w:cs="Arial"/>
                      <w:b/>
                    </w:rPr>
                    <w:t>01-01-23</w:t>
                  </w:r>
                </w:p>
                <w:p w14:paraId="78A0009C" w14:textId="77777777" w:rsidR="007D517D" w:rsidRPr="00401D3F" w:rsidRDefault="007D517D" w:rsidP="007D517D">
                  <w:pPr>
                    <w:pStyle w:val="Textoindependiente"/>
                    <w:jc w:val="center"/>
                    <w:rPr>
                      <w:rFonts w:ascii="Arial" w:hAnsi="Arial" w:cs="Arial"/>
                      <w:b/>
                    </w:rPr>
                  </w:pPr>
                  <w:r w:rsidRPr="00401D3F">
                    <w:rPr>
                      <w:rFonts w:ascii="Arial" w:hAnsi="Arial" w:cs="Arial"/>
                      <w:b/>
                    </w:rPr>
                    <w:t>31-12-23</w:t>
                  </w:r>
                </w:p>
              </w:tc>
              <w:tc>
                <w:tcPr>
                  <w:tcW w:w="1667" w:type="dxa"/>
                </w:tcPr>
                <w:p w14:paraId="2D445B42" w14:textId="77777777" w:rsidR="007D517D" w:rsidRPr="00401D3F" w:rsidRDefault="007D517D" w:rsidP="007D517D">
                  <w:pPr>
                    <w:pStyle w:val="Textoindependiente"/>
                    <w:jc w:val="center"/>
                    <w:rPr>
                      <w:rFonts w:ascii="Arial" w:hAnsi="Arial" w:cs="Arial"/>
                      <w:b/>
                    </w:rPr>
                  </w:pPr>
                  <w:r w:rsidRPr="00401D3F">
                    <w:rPr>
                      <w:rFonts w:ascii="Arial" w:hAnsi="Arial" w:cs="Arial"/>
                      <w:b/>
                    </w:rPr>
                    <w:t>VARIACION</w:t>
                  </w:r>
                </w:p>
              </w:tc>
            </w:tr>
            <w:tr w:rsidR="007D517D" w:rsidRPr="00401D3F" w14:paraId="6B823289" w14:textId="77777777" w:rsidTr="00994680">
              <w:tc>
                <w:tcPr>
                  <w:tcW w:w="2939" w:type="dxa"/>
                </w:tcPr>
                <w:p w14:paraId="3488F6F3" w14:textId="77777777" w:rsidR="007D517D" w:rsidRPr="00401D3F" w:rsidRDefault="007D517D" w:rsidP="007D517D">
                  <w:pPr>
                    <w:pStyle w:val="Textoindependiente"/>
                    <w:jc w:val="both"/>
                    <w:rPr>
                      <w:rFonts w:ascii="Arial" w:hAnsi="Arial" w:cs="Arial"/>
                      <w:bCs/>
                    </w:rPr>
                  </w:pPr>
                </w:p>
              </w:tc>
              <w:tc>
                <w:tcPr>
                  <w:tcW w:w="2276" w:type="dxa"/>
                </w:tcPr>
                <w:p w14:paraId="0576A0C6" w14:textId="77777777" w:rsidR="007D517D" w:rsidRPr="00401D3F" w:rsidRDefault="007D517D" w:rsidP="007D517D">
                  <w:pPr>
                    <w:pStyle w:val="Textoindependiente"/>
                    <w:jc w:val="both"/>
                    <w:rPr>
                      <w:rFonts w:ascii="Arial" w:hAnsi="Arial" w:cs="Arial"/>
                      <w:bCs/>
                    </w:rPr>
                  </w:pPr>
                </w:p>
              </w:tc>
              <w:tc>
                <w:tcPr>
                  <w:tcW w:w="1907" w:type="dxa"/>
                </w:tcPr>
                <w:p w14:paraId="33026CE6" w14:textId="77777777" w:rsidR="007D517D" w:rsidRPr="00401D3F" w:rsidRDefault="007D517D" w:rsidP="007D517D">
                  <w:pPr>
                    <w:pStyle w:val="Textoindependiente"/>
                    <w:jc w:val="both"/>
                    <w:rPr>
                      <w:rFonts w:ascii="Arial" w:hAnsi="Arial" w:cs="Arial"/>
                      <w:bCs/>
                    </w:rPr>
                  </w:pPr>
                </w:p>
              </w:tc>
              <w:tc>
                <w:tcPr>
                  <w:tcW w:w="1667" w:type="dxa"/>
                </w:tcPr>
                <w:p w14:paraId="7F188A65" w14:textId="77777777" w:rsidR="007D517D" w:rsidRPr="00401D3F" w:rsidRDefault="007D517D" w:rsidP="007D517D">
                  <w:pPr>
                    <w:pStyle w:val="Textoindependiente"/>
                    <w:jc w:val="both"/>
                    <w:rPr>
                      <w:rFonts w:ascii="Arial" w:hAnsi="Arial" w:cs="Arial"/>
                      <w:bCs/>
                    </w:rPr>
                  </w:pPr>
                </w:p>
              </w:tc>
            </w:tr>
            <w:tr w:rsidR="007D517D" w:rsidRPr="00401D3F" w14:paraId="3D2A49EA" w14:textId="77777777" w:rsidTr="00994680">
              <w:tc>
                <w:tcPr>
                  <w:tcW w:w="2939" w:type="dxa"/>
                </w:tcPr>
                <w:p w14:paraId="7CD996B2" w14:textId="77777777" w:rsidR="007D517D" w:rsidRPr="00401D3F" w:rsidRDefault="007D517D" w:rsidP="007D517D">
                  <w:pPr>
                    <w:pStyle w:val="Textoindependiente"/>
                    <w:jc w:val="both"/>
                    <w:rPr>
                      <w:rFonts w:ascii="Arial" w:hAnsi="Arial" w:cs="Arial"/>
                      <w:b/>
                    </w:rPr>
                  </w:pPr>
                  <w:r w:rsidRPr="00401D3F">
                    <w:rPr>
                      <w:rFonts w:ascii="Arial" w:hAnsi="Arial" w:cs="Arial"/>
                      <w:b/>
                    </w:rPr>
                    <w:t>RESULTADO DEL PERIODO</w:t>
                  </w:r>
                </w:p>
              </w:tc>
              <w:tc>
                <w:tcPr>
                  <w:tcW w:w="2276" w:type="dxa"/>
                </w:tcPr>
                <w:p w14:paraId="42771E47" w14:textId="77777777" w:rsidR="007D517D" w:rsidRPr="00401D3F" w:rsidRDefault="007D517D" w:rsidP="007D517D">
                  <w:pPr>
                    <w:pStyle w:val="Textoindependiente"/>
                    <w:jc w:val="right"/>
                    <w:rPr>
                      <w:rFonts w:ascii="Arial" w:hAnsi="Arial" w:cs="Arial"/>
                      <w:bCs/>
                    </w:rPr>
                  </w:pPr>
                  <w:r w:rsidRPr="00401D3F">
                    <w:rPr>
                      <w:rFonts w:ascii="Arial" w:hAnsi="Arial" w:cs="Arial"/>
                      <w:bCs/>
                    </w:rPr>
                    <w:t>-15.224.164.291</w:t>
                  </w:r>
                </w:p>
              </w:tc>
              <w:tc>
                <w:tcPr>
                  <w:tcW w:w="1907" w:type="dxa"/>
                </w:tcPr>
                <w:p w14:paraId="6ED16E1F" w14:textId="77777777" w:rsidR="007D517D" w:rsidRPr="00401D3F" w:rsidRDefault="007D517D" w:rsidP="007D517D">
                  <w:pPr>
                    <w:pStyle w:val="Textoindependiente"/>
                    <w:jc w:val="right"/>
                    <w:rPr>
                      <w:rFonts w:ascii="Arial" w:hAnsi="Arial" w:cs="Arial"/>
                      <w:bCs/>
                    </w:rPr>
                  </w:pPr>
                  <w:r w:rsidRPr="00401D3F">
                    <w:rPr>
                      <w:rFonts w:ascii="Arial" w:hAnsi="Arial" w:cs="Arial"/>
                      <w:bCs/>
                    </w:rPr>
                    <w:t>-5.136.277.366</w:t>
                  </w:r>
                </w:p>
              </w:tc>
              <w:tc>
                <w:tcPr>
                  <w:tcW w:w="1667" w:type="dxa"/>
                </w:tcPr>
                <w:p w14:paraId="737A7D6A" w14:textId="77777777" w:rsidR="007D517D" w:rsidRPr="00401D3F" w:rsidRDefault="007D517D" w:rsidP="007D517D">
                  <w:pPr>
                    <w:pStyle w:val="Textoindependiente"/>
                    <w:jc w:val="right"/>
                    <w:rPr>
                      <w:rFonts w:ascii="Arial" w:hAnsi="Arial" w:cs="Arial"/>
                      <w:bCs/>
                    </w:rPr>
                  </w:pPr>
                  <w:r w:rsidRPr="00401D3F">
                    <w:rPr>
                      <w:rFonts w:ascii="Arial" w:hAnsi="Arial" w:cs="Arial"/>
                      <w:bCs/>
                    </w:rPr>
                    <w:t>-10.087.886.925</w:t>
                  </w:r>
                </w:p>
              </w:tc>
            </w:tr>
            <w:tr w:rsidR="007D517D" w:rsidRPr="00401D3F" w14:paraId="75DC461C" w14:textId="77777777" w:rsidTr="00994680">
              <w:tc>
                <w:tcPr>
                  <w:tcW w:w="2939" w:type="dxa"/>
                </w:tcPr>
                <w:p w14:paraId="1A6259F8" w14:textId="77777777" w:rsidR="007D517D" w:rsidRPr="00401D3F" w:rsidRDefault="007D517D" w:rsidP="007D517D">
                  <w:pPr>
                    <w:pStyle w:val="Textoindependiente"/>
                    <w:jc w:val="both"/>
                    <w:rPr>
                      <w:rFonts w:ascii="Arial" w:hAnsi="Arial" w:cs="Arial"/>
                      <w:b/>
                    </w:rPr>
                  </w:pPr>
                </w:p>
              </w:tc>
              <w:tc>
                <w:tcPr>
                  <w:tcW w:w="2276" w:type="dxa"/>
                </w:tcPr>
                <w:p w14:paraId="4A224F44" w14:textId="77777777" w:rsidR="007D517D" w:rsidRPr="00401D3F" w:rsidRDefault="007D517D" w:rsidP="007D517D">
                  <w:pPr>
                    <w:pStyle w:val="Textoindependiente"/>
                    <w:jc w:val="right"/>
                    <w:rPr>
                      <w:rFonts w:ascii="Arial" w:hAnsi="Arial" w:cs="Arial"/>
                      <w:bCs/>
                    </w:rPr>
                  </w:pPr>
                </w:p>
              </w:tc>
              <w:tc>
                <w:tcPr>
                  <w:tcW w:w="1907" w:type="dxa"/>
                </w:tcPr>
                <w:p w14:paraId="2147CB2E" w14:textId="77777777" w:rsidR="007D517D" w:rsidRPr="00401D3F" w:rsidRDefault="007D517D" w:rsidP="007D517D">
                  <w:pPr>
                    <w:pStyle w:val="Textoindependiente"/>
                    <w:jc w:val="right"/>
                    <w:rPr>
                      <w:rFonts w:ascii="Arial" w:hAnsi="Arial" w:cs="Arial"/>
                      <w:bCs/>
                    </w:rPr>
                  </w:pPr>
                </w:p>
              </w:tc>
              <w:tc>
                <w:tcPr>
                  <w:tcW w:w="1667" w:type="dxa"/>
                </w:tcPr>
                <w:p w14:paraId="5A4A77A1" w14:textId="77777777" w:rsidR="007D517D" w:rsidRPr="00401D3F" w:rsidRDefault="007D517D" w:rsidP="007D517D">
                  <w:pPr>
                    <w:pStyle w:val="Textoindependiente"/>
                    <w:jc w:val="right"/>
                    <w:rPr>
                      <w:rFonts w:ascii="Arial" w:hAnsi="Arial" w:cs="Arial"/>
                      <w:bCs/>
                    </w:rPr>
                  </w:pPr>
                </w:p>
              </w:tc>
            </w:tr>
            <w:tr w:rsidR="007D517D" w:rsidRPr="00401D3F" w14:paraId="248E2F4C" w14:textId="77777777" w:rsidTr="00994680">
              <w:tc>
                <w:tcPr>
                  <w:tcW w:w="2939" w:type="dxa"/>
                </w:tcPr>
                <w:p w14:paraId="1E7A8C39" w14:textId="77777777" w:rsidR="007D517D" w:rsidRPr="00401D3F" w:rsidRDefault="007D517D" w:rsidP="007D517D">
                  <w:pPr>
                    <w:pStyle w:val="Textoindependiente"/>
                    <w:jc w:val="both"/>
                    <w:rPr>
                      <w:rFonts w:ascii="Arial" w:hAnsi="Arial" w:cs="Arial"/>
                      <w:b/>
                    </w:rPr>
                  </w:pPr>
                  <w:r w:rsidRPr="00401D3F">
                    <w:rPr>
                      <w:rFonts w:ascii="Arial" w:hAnsi="Arial" w:cs="Arial"/>
                      <w:b/>
                    </w:rPr>
                    <w:t>TOTAL, ACTIVOS</w:t>
                  </w:r>
                </w:p>
              </w:tc>
              <w:tc>
                <w:tcPr>
                  <w:tcW w:w="2276" w:type="dxa"/>
                </w:tcPr>
                <w:p w14:paraId="5E62177C" w14:textId="77777777" w:rsidR="007D517D" w:rsidRPr="00401D3F" w:rsidRDefault="007D517D" w:rsidP="007D517D">
                  <w:pPr>
                    <w:pStyle w:val="Textoindependiente"/>
                    <w:jc w:val="right"/>
                    <w:rPr>
                      <w:rFonts w:ascii="Arial" w:hAnsi="Arial" w:cs="Arial"/>
                      <w:bCs/>
                    </w:rPr>
                  </w:pPr>
                  <w:r w:rsidRPr="00401D3F">
                    <w:rPr>
                      <w:rFonts w:ascii="Arial" w:hAnsi="Arial" w:cs="Arial"/>
                      <w:bCs/>
                    </w:rPr>
                    <w:t>41.859.603.813</w:t>
                  </w:r>
                </w:p>
              </w:tc>
              <w:tc>
                <w:tcPr>
                  <w:tcW w:w="1907" w:type="dxa"/>
                </w:tcPr>
                <w:p w14:paraId="742BD366" w14:textId="77777777" w:rsidR="007D517D" w:rsidRPr="00401D3F" w:rsidRDefault="007D517D" w:rsidP="007D517D">
                  <w:pPr>
                    <w:pStyle w:val="Textoindependiente"/>
                    <w:jc w:val="right"/>
                    <w:rPr>
                      <w:rFonts w:ascii="Arial" w:hAnsi="Arial" w:cs="Arial"/>
                      <w:bCs/>
                    </w:rPr>
                  </w:pPr>
                  <w:r w:rsidRPr="00401D3F">
                    <w:rPr>
                      <w:rFonts w:ascii="Arial" w:hAnsi="Arial" w:cs="Arial"/>
                      <w:bCs/>
                    </w:rPr>
                    <w:t>47.225.842.840</w:t>
                  </w:r>
                </w:p>
              </w:tc>
              <w:tc>
                <w:tcPr>
                  <w:tcW w:w="1667" w:type="dxa"/>
                </w:tcPr>
                <w:p w14:paraId="5059EAB6" w14:textId="77777777" w:rsidR="007D517D" w:rsidRPr="00401D3F" w:rsidRDefault="007D517D" w:rsidP="007D517D">
                  <w:pPr>
                    <w:pStyle w:val="Textoindependiente"/>
                    <w:jc w:val="right"/>
                    <w:rPr>
                      <w:rFonts w:ascii="Arial" w:hAnsi="Arial" w:cs="Arial"/>
                      <w:bCs/>
                    </w:rPr>
                  </w:pPr>
                  <w:r w:rsidRPr="00401D3F">
                    <w:rPr>
                      <w:rFonts w:ascii="Arial" w:hAnsi="Arial" w:cs="Arial"/>
                      <w:bCs/>
                    </w:rPr>
                    <w:t>-5.366.239.027</w:t>
                  </w:r>
                </w:p>
              </w:tc>
            </w:tr>
            <w:tr w:rsidR="007D517D" w:rsidRPr="00401D3F" w14:paraId="24C8400F" w14:textId="77777777" w:rsidTr="00994680">
              <w:tc>
                <w:tcPr>
                  <w:tcW w:w="2939" w:type="dxa"/>
                </w:tcPr>
                <w:p w14:paraId="7DB92EA7" w14:textId="77777777" w:rsidR="007D517D" w:rsidRPr="00401D3F" w:rsidRDefault="007D517D" w:rsidP="007D517D">
                  <w:pPr>
                    <w:pStyle w:val="Textoindependiente"/>
                    <w:jc w:val="both"/>
                    <w:rPr>
                      <w:rFonts w:ascii="Arial" w:hAnsi="Arial" w:cs="Arial"/>
                      <w:b/>
                    </w:rPr>
                  </w:pPr>
                </w:p>
              </w:tc>
              <w:tc>
                <w:tcPr>
                  <w:tcW w:w="2276" w:type="dxa"/>
                </w:tcPr>
                <w:p w14:paraId="443FB7C6" w14:textId="77777777" w:rsidR="007D517D" w:rsidRPr="00401D3F" w:rsidRDefault="007D517D" w:rsidP="007D517D">
                  <w:pPr>
                    <w:pStyle w:val="Textoindependiente"/>
                    <w:jc w:val="right"/>
                    <w:rPr>
                      <w:rFonts w:ascii="Arial" w:hAnsi="Arial" w:cs="Arial"/>
                      <w:bCs/>
                    </w:rPr>
                  </w:pPr>
                </w:p>
              </w:tc>
              <w:tc>
                <w:tcPr>
                  <w:tcW w:w="1907" w:type="dxa"/>
                </w:tcPr>
                <w:p w14:paraId="5B7A118D" w14:textId="77777777" w:rsidR="007D517D" w:rsidRPr="00401D3F" w:rsidRDefault="007D517D" w:rsidP="007D517D">
                  <w:pPr>
                    <w:pStyle w:val="Textoindependiente"/>
                    <w:jc w:val="right"/>
                    <w:rPr>
                      <w:rFonts w:ascii="Arial" w:hAnsi="Arial" w:cs="Arial"/>
                      <w:bCs/>
                    </w:rPr>
                  </w:pPr>
                </w:p>
              </w:tc>
              <w:tc>
                <w:tcPr>
                  <w:tcW w:w="1667" w:type="dxa"/>
                </w:tcPr>
                <w:p w14:paraId="75003A44" w14:textId="77777777" w:rsidR="007D517D" w:rsidRPr="00401D3F" w:rsidRDefault="007D517D" w:rsidP="007D517D">
                  <w:pPr>
                    <w:pStyle w:val="Textoindependiente"/>
                    <w:jc w:val="right"/>
                    <w:rPr>
                      <w:rFonts w:ascii="Arial" w:hAnsi="Arial" w:cs="Arial"/>
                      <w:bCs/>
                    </w:rPr>
                  </w:pPr>
                </w:p>
              </w:tc>
            </w:tr>
            <w:tr w:rsidR="007D517D" w:rsidRPr="00401D3F" w14:paraId="25072EDD" w14:textId="77777777" w:rsidTr="00994680">
              <w:tc>
                <w:tcPr>
                  <w:tcW w:w="2939" w:type="dxa"/>
                </w:tcPr>
                <w:p w14:paraId="314E54F2" w14:textId="77777777" w:rsidR="007D517D" w:rsidRPr="00401D3F" w:rsidRDefault="007D517D" w:rsidP="007D517D">
                  <w:pPr>
                    <w:pStyle w:val="Textoindependiente"/>
                    <w:jc w:val="both"/>
                    <w:rPr>
                      <w:rFonts w:ascii="Arial" w:hAnsi="Arial" w:cs="Arial"/>
                      <w:b/>
                    </w:rPr>
                  </w:pPr>
                  <w:r w:rsidRPr="00401D3F">
                    <w:rPr>
                      <w:rFonts w:ascii="Arial" w:hAnsi="Arial" w:cs="Arial"/>
                      <w:b/>
                    </w:rPr>
                    <w:t>PASIVOS</w:t>
                  </w:r>
                </w:p>
              </w:tc>
              <w:tc>
                <w:tcPr>
                  <w:tcW w:w="2276" w:type="dxa"/>
                </w:tcPr>
                <w:p w14:paraId="251D850F" w14:textId="77777777" w:rsidR="007D517D" w:rsidRPr="00401D3F" w:rsidRDefault="007D517D" w:rsidP="007D517D">
                  <w:pPr>
                    <w:pStyle w:val="Textoindependiente"/>
                    <w:jc w:val="right"/>
                    <w:rPr>
                      <w:rFonts w:ascii="Arial" w:hAnsi="Arial" w:cs="Arial"/>
                      <w:bCs/>
                    </w:rPr>
                  </w:pPr>
                  <w:r w:rsidRPr="00401D3F">
                    <w:rPr>
                      <w:rFonts w:ascii="Arial" w:hAnsi="Arial" w:cs="Arial"/>
                      <w:bCs/>
                    </w:rPr>
                    <w:t>33.337.248.330</w:t>
                  </w:r>
                </w:p>
              </w:tc>
              <w:tc>
                <w:tcPr>
                  <w:tcW w:w="1907" w:type="dxa"/>
                </w:tcPr>
                <w:p w14:paraId="78864C50" w14:textId="77777777" w:rsidR="007D517D" w:rsidRPr="00401D3F" w:rsidRDefault="007D517D" w:rsidP="007D517D">
                  <w:pPr>
                    <w:pStyle w:val="Textoindependiente"/>
                    <w:jc w:val="right"/>
                    <w:rPr>
                      <w:rFonts w:ascii="Arial" w:hAnsi="Arial" w:cs="Arial"/>
                      <w:bCs/>
                    </w:rPr>
                  </w:pPr>
                  <w:r w:rsidRPr="00401D3F">
                    <w:rPr>
                      <w:rFonts w:ascii="Arial" w:hAnsi="Arial" w:cs="Arial"/>
                      <w:bCs/>
                    </w:rPr>
                    <w:t>28.615.600.432</w:t>
                  </w:r>
                </w:p>
              </w:tc>
              <w:tc>
                <w:tcPr>
                  <w:tcW w:w="1667" w:type="dxa"/>
                </w:tcPr>
                <w:p w14:paraId="532A9E49" w14:textId="77777777" w:rsidR="007D517D" w:rsidRPr="00401D3F" w:rsidRDefault="007D517D" w:rsidP="007D517D">
                  <w:pPr>
                    <w:pStyle w:val="Textoindependiente"/>
                    <w:jc w:val="right"/>
                    <w:rPr>
                      <w:rFonts w:ascii="Arial" w:hAnsi="Arial" w:cs="Arial"/>
                      <w:bCs/>
                    </w:rPr>
                  </w:pPr>
                  <w:r w:rsidRPr="00401D3F">
                    <w:rPr>
                      <w:rFonts w:ascii="Arial" w:hAnsi="Arial" w:cs="Arial"/>
                      <w:bCs/>
                    </w:rPr>
                    <w:t>4.721.647.898</w:t>
                  </w:r>
                </w:p>
              </w:tc>
            </w:tr>
            <w:tr w:rsidR="007D517D" w:rsidRPr="00401D3F" w14:paraId="7F12100B" w14:textId="77777777" w:rsidTr="00994680">
              <w:tc>
                <w:tcPr>
                  <w:tcW w:w="2939" w:type="dxa"/>
                </w:tcPr>
                <w:p w14:paraId="1F9D8DAF" w14:textId="77777777" w:rsidR="007D517D" w:rsidRPr="00401D3F" w:rsidRDefault="007D517D" w:rsidP="007D517D">
                  <w:pPr>
                    <w:pStyle w:val="Textoindependiente"/>
                    <w:jc w:val="both"/>
                    <w:rPr>
                      <w:rFonts w:ascii="Arial" w:hAnsi="Arial" w:cs="Arial"/>
                      <w:b/>
                    </w:rPr>
                  </w:pPr>
                </w:p>
              </w:tc>
              <w:tc>
                <w:tcPr>
                  <w:tcW w:w="2276" w:type="dxa"/>
                </w:tcPr>
                <w:p w14:paraId="7A512B4B" w14:textId="77777777" w:rsidR="007D517D" w:rsidRPr="00401D3F" w:rsidRDefault="007D517D" w:rsidP="007D517D">
                  <w:pPr>
                    <w:pStyle w:val="Textoindependiente"/>
                    <w:jc w:val="right"/>
                    <w:rPr>
                      <w:rFonts w:ascii="Arial" w:hAnsi="Arial" w:cs="Arial"/>
                      <w:bCs/>
                    </w:rPr>
                  </w:pPr>
                </w:p>
              </w:tc>
              <w:tc>
                <w:tcPr>
                  <w:tcW w:w="1907" w:type="dxa"/>
                </w:tcPr>
                <w:p w14:paraId="16F6C958" w14:textId="77777777" w:rsidR="007D517D" w:rsidRPr="00401D3F" w:rsidRDefault="007D517D" w:rsidP="007D517D">
                  <w:pPr>
                    <w:pStyle w:val="Textoindependiente"/>
                    <w:jc w:val="right"/>
                    <w:rPr>
                      <w:rFonts w:ascii="Arial" w:hAnsi="Arial" w:cs="Arial"/>
                      <w:bCs/>
                    </w:rPr>
                  </w:pPr>
                </w:p>
              </w:tc>
              <w:tc>
                <w:tcPr>
                  <w:tcW w:w="1667" w:type="dxa"/>
                </w:tcPr>
                <w:p w14:paraId="1496FA6E" w14:textId="77777777" w:rsidR="007D517D" w:rsidRPr="00401D3F" w:rsidRDefault="007D517D" w:rsidP="007D517D">
                  <w:pPr>
                    <w:pStyle w:val="Textoindependiente"/>
                    <w:jc w:val="right"/>
                    <w:rPr>
                      <w:rFonts w:ascii="Arial" w:hAnsi="Arial" w:cs="Arial"/>
                      <w:bCs/>
                    </w:rPr>
                  </w:pPr>
                </w:p>
              </w:tc>
            </w:tr>
            <w:tr w:rsidR="007D517D" w:rsidRPr="00401D3F" w14:paraId="3BAD3A8B" w14:textId="77777777" w:rsidTr="00994680">
              <w:tc>
                <w:tcPr>
                  <w:tcW w:w="2939" w:type="dxa"/>
                </w:tcPr>
                <w:p w14:paraId="72FE7E23" w14:textId="77777777" w:rsidR="007D517D" w:rsidRPr="00401D3F" w:rsidRDefault="007D517D" w:rsidP="007D517D">
                  <w:pPr>
                    <w:pStyle w:val="Textoindependiente"/>
                    <w:jc w:val="both"/>
                    <w:rPr>
                      <w:rFonts w:ascii="Arial" w:hAnsi="Arial" w:cs="Arial"/>
                      <w:b/>
                    </w:rPr>
                  </w:pPr>
                  <w:r w:rsidRPr="00401D3F">
                    <w:rPr>
                      <w:rFonts w:ascii="Arial" w:hAnsi="Arial" w:cs="Arial"/>
                      <w:b/>
                    </w:rPr>
                    <w:t xml:space="preserve">PATRIMONIO </w:t>
                  </w:r>
                </w:p>
              </w:tc>
              <w:tc>
                <w:tcPr>
                  <w:tcW w:w="2276" w:type="dxa"/>
                </w:tcPr>
                <w:p w14:paraId="283A0691" w14:textId="77777777" w:rsidR="007D517D" w:rsidRPr="00401D3F" w:rsidRDefault="007D517D" w:rsidP="007D517D">
                  <w:pPr>
                    <w:pStyle w:val="Textoindependiente"/>
                    <w:jc w:val="right"/>
                    <w:rPr>
                      <w:rFonts w:ascii="Arial" w:hAnsi="Arial" w:cs="Arial"/>
                      <w:bCs/>
                    </w:rPr>
                  </w:pPr>
                  <w:r w:rsidRPr="00401D3F">
                    <w:rPr>
                      <w:rFonts w:ascii="Arial" w:hAnsi="Arial" w:cs="Arial"/>
                      <w:bCs/>
                    </w:rPr>
                    <w:t>8.522.355.483</w:t>
                  </w:r>
                </w:p>
              </w:tc>
              <w:tc>
                <w:tcPr>
                  <w:tcW w:w="1907" w:type="dxa"/>
                </w:tcPr>
                <w:p w14:paraId="551ABA46" w14:textId="77777777" w:rsidR="007D517D" w:rsidRPr="00401D3F" w:rsidRDefault="007D517D" w:rsidP="007D517D">
                  <w:pPr>
                    <w:pStyle w:val="Textoindependiente"/>
                    <w:jc w:val="right"/>
                    <w:rPr>
                      <w:rFonts w:ascii="Arial" w:hAnsi="Arial" w:cs="Arial"/>
                      <w:bCs/>
                    </w:rPr>
                  </w:pPr>
                  <w:r w:rsidRPr="00401D3F">
                    <w:rPr>
                      <w:rFonts w:ascii="Arial" w:hAnsi="Arial" w:cs="Arial"/>
                      <w:bCs/>
                    </w:rPr>
                    <w:t>18.610.242.408</w:t>
                  </w:r>
                </w:p>
              </w:tc>
              <w:tc>
                <w:tcPr>
                  <w:tcW w:w="1667" w:type="dxa"/>
                </w:tcPr>
                <w:p w14:paraId="7D68E1D9" w14:textId="77777777" w:rsidR="007D517D" w:rsidRPr="00401D3F" w:rsidRDefault="007D517D" w:rsidP="007D517D">
                  <w:pPr>
                    <w:pStyle w:val="Textoindependiente"/>
                    <w:jc w:val="right"/>
                    <w:rPr>
                      <w:rFonts w:ascii="Arial" w:hAnsi="Arial" w:cs="Arial"/>
                      <w:bCs/>
                    </w:rPr>
                  </w:pPr>
                  <w:r w:rsidRPr="00401D3F">
                    <w:rPr>
                      <w:rFonts w:ascii="Arial" w:hAnsi="Arial" w:cs="Arial"/>
                      <w:bCs/>
                    </w:rPr>
                    <w:t>-10.087.886.925</w:t>
                  </w:r>
                </w:p>
              </w:tc>
            </w:tr>
          </w:tbl>
          <w:p w14:paraId="7FABB1F2" w14:textId="77777777" w:rsidR="007D517D" w:rsidRPr="00401D3F" w:rsidRDefault="007D517D" w:rsidP="007D517D">
            <w:pPr>
              <w:pStyle w:val="Textoindependiente"/>
              <w:jc w:val="both"/>
              <w:rPr>
                <w:rFonts w:ascii="Arial" w:hAnsi="Arial" w:cs="Arial"/>
                <w:bCs/>
              </w:rPr>
            </w:pPr>
            <w:r w:rsidRPr="00401D3F">
              <w:rPr>
                <w:rFonts w:ascii="Arial" w:hAnsi="Arial" w:cs="Arial"/>
                <w:bCs/>
              </w:rPr>
              <w:t xml:space="preserve">  </w:t>
            </w:r>
          </w:p>
          <w:p w14:paraId="78D68DBE" w14:textId="77777777" w:rsidR="007D517D" w:rsidRPr="00401D3F" w:rsidRDefault="007D517D" w:rsidP="007D517D">
            <w:pPr>
              <w:pStyle w:val="Textoindependiente"/>
              <w:jc w:val="both"/>
              <w:rPr>
                <w:rFonts w:ascii="Arial" w:hAnsi="Arial" w:cs="Arial"/>
                <w:bCs/>
              </w:rPr>
            </w:pPr>
            <w:r w:rsidRPr="00401D3F">
              <w:rPr>
                <w:rFonts w:ascii="Arial" w:hAnsi="Arial" w:cs="Arial"/>
                <w:bCs/>
              </w:rPr>
              <w:t>Que el 28 de marzo del año 2025 se celebró la junta administradora regional, donde fueron aprobados los Estados Financieros Reexpresados año 2023 y los Estados Financieros de la vigencia 2024</w:t>
            </w:r>
          </w:p>
        </w:tc>
      </w:tr>
      <w:tr w:rsidR="007D517D" w:rsidRPr="003A1EE7" w14:paraId="693D08E1" w14:textId="77777777" w:rsidTr="007D517D">
        <w:tc>
          <w:tcPr>
            <w:tcW w:w="441" w:type="dxa"/>
          </w:tcPr>
          <w:p w14:paraId="1876C62B" w14:textId="672FB1D1" w:rsidR="007D517D" w:rsidRPr="00262261" w:rsidRDefault="007D517D" w:rsidP="007D517D">
            <w:pPr>
              <w:tabs>
                <w:tab w:val="left" w:pos="1920"/>
              </w:tabs>
              <w:jc w:val="center"/>
              <w:rPr>
                <w:rFonts w:ascii="Arial" w:hAnsi="Arial" w:cs="Arial"/>
                <w:b/>
              </w:rPr>
            </w:pPr>
            <w:r w:rsidRPr="003B0A86">
              <w:rPr>
                <w:rFonts w:ascii="Arial" w:hAnsi="Arial" w:cs="Arial"/>
                <w:b/>
              </w:rPr>
              <w:lastRenderedPageBreak/>
              <w:t>2</w:t>
            </w:r>
            <w:r>
              <w:rPr>
                <w:rFonts w:ascii="Arial" w:hAnsi="Arial" w:cs="Arial"/>
                <w:b/>
              </w:rPr>
              <w:t>8</w:t>
            </w:r>
          </w:p>
        </w:tc>
        <w:tc>
          <w:tcPr>
            <w:tcW w:w="10146" w:type="dxa"/>
          </w:tcPr>
          <w:p w14:paraId="1F9D1BB7" w14:textId="77777777" w:rsidR="007D517D" w:rsidRPr="00222009" w:rsidRDefault="007D517D" w:rsidP="007D517D">
            <w:pPr>
              <w:pStyle w:val="Textoindependiente"/>
              <w:jc w:val="both"/>
              <w:rPr>
                <w:rFonts w:ascii="Arial" w:hAnsi="Arial" w:cs="Arial"/>
                <w:bCs/>
              </w:rPr>
            </w:pPr>
            <w:r w:rsidRPr="00222009">
              <w:rPr>
                <w:rFonts w:ascii="Arial" w:hAnsi="Arial" w:cs="Arial"/>
                <w:b/>
                <w:lang w:val="es-MX"/>
              </w:rPr>
              <w:t>OLEODUCTO DE COLOMBIA S.A.</w:t>
            </w:r>
            <w:r>
              <w:rPr>
                <w:rFonts w:ascii="Arial" w:hAnsi="Arial" w:cs="Arial"/>
                <w:b/>
                <w:lang w:val="es-MX"/>
              </w:rPr>
              <w:t xml:space="preserve"> </w:t>
            </w:r>
            <w:r>
              <w:rPr>
                <w:b/>
              </w:rPr>
              <w:t xml:space="preserve">NOTA: </w:t>
            </w:r>
            <w:r>
              <w:rPr>
                <w:bCs/>
              </w:rPr>
              <w:t xml:space="preserve">La entidad no remitió </w:t>
            </w:r>
            <w:r w:rsidRPr="00CE7139">
              <w:rPr>
                <w:bCs/>
              </w:rPr>
              <w:t>los estados financieros</w:t>
            </w:r>
            <w:r>
              <w:rPr>
                <w:bCs/>
              </w:rPr>
              <w:t xml:space="preserve"> de </w:t>
            </w:r>
            <w:r w:rsidRPr="00222009">
              <w:rPr>
                <w:rFonts w:ascii="Arial" w:hAnsi="Arial" w:cs="Arial"/>
                <w:bCs/>
              </w:rPr>
              <w:t>forma comparativa vigencias 2023 – 20243 como fue solicitado en el requerimiento enviado por la Comisión Legal de Cuentas. Envió estados comparativos junio 30 a diciembre 31 de 2024.</w:t>
            </w:r>
          </w:p>
        </w:tc>
      </w:tr>
      <w:tr w:rsidR="007D517D" w:rsidRPr="003A1EE7" w14:paraId="6420B48A" w14:textId="77777777" w:rsidTr="007D517D">
        <w:tc>
          <w:tcPr>
            <w:tcW w:w="441" w:type="dxa"/>
          </w:tcPr>
          <w:p w14:paraId="658A91ED" w14:textId="2BC586B4" w:rsidR="007D517D" w:rsidRPr="00CC4843" w:rsidRDefault="007D517D" w:rsidP="007D517D">
            <w:pPr>
              <w:tabs>
                <w:tab w:val="left" w:pos="1920"/>
              </w:tabs>
              <w:jc w:val="center"/>
              <w:rPr>
                <w:rFonts w:ascii="Arial" w:hAnsi="Arial" w:cs="Arial"/>
                <w:b/>
              </w:rPr>
            </w:pPr>
            <w:r w:rsidRPr="00262261">
              <w:rPr>
                <w:rFonts w:ascii="Arial" w:hAnsi="Arial" w:cs="Arial"/>
                <w:b/>
              </w:rPr>
              <w:t>29</w:t>
            </w:r>
          </w:p>
        </w:tc>
        <w:tc>
          <w:tcPr>
            <w:tcW w:w="10146" w:type="dxa"/>
          </w:tcPr>
          <w:p w14:paraId="100D2A69" w14:textId="77777777" w:rsidR="007D517D" w:rsidRPr="00CC4843" w:rsidRDefault="007D517D" w:rsidP="007D517D">
            <w:pPr>
              <w:ind w:right="60"/>
              <w:jc w:val="both"/>
              <w:rPr>
                <w:rFonts w:ascii="Arial" w:hAnsi="Arial" w:cs="Arial"/>
              </w:rPr>
            </w:pPr>
            <w:r w:rsidRPr="00CC4843">
              <w:rPr>
                <w:rFonts w:ascii="Arial" w:hAnsi="Arial" w:cs="Arial"/>
              </w:rPr>
              <w:t>Se tienen cuentas bancarias sin la respectiva conciliación a 31 de diciembre de 2024.</w:t>
            </w:r>
          </w:p>
        </w:tc>
      </w:tr>
      <w:tr w:rsidR="007D517D" w:rsidRPr="003A1EE7" w14:paraId="3042239D" w14:textId="77777777" w:rsidTr="007D517D">
        <w:tc>
          <w:tcPr>
            <w:tcW w:w="441" w:type="dxa"/>
          </w:tcPr>
          <w:p w14:paraId="55BB0D64" w14:textId="53CD70D2" w:rsidR="007D517D" w:rsidRPr="0001556F" w:rsidRDefault="007D517D" w:rsidP="007D517D">
            <w:pPr>
              <w:tabs>
                <w:tab w:val="left" w:pos="1920"/>
              </w:tabs>
              <w:jc w:val="center"/>
              <w:rPr>
                <w:rFonts w:ascii="Arial" w:hAnsi="Arial" w:cs="Arial"/>
                <w:b/>
              </w:rPr>
            </w:pPr>
            <w:r>
              <w:rPr>
                <w:rFonts w:ascii="Arial" w:hAnsi="Arial" w:cs="Arial"/>
                <w:b/>
              </w:rPr>
              <w:t>30</w:t>
            </w:r>
          </w:p>
        </w:tc>
        <w:tc>
          <w:tcPr>
            <w:tcW w:w="10146" w:type="dxa"/>
          </w:tcPr>
          <w:p w14:paraId="03FD8774" w14:textId="77777777" w:rsidR="007D517D" w:rsidRPr="0001556F" w:rsidRDefault="007D517D" w:rsidP="007D517D">
            <w:pPr>
              <w:pStyle w:val="Textoindependiente"/>
              <w:ind w:right="-50"/>
              <w:jc w:val="both"/>
              <w:rPr>
                <w:rFonts w:ascii="Arial" w:hAnsi="Arial" w:cs="Arial"/>
                <w:bCs/>
              </w:rPr>
            </w:pPr>
            <w:r w:rsidRPr="0001556F">
              <w:rPr>
                <w:rFonts w:ascii="Arial" w:hAnsi="Arial" w:cs="Arial"/>
                <w:b/>
                <w:lang w:val="es-CO"/>
              </w:rPr>
              <w:t xml:space="preserve">FONDO ADAPTACIÓN. </w:t>
            </w:r>
            <w:r w:rsidRPr="0001556F">
              <w:rPr>
                <w:rFonts w:ascii="Arial" w:hAnsi="Arial" w:cs="Arial"/>
                <w:bCs/>
              </w:rPr>
              <w:t>Los estados financieros remitidos por el Fondo con corte a 31 de diciembre de 2024, no están firmados por el representante legal, la secretaria general y el contador de la entidad.</w:t>
            </w:r>
          </w:p>
        </w:tc>
      </w:tr>
      <w:tr w:rsidR="007D517D" w:rsidRPr="003A1EE7" w14:paraId="543513EA" w14:textId="77777777" w:rsidTr="007D517D">
        <w:tc>
          <w:tcPr>
            <w:tcW w:w="441" w:type="dxa"/>
          </w:tcPr>
          <w:p w14:paraId="745D19E5" w14:textId="0B6E026E" w:rsidR="007D517D" w:rsidRPr="003A1EE7" w:rsidRDefault="007D517D" w:rsidP="007D517D">
            <w:pPr>
              <w:tabs>
                <w:tab w:val="left" w:pos="1920"/>
              </w:tabs>
              <w:jc w:val="center"/>
              <w:rPr>
                <w:rFonts w:ascii="Arial" w:hAnsi="Arial" w:cs="Arial"/>
                <w:b/>
                <w:color w:val="FF0000"/>
              </w:rPr>
            </w:pPr>
            <w:r>
              <w:rPr>
                <w:rFonts w:ascii="Arial" w:hAnsi="Arial" w:cs="Arial"/>
                <w:b/>
              </w:rPr>
              <w:t>31</w:t>
            </w:r>
          </w:p>
        </w:tc>
        <w:tc>
          <w:tcPr>
            <w:tcW w:w="10146" w:type="dxa"/>
          </w:tcPr>
          <w:p w14:paraId="32B75A8E" w14:textId="77777777" w:rsidR="007D517D" w:rsidRPr="00CA3B4F" w:rsidRDefault="007D517D" w:rsidP="007D517D">
            <w:pPr>
              <w:jc w:val="both"/>
              <w:rPr>
                <w:rFonts w:ascii="Arial" w:hAnsi="Arial" w:cs="Arial"/>
                <w:b/>
              </w:rPr>
            </w:pPr>
            <w:r w:rsidRPr="00CA3B4F">
              <w:rPr>
                <w:rFonts w:ascii="Arial" w:hAnsi="Arial" w:cs="Arial"/>
                <w:b/>
                <w:lang w:val="es-MX"/>
              </w:rPr>
              <w:t xml:space="preserve"> </w:t>
            </w:r>
            <w:r w:rsidRPr="00CA3B4F">
              <w:rPr>
                <w:rFonts w:ascii="Arial" w:hAnsi="Arial" w:cs="Arial"/>
                <w:b/>
              </w:rPr>
              <w:t>ECOPETROL S.A.</w:t>
            </w:r>
            <w:r>
              <w:rPr>
                <w:rFonts w:ascii="Arial" w:hAnsi="Arial" w:cs="Arial"/>
                <w:b/>
              </w:rPr>
              <w:t xml:space="preserve"> </w:t>
            </w:r>
            <w:r w:rsidRPr="00CA3B4F">
              <w:rPr>
                <w:rFonts w:ascii="Arial" w:hAnsi="Arial" w:cs="Arial"/>
                <w:b/>
              </w:rPr>
              <w:t>Del Estado de Ganancias y Pérdidas separados a 31 de diciembre de 2024, retomamos los siguientes resultados comparados con la vigencia 2023:</w:t>
            </w:r>
          </w:p>
          <w:p w14:paraId="3F19D6DF" w14:textId="77777777" w:rsidR="007D517D" w:rsidRPr="00CA3B4F" w:rsidRDefault="007D517D" w:rsidP="007D517D">
            <w:pPr>
              <w:pStyle w:val="Textoindependiente"/>
              <w:ind w:right="-50"/>
              <w:jc w:val="both"/>
              <w:rPr>
                <w:rFonts w:ascii="Arial" w:hAnsi="Arial" w:cs="Arial"/>
                <w:b/>
              </w:rPr>
            </w:pPr>
          </w:p>
          <w:p w14:paraId="5D550852" w14:textId="77777777" w:rsidR="007D517D" w:rsidRPr="00CA3B4F" w:rsidRDefault="007D517D" w:rsidP="007D517D">
            <w:pPr>
              <w:pStyle w:val="Textoindependiente"/>
              <w:ind w:right="-50"/>
              <w:jc w:val="center"/>
              <w:rPr>
                <w:rFonts w:ascii="Arial" w:hAnsi="Arial" w:cs="Arial"/>
                <w:b/>
              </w:rPr>
            </w:pPr>
            <w:r w:rsidRPr="00CA3B4F">
              <w:rPr>
                <w:rFonts w:ascii="Arial" w:hAnsi="Arial" w:cs="Arial"/>
                <w:b/>
              </w:rPr>
              <w:t>Cifras en millones de pesos colombianos</w:t>
            </w:r>
          </w:p>
          <w:p w14:paraId="222D0D6E" w14:textId="77777777" w:rsidR="007D517D" w:rsidRPr="00CA3B4F" w:rsidRDefault="007D517D" w:rsidP="007D517D">
            <w:pPr>
              <w:pStyle w:val="Textoindependiente"/>
              <w:ind w:right="-50"/>
              <w:jc w:val="both"/>
              <w:rPr>
                <w:rFonts w:ascii="Arial" w:hAnsi="Arial" w:cs="Arial"/>
                <w:b/>
              </w:rPr>
            </w:pPr>
          </w:p>
          <w:tbl>
            <w:tblPr>
              <w:tblStyle w:val="Tablaconcuadrcula"/>
              <w:tblW w:w="9918" w:type="dxa"/>
              <w:tblLook w:val="04A0" w:firstRow="1" w:lastRow="0" w:firstColumn="1" w:lastColumn="0" w:noHBand="0" w:noVBand="1"/>
            </w:tblPr>
            <w:tblGrid>
              <w:gridCol w:w="6861"/>
              <w:gridCol w:w="1558"/>
              <w:gridCol w:w="1499"/>
            </w:tblGrid>
            <w:tr w:rsidR="007D517D" w:rsidRPr="008C215F" w14:paraId="279E3AD0" w14:textId="77777777" w:rsidTr="00994680">
              <w:tc>
                <w:tcPr>
                  <w:tcW w:w="6941" w:type="dxa"/>
                </w:tcPr>
                <w:p w14:paraId="3568EE0F" w14:textId="77777777" w:rsidR="007D517D" w:rsidRDefault="007D517D" w:rsidP="007D517D">
                  <w:pPr>
                    <w:pStyle w:val="Textoindependiente"/>
                    <w:ind w:right="-50"/>
                    <w:jc w:val="center"/>
                    <w:rPr>
                      <w:b/>
                    </w:rPr>
                  </w:pPr>
                  <w:r>
                    <w:rPr>
                      <w:b/>
                    </w:rPr>
                    <w:t>ITEM</w:t>
                  </w:r>
                </w:p>
                <w:p w14:paraId="158178AA" w14:textId="77777777" w:rsidR="007D517D" w:rsidRPr="008C215F" w:rsidRDefault="007D517D" w:rsidP="007D517D">
                  <w:pPr>
                    <w:pStyle w:val="Textoindependiente"/>
                    <w:ind w:right="-50"/>
                    <w:jc w:val="center"/>
                    <w:rPr>
                      <w:b/>
                      <w:sz w:val="24"/>
                      <w:szCs w:val="24"/>
                    </w:rPr>
                  </w:pPr>
                </w:p>
              </w:tc>
              <w:tc>
                <w:tcPr>
                  <w:tcW w:w="1559" w:type="dxa"/>
                </w:tcPr>
                <w:p w14:paraId="22FEC29D" w14:textId="77777777" w:rsidR="007D517D" w:rsidRPr="008C215F" w:rsidRDefault="007D517D" w:rsidP="007D517D">
                  <w:pPr>
                    <w:pStyle w:val="Textoindependiente"/>
                    <w:ind w:right="-50"/>
                    <w:jc w:val="center"/>
                    <w:rPr>
                      <w:b/>
                      <w:sz w:val="24"/>
                      <w:szCs w:val="24"/>
                    </w:rPr>
                  </w:pPr>
                  <w:r>
                    <w:rPr>
                      <w:b/>
                    </w:rPr>
                    <w:t>2024</w:t>
                  </w:r>
                </w:p>
              </w:tc>
              <w:tc>
                <w:tcPr>
                  <w:tcW w:w="1418" w:type="dxa"/>
                </w:tcPr>
                <w:p w14:paraId="227CC4FF" w14:textId="77777777" w:rsidR="007D517D" w:rsidRPr="008C215F" w:rsidRDefault="007D517D" w:rsidP="007D517D">
                  <w:pPr>
                    <w:pStyle w:val="Textoindependiente"/>
                    <w:ind w:right="-50"/>
                    <w:jc w:val="center"/>
                    <w:rPr>
                      <w:b/>
                      <w:sz w:val="24"/>
                      <w:szCs w:val="24"/>
                    </w:rPr>
                  </w:pPr>
                  <w:r>
                    <w:rPr>
                      <w:b/>
                    </w:rPr>
                    <w:t>2023</w:t>
                  </w:r>
                </w:p>
              </w:tc>
            </w:tr>
            <w:tr w:rsidR="007D517D" w:rsidRPr="008C215F" w14:paraId="0B4AC5B4" w14:textId="77777777" w:rsidTr="00994680">
              <w:tc>
                <w:tcPr>
                  <w:tcW w:w="6941" w:type="dxa"/>
                </w:tcPr>
                <w:p w14:paraId="7C42FEAC" w14:textId="77777777" w:rsidR="007D517D" w:rsidRPr="00251F1B" w:rsidRDefault="007D517D" w:rsidP="007D517D">
                  <w:pPr>
                    <w:pStyle w:val="Textoindependiente"/>
                    <w:ind w:right="-50"/>
                    <w:jc w:val="both"/>
                    <w:rPr>
                      <w:bCs/>
                      <w:sz w:val="24"/>
                      <w:szCs w:val="24"/>
                    </w:rPr>
                  </w:pPr>
                  <w:r w:rsidRPr="00251F1B">
                    <w:rPr>
                      <w:bCs/>
                    </w:rPr>
                    <w:t>UTILIDAD BRUTA</w:t>
                  </w:r>
                </w:p>
              </w:tc>
              <w:tc>
                <w:tcPr>
                  <w:tcW w:w="1559" w:type="dxa"/>
                </w:tcPr>
                <w:p w14:paraId="313106C5" w14:textId="77777777" w:rsidR="007D517D" w:rsidRPr="00515305" w:rsidRDefault="007D517D" w:rsidP="007D517D">
                  <w:pPr>
                    <w:pStyle w:val="Textoindependiente"/>
                    <w:ind w:right="-50"/>
                    <w:jc w:val="center"/>
                    <w:rPr>
                      <w:bCs/>
                      <w:color w:val="FF0000"/>
                      <w:sz w:val="24"/>
                      <w:szCs w:val="24"/>
                    </w:rPr>
                  </w:pPr>
                  <w:r w:rsidRPr="00515305">
                    <w:rPr>
                      <w:bCs/>
                      <w:color w:val="FF0000"/>
                    </w:rPr>
                    <w:t>21.888.990</w:t>
                  </w:r>
                </w:p>
              </w:tc>
              <w:tc>
                <w:tcPr>
                  <w:tcW w:w="1418" w:type="dxa"/>
                </w:tcPr>
                <w:p w14:paraId="40DD77D4" w14:textId="77777777" w:rsidR="007D517D" w:rsidRPr="00251F1B" w:rsidRDefault="007D517D" w:rsidP="007D517D">
                  <w:pPr>
                    <w:pStyle w:val="Textoindependiente"/>
                    <w:ind w:right="-50"/>
                    <w:jc w:val="center"/>
                    <w:rPr>
                      <w:bCs/>
                      <w:sz w:val="24"/>
                      <w:szCs w:val="24"/>
                    </w:rPr>
                  </w:pPr>
                  <w:r w:rsidRPr="00251F1B">
                    <w:rPr>
                      <w:bCs/>
                    </w:rPr>
                    <w:t>27.601.755</w:t>
                  </w:r>
                </w:p>
              </w:tc>
            </w:tr>
            <w:tr w:rsidR="007D517D" w:rsidRPr="008C215F" w14:paraId="2FF4F93B" w14:textId="77777777" w:rsidTr="00994680">
              <w:tc>
                <w:tcPr>
                  <w:tcW w:w="6941" w:type="dxa"/>
                </w:tcPr>
                <w:p w14:paraId="4E8F3B05" w14:textId="77777777" w:rsidR="007D517D" w:rsidRPr="00251F1B" w:rsidRDefault="007D517D" w:rsidP="007D517D">
                  <w:pPr>
                    <w:pStyle w:val="Textoindependiente"/>
                    <w:ind w:right="-50"/>
                    <w:jc w:val="both"/>
                    <w:rPr>
                      <w:b/>
                      <w:sz w:val="24"/>
                      <w:szCs w:val="24"/>
                    </w:rPr>
                  </w:pPr>
                  <w:r w:rsidRPr="00251F1B">
                    <w:rPr>
                      <w:b/>
                    </w:rPr>
                    <w:t>UTILIDAD OPERACIONAL</w:t>
                  </w:r>
                </w:p>
              </w:tc>
              <w:tc>
                <w:tcPr>
                  <w:tcW w:w="1559" w:type="dxa"/>
                </w:tcPr>
                <w:p w14:paraId="67D8043C" w14:textId="77777777" w:rsidR="007D517D" w:rsidRPr="00515305" w:rsidRDefault="007D517D" w:rsidP="007D517D">
                  <w:pPr>
                    <w:pStyle w:val="Textoindependiente"/>
                    <w:ind w:right="-50"/>
                    <w:jc w:val="center"/>
                    <w:rPr>
                      <w:b/>
                      <w:color w:val="FF0000"/>
                      <w:sz w:val="24"/>
                      <w:szCs w:val="24"/>
                    </w:rPr>
                  </w:pPr>
                  <w:r w:rsidRPr="00515305">
                    <w:rPr>
                      <w:b/>
                      <w:color w:val="FF0000"/>
                    </w:rPr>
                    <w:t>18.798.724</w:t>
                  </w:r>
                </w:p>
              </w:tc>
              <w:tc>
                <w:tcPr>
                  <w:tcW w:w="1418" w:type="dxa"/>
                </w:tcPr>
                <w:p w14:paraId="65274E55" w14:textId="77777777" w:rsidR="007D517D" w:rsidRPr="00251F1B" w:rsidRDefault="007D517D" w:rsidP="007D517D">
                  <w:pPr>
                    <w:pStyle w:val="Textoindependiente"/>
                    <w:ind w:right="-50"/>
                    <w:jc w:val="center"/>
                    <w:rPr>
                      <w:b/>
                      <w:sz w:val="24"/>
                      <w:szCs w:val="24"/>
                    </w:rPr>
                  </w:pPr>
                  <w:r w:rsidRPr="00251F1B">
                    <w:rPr>
                      <w:b/>
                    </w:rPr>
                    <w:t>19.420.559</w:t>
                  </w:r>
                </w:p>
              </w:tc>
            </w:tr>
            <w:tr w:rsidR="007D517D" w:rsidRPr="008C215F" w14:paraId="5874179D" w14:textId="77777777" w:rsidTr="00994680">
              <w:tc>
                <w:tcPr>
                  <w:tcW w:w="6941" w:type="dxa"/>
                </w:tcPr>
                <w:p w14:paraId="640A2AEB" w14:textId="77777777" w:rsidR="007D517D" w:rsidRPr="00251F1B" w:rsidRDefault="007D517D" w:rsidP="007D517D">
                  <w:pPr>
                    <w:pStyle w:val="Textoindependiente"/>
                    <w:ind w:right="-50"/>
                    <w:jc w:val="both"/>
                    <w:rPr>
                      <w:bCs/>
                      <w:sz w:val="24"/>
                      <w:szCs w:val="24"/>
                    </w:rPr>
                  </w:pPr>
                  <w:r w:rsidRPr="00251F1B">
                    <w:rPr>
                      <w:bCs/>
                    </w:rPr>
                    <w:t>UTILIDAD ANTES DE IMPUESTOS A LAS GANANCIAS</w:t>
                  </w:r>
                </w:p>
              </w:tc>
              <w:tc>
                <w:tcPr>
                  <w:tcW w:w="1559" w:type="dxa"/>
                </w:tcPr>
                <w:p w14:paraId="751D5515" w14:textId="77777777" w:rsidR="007D517D" w:rsidRPr="00515305" w:rsidRDefault="007D517D" w:rsidP="007D517D">
                  <w:pPr>
                    <w:pStyle w:val="Textoindependiente"/>
                    <w:ind w:right="-50"/>
                    <w:jc w:val="center"/>
                    <w:rPr>
                      <w:bCs/>
                      <w:color w:val="FF0000"/>
                      <w:sz w:val="24"/>
                      <w:szCs w:val="24"/>
                    </w:rPr>
                  </w:pPr>
                  <w:r w:rsidRPr="00515305">
                    <w:rPr>
                      <w:bCs/>
                      <w:color w:val="FF0000"/>
                    </w:rPr>
                    <w:t>20.896.330</w:t>
                  </w:r>
                </w:p>
              </w:tc>
              <w:tc>
                <w:tcPr>
                  <w:tcW w:w="1418" w:type="dxa"/>
                </w:tcPr>
                <w:p w14:paraId="0155ED0F" w14:textId="77777777" w:rsidR="007D517D" w:rsidRPr="00251F1B" w:rsidRDefault="007D517D" w:rsidP="007D517D">
                  <w:pPr>
                    <w:pStyle w:val="Textoindependiente"/>
                    <w:ind w:right="-50"/>
                    <w:jc w:val="center"/>
                    <w:rPr>
                      <w:bCs/>
                      <w:sz w:val="24"/>
                      <w:szCs w:val="24"/>
                    </w:rPr>
                  </w:pPr>
                  <w:r w:rsidRPr="00251F1B">
                    <w:rPr>
                      <w:bCs/>
                    </w:rPr>
                    <w:t>27.072.479</w:t>
                  </w:r>
                </w:p>
              </w:tc>
            </w:tr>
            <w:tr w:rsidR="007D517D" w:rsidRPr="008C215F" w14:paraId="261CACC4" w14:textId="77777777" w:rsidTr="00994680">
              <w:tc>
                <w:tcPr>
                  <w:tcW w:w="6941" w:type="dxa"/>
                </w:tcPr>
                <w:p w14:paraId="78BAC098" w14:textId="77777777" w:rsidR="007D517D" w:rsidRPr="00251F1B" w:rsidRDefault="007D517D" w:rsidP="007D517D">
                  <w:pPr>
                    <w:pStyle w:val="Textoindependiente"/>
                    <w:ind w:right="-50"/>
                    <w:jc w:val="both"/>
                    <w:rPr>
                      <w:b/>
                      <w:sz w:val="24"/>
                      <w:szCs w:val="24"/>
                    </w:rPr>
                  </w:pPr>
                  <w:r w:rsidRPr="00251F1B">
                    <w:rPr>
                      <w:b/>
                    </w:rPr>
                    <w:lastRenderedPageBreak/>
                    <w:t>UTILIDAD NETA PERIODO</w:t>
                  </w:r>
                </w:p>
              </w:tc>
              <w:tc>
                <w:tcPr>
                  <w:tcW w:w="1559" w:type="dxa"/>
                </w:tcPr>
                <w:p w14:paraId="2F7B755D" w14:textId="77777777" w:rsidR="007D517D" w:rsidRPr="00515305" w:rsidRDefault="007D517D" w:rsidP="007D517D">
                  <w:pPr>
                    <w:pStyle w:val="Textoindependiente"/>
                    <w:ind w:right="-50"/>
                    <w:jc w:val="center"/>
                    <w:rPr>
                      <w:b/>
                      <w:color w:val="FF0000"/>
                      <w:sz w:val="24"/>
                      <w:szCs w:val="24"/>
                    </w:rPr>
                  </w:pPr>
                  <w:r w:rsidRPr="00515305">
                    <w:rPr>
                      <w:b/>
                      <w:color w:val="FF0000"/>
                    </w:rPr>
                    <w:t>14.934.705</w:t>
                  </w:r>
                </w:p>
              </w:tc>
              <w:tc>
                <w:tcPr>
                  <w:tcW w:w="1418" w:type="dxa"/>
                </w:tcPr>
                <w:p w14:paraId="2E524B3A" w14:textId="77777777" w:rsidR="007D517D" w:rsidRPr="00251F1B" w:rsidRDefault="007D517D" w:rsidP="007D517D">
                  <w:pPr>
                    <w:pStyle w:val="Textoindependiente"/>
                    <w:ind w:right="-50"/>
                    <w:jc w:val="center"/>
                    <w:rPr>
                      <w:b/>
                      <w:sz w:val="24"/>
                      <w:szCs w:val="24"/>
                    </w:rPr>
                  </w:pPr>
                  <w:r w:rsidRPr="00251F1B">
                    <w:rPr>
                      <w:b/>
                    </w:rPr>
                    <w:t>19.062.091</w:t>
                  </w:r>
                </w:p>
              </w:tc>
            </w:tr>
            <w:tr w:rsidR="007D517D" w:rsidRPr="008C215F" w14:paraId="4A4AA261" w14:textId="77777777" w:rsidTr="00994680">
              <w:tc>
                <w:tcPr>
                  <w:tcW w:w="6941" w:type="dxa"/>
                </w:tcPr>
                <w:p w14:paraId="351C93A0" w14:textId="77777777" w:rsidR="007D517D" w:rsidRPr="00251F1B" w:rsidRDefault="007D517D" w:rsidP="007D517D">
                  <w:pPr>
                    <w:pStyle w:val="Textoindependiente"/>
                    <w:ind w:right="-50"/>
                    <w:jc w:val="both"/>
                    <w:rPr>
                      <w:bCs/>
                      <w:sz w:val="24"/>
                      <w:szCs w:val="24"/>
                    </w:rPr>
                  </w:pPr>
                  <w:r w:rsidRPr="00251F1B">
                    <w:rPr>
                      <w:bCs/>
                    </w:rPr>
                    <w:t>UTILIDAD BÁSICA POR ACCIÓN (Pesos)</w:t>
                  </w:r>
                </w:p>
              </w:tc>
              <w:tc>
                <w:tcPr>
                  <w:tcW w:w="1559" w:type="dxa"/>
                </w:tcPr>
                <w:p w14:paraId="24583259" w14:textId="77777777" w:rsidR="007D517D" w:rsidRPr="00515305" w:rsidRDefault="007D517D" w:rsidP="007D517D">
                  <w:pPr>
                    <w:pStyle w:val="Textoindependiente"/>
                    <w:ind w:right="-50"/>
                    <w:jc w:val="center"/>
                    <w:rPr>
                      <w:bCs/>
                      <w:color w:val="FF0000"/>
                      <w:sz w:val="24"/>
                      <w:szCs w:val="24"/>
                    </w:rPr>
                  </w:pPr>
                  <w:r w:rsidRPr="00515305">
                    <w:rPr>
                      <w:bCs/>
                      <w:color w:val="FF0000"/>
                    </w:rPr>
                    <w:t>363,2</w:t>
                  </w:r>
                </w:p>
              </w:tc>
              <w:tc>
                <w:tcPr>
                  <w:tcW w:w="1418" w:type="dxa"/>
                </w:tcPr>
                <w:p w14:paraId="66905646" w14:textId="77777777" w:rsidR="007D517D" w:rsidRPr="00251F1B" w:rsidRDefault="007D517D" w:rsidP="007D517D">
                  <w:pPr>
                    <w:pStyle w:val="Textoindependiente"/>
                    <w:ind w:right="-50"/>
                    <w:jc w:val="center"/>
                    <w:rPr>
                      <w:bCs/>
                      <w:sz w:val="24"/>
                      <w:szCs w:val="24"/>
                    </w:rPr>
                  </w:pPr>
                  <w:r w:rsidRPr="00251F1B">
                    <w:rPr>
                      <w:bCs/>
                    </w:rPr>
                    <w:t>463.6</w:t>
                  </w:r>
                </w:p>
              </w:tc>
            </w:tr>
          </w:tbl>
          <w:p w14:paraId="2C44531C" w14:textId="77777777" w:rsidR="007D517D" w:rsidRPr="00346231" w:rsidRDefault="007D517D" w:rsidP="007D517D">
            <w:pPr>
              <w:ind w:right="60"/>
              <w:jc w:val="both"/>
              <w:rPr>
                <w:rFonts w:ascii="Arial" w:hAnsi="Arial" w:cs="Arial"/>
                <w:color w:val="FF0000"/>
                <w:lang w:val="es-MX"/>
              </w:rPr>
            </w:pPr>
          </w:p>
        </w:tc>
      </w:tr>
      <w:tr w:rsidR="007D517D" w:rsidRPr="003A1EE7" w14:paraId="5DF09099" w14:textId="77777777" w:rsidTr="007D517D">
        <w:tc>
          <w:tcPr>
            <w:tcW w:w="441" w:type="dxa"/>
          </w:tcPr>
          <w:p w14:paraId="1349E16F" w14:textId="165FFD25" w:rsidR="007D517D" w:rsidRPr="00AC4861" w:rsidRDefault="007D517D" w:rsidP="007D517D">
            <w:pPr>
              <w:tabs>
                <w:tab w:val="left" w:pos="1920"/>
              </w:tabs>
              <w:jc w:val="center"/>
              <w:rPr>
                <w:rFonts w:ascii="Arial" w:hAnsi="Arial" w:cs="Arial"/>
                <w:b/>
              </w:rPr>
            </w:pPr>
            <w:r w:rsidRPr="00262261">
              <w:rPr>
                <w:rFonts w:ascii="Arial" w:hAnsi="Arial" w:cs="Arial"/>
                <w:b/>
              </w:rPr>
              <w:lastRenderedPageBreak/>
              <w:t>32</w:t>
            </w:r>
          </w:p>
        </w:tc>
        <w:tc>
          <w:tcPr>
            <w:tcW w:w="10146" w:type="dxa"/>
          </w:tcPr>
          <w:p w14:paraId="145A289B" w14:textId="77777777" w:rsidR="007D517D" w:rsidRPr="00AC4861" w:rsidRDefault="007D517D" w:rsidP="007D517D">
            <w:pPr>
              <w:pStyle w:val="Textoindependiente"/>
              <w:jc w:val="both"/>
              <w:rPr>
                <w:rFonts w:ascii="Arial" w:hAnsi="Arial" w:cs="Arial"/>
                <w:b/>
                <w:bCs/>
                <w:lang w:val="es-MX"/>
              </w:rPr>
            </w:pPr>
            <w:r w:rsidRPr="00AC4861">
              <w:rPr>
                <w:rFonts w:ascii="Arial" w:hAnsi="Arial" w:cs="Arial"/>
                <w:b/>
                <w:lang w:val="es-MX"/>
              </w:rPr>
              <w:t xml:space="preserve">CORPORACIÓN AUTÓNOMA REGIONAL DE NARIÑO – CORPONARIÑO. </w:t>
            </w:r>
            <w:r w:rsidRPr="00AC4861">
              <w:rPr>
                <w:rFonts w:ascii="Arial" w:hAnsi="Arial" w:cs="Arial"/>
                <w:b/>
                <w:bCs/>
                <w:lang w:val="es-CO"/>
              </w:rPr>
              <w:t>-NOTA 3. JUICIOS, ESTIMACIONES, RIESGOS Y CORRECCIÓN DE ERRORES CONTABLES.</w:t>
            </w:r>
          </w:p>
          <w:p w14:paraId="61D48E82" w14:textId="77777777" w:rsidR="007D517D" w:rsidRPr="00AC4861" w:rsidRDefault="007D517D" w:rsidP="007D517D">
            <w:pPr>
              <w:pStyle w:val="Textoindependiente"/>
              <w:jc w:val="both"/>
              <w:rPr>
                <w:rFonts w:ascii="Arial" w:hAnsi="Arial" w:cs="Arial"/>
                <w:b/>
                <w:bCs/>
                <w:lang w:val="es-MX"/>
              </w:rPr>
            </w:pPr>
          </w:p>
          <w:p w14:paraId="326C0704" w14:textId="77777777" w:rsidR="007D517D" w:rsidRPr="00AC4861" w:rsidRDefault="007D517D" w:rsidP="007D517D">
            <w:pPr>
              <w:pStyle w:val="Textoindependiente"/>
              <w:jc w:val="both"/>
              <w:rPr>
                <w:rFonts w:ascii="Arial" w:hAnsi="Arial" w:cs="Arial"/>
                <w:b/>
                <w:bCs/>
                <w:lang w:val="es-MX"/>
              </w:rPr>
            </w:pPr>
            <w:r w:rsidRPr="00AC4861">
              <w:rPr>
                <w:rFonts w:ascii="Arial" w:hAnsi="Arial" w:cs="Arial"/>
                <w:b/>
                <w:bCs/>
                <w:lang w:val="es-CO"/>
              </w:rPr>
              <w:t xml:space="preserve">3.2 Estimaciones y Supuestos: </w:t>
            </w:r>
            <w:r w:rsidRPr="00AC4861">
              <w:rPr>
                <w:rFonts w:ascii="Arial" w:hAnsi="Arial" w:cs="Arial"/>
                <w:bCs/>
                <w:lang w:val="es-CO"/>
              </w:rPr>
              <w:t>El cumplimiento de estas normas durante la vigencia afectó el resultado del ejercicio en $533.628 (Miles) de la siguiente manera:</w:t>
            </w:r>
          </w:p>
          <w:p w14:paraId="7555EC9B" w14:textId="77777777" w:rsidR="007D517D" w:rsidRPr="00AC4861" w:rsidRDefault="007D517D" w:rsidP="007D517D">
            <w:pPr>
              <w:pStyle w:val="Textoindependiente"/>
              <w:jc w:val="both"/>
              <w:rPr>
                <w:rFonts w:ascii="Arial" w:hAnsi="Arial" w:cs="Arial"/>
                <w:b/>
                <w:bCs/>
                <w:lang w:val="es-MX"/>
              </w:rPr>
            </w:pPr>
          </w:p>
          <w:p w14:paraId="7C62F36F" w14:textId="77777777" w:rsidR="007D517D" w:rsidRPr="00AC4861" w:rsidRDefault="007D517D" w:rsidP="007D517D">
            <w:pPr>
              <w:pStyle w:val="Textoindependiente"/>
              <w:jc w:val="center"/>
              <w:rPr>
                <w:rFonts w:ascii="Arial" w:hAnsi="Arial" w:cs="Arial"/>
                <w:bCs/>
                <w:lang w:val="es-MX"/>
              </w:rPr>
            </w:pPr>
            <w:r w:rsidRPr="00AC4861">
              <w:rPr>
                <w:rFonts w:ascii="Arial" w:hAnsi="Arial" w:cs="Arial"/>
                <w:bCs/>
                <w:noProof/>
                <w:lang w:val="es-CO"/>
              </w:rPr>
              <w:drawing>
                <wp:inline distT="0" distB="0" distL="0" distR="0" wp14:anchorId="61D59365" wp14:editId="59846FD1">
                  <wp:extent cx="5772150" cy="1466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2150" cy="1466850"/>
                          </a:xfrm>
                          <a:prstGeom prst="rect">
                            <a:avLst/>
                          </a:prstGeom>
                        </pic:spPr>
                      </pic:pic>
                    </a:graphicData>
                  </a:graphic>
                </wp:inline>
              </w:drawing>
            </w:r>
          </w:p>
          <w:p w14:paraId="7B21F6B6" w14:textId="77777777" w:rsidR="007D517D" w:rsidRPr="00AC4861" w:rsidRDefault="007D517D" w:rsidP="007D517D">
            <w:pPr>
              <w:pStyle w:val="Textoindependiente"/>
              <w:jc w:val="both"/>
              <w:rPr>
                <w:rFonts w:ascii="Arial" w:hAnsi="Arial" w:cs="Arial"/>
                <w:bCs/>
              </w:rPr>
            </w:pPr>
          </w:p>
          <w:p w14:paraId="61029B07" w14:textId="77777777" w:rsidR="007D517D" w:rsidRPr="00AC4861" w:rsidRDefault="007D517D" w:rsidP="007D517D">
            <w:pPr>
              <w:pStyle w:val="Textoindependiente"/>
              <w:jc w:val="both"/>
              <w:rPr>
                <w:rFonts w:ascii="Arial" w:hAnsi="Arial" w:cs="Arial"/>
                <w:b/>
              </w:rPr>
            </w:pPr>
            <w:r w:rsidRPr="00AC4861">
              <w:rPr>
                <w:rFonts w:ascii="Arial" w:hAnsi="Arial" w:cs="Arial"/>
                <w:b/>
              </w:rPr>
              <w:t>3.4 Riesgos asociados a los Instrumentos Financieros.</w:t>
            </w:r>
          </w:p>
          <w:p w14:paraId="3C023F93" w14:textId="77777777" w:rsidR="007D517D" w:rsidRPr="00AC4861" w:rsidRDefault="007D517D" w:rsidP="007D517D">
            <w:pPr>
              <w:pStyle w:val="Textoindependiente"/>
              <w:jc w:val="both"/>
              <w:rPr>
                <w:rFonts w:ascii="Arial" w:hAnsi="Arial" w:cs="Arial"/>
                <w:bCs/>
              </w:rPr>
            </w:pPr>
          </w:p>
          <w:p w14:paraId="3D4DB0B0" w14:textId="77777777" w:rsidR="007D517D" w:rsidRPr="00AC4861" w:rsidRDefault="007D517D" w:rsidP="007D517D">
            <w:pPr>
              <w:pStyle w:val="Textoindependiente"/>
              <w:jc w:val="both"/>
              <w:rPr>
                <w:rFonts w:ascii="Arial" w:hAnsi="Arial" w:cs="Arial"/>
                <w:bCs/>
              </w:rPr>
            </w:pPr>
            <w:r w:rsidRPr="00AC4861">
              <w:rPr>
                <w:rFonts w:ascii="Arial" w:hAnsi="Arial" w:cs="Arial"/>
                <w:b/>
                <w:u w:val="single"/>
              </w:rPr>
              <w:t>Cuentas por cobrar presentan riesgo de revelar fidedignamente las cifras debido al incumplimiento de los municipios para enviar los saldos al finalizar el trimestre del recaudo por concepto de sobretasa o porcentaje ambiental, toda vez que su reconocimiento no se involucra en la vigencia de recaudo</w:t>
            </w:r>
            <w:r w:rsidRPr="00AC4861">
              <w:rPr>
                <w:rFonts w:ascii="Arial" w:hAnsi="Arial" w:cs="Arial"/>
                <w:bCs/>
              </w:rPr>
              <w:t xml:space="preserve">. </w:t>
            </w:r>
          </w:p>
          <w:p w14:paraId="688011F2" w14:textId="77777777" w:rsidR="007D517D" w:rsidRPr="00AC4861" w:rsidRDefault="007D517D" w:rsidP="007D517D">
            <w:pPr>
              <w:pStyle w:val="Textoindependiente"/>
              <w:jc w:val="both"/>
              <w:rPr>
                <w:rFonts w:ascii="Arial" w:hAnsi="Arial" w:cs="Arial"/>
                <w:bCs/>
              </w:rPr>
            </w:pPr>
          </w:p>
          <w:p w14:paraId="143D7218" w14:textId="77777777" w:rsidR="007D517D" w:rsidRPr="00AC4861" w:rsidRDefault="007D517D" w:rsidP="007D517D">
            <w:pPr>
              <w:pStyle w:val="Textoindependiente"/>
              <w:jc w:val="both"/>
              <w:rPr>
                <w:rFonts w:ascii="Arial" w:hAnsi="Arial" w:cs="Arial"/>
                <w:bCs/>
              </w:rPr>
            </w:pPr>
            <w:r w:rsidRPr="00AC4861">
              <w:rPr>
                <w:rFonts w:ascii="Arial" w:hAnsi="Arial" w:cs="Arial"/>
                <w:b/>
                <w:u w:val="single"/>
              </w:rPr>
              <w:t>La incertidumbre en el cálculo de las tarifas por concepto de Tasas Retributivas y por uso de agua genera una facturación incierta</w:t>
            </w:r>
            <w:r w:rsidRPr="00AC4861">
              <w:rPr>
                <w:rFonts w:ascii="Arial" w:hAnsi="Arial" w:cs="Arial"/>
                <w:bCs/>
              </w:rPr>
              <w:t xml:space="preserve">, la cual se ve agravada porque no se da oportuno y fiel cumplimiento a los procesos de reclamación por parte de los usuarios. </w:t>
            </w:r>
          </w:p>
          <w:p w14:paraId="144EBBE4" w14:textId="77777777" w:rsidR="007D517D" w:rsidRPr="00AC4861" w:rsidRDefault="007D517D" w:rsidP="007D517D">
            <w:pPr>
              <w:pStyle w:val="Textoindependiente"/>
              <w:jc w:val="both"/>
              <w:rPr>
                <w:rFonts w:ascii="Arial" w:hAnsi="Arial" w:cs="Arial"/>
                <w:bCs/>
              </w:rPr>
            </w:pPr>
          </w:p>
          <w:p w14:paraId="2B8AE402" w14:textId="77777777" w:rsidR="007D517D" w:rsidRPr="00AC4861" w:rsidRDefault="007D517D" w:rsidP="007D517D">
            <w:pPr>
              <w:pStyle w:val="Textoindependiente"/>
              <w:jc w:val="both"/>
              <w:rPr>
                <w:rFonts w:ascii="Arial" w:hAnsi="Arial" w:cs="Arial"/>
                <w:bCs/>
              </w:rPr>
            </w:pPr>
            <w:r w:rsidRPr="00AC4861">
              <w:rPr>
                <w:rFonts w:ascii="Arial" w:hAnsi="Arial" w:cs="Arial"/>
                <w:b/>
                <w:u w:val="single"/>
              </w:rPr>
              <w:t>Dificultades en la aplicación del catálogo General de Cuentas a nivel de documento fuente, la Contaduría General de la Nación no ha tenido en cuenta dentro del Plan las operaciones de rentas y gastos de las Corporaciones Autónomas Regionales, teniendo que recurrir a la reiterada utilización de las subcuentas “OTROS”</w:t>
            </w:r>
            <w:r w:rsidRPr="00AC4861">
              <w:rPr>
                <w:rFonts w:ascii="Arial" w:hAnsi="Arial" w:cs="Arial"/>
                <w:bCs/>
              </w:rPr>
              <w:t>.</w:t>
            </w:r>
          </w:p>
          <w:p w14:paraId="0A59F3D3" w14:textId="77777777" w:rsidR="007D517D" w:rsidRPr="00AC4861" w:rsidRDefault="007D517D" w:rsidP="007D517D">
            <w:pPr>
              <w:pStyle w:val="Textoindependiente"/>
              <w:jc w:val="both"/>
              <w:rPr>
                <w:rFonts w:ascii="Arial" w:hAnsi="Arial" w:cs="Arial"/>
                <w:bCs/>
              </w:rPr>
            </w:pPr>
          </w:p>
          <w:p w14:paraId="37EBA9FD" w14:textId="77777777" w:rsidR="007D517D" w:rsidRPr="00AC4861" w:rsidRDefault="007D517D" w:rsidP="007D517D">
            <w:pPr>
              <w:pStyle w:val="Textoindependiente"/>
              <w:jc w:val="both"/>
              <w:rPr>
                <w:rFonts w:ascii="Arial" w:hAnsi="Arial" w:cs="Arial"/>
                <w:b/>
              </w:rPr>
            </w:pPr>
            <w:r w:rsidRPr="00AC4861">
              <w:rPr>
                <w:rFonts w:ascii="Arial" w:hAnsi="Arial" w:cs="Arial"/>
                <w:b/>
              </w:rPr>
              <w:t xml:space="preserve">3.4 Aspectos Generales Contables. </w:t>
            </w:r>
          </w:p>
          <w:p w14:paraId="66E51B8F" w14:textId="77777777" w:rsidR="007D517D" w:rsidRPr="00AC4861" w:rsidRDefault="007D517D" w:rsidP="007D517D">
            <w:pPr>
              <w:pStyle w:val="Textoindependiente"/>
              <w:jc w:val="both"/>
              <w:rPr>
                <w:rFonts w:ascii="Arial" w:hAnsi="Arial" w:cs="Arial"/>
                <w:bCs/>
              </w:rPr>
            </w:pPr>
          </w:p>
          <w:p w14:paraId="7E5F362E" w14:textId="77777777" w:rsidR="007D517D" w:rsidRPr="00AC4861" w:rsidRDefault="007D517D" w:rsidP="007D517D">
            <w:pPr>
              <w:pStyle w:val="Textoindependiente"/>
              <w:jc w:val="both"/>
              <w:rPr>
                <w:rFonts w:ascii="Arial" w:hAnsi="Arial" w:cs="Arial"/>
                <w:bCs/>
              </w:rPr>
            </w:pPr>
            <w:r w:rsidRPr="00AC4861">
              <w:rPr>
                <w:rFonts w:ascii="Arial" w:hAnsi="Arial" w:cs="Arial"/>
                <w:bCs/>
              </w:rPr>
              <w:t xml:space="preserve">En la vigencia 2024, se adelantó la depuración contable de las diferentes rentas que son de manejo de la corporación, donde se llevó a cabo la verificación de la información contable en los libros auxiliares frente a la información del módulo de cartera, debido a que las rentas presentan diferencias entre los mismos, se da continuidad a la depuración de la renta de tasa de uso de agua la cual presentaba una diferencia entre los módulos por valor de $12.633.368. </w:t>
            </w:r>
          </w:p>
          <w:p w14:paraId="25AE7EDE" w14:textId="77777777" w:rsidR="007D517D" w:rsidRPr="00AC4861" w:rsidRDefault="007D517D" w:rsidP="007D517D">
            <w:pPr>
              <w:pStyle w:val="Textoindependiente"/>
              <w:jc w:val="both"/>
              <w:rPr>
                <w:rFonts w:ascii="Arial" w:hAnsi="Arial" w:cs="Arial"/>
                <w:bCs/>
              </w:rPr>
            </w:pPr>
          </w:p>
          <w:p w14:paraId="3245E3BD" w14:textId="77777777" w:rsidR="007D517D" w:rsidRPr="00AC4861" w:rsidRDefault="007D517D" w:rsidP="007D517D">
            <w:pPr>
              <w:pStyle w:val="Textoindependiente"/>
              <w:jc w:val="both"/>
              <w:rPr>
                <w:rFonts w:ascii="Arial" w:hAnsi="Arial" w:cs="Arial"/>
                <w:bCs/>
              </w:rPr>
            </w:pPr>
            <w:r w:rsidRPr="00AC4861">
              <w:rPr>
                <w:rFonts w:ascii="Arial" w:hAnsi="Arial" w:cs="Arial"/>
                <w:bCs/>
              </w:rPr>
              <w:t>En la siguiente grafica se representa el estado actual de la información en las rentas, las cuales siguen en proceso de depuración:</w:t>
            </w:r>
          </w:p>
          <w:p w14:paraId="3E3EA260" w14:textId="77777777" w:rsidR="007D517D" w:rsidRPr="00AC4861" w:rsidRDefault="007D517D" w:rsidP="007D517D">
            <w:pPr>
              <w:pStyle w:val="Textoindependiente"/>
              <w:jc w:val="both"/>
              <w:rPr>
                <w:rFonts w:ascii="Arial" w:hAnsi="Arial" w:cs="Arial"/>
                <w:bCs/>
              </w:rPr>
            </w:pPr>
          </w:p>
          <w:p w14:paraId="03E8191E" w14:textId="77777777" w:rsidR="007D517D" w:rsidRPr="00AC4861" w:rsidRDefault="007D517D" w:rsidP="007D517D">
            <w:pPr>
              <w:pStyle w:val="Textoindependiente"/>
              <w:jc w:val="center"/>
              <w:rPr>
                <w:rFonts w:ascii="Arial" w:hAnsi="Arial" w:cs="Arial"/>
                <w:bCs/>
              </w:rPr>
            </w:pPr>
            <w:r w:rsidRPr="00AC4861">
              <w:rPr>
                <w:rFonts w:ascii="Arial" w:hAnsi="Arial" w:cs="Arial"/>
                <w:bCs/>
                <w:noProof/>
                <w:lang w:val="es-CO"/>
              </w:rPr>
              <w:drawing>
                <wp:inline distT="0" distB="0" distL="0" distR="0" wp14:anchorId="48C294DE" wp14:editId="6BD5F0B9">
                  <wp:extent cx="4495800" cy="9810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95800" cy="981075"/>
                          </a:xfrm>
                          <a:prstGeom prst="rect">
                            <a:avLst/>
                          </a:prstGeom>
                        </pic:spPr>
                      </pic:pic>
                    </a:graphicData>
                  </a:graphic>
                </wp:inline>
              </w:drawing>
            </w:r>
          </w:p>
          <w:p w14:paraId="7A183803" w14:textId="77777777" w:rsidR="007D517D" w:rsidRPr="00AC4861" w:rsidRDefault="007D517D" w:rsidP="007D517D">
            <w:pPr>
              <w:pStyle w:val="Textoindependiente"/>
              <w:jc w:val="both"/>
              <w:rPr>
                <w:rFonts w:ascii="Arial" w:hAnsi="Arial" w:cs="Arial"/>
                <w:bCs/>
              </w:rPr>
            </w:pPr>
          </w:p>
          <w:p w14:paraId="0E29BA10" w14:textId="77777777" w:rsidR="007D517D" w:rsidRPr="00AC4861" w:rsidRDefault="007D517D" w:rsidP="007D517D">
            <w:pPr>
              <w:pStyle w:val="Textoindependiente"/>
              <w:jc w:val="both"/>
              <w:rPr>
                <w:rFonts w:ascii="Arial" w:hAnsi="Arial" w:cs="Arial"/>
              </w:rPr>
            </w:pPr>
            <w:r w:rsidRPr="00AC4861">
              <w:rPr>
                <w:rFonts w:ascii="Arial" w:hAnsi="Arial" w:cs="Arial"/>
              </w:rPr>
              <w:t xml:space="preserve">Se realizó las conciliaciones de información entre el área contable y almacén, y </w:t>
            </w:r>
            <w:r w:rsidRPr="00AC4861">
              <w:rPr>
                <w:rFonts w:ascii="Arial" w:hAnsi="Arial" w:cs="Arial"/>
                <w:b/>
                <w:bCs/>
                <w:u w:val="single"/>
              </w:rPr>
              <w:t>parcialmente con tesorería dificultando generar la integralidad de la información contable</w:t>
            </w:r>
            <w:r w:rsidRPr="00AC4861">
              <w:rPr>
                <w:rFonts w:ascii="Arial" w:hAnsi="Arial" w:cs="Arial"/>
              </w:rPr>
              <w:t xml:space="preserve">. </w:t>
            </w:r>
          </w:p>
          <w:p w14:paraId="71D3ABBC" w14:textId="77777777" w:rsidR="007D517D" w:rsidRPr="00AC4861" w:rsidRDefault="007D517D" w:rsidP="007D517D">
            <w:pPr>
              <w:pStyle w:val="Textoindependiente"/>
              <w:jc w:val="both"/>
              <w:rPr>
                <w:rFonts w:ascii="Arial" w:hAnsi="Arial" w:cs="Arial"/>
              </w:rPr>
            </w:pPr>
          </w:p>
          <w:p w14:paraId="607046C7" w14:textId="77777777" w:rsidR="007D517D" w:rsidRPr="00AC4861" w:rsidRDefault="007D517D" w:rsidP="007D517D">
            <w:pPr>
              <w:pStyle w:val="Textoindependiente"/>
              <w:jc w:val="both"/>
              <w:rPr>
                <w:rFonts w:ascii="Arial" w:hAnsi="Arial" w:cs="Arial"/>
              </w:rPr>
            </w:pPr>
            <w:r w:rsidRPr="00AC4861">
              <w:rPr>
                <w:rFonts w:ascii="Arial" w:hAnsi="Arial" w:cs="Arial"/>
              </w:rPr>
              <w:t xml:space="preserve">Considerando que desde el año 2009 se implementó en la Corporación el manual del sistema de gestión de Calidad, la entidad ha logrado mantener su certificación hasta la fecha y el sistema contempla los procesos que </w:t>
            </w:r>
            <w:r w:rsidRPr="00AC4861">
              <w:rPr>
                <w:rFonts w:ascii="Arial" w:hAnsi="Arial" w:cs="Arial"/>
              </w:rPr>
              <w:lastRenderedPageBreak/>
              <w:t xml:space="preserve">involucran controles, </w:t>
            </w:r>
            <w:r w:rsidRPr="00AC4861">
              <w:rPr>
                <w:rFonts w:ascii="Arial" w:hAnsi="Arial" w:cs="Arial"/>
                <w:b/>
                <w:bCs/>
                <w:u w:val="single"/>
              </w:rPr>
              <w:t>éstos no se cumple por parte de los responsables de la generación de información económica afectando el flujo hacia el área contable como son: la oficina jurídica la cual no reporta las provisiones de los procesos judiciales debidamente calculadas y de forma oportuna y los actos administrativos que la Entidad suscribe los cuales generan un derecho u obligación para la misma como es el caso de los comodatos no se los remite a Contabilidad para su reconocimiento afectando la razonabilidad de las cifras</w:t>
            </w:r>
            <w:r w:rsidRPr="00AC4861">
              <w:rPr>
                <w:rFonts w:ascii="Arial" w:hAnsi="Arial" w:cs="Arial"/>
              </w:rPr>
              <w:t xml:space="preserve">. </w:t>
            </w:r>
          </w:p>
          <w:p w14:paraId="4E582752" w14:textId="77777777" w:rsidR="007D517D" w:rsidRPr="00AC4861" w:rsidRDefault="007D517D" w:rsidP="007D517D">
            <w:pPr>
              <w:pStyle w:val="Textoindependiente"/>
              <w:jc w:val="both"/>
              <w:rPr>
                <w:rFonts w:ascii="Arial" w:hAnsi="Arial" w:cs="Arial"/>
              </w:rPr>
            </w:pPr>
          </w:p>
          <w:p w14:paraId="26E94544" w14:textId="77777777" w:rsidR="007D517D" w:rsidRPr="00AC4861" w:rsidRDefault="007D517D" w:rsidP="007D517D">
            <w:pPr>
              <w:pStyle w:val="Textoindependiente"/>
              <w:jc w:val="both"/>
              <w:rPr>
                <w:rFonts w:ascii="Arial" w:hAnsi="Arial" w:cs="Arial"/>
              </w:rPr>
            </w:pPr>
            <w:r w:rsidRPr="00AC4861">
              <w:rPr>
                <w:rFonts w:ascii="Arial" w:hAnsi="Arial" w:cs="Arial"/>
                <w:b/>
                <w:bCs/>
                <w:u w:val="single"/>
              </w:rPr>
              <w:t>Los supervisores no envían oportunamente la información de ejecuciones financiera de los contratos o convenios</w:t>
            </w:r>
            <w:r w:rsidRPr="00AC4861">
              <w:rPr>
                <w:rFonts w:ascii="Arial" w:hAnsi="Arial" w:cs="Arial"/>
              </w:rPr>
              <w:t>.</w:t>
            </w:r>
          </w:p>
          <w:p w14:paraId="5E12F853" w14:textId="77777777" w:rsidR="007D517D" w:rsidRPr="00AC4861" w:rsidRDefault="007D517D" w:rsidP="007D517D">
            <w:pPr>
              <w:pStyle w:val="Textoindependiente"/>
              <w:jc w:val="both"/>
              <w:rPr>
                <w:rFonts w:ascii="Arial" w:hAnsi="Arial" w:cs="Arial"/>
              </w:rPr>
            </w:pPr>
          </w:p>
          <w:p w14:paraId="18CD71F4" w14:textId="77777777" w:rsidR="007D517D" w:rsidRPr="00AC4861" w:rsidRDefault="007D517D" w:rsidP="007D517D">
            <w:pPr>
              <w:pStyle w:val="Textoindependiente"/>
              <w:jc w:val="both"/>
              <w:rPr>
                <w:rFonts w:ascii="Arial" w:hAnsi="Arial" w:cs="Arial"/>
              </w:rPr>
            </w:pPr>
            <w:r w:rsidRPr="00AC4861">
              <w:rPr>
                <w:rFonts w:ascii="Arial" w:hAnsi="Arial" w:cs="Arial"/>
                <w:b/>
                <w:bCs/>
                <w:u w:val="single"/>
              </w:rPr>
              <w:t>La Corporación cuenta con un sistema de administración de su cartera, sin embargo, la operatividad del mismo ha sido deficiente</w:t>
            </w:r>
            <w:r w:rsidRPr="00AC4861">
              <w:rPr>
                <w:rFonts w:ascii="Arial" w:hAnsi="Arial" w:cs="Arial"/>
              </w:rPr>
              <w:t xml:space="preserve">. </w:t>
            </w:r>
            <w:r w:rsidRPr="00AC4861">
              <w:rPr>
                <w:rFonts w:ascii="Arial" w:hAnsi="Arial" w:cs="Arial"/>
                <w:b/>
                <w:bCs/>
                <w:u w:val="single"/>
              </w:rPr>
              <w:t>La dependencia responsable no envía los reportes de la cartera a contabilidad en forma periódica, como son la clasificación por edades, el cálculo de los intereses y el deterioro pertinente</w:t>
            </w:r>
            <w:r w:rsidRPr="00AC4861">
              <w:rPr>
                <w:rFonts w:ascii="Arial" w:hAnsi="Arial" w:cs="Arial"/>
              </w:rPr>
              <w:t xml:space="preserve">. El módulo de facturación contempla la totalidad de las rentas y derechos que la entidad debe facturar, </w:t>
            </w:r>
            <w:r w:rsidRPr="00AC4861">
              <w:rPr>
                <w:rFonts w:ascii="Arial" w:hAnsi="Arial" w:cs="Arial"/>
                <w:b/>
                <w:bCs/>
                <w:u w:val="single"/>
              </w:rPr>
              <w:t>sin embargo, no se encuentra conciliada la información con los saldos de contabilidad</w:t>
            </w:r>
            <w:r w:rsidRPr="00AC4861">
              <w:rPr>
                <w:rFonts w:ascii="Arial" w:hAnsi="Arial" w:cs="Arial"/>
              </w:rPr>
              <w:t xml:space="preserve">. </w:t>
            </w:r>
            <w:r w:rsidRPr="00AC4861">
              <w:rPr>
                <w:rFonts w:ascii="Arial" w:hAnsi="Arial" w:cs="Arial"/>
                <w:b/>
                <w:bCs/>
                <w:u w:val="single"/>
              </w:rPr>
              <w:t>Existen problemas en el cálculo técnico para la facturación de Tasas por uso de agua y Tasas Retributivas, lo que implica que posteriormente se proceda a revocar varias factura</w:t>
            </w:r>
            <w:r w:rsidRPr="00AC4861">
              <w:rPr>
                <w:rFonts w:ascii="Arial" w:hAnsi="Arial" w:cs="Arial"/>
              </w:rPr>
              <w:t xml:space="preserve">s. Se presentan contratiempos en el registro de los recaudos en tiempo real, llevando muchos ingresos a la cuenta “Recaudos por Clasificar” lo cual genera incertidumbre en el grupo de Cuentas por cobrar, Bancos y presupuesto, así mismo esta situación no genera la suficiente confianza sobre los reportes emitidos pudiendo verse afectada la consistencia y razonabilidad de las cifras de los estados financieros. </w:t>
            </w:r>
          </w:p>
          <w:p w14:paraId="1C996367" w14:textId="77777777" w:rsidR="007D517D" w:rsidRPr="00AC4861" w:rsidRDefault="007D517D" w:rsidP="007D517D">
            <w:pPr>
              <w:pStyle w:val="Textoindependiente"/>
              <w:jc w:val="both"/>
              <w:rPr>
                <w:rFonts w:ascii="Arial" w:hAnsi="Arial" w:cs="Arial"/>
              </w:rPr>
            </w:pPr>
          </w:p>
          <w:p w14:paraId="43871E04" w14:textId="77777777" w:rsidR="007D517D" w:rsidRPr="00AC4861" w:rsidRDefault="007D517D" w:rsidP="007D517D">
            <w:pPr>
              <w:pStyle w:val="Textoindependiente"/>
              <w:jc w:val="both"/>
              <w:rPr>
                <w:rFonts w:ascii="Arial" w:hAnsi="Arial" w:cs="Arial"/>
              </w:rPr>
            </w:pPr>
            <w:r w:rsidRPr="00AC4861">
              <w:rPr>
                <w:rFonts w:ascii="Arial" w:hAnsi="Arial" w:cs="Arial"/>
                <w:b/>
                <w:bCs/>
                <w:u w:val="single"/>
              </w:rPr>
              <w:t>La entidad adquirió un módulo de Nómina que no permite integrar a la contabilidad la información relacionada con los beneficios a los empleados y parafiscales, lo que conlleva a duplicar funciones generando un mayor desgaste administrativo por parte de los funcionarios de presupuesto, contabilidad y tesorería</w:t>
            </w:r>
            <w:r w:rsidRPr="00AC4861">
              <w:rPr>
                <w:rFonts w:ascii="Arial" w:hAnsi="Arial" w:cs="Arial"/>
              </w:rPr>
              <w:t xml:space="preserve">. </w:t>
            </w:r>
          </w:p>
          <w:p w14:paraId="319750C0" w14:textId="77777777" w:rsidR="007D517D" w:rsidRPr="00AC4861" w:rsidRDefault="007D517D" w:rsidP="007D517D">
            <w:pPr>
              <w:pStyle w:val="Textoindependiente"/>
              <w:jc w:val="both"/>
              <w:rPr>
                <w:rFonts w:ascii="Arial" w:hAnsi="Arial" w:cs="Arial"/>
              </w:rPr>
            </w:pPr>
          </w:p>
          <w:p w14:paraId="1501B2AA" w14:textId="77777777" w:rsidR="007D517D" w:rsidRPr="00AC4861" w:rsidRDefault="007D517D" w:rsidP="007D517D">
            <w:pPr>
              <w:pStyle w:val="Textoindependiente"/>
              <w:jc w:val="both"/>
              <w:rPr>
                <w:rFonts w:ascii="Arial" w:hAnsi="Arial" w:cs="Arial"/>
              </w:rPr>
            </w:pPr>
            <w:r w:rsidRPr="00AC4861">
              <w:rPr>
                <w:rFonts w:ascii="Arial" w:hAnsi="Arial" w:cs="Arial"/>
                <w:b/>
                <w:bCs/>
                <w:u w:val="single"/>
              </w:rPr>
              <w:t>La falta de una planificación administrativa y financiera, así como la tardía ejecución presupuestal por parte de las diferentes dependencias responsables de los proyectos sigue incidiendo en el represamiento de trabajo al finalizar la vigencia y por ende se pone en riesgo la presentación de los informes financieros por fuera del tiempo estipulado para ello</w:t>
            </w:r>
            <w:r w:rsidRPr="00AC4861">
              <w:rPr>
                <w:rFonts w:ascii="Arial" w:hAnsi="Arial" w:cs="Arial"/>
              </w:rPr>
              <w:t xml:space="preserve">. </w:t>
            </w:r>
          </w:p>
          <w:p w14:paraId="7D2FE039" w14:textId="77777777" w:rsidR="007D517D" w:rsidRPr="00AC4861" w:rsidRDefault="007D517D" w:rsidP="007D517D">
            <w:pPr>
              <w:pStyle w:val="Textoindependiente"/>
              <w:jc w:val="both"/>
              <w:rPr>
                <w:rFonts w:ascii="Arial" w:hAnsi="Arial" w:cs="Arial"/>
              </w:rPr>
            </w:pPr>
          </w:p>
          <w:p w14:paraId="30B9DAF3" w14:textId="77777777" w:rsidR="007D517D" w:rsidRPr="00AC4861" w:rsidRDefault="007D517D" w:rsidP="007D517D">
            <w:pPr>
              <w:pStyle w:val="Textoindependiente"/>
              <w:jc w:val="both"/>
              <w:rPr>
                <w:rFonts w:ascii="Arial" w:hAnsi="Arial" w:cs="Arial"/>
              </w:rPr>
            </w:pPr>
            <w:r w:rsidRPr="00AC4861">
              <w:rPr>
                <w:rFonts w:ascii="Arial" w:hAnsi="Arial" w:cs="Arial"/>
                <w:b/>
                <w:bCs/>
                <w:u w:val="single"/>
              </w:rPr>
              <w:t>La falta de procedimientos administrativos impide que se involucre información financiera y de manera oportuna a los Estados Contables, tal es el caso de los productos que son incautados por la Entidad, Aprovechamiento Forestal, y bienes entregados en arrendamiento</w:t>
            </w:r>
            <w:r w:rsidRPr="00AC4861">
              <w:rPr>
                <w:rFonts w:ascii="Arial" w:hAnsi="Arial" w:cs="Arial"/>
              </w:rPr>
              <w:t xml:space="preserve">. </w:t>
            </w:r>
          </w:p>
          <w:p w14:paraId="65117A03" w14:textId="77777777" w:rsidR="007D517D" w:rsidRPr="00AC4861" w:rsidRDefault="007D517D" w:rsidP="007D517D">
            <w:pPr>
              <w:pStyle w:val="Textoindependiente"/>
              <w:jc w:val="both"/>
              <w:rPr>
                <w:rFonts w:ascii="Arial" w:hAnsi="Arial" w:cs="Arial"/>
              </w:rPr>
            </w:pPr>
          </w:p>
          <w:p w14:paraId="6A82A7D8" w14:textId="77777777" w:rsidR="007D517D" w:rsidRDefault="007D517D" w:rsidP="007D517D">
            <w:pPr>
              <w:pStyle w:val="Textoindependiente"/>
              <w:jc w:val="both"/>
              <w:rPr>
                <w:rFonts w:ascii="Arial" w:hAnsi="Arial" w:cs="Arial"/>
              </w:rPr>
            </w:pPr>
            <w:r w:rsidRPr="00AC4861">
              <w:rPr>
                <w:rFonts w:ascii="Arial" w:hAnsi="Arial" w:cs="Arial"/>
                <w:b/>
                <w:bCs/>
                <w:u w:val="single"/>
              </w:rPr>
              <w:t>La falta de personal responsable, capacitado y comprometido de las áreas que tienen a su cargo el manejo de información financiera repercutió en que las políticas contables no fueran practicadas de manera eficiente y oportuna, como son los casos de central de cuentas, que no se pudieron conciliar los bancos a diciembre 31, tesorería que no reportó el cálculo del deterioro de la cartera, así como Inventarios que no se conoció la veracidad de las cifras presentadas en Propiedad Planta y Equipo, así como el estado de los bienes mediante la determinación del deterioro</w:t>
            </w:r>
            <w:r w:rsidRPr="00AC4861">
              <w:rPr>
                <w:rFonts w:ascii="Arial" w:hAnsi="Arial" w:cs="Arial"/>
              </w:rPr>
              <w:t>.</w:t>
            </w:r>
          </w:p>
          <w:p w14:paraId="316DF2BF" w14:textId="77777777" w:rsidR="007D517D" w:rsidRDefault="007D517D" w:rsidP="007D517D">
            <w:pPr>
              <w:pStyle w:val="Textoindependiente"/>
              <w:jc w:val="both"/>
              <w:rPr>
                <w:rFonts w:ascii="Arial" w:hAnsi="Arial" w:cs="Arial"/>
              </w:rPr>
            </w:pPr>
          </w:p>
          <w:p w14:paraId="620644BA" w14:textId="77777777" w:rsidR="007D517D" w:rsidRPr="0025076A" w:rsidRDefault="007D517D" w:rsidP="007D517D">
            <w:pPr>
              <w:pStyle w:val="Textoindependiente"/>
              <w:jc w:val="both"/>
              <w:rPr>
                <w:rFonts w:ascii="Arial" w:hAnsi="Arial" w:cs="Arial"/>
                <w:bCs/>
              </w:rPr>
            </w:pPr>
            <w:r w:rsidRPr="00D6762A">
              <w:rPr>
                <w:rFonts w:ascii="Arial" w:hAnsi="Arial" w:cs="Arial"/>
                <w:b/>
              </w:rPr>
              <w:t>5.1 Depósitos en Instituciones Financieras</w:t>
            </w:r>
            <w:r w:rsidRPr="0025076A">
              <w:rPr>
                <w:rFonts w:ascii="Arial" w:hAnsi="Arial" w:cs="Arial"/>
                <w:b/>
              </w:rPr>
              <w:t xml:space="preserve">. </w:t>
            </w:r>
            <w:r w:rsidRPr="0025076A">
              <w:rPr>
                <w:rFonts w:ascii="Arial" w:hAnsi="Arial" w:cs="Arial"/>
                <w:b/>
                <w:u w:val="single"/>
              </w:rPr>
              <w:t>La entidad cuenta con 58 cuentas bancarias de las cuales 23 son Corrientes y 35 de Ahorros, las cuales se conciliaron parcialmente a 31 de octubre, quedando pendiente realizar la depuración de años anteriores al 2024</w:t>
            </w:r>
            <w:r w:rsidRPr="0025076A">
              <w:rPr>
                <w:rFonts w:ascii="Arial" w:hAnsi="Arial" w:cs="Arial"/>
                <w:bCs/>
              </w:rPr>
              <w:t xml:space="preserve">. </w:t>
            </w:r>
          </w:p>
          <w:p w14:paraId="25878E61" w14:textId="77777777" w:rsidR="007D517D" w:rsidRPr="0025076A" w:rsidRDefault="007D517D" w:rsidP="007D517D">
            <w:pPr>
              <w:pStyle w:val="Textoindependiente"/>
              <w:jc w:val="both"/>
              <w:rPr>
                <w:rFonts w:ascii="Arial" w:hAnsi="Arial" w:cs="Arial"/>
                <w:bCs/>
              </w:rPr>
            </w:pPr>
          </w:p>
          <w:p w14:paraId="5C6DEDE9" w14:textId="77777777" w:rsidR="007D517D" w:rsidRPr="00D6762A" w:rsidRDefault="007D517D" w:rsidP="007D517D">
            <w:pPr>
              <w:pStyle w:val="Textoindependiente"/>
              <w:jc w:val="both"/>
              <w:rPr>
                <w:rFonts w:ascii="Arial" w:hAnsi="Arial" w:cs="Arial"/>
              </w:rPr>
            </w:pPr>
            <w:r w:rsidRPr="00D6762A">
              <w:rPr>
                <w:rFonts w:ascii="Arial" w:hAnsi="Arial" w:cs="Arial"/>
                <w:b/>
                <w:bCs/>
                <w:u w:val="single"/>
              </w:rPr>
              <w:t>La conciliación de saldos Tesorería Vs Contabilidad continúa con la diferencia de los 9 bancos relacionados en la vigencia 2024, donde en dos de ellos se viene arrastrando las diferencias desde la vigencia 2018, éstas aún no se han ajustado por parte de los responsables las cuales asciendes a $9.004.538,31</w:t>
            </w:r>
            <w:r w:rsidRPr="00D6762A">
              <w:rPr>
                <w:rFonts w:ascii="Arial" w:hAnsi="Arial" w:cs="Arial"/>
              </w:rPr>
              <w:t xml:space="preserve">. </w:t>
            </w:r>
          </w:p>
          <w:p w14:paraId="004CF936" w14:textId="77777777" w:rsidR="007D517D" w:rsidRPr="00D6762A" w:rsidRDefault="007D517D" w:rsidP="007D517D">
            <w:pPr>
              <w:jc w:val="both"/>
              <w:rPr>
                <w:rFonts w:ascii="Arial" w:hAnsi="Arial" w:cs="Arial"/>
                <w:sz w:val="24"/>
                <w:szCs w:val="24"/>
              </w:rPr>
            </w:pPr>
          </w:p>
          <w:p w14:paraId="24013FDF" w14:textId="77777777" w:rsidR="007D517D" w:rsidRPr="005E1BF4" w:rsidRDefault="007D517D" w:rsidP="007D517D">
            <w:pPr>
              <w:pStyle w:val="Textoindependiente"/>
              <w:jc w:val="both"/>
              <w:rPr>
                <w:rFonts w:ascii="Arial" w:hAnsi="Arial" w:cs="Arial"/>
              </w:rPr>
            </w:pPr>
            <w:r w:rsidRPr="005E1BF4">
              <w:rPr>
                <w:rFonts w:ascii="Arial" w:hAnsi="Arial" w:cs="Arial"/>
                <w:b/>
              </w:rPr>
              <w:t xml:space="preserve">7.2 Contribuciones tasas e ingresos no tributarios. </w:t>
            </w:r>
            <w:r w:rsidRPr="005E1BF4">
              <w:rPr>
                <w:rFonts w:ascii="Arial" w:hAnsi="Arial" w:cs="Arial"/>
              </w:rPr>
              <w:t xml:space="preserve">Las cuentas por cobrar se facturan en el módulo del software PCT, que es el programa financiero integrado con el que cuenta la corporación para el registro de sus hechos económicos, </w:t>
            </w:r>
            <w:r w:rsidRPr="005E1BF4">
              <w:rPr>
                <w:rFonts w:ascii="Arial" w:hAnsi="Arial" w:cs="Arial"/>
                <w:b/>
                <w:bCs/>
                <w:u w:val="single"/>
              </w:rPr>
              <w:t>presenta muchas debilidades en cuanto a la generación de informes, desconociendo si son de tipo humano o tecnológico, por lo tanto, hay incertidumbre en las cifras de este grupo</w:t>
            </w:r>
            <w:r w:rsidRPr="005E1BF4">
              <w:rPr>
                <w:rFonts w:ascii="Arial" w:hAnsi="Arial" w:cs="Arial"/>
              </w:rPr>
              <w:t xml:space="preserve">. </w:t>
            </w:r>
          </w:p>
          <w:p w14:paraId="5EFC0AC7" w14:textId="77777777" w:rsidR="007D517D" w:rsidRPr="005E1BF4" w:rsidRDefault="007D517D" w:rsidP="007D517D">
            <w:pPr>
              <w:pStyle w:val="Textoindependiente"/>
              <w:jc w:val="both"/>
              <w:rPr>
                <w:rFonts w:ascii="Arial" w:hAnsi="Arial" w:cs="Arial"/>
              </w:rPr>
            </w:pPr>
          </w:p>
          <w:p w14:paraId="06366870" w14:textId="77777777" w:rsidR="007D517D" w:rsidRPr="005E1BF4" w:rsidRDefault="007D517D" w:rsidP="007D517D">
            <w:pPr>
              <w:pStyle w:val="Textoindependiente"/>
              <w:jc w:val="both"/>
              <w:rPr>
                <w:rFonts w:ascii="Arial" w:hAnsi="Arial" w:cs="Arial"/>
              </w:rPr>
            </w:pPr>
            <w:r w:rsidRPr="005E1BF4">
              <w:rPr>
                <w:rFonts w:ascii="Arial" w:hAnsi="Arial" w:cs="Arial"/>
                <w:b/>
                <w:bCs/>
                <w:u w:val="single"/>
              </w:rPr>
              <w:t xml:space="preserve">Para la vigencia 2024, por problemas de índole tecnológico, no fue posible obtener el cálculo del </w:t>
            </w:r>
            <w:r w:rsidRPr="005E1BF4">
              <w:rPr>
                <w:rFonts w:ascii="Arial" w:hAnsi="Arial" w:cs="Arial"/>
                <w:b/>
                <w:bCs/>
                <w:u w:val="single"/>
              </w:rPr>
              <w:lastRenderedPageBreak/>
              <w:t>deterioro, impidiendo conocer el estado real de la cartera</w:t>
            </w:r>
            <w:r w:rsidRPr="005E1BF4">
              <w:rPr>
                <w:rFonts w:ascii="Arial" w:hAnsi="Arial" w:cs="Arial"/>
              </w:rPr>
              <w:t xml:space="preserve">. </w:t>
            </w:r>
          </w:p>
          <w:p w14:paraId="705132A1" w14:textId="77777777" w:rsidR="007D517D" w:rsidRPr="005E1BF4" w:rsidRDefault="007D517D" w:rsidP="007D517D">
            <w:pPr>
              <w:pStyle w:val="Textoindependiente"/>
              <w:jc w:val="both"/>
              <w:rPr>
                <w:rFonts w:ascii="Arial" w:hAnsi="Arial" w:cs="Arial"/>
                <w:b/>
              </w:rPr>
            </w:pPr>
          </w:p>
          <w:p w14:paraId="76102F30" w14:textId="04928405" w:rsidR="007D517D" w:rsidRDefault="007D517D" w:rsidP="007D517D">
            <w:pPr>
              <w:pStyle w:val="Textoindependiente"/>
              <w:jc w:val="both"/>
              <w:rPr>
                <w:rFonts w:ascii="Arial" w:hAnsi="Arial" w:cs="Arial"/>
                <w:bCs/>
              </w:rPr>
            </w:pPr>
            <w:r w:rsidRPr="005E1BF4">
              <w:rPr>
                <w:rFonts w:ascii="Arial" w:hAnsi="Arial" w:cs="Arial"/>
                <w:b/>
              </w:rPr>
              <w:t xml:space="preserve">Avances y Anticipos Entregados. </w:t>
            </w:r>
            <w:r w:rsidRPr="005E1BF4">
              <w:rPr>
                <w:rFonts w:ascii="Arial" w:hAnsi="Arial" w:cs="Arial"/>
                <w:bCs/>
              </w:rPr>
              <w:t xml:space="preserve">Para ejercer el control de los desembolsos entregados sobre contratos y convenios la corporación diseñó un cuadro en el cual podemos determinar que al cierre del 2024 los contratos vencidos o que se encuentren vigentes y </w:t>
            </w:r>
            <w:r w:rsidRPr="005E1BF4">
              <w:rPr>
                <w:rFonts w:ascii="Arial" w:hAnsi="Arial" w:cs="Arial"/>
                <w:b/>
                <w:u w:val="single"/>
              </w:rPr>
              <w:t>no obstante no fueron reportados oportunamente a contabilidad ocasionando que el saldo de esta cuenta presente incertidumbre y sea necesario depurar durante la vigencia 2025</w:t>
            </w:r>
            <w:r w:rsidRPr="005E1BF4">
              <w:rPr>
                <w:rFonts w:ascii="Arial" w:hAnsi="Arial" w:cs="Arial"/>
                <w:bCs/>
              </w:rPr>
              <w:t>, la cual está conformada así:</w:t>
            </w:r>
          </w:p>
          <w:p w14:paraId="03DF5444" w14:textId="77777777" w:rsidR="007D517D" w:rsidRPr="005E1BF4" w:rsidRDefault="007D517D" w:rsidP="007D517D">
            <w:pPr>
              <w:pStyle w:val="Textoindependiente"/>
              <w:jc w:val="both"/>
              <w:rPr>
                <w:rFonts w:ascii="Arial" w:hAnsi="Arial" w:cs="Arial"/>
                <w:bCs/>
              </w:rPr>
            </w:pPr>
          </w:p>
          <w:p w14:paraId="65EF496F" w14:textId="77777777" w:rsidR="007D517D" w:rsidRDefault="007D517D" w:rsidP="007D517D">
            <w:pPr>
              <w:pStyle w:val="Textoindependiente"/>
              <w:jc w:val="center"/>
              <w:rPr>
                <w:bCs/>
              </w:rPr>
            </w:pPr>
            <w:r w:rsidRPr="00DB16A6">
              <w:rPr>
                <w:bCs/>
                <w:noProof/>
                <w:lang w:val="es-CO"/>
              </w:rPr>
              <w:drawing>
                <wp:inline distT="0" distB="0" distL="0" distR="0" wp14:anchorId="0980CE84" wp14:editId="2D7F413F">
                  <wp:extent cx="4000500" cy="1257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0500" cy="1257300"/>
                          </a:xfrm>
                          <a:prstGeom prst="rect">
                            <a:avLst/>
                          </a:prstGeom>
                        </pic:spPr>
                      </pic:pic>
                    </a:graphicData>
                  </a:graphic>
                </wp:inline>
              </w:drawing>
            </w:r>
          </w:p>
          <w:p w14:paraId="27E1110D" w14:textId="77777777" w:rsidR="007D517D" w:rsidRDefault="007D517D" w:rsidP="007D517D">
            <w:pPr>
              <w:pStyle w:val="Textoindependiente"/>
              <w:jc w:val="both"/>
              <w:rPr>
                <w:bCs/>
              </w:rPr>
            </w:pPr>
          </w:p>
          <w:p w14:paraId="0057DE84" w14:textId="77777777" w:rsidR="007D517D" w:rsidRPr="00031447" w:rsidRDefault="007D517D" w:rsidP="007D517D">
            <w:pPr>
              <w:jc w:val="both"/>
              <w:rPr>
                <w:rFonts w:ascii="Arial" w:hAnsi="Arial" w:cs="Arial"/>
              </w:rPr>
            </w:pPr>
            <w:r w:rsidRPr="00031447">
              <w:rPr>
                <w:rFonts w:ascii="Arial" w:hAnsi="Arial" w:cs="Arial"/>
                <w:b/>
              </w:rPr>
              <w:t xml:space="preserve">21.1.1 ADQUISICIÓN DE BIENES Y SERVICIOS NACIONALES. </w:t>
            </w:r>
            <w:r w:rsidRPr="00031447">
              <w:rPr>
                <w:rFonts w:ascii="Arial" w:hAnsi="Arial" w:cs="Arial"/>
                <w:b/>
                <w:bCs/>
                <w:u w:val="single"/>
              </w:rPr>
              <w:t>Corresponde a obligaciones de saldos de contratos que no se conocen el acta de liquidación o la novedad por la cual aún no han sido liquidados</w:t>
            </w:r>
            <w:r w:rsidRPr="00031447">
              <w:rPr>
                <w:rFonts w:ascii="Arial" w:hAnsi="Arial" w:cs="Arial"/>
              </w:rPr>
              <w:t xml:space="preserve">. </w:t>
            </w:r>
          </w:p>
          <w:p w14:paraId="460029AC" w14:textId="77777777" w:rsidR="007D517D" w:rsidRPr="00031447" w:rsidRDefault="007D517D" w:rsidP="007D517D">
            <w:pPr>
              <w:jc w:val="both"/>
              <w:rPr>
                <w:rFonts w:ascii="Arial" w:hAnsi="Arial" w:cs="Arial"/>
                <w:b/>
              </w:rPr>
            </w:pPr>
          </w:p>
          <w:p w14:paraId="0F4B7C69" w14:textId="77777777" w:rsidR="007D517D" w:rsidRPr="00BA2421" w:rsidRDefault="007D517D" w:rsidP="007D517D">
            <w:pPr>
              <w:jc w:val="both"/>
              <w:rPr>
                <w:rFonts w:ascii="Arial" w:hAnsi="Arial" w:cs="Arial"/>
              </w:rPr>
            </w:pPr>
            <w:r w:rsidRPr="00031447">
              <w:rPr>
                <w:rFonts w:ascii="Arial" w:hAnsi="Arial" w:cs="Arial"/>
                <w:b/>
              </w:rPr>
              <w:t xml:space="preserve">21.1.1 ADQUISICIÓN DE BIENES Y SERVICIOS NACIONALES. </w:t>
            </w:r>
            <w:r w:rsidRPr="00031447">
              <w:rPr>
                <w:rFonts w:ascii="Arial" w:hAnsi="Arial" w:cs="Arial"/>
                <w:b/>
                <w:bCs/>
                <w:u w:val="single"/>
              </w:rPr>
              <w:t>Corresponde a obligaciones de saldos de contratos que no se conocen el acta de liquidación o la novedad por la cual aún no han sido liquidados</w:t>
            </w:r>
            <w:r w:rsidRPr="00031447">
              <w:rPr>
                <w:rFonts w:ascii="Arial" w:hAnsi="Arial" w:cs="Arial"/>
              </w:rPr>
              <w:t xml:space="preserve">. </w:t>
            </w:r>
          </w:p>
        </w:tc>
      </w:tr>
      <w:tr w:rsidR="007D517D" w:rsidRPr="003A1EE7" w14:paraId="7FF8968D" w14:textId="77777777" w:rsidTr="007D517D">
        <w:tc>
          <w:tcPr>
            <w:tcW w:w="441" w:type="dxa"/>
          </w:tcPr>
          <w:p w14:paraId="70E83038" w14:textId="7B7F3D58" w:rsidR="007D517D" w:rsidRPr="00370BB1" w:rsidRDefault="007D517D" w:rsidP="007D517D">
            <w:pPr>
              <w:tabs>
                <w:tab w:val="left" w:pos="1920"/>
              </w:tabs>
              <w:jc w:val="center"/>
              <w:rPr>
                <w:rFonts w:ascii="Arial" w:hAnsi="Arial" w:cs="Arial"/>
                <w:b/>
                <w:color w:val="FF0000"/>
              </w:rPr>
            </w:pPr>
            <w:r w:rsidRPr="00AC4861">
              <w:rPr>
                <w:rFonts w:ascii="Arial" w:hAnsi="Arial" w:cs="Arial"/>
                <w:b/>
              </w:rPr>
              <w:lastRenderedPageBreak/>
              <w:t>3</w:t>
            </w:r>
            <w:r>
              <w:rPr>
                <w:rFonts w:ascii="Arial" w:hAnsi="Arial" w:cs="Arial"/>
                <w:b/>
              </w:rPr>
              <w:t>3</w:t>
            </w:r>
          </w:p>
        </w:tc>
        <w:tc>
          <w:tcPr>
            <w:tcW w:w="10146" w:type="dxa"/>
          </w:tcPr>
          <w:p w14:paraId="168ED11A" w14:textId="77777777" w:rsidR="007D517D" w:rsidRPr="000E48CA" w:rsidRDefault="007D517D" w:rsidP="007D517D">
            <w:pPr>
              <w:pStyle w:val="Textoindependiente"/>
              <w:ind w:right="-50"/>
              <w:jc w:val="both"/>
              <w:rPr>
                <w:rFonts w:ascii="Arial" w:hAnsi="Arial" w:cs="Arial"/>
              </w:rPr>
            </w:pPr>
            <w:r w:rsidRPr="00370BB1">
              <w:rPr>
                <w:rFonts w:ascii="Arial" w:hAnsi="Arial" w:cs="Arial"/>
                <w:b/>
              </w:rPr>
              <w:t>UNIVERSIDAD TECNOLÓGICA DEL CHOCÓ - DIEGO LUIS CÓRDOBA.</w:t>
            </w:r>
            <w:r>
              <w:rPr>
                <w:rFonts w:ascii="Arial" w:hAnsi="Arial" w:cs="Arial"/>
                <w:b/>
              </w:rPr>
              <w:t xml:space="preserve"> </w:t>
            </w:r>
            <w:r>
              <w:rPr>
                <w:b/>
                <w:bCs/>
              </w:rPr>
              <w:t xml:space="preserve">NOTA 10. PROPIEDAD, </w:t>
            </w:r>
            <w:r w:rsidRPr="00370BB1">
              <w:rPr>
                <w:rFonts w:ascii="Arial" w:hAnsi="Arial" w:cs="Arial"/>
                <w:b/>
                <w:bCs/>
              </w:rPr>
              <w:t xml:space="preserve">PLANTA Y EQUIPO – 10.2. Revelaciones Adicionales: </w:t>
            </w:r>
            <w:r w:rsidRPr="00370BB1">
              <w:rPr>
                <w:rFonts w:ascii="Arial" w:hAnsi="Arial" w:cs="Arial"/>
              </w:rPr>
              <w:t xml:space="preserve">En la vigencia anterior, </w:t>
            </w:r>
            <w:r w:rsidRPr="00370BB1">
              <w:rPr>
                <w:rFonts w:ascii="Arial" w:hAnsi="Arial" w:cs="Arial"/>
                <w:b/>
                <w:bCs/>
                <w:u w:val="single"/>
              </w:rPr>
              <w:t>la Contraloría General de la República identificó deficiencias en la conciliación entre la contabilidad y el inventario físico de los bienes, así como la falta de actualización en la vida útil y en la depreciación de algunos activos</w:t>
            </w:r>
            <w:r w:rsidRPr="00370BB1">
              <w:rPr>
                <w:rFonts w:ascii="Arial" w:hAnsi="Arial" w:cs="Arial"/>
              </w:rPr>
              <w:t xml:space="preserve">. Adicionalmente, se evidenció que existían bienes muebles sin identificación en el inventario </w:t>
            </w:r>
            <w:r w:rsidRPr="00370BB1">
              <w:rPr>
                <w:rFonts w:ascii="Arial" w:hAnsi="Arial" w:cs="Arial"/>
                <w:b/>
                <w:bCs/>
                <w:u w:val="single"/>
              </w:rPr>
              <w:t>institucional, lo que generaba riesgos en la gestión patrimonial</w:t>
            </w:r>
            <w:r w:rsidRPr="00370BB1">
              <w:rPr>
                <w:rFonts w:ascii="Arial" w:hAnsi="Arial" w:cs="Arial"/>
              </w:rPr>
              <w:t xml:space="preserve">. </w:t>
            </w:r>
          </w:p>
        </w:tc>
      </w:tr>
      <w:tr w:rsidR="007D517D" w:rsidRPr="003A1EE7" w14:paraId="19F2CD2E" w14:textId="77777777" w:rsidTr="007D517D">
        <w:tc>
          <w:tcPr>
            <w:tcW w:w="441" w:type="dxa"/>
          </w:tcPr>
          <w:p w14:paraId="7D8F5C61" w14:textId="5B614F0E" w:rsidR="007D517D" w:rsidRPr="00370BB1" w:rsidRDefault="007D517D" w:rsidP="007D517D">
            <w:pPr>
              <w:tabs>
                <w:tab w:val="left" w:pos="1920"/>
              </w:tabs>
              <w:jc w:val="center"/>
              <w:rPr>
                <w:rFonts w:ascii="Arial" w:hAnsi="Arial" w:cs="Arial"/>
                <w:b/>
                <w:color w:val="000000" w:themeColor="text1"/>
              </w:rPr>
            </w:pPr>
            <w:r w:rsidRPr="00370BB1">
              <w:rPr>
                <w:rFonts w:ascii="Arial" w:hAnsi="Arial" w:cs="Arial"/>
                <w:b/>
                <w:color w:val="000000" w:themeColor="text1"/>
              </w:rPr>
              <w:t>3</w:t>
            </w:r>
            <w:r>
              <w:rPr>
                <w:rFonts w:ascii="Arial" w:hAnsi="Arial" w:cs="Arial"/>
                <w:b/>
                <w:color w:val="000000" w:themeColor="text1"/>
              </w:rPr>
              <w:t>4</w:t>
            </w:r>
          </w:p>
        </w:tc>
        <w:tc>
          <w:tcPr>
            <w:tcW w:w="10146" w:type="dxa"/>
          </w:tcPr>
          <w:p w14:paraId="3466651B" w14:textId="77777777" w:rsidR="007D517D" w:rsidRPr="000E48CA" w:rsidRDefault="007D517D" w:rsidP="007D517D">
            <w:pPr>
              <w:jc w:val="both"/>
              <w:rPr>
                <w:rFonts w:ascii="Arial" w:hAnsi="Arial" w:cs="Arial"/>
              </w:rPr>
            </w:pPr>
            <w:r w:rsidRPr="000E48CA">
              <w:rPr>
                <w:rFonts w:ascii="Arial" w:hAnsi="Arial" w:cs="Arial"/>
                <w:b/>
                <w:lang w:val="es-MX"/>
              </w:rPr>
              <w:t xml:space="preserve">UNIVERSIDAD DE LOS LLANOS – UNILLANOS. </w:t>
            </w:r>
            <w:r w:rsidRPr="000E48CA">
              <w:rPr>
                <w:rFonts w:ascii="Arial" w:hAnsi="Arial" w:cs="Arial"/>
                <w:b/>
                <w:bCs/>
              </w:rPr>
              <w:t xml:space="preserve">1.2. Declaración de Cumplimiento del Marco Normativo y Limitaciones: </w:t>
            </w:r>
            <w:r w:rsidRPr="000E48CA">
              <w:rPr>
                <w:rFonts w:ascii="Arial" w:hAnsi="Arial" w:cs="Arial"/>
              </w:rPr>
              <w:t xml:space="preserve">(…) Así mismo se presentaron dificultades en la conciliación de saldos contables con los saldos de inventarios, ya que se tienen saldos pendientes por depurar en los diferentes grupos de activos que posee la institución, los cuales en su momento se vieron afectados por la implementación de módulos financiero y el módulo de compras (almacén) en distintos momentos, así como a errores en el cargue inicial de los inventarios de almacén. </w:t>
            </w:r>
          </w:p>
          <w:p w14:paraId="574195E6" w14:textId="77777777" w:rsidR="007D517D" w:rsidRPr="000E48CA" w:rsidRDefault="007D517D" w:rsidP="007D517D">
            <w:pPr>
              <w:pBdr>
                <w:top w:val="nil"/>
                <w:left w:val="nil"/>
                <w:bottom w:val="nil"/>
                <w:right w:val="nil"/>
                <w:between w:val="nil"/>
              </w:pBdr>
              <w:spacing w:before="1"/>
              <w:ind w:right="108"/>
              <w:rPr>
                <w:rFonts w:ascii="Arial" w:hAnsi="Arial" w:cs="Arial"/>
              </w:rPr>
            </w:pPr>
          </w:p>
          <w:p w14:paraId="0A207146" w14:textId="77777777" w:rsidR="007D517D" w:rsidRPr="000E48CA" w:rsidRDefault="007D517D" w:rsidP="007D517D">
            <w:pPr>
              <w:pBdr>
                <w:top w:val="nil"/>
                <w:left w:val="nil"/>
                <w:bottom w:val="nil"/>
                <w:right w:val="nil"/>
                <w:between w:val="nil"/>
              </w:pBdr>
              <w:spacing w:before="1"/>
              <w:ind w:right="108"/>
              <w:jc w:val="both"/>
              <w:rPr>
                <w:rFonts w:ascii="Arial" w:hAnsi="Arial" w:cs="Arial"/>
              </w:rPr>
            </w:pPr>
            <w:r w:rsidRPr="000E48CA">
              <w:rPr>
                <w:rFonts w:ascii="Arial" w:hAnsi="Arial" w:cs="Arial"/>
              </w:rPr>
              <w:t>Al momento de la migración de los registros del SIIF (software contable utilizado hasta 2016) a SICOF (Software contable actual), en Almacén se presentaron errores en la identificación y clasificación de los grupos de inventarios o saldos en físico, valores que no concuerdan con los registros en la cuenta de Propiedad, Planta y Equipo de los Estados Financieros.</w:t>
            </w:r>
          </w:p>
          <w:p w14:paraId="19A6404E" w14:textId="77777777" w:rsidR="007D517D" w:rsidRPr="000E48CA" w:rsidRDefault="007D517D" w:rsidP="007D517D">
            <w:pPr>
              <w:pBdr>
                <w:top w:val="nil"/>
                <w:left w:val="nil"/>
                <w:bottom w:val="nil"/>
                <w:right w:val="nil"/>
                <w:between w:val="nil"/>
              </w:pBdr>
              <w:spacing w:before="1"/>
              <w:ind w:right="108"/>
              <w:jc w:val="both"/>
              <w:rPr>
                <w:rFonts w:ascii="Arial" w:hAnsi="Arial" w:cs="Arial"/>
              </w:rPr>
            </w:pPr>
          </w:p>
          <w:p w14:paraId="19FDBAD1" w14:textId="77777777" w:rsidR="007D517D" w:rsidRDefault="007D517D" w:rsidP="007D517D">
            <w:pPr>
              <w:pBdr>
                <w:top w:val="nil"/>
                <w:left w:val="nil"/>
                <w:bottom w:val="nil"/>
                <w:right w:val="nil"/>
                <w:between w:val="nil"/>
              </w:pBdr>
              <w:spacing w:before="1"/>
              <w:ind w:right="108"/>
              <w:jc w:val="both"/>
              <w:rPr>
                <w:rFonts w:ascii="Arial" w:hAnsi="Arial" w:cs="Arial"/>
              </w:rPr>
            </w:pPr>
            <w:r w:rsidRPr="000E48CA">
              <w:rPr>
                <w:rFonts w:ascii="Arial" w:hAnsi="Arial" w:cs="Arial"/>
              </w:rPr>
              <w:t>A continuación, se presentan las diferencias por grupos, tomando como referencia los saldos de Almacén menos los saldos en libros así:</w:t>
            </w:r>
          </w:p>
          <w:p w14:paraId="7FD7EED8" w14:textId="77777777" w:rsidR="007D517D" w:rsidRPr="00370BB1" w:rsidRDefault="007D517D" w:rsidP="007D517D">
            <w:pPr>
              <w:pStyle w:val="Textoindependiente"/>
              <w:ind w:right="-50"/>
              <w:jc w:val="both"/>
              <w:rPr>
                <w:rFonts w:ascii="Arial" w:hAnsi="Arial" w:cs="Arial"/>
                <w:b/>
              </w:rPr>
            </w:pPr>
          </w:p>
        </w:tc>
      </w:tr>
      <w:tr w:rsidR="007D517D" w:rsidRPr="003A1EE7" w14:paraId="61B9C9B9" w14:textId="77777777" w:rsidTr="007D517D">
        <w:trPr>
          <w:trHeight w:val="4667"/>
        </w:trPr>
        <w:tc>
          <w:tcPr>
            <w:tcW w:w="441" w:type="dxa"/>
          </w:tcPr>
          <w:p w14:paraId="7EB4A3B1" w14:textId="3F22B01E" w:rsidR="007D517D" w:rsidRPr="003A1EE7" w:rsidRDefault="007D517D" w:rsidP="007D517D">
            <w:pPr>
              <w:tabs>
                <w:tab w:val="left" w:pos="1920"/>
              </w:tabs>
              <w:jc w:val="center"/>
              <w:rPr>
                <w:rFonts w:ascii="Arial" w:hAnsi="Arial" w:cs="Arial"/>
                <w:b/>
                <w:color w:val="FF0000"/>
              </w:rPr>
            </w:pPr>
            <w:r>
              <w:rPr>
                <w:rFonts w:ascii="Arial" w:hAnsi="Arial" w:cs="Arial"/>
                <w:b/>
                <w:color w:val="000000" w:themeColor="text1"/>
              </w:rPr>
              <w:lastRenderedPageBreak/>
              <w:t>35</w:t>
            </w:r>
          </w:p>
        </w:tc>
        <w:tc>
          <w:tcPr>
            <w:tcW w:w="10146" w:type="dxa"/>
          </w:tcPr>
          <w:p w14:paraId="108C17B6" w14:textId="77777777" w:rsidR="007D517D" w:rsidRPr="000E48CA" w:rsidRDefault="007D517D" w:rsidP="007D517D">
            <w:pPr>
              <w:pBdr>
                <w:top w:val="nil"/>
                <w:left w:val="nil"/>
                <w:bottom w:val="nil"/>
                <w:right w:val="nil"/>
                <w:between w:val="nil"/>
              </w:pBdr>
              <w:spacing w:before="1"/>
              <w:ind w:right="108"/>
              <w:jc w:val="both"/>
              <w:rPr>
                <w:rFonts w:ascii="Arial" w:hAnsi="Arial" w:cs="Arial"/>
              </w:rPr>
            </w:pPr>
          </w:p>
          <w:p w14:paraId="2CF8963E" w14:textId="77777777" w:rsidR="007D517D" w:rsidRPr="000E48CA" w:rsidRDefault="007D517D" w:rsidP="007D517D">
            <w:pPr>
              <w:pBdr>
                <w:top w:val="nil"/>
                <w:left w:val="nil"/>
                <w:bottom w:val="nil"/>
                <w:right w:val="nil"/>
                <w:between w:val="nil"/>
              </w:pBdr>
              <w:spacing w:before="1"/>
              <w:ind w:right="108"/>
              <w:jc w:val="center"/>
              <w:rPr>
                <w:rFonts w:ascii="Arial" w:hAnsi="Arial" w:cs="Arial"/>
              </w:rPr>
            </w:pPr>
            <w:r w:rsidRPr="000E48CA">
              <w:rPr>
                <w:rFonts w:ascii="Arial" w:hAnsi="Arial" w:cs="Arial"/>
                <w:noProof/>
                <w:lang w:val="es-CO"/>
              </w:rPr>
              <w:drawing>
                <wp:inline distT="0" distB="0" distL="0" distR="0" wp14:anchorId="05F6D692" wp14:editId="699259DB">
                  <wp:extent cx="4715533" cy="3191320"/>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5533" cy="3191320"/>
                          </a:xfrm>
                          <a:prstGeom prst="rect">
                            <a:avLst/>
                          </a:prstGeom>
                        </pic:spPr>
                      </pic:pic>
                    </a:graphicData>
                  </a:graphic>
                </wp:inline>
              </w:drawing>
            </w:r>
          </w:p>
          <w:p w14:paraId="6D96F588" w14:textId="77777777" w:rsidR="007D517D" w:rsidRDefault="007D517D" w:rsidP="007D517D">
            <w:pPr>
              <w:pBdr>
                <w:top w:val="nil"/>
                <w:left w:val="nil"/>
                <w:bottom w:val="nil"/>
                <w:right w:val="nil"/>
                <w:between w:val="nil"/>
              </w:pBdr>
              <w:spacing w:before="1"/>
              <w:ind w:right="108"/>
              <w:jc w:val="both"/>
              <w:rPr>
                <w:rFonts w:ascii="Arial" w:hAnsi="Arial" w:cs="Arial"/>
              </w:rPr>
            </w:pPr>
          </w:p>
          <w:p w14:paraId="57A8A5F5" w14:textId="29B05AC5" w:rsidR="007D517D" w:rsidRPr="000E48CA" w:rsidRDefault="007D517D" w:rsidP="007D517D">
            <w:pPr>
              <w:pBdr>
                <w:top w:val="nil"/>
                <w:left w:val="nil"/>
                <w:bottom w:val="nil"/>
                <w:right w:val="nil"/>
                <w:between w:val="nil"/>
              </w:pBdr>
              <w:spacing w:before="1"/>
              <w:ind w:right="108"/>
              <w:jc w:val="both"/>
              <w:rPr>
                <w:rFonts w:ascii="Arial" w:hAnsi="Arial" w:cs="Arial"/>
              </w:rPr>
            </w:pPr>
            <w:r w:rsidRPr="000E48CA">
              <w:rPr>
                <w:rFonts w:ascii="Arial" w:hAnsi="Arial" w:cs="Arial"/>
              </w:rPr>
              <w:t>Estas diferencias han sido llevadas a varias de las sesiones del Comité de Saneamiento Contable y fueron analizadas; con base en dicho análisis, en cabeza de la Vicerrectoría de Recursos se está adelantando un plan de acción con el fin de actualizar y conciliar los inventarios de los diferentes activos que posee la institución.</w:t>
            </w:r>
          </w:p>
          <w:p w14:paraId="7BF3953F" w14:textId="77777777" w:rsidR="007D517D" w:rsidRPr="000E48CA" w:rsidRDefault="007D517D" w:rsidP="007D517D">
            <w:pPr>
              <w:pBdr>
                <w:top w:val="nil"/>
                <w:left w:val="nil"/>
                <w:bottom w:val="nil"/>
                <w:right w:val="nil"/>
                <w:between w:val="nil"/>
              </w:pBdr>
              <w:spacing w:before="1"/>
              <w:ind w:right="108"/>
              <w:jc w:val="both"/>
              <w:rPr>
                <w:rFonts w:ascii="Arial" w:hAnsi="Arial" w:cs="Arial"/>
              </w:rPr>
            </w:pPr>
          </w:p>
          <w:p w14:paraId="4AB18BA5" w14:textId="77777777" w:rsidR="007D517D" w:rsidRPr="000E48CA" w:rsidRDefault="007D517D" w:rsidP="007D517D">
            <w:pPr>
              <w:pBdr>
                <w:top w:val="nil"/>
                <w:left w:val="nil"/>
                <w:bottom w:val="nil"/>
                <w:right w:val="nil"/>
                <w:between w:val="nil"/>
              </w:pBdr>
              <w:spacing w:before="1"/>
              <w:ind w:right="108"/>
              <w:jc w:val="both"/>
              <w:rPr>
                <w:rFonts w:ascii="Arial" w:hAnsi="Arial" w:cs="Arial"/>
              </w:rPr>
            </w:pPr>
            <w:r w:rsidRPr="000E48CA">
              <w:rPr>
                <w:rFonts w:ascii="Arial" w:hAnsi="Arial" w:cs="Arial"/>
              </w:rPr>
              <w:t>Se contrata un profesional idóneo para llevar a cabo el plan de trabajo y se le asignan diferentes actividades, las cuales pretenden subsanar las diferencias de los saldos contables con los saldos de inventarios así:</w:t>
            </w:r>
          </w:p>
          <w:p w14:paraId="1847193A" w14:textId="77777777" w:rsidR="007D517D" w:rsidRPr="000E48CA" w:rsidRDefault="007D517D" w:rsidP="007D517D">
            <w:pPr>
              <w:pBdr>
                <w:top w:val="nil"/>
                <w:left w:val="nil"/>
                <w:bottom w:val="nil"/>
                <w:right w:val="nil"/>
                <w:between w:val="nil"/>
              </w:pBdr>
              <w:spacing w:before="1"/>
              <w:ind w:right="108"/>
              <w:jc w:val="both"/>
              <w:rPr>
                <w:rFonts w:ascii="Arial" w:hAnsi="Arial" w:cs="Arial"/>
              </w:rPr>
            </w:pPr>
          </w:p>
          <w:p w14:paraId="7A9F8934"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spacing w:before="1" w:after="200"/>
              <w:ind w:right="108"/>
              <w:contextualSpacing/>
              <w:jc w:val="both"/>
              <w:rPr>
                <w:rFonts w:ascii="Arial" w:hAnsi="Arial" w:cs="Arial"/>
              </w:rPr>
            </w:pPr>
            <w:r w:rsidRPr="000E48CA">
              <w:rPr>
                <w:rFonts w:ascii="Arial" w:hAnsi="Arial" w:cs="Arial"/>
              </w:rPr>
              <w:t>Reclasificación de activos por depuración.</w:t>
            </w:r>
          </w:p>
          <w:p w14:paraId="555F8680"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spacing w:before="1" w:after="200"/>
              <w:ind w:right="108"/>
              <w:contextualSpacing/>
              <w:jc w:val="both"/>
              <w:rPr>
                <w:rFonts w:ascii="Arial" w:hAnsi="Arial" w:cs="Arial"/>
              </w:rPr>
            </w:pPr>
            <w:r w:rsidRPr="000E48CA">
              <w:rPr>
                <w:rFonts w:ascii="Arial" w:hAnsi="Arial" w:cs="Arial"/>
              </w:rPr>
              <w:t>Clasificación de activos de acuerdo a su naturaleza, nombre y estado en el módulo de almacén e inventarios.</w:t>
            </w:r>
          </w:p>
          <w:p w14:paraId="4CB7CB05"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spacing w:before="1" w:after="200"/>
              <w:ind w:right="108"/>
              <w:contextualSpacing/>
              <w:jc w:val="both"/>
              <w:rPr>
                <w:rFonts w:ascii="Arial" w:hAnsi="Arial" w:cs="Arial"/>
              </w:rPr>
            </w:pPr>
            <w:r w:rsidRPr="000E48CA">
              <w:rPr>
                <w:rFonts w:ascii="Arial" w:hAnsi="Arial" w:cs="Arial"/>
              </w:rPr>
              <w:t>Verificación física de inventarios a cargo de cada responsable, cumpliendo procedimiento PD-GBS-10 Procedimiento Inventario de Bienes y sus actas respectivas. (diligenciamiento matriz faltantes y elementos pendientes por identificar responsables, todos los activos con placas de marcación).</w:t>
            </w:r>
          </w:p>
          <w:p w14:paraId="41F45595"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spacing w:before="1" w:after="200"/>
              <w:ind w:right="108"/>
              <w:contextualSpacing/>
              <w:jc w:val="both"/>
              <w:rPr>
                <w:rFonts w:ascii="Arial" w:hAnsi="Arial" w:cs="Arial"/>
              </w:rPr>
            </w:pPr>
            <w:r w:rsidRPr="000E48CA">
              <w:rPr>
                <w:rFonts w:ascii="Arial" w:hAnsi="Arial" w:cs="Arial"/>
              </w:rPr>
              <w:t>Saldos reales por grupo en cada una de las bodegas, según inventarios físicos (bodega principal, bodega de bienes en servicio y bodega de inservibles).</w:t>
            </w:r>
          </w:p>
          <w:p w14:paraId="55841C01"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spacing w:before="1" w:after="200"/>
              <w:ind w:right="108"/>
              <w:contextualSpacing/>
              <w:jc w:val="both"/>
              <w:rPr>
                <w:rFonts w:ascii="Arial" w:hAnsi="Arial" w:cs="Arial"/>
              </w:rPr>
            </w:pPr>
            <w:r w:rsidRPr="000E48CA">
              <w:rPr>
                <w:rFonts w:ascii="Arial" w:hAnsi="Arial" w:cs="Arial"/>
              </w:rPr>
              <w:t>Revisar política de inventarios, propiedad planta y equipo, amortizaciones y diferidos, incluido el indicio de deterioro, analizados bajo normas internacionales.</w:t>
            </w:r>
          </w:p>
          <w:p w14:paraId="48333B43"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spacing w:before="1" w:after="200"/>
              <w:ind w:right="108"/>
              <w:contextualSpacing/>
              <w:jc w:val="both"/>
              <w:rPr>
                <w:rFonts w:ascii="Arial" w:hAnsi="Arial" w:cs="Arial"/>
              </w:rPr>
            </w:pPr>
            <w:r w:rsidRPr="000E48CA">
              <w:rPr>
                <w:rFonts w:ascii="Arial" w:hAnsi="Arial" w:cs="Arial"/>
              </w:rPr>
              <w:t>Conciliar saldos de inventarios por tipo de grupo de inventarios.</w:t>
            </w:r>
          </w:p>
          <w:p w14:paraId="70755E91" w14:textId="77777777" w:rsidR="007D517D" w:rsidRPr="000E48CA" w:rsidRDefault="007D517D" w:rsidP="007D517D">
            <w:pPr>
              <w:pStyle w:val="Prrafodelista"/>
              <w:widowControl/>
              <w:numPr>
                <w:ilvl w:val="0"/>
                <w:numId w:val="52"/>
              </w:numPr>
              <w:pBdr>
                <w:top w:val="nil"/>
                <w:left w:val="nil"/>
                <w:bottom w:val="nil"/>
                <w:right w:val="nil"/>
                <w:between w:val="nil"/>
              </w:pBdr>
              <w:autoSpaceDE/>
              <w:autoSpaceDN/>
              <w:ind w:right="108"/>
              <w:contextualSpacing/>
              <w:jc w:val="both"/>
              <w:rPr>
                <w:rFonts w:ascii="Arial" w:hAnsi="Arial" w:cs="Arial"/>
              </w:rPr>
            </w:pPr>
            <w:r w:rsidRPr="000E48CA">
              <w:rPr>
                <w:rFonts w:ascii="Arial" w:hAnsi="Arial" w:cs="Arial"/>
              </w:rPr>
              <w:t>Actualizar integradamente los artículos del inventario de la Universidad con los cálculos contables como depreciación, amortización y valorización.</w:t>
            </w:r>
          </w:p>
        </w:tc>
      </w:tr>
      <w:tr w:rsidR="007D517D" w:rsidRPr="003A1EE7" w14:paraId="1F880D2D" w14:textId="77777777" w:rsidTr="007D517D">
        <w:tc>
          <w:tcPr>
            <w:tcW w:w="441" w:type="dxa"/>
          </w:tcPr>
          <w:p w14:paraId="2F7CB186" w14:textId="24F08394" w:rsidR="007D517D" w:rsidRPr="003A1EE7" w:rsidRDefault="007D517D" w:rsidP="007D517D">
            <w:pPr>
              <w:tabs>
                <w:tab w:val="left" w:pos="1920"/>
              </w:tabs>
              <w:jc w:val="center"/>
              <w:rPr>
                <w:rFonts w:ascii="Arial" w:hAnsi="Arial" w:cs="Arial"/>
                <w:b/>
                <w:color w:val="FF0000"/>
              </w:rPr>
            </w:pPr>
          </w:p>
        </w:tc>
        <w:tc>
          <w:tcPr>
            <w:tcW w:w="10146" w:type="dxa"/>
          </w:tcPr>
          <w:p w14:paraId="5DB32A0F" w14:textId="77777777" w:rsidR="007D517D" w:rsidRPr="00A84379" w:rsidRDefault="007D517D" w:rsidP="007D517D">
            <w:pPr>
              <w:pStyle w:val="Textoindependiente"/>
              <w:ind w:right="-50"/>
              <w:jc w:val="both"/>
              <w:rPr>
                <w:rFonts w:ascii="Arial" w:hAnsi="Arial" w:cs="Arial"/>
              </w:rPr>
            </w:pPr>
            <w:r w:rsidRPr="00A84379">
              <w:rPr>
                <w:rFonts w:ascii="Arial" w:hAnsi="Arial" w:cs="Arial"/>
                <w:b/>
              </w:rPr>
              <w:t xml:space="preserve">INSTITUTO PENITENCIARIO Y CARCELARIO – INPEC. DE LAS NOTAS DE CARÁCTER GENERAL – 1.2. Declaración de Cumplimiento del marco Normativo y Limitaciones – Limitaciones: </w:t>
            </w:r>
            <w:r w:rsidRPr="00A84379">
              <w:rPr>
                <w:rFonts w:ascii="Arial" w:hAnsi="Arial" w:cs="Arial"/>
              </w:rPr>
              <w:t xml:space="preserve">En la vigencia fiscal de 2024, se siguieron los lineamientos impartidos por los entes rectores de control, vigilancia y gestión. En el INPEC, todas las operaciones financieras y contables son registradas a través del aplicativo SIIF Nación, razón por la cual en cada una de las subunidades ejecutoras se utiliza esta herramienta. </w:t>
            </w:r>
          </w:p>
          <w:p w14:paraId="3D616D1F" w14:textId="77777777" w:rsidR="007D517D" w:rsidRPr="00A84379" w:rsidRDefault="007D517D" w:rsidP="007D517D">
            <w:pPr>
              <w:pStyle w:val="Textoindependiente"/>
              <w:ind w:right="-50"/>
              <w:jc w:val="both"/>
              <w:rPr>
                <w:rFonts w:ascii="Arial" w:hAnsi="Arial" w:cs="Arial"/>
              </w:rPr>
            </w:pPr>
          </w:p>
          <w:p w14:paraId="5DA418C6"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Sin embargo, se presenta dificultad para cumplir con las características cualitativas de la información contable, por las siguientes razones: </w:t>
            </w:r>
          </w:p>
          <w:p w14:paraId="7B574DF3" w14:textId="77777777" w:rsidR="007D517D" w:rsidRPr="00A84379" w:rsidRDefault="007D517D" w:rsidP="007D517D">
            <w:pPr>
              <w:pStyle w:val="Textoindependiente"/>
              <w:ind w:right="-50"/>
              <w:jc w:val="both"/>
              <w:rPr>
                <w:rFonts w:ascii="Arial" w:hAnsi="Arial" w:cs="Arial"/>
              </w:rPr>
            </w:pPr>
          </w:p>
          <w:p w14:paraId="5F56644D"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1. Deficiencia en la segregación de funciones en las áreas de Presupuesto, Pagaduría, Contabilidad y Almacén por la insuficiencia de personal idóneo para el manejo de los procesos financieros en SIIF, en las 135 subunidades. </w:t>
            </w:r>
          </w:p>
          <w:p w14:paraId="1052D616" w14:textId="77777777" w:rsidR="007D517D" w:rsidRPr="00A84379" w:rsidRDefault="007D517D" w:rsidP="007D517D">
            <w:pPr>
              <w:pStyle w:val="Textoindependiente"/>
              <w:ind w:right="-50"/>
              <w:jc w:val="both"/>
              <w:rPr>
                <w:rFonts w:ascii="Arial" w:hAnsi="Arial" w:cs="Arial"/>
              </w:rPr>
            </w:pPr>
          </w:p>
          <w:p w14:paraId="54EBC3FC"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2. El personal asignado para desarrollar las funciones de los perfiles pagador y contable, en su mayoría, no cuenta </w:t>
            </w:r>
            <w:r w:rsidRPr="00A84379">
              <w:rPr>
                <w:rFonts w:ascii="Arial" w:hAnsi="Arial" w:cs="Arial"/>
              </w:rPr>
              <w:lastRenderedPageBreak/>
              <w:t xml:space="preserve">con conocimientos técnico-contables para el desempeño de las funciones correspondientes, por cuanto la Convocatoria 250 así lo requirió para esos cargos, de acuerdo al Manual de Funciones y Competencias Laborales del Instituto. </w:t>
            </w:r>
          </w:p>
          <w:p w14:paraId="73CA8B03" w14:textId="77777777" w:rsidR="007D517D" w:rsidRPr="00A84379" w:rsidRDefault="007D517D" w:rsidP="007D517D">
            <w:pPr>
              <w:pStyle w:val="Textoindependiente"/>
              <w:ind w:right="-50"/>
              <w:jc w:val="both"/>
              <w:rPr>
                <w:rFonts w:ascii="Arial" w:hAnsi="Arial" w:cs="Arial"/>
              </w:rPr>
            </w:pPr>
          </w:p>
          <w:p w14:paraId="3C43E495"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3. Constante rotación del personal capacitado en los aplicativos SIIF Nación, PCT (propiedad, planta y equipo) que además conocen las instrucciones contables impartidas para la aplicabilidad del Régimen de Contabilidad Pública, tanto en el nivel central como a nivel nacional. </w:t>
            </w:r>
          </w:p>
          <w:p w14:paraId="13A4F096" w14:textId="77777777" w:rsidR="007D517D" w:rsidRPr="00A84379" w:rsidRDefault="007D517D" w:rsidP="007D517D">
            <w:pPr>
              <w:pStyle w:val="Textoindependiente"/>
              <w:ind w:right="-50"/>
              <w:jc w:val="both"/>
              <w:rPr>
                <w:rFonts w:ascii="Arial" w:hAnsi="Arial" w:cs="Arial"/>
              </w:rPr>
            </w:pPr>
          </w:p>
          <w:p w14:paraId="39AE76C5"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4. En algunas subunidades, las funciones financieras las desempeña el personal del Cuerpo de Custodia y Vigilancia, quienes se ven obligados a dejar de lado las funciones administrativas para cumplir aquellas propias de sus cargos, incurriendo en la no terminación y la ejecución de los procesos, lo cual genera inconsistencias en la calidad y presentación oportuna en la información. </w:t>
            </w:r>
          </w:p>
          <w:p w14:paraId="750F39F5" w14:textId="77777777" w:rsidR="007D517D" w:rsidRPr="00A84379" w:rsidRDefault="007D517D" w:rsidP="007D517D">
            <w:pPr>
              <w:pStyle w:val="Textoindependiente"/>
              <w:ind w:right="-50"/>
              <w:jc w:val="both"/>
              <w:rPr>
                <w:rFonts w:ascii="Arial" w:hAnsi="Arial" w:cs="Arial"/>
              </w:rPr>
            </w:pPr>
          </w:p>
          <w:p w14:paraId="642F5666"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5. Deficiencia en la entrega oportuna de la información de quienes ejecutan procesos que intervienen o generan información al contable, a pesar de reiterar a las dependencias la obligatoriedad de remitir oportunamente toda información contable y los documentos soporte en cumplimiento a lo establecido en la Resolución 193 del 5 de mayo de 2016, numeral 3.2.9.1. </w:t>
            </w:r>
          </w:p>
          <w:p w14:paraId="07128490" w14:textId="77777777" w:rsidR="007D517D" w:rsidRPr="00A84379" w:rsidRDefault="007D517D" w:rsidP="007D517D">
            <w:pPr>
              <w:pStyle w:val="Textoindependiente"/>
              <w:ind w:right="-50"/>
              <w:jc w:val="both"/>
              <w:rPr>
                <w:rFonts w:ascii="Arial" w:hAnsi="Arial" w:cs="Arial"/>
              </w:rPr>
            </w:pPr>
          </w:p>
          <w:p w14:paraId="6C74454D"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6. Los apoderados designados por el Instituto para su representación registran en el aplicativo EKOGUI el valor de las pretensiones; sin considerar los parámetros establecidos en la normatividad expedida por la Agencia Nacional de Defensa Jurídica del Estado-ANDJE, lo que no refleja la situación real de los procesos judiciales. </w:t>
            </w:r>
          </w:p>
          <w:p w14:paraId="439395A1" w14:textId="77777777" w:rsidR="007D517D" w:rsidRPr="00A84379" w:rsidRDefault="007D517D" w:rsidP="007D517D">
            <w:pPr>
              <w:pStyle w:val="Textoindependiente"/>
              <w:ind w:right="-50"/>
              <w:jc w:val="both"/>
              <w:rPr>
                <w:rFonts w:ascii="Arial" w:hAnsi="Arial" w:cs="Arial"/>
              </w:rPr>
            </w:pPr>
          </w:p>
          <w:p w14:paraId="0FE028AB"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7. La información contable está sujeta a reclasificaciones y ajustes, toda vez que la parametrización es elaborada por la Contaduría General de la Nación, es decir, es de carácter general; se ha evidenciado al generar algunos registros automáticos, que se afectan cuentas contables que no corresponden, ocasionando inconsistencias en las trazas contables.</w:t>
            </w:r>
          </w:p>
          <w:p w14:paraId="2584E02B" w14:textId="77777777" w:rsidR="007D517D" w:rsidRPr="00A84379" w:rsidRDefault="007D517D" w:rsidP="007D517D">
            <w:pPr>
              <w:pStyle w:val="Textoindependiente"/>
              <w:ind w:right="-50"/>
              <w:jc w:val="both"/>
              <w:rPr>
                <w:rFonts w:ascii="Arial" w:hAnsi="Arial" w:cs="Arial"/>
              </w:rPr>
            </w:pPr>
          </w:p>
          <w:p w14:paraId="7598A65D"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8. La información plasmada en los Estados Financieros ha estado sujeta a registros manuales, reclasificaciones y ajustes permanentes, toda vez que, el aplicativo SIIF Nación no ha desarrollado los módulos de nómina, bienes y servicios y costos entre otros. </w:t>
            </w:r>
          </w:p>
          <w:p w14:paraId="7C332854" w14:textId="77777777" w:rsidR="007D517D" w:rsidRPr="00A84379" w:rsidRDefault="007D517D" w:rsidP="007D517D">
            <w:pPr>
              <w:pStyle w:val="Textoindependiente"/>
              <w:ind w:right="-50"/>
              <w:jc w:val="both"/>
              <w:rPr>
                <w:rFonts w:ascii="Arial" w:hAnsi="Arial" w:cs="Arial"/>
              </w:rPr>
            </w:pPr>
          </w:p>
          <w:p w14:paraId="519F2A1B"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9. Los reportes contables generados por el sistema SIIF para el análisis de la información presentan restricción en la generación por periodos mensuales y por horarios, dificultando la consulta y análisis de las cuentas que conforman los estados financieros de la entidad. </w:t>
            </w:r>
          </w:p>
          <w:p w14:paraId="621F36EE" w14:textId="77777777" w:rsidR="007D517D" w:rsidRPr="00A84379" w:rsidRDefault="007D517D" w:rsidP="007D517D">
            <w:pPr>
              <w:pStyle w:val="Textoindependiente"/>
              <w:ind w:right="-50"/>
              <w:jc w:val="both"/>
              <w:rPr>
                <w:rFonts w:ascii="Arial" w:hAnsi="Arial" w:cs="Arial"/>
              </w:rPr>
            </w:pPr>
          </w:p>
          <w:p w14:paraId="628B4298"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10. La Unidad de Servicios Penitenciario y Carcelarios USPEC, reporta la información de forma extemporánea generando inconsistencias en la información contable a pesar de los requerimientos realizados por el INPEC con participación de la Contaduría General de la Nación para el cumplimiento del concepto emitido para tal fin y sin la debida desagregación, dificultando el registro y análisis de la causación para la contabilización de los hechos económicos, en los estados financieros del Instituto. </w:t>
            </w:r>
          </w:p>
          <w:p w14:paraId="13869DE8" w14:textId="77777777" w:rsidR="007D517D" w:rsidRPr="00A84379" w:rsidRDefault="007D517D" w:rsidP="007D517D">
            <w:pPr>
              <w:pStyle w:val="Textoindependiente"/>
              <w:ind w:right="-50"/>
              <w:jc w:val="both"/>
              <w:rPr>
                <w:rFonts w:ascii="Arial" w:hAnsi="Arial" w:cs="Arial"/>
              </w:rPr>
            </w:pPr>
          </w:p>
          <w:p w14:paraId="2E649B35"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En la vigencia comprendida entre el 1º de enero hasta el 31 de diciembre de 2024 se recibieron 100 resoluciones en total, por un valor de $ 1.170.642.922.091,45, realizando la desagregación se presenta de la siguiente manera: </w:t>
            </w:r>
          </w:p>
          <w:p w14:paraId="64A3167F" w14:textId="77777777" w:rsidR="007D517D" w:rsidRPr="00A84379" w:rsidRDefault="007D517D" w:rsidP="007D517D">
            <w:pPr>
              <w:pStyle w:val="Textoindependiente"/>
              <w:ind w:right="-50"/>
              <w:jc w:val="both"/>
              <w:rPr>
                <w:rFonts w:ascii="Arial" w:hAnsi="Arial" w:cs="Arial"/>
              </w:rPr>
            </w:pPr>
          </w:p>
          <w:p w14:paraId="5FA2E299"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Resoluciones por concepto de servicios fueron 77 por un valor total de $ 1.063.400.853.218,55, 23 recibidas por concepto de bienes por un valor total de $ 107.242.068.872,90 y de vigencias anteriores se recibieron 51 por un valor total de $585.363.365.629.18. </w:t>
            </w:r>
          </w:p>
          <w:p w14:paraId="06DBE6F8" w14:textId="77777777" w:rsidR="007D517D" w:rsidRPr="00A84379" w:rsidRDefault="007D517D" w:rsidP="007D517D">
            <w:pPr>
              <w:pStyle w:val="Textoindependiente"/>
              <w:ind w:right="-50"/>
              <w:jc w:val="both"/>
              <w:rPr>
                <w:rFonts w:ascii="Arial" w:hAnsi="Arial" w:cs="Arial"/>
              </w:rPr>
            </w:pPr>
          </w:p>
          <w:p w14:paraId="3D387456" w14:textId="77777777" w:rsidR="007D517D" w:rsidRPr="00A84379" w:rsidRDefault="007D517D" w:rsidP="007D517D">
            <w:pPr>
              <w:pStyle w:val="Textoindependiente"/>
              <w:ind w:right="-50"/>
              <w:jc w:val="both"/>
              <w:rPr>
                <w:rFonts w:ascii="Arial" w:hAnsi="Arial" w:cs="Arial"/>
              </w:rPr>
            </w:pPr>
            <w:r w:rsidRPr="00A84379">
              <w:rPr>
                <w:rFonts w:ascii="Arial" w:hAnsi="Arial" w:cs="Arial"/>
              </w:rPr>
              <w:t xml:space="preserve">Las resoluciones no contabilizadas, están pendientes de corrección por parte de la USPEC. </w:t>
            </w:r>
          </w:p>
          <w:p w14:paraId="39D3E295" w14:textId="77777777" w:rsidR="007D517D" w:rsidRPr="00A84379" w:rsidRDefault="007D517D" w:rsidP="007D517D">
            <w:pPr>
              <w:pStyle w:val="Textoindependiente"/>
              <w:ind w:right="-50"/>
              <w:jc w:val="both"/>
              <w:rPr>
                <w:rFonts w:ascii="Arial" w:hAnsi="Arial" w:cs="Arial"/>
              </w:rPr>
            </w:pPr>
          </w:p>
          <w:p w14:paraId="10A831B8" w14:textId="77777777" w:rsidR="007D517D" w:rsidRPr="00A84379" w:rsidRDefault="007D517D" w:rsidP="007D517D">
            <w:pPr>
              <w:pStyle w:val="Textoindependiente"/>
              <w:ind w:right="-50"/>
              <w:jc w:val="both"/>
              <w:rPr>
                <w:rFonts w:ascii="Arial" w:hAnsi="Arial" w:cs="Arial"/>
                <w:bCs/>
              </w:rPr>
            </w:pPr>
            <w:r w:rsidRPr="00A84379">
              <w:rPr>
                <w:rFonts w:ascii="Arial" w:hAnsi="Arial" w:cs="Arial"/>
                <w:b/>
                <w:u w:val="single"/>
              </w:rPr>
              <w:t>Lo anteriormente expuesto, no permite un avance significativo en la depuración de las cuentas contables que conforman los estados financieros del Instituto</w:t>
            </w:r>
            <w:r w:rsidRPr="00A84379">
              <w:rPr>
                <w:rFonts w:ascii="Arial" w:hAnsi="Arial" w:cs="Arial"/>
              </w:rPr>
              <w:t>.</w:t>
            </w:r>
          </w:p>
        </w:tc>
      </w:tr>
      <w:tr w:rsidR="007D517D" w:rsidRPr="003A1EE7" w14:paraId="1C511755" w14:textId="77777777" w:rsidTr="007D517D">
        <w:tc>
          <w:tcPr>
            <w:tcW w:w="441" w:type="dxa"/>
          </w:tcPr>
          <w:p w14:paraId="416E4D11" w14:textId="30CB352F" w:rsidR="007D517D" w:rsidRPr="002D665A" w:rsidRDefault="007D517D" w:rsidP="007D517D">
            <w:pPr>
              <w:tabs>
                <w:tab w:val="left" w:pos="1920"/>
              </w:tabs>
              <w:jc w:val="center"/>
              <w:rPr>
                <w:rFonts w:ascii="Arial" w:hAnsi="Arial" w:cs="Arial"/>
                <w:b/>
              </w:rPr>
            </w:pPr>
            <w:r w:rsidRPr="00A84379">
              <w:rPr>
                <w:rFonts w:ascii="Arial" w:hAnsi="Arial" w:cs="Arial"/>
                <w:b/>
              </w:rPr>
              <w:lastRenderedPageBreak/>
              <w:t>36</w:t>
            </w:r>
          </w:p>
        </w:tc>
        <w:tc>
          <w:tcPr>
            <w:tcW w:w="10146" w:type="dxa"/>
          </w:tcPr>
          <w:p w14:paraId="3F8F5739" w14:textId="77777777" w:rsidR="007D517D" w:rsidRPr="002D665A" w:rsidRDefault="007D517D" w:rsidP="007D517D">
            <w:pPr>
              <w:pStyle w:val="Textoindependiente"/>
              <w:ind w:right="-50"/>
              <w:jc w:val="both"/>
              <w:rPr>
                <w:rFonts w:ascii="Arial" w:hAnsi="Arial" w:cs="Arial"/>
                <w:b/>
                <w:bCs/>
              </w:rPr>
            </w:pPr>
            <w:r w:rsidRPr="002D665A">
              <w:rPr>
                <w:rFonts w:ascii="Arial" w:hAnsi="Arial" w:cs="Arial"/>
                <w:b/>
              </w:rPr>
              <w:t>ELECTRIFICADORA DEL TOLIMA S.A. E.S.P. EN LIQUIDACIÓN - ELECTROLIMA.</w:t>
            </w:r>
            <w:r w:rsidRPr="002D665A">
              <w:rPr>
                <w:rFonts w:ascii="Arial" w:hAnsi="Arial" w:cs="Arial"/>
              </w:rPr>
              <w:t xml:space="preserve"> </w:t>
            </w:r>
            <w:r w:rsidRPr="002D665A">
              <w:rPr>
                <w:rFonts w:ascii="Arial" w:hAnsi="Arial" w:cs="Arial"/>
                <w:b/>
                <w:bCs/>
              </w:rPr>
              <w:t>LIMITACIONES Y DEFICIENCIAS QUE INCIDEN EN EL PROCESO CONTABLE.</w:t>
            </w:r>
          </w:p>
          <w:p w14:paraId="7911FB92" w14:textId="77777777" w:rsidR="007D517D" w:rsidRPr="002D665A" w:rsidRDefault="007D517D" w:rsidP="007D517D">
            <w:pPr>
              <w:pStyle w:val="Textoindependiente"/>
              <w:ind w:right="-50"/>
              <w:jc w:val="both"/>
              <w:rPr>
                <w:rFonts w:ascii="Arial" w:hAnsi="Arial" w:cs="Arial"/>
                <w:b/>
                <w:bCs/>
              </w:rPr>
            </w:pPr>
          </w:p>
          <w:p w14:paraId="41ED1663" w14:textId="77777777" w:rsidR="007D517D" w:rsidRPr="002D665A" w:rsidRDefault="007D517D" w:rsidP="007D517D">
            <w:pPr>
              <w:pStyle w:val="Textoindependiente"/>
              <w:ind w:right="-50"/>
              <w:jc w:val="both"/>
              <w:rPr>
                <w:rFonts w:ascii="Arial" w:hAnsi="Arial" w:cs="Arial"/>
              </w:rPr>
            </w:pPr>
            <w:r w:rsidRPr="002D665A">
              <w:rPr>
                <w:rFonts w:ascii="Arial" w:hAnsi="Arial" w:cs="Arial"/>
                <w:b/>
                <w:bCs/>
              </w:rPr>
              <w:t xml:space="preserve">-De Orden Administrativo: </w:t>
            </w:r>
            <w:r w:rsidRPr="002D665A">
              <w:rPr>
                <w:rFonts w:ascii="Arial" w:hAnsi="Arial" w:cs="Arial"/>
              </w:rPr>
              <w:t>El cierre del proceso liquidatorio se encuentra condicionado a la normalización del pasivo pensional y el mecanismo para el pago de las obligaciones laborales de la empresa, que actualmente son más de 400 extrabajadores, dando cumplimiento a fallos judiciales ejecutoriados en contra de la entidad.</w:t>
            </w:r>
          </w:p>
          <w:p w14:paraId="44C6DE75" w14:textId="77777777" w:rsidR="007D517D" w:rsidRPr="002D665A" w:rsidRDefault="007D517D" w:rsidP="007D517D">
            <w:pPr>
              <w:pStyle w:val="Textoindependiente"/>
              <w:ind w:right="-50"/>
              <w:jc w:val="both"/>
              <w:rPr>
                <w:rFonts w:ascii="Arial" w:hAnsi="Arial" w:cs="Arial"/>
                <w:b/>
                <w:bCs/>
              </w:rPr>
            </w:pPr>
            <w:r w:rsidRPr="002D665A">
              <w:rPr>
                <w:rFonts w:ascii="Arial" w:hAnsi="Arial" w:cs="Arial"/>
                <w:b/>
                <w:bCs/>
              </w:rPr>
              <w:lastRenderedPageBreak/>
              <w:t xml:space="preserve">-De Orden Contable: </w:t>
            </w:r>
            <w:r w:rsidRPr="002D665A">
              <w:rPr>
                <w:rFonts w:ascii="Arial" w:hAnsi="Arial" w:cs="Arial"/>
              </w:rPr>
              <w:t>Por motivo del proceso de liquidación de esta entidad, no se consideró adquirir los módulos del sistema integrado para cada una de las áreas responsables del proceso contable y financiero; solo se adquirió el contable, en el cual se lleva todos los movimientos de la empresa en forma sistematizada y control en cuadros Excel, para los movimientos de presupuesto y conciliaciones.</w:t>
            </w:r>
          </w:p>
        </w:tc>
      </w:tr>
      <w:tr w:rsidR="007D517D" w:rsidRPr="003A1EE7" w14:paraId="466DCDF2" w14:textId="77777777" w:rsidTr="007D517D">
        <w:tc>
          <w:tcPr>
            <w:tcW w:w="441" w:type="dxa"/>
          </w:tcPr>
          <w:p w14:paraId="6DF8CFC6" w14:textId="7EC40E15" w:rsidR="007D517D" w:rsidRPr="00063DF8" w:rsidRDefault="007D517D" w:rsidP="007D517D">
            <w:pPr>
              <w:tabs>
                <w:tab w:val="left" w:pos="1920"/>
              </w:tabs>
              <w:jc w:val="center"/>
              <w:rPr>
                <w:rFonts w:ascii="Arial" w:hAnsi="Arial" w:cs="Arial"/>
                <w:b/>
              </w:rPr>
            </w:pPr>
            <w:r w:rsidRPr="002D665A">
              <w:rPr>
                <w:rFonts w:ascii="Arial" w:hAnsi="Arial" w:cs="Arial"/>
                <w:b/>
              </w:rPr>
              <w:lastRenderedPageBreak/>
              <w:t>37</w:t>
            </w:r>
          </w:p>
        </w:tc>
        <w:tc>
          <w:tcPr>
            <w:tcW w:w="10146" w:type="dxa"/>
          </w:tcPr>
          <w:p w14:paraId="7D47CC19" w14:textId="77777777" w:rsidR="007D517D" w:rsidRPr="00063DF8" w:rsidRDefault="007D517D" w:rsidP="007D517D">
            <w:pPr>
              <w:pStyle w:val="Textoindependiente"/>
              <w:ind w:right="-50"/>
              <w:jc w:val="both"/>
              <w:rPr>
                <w:rFonts w:ascii="Arial" w:hAnsi="Arial" w:cs="Arial"/>
                <w:bCs/>
              </w:rPr>
            </w:pPr>
            <w:r w:rsidRPr="00063DF8">
              <w:rPr>
                <w:rFonts w:ascii="Arial" w:hAnsi="Arial" w:cs="Arial"/>
                <w:b/>
                <w:lang w:val="es-MX"/>
              </w:rPr>
              <w:t xml:space="preserve">EMPRESA DISTRIBUIDORA DEL PACÍFICO S.A. E.S.P. – DISPAC. </w:t>
            </w:r>
            <w:r w:rsidRPr="00063DF8">
              <w:rPr>
                <w:rFonts w:ascii="Arial" w:hAnsi="Arial" w:cs="Arial"/>
                <w:b/>
              </w:rPr>
              <w:t xml:space="preserve">DEPRECIACIÓN ACUMULADA. </w:t>
            </w:r>
            <w:r w:rsidRPr="00063DF8">
              <w:rPr>
                <w:rFonts w:ascii="Arial" w:hAnsi="Arial" w:cs="Arial"/>
                <w:b/>
                <w:u w:val="single"/>
              </w:rPr>
              <w:t>Se efectuó auditoría al módulo de activos en el sistema contable SAP, como resultado de esto se pudo evidenciar una inconsistencia en el valor de la depreciación acumulada con corte a 31 de diciembre de 2023, esto debido a un error en el cálculo del valor de la depreciación acumulada en el momento de la transición al Régimen de Contabilidad Pública en Convergencia con Estándares Internacionales de Información Financiera; esto tuvo su génesis en la estimación de la alícuota de la depreciación mensual, pues en momento del cálculo inicial no se incluyó el valor de salvamento, lo cual influyó en un mayor reconocido por depreciación</w:t>
            </w:r>
            <w:r w:rsidRPr="00063DF8">
              <w:rPr>
                <w:rFonts w:ascii="Arial" w:hAnsi="Arial" w:cs="Arial"/>
                <w:bCs/>
              </w:rPr>
              <w:t>.</w:t>
            </w:r>
          </w:p>
        </w:tc>
      </w:tr>
      <w:tr w:rsidR="007D517D" w:rsidRPr="003A1EE7" w14:paraId="023DE59D" w14:textId="77777777" w:rsidTr="007D517D">
        <w:tc>
          <w:tcPr>
            <w:tcW w:w="441" w:type="dxa"/>
          </w:tcPr>
          <w:p w14:paraId="7D82A848" w14:textId="425D3CCE" w:rsidR="007D517D" w:rsidRPr="00630A89" w:rsidRDefault="007D517D" w:rsidP="007D517D">
            <w:pPr>
              <w:tabs>
                <w:tab w:val="left" w:pos="1920"/>
              </w:tabs>
              <w:jc w:val="center"/>
              <w:rPr>
                <w:rFonts w:ascii="Arial" w:hAnsi="Arial" w:cs="Arial"/>
                <w:b/>
              </w:rPr>
            </w:pPr>
            <w:r w:rsidRPr="00063DF8">
              <w:rPr>
                <w:rFonts w:ascii="Arial" w:hAnsi="Arial" w:cs="Arial"/>
                <w:b/>
              </w:rPr>
              <w:t>38</w:t>
            </w:r>
          </w:p>
        </w:tc>
        <w:tc>
          <w:tcPr>
            <w:tcW w:w="10146" w:type="dxa"/>
          </w:tcPr>
          <w:p w14:paraId="187EDD87" w14:textId="77777777" w:rsidR="007D517D" w:rsidRPr="00630A89" w:rsidRDefault="007D517D" w:rsidP="007D517D">
            <w:pPr>
              <w:pStyle w:val="Textoindependiente"/>
              <w:jc w:val="both"/>
              <w:rPr>
                <w:rFonts w:ascii="Arial" w:hAnsi="Arial" w:cs="Arial"/>
                <w:lang w:val="es-CO"/>
              </w:rPr>
            </w:pPr>
            <w:bookmarkStart w:id="27" w:name="_Hlk203393480"/>
            <w:r w:rsidRPr="00630A89">
              <w:rPr>
                <w:rFonts w:ascii="Arial" w:hAnsi="Arial" w:cs="Arial"/>
                <w:b/>
              </w:rPr>
              <w:t>ESP GECELCA 3 S.A.S</w:t>
            </w:r>
            <w:r w:rsidRPr="00630A89">
              <w:rPr>
                <w:rFonts w:ascii="Arial" w:hAnsi="Arial" w:cs="Arial"/>
                <w:b/>
                <w:lang w:val="es-MX"/>
              </w:rPr>
              <w:t xml:space="preserve">. </w:t>
            </w:r>
            <w:r w:rsidRPr="00630A89">
              <w:rPr>
                <w:rFonts w:ascii="Arial" w:hAnsi="Arial" w:cs="Arial"/>
                <w:b/>
              </w:rPr>
              <w:t xml:space="preserve">1.7. NEGOCIO EN MARCHA: </w:t>
            </w:r>
            <w:r w:rsidRPr="00630A89">
              <w:rPr>
                <w:rFonts w:ascii="Arial" w:hAnsi="Arial" w:cs="Arial"/>
                <w:lang w:val="es-CO"/>
              </w:rPr>
              <w:t>Los presentes estados financieros han sido preparados sobre la base de negocio en marcha, considerando la expectativa razonable de la Administración de que la Compañía cuenta con los recursos suficientes para seguir en operación durante los próximo doce meses, como mínimo, y que, por lo tanto, la utilización de la base contable de negocio en marcha sigue siendo adecuada.</w:t>
            </w:r>
          </w:p>
          <w:p w14:paraId="560531D3" w14:textId="77777777" w:rsidR="007D517D" w:rsidRPr="00630A89" w:rsidRDefault="007D517D" w:rsidP="007D517D">
            <w:pPr>
              <w:pStyle w:val="Textoindependiente"/>
              <w:jc w:val="both"/>
              <w:rPr>
                <w:rFonts w:ascii="Arial" w:hAnsi="Arial" w:cs="Arial"/>
                <w:lang w:val="es-CO"/>
              </w:rPr>
            </w:pPr>
          </w:p>
          <w:p w14:paraId="205544D2" w14:textId="77777777" w:rsidR="007D517D" w:rsidRPr="00630A89" w:rsidRDefault="007D517D" w:rsidP="007D517D">
            <w:pPr>
              <w:pStyle w:val="Textoindependiente"/>
              <w:jc w:val="both"/>
              <w:rPr>
                <w:rFonts w:ascii="Arial" w:hAnsi="Arial" w:cs="Arial"/>
                <w:lang w:val="es-CO"/>
              </w:rPr>
            </w:pPr>
            <w:r w:rsidRPr="00630A89">
              <w:rPr>
                <w:rFonts w:ascii="Arial" w:hAnsi="Arial" w:cs="Arial"/>
                <w:b/>
                <w:bCs/>
                <w:u w:val="single"/>
                <w:lang w:val="es-CO"/>
              </w:rPr>
              <w:t>(…) Al 31 de diciembre de 2024 la compañía presenta un capital de trabajo negativo por (Activo corriente – pasivo corriente), por $116.606 millones generados por la clasificación de préstamos a corto plazo con su vinculado Gecelca S.A. E.S.P.,</w:t>
            </w:r>
            <w:r w:rsidRPr="00630A89">
              <w:rPr>
                <w:rFonts w:ascii="Arial" w:hAnsi="Arial" w:cs="Arial"/>
                <w:lang w:val="es-CO"/>
              </w:rPr>
              <w:t xml:space="preserve"> porción que se estima amortizar durante el año 2025. Dentro de la operación del negocio proyectada para el año 2025, el pago de los préstamos por pagar con Gecelca S.A. E.S.P. se encuentran apalancados con la generación de flujos operacionales y se cancelan en virtud de lo señalado en el Anexo de manejo contable y jurídico de los ingresos y costos y gastos incluido en el Otrosí No. 14, de fecha 5 de agosto de 2022 del contrato de mandato. Así mismo a la fecha de elaboración de este informe se considera probable la dispensa que será otorgada a Gecelca por parte de Bancolombia.</w:t>
            </w:r>
            <w:bookmarkEnd w:id="27"/>
          </w:p>
        </w:tc>
      </w:tr>
      <w:tr w:rsidR="007D517D" w:rsidRPr="003A1EE7" w14:paraId="5800413F" w14:textId="77777777" w:rsidTr="007D517D">
        <w:tc>
          <w:tcPr>
            <w:tcW w:w="441" w:type="dxa"/>
          </w:tcPr>
          <w:p w14:paraId="1B9E69CA" w14:textId="0DF28A5F" w:rsidR="007D517D" w:rsidRPr="007F7CE5" w:rsidRDefault="007D517D" w:rsidP="007D517D">
            <w:pPr>
              <w:tabs>
                <w:tab w:val="left" w:pos="1920"/>
              </w:tabs>
              <w:jc w:val="center"/>
              <w:rPr>
                <w:rFonts w:ascii="Arial" w:hAnsi="Arial" w:cs="Arial"/>
                <w:b/>
              </w:rPr>
            </w:pPr>
            <w:r w:rsidRPr="00630A89">
              <w:rPr>
                <w:rFonts w:ascii="Arial" w:hAnsi="Arial" w:cs="Arial"/>
                <w:b/>
              </w:rPr>
              <w:t>39</w:t>
            </w:r>
          </w:p>
        </w:tc>
        <w:tc>
          <w:tcPr>
            <w:tcW w:w="10146" w:type="dxa"/>
          </w:tcPr>
          <w:p w14:paraId="274D353E" w14:textId="5DCAC502" w:rsidR="007D517D" w:rsidRPr="007F7CE5" w:rsidRDefault="007D517D" w:rsidP="007D517D">
            <w:pPr>
              <w:jc w:val="both"/>
              <w:rPr>
                <w:rFonts w:ascii="Arial" w:hAnsi="Arial" w:cs="Arial"/>
                <w:b/>
                <w:lang w:val="es-MX"/>
              </w:rPr>
            </w:pPr>
            <w:r w:rsidRPr="007F7CE5">
              <w:rPr>
                <w:rFonts w:ascii="Arial" w:hAnsi="Arial" w:cs="Arial"/>
                <w:b/>
                <w:lang w:val="es-MX"/>
              </w:rPr>
              <w:t xml:space="preserve">INSTITUTO DE INVESTIGACIONES AMBIENTALES DEL PACÍFICO IIAP – JHON VON NEUMANN. </w:t>
            </w:r>
            <w:r w:rsidRPr="007F7CE5">
              <w:rPr>
                <w:rFonts w:ascii="Arial" w:hAnsi="Arial" w:cs="Arial"/>
                <w:bCs/>
                <w:lang w:val="es-MX"/>
              </w:rPr>
              <w:t>La entidad en las Notas a los Estados Financieros, no envía una explicación especifica en las cuentas contables, esto hace que no se dé una explicación clara sobre los saldos reflejados en cada cuenta y en los estados financieros preparados y presentados por la entidad.</w:t>
            </w:r>
          </w:p>
        </w:tc>
      </w:tr>
      <w:tr w:rsidR="007D517D" w:rsidRPr="003A1EE7" w14:paraId="65455FD6" w14:textId="77777777" w:rsidTr="007D517D">
        <w:tc>
          <w:tcPr>
            <w:tcW w:w="441" w:type="dxa"/>
          </w:tcPr>
          <w:p w14:paraId="1CD3F0CB" w14:textId="2CB328B1" w:rsidR="007D517D" w:rsidRPr="003A1EE7" w:rsidRDefault="007D517D" w:rsidP="007D517D">
            <w:pPr>
              <w:tabs>
                <w:tab w:val="left" w:pos="1920"/>
              </w:tabs>
              <w:jc w:val="center"/>
              <w:rPr>
                <w:rFonts w:ascii="Arial" w:hAnsi="Arial" w:cs="Arial"/>
                <w:b/>
                <w:color w:val="FF0000"/>
              </w:rPr>
            </w:pPr>
            <w:r w:rsidRPr="007F7CE5">
              <w:rPr>
                <w:rFonts w:ascii="Arial" w:hAnsi="Arial" w:cs="Arial"/>
                <w:b/>
              </w:rPr>
              <w:t>40</w:t>
            </w:r>
          </w:p>
        </w:tc>
        <w:tc>
          <w:tcPr>
            <w:tcW w:w="10146" w:type="dxa"/>
          </w:tcPr>
          <w:p w14:paraId="09C96C99" w14:textId="77777777" w:rsidR="007D517D" w:rsidRPr="003C452C" w:rsidRDefault="007D517D" w:rsidP="007D517D">
            <w:pPr>
              <w:jc w:val="both"/>
              <w:rPr>
                <w:rFonts w:ascii="Arial" w:hAnsi="Arial" w:cs="Arial"/>
                <w:b/>
                <w:lang w:val="es-MX"/>
              </w:rPr>
            </w:pPr>
            <w:r w:rsidRPr="003C452C">
              <w:rPr>
                <w:rFonts w:ascii="Arial" w:hAnsi="Arial" w:cs="Arial"/>
                <w:b/>
                <w:lang w:val="es-MX"/>
              </w:rPr>
              <w:t xml:space="preserve">U.A.E. COMISIÓN DE REGULACIÓN DE COMUNICACIONES – CRC. </w:t>
            </w:r>
          </w:p>
          <w:p w14:paraId="0F57DCB0" w14:textId="77777777" w:rsidR="007D517D" w:rsidRPr="003C452C" w:rsidRDefault="007D517D" w:rsidP="007D517D">
            <w:pPr>
              <w:jc w:val="both"/>
              <w:rPr>
                <w:rFonts w:ascii="Arial" w:hAnsi="Arial" w:cs="Arial"/>
                <w:b/>
                <w:lang w:val="es-MX"/>
              </w:rPr>
            </w:pPr>
          </w:p>
          <w:p w14:paraId="38B9FAC5" w14:textId="77777777" w:rsidR="007D517D" w:rsidRPr="003C452C" w:rsidRDefault="007D517D" w:rsidP="007D517D">
            <w:pPr>
              <w:jc w:val="both"/>
              <w:rPr>
                <w:rFonts w:ascii="Arial" w:hAnsi="Arial" w:cs="Arial"/>
                <w:bCs/>
                <w:lang w:val="es-MX"/>
              </w:rPr>
            </w:pPr>
            <w:r w:rsidRPr="003C452C">
              <w:rPr>
                <w:rFonts w:ascii="Arial" w:hAnsi="Arial" w:cs="Arial"/>
                <w:bCs/>
                <w:lang w:val="es-MX"/>
              </w:rPr>
              <w:t>En cuanto a las limitaciones tenemos:</w:t>
            </w:r>
          </w:p>
          <w:p w14:paraId="51D61F32" w14:textId="77777777" w:rsidR="007D517D" w:rsidRPr="003C452C" w:rsidRDefault="007D517D" w:rsidP="007D517D">
            <w:pPr>
              <w:jc w:val="both"/>
              <w:rPr>
                <w:rFonts w:ascii="Arial" w:hAnsi="Arial" w:cs="Arial"/>
                <w:bCs/>
                <w:lang w:val="es-MX"/>
              </w:rPr>
            </w:pPr>
          </w:p>
          <w:p w14:paraId="1E77B3E2" w14:textId="77777777" w:rsidR="007D517D" w:rsidRPr="003C452C" w:rsidRDefault="007D517D" w:rsidP="007D517D">
            <w:pPr>
              <w:jc w:val="both"/>
              <w:rPr>
                <w:rFonts w:ascii="Arial" w:hAnsi="Arial" w:cs="Arial"/>
                <w:bCs/>
                <w:u w:val="single"/>
                <w:lang w:val="es-MX"/>
              </w:rPr>
            </w:pPr>
            <w:r w:rsidRPr="003C452C">
              <w:rPr>
                <w:rFonts w:ascii="Arial" w:hAnsi="Arial" w:cs="Arial"/>
                <w:bCs/>
                <w:u w:val="single"/>
                <w:lang w:val="es-MX"/>
              </w:rPr>
              <w:t>Conciliación de Operaciones Reciprocas.</w:t>
            </w:r>
          </w:p>
          <w:p w14:paraId="713C9C19" w14:textId="77777777" w:rsidR="007D517D" w:rsidRPr="003C452C" w:rsidRDefault="007D517D" w:rsidP="007D517D">
            <w:pPr>
              <w:jc w:val="both"/>
              <w:rPr>
                <w:rFonts w:ascii="Arial" w:hAnsi="Arial" w:cs="Arial"/>
                <w:bCs/>
                <w:u w:val="single"/>
                <w:lang w:val="es-MX"/>
              </w:rPr>
            </w:pPr>
          </w:p>
          <w:p w14:paraId="3D3D515C" w14:textId="77777777" w:rsidR="007D517D" w:rsidRPr="003C452C" w:rsidRDefault="007D517D" w:rsidP="007D517D">
            <w:pPr>
              <w:jc w:val="both"/>
              <w:rPr>
                <w:rFonts w:ascii="Arial" w:hAnsi="Arial" w:cs="Arial"/>
                <w:bCs/>
                <w:lang w:val="es-MX"/>
              </w:rPr>
            </w:pPr>
            <w:r w:rsidRPr="003C452C">
              <w:rPr>
                <w:rFonts w:ascii="Arial" w:hAnsi="Arial" w:cs="Arial"/>
                <w:bCs/>
                <w:lang w:val="es-MX"/>
              </w:rPr>
              <w:t xml:space="preserve">En cumplimiento de la normatividad emitida por la Contaduría General de la Nación, relacionada con la información de Operaciones Reciprocas y con el propósito de conciliar los saldos con las entidades, con las cuales se realizaron transacciones que generaron operaciones reciprocas, la CRC circularizó a través de correo electrónico con todas estas entidades, los saldos a reportar a la Contaduría General de la Nación al IV trimestre de acuerdo con el formato definido por la entidad. Así mismo, se publicaron en la página web de la entidad las operaciones reciprocas reportadas.     </w:t>
            </w:r>
          </w:p>
          <w:p w14:paraId="74670E03" w14:textId="77777777" w:rsidR="007D517D" w:rsidRPr="003C452C" w:rsidRDefault="007D517D" w:rsidP="007D517D">
            <w:pPr>
              <w:jc w:val="both"/>
              <w:rPr>
                <w:rFonts w:ascii="Arial" w:hAnsi="Arial" w:cs="Arial"/>
                <w:bCs/>
                <w:lang w:val="es-MX"/>
              </w:rPr>
            </w:pPr>
          </w:p>
          <w:p w14:paraId="30916FE5" w14:textId="77777777" w:rsidR="007D517D" w:rsidRPr="003C452C" w:rsidRDefault="007D517D" w:rsidP="007D517D">
            <w:pPr>
              <w:jc w:val="both"/>
              <w:rPr>
                <w:rFonts w:ascii="Arial" w:hAnsi="Arial" w:cs="Arial"/>
                <w:bCs/>
                <w:lang w:val="es-MX"/>
              </w:rPr>
            </w:pPr>
            <w:r w:rsidRPr="003C452C">
              <w:rPr>
                <w:rFonts w:ascii="Arial" w:hAnsi="Arial" w:cs="Arial"/>
                <w:bCs/>
                <w:lang w:val="es-MX"/>
              </w:rPr>
              <w:t>En el desarrollo de estas actividades se presentan limitaciones, por la baja gestión de algunas entidades con las cuales la CRC realiza transacciones financieras, lo cual incide en la óptima conciliación de las operaciones reciprocas, así:</w:t>
            </w:r>
          </w:p>
          <w:p w14:paraId="567E5FC2" w14:textId="77777777" w:rsidR="007D517D" w:rsidRPr="003C452C" w:rsidRDefault="007D517D" w:rsidP="007D517D">
            <w:pPr>
              <w:jc w:val="both"/>
              <w:rPr>
                <w:rFonts w:ascii="Arial" w:hAnsi="Arial" w:cs="Arial"/>
                <w:bCs/>
                <w:lang w:val="es-MX"/>
              </w:rPr>
            </w:pPr>
          </w:p>
          <w:p w14:paraId="492C7ED3" w14:textId="77777777" w:rsidR="007D517D" w:rsidRPr="003C452C" w:rsidRDefault="007D517D" w:rsidP="007D517D">
            <w:pPr>
              <w:pStyle w:val="Prrafodelista"/>
              <w:numPr>
                <w:ilvl w:val="0"/>
                <w:numId w:val="53"/>
              </w:numPr>
              <w:spacing w:before="1"/>
              <w:jc w:val="both"/>
              <w:rPr>
                <w:rFonts w:ascii="Arial" w:hAnsi="Arial" w:cs="Arial"/>
                <w:bCs/>
                <w:lang w:val="es-MX"/>
              </w:rPr>
            </w:pPr>
            <w:r w:rsidRPr="003C452C">
              <w:rPr>
                <w:rFonts w:ascii="Arial" w:hAnsi="Arial" w:cs="Arial"/>
                <w:bCs/>
                <w:lang w:val="es-MX"/>
              </w:rPr>
              <w:t>Algunas entidades no informan los saldos reportados en la circularización, a pesar de que son enviados mediante correos electrónicos y publicados en página Web.</w:t>
            </w:r>
          </w:p>
          <w:p w14:paraId="4B0A4D54" w14:textId="77777777" w:rsidR="007D517D" w:rsidRPr="003C452C" w:rsidRDefault="007D517D" w:rsidP="007D517D">
            <w:pPr>
              <w:pStyle w:val="Prrafodelista"/>
              <w:numPr>
                <w:ilvl w:val="0"/>
                <w:numId w:val="53"/>
              </w:numPr>
              <w:spacing w:before="1"/>
              <w:jc w:val="both"/>
              <w:rPr>
                <w:rFonts w:ascii="Arial" w:hAnsi="Arial" w:cs="Arial"/>
                <w:bCs/>
                <w:lang w:val="es-MX"/>
              </w:rPr>
            </w:pPr>
            <w:r w:rsidRPr="003C452C">
              <w:rPr>
                <w:rFonts w:ascii="Arial" w:hAnsi="Arial" w:cs="Arial"/>
                <w:bCs/>
                <w:lang w:val="es-MX"/>
              </w:rPr>
              <w:t>Con algunas entidades no se puede establecer comunicación, ni por correo electrónico, ni por teléfono, ya que no actualizan los datos en el directorio de la CGN, especialmente los entes territoriales.</w:t>
            </w:r>
          </w:p>
        </w:tc>
      </w:tr>
      <w:tr w:rsidR="007D517D" w:rsidRPr="003A1EE7" w14:paraId="1B5095F0" w14:textId="77777777" w:rsidTr="007D517D">
        <w:tc>
          <w:tcPr>
            <w:tcW w:w="441" w:type="dxa"/>
          </w:tcPr>
          <w:p w14:paraId="317A8A28" w14:textId="702CE165" w:rsidR="007D517D" w:rsidRPr="008E4845" w:rsidRDefault="007D517D" w:rsidP="007D517D">
            <w:pPr>
              <w:tabs>
                <w:tab w:val="left" w:pos="1920"/>
              </w:tabs>
              <w:jc w:val="center"/>
              <w:rPr>
                <w:rFonts w:ascii="Arial" w:hAnsi="Arial" w:cs="Arial"/>
                <w:b/>
              </w:rPr>
            </w:pPr>
            <w:r w:rsidRPr="003A70A0">
              <w:rPr>
                <w:rFonts w:ascii="Arial" w:hAnsi="Arial" w:cs="Arial"/>
                <w:b/>
              </w:rPr>
              <w:t>41</w:t>
            </w:r>
          </w:p>
        </w:tc>
        <w:tc>
          <w:tcPr>
            <w:tcW w:w="10146" w:type="dxa"/>
          </w:tcPr>
          <w:p w14:paraId="4512EC35" w14:textId="77777777" w:rsidR="007D517D" w:rsidRPr="008E4845" w:rsidRDefault="007D517D" w:rsidP="007D517D">
            <w:pPr>
              <w:pStyle w:val="Textoindependiente"/>
              <w:ind w:right="-50"/>
              <w:jc w:val="both"/>
              <w:rPr>
                <w:rFonts w:ascii="Arial" w:hAnsi="Arial" w:cs="Arial"/>
                <w:b/>
              </w:rPr>
            </w:pPr>
            <w:r w:rsidRPr="008E4845">
              <w:rPr>
                <w:rFonts w:ascii="Arial" w:hAnsi="Arial" w:cs="Arial"/>
                <w:b/>
                <w:lang w:val="es-MX"/>
              </w:rPr>
              <w:t>CORPORACIÓN DE CIENCIA Y TECNOLOGÍA AMBIENTAL – MACARENIA</w:t>
            </w:r>
            <w:r w:rsidRPr="008E4845">
              <w:rPr>
                <w:rFonts w:ascii="Arial" w:hAnsi="Arial" w:cs="Arial"/>
                <w:b/>
                <w:sz w:val="28"/>
                <w:szCs w:val="28"/>
                <w:lang w:val="es-MX"/>
              </w:rPr>
              <w:t xml:space="preserve">. </w:t>
            </w:r>
            <w:r w:rsidRPr="008E4845">
              <w:rPr>
                <w:rFonts w:ascii="Arial" w:hAnsi="Arial" w:cs="Arial"/>
                <w:b/>
              </w:rPr>
              <w:t>1.2. Declaración de cumplimiento del marco normativo y limitaciones.</w:t>
            </w:r>
          </w:p>
          <w:p w14:paraId="01FC98A1" w14:textId="77777777" w:rsidR="007D517D" w:rsidRPr="008E4845" w:rsidRDefault="007D517D" w:rsidP="007D517D">
            <w:pPr>
              <w:pStyle w:val="Textoindependiente"/>
              <w:ind w:right="-50"/>
              <w:jc w:val="both"/>
              <w:rPr>
                <w:rFonts w:ascii="Arial" w:hAnsi="Arial" w:cs="Arial"/>
                <w:bCs/>
              </w:rPr>
            </w:pPr>
          </w:p>
          <w:p w14:paraId="52781721" w14:textId="77777777" w:rsidR="007D517D" w:rsidRPr="008E4845" w:rsidRDefault="007D517D" w:rsidP="007D517D">
            <w:pPr>
              <w:pStyle w:val="Textoindependiente"/>
              <w:ind w:right="-50"/>
              <w:jc w:val="both"/>
              <w:rPr>
                <w:rFonts w:ascii="Arial" w:hAnsi="Arial" w:cs="Arial"/>
                <w:bCs/>
              </w:rPr>
            </w:pPr>
            <w:r w:rsidRPr="008E4845">
              <w:rPr>
                <w:rFonts w:ascii="Arial" w:hAnsi="Arial" w:cs="Arial"/>
                <w:bCs/>
              </w:rPr>
              <w:t>MACARENIA CORP, debe adoptar las Normas Internacionales de Contabilidad del Sector Público NIC SP a partir de su constitución y por lo tanto prepara sus estados financieros con base en las NIIF y las directrices emitidas por la Contaduría General de la Nación CGN.</w:t>
            </w:r>
          </w:p>
          <w:p w14:paraId="641C2122" w14:textId="77777777" w:rsidR="007D517D" w:rsidRPr="008E4845" w:rsidRDefault="007D517D" w:rsidP="007D517D">
            <w:pPr>
              <w:pStyle w:val="Textoindependiente"/>
              <w:ind w:right="-50"/>
              <w:jc w:val="both"/>
              <w:rPr>
                <w:rFonts w:ascii="Arial" w:hAnsi="Arial" w:cs="Arial"/>
                <w:bCs/>
              </w:rPr>
            </w:pPr>
          </w:p>
          <w:p w14:paraId="26300585" w14:textId="77777777" w:rsidR="007D517D" w:rsidRPr="008E4845" w:rsidRDefault="007D517D" w:rsidP="007D517D">
            <w:pPr>
              <w:pStyle w:val="Textoindependiente"/>
              <w:ind w:right="-50"/>
              <w:jc w:val="both"/>
              <w:rPr>
                <w:bCs/>
              </w:rPr>
            </w:pPr>
            <w:r w:rsidRPr="008E4845">
              <w:rPr>
                <w:rFonts w:ascii="Arial" w:hAnsi="Arial" w:cs="Arial"/>
                <w:b/>
                <w:bCs/>
                <w:u w:val="single"/>
              </w:rPr>
              <w:lastRenderedPageBreak/>
              <w:t>No obstante, se encuentra en el proceso de perfeccionamiento de sus políticas contables, teniendo en cuenta la reciente creación de la entidad y la puesta en marcha de sus actividades</w:t>
            </w:r>
            <w:r w:rsidRPr="008E4845">
              <w:rPr>
                <w:rFonts w:ascii="Arial" w:hAnsi="Arial" w:cs="Arial"/>
                <w:bCs/>
              </w:rPr>
              <w:t>.</w:t>
            </w:r>
          </w:p>
        </w:tc>
      </w:tr>
      <w:tr w:rsidR="007D517D" w:rsidRPr="003A1EE7" w14:paraId="45D6F62F" w14:textId="77777777" w:rsidTr="007D517D">
        <w:tc>
          <w:tcPr>
            <w:tcW w:w="441" w:type="dxa"/>
          </w:tcPr>
          <w:p w14:paraId="7D94CAC3" w14:textId="04CFCA65" w:rsidR="007D517D" w:rsidRPr="003A1EE7" w:rsidRDefault="007D517D" w:rsidP="007D517D">
            <w:pPr>
              <w:tabs>
                <w:tab w:val="left" w:pos="1920"/>
              </w:tabs>
              <w:jc w:val="center"/>
              <w:rPr>
                <w:rFonts w:ascii="Arial" w:hAnsi="Arial" w:cs="Arial"/>
                <w:b/>
                <w:color w:val="FF0000"/>
              </w:rPr>
            </w:pPr>
            <w:r w:rsidRPr="008E4845">
              <w:rPr>
                <w:rFonts w:ascii="Arial" w:hAnsi="Arial" w:cs="Arial"/>
                <w:b/>
              </w:rPr>
              <w:lastRenderedPageBreak/>
              <w:t>42</w:t>
            </w:r>
          </w:p>
        </w:tc>
        <w:tc>
          <w:tcPr>
            <w:tcW w:w="10146" w:type="dxa"/>
          </w:tcPr>
          <w:p w14:paraId="50338BFB" w14:textId="77777777" w:rsidR="007D517D" w:rsidRPr="00A37AAF" w:rsidRDefault="007D517D" w:rsidP="007D517D">
            <w:pPr>
              <w:jc w:val="both"/>
              <w:rPr>
                <w:rFonts w:ascii="Arial" w:hAnsi="Arial" w:cs="Arial"/>
              </w:rPr>
            </w:pPr>
            <w:r w:rsidRPr="00A37AAF">
              <w:rPr>
                <w:rFonts w:ascii="Arial" w:hAnsi="Arial" w:cs="Arial"/>
                <w:b/>
                <w:lang w:val="es-MX"/>
              </w:rPr>
              <w:t xml:space="preserve">SUPERINTENDENCIA DE NOTARIADO Y REGISTRO. </w:t>
            </w:r>
            <w:r w:rsidRPr="00A37AAF">
              <w:rPr>
                <w:rFonts w:ascii="Arial" w:hAnsi="Arial" w:cs="Arial"/>
                <w:b/>
                <w:bCs/>
              </w:rPr>
              <w:t xml:space="preserve">10.3. Construcciones en Curso - 1615 Construcciones en Curso.  </w:t>
            </w:r>
            <w:r w:rsidRPr="00A37AAF">
              <w:rPr>
                <w:rFonts w:ascii="Arial" w:hAnsi="Arial" w:cs="Arial"/>
              </w:rPr>
              <w:t>Su saldo está compuesto de la siguiente manera:</w:t>
            </w:r>
          </w:p>
          <w:p w14:paraId="648E00CF" w14:textId="77777777" w:rsidR="007D517D" w:rsidRPr="00A37AAF" w:rsidRDefault="007D517D" w:rsidP="007D517D">
            <w:pPr>
              <w:pStyle w:val="Textoindependiente"/>
              <w:ind w:right="-50"/>
              <w:jc w:val="both"/>
              <w:rPr>
                <w:rFonts w:ascii="Arial" w:hAnsi="Arial" w:cs="Arial"/>
              </w:rPr>
            </w:pPr>
          </w:p>
          <w:p w14:paraId="36C2033B" w14:textId="77777777" w:rsidR="007D517D" w:rsidRPr="00A37AAF" w:rsidRDefault="007D517D" w:rsidP="007D517D">
            <w:pPr>
              <w:pStyle w:val="Textoindependiente"/>
              <w:ind w:right="-50"/>
              <w:jc w:val="both"/>
              <w:rPr>
                <w:rFonts w:ascii="Arial" w:hAnsi="Arial" w:cs="Arial"/>
                <w:b/>
                <w:bCs/>
              </w:rPr>
            </w:pPr>
            <w:r w:rsidRPr="00A37AAF">
              <w:rPr>
                <w:rFonts w:ascii="Arial" w:hAnsi="Arial" w:cs="Arial"/>
                <w:b/>
                <w:bCs/>
              </w:rPr>
              <w:t xml:space="preserve">                         </w:t>
            </w:r>
            <w:r w:rsidRPr="00A37AAF">
              <w:rPr>
                <w:rFonts w:ascii="Arial" w:hAnsi="Arial" w:cs="Arial"/>
                <w:b/>
                <w:bCs/>
                <w:noProof/>
                <w:lang w:val="es-CO"/>
              </w:rPr>
              <w:drawing>
                <wp:inline distT="0" distB="0" distL="0" distR="0" wp14:anchorId="2E8E16F4" wp14:editId="1C1353CD">
                  <wp:extent cx="3715268" cy="1667108"/>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5268" cy="1667108"/>
                          </a:xfrm>
                          <a:prstGeom prst="rect">
                            <a:avLst/>
                          </a:prstGeom>
                        </pic:spPr>
                      </pic:pic>
                    </a:graphicData>
                  </a:graphic>
                </wp:inline>
              </w:drawing>
            </w:r>
          </w:p>
          <w:p w14:paraId="4C02B5D7" w14:textId="77777777" w:rsidR="007D517D" w:rsidRPr="00A37AAF" w:rsidRDefault="007D517D" w:rsidP="007D517D">
            <w:pPr>
              <w:pStyle w:val="Textoindependiente"/>
              <w:ind w:right="-50"/>
              <w:jc w:val="both"/>
              <w:rPr>
                <w:rFonts w:ascii="Arial" w:hAnsi="Arial" w:cs="Arial"/>
                <w:b/>
                <w:u w:val="single"/>
              </w:rPr>
            </w:pPr>
          </w:p>
          <w:p w14:paraId="1F06D6EB" w14:textId="77777777" w:rsidR="007D517D" w:rsidRPr="00A37AAF" w:rsidRDefault="007D517D" w:rsidP="007D517D">
            <w:pPr>
              <w:pStyle w:val="Textoindependiente"/>
              <w:ind w:right="-50"/>
              <w:jc w:val="both"/>
              <w:rPr>
                <w:rFonts w:ascii="Arial" w:hAnsi="Arial" w:cs="Arial"/>
              </w:rPr>
            </w:pPr>
            <w:r w:rsidRPr="00A37AAF">
              <w:rPr>
                <w:rFonts w:ascii="Arial" w:hAnsi="Arial" w:cs="Arial"/>
                <w:b/>
                <w:u w:val="single"/>
              </w:rPr>
              <w:t>En referencia a la obra de Miraflores se determina que es una obra inconclusa, la cual se encuentra bajo un proceso judicial en el Tribunal Administrativo de Nariño</w:t>
            </w:r>
            <w:r w:rsidRPr="00A37AAF">
              <w:rPr>
                <w:rFonts w:ascii="Arial" w:hAnsi="Arial" w:cs="Arial"/>
              </w:rPr>
              <w:t xml:space="preserve">. Se encuentra en segunda instancia sin fallo ejecutoriado. Teniendo en cuenta que no hay decisión judicial, esta obra inconclusa no puede ser objeto de gestión por parte de la SNR; sin embargo, el 15 de octubre de 2024 mediante oficio SNR2024IE018207 se envió Solicitud de impulso procesal respecto a predios con registro de obras Inconclusas a la Oficina Asesora Jurídica. </w:t>
            </w:r>
          </w:p>
          <w:p w14:paraId="646FB8BB" w14:textId="77777777" w:rsidR="007D517D" w:rsidRPr="00A37AAF" w:rsidRDefault="007D517D" w:rsidP="007D517D">
            <w:pPr>
              <w:pStyle w:val="Textoindependiente"/>
              <w:ind w:right="-50"/>
              <w:jc w:val="both"/>
              <w:rPr>
                <w:rFonts w:ascii="Arial" w:hAnsi="Arial" w:cs="Arial"/>
              </w:rPr>
            </w:pPr>
          </w:p>
          <w:p w14:paraId="2D0EC317" w14:textId="77777777" w:rsidR="007D517D" w:rsidRPr="00A37AAF" w:rsidRDefault="007D517D" w:rsidP="007D517D">
            <w:pPr>
              <w:pStyle w:val="Textoindependiente"/>
              <w:ind w:right="-50"/>
              <w:jc w:val="both"/>
              <w:rPr>
                <w:rFonts w:ascii="Arial" w:hAnsi="Arial" w:cs="Arial"/>
              </w:rPr>
            </w:pPr>
            <w:r w:rsidRPr="00A37AAF">
              <w:rPr>
                <w:rFonts w:ascii="Arial" w:hAnsi="Arial" w:cs="Arial"/>
                <w:b/>
                <w:u w:val="single"/>
              </w:rPr>
              <w:t>En relación con la obra de Anserma, esta construcción se encuentra deteriorada en un 100% desde diciembre 2020 de conformidad con el reporte entregado del Grupo de Infraestructura en ese año</w:t>
            </w:r>
            <w:r w:rsidRPr="00A37AAF">
              <w:rPr>
                <w:rFonts w:ascii="Arial" w:hAnsi="Arial" w:cs="Arial"/>
              </w:rPr>
              <w:t xml:space="preserve">. Actualmente, se encuentra inmersa en un proceso judicial administrativo en segunda instancia y a la fecha no se ha emitido algún pronunciamiento que permita estar ejecutoriado. Teniendo en cuenta que no hay decisión judicial, esta obra inconclusa no puede ser objeto de gestión por parte de la SNR; sin embargo, la entidad ha tomado las medidas pertinentes para avanzar en el proceso solicitando impulso procesal a la Oficina Asesora Jurídica el 15 de octubre de 2024 mediante oficio SNR2024IE018207 buscando celeridad en el proceso. </w:t>
            </w:r>
          </w:p>
          <w:p w14:paraId="2A5F0513" w14:textId="77777777" w:rsidR="007D517D" w:rsidRPr="00A37AAF" w:rsidRDefault="007D517D" w:rsidP="007D517D">
            <w:pPr>
              <w:pStyle w:val="Textoindependiente"/>
              <w:ind w:right="-50"/>
              <w:jc w:val="both"/>
              <w:rPr>
                <w:rFonts w:ascii="Arial" w:hAnsi="Arial" w:cs="Arial"/>
              </w:rPr>
            </w:pPr>
          </w:p>
          <w:p w14:paraId="1A527AD4" w14:textId="77777777" w:rsidR="007D517D" w:rsidRPr="00A37AAF" w:rsidRDefault="007D517D" w:rsidP="007D517D">
            <w:pPr>
              <w:pStyle w:val="Textoindependiente"/>
              <w:ind w:right="-50"/>
              <w:jc w:val="both"/>
              <w:rPr>
                <w:rFonts w:ascii="Arial" w:hAnsi="Arial" w:cs="Arial"/>
              </w:rPr>
            </w:pPr>
            <w:r w:rsidRPr="00A37AAF">
              <w:rPr>
                <w:rFonts w:ascii="Arial" w:hAnsi="Arial" w:cs="Arial"/>
              </w:rPr>
              <w:t xml:space="preserve">Con respecto al inmueble ubicado en Garagoa - Santander el 31 de julio de 2024 se emitió acto administrativo No 08199 para proceder con la demolición de la obra según conceptos técnicos, financieros y jurídicos requeridos por la Ley 2020 de 2020. </w:t>
            </w:r>
          </w:p>
          <w:p w14:paraId="693ED115" w14:textId="77777777" w:rsidR="007D517D" w:rsidRPr="00A37AAF" w:rsidRDefault="007D517D" w:rsidP="007D517D">
            <w:pPr>
              <w:pStyle w:val="Textoindependiente"/>
              <w:ind w:right="-50"/>
              <w:jc w:val="both"/>
              <w:rPr>
                <w:rFonts w:ascii="Arial" w:hAnsi="Arial" w:cs="Arial"/>
              </w:rPr>
            </w:pPr>
          </w:p>
          <w:p w14:paraId="29E80A11" w14:textId="77777777" w:rsidR="007D517D" w:rsidRPr="00A37AAF" w:rsidRDefault="007D517D" w:rsidP="007D517D">
            <w:pPr>
              <w:pStyle w:val="Textoindependiente"/>
              <w:ind w:right="-50"/>
              <w:jc w:val="both"/>
              <w:rPr>
                <w:rFonts w:ascii="Arial" w:hAnsi="Arial" w:cs="Arial"/>
              </w:rPr>
            </w:pPr>
            <w:r w:rsidRPr="00A37AAF">
              <w:rPr>
                <w:rFonts w:ascii="Arial" w:hAnsi="Arial" w:cs="Arial"/>
              </w:rPr>
              <w:t>En cuanto a la construcción de Nuquí, el Grupo de Infraestructura informó que se encuentran realizando los estudios pertinentes para definir el procedimiento para la entrega del inmueble, toda vez que se ha presentado un requerimiento por parte del alcalde del municipio del día 5 de noviembre de 2024 en la que solicita formalmente la cesión de transferencia del lote. Este predio, el cual inicialmente fue donado por la Alcaldía de Nuquí para el desarrollo de la obra ha sido ahora solicitado para su devolución.</w:t>
            </w:r>
          </w:p>
        </w:tc>
      </w:tr>
      <w:tr w:rsidR="007D517D" w:rsidRPr="003A1EE7" w14:paraId="706EC21A" w14:textId="77777777" w:rsidTr="007D517D">
        <w:tc>
          <w:tcPr>
            <w:tcW w:w="441" w:type="dxa"/>
          </w:tcPr>
          <w:p w14:paraId="62AF31E7" w14:textId="32942AFB" w:rsidR="007D517D" w:rsidRPr="003A1EE7" w:rsidRDefault="007D517D" w:rsidP="007D517D">
            <w:pPr>
              <w:tabs>
                <w:tab w:val="left" w:pos="1920"/>
              </w:tabs>
              <w:jc w:val="center"/>
              <w:rPr>
                <w:rFonts w:ascii="Arial" w:hAnsi="Arial" w:cs="Arial"/>
                <w:b/>
                <w:color w:val="FF0000"/>
              </w:rPr>
            </w:pPr>
            <w:r w:rsidRPr="00A37AAF">
              <w:rPr>
                <w:rFonts w:ascii="Arial" w:hAnsi="Arial" w:cs="Arial"/>
                <w:b/>
              </w:rPr>
              <w:t>43</w:t>
            </w:r>
          </w:p>
        </w:tc>
        <w:tc>
          <w:tcPr>
            <w:tcW w:w="10146" w:type="dxa"/>
          </w:tcPr>
          <w:p w14:paraId="761A5A09" w14:textId="77777777" w:rsidR="007D517D" w:rsidRPr="00B51854" w:rsidRDefault="007D517D" w:rsidP="007D517D">
            <w:pPr>
              <w:ind w:right="-93"/>
              <w:jc w:val="both"/>
              <w:rPr>
                <w:rFonts w:ascii="Arial" w:hAnsi="Arial" w:cs="Arial"/>
                <w:b/>
                <w:lang w:val="es-MX"/>
              </w:rPr>
            </w:pPr>
            <w:r w:rsidRPr="00B51854">
              <w:rPr>
                <w:rFonts w:ascii="Arial" w:hAnsi="Arial" w:cs="Arial"/>
                <w:b/>
                <w:lang w:val="es-MX"/>
              </w:rPr>
              <w:t>CORPORACION PARA EL DESARROLLO SOSTENIBLE DEL URABA - CORPOURABA.</w:t>
            </w:r>
          </w:p>
          <w:p w14:paraId="6BFCF36B" w14:textId="77777777" w:rsidR="007D517D" w:rsidRDefault="007D517D" w:rsidP="007D517D">
            <w:pPr>
              <w:ind w:right="60"/>
              <w:jc w:val="both"/>
              <w:rPr>
                <w:rFonts w:ascii="Arial" w:hAnsi="Arial" w:cs="Arial"/>
                <w:color w:val="FF0000"/>
              </w:rPr>
            </w:pPr>
          </w:p>
          <w:p w14:paraId="62133C4A" w14:textId="77777777" w:rsidR="007D517D" w:rsidRPr="00B51854" w:rsidRDefault="007D517D" w:rsidP="007D517D">
            <w:pPr>
              <w:ind w:right="60"/>
              <w:jc w:val="both"/>
              <w:rPr>
                <w:rFonts w:ascii="Arial" w:hAnsi="Arial" w:cs="Arial"/>
                <w:b/>
                <w:bCs/>
              </w:rPr>
            </w:pPr>
            <w:r w:rsidRPr="00B51854">
              <w:rPr>
                <w:rFonts w:ascii="Arial" w:hAnsi="Arial" w:cs="Arial"/>
                <w:b/>
                <w:bCs/>
              </w:rPr>
              <w:t>Nota 6. INVERSIONES E INSTRUMENTOS DERIVADOS.</w:t>
            </w:r>
          </w:p>
          <w:p w14:paraId="16FCDCCB" w14:textId="77777777" w:rsidR="007D517D" w:rsidRDefault="007D517D" w:rsidP="007D517D">
            <w:pPr>
              <w:ind w:right="60"/>
              <w:jc w:val="both"/>
              <w:rPr>
                <w:b/>
                <w:bCs/>
              </w:rPr>
            </w:pPr>
          </w:p>
          <w:p w14:paraId="7DAF1F86" w14:textId="77777777" w:rsidR="007D517D" w:rsidRDefault="007D517D" w:rsidP="007D517D">
            <w:pPr>
              <w:ind w:right="60"/>
              <w:jc w:val="both"/>
              <w:rPr>
                <w:rFonts w:ascii="Arial" w:hAnsi="Arial" w:cs="Arial"/>
                <w:color w:val="FF0000"/>
              </w:rPr>
            </w:pPr>
            <w:r w:rsidRPr="00873DB1">
              <w:rPr>
                <w:bCs/>
                <w:noProof/>
                <w:lang w:val="es-CO"/>
              </w:rPr>
              <w:drawing>
                <wp:inline distT="0" distB="0" distL="0" distR="0" wp14:anchorId="2C82AC0D" wp14:editId="2C0F3AA0">
                  <wp:extent cx="6257925" cy="1657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7925" cy="1657350"/>
                          </a:xfrm>
                          <a:prstGeom prst="rect">
                            <a:avLst/>
                          </a:prstGeom>
                        </pic:spPr>
                      </pic:pic>
                    </a:graphicData>
                  </a:graphic>
                </wp:inline>
              </w:drawing>
            </w:r>
          </w:p>
          <w:p w14:paraId="42595855" w14:textId="77777777" w:rsidR="007D517D" w:rsidRDefault="007D517D" w:rsidP="007D517D">
            <w:pPr>
              <w:ind w:right="60"/>
              <w:jc w:val="both"/>
              <w:rPr>
                <w:rFonts w:ascii="Arial" w:hAnsi="Arial" w:cs="Arial"/>
                <w:color w:val="FF0000"/>
              </w:rPr>
            </w:pPr>
          </w:p>
          <w:p w14:paraId="789E8A12" w14:textId="77777777" w:rsidR="007D517D" w:rsidRDefault="007D517D" w:rsidP="007D517D">
            <w:pPr>
              <w:ind w:right="60"/>
              <w:jc w:val="both"/>
              <w:rPr>
                <w:rFonts w:ascii="Arial" w:hAnsi="Arial" w:cs="Arial"/>
                <w:color w:val="FF0000"/>
              </w:rPr>
            </w:pPr>
            <w:r w:rsidRPr="00873DB1">
              <w:rPr>
                <w:bCs/>
                <w:noProof/>
                <w:lang w:val="es-CO"/>
              </w:rPr>
              <w:lastRenderedPageBreak/>
              <w:drawing>
                <wp:inline distT="0" distB="0" distL="0" distR="0" wp14:anchorId="5F48E60A" wp14:editId="0AADE647">
                  <wp:extent cx="6248400" cy="1495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48400" cy="1495425"/>
                          </a:xfrm>
                          <a:prstGeom prst="rect">
                            <a:avLst/>
                          </a:prstGeom>
                        </pic:spPr>
                      </pic:pic>
                    </a:graphicData>
                  </a:graphic>
                </wp:inline>
              </w:drawing>
            </w:r>
          </w:p>
          <w:p w14:paraId="7523C288" w14:textId="77777777" w:rsidR="007D517D" w:rsidRDefault="007D517D" w:rsidP="007D517D">
            <w:pPr>
              <w:ind w:right="60"/>
              <w:jc w:val="both"/>
              <w:rPr>
                <w:rFonts w:ascii="Arial" w:hAnsi="Arial" w:cs="Arial"/>
                <w:color w:val="FF0000"/>
              </w:rPr>
            </w:pPr>
          </w:p>
          <w:p w14:paraId="77EACE1E" w14:textId="77777777" w:rsidR="007D517D" w:rsidRPr="00B51854" w:rsidRDefault="007D517D" w:rsidP="007D517D">
            <w:pPr>
              <w:pStyle w:val="Textoindependiente"/>
              <w:jc w:val="both"/>
              <w:rPr>
                <w:rFonts w:ascii="Arial" w:hAnsi="Arial" w:cs="Arial"/>
                <w:bCs/>
              </w:rPr>
            </w:pPr>
            <w:r w:rsidRPr="00B51854">
              <w:rPr>
                <w:rFonts w:ascii="Arial" w:hAnsi="Arial" w:cs="Arial"/>
                <w:b/>
              </w:rPr>
              <w:t xml:space="preserve">Deterioro. </w:t>
            </w:r>
            <w:r w:rsidRPr="00B51854">
              <w:rPr>
                <w:rFonts w:ascii="Arial" w:hAnsi="Arial" w:cs="Arial"/>
                <w:b/>
                <w:bCs/>
                <w:u w:val="single"/>
              </w:rPr>
              <w:t>Estas inversiones clasificadas en la categoría de costo, en cuanto a la determinación para aplicar su Deterioro; nuevamente para la vigencia 2024 no se obtuvo de los elementos suficientes para castigar y disminuir el estado de resultados en esta vigencia. La administración viene gestionando con las empresas reforestadoras la entrega de sus estados Financieros, con el objeto de revisar los rendimientos financieros de dichas inversiones y el estado de su liquidación como sociedad anónima, para poder evaluar y establecer dicho deterioro</w:t>
            </w:r>
            <w:r w:rsidRPr="00B51854">
              <w:rPr>
                <w:rFonts w:ascii="Arial" w:hAnsi="Arial" w:cs="Arial"/>
                <w:bCs/>
              </w:rPr>
              <w:t>.</w:t>
            </w:r>
          </w:p>
          <w:p w14:paraId="05F258B4" w14:textId="77777777" w:rsidR="007D517D" w:rsidRDefault="007D517D" w:rsidP="007D517D">
            <w:pPr>
              <w:ind w:right="60"/>
              <w:jc w:val="both"/>
              <w:rPr>
                <w:rFonts w:ascii="Arial" w:hAnsi="Arial" w:cs="Arial"/>
                <w:color w:val="FF0000"/>
              </w:rPr>
            </w:pPr>
          </w:p>
          <w:p w14:paraId="3D4191FC" w14:textId="77777777" w:rsidR="007D517D" w:rsidRPr="00B51854" w:rsidRDefault="007D517D" w:rsidP="007D517D">
            <w:pPr>
              <w:pStyle w:val="Textoindependiente"/>
              <w:jc w:val="both"/>
              <w:rPr>
                <w:rFonts w:ascii="Arial" w:hAnsi="Arial" w:cs="Arial"/>
                <w:b/>
                <w:bCs/>
              </w:rPr>
            </w:pPr>
            <w:r w:rsidRPr="00B51854">
              <w:rPr>
                <w:rFonts w:ascii="Arial" w:hAnsi="Arial" w:cs="Arial"/>
                <w:b/>
                <w:bCs/>
              </w:rPr>
              <w:t>Nota 10. PROPIEDADES, PLANTA Y EQUIPO.</w:t>
            </w:r>
          </w:p>
          <w:p w14:paraId="178A4AEA" w14:textId="77777777" w:rsidR="007D517D" w:rsidRPr="00B51854" w:rsidRDefault="007D517D" w:rsidP="007D517D">
            <w:pPr>
              <w:pStyle w:val="Textoindependiente"/>
              <w:jc w:val="both"/>
              <w:rPr>
                <w:rFonts w:ascii="Arial" w:hAnsi="Arial" w:cs="Arial"/>
              </w:rPr>
            </w:pPr>
          </w:p>
          <w:p w14:paraId="2F68A8BC" w14:textId="77777777" w:rsidR="007D517D" w:rsidRPr="00B51854" w:rsidRDefault="007D517D" w:rsidP="007D517D">
            <w:pPr>
              <w:pStyle w:val="Textoindependiente"/>
              <w:jc w:val="both"/>
              <w:rPr>
                <w:rFonts w:ascii="Arial" w:hAnsi="Arial" w:cs="Arial"/>
                <w:b/>
                <w:bCs/>
              </w:rPr>
            </w:pPr>
            <w:r w:rsidRPr="00B51854">
              <w:rPr>
                <w:rFonts w:ascii="Arial" w:hAnsi="Arial" w:cs="Arial"/>
                <w:b/>
                <w:bCs/>
              </w:rPr>
              <w:t>10.2 PPE – INMUEBLES.</w:t>
            </w:r>
          </w:p>
          <w:p w14:paraId="5D1DF0D6" w14:textId="77777777" w:rsidR="007D517D" w:rsidRPr="00B51854" w:rsidRDefault="007D517D" w:rsidP="007D517D">
            <w:pPr>
              <w:pStyle w:val="Textoindependiente"/>
              <w:jc w:val="both"/>
              <w:rPr>
                <w:rFonts w:ascii="Arial" w:hAnsi="Arial" w:cs="Arial"/>
                <w:b/>
                <w:bCs/>
              </w:rPr>
            </w:pPr>
          </w:p>
          <w:p w14:paraId="60AD38F4" w14:textId="77777777" w:rsidR="007D517D" w:rsidRPr="00B51854" w:rsidRDefault="007D517D" w:rsidP="007D517D">
            <w:pPr>
              <w:pStyle w:val="Textoindependiente"/>
              <w:jc w:val="both"/>
              <w:rPr>
                <w:rFonts w:ascii="Arial" w:hAnsi="Arial" w:cs="Arial"/>
                <w:b/>
                <w:bCs/>
              </w:rPr>
            </w:pPr>
            <w:r w:rsidRPr="00B51854">
              <w:rPr>
                <w:rFonts w:ascii="Arial" w:hAnsi="Arial" w:cs="Arial"/>
                <w:b/>
                <w:bCs/>
              </w:rPr>
              <w:t xml:space="preserve">10.3 Deterioro. </w:t>
            </w:r>
            <w:r w:rsidRPr="00B51854">
              <w:rPr>
                <w:rFonts w:ascii="Arial" w:hAnsi="Arial" w:cs="Arial"/>
                <w:b/>
                <w:u w:val="single"/>
              </w:rPr>
              <w:t>La cuenta contable 1695 Deterioro acumulado de PPE, no registra saldo ni movimiento, el proceso de inventario de activos fijos al cierre de la vigencia quedo con avance del 80%, en esta actividad no incluyo la determinación del deterioro y la Corporación no cuenta con personal con experiencia y formación para establecer si existe deterioro de los activos muebles, este se contemplará para la próxima vigencia</w:t>
            </w:r>
            <w:r w:rsidRPr="00B51854">
              <w:rPr>
                <w:rFonts w:ascii="Arial" w:hAnsi="Arial" w:cs="Arial"/>
              </w:rPr>
              <w:t>.</w:t>
            </w:r>
          </w:p>
        </w:tc>
      </w:tr>
      <w:tr w:rsidR="007D517D" w:rsidRPr="003A1EE7" w14:paraId="0F2D6EDD" w14:textId="77777777" w:rsidTr="007D517D">
        <w:tc>
          <w:tcPr>
            <w:tcW w:w="441" w:type="dxa"/>
          </w:tcPr>
          <w:p w14:paraId="64195B00" w14:textId="7941B20D" w:rsidR="007D517D" w:rsidRPr="004E6683" w:rsidRDefault="007D517D" w:rsidP="007D517D">
            <w:pPr>
              <w:tabs>
                <w:tab w:val="left" w:pos="1920"/>
              </w:tabs>
              <w:jc w:val="center"/>
              <w:rPr>
                <w:rFonts w:ascii="Arial" w:hAnsi="Arial" w:cs="Arial"/>
                <w:b/>
              </w:rPr>
            </w:pPr>
            <w:r w:rsidRPr="00B51854">
              <w:rPr>
                <w:rFonts w:ascii="Arial" w:hAnsi="Arial" w:cs="Arial"/>
                <w:b/>
              </w:rPr>
              <w:lastRenderedPageBreak/>
              <w:t>44</w:t>
            </w:r>
          </w:p>
        </w:tc>
        <w:tc>
          <w:tcPr>
            <w:tcW w:w="10146" w:type="dxa"/>
          </w:tcPr>
          <w:p w14:paraId="3BC4FD12" w14:textId="77777777" w:rsidR="007D517D" w:rsidRPr="004E6683" w:rsidRDefault="007D517D" w:rsidP="007D517D">
            <w:pPr>
              <w:ind w:right="60"/>
              <w:jc w:val="both"/>
              <w:rPr>
                <w:rFonts w:ascii="Arial" w:hAnsi="Arial" w:cs="Arial"/>
              </w:rPr>
            </w:pPr>
            <w:r w:rsidRPr="004E6683">
              <w:rPr>
                <w:rFonts w:ascii="Arial" w:hAnsi="Arial" w:cs="Arial"/>
              </w:rPr>
              <w:t>Se observan mayores valores pagados por concepto de nómina que no se han podido recuperar.</w:t>
            </w:r>
          </w:p>
        </w:tc>
      </w:tr>
      <w:tr w:rsidR="007D517D" w:rsidRPr="003A1EE7" w14:paraId="6074D10C" w14:textId="77777777" w:rsidTr="007D517D">
        <w:tc>
          <w:tcPr>
            <w:tcW w:w="441" w:type="dxa"/>
          </w:tcPr>
          <w:p w14:paraId="5D02C729" w14:textId="685898E0" w:rsidR="007D517D" w:rsidRPr="004E6683" w:rsidRDefault="007D517D" w:rsidP="007D517D">
            <w:pPr>
              <w:tabs>
                <w:tab w:val="left" w:pos="1920"/>
              </w:tabs>
              <w:jc w:val="center"/>
              <w:rPr>
                <w:rFonts w:ascii="Arial" w:hAnsi="Arial" w:cs="Arial"/>
                <w:b/>
              </w:rPr>
            </w:pPr>
            <w:r w:rsidRPr="004E6683">
              <w:rPr>
                <w:rFonts w:ascii="Arial" w:hAnsi="Arial" w:cs="Arial"/>
                <w:b/>
              </w:rPr>
              <w:t>45</w:t>
            </w:r>
          </w:p>
        </w:tc>
        <w:tc>
          <w:tcPr>
            <w:tcW w:w="10146" w:type="dxa"/>
          </w:tcPr>
          <w:p w14:paraId="4E9F568C" w14:textId="77777777" w:rsidR="007D517D" w:rsidRPr="004E6683" w:rsidRDefault="007D517D" w:rsidP="007D517D">
            <w:pPr>
              <w:tabs>
                <w:tab w:val="left" w:pos="1395"/>
              </w:tabs>
              <w:jc w:val="both"/>
              <w:rPr>
                <w:rFonts w:ascii="Arial" w:hAnsi="Arial" w:cs="Arial"/>
              </w:rPr>
            </w:pPr>
            <w:r w:rsidRPr="004E6683">
              <w:rPr>
                <w:rFonts w:ascii="Arial" w:hAnsi="Arial" w:cs="Arial"/>
              </w:rPr>
              <w:t>Nuevamente observamos cuentas de balance con resultados negativos a 31 de diciembre de 202</w:t>
            </w:r>
            <w:r>
              <w:rPr>
                <w:rFonts w:ascii="Arial" w:hAnsi="Arial" w:cs="Arial"/>
              </w:rPr>
              <w:t>4</w:t>
            </w:r>
            <w:r w:rsidRPr="004E6683">
              <w:rPr>
                <w:rFonts w:ascii="Arial" w:hAnsi="Arial" w:cs="Arial"/>
              </w:rPr>
              <w:t xml:space="preserve"> así:</w:t>
            </w:r>
          </w:p>
          <w:p w14:paraId="51C80CDA" w14:textId="77777777" w:rsidR="007D517D" w:rsidRPr="004E6683" w:rsidRDefault="007D517D" w:rsidP="007D517D">
            <w:pPr>
              <w:tabs>
                <w:tab w:val="left" w:pos="1395"/>
              </w:tabs>
              <w:jc w:val="both"/>
              <w:rPr>
                <w:rFonts w:ascii="Arial" w:hAnsi="Arial" w:cs="Arial"/>
              </w:rPr>
            </w:pPr>
          </w:p>
          <w:p w14:paraId="02A1F8CA" w14:textId="77777777" w:rsidR="007D517D" w:rsidRDefault="007D517D" w:rsidP="007D517D">
            <w:pPr>
              <w:tabs>
                <w:tab w:val="left" w:pos="1395"/>
              </w:tabs>
              <w:jc w:val="both"/>
              <w:rPr>
                <w:rFonts w:ascii="Arial" w:hAnsi="Arial" w:cs="Arial"/>
              </w:rPr>
            </w:pPr>
            <w:r w:rsidRPr="004E6683">
              <w:rPr>
                <w:rFonts w:ascii="Arial" w:hAnsi="Arial" w:cs="Arial"/>
              </w:rPr>
              <w:t>Resultado del ejercicio.</w:t>
            </w:r>
          </w:p>
          <w:p w14:paraId="1AD21EF3" w14:textId="77777777" w:rsidR="007D517D" w:rsidRPr="004E6683" w:rsidRDefault="007D517D" w:rsidP="007D517D">
            <w:pPr>
              <w:tabs>
                <w:tab w:val="left" w:pos="1395"/>
              </w:tabs>
              <w:jc w:val="both"/>
              <w:rPr>
                <w:rFonts w:ascii="Arial" w:hAnsi="Arial" w:cs="Arial"/>
              </w:rPr>
            </w:pPr>
            <w:r>
              <w:rPr>
                <w:color w:val="000000" w:themeColor="text1"/>
                <w:lang w:val="es-ES_tradnl"/>
              </w:rPr>
              <w:t>Resultado ejercicios anteriores.</w:t>
            </w:r>
          </w:p>
          <w:p w14:paraId="09FA0149" w14:textId="77777777" w:rsidR="007D517D" w:rsidRPr="004E6683" w:rsidRDefault="007D517D" w:rsidP="007D517D">
            <w:pPr>
              <w:tabs>
                <w:tab w:val="left" w:pos="1395"/>
              </w:tabs>
              <w:jc w:val="both"/>
              <w:rPr>
                <w:rFonts w:ascii="Arial" w:hAnsi="Arial" w:cs="Arial"/>
              </w:rPr>
            </w:pPr>
            <w:r w:rsidRPr="004E6683">
              <w:rPr>
                <w:rFonts w:ascii="Arial" w:hAnsi="Arial" w:cs="Arial"/>
              </w:rPr>
              <w:t>Variaciones patrimoniales negativas.</w:t>
            </w:r>
          </w:p>
          <w:p w14:paraId="5710100E" w14:textId="77777777" w:rsidR="007D517D" w:rsidRPr="004E6683" w:rsidRDefault="007D517D" w:rsidP="007D517D">
            <w:pPr>
              <w:tabs>
                <w:tab w:val="left" w:pos="1395"/>
              </w:tabs>
              <w:jc w:val="both"/>
              <w:rPr>
                <w:rFonts w:ascii="Arial" w:hAnsi="Arial" w:cs="Arial"/>
              </w:rPr>
            </w:pPr>
            <w:r w:rsidRPr="004E6683">
              <w:rPr>
                <w:rFonts w:ascii="Arial" w:hAnsi="Arial" w:cs="Arial"/>
              </w:rPr>
              <w:t>Déficit operacional.</w:t>
            </w:r>
          </w:p>
          <w:p w14:paraId="1E44CE51" w14:textId="77777777" w:rsidR="007D517D" w:rsidRPr="004E6683" w:rsidRDefault="007D517D" w:rsidP="007D517D">
            <w:pPr>
              <w:tabs>
                <w:tab w:val="left" w:pos="1395"/>
              </w:tabs>
              <w:jc w:val="both"/>
              <w:rPr>
                <w:rFonts w:ascii="Arial" w:hAnsi="Arial" w:cs="Arial"/>
              </w:rPr>
            </w:pPr>
            <w:r w:rsidRPr="004E6683">
              <w:rPr>
                <w:rFonts w:ascii="Arial" w:hAnsi="Arial" w:cs="Arial"/>
              </w:rPr>
              <w:t>Capital de trabajo negativo.</w:t>
            </w:r>
          </w:p>
          <w:p w14:paraId="50ABBC1C" w14:textId="77777777" w:rsidR="007D517D" w:rsidRDefault="007D517D" w:rsidP="007D517D">
            <w:pPr>
              <w:tabs>
                <w:tab w:val="left" w:pos="1395"/>
              </w:tabs>
              <w:jc w:val="both"/>
              <w:rPr>
                <w:rFonts w:ascii="Arial" w:hAnsi="Arial" w:cs="Arial"/>
              </w:rPr>
            </w:pPr>
            <w:r w:rsidRPr="004E6683">
              <w:rPr>
                <w:rFonts w:ascii="Arial" w:hAnsi="Arial" w:cs="Arial"/>
              </w:rPr>
              <w:t>Pérdidas o déficit acumulados.</w:t>
            </w:r>
          </w:p>
          <w:p w14:paraId="675C7156" w14:textId="77777777" w:rsidR="007D517D" w:rsidRPr="004E6683" w:rsidRDefault="007D517D" w:rsidP="007D517D">
            <w:pPr>
              <w:tabs>
                <w:tab w:val="left" w:pos="1395"/>
              </w:tabs>
              <w:jc w:val="both"/>
              <w:rPr>
                <w:rFonts w:ascii="Arial" w:hAnsi="Arial" w:cs="Arial"/>
              </w:rPr>
            </w:pPr>
            <w:r>
              <w:rPr>
                <w:rFonts w:ascii="Arial" w:hAnsi="Arial" w:cs="Arial"/>
              </w:rPr>
              <w:t>Patrimonio.</w:t>
            </w:r>
          </w:p>
        </w:tc>
      </w:tr>
      <w:tr w:rsidR="007D517D" w:rsidRPr="003A1EE7" w14:paraId="1FD82DB1" w14:textId="77777777" w:rsidTr="007D517D">
        <w:tc>
          <w:tcPr>
            <w:tcW w:w="441" w:type="dxa"/>
          </w:tcPr>
          <w:p w14:paraId="7C84AD45" w14:textId="29EDC8D4" w:rsidR="007D517D" w:rsidRPr="003A1EE7" w:rsidRDefault="007D517D" w:rsidP="007D517D">
            <w:pPr>
              <w:tabs>
                <w:tab w:val="left" w:pos="1920"/>
              </w:tabs>
              <w:jc w:val="center"/>
              <w:rPr>
                <w:rFonts w:ascii="Arial" w:hAnsi="Arial" w:cs="Arial"/>
                <w:b/>
                <w:color w:val="FF0000"/>
              </w:rPr>
            </w:pPr>
            <w:r w:rsidRPr="004E6683">
              <w:rPr>
                <w:rFonts w:ascii="Arial" w:hAnsi="Arial" w:cs="Arial"/>
                <w:b/>
              </w:rPr>
              <w:t>46</w:t>
            </w:r>
          </w:p>
        </w:tc>
        <w:tc>
          <w:tcPr>
            <w:tcW w:w="10146" w:type="dxa"/>
          </w:tcPr>
          <w:p w14:paraId="08F83033" w14:textId="77777777" w:rsidR="007D517D" w:rsidRPr="008A5097" w:rsidRDefault="007D517D" w:rsidP="007D517D">
            <w:pPr>
              <w:tabs>
                <w:tab w:val="left" w:pos="1395"/>
              </w:tabs>
              <w:jc w:val="both"/>
              <w:rPr>
                <w:rFonts w:ascii="Arial" w:hAnsi="Arial" w:cs="Arial"/>
              </w:rPr>
            </w:pPr>
            <w:r w:rsidRPr="008A5097">
              <w:rPr>
                <w:rFonts w:ascii="Arial" w:hAnsi="Arial" w:cs="Arial"/>
              </w:rPr>
              <w:t>Nuevamente observamos saldos importantes por depurar en cuentas de balance a 31 de diciembre de 2024 tales como:</w:t>
            </w:r>
          </w:p>
          <w:p w14:paraId="345DB905" w14:textId="77777777" w:rsidR="007D517D" w:rsidRPr="008A5097" w:rsidRDefault="007D517D" w:rsidP="007D517D">
            <w:pPr>
              <w:tabs>
                <w:tab w:val="left" w:pos="1395"/>
              </w:tabs>
              <w:jc w:val="both"/>
              <w:rPr>
                <w:rFonts w:ascii="Arial" w:hAnsi="Arial" w:cs="Arial"/>
              </w:rPr>
            </w:pPr>
          </w:p>
          <w:p w14:paraId="0A8FB9E7" w14:textId="77777777" w:rsidR="007D517D" w:rsidRPr="008A5097" w:rsidRDefault="007D517D" w:rsidP="007D517D">
            <w:pPr>
              <w:tabs>
                <w:tab w:val="left" w:pos="1395"/>
              </w:tabs>
              <w:jc w:val="both"/>
              <w:rPr>
                <w:rFonts w:ascii="Arial" w:hAnsi="Arial" w:cs="Arial"/>
              </w:rPr>
            </w:pPr>
            <w:r w:rsidRPr="008A5097">
              <w:rPr>
                <w:rFonts w:ascii="Arial" w:hAnsi="Arial" w:cs="Arial"/>
              </w:rPr>
              <w:t>Multas y sanciones.</w:t>
            </w:r>
          </w:p>
          <w:p w14:paraId="46DB9887" w14:textId="77777777" w:rsidR="007D517D" w:rsidRPr="008A5097" w:rsidRDefault="007D517D" w:rsidP="007D517D">
            <w:pPr>
              <w:tabs>
                <w:tab w:val="left" w:pos="1395"/>
              </w:tabs>
              <w:jc w:val="both"/>
              <w:rPr>
                <w:rFonts w:ascii="Arial" w:hAnsi="Arial" w:cs="Arial"/>
              </w:rPr>
            </w:pPr>
            <w:r w:rsidRPr="008A5097">
              <w:rPr>
                <w:rFonts w:ascii="Arial" w:hAnsi="Arial" w:cs="Arial"/>
              </w:rPr>
              <w:t>Inversiones en entidades en liquidación.</w:t>
            </w:r>
          </w:p>
          <w:p w14:paraId="71774310" w14:textId="77777777" w:rsidR="007D517D" w:rsidRPr="008A5097" w:rsidRDefault="007D517D" w:rsidP="007D517D">
            <w:pPr>
              <w:tabs>
                <w:tab w:val="left" w:pos="1395"/>
              </w:tabs>
              <w:jc w:val="both"/>
              <w:rPr>
                <w:rFonts w:ascii="Arial" w:hAnsi="Arial" w:cs="Arial"/>
              </w:rPr>
            </w:pPr>
            <w:r w:rsidRPr="008A5097">
              <w:rPr>
                <w:rFonts w:ascii="Arial" w:hAnsi="Arial" w:cs="Arial"/>
              </w:rPr>
              <w:t>Deterioro de las cuentas por pagar.</w:t>
            </w:r>
          </w:p>
          <w:p w14:paraId="0754BCB8" w14:textId="77777777" w:rsidR="007D517D" w:rsidRPr="008A5097" w:rsidRDefault="007D517D" w:rsidP="007D517D">
            <w:pPr>
              <w:tabs>
                <w:tab w:val="left" w:pos="1395"/>
              </w:tabs>
              <w:jc w:val="both"/>
              <w:rPr>
                <w:rFonts w:ascii="Arial" w:hAnsi="Arial" w:cs="Arial"/>
              </w:rPr>
            </w:pPr>
            <w:r w:rsidRPr="008A5097">
              <w:rPr>
                <w:rFonts w:ascii="Arial" w:hAnsi="Arial" w:cs="Arial"/>
              </w:rPr>
              <w:t>Propiedad planta y equipo no explotado.</w:t>
            </w:r>
          </w:p>
          <w:p w14:paraId="58D894B7" w14:textId="77777777" w:rsidR="007D517D" w:rsidRPr="008A5097" w:rsidRDefault="007D517D" w:rsidP="007D517D">
            <w:pPr>
              <w:tabs>
                <w:tab w:val="left" w:pos="1395"/>
              </w:tabs>
              <w:jc w:val="both"/>
              <w:rPr>
                <w:rFonts w:ascii="Arial" w:hAnsi="Arial" w:cs="Arial"/>
              </w:rPr>
            </w:pPr>
            <w:r w:rsidRPr="008A5097">
              <w:rPr>
                <w:rFonts w:ascii="Arial" w:hAnsi="Arial" w:cs="Arial"/>
              </w:rPr>
              <w:t>Embargos judiciales.</w:t>
            </w:r>
          </w:p>
          <w:p w14:paraId="07CE2154" w14:textId="77777777" w:rsidR="007D517D" w:rsidRPr="008A5097" w:rsidRDefault="007D517D" w:rsidP="007D517D">
            <w:pPr>
              <w:tabs>
                <w:tab w:val="left" w:pos="1395"/>
              </w:tabs>
              <w:jc w:val="both"/>
              <w:rPr>
                <w:rFonts w:ascii="Arial" w:hAnsi="Arial" w:cs="Arial"/>
              </w:rPr>
            </w:pPr>
            <w:r w:rsidRPr="008A5097">
              <w:rPr>
                <w:rFonts w:ascii="Arial" w:hAnsi="Arial" w:cs="Arial"/>
              </w:rPr>
              <w:t>Recaudos por clasificar.</w:t>
            </w:r>
          </w:p>
          <w:p w14:paraId="09E135C3" w14:textId="77777777" w:rsidR="007D517D" w:rsidRPr="008A5097" w:rsidRDefault="007D517D" w:rsidP="007D517D">
            <w:pPr>
              <w:tabs>
                <w:tab w:val="left" w:pos="1395"/>
              </w:tabs>
              <w:jc w:val="both"/>
              <w:rPr>
                <w:rFonts w:ascii="Arial" w:hAnsi="Arial" w:cs="Arial"/>
              </w:rPr>
            </w:pPr>
            <w:r w:rsidRPr="008A5097">
              <w:rPr>
                <w:rFonts w:ascii="Arial" w:hAnsi="Arial" w:cs="Arial"/>
              </w:rPr>
              <w:t>Litigios y mecanismos de solución de conflictos (demandas en contra de las entidades) con probabilidad de pérdida alta.</w:t>
            </w:r>
          </w:p>
        </w:tc>
      </w:tr>
    </w:tbl>
    <w:p w14:paraId="435DAD73" w14:textId="77777777" w:rsidR="00374832" w:rsidRPr="004B1294" w:rsidRDefault="00374832" w:rsidP="00374832">
      <w:pPr>
        <w:ind w:left="-426" w:right="-518"/>
        <w:jc w:val="both"/>
        <w:rPr>
          <w:rFonts w:ascii="Arial" w:hAnsi="Arial" w:cs="Arial"/>
          <w:sz w:val="16"/>
          <w:szCs w:val="16"/>
        </w:rPr>
      </w:pPr>
      <w:r>
        <w:rPr>
          <w:rFonts w:ascii="Arial" w:hAnsi="Arial" w:cs="Arial"/>
          <w:sz w:val="16"/>
          <w:szCs w:val="16"/>
        </w:rPr>
        <w:t xml:space="preserve">   </w:t>
      </w:r>
      <w:r w:rsidRPr="003A1EE7">
        <w:rPr>
          <w:rFonts w:ascii="Arial" w:hAnsi="Arial" w:cs="Arial"/>
          <w:b/>
          <w:bCs/>
          <w:sz w:val="16"/>
          <w:szCs w:val="16"/>
        </w:rPr>
        <w:t>Fuente</w:t>
      </w:r>
      <w:r w:rsidRPr="004B1294">
        <w:rPr>
          <w:rFonts w:ascii="Arial" w:hAnsi="Arial" w:cs="Arial"/>
          <w:sz w:val="16"/>
          <w:szCs w:val="16"/>
        </w:rPr>
        <w:t>: Informes contables presentados por las entidades del nivel nacional a la Comisión Legal de Cuentas vigencia fiscal 202</w:t>
      </w:r>
      <w:r>
        <w:rPr>
          <w:rFonts w:ascii="Arial" w:hAnsi="Arial" w:cs="Arial"/>
          <w:sz w:val="16"/>
          <w:szCs w:val="16"/>
        </w:rPr>
        <w:t>4</w:t>
      </w:r>
      <w:r w:rsidRPr="004B1294">
        <w:rPr>
          <w:rFonts w:ascii="Arial" w:hAnsi="Arial" w:cs="Arial"/>
          <w:sz w:val="16"/>
          <w:szCs w:val="16"/>
        </w:rPr>
        <w:t>.</w:t>
      </w:r>
    </w:p>
    <w:bookmarkEnd w:id="25"/>
    <w:p w14:paraId="7BD3FFEC" w14:textId="77777777" w:rsidR="00374832" w:rsidRDefault="00374832" w:rsidP="00374832">
      <w:pPr>
        <w:rPr>
          <w:lang w:val="es-CO"/>
        </w:rPr>
      </w:pPr>
    </w:p>
    <w:p w14:paraId="28145152" w14:textId="06EBC4B1" w:rsidR="005E5F3C" w:rsidRPr="005E5F3C" w:rsidRDefault="005E5F3C" w:rsidP="005E5F3C">
      <w:pPr>
        <w:ind w:left="-284" w:right="-234"/>
        <w:jc w:val="center"/>
        <w:rPr>
          <w:rFonts w:ascii="Arial" w:hAnsi="Arial" w:cs="Arial"/>
          <w:b/>
          <w:sz w:val="28"/>
          <w:szCs w:val="28"/>
          <w:u w:val="single"/>
        </w:rPr>
      </w:pPr>
      <w:bookmarkStart w:id="28" w:name="_Hlk210306715"/>
      <w:r w:rsidRPr="005E5F3C">
        <w:rPr>
          <w:rFonts w:ascii="Arial" w:hAnsi="Arial" w:cs="Arial"/>
          <w:b/>
          <w:sz w:val="28"/>
          <w:szCs w:val="28"/>
          <w:u w:val="single"/>
        </w:rPr>
        <w:t xml:space="preserve">11.- EMPRESAS, ENTIDADES, FONDOS Y PATRIMONIOS AUTÓNOMOS DEL NIVEL NACIONAL QUE A 31 DE DICIEMBRE DE 2024 </w:t>
      </w:r>
      <w:r w:rsidR="00FC3FCB">
        <w:rPr>
          <w:rFonts w:ascii="Arial" w:hAnsi="Arial" w:cs="Arial"/>
          <w:b/>
          <w:sz w:val="28"/>
          <w:szCs w:val="28"/>
          <w:u w:val="single"/>
        </w:rPr>
        <w:t>LE</w:t>
      </w:r>
      <w:r w:rsidRPr="005E5F3C">
        <w:rPr>
          <w:rFonts w:ascii="Arial" w:hAnsi="Arial" w:cs="Arial"/>
          <w:b/>
          <w:sz w:val="28"/>
          <w:szCs w:val="28"/>
          <w:u w:val="single"/>
        </w:rPr>
        <w:t xml:space="preserve"> PRESENTARON A LA COMISIÓN LEGAL DE CUENTAS DE LA CÁMARA DE REPRESENTANTES SUS ESTADOS FINANCIEROS CON INCONSISTENCIAS EN LOS SALDOS DE SUS CUENTAS</w:t>
      </w:r>
      <w:r w:rsidR="00D66458">
        <w:rPr>
          <w:rFonts w:ascii="Arial" w:hAnsi="Arial" w:cs="Arial"/>
          <w:b/>
          <w:sz w:val="28"/>
          <w:szCs w:val="28"/>
          <w:u w:val="single"/>
        </w:rPr>
        <w:t xml:space="preserve"> DE BALANCE</w:t>
      </w:r>
      <w:r w:rsidRPr="005E5F3C">
        <w:rPr>
          <w:rFonts w:ascii="Arial" w:hAnsi="Arial" w:cs="Arial"/>
          <w:b/>
          <w:sz w:val="28"/>
          <w:szCs w:val="28"/>
          <w:u w:val="single"/>
        </w:rPr>
        <w:t xml:space="preserve"> ASÍ:</w:t>
      </w:r>
    </w:p>
    <w:bookmarkEnd w:id="28"/>
    <w:p w14:paraId="0AA64228" w14:textId="18EE36EC" w:rsidR="005E5F3C" w:rsidRPr="00636F3A" w:rsidRDefault="005E5F3C" w:rsidP="005E5F3C">
      <w:pPr>
        <w:ind w:left="-284"/>
        <w:jc w:val="both"/>
        <w:rPr>
          <w:rFonts w:ascii="Arial" w:hAnsi="Arial" w:cs="Arial"/>
          <w:b/>
          <w:sz w:val="28"/>
          <w:szCs w:val="28"/>
          <w:lang w:val="es-MX"/>
        </w:rPr>
      </w:pPr>
      <w:r w:rsidRPr="00636F3A">
        <w:rPr>
          <w:rFonts w:ascii="Arial" w:hAnsi="Arial" w:cs="Arial"/>
          <w:b/>
          <w:sz w:val="28"/>
          <w:szCs w:val="28"/>
          <w:lang w:val="es-MX"/>
        </w:rPr>
        <w:lastRenderedPageBreak/>
        <w:t>24.- ESCUELA TECNOLOGICA INSTITUTO TECNICO CENTRAL.</w:t>
      </w:r>
    </w:p>
    <w:p w14:paraId="2744BC31" w14:textId="77777777" w:rsidR="005E5F3C" w:rsidRDefault="005E5F3C" w:rsidP="005E5F3C">
      <w:pPr>
        <w:ind w:right="-234"/>
        <w:jc w:val="both"/>
        <w:rPr>
          <w:rFonts w:ascii="Arial" w:hAnsi="Arial" w:cs="Arial"/>
          <w:b/>
          <w:sz w:val="28"/>
          <w:szCs w:val="28"/>
          <w:lang w:val="es-MX"/>
        </w:rPr>
      </w:pPr>
    </w:p>
    <w:tbl>
      <w:tblPr>
        <w:tblStyle w:val="Tablaconcuadrcula"/>
        <w:tblW w:w="0" w:type="auto"/>
        <w:jc w:val="center"/>
        <w:tblLook w:val="04A0" w:firstRow="1" w:lastRow="0" w:firstColumn="1" w:lastColumn="0" w:noHBand="0" w:noVBand="1"/>
      </w:tblPr>
      <w:tblGrid>
        <w:gridCol w:w="3134"/>
        <w:gridCol w:w="3136"/>
        <w:gridCol w:w="3785"/>
      </w:tblGrid>
      <w:tr w:rsidR="005E5F3C" w:rsidRPr="005A3BC2" w14:paraId="1BD595CE" w14:textId="77777777" w:rsidTr="00D4226B">
        <w:trPr>
          <w:jc w:val="center"/>
        </w:trPr>
        <w:tc>
          <w:tcPr>
            <w:tcW w:w="3278" w:type="dxa"/>
          </w:tcPr>
          <w:p w14:paraId="12F47E78" w14:textId="77777777" w:rsidR="005E5F3C" w:rsidRPr="005A3BC2" w:rsidRDefault="005E5F3C" w:rsidP="00D4226B">
            <w:pPr>
              <w:jc w:val="center"/>
              <w:rPr>
                <w:rFonts w:ascii="Arial" w:hAnsi="Arial" w:cs="Arial"/>
                <w:b/>
                <w:lang w:val="es-MX"/>
              </w:rPr>
            </w:pPr>
            <w:r w:rsidRPr="005A3BC2">
              <w:rPr>
                <w:rFonts w:ascii="Arial" w:hAnsi="Arial" w:cs="Arial"/>
                <w:b/>
              </w:rPr>
              <w:t xml:space="preserve">Cuenta </w:t>
            </w:r>
          </w:p>
        </w:tc>
        <w:tc>
          <w:tcPr>
            <w:tcW w:w="3191" w:type="dxa"/>
          </w:tcPr>
          <w:p w14:paraId="48A46CD4" w14:textId="77777777" w:rsidR="005E5F3C" w:rsidRPr="005A3BC2" w:rsidRDefault="005E5F3C" w:rsidP="00D4226B">
            <w:pPr>
              <w:jc w:val="center"/>
              <w:rPr>
                <w:rFonts w:ascii="Arial" w:hAnsi="Arial" w:cs="Arial"/>
                <w:b/>
              </w:rPr>
            </w:pPr>
            <w:r w:rsidRPr="005A3BC2">
              <w:rPr>
                <w:rFonts w:ascii="Arial" w:hAnsi="Arial" w:cs="Arial"/>
                <w:b/>
              </w:rPr>
              <w:t xml:space="preserve">Estado de Situación Financiera </w:t>
            </w:r>
          </w:p>
          <w:p w14:paraId="66EFD36F" w14:textId="77777777" w:rsidR="005E5F3C" w:rsidRPr="005A3BC2" w:rsidRDefault="005E5F3C" w:rsidP="00D4226B">
            <w:pPr>
              <w:tabs>
                <w:tab w:val="left" w:pos="2175"/>
              </w:tabs>
              <w:rPr>
                <w:rFonts w:ascii="Arial" w:hAnsi="Arial" w:cs="Arial"/>
                <w:b/>
                <w:lang w:val="es-MX"/>
              </w:rPr>
            </w:pPr>
            <w:r w:rsidRPr="005A3BC2">
              <w:rPr>
                <w:rFonts w:ascii="Arial" w:hAnsi="Arial" w:cs="Arial"/>
                <w:b/>
                <w:lang w:val="es-MX"/>
              </w:rPr>
              <w:tab/>
            </w:r>
          </w:p>
        </w:tc>
        <w:tc>
          <w:tcPr>
            <w:tcW w:w="3924" w:type="dxa"/>
          </w:tcPr>
          <w:p w14:paraId="198F4209" w14:textId="77777777" w:rsidR="005E5F3C" w:rsidRPr="005A3BC2" w:rsidRDefault="005E5F3C" w:rsidP="00D4226B">
            <w:pPr>
              <w:jc w:val="center"/>
              <w:rPr>
                <w:rFonts w:ascii="Arial" w:hAnsi="Arial" w:cs="Arial"/>
                <w:b/>
              </w:rPr>
            </w:pPr>
            <w:r w:rsidRPr="005A3BC2">
              <w:rPr>
                <w:rFonts w:ascii="Arial" w:hAnsi="Arial" w:cs="Arial"/>
                <w:b/>
              </w:rPr>
              <w:t xml:space="preserve">Estado de Cambios en el Patrimonio </w:t>
            </w:r>
          </w:p>
          <w:p w14:paraId="27E51EA6" w14:textId="77777777" w:rsidR="005E5F3C" w:rsidRPr="005A3BC2" w:rsidRDefault="005E5F3C" w:rsidP="00D4226B">
            <w:pPr>
              <w:jc w:val="center"/>
              <w:rPr>
                <w:rFonts w:ascii="Arial" w:hAnsi="Arial" w:cs="Arial"/>
                <w:b/>
                <w:lang w:val="es-MX"/>
              </w:rPr>
            </w:pPr>
          </w:p>
        </w:tc>
      </w:tr>
      <w:tr w:rsidR="005E5F3C" w:rsidRPr="005A3BC2" w14:paraId="4999B6DB" w14:textId="77777777" w:rsidTr="00D4226B">
        <w:trPr>
          <w:jc w:val="center"/>
        </w:trPr>
        <w:tc>
          <w:tcPr>
            <w:tcW w:w="3278" w:type="dxa"/>
          </w:tcPr>
          <w:p w14:paraId="6BE0CEF5" w14:textId="77777777" w:rsidR="005E5F3C" w:rsidRPr="005A3BC2" w:rsidRDefault="005E5F3C" w:rsidP="00D4226B">
            <w:pPr>
              <w:rPr>
                <w:rFonts w:ascii="Arial" w:hAnsi="Arial" w:cs="Arial"/>
                <w:lang w:val="es-MX"/>
              </w:rPr>
            </w:pPr>
            <w:r w:rsidRPr="005A3BC2">
              <w:rPr>
                <w:rFonts w:ascii="Arial" w:hAnsi="Arial" w:cs="Arial"/>
                <w:lang w:val="es-MX"/>
              </w:rPr>
              <w:t xml:space="preserve">Patrimonio 2023 </w:t>
            </w:r>
          </w:p>
        </w:tc>
        <w:tc>
          <w:tcPr>
            <w:tcW w:w="3191" w:type="dxa"/>
          </w:tcPr>
          <w:p w14:paraId="2A708604" w14:textId="77777777" w:rsidR="005E5F3C" w:rsidRPr="005A3BC2" w:rsidRDefault="005E5F3C" w:rsidP="00D4226B">
            <w:pPr>
              <w:jc w:val="center"/>
              <w:rPr>
                <w:rFonts w:ascii="Arial" w:hAnsi="Arial" w:cs="Arial"/>
                <w:lang w:val="es-MX"/>
              </w:rPr>
            </w:pPr>
            <w:r w:rsidRPr="005A3BC2">
              <w:rPr>
                <w:rFonts w:ascii="Arial" w:hAnsi="Arial" w:cs="Arial"/>
                <w:lang w:val="es-MX"/>
              </w:rPr>
              <w:t>65.231.996.519.45</w:t>
            </w:r>
          </w:p>
        </w:tc>
        <w:tc>
          <w:tcPr>
            <w:tcW w:w="3924" w:type="dxa"/>
          </w:tcPr>
          <w:p w14:paraId="39D2086B" w14:textId="77777777" w:rsidR="005E5F3C" w:rsidRPr="005A3BC2" w:rsidRDefault="005E5F3C" w:rsidP="00D4226B">
            <w:pPr>
              <w:jc w:val="center"/>
              <w:rPr>
                <w:rFonts w:ascii="Arial" w:hAnsi="Arial" w:cs="Arial"/>
                <w:lang w:val="es-MX"/>
              </w:rPr>
            </w:pPr>
            <w:r w:rsidRPr="005A3BC2">
              <w:rPr>
                <w:rFonts w:ascii="Arial" w:hAnsi="Arial" w:cs="Arial"/>
                <w:lang w:val="es-MX"/>
              </w:rPr>
              <w:t>65.790.633.647.69</w:t>
            </w:r>
          </w:p>
        </w:tc>
      </w:tr>
    </w:tbl>
    <w:p w14:paraId="2908BC10" w14:textId="77777777" w:rsidR="005E5F3C" w:rsidRDefault="005E5F3C" w:rsidP="005E5F3C">
      <w:pPr>
        <w:pStyle w:val="Textoindependiente"/>
        <w:ind w:right="-50"/>
        <w:jc w:val="both"/>
        <w:rPr>
          <w:b/>
          <w:sz w:val="28"/>
          <w:szCs w:val="28"/>
        </w:rPr>
      </w:pPr>
    </w:p>
    <w:p w14:paraId="4F2376BF" w14:textId="77777777" w:rsidR="005E5F3C" w:rsidRPr="005A3BC2" w:rsidRDefault="005E5F3C" w:rsidP="005E5F3C">
      <w:pPr>
        <w:pStyle w:val="Textoindependiente"/>
        <w:ind w:left="-284" w:right="-50"/>
        <w:jc w:val="both"/>
        <w:rPr>
          <w:rFonts w:ascii="Arial" w:hAnsi="Arial" w:cs="Arial"/>
          <w:sz w:val="24"/>
          <w:szCs w:val="24"/>
        </w:rPr>
      </w:pPr>
      <w:r>
        <w:rPr>
          <w:szCs w:val="28"/>
        </w:rPr>
        <w:t>¿</w:t>
      </w:r>
      <w:r w:rsidRPr="005A3BC2">
        <w:rPr>
          <w:rFonts w:ascii="Arial" w:hAnsi="Arial" w:cs="Arial"/>
          <w:sz w:val="24"/>
          <w:szCs w:val="24"/>
        </w:rPr>
        <w:t>Cuál es la razón para que esta cifra cambie de un estado financiero a otro?</w:t>
      </w:r>
    </w:p>
    <w:p w14:paraId="1E8F5B6D" w14:textId="77777777" w:rsidR="005E5F3C" w:rsidRDefault="005E5F3C" w:rsidP="005E5F3C">
      <w:pPr>
        <w:ind w:right="-234"/>
        <w:jc w:val="both"/>
        <w:rPr>
          <w:rFonts w:ascii="Arial" w:hAnsi="Arial" w:cs="Arial"/>
          <w:b/>
          <w:sz w:val="28"/>
          <w:szCs w:val="28"/>
        </w:rPr>
      </w:pPr>
    </w:p>
    <w:p w14:paraId="7CB3167F" w14:textId="77777777" w:rsidR="005E5F3C" w:rsidRPr="000557BB" w:rsidRDefault="005E5F3C" w:rsidP="005E5F3C">
      <w:pPr>
        <w:ind w:left="-284" w:right="-234"/>
        <w:jc w:val="both"/>
        <w:rPr>
          <w:rFonts w:ascii="Arial" w:hAnsi="Arial" w:cs="Arial"/>
          <w:b/>
          <w:sz w:val="28"/>
          <w:szCs w:val="28"/>
          <w:lang w:val="es-MX"/>
        </w:rPr>
      </w:pPr>
      <w:r w:rsidRPr="000557BB">
        <w:rPr>
          <w:rFonts w:ascii="Arial" w:hAnsi="Arial" w:cs="Arial"/>
          <w:b/>
          <w:sz w:val="28"/>
          <w:szCs w:val="28"/>
          <w:lang w:val="es-MX"/>
        </w:rPr>
        <w:t>50.- CORPORACIÓN AUTÓNOMA REGIONAL DE CHIVOR – CORPOCHIVOR.</w:t>
      </w:r>
    </w:p>
    <w:p w14:paraId="7D730549" w14:textId="77777777" w:rsidR="005E5F3C" w:rsidRDefault="005E5F3C" w:rsidP="005E5F3C">
      <w:pPr>
        <w:ind w:left="-284" w:right="49"/>
        <w:jc w:val="both"/>
        <w:rPr>
          <w:rFonts w:ascii="Arial" w:hAnsi="Arial" w:cs="Arial"/>
          <w:b/>
          <w:sz w:val="28"/>
          <w:szCs w:val="28"/>
          <w:lang w:val="es-MX"/>
        </w:rPr>
      </w:pPr>
    </w:p>
    <w:p w14:paraId="409ECB2A" w14:textId="77777777" w:rsidR="005E5F3C" w:rsidRPr="00601ACF" w:rsidRDefault="005E5F3C" w:rsidP="005E5F3C">
      <w:pPr>
        <w:pStyle w:val="Textoindependiente"/>
        <w:ind w:left="-284" w:right="-234"/>
        <w:jc w:val="both"/>
        <w:rPr>
          <w:rFonts w:ascii="Arial" w:hAnsi="Arial" w:cs="Arial"/>
          <w:bCs/>
          <w:sz w:val="24"/>
          <w:szCs w:val="24"/>
        </w:rPr>
      </w:pPr>
      <w:r w:rsidRPr="00601ACF">
        <w:rPr>
          <w:rFonts w:ascii="Arial" w:hAnsi="Arial" w:cs="Arial"/>
          <w:b/>
          <w:sz w:val="24"/>
          <w:szCs w:val="24"/>
        </w:rPr>
        <w:t xml:space="preserve">-NOTA: 27. PATRIMONIO. </w:t>
      </w:r>
      <w:r w:rsidRPr="00601ACF">
        <w:rPr>
          <w:rFonts w:ascii="Arial" w:hAnsi="Arial" w:cs="Arial"/>
          <w:bCs/>
          <w:sz w:val="24"/>
          <w:szCs w:val="24"/>
        </w:rPr>
        <w:t>Conformado por las subcuentas capital fiscal, resultado de ejercicios anteriores y resultado del ejercicio.</w:t>
      </w:r>
    </w:p>
    <w:p w14:paraId="26E4D7A9" w14:textId="77777777" w:rsidR="005E5F3C" w:rsidRPr="00601ACF" w:rsidRDefault="005E5F3C" w:rsidP="005E5F3C">
      <w:pPr>
        <w:pStyle w:val="Textoindependiente"/>
        <w:ind w:right="-50"/>
        <w:jc w:val="both"/>
        <w:rPr>
          <w:rFonts w:ascii="Arial" w:hAnsi="Arial" w:cs="Arial"/>
          <w:b/>
          <w:sz w:val="24"/>
          <w:szCs w:val="24"/>
        </w:rPr>
      </w:pPr>
    </w:p>
    <w:p w14:paraId="34323A39" w14:textId="77777777" w:rsidR="005E5F3C" w:rsidRDefault="005E5F3C" w:rsidP="005E5F3C">
      <w:pPr>
        <w:pStyle w:val="Textoindependiente"/>
        <w:ind w:right="-50"/>
        <w:jc w:val="center"/>
        <w:rPr>
          <w:b/>
        </w:rPr>
      </w:pPr>
      <w:r>
        <w:rPr>
          <w:b/>
        </w:rPr>
        <w:t>Composición</w:t>
      </w:r>
    </w:p>
    <w:p w14:paraId="05F06FA8" w14:textId="77777777" w:rsidR="005E5F3C" w:rsidRDefault="005E5F3C" w:rsidP="005E5F3C">
      <w:pPr>
        <w:pStyle w:val="Textoindependiente"/>
        <w:ind w:right="-50"/>
        <w:jc w:val="both"/>
        <w:rPr>
          <w:b/>
        </w:rPr>
      </w:pPr>
    </w:p>
    <w:p w14:paraId="73F8366D" w14:textId="77777777" w:rsidR="005E5F3C" w:rsidRDefault="005E5F3C" w:rsidP="005E5F3C">
      <w:pPr>
        <w:pStyle w:val="Textoindependiente"/>
        <w:ind w:right="-50"/>
        <w:jc w:val="center"/>
        <w:rPr>
          <w:b/>
        </w:rPr>
      </w:pPr>
      <w:r w:rsidRPr="00984380">
        <w:rPr>
          <w:b/>
          <w:noProof/>
          <w:lang w:val="es-CO" w:eastAsia="es-CO"/>
        </w:rPr>
        <w:drawing>
          <wp:inline distT="0" distB="0" distL="0" distR="0" wp14:anchorId="76453503" wp14:editId="580FB1F8">
            <wp:extent cx="4867275" cy="1590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7275" cy="1590675"/>
                    </a:xfrm>
                    <a:prstGeom prst="rect">
                      <a:avLst/>
                    </a:prstGeom>
                  </pic:spPr>
                </pic:pic>
              </a:graphicData>
            </a:graphic>
          </wp:inline>
        </w:drawing>
      </w:r>
    </w:p>
    <w:p w14:paraId="144CEEDC" w14:textId="77777777" w:rsidR="005E5F3C" w:rsidRDefault="005E5F3C" w:rsidP="005E5F3C">
      <w:pPr>
        <w:pStyle w:val="Textoindependiente"/>
        <w:ind w:right="-50"/>
        <w:jc w:val="both"/>
        <w:rPr>
          <w:b/>
        </w:rPr>
      </w:pPr>
    </w:p>
    <w:p w14:paraId="667419C1" w14:textId="77777777" w:rsidR="005E5F3C" w:rsidRPr="00601ACF" w:rsidRDefault="005E5F3C" w:rsidP="005E5F3C">
      <w:pPr>
        <w:pStyle w:val="Textoindependiente"/>
        <w:ind w:left="-284" w:right="-234"/>
        <w:jc w:val="both"/>
        <w:rPr>
          <w:rFonts w:ascii="Arial" w:hAnsi="Arial" w:cs="Arial"/>
          <w:sz w:val="24"/>
          <w:szCs w:val="24"/>
        </w:rPr>
      </w:pPr>
      <w:r w:rsidRPr="00601ACF">
        <w:rPr>
          <w:rFonts w:ascii="Arial" w:hAnsi="Arial" w:cs="Arial"/>
          <w:b/>
          <w:sz w:val="24"/>
          <w:szCs w:val="24"/>
        </w:rPr>
        <w:t xml:space="preserve">NOTA: </w:t>
      </w:r>
      <w:r w:rsidRPr="00601ACF">
        <w:rPr>
          <w:rFonts w:ascii="Arial" w:hAnsi="Arial" w:cs="Arial"/>
          <w:sz w:val="24"/>
          <w:szCs w:val="24"/>
        </w:rPr>
        <w:t>El valor de la variación patrimonial reflejado en el cuadro anterior de las notas a los estados financieros esta errado, de acuerdo a esta auditoria debería ser:  $(1.139.988.289,86).</w:t>
      </w:r>
    </w:p>
    <w:p w14:paraId="0F0CE4EC" w14:textId="77777777" w:rsidR="005E5F3C" w:rsidRDefault="005E5F3C" w:rsidP="005E5F3C">
      <w:pPr>
        <w:ind w:right="-234"/>
        <w:jc w:val="both"/>
        <w:rPr>
          <w:rFonts w:ascii="Arial" w:hAnsi="Arial" w:cs="Arial"/>
          <w:b/>
          <w:sz w:val="28"/>
          <w:szCs w:val="28"/>
        </w:rPr>
      </w:pPr>
    </w:p>
    <w:p w14:paraId="7CB6E31C" w14:textId="77777777" w:rsidR="005E5F3C" w:rsidRPr="00197447" w:rsidRDefault="005E5F3C" w:rsidP="005E5F3C">
      <w:pPr>
        <w:ind w:left="-284"/>
        <w:jc w:val="both"/>
        <w:rPr>
          <w:rFonts w:ascii="Arial" w:hAnsi="Arial" w:cs="Arial"/>
          <w:b/>
          <w:sz w:val="28"/>
          <w:szCs w:val="28"/>
          <w:lang w:val="es-MX"/>
        </w:rPr>
      </w:pPr>
      <w:r w:rsidRPr="00197447">
        <w:rPr>
          <w:rFonts w:ascii="Arial" w:hAnsi="Arial" w:cs="Arial"/>
          <w:b/>
          <w:sz w:val="28"/>
          <w:szCs w:val="28"/>
          <w:lang w:val="es-MX"/>
        </w:rPr>
        <w:t>52.- CLUB MILITAR DE OFICIALES.</w:t>
      </w:r>
    </w:p>
    <w:p w14:paraId="0F339DEA" w14:textId="77777777" w:rsidR="005E5F3C" w:rsidRDefault="005E5F3C" w:rsidP="005E5F3C">
      <w:pPr>
        <w:ind w:right="-234"/>
        <w:jc w:val="both"/>
        <w:rPr>
          <w:rFonts w:ascii="Arial" w:hAnsi="Arial" w:cs="Arial"/>
          <w:b/>
          <w:sz w:val="28"/>
          <w:szCs w:val="28"/>
        </w:rPr>
      </w:pPr>
    </w:p>
    <w:p w14:paraId="4A3DCD7C" w14:textId="77777777" w:rsidR="005E5F3C" w:rsidRPr="00EC5A44" w:rsidRDefault="005E5F3C" w:rsidP="005E5F3C">
      <w:pPr>
        <w:pStyle w:val="Textoindependiente"/>
        <w:ind w:left="-284" w:right="-234"/>
        <w:jc w:val="both"/>
        <w:rPr>
          <w:rFonts w:ascii="Arial" w:hAnsi="Arial" w:cs="Arial"/>
          <w:sz w:val="24"/>
          <w:szCs w:val="24"/>
        </w:rPr>
      </w:pPr>
      <w:r w:rsidRPr="00EC5A44">
        <w:rPr>
          <w:rFonts w:ascii="Arial" w:hAnsi="Arial" w:cs="Arial"/>
          <w:b/>
          <w:bCs/>
          <w:sz w:val="24"/>
          <w:szCs w:val="24"/>
        </w:rPr>
        <w:t xml:space="preserve">NOTA: </w:t>
      </w:r>
      <w:r w:rsidRPr="00EC5A44">
        <w:rPr>
          <w:rFonts w:ascii="Arial" w:hAnsi="Arial" w:cs="Arial"/>
          <w:sz w:val="24"/>
          <w:szCs w:val="24"/>
        </w:rPr>
        <w:t>Al comparar los saldos de las cuentas de Patrimonio expresados en el Estado de Situación Financiera, con los expresados en el Informe de Saldos y Movimientos encontramos diferencias así:</w:t>
      </w:r>
    </w:p>
    <w:p w14:paraId="4000DFB8" w14:textId="77777777" w:rsidR="005E5F3C" w:rsidRPr="00EC5A44" w:rsidRDefault="005E5F3C" w:rsidP="005E5F3C">
      <w:pPr>
        <w:pStyle w:val="Textoindependiente"/>
        <w:ind w:right="-50"/>
        <w:jc w:val="both"/>
        <w:rPr>
          <w:rFonts w:ascii="Arial" w:hAnsi="Arial" w:cs="Arial"/>
          <w:sz w:val="24"/>
          <w:szCs w:val="24"/>
        </w:rPr>
      </w:pPr>
    </w:p>
    <w:tbl>
      <w:tblPr>
        <w:tblStyle w:val="Tablaconcuadrcula"/>
        <w:tblW w:w="0" w:type="auto"/>
        <w:tblLook w:val="04A0" w:firstRow="1" w:lastRow="0" w:firstColumn="1" w:lastColumn="0" w:noHBand="0" w:noVBand="1"/>
      </w:tblPr>
      <w:tblGrid>
        <w:gridCol w:w="3397"/>
        <w:gridCol w:w="3119"/>
        <w:gridCol w:w="3446"/>
      </w:tblGrid>
      <w:tr w:rsidR="005E5F3C" w:rsidRPr="00E9610C" w14:paraId="38659F69" w14:textId="77777777" w:rsidTr="00D4226B">
        <w:tc>
          <w:tcPr>
            <w:tcW w:w="3397" w:type="dxa"/>
          </w:tcPr>
          <w:p w14:paraId="7C936F3B" w14:textId="77777777" w:rsidR="005E5F3C" w:rsidRPr="00E9610C" w:rsidRDefault="005E5F3C" w:rsidP="00D4226B">
            <w:pPr>
              <w:pStyle w:val="Textoindependiente"/>
              <w:ind w:right="-50"/>
              <w:jc w:val="center"/>
              <w:rPr>
                <w:b/>
              </w:rPr>
            </w:pPr>
            <w:r w:rsidRPr="00E9610C">
              <w:rPr>
                <w:b/>
              </w:rPr>
              <w:t>Patrimonio</w:t>
            </w:r>
          </w:p>
        </w:tc>
        <w:tc>
          <w:tcPr>
            <w:tcW w:w="3119" w:type="dxa"/>
          </w:tcPr>
          <w:p w14:paraId="3F1F1F06" w14:textId="77777777" w:rsidR="005E5F3C" w:rsidRPr="00E9610C" w:rsidRDefault="005E5F3C" w:rsidP="00D4226B">
            <w:pPr>
              <w:pStyle w:val="Textoindependiente"/>
              <w:ind w:right="-50"/>
              <w:jc w:val="center"/>
              <w:rPr>
                <w:b/>
              </w:rPr>
            </w:pPr>
            <w:r w:rsidRPr="00E9610C">
              <w:rPr>
                <w:b/>
              </w:rPr>
              <w:t>Estado de situación Financiera</w:t>
            </w:r>
          </w:p>
          <w:p w14:paraId="27F5F4EF" w14:textId="77777777" w:rsidR="005E5F3C" w:rsidRPr="00E9610C" w:rsidRDefault="005E5F3C" w:rsidP="00D4226B">
            <w:pPr>
              <w:pStyle w:val="Textoindependiente"/>
              <w:ind w:right="-50"/>
              <w:jc w:val="center"/>
              <w:rPr>
                <w:b/>
              </w:rPr>
            </w:pPr>
            <w:r w:rsidRPr="00E9610C">
              <w:rPr>
                <w:b/>
              </w:rPr>
              <w:t>Miles</w:t>
            </w:r>
          </w:p>
        </w:tc>
        <w:tc>
          <w:tcPr>
            <w:tcW w:w="3446" w:type="dxa"/>
          </w:tcPr>
          <w:p w14:paraId="21C240CE" w14:textId="77777777" w:rsidR="005E5F3C" w:rsidRPr="00E9610C" w:rsidRDefault="005E5F3C" w:rsidP="00D4226B">
            <w:pPr>
              <w:pStyle w:val="Textoindependiente"/>
              <w:ind w:right="-50"/>
              <w:jc w:val="center"/>
              <w:rPr>
                <w:b/>
              </w:rPr>
            </w:pPr>
            <w:r w:rsidRPr="00E9610C">
              <w:rPr>
                <w:b/>
              </w:rPr>
              <w:t>Informe de Saldos y Movimientos</w:t>
            </w:r>
          </w:p>
          <w:p w14:paraId="343CD95B" w14:textId="77777777" w:rsidR="005E5F3C" w:rsidRDefault="005E5F3C" w:rsidP="00D4226B">
            <w:pPr>
              <w:pStyle w:val="Textoindependiente"/>
              <w:ind w:right="-50"/>
              <w:jc w:val="center"/>
              <w:rPr>
                <w:b/>
              </w:rPr>
            </w:pPr>
            <w:r w:rsidRPr="00E9610C">
              <w:rPr>
                <w:b/>
              </w:rPr>
              <w:t>Pesos</w:t>
            </w:r>
          </w:p>
          <w:p w14:paraId="1D6B4C95" w14:textId="77777777" w:rsidR="005E5F3C" w:rsidRPr="00E9610C" w:rsidRDefault="005E5F3C" w:rsidP="00D4226B">
            <w:pPr>
              <w:pStyle w:val="Textoindependiente"/>
              <w:ind w:right="-50"/>
              <w:jc w:val="center"/>
              <w:rPr>
                <w:b/>
              </w:rPr>
            </w:pPr>
          </w:p>
        </w:tc>
      </w:tr>
      <w:tr w:rsidR="005E5F3C" w:rsidRPr="00E9610C" w14:paraId="65D32093" w14:textId="77777777" w:rsidTr="00D4226B">
        <w:tc>
          <w:tcPr>
            <w:tcW w:w="3397" w:type="dxa"/>
          </w:tcPr>
          <w:p w14:paraId="2DA14A39" w14:textId="77777777" w:rsidR="005E5F3C" w:rsidRPr="00E9610C" w:rsidRDefault="005E5F3C" w:rsidP="00D4226B">
            <w:pPr>
              <w:pStyle w:val="Textoindependiente"/>
              <w:ind w:right="-50"/>
              <w:jc w:val="both"/>
              <w:rPr>
                <w:bCs/>
              </w:rPr>
            </w:pPr>
            <w:r>
              <w:rPr>
                <w:bCs/>
              </w:rPr>
              <w:t>Capital Fiscal</w:t>
            </w:r>
          </w:p>
        </w:tc>
        <w:tc>
          <w:tcPr>
            <w:tcW w:w="3119" w:type="dxa"/>
          </w:tcPr>
          <w:p w14:paraId="1FA946B3" w14:textId="77777777" w:rsidR="005E5F3C" w:rsidRPr="00E9610C" w:rsidRDefault="005E5F3C" w:rsidP="00D4226B">
            <w:pPr>
              <w:pStyle w:val="Textoindependiente"/>
              <w:ind w:right="-50"/>
              <w:jc w:val="right"/>
              <w:rPr>
                <w:bCs/>
              </w:rPr>
            </w:pPr>
            <w:r>
              <w:rPr>
                <w:bCs/>
              </w:rPr>
              <w:t>46.633.492</w:t>
            </w:r>
          </w:p>
        </w:tc>
        <w:tc>
          <w:tcPr>
            <w:tcW w:w="3446" w:type="dxa"/>
          </w:tcPr>
          <w:p w14:paraId="3C09FA46" w14:textId="77777777" w:rsidR="005E5F3C" w:rsidRPr="00E9610C" w:rsidRDefault="005E5F3C" w:rsidP="00D4226B">
            <w:pPr>
              <w:pStyle w:val="Textoindependiente"/>
              <w:ind w:right="-50"/>
              <w:jc w:val="right"/>
              <w:rPr>
                <w:bCs/>
              </w:rPr>
            </w:pPr>
            <w:r>
              <w:rPr>
                <w:bCs/>
              </w:rPr>
              <w:t>47.969.675.070.91</w:t>
            </w:r>
          </w:p>
        </w:tc>
      </w:tr>
      <w:tr w:rsidR="005E5F3C" w:rsidRPr="00E9610C" w14:paraId="79950C18" w14:textId="77777777" w:rsidTr="00D4226B">
        <w:tc>
          <w:tcPr>
            <w:tcW w:w="3397" w:type="dxa"/>
          </w:tcPr>
          <w:p w14:paraId="6F959CBD" w14:textId="77777777" w:rsidR="005E5F3C" w:rsidRPr="00E9610C" w:rsidRDefault="005E5F3C" w:rsidP="00D4226B">
            <w:pPr>
              <w:pStyle w:val="Textoindependiente"/>
              <w:ind w:right="-50"/>
              <w:jc w:val="both"/>
              <w:rPr>
                <w:bCs/>
              </w:rPr>
            </w:pPr>
            <w:r>
              <w:rPr>
                <w:bCs/>
              </w:rPr>
              <w:t>Resultados Acumulados</w:t>
            </w:r>
          </w:p>
        </w:tc>
        <w:tc>
          <w:tcPr>
            <w:tcW w:w="3119" w:type="dxa"/>
          </w:tcPr>
          <w:p w14:paraId="59AAE9BB" w14:textId="77777777" w:rsidR="005E5F3C" w:rsidRPr="00E9610C" w:rsidRDefault="005E5F3C" w:rsidP="00D4226B">
            <w:pPr>
              <w:pStyle w:val="Textoindependiente"/>
              <w:ind w:right="-50"/>
              <w:jc w:val="right"/>
              <w:rPr>
                <w:bCs/>
              </w:rPr>
            </w:pPr>
            <w:r>
              <w:rPr>
                <w:bCs/>
              </w:rPr>
              <w:t>114.693.214</w:t>
            </w:r>
          </w:p>
        </w:tc>
        <w:tc>
          <w:tcPr>
            <w:tcW w:w="3446" w:type="dxa"/>
          </w:tcPr>
          <w:p w14:paraId="0CD59A81" w14:textId="77777777" w:rsidR="005E5F3C" w:rsidRPr="00E9610C" w:rsidRDefault="005E5F3C" w:rsidP="00D4226B">
            <w:pPr>
              <w:pStyle w:val="Textoindependiente"/>
              <w:ind w:right="-50"/>
              <w:jc w:val="right"/>
              <w:rPr>
                <w:bCs/>
              </w:rPr>
            </w:pPr>
          </w:p>
        </w:tc>
      </w:tr>
      <w:tr w:rsidR="005E5F3C" w:rsidRPr="00E9610C" w14:paraId="033B7D12" w14:textId="77777777" w:rsidTr="00D4226B">
        <w:tc>
          <w:tcPr>
            <w:tcW w:w="3397" w:type="dxa"/>
          </w:tcPr>
          <w:p w14:paraId="65FDEEA0" w14:textId="77777777" w:rsidR="005E5F3C" w:rsidRPr="00E9610C" w:rsidRDefault="005E5F3C" w:rsidP="00D4226B">
            <w:pPr>
              <w:pStyle w:val="Textoindependiente"/>
              <w:ind w:right="-50"/>
              <w:jc w:val="both"/>
              <w:rPr>
                <w:bCs/>
              </w:rPr>
            </w:pPr>
            <w:r>
              <w:rPr>
                <w:bCs/>
              </w:rPr>
              <w:t>Utilidades o excedentes acumulados</w:t>
            </w:r>
          </w:p>
        </w:tc>
        <w:tc>
          <w:tcPr>
            <w:tcW w:w="3119" w:type="dxa"/>
          </w:tcPr>
          <w:p w14:paraId="59B85E58" w14:textId="77777777" w:rsidR="005E5F3C" w:rsidRPr="00E9610C" w:rsidRDefault="005E5F3C" w:rsidP="00D4226B">
            <w:pPr>
              <w:pStyle w:val="Textoindependiente"/>
              <w:ind w:right="-50"/>
              <w:jc w:val="right"/>
              <w:rPr>
                <w:bCs/>
              </w:rPr>
            </w:pPr>
          </w:p>
        </w:tc>
        <w:tc>
          <w:tcPr>
            <w:tcW w:w="3446" w:type="dxa"/>
          </w:tcPr>
          <w:p w14:paraId="1108373B" w14:textId="77777777" w:rsidR="005E5F3C" w:rsidRPr="00E9610C" w:rsidRDefault="005E5F3C" w:rsidP="00D4226B">
            <w:pPr>
              <w:pStyle w:val="Textoindependiente"/>
              <w:ind w:right="-50"/>
              <w:jc w:val="right"/>
              <w:rPr>
                <w:bCs/>
              </w:rPr>
            </w:pPr>
            <w:r>
              <w:rPr>
                <w:bCs/>
              </w:rPr>
              <w:t>119.064.230.253.63</w:t>
            </w:r>
          </w:p>
        </w:tc>
      </w:tr>
      <w:tr w:rsidR="005E5F3C" w:rsidRPr="00E9610C" w14:paraId="35BC93C0" w14:textId="77777777" w:rsidTr="00D4226B">
        <w:tc>
          <w:tcPr>
            <w:tcW w:w="3397" w:type="dxa"/>
          </w:tcPr>
          <w:p w14:paraId="1C39DC94" w14:textId="77777777" w:rsidR="005E5F3C" w:rsidRDefault="005E5F3C" w:rsidP="00D4226B">
            <w:pPr>
              <w:pStyle w:val="Textoindependiente"/>
              <w:ind w:right="-50"/>
              <w:jc w:val="both"/>
              <w:rPr>
                <w:bCs/>
              </w:rPr>
            </w:pPr>
            <w:r>
              <w:rPr>
                <w:bCs/>
              </w:rPr>
              <w:t>Ganancias o pérdidas por beneficios posempleo</w:t>
            </w:r>
          </w:p>
        </w:tc>
        <w:tc>
          <w:tcPr>
            <w:tcW w:w="3119" w:type="dxa"/>
          </w:tcPr>
          <w:p w14:paraId="72CFE6B7" w14:textId="77777777" w:rsidR="005E5F3C" w:rsidRPr="00E9610C" w:rsidRDefault="005E5F3C" w:rsidP="00D4226B">
            <w:pPr>
              <w:pStyle w:val="Textoindependiente"/>
              <w:ind w:right="-50"/>
              <w:jc w:val="right"/>
              <w:rPr>
                <w:bCs/>
              </w:rPr>
            </w:pPr>
            <w:r>
              <w:rPr>
                <w:bCs/>
              </w:rPr>
              <w:t>-17.616.227</w:t>
            </w:r>
          </w:p>
        </w:tc>
        <w:tc>
          <w:tcPr>
            <w:tcW w:w="3446" w:type="dxa"/>
          </w:tcPr>
          <w:p w14:paraId="2CD3003B" w14:textId="77777777" w:rsidR="005E5F3C" w:rsidRDefault="005E5F3C" w:rsidP="00D4226B">
            <w:pPr>
              <w:pStyle w:val="Textoindependiente"/>
              <w:ind w:right="-50"/>
              <w:jc w:val="right"/>
              <w:rPr>
                <w:bCs/>
              </w:rPr>
            </w:pPr>
            <w:r>
              <w:rPr>
                <w:bCs/>
              </w:rPr>
              <w:t>-21.717.772.013.14</w:t>
            </w:r>
          </w:p>
        </w:tc>
      </w:tr>
    </w:tbl>
    <w:p w14:paraId="1E7D0F0F" w14:textId="77777777" w:rsidR="005E5F3C" w:rsidRDefault="005E5F3C" w:rsidP="005E5F3C">
      <w:pPr>
        <w:pStyle w:val="Textoindependiente"/>
        <w:ind w:right="-50"/>
        <w:jc w:val="both"/>
        <w:rPr>
          <w:b/>
          <w:sz w:val="28"/>
          <w:szCs w:val="28"/>
        </w:rPr>
      </w:pPr>
    </w:p>
    <w:p w14:paraId="3EB771EA" w14:textId="77777777" w:rsidR="005E5F3C" w:rsidRDefault="005E5F3C" w:rsidP="005E5F3C">
      <w:pPr>
        <w:ind w:left="-284" w:right="-234"/>
        <w:jc w:val="both"/>
        <w:rPr>
          <w:rFonts w:ascii="Arial" w:hAnsi="Arial" w:cs="Arial"/>
          <w:b/>
          <w:sz w:val="28"/>
          <w:szCs w:val="28"/>
        </w:rPr>
      </w:pPr>
      <w:r w:rsidRPr="005D52AA">
        <w:rPr>
          <w:rFonts w:ascii="Arial" w:hAnsi="Arial" w:cs="Arial"/>
          <w:b/>
          <w:sz w:val="28"/>
          <w:szCs w:val="28"/>
        </w:rPr>
        <w:t xml:space="preserve">80.- UNIDAD ADMINISTRATIVA ESPECIAL DE ALIMENTACIÓN ESCOLAR - ALIMENTOS PARA APRENDER. </w:t>
      </w:r>
    </w:p>
    <w:p w14:paraId="12E8BB77" w14:textId="77777777" w:rsidR="005E5F3C" w:rsidRPr="000E4818" w:rsidRDefault="005E5F3C" w:rsidP="005E5F3C">
      <w:pPr>
        <w:widowControl/>
        <w:autoSpaceDE/>
        <w:autoSpaceDN/>
        <w:ind w:left="-284" w:right="-234"/>
        <w:jc w:val="both"/>
        <w:rPr>
          <w:rFonts w:ascii="Arial" w:eastAsiaTheme="minorHAnsi" w:hAnsi="Arial" w:cs="Arial"/>
          <w:sz w:val="24"/>
          <w:szCs w:val="24"/>
          <w:lang w:val="es-CO"/>
        </w:rPr>
      </w:pPr>
      <w:r w:rsidRPr="000E4818">
        <w:rPr>
          <w:rFonts w:ascii="Arial" w:eastAsiaTheme="minorHAnsi" w:hAnsi="Arial" w:cs="Arial"/>
          <w:b/>
          <w:sz w:val="24"/>
          <w:szCs w:val="24"/>
        </w:rPr>
        <w:lastRenderedPageBreak/>
        <w:t>NOTA:</w:t>
      </w:r>
      <w:r w:rsidRPr="000E4818">
        <w:rPr>
          <w:rFonts w:ascii="Arial" w:eastAsiaTheme="minorHAnsi" w:hAnsi="Arial" w:cs="Arial"/>
          <w:sz w:val="24"/>
          <w:szCs w:val="24"/>
        </w:rPr>
        <w:t xml:space="preserve"> Observamos </w:t>
      </w:r>
      <w:r w:rsidRPr="000E4818">
        <w:rPr>
          <w:rFonts w:ascii="Arial" w:eastAsiaTheme="minorHAnsi" w:hAnsi="Arial" w:cs="Arial"/>
          <w:sz w:val="24"/>
          <w:szCs w:val="24"/>
          <w:lang w:val="es-CO"/>
        </w:rPr>
        <w:t xml:space="preserve">en el Estado de Cambios en el Patrimonio a 31 de diciembre de 2024 diferencias en los saldos así: </w:t>
      </w:r>
    </w:p>
    <w:p w14:paraId="056C81AD" w14:textId="77777777" w:rsidR="005E5F3C" w:rsidRPr="000E4818" w:rsidRDefault="005E5F3C" w:rsidP="005E5F3C">
      <w:pPr>
        <w:widowControl/>
        <w:autoSpaceDE/>
        <w:autoSpaceDN/>
        <w:jc w:val="both"/>
        <w:rPr>
          <w:rFonts w:ascii="Arial" w:eastAsiaTheme="minorHAnsi" w:hAnsi="Arial" w:cs="Arial"/>
          <w:sz w:val="24"/>
          <w:szCs w:val="24"/>
          <w:lang w:val="es-CO"/>
        </w:rPr>
      </w:pPr>
    </w:p>
    <w:p w14:paraId="2EB77B3A" w14:textId="5B6A2018" w:rsidR="005E5F3C" w:rsidRPr="00C01FCF" w:rsidRDefault="005E5F3C" w:rsidP="005E5F3C">
      <w:pPr>
        <w:ind w:left="-284"/>
        <w:jc w:val="both"/>
        <w:rPr>
          <w:rFonts w:ascii="Arial" w:hAnsi="Arial" w:cs="Arial"/>
          <w:b/>
          <w:sz w:val="28"/>
          <w:szCs w:val="28"/>
          <w:lang w:val="es-MX"/>
        </w:rPr>
      </w:pPr>
      <w:r w:rsidRPr="00C01FCF">
        <w:rPr>
          <w:rFonts w:ascii="Arial" w:hAnsi="Arial" w:cs="Arial"/>
          <w:b/>
          <w:sz w:val="28"/>
          <w:szCs w:val="28"/>
          <w:lang w:val="es-MX"/>
        </w:rPr>
        <w:t>188.-</w:t>
      </w:r>
      <w:r w:rsidR="00A85772">
        <w:rPr>
          <w:rFonts w:ascii="Arial" w:hAnsi="Arial" w:cs="Arial"/>
          <w:b/>
          <w:sz w:val="28"/>
          <w:szCs w:val="28"/>
          <w:lang w:val="es-MX"/>
        </w:rPr>
        <w:t xml:space="preserve"> </w:t>
      </w:r>
      <w:r w:rsidRPr="00C01FCF">
        <w:rPr>
          <w:rFonts w:ascii="Arial" w:hAnsi="Arial" w:cs="Arial"/>
          <w:b/>
          <w:sz w:val="28"/>
          <w:szCs w:val="28"/>
          <w:lang w:val="es-MX"/>
        </w:rPr>
        <w:t>BANCO AGRARIO DE COLOMBIA S.A.</w:t>
      </w:r>
    </w:p>
    <w:p w14:paraId="4FFF2E72" w14:textId="77777777" w:rsidR="005E5F3C" w:rsidRPr="00D80337" w:rsidRDefault="005E5F3C" w:rsidP="005E5F3C">
      <w:pPr>
        <w:pStyle w:val="Textoindependiente"/>
        <w:ind w:right="-50"/>
        <w:jc w:val="both"/>
        <w:rPr>
          <w:b/>
          <w:sz w:val="28"/>
          <w:szCs w:val="28"/>
          <w:lang w:val="es-CO"/>
        </w:rPr>
      </w:pPr>
    </w:p>
    <w:p w14:paraId="0BA5A51B" w14:textId="77777777" w:rsidR="005E5F3C" w:rsidRPr="00DB29E8" w:rsidRDefault="005E5F3C" w:rsidP="005E5F3C">
      <w:pPr>
        <w:pStyle w:val="Textoindependiente"/>
        <w:ind w:left="-284" w:right="-234"/>
        <w:jc w:val="both"/>
        <w:rPr>
          <w:rFonts w:ascii="Arial" w:hAnsi="Arial" w:cs="Arial"/>
          <w:b/>
          <w:sz w:val="24"/>
          <w:szCs w:val="24"/>
        </w:rPr>
      </w:pPr>
      <w:r w:rsidRPr="00DB29E8">
        <w:rPr>
          <w:rFonts w:ascii="Arial" w:hAnsi="Arial" w:cs="Arial"/>
          <w:b/>
          <w:sz w:val="24"/>
          <w:szCs w:val="24"/>
        </w:rPr>
        <w:t>Al comparar los Estados Financieros con el formulario de saldos y movimientos encontramos diferencias en el Activo, Pasivo y Patrimonio así:</w:t>
      </w:r>
    </w:p>
    <w:p w14:paraId="6CBBC08B" w14:textId="77777777" w:rsidR="005E5F3C" w:rsidRPr="00C01FCF" w:rsidRDefault="005E5F3C" w:rsidP="005E5F3C">
      <w:pPr>
        <w:pStyle w:val="Textoindependiente"/>
        <w:ind w:left="-284"/>
        <w:jc w:val="both"/>
        <w:rPr>
          <w:rFonts w:ascii="Arial" w:hAnsi="Arial" w:cs="Arial"/>
          <w:b/>
        </w:rPr>
      </w:pPr>
    </w:p>
    <w:tbl>
      <w:tblPr>
        <w:tblStyle w:val="Tablaconcuadrcula"/>
        <w:tblW w:w="0" w:type="auto"/>
        <w:jc w:val="center"/>
        <w:tblLook w:val="04A0" w:firstRow="1" w:lastRow="0" w:firstColumn="1" w:lastColumn="0" w:noHBand="0" w:noVBand="1"/>
      </w:tblPr>
      <w:tblGrid>
        <w:gridCol w:w="2516"/>
        <w:gridCol w:w="3878"/>
        <w:gridCol w:w="3661"/>
      </w:tblGrid>
      <w:tr w:rsidR="005E5F3C" w:rsidRPr="00C01FCF" w14:paraId="758FB8DA" w14:textId="77777777" w:rsidTr="00D4226B">
        <w:trPr>
          <w:jc w:val="center"/>
        </w:trPr>
        <w:tc>
          <w:tcPr>
            <w:tcW w:w="2552" w:type="dxa"/>
          </w:tcPr>
          <w:p w14:paraId="79D67620" w14:textId="77777777" w:rsidR="005E5F3C" w:rsidRPr="00C01FCF" w:rsidRDefault="005E5F3C" w:rsidP="00D4226B">
            <w:pPr>
              <w:pStyle w:val="Textoindependiente"/>
              <w:ind w:left="-284"/>
              <w:jc w:val="center"/>
              <w:rPr>
                <w:rFonts w:ascii="Arial" w:hAnsi="Arial" w:cs="Arial"/>
                <w:b/>
              </w:rPr>
            </w:pPr>
            <w:r w:rsidRPr="00C01FCF">
              <w:rPr>
                <w:rFonts w:ascii="Arial" w:hAnsi="Arial" w:cs="Arial"/>
                <w:b/>
              </w:rPr>
              <w:t>CUENTA</w:t>
            </w:r>
          </w:p>
        </w:tc>
        <w:tc>
          <w:tcPr>
            <w:tcW w:w="3969" w:type="dxa"/>
          </w:tcPr>
          <w:p w14:paraId="337E9D8A" w14:textId="77777777" w:rsidR="005E5F3C" w:rsidRPr="00C01FCF" w:rsidRDefault="005E5F3C" w:rsidP="00D4226B">
            <w:pPr>
              <w:pStyle w:val="Textoindependiente"/>
              <w:ind w:left="-284"/>
              <w:jc w:val="center"/>
              <w:rPr>
                <w:rFonts w:ascii="Arial" w:hAnsi="Arial" w:cs="Arial"/>
                <w:b/>
              </w:rPr>
            </w:pPr>
            <w:r w:rsidRPr="00C01FCF">
              <w:rPr>
                <w:rFonts w:ascii="Arial" w:hAnsi="Arial" w:cs="Arial"/>
                <w:b/>
              </w:rPr>
              <w:t>ESTADO DE SITUACION FINANICERA</w:t>
            </w:r>
          </w:p>
          <w:p w14:paraId="1B6E90F9" w14:textId="77777777" w:rsidR="005E5F3C" w:rsidRPr="00C01FCF" w:rsidRDefault="005E5F3C" w:rsidP="00D4226B">
            <w:pPr>
              <w:pStyle w:val="Textoindependiente"/>
              <w:ind w:left="-284"/>
              <w:jc w:val="center"/>
              <w:rPr>
                <w:rFonts w:ascii="Arial" w:hAnsi="Arial" w:cs="Arial"/>
                <w:b/>
              </w:rPr>
            </w:pPr>
            <w:r w:rsidRPr="00C01FCF">
              <w:rPr>
                <w:rFonts w:ascii="Arial" w:hAnsi="Arial" w:cs="Arial"/>
                <w:b/>
              </w:rPr>
              <w:t>(Miles de pesos)</w:t>
            </w:r>
          </w:p>
        </w:tc>
        <w:tc>
          <w:tcPr>
            <w:tcW w:w="3730" w:type="dxa"/>
          </w:tcPr>
          <w:p w14:paraId="7BBC7220" w14:textId="77777777" w:rsidR="005E5F3C" w:rsidRPr="00C01FCF" w:rsidRDefault="005E5F3C" w:rsidP="00D4226B">
            <w:pPr>
              <w:pStyle w:val="Textoindependiente"/>
              <w:ind w:left="-284"/>
              <w:jc w:val="center"/>
              <w:rPr>
                <w:rFonts w:ascii="Arial" w:hAnsi="Arial" w:cs="Arial"/>
                <w:b/>
              </w:rPr>
            </w:pPr>
            <w:r w:rsidRPr="00C01FCF">
              <w:rPr>
                <w:rFonts w:ascii="Arial" w:hAnsi="Arial" w:cs="Arial"/>
                <w:b/>
              </w:rPr>
              <w:t>SALDOS Y MOVIMIENTOS</w:t>
            </w:r>
          </w:p>
          <w:p w14:paraId="07733562" w14:textId="77777777" w:rsidR="005E5F3C" w:rsidRPr="00C01FCF" w:rsidRDefault="005E5F3C" w:rsidP="00D4226B">
            <w:pPr>
              <w:pStyle w:val="Textoindependiente"/>
              <w:ind w:left="-284"/>
              <w:jc w:val="center"/>
              <w:rPr>
                <w:rFonts w:ascii="Arial" w:hAnsi="Arial" w:cs="Arial"/>
                <w:b/>
              </w:rPr>
            </w:pPr>
            <w:r w:rsidRPr="00C01FCF">
              <w:rPr>
                <w:rFonts w:ascii="Arial" w:hAnsi="Arial" w:cs="Arial"/>
                <w:b/>
              </w:rPr>
              <w:t>(Pesos)</w:t>
            </w:r>
          </w:p>
          <w:p w14:paraId="69D39889" w14:textId="77777777" w:rsidR="005E5F3C" w:rsidRPr="00C01FCF" w:rsidRDefault="005E5F3C" w:rsidP="00D4226B">
            <w:pPr>
              <w:pStyle w:val="Textoindependiente"/>
              <w:ind w:left="-284"/>
              <w:jc w:val="center"/>
              <w:rPr>
                <w:rFonts w:ascii="Arial" w:hAnsi="Arial" w:cs="Arial"/>
                <w:b/>
              </w:rPr>
            </w:pPr>
          </w:p>
        </w:tc>
      </w:tr>
      <w:tr w:rsidR="005E5F3C" w:rsidRPr="00C01FCF" w14:paraId="3D23B5F8" w14:textId="77777777" w:rsidTr="00D4226B">
        <w:trPr>
          <w:jc w:val="center"/>
        </w:trPr>
        <w:tc>
          <w:tcPr>
            <w:tcW w:w="2552" w:type="dxa"/>
          </w:tcPr>
          <w:p w14:paraId="25B3716B" w14:textId="77777777" w:rsidR="005E5F3C" w:rsidRPr="00C01FCF" w:rsidRDefault="005E5F3C" w:rsidP="00D4226B">
            <w:pPr>
              <w:pStyle w:val="Textoindependiente"/>
              <w:jc w:val="both"/>
              <w:rPr>
                <w:rFonts w:ascii="Arial" w:hAnsi="Arial" w:cs="Arial"/>
                <w:b/>
              </w:rPr>
            </w:pPr>
            <w:r w:rsidRPr="00C01FCF">
              <w:rPr>
                <w:rFonts w:ascii="Arial" w:hAnsi="Arial" w:cs="Arial"/>
                <w:b/>
              </w:rPr>
              <w:t xml:space="preserve">ACTIVO </w:t>
            </w:r>
          </w:p>
        </w:tc>
        <w:tc>
          <w:tcPr>
            <w:tcW w:w="3969" w:type="dxa"/>
          </w:tcPr>
          <w:p w14:paraId="7012D0D6" w14:textId="77777777" w:rsidR="005E5F3C" w:rsidRPr="00C01FCF" w:rsidRDefault="005E5F3C" w:rsidP="00D4226B">
            <w:pPr>
              <w:pStyle w:val="Textoindependiente"/>
              <w:ind w:left="-284"/>
              <w:jc w:val="right"/>
              <w:rPr>
                <w:rFonts w:ascii="Arial" w:hAnsi="Arial" w:cs="Arial"/>
              </w:rPr>
            </w:pPr>
            <w:r w:rsidRPr="00C01FCF">
              <w:rPr>
                <w:rFonts w:ascii="Arial" w:hAnsi="Arial" w:cs="Arial"/>
              </w:rPr>
              <w:t>38.484.445.173</w:t>
            </w:r>
          </w:p>
        </w:tc>
        <w:tc>
          <w:tcPr>
            <w:tcW w:w="3730" w:type="dxa"/>
          </w:tcPr>
          <w:p w14:paraId="1CE2A013" w14:textId="77777777" w:rsidR="005E5F3C" w:rsidRPr="00C01FCF" w:rsidRDefault="005E5F3C" w:rsidP="00D4226B">
            <w:pPr>
              <w:pStyle w:val="Textoindependiente"/>
              <w:ind w:left="-284"/>
              <w:jc w:val="right"/>
              <w:rPr>
                <w:rFonts w:ascii="Arial" w:hAnsi="Arial" w:cs="Arial"/>
              </w:rPr>
            </w:pPr>
            <w:r w:rsidRPr="00C01FCF">
              <w:rPr>
                <w:rFonts w:ascii="Arial" w:hAnsi="Arial" w:cs="Arial"/>
              </w:rPr>
              <w:t>38.646.528.458.885</w:t>
            </w:r>
          </w:p>
        </w:tc>
      </w:tr>
      <w:tr w:rsidR="005E5F3C" w:rsidRPr="00C01FCF" w14:paraId="09DAC020" w14:textId="77777777" w:rsidTr="00D4226B">
        <w:trPr>
          <w:jc w:val="center"/>
        </w:trPr>
        <w:tc>
          <w:tcPr>
            <w:tcW w:w="2552" w:type="dxa"/>
          </w:tcPr>
          <w:p w14:paraId="1E08C65C" w14:textId="77777777" w:rsidR="005E5F3C" w:rsidRPr="00C01FCF" w:rsidRDefault="005E5F3C" w:rsidP="00D4226B">
            <w:pPr>
              <w:pStyle w:val="Textoindependiente"/>
              <w:jc w:val="both"/>
              <w:rPr>
                <w:rFonts w:ascii="Arial" w:hAnsi="Arial" w:cs="Arial"/>
                <w:b/>
              </w:rPr>
            </w:pPr>
            <w:r w:rsidRPr="00C01FCF">
              <w:rPr>
                <w:rFonts w:ascii="Arial" w:hAnsi="Arial" w:cs="Arial"/>
                <w:b/>
              </w:rPr>
              <w:t xml:space="preserve">PASIVO </w:t>
            </w:r>
          </w:p>
        </w:tc>
        <w:tc>
          <w:tcPr>
            <w:tcW w:w="3969" w:type="dxa"/>
          </w:tcPr>
          <w:p w14:paraId="51AE740A" w14:textId="77777777" w:rsidR="005E5F3C" w:rsidRPr="00C01FCF" w:rsidRDefault="005E5F3C" w:rsidP="00D4226B">
            <w:pPr>
              <w:pStyle w:val="Textoindependiente"/>
              <w:ind w:left="-284"/>
              <w:jc w:val="right"/>
              <w:rPr>
                <w:rFonts w:ascii="Arial" w:hAnsi="Arial" w:cs="Arial"/>
              </w:rPr>
            </w:pPr>
            <w:r w:rsidRPr="00C01FCF">
              <w:rPr>
                <w:rFonts w:ascii="Arial" w:hAnsi="Arial" w:cs="Arial"/>
              </w:rPr>
              <w:t>35.477.931.211</w:t>
            </w:r>
          </w:p>
        </w:tc>
        <w:tc>
          <w:tcPr>
            <w:tcW w:w="3730" w:type="dxa"/>
          </w:tcPr>
          <w:p w14:paraId="2CA67B73" w14:textId="77777777" w:rsidR="005E5F3C" w:rsidRPr="00C01FCF" w:rsidRDefault="005E5F3C" w:rsidP="00D4226B">
            <w:pPr>
              <w:pStyle w:val="Textoindependiente"/>
              <w:ind w:left="-284"/>
              <w:jc w:val="right"/>
              <w:rPr>
                <w:rFonts w:ascii="Arial" w:hAnsi="Arial" w:cs="Arial"/>
              </w:rPr>
            </w:pPr>
            <w:r w:rsidRPr="00C01FCF">
              <w:rPr>
                <w:rFonts w:ascii="Arial" w:hAnsi="Arial" w:cs="Arial"/>
              </w:rPr>
              <w:t>35.641.497.114.889</w:t>
            </w:r>
          </w:p>
        </w:tc>
      </w:tr>
      <w:tr w:rsidR="005E5F3C" w:rsidRPr="00C01FCF" w14:paraId="5617EB8D" w14:textId="77777777" w:rsidTr="00D4226B">
        <w:trPr>
          <w:jc w:val="center"/>
        </w:trPr>
        <w:tc>
          <w:tcPr>
            <w:tcW w:w="2552" w:type="dxa"/>
          </w:tcPr>
          <w:p w14:paraId="28093AD5" w14:textId="77777777" w:rsidR="005E5F3C" w:rsidRPr="00C01FCF" w:rsidRDefault="005E5F3C" w:rsidP="00D4226B">
            <w:pPr>
              <w:pStyle w:val="Textoindependiente"/>
              <w:jc w:val="both"/>
              <w:rPr>
                <w:rFonts w:ascii="Arial" w:hAnsi="Arial" w:cs="Arial"/>
                <w:b/>
              </w:rPr>
            </w:pPr>
            <w:r w:rsidRPr="00C01FCF">
              <w:rPr>
                <w:rFonts w:ascii="Arial" w:hAnsi="Arial" w:cs="Arial"/>
                <w:b/>
              </w:rPr>
              <w:t>PATRIMONIO</w:t>
            </w:r>
          </w:p>
        </w:tc>
        <w:tc>
          <w:tcPr>
            <w:tcW w:w="3969" w:type="dxa"/>
          </w:tcPr>
          <w:p w14:paraId="0522C17E" w14:textId="77777777" w:rsidR="005E5F3C" w:rsidRPr="00C01FCF" w:rsidRDefault="005E5F3C" w:rsidP="00D4226B">
            <w:pPr>
              <w:pStyle w:val="Textoindependiente"/>
              <w:ind w:left="-284"/>
              <w:jc w:val="right"/>
              <w:rPr>
                <w:rFonts w:ascii="Arial" w:hAnsi="Arial" w:cs="Arial"/>
              </w:rPr>
            </w:pPr>
            <w:r w:rsidRPr="00C01FCF">
              <w:rPr>
                <w:rFonts w:ascii="Arial" w:hAnsi="Arial" w:cs="Arial"/>
              </w:rPr>
              <w:t>3.006.513.962</w:t>
            </w:r>
          </w:p>
        </w:tc>
        <w:tc>
          <w:tcPr>
            <w:tcW w:w="3730" w:type="dxa"/>
          </w:tcPr>
          <w:p w14:paraId="2165B686" w14:textId="77777777" w:rsidR="005E5F3C" w:rsidRPr="00C01FCF" w:rsidRDefault="005E5F3C" w:rsidP="00D4226B">
            <w:pPr>
              <w:pStyle w:val="Textoindependiente"/>
              <w:ind w:left="-284"/>
              <w:jc w:val="right"/>
              <w:rPr>
                <w:rFonts w:ascii="Arial" w:hAnsi="Arial" w:cs="Arial"/>
              </w:rPr>
            </w:pPr>
            <w:r w:rsidRPr="00C01FCF">
              <w:rPr>
                <w:rFonts w:ascii="Arial" w:hAnsi="Arial" w:cs="Arial"/>
              </w:rPr>
              <w:t>3.005.031.343.996</w:t>
            </w:r>
          </w:p>
        </w:tc>
      </w:tr>
    </w:tbl>
    <w:p w14:paraId="6EB454E4" w14:textId="77777777" w:rsidR="005E5F3C" w:rsidRDefault="005E5F3C" w:rsidP="005E5F3C">
      <w:pPr>
        <w:pStyle w:val="Textoindependiente"/>
        <w:ind w:left="-284" w:right="-50"/>
        <w:jc w:val="both"/>
        <w:rPr>
          <w:rFonts w:ascii="Arial" w:hAnsi="Arial" w:cs="Arial"/>
          <w:b/>
          <w:sz w:val="28"/>
          <w:szCs w:val="28"/>
        </w:rPr>
      </w:pPr>
    </w:p>
    <w:p w14:paraId="17299269" w14:textId="77777777" w:rsidR="005E5F3C" w:rsidRPr="00C01FCF" w:rsidRDefault="005E5F3C" w:rsidP="005E5F3C">
      <w:pPr>
        <w:pStyle w:val="Textoindependiente"/>
        <w:ind w:left="-284" w:right="-50"/>
        <w:jc w:val="both"/>
        <w:rPr>
          <w:rFonts w:ascii="Arial" w:hAnsi="Arial" w:cs="Arial"/>
          <w:b/>
          <w:sz w:val="28"/>
          <w:szCs w:val="28"/>
        </w:rPr>
      </w:pPr>
    </w:p>
    <w:p w14:paraId="30E2890F" w14:textId="77777777" w:rsidR="005E5F3C" w:rsidRDefault="005E5F3C" w:rsidP="005E5F3C">
      <w:pPr>
        <w:pStyle w:val="Textoindependiente"/>
        <w:ind w:right="-50"/>
        <w:jc w:val="center"/>
        <w:rPr>
          <w:b/>
          <w:sz w:val="28"/>
          <w:szCs w:val="28"/>
        </w:rPr>
      </w:pPr>
      <w:r w:rsidRPr="00607C51">
        <w:rPr>
          <w:noProof/>
          <w:lang w:val="es-CO" w:eastAsia="es-CO"/>
        </w:rPr>
        <w:drawing>
          <wp:inline distT="0" distB="0" distL="0" distR="0" wp14:anchorId="6D2B56ED" wp14:editId="32B2A827">
            <wp:extent cx="5191125" cy="2508754"/>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1708" cy="2528367"/>
                    </a:xfrm>
                    <a:prstGeom prst="rect">
                      <a:avLst/>
                    </a:prstGeom>
                  </pic:spPr>
                </pic:pic>
              </a:graphicData>
            </a:graphic>
          </wp:inline>
        </w:drawing>
      </w:r>
    </w:p>
    <w:p w14:paraId="7DB0BFCA" w14:textId="77777777" w:rsidR="005E5F3C" w:rsidRDefault="005E5F3C" w:rsidP="005E5F3C">
      <w:pPr>
        <w:pStyle w:val="Textoindependiente"/>
        <w:ind w:right="-50"/>
        <w:jc w:val="both"/>
        <w:rPr>
          <w:b/>
          <w:sz w:val="28"/>
          <w:szCs w:val="28"/>
        </w:rPr>
      </w:pPr>
    </w:p>
    <w:p w14:paraId="00BAA332" w14:textId="77777777" w:rsidR="005E5F3C" w:rsidRPr="000E4818" w:rsidRDefault="005E5F3C" w:rsidP="005E5F3C">
      <w:pPr>
        <w:widowControl/>
        <w:autoSpaceDE/>
        <w:autoSpaceDN/>
        <w:ind w:left="-284" w:right="-234"/>
        <w:jc w:val="both"/>
        <w:rPr>
          <w:rFonts w:ascii="Arial" w:eastAsiaTheme="minorHAnsi" w:hAnsi="Arial" w:cs="Arial"/>
          <w:sz w:val="24"/>
          <w:szCs w:val="24"/>
          <w:lang w:val="es-MX"/>
        </w:rPr>
      </w:pPr>
      <w:r w:rsidRPr="000E4818">
        <w:rPr>
          <w:rFonts w:ascii="Arial" w:eastAsiaTheme="minorHAnsi" w:hAnsi="Arial" w:cs="Arial"/>
          <w:sz w:val="24"/>
          <w:szCs w:val="24"/>
          <w:lang w:val="es-MX"/>
        </w:rPr>
        <w:t xml:space="preserve">El Estado de Cambios en el Patrimonio enviado por la entidad no concuerda con los saldos del Patrimonio del Estado de Situación Financiera tanto en la vigencia 2024 como en la vigencia 2023 </w:t>
      </w:r>
    </w:p>
    <w:p w14:paraId="13135D8E" w14:textId="77777777" w:rsidR="005E5F3C" w:rsidRPr="000E4818" w:rsidRDefault="005E5F3C" w:rsidP="005E5F3C">
      <w:pPr>
        <w:widowControl/>
        <w:autoSpaceDE/>
        <w:autoSpaceDN/>
        <w:ind w:left="-284" w:right="-234"/>
        <w:jc w:val="both"/>
        <w:rPr>
          <w:rFonts w:ascii="Arial" w:eastAsiaTheme="minorHAnsi" w:hAnsi="Arial" w:cs="Arial"/>
          <w:sz w:val="24"/>
          <w:szCs w:val="24"/>
          <w:lang w:val="es-CO"/>
        </w:rPr>
      </w:pPr>
    </w:p>
    <w:p w14:paraId="68F8C064" w14:textId="77777777" w:rsidR="005E5F3C" w:rsidRPr="000E4818" w:rsidRDefault="005E5F3C" w:rsidP="005E5F3C">
      <w:pPr>
        <w:widowControl/>
        <w:autoSpaceDE/>
        <w:autoSpaceDN/>
        <w:ind w:left="-284" w:right="-234"/>
        <w:jc w:val="both"/>
        <w:rPr>
          <w:rFonts w:ascii="Arial" w:eastAsiaTheme="minorHAnsi" w:hAnsi="Arial" w:cs="Arial"/>
          <w:sz w:val="24"/>
          <w:szCs w:val="24"/>
          <w:lang w:val="es-CO"/>
        </w:rPr>
      </w:pPr>
      <w:r w:rsidRPr="000E4818">
        <w:rPr>
          <w:rFonts w:ascii="Arial" w:eastAsiaTheme="minorHAnsi" w:hAnsi="Arial" w:cs="Arial"/>
          <w:sz w:val="24"/>
          <w:szCs w:val="24"/>
          <w:lang w:val="es-CO"/>
        </w:rPr>
        <w:t>En el Estado de Situación Financiera a 31 de diciembre de 2024, presentan saldo del patrimonio por valor de $(223.346.964.448,65)</w:t>
      </w:r>
    </w:p>
    <w:p w14:paraId="29F99D53" w14:textId="77777777" w:rsidR="005E5F3C" w:rsidRPr="000E4818" w:rsidRDefault="005E5F3C" w:rsidP="005E5F3C">
      <w:pPr>
        <w:widowControl/>
        <w:autoSpaceDE/>
        <w:autoSpaceDN/>
        <w:ind w:left="-284" w:right="-234"/>
        <w:jc w:val="both"/>
        <w:rPr>
          <w:rFonts w:ascii="Arial" w:eastAsiaTheme="minorHAnsi" w:hAnsi="Arial" w:cs="Arial"/>
          <w:sz w:val="24"/>
          <w:szCs w:val="24"/>
          <w:lang w:val="es-CO"/>
        </w:rPr>
      </w:pPr>
    </w:p>
    <w:p w14:paraId="681544FA" w14:textId="77777777" w:rsidR="005E5F3C" w:rsidRDefault="005E5F3C" w:rsidP="005E5F3C">
      <w:pPr>
        <w:widowControl/>
        <w:autoSpaceDE/>
        <w:autoSpaceDN/>
        <w:ind w:left="-284" w:right="-234"/>
        <w:jc w:val="both"/>
        <w:rPr>
          <w:rFonts w:ascii="Arial" w:eastAsiaTheme="minorHAnsi" w:hAnsi="Arial" w:cs="Arial"/>
          <w:sz w:val="24"/>
          <w:szCs w:val="24"/>
          <w:lang w:val="es-CO"/>
        </w:rPr>
      </w:pPr>
      <w:r w:rsidRPr="000E4818">
        <w:rPr>
          <w:rFonts w:ascii="Arial" w:eastAsiaTheme="minorHAnsi" w:hAnsi="Arial" w:cs="Arial"/>
          <w:sz w:val="24"/>
          <w:szCs w:val="24"/>
          <w:lang w:val="es-CO"/>
        </w:rPr>
        <w:t>¿Cuál es la razón para que se presente esta diferencia tan considerable y que sea repetitiva vigencia tras vigencia?</w:t>
      </w:r>
    </w:p>
    <w:p w14:paraId="13042422" w14:textId="77777777" w:rsidR="005E5F3C" w:rsidRDefault="005E5F3C" w:rsidP="005E5F3C">
      <w:pPr>
        <w:widowControl/>
        <w:autoSpaceDE/>
        <w:autoSpaceDN/>
        <w:ind w:left="-284" w:right="-234"/>
        <w:jc w:val="both"/>
        <w:rPr>
          <w:rFonts w:ascii="Arial" w:eastAsiaTheme="minorHAnsi" w:hAnsi="Arial" w:cs="Arial"/>
          <w:sz w:val="24"/>
          <w:szCs w:val="24"/>
          <w:lang w:val="es-CO"/>
        </w:rPr>
      </w:pPr>
    </w:p>
    <w:p w14:paraId="20EAE2C0" w14:textId="77777777" w:rsidR="005E5F3C" w:rsidRPr="00A2623E" w:rsidRDefault="005E5F3C" w:rsidP="005E5F3C">
      <w:pPr>
        <w:pStyle w:val="Prrafodelista"/>
        <w:ind w:left="-284" w:right="-234"/>
        <w:rPr>
          <w:rFonts w:ascii="Arial" w:hAnsi="Arial" w:cs="Arial"/>
          <w:b/>
          <w:sz w:val="28"/>
          <w:szCs w:val="28"/>
          <w:lang w:val="es-MX"/>
        </w:rPr>
      </w:pPr>
      <w:bookmarkStart w:id="29" w:name="_Hlk198297306"/>
      <w:r w:rsidRPr="00A2623E">
        <w:rPr>
          <w:rFonts w:ascii="Arial" w:hAnsi="Arial" w:cs="Arial"/>
          <w:b/>
          <w:sz w:val="28"/>
          <w:szCs w:val="28"/>
          <w:lang w:val="es-MX"/>
        </w:rPr>
        <w:t xml:space="preserve">92.- E.S.P. CENTRALES ELECTRICAS DE NARIÑO S.A. – CEDENAR. </w:t>
      </w:r>
    </w:p>
    <w:bookmarkEnd w:id="29"/>
    <w:p w14:paraId="6E09B4A4" w14:textId="77777777" w:rsidR="005E5F3C" w:rsidRPr="00A2623E" w:rsidRDefault="005E5F3C" w:rsidP="005E5F3C">
      <w:pPr>
        <w:widowControl/>
        <w:autoSpaceDE/>
        <w:autoSpaceDN/>
        <w:ind w:left="-284" w:right="-234"/>
        <w:jc w:val="both"/>
        <w:rPr>
          <w:rFonts w:ascii="Arial" w:eastAsiaTheme="minorHAnsi" w:hAnsi="Arial" w:cs="Arial"/>
          <w:sz w:val="24"/>
          <w:szCs w:val="24"/>
          <w:lang w:val="es-MX"/>
        </w:rPr>
      </w:pPr>
    </w:p>
    <w:p w14:paraId="0563F011" w14:textId="77777777" w:rsidR="005E5F3C" w:rsidRPr="00DB29E8" w:rsidRDefault="005E5F3C" w:rsidP="005E5F3C">
      <w:pPr>
        <w:pStyle w:val="Textoindependiente"/>
        <w:ind w:left="-284" w:right="-234"/>
        <w:jc w:val="both"/>
        <w:rPr>
          <w:rFonts w:ascii="Arial" w:hAnsi="Arial" w:cs="Arial"/>
          <w:b/>
          <w:sz w:val="24"/>
          <w:szCs w:val="24"/>
        </w:rPr>
      </w:pPr>
      <w:bookmarkStart w:id="30" w:name="_Hlk198297334"/>
      <w:r w:rsidRPr="00DB29E8">
        <w:rPr>
          <w:rFonts w:ascii="Arial" w:hAnsi="Arial" w:cs="Arial"/>
          <w:b/>
          <w:sz w:val="24"/>
          <w:szCs w:val="24"/>
        </w:rPr>
        <w:t>-Al comparar los Estados Financieros con el formulario de saldos y movimientos encontramos diferencias en el Activo y Pasivo así:</w:t>
      </w:r>
    </w:p>
    <w:p w14:paraId="65FD72A6" w14:textId="77777777" w:rsidR="005E5F3C" w:rsidRPr="00DB29E8" w:rsidRDefault="005E5F3C" w:rsidP="005E5F3C">
      <w:pPr>
        <w:pStyle w:val="Textoindependiente"/>
        <w:ind w:right="-50"/>
        <w:jc w:val="both"/>
        <w:rPr>
          <w:rFonts w:ascii="Arial" w:hAnsi="Arial" w:cs="Arial"/>
          <w:b/>
          <w:sz w:val="24"/>
          <w:szCs w:val="24"/>
        </w:rPr>
      </w:pPr>
    </w:p>
    <w:tbl>
      <w:tblPr>
        <w:tblStyle w:val="Tablaconcuadrcula"/>
        <w:tblW w:w="0" w:type="auto"/>
        <w:tblLook w:val="04A0" w:firstRow="1" w:lastRow="0" w:firstColumn="1" w:lastColumn="0" w:noHBand="0" w:noVBand="1"/>
      </w:tblPr>
      <w:tblGrid>
        <w:gridCol w:w="2263"/>
        <w:gridCol w:w="3969"/>
        <w:gridCol w:w="3730"/>
      </w:tblGrid>
      <w:tr w:rsidR="005E5F3C" w:rsidRPr="00A2623E" w14:paraId="3A21E408" w14:textId="77777777" w:rsidTr="00D4226B">
        <w:tc>
          <w:tcPr>
            <w:tcW w:w="2263" w:type="dxa"/>
          </w:tcPr>
          <w:p w14:paraId="4724262B" w14:textId="77777777" w:rsidR="005E5F3C" w:rsidRPr="00A2623E" w:rsidRDefault="005E5F3C" w:rsidP="00D4226B">
            <w:pPr>
              <w:pStyle w:val="Textoindependiente"/>
              <w:ind w:right="-50"/>
              <w:jc w:val="center"/>
              <w:rPr>
                <w:rFonts w:ascii="Arial" w:hAnsi="Arial" w:cs="Arial"/>
                <w:b/>
              </w:rPr>
            </w:pPr>
            <w:r w:rsidRPr="00A2623E">
              <w:rPr>
                <w:rFonts w:ascii="Arial" w:hAnsi="Arial" w:cs="Arial"/>
                <w:b/>
              </w:rPr>
              <w:t>CUENTA</w:t>
            </w:r>
          </w:p>
        </w:tc>
        <w:tc>
          <w:tcPr>
            <w:tcW w:w="3969" w:type="dxa"/>
          </w:tcPr>
          <w:p w14:paraId="50D90D9F" w14:textId="77777777" w:rsidR="005E5F3C" w:rsidRPr="00A2623E" w:rsidRDefault="005E5F3C" w:rsidP="00D4226B">
            <w:pPr>
              <w:pStyle w:val="Textoindependiente"/>
              <w:ind w:right="-50"/>
              <w:jc w:val="center"/>
              <w:rPr>
                <w:rFonts w:ascii="Arial" w:hAnsi="Arial" w:cs="Arial"/>
                <w:b/>
              </w:rPr>
            </w:pPr>
            <w:r w:rsidRPr="00A2623E">
              <w:rPr>
                <w:rFonts w:ascii="Arial" w:hAnsi="Arial" w:cs="Arial"/>
                <w:b/>
              </w:rPr>
              <w:t>ESTADO DE SITUACION FINANICERA</w:t>
            </w:r>
          </w:p>
          <w:p w14:paraId="31EC69F9" w14:textId="77777777" w:rsidR="005E5F3C" w:rsidRPr="00A2623E" w:rsidRDefault="005E5F3C" w:rsidP="00D4226B">
            <w:pPr>
              <w:pStyle w:val="Textoindependiente"/>
              <w:ind w:right="-50"/>
              <w:jc w:val="center"/>
              <w:rPr>
                <w:rFonts w:ascii="Arial" w:hAnsi="Arial" w:cs="Arial"/>
                <w:b/>
              </w:rPr>
            </w:pPr>
            <w:r w:rsidRPr="00A2623E">
              <w:rPr>
                <w:rFonts w:ascii="Arial" w:hAnsi="Arial" w:cs="Arial"/>
                <w:b/>
              </w:rPr>
              <w:t>(Miles de pesos)</w:t>
            </w:r>
          </w:p>
        </w:tc>
        <w:tc>
          <w:tcPr>
            <w:tcW w:w="3730" w:type="dxa"/>
          </w:tcPr>
          <w:p w14:paraId="55AA4DCC" w14:textId="77777777" w:rsidR="005E5F3C" w:rsidRPr="00A2623E" w:rsidRDefault="005E5F3C" w:rsidP="00D4226B">
            <w:pPr>
              <w:pStyle w:val="Textoindependiente"/>
              <w:ind w:right="-50"/>
              <w:jc w:val="center"/>
              <w:rPr>
                <w:rFonts w:ascii="Arial" w:hAnsi="Arial" w:cs="Arial"/>
                <w:b/>
              </w:rPr>
            </w:pPr>
            <w:r w:rsidRPr="00A2623E">
              <w:rPr>
                <w:rFonts w:ascii="Arial" w:hAnsi="Arial" w:cs="Arial"/>
                <w:b/>
              </w:rPr>
              <w:t>SALDOS Y MOVIMIENTOS</w:t>
            </w:r>
          </w:p>
          <w:p w14:paraId="01776ADF" w14:textId="77777777" w:rsidR="005E5F3C" w:rsidRPr="00A2623E" w:rsidRDefault="005E5F3C" w:rsidP="00D4226B">
            <w:pPr>
              <w:pStyle w:val="Textoindependiente"/>
              <w:ind w:right="-50"/>
              <w:jc w:val="center"/>
              <w:rPr>
                <w:rFonts w:ascii="Arial" w:hAnsi="Arial" w:cs="Arial"/>
                <w:b/>
              </w:rPr>
            </w:pPr>
            <w:r w:rsidRPr="00A2623E">
              <w:rPr>
                <w:rFonts w:ascii="Arial" w:hAnsi="Arial" w:cs="Arial"/>
                <w:b/>
              </w:rPr>
              <w:t>(Pesos)</w:t>
            </w:r>
          </w:p>
          <w:p w14:paraId="5D4BA5BB" w14:textId="77777777" w:rsidR="005E5F3C" w:rsidRPr="00A2623E" w:rsidRDefault="005E5F3C" w:rsidP="00D4226B">
            <w:pPr>
              <w:pStyle w:val="Textoindependiente"/>
              <w:ind w:right="-50"/>
              <w:jc w:val="center"/>
              <w:rPr>
                <w:rFonts w:ascii="Arial" w:hAnsi="Arial" w:cs="Arial"/>
                <w:b/>
              </w:rPr>
            </w:pPr>
          </w:p>
        </w:tc>
      </w:tr>
      <w:tr w:rsidR="005E5F3C" w:rsidRPr="00A2623E" w14:paraId="5CC38F33" w14:textId="77777777" w:rsidTr="00D4226B">
        <w:tc>
          <w:tcPr>
            <w:tcW w:w="2263" w:type="dxa"/>
          </w:tcPr>
          <w:p w14:paraId="4135D7D4" w14:textId="77777777" w:rsidR="005E5F3C" w:rsidRPr="00A2623E" w:rsidRDefault="005E5F3C" w:rsidP="00D4226B">
            <w:pPr>
              <w:pStyle w:val="Textoindependiente"/>
              <w:ind w:right="-50"/>
              <w:jc w:val="both"/>
              <w:rPr>
                <w:rFonts w:ascii="Arial" w:hAnsi="Arial" w:cs="Arial"/>
                <w:b/>
              </w:rPr>
            </w:pPr>
            <w:r w:rsidRPr="00A2623E">
              <w:rPr>
                <w:rFonts w:ascii="Arial" w:hAnsi="Arial" w:cs="Arial"/>
                <w:b/>
              </w:rPr>
              <w:lastRenderedPageBreak/>
              <w:t xml:space="preserve">ACTIVO </w:t>
            </w:r>
          </w:p>
        </w:tc>
        <w:tc>
          <w:tcPr>
            <w:tcW w:w="3969" w:type="dxa"/>
          </w:tcPr>
          <w:p w14:paraId="49A5C073" w14:textId="77777777" w:rsidR="005E5F3C" w:rsidRPr="00A2623E" w:rsidRDefault="005E5F3C" w:rsidP="00D4226B">
            <w:pPr>
              <w:pStyle w:val="Textoindependiente"/>
              <w:ind w:right="-50"/>
              <w:jc w:val="center"/>
              <w:rPr>
                <w:rFonts w:ascii="Arial" w:hAnsi="Arial" w:cs="Arial"/>
              </w:rPr>
            </w:pPr>
            <w:r w:rsidRPr="00A2623E">
              <w:rPr>
                <w:rFonts w:ascii="Arial" w:hAnsi="Arial" w:cs="Arial"/>
              </w:rPr>
              <w:t>835.585.018</w:t>
            </w:r>
          </w:p>
        </w:tc>
        <w:tc>
          <w:tcPr>
            <w:tcW w:w="3730" w:type="dxa"/>
          </w:tcPr>
          <w:p w14:paraId="76D4CCD9" w14:textId="77777777" w:rsidR="005E5F3C" w:rsidRPr="00A2623E" w:rsidRDefault="005E5F3C" w:rsidP="00D4226B">
            <w:pPr>
              <w:pStyle w:val="Textoindependiente"/>
              <w:ind w:right="-50"/>
              <w:jc w:val="center"/>
              <w:rPr>
                <w:rFonts w:ascii="Arial" w:hAnsi="Arial" w:cs="Arial"/>
              </w:rPr>
            </w:pPr>
            <w:r w:rsidRPr="00A2623E">
              <w:rPr>
                <w:rFonts w:ascii="Arial" w:hAnsi="Arial" w:cs="Arial"/>
              </w:rPr>
              <w:t>864.067.874.512,00</w:t>
            </w:r>
          </w:p>
        </w:tc>
      </w:tr>
      <w:tr w:rsidR="005E5F3C" w:rsidRPr="00A2623E" w14:paraId="69397C6D" w14:textId="77777777" w:rsidTr="00D4226B">
        <w:tc>
          <w:tcPr>
            <w:tcW w:w="2263" w:type="dxa"/>
          </w:tcPr>
          <w:p w14:paraId="555986CB" w14:textId="77777777" w:rsidR="005E5F3C" w:rsidRPr="00A2623E" w:rsidRDefault="005E5F3C" w:rsidP="00D4226B">
            <w:pPr>
              <w:pStyle w:val="Textoindependiente"/>
              <w:ind w:right="-50"/>
              <w:jc w:val="both"/>
              <w:rPr>
                <w:rFonts w:ascii="Arial" w:hAnsi="Arial" w:cs="Arial"/>
                <w:b/>
              </w:rPr>
            </w:pPr>
            <w:r w:rsidRPr="00A2623E">
              <w:rPr>
                <w:rFonts w:ascii="Arial" w:hAnsi="Arial" w:cs="Arial"/>
                <w:b/>
              </w:rPr>
              <w:t xml:space="preserve">PASIVO </w:t>
            </w:r>
          </w:p>
        </w:tc>
        <w:tc>
          <w:tcPr>
            <w:tcW w:w="3969" w:type="dxa"/>
          </w:tcPr>
          <w:p w14:paraId="66950FD5" w14:textId="77777777" w:rsidR="005E5F3C" w:rsidRPr="00A2623E" w:rsidRDefault="005E5F3C" w:rsidP="00D4226B">
            <w:pPr>
              <w:pStyle w:val="Textoindependiente"/>
              <w:ind w:right="-50"/>
              <w:jc w:val="center"/>
              <w:rPr>
                <w:rFonts w:ascii="Arial" w:hAnsi="Arial" w:cs="Arial"/>
              </w:rPr>
            </w:pPr>
            <w:r w:rsidRPr="00A2623E">
              <w:rPr>
                <w:rFonts w:ascii="Arial" w:hAnsi="Arial" w:cs="Arial"/>
              </w:rPr>
              <w:t>480.786.732</w:t>
            </w:r>
          </w:p>
        </w:tc>
        <w:tc>
          <w:tcPr>
            <w:tcW w:w="3730" w:type="dxa"/>
          </w:tcPr>
          <w:p w14:paraId="7F8D4268" w14:textId="77777777" w:rsidR="005E5F3C" w:rsidRPr="00A2623E" w:rsidRDefault="005E5F3C" w:rsidP="00D4226B">
            <w:pPr>
              <w:pStyle w:val="Textoindependiente"/>
              <w:ind w:right="-50"/>
              <w:jc w:val="center"/>
              <w:rPr>
                <w:rFonts w:ascii="Arial" w:hAnsi="Arial" w:cs="Arial"/>
              </w:rPr>
            </w:pPr>
            <w:r w:rsidRPr="00A2623E">
              <w:rPr>
                <w:rFonts w:ascii="Arial" w:hAnsi="Arial" w:cs="Arial"/>
              </w:rPr>
              <w:t>509.269.588.521,00</w:t>
            </w:r>
          </w:p>
        </w:tc>
      </w:tr>
      <w:bookmarkEnd w:id="30"/>
    </w:tbl>
    <w:p w14:paraId="5D674A1F" w14:textId="77777777" w:rsidR="005E5F3C" w:rsidRDefault="005E5F3C" w:rsidP="005E5F3C">
      <w:pPr>
        <w:ind w:right="-234"/>
        <w:jc w:val="both"/>
        <w:rPr>
          <w:rFonts w:ascii="Arial" w:hAnsi="Arial" w:cs="Arial"/>
          <w:b/>
          <w:sz w:val="28"/>
          <w:szCs w:val="28"/>
        </w:rPr>
      </w:pPr>
    </w:p>
    <w:p w14:paraId="5E937003" w14:textId="77777777" w:rsidR="005E5F3C" w:rsidRPr="00B74BD7" w:rsidRDefault="005E5F3C" w:rsidP="005E5F3C">
      <w:pPr>
        <w:ind w:left="-284"/>
        <w:jc w:val="both"/>
        <w:rPr>
          <w:rFonts w:ascii="Arial" w:hAnsi="Arial" w:cs="Arial"/>
          <w:b/>
          <w:sz w:val="32"/>
          <w:szCs w:val="32"/>
        </w:rPr>
      </w:pPr>
      <w:r w:rsidRPr="00B74BD7">
        <w:rPr>
          <w:rFonts w:ascii="Arial" w:hAnsi="Arial" w:cs="Arial"/>
          <w:b/>
          <w:sz w:val="28"/>
          <w:szCs w:val="28"/>
          <w:lang w:val="es-MX"/>
        </w:rPr>
        <w:t>93.- CENTRALES ELECTRICAS DEL CAUCA S.A. E.S.P. – CEDELCA.</w:t>
      </w:r>
    </w:p>
    <w:p w14:paraId="593CFA61" w14:textId="77777777" w:rsidR="005E5F3C" w:rsidRDefault="005E5F3C" w:rsidP="005E5F3C">
      <w:pPr>
        <w:ind w:right="-234"/>
        <w:jc w:val="both"/>
        <w:rPr>
          <w:rFonts w:ascii="Arial" w:hAnsi="Arial" w:cs="Arial"/>
          <w:b/>
          <w:sz w:val="28"/>
          <w:szCs w:val="28"/>
        </w:rPr>
      </w:pPr>
    </w:p>
    <w:p w14:paraId="135E4C88" w14:textId="77777777" w:rsidR="005E5F3C" w:rsidRPr="00B74BD7" w:rsidRDefault="005E5F3C" w:rsidP="005E5F3C">
      <w:pPr>
        <w:pStyle w:val="Textoindependiente"/>
        <w:ind w:left="-284" w:right="-234"/>
        <w:jc w:val="both"/>
        <w:rPr>
          <w:rFonts w:ascii="Arial" w:hAnsi="Arial" w:cs="Arial"/>
          <w:bCs/>
          <w:sz w:val="24"/>
          <w:szCs w:val="24"/>
        </w:rPr>
      </w:pPr>
      <w:r w:rsidRPr="00B74BD7">
        <w:rPr>
          <w:rFonts w:ascii="Arial" w:hAnsi="Arial" w:cs="Arial"/>
          <w:bCs/>
          <w:sz w:val="24"/>
          <w:szCs w:val="24"/>
        </w:rPr>
        <w:t>Una vez revisados los estados financieros y el informe de saldos y movimientos, encontramos que las cifras no coinciden, así:</w:t>
      </w:r>
    </w:p>
    <w:p w14:paraId="23AAC976" w14:textId="77777777" w:rsidR="005E5F3C" w:rsidRPr="00B74BD7" w:rsidRDefault="005E5F3C" w:rsidP="005E5F3C">
      <w:pPr>
        <w:pStyle w:val="Textoindependiente"/>
        <w:ind w:right="-50"/>
        <w:jc w:val="both"/>
        <w:rPr>
          <w:rFonts w:ascii="Arial" w:hAnsi="Arial" w:cs="Arial"/>
          <w:bCs/>
          <w:sz w:val="24"/>
          <w:szCs w:val="24"/>
        </w:rPr>
      </w:pPr>
    </w:p>
    <w:tbl>
      <w:tblPr>
        <w:tblStyle w:val="Tablaconcuadrcula"/>
        <w:tblW w:w="0" w:type="auto"/>
        <w:tblLook w:val="04A0" w:firstRow="1" w:lastRow="0" w:firstColumn="1" w:lastColumn="0" w:noHBand="0" w:noVBand="1"/>
      </w:tblPr>
      <w:tblGrid>
        <w:gridCol w:w="3320"/>
        <w:gridCol w:w="3321"/>
        <w:gridCol w:w="3321"/>
      </w:tblGrid>
      <w:tr w:rsidR="005E5F3C" w:rsidRPr="00B74BD7" w14:paraId="272D963D" w14:textId="77777777" w:rsidTr="00D4226B">
        <w:tc>
          <w:tcPr>
            <w:tcW w:w="3320" w:type="dxa"/>
            <w:tcBorders>
              <w:top w:val="nil"/>
              <w:left w:val="nil"/>
            </w:tcBorders>
          </w:tcPr>
          <w:p w14:paraId="69FF755A" w14:textId="77777777" w:rsidR="005E5F3C" w:rsidRPr="00B74BD7" w:rsidRDefault="005E5F3C" w:rsidP="00D4226B">
            <w:pPr>
              <w:pStyle w:val="Textoindependiente"/>
              <w:ind w:right="-50"/>
              <w:jc w:val="both"/>
              <w:rPr>
                <w:rFonts w:ascii="Arial" w:hAnsi="Arial" w:cs="Arial"/>
                <w:bCs/>
              </w:rPr>
            </w:pPr>
          </w:p>
        </w:tc>
        <w:tc>
          <w:tcPr>
            <w:tcW w:w="3321" w:type="dxa"/>
          </w:tcPr>
          <w:p w14:paraId="0845F476" w14:textId="77777777" w:rsidR="005E5F3C" w:rsidRPr="00B74BD7" w:rsidRDefault="005E5F3C" w:rsidP="00D4226B">
            <w:pPr>
              <w:pStyle w:val="Textoindependiente"/>
              <w:ind w:right="-50"/>
              <w:jc w:val="center"/>
              <w:rPr>
                <w:rFonts w:ascii="Arial" w:hAnsi="Arial" w:cs="Arial"/>
                <w:b/>
              </w:rPr>
            </w:pPr>
            <w:r w:rsidRPr="00B74BD7">
              <w:rPr>
                <w:rFonts w:ascii="Arial" w:hAnsi="Arial" w:cs="Arial"/>
                <w:b/>
              </w:rPr>
              <w:t>Estado de Situación Financiera</w:t>
            </w:r>
          </w:p>
        </w:tc>
        <w:tc>
          <w:tcPr>
            <w:tcW w:w="3321" w:type="dxa"/>
          </w:tcPr>
          <w:p w14:paraId="7EC00285" w14:textId="77777777" w:rsidR="005E5F3C" w:rsidRPr="00B74BD7" w:rsidRDefault="005E5F3C" w:rsidP="00D4226B">
            <w:pPr>
              <w:pStyle w:val="Textoindependiente"/>
              <w:ind w:right="-50"/>
              <w:jc w:val="center"/>
              <w:rPr>
                <w:rFonts w:ascii="Arial" w:hAnsi="Arial" w:cs="Arial"/>
                <w:b/>
              </w:rPr>
            </w:pPr>
            <w:r w:rsidRPr="00B74BD7">
              <w:rPr>
                <w:rFonts w:ascii="Arial" w:hAnsi="Arial" w:cs="Arial"/>
                <w:b/>
              </w:rPr>
              <w:t>Informe de Saldos y Movimientos</w:t>
            </w:r>
          </w:p>
        </w:tc>
      </w:tr>
      <w:tr w:rsidR="005E5F3C" w:rsidRPr="00B74BD7" w14:paraId="78877072" w14:textId="77777777" w:rsidTr="00D4226B">
        <w:tc>
          <w:tcPr>
            <w:tcW w:w="3320" w:type="dxa"/>
          </w:tcPr>
          <w:p w14:paraId="1AE9679F" w14:textId="77777777" w:rsidR="005E5F3C" w:rsidRPr="00B74BD7" w:rsidRDefault="005E5F3C" w:rsidP="00D4226B">
            <w:pPr>
              <w:pStyle w:val="Textoindependiente"/>
              <w:ind w:right="-50"/>
              <w:jc w:val="both"/>
              <w:rPr>
                <w:rFonts w:ascii="Arial" w:hAnsi="Arial" w:cs="Arial"/>
                <w:bCs/>
              </w:rPr>
            </w:pPr>
            <w:r w:rsidRPr="00B74BD7">
              <w:rPr>
                <w:rFonts w:ascii="Arial" w:hAnsi="Arial" w:cs="Arial"/>
                <w:bCs/>
              </w:rPr>
              <w:t>Activo</w:t>
            </w:r>
          </w:p>
        </w:tc>
        <w:tc>
          <w:tcPr>
            <w:tcW w:w="3321" w:type="dxa"/>
          </w:tcPr>
          <w:p w14:paraId="073900DA" w14:textId="77777777" w:rsidR="005E5F3C" w:rsidRPr="00B74BD7" w:rsidRDefault="005E5F3C" w:rsidP="00D4226B">
            <w:pPr>
              <w:pStyle w:val="Textoindependiente"/>
              <w:ind w:right="-50"/>
              <w:jc w:val="center"/>
              <w:rPr>
                <w:rFonts w:ascii="Arial" w:hAnsi="Arial" w:cs="Arial"/>
                <w:bCs/>
              </w:rPr>
            </w:pPr>
            <w:r w:rsidRPr="00B74BD7">
              <w:rPr>
                <w:rFonts w:ascii="Arial" w:hAnsi="Arial" w:cs="Arial"/>
                <w:bCs/>
              </w:rPr>
              <w:t>845.131.961</w:t>
            </w:r>
          </w:p>
        </w:tc>
        <w:tc>
          <w:tcPr>
            <w:tcW w:w="3321" w:type="dxa"/>
          </w:tcPr>
          <w:p w14:paraId="30E2669D" w14:textId="77777777" w:rsidR="005E5F3C" w:rsidRPr="00B74BD7" w:rsidRDefault="005E5F3C" w:rsidP="00D4226B">
            <w:pPr>
              <w:pStyle w:val="Textoindependiente"/>
              <w:ind w:right="-50"/>
              <w:jc w:val="center"/>
              <w:rPr>
                <w:rFonts w:ascii="Arial" w:hAnsi="Arial" w:cs="Arial"/>
                <w:bCs/>
              </w:rPr>
            </w:pPr>
            <w:r w:rsidRPr="00B74BD7">
              <w:rPr>
                <w:rFonts w:ascii="Arial" w:hAnsi="Arial" w:cs="Arial"/>
                <w:bCs/>
              </w:rPr>
              <w:t>845.849.675.984,17</w:t>
            </w:r>
          </w:p>
        </w:tc>
      </w:tr>
      <w:tr w:rsidR="005E5F3C" w:rsidRPr="00B74BD7" w14:paraId="49FCE815" w14:textId="77777777" w:rsidTr="00D4226B">
        <w:tc>
          <w:tcPr>
            <w:tcW w:w="3320" w:type="dxa"/>
          </w:tcPr>
          <w:p w14:paraId="7EF1B654" w14:textId="77777777" w:rsidR="005E5F3C" w:rsidRPr="00B74BD7" w:rsidRDefault="005E5F3C" w:rsidP="00D4226B">
            <w:pPr>
              <w:pStyle w:val="Textoindependiente"/>
              <w:ind w:right="-50"/>
              <w:jc w:val="both"/>
              <w:rPr>
                <w:rFonts w:ascii="Arial" w:hAnsi="Arial" w:cs="Arial"/>
                <w:bCs/>
              </w:rPr>
            </w:pPr>
            <w:r w:rsidRPr="00B74BD7">
              <w:rPr>
                <w:rFonts w:ascii="Arial" w:hAnsi="Arial" w:cs="Arial"/>
                <w:bCs/>
              </w:rPr>
              <w:t>Pasivo</w:t>
            </w:r>
          </w:p>
        </w:tc>
        <w:tc>
          <w:tcPr>
            <w:tcW w:w="3321" w:type="dxa"/>
          </w:tcPr>
          <w:p w14:paraId="19ECAA88" w14:textId="77777777" w:rsidR="005E5F3C" w:rsidRPr="00B74BD7" w:rsidRDefault="005E5F3C" w:rsidP="00D4226B">
            <w:pPr>
              <w:pStyle w:val="Textoindependiente"/>
              <w:ind w:right="-50"/>
              <w:jc w:val="center"/>
              <w:rPr>
                <w:rFonts w:ascii="Arial" w:hAnsi="Arial" w:cs="Arial"/>
                <w:bCs/>
              </w:rPr>
            </w:pPr>
            <w:r w:rsidRPr="00B74BD7">
              <w:rPr>
                <w:rFonts w:ascii="Arial" w:hAnsi="Arial" w:cs="Arial"/>
                <w:bCs/>
              </w:rPr>
              <w:t>473.722.351</w:t>
            </w:r>
          </w:p>
        </w:tc>
        <w:tc>
          <w:tcPr>
            <w:tcW w:w="3321" w:type="dxa"/>
          </w:tcPr>
          <w:p w14:paraId="2756DA2E" w14:textId="77777777" w:rsidR="005E5F3C" w:rsidRPr="00B74BD7" w:rsidRDefault="005E5F3C" w:rsidP="00D4226B">
            <w:pPr>
              <w:pStyle w:val="Textoindependiente"/>
              <w:ind w:right="-50"/>
              <w:jc w:val="center"/>
              <w:rPr>
                <w:rFonts w:ascii="Arial" w:hAnsi="Arial" w:cs="Arial"/>
                <w:bCs/>
              </w:rPr>
            </w:pPr>
            <w:r w:rsidRPr="00B74BD7">
              <w:rPr>
                <w:rFonts w:ascii="Arial" w:hAnsi="Arial" w:cs="Arial"/>
                <w:bCs/>
              </w:rPr>
              <w:t>474.440.065.667,13</w:t>
            </w:r>
          </w:p>
        </w:tc>
      </w:tr>
    </w:tbl>
    <w:p w14:paraId="06605183" w14:textId="77777777" w:rsidR="005E5F3C" w:rsidRPr="00B74BD7" w:rsidRDefault="005E5F3C" w:rsidP="005E5F3C">
      <w:pPr>
        <w:pStyle w:val="Textoindependiente"/>
        <w:ind w:right="-50"/>
        <w:jc w:val="both"/>
        <w:rPr>
          <w:rFonts w:ascii="Arial" w:hAnsi="Arial" w:cs="Arial"/>
          <w:bCs/>
        </w:rPr>
      </w:pPr>
    </w:p>
    <w:p w14:paraId="3823C6F0" w14:textId="77777777" w:rsidR="005E5F3C" w:rsidRPr="00B74BD7" w:rsidRDefault="005E5F3C" w:rsidP="005E5F3C">
      <w:pPr>
        <w:pStyle w:val="Textoindependiente"/>
        <w:ind w:left="-284" w:right="-234"/>
        <w:jc w:val="both"/>
        <w:rPr>
          <w:rFonts w:ascii="Arial" w:hAnsi="Arial" w:cs="Arial"/>
          <w:bCs/>
          <w:sz w:val="24"/>
          <w:szCs w:val="24"/>
        </w:rPr>
      </w:pPr>
      <w:r w:rsidRPr="00B74BD7">
        <w:rPr>
          <w:rFonts w:ascii="Arial" w:hAnsi="Arial" w:cs="Arial"/>
          <w:bCs/>
          <w:sz w:val="24"/>
          <w:szCs w:val="24"/>
        </w:rPr>
        <w:t>Igualmente, el saldo final de efectivo presentado en el estado de flujo de efectivo no coincide con el valor presentado en el efectivo en el estado de situación financiera.</w:t>
      </w:r>
    </w:p>
    <w:p w14:paraId="4F93AF71" w14:textId="77777777" w:rsidR="005E5F3C" w:rsidRPr="00B74BD7" w:rsidRDefault="005E5F3C" w:rsidP="005E5F3C">
      <w:pPr>
        <w:pStyle w:val="Textoindependiente"/>
        <w:ind w:left="-284" w:right="-50"/>
        <w:jc w:val="both"/>
        <w:rPr>
          <w:rFonts w:ascii="Arial" w:hAnsi="Arial" w:cs="Arial"/>
          <w:bCs/>
          <w:sz w:val="24"/>
          <w:szCs w:val="24"/>
        </w:rPr>
      </w:pPr>
    </w:p>
    <w:p w14:paraId="6FBE5C1D" w14:textId="77777777" w:rsidR="005E5F3C" w:rsidRPr="00B74BD7" w:rsidRDefault="005E5F3C" w:rsidP="005E5F3C">
      <w:pPr>
        <w:pStyle w:val="Textoindependiente"/>
        <w:ind w:left="-284" w:right="-50"/>
        <w:jc w:val="both"/>
        <w:rPr>
          <w:rFonts w:ascii="Arial" w:hAnsi="Arial" w:cs="Arial"/>
          <w:bCs/>
          <w:sz w:val="24"/>
          <w:szCs w:val="24"/>
        </w:rPr>
      </w:pPr>
      <w:r w:rsidRPr="00B74BD7">
        <w:rPr>
          <w:rFonts w:ascii="Arial" w:hAnsi="Arial" w:cs="Arial"/>
          <w:bCs/>
          <w:sz w:val="24"/>
          <w:szCs w:val="24"/>
        </w:rPr>
        <w:t>Estado de flujo de efectivo:</w:t>
      </w:r>
      <w:r w:rsidRPr="00B74BD7">
        <w:rPr>
          <w:rFonts w:ascii="Arial" w:hAnsi="Arial" w:cs="Arial"/>
          <w:bCs/>
          <w:sz w:val="24"/>
          <w:szCs w:val="24"/>
        </w:rPr>
        <w:tab/>
      </w:r>
      <w:r w:rsidRPr="00B74BD7">
        <w:rPr>
          <w:rFonts w:ascii="Arial" w:hAnsi="Arial" w:cs="Arial"/>
          <w:bCs/>
          <w:sz w:val="24"/>
          <w:szCs w:val="24"/>
        </w:rPr>
        <w:tab/>
      </w:r>
      <w:r>
        <w:rPr>
          <w:rFonts w:ascii="Arial" w:hAnsi="Arial" w:cs="Arial"/>
          <w:bCs/>
          <w:sz w:val="24"/>
          <w:szCs w:val="24"/>
        </w:rPr>
        <w:tab/>
      </w:r>
      <w:r w:rsidRPr="00B74BD7">
        <w:rPr>
          <w:rFonts w:ascii="Arial" w:hAnsi="Arial" w:cs="Arial"/>
          <w:bCs/>
          <w:sz w:val="24"/>
          <w:szCs w:val="24"/>
        </w:rPr>
        <w:t>$ 35.258.044 miles.</w:t>
      </w:r>
    </w:p>
    <w:p w14:paraId="74E0AB1C" w14:textId="77777777" w:rsidR="005E5F3C" w:rsidRPr="00B74BD7" w:rsidRDefault="005E5F3C" w:rsidP="005E5F3C">
      <w:pPr>
        <w:pStyle w:val="Textoindependiente"/>
        <w:ind w:left="-284" w:right="-50"/>
        <w:jc w:val="both"/>
        <w:rPr>
          <w:rFonts w:ascii="Arial" w:hAnsi="Arial" w:cs="Arial"/>
          <w:bCs/>
          <w:sz w:val="24"/>
          <w:szCs w:val="24"/>
        </w:rPr>
      </w:pPr>
      <w:r w:rsidRPr="00B74BD7">
        <w:rPr>
          <w:rFonts w:ascii="Arial" w:hAnsi="Arial" w:cs="Arial"/>
          <w:bCs/>
          <w:sz w:val="24"/>
          <w:szCs w:val="24"/>
        </w:rPr>
        <w:t>Estado de situación financiera:</w:t>
      </w:r>
      <w:r w:rsidRPr="00B74BD7">
        <w:rPr>
          <w:rFonts w:ascii="Arial" w:hAnsi="Arial" w:cs="Arial"/>
          <w:bCs/>
          <w:sz w:val="24"/>
          <w:szCs w:val="24"/>
        </w:rPr>
        <w:tab/>
      </w:r>
      <w:r w:rsidRPr="00B74BD7">
        <w:rPr>
          <w:rFonts w:ascii="Arial" w:hAnsi="Arial" w:cs="Arial"/>
          <w:bCs/>
          <w:sz w:val="24"/>
          <w:szCs w:val="24"/>
        </w:rPr>
        <w:tab/>
        <w:t>$ 35.058.044 miles.</w:t>
      </w:r>
    </w:p>
    <w:p w14:paraId="6A1144A2" w14:textId="77777777" w:rsidR="005E5F3C" w:rsidRPr="00B74BD7" w:rsidRDefault="005E5F3C" w:rsidP="005E5F3C">
      <w:pPr>
        <w:pStyle w:val="Textoindependiente"/>
        <w:ind w:left="-284" w:right="-50"/>
        <w:jc w:val="both"/>
        <w:rPr>
          <w:rFonts w:ascii="Arial" w:hAnsi="Arial" w:cs="Arial"/>
          <w:bCs/>
          <w:sz w:val="24"/>
          <w:szCs w:val="24"/>
        </w:rPr>
      </w:pPr>
    </w:p>
    <w:p w14:paraId="3382F79C" w14:textId="77777777" w:rsidR="005E5F3C" w:rsidRPr="00B74BD7" w:rsidRDefault="005E5F3C" w:rsidP="005E5F3C">
      <w:pPr>
        <w:pStyle w:val="Textoindependiente"/>
        <w:ind w:left="-284" w:right="-234"/>
        <w:jc w:val="both"/>
        <w:rPr>
          <w:rFonts w:ascii="Arial" w:hAnsi="Arial" w:cs="Arial"/>
          <w:bCs/>
          <w:sz w:val="24"/>
          <w:szCs w:val="24"/>
        </w:rPr>
      </w:pPr>
      <w:r w:rsidRPr="00B74BD7">
        <w:rPr>
          <w:rFonts w:ascii="Arial" w:hAnsi="Arial" w:cs="Arial"/>
          <w:b/>
          <w:sz w:val="24"/>
          <w:szCs w:val="24"/>
        </w:rPr>
        <w:t>NOTA:</w:t>
      </w:r>
      <w:r w:rsidRPr="00B74BD7">
        <w:rPr>
          <w:rFonts w:ascii="Arial" w:hAnsi="Arial" w:cs="Arial"/>
          <w:bCs/>
          <w:sz w:val="24"/>
          <w:szCs w:val="24"/>
        </w:rPr>
        <w:t xml:space="preserve"> Llama la atención este tipo de diferencias en los estados financieros que están debidamente firmados por el señor Gerente, por el Contador y el señor Revisor Fiscal.</w:t>
      </w:r>
    </w:p>
    <w:p w14:paraId="4261DFB5" w14:textId="77777777" w:rsidR="005E5F3C" w:rsidRDefault="005E5F3C" w:rsidP="005E5F3C">
      <w:pPr>
        <w:ind w:right="-234"/>
        <w:jc w:val="both"/>
        <w:rPr>
          <w:rFonts w:ascii="Arial" w:hAnsi="Arial" w:cs="Arial"/>
          <w:b/>
          <w:sz w:val="24"/>
          <w:szCs w:val="24"/>
        </w:rPr>
      </w:pPr>
    </w:p>
    <w:p w14:paraId="3FCFF9E5" w14:textId="77777777" w:rsidR="005E5F3C" w:rsidRDefault="005E5F3C" w:rsidP="005E5F3C">
      <w:pPr>
        <w:ind w:left="-284" w:right="-234"/>
        <w:jc w:val="both"/>
        <w:rPr>
          <w:rFonts w:ascii="Arial" w:eastAsia="Calibri" w:hAnsi="Arial" w:cs="Arial"/>
          <w:b/>
          <w:sz w:val="28"/>
          <w:szCs w:val="28"/>
          <w:lang w:val="es-CO"/>
        </w:rPr>
      </w:pPr>
      <w:r w:rsidRPr="003070F2">
        <w:rPr>
          <w:rFonts w:ascii="Arial" w:hAnsi="Arial" w:cs="Arial"/>
          <w:b/>
          <w:sz w:val="28"/>
          <w:szCs w:val="28"/>
          <w:lang w:val="es-MX"/>
        </w:rPr>
        <w:t xml:space="preserve">105.- </w:t>
      </w:r>
      <w:r w:rsidRPr="003070F2">
        <w:rPr>
          <w:rFonts w:ascii="Arial" w:eastAsia="Calibri" w:hAnsi="Arial" w:cs="Arial"/>
          <w:b/>
          <w:sz w:val="28"/>
          <w:szCs w:val="28"/>
          <w:lang w:val="es-CO"/>
        </w:rPr>
        <w:t>SOCIEDAD DE TELEVISIÓN DE CALDAS, RISARALDA Y QUINDÍO LTDA. - TELECAFÉ LTDA.</w:t>
      </w:r>
    </w:p>
    <w:p w14:paraId="28B2A98C" w14:textId="77777777" w:rsidR="005E5F3C" w:rsidRDefault="005E5F3C" w:rsidP="005E5F3C">
      <w:pPr>
        <w:ind w:left="-284"/>
        <w:jc w:val="both"/>
        <w:rPr>
          <w:rFonts w:ascii="Arial" w:eastAsia="Calibri" w:hAnsi="Arial" w:cs="Arial"/>
          <w:b/>
          <w:sz w:val="28"/>
          <w:szCs w:val="28"/>
          <w:lang w:val="es-CO"/>
        </w:rPr>
      </w:pPr>
    </w:p>
    <w:p w14:paraId="691F3427" w14:textId="77777777" w:rsidR="005E5F3C" w:rsidRPr="003070F2" w:rsidRDefault="005E5F3C" w:rsidP="005E5F3C">
      <w:pPr>
        <w:pStyle w:val="Textoindependiente"/>
        <w:ind w:left="-284" w:right="-234"/>
        <w:jc w:val="both"/>
        <w:rPr>
          <w:rFonts w:ascii="Arial" w:hAnsi="Arial" w:cs="Arial"/>
          <w:b/>
          <w:sz w:val="24"/>
          <w:szCs w:val="24"/>
        </w:rPr>
      </w:pPr>
      <w:r w:rsidRPr="003070F2">
        <w:rPr>
          <w:rFonts w:ascii="Arial" w:hAnsi="Arial" w:cs="Arial"/>
          <w:b/>
          <w:sz w:val="24"/>
          <w:szCs w:val="24"/>
        </w:rPr>
        <w:t>Al comparar los Estados Financieros con el formulario de saldos y movimientos encontramos diferencias en el Activo, Pasivo y Patrimonio así:</w:t>
      </w:r>
    </w:p>
    <w:p w14:paraId="6D20A344" w14:textId="77777777" w:rsidR="005E5F3C" w:rsidRPr="003070F2" w:rsidRDefault="005E5F3C" w:rsidP="005E5F3C">
      <w:pPr>
        <w:pStyle w:val="Textoindependiente"/>
        <w:jc w:val="both"/>
        <w:rPr>
          <w:rFonts w:ascii="Arial" w:hAnsi="Arial" w:cs="Arial"/>
          <w:b/>
        </w:rPr>
      </w:pPr>
    </w:p>
    <w:tbl>
      <w:tblPr>
        <w:tblStyle w:val="Tablaconcuadrcula"/>
        <w:tblW w:w="0" w:type="auto"/>
        <w:tblLook w:val="04A0" w:firstRow="1" w:lastRow="0" w:firstColumn="1" w:lastColumn="0" w:noHBand="0" w:noVBand="1"/>
      </w:tblPr>
      <w:tblGrid>
        <w:gridCol w:w="2263"/>
        <w:gridCol w:w="3969"/>
        <w:gridCol w:w="3730"/>
      </w:tblGrid>
      <w:tr w:rsidR="005E5F3C" w:rsidRPr="003070F2" w14:paraId="4B6A55C2" w14:textId="77777777" w:rsidTr="00D4226B">
        <w:tc>
          <w:tcPr>
            <w:tcW w:w="2263" w:type="dxa"/>
          </w:tcPr>
          <w:p w14:paraId="18246583" w14:textId="77777777" w:rsidR="005E5F3C" w:rsidRPr="003070F2" w:rsidRDefault="005E5F3C" w:rsidP="00D4226B">
            <w:pPr>
              <w:pStyle w:val="Textoindependiente"/>
              <w:jc w:val="center"/>
              <w:rPr>
                <w:rFonts w:ascii="Arial" w:hAnsi="Arial" w:cs="Arial"/>
                <w:b/>
              </w:rPr>
            </w:pPr>
            <w:r w:rsidRPr="003070F2">
              <w:rPr>
                <w:rFonts w:ascii="Arial" w:hAnsi="Arial" w:cs="Arial"/>
                <w:b/>
              </w:rPr>
              <w:t>CUENTA</w:t>
            </w:r>
          </w:p>
        </w:tc>
        <w:tc>
          <w:tcPr>
            <w:tcW w:w="3969" w:type="dxa"/>
          </w:tcPr>
          <w:p w14:paraId="4757052B" w14:textId="77777777" w:rsidR="005E5F3C" w:rsidRPr="003070F2" w:rsidRDefault="005E5F3C" w:rsidP="00D4226B">
            <w:pPr>
              <w:pStyle w:val="Textoindependiente"/>
              <w:jc w:val="center"/>
              <w:rPr>
                <w:rFonts w:ascii="Arial" w:hAnsi="Arial" w:cs="Arial"/>
                <w:b/>
              </w:rPr>
            </w:pPr>
            <w:r w:rsidRPr="003070F2">
              <w:rPr>
                <w:rFonts w:ascii="Arial" w:hAnsi="Arial" w:cs="Arial"/>
                <w:b/>
              </w:rPr>
              <w:t xml:space="preserve">ESTADO DE SITUACION </w:t>
            </w:r>
          </w:p>
          <w:p w14:paraId="706E0D66" w14:textId="77777777" w:rsidR="005E5F3C" w:rsidRPr="003070F2" w:rsidRDefault="005E5F3C" w:rsidP="00D4226B">
            <w:pPr>
              <w:pStyle w:val="Textoindependiente"/>
              <w:jc w:val="center"/>
              <w:rPr>
                <w:rFonts w:ascii="Arial" w:hAnsi="Arial" w:cs="Arial"/>
                <w:b/>
              </w:rPr>
            </w:pPr>
            <w:r w:rsidRPr="003070F2">
              <w:rPr>
                <w:rFonts w:ascii="Arial" w:hAnsi="Arial" w:cs="Arial"/>
                <w:b/>
              </w:rPr>
              <w:t>FINANICERA</w:t>
            </w:r>
          </w:p>
          <w:p w14:paraId="4904E689" w14:textId="77777777" w:rsidR="005E5F3C" w:rsidRPr="003070F2" w:rsidRDefault="005E5F3C" w:rsidP="00D4226B">
            <w:pPr>
              <w:pStyle w:val="Textoindependiente"/>
              <w:jc w:val="center"/>
              <w:rPr>
                <w:rFonts w:ascii="Arial" w:hAnsi="Arial" w:cs="Arial"/>
                <w:b/>
              </w:rPr>
            </w:pPr>
          </w:p>
        </w:tc>
        <w:tc>
          <w:tcPr>
            <w:tcW w:w="3730" w:type="dxa"/>
          </w:tcPr>
          <w:p w14:paraId="5C0CDF93" w14:textId="77777777" w:rsidR="005E5F3C" w:rsidRPr="003070F2" w:rsidRDefault="005E5F3C" w:rsidP="00D4226B">
            <w:pPr>
              <w:pStyle w:val="Textoindependiente"/>
              <w:jc w:val="center"/>
              <w:rPr>
                <w:rFonts w:ascii="Arial" w:hAnsi="Arial" w:cs="Arial"/>
                <w:b/>
              </w:rPr>
            </w:pPr>
            <w:r w:rsidRPr="003070F2">
              <w:rPr>
                <w:rFonts w:ascii="Arial" w:hAnsi="Arial" w:cs="Arial"/>
                <w:b/>
              </w:rPr>
              <w:t>SALDOS Y MOVIMIENTOS</w:t>
            </w:r>
          </w:p>
          <w:p w14:paraId="74E9E104" w14:textId="77777777" w:rsidR="005E5F3C" w:rsidRPr="003070F2" w:rsidRDefault="005E5F3C" w:rsidP="00D4226B">
            <w:pPr>
              <w:pStyle w:val="Textoindependiente"/>
              <w:jc w:val="center"/>
              <w:rPr>
                <w:rFonts w:ascii="Arial" w:hAnsi="Arial" w:cs="Arial"/>
                <w:b/>
              </w:rPr>
            </w:pPr>
          </w:p>
        </w:tc>
      </w:tr>
      <w:tr w:rsidR="005E5F3C" w:rsidRPr="003070F2" w14:paraId="17C4DDA2" w14:textId="77777777" w:rsidTr="00D4226B">
        <w:tc>
          <w:tcPr>
            <w:tcW w:w="2263" w:type="dxa"/>
          </w:tcPr>
          <w:p w14:paraId="4968BE54" w14:textId="77777777" w:rsidR="005E5F3C" w:rsidRPr="003070F2" w:rsidRDefault="005E5F3C" w:rsidP="00D4226B">
            <w:pPr>
              <w:pStyle w:val="Textoindependiente"/>
              <w:jc w:val="both"/>
              <w:rPr>
                <w:rFonts w:ascii="Arial" w:hAnsi="Arial" w:cs="Arial"/>
                <w:b/>
              </w:rPr>
            </w:pPr>
            <w:r w:rsidRPr="003070F2">
              <w:rPr>
                <w:rFonts w:ascii="Arial" w:hAnsi="Arial" w:cs="Arial"/>
                <w:b/>
              </w:rPr>
              <w:t xml:space="preserve">ACTIVO </w:t>
            </w:r>
          </w:p>
        </w:tc>
        <w:tc>
          <w:tcPr>
            <w:tcW w:w="3969" w:type="dxa"/>
          </w:tcPr>
          <w:p w14:paraId="525A87F6" w14:textId="77777777" w:rsidR="005E5F3C" w:rsidRPr="003070F2" w:rsidRDefault="005E5F3C" w:rsidP="00D4226B">
            <w:pPr>
              <w:pStyle w:val="Textoindependiente"/>
              <w:jc w:val="right"/>
              <w:rPr>
                <w:rFonts w:ascii="Arial" w:hAnsi="Arial" w:cs="Arial"/>
              </w:rPr>
            </w:pPr>
            <w:r w:rsidRPr="003070F2">
              <w:rPr>
                <w:rFonts w:ascii="Arial" w:hAnsi="Arial" w:cs="Arial"/>
              </w:rPr>
              <w:t>35.956.651.696</w:t>
            </w:r>
          </w:p>
        </w:tc>
        <w:tc>
          <w:tcPr>
            <w:tcW w:w="3730" w:type="dxa"/>
          </w:tcPr>
          <w:p w14:paraId="761ED456" w14:textId="77777777" w:rsidR="005E5F3C" w:rsidRPr="003070F2" w:rsidRDefault="005E5F3C" w:rsidP="00D4226B">
            <w:pPr>
              <w:pStyle w:val="Textoindependiente"/>
              <w:jc w:val="right"/>
              <w:rPr>
                <w:rFonts w:ascii="Arial" w:hAnsi="Arial" w:cs="Arial"/>
              </w:rPr>
            </w:pPr>
            <w:r w:rsidRPr="003070F2">
              <w:rPr>
                <w:rFonts w:ascii="Arial" w:hAnsi="Arial" w:cs="Arial"/>
              </w:rPr>
              <w:t>41.389.162.731,00</w:t>
            </w:r>
          </w:p>
        </w:tc>
      </w:tr>
      <w:tr w:rsidR="005E5F3C" w:rsidRPr="003070F2" w14:paraId="342BAB2C" w14:textId="77777777" w:rsidTr="00D4226B">
        <w:tc>
          <w:tcPr>
            <w:tcW w:w="2263" w:type="dxa"/>
          </w:tcPr>
          <w:p w14:paraId="76774306" w14:textId="77777777" w:rsidR="005E5F3C" w:rsidRPr="003070F2" w:rsidRDefault="005E5F3C" w:rsidP="00D4226B">
            <w:pPr>
              <w:pStyle w:val="Textoindependiente"/>
              <w:jc w:val="both"/>
              <w:rPr>
                <w:rFonts w:ascii="Arial" w:hAnsi="Arial" w:cs="Arial"/>
                <w:b/>
              </w:rPr>
            </w:pPr>
            <w:r w:rsidRPr="003070F2">
              <w:rPr>
                <w:rFonts w:ascii="Arial" w:hAnsi="Arial" w:cs="Arial"/>
                <w:b/>
              </w:rPr>
              <w:t xml:space="preserve">PASIVO </w:t>
            </w:r>
          </w:p>
        </w:tc>
        <w:tc>
          <w:tcPr>
            <w:tcW w:w="3969" w:type="dxa"/>
          </w:tcPr>
          <w:p w14:paraId="58533FB4" w14:textId="77777777" w:rsidR="005E5F3C" w:rsidRPr="003070F2" w:rsidRDefault="005E5F3C" w:rsidP="00D4226B">
            <w:pPr>
              <w:pStyle w:val="Textoindependiente"/>
              <w:jc w:val="right"/>
              <w:rPr>
                <w:rFonts w:ascii="Arial" w:hAnsi="Arial" w:cs="Arial"/>
              </w:rPr>
            </w:pPr>
            <w:r w:rsidRPr="003070F2">
              <w:rPr>
                <w:rFonts w:ascii="Arial" w:hAnsi="Arial" w:cs="Arial"/>
              </w:rPr>
              <w:t>24.747.483.197</w:t>
            </w:r>
          </w:p>
        </w:tc>
        <w:tc>
          <w:tcPr>
            <w:tcW w:w="3730" w:type="dxa"/>
          </w:tcPr>
          <w:p w14:paraId="0CBFC66B" w14:textId="77777777" w:rsidR="005E5F3C" w:rsidRPr="003070F2" w:rsidRDefault="005E5F3C" w:rsidP="00D4226B">
            <w:pPr>
              <w:pStyle w:val="Textoindependiente"/>
              <w:jc w:val="right"/>
              <w:rPr>
                <w:rFonts w:ascii="Arial" w:hAnsi="Arial" w:cs="Arial"/>
              </w:rPr>
            </w:pPr>
            <w:r w:rsidRPr="003070F2">
              <w:rPr>
                <w:rFonts w:ascii="Arial" w:hAnsi="Arial" w:cs="Arial"/>
              </w:rPr>
              <w:t>17.812.341.257,00</w:t>
            </w:r>
          </w:p>
        </w:tc>
      </w:tr>
      <w:tr w:rsidR="005E5F3C" w:rsidRPr="003070F2" w14:paraId="620D716A" w14:textId="77777777" w:rsidTr="00D4226B">
        <w:tc>
          <w:tcPr>
            <w:tcW w:w="2263" w:type="dxa"/>
          </w:tcPr>
          <w:p w14:paraId="0A528896" w14:textId="77777777" w:rsidR="005E5F3C" w:rsidRPr="003070F2" w:rsidRDefault="005E5F3C" w:rsidP="00D4226B">
            <w:pPr>
              <w:pStyle w:val="Textoindependiente"/>
              <w:jc w:val="both"/>
              <w:rPr>
                <w:rFonts w:ascii="Arial" w:hAnsi="Arial" w:cs="Arial"/>
                <w:b/>
              </w:rPr>
            </w:pPr>
            <w:r w:rsidRPr="003070F2">
              <w:rPr>
                <w:rFonts w:ascii="Arial" w:hAnsi="Arial" w:cs="Arial"/>
                <w:b/>
              </w:rPr>
              <w:t>PATRIMONIO</w:t>
            </w:r>
          </w:p>
        </w:tc>
        <w:tc>
          <w:tcPr>
            <w:tcW w:w="3969" w:type="dxa"/>
          </w:tcPr>
          <w:p w14:paraId="1B4E8E8D" w14:textId="77777777" w:rsidR="005E5F3C" w:rsidRPr="003070F2" w:rsidRDefault="005E5F3C" w:rsidP="00D4226B">
            <w:pPr>
              <w:pStyle w:val="Textoindependiente"/>
              <w:jc w:val="right"/>
              <w:rPr>
                <w:rFonts w:ascii="Arial" w:hAnsi="Arial" w:cs="Arial"/>
              </w:rPr>
            </w:pPr>
            <w:r w:rsidRPr="003070F2">
              <w:rPr>
                <w:rFonts w:ascii="Arial" w:hAnsi="Arial" w:cs="Arial"/>
              </w:rPr>
              <w:t>11.209.168.500</w:t>
            </w:r>
          </w:p>
        </w:tc>
        <w:tc>
          <w:tcPr>
            <w:tcW w:w="3730" w:type="dxa"/>
          </w:tcPr>
          <w:p w14:paraId="2FBF8992" w14:textId="77777777" w:rsidR="005E5F3C" w:rsidRPr="003070F2" w:rsidRDefault="005E5F3C" w:rsidP="00D4226B">
            <w:pPr>
              <w:pStyle w:val="Textoindependiente"/>
              <w:jc w:val="right"/>
              <w:rPr>
                <w:rFonts w:ascii="Arial" w:hAnsi="Arial" w:cs="Arial"/>
              </w:rPr>
            </w:pPr>
            <w:r w:rsidRPr="003070F2">
              <w:rPr>
                <w:rFonts w:ascii="Arial" w:hAnsi="Arial" w:cs="Arial"/>
              </w:rPr>
              <w:t>23.576.821.474,00</w:t>
            </w:r>
          </w:p>
        </w:tc>
      </w:tr>
    </w:tbl>
    <w:p w14:paraId="38C4E55F" w14:textId="77777777" w:rsidR="005E5F3C" w:rsidRPr="003070F2" w:rsidRDefault="005E5F3C" w:rsidP="005E5F3C">
      <w:pPr>
        <w:ind w:left="-284"/>
        <w:jc w:val="both"/>
        <w:rPr>
          <w:rFonts w:ascii="Arial" w:eastAsia="Calibri" w:hAnsi="Arial" w:cs="Arial"/>
          <w:b/>
          <w:sz w:val="28"/>
          <w:szCs w:val="28"/>
          <w:lang w:val="es-CO"/>
        </w:rPr>
      </w:pPr>
    </w:p>
    <w:p w14:paraId="74A03CA2" w14:textId="77777777" w:rsidR="005E5F3C" w:rsidRPr="00FB63E0" w:rsidRDefault="005E5F3C" w:rsidP="005E5F3C">
      <w:pPr>
        <w:tabs>
          <w:tab w:val="left" w:pos="1276"/>
        </w:tabs>
        <w:ind w:left="-284" w:right="-234"/>
        <w:jc w:val="both"/>
        <w:rPr>
          <w:rFonts w:ascii="Arial" w:hAnsi="Arial" w:cs="Arial"/>
          <w:b/>
          <w:sz w:val="28"/>
          <w:szCs w:val="28"/>
          <w:lang w:val="es-MX"/>
        </w:rPr>
      </w:pPr>
      <w:r w:rsidRPr="00FB63E0">
        <w:rPr>
          <w:rFonts w:ascii="Arial" w:hAnsi="Arial" w:cs="Arial"/>
          <w:b/>
          <w:sz w:val="28"/>
          <w:szCs w:val="28"/>
        </w:rPr>
        <w:t>124.- U.A.E. AGENCIA NACIONAL DE CONTRATACIÓN PÚBLICA - COLOMBIA COMPRA EFICIENTE</w:t>
      </w:r>
      <w:r w:rsidRPr="00FB63E0">
        <w:rPr>
          <w:rFonts w:ascii="Arial" w:hAnsi="Arial" w:cs="Arial"/>
          <w:b/>
          <w:sz w:val="28"/>
          <w:szCs w:val="28"/>
          <w:lang w:val="es-MX"/>
        </w:rPr>
        <w:t xml:space="preserve">. </w:t>
      </w:r>
    </w:p>
    <w:p w14:paraId="42430BDC" w14:textId="77777777" w:rsidR="005E5F3C" w:rsidRDefault="005E5F3C" w:rsidP="005E5F3C">
      <w:pPr>
        <w:ind w:right="-234"/>
        <w:jc w:val="both"/>
        <w:rPr>
          <w:rFonts w:ascii="Arial" w:hAnsi="Arial" w:cs="Arial"/>
          <w:b/>
          <w:sz w:val="24"/>
          <w:szCs w:val="24"/>
          <w:lang w:val="es-CO"/>
        </w:rPr>
      </w:pPr>
    </w:p>
    <w:p w14:paraId="212ADE40" w14:textId="77777777" w:rsidR="005E5F3C" w:rsidRPr="00F51EFE" w:rsidRDefault="005E5F3C" w:rsidP="005E5F3C">
      <w:pPr>
        <w:pStyle w:val="Textoindependiente"/>
        <w:ind w:left="-284" w:right="-234"/>
        <w:jc w:val="both"/>
        <w:rPr>
          <w:rFonts w:ascii="Arial" w:hAnsi="Arial" w:cs="Arial"/>
          <w:bCs/>
          <w:sz w:val="24"/>
          <w:szCs w:val="24"/>
        </w:rPr>
      </w:pPr>
      <w:r w:rsidRPr="00F51EFE">
        <w:rPr>
          <w:rFonts w:ascii="Arial" w:hAnsi="Arial" w:cs="Arial"/>
          <w:bCs/>
          <w:sz w:val="24"/>
          <w:szCs w:val="24"/>
        </w:rPr>
        <w:t>-Al revisar los estados financieros, la entidad remite la siguiente información en el Estado de Cambios en el Patrimonio:</w:t>
      </w:r>
    </w:p>
    <w:p w14:paraId="049D033D" w14:textId="77777777" w:rsidR="005E5F3C" w:rsidRDefault="005E5F3C" w:rsidP="005E5F3C">
      <w:pPr>
        <w:pStyle w:val="Textoindependiente"/>
        <w:ind w:right="-50"/>
        <w:jc w:val="both"/>
        <w:rPr>
          <w:bCs/>
        </w:rPr>
      </w:pPr>
    </w:p>
    <w:p w14:paraId="1691E14D" w14:textId="77777777" w:rsidR="005E5F3C" w:rsidRDefault="005E5F3C" w:rsidP="005E5F3C">
      <w:pPr>
        <w:pStyle w:val="Textoindependiente"/>
        <w:ind w:right="-50"/>
        <w:jc w:val="both"/>
        <w:rPr>
          <w:bCs/>
        </w:rPr>
      </w:pPr>
      <w:r w:rsidRPr="00DD6854">
        <w:rPr>
          <w:bCs/>
          <w:noProof/>
          <w:lang w:val="es-CO" w:eastAsia="es-CO"/>
        </w:rPr>
        <w:drawing>
          <wp:inline distT="0" distB="0" distL="0" distR="0" wp14:anchorId="0AE9A2EF" wp14:editId="401C583B">
            <wp:extent cx="5677692" cy="79068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7692" cy="790685"/>
                    </a:xfrm>
                    <a:prstGeom prst="rect">
                      <a:avLst/>
                    </a:prstGeom>
                  </pic:spPr>
                </pic:pic>
              </a:graphicData>
            </a:graphic>
          </wp:inline>
        </w:drawing>
      </w:r>
    </w:p>
    <w:p w14:paraId="757D0BE7" w14:textId="77777777" w:rsidR="005E5F3C" w:rsidRDefault="005E5F3C" w:rsidP="005E5F3C">
      <w:pPr>
        <w:pStyle w:val="Textoindependiente"/>
        <w:ind w:right="-50"/>
        <w:jc w:val="both"/>
        <w:rPr>
          <w:bCs/>
        </w:rPr>
      </w:pPr>
    </w:p>
    <w:p w14:paraId="593EA151" w14:textId="77777777" w:rsidR="005E5F3C" w:rsidRPr="00F51EFE" w:rsidRDefault="005E5F3C" w:rsidP="005E5F3C">
      <w:pPr>
        <w:pStyle w:val="Textoindependiente"/>
        <w:ind w:left="-284" w:right="-50"/>
        <w:jc w:val="both"/>
        <w:rPr>
          <w:rFonts w:ascii="Arial" w:hAnsi="Arial" w:cs="Arial"/>
          <w:bCs/>
          <w:sz w:val="24"/>
          <w:szCs w:val="24"/>
        </w:rPr>
      </w:pPr>
      <w:r w:rsidRPr="00F51EFE">
        <w:rPr>
          <w:rFonts w:ascii="Arial" w:hAnsi="Arial" w:cs="Arial"/>
          <w:bCs/>
          <w:sz w:val="24"/>
          <w:szCs w:val="24"/>
        </w:rPr>
        <w:t>En el Estado de Situación Financiera, presenta los saldos del patrimonio así:</w:t>
      </w:r>
    </w:p>
    <w:p w14:paraId="52BF78C4" w14:textId="77777777" w:rsidR="005E5F3C" w:rsidRPr="00F51EFE" w:rsidRDefault="005E5F3C" w:rsidP="005E5F3C">
      <w:pPr>
        <w:pStyle w:val="Textoindependiente"/>
        <w:ind w:right="-50"/>
        <w:jc w:val="both"/>
        <w:rPr>
          <w:rFonts w:ascii="Arial" w:hAnsi="Arial" w:cs="Arial"/>
          <w:bCs/>
          <w:sz w:val="24"/>
          <w:szCs w:val="24"/>
        </w:rPr>
      </w:pPr>
    </w:p>
    <w:p w14:paraId="1688D6F7" w14:textId="77777777" w:rsidR="005E5F3C" w:rsidRDefault="005E5F3C" w:rsidP="005E5F3C">
      <w:pPr>
        <w:pStyle w:val="Textoindependiente"/>
        <w:ind w:right="-50"/>
        <w:jc w:val="both"/>
        <w:rPr>
          <w:bCs/>
        </w:rPr>
      </w:pPr>
      <w:r>
        <w:rPr>
          <w:bCs/>
        </w:rPr>
        <w:lastRenderedPageBreak/>
        <w:tab/>
      </w:r>
      <w:r>
        <w:rPr>
          <w:bCs/>
        </w:rPr>
        <w:tab/>
      </w:r>
      <w:r>
        <w:rPr>
          <w:bCs/>
        </w:rPr>
        <w:tab/>
      </w:r>
      <w:r>
        <w:rPr>
          <w:bCs/>
        </w:rPr>
        <w:tab/>
      </w:r>
      <w:r>
        <w:rPr>
          <w:bCs/>
        </w:rPr>
        <w:tab/>
      </w:r>
      <w:r>
        <w:rPr>
          <w:bCs/>
        </w:rPr>
        <w:tab/>
      </w:r>
      <w:r>
        <w:rPr>
          <w:bCs/>
        </w:rPr>
        <w:tab/>
        <w:t>31/12/2024</w:t>
      </w:r>
      <w:r>
        <w:rPr>
          <w:bCs/>
        </w:rPr>
        <w:tab/>
      </w:r>
      <w:r>
        <w:rPr>
          <w:bCs/>
        </w:rPr>
        <w:tab/>
        <w:t>31/12/2023</w:t>
      </w:r>
      <w:r w:rsidRPr="00DD6854">
        <w:rPr>
          <w:bCs/>
          <w:noProof/>
          <w:lang w:val="es-CO" w:eastAsia="es-CO"/>
        </w:rPr>
        <w:drawing>
          <wp:inline distT="0" distB="0" distL="0" distR="0" wp14:anchorId="1A71AC1F" wp14:editId="15E4EF31">
            <wp:extent cx="5762625" cy="10096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3460" cy="1009796"/>
                    </a:xfrm>
                    <a:prstGeom prst="rect">
                      <a:avLst/>
                    </a:prstGeom>
                  </pic:spPr>
                </pic:pic>
              </a:graphicData>
            </a:graphic>
          </wp:inline>
        </w:drawing>
      </w:r>
    </w:p>
    <w:p w14:paraId="1AAB7A74" w14:textId="77777777" w:rsidR="005E5F3C" w:rsidRPr="00F51EFE" w:rsidRDefault="005E5F3C" w:rsidP="005E5F3C">
      <w:pPr>
        <w:pStyle w:val="Textoindependiente"/>
        <w:ind w:right="-50"/>
        <w:jc w:val="both"/>
        <w:rPr>
          <w:rFonts w:ascii="Arial" w:hAnsi="Arial" w:cs="Arial"/>
          <w:bCs/>
          <w:sz w:val="24"/>
          <w:szCs w:val="24"/>
        </w:rPr>
      </w:pPr>
      <w:r w:rsidRPr="00F51EFE">
        <w:rPr>
          <w:rFonts w:ascii="Arial" w:hAnsi="Arial" w:cs="Arial"/>
          <w:bCs/>
          <w:sz w:val="24"/>
          <w:szCs w:val="24"/>
        </w:rPr>
        <w:t>¿Cuál es la razón para que se presenten estas diferencias?</w:t>
      </w:r>
    </w:p>
    <w:p w14:paraId="3F857AE0" w14:textId="77777777" w:rsidR="005E5F3C" w:rsidRDefault="005E5F3C" w:rsidP="005E5F3C">
      <w:pPr>
        <w:ind w:right="-234"/>
        <w:jc w:val="both"/>
        <w:rPr>
          <w:rFonts w:ascii="Arial" w:hAnsi="Arial" w:cs="Arial"/>
          <w:b/>
          <w:sz w:val="24"/>
          <w:szCs w:val="24"/>
          <w:lang w:val="es-CO"/>
        </w:rPr>
      </w:pPr>
    </w:p>
    <w:p w14:paraId="7EC7A8D4" w14:textId="77777777" w:rsidR="005E5F3C" w:rsidRPr="00E22E4C" w:rsidRDefault="005E5F3C" w:rsidP="005E5F3C">
      <w:pPr>
        <w:ind w:left="-142"/>
        <w:jc w:val="both"/>
        <w:rPr>
          <w:rFonts w:ascii="Arial" w:hAnsi="Arial" w:cs="Arial"/>
          <w:b/>
          <w:sz w:val="28"/>
          <w:szCs w:val="28"/>
          <w:lang w:val="es-MX"/>
        </w:rPr>
      </w:pPr>
      <w:r w:rsidRPr="00E22E4C">
        <w:rPr>
          <w:rFonts w:ascii="Arial" w:hAnsi="Arial" w:cs="Arial"/>
          <w:b/>
          <w:sz w:val="28"/>
          <w:szCs w:val="28"/>
          <w:lang w:val="es-MX"/>
        </w:rPr>
        <w:t>127.- OLEODUCTO CENTRAL S.A. – OCENSA S.A.</w:t>
      </w:r>
    </w:p>
    <w:p w14:paraId="4CA4DBD4" w14:textId="77777777" w:rsidR="005E5F3C" w:rsidRDefault="005E5F3C" w:rsidP="005E5F3C">
      <w:pPr>
        <w:ind w:right="-234"/>
        <w:jc w:val="both"/>
        <w:rPr>
          <w:rFonts w:ascii="Arial" w:hAnsi="Arial" w:cs="Arial"/>
          <w:b/>
          <w:sz w:val="24"/>
          <w:szCs w:val="24"/>
          <w:lang w:val="es-CO"/>
        </w:rPr>
      </w:pPr>
    </w:p>
    <w:p w14:paraId="6B9235F2" w14:textId="77777777" w:rsidR="005E5F3C" w:rsidRPr="00E22E4C" w:rsidRDefault="005E5F3C" w:rsidP="005E5F3C">
      <w:pPr>
        <w:pStyle w:val="Textoindependiente"/>
        <w:ind w:left="-284" w:right="-234"/>
        <w:jc w:val="both"/>
        <w:rPr>
          <w:rFonts w:ascii="Arial" w:hAnsi="Arial" w:cs="Arial"/>
          <w:b/>
          <w:sz w:val="24"/>
          <w:szCs w:val="24"/>
        </w:rPr>
      </w:pPr>
      <w:r w:rsidRPr="00E22E4C">
        <w:rPr>
          <w:rFonts w:ascii="Arial" w:hAnsi="Arial" w:cs="Arial"/>
          <w:b/>
        </w:rPr>
        <w:t>-</w:t>
      </w:r>
      <w:r w:rsidRPr="00E22E4C">
        <w:rPr>
          <w:rFonts w:ascii="Arial" w:hAnsi="Arial" w:cs="Arial"/>
          <w:b/>
          <w:sz w:val="24"/>
          <w:szCs w:val="24"/>
        </w:rPr>
        <w:t>Al comparar los Estados Financieros con el formulario de saldos y movimientos encontramos diferencias en el Activo, Pasivo y Patrimonio así:</w:t>
      </w:r>
    </w:p>
    <w:p w14:paraId="632C6E43" w14:textId="77777777" w:rsidR="005E5F3C" w:rsidRPr="00E22E4C" w:rsidRDefault="005E5F3C" w:rsidP="005E5F3C">
      <w:pPr>
        <w:pStyle w:val="Textoindependiente"/>
        <w:jc w:val="both"/>
        <w:rPr>
          <w:rFonts w:ascii="Arial" w:hAnsi="Arial" w:cs="Arial"/>
          <w:b/>
        </w:rPr>
      </w:pPr>
    </w:p>
    <w:tbl>
      <w:tblPr>
        <w:tblStyle w:val="Tablaconcuadrcula"/>
        <w:tblW w:w="0" w:type="auto"/>
        <w:tblLook w:val="04A0" w:firstRow="1" w:lastRow="0" w:firstColumn="1" w:lastColumn="0" w:noHBand="0" w:noVBand="1"/>
      </w:tblPr>
      <w:tblGrid>
        <w:gridCol w:w="2263"/>
        <w:gridCol w:w="3969"/>
        <w:gridCol w:w="3730"/>
      </w:tblGrid>
      <w:tr w:rsidR="005E5F3C" w:rsidRPr="00E22E4C" w14:paraId="1F27D5A2" w14:textId="77777777" w:rsidTr="00D4226B">
        <w:tc>
          <w:tcPr>
            <w:tcW w:w="2263" w:type="dxa"/>
          </w:tcPr>
          <w:p w14:paraId="3A8EE92A" w14:textId="77777777" w:rsidR="005E5F3C" w:rsidRPr="00E22E4C" w:rsidRDefault="005E5F3C" w:rsidP="00D4226B">
            <w:pPr>
              <w:pStyle w:val="Textoindependiente"/>
              <w:jc w:val="center"/>
              <w:rPr>
                <w:rFonts w:ascii="Arial" w:hAnsi="Arial" w:cs="Arial"/>
                <w:b/>
              </w:rPr>
            </w:pPr>
            <w:r w:rsidRPr="00E22E4C">
              <w:rPr>
                <w:rFonts w:ascii="Arial" w:hAnsi="Arial" w:cs="Arial"/>
                <w:b/>
              </w:rPr>
              <w:t>CUENTA</w:t>
            </w:r>
          </w:p>
        </w:tc>
        <w:tc>
          <w:tcPr>
            <w:tcW w:w="3969" w:type="dxa"/>
          </w:tcPr>
          <w:p w14:paraId="1793CE85" w14:textId="77777777" w:rsidR="005E5F3C" w:rsidRPr="00E22E4C" w:rsidRDefault="005E5F3C" w:rsidP="00D4226B">
            <w:pPr>
              <w:pStyle w:val="Textoindependiente"/>
              <w:jc w:val="center"/>
              <w:rPr>
                <w:rFonts w:ascii="Arial" w:hAnsi="Arial" w:cs="Arial"/>
                <w:b/>
              </w:rPr>
            </w:pPr>
            <w:r w:rsidRPr="00E22E4C">
              <w:rPr>
                <w:rFonts w:ascii="Arial" w:hAnsi="Arial" w:cs="Arial"/>
                <w:b/>
              </w:rPr>
              <w:t>ESTADO DE SITUACION FINANICERA</w:t>
            </w:r>
          </w:p>
          <w:p w14:paraId="1C668B20" w14:textId="77777777" w:rsidR="005E5F3C" w:rsidRPr="00E22E4C" w:rsidRDefault="005E5F3C" w:rsidP="00D4226B">
            <w:pPr>
              <w:pStyle w:val="Textoindependiente"/>
              <w:jc w:val="center"/>
              <w:rPr>
                <w:rFonts w:ascii="Arial" w:hAnsi="Arial" w:cs="Arial"/>
                <w:b/>
              </w:rPr>
            </w:pPr>
            <w:r w:rsidRPr="00E22E4C">
              <w:rPr>
                <w:rFonts w:ascii="Arial" w:hAnsi="Arial" w:cs="Arial"/>
                <w:b/>
              </w:rPr>
              <w:t>(Millones de pesos)</w:t>
            </w:r>
          </w:p>
        </w:tc>
        <w:tc>
          <w:tcPr>
            <w:tcW w:w="3730" w:type="dxa"/>
          </w:tcPr>
          <w:p w14:paraId="24F4170E" w14:textId="77777777" w:rsidR="005E5F3C" w:rsidRPr="00E22E4C" w:rsidRDefault="005E5F3C" w:rsidP="00D4226B">
            <w:pPr>
              <w:pStyle w:val="Textoindependiente"/>
              <w:jc w:val="center"/>
              <w:rPr>
                <w:rFonts w:ascii="Arial" w:hAnsi="Arial" w:cs="Arial"/>
                <w:b/>
              </w:rPr>
            </w:pPr>
            <w:r w:rsidRPr="00E22E4C">
              <w:rPr>
                <w:rFonts w:ascii="Arial" w:hAnsi="Arial" w:cs="Arial"/>
                <w:b/>
              </w:rPr>
              <w:t>SALDOS Y MOVIMIENTOS</w:t>
            </w:r>
          </w:p>
          <w:p w14:paraId="04FDFEE2" w14:textId="115E2871" w:rsidR="005E5F3C" w:rsidRPr="00E22E4C" w:rsidRDefault="005E5F3C" w:rsidP="00A85772">
            <w:pPr>
              <w:pStyle w:val="Textoindependiente"/>
              <w:jc w:val="center"/>
              <w:rPr>
                <w:rFonts w:ascii="Arial" w:hAnsi="Arial" w:cs="Arial"/>
                <w:b/>
              </w:rPr>
            </w:pPr>
            <w:r w:rsidRPr="00E22E4C">
              <w:rPr>
                <w:rFonts w:ascii="Arial" w:hAnsi="Arial" w:cs="Arial"/>
                <w:b/>
              </w:rPr>
              <w:t>(Pesos)</w:t>
            </w:r>
          </w:p>
        </w:tc>
      </w:tr>
      <w:tr w:rsidR="005E5F3C" w:rsidRPr="00E22E4C" w14:paraId="07C1FAF0" w14:textId="77777777" w:rsidTr="00D4226B">
        <w:tc>
          <w:tcPr>
            <w:tcW w:w="2263" w:type="dxa"/>
          </w:tcPr>
          <w:p w14:paraId="563B5DCD" w14:textId="77777777" w:rsidR="005E5F3C" w:rsidRPr="00E22E4C" w:rsidRDefault="005E5F3C" w:rsidP="00D4226B">
            <w:pPr>
              <w:pStyle w:val="Textoindependiente"/>
              <w:jc w:val="both"/>
              <w:rPr>
                <w:rFonts w:ascii="Arial" w:hAnsi="Arial" w:cs="Arial"/>
                <w:b/>
              </w:rPr>
            </w:pPr>
            <w:r w:rsidRPr="00E22E4C">
              <w:rPr>
                <w:rFonts w:ascii="Arial" w:hAnsi="Arial" w:cs="Arial"/>
                <w:b/>
              </w:rPr>
              <w:t xml:space="preserve">ACTIVO </w:t>
            </w:r>
          </w:p>
        </w:tc>
        <w:tc>
          <w:tcPr>
            <w:tcW w:w="3969" w:type="dxa"/>
          </w:tcPr>
          <w:p w14:paraId="3E8A52EC" w14:textId="77777777" w:rsidR="005E5F3C" w:rsidRPr="00E22E4C" w:rsidRDefault="005E5F3C" w:rsidP="00D4226B">
            <w:pPr>
              <w:pStyle w:val="Textoindependiente"/>
              <w:jc w:val="right"/>
              <w:rPr>
                <w:rFonts w:ascii="Arial" w:hAnsi="Arial" w:cs="Arial"/>
              </w:rPr>
            </w:pPr>
            <w:r w:rsidRPr="00E22E4C">
              <w:rPr>
                <w:rFonts w:ascii="Arial" w:hAnsi="Arial" w:cs="Arial"/>
              </w:rPr>
              <w:t>7.747.235</w:t>
            </w:r>
          </w:p>
        </w:tc>
        <w:tc>
          <w:tcPr>
            <w:tcW w:w="3730" w:type="dxa"/>
          </w:tcPr>
          <w:p w14:paraId="5B9BEC38" w14:textId="77777777" w:rsidR="005E5F3C" w:rsidRPr="00E22E4C" w:rsidRDefault="005E5F3C" w:rsidP="00D4226B">
            <w:pPr>
              <w:pStyle w:val="Textoindependiente"/>
              <w:jc w:val="right"/>
              <w:rPr>
                <w:rFonts w:ascii="Arial" w:hAnsi="Arial" w:cs="Arial"/>
              </w:rPr>
            </w:pPr>
            <w:r w:rsidRPr="00E22E4C">
              <w:rPr>
                <w:rFonts w:ascii="Arial" w:hAnsi="Arial" w:cs="Arial"/>
              </w:rPr>
              <w:t>7.966.493.885.670,00</w:t>
            </w:r>
          </w:p>
        </w:tc>
      </w:tr>
      <w:tr w:rsidR="005E5F3C" w:rsidRPr="00E22E4C" w14:paraId="0902E1C3" w14:textId="77777777" w:rsidTr="00D4226B">
        <w:tc>
          <w:tcPr>
            <w:tcW w:w="2263" w:type="dxa"/>
          </w:tcPr>
          <w:p w14:paraId="37C46D74" w14:textId="77777777" w:rsidR="005E5F3C" w:rsidRPr="00E22E4C" w:rsidRDefault="005E5F3C" w:rsidP="00D4226B">
            <w:pPr>
              <w:pStyle w:val="Textoindependiente"/>
              <w:jc w:val="both"/>
              <w:rPr>
                <w:rFonts w:ascii="Arial" w:hAnsi="Arial" w:cs="Arial"/>
                <w:b/>
              </w:rPr>
            </w:pPr>
            <w:r w:rsidRPr="00E22E4C">
              <w:rPr>
                <w:rFonts w:ascii="Arial" w:hAnsi="Arial" w:cs="Arial"/>
                <w:b/>
              </w:rPr>
              <w:t xml:space="preserve">PASIVO </w:t>
            </w:r>
          </w:p>
        </w:tc>
        <w:tc>
          <w:tcPr>
            <w:tcW w:w="3969" w:type="dxa"/>
          </w:tcPr>
          <w:p w14:paraId="05A7D1B0" w14:textId="77777777" w:rsidR="005E5F3C" w:rsidRPr="00E22E4C" w:rsidRDefault="005E5F3C" w:rsidP="00D4226B">
            <w:pPr>
              <w:pStyle w:val="Textoindependiente"/>
              <w:jc w:val="right"/>
              <w:rPr>
                <w:rFonts w:ascii="Arial" w:hAnsi="Arial" w:cs="Arial"/>
              </w:rPr>
            </w:pPr>
            <w:r w:rsidRPr="00E22E4C">
              <w:rPr>
                <w:rFonts w:ascii="Arial" w:hAnsi="Arial" w:cs="Arial"/>
              </w:rPr>
              <w:t>3.120.958</w:t>
            </w:r>
          </w:p>
        </w:tc>
        <w:tc>
          <w:tcPr>
            <w:tcW w:w="3730" w:type="dxa"/>
          </w:tcPr>
          <w:p w14:paraId="1223F88D" w14:textId="77777777" w:rsidR="005E5F3C" w:rsidRPr="00E22E4C" w:rsidRDefault="005E5F3C" w:rsidP="00D4226B">
            <w:pPr>
              <w:pStyle w:val="Textoindependiente"/>
              <w:jc w:val="right"/>
              <w:rPr>
                <w:rFonts w:ascii="Arial" w:hAnsi="Arial" w:cs="Arial"/>
              </w:rPr>
            </w:pPr>
            <w:r w:rsidRPr="00E22E4C">
              <w:rPr>
                <w:rFonts w:ascii="Arial" w:hAnsi="Arial" w:cs="Arial"/>
              </w:rPr>
              <w:t>3.340.215.211.686,00</w:t>
            </w:r>
          </w:p>
        </w:tc>
      </w:tr>
    </w:tbl>
    <w:p w14:paraId="4E9BB395" w14:textId="77777777" w:rsidR="005E5F3C" w:rsidRPr="00E22E4C" w:rsidRDefault="005E5F3C" w:rsidP="005E5F3C">
      <w:pPr>
        <w:pStyle w:val="Textoindependiente"/>
        <w:jc w:val="both"/>
        <w:rPr>
          <w:rFonts w:ascii="Arial" w:hAnsi="Arial" w:cs="Arial"/>
          <w:b/>
          <w:sz w:val="28"/>
          <w:szCs w:val="28"/>
        </w:rPr>
      </w:pPr>
    </w:p>
    <w:p w14:paraId="46452861" w14:textId="77777777" w:rsidR="005E5F3C" w:rsidRPr="00125C7F" w:rsidRDefault="005E5F3C" w:rsidP="005E5F3C">
      <w:pPr>
        <w:ind w:left="-284" w:right="-234"/>
        <w:jc w:val="both"/>
        <w:rPr>
          <w:rFonts w:ascii="Arial" w:hAnsi="Arial" w:cs="Arial"/>
          <w:b/>
          <w:sz w:val="28"/>
          <w:szCs w:val="28"/>
          <w:lang w:val="es-MX"/>
        </w:rPr>
      </w:pPr>
      <w:r w:rsidRPr="00125C7F">
        <w:rPr>
          <w:rFonts w:ascii="Arial" w:hAnsi="Arial" w:cs="Arial"/>
          <w:b/>
          <w:sz w:val="28"/>
          <w:szCs w:val="28"/>
          <w:lang w:val="es-MX"/>
        </w:rPr>
        <w:t xml:space="preserve">134.- FONDO MIXTO PARA EL DESARROLLO INTEGRAL DE LAS REGIONES DE COLOMBIA – FOMCOLOMBIA. </w:t>
      </w:r>
    </w:p>
    <w:p w14:paraId="662AF57E" w14:textId="77777777" w:rsidR="005E5F3C" w:rsidRDefault="005E5F3C" w:rsidP="005E5F3C">
      <w:pPr>
        <w:ind w:left="-284" w:right="-234"/>
        <w:jc w:val="both"/>
        <w:rPr>
          <w:rFonts w:ascii="Arial" w:hAnsi="Arial" w:cs="Arial"/>
          <w:b/>
          <w:sz w:val="24"/>
          <w:szCs w:val="24"/>
          <w:lang w:val="es-MX"/>
        </w:rPr>
      </w:pPr>
    </w:p>
    <w:p w14:paraId="1918BDF7" w14:textId="77777777" w:rsidR="005E5F3C" w:rsidRPr="00125C7F" w:rsidRDefault="005E5F3C" w:rsidP="005E5F3C">
      <w:pPr>
        <w:pStyle w:val="Textoindependiente"/>
        <w:ind w:left="-284" w:right="-234"/>
        <w:jc w:val="both"/>
        <w:rPr>
          <w:rFonts w:ascii="Arial" w:hAnsi="Arial" w:cs="Arial"/>
          <w:bCs/>
          <w:sz w:val="24"/>
          <w:szCs w:val="24"/>
        </w:rPr>
      </w:pPr>
      <w:r w:rsidRPr="00125C7F">
        <w:rPr>
          <w:rFonts w:ascii="Arial" w:hAnsi="Arial" w:cs="Arial"/>
          <w:b/>
          <w:sz w:val="24"/>
          <w:szCs w:val="24"/>
        </w:rPr>
        <w:t>NOTA</w:t>
      </w:r>
      <w:r w:rsidRPr="00125C7F">
        <w:rPr>
          <w:rFonts w:ascii="Arial" w:hAnsi="Arial" w:cs="Arial"/>
          <w:bCs/>
          <w:sz w:val="24"/>
          <w:szCs w:val="24"/>
        </w:rPr>
        <w:t xml:space="preserve">: La entidad presenta en el Estado de Situación Financiera un patrimonio a 31-12-2024 por valor de </w:t>
      </w:r>
      <w:r w:rsidRPr="00125C7F">
        <w:rPr>
          <w:rFonts w:ascii="Arial" w:hAnsi="Arial" w:cs="Arial"/>
          <w:bCs/>
          <w:sz w:val="24"/>
          <w:szCs w:val="24"/>
          <w:highlight w:val="yellow"/>
        </w:rPr>
        <w:t>$33.335.318,67</w:t>
      </w:r>
      <w:r w:rsidRPr="00125C7F">
        <w:rPr>
          <w:rFonts w:ascii="Arial" w:hAnsi="Arial" w:cs="Arial"/>
          <w:bCs/>
          <w:sz w:val="24"/>
          <w:szCs w:val="24"/>
        </w:rPr>
        <w:t xml:space="preserve"> pesos, cifra que no coincide con la presentada en el Estado de Cambios en el Patrimonio, así:</w:t>
      </w:r>
    </w:p>
    <w:p w14:paraId="653C6261" w14:textId="77777777" w:rsidR="005E5F3C" w:rsidRPr="00125C7F" w:rsidRDefault="005E5F3C" w:rsidP="005E5F3C">
      <w:pPr>
        <w:pStyle w:val="Textoindependiente"/>
        <w:ind w:right="-50"/>
        <w:jc w:val="both"/>
        <w:rPr>
          <w:rFonts w:ascii="Arial" w:hAnsi="Arial" w:cs="Arial"/>
          <w:b/>
          <w:sz w:val="24"/>
          <w:szCs w:val="24"/>
        </w:rPr>
      </w:pPr>
    </w:p>
    <w:p w14:paraId="5896FF2D" w14:textId="77777777" w:rsidR="005E5F3C" w:rsidRDefault="005E5F3C" w:rsidP="005E5F3C">
      <w:pPr>
        <w:pStyle w:val="Textoindependiente"/>
        <w:ind w:right="-50"/>
        <w:jc w:val="both"/>
        <w:rPr>
          <w:b/>
          <w:sz w:val="28"/>
          <w:szCs w:val="28"/>
        </w:rPr>
      </w:pPr>
      <w:r w:rsidRPr="00D44F92">
        <w:rPr>
          <w:b/>
          <w:noProof/>
          <w:sz w:val="28"/>
          <w:szCs w:val="28"/>
          <w:lang w:val="es-CO" w:eastAsia="es-CO"/>
        </w:rPr>
        <w:drawing>
          <wp:inline distT="0" distB="0" distL="0" distR="0" wp14:anchorId="0AB8DAAF" wp14:editId="70AA21AB">
            <wp:extent cx="6332220" cy="17532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2220" cy="1753235"/>
                    </a:xfrm>
                    <a:prstGeom prst="rect">
                      <a:avLst/>
                    </a:prstGeom>
                  </pic:spPr>
                </pic:pic>
              </a:graphicData>
            </a:graphic>
          </wp:inline>
        </w:drawing>
      </w:r>
    </w:p>
    <w:p w14:paraId="33C83651" w14:textId="77777777" w:rsidR="005E5F3C" w:rsidRDefault="005E5F3C" w:rsidP="005E5F3C">
      <w:pPr>
        <w:pStyle w:val="Textoindependiente"/>
        <w:ind w:right="-50"/>
        <w:jc w:val="both"/>
        <w:rPr>
          <w:b/>
          <w:sz w:val="28"/>
          <w:szCs w:val="28"/>
        </w:rPr>
      </w:pPr>
    </w:p>
    <w:p w14:paraId="22D89A85" w14:textId="77777777" w:rsidR="005E5F3C" w:rsidRPr="00D50410" w:rsidRDefault="005E5F3C" w:rsidP="005E5F3C">
      <w:pPr>
        <w:ind w:left="-284"/>
        <w:jc w:val="both"/>
        <w:rPr>
          <w:rFonts w:ascii="Arial" w:hAnsi="Arial" w:cs="Arial"/>
          <w:b/>
          <w:sz w:val="28"/>
          <w:szCs w:val="28"/>
          <w:lang w:val="es-MX"/>
        </w:rPr>
      </w:pPr>
      <w:r w:rsidRPr="00D50410">
        <w:rPr>
          <w:rFonts w:ascii="Arial" w:hAnsi="Arial" w:cs="Arial"/>
          <w:b/>
          <w:sz w:val="28"/>
          <w:szCs w:val="28"/>
          <w:lang w:val="es-MX"/>
        </w:rPr>
        <w:t>140.- FINANCIERA DE DESARROLLO TERRITORIAL – FINDETER.</w:t>
      </w:r>
    </w:p>
    <w:p w14:paraId="6AAC92AA" w14:textId="77777777" w:rsidR="005E5F3C" w:rsidRDefault="005E5F3C" w:rsidP="005E5F3C">
      <w:pPr>
        <w:ind w:right="-234"/>
        <w:jc w:val="both"/>
        <w:rPr>
          <w:rFonts w:ascii="Arial" w:hAnsi="Arial" w:cs="Arial"/>
          <w:b/>
          <w:sz w:val="24"/>
          <w:szCs w:val="24"/>
          <w:lang w:val="es-MX"/>
        </w:rPr>
      </w:pPr>
    </w:p>
    <w:p w14:paraId="7983865B" w14:textId="77777777" w:rsidR="005E5F3C" w:rsidRPr="00D50410" w:rsidRDefault="005E5F3C" w:rsidP="005E5F3C">
      <w:pPr>
        <w:pStyle w:val="Textoindependiente"/>
        <w:ind w:left="-284" w:right="-234"/>
        <w:jc w:val="both"/>
        <w:rPr>
          <w:rFonts w:ascii="Arial" w:hAnsi="Arial" w:cs="Arial"/>
          <w:b/>
          <w:sz w:val="24"/>
          <w:szCs w:val="24"/>
        </w:rPr>
      </w:pPr>
      <w:r>
        <w:rPr>
          <w:b/>
        </w:rPr>
        <w:t>-</w:t>
      </w:r>
      <w:r w:rsidRPr="00D50410">
        <w:rPr>
          <w:rFonts w:ascii="Arial" w:hAnsi="Arial" w:cs="Arial"/>
          <w:b/>
          <w:sz w:val="24"/>
          <w:szCs w:val="24"/>
        </w:rPr>
        <w:t>Al comparar los Estados Financieros con el formulario de saldos y movimientos encontramos diferencias en el Activo y en el Pasivo así:</w:t>
      </w:r>
    </w:p>
    <w:p w14:paraId="45C641E7" w14:textId="77777777" w:rsidR="005E5F3C" w:rsidRPr="00D50410" w:rsidRDefault="005E5F3C" w:rsidP="005E5F3C">
      <w:pPr>
        <w:pStyle w:val="Textoindependiente"/>
        <w:jc w:val="both"/>
        <w:rPr>
          <w:rFonts w:ascii="Arial" w:hAnsi="Arial" w:cs="Arial"/>
          <w:b/>
        </w:rPr>
      </w:pPr>
    </w:p>
    <w:tbl>
      <w:tblPr>
        <w:tblStyle w:val="Tablaconcuadrcula"/>
        <w:tblW w:w="0" w:type="auto"/>
        <w:tblInd w:w="137" w:type="dxa"/>
        <w:tblLook w:val="04A0" w:firstRow="1" w:lastRow="0" w:firstColumn="1" w:lastColumn="0" w:noHBand="0" w:noVBand="1"/>
      </w:tblPr>
      <w:tblGrid>
        <w:gridCol w:w="2126"/>
        <w:gridCol w:w="3969"/>
        <w:gridCol w:w="3544"/>
      </w:tblGrid>
      <w:tr w:rsidR="005E5F3C" w:rsidRPr="00D50410" w14:paraId="7D648C1F" w14:textId="77777777" w:rsidTr="00D4226B">
        <w:tc>
          <w:tcPr>
            <w:tcW w:w="2126" w:type="dxa"/>
          </w:tcPr>
          <w:p w14:paraId="61DB03AC" w14:textId="77777777" w:rsidR="005E5F3C" w:rsidRPr="00D50410" w:rsidRDefault="005E5F3C" w:rsidP="00D4226B">
            <w:pPr>
              <w:pStyle w:val="Textoindependiente"/>
              <w:jc w:val="center"/>
              <w:rPr>
                <w:rFonts w:ascii="Arial" w:hAnsi="Arial" w:cs="Arial"/>
                <w:b/>
              </w:rPr>
            </w:pPr>
            <w:r w:rsidRPr="00D50410">
              <w:rPr>
                <w:rFonts w:ascii="Arial" w:hAnsi="Arial" w:cs="Arial"/>
                <w:b/>
              </w:rPr>
              <w:t>CUENTA</w:t>
            </w:r>
          </w:p>
        </w:tc>
        <w:tc>
          <w:tcPr>
            <w:tcW w:w="3969" w:type="dxa"/>
          </w:tcPr>
          <w:p w14:paraId="2A28C5A3" w14:textId="77777777" w:rsidR="005E5F3C" w:rsidRPr="00D50410" w:rsidRDefault="005E5F3C" w:rsidP="00D4226B">
            <w:pPr>
              <w:pStyle w:val="Textoindependiente"/>
              <w:jc w:val="center"/>
              <w:rPr>
                <w:rFonts w:ascii="Arial" w:hAnsi="Arial" w:cs="Arial"/>
                <w:b/>
              </w:rPr>
            </w:pPr>
            <w:r w:rsidRPr="00D50410">
              <w:rPr>
                <w:rFonts w:ascii="Arial" w:hAnsi="Arial" w:cs="Arial"/>
                <w:b/>
              </w:rPr>
              <w:t>ESTADO DE SITUACION FINANICERA</w:t>
            </w:r>
          </w:p>
          <w:p w14:paraId="7932C41F" w14:textId="77777777" w:rsidR="005E5F3C" w:rsidRPr="00D50410" w:rsidRDefault="005E5F3C" w:rsidP="00D4226B">
            <w:pPr>
              <w:pStyle w:val="Textoindependiente"/>
              <w:jc w:val="center"/>
              <w:rPr>
                <w:rFonts w:ascii="Arial" w:hAnsi="Arial" w:cs="Arial"/>
                <w:b/>
              </w:rPr>
            </w:pPr>
            <w:r w:rsidRPr="00D50410">
              <w:rPr>
                <w:rFonts w:ascii="Arial" w:hAnsi="Arial" w:cs="Arial"/>
                <w:b/>
              </w:rPr>
              <w:t>(Miles de pesos)</w:t>
            </w:r>
          </w:p>
        </w:tc>
        <w:tc>
          <w:tcPr>
            <w:tcW w:w="3544" w:type="dxa"/>
          </w:tcPr>
          <w:p w14:paraId="2B9AC529" w14:textId="77777777" w:rsidR="005E5F3C" w:rsidRPr="00D50410" w:rsidRDefault="005E5F3C" w:rsidP="00D4226B">
            <w:pPr>
              <w:pStyle w:val="Textoindependiente"/>
              <w:jc w:val="center"/>
              <w:rPr>
                <w:rFonts w:ascii="Arial" w:hAnsi="Arial" w:cs="Arial"/>
                <w:b/>
              </w:rPr>
            </w:pPr>
            <w:r w:rsidRPr="00D50410">
              <w:rPr>
                <w:rFonts w:ascii="Arial" w:hAnsi="Arial" w:cs="Arial"/>
                <w:b/>
              </w:rPr>
              <w:t>SALDOS Y MOVIMIENTOS</w:t>
            </w:r>
          </w:p>
          <w:p w14:paraId="6B8A7EF3" w14:textId="77777777" w:rsidR="005E5F3C" w:rsidRPr="00D50410" w:rsidRDefault="005E5F3C" w:rsidP="00D4226B">
            <w:pPr>
              <w:pStyle w:val="Textoindependiente"/>
              <w:jc w:val="center"/>
              <w:rPr>
                <w:rFonts w:ascii="Arial" w:hAnsi="Arial" w:cs="Arial"/>
                <w:b/>
              </w:rPr>
            </w:pPr>
            <w:r w:rsidRPr="00D50410">
              <w:rPr>
                <w:rFonts w:ascii="Arial" w:hAnsi="Arial" w:cs="Arial"/>
                <w:b/>
              </w:rPr>
              <w:t>(Pesos)</w:t>
            </w:r>
          </w:p>
          <w:p w14:paraId="3B350DF0" w14:textId="77777777" w:rsidR="005E5F3C" w:rsidRPr="00D50410" w:rsidRDefault="005E5F3C" w:rsidP="00D4226B">
            <w:pPr>
              <w:pStyle w:val="Textoindependiente"/>
              <w:jc w:val="center"/>
              <w:rPr>
                <w:rFonts w:ascii="Arial" w:hAnsi="Arial" w:cs="Arial"/>
                <w:b/>
              </w:rPr>
            </w:pPr>
          </w:p>
        </w:tc>
      </w:tr>
      <w:tr w:rsidR="005E5F3C" w:rsidRPr="00D50410" w14:paraId="75763186" w14:textId="77777777" w:rsidTr="00D4226B">
        <w:tc>
          <w:tcPr>
            <w:tcW w:w="2126" w:type="dxa"/>
          </w:tcPr>
          <w:p w14:paraId="15607C99" w14:textId="77777777" w:rsidR="005E5F3C" w:rsidRPr="00D50410" w:rsidRDefault="005E5F3C" w:rsidP="00D4226B">
            <w:pPr>
              <w:pStyle w:val="Textoindependiente"/>
              <w:jc w:val="both"/>
              <w:rPr>
                <w:rFonts w:ascii="Arial" w:hAnsi="Arial" w:cs="Arial"/>
                <w:b/>
              </w:rPr>
            </w:pPr>
            <w:r w:rsidRPr="00D50410">
              <w:rPr>
                <w:rFonts w:ascii="Arial" w:hAnsi="Arial" w:cs="Arial"/>
                <w:b/>
              </w:rPr>
              <w:t xml:space="preserve">ACTIVO </w:t>
            </w:r>
          </w:p>
        </w:tc>
        <w:tc>
          <w:tcPr>
            <w:tcW w:w="3969" w:type="dxa"/>
          </w:tcPr>
          <w:p w14:paraId="3198AC76" w14:textId="77777777" w:rsidR="005E5F3C" w:rsidRPr="00D50410" w:rsidRDefault="005E5F3C" w:rsidP="00D4226B">
            <w:pPr>
              <w:pStyle w:val="Textoindependiente"/>
              <w:jc w:val="right"/>
              <w:rPr>
                <w:rFonts w:ascii="Arial" w:hAnsi="Arial" w:cs="Arial"/>
              </w:rPr>
            </w:pPr>
            <w:r w:rsidRPr="00D50410">
              <w:rPr>
                <w:rFonts w:ascii="Arial" w:hAnsi="Arial" w:cs="Arial"/>
              </w:rPr>
              <w:t>16.139.484.426</w:t>
            </w:r>
          </w:p>
        </w:tc>
        <w:tc>
          <w:tcPr>
            <w:tcW w:w="3544" w:type="dxa"/>
          </w:tcPr>
          <w:p w14:paraId="491CEB28" w14:textId="77777777" w:rsidR="005E5F3C" w:rsidRPr="00D50410" w:rsidRDefault="005E5F3C" w:rsidP="00D4226B">
            <w:pPr>
              <w:pStyle w:val="Textoindependiente"/>
              <w:jc w:val="right"/>
              <w:rPr>
                <w:rFonts w:ascii="Arial" w:hAnsi="Arial" w:cs="Arial"/>
              </w:rPr>
            </w:pPr>
            <w:r w:rsidRPr="00D50410">
              <w:rPr>
                <w:rFonts w:ascii="Arial" w:hAnsi="Arial" w:cs="Arial"/>
              </w:rPr>
              <w:t>16.261.282.818.472</w:t>
            </w:r>
          </w:p>
        </w:tc>
      </w:tr>
      <w:tr w:rsidR="005E5F3C" w:rsidRPr="00D50410" w14:paraId="147D1D7A" w14:textId="77777777" w:rsidTr="00D4226B">
        <w:tc>
          <w:tcPr>
            <w:tcW w:w="2126" w:type="dxa"/>
          </w:tcPr>
          <w:p w14:paraId="5256D345" w14:textId="77777777" w:rsidR="005E5F3C" w:rsidRPr="00D50410" w:rsidRDefault="005E5F3C" w:rsidP="00D4226B">
            <w:pPr>
              <w:pStyle w:val="Textoindependiente"/>
              <w:jc w:val="both"/>
              <w:rPr>
                <w:rFonts w:ascii="Arial" w:hAnsi="Arial" w:cs="Arial"/>
                <w:b/>
              </w:rPr>
            </w:pPr>
            <w:r w:rsidRPr="00D50410">
              <w:rPr>
                <w:rFonts w:ascii="Arial" w:hAnsi="Arial" w:cs="Arial"/>
                <w:b/>
              </w:rPr>
              <w:t xml:space="preserve">PASIVO </w:t>
            </w:r>
          </w:p>
        </w:tc>
        <w:tc>
          <w:tcPr>
            <w:tcW w:w="3969" w:type="dxa"/>
          </w:tcPr>
          <w:p w14:paraId="67F3E5FD" w14:textId="77777777" w:rsidR="005E5F3C" w:rsidRPr="00D50410" w:rsidRDefault="005E5F3C" w:rsidP="00D4226B">
            <w:pPr>
              <w:pStyle w:val="Textoindependiente"/>
              <w:jc w:val="right"/>
              <w:rPr>
                <w:rFonts w:ascii="Arial" w:hAnsi="Arial" w:cs="Arial"/>
              </w:rPr>
            </w:pPr>
            <w:r w:rsidRPr="00D50410">
              <w:rPr>
                <w:rFonts w:ascii="Arial" w:hAnsi="Arial" w:cs="Arial"/>
              </w:rPr>
              <w:t>14.506.546.918</w:t>
            </w:r>
          </w:p>
        </w:tc>
        <w:tc>
          <w:tcPr>
            <w:tcW w:w="3544" w:type="dxa"/>
          </w:tcPr>
          <w:p w14:paraId="12CB18A5" w14:textId="77777777" w:rsidR="005E5F3C" w:rsidRPr="00D50410" w:rsidRDefault="005E5F3C" w:rsidP="00D4226B">
            <w:pPr>
              <w:pStyle w:val="Textoindependiente"/>
              <w:jc w:val="right"/>
              <w:rPr>
                <w:rFonts w:ascii="Arial" w:hAnsi="Arial" w:cs="Arial"/>
              </w:rPr>
            </w:pPr>
            <w:r w:rsidRPr="00D50410">
              <w:rPr>
                <w:rFonts w:ascii="Arial" w:hAnsi="Arial" w:cs="Arial"/>
              </w:rPr>
              <w:t>14.628.345.311.968</w:t>
            </w:r>
          </w:p>
        </w:tc>
      </w:tr>
    </w:tbl>
    <w:p w14:paraId="1EE09941" w14:textId="77777777" w:rsidR="005E5F3C" w:rsidRDefault="005E5F3C" w:rsidP="005E5F3C">
      <w:pPr>
        <w:ind w:right="-234"/>
        <w:jc w:val="both"/>
        <w:rPr>
          <w:rFonts w:ascii="Arial" w:hAnsi="Arial" w:cs="Arial"/>
          <w:b/>
          <w:sz w:val="24"/>
          <w:szCs w:val="24"/>
          <w:lang w:val="es-MX"/>
        </w:rPr>
      </w:pPr>
    </w:p>
    <w:p w14:paraId="2964147A" w14:textId="77777777" w:rsidR="005E5F3C" w:rsidRPr="00BA1AA6" w:rsidRDefault="005E5F3C" w:rsidP="005E5F3C">
      <w:pPr>
        <w:ind w:left="-284"/>
        <w:jc w:val="both"/>
        <w:rPr>
          <w:rFonts w:ascii="Arial" w:hAnsi="Arial" w:cs="Arial"/>
          <w:b/>
          <w:sz w:val="28"/>
          <w:szCs w:val="28"/>
          <w:lang w:val="es-MX"/>
        </w:rPr>
      </w:pPr>
      <w:r w:rsidRPr="00BA1AA6">
        <w:rPr>
          <w:rFonts w:ascii="Arial" w:hAnsi="Arial" w:cs="Arial"/>
          <w:b/>
          <w:sz w:val="28"/>
          <w:szCs w:val="28"/>
          <w:lang w:val="es-MX"/>
        </w:rPr>
        <w:t xml:space="preserve">145.- </w:t>
      </w:r>
      <w:r w:rsidRPr="00BA1AA6">
        <w:rPr>
          <w:rFonts w:ascii="Arial" w:hAnsi="Arial" w:cs="Arial"/>
          <w:b/>
          <w:sz w:val="28"/>
          <w:szCs w:val="28"/>
        </w:rPr>
        <w:t>ECOPETROL S.A.</w:t>
      </w:r>
    </w:p>
    <w:p w14:paraId="60D4BAF0" w14:textId="77777777" w:rsidR="005E5F3C" w:rsidRPr="00BA1AA6" w:rsidRDefault="005E5F3C" w:rsidP="005E5F3C">
      <w:pPr>
        <w:pStyle w:val="Textoindependiente"/>
        <w:ind w:left="-284" w:right="-234"/>
        <w:jc w:val="both"/>
        <w:rPr>
          <w:rFonts w:ascii="Arial" w:hAnsi="Arial" w:cs="Arial"/>
          <w:b/>
          <w:bCs/>
          <w:sz w:val="24"/>
          <w:szCs w:val="24"/>
        </w:rPr>
      </w:pPr>
      <w:r w:rsidRPr="00BA1AA6">
        <w:rPr>
          <w:rFonts w:ascii="Arial" w:hAnsi="Arial" w:cs="Arial"/>
          <w:bCs/>
          <w:sz w:val="24"/>
          <w:szCs w:val="24"/>
        </w:rPr>
        <w:lastRenderedPageBreak/>
        <w:t xml:space="preserve">- </w:t>
      </w:r>
      <w:r w:rsidRPr="00BA1AA6">
        <w:rPr>
          <w:rFonts w:ascii="Arial" w:hAnsi="Arial" w:cs="Arial"/>
          <w:b/>
          <w:bCs/>
          <w:sz w:val="24"/>
          <w:szCs w:val="24"/>
        </w:rPr>
        <w:t>Al comparar el saldo del Activo y Pasivo reflejado en el Estado de Situación Financiera con el reportado en el Informe de Saldos y Movimientos, encontramos diferencia así:</w:t>
      </w:r>
    </w:p>
    <w:p w14:paraId="5C14790E" w14:textId="77777777" w:rsidR="005E5F3C" w:rsidRPr="00BA1AA6" w:rsidRDefault="005E5F3C" w:rsidP="005E5F3C">
      <w:pPr>
        <w:pStyle w:val="Textoindependiente"/>
        <w:jc w:val="both"/>
        <w:rPr>
          <w:rFonts w:ascii="Arial" w:hAnsi="Arial" w:cs="Arial"/>
          <w:b/>
          <w:bCs/>
          <w:sz w:val="24"/>
          <w:szCs w:val="24"/>
        </w:rPr>
      </w:pPr>
    </w:p>
    <w:tbl>
      <w:tblPr>
        <w:tblStyle w:val="Tablaconcuadrcula"/>
        <w:tblW w:w="0" w:type="auto"/>
        <w:tblInd w:w="137" w:type="dxa"/>
        <w:tblLook w:val="04A0" w:firstRow="1" w:lastRow="0" w:firstColumn="1" w:lastColumn="0" w:noHBand="0" w:noVBand="1"/>
      </w:tblPr>
      <w:tblGrid>
        <w:gridCol w:w="3183"/>
        <w:gridCol w:w="3321"/>
        <w:gridCol w:w="2993"/>
      </w:tblGrid>
      <w:tr w:rsidR="005E5F3C" w:rsidRPr="00BA1AA6" w14:paraId="08AC0D60" w14:textId="77777777" w:rsidTr="00D4226B">
        <w:tc>
          <w:tcPr>
            <w:tcW w:w="3183" w:type="dxa"/>
          </w:tcPr>
          <w:p w14:paraId="1874EF32" w14:textId="77777777" w:rsidR="005E5F3C" w:rsidRPr="00BA1AA6" w:rsidRDefault="005E5F3C" w:rsidP="00D4226B">
            <w:pPr>
              <w:pStyle w:val="Textoindependiente"/>
              <w:jc w:val="center"/>
              <w:rPr>
                <w:rFonts w:ascii="Arial" w:hAnsi="Arial" w:cs="Arial"/>
                <w:b/>
                <w:bCs/>
              </w:rPr>
            </w:pPr>
            <w:r w:rsidRPr="00BA1AA6">
              <w:rPr>
                <w:rFonts w:ascii="Arial" w:hAnsi="Arial" w:cs="Arial"/>
                <w:b/>
                <w:bCs/>
              </w:rPr>
              <w:t>Cuenta</w:t>
            </w:r>
          </w:p>
        </w:tc>
        <w:tc>
          <w:tcPr>
            <w:tcW w:w="3321" w:type="dxa"/>
          </w:tcPr>
          <w:p w14:paraId="59091439" w14:textId="77777777" w:rsidR="005E5F3C" w:rsidRPr="00BA1AA6" w:rsidRDefault="005E5F3C" w:rsidP="00D4226B">
            <w:pPr>
              <w:pStyle w:val="Textoindependiente"/>
              <w:jc w:val="center"/>
              <w:rPr>
                <w:rFonts w:ascii="Arial" w:hAnsi="Arial" w:cs="Arial"/>
                <w:b/>
                <w:bCs/>
              </w:rPr>
            </w:pPr>
            <w:r w:rsidRPr="00BA1AA6">
              <w:rPr>
                <w:rFonts w:ascii="Arial" w:hAnsi="Arial" w:cs="Arial"/>
                <w:b/>
                <w:bCs/>
              </w:rPr>
              <w:t>Saldo Estado de Situación Financiera</w:t>
            </w:r>
          </w:p>
          <w:p w14:paraId="4C59BE5A" w14:textId="77777777" w:rsidR="005E5F3C" w:rsidRPr="00BA1AA6" w:rsidRDefault="005E5F3C" w:rsidP="00D4226B">
            <w:pPr>
              <w:pStyle w:val="Textoindependiente"/>
              <w:jc w:val="center"/>
              <w:rPr>
                <w:rFonts w:ascii="Arial" w:hAnsi="Arial" w:cs="Arial"/>
                <w:b/>
                <w:bCs/>
              </w:rPr>
            </w:pPr>
            <w:r w:rsidRPr="00BA1AA6">
              <w:rPr>
                <w:rFonts w:ascii="Arial" w:hAnsi="Arial" w:cs="Arial"/>
                <w:b/>
                <w:bCs/>
              </w:rPr>
              <w:t>(Cifras en millones Pesos)</w:t>
            </w:r>
          </w:p>
          <w:p w14:paraId="29E84EE6" w14:textId="77777777" w:rsidR="005E5F3C" w:rsidRPr="00BA1AA6" w:rsidRDefault="005E5F3C" w:rsidP="00D4226B">
            <w:pPr>
              <w:pStyle w:val="Textoindependiente"/>
              <w:jc w:val="center"/>
              <w:rPr>
                <w:rFonts w:ascii="Arial" w:hAnsi="Arial" w:cs="Arial"/>
                <w:b/>
                <w:bCs/>
              </w:rPr>
            </w:pPr>
          </w:p>
        </w:tc>
        <w:tc>
          <w:tcPr>
            <w:tcW w:w="2993" w:type="dxa"/>
          </w:tcPr>
          <w:p w14:paraId="50279CFA" w14:textId="77777777" w:rsidR="005E5F3C" w:rsidRPr="00BA1AA6" w:rsidRDefault="005E5F3C" w:rsidP="00D4226B">
            <w:pPr>
              <w:pStyle w:val="Textoindependiente"/>
              <w:jc w:val="center"/>
              <w:rPr>
                <w:rFonts w:ascii="Arial" w:hAnsi="Arial" w:cs="Arial"/>
                <w:b/>
                <w:bCs/>
              </w:rPr>
            </w:pPr>
            <w:r w:rsidRPr="00BA1AA6">
              <w:rPr>
                <w:rFonts w:ascii="Arial" w:hAnsi="Arial" w:cs="Arial"/>
                <w:b/>
                <w:bCs/>
              </w:rPr>
              <w:t>Saldo Informe de Saldos y Movimientos</w:t>
            </w:r>
          </w:p>
          <w:p w14:paraId="1ABE1158" w14:textId="77777777" w:rsidR="005E5F3C" w:rsidRPr="00BA1AA6" w:rsidRDefault="005E5F3C" w:rsidP="00D4226B">
            <w:pPr>
              <w:pStyle w:val="Textoindependiente"/>
              <w:jc w:val="center"/>
              <w:rPr>
                <w:rFonts w:ascii="Arial" w:hAnsi="Arial" w:cs="Arial"/>
                <w:b/>
                <w:bCs/>
              </w:rPr>
            </w:pPr>
            <w:r w:rsidRPr="00BA1AA6">
              <w:rPr>
                <w:rFonts w:ascii="Arial" w:hAnsi="Arial" w:cs="Arial"/>
                <w:b/>
                <w:bCs/>
              </w:rPr>
              <w:t>(Cifras en millones Pesos)</w:t>
            </w:r>
          </w:p>
        </w:tc>
      </w:tr>
      <w:tr w:rsidR="005E5F3C" w:rsidRPr="00BA1AA6" w14:paraId="56E91BA4" w14:textId="77777777" w:rsidTr="00D4226B">
        <w:tc>
          <w:tcPr>
            <w:tcW w:w="3183" w:type="dxa"/>
          </w:tcPr>
          <w:p w14:paraId="4B89DC63" w14:textId="77777777" w:rsidR="005E5F3C" w:rsidRPr="00BA1AA6" w:rsidRDefault="005E5F3C" w:rsidP="00D4226B">
            <w:pPr>
              <w:pStyle w:val="Textoindependiente"/>
              <w:jc w:val="both"/>
              <w:rPr>
                <w:rFonts w:ascii="Arial" w:hAnsi="Arial" w:cs="Arial"/>
                <w:bCs/>
              </w:rPr>
            </w:pPr>
            <w:r w:rsidRPr="00BA1AA6">
              <w:rPr>
                <w:rFonts w:ascii="Arial" w:hAnsi="Arial" w:cs="Arial"/>
                <w:bCs/>
              </w:rPr>
              <w:t>Activo</w:t>
            </w:r>
          </w:p>
        </w:tc>
        <w:tc>
          <w:tcPr>
            <w:tcW w:w="3321" w:type="dxa"/>
          </w:tcPr>
          <w:p w14:paraId="02D8AADE" w14:textId="77777777" w:rsidR="005E5F3C" w:rsidRPr="00BA1AA6" w:rsidRDefault="005E5F3C" w:rsidP="00D4226B">
            <w:pPr>
              <w:pStyle w:val="Textoindependiente"/>
              <w:jc w:val="right"/>
              <w:rPr>
                <w:rFonts w:ascii="Arial" w:hAnsi="Arial" w:cs="Arial"/>
                <w:bCs/>
              </w:rPr>
            </w:pPr>
            <w:r w:rsidRPr="00BA1AA6">
              <w:rPr>
                <w:rFonts w:ascii="Arial" w:hAnsi="Arial" w:cs="Arial"/>
                <w:bCs/>
              </w:rPr>
              <w:t>214.240.962</w:t>
            </w:r>
          </w:p>
        </w:tc>
        <w:tc>
          <w:tcPr>
            <w:tcW w:w="2993" w:type="dxa"/>
          </w:tcPr>
          <w:p w14:paraId="4D1FC583" w14:textId="77777777" w:rsidR="005E5F3C" w:rsidRPr="00BA1AA6" w:rsidRDefault="005E5F3C" w:rsidP="00D4226B">
            <w:pPr>
              <w:pStyle w:val="Textoindependiente"/>
              <w:jc w:val="right"/>
              <w:rPr>
                <w:rFonts w:ascii="Arial" w:hAnsi="Arial" w:cs="Arial"/>
                <w:bCs/>
              </w:rPr>
            </w:pPr>
            <w:r w:rsidRPr="00BA1AA6">
              <w:rPr>
                <w:rFonts w:ascii="Arial" w:hAnsi="Arial" w:cs="Arial"/>
                <w:bCs/>
              </w:rPr>
              <w:t>226.035.310</w:t>
            </w:r>
          </w:p>
        </w:tc>
      </w:tr>
      <w:tr w:rsidR="005E5F3C" w:rsidRPr="00BA1AA6" w14:paraId="2366ACAA" w14:textId="77777777" w:rsidTr="00D4226B">
        <w:tc>
          <w:tcPr>
            <w:tcW w:w="3183" w:type="dxa"/>
          </w:tcPr>
          <w:p w14:paraId="47D64662" w14:textId="77777777" w:rsidR="005E5F3C" w:rsidRPr="00BA1AA6" w:rsidRDefault="005E5F3C" w:rsidP="00D4226B">
            <w:pPr>
              <w:pStyle w:val="Textoindependiente"/>
              <w:jc w:val="both"/>
              <w:rPr>
                <w:rFonts w:ascii="Arial" w:hAnsi="Arial" w:cs="Arial"/>
                <w:bCs/>
              </w:rPr>
            </w:pPr>
            <w:r w:rsidRPr="00BA1AA6">
              <w:rPr>
                <w:rFonts w:ascii="Arial" w:hAnsi="Arial" w:cs="Arial"/>
                <w:bCs/>
              </w:rPr>
              <w:t>Pasivo</w:t>
            </w:r>
          </w:p>
        </w:tc>
        <w:tc>
          <w:tcPr>
            <w:tcW w:w="3321" w:type="dxa"/>
          </w:tcPr>
          <w:p w14:paraId="0256F559" w14:textId="77777777" w:rsidR="005E5F3C" w:rsidRPr="00BA1AA6" w:rsidRDefault="005E5F3C" w:rsidP="00D4226B">
            <w:pPr>
              <w:pStyle w:val="Textoindependiente"/>
              <w:jc w:val="right"/>
              <w:rPr>
                <w:rFonts w:ascii="Arial" w:hAnsi="Arial" w:cs="Arial"/>
                <w:bCs/>
              </w:rPr>
            </w:pPr>
            <w:r w:rsidRPr="00BA1AA6">
              <w:rPr>
                <w:rFonts w:ascii="Arial" w:hAnsi="Arial" w:cs="Arial"/>
                <w:bCs/>
              </w:rPr>
              <w:t>130.544.063</w:t>
            </w:r>
          </w:p>
        </w:tc>
        <w:tc>
          <w:tcPr>
            <w:tcW w:w="2993" w:type="dxa"/>
          </w:tcPr>
          <w:p w14:paraId="5D0EFF58" w14:textId="77777777" w:rsidR="005E5F3C" w:rsidRPr="00BA1AA6" w:rsidRDefault="005E5F3C" w:rsidP="00D4226B">
            <w:pPr>
              <w:pStyle w:val="Textoindependiente"/>
              <w:jc w:val="right"/>
              <w:rPr>
                <w:rFonts w:ascii="Arial" w:hAnsi="Arial" w:cs="Arial"/>
                <w:bCs/>
              </w:rPr>
            </w:pPr>
            <w:r w:rsidRPr="00BA1AA6">
              <w:rPr>
                <w:rFonts w:ascii="Arial" w:hAnsi="Arial" w:cs="Arial"/>
                <w:bCs/>
              </w:rPr>
              <w:t>142.338.411</w:t>
            </w:r>
          </w:p>
        </w:tc>
      </w:tr>
    </w:tbl>
    <w:p w14:paraId="34FAAA22" w14:textId="77777777" w:rsidR="005E5F3C" w:rsidRDefault="005E5F3C" w:rsidP="005E5F3C">
      <w:pPr>
        <w:ind w:right="-234"/>
        <w:jc w:val="both"/>
        <w:rPr>
          <w:rFonts w:ascii="Arial" w:hAnsi="Arial" w:cs="Arial"/>
          <w:b/>
          <w:sz w:val="24"/>
          <w:szCs w:val="24"/>
          <w:lang w:val="es-MX"/>
        </w:rPr>
      </w:pPr>
    </w:p>
    <w:p w14:paraId="0F5DB2EC" w14:textId="77777777" w:rsidR="005E5F3C" w:rsidRPr="00E908AC" w:rsidRDefault="005E5F3C" w:rsidP="005E5F3C">
      <w:pPr>
        <w:ind w:left="-284"/>
        <w:jc w:val="both"/>
        <w:rPr>
          <w:rFonts w:ascii="Arial" w:hAnsi="Arial" w:cs="Arial"/>
          <w:b/>
          <w:sz w:val="28"/>
          <w:szCs w:val="28"/>
          <w:lang w:val="es-MX"/>
        </w:rPr>
      </w:pPr>
      <w:r w:rsidRPr="00E908AC">
        <w:rPr>
          <w:rFonts w:ascii="Arial" w:hAnsi="Arial" w:cs="Arial"/>
          <w:b/>
          <w:sz w:val="28"/>
          <w:szCs w:val="28"/>
          <w:lang w:val="es-MX"/>
        </w:rPr>
        <w:t>151.- ISA INTERCOLOMBIA S.A. E.S.P.</w:t>
      </w:r>
    </w:p>
    <w:p w14:paraId="18A5AFAD" w14:textId="77777777" w:rsidR="005E5F3C" w:rsidRDefault="005E5F3C" w:rsidP="005E5F3C">
      <w:pPr>
        <w:ind w:right="-234"/>
        <w:jc w:val="both"/>
        <w:rPr>
          <w:rFonts w:ascii="Arial" w:hAnsi="Arial" w:cs="Arial"/>
          <w:b/>
          <w:sz w:val="24"/>
          <w:szCs w:val="24"/>
          <w:lang w:val="es-MX"/>
        </w:rPr>
      </w:pPr>
    </w:p>
    <w:p w14:paraId="27512C35" w14:textId="77777777" w:rsidR="005E5F3C" w:rsidRPr="00E908AC" w:rsidRDefault="005E5F3C" w:rsidP="005E5F3C">
      <w:pPr>
        <w:pStyle w:val="Textoindependiente"/>
        <w:ind w:left="-284" w:right="-234"/>
        <w:jc w:val="both"/>
        <w:rPr>
          <w:rFonts w:ascii="Arial" w:hAnsi="Arial" w:cs="Arial"/>
          <w:bCs/>
          <w:sz w:val="24"/>
          <w:szCs w:val="24"/>
        </w:rPr>
      </w:pPr>
      <w:r w:rsidRPr="00E908AC">
        <w:rPr>
          <w:rFonts w:ascii="Arial" w:hAnsi="Arial" w:cs="Arial"/>
          <w:b/>
          <w:sz w:val="24"/>
          <w:szCs w:val="24"/>
        </w:rPr>
        <w:t>NOTA</w:t>
      </w:r>
      <w:r w:rsidRPr="00E908AC">
        <w:rPr>
          <w:rFonts w:ascii="Arial" w:hAnsi="Arial" w:cs="Arial"/>
          <w:bCs/>
          <w:sz w:val="24"/>
          <w:szCs w:val="24"/>
        </w:rPr>
        <w:t>: La entidad presenta diferencias en los valores del Estado de Situación Financiera y el Informe de Saldos y Movimientos de las siguientes cuentas:</w:t>
      </w:r>
    </w:p>
    <w:p w14:paraId="7019B51C" w14:textId="77777777" w:rsidR="005E5F3C" w:rsidRPr="00E908AC" w:rsidRDefault="005E5F3C" w:rsidP="005E5F3C">
      <w:pPr>
        <w:pStyle w:val="Textoindependiente"/>
        <w:ind w:right="-50"/>
        <w:jc w:val="both"/>
        <w:rPr>
          <w:rFonts w:ascii="Arial" w:hAnsi="Arial" w:cs="Arial"/>
          <w:b/>
          <w:sz w:val="28"/>
          <w:szCs w:val="28"/>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rsidRPr="00E908AC" w14:paraId="2478E417" w14:textId="77777777" w:rsidTr="00D4226B">
        <w:tc>
          <w:tcPr>
            <w:tcW w:w="3183" w:type="dxa"/>
          </w:tcPr>
          <w:p w14:paraId="2545D46E" w14:textId="77777777" w:rsidR="005E5F3C" w:rsidRPr="00E908AC" w:rsidRDefault="005E5F3C" w:rsidP="00D4226B">
            <w:pPr>
              <w:pStyle w:val="Textoindependiente"/>
              <w:ind w:right="-50"/>
              <w:jc w:val="center"/>
              <w:rPr>
                <w:rFonts w:ascii="Arial" w:hAnsi="Arial" w:cs="Arial"/>
                <w:b/>
              </w:rPr>
            </w:pPr>
            <w:r w:rsidRPr="00E908AC">
              <w:rPr>
                <w:rFonts w:ascii="Arial" w:hAnsi="Arial" w:cs="Arial"/>
                <w:b/>
              </w:rPr>
              <w:t>CUENTA</w:t>
            </w:r>
          </w:p>
        </w:tc>
        <w:tc>
          <w:tcPr>
            <w:tcW w:w="3321" w:type="dxa"/>
          </w:tcPr>
          <w:p w14:paraId="02F3511D" w14:textId="77777777" w:rsidR="005E5F3C" w:rsidRPr="00E908AC" w:rsidRDefault="005E5F3C" w:rsidP="00D4226B">
            <w:pPr>
              <w:pStyle w:val="Textoindependiente"/>
              <w:ind w:right="-50"/>
              <w:jc w:val="center"/>
              <w:rPr>
                <w:rFonts w:ascii="Arial" w:hAnsi="Arial" w:cs="Arial"/>
                <w:b/>
              </w:rPr>
            </w:pPr>
            <w:r w:rsidRPr="00E908AC">
              <w:rPr>
                <w:rFonts w:ascii="Arial" w:hAnsi="Arial" w:cs="Arial"/>
                <w:b/>
              </w:rPr>
              <w:t>ESTADO DE SITUACIÓN FINANCIERA AL 31-12-2024 EN MILLONES DE PESOS</w:t>
            </w:r>
          </w:p>
        </w:tc>
        <w:tc>
          <w:tcPr>
            <w:tcW w:w="3321" w:type="dxa"/>
          </w:tcPr>
          <w:p w14:paraId="4B7B6E25" w14:textId="77777777" w:rsidR="005E5F3C" w:rsidRPr="00E908AC" w:rsidRDefault="005E5F3C" w:rsidP="00D4226B">
            <w:pPr>
              <w:pStyle w:val="Textoindependiente"/>
              <w:ind w:right="-50"/>
              <w:jc w:val="center"/>
              <w:rPr>
                <w:rFonts w:ascii="Arial" w:hAnsi="Arial" w:cs="Arial"/>
                <w:b/>
              </w:rPr>
            </w:pPr>
            <w:r w:rsidRPr="00E908AC">
              <w:rPr>
                <w:rFonts w:ascii="Arial" w:hAnsi="Arial" w:cs="Arial"/>
                <w:b/>
              </w:rPr>
              <w:t>INFORME DE SALDOS Y MOVIMIENTOS AL 31-12-2024 EN PESOS</w:t>
            </w:r>
          </w:p>
          <w:p w14:paraId="593D6C84" w14:textId="77777777" w:rsidR="005E5F3C" w:rsidRPr="00E908AC" w:rsidRDefault="005E5F3C" w:rsidP="00D4226B">
            <w:pPr>
              <w:pStyle w:val="Textoindependiente"/>
              <w:ind w:right="-50"/>
              <w:jc w:val="center"/>
              <w:rPr>
                <w:rFonts w:ascii="Arial" w:hAnsi="Arial" w:cs="Arial"/>
                <w:b/>
              </w:rPr>
            </w:pPr>
          </w:p>
        </w:tc>
      </w:tr>
      <w:tr w:rsidR="005E5F3C" w:rsidRPr="00E908AC" w14:paraId="5BE4B96C" w14:textId="77777777" w:rsidTr="00D4226B">
        <w:tc>
          <w:tcPr>
            <w:tcW w:w="3183" w:type="dxa"/>
          </w:tcPr>
          <w:p w14:paraId="4CD2FB8E" w14:textId="77777777" w:rsidR="005E5F3C" w:rsidRPr="00E908AC" w:rsidRDefault="005E5F3C" w:rsidP="00D4226B">
            <w:pPr>
              <w:pStyle w:val="Textoindependiente"/>
              <w:ind w:right="-50"/>
              <w:jc w:val="both"/>
              <w:rPr>
                <w:rFonts w:ascii="Arial" w:hAnsi="Arial" w:cs="Arial"/>
                <w:b/>
              </w:rPr>
            </w:pPr>
            <w:r w:rsidRPr="00E908AC">
              <w:rPr>
                <w:rFonts w:ascii="Arial" w:hAnsi="Arial" w:cs="Arial"/>
                <w:b/>
              </w:rPr>
              <w:t>ACTIVO</w:t>
            </w:r>
          </w:p>
        </w:tc>
        <w:tc>
          <w:tcPr>
            <w:tcW w:w="3321" w:type="dxa"/>
          </w:tcPr>
          <w:p w14:paraId="55094F13" w14:textId="77777777" w:rsidR="005E5F3C" w:rsidRPr="00E908AC" w:rsidRDefault="005E5F3C" w:rsidP="00D4226B">
            <w:pPr>
              <w:pStyle w:val="Textoindependiente"/>
              <w:ind w:right="-50"/>
              <w:jc w:val="right"/>
              <w:rPr>
                <w:rFonts w:ascii="Arial" w:hAnsi="Arial" w:cs="Arial"/>
                <w:bCs/>
              </w:rPr>
            </w:pPr>
            <w:r w:rsidRPr="00E908AC">
              <w:rPr>
                <w:rFonts w:ascii="Arial" w:hAnsi="Arial" w:cs="Arial"/>
                <w:bCs/>
              </w:rPr>
              <w:t>447.208</w:t>
            </w:r>
          </w:p>
        </w:tc>
        <w:tc>
          <w:tcPr>
            <w:tcW w:w="3321" w:type="dxa"/>
          </w:tcPr>
          <w:p w14:paraId="612B7998" w14:textId="77777777" w:rsidR="005E5F3C" w:rsidRPr="00E908AC" w:rsidRDefault="005E5F3C" w:rsidP="00D4226B">
            <w:pPr>
              <w:pStyle w:val="Textoindependiente"/>
              <w:ind w:right="-50"/>
              <w:jc w:val="right"/>
              <w:rPr>
                <w:rFonts w:ascii="Arial" w:hAnsi="Arial" w:cs="Arial"/>
                <w:bCs/>
              </w:rPr>
            </w:pPr>
            <w:r w:rsidRPr="00E908AC">
              <w:rPr>
                <w:rFonts w:ascii="Arial" w:hAnsi="Arial" w:cs="Arial"/>
                <w:bCs/>
              </w:rPr>
              <w:t>450.532.417.776,00</w:t>
            </w:r>
          </w:p>
        </w:tc>
      </w:tr>
      <w:tr w:rsidR="005E5F3C" w:rsidRPr="00E908AC" w14:paraId="0842CFFC" w14:textId="77777777" w:rsidTr="00D4226B">
        <w:tc>
          <w:tcPr>
            <w:tcW w:w="3183" w:type="dxa"/>
          </w:tcPr>
          <w:p w14:paraId="70AA5214" w14:textId="77777777" w:rsidR="005E5F3C" w:rsidRPr="00E908AC" w:rsidRDefault="005E5F3C" w:rsidP="00D4226B">
            <w:pPr>
              <w:pStyle w:val="Textoindependiente"/>
              <w:ind w:right="-50"/>
              <w:jc w:val="both"/>
              <w:rPr>
                <w:rFonts w:ascii="Arial" w:hAnsi="Arial" w:cs="Arial"/>
                <w:b/>
              </w:rPr>
            </w:pPr>
            <w:r w:rsidRPr="00E908AC">
              <w:rPr>
                <w:rFonts w:ascii="Arial" w:hAnsi="Arial" w:cs="Arial"/>
                <w:b/>
              </w:rPr>
              <w:t>PASIVO</w:t>
            </w:r>
          </w:p>
        </w:tc>
        <w:tc>
          <w:tcPr>
            <w:tcW w:w="3321" w:type="dxa"/>
          </w:tcPr>
          <w:p w14:paraId="511BAE0B" w14:textId="77777777" w:rsidR="005E5F3C" w:rsidRPr="00E908AC" w:rsidRDefault="005E5F3C" w:rsidP="00D4226B">
            <w:pPr>
              <w:pStyle w:val="Textoindependiente"/>
              <w:ind w:right="-50"/>
              <w:jc w:val="right"/>
              <w:rPr>
                <w:rFonts w:ascii="Arial" w:hAnsi="Arial" w:cs="Arial"/>
                <w:bCs/>
              </w:rPr>
            </w:pPr>
            <w:r w:rsidRPr="00E908AC">
              <w:rPr>
                <w:rFonts w:ascii="Arial" w:hAnsi="Arial" w:cs="Arial"/>
                <w:bCs/>
              </w:rPr>
              <w:t>296.264</w:t>
            </w:r>
          </w:p>
        </w:tc>
        <w:tc>
          <w:tcPr>
            <w:tcW w:w="3321" w:type="dxa"/>
          </w:tcPr>
          <w:p w14:paraId="2DF0C1AD" w14:textId="77777777" w:rsidR="005E5F3C" w:rsidRPr="00E908AC" w:rsidRDefault="005E5F3C" w:rsidP="00D4226B">
            <w:pPr>
              <w:pStyle w:val="Textoindependiente"/>
              <w:ind w:right="-50"/>
              <w:jc w:val="right"/>
              <w:rPr>
                <w:rFonts w:ascii="Arial" w:hAnsi="Arial" w:cs="Arial"/>
                <w:bCs/>
              </w:rPr>
            </w:pPr>
            <w:r w:rsidRPr="00E908AC">
              <w:rPr>
                <w:rFonts w:ascii="Arial" w:hAnsi="Arial" w:cs="Arial"/>
                <w:bCs/>
              </w:rPr>
              <w:t>299.587.838.032,00</w:t>
            </w:r>
          </w:p>
        </w:tc>
      </w:tr>
    </w:tbl>
    <w:p w14:paraId="0631AAA0" w14:textId="77777777" w:rsidR="005E5F3C" w:rsidRDefault="005E5F3C" w:rsidP="005E5F3C">
      <w:pPr>
        <w:ind w:right="-234"/>
        <w:jc w:val="both"/>
        <w:rPr>
          <w:rFonts w:ascii="Arial" w:hAnsi="Arial" w:cs="Arial"/>
          <w:b/>
          <w:sz w:val="24"/>
          <w:szCs w:val="24"/>
          <w:lang w:val="es-MX"/>
        </w:rPr>
      </w:pPr>
    </w:p>
    <w:p w14:paraId="3A6B78D1" w14:textId="77777777" w:rsidR="005E5F3C" w:rsidRPr="0059746F" w:rsidRDefault="005E5F3C" w:rsidP="005E5F3C">
      <w:pPr>
        <w:ind w:left="-284" w:right="-234"/>
        <w:jc w:val="both"/>
        <w:rPr>
          <w:rFonts w:ascii="Arial" w:hAnsi="Arial" w:cs="Arial"/>
          <w:b/>
          <w:sz w:val="28"/>
          <w:szCs w:val="28"/>
        </w:rPr>
      </w:pPr>
      <w:r w:rsidRPr="0059746F">
        <w:rPr>
          <w:rFonts w:ascii="Arial" w:hAnsi="Arial" w:cs="Arial"/>
          <w:b/>
          <w:sz w:val="28"/>
          <w:szCs w:val="28"/>
          <w:lang w:val="es-MX"/>
        </w:rPr>
        <w:t xml:space="preserve">160.- </w:t>
      </w:r>
      <w:r w:rsidRPr="0059746F">
        <w:rPr>
          <w:rFonts w:ascii="Arial" w:hAnsi="Arial" w:cs="Arial"/>
          <w:b/>
          <w:sz w:val="28"/>
          <w:szCs w:val="28"/>
        </w:rPr>
        <w:t>UNIVERSIDAD TECNOLÓGICA DEL CHOCÓ - DIEGO LUIS CÓRDOBA.</w:t>
      </w:r>
    </w:p>
    <w:p w14:paraId="4806C8B6" w14:textId="77777777" w:rsidR="005E5F3C" w:rsidRDefault="005E5F3C" w:rsidP="005E5F3C">
      <w:pPr>
        <w:ind w:left="-284" w:right="-234"/>
        <w:jc w:val="both"/>
        <w:rPr>
          <w:rFonts w:ascii="Arial" w:hAnsi="Arial" w:cs="Arial"/>
          <w:b/>
          <w:sz w:val="24"/>
          <w:szCs w:val="24"/>
        </w:rPr>
      </w:pPr>
    </w:p>
    <w:p w14:paraId="474EBF57" w14:textId="77777777" w:rsidR="005E5F3C" w:rsidRPr="0059746F" w:rsidRDefault="005E5F3C" w:rsidP="005E5F3C">
      <w:pPr>
        <w:pStyle w:val="Textoindependiente"/>
        <w:ind w:left="-284" w:right="-234"/>
        <w:jc w:val="both"/>
        <w:rPr>
          <w:rFonts w:ascii="Arial" w:hAnsi="Arial" w:cs="Arial"/>
          <w:b/>
          <w:bCs/>
          <w:sz w:val="24"/>
          <w:szCs w:val="24"/>
        </w:rPr>
      </w:pPr>
      <w:r w:rsidRPr="0059746F">
        <w:rPr>
          <w:rFonts w:ascii="Arial" w:hAnsi="Arial" w:cs="Arial"/>
          <w:bCs/>
          <w:sz w:val="24"/>
          <w:szCs w:val="24"/>
        </w:rPr>
        <w:t xml:space="preserve">- </w:t>
      </w:r>
      <w:r w:rsidRPr="0059746F">
        <w:rPr>
          <w:rFonts w:ascii="Arial" w:hAnsi="Arial" w:cs="Arial"/>
          <w:b/>
          <w:bCs/>
          <w:sz w:val="24"/>
          <w:szCs w:val="24"/>
        </w:rPr>
        <w:t>Al comparar el saldo del Activo y Patrimonio reflejado en el Estado de Situación Financiera con el reportado en el Informe de Saldos y Movimientos, encontramos diferencia así:</w:t>
      </w:r>
    </w:p>
    <w:p w14:paraId="330F428D" w14:textId="77777777" w:rsidR="005E5F3C" w:rsidRDefault="005E5F3C" w:rsidP="005E5F3C">
      <w:pPr>
        <w:pStyle w:val="Textoindependiente"/>
        <w:jc w:val="both"/>
        <w:rPr>
          <w:b/>
          <w:bCs/>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14:paraId="0517A658" w14:textId="77777777" w:rsidTr="00D4226B">
        <w:tc>
          <w:tcPr>
            <w:tcW w:w="3183" w:type="dxa"/>
          </w:tcPr>
          <w:p w14:paraId="6B78DBCF" w14:textId="77777777" w:rsidR="005E5F3C" w:rsidRPr="00936C17" w:rsidRDefault="005E5F3C" w:rsidP="00D4226B">
            <w:pPr>
              <w:pStyle w:val="Textoindependiente"/>
              <w:jc w:val="center"/>
              <w:rPr>
                <w:b/>
                <w:bCs/>
              </w:rPr>
            </w:pPr>
            <w:r>
              <w:rPr>
                <w:b/>
                <w:bCs/>
              </w:rPr>
              <w:t>Cuenta</w:t>
            </w:r>
          </w:p>
        </w:tc>
        <w:tc>
          <w:tcPr>
            <w:tcW w:w="3321" w:type="dxa"/>
          </w:tcPr>
          <w:p w14:paraId="16958412" w14:textId="77777777" w:rsidR="005E5F3C" w:rsidRDefault="005E5F3C" w:rsidP="00D4226B">
            <w:pPr>
              <w:pStyle w:val="Textoindependiente"/>
              <w:jc w:val="center"/>
              <w:rPr>
                <w:b/>
                <w:bCs/>
              </w:rPr>
            </w:pPr>
            <w:r>
              <w:rPr>
                <w:b/>
                <w:bCs/>
              </w:rPr>
              <w:t>Saldo Estado de Situación Financiera</w:t>
            </w:r>
          </w:p>
          <w:p w14:paraId="00F8615D" w14:textId="77777777" w:rsidR="005E5F3C" w:rsidRDefault="005E5F3C" w:rsidP="00D4226B">
            <w:pPr>
              <w:pStyle w:val="Textoindependiente"/>
              <w:jc w:val="center"/>
              <w:rPr>
                <w:b/>
                <w:bCs/>
              </w:rPr>
            </w:pPr>
            <w:r>
              <w:rPr>
                <w:b/>
                <w:bCs/>
              </w:rPr>
              <w:t>(Cifras en Pesos)</w:t>
            </w:r>
          </w:p>
          <w:p w14:paraId="53BBD073" w14:textId="77777777" w:rsidR="005E5F3C" w:rsidRPr="00936C17" w:rsidRDefault="005E5F3C" w:rsidP="00D4226B">
            <w:pPr>
              <w:pStyle w:val="Textoindependiente"/>
              <w:jc w:val="center"/>
              <w:rPr>
                <w:b/>
                <w:bCs/>
              </w:rPr>
            </w:pPr>
          </w:p>
        </w:tc>
        <w:tc>
          <w:tcPr>
            <w:tcW w:w="3321" w:type="dxa"/>
          </w:tcPr>
          <w:p w14:paraId="6738B74C" w14:textId="77777777" w:rsidR="005E5F3C" w:rsidRDefault="005E5F3C" w:rsidP="00D4226B">
            <w:pPr>
              <w:pStyle w:val="Textoindependiente"/>
              <w:jc w:val="center"/>
              <w:rPr>
                <w:b/>
                <w:bCs/>
              </w:rPr>
            </w:pPr>
            <w:r>
              <w:rPr>
                <w:b/>
                <w:bCs/>
              </w:rPr>
              <w:t>Saldo Informe de Saldos y Movimientos</w:t>
            </w:r>
          </w:p>
          <w:p w14:paraId="05DCDD04" w14:textId="77777777" w:rsidR="005E5F3C" w:rsidRPr="00936C17" w:rsidRDefault="005E5F3C" w:rsidP="00D4226B">
            <w:pPr>
              <w:pStyle w:val="Textoindependiente"/>
              <w:jc w:val="center"/>
              <w:rPr>
                <w:b/>
                <w:bCs/>
              </w:rPr>
            </w:pPr>
            <w:r>
              <w:rPr>
                <w:b/>
                <w:bCs/>
              </w:rPr>
              <w:t>(Cifras en Pesos)</w:t>
            </w:r>
          </w:p>
        </w:tc>
      </w:tr>
      <w:tr w:rsidR="005E5F3C" w14:paraId="7640B5CF" w14:textId="77777777" w:rsidTr="00D4226B">
        <w:tc>
          <w:tcPr>
            <w:tcW w:w="3183" w:type="dxa"/>
          </w:tcPr>
          <w:p w14:paraId="775520CF" w14:textId="77777777" w:rsidR="005E5F3C" w:rsidRPr="00936C17" w:rsidRDefault="005E5F3C" w:rsidP="00D4226B">
            <w:pPr>
              <w:pStyle w:val="Textoindependiente"/>
              <w:jc w:val="both"/>
              <w:rPr>
                <w:bCs/>
              </w:rPr>
            </w:pPr>
            <w:r>
              <w:rPr>
                <w:bCs/>
              </w:rPr>
              <w:t>Activo</w:t>
            </w:r>
          </w:p>
        </w:tc>
        <w:tc>
          <w:tcPr>
            <w:tcW w:w="3321" w:type="dxa"/>
          </w:tcPr>
          <w:p w14:paraId="17D890CD" w14:textId="77777777" w:rsidR="005E5F3C" w:rsidRPr="00936C17" w:rsidRDefault="005E5F3C" w:rsidP="00D4226B">
            <w:pPr>
              <w:pStyle w:val="Textoindependiente"/>
              <w:jc w:val="right"/>
              <w:rPr>
                <w:bCs/>
              </w:rPr>
            </w:pPr>
            <w:r>
              <w:rPr>
                <w:bCs/>
              </w:rPr>
              <w:t>244.080.478.407,25</w:t>
            </w:r>
          </w:p>
        </w:tc>
        <w:tc>
          <w:tcPr>
            <w:tcW w:w="3321" w:type="dxa"/>
          </w:tcPr>
          <w:p w14:paraId="6A37B5A7" w14:textId="77777777" w:rsidR="005E5F3C" w:rsidRPr="00936C17" w:rsidRDefault="005E5F3C" w:rsidP="00D4226B">
            <w:pPr>
              <w:pStyle w:val="Textoindependiente"/>
              <w:jc w:val="right"/>
              <w:rPr>
                <w:bCs/>
              </w:rPr>
            </w:pPr>
            <w:r>
              <w:rPr>
                <w:bCs/>
              </w:rPr>
              <w:t>249.591.653.739,25</w:t>
            </w:r>
          </w:p>
        </w:tc>
      </w:tr>
      <w:tr w:rsidR="005E5F3C" w14:paraId="3FDDDEB8" w14:textId="77777777" w:rsidTr="00D4226B">
        <w:tc>
          <w:tcPr>
            <w:tcW w:w="3183" w:type="dxa"/>
          </w:tcPr>
          <w:p w14:paraId="2B8BC6DA" w14:textId="77777777" w:rsidR="005E5F3C" w:rsidRPr="00936C17" w:rsidRDefault="005E5F3C" w:rsidP="00D4226B">
            <w:pPr>
              <w:pStyle w:val="Textoindependiente"/>
              <w:jc w:val="both"/>
              <w:rPr>
                <w:bCs/>
              </w:rPr>
            </w:pPr>
            <w:r>
              <w:rPr>
                <w:bCs/>
              </w:rPr>
              <w:t>Patrimonio</w:t>
            </w:r>
          </w:p>
        </w:tc>
        <w:tc>
          <w:tcPr>
            <w:tcW w:w="3321" w:type="dxa"/>
          </w:tcPr>
          <w:p w14:paraId="2C586E64" w14:textId="77777777" w:rsidR="005E5F3C" w:rsidRPr="00936C17" w:rsidRDefault="005E5F3C" w:rsidP="00D4226B">
            <w:pPr>
              <w:pStyle w:val="Textoindependiente"/>
              <w:jc w:val="right"/>
              <w:rPr>
                <w:bCs/>
              </w:rPr>
            </w:pPr>
            <w:r>
              <w:rPr>
                <w:bCs/>
              </w:rPr>
              <w:t>133.696.836.996,28</w:t>
            </w:r>
          </w:p>
        </w:tc>
        <w:tc>
          <w:tcPr>
            <w:tcW w:w="3321" w:type="dxa"/>
          </w:tcPr>
          <w:p w14:paraId="578FB9F5" w14:textId="77777777" w:rsidR="005E5F3C" w:rsidRPr="00936C17" w:rsidRDefault="005E5F3C" w:rsidP="00D4226B">
            <w:pPr>
              <w:pStyle w:val="Textoindependiente"/>
              <w:jc w:val="right"/>
              <w:rPr>
                <w:bCs/>
              </w:rPr>
            </w:pPr>
            <w:r>
              <w:rPr>
                <w:bCs/>
              </w:rPr>
              <w:t>139.208.012.328,28</w:t>
            </w:r>
          </w:p>
        </w:tc>
      </w:tr>
    </w:tbl>
    <w:p w14:paraId="3DB61634" w14:textId="77777777" w:rsidR="005E5F3C" w:rsidRDefault="005E5F3C" w:rsidP="005E5F3C">
      <w:pPr>
        <w:ind w:right="-234"/>
        <w:jc w:val="both"/>
        <w:rPr>
          <w:rFonts w:ascii="Arial" w:hAnsi="Arial" w:cs="Arial"/>
          <w:b/>
          <w:sz w:val="24"/>
          <w:szCs w:val="24"/>
        </w:rPr>
      </w:pPr>
    </w:p>
    <w:p w14:paraId="0D7EAF2C" w14:textId="77777777" w:rsidR="005E5F3C" w:rsidRPr="00B27975" w:rsidRDefault="005E5F3C" w:rsidP="005E5F3C">
      <w:pPr>
        <w:ind w:left="-142"/>
        <w:jc w:val="both"/>
        <w:rPr>
          <w:rFonts w:ascii="Arial" w:hAnsi="Arial" w:cs="Arial"/>
          <w:b/>
          <w:sz w:val="28"/>
          <w:szCs w:val="28"/>
          <w:lang w:val="es-MX"/>
        </w:rPr>
      </w:pPr>
      <w:r w:rsidRPr="00B27975">
        <w:rPr>
          <w:rFonts w:ascii="Arial" w:hAnsi="Arial" w:cs="Arial"/>
          <w:b/>
          <w:sz w:val="28"/>
          <w:szCs w:val="28"/>
          <w:lang w:val="es-MX"/>
        </w:rPr>
        <w:t xml:space="preserve">161.- </w:t>
      </w:r>
      <w:r w:rsidRPr="00B27975">
        <w:rPr>
          <w:rFonts w:ascii="Arial" w:hAnsi="Arial" w:cs="Arial"/>
          <w:b/>
          <w:sz w:val="28"/>
          <w:szCs w:val="28"/>
          <w:lang w:val="es-CO"/>
        </w:rPr>
        <w:t>U.A.E. AGENCIA NACIONAL DE HIDROCARBUROS – ANH.</w:t>
      </w:r>
    </w:p>
    <w:p w14:paraId="5012DC23" w14:textId="77777777" w:rsidR="005E5F3C" w:rsidRPr="00B27975" w:rsidRDefault="005E5F3C" w:rsidP="005E5F3C">
      <w:pPr>
        <w:pStyle w:val="Prrafodelista"/>
        <w:spacing w:before="92"/>
        <w:ind w:left="-142"/>
        <w:rPr>
          <w:rFonts w:ascii="Arial" w:hAnsi="Arial" w:cs="Arial"/>
          <w:b/>
          <w:sz w:val="24"/>
        </w:rPr>
      </w:pPr>
    </w:p>
    <w:p w14:paraId="7E940A8B" w14:textId="77777777" w:rsidR="005E5F3C" w:rsidRPr="00B27975" w:rsidRDefault="005E5F3C" w:rsidP="005E5F3C">
      <w:pPr>
        <w:pStyle w:val="Textoindependiente"/>
        <w:ind w:left="-142" w:right="-234"/>
        <w:jc w:val="both"/>
        <w:rPr>
          <w:rFonts w:ascii="Arial" w:hAnsi="Arial" w:cs="Arial"/>
          <w:bCs/>
          <w:sz w:val="24"/>
          <w:szCs w:val="24"/>
        </w:rPr>
      </w:pPr>
      <w:r w:rsidRPr="00B27975">
        <w:rPr>
          <w:rFonts w:ascii="Arial" w:hAnsi="Arial" w:cs="Arial"/>
          <w:b/>
          <w:sz w:val="24"/>
          <w:szCs w:val="24"/>
        </w:rPr>
        <w:t xml:space="preserve">NOTA: </w:t>
      </w:r>
      <w:r w:rsidRPr="00B27975">
        <w:rPr>
          <w:rFonts w:ascii="Arial" w:hAnsi="Arial" w:cs="Arial"/>
          <w:bCs/>
          <w:sz w:val="24"/>
          <w:szCs w:val="24"/>
        </w:rPr>
        <w:t>Observamos en el Estado de Cambios en el Patrimonio enviado por la entidad a 31 de diciembre de 2024, que informan una variación patrimonial negativa por $ (79.243) y al hacer la operación no es negativa así:</w:t>
      </w:r>
    </w:p>
    <w:p w14:paraId="106582EA" w14:textId="77777777" w:rsidR="005E5F3C" w:rsidRPr="00B27975" w:rsidRDefault="005E5F3C" w:rsidP="005E5F3C">
      <w:pPr>
        <w:pStyle w:val="Textoindependiente"/>
        <w:jc w:val="both"/>
        <w:rPr>
          <w:rFonts w:ascii="Arial" w:hAnsi="Arial" w:cs="Arial"/>
          <w:bCs/>
          <w:sz w:val="24"/>
          <w:szCs w:val="24"/>
        </w:rPr>
      </w:pPr>
    </w:p>
    <w:p w14:paraId="215C0DC5" w14:textId="77777777" w:rsidR="005E5F3C" w:rsidRPr="00B27975" w:rsidRDefault="005E5F3C" w:rsidP="005E5F3C">
      <w:pPr>
        <w:pStyle w:val="Textoindependiente"/>
        <w:jc w:val="center"/>
        <w:rPr>
          <w:rFonts w:ascii="Arial" w:hAnsi="Arial" w:cs="Arial"/>
          <w:sz w:val="24"/>
          <w:szCs w:val="24"/>
        </w:rPr>
      </w:pPr>
      <w:r w:rsidRPr="00B27975">
        <w:rPr>
          <w:rFonts w:ascii="Arial" w:hAnsi="Arial" w:cs="Arial"/>
          <w:sz w:val="24"/>
          <w:szCs w:val="24"/>
        </w:rPr>
        <w:t xml:space="preserve">SALDO DEL PATRIMONIO A 31 DE DICIEMBRE DE 2023 </w:t>
      </w:r>
      <w:r w:rsidRPr="00B27975">
        <w:rPr>
          <w:rFonts w:ascii="Arial" w:hAnsi="Arial" w:cs="Arial"/>
          <w:sz w:val="24"/>
          <w:szCs w:val="24"/>
        </w:rPr>
        <w:tab/>
      </w:r>
      <w:r w:rsidRPr="00B27975">
        <w:rPr>
          <w:rFonts w:ascii="Arial" w:hAnsi="Arial" w:cs="Arial"/>
          <w:sz w:val="24"/>
          <w:szCs w:val="24"/>
        </w:rPr>
        <w:tab/>
      </w:r>
      <w:r w:rsidRPr="00B27975">
        <w:rPr>
          <w:rFonts w:ascii="Arial" w:hAnsi="Arial" w:cs="Arial"/>
          <w:sz w:val="24"/>
          <w:szCs w:val="24"/>
        </w:rPr>
        <w:tab/>
        <w:t>4.214.955</w:t>
      </w:r>
    </w:p>
    <w:p w14:paraId="63891256" w14:textId="77777777" w:rsidR="005E5F3C" w:rsidRPr="00B27975" w:rsidRDefault="005E5F3C" w:rsidP="005E5F3C">
      <w:pPr>
        <w:pStyle w:val="Textoindependiente"/>
        <w:jc w:val="center"/>
        <w:rPr>
          <w:rFonts w:ascii="Arial" w:hAnsi="Arial" w:cs="Arial"/>
          <w:bCs/>
          <w:sz w:val="24"/>
          <w:szCs w:val="24"/>
        </w:rPr>
      </w:pPr>
      <w:r w:rsidRPr="00B27975">
        <w:rPr>
          <w:rFonts w:ascii="Arial" w:hAnsi="Arial" w:cs="Arial"/>
          <w:bCs/>
          <w:sz w:val="24"/>
          <w:szCs w:val="24"/>
        </w:rPr>
        <w:t>VARIACIONES PATRIMONIALES</w:t>
      </w:r>
      <w:r w:rsidRPr="00B27975">
        <w:rPr>
          <w:rFonts w:ascii="Arial" w:hAnsi="Arial" w:cs="Arial"/>
          <w:bCs/>
          <w:sz w:val="24"/>
          <w:szCs w:val="24"/>
        </w:rPr>
        <w:tab/>
      </w:r>
      <w:r w:rsidRPr="00B27975">
        <w:rPr>
          <w:rFonts w:ascii="Arial" w:hAnsi="Arial" w:cs="Arial"/>
          <w:bCs/>
          <w:sz w:val="24"/>
          <w:szCs w:val="24"/>
        </w:rPr>
        <w:tab/>
      </w:r>
      <w:r w:rsidRPr="00B27975">
        <w:rPr>
          <w:rFonts w:ascii="Arial" w:hAnsi="Arial" w:cs="Arial"/>
          <w:bCs/>
          <w:sz w:val="24"/>
          <w:szCs w:val="24"/>
        </w:rPr>
        <w:tab/>
      </w:r>
      <w:r w:rsidRPr="00B27975">
        <w:rPr>
          <w:rFonts w:ascii="Arial" w:hAnsi="Arial" w:cs="Arial"/>
          <w:bCs/>
          <w:sz w:val="24"/>
          <w:szCs w:val="24"/>
        </w:rPr>
        <w:tab/>
      </w:r>
      <w:r w:rsidRPr="00B27975">
        <w:rPr>
          <w:rFonts w:ascii="Arial" w:hAnsi="Arial" w:cs="Arial"/>
          <w:bCs/>
          <w:sz w:val="24"/>
          <w:szCs w:val="24"/>
        </w:rPr>
        <w:tab/>
      </w:r>
      <w:r w:rsidRPr="00B27975">
        <w:rPr>
          <w:rFonts w:ascii="Arial" w:hAnsi="Arial" w:cs="Arial"/>
          <w:bCs/>
          <w:sz w:val="24"/>
          <w:szCs w:val="24"/>
        </w:rPr>
        <w:tab/>
        <w:t xml:space="preserve">     79.243</w:t>
      </w:r>
    </w:p>
    <w:p w14:paraId="1C9149EE" w14:textId="77777777" w:rsidR="005E5F3C" w:rsidRPr="00B27975" w:rsidRDefault="005E5F3C" w:rsidP="005E5F3C">
      <w:pPr>
        <w:pStyle w:val="Textoindependiente"/>
        <w:jc w:val="center"/>
        <w:rPr>
          <w:rFonts w:ascii="Arial" w:hAnsi="Arial" w:cs="Arial"/>
          <w:bCs/>
          <w:sz w:val="24"/>
          <w:szCs w:val="24"/>
        </w:rPr>
      </w:pPr>
      <w:r w:rsidRPr="00B27975">
        <w:rPr>
          <w:rFonts w:ascii="Arial" w:hAnsi="Arial" w:cs="Arial"/>
          <w:bCs/>
          <w:sz w:val="24"/>
          <w:szCs w:val="24"/>
        </w:rPr>
        <w:t xml:space="preserve">SALDO DEL PATRIMONIO A 31 DE DICIEMBRE DE 2024 </w:t>
      </w:r>
      <w:r w:rsidRPr="00B27975">
        <w:rPr>
          <w:rFonts w:ascii="Arial" w:hAnsi="Arial" w:cs="Arial"/>
          <w:bCs/>
          <w:sz w:val="24"/>
          <w:szCs w:val="24"/>
        </w:rPr>
        <w:tab/>
      </w:r>
      <w:r w:rsidRPr="00B27975">
        <w:rPr>
          <w:rFonts w:ascii="Arial" w:hAnsi="Arial" w:cs="Arial"/>
          <w:bCs/>
          <w:sz w:val="24"/>
          <w:szCs w:val="24"/>
        </w:rPr>
        <w:tab/>
      </w:r>
      <w:r w:rsidRPr="00B27975">
        <w:rPr>
          <w:rFonts w:ascii="Arial" w:hAnsi="Arial" w:cs="Arial"/>
          <w:bCs/>
          <w:sz w:val="24"/>
          <w:szCs w:val="24"/>
        </w:rPr>
        <w:tab/>
        <w:t>4.294.198</w:t>
      </w:r>
    </w:p>
    <w:p w14:paraId="0CCDFD64" w14:textId="77777777" w:rsidR="005E5F3C" w:rsidRDefault="005E5F3C" w:rsidP="005E5F3C">
      <w:pPr>
        <w:ind w:right="-234"/>
        <w:jc w:val="both"/>
        <w:rPr>
          <w:rFonts w:ascii="Arial" w:hAnsi="Arial" w:cs="Arial"/>
          <w:b/>
          <w:sz w:val="24"/>
          <w:szCs w:val="24"/>
        </w:rPr>
      </w:pPr>
    </w:p>
    <w:p w14:paraId="557E9535" w14:textId="77777777" w:rsidR="005E5F3C" w:rsidRPr="00EA427F" w:rsidRDefault="005E5F3C" w:rsidP="005E5F3C">
      <w:pPr>
        <w:ind w:left="-284"/>
        <w:jc w:val="both"/>
        <w:rPr>
          <w:rFonts w:ascii="Arial" w:hAnsi="Arial" w:cs="Arial"/>
          <w:b/>
          <w:sz w:val="32"/>
          <w:szCs w:val="32"/>
        </w:rPr>
      </w:pPr>
      <w:r w:rsidRPr="00EA427F">
        <w:rPr>
          <w:rFonts w:ascii="Arial" w:hAnsi="Arial" w:cs="Arial"/>
          <w:b/>
          <w:sz w:val="28"/>
          <w:szCs w:val="28"/>
          <w:lang w:val="es-MX"/>
        </w:rPr>
        <w:t>172.- POLICÍA NACIONAL.</w:t>
      </w:r>
    </w:p>
    <w:p w14:paraId="742EEEB6" w14:textId="77777777" w:rsidR="005E5F3C" w:rsidRDefault="005E5F3C" w:rsidP="005E5F3C">
      <w:pPr>
        <w:ind w:left="284" w:right="-234"/>
        <w:jc w:val="both"/>
        <w:rPr>
          <w:rFonts w:ascii="Arial" w:hAnsi="Arial" w:cs="Arial"/>
          <w:b/>
          <w:sz w:val="24"/>
          <w:szCs w:val="24"/>
        </w:rPr>
      </w:pPr>
    </w:p>
    <w:p w14:paraId="4788C1DD" w14:textId="77777777" w:rsidR="005E5F3C" w:rsidRPr="008F193A" w:rsidRDefault="005E5F3C" w:rsidP="005E5F3C">
      <w:pPr>
        <w:pStyle w:val="Textoindependiente"/>
        <w:ind w:left="-284" w:right="-234"/>
        <w:jc w:val="both"/>
        <w:rPr>
          <w:rFonts w:ascii="Arial" w:hAnsi="Arial" w:cs="Arial"/>
          <w:b/>
          <w:bCs/>
          <w:sz w:val="24"/>
          <w:szCs w:val="24"/>
        </w:rPr>
      </w:pPr>
      <w:r w:rsidRPr="008F193A">
        <w:rPr>
          <w:rFonts w:ascii="Arial" w:hAnsi="Arial" w:cs="Arial"/>
          <w:bCs/>
          <w:sz w:val="24"/>
          <w:szCs w:val="24"/>
        </w:rPr>
        <w:t xml:space="preserve">- </w:t>
      </w:r>
      <w:r w:rsidRPr="008F193A">
        <w:rPr>
          <w:rFonts w:ascii="Arial" w:hAnsi="Arial" w:cs="Arial"/>
          <w:b/>
          <w:bCs/>
          <w:sz w:val="24"/>
          <w:szCs w:val="24"/>
        </w:rPr>
        <w:t>Al comparar el saldo del Patrimonio reflejado en el Estado de Situación Financiera con el reportado en el Informe de Saldos y Movimientos, encontramos diferencia así:</w:t>
      </w:r>
    </w:p>
    <w:p w14:paraId="64821DF7" w14:textId="77777777" w:rsidR="005E5F3C" w:rsidRPr="008F193A" w:rsidRDefault="005E5F3C" w:rsidP="005E5F3C">
      <w:pPr>
        <w:pStyle w:val="Textoindependiente"/>
        <w:jc w:val="both"/>
        <w:rPr>
          <w:rFonts w:ascii="Arial" w:hAnsi="Arial" w:cs="Arial"/>
          <w:b/>
          <w:bCs/>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rsidRPr="008F193A" w14:paraId="75109E98" w14:textId="77777777" w:rsidTr="00D4226B">
        <w:tc>
          <w:tcPr>
            <w:tcW w:w="3183" w:type="dxa"/>
          </w:tcPr>
          <w:p w14:paraId="6EC46F09" w14:textId="77777777" w:rsidR="005E5F3C" w:rsidRPr="008F193A" w:rsidRDefault="005E5F3C" w:rsidP="00D4226B">
            <w:pPr>
              <w:pStyle w:val="Textoindependiente"/>
              <w:jc w:val="center"/>
              <w:rPr>
                <w:rFonts w:ascii="Arial" w:hAnsi="Arial" w:cs="Arial"/>
                <w:b/>
                <w:bCs/>
              </w:rPr>
            </w:pPr>
            <w:r w:rsidRPr="008F193A">
              <w:rPr>
                <w:rFonts w:ascii="Arial" w:hAnsi="Arial" w:cs="Arial"/>
                <w:b/>
                <w:bCs/>
              </w:rPr>
              <w:t>Cuenta</w:t>
            </w:r>
          </w:p>
        </w:tc>
        <w:tc>
          <w:tcPr>
            <w:tcW w:w="3321" w:type="dxa"/>
          </w:tcPr>
          <w:p w14:paraId="00E4921A" w14:textId="77777777" w:rsidR="005E5F3C" w:rsidRPr="008F193A" w:rsidRDefault="005E5F3C" w:rsidP="00D4226B">
            <w:pPr>
              <w:pStyle w:val="Textoindependiente"/>
              <w:jc w:val="center"/>
              <w:rPr>
                <w:rFonts w:ascii="Arial" w:hAnsi="Arial" w:cs="Arial"/>
                <w:b/>
                <w:bCs/>
              </w:rPr>
            </w:pPr>
            <w:r w:rsidRPr="008F193A">
              <w:rPr>
                <w:rFonts w:ascii="Arial" w:hAnsi="Arial" w:cs="Arial"/>
                <w:b/>
                <w:bCs/>
              </w:rPr>
              <w:t xml:space="preserve">Saldo Estado de Situación </w:t>
            </w:r>
            <w:r w:rsidRPr="008F193A">
              <w:rPr>
                <w:rFonts w:ascii="Arial" w:hAnsi="Arial" w:cs="Arial"/>
                <w:b/>
                <w:bCs/>
              </w:rPr>
              <w:lastRenderedPageBreak/>
              <w:t>Financiera</w:t>
            </w:r>
          </w:p>
          <w:p w14:paraId="5BC59D3A" w14:textId="77777777" w:rsidR="005E5F3C" w:rsidRDefault="005E5F3C" w:rsidP="00D4226B">
            <w:pPr>
              <w:pStyle w:val="Textoindependiente"/>
              <w:jc w:val="center"/>
              <w:rPr>
                <w:rFonts w:ascii="Arial" w:hAnsi="Arial" w:cs="Arial"/>
                <w:b/>
                <w:bCs/>
              </w:rPr>
            </w:pPr>
            <w:r w:rsidRPr="008F193A">
              <w:rPr>
                <w:rFonts w:ascii="Arial" w:hAnsi="Arial" w:cs="Arial"/>
                <w:b/>
                <w:bCs/>
              </w:rPr>
              <w:t>(Cifras en Pesos)</w:t>
            </w:r>
          </w:p>
          <w:p w14:paraId="472D933C" w14:textId="77777777" w:rsidR="005E5F3C" w:rsidRPr="008F193A" w:rsidRDefault="005E5F3C" w:rsidP="00D4226B">
            <w:pPr>
              <w:pStyle w:val="Textoindependiente"/>
              <w:jc w:val="center"/>
              <w:rPr>
                <w:rFonts w:ascii="Arial" w:hAnsi="Arial" w:cs="Arial"/>
                <w:b/>
                <w:bCs/>
              </w:rPr>
            </w:pPr>
          </w:p>
        </w:tc>
        <w:tc>
          <w:tcPr>
            <w:tcW w:w="3321" w:type="dxa"/>
          </w:tcPr>
          <w:p w14:paraId="3A764FF2" w14:textId="77777777" w:rsidR="005E5F3C" w:rsidRPr="008F193A" w:rsidRDefault="005E5F3C" w:rsidP="00D4226B">
            <w:pPr>
              <w:pStyle w:val="Textoindependiente"/>
              <w:jc w:val="center"/>
              <w:rPr>
                <w:rFonts w:ascii="Arial" w:hAnsi="Arial" w:cs="Arial"/>
                <w:b/>
                <w:bCs/>
              </w:rPr>
            </w:pPr>
            <w:r w:rsidRPr="008F193A">
              <w:rPr>
                <w:rFonts w:ascii="Arial" w:hAnsi="Arial" w:cs="Arial"/>
                <w:b/>
                <w:bCs/>
              </w:rPr>
              <w:lastRenderedPageBreak/>
              <w:t xml:space="preserve">Saldo Informe de Saldos y </w:t>
            </w:r>
            <w:r w:rsidRPr="008F193A">
              <w:rPr>
                <w:rFonts w:ascii="Arial" w:hAnsi="Arial" w:cs="Arial"/>
                <w:b/>
                <w:bCs/>
              </w:rPr>
              <w:lastRenderedPageBreak/>
              <w:t>Movimientos</w:t>
            </w:r>
          </w:p>
          <w:p w14:paraId="67E5C703" w14:textId="77777777" w:rsidR="005E5F3C" w:rsidRPr="008F193A" w:rsidRDefault="005E5F3C" w:rsidP="00D4226B">
            <w:pPr>
              <w:pStyle w:val="Textoindependiente"/>
              <w:jc w:val="center"/>
              <w:rPr>
                <w:rFonts w:ascii="Arial" w:hAnsi="Arial" w:cs="Arial"/>
                <w:b/>
                <w:bCs/>
              </w:rPr>
            </w:pPr>
            <w:r w:rsidRPr="008F193A">
              <w:rPr>
                <w:rFonts w:ascii="Arial" w:hAnsi="Arial" w:cs="Arial"/>
                <w:b/>
                <w:bCs/>
              </w:rPr>
              <w:t>(Cifras en Pesos)</w:t>
            </w:r>
          </w:p>
        </w:tc>
      </w:tr>
      <w:tr w:rsidR="005E5F3C" w:rsidRPr="008F193A" w14:paraId="60F263BB" w14:textId="77777777" w:rsidTr="00D4226B">
        <w:tc>
          <w:tcPr>
            <w:tcW w:w="3183" w:type="dxa"/>
          </w:tcPr>
          <w:p w14:paraId="19A12BA0" w14:textId="77777777" w:rsidR="005E5F3C" w:rsidRPr="008F193A" w:rsidRDefault="005E5F3C" w:rsidP="00D4226B">
            <w:pPr>
              <w:pStyle w:val="Textoindependiente"/>
              <w:jc w:val="both"/>
              <w:rPr>
                <w:rFonts w:ascii="Arial" w:hAnsi="Arial" w:cs="Arial"/>
                <w:bCs/>
              </w:rPr>
            </w:pPr>
            <w:r w:rsidRPr="008F193A">
              <w:rPr>
                <w:rFonts w:ascii="Arial" w:hAnsi="Arial" w:cs="Arial"/>
                <w:bCs/>
              </w:rPr>
              <w:lastRenderedPageBreak/>
              <w:t>Patrimonio</w:t>
            </w:r>
          </w:p>
        </w:tc>
        <w:tc>
          <w:tcPr>
            <w:tcW w:w="3321" w:type="dxa"/>
          </w:tcPr>
          <w:p w14:paraId="57135D15" w14:textId="77777777" w:rsidR="005E5F3C" w:rsidRPr="008F193A" w:rsidRDefault="005E5F3C" w:rsidP="00D4226B">
            <w:pPr>
              <w:pStyle w:val="Textoindependiente"/>
              <w:jc w:val="right"/>
              <w:rPr>
                <w:rFonts w:ascii="Arial" w:hAnsi="Arial" w:cs="Arial"/>
                <w:bCs/>
              </w:rPr>
            </w:pPr>
            <w:r w:rsidRPr="008F193A">
              <w:rPr>
                <w:rFonts w:ascii="Arial" w:hAnsi="Arial" w:cs="Arial"/>
                <w:bCs/>
              </w:rPr>
              <w:t>(23.974.749.835.840)</w:t>
            </w:r>
          </w:p>
        </w:tc>
        <w:tc>
          <w:tcPr>
            <w:tcW w:w="3321" w:type="dxa"/>
          </w:tcPr>
          <w:p w14:paraId="1CE6E52B" w14:textId="77777777" w:rsidR="005E5F3C" w:rsidRPr="008F193A" w:rsidRDefault="005E5F3C" w:rsidP="00D4226B">
            <w:pPr>
              <w:pStyle w:val="Textoindependiente"/>
              <w:jc w:val="right"/>
              <w:rPr>
                <w:rFonts w:ascii="Arial" w:hAnsi="Arial" w:cs="Arial"/>
                <w:bCs/>
              </w:rPr>
            </w:pPr>
            <w:r w:rsidRPr="008F193A">
              <w:rPr>
                <w:rFonts w:ascii="Arial" w:hAnsi="Arial" w:cs="Arial"/>
                <w:bCs/>
              </w:rPr>
              <w:t>20.478.434.371.977,60)</w:t>
            </w:r>
          </w:p>
        </w:tc>
      </w:tr>
    </w:tbl>
    <w:p w14:paraId="4DE8F737" w14:textId="77777777" w:rsidR="005E5F3C" w:rsidRDefault="005E5F3C" w:rsidP="005E5F3C">
      <w:pPr>
        <w:ind w:left="284" w:right="-234"/>
        <w:jc w:val="both"/>
        <w:rPr>
          <w:rFonts w:ascii="Arial" w:hAnsi="Arial" w:cs="Arial"/>
          <w:b/>
          <w:sz w:val="24"/>
          <w:szCs w:val="24"/>
        </w:rPr>
      </w:pPr>
    </w:p>
    <w:p w14:paraId="7D60E39A" w14:textId="77777777" w:rsidR="005E5F3C" w:rsidRPr="00BB6F67" w:rsidRDefault="005E5F3C" w:rsidP="005E5F3C">
      <w:pPr>
        <w:ind w:left="-284" w:right="-234"/>
        <w:jc w:val="both"/>
        <w:rPr>
          <w:rFonts w:ascii="Arial" w:hAnsi="Arial" w:cs="Arial"/>
          <w:b/>
          <w:sz w:val="28"/>
          <w:szCs w:val="28"/>
          <w:lang w:val="es-MX"/>
        </w:rPr>
      </w:pPr>
      <w:r w:rsidRPr="00BB6F67">
        <w:rPr>
          <w:rFonts w:ascii="Arial" w:hAnsi="Arial" w:cs="Arial"/>
          <w:b/>
          <w:sz w:val="28"/>
          <w:szCs w:val="28"/>
          <w:lang w:val="es-MX"/>
        </w:rPr>
        <w:t>173.- FONDO NACIONAL DE GARANTÍAS S.A. – FNG.</w:t>
      </w:r>
    </w:p>
    <w:p w14:paraId="090876FF" w14:textId="77777777" w:rsidR="005E5F3C" w:rsidRDefault="005E5F3C" w:rsidP="005E5F3C">
      <w:pPr>
        <w:pStyle w:val="Textoindependiente"/>
        <w:ind w:left="-284" w:right="-234"/>
        <w:jc w:val="both"/>
        <w:rPr>
          <w:b/>
        </w:rPr>
      </w:pPr>
    </w:p>
    <w:p w14:paraId="24C9C56B" w14:textId="77777777" w:rsidR="005E5F3C" w:rsidRPr="00BB6F67" w:rsidRDefault="005E5F3C" w:rsidP="005E5F3C">
      <w:pPr>
        <w:pStyle w:val="Textoindependiente"/>
        <w:ind w:left="-284" w:right="-234"/>
        <w:jc w:val="both"/>
        <w:rPr>
          <w:rFonts w:ascii="Arial" w:hAnsi="Arial" w:cs="Arial"/>
          <w:b/>
          <w:sz w:val="24"/>
          <w:szCs w:val="24"/>
        </w:rPr>
      </w:pPr>
      <w:r w:rsidRPr="00BB6F67">
        <w:rPr>
          <w:rFonts w:ascii="Arial" w:hAnsi="Arial" w:cs="Arial"/>
          <w:b/>
          <w:sz w:val="24"/>
          <w:szCs w:val="24"/>
        </w:rPr>
        <w:t>Al comparar los Estados Financieros con el formulario de saldos y movimientos encontramos diferencias en el Activo y Pasivo así:</w:t>
      </w:r>
    </w:p>
    <w:p w14:paraId="6BA756DC" w14:textId="77777777" w:rsidR="005E5F3C" w:rsidRDefault="005E5F3C" w:rsidP="005E5F3C">
      <w:pPr>
        <w:pStyle w:val="Textoindependiente"/>
        <w:jc w:val="both"/>
        <w:rPr>
          <w:b/>
        </w:rPr>
      </w:pPr>
    </w:p>
    <w:tbl>
      <w:tblPr>
        <w:tblStyle w:val="Tablaconcuadrcula"/>
        <w:tblW w:w="0" w:type="auto"/>
        <w:tblInd w:w="137" w:type="dxa"/>
        <w:tblLook w:val="04A0" w:firstRow="1" w:lastRow="0" w:firstColumn="1" w:lastColumn="0" w:noHBand="0" w:noVBand="1"/>
      </w:tblPr>
      <w:tblGrid>
        <w:gridCol w:w="2126"/>
        <w:gridCol w:w="3969"/>
        <w:gridCol w:w="3730"/>
      </w:tblGrid>
      <w:tr w:rsidR="005E5F3C" w:rsidRPr="00BB6F67" w14:paraId="4F2B10EC" w14:textId="77777777" w:rsidTr="00D4226B">
        <w:tc>
          <w:tcPr>
            <w:tcW w:w="2126" w:type="dxa"/>
          </w:tcPr>
          <w:p w14:paraId="0DBC3095" w14:textId="77777777" w:rsidR="005E5F3C" w:rsidRPr="00BB6F67" w:rsidRDefault="005E5F3C" w:rsidP="00D4226B">
            <w:pPr>
              <w:pStyle w:val="Textoindependiente"/>
              <w:jc w:val="center"/>
              <w:rPr>
                <w:rFonts w:ascii="Arial" w:hAnsi="Arial" w:cs="Arial"/>
                <w:b/>
              </w:rPr>
            </w:pPr>
            <w:r w:rsidRPr="00BB6F67">
              <w:rPr>
                <w:rFonts w:ascii="Arial" w:hAnsi="Arial" w:cs="Arial"/>
                <w:b/>
              </w:rPr>
              <w:t>CUENTA</w:t>
            </w:r>
          </w:p>
        </w:tc>
        <w:tc>
          <w:tcPr>
            <w:tcW w:w="3969" w:type="dxa"/>
          </w:tcPr>
          <w:p w14:paraId="07A084F2" w14:textId="77777777" w:rsidR="005E5F3C" w:rsidRPr="00BB6F67" w:rsidRDefault="005E5F3C" w:rsidP="00D4226B">
            <w:pPr>
              <w:pStyle w:val="Textoindependiente"/>
              <w:jc w:val="center"/>
              <w:rPr>
                <w:rFonts w:ascii="Arial" w:hAnsi="Arial" w:cs="Arial"/>
                <w:b/>
              </w:rPr>
            </w:pPr>
            <w:r w:rsidRPr="00BB6F67">
              <w:rPr>
                <w:rFonts w:ascii="Arial" w:hAnsi="Arial" w:cs="Arial"/>
                <w:b/>
              </w:rPr>
              <w:t>ESTADO DE SITUACION FINANICERA</w:t>
            </w:r>
          </w:p>
          <w:p w14:paraId="3418EFF6" w14:textId="77777777" w:rsidR="005E5F3C" w:rsidRPr="00BB6F67" w:rsidRDefault="005E5F3C" w:rsidP="00D4226B">
            <w:pPr>
              <w:pStyle w:val="Textoindependiente"/>
              <w:jc w:val="center"/>
              <w:rPr>
                <w:rFonts w:ascii="Arial" w:hAnsi="Arial" w:cs="Arial"/>
                <w:b/>
              </w:rPr>
            </w:pPr>
            <w:r w:rsidRPr="00BB6F67">
              <w:rPr>
                <w:rFonts w:ascii="Arial" w:hAnsi="Arial" w:cs="Arial"/>
                <w:b/>
              </w:rPr>
              <w:t>(Miles de pesos)</w:t>
            </w:r>
          </w:p>
        </w:tc>
        <w:tc>
          <w:tcPr>
            <w:tcW w:w="3730" w:type="dxa"/>
          </w:tcPr>
          <w:p w14:paraId="3BBA851D" w14:textId="77777777" w:rsidR="005E5F3C" w:rsidRPr="00BB6F67" w:rsidRDefault="005E5F3C" w:rsidP="00D4226B">
            <w:pPr>
              <w:pStyle w:val="Textoindependiente"/>
              <w:jc w:val="center"/>
              <w:rPr>
                <w:rFonts w:ascii="Arial" w:hAnsi="Arial" w:cs="Arial"/>
                <w:b/>
              </w:rPr>
            </w:pPr>
            <w:r w:rsidRPr="00BB6F67">
              <w:rPr>
                <w:rFonts w:ascii="Arial" w:hAnsi="Arial" w:cs="Arial"/>
                <w:b/>
              </w:rPr>
              <w:t>SALDOS Y MOVIMIENTOS</w:t>
            </w:r>
          </w:p>
          <w:p w14:paraId="7D916DB7" w14:textId="77777777" w:rsidR="005E5F3C" w:rsidRPr="00BB6F67" w:rsidRDefault="005E5F3C" w:rsidP="00D4226B">
            <w:pPr>
              <w:pStyle w:val="Textoindependiente"/>
              <w:jc w:val="center"/>
              <w:rPr>
                <w:rFonts w:ascii="Arial" w:hAnsi="Arial" w:cs="Arial"/>
                <w:b/>
              </w:rPr>
            </w:pPr>
            <w:r w:rsidRPr="00BB6F67">
              <w:rPr>
                <w:rFonts w:ascii="Arial" w:hAnsi="Arial" w:cs="Arial"/>
                <w:b/>
              </w:rPr>
              <w:t>(Pesos)</w:t>
            </w:r>
          </w:p>
        </w:tc>
      </w:tr>
      <w:tr w:rsidR="005E5F3C" w:rsidRPr="00BB6F67" w14:paraId="6CA7DD1E" w14:textId="77777777" w:rsidTr="00D4226B">
        <w:tc>
          <w:tcPr>
            <w:tcW w:w="2126" w:type="dxa"/>
          </w:tcPr>
          <w:p w14:paraId="423508EC" w14:textId="77777777" w:rsidR="005E5F3C" w:rsidRPr="00BB6F67" w:rsidRDefault="005E5F3C" w:rsidP="00D4226B">
            <w:pPr>
              <w:pStyle w:val="Textoindependiente"/>
              <w:jc w:val="both"/>
              <w:rPr>
                <w:rFonts w:ascii="Arial" w:hAnsi="Arial" w:cs="Arial"/>
                <w:b/>
              </w:rPr>
            </w:pPr>
            <w:r w:rsidRPr="00BB6F67">
              <w:rPr>
                <w:rFonts w:ascii="Arial" w:hAnsi="Arial" w:cs="Arial"/>
                <w:b/>
              </w:rPr>
              <w:t xml:space="preserve">ACTIVO </w:t>
            </w:r>
          </w:p>
        </w:tc>
        <w:tc>
          <w:tcPr>
            <w:tcW w:w="3969" w:type="dxa"/>
          </w:tcPr>
          <w:p w14:paraId="07A421C0" w14:textId="77777777" w:rsidR="005E5F3C" w:rsidRPr="00BB6F67" w:rsidRDefault="005E5F3C" w:rsidP="00D4226B">
            <w:pPr>
              <w:pStyle w:val="Textoindependiente"/>
              <w:jc w:val="right"/>
              <w:rPr>
                <w:rFonts w:ascii="Arial" w:hAnsi="Arial" w:cs="Arial"/>
              </w:rPr>
            </w:pPr>
            <w:r w:rsidRPr="00BB6F67">
              <w:rPr>
                <w:rFonts w:ascii="Arial" w:hAnsi="Arial" w:cs="Arial"/>
              </w:rPr>
              <w:t>6.044.779.875</w:t>
            </w:r>
          </w:p>
        </w:tc>
        <w:tc>
          <w:tcPr>
            <w:tcW w:w="3730" w:type="dxa"/>
          </w:tcPr>
          <w:p w14:paraId="3EAF7853" w14:textId="77777777" w:rsidR="005E5F3C" w:rsidRPr="00BB6F67" w:rsidRDefault="005E5F3C" w:rsidP="00D4226B">
            <w:pPr>
              <w:pStyle w:val="Textoindependiente"/>
              <w:jc w:val="right"/>
              <w:rPr>
                <w:rFonts w:ascii="Arial" w:hAnsi="Arial" w:cs="Arial"/>
              </w:rPr>
            </w:pPr>
            <w:r w:rsidRPr="00BB6F67">
              <w:rPr>
                <w:rFonts w:ascii="Arial" w:hAnsi="Arial" w:cs="Arial"/>
              </w:rPr>
              <w:t>6.058.391.138.446</w:t>
            </w:r>
          </w:p>
        </w:tc>
      </w:tr>
      <w:tr w:rsidR="005E5F3C" w:rsidRPr="00BB6F67" w14:paraId="2F839BD8" w14:textId="77777777" w:rsidTr="00D4226B">
        <w:tc>
          <w:tcPr>
            <w:tcW w:w="2126" w:type="dxa"/>
          </w:tcPr>
          <w:p w14:paraId="7EDAC759" w14:textId="77777777" w:rsidR="005E5F3C" w:rsidRPr="00BB6F67" w:rsidRDefault="005E5F3C" w:rsidP="00D4226B">
            <w:pPr>
              <w:pStyle w:val="Textoindependiente"/>
              <w:jc w:val="both"/>
              <w:rPr>
                <w:rFonts w:ascii="Arial" w:hAnsi="Arial" w:cs="Arial"/>
                <w:b/>
              </w:rPr>
            </w:pPr>
            <w:r w:rsidRPr="00BB6F67">
              <w:rPr>
                <w:rFonts w:ascii="Arial" w:hAnsi="Arial" w:cs="Arial"/>
                <w:b/>
              </w:rPr>
              <w:t xml:space="preserve">PASIVO </w:t>
            </w:r>
          </w:p>
        </w:tc>
        <w:tc>
          <w:tcPr>
            <w:tcW w:w="3969" w:type="dxa"/>
          </w:tcPr>
          <w:p w14:paraId="2A1EA07D" w14:textId="77777777" w:rsidR="005E5F3C" w:rsidRPr="00BB6F67" w:rsidRDefault="005E5F3C" w:rsidP="00D4226B">
            <w:pPr>
              <w:pStyle w:val="Textoindependiente"/>
              <w:jc w:val="right"/>
              <w:rPr>
                <w:rFonts w:ascii="Arial" w:hAnsi="Arial" w:cs="Arial"/>
              </w:rPr>
            </w:pPr>
            <w:r w:rsidRPr="00BB6F67">
              <w:rPr>
                <w:rFonts w:ascii="Arial" w:hAnsi="Arial" w:cs="Arial"/>
              </w:rPr>
              <w:t>2.142.070.521</w:t>
            </w:r>
          </w:p>
        </w:tc>
        <w:tc>
          <w:tcPr>
            <w:tcW w:w="3730" w:type="dxa"/>
          </w:tcPr>
          <w:p w14:paraId="73FF9853" w14:textId="77777777" w:rsidR="005E5F3C" w:rsidRPr="00BB6F67" w:rsidRDefault="005E5F3C" w:rsidP="00D4226B">
            <w:pPr>
              <w:pStyle w:val="Textoindependiente"/>
              <w:jc w:val="right"/>
              <w:rPr>
                <w:rFonts w:ascii="Arial" w:hAnsi="Arial" w:cs="Arial"/>
              </w:rPr>
            </w:pPr>
            <w:r w:rsidRPr="00BB6F67">
              <w:rPr>
                <w:rFonts w:ascii="Arial" w:hAnsi="Arial" w:cs="Arial"/>
              </w:rPr>
              <w:t>2.155.681.785.020</w:t>
            </w:r>
          </w:p>
        </w:tc>
      </w:tr>
    </w:tbl>
    <w:p w14:paraId="5851417A" w14:textId="77777777" w:rsidR="005E5F3C" w:rsidRDefault="005E5F3C" w:rsidP="005E5F3C">
      <w:pPr>
        <w:ind w:left="-284" w:right="-234"/>
        <w:jc w:val="both"/>
        <w:rPr>
          <w:rFonts w:ascii="Arial" w:hAnsi="Arial" w:cs="Arial"/>
          <w:b/>
          <w:sz w:val="28"/>
          <w:szCs w:val="28"/>
          <w:lang w:val="es-MX"/>
        </w:rPr>
      </w:pPr>
    </w:p>
    <w:p w14:paraId="66FE7253" w14:textId="018B4E8E" w:rsidR="005E5F3C" w:rsidRPr="00AD57F7" w:rsidRDefault="005E5F3C" w:rsidP="005E5F3C">
      <w:pPr>
        <w:ind w:left="-284" w:right="-234"/>
        <w:jc w:val="both"/>
        <w:rPr>
          <w:rFonts w:ascii="Arial" w:hAnsi="Arial" w:cs="Arial"/>
          <w:b/>
          <w:sz w:val="28"/>
          <w:szCs w:val="28"/>
          <w:lang w:val="es-MX"/>
        </w:rPr>
      </w:pPr>
      <w:r w:rsidRPr="00AD57F7">
        <w:rPr>
          <w:rFonts w:ascii="Arial" w:hAnsi="Arial" w:cs="Arial"/>
          <w:b/>
          <w:sz w:val="28"/>
          <w:szCs w:val="28"/>
          <w:lang w:val="es-MX"/>
        </w:rPr>
        <w:t>177.- FONDO DE DESARROLLO DE LA EDUCACIÓN SUPERIOR – FODESEP.</w:t>
      </w:r>
    </w:p>
    <w:p w14:paraId="4A74D795" w14:textId="77777777" w:rsidR="005E5F3C" w:rsidRDefault="005E5F3C" w:rsidP="005E5F3C">
      <w:pPr>
        <w:pStyle w:val="Prrafodelista"/>
        <w:spacing w:before="92"/>
        <w:ind w:left="-284" w:right="-234"/>
        <w:rPr>
          <w:b/>
          <w:sz w:val="24"/>
          <w:lang w:val="es-MX"/>
        </w:rPr>
      </w:pPr>
    </w:p>
    <w:p w14:paraId="7F7F4B83" w14:textId="77777777" w:rsidR="005E5F3C" w:rsidRPr="00AD57F7" w:rsidRDefault="005E5F3C" w:rsidP="005E5F3C">
      <w:pPr>
        <w:pStyle w:val="Textoindependiente"/>
        <w:ind w:left="-284" w:right="-234"/>
        <w:jc w:val="both"/>
        <w:rPr>
          <w:rFonts w:ascii="Arial" w:hAnsi="Arial" w:cs="Arial"/>
          <w:bCs/>
          <w:sz w:val="24"/>
          <w:szCs w:val="24"/>
        </w:rPr>
      </w:pPr>
      <w:r w:rsidRPr="00AD57F7">
        <w:rPr>
          <w:rFonts w:ascii="Arial" w:hAnsi="Arial" w:cs="Arial"/>
          <w:bCs/>
          <w:sz w:val="24"/>
          <w:szCs w:val="24"/>
        </w:rPr>
        <w:t>Al comparar los Estados Financieros encontramos diferencia en el Estado de Cambios en el Patrimonio en la cuenta Déficit Excedente del ejercicio por valor de $(3.217.209) miles y en el Estado de Resultados, encontramos una cifra por valor de $(3.221.610) miles de pesos.</w:t>
      </w:r>
    </w:p>
    <w:p w14:paraId="5180DF5E" w14:textId="77777777" w:rsidR="005E5F3C" w:rsidRDefault="005E5F3C" w:rsidP="005E5F3C">
      <w:pPr>
        <w:pStyle w:val="Prrafodelista"/>
        <w:spacing w:before="92"/>
        <w:ind w:left="-284" w:right="-234"/>
        <w:rPr>
          <w:rFonts w:ascii="Arial" w:hAnsi="Arial" w:cs="Arial"/>
          <w:b/>
          <w:sz w:val="24"/>
          <w:szCs w:val="24"/>
        </w:rPr>
      </w:pPr>
    </w:p>
    <w:p w14:paraId="5805FFE0" w14:textId="77777777" w:rsidR="005E5F3C" w:rsidRPr="00597F3F" w:rsidRDefault="005E5F3C" w:rsidP="005E5F3C">
      <w:pPr>
        <w:ind w:left="-284" w:right="-234"/>
        <w:jc w:val="both"/>
        <w:rPr>
          <w:rFonts w:ascii="Arial" w:hAnsi="Arial" w:cs="Arial"/>
          <w:b/>
          <w:sz w:val="28"/>
          <w:szCs w:val="28"/>
          <w:lang w:val="es-MX"/>
        </w:rPr>
      </w:pPr>
      <w:r w:rsidRPr="00597F3F">
        <w:rPr>
          <w:rFonts w:ascii="Arial" w:hAnsi="Arial" w:cs="Arial"/>
          <w:b/>
          <w:sz w:val="28"/>
          <w:szCs w:val="28"/>
          <w:lang w:val="es-MX"/>
        </w:rPr>
        <w:t>189.- FIDUCIARIA LA PREVISORA S.A. – FIDUPREVISORA S.A.</w:t>
      </w:r>
    </w:p>
    <w:p w14:paraId="79360F56" w14:textId="77777777" w:rsidR="005E5F3C" w:rsidRDefault="005E5F3C" w:rsidP="005E5F3C">
      <w:pPr>
        <w:pStyle w:val="Prrafodelista"/>
        <w:spacing w:before="92"/>
        <w:ind w:left="-284" w:right="-234"/>
        <w:rPr>
          <w:rFonts w:ascii="Arial" w:hAnsi="Arial" w:cs="Arial"/>
          <w:b/>
          <w:sz w:val="24"/>
          <w:szCs w:val="24"/>
        </w:rPr>
      </w:pPr>
    </w:p>
    <w:p w14:paraId="29F743B7" w14:textId="77777777" w:rsidR="005E5F3C" w:rsidRPr="00597F3F" w:rsidRDefault="005E5F3C" w:rsidP="005E5F3C">
      <w:pPr>
        <w:pStyle w:val="Textoindependiente"/>
        <w:ind w:left="-284" w:right="-234"/>
        <w:jc w:val="both"/>
        <w:rPr>
          <w:rFonts w:ascii="Arial" w:hAnsi="Arial" w:cs="Arial"/>
          <w:b/>
          <w:sz w:val="28"/>
          <w:szCs w:val="28"/>
        </w:rPr>
      </w:pPr>
      <w:r w:rsidRPr="00597F3F">
        <w:rPr>
          <w:rFonts w:ascii="Arial" w:hAnsi="Arial" w:cs="Arial"/>
          <w:b/>
          <w:sz w:val="28"/>
          <w:szCs w:val="28"/>
        </w:rPr>
        <w:t>Al comparar los saldos de activo y pasivo expresados en el estado de situación financiera y el informe de saldos y movimientos encontramos diferencias así:</w:t>
      </w:r>
    </w:p>
    <w:p w14:paraId="0DED857F" w14:textId="77777777" w:rsidR="005E5F3C" w:rsidRPr="00597F3F" w:rsidRDefault="005E5F3C" w:rsidP="005E5F3C">
      <w:pPr>
        <w:pStyle w:val="Textoindependiente"/>
        <w:ind w:right="-50"/>
        <w:jc w:val="both"/>
        <w:rPr>
          <w:rFonts w:ascii="Arial" w:hAnsi="Arial" w:cs="Arial"/>
          <w:b/>
          <w:sz w:val="28"/>
          <w:szCs w:val="28"/>
        </w:rPr>
      </w:pPr>
    </w:p>
    <w:tbl>
      <w:tblPr>
        <w:tblStyle w:val="Tablaconcuadrcula"/>
        <w:tblW w:w="0" w:type="auto"/>
        <w:tblInd w:w="137" w:type="dxa"/>
        <w:tblLook w:val="04A0" w:firstRow="1" w:lastRow="0" w:firstColumn="1" w:lastColumn="0" w:noHBand="0" w:noVBand="1"/>
      </w:tblPr>
      <w:tblGrid>
        <w:gridCol w:w="3183"/>
        <w:gridCol w:w="3196"/>
        <w:gridCol w:w="3446"/>
      </w:tblGrid>
      <w:tr w:rsidR="005E5F3C" w:rsidRPr="00597F3F" w14:paraId="66226CF4" w14:textId="77777777" w:rsidTr="00D4226B">
        <w:tc>
          <w:tcPr>
            <w:tcW w:w="3183" w:type="dxa"/>
          </w:tcPr>
          <w:p w14:paraId="6C270D96" w14:textId="77777777" w:rsidR="005E5F3C" w:rsidRPr="00597F3F" w:rsidRDefault="005E5F3C" w:rsidP="00D4226B">
            <w:pPr>
              <w:pStyle w:val="Textoindependiente"/>
              <w:ind w:right="-50"/>
              <w:jc w:val="both"/>
              <w:rPr>
                <w:rFonts w:ascii="Arial" w:hAnsi="Arial" w:cs="Arial"/>
                <w:b/>
              </w:rPr>
            </w:pPr>
          </w:p>
        </w:tc>
        <w:tc>
          <w:tcPr>
            <w:tcW w:w="3196" w:type="dxa"/>
          </w:tcPr>
          <w:p w14:paraId="31411307" w14:textId="77777777" w:rsidR="005E5F3C" w:rsidRPr="00597F3F" w:rsidRDefault="005E5F3C" w:rsidP="00D4226B">
            <w:pPr>
              <w:pStyle w:val="Textoindependiente"/>
              <w:ind w:right="-50"/>
              <w:jc w:val="center"/>
              <w:rPr>
                <w:rFonts w:ascii="Arial" w:hAnsi="Arial" w:cs="Arial"/>
                <w:b/>
              </w:rPr>
            </w:pPr>
            <w:r w:rsidRPr="00597F3F">
              <w:rPr>
                <w:rFonts w:ascii="Arial" w:hAnsi="Arial" w:cs="Arial"/>
                <w:b/>
              </w:rPr>
              <w:t>Estado de situación Financiera</w:t>
            </w:r>
          </w:p>
          <w:p w14:paraId="2883BDCC" w14:textId="77777777" w:rsidR="005E5F3C" w:rsidRPr="00597F3F" w:rsidRDefault="005E5F3C" w:rsidP="00D4226B">
            <w:pPr>
              <w:pStyle w:val="Textoindependiente"/>
              <w:ind w:right="-50"/>
              <w:jc w:val="center"/>
              <w:rPr>
                <w:rFonts w:ascii="Arial" w:hAnsi="Arial" w:cs="Arial"/>
                <w:b/>
              </w:rPr>
            </w:pPr>
            <w:r w:rsidRPr="00597F3F">
              <w:rPr>
                <w:rFonts w:ascii="Arial" w:hAnsi="Arial" w:cs="Arial"/>
                <w:b/>
              </w:rPr>
              <w:t>Millones</w:t>
            </w:r>
          </w:p>
          <w:p w14:paraId="6115152C" w14:textId="77777777" w:rsidR="005E5F3C" w:rsidRPr="00597F3F" w:rsidRDefault="005E5F3C" w:rsidP="00D4226B">
            <w:pPr>
              <w:pStyle w:val="Textoindependiente"/>
              <w:ind w:right="-50"/>
              <w:jc w:val="center"/>
              <w:rPr>
                <w:rFonts w:ascii="Arial" w:hAnsi="Arial" w:cs="Arial"/>
                <w:b/>
              </w:rPr>
            </w:pPr>
          </w:p>
        </w:tc>
        <w:tc>
          <w:tcPr>
            <w:tcW w:w="3446" w:type="dxa"/>
          </w:tcPr>
          <w:p w14:paraId="00DA1F91" w14:textId="77777777" w:rsidR="005E5F3C" w:rsidRPr="00597F3F" w:rsidRDefault="005E5F3C" w:rsidP="00D4226B">
            <w:pPr>
              <w:pStyle w:val="Textoindependiente"/>
              <w:ind w:right="-210"/>
              <w:jc w:val="center"/>
              <w:rPr>
                <w:rFonts w:ascii="Arial" w:hAnsi="Arial" w:cs="Arial"/>
                <w:b/>
              </w:rPr>
            </w:pPr>
            <w:r w:rsidRPr="00597F3F">
              <w:rPr>
                <w:rFonts w:ascii="Arial" w:hAnsi="Arial" w:cs="Arial"/>
                <w:b/>
              </w:rPr>
              <w:t>Informe de Saldos y Movimientos</w:t>
            </w:r>
          </w:p>
          <w:p w14:paraId="4AF9A457" w14:textId="77777777" w:rsidR="005E5F3C" w:rsidRPr="00597F3F" w:rsidRDefault="005E5F3C" w:rsidP="00D4226B">
            <w:pPr>
              <w:pStyle w:val="Textoindependiente"/>
              <w:ind w:right="-210"/>
              <w:jc w:val="center"/>
              <w:rPr>
                <w:rFonts w:ascii="Arial" w:hAnsi="Arial" w:cs="Arial"/>
                <w:b/>
              </w:rPr>
            </w:pPr>
            <w:r w:rsidRPr="00597F3F">
              <w:rPr>
                <w:rFonts w:ascii="Arial" w:hAnsi="Arial" w:cs="Arial"/>
                <w:b/>
              </w:rPr>
              <w:t>Pesos</w:t>
            </w:r>
          </w:p>
        </w:tc>
      </w:tr>
      <w:tr w:rsidR="005E5F3C" w:rsidRPr="00597F3F" w14:paraId="106CD823" w14:textId="77777777" w:rsidTr="00D4226B">
        <w:tc>
          <w:tcPr>
            <w:tcW w:w="3183" w:type="dxa"/>
          </w:tcPr>
          <w:p w14:paraId="51BABFA8" w14:textId="77777777" w:rsidR="005E5F3C" w:rsidRPr="00597F3F" w:rsidRDefault="005E5F3C" w:rsidP="00D4226B">
            <w:pPr>
              <w:pStyle w:val="Textoindependiente"/>
              <w:ind w:right="-50"/>
              <w:jc w:val="both"/>
              <w:rPr>
                <w:rFonts w:ascii="Arial" w:hAnsi="Arial" w:cs="Arial"/>
                <w:b/>
              </w:rPr>
            </w:pPr>
            <w:r w:rsidRPr="00597F3F">
              <w:rPr>
                <w:rFonts w:ascii="Arial" w:hAnsi="Arial" w:cs="Arial"/>
                <w:b/>
              </w:rPr>
              <w:t>Activo</w:t>
            </w:r>
          </w:p>
        </w:tc>
        <w:tc>
          <w:tcPr>
            <w:tcW w:w="3196" w:type="dxa"/>
          </w:tcPr>
          <w:p w14:paraId="045762E8" w14:textId="77777777" w:rsidR="005E5F3C" w:rsidRPr="00597F3F" w:rsidRDefault="005E5F3C" w:rsidP="00D4226B">
            <w:pPr>
              <w:pStyle w:val="Textoindependiente"/>
              <w:ind w:right="-50"/>
              <w:jc w:val="right"/>
              <w:rPr>
                <w:rFonts w:ascii="Arial" w:hAnsi="Arial" w:cs="Arial"/>
                <w:b/>
              </w:rPr>
            </w:pPr>
            <w:r w:rsidRPr="00597F3F">
              <w:rPr>
                <w:rFonts w:ascii="Arial" w:hAnsi="Arial" w:cs="Arial"/>
                <w:b/>
              </w:rPr>
              <w:t>314.960</w:t>
            </w:r>
          </w:p>
        </w:tc>
        <w:tc>
          <w:tcPr>
            <w:tcW w:w="3446" w:type="dxa"/>
          </w:tcPr>
          <w:p w14:paraId="277A0DB6" w14:textId="77777777" w:rsidR="005E5F3C" w:rsidRPr="00597F3F" w:rsidRDefault="005E5F3C" w:rsidP="00D4226B">
            <w:pPr>
              <w:widowControl/>
              <w:autoSpaceDE/>
              <w:autoSpaceDN/>
              <w:jc w:val="right"/>
              <w:rPr>
                <w:rFonts w:ascii="Arial" w:hAnsi="Arial" w:cs="Arial"/>
                <w:b/>
                <w:bCs/>
              </w:rPr>
            </w:pPr>
            <w:r w:rsidRPr="00597F3F">
              <w:rPr>
                <w:rFonts w:ascii="Arial" w:hAnsi="Arial" w:cs="Arial"/>
                <w:b/>
                <w:bCs/>
              </w:rPr>
              <w:t>323.075.268.705.37</w:t>
            </w:r>
          </w:p>
        </w:tc>
      </w:tr>
      <w:tr w:rsidR="005E5F3C" w:rsidRPr="00597F3F" w14:paraId="1CB2C0AA" w14:textId="77777777" w:rsidTr="00D4226B">
        <w:tc>
          <w:tcPr>
            <w:tcW w:w="3183" w:type="dxa"/>
          </w:tcPr>
          <w:p w14:paraId="3AAC6219" w14:textId="77777777" w:rsidR="005E5F3C" w:rsidRPr="00597F3F" w:rsidRDefault="005E5F3C" w:rsidP="00D4226B">
            <w:pPr>
              <w:pStyle w:val="Textoindependiente"/>
              <w:ind w:right="-50"/>
              <w:jc w:val="both"/>
              <w:rPr>
                <w:rFonts w:ascii="Arial" w:hAnsi="Arial" w:cs="Arial"/>
                <w:b/>
              </w:rPr>
            </w:pPr>
            <w:r w:rsidRPr="00597F3F">
              <w:rPr>
                <w:rFonts w:ascii="Arial" w:hAnsi="Arial" w:cs="Arial"/>
                <w:b/>
              </w:rPr>
              <w:t>Pasivo</w:t>
            </w:r>
          </w:p>
        </w:tc>
        <w:tc>
          <w:tcPr>
            <w:tcW w:w="3196" w:type="dxa"/>
          </w:tcPr>
          <w:p w14:paraId="023C3972" w14:textId="77777777" w:rsidR="005E5F3C" w:rsidRPr="00597F3F" w:rsidRDefault="005E5F3C" w:rsidP="00D4226B">
            <w:pPr>
              <w:pStyle w:val="Textoindependiente"/>
              <w:ind w:right="-50"/>
              <w:jc w:val="right"/>
              <w:rPr>
                <w:rFonts w:ascii="Arial" w:hAnsi="Arial" w:cs="Arial"/>
                <w:b/>
              </w:rPr>
            </w:pPr>
            <w:r w:rsidRPr="00597F3F">
              <w:rPr>
                <w:rFonts w:ascii="Arial" w:hAnsi="Arial" w:cs="Arial"/>
                <w:b/>
              </w:rPr>
              <w:t>60.103</w:t>
            </w:r>
          </w:p>
        </w:tc>
        <w:tc>
          <w:tcPr>
            <w:tcW w:w="3446" w:type="dxa"/>
          </w:tcPr>
          <w:p w14:paraId="5B746E27" w14:textId="77777777" w:rsidR="005E5F3C" w:rsidRPr="00597F3F" w:rsidRDefault="005E5F3C" w:rsidP="00D4226B">
            <w:pPr>
              <w:widowControl/>
              <w:autoSpaceDE/>
              <w:autoSpaceDN/>
              <w:jc w:val="right"/>
              <w:rPr>
                <w:rFonts w:ascii="Arial" w:hAnsi="Arial" w:cs="Arial"/>
                <w:b/>
                <w:bCs/>
              </w:rPr>
            </w:pPr>
            <w:r w:rsidRPr="00597F3F">
              <w:rPr>
                <w:rFonts w:ascii="Arial" w:hAnsi="Arial" w:cs="Arial"/>
                <w:b/>
                <w:bCs/>
              </w:rPr>
              <w:t>68.218.632.698.73</w:t>
            </w:r>
          </w:p>
        </w:tc>
      </w:tr>
    </w:tbl>
    <w:p w14:paraId="1095F2DB" w14:textId="77777777" w:rsidR="005E5F3C" w:rsidRDefault="005E5F3C" w:rsidP="005E5F3C">
      <w:pPr>
        <w:pStyle w:val="Prrafodelista"/>
        <w:spacing w:before="92"/>
        <w:ind w:left="-142"/>
        <w:rPr>
          <w:rFonts w:ascii="Arial" w:hAnsi="Arial" w:cs="Arial"/>
          <w:b/>
          <w:sz w:val="24"/>
          <w:szCs w:val="24"/>
        </w:rPr>
      </w:pPr>
    </w:p>
    <w:p w14:paraId="63927EC4" w14:textId="77777777" w:rsidR="005E5F3C" w:rsidRPr="00E41EFB" w:rsidRDefault="005E5F3C" w:rsidP="005E5F3C">
      <w:pPr>
        <w:ind w:left="-284" w:right="-234"/>
        <w:jc w:val="both"/>
        <w:rPr>
          <w:rFonts w:ascii="Arial" w:hAnsi="Arial" w:cs="Arial"/>
          <w:b/>
          <w:sz w:val="28"/>
          <w:szCs w:val="28"/>
          <w:lang w:val="es-MX"/>
        </w:rPr>
      </w:pPr>
      <w:r w:rsidRPr="00E41EFB">
        <w:rPr>
          <w:rFonts w:ascii="Arial" w:hAnsi="Arial" w:cs="Arial"/>
          <w:b/>
          <w:sz w:val="28"/>
          <w:szCs w:val="28"/>
          <w:lang w:val="es-MX"/>
        </w:rPr>
        <w:t>190.- PAR ELECTRIFICADORA DE CÓRDOBA S.A. E.S.P EN LIQUIDACIÓN – FIDUPREVISORA S.A.</w:t>
      </w:r>
    </w:p>
    <w:p w14:paraId="061622C9" w14:textId="77777777" w:rsidR="005E5F3C" w:rsidRDefault="005E5F3C" w:rsidP="005E5F3C">
      <w:pPr>
        <w:pStyle w:val="Prrafodelista"/>
        <w:spacing w:before="92"/>
        <w:ind w:left="-142"/>
        <w:rPr>
          <w:rFonts w:ascii="Arial" w:hAnsi="Arial" w:cs="Arial"/>
          <w:b/>
          <w:sz w:val="24"/>
          <w:szCs w:val="24"/>
        </w:rPr>
      </w:pPr>
    </w:p>
    <w:p w14:paraId="1A413CFB" w14:textId="77777777" w:rsidR="005E5F3C" w:rsidRPr="00E41EFB" w:rsidRDefault="005E5F3C" w:rsidP="005E5F3C">
      <w:pPr>
        <w:pStyle w:val="Textoindependiente"/>
        <w:ind w:left="-284" w:right="-234"/>
        <w:jc w:val="both"/>
        <w:rPr>
          <w:rFonts w:ascii="Arial" w:hAnsi="Arial" w:cs="Arial"/>
          <w:b/>
          <w:sz w:val="28"/>
          <w:szCs w:val="28"/>
        </w:rPr>
      </w:pPr>
      <w:r w:rsidRPr="00E41EFB">
        <w:rPr>
          <w:rFonts w:ascii="Arial" w:hAnsi="Arial" w:cs="Arial"/>
          <w:b/>
          <w:sz w:val="28"/>
          <w:szCs w:val="28"/>
        </w:rPr>
        <w:t>Al comparar el saldo de la cuenta de pérdidas o déficits acumulados expresados en el estado de situación financiera y el informe de saldos y movimientos, encontramos diferencias así:</w:t>
      </w:r>
    </w:p>
    <w:p w14:paraId="53CD395B" w14:textId="77777777" w:rsidR="005E5F3C" w:rsidRPr="00E41EFB" w:rsidRDefault="005E5F3C" w:rsidP="005E5F3C">
      <w:pPr>
        <w:pStyle w:val="Textoindependiente"/>
        <w:ind w:right="-50"/>
        <w:jc w:val="both"/>
        <w:rPr>
          <w:rFonts w:ascii="Arial" w:hAnsi="Arial" w:cs="Arial"/>
          <w:b/>
          <w:sz w:val="28"/>
          <w:szCs w:val="28"/>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rsidRPr="00E41EFB" w14:paraId="2C139212" w14:textId="77777777" w:rsidTr="00D4226B">
        <w:tc>
          <w:tcPr>
            <w:tcW w:w="3183" w:type="dxa"/>
          </w:tcPr>
          <w:p w14:paraId="031E3F8A" w14:textId="77777777" w:rsidR="005E5F3C" w:rsidRPr="00E41EFB" w:rsidRDefault="005E5F3C" w:rsidP="00D4226B">
            <w:pPr>
              <w:pStyle w:val="Textoindependiente"/>
              <w:ind w:right="-50"/>
              <w:jc w:val="both"/>
              <w:rPr>
                <w:rFonts w:ascii="Arial" w:hAnsi="Arial" w:cs="Arial"/>
                <w:b/>
              </w:rPr>
            </w:pPr>
          </w:p>
        </w:tc>
        <w:tc>
          <w:tcPr>
            <w:tcW w:w="3321" w:type="dxa"/>
          </w:tcPr>
          <w:p w14:paraId="3A783EB1" w14:textId="77777777" w:rsidR="005E5F3C" w:rsidRDefault="005E5F3C" w:rsidP="00D4226B">
            <w:pPr>
              <w:pStyle w:val="Textoindependiente"/>
              <w:ind w:right="-50"/>
              <w:jc w:val="center"/>
              <w:rPr>
                <w:rFonts w:ascii="Arial" w:hAnsi="Arial" w:cs="Arial"/>
                <w:b/>
              </w:rPr>
            </w:pPr>
            <w:r w:rsidRPr="00E41EFB">
              <w:rPr>
                <w:rFonts w:ascii="Arial" w:hAnsi="Arial" w:cs="Arial"/>
                <w:b/>
              </w:rPr>
              <w:t>Estado de situación</w:t>
            </w:r>
          </w:p>
          <w:p w14:paraId="3209D090" w14:textId="77777777" w:rsidR="005E5F3C" w:rsidRPr="00E41EFB" w:rsidRDefault="005E5F3C" w:rsidP="00D4226B">
            <w:pPr>
              <w:pStyle w:val="Textoindependiente"/>
              <w:ind w:right="-50"/>
              <w:jc w:val="center"/>
              <w:rPr>
                <w:rFonts w:ascii="Arial" w:hAnsi="Arial" w:cs="Arial"/>
                <w:b/>
              </w:rPr>
            </w:pPr>
            <w:r w:rsidRPr="00E41EFB">
              <w:rPr>
                <w:rFonts w:ascii="Arial" w:hAnsi="Arial" w:cs="Arial"/>
                <w:b/>
              </w:rPr>
              <w:t>financiera</w:t>
            </w:r>
          </w:p>
          <w:p w14:paraId="3D930100" w14:textId="77777777" w:rsidR="005E5F3C" w:rsidRPr="00E41EFB" w:rsidRDefault="005E5F3C" w:rsidP="00D4226B">
            <w:pPr>
              <w:pStyle w:val="Textoindependiente"/>
              <w:ind w:right="-50"/>
              <w:jc w:val="center"/>
              <w:rPr>
                <w:rFonts w:ascii="Arial" w:hAnsi="Arial" w:cs="Arial"/>
                <w:b/>
              </w:rPr>
            </w:pPr>
          </w:p>
        </w:tc>
        <w:tc>
          <w:tcPr>
            <w:tcW w:w="3321" w:type="dxa"/>
          </w:tcPr>
          <w:p w14:paraId="4B9A2AED" w14:textId="77777777" w:rsidR="005E5F3C" w:rsidRDefault="005E5F3C" w:rsidP="00D4226B">
            <w:pPr>
              <w:pStyle w:val="Textoindependiente"/>
              <w:ind w:right="-50"/>
              <w:jc w:val="center"/>
              <w:rPr>
                <w:rFonts w:ascii="Arial" w:hAnsi="Arial" w:cs="Arial"/>
                <w:b/>
              </w:rPr>
            </w:pPr>
            <w:r w:rsidRPr="00E41EFB">
              <w:rPr>
                <w:rFonts w:ascii="Arial" w:hAnsi="Arial" w:cs="Arial"/>
                <w:b/>
              </w:rPr>
              <w:t>Informe de saldos y</w:t>
            </w:r>
          </w:p>
          <w:p w14:paraId="746D9C56" w14:textId="77777777" w:rsidR="005E5F3C" w:rsidRPr="00E41EFB" w:rsidRDefault="005E5F3C" w:rsidP="00D4226B">
            <w:pPr>
              <w:pStyle w:val="Textoindependiente"/>
              <w:ind w:right="-50"/>
              <w:jc w:val="center"/>
              <w:rPr>
                <w:rFonts w:ascii="Arial" w:hAnsi="Arial" w:cs="Arial"/>
                <w:b/>
              </w:rPr>
            </w:pPr>
            <w:r w:rsidRPr="00E41EFB">
              <w:rPr>
                <w:rFonts w:ascii="Arial" w:hAnsi="Arial" w:cs="Arial"/>
                <w:b/>
              </w:rPr>
              <w:t>movimientos</w:t>
            </w:r>
          </w:p>
        </w:tc>
      </w:tr>
      <w:tr w:rsidR="005E5F3C" w:rsidRPr="00E41EFB" w14:paraId="40D95B17" w14:textId="77777777" w:rsidTr="00D4226B">
        <w:tc>
          <w:tcPr>
            <w:tcW w:w="3183" w:type="dxa"/>
          </w:tcPr>
          <w:p w14:paraId="05D775B7" w14:textId="77777777" w:rsidR="005E5F3C" w:rsidRPr="00E41EFB" w:rsidRDefault="005E5F3C" w:rsidP="00D4226B">
            <w:pPr>
              <w:pStyle w:val="Textoindependiente"/>
              <w:ind w:right="-50"/>
              <w:jc w:val="both"/>
              <w:rPr>
                <w:rFonts w:ascii="Arial" w:hAnsi="Arial" w:cs="Arial"/>
                <w:b/>
              </w:rPr>
            </w:pPr>
            <w:r w:rsidRPr="00E41EFB">
              <w:rPr>
                <w:rFonts w:ascii="Arial" w:hAnsi="Arial" w:cs="Arial"/>
                <w:b/>
              </w:rPr>
              <w:t>Pérdidas o déficits acumulados</w:t>
            </w:r>
          </w:p>
        </w:tc>
        <w:tc>
          <w:tcPr>
            <w:tcW w:w="3321" w:type="dxa"/>
          </w:tcPr>
          <w:p w14:paraId="35CB914C" w14:textId="77777777" w:rsidR="005E5F3C" w:rsidRPr="00E41EFB" w:rsidRDefault="005E5F3C" w:rsidP="00D4226B">
            <w:pPr>
              <w:pStyle w:val="Textoindependiente"/>
              <w:ind w:right="-50"/>
              <w:jc w:val="center"/>
              <w:rPr>
                <w:rFonts w:ascii="Arial" w:hAnsi="Arial" w:cs="Arial"/>
                <w:b/>
              </w:rPr>
            </w:pPr>
            <w:r w:rsidRPr="00E41EFB">
              <w:rPr>
                <w:rFonts w:ascii="Arial" w:hAnsi="Arial" w:cs="Arial"/>
                <w:b/>
              </w:rPr>
              <w:t>(20.958.753.355.85)</w:t>
            </w:r>
          </w:p>
        </w:tc>
        <w:tc>
          <w:tcPr>
            <w:tcW w:w="3321" w:type="dxa"/>
          </w:tcPr>
          <w:p w14:paraId="5D91E3B4" w14:textId="77777777" w:rsidR="005E5F3C" w:rsidRPr="00E41EFB" w:rsidRDefault="005E5F3C" w:rsidP="00D4226B">
            <w:pPr>
              <w:pStyle w:val="Textoindependiente"/>
              <w:ind w:right="-50"/>
              <w:jc w:val="center"/>
              <w:rPr>
                <w:rFonts w:ascii="Arial" w:hAnsi="Arial" w:cs="Arial"/>
                <w:b/>
              </w:rPr>
            </w:pPr>
            <w:r w:rsidRPr="00E41EFB">
              <w:rPr>
                <w:rFonts w:ascii="Arial" w:hAnsi="Arial" w:cs="Arial"/>
                <w:b/>
              </w:rPr>
              <w:t>(19.736.396.355.85)</w:t>
            </w:r>
          </w:p>
        </w:tc>
      </w:tr>
    </w:tbl>
    <w:p w14:paraId="6D884E01" w14:textId="77777777" w:rsidR="005E5F3C" w:rsidRDefault="005E5F3C" w:rsidP="005E5F3C">
      <w:pPr>
        <w:pStyle w:val="Textoindependiente"/>
        <w:ind w:right="-50"/>
        <w:jc w:val="both"/>
        <w:rPr>
          <w:rFonts w:ascii="Arial" w:hAnsi="Arial" w:cs="Arial"/>
          <w:b/>
          <w:sz w:val="28"/>
          <w:szCs w:val="28"/>
        </w:rPr>
      </w:pPr>
    </w:p>
    <w:p w14:paraId="21257599" w14:textId="77777777" w:rsidR="005E5F3C" w:rsidRPr="00C50543" w:rsidRDefault="005E5F3C" w:rsidP="005E5F3C">
      <w:pPr>
        <w:ind w:left="-284" w:right="-234"/>
        <w:jc w:val="both"/>
        <w:rPr>
          <w:rFonts w:ascii="Arial" w:hAnsi="Arial" w:cs="Arial"/>
          <w:b/>
          <w:sz w:val="28"/>
          <w:szCs w:val="28"/>
          <w:lang w:val="es-MX"/>
        </w:rPr>
      </w:pPr>
      <w:r w:rsidRPr="00C50543">
        <w:rPr>
          <w:rFonts w:ascii="Arial" w:hAnsi="Arial" w:cs="Arial"/>
          <w:b/>
          <w:sz w:val="28"/>
          <w:szCs w:val="28"/>
          <w:lang w:val="es-MX"/>
        </w:rPr>
        <w:t>239.- CANAL REGIONAL DE TELEVISIÓN TEVEANDINA LTDA.</w:t>
      </w:r>
    </w:p>
    <w:p w14:paraId="351D4487" w14:textId="77777777" w:rsidR="005E5F3C" w:rsidRDefault="005E5F3C" w:rsidP="005E5F3C">
      <w:pPr>
        <w:pStyle w:val="Textoindependiente"/>
        <w:ind w:left="-284" w:right="-234"/>
        <w:jc w:val="both"/>
        <w:rPr>
          <w:rFonts w:ascii="Arial" w:hAnsi="Arial" w:cs="Arial"/>
          <w:b/>
          <w:sz w:val="28"/>
          <w:szCs w:val="28"/>
        </w:rPr>
      </w:pPr>
    </w:p>
    <w:p w14:paraId="3EDAAFA2" w14:textId="77777777" w:rsidR="005E5F3C" w:rsidRPr="0061038E" w:rsidRDefault="005E5F3C" w:rsidP="005E5F3C">
      <w:pPr>
        <w:pStyle w:val="Textoindependiente"/>
        <w:ind w:left="-284" w:right="-234"/>
        <w:jc w:val="both"/>
        <w:rPr>
          <w:bCs/>
        </w:rPr>
      </w:pPr>
      <w:r>
        <w:rPr>
          <w:bCs/>
        </w:rPr>
        <w:lastRenderedPageBreak/>
        <w:t>-L</w:t>
      </w:r>
      <w:r w:rsidRPr="0061038E">
        <w:rPr>
          <w:bCs/>
        </w:rPr>
        <w:t>a entidad presenta diferencias en los valores del Estado de Situación Financiera y el Informe de Saldos y Movimientos de las siguientes cuentas:</w:t>
      </w:r>
    </w:p>
    <w:p w14:paraId="6690A35B" w14:textId="77777777" w:rsidR="005E5F3C" w:rsidRDefault="005E5F3C" w:rsidP="005E5F3C">
      <w:pPr>
        <w:pStyle w:val="Textoindependiente"/>
        <w:ind w:right="-50"/>
        <w:jc w:val="both"/>
        <w:rPr>
          <w:b/>
          <w:sz w:val="28"/>
          <w:szCs w:val="28"/>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rsidRPr="00C50543" w14:paraId="01815258" w14:textId="77777777" w:rsidTr="00D4226B">
        <w:tc>
          <w:tcPr>
            <w:tcW w:w="3183" w:type="dxa"/>
          </w:tcPr>
          <w:p w14:paraId="55D7BB2A" w14:textId="77777777" w:rsidR="005E5F3C" w:rsidRPr="00C50543" w:rsidRDefault="005E5F3C" w:rsidP="00D4226B">
            <w:pPr>
              <w:pStyle w:val="Textoindependiente"/>
              <w:ind w:right="-50"/>
              <w:jc w:val="center"/>
              <w:rPr>
                <w:rFonts w:ascii="Arial" w:hAnsi="Arial" w:cs="Arial"/>
                <w:b/>
              </w:rPr>
            </w:pPr>
            <w:r w:rsidRPr="00C50543">
              <w:rPr>
                <w:rFonts w:ascii="Arial" w:hAnsi="Arial" w:cs="Arial"/>
                <w:b/>
              </w:rPr>
              <w:t>CUENTA</w:t>
            </w:r>
          </w:p>
        </w:tc>
        <w:tc>
          <w:tcPr>
            <w:tcW w:w="3321" w:type="dxa"/>
          </w:tcPr>
          <w:p w14:paraId="503423AE" w14:textId="77777777" w:rsidR="005E5F3C" w:rsidRDefault="005E5F3C" w:rsidP="00D4226B">
            <w:pPr>
              <w:pStyle w:val="Textoindependiente"/>
              <w:ind w:right="-50"/>
              <w:jc w:val="center"/>
              <w:rPr>
                <w:rFonts w:ascii="Arial" w:hAnsi="Arial" w:cs="Arial"/>
                <w:b/>
              </w:rPr>
            </w:pPr>
            <w:r w:rsidRPr="00C50543">
              <w:rPr>
                <w:rFonts w:ascii="Arial" w:hAnsi="Arial" w:cs="Arial"/>
                <w:b/>
              </w:rPr>
              <w:t>ESTADO DE SITUACIÓN FINANCIERA AL 31-12-2024 EN MILES DE PESOS</w:t>
            </w:r>
          </w:p>
          <w:p w14:paraId="7B49B9DA" w14:textId="77777777" w:rsidR="005E5F3C" w:rsidRPr="00C50543" w:rsidRDefault="005E5F3C" w:rsidP="00D4226B">
            <w:pPr>
              <w:pStyle w:val="Textoindependiente"/>
              <w:ind w:right="-50"/>
              <w:jc w:val="center"/>
              <w:rPr>
                <w:rFonts w:ascii="Arial" w:hAnsi="Arial" w:cs="Arial"/>
                <w:b/>
              </w:rPr>
            </w:pPr>
          </w:p>
        </w:tc>
        <w:tc>
          <w:tcPr>
            <w:tcW w:w="3321" w:type="dxa"/>
          </w:tcPr>
          <w:p w14:paraId="566BD2C2" w14:textId="77777777" w:rsidR="005E5F3C" w:rsidRPr="00C50543" w:rsidRDefault="005E5F3C" w:rsidP="00D4226B">
            <w:pPr>
              <w:pStyle w:val="Textoindependiente"/>
              <w:ind w:right="-50"/>
              <w:jc w:val="center"/>
              <w:rPr>
                <w:rFonts w:ascii="Arial" w:hAnsi="Arial" w:cs="Arial"/>
                <w:b/>
              </w:rPr>
            </w:pPr>
            <w:r w:rsidRPr="00C50543">
              <w:rPr>
                <w:rFonts w:ascii="Arial" w:hAnsi="Arial" w:cs="Arial"/>
                <w:b/>
              </w:rPr>
              <w:t>INFORME DE SALDOS Y MOVIMIENTOS AL 31-12-2024 EN PESOS</w:t>
            </w:r>
          </w:p>
        </w:tc>
      </w:tr>
      <w:tr w:rsidR="005E5F3C" w:rsidRPr="00C50543" w14:paraId="12FEAE0C" w14:textId="77777777" w:rsidTr="00D4226B">
        <w:tc>
          <w:tcPr>
            <w:tcW w:w="3183" w:type="dxa"/>
          </w:tcPr>
          <w:p w14:paraId="5940A2BB" w14:textId="77777777" w:rsidR="005E5F3C" w:rsidRPr="00C50543" w:rsidRDefault="005E5F3C" w:rsidP="00D4226B">
            <w:pPr>
              <w:pStyle w:val="Textoindependiente"/>
              <w:ind w:right="-50"/>
              <w:jc w:val="both"/>
              <w:rPr>
                <w:rFonts w:ascii="Arial" w:hAnsi="Arial" w:cs="Arial"/>
                <w:b/>
              </w:rPr>
            </w:pPr>
            <w:r w:rsidRPr="00C50543">
              <w:rPr>
                <w:rFonts w:ascii="Arial" w:hAnsi="Arial" w:cs="Arial"/>
                <w:b/>
              </w:rPr>
              <w:t>ACTIVO</w:t>
            </w:r>
          </w:p>
        </w:tc>
        <w:tc>
          <w:tcPr>
            <w:tcW w:w="3321" w:type="dxa"/>
          </w:tcPr>
          <w:p w14:paraId="1FAFB295" w14:textId="77777777" w:rsidR="005E5F3C" w:rsidRPr="00C50543" w:rsidRDefault="005E5F3C" w:rsidP="00D4226B">
            <w:pPr>
              <w:pStyle w:val="Textoindependiente"/>
              <w:ind w:right="-50"/>
              <w:jc w:val="right"/>
              <w:rPr>
                <w:rFonts w:ascii="Arial" w:hAnsi="Arial" w:cs="Arial"/>
                <w:bCs/>
              </w:rPr>
            </w:pPr>
            <w:r w:rsidRPr="00C50543">
              <w:rPr>
                <w:rFonts w:ascii="Arial" w:hAnsi="Arial" w:cs="Arial"/>
                <w:bCs/>
              </w:rPr>
              <w:t>254.103.485</w:t>
            </w:r>
          </w:p>
        </w:tc>
        <w:tc>
          <w:tcPr>
            <w:tcW w:w="3321" w:type="dxa"/>
          </w:tcPr>
          <w:p w14:paraId="3262CA7B" w14:textId="77777777" w:rsidR="005E5F3C" w:rsidRPr="00C50543" w:rsidRDefault="005E5F3C" w:rsidP="00D4226B">
            <w:pPr>
              <w:pStyle w:val="Textoindependiente"/>
              <w:ind w:right="-50"/>
              <w:jc w:val="right"/>
              <w:rPr>
                <w:rFonts w:ascii="Arial" w:hAnsi="Arial" w:cs="Arial"/>
                <w:bCs/>
              </w:rPr>
            </w:pPr>
            <w:r w:rsidRPr="00C50543">
              <w:rPr>
                <w:rFonts w:ascii="Arial" w:hAnsi="Arial" w:cs="Arial"/>
                <w:bCs/>
              </w:rPr>
              <w:t>258.436.549.030,06</w:t>
            </w:r>
          </w:p>
        </w:tc>
      </w:tr>
      <w:tr w:rsidR="005E5F3C" w:rsidRPr="00C50543" w14:paraId="7420FA70" w14:textId="77777777" w:rsidTr="00D4226B">
        <w:tc>
          <w:tcPr>
            <w:tcW w:w="3183" w:type="dxa"/>
          </w:tcPr>
          <w:p w14:paraId="4F67C246" w14:textId="77777777" w:rsidR="005E5F3C" w:rsidRPr="00C50543" w:rsidRDefault="005E5F3C" w:rsidP="00D4226B">
            <w:pPr>
              <w:pStyle w:val="Textoindependiente"/>
              <w:ind w:right="-50"/>
              <w:jc w:val="both"/>
              <w:rPr>
                <w:rFonts w:ascii="Arial" w:hAnsi="Arial" w:cs="Arial"/>
                <w:b/>
              </w:rPr>
            </w:pPr>
            <w:r w:rsidRPr="00C50543">
              <w:rPr>
                <w:rFonts w:ascii="Arial" w:hAnsi="Arial" w:cs="Arial"/>
                <w:b/>
              </w:rPr>
              <w:t>PASIVO</w:t>
            </w:r>
          </w:p>
        </w:tc>
        <w:tc>
          <w:tcPr>
            <w:tcW w:w="3321" w:type="dxa"/>
          </w:tcPr>
          <w:p w14:paraId="5A94CEF2" w14:textId="77777777" w:rsidR="005E5F3C" w:rsidRPr="00C50543" w:rsidRDefault="005E5F3C" w:rsidP="00D4226B">
            <w:pPr>
              <w:pStyle w:val="Textoindependiente"/>
              <w:ind w:right="-50"/>
              <w:jc w:val="right"/>
              <w:rPr>
                <w:rFonts w:ascii="Arial" w:hAnsi="Arial" w:cs="Arial"/>
                <w:bCs/>
              </w:rPr>
            </w:pPr>
            <w:r w:rsidRPr="00C50543">
              <w:rPr>
                <w:rFonts w:ascii="Arial" w:hAnsi="Arial" w:cs="Arial"/>
                <w:bCs/>
              </w:rPr>
              <w:t>53.249.194</w:t>
            </w:r>
          </w:p>
        </w:tc>
        <w:tc>
          <w:tcPr>
            <w:tcW w:w="3321" w:type="dxa"/>
          </w:tcPr>
          <w:p w14:paraId="19D3F9C0" w14:textId="77777777" w:rsidR="005E5F3C" w:rsidRPr="00C50543" w:rsidRDefault="005E5F3C" w:rsidP="00D4226B">
            <w:pPr>
              <w:pStyle w:val="Textoindependiente"/>
              <w:ind w:right="-50"/>
              <w:jc w:val="right"/>
              <w:rPr>
                <w:rFonts w:ascii="Arial" w:hAnsi="Arial" w:cs="Arial"/>
                <w:bCs/>
              </w:rPr>
            </w:pPr>
            <w:r w:rsidRPr="00C50543">
              <w:rPr>
                <w:rFonts w:ascii="Arial" w:hAnsi="Arial" w:cs="Arial"/>
                <w:bCs/>
              </w:rPr>
              <w:t>55.905.384.915,64</w:t>
            </w:r>
          </w:p>
        </w:tc>
      </w:tr>
      <w:tr w:rsidR="005E5F3C" w:rsidRPr="00C50543" w14:paraId="29FFAD17" w14:textId="77777777" w:rsidTr="00D4226B">
        <w:tc>
          <w:tcPr>
            <w:tcW w:w="3183" w:type="dxa"/>
          </w:tcPr>
          <w:p w14:paraId="303483AA" w14:textId="77777777" w:rsidR="005E5F3C" w:rsidRPr="00C50543" w:rsidRDefault="005E5F3C" w:rsidP="00D4226B">
            <w:pPr>
              <w:pStyle w:val="Textoindependiente"/>
              <w:ind w:right="-50"/>
              <w:jc w:val="both"/>
              <w:rPr>
                <w:rFonts w:ascii="Arial" w:hAnsi="Arial" w:cs="Arial"/>
                <w:b/>
              </w:rPr>
            </w:pPr>
            <w:r w:rsidRPr="00C50543">
              <w:rPr>
                <w:rFonts w:ascii="Arial" w:hAnsi="Arial" w:cs="Arial"/>
                <w:b/>
              </w:rPr>
              <w:t>PATRIMONIO</w:t>
            </w:r>
          </w:p>
        </w:tc>
        <w:tc>
          <w:tcPr>
            <w:tcW w:w="3321" w:type="dxa"/>
          </w:tcPr>
          <w:p w14:paraId="69ABD6AA" w14:textId="77777777" w:rsidR="005E5F3C" w:rsidRPr="00C50543" w:rsidRDefault="005E5F3C" w:rsidP="00D4226B">
            <w:pPr>
              <w:pStyle w:val="Textoindependiente"/>
              <w:ind w:right="-50"/>
              <w:jc w:val="right"/>
              <w:rPr>
                <w:rFonts w:ascii="Arial" w:hAnsi="Arial" w:cs="Arial"/>
                <w:bCs/>
              </w:rPr>
            </w:pPr>
            <w:r w:rsidRPr="00C50543">
              <w:rPr>
                <w:rFonts w:ascii="Arial" w:hAnsi="Arial" w:cs="Arial"/>
                <w:bCs/>
              </w:rPr>
              <w:t>200.854.291</w:t>
            </w:r>
          </w:p>
        </w:tc>
        <w:tc>
          <w:tcPr>
            <w:tcW w:w="3321" w:type="dxa"/>
          </w:tcPr>
          <w:p w14:paraId="005723A9" w14:textId="77777777" w:rsidR="005E5F3C" w:rsidRPr="00C50543" w:rsidRDefault="005E5F3C" w:rsidP="00D4226B">
            <w:pPr>
              <w:pStyle w:val="Textoindependiente"/>
              <w:ind w:right="-50"/>
              <w:jc w:val="right"/>
              <w:rPr>
                <w:rFonts w:ascii="Arial" w:hAnsi="Arial" w:cs="Arial"/>
                <w:bCs/>
              </w:rPr>
            </w:pPr>
            <w:r w:rsidRPr="00C50543">
              <w:rPr>
                <w:rFonts w:ascii="Arial" w:hAnsi="Arial" w:cs="Arial"/>
                <w:bCs/>
              </w:rPr>
              <w:t>202.531.164.114,42</w:t>
            </w:r>
          </w:p>
        </w:tc>
      </w:tr>
    </w:tbl>
    <w:p w14:paraId="50A002A7" w14:textId="77777777" w:rsidR="005E5F3C" w:rsidRPr="00C50543" w:rsidRDefault="005E5F3C" w:rsidP="005E5F3C">
      <w:pPr>
        <w:pStyle w:val="Textoindependiente"/>
        <w:ind w:right="-50"/>
        <w:jc w:val="both"/>
        <w:rPr>
          <w:rFonts w:ascii="Arial" w:hAnsi="Arial" w:cs="Arial"/>
          <w:b/>
          <w:sz w:val="28"/>
          <w:szCs w:val="28"/>
        </w:rPr>
      </w:pPr>
    </w:p>
    <w:p w14:paraId="2592AAD8" w14:textId="77777777" w:rsidR="005E5F3C" w:rsidRPr="008D637A" w:rsidRDefault="005E5F3C" w:rsidP="005E5F3C">
      <w:pPr>
        <w:ind w:left="-142" w:right="-234"/>
        <w:jc w:val="both"/>
        <w:rPr>
          <w:rFonts w:ascii="Arial" w:hAnsi="Arial" w:cs="Arial"/>
          <w:b/>
          <w:sz w:val="28"/>
          <w:szCs w:val="28"/>
          <w:lang w:val="es-MX"/>
        </w:rPr>
      </w:pPr>
      <w:r w:rsidRPr="008D637A">
        <w:rPr>
          <w:rFonts w:ascii="Arial" w:hAnsi="Arial" w:cs="Arial"/>
          <w:b/>
          <w:sz w:val="28"/>
          <w:szCs w:val="28"/>
          <w:lang w:val="es-MX"/>
        </w:rPr>
        <w:t>246.- ELECTRIFICADORA DEL HUILA S.A. E.S.P. – ELECTROHUILA.</w:t>
      </w:r>
    </w:p>
    <w:p w14:paraId="06B0E2B6" w14:textId="77777777" w:rsidR="005E5F3C" w:rsidRDefault="005E5F3C" w:rsidP="005E5F3C">
      <w:pPr>
        <w:pStyle w:val="Prrafodelista"/>
        <w:spacing w:before="92"/>
        <w:ind w:left="-142" w:right="-234" w:hanging="142"/>
        <w:rPr>
          <w:rFonts w:ascii="Arial" w:hAnsi="Arial" w:cs="Arial"/>
          <w:b/>
          <w:sz w:val="24"/>
          <w:szCs w:val="24"/>
          <w:lang w:val="es-MX"/>
        </w:rPr>
      </w:pPr>
    </w:p>
    <w:p w14:paraId="4AF6031C" w14:textId="77777777" w:rsidR="005E5F3C" w:rsidRDefault="005E5F3C" w:rsidP="005E5F3C">
      <w:pPr>
        <w:pStyle w:val="Textoindependiente"/>
        <w:ind w:left="-142" w:right="-234"/>
        <w:jc w:val="both"/>
        <w:rPr>
          <w:rFonts w:ascii="Arial" w:hAnsi="Arial" w:cs="Arial"/>
          <w:bCs/>
          <w:sz w:val="24"/>
          <w:szCs w:val="24"/>
        </w:rPr>
      </w:pPr>
      <w:r w:rsidRPr="006D6101">
        <w:rPr>
          <w:bCs/>
        </w:rPr>
        <w:t>-</w:t>
      </w:r>
      <w:r w:rsidRPr="008D637A">
        <w:rPr>
          <w:rFonts w:ascii="Arial" w:hAnsi="Arial" w:cs="Arial"/>
          <w:bCs/>
          <w:sz w:val="24"/>
          <w:szCs w:val="24"/>
        </w:rPr>
        <w:t>Al comparar el saldo del Activo y Pasivo reflejado en el Estado de Situación Financiera, con el reportado en el Informe sobre Saldos y Movimientos (Catálogo de Cuentas) encontramos diferencias, así:</w:t>
      </w:r>
    </w:p>
    <w:p w14:paraId="5AE21C57" w14:textId="77777777" w:rsidR="005E5F3C" w:rsidRDefault="005E5F3C" w:rsidP="005E5F3C">
      <w:pPr>
        <w:pStyle w:val="Textoindependiente"/>
        <w:ind w:right="-50"/>
        <w:jc w:val="both"/>
        <w:rPr>
          <w:rFonts w:ascii="Arial" w:hAnsi="Arial" w:cs="Arial"/>
          <w:bCs/>
          <w:sz w:val="24"/>
          <w:szCs w:val="24"/>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rsidRPr="008D637A" w14:paraId="75EC2FFA" w14:textId="77777777" w:rsidTr="00D4226B">
        <w:tc>
          <w:tcPr>
            <w:tcW w:w="3183" w:type="dxa"/>
          </w:tcPr>
          <w:p w14:paraId="2F662746" w14:textId="77777777" w:rsidR="005E5F3C" w:rsidRPr="008D637A" w:rsidRDefault="005E5F3C" w:rsidP="00D4226B">
            <w:pPr>
              <w:widowControl/>
              <w:autoSpaceDE/>
              <w:autoSpaceDN/>
              <w:spacing w:line="259" w:lineRule="auto"/>
              <w:jc w:val="center"/>
              <w:rPr>
                <w:rFonts w:ascii="Arial" w:eastAsia="Calibri" w:hAnsi="Arial" w:cs="Arial"/>
                <w:b/>
                <w:lang w:val="es-MX"/>
              </w:rPr>
            </w:pPr>
            <w:r w:rsidRPr="008D637A">
              <w:rPr>
                <w:rFonts w:ascii="Arial" w:eastAsia="Calibri" w:hAnsi="Arial" w:cs="Arial"/>
                <w:b/>
                <w:lang w:val="es-MX"/>
              </w:rPr>
              <w:t>CUENTA</w:t>
            </w:r>
          </w:p>
        </w:tc>
        <w:tc>
          <w:tcPr>
            <w:tcW w:w="3321" w:type="dxa"/>
          </w:tcPr>
          <w:p w14:paraId="7CFD70F5" w14:textId="77777777" w:rsidR="005E5F3C" w:rsidRPr="008D637A" w:rsidRDefault="005E5F3C" w:rsidP="00D4226B">
            <w:pPr>
              <w:widowControl/>
              <w:autoSpaceDE/>
              <w:autoSpaceDN/>
              <w:spacing w:line="259" w:lineRule="auto"/>
              <w:jc w:val="center"/>
              <w:rPr>
                <w:rFonts w:ascii="Arial" w:eastAsia="Calibri" w:hAnsi="Arial" w:cs="Arial"/>
                <w:b/>
                <w:lang w:val="es-MX"/>
              </w:rPr>
            </w:pPr>
            <w:r w:rsidRPr="008D637A">
              <w:rPr>
                <w:rFonts w:ascii="Arial" w:eastAsia="Calibri" w:hAnsi="Arial" w:cs="Arial"/>
                <w:b/>
                <w:lang w:val="es-MX"/>
              </w:rPr>
              <w:t>SALDO ESTADO DE SITUACIÓN FINANCIERA A 3112-2023 (En miles)</w:t>
            </w:r>
          </w:p>
          <w:p w14:paraId="21E3609D" w14:textId="77777777" w:rsidR="005E5F3C" w:rsidRPr="008D637A" w:rsidRDefault="005E5F3C" w:rsidP="00D4226B">
            <w:pPr>
              <w:widowControl/>
              <w:autoSpaceDE/>
              <w:autoSpaceDN/>
              <w:spacing w:line="259" w:lineRule="auto"/>
              <w:jc w:val="center"/>
              <w:rPr>
                <w:rFonts w:ascii="Arial" w:eastAsia="Calibri" w:hAnsi="Arial" w:cs="Arial"/>
                <w:b/>
                <w:lang w:val="es-MX"/>
              </w:rPr>
            </w:pPr>
          </w:p>
        </w:tc>
        <w:tc>
          <w:tcPr>
            <w:tcW w:w="3321" w:type="dxa"/>
          </w:tcPr>
          <w:p w14:paraId="2AFE3962" w14:textId="77777777" w:rsidR="005E5F3C" w:rsidRPr="008D637A" w:rsidRDefault="005E5F3C" w:rsidP="00D4226B">
            <w:pPr>
              <w:widowControl/>
              <w:autoSpaceDE/>
              <w:autoSpaceDN/>
              <w:spacing w:line="259" w:lineRule="auto"/>
              <w:jc w:val="center"/>
              <w:rPr>
                <w:rFonts w:ascii="Arial" w:eastAsia="Calibri" w:hAnsi="Arial" w:cs="Arial"/>
                <w:b/>
                <w:lang w:val="es-MX"/>
              </w:rPr>
            </w:pPr>
            <w:r w:rsidRPr="008D637A">
              <w:rPr>
                <w:rFonts w:ascii="Arial" w:eastAsia="Calibri" w:hAnsi="Arial" w:cs="Arial"/>
                <w:b/>
                <w:lang w:val="es-MX"/>
              </w:rPr>
              <w:t>SALDO CATÁLOGO DE CUENTAS (En Pesos)</w:t>
            </w:r>
          </w:p>
        </w:tc>
      </w:tr>
      <w:tr w:rsidR="005E5F3C" w:rsidRPr="008D637A" w14:paraId="00F6D72B" w14:textId="77777777" w:rsidTr="00D4226B">
        <w:tc>
          <w:tcPr>
            <w:tcW w:w="3183" w:type="dxa"/>
          </w:tcPr>
          <w:p w14:paraId="00F97FB0" w14:textId="77777777" w:rsidR="005E5F3C" w:rsidRPr="008D637A" w:rsidRDefault="005E5F3C" w:rsidP="00D4226B">
            <w:pPr>
              <w:widowControl/>
              <w:autoSpaceDE/>
              <w:autoSpaceDN/>
              <w:spacing w:line="259" w:lineRule="auto"/>
              <w:rPr>
                <w:rFonts w:ascii="Arial" w:eastAsia="Calibri" w:hAnsi="Arial" w:cs="Arial"/>
                <w:b/>
                <w:lang w:val="es-MX"/>
              </w:rPr>
            </w:pPr>
            <w:r w:rsidRPr="008D637A">
              <w:rPr>
                <w:rFonts w:ascii="Arial" w:eastAsia="Calibri" w:hAnsi="Arial" w:cs="Arial"/>
                <w:b/>
                <w:lang w:val="es-MX"/>
              </w:rPr>
              <w:t>ACTIVO</w:t>
            </w:r>
          </w:p>
        </w:tc>
        <w:tc>
          <w:tcPr>
            <w:tcW w:w="3321" w:type="dxa"/>
          </w:tcPr>
          <w:p w14:paraId="7EA42BC5" w14:textId="77777777" w:rsidR="005E5F3C" w:rsidRPr="008D637A" w:rsidRDefault="005E5F3C" w:rsidP="00D4226B">
            <w:pPr>
              <w:widowControl/>
              <w:autoSpaceDE/>
              <w:autoSpaceDN/>
              <w:spacing w:line="259" w:lineRule="auto"/>
              <w:jc w:val="right"/>
              <w:rPr>
                <w:rFonts w:ascii="Arial" w:eastAsia="Calibri" w:hAnsi="Arial" w:cs="Arial"/>
                <w:lang w:val="es-MX"/>
              </w:rPr>
            </w:pPr>
            <w:r w:rsidRPr="008D637A">
              <w:rPr>
                <w:rFonts w:ascii="Arial" w:eastAsia="Calibri" w:hAnsi="Arial" w:cs="Arial"/>
                <w:lang w:val="es-MX"/>
              </w:rPr>
              <w:t>1.004.244.988</w:t>
            </w:r>
          </w:p>
        </w:tc>
        <w:tc>
          <w:tcPr>
            <w:tcW w:w="3321" w:type="dxa"/>
          </w:tcPr>
          <w:p w14:paraId="7B30248B" w14:textId="77777777" w:rsidR="005E5F3C" w:rsidRPr="008D637A" w:rsidRDefault="005E5F3C" w:rsidP="00D4226B">
            <w:pPr>
              <w:widowControl/>
              <w:autoSpaceDE/>
              <w:autoSpaceDN/>
              <w:spacing w:line="259" w:lineRule="auto"/>
              <w:jc w:val="right"/>
              <w:rPr>
                <w:rFonts w:ascii="Arial" w:eastAsia="Calibri" w:hAnsi="Arial" w:cs="Arial"/>
                <w:lang w:val="es-MX"/>
              </w:rPr>
            </w:pPr>
            <w:r w:rsidRPr="008D637A">
              <w:rPr>
                <w:rFonts w:ascii="Arial" w:eastAsia="Calibri" w:hAnsi="Arial" w:cs="Arial"/>
                <w:lang w:val="es-MX"/>
              </w:rPr>
              <w:t>1.074.126.751.259</w:t>
            </w:r>
          </w:p>
        </w:tc>
      </w:tr>
      <w:tr w:rsidR="005E5F3C" w:rsidRPr="008D637A" w14:paraId="6F68FDD7" w14:textId="77777777" w:rsidTr="00D4226B">
        <w:tc>
          <w:tcPr>
            <w:tcW w:w="3183" w:type="dxa"/>
          </w:tcPr>
          <w:p w14:paraId="18A94B0A" w14:textId="77777777" w:rsidR="005E5F3C" w:rsidRPr="008D637A" w:rsidRDefault="005E5F3C" w:rsidP="00D4226B">
            <w:pPr>
              <w:widowControl/>
              <w:autoSpaceDE/>
              <w:autoSpaceDN/>
              <w:spacing w:line="259" w:lineRule="auto"/>
              <w:rPr>
                <w:rFonts w:ascii="Arial" w:eastAsia="Calibri" w:hAnsi="Arial" w:cs="Arial"/>
                <w:b/>
                <w:lang w:val="es-MX"/>
              </w:rPr>
            </w:pPr>
            <w:r w:rsidRPr="008D637A">
              <w:rPr>
                <w:rFonts w:ascii="Arial" w:eastAsia="Calibri" w:hAnsi="Arial" w:cs="Arial"/>
                <w:b/>
                <w:lang w:val="es-MX"/>
              </w:rPr>
              <w:t>PASIVO</w:t>
            </w:r>
          </w:p>
        </w:tc>
        <w:tc>
          <w:tcPr>
            <w:tcW w:w="3321" w:type="dxa"/>
          </w:tcPr>
          <w:p w14:paraId="31B07DE0" w14:textId="77777777" w:rsidR="005E5F3C" w:rsidRPr="008D637A" w:rsidRDefault="005E5F3C" w:rsidP="00D4226B">
            <w:pPr>
              <w:widowControl/>
              <w:autoSpaceDE/>
              <w:autoSpaceDN/>
              <w:spacing w:line="259" w:lineRule="auto"/>
              <w:jc w:val="right"/>
              <w:rPr>
                <w:rFonts w:ascii="Arial" w:eastAsia="Calibri" w:hAnsi="Arial" w:cs="Arial"/>
                <w:lang w:val="es-MX"/>
              </w:rPr>
            </w:pPr>
            <w:r w:rsidRPr="008D637A">
              <w:rPr>
                <w:rFonts w:ascii="Arial" w:eastAsia="Calibri" w:hAnsi="Arial" w:cs="Arial"/>
                <w:lang w:val="es-MX"/>
              </w:rPr>
              <w:t>548.207.925</w:t>
            </w:r>
          </w:p>
        </w:tc>
        <w:tc>
          <w:tcPr>
            <w:tcW w:w="3321" w:type="dxa"/>
          </w:tcPr>
          <w:p w14:paraId="5AD9C50A" w14:textId="77777777" w:rsidR="005E5F3C" w:rsidRPr="008D637A" w:rsidRDefault="005E5F3C" w:rsidP="00D4226B">
            <w:pPr>
              <w:widowControl/>
              <w:autoSpaceDE/>
              <w:autoSpaceDN/>
              <w:spacing w:line="259" w:lineRule="auto"/>
              <w:jc w:val="right"/>
              <w:rPr>
                <w:rFonts w:ascii="Arial" w:eastAsia="Calibri" w:hAnsi="Arial" w:cs="Arial"/>
                <w:lang w:val="es-MX"/>
              </w:rPr>
            </w:pPr>
            <w:r w:rsidRPr="008D637A">
              <w:rPr>
                <w:rFonts w:ascii="Arial" w:eastAsia="Calibri" w:hAnsi="Arial" w:cs="Arial"/>
                <w:lang w:val="es-MX"/>
              </w:rPr>
              <w:t>618.089.689.124</w:t>
            </w:r>
          </w:p>
        </w:tc>
      </w:tr>
      <w:tr w:rsidR="005E5F3C" w:rsidRPr="008D637A" w14:paraId="7B428F32" w14:textId="77777777" w:rsidTr="00D4226B">
        <w:tc>
          <w:tcPr>
            <w:tcW w:w="3183" w:type="dxa"/>
          </w:tcPr>
          <w:p w14:paraId="29DF042A" w14:textId="77777777" w:rsidR="005E5F3C" w:rsidRPr="008D637A" w:rsidRDefault="005E5F3C" w:rsidP="00D4226B">
            <w:pPr>
              <w:widowControl/>
              <w:autoSpaceDE/>
              <w:autoSpaceDN/>
              <w:spacing w:line="259" w:lineRule="auto"/>
              <w:rPr>
                <w:rFonts w:ascii="Arial" w:eastAsia="Calibri" w:hAnsi="Arial" w:cs="Arial"/>
                <w:b/>
                <w:lang w:val="es-MX"/>
              </w:rPr>
            </w:pPr>
            <w:r w:rsidRPr="008D637A">
              <w:rPr>
                <w:rFonts w:ascii="Arial" w:eastAsia="Calibri" w:hAnsi="Arial" w:cs="Arial"/>
                <w:b/>
                <w:lang w:val="es-MX"/>
              </w:rPr>
              <w:t>PATRIMONIO</w:t>
            </w:r>
          </w:p>
        </w:tc>
        <w:tc>
          <w:tcPr>
            <w:tcW w:w="3321" w:type="dxa"/>
          </w:tcPr>
          <w:p w14:paraId="6BAF77D4" w14:textId="77777777" w:rsidR="005E5F3C" w:rsidRPr="008D637A" w:rsidRDefault="005E5F3C" w:rsidP="00D4226B">
            <w:pPr>
              <w:widowControl/>
              <w:autoSpaceDE/>
              <w:autoSpaceDN/>
              <w:spacing w:line="259" w:lineRule="auto"/>
              <w:jc w:val="right"/>
              <w:rPr>
                <w:rFonts w:ascii="Arial" w:eastAsia="Calibri" w:hAnsi="Arial" w:cs="Arial"/>
                <w:lang w:val="es-MX"/>
              </w:rPr>
            </w:pPr>
            <w:r w:rsidRPr="008D637A">
              <w:rPr>
                <w:rFonts w:ascii="Arial" w:eastAsia="Calibri" w:hAnsi="Arial" w:cs="Arial"/>
                <w:lang w:val="es-MX"/>
              </w:rPr>
              <w:t>456.037.063</w:t>
            </w:r>
          </w:p>
        </w:tc>
        <w:tc>
          <w:tcPr>
            <w:tcW w:w="3321" w:type="dxa"/>
          </w:tcPr>
          <w:p w14:paraId="4594DF2D" w14:textId="77777777" w:rsidR="005E5F3C" w:rsidRPr="008D637A" w:rsidRDefault="005E5F3C" w:rsidP="00D4226B">
            <w:pPr>
              <w:widowControl/>
              <w:autoSpaceDE/>
              <w:autoSpaceDN/>
              <w:spacing w:line="259" w:lineRule="auto"/>
              <w:jc w:val="right"/>
              <w:rPr>
                <w:rFonts w:ascii="Arial" w:eastAsia="Calibri" w:hAnsi="Arial" w:cs="Arial"/>
                <w:lang w:val="es-MX"/>
              </w:rPr>
            </w:pPr>
            <w:r w:rsidRPr="008D637A">
              <w:rPr>
                <w:rFonts w:ascii="Arial" w:eastAsia="Calibri" w:hAnsi="Arial" w:cs="Arial"/>
                <w:lang w:val="es-MX"/>
              </w:rPr>
              <w:t>456.037.062.135</w:t>
            </w:r>
          </w:p>
        </w:tc>
      </w:tr>
    </w:tbl>
    <w:p w14:paraId="437C66CD" w14:textId="77777777" w:rsidR="005E5F3C" w:rsidRPr="008D637A" w:rsidRDefault="005E5F3C" w:rsidP="005E5F3C">
      <w:pPr>
        <w:pStyle w:val="Prrafodelista"/>
        <w:ind w:left="142" w:hanging="142"/>
        <w:rPr>
          <w:rFonts w:ascii="Arial" w:hAnsi="Arial" w:cs="Arial"/>
          <w:b/>
          <w:sz w:val="24"/>
          <w:szCs w:val="24"/>
          <w:lang w:val="es-MX"/>
        </w:rPr>
      </w:pPr>
    </w:p>
    <w:p w14:paraId="1680A735" w14:textId="77777777" w:rsidR="005E5F3C" w:rsidRPr="003147D3" w:rsidRDefault="005E5F3C" w:rsidP="005E5F3C">
      <w:pPr>
        <w:ind w:left="-284" w:right="-234"/>
        <w:jc w:val="both"/>
        <w:rPr>
          <w:rFonts w:ascii="Arial" w:hAnsi="Arial" w:cs="Arial"/>
          <w:b/>
          <w:sz w:val="28"/>
          <w:szCs w:val="28"/>
          <w:lang w:val="es-MX"/>
        </w:rPr>
      </w:pPr>
      <w:r w:rsidRPr="003147D3">
        <w:rPr>
          <w:rFonts w:ascii="Arial" w:hAnsi="Arial" w:cs="Arial"/>
          <w:b/>
          <w:sz w:val="28"/>
          <w:szCs w:val="28"/>
          <w:lang w:val="es-MX"/>
        </w:rPr>
        <w:t xml:space="preserve">255.- CORPORACIÓN AUTÓNOMA REGIONAL DEL VALLE DEL CAUCA – CVC. </w:t>
      </w:r>
    </w:p>
    <w:p w14:paraId="609B62D6" w14:textId="77777777" w:rsidR="005E5F3C" w:rsidRDefault="005E5F3C" w:rsidP="005E5F3C">
      <w:pPr>
        <w:pStyle w:val="Prrafodelista"/>
        <w:spacing w:before="92"/>
        <w:ind w:left="-142"/>
        <w:rPr>
          <w:rFonts w:ascii="Arial" w:hAnsi="Arial" w:cs="Arial"/>
          <w:b/>
          <w:sz w:val="24"/>
          <w:lang w:val="es-MX"/>
        </w:rPr>
      </w:pPr>
    </w:p>
    <w:p w14:paraId="442B89A1" w14:textId="77777777" w:rsidR="005E5F3C" w:rsidRPr="003147D3" w:rsidRDefault="005E5F3C" w:rsidP="005E5F3C">
      <w:pPr>
        <w:pStyle w:val="Textoindependiente"/>
        <w:ind w:left="-284" w:right="-234"/>
        <w:jc w:val="both"/>
        <w:rPr>
          <w:rFonts w:ascii="Arial" w:hAnsi="Arial" w:cs="Arial"/>
          <w:bCs/>
          <w:sz w:val="24"/>
          <w:szCs w:val="24"/>
        </w:rPr>
      </w:pPr>
      <w:r w:rsidRPr="00533D84">
        <w:rPr>
          <w:bCs/>
        </w:rPr>
        <w:t>-</w:t>
      </w:r>
      <w:r w:rsidRPr="003147D3">
        <w:rPr>
          <w:rFonts w:ascii="Arial" w:hAnsi="Arial" w:cs="Arial"/>
          <w:bCs/>
          <w:sz w:val="24"/>
          <w:szCs w:val="24"/>
        </w:rPr>
        <w:t>Al comparar el saldo del Activo y Pasivo reflejado en el Estado de Situación Financiera, con el reportado en el Informe sobre Saldos y Movimientos (Catálogo de Cuentas) encontramos diferencias, así:</w:t>
      </w:r>
    </w:p>
    <w:p w14:paraId="554BAFD1" w14:textId="77777777" w:rsidR="005E5F3C" w:rsidRDefault="005E5F3C" w:rsidP="005E5F3C">
      <w:pPr>
        <w:pStyle w:val="Textoindependiente"/>
        <w:ind w:right="-50"/>
        <w:jc w:val="both"/>
        <w:rPr>
          <w:b/>
          <w:sz w:val="28"/>
          <w:szCs w:val="28"/>
        </w:rPr>
      </w:pPr>
    </w:p>
    <w:tbl>
      <w:tblPr>
        <w:tblStyle w:val="Tablaconcuadrcula"/>
        <w:tblW w:w="0" w:type="auto"/>
        <w:tblInd w:w="137" w:type="dxa"/>
        <w:tblLook w:val="04A0" w:firstRow="1" w:lastRow="0" w:firstColumn="1" w:lastColumn="0" w:noHBand="0" w:noVBand="1"/>
      </w:tblPr>
      <w:tblGrid>
        <w:gridCol w:w="3183"/>
        <w:gridCol w:w="3321"/>
        <w:gridCol w:w="3321"/>
      </w:tblGrid>
      <w:tr w:rsidR="005E5F3C" w:rsidRPr="003147D3" w14:paraId="49688C02" w14:textId="77777777" w:rsidTr="00D4226B">
        <w:tc>
          <w:tcPr>
            <w:tcW w:w="3183" w:type="dxa"/>
          </w:tcPr>
          <w:p w14:paraId="53A4C5F5" w14:textId="77777777" w:rsidR="005E5F3C" w:rsidRPr="003147D3" w:rsidRDefault="005E5F3C" w:rsidP="00D4226B">
            <w:pPr>
              <w:widowControl/>
              <w:autoSpaceDE/>
              <w:autoSpaceDN/>
              <w:spacing w:line="259" w:lineRule="auto"/>
              <w:jc w:val="center"/>
              <w:rPr>
                <w:rFonts w:ascii="Arial" w:eastAsia="Calibri" w:hAnsi="Arial" w:cs="Arial"/>
                <w:b/>
                <w:lang w:val="es-MX"/>
              </w:rPr>
            </w:pPr>
            <w:r w:rsidRPr="003147D3">
              <w:rPr>
                <w:rFonts w:ascii="Arial" w:eastAsia="Calibri" w:hAnsi="Arial" w:cs="Arial"/>
                <w:b/>
                <w:lang w:val="es-MX"/>
              </w:rPr>
              <w:t>CUENTA</w:t>
            </w:r>
          </w:p>
        </w:tc>
        <w:tc>
          <w:tcPr>
            <w:tcW w:w="3321" w:type="dxa"/>
          </w:tcPr>
          <w:p w14:paraId="734B2A75" w14:textId="77777777" w:rsidR="005E5F3C" w:rsidRPr="003147D3" w:rsidRDefault="005E5F3C" w:rsidP="00D4226B">
            <w:pPr>
              <w:widowControl/>
              <w:autoSpaceDE/>
              <w:autoSpaceDN/>
              <w:spacing w:line="259" w:lineRule="auto"/>
              <w:jc w:val="center"/>
              <w:rPr>
                <w:rFonts w:ascii="Arial" w:eastAsia="Calibri" w:hAnsi="Arial" w:cs="Arial"/>
                <w:b/>
                <w:lang w:val="es-MX"/>
              </w:rPr>
            </w:pPr>
            <w:r w:rsidRPr="003147D3">
              <w:rPr>
                <w:rFonts w:ascii="Arial" w:eastAsia="Calibri" w:hAnsi="Arial" w:cs="Arial"/>
                <w:b/>
                <w:lang w:val="es-MX"/>
              </w:rPr>
              <w:t>SALDO ESTADO DE SITUACIÓN FINANCIERA A 3112-2023 (En miles)</w:t>
            </w:r>
          </w:p>
          <w:p w14:paraId="25A8BE45" w14:textId="77777777" w:rsidR="005E5F3C" w:rsidRPr="003147D3" w:rsidRDefault="005E5F3C" w:rsidP="00D4226B">
            <w:pPr>
              <w:widowControl/>
              <w:autoSpaceDE/>
              <w:autoSpaceDN/>
              <w:spacing w:line="259" w:lineRule="auto"/>
              <w:jc w:val="center"/>
              <w:rPr>
                <w:rFonts w:ascii="Arial" w:eastAsia="Calibri" w:hAnsi="Arial" w:cs="Arial"/>
                <w:b/>
                <w:lang w:val="es-MX"/>
              </w:rPr>
            </w:pPr>
          </w:p>
        </w:tc>
        <w:tc>
          <w:tcPr>
            <w:tcW w:w="3321" w:type="dxa"/>
          </w:tcPr>
          <w:p w14:paraId="559828F8" w14:textId="77777777" w:rsidR="005E5F3C" w:rsidRPr="003147D3" w:rsidRDefault="005E5F3C" w:rsidP="00D4226B">
            <w:pPr>
              <w:widowControl/>
              <w:autoSpaceDE/>
              <w:autoSpaceDN/>
              <w:spacing w:line="259" w:lineRule="auto"/>
              <w:jc w:val="center"/>
              <w:rPr>
                <w:rFonts w:ascii="Arial" w:eastAsia="Calibri" w:hAnsi="Arial" w:cs="Arial"/>
                <w:b/>
                <w:lang w:val="es-MX"/>
              </w:rPr>
            </w:pPr>
            <w:r w:rsidRPr="003147D3">
              <w:rPr>
                <w:rFonts w:ascii="Arial" w:eastAsia="Calibri" w:hAnsi="Arial" w:cs="Arial"/>
                <w:b/>
                <w:lang w:val="es-MX"/>
              </w:rPr>
              <w:t>SALDO CATÁLOGO DE CUENTAS (En Pesos)</w:t>
            </w:r>
          </w:p>
        </w:tc>
      </w:tr>
      <w:tr w:rsidR="005E5F3C" w:rsidRPr="003147D3" w14:paraId="02FC8D31" w14:textId="77777777" w:rsidTr="00D4226B">
        <w:tc>
          <w:tcPr>
            <w:tcW w:w="3183" w:type="dxa"/>
          </w:tcPr>
          <w:p w14:paraId="4AD0015E" w14:textId="77777777" w:rsidR="005E5F3C" w:rsidRPr="003147D3" w:rsidRDefault="005E5F3C" w:rsidP="00D4226B">
            <w:pPr>
              <w:widowControl/>
              <w:autoSpaceDE/>
              <w:autoSpaceDN/>
              <w:spacing w:line="259" w:lineRule="auto"/>
              <w:rPr>
                <w:rFonts w:ascii="Arial" w:eastAsia="Calibri" w:hAnsi="Arial" w:cs="Arial"/>
                <w:b/>
                <w:lang w:val="es-MX"/>
              </w:rPr>
            </w:pPr>
            <w:r w:rsidRPr="003147D3">
              <w:rPr>
                <w:rFonts w:ascii="Arial" w:eastAsia="Calibri" w:hAnsi="Arial" w:cs="Arial"/>
                <w:b/>
                <w:lang w:val="es-MX"/>
              </w:rPr>
              <w:t>ACTIVO</w:t>
            </w:r>
          </w:p>
        </w:tc>
        <w:tc>
          <w:tcPr>
            <w:tcW w:w="3321" w:type="dxa"/>
          </w:tcPr>
          <w:p w14:paraId="28D1486B" w14:textId="77777777" w:rsidR="005E5F3C" w:rsidRPr="003147D3" w:rsidRDefault="005E5F3C" w:rsidP="00D4226B">
            <w:pPr>
              <w:widowControl/>
              <w:autoSpaceDE/>
              <w:autoSpaceDN/>
              <w:spacing w:line="259" w:lineRule="auto"/>
              <w:jc w:val="right"/>
              <w:rPr>
                <w:rFonts w:ascii="Arial" w:eastAsia="Calibri" w:hAnsi="Arial" w:cs="Arial"/>
                <w:lang w:val="es-MX"/>
              </w:rPr>
            </w:pPr>
            <w:r w:rsidRPr="003147D3">
              <w:rPr>
                <w:rFonts w:ascii="Arial" w:eastAsia="Calibri" w:hAnsi="Arial" w:cs="Arial"/>
                <w:lang w:val="es-MX"/>
              </w:rPr>
              <w:t>3.610.019.160</w:t>
            </w:r>
          </w:p>
        </w:tc>
        <w:tc>
          <w:tcPr>
            <w:tcW w:w="3321" w:type="dxa"/>
          </w:tcPr>
          <w:p w14:paraId="7FD3FF78" w14:textId="77777777" w:rsidR="005E5F3C" w:rsidRPr="003147D3" w:rsidRDefault="005E5F3C" w:rsidP="00D4226B">
            <w:pPr>
              <w:widowControl/>
              <w:autoSpaceDE/>
              <w:autoSpaceDN/>
              <w:spacing w:line="259" w:lineRule="auto"/>
              <w:jc w:val="right"/>
              <w:rPr>
                <w:rFonts w:ascii="Arial" w:eastAsia="Calibri" w:hAnsi="Arial" w:cs="Arial"/>
                <w:lang w:val="es-MX"/>
              </w:rPr>
            </w:pPr>
            <w:r w:rsidRPr="003147D3">
              <w:rPr>
                <w:rFonts w:ascii="Arial" w:eastAsia="Calibri" w:hAnsi="Arial" w:cs="Arial"/>
                <w:lang w:val="es-MX"/>
              </w:rPr>
              <w:t>4.279.562.580.304,65</w:t>
            </w:r>
          </w:p>
        </w:tc>
      </w:tr>
      <w:tr w:rsidR="005E5F3C" w:rsidRPr="003147D3" w14:paraId="01C2CBD5" w14:textId="77777777" w:rsidTr="00D4226B">
        <w:tc>
          <w:tcPr>
            <w:tcW w:w="3183" w:type="dxa"/>
          </w:tcPr>
          <w:p w14:paraId="2DC1482D" w14:textId="77777777" w:rsidR="005E5F3C" w:rsidRPr="003147D3" w:rsidRDefault="005E5F3C" w:rsidP="00D4226B">
            <w:pPr>
              <w:widowControl/>
              <w:autoSpaceDE/>
              <w:autoSpaceDN/>
              <w:spacing w:line="259" w:lineRule="auto"/>
              <w:rPr>
                <w:rFonts w:ascii="Arial" w:eastAsia="Calibri" w:hAnsi="Arial" w:cs="Arial"/>
                <w:b/>
                <w:lang w:val="es-MX"/>
              </w:rPr>
            </w:pPr>
            <w:r w:rsidRPr="003147D3">
              <w:rPr>
                <w:rFonts w:ascii="Arial" w:eastAsia="Calibri" w:hAnsi="Arial" w:cs="Arial"/>
                <w:b/>
                <w:lang w:val="es-MX"/>
              </w:rPr>
              <w:t>PASIVO</w:t>
            </w:r>
          </w:p>
        </w:tc>
        <w:tc>
          <w:tcPr>
            <w:tcW w:w="3321" w:type="dxa"/>
          </w:tcPr>
          <w:p w14:paraId="6AFAA2BD" w14:textId="77777777" w:rsidR="005E5F3C" w:rsidRPr="003147D3" w:rsidRDefault="005E5F3C" w:rsidP="00D4226B">
            <w:pPr>
              <w:widowControl/>
              <w:autoSpaceDE/>
              <w:autoSpaceDN/>
              <w:spacing w:line="259" w:lineRule="auto"/>
              <w:jc w:val="right"/>
              <w:rPr>
                <w:rFonts w:ascii="Arial" w:eastAsia="Calibri" w:hAnsi="Arial" w:cs="Arial"/>
                <w:lang w:val="es-MX"/>
              </w:rPr>
            </w:pPr>
            <w:r w:rsidRPr="003147D3">
              <w:rPr>
                <w:rFonts w:ascii="Arial" w:eastAsia="Calibri" w:hAnsi="Arial" w:cs="Arial"/>
                <w:lang w:val="es-MX"/>
              </w:rPr>
              <w:t>124.096.776</w:t>
            </w:r>
          </w:p>
        </w:tc>
        <w:tc>
          <w:tcPr>
            <w:tcW w:w="3321" w:type="dxa"/>
          </w:tcPr>
          <w:p w14:paraId="2C422CF0" w14:textId="77777777" w:rsidR="005E5F3C" w:rsidRPr="003147D3" w:rsidRDefault="005E5F3C" w:rsidP="00D4226B">
            <w:pPr>
              <w:widowControl/>
              <w:autoSpaceDE/>
              <w:autoSpaceDN/>
              <w:spacing w:line="259" w:lineRule="auto"/>
              <w:jc w:val="right"/>
              <w:rPr>
                <w:rFonts w:ascii="Arial" w:eastAsia="Calibri" w:hAnsi="Arial" w:cs="Arial"/>
                <w:lang w:val="es-MX"/>
              </w:rPr>
            </w:pPr>
            <w:r w:rsidRPr="003147D3">
              <w:rPr>
                <w:rFonts w:ascii="Arial" w:eastAsia="Calibri" w:hAnsi="Arial" w:cs="Arial"/>
                <w:lang w:val="es-MX"/>
              </w:rPr>
              <w:t>793.640.196.098,64</w:t>
            </w:r>
          </w:p>
        </w:tc>
      </w:tr>
    </w:tbl>
    <w:p w14:paraId="29125949" w14:textId="77777777" w:rsidR="005E5F3C" w:rsidRPr="003147D3" w:rsidRDefault="005E5F3C" w:rsidP="005E5F3C">
      <w:pPr>
        <w:pStyle w:val="Prrafodelista"/>
        <w:spacing w:before="92"/>
        <w:ind w:left="-142"/>
        <w:rPr>
          <w:rFonts w:ascii="Arial" w:hAnsi="Arial" w:cs="Arial"/>
          <w:b/>
          <w:sz w:val="24"/>
          <w:lang w:val="es-MX"/>
        </w:rPr>
      </w:pPr>
    </w:p>
    <w:p w14:paraId="3FF8141F" w14:textId="77777777" w:rsidR="005E5F3C" w:rsidRPr="0035597B" w:rsidRDefault="005E5F3C" w:rsidP="005E5F3C">
      <w:pPr>
        <w:ind w:left="-284" w:right="-234"/>
        <w:jc w:val="both"/>
        <w:rPr>
          <w:rFonts w:ascii="Arial" w:hAnsi="Arial" w:cs="Arial"/>
          <w:b/>
          <w:sz w:val="28"/>
          <w:szCs w:val="28"/>
          <w:lang w:val="es-MX"/>
        </w:rPr>
      </w:pPr>
      <w:r w:rsidRPr="0035597B">
        <w:rPr>
          <w:rFonts w:ascii="Arial" w:hAnsi="Arial" w:cs="Arial"/>
          <w:b/>
          <w:sz w:val="28"/>
          <w:szCs w:val="28"/>
          <w:lang w:val="es-MX"/>
        </w:rPr>
        <w:t>289.- PATRIMONIOO AUTÓNOMO FONDO EMPRESARIAL DE LA SUPERSERVICIOS - BBVA ASSET MANAGEMENT S.A. SOCIEDAD FIDUCIARIA.</w:t>
      </w:r>
    </w:p>
    <w:p w14:paraId="2B28C87F" w14:textId="77777777" w:rsidR="005E5F3C" w:rsidRPr="0035597B" w:rsidRDefault="005E5F3C" w:rsidP="005E5F3C">
      <w:pPr>
        <w:pStyle w:val="Textoindependiente"/>
        <w:spacing w:before="3"/>
        <w:ind w:left="-284" w:right="-234"/>
        <w:jc w:val="both"/>
        <w:rPr>
          <w:rFonts w:ascii="Arial" w:hAnsi="Arial" w:cs="Arial"/>
          <w:bCs/>
          <w:sz w:val="24"/>
          <w:szCs w:val="24"/>
          <w:lang w:val="es-MX"/>
        </w:rPr>
      </w:pPr>
    </w:p>
    <w:p w14:paraId="56A084CE" w14:textId="77777777" w:rsidR="005E5F3C" w:rsidRPr="0035597B" w:rsidRDefault="005E5F3C" w:rsidP="005E5F3C">
      <w:pPr>
        <w:pStyle w:val="Textoindependiente"/>
        <w:ind w:left="-284" w:right="-234"/>
        <w:jc w:val="both"/>
        <w:rPr>
          <w:rFonts w:ascii="Arial" w:hAnsi="Arial" w:cs="Arial"/>
          <w:b/>
          <w:sz w:val="24"/>
          <w:szCs w:val="24"/>
        </w:rPr>
      </w:pPr>
      <w:r>
        <w:rPr>
          <w:b/>
        </w:rPr>
        <w:t>-</w:t>
      </w:r>
      <w:r w:rsidRPr="0035597B">
        <w:rPr>
          <w:rFonts w:ascii="Arial" w:hAnsi="Arial" w:cs="Arial"/>
          <w:b/>
          <w:sz w:val="24"/>
          <w:szCs w:val="24"/>
        </w:rPr>
        <w:t>Al comparar los Estados Financieros con el formulario de saldos y movimientos encontramos diferencias en el Activo, Pasivo y Patrimonio así:</w:t>
      </w:r>
    </w:p>
    <w:p w14:paraId="6713B66A" w14:textId="77777777" w:rsidR="005E5F3C" w:rsidRDefault="005E5F3C" w:rsidP="005E5F3C">
      <w:pPr>
        <w:pStyle w:val="Textoindependiente"/>
        <w:ind w:right="-50"/>
        <w:jc w:val="both"/>
        <w:rPr>
          <w:b/>
        </w:rPr>
      </w:pPr>
    </w:p>
    <w:tbl>
      <w:tblPr>
        <w:tblStyle w:val="Tablaconcuadrcula"/>
        <w:tblW w:w="0" w:type="auto"/>
        <w:tblInd w:w="137" w:type="dxa"/>
        <w:tblLook w:val="04A0" w:firstRow="1" w:lastRow="0" w:firstColumn="1" w:lastColumn="0" w:noHBand="0" w:noVBand="1"/>
      </w:tblPr>
      <w:tblGrid>
        <w:gridCol w:w="2126"/>
        <w:gridCol w:w="3969"/>
        <w:gridCol w:w="3730"/>
      </w:tblGrid>
      <w:tr w:rsidR="005E5F3C" w:rsidRPr="0035597B" w14:paraId="7902AB3D" w14:textId="77777777" w:rsidTr="00D4226B">
        <w:tc>
          <w:tcPr>
            <w:tcW w:w="2126" w:type="dxa"/>
          </w:tcPr>
          <w:p w14:paraId="7A49E9B4" w14:textId="77777777" w:rsidR="005E5F3C" w:rsidRPr="0035597B" w:rsidRDefault="005E5F3C" w:rsidP="00D4226B">
            <w:pPr>
              <w:pStyle w:val="Textoindependiente"/>
              <w:ind w:right="-50"/>
              <w:jc w:val="center"/>
              <w:rPr>
                <w:rFonts w:ascii="Arial" w:hAnsi="Arial" w:cs="Arial"/>
                <w:b/>
              </w:rPr>
            </w:pPr>
            <w:r w:rsidRPr="0035597B">
              <w:rPr>
                <w:rFonts w:ascii="Arial" w:hAnsi="Arial" w:cs="Arial"/>
                <w:b/>
              </w:rPr>
              <w:t>CUENTA</w:t>
            </w:r>
          </w:p>
        </w:tc>
        <w:tc>
          <w:tcPr>
            <w:tcW w:w="3969" w:type="dxa"/>
          </w:tcPr>
          <w:p w14:paraId="00979F7F" w14:textId="77777777" w:rsidR="005E5F3C" w:rsidRPr="0035597B" w:rsidRDefault="005E5F3C" w:rsidP="00D4226B">
            <w:pPr>
              <w:pStyle w:val="Textoindependiente"/>
              <w:ind w:right="-50"/>
              <w:jc w:val="center"/>
              <w:rPr>
                <w:rFonts w:ascii="Arial" w:hAnsi="Arial" w:cs="Arial"/>
                <w:b/>
              </w:rPr>
            </w:pPr>
            <w:r w:rsidRPr="0035597B">
              <w:rPr>
                <w:rFonts w:ascii="Arial" w:hAnsi="Arial" w:cs="Arial"/>
                <w:b/>
              </w:rPr>
              <w:t>ESTADO DE SITUACION FINANICERA</w:t>
            </w:r>
          </w:p>
          <w:p w14:paraId="53CE7D6A" w14:textId="77777777" w:rsidR="005E5F3C" w:rsidRPr="0035597B" w:rsidRDefault="005E5F3C" w:rsidP="00D4226B">
            <w:pPr>
              <w:pStyle w:val="Textoindependiente"/>
              <w:ind w:right="-50"/>
              <w:jc w:val="center"/>
              <w:rPr>
                <w:rFonts w:ascii="Arial" w:hAnsi="Arial" w:cs="Arial"/>
                <w:b/>
              </w:rPr>
            </w:pPr>
            <w:r w:rsidRPr="0035597B">
              <w:rPr>
                <w:rFonts w:ascii="Arial" w:hAnsi="Arial" w:cs="Arial"/>
                <w:b/>
              </w:rPr>
              <w:t>(Miles de pesos)</w:t>
            </w:r>
          </w:p>
        </w:tc>
        <w:tc>
          <w:tcPr>
            <w:tcW w:w="3730" w:type="dxa"/>
          </w:tcPr>
          <w:p w14:paraId="33AE20C7" w14:textId="77777777" w:rsidR="005E5F3C" w:rsidRPr="0035597B" w:rsidRDefault="005E5F3C" w:rsidP="00D4226B">
            <w:pPr>
              <w:pStyle w:val="Textoindependiente"/>
              <w:ind w:right="-50"/>
              <w:jc w:val="center"/>
              <w:rPr>
                <w:rFonts w:ascii="Arial" w:hAnsi="Arial" w:cs="Arial"/>
                <w:b/>
              </w:rPr>
            </w:pPr>
            <w:r w:rsidRPr="0035597B">
              <w:rPr>
                <w:rFonts w:ascii="Arial" w:hAnsi="Arial" w:cs="Arial"/>
                <w:b/>
              </w:rPr>
              <w:t>SALDOS Y MOVIMIENTOS</w:t>
            </w:r>
          </w:p>
          <w:p w14:paraId="3A2C4C5C" w14:textId="77777777" w:rsidR="005E5F3C" w:rsidRPr="0035597B" w:rsidRDefault="005E5F3C" w:rsidP="00D4226B">
            <w:pPr>
              <w:pStyle w:val="Textoindependiente"/>
              <w:ind w:right="-50"/>
              <w:jc w:val="center"/>
              <w:rPr>
                <w:rFonts w:ascii="Arial" w:hAnsi="Arial" w:cs="Arial"/>
                <w:b/>
              </w:rPr>
            </w:pPr>
            <w:r w:rsidRPr="0035597B">
              <w:rPr>
                <w:rFonts w:ascii="Arial" w:hAnsi="Arial" w:cs="Arial"/>
                <w:b/>
              </w:rPr>
              <w:t>(Cifras en pesos)</w:t>
            </w:r>
          </w:p>
          <w:p w14:paraId="507A25A2" w14:textId="77777777" w:rsidR="005E5F3C" w:rsidRPr="0035597B" w:rsidRDefault="005E5F3C" w:rsidP="00D4226B">
            <w:pPr>
              <w:pStyle w:val="Textoindependiente"/>
              <w:ind w:right="-50"/>
              <w:jc w:val="center"/>
              <w:rPr>
                <w:rFonts w:ascii="Arial" w:hAnsi="Arial" w:cs="Arial"/>
                <w:b/>
              </w:rPr>
            </w:pPr>
          </w:p>
        </w:tc>
      </w:tr>
      <w:tr w:rsidR="005E5F3C" w:rsidRPr="0035597B" w14:paraId="5D33A1CA" w14:textId="77777777" w:rsidTr="00D4226B">
        <w:tc>
          <w:tcPr>
            <w:tcW w:w="2126" w:type="dxa"/>
          </w:tcPr>
          <w:p w14:paraId="767038DF" w14:textId="77777777" w:rsidR="005E5F3C" w:rsidRPr="0035597B" w:rsidRDefault="005E5F3C" w:rsidP="00D4226B">
            <w:pPr>
              <w:pStyle w:val="Textoindependiente"/>
              <w:ind w:right="-50"/>
              <w:jc w:val="both"/>
              <w:rPr>
                <w:rFonts w:ascii="Arial" w:hAnsi="Arial" w:cs="Arial"/>
                <w:b/>
              </w:rPr>
            </w:pPr>
            <w:r w:rsidRPr="0035597B">
              <w:rPr>
                <w:rFonts w:ascii="Arial" w:hAnsi="Arial" w:cs="Arial"/>
                <w:b/>
              </w:rPr>
              <w:t xml:space="preserve">ACTIVO </w:t>
            </w:r>
          </w:p>
        </w:tc>
        <w:tc>
          <w:tcPr>
            <w:tcW w:w="3969" w:type="dxa"/>
          </w:tcPr>
          <w:p w14:paraId="4A42AAA3" w14:textId="77777777" w:rsidR="005E5F3C" w:rsidRPr="0035597B" w:rsidRDefault="005E5F3C" w:rsidP="00D4226B">
            <w:pPr>
              <w:pStyle w:val="Textoindependiente"/>
              <w:ind w:right="-50"/>
              <w:jc w:val="right"/>
              <w:rPr>
                <w:rFonts w:ascii="Arial" w:hAnsi="Arial" w:cs="Arial"/>
              </w:rPr>
            </w:pPr>
            <w:r w:rsidRPr="0035597B">
              <w:rPr>
                <w:rFonts w:ascii="Arial" w:hAnsi="Arial" w:cs="Arial"/>
              </w:rPr>
              <w:t>2.948.965.575</w:t>
            </w:r>
          </w:p>
        </w:tc>
        <w:tc>
          <w:tcPr>
            <w:tcW w:w="3730" w:type="dxa"/>
          </w:tcPr>
          <w:p w14:paraId="7A991125" w14:textId="77777777" w:rsidR="005E5F3C" w:rsidRPr="0035597B" w:rsidRDefault="005E5F3C" w:rsidP="00D4226B">
            <w:pPr>
              <w:pStyle w:val="Textoindependiente"/>
              <w:ind w:right="-50"/>
              <w:jc w:val="right"/>
              <w:rPr>
                <w:rFonts w:ascii="Arial" w:hAnsi="Arial" w:cs="Arial"/>
              </w:rPr>
            </w:pPr>
            <w:r w:rsidRPr="0035597B">
              <w:rPr>
                <w:rFonts w:ascii="Arial" w:hAnsi="Arial" w:cs="Arial"/>
              </w:rPr>
              <w:t>2.810.246.981.648,78</w:t>
            </w:r>
          </w:p>
        </w:tc>
      </w:tr>
      <w:tr w:rsidR="005E5F3C" w:rsidRPr="0035597B" w14:paraId="06F07945" w14:textId="77777777" w:rsidTr="00D4226B">
        <w:tc>
          <w:tcPr>
            <w:tcW w:w="2126" w:type="dxa"/>
          </w:tcPr>
          <w:p w14:paraId="20D2AB36" w14:textId="77777777" w:rsidR="005E5F3C" w:rsidRPr="0035597B" w:rsidRDefault="005E5F3C" w:rsidP="00D4226B">
            <w:pPr>
              <w:pStyle w:val="Textoindependiente"/>
              <w:ind w:right="-50"/>
              <w:jc w:val="both"/>
              <w:rPr>
                <w:rFonts w:ascii="Arial" w:hAnsi="Arial" w:cs="Arial"/>
                <w:b/>
              </w:rPr>
            </w:pPr>
            <w:r w:rsidRPr="0035597B">
              <w:rPr>
                <w:rFonts w:ascii="Arial" w:hAnsi="Arial" w:cs="Arial"/>
                <w:b/>
              </w:rPr>
              <w:t xml:space="preserve">PASIVO </w:t>
            </w:r>
          </w:p>
        </w:tc>
        <w:tc>
          <w:tcPr>
            <w:tcW w:w="3969" w:type="dxa"/>
          </w:tcPr>
          <w:p w14:paraId="4CFEEE83" w14:textId="77777777" w:rsidR="005E5F3C" w:rsidRPr="0035597B" w:rsidRDefault="005E5F3C" w:rsidP="00D4226B">
            <w:pPr>
              <w:pStyle w:val="Textoindependiente"/>
              <w:ind w:right="-50"/>
              <w:jc w:val="right"/>
              <w:rPr>
                <w:rFonts w:ascii="Arial" w:hAnsi="Arial" w:cs="Arial"/>
              </w:rPr>
            </w:pPr>
            <w:r w:rsidRPr="0035597B">
              <w:rPr>
                <w:rFonts w:ascii="Arial" w:hAnsi="Arial" w:cs="Arial"/>
              </w:rPr>
              <w:t>2.510.884</w:t>
            </w:r>
          </w:p>
        </w:tc>
        <w:tc>
          <w:tcPr>
            <w:tcW w:w="3730" w:type="dxa"/>
          </w:tcPr>
          <w:p w14:paraId="6B1104C2" w14:textId="77777777" w:rsidR="005E5F3C" w:rsidRPr="0035597B" w:rsidRDefault="005E5F3C" w:rsidP="00D4226B">
            <w:pPr>
              <w:pStyle w:val="Textoindependiente"/>
              <w:ind w:right="-50"/>
              <w:jc w:val="right"/>
              <w:rPr>
                <w:rFonts w:ascii="Arial" w:hAnsi="Arial" w:cs="Arial"/>
              </w:rPr>
            </w:pPr>
            <w:r w:rsidRPr="0035597B">
              <w:rPr>
                <w:rFonts w:ascii="Arial" w:hAnsi="Arial" w:cs="Arial"/>
              </w:rPr>
              <w:t>2.315.256.905,39</w:t>
            </w:r>
          </w:p>
        </w:tc>
      </w:tr>
      <w:tr w:rsidR="005E5F3C" w:rsidRPr="0035597B" w14:paraId="6B2BADB3" w14:textId="77777777" w:rsidTr="00D4226B">
        <w:tc>
          <w:tcPr>
            <w:tcW w:w="2126" w:type="dxa"/>
          </w:tcPr>
          <w:p w14:paraId="52690A08" w14:textId="77777777" w:rsidR="005E5F3C" w:rsidRPr="0035597B" w:rsidRDefault="005E5F3C" w:rsidP="00D4226B">
            <w:pPr>
              <w:pStyle w:val="Textoindependiente"/>
              <w:ind w:right="-50"/>
              <w:jc w:val="both"/>
              <w:rPr>
                <w:rFonts w:ascii="Arial" w:hAnsi="Arial" w:cs="Arial"/>
                <w:b/>
              </w:rPr>
            </w:pPr>
            <w:r w:rsidRPr="0035597B">
              <w:rPr>
                <w:rFonts w:ascii="Arial" w:hAnsi="Arial" w:cs="Arial"/>
                <w:b/>
              </w:rPr>
              <w:lastRenderedPageBreak/>
              <w:t>PATRIMONIO</w:t>
            </w:r>
          </w:p>
        </w:tc>
        <w:tc>
          <w:tcPr>
            <w:tcW w:w="3969" w:type="dxa"/>
          </w:tcPr>
          <w:p w14:paraId="22B2B710" w14:textId="77777777" w:rsidR="005E5F3C" w:rsidRPr="0035597B" w:rsidRDefault="005E5F3C" w:rsidP="00D4226B">
            <w:pPr>
              <w:pStyle w:val="Textoindependiente"/>
              <w:ind w:right="-50"/>
              <w:jc w:val="right"/>
              <w:rPr>
                <w:rFonts w:ascii="Arial" w:hAnsi="Arial" w:cs="Arial"/>
              </w:rPr>
            </w:pPr>
            <w:r w:rsidRPr="0035597B">
              <w:rPr>
                <w:rFonts w:ascii="Arial" w:hAnsi="Arial" w:cs="Arial"/>
              </w:rPr>
              <w:t>2.946.454.691</w:t>
            </w:r>
          </w:p>
        </w:tc>
        <w:tc>
          <w:tcPr>
            <w:tcW w:w="3730" w:type="dxa"/>
          </w:tcPr>
          <w:p w14:paraId="3D25B8B4" w14:textId="77777777" w:rsidR="005E5F3C" w:rsidRPr="0035597B" w:rsidRDefault="005E5F3C" w:rsidP="00D4226B">
            <w:pPr>
              <w:pStyle w:val="Textoindependiente"/>
              <w:ind w:right="-50"/>
              <w:jc w:val="right"/>
              <w:rPr>
                <w:rFonts w:ascii="Arial" w:hAnsi="Arial" w:cs="Arial"/>
              </w:rPr>
            </w:pPr>
            <w:r w:rsidRPr="0035597B">
              <w:rPr>
                <w:rFonts w:ascii="Arial" w:hAnsi="Arial" w:cs="Arial"/>
              </w:rPr>
              <w:t>1.476.925.848.064,94</w:t>
            </w:r>
          </w:p>
        </w:tc>
      </w:tr>
    </w:tbl>
    <w:p w14:paraId="05B3A3D7" w14:textId="77777777" w:rsidR="005E5F3C" w:rsidRDefault="005E5F3C" w:rsidP="005E5F3C">
      <w:pPr>
        <w:ind w:left="284" w:right="-234"/>
        <w:jc w:val="both"/>
        <w:rPr>
          <w:rFonts w:ascii="Arial" w:hAnsi="Arial" w:cs="Arial"/>
          <w:b/>
          <w:sz w:val="24"/>
          <w:szCs w:val="24"/>
        </w:rPr>
      </w:pPr>
    </w:p>
    <w:p w14:paraId="57A133AA" w14:textId="77777777" w:rsidR="005E5F3C" w:rsidRPr="00222115" w:rsidRDefault="005E5F3C" w:rsidP="005E5F3C">
      <w:pPr>
        <w:ind w:left="-284" w:right="-234"/>
        <w:jc w:val="both"/>
        <w:rPr>
          <w:rFonts w:ascii="Arial" w:hAnsi="Arial" w:cs="Arial"/>
          <w:b/>
          <w:sz w:val="28"/>
          <w:szCs w:val="28"/>
          <w:lang w:val="es-MX"/>
        </w:rPr>
      </w:pPr>
      <w:r w:rsidRPr="00222115">
        <w:rPr>
          <w:rFonts w:ascii="Arial" w:hAnsi="Arial" w:cs="Arial"/>
          <w:b/>
          <w:sz w:val="28"/>
          <w:szCs w:val="28"/>
          <w:lang w:val="es-MX"/>
        </w:rPr>
        <w:t>300.- SUPERINTENDENCIA DE LA ECONOMIA SOLIDARIA - SUPERSOLIDARIA.</w:t>
      </w:r>
    </w:p>
    <w:p w14:paraId="5E47E250" w14:textId="77777777" w:rsidR="005E5F3C" w:rsidRDefault="005E5F3C" w:rsidP="005E5F3C">
      <w:pPr>
        <w:ind w:left="-284" w:right="-234"/>
        <w:jc w:val="both"/>
        <w:rPr>
          <w:rFonts w:ascii="Arial" w:hAnsi="Arial" w:cs="Arial"/>
          <w:b/>
          <w:sz w:val="24"/>
          <w:szCs w:val="24"/>
          <w:lang w:val="es-MX"/>
        </w:rPr>
      </w:pPr>
    </w:p>
    <w:p w14:paraId="06C203F0" w14:textId="77777777" w:rsidR="005E5F3C" w:rsidRPr="008306F1" w:rsidRDefault="005E5F3C" w:rsidP="005E5F3C">
      <w:pPr>
        <w:pStyle w:val="Textoindependiente"/>
        <w:ind w:left="-284" w:right="-234"/>
        <w:jc w:val="both"/>
        <w:rPr>
          <w:rFonts w:ascii="Arial" w:hAnsi="Arial" w:cs="Arial"/>
          <w:b/>
        </w:rPr>
      </w:pPr>
      <w:r w:rsidRPr="008306F1">
        <w:rPr>
          <w:rFonts w:ascii="Arial" w:hAnsi="Arial" w:cs="Arial"/>
          <w:b/>
        </w:rPr>
        <w:t>-Al comparar los Estados Financieros con el informe de saldos y movimientos encontramos diferencias en el Activo, Pasivo y Patrimonio así:</w:t>
      </w:r>
    </w:p>
    <w:p w14:paraId="5C1DBEBD" w14:textId="77777777" w:rsidR="005E5F3C" w:rsidRPr="008306F1" w:rsidRDefault="005E5F3C" w:rsidP="005E5F3C">
      <w:pPr>
        <w:pStyle w:val="Textoindependiente"/>
        <w:jc w:val="both"/>
        <w:rPr>
          <w:rFonts w:ascii="Arial" w:hAnsi="Arial" w:cs="Arial"/>
          <w:b/>
        </w:rPr>
      </w:pPr>
    </w:p>
    <w:tbl>
      <w:tblPr>
        <w:tblStyle w:val="Tablaconcuadrcula"/>
        <w:tblW w:w="0" w:type="auto"/>
        <w:tblInd w:w="137" w:type="dxa"/>
        <w:tblLook w:val="04A0" w:firstRow="1" w:lastRow="0" w:firstColumn="1" w:lastColumn="0" w:noHBand="0" w:noVBand="1"/>
      </w:tblPr>
      <w:tblGrid>
        <w:gridCol w:w="2126"/>
        <w:gridCol w:w="3969"/>
        <w:gridCol w:w="3730"/>
      </w:tblGrid>
      <w:tr w:rsidR="005E5F3C" w:rsidRPr="008306F1" w14:paraId="208FB0DF" w14:textId="77777777" w:rsidTr="00D4226B">
        <w:tc>
          <w:tcPr>
            <w:tcW w:w="2126" w:type="dxa"/>
          </w:tcPr>
          <w:p w14:paraId="7C2B4D78" w14:textId="77777777" w:rsidR="005E5F3C" w:rsidRPr="008306F1" w:rsidRDefault="005E5F3C" w:rsidP="00D4226B">
            <w:pPr>
              <w:pStyle w:val="Textoindependiente"/>
              <w:jc w:val="center"/>
              <w:rPr>
                <w:rFonts w:ascii="Arial" w:hAnsi="Arial" w:cs="Arial"/>
                <w:b/>
              </w:rPr>
            </w:pPr>
            <w:r w:rsidRPr="008306F1">
              <w:rPr>
                <w:rFonts w:ascii="Arial" w:hAnsi="Arial" w:cs="Arial"/>
                <w:b/>
              </w:rPr>
              <w:t>CUENTA</w:t>
            </w:r>
          </w:p>
        </w:tc>
        <w:tc>
          <w:tcPr>
            <w:tcW w:w="3969" w:type="dxa"/>
          </w:tcPr>
          <w:p w14:paraId="2447FB9E" w14:textId="77777777" w:rsidR="005E5F3C" w:rsidRPr="008306F1" w:rsidRDefault="005E5F3C" w:rsidP="00D4226B">
            <w:pPr>
              <w:pStyle w:val="Textoindependiente"/>
              <w:jc w:val="center"/>
              <w:rPr>
                <w:rFonts w:ascii="Arial" w:hAnsi="Arial" w:cs="Arial"/>
                <w:b/>
              </w:rPr>
            </w:pPr>
            <w:r w:rsidRPr="008306F1">
              <w:rPr>
                <w:rFonts w:ascii="Arial" w:hAnsi="Arial" w:cs="Arial"/>
                <w:b/>
              </w:rPr>
              <w:t>ESTADO DE SITUACION FINANICERA</w:t>
            </w:r>
          </w:p>
          <w:p w14:paraId="788C9C29" w14:textId="77777777" w:rsidR="005E5F3C" w:rsidRPr="008306F1" w:rsidRDefault="005E5F3C" w:rsidP="00D4226B">
            <w:pPr>
              <w:pStyle w:val="Textoindependiente"/>
              <w:jc w:val="center"/>
              <w:rPr>
                <w:rFonts w:ascii="Arial" w:hAnsi="Arial" w:cs="Arial"/>
                <w:b/>
              </w:rPr>
            </w:pPr>
            <w:r w:rsidRPr="008306F1">
              <w:rPr>
                <w:rFonts w:ascii="Arial" w:hAnsi="Arial" w:cs="Arial"/>
                <w:b/>
              </w:rPr>
              <w:t>(Pesos)</w:t>
            </w:r>
          </w:p>
          <w:p w14:paraId="454FC0D6" w14:textId="77777777" w:rsidR="005E5F3C" w:rsidRPr="008306F1" w:rsidRDefault="005E5F3C" w:rsidP="00D4226B">
            <w:pPr>
              <w:pStyle w:val="Textoindependiente"/>
              <w:jc w:val="center"/>
              <w:rPr>
                <w:rFonts w:ascii="Arial" w:hAnsi="Arial" w:cs="Arial"/>
                <w:b/>
              </w:rPr>
            </w:pPr>
          </w:p>
        </w:tc>
        <w:tc>
          <w:tcPr>
            <w:tcW w:w="3730" w:type="dxa"/>
          </w:tcPr>
          <w:p w14:paraId="1FA5B9F8" w14:textId="77777777" w:rsidR="005E5F3C" w:rsidRPr="008306F1" w:rsidRDefault="005E5F3C" w:rsidP="00D4226B">
            <w:pPr>
              <w:pStyle w:val="Textoindependiente"/>
              <w:jc w:val="center"/>
              <w:rPr>
                <w:rFonts w:ascii="Arial" w:hAnsi="Arial" w:cs="Arial"/>
                <w:b/>
              </w:rPr>
            </w:pPr>
            <w:r w:rsidRPr="008306F1">
              <w:rPr>
                <w:rFonts w:ascii="Arial" w:hAnsi="Arial" w:cs="Arial"/>
                <w:b/>
              </w:rPr>
              <w:t>SALDOS Y MOVIMIENTOS</w:t>
            </w:r>
          </w:p>
          <w:p w14:paraId="33DC2BF9" w14:textId="77777777" w:rsidR="005E5F3C" w:rsidRPr="008306F1" w:rsidRDefault="005E5F3C" w:rsidP="00D4226B">
            <w:pPr>
              <w:pStyle w:val="Textoindependiente"/>
              <w:jc w:val="center"/>
              <w:rPr>
                <w:rFonts w:ascii="Arial" w:hAnsi="Arial" w:cs="Arial"/>
                <w:b/>
              </w:rPr>
            </w:pPr>
            <w:r w:rsidRPr="008306F1">
              <w:rPr>
                <w:rFonts w:ascii="Arial" w:hAnsi="Arial" w:cs="Arial"/>
                <w:b/>
              </w:rPr>
              <w:t>(Pesos)</w:t>
            </w:r>
          </w:p>
        </w:tc>
      </w:tr>
      <w:tr w:rsidR="005E5F3C" w:rsidRPr="008306F1" w14:paraId="0E62F775" w14:textId="77777777" w:rsidTr="00D4226B">
        <w:tc>
          <w:tcPr>
            <w:tcW w:w="2126" w:type="dxa"/>
          </w:tcPr>
          <w:p w14:paraId="43812471" w14:textId="77777777" w:rsidR="005E5F3C" w:rsidRPr="008306F1" w:rsidRDefault="005E5F3C" w:rsidP="00D4226B">
            <w:pPr>
              <w:pStyle w:val="Textoindependiente"/>
              <w:jc w:val="both"/>
              <w:rPr>
                <w:rFonts w:ascii="Arial" w:hAnsi="Arial" w:cs="Arial"/>
                <w:b/>
              </w:rPr>
            </w:pPr>
            <w:r w:rsidRPr="008306F1">
              <w:rPr>
                <w:rFonts w:ascii="Arial" w:hAnsi="Arial" w:cs="Arial"/>
                <w:b/>
              </w:rPr>
              <w:t xml:space="preserve">ACTIVO </w:t>
            </w:r>
          </w:p>
        </w:tc>
        <w:tc>
          <w:tcPr>
            <w:tcW w:w="3969" w:type="dxa"/>
          </w:tcPr>
          <w:p w14:paraId="4C5FDD30" w14:textId="77777777" w:rsidR="005E5F3C" w:rsidRPr="008306F1" w:rsidRDefault="005E5F3C" w:rsidP="00D4226B">
            <w:pPr>
              <w:pStyle w:val="Textoindependiente"/>
              <w:jc w:val="right"/>
              <w:rPr>
                <w:rFonts w:ascii="Arial" w:hAnsi="Arial" w:cs="Arial"/>
              </w:rPr>
            </w:pPr>
            <w:r w:rsidRPr="008306F1">
              <w:rPr>
                <w:rFonts w:ascii="Arial" w:hAnsi="Arial" w:cs="Arial"/>
              </w:rPr>
              <w:t>76.181.598.596,89</w:t>
            </w:r>
          </w:p>
        </w:tc>
        <w:tc>
          <w:tcPr>
            <w:tcW w:w="3730" w:type="dxa"/>
          </w:tcPr>
          <w:p w14:paraId="14B567FC" w14:textId="77777777" w:rsidR="005E5F3C" w:rsidRPr="008306F1" w:rsidRDefault="005E5F3C" w:rsidP="00D4226B">
            <w:pPr>
              <w:pStyle w:val="Textoindependiente"/>
              <w:jc w:val="right"/>
              <w:rPr>
                <w:rFonts w:ascii="Arial" w:hAnsi="Arial" w:cs="Arial"/>
              </w:rPr>
            </w:pPr>
            <w:r w:rsidRPr="008306F1">
              <w:rPr>
                <w:rFonts w:ascii="Arial" w:hAnsi="Arial" w:cs="Arial"/>
              </w:rPr>
              <w:t>75.802.999.796,96</w:t>
            </w:r>
          </w:p>
        </w:tc>
      </w:tr>
      <w:tr w:rsidR="005E5F3C" w:rsidRPr="008306F1" w14:paraId="636FDB21" w14:textId="77777777" w:rsidTr="00D4226B">
        <w:tc>
          <w:tcPr>
            <w:tcW w:w="2126" w:type="dxa"/>
          </w:tcPr>
          <w:p w14:paraId="05BBECDE" w14:textId="77777777" w:rsidR="005E5F3C" w:rsidRPr="008306F1" w:rsidRDefault="005E5F3C" w:rsidP="00D4226B">
            <w:pPr>
              <w:pStyle w:val="Textoindependiente"/>
              <w:jc w:val="both"/>
              <w:rPr>
                <w:rFonts w:ascii="Arial" w:hAnsi="Arial" w:cs="Arial"/>
                <w:b/>
              </w:rPr>
            </w:pPr>
            <w:r w:rsidRPr="008306F1">
              <w:rPr>
                <w:rFonts w:ascii="Arial" w:hAnsi="Arial" w:cs="Arial"/>
                <w:b/>
              </w:rPr>
              <w:t xml:space="preserve">PASIVO </w:t>
            </w:r>
          </w:p>
        </w:tc>
        <w:tc>
          <w:tcPr>
            <w:tcW w:w="3969" w:type="dxa"/>
          </w:tcPr>
          <w:p w14:paraId="157ABE51" w14:textId="77777777" w:rsidR="005E5F3C" w:rsidRPr="008306F1" w:rsidRDefault="005E5F3C" w:rsidP="00D4226B">
            <w:pPr>
              <w:pStyle w:val="Textoindependiente"/>
              <w:jc w:val="right"/>
              <w:rPr>
                <w:rFonts w:ascii="Arial" w:hAnsi="Arial" w:cs="Arial"/>
              </w:rPr>
            </w:pPr>
            <w:r w:rsidRPr="008306F1">
              <w:rPr>
                <w:rFonts w:ascii="Arial" w:hAnsi="Arial" w:cs="Arial"/>
              </w:rPr>
              <w:t>7.144.979.471,13</w:t>
            </w:r>
          </w:p>
        </w:tc>
        <w:tc>
          <w:tcPr>
            <w:tcW w:w="3730" w:type="dxa"/>
          </w:tcPr>
          <w:p w14:paraId="20E3EFB6" w14:textId="77777777" w:rsidR="005E5F3C" w:rsidRPr="008306F1" w:rsidRDefault="005E5F3C" w:rsidP="00D4226B">
            <w:pPr>
              <w:pStyle w:val="Textoindependiente"/>
              <w:jc w:val="right"/>
              <w:rPr>
                <w:rFonts w:ascii="Arial" w:hAnsi="Arial" w:cs="Arial"/>
              </w:rPr>
            </w:pPr>
            <w:r w:rsidRPr="008306F1">
              <w:rPr>
                <w:rFonts w:ascii="Arial" w:hAnsi="Arial" w:cs="Arial"/>
              </w:rPr>
              <w:t>2.088.385.959,64</w:t>
            </w:r>
          </w:p>
        </w:tc>
      </w:tr>
      <w:tr w:rsidR="005E5F3C" w:rsidRPr="008306F1" w14:paraId="6ECEB460" w14:textId="77777777" w:rsidTr="00D4226B">
        <w:tc>
          <w:tcPr>
            <w:tcW w:w="2126" w:type="dxa"/>
          </w:tcPr>
          <w:p w14:paraId="55365BCD" w14:textId="77777777" w:rsidR="005E5F3C" w:rsidRPr="008306F1" w:rsidRDefault="005E5F3C" w:rsidP="00D4226B">
            <w:pPr>
              <w:pStyle w:val="Textoindependiente"/>
              <w:jc w:val="both"/>
              <w:rPr>
                <w:rFonts w:ascii="Arial" w:hAnsi="Arial" w:cs="Arial"/>
                <w:b/>
              </w:rPr>
            </w:pPr>
            <w:r w:rsidRPr="008306F1">
              <w:rPr>
                <w:rFonts w:ascii="Arial" w:hAnsi="Arial" w:cs="Arial"/>
                <w:b/>
              </w:rPr>
              <w:t>PATRIMONIO</w:t>
            </w:r>
          </w:p>
        </w:tc>
        <w:tc>
          <w:tcPr>
            <w:tcW w:w="3969" w:type="dxa"/>
          </w:tcPr>
          <w:p w14:paraId="216CA702" w14:textId="77777777" w:rsidR="005E5F3C" w:rsidRPr="008306F1" w:rsidRDefault="005E5F3C" w:rsidP="00D4226B">
            <w:pPr>
              <w:pStyle w:val="Textoindependiente"/>
              <w:jc w:val="right"/>
              <w:rPr>
                <w:rFonts w:ascii="Arial" w:hAnsi="Arial" w:cs="Arial"/>
              </w:rPr>
            </w:pPr>
            <w:r w:rsidRPr="008306F1">
              <w:rPr>
                <w:rFonts w:ascii="Arial" w:hAnsi="Arial" w:cs="Arial"/>
              </w:rPr>
              <w:t>69.036.619.125,76</w:t>
            </w:r>
          </w:p>
        </w:tc>
        <w:tc>
          <w:tcPr>
            <w:tcW w:w="3730" w:type="dxa"/>
          </w:tcPr>
          <w:p w14:paraId="604FC1E7" w14:textId="77777777" w:rsidR="005E5F3C" w:rsidRPr="008306F1" w:rsidRDefault="005E5F3C" w:rsidP="00D4226B">
            <w:pPr>
              <w:pStyle w:val="Textoindependiente"/>
              <w:jc w:val="right"/>
              <w:rPr>
                <w:rFonts w:ascii="Arial" w:hAnsi="Arial" w:cs="Arial"/>
              </w:rPr>
            </w:pPr>
            <w:r w:rsidRPr="008306F1">
              <w:rPr>
                <w:rFonts w:ascii="Arial" w:hAnsi="Arial" w:cs="Arial"/>
              </w:rPr>
              <w:t>73.714.613.837,32</w:t>
            </w:r>
          </w:p>
        </w:tc>
      </w:tr>
    </w:tbl>
    <w:p w14:paraId="0AEAB194" w14:textId="77777777" w:rsidR="005E5F3C" w:rsidRDefault="005E5F3C" w:rsidP="005E5F3C">
      <w:pPr>
        <w:ind w:left="284" w:right="-234"/>
        <w:jc w:val="both"/>
        <w:rPr>
          <w:rFonts w:ascii="Arial" w:hAnsi="Arial" w:cs="Arial"/>
          <w:b/>
          <w:sz w:val="24"/>
          <w:szCs w:val="24"/>
          <w:lang w:val="es-MX"/>
        </w:rPr>
      </w:pPr>
    </w:p>
    <w:p w14:paraId="68AB210D" w14:textId="77777777" w:rsidR="005E5F3C" w:rsidRPr="00B215A2" w:rsidRDefault="005E5F3C" w:rsidP="005E5F3C">
      <w:pPr>
        <w:ind w:left="-284" w:right="-234"/>
        <w:jc w:val="both"/>
        <w:rPr>
          <w:rFonts w:ascii="Arial" w:eastAsia="Calibri" w:hAnsi="Arial" w:cs="Arial"/>
          <w:b/>
          <w:sz w:val="28"/>
          <w:szCs w:val="28"/>
          <w:lang w:val="es-MX"/>
        </w:rPr>
      </w:pPr>
      <w:r w:rsidRPr="00B215A2">
        <w:rPr>
          <w:rFonts w:ascii="Arial" w:hAnsi="Arial" w:cs="Arial"/>
          <w:b/>
          <w:sz w:val="28"/>
          <w:szCs w:val="28"/>
          <w:lang w:val="es-MX"/>
        </w:rPr>
        <w:t xml:space="preserve">305.- </w:t>
      </w:r>
      <w:r w:rsidRPr="00B215A2">
        <w:rPr>
          <w:rFonts w:ascii="Arial" w:eastAsia="Calibri" w:hAnsi="Arial" w:cs="Arial"/>
          <w:b/>
          <w:sz w:val="28"/>
          <w:szCs w:val="28"/>
          <w:lang w:val="es-MX"/>
        </w:rPr>
        <w:t>FONDO SOCIAL DE VIVIENDA - REGISTRADURÍA NACIONAL DEL ESTADO CIVIL.</w:t>
      </w:r>
    </w:p>
    <w:p w14:paraId="081FE8F6" w14:textId="77777777" w:rsidR="005E5F3C" w:rsidRDefault="005E5F3C" w:rsidP="005E5F3C">
      <w:pPr>
        <w:ind w:left="284" w:right="-234"/>
        <w:jc w:val="both"/>
        <w:rPr>
          <w:rFonts w:ascii="Arial" w:hAnsi="Arial" w:cs="Arial"/>
          <w:b/>
          <w:sz w:val="24"/>
          <w:szCs w:val="24"/>
          <w:lang w:val="es-MX"/>
        </w:rPr>
      </w:pPr>
    </w:p>
    <w:p w14:paraId="4B38D4CC" w14:textId="77777777" w:rsidR="005E5F3C" w:rsidRPr="00B215A2" w:rsidRDefault="005E5F3C" w:rsidP="005E5F3C">
      <w:pPr>
        <w:pStyle w:val="Textoindependiente"/>
        <w:ind w:left="-284" w:right="-234"/>
        <w:jc w:val="both"/>
        <w:rPr>
          <w:rFonts w:ascii="Arial" w:hAnsi="Arial" w:cs="Arial"/>
          <w:bCs/>
          <w:sz w:val="24"/>
          <w:szCs w:val="24"/>
        </w:rPr>
      </w:pPr>
      <w:r>
        <w:rPr>
          <w:bCs/>
        </w:rPr>
        <w:t>-</w:t>
      </w:r>
      <w:r w:rsidRPr="00B215A2">
        <w:rPr>
          <w:rFonts w:ascii="Arial" w:hAnsi="Arial" w:cs="Arial"/>
          <w:bCs/>
          <w:sz w:val="24"/>
          <w:szCs w:val="24"/>
        </w:rPr>
        <w:t xml:space="preserve">Observamos en esta auditoría que la cifra del Patrimonio de las notas a los estados financieros no corresponde a la cifra que reportan en los estados financieros tanto en la vigencia 2024 como en la 2023 así: </w:t>
      </w:r>
    </w:p>
    <w:p w14:paraId="5E486F1F" w14:textId="77777777" w:rsidR="005E5F3C" w:rsidRPr="00B215A2" w:rsidRDefault="005E5F3C" w:rsidP="005E5F3C">
      <w:pPr>
        <w:pStyle w:val="Textoindependiente"/>
        <w:jc w:val="both"/>
        <w:rPr>
          <w:rFonts w:ascii="Arial" w:hAnsi="Arial" w:cs="Arial"/>
          <w:bCs/>
          <w:sz w:val="24"/>
          <w:szCs w:val="24"/>
        </w:rPr>
      </w:pPr>
    </w:p>
    <w:p w14:paraId="1BDBF060" w14:textId="77777777" w:rsidR="005E5F3C" w:rsidRPr="00B215A2" w:rsidRDefault="005E5F3C" w:rsidP="005E5F3C">
      <w:pPr>
        <w:pStyle w:val="Textoindependiente"/>
        <w:jc w:val="center"/>
        <w:rPr>
          <w:rFonts w:ascii="Arial" w:hAnsi="Arial" w:cs="Arial"/>
          <w:b/>
          <w:bCs/>
          <w:sz w:val="24"/>
          <w:szCs w:val="24"/>
        </w:rPr>
      </w:pPr>
      <w:r w:rsidRPr="00B215A2">
        <w:rPr>
          <w:rFonts w:ascii="Arial" w:hAnsi="Arial" w:cs="Arial"/>
          <w:b/>
          <w:bCs/>
          <w:sz w:val="24"/>
          <w:szCs w:val="24"/>
        </w:rPr>
        <w:t>NOTA 27 PATRIMONIO.</w:t>
      </w:r>
    </w:p>
    <w:p w14:paraId="5FA14CDE" w14:textId="77777777" w:rsidR="005E5F3C" w:rsidRDefault="005E5F3C" w:rsidP="005E5F3C">
      <w:pPr>
        <w:pStyle w:val="Textoindependiente"/>
        <w:jc w:val="both"/>
        <w:rPr>
          <w:bCs/>
        </w:rPr>
      </w:pPr>
    </w:p>
    <w:p w14:paraId="4A0ED11E" w14:textId="77777777" w:rsidR="005E5F3C" w:rsidRDefault="005E5F3C" w:rsidP="005E5F3C">
      <w:pPr>
        <w:pStyle w:val="Textoindependiente"/>
        <w:jc w:val="center"/>
        <w:rPr>
          <w:bCs/>
        </w:rPr>
      </w:pPr>
      <w:r w:rsidRPr="006E608E">
        <w:rPr>
          <w:bCs/>
          <w:noProof/>
          <w:lang w:val="es-CO" w:eastAsia="es-CO"/>
        </w:rPr>
        <w:drawing>
          <wp:inline distT="0" distB="0" distL="0" distR="0" wp14:anchorId="49DAA2DE" wp14:editId="63A70154">
            <wp:extent cx="6086475" cy="12477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6475" cy="1247775"/>
                    </a:xfrm>
                    <a:prstGeom prst="rect">
                      <a:avLst/>
                    </a:prstGeom>
                  </pic:spPr>
                </pic:pic>
              </a:graphicData>
            </a:graphic>
          </wp:inline>
        </w:drawing>
      </w:r>
    </w:p>
    <w:p w14:paraId="35793807" w14:textId="77777777" w:rsidR="005E5F3C" w:rsidRDefault="005E5F3C" w:rsidP="005E5F3C">
      <w:pPr>
        <w:pStyle w:val="Textoindependiente"/>
        <w:jc w:val="both"/>
        <w:rPr>
          <w:bCs/>
        </w:rPr>
      </w:pPr>
    </w:p>
    <w:p w14:paraId="06672D01" w14:textId="77777777" w:rsidR="005E5F3C" w:rsidRPr="00B215A2" w:rsidRDefault="005E5F3C" w:rsidP="005E5F3C">
      <w:pPr>
        <w:pStyle w:val="Textoindependiente"/>
        <w:ind w:left="-284" w:right="-234"/>
        <w:jc w:val="both"/>
        <w:rPr>
          <w:rFonts w:ascii="Arial" w:hAnsi="Arial" w:cs="Arial"/>
          <w:bCs/>
          <w:sz w:val="24"/>
          <w:szCs w:val="24"/>
        </w:rPr>
      </w:pPr>
      <w:r w:rsidRPr="00B215A2">
        <w:rPr>
          <w:rFonts w:ascii="Arial" w:hAnsi="Arial" w:cs="Arial"/>
          <w:bCs/>
          <w:sz w:val="24"/>
          <w:szCs w:val="24"/>
        </w:rPr>
        <w:t>El saldo reflejado en el informe de saldos y movimientos (catálogo de cuentas) a 31 de diciembre de 2024 es por valor de $ 99.042.799.80.</w:t>
      </w:r>
    </w:p>
    <w:p w14:paraId="3F362547" w14:textId="77777777" w:rsidR="005E5F3C" w:rsidRDefault="005E5F3C" w:rsidP="005E5F3C">
      <w:pPr>
        <w:ind w:left="-284" w:right="-234"/>
        <w:jc w:val="both"/>
        <w:rPr>
          <w:rFonts w:ascii="Arial" w:hAnsi="Arial" w:cs="Arial"/>
          <w:b/>
          <w:sz w:val="24"/>
          <w:szCs w:val="24"/>
        </w:rPr>
      </w:pPr>
    </w:p>
    <w:p w14:paraId="1B40EB30" w14:textId="77777777" w:rsidR="005E5F3C" w:rsidRPr="00C921D4" w:rsidRDefault="005E5F3C" w:rsidP="005E5F3C">
      <w:pPr>
        <w:ind w:left="-284" w:right="-234"/>
        <w:jc w:val="both"/>
        <w:rPr>
          <w:rFonts w:ascii="Arial" w:hAnsi="Arial" w:cs="Arial"/>
          <w:b/>
          <w:sz w:val="28"/>
          <w:szCs w:val="28"/>
          <w:lang w:val="es-MX"/>
        </w:rPr>
      </w:pPr>
      <w:r w:rsidRPr="00C921D4">
        <w:rPr>
          <w:rFonts w:ascii="Arial" w:hAnsi="Arial" w:cs="Arial"/>
          <w:b/>
          <w:sz w:val="28"/>
          <w:szCs w:val="28"/>
          <w:lang w:val="es-MX"/>
        </w:rPr>
        <w:t xml:space="preserve">339.- CORPORACIÓN DE CIENCIA Y TECNOLOGÍA AMBIENTAL – MACARENIA. </w:t>
      </w:r>
    </w:p>
    <w:p w14:paraId="248B5479" w14:textId="77777777" w:rsidR="005E5F3C" w:rsidRPr="00C921D4" w:rsidRDefault="005E5F3C" w:rsidP="005E5F3C">
      <w:pPr>
        <w:ind w:left="-284" w:right="-234"/>
        <w:jc w:val="both"/>
        <w:rPr>
          <w:rFonts w:ascii="Arial" w:hAnsi="Arial" w:cs="Arial"/>
          <w:b/>
          <w:sz w:val="24"/>
          <w:szCs w:val="24"/>
        </w:rPr>
      </w:pPr>
    </w:p>
    <w:p w14:paraId="10347D1A" w14:textId="77777777" w:rsidR="005E5F3C" w:rsidRPr="00C921D4" w:rsidRDefault="005E5F3C" w:rsidP="005E5F3C">
      <w:pPr>
        <w:pStyle w:val="Textoindependiente"/>
        <w:ind w:left="-284" w:right="-234"/>
        <w:jc w:val="both"/>
        <w:rPr>
          <w:rFonts w:ascii="Arial" w:hAnsi="Arial" w:cs="Arial"/>
          <w:bCs/>
          <w:sz w:val="24"/>
          <w:szCs w:val="24"/>
        </w:rPr>
      </w:pPr>
      <w:r w:rsidRPr="00C921D4">
        <w:rPr>
          <w:rFonts w:ascii="Arial" w:hAnsi="Arial" w:cs="Arial"/>
          <w:bCs/>
          <w:sz w:val="24"/>
          <w:szCs w:val="24"/>
        </w:rPr>
        <w:t>Al comparar el saldo del Activo, Pasivo, Patrimonio y Déficit del Ejercicio reflejado en el Estado de Situación Financiera, con el reportado en el Informe sobre Saldos y Movimientos (Catálogo de Cuentas) encontramos diferencias, así:</w:t>
      </w:r>
    </w:p>
    <w:p w14:paraId="48B00B70" w14:textId="77777777" w:rsidR="005E5F3C" w:rsidRPr="00C921D4" w:rsidRDefault="005E5F3C" w:rsidP="005E5F3C">
      <w:pPr>
        <w:pStyle w:val="Textoindependiente"/>
        <w:ind w:right="-50"/>
        <w:jc w:val="both"/>
        <w:rPr>
          <w:rFonts w:ascii="Arial" w:hAnsi="Arial" w:cs="Arial"/>
          <w:b/>
          <w:sz w:val="24"/>
          <w:szCs w:val="24"/>
        </w:rPr>
      </w:pPr>
    </w:p>
    <w:tbl>
      <w:tblPr>
        <w:tblStyle w:val="Tablaconcuadrcula"/>
        <w:tblW w:w="0" w:type="auto"/>
        <w:tblLook w:val="04A0" w:firstRow="1" w:lastRow="0" w:firstColumn="1" w:lastColumn="0" w:noHBand="0" w:noVBand="1"/>
      </w:tblPr>
      <w:tblGrid>
        <w:gridCol w:w="3320"/>
        <w:gridCol w:w="3321"/>
        <w:gridCol w:w="3321"/>
      </w:tblGrid>
      <w:tr w:rsidR="005E5F3C" w:rsidRPr="00C921D4" w14:paraId="6616AC3B" w14:textId="77777777" w:rsidTr="00D4226B">
        <w:tc>
          <w:tcPr>
            <w:tcW w:w="3320" w:type="dxa"/>
          </w:tcPr>
          <w:p w14:paraId="24B39BFC" w14:textId="77777777" w:rsidR="005E5F3C" w:rsidRPr="00C921D4" w:rsidRDefault="005E5F3C" w:rsidP="00D4226B">
            <w:pPr>
              <w:widowControl/>
              <w:autoSpaceDE/>
              <w:autoSpaceDN/>
              <w:spacing w:after="160" w:line="259" w:lineRule="auto"/>
              <w:jc w:val="center"/>
              <w:rPr>
                <w:rFonts w:ascii="Arial" w:eastAsia="Calibri" w:hAnsi="Arial" w:cs="Arial"/>
                <w:b/>
                <w:lang w:val="es-MX"/>
              </w:rPr>
            </w:pPr>
            <w:r w:rsidRPr="00C921D4">
              <w:rPr>
                <w:rFonts w:ascii="Arial" w:eastAsia="Calibri" w:hAnsi="Arial" w:cs="Arial"/>
                <w:b/>
                <w:lang w:val="es-MX"/>
              </w:rPr>
              <w:t>CUENTA</w:t>
            </w:r>
          </w:p>
        </w:tc>
        <w:tc>
          <w:tcPr>
            <w:tcW w:w="3321" w:type="dxa"/>
          </w:tcPr>
          <w:p w14:paraId="1973D34A" w14:textId="77777777" w:rsidR="005E5F3C" w:rsidRPr="00C921D4" w:rsidRDefault="005E5F3C" w:rsidP="00D4226B">
            <w:pPr>
              <w:widowControl/>
              <w:autoSpaceDE/>
              <w:autoSpaceDN/>
              <w:spacing w:after="160" w:line="259" w:lineRule="auto"/>
              <w:jc w:val="center"/>
              <w:rPr>
                <w:rFonts w:ascii="Arial" w:eastAsia="Calibri" w:hAnsi="Arial" w:cs="Arial"/>
                <w:b/>
                <w:lang w:val="es-MX"/>
              </w:rPr>
            </w:pPr>
            <w:r w:rsidRPr="00C921D4">
              <w:rPr>
                <w:rFonts w:ascii="Arial" w:eastAsia="Calibri" w:hAnsi="Arial" w:cs="Arial"/>
                <w:b/>
                <w:lang w:val="es-MX"/>
              </w:rPr>
              <w:t>SALDO ESTADO DE SITUACIÓN FINANCIERA A 3112-2023 (En pesos)</w:t>
            </w:r>
          </w:p>
        </w:tc>
        <w:tc>
          <w:tcPr>
            <w:tcW w:w="3321" w:type="dxa"/>
          </w:tcPr>
          <w:p w14:paraId="0B7D6EF7" w14:textId="77777777" w:rsidR="005E5F3C" w:rsidRPr="00C921D4" w:rsidRDefault="005E5F3C" w:rsidP="00D4226B">
            <w:pPr>
              <w:widowControl/>
              <w:autoSpaceDE/>
              <w:autoSpaceDN/>
              <w:spacing w:after="160" w:line="259" w:lineRule="auto"/>
              <w:jc w:val="center"/>
              <w:rPr>
                <w:rFonts w:ascii="Arial" w:eastAsia="Calibri" w:hAnsi="Arial" w:cs="Arial"/>
                <w:b/>
                <w:lang w:val="es-MX"/>
              </w:rPr>
            </w:pPr>
            <w:r w:rsidRPr="00C921D4">
              <w:rPr>
                <w:rFonts w:ascii="Arial" w:eastAsia="Calibri" w:hAnsi="Arial" w:cs="Arial"/>
                <w:b/>
                <w:lang w:val="es-MX"/>
              </w:rPr>
              <w:t>SALDO CATÁLOGO DE CUENTAS (En Pesos)</w:t>
            </w:r>
          </w:p>
        </w:tc>
      </w:tr>
      <w:tr w:rsidR="005E5F3C" w:rsidRPr="00C921D4" w14:paraId="7B7D1A2B" w14:textId="77777777" w:rsidTr="00D4226B">
        <w:tc>
          <w:tcPr>
            <w:tcW w:w="3320" w:type="dxa"/>
          </w:tcPr>
          <w:p w14:paraId="0EDA3D9C" w14:textId="77777777" w:rsidR="005E5F3C" w:rsidRPr="00C921D4" w:rsidRDefault="005E5F3C" w:rsidP="00D4226B">
            <w:pPr>
              <w:widowControl/>
              <w:autoSpaceDE/>
              <w:autoSpaceDN/>
              <w:spacing w:after="160" w:line="259" w:lineRule="auto"/>
              <w:rPr>
                <w:rFonts w:ascii="Arial" w:eastAsia="Calibri" w:hAnsi="Arial" w:cs="Arial"/>
                <w:b/>
                <w:lang w:val="es-MX"/>
              </w:rPr>
            </w:pPr>
            <w:r w:rsidRPr="00C921D4">
              <w:rPr>
                <w:rFonts w:ascii="Arial" w:eastAsia="Calibri" w:hAnsi="Arial" w:cs="Arial"/>
                <w:b/>
                <w:lang w:val="es-MX"/>
              </w:rPr>
              <w:t>ACTIVO</w:t>
            </w:r>
          </w:p>
        </w:tc>
        <w:tc>
          <w:tcPr>
            <w:tcW w:w="3321" w:type="dxa"/>
          </w:tcPr>
          <w:p w14:paraId="657A4BE8"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2.635.020.173</w:t>
            </w:r>
          </w:p>
        </w:tc>
        <w:tc>
          <w:tcPr>
            <w:tcW w:w="3321" w:type="dxa"/>
          </w:tcPr>
          <w:p w14:paraId="1FBEF300"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2.618.744.228,32</w:t>
            </w:r>
          </w:p>
        </w:tc>
      </w:tr>
      <w:tr w:rsidR="005E5F3C" w:rsidRPr="00C921D4" w14:paraId="186E2947" w14:textId="77777777" w:rsidTr="00D4226B">
        <w:tc>
          <w:tcPr>
            <w:tcW w:w="3320" w:type="dxa"/>
          </w:tcPr>
          <w:p w14:paraId="0961D54A" w14:textId="77777777" w:rsidR="005E5F3C" w:rsidRPr="00C921D4" w:rsidRDefault="005E5F3C" w:rsidP="00D4226B">
            <w:pPr>
              <w:widowControl/>
              <w:autoSpaceDE/>
              <w:autoSpaceDN/>
              <w:spacing w:after="160" w:line="259" w:lineRule="auto"/>
              <w:rPr>
                <w:rFonts w:ascii="Arial" w:eastAsia="Calibri" w:hAnsi="Arial" w:cs="Arial"/>
                <w:b/>
                <w:lang w:val="es-MX"/>
              </w:rPr>
            </w:pPr>
            <w:r w:rsidRPr="00C921D4">
              <w:rPr>
                <w:rFonts w:ascii="Arial" w:eastAsia="Calibri" w:hAnsi="Arial" w:cs="Arial"/>
                <w:b/>
                <w:lang w:val="es-MX"/>
              </w:rPr>
              <w:t>PASIVO</w:t>
            </w:r>
          </w:p>
        </w:tc>
        <w:tc>
          <w:tcPr>
            <w:tcW w:w="3321" w:type="dxa"/>
          </w:tcPr>
          <w:p w14:paraId="0940407E"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2.643.837.925</w:t>
            </w:r>
          </w:p>
        </w:tc>
        <w:tc>
          <w:tcPr>
            <w:tcW w:w="3321" w:type="dxa"/>
          </w:tcPr>
          <w:p w14:paraId="00F6D5A1"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2.643.874.625,17</w:t>
            </w:r>
          </w:p>
        </w:tc>
      </w:tr>
      <w:tr w:rsidR="005E5F3C" w:rsidRPr="00C921D4" w14:paraId="41339DF0" w14:textId="77777777" w:rsidTr="00D4226B">
        <w:tc>
          <w:tcPr>
            <w:tcW w:w="3320" w:type="dxa"/>
          </w:tcPr>
          <w:p w14:paraId="55324D94" w14:textId="77777777" w:rsidR="005E5F3C" w:rsidRPr="00C921D4" w:rsidRDefault="005E5F3C" w:rsidP="00D4226B">
            <w:pPr>
              <w:widowControl/>
              <w:autoSpaceDE/>
              <w:autoSpaceDN/>
              <w:spacing w:after="160" w:line="259" w:lineRule="auto"/>
              <w:rPr>
                <w:rFonts w:ascii="Arial" w:eastAsia="Calibri" w:hAnsi="Arial" w:cs="Arial"/>
                <w:b/>
                <w:lang w:val="es-MX"/>
              </w:rPr>
            </w:pPr>
            <w:r w:rsidRPr="00C921D4">
              <w:rPr>
                <w:rFonts w:ascii="Arial" w:eastAsia="Calibri" w:hAnsi="Arial" w:cs="Arial"/>
                <w:b/>
                <w:lang w:val="es-MX"/>
              </w:rPr>
              <w:t>PATRIMONIO</w:t>
            </w:r>
          </w:p>
        </w:tc>
        <w:tc>
          <w:tcPr>
            <w:tcW w:w="3321" w:type="dxa"/>
          </w:tcPr>
          <w:p w14:paraId="05D7025F"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(8.817.008)</w:t>
            </w:r>
          </w:p>
        </w:tc>
        <w:tc>
          <w:tcPr>
            <w:tcW w:w="3321" w:type="dxa"/>
          </w:tcPr>
          <w:p w14:paraId="248298FB"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(8.854.451,81)</w:t>
            </w:r>
          </w:p>
        </w:tc>
      </w:tr>
      <w:tr w:rsidR="005E5F3C" w:rsidRPr="00C921D4" w14:paraId="3374AC56" w14:textId="77777777" w:rsidTr="00D4226B">
        <w:tc>
          <w:tcPr>
            <w:tcW w:w="3320" w:type="dxa"/>
          </w:tcPr>
          <w:p w14:paraId="743EE856" w14:textId="77777777" w:rsidR="005E5F3C" w:rsidRPr="00C921D4" w:rsidRDefault="005E5F3C" w:rsidP="00D4226B">
            <w:pPr>
              <w:widowControl/>
              <w:autoSpaceDE/>
              <w:autoSpaceDN/>
              <w:spacing w:after="160" w:line="259" w:lineRule="auto"/>
              <w:rPr>
                <w:rFonts w:ascii="Arial" w:eastAsia="Calibri" w:hAnsi="Arial" w:cs="Arial"/>
                <w:b/>
                <w:lang w:val="es-MX"/>
              </w:rPr>
            </w:pPr>
            <w:r w:rsidRPr="00C921D4">
              <w:rPr>
                <w:rFonts w:ascii="Arial" w:eastAsia="Calibri" w:hAnsi="Arial" w:cs="Arial"/>
                <w:b/>
                <w:lang w:val="es-MX"/>
              </w:rPr>
              <w:lastRenderedPageBreak/>
              <w:t>DÉFICIT DEL EJERCICIO</w:t>
            </w:r>
          </w:p>
        </w:tc>
        <w:tc>
          <w:tcPr>
            <w:tcW w:w="3321" w:type="dxa"/>
          </w:tcPr>
          <w:p w14:paraId="2C641784"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(14.728.532)</w:t>
            </w:r>
          </w:p>
        </w:tc>
        <w:tc>
          <w:tcPr>
            <w:tcW w:w="3321" w:type="dxa"/>
          </w:tcPr>
          <w:p w14:paraId="16E6E890" w14:textId="77777777" w:rsidR="005E5F3C" w:rsidRPr="00C921D4" w:rsidRDefault="005E5F3C" w:rsidP="00D4226B">
            <w:pPr>
              <w:widowControl/>
              <w:autoSpaceDE/>
              <w:autoSpaceDN/>
              <w:spacing w:after="160" w:line="259" w:lineRule="auto"/>
              <w:jc w:val="right"/>
              <w:rPr>
                <w:rFonts w:ascii="Arial" w:eastAsia="Calibri" w:hAnsi="Arial" w:cs="Arial"/>
                <w:lang w:val="es-MX"/>
              </w:rPr>
            </w:pPr>
            <w:r w:rsidRPr="00C921D4">
              <w:rPr>
                <w:rFonts w:ascii="Arial" w:eastAsia="Calibri" w:hAnsi="Arial" w:cs="Arial"/>
                <w:lang w:val="es-MX"/>
              </w:rPr>
              <w:t>(14.765.975,68)</w:t>
            </w:r>
          </w:p>
        </w:tc>
      </w:tr>
    </w:tbl>
    <w:p w14:paraId="1E0438C9" w14:textId="77777777" w:rsidR="005E5F3C" w:rsidRPr="00C921D4" w:rsidRDefault="005E5F3C" w:rsidP="005E5F3C">
      <w:pPr>
        <w:pStyle w:val="Textoindependiente"/>
        <w:ind w:right="-50"/>
        <w:jc w:val="both"/>
        <w:rPr>
          <w:rFonts w:ascii="Arial" w:hAnsi="Arial" w:cs="Arial"/>
          <w:b/>
          <w:sz w:val="28"/>
          <w:szCs w:val="28"/>
        </w:rPr>
      </w:pPr>
    </w:p>
    <w:p w14:paraId="23032CD2" w14:textId="77777777" w:rsidR="005E5F3C" w:rsidRPr="00620338" w:rsidRDefault="005E5F3C" w:rsidP="005E5F3C">
      <w:pPr>
        <w:ind w:left="-284" w:right="-234"/>
        <w:jc w:val="both"/>
        <w:rPr>
          <w:rFonts w:ascii="Arial" w:hAnsi="Arial" w:cs="Arial"/>
          <w:b/>
          <w:sz w:val="28"/>
          <w:szCs w:val="28"/>
          <w:lang w:val="es-MX"/>
        </w:rPr>
      </w:pPr>
      <w:r w:rsidRPr="00620338">
        <w:rPr>
          <w:rFonts w:ascii="Arial" w:hAnsi="Arial" w:cs="Arial"/>
          <w:b/>
          <w:sz w:val="28"/>
          <w:szCs w:val="28"/>
          <w:lang w:val="es-MX"/>
        </w:rPr>
        <w:t>350.- CORPORACION PARA EL DESARROLLO SOSTENIBLE DEL URABA - CORPOURABA.</w:t>
      </w:r>
    </w:p>
    <w:p w14:paraId="4BDB37CD" w14:textId="77777777" w:rsidR="005E5F3C" w:rsidRDefault="005E5F3C" w:rsidP="005E5F3C">
      <w:pPr>
        <w:pStyle w:val="Textoindependiente"/>
        <w:ind w:left="-142" w:right="-93"/>
        <w:jc w:val="both"/>
        <w:rPr>
          <w:b/>
        </w:rPr>
      </w:pPr>
    </w:p>
    <w:p w14:paraId="33F88033" w14:textId="77777777" w:rsidR="005E5F3C" w:rsidRDefault="005E5F3C" w:rsidP="005E5F3C">
      <w:pPr>
        <w:pStyle w:val="Textoindependiente"/>
        <w:ind w:left="-284" w:right="-234"/>
        <w:jc w:val="both"/>
        <w:rPr>
          <w:bCs/>
        </w:rPr>
      </w:pPr>
      <w:r w:rsidRPr="00252B70">
        <w:rPr>
          <w:b/>
        </w:rPr>
        <w:t>NOTA:</w:t>
      </w:r>
      <w:r>
        <w:rPr>
          <w:bCs/>
        </w:rPr>
        <w:t xml:space="preserve"> Comparando el Patrimonio total en el Estado de Situación Financiera y el Estado de Cambios en el Patrimonio encontramos diferencia en la vigencia 2024 así:</w:t>
      </w:r>
    </w:p>
    <w:p w14:paraId="5F5AFE5D" w14:textId="77777777" w:rsidR="005E5F3C" w:rsidRDefault="005E5F3C" w:rsidP="005E5F3C">
      <w:pPr>
        <w:pStyle w:val="Textoindependiente"/>
        <w:jc w:val="both"/>
        <w:rPr>
          <w:bCs/>
        </w:rPr>
      </w:pPr>
    </w:p>
    <w:tbl>
      <w:tblPr>
        <w:tblStyle w:val="Tablaconcuadrcula"/>
        <w:tblW w:w="0" w:type="auto"/>
        <w:tblLook w:val="04A0" w:firstRow="1" w:lastRow="0" w:firstColumn="1" w:lastColumn="0" w:noHBand="0" w:noVBand="1"/>
      </w:tblPr>
      <w:tblGrid>
        <w:gridCol w:w="1696"/>
        <w:gridCol w:w="3828"/>
        <w:gridCol w:w="4438"/>
      </w:tblGrid>
      <w:tr w:rsidR="005E5F3C" w:rsidRPr="00252B70" w14:paraId="32B57820" w14:textId="77777777" w:rsidTr="00D4226B">
        <w:tc>
          <w:tcPr>
            <w:tcW w:w="1696" w:type="dxa"/>
          </w:tcPr>
          <w:p w14:paraId="40DD2DD2" w14:textId="77777777" w:rsidR="005E5F3C" w:rsidRPr="00252B70" w:rsidRDefault="005E5F3C" w:rsidP="00D4226B">
            <w:pPr>
              <w:pStyle w:val="Textoindependiente"/>
              <w:jc w:val="center"/>
              <w:rPr>
                <w:b/>
              </w:rPr>
            </w:pPr>
            <w:r w:rsidRPr="00252B70">
              <w:rPr>
                <w:b/>
              </w:rPr>
              <w:t>CUENTA</w:t>
            </w:r>
          </w:p>
        </w:tc>
        <w:tc>
          <w:tcPr>
            <w:tcW w:w="3828" w:type="dxa"/>
          </w:tcPr>
          <w:p w14:paraId="0033AAAF" w14:textId="77777777" w:rsidR="005E5F3C" w:rsidRDefault="005E5F3C" w:rsidP="00D4226B">
            <w:pPr>
              <w:pStyle w:val="Textoindependiente"/>
              <w:jc w:val="center"/>
              <w:rPr>
                <w:b/>
              </w:rPr>
            </w:pPr>
            <w:r w:rsidRPr="00252B70">
              <w:rPr>
                <w:b/>
              </w:rPr>
              <w:t>ESTADO DE SITUACION FINANCIERA</w:t>
            </w:r>
          </w:p>
          <w:p w14:paraId="5927A36F" w14:textId="77777777" w:rsidR="005E5F3C" w:rsidRPr="00252B70" w:rsidRDefault="005E5F3C" w:rsidP="00D4226B">
            <w:pPr>
              <w:pStyle w:val="Textoindependiente"/>
              <w:jc w:val="center"/>
              <w:rPr>
                <w:b/>
              </w:rPr>
            </w:pPr>
            <w:r>
              <w:rPr>
                <w:b/>
              </w:rPr>
              <w:t xml:space="preserve">Pesos </w:t>
            </w:r>
          </w:p>
        </w:tc>
        <w:tc>
          <w:tcPr>
            <w:tcW w:w="4438" w:type="dxa"/>
          </w:tcPr>
          <w:p w14:paraId="60B5CB71" w14:textId="77777777" w:rsidR="005E5F3C" w:rsidRDefault="005E5F3C" w:rsidP="00D4226B">
            <w:pPr>
              <w:pStyle w:val="Textoindependiente"/>
              <w:jc w:val="center"/>
              <w:rPr>
                <w:b/>
              </w:rPr>
            </w:pPr>
            <w:r w:rsidRPr="00252B70">
              <w:rPr>
                <w:b/>
              </w:rPr>
              <w:t>ESTADO DE CAMBIOS EN EL PATRIMONIO</w:t>
            </w:r>
          </w:p>
          <w:p w14:paraId="394A886A" w14:textId="77777777" w:rsidR="005E5F3C" w:rsidRDefault="005E5F3C" w:rsidP="00D4226B">
            <w:pPr>
              <w:pStyle w:val="Textoindependiente"/>
              <w:jc w:val="center"/>
              <w:rPr>
                <w:b/>
              </w:rPr>
            </w:pPr>
            <w:r>
              <w:rPr>
                <w:b/>
              </w:rPr>
              <w:t xml:space="preserve">Pesos </w:t>
            </w:r>
          </w:p>
          <w:p w14:paraId="7B602697" w14:textId="77777777" w:rsidR="005E5F3C" w:rsidRPr="00252B70" w:rsidRDefault="005E5F3C" w:rsidP="00D4226B">
            <w:pPr>
              <w:pStyle w:val="Textoindependiente"/>
              <w:jc w:val="center"/>
              <w:rPr>
                <w:b/>
              </w:rPr>
            </w:pPr>
          </w:p>
        </w:tc>
      </w:tr>
      <w:tr w:rsidR="005E5F3C" w:rsidRPr="00252B70" w14:paraId="798E8E55" w14:textId="77777777" w:rsidTr="00D4226B">
        <w:tc>
          <w:tcPr>
            <w:tcW w:w="1696" w:type="dxa"/>
          </w:tcPr>
          <w:p w14:paraId="76CE3478" w14:textId="77777777" w:rsidR="005E5F3C" w:rsidRPr="00252B70" w:rsidRDefault="005E5F3C" w:rsidP="00D4226B">
            <w:pPr>
              <w:pStyle w:val="Textoindependiente"/>
              <w:jc w:val="both"/>
              <w:rPr>
                <w:bCs/>
              </w:rPr>
            </w:pPr>
            <w:r>
              <w:rPr>
                <w:bCs/>
              </w:rPr>
              <w:t>PATRIMONIO</w:t>
            </w:r>
          </w:p>
        </w:tc>
        <w:tc>
          <w:tcPr>
            <w:tcW w:w="3828" w:type="dxa"/>
          </w:tcPr>
          <w:p w14:paraId="5FBFDF6B" w14:textId="77777777" w:rsidR="005E5F3C" w:rsidRPr="00252B70" w:rsidRDefault="005E5F3C" w:rsidP="00D4226B">
            <w:pPr>
              <w:pStyle w:val="Textoindependiente"/>
              <w:jc w:val="center"/>
              <w:rPr>
                <w:bCs/>
              </w:rPr>
            </w:pPr>
            <w:r>
              <w:rPr>
                <w:bCs/>
              </w:rPr>
              <w:t>29.526.626.331,97</w:t>
            </w:r>
          </w:p>
        </w:tc>
        <w:tc>
          <w:tcPr>
            <w:tcW w:w="4438" w:type="dxa"/>
          </w:tcPr>
          <w:p w14:paraId="5EEB0793" w14:textId="77777777" w:rsidR="005E5F3C" w:rsidRPr="00252B70" w:rsidRDefault="005E5F3C" w:rsidP="00D4226B">
            <w:pPr>
              <w:pStyle w:val="Textoindependiente"/>
              <w:jc w:val="center"/>
              <w:rPr>
                <w:bCs/>
              </w:rPr>
            </w:pPr>
            <w:r>
              <w:rPr>
                <w:bCs/>
              </w:rPr>
              <w:t>27.794.842.249,11</w:t>
            </w:r>
          </w:p>
        </w:tc>
      </w:tr>
    </w:tbl>
    <w:p w14:paraId="54BE0951" w14:textId="77777777" w:rsidR="004962D9" w:rsidRDefault="004962D9" w:rsidP="004962D9">
      <w:pPr>
        <w:ind w:left="-284"/>
        <w:jc w:val="center"/>
        <w:rPr>
          <w:rFonts w:ascii="Arial" w:hAnsi="Arial" w:cs="Arial"/>
          <w:b/>
          <w:sz w:val="28"/>
          <w:szCs w:val="28"/>
          <w:u w:val="single"/>
          <w:lang w:val="es-ES_tradnl"/>
        </w:rPr>
      </w:pPr>
    </w:p>
    <w:p w14:paraId="63A2948F" w14:textId="7FEF5C90" w:rsidR="008C3428" w:rsidRPr="008C3428" w:rsidRDefault="008C3428" w:rsidP="008C3428">
      <w:pPr>
        <w:ind w:left="-284" w:right="-234"/>
        <w:jc w:val="center"/>
        <w:rPr>
          <w:rFonts w:ascii="Arial" w:hAnsi="Arial" w:cs="Arial"/>
          <w:b/>
          <w:sz w:val="28"/>
          <w:szCs w:val="28"/>
          <w:u w:val="single"/>
          <w:lang w:val="es-ES_tradnl"/>
        </w:rPr>
      </w:pPr>
      <w:bookmarkStart w:id="31" w:name="_Hlk210306834"/>
      <w:r w:rsidRPr="008C3428">
        <w:rPr>
          <w:rFonts w:ascii="Arial" w:eastAsia="Calibri" w:hAnsi="Arial" w:cs="Arial"/>
          <w:b/>
          <w:sz w:val="28"/>
          <w:szCs w:val="28"/>
          <w:u w:val="single"/>
          <w:lang w:val="es-ES_tradnl"/>
        </w:rPr>
        <w:t xml:space="preserve">12.- EMPRESAS, ENTIDADES, FONDOS Y PATRIMONIOS AUTÓNOMOS DEL ORDEN NACIONAL QUE LE INFORMARON A LA COMISIÓN LEGAL DE CUENTAS DE LA CÁMARA DE REPRESENTANTES QUE </w:t>
      </w:r>
      <w:r w:rsidRPr="008C3428">
        <w:rPr>
          <w:rFonts w:ascii="Arial" w:hAnsi="Arial" w:cs="Arial"/>
          <w:b/>
          <w:sz w:val="28"/>
          <w:szCs w:val="28"/>
          <w:u w:val="single"/>
          <w:lang w:val="es-ES_tradnl"/>
        </w:rPr>
        <w:t>EL CONSOLIDADOR DE HACIENDA E INFORMACIÓN PÚBLICA - CHIP PRESENTÓ LIMITACIONES A 31 DE DICIEMBRE DE 2024 ASÍ:</w:t>
      </w:r>
    </w:p>
    <w:bookmarkEnd w:id="31"/>
    <w:p w14:paraId="6F2A1B4C" w14:textId="77777777" w:rsidR="008C3428" w:rsidRPr="003F19CF" w:rsidRDefault="008C3428" w:rsidP="008C3428">
      <w:pPr>
        <w:ind w:left="-284" w:right="-234"/>
        <w:jc w:val="both"/>
        <w:rPr>
          <w:rFonts w:ascii="Arial" w:hAnsi="Arial" w:cs="Arial"/>
          <w:sz w:val="28"/>
          <w:szCs w:val="28"/>
        </w:rPr>
      </w:pPr>
    </w:p>
    <w:p w14:paraId="2B1990F8" w14:textId="77777777" w:rsidR="008C3428" w:rsidRDefault="008C3428" w:rsidP="008C3428">
      <w:pPr>
        <w:ind w:left="-284" w:right="-234"/>
        <w:jc w:val="both"/>
        <w:rPr>
          <w:rFonts w:ascii="Arial" w:hAnsi="Arial" w:cs="Arial"/>
          <w:b/>
          <w:sz w:val="28"/>
          <w:szCs w:val="28"/>
          <w:lang w:val="es-MX"/>
        </w:rPr>
      </w:pPr>
      <w:r w:rsidRPr="008F22A4">
        <w:rPr>
          <w:rFonts w:ascii="Arial" w:hAnsi="Arial" w:cs="Arial"/>
          <w:b/>
          <w:sz w:val="28"/>
          <w:szCs w:val="28"/>
          <w:lang w:val="es-MX"/>
        </w:rPr>
        <w:t>1 U.A.E. DIRECCION DE IMPUESTOS Y ADUANAS NACIONALES DIAN – FUNCION RECAUDADORA.</w:t>
      </w:r>
    </w:p>
    <w:p w14:paraId="0EDB45C6" w14:textId="77777777" w:rsidR="008C3428" w:rsidRDefault="008C3428" w:rsidP="008C3428">
      <w:pPr>
        <w:ind w:left="-284" w:right="-234"/>
        <w:jc w:val="both"/>
        <w:rPr>
          <w:rFonts w:ascii="Arial" w:hAnsi="Arial" w:cs="Arial"/>
          <w:b/>
          <w:sz w:val="28"/>
          <w:szCs w:val="28"/>
          <w:lang w:val="es-MX"/>
        </w:rPr>
      </w:pPr>
    </w:p>
    <w:tbl>
      <w:tblPr>
        <w:tblStyle w:val="Tablaconcuadrcula"/>
        <w:tblW w:w="10491" w:type="dxa"/>
        <w:jc w:val="center"/>
        <w:tblLook w:val="04A0" w:firstRow="1" w:lastRow="0" w:firstColumn="1" w:lastColumn="0" w:noHBand="0" w:noVBand="1"/>
      </w:tblPr>
      <w:tblGrid>
        <w:gridCol w:w="988"/>
        <w:gridCol w:w="4139"/>
        <w:gridCol w:w="5364"/>
      </w:tblGrid>
      <w:tr w:rsidR="008C3428" w:rsidRPr="008F22A4" w14:paraId="044F4D37" w14:textId="77777777" w:rsidTr="00F1223B">
        <w:trPr>
          <w:jc w:val="center"/>
        </w:trPr>
        <w:tc>
          <w:tcPr>
            <w:tcW w:w="988" w:type="dxa"/>
          </w:tcPr>
          <w:p w14:paraId="0D1081F1"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N°</w:t>
            </w:r>
          </w:p>
        </w:tc>
        <w:tc>
          <w:tcPr>
            <w:tcW w:w="4139" w:type="dxa"/>
          </w:tcPr>
          <w:p w14:paraId="4D55B931"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Limitaciones del Sistema CHIP</w:t>
            </w:r>
          </w:p>
          <w:p w14:paraId="6CAE60F1"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 xml:space="preserve"> a 31/12/202</w:t>
            </w:r>
            <w:r>
              <w:rPr>
                <w:rFonts w:ascii="Arial" w:hAnsi="Arial" w:cs="Arial"/>
                <w:b/>
              </w:rPr>
              <w:t>4</w:t>
            </w:r>
          </w:p>
          <w:p w14:paraId="78C9FD13" w14:textId="77777777" w:rsidR="008C3428" w:rsidRPr="008F22A4" w:rsidRDefault="008C3428" w:rsidP="00F1223B">
            <w:pPr>
              <w:tabs>
                <w:tab w:val="left" w:pos="875"/>
              </w:tabs>
              <w:ind w:right="-50"/>
              <w:jc w:val="center"/>
              <w:rPr>
                <w:rFonts w:ascii="Arial" w:hAnsi="Arial" w:cs="Arial"/>
                <w:b/>
              </w:rPr>
            </w:pPr>
          </w:p>
        </w:tc>
        <w:tc>
          <w:tcPr>
            <w:tcW w:w="5364" w:type="dxa"/>
            <w:vAlign w:val="center"/>
          </w:tcPr>
          <w:p w14:paraId="77FEC819"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Descripción de la limitación</w:t>
            </w:r>
          </w:p>
        </w:tc>
      </w:tr>
      <w:tr w:rsidR="008C3428" w:rsidRPr="008F22A4" w14:paraId="7E034BE7" w14:textId="77777777" w:rsidTr="00F1223B">
        <w:trPr>
          <w:jc w:val="center"/>
        </w:trPr>
        <w:tc>
          <w:tcPr>
            <w:tcW w:w="988" w:type="dxa"/>
          </w:tcPr>
          <w:p w14:paraId="7151DA45" w14:textId="77777777" w:rsidR="008C3428" w:rsidRPr="008F22A4" w:rsidRDefault="008C3428" w:rsidP="00F1223B">
            <w:pPr>
              <w:tabs>
                <w:tab w:val="left" w:pos="875"/>
              </w:tabs>
              <w:ind w:right="-50"/>
              <w:jc w:val="center"/>
              <w:rPr>
                <w:rFonts w:ascii="Arial" w:hAnsi="Arial" w:cs="Arial"/>
                <w:b/>
                <w:bCs/>
              </w:rPr>
            </w:pPr>
            <w:r w:rsidRPr="008F22A4">
              <w:rPr>
                <w:rFonts w:ascii="Arial" w:hAnsi="Arial" w:cs="Arial"/>
                <w:b/>
                <w:bCs/>
              </w:rPr>
              <w:t>1</w:t>
            </w:r>
          </w:p>
        </w:tc>
        <w:tc>
          <w:tcPr>
            <w:tcW w:w="4139" w:type="dxa"/>
          </w:tcPr>
          <w:p w14:paraId="6C2F781C" w14:textId="77777777" w:rsidR="008C3428" w:rsidRPr="008F22A4" w:rsidRDefault="008C3428" w:rsidP="00F1223B">
            <w:pPr>
              <w:tabs>
                <w:tab w:val="left" w:pos="875"/>
              </w:tabs>
              <w:ind w:right="-50"/>
              <w:jc w:val="both"/>
              <w:rPr>
                <w:rFonts w:ascii="Arial" w:hAnsi="Arial" w:cs="Arial"/>
                <w:b/>
                <w:bCs/>
              </w:rPr>
            </w:pPr>
            <w:r w:rsidRPr="008F22A4">
              <w:rPr>
                <w:rFonts w:ascii="Arial" w:hAnsi="Arial" w:cs="Arial"/>
                <w:b/>
                <w:bCs/>
              </w:rPr>
              <w:t>Operativas:</w:t>
            </w:r>
          </w:p>
        </w:tc>
        <w:tc>
          <w:tcPr>
            <w:tcW w:w="5364" w:type="dxa"/>
          </w:tcPr>
          <w:p w14:paraId="741FAB80" w14:textId="77777777" w:rsidR="008C3428" w:rsidRPr="008F22A4" w:rsidRDefault="008C3428" w:rsidP="00F1223B">
            <w:pPr>
              <w:tabs>
                <w:tab w:val="left" w:pos="875"/>
              </w:tabs>
              <w:ind w:right="-50"/>
              <w:jc w:val="both"/>
              <w:rPr>
                <w:rFonts w:ascii="Arial" w:hAnsi="Arial" w:cs="Arial"/>
              </w:rPr>
            </w:pPr>
            <w:r w:rsidRPr="008F22A4">
              <w:rPr>
                <w:rFonts w:ascii="Arial" w:hAnsi="Arial" w:cs="Arial"/>
              </w:rPr>
              <w:t>Desde el año 2018 para transmitir el Formulario de operaciones recíprocas, todos los trimestres se deben solicitar a la Contaduría General de la Nación unos actualizadores para instalarlos en el aplicativo CHIP, que permiten transmitir los registros en las cuentas 5.7.22.01 y 5.7.22.07 sin que la suma de estos sea igual al saldo final del formulario “CGN2015_001_Saldos_y_Moviemientos_Convergencia”, debido a que hay entidades que la Contaduría de la Nación no requiere sean reportadas.  En este aspecto, la DIAN ha solicitado a la Contaduría General de la Nación que la actualización se implemente de forma definitiva en la herramienta CHIP.  A la fecha se espera la implementación.</w:t>
            </w:r>
          </w:p>
        </w:tc>
      </w:tr>
      <w:tr w:rsidR="008C3428" w:rsidRPr="008F22A4" w14:paraId="1848B3E4" w14:textId="77777777" w:rsidTr="00F1223B">
        <w:trPr>
          <w:jc w:val="center"/>
        </w:trPr>
        <w:tc>
          <w:tcPr>
            <w:tcW w:w="988" w:type="dxa"/>
          </w:tcPr>
          <w:p w14:paraId="5F83C73D" w14:textId="77777777" w:rsidR="008C3428" w:rsidRPr="008F22A4" w:rsidRDefault="008C3428" w:rsidP="00F1223B">
            <w:pPr>
              <w:tabs>
                <w:tab w:val="left" w:pos="875"/>
              </w:tabs>
              <w:ind w:right="-50"/>
              <w:jc w:val="center"/>
              <w:rPr>
                <w:rFonts w:ascii="Arial" w:hAnsi="Arial" w:cs="Arial"/>
                <w:b/>
                <w:bCs/>
              </w:rPr>
            </w:pPr>
            <w:r w:rsidRPr="008F22A4">
              <w:rPr>
                <w:rFonts w:ascii="Arial" w:hAnsi="Arial" w:cs="Arial"/>
                <w:b/>
                <w:bCs/>
              </w:rPr>
              <w:t>2</w:t>
            </w:r>
          </w:p>
        </w:tc>
        <w:tc>
          <w:tcPr>
            <w:tcW w:w="4139" w:type="dxa"/>
          </w:tcPr>
          <w:p w14:paraId="5D7F65C5" w14:textId="77777777" w:rsidR="008C3428" w:rsidRPr="008F22A4" w:rsidRDefault="008C3428" w:rsidP="00F1223B">
            <w:pPr>
              <w:tabs>
                <w:tab w:val="left" w:pos="875"/>
              </w:tabs>
              <w:ind w:right="-50"/>
              <w:jc w:val="both"/>
              <w:rPr>
                <w:rFonts w:ascii="Arial" w:hAnsi="Arial" w:cs="Arial"/>
                <w:b/>
                <w:bCs/>
              </w:rPr>
            </w:pPr>
            <w:r w:rsidRPr="008F22A4">
              <w:rPr>
                <w:rFonts w:ascii="Arial" w:hAnsi="Arial" w:cs="Arial"/>
                <w:b/>
                <w:bCs/>
              </w:rPr>
              <w:t>Soporte a la plataforma:</w:t>
            </w:r>
          </w:p>
        </w:tc>
        <w:tc>
          <w:tcPr>
            <w:tcW w:w="5364" w:type="dxa"/>
          </w:tcPr>
          <w:p w14:paraId="7B702502" w14:textId="77777777" w:rsidR="008C3428" w:rsidRPr="008F22A4" w:rsidRDefault="008C3428" w:rsidP="00F1223B">
            <w:pPr>
              <w:tabs>
                <w:tab w:val="left" w:pos="875"/>
              </w:tabs>
              <w:ind w:right="-50"/>
              <w:jc w:val="both"/>
              <w:rPr>
                <w:rFonts w:ascii="Arial" w:hAnsi="Arial" w:cs="Arial"/>
              </w:rPr>
            </w:pPr>
            <w:r w:rsidRPr="008F22A4">
              <w:rPr>
                <w:rFonts w:ascii="Arial" w:hAnsi="Arial" w:cs="Arial"/>
              </w:rPr>
              <w:t>Se presentó error en la validación del formulario de Operaciones Recíprocas debido a que el CHIP no acepta reportar el código de consolidación 828400000 Dian función pagadora para reportar saldo en la cuenta 472201, situación que originó que la Contaduría General de la Nación remitiera un actualizador que levantara la restricción que tenía el aplicativo CHIP para ese código de entidad y así lograr la transmisión de forma exitosa.</w:t>
            </w:r>
          </w:p>
        </w:tc>
      </w:tr>
    </w:tbl>
    <w:p w14:paraId="3829F68A" w14:textId="77777777" w:rsidR="008C3428" w:rsidRDefault="008C3428" w:rsidP="008C3428">
      <w:pPr>
        <w:ind w:left="-284" w:right="-234"/>
        <w:jc w:val="both"/>
        <w:rPr>
          <w:rFonts w:ascii="Arial" w:hAnsi="Arial" w:cs="Arial"/>
          <w:b/>
          <w:sz w:val="28"/>
          <w:szCs w:val="28"/>
        </w:rPr>
      </w:pPr>
    </w:p>
    <w:p w14:paraId="3CE3D543" w14:textId="77777777" w:rsidR="008C3428" w:rsidRPr="00E4710E" w:rsidRDefault="008C3428" w:rsidP="008C3428">
      <w:pPr>
        <w:ind w:left="-284" w:right="-234"/>
        <w:jc w:val="both"/>
        <w:rPr>
          <w:rFonts w:ascii="Arial" w:hAnsi="Arial" w:cs="Arial"/>
          <w:b/>
          <w:sz w:val="28"/>
          <w:szCs w:val="28"/>
          <w:lang w:val="es-MX"/>
        </w:rPr>
      </w:pPr>
      <w:r w:rsidRPr="00E4710E">
        <w:rPr>
          <w:rFonts w:ascii="Arial" w:hAnsi="Arial" w:cs="Arial"/>
          <w:b/>
          <w:sz w:val="28"/>
          <w:szCs w:val="28"/>
          <w:lang w:val="es-MX"/>
        </w:rPr>
        <w:t>5.- UNIDAD ADMINISTRATIVA ESPECIAL DEL SERVICIO PÚBLICO DE EMPLEO.</w:t>
      </w:r>
    </w:p>
    <w:p w14:paraId="0B794FF9" w14:textId="77777777" w:rsidR="008C3428" w:rsidRDefault="008C3428" w:rsidP="008C3428">
      <w:pPr>
        <w:ind w:left="-284" w:right="-234"/>
        <w:jc w:val="both"/>
        <w:rPr>
          <w:rFonts w:ascii="Arial" w:hAnsi="Arial" w:cs="Arial"/>
          <w:b/>
          <w:sz w:val="28"/>
          <w:szCs w:val="28"/>
          <w:lang w:val="es-MX"/>
        </w:rPr>
      </w:pPr>
    </w:p>
    <w:tbl>
      <w:tblPr>
        <w:tblStyle w:val="Tablaconcuadrcula"/>
        <w:tblW w:w="10491" w:type="dxa"/>
        <w:jc w:val="center"/>
        <w:tblLook w:val="04A0" w:firstRow="1" w:lastRow="0" w:firstColumn="1" w:lastColumn="0" w:noHBand="0" w:noVBand="1"/>
      </w:tblPr>
      <w:tblGrid>
        <w:gridCol w:w="988"/>
        <w:gridCol w:w="4110"/>
        <w:gridCol w:w="5393"/>
      </w:tblGrid>
      <w:tr w:rsidR="008C3428" w:rsidRPr="00E4710E" w14:paraId="27723FFB" w14:textId="77777777" w:rsidTr="00F1223B">
        <w:trPr>
          <w:jc w:val="center"/>
        </w:trPr>
        <w:tc>
          <w:tcPr>
            <w:tcW w:w="988" w:type="dxa"/>
          </w:tcPr>
          <w:p w14:paraId="47FDB4C2" w14:textId="77777777" w:rsidR="008C3428" w:rsidRPr="00E4710E" w:rsidRDefault="008C3428" w:rsidP="00F1223B">
            <w:pPr>
              <w:tabs>
                <w:tab w:val="left" w:pos="875"/>
              </w:tabs>
              <w:ind w:right="-50"/>
              <w:jc w:val="center"/>
              <w:rPr>
                <w:rFonts w:ascii="Arial" w:hAnsi="Arial" w:cs="Arial"/>
                <w:b/>
              </w:rPr>
            </w:pPr>
            <w:r w:rsidRPr="00E4710E">
              <w:rPr>
                <w:rFonts w:ascii="Arial" w:hAnsi="Arial" w:cs="Arial"/>
                <w:b/>
              </w:rPr>
              <w:lastRenderedPageBreak/>
              <w:t>N°</w:t>
            </w:r>
          </w:p>
        </w:tc>
        <w:tc>
          <w:tcPr>
            <w:tcW w:w="4110" w:type="dxa"/>
          </w:tcPr>
          <w:p w14:paraId="6B0C643F" w14:textId="77777777" w:rsidR="008C3428" w:rsidRPr="00E4710E" w:rsidRDefault="008C3428" w:rsidP="00F1223B">
            <w:pPr>
              <w:tabs>
                <w:tab w:val="left" w:pos="875"/>
              </w:tabs>
              <w:ind w:right="-50"/>
              <w:jc w:val="center"/>
              <w:rPr>
                <w:rFonts w:ascii="Arial" w:hAnsi="Arial" w:cs="Arial"/>
                <w:b/>
              </w:rPr>
            </w:pPr>
            <w:r w:rsidRPr="00E4710E">
              <w:rPr>
                <w:rFonts w:ascii="Arial" w:hAnsi="Arial" w:cs="Arial"/>
                <w:b/>
              </w:rPr>
              <w:t>Limitaciones del Sistema CHIP</w:t>
            </w:r>
          </w:p>
          <w:p w14:paraId="556EA2B2" w14:textId="77777777" w:rsidR="008C3428" w:rsidRPr="00E4710E" w:rsidRDefault="008C3428" w:rsidP="00F1223B">
            <w:pPr>
              <w:tabs>
                <w:tab w:val="left" w:pos="875"/>
              </w:tabs>
              <w:ind w:right="-50"/>
              <w:jc w:val="center"/>
              <w:rPr>
                <w:rFonts w:ascii="Arial" w:hAnsi="Arial" w:cs="Arial"/>
                <w:b/>
              </w:rPr>
            </w:pPr>
            <w:r w:rsidRPr="00E4710E">
              <w:rPr>
                <w:rFonts w:ascii="Arial" w:hAnsi="Arial" w:cs="Arial"/>
                <w:b/>
              </w:rPr>
              <w:t xml:space="preserve"> a 31/12/2023</w:t>
            </w:r>
          </w:p>
          <w:p w14:paraId="10647064" w14:textId="77777777" w:rsidR="008C3428" w:rsidRPr="00E4710E" w:rsidRDefault="008C3428" w:rsidP="00F1223B">
            <w:pPr>
              <w:tabs>
                <w:tab w:val="left" w:pos="875"/>
              </w:tabs>
              <w:ind w:right="-50"/>
              <w:jc w:val="center"/>
              <w:rPr>
                <w:rFonts w:ascii="Arial" w:hAnsi="Arial" w:cs="Arial"/>
                <w:b/>
              </w:rPr>
            </w:pPr>
          </w:p>
        </w:tc>
        <w:tc>
          <w:tcPr>
            <w:tcW w:w="5393" w:type="dxa"/>
            <w:vAlign w:val="center"/>
          </w:tcPr>
          <w:p w14:paraId="78386B1D" w14:textId="77777777" w:rsidR="008C3428" w:rsidRPr="00E4710E" w:rsidRDefault="008C3428" w:rsidP="00F1223B">
            <w:pPr>
              <w:tabs>
                <w:tab w:val="left" w:pos="875"/>
              </w:tabs>
              <w:ind w:right="-50"/>
              <w:jc w:val="center"/>
              <w:rPr>
                <w:rFonts w:ascii="Arial" w:hAnsi="Arial" w:cs="Arial"/>
                <w:b/>
              </w:rPr>
            </w:pPr>
            <w:r w:rsidRPr="00E4710E">
              <w:rPr>
                <w:rFonts w:ascii="Arial" w:hAnsi="Arial" w:cs="Arial"/>
                <w:b/>
              </w:rPr>
              <w:t>Descripción de la limitación</w:t>
            </w:r>
          </w:p>
        </w:tc>
      </w:tr>
      <w:tr w:rsidR="008C3428" w:rsidRPr="00E4710E" w14:paraId="3389B5CB" w14:textId="77777777" w:rsidTr="00F1223B">
        <w:trPr>
          <w:jc w:val="center"/>
        </w:trPr>
        <w:tc>
          <w:tcPr>
            <w:tcW w:w="988" w:type="dxa"/>
          </w:tcPr>
          <w:p w14:paraId="650D512E" w14:textId="77777777" w:rsidR="008C3428" w:rsidRPr="00E4710E" w:rsidRDefault="008C3428" w:rsidP="00F1223B">
            <w:pPr>
              <w:tabs>
                <w:tab w:val="left" w:pos="875"/>
              </w:tabs>
              <w:ind w:right="-50"/>
              <w:jc w:val="center"/>
              <w:rPr>
                <w:rFonts w:ascii="Arial" w:hAnsi="Arial" w:cs="Arial"/>
                <w:b/>
                <w:bCs/>
              </w:rPr>
            </w:pPr>
            <w:r w:rsidRPr="00E4710E">
              <w:rPr>
                <w:rFonts w:ascii="Arial" w:hAnsi="Arial" w:cs="Arial"/>
                <w:b/>
                <w:bCs/>
              </w:rPr>
              <w:t>1</w:t>
            </w:r>
          </w:p>
        </w:tc>
        <w:tc>
          <w:tcPr>
            <w:tcW w:w="4110" w:type="dxa"/>
          </w:tcPr>
          <w:p w14:paraId="4AF0391D" w14:textId="77777777" w:rsidR="008C3428" w:rsidRPr="00E4710E" w:rsidRDefault="008C3428" w:rsidP="00F1223B">
            <w:pPr>
              <w:tabs>
                <w:tab w:val="left" w:pos="875"/>
              </w:tabs>
              <w:ind w:right="-50"/>
              <w:jc w:val="both"/>
              <w:rPr>
                <w:rFonts w:ascii="Arial" w:hAnsi="Arial" w:cs="Arial"/>
                <w:b/>
                <w:bCs/>
              </w:rPr>
            </w:pPr>
            <w:r w:rsidRPr="00E4710E">
              <w:rPr>
                <w:rFonts w:ascii="Arial" w:hAnsi="Arial" w:cs="Arial"/>
                <w:b/>
                <w:bCs/>
              </w:rPr>
              <w:t>Soporte a la plataforma:</w:t>
            </w:r>
          </w:p>
        </w:tc>
        <w:tc>
          <w:tcPr>
            <w:tcW w:w="5393" w:type="dxa"/>
          </w:tcPr>
          <w:p w14:paraId="7CCBDA7C" w14:textId="77777777" w:rsidR="008C3428" w:rsidRPr="00E4710E" w:rsidRDefault="008C3428" w:rsidP="00F1223B">
            <w:pPr>
              <w:tabs>
                <w:tab w:val="left" w:pos="875"/>
              </w:tabs>
              <w:ind w:right="-50"/>
              <w:jc w:val="both"/>
              <w:rPr>
                <w:rFonts w:ascii="Arial" w:hAnsi="Arial" w:cs="Arial"/>
              </w:rPr>
            </w:pPr>
            <w:r w:rsidRPr="00E4710E">
              <w:rPr>
                <w:rFonts w:ascii="Arial" w:hAnsi="Arial" w:cs="Arial"/>
              </w:rPr>
              <w:t>La Contaduría General de la Nación, realizó mantenimiento preventivo al aplicativo CHIP el 18 de febrero de 2025 y lanzó una nueva versión 2.4.14.0 el 20 de febrero, lo cual obligó a volver a transmitir los tres archivos para el cierre 2024, saldos y movimientos, recíprocas y variaciones significativas en el momento de transmitir las notas a los Estados Financieros, estas actualizaciones cercanas a la fecha límite genera traumatismos y reprocesos.</w:t>
            </w:r>
          </w:p>
        </w:tc>
      </w:tr>
      <w:tr w:rsidR="008C3428" w:rsidRPr="00E4710E" w14:paraId="292F5561" w14:textId="77777777" w:rsidTr="00F1223B">
        <w:trPr>
          <w:jc w:val="center"/>
        </w:trPr>
        <w:tc>
          <w:tcPr>
            <w:tcW w:w="988" w:type="dxa"/>
          </w:tcPr>
          <w:p w14:paraId="450FF234" w14:textId="77777777" w:rsidR="008C3428" w:rsidRPr="00E4710E" w:rsidRDefault="008C3428" w:rsidP="00F1223B">
            <w:pPr>
              <w:tabs>
                <w:tab w:val="left" w:pos="875"/>
              </w:tabs>
              <w:ind w:right="-50"/>
              <w:jc w:val="center"/>
              <w:rPr>
                <w:rFonts w:ascii="Arial" w:hAnsi="Arial" w:cs="Arial"/>
                <w:b/>
                <w:bCs/>
              </w:rPr>
            </w:pPr>
            <w:r w:rsidRPr="00E4710E">
              <w:rPr>
                <w:rFonts w:ascii="Arial" w:hAnsi="Arial" w:cs="Arial"/>
                <w:b/>
                <w:bCs/>
              </w:rPr>
              <w:t>2</w:t>
            </w:r>
          </w:p>
        </w:tc>
        <w:tc>
          <w:tcPr>
            <w:tcW w:w="4110" w:type="dxa"/>
          </w:tcPr>
          <w:p w14:paraId="0FCB9D58" w14:textId="77777777" w:rsidR="008C3428" w:rsidRPr="00E4710E" w:rsidRDefault="008C3428" w:rsidP="00F1223B">
            <w:pPr>
              <w:tabs>
                <w:tab w:val="left" w:pos="875"/>
              </w:tabs>
              <w:ind w:right="-50"/>
              <w:jc w:val="both"/>
              <w:rPr>
                <w:rFonts w:ascii="Arial" w:hAnsi="Arial" w:cs="Arial"/>
                <w:b/>
                <w:bCs/>
              </w:rPr>
            </w:pPr>
            <w:r w:rsidRPr="00E4710E">
              <w:rPr>
                <w:rFonts w:ascii="Arial" w:hAnsi="Arial" w:cs="Arial"/>
                <w:b/>
                <w:bCs/>
              </w:rPr>
              <w:t>Otras:</w:t>
            </w:r>
          </w:p>
        </w:tc>
        <w:tc>
          <w:tcPr>
            <w:tcW w:w="5393" w:type="dxa"/>
          </w:tcPr>
          <w:p w14:paraId="115FF464" w14:textId="77777777" w:rsidR="008C3428" w:rsidRPr="00E4710E" w:rsidRDefault="008C3428" w:rsidP="00F1223B">
            <w:pPr>
              <w:tabs>
                <w:tab w:val="left" w:pos="875"/>
              </w:tabs>
              <w:ind w:right="-50"/>
              <w:jc w:val="both"/>
              <w:rPr>
                <w:rFonts w:ascii="Arial" w:hAnsi="Arial" w:cs="Arial"/>
              </w:rPr>
            </w:pPr>
            <w:r w:rsidRPr="00E4710E">
              <w:rPr>
                <w:rFonts w:ascii="Arial" w:hAnsi="Arial" w:cs="Arial"/>
              </w:rPr>
              <w:t>Para el cierre de la vigencia 2024 fue muy corto el tiempo entre el cierre del SIIF y la fecha de reporte de la información por el aplicativo CHIP.</w:t>
            </w:r>
          </w:p>
        </w:tc>
      </w:tr>
    </w:tbl>
    <w:p w14:paraId="17EB34CB" w14:textId="77777777" w:rsidR="008C3428" w:rsidRDefault="008C3428" w:rsidP="008C3428">
      <w:pPr>
        <w:ind w:left="-284" w:right="-234"/>
        <w:jc w:val="both"/>
        <w:rPr>
          <w:rFonts w:ascii="Arial" w:hAnsi="Arial" w:cs="Arial"/>
          <w:b/>
          <w:sz w:val="28"/>
          <w:szCs w:val="28"/>
        </w:rPr>
      </w:pPr>
    </w:p>
    <w:p w14:paraId="35551F52" w14:textId="77777777" w:rsidR="008C3428" w:rsidRPr="000625D5" w:rsidRDefault="008C3428" w:rsidP="008C3428">
      <w:pPr>
        <w:ind w:left="-284" w:right="-234"/>
        <w:jc w:val="both"/>
        <w:rPr>
          <w:rFonts w:ascii="Arial" w:hAnsi="Arial" w:cs="Arial"/>
          <w:b/>
          <w:sz w:val="32"/>
          <w:szCs w:val="32"/>
        </w:rPr>
      </w:pPr>
      <w:r w:rsidRPr="000625D5">
        <w:rPr>
          <w:rFonts w:ascii="Arial" w:hAnsi="Arial" w:cs="Arial"/>
          <w:b/>
          <w:sz w:val="28"/>
          <w:szCs w:val="28"/>
          <w:lang w:val="es-MX"/>
        </w:rPr>
        <w:t xml:space="preserve">46.- </w:t>
      </w:r>
      <w:r w:rsidRPr="000625D5">
        <w:rPr>
          <w:rFonts w:ascii="Arial" w:hAnsi="Arial" w:cs="Arial"/>
          <w:b/>
          <w:sz w:val="28"/>
          <w:szCs w:val="28"/>
        </w:rPr>
        <w:t>MINISTERIO DE TECNOLOGÍAS DE LA INFORMACIÓN Y LAS COMUNICACIONES – MINTIC.</w:t>
      </w:r>
    </w:p>
    <w:p w14:paraId="1D9F62E2" w14:textId="77777777" w:rsidR="008C3428" w:rsidRDefault="008C3428" w:rsidP="008C3428">
      <w:pPr>
        <w:ind w:left="-284" w:right="-234"/>
        <w:jc w:val="both"/>
        <w:rPr>
          <w:rFonts w:ascii="Arial" w:hAnsi="Arial" w:cs="Arial"/>
          <w:b/>
          <w:sz w:val="28"/>
          <w:szCs w:val="28"/>
        </w:rPr>
      </w:pPr>
    </w:p>
    <w:tbl>
      <w:tblPr>
        <w:tblStyle w:val="Tablaconcuadrcula"/>
        <w:tblW w:w="10491" w:type="dxa"/>
        <w:jc w:val="center"/>
        <w:tblLook w:val="04A0" w:firstRow="1" w:lastRow="0" w:firstColumn="1" w:lastColumn="0" w:noHBand="0" w:noVBand="1"/>
      </w:tblPr>
      <w:tblGrid>
        <w:gridCol w:w="988"/>
        <w:gridCol w:w="4110"/>
        <w:gridCol w:w="5393"/>
      </w:tblGrid>
      <w:tr w:rsidR="008C3428" w:rsidRPr="000625D5" w14:paraId="03EE09E7" w14:textId="77777777" w:rsidTr="00F1223B">
        <w:trPr>
          <w:jc w:val="center"/>
        </w:trPr>
        <w:tc>
          <w:tcPr>
            <w:tcW w:w="988" w:type="dxa"/>
          </w:tcPr>
          <w:p w14:paraId="06A146A1" w14:textId="77777777" w:rsidR="008C3428" w:rsidRPr="000625D5" w:rsidRDefault="008C3428" w:rsidP="00F1223B">
            <w:pPr>
              <w:tabs>
                <w:tab w:val="left" w:pos="875"/>
              </w:tabs>
              <w:ind w:right="-50"/>
              <w:jc w:val="center"/>
              <w:rPr>
                <w:rFonts w:ascii="Arial" w:hAnsi="Arial" w:cs="Arial"/>
                <w:b/>
              </w:rPr>
            </w:pPr>
            <w:r w:rsidRPr="000625D5">
              <w:rPr>
                <w:rFonts w:ascii="Arial" w:hAnsi="Arial" w:cs="Arial"/>
                <w:b/>
              </w:rPr>
              <w:t>N°</w:t>
            </w:r>
          </w:p>
        </w:tc>
        <w:tc>
          <w:tcPr>
            <w:tcW w:w="4110" w:type="dxa"/>
          </w:tcPr>
          <w:p w14:paraId="741F4FBF" w14:textId="77777777" w:rsidR="008C3428" w:rsidRPr="000625D5" w:rsidRDefault="008C3428" w:rsidP="00F1223B">
            <w:pPr>
              <w:tabs>
                <w:tab w:val="left" w:pos="875"/>
              </w:tabs>
              <w:ind w:right="-50"/>
              <w:jc w:val="center"/>
              <w:rPr>
                <w:rFonts w:ascii="Arial" w:hAnsi="Arial" w:cs="Arial"/>
                <w:b/>
              </w:rPr>
            </w:pPr>
            <w:r w:rsidRPr="000625D5">
              <w:rPr>
                <w:rFonts w:ascii="Arial" w:hAnsi="Arial" w:cs="Arial"/>
                <w:b/>
              </w:rPr>
              <w:t>Limitaciones del Sistema CHIP</w:t>
            </w:r>
          </w:p>
          <w:p w14:paraId="70435A9B" w14:textId="77777777" w:rsidR="008C3428" w:rsidRPr="000625D5" w:rsidRDefault="008C3428" w:rsidP="00F1223B">
            <w:pPr>
              <w:tabs>
                <w:tab w:val="left" w:pos="875"/>
              </w:tabs>
              <w:ind w:right="-50"/>
              <w:jc w:val="center"/>
              <w:rPr>
                <w:rFonts w:ascii="Arial" w:hAnsi="Arial" w:cs="Arial"/>
                <w:b/>
              </w:rPr>
            </w:pPr>
            <w:r w:rsidRPr="000625D5">
              <w:rPr>
                <w:rFonts w:ascii="Arial" w:hAnsi="Arial" w:cs="Arial"/>
                <w:b/>
              </w:rPr>
              <w:t xml:space="preserve"> a 31/12/2023</w:t>
            </w:r>
          </w:p>
          <w:p w14:paraId="62F7CED6" w14:textId="77777777" w:rsidR="008C3428" w:rsidRPr="000625D5" w:rsidRDefault="008C3428" w:rsidP="00F1223B">
            <w:pPr>
              <w:tabs>
                <w:tab w:val="left" w:pos="875"/>
              </w:tabs>
              <w:ind w:right="-50"/>
              <w:jc w:val="center"/>
              <w:rPr>
                <w:rFonts w:ascii="Arial" w:hAnsi="Arial" w:cs="Arial"/>
                <w:b/>
              </w:rPr>
            </w:pPr>
          </w:p>
        </w:tc>
        <w:tc>
          <w:tcPr>
            <w:tcW w:w="5393" w:type="dxa"/>
            <w:vAlign w:val="center"/>
          </w:tcPr>
          <w:p w14:paraId="57C6E28C" w14:textId="77777777" w:rsidR="008C3428" w:rsidRPr="000625D5" w:rsidRDefault="008C3428" w:rsidP="00F1223B">
            <w:pPr>
              <w:tabs>
                <w:tab w:val="left" w:pos="875"/>
              </w:tabs>
              <w:ind w:right="-50"/>
              <w:jc w:val="center"/>
              <w:rPr>
                <w:rFonts w:ascii="Arial" w:hAnsi="Arial" w:cs="Arial"/>
                <w:b/>
              </w:rPr>
            </w:pPr>
            <w:r w:rsidRPr="000625D5">
              <w:rPr>
                <w:rFonts w:ascii="Arial" w:hAnsi="Arial" w:cs="Arial"/>
                <w:b/>
              </w:rPr>
              <w:t>Descripción de la limitación</w:t>
            </w:r>
          </w:p>
        </w:tc>
      </w:tr>
      <w:tr w:rsidR="008C3428" w:rsidRPr="000625D5" w14:paraId="6E8F96C7" w14:textId="77777777" w:rsidTr="00F1223B">
        <w:trPr>
          <w:jc w:val="center"/>
        </w:trPr>
        <w:tc>
          <w:tcPr>
            <w:tcW w:w="988" w:type="dxa"/>
          </w:tcPr>
          <w:p w14:paraId="5DFE8BC1" w14:textId="77777777" w:rsidR="008C3428" w:rsidRPr="000625D5" w:rsidRDefault="008C3428" w:rsidP="00F1223B">
            <w:pPr>
              <w:tabs>
                <w:tab w:val="left" w:pos="875"/>
              </w:tabs>
              <w:ind w:right="-50"/>
              <w:jc w:val="center"/>
              <w:rPr>
                <w:rFonts w:ascii="Arial" w:hAnsi="Arial" w:cs="Arial"/>
                <w:b/>
                <w:bCs/>
              </w:rPr>
            </w:pPr>
            <w:r w:rsidRPr="000625D5">
              <w:rPr>
                <w:rFonts w:ascii="Arial" w:hAnsi="Arial" w:cs="Arial"/>
                <w:b/>
                <w:bCs/>
              </w:rPr>
              <w:t>1</w:t>
            </w:r>
          </w:p>
        </w:tc>
        <w:tc>
          <w:tcPr>
            <w:tcW w:w="4110" w:type="dxa"/>
          </w:tcPr>
          <w:p w14:paraId="094444BB" w14:textId="77777777" w:rsidR="008C3428" w:rsidRPr="000625D5" w:rsidRDefault="008C3428" w:rsidP="00F1223B">
            <w:pPr>
              <w:tabs>
                <w:tab w:val="left" w:pos="875"/>
              </w:tabs>
              <w:ind w:right="-50"/>
              <w:jc w:val="both"/>
              <w:rPr>
                <w:rFonts w:ascii="Arial" w:hAnsi="Arial" w:cs="Arial"/>
                <w:b/>
                <w:bCs/>
              </w:rPr>
            </w:pPr>
            <w:r w:rsidRPr="000625D5">
              <w:rPr>
                <w:rFonts w:ascii="Arial" w:hAnsi="Arial" w:cs="Arial"/>
                <w:b/>
                <w:bCs/>
              </w:rPr>
              <w:t>Operativas:</w:t>
            </w:r>
          </w:p>
        </w:tc>
        <w:tc>
          <w:tcPr>
            <w:tcW w:w="5393" w:type="dxa"/>
          </w:tcPr>
          <w:p w14:paraId="1B0D76B4" w14:textId="77777777" w:rsidR="008C3428" w:rsidRPr="000625D5" w:rsidRDefault="008C3428" w:rsidP="00F1223B">
            <w:pPr>
              <w:tabs>
                <w:tab w:val="left" w:pos="875"/>
              </w:tabs>
              <w:ind w:right="-50"/>
              <w:jc w:val="both"/>
              <w:rPr>
                <w:rFonts w:ascii="Arial" w:hAnsi="Arial" w:cs="Arial"/>
              </w:rPr>
            </w:pPr>
            <w:r w:rsidRPr="000625D5">
              <w:rPr>
                <w:rFonts w:ascii="Arial" w:hAnsi="Arial" w:cs="Arial"/>
              </w:rPr>
              <w:t>En el reporte de Operaciones Recíprocas con los Canales Regionales por Inversión Patrimonial que el Ministerio TIC posee en ellos, se presenta diferencia al finalizar la vigencia porque no carga el resultado del periodo, que es un proceso automático que realiza directamente la Contaduría General de la Nación con base en el porcentaje de participación que le remite cada canal al CHIP.</w:t>
            </w:r>
          </w:p>
        </w:tc>
      </w:tr>
    </w:tbl>
    <w:p w14:paraId="159843C3" w14:textId="77777777" w:rsidR="008C3428" w:rsidRDefault="008C3428" w:rsidP="008C3428">
      <w:pPr>
        <w:ind w:left="-284" w:right="-234"/>
        <w:jc w:val="both"/>
        <w:rPr>
          <w:rFonts w:ascii="Arial" w:hAnsi="Arial" w:cs="Arial"/>
          <w:b/>
          <w:sz w:val="28"/>
          <w:szCs w:val="28"/>
        </w:rPr>
      </w:pPr>
    </w:p>
    <w:p w14:paraId="0D6C3FDF" w14:textId="77777777" w:rsidR="008C3428" w:rsidRPr="00FE0CA7" w:rsidRDefault="008C3428" w:rsidP="008C3428">
      <w:pPr>
        <w:ind w:left="-284"/>
        <w:jc w:val="both"/>
        <w:rPr>
          <w:rFonts w:ascii="Arial" w:hAnsi="Arial" w:cs="Arial"/>
          <w:b/>
          <w:sz w:val="28"/>
          <w:szCs w:val="28"/>
          <w:lang w:val="es-MX"/>
        </w:rPr>
      </w:pPr>
      <w:r w:rsidRPr="00FE0CA7">
        <w:rPr>
          <w:rFonts w:ascii="Arial" w:hAnsi="Arial" w:cs="Arial"/>
          <w:b/>
          <w:sz w:val="28"/>
          <w:szCs w:val="28"/>
          <w:lang w:val="es-MX"/>
        </w:rPr>
        <w:t>56.- CONSEJO PROFESIONAL NACIONAL DE TOPOGRAFIA.</w:t>
      </w:r>
    </w:p>
    <w:p w14:paraId="0CDB120D" w14:textId="77777777" w:rsidR="008C3428" w:rsidRDefault="008C3428" w:rsidP="008C3428">
      <w:pPr>
        <w:ind w:left="-284" w:right="-234"/>
        <w:jc w:val="both"/>
        <w:rPr>
          <w:rFonts w:ascii="Arial" w:hAnsi="Arial" w:cs="Arial"/>
          <w:b/>
          <w:sz w:val="28"/>
          <w:szCs w:val="28"/>
        </w:rPr>
      </w:pPr>
    </w:p>
    <w:tbl>
      <w:tblPr>
        <w:tblStyle w:val="Tablaconcuadrcula"/>
        <w:tblW w:w="10490" w:type="dxa"/>
        <w:jc w:val="center"/>
        <w:tblLook w:val="04A0" w:firstRow="1" w:lastRow="0" w:firstColumn="1" w:lastColumn="0" w:noHBand="0" w:noVBand="1"/>
      </w:tblPr>
      <w:tblGrid>
        <w:gridCol w:w="988"/>
        <w:gridCol w:w="4110"/>
        <w:gridCol w:w="5392"/>
      </w:tblGrid>
      <w:tr w:rsidR="008C3428" w:rsidRPr="00555F7A" w14:paraId="01469F97" w14:textId="77777777" w:rsidTr="00F1223B">
        <w:trPr>
          <w:jc w:val="center"/>
        </w:trPr>
        <w:tc>
          <w:tcPr>
            <w:tcW w:w="988" w:type="dxa"/>
          </w:tcPr>
          <w:p w14:paraId="4B502D80" w14:textId="77777777" w:rsidR="008C3428" w:rsidRPr="00555F7A" w:rsidRDefault="008C3428" w:rsidP="00F1223B">
            <w:pPr>
              <w:tabs>
                <w:tab w:val="left" w:pos="875"/>
              </w:tabs>
              <w:ind w:right="-50"/>
              <w:jc w:val="center"/>
              <w:rPr>
                <w:rFonts w:ascii="Arial" w:hAnsi="Arial" w:cs="Arial"/>
                <w:b/>
              </w:rPr>
            </w:pPr>
            <w:r w:rsidRPr="00555F7A">
              <w:rPr>
                <w:rFonts w:ascii="Arial" w:hAnsi="Arial" w:cs="Arial"/>
                <w:b/>
              </w:rPr>
              <w:t>N°</w:t>
            </w:r>
          </w:p>
        </w:tc>
        <w:tc>
          <w:tcPr>
            <w:tcW w:w="4110" w:type="dxa"/>
          </w:tcPr>
          <w:p w14:paraId="5DEE6ADA" w14:textId="77777777" w:rsidR="008C3428" w:rsidRPr="00555F7A" w:rsidRDefault="008C3428" w:rsidP="00F1223B">
            <w:pPr>
              <w:tabs>
                <w:tab w:val="left" w:pos="875"/>
              </w:tabs>
              <w:ind w:right="-50"/>
              <w:jc w:val="center"/>
              <w:rPr>
                <w:rFonts w:ascii="Arial" w:hAnsi="Arial" w:cs="Arial"/>
                <w:b/>
              </w:rPr>
            </w:pPr>
            <w:r w:rsidRPr="00555F7A">
              <w:rPr>
                <w:rFonts w:ascii="Arial" w:hAnsi="Arial" w:cs="Arial"/>
                <w:b/>
              </w:rPr>
              <w:t>Limitaciones del Sistema CHIP</w:t>
            </w:r>
          </w:p>
          <w:p w14:paraId="1E8627DB" w14:textId="77777777" w:rsidR="008C3428" w:rsidRPr="00555F7A" w:rsidRDefault="008C3428" w:rsidP="00F1223B">
            <w:pPr>
              <w:tabs>
                <w:tab w:val="left" w:pos="875"/>
              </w:tabs>
              <w:ind w:right="-50"/>
              <w:jc w:val="center"/>
              <w:rPr>
                <w:rFonts w:ascii="Arial" w:hAnsi="Arial" w:cs="Arial"/>
                <w:b/>
              </w:rPr>
            </w:pPr>
            <w:r w:rsidRPr="00555F7A">
              <w:rPr>
                <w:rFonts w:ascii="Arial" w:hAnsi="Arial" w:cs="Arial"/>
                <w:b/>
              </w:rPr>
              <w:t xml:space="preserve"> a 31/12/2023</w:t>
            </w:r>
          </w:p>
          <w:p w14:paraId="1BB3BD4D" w14:textId="77777777" w:rsidR="008C3428" w:rsidRPr="00555F7A" w:rsidRDefault="008C3428" w:rsidP="00F1223B">
            <w:pPr>
              <w:tabs>
                <w:tab w:val="left" w:pos="875"/>
              </w:tabs>
              <w:ind w:right="-50"/>
              <w:jc w:val="center"/>
              <w:rPr>
                <w:rFonts w:ascii="Arial" w:hAnsi="Arial" w:cs="Arial"/>
                <w:b/>
              </w:rPr>
            </w:pPr>
          </w:p>
        </w:tc>
        <w:tc>
          <w:tcPr>
            <w:tcW w:w="5392" w:type="dxa"/>
            <w:vAlign w:val="center"/>
          </w:tcPr>
          <w:p w14:paraId="5971E40D" w14:textId="77777777" w:rsidR="008C3428" w:rsidRPr="00555F7A" w:rsidRDefault="008C3428" w:rsidP="00F1223B">
            <w:pPr>
              <w:tabs>
                <w:tab w:val="left" w:pos="875"/>
              </w:tabs>
              <w:ind w:right="-50"/>
              <w:jc w:val="center"/>
              <w:rPr>
                <w:rFonts w:ascii="Arial" w:hAnsi="Arial" w:cs="Arial"/>
                <w:b/>
              </w:rPr>
            </w:pPr>
            <w:r w:rsidRPr="00555F7A">
              <w:rPr>
                <w:rFonts w:ascii="Arial" w:hAnsi="Arial" w:cs="Arial"/>
                <w:b/>
              </w:rPr>
              <w:t>Descripción de la limitación</w:t>
            </w:r>
          </w:p>
        </w:tc>
      </w:tr>
      <w:tr w:rsidR="008C3428" w:rsidRPr="00555F7A" w14:paraId="1B25A0BA" w14:textId="77777777" w:rsidTr="00F1223B">
        <w:trPr>
          <w:jc w:val="center"/>
        </w:trPr>
        <w:tc>
          <w:tcPr>
            <w:tcW w:w="988" w:type="dxa"/>
          </w:tcPr>
          <w:p w14:paraId="0D6527AB" w14:textId="77777777" w:rsidR="008C3428" w:rsidRPr="00555F7A" w:rsidRDefault="008C3428" w:rsidP="00F1223B">
            <w:pPr>
              <w:tabs>
                <w:tab w:val="left" w:pos="875"/>
              </w:tabs>
              <w:ind w:right="-50"/>
              <w:jc w:val="center"/>
              <w:rPr>
                <w:rFonts w:ascii="Arial" w:hAnsi="Arial" w:cs="Arial"/>
                <w:b/>
                <w:bCs/>
              </w:rPr>
            </w:pPr>
            <w:r w:rsidRPr="00555F7A">
              <w:rPr>
                <w:rFonts w:ascii="Arial" w:hAnsi="Arial" w:cs="Arial"/>
                <w:b/>
                <w:bCs/>
              </w:rPr>
              <w:t>1</w:t>
            </w:r>
          </w:p>
        </w:tc>
        <w:tc>
          <w:tcPr>
            <w:tcW w:w="4110" w:type="dxa"/>
          </w:tcPr>
          <w:p w14:paraId="7CAF8D5B" w14:textId="77777777" w:rsidR="008C3428" w:rsidRPr="00555F7A" w:rsidRDefault="008C3428" w:rsidP="00F1223B">
            <w:pPr>
              <w:tabs>
                <w:tab w:val="left" w:pos="875"/>
              </w:tabs>
              <w:ind w:right="-50"/>
              <w:jc w:val="both"/>
              <w:rPr>
                <w:rFonts w:ascii="Arial" w:hAnsi="Arial" w:cs="Arial"/>
                <w:b/>
                <w:bCs/>
              </w:rPr>
            </w:pPr>
            <w:r w:rsidRPr="00555F7A">
              <w:rPr>
                <w:rFonts w:ascii="Arial" w:hAnsi="Arial" w:cs="Arial"/>
                <w:b/>
                <w:bCs/>
              </w:rPr>
              <w:t>Técnicas:</w:t>
            </w:r>
          </w:p>
        </w:tc>
        <w:tc>
          <w:tcPr>
            <w:tcW w:w="5392" w:type="dxa"/>
          </w:tcPr>
          <w:p w14:paraId="75CED746" w14:textId="77777777" w:rsidR="008C3428" w:rsidRPr="00555F7A" w:rsidRDefault="008C3428" w:rsidP="00F1223B">
            <w:pPr>
              <w:tabs>
                <w:tab w:val="left" w:pos="875"/>
              </w:tabs>
              <w:ind w:right="-50"/>
              <w:jc w:val="both"/>
              <w:rPr>
                <w:rFonts w:ascii="Arial" w:hAnsi="Arial" w:cs="Arial"/>
              </w:rPr>
            </w:pPr>
            <w:r w:rsidRPr="00555F7A">
              <w:rPr>
                <w:rFonts w:ascii="Arial" w:hAnsi="Arial" w:cs="Arial"/>
                <w:lang w:val="es-CO"/>
              </w:rPr>
              <w:t>Proceso de actualización de formulario cuando hay cambio de versión: en ocasiones se genera errores al momento de descargar el actualizador, por lo que se requiere la intervención de un ingeniero para correr el proceso</w:t>
            </w:r>
          </w:p>
        </w:tc>
      </w:tr>
    </w:tbl>
    <w:p w14:paraId="0D93C2A2" w14:textId="77777777" w:rsidR="008C3428" w:rsidRDefault="008C3428" w:rsidP="008C3428">
      <w:pPr>
        <w:ind w:left="-284" w:right="-234"/>
        <w:jc w:val="both"/>
        <w:rPr>
          <w:rFonts w:ascii="Arial" w:hAnsi="Arial" w:cs="Arial"/>
          <w:b/>
          <w:sz w:val="28"/>
          <w:szCs w:val="28"/>
        </w:rPr>
      </w:pPr>
    </w:p>
    <w:p w14:paraId="789E8A21" w14:textId="77777777" w:rsidR="008C3428" w:rsidRPr="006B79ED" w:rsidRDefault="008C3428" w:rsidP="008C3428">
      <w:pPr>
        <w:ind w:left="-284" w:right="-234"/>
        <w:jc w:val="both"/>
        <w:rPr>
          <w:rFonts w:ascii="Arial" w:hAnsi="Arial" w:cs="Arial"/>
          <w:b/>
          <w:sz w:val="32"/>
          <w:szCs w:val="32"/>
        </w:rPr>
      </w:pPr>
      <w:r w:rsidRPr="006B79ED">
        <w:rPr>
          <w:rFonts w:ascii="Arial" w:hAnsi="Arial" w:cs="Arial"/>
          <w:b/>
          <w:sz w:val="28"/>
          <w:szCs w:val="28"/>
          <w:lang w:val="es-MX"/>
        </w:rPr>
        <w:t xml:space="preserve">59.- </w:t>
      </w:r>
      <w:r w:rsidRPr="006B79ED">
        <w:rPr>
          <w:rFonts w:ascii="Arial" w:hAnsi="Arial" w:cs="Arial"/>
          <w:b/>
          <w:sz w:val="28"/>
          <w:szCs w:val="28"/>
        </w:rPr>
        <w:t>FONDO UNICO DE TECNOLOGÍAS DE LA INFORMACIÓN Y LAS COMUNICACIONES – FUTIC.</w:t>
      </w:r>
    </w:p>
    <w:p w14:paraId="7526068D" w14:textId="77777777" w:rsidR="008C3428" w:rsidRPr="006B79ED" w:rsidRDefault="008C3428" w:rsidP="008C3428">
      <w:pPr>
        <w:ind w:left="-284" w:right="-234"/>
        <w:jc w:val="both"/>
        <w:rPr>
          <w:rFonts w:ascii="Arial" w:hAnsi="Arial" w:cs="Arial"/>
          <w:b/>
          <w:sz w:val="28"/>
          <w:szCs w:val="28"/>
        </w:rPr>
      </w:pPr>
    </w:p>
    <w:tbl>
      <w:tblPr>
        <w:tblStyle w:val="Tablaconcuadrcula"/>
        <w:tblW w:w="10491" w:type="dxa"/>
        <w:jc w:val="center"/>
        <w:tblLook w:val="04A0" w:firstRow="1" w:lastRow="0" w:firstColumn="1" w:lastColumn="0" w:noHBand="0" w:noVBand="1"/>
      </w:tblPr>
      <w:tblGrid>
        <w:gridCol w:w="988"/>
        <w:gridCol w:w="4110"/>
        <w:gridCol w:w="5393"/>
      </w:tblGrid>
      <w:tr w:rsidR="008C3428" w:rsidRPr="006B79ED" w14:paraId="64AE4F31" w14:textId="77777777" w:rsidTr="00F1223B">
        <w:trPr>
          <w:jc w:val="center"/>
        </w:trPr>
        <w:tc>
          <w:tcPr>
            <w:tcW w:w="988" w:type="dxa"/>
          </w:tcPr>
          <w:p w14:paraId="4ED64516" w14:textId="77777777" w:rsidR="008C3428" w:rsidRPr="006B79ED" w:rsidRDefault="008C3428" w:rsidP="00F1223B">
            <w:pPr>
              <w:tabs>
                <w:tab w:val="left" w:pos="875"/>
              </w:tabs>
              <w:ind w:right="-50"/>
              <w:jc w:val="center"/>
              <w:rPr>
                <w:rFonts w:ascii="Arial" w:hAnsi="Arial" w:cs="Arial"/>
                <w:b/>
              </w:rPr>
            </w:pPr>
            <w:r w:rsidRPr="006B79ED">
              <w:rPr>
                <w:rFonts w:ascii="Arial" w:hAnsi="Arial" w:cs="Arial"/>
                <w:b/>
              </w:rPr>
              <w:t>N°</w:t>
            </w:r>
          </w:p>
        </w:tc>
        <w:tc>
          <w:tcPr>
            <w:tcW w:w="4110" w:type="dxa"/>
          </w:tcPr>
          <w:p w14:paraId="0D252C32" w14:textId="77777777" w:rsidR="008C3428" w:rsidRPr="006B79ED" w:rsidRDefault="008C3428" w:rsidP="00F1223B">
            <w:pPr>
              <w:tabs>
                <w:tab w:val="left" w:pos="875"/>
              </w:tabs>
              <w:ind w:right="-50"/>
              <w:jc w:val="center"/>
              <w:rPr>
                <w:rFonts w:ascii="Arial" w:hAnsi="Arial" w:cs="Arial"/>
                <w:b/>
              </w:rPr>
            </w:pPr>
            <w:r w:rsidRPr="006B79ED">
              <w:rPr>
                <w:rFonts w:ascii="Arial" w:hAnsi="Arial" w:cs="Arial"/>
                <w:b/>
              </w:rPr>
              <w:t>Limitaciones del Sistema CHIP</w:t>
            </w:r>
          </w:p>
          <w:p w14:paraId="661D2D6A" w14:textId="77777777" w:rsidR="008C3428" w:rsidRPr="006B79ED" w:rsidRDefault="008C3428" w:rsidP="00F1223B">
            <w:pPr>
              <w:tabs>
                <w:tab w:val="left" w:pos="875"/>
              </w:tabs>
              <w:ind w:right="-50"/>
              <w:jc w:val="center"/>
              <w:rPr>
                <w:rFonts w:ascii="Arial" w:hAnsi="Arial" w:cs="Arial"/>
                <w:b/>
              </w:rPr>
            </w:pPr>
            <w:r w:rsidRPr="006B79ED">
              <w:rPr>
                <w:rFonts w:ascii="Arial" w:hAnsi="Arial" w:cs="Arial"/>
                <w:b/>
              </w:rPr>
              <w:t xml:space="preserve"> a 31/12/2023</w:t>
            </w:r>
          </w:p>
          <w:p w14:paraId="08641EA4" w14:textId="77777777" w:rsidR="008C3428" w:rsidRPr="006B79ED" w:rsidRDefault="008C3428" w:rsidP="00F1223B">
            <w:pPr>
              <w:tabs>
                <w:tab w:val="left" w:pos="875"/>
              </w:tabs>
              <w:ind w:right="-50"/>
              <w:jc w:val="center"/>
              <w:rPr>
                <w:rFonts w:ascii="Arial" w:hAnsi="Arial" w:cs="Arial"/>
                <w:b/>
              </w:rPr>
            </w:pPr>
          </w:p>
        </w:tc>
        <w:tc>
          <w:tcPr>
            <w:tcW w:w="5393" w:type="dxa"/>
            <w:vAlign w:val="center"/>
          </w:tcPr>
          <w:p w14:paraId="03F838F9" w14:textId="77777777" w:rsidR="008C3428" w:rsidRPr="006B79ED" w:rsidRDefault="008C3428" w:rsidP="00F1223B">
            <w:pPr>
              <w:tabs>
                <w:tab w:val="left" w:pos="875"/>
              </w:tabs>
              <w:ind w:right="-50"/>
              <w:jc w:val="center"/>
              <w:rPr>
                <w:rFonts w:ascii="Arial" w:hAnsi="Arial" w:cs="Arial"/>
                <w:b/>
              </w:rPr>
            </w:pPr>
            <w:r w:rsidRPr="006B79ED">
              <w:rPr>
                <w:rFonts w:ascii="Arial" w:hAnsi="Arial" w:cs="Arial"/>
                <w:b/>
              </w:rPr>
              <w:t>Descripción de la limitación</w:t>
            </w:r>
          </w:p>
        </w:tc>
      </w:tr>
      <w:tr w:rsidR="008C3428" w:rsidRPr="006B79ED" w14:paraId="703B8116" w14:textId="77777777" w:rsidTr="00F1223B">
        <w:trPr>
          <w:jc w:val="center"/>
        </w:trPr>
        <w:tc>
          <w:tcPr>
            <w:tcW w:w="988" w:type="dxa"/>
          </w:tcPr>
          <w:p w14:paraId="0E21077C" w14:textId="77777777" w:rsidR="008C3428" w:rsidRPr="006B79ED" w:rsidRDefault="008C3428" w:rsidP="00F1223B">
            <w:pPr>
              <w:tabs>
                <w:tab w:val="left" w:pos="875"/>
              </w:tabs>
              <w:ind w:right="-50"/>
              <w:jc w:val="center"/>
              <w:rPr>
                <w:rFonts w:ascii="Arial" w:hAnsi="Arial" w:cs="Arial"/>
                <w:b/>
                <w:bCs/>
              </w:rPr>
            </w:pPr>
            <w:r w:rsidRPr="006B79ED">
              <w:rPr>
                <w:rFonts w:ascii="Arial" w:hAnsi="Arial" w:cs="Arial"/>
                <w:b/>
                <w:bCs/>
              </w:rPr>
              <w:t>1</w:t>
            </w:r>
          </w:p>
        </w:tc>
        <w:tc>
          <w:tcPr>
            <w:tcW w:w="4110" w:type="dxa"/>
          </w:tcPr>
          <w:p w14:paraId="2428DD1E" w14:textId="77777777" w:rsidR="008C3428" w:rsidRPr="006B79ED" w:rsidRDefault="008C3428" w:rsidP="00F1223B">
            <w:pPr>
              <w:tabs>
                <w:tab w:val="left" w:pos="875"/>
              </w:tabs>
              <w:ind w:right="-50"/>
              <w:jc w:val="both"/>
              <w:rPr>
                <w:rFonts w:ascii="Arial" w:hAnsi="Arial" w:cs="Arial"/>
                <w:b/>
                <w:bCs/>
              </w:rPr>
            </w:pPr>
            <w:r w:rsidRPr="006B79ED">
              <w:rPr>
                <w:rFonts w:ascii="Arial" w:hAnsi="Arial" w:cs="Arial"/>
                <w:b/>
                <w:bCs/>
              </w:rPr>
              <w:t>Operativas:</w:t>
            </w:r>
          </w:p>
        </w:tc>
        <w:tc>
          <w:tcPr>
            <w:tcW w:w="5393" w:type="dxa"/>
          </w:tcPr>
          <w:p w14:paraId="4EB77CCC" w14:textId="744DF316" w:rsidR="008C3428" w:rsidRPr="006B79ED" w:rsidRDefault="008C3428" w:rsidP="00F1223B">
            <w:pPr>
              <w:tabs>
                <w:tab w:val="left" w:pos="875"/>
              </w:tabs>
              <w:ind w:right="-50"/>
              <w:jc w:val="both"/>
              <w:rPr>
                <w:rFonts w:ascii="Arial" w:hAnsi="Arial" w:cs="Arial"/>
              </w:rPr>
            </w:pPr>
            <w:r w:rsidRPr="006B79ED">
              <w:rPr>
                <w:rFonts w:ascii="Arial" w:hAnsi="Arial" w:cs="Arial"/>
              </w:rPr>
              <w:t xml:space="preserve">En el reporte de Operaciones Recíprocas con los Canales Regionales por Inversión Patrimonial que el Ministerio TIC posee en ellos, se presenta diferencia al finalizar la vigencia </w:t>
            </w:r>
            <w:r w:rsidR="00D926CD" w:rsidRPr="006B79ED">
              <w:rPr>
                <w:rFonts w:ascii="Arial" w:hAnsi="Arial" w:cs="Arial"/>
              </w:rPr>
              <w:t>porque</w:t>
            </w:r>
            <w:r w:rsidRPr="006B79ED">
              <w:rPr>
                <w:rFonts w:ascii="Arial" w:hAnsi="Arial" w:cs="Arial"/>
              </w:rPr>
              <w:t xml:space="preserve"> no carga el resultado del periodo, que es un proceso automático que realiza directamente la Contaduría General de la Nación con base en el porcentaje de participación que le remite cada canal al CHIP.</w:t>
            </w:r>
          </w:p>
        </w:tc>
      </w:tr>
    </w:tbl>
    <w:p w14:paraId="35D4272C" w14:textId="77777777" w:rsidR="008C3428" w:rsidRPr="006B79ED" w:rsidRDefault="008C3428" w:rsidP="008C3428">
      <w:pPr>
        <w:pStyle w:val="Textoindependiente"/>
        <w:ind w:right="-50"/>
        <w:jc w:val="both"/>
        <w:rPr>
          <w:rFonts w:ascii="Arial" w:hAnsi="Arial" w:cs="Arial"/>
          <w:b/>
          <w:sz w:val="28"/>
          <w:szCs w:val="28"/>
        </w:rPr>
      </w:pPr>
    </w:p>
    <w:p w14:paraId="26EF9854" w14:textId="77777777" w:rsidR="008C3428" w:rsidRPr="006B79ED" w:rsidRDefault="008C3428" w:rsidP="008C3428">
      <w:pPr>
        <w:pStyle w:val="Textoindependiente"/>
        <w:ind w:left="-284" w:right="-234"/>
        <w:jc w:val="both"/>
        <w:rPr>
          <w:rFonts w:ascii="Arial" w:hAnsi="Arial" w:cs="Arial"/>
          <w:sz w:val="24"/>
          <w:szCs w:val="24"/>
        </w:rPr>
      </w:pPr>
      <w:r w:rsidRPr="006B79ED">
        <w:rPr>
          <w:rFonts w:ascii="Arial" w:hAnsi="Arial" w:cs="Arial"/>
          <w:b/>
          <w:sz w:val="24"/>
          <w:szCs w:val="24"/>
        </w:rPr>
        <w:lastRenderedPageBreak/>
        <w:t xml:space="preserve">LA ENTIDAD INFORMA: </w:t>
      </w:r>
      <w:r w:rsidRPr="006B79ED">
        <w:rPr>
          <w:rFonts w:ascii="Arial" w:hAnsi="Arial" w:cs="Arial"/>
          <w:sz w:val="24"/>
          <w:szCs w:val="24"/>
        </w:rPr>
        <w:t>La información financiera es transmitida al CHIP – CGN dentro de las fechas que señala la Resolución 411 de 2003.</w:t>
      </w:r>
    </w:p>
    <w:p w14:paraId="50B3A415" w14:textId="77777777" w:rsidR="008C3428" w:rsidRPr="006B79ED" w:rsidRDefault="008C3428" w:rsidP="008C3428">
      <w:pPr>
        <w:pStyle w:val="Textoindependiente"/>
        <w:ind w:left="-284" w:right="-234"/>
        <w:jc w:val="both"/>
        <w:rPr>
          <w:rFonts w:ascii="Arial" w:hAnsi="Arial" w:cs="Arial"/>
          <w:sz w:val="24"/>
          <w:szCs w:val="24"/>
        </w:rPr>
      </w:pPr>
    </w:p>
    <w:p w14:paraId="16AAA41B" w14:textId="77777777" w:rsidR="008C3428" w:rsidRPr="006B79ED" w:rsidRDefault="008C3428" w:rsidP="008C3428">
      <w:pPr>
        <w:pStyle w:val="Textoindependiente"/>
        <w:ind w:left="-284" w:right="-234"/>
        <w:jc w:val="both"/>
        <w:rPr>
          <w:rFonts w:ascii="Arial" w:hAnsi="Arial" w:cs="Arial"/>
        </w:rPr>
      </w:pPr>
      <w:r w:rsidRPr="006B79ED">
        <w:rPr>
          <w:rFonts w:ascii="Arial" w:hAnsi="Arial" w:cs="Arial"/>
          <w:sz w:val="24"/>
          <w:szCs w:val="24"/>
        </w:rPr>
        <w:t>Sobre la inconsistencia operativa que se presenta en el aplicativo CHIP, por la información que se reporta de las inversiones patrimoniales con los canales regionales, se elevó consulta a la CGN y se hizo mesa de trabajo con los asesores de dicha entidad, para informar el error que genera en el reporte de Operaciones Recíprocas “Saldos por Conciliar”, al no cargar automáticamente el CHIP, la utilidad del ejercicio, generando esta diferencia; por lo cual está en revisión su funcionalidad</w:t>
      </w:r>
      <w:r w:rsidRPr="006B79ED">
        <w:rPr>
          <w:rFonts w:ascii="Arial" w:hAnsi="Arial" w:cs="Arial"/>
        </w:rPr>
        <w:t>.</w:t>
      </w:r>
    </w:p>
    <w:p w14:paraId="2B66578F" w14:textId="77777777" w:rsidR="008C3428" w:rsidRDefault="008C3428" w:rsidP="008C3428">
      <w:pPr>
        <w:ind w:left="-284" w:right="-234"/>
        <w:jc w:val="both"/>
        <w:rPr>
          <w:rFonts w:ascii="Arial" w:hAnsi="Arial" w:cs="Arial"/>
          <w:b/>
          <w:sz w:val="28"/>
          <w:szCs w:val="28"/>
        </w:rPr>
      </w:pPr>
    </w:p>
    <w:p w14:paraId="1039C1D3" w14:textId="77777777" w:rsidR="008C3428" w:rsidRPr="00C62791" w:rsidRDefault="008C3428" w:rsidP="008C3428">
      <w:pPr>
        <w:ind w:left="-284"/>
        <w:jc w:val="both"/>
        <w:rPr>
          <w:rFonts w:ascii="Arial" w:hAnsi="Arial" w:cs="Arial"/>
          <w:b/>
          <w:sz w:val="28"/>
          <w:szCs w:val="28"/>
        </w:rPr>
      </w:pPr>
      <w:r w:rsidRPr="00C62791">
        <w:rPr>
          <w:rFonts w:ascii="Arial" w:hAnsi="Arial" w:cs="Arial"/>
          <w:b/>
          <w:sz w:val="28"/>
          <w:szCs w:val="28"/>
          <w:lang w:val="es-MX"/>
        </w:rPr>
        <w:t xml:space="preserve">62.- </w:t>
      </w:r>
      <w:r w:rsidRPr="00C62791">
        <w:rPr>
          <w:rFonts w:ascii="Arial" w:hAnsi="Arial" w:cs="Arial"/>
          <w:b/>
          <w:sz w:val="28"/>
          <w:szCs w:val="28"/>
        </w:rPr>
        <w:t>SOCIEDAD HOTELERA TEQUENDAMA S.A.</w:t>
      </w:r>
    </w:p>
    <w:p w14:paraId="12CD69F6" w14:textId="77777777" w:rsidR="008C3428" w:rsidRDefault="008C3428" w:rsidP="008C3428">
      <w:pPr>
        <w:ind w:left="-284" w:right="-234"/>
        <w:jc w:val="both"/>
        <w:rPr>
          <w:rFonts w:ascii="Arial" w:hAnsi="Arial" w:cs="Arial"/>
          <w:b/>
          <w:sz w:val="28"/>
          <w:szCs w:val="28"/>
        </w:rPr>
      </w:pPr>
    </w:p>
    <w:tbl>
      <w:tblPr>
        <w:tblStyle w:val="Tablaconcuadrcula"/>
        <w:tblW w:w="10491" w:type="dxa"/>
        <w:jc w:val="center"/>
        <w:tblLook w:val="04A0" w:firstRow="1" w:lastRow="0" w:firstColumn="1" w:lastColumn="0" w:noHBand="0" w:noVBand="1"/>
      </w:tblPr>
      <w:tblGrid>
        <w:gridCol w:w="993"/>
        <w:gridCol w:w="4105"/>
        <w:gridCol w:w="5393"/>
      </w:tblGrid>
      <w:tr w:rsidR="008C3428" w:rsidRPr="0082086C" w14:paraId="47C0A78D" w14:textId="77777777" w:rsidTr="00F1223B">
        <w:trPr>
          <w:jc w:val="center"/>
        </w:trPr>
        <w:tc>
          <w:tcPr>
            <w:tcW w:w="993" w:type="dxa"/>
          </w:tcPr>
          <w:p w14:paraId="6D66BF95" w14:textId="77777777" w:rsidR="008C3428" w:rsidRPr="0082086C" w:rsidRDefault="008C3428" w:rsidP="00F1223B">
            <w:pPr>
              <w:tabs>
                <w:tab w:val="left" w:pos="875"/>
              </w:tabs>
              <w:ind w:right="-50"/>
              <w:jc w:val="center"/>
              <w:rPr>
                <w:rFonts w:ascii="Arial" w:hAnsi="Arial" w:cs="Arial"/>
                <w:b/>
              </w:rPr>
            </w:pPr>
            <w:r w:rsidRPr="0082086C">
              <w:rPr>
                <w:rFonts w:ascii="Arial" w:hAnsi="Arial" w:cs="Arial"/>
                <w:b/>
              </w:rPr>
              <w:t>N°</w:t>
            </w:r>
          </w:p>
        </w:tc>
        <w:tc>
          <w:tcPr>
            <w:tcW w:w="4105" w:type="dxa"/>
          </w:tcPr>
          <w:p w14:paraId="19D0A055" w14:textId="77777777" w:rsidR="008C3428" w:rsidRPr="0082086C" w:rsidRDefault="008C3428" w:rsidP="00F1223B">
            <w:pPr>
              <w:tabs>
                <w:tab w:val="left" w:pos="875"/>
              </w:tabs>
              <w:ind w:right="-50"/>
              <w:jc w:val="center"/>
              <w:rPr>
                <w:rFonts w:ascii="Arial" w:hAnsi="Arial" w:cs="Arial"/>
                <w:b/>
              </w:rPr>
            </w:pPr>
            <w:r w:rsidRPr="0082086C">
              <w:rPr>
                <w:rFonts w:ascii="Arial" w:hAnsi="Arial" w:cs="Arial"/>
                <w:b/>
              </w:rPr>
              <w:t>Limitaciones del Sistema CHIP</w:t>
            </w:r>
          </w:p>
          <w:p w14:paraId="73A39140" w14:textId="77777777" w:rsidR="008C3428" w:rsidRPr="0082086C" w:rsidRDefault="008C3428" w:rsidP="00F1223B">
            <w:pPr>
              <w:tabs>
                <w:tab w:val="left" w:pos="875"/>
              </w:tabs>
              <w:ind w:right="-50"/>
              <w:jc w:val="center"/>
              <w:rPr>
                <w:rFonts w:ascii="Arial" w:hAnsi="Arial" w:cs="Arial"/>
                <w:b/>
              </w:rPr>
            </w:pPr>
            <w:r w:rsidRPr="0082086C">
              <w:rPr>
                <w:rFonts w:ascii="Arial" w:hAnsi="Arial" w:cs="Arial"/>
                <w:b/>
              </w:rPr>
              <w:t xml:space="preserve"> a 31/12/2023</w:t>
            </w:r>
          </w:p>
          <w:p w14:paraId="6508432D" w14:textId="77777777" w:rsidR="008C3428" w:rsidRPr="0082086C" w:rsidRDefault="008C3428" w:rsidP="00F1223B">
            <w:pPr>
              <w:tabs>
                <w:tab w:val="left" w:pos="875"/>
              </w:tabs>
              <w:ind w:right="-50"/>
              <w:jc w:val="center"/>
              <w:rPr>
                <w:rFonts w:ascii="Arial" w:hAnsi="Arial" w:cs="Arial"/>
                <w:b/>
              </w:rPr>
            </w:pPr>
          </w:p>
        </w:tc>
        <w:tc>
          <w:tcPr>
            <w:tcW w:w="5393" w:type="dxa"/>
            <w:vAlign w:val="center"/>
          </w:tcPr>
          <w:p w14:paraId="09060A2A" w14:textId="77777777" w:rsidR="008C3428" w:rsidRPr="0082086C" w:rsidRDefault="008C3428" w:rsidP="00F1223B">
            <w:pPr>
              <w:tabs>
                <w:tab w:val="left" w:pos="875"/>
              </w:tabs>
              <w:ind w:right="-50"/>
              <w:jc w:val="center"/>
              <w:rPr>
                <w:rFonts w:ascii="Arial" w:hAnsi="Arial" w:cs="Arial"/>
                <w:b/>
              </w:rPr>
            </w:pPr>
            <w:r w:rsidRPr="0082086C">
              <w:rPr>
                <w:rFonts w:ascii="Arial" w:hAnsi="Arial" w:cs="Arial"/>
                <w:b/>
              </w:rPr>
              <w:t>Descripción de la limitación</w:t>
            </w:r>
          </w:p>
        </w:tc>
      </w:tr>
      <w:tr w:rsidR="008C3428" w:rsidRPr="0082086C" w14:paraId="25EFBAC3" w14:textId="77777777" w:rsidTr="00F1223B">
        <w:trPr>
          <w:jc w:val="center"/>
        </w:trPr>
        <w:tc>
          <w:tcPr>
            <w:tcW w:w="993" w:type="dxa"/>
          </w:tcPr>
          <w:p w14:paraId="44E8B233" w14:textId="77777777" w:rsidR="008C3428" w:rsidRPr="0082086C" w:rsidRDefault="008C3428" w:rsidP="00F1223B">
            <w:pPr>
              <w:tabs>
                <w:tab w:val="left" w:pos="875"/>
              </w:tabs>
              <w:ind w:right="-50"/>
              <w:jc w:val="center"/>
              <w:rPr>
                <w:rFonts w:ascii="Arial" w:hAnsi="Arial" w:cs="Arial"/>
                <w:b/>
                <w:bCs/>
              </w:rPr>
            </w:pPr>
            <w:r w:rsidRPr="0082086C">
              <w:rPr>
                <w:rFonts w:ascii="Arial" w:hAnsi="Arial" w:cs="Arial"/>
                <w:b/>
                <w:bCs/>
              </w:rPr>
              <w:t>1</w:t>
            </w:r>
          </w:p>
        </w:tc>
        <w:tc>
          <w:tcPr>
            <w:tcW w:w="4105" w:type="dxa"/>
          </w:tcPr>
          <w:p w14:paraId="2E093089" w14:textId="77777777" w:rsidR="008C3428" w:rsidRPr="0082086C" w:rsidRDefault="008C3428" w:rsidP="00F1223B">
            <w:pPr>
              <w:tabs>
                <w:tab w:val="left" w:pos="875"/>
              </w:tabs>
              <w:ind w:right="-50"/>
              <w:jc w:val="both"/>
              <w:rPr>
                <w:rFonts w:ascii="Arial" w:hAnsi="Arial" w:cs="Arial"/>
                <w:b/>
                <w:bCs/>
              </w:rPr>
            </w:pPr>
            <w:r w:rsidRPr="0082086C">
              <w:rPr>
                <w:rFonts w:ascii="Arial" w:hAnsi="Arial" w:cs="Arial"/>
                <w:b/>
                <w:bCs/>
              </w:rPr>
              <w:t xml:space="preserve">Técnicas: </w:t>
            </w:r>
            <w:r w:rsidRPr="0082086C">
              <w:rPr>
                <w:rFonts w:ascii="Arial" w:hAnsi="Arial" w:cs="Arial"/>
              </w:rPr>
              <w:t>Las limitaciones presentes en el reporte de información de Operaciones Recíprocas con las demás entidades.</w:t>
            </w:r>
          </w:p>
        </w:tc>
        <w:tc>
          <w:tcPr>
            <w:tcW w:w="5393" w:type="dxa"/>
          </w:tcPr>
          <w:p w14:paraId="3197C1BA" w14:textId="77777777" w:rsidR="008C3428" w:rsidRPr="0082086C" w:rsidRDefault="008C3428" w:rsidP="00F1223B">
            <w:pPr>
              <w:tabs>
                <w:tab w:val="left" w:pos="875"/>
              </w:tabs>
              <w:ind w:right="-50"/>
              <w:jc w:val="both"/>
              <w:rPr>
                <w:rFonts w:ascii="Arial" w:hAnsi="Arial" w:cs="Arial"/>
              </w:rPr>
            </w:pPr>
            <w:r w:rsidRPr="0082086C">
              <w:rPr>
                <w:rFonts w:ascii="Arial" w:hAnsi="Arial" w:cs="Arial"/>
              </w:rPr>
              <w:t>La limitación surge a causa de que no se encuentran las cuentas correlativas del ingreso por alojamiento, costos de producción y de ventas asociados a la actividad hotelera, por tal razón, es difícil conciliar dichas cuentas recíprocas, con las demás entidades públicas reportantes.</w:t>
            </w:r>
          </w:p>
        </w:tc>
      </w:tr>
      <w:tr w:rsidR="008C3428" w:rsidRPr="0082086C" w14:paraId="64302A42" w14:textId="77777777" w:rsidTr="00F1223B">
        <w:trPr>
          <w:jc w:val="center"/>
        </w:trPr>
        <w:tc>
          <w:tcPr>
            <w:tcW w:w="993" w:type="dxa"/>
          </w:tcPr>
          <w:p w14:paraId="78DC9B89" w14:textId="77777777" w:rsidR="008C3428" w:rsidRPr="0082086C" w:rsidRDefault="008C3428" w:rsidP="00F1223B">
            <w:pPr>
              <w:tabs>
                <w:tab w:val="left" w:pos="875"/>
              </w:tabs>
              <w:ind w:right="-50"/>
              <w:jc w:val="center"/>
              <w:rPr>
                <w:rFonts w:ascii="Arial" w:hAnsi="Arial" w:cs="Arial"/>
                <w:b/>
                <w:bCs/>
              </w:rPr>
            </w:pPr>
            <w:r w:rsidRPr="0082086C">
              <w:rPr>
                <w:rFonts w:ascii="Arial" w:hAnsi="Arial" w:cs="Arial"/>
                <w:b/>
                <w:bCs/>
              </w:rPr>
              <w:t>2</w:t>
            </w:r>
          </w:p>
        </w:tc>
        <w:tc>
          <w:tcPr>
            <w:tcW w:w="4105" w:type="dxa"/>
          </w:tcPr>
          <w:p w14:paraId="4247C8A9" w14:textId="77777777" w:rsidR="008C3428" w:rsidRPr="0082086C" w:rsidRDefault="008C3428" w:rsidP="00F1223B">
            <w:pPr>
              <w:tabs>
                <w:tab w:val="left" w:pos="875"/>
              </w:tabs>
              <w:ind w:right="-50"/>
              <w:jc w:val="both"/>
              <w:rPr>
                <w:rFonts w:ascii="Arial" w:hAnsi="Arial" w:cs="Arial"/>
                <w:bCs/>
              </w:rPr>
            </w:pPr>
            <w:r w:rsidRPr="0082086C">
              <w:rPr>
                <w:rFonts w:ascii="Arial" w:hAnsi="Arial" w:cs="Arial"/>
                <w:b/>
                <w:bCs/>
              </w:rPr>
              <w:t xml:space="preserve">Soporte a la plataforma: </w:t>
            </w:r>
            <w:r w:rsidRPr="0082086C">
              <w:rPr>
                <w:rFonts w:ascii="Arial" w:hAnsi="Arial" w:cs="Arial"/>
                <w:bCs/>
              </w:rPr>
              <w:t>Limitación de no soporte en línea en la plataforma CHIP.</w:t>
            </w:r>
          </w:p>
        </w:tc>
        <w:tc>
          <w:tcPr>
            <w:tcW w:w="5393" w:type="dxa"/>
          </w:tcPr>
          <w:p w14:paraId="56E9D8D4" w14:textId="77777777" w:rsidR="008C3428" w:rsidRPr="0082086C" w:rsidRDefault="008C3428" w:rsidP="00F1223B">
            <w:pPr>
              <w:tabs>
                <w:tab w:val="left" w:pos="875"/>
              </w:tabs>
              <w:ind w:right="-50"/>
              <w:jc w:val="both"/>
              <w:rPr>
                <w:rFonts w:ascii="Arial" w:hAnsi="Arial" w:cs="Arial"/>
              </w:rPr>
            </w:pPr>
            <w:r w:rsidRPr="0082086C">
              <w:rPr>
                <w:rFonts w:ascii="Arial" w:hAnsi="Arial" w:cs="Arial"/>
              </w:rPr>
              <w:t>Limitación de no soporte oportuno que se haga en línea en la plataforma CHIP.</w:t>
            </w:r>
          </w:p>
        </w:tc>
      </w:tr>
    </w:tbl>
    <w:p w14:paraId="26D21FBD" w14:textId="77777777" w:rsidR="008C3428" w:rsidRDefault="008C3428" w:rsidP="008C3428">
      <w:pPr>
        <w:ind w:left="-284" w:right="-234"/>
        <w:jc w:val="both"/>
        <w:rPr>
          <w:rFonts w:ascii="Arial" w:hAnsi="Arial" w:cs="Arial"/>
          <w:b/>
          <w:sz w:val="28"/>
          <w:szCs w:val="28"/>
        </w:rPr>
      </w:pPr>
    </w:p>
    <w:p w14:paraId="66184F81" w14:textId="77777777" w:rsidR="008C3428" w:rsidRPr="00CE224C" w:rsidRDefault="008C3428" w:rsidP="008C3428">
      <w:pPr>
        <w:ind w:left="-284"/>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4DAEEA65" w14:textId="77777777" w:rsidR="008C3428" w:rsidRDefault="008C3428" w:rsidP="008C3428">
      <w:pPr>
        <w:ind w:left="-284" w:right="-234"/>
        <w:jc w:val="both"/>
        <w:rPr>
          <w:rFonts w:ascii="Arial" w:hAnsi="Arial" w:cs="Arial"/>
          <w:b/>
          <w:sz w:val="28"/>
          <w:szCs w:val="28"/>
        </w:rPr>
      </w:pPr>
    </w:p>
    <w:tbl>
      <w:tblPr>
        <w:tblStyle w:val="Tablaconcuadrcula"/>
        <w:tblW w:w="10359" w:type="dxa"/>
        <w:jc w:val="center"/>
        <w:tblLook w:val="04A0" w:firstRow="1" w:lastRow="0" w:firstColumn="1" w:lastColumn="0" w:noHBand="0" w:noVBand="1"/>
      </w:tblPr>
      <w:tblGrid>
        <w:gridCol w:w="998"/>
        <w:gridCol w:w="3959"/>
        <w:gridCol w:w="5402"/>
      </w:tblGrid>
      <w:tr w:rsidR="008C3428" w:rsidRPr="00883E67" w14:paraId="5137449C" w14:textId="77777777" w:rsidTr="00F1223B">
        <w:trPr>
          <w:jc w:val="center"/>
        </w:trPr>
        <w:tc>
          <w:tcPr>
            <w:tcW w:w="998" w:type="dxa"/>
          </w:tcPr>
          <w:p w14:paraId="4A62F90F" w14:textId="77777777" w:rsidR="008C3428" w:rsidRPr="00883E67" w:rsidRDefault="008C3428" w:rsidP="00F1223B">
            <w:pPr>
              <w:tabs>
                <w:tab w:val="left" w:pos="875"/>
              </w:tabs>
              <w:ind w:right="-50"/>
              <w:jc w:val="center"/>
              <w:rPr>
                <w:rFonts w:ascii="Arial" w:hAnsi="Arial" w:cs="Arial"/>
                <w:b/>
              </w:rPr>
            </w:pPr>
            <w:r w:rsidRPr="00883E67">
              <w:rPr>
                <w:rFonts w:ascii="Arial" w:hAnsi="Arial" w:cs="Arial"/>
                <w:b/>
              </w:rPr>
              <w:t>N°</w:t>
            </w:r>
          </w:p>
        </w:tc>
        <w:tc>
          <w:tcPr>
            <w:tcW w:w="3959" w:type="dxa"/>
          </w:tcPr>
          <w:p w14:paraId="51F9A285" w14:textId="77777777" w:rsidR="008C3428" w:rsidRPr="00883E67" w:rsidRDefault="008C3428" w:rsidP="00F1223B">
            <w:pPr>
              <w:tabs>
                <w:tab w:val="left" w:pos="875"/>
              </w:tabs>
              <w:ind w:right="-50"/>
              <w:jc w:val="center"/>
              <w:rPr>
                <w:rFonts w:ascii="Arial" w:hAnsi="Arial" w:cs="Arial"/>
                <w:b/>
              </w:rPr>
            </w:pPr>
            <w:r w:rsidRPr="00883E67">
              <w:rPr>
                <w:rFonts w:ascii="Arial" w:hAnsi="Arial" w:cs="Arial"/>
                <w:b/>
              </w:rPr>
              <w:t>Limitaciones del Sistema CHIP</w:t>
            </w:r>
          </w:p>
          <w:p w14:paraId="70DC9BA2" w14:textId="77777777" w:rsidR="008C3428" w:rsidRPr="00883E67" w:rsidRDefault="008C3428" w:rsidP="00F1223B">
            <w:pPr>
              <w:tabs>
                <w:tab w:val="left" w:pos="875"/>
              </w:tabs>
              <w:ind w:right="-50"/>
              <w:jc w:val="center"/>
              <w:rPr>
                <w:rFonts w:ascii="Arial" w:hAnsi="Arial" w:cs="Arial"/>
                <w:b/>
              </w:rPr>
            </w:pPr>
            <w:r w:rsidRPr="00883E67">
              <w:rPr>
                <w:rFonts w:ascii="Arial" w:hAnsi="Arial" w:cs="Arial"/>
                <w:b/>
              </w:rPr>
              <w:t xml:space="preserve"> a 31/12/2023</w:t>
            </w:r>
          </w:p>
          <w:p w14:paraId="5A4B9574" w14:textId="77777777" w:rsidR="008C3428" w:rsidRPr="00883E67" w:rsidRDefault="008C3428" w:rsidP="00F1223B">
            <w:pPr>
              <w:tabs>
                <w:tab w:val="left" w:pos="875"/>
              </w:tabs>
              <w:ind w:right="-50"/>
              <w:jc w:val="center"/>
              <w:rPr>
                <w:rFonts w:ascii="Arial" w:hAnsi="Arial" w:cs="Arial"/>
                <w:b/>
              </w:rPr>
            </w:pPr>
          </w:p>
        </w:tc>
        <w:tc>
          <w:tcPr>
            <w:tcW w:w="5402" w:type="dxa"/>
            <w:vAlign w:val="center"/>
          </w:tcPr>
          <w:p w14:paraId="20B169DF" w14:textId="77777777" w:rsidR="008C3428" w:rsidRPr="00883E67" w:rsidRDefault="008C3428" w:rsidP="00F1223B">
            <w:pPr>
              <w:tabs>
                <w:tab w:val="left" w:pos="875"/>
              </w:tabs>
              <w:ind w:right="-50"/>
              <w:jc w:val="center"/>
              <w:rPr>
                <w:rFonts w:ascii="Arial" w:hAnsi="Arial" w:cs="Arial"/>
                <w:b/>
              </w:rPr>
            </w:pPr>
            <w:r w:rsidRPr="00883E67">
              <w:rPr>
                <w:rFonts w:ascii="Arial" w:hAnsi="Arial" w:cs="Arial"/>
                <w:b/>
              </w:rPr>
              <w:t>Descripción de la limitación</w:t>
            </w:r>
          </w:p>
        </w:tc>
      </w:tr>
      <w:tr w:rsidR="008C3428" w:rsidRPr="00883E67" w14:paraId="74265148" w14:textId="77777777" w:rsidTr="00F1223B">
        <w:trPr>
          <w:jc w:val="center"/>
        </w:trPr>
        <w:tc>
          <w:tcPr>
            <w:tcW w:w="998" w:type="dxa"/>
          </w:tcPr>
          <w:p w14:paraId="50500224" w14:textId="77777777" w:rsidR="008C3428" w:rsidRPr="00883E67" w:rsidRDefault="008C3428" w:rsidP="00F1223B">
            <w:pPr>
              <w:tabs>
                <w:tab w:val="left" w:pos="875"/>
              </w:tabs>
              <w:ind w:right="-50"/>
              <w:jc w:val="center"/>
              <w:rPr>
                <w:rFonts w:ascii="Arial" w:hAnsi="Arial" w:cs="Arial"/>
                <w:b/>
                <w:bCs/>
              </w:rPr>
            </w:pPr>
            <w:r w:rsidRPr="00883E67">
              <w:rPr>
                <w:rFonts w:ascii="Arial" w:hAnsi="Arial" w:cs="Arial"/>
                <w:b/>
                <w:bCs/>
              </w:rPr>
              <w:t>1</w:t>
            </w:r>
          </w:p>
        </w:tc>
        <w:tc>
          <w:tcPr>
            <w:tcW w:w="3959" w:type="dxa"/>
          </w:tcPr>
          <w:p w14:paraId="286F0761" w14:textId="77777777" w:rsidR="008C3428" w:rsidRPr="00883E67" w:rsidRDefault="008C3428" w:rsidP="00F1223B">
            <w:pPr>
              <w:tabs>
                <w:tab w:val="left" w:pos="875"/>
              </w:tabs>
              <w:ind w:right="-50"/>
              <w:jc w:val="both"/>
              <w:rPr>
                <w:rFonts w:ascii="Arial" w:hAnsi="Arial" w:cs="Arial"/>
                <w:b/>
                <w:bCs/>
              </w:rPr>
            </w:pPr>
            <w:r w:rsidRPr="00883E67">
              <w:rPr>
                <w:rFonts w:ascii="Arial" w:hAnsi="Arial" w:cs="Arial"/>
                <w:b/>
                <w:bCs/>
              </w:rPr>
              <w:t>Técnicas:</w:t>
            </w:r>
          </w:p>
        </w:tc>
        <w:tc>
          <w:tcPr>
            <w:tcW w:w="5402" w:type="dxa"/>
          </w:tcPr>
          <w:p w14:paraId="467AE815" w14:textId="77777777" w:rsidR="008C3428" w:rsidRPr="00883E67" w:rsidRDefault="008C3428" w:rsidP="00F1223B">
            <w:pPr>
              <w:tabs>
                <w:tab w:val="left" w:pos="875"/>
              </w:tabs>
              <w:ind w:right="-50"/>
              <w:jc w:val="both"/>
              <w:rPr>
                <w:rFonts w:ascii="Arial" w:hAnsi="Arial" w:cs="Arial"/>
              </w:rPr>
            </w:pPr>
            <w:r w:rsidRPr="00883E67">
              <w:rPr>
                <w:rFonts w:ascii="Arial" w:hAnsi="Arial" w:cs="Arial"/>
              </w:rPr>
              <w:t>Cuando la entidad ha realizado el cargue de la información consideramos que se hace necesario que se efectúe instructivos o guías que permitan entender o interpretar mejor los errores que se generan a la hora de cargar.</w:t>
            </w:r>
          </w:p>
        </w:tc>
      </w:tr>
      <w:tr w:rsidR="008C3428" w:rsidRPr="00883E67" w14:paraId="17ED6EC5" w14:textId="77777777" w:rsidTr="00F1223B">
        <w:trPr>
          <w:jc w:val="center"/>
        </w:trPr>
        <w:tc>
          <w:tcPr>
            <w:tcW w:w="998" w:type="dxa"/>
          </w:tcPr>
          <w:p w14:paraId="7D092752" w14:textId="77777777" w:rsidR="008C3428" w:rsidRPr="00883E67" w:rsidRDefault="008C3428" w:rsidP="00F1223B">
            <w:pPr>
              <w:tabs>
                <w:tab w:val="left" w:pos="875"/>
              </w:tabs>
              <w:ind w:right="-50"/>
              <w:jc w:val="center"/>
              <w:rPr>
                <w:rFonts w:ascii="Arial" w:hAnsi="Arial" w:cs="Arial"/>
                <w:b/>
                <w:bCs/>
              </w:rPr>
            </w:pPr>
            <w:r w:rsidRPr="00883E67">
              <w:rPr>
                <w:rFonts w:ascii="Arial" w:hAnsi="Arial" w:cs="Arial"/>
                <w:b/>
                <w:bCs/>
              </w:rPr>
              <w:t>2</w:t>
            </w:r>
          </w:p>
        </w:tc>
        <w:tc>
          <w:tcPr>
            <w:tcW w:w="3959" w:type="dxa"/>
          </w:tcPr>
          <w:p w14:paraId="633671D8" w14:textId="77777777" w:rsidR="008C3428" w:rsidRPr="00883E67" w:rsidRDefault="008C3428" w:rsidP="00F1223B">
            <w:pPr>
              <w:tabs>
                <w:tab w:val="left" w:pos="875"/>
              </w:tabs>
              <w:ind w:right="-50"/>
              <w:jc w:val="both"/>
              <w:rPr>
                <w:rFonts w:ascii="Arial" w:hAnsi="Arial" w:cs="Arial"/>
                <w:b/>
                <w:bCs/>
              </w:rPr>
            </w:pPr>
            <w:r w:rsidRPr="00883E67">
              <w:rPr>
                <w:rFonts w:ascii="Arial" w:hAnsi="Arial" w:cs="Arial"/>
                <w:b/>
                <w:bCs/>
              </w:rPr>
              <w:t>Operativas:</w:t>
            </w:r>
          </w:p>
        </w:tc>
        <w:tc>
          <w:tcPr>
            <w:tcW w:w="5402" w:type="dxa"/>
          </w:tcPr>
          <w:p w14:paraId="3ABA4B74" w14:textId="77777777" w:rsidR="008C3428" w:rsidRPr="00883E67" w:rsidRDefault="008C3428" w:rsidP="00F1223B">
            <w:pPr>
              <w:tabs>
                <w:tab w:val="left" w:pos="875"/>
              </w:tabs>
              <w:ind w:right="-50"/>
              <w:jc w:val="both"/>
              <w:rPr>
                <w:rFonts w:ascii="Arial" w:hAnsi="Arial" w:cs="Arial"/>
              </w:rPr>
            </w:pPr>
            <w:r w:rsidRPr="00883E67">
              <w:rPr>
                <w:rFonts w:ascii="Arial" w:hAnsi="Arial" w:cs="Arial"/>
              </w:rPr>
              <w:t>El consolidador operativamente funciona correcto de acuerdo con sus parametrizaciones y que los cruces que se realizan internamente entre los formularios.</w:t>
            </w:r>
          </w:p>
        </w:tc>
      </w:tr>
    </w:tbl>
    <w:p w14:paraId="0ABF35F0" w14:textId="77777777" w:rsidR="008C3428" w:rsidRDefault="008C3428" w:rsidP="008C3428">
      <w:pPr>
        <w:ind w:left="-284" w:right="-234"/>
        <w:jc w:val="both"/>
        <w:rPr>
          <w:rFonts w:ascii="Arial" w:hAnsi="Arial" w:cs="Arial"/>
          <w:b/>
          <w:sz w:val="28"/>
          <w:szCs w:val="28"/>
        </w:rPr>
      </w:pPr>
    </w:p>
    <w:p w14:paraId="6484FEC5" w14:textId="77777777" w:rsidR="008C3428" w:rsidRPr="001D0D31" w:rsidRDefault="008C3428" w:rsidP="008C3428">
      <w:pPr>
        <w:ind w:left="-142"/>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5D2EA973" w14:textId="77777777" w:rsidR="008C3428" w:rsidRDefault="008C3428" w:rsidP="008C3428">
      <w:pPr>
        <w:ind w:left="-284" w:right="-234"/>
        <w:jc w:val="both"/>
        <w:rPr>
          <w:rFonts w:ascii="Arial" w:hAnsi="Arial" w:cs="Arial"/>
          <w:b/>
          <w:sz w:val="28"/>
          <w:szCs w:val="28"/>
        </w:rPr>
      </w:pPr>
    </w:p>
    <w:tbl>
      <w:tblPr>
        <w:tblStyle w:val="Tablaconcuadrcula"/>
        <w:tblW w:w="10349" w:type="dxa"/>
        <w:jc w:val="center"/>
        <w:tblLook w:val="04A0" w:firstRow="1" w:lastRow="0" w:firstColumn="1" w:lastColumn="0" w:noHBand="0" w:noVBand="1"/>
      </w:tblPr>
      <w:tblGrid>
        <w:gridCol w:w="988"/>
        <w:gridCol w:w="3969"/>
        <w:gridCol w:w="5392"/>
      </w:tblGrid>
      <w:tr w:rsidR="008C3428" w:rsidRPr="00D17914" w14:paraId="712E4620" w14:textId="77777777" w:rsidTr="00F1223B">
        <w:trPr>
          <w:jc w:val="center"/>
        </w:trPr>
        <w:tc>
          <w:tcPr>
            <w:tcW w:w="988" w:type="dxa"/>
          </w:tcPr>
          <w:p w14:paraId="62279178" w14:textId="77777777" w:rsidR="008C3428" w:rsidRPr="00D17914" w:rsidRDefault="008C3428" w:rsidP="00F1223B">
            <w:pPr>
              <w:tabs>
                <w:tab w:val="left" w:pos="875"/>
              </w:tabs>
              <w:ind w:right="-50"/>
              <w:jc w:val="center"/>
              <w:rPr>
                <w:rFonts w:ascii="Arial" w:hAnsi="Arial" w:cs="Arial"/>
                <w:b/>
              </w:rPr>
            </w:pPr>
            <w:r w:rsidRPr="00D17914">
              <w:rPr>
                <w:rFonts w:ascii="Arial" w:hAnsi="Arial" w:cs="Arial"/>
                <w:b/>
              </w:rPr>
              <w:t>N°</w:t>
            </w:r>
          </w:p>
        </w:tc>
        <w:tc>
          <w:tcPr>
            <w:tcW w:w="3969" w:type="dxa"/>
          </w:tcPr>
          <w:p w14:paraId="230489A1" w14:textId="77777777" w:rsidR="008C3428" w:rsidRPr="00D17914" w:rsidRDefault="008C3428" w:rsidP="00F1223B">
            <w:pPr>
              <w:tabs>
                <w:tab w:val="left" w:pos="875"/>
              </w:tabs>
              <w:ind w:right="-50"/>
              <w:jc w:val="center"/>
              <w:rPr>
                <w:rFonts w:ascii="Arial" w:hAnsi="Arial" w:cs="Arial"/>
                <w:b/>
              </w:rPr>
            </w:pPr>
            <w:r w:rsidRPr="00D17914">
              <w:rPr>
                <w:rFonts w:ascii="Arial" w:hAnsi="Arial" w:cs="Arial"/>
                <w:b/>
              </w:rPr>
              <w:t>Limitaciones del Sistema CHIP</w:t>
            </w:r>
          </w:p>
          <w:p w14:paraId="0020A196" w14:textId="77777777" w:rsidR="008C3428" w:rsidRPr="00D17914" w:rsidRDefault="008C3428" w:rsidP="00F1223B">
            <w:pPr>
              <w:tabs>
                <w:tab w:val="left" w:pos="875"/>
              </w:tabs>
              <w:ind w:right="-50"/>
              <w:jc w:val="center"/>
              <w:rPr>
                <w:rFonts w:ascii="Arial" w:hAnsi="Arial" w:cs="Arial"/>
                <w:b/>
              </w:rPr>
            </w:pPr>
            <w:r w:rsidRPr="00D17914">
              <w:rPr>
                <w:rFonts w:ascii="Arial" w:hAnsi="Arial" w:cs="Arial"/>
                <w:b/>
              </w:rPr>
              <w:t xml:space="preserve"> a 31/12/2023</w:t>
            </w:r>
          </w:p>
          <w:p w14:paraId="7EE39E87" w14:textId="77777777" w:rsidR="008C3428" w:rsidRPr="00D17914" w:rsidRDefault="008C3428" w:rsidP="00F1223B">
            <w:pPr>
              <w:tabs>
                <w:tab w:val="left" w:pos="875"/>
              </w:tabs>
              <w:ind w:right="-50"/>
              <w:jc w:val="center"/>
              <w:rPr>
                <w:rFonts w:ascii="Arial" w:hAnsi="Arial" w:cs="Arial"/>
                <w:b/>
              </w:rPr>
            </w:pPr>
          </w:p>
        </w:tc>
        <w:tc>
          <w:tcPr>
            <w:tcW w:w="5392" w:type="dxa"/>
            <w:vAlign w:val="center"/>
          </w:tcPr>
          <w:p w14:paraId="7D45933B" w14:textId="77777777" w:rsidR="008C3428" w:rsidRPr="00D17914" w:rsidRDefault="008C3428" w:rsidP="00F1223B">
            <w:pPr>
              <w:tabs>
                <w:tab w:val="left" w:pos="875"/>
              </w:tabs>
              <w:ind w:right="-50"/>
              <w:jc w:val="center"/>
              <w:rPr>
                <w:rFonts w:ascii="Arial" w:hAnsi="Arial" w:cs="Arial"/>
                <w:b/>
              </w:rPr>
            </w:pPr>
            <w:r w:rsidRPr="00D17914">
              <w:rPr>
                <w:rFonts w:ascii="Arial" w:hAnsi="Arial" w:cs="Arial"/>
                <w:b/>
              </w:rPr>
              <w:t>Descripción de la limitación</w:t>
            </w:r>
          </w:p>
        </w:tc>
      </w:tr>
      <w:tr w:rsidR="008C3428" w:rsidRPr="00D17914" w14:paraId="188FE1C5" w14:textId="77777777" w:rsidTr="00F1223B">
        <w:trPr>
          <w:jc w:val="center"/>
        </w:trPr>
        <w:tc>
          <w:tcPr>
            <w:tcW w:w="988" w:type="dxa"/>
          </w:tcPr>
          <w:p w14:paraId="17453808" w14:textId="77777777" w:rsidR="008C3428" w:rsidRPr="00D17914" w:rsidRDefault="008C3428" w:rsidP="00F1223B">
            <w:pPr>
              <w:tabs>
                <w:tab w:val="left" w:pos="875"/>
              </w:tabs>
              <w:ind w:right="-50"/>
              <w:jc w:val="center"/>
              <w:rPr>
                <w:rFonts w:ascii="Arial" w:hAnsi="Arial" w:cs="Arial"/>
                <w:b/>
                <w:bCs/>
              </w:rPr>
            </w:pPr>
            <w:r w:rsidRPr="00D17914">
              <w:rPr>
                <w:rFonts w:ascii="Arial" w:hAnsi="Arial" w:cs="Arial"/>
                <w:b/>
                <w:bCs/>
              </w:rPr>
              <w:t>1</w:t>
            </w:r>
          </w:p>
        </w:tc>
        <w:tc>
          <w:tcPr>
            <w:tcW w:w="3969" w:type="dxa"/>
          </w:tcPr>
          <w:p w14:paraId="55834EDD" w14:textId="77777777" w:rsidR="008C3428" w:rsidRPr="00D17914" w:rsidRDefault="008C3428" w:rsidP="00F1223B">
            <w:pPr>
              <w:tabs>
                <w:tab w:val="left" w:pos="875"/>
              </w:tabs>
              <w:ind w:right="-50"/>
              <w:jc w:val="both"/>
              <w:rPr>
                <w:rFonts w:ascii="Arial" w:hAnsi="Arial" w:cs="Arial"/>
                <w:b/>
                <w:bCs/>
              </w:rPr>
            </w:pPr>
            <w:r w:rsidRPr="00D17914">
              <w:rPr>
                <w:rFonts w:ascii="Arial" w:hAnsi="Arial" w:cs="Arial"/>
                <w:b/>
                <w:bCs/>
              </w:rPr>
              <w:t>Administrativas:</w:t>
            </w:r>
          </w:p>
        </w:tc>
        <w:tc>
          <w:tcPr>
            <w:tcW w:w="5392" w:type="dxa"/>
          </w:tcPr>
          <w:p w14:paraId="29756AD3" w14:textId="77777777" w:rsidR="008C3428" w:rsidRPr="00D17914" w:rsidRDefault="008C3428" w:rsidP="00F1223B">
            <w:pPr>
              <w:tabs>
                <w:tab w:val="left" w:pos="875"/>
              </w:tabs>
              <w:ind w:right="-50"/>
              <w:jc w:val="both"/>
              <w:rPr>
                <w:rFonts w:ascii="Arial" w:hAnsi="Arial" w:cs="Arial"/>
              </w:rPr>
            </w:pPr>
            <w:r w:rsidRPr="00D17914">
              <w:rPr>
                <w:rFonts w:ascii="Arial" w:hAnsi="Arial" w:cs="Arial"/>
              </w:rPr>
              <w:t>Falta de coordinación con las entidades.</w:t>
            </w:r>
          </w:p>
        </w:tc>
      </w:tr>
      <w:tr w:rsidR="008C3428" w:rsidRPr="00D17914" w14:paraId="6F12E1CB" w14:textId="77777777" w:rsidTr="00F1223B">
        <w:trPr>
          <w:jc w:val="center"/>
        </w:trPr>
        <w:tc>
          <w:tcPr>
            <w:tcW w:w="988" w:type="dxa"/>
          </w:tcPr>
          <w:p w14:paraId="62D4F01F" w14:textId="77777777" w:rsidR="008C3428" w:rsidRPr="00D17914" w:rsidRDefault="008C3428" w:rsidP="00F1223B">
            <w:pPr>
              <w:tabs>
                <w:tab w:val="left" w:pos="875"/>
              </w:tabs>
              <w:ind w:right="-50"/>
              <w:jc w:val="center"/>
              <w:rPr>
                <w:rFonts w:ascii="Arial" w:hAnsi="Arial" w:cs="Arial"/>
                <w:b/>
                <w:bCs/>
              </w:rPr>
            </w:pPr>
            <w:r w:rsidRPr="00D17914">
              <w:rPr>
                <w:rFonts w:ascii="Arial" w:hAnsi="Arial" w:cs="Arial"/>
                <w:b/>
                <w:bCs/>
              </w:rPr>
              <w:t>2</w:t>
            </w:r>
          </w:p>
        </w:tc>
        <w:tc>
          <w:tcPr>
            <w:tcW w:w="3969" w:type="dxa"/>
          </w:tcPr>
          <w:p w14:paraId="1E0CBFE3" w14:textId="77777777" w:rsidR="008C3428" w:rsidRPr="00D17914" w:rsidRDefault="008C3428" w:rsidP="00F1223B">
            <w:pPr>
              <w:tabs>
                <w:tab w:val="left" w:pos="875"/>
              </w:tabs>
              <w:ind w:right="-50"/>
              <w:jc w:val="both"/>
              <w:rPr>
                <w:rFonts w:ascii="Arial" w:hAnsi="Arial" w:cs="Arial"/>
                <w:b/>
                <w:bCs/>
              </w:rPr>
            </w:pPr>
            <w:r w:rsidRPr="00D17914">
              <w:rPr>
                <w:rFonts w:ascii="Arial" w:hAnsi="Arial" w:cs="Arial"/>
                <w:b/>
                <w:bCs/>
              </w:rPr>
              <w:t>Técnicas:</w:t>
            </w:r>
          </w:p>
        </w:tc>
        <w:tc>
          <w:tcPr>
            <w:tcW w:w="5392" w:type="dxa"/>
          </w:tcPr>
          <w:p w14:paraId="6A2A2D25" w14:textId="77777777" w:rsidR="008C3428" w:rsidRPr="00D17914" w:rsidRDefault="008C3428" w:rsidP="00F1223B">
            <w:pPr>
              <w:tabs>
                <w:tab w:val="left" w:pos="875"/>
              </w:tabs>
              <w:ind w:right="-50"/>
              <w:jc w:val="both"/>
              <w:rPr>
                <w:rFonts w:ascii="Arial" w:hAnsi="Arial" w:cs="Arial"/>
              </w:rPr>
            </w:pPr>
            <w:r w:rsidRPr="00D17914">
              <w:rPr>
                <w:rFonts w:ascii="Arial" w:hAnsi="Arial" w:cs="Arial"/>
              </w:rPr>
              <w:t>Las actualizaciones que se realizan en el sistema son posteriores al cargue de la información por ende genera conflictos al momento de validar los formularios. Se debería ampliar las MB para cargar los soportes.</w:t>
            </w:r>
          </w:p>
        </w:tc>
      </w:tr>
      <w:tr w:rsidR="008C3428" w:rsidRPr="00D17914" w14:paraId="4BFF6488" w14:textId="77777777" w:rsidTr="00F1223B">
        <w:trPr>
          <w:jc w:val="center"/>
        </w:trPr>
        <w:tc>
          <w:tcPr>
            <w:tcW w:w="988" w:type="dxa"/>
          </w:tcPr>
          <w:p w14:paraId="426D2487" w14:textId="77777777" w:rsidR="008C3428" w:rsidRPr="00D17914" w:rsidRDefault="008C3428" w:rsidP="00F1223B">
            <w:pPr>
              <w:tabs>
                <w:tab w:val="left" w:pos="875"/>
              </w:tabs>
              <w:ind w:right="-50"/>
              <w:jc w:val="center"/>
              <w:rPr>
                <w:rFonts w:ascii="Arial" w:hAnsi="Arial" w:cs="Arial"/>
                <w:b/>
                <w:bCs/>
              </w:rPr>
            </w:pPr>
            <w:r w:rsidRPr="00D17914">
              <w:rPr>
                <w:rFonts w:ascii="Arial" w:hAnsi="Arial" w:cs="Arial"/>
                <w:b/>
                <w:bCs/>
              </w:rPr>
              <w:t>3</w:t>
            </w:r>
          </w:p>
        </w:tc>
        <w:tc>
          <w:tcPr>
            <w:tcW w:w="3969" w:type="dxa"/>
          </w:tcPr>
          <w:p w14:paraId="701F2B94" w14:textId="77777777" w:rsidR="008C3428" w:rsidRPr="00D17914" w:rsidRDefault="008C3428" w:rsidP="00F1223B">
            <w:pPr>
              <w:tabs>
                <w:tab w:val="left" w:pos="875"/>
              </w:tabs>
              <w:ind w:right="-50"/>
              <w:jc w:val="both"/>
              <w:rPr>
                <w:rFonts w:ascii="Arial" w:hAnsi="Arial" w:cs="Arial"/>
                <w:b/>
                <w:bCs/>
              </w:rPr>
            </w:pPr>
            <w:r w:rsidRPr="00D17914">
              <w:rPr>
                <w:rFonts w:ascii="Arial" w:hAnsi="Arial" w:cs="Arial"/>
                <w:b/>
                <w:bCs/>
              </w:rPr>
              <w:t>Operativas:</w:t>
            </w:r>
          </w:p>
        </w:tc>
        <w:tc>
          <w:tcPr>
            <w:tcW w:w="5392" w:type="dxa"/>
          </w:tcPr>
          <w:p w14:paraId="76D7B31D" w14:textId="77777777" w:rsidR="008C3428" w:rsidRPr="00D17914" w:rsidRDefault="008C3428" w:rsidP="00F1223B">
            <w:pPr>
              <w:tabs>
                <w:tab w:val="left" w:pos="875"/>
              </w:tabs>
              <w:ind w:right="-50"/>
              <w:jc w:val="both"/>
              <w:rPr>
                <w:rFonts w:ascii="Arial" w:hAnsi="Arial" w:cs="Arial"/>
              </w:rPr>
            </w:pPr>
            <w:r w:rsidRPr="00D17914">
              <w:rPr>
                <w:rFonts w:ascii="Arial" w:hAnsi="Arial" w:cs="Arial"/>
              </w:rPr>
              <w:t>El sistema genera bastantes errores con las actualizaciones.</w:t>
            </w:r>
          </w:p>
        </w:tc>
      </w:tr>
      <w:tr w:rsidR="008C3428" w:rsidRPr="00D17914" w14:paraId="24F8AAD2" w14:textId="77777777" w:rsidTr="00F1223B">
        <w:trPr>
          <w:jc w:val="center"/>
        </w:trPr>
        <w:tc>
          <w:tcPr>
            <w:tcW w:w="988" w:type="dxa"/>
          </w:tcPr>
          <w:p w14:paraId="1FC09F22" w14:textId="77777777" w:rsidR="008C3428" w:rsidRPr="00D17914" w:rsidRDefault="008C3428" w:rsidP="00F1223B">
            <w:pPr>
              <w:tabs>
                <w:tab w:val="left" w:pos="875"/>
              </w:tabs>
              <w:ind w:right="-50"/>
              <w:jc w:val="center"/>
              <w:rPr>
                <w:rFonts w:ascii="Arial" w:hAnsi="Arial" w:cs="Arial"/>
                <w:b/>
                <w:bCs/>
              </w:rPr>
            </w:pPr>
            <w:r w:rsidRPr="00D17914">
              <w:rPr>
                <w:rFonts w:ascii="Arial" w:hAnsi="Arial" w:cs="Arial"/>
                <w:b/>
                <w:bCs/>
              </w:rPr>
              <w:t>4</w:t>
            </w:r>
          </w:p>
        </w:tc>
        <w:tc>
          <w:tcPr>
            <w:tcW w:w="3969" w:type="dxa"/>
          </w:tcPr>
          <w:p w14:paraId="3BA59A24" w14:textId="77777777" w:rsidR="008C3428" w:rsidRPr="00D17914" w:rsidRDefault="008C3428" w:rsidP="00F1223B">
            <w:pPr>
              <w:tabs>
                <w:tab w:val="left" w:pos="875"/>
              </w:tabs>
              <w:ind w:right="-50"/>
              <w:jc w:val="both"/>
              <w:rPr>
                <w:rFonts w:ascii="Arial" w:hAnsi="Arial" w:cs="Arial"/>
                <w:b/>
                <w:bCs/>
              </w:rPr>
            </w:pPr>
            <w:r w:rsidRPr="00D17914">
              <w:rPr>
                <w:rFonts w:ascii="Arial" w:hAnsi="Arial" w:cs="Arial"/>
                <w:b/>
                <w:bCs/>
              </w:rPr>
              <w:t>Soporte a la plataforma:</w:t>
            </w:r>
          </w:p>
        </w:tc>
        <w:tc>
          <w:tcPr>
            <w:tcW w:w="5392" w:type="dxa"/>
          </w:tcPr>
          <w:p w14:paraId="5B173928" w14:textId="77777777" w:rsidR="008C3428" w:rsidRPr="00D17914" w:rsidRDefault="008C3428" w:rsidP="00F1223B">
            <w:pPr>
              <w:tabs>
                <w:tab w:val="left" w:pos="875"/>
              </w:tabs>
              <w:ind w:right="-50"/>
              <w:jc w:val="both"/>
              <w:rPr>
                <w:rFonts w:ascii="Arial" w:hAnsi="Arial" w:cs="Arial"/>
              </w:rPr>
            </w:pPr>
            <w:r w:rsidRPr="00D17914">
              <w:rPr>
                <w:rFonts w:ascii="Arial" w:hAnsi="Arial" w:cs="Arial"/>
              </w:rPr>
              <w:t>Las personas que dan el soporte tienen el tiempo limitado y no se alcanza a resolver las inquietudes en una sola llamada.</w:t>
            </w:r>
          </w:p>
        </w:tc>
      </w:tr>
    </w:tbl>
    <w:p w14:paraId="72BDF45B" w14:textId="77777777" w:rsidR="008C3428" w:rsidRDefault="008C3428" w:rsidP="008C3428">
      <w:pPr>
        <w:ind w:left="-284" w:right="-234"/>
        <w:jc w:val="both"/>
        <w:rPr>
          <w:rFonts w:ascii="Arial" w:hAnsi="Arial" w:cs="Arial"/>
          <w:b/>
          <w:sz w:val="28"/>
          <w:szCs w:val="28"/>
        </w:rPr>
      </w:pPr>
    </w:p>
    <w:p w14:paraId="7C543E7E" w14:textId="77777777" w:rsidR="008C3428" w:rsidRPr="00A52B1D" w:rsidRDefault="008C3428" w:rsidP="008C3428">
      <w:pPr>
        <w:ind w:left="-142"/>
        <w:jc w:val="both"/>
        <w:rPr>
          <w:rFonts w:ascii="Arial" w:hAnsi="Arial" w:cs="Arial"/>
          <w:b/>
          <w:sz w:val="28"/>
          <w:szCs w:val="28"/>
          <w:lang w:val="es-MX"/>
        </w:rPr>
      </w:pPr>
      <w:r w:rsidRPr="00A52B1D">
        <w:rPr>
          <w:rFonts w:ascii="Arial" w:hAnsi="Arial" w:cs="Arial"/>
          <w:b/>
          <w:sz w:val="28"/>
          <w:szCs w:val="28"/>
          <w:lang w:val="es-MX"/>
        </w:rPr>
        <w:lastRenderedPageBreak/>
        <w:t>79.- MINISTERIO DEL DEPORTE.</w:t>
      </w:r>
    </w:p>
    <w:p w14:paraId="46EE564B" w14:textId="77777777" w:rsidR="008C3428" w:rsidRDefault="008C3428" w:rsidP="008C3428">
      <w:pPr>
        <w:ind w:left="-284" w:right="-234"/>
        <w:jc w:val="both"/>
        <w:rPr>
          <w:rFonts w:ascii="Arial" w:hAnsi="Arial" w:cs="Arial"/>
          <w:b/>
          <w:sz w:val="28"/>
          <w:szCs w:val="28"/>
        </w:rPr>
      </w:pPr>
    </w:p>
    <w:tbl>
      <w:tblPr>
        <w:tblStyle w:val="Tablaconcuadrcula"/>
        <w:tblW w:w="10212" w:type="dxa"/>
        <w:jc w:val="center"/>
        <w:tblLook w:val="04A0" w:firstRow="1" w:lastRow="0" w:firstColumn="1" w:lastColumn="0" w:noHBand="0" w:noVBand="1"/>
      </w:tblPr>
      <w:tblGrid>
        <w:gridCol w:w="856"/>
        <w:gridCol w:w="4101"/>
        <w:gridCol w:w="5255"/>
      </w:tblGrid>
      <w:tr w:rsidR="008C3428" w:rsidRPr="00A52B1D" w14:paraId="5BBD6E1D" w14:textId="77777777" w:rsidTr="00F1223B">
        <w:trPr>
          <w:jc w:val="center"/>
        </w:trPr>
        <w:tc>
          <w:tcPr>
            <w:tcW w:w="856" w:type="dxa"/>
          </w:tcPr>
          <w:p w14:paraId="40715217" w14:textId="77777777" w:rsidR="008C3428" w:rsidRPr="00A52B1D" w:rsidRDefault="008C3428" w:rsidP="00F1223B">
            <w:pPr>
              <w:tabs>
                <w:tab w:val="left" w:pos="875"/>
              </w:tabs>
              <w:ind w:right="-50"/>
              <w:jc w:val="center"/>
              <w:rPr>
                <w:rFonts w:ascii="Arial" w:hAnsi="Arial" w:cs="Arial"/>
                <w:b/>
              </w:rPr>
            </w:pPr>
            <w:r w:rsidRPr="00A52B1D">
              <w:rPr>
                <w:rFonts w:ascii="Arial" w:hAnsi="Arial" w:cs="Arial"/>
                <w:b/>
              </w:rPr>
              <w:t>N°</w:t>
            </w:r>
          </w:p>
        </w:tc>
        <w:tc>
          <w:tcPr>
            <w:tcW w:w="4101" w:type="dxa"/>
          </w:tcPr>
          <w:p w14:paraId="566703D6" w14:textId="77777777" w:rsidR="008C3428" w:rsidRPr="00A52B1D" w:rsidRDefault="008C3428" w:rsidP="00F1223B">
            <w:pPr>
              <w:tabs>
                <w:tab w:val="left" w:pos="875"/>
              </w:tabs>
              <w:ind w:right="-50"/>
              <w:jc w:val="center"/>
              <w:rPr>
                <w:rFonts w:ascii="Arial" w:hAnsi="Arial" w:cs="Arial"/>
                <w:b/>
              </w:rPr>
            </w:pPr>
            <w:r w:rsidRPr="00A52B1D">
              <w:rPr>
                <w:rFonts w:ascii="Arial" w:hAnsi="Arial" w:cs="Arial"/>
                <w:b/>
              </w:rPr>
              <w:t>Limitaciones del Sistema CHIP</w:t>
            </w:r>
          </w:p>
          <w:p w14:paraId="490B0D85" w14:textId="77777777" w:rsidR="008C3428" w:rsidRPr="00A52B1D" w:rsidRDefault="008C3428" w:rsidP="00F1223B">
            <w:pPr>
              <w:tabs>
                <w:tab w:val="left" w:pos="875"/>
              </w:tabs>
              <w:ind w:right="-50"/>
              <w:jc w:val="center"/>
              <w:rPr>
                <w:rFonts w:ascii="Arial" w:hAnsi="Arial" w:cs="Arial"/>
                <w:b/>
              </w:rPr>
            </w:pPr>
            <w:r w:rsidRPr="00A52B1D">
              <w:rPr>
                <w:rFonts w:ascii="Arial" w:hAnsi="Arial" w:cs="Arial"/>
                <w:b/>
              </w:rPr>
              <w:t xml:space="preserve"> a 31/12/2023</w:t>
            </w:r>
          </w:p>
          <w:p w14:paraId="48128CEB" w14:textId="77777777" w:rsidR="008C3428" w:rsidRPr="00A52B1D" w:rsidRDefault="008C3428" w:rsidP="00F1223B">
            <w:pPr>
              <w:tabs>
                <w:tab w:val="left" w:pos="875"/>
              </w:tabs>
              <w:ind w:right="-50"/>
              <w:jc w:val="center"/>
              <w:rPr>
                <w:rFonts w:ascii="Arial" w:hAnsi="Arial" w:cs="Arial"/>
                <w:b/>
              </w:rPr>
            </w:pPr>
          </w:p>
        </w:tc>
        <w:tc>
          <w:tcPr>
            <w:tcW w:w="5255" w:type="dxa"/>
            <w:vAlign w:val="center"/>
          </w:tcPr>
          <w:p w14:paraId="0AB4F8E7" w14:textId="77777777" w:rsidR="008C3428" w:rsidRPr="00A52B1D" w:rsidRDefault="008C3428" w:rsidP="00F1223B">
            <w:pPr>
              <w:tabs>
                <w:tab w:val="left" w:pos="875"/>
              </w:tabs>
              <w:ind w:right="-50"/>
              <w:jc w:val="center"/>
              <w:rPr>
                <w:rFonts w:ascii="Arial" w:hAnsi="Arial" w:cs="Arial"/>
                <w:b/>
              </w:rPr>
            </w:pPr>
            <w:r w:rsidRPr="00A52B1D">
              <w:rPr>
                <w:rFonts w:ascii="Arial" w:hAnsi="Arial" w:cs="Arial"/>
                <w:b/>
              </w:rPr>
              <w:t>Descripción de la limitación</w:t>
            </w:r>
          </w:p>
        </w:tc>
      </w:tr>
      <w:tr w:rsidR="008C3428" w:rsidRPr="00A52B1D" w14:paraId="3413FD7A" w14:textId="77777777" w:rsidTr="00F1223B">
        <w:trPr>
          <w:jc w:val="center"/>
        </w:trPr>
        <w:tc>
          <w:tcPr>
            <w:tcW w:w="856" w:type="dxa"/>
          </w:tcPr>
          <w:p w14:paraId="0D363138" w14:textId="77777777" w:rsidR="008C3428" w:rsidRPr="00A52B1D" w:rsidRDefault="008C3428" w:rsidP="00F1223B">
            <w:pPr>
              <w:tabs>
                <w:tab w:val="left" w:pos="875"/>
              </w:tabs>
              <w:ind w:right="-50"/>
              <w:jc w:val="center"/>
              <w:rPr>
                <w:rFonts w:ascii="Arial" w:hAnsi="Arial" w:cs="Arial"/>
                <w:b/>
                <w:bCs/>
              </w:rPr>
            </w:pPr>
            <w:r w:rsidRPr="00A52B1D">
              <w:rPr>
                <w:rFonts w:ascii="Arial" w:hAnsi="Arial" w:cs="Arial"/>
                <w:b/>
                <w:bCs/>
              </w:rPr>
              <w:t>1</w:t>
            </w:r>
          </w:p>
        </w:tc>
        <w:tc>
          <w:tcPr>
            <w:tcW w:w="4101" w:type="dxa"/>
          </w:tcPr>
          <w:p w14:paraId="730AED49" w14:textId="77777777" w:rsidR="008C3428" w:rsidRPr="00A52B1D" w:rsidRDefault="008C3428" w:rsidP="00F1223B">
            <w:pPr>
              <w:tabs>
                <w:tab w:val="left" w:pos="875"/>
              </w:tabs>
              <w:ind w:right="-50"/>
              <w:jc w:val="both"/>
              <w:rPr>
                <w:rFonts w:ascii="Arial" w:hAnsi="Arial" w:cs="Arial"/>
                <w:b/>
                <w:bCs/>
              </w:rPr>
            </w:pPr>
            <w:r w:rsidRPr="00A52B1D">
              <w:rPr>
                <w:rFonts w:ascii="Arial" w:hAnsi="Arial" w:cs="Arial"/>
                <w:b/>
                <w:bCs/>
              </w:rPr>
              <w:t>Técnicas:</w:t>
            </w:r>
          </w:p>
        </w:tc>
        <w:tc>
          <w:tcPr>
            <w:tcW w:w="5255" w:type="dxa"/>
          </w:tcPr>
          <w:p w14:paraId="053DEF5A" w14:textId="77777777" w:rsidR="008C3428" w:rsidRPr="00A52B1D" w:rsidRDefault="008C3428" w:rsidP="00F1223B">
            <w:pPr>
              <w:tabs>
                <w:tab w:val="left" w:pos="875"/>
              </w:tabs>
              <w:ind w:right="-50"/>
              <w:jc w:val="both"/>
              <w:rPr>
                <w:rFonts w:ascii="Arial" w:hAnsi="Arial" w:cs="Arial"/>
              </w:rPr>
            </w:pPr>
            <w:r w:rsidRPr="00A52B1D">
              <w:rPr>
                <w:rFonts w:ascii="Arial" w:hAnsi="Arial" w:cs="Arial"/>
              </w:rPr>
              <w:t>Las actualizaciones del Sistema cuando no se realizan con el tiempo de antelación suficiente, pueden generar contratiempos en el cargue de los estados financieros, por lo que es importante que en diferentes fechas a la fecha límite de cargue, se realicen estas actualizaciones.</w:t>
            </w:r>
          </w:p>
        </w:tc>
      </w:tr>
    </w:tbl>
    <w:p w14:paraId="7DF00A7B" w14:textId="77777777" w:rsidR="008C3428" w:rsidRDefault="008C3428" w:rsidP="008C3428">
      <w:pPr>
        <w:ind w:left="-284" w:right="-234"/>
        <w:jc w:val="both"/>
        <w:rPr>
          <w:rFonts w:ascii="Arial" w:hAnsi="Arial" w:cs="Arial"/>
          <w:b/>
          <w:sz w:val="28"/>
          <w:szCs w:val="28"/>
        </w:rPr>
      </w:pPr>
    </w:p>
    <w:p w14:paraId="7CCF16BA" w14:textId="77777777" w:rsidR="008C3428" w:rsidRPr="00DB0D22" w:rsidRDefault="008C3428" w:rsidP="008C3428">
      <w:pPr>
        <w:ind w:left="-142" w:right="-93"/>
        <w:jc w:val="both"/>
        <w:rPr>
          <w:rFonts w:ascii="Arial" w:hAnsi="Arial" w:cs="Arial"/>
          <w:b/>
          <w:sz w:val="28"/>
          <w:szCs w:val="28"/>
          <w:lang w:val="es-MX"/>
        </w:rPr>
      </w:pPr>
      <w:r w:rsidRPr="00DB0D22">
        <w:rPr>
          <w:rFonts w:ascii="Arial" w:hAnsi="Arial" w:cs="Arial"/>
          <w:b/>
          <w:sz w:val="28"/>
          <w:szCs w:val="28"/>
          <w:lang w:val="es-MX"/>
        </w:rPr>
        <w:t>87.- CORPORACIÓN DE CIENCIA Y TECNOLOGÍA PARA EL DESARROLLO DE LA INDUSTRIA NAVAL, MARÍTIMA Y FLUVIAL - COTECMAR.</w:t>
      </w:r>
    </w:p>
    <w:p w14:paraId="2FA7DC20" w14:textId="77777777" w:rsidR="008C3428" w:rsidRDefault="008C3428" w:rsidP="008C3428">
      <w:pPr>
        <w:ind w:left="-284" w:right="-234"/>
        <w:jc w:val="both"/>
        <w:rPr>
          <w:rFonts w:ascii="Arial" w:hAnsi="Arial" w:cs="Arial"/>
          <w:b/>
          <w:sz w:val="28"/>
          <w:szCs w:val="28"/>
          <w:lang w:val="es-MX"/>
        </w:rPr>
      </w:pPr>
    </w:p>
    <w:tbl>
      <w:tblPr>
        <w:tblStyle w:val="Tablaconcuadrcula"/>
        <w:tblW w:w="10343" w:type="dxa"/>
        <w:jc w:val="center"/>
        <w:tblLook w:val="04A0" w:firstRow="1" w:lastRow="0" w:firstColumn="1" w:lastColumn="0" w:noHBand="0" w:noVBand="1"/>
      </w:tblPr>
      <w:tblGrid>
        <w:gridCol w:w="851"/>
        <w:gridCol w:w="4106"/>
        <w:gridCol w:w="5386"/>
      </w:tblGrid>
      <w:tr w:rsidR="008C3428" w:rsidRPr="008F22A4" w14:paraId="6BE45016" w14:textId="77777777" w:rsidTr="00F1223B">
        <w:trPr>
          <w:jc w:val="center"/>
        </w:trPr>
        <w:tc>
          <w:tcPr>
            <w:tcW w:w="851" w:type="dxa"/>
          </w:tcPr>
          <w:p w14:paraId="55B48985"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N°</w:t>
            </w:r>
          </w:p>
        </w:tc>
        <w:tc>
          <w:tcPr>
            <w:tcW w:w="4106" w:type="dxa"/>
          </w:tcPr>
          <w:p w14:paraId="0A0CA19D"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Limitaciones del Sistema CHIP</w:t>
            </w:r>
          </w:p>
          <w:p w14:paraId="21A0C5E6"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 xml:space="preserve"> a 31/12/202</w:t>
            </w:r>
            <w:r>
              <w:rPr>
                <w:rFonts w:ascii="Arial" w:hAnsi="Arial" w:cs="Arial"/>
                <w:b/>
              </w:rPr>
              <w:t>4</w:t>
            </w:r>
          </w:p>
          <w:p w14:paraId="2FD4D56F" w14:textId="77777777" w:rsidR="008C3428" w:rsidRPr="008F22A4" w:rsidRDefault="008C3428" w:rsidP="00F1223B">
            <w:pPr>
              <w:tabs>
                <w:tab w:val="left" w:pos="875"/>
              </w:tabs>
              <w:ind w:right="-50"/>
              <w:jc w:val="center"/>
              <w:rPr>
                <w:rFonts w:ascii="Arial" w:hAnsi="Arial" w:cs="Arial"/>
                <w:b/>
              </w:rPr>
            </w:pPr>
          </w:p>
        </w:tc>
        <w:tc>
          <w:tcPr>
            <w:tcW w:w="5386" w:type="dxa"/>
            <w:vAlign w:val="center"/>
          </w:tcPr>
          <w:p w14:paraId="130CC4BD" w14:textId="77777777" w:rsidR="008C3428" w:rsidRPr="008F22A4" w:rsidRDefault="008C3428" w:rsidP="00F1223B">
            <w:pPr>
              <w:tabs>
                <w:tab w:val="left" w:pos="875"/>
              </w:tabs>
              <w:ind w:right="-50"/>
              <w:jc w:val="center"/>
              <w:rPr>
                <w:rFonts w:ascii="Arial" w:hAnsi="Arial" w:cs="Arial"/>
                <w:b/>
              </w:rPr>
            </w:pPr>
            <w:r w:rsidRPr="008F22A4">
              <w:rPr>
                <w:rFonts w:ascii="Arial" w:hAnsi="Arial" w:cs="Arial"/>
                <w:b/>
              </w:rPr>
              <w:t>Descripción de la limitación</w:t>
            </w:r>
          </w:p>
        </w:tc>
      </w:tr>
      <w:tr w:rsidR="008C3428" w:rsidRPr="008F22A4" w14:paraId="2F117976" w14:textId="77777777" w:rsidTr="00F1223B">
        <w:trPr>
          <w:jc w:val="center"/>
        </w:trPr>
        <w:tc>
          <w:tcPr>
            <w:tcW w:w="851" w:type="dxa"/>
          </w:tcPr>
          <w:p w14:paraId="30E15C7F" w14:textId="77777777" w:rsidR="008C3428" w:rsidRPr="008F22A4" w:rsidRDefault="008C3428" w:rsidP="00F1223B">
            <w:pPr>
              <w:tabs>
                <w:tab w:val="left" w:pos="875"/>
              </w:tabs>
              <w:ind w:right="-50"/>
              <w:jc w:val="center"/>
              <w:rPr>
                <w:rFonts w:ascii="Arial" w:hAnsi="Arial" w:cs="Arial"/>
                <w:b/>
                <w:bCs/>
              </w:rPr>
            </w:pPr>
            <w:r>
              <w:rPr>
                <w:b/>
                <w:bCs/>
              </w:rPr>
              <w:t>1</w:t>
            </w:r>
          </w:p>
        </w:tc>
        <w:tc>
          <w:tcPr>
            <w:tcW w:w="4106" w:type="dxa"/>
          </w:tcPr>
          <w:p w14:paraId="50A63B65" w14:textId="77777777" w:rsidR="008C3428" w:rsidRDefault="008C3428" w:rsidP="00F1223B">
            <w:pPr>
              <w:jc w:val="both"/>
              <w:rPr>
                <w:b/>
                <w:bCs/>
                <w:sz w:val="18"/>
                <w:szCs w:val="18"/>
              </w:rPr>
            </w:pPr>
            <w:r w:rsidRPr="00FD2C29">
              <w:rPr>
                <w:b/>
                <w:bCs/>
                <w:sz w:val="18"/>
                <w:szCs w:val="18"/>
              </w:rPr>
              <w:t>Técnicas: </w:t>
            </w:r>
          </w:p>
          <w:p w14:paraId="14416191" w14:textId="77777777" w:rsidR="008C3428" w:rsidRPr="00FD2C29" w:rsidRDefault="008C3428" w:rsidP="00F1223B">
            <w:pPr>
              <w:jc w:val="both"/>
              <w:rPr>
                <w:b/>
                <w:bCs/>
                <w:sz w:val="18"/>
                <w:szCs w:val="18"/>
              </w:rPr>
            </w:pPr>
          </w:p>
          <w:p w14:paraId="2B48C348" w14:textId="77777777" w:rsidR="008C3428" w:rsidRDefault="008C3428" w:rsidP="00F1223B">
            <w:pPr>
              <w:jc w:val="both"/>
              <w:rPr>
                <w:sz w:val="18"/>
                <w:szCs w:val="18"/>
              </w:rPr>
            </w:pPr>
            <w:r w:rsidRPr="009376E1">
              <w:rPr>
                <w:sz w:val="18"/>
                <w:szCs w:val="18"/>
              </w:rPr>
              <w:t>Los formularios EJECUCION</w:t>
            </w:r>
            <w:r>
              <w:rPr>
                <w:sz w:val="18"/>
                <w:szCs w:val="18"/>
              </w:rPr>
              <w:t xml:space="preserve"> </w:t>
            </w:r>
            <w:r w:rsidRPr="009376E1">
              <w:rPr>
                <w:sz w:val="18"/>
                <w:szCs w:val="18"/>
              </w:rPr>
              <w:t>DEGASTOS, EJECUCION</w:t>
            </w:r>
            <w:r>
              <w:rPr>
                <w:sz w:val="18"/>
                <w:szCs w:val="18"/>
              </w:rPr>
              <w:t xml:space="preserve"> </w:t>
            </w:r>
            <w:r w:rsidRPr="009376E1">
              <w:rPr>
                <w:sz w:val="18"/>
                <w:szCs w:val="18"/>
              </w:rPr>
              <w:t>DE</w:t>
            </w:r>
            <w:r>
              <w:rPr>
                <w:sz w:val="18"/>
                <w:szCs w:val="18"/>
              </w:rPr>
              <w:t xml:space="preserve"> </w:t>
            </w:r>
            <w:r w:rsidRPr="009376E1">
              <w:rPr>
                <w:sz w:val="18"/>
                <w:szCs w:val="18"/>
              </w:rPr>
              <w:t>INGRESOS, PROGRAMACION</w:t>
            </w:r>
            <w:r>
              <w:rPr>
                <w:sz w:val="18"/>
                <w:szCs w:val="18"/>
              </w:rPr>
              <w:t xml:space="preserve"> </w:t>
            </w:r>
            <w:r w:rsidRPr="009376E1">
              <w:rPr>
                <w:sz w:val="18"/>
                <w:szCs w:val="18"/>
              </w:rPr>
              <w:t>DEGASTOS y PROGRAMACION</w:t>
            </w:r>
            <w:r>
              <w:rPr>
                <w:sz w:val="18"/>
                <w:szCs w:val="18"/>
              </w:rPr>
              <w:t xml:space="preserve"> </w:t>
            </w:r>
            <w:r w:rsidRPr="009376E1">
              <w:rPr>
                <w:sz w:val="18"/>
                <w:szCs w:val="18"/>
              </w:rPr>
              <w:t>DE</w:t>
            </w:r>
            <w:r>
              <w:rPr>
                <w:sz w:val="18"/>
                <w:szCs w:val="18"/>
              </w:rPr>
              <w:t xml:space="preserve"> </w:t>
            </w:r>
            <w:r w:rsidRPr="009376E1">
              <w:rPr>
                <w:sz w:val="18"/>
                <w:szCs w:val="18"/>
              </w:rPr>
              <w:t>INGRESOS presentan una estructura de datos que es aplicable únicamente a entidades que se encuentran dentro de las asignaciones del presupuesto de la nación. </w:t>
            </w:r>
          </w:p>
          <w:p w14:paraId="21785F33" w14:textId="77777777" w:rsidR="008C3428" w:rsidRDefault="008C3428" w:rsidP="00F1223B">
            <w:pPr>
              <w:jc w:val="both"/>
              <w:rPr>
                <w:sz w:val="18"/>
                <w:szCs w:val="18"/>
              </w:rPr>
            </w:pPr>
          </w:p>
          <w:p w14:paraId="21E8EA4A" w14:textId="77777777" w:rsidR="008C3428" w:rsidRPr="00131FD2" w:rsidRDefault="008C3428" w:rsidP="00F1223B">
            <w:pPr>
              <w:jc w:val="both"/>
              <w:rPr>
                <w:rFonts w:ascii="Arial" w:hAnsi="Arial" w:cs="Arial"/>
                <w:sz w:val="18"/>
                <w:szCs w:val="18"/>
              </w:rPr>
            </w:pPr>
            <w:r w:rsidRPr="009376E1">
              <w:rPr>
                <w:sz w:val="18"/>
                <w:szCs w:val="18"/>
              </w:rPr>
              <w:t>El cargue de los archivos de Estados Financieros presenta limitaciones en cuanto al tamaño y formato. </w:t>
            </w:r>
          </w:p>
        </w:tc>
        <w:tc>
          <w:tcPr>
            <w:tcW w:w="5386" w:type="dxa"/>
          </w:tcPr>
          <w:p w14:paraId="7F70ECA6" w14:textId="77777777" w:rsidR="008C3428" w:rsidRDefault="008C3428" w:rsidP="00F1223B">
            <w:pPr>
              <w:jc w:val="both"/>
              <w:rPr>
                <w:sz w:val="18"/>
                <w:szCs w:val="18"/>
              </w:rPr>
            </w:pPr>
          </w:p>
          <w:p w14:paraId="2A339F5B" w14:textId="77777777" w:rsidR="008C3428" w:rsidRDefault="008C3428" w:rsidP="00F1223B">
            <w:pPr>
              <w:jc w:val="both"/>
              <w:rPr>
                <w:sz w:val="18"/>
                <w:szCs w:val="18"/>
              </w:rPr>
            </w:pPr>
          </w:p>
          <w:p w14:paraId="19753410" w14:textId="77777777" w:rsidR="008C3428" w:rsidRPr="009376E1" w:rsidRDefault="008C3428" w:rsidP="00F1223B">
            <w:pPr>
              <w:jc w:val="both"/>
              <w:rPr>
                <w:sz w:val="18"/>
                <w:szCs w:val="18"/>
              </w:rPr>
            </w:pPr>
            <w:r w:rsidRPr="009376E1">
              <w:rPr>
                <w:sz w:val="18"/>
                <w:szCs w:val="18"/>
              </w:rPr>
              <w:t>Esta limitación hace que la información de una entidad que no hacen parte de las asignaciones del presupuesto de la Nación tenga que adaptar sus datos e información para cumplir con el requerimiento de reporte. </w:t>
            </w:r>
          </w:p>
          <w:p w14:paraId="405B00A9" w14:textId="77777777" w:rsidR="008C3428" w:rsidRDefault="008C3428" w:rsidP="00F1223B">
            <w:pPr>
              <w:tabs>
                <w:tab w:val="left" w:pos="875"/>
              </w:tabs>
              <w:ind w:right="-50"/>
              <w:jc w:val="both"/>
              <w:rPr>
                <w:sz w:val="18"/>
                <w:szCs w:val="18"/>
              </w:rPr>
            </w:pPr>
            <w:r w:rsidRPr="009376E1">
              <w:rPr>
                <w:sz w:val="18"/>
                <w:szCs w:val="18"/>
              </w:rPr>
              <w:t>  </w:t>
            </w:r>
          </w:p>
          <w:p w14:paraId="7E352BBB" w14:textId="77777777" w:rsidR="008C3428" w:rsidRDefault="008C3428" w:rsidP="00F1223B">
            <w:pPr>
              <w:tabs>
                <w:tab w:val="left" w:pos="875"/>
              </w:tabs>
              <w:ind w:right="-50"/>
              <w:jc w:val="both"/>
            </w:pPr>
          </w:p>
          <w:p w14:paraId="58DBAB0E" w14:textId="77777777" w:rsidR="008C3428" w:rsidRDefault="008C3428" w:rsidP="00F1223B">
            <w:pPr>
              <w:tabs>
                <w:tab w:val="left" w:pos="875"/>
              </w:tabs>
              <w:ind w:right="-50"/>
              <w:jc w:val="both"/>
            </w:pPr>
          </w:p>
          <w:p w14:paraId="7E3E1751" w14:textId="77777777" w:rsidR="008C3428" w:rsidRPr="008F22A4" w:rsidRDefault="008C3428" w:rsidP="00F1223B">
            <w:pPr>
              <w:tabs>
                <w:tab w:val="left" w:pos="875"/>
              </w:tabs>
              <w:ind w:right="-50"/>
              <w:jc w:val="both"/>
              <w:rPr>
                <w:rFonts w:ascii="Arial" w:hAnsi="Arial" w:cs="Arial"/>
              </w:rPr>
            </w:pPr>
            <w:r w:rsidRPr="009376E1">
              <w:rPr>
                <w:sz w:val="18"/>
                <w:szCs w:val="18"/>
              </w:rPr>
              <w:t>Se debe ampliar la capacidad permitida para los archivos que pueden ser cargados a la plataforma puesto que esta limitación obliga a eliminar información relevante dentro de los textos en las notas de revelación. </w:t>
            </w:r>
          </w:p>
        </w:tc>
      </w:tr>
      <w:tr w:rsidR="008C3428" w:rsidRPr="008F22A4" w14:paraId="40B565FF" w14:textId="77777777" w:rsidTr="00F1223B">
        <w:trPr>
          <w:jc w:val="center"/>
        </w:trPr>
        <w:tc>
          <w:tcPr>
            <w:tcW w:w="851" w:type="dxa"/>
          </w:tcPr>
          <w:p w14:paraId="4C6D613C" w14:textId="77777777" w:rsidR="008C3428" w:rsidRPr="008F22A4" w:rsidRDefault="008C3428" w:rsidP="00F1223B">
            <w:pPr>
              <w:tabs>
                <w:tab w:val="left" w:pos="875"/>
              </w:tabs>
              <w:ind w:right="-50"/>
              <w:jc w:val="center"/>
              <w:rPr>
                <w:b/>
                <w:bCs/>
              </w:rPr>
            </w:pPr>
            <w:r>
              <w:rPr>
                <w:b/>
                <w:bCs/>
              </w:rPr>
              <w:t>2</w:t>
            </w:r>
          </w:p>
        </w:tc>
        <w:tc>
          <w:tcPr>
            <w:tcW w:w="4106" w:type="dxa"/>
            <w:vAlign w:val="center"/>
          </w:tcPr>
          <w:p w14:paraId="1B380B92" w14:textId="77777777" w:rsidR="008C3428" w:rsidRDefault="008C3428" w:rsidP="00F1223B">
            <w:pPr>
              <w:jc w:val="both"/>
              <w:rPr>
                <w:b/>
                <w:bCs/>
                <w:sz w:val="18"/>
                <w:szCs w:val="18"/>
              </w:rPr>
            </w:pPr>
            <w:r w:rsidRPr="00FD2C29">
              <w:rPr>
                <w:b/>
                <w:bCs/>
                <w:sz w:val="18"/>
                <w:szCs w:val="18"/>
              </w:rPr>
              <w:t>Soporte a la plataforma: </w:t>
            </w:r>
          </w:p>
          <w:p w14:paraId="5020B289" w14:textId="77777777" w:rsidR="008C3428" w:rsidRPr="00FD2C29" w:rsidRDefault="008C3428" w:rsidP="00F1223B">
            <w:pPr>
              <w:jc w:val="both"/>
              <w:rPr>
                <w:b/>
                <w:bCs/>
                <w:sz w:val="18"/>
                <w:szCs w:val="18"/>
              </w:rPr>
            </w:pPr>
          </w:p>
          <w:p w14:paraId="116E0B16" w14:textId="77777777" w:rsidR="008C3428" w:rsidRDefault="008C3428" w:rsidP="00F1223B">
            <w:pPr>
              <w:tabs>
                <w:tab w:val="left" w:pos="875"/>
              </w:tabs>
              <w:ind w:right="-50"/>
              <w:jc w:val="both"/>
              <w:rPr>
                <w:sz w:val="18"/>
                <w:szCs w:val="18"/>
              </w:rPr>
            </w:pPr>
            <w:r w:rsidRPr="009376E1">
              <w:rPr>
                <w:sz w:val="18"/>
                <w:szCs w:val="18"/>
              </w:rPr>
              <w:t>El formulario CGN2015_001 Saldos y Movimientos tiene limitaciones en las cuentas del costo donde se deben reportar los conceptos relacionados con la Seguridad Social porque no se encuentran validadas por el Consolidador. Esta situación obliga a que se reporten las cifras relacionadas con estos conceptos en cuentas de gastos. </w:t>
            </w:r>
          </w:p>
          <w:p w14:paraId="45AC1240" w14:textId="77777777" w:rsidR="008C3428" w:rsidRDefault="008C3428" w:rsidP="00F1223B">
            <w:pPr>
              <w:tabs>
                <w:tab w:val="left" w:pos="875"/>
              </w:tabs>
              <w:ind w:right="-50"/>
              <w:jc w:val="both"/>
              <w:rPr>
                <w:b/>
                <w:bCs/>
              </w:rPr>
            </w:pPr>
          </w:p>
          <w:p w14:paraId="7544F11F" w14:textId="77777777" w:rsidR="008C3428" w:rsidRDefault="008C3428" w:rsidP="00F1223B">
            <w:pPr>
              <w:tabs>
                <w:tab w:val="left" w:pos="875"/>
              </w:tabs>
              <w:ind w:right="-50"/>
              <w:jc w:val="both"/>
              <w:rPr>
                <w:b/>
                <w:bCs/>
              </w:rPr>
            </w:pPr>
            <w:r w:rsidRPr="009376E1">
              <w:rPr>
                <w:sz w:val="18"/>
                <w:szCs w:val="18"/>
              </w:rPr>
              <w:t>En la categoría de homologación CGN2015_002 Operaciones Reciprocas Convergencia, presenta limitaciones en el reporta para las cuentas de ingresos operacionales. </w:t>
            </w:r>
          </w:p>
          <w:p w14:paraId="70E3243A" w14:textId="77777777" w:rsidR="008C3428" w:rsidRDefault="008C3428" w:rsidP="00F1223B">
            <w:pPr>
              <w:tabs>
                <w:tab w:val="left" w:pos="875"/>
              </w:tabs>
              <w:ind w:right="-50"/>
              <w:jc w:val="both"/>
              <w:rPr>
                <w:b/>
                <w:bCs/>
              </w:rPr>
            </w:pPr>
          </w:p>
          <w:p w14:paraId="54F1A98C" w14:textId="77777777" w:rsidR="008C3428" w:rsidRDefault="008C3428" w:rsidP="00F1223B">
            <w:pPr>
              <w:tabs>
                <w:tab w:val="left" w:pos="875"/>
              </w:tabs>
              <w:ind w:right="-50"/>
              <w:jc w:val="both"/>
              <w:rPr>
                <w:b/>
                <w:bCs/>
              </w:rPr>
            </w:pPr>
          </w:p>
          <w:p w14:paraId="56025007" w14:textId="77777777" w:rsidR="008C3428" w:rsidRDefault="008C3428" w:rsidP="00F1223B">
            <w:pPr>
              <w:tabs>
                <w:tab w:val="left" w:pos="875"/>
              </w:tabs>
              <w:ind w:right="-50"/>
              <w:jc w:val="both"/>
              <w:rPr>
                <w:b/>
                <w:bCs/>
              </w:rPr>
            </w:pPr>
          </w:p>
          <w:p w14:paraId="31C4F329" w14:textId="77777777" w:rsidR="008C3428" w:rsidRDefault="008C3428" w:rsidP="00F1223B">
            <w:pPr>
              <w:tabs>
                <w:tab w:val="left" w:pos="875"/>
              </w:tabs>
              <w:ind w:right="-50"/>
              <w:jc w:val="both"/>
              <w:rPr>
                <w:b/>
                <w:bCs/>
              </w:rPr>
            </w:pPr>
          </w:p>
          <w:p w14:paraId="6BB144D5" w14:textId="77777777" w:rsidR="008C3428" w:rsidRDefault="008C3428" w:rsidP="00F1223B">
            <w:pPr>
              <w:tabs>
                <w:tab w:val="left" w:pos="875"/>
              </w:tabs>
              <w:ind w:right="-50"/>
              <w:jc w:val="both"/>
              <w:rPr>
                <w:b/>
                <w:bCs/>
              </w:rPr>
            </w:pPr>
          </w:p>
          <w:p w14:paraId="0AAA9086" w14:textId="77777777" w:rsidR="008C3428" w:rsidRPr="009376E1" w:rsidRDefault="008C3428" w:rsidP="00F1223B">
            <w:pPr>
              <w:jc w:val="both"/>
              <w:rPr>
                <w:sz w:val="18"/>
                <w:szCs w:val="18"/>
              </w:rPr>
            </w:pPr>
            <w:r w:rsidRPr="009376E1">
              <w:rPr>
                <w:sz w:val="18"/>
                <w:szCs w:val="18"/>
              </w:rPr>
              <w:t xml:space="preserve">En la categoría de homologación CGN2015_002 Operaciones Reciprocas Convergencia para algunos terceros habilitados en el listado del formulario no se encuentran vinculados con todas las </w:t>
            </w:r>
            <w:r w:rsidRPr="009376E1">
              <w:rPr>
                <w:sz w:val="18"/>
                <w:szCs w:val="18"/>
              </w:rPr>
              <w:lastRenderedPageBreak/>
              <w:t>cuentas de Gastos Generales. </w:t>
            </w:r>
          </w:p>
          <w:p w14:paraId="4C7722F2" w14:textId="77777777" w:rsidR="008C3428" w:rsidRDefault="008C3428" w:rsidP="00F1223B">
            <w:pPr>
              <w:tabs>
                <w:tab w:val="left" w:pos="875"/>
              </w:tabs>
              <w:ind w:right="-50"/>
              <w:jc w:val="both"/>
              <w:rPr>
                <w:b/>
                <w:bCs/>
              </w:rPr>
            </w:pPr>
          </w:p>
          <w:p w14:paraId="11847595" w14:textId="77777777" w:rsidR="008C3428" w:rsidRPr="008F22A4" w:rsidRDefault="008C3428" w:rsidP="00F1223B">
            <w:pPr>
              <w:tabs>
                <w:tab w:val="left" w:pos="875"/>
              </w:tabs>
              <w:ind w:right="-50"/>
              <w:jc w:val="both"/>
              <w:rPr>
                <w:b/>
                <w:bCs/>
              </w:rPr>
            </w:pPr>
            <w:r w:rsidRPr="009376E1">
              <w:rPr>
                <w:sz w:val="18"/>
                <w:szCs w:val="18"/>
              </w:rPr>
              <w:t>En la categoría de homologación CGN2015_002 Operaciones Reciprocas Convergencia, Se tienen operaciones con entidades como DIMAR y otras, que no figuran en las bases de datos del CHIP, pese a ser entidades públicas, por lo que en la actualidad se omiten en el reporte las operaciones recíprocas con dichas entidades </w:t>
            </w:r>
          </w:p>
        </w:tc>
        <w:tc>
          <w:tcPr>
            <w:tcW w:w="5386" w:type="dxa"/>
            <w:vAlign w:val="center"/>
          </w:tcPr>
          <w:p w14:paraId="219F9C8A" w14:textId="77777777" w:rsidR="008C3428" w:rsidRDefault="008C3428" w:rsidP="00F1223B">
            <w:pPr>
              <w:tabs>
                <w:tab w:val="left" w:pos="875"/>
              </w:tabs>
              <w:ind w:right="-50"/>
              <w:jc w:val="both"/>
              <w:rPr>
                <w:sz w:val="18"/>
                <w:szCs w:val="18"/>
              </w:rPr>
            </w:pPr>
          </w:p>
          <w:p w14:paraId="03451195" w14:textId="77777777" w:rsidR="008C3428" w:rsidRDefault="008C3428" w:rsidP="00F1223B">
            <w:pPr>
              <w:tabs>
                <w:tab w:val="left" w:pos="875"/>
              </w:tabs>
              <w:ind w:right="-50"/>
              <w:jc w:val="both"/>
              <w:rPr>
                <w:sz w:val="18"/>
                <w:szCs w:val="18"/>
              </w:rPr>
            </w:pPr>
          </w:p>
          <w:p w14:paraId="0BC0447E" w14:textId="77777777" w:rsidR="008C3428" w:rsidRDefault="008C3428" w:rsidP="00F1223B">
            <w:pPr>
              <w:tabs>
                <w:tab w:val="left" w:pos="875"/>
              </w:tabs>
              <w:ind w:right="-50"/>
              <w:jc w:val="both"/>
              <w:rPr>
                <w:sz w:val="18"/>
                <w:szCs w:val="18"/>
              </w:rPr>
            </w:pPr>
            <w:r w:rsidRPr="009376E1">
              <w:rPr>
                <w:sz w:val="18"/>
                <w:szCs w:val="18"/>
              </w:rPr>
              <w:t>De acuerdo con el Radicado CGN 20211300111391, “</w:t>
            </w:r>
            <w:r w:rsidRPr="009376E1">
              <w:rPr>
                <w:i/>
                <w:iCs/>
                <w:sz w:val="18"/>
                <w:szCs w:val="18"/>
              </w:rPr>
              <w:t>las reglas de eliminación no incluyen conceptos en los cuales la transacción realizada tenga como beneficiario final del servicio prestado a personas naturales, como es el caso en la generalidad de las subcuentas vinculadas a los costos”</w:t>
            </w:r>
            <w:r w:rsidRPr="009376E1">
              <w:rPr>
                <w:sz w:val="18"/>
                <w:szCs w:val="18"/>
              </w:rPr>
              <w:t>; sin embargo, otras entidades reportan sus ingresos bajo estos conceptos. </w:t>
            </w:r>
          </w:p>
          <w:p w14:paraId="6A105490" w14:textId="77777777" w:rsidR="008C3428" w:rsidRDefault="008C3428" w:rsidP="00F1223B">
            <w:pPr>
              <w:tabs>
                <w:tab w:val="left" w:pos="875"/>
              </w:tabs>
              <w:ind w:right="-50"/>
              <w:jc w:val="both"/>
            </w:pPr>
          </w:p>
          <w:p w14:paraId="0F891164" w14:textId="77777777" w:rsidR="008C3428" w:rsidRDefault="008C3428" w:rsidP="00F1223B">
            <w:pPr>
              <w:tabs>
                <w:tab w:val="left" w:pos="875"/>
              </w:tabs>
              <w:ind w:right="-50"/>
              <w:jc w:val="both"/>
              <w:rPr>
                <w:sz w:val="18"/>
                <w:szCs w:val="18"/>
              </w:rPr>
            </w:pPr>
            <w:r w:rsidRPr="009376E1">
              <w:rPr>
                <w:sz w:val="18"/>
                <w:szCs w:val="18"/>
              </w:rPr>
              <w:t>De acuerdo con el Radicado CGN 20211300111391, “</w:t>
            </w:r>
            <w:r w:rsidRPr="009376E1">
              <w:rPr>
                <w:i/>
                <w:iCs/>
                <w:sz w:val="18"/>
                <w:szCs w:val="18"/>
              </w:rPr>
              <w:t>la subcuenta 439002-Servicios de apoyo industrial, de la cuenta 4390- Otros servicios, no está incorporada en las reglas de eliminación debido a que estas están diseñadas por tipo de operación que puedan enlazarse sin inconvenientes entre las entidades partícipes de la operación y no con conceptos genéricos. Por tanto, las subcuentas no incluidas en las reglas de eliminación publicadas para cada trimestre por la CGN no son objeto de reporte en el formulario CGN2015_002_ Operaciones_ recíprocas_ convergencia.”</w:t>
            </w:r>
            <w:r w:rsidRPr="009376E1">
              <w:rPr>
                <w:sz w:val="18"/>
                <w:szCs w:val="18"/>
              </w:rPr>
              <w:t> </w:t>
            </w:r>
          </w:p>
          <w:p w14:paraId="186CE1E7" w14:textId="77777777" w:rsidR="008C3428" w:rsidRDefault="008C3428" w:rsidP="00F1223B">
            <w:pPr>
              <w:tabs>
                <w:tab w:val="left" w:pos="875"/>
              </w:tabs>
              <w:ind w:right="-50"/>
              <w:jc w:val="both"/>
            </w:pPr>
          </w:p>
          <w:p w14:paraId="242313B7" w14:textId="77777777" w:rsidR="008C3428" w:rsidRDefault="008C3428" w:rsidP="00F1223B">
            <w:pPr>
              <w:tabs>
                <w:tab w:val="left" w:pos="875"/>
              </w:tabs>
              <w:ind w:right="-50"/>
              <w:jc w:val="both"/>
              <w:rPr>
                <w:sz w:val="18"/>
                <w:szCs w:val="18"/>
              </w:rPr>
            </w:pPr>
          </w:p>
          <w:p w14:paraId="70B8212E" w14:textId="77777777" w:rsidR="008C3428" w:rsidRDefault="008C3428" w:rsidP="00F1223B">
            <w:pPr>
              <w:tabs>
                <w:tab w:val="left" w:pos="875"/>
              </w:tabs>
              <w:ind w:right="-50"/>
              <w:jc w:val="both"/>
              <w:rPr>
                <w:sz w:val="18"/>
                <w:szCs w:val="18"/>
              </w:rPr>
            </w:pPr>
          </w:p>
          <w:p w14:paraId="62DDC969" w14:textId="77777777" w:rsidR="008C3428" w:rsidRDefault="008C3428" w:rsidP="00F1223B">
            <w:pPr>
              <w:tabs>
                <w:tab w:val="left" w:pos="875"/>
              </w:tabs>
              <w:ind w:right="-50"/>
              <w:jc w:val="both"/>
              <w:rPr>
                <w:sz w:val="18"/>
                <w:szCs w:val="18"/>
              </w:rPr>
            </w:pPr>
          </w:p>
          <w:p w14:paraId="7184A9F7" w14:textId="77777777" w:rsidR="008C3428" w:rsidRDefault="008C3428" w:rsidP="00F1223B">
            <w:pPr>
              <w:tabs>
                <w:tab w:val="left" w:pos="875"/>
              </w:tabs>
              <w:ind w:right="-50"/>
              <w:jc w:val="both"/>
              <w:rPr>
                <w:sz w:val="18"/>
                <w:szCs w:val="18"/>
              </w:rPr>
            </w:pPr>
          </w:p>
          <w:p w14:paraId="09796D5B" w14:textId="77777777" w:rsidR="008C3428" w:rsidRDefault="008C3428" w:rsidP="00F1223B">
            <w:pPr>
              <w:tabs>
                <w:tab w:val="left" w:pos="875"/>
              </w:tabs>
              <w:ind w:right="-50"/>
              <w:jc w:val="both"/>
            </w:pPr>
            <w:r w:rsidRPr="009376E1">
              <w:rPr>
                <w:sz w:val="18"/>
                <w:szCs w:val="18"/>
              </w:rPr>
              <w:lastRenderedPageBreak/>
              <w:t>Esta limitación es frecuente y solo se subsana con la actualización de la base de datos en la plataforma. Con cada reporte trimestral se hace necesario generar un caso a la mesa de ayuda de Soporte Informático CHIP</w:t>
            </w:r>
            <w:r>
              <w:rPr>
                <w:sz w:val="18"/>
                <w:szCs w:val="18"/>
              </w:rPr>
              <w:t>,</w:t>
            </w:r>
            <w:r w:rsidRPr="009376E1">
              <w:rPr>
                <w:sz w:val="18"/>
                <w:szCs w:val="18"/>
              </w:rPr>
              <w:t xml:space="preserve"> para que sea habilitada la respectiva cuenta y permita cargar y trasmitir la información. </w:t>
            </w:r>
          </w:p>
          <w:p w14:paraId="12650305" w14:textId="77777777" w:rsidR="008C3428" w:rsidRDefault="008C3428" w:rsidP="00F1223B">
            <w:pPr>
              <w:tabs>
                <w:tab w:val="left" w:pos="875"/>
              </w:tabs>
              <w:ind w:right="-50"/>
              <w:jc w:val="both"/>
            </w:pPr>
          </w:p>
          <w:p w14:paraId="48318AD1" w14:textId="77777777" w:rsidR="008C3428" w:rsidRDefault="008C3428" w:rsidP="00F1223B">
            <w:pPr>
              <w:tabs>
                <w:tab w:val="left" w:pos="875"/>
              </w:tabs>
              <w:ind w:right="-50"/>
              <w:jc w:val="both"/>
              <w:rPr>
                <w:sz w:val="18"/>
                <w:szCs w:val="18"/>
              </w:rPr>
            </w:pPr>
          </w:p>
          <w:p w14:paraId="2FA75004" w14:textId="77777777" w:rsidR="008C3428" w:rsidRPr="008F22A4" w:rsidRDefault="008C3428" w:rsidP="00F1223B">
            <w:pPr>
              <w:tabs>
                <w:tab w:val="left" w:pos="875"/>
              </w:tabs>
              <w:ind w:right="-50"/>
              <w:jc w:val="both"/>
            </w:pPr>
            <w:r w:rsidRPr="009376E1">
              <w:rPr>
                <w:sz w:val="18"/>
                <w:szCs w:val="18"/>
              </w:rPr>
              <w:t>Esta limitación es frecuente y solo se subsana con la actualización de la base de datos en la plataforma de entidades que a juicio de la Corporación se consideran recíprocas para estudio de pertinencia de su inclusión   en el formulario correspondiente, en caso contrario se deja constancia de las razones por las que no se incluyen en los saldos de recíprocas. </w:t>
            </w:r>
          </w:p>
        </w:tc>
      </w:tr>
    </w:tbl>
    <w:p w14:paraId="0A16B87D" w14:textId="77777777" w:rsidR="008C3428" w:rsidRDefault="008C3428" w:rsidP="008C3428">
      <w:pPr>
        <w:ind w:left="-284" w:right="-234"/>
        <w:jc w:val="both"/>
        <w:rPr>
          <w:rFonts w:ascii="Arial" w:hAnsi="Arial" w:cs="Arial"/>
          <w:b/>
          <w:sz w:val="28"/>
          <w:szCs w:val="28"/>
        </w:rPr>
      </w:pPr>
    </w:p>
    <w:p w14:paraId="24B04683" w14:textId="39101CEA" w:rsidR="008C3428" w:rsidRDefault="008C3428" w:rsidP="008C3428">
      <w:pPr>
        <w:ind w:left="-142"/>
        <w:jc w:val="both"/>
        <w:rPr>
          <w:rFonts w:ascii="Arial" w:hAnsi="Arial" w:cs="Arial"/>
          <w:b/>
          <w:sz w:val="28"/>
          <w:szCs w:val="28"/>
          <w:lang w:val="es-MX"/>
        </w:rPr>
      </w:pPr>
      <w:r w:rsidRPr="00652482">
        <w:rPr>
          <w:rFonts w:ascii="Arial" w:hAnsi="Arial" w:cs="Arial"/>
          <w:b/>
          <w:sz w:val="28"/>
          <w:szCs w:val="28"/>
          <w:lang w:val="es-MX"/>
        </w:rPr>
        <w:t>88.- SENADO DE LA REPÚBLICA.</w:t>
      </w:r>
    </w:p>
    <w:p w14:paraId="3A3201CB" w14:textId="77777777" w:rsidR="00A03CB3" w:rsidRPr="00652482" w:rsidRDefault="00A03CB3" w:rsidP="008C3428">
      <w:pPr>
        <w:ind w:left="-142"/>
        <w:jc w:val="both"/>
        <w:rPr>
          <w:rFonts w:ascii="Arial" w:hAnsi="Arial" w:cs="Arial"/>
          <w:b/>
          <w:sz w:val="28"/>
          <w:szCs w:val="28"/>
          <w:lang w:val="es-MX"/>
        </w:rPr>
      </w:pPr>
    </w:p>
    <w:tbl>
      <w:tblPr>
        <w:tblStyle w:val="Tablaconcuadrcula"/>
        <w:tblW w:w="10343" w:type="dxa"/>
        <w:jc w:val="center"/>
        <w:tblLook w:val="04A0" w:firstRow="1" w:lastRow="0" w:firstColumn="1" w:lastColumn="0" w:noHBand="0" w:noVBand="1"/>
      </w:tblPr>
      <w:tblGrid>
        <w:gridCol w:w="846"/>
        <w:gridCol w:w="4116"/>
        <w:gridCol w:w="5381"/>
      </w:tblGrid>
      <w:tr w:rsidR="008C3428" w:rsidRPr="00DD208C" w14:paraId="1AC9BA5C" w14:textId="77777777" w:rsidTr="00F1223B">
        <w:trPr>
          <w:jc w:val="center"/>
        </w:trPr>
        <w:tc>
          <w:tcPr>
            <w:tcW w:w="846" w:type="dxa"/>
          </w:tcPr>
          <w:p w14:paraId="738EBAA6" w14:textId="77777777" w:rsidR="008C3428" w:rsidRPr="00DD208C" w:rsidRDefault="008C3428" w:rsidP="00F1223B">
            <w:pPr>
              <w:tabs>
                <w:tab w:val="left" w:pos="875"/>
              </w:tabs>
              <w:ind w:right="-50"/>
              <w:jc w:val="center"/>
              <w:rPr>
                <w:rFonts w:ascii="Arial" w:hAnsi="Arial" w:cs="Arial"/>
                <w:b/>
              </w:rPr>
            </w:pPr>
            <w:r w:rsidRPr="00DD208C">
              <w:rPr>
                <w:rFonts w:ascii="Arial" w:hAnsi="Arial" w:cs="Arial"/>
                <w:b/>
              </w:rPr>
              <w:t>N°</w:t>
            </w:r>
          </w:p>
        </w:tc>
        <w:tc>
          <w:tcPr>
            <w:tcW w:w="4116" w:type="dxa"/>
          </w:tcPr>
          <w:p w14:paraId="459B6505" w14:textId="77777777" w:rsidR="008C3428" w:rsidRPr="00DD208C" w:rsidRDefault="008C3428" w:rsidP="00F1223B">
            <w:pPr>
              <w:tabs>
                <w:tab w:val="left" w:pos="875"/>
              </w:tabs>
              <w:ind w:right="-50"/>
              <w:jc w:val="center"/>
              <w:rPr>
                <w:rFonts w:ascii="Arial" w:hAnsi="Arial" w:cs="Arial"/>
                <w:b/>
              </w:rPr>
            </w:pPr>
            <w:r w:rsidRPr="00DD208C">
              <w:rPr>
                <w:rFonts w:ascii="Arial" w:hAnsi="Arial" w:cs="Arial"/>
                <w:b/>
              </w:rPr>
              <w:t>Limitaciones del Sistema CHIP</w:t>
            </w:r>
          </w:p>
          <w:p w14:paraId="757F4E40" w14:textId="77777777" w:rsidR="008C3428" w:rsidRPr="00DD208C" w:rsidRDefault="008C3428" w:rsidP="00F1223B">
            <w:pPr>
              <w:tabs>
                <w:tab w:val="left" w:pos="875"/>
              </w:tabs>
              <w:ind w:right="-50"/>
              <w:jc w:val="center"/>
              <w:rPr>
                <w:rFonts w:ascii="Arial" w:hAnsi="Arial" w:cs="Arial"/>
                <w:b/>
              </w:rPr>
            </w:pPr>
            <w:r w:rsidRPr="00DD208C">
              <w:rPr>
                <w:rFonts w:ascii="Arial" w:hAnsi="Arial" w:cs="Arial"/>
                <w:b/>
              </w:rPr>
              <w:t xml:space="preserve"> a 31/12/2023</w:t>
            </w:r>
          </w:p>
          <w:p w14:paraId="2FE9DA7F" w14:textId="77777777" w:rsidR="008C3428" w:rsidRPr="00DD208C" w:rsidRDefault="008C3428" w:rsidP="00F1223B">
            <w:pPr>
              <w:tabs>
                <w:tab w:val="left" w:pos="875"/>
              </w:tabs>
              <w:ind w:right="-50"/>
              <w:jc w:val="center"/>
              <w:rPr>
                <w:rFonts w:ascii="Arial" w:hAnsi="Arial" w:cs="Arial"/>
                <w:b/>
              </w:rPr>
            </w:pPr>
          </w:p>
        </w:tc>
        <w:tc>
          <w:tcPr>
            <w:tcW w:w="5381" w:type="dxa"/>
            <w:vAlign w:val="center"/>
          </w:tcPr>
          <w:p w14:paraId="39700DAF" w14:textId="77777777" w:rsidR="008C3428" w:rsidRPr="00DD208C" w:rsidRDefault="008C3428" w:rsidP="00F1223B">
            <w:pPr>
              <w:tabs>
                <w:tab w:val="left" w:pos="875"/>
              </w:tabs>
              <w:ind w:right="-50"/>
              <w:jc w:val="center"/>
              <w:rPr>
                <w:rFonts w:ascii="Arial" w:hAnsi="Arial" w:cs="Arial"/>
                <w:b/>
              </w:rPr>
            </w:pPr>
            <w:r w:rsidRPr="00DD208C">
              <w:rPr>
                <w:rFonts w:ascii="Arial" w:hAnsi="Arial" w:cs="Arial"/>
                <w:b/>
              </w:rPr>
              <w:t>Descripción de la limitación</w:t>
            </w:r>
          </w:p>
        </w:tc>
      </w:tr>
      <w:tr w:rsidR="008C3428" w:rsidRPr="00DD208C" w14:paraId="25281750" w14:textId="77777777" w:rsidTr="00F1223B">
        <w:trPr>
          <w:jc w:val="center"/>
        </w:trPr>
        <w:tc>
          <w:tcPr>
            <w:tcW w:w="846" w:type="dxa"/>
          </w:tcPr>
          <w:p w14:paraId="47FF0F59" w14:textId="77777777" w:rsidR="008C3428" w:rsidRPr="00DD208C" w:rsidRDefault="008C3428" w:rsidP="00F1223B">
            <w:pPr>
              <w:tabs>
                <w:tab w:val="left" w:pos="875"/>
              </w:tabs>
              <w:ind w:right="-50"/>
              <w:jc w:val="center"/>
              <w:rPr>
                <w:rFonts w:ascii="Arial" w:hAnsi="Arial" w:cs="Arial"/>
                <w:b/>
                <w:bCs/>
              </w:rPr>
            </w:pPr>
            <w:r w:rsidRPr="00DD208C">
              <w:rPr>
                <w:rFonts w:ascii="Arial" w:hAnsi="Arial" w:cs="Arial"/>
                <w:b/>
                <w:bCs/>
              </w:rPr>
              <w:t>1</w:t>
            </w:r>
          </w:p>
        </w:tc>
        <w:tc>
          <w:tcPr>
            <w:tcW w:w="4116" w:type="dxa"/>
          </w:tcPr>
          <w:p w14:paraId="1EFC9E74" w14:textId="77777777" w:rsidR="008C3428" w:rsidRPr="00DD208C" w:rsidRDefault="008C3428" w:rsidP="00F1223B">
            <w:pPr>
              <w:tabs>
                <w:tab w:val="left" w:pos="875"/>
              </w:tabs>
              <w:ind w:right="-50"/>
              <w:jc w:val="both"/>
              <w:rPr>
                <w:rFonts w:ascii="Arial" w:hAnsi="Arial" w:cs="Arial"/>
                <w:b/>
                <w:bCs/>
              </w:rPr>
            </w:pPr>
            <w:r w:rsidRPr="00DD208C">
              <w:rPr>
                <w:rFonts w:ascii="Arial" w:hAnsi="Arial" w:cs="Arial"/>
                <w:b/>
                <w:bCs/>
              </w:rPr>
              <w:t>Otras:</w:t>
            </w:r>
          </w:p>
        </w:tc>
        <w:tc>
          <w:tcPr>
            <w:tcW w:w="5381" w:type="dxa"/>
          </w:tcPr>
          <w:p w14:paraId="5C5788CD" w14:textId="77777777" w:rsidR="008C3428" w:rsidRPr="00DD208C" w:rsidRDefault="008C3428" w:rsidP="00F1223B">
            <w:pPr>
              <w:tabs>
                <w:tab w:val="left" w:pos="875"/>
              </w:tabs>
              <w:ind w:right="-50"/>
              <w:jc w:val="both"/>
              <w:rPr>
                <w:rFonts w:ascii="Arial" w:hAnsi="Arial" w:cs="Arial"/>
              </w:rPr>
            </w:pPr>
            <w:r w:rsidRPr="00DD208C">
              <w:rPr>
                <w:rFonts w:ascii="Arial" w:hAnsi="Arial" w:cs="Arial"/>
              </w:rPr>
              <w:t>El CHIP no proporciona diferentes perfiles de usuario y claves de acceso que tengan relación con la categoría de información que se debe reportar. Esta situación genera inconvenientes, al interior de las entidades, frente a las competencias en los procesos de preparación, consolidación y trasmisión</w:t>
            </w:r>
          </w:p>
        </w:tc>
      </w:tr>
    </w:tbl>
    <w:p w14:paraId="0E130EB0" w14:textId="77777777" w:rsidR="008C3428" w:rsidRDefault="008C3428" w:rsidP="008C3428">
      <w:pPr>
        <w:ind w:left="-284" w:right="-234"/>
        <w:jc w:val="both"/>
        <w:rPr>
          <w:rFonts w:ascii="Arial" w:hAnsi="Arial" w:cs="Arial"/>
          <w:b/>
          <w:sz w:val="28"/>
          <w:szCs w:val="28"/>
        </w:rPr>
      </w:pPr>
    </w:p>
    <w:p w14:paraId="0C273960" w14:textId="77777777" w:rsidR="008C3428" w:rsidRPr="00681147" w:rsidRDefault="008C3428" w:rsidP="008C3428">
      <w:pPr>
        <w:ind w:left="-142"/>
        <w:jc w:val="both"/>
        <w:rPr>
          <w:rFonts w:ascii="Arial" w:hAnsi="Arial" w:cs="Arial"/>
          <w:b/>
          <w:sz w:val="28"/>
          <w:szCs w:val="28"/>
          <w:lang w:val="es-MX"/>
        </w:rPr>
      </w:pPr>
      <w:r w:rsidRPr="00681147">
        <w:rPr>
          <w:rFonts w:ascii="Arial" w:hAnsi="Arial" w:cs="Arial"/>
          <w:b/>
          <w:sz w:val="28"/>
          <w:szCs w:val="28"/>
          <w:lang w:val="es-MX"/>
        </w:rPr>
        <w:t>94.- CORPORACIÓN AUTÓNOMA REGIONAL DE RISARALDA - CARDER.</w:t>
      </w:r>
    </w:p>
    <w:p w14:paraId="57D0DDA2" w14:textId="77777777" w:rsidR="008C3428" w:rsidRDefault="008C3428" w:rsidP="008C3428">
      <w:pPr>
        <w:ind w:left="-284" w:right="-234"/>
        <w:jc w:val="both"/>
        <w:rPr>
          <w:rFonts w:ascii="Arial" w:hAnsi="Arial" w:cs="Arial"/>
          <w:b/>
          <w:sz w:val="28"/>
          <w:szCs w:val="28"/>
          <w:lang w:val="es-MX"/>
        </w:rPr>
      </w:pPr>
    </w:p>
    <w:tbl>
      <w:tblPr>
        <w:tblStyle w:val="Tablaconcuadrcula"/>
        <w:tblW w:w="10343" w:type="dxa"/>
        <w:jc w:val="center"/>
        <w:tblLook w:val="04A0" w:firstRow="1" w:lastRow="0" w:firstColumn="1" w:lastColumn="0" w:noHBand="0" w:noVBand="1"/>
      </w:tblPr>
      <w:tblGrid>
        <w:gridCol w:w="846"/>
        <w:gridCol w:w="4111"/>
        <w:gridCol w:w="5386"/>
      </w:tblGrid>
      <w:tr w:rsidR="008C3428" w:rsidRPr="00681147" w14:paraId="151430D2" w14:textId="77777777" w:rsidTr="00F1223B">
        <w:trPr>
          <w:jc w:val="center"/>
        </w:trPr>
        <w:tc>
          <w:tcPr>
            <w:tcW w:w="846" w:type="dxa"/>
          </w:tcPr>
          <w:p w14:paraId="02D36DD1" w14:textId="77777777" w:rsidR="008C3428" w:rsidRPr="00681147" w:rsidRDefault="008C3428" w:rsidP="00F1223B">
            <w:pPr>
              <w:tabs>
                <w:tab w:val="left" w:pos="875"/>
              </w:tabs>
              <w:ind w:right="-50"/>
              <w:jc w:val="center"/>
              <w:rPr>
                <w:rFonts w:ascii="Arial" w:hAnsi="Arial" w:cs="Arial"/>
                <w:b/>
              </w:rPr>
            </w:pPr>
            <w:r w:rsidRPr="00681147">
              <w:rPr>
                <w:rFonts w:ascii="Arial" w:hAnsi="Arial" w:cs="Arial"/>
                <w:b/>
              </w:rPr>
              <w:t>N°</w:t>
            </w:r>
          </w:p>
        </w:tc>
        <w:tc>
          <w:tcPr>
            <w:tcW w:w="4111" w:type="dxa"/>
          </w:tcPr>
          <w:p w14:paraId="042895DD" w14:textId="77777777" w:rsidR="008C3428" w:rsidRPr="00681147" w:rsidRDefault="008C3428" w:rsidP="00F1223B">
            <w:pPr>
              <w:tabs>
                <w:tab w:val="left" w:pos="875"/>
              </w:tabs>
              <w:ind w:right="-50"/>
              <w:jc w:val="center"/>
              <w:rPr>
                <w:rFonts w:ascii="Arial" w:hAnsi="Arial" w:cs="Arial"/>
                <w:b/>
              </w:rPr>
            </w:pPr>
            <w:r w:rsidRPr="00681147">
              <w:rPr>
                <w:rFonts w:ascii="Arial" w:hAnsi="Arial" w:cs="Arial"/>
                <w:b/>
              </w:rPr>
              <w:t>Limitaciones del Sistema CHIP</w:t>
            </w:r>
          </w:p>
          <w:p w14:paraId="695E4863" w14:textId="77777777" w:rsidR="008C3428" w:rsidRDefault="008C3428" w:rsidP="00F1223B">
            <w:pPr>
              <w:tabs>
                <w:tab w:val="left" w:pos="875"/>
              </w:tabs>
              <w:ind w:right="-50"/>
              <w:jc w:val="center"/>
              <w:rPr>
                <w:rFonts w:ascii="Arial" w:hAnsi="Arial" w:cs="Arial"/>
                <w:b/>
              </w:rPr>
            </w:pPr>
            <w:r w:rsidRPr="00681147">
              <w:rPr>
                <w:rFonts w:ascii="Arial" w:hAnsi="Arial" w:cs="Arial"/>
                <w:b/>
              </w:rPr>
              <w:t xml:space="preserve"> a 31/12/2023</w:t>
            </w:r>
          </w:p>
          <w:p w14:paraId="2409F5D6" w14:textId="7A3F4C47" w:rsidR="00D66458" w:rsidRPr="00681147" w:rsidRDefault="00D66458" w:rsidP="00F1223B">
            <w:pPr>
              <w:tabs>
                <w:tab w:val="left" w:pos="875"/>
              </w:tabs>
              <w:ind w:right="-50"/>
              <w:jc w:val="center"/>
              <w:rPr>
                <w:rFonts w:ascii="Arial" w:hAnsi="Arial" w:cs="Arial"/>
                <w:b/>
              </w:rPr>
            </w:pPr>
          </w:p>
        </w:tc>
        <w:tc>
          <w:tcPr>
            <w:tcW w:w="5386" w:type="dxa"/>
            <w:vAlign w:val="center"/>
          </w:tcPr>
          <w:p w14:paraId="2D28E634" w14:textId="77777777" w:rsidR="008C3428" w:rsidRPr="00681147" w:rsidRDefault="008C3428" w:rsidP="00F1223B">
            <w:pPr>
              <w:tabs>
                <w:tab w:val="left" w:pos="875"/>
              </w:tabs>
              <w:ind w:right="-50"/>
              <w:jc w:val="center"/>
              <w:rPr>
                <w:rFonts w:ascii="Arial" w:hAnsi="Arial" w:cs="Arial"/>
                <w:b/>
              </w:rPr>
            </w:pPr>
            <w:r w:rsidRPr="00681147">
              <w:rPr>
                <w:rFonts w:ascii="Arial" w:hAnsi="Arial" w:cs="Arial"/>
                <w:b/>
              </w:rPr>
              <w:t>Descripción de la limitación</w:t>
            </w:r>
          </w:p>
        </w:tc>
      </w:tr>
      <w:tr w:rsidR="008C3428" w:rsidRPr="00681147" w14:paraId="0A141286" w14:textId="77777777" w:rsidTr="00F1223B">
        <w:trPr>
          <w:jc w:val="center"/>
        </w:trPr>
        <w:tc>
          <w:tcPr>
            <w:tcW w:w="846" w:type="dxa"/>
          </w:tcPr>
          <w:p w14:paraId="42A1B4E7" w14:textId="77777777" w:rsidR="008C3428" w:rsidRPr="00681147" w:rsidRDefault="008C3428" w:rsidP="00F1223B">
            <w:pPr>
              <w:tabs>
                <w:tab w:val="left" w:pos="875"/>
              </w:tabs>
              <w:ind w:right="-50"/>
              <w:jc w:val="center"/>
              <w:rPr>
                <w:rFonts w:ascii="Arial" w:hAnsi="Arial" w:cs="Arial"/>
                <w:b/>
                <w:bCs/>
              </w:rPr>
            </w:pPr>
            <w:r w:rsidRPr="00681147">
              <w:rPr>
                <w:rFonts w:ascii="Arial" w:hAnsi="Arial" w:cs="Arial"/>
                <w:b/>
                <w:bCs/>
              </w:rPr>
              <w:t>1</w:t>
            </w:r>
          </w:p>
        </w:tc>
        <w:tc>
          <w:tcPr>
            <w:tcW w:w="4111" w:type="dxa"/>
          </w:tcPr>
          <w:p w14:paraId="50A5E47C" w14:textId="77777777" w:rsidR="008C3428" w:rsidRPr="00681147" w:rsidRDefault="008C3428" w:rsidP="00F1223B">
            <w:pPr>
              <w:tabs>
                <w:tab w:val="left" w:pos="875"/>
              </w:tabs>
              <w:ind w:right="-50"/>
              <w:jc w:val="both"/>
              <w:rPr>
                <w:rFonts w:ascii="Arial" w:hAnsi="Arial" w:cs="Arial"/>
                <w:b/>
                <w:bCs/>
              </w:rPr>
            </w:pPr>
            <w:r w:rsidRPr="00681147">
              <w:rPr>
                <w:rFonts w:ascii="Arial" w:hAnsi="Arial" w:cs="Arial"/>
                <w:b/>
                <w:bCs/>
              </w:rPr>
              <w:t>Técnicas: Contabilidad</w:t>
            </w:r>
          </w:p>
        </w:tc>
        <w:tc>
          <w:tcPr>
            <w:tcW w:w="5386" w:type="dxa"/>
          </w:tcPr>
          <w:p w14:paraId="073B540C" w14:textId="77777777" w:rsidR="008C3428" w:rsidRPr="00681147" w:rsidRDefault="008C3428" w:rsidP="00F1223B">
            <w:pPr>
              <w:tabs>
                <w:tab w:val="left" w:pos="875"/>
              </w:tabs>
              <w:ind w:right="-50"/>
              <w:jc w:val="both"/>
              <w:rPr>
                <w:rFonts w:ascii="Arial" w:hAnsi="Arial" w:cs="Arial"/>
              </w:rPr>
            </w:pPr>
            <w:r w:rsidRPr="00681147">
              <w:rPr>
                <w:rFonts w:ascii="Arial" w:hAnsi="Arial" w:cs="Arial"/>
              </w:rPr>
              <w:t>La actualización automática desde el CHIP Local el archivo esta con deficiencias. Se debe ir a la página del CHIP ingresar la contraseña y descargar el archivo en la opción actualización.</w:t>
            </w:r>
          </w:p>
        </w:tc>
      </w:tr>
      <w:tr w:rsidR="008C3428" w:rsidRPr="00681147" w14:paraId="711B6EBB" w14:textId="77777777" w:rsidTr="00F1223B">
        <w:trPr>
          <w:jc w:val="center"/>
        </w:trPr>
        <w:tc>
          <w:tcPr>
            <w:tcW w:w="846" w:type="dxa"/>
          </w:tcPr>
          <w:p w14:paraId="3F176111" w14:textId="77777777" w:rsidR="008C3428" w:rsidRPr="00681147" w:rsidRDefault="008C3428" w:rsidP="00F1223B">
            <w:pPr>
              <w:tabs>
                <w:tab w:val="left" w:pos="875"/>
              </w:tabs>
              <w:ind w:right="-50"/>
              <w:jc w:val="center"/>
              <w:rPr>
                <w:rFonts w:ascii="Arial" w:hAnsi="Arial" w:cs="Arial"/>
                <w:b/>
                <w:bCs/>
              </w:rPr>
            </w:pPr>
            <w:r w:rsidRPr="00681147">
              <w:rPr>
                <w:rFonts w:ascii="Arial" w:hAnsi="Arial" w:cs="Arial"/>
                <w:b/>
                <w:bCs/>
              </w:rPr>
              <w:t>2</w:t>
            </w:r>
          </w:p>
        </w:tc>
        <w:tc>
          <w:tcPr>
            <w:tcW w:w="4111" w:type="dxa"/>
          </w:tcPr>
          <w:p w14:paraId="7EF3A077" w14:textId="77777777" w:rsidR="008C3428" w:rsidRPr="00681147" w:rsidRDefault="008C3428" w:rsidP="00F1223B">
            <w:pPr>
              <w:tabs>
                <w:tab w:val="left" w:pos="875"/>
              </w:tabs>
              <w:ind w:right="-50"/>
              <w:jc w:val="both"/>
              <w:rPr>
                <w:rFonts w:ascii="Arial" w:hAnsi="Arial" w:cs="Arial"/>
                <w:b/>
                <w:bCs/>
              </w:rPr>
            </w:pPr>
            <w:r w:rsidRPr="00681147">
              <w:rPr>
                <w:rFonts w:ascii="Arial" w:hAnsi="Arial" w:cs="Arial"/>
                <w:b/>
                <w:bCs/>
              </w:rPr>
              <w:t>Operativas: Contabilidad</w:t>
            </w:r>
          </w:p>
        </w:tc>
        <w:tc>
          <w:tcPr>
            <w:tcW w:w="5386" w:type="dxa"/>
          </w:tcPr>
          <w:p w14:paraId="635FE685" w14:textId="77777777" w:rsidR="008C3428" w:rsidRPr="00681147" w:rsidRDefault="008C3428" w:rsidP="00F1223B">
            <w:pPr>
              <w:tabs>
                <w:tab w:val="left" w:pos="875"/>
              </w:tabs>
              <w:ind w:right="-50"/>
              <w:jc w:val="both"/>
              <w:rPr>
                <w:rFonts w:ascii="Arial" w:hAnsi="Arial" w:cs="Arial"/>
              </w:rPr>
            </w:pPr>
            <w:r w:rsidRPr="00681147">
              <w:rPr>
                <w:rFonts w:ascii="Arial" w:hAnsi="Arial" w:cs="Arial"/>
              </w:rPr>
              <w:t>Cuando se olvida la contraseña del CHIP Local no se puede recuperar y toca que desinstalen e instalen nuevamente perdiendo toda la información que se ha subido.</w:t>
            </w:r>
          </w:p>
        </w:tc>
      </w:tr>
    </w:tbl>
    <w:p w14:paraId="4473E3C9" w14:textId="77777777" w:rsidR="008C3428" w:rsidRDefault="008C3428" w:rsidP="008C3428">
      <w:pPr>
        <w:ind w:left="-284" w:right="-234"/>
        <w:jc w:val="both"/>
        <w:rPr>
          <w:rFonts w:ascii="Arial" w:hAnsi="Arial" w:cs="Arial"/>
          <w:b/>
          <w:sz w:val="28"/>
          <w:szCs w:val="28"/>
        </w:rPr>
      </w:pPr>
    </w:p>
    <w:p w14:paraId="2CF66692" w14:textId="77777777" w:rsidR="008C3428" w:rsidRPr="00E27FA5" w:rsidRDefault="008C3428" w:rsidP="008C3428">
      <w:pPr>
        <w:ind w:left="-142"/>
        <w:jc w:val="both"/>
        <w:rPr>
          <w:rFonts w:ascii="Arial" w:hAnsi="Arial" w:cs="Arial"/>
          <w:b/>
          <w:sz w:val="28"/>
          <w:szCs w:val="28"/>
          <w:lang w:val="es-MX"/>
        </w:rPr>
      </w:pPr>
      <w:r w:rsidRPr="00E27FA5">
        <w:rPr>
          <w:rFonts w:ascii="Arial" w:hAnsi="Arial" w:cs="Arial"/>
          <w:b/>
          <w:sz w:val="28"/>
          <w:szCs w:val="28"/>
          <w:lang w:val="es-MX"/>
        </w:rPr>
        <w:t xml:space="preserve">102.- </w:t>
      </w:r>
      <w:r w:rsidRPr="00E27FA5">
        <w:rPr>
          <w:rFonts w:ascii="Arial" w:hAnsi="Arial" w:cs="Arial"/>
          <w:b/>
          <w:sz w:val="28"/>
          <w:szCs w:val="28"/>
          <w:lang w:val="es-CO"/>
        </w:rPr>
        <w:t xml:space="preserve">CORPORACIÓN SALUD U.N. </w:t>
      </w:r>
    </w:p>
    <w:p w14:paraId="03C9ACA2" w14:textId="77777777" w:rsidR="008C3428" w:rsidRDefault="008C3428" w:rsidP="008C3428">
      <w:pPr>
        <w:ind w:left="-284" w:right="-234"/>
        <w:jc w:val="both"/>
        <w:rPr>
          <w:rFonts w:ascii="Arial" w:hAnsi="Arial" w:cs="Arial"/>
          <w:b/>
          <w:sz w:val="28"/>
          <w:szCs w:val="28"/>
        </w:rPr>
      </w:pPr>
    </w:p>
    <w:tbl>
      <w:tblPr>
        <w:tblStyle w:val="Tablaconcuadrcula"/>
        <w:tblW w:w="10343" w:type="dxa"/>
        <w:jc w:val="center"/>
        <w:tblLook w:val="04A0" w:firstRow="1" w:lastRow="0" w:firstColumn="1" w:lastColumn="0" w:noHBand="0" w:noVBand="1"/>
      </w:tblPr>
      <w:tblGrid>
        <w:gridCol w:w="846"/>
        <w:gridCol w:w="3969"/>
        <w:gridCol w:w="5528"/>
      </w:tblGrid>
      <w:tr w:rsidR="008C3428" w:rsidRPr="00E27FA5" w14:paraId="65147BFC" w14:textId="77777777" w:rsidTr="00F1223B">
        <w:trPr>
          <w:jc w:val="center"/>
        </w:trPr>
        <w:tc>
          <w:tcPr>
            <w:tcW w:w="846" w:type="dxa"/>
          </w:tcPr>
          <w:p w14:paraId="6AF0822A" w14:textId="77777777" w:rsidR="008C3428" w:rsidRPr="00E27FA5" w:rsidRDefault="008C3428" w:rsidP="00F1223B">
            <w:pPr>
              <w:tabs>
                <w:tab w:val="left" w:pos="875"/>
              </w:tabs>
              <w:jc w:val="center"/>
              <w:rPr>
                <w:rFonts w:ascii="Arial" w:hAnsi="Arial" w:cs="Arial"/>
                <w:b/>
              </w:rPr>
            </w:pPr>
            <w:r w:rsidRPr="00E27FA5">
              <w:rPr>
                <w:rFonts w:ascii="Arial" w:hAnsi="Arial" w:cs="Arial"/>
                <w:b/>
              </w:rPr>
              <w:t>N°</w:t>
            </w:r>
          </w:p>
        </w:tc>
        <w:tc>
          <w:tcPr>
            <w:tcW w:w="3969" w:type="dxa"/>
          </w:tcPr>
          <w:p w14:paraId="27BE71C1" w14:textId="77777777" w:rsidR="008C3428" w:rsidRPr="00E27FA5" w:rsidRDefault="008C3428" w:rsidP="00F1223B">
            <w:pPr>
              <w:tabs>
                <w:tab w:val="left" w:pos="875"/>
              </w:tabs>
              <w:jc w:val="center"/>
              <w:rPr>
                <w:rFonts w:ascii="Arial" w:hAnsi="Arial" w:cs="Arial"/>
                <w:b/>
              </w:rPr>
            </w:pPr>
            <w:r w:rsidRPr="00E27FA5">
              <w:rPr>
                <w:rFonts w:ascii="Arial" w:hAnsi="Arial" w:cs="Arial"/>
                <w:b/>
              </w:rPr>
              <w:t>Limitaciones del Sistema CHIP</w:t>
            </w:r>
          </w:p>
          <w:p w14:paraId="501ED38D" w14:textId="77777777" w:rsidR="008C3428" w:rsidRPr="00E27FA5" w:rsidRDefault="008C3428" w:rsidP="00F1223B">
            <w:pPr>
              <w:tabs>
                <w:tab w:val="left" w:pos="875"/>
              </w:tabs>
              <w:jc w:val="center"/>
              <w:rPr>
                <w:rFonts w:ascii="Arial" w:hAnsi="Arial" w:cs="Arial"/>
                <w:b/>
              </w:rPr>
            </w:pPr>
            <w:r w:rsidRPr="00E27FA5">
              <w:rPr>
                <w:rFonts w:ascii="Arial" w:hAnsi="Arial" w:cs="Arial"/>
                <w:b/>
              </w:rPr>
              <w:t xml:space="preserve"> a 31/12/2023</w:t>
            </w:r>
          </w:p>
          <w:p w14:paraId="49A6AB47" w14:textId="77777777" w:rsidR="008C3428" w:rsidRPr="00E27FA5" w:rsidRDefault="008C3428" w:rsidP="00F1223B">
            <w:pPr>
              <w:tabs>
                <w:tab w:val="left" w:pos="875"/>
              </w:tabs>
              <w:jc w:val="center"/>
              <w:rPr>
                <w:rFonts w:ascii="Arial" w:hAnsi="Arial" w:cs="Arial"/>
                <w:b/>
              </w:rPr>
            </w:pPr>
          </w:p>
        </w:tc>
        <w:tc>
          <w:tcPr>
            <w:tcW w:w="5528" w:type="dxa"/>
            <w:vAlign w:val="center"/>
          </w:tcPr>
          <w:p w14:paraId="1A05A194" w14:textId="77777777" w:rsidR="008C3428" w:rsidRPr="00E27FA5" w:rsidRDefault="008C3428" w:rsidP="00F1223B">
            <w:pPr>
              <w:tabs>
                <w:tab w:val="left" w:pos="875"/>
              </w:tabs>
              <w:jc w:val="center"/>
              <w:rPr>
                <w:rFonts w:ascii="Arial" w:hAnsi="Arial" w:cs="Arial"/>
                <w:b/>
              </w:rPr>
            </w:pPr>
            <w:r w:rsidRPr="00E27FA5">
              <w:rPr>
                <w:rFonts w:ascii="Arial" w:hAnsi="Arial" w:cs="Arial"/>
                <w:b/>
              </w:rPr>
              <w:t>Descripción de la limitación</w:t>
            </w:r>
          </w:p>
        </w:tc>
      </w:tr>
      <w:tr w:rsidR="008C3428" w:rsidRPr="00E27FA5" w14:paraId="560E2ECE" w14:textId="77777777" w:rsidTr="00F1223B">
        <w:trPr>
          <w:jc w:val="center"/>
        </w:trPr>
        <w:tc>
          <w:tcPr>
            <w:tcW w:w="846" w:type="dxa"/>
          </w:tcPr>
          <w:p w14:paraId="5DE56EDA" w14:textId="77777777" w:rsidR="008C3428" w:rsidRPr="00E27FA5" w:rsidRDefault="008C3428" w:rsidP="00F1223B">
            <w:pPr>
              <w:tabs>
                <w:tab w:val="left" w:pos="875"/>
              </w:tabs>
              <w:jc w:val="center"/>
              <w:rPr>
                <w:rFonts w:ascii="Arial" w:hAnsi="Arial" w:cs="Arial"/>
                <w:b/>
                <w:bCs/>
              </w:rPr>
            </w:pPr>
            <w:r w:rsidRPr="00E27FA5">
              <w:rPr>
                <w:rFonts w:ascii="Arial" w:hAnsi="Arial" w:cs="Arial"/>
                <w:b/>
                <w:bCs/>
              </w:rPr>
              <w:t>1</w:t>
            </w:r>
          </w:p>
        </w:tc>
        <w:tc>
          <w:tcPr>
            <w:tcW w:w="3969" w:type="dxa"/>
          </w:tcPr>
          <w:p w14:paraId="45DA8826" w14:textId="77777777" w:rsidR="008C3428" w:rsidRPr="00E27FA5" w:rsidRDefault="008C3428" w:rsidP="00F1223B">
            <w:pPr>
              <w:tabs>
                <w:tab w:val="left" w:pos="875"/>
              </w:tabs>
              <w:jc w:val="both"/>
              <w:rPr>
                <w:rFonts w:ascii="Arial" w:hAnsi="Arial" w:cs="Arial"/>
                <w:b/>
                <w:bCs/>
              </w:rPr>
            </w:pPr>
            <w:r w:rsidRPr="00E27FA5">
              <w:rPr>
                <w:rFonts w:ascii="Arial" w:hAnsi="Arial" w:cs="Arial"/>
                <w:b/>
                <w:bCs/>
              </w:rPr>
              <w:t>Operativas:</w:t>
            </w:r>
          </w:p>
        </w:tc>
        <w:tc>
          <w:tcPr>
            <w:tcW w:w="5528" w:type="dxa"/>
          </w:tcPr>
          <w:p w14:paraId="6BA5E34F" w14:textId="77777777" w:rsidR="008C3428" w:rsidRPr="00E27FA5" w:rsidRDefault="008C3428" w:rsidP="00F1223B">
            <w:pPr>
              <w:tabs>
                <w:tab w:val="left" w:pos="875"/>
              </w:tabs>
              <w:jc w:val="both"/>
              <w:rPr>
                <w:rFonts w:ascii="Arial" w:hAnsi="Arial" w:cs="Arial"/>
              </w:rPr>
            </w:pPr>
            <w:r w:rsidRPr="00E27FA5">
              <w:rPr>
                <w:rFonts w:ascii="Arial" w:hAnsi="Arial" w:cs="Arial"/>
              </w:rPr>
              <w:t>Dificultad a la hora de organizar la información de acuerdo a lo establecido en los formularios, ya que los manuales e instructivos están diseñados de forma general para las entidades públicas y se presta para confusión en la interpretación, dado que la Corporación es una entidad privada.</w:t>
            </w:r>
          </w:p>
        </w:tc>
      </w:tr>
    </w:tbl>
    <w:p w14:paraId="79267E42" w14:textId="77777777" w:rsidR="008C3428" w:rsidRDefault="008C3428" w:rsidP="008C3428">
      <w:pPr>
        <w:ind w:left="-284" w:right="-234"/>
        <w:jc w:val="both"/>
        <w:rPr>
          <w:rFonts w:ascii="Arial" w:hAnsi="Arial" w:cs="Arial"/>
          <w:b/>
          <w:sz w:val="28"/>
          <w:szCs w:val="28"/>
        </w:rPr>
      </w:pPr>
    </w:p>
    <w:p w14:paraId="54C6999E" w14:textId="77777777" w:rsidR="008C3428" w:rsidRPr="005F202B" w:rsidRDefault="008C3428" w:rsidP="008C3428">
      <w:pPr>
        <w:ind w:left="-142" w:right="-93"/>
        <w:jc w:val="both"/>
        <w:rPr>
          <w:rFonts w:ascii="Arial" w:hAnsi="Arial" w:cs="Arial"/>
          <w:b/>
          <w:sz w:val="28"/>
          <w:szCs w:val="28"/>
          <w:lang w:val="es-MX"/>
        </w:rPr>
      </w:pPr>
      <w:r w:rsidRPr="005F202B">
        <w:rPr>
          <w:rFonts w:ascii="Arial" w:hAnsi="Arial" w:cs="Arial"/>
          <w:b/>
          <w:sz w:val="28"/>
          <w:szCs w:val="28"/>
          <w:lang w:val="es-MX"/>
        </w:rPr>
        <w:t xml:space="preserve">106.- UNIDAD DE PLANEACIÓN DE INFRAESTRUCTURA DE TRANSPORTE - </w:t>
      </w:r>
      <w:r w:rsidRPr="005F202B">
        <w:rPr>
          <w:rFonts w:ascii="Arial" w:hAnsi="Arial" w:cs="Arial"/>
          <w:b/>
          <w:sz w:val="28"/>
          <w:szCs w:val="28"/>
          <w:lang w:val="es-MX"/>
        </w:rPr>
        <w:lastRenderedPageBreak/>
        <w:t>UPIT.</w:t>
      </w:r>
    </w:p>
    <w:p w14:paraId="6200351D" w14:textId="77777777" w:rsidR="008C3428" w:rsidRDefault="008C3428" w:rsidP="008C3428">
      <w:pPr>
        <w:ind w:left="-284" w:right="-234"/>
        <w:jc w:val="both"/>
        <w:rPr>
          <w:rFonts w:ascii="Arial" w:hAnsi="Arial" w:cs="Arial"/>
          <w:b/>
          <w:sz w:val="28"/>
          <w:szCs w:val="28"/>
          <w:lang w:val="es-MX"/>
        </w:rPr>
      </w:pPr>
    </w:p>
    <w:tbl>
      <w:tblPr>
        <w:tblStyle w:val="Tablaconcuadrcula"/>
        <w:tblW w:w="10201" w:type="dxa"/>
        <w:jc w:val="center"/>
        <w:tblLook w:val="04A0" w:firstRow="1" w:lastRow="0" w:firstColumn="1" w:lastColumn="0" w:noHBand="0" w:noVBand="1"/>
      </w:tblPr>
      <w:tblGrid>
        <w:gridCol w:w="872"/>
        <w:gridCol w:w="3943"/>
        <w:gridCol w:w="5386"/>
      </w:tblGrid>
      <w:tr w:rsidR="008C3428" w:rsidRPr="00841D9A" w14:paraId="3B618D7C" w14:textId="77777777" w:rsidTr="00F1223B">
        <w:trPr>
          <w:jc w:val="center"/>
        </w:trPr>
        <w:tc>
          <w:tcPr>
            <w:tcW w:w="872" w:type="dxa"/>
          </w:tcPr>
          <w:p w14:paraId="3D0276E5" w14:textId="77777777" w:rsidR="008C3428" w:rsidRPr="00841D9A" w:rsidRDefault="008C3428" w:rsidP="00F1223B">
            <w:pPr>
              <w:tabs>
                <w:tab w:val="left" w:pos="875"/>
              </w:tabs>
              <w:jc w:val="center"/>
              <w:rPr>
                <w:rFonts w:ascii="Arial" w:hAnsi="Arial" w:cs="Arial"/>
                <w:b/>
              </w:rPr>
            </w:pPr>
            <w:r w:rsidRPr="00841D9A">
              <w:rPr>
                <w:rFonts w:ascii="Arial" w:hAnsi="Arial" w:cs="Arial"/>
                <w:b/>
              </w:rPr>
              <w:t>N°</w:t>
            </w:r>
          </w:p>
        </w:tc>
        <w:tc>
          <w:tcPr>
            <w:tcW w:w="3943" w:type="dxa"/>
          </w:tcPr>
          <w:p w14:paraId="22981578" w14:textId="77777777" w:rsidR="008C3428" w:rsidRPr="00841D9A" w:rsidRDefault="008C3428" w:rsidP="00F1223B">
            <w:pPr>
              <w:tabs>
                <w:tab w:val="left" w:pos="875"/>
              </w:tabs>
              <w:jc w:val="center"/>
              <w:rPr>
                <w:rFonts w:ascii="Arial" w:hAnsi="Arial" w:cs="Arial"/>
                <w:b/>
              </w:rPr>
            </w:pPr>
            <w:r w:rsidRPr="00841D9A">
              <w:rPr>
                <w:rFonts w:ascii="Arial" w:hAnsi="Arial" w:cs="Arial"/>
                <w:b/>
              </w:rPr>
              <w:t>Limitaciones del Sistema CHIP</w:t>
            </w:r>
          </w:p>
          <w:p w14:paraId="3F7C741C" w14:textId="77777777" w:rsidR="008C3428" w:rsidRPr="00841D9A" w:rsidRDefault="008C3428" w:rsidP="00F1223B">
            <w:pPr>
              <w:tabs>
                <w:tab w:val="left" w:pos="875"/>
              </w:tabs>
              <w:jc w:val="center"/>
              <w:rPr>
                <w:rFonts w:ascii="Arial" w:hAnsi="Arial" w:cs="Arial"/>
                <w:b/>
              </w:rPr>
            </w:pPr>
            <w:r w:rsidRPr="00841D9A">
              <w:rPr>
                <w:rFonts w:ascii="Arial" w:hAnsi="Arial" w:cs="Arial"/>
                <w:b/>
              </w:rPr>
              <w:t xml:space="preserve"> a 31/12/2023</w:t>
            </w:r>
          </w:p>
          <w:p w14:paraId="247F3602" w14:textId="77777777" w:rsidR="008C3428" w:rsidRPr="00841D9A" w:rsidRDefault="008C3428" w:rsidP="00F1223B">
            <w:pPr>
              <w:tabs>
                <w:tab w:val="left" w:pos="875"/>
              </w:tabs>
              <w:jc w:val="center"/>
              <w:rPr>
                <w:rFonts w:ascii="Arial" w:hAnsi="Arial" w:cs="Arial"/>
                <w:b/>
              </w:rPr>
            </w:pPr>
          </w:p>
        </w:tc>
        <w:tc>
          <w:tcPr>
            <w:tcW w:w="5386" w:type="dxa"/>
            <w:vAlign w:val="center"/>
          </w:tcPr>
          <w:p w14:paraId="3F47AA6A" w14:textId="77777777" w:rsidR="008C3428" w:rsidRPr="00841D9A" w:rsidRDefault="008C3428" w:rsidP="00F1223B">
            <w:pPr>
              <w:tabs>
                <w:tab w:val="left" w:pos="875"/>
              </w:tabs>
              <w:jc w:val="center"/>
              <w:rPr>
                <w:rFonts w:ascii="Arial" w:hAnsi="Arial" w:cs="Arial"/>
                <w:b/>
              </w:rPr>
            </w:pPr>
            <w:r w:rsidRPr="00841D9A">
              <w:rPr>
                <w:rFonts w:ascii="Arial" w:hAnsi="Arial" w:cs="Arial"/>
                <w:b/>
              </w:rPr>
              <w:t>Descripción de la limitación</w:t>
            </w:r>
          </w:p>
        </w:tc>
      </w:tr>
      <w:tr w:rsidR="008C3428" w:rsidRPr="00841D9A" w14:paraId="5F4C350B" w14:textId="77777777" w:rsidTr="00F1223B">
        <w:trPr>
          <w:jc w:val="center"/>
        </w:trPr>
        <w:tc>
          <w:tcPr>
            <w:tcW w:w="872" w:type="dxa"/>
          </w:tcPr>
          <w:p w14:paraId="287D93E2" w14:textId="77777777" w:rsidR="008C3428" w:rsidRPr="00841D9A" w:rsidRDefault="008C3428" w:rsidP="00F1223B">
            <w:pPr>
              <w:tabs>
                <w:tab w:val="left" w:pos="875"/>
              </w:tabs>
              <w:jc w:val="center"/>
              <w:rPr>
                <w:rFonts w:ascii="Arial" w:hAnsi="Arial" w:cs="Arial"/>
                <w:b/>
                <w:bCs/>
              </w:rPr>
            </w:pPr>
            <w:r w:rsidRPr="00841D9A">
              <w:rPr>
                <w:rFonts w:ascii="Arial" w:hAnsi="Arial" w:cs="Arial"/>
                <w:b/>
                <w:bCs/>
              </w:rPr>
              <w:t>1</w:t>
            </w:r>
          </w:p>
        </w:tc>
        <w:tc>
          <w:tcPr>
            <w:tcW w:w="3943" w:type="dxa"/>
          </w:tcPr>
          <w:p w14:paraId="749F03AA" w14:textId="77777777" w:rsidR="008C3428" w:rsidRPr="00841D9A" w:rsidRDefault="008C3428" w:rsidP="00F1223B">
            <w:pPr>
              <w:tabs>
                <w:tab w:val="left" w:pos="875"/>
              </w:tabs>
              <w:jc w:val="both"/>
              <w:rPr>
                <w:rFonts w:ascii="Arial" w:hAnsi="Arial" w:cs="Arial"/>
                <w:b/>
                <w:bCs/>
              </w:rPr>
            </w:pPr>
            <w:r w:rsidRPr="00841D9A">
              <w:rPr>
                <w:rFonts w:ascii="Arial" w:hAnsi="Arial" w:cs="Arial"/>
                <w:b/>
                <w:bCs/>
              </w:rPr>
              <w:t>Técnicas:</w:t>
            </w:r>
          </w:p>
        </w:tc>
        <w:tc>
          <w:tcPr>
            <w:tcW w:w="5386" w:type="dxa"/>
          </w:tcPr>
          <w:p w14:paraId="135C844D" w14:textId="77777777" w:rsidR="008C3428" w:rsidRPr="00841D9A" w:rsidRDefault="008C3428" w:rsidP="00F1223B">
            <w:pPr>
              <w:tabs>
                <w:tab w:val="left" w:pos="875"/>
              </w:tabs>
              <w:jc w:val="both"/>
              <w:rPr>
                <w:rFonts w:ascii="Arial" w:hAnsi="Arial" w:cs="Arial"/>
              </w:rPr>
            </w:pPr>
            <w:r w:rsidRPr="00841D9A">
              <w:rPr>
                <w:rFonts w:ascii="Arial" w:hAnsi="Arial" w:cs="Arial"/>
                <w:lang w:val="es-CO"/>
              </w:rPr>
              <w:t>El sistema CHIP colapsa y no permite actualizar la información, así mismo, presenta pausas en su operación y saca a los usuarios del aplicativo.</w:t>
            </w:r>
          </w:p>
        </w:tc>
      </w:tr>
    </w:tbl>
    <w:p w14:paraId="099BD43F" w14:textId="77777777" w:rsidR="008C3428" w:rsidRDefault="008C3428" w:rsidP="008C3428">
      <w:pPr>
        <w:ind w:left="-284" w:right="-234"/>
        <w:jc w:val="both"/>
        <w:rPr>
          <w:rFonts w:ascii="Arial" w:hAnsi="Arial" w:cs="Arial"/>
          <w:b/>
          <w:sz w:val="28"/>
          <w:szCs w:val="28"/>
        </w:rPr>
      </w:pPr>
    </w:p>
    <w:p w14:paraId="3A2A21EB" w14:textId="77777777" w:rsidR="008C3428" w:rsidRDefault="008C3428" w:rsidP="008C3428">
      <w:pPr>
        <w:tabs>
          <w:tab w:val="left" w:pos="1276"/>
        </w:tabs>
        <w:ind w:left="-142" w:right="49"/>
        <w:jc w:val="both"/>
        <w:rPr>
          <w:rFonts w:ascii="Arial" w:hAnsi="Arial" w:cs="Arial"/>
          <w:b/>
          <w:sz w:val="28"/>
          <w:szCs w:val="28"/>
          <w:lang w:val="es-MX"/>
        </w:rPr>
      </w:pPr>
      <w:r w:rsidRPr="00FB63E0">
        <w:rPr>
          <w:rFonts w:ascii="Arial" w:hAnsi="Arial" w:cs="Arial"/>
          <w:b/>
          <w:sz w:val="28"/>
          <w:szCs w:val="28"/>
        </w:rPr>
        <w:t>124.- U.A.E. AGENCIA NACIONAL DE CONTRATACIÓN PÚBLICA - COLOMBIA COMPRA EFICIENTE</w:t>
      </w:r>
      <w:r w:rsidRPr="00FB63E0">
        <w:rPr>
          <w:rFonts w:ascii="Arial" w:hAnsi="Arial" w:cs="Arial"/>
          <w:b/>
          <w:sz w:val="28"/>
          <w:szCs w:val="28"/>
          <w:lang w:val="es-MX"/>
        </w:rPr>
        <w:t xml:space="preserve">. </w:t>
      </w:r>
    </w:p>
    <w:p w14:paraId="7D641493" w14:textId="77777777" w:rsidR="008C3428" w:rsidRPr="00FB63E0" w:rsidRDefault="008C3428" w:rsidP="008C3428">
      <w:pPr>
        <w:tabs>
          <w:tab w:val="left" w:pos="1276"/>
        </w:tabs>
        <w:ind w:right="49"/>
        <w:jc w:val="both"/>
        <w:rPr>
          <w:rFonts w:ascii="Arial" w:hAnsi="Arial" w:cs="Arial"/>
          <w:b/>
          <w:sz w:val="28"/>
          <w:szCs w:val="28"/>
          <w:lang w:val="es-MX"/>
        </w:rPr>
      </w:pPr>
    </w:p>
    <w:tbl>
      <w:tblPr>
        <w:tblStyle w:val="Tablaconcuadrcula"/>
        <w:tblW w:w="10217" w:type="dxa"/>
        <w:jc w:val="center"/>
        <w:tblLook w:val="04A0" w:firstRow="1" w:lastRow="0" w:firstColumn="1" w:lastColumn="0" w:noHBand="0" w:noVBand="1"/>
      </w:tblPr>
      <w:tblGrid>
        <w:gridCol w:w="846"/>
        <w:gridCol w:w="4111"/>
        <w:gridCol w:w="5260"/>
      </w:tblGrid>
      <w:tr w:rsidR="008C3428" w:rsidRPr="00260786" w14:paraId="6143C3CC" w14:textId="77777777" w:rsidTr="00F1223B">
        <w:trPr>
          <w:jc w:val="center"/>
        </w:trPr>
        <w:tc>
          <w:tcPr>
            <w:tcW w:w="846" w:type="dxa"/>
          </w:tcPr>
          <w:p w14:paraId="0376544D" w14:textId="77777777" w:rsidR="008C3428" w:rsidRPr="00260786" w:rsidRDefault="008C3428" w:rsidP="00F1223B">
            <w:pPr>
              <w:tabs>
                <w:tab w:val="left" w:pos="875"/>
              </w:tabs>
              <w:ind w:right="-50"/>
              <w:jc w:val="center"/>
              <w:rPr>
                <w:rFonts w:ascii="Arial" w:hAnsi="Arial" w:cs="Arial"/>
                <w:b/>
              </w:rPr>
            </w:pPr>
            <w:r w:rsidRPr="00260786">
              <w:rPr>
                <w:rFonts w:ascii="Arial" w:hAnsi="Arial" w:cs="Arial"/>
                <w:b/>
              </w:rPr>
              <w:t>N°</w:t>
            </w:r>
          </w:p>
        </w:tc>
        <w:tc>
          <w:tcPr>
            <w:tcW w:w="4111" w:type="dxa"/>
          </w:tcPr>
          <w:p w14:paraId="6D8CBC0D" w14:textId="77777777" w:rsidR="008C3428" w:rsidRPr="00260786" w:rsidRDefault="008C3428" w:rsidP="00F1223B">
            <w:pPr>
              <w:tabs>
                <w:tab w:val="left" w:pos="875"/>
              </w:tabs>
              <w:ind w:right="-50"/>
              <w:jc w:val="center"/>
              <w:rPr>
                <w:rFonts w:ascii="Arial" w:hAnsi="Arial" w:cs="Arial"/>
                <w:b/>
              </w:rPr>
            </w:pPr>
            <w:r w:rsidRPr="00260786">
              <w:rPr>
                <w:rFonts w:ascii="Arial" w:hAnsi="Arial" w:cs="Arial"/>
                <w:b/>
              </w:rPr>
              <w:t>Limitaciones del Sistema CHIP</w:t>
            </w:r>
          </w:p>
          <w:p w14:paraId="4B1733C3" w14:textId="77777777" w:rsidR="008C3428" w:rsidRPr="00260786" w:rsidRDefault="008C3428" w:rsidP="00F1223B">
            <w:pPr>
              <w:tabs>
                <w:tab w:val="left" w:pos="875"/>
              </w:tabs>
              <w:ind w:right="-50"/>
              <w:jc w:val="center"/>
              <w:rPr>
                <w:rFonts w:ascii="Arial" w:hAnsi="Arial" w:cs="Arial"/>
                <w:b/>
              </w:rPr>
            </w:pPr>
            <w:r w:rsidRPr="00260786">
              <w:rPr>
                <w:rFonts w:ascii="Arial" w:hAnsi="Arial" w:cs="Arial"/>
                <w:b/>
              </w:rPr>
              <w:t xml:space="preserve"> a 31/12/2023</w:t>
            </w:r>
          </w:p>
          <w:p w14:paraId="54298F30" w14:textId="77777777" w:rsidR="008C3428" w:rsidRPr="00260786" w:rsidRDefault="008C3428" w:rsidP="00F1223B">
            <w:pPr>
              <w:tabs>
                <w:tab w:val="left" w:pos="875"/>
              </w:tabs>
              <w:ind w:right="-50"/>
              <w:jc w:val="center"/>
              <w:rPr>
                <w:rFonts w:ascii="Arial" w:hAnsi="Arial" w:cs="Arial"/>
                <w:b/>
              </w:rPr>
            </w:pPr>
          </w:p>
        </w:tc>
        <w:tc>
          <w:tcPr>
            <w:tcW w:w="5260" w:type="dxa"/>
            <w:vAlign w:val="center"/>
          </w:tcPr>
          <w:p w14:paraId="59670BFD" w14:textId="77777777" w:rsidR="008C3428" w:rsidRPr="00260786" w:rsidRDefault="008C3428" w:rsidP="00F1223B">
            <w:pPr>
              <w:tabs>
                <w:tab w:val="left" w:pos="875"/>
              </w:tabs>
              <w:ind w:right="-50"/>
              <w:jc w:val="center"/>
              <w:rPr>
                <w:rFonts w:ascii="Arial" w:hAnsi="Arial" w:cs="Arial"/>
                <w:b/>
              </w:rPr>
            </w:pPr>
            <w:r w:rsidRPr="00260786">
              <w:rPr>
                <w:rFonts w:ascii="Arial" w:hAnsi="Arial" w:cs="Arial"/>
                <w:b/>
              </w:rPr>
              <w:t>Descripción de la limitación</w:t>
            </w:r>
          </w:p>
        </w:tc>
      </w:tr>
      <w:tr w:rsidR="008C3428" w:rsidRPr="00260786" w14:paraId="60D0347C" w14:textId="77777777" w:rsidTr="00F1223B">
        <w:trPr>
          <w:jc w:val="center"/>
        </w:trPr>
        <w:tc>
          <w:tcPr>
            <w:tcW w:w="846" w:type="dxa"/>
          </w:tcPr>
          <w:p w14:paraId="7FBB4F9C" w14:textId="77777777" w:rsidR="008C3428" w:rsidRPr="00260786" w:rsidRDefault="008C3428" w:rsidP="00F1223B">
            <w:pPr>
              <w:tabs>
                <w:tab w:val="left" w:pos="875"/>
              </w:tabs>
              <w:ind w:right="-50"/>
              <w:jc w:val="center"/>
              <w:rPr>
                <w:rFonts w:ascii="Arial" w:hAnsi="Arial" w:cs="Arial"/>
                <w:b/>
                <w:bCs/>
              </w:rPr>
            </w:pPr>
            <w:r w:rsidRPr="00260786">
              <w:rPr>
                <w:rFonts w:ascii="Arial" w:hAnsi="Arial" w:cs="Arial"/>
                <w:b/>
                <w:bCs/>
              </w:rPr>
              <w:t>1</w:t>
            </w:r>
          </w:p>
        </w:tc>
        <w:tc>
          <w:tcPr>
            <w:tcW w:w="4111" w:type="dxa"/>
          </w:tcPr>
          <w:p w14:paraId="4FEA0018" w14:textId="77777777" w:rsidR="008C3428" w:rsidRPr="00260786" w:rsidRDefault="008C3428" w:rsidP="00F1223B">
            <w:pPr>
              <w:tabs>
                <w:tab w:val="left" w:pos="875"/>
              </w:tabs>
              <w:ind w:right="-50"/>
              <w:jc w:val="both"/>
              <w:rPr>
                <w:rFonts w:ascii="Arial" w:hAnsi="Arial" w:cs="Arial"/>
                <w:b/>
                <w:bCs/>
              </w:rPr>
            </w:pPr>
            <w:r w:rsidRPr="00260786">
              <w:rPr>
                <w:rFonts w:ascii="Arial" w:hAnsi="Arial" w:cs="Arial"/>
                <w:b/>
                <w:bCs/>
              </w:rPr>
              <w:t>Otras:</w:t>
            </w:r>
          </w:p>
        </w:tc>
        <w:tc>
          <w:tcPr>
            <w:tcW w:w="5260" w:type="dxa"/>
          </w:tcPr>
          <w:p w14:paraId="5F126C43" w14:textId="77777777" w:rsidR="008C3428" w:rsidRPr="00260786" w:rsidRDefault="008C3428" w:rsidP="00F1223B">
            <w:pPr>
              <w:tabs>
                <w:tab w:val="left" w:pos="875"/>
              </w:tabs>
              <w:ind w:right="-50"/>
              <w:jc w:val="both"/>
              <w:rPr>
                <w:rFonts w:ascii="Arial" w:hAnsi="Arial" w:cs="Arial"/>
              </w:rPr>
            </w:pPr>
            <w:r w:rsidRPr="00260786">
              <w:rPr>
                <w:rFonts w:ascii="Arial" w:hAnsi="Arial" w:cs="Arial"/>
              </w:rPr>
              <w:t>Sería muy conveniente que el aplicativo CHIP tuviera claves tanto de CHIP Local como de la web, para las categorías de control interno y personal y costos. Toda vez que a la fecha solo se maneja una clave para la entidad en todas las categorías.</w:t>
            </w:r>
          </w:p>
        </w:tc>
      </w:tr>
    </w:tbl>
    <w:p w14:paraId="2E7A5356" w14:textId="77777777" w:rsidR="008C3428" w:rsidRDefault="008C3428" w:rsidP="008C3428">
      <w:pPr>
        <w:ind w:left="-284" w:right="-234"/>
        <w:jc w:val="both"/>
        <w:rPr>
          <w:rFonts w:ascii="Arial" w:hAnsi="Arial" w:cs="Arial"/>
          <w:b/>
          <w:sz w:val="28"/>
          <w:szCs w:val="28"/>
        </w:rPr>
      </w:pPr>
    </w:p>
    <w:p w14:paraId="25DBDF5D" w14:textId="77777777" w:rsidR="008C3428" w:rsidRPr="008119BE" w:rsidRDefault="008C3428" w:rsidP="008C3428">
      <w:pPr>
        <w:jc w:val="both"/>
        <w:rPr>
          <w:rFonts w:ascii="Arial" w:hAnsi="Arial" w:cs="Arial"/>
          <w:b/>
          <w:sz w:val="28"/>
          <w:szCs w:val="28"/>
          <w:lang w:val="es-MX"/>
        </w:rPr>
      </w:pPr>
      <w:r w:rsidRPr="008119BE">
        <w:rPr>
          <w:rFonts w:ascii="Arial" w:hAnsi="Arial" w:cs="Arial"/>
          <w:b/>
          <w:sz w:val="28"/>
          <w:szCs w:val="28"/>
          <w:lang w:val="es-MX"/>
        </w:rPr>
        <w:t xml:space="preserve">135.- </w:t>
      </w:r>
      <w:r w:rsidRPr="008119BE">
        <w:rPr>
          <w:rFonts w:ascii="Arial" w:hAnsi="Arial" w:cs="Arial"/>
          <w:b/>
          <w:sz w:val="28"/>
          <w:szCs w:val="28"/>
        </w:rPr>
        <w:t>PATRIMONIO AUTÓNOMO EMERGENCIA ECONÓMICA – FOGAFIN.</w:t>
      </w:r>
    </w:p>
    <w:p w14:paraId="7F14B372" w14:textId="77777777" w:rsidR="008C3428" w:rsidRDefault="008C3428" w:rsidP="008C3428">
      <w:pPr>
        <w:ind w:left="-284" w:right="-234"/>
        <w:jc w:val="both"/>
        <w:rPr>
          <w:rFonts w:ascii="Arial" w:hAnsi="Arial" w:cs="Arial"/>
          <w:b/>
          <w:sz w:val="28"/>
          <w:szCs w:val="28"/>
          <w:lang w:val="es-MX"/>
        </w:rPr>
      </w:pPr>
    </w:p>
    <w:tbl>
      <w:tblPr>
        <w:tblStyle w:val="Tablaconcuadrcula"/>
        <w:tblW w:w="10201" w:type="dxa"/>
        <w:jc w:val="center"/>
        <w:tblLook w:val="04A0" w:firstRow="1" w:lastRow="0" w:firstColumn="1" w:lastColumn="0" w:noHBand="0" w:noVBand="1"/>
      </w:tblPr>
      <w:tblGrid>
        <w:gridCol w:w="988"/>
        <w:gridCol w:w="3969"/>
        <w:gridCol w:w="5244"/>
      </w:tblGrid>
      <w:tr w:rsidR="008C3428" w:rsidRPr="008119BE" w14:paraId="4C427EB6" w14:textId="77777777" w:rsidTr="00F1223B">
        <w:trPr>
          <w:jc w:val="center"/>
        </w:trPr>
        <w:tc>
          <w:tcPr>
            <w:tcW w:w="988" w:type="dxa"/>
          </w:tcPr>
          <w:p w14:paraId="58351340" w14:textId="77777777" w:rsidR="008C3428" w:rsidRPr="008119BE" w:rsidRDefault="008C3428" w:rsidP="00F1223B">
            <w:pPr>
              <w:tabs>
                <w:tab w:val="left" w:pos="875"/>
              </w:tabs>
              <w:ind w:right="-50"/>
              <w:jc w:val="center"/>
              <w:rPr>
                <w:rFonts w:ascii="Arial" w:hAnsi="Arial" w:cs="Arial"/>
                <w:b/>
              </w:rPr>
            </w:pPr>
            <w:r w:rsidRPr="008119BE">
              <w:rPr>
                <w:rFonts w:ascii="Arial" w:hAnsi="Arial" w:cs="Arial"/>
                <w:b/>
              </w:rPr>
              <w:t>N°</w:t>
            </w:r>
          </w:p>
        </w:tc>
        <w:tc>
          <w:tcPr>
            <w:tcW w:w="3969" w:type="dxa"/>
          </w:tcPr>
          <w:p w14:paraId="07305B64" w14:textId="77777777" w:rsidR="008C3428" w:rsidRPr="008119BE" w:rsidRDefault="008C3428" w:rsidP="00F1223B">
            <w:pPr>
              <w:tabs>
                <w:tab w:val="left" w:pos="875"/>
              </w:tabs>
              <w:ind w:right="-50"/>
              <w:jc w:val="center"/>
              <w:rPr>
                <w:rFonts w:ascii="Arial" w:hAnsi="Arial" w:cs="Arial"/>
                <w:b/>
              </w:rPr>
            </w:pPr>
            <w:r w:rsidRPr="008119BE">
              <w:rPr>
                <w:rFonts w:ascii="Arial" w:hAnsi="Arial" w:cs="Arial"/>
                <w:b/>
              </w:rPr>
              <w:t>Limitaciones del Sistema CHIP</w:t>
            </w:r>
          </w:p>
          <w:p w14:paraId="652EB656" w14:textId="77777777" w:rsidR="008C3428" w:rsidRPr="008119BE" w:rsidRDefault="008C3428" w:rsidP="00F1223B">
            <w:pPr>
              <w:tabs>
                <w:tab w:val="left" w:pos="875"/>
              </w:tabs>
              <w:ind w:right="-50"/>
              <w:jc w:val="center"/>
              <w:rPr>
                <w:rFonts w:ascii="Arial" w:hAnsi="Arial" w:cs="Arial"/>
                <w:b/>
              </w:rPr>
            </w:pPr>
            <w:r w:rsidRPr="008119BE">
              <w:rPr>
                <w:rFonts w:ascii="Arial" w:hAnsi="Arial" w:cs="Arial"/>
                <w:b/>
              </w:rPr>
              <w:t xml:space="preserve"> a 31/12/2023</w:t>
            </w:r>
          </w:p>
          <w:p w14:paraId="4C15E51F" w14:textId="77777777" w:rsidR="008C3428" w:rsidRPr="008119BE" w:rsidRDefault="008C3428" w:rsidP="00F1223B">
            <w:pPr>
              <w:tabs>
                <w:tab w:val="left" w:pos="875"/>
              </w:tabs>
              <w:ind w:right="-50"/>
              <w:jc w:val="center"/>
              <w:rPr>
                <w:rFonts w:ascii="Arial" w:hAnsi="Arial" w:cs="Arial"/>
                <w:b/>
              </w:rPr>
            </w:pPr>
          </w:p>
        </w:tc>
        <w:tc>
          <w:tcPr>
            <w:tcW w:w="5244" w:type="dxa"/>
            <w:vAlign w:val="center"/>
          </w:tcPr>
          <w:p w14:paraId="7F03B4F8" w14:textId="77777777" w:rsidR="008C3428" w:rsidRPr="008119BE" w:rsidRDefault="008C3428" w:rsidP="00F1223B">
            <w:pPr>
              <w:tabs>
                <w:tab w:val="left" w:pos="875"/>
              </w:tabs>
              <w:ind w:right="-50"/>
              <w:jc w:val="center"/>
              <w:rPr>
                <w:rFonts w:ascii="Arial" w:hAnsi="Arial" w:cs="Arial"/>
                <w:b/>
              </w:rPr>
            </w:pPr>
            <w:r w:rsidRPr="008119BE">
              <w:rPr>
                <w:rFonts w:ascii="Arial" w:hAnsi="Arial" w:cs="Arial"/>
                <w:b/>
              </w:rPr>
              <w:t>Descripción de la limitación</w:t>
            </w:r>
          </w:p>
        </w:tc>
      </w:tr>
      <w:tr w:rsidR="008C3428" w:rsidRPr="008119BE" w14:paraId="5A086232" w14:textId="77777777" w:rsidTr="00F1223B">
        <w:trPr>
          <w:jc w:val="center"/>
        </w:trPr>
        <w:tc>
          <w:tcPr>
            <w:tcW w:w="988" w:type="dxa"/>
          </w:tcPr>
          <w:p w14:paraId="2E03E642" w14:textId="77777777" w:rsidR="008C3428" w:rsidRPr="008119BE" w:rsidRDefault="008C3428" w:rsidP="00F1223B">
            <w:pPr>
              <w:tabs>
                <w:tab w:val="left" w:pos="875"/>
              </w:tabs>
              <w:ind w:right="-50"/>
              <w:jc w:val="center"/>
              <w:rPr>
                <w:rFonts w:ascii="Arial" w:hAnsi="Arial" w:cs="Arial"/>
                <w:b/>
                <w:bCs/>
              </w:rPr>
            </w:pPr>
            <w:r w:rsidRPr="008119BE">
              <w:rPr>
                <w:rFonts w:ascii="Arial" w:hAnsi="Arial" w:cs="Arial"/>
                <w:b/>
                <w:bCs/>
              </w:rPr>
              <w:t>1</w:t>
            </w:r>
          </w:p>
        </w:tc>
        <w:tc>
          <w:tcPr>
            <w:tcW w:w="3969" w:type="dxa"/>
          </w:tcPr>
          <w:p w14:paraId="66A53928" w14:textId="77777777" w:rsidR="008C3428" w:rsidRPr="008119BE" w:rsidRDefault="008C3428" w:rsidP="00F1223B">
            <w:pPr>
              <w:tabs>
                <w:tab w:val="left" w:pos="875"/>
              </w:tabs>
              <w:ind w:right="-50"/>
              <w:jc w:val="both"/>
              <w:rPr>
                <w:rFonts w:ascii="Arial" w:hAnsi="Arial" w:cs="Arial"/>
                <w:b/>
                <w:bCs/>
              </w:rPr>
            </w:pPr>
            <w:r w:rsidRPr="008119BE">
              <w:rPr>
                <w:rFonts w:ascii="Arial" w:hAnsi="Arial" w:cs="Arial"/>
                <w:b/>
                <w:bCs/>
              </w:rPr>
              <w:t>Administrativas:</w:t>
            </w:r>
          </w:p>
        </w:tc>
        <w:tc>
          <w:tcPr>
            <w:tcW w:w="5244" w:type="dxa"/>
          </w:tcPr>
          <w:p w14:paraId="6B8EA2CC" w14:textId="77777777" w:rsidR="008C3428" w:rsidRPr="008119BE" w:rsidRDefault="008C3428" w:rsidP="00F1223B">
            <w:pPr>
              <w:tabs>
                <w:tab w:val="left" w:pos="875"/>
              </w:tabs>
              <w:ind w:right="-50"/>
              <w:jc w:val="both"/>
              <w:rPr>
                <w:rFonts w:ascii="Arial" w:hAnsi="Arial" w:cs="Arial"/>
                <w:lang w:val="es-CO"/>
              </w:rPr>
            </w:pPr>
            <w:r w:rsidRPr="008119BE">
              <w:rPr>
                <w:rFonts w:ascii="Arial" w:hAnsi="Arial" w:cs="Arial"/>
              </w:rPr>
              <w:t>Comisiones bancarias con el Banco de la República: Fogafín posee varias cuentas de compensación con el Banco de la República, cada cuenta hace parte de uno de los 4 códigos institucionales bajo el NIT del Fondo.  Cada cuenta de compensación tiene sus propias comisiones bancarias.  El Banco de la República reporta las comisiones bancarias en cabeza de un solo código (44300000-Fogafin) y no lo discrimina por cada uno de los códigos de Fogafín y los patrimonios administrados como son Emergencia Económica, Cobertura de Tasas y Banca Pública.</w:t>
            </w:r>
          </w:p>
        </w:tc>
      </w:tr>
    </w:tbl>
    <w:p w14:paraId="0EABFC32" w14:textId="77777777" w:rsidR="008C3428" w:rsidRDefault="008C3428" w:rsidP="008C3428">
      <w:pPr>
        <w:ind w:left="-284" w:right="-234"/>
        <w:jc w:val="both"/>
        <w:rPr>
          <w:rFonts w:ascii="Arial" w:hAnsi="Arial" w:cs="Arial"/>
          <w:b/>
          <w:sz w:val="28"/>
          <w:szCs w:val="28"/>
        </w:rPr>
      </w:pPr>
    </w:p>
    <w:p w14:paraId="76F6D072" w14:textId="77777777" w:rsidR="008C3428" w:rsidRPr="006D107F" w:rsidRDefault="008C3428" w:rsidP="008C3428">
      <w:pPr>
        <w:ind w:left="-142"/>
        <w:jc w:val="both"/>
        <w:rPr>
          <w:rFonts w:ascii="Arial" w:hAnsi="Arial" w:cs="Arial"/>
          <w:b/>
          <w:sz w:val="28"/>
          <w:szCs w:val="28"/>
          <w:lang w:val="es-MX"/>
        </w:rPr>
      </w:pPr>
      <w:r w:rsidRPr="006D107F">
        <w:rPr>
          <w:rFonts w:ascii="Arial" w:hAnsi="Arial" w:cs="Arial"/>
          <w:b/>
          <w:sz w:val="28"/>
          <w:szCs w:val="28"/>
          <w:lang w:val="es-MX"/>
        </w:rPr>
        <w:t xml:space="preserve">139.- </w:t>
      </w:r>
      <w:r w:rsidRPr="006D107F">
        <w:rPr>
          <w:rFonts w:ascii="Arial" w:hAnsi="Arial" w:cs="Arial"/>
          <w:b/>
          <w:sz w:val="28"/>
          <w:szCs w:val="28"/>
        </w:rPr>
        <w:t>FONDO DE GARANTÍAS DE INSTITUCIONES FINANCIERAS – FOGAFIN.</w:t>
      </w:r>
    </w:p>
    <w:p w14:paraId="75A78DC9" w14:textId="77777777" w:rsidR="008C3428" w:rsidRDefault="008C3428" w:rsidP="008C3428">
      <w:pPr>
        <w:ind w:left="-284" w:right="-234"/>
        <w:jc w:val="both"/>
        <w:rPr>
          <w:rFonts w:ascii="Arial" w:hAnsi="Arial" w:cs="Arial"/>
          <w:b/>
          <w:sz w:val="28"/>
          <w:szCs w:val="28"/>
          <w:lang w:val="es-MX"/>
        </w:rPr>
      </w:pPr>
    </w:p>
    <w:tbl>
      <w:tblPr>
        <w:tblStyle w:val="Tablaconcuadrcula"/>
        <w:tblW w:w="10343" w:type="dxa"/>
        <w:jc w:val="center"/>
        <w:tblLook w:val="04A0" w:firstRow="1" w:lastRow="0" w:firstColumn="1" w:lastColumn="0" w:noHBand="0" w:noVBand="1"/>
      </w:tblPr>
      <w:tblGrid>
        <w:gridCol w:w="988"/>
        <w:gridCol w:w="4110"/>
        <w:gridCol w:w="5245"/>
      </w:tblGrid>
      <w:tr w:rsidR="008C3428" w:rsidRPr="006D107F" w14:paraId="3E18FDD5" w14:textId="77777777" w:rsidTr="00F1223B">
        <w:trPr>
          <w:jc w:val="center"/>
        </w:trPr>
        <w:tc>
          <w:tcPr>
            <w:tcW w:w="988" w:type="dxa"/>
          </w:tcPr>
          <w:p w14:paraId="37F75946" w14:textId="77777777" w:rsidR="008C3428" w:rsidRPr="006D107F" w:rsidRDefault="008C3428" w:rsidP="00F1223B">
            <w:pPr>
              <w:tabs>
                <w:tab w:val="left" w:pos="875"/>
              </w:tabs>
              <w:ind w:right="-50"/>
              <w:jc w:val="center"/>
              <w:rPr>
                <w:rFonts w:ascii="Arial" w:hAnsi="Arial" w:cs="Arial"/>
                <w:b/>
              </w:rPr>
            </w:pPr>
            <w:r w:rsidRPr="006D107F">
              <w:rPr>
                <w:rFonts w:ascii="Arial" w:hAnsi="Arial" w:cs="Arial"/>
                <w:b/>
              </w:rPr>
              <w:t>N°</w:t>
            </w:r>
          </w:p>
        </w:tc>
        <w:tc>
          <w:tcPr>
            <w:tcW w:w="4110" w:type="dxa"/>
          </w:tcPr>
          <w:p w14:paraId="272892A5" w14:textId="77777777" w:rsidR="008C3428" w:rsidRPr="006D107F" w:rsidRDefault="008C3428" w:rsidP="00F1223B">
            <w:pPr>
              <w:tabs>
                <w:tab w:val="left" w:pos="875"/>
              </w:tabs>
              <w:ind w:right="-50"/>
              <w:jc w:val="center"/>
              <w:rPr>
                <w:rFonts w:ascii="Arial" w:hAnsi="Arial" w:cs="Arial"/>
                <w:b/>
              </w:rPr>
            </w:pPr>
            <w:r w:rsidRPr="006D107F">
              <w:rPr>
                <w:rFonts w:ascii="Arial" w:hAnsi="Arial" w:cs="Arial"/>
                <w:b/>
              </w:rPr>
              <w:t>Limitaciones del Sistema CHIP</w:t>
            </w:r>
          </w:p>
          <w:p w14:paraId="5A8E90F7" w14:textId="77777777" w:rsidR="008C3428" w:rsidRPr="006D107F" w:rsidRDefault="008C3428" w:rsidP="00F1223B">
            <w:pPr>
              <w:tabs>
                <w:tab w:val="left" w:pos="875"/>
              </w:tabs>
              <w:ind w:right="-50"/>
              <w:jc w:val="center"/>
              <w:rPr>
                <w:rFonts w:ascii="Arial" w:hAnsi="Arial" w:cs="Arial"/>
                <w:b/>
              </w:rPr>
            </w:pPr>
            <w:r w:rsidRPr="006D107F">
              <w:rPr>
                <w:rFonts w:ascii="Arial" w:hAnsi="Arial" w:cs="Arial"/>
                <w:b/>
              </w:rPr>
              <w:t xml:space="preserve"> a 31/12/2023</w:t>
            </w:r>
          </w:p>
          <w:p w14:paraId="2A5C4972" w14:textId="77777777" w:rsidR="008C3428" w:rsidRPr="006D107F" w:rsidRDefault="008C3428" w:rsidP="00F1223B">
            <w:pPr>
              <w:tabs>
                <w:tab w:val="left" w:pos="875"/>
              </w:tabs>
              <w:ind w:right="-50"/>
              <w:jc w:val="center"/>
              <w:rPr>
                <w:rFonts w:ascii="Arial" w:hAnsi="Arial" w:cs="Arial"/>
                <w:b/>
              </w:rPr>
            </w:pPr>
          </w:p>
        </w:tc>
        <w:tc>
          <w:tcPr>
            <w:tcW w:w="5245" w:type="dxa"/>
            <w:vAlign w:val="center"/>
          </w:tcPr>
          <w:p w14:paraId="317A5B9A" w14:textId="77777777" w:rsidR="008C3428" w:rsidRPr="006D107F" w:rsidRDefault="008C3428" w:rsidP="00F1223B">
            <w:pPr>
              <w:tabs>
                <w:tab w:val="left" w:pos="875"/>
              </w:tabs>
              <w:ind w:right="-50"/>
              <w:jc w:val="center"/>
              <w:rPr>
                <w:rFonts w:ascii="Arial" w:hAnsi="Arial" w:cs="Arial"/>
                <w:b/>
              </w:rPr>
            </w:pPr>
            <w:r w:rsidRPr="006D107F">
              <w:rPr>
                <w:rFonts w:ascii="Arial" w:hAnsi="Arial" w:cs="Arial"/>
                <w:b/>
              </w:rPr>
              <w:t>Descripción de la limitación</w:t>
            </w:r>
          </w:p>
        </w:tc>
      </w:tr>
      <w:tr w:rsidR="008C3428" w:rsidRPr="006D107F" w14:paraId="3CA021B8" w14:textId="77777777" w:rsidTr="00F1223B">
        <w:trPr>
          <w:jc w:val="center"/>
        </w:trPr>
        <w:tc>
          <w:tcPr>
            <w:tcW w:w="988" w:type="dxa"/>
          </w:tcPr>
          <w:p w14:paraId="5FCEBAE1" w14:textId="77777777" w:rsidR="008C3428" w:rsidRPr="006D107F" w:rsidRDefault="008C3428" w:rsidP="00F1223B">
            <w:pPr>
              <w:tabs>
                <w:tab w:val="left" w:pos="875"/>
              </w:tabs>
              <w:ind w:right="-50"/>
              <w:jc w:val="center"/>
              <w:rPr>
                <w:rFonts w:ascii="Arial" w:hAnsi="Arial" w:cs="Arial"/>
                <w:b/>
                <w:bCs/>
              </w:rPr>
            </w:pPr>
            <w:r w:rsidRPr="006D107F">
              <w:rPr>
                <w:rFonts w:ascii="Arial" w:hAnsi="Arial" w:cs="Arial"/>
                <w:b/>
                <w:bCs/>
              </w:rPr>
              <w:t>1</w:t>
            </w:r>
          </w:p>
        </w:tc>
        <w:tc>
          <w:tcPr>
            <w:tcW w:w="4110" w:type="dxa"/>
          </w:tcPr>
          <w:p w14:paraId="18E4362A" w14:textId="77777777" w:rsidR="008C3428" w:rsidRPr="006D107F" w:rsidRDefault="008C3428" w:rsidP="00F1223B">
            <w:pPr>
              <w:tabs>
                <w:tab w:val="left" w:pos="875"/>
              </w:tabs>
              <w:ind w:right="-50"/>
              <w:jc w:val="both"/>
              <w:rPr>
                <w:rFonts w:ascii="Arial" w:hAnsi="Arial" w:cs="Arial"/>
                <w:b/>
                <w:bCs/>
              </w:rPr>
            </w:pPr>
            <w:r w:rsidRPr="006D107F">
              <w:rPr>
                <w:rFonts w:ascii="Arial" w:hAnsi="Arial" w:cs="Arial"/>
                <w:b/>
                <w:bCs/>
              </w:rPr>
              <w:t>Administrativas:</w:t>
            </w:r>
          </w:p>
        </w:tc>
        <w:tc>
          <w:tcPr>
            <w:tcW w:w="5245" w:type="dxa"/>
          </w:tcPr>
          <w:p w14:paraId="05FE965E" w14:textId="77777777" w:rsidR="008C3428" w:rsidRPr="006D107F" w:rsidRDefault="008C3428" w:rsidP="00F1223B">
            <w:pPr>
              <w:tabs>
                <w:tab w:val="left" w:pos="875"/>
              </w:tabs>
              <w:ind w:right="-50"/>
              <w:jc w:val="both"/>
              <w:rPr>
                <w:rFonts w:ascii="Arial" w:hAnsi="Arial" w:cs="Arial"/>
              </w:rPr>
            </w:pPr>
            <w:r w:rsidRPr="006D107F">
              <w:rPr>
                <w:rFonts w:ascii="Arial" w:hAnsi="Arial" w:cs="Arial"/>
              </w:rPr>
              <w:t>Comisiones bancarias con el Banco de la República: Fogafín posee varias cuentas de compensación en el Banco de la República, cada cuenta hace parte de uno de los 4 códigos institucionales bajo el NIT del fondo.</w:t>
            </w:r>
          </w:p>
          <w:p w14:paraId="12DB54F7" w14:textId="77777777" w:rsidR="008C3428" w:rsidRPr="006D107F" w:rsidRDefault="008C3428" w:rsidP="00F1223B">
            <w:pPr>
              <w:tabs>
                <w:tab w:val="left" w:pos="875"/>
              </w:tabs>
              <w:ind w:right="-50"/>
              <w:jc w:val="both"/>
              <w:rPr>
                <w:rFonts w:ascii="Arial" w:hAnsi="Arial" w:cs="Arial"/>
              </w:rPr>
            </w:pPr>
          </w:p>
          <w:p w14:paraId="03573FC8" w14:textId="77777777" w:rsidR="008C3428" w:rsidRPr="006D107F" w:rsidRDefault="008C3428" w:rsidP="00F1223B">
            <w:pPr>
              <w:tabs>
                <w:tab w:val="left" w:pos="875"/>
              </w:tabs>
              <w:ind w:right="-50"/>
              <w:jc w:val="both"/>
              <w:rPr>
                <w:rFonts w:ascii="Arial" w:hAnsi="Arial" w:cs="Arial"/>
              </w:rPr>
            </w:pPr>
            <w:r w:rsidRPr="006D107F">
              <w:rPr>
                <w:rFonts w:ascii="Arial" w:hAnsi="Arial" w:cs="Arial"/>
              </w:rPr>
              <w:t xml:space="preserve">Cada cuenta de compensación tiene sus propias comisiones bancarias. El banco de la República reporta las comisiones bancarias en cabeza de un solo código (44300000 – Fogafín) y no lo discrimina por cada uno de los códigos de Fogafín y los patrimonios administrados </w:t>
            </w:r>
            <w:r w:rsidRPr="006D107F">
              <w:rPr>
                <w:rFonts w:ascii="Arial" w:hAnsi="Arial" w:cs="Arial"/>
              </w:rPr>
              <w:lastRenderedPageBreak/>
              <w:t>como son Emergencia Económica, Cobertura de Tasas y Banca Pública.</w:t>
            </w:r>
          </w:p>
          <w:p w14:paraId="45368A09" w14:textId="77777777" w:rsidR="008C3428" w:rsidRPr="006D107F" w:rsidRDefault="008C3428" w:rsidP="00F1223B">
            <w:pPr>
              <w:tabs>
                <w:tab w:val="left" w:pos="875"/>
              </w:tabs>
              <w:ind w:right="-50"/>
              <w:jc w:val="both"/>
              <w:rPr>
                <w:rFonts w:ascii="Arial" w:hAnsi="Arial" w:cs="Arial"/>
              </w:rPr>
            </w:pPr>
          </w:p>
          <w:p w14:paraId="585A65D1" w14:textId="77777777" w:rsidR="008C3428" w:rsidRPr="006D107F" w:rsidRDefault="008C3428" w:rsidP="00F1223B">
            <w:pPr>
              <w:tabs>
                <w:tab w:val="left" w:pos="875"/>
              </w:tabs>
              <w:ind w:right="-50"/>
              <w:jc w:val="both"/>
              <w:rPr>
                <w:rFonts w:ascii="Arial" w:hAnsi="Arial" w:cs="Arial"/>
              </w:rPr>
            </w:pPr>
            <w:r w:rsidRPr="006D107F">
              <w:rPr>
                <w:rFonts w:ascii="Arial" w:hAnsi="Arial" w:cs="Arial"/>
              </w:rPr>
              <w:t>Valor de las inversiones de renta variable con cambios en el patrimonio.  La entidad reporta el valor patrimonial teniendo en cuenta la última certificación radicada por la entidad que nunca es la de fin de ejercicio porque se cierra el periodo en diferentes momentos. La entidad donde se posee la participación reporta el patrimonio con el balance.</w:t>
            </w:r>
          </w:p>
          <w:p w14:paraId="1F00E802" w14:textId="77777777" w:rsidR="008C3428" w:rsidRPr="006D107F" w:rsidRDefault="008C3428" w:rsidP="00F1223B">
            <w:pPr>
              <w:tabs>
                <w:tab w:val="left" w:pos="875"/>
              </w:tabs>
              <w:ind w:right="-50"/>
              <w:jc w:val="both"/>
              <w:rPr>
                <w:rFonts w:ascii="Arial" w:hAnsi="Arial" w:cs="Arial"/>
              </w:rPr>
            </w:pPr>
          </w:p>
          <w:p w14:paraId="00D1497B" w14:textId="77777777" w:rsidR="008C3428" w:rsidRPr="006D107F" w:rsidRDefault="008C3428" w:rsidP="00F1223B">
            <w:pPr>
              <w:tabs>
                <w:tab w:val="left" w:pos="875"/>
              </w:tabs>
              <w:ind w:right="-50"/>
              <w:jc w:val="both"/>
              <w:rPr>
                <w:rFonts w:ascii="Arial" w:hAnsi="Arial" w:cs="Arial"/>
              </w:rPr>
            </w:pPr>
            <w:r w:rsidRPr="006D107F">
              <w:rPr>
                <w:rFonts w:ascii="Arial" w:hAnsi="Arial" w:cs="Arial"/>
              </w:rPr>
              <w:t>Secretaría Distrital de Hacienda: Impuesto de Industria y Comercio corresponden a momentos de causación y pago. La SDH-Bogotá incorpora el 6to periodo del año anterior reportado y Fogafín reporta lo causado en el año objeto de reporte.</w:t>
            </w:r>
          </w:p>
          <w:p w14:paraId="77FCA25C" w14:textId="77777777" w:rsidR="008C3428" w:rsidRPr="006D107F" w:rsidRDefault="008C3428" w:rsidP="00F1223B">
            <w:pPr>
              <w:tabs>
                <w:tab w:val="left" w:pos="875"/>
              </w:tabs>
              <w:ind w:right="-50"/>
              <w:jc w:val="both"/>
              <w:rPr>
                <w:rFonts w:ascii="Arial" w:hAnsi="Arial" w:cs="Arial"/>
              </w:rPr>
            </w:pPr>
          </w:p>
          <w:p w14:paraId="31EDA9D8" w14:textId="77777777" w:rsidR="008C3428" w:rsidRPr="006D107F" w:rsidRDefault="008C3428" w:rsidP="00F1223B">
            <w:pPr>
              <w:tabs>
                <w:tab w:val="left" w:pos="875"/>
              </w:tabs>
              <w:ind w:right="-50"/>
              <w:jc w:val="both"/>
              <w:rPr>
                <w:rFonts w:ascii="Arial" w:hAnsi="Arial" w:cs="Arial"/>
              </w:rPr>
            </w:pPr>
            <w:r w:rsidRPr="006D107F">
              <w:rPr>
                <w:rFonts w:ascii="Arial" w:hAnsi="Arial" w:cs="Arial"/>
              </w:rPr>
              <w:t>EAAB: Fogafín reporta las facturas causadas en el periodo de 2024, la EAAB reporta los valores recaudados en el año 2024.</w:t>
            </w:r>
          </w:p>
          <w:p w14:paraId="0599A39B" w14:textId="77777777" w:rsidR="008C3428" w:rsidRPr="006D107F" w:rsidRDefault="008C3428" w:rsidP="00F1223B">
            <w:pPr>
              <w:tabs>
                <w:tab w:val="left" w:pos="875"/>
              </w:tabs>
              <w:ind w:right="-50"/>
              <w:jc w:val="both"/>
              <w:rPr>
                <w:rFonts w:ascii="Arial" w:hAnsi="Arial" w:cs="Arial"/>
              </w:rPr>
            </w:pPr>
          </w:p>
          <w:p w14:paraId="72262681" w14:textId="77777777" w:rsidR="008C3428" w:rsidRPr="006D107F" w:rsidRDefault="008C3428" w:rsidP="00F1223B">
            <w:pPr>
              <w:tabs>
                <w:tab w:val="left" w:pos="875"/>
              </w:tabs>
              <w:ind w:right="-50"/>
              <w:jc w:val="both"/>
              <w:rPr>
                <w:rFonts w:ascii="Arial" w:hAnsi="Arial" w:cs="Arial"/>
              </w:rPr>
            </w:pPr>
            <w:r w:rsidRPr="006D107F">
              <w:rPr>
                <w:rFonts w:ascii="Arial" w:hAnsi="Arial" w:cs="Arial"/>
              </w:rPr>
              <w:t>ETB: Fogafín reporta las facturas causadas sin discriminar los operadores Que son cobrados en la misma factura, dado que la factura no detalla. La ETB reporta como recíprocas únicamente lo que corresponde al servicio prestado directamente por la entidad.</w:t>
            </w:r>
          </w:p>
        </w:tc>
      </w:tr>
    </w:tbl>
    <w:p w14:paraId="663A5740" w14:textId="77777777" w:rsidR="008C3428" w:rsidRDefault="008C3428" w:rsidP="008C3428">
      <w:pPr>
        <w:ind w:left="-284" w:right="-234"/>
        <w:jc w:val="both"/>
        <w:rPr>
          <w:rFonts w:ascii="Arial" w:hAnsi="Arial" w:cs="Arial"/>
          <w:b/>
          <w:sz w:val="28"/>
          <w:szCs w:val="28"/>
        </w:rPr>
      </w:pPr>
    </w:p>
    <w:p w14:paraId="6732100F" w14:textId="77777777" w:rsidR="008C3428" w:rsidRPr="00A402E9" w:rsidRDefault="008C3428" w:rsidP="008C3428">
      <w:pPr>
        <w:ind w:left="-284"/>
        <w:jc w:val="both"/>
        <w:rPr>
          <w:rFonts w:ascii="Arial" w:hAnsi="Arial" w:cs="Arial"/>
          <w:b/>
          <w:sz w:val="28"/>
          <w:szCs w:val="28"/>
          <w:lang w:val="es-MX"/>
        </w:rPr>
      </w:pPr>
      <w:r w:rsidRPr="00A402E9">
        <w:rPr>
          <w:rFonts w:ascii="Arial" w:hAnsi="Arial" w:cs="Arial"/>
          <w:b/>
          <w:sz w:val="28"/>
          <w:szCs w:val="28"/>
          <w:lang w:val="es-MX"/>
        </w:rPr>
        <w:t xml:space="preserve">145.- </w:t>
      </w:r>
      <w:r w:rsidRPr="00A402E9">
        <w:rPr>
          <w:rFonts w:ascii="Arial" w:hAnsi="Arial" w:cs="Arial"/>
          <w:b/>
          <w:sz w:val="28"/>
          <w:szCs w:val="28"/>
        </w:rPr>
        <w:t>ECOPETROL S.A.</w:t>
      </w:r>
    </w:p>
    <w:p w14:paraId="069EF92D" w14:textId="77777777" w:rsidR="008C3428" w:rsidRDefault="008C3428" w:rsidP="008C3428">
      <w:pPr>
        <w:ind w:left="-284" w:right="-234"/>
        <w:jc w:val="both"/>
        <w:rPr>
          <w:rFonts w:ascii="Arial" w:hAnsi="Arial" w:cs="Arial"/>
          <w:b/>
          <w:sz w:val="28"/>
          <w:szCs w:val="28"/>
        </w:rPr>
      </w:pPr>
    </w:p>
    <w:tbl>
      <w:tblPr>
        <w:tblStyle w:val="Tablaconcuadrcula"/>
        <w:tblW w:w="10354" w:type="dxa"/>
        <w:jc w:val="center"/>
        <w:tblLook w:val="04A0" w:firstRow="1" w:lastRow="0" w:firstColumn="1" w:lastColumn="0" w:noHBand="0" w:noVBand="1"/>
      </w:tblPr>
      <w:tblGrid>
        <w:gridCol w:w="988"/>
        <w:gridCol w:w="4110"/>
        <w:gridCol w:w="5256"/>
      </w:tblGrid>
      <w:tr w:rsidR="008C3428" w:rsidRPr="00A402E9" w14:paraId="07851139" w14:textId="77777777" w:rsidTr="008C3428">
        <w:trPr>
          <w:jc w:val="center"/>
        </w:trPr>
        <w:tc>
          <w:tcPr>
            <w:tcW w:w="988" w:type="dxa"/>
          </w:tcPr>
          <w:p w14:paraId="1BC9F224" w14:textId="77777777" w:rsidR="008C3428" w:rsidRPr="00A402E9" w:rsidRDefault="008C3428" w:rsidP="00F1223B">
            <w:pPr>
              <w:tabs>
                <w:tab w:val="left" w:pos="875"/>
              </w:tabs>
              <w:ind w:right="-50"/>
              <w:jc w:val="center"/>
              <w:rPr>
                <w:rFonts w:ascii="Arial" w:hAnsi="Arial" w:cs="Arial"/>
                <w:b/>
              </w:rPr>
            </w:pPr>
            <w:r w:rsidRPr="00A402E9">
              <w:rPr>
                <w:rFonts w:ascii="Arial" w:hAnsi="Arial" w:cs="Arial"/>
                <w:b/>
              </w:rPr>
              <w:t>N°</w:t>
            </w:r>
          </w:p>
        </w:tc>
        <w:tc>
          <w:tcPr>
            <w:tcW w:w="4110" w:type="dxa"/>
          </w:tcPr>
          <w:p w14:paraId="2D5B0ACC" w14:textId="77777777" w:rsidR="008C3428" w:rsidRPr="00A402E9" w:rsidRDefault="008C3428" w:rsidP="00F1223B">
            <w:pPr>
              <w:tabs>
                <w:tab w:val="left" w:pos="875"/>
              </w:tabs>
              <w:ind w:right="-50"/>
              <w:jc w:val="center"/>
              <w:rPr>
                <w:rFonts w:ascii="Arial" w:hAnsi="Arial" w:cs="Arial"/>
                <w:b/>
              </w:rPr>
            </w:pPr>
            <w:r w:rsidRPr="00A402E9">
              <w:rPr>
                <w:rFonts w:ascii="Arial" w:hAnsi="Arial" w:cs="Arial"/>
                <w:b/>
              </w:rPr>
              <w:t>Limitaciones del Sistema CHIP</w:t>
            </w:r>
          </w:p>
          <w:p w14:paraId="18BA0509" w14:textId="77777777" w:rsidR="008C3428" w:rsidRPr="00A402E9" w:rsidRDefault="008C3428" w:rsidP="00F1223B">
            <w:pPr>
              <w:tabs>
                <w:tab w:val="left" w:pos="875"/>
              </w:tabs>
              <w:ind w:right="-50"/>
              <w:jc w:val="center"/>
              <w:rPr>
                <w:rFonts w:ascii="Arial" w:hAnsi="Arial" w:cs="Arial"/>
                <w:b/>
              </w:rPr>
            </w:pPr>
            <w:r w:rsidRPr="00A402E9">
              <w:rPr>
                <w:rFonts w:ascii="Arial" w:hAnsi="Arial" w:cs="Arial"/>
                <w:b/>
              </w:rPr>
              <w:t xml:space="preserve"> a 31/12/2023</w:t>
            </w:r>
          </w:p>
          <w:p w14:paraId="335FE457" w14:textId="77777777" w:rsidR="008C3428" w:rsidRPr="00A402E9" w:rsidRDefault="008C3428" w:rsidP="00F1223B">
            <w:pPr>
              <w:tabs>
                <w:tab w:val="left" w:pos="875"/>
              </w:tabs>
              <w:ind w:right="-50"/>
              <w:jc w:val="center"/>
              <w:rPr>
                <w:rFonts w:ascii="Arial" w:hAnsi="Arial" w:cs="Arial"/>
                <w:b/>
              </w:rPr>
            </w:pPr>
          </w:p>
        </w:tc>
        <w:tc>
          <w:tcPr>
            <w:tcW w:w="5256" w:type="dxa"/>
            <w:vAlign w:val="center"/>
          </w:tcPr>
          <w:p w14:paraId="00C7AEAF" w14:textId="77777777" w:rsidR="008C3428" w:rsidRPr="00A402E9" w:rsidRDefault="008C3428" w:rsidP="00F1223B">
            <w:pPr>
              <w:tabs>
                <w:tab w:val="left" w:pos="875"/>
              </w:tabs>
              <w:ind w:right="-50"/>
              <w:jc w:val="center"/>
              <w:rPr>
                <w:rFonts w:ascii="Arial" w:hAnsi="Arial" w:cs="Arial"/>
                <w:b/>
              </w:rPr>
            </w:pPr>
            <w:r w:rsidRPr="00A402E9">
              <w:rPr>
                <w:rFonts w:ascii="Arial" w:hAnsi="Arial" w:cs="Arial"/>
                <w:b/>
              </w:rPr>
              <w:t>Descripción de la limitación</w:t>
            </w:r>
          </w:p>
        </w:tc>
      </w:tr>
      <w:tr w:rsidR="008C3428" w:rsidRPr="00A402E9" w14:paraId="4DA2DD8F" w14:textId="77777777" w:rsidTr="008C3428">
        <w:trPr>
          <w:jc w:val="center"/>
        </w:trPr>
        <w:tc>
          <w:tcPr>
            <w:tcW w:w="988" w:type="dxa"/>
          </w:tcPr>
          <w:p w14:paraId="16F25A2E" w14:textId="77777777" w:rsidR="008C3428" w:rsidRPr="00A402E9" w:rsidRDefault="008C3428" w:rsidP="00F1223B">
            <w:pPr>
              <w:tabs>
                <w:tab w:val="left" w:pos="875"/>
              </w:tabs>
              <w:ind w:right="-50"/>
              <w:jc w:val="center"/>
              <w:rPr>
                <w:rFonts w:ascii="Arial" w:hAnsi="Arial" w:cs="Arial"/>
                <w:b/>
                <w:bCs/>
              </w:rPr>
            </w:pPr>
            <w:r w:rsidRPr="00A402E9">
              <w:rPr>
                <w:rFonts w:ascii="Arial" w:hAnsi="Arial" w:cs="Arial"/>
                <w:b/>
                <w:bCs/>
              </w:rPr>
              <w:t>1</w:t>
            </w:r>
          </w:p>
        </w:tc>
        <w:tc>
          <w:tcPr>
            <w:tcW w:w="4110" w:type="dxa"/>
          </w:tcPr>
          <w:p w14:paraId="6A7A449A" w14:textId="77777777" w:rsidR="008C3428" w:rsidRPr="00A402E9" w:rsidRDefault="008C3428" w:rsidP="00F1223B">
            <w:pPr>
              <w:tabs>
                <w:tab w:val="left" w:pos="875"/>
              </w:tabs>
              <w:ind w:right="-50"/>
              <w:jc w:val="both"/>
              <w:rPr>
                <w:rFonts w:ascii="Arial" w:hAnsi="Arial" w:cs="Arial"/>
                <w:b/>
                <w:bCs/>
              </w:rPr>
            </w:pPr>
            <w:r w:rsidRPr="00A402E9">
              <w:rPr>
                <w:rFonts w:ascii="Arial" w:hAnsi="Arial" w:cs="Arial"/>
                <w:b/>
                <w:bCs/>
              </w:rPr>
              <w:t>Técnicas:</w:t>
            </w:r>
          </w:p>
        </w:tc>
        <w:tc>
          <w:tcPr>
            <w:tcW w:w="5256" w:type="dxa"/>
          </w:tcPr>
          <w:p w14:paraId="6FA6BEBE" w14:textId="77777777" w:rsidR="008C3428" w:rsidRPr="00A402E9" w:rsidRDefault="008C3428" w:rsidP="00F1223B">
            <w:pPr>
              <w:jc w:val="both"/>
              <w:rPr>
                <w:rFonts w:ascii="Arial" w:hAnsi="Arial" w:cs="Arial"/>
                <w:color w:val="000000"/>
              </w:rPr>
            </w:pPr>
            <w:r w:rsidRPr="00A402E9">
              <w:rPr>
                <w:rFonts w:ascii="Arial" w:hAnsi="Arial" w:cs="Arial"/>
                <w:color w:val="000000"/>
              </w:rPr>
              <w:t>i) En el aplicativo del CHIP existen unas reglas de eliminación para partidas recíprocas con entidades públicas, estas reglas no consideran el reporte de cuentas de ingresos operacionales (Grupo 42 - Ventas de bienes y 43-Venta de servicios) y cuentas de costos de producción (Grupo 7 - Costos de transformación), cuentas que Ecopetrol utiliza para reconocer operaciones con sus vinculados económicos. Esto origina que las transacciones reconocidas por Ecopetrol en tales cuentas no sean reportadas como operaciones recíprocas ni eliminadas en el consolidado de la Nación.</w:t>
            </w:r>
          </w:p>
          <w:p w14:paraId="6AF06BAB" w14:textId="77777777" w:rsidR="008C3428" w:rsidRPr="00A402E9" w:rsidRDefault="008C3428" w:rsidP="00F1223B">
            <w:pPr>
              <w:jc w:val="both"/>
              <w:rPr>
                <w:rFonts w:ascii="Arial" w:hAnsi="Arial" w:cs="Arial"/>
                <w:color w:val="000000"/>
              </w:rPr>
            </w:pPr>
          </w:p>
          <w:p w14:paraId="245F67A6" w14:textId="77777777" w:rsidR="008C3428" w:rsidRPr="00A402E9" w:rsidRDefault="008C3428" w:rsidP="00F1223B">
            <w:pPr>
              <w:jc w:val="both"/>
              <w:rPr>
                <w:rFonts w:ascii="Arial" w:hAnsi="Arial" w:cs="Arial"/>
                <w:color w:val="000000"/>
              </w:rPr>
            </w:pPr>
            <w:r w:rsidRPr="00A402E9">
              <w:rPr>
                <w:rFonts w:ascii="Arial" w:hAnsi="Arial" w:cs="Arial"/>
                <w:color w:val="000000"/>
              </w:rPr>
              <w:t>ii) En el aplicativo CHIP no se consideran las cuentas dentro de la denominación de "Otros" dentro de las reglas de eliminación, con lo cual si existen saldos recíprocos con entidades públicas que están reconocidos en estas cuentas, no se pueden reportar y por consiguiente no se eliminan en el consolidado de la Nación.</w:t>
            </w:r>
          </w:p>
          <w:p w14:paraId="7B180DC3" w14:textId="77777777" w:rsidR="008C3428" w:rsidRPr="00A402E9" w:rsidRDefault="008C3428" w:rsidP="00F1223B">
            <w:pPr>
              <w:jc w:val="both"/>
              <w:rPr>
                <w:rFonts w:ascii="Arial" w:hAnsi="Arial" w:cs="Arial"/>
                <w:color w:val="000000"/>
              </w:rPr>
            </w:pPr>
          </w:p>
          <w:p w14:paraId="64D4F676" w14:textId="77777777" w:rsidR="008C3428" w:rsidRPr="00A402E9" w:rsidRDefault="008C3428" w:rsidP="00F1223B">
            <w:pPr>
              <w:jc w:val="both"/>
              <w:rPr>
                <w:rFonts w:ascii="Arial" w:hAnsi="Arial" w:cs="Arial"/>
                <w:color w:val="000000"/>
              </w:rPr>
            </w:pPr>
            <w:r w:rsidRPr="00A402E9">
              <w:rPr>
                <w:rFonts w:ascii="Arial" w:hAnsi="Arial" w:cs="Arial"/>
                <w:color w:val="000000"/>
              </w:rPr>
              <w:t xml:space="preserve">iii) Existen diferencias en la conciliación de operaciones recíprocas con las entidades administradoras de impuestos nacionales y municipales, generadas por el desfase en la causación de los impuestos, dado que mientras en Ecopetrol se registra la operación una vez realizada, la administración de impuestos reconoce este </w:t>
            </w:r>
            <w:r w:rsidRPr="00A402E9">
              <w:rPr>
                <w:rFonts w:ascii="Arial" w:hAnsi="Arial" w:cs="Arial"/>
                <w:color w:val="000000"/>
              </w:rPr>
              <w:lastRenderedPageBreak/>
              <w:t>importe hasta el momento del cumplimiento del deber formal de presentar la declaración.</w:t>
            </w:r>
          </w:p>
          <w:p w14:paraId="58FFFA30" w14:textId="77777777" w:rsidR="008C3428" w:rsidRPr="00A402E9" w:rsidRDefault="008C3428" w:rsidP="00F1223B">
            <w:pPr>
              <w:tabs>
                <w:tab w:val="left" w:pos="875"/>
              </w:tabs>
              <w:ind w:right="-50"/>
              <w:jc w:val="both"/>
              <w:rPr>
                <w:rFonts w:ascii="Arial" w:hAnsi="Arial" w:cs="Arial"/>
                <w:color w:val="000000"/>
              </w:rPr>
            </w:pPr>
          </w:p>
          <w:p w14:paraId="6F2DDDCC" w14:textId="77777777" w:rsidR="008C3428" w:rsidRPr="00A402E9" w:rsidRDefault="008C3428" w:rsidP="00F1223B">
            <w:pPr>
              <w:tabs>
                <w:tab w:val="left" w:pos="875"/>
              </w:tabs>
              <w:ind w:right="-50"/>
              <w:jc w:val="both"/>
              <w:rPr>
                <w:rFonts w:ascii="Arial" w:hAnsi="Arial" w:cs="Arial"/>
              </w:rPr>
            </w:pPr>
            <w:r w:rsidRPr="00A402E9">
              <w:rPr>
                <w:rFonts w:ascii="Arial" w:hAnsi="Arial" w:cs="Arial"/>
                <w:color w:val="000000"/>
              </w:rPr>
              <w:t>iv) Algunos saldos por conciliar en la conciliación de operaciones recíprocas con Entidades Públicas se presentan por diferencia en el criterio contable aplicado en otras entidades, Ecopetrol registra sus operaciones de acuerdo a la normatividad contable que le es aplicable, pero la contraparte puede diferir en su criterio de registro.</w:t>
            </w:r>
          </w:p>
        </w:tc>
      </w:tr>
      <w:tr w:rsidR="008C3428" w:rsidRPr="00A402E9" w14:paraId="64AC1848" w14:textId="77777777" w:rsidTr="008C3428">
        <w:trPr>
          <w:jc w:val="center"/>
        </w:trPr>
        <w:tc>
          <w:tcPr>
            <w:tcW w:w="988" w:type="dxa"/>
          </w:tcPr>
          <w:p w14:paraId="7C1A99ED" w14:textId="77777777" w:rsidR="008C3428" w:rsidRPr="00A402E9" w:rsidRDefault="008C3428" w:rsidP="00F1223B">
            <w:pPr>
              <w:tabs>
                <w:tab w:val="left" w:pos="875"/>
              </w:tabs>
              <w:ind w:right="-50"/>
              <w:jc w:val="center"/>
              <w:rPr>
                <w:rFonts w:ascii="Arial" w:hAnsi="Arial" w:cs="Arial"/>
                <w:b/>
                <w:bCs/>
              </w:rPr>
            </w:pPr>
            <w:r w:rsidRPr="00A402E9">
              <w:rPr>
                <w:rFonts w:ascii="Arial" w:hAnsi="Arial" w:cs="Arial"/>
                <w:b/>
                <w:bCs/>
              </w:rPr>
              <w:lastRenderedPageBreak/>
              <w:t>2</w:t>
            </w:r>
          </w:p>
        </w:tc>
        <w:tc>
          <w:tcPr>
            <w:tcW w:w="4110" w:type="dxa"/>
          </w:tcPr>
          <w:p w14:paraId="23901747" w14:textId="77777777" w:rsidR="008C3428" w:rsidRPr="00A402E9" w:rsidRDefault="008C3428" w:rsidP="00F1223B">
            <w:pPr>
              <w:tabs>
                <w:tab w:val="left" w:pos="875"/>
              </w:tabs>
              <w:ind w:right="-50"/>
              <w:jc w:val="both"/>
              <w:rPr>
                <w:rFonts w:ascii="Arial" w:hAnsi="Arial" w:cs="Arial"/>
                <w:b/>
                <w:bCs/>
              </w:rPr>
            </w:pPr>
            <w:r w:rsidRPr="00A402E9">
              <w:rPr>
                <w:rFonts w:ascii="Arial" w:hAnsi="Arial" w:cs="Arial"/>
                <w:b/>
                <w:bCs/>
              </w:rPr>
              <w:t>Operativas:</w:t>
            </w:r>
          </w:p>
        </w:tc>
        <w:tc>
          <w:tcPr>
            <w:tcW w:w="5256" w:type="dxa"/>
          </w:tcPr>
          <w:p w14:paraId="69D9D422" w14:textId="77777777" w:rsidR="008C3428" w:rsidRPr="00A402E9" w:rsidRDefault="008C3428" w:rsidP="00F1223B">
            <w:pPr>
              <w:tabs>
                <w:tab w:val="left" w:pos="875"/>
              </w:tabs>
              <w:ind w:right="-50"/>
              <w:jc w:val="both"/>
              <w:rPr>
                <w:rFonts w:ascii="Arial" w:hAnsi="Arial" w:cs="Arial"/>
              </w:rPr>
            </w:pPr>
            <w:r w:rsidRPr="00A402E9">
              <w:rPr>
                <w:rFonts w:ascii="Arial" w:hAnsi="Arial" w:cs="Arial"/>
                <w:color w:val="000000"/>
              </w:rPr>
              <w:t>Para el proceso de conciliación de operaciones recíprocas, y la eliminación de saldos en el consolidado de la Nación, el CHIP no considera la totalidad de operaciones posibles entre entidades públicas, en especial para las empresas relacionadas con procesos productivos.</w:t>
            </w:r>
          </w:p>
        </w:tc>
      </w:tr>
    </w:tbl>
    <w:p w14:paraId="392C6CA1" w14:textId="77777777" w:rsidR="008C3428" w:rsidRDefault="008C3428" w:rsidP="008C3428">
      <w:pPr>
        <w:ind w:left="-284" w:right="-234"/>
        <w:jc w:val="both"/>
        <w:rPr>
          <w:rFonts w:ascii="Arial" w:hAnsi="Arial" w:cs="Arial"/>
          <w:b/>
          <w:sz w:val="28"/>
          <w:szCs w:val="28"/>
        </w:rPr>
      </w:pPr>
    </w:p>
    <w:p w14:paraId="78503A98" w14:textId="77777777" w:rsidR="008C3428" w:rsidRPr="00027E68" w:rsidRDefault="008C3428" w:rsidP="008C3428">
      <w:pPr>
        <w:ind w:left="-284" w:right="-234"/>
        <w:jc w:val="both"/>
        <w:rPr>
          <w:rFonts w:ascii="Arial" w:hAnsi="Arial" w:cs="Arial"/>
          <w:b/>
          <w:sz w:val="28"/>
          <w:szCs w:val="28"/>
          <w:lang w:val="es-MX"/>
        </w:rPr>
      </w:pPr>
      <w:r w:rsidRPr="00027E68">
        <w:rPr>
          <w:rFonts w:ascii="Arial" w:hAnsi="Arial" w:cs="Arial"/>
          <w:b/>
          <w:sz w:val="28"/>
          <w:szCs w:val="28"/>
          <w:lang w:val="es-MX"/>
        </w:rPr>
        <w:t xml:space="preserve">187.- </w:t>
      </w:r>
      <w:r w:rsidRPr="00027E68">
        <w:rPr>
          <w:rFonts w:ascii="Arial" w:hAnsi="Arial" w:cs="Arial"/>
          <w:b/>
          <w:sz w:val="28"/>
          <w:szCs w:val="28"/>
        </w:rPr>
        <w:t>MINISTERIO DE CIENCIA, TECNOLOGÍA E INNOVACIÓN - MINCIENCIAS.</w:t>
      </w:r>
    </w:p>
    <w:p w14:paraId="38E4DED1" w14:textId="77777777" w:rsidR="008C3428" w:rsidRDefault="008C3428" w:rsidP="008C3428">
      <w:pPr>
        <w:ind w:left="-284" w:right="-234"/>
        <w:jc w:val="both"/>
        <w:rPr>
          <w:rFonts w:ascii="Arial" w:hAnsi="Arial" w:cs="Arial"/>
          <w:b/>
          <w:sz w:val="28"/>
          <w:szCs w:val="28"/>
        </w:rPr>
      </w:pPr>
    </w:p>
    <w:tbl>
      <w:tblPr>
        <w:tblStyle w:val="Tablaconcuadrcula"/>
        <w:tblW w:w="10359" w:type="dxa"/>
        <w:jc w:val="center"/>
        <w:tblLook w:val="04A0" w:firstRow="1" w:lastRow="0" w:firstColumn="1" w:lastColumn="0" w:noHBand="0" w:noVBand="1"/>
      </w:tblPr>
      <w:tblGrid>
        <w:gridCol w:w="988"/>
        <w:gridCol w:w="3969"/>
        <w:gridCol w:w="5402"/>
      </w:tblGrid>
      <w:tr w:rsidR="008C3428" w:rsidRPr="00217421" w14:paraId="162C51D3" w14:textId="77777777" w:rsidTr="00F1223B">
        <w:trPr>
          <w:jc w:val="center"/>
        </w:trPr>
        <w:tc>
          <w:tcPr>
            <w:tcW w:w="988" w:type="dxa"/>
          </w:tcPr>
          <w:p w14:paraId="3F44CCAC" w14:textId="77777777" w:rsidR="008C3428" w:rsidRPr="00217421" w:rsidRDefault="008C3428" w:rsidP="00F1223B">
            <w:pPr>
              <w:tabs>
                <w:tab w:val="left" w:pos="875"/>
              </w:tabs>
              <w:ind w:right="-50"/>
              <w:jc w:val="center"/>
              <w:rPr>
                <w:rFonts w:ascii="Arial" w:hAnsi="Arial" w:cs="Arial"/>
                <w:b/>
              </w:rPr>
            </w:pPr>
            <w:r w:rsidRPr="00217421">
              <w:rPr>
                <w:rFonts w:ascii="Arial" w:hAnsi="Arial" w:cs="Arial"/>
                <w:b/>
              </w:rPr>
              <w:t>N°</w:t>
            </w:r>
          </w:p>
        </w:tc>
        <w:tc>
          <w:tcPr>
            <w:tcW w:w="3969" w:type="dxa"/>
          </w:tcPr>
          <w:p w14:paraId="4D6CA6AB" w14:textId="77777777" w:rsidR="008C3428" w:rsidRPr="00217421" w:rsidRDefault="008C3428" w:rsidP="00F1223B">
            <w:pPr>
              <w:tabs>
                <w:tab w:val="left" w:pos="875"/>
              </w:tabs>
              <w:ind w:right="-50"/>
              <w:jc w:val="center"/>
              <w:rPr>
                <w:rFonts w:ascii="Arial" w:hAnsi="Arial" w:cs="Arial"/>
                <w:b/>
              </w:rPr>
            </w:pPr>
            <w:r w:rsidRPr="00217421">
              <w:rPr>
                <w:rFonts w:ascii="Arial" w:hAnsi="Arial" w:cs="Arial"/>
                <w:b/>
              </w:rPr>
              <w:t>Limitaciones del Sistema CHIP</w:t>
            </w:r>
          </w:p>
          <w:p w14:paraId="5C42D333" w14:textId="77777777" w:rsidR="008C3428" w:rsidRPr="00217421" w:rsidRDefault="008C3428" w:rsidP="00F1223B">
            <w:pPr>
              <w:tabs>
                <w:tab w:val="left" w:pos="875"/>
              </w:tabs>
              <w:ind w:right="-50"/>
              <w:jc w:val="center"/>
              <w:rPr>
                <w:rFonts w:ascii="Arial" w:hAnsi="Arial" w:cs="Arial"/>
                <w:b/>
              </w:rPr>
            </w:pPr>
            <w:r w:rsidRPr="00217421">
              <w:rPr>
                <w:rFonts w:ascii="Arial" w:hAnsi="Arial" w:cs="Arial"/>
                <w:b/>
              </w:rPr>
              <w:t xml:space="preserve"> a 31/12/2023</w:t>
            </w:r>
          </w:p>
          <w:p w14:paraId="0AAD26A5" w14:textId="77777777" w:rsidR="008C3428" w:rsidRPr="00217421" w:rsidRDefault="008C3428" w:rsidP="00F1223B">
            <w:pPr>
              <w:tabs>
                <w:tab w:val="left" w:pos="875"/>
              </w:tabs>
              <w:ind w:right="-50"/>
              <w:jc w:val="center"/>
              <w:rPr>
                <w:rFonts w:ascii="Arial" w:hAnsi="Arial" w:cs="Arial"/>
                <w:b/>
              </w:rPr>
            </w:pPr>
          </w:p>
        </w:tc>
        <w:tc>
          <w:tcPr>
            <w:tcW w:w="5402" w:type="dxa"/>
            <w:vAlign w:val="center"/>
          </w:tcPr>
          <w:p w14:paraId="2FB036A0" w14:textId="77777777" w:rsidR="008C3428" w:rsidRPr="00217421" w:rsidRDefault="008C3428" w:rsidP="00F1223B">
            <w:pPr>
              <w:tabs>
                <w:tab w:val="left" w:pos="875"/>
              </w:tabs>
              <w:ind w:right="-50"/>
              <w:jc w:val="center"/>
              <w:rPr>
                <w:rFonts w:ascii="Arial" w:hAnsi="Arial" w:cs="Arial"/>
                <w:b/>
              </w:rPr>
            </w:pPr>
            <w:r w:rsidRPr="00217421">
              <w:rPr>
                <w:rFonts w:ascii="Arial" w:hAnsi="Arial" w:cs="Arial"/>
                <w:b/>
              </w:rPr>
              <w:t>Descripción de la limitación</w:t>
            </w:r>
          </w:p>
        </w:tc>
      </w:tr>
      <w:tr w:rsidR="008C3428" w:rsidRPr="00217421" w14:paraId="634ED10D" w14:textId="77777777" w:rsidTr="00F1223B">
        <w:trPr>
          <w:jc w:val="center"/>
        </w:trPr>
        <w:tc>
          <w:tcPr>
            <w:tcW w:w="988" w:type="dxa"/>
          </w:tcPr>
          <w:p w14:paraId="3D4BB9E2" w14:textId="77777777" w:rsidR="008C3428" w:rsidRPr="00217421" w:rsidRDefault="008C3428" w:rsidP="00F1223B">
            <w:pPr>
              <w:tabs>
                <w:tab w:val="left" w:pos="875"/>
              </w:tabs>
              <w:ind w:right="-50"/>
              <w:jc w:val="center"/>
              <w:rPr>
                <w:rFonts w:ascii="Arial" w:hAnsi="Arial" w:cs="Arial"/>
                <w:b/>
                <w:bCs/>
              </w:rPr>
            </w:pPr>
            <w:r w:rsidRPr="00217421">
              <w:rPr>
                <w:rFonts w:ascii="Arial" w:hAnsi="Arial" w:cs="Arial"/>
                <w:b/>
                <w:bCs/>
              </w:rPr>
              <w:t>1</w:t>
            </w:r>
          </w:p>
        </w:tc>
        <w:tc>
          <w:tcPr>
            <w:tcW w:w="3969" w:type="dxa"/>
          </w:tcPr>
          <w:p w14:paraId="1D26EFB7" w14:textId="77777777" w:rsidR="008C3428" w:rsidRPr="00217421" w:rsidRDefault="008C3428" w:rsidP="00F1223B">
            <w:pPr>
              <w:tabs>
                <w:tab w:val="left" w:pos="875"/>
              </w:tabs>
              <w:ind w:right="-50"/>
              <w:jc w:val="both"/>
              <w:rPr>
                <w:rFonts w:ascii="Arial" w:hAnsi="Arial" w:cs="Arial"/>
                <w:b/>
                <w:bCs/>
              </w:rPr>
            </w:pPr>
            <w:r w:rsidRPr="00217421">
              <w:rPr>
                <w:rFonts w:ascii="Arial" w:hAnsi="Arial" w:cs="Arial"/>
                <w:b/>
                <w:bCs/>
              </w:rPr>
              <w:t>Administrativas:</w:t>
            </w:r>
          </w:p>
        </w:tc>
        <w:tc>
          <w:tcPr>
            <w:tcW w:w="5402" w:type="dxa"/>
          </w:tcPr>
          <w:p w14:paraId="79C7066F" w14:textId="77777777" w:rsidR="008C3428" w:rsidRPr="00217421" w:rsidRDefault="008C3428" w:rsidP="00F1223B">
            <w:pPr>
              <w:tabs>
                <w:tab w:val="left" w:pos="875"/>
              </w:tabs>
              <w:ind w:right="-50"/>
              <w:jc w:val="both"/>
              <w:rPr>
                <w:rFonts w:ascii="Arial" w:hAnsi="Arial" w:cs="Arial"/>
              </w:rPr>
            </w:pPr>
            <w:r w:rsidRPr="00217421">
              <w:rPr>
                <w:rFonts w:ascii="Arial" w:hAnsi="Arial" w:cs="Arial"/>
              </w:rPr>
              <w:t>Al tener todas las entidades una única fecha de presentación de los reportes trimestrales la aplicación se vuelve lenta.</w:t>
            </w:r>
          </w:p>
        </w:tc>
      </w:tr>
      <w:tr w:rsidR="008C3428" w:rsidRPr="00217421" w14:paraId="1AF161E7" w14:textId="77777777" w:rsidTr="00F1223B">
        <w:trPr>
          <w:jc w:val="center"/>
        </w:trPr>
        <w:tc>
          <w:tcPr>
            <w:tcW w:w="988" w:type="dxa"/>
          </w:tcPr>
          <w:p w14:paraId="61B6BBF5" w14:textId="77777777" w:rsidR="008C3428" w:rsidRPr="00217421" w:rsidRDefault="008C3428" w:rsidP="00F1223B">
            <w:pPr>
              <w:tabs>
                <w:tab w:val="left" w:pos="875"/>
              </w:tabs>
              <w:ind w:right="-50"/>
              <w:jc w:val="center"/>
              <w:rPr>
                <w:rFonts w:ascii="Arial" w:hAnsi="Arial" w:cs="Arial"/>
                <w:b/>
                <w:bCs/>
              </w:rPr>
            </w:pPr>
            <w:r w:rsidRPr="00217421">
              <w:rPr>
                <w:rFonts w:ascii="Arial" w:hAnsi="Arial" w:cs="Arial"/>
                <w:b/>
                <w:bCs/>
              </w:rPr>
              <w:t>2</w:t>
            </w:r>
          </w:p>
        </w:tc>
        <w:tc>
          <w:tcPr>
            <w:tcW w:w="3969" w:type="dxa"/>
          </w:tcPr>
          <w:p w14:paraId="3A5596D9" w14:textId="77777777" w:rsidR="008C3428" w:rsidRPr="00217421" w:rsidRDefault="008C3428" w:rsidP="00F1223B">
            <w:pPr>
              <w:tabs>
                <w:tab w:val="left" w:pos="875"/>
              </w:tabs>
              <w:ind w:right="-50"/>
              <w:jc w:val="both"/>
              <w:rPr>
                <w:rFonts w:ascii="Arial" w:hAnsi="Arial" w:cs="Arial"/>
                <w:b/>
                <w:bCs/>
              </w:rPr>
            </w:pPr>
            <w:r w:rsidRPr="00217421">
              <w:rPr>
                <w:rFonts w:ascii="Arial" w:hAnsi="Arial" w:cs="Arial"/>
                <w:b/>
                <w:bCs/>
              </w:rPr>
              <w:t>Técnicas:</w:t>
            </w:r>
          </w:p>
        </w:tc>
        <w:tc>
          <w:tcPr>
            <w:tcW w:w="5402" w:type="dxa"/>
          </w:tcPr>
          <w:p w14:paraId="0088CB71" w14:textId="77777777" w:rsidR="008C3428" w:rsidRPr="00217421" w:rsidRDefault="008C3428" w:rsidP="00F1223B">
            <w:pPr>
              <w:tabs>
                <w:tab w:val="left" w:pos="875"/>
              </w:tabs>
              <w:ind w:right="-50"/>
              <w:jc w:val="both"/>
              <w:rPr>
                <w:rFonts w:ascii="Arial" w:hAnsi="Arial" w:cs="Arial"/>
              </w:rPr>
            </w:pPr>
            <w:r w:rsidRPr="00217421">
              <w:rPr>
                <w:rFonts w:ascii="Arial" w:hAnsi="Arial" w:cs="Arial"/>
              </w:rPr>
              <w:t>Se presentan muchas dificultades a la hora de instalar el aplicativo CHIP local en cada uno de los equipos en los que se requiere trabajarlo</w:t>
            </w:r>
          </w:p>
        </w:tc>
      </w:tr>
      <w:tr w:rsidR="008C3428" w:rsidRPr="00217421" w14:paraId="1A5D820B" w14:textId="77777777" w:rsidTr="00F1223B">
        <w:trPr>
          <w:jc w:val="center"/>
        </w:trPr>
        <w:tc>
          <w:tcPr>
            <w:tcW w:w="988" w:type="dxa"/>
          </w:tcPr>
          <w:p w14:paraId="3945A912" w14:textId="77777777" w:rsidR="008C3428" w:rsidRPr="00217421" w:rsidRDefault="008C3428" w:rsidP="00F1223B">
            <w:pPr>
              <w:tabs>
                <w:tab w:val="left" w:pos="875"/>
              </w:tabs>
              <w:ind w:right="-50"/>
              <w:jc w:val="center"/>
              <w:rPr>
                <w:rFonts w:ascii="Arial" w:hAnsi="Arial" w:cs="Arial"/>
                <w:b/>
                <w:bCs/>
              </w:rPr>
            </w:pPr>
            <w:r w:rsidRPr="00217421">
              <w:rPr>
                <w:rFonts w:ascii="Arial" w:hAnsi="Arial" w:cs="Arial"/>
                <w:b/>
                <w:bCs/>
              </w:rPr>
              <w:t>3</w:t>
            </w:r>
          </w:p>
        </w:tc>
        <w:tc>
          <w:tcPr>
            <w:tcW w:w="3969" w:type="dxa"/>
          </w:tcPr>
          <w:p w14:paraId="4073E7D3" w14:textId="77777777" w:rsidR="008C3428" w:rsidRPr="00217421" w:rsidRDefault="008C3428" w:rsidP="00F1223B">
            <w:pPr>
              <w:tabs>
                <w:tab w:val="left" w:pos="875"/>
              </w:tabs>
              <w:ind w:right="-50"/>
              <w:jc w:val="both"/>
              <w:rPr>
                <w:rFonts w:ascii="Arial" w:hAnsi="Arial" w:cs="Arial"/>
                <w:b/>
                <w:bCs/>
              </w:rPr>
            </w:pPr>
            <w:r w:rsidRPr="00217421">
              <w:rPr>
                <w:rFonts w:ascii="Arial" w:hAnsi="Arial" w:cs="Arial"/>
                <w:b/>
                <w:bCs/>
              </w:rPr>
              <w:t>Operativas:</w:t>
            </w:r>
          </w:p>
        </w:tc>
        <w:tc>
          <w:tcPr>
            <w:tcW w:w="5402" w:type="dxa"/>
          </w:tcPr>
          <w:p w14:paraId="3991685D" w14:textId="77777777" w:rsidR="008C3428" w:rsidRPr="00217421" w:rsidRDefault="008C3428" w:rsidP="00F1223B">
            <w:pPr>
              <w:tabs>
                <w:tab w:val="left" w:pos="875"/>
              </w:tabs>
              <w:ind w:right="-50"/>
              <w:jc w:val="both"/>
              <w:rPr>
                <w:rFonts w:ascii="Arial" w:hAnsi="Arial" w:cs="Arial"/>
              </w:rPr>
            </w:pPr>
            <w:r w:rsidRPr="00217421">
              <w:rPr>
                <w:rFonts w:ascii="Arial" w:hAnsi="Arial" w:cs="Arial"/>
              </w:rPr>
              <w:t>El CHIP debería recibir información directamente del SIIF con el fin de limitar la manipulación de la información al momento de su preparación por parte de la entidad contable pública. Es preciso anotar que el SIIF ha realizado desarrollos en el sistema para facilitar la preparación de los formularios, sin embargo, se debería mejorar la interoperabilidad entre los dos aplicativos (CHIP – SIIF).</w:t>
            </w:r>
          </w:p>
        </w:tc>
      </w:tr>
    </w:tbl>
    <w:p w14:paraId="105293B3" w14:textId="77777777" w:rsidR="008C3428" w:rsidRDefault="008C3428" w:rsidP="008C3428">
      <w:pPr>
        <w:ind w:left="-284" w:right="-234"/>
        <w:jc w:val="both"/>
        <w:rPr>
          <w:rFonts w:ascii="Arial" w:hAnsi="Arial" w:cs="Arial"/>
          <w:b/>
          <w:sz w:val="28"/>
          <w:szCs w:val="28"/>
        </w:rPr>
      </w:pPr>
    </w:p>
    <w:p w14:paraId="4AF8FA3E" w14:textId="77777777" w:rsidR="008C3428" w:rsidRDefault="008C3428" w:rsidP="00BD6EEF">
      <w:pPr>
        <w:ind w:left="-142" w:right="-93"/>
        <w:jc w:val="both"/>
        <w:rPr>
          <w:rFonts w:ascii="Arial" w:hAnsi="Arial" w:cs="Arial"/>
          <w:b/>
          <w:sz w:val="28"/>
          <w:szCs w:val="28"/>
          <w:lang w:val="es-MX"/>
        </w:rPr>
      </w:pPr>
      <w:r w:rsidRPr="00F61089">
        <w:rPr>
          <w:rFonts w:ascii="Arial" w:hAnsi="Arial" w:cs="Arial"/>
          <w:b/>
          <w:sz w:val="28"/>
          <w:szCs w:val="28"/>
          <w:lang w:val="es-MX"/>
        </w:rPr>
        <w:t>218.- ALIANZA COLOMBIANA DE INSTITUCIONES PÚBLICAS DE EDUCACIÓN SUPERIOR – RED SUMMA</w:t>
      </w:r>
      <w:r>
        <w:rPr>
          <w:rFonts w:ascii="Arial" w:hAnsi="Arial" w:cs="Arial"/>
          <w:b/>
          <w:sz w:val="28"/>
          <w:szCs w:val="28"/>
          <w:lang w:val="es-MX"/>
        </w:rPr>
        <w:t>.</w:t>
      </w:r>
    </w:p>
    <w:p w14:paraId="4CA4E98D" w14:textId="77777777" w:rsidR="008C3428" w:rsidRDefault="008C3428" w:rsidP="008C3428">
      <w:pPr>
        <w:ind w:left="-142" w:right="-93"/>
        <w:jc w:val="both"/>
        <w:rPr>
          <w:rFonts w:ascii="Arial" w:hAnsi="Arial" w:cs="Arial"/>
          <w:b/>
          <w:sz w:val="28"/>
          <w:szCs w:val="28"/>
          <w:lang w:val="es-MX"/>
        </w:rPr>
      </w:pPr>
    </w:p>
    <w:tbl>
      <w:tblPr>
        <w:tblStyle w:val="Tablaconcuadrcula"/>
        <w:tblW w:w="10349" w:type="dxa"/>
        <w:jc w:val="center"/>
        <w:tblLook w:val="04A0" w:firstRow="1" w:lastRow="0" w:firstColumn="1" w:lastColumn="0" w:noHBand="0" w:noVBand="1"/>
      </w:tblPr>
      <w:tblGrid>
        <w:gridCol w:w="988"/>
        <w:gridCol w:w="3969"/>
        <w:gridCol w:w="5392"/>
      </w:tblGrid>
      <w:tr w:rsidR="008C3428" w:rsidRPr="00F61089" w14:paraId="1A2DAD11" w14:textId="77777777" w:rsidTr="00F1223B">
        <w:trPr>
          <w:jc w:val="center"/>
        </w:trPr>
        <w:tc>
          <w:tcPr>
            <w:tcW w:w="988" w:type="dxa"/>
          </w:tcPr>
          <w:p w14:paraId="6DA09592" w14:textId="77777777" w:rsidR="008C3428" w:rsidRPr="00F61089" w:rsidRDefault="008C3428" w:rsidP="00F1223B">
            <w:pPr>
              <w:tabs>
                <w:tab w:val="left" w:pos="875"/>
              </w:tabs>
              <w:ind w:right="-50"/>
              <w:jc w:val="center"/>
              <w:rPr>
                <w:rFonts w:ascii="Arial" w:hAnsi="Arial" w:cs="Arial"/>
                <w:b/>
              </w:rPr>
            </w:pPr>
            <w:r w:rsidRPr="00F61089">
              <w:rPr>
                <w:rFonts w:ascii="Arial" w:hAnsi="Arial" w:cs="Arial"/>
                <w:b/>
              </w:rPr>
              <w:t>N°</w:t>
            </w:r>
          </w:p>
        </w:tc>
        <w:tc>
          <w:tcPr>
            <w:tcW w:w="3969" w:type="dxa"/>
          </w:tcPr>
          <w:p w14:paraId="4496E997" w14:textId="77777777" w:rsidR="008C3428" w:rsidRPr="00F61089" w:rsidRDefault="008C3428" w:rsidP="00F1223B">
            <w:pPr>
              <w:tabs>
                <w:tab w:val="left" w:pos="875"/>
              </w:tabs>
              <w:ind w:right="-50"/>
              <w:jc w:val="center"/>
              <w:rPr>
                <w:rFonts w:ascii="Arial" w:hAnsi="Arial" w:cs="Arial"/>
                <w:b/>
              </w:rPr>
            </w:pPr>
            <w:r w:rsidRPr="00F61089">
              <w:rPr>
                <w:rFonts w:ascii="Arial" w:hAnsi="Arial" w:cs="Arial"/>
                <w:b/>
              </w:rPr>
              <w:t>Limitaciones del Sistema CHIP</w:t>
            </w:r>
          </w:p>
          <w:p w14:paraId="6C8C20E4" w14:textId="77777777" w:rsidR="008C3428" w:rsidRPr="00F61089" w:rsidRDefault="008C3428" w:rsidP="00F1223B">
            <w:pPr>
              <w:tabs>
                <w:tab w:val="left" w:pos="875"/>
              </w:tabs>
              <w:ind w:right="-50"/>
              <w:jc w:val="center"/>
              <w:rPr>
                <w:rFonts w:ascii="Arial" w:hAnsi="Arial" w:cs="Arial"/>
                <w:b/>
              </w:rPr>
            </w:pPr>
            <w:r w:rsidRPr="00F61089">
              <w:rPr>
                <w:rFonts w:ascii="Arial" w:hAnsi="Arial" w:cs="Arial"/>
                <w:b/>
              </w:rPr>
              <w:t xml:space="preserve"> a 31/12/2024</w:t>
            </w:r>
          </w:p>
          <w:p w14:paraId="56D6BF44" w14:textId="77777777" w:rsidR="008C3428" w:rsidRPr="00F61089" w:rsidRDefault="008C3428" w:rsidP="00F1223B">
            <w:pPr>
              <w:tabs>
                <w:tab w:val="left" w:pos="875"/>
              </w:tabs>
              <w:ind w:right="-50"/>
              <w:jc w:val="center"/>
              <w:rPr>
                <w:rFonts w:ascii="Arial" w:hAnsi="Arial" w:cs="Arial"/>
                <w:b/>
              </w:rPr>
            </w:pPr>
          </w:p>
        </w:tc>
        <w:tc>
          <w:tcPr>
            <w:tcW w:w="5392" w:type="dxa"/>
            <w:vAlign w:val="center"/>
          </w:tcPr>
          <w:p w14:paraId="07747809" w14:textId="77777777" w:rsidR="008C3428" w:rsidRPr="00F61089" w:rsidRDefault="008C3428" w:rsidP="00F1223B">
            <w:pPr>
              <w:tabs>
                <w:tab w:val="left" w:pos="875"/>
              </w:tabs>
              <w:ind w:right="-50"/>
              <w:jc w:val="center"/>
              <w:rPr>
                <w:rFonts w:ascii="Arial" w:hAnsi="Arial" w:cs="Arial"/>
                <w:b/>
              </w:rPr>
            </w:pPr>
            <w:r w:rsidRPr="00F61089">
              <w:rPr>
                <w:rFonts w:ascii="Arial" w:hAnsi="Arial" w:cs="Arial"/>
                <w:b/>
              </w:rPr>
              <w:t>Descripción de la limitación</w:t>
            </w:r>
          </w:p>
        </w:tc>
      </w:tr>
      <w:tr w:rsidR="008C3428" w:rsidRPr="00F61089" w14:paraId="1BFE0998" w14:textId="77777777" w:rsidTr="00F1223B">
        <w:trPr>
          <w:jc w:val="center"/>
        </w:trPr>
        <w:tc>
          <w:tcPr>
            <w:tcW w:w="988" w:type="dxa"/>
          </w:tcPr>
          <w:p w14:paraId="655516B4" w14:textId="77777777" w:rsidR="008C3428" w:rsidRPr="00F61089" w:rsidRDefault="008C3428" w:rsidP="00F1223B">
            <w:pPr>
              <w:tabs>
                <w:tab w:val="left" w:pos="875"/>
              </w:tabs>
              <w:ind w:right="-50"/>
              <w:jc w:val="center"/>
              <w:rPr>
                <w:rFonts w:ascii="Arial" w:hAnsi="Arial" w:cs="Arial"/>
                <w:b/>
                <w:bCs/>
              </w:rPr>
            </w:pPr>
            <w:r w:rsidRPr="00F61089">
              <w:rPr>
                <w:rFonts w:ascii="Arial" w:hAnsi="Arial" w:cs="Arial"/>
                <w:b/>
                <w:bCs/>
              </w:rPr>
              <w:t>1</w:t>
            </w:r>
          </w:p>
        </w:tc>
        <w:tc>
          <w:tcPr>
            <w:tcW w:w="3969" w:type="dxa"/>
          </w:tcPr>
          <w:p w14:paraId="0C54D3B5" w14:textId="77777777" w:rsidR="008C3428" w:rsidRPr="00F61089" w:rsidRDefault="008C3428" w:rsidP="00F1223B">
            <w:pPr>
              <w:tabs>
                <w:tab w:val="left" w:pos="875"/>
              </w:tabs>
              <w:ind w:right="-50"/>
              <w:jc w:val="both"/>
              <w:rPr>
                <w:rFonts w:ascii="Arial" w:hAnsi="Arial" w:cs="Arial"/>
                <w:b/>
                <w:bCs/>
              </w:rPr>
            </w:pPr>
            <w:r w:rsidRPr="00F61089">
              <w:rPr>
                <w:rFonts w:ascii="Arial" w:hAnsi="Arial" w:cs="Arial"/>
                <w:b/>
                <w:bCs/>
              </w:rPr>
              <w:t>Técnicas:</w:t>
            </w:r>
          </w:p>
        </w:tc>
        <w:tc>
          <w:tcPr>
            <w:tcW w:w="5392" w:type="dxa"/>
          </w:tcPr>
          <w:p w14:paraId="2D4A71D7" w14:textId="77777777" w:rsidR="008C3428" w:rsidRPr="00F61089" w:rsidRDefault="008C3428" w:rsidP="00F1223B">
            <w:pPr>
              <w:tabs>
                <w:tab w:val="left" w:pos="875"/>
              </w:tabs>
              <w:ind w:right="-50"/>
              <w:jc w:val="both"/>
              <w:rPr>
                <w:rFonts w:ascii="Arial" w:hAnsi="Arial" w:cs="Arial"/>
              </w:rPr>
            </w:pPr>
            <w:r w:rsidRPr="00F61089">
              <w:rPr>
                <w:rFonts w:ascii="Arial" w:hAnsi="Arial" w:cs="Arial"/>
              </w:rPr>
              <w:t>Dificultades en ingreso y cargue de información.</w:t>
            </w:r>
          </w:p>
        </w:tc>
      </w:tr>
      <w:tr w:rsidR="008C3428" w:rsidRPr="00F61089" w14:paraId="5F6F2C2D" w14:textId="77777777" w:rsidTr="00F1223B">
        <w:trPr>
          <w:jc w:val="center"/>
        </w:trPr>
        <w:tc>
          <w:tcPr>
            <w:tcW w:w="988" w:type="dxa"/>
          </w:tcPr>
          <w:p w14:paraId="7BC2C071" w14:textId="77777777" w:rsidR="008C3428" w:rsidRPr="00F61089" w:rsidRDefault="008C3428" w:rsidP="00F1223B">
            <w:pPr>
              <w:tabs>
                <w:tab w:val="left" w:pos="875"/>
              </w:tabs>
              <w:ind w:right="-50"/>
              <w:jc w:val="center"/>
              <w:rPr>
                <w:rFonts w:ascii="Arial" w:hAnsi="Arial" w:cs="Arial"/>
                <w:b/>
                <w:bCs/>
              </w:rPr>
            </w:pPr>
            <w:r w:rsidRPr="00F61089">
              <w:rPr>
                <w:rFonts w:ascii="Arial" w:hAnsi="Arial" w:cs="Arial"/>
                <w:b/>
                <w:bCs/>
              </w:rPr>
              <w:t>2</w:t>
            </w:r>
          </w:p>
        </w:tc>
        <w:tc>
          <w:tcPr>
            <w:tcW w:w="3969" w:type="dxa"/>
          </w:tcPr>
          <w:p w14:paraId="795DA00A" w14:textId="77777777" w:rsidR="008C3428" w:rsidRPr="00F61089" w:rsidRDefault="008C3428" w:rsidP="00F1223B">
            <w:pPr>
              <w:tabs>
                <w:tab w:val="left" w:pos="875"/>
              </w:tabs>
              <w:ind w:right="-50"/>
              <w:jc w:val="both"/>
              <w:rPr>
                <w:rFonts w:ascii="Arial" w:hAnsi="Arial" w:cs="Arial"/>
                <w:b/>
                <w:bCs/>
              </w:rPr>
            </w:pPr>
            <w:r w:rsidRPr="00F61089">
              <w:rPr>
                <w:rFonts w:ascii="Arial" w:hAnsi="Arial" w:cs="Arial"/>
                <w:b/>
                <w:bCs/>
              </w:rPr>
              <w:t>Soporte a la plataforma:</w:t>
            </w:r>
          </w:p>
        </w:tc>
        <w:tc>
          <w:tcPr>
            <w:tcW w:w="5392" w:type="dxa"/>
          </w:tcPr>
          <w:p w14:paraId="17D19C8B" w14:textId="77777777" w:rsidR="008C3428" w:rsidRPr="00F61089" w:rsidRDefault="008C3428" w:rsidP="00F1223B">
            <w:pPr>
              <w:tabs>
                <w:tab w:val="left" w:pos="875"/>
              </w:tabs>
              <w:ind w:right="-50"/>
              <w:jc w:val="both"/>
              <w:rPr>
                <w:rFonts w:ascii="Arial" w:hAnsi="Arial" w:cs="Arial"/>
              </w:rPr>
            </w:pPr>
            <w:r w:rsidRPr="00F61089">
              <w:rPr>
                <w:rFonts w:ascii="Arial" w:hAnsi="Arial" w:cs="Arial"/>
              </w:rPr>
              <w:t>Dificultad para comunicarse con asesores.</w:t>
            </w:r>
          </w:p>
        </w:tc>
      </w:tr>
    </w:tbl>
    <w:p w14:paraId="46FEB694" w14:textId="77777777" w:rsidR="008C3428" w:rsidRPr="00F61089" w:rsidRDefault="008C3428" w:rsidP="008C3428">
      <w:pPr>
        <w:ind w:left="-142" w:right="-93"/>
        <w:jc w:val="both"/>
        <w:rPr>
          <w:rFonts w:ascii="Arial" w:hAnsi="Arial" w:cs="Arial"/>
          <w:b/>
          <w:sz w:val="28"/>
          <w:szCs w:val="28"/>
          <w:lang w:val="es-MX"/>
        </w:rPr>
      </w:pPr>
      <w:r w:rsidRPr="00F61089">
        <w:rPr>
          <w:rFonts w:ascii="Arial" w:hAnsi="Arial" w:cs="Arial"/>
          <w:b/>
          <w:sz w:val="28"/>
          <w:szCs w:val="28"/>
          <w:lang w:val="es-MX"/>
        </w:rPr>
        <w:t xml:space="preserve"> </w:t>
      </w:r>
    </w:p>
    <w:p w14:paraId="34AF2BC0" w14:textId="77777777" w:rsidR="008C3428" w:rsidRPr="00D45FBC" w:rsidRDefault="008C3428" w:rsidP="00BD6EEF">
      <w:pPr>
        <w:pStyle w:val="Prrafodelista"/>
        <w:ind w:left="-142"/>
        <w:rPr>
          <w:b/>
          <w:sz w:val="28"/>
          <w:szCs w:val="28"/>
        </w:rPr>
      </w:pPr>
      <w:r w:rsidRPr="00D45FBC">
        <w:rPr>
          <w:rFonts w:ascii="Arial" w:hAnsi="Arial" w:cs="Arial"/>
          <w:b/>
          <w:sz w:val="28"/>
          <w:szCs w:val="28"/>
          <w:lang w:val="es-MX"/>
        </w:rPr>
        <w:t>226.- UNIVERSIDAD NACIONAL DE COLOMBIA.</w:t>
      </w:r>
    </w:p>
    <w:p w14:paraId="3F2E3260" w14:textId="77777777" w:rsidR="008C3428" w:rsidRDefault="008C3428" w:rsidP="008C3428">
      <w:pPr>
        <w:ind w:left="-284" w:right="-234"/>
        <w:jc w:val="both"/>
        <w:rPr>
          <w:rFonts w:ascii="Arial" w:hAnsi="Arial" w:cs="Arial"/>
          <w:b/>
          <w:sz w:val="28"/>
          <w:szCs w:val="28"/>
        </w:rPr>
      </w:pPr>
    </w:p>
    <w:tbl>
      <w:tblPr>
        <w:tblStyle w:val="Tablaconcuadrcula"/>
        <w:tblW w:w="10496" w:type="dxa"/>
        <w:jc w:val="center"/>
        <w:tblLook w:val="04A0" w:firstRow="1" w:lastRow="0" w:firstColumn="1" w:lastColumn="0" w:noHBand="0" w:noVBand="1"/>
      </w:tblPr>
      <w:tblGrid>
        <w:gridCol w:w="988"/>
        <w:gridCol w:w="4116"/>
        <w:gridCol w:w="5392"/>
      </w:tblGrid>
      <w:tr w:rsidR="008C3428" w:rsidRPr="00D45FBC" w14:paraId="646E7BD0" w14:textId="77777777" w:rsidTr="00F1223B">
        <w:trPr>
          <w:jc w:val="center"/>
        </w:trPr>
        <w:tc>
          <w:tcPr>
            <w:tcW w:w="988" w:type="dxa"/>
          </w:tcPr>
          <w:p w14:paraId="6A4F6D9B" w14:textId="77777777" w:rsidR="008C3428" w:rsidRPr="00D45FBC" w:rsidRDefault="008C3428" w:rsidP="00F1223B">
            <w:pPr>
              <w:tabs>
                <w:tab w:val="left" w:pos="875"/>
              </w:tabs>
              <w:ind w:right="-50"/>
              <w:jc w:val="center"/>
              <w:rPr>
                <w:rFonts w:ascii="Arial" w:hAnsi="Arial" w:cs="Arial"/>
                <w:b/>
              </w:rPr>
            </w:pPr>
            <w:r w:rsidRPr="00D45FBC">
              <w:rPr>
                <w:rFonts w:ascii="Arial" w:hAnsi="Arial" w:cs="Arial"/>
                <w:b/>
              </w:rPr>
              <w:t>N°</w:t>
            </w:r>
          </w:p>
        </w:tc>
        <w:tc>
          <w:tcPr>
            <w:tcW w:w="4116" w:type="dxa"/>
          </w:tcPr>
          <w:p w14:paraId="042CC042" w14:textId="77777777" w:rsidR="008C3428" w:rsidRPr="00D45FBC" w:rsidRDefault="008C3428" w:rsidP="00F1223B">
            <w:pPr>
              <w:tabs>
                <w:tab w:val="left" w:pos="875"/>
              </w:tabs>
              <w:ind w:right="-50"/>
              <w:jc w:val="center"/>
              <w:rPr>
                <w:rFonts w:ascii="Arial" w:hAnsi="Arial" w:cs="Arial"/>
                <w:b/>
              </w:rPr>
            </w:pPr>
            <w:r w:rsidRPr="00D45FBC">
              <w:rPr>
                <w:rFonts w:ascii="Arial" w:hAnsi="Arial" w:cs="Arial"/>
                <w:b/>
              </w:rPr>
              <w:t>Limitaciones del Sistema CHIP</w:t>
            </w:r>
          </w:p>
          <w:p w14:paraId="43D85B80" w14:textId="77777777" w:rsidR="008C3428" w:rsidRPr="00D45FBC" w:rsidRDefault="008C3428" w:rsidP="00F1223B">
            <w:pPr>
              <w:tabs>
                <w:tab w:val="left" w:pos="875"/>
              </w:tabs>
              <w:ind w:right="-50"/>
              <w:jc w:val="center"/>
              <w:rPr>
                <w:rFonts w:ascii="Arial" w:hAnsi="Arial" w:cs="Arial"/>
                <w:b/>
              </w:rPr>
            </w:pPr>
            <w:r w:rsidRPr="00D45FBC">
              <w:rPr>
                <w:rFonts w:ascii="Arial" w:hAnsi="Arial" w:cs="Arial"/>
                <w:b/>
              </w:rPr>
              <w:t xml:space="preserve"> a 31/12/2023</w:t>
            </w:r>
          </w:p>
          <w:p w14:paraId="5E3B07D4" w14:textId="77777777" w:rsidR="008C3428" w:rsidRPr="00D45FBC" w:rsidRDefault="008C3428" w:rsidP="00F1223B">
            <w:pPr>
              <w:tabs>
                <w:tab w:val="left" w:pos="875"/>
              </w:tabs>
              <w:ind w:right="-50"/>
              <w:jc w:val="center"/>
              <w:rPr>
                <w:rFonts w:ascii="Arial" w:hAnsi="Arial" w:cs="Arial"/>
                <w:b/>
              </w:rPr>
            </w:pPr>
          </w:p>
        </w:tc>
        <w:tc>
          <w:tcPr>
            <w:tcW w:w="5392" w:type="dxa"/>
            <w:vAlign w:val="center"/>
          </w:tcPr>
          <w:p w14:paraId="19A8310D" w14:textId="77777777" w:rsidR="008C3428" w:rsidRPr="00D45FBC" w:rsidRDefault="008C3428" w:rsidP="00F1223B">
            <w:pPr>
              <w:tabs>
                <w:tab w:val="left" w:pos="875"/>
              </w:tabs>
              <w:ind w:right="-50"/>
              <w:jc w:val="center"/>
              <w:rPr>
                <w:rFonts w:ascii="Arial" w:hAnsi="Arial" w:cs="Arial"/>
                <w:b/>
              </w:rPr>
            </w:pPr>
            <w:r w:rsidRPr="00D45FBC">
              <w:rPr>
                <w:rFonts w:ascii="Arial" w:hAnsi="Arial" w:cs="Arial"/>
                <w:b/>
              </w:rPr>
              <w:t>Descripción de la limitación</w:t>
            </w:r>
          </w:p>
        </w:tc>
      </w:tr>
      <w:tr w:rsidR="008C3428" w:rsidRPr="00D45FBC" w14:paraId="50FA9FC5" w14:textId="77777777" w:rsidTr="00F1223B">
        <w:trPr>
          <w:jc w:val="center"/>
        </w:trPr>
        <w:tc>
          <w:tcPr>
            <w:tcW w:w="988" w:type="dxa"/>
          </w:tcPr>
          <w:p w14:paraId="7D90CE53" w14:textId="77777777" w:rsidR="008C3428" w:rsidRPr="00D45FBC" w:rsidRDefault="008C3428" w:rsidP="00F1223B">
            <w:pPr>
              <w:tabs>
                <w:tab w:val="left" w:pos="875"/>
              </w:tabs>
              <w:ind w:right="-50"/>
              <w:jc w:val="center"/>
              <w:rPr>
                <w:rFonts w:ascii="Arial" w:hAnsi="Arial" w:cs="Arial"/>
                <w:b/>
                <w:bCs/>
              </w:rPr>
            </w:pPr>
            <w:r w:rsidRPr="00D45FBC">
              <w:rPr>
                <w:rFonts w:ascii="Arial" w:hAnsi="Arial" w:cs="Arial"/>
                <w:b/>
                <w:bCs/>
              </w:rPr>
              <w:t>1</w:t>
            </w:r>
          </w:p>
        </w:tc>
        <w:tc>
          <w:tcPr>
            <w:tcW w:w="4116" w:type="dxa"/>
          </w:tcPr>
          <w:p w14:paraId="37483858" w14:textId="77777777" w:rsidR="008C3428" w:rsidRPr="00D45FBC" w:rsidRDefault="008C3428" w:rsidP="00F1223B">
            <w:pPr>
              <w:tabs>
                <w:tab w:val="left" w:pos="875"/>
              </w:tabs>
              <w:ind w:right="-50"/>
              <w:jc w:val="both"/>
              <w:rPr>
                <w:rFonts w:ascii="Arial" w:hAnsi="Arial" w:cs="Arial"/>
                <w:b/>
                <w:bCs/>
              </w:rPr>
            </w:pPr>
            <w:r w:rsidRPr="00D45FBC">
              <w:rPr>
                <w:rFonts w:ascii="Arial" w:hAnsi="Arial" w:cs="Arial"/>
                <w:b/>
                <w:bCs/>
              </w:rPr>
              <w:t>Técnicas:</w:t>
            </w:r>
          </w:p>
        </w:tc>
        <w:tc>
          <w:tcPr>
            <w:tcW w:w="5392" w:type="dxa"/>
          </w:tcPr>
          <w:p w14:paraId="68A65AEA" w14:textId="77777777" w:rsidR="008C3428" w:rsidRPr="00D45FBC" w:rsidRDefault="008C3428" w:rsidP="00F1223B">
            <w:pPr>
              <w:tabs>
                <w:tab w:val="left" w:pos="875"/>
              </w:tabs>
              <w:ind w:right="-50"/>
              <w:jc w:val="both"/>
              <w:rPr>
                <w:rFonts w:ascii="Arial" w:hAnsi="Arial" w:cs="Arial"/>
              </w:rPr>
            </w:pPr>
            <w:r w:rsidRPr="00D45FBC">
              <w:rPr>
                <w:rFonts w:ascii="Arial" w:hAnsi="Arial" w:cs="Arial"/>
              </w:rPr>
              <w:t xml:space="preserve">Rigidez en los plazos establecidos para el reporte de la información en el CHIP, los cuales no ofrecen margen de flexibilidad. Esta situación se torna especialmente problemática cuando la Contaduría General de la Nación </w:t>
            </w:r>
            <w:r w:rsidRPr="00D45FBC">
              <w:rPr>
                <w:rFonts w:ascii="Arial" w:hAnsi="Arial" w:cs="Arial"/>
              </w:rPr>
              <w:lastRenderedPageBreak/>
              <w:t>solicita ajustes o correcciones, ya que los tiempos disponibles no permiten realizar un análisis adecuado de los requerimientos ni gestionar de manera eficiente las modificaciones necesarias.  Esto puede afectar la calidad y oportunidad del reporte entregado.</w:t>
            </w:r>
          </w:p>
        </w:tc>
      </w:tr>
    </w:tbl>
    <w:p w14:paraId="39D01D76" w14:textId="77777777" w:rsidR="008C3428" w:rsidRDefault="008C3428" w:rsidP="008C3428">
      <w:pPr>
        <w:ind w:left="-284" w:right="-234"/>
        <w:jc w:val="both"/>
        <w:rPr>
          <w:rFonts w:ascii="Arial" w:hAnsi="Arial" w:cs="Arial"/>
          <w:b/>
          <w:sz w:val="28"/>
          <w:szCs w:val="28"/>
        </w:rPr>
      </w:pPr>
    </w:p>
    <w:p w14:paraId="000709FE" w14:textId="77777777" w:rsidR="008C3428" w:rsidRPr="00E858C8" w:rsidRDefault="008C3428" w:rsidP="008C3428">
      <w:pPr>
        <w:ind w:left="-284" w:right="-234"/>
        <w:jc w:val="both"/>
        <w:rPr>
          <w:rFonts w:ascii="Arial" w:hAnsi="Arial" w:cs="Arial"/>
          <w:b/>
          <w:sz w:val="28"/>
          <w:szCs w:val="28"/>
          <w:lang w:val="es-MX"/>
        </w:rPr>
      </w:pPr>
      <w:r w:rsidRPr="00E858C8">
        <w:rPr>
          <w:rFonts w:ascii="Arial" w:hAnsi="Arial" w:cs="Arial"/>
          <w:b/>
          <w:sz w:val="28"/>
          <w:szCs w:val="28"/>
          <w:lang w:val="es-MX"/>
        </w:rPr>
        <w:t>227.- DEPARTAMENTO ADMINISTRATIVO DE LA PRESIDENCIA DE LA REPÚBLICA – DAPRE.</w:t>
      </w:r>
    </w:p>
    <w:p w14:paraId="29170BBF" w14:textId="77777777" w:rsidR="008C3428" w:rsidRPr="00E858C8" w:rsidRDefault="008C3428" w:rsidP="008C3428">
      <w:pPr>
        <w:rPr>
          <w:rFonts w:ascii="Arial" w:hAnsi="Arial" w:cs="Arial"/>
          <w:b/>
          <w:sz w:val="28"/>
          <w:szCs w:val="28"/>
        </w:rPr>
      </w:pPr>
    </w:p>
    <w:tbl>
      <w:tblPr>
        <w:tblStyle w:val="Tablaconcuadrcula"/>
        <w:tblW w:w="10506" w:type="dxa"/>
        <w:jc w:val="center"/>
        <w:tblLook w:val="04A0" w:firstRow="1" w:lastRow="0" w:firstColumn="1" w:lastColumn="0" w:noHBand="0" w:noVBand="1"/>
      </w:tblPr>
      <w:tblGrid>
        <w:gridCol w:w="993"/>
        <w:gridCol w:w="4105"/>
        <w:gridCol w:w="5408"/>
      </w:tblGrid>
      <w:tr w:rsidR="008C3428" w:rsidRPr="00E858C8" w14:paraId="66D25688" w14:textId="77777777" w:rsidTr="00F1223B">
        <w:trPr>
          <w:jc w:val="center"/>
        </w:trPr>
        <w:tc>
          <w:tcPr>
            <w:tcW w:w="993" w:type="dxa"/>
          </w:tcPr>
          <w:p w14:paraId="742A7A3F" w14:textId="77777777" w:rsidR="008C3428" w:rsidRPr="00E858C8" w:rsidRDefault="008C3428" w:rsidP="00F1223B">
            <w:pPr>
              <w:tabs>
                <w:tab w:val="left" w:pos="875"/>
              </w:tabs>
              <w:ind w:right="-50"/>
              <w:jc w:val="center"/>
              <w:rPr>
                <w:rFonts w:ascii="Arial" w:hAnsi="Arial" w:cs="Arial"/>
                <w:b/>
              </w:rPr>
            </w:pPr>
            <w:r w:rsidRPr="00E858C8">
              <w:rPr>
                <w:rFonts w:ascii="Arial" w:hAnsi="Arial" w:cs="Arial"/>
                <w:b/>
              </w:rPr>
              <w:t>N°</w:t>
            </w:r>
          </w:p>
        </w:tc>
        <w:tc>
          <w:tcPr>
            <w:tcW w:w="4105" w:type="dxa"/>
          </w:tcPr>
          <w:p w14:paraId="1CA0C4E4" w14:textId="77777777" w:rsidR="008C3428" w:rsidRPr="00E858C8" w:rsidRDefault="008C3428" w:rsidP="00F1223B">
            <w:pPr>
              <w:tabs>
                <w:tab w:val="left" w:pos="875"/>
              </w:tabs>
              <w:ind w:right="-50"/>
              <w:jc w:val="center"/>
              <w:rPr>
                <w:rFonts w:ascii="Arial" w:hAnsi="Arial" w:cs="Arial"/>
                <w:b/>
              </w:rPr>
            </w:pPr>
            <w:r w:rsidRPr="00E858C8">
              <w:rPr>
                <w:rFonts w:ascii="Arial" w:hAnsi="Arial" w:cs="Arial"/>
                <w:b/>
              </w:rPr>
              <w:t>Limitaciones del Sistema CHIP</w:t>
            </w:r>
          </w:p>
          <w:p w14:paraId="5EAE17FF" w14:textId="77777777" w:rsidR="008C3428" w:rsidRPr="00E858C8" w:rsidRDefault="008C3428" w:rsidP="00F1223B">
            <w:pPr>
              <w:tabs>
                <w:tab w:val="left" w:pos="875"/>
              </w:tabs>
              <w:ind w:right="-50"/>
              <w:jc w:val="center"/>
              <w:rPr>
                <w:rFonts w:ascii="Arial" w:hAnsi="Arial" w:cs="Arial"/>
                <w:b/>
              </w:rPr>
            </w:pPr>
            <w:r w:rsidRPr="00E858C8">
              <w:rPr>
                <w:rFonts w:ascii="Arial" w:hAnsi="Arial" w:cs="Arial"/>
                <w:b/>
              </w:rPr>
              <w:t xml:space="preserve"> a 31/12/2023</w:t>
            </w:r>
          </w:p>
          <w:p w14:paraId="57DB822E" w14:textId="77777777" w:rsidR="008C3428" w:rsidRPr="00E858C8" w:rsidRDefault="008C3428" w:rsidP="00F1223B">
            <w:pPr>
              <w:tabs>
                <w:tab w:val="left" w:pos="875"/>
              </w:tabs>
              <w:ind w:right="-50"/>
              <w:jc w:val="center"/>
              <w:rPr>
                <w:rFonts w:ascii="Arial" w:hAnsi="Arial" w:cs="Arial"/>
                <w:b/>
              </w:rPr>
            </w:pPr>
          </w:p>
        </w:tc>
        <w:tc>
          <w:tcPr>
            <w:tcW w:w="5408" w:type="dxa"/>
            <w:vAlign w:val="center"/>
          </w:tcPr>
          <w:p w14:paraId="1B1DF1CF" w14:textId="77777777" w:rsidR="008C3428" w:rsidRPr="00E858C8" w:rsidRDefault="008C3428" w:rsidP="00F1223B">
            <w:pPr>
              <w:tabs>
                <w:tab w:val="left" w:pos="875"/>
              </w:tabs>
              <w:ind w:right="-50"/>
              <w:jc w:val="center"/>
              <w:rPr>
                <w:rFonts w:ascii="Arial" w:hAnsi="Arial" w:cs="Arial"/>
                <w:b/>
              </w:rPr>
            </w:pPr>
            <w:r w:rsidRPr="00E858C8">
              <w:rPr>
                <w:rFonts w:ascii="Arial" w:hAnsi="Arial" w:cs="Arial"/>
                <w:b/>
              </w:rPr>
              <w:t>Descripción de la limitación</w:t>
            </w:r>
          </w:p>
        </w:tc>
      </w:tr>
      <w:tr w:rsidR="008C3428" w:rsidRPr="00E858C8" w14:paraId="438515F6" w14:textId="77777777" w:rsidTr="00F1223B">
        <w:trPr>
          <w:jc w:val="center"/>
        </w:trPr>
        <w:tc>
          <w:tcPr>
            <w:tcW w:w="993" w:type="dxa"/>
          </w:tcPr>
          <w:p w14:paraId="2E4E926C" w14:textId="77777777" w:rsidR="008C3428" w:rsidRPr="00E858C8" w:rsidRDefault="008C3428" w:rsidP="00F1223B">
            <w:pPr>
              <w:tabs>
                <w:tab w:val="left" w:pos="875"/>
              </w:tabs>
              <w:ind w:right="-50"/>
              <w:jc w:val="center"/>
              <w:rPr>
                <w:rFonts w:ascii="Arial" w:hAnsi="Arial" w:cs="Arial"/>
                <w:b/>
                <w:bCs/>
              </w:rPr>
            </w:pPr>
            <w:r w:rsidRPr="00E858C8">
              <w:rPr>
                <w:rFonts w:ascii="Arial" w:hAnsi="Arial" w:cs="Arial"/>
                <w:b/>
                <w:bCs/>
              </w:rPr>
              <w:t>1</w:t>
            </w:r>
          </w:p>
        </w:tc>
        <w:tc>
          <w:tcPr>
            <w:tcW w:w="4105" w:type="dxa"/>
          </w:tcPr>
          <w:p w14:paraId="17540C1C" w14:textId="77777777" w:rsidR="008C3428" w:rsidRPr="00E858C8" w:rsidRDefault="008C3428" w:rsidP="00F1223B">
            <w:pPr>
              <w:tabs>
                <w:tab w:val="left" w:pos="875"/>
              </w:tabs>
              <w:ind w:right="-50"/>
              <w:jc w:val="both"/>
              <w:rPr>
                <w:rFonts w:ascii="Arial" w:hAnsi="Arial" w:cs="Arial"/>
                <w:b/>
                <w:bCs/>
              </w:rPr>
            </w:pPr>
            <w:r w:rsidRPr="00E858C8">
              <w:rPr>
                <w:rFonts w:ascii="Arial" w:hAnsi="Arial" w:cs="Arial"/>
                <w:b/>
                <w:bCs/>
              </w:rPr>
              <w:t>Técnicas:</w:t>
            </w:r>
          </w:p>
        </w:tc>
        <w:tc>
          <w:tcPr>
            <w:tcW w:w="5408" w:type="dxa"/>
          </w:tcPr>
          <w:p w14:paraId="0E613D9B" w14:textId="77777777" w:rsidR="008C3428" w:rsidRPr="00E858C8" w:rsidRDefault="008C3428" w:rsidP="00F1223B">
            <w:pPr>
              <w:tabs>
                <w:tab w:val="left" w:pos="875"/>
              </w:tabs>
              <w:ind w:right="-50"/>
              <w:jc w:val="both"/>
              <w:rPr>
                <w:rFonts w:ascii="Arial" w:hAnsi="Arial" w:cs="Arial"/>
              </w:rPr>
            </w:pPr>
            <w:r w:rsidRPr="00E858C8">
              <w:rPr>
                <w:rFonts w:ascii="Arial" w:hAnsi="Arial" w:cs="Arial"/>
              </w:rPr>
              <w:t>El sistema sólo permite cargar un archivo de máximo 5,0 MB, lo cual dificulta el cargue de los estados financieros con sus notas en archivo PDF. Lo anterior considerando que una vez aplicada la Guía para la Preparación y Presentación Uniforme de las Notas a los Estados Financieros y sus correspondientes anexos, el tamaño del archivo supera las limitaciones establecidas en el sistema.</w:t>
            </w:r>
          </w:p>
        </w:tc>
      </w:tr>
    </w:tbl>
    <w:p w14:paraId="63A8501D" w14:textId="77777777" w:rsidR="008C3428" w:rsidRDefault="008C3428" w:rsidP="008C3428">
      <w:pPr>
        <w:ind w:left="-284" w:right="-234"/>
        <w:jc w:val="both"/>
        <w:rPr>
          <w:rFonts w:ascii="Arial" w:hAnsi="Arial" w:cs="Arial"/>
          <w:b/>
          <w:sz w:val="28"/>
          <w:szCs w:val="28"/>
        </w:rPr>
      </w:pPr>
    </w:p>
    <w:p w14:paraId="4B1648E5" w14:textId="77777777" w:rsidR="008C3428" w:rsidRPr="00991733" w:rsidRDefault="008C3428" w:rsidP="00BD6EEF">
      <w:pPr>
        <w:ind w:left="-284" w:right="-234"/>
        <w:jc w:val="both"/>
        <w:rPr>
          <w:rFonts w:ascii="Arial" w:hAnsi="Arial" w:cs="Arial"/>
          <w:b/>
          <w:sz w:val="28"/>
          <w:szCs w:val="28"/>
          <w:lang w:val="es-MX"/>
        </w:rPr>
      </w:pPr>
      <w:r w:rsidRPr="00991733">
        <w:rPr>
          <w:rFonts w:ascii="Arial" w:hAnsi="Arial" w:cs="Arial"/>
          <w:b/>
          <w:sz w:val="28"/>
          <w:szCs w:val="28"/>
          <w:lang w:val="es-MX"/>
        </w:rPr>
        <w:t>259.- CORPORACIÓN AUTÓNOMA REGIONAL DE LA ORINOQUIA - CORPORINOQUIA.</w:t>
      </w:r>
    </w:p>
    <w:p w14:paraId="30F7434C" w14:textId="77777777" w:rsidR="008C3428" w:rsidRPr="00991733" w:rsidRDefault="008C3428" w:rsidP="008C3428">
      <w:pPr>
        <w:jc w:val="both"/>
        <w:rPr>
          <w:rFonts w:ascii="Arial" w:hAnsi="Arial" w:cs="Arial"/>
          <w:b/>
          <w:sz w:val="28"/>
          <w:szCs w:val="28"/>
          <w:lang w:val="es-MX"/>
        </w:rPr>
      </w:pPr>
    </w:p>
    <w:tbl>
      <w:tblPr>
        <w:tblStyle w:val="Tablaconcuadrcula"/>
        <w:tblW w:w="10491" w:type="dxa"/>
        <w:jc w:val="center"/>
        <w:tblLook w:val="04A0" w:firstRow="1" w:lastRow="0" w:firstColumn="1" w:lastColumn="0" w:noHBand="0" w:noVBand="1"/>
      </w:tblPr>
      <w:tblGrid>
        <w:gridCol w:w="988"/>
        <w:gridCol w:w="4110"/>
        <w:gridCol w:w="5393"/>
      </w:tblGrid>
      <w:tr w:rsidR="008C3428" w:rsidRPr="00991733" w14:paraId="73930397" w14:textId="77777777" w:rsidTr="00F1223B">
        <w:trPr>
          <w:jc w:val="center"/>
        </w:trPr>
        <w:tc>
          <w:tcPr>
            <w:tcW w:w="988" w:type="dxa"/>
          </w:tcPr>
          <w:p w14:paraId="18DD86BD" w14:textId="77777777" w:rsidR="008C3428" w:rsidRPr="00991733" w:rsidRDefault="008C3428" w:rsidP="00F1223B">
            <w:pPr>
              <w:tabs>
                <w:tab w:val="left" w:pos="875"/>
              </w:tabs>
              <w:ind w:right="-50"/>
              <w:jc w:val="center"/>
              <w:rPr>
                <w:rFonts w:ascii="Arial" w:hAnsi="Arial" w:cs="Arial"/>
                <w:b/>
              </w:rPr>
            </w:pPr>
            <w:r w:rsidRPr="00991733">
              <w:rPr>
                <w:rFonts w:ascii="Arial" w:hAnsi="Arial" w:cs="Arial"/>
                <w:b/>
              </w:rPr>
              <w:t>N°</w:t>
            </w:r>
          </w:p>
        </w:tc>
        <w:tc>
          <w:tcPr>
            <w:tcW w:w="4110" w:type="dxa"/>
          </w:tcPr>
          <w:p w14:paraId="0586C91F" w14:textId="77777777" w:rsidR="008C3428" w:rsidRPr="00991733" w:rsidRDefault="008C3428" w:rsidP="00F1223B">
            <w:pPr>
              <w:tabs>
                <w:tab w:val="left" w:pos="875"/>
              </w:tabs>
              <w:ind w:right="-50"/>
              <w:jc w:val="center"/>
              <w:rPr>
                <w:rFonts w:ascii="Arial" w:hAnsi="Arial" w:cs="Arial"/>
                <w:b/>
              </w:rPr>
            </w:pPr>
            <w:r w:rsidRPr="00991733">
              <w:rPr>
                <w:rFonts w:ascii="Arial" w:hAnsi="Arial" w:cs="Arial"/>
                <w:b/>
              </w:rPr>
              <w:t>Limitaciones del Sistema CHIP</w:t>
            </w:r>
          </w:p>
          <w:p w14:paraId="1EDE502E" w14:textId="77777777" w:rsidR="008C3428" w:rsidRPr="00991733" w:rsidRDefault="008C3428" w:rsidP="00F1223B">
            <w:pPr>
              <w:tabs>
                <w:tab w:val="left" w:pos="875"/>
              </w:tabs>
              <w:ind w:right="-50"/>
              <w:jc w:val="center"/>
              <w:rPr>
                <w:rFonts w:ascii="Arial" w:hAnsi="Arial" w:cs="Arial"/>
                <w:b/>
              </w:rPr>
            </w:pPr>
            <w:r w:rsidRPr="00991733">
              <w:rPr>
                <w:rFonts w:ascii="Arial" w:hAnsi="Arial" w:cs="Arial"/>
                <w:b/>
              </w:rPr>
              <w:t xml:space="preserve"> a 31/12/2023</w:t>
            </w:r>
          </w:p>
          <w:p w14:paraId="51B6A4BD" w14:textId="77777777" w:rsidR="008C3428" w:rsidRPr="00991733" w:rsidRDefault="008C3428" w:rsidP="00F1223B">
            <w:pPr>
              <w:tabs>
                <w:tab w:val="left" w:pos="875"/>
              </w:tabs>
              <w:ind w:right="-50"/>
              <w:jc w:val="center"/>
              <w:rPr>
                <w:rFonts w:ascii="Arial" w:hAnsi="Arial" w:cs="Arial"/>
                <w:b/>
              </w:rPr>
            </w:pPr>
          </w:p>
        </w:tc>
        <w:tc>
          <w:tcPr>
            <w:tcW w:w="5393" w:type="dxa"/>
            <w:vAlign w:val="center"/>
          </w:tcPr>
          <w:p w14:paraId="66DAD10E" w14:textId="77777777" w:rsidR="008C3428" w:rsidRPr="00991733" w:rsidRDefault="008C3428" w:rsidP="00F1223B">
            <w:pPr>
              <w:tabs>
                <w:tab w:val="left" w:pos="875"/>
              </w:tabs>
              <w:ind w:right="-50"/>
              <w:jc w:val="center"/>
              <w:rPr>
                <w:rFonts w:ascii="Arial" w:hAnsi="Arial" w:cs="Arial"/>
                <w:b/>
              </w:rPr>
            </w:pPr>
            <w:r w:rsidRPr="00991733">
              <w:rPr>
                <w:rFonts w:ascii="Arial" w:hAnsi="Arial" w:cs="Arial"/>
                <w:b/>
              </w:rPr>
              <w:t>Descripción de la limitación</w:t>
            </w:r>
          </w:p>
        </w:tc>
      </w:tr>
      <w:tr w:rsidR="008C3428" w:rsidRPr="00991733" w14:paraId="6F12C19B" w14:textId="77777777" w:rsidTr="00F1223B">
        <w:trPr>
          <w:jc w:val="center"/>
        </w:trPr>
        <w:tc>
          <w:tcPr>
            <w:tcW w:w="988" w:type="dxa"/>
          </w:tcPr>
          <w:p w14:paraId="69FD9B35" w14:textId="77777777" w:rsidR="008C3428" w:rsidRPr="00991733" w:rsidRDefault="008C3428" w:rsidP="00F1223B">
            <w:pPr>
              <w:tabs>
                <w:tab w:val="left" w:pos="875"/>
              </w:tabs>
              <w:ind w:right="-50"/>
              <w:jc w:val="center"/>
              <w:rPr>
                <w:rFonts w:ascii="Arial" w:hAnsi="Arial" w:cs="Arial"/>
                <w:b/>
                <w:bCs/>
              </w:rPr>
            </w:pPr>
            <w:r w:rsidRPr="00991733">
              <w:rPr>
                <w:rFonts w:ascii="Arial" w:hAnsi="Arial" w:cs="Arial"/>
                <w:b/>
                <w:bCs/>
              </w:rPr>
              <w:t>1</w:t>
            </w:r>
          </w:p>
        </w:tc>
        <w:tc>
          <w:tcPr>
            <w:tcW w:w="4110" w:type="dxa"/>
          </w:tcPr>
          <w:p w14:paraId="41383B10" w14:textId="77777777" w:rsidR="008C3428" w:rsidRPr="00991733" w:rsidRDefault="008C3428" w:rsidP="00F1223B">
            <w:pPr>
              <w:tabs>
                <w:tab w:val="left" w:pos="875"/>
              </w:tabs>
              <w:ind w:right="-50"/>
              <w:jc w:val="both"/>
              <w:rPr>
                <w:rFonts w:ascii="Arial" w:hAnsi="Arial" w:cs="Arial"/>
                <w:b/>
                <w:bCs/>
              </w:rPr>
            </w:pPr>
            <w:r w:rsidRPr="00991733">
              <w:rPr>
                <w:rFonts w:ascii="Arial" w:hAnsi="Arial" w:cs="Arial"/>
                <w:b/>
                <w:bCs/>
              </w:rPr>
              <w:t>Otras:</w:t>
            </w:r>
          </w:p>
        </w:tc>
        <w:tc>
          <w:tcPr>
            <w:tcW w:w="5393" w:type="dxa"/>
          </w:tcPr>
          <w:p w14:paraId="253EA37D" w14:textId="77777777" w:rsidR="008C3428" w:rsidRPr="00991733" w:rsidRDefault="008C3428" w:rsidP="00F1223B">
            <w:pPr>
              <w:tabs>
                <w:tab w:val="left" w:pos="875"/>
              </w:tabs>
              <w:ind w:right="-50"/>
              <w:jc w:val="both"/>
              <w:rPr>
                <w:rFonts w:ascii="Arial" w:hAnsi="Arial" w:cs="Arial"/>
              </w:rPr>
            </w:pPr>
            <w:r w:rsidRPr="00991733">
              <w:rPr>
                <w:rFonts w:ascii="Arial" w:hAnsi="Arial" w:cs="Arial"/>
              </w:rPr>
              <w:t>Cambio de versión luego de presentada la información.</w:t>
            </w:r>
          </w:p>
        </w:tc>
      </w:tr>
    </w:tbl>
    <w:p w14:paraId="3D9A5749" w14:textId="77777777" w:rsidR="008C3428" w:rsidRDefault="008C3428" w:rsidP="008C3428">
      <w:pPr>
        <w:ind w:left="-284" w:right="-234"/>
        <w:jc w:val="both"/>
        <w:rPr>
          <w:rFonts w:ascii="Arial" w:hAnsi="Arial" w:cs="Arial"/>
          <w:b/>
          <w:sz w:val="28"/>
          <w:szCs w:val="28"/>
        </w:rPr>
      </w:pPr>
    </w:p>
    <w:p w14:paraId="65136EA6" w14:textId="77777777" w:rsidR="008C3428" w:rsidRPr="0023597D" w:rsidRDefault="008C3428" w:rsidP="008C3428">
      <w:pPr>
        <w:ind w:left="-284"/>
        <w:jc w:val="both"/>
        <w:rPr>
          <w:rFonts w:ascii="Arial" w:hAnsi="Arial" w:cs="Arial"/>
          <w:b/>
          <w:sz w:val="28"/>
          <w:szCs w:val="28"/>
          <w:lang w:val="es-MX"/>
        </w:rPr>
      </w:pPr>
      <w:r w:rsidRPr="0023597D">
        <w:rPr>
          <w:rFonts w:ascii="Arial" w:hAnsi="Arial" w:cs="Arial"/>
          <w:b/>
          <w:sz w:val="28"/>
          <w:szCs w:val="28"/>
          <w:lang w:val="es-MX"/>
        </w:rPr>
        <w:t xml:space="preserve">266.- </w:t>
      </w:r>
      <w:r w:rsidRPr="0023597D">
        <w:rPr>
          <w:rFonts w:ascii="Arial" w:hAnsi="Arial" w:cs="Arial"/>
          <w:b/>
          <w:sz w:val="28"/>
          <w:szCs w:val="28"/>
        </w:rPr>
        <w:t>PATRIMONIO AUTÓNOMO COBERTURA DE TASAS – FOGAFIN.</w:t>
      </w:r>
    </w:p>
    <w:p w14:paraId="3588BC0F" w14:textId="77777777" w:rsidR="008C3428" w:rsidRDefault="008C3428" w:rsidP="008C3428">
      <w:pPr>
        <w:ind w:left="-284" w:right="-234"/>
        <w:jc w:val="both"/>
        <w:rPr>
          <w:rFonts w:ascii="Arial" w:hAnsi="Arial" w:cs="Arial"/>
          <w:b/>
          <w:sz w:val="28"/>
          <w:szCs w:val="28"/>
          <w:lang w:val="es-MX"/>
        </w:rPr>
      </w:pPr>
    </w:p>
    <w:tbl>
      <w:tblPr>
        <w:tblStyle w:val="Tablaconcuadrcula"/>
        <w:tblW w:w="10496" w:type="dxa"/>
        <w:jc w:val="center"/>
        <w:tblLook w:val="04A0" w:firstRow="1" w:lastRow="0" w:firstColumn="1" w:lastColumn="0" w:noHBand="0" w:noVBand="1"/>
      </w:tblPr>
      <w:tblGrid>
        <w:gridCol w:w="988"/>
        <w:gridCol w:w="4116"/>
        <w:gridCol w:w="5392"/>
      </w:tblGrid>
      <w:tr w:rsidR="008C3428" w:rsidRPr="000B094A" w14:paraId="6666A46B" w14:textId="77777777" w:rsidTr="00F1223B">
        <w:trPr>
          <w:jc w:val="center"/>
        </w:trPr>
        <w:tc>
          <w:tcPr>
            <w:tcW w:w="988" w:type="dxa"/>
          </w:tcPr>
          <w:p w14:paraId="59A3588D" w14:textId="77777777" w:rsidR="008C3428" w:rsidRPr="000B094A" w:rsidRDefault="008C3428" w:rsidP="00F1223B">
            <w:pPr>
              <w:tabs>
                <w:tab w:val="left" w:pos="875"/>
              </w:tabs>
              <w:ind w:right="-50"/>
              <w:jc w:val="center"/>
              <w:rPr>
                <w:rFonts w:ascii="Arial" w:hAnsi="Arial" w:cs="Arial"/>
                <w:b/>
              </w:rPr>
            </w:pPr>
            <w:r w:rsidRPr="000B094A">
              <w:rPr>
                <w:rFonts w:ascii="Arial" w:hAnsi="Arial" w:cs="Arial"/>
                <w:b/>
              </w:rPr>
              <w:t>N°</w:t>
            </w:r>
          </w:p>
        </w:tc>
        <w:tc>
          <w:tcPr>
            <w:tcW w:w="4116" w:type="dxa"/>
          </w:tcPr>
          <w:p w14:paraId="6A88EF8A" w14:textId="77777777" w:rsidR="008C3428" w:rsidRPr="000B094A" w:rsidRDefault="008C3428" w:rsidP="00F1223B">
            <w:pPr>
              <w:tabs>
                <w:tab w:val="left" w:pos="875"/>
              </w:tabs>
              <w:ind w:right="-50"/>
              <w:jc w:val="center"/>
              <w:rPr>
                <w:rFonts w:ascii="Arial" w:hAnsi="Arial" w:cs="Arial"/>
                <w:b/>
              </w:rPr>
            </w:pPr>
            <w:r w:rsidRPr="000B094A">
              <w:rPr>
                <w:rFonts w:ascii="Arial" w:hAnsi="Arial" w:cs="Arial"/>
                <w:b/>
              </w:rPr>
              <w:t>Limitaciones del Sistema CHIP</w:t>
            </w:r>
          </w:p>
          <w:p w14:paraId="225A6491" w14:textId="77777777" w:rsidR="008C3428" w:rsidRPr="000B094A" w:rsidRDefault="008C3428" w:rsidP="00F1223B">
            <w:pPr>
              <w:tabs>
                <w:tab w:val="left" w:pos="875"/>
              </w:tabs>
              <w:ind w:right="-50"/>
              <w:jc w:val="center"/>
              <w:rPr>
                <w:rFonts w:ascii="Arial" w:hAnsi="Arial" w:cs="Arial"/>
                <w:b/>
              </w:rPr>
            </w:pPr>
            <w:r w:rsidRPr="000B094A">
              <w:rPr>
                <w:rFonts w:ascii="Arial" w:hAnsi="Arial" w:cs="Arial"/>
                <w:b/>
              </w:rPr>
              <w:t xml:space="preserve"> a 31/12/2023</w:t>
            </w:r>
          </w:p>
          <w:p w14:paraId="00D0C394" w14:textId="77777777" w:rsidR="008C3428" w:rsidRPr="000B094A" w:rsidRDefault="008C3428" w:rsidP="00F1223B">
            <w:pPr>
              <w:tabs>
                <w:tab w:val="left" w:pos="875"/>
              </w:tabs>
              <w:ind w:right="-50"/>
              <w:jc w:val="center"/>
              <w:rPr>
                <w:rFonts w:ascii="Arial" w:hAnsi="Arial" w:cs="Arial"/>
                <w:b/>
              </w:rPr>
            </w:pPr>
          </w:p>
        </w:tc>
        <w:tc>
          <w:tcPr>
            <w:tcW w:w="5392" w:type="dxa"/>
            <w:vAlign w:val="center"/>
          </w:tcPr>
          <w:p w14:paraId="63EBC161" w14:textId="77777777" w:rsidR="008C3428" w:rsidRPr="000B094A" w:rsidRDefault="008C3428" w:rsidP="00F1223B">
            <w:pPr>
              <w:tabs>
                <w:tab w:val="left" w:pos="875"/>
              </w:tabs>
              <w:ind w:right="-50"/>
              <w:jc w:val="center"/>
              <w:rPr>
                <w:rFonts w:ascii="Arial" w:hAnsi="Arial" w:cs="Arial"/>
                <w:b/>
              </w:rPr>
            </w:pPr>
            <w:r w:rsidRPr="000B094A">
              <w:rPr>
                <w:rFonts w:ascii="Arial" w:hAnsi="Arial" w:cs="Arial"/>
                <w:b/>
              </w:rPr>
              <w:t>Descripción de la limitación</w:t>
            </w:r>
          </w:p>
        </w:tc>
      </w:tr>
      <w:tr w:rsidR="008C3428" w:rsidRPr="000B094A" w14:paraId="61B7D1CB" w14:textId="77777777" w:rsidTr="00F1223B">
        <w:trPr>
          <w:jc w:val="center"/>
        </w:trPr>
        <w:tc>
          <w:tcPr>
            <w:tcW w:w="988" w:type="dxa"/>
          </w:tcPr>
          <w:p w14:paraId="0ABE7DAF" w14:textId="77777777" w:rsidR="008C3428" w:rsidRPr="000B094A" w:rsidRDefault="008C3428" w:rsidP="00F1223B">
            <w:pPr>
              <w:tabs>
                <w:tab w:val="left" w:pos="875"/>
              </w:tabs>
              <w:ind w:right="-50"/>
              <w:jc w:val="center"/>
              <w:rPr>
                <w:rFonts w:ascii="Arial" w:hAnsi="Arial" w:cs="Arial"/>
                <w:b/>
                <w:bCs/>
              </w:rPr>
            </w:pPr>
            <w:r w:rsidRPr="000B094A">
              <w:rPr>
                <w:rFonts w:ascii="Arial" w:hAnsi="Arial" w:cs="Arial"/>
                <w:b/>
                <w:bCs/>
              </w:rPr>
              <w:t>1</w:t>
            </w:r>
          </w:p>
        </w:tc>
        <w:tc>
          <w:tcPr>
            <w:tcW w:w="4116" w:type="dxa"/>
          </w:tcPr>
          <w:p w14:paraId="48E849C3" w14:textId="77777777" w:rsidR="008C3428" w:rsidRPr="000B094A" w:rsidRDefault="008C3428" w:rsidP="00F1223B">
            <w:pPr>
              <w:tabs>
                <w:tab w:val="left" w:pos="875"/>
              </w:tabs>
              <w:ind w:right="-50"/>
              <w:jc w:val="both"/>
              <w:rPr>
                <w:rFonts w:ascii="Arial" w:hAnsi="Arial" w:cs="Arial"/>
                <w:b/>
                <w:bCs/>
              </w:rPr>
            </w:pPr>
            <w:r w:rsidRPr="000B094A">
              <w:rPr>
                <w:rFonts w:ascii="Arial" w:hAnsi="Arial" w:cs="Arial"/>
                <w:b/>
                <w:bCs/>
              </w:rPr>
              <w:t>Administrativas:</w:t>
            </w:r>
          </w:p>
        </w:tc>
        <w:tc>
          <w:tcPr>
            <w:tcW w:w="5392" w:type="dxa"/>
          </w:tcPr>
          <w:p w14:paraId="1262979B" w14:textId="77777777" w:rsidR="008C3428" w:rsidRPr="000B094A" w:rsidRDefault="008C3428" w:rsidP="00F1223B">
            <w:pPr>
              <w:tabs>
                <w:tab w:val="left" w:pos="875"/>
              </w:tabs>
              <w:ind w:right="-50"/>
              <w:jc w:val="both"/>
              <w:rPr>
                <w:rFonts w:ascii="Arial" w:hAnsi="Arial" w:cs="Arial"/>
              </w:rPr>
            </w:pPr>
            <w:r w:rsidRPr="000B094A">
              <w:rPr>
                <w:rFonts w:ascii="Arial" w:hAnsi="Arial" w:cs="Arial"/>
              </w:rPr>
              <w:t>Comisiones bancarias con el Banco de la República: Fogafín posee varias cuentas de compensación en el Banco de la República, cada cuenta hace parte de uno de los 4 códigos institucionales bajo el NIT del fondo.</w:t>
            </w:r>
          </w:p>
          <w:p w14:paraId="6B5EE003" w14:textId="77777777" w:rsidR="008C3428" w:rsidRPr="000B094A" w:rsidRDefault="008C3428" w:rsidP="00F1223B">
            <w:pPr>
              <w:tabs>
                <w:tab w:val="left" w:pos="875"/>
              </w:tabs>
              <w:ind w:right="-50"/>
              <w:jc w:val="both"/>
              <w:rPr>
                <w:rFonts w:ascii="Arial" w:hAnsi="Arial" w:cs="Arial"/>
              </w:rPr>
            </w:pPr>
          </w:p>
          <w:p w14:paraId="31C4B09A" w14:textId="77777777" w:rsidR="008C3428" w:rsidRPr="000B094A" w:rsidRDefault="008C3428" w:rsidP="00F1223B">
            <w:pPr>
              <w:tabs>
                <w:tab w:val="left" w:pos="875"/>
              </w:tabs>
              <w:ind w:right="-50"/>
              <w:jc w:val="both"/>
              <w:rPr>
                <w:rFonts w:ascii="Arial" w:hAnsi="Arial" w:cs="Arial"/>
              </w:rPr>
            </w:pPr>
            <w:r w:rsidRPr="000B094A">
              <w:rPr>
                <w:rFonts w:ascii="Arial" w:hAnsi="Arial" w:cs="Arial"/>
              </w:rPr>
              <w:t>Cada cuenta de compensación tiene sus propias comisiones bancarias. El banco de la República reporta las comisiones bancarias en cabeza de un solo código (44300000 – Fogafín) y no lo discrimina por cada uno de los códigos de Fogafín y los patrimonios administrados como son Emergencia Económica, Cobertura de Tasas y Banca Pública.</w:t>
            </w:r>
          </w:p>
        </w:tc>
      </w:tr>
    </w:tbl>
    <w:p w14:paraId="63F84E62" w14:textId="77777777" w:rsidR="008C3428" w:rsidRDefault="008C3428" w:rsidP="008C3428">
      <w:pPr>
        <w:ind w:left="-284" w:right="-234"/>
        <w:jc w:val="both"/>
        <w:rPr>
          <w:rFonts w:ascii="Arial" w:hAnsi="Arial" w:cs="Arial"/>
          <w:b/>
          <w:sz w:val="28"/>
          <w:szCs w:val="28"/>
        </w:rPr>
      </w:pPr>
    </w:p>
    <w:p w14:paraId="47E3E62F" w14:textId="77777777" w:rsidR="008C3428" w:rsidRPr="0037765B" w:rsidRDefault="008C3428" w:rsidP="008C3428">
      <w:pPr>
        <w:ind w:left="-284"/>
        <w:jc w:val="both"/>
        <w:rPr>
          <w:rFonts w:ascii="Arial" w:hAnsi="Arial" w:cs="Arial"/>
          <w:b/>
          <w:sz w:val="28"/>
          <w:szCs w:val="28"/>
          <w:lang w:val="es-MX"/>
        </w:rPr>
      </w:pPr>
      <w:r w:rsidRPr="0037765B">
        <w:rPr>
          <w:rFonts w:ascii="Arial" w:hAnsi="Arial" w:cs="Arial"/>
          <w:b/>
          <w:sz w:val="28"/>
          <w:szCs w:val="28"/>
          <w:lang w:val="es-MX"/>
        </w:rPr>
        <w:t>268.- CORPORACIÓN AUTÓNOMA REGIONAL DEL SUR DE BOLÍVAR - CSB.</w:t>
      </w:r>
    </w:p>
    <w:p w14:paraId="0D027816" w14:textId="77777777" w:rsidR="008C3428" w:rsidRDefault="008C3428" w:rsidP="008C3428">
      <w:pPr>
        <w:ind w:left="-284" w:right="-23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993"/>
        <w:gridCol w:w="4111"/>
        <w:gridCol w:w="5386"/>
      </w:tblGrid>
      <w:tr w:rsidR="008C3428" w:rsidRPr="000B094A" w14:paraId="3DA0382F" w14:textId="77777777" w:rsidTr="00F1223B">
        <w:tc>
          <w:tcPr>
            <w:tcW w:w="993" w:type="dxa"/>
          </w:tcPr>
          <w:p w14:paraId="32C5A3C2" w14:textId="77777777" w:rsidR="008C3428" w:rsidRPr="000B094A" w:rsidRDefault="008C3428" w:rsidP="00F1223B">
            <w:pPr>
              <w:tabs>
                <w:tab w:val="left" w:pos="875"/>
              </w:tabs>
              <w:jc w:val="center"/>
              <w:rPr>
                <w:rFonts w:ascii="Arial" w:hAnsi="Arial" w:cs="Arial"/>
                <w:b/>
              </w:rPr>
            </w:pPr>
            <w:r w:rsidRPr="000B094A">
              <w:rPr>
                <w:rFonts w:ascii="Arial" w:hAnsi="Arial" w:cs="Arial"/>
                <w:b/>
              </w:rPr>
              <w:t>N°</w:t>
            </w:r>
          </w:p>
        </w:tc>
        <w:tc>
          <w:tcPr>
            <w:tcW w:w="4111" w:type="dxa"/>
          </w:tcPr>
          <w:p w14:paraId="6328130E" w14:textId="77777777" w:rsidR="008C3428" w:rsidRPr="000B094A" w:rsidRDefault="008C3428" w:rsidP="00F1223B">
            <w:pPr>
              <w:tabs>
                <w:tab w:val="left" w:pos="875"/>
              </w:tabs>
              <w:jc w:val="center"/>
              <w:rPr>
                <w:rFonts w:ascii="Arial" w:hAnsi="Arial" w:cs="Arial"/>
                <w:b/>
              </w:rPr>
            </w:pPr>
            <w:r w:rsidRPr="000B094A">
              <w:rPr>
                <w:rFonts w:ascii="Arial" w:hAnsi="Arial" w:cs="Arial"/>
                <w:b/>
              </w:rPr>
              <w:t>Limitaciones del Sistema SIIF II Nación a 31/12/2024</w:t>
            </w:r>
          </w:p>
          <w:p w14:paraId="136FE82A" w14:textId="77777777" w:rsidR="008C3428" w:rsidRPr="000B094A" w:rsidRDefault="008C3428" w:rsidP="00F1223B">
            <w:pPr>
              <w:tabs>
                <w:tab w:val="left" w:pos="875"/>
              </w:tabs>
              <w:jc w:val="center"/>
              <w:rPr>
                <w:rFonts w:ascii="Arial" w:hAnsi="Arial" w:cs="Arial"/>
                <w:b/>
              </w:rPr>
            </w:pPr>
          </w:p>
        </w:tc>
        <w:tc>
          <w:tcPr>
            <w:tcW w:w="5386" w:type="dxa"/>
          </w:tcPr>
          <w:p w14:paraId="472A5233" w14:textId="77777777" w:rsidR="008C3428" w:rsidRPr="000B094A" w:rsidRDefault="008C3428" w:rsidP="00F1223B">
            <w:pPr>
              <w:tabs>
                <w:tab w:val="left" w:pos="875"/>
              </w:tabs>
              <w:jc w:val="center"/>
              <w:rPr>
                <w:rFonts w:ascii="Arial" w:hAnsi="Arial" w:cs="Arial"/>
                <w:b/>
              </w:rPr>
            </w:pPr>
            <w:r w:rsidRPr="000B094A">
              <w:rPr>
                <w:rFonts w:ascii="Arial" w:hAnsi="Arial" w:cs="Arial"/>
                <w:b/>
              </w:rPr>
              <w:t>Descripción de la limitación</w:t>
            </w:r>
          </w:p>
        </w:tc>
      </w:tr>
      <w:tr w:rsidR="008C3428" w:rsidRPr="000B094A" w14:paraId="60577DBC" w14:textId="77777777" w:rsidTr="00F1223B">
        <w:tc>
          <w:tcPr>
            <w:tcW w:w="993" w:type="dxa"/>
          </w:tcPr>
          <w:p w14:paraId="46982BC1" w14:textId="77777777" w:rsidR="008C3428" w:rsidRPr="000B094A" w:rsidRDefault="008C3428" w:rsidP="00F1223B">
            <w:pPr>
              <w:tabs>
                <w:tab w:val="left" w:pos="875"/>
              </w:tabs>
              <w:jc w:val="center"/>
              <w:rPr>
                <w:rFonts w:ascii="Arial" w:hAnsi="Arial" w:cs="Arial"/>
                <w:b/>
              </w:rPr>
            </w:pPr>
            <w:r w:rsidRPr="000B094A">
              <w:rPr>
                <w:rFonts w:ascii="Arial" w:hAnsi="Arial" w:cs="Arial"/>
                <w:b/>
              </w:rPr>
              <w:t>1</w:t>
            </w:r>
          </w:p>
        </w:tc>
        <w:tc>
          <w:tcPr>
            <w:tcW w:w="4111" w:type="dxa"/>
          </w:tcPr>
          <w:p w14:paraId="56D36C4B" w14:textId="77777777" w:rsidR="008C3428" w:rsidRPr="000B094A" w:rsidRDefault="008C3428" w:rsidP="00F1223B">
            <w:pPr>
              <w:tabs>
                <w:tab w:val="left" w:pos="875"/>
              </w:tabs>
              <w:jc w:val="both"/>
              <w:rPr>
                <w:rFonts w:ascii="Arial" w:hAnsi="Arial" w:cs="Arial"/>
                <w:b/>
              </w:rPr>
            </w:pPr>
            <w:r w:rsidRPr="000B094A">
              <w:rPr>
                <w:rFonts w:ascii="Arial" w:hAnsi="Arial" w:cs="Arial"/>
                <w:b/>
              </w:rPr>
              <w:t>Administrativas:</w:t>
            </w:r>
          </w:p>
        </w:tc>
        <w:tc>
          <w:tcPr>
            <w:tcW w:w="5386" w:type="dxa"/>
          </w:tcPr>
          <w:p w14:paraId="07EE69A4" w14:textId="77777777" w:rsidR="008C3428" w:rsidRPr="000B094A" w:rsidRDefault="008C3428" w:rsidP="00F1223B">
            <w:pPr>
              <w:tabs>
                <w:tab w:val="left" w:pos="875"/>
              </w:tabs>
              <w:jc w:val="both"/>
              <w:rPr>
                <w:rFonts w:ascii="Arial" w:hAnsi="Arial" w:cs="Arial"/>
              </w:rPr>
            </w:pPr>
            <w:r w:rsidRPr="000B094A">
              <w:rPr>
                <w:rFonts w:ascii="Arial" w:eastAsia="Calibri" w:hAnsi="Arial" w:cs="Arial"/>
                <w:color w:val="000000"/>
                <w:lang w:val="es-CO"/>
              </w:rPr>
              <w:t xml:space="preserve">Para Realizar solicitud de PAC, con el fin de pagar </w:t>
            </w:r>
            <w:r w:rsidRPr="000B094A">
              <w:rPr>
                <w:rFonts w:ascii="Arial" w:eastAsia="Calibri" w:hAnsi="Arial" w:cs="Arial"/>
                <w:color w:val="000000"/>
                <w:lang w:val="es-CO"/>
              </w:rPr>
              <w:lastRenderedPageBreak/>
              <w:t>obligaciones tanto de reservas como de vigencia actual en proyectos de inversión, requiere de muchos trámites para situar los fondos a la CUN de la Corporación</w:t>
            </w:r>
          </w:p>
        </w:tc>
      </w:tr>
      <w:tr w:rsidR="008C3428" w:rsidRPr="000B094A" w14:paraId="6933B335" w14:textId="77777777" w:rsidTr="00F1223B">
        <w:tc>
          <w:tcPr>
            <w:tcW w:w="993" w:type="dxa"/>
          </w:tcPr>
          <w:p w14:paraId="177F883D" w14:textId="77777777" w:rsidR="008C3428" w:rsidRPr="000B094A" w:rsidRDefault="008C3428" w:rsidP="00F1223B">
            <w:pPr>
              <w:tabs>
                <w:tab w:val="left" w:pos="875"/>
              </w:tabs>
              <w:jc w:val="center"/>
              <w:rPr>
                <w:rFonts w:ascii="Arial" w:hAnsi="Arial" w:cs="Arial"/>
                <w:b/>
              </w:rPr>
            </w:pPr>
            <w:r w:rsidRPr="000B094A">
              <w:rPr>
                <w:rFonts w:ascii="Arial" w:hAnsi="Arial" w:cs="Arial"/>
                <w:b/>
              </w:rPr>
              <w:lastRenderedPageBreak/>
              <w:t>2</w:t>
            </w:r>
          </w:p>
        </w:tc>
        <w:tc>
          <w:tcPr>
            <w:tcW w:w="4111" w:type="dxa"/>
          </w:tcPr>
          <w:p w14:paraId="129A5811" w14:textId="77777777" w:rsidR="008C3428" w:rsidRPr="000B094A" w:rsidRDefault="008C3428" w:rsidP="00F1223B">
            <w:pPr>
              <w:tabs>
                <w:tab w:val="left" w:pos="875"/>
              </w:tabs>
              <w:jc w:val="both"/>
              <w:rPr>
                <w:rFonts w:ascii="Arial" w:hAnsi="Arial" w:cs="Arial"/>
                <w:b/>
              </w:rPr>
            </w:pPr>
            <w:r w:rsidRPr="000B094A">
              <w:rPr>
                <w:rFonts w:ascii="Arial" w:hAnsi="Arial" w:cs="Arial"/>
                <w:b/>
              </w:rPr>
              <w:t>Técnicas:</w:t>
            </w:r>
          </w:p>
        </w:tc>
        <w:tc>
          <w:tcPr>
            <w:tcW w:w="5386" w:type="dxa"/>
          </w:tcPr>
          <w:p w14:paraId="463137BA" w14:textId="77777777" w:rsidR="008C3428" w:rsidRPr="000B094A" w:rsidRDefault="008C3428" w:rsidP="00F1223B">
            <w:pPr>
              <w:tabs>
                <w:tab w:val="left" w:pos="875"/>
              </w:tabs>
              <w:jc w:val="both"/>
              <w:rPr>
                <w:rFonts w:ascii="Arial" w:hAnsi="Arial" w:cs="Arial"/>
              </w:rPr>
            </w:pPr>
            <w:r w:rsidRPr="000B094A">
              <w:rPr>
                <w:rFonts w:ascii="Arial" w:hAnsi="Arial" w:cs="Arial"/>
              </w:rPr>
              <w:t>En ocasiones el sistema se encuentra sin servicios o fuera de línea, además existen operaciones que requieren muchos tramites</w:t>
            </w:r>
          </w:p>
        </w:tc>
      </w:tr>
      <w:tr w:rsidR="008C3428" w:rsidRPr="000B094A" w14:paraId="00B64164" w14:textId="77777777" w:rsidTr="00F1223B">
        <w:tc>
          <w:tcPr>
            <w:tcW w:w="993" w:type="dxa"/>
          </w:tcPr>
          <w:p w14:paraId="7F6EF3E2" w14:textId="77777777" w:rsidR="008C3428" w:rsidRPr="000B094A" w:rsidRDefault="008C3428" w:rsidP="00F1223B">
            <w:pPr>
              <w:tabs>
                <w:tab w:val="left" w:pos="875"/>
              </w:tabs>
              <w:jc w:val="center"/>
              <w:rPr>
                <w:rFonts w:ascii="Arial" w:hAnsi="Arial" w:cs="Arial"/>
                <w:b/>
              </w:rPr>
            </w:pPr>
            <w:r w:rsidRPr="000B094A">
              <w:rPr>
                <w:rFonts w:ascii="Arial" w:hAnsi="Arial" w:cs="Arial"/>
                <w:b/>
              </w:rPr>
              <w:t>3</w:t>
            </w:r>
          </w:p>
        </w:tc>
        <w:tc>
          <w:tcPr>
            <w:tcW w:w="4111" w:type="dxa"/>
          </w:tcPr>
          <w:p w14:paraId="5E8F1A10" w14:textId="77777777" w:rsidR="008C3428" w:rsidRPr="000B094A" w:rsidRDefault="008C3428" w:rsidP="00F1223B">
            <w:pPr>
              <w:tabs>
                <w:tab w:val="left" w:pos="875"/>
              </w:tabs>
              <w:jc w:val="both"/>
              <w:rPr>
                <w:rFonts w:ascii="Arial" w:hAnsi="Arial" w:cs="Arial"/>
                <w:b/>
              </w:rPr>
            </w:pPr>
            <w:r w:rsidRPr="000B094A">
              <w:rPr>
                <w:rFonts w:ascii="Arial" w:hAnsi="Arial" w:cs="Arial"/>
                <w:b/>
              </w:rPr>
              <w:t>Operativas:</w:t>
            </w:r>
          </w:p>
        </w:tc>
        <w:tc>
          <w:tcPr>
            <w:tcW w:w="5386" w:type="dxa"/>
          </w:tcPr>
          <w:p w14:paraId="32E7C67C" w14:textId="77777777" w:rsidR="008C3428" w:rsidRPr="000B094A" w:rsidRDefault="008C3428" w:rsidP="00F1223B">
            <w:pPr>
              <w:tabs>
                <w:tab w:val="left" w:pos="875"/>
              </w:tabs>
              <w:jc w:val="both"/>
              <w:rPr>
                <w:rFonts w:ascii="Arial" w:hAnsi="Arial" w:cs="Arial"/>
              </w:rPr>
            </w:pPr>
            <w:r w:rsidRPr="000B094A">
              <w:rPr>
                <w:rFonts w:ascii="Arial" w:hAnsi="Arial" w:cs="Arial"/>
              </w:rPr>
              <w:t>La comunicación con los funcionarios de la mesa de ayuda en ocasiones no responde o no están disponibles para atender consultas</w:t>
            </w:r>
          </w:p>
        </w:tc>
      </w:tr>
      <w:tr w:rsidR="008C3428" w:rsidRPr="000B094A" w14:paraId="6B9B64AF" w14:textId="77777777" w:rsidTr="00F1223B">
        <w:tc>
          <w:tcPr>
            <w:tcW w:w="993" w:type="dxa"/>
          </w:tcPr>
          <w:p w14:paraId="6AF75199" w14:textId="77777777" w:rsidR="008C3428" w:rsidRPr="000B094A" w:rsidRDefault="008C3428" w:rsidP="00F1223B">
            <w:pPr>
              <w:tabs>
                <w:tab w:val="left" w:pos="875"/>
              </w:tabs>
              <w:jc w:val="center"/>
              <w:rPr>
                <w:rFonts w:ascii="Arial" w:hAnsi="Arial" w:cs="Arial"/>
                <w:b/>
              </w:rPr>
            </w:pPr>
            <w:r w:rsidRPr="000B094A">
              <w:rPr>
                <w:rFonts w:ascii="Arial" w:hAnsi="Arial" w:cs="Arial"/>
                <w:b/>
              </w:rPr>
              <w:t>4</w:t>
            </w:r>
          </w:p>
        </w:tc>
        <w:tc>
          <w:tcPr>
            <w:tcW w:w="4111" w:type="dxa"/>
          </w:tcPr>
          <w:p w14:paraId="2D02443C" w14:textId="77777777" w:rsidR="008C3428" w:rsidRPr="000B094A" w:rsidRDefault="008C3428" w:rsidP="00F1223B">
            <w:pPr>
              <w:tabs>
                <w:tab w:val="left" w:pos="875"/>
              </w:tabs>
              <w:jc w:val="both"/>
              <w:rPr>
                <w:rFonts w:ascii="Arial" w:hAnsi="Arial" w:cs="Arial"/>
                <w:b/>
              </w:rPr>
            </w:pPr>
            <w:r w:rsidRPr="000B094A">
              <w:rPr>
                <w:rFonts w:ascii="Arial" w:hAnsi="Arial" w:cs="Arial"/>
                <w:b/>
              </w:rPr>
              <w:t>Soporte a la plataforma:</w:t>
            </w:r>
          </w:p>
        </w:tc>
        <w:tc>
          <w:tcPr>
            <w:tcW w:w="5386" w:type="dxa"/>
          </w:tcPr>
          <w:p w14:paraId="4B007528" w14:textId="77777777" w:rsidR="008C3428" w:rsidRPr="000B094A" w:rsidRDefault="008C3428" w:rsidP="00F1223B">
            <w:pPr>
              <w:tabs>
                <w:tab w:val="left" w:pos="875"/>
              </w:tabs>
              <w:jc w:val="both"/>
              <w:rPr>
                <w:rFonts w:ascii="Arial" w:hAnsi="Arial" w:cs="Arial"/>
              </w:rPr>
            </w:pPr>
            <w:r w:rsidRPr="000B094A">
              <w:rPr>
                <w:rFonts w:ascii="Arial" w:hAnsi="Arial" w:cs="Arial"/>
              </w:rPr>
              <w:t>En ocasiones la plataforma se colapsa, más que todo al finalizar la vigencia</w:t>
            </w:r>
          </w:p>
        </w:tc>
      </w:tr>
      <w:tr w:rsidR="008C3428" w:rsidRPr="000B094A" w14:paraId="15A2F0DE" w14:textId="77777777" w:rsidTr="00F1223B">
        <w:tc>
          <w:tcPr>
            <w:tcW w:w="993" w:type="dxa"/>
          </w:tcPr>
          <w:p w14:paraId="43726FA8" w14:textId="77777777" w:rsidR="008C3428" w:rsidRPr="000B094A" w:rsidRDefault="008C3428" w:rsidP="00F1223B">
            <w:pPr>
              <w:tabs>
                <w:tab w:val="left" w:pos="875"/>
              </w:tabs>
              <w:jc w:val="center"/>
              <w:rPr>
                <w:rFonts w:ascii="Arial" w:hAnsi="Arial" w:cs="Arial"/>
                <w:b/>
              </w:rPr>
            </w:pPr>
            <w:r w:rsidRPr="000B094A">
              <w:rPr>
                <w:rFonts w:ascii="Arial" w:hAnsi="Arial" w:cs="Arial"/>
                <w:b/>
              </w:rPr>
              <w:t>5</w:t>
            </w:r>
          </w:p>
        </w:tc>
        <w:tc>
          <w:tcPr>
            <w:tcW w:w="4111" w:type="dxa"/>
          </w:tcPr>
          <w:p w14:paraId="18325108" w14:textId="77777777" w:rsidR="008C3428" w:rsidRPr="000B094A" w:rsidRDefault="008C3428" w:rsidP="00F1223B">
            <w:pPr>
              <w:tabs>
                <w:tab w:val="left" w:pos="875"/>
              </w:tabs>
              <w:jc w:val="both"/>
              <w:rPr>
                <w:rFonts w:ascii="Arial" w:hAnsi="Arial" w:cs="Arial"/>
                <w:b/>
              </w:rPr>
            </w:pPr>
            <w:r w:rsidRPr="000B094A">
              <w:rPr>
                <w:rFonts w:ascii="Arial" w:hAnsi="Arial" w:cs="Arial"/>
                <w:b/>
              </w:rPr>
              <w:t>Otras:</w:t>
            </w:r>
          </w:p>
        </w:tc>
        <w:tc>
          <w:tcPr>
            <w:tcW w:w="5386" w:type="dxa"/>
          </w:tcPr>
          <w:p w14:paraId="5D5B60F1" w14:textId="77777777" w:rsidR="008C3428" w:rsidRPr="000B094A" w:rsidRDefault="008C3428" w:rsidP="00F1223B">
            <w:pPr>
              <w:tabs>
                <w:tab w:val="left" w:pos="875"/>
              </w:tabs>
              <w:jc w:val="both"/>
              <w:rPr>
                <w:rFonts w:ascii="Arial" w:hAnsi="Arial" w:cs="Arial"/>
              </w:rPr>
            </w:pPr>
            <w:r w:rsidRPr="000B094A">
              <w:rPr>
                <w:rFonts w:ascii="Arial" w:hAnsi="Arial" w:cs="Arial"/>
              </w:rPr>
              <w:t>Algunos procesos del sistema requieren mayor capacitación para su respectiva ejecución</w:t>
            </w:r>
          </w:p>
        </w:tc>
      </w:tr>
    </w:tbl>
    <w:p w14:paraId="26FF3D08" w14:textId="77777777" w:rsidR="008C3428" w:rsidRDefault="008C3428" w:rsidP="008C3428">
      <w:pPr>
        <w:ind w:left="-284" w:right="-234"/>
        <w:jc w:val="both"/>
        <w:rPr>
          <w:rFonts w:ascii="Arial" w:hAnsi="Arial" w:cs="Arial"/>
          <w:b/>
          <w:sz w:val="28"/>
          <w:szCs w:val="28"/>
        </w:rPr>
      </w:pPr>
    </w:p>
    <w:p w14:paraId="28D52137" w14:textId="77777777" w:rsidR="008C3428" w:rsidRPr="00AC07E6" w:rsidRDefault="008C3428" w:rsidP="00BD6EEF">
      <w:pPr>
        <w:ind w:left="-284"/>
        <w:jc w:val="both"/>
        <w:rPr>
          <w:rFonts w:ascii="Arial" w:hAnsi="Arial" w:cs="Arial"/>
          <w:b/>
          <w:sz w:val="28"/>
          <w:szCs w:val="28"/>
          <w:lang w:val="es-MX"/>
        </w:rPr>
      </w:pPr>
      <w:r w:rsidRPr="00AC07E6">
        <w:rPr>
          <w:rFonts w:ascii="Arial" w:hAnsi="Arial" w:cs="Arial"/>
          <w:b/>
          <w:sz w:val="28"/>
          <w:szCs w:val="28"/>
          <w:lang w:val="es-MX"/>
        </w:rPr>
        <w:t>284.- ELECTRIFICADORA DEL META S.A. – EMSA S.A.</w:t>
      </w:r>
    </w:p>
    <w:p w14:paraId="1368157F" w14:textId="77777777" w:rsidR="008C3428" w:rsidRDefault="008C3428" w:rsidP="008C3428">
      <w:pPr>
        <w:ind w:left="-284" w:right="-234"/>
        <w:jc w:val="both"/>
        <w:rPr>
          <w:rFonts w:ascii="Arial" w:hAnsi="Arial" w:cs="Arial"/>
          <w:b/>
          <w:sz w:val="28"/>
          <w:szCs w:val="28"/>
        </w:rPr>
      </w:pPr>
    </w:p>
    <w:tbl>
      <w:tblPr>
        <w:tblStyle w:val="Tablaconcuadrcula"/>
        <w:tblW w:w="10490" w:type="dxa"/>
        <w:jc w:val="center"/>
        <w:tblLook w:val="04A0" w:firstRow="1" w:lastRow="0" w:firstColumn="1" w:lastColumn="0" w:noHBand="0" w:noVBand="1"/>
      </w:tblPr>
      <w:tblGrid>
        <w:gridCol w:w="988"/>
        <w:gridCol w:w="4110"/>
        <w:gridCol w:w="5392"/>
      </w:tblGrid>
      <w:tr w:rsidR="008C3428" w:rsidRPr="00AC07E6" w14:paraId="0D02DC0A" w14:textId="77777777" w:rsidTr="00BD6EEF">
        <w:trPr>
          <w:jc w:val="center"/>
        </w:trPr>
        <w:tc>
          <w:tcPr>
            <w:tcW w:w="988" w:type="dxa"/>
          </w:tcPr>
          <w:p w14:paraId="1B0D6CCD" w14:textId="77777777" w:rsidR="008C3428" w:rsidRPr="00AC07E6" w:rsidRDefault="008C3428" w:rsidP="00F1223B">
            <w:pPr>
              <w:tabs>
                <w:tab w:val="left" w:pos="875"/>
              </w:tabs>
              <w:jc w:val="center"/>
              <w:rPr>
                <w:rFonts w:ascii="Arial" w:hAnsi="Arial" w:cs="Arial"/>
                <w:b/>
              </w:rPr>
            </w:pPr>
            <w:r w:rsidRPr="00AC07E6">
              <w:rPr>
                <w:rFonts w:ascii="Arial" w:hAnsi="Arial" w:cs="Arial"/>
                <w:b/>
              </w:rPr>
              <w:t>N°</w:t>
            </w:r>
          </w:p>
        </w:tc>
        <w:tc>
          <w:tcPr>
            <w:tcW w:w="4110" w:type="dxa"/>
          </w:tcPr>
          <w:p w14:paraId="6D13A8C5" w14:textId="77777777" w:rsidR="008C3428" w:rsidRPr="00AC07E6" w:rsidRDefault="008C3428" w:rsidP="00F1223B">
            <w:pPr>
              <w:tabs>
                <w:tab w:val="left" w:pos="875"/>
              </w:tabs>
              <w:jc w:val="center"/>
              <w:rPr>
                <w:rFonts w:ascii="Arial" w:hAnsi="Arial" w:cs="Arial"/>
                <w:b/>
              </w:rPr>
            </w:pPr>
            <w:r w:rsidRPr="00AC07E6">
              <w:rPr>
                <w:rFonts w:ascii="Arial" w:hAnsi="Arial" w:cs="Arial"/>
                <w:b/>
              </w:rPr>
              <w:t>Limitaciones del Sistema CHIP</w:t>
            </w:r>
          </w:p>
          <w:p w14:paraId="263E8587" w14:textId="77777777" w:rsidR="008C3428" w:rsidRPr="00AC07E6" w:rsidRDefault="008C3428" w:rsidP="00F1223B">
            <w:pPr>
              <w:tabs>
                <w:tab w:val="left" w:pos="875"/>
              </w:tabs>
              <w:jc w:val="center"/>
              <w:rPr>
                <w:rFonts w:ascii="Arial" w:hAnsi="Arial" w:cs="Arial"/>
                <w:b/>
              </w:rPr>
            </w:pPr>
            <w:r w:rsidRPr="00AC07E6">
              <w:rPr>
                <w:rFonts w:ascii="Arial" w:hAnsi="Arial" w:cs="Arial"/>
                <w:b/>
              </w:rPr>
              <w:t xml:space="preserve"> a 31/12/2023</w:t>
            </w:r>
          </w:p>
          <w:p w14:paraId="47955E8A" w14:textId="77777777" w:rsidR="008C3428" w:rsidRPr="00AC07E6" w:rsidRDefault="008C3428" w:rsidP="00F1223B">
            <w:pPr>
              <w:tabs>
                <w:tab w:val="left" w:pos="875"/>
              </w:tabs>
              <w:jc w:val="center"/>
              <w:rPr>
                <w:rFonts w:ascii="Arial" w:hAnsi="Arial" w:cs="Arial"/>
                <w:b/>
              </w:rPr>
            </w:pPr>
          </w:p>
        </w:tc>
        <w:tc>
          <w:tcPr>
            <w:tcW w:w="5392" w:type="dxa"/>
            <w:vAlign w:val="center"/>
          </w:tcPr>
          <w:p w14:paraId="4858AD72" w14:textId="77777777" w:rsidR="008C3428" w:rsidRPr="00AC07E6" w:rsidRDefault="008C3428" w:rsidP="00F1223B">
            <w:pPr>
              <w:tabs>
                <w:tab w:val="left" w:pos="875"/>
              </w:tabs>
              <w:jc w:val="center"/>
              <w:rPr>
                <w:rFonts w:ascii="Arial" w:hAnsi="Arial" w:cs="Arial"/>
                <w:b/>
              </w:rPr>
            </w:pPr>
            <w:r w:rsidRPr="00AC07E6">
              <w:rPr>
                <w:rFonts w:ascii="Arial" w:hAnsi="Arial" w:cs="Arial"/>
                <w:b/>
              </w:rPr>
              <w:t>Descripción de la limitación</w:t>
            </w:r>
          </w:p>
        </w:tc>
      </w:tr>
      <w:tr w:rsidR="008C3428" w:rsidRPr="00AC07E6" w14:paraId="74AA0C2D" w14:textId="77777777" w:rsidTr="00BD6EEF">
        <w:trPr>
          <w:jc w:val="center"/>
        </w:trPr>
        <w:tc>
          <w:tcPr>
            <w:tcW w:w="988" w:type="dxa"/>
          </w:tcPr>
          <w:p w14:paraId="41C01525" w14:textId="77777777" w:rsidR="008C3428" w:rsidRPr="00AC07E6" w:rsidRDefault="008C3428" w:rsidP="00F1223B">
            <w:pPr>
              <w:tabs>
                <w:tab w:val="left" w:pos="875"/>
              </w:tabs>
              <w:jc w:val="center"/>
              <w:rPr>
                <w:rFonts w:ascii="Arial" w:hAnsi="Arial" w:cs="Arial"/>
                <w:b/>
                <w:bCs/>
              </w:rPr>
            </w:pPr>
            <w:r w:rsidRPr="00AC07E6">
              <w:rPr>
                <w:rFonts w:ascii="Arial" w:hAnsi="Arial" w:cs="Arial"/>
                <w:b/>
                <w:bCs/>
              </w:rPr>
              <w:t>1</w:t>
            </w:r>
          </w:p>
        </w:tc>
        <w:tc>
          <w:tcPr>
            <w:tcW w:w="4110" w:type="dxa"/>
          </w:tcPr>
          <w:p w14:paraId="00F7F80C" w14:textId="77777777" w:rsidR="008C3428" w:rsidRPr="00AC07E6" w:rsidRDefault="008C3428" w:rsidP="00F1223B">
            <w:pPr>
              <w:tabs>
                <w:tab w:val="left" w:pos="875"/>
              </w:tabs>
              <w:jc w:val="both"/>
              <w:rPr>
                <w:rFonts w:ascii="Arial" w:hAnsi="Arial" w:cs="Arial"/>
                <w:b/>
                <w:bCs/>
              </w:rPr>
            </w:pPr>
            <w:r w:rsidRPr="00AC07E6">
              <w:rPr>
                <w:rFonts w:ascii="Arial" w:hAnsi="Arial" w:cs="Arial"/>
                <w:b/>
                <w:bCs/>
              </w:rPr>
              <w:t>Otras:</w:t>
            </w:r>
          </w:p>
        </w:tc>
        <w:tc>
          <w:tcPr>
            <w:tcW w:w="5392" w:type="dxa"/>
          </w:tcPr>
          <w:p w14:paraId="43F3A266" w14:textId="77777777" w:rsidR="008C3428" w:rsidRPr="00AC07E6" w:rsidRDefault="008C3428" w:rsidP="00F1223B">
            <w:pPr>
              <w:tabs>
                <w:tab w:val="left" w:pos="875"/>
              </w:tabs>
              <w:jc w:val="both"/>
              <w:rPr>
                <w:rFonts w:ascii="Arial" w:hAnsi="Arial" w:cs="Arial"/>
              </w:rPr>
            </w:pPr>
            <w:r w:rsidRPr="00AC07E6">
              <w:rPr>
                <w:rFonts w:ascii="Arial" w:hAnsi="Arial" w:cs="Arial"/>
              </w:rPr>
              <w:t>En términos generales consideramos que el reporte de los diferentes informes que solicita la CGN, debe ser la única base de consulta de todas las entidades públicas; pues consideramos que al requerir la misma información con formatos diferentes como sucede con los informes que solicita la SSPD y la CREG, se corren enormes riesgos con la integralidad de la información y es un reproceso para las empresas</w:t>
            </w:r>
          </w:p>
        </w:tc>
      </w:tr>
    </w:tbl>
    <w:p w14:paraId="3AA21FF2" w14:textId="77777777" w:rsidR="008C3428" w:rsidRDefault="008C3428" w:rsidP="008C3428">
      <w:pPr>
        <w:ind w:left="-284" w:right="-234"/>
        <w:jc w:val="both"/>
        <w:rPr>
          <w:rFonts w:ascii="Arial" w:hAnsi="Arial" w:cs="Arial"/>
          <w:b/>
          <w:sz w:val="28"/>
          <w:szCs w:val="28"/>
        </w:rPr>
      </w:pPr>
    </w:p>
    <w:p w14:paraId="78B05BA8" w14:textId="77777777" w:rsidR="008C3428" w:rsidRPr="00E77965" w:rsidRDefault="008C3428" w:rsidP="00BD6EEF">
      <w:pPr>
        <w:ind w:left="-284"/>
        <w:jc w:val="both"/>
        <w:rPr>
          <w:rFonts w:ascii="Arial" w:hAnsi="Arial" w:cs="Arial"/>
          <w:b/>
          <w:sz w:val="28"/>
          <w:szCs w:val="28"/>
          <w:lang w:val="es-MX"/>
        </w:rPr>
      </w:pPr>
      <w:r w:rsidRPr="00E77965">
        <w:rPr>
          <w:rFonts w:ascii="Arial" w:hAnsi="Arial" w:cs="Arial"/>
          <w:b/>
          <w:sz w:val="28"/>
          <w:szCs w:val="28"/>
          <w:lang w:val="es-MX"/>
        </w:rPr>
        <w:t>288.- UNIVERSIDAD DEL CAUCA.</w:t>
      </w:r>
    </w:p>
    <w:p w14:paraId="20B92695" w14:textId="77777777" w:rsidR="008C3428" w:rsidRDefault="008C3428" w:rsidP="008C3428">
      <w:pPr>
        <w:ind w:left="-284" w:right="-234"/>
        <w:jc w:val="both"/>
        <w:rPr>
          <w:rFonts w:ascii="Arial" w:hAnsi="Arial" w:cs="Arial"/>
          <w:b/>
          <w:sz w:val="28"/>
          <w:szCs w:val="28"/>
        </w:rPr>
      </w:pPr>
    </w:p>
    <w:tbl>
      <w:tblPr>
        <w:tblStyle w:val="Tablaconcuadrcula"/>
        <w:tblW w:w="10490" w:type="dxa"/>
        <w:jc w:val="center"/>
        <w:tblLook w:val="04A0" w:firstRow="1" w:lastRow="0" w:firstColumn="1" w:lastColumn="0" w:noHBand="0" w:noVBand="1"/>
      </w:tblPr>
      <w:tblGrid>
        <w:gridCol w:w="988"/>
        <w:gridCol w:w="4257"/>
        <w:gridCol w:w="5245"/>
      </w:tblGrid>
      <w:tr w:rsidR="008C3428" w:rsidRPr="00E77965" w14:paraId="1EFEE3B0" w14:textId="77777777" w:rsidTr="00BD6EEF">
        <w:trPr>
          <w:jc w:val="center"/>
        </w:trPr>
        <w:tc>
          <w:tcPr>
            <w:tcW w:w="988" w:type="dxa"/>
          </w:tcPr>
          <w:p w14:paraId="7A09E0FE" w14:textId="77777777" w:rsidR="008C3428" w:rsidRPr="00E77965" w:rsidRDefault="008C3428" w:rsidP="00F1223B">
            <w:pPr>
              <w:tabs>
                <w:tab w:val="left" w:pos="875"/>
              </w:tabs>
              <w:ind w:right="-50"/>
              <w:jc w:val="center"/>
              <w:rPr>
                <w:rFonts w:ascii="Arial" w:hAnsi="Arial" w:cs="Arial"/>
                <w:b/>
              </w:rPr>
            </w:pPr>
            <w:r w:rsidRPr="00E77965">
              <w:rPr>
                <w:rFonts w:ascii="Arial" w:hAnsi="Arial" w:cs="Arial"/>
                <w:b/>
              </w:rPr>
              <w:t>N°</w:t>
            </w:r>
          </w:p>
        </w:tc>
        <w:tc>
          <w:tcPr>
            <w:tcW w:w="4257" w:type="dxa"/>
          </w:tcPr>
          <w:p w14:paraId="68095952" w14:textId="77777777" w:rsidR="008C3428" w:rsidRPr="00E77965" w:rsidRDefault="008C3428" w:rsidP="00F1223B">
            <w:pPr>
              <w:tabs>
                <w:tab w:val="left" w:pos="875"/>
              </w:tabs>
              <w:ind w:right="-50"/>
              <w:jc w:val="center"/>
              <w:rPr>
                <w:rFonts w:ascii="Arial" w:hAnsi="Arial" w:cs="Arial"/>
                <w:b/>
              </w:rPr>
            </w:pPr>
            <w:r w:rsidRPr="00E77965">
              <w:rPr>
                <w:rFonts w:ascii="Arial" w:hAnsi="Arial" w:cs="Arial"/>
                <w:b/>
              </w:rPr>
              <w:t>Limitaciones del Sistema CHIP</w:t>
            </w:r>
          </w:p>
          <w:p w14:paraId="49B4921A" w14:textId="77777777" w:rsidR="008C3428" w:rsidRPr="00E77965" w:rsidRDefault="008C3428" w:rsidP="00F1223B">
            <w:pPr>
              <w:tabs>
                <w:tab w:val="left" w:pos="875"/>
              </w:tabs>
              <w:ind w:right="-50"/>
              <w:jc w:val="center"/>
              <w:rPr>
                <w:rFonts w:ascii="Arial" w:hAnsi="Arial" w:cs="Arial"/>
                <w:b/>
              </w:rPr>
            </w:pPr>
            <w:r w:rsidRPr="00E77965">
              <w:rPr>
                <w:rFonts w:ascii="Arial" w:hAnsi="Arial" w:cs="Arial"/>
                <w:b/>
              </w:rPr>
              <w:t xml:space="preserve"> a 31/12/2023</w:t>
            </w:r>
          </w:p>
          <w:p w14:paraId="2F55DE31" w14:textId="77777777" w:rsidR="008C3428" w:rsidRPr="00E77965" w:rsidRDefault="008C3428" w:rsidP="00F1223B">
            <w:pPr>
              <w:tabs>
                <w:tab w:val="left" w:pos="875"/>
              </w:tabs>
              <w:ind w:right="-50"/>
              <w:jc w:val="center"/>
              <w:rPr>
                <w:rFonts w:ascii="Arial" w:hAnsi="Arial" w:cs="Arial"/>
                <w:b/>
              </w:rPr>
            </w:pPr>
          </w:p>
        </w:tc>
        <w:tc>
          <w:tcPr>
            <w:tcW w:w="5245" w:type="dxa"/>
            <w:vAlign w:val="center"/>
          </w:tcPr>
          <w:p w14:paraId="0C39C31D" w14:textId="77777777" w:rsidR="008C3428" w:rsidRPr="00E77965" w:rsidRDefault="008C3428" w:rsidP="00F1223B">
            <w:pPr>
              <w:tabs>
                <w:tab w:val="left" w:pos="875"/>
              </w:tabs>
              <w:ind w:right="-50"/>
              <w:jc w:val="center"/>
              <w:rPr>
                <w:rFonts w:ascii="Arial" w:hAnsi="Arial" w:cs="Arial"/>
                <w:b/>
              </w:rPr>
            </w:pPr>
            <w:r w:rsidRPr="00E77965">
              <w:rPr>
                <w:rFonts w:ascii="Arial" w:hAnsi="Arial" w:cs="Arial"/>
                <w:b/>
              </w:rPr>
              <w:t>Descripción de la limitación</w:t>
            </w:r>
          </w:p>
        </w:tc>
      </w:tr>
      <w:tr w:rsidR="008C3428" w:rsidRPr="00E77965" w14:paraId="61496B77" w14:textId="77777777" w:rsidTr="00BD6EEF">
        <w:trPr>
          <w:jc w:val="center"/>
        </w:trPr>
        <w:tc>
          <w:tcPr>
            <w:tcW w:w="988" w:type="dxa"/>
          </w:tcPr>
          <w:p w14:paraId="33719A99" w14:textId="77777777" w:rsidR="008C3428" w:rsidRPr="00E77965" w:rsidRDefault="008C3428" w:rsidP="00F1223B">
            <w:pPr>
              <w:tabs>
                <w:tab w:val="left" w:pos="875"/>
              </w:tabs>
              <w:ind w:right="-50"/>
              <w:jc w:val="center"/>
              <w:rPr>
                <w:rFonts w:ascii="Arial" w:hAnsi="Arial" w:cs="Arial"/>
                <w:b/>
                <w:bCs/>
              </w:rPr>
            </w:pPr>
            <w:r w:rsidRPr="00E77965">
              <w:rPr>
                <w:rFonts w:ascii="Arial" w:hAnsi="Arial" w:cs="Arial"/>
                <w:b/>
                <w:bCs/>
              </w:rPr>
              <w:t>1</w:t>
            </w:r>
          </w:p>
        </w:tc>
        <w:tc>
          <w:tcPr>
            <w:tcW w:w="4257" w:type="dxa"/>
          </w:tcPr>
          <w:p w14:paraId="2844BA3F" w14:textId="77777777" w:rsidR="008C3428" w:rsidRPr="00E77965" w:rsidRDefault="008C3428" w:rsidP="00F1223B">
            <w:pPr>
              <w:tabs>
                <w:tab w:val="left" w:pos="875"/>
              </w:tabs>
              <w:ind w:right="-50"/>
              <w:jc w:val="both"/>
              <w:rPr>
                <w:rFonts w:ascii="Arial" w:hAnsi="Arial" w:cs="Arial"/>
                <w:b/>
                <w:bCs/>
              </w:rPr>
            </w:pPr>
            <w:r w:rsidRPr="00E77965">
              <w:rPr>
                <w:rFonts w:ascii="Arial" w:hAnsi="Arial" w:cs="Arial"/>
                <w:b/>
                <w:bCs/>
              </w:rPr>
              <w:t>Técnicas:</w:t>
            </w:r>
          </w:p>
        </w:tc>
        <w:tc>
          <w:tcPr>
            <w:tcW w:w="5245" w:type="dxa"/>
          </w:tcPr>
          <w:p w14:paraId="6FA9D47B" w14:textId="77777777" w:rsidR="008C3428" w:rsidRPr="00E77965" w:rsidRDefault="008C3428" w:rsidP="00F1223B">
            <w:pPr>
              <w:tabs>
                <w:tab w:val="left" w:pos="875"/>
              </w:tabs>
              <w:ind w:right="-50"/>
              <w:jc w:val="both"/>
              <w:rPr>
                <w:rFonts w:ascii="Arial" w:hAnsi="Arial" w:cs="Arial"/>
              </w:rPr>
            </w:pPr>
            <w:r w:rsidRPr="00E77965">
              <w:rPr>
                <w:rFonts w:ascii="Arial" w:hAnsi="Arial" w:cs="Arial"/>
              </w:rPr>
              <w:t>Cuando se iba a transmitir la información complementaria (Notas a los estados Financieros) se presentaron inconvenientes debido a la actualización de la versión del CHIP; para cumplir con él envió se debió desinstalar e instalar nuevamente el aplicativo. Se sugiere que la actualización del CHIP quede en fecha previa a la presentación de la información financiera respectiva.</w:t>
            </w:r>
          </w:p>
        </w:tc>
      </w:tr>
    </w:tbl>
    <w:p w14:paraId="58ACACF0" w14:textId="77777777" w:rsidR="008C3428" w:rsidRDefault="008C3428" w:rsidP="008C3428">
      <w:pPr>
        <w:ind w:left="-284" w:right="-234"/>
        <w:jc w:val="both"/>
        <w:rPr>
          <w:rFonts w:ascii="Arial" w:hAnsi="Arial" w:cs="Arial"/>
          <w:b/>
          <w:sz w:val="28"/>
          <w:szCs w:val="28"/>
        </w:rPr>
      </w:pPr>
    </w:p>
    <w:p w14:paraId="737364ED" w14:textId="77777777" w:rsidR="008C3428" w:rsidRDefault="008C3428" w:rsidP="00BD6EEF">
      <w:pPr>
        <w:ind w:left="-284"/>
        <w:jc w:val="both"/>
        <w:rPr>
          <w:rFonts w:ascii="Arial" w:hAnsi="Arial" w:cs="Arial"/>
          <w:b/>
          <w:sz w:val="28"/>
          <w:szCs w:val="28"/>
          <w:lang w:val="es-MX"/>
        </w:rPr>
      </w:pPr>
      <w:r w:rsidRPr="0071036D">
        <w:rPr>
          <w:rFonts w:ascii="Arial" w:hAnsi="Arial" w:cs="Arial"/>
          <w:b/>
          <w:sz w:val="28"/>
          <w:szCs w:val="28"/>
          <w:lang w:val="es-MX"/>
        </w:rPr>
        <w:t xml:space="preserve">297.- SOCIEDAD ALMIDONES DE SUCRE S.A.S. </w:t>
      </w:r>
    </w:p>
    <w:p w14:paraId="2CF3CDF6" w14:textId="77777777" w:rsidR="008C3428" w:rsidRPr="0071036D" w:rsidRDefault="008C3428" w:rsidP="008C3428">
      <w:pPr>
        <w:jc w:val="both"/>
        <w:rPr>
          <w:rFonts w:ascii="Arial" w:hAnsi="Arial" w:cs="Arial"/>
          <w:b/>
          <w:sz w:val="28"/>
          <w:szCs w:val="28"/>
          <w:lang w:val="es-MX"/>
        </w:rPr>
      </w:pPr>
    </w:p>
    <w:tbl>
      <w:tblPr>
        <w:tblStyle w:val="Tablaconcuadrcula"/>
        <w:tblW w:w="10490" w:type="dxa"/>
        <w:jc w:val="center"/>
        <w:tblLook w:val="04A0" w:firstRow="1" w:lastRow="0" w:firstColumn="1" w:lastColumn="0" w:noHBand="0" w:noVBand="1"/>
      </w:tblPr>
      <w:tblGrid>
        <w:gridCol w:w="988"/>
        <w:gridCol w:w="4257"/>
        <w:gridCol w:w="5245"/>
      </w:tblGrid>
      <w:tr w:rsidR="008C3428" w:rsidRPr="00F93D7B" w14:paraId="5A99655B" w14:textId="77777777" w:rsidTr="00BD6EEF">
        <w:trPr>
          <w:jc w:val="center"/>
        </w:trPr>
        <w:tc>
          <w:tcPr>
            <w:tcW w:w="988" w:type="dxa"/>
          </w:tcPr>
          <w:p w14:paraId="20312592" w14:textId="77777777" w:rsidR="008C3428" w:rsidRPr="0071036D" w:rsidRDefault="008C3428" w:rsidP="00F1223B">
            <w:pPr>
              <w:tabs>
                <w:tab w:val="left" w:pos="875"/>
              </w:tabs>
              <w:ind w:right="-50"/>
              <w:jc w:val="center"/>
              <w:rPr>
                <w:rFonts w:ascii="Arial" w:hAnsi="Arial" w:cs="Arial"/>
                <w:b/>
              </w:rPr>
            </w:pPr>
            <w:r w:rsidRPr="0071036D">
              <w:rPr>
                <w:rFonts w:ascii="Arial" w:hAnsi="Arial" w:cs="Arial"/>
                <w:b/>
              </w:rPr>
              <w:t>N°</w:t>
            </w:r>
          </w:p>
        </w:tc>
        <w:tc>
          <w:tcPr>
            <w:tcW w:w="4257" w:type="dxa"/>
          </w:tcPr>
          <w:p w14:paraId="187B054B" w14:textId="77777777" w:rsidR="008C3428" w:rsidRPr="0071036D" w:rsidRDefault="008C3428" w:rsidP="00F1223B">
            <w:pPr>
              <w:tabs>
                <w:tab w:val="left" w:pos="875"/>
              </w:tabs>
              <w:ind w:right="-50"/>
              <w:jc w:val="center"/>
              <w:rPr>
                <w:rFonts w:ascii="Arial" w:hAnsi="Arial" w:cs="Arial"/>
                <w:b/>
              </w:rPr>
            </w:pPr>
            <w:r w:rsidRPr="0071036D">
              <w:rPr>
                <w:rFonts w:ascii="Arial" w:hAnsi="Arial" w:cs="Arial"/>
                <w:b/>
              </w:rPr>
              <w:t>Limitaciones del Sistema CHIP</w:t>
            </w:r>
          </w:p>
          <w:p w14:paraId="4286CB03" w14:textId="77777777" w:rsidR="008C3428" w:rsidRPr="0071036D" w:rsidRDefault="008C3428" w:rsidP="00F1223B">
            <w:pPr>
              <w:tabs>
                <w:tab w:val="left" w:pos="875"/>
              </w:tabs>
              <w:ind w:right="-50"/>
              <w:jc w:val="center"/>
              <w:rPr>
                <w:rFonts w:ascii="Arial" w:hAnsi="Arial" w:cs="Arial"/>
                <w:b/>
              </w:rPr>
            </w:pPr>
            <w:r w:rsidRPr="0071036D">
              <w:rPr>
                <w:rFonts w:ascii="Arial" w:hAnsi="Arial" w:cs="Arial"/>
                <w:b/>
              </w:rPr>
              <w:t xml:space="preserve"> a 31/12/2023</w:t>
            </w:r>
          </w:p>
          <w:p w14:paraId="482717D8" w14:textId="77777777" w:rsidR="008C3428" w:rsidRPr="0071036D" w:rsidRDefault="008C3428" w:rsidP="00F1223B">
            <w:pPr>
              <w:tabs>
                <w:tab w:val="left" w:pos="875"/>
              </w:tabs>
              <w:ind w:right="-50"/>
              <w:jc w:val="center"/>
              <w:rPr>
                <w:rFonts w:ascii="Arial" w:hAnsi="Arial" w:cs="Arial"/>
                <w:b/>
              </w:rPr>
            </w:pPr>
          </w:p>
        </w:tc>
        <w:tc>
          <w:tcPr>
            <w:tcW w:w="5245" w:type="dxa"/>
            <w:vAlign w:val="center"/>
          </w:tcPr>
          <w:p w14:paraId="1ECA8693" w14:textId="77777777" w:rsidR="008C3428" w:rsidRPr="0071036D" w:rsidRDefault="008C3428" w:rsidP="00F1223B">
            <w:pPr>
              <w:tabs>
                <w:tab w:val="left" w:pos="875"/>
              </w:tabs>
              <w:ind w:right="-50"/>
              <w:jc w:val="center"/>
              <w:rPr>
                <w:rFonts w:ascii="Arial" w:hAnsi="Arial" w:cs="Arial"/>
                <w:b/>
              </w:rPr>
            </w:pPr>
            <w:r w:rsidRPr="0071036D">
              <w:rPr>
                <w:rFonts w:ascii="Arial" w:hAnsi="Arial" w:cs="Arial"/>
                <w:b/>
              </w:rPr>
              <w:t>Descripción de la limitación</w:t>
            </w:r>
          </w:p>
        </w:tc>
      </w:tr>
      <w:tr w:rsidR="008C3428" w:rsidRPr="00F93D7B" w14:paraId="3DDDEB0C" w14:textId="77777777" w:rsidTr="00BD6EEF">
        <w:trPr>
          <w:jc w:val="center"/>
        </w:trPr>
        <w:tc>
          <w:tcPr>
            <w:tcW w:w="988" w:type="dxa"/>
          </w:tcPr>
          <w:p w14:paraId="49D2377D" w14:textId="77777777" w:rsidR="008C3428" w:rsidRPr="0071036D" w:rsidRDefault="008C3428" w:rsidP="00F1223B">
            <w:pPr>
              <w:tabs>
                <w:tab w:val="left" w:pos="875"/>
              </w:tabs>
              <w:ind w:right="-50"/>
              <w:jc w:val="center"/>
              <w:rPr>
                <w:rFonts w:ascii="Arial" w:hAnsi="Arial" w:cs="Arial"/>
                <w:b/>
                <w:bCs/>
              </w:rPr>
            </w:pPr>
            <w:r w:rsidRPr="0071036D">
              <w:rPr>
                <w:rFonts w:ascii="Arial" w:hAnsi="Arial" w:cs="Arial"/>
                <w:b/>
                <w:bCs/>
              </w:rPr>
              <w:t>1</w:t>
            </w:r>
          </w:p>
        </w:tc>
        <w:tc>
          <w:tcPr>
            <w:tcW w:w="4257" w:type="dxa"/>
          </w:tcPr>
          <w:p w14:paraId="20A791AD" w14:textId="77777777" w:rsidR="008C3428" w:rsidRPr="0071036D" w:rsidRDefault="008C3428" w:rsidP="00F1223B">
            <w:pPr>
              <w:tabs>
                <w:tab w:val="left" w:pos="875"/>
              </w:tabs>
              <w:ind w:right="-50"/>
              <w:jc w:val="both"/>
              <w:rPr>
                <w:rFonts w:ascii="Arial" w:hAnsi="Arial" w:cs="Arial"/>
                <w:b/>
                <w:bCs/>
              </w:rPr>
            </w:pPr>
            <w:r w:rsidRPr="0071036D">
              <w:rPr>
                <w:rFonts w:ascii="Arial" w:hAnsi="Arial" w:cs="Arial"/>
                <w:b/>
                <w:bCs/>
              </w:rPr>
              <w:t>Técnicas:</w:t>
            </w:r>
          </w:p>
        </w:tc>
        <w:tc>
          <w:tcPr>
            <w:tcW w:w="5245" w:type="dxa"/>
          </w:tcPr>
          <w:p w14:paraId="578C5677" w14:textId="77777777" w:rsidR="008C3428" w:rsidRPr="0071036D" w:rsidRDefault="008C3428" w:rsidP="00F1223B">
            <w:pPr>
              <w:tabs>
                <w:tab w:val="left" w:pos="875"/>
              </w:tabs>
              <w:ind w:right="-50"/>
              <w:jc w:val="both"/>
              <w:rPr>
                <w:rFonts w:ascii="Arial" w:hAnsi="Arial" w:cs="Arial"/>
              </w:rPr>
            </w:pPr>
            <w:r w:rsidRPr="0071036D">
              <w:rPr>
                <w:rFonts w:ascii="Arial" w:hAnsi="Arial" w:cs="Arial"/>
              </w:rPr>
              <w:t>Actualización de plataforma después del plazo de vencimiento</w:t>
            </w:r>
          </w:p>
        </w:tc>
      </w:tr>
    </w:tbl>
    <w:p w14:paraId="058F00B5" w14:textId="77777777" w:rsidR="008C3428" w:rsidRPr="0097603C" w:rsidRDefault="008C3428" w:rsidP="008C3428">
      <w:pPr>
        <w:pStyle w:val="Prrafodelista"/>
        <w:spacing w:before="92"/>
        <w:ind w:left="-142"/>
        <w:rPr>
          <w:rFonts w:ascii="Arial" w:hAnsi="Arial" w:cs="Arial"/>
          <w:b/>
          <w:sz w:val="24"/>
        </w:rPr>
      </w:pPr>
    </w:p>
    <w:p w14:paraId="5A1ACEF5" w14:textId="77777777" w:rsidR="008C3428" w:rsidRPr="0097603C" w:rsidRDefault="008C3428" w:rsidP="00BD6EEF">
      <w:pPr>
        <w:ind w:left="-284"/>
        <w:jc w:val="both"/>
        <w:rPr>
          <w:rFonts w:ascii="Arial" w:hAnsi="Arial" w:cs="Arial"/>
          <w:b/>
          <w:sz w:val="28"/>
          <w:szCs w:val="28"/>
          <w:lang w:val="es-MX"/>
        </w:rPr>
      </w:pPr>
      <w:r w:rsidRPr="0097603C">
        <w:rPr>
          <w:rFonts w:ascii="Arial" w:hAnsi="Arial" w:cs="Arial"/>
          <w:b/>
          <w:sz w:val="28"/>
          <w:szCs w:val="28"/>
          <w:lang w:val="es-MX"/>
        </w:rPr>
        <w:t xml:space="preserve">306.- </w:t>
      </w:r>
      <w:r w:rsidRPr="0097603C">
        <w:rPr>
          <w:rFonts w:ascii="Arial" w:hAnsi="Arial" w:cs="Arial"/>
          <w:b/>
          <w:sz w:val="28"/>
          <w:szCs w:val="28"/>
        </w:rPr>
        <w:t>MINISTERIO</w:t>
      </w:r>
      <w:r w:rsidRPr="0097603C">
        <w:rPr>
          <w:rFonts w:ascii="Arial" w:hAnsi="Arial" w:cs="Arial"/>
          <w:b/>
          <w:spacing w:val="-12"/>
          <w:sz w:val="28"/>
          <w:szCs w:val="28"/>
        </w:rPr>
        <w:t xml:space="preserve"> </w:t>
      </w:r>
      <w:r w:rsidRPr="0097603C">
        <w:rPr>
          <w:rFonts w:ascii="Arial" w:hAnsi="Arial" w:cs="Arial"/>
          <w:b/>
          <w:sz w:val="28"/>
          <w:szCs w:val="28"/>
        </w:rPr>
        <w:t>DE</w:t>
      </w:r>
      <w:r w:rsidRPr="0097603C">
        <w:rPr>
          <w:rFonts w:ascii="Arial" w:hAnsi="Arial" w:cs="Arial"/>
          <w:b/>
          <w:spacing w:val="-9"/>
          <w:sz w:val="28"/>
          <w:szCs w:val="28"/>
        </w:rPr>
        <w:t xml:space="preserve"> </w:t>
      </w:r>
      <w:r w:rsidRPr="0097603C">
        <w:rPr>
          <w:rFonts w:ascii="Arial" w:hAnsi="Arial" w:cs="Arial"/>
          <w:b/>
          <w:sz w:val="28"/>
          <w:szCs w:val="28"/>
        </w:rPr>
        <w:t>DEFENSA</w:t>
      </w:r>
      <w:r w:rsidRPr="0097603C">
        <w:rPr>
          <w:rFonts w:ascii="Arial" w:hAnsi="Arial" w:cs="Arial"/>
          <w:b/>
          <w:spacing w:val="-9"/>
          <w:sz w:val="28"/>
          <w:szCs w:val="28"/>
        </w:rPr>
        <w:t xml:space="preserve"> </w:t>
      </w:r>
      <w:r w:rsidRPr="0097603C">
        <w:rPr>
          <w:rFonts w:ascii="Arial" w:hAnsi="Arial" w:cs="Arial"/>
          <w:b/>
          <w:sz w:val="28"/>
          <w:szCs w:val="28"/>
        </w:rPr>
        <w:t>NACIONAL</w:t>
      </w:r>
      <w:r w:rsidRPr="0097603C">
        <w:rPr>
          <w:rFonts w:ascii="Arial" w:hAnsi="Arial" w:cs="Arial"/>
          <w:b/>
          <w:sz w:val="28"/>
          <w:szCs w:val="28"/>
          <w:lang w:val="es-MX"/>
        </w:rPr>
        <w:t xml:space="preserve"> CONSOLIDADO.</w:t>
      </w:r>
    </w:p>
    <w:p w14:paraId="5182777A" w14:textId="77777777" w:rsidR="008C3428" w:rsidRDefault="008C3428" w:rsidP="008C3428">
      <w:pPr>
        <w:ind w:left="-284" w:right="-234"/>
        <w:jc w:val="both"/>
        <w:rPr>
          <w:rFonts w:ascii="Arial" w:hAnsi="Arial" w:cs="Arial"/>
          <w:b/>
          <w:sz w:val="28"/>
          <w:szCs w:val="28"/>
          <w:lang w:val="es-MX"/>
        </w:rPr>
      </w:pPr>
    </w:p>
    <w:tbl>
      <w:tblPr>
        <w:tblStyle w:val="Tablaconcuadrcula"/>
        <w:tblW w:w="10491" w:type="dxa"/>
        <w:jc w:val="center"/>
        <w:tblLook w:val="04A0" w:firstRow="1" w:lastRow="0" w:firstColumn="1" w:lastColumn="0" w:noHBand="0" w:noVBand="1"/>
      </w:tblPr>
      <w:tblGrid>
        <w:gridCol w:w="988"/>
        <w:gridCol w:w="4116"/>
        <w:gridCol w:w="5387"/>
      </w:tblGrid>
      <w:tr w:rsidR="008C3428" w:rsidRPr="0097603C" w14:paraId="5F5535A1" w14:textId="77777777" w:rsidTr="00BD6EEF">
        <w:trPr>
          <w:jc w:val="center"/>
        </w:trPr>
        <w:tc>
          <w:tcPr>
            <w:tcW w:w="988" w:type="dxa"/>
          </w:tcPr>
          <w:p w14:paraId="152E616F" w14:textId="77777777" w:rsidR="008C3428" w:rsidRPr="0097603C" w:rsidRDefault="008C3428" w:rsidP="00F1223B">
            <w:pPr>
              <w:tabs>
                <w:tab w:val="left" w:pos="875"/>
              </w:tabs>
              <w:ind w:right="-50"/>
              <w:jc w:val="center"/>
              <w:rPr>
                <w:rFonts w:ascii="Arial" w:hAnsi="Arial" w:cs="Arial"/>
                <w:b/>
              </w:rPr>
            </w:pPr>
            <w:r w:rsidRPr="0097603C">
              <w:rPr>
                <w:rFonts w:ascii="Arial" w:hAnsi="Arial" w:cs="Arial"/>
                <w:b/>
              </w:rPr>
              <w:t>N°</w:t>
            </w:r>
          </w:p>
        </w:tc>
        <w:tc>
          <w:tcPr>
            <w:tcW w:w="4116" w:type="dxa"/>
          </w:tcPr>
          <w:p w14:paraId="2F5C9832" w14:textId="77777777" w:rsidR="008C3428" w:rsidRPr="0097603C" w:rsidRDefault="008C3428" w:rsidP="00F1223B">
            <w:pPr>
              <w:tabs>
                <w:tab w:val="left" w:pos="875"/>
              </w:tabs>
              <w:ind w:right="-50"/>
              <w:jc w:val="center"/>
              <w:rPr>
                <w:rFonts w:ascii="Arial" w:hAnsi="Arial" w:cs="Arial"/>
                <w:b/>
              </w:rPr>
            </w:pPr>
            <w:r w:rsidRPr="0097603C">
              <w:rPr>
                <w:rFonts w:ascii="Arial" w:hAnsi="Arial" w:cs="Arial"/>
                <w:b/>
              </w:rPr>
              <w:t>Limitaciones del Sistema CHIP</w:t>
            </w:r>
          </w:p>
          <w:p w14:paraId="0E478AD6" w14:textId="77777777" w:rsidR="008C3428" w:rsidRPr="0097603C" w:rsidRDefault="008C3428" w:rsidP="00F1223B">
            <w:pPr>
              <w:tabs>
                <w:tab w:val="left" w:pos="875"/>
              </w:tabs>
              <w:ind w:right="-50"/>
              <w:jc w:val="center"/>
              <w:rPr>
                <w:rFonts w:ascii="Arial" w:hAnsi="Arial" w:cs="Arial"/>
                <w:b/>
              </w:rPr>
            </w:pPr>
            <w:r w:rsidRPr="0097603C">
              <w:rPr>
                <w:rFonts w:ascii="Arial" w:hAnsi="Arial" w:cs="Arial"/>
                <w:b/>
              </w:rPr>
              <w:lastRenderedPageBreak/>
              <w:t xml:space="preserve"> a 31/12/2023</w:t>
            </w:r>
          </w:p>
          <w:p w14:paraId="69A5F0F5" w14:textId="77777777" w:rsidR="008C3428" w:rsidRPr="0097603C" w:rsidRDefault="008C3428" w:rsidP="00F1223B">
            <w:pPr>
              <w:tabs>
                <w:tab w:val="left" w:pos="875"/>
              </w:tabs>
              <w:ind w:right="-50"/>
              <w:jc w:val="center"/>
              <w:rPr>
                <w:rFonts w:ascii="Arial" w:hAnsi="Arial" w:cs="Arial"/>
                <w:b/>
              </w:rPr>
            </w:pPr>
          </w:p>
        </w:tc>
        <w:tc>
          <w:tcPr>
            <w:tcW w:w="5387" w:type="dxa"/>
            <w:vAlign w:val="center"/>
          </w:tcPr>
          <w:p w14:paraId="1E19D035" w14:textId="77777777" w:rsidR="008C3428" w:rsidRPr="0097603C" w:rsidRDefault="008C3428" w:rsidP="00F1223B">
            <w:pPr>
              <w:tabs>
                <w:tab w:val="left" w:pos="875"/>
              </w:tabs>
              <w:ind w:right="-50"/>
              <w:jc w:val="center"/>
              <w:rPr>
                <w:rFonts w:ascii="Arial" w:hAnsi="Arial" w:cs="Arial"/>
                <w:b/>
              </w:rPr>
            </w:pPr>
            <w:r w:rsidRPr="0097603C">
              <w:rPr>
                <w:rFonts w:ascii="Arial" w:hAnsi="Arial" w:cs="Arial"/>
                <w:b/>
              </w:rPr>
              <w:lastRenderedPageBreak/>
              <w:t>Descripción de la limitación</w:t>
            </w:r>
          </w:p>
        </w:tc>
      </w:tr>
      <w:tr w:rsidR="008C3428" w:rsidRPr="0097603C" w14:paraId="0985B0CC" w14:textId="77777777" w:rsidTr="00BD6EEF">
        <w:trPr>
          <w:jc w:val="center"/>
        </w:trPr>
        <w:tc>
          <w:tcPr>
            <w:tcW w:w="988" w:type="dxa"/>
          </w:tcPr>
          <w:p w14:paraId="62F73A0D" w14:textId="77777777" w:rsidR="008C3428" w:rsidRPr="0097603C" w:rsidRDefault="008C3428" w:rsidP="00F1223B">
            <w:pPr>
              <w:tabs>
                <w:tab w:val="left" w:pos="875"/>
              </w:tabs>
              <w:ind w:right="-50"/>
              <w:jc w:val="center"/>
              <w:rPr>
                <w:rFonts w:ascii="Arial" w:hAnsi="Arial" w:cs="Arial"/>
                <w:b/>
                <w:bCs/>
              </w:rPr>
            </w:pPr>
            <w:r w:rsidRPr="0097603C">
              <w:rPr>
                <w:rFonts w:ascii="Arial" w:hAnsi="Arial" w:cs="Arial"/>
                <w:b/>
                <w:bCs/>
              </w:rPr>
              <w:t>1</w:t>
            </w:r>
          </w:p>
        </w:tc>
        <w:tc>
          <w:tcPr>
            <w:tcW w:w="4116" w:type="dxa"/>
          </w:tcPr>
          <w:p w14:paraId="417AF963" w14:textId="77777777" w:rsidR="008C3428" w:rsidRPr="0097603C" w:rsidRDefault="008C3428" w:rsidP="00F1223B">
            <w:pPr>
              <w:tabs>
                <w:tab w:val="left" w:pos="875"/>
              </w:tabs>
              <w:ind w:right="-50"/>
              <w:jc w:val="both"/>
              <w:rPr>
                <w:rFonts w:ascii="Arial" w:hAnsi="Arial" w:cs="Arial"/>
                <w:b/>
                <w:bCs/>
              </w:rPr>
            </w:pPr>
            <w:r w:rsidRPr="0097603C">
              <w:rPr>
                <w:rFonts w:ascii="Arial" w:hAnsi="Arial" w:cs="Arial"/>
                <w:b/>
                <w:bCs/>
              </w:rPr>
              <w:t>Administrativas:</w:t>
            </w:r>
          </w:p>
        </w:tc>
        <w:tc>
          <w:tcPr>
            <w:tcW w:w="5387" w:type="dxa"/>
          </w:tcPr>
          <w:p w14:paraId="25BE1DB0" w14:textId="77777777" w:rsidR="008C3428" w:rsidRPr="0097603C" w:rsidRDefault="008C3428" w:rsidP="00F1223B">
            <w:pPr>
              <w:tabs>
                <w:tab w:val="left" w:pos="875"/>
              </w:tabs>
              <w:ind w:right="-50"/>
              <w:jc w:val="both"/>
              <w:rPr>
                <w:rFonts w:ascii="Arial" w:hAnsi="Arial" w:cs="Arial"/>
              </w:rPr>
            </w:pPr>
            <w:r w:rsidRPr="0097603C">
              <w:rPr>
                <w:rFonts w:ascii="Arial" w:hAnsi="Arial" w:cs="Arial"/>
              </w:rPr>
              <w:t>Los plazos de cierre y transmisión resultan insuficientes para entidades como el Ministerio de Defensa, que está compuesta por 110 subunidades ejecutoras, lo cual obliga a la entidad a presentar solicitudes constantes de prórroga para rendir la información debidamente validada. Se ha recomendado a la CGN establecer plazos diferenciales para la transmisión de información, ya sea por tipo de informe o por el tamaño de las entidades.</w:t>
            </w:r>
          </w:p>
        </w:tc>
      </w:tr>
      <w:tr w:rsidR="008C3428" w:rsidRPr="0097603C" w14:paraId="657C7B9A" w14:textId="77777777" w:rsidTr="00BD6EEF">
        <w:trPr>
          <w:jc w:val="center"/>
        </w:trPr>
        <w:tc>
          <w:tcPr>
            <w:tcW w:w="988" w:type="dxa"/>
          </w:tcPr>
          <w:p w14:paraId="68DC3D00" w14:textId="77777777" w:rsidR="008C3428" w:rsidRPr="0097603C" w:rsidRDefault="008C3428" w:rsidP="00F1223B">
            <w:pPr>
              <w:tabs>
                <w:tab w:val="left" w:pos="875"/>
              </w:tabs>
              <w:ind w:right="-50"/>
              <w:jc w:val="center"/>
              <w:rPr>
                <w:rFonts w:ascii="Arial" w:hAnsi="Arial" w:cs="Arial"/>
                <w:b/>
                <w:bCs/>
              </w:rPr>
            </w:pPr>
            <w:r w:rsidRPr="0097603C">
              <w:rPr>
                <w:rFonts w:ascii="Arial" w:hAnsi="Arial" w:cs="Arial"/>
                <w:b/>
                <w:bCs/>
              </w:rPr>
              <w:t>2</w:t>
            </w:r>
          </w:p>
        </w:tc>
        <w:tc>
          <w:tcPr>
            <w:tcW w:w="4116" w:type="dxa"/>
          </w:tcPr>
          <w:p w14:paraId="641D205C" w14:textId="77777777" w:rsidR="008C3428" w:rsidRPr="0097603C" w:rsidRDefault="008C3428" w:rsidP="00F1223B">
            <w:pPr>
              <w:tabs>
                <w:tab w:val="left" w:pos="875"/>
              </w:tabs>
              <w:ind w:right="-50"/>
              <w:jc w:val="both"/>
              <w:rPr>
                <w:rFonts w:ascii="Arial" w:hAnsi="Arial" w:cs="Arial"/>
                <w:b/>
                <w:bCs/>
              </w:rPr>
            </w:pPr>
            <w:r w:rsidRPr="0097603C">
              <w:rPr>
                <w:rFonts w:ascii="Arial" w:hAnsi="Arial" w:cs="Arial"/>
                <w:b/>
                <w:bCs/>
              </w:rPr>
              <w:t>Técnicas:</w:t>
            </w:r>
          </w:p>
        </w:tc>
        <w:tc>
          <w:tcPr>
            <w:tcW w:w="5387" w:type="dxa"/>
          </w:tcPr>
          <w:p w14:paraId="4C6F50D3" w14:textId="77777777" w:rsidR="008C3428" w:rsidRPr="0097603C" w:rsidRDefault="008C3428" w:rsidP="00F1223B">
            <w:pPr>
              <w:tabs>
                <w:tab w:val="left" w:pos="875"/>
              </w:tabs>
              <w:ind w:right="-50"/>
              <w:jc w:val="both"/>
              <w:rPr>
                <w:rFonts w:ascii="Arial" w:hAnsi="Arial" w:cs="Arial"/>
              </w:rPr>
            </w:pPr>
            <w:r w:rsidRPr="0097603C">
              <w:rPr>
                <w:rFonts w:ascii="Arial" w:hAnsi="Arial" w:cs="Arial"/>
              </w:rPr>
              <w:t>La transmisión de información en archivo PDF presenta dificultades para reducir el tamaño del archivo, dada la cantidad de información y las características de los documentos generados por la entidad.</w:t>
            </w:r>
          </w:p>
        </w:tc>
      </w:tr>
      <w:tr w:rsidR="008C3428" w:rsidRPr="0097603C" w14:paraId="409C9BF8" w14:textId="77777777" w:rsidTr="00BD6EEF">
        <w:trPr>
          <w:jc w:val="center"/>
        </w:trPr>
        <w:tc>
          <w:tcPr>
            <w:tcW w:w="988" w:type="dxa"/>
          </w:tcPr>
          <w:p w14:paraId="739EB1B0" w14:textId="77777777" w:rsidR="008C3428" w:rsidRPr="0097603C" w:rsidRDefault="008C3428" w:rsidP="00F1223B">
            <w:pPr>
              <w:tabs>
                <w:tab w:val="left" w:pos="875"/>
              </w:tabs>
              <w:ind w:right="-50"/>
              <w:jc w:val="center"/>
              <w:rPr>
                <w:rFonts w:ascii="Arial" w:hAnsi="Arial" w:cs="Arial"/>
                <w:b/>
                <w:bCs/>
              </w:rPr>
            </w:pPr>
            <w:r w:rsidRPr="0097603C">
              <w:rPr>
                <w:rFonts w:ascii="Arial" w:hAnsi="Arial" w:cs="Arial"/>
                <w:b/>
                <w:bCs/>
              </w:rPr>
              <w:t>3</w:t>
            </w:r>
          </w:p>
        </w:tc>
        <w:tc>
          <w:tcPr>
            <w:tcW w:w="4116" w:type="dxa"/>
          </w:tcPr>
          <w:p w14:paraId="2A13989C" w14:textId="77777777" w:rsidR="008C3428" w:rsidRPr="0097603C" w:rsidRDefault="008C3428" w:rsidP="00F1223B">
            <w:pPr>
              <w:tabs>
                <w:tab w:val="left" w:pos="875"/>
              </w:tabs>
              <w:ind w:right="-50"/>
              <w:jc w:val="both"/>
              <w:rPr>
                <w:rFonts w:ascii="Arial" w:hAnsi="Arial" w:cs="Arial"/>
                <w:b/>
                <w:bCs/>
              </w:rPr>
            </w:pPr>
            <w:r w:rsidRPr="0097603C">
              <w:rPr>
                <w:rFonts w:ascii="Arial" w:hAnsi="Arial" w:cs="Arial"/>
                <w:b/>
                <w:bCs/>
              </w:rPr>
              <w:t>Operativas:</w:t>
            </w:r>
          </w:p>
        </w:tc>
        <w:tc>
          <w:tcPr>
            <w:tcW w:w="5387" w:type="dxa"/>
          </w:tcPr>
          <w:p w14:paraId="4CD27342" w14:textId="77777777" w:rsidR="008C3428" w:rsidRPr="0097603C" w:rsidRDefault="008C3428" w:rsidP="00F1223B">
            <w:pPr>
              <w:tabs>
                <w:tab w:val="left" w:pos="875"/>
              </w:tabs>
              <w:ind w:right="-50"/>
              <w:jc w:val="both"/>
              <w:rPr>
                <w:rFonts w:ascii="Arial" w:hAnsi="Arial" w:cs="Arial"/>
              </w:rPr>
            </w:pPr>
            <w:r w:rsidRPr="0097603C">
              <w:rPr>
                <w:rFonts w:ascii="Arial" w:hAnsi="Arial" w:cs="Arial"/>
              </w:rPr>
              <w:t>La preparación de los archivos para la transmisión de información presenta de manera eventual dificultades, dada la magnitud de las cifras.</w:t>
            </w:r>
          </w:p>
        </w:tc>
      </w:tr>
    </w:tbl>
    <w:p w14:paraId="53184FA3" w14:textId="77777777" w:rsidR="008C3428" w:rsidRDefault="008C3428" w:rsidP="008C3428">
      <w:pPr>
        <w:ind w:left="-284" w:right="-234"/>
        <w:jc w:val="both"/>
        <w:rPr>
          <w:rFonts w:ascii="Arial" w:hAnsi="Arial" w:cs="Arial"/>
          <w:b/>
          <w:sz w:val="28"/>
          <w:szCs w:val="28"/>
        </w:rPr>
      </w:pPr>
    </w:p>
    <w:p w14:paraId="66B3F22F" w14:textId="77777777" w:rsidR="008C3428" w:rsidRPr="004C02FC" w:rsidRDefault="008C3428" w:rsidP="00BD6EEF">
      <w:pPr>
        <w:ind w:left="-284"/>
        <w:jc w:val="both"/>
        <w:rPr>
          <w:rFonts w:ascii="Arial" w:hAnsi="Arial" w:cs="Arial"/>
          <w:b/>
          <w:sz w:val="28"/>
          <w:szCs w:val="28"/>
          <w:lang w:val="es-MX"/>
        </w:rPr>
      </w:pPr>
      <w:r w:rsidRPr="004C02FC">
        <w:rPr>
          <w:rFonts w:ascii="Arial" w:hAnsi="Arial" w:cs="Arial"/>
          <w:b/>
          <w:sz w:val="28"/>
          <w:szCs w:val="28"/>
          <w:lang w:val="es-MX"/>
        </w:rPr>
        <w:t>308.- U.A.E. DE ORGANIZACIONES SOLIDARIAS.</w:t>
      </w:r>
    </w:p>
    <w:p w14:paraId="205EEA57" w14:textId="77777777" w:rsidR="008C3428" w:rsidRDefault="008C3428" w:rsidP="008C3428">
      <w:pPr>
        <w:ind w:left="-284" w:right="-234"/>
        <w:jc w:val="both"/>
        <w:rPr>
          <w:rFonts w:ascii="Arial" w:hAnsi="Arial" w:cs="Arial"/>
          <w:b/>
          <w:sz w:val="28"/>
          <w:szCs w:val="28"/>
          <w:lang w:val="es-MX"/>
        </w:rPr>
      </w:pPr>
    </w:p>
    <w:tbl>
      <w:tblPr>
        <w:tblStyle w:val="Tablaconcuadrcula"/>
        <w:tblW w:w="10491" w:type="dxa"/>
        <w:jc w:val="center"/>
        <w:tblLook w:val="04A0" w:firstRow="1" w:lastRow="0" w:firstColumn="1" w:lastColumn="0" w:noHBand="0" w:noVBand="1"/>
      </w:tblPr>
      <w:tblGrid>
        <w:gridCol w:w="988"/>
        <w:gridCol w:w="4116"/>
        <w:gridCol w:w="5387"/>
      </w:tblGrid>
      <w:tr w:rsidR="008C3428" w:rsidRPr="00BE0D15" w14:paraId="4FBC65E8" w14:textId="77777777" w:rsidTr="00BD6EEF">
        <w:trPr>
          <w:jc w:val="center"/>
        </w:trPr>
        <w:tc>
          <w:tcPr>
            <w:tcW w:w="988" w:type="dxa"/>
          </w:tcPr>
          <w:p w14:paraId="7450C958" w14:textId="77777777" w:rsidR="008C3428" w:rsidRPr="00BE0D15" w:rsidRDefault="008C3428" w:rsidP="00F1223B">
            <w:pPr>
              <w:tabs>
                <w:tab w:val="left" w:pos="875"/>
              </w:tabs>
              <w:ind w:right="-50"/>
              <w:jc w:val="center"/>
              <w:rPr>
                <w:rFonts w:ascii="Arial" w:hAnsi="Arial" w:cs="Arial"/>
                <w:b/>
              </w:rPr>
            </w:pPr>
            <w:r w:rsidRPr="00BE0D15">
              <w:rPr>
                <w:rFonts w:ascii="Arial" w:hAnsi="Arial" w:cs="Arial"/>
                <w:b/>
              </w:rPr>
              <w:t>N°</w:t>
            </w:r>
          </w:p>
        </w:tc>
        <w:tc>
          <w:tcPr>
            <w:tcW w:w="4116" w:type="dxa"/>
          </w:tcPr>
          <w:p w14:paraId="5A492895" w14:textId="77777777" w:rsidR="008C3428" w:rsidRPr="00BE0D15" w:rsidRDefault="008C3428" w:rsidP="00F1223B">
            <w:pPr>
              <w:tabs>
                <w:tab w:val="left" w:pos="875"/>
              </w:tabs>
              <w:ind w:right="-50"/>
              <w:jc w:val="center"/>
              <w:rPr>
                <w:rFonts w:ascii="Arial" w:hAnsi="Arial" w:cs="Arial"/>
                <w:b/>
              </w:rPr>
            </w:pPr>
            <w:r w:rsidRPr="00BE0D15">
              <w:rPr>
                <w:rFonts w:ascii="Arial" w:hAnsi="Arial" w:cs="Arial"/>
                <w:b/>
              </w:rPr>
              <w:t>Limitaciones del Sistema CHIP</w:t>
            </w:r>
          </w:p>
          <w:p w14:paraId="43A6C075" w14:textId="77777777" w:rsidR="008C3428" w:rsidRPr="00BE0D15" w:rsidRDefault="008C3428" w:rsidP="00F1223B">
            <w:pPr>
              <w:tabs>
                <w:tab w:val="left" w:pos="875"/>
              </w:tabs>
              <w:ind w:right="-50"/>
              <w:jc w:val="center"/>
              <w:rPr>
                <w:rFonts w:ascii="Arial" w:hAnsi="Arial" w:cs="Arial"/>
                <w:b/>
              </w:rPr>
            </w:pPr>
            <w:r w:rsidRPr="00BE0D15">
              <w:rPr>
                <w:rFonts w:ascii="Arial" w:hAnsi="Arial" w:cs="Arial"/>
                <w:b/>
              </w:rPr>
              <w:t xml:space="preserve"> a 31/12/2023</w:t>
            </w:r>
          </w:p>
          <w:p w14:paraId="6F322AA8" w14:textId="77777777" w:rsidR="008C3428" w:rsidRPr="00BE0D15" w:rsidRDefault="008C3428" w:rsidP="00F1223B">
            <w:pPr>
              <w:tabs>
                <w:tab w:val="left" w:pos="875"/>
              </w:tabs>
              <w:ind w:right="-50"/>
              <w:jc w:val="center"/>
              <w:rPr>
                <w:rFonts w:ascii="Arial" w:hAnsi="Arial" w:cs="Arial"/>
                <w:b/>
              </w:rPr>
            </w:pPr>
          </w:p>
        </w:tc>
        <w:tc>
          <w:tcPr>
            <w:tcW w:w="5387" w:type="dxa"/>
            <w:vAlign w:val="center"/>
          </w:tcPr>
          <w:p w14:paraId="729B6D48" w14:textId="77777777" w:rsidR="008C3428" w:rsidRPr="00BE0D15" w:rsidRDefault="008C3428" w:rsidP="00F1223B">
            <w:pPr>
              <w:tabs>
                <w:tab w:val="left" w:pos="875"/>
              </w:tabs>
              <w:ind w:right="-50"/>
              <w:jc w:val="center"/>
              <w:rPr>
                <w:rFonts w:ascii="Arial" w:hAnsi="Arial" w:cs="Arial"/>
                <w:b/>
              </w:rPr>
            </w:pPr>
            <w:r w:rsidRPr="00BE0D15">
              <w:rPr>
                <w:rFonts w:ascii="Arial" w:hAnsi="Arial" w:cs="Arial"/>
                <w:b/>
              </w:rPr>
              <w:t>Descripción de la limitación</w:t>
            </w:r>
          </w:p>
        </w:tc>
      </w:tr>
      <w:tr w:rsidR="008C3428" w:rsidRPr="00BE0D15" w14:paraId="7E85FE40" w14:textId="77777777" w:rsidTr="00BD6EEF">
        <w:trPr>
          <w:jc w:val="center"/>
        </w:trPr>
        <w:tc>
          <w:tcPr>
            <w:tcW w:w="988" w:type="dxa"/>
          </w:tcPr>
          <w:p w14:paraId="099E4DC6" w14:textId="77777777" w:rsidR="008C3428" w:rsidRPr="00BE0D15" w:rsidRDefault="008C3428" w:rsidP="00F1223B">
            <w:pPr>
              <w:tabs>
                <w:tab w:val="left" w:pos="875"/>
              </w:tabs>
              <w:ind w:right="-50"/>
              <w:jc w:val="center"/>
              <w:rPr>
                <w:rFonts w:ascii="Arial" w:hAnsi="Arial" w:cs="Arial"/>
                <w:b/>
                <w:bCs/>
              </w:rPr>
            </w:pPr>
            <w:r w:rsidRPr="00BE0D15">
              <w:rPr>
                <w:rFonts w:ascii="Arial" w:hAnsi="Arial" w:cs="Arial"/>
                <w:b/>
                <w:bCs/>
              </w:rPr>
              <w:t>1</w:t>
            </w:r>
          </w:p>
        </w:tc>
        <w:tc>
          <w:tcPr>
            <w:tcW w:w="4116" w:type="dxa"/>
          </w:tcPr>
          <w:p w14:paraId="191A6C44" w14:textId="77777777" w:rsidR="008C3428" w:rsidRPr="00BE0D15" w:rsidRDefault="008C3428" w:rsidP="00F1223B">
            <w:pPr>
              <w:tabs>
                <w:tab w:val="left" w:pos="875"/>
              </w:tabs>
              <w:ind w:right="-50"/>
              <w:jc w:val="both"/>
              <w:rPr>
                <w:rFonts w:ascii="Arial" w:hAnsi="Arial" w:cs="Arial"/>
                <w:b/>
                <w:bCs/>
              </w:rPr>
            </w:pPr>
            <w:r w:rsidRPr="00BE0D15">
              <w:rPr>
                <w:rFonts w:ascii="Arial" w:hAnsi="Arial" w:cs="Arial"/>
                <w:b/>
                <w:bCs/>
              </w:rPr>
              <w:t>Operativas:</w:t>
            </w:r>
          </w:p>
        </w:tc>
        <w:tc>
          <w:tcPr>
            <w:tcW w:w="5387" w:type="dxa"/>
          </w:tcPr>
          <w:p w14:paraId="25B81D2F" w14:textId="77777777" w:rsidR="008C3428" w:rsidRPr="00BE0D15" w:rsidRDefault="008C3428" w:rsidP="00F1223B">
            <w:pPr>
              <w:tabs>
                <w:tab w:val="left" w:pos="875"/>
              </w:tabs>
              <w:ind w:right="-50"/>
              <w:jc w:val="both"/>
              <w:rPr>
                <w:rFonts w:ascii="Arial" w:hAnsi="Arial" w:cs="Arial"/>
                <w:b/>
                <w:bCs/>
              </w:rPr>
            </w:pPr>
            <w:r w:rsidRPr="00BE0D15">
              <w:rPr>
                <w:rFonts w:ascii="Arial" w:hAnsi="Arial" w:cs="Arial"/>
                <w:b/>
                <w:bCs/>
              </w:rPr>
              <w:t>Diferencias en saldos por operaciones reciprocas:</w:t>
            </w:r>
          </w:p>
          <w:p w14:paraId="23445B8F" w14:textId="77777777" w:rsidR="008C3428" w:rsidRPr="00BE0D15" w:rsidRDefault="008C3428" w:rsidP="00F1223B">
            <w:pPr>
              <w:tabs>
                <w:tab w:val="left" w:pos="875"/>
              </w:tabs>
              <w:ind w:right="-50"/>
              <w:jc w:val="both"/>
              <w:rPr>
                <w:rFonts w:ascii="Arial" w:hAnsi="Arial" w:cs="Arial"/>
              </w:rPr>
            </w:pPr>
          </w:p>
          <w:p w14:paraId="10793B5E" w14:textId="77777777" w:rsidR="008C3428" w:rsidRPr="00BE0D15" w:rsidRDefault="008C3428" w:rsidP="00F1223B">
            <w:pPr>
              <w:tabs>
                <w:tab w:val="left" w:pos="875"/>
              </w:tabs>
              <w:ind w:right="-50"/>
              <w:jc w:val="both"/>
              <w:rPr>
                <w:rFonts w:ascii="Arial" w:hAnsi="Arial" w:cs="Arial"/>
              </w:rPr>
            </w:pPr>
            <w:r w:rsidRPr="00BE0D15">
              <w:rPr>
                <w:rFonts w:ascii="Arial" w:hAnsi="Arial" w:cs="Arial"/>
              </w:rPr>
              <w:t xml:space="preserve">Según el instructivo 001 de 2024 expedido por la Contaduría General de la Nación," 2.3.20. IVA no descontable El valor del IVA por compra de bienes y servicios, que se registra como un mayor valor de los costos o gastos en que se incurre, no se reportará como operación recíproca en el formulario CGN2015 _ 002 _ 0PERACIONES _ RECÍPROCAS _ CONVERGENCIA, es decir, el reporte se realizará por el valor de bien o servicio adquirido sin el IVA con independencia de que, en el saldo de las subcuentas, se tenga reconocido el valor del bien o servicio incluyendo el IVA".  </w:t>
            </w:r>
          </w:p>
          <w:p w14:paraId="15E74464" w14:textId="77777777" w:rsidR="008C3428" w:rsidRPr="00BE0D15" w:rsidRDefault="008C3428" w:rsidP="00F1223B">
            <w:pPr>
              <w:tabs>
                <w:tab w:val="left" w:pos="875"/>
              </w:tabs>
              <w:ind w:right="-50"/>
              <w:jc w:val="both"/>
              <w:rPr>
                <w:rFonts w:ascii="Arial" w:hAnsi="Arial" w:cs="Arial"/>
              </w:rPr>
            </w:pPr>
          </w:p>
          <w:p w14:paraId="64376F7E" w14:textId="77777777" w:rsidR="008C3428" w:rsidRPr="00BE0D15" w:rsidRDefault="008C3428" w:rsidP="00F1223B">
            <w:pPr>
              <w:tabs>
                <w:tab w:val="left" w:pos="875"/>
              </w:tabs>
              <w:ind w:right="-50"/>
              <w:jc w:val="both"/>
              <w:rPr>
                <w:rFonts w:ascii="Arial" w:hAnsi="Arial" w:cs="Arial"/>
              </w:rPr>
            </w:pPr>
            <w:r w:rsidRPr="00BE0D15">
              <w:rPr>
                <w:rFonts w:ascii="Arial" w:hAnsi="Arial" w:cs="Arial"/>
              </w:rPr>
              <w:t>Sin embargo, en el proceso que se realiza en SIIF Nación de operaciones recíprocas no es posible disminuir el valor del IVA lo cual genera diferencias y para evitar incumplimientos con lo expuesto anteriormente en el instructivo de la Contaduría, en los reportes trimestrales de CHIP se está haciendo estas modificaciones manuales presentando saldos sin IVA.</w:t>
            </w:r>
          </w:p>
          <w:p w14:paraId="3DBD1355" w14:textId="77777777" w:rsidR="008C3428" w:rsidRPr="00BE0D15" w:rsidRDefault="008C3428" w:rsidP="00F1223B">
            <w:pPr>
              <w:tabs>
                <w:tab w:val="left" w:pos="875"/>
              </w:tabs>
              <w:ind w:right="-50"/>
              <w:jc w:val="both"/>
              <w:rPr>
                <w:rFonts w:ascii="Arial" w:hAnsi="Arial" w:cs="Arial"/>
              </w:rPr>
            </w:pPr>
          </w:p>
          <w:p w14:paraId="199B8690" w14:textId="77777777" w:rsidR="008C3428" w:rsidRPr="00BE0D15" w:rsidRDefault="008C3428" w:rsidP="00F1223B">
            <w:pPr>
              <w:tabs>
                <w:tab w:val="left" w:pos="875"/>
              </w:tabs>
              <w:ind w:right="-50"/>
              <w:jc w:val="both"/>
              <w:rPr>
                <w:rFonts w:ascii="Arial" w:hAnsi="Arial" w:cs="Arial"/>
              </w:rPr>
            </w:pPr>
            <w:r w:rsidRPr="00BE0D15">
              <w:rPr>
                <w:rFonts w:ascii="Arial" w:hAnsi="Arial" w:cs="Arial"/>
              </w:rPr>
              <w:t xml:space="preserve">Presentamos una diferencia con la compañía EMPRESA DE TELECOMUNICACIONES DE BOGOTÁ SA ESP PUDIENDO IDENTIFICARSE PARA TODOS LOS EFECTOS CON LA SIGLA ETB S.A. E.S.P. De acuerdo con la información enviada por la compañía, evidenciamos que la factura 1000069244 no se encuentra dentro de nuestro sistema de recepción de facturas. De igual forma, se presenta diferencia con el Sena debido a que no están teniendo presente el saldo por cancelar de la planilla del mes de diciembre de la vigencia 2024 que se canceló para inicios de la vigencia 2025, así mismo con la compañía, </w:t>
            </w:r>
            <w:r w:rsidRPr="00BE0D15">
              <w:rPr>
                <w:rFonts w:ascii="Arial" w:hAnsi="Arial" w:cs="Arial"/>
              </w:rPr>
              <w:lastRenderedPageBreak/>
              <w:t xml:space="preserve">Internexa no tiene presente una factura cancelada por la entidad. </w:t>
            </w:r>
          </w:p>
        </w:tc>
      </w:tr>
    </w:tbl>
    <w:p w14:paraId="7577E970" w14:textId="77777777" w:rsidR="008C3428" w:rsidRDefault="008C3428" w:rsidP="008C3428">
      <w:pPr>
        <w:ind w:left="-284" w:right="-234"/>
        <w:jc w:val="both"/>
        <w:rPr>
          <w:rFonts w:ascii="Arial" w:hAnsi="Arial" w:cs="Arial"/>
          <w:b/>
          <w:sz w:val="28"/>
          <w:szCs w:val="28"/>
        </w:rPr>
      </w:pPr>
    </w:p>
    <w:p w14:paraId="14436833" w14:textId="77777777" w:rsidR="008C3428" w:rsidRPr="00226E24" w:rsidRDefault="008C3428" w:rsidP="008C3428">
      <w:pPr>
        <w:ind w:left="-142"/>
        <w:jc w:val="both"/>
        <w:rPr>
          <w:rFonts w:ascii="Arial" w:hAnsi="Arial" w:cs="Arial"/>
          <w:b/>
          <w:sz w:val="28"/>
          <w:szCs w:val="28"/>
          <w:lang w:val="es-MX"/>
        </w:rPr>
      </w:pPr>
      <w:r w:rsidRPr="00226E24">
        <w:rPr>
          <w:rFonts w:ascii="Arial" w:hAnsi="Arial" w:cs="Arial"/>
          <w:b/>
          <w:sz w:val="28"/>
          <w:szCs w:val="28"/>
          <w:lang w:val="es-MX"/>
        </w:rPr>
        <w:t>318.- FONDO PARA EL FINANCIAMIENTO DEL SECTOR AGROPECUARIO – FINAGRO.</w:t>
      </w:r>
    </w:p>
    <w:p w14:paraId="79011F67" w14:textId="77777777" w:rsidR="008C3428" w:rsidRDefault="008C3428" w:rsidP="008C3428">
      <w:pPr>
        <w:ind w:left="-142" w:right="-234"/>
        <w:jc w:val="both"/>
        <w:rPr>
          <w:rFonts w:ascii="Arial" w:hAnsi="Arial" w:cs="Arial"/>
          <w:b/>
          <w:sz w:val="28"/>
          <w:szCs w:val="28"/>
          <w:lang w:val="es-MX"/>
        </w:rPr>
      </w:pPr>
    </w:p>
    <w:tbl>
      <w:tblPr>
        <w:tblStyle w:val="Tablaconcuadrcula"/>
        <w:tblW w:w="10491" w:type="dxa"/>
        <w:jc w:val="center"/>
        <w:tblLook w:val="04A0" w:firstRow="1" w:lastRow="0" w:firstColumn="1" w:lastColumn="0" w:noHBand="0" w:noVBand="1"/>
      </w:tblPr>
      <w:tblGrid>
        <w:gridCol w:w="988"/>
        <w:gridCol w:w="4116"/>
        <w:gridCol w:w="5387"/>
      </w:tblGrid>
      <w:tr w:rsidR="008C3428" w:rsidRPr="00226E24" w14:paraId="0810A5D9" w14:textId="77777777" w:rsidTr="00BD6EEF">
        <w:trPr>
          <w:jc w:val="center"/>
        </w:trPr>
        <w:tc>
          <w:tcPr>
            <w:tcW w:w="988" w:type="dxa"/>
          </w:tcPr>
          <w:p w14:paraId="3B1E9912" w14:textId="77777777" w:rsidR="008C3428" w:rsidRPr="00226E24" w:rsidRDefault="008C3428" w:rsidP="00F1223B">
            <w:pPr>
              <w:tabs>
                <w:tab w:val="left" w:pos="875"/>
              </w:tabs>
              <w:ind w:right="-50"/>
              <w:jc w:val="center"/>
              <w:rPr>
                <w:rFonts w:ascii="Arial" w:hAnsi="Arial" w:cs="Arial"/>
                <w:b/>
              </w:rPr>
            </w:pPr>
            <w:r w:rsidRPr="00226E24">
              <w:rPr>
                <w:rFonts w:ascii="Arial" w:hAnsi="Arial" w:cs="Arial"/>
                <w:b/>
              </w:rPr>
              <w:t>N°</w:t>
            </w:r>
          </w:p>
        </w:tc>
        <w:tc>
          <w:tcPr>
            <w:tcW w:w="4116" w:type="dxa"/>
          </w:tcPr>
          <w:p w14:paraId="1FE31BB0" w14:textId="77777777" w:rsidR="008C3428" w:rsidRPr="00226E24" w:rsidRDefault="008C3428" w:rsidP="00F1223B">
            <w:pPr>
              <w:tabs>
                <w:tab w:val="left" w:pos="875"/>
              </w:tabs>
              <w:ind w:right="-50"/>
              <w:jc w:val="center"/>
              <w:rPr>
                <w:rFonts w:ascii="Arial" w:hAnsi="Arial" w:cs="Arial"/>
                <w:b/>
              </w:rPr>
            </w:pPr>
            <w:r w:rsidRPr="00226E24">
              <w:rPr>
                <w:rFonts w:ascii="Arial" w:hAnsi="Arial" w:cs="Arial"/>
                <w:b/>
              </w:rPr>
              <w:t>Limitaciones del Sistema CHIP</w:t>
            </w:r>
          </w:p>
          <w:p w14:paraId="66A9E1BD" w14:textId="77777777" w:rsidR="008C3428" w:rsidRPr="00226E24" w:rsidRDefault="008C3428" w:rsidP="00F1223B">
            <w:pPr>
              <w:tabs>
                <w:tab w:val="left" w:pos="875"/>
              </w:tabs>
              <w:ind w:right="-50"/>
              <w:jc w:val="center"/>
              <w:rPr>
                <w:rFonts w:ascii="Arial" w:hAnsi="Arial" w:cs="Arial"/>
                <w:b/>
              </w:rPr>
            </w:pPr>
            <w:r w:rsidRPr="00226E24">
              <w:rPr>
                <w:rFonts w:ascii="Arial" w:hAnsi="Arial" w:cs="Arial"/>
                <w:b/>
              </w:rPr>
              <w:t xml:space="preserve"> a 31/12/2024</w:t>
            </w:r>
          </w:p>
          <w:p w14:paraId="1E45EF59" w14:textId="77777777" w:rsidR="008C3428" w:rsidRPr="00226E24" w:rsidRDefault="008C3428" w:rsidP="00F1223B">
            <w:pPr>
              <w:tabs>
                <w:tab w:val="left" w:pos="875"/>
              </w:tabs>
              <w:ind w:right="-50"/>
              <w:jc w:val="center"/>
              <w:rPr>
                <w:rFonts w:ascii="Arial" w:hAnsi="Arial" w:cs="Arial"/>
                <w:b/>
              </w:rPr>
            </w:pPr>
          </w:p>
        </w:tc>
        <w:tc>
          <w:tcPr>
            <w:tcW w:w="5387" w:type="dxa"/>
            <w:vAlign w:val="center"/>
          </w:tcPr>
          <w:p w14:paraId="7BFBDB15" w14:textId="77777777" w:rsidR="008C3428" w:rsidRPr="00226E24" w:rsidRDefault="008C3428" w:rsidP="00F1223B">
            <w:pPr>
              <w:tabs>
                <w:tab w:val="left" w:pos="875"/>
              </w:tabs>
              <w:ind w:right="-50"/>
              <w:jc w:val="center"/>
              <w:rPr>
                <w:rFonts w:ascii="Arial" w:hAnsi="Arial" w:cs="Arial"/>
                <w:b/>
              </w:rPr>
            </w:pPr>
            <w:r w:rsidRPr="00226E24">
              <w:rPr>
                <w:rFonts w:ascii="Arial" w:hAnsi="Arial" w:cs="Arial"/>
                <w:b/>
              </w:rPr>
              <w:t>Descripción de la limitación</w:t>
            </w:r>
          </w:p>
        </w:tc>
      </w:tr>
      <w:tr w:rsidR="008C3428" w:rsidRPr="00226E24" w14:paraId="417DC900" w14:textId="77777777" w:rsidTr="00BD6EEF">
        <w:trPr>
          <w:jc w:val="center"/>
        </w:trPr>
        <w:tc>
          <w:tcPr>
            <w:tcW w:w="988" w:type="dxa"/>
          </w:tcPr>
          <w:p w14:paraId="01B73AFF" w14:textId="77777777" w:rsidR="008C3428" w:rsidRPr="00226E24" w:rsidRDefault="008C3428" w:rsidP="00F1223B">
            <w:pPr>
              <w:tabs>
                <w:tab w:val="left" w:pos="875"/>
              </w:tabs>
              <w:ind w:right="-50"/>
              <w:jc w:val="center"/>
              <w:rPr>
                <w:rFonts w:ascii="Arial" w:hAnsi="Arial" w:cs="Arial"/>
                <w:b/>
                <w:bCs/>
              </w:rPr>
            </w:pPr>
            <w:r w:rsidRPr="00226E24">
              <w:rPr>
                <w:rFonts w:ascii="Arial" w:hAnsi="Arial" w:cs="Arial"/>
                <w:b/>
                <w:bCs/>
              </w:rPr>
              <w:t>1</w:t>
            </w:r>
          </w:p>
        </w:tc>
        <w:tc>
          <w:tcPr>
            <w:tcW w:w="4116" w:type="dxa"/>
          </w:tcPr>
          <w:p w14:paraId="6D5EEED9" w14:textId="77777777" w:rsidR="008C3428" w:rsidRPr="00226E24" w:rsidRDefault="008C3428" w:rsidP="00F1223B">
            <w:pPr>
              <w:tabs>
                <w:tab w:val="left" w:pos="875"/>
              </w:tabs>
              <w:ind w:right="-50"/>
              <w:jc w:val="both"/>
              <w:rPr>
                <w:rFonts w:ascii="Arial" w:hAnsi="Arial" w:cs="Arial"/>
                <w:b/>
                <w:bCs/>
              </w:rPr>
            </w:pPr>
            <w:r w:rsidRPr="00226E24">
              <w:rPr>
                <w:rFonts w:ascii="Arial" w:hAnsi="Arial" w:cs="Arial"/>
                <w:b/>
                <w:bCs/>
              </w:rPr>
              <w:t>Técnicas:</w:t>
            </w:r>
          </w:p>
        </w:tc>
        <w:tc>
          <w:tcPr>
            <w:tcW w:w="5387" w:type="dxa"/>
          </w:tcPr>
          <w:p w14:paraId="6DFDED19" w14:textId="77777777" w:rsidR="008C3428" w:rsidRPr="00226E24" w:rsidRDefault="008C3428" w:rsidP="00F1223B">
            <w:pPr>
              <w:tabs>
                <w:tab w:val="left" w:pos="875"/>
              </w:tabs>
              <w:ind w:right="-50"/>
              <w:jc w:val="both"/>
              <w:rPr>
                <w:rFonts w:ascii="Arial" w:hAnsi="Arial" w:cs="Arial"/>
              </w:rPr>
            </w:pPr>
            <w:r w:rsidRPr="00226E24">
              <w:rPr>
                <w:rFonts w:ascii="Arial" w:hAnsi="Arial" w:cs="Arial"/>
              </w:rPr>
              <w:t>Se generan dificultades al momento del cargue del archivo de las variaciones, ya que no existen las especificaciones técnicas adecuadas, lo que limita el cargue de algunos caracteres.</w:t>
            </w:r>
          </w:p>
        </w:tc>
      </w:tr>
    </w:tbl>
    <w:p w14:paraId="1194D4A7" w14:textId="77777777" w:rsidR="008C3428" w:rsidRDefault="008C3428" w:rsidP="008C3428">
      <w:pPr>
        <w:ind w:left="-142" w:right="-234"/>
        <w:jc w:val="both"/>
        <w:rPr>
          <w:rFonts w:ascii="Arial" w:hAnsi="Arial" w:cs="Arial"/>
          <w:b/>
          <w:sz w:val="28"/>
          <w:szCs w:val="28"/>
        </w:rPr>
      </w:pPr>
    </w:p>
    <w:p w14:paraId="15AEC15E" w14:textId="610BDCE6" w:rsidR="008C3428" w:rsidRDefault="008C3428" w:rsidP="008C3428">
      <w:pPr>
        <w:ind w:left="-142"/>
        <w:jc w:val="both"/>
        <w:rPr>
          <w:rFonts w:ascii="Arial" w:hAnsi="Arial" w:cs="Arial"/>
          <w:b/>
          <w:sz w:val="28"/>
          <w:szCs w:val="28"/>
          <w:lang w:val="es-MX"/>
        </w:rPr>
      </w:pPr>
      <w:r w:rsidRPr="005C0003">
        <w:rPr>
          <w:rFonts w:ascii="Arial" w:hAnsi="Arial" w:cs="Arial"/>
          <w:b/>
          <w:sz w:val="28"/>
          <w:szCs w:val="28"/>
          <w:lang w:val="es-MX"/>
        </w:rPr>
        <w:t>326.- SERVICIOS INTEGRALES DEL ESTADO COLOMBIANO SIEC SAS SOCIEDAD DE ECONOMÍA MIXTA.</w:t>
      </w:r>
    </w:p>
    <w:p w14:paraId="1F2642B7" w14:textId="77777777" w:rsidR="00D66458" w:rsidRPr="005C0003" w:rsidRDefault="00D66458" w:rsidP="008C3428">
      <w:pPr>
        <w:ind w:left="-142"/>
        <w:jc w:val="both"/>
        <w:rPr>
          <w:rFonts w:ascii="Arial" w:hAnsi="Arial" w:cs="Arial"/>
          <w:b/>
          <w:sz w:val="28"/>
          <w:szCs w:val="28"/>
          <w:lang w:val="es-MX"/>
        </w:rPr>
      </w:pPr>
    </w:p>
    <w:tbl>
      <w:tblPr>
        <w:tblStyle w:val="Tablaconcuadrcula"/>
        <w:tblW w:w="10217" w:type="dxa"/>
        <w:jc w:val="center"/>
        <w:tblLook w:val="04A0" w:firstRow="1" w:lastRow="0" w:firstColumn="1" w:lastColumn="0" w:noHBand="0" w:noVBand="1"/>
      </w:tblPr>
      <w:tblGrid>
        <w:gridCol w:w="993"/>
        <w:gridCol w:w="3827"/>
        <w:gridCol w:w="5397"/>
      </w:tblGrid>
      <w:tr w:rsidR="008C3428" w:rsidRPr="005C0003" w14:paraId="2C618D57" w14:textId="77777777" w:rsidTr="00BD6EEF">
        <w:trPr>
          <w:jc w:val="center"/>
        </w:trPr>
        <w:tc>
          <w:tcPr>
            <w:tcW w:w="993" w:type="dxa"/>
          </w:tcPr>
          <w:p w14:paraId="7AD7F238" w14:textId="77777777" w:rsidR="008C3428" w:rsidRPr="005C0003" w:rsidRDefault="008C3428" w:rsidP="00F1223B">
            <w:pPr>
              <w:tabs>
                <w:tab w:val="left" w:pos="875"/>
              </w:tabs>
              <w:ind w:right="-50"/>
              <w:jc w:val="center"/>
              <w:rPr>
                <w:rFonts w:ascii="Arial" w:hAnsi="Arial" w:cs="Arial"/>
                <w:b/>
              </w:rPr>
            </w:pPr>
            <w:r w:rsidRPr="005C0003">
              <w:rPr>
                <w:rFonts w:ascii="Arial" w:hAnsi="Arial" w:cs="Arial"/>
                <w:b/>
              </w:rPr>
              <w:t>N°</w:t>
            </w:r>
          </w:p>
        </w:tc>
        <w:tc>
          <w:tcPr>
            <w:tcW w:w="3827" w:type="dxa"/>
          </w:tcPr>
          <w:p w14:paraId="4974530B" w14:textId="77777777" w:rsidR="008C3428" w:rsidRPr="005C0003" w:rsidRDefault="008C3428" w:rsidP="00F1223B">
            <w:pPr>
              <w:tabs>
                <w:tab w:val="left" w:pos="875"/>
              </w:tabs>
              <w:ind w:right="-50"/>
              <w:jc w:val="center"/>
              <w:rPr>
                <w:rFonts w:ascii="Arial" w:hAnsi="Arial" w:cs="Arial"/>
                <w:b/>
              </w:rPr>
            </w:pPr>
            <w:r w:rsidRPr="005C0003">
              <w:rPr>
                <w:rFonts w:ascii="Arial" w:hAnsi="Arial" w:cs="Arial"/>
                <w:b/>
              </w:rPr>
              <w:t>Limitaciones del Sistema CHIP</w:t>
            </w:r>
          </w:p>
          <w:p w14:paraId="0EA29ADA" w14:textId="77777777" w:rsidR="008C3428" w:rsidRPr="005C0003" w:rsidRDefault="008C3428" w:rsidP="00F1223B">
            <w:pPr>
              <w:tabs>
                <w:tab w:val="left" w:pos="875"/>
              </w:tabs>
              <w:ind w:right="-50"/>
              <w:jc w:val="center"/>
              <w:rPr>
                <w:rFonts w:ascii="Arial" w:hAnsi="Arial" w:cs="Arial"/>
                <w:b/>
              </w:rPr>
            </w:pPr>
            <w:r w:rsidRPr="005C0003">
              <w:rPr>
                <w:rFonts w:ascii="Arial" w:hAnsi="Arial" w:cs="Arial"/>
                <w:b/>
              </w:rPr>
              <w:t xml:space="preserve"> a 31/12/2023</w:t>
            </w:r>
          </w:p>
          <w:p w14:paraId="0F1B461C" w14:textId="77777777" w:rsidR="008C3428" w:rsidRPr="005C0003" w:rsidRDefault="008C3428" w:rsidP="00F1223B">
            <w:pPr>
              <w:tabs>
                <w:tab w:val="left" w:pos="875"/>
              </w:tabs>
              <w:ind w:right="-50"/>
              <w:jc w:val="center"/>
              <w:rPr>
                <w:rFonts w:ascii="Arial" w:hAnsi="Arial" w:cs="Arial"/>
                <w:b/>
              </w:rPr>
            </w:pPr>
          </w:p>
        </w:tc>
        <w:tc>
          <w:tcPr>
            <w:tcW w:w="5397" w:type="dxa"/>
            <w:vAlign w:val="center"/>
          </w:tcPr>
          <w:p w14:paraId="245D5A65" w14:textId="77777777" w:rsidR="008C3428" w:rsidRPr="005C0003" w:rsidRDefault="008C3428" w:rsidP="00F1223B">
            <w:pPr>
              <w:tabs>
                <w:tab w:val="left" w:pos="875"/>
              </w:tabs>
              <w:ind w:right="-50"/>
              <w:jc w:val="center"/>
              <w:rPr>
                <w:rFonts w:ascii="Arial" w:hAnsi="Arial" w:cs="Arial"/>
                <w:b/>
              </w:rPr>
            </w:pPr>
            <w:r w:rsidRPr="005C0003">
              <w:rPr>
                <w:rFonts w:ascii="Arial" w:hAnsi="Arial" w:cs="Arial"/>
                <w:b/>
              </w:rPr>
              <w:t>Descripción de la limitación</w:t>
            </w:r>
          </w:p>
        </w:tc>
      </w:tr>
      <w:tr w:rsidR="008C3428" w:rsidRPr="005C0003" w14:paraId="05F7D345" w14:textId="77777777" w:rsidTr="00BD6EEF">
        <w:trPr>
          <w:jc w:val="center"/>
        </w:trPr>
        <w:tc>
          <w:tcPr>
            <w:tcW w:w="993" w:type="dxa"/>
          </w:tcPr>
          <w:p w14:paraId="3578025F" w14:textId="77777777" w:rsidR="008C3428" w:rsidRPr="005C0003" w:rsidRDefault="008C3428" w:rsidP="00F1223B">
            <w:pPr>
              <w:tabs>
                <w:tab w:val="left" w:pos="875"/>
              </w:tabs>
              <w:ind w:right="-50"/>
              <w:jc w:val="center"/>
              <w:rPr>
                <w:rFonts w:ascii="Arial" w:hAnsi="Arial" w:cs="Arial"/>
                <w:b/>
                <w:bCs/>
              </w:rPr>
            </w:pPr>
            <w:r w:rsidRPr="005C0003">
              <w:rPr>
                <w:rFonts w:ascii="Arial" w:hAnsi="Arial" w:cs="Arial"/>
                <w:b/>
                <w:bCs/>
              </w:rPr>
              <w:t>1</w:t>
            </w:r>
          </w:p>
        </w:tc>
        <w:tc>
          <w:tcPr>
            <w:tcW w:w="3827" w:type="dxa"/>
          </w:tcPr>
          <w:p w14:paraId="57FFC017" w14:textId="77777777" w:rsidR="008C3428" w:rsidRPr="005C0003" w:rsidRDefault="008C3428" w:rsidP="00F1223B">
            <w:pPr>
              <w:tabs>
                <w:tab w:val="left" w:pos="875"/>
              </w:tabs>
              <w:ind w:right="-50"/>
              <w:jc w:val="both"/>
              <w:rPr>
                <w:rFonts w:ascii="Arial" w:hAnsi="Arial" w:cs="Arial"/>
                <w:b/>
                <w:bCs/>
              </w:rPr>
            </w:pPr>
            <w:r w:rsidRPr="005C0003">
              <w:rPr>
                <w:rFonts w:ascii="Arial" w:hAnsi="Arial" w:cs="Arial"/>
                <w:b/>
                <w:bCs/>
              </w:rPr>
              <w:t>Operativas:</w:t>
            </w:r>
          </w:p>
        </w:tc>
        <w:tc>
          <w:tcPr>
            <w:tcW w:w="5397" w:type="dxa"/>
          </w:tcPr>
          <w:p w14:paraId="09791A6F" w14:textId="77777777" w:rsidR="008C3428" w:rsidRPr="005C0003" w:rsidRDefault="008C3428" w:rsidP="00F1223B">
            <w:pPr>
              <w:tabs>
                <w:tab w:val="left" w:pos="875"/>
              </w:tabs>
              <w:ind w:right="-50"/>
              <w:jc w:val="both"/>
              <w:rPr>
                <w:rFonts w:ascii="Arial" w:hAnsi="Arial" w:cs="Arial"/>
              </w:rPr>
            </w:pPr>
            <w:r w:rsidRPr="005C0003">
              <w:rPr>
                <w:rFonts w:ascii="Arial" w:hAnsi="Arial" w:cs="Arial"/>
              </w:rPr>
              <w:t>Al momento del cargue de la información la plataforma presentó caída de la página, lo cual generó retrasos en la presentación de la información.</w:t>
            </w:r>
          </w:p>
        </w:tc>
      </w:tr>
      <w:tr w:rsidR="008C3428" w:rsidRPr="005C0003" w14:paraId="3F429F98" w14:textId="77777777" w:rsidTr="00BD6EEF">
        <w:trPr>
          <w:jc w:val="center"/>
        </w:trPr>
        <w:tc>
          <w:tcPr>
            <w:tcW w:w="993" w:type="dxa"/>
          </w:tcPr>
          <w:p w14:paraId="0F70A15C" w14:textId="77777777" w:rsidR="008C3428" w:rsidRPr="005C0003" w:rsidRDefault="008C3428" w:rsidP="00F1223B">
            <w:pPr>
              <w:tabs>
                <w:tab w:val="left" w:pos="875"/>
              </w:tabs>
              <w:ind w:right="-50"/>
              <w:jc w:val="center"/>
              <w:rPr>
                <w:rFonts w:ascii="Arial" w:hAnsi="Arial" w:cs="Arial"/>
                <w:b/>
                <w:bCs/>
              </w:rPr>
            </w:pPr>
            <w:r w:rsidRPr="005C0003">
              <w:rPr>
                <w:rFonts w:ascii="Arial" w:hAnsi="Arial" w:cs="Arial"/>
                <w:b/>
                <w:bCs/>
              </w:rPr>
              <w:t>2</w:t>
            </w:r>
          </w:p>
        </w:tc>
        <w:tc>
          <w:tcPr>
            <w:tcW w:w="3827" w:type="dxa"/>
          </w:tcPr>
          <w:p w14:paraId="6EEB0F1A" w14:textId="77777777" w:rsidR="008C3428" w:rsidRPr="005C0003" w:rsidRDefault="008C3428" w:rsidP="00F1223B">
            <w:pPr>
              <w:tabs>
                <w:tab w:val="left" w:pos="875"/>
              </w:tabs>
              <w:ind w:right="-50"/>
              <w:jc w:val="both"/>
              <w:rPr>
                <w:rFonts w:ascii="Arial" w:hAnsi="Arial" w:cs="Arial"/>
                <w:b/>
                <w:bCs/>
              </w:rPr>
            </w:pPr>
            <w:r w:rsidRPr="005C0003">
              <w:rPr>
                <w:rFonts w:ascii="Arial" w:hAnsi="Arial" w:cs="Arial"/>
                <w:b/>
                <w:bCs/>
              </w:rPr>
              <w:t>Soporte a la plataforma:</w:t>
            </w:r>
          </w:p>
        </w:tc>
        <w:tc>
          <w:tcPr>
            <w:tcW w:w="5397" w:type="dxa"/>
          </w:tcPr>
          <w:p w14:paraId="4AAF39A1" w14:textId="77777777" w:rsidR="008C3428" w:rsidRPr="005C0003" w:rsidRDefault="008C3428" w:rsidP="00F1223B">
            <w:pPr>
              <w:tabs>
                <w:tab w:val="left" w:pos="875"/>
              </w:tabs>
              <w:ind w:right="-50"/>
              <w:jc w:val="both"/>
              <w:rPr>
                <w:rFonts w:ascii="Arial" w:hAnsi="Arial" w:cs="Arial"/>
              </w:rPr>
            </w:pPr>
            <w:r w:rsidRPr="005C0003">
              <w:rPr>
                <w:rFonts w:ascii="Arial" w:hAnsi="Arial" w:cs="Arial"/>
              </w:rPr>
              <w:t>Se obtuvo respuesta por el área de soporte de la plataforma después de cinco horas.</w:t>
            </w:r>
          </w:p>
        </w:tc>
      </w:tr>
    </w:tbl>
    <w:p w14:paraId="79F15658" w14:textId="77777777" w:rsidR="008C3428" w:rsidRDefault="008C3428" w:rsidP="008C3428">
      <w:pPr>
        <w:ind w:left="-142" w:right="-234"/>
        <w:jc w:val="both"/>
        <w:rPr>
          <w:rFonts w:ascii="Arial" w:hAnsi="Arial" w:cs="Arial"/>
          <w:b/>
          <w:sz w:val="28"/>
          <w:szCs w:val="28"/>
        </w:rPr>
      </w:pPr>
    </w:p>
    <w:p w14:paraId="3A8A5CCA" w14:textId="77777777" w:rsidR="008C3428" w:rsidRPr="000C5044" w:rsidRDefault="008C3428" w:rsidP="008C3428">
      <w:pPr>
        <w:ind w:left="-142"/>
        <w:jc w:val="both"/>
        <w:rPr>
          <w:rFonts w:ascii="Arial" w:hAnsi="Arial" w:cs="Arial"/>
          <w:b/>
          <w:sz w:val="28"/>
          <w:szCs w:val="28"/>
          <w:lang w:val="es-MX"/>
        </w:rPr>
      </w:pPr>
      <w:r w:rsidRPr="000C5044">
        <w:rPr>
          <w:rFonts w:ascii="Arial" w:hAnsi="Arial" w:cs="Arial"/>
          <w:b/>
          <w:sz w:val="28"/>
          <w:szCs w:val="28"/>
          <w:lang w:val="es-MX"/>
        </w:rPr>
        <w:t>328.- CORPORACIÓN PÚBLICA LATINOAMERICANA DE CIENCIA, TECNOLOGÍA E INNOVACIÓN – KLUSTER LATAM.</w:t>
      </w:r>
    </w:p>
    <w:p w14:paraId="69167DBC" w14:textId="77777777" w:rsidR="008C3428" w:rsidRPr="000C5044" w:rsidRDefault="008C3428" w:rsidP="008C3428">
      <w:pPr>
        <w:pStyle w:val="Textoindependiente"/>
        <w:ind w:right="-50"/>
        <w:jc w:val="both"/>
        <w:rPr>
          <w:rFonts w:ascii="Arial" w:hAnsi="Arial" w:cs="Arial"/>
          <w:b/>
          <w:sz w:val="28"/>
          <w:szCs w:val="28"/>
        </w:rPr>
      </w:pPr>
    </w:p>
    <w:tbl>
      <w:tblPr>
        <w:tblStyle w:val="Tablaconcuadrcula"/>
        <w:tblW w:w="10060" w:type="dxa"/>
        <w:jc w:val="center"/>
        <w:tblLook w:val="04A0" w:firstRow="1" w:lastRow="0" w:firstColumn="1" w:lastColumn="0" w:noHBand="0" w:noVBand="1"/>
      </w:tblPr>
      <w:tblGrid>
        <w:gridCol w:w="846"/>
        <w:gridCol w:w="3827"/>
        <w:gridCol w:w="5387"/>
      </w:tblGrid>
      <w:tr w:rsidR="008C3428" w:rsidRPr="000C5044" w14:paraId="762AD502" w14:textId="77777777" w:rsidTr="008C3428">
        <w:trPr>
          <w:jc w:val="center"/>
        </w:trPr>
        <w:tc>
          <w:tcPr>
            <w:tcW w:w="846" w:type="dxa"/>
          </w:tcPr>
          <w:p w14:paraId="1EE272A9" w14:textId="77777777" w:rsidR="008C3428" w:rsidRPr="000C5044" w:rsidRDefault="008C3428" w:rsidP="00F1223B">
            <w:pPr>
              <w:tabs>
                <w:tab w:val="left" w:pos="875"/>
              </w:tabs>
              <w:ind w:right="-50"/>
              <w:jc w:val="center"/>
              <w:rPr>
                <w:rFonts w:ascii="Arial" w:hAnsi="Arial" w:cs="Arial"/>
                <w:b/>
              </w:rPr>
            </w:pPr>
            <w:r w:rsidRPr="000C5044">
              <w:rPr>
                <w:rFonts w:ascii="Arial" w:hAnsi="Arial" w:cs="Arial"/>
                <w:b/>
              </w:rPr>
              <w:t>N°</w:t>
            </w:r>
          </w:p>
        </w:tc>
        <w:tc>
          <w:tcPr>
            <w:tcW w:w="3827" w:type="dxa"/>
          </w:tcPr>
          <w:p w14:paraId="70557D4E" w14:textId="77777777" w:rsidR="008C3428" w:rsidRPr="000C5044" w:rsidRDefault="008C3428" w:rsidP="00F1223B">
            <w:pPr>
              <w:tabs>
                <w:tab w:val="left" w:pos="875"/>
              </w:tabs>
              <w:ind w:right="-50"/>
              <w:jc w:val="center"/>
              <w:rPr>
                <w:rFonts w:ascii="Arial" w:hAnsi="Arial" w:cs="Arial"/>
                <w:b/>
              </w:rPr>
            </w:pPr>
            <w:r w:rsidRPr="000C5044">
              <w:rPr>
                <w:rFonts w:ascii="Arial" w:hAnsi="Arial" w:cs="Arial"/>
                <w:b/>
              </w:rPr>
              <w:t>Limitaciones del Sistema CHIP</w:t>
            </w:r>
          </w:p>
          <w:p w14:paraId="1AB51738" w14:textId="77777777" w:rsidR="008C3428" w:rsidRPr="000C5044" w:rsidRDefault="008C3428" w:rsidP="00F1223B">
            <w:pPr>
              <w:tabs>
                <w:tab w:val="left" w:pos="875"/>
              </w:tabs>
              <w:ind w:right="-50"/>
              <w:jc w:val="center"/>
              <w:rPr>
                <w:rFonts w:ascii="Arial" w:hAnsi="Arial" w:cs="Arial"/>
                <w:b/>
              </w:rPr>
            </w:pPr>
            <w:r w:rsidRPr="000C5044">
              <w:rPr>
                <w:rFonts w:ascii="Arial" w:hAnsi="Arial" w:cs="Arial"/>
                <w:b/>
              </w:rPr>
              <w:t xml:space="preserve"> a 31/12/2024</w:t>
            </w:r>
          </w:p>
          <w:p w14:paraId="304878D1" w14:textId="77777777" w:rsidR="008C3428" w:rsidRPr="000C5044" w:rsidRDefault="008C3428" w:rsidP="00F1223B">
            <w:pPr>
              <w:tabs>
                <w:tab w:val="left" w:pos="875"/>
              </w:tabs>
              <w:ind w:right="-50"/>
              <w:jc w:val="center"/>
              <w:rPr>
                <w:rFonts w:ascii="Arial" w:hAnsi="Arial" w:cs="Arial"/>
                <w:b/>
              </w:rPr>
            </w:pPr>
          </w:p>
        </w:tc>
        <w:tc>
          <w:tcPr>
            <w:tcW w:w="5387" w:type="dxa"/>
            <w:vAlign w:val="center"/>
          </w:tcPr>
          <w:p w14:paraId="674FA99D" w14:textId="77777777" w:rsidR="008C3428" w:rsidRPr="000C5044" w:rsidRDefault="008C3428" w:rsidP="00F1223B">
            <w:pPr>
              <w:tabs>
                <w:tab w:val="left" w:pos="875"/>
              </w:tabs>
              <w:ind w:right="-50"/>
              <w:jc w:val="center"/>
              <w:rPr>
                <w:rFonts w:ascii="Arial" w:hAnsi="Arial" w:cs="Arial"/>
                <w:b/>
              </w:rPr>
            </w:pPr>
            <w:r w:rsidRPr="000C5044">
              <w:rPr>
                <w:rFonts w:ascii="Arial" w:hAnsi="Arial" w:cs="Arial"/>
                <w:b/>
              </w:rPr>
              <w:t>Descripción de la limitación</w:t>
            </w:r>
          </w:p>
        </w:tc>
      </w:tr>
      <w:tr w:rsidR="008C3428" w:rsidRPr="000C5044" w14:paraId="35C6EB1C" w14:textId="77777777" w:rsidTr="008C3428">
        <w:trPr>
          <w:jc w:val="center"/>
        </w:trPr>
        <w:tc>
          <w:tcPr>
            <w:tcW w:w="846" w:type="dxa"/>
          </w:tcPr>
          <w:p w14:paraId="643A99EC" w14:textId="77777777" w:rsidR="008C3428" w:rsidRPr="000C5044" w:rsidRDefault="008C3428" w:rsidP="00F1223B">
            <w:pPr>
              <w:tabs>
                <w:tab w:val="left" w:pos="875"/>
              </w:tabs>
              <w:ind w:right="-50"/>
              <w:jc w:val="center"/>
              <w:rPr>
                <w:rFonts w:ascii="Arial" w:hAnsi="Arial" w:cs="Arial"/>
                <w:b/>
                <w:bCs/>
              </w:rPr>
            </w:pPr>
            <w:r w:rsidRPr="000C5044">
              <w:rPr>
                <w:rFonts w:ascii="Arial" w:hAnsi="Arial" w:cs="Arial"/>
                <w:b/>
                <w:bCs/>
              </w:rPr>
              <w:t>1</w:t>
            </w:r>
          </w:p>
        </w:tc>
        <w:tc>
          <w:tcPr>
            <w:tcW w:w="3827" w:type="dxa"/>
          </w:tcPr>
          <w:p w14:paraId="372FD7AA" w14:textId="77777777" w:rsidR="008C3428" w:rsidRPr="000C5044" w:rsidRDefault="008C3428" w:rsidP="00F1223B">
            <w:pPr>
              <w:tabs>
                <w:tab w:val="left" w:pos="875"/>
              </w:tabs>
              <w:ind w:right="-50"/>
              <w:jc w:val="both"/>
              <w:rPr>
                <w:rFonts w:ascii="Arial" w:hAnsi="Arial" w:cs="Arial"/>
                <w:b/>
                <w:bCs/>
              </w:rPr>
            </w:pPr>
            <w:r w:rsidRPr="000C5044">
              <w:rPr>
                <w:rFonts w:ascii="Arial" w:hAnsi="Arial" w:cs="Arial"/>
                <w:b/>
                <w:bCs/>
              </w:rPr>
              <w:t>Técnicas:</w:t>
            </w:r>
          </w:p>
        </w:tc>
        <w:tc>
          <w:tcPr>
            <w:tcW w:w="5387" w:type="dxa"/>
          </w:tcPr>
          <w:p w14:paraId="417161EF" w14:textId="77777777" w:rsidR="008C3428" w:rsidRPr="000C5044" w:rsidRDefault="008C3428" w:rsidP="00F1223B">
            <w:pPr>
              <w:tabs>
                <w:tab w:val="left" w:pos="875"/>
              </w:tabs>
              <w:ind w:right="-50"/>
              <w:jc w:val="both"/>
              <w:rPr>
                <w:rFonts w:ascii="Arial" w:hAnsi="Arial" w:cs="Arial"/>
              </w:rPr>
            </w:pPr>
            <w:r w:rsidRPr="000C5044">
              <w:rPr>
                <w:rFonts w:ascii="Arial" w:hAnsi="Arial" w:cs="Arial"/>
              </w:rPr>
              <w:t>Dificultad para actualizar el sistema, se debe volver a instalar porque no actualiza. Se tuvo que instalar en tres ocasiones el aplicativo CHIP.</w:t>
            </w:r>
          </w:p>
        </w:tc>
      </w:tr>
      <w:tr w:rsidR="008C3428" w:rsidRPr="000C5044" w14:paraId="7A138975" w14:textId="77777777" w:rsidTr="008C3428">
        <w:trPr>
          <w:jc w:val="center"/>
        </w:trPr>
        <w:tc>
          <w:tcPr>
            <w:tcW w:w="846" w:type="dxa"/>
          </w:tcPr>
          <w:p w14:paraId="2B36707B" w14:textId="77777777" w:rsidR="008C3428" w:rsidRPr="000C5044" w:rsidRDefault="008C3428" w:rsidP="00F1223B">
            <w:pPr>
              <w:tabs>
                <w:tab w:val="left" w:pos="875"/>
              </w:tabs>
              <w:ind w:right="-50"/>
              <w:jc w:val="center"/>
              <w:rPr>
                <w:rFonts w:ascii="Arial" w:hAnsi="Arial" w:cs="Arial"/>
                <w:b/>
                <w:bCs/>
              </w:rPr>
            </w:pPr>
            <w:r w:rsidRPr="000C5044">
              <w:rPr>
                <w:rFonts w:ascii="Arial" w:hAnsi="Arial" w:cs="Arial"/>
                <w:b/>
                <w:bCs/>
              </w:rPr>
              <w:t>2</w:t>
            </w:r>
          </w:p>
        </w:tc>
        <w:tc>
          <w:tcPr>
            <w:tcW w:w="3827" w:type="dxa"/>
          </w:tcPr>
          <w:p w14:paraId="6285FA52" w14:textId="77777777" w:rsidR="008C3428" w:rsidRPr="000C5044" w:rsidRDefault="008C3428" w:rsidP="00F1223B">
            <w:pPr>
              <w:tabs>
                <w:tab w:val="left" w:pos="875"/>
              </w:tabs>
              <w:ind w:right="-50"/>
              <w:jc w:val="both"/>
              <w:rPr>
                <w:rFonts w:ascii="Arial" w:hAnsi="Arial" w:cs="Arial"/>
                <w:b/>
                <w:bCs/>
              </w:rPr>
            </w:pPr>
            <w:r w:rsidRPr="000C5044">
              <w:rPr>
                <w:rFonts w:ascii="Arial" w:hAnsi="Arial" w:cs="Arial"/>
                <w:b/>
                <w:bCs/>
              </w:rPr>
              <w:t>Operativas:</w:t>
            </w:r>
          </w:p>
        </w:tc>
        <w:tc>
          <w:tcPr>
            <w:tcW w:w="5387" w:type="dxa"/>
          </w:tcPr>
          <w:p w14:paraId="48E0FB3F" w14:textId="77777777" w:rsidR="008C3428" w:rsidRPr="000C5044" w:rsidRDefault="008C3428" w:rsidP="00F1223B">
            <w:pPr>
              <w:tabs>
                <w:tab w:val="left" w:pos="875"/>
              </w:tabs>
              <w:ind w:right="-50"/>
              <w:jc w:val="both"/>
              <w:rPr>
                <w:rFonts w:ascii="Arial" w:hAnsi="Arial" w:cs="Arial"/>
              </w:rPr>
            </w:pPr>
            <w:r w:rsidRPr="000C5044">
              <w:rPr>
                <w:rFonts w:ascii="Arial" w:hAnsi="Arial" w:cs="Arial"/>
              </w:rPr>
              <w:t>Tarda más de 30 minutos, en dar información de error después de cargar los formularios. Es muy lento.</w:t>
            </w:r>
          </w:p>
        </w:tc>
      </w:tr>
    </w:tbl>
    <w:p w14:paraId="5A8D4B15" w14:textId="77777777" w:rsidR="008C3428" w:rsidRDefault="008C3428" w:rsidP="008C3428">
      <w:pPr>
        <w:ind w:left="-142" w:right="-234"/>
        <w:jc w:val="both"/>
        <w:rPr>
          <w:rFonts w:ascii="Arial" w:hAnsi="Arial" w:cs="Arial"/>
          <w:b/>
          <w:sz w:val="28"/>
          <w:szCs w:val="28"/>
        </w:rPr>
      </w:pPr>
    </w:p>
    <w:p w14:paraId="79864EF3" w14:textId="77777777" w:rsidR="008C3428" w:rsidRPr="000A42AE" w:rsidRDefault="008C3428" w:rsidP="008C3428">
      <w:pPr>
        <w:ind w:left="-142"/>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308FB6D1" w14:textId="77777777" w:rsidR="008C3428" w:rsidRDefault="008C3428" w:rsidP="008C3428">
      <w:pPr>
        <w:ind w:left="-142" w:right="-234"/>
        <w:jc w:val="both"/>
        <w:rPr>
          <w:rFonts w:ascii="Arial" w:hAnsi="Arial" w:cs="Arial"/>
          <w:b/>
          <w:sz w:val="28"/>
          <w:szCs w:val="28"/>
        </w:rPr>
      </w:pPr>
    </w:p>
    <w:tbl>
      <w:tblPr>
        <w:tblStyle w:val="Tablaconcuadrcula"/>
        <w:tblW w:w="10178" w:type="dxa"/>
        <w:jc w:val="center"/>
        <w:tblLook w:val="04A0" w:firstRow="1" w:lastRow="0" w:firstColumn="1" w:lastColumn="0" w:noHBand="0" w:noVBand="1"/>
      </w:tblPr>
      <w:tblGrid>
        <w:gridCol w:w="846"/>
        <w:gridCol w:w="3969"/>
        <w:gridCol w:w="5363"/>
      </w:tblGrid>
      <w:tr w:rsidR="008C3428" w:rsidRPr="00F93D7B" w14:paraId="457F7625" w14:textId="77777777" w:rsidTr="008C3428">
        <w:trPr>
          <w:jc w:val="center"/>
        </w:trPr>
        <w:tc>
          <w:tcPr>
            <w:tcW w:w="846" w:type="dxa"/>
          </w:tcPr>
          <w:p w14:paraId="14653131"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N°</w:t>
            </w:r>
          </w:p>
        </w:tc>
        <w:tc>
          <w:tcPr>
            <w:tcW w:w="3969" w:type="dxa"/>
          </w:tcPr>
          <w:p w14:paraId="091CE04C"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Limitaciones del Sistema CHIP</w:t>
            </w:r>
          </w:p>
          <w:p w14:paraId="33D57FA1"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 xml:space="preserve"> a 31/12/202</w:t>
            </w:r>
            <w:r>
              <w:rPr>
                <w:rFonts w:ascii="Arial" w:hAnsi="Arial" w:cs="Arial"/>
                <w:b/>
              </w:rPr>
              <w:t>4</w:t>
            </w:r>
          </w:p>
          <w:p w14:paraId="208E09EC" w14:textId="77777777" w:rsidR="008C3428" w:rsidRPr="00F93D7B" w:rsidRDefault="008C3428" w:rsidP="00F1223B">
            <w:pPr>
              <w:tabs>
                <w:tab w:val="left" w:pos="875"/>
              </w:tabs>
              <w:ind w:right="-50"/>
              <w:jc w:val="center"/>
              <w:rPr>
                <w:rFonts w:ascii="Arial" w:hAnsi="Arial" w:cs="Arial"/>
                <w:b/>
              </w:rPr>
            </w:pPr>
          </w:p>
        </w:tc>
        <w:tc>
          <w:tcPr>
            <w:tcW w:w="5363" w:type="dxa"/>
            <w:vAlign w:val="center"/>
          </w:tcPr>
          <w:p w14:paraId="041F72B0"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Descripción de la limitación</w:t>
            </w:r>
          </w:p>
        </w:tc>
      </w:tr>
      <w:tr w:rsidR="008C3428" w:rsidRPr="00F93D7B" w14:paraId="782DBD71" w14:textId="77777777" w:rsidTr="008C3428">
        <w:trPr>
          <w:jc w:val="center"/>
        </w:trPr>
        <w:tc>
          <w:tcPr>
            <w:tcW w:w="846" w:type="dxa"/>
          </w:tcPr>
          <w:p w14:paraId="45E449B9" w14:textId="77777777" w:rsidR="008C3428" w:rsidRPr="00F93D7B" w:rsidRDefault="008C3428" w:rsidP="00F1223B">
            <w:pPr>
              <w:tabs>
                <w:tab w:val="left" w:pos="875"/>
              </w:tabs>
              <w:ind w:right="-50"/>
              <w:jc w:val="center"/>
              <w:rPr>
                <w:rFonts w:ascii="Arial" w:hAnsi="Arial" w:cs="Arial"/>
                <w:bCs/>
              </w:rPr>
            </w:pPr>
            <w:r>
              <w:rPr>
                <w:rFonts w:ascii="Arial" w:hAnsi="Arial" w:cs="Arial"/>
                <w:bCs/>
              </w:rPr>
              <w:t>1</w:t>
            </w:r>
          </w:p>
        </w:tc>
        <w:tc>
          <w:tcPr>
            <w:tcW w:w="3969" w:type="dxa"/>
          </w:tcPr>
          <w:p w14:paraId="61ED27B4" w14:textId="77777777" w:rsidR="008C3428" w:rsidRPr="00F93D7B" w:rsidRDefault="008C3428" w:rsidP="00F1223B">
            <w:pPr>
              <w:tabs>
                <w:tab w:val="left" w:pos="875"/>
              </w:tabs>
              <w:ind w:right="-50"/>
              <w:jc w:val="both"/>
              <w:rPr>
                <w:rFonts w:ascii="Arial" w:hAnsi="Arial" w:cs="Arial"/>
                <w:bCs/>
              </w:rPr>
            </w:pPr>
            <w:r w:rsidRPr="00F93D7B">
              <w:rPr>
                <w:rFonts w:ascii="Arial" w:hAnsi="Arial" w:cs="Arial"/>
                <w:bCs/>
              </w:rPr>
              <w:t>Operativas:</w:t>
            </w:r>
          </w:p>
        </w:tc>
        <w:tc>
          <w:tcPr>
            <w:tcW w:w="5363" w:type="dxa"/>
          </w:tcPr>
          <w:p w14:paraId="62191B00" w14:textId="77777777" w:rsidR="008C3428" w:rsidRPr="00F93D7B" w:rsidRDefault="008C3428" w:rsidP="00F1223B">
            <w:pPr>
              <w:tabs>
                <w:tab w:val="left" w:pos="875"/>
              </w:tabs>
              <w:ind w:right="-50"/>
              <w:jc w:val="both"/>
              <w:rPr>
                <w:rFonts w:ascii="Arial" w:hAnsi="Arial" w:cs="Arial"/>
              </w:rPr>
            </w:pPr>
            <w:r>
              <w:rPr>
                <w:rFonts w:ascii="Arial" w:hAnsi="Arial" w:cs="Arial"/>
              </w:rPr>
              <w:t>No existe interoperabilidad directa con el SIIF Nación II, por lo cual, se deben generar los informes de SIIF y ajustar a los requerimientos técnicos del CHIP.</w:t>
            </w:r>
          </w:p>
        </w:tc>
      </w:tr>
    </w:tbl>
    <w:p w14:paraId="0DC98E37" w14:textId="77777777" w:rsidR="008C3428" w:rsidRDefault="008C3428" w:rsidP="008C3428">
      <w:pPr>
        <w:ind w:left="-142" w:right="-234"/>
        <w:jc w:val="both"/>
        <w:rPr>
          <w:rFonts w:ascii="Arial" w:hAnsi="Arial" w:cs="Arial"/>
          <w:b/>
          <w:sz w:val="28"/>
          <w:szCs w:val="28"/>
        </w:rPr>
      </w:pPr>
    </w:p>
    <w:p w14:paraId="086198B2" w14:textId="77777777" w:rsidR="008C3428" w:rsidRPr="009B73F4" w:rsidRDefault="008C3428" w:rsidP="008C3428">
      <w:pPr>
        <w:ind w:left="-142"/>
        <w:jc w:val="both"/>
        <w:rPr>
          <w:rFonts w:ascii="Arial" w:hAnsi="Arial" w:cs="Arial"/>
          <w:b/>
          <w:sz w:val="32"/>
          <w:szCs w:val="32"/>
          <w:lang w:val="es-MX"/>
        </w:rPr>
      </w:pPr>
      <w:r>
        <w:rPr>
          <w:rFonts w:ascii="Arial" w:hAnsi="Arial" w:cs="Arial"/>
          <w:b/>
          <w:sz w:val="32"/>
          <w:szCs w:val="32"/>
          <w:lang w:val="es-MX"/>
        </w:rPr>
        <w:t>338</w:t>
      </w:r>
      <w:r w:rsidRPr="009B73F4">
        <w:rPr>
          <w:rFonts w:ascii="Arial" w:hAnsi="Arial" w:cs="Arial"/>
          <w:b/>
          <w:sz w:val="32"/>
          <w:szCs w:val="32"/>
          <w:lang w:val="es-MX"/>
        </w:rPr>
        <w:t xml:space="preserve">.- </w:t>
      </w:r>
      <w:r>
        <w:rPr>
          <w:rFonts w:ascii="Arial" w:hAnsi="Arial" w:cs="Arial"/>
          <w:b/>
          <w:sz w:val="32"/>
          <w:szCs w:val="32"/>
          <w:lang w:val="es-MX"/>
        </w:rPr>
        <w:t>U.A.E. FONDO NACIONAL DE ESTUPEFACIENTES - FNE</w:t>
      </w:r>
      <w:r w:rsidRPr="009B73F4">
        <w:rPr>
          <w:rFonts w:ascii="Arial" w:hAnsi="Arial" w:cs="Arial"/>
          <w:b/>
          <w:sz w:val="32"/>
          <w:szCs w:val="32"/>
          <w:lang w:val="es-MX"/>
        </w:rPr>
        <w:t>.</w:t>
      </w:r>
    </w:p>
    <w:p w14:paraId="232B876F" w14:textId="77777777" w:rsidR="008C3428" w:rsidRDefault="008C3428" w:rsidP="008C3428">
      <w:pPr>
        <w:ind w:left="-142" w:right="-234"/>
        <w:jc w:val="both"/>
        <w:rPr>
          <w:rFonts w:ascii="Arial" w:hAnsi="Arial" w:cs="Arial"/>
          <w:b/>
          <w:sz w:val="28"/>
          <w:szCs w:val="28"/>
        </w:rPr>
      </w:pPr>
    </w:p>
    <w:tbl>
      <w:tblPr>
        <w:tblStyle w:val="Tablaconcuadrcula"/>
        <w:tblW w:w="10178" w:type="dxa"/>
        <w:jc w:val="center"/>
        <w:tblLook w:val="04A0" w:firstRow="1" w:lastRow="0" w:firstColumn="1" w:lastColumn="0" w:noHBand="0" w:noVBand="1"/>
      </w:tblPr>
      <w:tblGrid>
        <w:gridCol w:w="846"/>
        <w:gridCol w:w="3969"/>
        <w:gridCol w:w="5363"/>
      </w:tblGrid>
      <w:tr w:rsidR="008C3428" w:rsidRPr="00F93D7B" w14:paraId="0A52C152" w14:textId="77777777" w:rsidTr="008C3428">
        <w:trPr>
          <w:jc w:val="center"/>
        </w:trPr>
        <w:tc>
          <w:tcPr>
            <w:tcW w:w="846" w:type="dxa"/>
          </w:tcPr>
          <w:p w14:paraId="57F76B97"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lastRenderedPageBreak/>
              <w:t>N°</w:t>
            </w:r>
          </w:p>
        </w:tc>
        <w:tc>
          <w:tcPr>
            <w:tcW w:w="3969" w:type="dxa"/>
          </w:tcPr>
          <w:p w14:paraId="49E75785"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Limitaciones del Sistema CHIP</w:t>
            </w:r>
          </w:p>
          <w:p w14:paraId="4B157716"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 xml:space="preserve"> a 31/12/202</w:t>
            </w:r>
            <w:r>
              <w:rPr>
                <w:rFonts w:ascii="Arial" w:hAnsi="Arial" w:cs="Arial"/>
                <w:b/>
              </w:rPr>
              <w:t>4</w:t>
            </w:r>
          </w:p>
          <w:p w14:paraId="118664CE" w14:textId="77777777" w:rsidR="008C3428" w:rsidRPr="00F93D7B" w:rsidRDefault="008C3428" w:rsidP="00F1223B">
            <w:pPr>
              <w:tabs>
                <w:tab w:val="left" w:pos="875"/>
              </w:tabs>
              <w:ind w:right="-50"/>
              <w:jc w:val="center"/>
              <w:rPr>
                <w:rFonts w:ascii="Arial" w:hAnsi="Arial" w:cs="Arial"/>
                <w:b/>
              </w:rPr>
            </w:pPr>
          </w:p>
        </w:tc>
        <w:tc>
          <w:tcPr>
            <w:tcW w:w="5363" w:type="dxa"/>
            <w:vAlign w:val="center"/>
          </w:tcPr>
          <w:p w14:paraId="6BD5F632" w14:textId="77777777" w:rsidR="008C3428" w:rsidRPr="00F93D7B" w:rsidRDefault="008C3428" w:rsidP="00F1223B">
            <w:pPr>
              <w:tabs>
                <w:tab w:val="left" w:pos="875"/>
              </w:tabs>
              <w:ind w:right="-50"/>
              <w:jc w:val="center"/>
              <w:rPr>
                <w:rFonts w:ascii="Arial" w:hAnsi="Arial" w:cs="Arial"/>
                <w:b/>
              </w:rPr>
            </w:pPr>
            <w:r w:rsidRPr="00F93D7B">
              <w:rPr>
                <w:rFonts w:ascii="Arial" w:hAnsi="Arial" w:cs="Arial"/>
                <w:b/>
              </w:rPr>
              <w:t>Descripción de la limitación</w:t>
            </w:r>
          </w:p>
        </w:tc>
      </w:tr>
      <w:tr w:rsidR="008C3428" w:rsidRPr="00F93D7B" w14:paraId="1D2CF5A4" w14:textId="77777777" w:rsidTr="008C3428">
        <w:trPr>
          <w:jc w:val="center"/>
        </w:trPr>
        <w:tc>
          <w:tcPr>
            <w:tcW w:w="846" w:type="dxa"/>
          </w:tcPr>
          <w:p w14:paraId="23CF22A9" w14:textId="77777777" w:rsidR="008C3428" w:rsidRPr="00F93D7B" w:rsidRDefault="008C3428" w:rsidP="00F1223B">
            <w:pPr>
              <w:tabs>
                <w:tab w:val="left" w:pos="875"/>
              </w:tabs>
              <w:ind w:right="-50"/>
              <w:jc w:val="center"/>
              <w:rPr>
                <w:rFonts w:ascii="Arial" w:hAnsi="Arial" w:cs="Arial"/>
                <w:bCs/>
              </w:rPr>
            </w:pPr>
            <w:r>
              <w:rPr>
                <w:rFonts w:ascii="Arial" w:hAnsi="Arial" w:cs="Arial"/>
                <w:bCs/>
              </w:rPr>
              <w:t>1</w:t>
            </w:r>
          </w:p>
        </w:tc>
        <w:tc>
          <w:tcPr>
            <w:tcW w:w="3969" w:type="dxa"/>
          </w:tcPr>
          <w:p w14:paraId="5C7165E4" w14:textId="77777777" w:rsidR="008C3428" w:rsidRPr="00F93D7B" w:rsidRDefault="008C3428" w:rsidP="00F1223B">
            <w:pPr>
              <w:tabs>
                <w:tab w:val="left" w:pos="875"/>
              </w:tabs>
              <w:ind w:right="-50"/>
              <w:jc w:val="both"/>
              <w:rPr>
                <w:rFonts w:ascii="Arial" w:hAnsi="Arial" w:cs="Arial"/>
                <w:bCs/>
              </w:rPr>
            </w:pPr>
            <w:r w:rsidRPr="00F93D7B">
              <w:rPr>
                <w:rFonts w:ascii="Arial" w:hAnsi="Arial" w:cs="Arial"/>
                <w:bCs/>
              </w:rPr>
              <w:t>Técnicas:</w:t>
            </w:r>
          </w:p>
        </w:tc>
        <w:tc>
          <w:tcPr>
            <w:tcW w:w="5363" w:type="dxa"/>
          </w:tcPr>
          <w:p w14:paraId="055EB406" w14:textId="77777777" w:rsidR="008C3428" w:rsidRPr="00F93D7B" w:rsidRDefault="008C3428" w:rsidP="00F1223B">
            <w:pPr>
              <w:tabs>
                <w:tab w:val="left" w:pos="875"/>
              </w:tabs>
              <w:ind w:right="-50"/>
              <w:jc w:val="both"/>
              <w:rPr>
                <w:rFonts w:ascii="Arial" w:hAnsi="Arial" w:cs="Arial"/>
              </w:rPr>
            </w:pPr>
            <w:r>
              <w:rPr>
                <w:rFonts w:ascii="Arial" w:hAnsi="Arial" w:cs="Arial"/>
              </w:rPr>
              <w:t>Se presentaron inconsistencias mínimas por el manejo de decimales que presenta el sistema SIIF NACIÓN.</w:t>
            </w:r>
          </w:p>
        </w:tc>
      </w:tr>
    </w:tbl>
    <w:p w14:paraId="60D8558A" w14:textId="77777777" w:rsidR="008C3428" w:rsidRDefault="008C3428" w:rsidP="008C3428">
      <w:pPr>
        <w:ind w:left="-142" w:right="-234"/>
        <w:jc w:val="both"/>
        <w:rPr>
          <w:rFonts w:ascii="Arial" w:hAnsi="Arial" w:cs="Arial"/>
          <w:b/>
          <w:sz w:val="28"/>
          <w:szCs w:val="28"/>
        </w:rPr>
      </w:pPr>
    </w:p>
    <w:p w14:paraId="66567B7A" w14:textId="77777777" w:rsidR="008C3428" w:rsidRPr="00CD1653" w:rsidRDefault="008C3428" w:rsidP="008C3428">
      <w:pPr>
        <w:ind w:left="-142"/>
        <w:jc w:val="both"/>
        <w:rPr>
          <w:rFonts w:ascii="Arial" w:hAnsi="Arial" w:cs="Arial"/>
          <w:b/>
          <w:sz w:val="28"/>
          <w:szCs w:val="28"/>
          <w:lang w:val="es-MX"/>
        </w:rPr>
      </w:pPr>
      <w:r w:rsidRPr="00CD1653">
        <w:rPr>
          <w:rFonts w:ascii="Arial" w:hAnsi="Arial" w:cs="Arial"/>
          <w:b/>
          <w:sz w:val="28"/>
          <w:szCs w:val="28"/>
          <w:lang w:val="es-MX"/>
        </w:rPr>
        <w:t xml:space="preserve">339.- CORPORACIÓN DE CIENCIA Y TECNOLOGÍA AMBIENTAL – MACARENIA. </w:t>
      </w:r>
    </w:p>
    <w:p w14:paraId="1ECBEA30" w14:textId="77777777" w:rsidR="008C3428" w:rsidRDefault="008C3428" w:rsidP="008C3428">
      <w:pPr>
        <w:ind w:left="-142" w:right="-234"/>
        <w:jc w:val="both"/>
        <w:rPr>
          <w:rFonts w:ascii="Arial" w:hAnsi="Arial" w:cs="Arial"/>
          <w:b/>
          <w:sz w:val="28"/>
          <w:szCs w:val="28"/>
        </w:rPr>
      </w:pPr>
    </w:p>
    <w:tbl>
      <w:tblPr>
        <w:tblStyle w:val="Tablaconcuadrcula"/>
        <w:tblW w:w="10070" w:type="dxa"/>
        <w:jc w:val="center"/>
        <w:tblLook w:val="04A0" w:firstRow="1" w:lastRow="0" w:firstColumn="1" w:lastColumn="0" w:noHBand="0" w:noVBand="1"/>
      </w:tblPr>
      <w:tblGrid>
        <w:gridCol w:w="846"/>
        <w:gridCol w:w="3969"/>
        <w:gridCol w:w="5255"/>
      </w:tblGrid>
      <w:tr w:rsidR="008C3428" w:rsidRPr="00CD1653" w14:paraId="330B78D7" w14:textId="77777777" w:rsidTr="008C3428">
        <w:trPr>
          <w:jc w:val="center"/>
        </w:trPr>
        <w:tc>
          <w:tcPr>
            <w:tcW w:w="846" w:type="dxa"/>
          </w:tcPr>
          <w:p w14:paraId="0FE3F860" w14:textId="77777777" w:rsidR="008C3428" w:rsidRPr="00CD1653" w:rsidRDefault="008C3428" w:rsidP="00F1223B">
            <w:pPr>
              <w:tabs>
                <w:tab w:val="left" w:pos="875"/>
              </w:tabs>
              <w:ind w:right="-50"/>
              <w:jc w:val="center"/>
              <w:rPr>
                <w:rFonts w:ascii="Arial" w:hAnsi="Arial" w:cs="Arial"/>
                <w:b/>
              </w:rPr>
            </w:pPr>
            <w:r w:rsidRPr="00CD1653">
              <w:rPr>
                <w:rFonts w:ascii="Arial" w:hAnsi="Arial" w:cs="Arial"/>
                <w:b/>
              </w:rPr>
              <w:t>N°</w:t>
            </w:r>
          </w:p>
        </w:tc>
        <w:tc>
          <w:tcPr>
            <w:tcW w:w="3969" w:type="dxa"/>
          </w:tcPr>
          <w:p w14:paraId="37BC328C" w14:textId="77777777" w:rsidR="008C3428" w:rsidRPr="00CD1653" w:rsidRDefault="008C3428" w:rsidP="00F1223B">
            <w:pPr>
              <w:tabs>
                <w:tab w:val="left" w:pos="875"/>
              </w:tabs>
              <w:ind w:right="-50"/>
              <w:jc w:val="center"/>
              <w:rPr>
                <w:rFonts w:ascii="Arial" w:hAnsi="Arial" w:cs="Arial"/>
                <w:b/>
              </w:rPr>
            </w:pPr>
            <w:r w:rsidRPr="00CD1653">
              <w:rPr>
                <w:rFonts w:ascii="Arial" w:hAnsi="Arial" w:cs="Arial"/>
                <w:b/>
              </w:rPr>
              <w:t>Limitaciones del Sistema CHIP</w:t>
            </w:r>
          </w:p>
          <w:p w14:paraId="49EBFD20" w14:textId="77777777" w:rsidR="008C3428" w:rsidRPr="00CD1653" w:rsidRDefault="008C3428" w:rsidP="00F1223B">
            <w:pPr>
              <w:tabs>
                <w:tab w:val="left" w:pos="875"/>
              </w:tabs>
              <w:ind w:right="-50"/>
              <w:jc w:val="center"/>
              <w:rPr>
                <w:rFonts w:ascii="Arial" w:hAnsi="Arial" w:cs="Arial"/>
                <w:b/>
              </w:rPr>
            </w:pPr>
            <w:r w:rsidRPr="00CD1653">
              <w:rPr>
                <w:rFonts w:ascii="Arial" w:hAnsi="Arial" w:cs="Arial"/>
                <w:b/>
              </w:rPr>
              <w:t xml:space="preserve"> a 31/12/2023</w:t>
            </w:r>
          </w:p>
          <w:p w14:paraId="7D5A8D69" w14:textId="77777777" w:rsidR="008C3428" w:rsidRPr="00CD1653" w:rsidRDefault="008C3428" w:rsidP="00F1223B">
            <w:pPr>
              <w:tabs>
                <w:tab w:val="left" w:pos="875"/>
              </w:tabs>
              <w:ind w:right="-50"/>
              <w:jc w:val="center"/>
              <w:rPr>
                <w:rFonts w:ascii="Arial" w:hAnsi="Arial" w:cs="Arial"/>
                <w:b/>
              </w:rPr>
            </w:pPr>
          </w:p>
        </w:tc>
        <w:tc>
          <w:tcPr>
            <w:tcW w:w="5255" w:type="dxa"/>
            <w:vAlign w:val="center"/>
          </w:tcPr>
          <w:p w14:paraId="15EFFEB7" w14:textId="77777777" w:rsidR="008C3428" w:rsidRPr="00CD1653" w:rsidRDefault="008C3428" w:rsidP="00F1223B">
            <w:pPr>
              <w:tabs>
                <w:tab w:val="left" w:pos="875"/>
              </w:tabs>
              <w:ind w:right="-50"/>
              <w:jc w:val="center"/>
              <w:rPr>
                <w:rFonts w:ascii="Arial" w:hAnsi="Arial" w:cs="Arial"/>
                <w:b/>
              </w:rPr>
            </w:pPr>
            <w:r w:rsidRPr="00CD1653">
              <w:rPr>
                <w:rFonts w:ascii="Arial" w:hAnsi="Arial" w:cs="Arial"/>
                <w:b/>
              </w:rPr>
              <w:t>Descripción de la limitación</w:t>
            </w:r>
          </w:p>
        </w:tc>
      </w:tr>
      <w:tr w:rsidR="008C3428" w:rsidRPr="00CD1653" w14:paraId="1A1C1FB5" w14:textId="77777777" w:rsidTr="008C3428">
        <w:trPr>
          <w:jc w:val="center"/>
        </w:trPr>
        <w:tc>
          <w:tcPr>
            <w:tcW w:w="846" w:type="dxa"/>
          </w:tcPr>
          <w:p w14:paraId="5A279916" w14:textId="77777777" w:rsidR="008C3428" w:rsidRPr="00CD1653" w:rsidRDefault="008C3428" w:rsidP="00F1223B">
            <w:pPr>
              <w:tabs>
                <w:tab w:val="left" w:pos="875"/>
              </w:tabs>
              <w:ind w:right="-50"/>
              <w:jc w:val="center"/>
              <w:rPr>
                <w:rFonts w:ascii="Arial" w:hAnsi="Arial" w:cs="Arial"/>
                <w:b/>
                <w:bCs/>
              </w:rPr>
            </w:pPr>
            <w:r w:rsidRPr="00CD1653">
              <w:rPr>
                <w:rFonts w:ascii="Arial" w:hAnsi="Arial" w:cs="Arial"/>
                <w:b/>
                <w:bCs/>
              </w:rPr>
              <w:t>1</w:t>
            </w:r>
          </w:p>
        </w:tc>
        <w:tc>
          <w:tcPr>
            <w:tcW w:w="3969" w:type="dxa"/>
          </w:tcPr>
          <w:p w14:paraId="3C28B7AF" w14:textId="77777777" w:rsidR="008C3428" w:rsidRPr="00CD1653" w:rsidRDefault="008C3428" w:rsidP="00F1223B">
            <w:pPr>
              <w:tabs>
                <w:tab w:val="left" w:pos="875"/>
              </w:tabs>
              <w:ind w:right="-50"/>
              <w:jc w:val="both"/>
              <w:rPr>
                <w:rFonts w:ascii="Arial" w:hAnsi="Arial" w:cs="Arial"/>
                <w:b/>
                <w:bCs/>
              </w:rPr>
            </w:pPr>
            <w:r w:rsidRPr="00CD1653">
              <w:rPr>
                <w:rFonts w:ascii="Arial" w:hAnsi="Arial" w:cs="Arial"/>
                <w:b/>
                <w:bCs/>
              </w:rPr>
              <w:t>Administrativas:</w:t>
            </w:r>
          </w:p>
        </w:tc>
        <w:tc>
          <w:tcPr>
            <w:tcW w:w="5255" w:type="dxa"/>
          </w:tcPr>
          <w:p w14:paraId="011B947D" w14:textId="77777777" w:rsidR="008C3428" w:rsidRPr="00CD1653" w:rsidRDefault="008C3428" w:rsidP="00F1223B">
            <w:pPr>
              <w:tabs>
                <w:tab w:val="left" w:pos="875"/>
              </w:tabs>
              <w:ind w:right="-50"/>
              <w:jc w:val="both"/>
              <w:rPr>
                <w:rFonts w:ascii="Arial" w:hAnsi="Arial" w:cs="Arial"/>
              </w:rPr>
            </w:pPr>
            <w:r w:rsidRPr="00CD1653">
              <w:rPr>
                <w:rFonts w:ascii="Arial" w:hAnsi="Arial" w:cs="Arial"/>
              </w:rPr>
              <w:t>Información</w:t>
            </w:r>
          </w:p>
        </w:tc>
      </w:tr>
      <w:tr w:rsidR="008C3428" w:rsidRPr="00CD1653" w14:paraId="5E15BEB6" w14:textId="77777777" w:rsidTr="008C3428">
        <w:trPr>
          <w:jc w:val="center"/>
        </w:trPr>
        <w:tc>
          <w:tcPr>
            <w:tcW w:w="846" w:type="dxa"/>
          </w:tcPr>
          <w:p w14:paraId="43F9213F" w14:textId="77777777" w:rsidR="008C3428" w:rsidRPr="00CD1653" w:rsidRDefault="008C3428" w:rsidP="00F1223B">
            <w:pPr>
              <w:tabs>
                <w:tab w:val="left" w:pos="875"/>
              </w:tabs>
              <w:ind w:right="-50"/>
              <w:jc w:val="center"/>
              <w:rPr>
                <w:rFonts w:ascii="Arial" w:hAnsi="Arial" w:cs="Arial"/>
                <w:b/>
                <w:bCs/>
              </w:rPr>
            </w:pPr>
            <w:r w:rsidRPr="00CD1653">
              <w:rPr>
                <w:rFonts w:ascii="Arial" w:hAnsi="Arial" w:cs="Arial"/>
                <w:b/>
                <w:bCs/>
              </w:rPr>
              <w:t>2</w:t>
            </w:r>
          </w:p>
        </w:tc>
        <w:tc>
          <w:tcPr>
            <w:tcW w:w="3969" w:type="dxa"/>
          </w:tcPr>
          <w:p w14:paraId="477D3F99" w14:textId="77777777" w:rsidR="008C3428" w:rsidRPr="00CD1653" w:rsidRDefault="008C3428" w:rsidP="00F1223B">
            <w:pPr>
              <w:tabs>
                <w:tab w:val="left" w:pos="875"/>
              </w:tabs>
              <w:ind w:right="-50"/>
              <w:jc w:val="both"/>
              <w:rPr>
                <w:rFonts w:ascii="Arial" w:hAnsi="Arial" w:cs="Arial"/>
                <w:b/>
                <w:bCs/>
              </w:rPr>
            </w:pPr>
            <w:r w:rsidRPr="00CD1653">
              <w:rPr>
                <w:rFonts w:ascii="Arial" w:hAnsi="Arial" w:cs="Arial"/>
                <w:b/>
                <w:bCs/>
              </w:rPr>
              <w:t>Técnicas:</w:t>
            </w:r>
          </w:p>
        </w:tc>
        <w:tc>
          <w:tcPr>
            <w:tcW w:w="5255" w:type="dxa"/>
          </w:tcPr>
          <w:p w14:paraId="2AFD9A50" w14:textId="77777777" w:rsidR="008C3428" w:rsidRPr="00CD1653" w:rsidRDefault="008C3428" w:rsidP="00F1223B">
            <w:pPr>
              <w:tabs>
                <w:tab w:val="left" w:pos="875"/>
              </w:tabs>
              <w:ind w:right="-50"/>
              <w:jc w:val="both"/>
              <w:rPr>
                <w:rFonts w:ascii="Arial" w:hAnsi="Arial" w:cs="Arial"/>
              </w:rPr>
            </w:pPr>
            <w:r w:rsidRPr="00CD1653">
              <w:rPr>
                <w:rFonts w:ascii="Arial" w:hAnsi="Arial" w:cs="Arial"/>
              </w:rPr>
              <w:t>Manejo del aplicativo.</w:t>
            </w:r>
          </w:p>
        </w:tc>
      </w:tr>
      <w:tr w:rsidR="008C3428" w:rsidRPr="00CD1653" w14:paraId="66DFF11B" w14:textId="77777777" w:rsidTr="008C3428">
        <w:trPr>
          <w:jc w:val="center"/>
        </w:trPr>
        <w:tc>
          <w:tcPr>
            <w:tcW w:w="846" w:type="dxa"/>
          </w:tcPr>
          <w:p w14:paraId="0342292F" w14:textId="77777777" w:rsidR="008C3428" w:rsidRPr="00CD1653" w:rsidRDefault="008C3428" w:rsidP="00F1223B">
            <w:pPr>
              <w:tabs>
                <w:tab w:val="left" w:pos="875"/>
              </w:tabs>
              <w:ind w:right="-50"/>
              <w:jc w:val="center"/>
              <w:rPr>
                <w:rFonts w:ascii="Arial" w:hAnsi="Arial" w:cs="Arial"/>
                <w:b/>
                <w:bCs/>
              </w:rPr>
            </w:pPr>
            <w:r w:rsidRPr="00CD1653">
              <w:rPr>
                <w:rFonts w:ascii="Arial" w:hAnsi="Arial" w:cs="Arial"/>
                <w:b/>
                <w:bCs/>
              </w:rPr>
              <w:t>3</w:t>
            </w:r>
          </w:p>
        </w:tc>
        <w:tc>
          <w:tcPr>
            <w:tcW w:w="3969" w:type="dxa"/>
          </w:tcPr>
          <w:p w14:paraId="1C32941E" w14:textId="77777777" w:rsidR="008C3428" w:rsidRPr="00CD1653" w:rsidRDefault="008C3428" w:rsidP="00F1223B">
            <w:pPr>
              <w:tabs>
                <w:tab w:val="left" w:pos="875"/>
              </w:tabs>
              <w:ind w:right="-50"/>
              <w:jc w:val="both"/>
              <w:rPr>
                <w:rFonts w:ascii="Arial" w:hAnsi="Arial" w:cs="Arial"/>
                <w:b/>
                <w:bCs/>
              </w:rPr>
            </w:pPr>
            <w:r w:rsidRPr="00CD1653">
              <w:rPr>
                <w:rFonts w:ascii="Arial" w:hAnsi="Arial" w:cs="Arial"/>
                <w:b/>
                <w:bCs/>
              </w:rPr>
              <w:t>Operativas:</w:t>
            </w:r>
          </w:p>
        </w:tc>
        <w:tc>
          <w:tcPr>
            <w:tcW w:w="5255" w:type="dxa"/>
          </w:tcPr>
          <w:p w14:paraId="5B690489" w14:textId="77777777" w:rsidR="008C3428" w:rsidRPr="00CD1653" w:rsidRDefault="008C3428" w:rsidP="00F1223B">
            <w:pPr>
              <w:tabs>
                <w:tab w:val="left" w:pos="875"/>
              </w:tabs>
              <w:ind w:right="-50"/>
              <w:jc w:val="both"/>
              <w:rPr>
                <w:rFonts w:ascii="Arial" w:hAnsi="Arial" w:cs="Arial"/>
              </w:rPr>
            </w:pPr>
            <w:r w:rsidRPr="00CD1653">
              <w:rPr>
                <w:rFonts w:ascii="Arial" w:hAnsi="Arial" w:cs="Arial"/>
              </w:rPr>
              <w:t>Cargue de la información.</w:t>
            </w:r>
          </w:p>
        </w:tc>
      </w:tr>
    </w:tbl>
    <w:p w14:paraId="383183E2" w14:textId="77777777" w:rsidR="008C3428" w:rsidRDefault="008C3428" w:rsidP="008C3428">
      <w:pPr>
        <w:ind w:left="-142" w:right="-234"/>
        <w:jc w:val="both"/>
        <w:rPr>
          <w:rFonts w:ascii="Arial" w:hAnsi="Arial" w:cs="Arial"/>
          <w:b/>
          <w:sz w:val="28"/>
          <w:szCs w:val="28"/>
        </w:rPr>
      </w:pPr>
    </w:p>
    <w:p w14:paraId="5E9D3E3B" w14:textId="2B7B98D9" w:rsidR="008C3428" w:rsidRDefault="008C3428" w:rsidP="008C3428">
      <w:pPr>
        <w:ind w:left="-142"/>
        <w:jc w:val="both"/>
        <w:rPr>
          <w:rFonts w:ascii="Arial" w:hAnsi="Arial" w:cs="Arial"/>
          <w:b/>
          <w:sz w:val="32"/>
          <w:szCs w:val="32"/>
          <w:lang w:val="es-MX"/>
        </w:rPr>
      </w:pPr>
      <w:r w:rsidRPr="00972B5C">
        <w:rPr>
          <w:rFonts w:ascii="Arial" w:hAnsi="Arial" w:cs="Arial"/>
          <w:b/>
          <w:sz w:val="28"/>
          <w:szCs w:val="28"/>
          <w:lang w:val="es-MX"/>
        </w:rPr>
        <w:t>340.- CORPORACIÓN AUTÓNOMA REGIONAL DEL RÍO GRANDE DE LA MAGDALENA - CORMAGDALENA</w:t>
      </w:r>
      <w:r w:rsidRPr="00972B5C">
        <w:rPr>
          <w:rFonts w:ascii="Arial" w:hAnsi="Arial" w:cs="Arial"/>
          <w:b/>
          <w:sz w:val="32"/>
          <w:szCs w:val="32"/>
          <w:lang w:val="es-MX"/>
        </w:rPr>
        <w:t>.</w:t>
      </w:r>
    </w:p>
    <w:p w14:paraId="3FA376FA" w14:textId="77777777" w:rsidR="00A03CB3" w:rsidRPr="00972B5C" w:rsidRDefault="00A03CB3" w:rsidP="008C3428">
      <w:pPr>
        <w:ind w:left="-142"/>
        <w:jc w:val="both"/>
        <w:rPr>
          <w:rFonts w:ascii="Arial" w:hAnsi="Arial" w:cs="Arial"/>
          <w:b/>
          <w:sz w:val="28"/>
          <w:szCs w:val="28"/>
          <w:lang w:val="es-MX"/>
        </w:rPr>
      </w:pPr>
    </w:p>
    <w:tbl>
      <w:tblPr>
        <w:tblStyle w:val="Tablaconcuadrcula"/>
        <w:tblW w:w="10217" w:type="dxa"/>
        <w:jc w:val="center"/>
        <w:tblLook w:val="04A0" w:firstRow="1" w:lastRow="0" w:firstColumn="1" w:lastColumn="0" w:noHBand="0" w:noVBand="1"/>
      </w:tblPr>
      <w:tblGrid>
        <w:gridCol w:w="993"/>
        <w:gridCol w:w="3969"/>
        <w:gridCol w:w="5255"/>
      </w:tblGrid>
      <w:tr w:rsidR="008C3428" w:rsidRPr="00972B5C" w14:paraId="11752B57" w14:textId="77777777" w:rsidTr="00BD6EEF">
        <w:trPr>
          <w:jc w:val="center"/>
        </w:trPr>
        <w:tc>
          <w:tcPr>
            <w:tcW w:w="993" w:type="dxa"/>
          </w:tcPr>
          <w:p w14:paraId="51694210" w14:textId="77777777" w:rsidR="008C3428" w:rsidRPr="00972B5C" w:rsidRDefault="008C3428" w:rsidP="00F1223B">
            <w:pPr>
              <w:tabs>
                <w:tab w:val="left" w:pos="875"/>
              </w:tabs>
              <w:ind w:right="-50"/>
              <w:jc w:val="center"/>
              <w:rPr>
                <w:rFonts w:ascii="Arial" w:hAnsi="Arial" w:cs="Arial"/>
                <w:b/>
              </w:rPr>
            </w:pPr>
            <w:r w:rsidRPr="00972B5C">
              <w:rPr>
                <w:rFonts w:ascii="Arial" w:hAnsi="Arial" w:cs="Arial"/>
                <w:b/>
              </w:rPr>
              <w:t>N°</w:t>
            </w:r>
          </w:p>
        </w:tc>
        <w:tc>
          <w:tcPr>
            <w:tcW w:w="3969" w:type="dxa"/>
          </w:tcPr>
          <w:p w14:paraId="4E18377A" w14:textId="77777777" w:rsidR="008C3428" w:rsidRPr="00972B5C" w:rsidRDefault="008C3428" w:rsidP="00F1223B">
            <w:pPr>
              <w:tabs>
                <w:tab w:val="left" w:pos="875"/>
              </w:tabs>
              <w:ind w:right="-50"/>
              <w:jc w:val="center"/>
              <w:rPr>
                <w:rFonts w:ascii="Arial" w:hAnsi="Arial" w:cs="Arial"/>
                <w:b/>
              </w:rPr>
            </w:pPr>
            <w:r w:rsidRPr="00972B5C">
              <w:rPr>
                <w:rFonts w:ascii="Arial" w:hAnsi="Arial" w:cs="Arial"/>
                <w:b/>
              </w:rPr>
              <w:t>Limitaciones del Sistema CHIP</w:t>
            </w:r>
          </w:p>
          <w:p w14:paraId="12153118" w14:textId="77777777" w:rsidR="008C3428" w:rsidRPr="00972B5C" w:rsidRDefault="008C3428" w:rsidP="00F1223B">
            <w:pPr>
              <w:tabs>
                <w:tab w:val="left" w:pos="875"/>
              </w:tabs>
              <w:ind w:right="-50"/>
              <w:jc w:val="center"/>
              <w:rPr>
                <w:rFonts w:ascii="Arial" w:hAnsi="Arial" w:cs="Arial"/>
                <w:b/>
              </w:rPr>
            </w:pPr>
            <w:r w:rsidRPr="00972B5C">
              <w:rPr>
                <w:rFonts w:ascii="Arial" w:hAnsi="Arial" w:cs="Arial"/>
                <w:b/>
              </w:rPr>
              <w:t xml:space="preserve"> a 31/12/2023</w:t>
            </w:r>
          </w:p>
          <w:p w14:paraId="52091D2A" w14:textId="77777777" w:rsidR="008C3428" w:rsidRPr="00972B5C" w:rsidRDefault="008C3428" w:rsidP="00F1223B">
            <w:pPr>
              <w:tabs>
                <w:tab w:val="left" w:pos="875"/>
              </w:tabs>
              <w:ind w:right="-50"/>
              <w:jc w:val="center"/>
              <w:rPr>
                <w:rFonts w:ascii="Arial" w:hAnsi="Arial" w:cs="Arial"/>
                <w:b/>
              </w:rPr>
            </w:pPr>
          </w:p>
        </w:tc>
        <w:tc>
          <w:tcPr>
            <w:tcW w:w="5255" w:type="dxa"/>
            <w:vAlign w:val="center"/>
          </w:tcPr>
          <w:p w14:paraId="42B0BDFB" w14:textId="77777777" w:rsidR="008C3428" w:rsidRPr="00972B5C" w:rsidRDefault="008C3428" w:rsidP="00F1223B">
            <w:pPr>
              <w:tabs>
                <w:tab w:val="left" w:pos="875"/>
              </w:tabs>
              <w:ind w:right="-50"/>
              <w:jc w:val="center"/>
              <w:rPr>
                <w:rFonts w:ascii="Arial" w:hAnsi="Arial" w:cs="Arial"/>
                <w:b/>
              </w:rPr>
            </w:pPr>
            <w:r w:rsidRPr="00972B5C">
              <w:rPr>
                <w:rFonts w:ascii="Arial" w:hAnsi="Arial" w:cs="Arial"/>
                <w:b/>
              </w:rPr>
              <w:t>Descripción de la limitación</w:t>
            </w:r>
          </w:p>
        </w:tc>
      </w:tr>
      <w:tr w:rsidR="008C3428" w:rsidRPr="00972B5C" w14:paraId="7D74E650" w14:textId="77777777" w:rsidTr="00BD6EEF">
        <w:trPr>
          <w:jc w:val="center"/>
        </w:trPr>
        <w:tc>
          <w:tcPr>
            <w:tcW w:w="993" w:type="dxa"/>
          </w:tcPr>
          <w:p w14:paraId="570C6452" w14:textId="77777777" w:rsidR="008C3428" w:rsidRPr="00972B5C" w:rsidRDefault="008C3428" w:rsidP="00F1223B">
            <w:pPr>
              <w:tabs>
                <w:tab w:val="left" w:pos="875"/>
              </w:tabs>
              <w:ind w:right="-50"/>
              <w:jc w:val="center"/>
              <w:rPr>
                <w:rFonts w:ascii="Arial" w:hAnsi="Arial" w:cs="Arial"/>
                <w:b/>
                <w:bCs/>
              </w:rPr>
            </w:pPr>
            <w:r w:rsidRPr="00972B5C">
              <w:rPr>
                <w:rFonts w:ascii="Arial" w:hAnsi="Arial" w:cs="Arial"/>
                <w:b/>
                <w:bCs/>
              </w:rPr>
              <w:t>1</w:t>
            </w:r>
          </w:p>
        </w:tc>
        <w:tc>
          <w:tcPr>
            <w:tcW w:w="3969" w:type="dxa"/>
          </w:tcPr>
          <w:p w14:paraId="11719514" w14:textId="77777777" w:rsidR="008C3428" w:rsidRPr="00972B5C" w:rsidRDefault="008C3428" w:rsidP="00F1223B">
            <w:pPr>
              <w:tabs>
                <w:tab w:val="left" w:pos="875"/>
              </w:tabs>
              <w:ind w:right="-50"/>
              <w:jc w:val="both"/>
              <w:rPr>
                <w:rFonts w:ascii="Arial" w:hAnsi="Arial" w:cs="Arial"/>
                <w:b/>
                <w:bCs/>
              </w:rPr>
            </w:pPr>
            <w:r w:rsidRPr="00972B5C">
              <w:rPr>
                <w:rFonts w:ascii="Arial" w:hAnsi="Arial" w:cs="Arial"/>
                <w:b/>
                <w:bCs/>
              </w:rPr>
              <w:t>Administrativas:</w:t>
            </w:r>
          </w:p>
        </w:tc>
        <w:tc>
          <w:tcPr>
            <w:tcW w:w="5255" w:type="dxa"/>
          </w:tcPr>
          <w:p w14:paraId="4D70DA56" w14:textId="77777777" w:rsidR="008C3428" w:rsidRPr="00972B5C" w:rsidRDefault="008C3428" w:rsidP="00F1223B">
            <w:pPr>
              <w:tabs>
                <w:tab w:val="left" w:pos="875"/>
              </w:tabs>
              <w:ind w:right="-50"/>
              <w:jc w:val="both"/>
              <w:rPr>
                <w:rFonts w:ascii="Arial" w:hAnsi="Arial" w:cs="Arial"/>
              </w:rPr>
            </w:pPr>
            <w:r w:rsidRPr="00972B5C">
              <w:rPr>
                <w:rFonts w:ascii="Arial" w:hAnsi="Arial" w:cs="Arial"/>
              </w:rPr>
              <w:t>Falta de actualización de información en l página de la CGN.</w:t>
            </w:r>
          </w:p>
        </w:tc>
      </w:tr>
    </w:tbl>
    <w:p w14:paraId="08B47970" w14:textId="77777777" w:rsidR="008C3428" w:rsidRDefault="008C3428" w:rsidP="008C3428">
      <w:pPr>
        <w:pStyle w:val="Textoindependiente"/>
        <w:ind w:right="-50"/>
        <w:jc w:val="both"/>
        <w:rPr>
          <w:b/>
        </w:rPr>
      </w:pPr>
    </w:p>
    <w:p w14:paraId="0EA3603C" w14:textId="77777777" w:rsidR="008C3428" w:rsidRPr="00AB02B7" w:rsidRDefault="008C3428" w:rsidP="00BD6EEF">
      <w:pPr>
        <w:ind w:left="-142"/>
        <w:jc w:val="both"/>
        <w:rPr>
          <w:rFonts w:ascii="Arial" w:hAnsi="Arial" w:cs="Arial"/>
          <w:b/>
          <w:sz w:val="28"/>
          <w:szCs w:val="28"/>
          <w:lang w:val="es-MX"/>
        </w:rPr>
      </w:pPr>
      <w:r w:rsidRPr="00AB02B7">
        <w:rPr>
          <w:rFonts w:ascii="Arial" w:hAnsi="Arial" w:cs="Arial"/>
          <w:b/>
          <w:sz w:val="28"/>
          <w:szCs w:val="28"/>
          <w:lang w:val="es-MX"/>
        </w:rPr>
        <w:t>341.-</w:t>
      </w:r>
      <w:r w:rsidRPr="00AB02B7">
        <w:rPr>
          <w:rFonts w:ascii="Arial" w:eastAsiaTheme="minorHAnsi" w:hAnsi="Arial" w:cs="Arial"/>
          <w:b/>
          <w:sz w:val="28"/>
          <w:szCs w:val="28"/>
          <w:lang w:val="es-MX"/>
        </w:rPr>
        <w:t xml:space="preserve"> CORPORACIÓN </w:t>
      </w:r>
      <w:r w:rsidRPr="00AB02B7">
        <w:rPr>
          <w:rFonts w:ascii="Arial" w:hAnsi="Arial" w:cs="Arial"/>
          <w:b/>
          <w:sz w:val="28"/>
          <w:szCs w:val="28"/>
          <w:lang w:val="es-MX"/>
        </w:rPr>
        <w:t xml:space="preserve">ROTORR – MOTOR DE INNOVACIÓN. </w:t>
      </w:r>
    </w:p>
    <w:p w14:paraId="2CAF8729" w14:textId="77777777" w:rsidR="008C3428" w:rsidRDefault="008C3428" w:rsidP="008C3428">
      <w:pPr>
        <w:ind w:left="-142" w:right="-234"/>
        <w:jc w:val="both"/>
        <w:rPr>
          <w:rFonts w:ascii="Arial" w:hAnsi="Arial" w:cs="Arial"/>
          <w:b/>
          <w:sz w:val="28"/>
          <w:szCs w:val="28"/>
        </w:rPr>
      </w:pPr>
    </w:p>
    <w:tbl>
      <w:tblPr>
        <w:tblStyle w:val="Tablaconcuadrcula"/>
        <w:tblW w:w="10207" w:type="dxa"/>
        <w:jc w:val="center"/>
        <w:tblLook w:val="04A0" w:firstRow="1" w:lastRow="0" w:firstColumn="1" w:lastColumn="0" w:noHBand="0" w:noVBand="1"/>
      </w:tblPr>
      <w:tblGrid>
        <w:gridCol w:w="993"/>
        <w:gridCol w:w="3969"/>
        <w:gridCol w:w="5245"/>
      </w:tblGrid>
      <w:tr w:rsidR="008C3428" w:rsidRPr="00AB02B7" w14:paraId="086DC33C" w14:textId="77777777" w:rsidTr="00BD6EEF">
        <w:trPr>
          <w:jc w:val="center"/>
        </w:trPr>
        <w:tc>
          <w:tcPr>
            <w:tcW w:w="993" w:type="dxa"/>
          </w:tcPr>
          <w:p w14:paraId="64E0ED8F" w14:textId="77777777" w:rsidR="008C3428" w:rsidRPr="00AB02B7" w:rsidRDefault="008C3428" w:rsidP="00F1223B">
            <w:pPr>
              <w:tabs>
                <w:tab w:val="left" w:pos="875"/>
              </w:tabs>
              <w:jc w:val="center"/>
              <w:rPr>
                <w:rFonts w:ascii="Arial" w:hAnsi="Arial" w:cs="Arial"/>
                <w:b/>
              </w:rPr>
            </w:pPr>
            <w:r w:rsidRPr="00AB02B7">
              <w:rPr>
                <w:rFonts w:ascii="Arial" w:hAnsi="Arial" w:cs="Arial"/>
                <w:b/>
              </w:rPr>
              <w:t>N°</w:t>
            </w:r>
          </w:p>
        </w:tc>
        <w:tc>
          <w:tcPr>
            <w:tcW w:w="3969" w:type="dxa"/>
          </w:tcPr>
          <w:p w14:paraId="24067399" w14:textId="77777777" w:rsidR="008C3428" w:rsidRPr="00AB02B7" w:rsidRDefault="008C3428" w:rsidP="00F1223B">
            <w:pPr>
              <w:tabs>
                <w:tab w:val="left" w:pos="875"/>
              </w:tabs>
              <w:jc w:val="center"/>
              <w:rPr>
                <w:rFonts w:ascii="Arial" w:hAnsi="Arial" w:cs="Arial"/>
                <w:b/>
              </w:rPr>
            </w:pPr>
            <w:r w:rsidRPr="00AB02B7">
              <w:rPr>
                <w:rFonts w:ascii="Arial" w:hAnsi="Arial" w:cs="Arial"/>
                <w:b/>
              </w:rPr>
              <w:t>Limitaciones del Sistema CHIP</w:t>
            </w:r>
          </w:p>
          <w:p w14:paraId="268D7699" w14:textId="77777777" w:rsidR="008C3428" w:rsidRPr="00AB02B7" w:rsidRDefault="008C3428" w:rsidP="00F1223B">
            <w:pPr>
              <w:tabs>
                <w:tab w:val="left" w:pos="875"/>
              </w:tabs>
              <w:jc w:val="center"/>
              <w:rPr>
                <w:rFonts w:ascii="Arial" w:hAnsi="Arial" w:cs="Arial"/>
                <w:b/>
              </w:rPr>
            </w:pPr>
            <w:r w:rsidRPr="00AB02B7">
              <w:rPr>
                <w:rFonts w:ascii="Arial" w:hAnsi="Arial" w:cs="Arial"/>
                <w:b/>
              </w:rPr>
              <w:t xml:space="preserve"> a 31/12/2023</w:t>
            </w:r>
          </w:p>
          <w:p w14:paraId="1C0B8009" w14:textId="77777777" w:rsidR="008C3428" w:rsidRPr="00AB02B7" w:rsidRDefault="008C3428" w:rsidP="00F1223B">
            <w:pPr>
              <w:tabs>
                <w:tab w:val="left" w:pos="875"/>
              </w:tabs>
              <w:jc w:val="center"/>
              <w:rPr>
                <w:rFonts w:ascii="Arial" w:hAnsi="Arial" w:cs="Arial"/>
                <w:b/>
              </w:rPr>
            </w:pPr>
          </w:p>
        </w:tc>
        <w:tc>
          <w:tcPr>
            <w:tcW w:w="5245" w:type="dxa"/>
            <w:vAlign w:val="center"/>
          </w:tcPr>
          <w:p w14:paraId="003B9272" w14:textId="77777777" w:rsidR="008C3428" w:rsidRPr="00AB02B7" w:rsidRDefault="008C3428" w:rsidP="00F1223B">
            <w:pPr>
              <w:tabs>
                <w:tab w:val="left" w:pos="875"/>
              </w:tabs>
              <w:jc w:val="center"/>
              <w:rPr>
                <w:rFonts w:ascii="Arial" w:hAnsi="Arial" w:cs="Arial"/>
                <w:b/>
              </w:rPr>
            </w:pPr>
            <w:r w:rsidRPr="00AB02B7">
              <w:rPr>
                <w:rFonts w:ascii="Arial" w:hAnsi="Arial" w:cs="Arial"/>
                <w:b/>
              </w:rPr>
              <w:t>Descripción de la limitación</w:t>
            </w:r>
          </w:p>
        </w:tc>
      </w:tr>
      <w:tr w:rsidR="008C3428" w:rsidRPr="00AB02B7" w14:paraId="1E12AC48" w14:textId="77777777" w:rsidTr="00BD6EEF">
        <w:trPr>
          <w:jc w:val="center"/>
        </w:trPr>
        <w:tc>
          <w:tcPr>
            <w:tcW w:w="993" w:type="dxa"/>
          </w:tcPr>
          <w:p w14:paraId="75E78187" w14:textId="77777777" w:rsidR="008C3428" w:rsidRPr="00AB02B7" w:rsidRDefault="008C3428" w:rsidP="00F1223B">
            <w:pPr>
              <w:tabs>
                <w:tab w:val="left" w:pos="875"/>
              </w:tabs>
              <w:jc w:val="center"/>
              <w:rPr>
                <w:rFonts w:ascii="Arial" w:hAnsi="Arial" w:cs="Arial"/>
                <w:b/>
                <w:bCs/>
              </w:rPr>
            </w:pPr>
            <w:r w:rsidRPr="00AB02B7">
              <w:rPr>
                <w:rFonts w:ascii="Arial" w:hAnsi="Arial" w:cs="Arial"/>
                <w:b/>
                <w:bCs/>
              </w:rPr>
              <w:t>3</w:t>
            </w:r>
          </w:p>
        </w:tc>
        <w:tc>
          <w:tcPr>
            <w:tcW w:w="3969" w:type="dxa"/>
          </w:tcPr>
          <w:p w14:paraId="4D61111E" w14:textId="77777777" w:rsidR="008C3428" w:rsidRPr="00AB02B7" w:rsidRDefault="008C3428" w:rsidP="00F1223B">
            <w:pPr>
              <w:tabs>
                <w:tab w:val="left" w:pos="875"/>
              </w:tabs>
              <w:jc w:val="both"/>
              <w:rPr>
                <w:rFonts w:ascii="Arial" w:hAnsi="Arial" w:cs="Arial"/>
                <w:b/>
                <w:bCs/>
              </w:rPr>
            </w:pPr>
            <w:r w:rsidRPr="00AB02B7">
              <w:rPr>
                <w:rFonts w:ascii="Arial" w:hAnsi="Arial" w:cs="Arial"/>
                <w:b/>
                <w:bCs/>
              </w:rPr>
              <w:t>Operativas:</w:t>
            </w:r>
          </w:p>
        </w:tc>
        <w:tc>
          <w:tcPr>
            <w:tcW w:w="5245" w:type="dxa"/>
          </w:tcPr>
          <w:p w14:paraId="1FDA8AFC" w14:textId="77777777" w:rsidR="008C3428" w:rsidRPr="00AB02B7" w:rsidRDefault="008C3428" w:rsidP="00F1223B">
            <w:pPr>
              <w:tabs>
                <w:tab w:val="left" w:pos="875"/>
              </w:tabs>
              <w:jc w:val="both"/>
              <w:rPr>
                <w:rFonts w:ascii="Arial" w:hAnsi="Arial" w:cs="Arial"/>
              </w:rPr>
            </w:pPr>
            <w:r w:rsidRPr="00AB02B7">
              <w:rPr>
                <w:rFonts w:ascii="Arial" w:hAnsi="Arial" w:cs="Arial"/>
              </w:rPr>
              <w:t>La falta de suministro de información financiera oportuna por parte de los aliados estratégicos es una limitación significativa para la conciliación de las operaciones reciprocas, lo que puede generar problemas de precisión en los estados financieros, afectar la toma de decisiones y crear conflictos entre las entidades involucradas. Para mitigar estos riesgos, es fundamental establecer acuerdos claros, automatizar procesos y mantener una comunicación fluida con los aliados estratégicos. Implementando estas medidas, la organización podrá garantizar una correcta conciliación y mejorar la eficiencia de su gestión financiera.</w:t>
            </w:r>
          </w:p>
        </w:tc>
      </w:tr>
    </w:tbl>
    <w:p w14:paraId="4D680B9D" w14:textId="77777777" w:rsidR="008C3428" w:rsidRDefault="008C3428" w:rsidP="008C3428">
      <w:pPr>
        <w:ind w:left="-142" w:right="-234"/>
        <w:jc w:val="both"/>
        <w:rPr>
          <w:rFonts w:ascii="Arial" w:hAnsi="Arial" w:cs="Arial"/>
          <w:b/>
          <w:sz w:val="28"/>
          <w:szCs w:val="28"/>
        </w:rPr>
      </w:pPr>
    </w:p>
    <w:p w14:paraId="2B926E7D" w14:textId="77777777" w:rsidR="008C3428" w:rsidRPr="00A061AF" w:rsidRDefault="008C3428" w:rsidP="008C3428">
      <w:pPr>
        <w:jc w:val="both"/>
        <w:rPr>
          <w:rFonts w:ascii="Arial" w:hAnsi="Arial" w:cs="Arial"/>
          <w:b/>
          <w:sz w:val="28"/>
          <w:szCs w:val="28"/>
          <w:lang w:val="es-MX"/>
        </w:rPr>
      </w:pPr>
      <w:r w:rsidRPr="00A061AF">
        <w:rPr>
          <w:rFonts w:ascii="Arial" w:hAnsi="Arial" w:cs="Arial"/>
          <w:b/>
          <w:sz w:val="28"/>
          <w:szCs w:val="28"/>
          <w:lang w:val="es-MX"/>
        </w:rPr>
        <w:t xml:space="preserve">347.- FONDO AGROPECUARIO DE GARANTÍAS – FAG. </w:t>
      </w:r>
    </w:p>
    <w:p w14:paraId="2BA56CD4" w14:textId="77777777" w:rsidR="008C3428" w:rsidRDefault="008C3428" w:rsidP="008C3428">
      <w:pPr>
        <w:ind w:left="-142" w:right="-234"/>
        <w:jc w:val="both"/>
        <w:rPr>
          <w:rFonts w:ascii="Arial" w:hAnsi="Arial" w:cs="Arial"/>
          <w:b/>
          <w:sz w:val="28"/>
          <w:szCs w:val="28"/>
        </w:rPr>
      </w:pPr>
    </w:p>
    <w:tbl>
      <w:tblPr>
        <w:tblStyle w:val="Tablaconcuadrcula"/>
        <w:tblW w:w="10070" w:type="dxa"/>
        <w:jc w:val="center"/>
        <w:tblLook w:val="04A0" w:firstRow="1" w:lastRow="0" w:firstColumn="1" w:lastColumn="0" w:noHBand="0" w:noVBand="1"/>
      </w:tblPr>
      <w:tblGrid>
        <w:gridCol w:w="851"/>
        <w:gridCol w:w="3969"/>
        <w:gridCol w:w="5250"/>
      </w:tblGrid>
      <w:tr w:rsidR="008C3428" w:rsidRPr="00A061AF" w14:paraId="1578E2CA" w14:textId="77777777" w:rsidTr="00BD6EEF">
        <w:trPr>
          <w:jc w:val="center"/>
        </w:trPr>
        <w:tc>
          <w:tcPr>
            <w:tcW w:w="851" w:type="dxa"/>
          </w:tcPr>
          <w:p w14:paraId="044CDC6F" w14:textId="77777777" w:rsidR="008C3428" w:rsidRPr="00A061AF" w:rsidRDefault="008C3428" w:rsidP="00F1223B">
            <w:pPr>
              <w:tabs>
                <w:tab w:val="left" w:pos="875"/>
              </w:tabs>
              <w:ind w:right="-50"/>
              <w:jc w:val="center"/>
              <w:rPr>
                <w:rFonts w:ascii="Arial" w:hAnsi="Arial" w:cs="Arial"/>
                <w:b/>
              </w:rPr>
            </w:pPr>
            <w:r w:rsidRPr="00A061AF">
              <w:rPr>
                <w:rFonts w:ascii="Arial" w:hAnsi="Arial" w:cs="Arial"/>
                <w:b/>
              </w:rPr>
              <w:t>N°</w:t>
            </w:r>
          </w:p>
        </w:tc>
        <w:tc>
          <w:tcPr>
            <w:tcW w:w="3969" w:type="dxa"/>
          </w:tcPr>
          <w:p w14:paraId="13B13285" w14:textId="77777777" w:rsidR="008C3428" w:rsidRPr="00A061AF" w:rsidRDefault="008C3428" w:rsidP="00F1223B">
            <w:pPr>
              <w:tabs>
                <w:tab w:val="left" w:pos="875"/>
              </w:tabs>
              <w:ind w:right="-50"/>
              <w:jc w:val="center"/>
              <w:rPr>
                <w:rFonts w:ascii="Arial" w:hAnsi="Arial" w:cs="Arial"/>
                <w:b/>
              </w:rPr>
            </w:pPr>
            <w:r w:rsidRPr="00A061AF">
              <w:rPr>
                <w:rFonts w:ascii="Arial" w:hAnsi="Arial" w:cs="Arial"/>
                <w:b/>
              </w:rPr>
              <w:t>Limitaciones del Sistema CHIP</w:t>
            </w:r>
          </w:p>
          <w:p w14:paraId="0FEBC188" w14:textId="77777777" w:rsidR="008C3428" w:rsidRPr="00A061AF" w:rsidRDefault="008C3428" w:rsidP="00F1223B">
            <w:pPr>
              <w:tabs>
                <w:tab w:val="left" w:pos="875"/>
              </w:tabs>
              <w:ind w:right="-50"/>
              <w:jc w:val="center"/>
              <w:rPr>
                <w:rFonts w:ascii="Arial" w:hAnsi="Arial" w:cs="Arial"/>
                <w:b/>
              </w:rPr>
            </w:pPr>
            <w:r w:rsidRPr="00A061AF">
              <w:rPr>
                <w:rFonts w:ascii="Arial" w:hAnsi="Arial" w:cs="Arial"/>
                <w:b/>
              </w:rPr>
              <w:t xml:space="preserve"> a 31/12/2023</w:t>
            </w:r>
          </w:p>
          <w:p w14:paraId="626C2E22" w14:textId="77777777" w:rsidR="008C3428" w:rsidRPr="00A061AF" w:rsidRDefault="008C3428" w:rsidP="00F1223B">
            <w:pPr>
              <w:tabs>
                <w:tab w:val="left" w:pos="875"/>
              </w:tabs>
              <w:ind w:right="-50"/>
              <w:jc w:val="center"/>
              <w:rPr>
                <w:rFonts w:ascii="Arial" w:hAnsi="Arial" w:cs="Arial"/>
                <w:b/>
              </w:rPr>
            </w:pPr>
          </w:p>
        </w:tc>
        <w:tc>
          <w:tcPr>
            <w:tcW w:w="5250" w:type="dxa"/>
            <w:vAlign w:val="center"/>
          </w:tcPr>
          <w:p w14:paraId="6B32C33D" w14:textId="77777777" w:rsidR="008C3428" w:rsidRPr="00A061AF" w:rsidRDefault="008C3428" w:rsidP="00F1223B">
            <w:pPr>
              <w:tabs>
                <w:tab w:val="left" w:pos="875"/>
              </w:tabs>
              <w:ind w:right="-50"/>
              <w:jc w:val="center"/>
              <w:rPr>
                <w:rFonts w:ascii="Arial" w:hAnsi="Arial" w:cs="Arial"/>
                <w:b/>
              </w:rPr>
            </w:pPr>
            <w:r w:rsidRPr="00A061AF">
              <w:rPr>
                <w:rFonts w:ascii="Arial" w:hAnsi="Arial" w:cs="Arial"/>
                <w:b/>
              </w:rPr>
              <w:t>Descripción de la limitación</w:t>
            </w:r>
          </w:p>
        </w:tc>
      </w:tr>
      <w:tr w:rsidR="008C3428" w:rsidRPr="00A061AF" w14:paraId="2C944FCC" w14:textId="77777777" w:rsidTr="00BD6EEF">
        <w:trPr>
          <w:jc w:val="center"/>
        </w:trPr>
        <w:tc>
          <w:tcPr>
            <w:tcW w:w="851" w:type="dxa"/>
          </w:tcPr>
          <w:p w14:paraId="59A11AF3" w14:textId="77777777" w:rsidR="008C3428" w:rsidRPr="00A061AF" w:rsidRDefault="008C3428" w:rsidP="00F1223B">
            <w:pPr>
              <w:tabs>
                <w:tab w:val="left" w:pos="875"/>
              </w:tabs>
              <w:ind w:right="-50"/>
              <w:jc w:val="center"/>
              <w:rPr>
                <w:rFonts w:ascii="Arial" w:hAnsi="Arial" w:cs="Arial"/>
                <w:b/>
                <w:bCs/>
              </w:rPr>
            </w:pPr>
            <w:r w:rsidRPr="00A061AF">
              <w:rPr>
                <w:rFonts w:ascii="Arial" w:hAnsi="Arial" w:cs="Arial"/>
                <w:b/>
                <w:bCs/>
              </w:rPr>
              <w:t>1</w:t>
            </w:r>
          </w:p>
        </w:tc>
        <w:tc>
          <w:tcPr>
            <w:tcW w:w="3969" w:type="dxa"/>
          </w:tcPr>
          <w:p w14:paraId="1493C5A1" w14:textId="77777777" w:rsidR="008C3428" w:rsidRPr="00A061AF" w:rsidRDefault="008C3428" w:rsidP="00F1223B">
            <w:pPr>
              <w:tabs>
                <w:tab w:val="left" w:pos="875"/>
              </w:tabs>
              <w:ind w:right="-50"/>
              <w:jc w:val="both"/>
              <w:rPr>
                <w:rFonts w:ascii="Arial" w:hAnsi="Arial" w:cs="Arial"/>
                <w:b/>
                <w:bCs/>
              </w:rPr>
            </w:pPr>
            <w:r w:rsidRPr="00A061AF">
              <w:rPr>
                <w:rFonts w:ascii="Arial" w:hAnsi="Arial" w:cs="Arial"/>
                <w:b/>
                <w:bCs/>
              </w:rPr>
              <w:t>Técnicas:</w:t>
            </w:r>
          </w:p>
        </w:tc>
        <w:tc>
          <w:tcPr>
            <w:tcW w:w="5250" w:type="dxa"/>
          </w:tcPr>
          <w:p w14:paraId="041173CE" w14:textId="77777777" w:rsidR="008C3428" w:rsidRPr="00A061AF" w:rsidRDefault="008C3428" w:rsidP="00F1223B">
            <w:pPr>
              <w:tabs>
                <w:tab w:val="left" w:pos="875"/>
              </w:tabs>
              <w:ind w:right="-50"/>
              <w:jc w:val="both"/>
              <w:rPr>
                <w:rFonts w:ascii="Arial" w:hAnsi="Arial" w:cs="Arial"/>
              </w:rPr>
            </w:pPr>
            <w:r w:rsidRPr="00A061AF">
              <w:rPr>
                <w:rFonts w:ascii="Arial" w:hAnsi="Arial" w:cs="Arial"/>
              </w:rPr>
              <w:t>Se generan dificultades al momento del cargue del archivo de las variaciones, ya que no existen las especificaciones técnicas adecuadas, lo que limita el cargue de algunos caracteres.</w:t>
            </w:r>
          </w:p>
        </w:tc>
      </w:tr>
    </w:tbl>
    <w:p w14:paraId="5A003492" w14:textId="77777777" w:rsidR="008C3428" w:rsidRPr="009A2751" w:rsidRDefault="008C3428" w:rsidP="008C3428">
      <w:pPr>
        <w:jc w:val="both"/>
        <w:rPr>
          <w:rFonts w:ascii="Arial" w:hAnsi="Arial" w:cs="Arial"/>
          <w:b/>
          <w:sz w:val="28"/>
          <w:szCs w:val="28"/>
          <w:lang w:val="es-MX"/>
        </w:rPr>
      </w:pPr>
      <w:r w:rsidRPr="009A2751">
        <w:rPr>
          <w:rFonts w:ascii="Arial" w:hAnsi="Arial" w:cs="Arial"/>
          <w:b/>
          <w:sz w:val="28"/>
          <w:szCs w:val="28"/>
          <w:lang w:val="es-MX"/>
        </w:rPr>
        <w:lastRenderedPageBreak/>
        <w:t>348.- CORPORACION PARA EL DESARROLLO SOSTENIBLE DEL NORTE Y EL ORIENTE AMAZONICO - C.D.A.</w:t>
      </w:r>
    </w:p>
    <w:p w14:paraId="54EDB069" w14:textId="77777777" w:rsidR="008C3428" w:rsidRDefault="008C3428" w:rsidP="008C3428">
      <w:pPr>
        <w:ind w:left="-142" w:right="-234"/>
        <w:jc w:val="both"/>
        <w:rPr>
          <w:rFonts w:ascii="Arial" w:hAnsi="Arial" w:cs="Arial"/>
          <w:b/>
          <w:sz w:val="28"/>
          <w:szCs w:val="28"/>
        </w:rPr>
      </w:pPr>
    </w:p>
    <w:tbl>
      <w:tblPr>
        <w:tblStyle w:val="Tablaconcuadrcula"/>
        <w:tblW w:w="9918" w:type="dxa"/>
        <w:jc w:val="center"/>
        <w:tblLook w:val="04A0" w:firstRow="1" w:lastRow="0" w:firstColumn="1" w:lastColumn="0" w:noHBand="0" w:noVBand="1"/>
      </w:tblPr>
      <w:tblGrid>
        <w:gridCol w:w="704"/>
        <w:gridCol w:w="3969"/>
        <w:gridCol w:w="5245"/>
      </w:tblGrid>
      <w:tr w:rsidR="008C3428" w:rsidRPr="009A2751" w14:paraId="5FFB005C" w14:textId="77777777" w:rsidTr="008C3428">
        <w:trPr>
          <w:jc w:val="center"/>
        </w:trPr>
        <w:tc>
          <w:tcPr>
            <w:tcW w:w="704" w:type="dxa"/>
          </w:tcPr>
          <w:p w14:paraId="3D959126" w14:textId="77777777" w:rsidR="008C3428" w:rsidRPr="009A2751" w:rsidRDefault="008C3428" w:rsidP="00F1223B">
            <w:pPr>
              <w:tabs>
                <w:tab w:val="left" w:pos="875"/>
              </w:tabs>
              <w:ind w:right="-50"/>
              <w:jc w:val="center"/>
              <w:rPr>
                <w:rFonts w:ascii="Arial" w:hAnsi="Arial" w:cs="Arial"/>
                <w:b/>
              </w:rPr>
            </w:pPr>
            <w:r w:rsidRPr="009A2751">
              <w:rPr>
                <w:rFonts w:ascii="Arial" w:hAnsi="Arial" w:cs="Arial"/>
                <w:b/>
              </w:rPr>
              <w:t>N°</w:t>
            </w:r>
          </w:p>
        </w:tc>
        <w:tc>
          <w:tcPr>
            <w:tcW w:w="3969" w:type="dxa"/>
          </w:tcPr>
          <w:p w14:paraId="2DEE32F3" w14:textId="77777777" w:rsidR="008C3428" w:rsidRPr="009A2751" w:rsidRDefault="008C3428" w:rsidP="00F1223B">
            <w:pPr>
              <w:tabs>
                <w:tab w:val="left" w:pos="875"/>
              </w:tabs>
              <w:ind w:right="-50"/>
              <w:jc w:val="center"/>
              <w:rPr>
                <w:rFonts w:ascii="Arial" w:hAnsi="Arial" w:cs="Arial"/>
                <w:b/>
              </w:rPr>
            </w:pPr>
            <w:r w:rsidRPr="009A2751">
              <w:rPr>
                <w:rFonts w:ascii="Arial" w:hAnsi="Arial" w:cs="Arial"/>
                <w:b/>
              </w:rPr>
              <w:t>Limitaciones del Sistema CHIP</w:t>
            </w:r>
          </w:p>
          <w:p w14:paraId="26256D72" w14:textId="77777777" w:rsidR="008C3428" w:rsidRPr="009A2751" w:rsidRDefault="008C3428" w:rsidP="00F1223B">
            <w:pPr>
              <w:tabs>
                <w:tab w:val="left" w:pos="875"/>
              </w:tabs>
              <w:ind w:right="-50"/>
              <w:jc w:val="center"/>
              <w:rPr>
                <w:rFonts w:ascii="Arial" w:hAnsi="Arial" w:cs="Arial"/>
                <w:b/>
              </w:rPr>
            </w:pPr>
            <w:r w:rsidRPr="009A2751">
              <w:rPr>
                <w:rFonts w:ascii="Arial" w:hAnsi="Arial" w:cs="Arial"/>
                <w:b/>
              </w:rPr>
              <w:t xml:space="preserve"> a 31/12/2023</w:t>
            </w:r>
          </w:p>
          <w:p w14:paraId="04E467BD" w14:textId="77777777" w:rsidR="008C3428" w:rsidRPr="009A2751" w:rsidRDefault="008C3428" w:rsidP="00F1223B">
            <w:pPr>
              <w:tabs>
                <w:tab w:val="left" w:pos="875"/>
              </w:tabs>
              <w:ind w:right="-50"/>
              <w:jc w:val="center"/>
              <w:rPr>
                <w:rFonts w:ascii="Arial" w:hAnsi="Arial" w:cs="Arial"/>
                <w:b/>
              </w:rPr>
            </w:pPr>
          </w:p>
        </w:tc>
        <w:tc>
          <w:tcPr>
            <w:tcW w:w="5245" w:type="dxa"/>
            <w:vAlign w:val="center"/>
          </w:tcPr>
          <w:p w14:paraId="496C6F6A" w14:textId="77777777" w:rsidR="008C3428" w:rsidRPr="009A2751" w:rsidRDefault="008C3428" w:rsidP="00F1223B">
            <w:pPr>
              <w:tabs>
                <w:tab w:val="left" w:pos="875"/>
              </w:tabs>
              <w:ind w:right="-50"/>
              <w:jc w:val="center"/>
              <w:rPr>
                <w:rFonts w:ascii="Arial" w:hAnsi="Arial" w:cs="Arial"/>
                <w:b/>
              </w:rPr>
            </w:pPr>
            <w:r w:rsidRPr="009A2751">
              <w:rPr>
                <w:rFonts w:ascii="Arial" w:hAnsi="Arial" w:cs="Arial"/>
                <w:b/>
              </w:rPr>
              <w:t>Descripción de la limitación</w:t>
            </w:r>
          </w:p>
        </w:tc>
      </w:tr>
      <w:tr w:rsidR="008C3428" w:rsidRPr="009A2751" w14:paraId="4170638F" w14:textId="77777777" w:rsidTr="008C3428">
        <w:trPr>
          <w:jc w:val="center"/>
        </w:trPr>
        <w:tc>
          <w:tcPr>
            <w:tcW w:w="704" w:type="dxa"/>
          </w:tcPr>
          <w:p w14:paraId="3B49B4DF" w14:textId="77777777" w:rsidR="008C3428" w:rsidRPr="009A2751" w:rsidRDefault="008C3428" w:rsidP="00F1223B">
            <w:pPr>
              <w:tabs>
                <w:tab w:val="left" w:pos="875"/>
              </w:tabs>
              <w:ind w:right="-50"/>
              <w:jc w:val="center"/>
              <w:rPr>
                <w:rFonts w:ascii="Arial" w:hAnsi="Arial" w:cs="Arial"/>
                <w:b/>
                <w:bCs/>
              </w:rPr>
            </w:pPr>
            <w:r w:rsidRPr="009A2751">
              <w:rPr>
                <w:rFonts w:ascii="Arial" w:hAnsi="Arial" w:cs="Arial"/>
                <w:b/>
                <w:bCs/>
              </w:rPr>
              <w:t>1</w:t>
            </w:r>
          </w:p>
        </w:tc>
        <w:tc>
          <w:tcPr>
            <w:tcW w:w="3969" w:type="dxa"/>
          </w:tcPr>
          <w:p w14:paraId="15AC949F" w14:textId="77777777" w:rsidR="008C3428" w:rsidRPr="009A2751" w:rsidRDefault="008C3428" w:rsidP="00F1223B">
            <w:pPr>
              <w:tabs>
                <w:tab w:val="left" w:pos="875"/>
              </w:tabs>
              <w:ind w:right="-50"/>
              <w:jc w:val="both"/>
              <w:rPr>
                <w:rFonts w:ascii="Arial" w:hAnsi="Arial" w:cs="Arial"/>
                <w:b/>
                <w:bCs/>
              </w:rPr>
            </w:pPr>
            <w:r w:rsidRPr="009A2751">
              <w:rPr>
                <w:rFonts w:ascii="Arial" w:hAnsi="Arial" w:cs="Arial"/>
                <w:b/>
                <w:bCs/>
              </w:rPr>
              <w:t>Técnicas:</w:t>
            </w:r>
          </w:p>
        </w:tc>
        <w:tc>
          <w:tcPr>
            <w:tcW w:w="5245" w:type="dxa"/>
          </w:tcPr>
          <w:p w14:paraId="18CE67CA" w14:textId="77777777" w:rsidR="008C3428" w:rsidRPr="009A2751" w:rsidRDefault="008C3428" w:rsidP="00F1223B">
            <w:pPr>
              <w:tabs>
                <w:tab w:val="left" w:pos="875"/>
              </w:tabs>
              <w:ind w:right="-50"/>
              <w:jc w:val="both"/>
              <w:rPr>
                <w:rFonts w:ascii="Arial" w:hAnsi="Arial" w:cs="Arial"/>
              </w:rPr>
            </w:pPr>
            <w:r w:rsidRPr="009A2751">
              <w:rPr>
                <w:rFonts w:ascii="Arial" w:hAnsi="Arial" w:cs="Arial"/>
              </w:rPr>
              <w:t xml:space="preserve">Conectividad </w:t>
            </w:r>
          </w:p>
        </w:tc>
      </w:tr>
      <w:tr w:rsidR="008C3428" w:rsidRPr="009A2751" w14:paraId="343FFBD5" w14:textId="77777777" w:rsidTr="008C3428">
        <w:trPr>
          <w:jc w:val="center"/>
        </w:trPr>
        <w:tc>
          <w:tcPr>
            <w:tcW w:w="704" w:type="dxa"/>
          </w:tcPr>
          <w:p w14:paraId="0FA8411D" w14:textId="77777777" w:rsidR="008C3428" w:rsidRPr="009A2751" w:rsidRDefault="008C3428" w:rsidP="00F1223B">
            <w:pPr>
              <w:tabs>
                <w:tab w:val="left" w:pos="875"/>
              </w:tabs>
              <w:ind w:right="-50"/>
              <w:jc w:val="center"/>
              <w:rPr>
                <w:rFonts w:ascii="Arial" w:hAnsi="Arial" w:cs="Arial"/>
                <w:b/>
                <w:bCs/>
              </w:rPr>
            </w:pPr>
            <w:r w:rsidRPr="009A2751">
              <w:rPr>
                <w:rFonts w:ascii="Arial" w:hAnsi="Arial" w:cs="Arial"/>
                <w:b/>
                <w:bCs/>
              </w:rPr>
              <w:t>2</w:t>
            </w:r>
          </w:p>
        </w:tc>
        <w:tc>
          <w:tcPr>
            <w:tcW w:w="3969" w:type="dxa"/>
          </w:tcPr>
          <w:p w14:paraId="44D6B90C" w14:textId="77777777" w:rsidR="008C3428" w:rsidRPr="009A2751" w:rsidRDefault="008C3428" w:rsidP="00F1223B">
            <w:pPr>
              <w:tabs>
                <w:tab w:val="left" w:pos="875"/>
              </w:tabs>
              <w:ind w:right="-50"/>
              <w:jc w:val="both"/>
              <w:rPr>
                <w:rFonts w:ascii="Arial" w:hAnsi="Arial" w:cs="Arial"/>
                <w:b/>
                <w:bCs/>
              </w:rPr>
            </w:pPr>
            <w:r w:rsidRPr="009A2751">
              <w:rPr>
                <w:rFonts w:ascii="Arial" w:hAnsi="Arial" w:cs="Arial"/>
                <w:b/>
                <w:bCs/>
              </w:rPr>
              <w:t>Soporte a la plataforma:</w:t>
            </w:r>
          </w:p>
        </w:tc>
        <w:tc>
          <w:tcPr>
            <w:tcW w:w="5245" w:type="dxa"/>
          </w:tcPr>
          <w:p w14:paraId="7C85CE15" w14:textId="77777777" w:rsidR="008C3428" w:rsidRPr="009A2751" w:rsidRDefault="008C3428" w:rsidP="00F1223B">
            <w:pPr>
              <w:tabs>
                <w:tab w:val="left" w:pos="875"/>
              </w:tabs>
              <w:ind w:right="-50"/>
              <w:jc w:val="both"/>
              <w:rPr>
                <w:rFonts w:ascii="Arial" w:hAnsi="Arial" w:cs="Arial"/>
              </w:rPr>
            </w:pPr>
            <w:r w:rsidRPr="009A2751">
              <w:rPr>
                <w:rFonts w:ascii="Arial" w:hAnsi="Arial" w:cs="Arial"/>
              </w:rPr>
              <w:t>La plataforma se satura</w:t>
            </w:r>
          </w:p>
        </w:tc>
      </w:tr>
    </w:tbl>
    <w:p w14:paraId="15ACEC21" w14:textId="77777777" w:rsidR="008C3428" w:rsidRDefault="008C3428" w:rsidP="008C3428">
      <w:pPr>
        <w:ind w:left="-142" w:right="-234"/>
        <w:jc w:val="both"/>
        <w:rPr>
          <w:rFonts w:ascii="Arial" w:hAnsi="Arial" w:cs="Arial"/>
          <w:b/>
          <w:sz w:val="28"/>
          <w:szCs w:val="28"/>
        </w:rPr>
      </w:pPr>
    </w:p>
    <w:p w14:paraId="5D807E00" w14:textId="449A3385" w:rsidR="004962D9" w:rsidRPr="004962D9" w:rsidRDefault="004962D9" w:rsidP="004962D9">
      <w:pPr>
        <w:ind w:left="-284"/>
        <w:jc w:val="center"/>
        <w:rPr>
          <w:rFonts w:ascii="Arial" w:hAnsi="Arial" w:cs="Arial"/>
          <w:b/>
          <w:sz w:val="28"/>
          <w:szCs w:val="28"/>
          <w:u w:val="single"/>
          <w:lang w:val="es-ES_tradnl"/>
        </w:rPr>
      </w:pPr>
      <w:bookmarkStart w:id="32" w:name="_Hlk210306969"/>
      <w:bookmarkStart w:id="33" w:name="_Hlk210823320"/>
      <w:r w:rsidRPr="004962D9">
        <w:rPr>
          <w:rFonts w:ascii="Arial" w:hAnsi="Arial" w:cs="Arial"/>
          <w:b/>
          <w:sz w:val="28"/>
          <w:szCs w:val="28"/>
          <w:u w:val="single"/>
          <w:lang w:val="es-ES_tradnl"/>
        </w:rPr>
        <w:t xml:space="preserve">13.- EMPRESAS, ENTIDADES, FONDOS Y PATRIMONIOS AUTÓNOMOS QUE LE INFORMARON A LA COMISIÓN LEGAL DE CUENTAS DE LA CÁMARA DE REPRESENTANTES QUE DURANTE LA VIGENCIA 2024 SE PRESENTARON LIMITACIONES EN LA APLICACIÓN DE LAS NORMAS INTERNACIONALES DE CONTABILIDAD PARA EL SECTOR PÚBLICO COLOMBIANO – NICSP DE ACUERDO CON EL MARCO NORMATIVO APLICABLE ACORDE CON LA NATURALEZA JURÍDICA DE CADA ENTIDAD </w:t>
      </w:r>
      <w:bookmarkEnd w:id="32"/>
      <w:r w:rsidRPr="004962D9">
        <w:rPr>
          <w:rFonts w:ascii="Arial" w:hAnsi="Arial" w:cs="Arial"/>
          <w:b/>
          <w:sz w:val="28"/>
          <w:szCs w:val="28"/>
          <w:u w:val="single"/>
          <w:lang w:val="es-ES_tradnl"/>
        </w:rPr>
        <w:t>ASÍ:</w:t>
      </w:r>
    </w:p>
    <w:p w14:paraId="256EB126" w14:textId="77777777" w:rsidR="004962D9" w:rsidRPr="003F19CF" w:rsidRDefault="004962D9" w:rsidP="004962D9">
      <w:pPr>
        <w:ind w:left="-284" w:right="-376"/>
        <w:jc w:val="both"/>
        <w:rPr>
          <w:rFonts w:ascii="Arial" w:hAnsi="Arial" w:cs="Arial"/>
          <w:sz w:val="28"/>
          <w:szCs w:val="28"/>
        </w:rPr>
      </w:pPr>
    </w:p>
    <w:bookmarkEnd w:id="33"/>
    <w:p w14:paraId="23EBB7EC" w14:textId="77777777" w:rsidR="004962D9" w:rsidRPr="00B60493" w:rsidRDefault="004962D9" w:rsidP="009808DC">
      <w:pPr>
        <w:ind w:left="-284" w:right="-234"/>
        <w:jc w:val="both"/>
        <w:rPr>
          <w:rFonts w:ascii="Arial" w:hAnsi="Arial" w:cs="Arial"/>
          <w:b/>
          <w:sz w:val="28"/>
          <w:szCs w:val="28"/>
          <w:lang w:val="es-MX"/>
        </w:rPr>
      </w:pPr>
      <w:r w:rsidRPr="00B60493">
        <w:rPr>
          <w:rFonts w:ascii="Arial" w:hAnsi="Arial" w:cs="Arial"/>
          <w:b/>
          <w:sz w:val="28"/>
          <w:szCs w:val="28"/>
          <w:lang w:val="es-MX"/>
        </w:rPr>
        <w:t>5.- UNIDAD ADMINISTRATIVA ESPECIAL DEL SERVICIO PÚBLICO DE EMPLEO.</w:t>
      </w:r>
    </w:p>
    <w:p w14:paraId="24FBAC48"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B60493" w14:paraId="420C72ED" w14:textId="77777777" w:rsidTr="00D4226B">
        <w:tc>
          <w:tcPr>
            <w:tcW w:w="851" w:type="dxa"/>
          </w:tcPr>
          <w:p w14:paraId="660D0DF0"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N°</w:t>
            </w:r>
          </w:p>
        </w:tc>
        <w:tc>
          <w:tcPr>
            <w:tcW w:w="4395" w:type="dxa"/>
          </w:tcPr>
          <w:p w14:paraId="1DDC8A7A"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Limitaciones detectadas por su entidad en</w:t>
            </w:r>
          </w:p>
          <w:p w14:paraId="30B93F71"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 xml:space="preserve"> la aplicación del Marco Normativo - NICSP </w:t>
            </w:r>
          </w:p>
          <w:p w14:paraId="4DC392B7"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a 31/12/2024</w:t>
            </w:r>
          </w:p>
          <w:p w14:paraId="62E046F4" w14:textId="77777777" w:rsidR="004962D9" w:rsidRPr="00B60493" w:rsidRDefault="004962D9" w:rsidP="00D4226B">
            <w:pPr>
              <w:tabs>
                <w:tab w:val="left" w:pos="875"/>
              </w:tabs>
              <w:ind w:right="-50"/>
              <w:jc w:val="center"/>
              <w:rPr>
                <w:rFonts w:ascii="Arial" w:hAnsi="Arial" w:cs="Arial"/>
                <w:b/>
              </w:rPr>
            </w:pPr>
          </w:p>
        </w:tc>
        <w:tc>
          <w:tcPr>
            <w:tcW w:w="5244" w:type="dxa"/>
          </w:tcPr>
          <w:p w14:paraId="510EDBA0"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Descripción de la limitación</w:t>
            </w:r>
          </w:p>
        </w:tc>
      </w:tr>
      <w:tr w:rsidR="004962D9" w:rsidRPr="00B60493" w14:paraId="0E7B6CB1" w14:textId="77777777" w:rsidTr="00D4226B">
        <w:tc>
          <w:tcPr>
            <w:tcW w:w="851" w:type="dxa"/>
          </w:tcPr>
          <w:p w14:paraId="72A1B3DA"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1</w:t>
            </w:r>
          </w:p>
        </w:tc>
        <w:tc>
          <w:tcPr>
            <w:tcW w:w="4395" w:type="dxa"/>
          </w:tcPr>
          <w:p w14:paraId="407DB685" w14:textId="77777777" w:rsidR="004962D9" w:rsidRPr="00B60493" w:rsidRDefault="004962D9" w:rsidP="00D4226B">
            <w:pPr>
              <w:tabs>
                <w:tab w:val="left" w:pos="875"/>
              </w:tabs>
              <w:ind w:right="-50"/>
              <w:jc w:val="both"/>
              <w:rPr>
                <w:rFonts w:ascii="Arial" w:hAnsi="Arial" w:cs="Arial"/>
                <w:b/>
              </w:rPr>
            </w:pPr>
            <w:r w:rsidRPr="00B60493">
              <w:rPr>
                <w:rFonts w:ascii="Arial" w:hAnsi="Arial" w:cs="Arial"/>
                <w:b/>
              </w:rPr>
              <w:t>Académicas:</w:t>
            </w:r>
          </w:p>
        </w:tc>
        <w:tc>
          <w:tcPr>
            <w:tcW w:w="5244" w:type="dxa"/>
          </w:tcPr>
          <w:p w14:paraId="31CFDDC4" w14:textId="77777777" w:rsidR="004962D9" w:rsidRPr="00B60493" w:rsidRDefault="004962D9" w:rsidP="00D4226B">
            <w:pPr>
              <w:tabs>
                <w:tab w:val="left" w:pos="875"/>
              </w:tabs>
              <w:ind w:right="-50"/>
              <w:jc w:val="both"/>
              <w:rPr>
                <w:rFonts w:ascii="Arial" w:hAnsi="Arial" w:cs="Arial"/>
              </w:rPr>
            </w:pPr>
            <w:r w:rsidRPr="00B60493">
              <w:rPr>
                <w:rFonts w:ascii="Arial" w:hAnsi="Arial" w:cs="Arial"/>
              </w:rPr>
              <w:t>Se hace necesario que la Contaduría General de la Nación, brinde capacitación y acompañamiento a las entidades de los marcos normativos y las nuevas normas expedidas.</w:t>
            </w:r>
          </w:p>
        </w:tc>
      </w:tr>
      <w:tr w:rsidR="004962D9" w:rsidRPr="00B60493" w14:paraId="124C2285" w14:textId="77777777" w:rsidTr="00D4226B">
        <w:tc>
          <w:tcPr>
            <w:tcW w:w="851" w:type="dxa"/>
          </w:tcPr>
          <w:p w14:paraId="30057687" w14:textId="77777777" w:rsidR="004962D9" w:rsidRPr="00B60493" w:rsidRDefault="004962D9" w:rsidP="00D4226B">
            <w:pPr>
              <w:tabs>
                <w:tab w:val="left" w:pos="875"/>
              </w:tabs>
              <w:ind w:right="-50"/>
              <w:jc w:val="center"/>
              <w:rPr>
                <w:rFonts w:ascii="Arial" w:hAnsi="Arial" w:cs="Arial"/>
                <w:b/>
              </w:rPr>
            </w:pPr>
            <w:r w:rsidRPr="00B60493">
              <w:rPr>
                <w:rFonts w:ascii="Arial" w:hAnsi="Arial" w:cs="Arial"/>
                <w:b/>
              </w:rPr>
              <w:t>2</w:t>
            </w:r>
          </w:p>
        </w:tc>
        <w:tc>
          <w:tcPr>
            <w:tcW w:w="4395" w:type="dxa"/>
          </w:tcPr>
          <w:p w14:paraId="5CA0E3AC" w14:textId="77777777" w:rsidR="004962D9" w:rsidRPr="00B60493" w:rsidRDefault="004962D9" w:rsidP="00D4226B">
            <w:pPr>
              <w:tabs>
                <w:tab w:val="left" w:pos="875"/>
              </w:tabs>
              <w:ind w:right="-50"/>
              <w:jc w:val="both"/>
              <w:rPr>
                <w:rFonts w:ascii="Arial" w:hAnsi="Arial" w:cs="Arial"/>
                <w:b/>
              </w:rPr>
            </w:pPr>
            <w:r w:rsidRPr="00B60493">
              <w:rPr>
                <w:rFonts w:ascii="Arial" w:hAnsi="Arial" w:cs="Arial"/>
                <w:b/>
              </w:rPr>
              <w:t>Técnicas:</w:t>
            </w:r>
          </w:p>
        </w:tc>
        <w:tc>
          <w:tcPr>
            <w:tcW w:w="5244" w:type="dxa"/>
          </w:tcPr>
          <w:p w14:paraId="234B1407" w14:textId="77777777" w:rsidR="004962D9" w:rsidRPr="00B60493" w:rsidRDefault="004962D9" w:rsidP="00D4226B">
            <w:pPr>
              <w:tabs>
                <w:tab w:val="left" w:pos="875"/>
              </w:tabs>
              <w:ind w:right="-50"/>
              <w:jc w:val="both"/>
              <w:rPr>
                <w:rFonts w:ascii="Arial" w:hAnsi="Arial" w:cs="Arial"/>
              </w:rPr>
            </w:pPr>
            <w:r w:rsidRPr="00B60493">
              <w:rPr>
                <w:rFonts w:ascii="Arial" w:hAnsi="Arial" w:cs="Arial"/>
              </w:rPr>
              <w:t xml:space="preserve">En el 2024 la Contaduría realizó cambios importantes de parametrizaciones en comprobantes contables manuales, en normatividad y el tiempo de aplicación es inmediato, pero no se realizó la suficiente capacitación a los contadores de las entidades públicas. </w:t>
            </w:r>
          </w:p>
        </w:tc>
      </w:tr>
    </w:tbl>
    <w:p w14:paraId="0DD4F0DB" w14:textId="77777777" w:rsidR="004962D9" w:rsidRDefault="004962D9" w:rsidP="004962D9">
      <w:pPr>
        <w:ind w:left="-284" w:right="-234"/>
        <w:jc w:val="both"/>
        <w:rPr>
          <w:rFonts w:ascii="Arial" w:eastAsia="Trebuchet MS" w:hAnsi="Arial" w:cs="Arial"/>
          <w:b/>
          <w:sz w:val="32"/>
          <w:szCs w:val="32"/>
          <w:u w:val="single"/>
          <w:lang w:eastAsia="es-CO"/>
        </w:rPr>
      </w:pPr>
    </w:p>
    <w:p w14:paraId="3D28BF4D" w14:textId="77777777" w:rsidR="004962D9" w:rsidRPr="005E585E" w:rsidRDefault="004962D9" w:rsidP="004962D9">
      <w:pPr>
        <w:ind w:left="-284"/>
        <w:jc w:val="both"/>
        <w:rPr>
          <w:rFonts w:ascii="Arial" w:hAnsi="Arial" w:cs="Arial"/>
          <w:b/>
          <w:sz w:val="28"/>
          <w:szCs w:val="28"/>
          <w:lang w:val="es-MX"/>
        </w:rPr>
      </w:pPr>
      <w:r w:rsidRPr="005E585E">
        <w:rPr>
          <w:rFonts w:ascii="Arial" w:hAnsi="Arial" w:cs="Arial"/>
          <w:b/>
          <w:sz w:val="28"/>
          <w:szCs w:val="28"/>
          <w:lang w:val="es-MX"/>
        </w:rPr>
        <w:t>10.- PARQUES NACIONALES NATURALES DE COLOMBIA.</w:t>
      </w:r>
    </w:p>
    <w:p w14:paraId="5F3FBA39" w14:textId="77777777" w:rsidR="004962D9" w:rsidRDefault="004962D9" w:rsidP="004962D9">
      <w:pPr>
        <w:ind w:left="-284" w:right="-460"/>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5E585E" w14:paraId="3C857B26" w14:textId="77777777" w:rsidTr="00D4226B">
        <w:tc>
          <w:tcPr>
            <w:tcW w:w="851" w:type="dxa"/>
          </w:tcPr>
          <w:p w14:paraId="2AD800F6"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N°</w:t>
            </w:r>
          </w:p>
        </w:tc>
        <w:tc>
          <w:tcPr>
            <w:tcW w:w="4395" w:type="dxa"/>
          </w:tcPr>
          <w:p w14:paraId="3BA9B88E"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Limitaciones detectadas por su entidad en</w:t>
            </w:r>
          </w:p>
          <w:p w14:paraId="7919FB98"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 xml:space="preserve"> la aplicación del Marco Normativo - NICSP </w:t>
            </w:r>
          </w:p>
          <w:p w14:paraId="74D5F884"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a 31/12/2024</w:t>
            </w:r>
          </w:p>
          <w:p w14:paraId="4FABDB5C" w14:textId="77777777" w:rsidR="004962D9" w:rsidRPr="005E585E" w:rsidRDefault="004962D9" w:rsidP="00D4226B">
            <w:pPr>
              <w:tabs>
                <w:tab w:val="left" w:pos="875"/>
              </w:tabs>
              <w:ind w:right="-50"/>
              <w:jc w:val="center"/>
              <w:rPr>
                <w:rFonts w:ascii="Arial" w:hAnsi="Arial" w:cs="Arial"/>
                <w:b/>
              </w:rPr>
            </w:pPr>
          </w:p>
        </w:tc>
        <w:tc>
          <w:tcPr>
            <w:tcW w:w="5244" w:type="dxa"/>
          </w:tcPr>
          <w:p w14:paraId="0F0B388F"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Descripción de la limitación</w:t>
            </w:r>
          </w:p>
        </w:tc>
      </w:tr>
      <w:tr w:rsidR="004962D9" w:rsidRPr="005E585E" w14:paraId="71BAA52C" w14:textId="77777777" w:rsidTr="00D4226B">
        <w:tc>
          <w:tcPr>
            <w:tcW w:w="851" w:type="dxa"/>
          </w:tcPr>
          <w:p w14:paraId="67D2394B"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1</w:t>
            </w:r>
          </w:p>
        </w:tc>
        <w:tc>
          <w:tcPr>
            <w:tcW w:w="4395" w:type="dxa"/>
          </w:tcPr>
          <w:p w14:paraId="06ECDFF2" w14:textId="77777777" w:rsidR="004962D9" w:rsidRPr="005E585E" w:rsidRDefault="004962D9" w:rsidP="00D4226B">
            <w:pPr>
              <w:tabs>
                <w:tab w:val="left" w:pos="875"/>
              </w:tabs>
              <w:ind w:right="-50"/>
              <w:jc w:val="both"/>
              <w:rPr>
                <w:rFonts w:ascii="Arial" w:hAnsi="Arial" w:cs="Arial"/>
                <w:b/>
              </w:rPr>
            </w:pPr>
            <w:r w:rsidRPr="005E585E">
              <w:rPr>
                <w:rFonts w:ascii="Arial" w:hAnsi="Arial" w:cs="Arial"/>
                <w:b/>
              </w:rPr>
              <w:t>Normativas:</w:t>
            </w:r>
          </w:p>
        </w:tc>
        <w:tc>
          <w:tcPr>
            <w:tcW w:w="5244" w:type="dxa"/>
          </w:tcPr>
          <w:p w14:paraId="4857F764" w14:textId="77777777" w:rsidR="004962D9" w:rsidRPr="005E585E" w:rsidRDefault="004962D9" w:rsidP="00D4226B">
            <w:pPr>
              <w:tabs>
                <w:tab w:val="left" w:pos="875"/>
              </w:tabs>
              <w:ind w:right="-50"/>
              <w:jc w:val="both"/>
              <w:rPr>
                <w:rFonts w:ascii="Arial" w:hAnsi="Arial" w:cs="Arial"/>
              </w:rPr>
            </w:pPr>
            <w:r w:rsidRPr="005E585E">
              <w:rPr>
                <w:rFonts w:ascii="Arial" w:hAnsi="Arial" w:cs="Arial"/>
              </w:rPr>
              <w:t>Ausencia de un procedimiento para el reconocimiento contable de los aportes de cooperación internacional recibidos y que son administrados por terceros.  Se realizó mesas de trabajo con la Contaduría General de la Nación para plantear la necesidad de la entidad respecto a dicho tema.</w:t>
            </w:r>
          </w:p>
        </w:tc>
      </w:tr>
    </w:tbl>
    <w:p w14:paraId="205F6DC4" w14:textId="77777777" w:rsidR="004962D9" w:rsidRPr="005E585E" w:rsidRDefault="004962D9" w:rsidP="004962D9">
      <w:pPr>
        <w:ind w:left="-284" w:right="-460"/>
        <w:rPr>
          <w:rFonts w:ascii="Arial" w:hAnsi="Arial" w:cs="Arial"/>
          <w:b/>
          <w:sz w:val="28"/>
          <w:szCs w:val="28"/>
        </w:rPr>
      </w:pPr>
    </w:p>
    <w:p w14:paraId="0802B785" w14:textId="77777777" w:rsidR="004962D9" w:rsidRDefault="004962D9" w:rsidP="004962D9">
      <w:pPr>
        <w:ind w:left="-284"/>
        <w:jc w:val="both"/>
        <w:rPr>
          <w:rFonts w:ascii="Arial" w:hAnsi="Arial" w:cs="Arial"/>
          <w:b/>
          <w:sz w:val="32"/>
          <w:szCs w:val="32"/>
          <w:lang w:val="es-MX"/>
        </w:rPr>
      </w:pPr>
      <w:r>
        <w:rPr>
          <w:rFonts w:ascii="Arial" w:hAnsi="Arial" w:cs="Arial"/>
          <w:b/>
          <w:sz w:val="32"/>
          <w:szCs w:val="32"/>
          <w:lang w:val="es-MX"/>
        </w:rPr>
        <w:t>23.</w:t>
      </w:r>
      <w:r w:rsidRPr="009B73F4">
        <w:rPr>
          <w:rFonts w:ascii="Arial" w:hAnsi="Arial" w:cs="Arial"/>
          <w:b/>
          <w:sz w:val="32"/>
          <w:szCs w:val="32"/>
          <w:lang w:val="es-MX"/>
        </w:rPr>
        <w:t xml:space="preserve">- </w:t>
      </w:r>
      <w:r>
        <w:rPr>
          <w:rFonts w:ascii="Arial" w:hAnsi="Arial" w:cs="Arial"/>
          <w:b/>
          <w:sz w:val="32"/>
          <w:szCs w:val="32"/>
          <w:lang w:val="es-MX"/>
        </w:rPr>
        <w:t>INSTITUTO NACIONAL DE VÍAS - INVÍAS</w:t>
      </w:r>
      <w:r w:rsidRPr="009B73F4">
        <w:rPr>
          <w:rFonts w:ascii="Arial" w:hAnsi="Arial" w:cs="Arial"/>
          <w:b/>
          <w:sz w:val="32"/>
          <w:szCs w:val="32"/>
          <w:lang w:val="es-MX"/>
        </w:rPr>
        <w:t>.</w:t>
      </w:r>
    </w:p>
    <w:p w14:paraId="6B472F72" w14:textId="77777777" w:rsidR="004962D9" w:rsidRDefault="004962D9" w:rsidP="004962D9">
      <w:pPr>
        <w:ind w:left="-284"/>
        <w:jc w:val="both"/>
        <w:rPr>
          <w:rFonts w:ascii="Arial" w:hAnsi="Arial" w:cs="Arial"/>
          <w:b/>
          <w:sz w:val="32"/>
          <w:szCs w:val="32"/>
          <w:lang w:val="es-MX"/>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5E585E" w14:paraId="3A140DB5" w14:textId="77777777" w:rsidTr="00D4226B">
        <w:tc>
          <w:tcPr>
            <w:tcW w:w="851" w:type="dxa"/>
          </w:tcPr>
          <w:p w14:paraId="24F42938"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N°</w:t>
            </w:r>
          </w:p>
        </w:tc>
        <w:tc>
          <w:tcPr>
            <w:tcW w:w="4395" w:type="dxa"/>
          </w:tcPr>
          <w:p w14:paraId="45DE061C"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Limitaciones detectadas por su entidad en</w:t>
            </w:r>
          </w:p>
          <w:p w14:paraId="719D45EC"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lastRenderedPageBreak/>
              <w:t xml:space="preserve"> la aplicación del Marco Normativo - NICSP </w:t>
            </w:r>
          </w:p>
          <w:p w14:paraId="39906233"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a 31/12/2024</w:t>
            </w:r>
          </w:p>
          <w:p w14:paraId="731414EB" w14:textId="77777777" w:rsidR="004962D9" w:rsidRPr="005E585E" w:rsidRDefault="004962D9" w:rsidP="00D4226B">
            <w:pPr>
              <w:tabs>
                <w:tab w:val="left" w:pos="875"/>
              </w:tabs>
              <w:ind w:right="-50"/>
              <w:jc w:val="center"/>
              <w:rPr>
                <w:rFonts w:ascii="Arial" w:hAnsi="Arial" w:cs="Arial"/>
                <w:b/>
              </w:rPr>
            </w:pPr>
          </w:p>
        </w:tc>
        <w:tc>
          <w:tcPr>
            <w:tcW w:w="5244" w:type="dxa"/>
          </w:tcPr>
          <w:p w14:paraId="647365C4"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lastRenderedPageBreak/>
              <w:t>Descripción de la limitación</w:t>
            </w:r>
          </w:p>
        </w:tc>
      </w:tr>
      <w:tr w:rsidR="004962D9" w:rsidRPr="005E585E" w14:paraId="2FB14252" w14:textId="77777777" w:rsidTr="00D4226B">
        <w:tc>
          <w:tcPr>
            <w:tcW w:w="851" w:type="dxa"/>
          </w:tcPr>
          <w:p w14:paraId="2E5EBC1C" w14:textId="77777777" w:rsidR="004962D9" w:rsidRPr="005E585E" w:rsidRDefault="004962D9" w:rsidP="00D4226B">
            <w:pPr>
              <w:tabs>
                <w:tab w:val="left" w:pos="875"/>
              </w:tabs>
              <w:ind w:right="-50"/>
              <w:jc w:val="center"/>
              <w:rPr>
                <w:rFonts w:ascii="Arial" w:hAnsi="Arial" w:cs="Arial"/>
                <w:b/>
              </w:rPr>
            </w:pPr>
            <w:r w:rsidRPr="005E585E">
              <w:rPr>
                <w:rFonts w:ascii="Arial" w:hAnsi="Arial" w:cs="Arial"/>
                <w:b/>
              </w:rPr>
              <w:t>1</w:t>
            </w:r>
          </w:p>
        </w:tc>
        <w:tc>
          <w:tcPr>
            <w:tcW w:w="4395" w:type="dxa"/>
          </w:tcPr>
          <w:p w14:paraId="03635278" w14:textId="77777777" w:rsidR="004962D9" w:rsidRPr="005E585E" w:rsidRDefault="004962D9" w:rsidP="00D4226B">
            <w:pPr>
              <w:tabs>
                <w:tab w:val="left" w:pos="875"/>
              </w:tabs>
              <w:ind w:right="-50"/>
              <w:jc w:val="both"/>
              <w:rPr>
                <w:rFonts w:ascii="Arial" w:hAnsi="Arial" w:cs="Arial"/>
                <w:b/>
              </w:rPr>
            </w:pPr>
            <w:r w:rsidRPr="00F93D7B">
              <w:rPr>
                <w:rFonts w:ascii="Arial" w:hAnsi="Arial" w:cs="Arial"/>
                <w:bCs/>
              </w:rPr>
              <w:t>Operativas:</w:t>
            </w:r>
          </w:p>
        </w:tc>
        <w:tc>
          <w:tcPr>
            <w:tcW w:w="5244" w:type="dxa"/>
          </w:tcPr>
          <w:p w14:paraId="145F8656" w14:textId="77777777" w:rsidR="004962D9" w:rsidRPr="005E585E" w:rsidRDefault="004962D9" w:rsidP="00D4226B">
            <w:pPr>
              <w:tabs>
                <w:tab w:val="left" w:pos="875"/>
              </w:tabs>
              <w:ind w:right="-50"/>
              <w:jc w:val="both"/>
              <w:rPr>
                <w:rFonts w:ascii="Arial" w:hAnsi="Arial" w:cs="Arial"/>
              </w:rPr>
            </w:pPr>
            <w:r w:rsidRPr="00252E11">
              <w:rPr>
                <w:rFonts w:ascii="Arial" w:hAnsi="Arial" w:cs="Arial"/>
              </w:rPr>
              <w:t>Disponibilidad de información relacionada con terrenos de la Nación que no han sido registrados catastralmente</w:t>
            </w:r>
            <w:r>
              <w:rPr>
                <w:rFonts w:ascii="Arial" w:hAnsi="Arial" w:cs="Arial"/>
              </w:rPr>
              <w:t>.</w:t>
            </w:r>
          </w:p>
        </w:tc>
      </w:tr>
    </w:tbl>
    <w:p w14:paraId="3E4A1CA8" w14:textId="77777777" w:rsidR="004962D9" w:rsidRPr="00A14515" w:rsidRDefault="004962D9" w:rsidP="004962D9">
      <w:pPr>
        <w:ind w:left="-284"/>
        <w:jc w:val="both"/>
        <w:rPr>
          <w:rFonts w:ascii="Arial" w:hAnsi="Arial" w:cs="Arial"/>
          <w:b/>
          <w:sz w:val="32"/>
          <w:szCs w:val="32"/>
        </w:rPr>
      </w:pPr>
    </w:p>
    <w:p w14:paraId="3C3A1CD8" w14:textId="77777777" w:rsidR="004962D9" w:rsidRPr="00C946EE" w:rsidRDefault="004962D9" w:rsidP="004962D9">
      <w:pPr>
        <w:ind w:left="-284"/>
        <w:jc w:val="both"/>
        <w:rPr>
          <w:rFonts w:ascii="Arial" w:hAnsi="Arial" w:cs="Arial"/>
          <w:b/>
          <w:sz w:val="28"/>
          <w:szCs w:val="28"/>
          <w:lang w:val="es-MX"/>
        </w:rPr>
      </w:pPr>
      <w:r w:rsidRPr="00C946EE">
        <w:rPr>
          <w:rFonts w:ascii="Arial" w:hAnsi="Arial" w:cs="Arial"/>
          <w:b/>
          <w:sz w:val="28"/>
          <w:szCs w:val="28"/>
          <w:lang w:val="es-MX"/>
        </w:rPr>
        <w:t>27.- INSTITUTO NACIONAL DE METROLOGÍA DE COLOMBIA - INMC.</w:t>
      </w:r>
    </w:p>
    <w:p w14:paraId="1C714CB5" w14:textId="77777777" w:rsidR="004962D9" w:rsidRDefault="004962D9" w:rsidP="004962D9">
      <w:pPr>
        <w:jc w:val="both"/>
        <w:rPr>
          <w:rFonts w:ascii="Arial" w:hAnsi="Arial" w:cs="Arial"/>
          <w:sz w:val="28"/>
          <w:szCs w:val="28"/>
          <w:lang w:val="es-MX"/>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55164D" w14:paraId="1F68021C" w14:textId="77777777" w:rsidTr="00D4226B">
        <w:tc>
          <w:tcPr>
            <w:tcW w:w="851" w:type="dxa"/>
          </w:tcPr>
          <w:p w14:paraId="4198851C" w14:textId="77777777" w:rsidR="004962D9" w:rsidRPr="0055164D" w:rsidRDefault="004962D9" w:rsidP="00D4226B">
            <w:pPr>
              <w:tabs>
                <w:tab w:val="left" w:pos="875"/>
              </w:tabs>
              <w:ind w:right="-50"/>
              <w:jc w:val="center"/>
              <w:rPr>
                <w:rFonts w:ascii="Arial" w:hAnsi="Arial" w:cs="Arial"/>
                <w:b/>
              </w:rPr>
            </w:pPr>
            <w:r w:rsidRPr="0055164D">
              <w:rPr>
                <w:rFonts w:ascii="Arial" w:hAnsi="Arial" w:cs="Arial"/>
                <w:b/>
              </w:rPr>
              <w:t>N°</w:t>
            </w:r>
          </w:p>
        </w:tc>
        <w:tc>
          <w:tcPr>
            <w:tcW w:w="4395" w:type="dxa"/>
          </w:tcPr>
          <w:p w14:paraId="13375658" w14:textId="77777777" w:rsidR="004962D9" w:rsidRPr="0055164D" w:rsidRDefault="004962D9" w:rsidP="00D4226B">
            <w:pPr>
              <w:tabs>
                <w:tab w:val="left" w:pos="875"/>
              </w:tabs>
              <w:ind w:right="-50"/>
              <w:jc w:val="center"/>
              <w:rPr>
                <w:rFonts w:ascii="Arial" w:hAnsi="Arial" w:cs="Arial"/>
                <w:b/>
              </w:rPr>
            </w:pPr>
            <w:r w:rsidRPr="0055164D">
              <w:rPr>
                <w:rFonts w:ascii="Arial" w:hAnsi="Arial" w:cs="Arial"/>
                <w:b/>
              </w:rPr>
              <w:t>Limitaciones detectadas por su entidad en</w:t>
            </w:r>
          </w:p>
          <w:p w14:paraId="4CF83945" w14:textId="77777777" w:rsidR="004962D9" w:rsidRPr="0055164D" w:rsidRDefault="004962D9" w:rsidP="00D4226B">
            <w:pPr>
              <w:tabs>
                <w:tab w:val="left" w:pos="875"/>
              </w:tabs>
              <w:ind w:right="-50"/>
              <w:jc w:val="center"/>
              <w:rPr>
                <w:rFonts w:ascii="Arial" w:hAnsi="Arial" w:cs="Arial"/>
                <w:b/>
              </w:rPr>
            </w:pPr>
            <w:r w:rsidRPr="0055164D">
              <w:rPr>
                <w:rFonts w:ascii="Arial" w:hAnsi="Arial" w:cs="Arial"/>
                <w:b/>
              </w:rPr>
              <w:t xml:space="preserve"> la aplicación del Marco Normativo - NICSP </w:t>
            </w:r>
          </w:p>
          <w:p w14:paraId="69B9FAF5" w14:textId="77777777" w:rsidR="004962D9" w:rsidRPr="0055164D" w:rsidRDefault="004962D9" w:rsidP="00D4226B">
            <w:pPr>
              <w:tabs>
                <w:tab w:val="left" w:pos="875"/>
              </w:tabs>
              <w:ind w:right="-50"/>
              <w:jc w:val="center"/>
              <w:rPr>
                <w:rFonts w:ascii="Arial" w:hAnsi="Arial" w:cs="Arial"/>
                <w:b/>
              </w:rPr>
            </w:pPr>
            <w:r w:rsidRPr="0055164D">
              <w:rPr>
                <w:rFonts w:ascii="Arial" w:hAnsi="Arial" w:cs="Arial"/>
                <w:b/>
              </w:rPr>
              <w:t>a 31/12/2024</w:t>
            </w:r>
          </w:p>
          <w:p w14:paraId="1EDD829D" w14:textId="77777777" w:rsidR="004962D9" w:rsidRPr="0055164D" w:rsidRDefault="004962D9" w:rsidP="00D4226B">
            <w:pPr>
              <w:tabs>
                <w:tab w:val="left" w:pos="875"/>
              </w:tabs>
              <w:ind w:right="-50"/>
              <w:jc w:val="center"/>
              <w:rPr>
                <w:rFonts w:ascii="Arial" w:hAnsi="Arial" w:cs="Arial"/>
                <w:b/>
              </w:rPr>
            </w:pPr>
          </w:p>
        </w:tc>
        <w:tc>
          <w:tcPr>
            <w:tcW w:w="5244" w:type="dxa"/>
          </w:tcPr>
          <w:p w14:paraId="32E8934F" w14:textId="77777777" w:rsidR="004962D9" w:rsidRPr="0055164D" w:rsidRDefault="004962D9" w:rsidP="00D4226B">
            <w:pPr>
              <w:tabs>
                <w:tab w:val="left" w:pos="875"/>
              </w:tabs>
              <w:ind w:right="-50"/>
              <w:jc w:val="center"/>
              <w:rPr>
                <w:rFonts w:ascii="Arial" w:hAnsi="Arial" w:cs="Arial"/>
                <w:b/>
              </w:rPr>
            </w:pPr>
            <w:r w:rsidRPr="0055164D">
              <w:rPr>
                <w:rFonts w:ascii="Arial" w:hAnsi="Arial" w:cs="Arial"/>
                <w:b/>
              </w:rPr>
              <w:t>Descripción de la limitación</w:t>
            </w:r>
          </w:p>
        </w:tc>
      </w:tr>
      <w:tr w:rsidR="004962D9" w:rsidRPr="0055164D" w14:paraId="645A50B3" w14:textId="77777777" w:rsidTr="00D4226B">
        <w:tc>
          <w:tcPr>
            <w:tcW w:w="851" w:type="dxa"/>
          </w:tcPr>
          <w:p w14:paraId="7425BFCA" w14:textId="77777777" w:rsidR="004962D9" w:rsidRPr="0055164D" w:rsidRDefault="004962D9" w:rsidP="00D4226B">
            <w:pPr>
              <w:tabs>
                <w:tab w:val="left" w:pos="875"/>
              </w:tabs>
              <w:ind w:right="-50"/>
              <w:jc w:val="center"/>
              <w:rPr>
                <w:rFonts w:ascii="Arial" w:hAnsi="Arial" w:cs="Arial"/>
                <w:b/>
              </w:rPr>
            </w:pPr>
            <w:r w:rsidRPr="0055164D">
              <w:rPr>
                <w:rFonts w:ascii="Arial" w:hAnsi="Arial" w:cs="Arial"/>
                <w:b/>
              </w:rPr>
              <w:t>1</w:t>
            </w:r>
          </w:p>
        </w:tc>
        <w:tc>
          <w:tcPr>
            <w:tcW w:w="4395" w:type="dxa"/>
          </w:tcPr>
          <w:p w14:paraId="673B9D7E" w14:textId="77777777" w:rsidR="004962D9" w:rsidRPr="0055164D" w:rsidRDefault="004962D9" w:rsidP="00D4226B">
            <w:pPr>
              <w:tabs>
                <w:tab w:val="left" w:pos="875"/>
              </w:tabs>
              <w:ind w:right="-50"/>
              <w:jc w:val="both"/>
              <w:rPr>
                <w:rFonts w:ascii="Arial" w:hAnsi="Arial" w:cs="Arial"/>
                <w:b/>
              </w:rPr>
            </w:pPr>
            <w:r w:rsidRPr="0055164D">
              <w:rPr>
                <w:rFonts w:ascii="Arial" w:hAnsi="Arial" w:cs="Arial"/>
                <w:b/>
              </w:rPr>
              <w:t>Operativas:</w:t>
            </w:r>
          </w:p>
        </w:tc>
        <w:tc>
          <w:tcPr>
            <w:tcW w:w="5244" w:type="dxa"/>
          </w:tcPr>
          <w:p w14:paraId="7515E760" w14:textId="77777777" w:rsidR="004962D9" w:rsidRPr="0055164D" w:rsidRDefault="004962D9" w:rsidP="00D4226B">
            <w:pPr>
              <w:tabs>
                <w:tab w:val="left" w:pos="875"/>
              </w:tabs>
              <w:ind w:right="-50"/>
              <w:jc w:val="both"/>
              <w:rPr>
                <w:rFonts w:ascii="Arial" w:hAnsi="Arial" w:cs="Arial"/>
              </w:rPr>
            </w:pPr>
            <w:r w:rsidRPr="0055164D">
              <w:rPr>
                <w:rFonts w:ascii="Arial" w:hAnsi="Arial" w:cs="Arial"/>
              </w:rPr>
              <w:t>Falta de personal para realizar los procesos contables y de almacén, relacionado con el proceso de depuración de información para cargue y parametrización del software de inventarios.</w:t>
            </w:r>
          </w:p>
        </w:tc>
      </w:tr>
    </w:tbl>
    <w:p w14:paraId="77D6C28F" w14:textId="77777777" w:rsidR="004962D9" w:rsidRDefault="004962D9" w:rsidP="004962D9">
      <w:pPr>
        <w:ind w:left="-284" w:right="-234"/>
        <w:jc w:val="both"/>
        <w:rPr>
          <w:rFonts w:ascii="Arial" w:eastAsia="Trebuchet MS" w:hAnsi="Arial" w:cs="Arial"/>
          <w:b/>
          <w:sz w:val="32"/>
          <w:szCs w:val="32"/>
          <w:u w:val="single"/>
          <w:lang w:eastAsia="es-CO"/>
        </w:rPr>
      </w:pPr>
    </w:p>
    <w:p w14:paraId="04F2D87F" w14:textId="77777777" w:rsidR="004962D9" w:rsidRPr="00FF0FE4" w:rsidRDefault="004962D9" w:rsidP="004962D9">
      <w:pPr>
        <w:ind w:left="-284"/>
        <w:jc w:val="both"/>
        <w:rPr>
          <w:rFonts w:ascii="Arial" w:hAnsi="Arial" w:cs="Arial"/>
          <w:b/>
          <w:sz w:val="28"/>
          <w:szCs w:val="28"/>
          <w:lang w:val="es-MX"/>
        </w:rPr>
      </w:pPr>
      <w:r w:rsidRPr="00FF0FE4">
        <w:rPr>
          <w:rFonts w:ascii="Arial" w:hAnsi="Arial" w:cs="Arial"/>
          <w:b/>
          <w:sz w:val="28"/>
          <w:szCs w:val="28"/>
          <w:lang w:val="es-MX"/>
        </w:rPr>
        <w:t xml:space="preserve">29.- </w:t>
      </w:r>
      <w:r w:rsidRPr="00FF0FE4">
        <w:rPr>
          <w:rFonts w:ascii="Arial" w:hAnsi="Arial" w:cs="Arial"/>
          <w:b/>
          <w:sz w:val="28"/>
          <w:szCs w:val="28"/>
        </w:rPr>
        <w:t>CORPORACIÓN DE ALTA TECNOLOGÍA PARA LA DEFENSA – CODALTEC.</w:t>
      </w:r>
    </w:p>
    <w:p w14:paraId="73682D04" w14:textId="77777777" w:rsidR="004962D9" w:rsidRDefault="004962D9" w:rsidP="004962D9">
      <w:pPr>
        <w:ind w:left="-142"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2715FE" w14:paraId="36F3C83C" w14:textId="77777777" w:rsidTr="004C5E54">
        <w:tc>
          <w:tcPr>
            <w:tcW w:w="851" w:type="dxa"/>
          </w:tcPr>
          <w:p w14:paraId="7E93EB16"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N°</w:t>
            </w:r>
          </w:p>
        </w:tc>
        <w:tc>
          <w:tcPr>
            <w:tcW w:w="4395" w:type="dxa"/>
          </w:tcPr>
          <w:p w14:paraId="0BAE95EB"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Limitaciones detectadas por su entidad en</w:t>
            </w:r>
          </w:p>
          <w:p w14:paraId="43BA13A4"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 xml:space="preserve"> la aplicación del Marco Normativo - NICSP </w:t>
            </w:r>
          </w:p>
          <w:p w14:paraId="5490480E"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a 31/12/2024</w:t>
            </w:r>
          </w:p>
          <w:p w14:paraId="3E2913E2" w14:textId="77777777" w:rsidR="004962D9" w:rsidRPr="002715FE" w:rsidRDefault="004962D9" w:rsidP="00D4226B">
            <w:pPr>
              <w:tabs>
                <w:tab w:val="left" w:pos="875"/>
              </w:tabs>
              <w:ind w:right="-50"/>
              <w:jc w:val="center"/>
              <w:rPr>
                <w:rFonts w:ascii="Arial" w:hAnsi="Arial" w:cs="Arial"/>
                <w:b/>
              </w:rPr>
            </w:pPr>
          </w:p>
        </w:tc>
        <w:tc>
          <w:tcPr>
            <w:tcW w:w="5244" w:type="dxa"/>
          </w:tcPr>
          <w:p w14:paraId="48EC93ED"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Descripción de la limitación</w:t>
            </w:r>
          </w:p>
        </w:tc>
      </w:tr>
      <w:tr w:rsidR="004962D9" w:rsidRPr="002715FE" w14:paraId="4B39AADF" w14:textId="77777777" w:rsidTr="004C5E54">
        <w:tc>
          <w:tcPr>
            <w:tcW w:w="851" w:type="dxa"/>
          </w:tcPr>
          <w:p w14:paraId="4155772B"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1</w:t>
            </w:r>
          </w:p>
        </w:tc>
        <w:tc>
          <w:tcPr>
            <w:tcW w:w="4395" w:type="dxa"/>
          </w:tcPr>
          <w:p w14:paraId="06C99081" w14:textId="77777777" w:rsidR="004962D9" w:rsidRPr="002715FE" w:rsidRDefault="004962D9" w:rsidP="00D4226B">
            <w:pPr>
              <w:tabs>
                <w:tab w:val="left" w:pos="875"/>
              </w:tabs>
              <w:ind w:right="-50"/>
              <w:jc w:val="both"/>
              <w:rPr>
                <w:rFonts w:ascii="Arial" w:hAnsi="Arial" w:cs="Arial"/>
                <w:b/>
              </w:rPr>
            </w:pPr>
            <w:r w:rsidRPr="002715FE">
              <w:rPr>
                <w:rFonts w:ascii="Arial" w:hAnsi="Arial" w:cs="Arial"/>
                <w:b/>
              </w:rPr>
              <w:t xml:space="preserve">Académicas: </w:t>
            </w:r>
            <w:r w:rsidRPr="002715FE">
              <w:rPr>
                <w:rFonts w:ascii="Arial" w:hAnsi="Arial" w:cs="Arial"/>
              </w:rPr>
              <w:t>Falta eventos para explicar actualizaciones normativas.</w:t>
            </w:r>
          </w:p>
        </w:tc>
        <w:tc>
          <w:tcPr>
            <w:tcW w:w="5244" w:type="dxa"/>
          </w:tcPr>
          <w:p w14:paraId="7DB95D35" w14:textId="77777777" w:rsidR="004962D9" w:rsidRPr="002715FE" w:rsidRDefault="004962D9" w:rsidP="00D4226B">
            <w:pPr>
              <w:tabs>
                <w:tab w:val="left" w:pos="875"/>
              </w:tabs>
              <w:ind w:right="-50"/>
              <w:jc w:val="both"/>
              <w:rPr>
                <w:rFonts w:ascii="Arial" w:hAnsi="Arial" w:cs="Arial"/>
              </w:rPr>
            </w:pPr>
            <w:r w:rsidRPr="002715FE">
              <w:rPr>
                <w:rFonts w:ascii="Arial" w:hAnsi="Arial" w:cs="Arial"/>
              </w:rPr>
              <w:t>La CGN debería realizar eventos en donde informe acerca de los cambios en la normatividad</w:t>
            </w:r>
          </w:p>
        </w:tc>
      </w:tr>
      <w:tr w:rsidR="004962D9" w:rsidRPr="002715FE" w14:paraId="663DAE69" w14:textId="77777777" w:rsidTr="004C5E54">
        <w:tc>
          <w:tcPr>
            <w:tcW w:w="851" w:type="dxa"/>
          </w:tcPr>
          <w:p w14:paraId="7E5D0726" w14:textId="77777777" w:rsidR="004962D9" w:rsidRPr="002715FE" w:rsidRDefault="004962D9" w:rsidP="00D4226B">
            <w:pPr>
              <w:tabs>
                <w:tab w:val="left" w:pos="875"/>
              </w:tabs>
              <w:ind w:right="-50"/>
              <w:jc w:val="center"/>
              <w:rPr>
                <w:rFonts w:ascii="Arial" w:hAnsi="Arial" w:cs="Arial"/>
                <w:b/>
              </w:rPr>
            </w:pPr>
            <w:r w:rsidRPr="002715FE">
              <w:rPr>
                <w:rFonts w:ascii="Arial" w:hAnsi="Arial" w:cs="Arial"/>
                <w:b/>
              </w:rPr>
              <w:t>2</w:t>
            </w:r>
          </w:p>
        </w:tc>
        <w:tc>
          <w:tcPr>
            <w:tcW w:w="4395" w:type="dxa"/>
          </w:tcPr>
          <w:p w14:paraId="51E82A59" w14:textId="77777777" w:rsidR="004962D9" w:rsidRPr="002715FE" w:rsidRDefault="004962D9" w:rsidP="00D4226B">
            <w:pPr>
              <w:tabs>
                <w:tab w:val="left" w:pos="875"/>
              </w:tabs>
              <w:ind w:right="-50"/>
              <w:jc w:val="both"/>
              <w:rPr>
                <w:rFonts w:ascii="Arial" w:hAnsi="Arial" w:cs="Arial"/>
              </w:rPr>
            </w:pPr>
            <w:r w:rsidRPr="002715FE">
              <w:rPr>
                <w:rFonts w:ascii="Arial" w:hAnsi="Arial" w:cs="Arial"/>
                <w:b/>
              </w:rPr>
              <w:t xml:space="preserve">Presupuestales: </w:t>
            </w:r>
            <w:r w:rsidRPr="002715FE">
              <w:rPr>
                <w:rFonts w:ascii="Arial" w:hAnsi="Arial" w:cs="Arial"/>
              </w:rPr>
              <w:t>Se realizó apropiación, pero no se contó con los recursos para las capacitaciones.</w:t>
            </w:r>
          </w:p>
        </w:tc>
        <w:tc>
          <w:tcPr>
            <w:tcW w:w="5244" w:type="dxa"/>
          </w:tcPr>
          <w:p w14:paraId="52AD87C0" w14:textId="77777777" w:rsidR="004962D9" w:rsidRPr="002715FE" w:rsidRDefault="004962D9" w:rsidP="00D4226B">
            <w:pPr>
              <w:tabs>
                <w:tab w:val="left" w:pos="875"/>
              </w:tabs>
              <w:ind w:right="-50"/>
              <w:jc w:val="both"/>
              <w:rPr>
                <w:rFonts w:ascii="Arial" w:hAnsi="Arial" w:cs="Arial"/>
              </w:rPr>
            </w:pPr>
            <w:r w:rsidRPr="002715FE">
              <w:rPr>
                <w:rFonts w:ascii="Arial" w:hAnsi="Arial" w:cs="Arial"/>
              </w:rPr>
              <w:t>Falta capacitación para planeación tributaria importante para la corporación.</w:t>
            </w:r>
          </w:p>
        </w:tc>
      </w:tr>
    </w:tbl>
    <w:p w14:paraId="6758CDEE" w14:textId="77777777" w:rsidR="004962D9" w:rsidRDefault="004962D9" w:rsidP="004962D9">
      <w:pPr>
        <w:ind w:left="-142" w:right="-234"/>
        <w:jc w:val="both"/>
        <w:rPr>
          <w:rFonts w:ascii="Arial" w:eastAsia="Trebuchet MS" w:hAnsi="Arial" w:cs="Arial"/>
          <w:b/>
          <w:sz w:val="32"/>
          <w:szCs w:val="32"/>
          <w:u w:val="single"/>
          <w:lang w:eastAsia="es-CO"/>
        </w:rPr>
      </w:pPr>
    </w:p>
    <w:p w14:paraId="54E110DB" w14:textId="77777777" w:rsidR="004962D9" w:rsidRPr="00930E51" w:rsidRDefault="004962D9" w:rsidP="004C5E54">
      <w:pPr>
        <w:ind w:left="-284"/>
        <w:jc w:val="both"/>
        <w:rPr>
          <w:rFonts w:ascii="Arial" w:hAnsi="Arial" w:cs="Arial"/>
          <w:b/>
          <w:sz w:val="32"/>
          <w:szCs w:val="32"/>
        </w:rPr>
      </w:pPr>
      <w:r w:rsidRPr="00930E51">
        <w:rPr>
          <w:rFonts w:ascii="Arial" w:hAnsi="Arial" w:cs="Arial"/>
          <w:b/>
          <w:sz w:val="28"/>
          <w:szCs w:val="28"/>
          <w:lang w:val="es-MX"/>
        </w:rPr>
        <w:t xml:space="preserve">37.- </w:t>
      </w:r>
      <w:r w:rsidRPr="00930E51">
        <w:rPr>
          <w:rFonts w:ascii="Arial" w:hAnsi="Arial" w:cs="Arial"/>
          <w:b/>
          <w:sz w:val="28"/>
          <w:szCs w:val="28"/>
        </w:rPr>
        <w:t>AGENCIA NACIONAL DE INFRAESTRUCTURA - ANI.</w:t>
      </w:r>
    </w:p>
    <w:p w14:paraId="595082E4" w14:textId="77777777" w:rsidR="004962D9" w:rsidRDefault="004962D9" w:rsidP="004962D9">
      <w:pPr>
        <w:ind w:left="-142"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934AD8" w14:paraId="5341A649" w14:textId="77777777" w:rsidTr="004C5E54">
        <w:tc>
          <w:tcPr>
            <w:tcW w:w="851" w:type="dxa"/>
          </w:tcPr>
          <w:p w14:paraId="00BA3CCC"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N°</w:t>
            </w:r>
          </w:p>
        </w:tc>
        <w:tc>
          <w:tcPr>
            <w:tcW w:w="4395" w:type="dxa"/>
          </w:tcPr>
          <w:p w14:paraId="03BB1B08"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Limitaciones detectadas por su entidad en</w:t>
            </w:r>
          </w:p>
          <w:p w14:paraId="3C08A8DF"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 xml:space="preserve"> la aplicación del Marco Normativo - NICSP </w:t>
            </w:r>
          </w:p>
          <w:p w14:paraId="3343435E"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a 31/12/2024</w:t>
            </w:r>
          </w:p>
          <w:p w14:paraId="367C4B42" w14:textId="77777777" w:rsidR="004962D9" w:rsidRPr="00934AD8" w:rsidRDefault="004962D9" w:rsidP="00D4226B">
            <w:pPr>
              <w:tabs>
                <w:tab w:val="left" w:pos="875"/>
              </w:tabs>
              <w:ind w:right="-50"/>
              <w:jc w:val="center"/>
              <w:rPr>
                <w:rFonts w:ascii="Arial" w:hAnsi="Arial" w:cs="Arial"/>
                <w:b/>
              </w:rPr>
            </w:pPr>
          </w:p>
        </w:tc>
        <w:tc>
          <w:tcPr>
            <w:tcW w:w="5244" w:type="dxa"/>
          </w:tcPr>
          <w:p w14:paraId="59600236"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Descripción de la limitación</w:t>
            </w:r>
          </w:p>
        </w:tc>
      </w:tr>
      <w:tr w:rsidR="004962D9" w:rsidRPr="00934AD8" w14:paraId="5CB34FC1" w14:textId="77777777" w:rsidTr="004C5E54">
        <w:tc>
          <w:tcPr>
            <w:tcW w:w="851" w:type="dxa"/>
          </w:tcPr>
          <w:p w14:paraId="1895221A"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1</w:t>
            </w:r>
          </w:p>
        </w:tc>
        <w:tc>
          <w:tcPr>
            <w:tcW w:w="4395" w:type="dxa"/>
          </w:tcPr>
          <w:p w14:paraId="2C4A0248" w14:textId="77777777" w:rsidR="004962D9" w:rsidRPr="00934AD8" w:rsidRDefault="004962D9" w:rsidP="00D4226B">
            <w:pPr>
              <w:tabs>
                <w:tab w:val="left" w:pos="875"/>
              </w:tabs>
              <w:ind w:right="-50"/>
              <w:jc w:val="both"/>
              <w:rPr>
                <w:rFonts w:ascii="Arial" w:hAnsi="Arial" w:cs="Arial"/>
                <w:b/>
              </w:rPr>
            </w:pPr>
            <w:r w:rsidRPr="00934AD8">
              <w:rPr>
                <w:rFonts w:ascii="Arial" w:hAnsi="Arial" w:cs="Arial"/>
                <w:b/>
              </w:rPr>
              <w:t>Normativas:</w:t>
            </w:r>
          </w:p>
        </w:tc>
        <w:tc>
          <w:tcPr>
            <w:tcW w:w="5244" w:type="dxa"/>
          </w:tcPr>
          <w:p w14:paraId="2E465EE5" w14:textId="77777777" w:rsidR="004962D9" w:rsidRPr="00934AD8" w:rsidRDefault="004962D9" w:rsidP="00D4226B">
            <w:pPr>
              <w:tabs>
                <w:tab w:val="left" w:pos="875"/>
              </w:tabs>
              <w:ind w:right="-50"/>
              <w:jc w:val="both"/>
              <w:rPr>
                <w:rFonts w:ascii="Arial" w:hAnsi="Arial" w:cs="Arial"/>
              </w:rPr>
            </w:pPr>
            <w:r w:rsidRPr="00934AD8">
              <w:rPr>
                <w:rFonts w:ascii="Arial" w:hAnsi="Arial" w:cs="Arial"/>
              </w:rPr>
              <w:t>Se ha evidenciado ausencia de normativa contable para los Bienes de Uso Público concesionados, especialmente cuando la entidad titular es diferente a la concedente, y en lo relacionado con el medio de transporte, portuario, fluvial, y férreo.</w:t>
            </w:r>
          </w:p>
        </w:tc>
      </w:tr>
      <w:tr w:rsidR="004962D9" w:rsidRPr="00934AD8" w14:paraId="68A560F4" w14:textId="77777777" w:rsidTr="004C5E54">
        <w:tc>
          <w:tcPr>
            <w:tcW w:w="851" w:type="dxa"/>
          </w:tcPr>
          <w:p w14:paraId="660793C6"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2</w:t>
            </w:r>
          </w:p>
        </w:tc>
        <w:tc>
          <w:tcPr>
            <w:tcW w:w="4395" w:type="dxa"/>
          </w:tcPr>
          <w:p w14:paraId="4BBD0C03" w14:textId="77777777" w:rsidR="004962D9" w:rsidRPr="00934AD8" w:rsidRDefault="004962D9" w:rsidP="00D4226B">
            <w:pPr>
              <w:tabs>
                <w:tab w:val="left" w:pos="875"/>
              </w:tabs>
              <w:ind w:right="-50"/>
              <w:jc w:val="both"/>
              <w:rPr>
                <w:rFonts w:ascii="Arial" w:hAnsi="Arial" w:cs="Arial"/>
                <w:b/>
              </w:rPr>
            </w:pPr>
            <w:r w:rsidRPr="00934AD8">
              <w:rPr>
                <w:rFonts w:ascii="Arial" w:hAnsi="Arial" w:cs="Arial"/>
                <w:b/>
              </w:rPr>
              <w:t>Académicas:</w:t>
            </w:r>
          </w:p>
        </w:tc>
        <w:tc>
          <w:tcPr>
            <w:tcW w:w="5244" w:type="dxa"/>
          </w:tcPr>
          <w:p w14:paraId="2E82BD50" w14:textId="77777777" w:rsidR="004962D9" w:rsidRPr="00934AD8" w:rsidRDefault="004962D9" w:rsidP="00D4226B">
            <w:pPr>
              <w:tabs>
                <w:tab w:val="left" w:pos="875"/>
              </w:tabs>
              <w:ind w:right="-50"/>
              <w:jc w:val="both"/>
              <w:rPr>
                <w:rFonts w:ascii="Arial" w:hAnsi="Arial" w:cs="Arial"/>
              </w:rPr>
            </w:pPr>
            <w:r w:rsidRPr="00934AD8">
              <w:rPr>
                <w:rFonts w:ascii="Arial" w:hAnsi="Arial" w:cs="Arial"/>
              </w:rPr>
              <w:t>No existe suficiente literatura o estado del arte en el país sobre el tema portuario, férreo, y fluvial.</w:t>
            </w:r>
          </w:p>
        </w:tc>
      </w:tr>
      <w:tr w:rsidR="004962D9" w:rsidRPr="00934AD8" w14:paraId="0CCC37E5" w14:textId="77777777" w:rsidTr="004C5E54">
        <w:tc>
          <w:tcPr>
            <w:tcW w:w="851" w:type="dxa"/>
          </w:tcPr>
          <w:p w14:paraId="2B856801"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3</w:t>
            </w:r>
          </w:p>
        </w:tc>
        <w:tc>
          <w:tcPr>
            <w:tcW w:w="4395" w:type="dxa"/>
          </w:tcPr>
          <w:p w14:paraId="37F3AF67" w14:textId="77777777" w:rsidR="004962D9" w:rsidRPr="00934AD8" w:rsidRDefault="004962D9" w:rsidP="00D4226B">
            <w:pPr>
              <w:tabs>
                <w:tab w:val="left" w:pos="875"/>
              </w:tabs>
              <w:ind w:right="-50"/>
              <w:jc w:val="both"/>
              <w:rPr>
                <w:rFonts w:ascii="Arial" w:hAnsi="Arial" w:cs="Arial"/>
                <w:b/>
              </w:rPr>
            </w:pPr>
            <w:r w:rsidRPr="00934AD8">
              <w:rPr>
                <w:rFonts w:ascii="Arial" w:hAnsi="Arial" w:cs="Arial"/>
                <w:b/>
              </w:rPr>
              <w:t>Técnicas:</w:t>
            </w:r>
          </w:p>
        </w:tc>
        <w:tc>
          <w:tcPr>
            <w:tcW w:w="5244" w:type="dxa"/>
          </w:tcPr>
          <w:p w14:paraId="1A9CCF5F" w14:textId="77777777" w:rsidR="004962D9" w:rsidRPr="00934AD8" w:rsidRDefault="004962D9" w:rsidP="00D4226B">
            <w:pPr>
              <w:tabs>
                <w:tab w:val="left" w:pos="875"/>
              </w:tabs>
              <w:ind w:right="-50"/>
              <w:jc w:val="both"/>
              <w:rPr>
                <w:rFonts w:ascii="Arial" w:hAnsi="Arial" w:cs="Arial"/>
              </w:rPr>
            </w:pPr>
            <w:r w:rsidRPr="00934AD8">
              <w:rPr>
                <w:rFonts w:ascii="Arial" w:hAnsi="Arial" w:cs="Arial"/>
              </w:rPr>
              <w:t>Requiere tecnología avanzada para el control de la información. Así como, personal altamente calificado en los temas.</w:t>
            </w:r>
          </w:p>
        </w:tc>
      </w:tr>
      <w:tr w:rsidR="004962D9" w:rsidRPr="00934AD8" w14:paraId="047B6234" w14:textId="77777777" w:rsidTr="004C5E54">
        <w:tc>
          <w:tcPr>
            <w:tcW w:w="851" w:type="dxa"/>
          </w:tcPr>
          <w:p w14:paraId="11891181"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4</w:t>
            </w:r>
          </w:p>
        </w:tc>
        <w:tc>
          <w:tcPr>
            <w:tcW w:w="4395" w:type="dxa"/>
          </w:tcPr>
          <w:p w14:paraId="52713603" w14:textId="77777777" w:rsidR="004962D9" w:rsidRPr="00934AD8" w:rsidRDefault="004962D9" w:rsidP="00D4226B">
            <w:pPr>
              <w:tabs>
                <w:tab w:val="left" w:pos="875"/>
              </w:tabs>
              <w:ind w:right="-50"/>
              <w:jc w:val="both"/>
              <w:rPr>
                <w:rFonts w:ascii="Arial" w:hAnsi="Arial" w:cs="Arial"/>
                <w:b/>
              </w:rPr>
            </w:pPr>
            <w:r w:rsidRPr="00934AD8">
              <w:rPr>
                <w:rFonts w:ascii="Arial" w:hAnsi="Arial" w:cs="Arial"/>
                <w:b/>
              </w:rPr>
              <w:t>Operativas:</w:t>
            </w:r>
          </w:p>
        </w:tc>
        <w:tc>
          <w:tcPr>
            <w:tcW w:w="5244" w:type="dxa"/>
          </w:tcPr>
          <w:p w14:paraId="5C31FB1D" w14:textId="77777777" w:rsidR="004962D9" w:rsidRPr="00934AD8" w:rsidRDefault="004962D9" w:rsidP="00D4226B">
            <w:pPr>
              <w:tabs>
                <w:tab w:val="left" w:pos="875"/>
              </w:tabs>
              <w:ind w:right="-50"/>
              <w:jc w:val="both"/>
              <w:rPr>
                <w:rFonts w:ascii="Arial" w:hAnsi="Arial" w:cs="Arial"/>
              </w:rPr>
            </w:pPr>
            <w:r w:rsidRPr="00934AD8">
              <w:rPr>
                <w:rFonts w:ascii="Arial" w:hAnsi="Arial" w:cs="Arial"/>
              </w:rPr>
              <w:t>Construcción de políticas sectoriales aplicables a todas las entidades públicas que operan en el sector transporte.</w:t>
            </w:r>
          </w:p>
        </w:tc>
      </w:tr>
      <w:tr w:rsidR="004962D9" w:rsidRPr="00934AD8" w14:paraId="1225AF23" w14:textId="77777777" w:rsidTr="004C5E54">
        <w:tc>
          <w:tcPr>
            <w:tcW w:w="851" w:type="dxa"/>
          </w:tcPr>
          <w:p w14:paraId="0C731021"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t>5</w:t>
            </w:r>
          </w:p>
        </w:tc>
        <w:tc>
          <w:tcPr>
            <w:tcW w:w="4395" w:type="dxa"/>
          </w:tcPr>
          <w:p w14:paraId="353E6E0C" w14:textId="77777777" w:rsidR="004962D9" w:rsidRPr="00934AD8" w:rsidRDefault="004962D9" w:rsidP="00D4226B">
            <w:pPr>
              <w:tabs>
                <w:tab w:val="left" w:pos="875"/>
              </w:tabs>
              <w:ind w:right="-50"/>
              <w:jc w:val="both"/>
              <w:rPr>
                <w:rFonts w:ascii="Arial" w:hAnsi="Arial" w:cs="Arial"/>
                <w:b/>
              </w:rPr>
            </w:pPr>
            <w:r w:rsidRPr="00934AD8">
              <w:rPr>
                <w:rFonts w:ascii="Arial" w:hAnsi="Arial" w:cs="Arial"/>
                <w:b/>
              </w:rPr>
              <w:t>Presupuestales:</w:t>
            </w:r>
          </w:p>
        </w:tc>
        <w:tc>
          <w:tcPr>
            <w:tcW w:w="5244" w:type="dxa"/>
          </w:tcPr>
          <w:p w14:paraId="371094B5" w14:textId="77777777" w:rsidR="004962D9" w:rsidRPr="00934AD8" w:rsidRDefault="004962D9" w:rsidP="00D4226B">
            <w:pPr>
              <w:tabs>
                <w:tab w:val="left" w:pos="875"/>
              </w:tabs>
              <w:ind w:right="-50"/>
              <w:jc w:val="both"/>
              <w:rPr>
                <w:rFonts w:ascii="Arial" w:hAnsi="Arial" w:cs="Arial"/>
              </w:rPr>
            </w:pPr>
            <w:r w:rsidRPr="00934AD8">
              <w:rPr>
                <w:rFonts w:ascii="Arial" w:hAnsi="Arial" w:cs="Arial"/>
              </w:rPr>
              <w:t xml:space="preserve">Ampliar las apropiaciones de recursos requeridas para la implementación de los Acuerdos de Concesión: Levantamiento de información predial, sistema de información para la infraestructura y bienes, traslado de </w:t>
            </w:r>
            <w:r w:rsidRPr="00934AD8">
              <w:rPr>
                <w:rFonts w:ascii="Arial" w:hAnsi="Arial" w:cs="Arial"/>
              </w:rPr>
              <w:lastRenderedPageBreak/>
              <w:t>recursos a la entidad titular al momento de la reversión para el mantenimiento de las vías.</w:t>
            </w:r>
          </w:p>
        </w:tc>
      </w:tr>
      <w:tr w:rsidR="004962D9" w:rsidRPr="00934AD8" w14:paraId="6029E193" w14:textId="77777777" w:rsidTr="004C5E54">
        <w:tc>
          <w:tcPr>
            <w:tcW w:w="851" w:type="dxa"/>
          </w:tcPr>
          <w:p w14:paraId="4ABC7ADA" w14:textId="77777777" w:rsidR="004962D9" w:rsidRPr="00934AD8" w:rsidRDefault="004962D9" w:rsidP="00D4226B">
            <w:pPr>
              <w:tabs>
                <w:tab w:val="left" w:pos="875"/>
              </w:tabs>
              <w:ind w:right="-50"/>
              <w:jc w:val="center"/>
              <w:rPr>
                <w:rFonts w:ascii="Arial" w:hAnsi="Arial" w:cs="Arial"/>
                <w:b/>
              </w:rPr>
            </w:pPr>
            <w:r w:rsidRPr="00934AD8">
              <w:rPr>
                <w:rFonts w:ascii="Arial" w:hAnsi="Arial" w:cs="Arial"/>
                <w:b/>
              </w:rPr>
              <w:lastRenderedPageBreak/>
              <w:t>6</w:t>
            </w:r>
          </w:p>
        </w:tc>
        <w:tc>
          <w:tcPr>
            <w:tcW w:w="4395" w:type="dxa"/>
          </w:tcPr>
          <w:p w14:paraId="3BC1CC52" w14:textId="77777777" w:rsidR="004962D9" w:rsidRPr="00934AD8" w:rsidRDefault="004962D9" w:rsidP="00D4226B">
            <w:pPr>
              <w:tabs>
                <w:tab w:val="left" w:pos="875"/>
              </w:tabs>
              <w:ind w:right="-50"/>
              <w:jc w:val="both"/>
              <w:rPr>
                <w:rFonts w:ascii="Arial" w:hAnsi="Arial" w:cs="Arial"/>
                <w:b/>
              </w:rPr>
            </w:pPr>
            <w:r w:rsidRPr="00934AD8">
              <w:rPr>
                <w:rFonts w:ascii="Arial" w:hAnsi="Arial" w:cs="Arial"/>
                <w:b/>
              </w:rPr>
              <w:t>Otras</w:t>
            </w:r>
          </w:p>
        </w:tc>
        <w:tc>
          <w:tcPr>
            <w:tcW w:w="5244" w:type="dxa"/>
          </w:tcPr>
          <w:p w14:paraId="14C83870" w14:textId="77777777" w:rsidR="004962D9" w:rsidRPr="00934AD8" w:rsidRDefault="004962D9" w:rsidP="00D4226B">
            <w:pPr>
              <w:tabs>
                <w:tab w:val="left" w:pos="875"/>
              </w:tabs>
              <w:ind w:right="-50"/>
              <w:jc w:val="both"/>
              <w:rPr>
                <w:rFonts w:ascii="Arial" w:hAnsi="Arial" w:cs="Arial"/>
              </w:rPr>
            </w:pPr>
            <w:r w:rsidRPr="00934AD8">
              <w:rPr>
                <w:rFonts w:ascii="Arial" w:hAnsi="Arial" w:cs="Arial"/>
              </w:rPr>
              <w:t>Fortalecer el diseño e implementación de un Sistema de Gestión de Activo sectorial.</w:t>
            </w:r>
          </w:p>
        </w:tc>
      </w:tr>
    </w:tbl>
    <w:p w14:paraId="41BFA9C8" w14:textId="77777777" w:rsidR="004962D9" w:rsidRDefault="004962D9" w:rsidP="004962D9">
      <w:pPr>
        <w:ind w:left="-142" w:right="-234"/>
        <w:jc w:val="both"/>
        <w:rPr>
          <w:rFonts w:ascii="Arial" w:eastAsia="Trebuchet MS" w:hAnsi="Arial" w:cs="Arial"/>
          <w:b/>
          <w:sz w:val="32"/>
          <w:szCs w:val="32"/>
          <w:u w:val="single"/>
          <w:lang w:eastAsia="es-CO"/>
        </w:rPr>
      </w:pPr>
    </w:p>
    <w:p w14:paraId="70E12E47" w14:textId="77777777" w:rsidR="004962D9" w:rsidRPr="000715C6" w:rsidRDefault="004962D9" w:rsidP="004C5E54">
      <w:pPr>
        <w:ind w:left="-284"/>
        <w:jc w:val="both"/>
        <w:rPr>
          <w:rFonts w:ascii="Arial" w:hAnsi="Arial" w:cs="Arial"/>
          <w:b/>
          <w:sz w:val="28"/>
          <w:szCs w:val="28"/>
          <w:lang w:val="es-MX"/>
        </w:rPr>
      </w:pPr>
      <w:r w:rsidRPr="000715C6">
        <w:rPr>
          <w:rFonts w:ascii="Arial" w:hAnsi="Arial" w:cs="Arial"/>
          <w:b/>
          <w:sz w:val="28"/>
          <w:szCs w:val="28"/>
          <w:lang w:val="es-MX"/>
        </w:rPr>
        <w:t>40.- MINISTERIO DE TRANSPORTE.</w:t>
      </w:r>
    </w:p>
    <w:p w14:paraId="09B944B8" w14:textId="77777777" w:rsidR="004962D9" w:rsidRDefault="004962D9" w:rsidP="004962D9">
      <w:pPr>
        <w:ind w:left="-142"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AD678D" w14:paraId="651E0A30" w14:textId="77777777" w:rsidTr="004C5E54">
        <w:tc>
          <w:tcPr>
            <w:tcW w:w="851" w:type="dxa"/>
          </w:tcPr>
          <w:p w14:paraId="238E021D"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N°</w:t>
            </w:r>
          </w:p>
        </w:tc>
        <w:tc>
          <w:tcPr>
            <w:tcW w:w="4395" w:type="dxa"/>
          </w:tcPr>
          <w:p w14:paraId="19F3E003"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Limitaciones detectadas por su entidad en</w:t>
            </w:r>
          </w:p>
          <w:p w14:paraId="3BE5A5E3"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 xml:space="preserve"> la aplicación del Marco Normativo - NICSP </w:t>
            </w:r>
          </w:p>
          <w:p w14:paraId="7419C449"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a 31/12/2024</w:t>
            </w:r>
          </w:p>
          <w:p w14:paraId="1B8C2805" w14:textId="77777777" w:rsidR="004962D9" w:rsidRPr="00AD678D" w:rsidRDefault="004962D9" w:rsidP="00D4226B">
            <w:pPr>
              <w:tabs>
                <w:tab w:val="left" w:pos="875"/>
              </w:tabs>
              <w:ind w:right="-50"/>
              <w:jc w:val="center"/>
              <w:rPr>
                <w:rFonts w:ascii="Arial" w:hAnsi="Arial" w:cs="Arial"/>
                <w:b/>
              </w:rPr>
            </w:pPr>
          </w:p>
        </w:tc>
        <w:tc>
          <w:tcPr>
            <w:tcW w:w="5244" w:type="dxa"/>
          </w:tcPr>
          <w:p w14:paraId="6AE81943"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Descripción de la limitación</w:t>
            </w:r>
          </w:p>
        </w:tc>
      </w:tr>
      <w:tr w:rsidR="004962D9" w:rsidRPr="00AD678D" w14:paraId="3105D87F" w14:textId="77777777" w:rsidTr="004C5E54">
        <w:tc>
          <w:tcPr>
            <w:tcW w:w="851" w:type="dxa"/>
          </w:tcPr>
          <w:p w14:paraId="4C79AE2D"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1</w:t>
            </w:r>
          </w:p>
        </w:tc>
        <w:tc>
          <w:tcPr>
            <w:tcW w:w="4395" w:type="dxa"/>
          </w:tcPr>
          <w:p w14:paraId="731BCCE9" w14:textId="77777777" w:rsidR="004962D9" w:rsidRPr="00AD678D" w:rsidRDefault="004962D9" w:rsidP="00D4226B">
            <w:pPr>
              <w:tabs>
                <w:tab w:val="left" w:pos="875"/>
              </w:tabs>
              <w:ind w:right="-50"/>
              <w:jc w:val="both"/>
              <w:rPr>
                <w:rFonts w:ascii="Arial" w:hAnsi="Arial" w:cs="Arial"/>
                <w:b/>
              </w:rPr>
            </w:pPr>
            <w:r w:rsidRPr="00AD678D">
              <w:rPr>
                <w:rFonts w:ascii="Arial" w:hAnsi="Arial" w:cs="Arial"/>
                <w:b/>
              </w:rPr>
              <w:t>Técnicas:</w:t>
            </w:r>
          </w:p>
        </w:tc>
        <w:tc>
          <w:tcPr>
            <w:tcW w:w="5244" w:type="dxa"/>
          </w:tcPr>
          <w:p w14:paraId="0C90FB50" w14:textId="77777777" w:rsidR="004962D9" w:rsidRPr="00AD678D" w:rsidRDefault="004962D9" w:rsidP="00D4226B">
            <w:pPr>
              <w:tabs>
                <w:tab w:val="left" w:pos="875"/>
              </w:tabs>
              <w:ind w:right="-50"/>
              <w:jc w:val="both"/>
              <w:rPr>
                <w:rFonts w:ascii="Arial" w:hAnsi="Arial" w:cs="Arial"/>
              </w:rPr>
            </w:pPr>
            <w:r w:rsidRPr="00AD678D">
              <w:rPr>
                <w:rFonts w:ascii="Arial" w:hAnsi="Arial" w:cs="Arial"/>
              </w:rPr>
              <w:t>La doctrina contable se publica en la página web de la CGN meses después de su generación o expedición, lo que impide conocer de manera oportuna esta doctrina. Que en algunos casos las respuestas dadas a las consultas o conceptos por la CGN se vuelven generales y requiere de nuevo alcance sobre ella dado que no resuelve a fondo lo consultado por la entidad.</w:t>
            </w:r>
          </w:p>
        </w:tc>
      </w:tr>
      <w:tr w:rsidR="004962D9" w:rsidRPr="00AD678D" w14:paraId="3A413FAD" w14:textId="77777777" w:rsidTr="004C5E54">
        <w:tc>
          <w:tcPr>
            <w:tcW w:w="851" w:type="dxa"/>
          </w:tcPr>
          <w:p w14:paraId="484F4EF6" w14:textId="77777777" w:rsidR="004962D9" w:rsidRPr="00AD678D" w:rsidRDefault="004962D9" w:rsidP="00D4226B">
            <w:pPr>
              <w:tabs>
                <w:tab w:val="left" w:pos="875"/>
              </w:tabs>
              <w:ind w:right="-50"/>
              <w:jc w:val="center"/>
              <w:rPr>
                <w:rFonts w:ascii="Arial" w:hAnsi="Arial" w:cs="Arial"/>
                <w:b/>
              </w:rPr>
            </w:pPr>
            <w:r w:rsidRPr="00AD678D">
              <w:rPr>
                <w:rFonts w:ascii="Arial" w:hAnsi="Arial" w:cs="Arial"/>
                <w:b/>
              </w:rPr>
              <w:t>2</w:t>
            </w:r>
          </w:p>
        </w:tc>
        <w:tc>
          <w:tcPr>
            <w:tcW w:w="4395" w:type="dxa"/>
          </w:tcPr>
          <w:p w14:paraId="25951081" w14:textId="77777777" w:rsidR="004962D9" w:rsidRPr="00AD678D" w:rsidRDefault="004962D9" w:rsidP="00D4226B">
            <w:pPr>
              <w:tabs>
                <w:tab w:val="left" w:pos="875"/>
              </w:tabs>
              <w:ind w:right="-50"/>
              <w:jc w:val="both"/>
              <w:rPr>
                <w:rFonts w:ascii="Arial" w:hAnsi="Arial" w:cs="Arial"/>
                <w:b/>
              </w:rPr>
            </w:pPr>
            <w:r w:rsidRPr="00AD678D">
              <w:rPr>
                <w:rFonts w:ascii="Arial" w:hAnsi="Arial" w:cs="Arial"/>
                <w:b/>
              </w:rPr>
              <w:t>Operativas:</w:t>
            </w:r>
          </w:p>
        </w:tc>
        <w:tc>
          <w:tcPr>
            <w:tcW w:w="5244" w:type="dxa"/>
          </w:tcPr>
          <w:p w14:paraId="62A6F63C" w14:textId="77777777" w:rsidR="004962D9" w:rsidRPr="00AD678D" w:rsidRDefault="004962D9" w:rsidP="00D4226B">
            <w:pPr>
              <w:tabs>
                <w:tab w:val="left" w:pos="875"/>
              </w:tabs>
              <w:ind w:right="-50"/>
              <w:jc w:val="both"/>
              <w:rPr>
                <w:rFonts w:ascii="Arial" w:hAnsi="Arial" w:cs="Arial"/>
              </w:rPr>
            </w:pPr>
            <w:r w:rsidRPr="00AD678D">
              <w:rPr>
                <w:rFonts w:ascii="Arial" w:hAnsi="Arial" w:cs="Arial"/>
              </w:rPr>
              <w:t>En el caso de las respuestas a las consultas o conceptos la CGN, se toma los tiempos máximos permitidos</w:t>
            </w:r>
          </w:p>
        </w:tc>
      </w:tr>
    </w:tbl>
    <w:p w14:paraId="7434AE8E" w14:textId="77777777" w:rsidR="004962D9" w:rsidRDefault="004962D9" w:rsidP="004962D9">
      <w:pPr>
        <w:ind w:left="-142" w:right="-234"/>
        <w:jc w:val="both"/>
        <w:rPr>
          <w:rFonts w:ascii="Arial" w:eastAsia="Trebuchet MS" w:hAnsi="Arial" w:cs="Arial"/>
          <w:b/>
          <w:sz w:val="32"/>
          <w:szCs w:val="32"/>
          <w:u w:val="single"/>
          <w:lang w:eastAsia="es-CO"/>
        </w:rPr>
      </w:pPr>
    </w:p>
    <w:p w14:paraId="24196E35" w14:textId="77777777" w:rsidR="004962D9" w:rsidRPr="00D319C6" w:rsidRDefault="004962D9" w:rsidP="004C5E54">
      <w:pPr>
        <w:ind w:left="-284" w:right="-234"/>
        <w:jc w:val="both"/>
        <w:rPr>
          <w:rFonts w:ascii="Arial" w:hAnsi="Arial" w:cs="Arial"/>
          <w:b/>
          <w:sz w:val="32"/>
          <w:szCs w:val="32"/>
        </w:rPr>
      </w:pPr>
      <w:bookmarkStart w:id="34" w:name="_Hlk196900451"/>
      <w:r w:rsidRPr="00D319C6">
        <w:rPr>
          <w:rFonts w:ascii="Arial" w:hAnsi="Arial" w:cs="Arial"/>
          <w:b/>
          <w:sz w:val="28"/>
          <w:szCs w:val="28"/>
          <w:lang w:val="es-MX"/>
        </w:rPr>
        <w:t xml:space="preserve">46.- </w:t>
      </w:r>
      <w:r w:rsidRPr="00D319C6">
        <w:rPr>
          <w:rFonts w:ascii="Arial" w:hAnsi="Arial" w:cs="Arial"/>
          <w:b/>
          <w:sz w:val="28"/>
          <w:szCs w:val="28"/>
        </w:rPr>
        <w:t>MINISTERIO DE TECNOLOGÍAS DE LA INFORMACIÓN Y LAS COMUNICACIONES – MINTIC.</w:t>
      </w:r>
    </w:p>
    <w:bookmarkEnd w:id="34"/>
    <w:p w14:paraId="7EA59B07" w14:textId="77777777" w:rsidR="004962D9" w:rsidRDefault="004962D9" w:rsidP="004962D9">
      <w:pPr>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817362" w14:paraId="7872C3DC" w14:textId="77777777" w:rsidTr="004C5E54">
        <w:tc>
          <w:tcPr>
            <w:tcW w:w="851" w:type="dxa"/>
          </w:tcPr>
          <w:p w14:paraId="32394917"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N°</w:t>
            </w:r>
          </w:p>
        </w:tc>
        <w:tc>
          <w:tcPr>
            <w:tcW w:w="4395" w:type="dxa"/>
          </w:tcPr>
          <w:p w14:paraId="5AB5C069"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Limitaciones detectadas por su entidad en</w:t>
            </w:r>
          </w:p>
          <w:p w14:paraId="09A359CF"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 xml:space="preserve"> la aplicación del Marco Normativo - NICSP </w:t>
            </w:r>
          </w:p>
          <w:p w14:paraId="5AB90F9F"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a 31/12/2024</w:t>
            </w:r>
          </w:p>
        </w:tc>
        <w:tc>
          <w:tcPr>
            <w:tcW w:w="5244" w:type="dxa"/>
          </w:tcPr>
          <w:p w14:paraId="08993429"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Descripción de la limitación</w:t>
            </w:r>
          </w:p>
        </w:tc>
      </w:tr>
      <w:tr w:rsidR="004962D9" w:rsidRPr="00817362" w14:paraId="368B45F0" w14:textId="77777777" w:rsidTr="004C5E54">
        <w:tc>
          <w:tcPr>
            <w:tcW w:w="851" w:type="dxa"/>
          </w:tcPr>
          <w:p w14:paraId="65D0CD40"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1</w:t>
            </w:r>
          </w:p>
        </w:tc>
        <w:tc>
          <w:tcPr>
            <w:tcW w:w="4395" w:type="dxa"/>
          </w:tcPr>
          <w:p w14:paraId="165EF3AF" w14:textId="77777777" w:rsidR="004962D9" w:rsidRPr="00817362" w:rsidRDefault="004962D9" w:rsidP="00D4226B">
            <w:pPr>
              <w:tabs>
                <w:tab w:val="left" w:pos="875"/>
              </w:tabs>
              <w:ind w:right="-50"/>
              <w:jc w:val="both"/>
              <w:rPr>
                <w:rFonts w:ascii="Arial" w:hAnsi="Arial" w:cs="Arial"/>
                <w:b/>
              </w:rPr>
            </w:pPr>
            <w:r w:rsidRPr="00817362">
              <w:rPr>
                <w:rFonts w:ascii="Arial" w:hAnsi="Arial" w:cs="Arial"/>
                <w:b/>
              </w:rPr>
              <w:t>Normativas:</w:t>
            </w:r>
          </w:p>
        </w:tc>
        <w:tc>
          <w:tcPr>
            <w:tcW w:w="5244" w:type="dxa"/>
          </w:tcPr>
          <w:p w14:paraId="53B73579" w14:textId="77777777" w:rsidR="004962D9" w:rsidRPr="00817362" w:rsidRDefault="004962D9" w:rsidP="00D4226B">
            <w:pPr>
              <w:tabs>
                <w:tab w:val="left" w:pos="875"/>
              </w:tabs>
              <w:ind w:right="-50"/>
              <w:jc w:val="both"/>
              <w:rPr>
                <w:rFonts w:ascii="Arial" w:hAnsi="Arial" w:cs="Arial"/>
              </w:rPr>
            </w:pPr>
            <w:r w:rsidRPr="00817362">
              <w:rPr>
                <w:rFonts w:ascii="Arial" w:hAnsi="Arial" w:cs="Arial"/>
              </w:rPr>
              <w:t>Las normas son generales y no son lo suficientemente claras para su interpretación y aplicación, requiriendo elevar consultas a la CGN para que conceptúen sobre tratamiento contable a aplicar en situaciones particulares de la entidad.</w:t>
            </w:r>
          </w:p>
        </w:tc>
      </w:tr>
      <w:tr w:rsidR="004962D9" w:rsidRPr="00817362" w14:paraId="759DA842" w14:textId="77777777" w:rsidTr="004C5E54">
        <w:tc>
          <w:tcPr>
            <w:tcW w:w="851" w:type="dxa"/>
          </w:tcPr>
          <w:p w14:paraId="1806E002"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2</w:t>
            </w:r>
          </w:p>
        </w:tc>
        <w:tc>
          <w:tcPr>
            <w:tcW w:w="4395" w:type="dxa"/>
          </w:tcPr>
          <w:p w14:paraId="5ACC5BB5" w14:textId="77777777" w:rsidR="004962D9" w:rsidRPr="00817362" w:rsidRDefault="004962D9" w:rsidP="00D4226B">
            <w:pPr>
              <w:tabs>
                <w:tab w:val="left" w:pos="875"/>
              </w:tabs>
              <w:ind w:right="-50"/>
              <w:jc w:val="both"/>
              <w:rPr>
                <w:rFonts w:ascii="Arial" w:hAnsi="Arial" w:cs="Arial"/>
                <w:b/>
              </w:rPr>
            </w:pPr>
            <w:r w:rsidRPr="00817362">
              <w:rPr>
                <w:rFonts w:ascii="Arial" w:hAnsi="Arial" w:cs="Arial"/>
                <w:b/>
              </w:rPr>
              <w:t>Académicas:</w:t>
            </w:r>
          </w:p>
        </w:tc>
        <w:tc>
          <w:tcPr>
            <w:tcW w:w="5244" w:type="dxa"/>
          </w:tcPr>
          <w:p w14:paraId="6CE70452" w14:textId="77777777" w:rsidR="004962D9" w:rsidRPr="00817362" w:rsidRDefault="004962D9" w:rsidP="00D4226B">
            <w:pPr>
              <w:tabs>
                <w:tab w:val="left" w:pos="875"/>
              </w:tabs>
              <w:ind w:right="-50"/>
              <w:jc w:val="both"/>
              <w:rPr>
                <w:rFonts w:ascii="Arial" w:hAnsi="Arial" w:cs="Arial"/>
              </w:rPr>
            </w:pPr>
            <w:r w:rsidRPr="00817362">
              <w:rPr>
                <w:rFonts w:ascii="Arial" w:hAnsi="Arial" w:cs="Arial"/>
              </w:rPr>
              <w:t>Durante la vigencia 2024, la CGN no programó capacitaciones para dar claridad en algunas resoluciones y conceptos emitidos para la correcta interpretación de la norma y sobre los cambios o modificaciones realizados por la CGN al Marco Normativo para entidades de gobierno.</w:t>
            </w:r>
          </w:p>
        </w:tc>
      </w:tr>
      <w:tr w:rsidR="004962D9" w:rsidRPr="00817362" w14:paraId="1BAC5E27" w14:textId="77777777" w:rsidTr="004C5E54">
        <w:tc>
          <w:tcPr>
            <w:tcW w:w="851" w:type="dxa"/>
          </w:tcPr>
          <w:p w14:paraId="3C4CF086"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3</w:t>
            </w:r>
          </w:p>
        </w:tc>
        <w:tc>
          <w:tcPr>
            <w:tcW w:w="4395" w:type="dxa"/>
          </w:tcPr>
          <w:p w14:paraId="6EB42AF4" w14:textId="77777777" w:rsidR="004962D9" w:rsidRPr="00817362" w:rsidRDefault="004962D9" w:rsidP="00D4226B">
            <w:pPr>
              <w:tabs>
                <w:tab w:val="left" w:pos="875"/>
              </w:tabs>
              <w:ind w:right="-50"/>
              <w:jc w:val="both"/>
              <w:rPr>
                <w:rFonts w:ascii="Arial" w:hAnsi="Arial" w:cs="Arial"/>
                <w:b/>
              </w:rPr>
            </w:pPr>
            <w:r w:rsidRPr="00817362">
              <w:rPr>
                <w:rFonts w:ascii="Arial" w:hAnsi="Arial" w:cs="Arial"/>
                <w:b/>
              </w:rPr>
              <w:t>Técnicas:</w:t>
            </w:r>
          </w:p>
        </w:tc>
        <w:tc>
          <w:tcPr>
            <w:tcW w:w="5244" w:type="dxa"/>
          </w:tcPr>
          <w:p w14:paraId="10E0D086" w14:textId="77777777" w:rsidR="004962D9" w:rsidRPr="00817362" w:rsidRDefault="004962D9" w:rsidP="00D4226B">
            <w:pPr>
              <w:tabs>
                <w:tab w:val="left" w:pos="875"/>
              </w:tabs>
              <w:ind w:right="-50"/>
              <w:jc w:val="both"/>
              <w:rPr>
                <w:rFonts w:ascii="Arial" w:hAnsi="Arial" w:cs="Arial"/>
              </w:rPr>
            </w:pPr>
            <w:r w:rsidRPr="00817362">
              <w:rPr>
                <w:rFonts w:ascii="Arial" w:hAnsi="Arial" w:cs="Arial"/>
              </w:rPr>
              <w:t>Se ha requerido adecuación de los sistemas de información locales, por la complejidad en la implementación y aplicación en los procesos impactados por las políticas adoptadas por la entidad; demandando recursos adicionales para el desarrollo de los requerimientos solicitados al proveedor del software.</w:t>
            </w:r>
          </w:p>
        </w:tc>
      </w:tr>
      <w:tr w:rsidR="004962D9" w:rsidRPr="00817362" w14:paraId="7AC3ACDF" w14:textId="77777777" w:rsidTr="004C5E54">
        <w:tc>
          <w:tcPr>
            <w:tcW w:w="851" w:type="dxa"/>
          </w:tcPr>
          <w:p w14:paraId="3EA4BDDC"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4</w:t>
            </w:r>
          </w:p>
        </w:tc>
        <w:tc>
          <w:tcPr>
            <w:tcW w:w="4395" w:type="dxa"/>
          </w:tcPr>
          <w:p w14:paraId="51146388" w14:textId="77777777" w:rsidR="004962D9" w:rsidRPr="00817362" w:rsidRDefault="004962D9" w:rsidP="00D4226B">
            <w:pPr>
              <w:tabs>
                <w:tab w:val="left" w:pos="875"/>
              </w:tabs>
              <w:ind w:right="-50"/>
              <w:jc w:val="both"/>
              <w:rPr>
                <w:rFonts w:ascii="Arial" w:hAnsi="Arial" w:cs="Arial"/>
                <w:b/>
              </w:rPr>
            </w:pPr>
            <w:r w:rsidRPr="00817362">
              <w:rPr>
                <w:rFonts w:ascii="Arial" w:hAnsi="Arial" w:cs="Arial"/>
                <w:b/>
              </w:rPr>
              <w:t>Operativas:</w:t>
            </w:r>
          </w:p>
        </w:tc>
        <w:tc>
          <w:tcPr>
            <w:tcW w:w="5244" w:type="dxa"/>
          </w:tcPr>
          <w:p w14:paraId="163B449B" w14:textId="77777777" w:rsidR="004962D9" w:rsidRPr="00817362" w:rsidRDefault="004962D9" w:rsidP="00D4226B">
            <w:pPr>
              <w:tabs>
                <w:tab w:val="left" w:pos="875"/>
              </w:tabs>
              <w:ind w:right="-50"/>
              <w:jc w:val="both"/>
              <w:rPr>
                <w:rFonts w:ascii="Arial" w:hAnsi="Arial" w:cs="Arial"/>
              </w:rPr>
            </w:pPr>
            <w:r w:rsidRPr="00817362">
              <w:rPr>
                <w:rFonts w:ascii="Arial" w:hAnsi="Arial" w:cs="Arial"/>
              </w:rPr>
              <w:t>La operatividad se ha visto en algunos casos afectada en razón a que se deben realizar ajustes a los cambios que se dan por las políticas contables adoptadas, adecuando para cada uno de los procesos los procedimientos acordes al Marco Normativo para entidades de gobierno.</w:t>
            </w:r>
          </w:p>
        </w:tc>
      </w:tr>
      <w:tr w:rsidR="004962D9" w:rsidRPr="00817362" w14:paraId="374C9930" w14:textId="77777777" w:rsidTr="004C5E54">
        <w:tc>
          <w:tcPr>
            <w:tcW w:w="851" w:type="dxa"/>
          </w:tcPr>
          <w:p w14:paraId="3FCBDA8D"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5</w:t>
            </w:r>
          </w:p>
        </w:tc>
        <w:tc>
          <w:tcPr>
            <w:tcW w:w="4395" w:type="dxa"/>
          </w:tcPr>
          <w:p w14:paraId="0A8C30A9" w14:textId="77777777" w:rsidR="004962D9" w:rsidRPr="00817362" w:rsidRDefault="004962D9" w:rsidP="00D4226B">
            <w:pPr>
              <w:tabs>
                <w:tab w:val="left" w:pos="875"/>
              </w:tabs>
              <w:ind w:right="-50"/>
              <w:jc w:val="both"/>
              <w:rPr>
                <w:rFonts w:ascii="Arial" w:hAnsi="Arial" w:cs="Arial"/>
                <w:b/>
              </w:rPr>
            </w:pPr>
            <w:r w:rsidRPr="00817362">
              <w:rPr>
                <w:rFonts w:ascii="Arial" w:hAnsi="Arial" w:cs="Arial"/>
                <w:b/>
              </w:rPr>
              <w:t>Presupuestales:</w:t>
            </w:r>
          </w:p>
        </w:tc>
        <w:tc>
          <w:tcPr>
            <w:tcW w:w="5244" w:type="dxa"/>
          </w:tcPr>
          <w:p w14:paraId="3F338A47" w14:textId="77777777" w:rsidR="004962D9" w:rsidRPr="00817362" w:rsidRDefault="004962D9" w:rsidP="00D4226B">
            <w:pPr>
              <w:tabs>
                <w:tab w:val="left" w:pos="875"/>
              </w:tabs>
              <w:ind w:right="-50"/>
              <w:jc w:val="both"/>
              <w:rPr>
                <w:rFonts w:ascii="Arial" w:hAnsi="Arial" w:cs="Arial"/>
              </w:rPr>
            </w:pPr>
            <w:r w:rsidRPr="00817362">
              <w:rPr>
                <w:rFonts w:ascii="Arial" w:hAnsi="Arial" w:cs="Arial"/>
              </w:rPr>
              <w:t>La entidad ha requerido recursos adicionales para poder adecuar sus sistemas de información.</w:t>
            </w:r>
          </w:p>
        </w:tc>
      </w:tr>
      <w:tr w:rsidR="004962D9" w:rsidRPr="00817362" w14:paraId="55547639" w14:textId="77777777" w:rsidTr="004C5E54">
        <w:tc>
          <w:tcPr>
            <w:tcW w:w="851" w:type="dxa"/>
          </w:tcPr>
          <w:p w14:paraId="109DA6A6" w14:textId="77777777" w:rsidR="004962D9" w:rsidRPr="00817362" w:rsidRDefault="004962D9" w:rsidP="00D4226B">
            <w:pPr>
              <w:tabs>
                <w:tab w:val="left" w:pos="875"/>
              </w:tabs>
              <w:ind w:right="-50"/>
              <w:jc w:val="center"/>
              <w:rPr>
                <w:rFonts w:ascii="Arial" w:hAnsi="Arial" w:cs="Arial"/>
                <w:b/>
              </w:rPr>
            </w:pPr>
            <w:r w:rsidRPr="00817362">
              <w:rPr>
                <w:rFonts w:ascii="Arial" w:hAnsi="Arial" w:cs="Arial"/>
                <w:b/>
              </w:rPr>
              <w:t>6</w:t>
            </w:r>
          </w:p>
        </w:tc>
        <w:tc>
          <w:tcPr>
            <w:tcW w:w="4395" w:type="dxa"/>
          </w:tcPr>
          <w:p w14:paraId="0B0EEA7A" w14:textId="77777777" w:rsidR="004962D9" w:rsidRPr="00817362" w:rsidRDefault="004962D9" w:rsidP="00D4226B">
            <w:pPr>
              <w:tabs>
                <w:tab w:val="left" w:pos="875"/>
              </w:tabs>
              <w:ind w:right="-50"/>
              <w:jc w:val="both"/>
              <w:rPr>
                <w:rFonts w:ascii="Arial" w:hAnsi="Arial" w:cs="Arial"/>
                <w:b/>
              </w:rPr>
            </w:pPr>
            <w:r w:rsidRPr="00817362">
              <w:rPr>
                <w:rFonts w:ascii="Arial" w:hAnsi="Arial" w:cs="Arial"/>
                <w:b/>
              </w:rPr>
              <w:t>Otras</w:t>
            </w:r>
          </w:p>
        </w:tc>
        <w:tc>
          <w:tcPr>
            <w:tcW w:w="5244" w:type="dxa"/>
          </w:tcPr>
          <w:p w14:paraId="5645F853" w14:textId="77777777" w:rsidR="004962D9" w:rsidRPr="00817362" w:rsidRDefault="004962D9" w:rsidP="00D4226B">
            <w:pPr>
              <w:tabs>
                <w:tab w:val="left" w:pos="875"/>
              </w:tabs>
              <w:ind w:right="-50"/>
              <w:jc w:val="both"/>
              <w:rPr>
                <w:rFonts w:ascii="Arial" w:hAnsi="Arial" w:cs="Arial"/>
              </w:rPr>
            </w:pPr>
            <w:r w:rsidRPr="00817362">
              <w:rPr>
                <w:rFonts w:ascii="Arial" w:hAnsi="Arial" w:cs="Arial"/>
              </w:rPr>
              <w:t xml:space="preserve">Se debió consultar la doctrina contable y a la Contaduría para que emitiera conceptos sobre el tratamiento contable a aplicar en hechos particulares, para no generar </w:t>
            </w:r>
            <w:r w:rsidRPr="00817362">
              <w:rPr>
                <w:rFonts w:ascii="Arial" w:hAnsi="Arial" w:cs="Arial"/>
              </w:rPr>
              <w:lastRenderedPageBreak/>
              <w:t>diferencias conceptuales como resultado de la interpretación de la norma.</w:t>
            </w:r>
          </w:p>
        </w:tc>
      </w:tr>
    </w:tbl>
    <w:p w14:paraId="24483C08" w14:textId="77777777" w:rsidR="004962D9" w:rsidRPr="00D319C6" w:rsidRDefault="004962D9" w:rsidP="004962D9">
      <w:pPr>
        <w:rPr>
          <w:rFonts w:ascii="Arial" w:hAnsi="Arial" w:cs="Arial"/>
          <w:b/>
          <w:sz w:val="28"/>
          <w:szCs w:val="28"/>
        </w:rPr>
      </w:pPr>
    </w:p>
    <w:p w14:paraId="0233B1C9" w14:textId="77777777" w:rsidR="004962D9" w:rsidRPr="00FE0CA7" w:rsidRDefault="004962D9" w:rsidP="004C5E54">
      <w:pPr>
        <w:ind w:left="-284"/>
        <w:jc w:val="both"/>
        <w:rPr>
          <w:rFonts w:ascii="Arial" w:hAnsi="Arial" w:cs="Arial"/>
          <w:b/>
          <w:sz w:val="28"/>
          <w:szCs w:val="28"/>
          <w:lang w:val="es-MX"/>
        </w:rPr>
      </w:pPr>
      <w:r w:rsidRPr="00FE0CA7">
        <w:rPr>
          <w:rFonts w:ascii="Arial" w:hAnsi="Arial" w:cs="Arial"/>
          <w:b/>
          <w:sz w:val="28"/>
          <w:szCs w:val="28"/>
          <w:lang w:val="es-MX"/>
        </w:rPr>
        <w:t>56.- CONSEJO PROFESIONAL NACIONAL DE TOPOGRAFIA.</w:t>
      </w:r>
    </w:p>
    <w:p w14:paraId="14382C50" w14:textId="77777777" w:rsidR="004962D9" w:rsidRDefault="004962D9" w:rsidP="004962D9">
      <w:pPr>
        <w:ind w:left="-142"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3D1186" w14:paraId="799EEC57" w14:textId="77777777" w:rsidTr="004C5E54">
        <w:tc>
          <w:tcPr>
            <w:tcW w:w="851" w:type="dxa"/>
          </w:tcPr>
          <w:p w14:paraId="4A08A6B2"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N°</w:t>
            </w:r>
          </w:p>
        </w:tc>
        <w:tc>
          <w:tcPr>
            <w:tcW w:w="4395" w:type="dxa"/>
          </w:tcPr>
          <w:p w14:paraId="48EFDCE5"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 xml:space="preserve">Limitaciones detectadas por su entidad en la aplicación del Marco Normativo - NICSP </w:t>
            </w:r>
          </w:p>
          <w:p w14:paraId="34FA1C0D"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a 31/12/2024</w:t>
            </w:r>
          </w:p>
          <w:p w14:paraId="7A12F6E9" w14:textId="77777777" w:rsidR="004962D9" w:rsidRPr="003D1186" w:rsidRDefault="004962D9" w:rsidP="00D4226B">
            <w:pPr>
              <w:tabs>
                <w:tab w:val="left" w:pos="875"/>
              </w:tabs>
              <w:ind w:right="-50"/>
              <w:jc w:val="center"/>
              <w:rPr>
                <w:rFonts w:ascii="Arial" w:hAnsi="Arial" w:cs="Arial"/>
                <w:b/>
              </w:rPr>
            </w:pPr>
          </w:p>
        </w:tc>
        <w:tc>
          <w:tcPr>
            <w:tcW w:w="5244" w:type="dxa"/>
          </w:tcPr>
          <w:p w14:paraId="449740D4"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Descripción de la limitación</w:t>
            </w:r>
          </w:p>
        </w:tc>
      </w:tr>
      <w:tr w:rsidR="004962D9" w:rsidRPr="003D1186" w14:paraId="2D369EB1" w14:textId="77777777" w:rsidTr="004C5E54">
        <w:tc>
          <w:tcPr>
            <w:tcW w:w="851" w:type="dxa"/>
          </w:tcPr>
          <w:p w14:paraId="60DDB1F3"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1</w:t>
            </w:r>
          </w:p>
        </w:tc>
        <w:tc>
          <w:tcPr>
            <w:tcW w:w="4395" w:type="dxa"/>
          </w:tcPr>
          <w:p w14:paraId="3400AA4B" w14:textId="77777777" w:rsidR="004962D9" w:rsidRPr="003D1186" w:rsidRDefault="004962D9" w:rsidP="00D4226B">
            <w:pPr>
              <w:tabs>
                <w:tab w:val="left" w:pos="875"/>
              </w:tabs>
              <w:ind w:right="-50"/>
              <w:jc w:val="both"/>
              <w:rPr>
                <w:rFonts w:ascii="Arial" w:hAnsi="Arial" w:cs="Arial"/>
                <w:b/>
              </w:rPr>
            </w:pPr>
            <w:r w:rsidRPr="003D1186">
              <w:rPr>
                <w:rFonts w:ascii="Arial" w:hAnsi="Arial" w:cs="Arial"/>
                <w:b/>
              </w:rPr>
              <w:t>Normativas:</w:t>
            </w:r>
          </w:p>
        </w:tc>
        <w:tc>
          <w:tcPr>
            <w:tcW w:w="5244" w:type="dxa"/>
          </w:tcPr>
          <w:p w14:paraId="1891D21F" w14:textId="06C2ECD4" w:rsidR="004962D9" w:rsidRPr="003D1186" w:rsidRDefault="004962D9" w:rsidP="00D4226B">
            <w:pPr>
              <w:tabs>
                <w:tab w:val="left" w:pos="875"/>
              </w:tabs>
              <w:ind w:right="-50"/>
              <w:jc w:val="both"/>
              <w:rPr>
                <w:rFonts w:ascii="Arial" w:hAnsi="Arial" w:cs="Arial"/>
              </w:rPr>
            </w:pPr>
            <w:r w:rsidRPr="003D1186">
              <w:rPr>
                <w:rFonts w:ascii="Arial" w:hAnsi="Arial" w:cs="Arial"/>
                <w:lang w:val="es-CO"/>
              </w:rPr>
              <w:t xml:space="preserve">Más allá de una limitación es una recomendación; sería importante que la CGN pueda socializar con los grupos de interés los cambios o la emisión de nuevos documentos, resoluciones, etc., y que incidan directamente en la información financiera, más </w:t>
            </w:r>
            <w:r w:rsidR="00D926CD" w:rsidRPr="003D1186">
              <w:rPr>
                <w:rFonts w:ascii="Arial" w:hAnsi="Arial" w:cs="Arial"/>
                <w:lang w:val="es-CO"/>
              </w:rPr>
              <w:t>aún</w:t>
            </w:r>
            <w:r w:rsidRPr="003D1186">
              <w:rPr>
                <w:rFonts w:ascii="Arial" w:hAnsi="Arial" w:cs="Arial"/>
                <w:lang w:val="es-CO"/>
              </w:rPr>
              <w:t xml:space="preserve"> cuando estos cambios implican un cambio estructural y de fondo en la presentación de estados financieros.</w:t>
            </w:r>
          </w:p>
        </w:tc>
      </w:tr>
      <w:tr w:rsidR="004962D9" w:rsidRPr="003D1186" w14:paraId="0D9BC814" w14:textId="77777777" w:rsidTr="004C5E54">
        <w:tc>
          <w:tcPr>
            <w:tcW w:w="851" w:type="dxa"/>
          </w:tcPr>
          <w:p w14:paraId="2372C551"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2</w:t>
            </w:r>
          </w:p>
        </w:tc>
        <w:tc>
          <w:tcPr>
            <w:tcW w:w="4395" w:type="dxa"/>
          </w:tcPr>
          <w:p w14:paraId="0508862D" w14:textId="77777777" w:rsidR="004962D9" w:rsidRPr="003D1186" w:rsidRDefault="004962D9" w:rsidP="00D4226B">
            <w:pPr>
              <w:tabs>
                <w:tab w:val="left" w:pos="875"/>
              </w:tabs>
              <w:ind w:right="-50"/>
              <w:jc w:val="both"/>
              <w:rPr>
                <w:rFonts w:ascii="Arial" w:hAnsi="Arial" w:cs="Arial"/>
                <w:b/>
              </w:rPr>
            </w:pPr>
            <w:r w:rsidRPr="003D1186">
              <w:rPr>
                <w:rFonts w:ascii="Arial" w:hAnsi="Arial" w:cs="Arial"/>
                <w:b/>
              </w:rPr>
              <w:t>Académicas:</w:t>
            </w:r>
          </w:p>
        </w:tc>
        <w:tc>
          <w:tcPr>
            <w:tcW w:w="5244" w:type="dxa"/>
          </w:tcPr>
          <w:p w14:paraId="33102658" w14:textId="77777777" w:rsidR="004962D9" w:rsidRPr="003D1186" w:rsidRDefault="004962D9" w:rsidP="00D4226B">
            <w:pPr>
              <w:tabs>
                <w:tab w:val="left" w:pos="875"/>
              </w:tabs>
              <w:ind w:right="-50"/>
              <w:jc w:val="both"/>
              <w:rPr>
                <w:rFonts w:ascii="Arial" w:hAnsi="Arial" w:cs="Arial"/>
              </w:rPr>
            </w:pPr>
            <w:r w:rsidRPr="003D1186">
              <w:rPr>
                <w:rFonts w:ascii="Arial" w:hAnsi="Arial" w:cs="Arial"/>
                <w:lang w:val="es-CO"/>
              </w:rPr>
              <w:t>Falta de capacitación en los procesos y cambios importantes relacionados con la normatividad y aplicación de estas en la generación de Información Financiera</w:t>
            </w:r>
          </w:p>
        </w:tc>
      </w:tr>
      <w:tr w:rsidR="004962D9" w:rsidRPr="003D1186" w14:paraId="49D31C34" w14:textId="77777777" w:rsidTr="004C5E54">
        <w:tc>
          <w:tcPr>
            <w:tcW w:w="851" w:type="dxa"/>
          </w:tcPr>
          <w:p w14:paraId="2C574D08" w14:textId="77777777" w:rsidR="004962D9" w:rsidRPr="003D1186" w:rsidRDefault="004962D9" w:rsidP="00D4226B">
            <w:pPr>
              <w:tabs>
                <w:tab w:val="left" w:pos="875"/>
              </w:tabs>
              <w:ind w:right="-50"/>
              <w:jc w:val="center"/>
              <w:rPr>
                <w:rFonts w:ascii="Arial" w:hAnsi="Arial" w:cs="Arial"/>
                <w:b/>
              </w:rPr>
            </w:pPr>
            <w:r w:rsidRPr="003D1186">
              <w:rPr>
                <w:rFonts w:ascii="Arial" w:hAnsi="Arial" w:cs="Arial"/>
                <w:b/>
              </w:rPr>
              <w:t>3</w:t>
            </w:r>
          </w:p>
        </w:tc>
        <w:tc>
          <w:tcPr>
            <w:tcW w:w="4395" w:type="dxa"/>
          </w:tcPr>
          <w:p w14:paraId="2C32F45D" w14:textId="77777777" w:rsidR="004962D9" w:rsidRPr="003D1186" w:rsidRDefault="004962D9" w:rsidP="00D4226B">
            <w:pPr>
              <w:tabs>
                <w:tab w:val="left" w:pos="875"/>
              </w:tabs>
              <w:ind w:right="-50"/>
              <w:jc w:val="both"/>
              <w:rPr>
                <w:rFonts w:ascii="Arial" w:hAnsi="Arial" w:cs="Arial"/>
                <w:b/>
              </w:rPr>
            </w:pPr>
            <w:r w:rsidRPr="003D1186">
              <w:rPr>
                <w:rFonts w:ascii="Arial" w:hAnsi="Arial" w:cs="Arial"/>
                <w:b/>
              </w:rPr>
              <w:t>Presupuestales:</w:t>
            </w:r>
          </w:p>
        </w:tc>
        <w:tc>
          <w:tcPr>
            <w:tcW w:w="5244" w:type="dxa"/>
          </w:tcPr>
          <w:p w14:paraId="39D56010" w14:textId="77777777" w:rsidR="004962D9" w:rsidRPr="003D1186" w:rsidRDefault="004962D9" w:rsidP="00D4226B">
            <w:pPr>
              <w:tabs>
                <w:tab w:val="left" w:pos="875"/>
              </w:tabs>
              <w:ind w:right="-50"/>
              <w:jc w:val="both"/>
              <w:rPr>
                <w:rFonts w:ascii="Arial" w:hAnsi="Arial" w:cs="Arial"/>
              </w:rPr>
            </w:pPr>
            <w:r w:rsidRPr="003D1186">
              <w:rPr>
                <w:rFonts w:ascii="Arial" w:hAnsi="Arial" w:cs="Arial"/>
                <w:lang w:val="es-CO"/>
              </w:rPr>
              <w:t>Presupuesto insuficiente para el funcionamiento de la Entidad, asociados a capacitaciones y recurso humano</w:t>
            </w:r>
          </w:p>
        </w:tc>
      </w:tr>
    </w:tbl>
    <w:p w14:paraId="42EDE14A" w14:textId="77777777" w:rsidR="004962D9" w:rsidRDefault="004962D9" w:rsidP="004962D9">
      <w:pPr>
        <w:ind w:left="-142" w:right="-234"/>
        <w:jc w:val="both"/>
        <w:rPr>
          <w:rFonts w:ascii="Arial" w:eastAsia="Trebuchet MS" w:hAnsi="Arial" w:cs="Arial"/>
          <w:b/>
          <w:sz w:val="32"/>
          <w:szCs w:val="32"/>
          <w:u w:val="single"/>
          <w:lang w:eastAsia="es-CO"/>
        </w:rPr>
      </w:pPr>
    </w:p>
    <w:p w14:paraId="3AE8AB06" w14:textId="77777777" w:rsidR="004962D9" w:rsidRPr="007C0510" w:rsidRDefault="004962D9" w:rsidP="004C5E54">
      <w:pPr>
        <w:ind w:left="-284" w:right="-234"/>
        <w:jc w:val="both"/>
        <w:rPr>
          <w:rFonts w:ascii="Arial" w:hAnsi="Arial" w:cs="Arial"/>
          <w:b/>
          <w:sz w:val="32"/>
          <w:szCs w:val="32"/>
        </w:rPr>
      </w:pPr>
      <w:r w:rsidRPr="007C0510">
        <w:rPr>
          <w:rFonts w:ascii="Arial" w:hAnsi="Arial" w:cs="Arial"/>
          <w:b/>
          <w:sz w:val="28"/>
          <w:szCs w:val="28"/>
          <w:lang w:val="es-MX"/>
        </w:rPr>
        <w:t xml:space="preserve">59.- </w:t>
      </w:r>
      <w:r w:rsidRPr="007C0510">
        <w:rPr>
          <w:rFonts w:ascii="Arial" w:hAnsi="Arial" w:cs="Arial"/>
          <w:b/>
          <w:sz w:val="28"/>
          <w:szCs w:val="28"/>
        </w:rPr>
        <w:t>FONDO UNICO DE TECNOLOGÍAS DE LA INFORMACIÓN Y LAS COMUNICACIONES – FUTIC.</w:t>
      </w:r>
    </w:p>
    <w:p w14:paraId="0AF5E88A" w14:textId="77777777" w:rsidR="004962D9" w:rsidRDefault="004962D9" w:rsidP="004962D9">
      <w:pPr>
        <w:ind w:left="-142"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792982" w14:paraId="2C34CD0D" w14:textId="77777777" w:rsidTr="004C5E54">
        <w:tc>
          <w:tcPr>
            <w:tcW w:w="851" w:type="dxa"/>
          </w:tcPr>
          <w:p w14:paraId="16E6A411"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N°</w:t>
            </w:r>
          </w:p>
        </w:tc>
        <w:tc>
          <w:tcPr>
            <w:tcW w:w="4395" w:type="dxa"/>
          </w:tcPr>
          <w:p w14:paraId="2930E0EA"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Limitaciones detectadas por su entidad en</w:t>
            </w:r>
          </w:p>
          <w:p w14:paraId="53314873"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 xml:space="preserve"> la aplicación del Marco Normativo - NICSP </w:t>
            </w:r>
          </w:p>
          <w:p w14:paraId="24B53CA5"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a 31/12/2024</w:t>
            </w:r>
          </w:p>
          <w:p w14:paraId="57E449C0" w14:textId="77777777" w:rsidR="004962D9" w:rsidRPr="00792982" w:rsidRDefault="004962D9" w:rsidP="00D4226B">
            <w:pPr>
              <w:tabs>
                <w:tab w:val="left" w:pos="875"/>
              </w:tabs>
              <w:ind w:right="-50"/>
              <w:jc w:val="center"/>
              <w:rPr>
                <w:rFonts w:ascii="Arial" w:hAnsi="Arial" w:cs="Arial"/>
                <w:b/>
              </w:rPr>
            </w:pPr>
          </w:p>
        </w:tc>
        <w:tc>
          <w:tcPr>
            <w:tcW w:w="5244" w:type="dxa"/>
          </w:tcPr>
          <w:p w14:paraId="6BEE3359"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Descripción de la limitación</w:t>
            </w:r>
          </w:p>
        </w:tc>
      </w:tr>
      <w:tr w:rsidR="004962D9" w:rsidRPr="00792982" w14:paraId="1B529109" w14:textId="77777777" w:rsidTr="004C5E54">
        <w:tc>
          <w:tcPr>
            <w:tcW w:w="851" w:type="dxa"/>
          </w:tcPr>
          <w:p w14:paraId="00AB3EF9"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1</w:t>
            </w:r>
          </w:p>
        </w:tc>
        <w:tc>
          <w:tcPr>
            <w:tcW w:w="4395" w:type="dxa"/>
          </w:tcPr>
          <w:p w14:paraId="449B825D" w14:textId="77777777" w:rsidR="004962D9" w:rsidRPr="00792982" w:rsidRDefault="004962D9" w:rsidP="00D4226B">
            <w:pPr>
              <w:tabs>
                <w:tab w:val="left" w:pos="875"/>
              </w:tabs>
              <w:ind w:right="-50"/>
              <w:jc w:val="both"/>
              <w:rPr>
                <w:rFonts w:ascii="Arial" w:hAnsi="Arial" w:cs="Arial"/>
                <w:b/>
              </w:rPr>
            </w:pPr>
            <w:r w:rsidRPr="00792982">
              <w:rPr>
                <w:rFonts w:ascii="Arial" w:hAnsi="Arial" w:cs="Arial"/>
                <w:b/>
              </w:rPr>
              <w:t>Normativas:</w:t>
            </w:r>
          </w:p>
        </w:tc>
        <w:tc>
          <w:tcPr>
            <w:tcW w:w="5244" w:type="dxa"/>
          </w:tcPr>
          <w:p w14:paraId="1CE51490" w14:textId="77777777" w:rsidR="004962D9" w:rsidRPr="00792982" w:rsidRDefault="004962D9" w:rsidP="00D4226B">
            <w:pPr>
              <w:tabs>
                <w:tab w:val="left" w:pos="875"/>
              </w:tabs>
              <w:ind w:right="-50"/>
              <w:jc w:val="both"/>
              <w:rPr>
                <w:rFonts w:ascii="Arial" w:hAnsi="Arial" w:cs="Arial"/>
              </w:rPr>
            </w:pPr>
            <w:r w:rsidRPr="00792982">
              <w:rPr>
                <w:rFonts w:ascii="Arial" w:hAnsi="Arial" w:cs="Arial"/>
              </w:rPr>
              <w:t>Las normas son generales y no son lo suficientemente claras para su interpretación y aplicación, requiriendo elevar consultas a la CGN para que conceptúen sobre tratamiento contable a aplicar en situaciones particulares de la entidad.</w:t>
            </w:r>
          </w:p>
        </w:tc>
      </w:tr>
      <w:tr w:rsidR="004962D9" w:rsidRPr="00792982" w14:paraId="43319871" w14:textId="77777777" w:rsidTr="004C5E54">
        <w:tc>
          <w:tcPr>
            <w:tcW w:w="851" w:type="dxa"/>
          </w:tcPr>
          <w:p w14:paraId="4992CD00"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2</w:t>
            </w:r>
          </w:p>
        </w:tc>
        <w:tc>
          <w:tcPr>
            <w:tcW w:w="4395" w:type="dxa"/>
          </w:tcPr>
          <w:p w14:paraId="1FCF64D3" w14:textId="77777777" w:rsidR="004962D9" w:rsidRPr="00792982" w:rsidRDefault="004962D9" w:rsidP="00D4226B">
            <w:pPr>
              <w:tabs>
                <w:tab w:val="left" w:pos="875"/>
              </w:tabs>
              <w:ind w:right="-50"/>
              <w:jc w:val="both"/>
              <w:rPr>
                <w:rFonts w:ascii="Arial" w:hAnsi="Arial" w:cs="Arial"/>
                <w:b/>
              </w:rPr>
            </w:pPr>
            <w:r w:rsidRPr="00792982">
              <w:rPr>
                <w:rFonts w:ascii="Arial" w:hAnsi="Arial" w:cs="Arial"/>
                <w:b/>
              </w:rPr>
              <w:t>Académicas:</w:t>
            </w:r>
          </w:p>
        </w:tc>
        <w:tc>
          <w:tcPr>
            <w:tcW w:w="5244" w:type="dxa"/>
          </w:tcPr>
          <w:p w14:paraId="725BB4BD" w14:textId="77777777" w:rsidR="004962D9" w:rsidRPr="00792982" w:rsidRDefault="004962D9" w:rsidP="00D4226B">
            <w:pPr>
              <w:tabs>
                <w:tab w:val="left" w:pos="875"/>
              </w:tabs>
              <w:ind w:right="-50"/>
              <w:jc w:val="both"/>
              <w:rPr>
                <w:rFonts w:ascii="Arial" w:hAnsi="Arial" w:cs="Arial"/>
              </w:rPr>
            </w:pPr>
            <w:r w:rsidRPr="00792982">
              <w:rPr>
                <w:rFonts w:ascii="Arial" w:hAnsi="Arial" w:cs="Arial"/>
              </w:rPr>
              <w:t>Durante la vigencia 2024, la CGN no programó capacitaciones para dar claridad en algunas resoluciones y conceptos emitidos para la correcta interpretación de la norma y sobre los cambios o modificaciones realizados por la CGN al Marco Normativo para entidades de gobierno.</w:t>
            </w:r>
          </w:p>
        </w:tc>
      </w:tr>
      <w:tr w:rsidR="004962D9" w:rsidRPr="00792982" w14:paraId="7ED44483" w14:textId="77777777" w:rsidTr="004C5E54">
        <w:tc>
          <w:tcPr>
            <w:tcW w:w="851" w:type="dxa"/>
          </w:tcPr>
          <w:p w14:paraId="60B20289"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3</w:t>
            </w:r>
          </w:p>
        </w:tc>
        <w:tc>
          <w:tcPr>
            <w:tcW w:w="4395" w:type="dxa"/>
          </w:tcPr>
          <w:p w14:paraId="281839A8" w14:textId="77777777" w:rsidR="004962D9" w:rsidRPr="00792982" w:rsidRDefault="004962D9" w:rsidP="00D4226B">
            <w:pPr>
              <w:tabs>
                <w:tab w:val="left" w:pos="875"/>
              </w:tabs>
              <w:ind w:right="-50"/>
              <w:jc w:val="both"/>
              <w:rPr>
                <w:rFonts w:ascii="Arial" w:hAnsi="Arial" w:cs="Arial"/>
                <w:b/>
              </w:rPr>
            </w:pPr>
            <w:r w:rsidRPr="00792982">
              <w:rPr>
                <w:rFonts w:ascii="Arial" w:hAnsi="Arial" w:cs="Arial"/>
                <w:b/>
              </w:rPr>
              <w:t>Técnicas:</w:t>
            </w:r>
          </w:p>
        </w:tc>
        <w:tc>
          <w:tcPr>
            <w:tcW w:w="5244" w:type="dxa"/>
          </w:tcPr>
          <w:p w14:paraId="4468AD7C" w14:textId="77777777" w:rsidR="004962D9" w:rsidRPr="00792982" w:rsidRDefault="004962D9" w:rsidP="00D4226B">
            <w:pPr>
              <w:tabs>
                <w:tab w:val="left" w:pos="875"/>
              </w:tabs>
              <w:ind w:right="-50"/>
              <w:jc w:val="both"/>
              <w:rPr>
                <w:rFonts w:ascii="Arial" w:hAnsi="Arial" w:cs="Arial"/>
              </w:rPr>
            </w:pPr>
            <w:r w:rsidRPr="00792982">
              <w:rPr>
                <w:rFonts w:ascii="Arial" w:hAnsi="Arial" w:cs="Arial"/>
              </w:rPr>
              <w:t>Se ha requerido adecuación de los sistemas de información locales, por la complejidad en la implementación y aplicación en los procesos impactados por las políticas adoptadas por la entidad; demandando recursos adicionales para el desarrollo de los requerimientos solicitados al proveedor del software.</w:t>
            </w:r>
          </w:p>
        </w:tc>
      </w:tr>
      <w:tr w:rsidR="004962D9" w:rsidRPr="00792982" w14:paraId="0E6FE250" w14:textId="77777777" w:rsidTr="004C5E54">
        <w:tc>
          <w:tcPr>
            <w:tcW w:w="851" w:type="dxa"/>
          </w:tcPr>
          <w:p w14:paraId="305546F5"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4</w:t>
            </w:r>
          </w:p>
        </w:tc>
        <w:tc>
          <w:tcPr>
            <w:tcW w:w="4395" w:type="dxa"/>
          </w:tcPr>
          <w:p w14:paraId="528FF819" w14:textId="77777777" w:rsidR="004962D9" w:rsidRPr="00792982" w:rsidRDefault="004962D9" w:rsidP="00D4226B">
            <w:pPr>
              <w:tabs>
                <w:tab w:val="left" w:pos="875"/>
              </w:tabs>
              <w:ind w:right="-50"/>
              <w:jc w:val="both"/>
              <w:rPr>
                <w:rFonts w:ascii="Arial" w:hAnsi="Arial" w:cs="Arial"/>
                <w:b/>
              </w:rPr>
            </w:pPr>
            <w:r w:rsidRPr="00792982">
              <w:rPr>
                <w:rFonts w:ascii="Arial" w:hAnsi="Arial" w:cs="Arial"/>
                <w:b/>
              </w:rPr>
              <w:t>Operativas:</w:t>
            </w:r>
          </w:p>
        </w:tc>
        <w:tc>
          <w:tcPr>
            <w:tcW w:w="5244" w:type="dxa"/>
          </w:tcPr>
          <w:p w14:paraId="782DC1C7" w14:textId="77777777" w:rsidR="004962D9" w:rsidRPr="00792982" w:rsidRDefault="004962D9" w:rsidP="00D4226B">
            <w:pPr>
              <w:tabs>
                <w:tab w:val="left" w:pos="875"/>
              </w:tabs>
              <w:ind w:right="-50"/>
              <w:jc w:val="both"/>
              <w:rPr>
                <w:rFonts w:ascii="Arial" w:hAnsi="Arial" w:cs="Arial"/>
              </w:rPr>
            </w:pPr>
            <w:r w:rsidRPr="00792982">
              <w:rPr>
                <w:rFonts w:ascii="Arial" w:hAnsi="Arial" w:cs="Arial"/>
              </w:rPr>
              <w:t>La operatividad se ha visto en algunos casos afectada en razón a que se deben realizar ajustes a los cambios que se dan por las políticas contables adoptadas, adecuando para cada uno de los procesos los procedimientos acordes al Marco Normativo para entidades de gobierno.</w:t>
            </w:r>
          </w:p>
        </w:tc>
      </w:tr>
      <w:tr w:rsidR="004962D9" w:rsidRPr="00792982" w14:paraId="7F30ED61" w14:textId="77777777" w:rsidTr="004C5E54">
        <w:tc>
          <w:tcPr>
            <w:tcW w:w="851" w:type="dxa"/>
          </w:tcPr>
          <w:p w14:paraId="7549C3A4"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5</w:t>
            </w:r>
          </w:p>
        </w:tc>
        <w:tc>
          <w:tcPr>
            <w:tcW w:w="4395" w:type="dxa"/>
          </w:tcPr>
          <w:p w14:paraId="29E36DB4" w14:textId="77777777" w:rsidR="004962D9" w:rsidRPr="00792982" w:rsidRDefault="004962D9" w:rsidP="00D4226B">
            <w:pPr>
              <w:tabs>
                <w:tab w:val="left" w:pos="875"/>
              </w:tabs>
              <w:ind w:right="-50"/>
              <w:jc w:val="both"/>
              <w:rPr>
                <w:rFonts w:ascii="Arial" w:hAnsi="Arial" w:cs="Arial"/>
                <w:b/>
              </w:rPr>
            </w:pPr>
            <w:r w:rsidRPr="00792982">
              <w:rPr>
                <w:rFonts w:ascii="Arial" w:hAnsi="Arial" w:cs="Arial"/>
                <w:b/>
              </w:rPr>
              <w:t>Presupuestales:</w:t>
            </w:r>
          </w:p>
        </w:tc>
        <w:tc>
          <w:tcPr>
            <w:tcW w:w="5244" w:type="dxa"/>
          </w:tcPr>
          <w:p w14:paraId="14F46770" w14:textId="77777777" w:rsidR="004962D9" w:rsidRPr="00792982" w:rsidRDefault="004962D9" w:rsidP="00D4226B">
            <w:pPr>
              <w:tabs>
                <w:tab w:val="left" w:pos="875"/>
              </w:tabs>
              <w:ind w:right="-50"/>
              <w:jc w:val="both"/>
              <w:rPr>
                <w:rFonts w:ascii="Arial" w:hAnsi="Arial" w:cs="Arial"/>
              </w:rPr>
            </w:pPr>
            <w:r w:rsidRPr="00792982">
              <w:rPr>
                <w:rFonts w:ascii="Arial" w:hAnsi="Arial" w:cs="Arial"/>
              </w:rPr>
              <w:t>La entidad ha requerido recursos adicionales para poder adecuar sus sistemas de información.</w:t>
            </w:r>
          </w:p>
        </w:tc>
      </w:tr>
      <w:tr w:rsidR="004962D9" w:rsidRPr="00792982" w14:paraId="22EF2B82" w14:textId="77777777" w:rsidTr="004C5E54">
        <w:tc>
          <w:tcPr>
            <w:tcW w:w="851" w:type="dxa"/>
          </w:tcPr>
          <w:p w14:paraId="130F9D33" w14:textId="77777777" w:rsidR="004962D9" w:rsidRPr="00792982" w:rsidRDefault="004962D9" w:rsidP="00D4226B">
            <w:pPr>
              <w:tabs>
                <w:tab w:val="left" w:pos="875"/>
              </w:tabs>
              <w:ind w:right="-50"/>
              <w:jc w:val="center"/>
              <w:rPr>
                <w:rFonts w:ascii="Arial" w:hAnsi="Arial" w:cs="Arial"/>
                <w:b/>
              </w:rPr>
            </w:pPr>
            <w:r w:rsidRPr="00792982">
              <w:rPr>
                <w:rFonts w:ascii="Arial" w:hAnsi="Arial" w:cs="Arial"/>
                <w:b/>
              </w:rPr>
              <w:t>6</w:t>
            </w:r>
          </w:p>
        </w:tc>
        <w:tc>
          <w:tcPr>
            <w:tcW w:w="4395" w:type="dxa"/>
          </w:tcPr>
          <w:p w14:paraId="590E63D9" w14:textId="77777777" w:rsidR="004962D9" w:rsidRPr="00792982" w:rsidRDefault="004962D9" w:rsidP="00D4226B">
            <w:pPr>
              <w:tabs>
                <w:tab w:val="left" w:pos="875"/>
              </w:tabs>
              <w:ind w:right="-50"/>
              <w:jc w:val="both"/>
              <w:rPr>
                <w:rFonts w:ascii="Arial" w:hAnsi="Arial" w:cs="Arial"/>
                <w:b/>
              </w:rPr>
            </w:pPr>
            <w:r w:rsidRPr="00792982">
              <w:rPr>
                <w:rFonts w:ascii="Arial" w:hAnsi="Arial" w:cs="Arial"/>
                <w:b/>
              </w:rPr>
              <w:t>Otras</w:t>
            </w:r>
          </w:p>
        </w:tc>
        <w:tc>
          <w:tcPr>
            <w:tcW w:w="5244" w:type="dxa"/>
          </w:tcPr>
          <w:p w14:paraId="18197020" w14:textId="77777777" w:rsidR="004962D9" w:rsidRPr="00792982" w:rsidRDefault="004962D9" w:rsidP="00D4226B">
            <w:pPr>
              <w:tabs>
                <w:tab w:val="left" w:pos="875"/>
              </w:tabs>
              <w:ind w:right="-50"/>
              <w:jc w:val="both"/>
              <w:rPr>
                <w:rFonts w:ascii="Arial" w:hAnsi="Arial" w:cs="Arial"/>
              </w:rPr>
            </w:pPr>
            <w:r w:rsidRPr="00792982">
              <w:rPr>
                <w:rFonts w:ascii="Arial" w:hAnsi="Arial" w:cs="Arial"/>
              </w:rPr>
              <w:t xml:space="preserve">Se debió consultar la doctrina contable y a la Contaduría </w:t>
            </w:r>
            <w:r w:rsidRPr="00792982">
              <w:rPr>
                <w:rFonts w:ascii="Arial" w:hAnsi="Arial" w:cs="Arial"/>
              </w:rPr>
              <w:lastRenderedPageBreak/>
              <w:t>para que emitiera conceptos sobre el tratamiento contable a aplicar en hechos particulares, para no generar diferencias conceptuales como resultado de la interpretación de la norma.</w:t>
            </w:r>
          </w:p>
        </w:tc>
      </w:tr>
    </w:tbl>
    <w:p w14:paraId="4C64D053" w14:textId="77777777" w:rsidR="004962D9" w:rsidRDefault="004962D9" w:rsidP="004962D9">
      <w:pPr>
        <w:ind w:left="-142" w:right="-234"/>
        <w:jc w:val="both"/>
        <w:rPr>
          <w:rFonts w:ascii="Arial" w:eastAsia="Trebuchet MS" w:hAnsi="Arial" w:cs="Arial"/>
          <w:b/>
          <w:sz w:val="32"/>
          <w:szCs w:val="32"/>
          <w:u w:val="single"/>
          <w:lang w:eastAsia="es-CO"/>
        </w:rPr>
      </w:pPr>
    </w:p>
    <w:p w14:paraId="5298DF89" w14:textId="77777777" w:rsidR="004962D9" w:rsidRPr="00E2265E" w:rsidRDefault="004962D9" w:rsidP="004962D9">
      <w:pPr>
        <w:ind w:left="-284"/>
        <w:jc w:val="both"/>
        <w:rPr>
          <w:rFonts w:ascii="Arial" w:hAnsi="Arial" w:cs="Arial"/>
          <w:b/>
          <w:sz w:val="28"/>
          <w:szCs w:val="28"/>
        </w:rPr>
      </w:pPr>
      <w:r w:rsidRPr="00E2265E">
        <w:rPr>
          <w:rFonts w:ascii="Arial" w:hAnsi="Arial" w:cs="Arial"/>
          <w:b/>
          <w:sz w:val="28"/>
          <w:szCs w:val="28"/>
          <w:lang w:val="es-MX"/>
        </w:rPr>
        <w:t xml:space="preserve">62.- </w:t>
      </w:r>
      <w:r w:rsidRPr="00E2265E">
        <w:rPr>
          <w:rFonts w:ascii="Arial" w:hAnsi="Arial" w:cs="Arial"/>
          <w:b/>
          <w:sz w:val="28"/>
          <w:szCs w:val="28"/>
        </w:rPr>
        <w:t>SOCIEDAD HOTELERA TEQUENDAMA S.A.</w:t>
      </w:r>
    </w:p>
    <w:p w14:paraId="4DC46D60" w14:textId="77777777" w:rsidR="004962D9" w:rsidRDefault="004962D9" w:rsidP="004962D9">
      <w:pPr>
        <w:ind w:left="-142"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544CAB" w14:paraId="6E429A34" w14:textId="77777777" w:rsidTr="004C5E54">
        <w:tc>
          <w:tcPr>
            <w:tcW w:w="851" w:type="dxa"/>
          </w:tcPr>
          <w:p w14:paraId="03A4D737" w14:textId="77777777" w:rsidR="004962D9" w:rsidRPr="00544CAB" w:rsidRDefault="004962D9" w:rsidP="00D4226B">
            <w:pPr>
              <w:tabs>
                <w:tab w:val="left" w:pos="875"/>
              </w:tabs>
              <w:ind w:right="-50"/>
              <w:jc w:val="center"/>
              <w:rPr>
                <w:rFonts w:ascii="Arial" w:hAnsi="Arial" w:cs="Arial"/>
                <w:b/>
              </w:rPr>
            </w:pPr>
            <w:bookmarkStart w:id="35" w:name="_Hlk197514271"/>
            <w:r w:rsidRPr="00544CAB">
              <w:rPr>
                <w:rFonts w:ascii="Arial" w:hAnsi="Arial" w:cs="Arial"/>
                <w:b/>
              </w:rPr>
              <w:t>N°</w:t>
            </w:r>
          </w:p>
        </w:tc>
        <w:tc>
          <w:tcPr>
            <w:tcW w:w="4395" w:type="dxa"/>
          </w:tcPr>
          <w:p w14:paraId="65E11C90" w14:textId="77777777" w:rsidR="004962D9" w:rsidRPr="00544CAB" w:rsidRDefault="004962D9" w:rsidP="00D4226B">
            <w:pPr>
              <w:tabs>
                <w:tab w:val="left" w:pos="875"/>
              </w:tabs>
              <w:ind w:right="-50"/>
              <w:jc w:val="center"/>
              <w:rPr>
                <w:rFonts w:ascii="Arial" w:hAnsi="Arial" w:cs="Arial"/>
                <w:b/>
              </w:rPr>
            </w:pPr>
            <w:r w:rsidRPr="00544CAB">
              <w:rPr>
                <w:rFonts w:ascii="Arial" w:hAnsi="Arial" w:cs="Arial"/>
                <w:b/>
              </w:rPr>
              <w:t>Limitaciones detectadas por su entidad en</w:t>
            </w:r>
          </w:p>
          <w:p w14:paraId="0811BA60" w14:textId="77777777" w:rsidR="004962D9" w:rsidRPr="00544CAB" w:rsidRDefault="004962D9" w:rsidP="00D4226B">
            <w:pPr>
              <w:tabs>
                <w:tab w:val="left" w:pos="875"/>
              </w:tabs>
              <w:ind w:right="-50"/>
              <w:jc w:val="center"/>
              <w:rPr>
                <w:rFonts w:ascii="Arial" w:hAnsi="Arial" w:cs="Arial"/>
                <w:b/>
              </w:rPr>
            </w:pPr>
            <w:r w:rsidRPr="00544CAB">
              <w:rPr>
                <w:rFonts w:ascii="Arial" w:hAnsi="Arial" w:cs="Arial"/>
                <w:b/>
              </w:rPr>
              <w:t xml:space="preserve"> la aplicación del Marco Normativo - NICSP </w:t>
            </w:r>
          </w:p>
          <w:p w14:paraId="2B27A43B" w14:textId="77777777" w:rsidR="004962D9" w:rsidRPr="00544CAB" w:rsidRDefault="004962D9" w:rsidP="00D4226B">
            <w:pPr>
              <w:tabs>
                <w:tab w:val="left" w:pos="875"/>
              </w:tabs>
              <w:ind w:right="-50"/>
              <w:jc w:val="center"/>
              <w:rPr>
                <w:rFonts w:ascii="Arial" w:hAnsi="Arial" w:cs="Arial"/>
                <w:b/>
              </w:rPr>
            </w:pPr>
            <w:r w:rsidRPr="00544CAB">
              <w:rPr>
                <w:rFonts w:ascii="Arial" w:hAnsi="Arial" w:cs="Arial"/>
                <w:b/>
              </w:rPr>
              <w:t>a 31/12/2024</w:t>
            </w:r>
          </w:p>
          <w:p w14:paraId="2AD43D7B" w14:textId="77777777" w:rsidR="004962D9" w:rsidRPr="00544CAB" w:rsidRDefault="004962D9" w:rsidP="00D4226B">
            <w:pPr>
              <w:tabs>
                <w:tab w:val="left" w:pos="875"/>
              </w:tabs>
              <w:ind w:right="-50"/>
              <w:jc w:val="center"/>
              <w:rPr>
                <w:rFonts w:ascii="Arial" w:hAnsi="Arial" w:cs="Arial"/>
                <w:b/>
              </w:rPr>
            </w:pPr>
          </w:p>
        </w:tc>
        <w:tc>
          <w:tcPr>
            <w:tcW w:w="5244" w:type="dxa"/>
          </w:tcPr>
          <w:p w14:paraId="2B476D8E" w14:textId="77777777" w:rsidR="004962D9" w:rsidRPr="00544CAB" w:rsidRDefault="004962D9" w:rsidP="00D4226B">
            <w:pPr>
              <w:tabs>
                <w:tab w:val="left" w:pos="875"/>
              </w:tabs>
              <w:ind w:right="-50"/>
              <w:jc w:val="center"/>
              <w:rPr>
                <w:rFonts w:ascii="Arial" w:hAnsi="Arial" w:cs="Arial"/>
                <w:b/>
              </w:rPr>
            </w:pPr>
            <w:r w:rsidRPr="00544CAB">
              <w:rPr>
                <w:rFonts w:ascii="Arial" w:hAnsi="Arial" w:cs="Arial"/>
                <w:b/>
              </w:rPr>
              <w:t>Descripción de la limitación</w:t>
            </w:r>
          </w:p>
        </w:tc>
      </w:tr>
      <w:tr w:rsidR="004962D9" w:rsidRPr="00544CAB" w14:paraId="17C69C05" w14:textId="77777777" w:rsidTr="004C5E54">
        <w:trPr>
          <w:trHeight w:val="2084"/>
        </w:trPr>
        <w:tc>
          <w:tcPr>
            <w:tcW w:w="851" w:type="dxa"/>
          </w:tcPr>
          <w:p w14:paraId="0C22B0E2" w14:textId="77777777" w:rsidR="004962D9" w:rsidRPr="00544CAB" w:rsidRDefault="004962D9" w:rsidP="00D4226B">
            <w:pPr>
              <w:tabs>
                <w:tab w:val="left" w:pos="875"/>
              </w:tabs>
              <w:ind w:right="-50"/>
              <w:jc w:val="center"/>
              <w:rPr>
                <w:rFonts w:ascii="Arial" w:hAnsi="Arial" w:cs="Arial"/>
                <w:b/>
              </w:rPr>
            </w:pPr>
            <w:r w:rsidRPr="00544CAB">
              <w:rPr>
                <w:rFonts w:ascii="Arial" w:hAnsi="Arial" w:cs="Arial"/>
                <w:b/>
              </w:rPr>
              <w:t>1</w:t>
            </w:r>
          </w:p>
        </w:tc>
        <w:tc>
          <w:tcPr>
            <w:tcW w:w="4395" w:type="dxa"/>
          </w:tcPr>
          <w:p w14:paraId="29E88879" w14:textId="77777777" w:rsidR="004962D9" w:rsidRPr="00544CAB" w:rsidRDefault="004962D9" w:rsidP="00D4226B">
            <w:pPr>
              <w:tabs>
                <w:tab w:val="left" w:pos="875"/>
              </w:tabs>
              <w:ind w:right="-50"/>
              <w:jc w:val="both"/>
              <w:rPr>
                <w:rFonts w:ascii="Arial" w:hAnsi="Arial" w:cs="Arial"/>
                <w:b/>
              </w:rPr>
            </w:pPr>
            <w:r w:rsidRPr="00544CAB">
              <w:rPr>
                <w:rFonts w:ascii="Arial" w:hAnsi="Arial" w:cs="Arial"/>
                <w:b/>
              </w:rPr>
              <w:t>Normativas:</w:t>
            </w:r>
          </w:p>
        </w:tc>
        <w:tc>
          <w:tcPr>
            <w:tcW w:w="5244" w:type="dxa"/>
          </w:tcPr>
          <w:p w14:paraId="58C8508A" w14:textId="77777777" w:rsidR="004962D9" w:rsidRPr="00544CAB" w:rsidRDefault="004962D9" w:rsidP="00D4226B">
            <w:pPr>
              <w:tabs>
                <w:tab w:val="left" w:pos="875"/>
              </w:tabs>
              <w:ind w:right="-50"/>
              <w:jc w:val="both"/>
              <w:rPr>
                <w:rFonts w:ascii="Arial" w:hAnsi="Arial" w:cs="Arial"/>
              </w:rPr>
            </w:pPr>
            <w:r w:rsidRPr="00544CAB">
              <w:rPr>
                <w:rFonts w:ascii="Arial" w:hAnsi="Arial" w:cs="Arial"/>
              </w:rPr>
              <w:t>La Sociedad Hotelera Tequendama S.A., aplica la Resolución 414 de 2014, en el Marco Normativo para empresas que no Cotizan en el Mercado de Valores, y que no captan ni administran ahorro del público, presenta dentro de sus limitaciones con entidades de control, de tipo conceptual (Académico – normativo), puesto que este tipo de normas se basan en el criterio y juicio profesional, lo que genera discusión en la aplicabilidad de las normas a las cuales se encuentra sujeta la entidad.</w:t>
            </w:r>
          </w:p>
        </w:tc>
      </w:tr>
      <w:bookmarkEnd w:id="35"/>
    </w:tbl>
    <w:p w14:paraId="395C3625" w14:textId="77777777" w:rsidR="004962D9" w:rsidRDefault="004962D9" w:rsidP="004962D9">
      <w:pPr>
        <w:ind w:left="-142" w:right="-234"/>
        <w:jc w:val="both"/>
        <w:rPr>
          <w:rFonts w:ascii="Arial" w:eastAsia="Trebuchet MS" w:hAnsi="Arial" w:cs="Arial"/>
          <w:b/>
          <w:sz w:val="32"/>
          <w:szCs w:val="32"/>
          <w:u w:val="single"/>
          <w:lang w:eastAsia="es-CO"/>
        </w:rPr>
      </w:pPr>
    </w:p>
    <w:p w14:paraId="21960A7A" w14:textId="77777777" w:rsidR="004962D9" w:rsidRPr="00413CBA" w:rsidRDefault="004962D9" w:rsidP="004962D9">
      <w:pPr>
        <w:ind w:left="-284"/>
        <w:jc w:val="both"/>
        <w:rPr>
          <w:rFonts w:ascii="Arial" w:hAnsi="Arial" w:cs="Arial"/>
          <w:b/>
          <w:sz w:val="28"/>
          <w:szCs w:val="28"/>
          <w:lang w:val="es-MX"/>
        </w:rPr>
      </w:pPr>
      <w:r w:rsidRPr="00413CBA">
        <w:rPr>
          <w:rFonts w:ascii="Arial" w:hAnsi="Arial" w:cs="Arial"/>
          <w:b/>
          <w:sz w:val="28"/>
          <w:szCs w:val="28"/>
          <w:lang w:val="es-MX"/>
        </w:rPr>
        <w:t>70.- INSTITUTO NACIONAL PARA CIEGOS - INCI.</w:t>
      </w:r>
    </w:p>
    <w:p w14:paraId="141CA66A" w14:textId="77777777" w:rsidR="004962D9" w:rsidRDefault="004962D9" w:rsidP="004962D9">
      <w:pPr>
        <w:ind w:left="-142"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DF302A" w14:paraId="3E3FAF73" w14:textId="77777777" w:rsidTr="004C5E54">
        <w:tc>
          <w:tcPr>
            <w:tcW w:w="851" w:type="dxa"/>
          </w:tcPr>
          <w:p w14:paraId="2A28FDE9" w14:textId="77777777" w:rsidR="004962D9" w:rsidRPr="00DF302A" w:rsidRDefault="004962D9" w:rsidP="00D4226B">
            <w:pPr>
              <w:tabs>
                <w:tab w:val="left" w:pos="875"/>
              </w:tabs>
              <w:ind w:right="-50"/>
              <w:jc w:val="center"/>
              <w:rPr>
                <w:rFonts w:ascii="Arial" w:hAnsi="Arial" w:cs="Arial"/>
                <w:b/>
              </w:rPr>
            </w:pPr>
            <w:r w:rsidRPr="00DF302A">
              <w:rPr>
                <w:rFonts w:ascii="Arial" w:hAnsi="Arial" w:cs="Arial"/>
                <w:b/>
              </w:rPr>
              <w:t>N°</w:t>
            </w:r>
          </w:p>
        </w:tc>
        <w:tc>
          <w:tcPr>
            <w:tcW w:w="4395" w:type="dxa"/>
          </w:tcPr>
          <w:p w14:paraId="01A19F7A" w14:textId="77777777" w:rsidR="004962D9" w:rsidRPr="00DF302A" w:rsidRDefault="004962D9" w:rsidP="00D4226B">
            <w:pPr>
              <w:tabs>
                <w:tab w:val="left" w:pos="875"/>
              </w:tabs>
              <w:ind w:right="-50"/>
              <w:jc w:val="center"/>
              <w:rPr>
                <w:rFonts w:ascii="Arial" w:hAnsi="Arial" w:cs="Arial"/>
                <w:b/>
              </w:rPr>
            </w:pPr>
            <w:r w:rsidRPr="00DF302A">
              <w:rPr>
                <w:rFonts w:ascii="Arial" w:hAnsi="Arial" w:cs="Arial"/>
                <w:b/>
              </w:rPr>
              <w:t>Limitaciones detectadas por su entidad en</w:t>
            </w:r>
          </w:p>
          <w:p w14:paraId="306FB7E7" w14:textId="77777777" w:rsidR="004962D9" w:rsidRPr="00DF302A" w:rsidRDefault="004962D9" w:rsidP="00D4226B">
            <w:pPr>
              <w:tabs>
                <w:tab w:val="left" w:pos="875"/>
              </w:tabs>
              <w:ind w:right="-50"/>
              <w:jc w:val="center"/>
              <w:rPr>
                <w:rFonts w:ascii="Arial" w:hAnsi="Arial" w:cs="Arial"/>
                <w:b/>
              </w:rPr>
            </w:pPr>
            <w:r w:rsidRPr="00DF302A">
              <w:rPr>
                <w:rFonts w:ascii="Arial" w:hAnsi="Arial" w:cs="Arial"/>
                <w:b/>
              </w:rPr>
              <w:t xml:space="preserve"> la aplicación del Marco Normativo - NICSP </w:t>
            </w:r>
          </w:p>
          <w:p w14:paraId="48EEF5AE" w14:textId="77777777" w:rsidR="004962D9" w:rsidRPr="00DF302A" w:rsidRDefault="004962D9" w:rsidP="00D4226B">
            <w:pPr>
              <w:tabs>
                <w:tab w:val="left" w:pos="875"/>
              </w:tabs>
              <w:ind w:right="-50"/>
              <w:jc w:val="center"/>
              <w:rPr>
                <w:rFonts w:ascii="Arial" w:hAnsi="Arial" w:cs="Arial"/>
                <w:b/>
              </w:rPr>
            </w:pPr>
            <w:r w:rsidRPr="00DF302A">
              <w:rPr>
                <w:rFonts w:ascii="Arial" w:hAnsi="Arial" w:cs="Arial"/>
                <w:b/>
              </w:rPr>
              <w:t>a 31/12/2024</w:t>
            </w:r>
          </w:p>
          <w:p w14:paraId="1253F49C" w14:textId="77777777" w:rsidR="004962D9" w:rsidRPr="00DF302A" w:rsidRDefault="004962D9" w:rsidP="00D4226B">
            <w:pPr>
              <w:tabs>
                <w:tab w:val="left" w:pos="875"/>
              </w:tabs>
              <w:ind w:right="-50"/>
              <w:jc w:val="center"/>
              <w:rPr>
                <w:rFonts w:ascii="Arial" w:hAnsi="Arial" w:cs="Arial"/>
                <w:b/>
              </w:rPr>
            </w:pPr>
          </w:p>
        </w:tc>
        <w:tc>
          <w:tcPr>
            <w:tcW w:w="5244" w:type="dxa"/>
          </w:tcPr>
          <w:p w14:paraId="39DBBF1E" w14:textId="77777777" w:rsidR="004962D9" w:rsidRPr="00DF302A" w:rsidRDefault="004962D9" w:rsidP="00D4226B">
            <w:pPr>
              <w:tabs>
                <w:tab w:val="left" w:pos="875"/>
              </w:tabs>
              <w:ind w:right="-50"/>
              <w:jc w:val="center"/>
              <w:rPr>
                <w:rFonts w:ascii="Arial" w:hAnsi="Arial" w:cs="Arial"/>
                <w:b/>
              </w:rPr>
            </w:pPr>
            <w:r w:rsidRPr="00DF302A">
              <w:rPr>
                <w:rFonts w:ascii="Arial" w:hAnsi="Arial" w:cs="Arial"/>
                <w:b/>
              </w:rPr>
              <w:t>Descripción de la limitación</w:t>
            </w:r>
          </w:p>
        </w:tc>
      </w:tr>
      <w:tr w:rsidR="004962D9" w:rsidRPr="00DF302A" w14:paraId="65FBA67B" w14:textId="77777777" w:rsidTr="004C5E54">
        <w:tc>
          <w:tcPr>
            <w:tcW w:w="851" w:type="dxa"/>
          </w:tcPr>
          <w:p w14:paraId="2C3AA88B" w14:textId="77777777" w:rsidR="004962D9" w:rsidRPr="00DF302A" w:rsidRDefault="004962D9" w:rsidP="00D4226B">
            <w:pPr>
              <w:tabs>
                <w:tab w:val="left" w:pos="875"/>
              </w:tabs>
              <w:ind w:right="-50"/>
              <w:jc w:val="center"/>
              <w:rPr>
                <w:rFonts w:ascii="Arial" w:hAnsi="Arial" w:cs="Arial"/>
                <w:b/>
              </w:rPr>
            </w:pPr>
            <w:r w:rsidRPr="00DF302A">
              <w:rPr>
                <w:rFonts w:ascii="Arial" w:hAnsi="Arial" w:cs="Arial"/>
                <w:b/>
              </w:rPr>
              <w:t>1</w:t>
            </w:r>
          </w:p>
        </w:tc>
        <w:tc>
          <w:tcPr>
            <w:tcW w:w="4395" w:type="dxa"/>
          </w:tcPr>
          <w:p w14:paraId="6160A733" w14:textId="77777777" w:rsidR="004962D9" w:rsidRPr="00DF302A" w:rsidRDefault="004962D9" w:rsidP="00D4226B">
            <w:pPr>
              <w:tabs>
                <w:tab w:val="left" w:pos="875"/>
              </w:tabs>
              <w:ind w:right="-50"/>
              <w:jc w:val="both"/>
              <w:rPr>
                <w:rFonts w:ascii="Arial" w:hAnsi="Arial" w:cs="Arial"/>
                <w:b/>
              </w:rPr>
            </w:pPr>
            <w:r w:rsidRPr="00DF302A">
              <w:rPr>
                <w:rFonts w:ascii="Arial" w:hAnsi="Arial" w:cs="Arial"/>
                <w:b/>
              </w:rPr>
              <w:t>Académicas:</w:t>
            </w:r>
          </w:p>
        </w:tc>
        <w:tc>
          <w:tcPr>
            <w:tcW w:w="5244" w:type="dxa"/>
          </w:tcPr>
          <w:p w14:paraId="53FB2D09" w14:textId="77777777" w:rsidR="004962D9" w:rsidRPr="00DF302A" w:rsidRDefault="004962D9" w:rsidP="00D4226B">
            <w:pPr>
              <w:tabs>
                <w:tab w:val="left" w:pos="875"/>
              </w:tabs>
              <w:ind w:right="-50"/>
              <w:jc w:val="both"/>
              <w:rPr>
                <w:rFonts w:ascii="Arial" w:hAnsi="Arial" w:cs="Arial"/>
              </w:rPr>
            </w:pPr>
            <w:r w:rsidRPr="00DF302A">
              <w:rPr>
                <w:rFonts w:ascii="Arial" w:hAnsi="Arial" w:cs="Arial"/>
              </w:rPr>
              <w:t>Debido a los constantes cambios en la normatividad emitida por parte de la Contaduría General de la Nación, en ocasiones es difícil controlar que cambios surgen o en su defecto surgen dudas en el contenido de estas, por lo que se haría necesaria capacitación por parte de la CGN.</w:t>
            </w:r>
          </w:p>
        </w:tc>
      </w:tr>
    </w:tbl>
    <w:p w14:paraId="022EB253" w14:textId="77777777" w:rsidR="004962D9" w:rsidRDefault="004962D9" w:rsidP="004962D9">
      <w:pPr>
        <w:ind w:left="-142" w:right="-234"/>
        <w:jc w:val="both"/>
        <w:rPr>
          <w:rFonts w:ascii="Arial" w:eastAsia="Trebuchet MS" w:hAnsi="Arial" w:cs="Arial"/>
          <w:b/>
          <w:sz w:val="32"/>
          <w:szCs w:val="32"/>
          <w:u w:val="single"/>
          <w:lang w:eastAsia="es-CO"/>
        </w:rPr>
      </w:pPr>
    </w:p>
    <w:p w14:paraId="547BD45F" w14:textId="77777777" w:rsidR="004962D9" w:rsidRPr="00F50856" w:rsidRDefault="004962D9" w:rsidP="004962D9">
      <w:pPr>
        <w:ind w:left="-284"/>
        <w:jc w:val="both"/>
        <w:rPr>
          <w:rFonts w:ascii="Arial" w:hAnsi="Arial" w:cs="Arial"/>
          <w:b/>
          <w:sz w:val="28"/>
          <w:szCs w:val="28"/>
          <w:lang w:val="es-MX"/>
        </w:rPr>
      </w:pPr>
      <w:r w:rsidRPr="00F50856">
        <w:rPr>
          <w:rFonts w:ascii="Arial" w:hAnsi="Arial" w:cs="Arial"/>
          <w:b/>
          <w:sz w:val="28"/>
          <w:szCs w:val="28"/>
          <w:lang w:val="es-MX"/>
        </w:rPr>
        <w:t>71.- UNIVERSIDAD MILITAR NUEVA GRANADA</w:t>
      </w:r>
      <w:r>
        <w:rPr>
          <w:rFonts w:ascii="Arial" w:hAnsi="Arial" w:cs="Arial"/>
          <w:b/>
          <w:sz w:val="28"/>
          <w:szCs w:val="28"/>
          <w:lang w:val="es-MX"/>
        </w:rPr>
        <w:t>.</w:t>
      </w:r>
    </w:p>
    <w:p w14:paraId="2D8F1F86"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F50856" w14:paraId="4C31C1F8" w14:textId="77777777" w:rsidTr="004C5E54">
        <w:tc>
          <w:tcPr>
            <w:tcW w:w="851" w:type="dxa"/>
          </w:tcPr>
          <w:p w14:paraId="66B92E72" w14:textId="77777777" w:rsidR="004962D9" w:rsidRPr="00F50856" w:rsidRDefault="004962D9" w:rsidP="00D4226B">
            <w:pPr>
              <w:tabs>
                <w:tab w:val="left" w:pos="875"/>
              </w:tabs>
              <w:ind w:right="-50"/>
              <w:jc w:val="center"/>
              <w:rPr>
                <w:rFonts w:ascii="Arial" w:hAnsi="Arial" w:cs="Arial"/>
                <w:b/>
              </w:rPr>
            </w:pPr>
            <w:r w:rsidRPr="00F50856">
              <w:rPr>
                <w:rFonts w:ascii="Arial" w:hAnsi="Arial" w:cs="Arial"/>
                <w:b/>
              </w:rPr>
              <w:t>N°</w:t>
            </w:r>
          </w:p>
        </w:tc>
        <w:tc>
          <w:tcPr>
            <w:tcW w:w="4395" w:type="dxa"/>
          </w:tcPr>
          <w:p w14:paraId="6937B24A" w14:textId="77777777" w:rsidR="004962D9" w:rsidRPr="00F50856" w:rsidRDefault="004962D9" w:rsidP="00D4226B">
            <w:pPr>
              <w:tabs>
                <w:tab w:val="left" w:pos="875"/>
              </w:tabs>
              <w:ind w:right="-50"/>
              <w:jc w:val="center"/>
              <w:rPr>
                <w:rFonts w:ascii="Arial" w:hAnsi="Arial" w:cs="Arial"/>
                <w:b/>
              </w:rPr>
            </w:pPr>
            <w:r w:rsidRPr="00F50856">
              <w:rPr>
                <w:rFonts w:ascii="Arial" w:hAnsi="Arial" w:cs="Arial"/>
                <w:b/>
              </w:rPr>
              <w:t>Limitaciones detectadas por su entidad en</w:t>
            </w:r>
          </w:p>
          <w:p w14:paraId="18BFA9C9" w14:textId="77777777" w:rsidR="004962D9" w:rsidRPr="00F50856" w:rsidRDefault="004962D9" w:rsidP="00D4226B">
            <w:pPr>
              <w:tabs>
                <w:tab w:val="left" w:pos="875"/>
              </w:tabs>
              <w:ind w:right="-50"/>
              <w:jc w:val="center"/>
              <w:rPr>
                <w:rFonts w:ascii="Arial" w:hAnsi="Arial" w:cs="Arial"/>
                <w:b/>
              </w:rPr>
            </w:pPr>
            <w:r w:rsidRPr="00F50856">
              <w:rPr>
                <w:rFonts w:ascii="Arial" w:hAnsi="Arial" w:cs="Arial"/>
                <w:b/>
              </w:rPr>
              <w:t xml:space="preserve"> la aplicación del Marco Normativo - NICSP a 31/12/2024</w:t>
            </w:r>
          </w:p>
          <w:p w14:paraId="0BE142E3" w14:textId="77777777" w:rsidR="004962D9" w:rsidRPr="00F50856" w:rsidRDefault="004962D9" w:rsidP="00D4226B">
            <w:pPr>
              <w:tabs>
                <w:tab w:val="left" w:pos="875"/>
              </w:tabs>
              <w:ind w:right="-50"/>
              <w:jc w:val="center"/>
              <w:rPr>
                <w:rFonts w:ascii="Arial" w:hAnsi="Arial" w:cs="Arial"/>
                <w:b/>
              </w:rPr>
            </w:pPr>
          </w:p>
        </w:tc>
        <w:tc>
          <w:tcPr>
            <w:tcW w:w="5244" w:type="dxa"/>
          </w:tcPr>
          <w:p w14:paraId="5BCFC126" w14:textId="77777777" w:rsidR="004962D9" w:rsidRPr="00F50856" w:rsidRDefault="004962D9" w:rsidP="00D4226B">
            <w:pPr>
              <w:tabs>
                <w:tab w:val="left" w:pos="875"/>
              </w:tabs>
              <w:ind w:right="-50"/>
              <w:jc w:val="center"/>
              <w:rPr>
                <w:rFonts w:ascii="Arial" w:hAnsi="Arial" w:cs="Arial"/>
                <w:b/>
              </w:rPr>
            </w:pPr>
            <w:r w:rsidRPr="00F50856">
              <w:rPr>
                <w:rFonts w:ascii="Arial" w:hAnsi="Arial" w:cs="Arial"/>
                <w:b/>
              </w:rPr>
              <w:t>Descripción de la limitación</w:t>
            </w:r>
          </w:p>
        </w:tc>
      </w:tr>
      <w:tr w:rsidR="004962D9" w:rsidRPr="00F50856" w14:paraId="6F35BB46" w14:textId="77777777" w:rsidTr="004C5E54">
        <w:tc>
          <w:tcPr>
            <w:tcW w:w="851" w:type="dxa"/>
          </w:tcPr>
          <w:p w14:paraId="2BEB27E7" w14:textId="77777777" w:rsidR="004962D9" w:rsidRPr="00F50856" w:rsidRDefault="004962D9" w:rsidP="00D4226B">
            <w:pPr>
              <w:tabs>
                <w:tab w:val="left" w:pos="875"/>
              </w:tabs>
              <w:ind w:right="-50"/>
              <w:jc w:val="center"/>
              <w:rPr>
                <w:rFonts w:ascii="Arial" w:hAnsi="Arial" w:cs="Arial"/>
                <w:b/>
              </w:rPr>
            </w:pPr>
            <w:r w:rsidRPr="00F50856">
              <w:rPr>
                <w:rFonts w:ascii="Arial" w:hAnsi="Arial" w:cs="Arial"/>
                <w:b/>
              </w:rPr>
              <w:t>1</w:t>
            </w:r>
          </w:p>
        </w:tc>
        <w:tc>
          <w:tcPr>
            <w:tcW w:w="4395" w:type="dxa"/>
          </w:tcPr>
          <w:p w14:paraId="77669677" w14:textId="77777777" w:rsidR="004962D9" w:rsidRPr="00F50856" w:rsidRDefault="004962D9" w:rsidP="00D4226B">
            <w:pPr>
              <w:tabs>
                <w:tab w:val="left" w:pos="875"/>
              </w:tabs>
              <w:ind w:right="-50"/>
              <w:jc w:val="both"/>
              <w:rPr>
                <w:rFonts w:ascii="Arial" w:hAnsi="Arial" w:cs="Arial"/>
                <w:b/>
              </w:rPr>
            </w:pPr>
            <w:r w:rsidRPr="00F50856">
              <w:rPr>
                <w:rFonts w:ascii="Arial" w:hAnsi="Arial" w:cs="Arial"/>
                <w:b/>
              </w:rPr>
              <w:t>Técnicas:</w:t>
            </w:r>
          </w:p>
        </w:tc>
        <w:tc>
          <w:tcPr>
            <w:tcW w:w="5244" w:type="dxa"/>
          </w:tcPr>
          <w:p w14:paraId="35A7535C" w14:textId="77777777" w:rsidR="004962D9" w:rsidRPr="00F50856" w:rsidRDefault="004962D9" w:rsidP="00D4226B">
            <w:pPr>
              <w:tabs>
                <w:tab w:val="left" w:pos="875"/>
              </w:tabs>
              <w:ind w:right="-50"/>
              <w:jc w:val="both"/>
              <w:rPr>
                <w:rFonts w:ascii="Arial" w:hAnsi="Arial" w:cs="Arial"/>
              </w:rPr>
            </w:pPr>
            <w:r w:rsidRPr="00F50856">
              <w:rPr>
                <w:rFonts w:ascii="Arial" w:hAnsi="Arial" w:cs="Arial"/>
              </w:rPr>
              <w:t>Procesamiento de la información a través de múltiples sistemas de información que no se integran entre sí y generan procesamientos manuales de información continuos, lo cual genera un alto nivel de exposición a riesgos por inexactitud, omisión y reprocesos, así como el uso de herramientas ofimáticas para suplir las debilidades por falta de integración.</w:t>
            </w:r>
          </w:p>
        </w:tc>
      </w:tr>
      <w:tr w:rsidR="004962D9" w:rsidRPr="00F50856" w14:paraId="7066D652" w14:textId="77777777" w:rsidTr="004C5E54">
        <w:tc>
          <w:tcPr>
            <w:tcW w:w="851" w:type="dxa"/>
          </w:tcPr>
          <w:p w14:paraId="7B5E57E0" w14:textId="77777777" w:rsidR="004962D9" w:rsidRPr="00F50856" w:rsidRDefault="004962D9" w:rsidP="00D4226B">
            <w:pPr>
              <w:tabs>
                <w:tab w:val="left" w:pos="875"/>
              </w:tabs>
              <w:ind w:right="-50"/>
              <w:jc w:val="center"/>
              <w:rPr>
                <w:rFonts w:ascii="Arial" w:hAnsi="Arial" w:cs="Arial"/>
                <w:b/>
              </w:rPr>
            </w:pPr>
            <w:r w:rsidRPr="00F50856">
              <w:rPr>
                <w:rFonts w:ascii="Arial" w:hAnsi="Arial" w:cs="Arial"/>
                <w:b/>
              </w:rPr>
              <w:t>2</w:t>
            </w:r>
          </w:p>
        </w:tc>
        <w:tc>
          <w:tcPr>
            <w:tcW w:w="4395" w:type="dxa"/>
          </w:tcPr>
          <w:p w14:paraId="6D5E187E" w14:textId="77777777" w:rsidR="004962D9" w:rsidRPr="00F50856" w:rsidRDefault="004962D9" w:rsidP="00D4226B">
            <w:pPr>
              <w:tabs>
                <w:tab w:val="left" w:pos="875"/>
              </w:tabs>
              <w:ind w:right="-50"/>
              <w:jc w:val="both"/>
              <w:rPr>
                <w:rFonts w:ascii="Arial" w:hAnsi="Arial" w:cs="Arial"/>
                <w:b/>
              </w:rPr>
            </w:pPr>
            <w:r w:rsidRPr="00F50856">
              <w:rPr>
                <w:rFonts w:ascii="Arial" w:hAnsi="Arial" w:cs="Arial"/>
                <w:b/>
              </w:rPr>
              <w:t>Operativas:</w:t>
            </w:r>
          </w:p>
        </w:tc>
        <w:tc>
          <w:tcPr>
            <w:tcW w:w="5244" w:type="dxa"/>
          </w:tcPr>
          <w:p w14:paraId="4DDE9E2C" w14:textId="77777777" w:rsidR="004962D9" w:rsidRPr="00F50856" w:rsidRDefault="004962D9" w:rsidP="00D4226B">
            <w:pPr>
              <w:tabs>
                <w:tab w:val="left" w:pos="875"/>
              </w:tabs>
              <w:ind w:right="-50"/>
              <w:jc w:val="both"/>
              <w:rPr>
                <w:rFonts w:ascii="Arial" w:hAnsi="Arial" w:cs="Arial"/>
              </w:rPr>
            </w:pPr>
            <w:r w:rsidRPr="00F50856">
              <w:rPr>
                <w:rFonts w:ascii="Arial" w:hAnsi="Arial" w:cs="Arial"/>
              </w:rPr>
              <w:t>Falta de oportunidad en la entrega y suministro de la información requerida para cumplir con el proceso contable y financiero por parte de algunas Unidades Académico-Administrativas.</w:t>
            </w:r>
          </w:p>
        </w:tc>
      </w:tr>
    </w:tbl>
    <w:p w14:paraId="34390DE9" w14:textId="77777777" w:rsidR="004962D9" w:rsidRDefault="004962D9" w:rsidP="004962D9">
      <w:pPr>
        <w:ind w:left="-284" w:right="-234"/>
        <w:jc w:val="both"/>
        <w:rPr>
          <w:rFonts w:ascii="Arial" w:eastAsia="Trebuchet MS" w:hAnsi="Arial" w:cs="Arial"/>
          <w:b/>
          <w:sz w:val="32"/>
          <w:szCs w:val="32"/>
          <w:u w:val="single"/>
          <w:lang w:eastAsia="es-CO"/>
        </w:rPr>
      </w:pPr>
    </w:p>
    <w:p w14:paraId="0BD782E2" w14:textId="77777777" w:rsidR="004962D9" w:rsidRPr="00CE224C" w:rsidRDefault="004962D9" w:rsidP="004962D9">
      <w:pPr>
        <w:ind w:left="-284"/>
        <w:jc w:val="both"/>
        <w:rPr>
          <w:rFonts w:ascii="Arial" w:hAnsi="Arial" w:cs="Arial"/>
          <w:b/>
          <w:sz w:val="28"/>
          <w:szCs w:val="28"/>
          <w:lang w:val="es-MX"/>
        </w:rPr>
      </w:pPr>
      <w:r w:rsidRPr="00CE224C">
        <w:rPr>
          <w:rFonts w:ascii="Arial" w:hAnsi="Arial" w:cs="Arial"/>
          <w:b/>
          <w:sz w:val="28"/>
          <w:szCs w:val="28"/>
          <w:lang w:val="es-MX"/>
        </w:rPr>
        <w:t>72.- SERVICIO GEOLÓGICO COLOMBIANO.</w:t>
      </w:r>
    </w:p>
    <w:p w14:paraId="65C4C668"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AE4F85" w14:paraId="30ADF0DB" w14:textId="77777777" w:rsidTr="004C5E54">
        <w:tc>
          <w:tcPr>
            <w:tcW w:w="851" w:type="dxa"/>
          </w:tcPr>
          <w:p w14:paraId="48FC675C"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N°</w:t>
            </w:r>
          </w:p>
        </w:tc>
        <w:tc>
          <w:tcPr>
            <w:tcW w:w="4395" w:type="dxa"/>
          </w:tcPr>
          <w:p w14:paraId="16161DA0"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Limitaciones detectadas por su entidad en</w:t>
            </w:r>
          </w:p>
          <w:p w14:paraId="697B377F"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 xml:space="preserve"> la aplicación del Marco Normativo - NICSP </w:t>
            </w:r>
          </w:p>
          <w:p w14:paraId="370D0211"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a 31/12/2024</w:t>
            </w:r>
          </w:p>
          <w:p w14:paraId="0915147B" w14:textId="77777777" w:rsidR="004962D9" w:rsidRPr="00AE4F85" w:rsidRDefault="004962D9" w:rsidP="00D4226B">
            <w:pPr>
              <w:tabs>
                <w:tab w:val="left" w:pos="875"/>
              </w:tabs>
              <w:ind w:right="-50"/>
              <w:jc w:val="center"/>
              <w:rPr>
                <w:rFonts w:ascii="Arial" w:hAnsi="Arial" w:cs="Arial"/>
                <w:b/>
              </w:rPr>
            </w:pPr>
          </w:p>
        </w:tc>
        <w:tc>
          <w:tcPr>
            <w:tcW w:w="5244" w:type="dxa"/>
          </w:tcPr>
          <w:p w14:paraId="08BF5F0B"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Descripción de la limitación</w:t>
            </w:r>
          </w:p>
        </w:tc>
      </w:tr>
      <w:tr w:rsidR="004962D9" w:rsidRPr="00AE4F85" w14:paraId="007ED0DB" w14:textId="77777777" w:rsidTr="004C5E54">
        <w:tc>
          <w:tcPr>
            <w:tcW w:w="851" w:type="dxa"/>
          </w:tcPr>
          <w:p w14:paraId="1BFDBC74"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1</w:t>
            </w:r>
          </w:p>
        </w:tc>
        <w:tc>
          <w:tcPr>
            <w:tcW w:w="4395" w:type="dxa"/>
          </w:tcPr>
          <w:p w14:paraId="70337F23" w14:textId="77777777" w:rsidR="004962D9" w:rsidRPr="00AE4F85" w:rsidRDefault="004962D9" w:rsidP="00D4226B">
            <w:pPr>
              <w:tabs>
                <w:tab w:val="left" w:pos="875"/>
              </w:tabs>
              <w:ind w:right="-50"/>
              <w:jc w:val="both"/>
              <w:rPr>
                <w:rFonts w:ascii="Arial" w:hAnsi="Arial" w:cs="Arial"/>
                <w:b/>
              </w:rPr>
            </w:pPr>
            <w:r w:rsidRPr="00AE4F85">
              <w:rPr>
                <w:rFonts w:ascii="Arial" w:hAnsi="Arial" w:cs="Arial"/>
                <w:b/>
              </w:rPr>
              <w:t>Académicas:</w:t>
            </w:r>
          </w:p>
        </w:tc>
        <w:tc>
          <w:tcPr>
            <w:tcW w:w="5244" w:type="dxa"/>
          </w:tcPr>
          <w:p w14:paraId="02A1491F" w14:textId="77777777" w:rsidR="004962D9" w:rsidRPr="00AE4F85" w:rsidRDefault="004962D9" w:rsidP="00D4226B">
            <w:pPr>
              <w:tabs>
                <w:tab w:val="left" w:pos="875"/>
              </w:tabs>
              <w:ind w:right="-50"/>
              <w:jc w:val="both"/>
              <w:rPr>
                <w:rFonts w:ascii="Arial" w:hAnsi="Arial" w:cs="Arial"/>
              </w:rPr>
            </w:pPr>
            <w:r w:rsidRPr="00AE4F85">
              <w:rPr>
                <w:rFonts w:ascii="Arial" w:hAnsi="Arial" w:cs="Arial"/>
              </w:rPr>
              <w:t>Consideramos que la CGN debe realizar más acercamientos a los contadores y grupos de trabajo contable ya que se puede identificar que se tienen muchas deficiencias en el conocimiento de la norma contable publica y su efectiva aplicación.</w:t>
            </w:r>
          </w:p>
        </w:tc>
      </w:tr>
      <w:tr w:rsidR="004962D9" w:rsidRPr="00AE4F85" w14:paraId="23007D43" w14:textId="77777777" w:rsidTr="004C5E54">
        <w:tc>
          <w:tcPr>
            <w:tcW w:w="851" w:type="dxa"/>
          </w:tcPr>
          <w:p w14:paraId="1C1F0395" w14:textId="77777777" w:rsidR="004962D9" w:rsidRPr="00AE4F85" w:rsidRDefault="004962D9" w:rsidP="00D4226B">
            <w:pPr>
              <w:tabs>
                <w:tab w:val="left" w:pos="875"/>
              </w:tabs>
              <w:ind w:right="-50"/>
              <w:jc w:val="center"/>
              <w:rPr>
                <w:rFonts w:ascii="Arial" w:hAnsi="Arial" w:cs="Arial"/>
                <w:b/>
              </w:rPr>
            </w:pPr>
            <w:r w:rsidRPr="00AE4F85">
              <w:rPr>
                <w:rFonts w:ascii="Arial" w:hAnsi="Arial" w:cs="Arial"/>
                <w:b/>
              </w:rPr>
              <w:t>2</w:t>
            </w:r>
          </w:p>
        </w:tc>
        <w:tc>
          <w:tcPr>
            <w:tcW w:w="4395" w:type="dxa"/>
          </w:tcPr>
          <w:p w14:paraId="6CD92112" w14:textId="77777777" w:rsidR="004962D9" w:rsidRPr="00AE4F85" w:rsidRDefault="004962D9" w:rsidP="00D4226B">
            <w:pPr>
              <w:tabs>
                <w:tab w:val="left" w:pos="875"/>
              </w:tabs>
              <w:ind w:right="-50"/>
              <w:jc w:val="both"/>
              <w:rPr>
                <w:rFonts w:ascii="Arial" w:hAnsi="Arial" w:cs="Arial"/>
                <w:b/>
              </w:rPr>
            </w:pPr>
            <w:r w:rsidRPr="00AE4F85">
              <w:rPr>
                <w:rFonts w:ascii="Arial" w:hAnsi="Arial" w:cs="Arial"/>
                <w:b/>
              </w:rPr>
              <w:t>Técnicas:</w:t>
            </w:r>
          </w:p>
        </w:tc>
        <w:tc>
          <w:tcPr>
            <w:tcW w:w="5244" w:type="dxa"/>
          </w:tcPr>
          <w:p w14:paraId="60D69434" w14:textId="77777777" w:rsidR="004962D9" w:rsidRPr="00AE4F85" w:rsidRDefault="004962D9" w:rsidP="00D4226B">
            <w:pPr>
              <w:tabs>
                <w:tab w:val="left" w:pos="875"/>
              </w:tabs>
              <w:ind w:right="-50"/>
              <w:jc w:val="both"/>
              <w:rPr>
                <w:rFonts w:ascii="Arial" w:hAnsi="Arial" w:cs="Arial"/>
              </w:rPr>
            </w:pPr>
            <w:r w:rsidRPr="00AE4F85">
              <w:rPr>
                <w:rFonts w:ascii="Arial" w:hAnsi="Arial" w:cs="Arial"/>
              </w:rPr>
              <w:t>La CGN ha realizado particularidades técnicas para que las entidades puedan cumplir con la aplicación de la norma contable.</w:t>
            </w:r>
          </w:p>
        </w:tc>
      </w:tr>
    </w:tbl>
    <w:p w14:paraId="64D23C2B" w14:textId="77777777" w:rsidR="004962D9" w:rsidRDefault="004962D9" w:rsidP="004962D9">
      <w:pPr>
        <w:ind w:left="-284" w:right="-234"/>
        <w:jc w:val="both"/>
        <w:rPr>
          <w:rFonts w:ascii="Arial" w:eastAsia="Trebuchet MS" w:hAnsi="Arial" w:cs="Arial"/>
          <w:b/>
          <w:sz w:val="32"/>
          <w:szCs w:val="32"/>
          <w:u w:val="single"/>
          <w:lang w:eastAsia="es-CO"/>
        </w:rPr>
      </w:pPr>
    </w:p>
    <w:p w14:paraId="705B2CBD" w14:textId="77777777" w:rsidR="004962D9" w:rsidRPr="00D70818" w:rsidRDefault="004962D9" w:rsidP="004962D9">
      <w:pPr>
        <w:ind w:left="-284"/>
        <w:jc w:val="both"/>
        <w:rPr>
          <w:rFonts w:ascii="Arial" w:hAnsi="Arial" w:cs="Arial"/>
          <w:b/>
          <w:sz w:val="28"/>
          <w:szCs w:val="28"/>
          <w:lang w:val="es-MX"/>
        </w:rPr>
      </w:pPr>
      <w:r w:rsidRPr="00D70818">
        <w:rPr>
          <w:rFonts w:ascii="Arial" w:hAnsi="Arial" w:cs="Arial"/>
          <w:b/>
          <w:sz w:val="28"/>
          <w:szCs w:val="28"/>
          <w:lang w:val="es-MX"/>
        </w:rPr>
        <w:t>74.- MINISTERIO DE AGRICULTURA Y DESARROLLO RURAL.</w:t>
      </w:r>
    </w:p>
    <w:p w14:paraId="74D036CF"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D70818" w14:paraId="0DF55275" w14:textId="77777777" w:rsidTr="004C5E54">
        <w:tc>
          <w:tcPr>
            <w:tcW w:w="851" w:type="dxa"/>
          </w:tcPr>
          <w:p w14:paraId="72D38F9E" w14:textId="77777777" w:rsidR="004962D9" w:rsidRPr="00D70818" w:rsidRDefault="004962D9" w:rsidP="00D4226B">
            <w:pPr>
              <w:tabs>
                <w:tab w:val="left" w:pos="875"/>
              </w:tabs>
              <w:ind w:right="-50"/>
              <w:jc w:val="center"/>
              <w:rPr>
                <w:rFonts w:ascii="Arial" w:hAnsi="Arial" w:cs="Arial"/>
                <w:b/>
              </w:rPr>
            </w:pPr>
            <w:r w:rsidRPr="00D70818">
              <w:rPr>
                <w:rFonts w:ascii="Arial" w:hAnsi="Arial" w:cs="Arial"/>
                <w:b/>
              </w:rPr>
              <w:t>N°</w:t>
            </w:r>
          </w:p>
        </w:tc>
        <w:tc>
          <w:tcPr>
            <w:tcW w:w="4395" w:type="dxa"/>
          </w:tcPr>
          <w:p w14:paraId="39399A4F" w14:textId="77777777" w:rsidR="004962D9" w:rsidRPr="00D70818" w:rsidRDefault="004962D9" w:rsidP="00D4226B">
            <w:pPr>
              <w:tabs>
                <w:tab w:val="left" w:pos="875"/>
              </w:tabs>
              <w:ind w:right="-50"/>
              <w:jc w:val="center"/>
              <w:rPr>
                <w:rFonts w:ascii="Arial" w:hAnsi="Arial" w:cs="Arial"/>
                <w:b/>
              </w:rPr>
            </w:pPr>
            <w:r w:rsidRPr="00D70818">
              <w:rPr>
                <w:rFonts w:ascii="Arial" w:hAnsi="Arial" w:cs="Arial"/>
                <w:b/>
              </w:rPr>
              <w:t>Limitaciones detectadas por su entidad en</w:t>
            </w:r>
          </w:p>
          <w:p w14:paraId="71E1908D" w14:textId="77777777" w:rsidR="004962D9" w:rsidRPr="00D70818" w:rsidRDefault="004962D9" w:rsidP="00D4226B">
            <w:pPr>
              <w:tabs>
                <w:tab w:val="left" w:pos="875"/>
              </w:tabs>
              <w:ind w:right="-50"/>
              <w:jc w:val="center"/>
              <w:rPr>
                <w:rFonts w:ascii="Arial" w:hAnsi="Arial" w:cs="Arial"/>
                <w:b/>
              </w:rPr>
            </w:pPr>
            <w:r w:rsidRPr="00D70818">
              <w:rPr>
                <w:rFonts w:ascii="Arial" w:hAnsi="Arial" w:cs="Arial"/>
                <w:b/>
              </w:rPr>
              <w:t xml:space="preserve"> la aplicación del Marco Normativo - NICSP </w:t>
            </w:r>
          </w:p>
          <w:p w14:paraId="757378D7" w14:textId="77777777" w:rsidR="004962D9" w:rsidRPr="00D70818" w:rsidRDefault="004962D9" w:rsidP="00D4226B">
            <w:pPr>
              <w:tabs>
                <w:tab w:val="left" w:pos="875"/>
              </w:tabs>
              <w:ind w:right="-50"/>
              <w:jc w:val="center"/>
              <w:rPr>
                <w:rFonts w:ascii="Arial" w:hAnsi="Arial" w:cs="Arial"/>
                <w:b/>
              </w:rPr>
            </w:pPr>
            <w:r w:rsidRPr="00D70818">
              <w:rPr>
                <w:rFonts w:ascii="Arial" w:hAnsi="Arial" w:cs="Arial"/>
                <w:b/>
              </w:rPr>
              <w:t>a 31/12/2024</w:t>
            </w:r>
          </w:p>
          <w:p w14:paraId="69EFC79D" w14:textId="77777777" w:rsidR="004962D9" w:rsidRPr="00D70818" w:rsidRDefault="004962D9" w:rsidP="00D4226B">
            <w:pPr>
              <w:tabs>
                <w:tab w:val="left" w:pos="875"/>
              </w:tabs>
              <w:ind w:right="-50"/>
              <w:jc w:val="center"/>
              <w:rPr>
                <w:rFonts w:ascii="Arial" w:hAnsi="Arial" w:cs="Arial"/>
                <w:b/>
              </w:rPr>
            </w:pPr>
          </w:p>
        </w:tc>
        <w:tc>
          <w:tcPr>
            <w:tcW w:w="5244" w:type="dxa"/>
          </w:tcPr>
          <w:p w14:paraId="2EC9C773" w14:textId="77777777" w:rsidR="004962D9" w:rsidRPr="00D70818" w:rsidRDefault="004962D9" w:rsidP="00D4226B">
            <w:pPr>
              <w:tabs>
                <w:tab w:val="left" w:pos="875"/>
              </w:tabs>
              <w:ind w:right="-50"/>
              <w:jc w:val="center"/>
              <w:rPr>
                <w:rFonts w:ascii="Arial" w:hAnsi="Arial" w:cs="Arial"/>
                <w:b/>
              </w:rPr>
            </w:pPr>
            <w:r w:rsidRPr="00D70818">
              <w:rPr>
                <w:rFonts w:ascii="Arial" w:hAnsi="Arial" w:cs="Arial"/>
                <w:b/>
              </w:rPr>
              <w:t>Descripción de la limitación</w:t>
            </w:r>
          </w:p>
        </w:tc>
      </w:tr>
      <w:tr w:rsidR="004962D9" w:rsidRPr="00D70818" w14:paraId="525F09F6" w14:textId="77777777" w:rsidTr="004C5E54">
        <w:tc>
          <w:tcPr>
            <w:tcW w:w="851" w:type="dxa"/>
          </w:tcPr>
          <w:p w14:paraId="17691784" w14:textId="77777777" w:rsidR="004962D9" w:rsidRPr="00D70818" w:rsidRDefault="004962D9" w:rsidP="00D4226B">
            <w:pPr>
              <w:tabs>
                <w:tab w:val="left" w:pos="875"/>
              </w:tabs>
              <w:ind w:right="-50"/>
              <w:jc w:val="center"/>
              <w:rPr>
                <w:rFonts w:ascii="Arial" w:hAnsi="Arial" w:cs="Arial"/>
                <w:b/>
              </w:rPr>
            </w:pPr>
            <w:r w:rsidRPr="00D70818">
              <w:rPr>
                <w:rFonts w:ascii="Arial" w:hAnsi="Arial" w:cs="Arial"/>
                <w:b/>
              </w:rPr>
              <w:t>1</w:t>
            </w:r>
          </w:p>
        </w:tc>
        <w:tc>
          <w:tcPr>
            <w:tcW w:w="4395" w:type="dxa"/>
          </w:tcPr>
          <w:p w14:paraId="35B7E198" w14:textId="77777777" w:rsidR="004962D9" w:rsidRPr="00D70818" w:rsidRDefault="004962D9" w:rsidP="00D4226B">
            <w:pPr>
              <w:tabs>
                <w:tab w:val="left" w:pos="875"/>
              </w:tabs>
              <w:ind w:right="-50"/>
              <w:jc w:val="both"/>
              <w:rPr>
                <w:rFonts w:ascii="Arial" w:hAnsi="Arial" w:cs="Arial"/>
                <w:b/>
              </w:rPr>
            </w:pPr>
            <w:r w:rsidRPr="00D70818">
              <w:rPr>
                <w:rFonts w:ascii="Arial" w:hAnsi="Arial" w:cs="Arial"/>
                <w:b/>
              </w:rPr>
              <w:t>Normativas:</w:t>
            </w:r>
          </w:p>
        </w:tc>
        <w:tc>
          <w:tcPr>
            <w:tcW w:w="5244" w:type="dxa"/>
          </w:tcPr>
          <w:p w14:paraId="6A56585C" w14:textId="77777777" w:rsidR="004962D9" w:rsidRPr="00D70818" w:rsidRDefault="004962D9" w:rsidP="00D4226B">
            <w:pPr>
              <w:tabs>
                <w:tab w:val="left" w:pos="875"/>
              </w:tabs>
              <w:ind w:right="-50"/>
              <w:jc w:val="both"/>
              <w:rPr>
                <w:rFonts w:ascii="Arial" w:hAnsi="Arial" w:cs="Arial"/>
              </w:rPr>
            </w:pPr>
            <w:r w:rsidRPr="00D70818">
              <w:rPr>
                <w:rFonts w:ascii="Arial" w:hAnsi="Arial" w:cs="Arial"/>
              </w:rPr>
              <w:t>El Ministerio de Agricultura y Desarrollo Rural efectúa su cierre para los registros contables del mes de diciembre dando cumplimiento a las fechas establecidas por la Contaduría General de la Nación. Sin embargo, en virtud de la naturaleza jurídica de las sociedades en las cuales este Ministerio tiene participación patrimonial, los plazos para los cierres financieros son distintos, en atención a la obligación de llevar sus Estados Financieros para aprobación de la Asamblea General de Accionistas hasta el mes de marzo de la siguiente vigencia, lo que no permite contar con información oportuna para realizar los registros contables correspondientes al cierre de la vigencia.</w:t>
            </w:r>
          </w:p>
          <w:p w14:paraId="0D88C0F4" w14:textId="77777777" w:rsidR="004962D9" w:rsidRPr="00D70818" w:rsidRDefault="004962D9" w:rsidP="00D4226B">
            <w:pPr>
              <w:tabs>
                <w:tab w:val="left" w:pos="875"/>
              </w:tabs>
              <w:ind w:right="-50"/>
              <w:jc w:val="both"/>
              <w:rPr>
                <w:rFonts w:ascii="Arial" w:hAnsi="Arial" w:cs="Arial"/>
              </w:rPr>
            </w:pPr>
          </w:p>
        </w:tc>
      </w:tr>
    </w:tbl>
    <w:p w14:paraId="230DFA7C" w14:textId="77777777" w:rsidR="004962D9" w:rsidRDefault="004962D9" w:rsidP="004962D9">
      <w:pPr>
        <w:ind w:left="-284" w:right="-234"/>
        <w:jc w:val="both"/>
        <w:rPr>
          <w:rFonts w:ascii="Arial" w:eastAsia="Trebuchet MS" w:hAnsi="Arial" w:cs="Arial"/>
          <w:b/>
          <w:sz w:val="32"/>
          <w:szCs w:val="32"/>
          <w:u w:val="single"/>
          <w:lang w:eastAsia="es-CO"/>
        </w:rPr>
      </w:pPr>
    </w:p>
    <w:p w14:paraId="6A4F31E6" w14:textId="77777777" w:rsidR="004962D9" w:rsidRPr="001D0D31" w:rsidRDefault="004962D9" w:rsidP="004962D9">
      <w:pPr>
        <w:ind w:left="-284"/>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7B3A3000" w14:textId="77777777" w:rsidR="004962D9" w:rsidRPr="00B54567" w:rsidRDefault="004962D9" w:rsidP="004962D9">
      <w:pPr>
        <w:pStyle w:val="Textoindependiente"/>
        <w:spacing w:before="92"/>
        <w:ind w:left="257" w:right="176"/>
        <w:jc w:val="both"/>
        <w:rPr>
          <w:b/>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731B48" w14:paraId="4570D88F" w14:textId="77777777" w:rsidTr="004C5E54">
        <w:tc>
          <w:tcPr>
            <w:tcW w:w="851" w:type="dxa"/>
          </w:tcPr>
          <w:p w14:paraId="02505BFA"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N°</w:t>
            </w:r>
          </w:p>
        </w:tc>
        <w:tc>
          <w:tcPr>
            <w:tcW w:w="4395" w:type="dxa"/>
          </w:tcPr>
          <w:p w14:paraId="5FE52F8E"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Limitaciones detectadas por su entidad en</w:t>
            </w:r>
          </w:p>
          <w:p w14:paraId="765E3B18"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 xml:space="preserve"> la aplicación del Marco Normativo - NICSP </w:t>
            </w:r>
          </w:p>
          <w:p w14:paraId="180DF6C4"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a 31/12/2024</w:t>
            </w:r>
          </w:p>
          <w:p w14:paraId="6AC0782B" w14:textId="77777777" w:rsidR="004962D9" w:rsidRPr="00731B48" w:rsidRDefault="004962D9" w:rsidP="00D4226B">
            <w:pPr>
              <w:tabs>
                <w:tab w:val="left" w:pos="875"/>
              </w:tabs>
              <w:ind w:right="-50"/>
              <w:jc w:val="center"/>
              <w:rPr>
                <w:rFonts w:ascii="Arial" w:hAnsi="Arial" w:cs="Arial"/>
                <w:b/>
              </w:rPr>
            </w:pPr>
          </w:p>
        </w:tc>
        <w:tc>
          <w:tcPr>
            <w:tcW w:w="5244" w:type="dxa"/>
          </w:tcPr>
          <w:p w14:paraId="74CF07F3"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Descripción de la limitación</w:t>
            </w:r>
          </w:p>
        </w:tc>
      </w:tr>
      <w:tr w:rsidR="004962D9" w:rsidRPr="00731B48" w14:paraId="3DF8C8E3" w14:textId="77777777" w:rsidTr="004C5E54">
        <w:tc>
          <w:tcPr>
            <w:tcW w:w="851" w:type="dxa"/>
          </w:tcPr>
          <w:p w14:paraId="1530B35A"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1</w:t>
            </w:r>
          </w:p>
        </w:tc>
        <w:tc>
          <w:tcPr>
            <w:tcW w:w="4395" w:type="dxa"/>
          </w:tcPr>
          <w:p w14:paraId="085D4F87" w14:textId="77777777" w:rsidR="004962D9" w:rsidRPr="00731B48" w:rsidRDefault="004962D9" w:rsidP="00D4226B">
            <w:pPr>
              <w:tabs>
                <w:tab w:val="left" w:pos="875"/>
              </w:tabs>
              <w:ind w:right="-50"/>
              <w:jc w:val="both"/>
              <w:rPr>
                <w:rFonts w:ascii="Arial" w:hAnsi="Arial" w:cs="Arial"/>
                <w:b/>
              </w:rPr>
            </w:pPr>
            <w:r w:rsidRPr="00731B48">
              <w:rPr>
                <w:rFonts w:ascii="Arial" w:hAnsi="Arial" w:cs="Arial"/>
                <w:b/>
              </w:rPr>
              <w:t>Normativas:</w:t>
            </w:r>
          </w:p>
        </w:tc>
        <w:tc>
          <w:tcPr>
            <w:tcW w:w="5244" w:type="dxa"/>
          </w:tcPr>
          <w:p w14:paraId="7EC09A9F" w14:textId="77777777" w:rsidR="004962D9" w:rsidRPr="00731B48" w:rsidRDefault="004962D9" w:rsidP="00D4226B">
            <w:pPr>
              <w:tabs>
                <w:tab w:val="left" w:pos="875"/>
              </w:tabs>
              <w:ind w:right="-50"/>
              <w:jc w:val="both"/>
              <w:rPr>
                <w:rFonts w:ascii="Arial" w:hAnsi="Arial" w:cs="Arial"/>
              </w:rPr>
            </w:pPr>
            <w:r w:rsidRPr="00731B48">
              <w:rPr>
                <w:rFonts w:ascii="Arial" w:hAnsi="Arial" w:cs="Arial"/>
              </w:rPr>
              <w:t xml:space="preserve">Se considera que no existen limitaciones con relación a este aspecto, teniendo en cuenta que se tomaron como base los requerimientos normativos desde la implementación y aplicación de las NICSP. La entidad se preparó para cumplir con el reconocimiento y medición de los diferentes conceptos, en las fechas y requisitos pactados para el periodo de aplicación que inició en enero de 2018, así mismo se da cumplimiento en la actualidad a los aspectos normativos que enmarcan las Normas aplicables al Sector Público, se han atendido las modificaciones realizadas por el órgano rector, Contaduría General de la Nación (CGN), entidad que generalmente se encarga de publicar y comunicar los </w:t>
            </w:r>
            <w:r w:rsidRPr="00731B48">
              <w:rPr>
                <w:rFonts w:ascii="Arial" w:hAnsi="Arial" w:cs="Arial"/>
              </w:rPr>
              <w:lastRenderedPageBreak/>
              <w:t>cambios normativos, los cuales son aplicados por la entidad.</w:t>
            </w:r>
          </w:p>
        </w:tc>
      </w:tr>
      <w:tr w:rsidR="004962D9" w:rsidRPr="00731B48" w14:paraId="3B8DBE39" w14:textId="77777777" w:rsidTr="004C5E54">
        <w:tc>
          <w:tcPr>
            <w:tcW w:w="851" w:type="dxa"/>
          </w:tcPr>
          <w:p w14:paraId="0C3F8183"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lastRenderedPageBreak/>
              <w:t>2</w:t>
            </w:r>
          </w:p>
        </w:tc>
        <w:tc>
          <w:tcPr>
            <w:tcW w:w="4395" w:type="dxa"/>
          </w:tcPr>
          <w:p w14:paraId="7B583848" w14:textId="77777777" w:rsidR="004962D9" w:rsidRPr="00731B48" w:rsidRDefault="004962D9" w:rsidP="00D4226B">
            <w:pPr>
              <w:tabs>
                <w:tab w:val="left" w:pos="875"/>
              </w:tabs>
              <w:ind w:right="-50"/>
              <w:jc w:val="both"/>
              <w:rPr>
                <w:rFonts w:ascii="Arial" w:hAnsi="Arial" w:cs="Arial"/>
                <w:b/>
              </w:rPr>
            </w:pPr>
            <w:r w:rsidRPr="00731B48">
              <w:rPr>
                <w:rFonts w:ascii="Arial" w:hAnsi="Arial" w:cs="Arial"/>
                <w:b/>
              </w:rPr>
              <w:t>Académicas:</w:t>
            </w:r>
          </w:p>
        </w:tc>
        <w:tc>
          <w:tcPr>
            <w:tcW w:w="5244" w:type="dxa"/>
          </w:tcPr>
          <w:p w14:paraId="02741D1E" w14:textId="77777777" w:rsidR="004962D9" w:rsidRPr="00731B48" w:rsidRDefault="004962D9" w:rsidP="00D4226B">
            <w:pPr>
              <w:tabs>
                <w:tab w:val="left" w:pos="875"/>
              </w:tabs>
              <w:ind w:right="-50"/>
              <w:jc w:val="both"/>
              <w:rPr>
                <w:rFonts w:ascii="Arial" w:hAnsi="Arial" w:cs="Arial"/>
              </w:rPr>
            </w:pPr>
            <w:r w:rsidRPr="00731B48">
              <w:rPr>
                <w:rFonts w:ascii="Arial" w:hAnsi="Arial" w:cs="Arial"/>
              </w:rPr>
              <w:t>Con relación a este tema, se presentaron limitaciones durante el período de implementación de las NICSP en cuanto a la capacitación de los representantes de algunas áreas de la entidad, teniendo en cuenta que, a pesar de ser convocados, no se daba la importancia adecuada para participar en talleres y/o capacitaciones, debido principalmente a que se interpretaba que esta implementación era responsabilidad netamente del Grupo de Contabilidad.</w:t>
            </w:r>
          </w:p>
        </w:tc>
      </w:tr>
      <w:tr w:rsidR="004962D9" w:rsidRPr="00731B48" w14:paraId="1BBEDC88" w14:textId="77777777" w:rsidTr="004C5E54">
        <w:tc>
          <w:tcPr>
            <w:tcW w:w="851" w:type="dxa"/>
          </w:tcPr>
          <w:p w14:paraId="47C75EA2"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3</w:t>
            </w:r>
          </w:p>
        </w:tc>
        <w:tc>
          <w:tcPr>
            <w:tcW w:w="4395" w:type="dxa"/>
          </w:tcPr>
          <w:p w14:paraId="46865A19" w14:textId="77777777" w:rsidR="004962D9" w:rsidRPr="00731B48" w:rsidRDefault="004962D9" w:rsidP="00D4226B">
            <w:pPr>
              <w:tabs>
                <w:tab w:val="left" w:pos="875"/>
              </w:tabs>
              <w:ind w:right="-50"/>
              <w:jc w:val="both"/>
              <w:rPr>
                <w:rFonts w:ascii="Arial" w:hAnsi="Arial" w:cs="Arial"/>
                <w:b/>
              </w:rPr>
            </w:pPr>
            <w:r w:rsidRPr="00731B48">
              <w:rPr>
                <w:rFonts w:ascii="Arial" w:hAnsi="Arial" w:cs="Arial"/>
                <w:b/>
              </w:rPr>
              <w:t>Técnicas:</w:t>
            </w:r>
          </w:p>
        </w:tc>
        <w:tc>
          <w:tcPr>
            <w:tcW w:w="5244" w:type="dxa"/>
          </w:tcPr>
          <w:p w14:paraId="2B3B447B" w14:textId="77777777" w:rsidR="004962D9" w:rsidRPr="00731B48" w:rsidRDefault="004962D9" w:rsidP="00D4226B">
            <w:pPr>
              <w:tabs>
                <w:tab w:val="left" w:pos="875"/>
              </w:tabs>
              <w:ind w:right="-50"/>
              <w:jc w:val="both"/>
              <w:rPr>
                <w:rFonts w:ascii="Arial" w:hAnsi="Arial" w:cs="Arial"/>
              </w:rPr>
            </w:pPr>
            <w:r w:rsidRPr="00731B48">
              <w:rPr>
                <w:rFonts w:ascii="Arial" w:hAnsi="Arial" w:cs="Arial"/>
              </w:rPr>
              <w:t>En el proceso de implementación de las NICSP, fue necesario incurrir en tiempos y costos adicionales para adaptar algunos cambios en los sistemas complementarios utilizados por la entidad, tales como Seven y Kactus para el caso de Activos Fijos y Nomina. Especialmente para el caso de los Activos Fijos, de acuerdo con los requerimientos que resultan de la operación diaria, ha sido necesario realizar nuevas modificaciones y requerimientos al sistema. Pese a lo mencionado, las limitaciones técnicas en general, se considera que son mínimas por cuanto el DNP, hace parte de las entidades que conforman el Presupuesto General de la Nación y por tanto opera en línea con el Sistema Integrado de Información Financiera (SIIF Nación), y es el sistema, el que consolida y ejerce el control de la ejecución presupuestal y financiera, la CGN es la entidad encargada de establecer los lineamientos y parámetros de la contabilización para cada una de las transacciones y actualiza el catálogo de cuentas y parametrización de acuerdo con la normativa para las Entidades de Gobierno.</w:t>
            </w:r>
          </w:p>
        </w:tc>
      </w:tr>
      <w:tr w:rsidR="004962D9" w:rsidRPr="00731B48" w14:paraId="74532788" w14:textId="77777777" w:rsidTr="004C5E54">
        <w:tc>
          <w:tcPr>
            <w:tcW w:w="851" w:type="dxa"/>
          </w:tcPr>
          <w:p w14:paraId="041F0994"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4</w:t>
            </w:r>
          </w:p>
        </w:tc>
        <w:tc>
          <w:tcPr>
            <w:tcW w:w="4395" w:type="dxa"/>
          </w:tcPr>
          <w:p w14:paraId="35BF20C6" w14:textId="77777777" w:rsidR="004962D9" w:rsidRPr="00731B48" w:rsidRDefault="004962D9" w:rsidP="00D4226B">
            <w:pPr>
              <w:tabs>
                <w:tab w:val="left" w:pos="875"/>
              </w:tabs>
              <w:ind w:right="-50"/>
              <w:jc w:val="both"/>
              <w:rPr>
                <w:rFonts w:ascii="Arial" w:hAnsi="Arial" w:cs="Arial"/>
                <w:b/>
              </w:rPr>
            </w:pPr>
            <w:r w:rsidRPr="00731B48">
              <w:rPr>
                <w:rFonts w:ascii="Arial" w:hAnsi="Arial" w:cs="Arial"/>
                <w:b/>
              </w:rPr>
              <w:t>Operativas:</w:t>
            </w:r>
          </w:p>
        </w:tc>
        <w:tc>
          <w:tcPr>
            <w:tcW w:w="5244" w:type="dxa"/>
          </w:tcPr>
          <w:p w14:paraId="005913A4" w14:textId="77777777" w:rsidR="004962D9" w:rsidRPr="00731B48" w:rsidRDefault="004962D9" w:rsidP="00D4226B">
            <w:pPr>
              <w:tabs>
                <w:tab w:val="left" w:pos="875"/>
              </w:tabs>
              <w:ind w:right="-50"/>
              <w:jc w:val="both"/>
              <w:rPr>
                <w:rFonts w:ascii="Arial" w:hAnsi="Arial" w:cs="Arial"/>
              </w:rPr>
            </w:pPr>
            <w:r w:rsidRPr="00731B48">
              <w:rPr>
                <w:rFonts w:ascii="Arial" w:hAnsi="Arial" w:cs="Arial"/>
              </w:rPr>
              <w:t>Las limitaciones operativas se presentan principalmente en la oportunidad de registro ya que depende en algunos temas, de las fechas de entrega de la información por parte de terceros, lo anterior en ocasiones puede generar inconvenientes en la calidad de la información presentada. Con relación a este aspecto, producto de resultados obtenidos, ha sido necesario realizar comités de sostenibilidad contable para temas específicos que requieren atención especial, así como modificaciones en el Manual de Políticas Contables de la entidad. Vale la pena mencionar que, con el fin de mitigar esta limitación, el Grupo de Contabilidad envía mensualmente un cronograma para la entrega de información, estableciendo las fechas oportunas para el registro de la misma.</w:t>
            </w:r>
          </w:p>
        </w:tc>
      </w:tr>
      <w:tr w:rsidR="004962D9" w:rsidRPr="00731B48" w14:paraId="0AF12DED" w14:textId="77777777" w:rsidTr="004C5E54">
        <w:tc>
          <w:tcPr>
            <w:tcW w:w="851" w:type="dxa"/>
          </w:tcPr>
          <w:p w14:paraId="35208C03"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t>5</w:t>
            </w:r>
          </w:p>
        </w:tc>
        <w:tc>
          <w:tcPr>
            <w:tcW w:w="4395" w:type="dxa"/>
          </w:tcPr>
          <w:p w14:paraId="3CA81DD7" w14:textId="77777777" w:rsidR="004962D9" w:rsidRPr="00731B48" w:rsidRDefault="004962D9" w:rsidP="00D4226B">
            <w:pPr>
              <w:tabs>
                <w:tab w:val="left" w:pos="875"/>
              </w:tabs>
              <w:ind w:right="-50"/>
              <w:jc w:val="both"/>
              <w:rPr>
                <w:rFonts w:ascii="Arial" w:hAnsi="Arial" w:cs="Arial"/>
                <w:b/>
              </w:rPr>
            </w:pPr>
            <w:r w:rsidRPr="00731B48">
              <w:rPr>
                <w:rFonts w:ascii="Arial" w:hAnsi="Arial" w:cs="Arial"/>
                <w:b/>
              </w:rPr>
              <w:t>Presupuestales:</w:t>
            </w:r>
          </w:p>
        </w:tc>
        <w:tc>
          <w:tcPr>
            <w:tcW w:w="5244" w:type="dxa"/>
          </w:tcPr>
          <w:p w14:paraId="188D9747" w14:textId="77777777" w:rsidR="004962D9" w:rsidRPr="00731B48" w:rsidRDefault="004962D9" w:rsidP="00D4226B">
            <w:pPr>
              <w:tabs>
                <w:tab w:val="left" w:pos="875"/>
              </w:tabs>
              <w:ind w:right="-50"/>
              <w:jc w:val="both"/>
              <w:rPr>
                <w:rFonts w:ascii="Arial" w:hAnsi="Arial" w:cs="Arial"/>
              </w:rPr>
            </w:pPr>
            <w:r w:rsidRPr="00731B48">
              <w:rPr>
                <w:rFonts w:ascii="Arial" w:hAnsi="Arial" w:cs="Arial"/>
              </w:rPr>
              <w:t xml:space="preserve">Se considera que no existen limitaciones con relación a este aspecto, teniendo en cuenta que las NICSP, no abordan los lineamientos para la presentación de información del presupuesto en los Estados Financieros ya que el Presupuesto General de la Nación se realiza con base en caja o efectivo de forma anual, es aprobado por el Congreso de la República y es de conocimiento público para la ciudadanía en general. Adicionalmente como lo contempla la norma, las Entidades Públicas no presentan en las notas o en un informe adicional, una explicación de si los cambios entre los montos presupuestados y los reales son consecuencia de </w:t>
            </w:r>
            <w:r w:rsidRPr="00731B48">
              <w:rPr>
                <w:rFonts w:ascii="Arial" w:hAnsi="Arial" w:cs="Arial"/>
              </w:rPr>
              <w:lastRenderedPageBreak/>
              <w:t>reasignaciones dentro del presupuesto.</w:t>
            </w:r>
          </w:p>
        </w:tc>
      </w:tr>
      <w:tr w:rsidR="004962D9" w:rsidRPr="00731B48" w14:paraId="7D2750A0" w14:textId="77777777" w:rsidTr="004C5E54">
        <w:tc>
          <w:tcPr>
            <w:tcW w:w="851" w:type="dxa"/>
          </w:tcPr>
          <w:p w14:paraId="617B9A3D" w14:textId="77777777" w:rsidR="004962D9" w:rsidRPr="00731B48" w:rsidRDefault="004962D9" w:rsidP="00D4226B">
            <w:pPr>
              <w:tabs>
                <w:tab w:val="left" w:pos="875"/>
              </w:tabs>
              <w:ind w:right="-50"/>
              <w:jc w:val="center"/>
              <w:rPr>
                <w:rFonts w:ascii="Arial" w:hAnsi="Arial" w:cs="Arial"/>
                <w:b/>
              </w:rPr>
            </w:pPr>
            <w:r w:rsidRPr="00731B48">
              <w:rPr>
                <w:rFonts w:ascii="Arial" w:hAnsi="Arial" w:cs="Arial"/>
                <w:b/>
              </w:rPr>
              <w:lastRenderedPageBreak/>
              <w:t>6</w:t>
            </w:r>
          </w:p>
        </w:tc>
        <w:tc>
          <w:tcPr>
            <w:tcW w:w="4395" w:type="dxa"/>
          </w:tcPr>
          <w:p w14:paraId="5DD8F864" w14:textId="77777777" w:rsidR="004962D9" w:rsidRPr="00731B48" w:rsidRDefault="004962D9" w:rsidP="00D4226B">
            <w:pPr>
              <w:tabs>
                <w:tab w:val="left" w:pos="875"/>
              </w:tabs>
              <w:ind w:right="-50"/>
              <w:jc w:val="both"/>
              <w:rPr>
                <w:rFonts w:ascii="Arial" w:hAnsi="Arial" w:cs="Arial"/>
                <w:b/>
              </w:rPr>
            </w:pPr>
            <w:r w:rsidRPr="00731B48">
              <w:rPr>
                <w:rFonts w:ascii="Arial" w:hAnsi="Arial" w:cs="Arial"/>
                <w:b/>
              </w:rPr>
              <w:t>Otras</w:t>
            </w:r>
          </w:p>
        </w:tc>
        <w:tc>
          <w:tcPr>
            <w:tcW w:w="5244" w:type="dxa"/>
          </w:tcPr>
          <w:p w14:paraId="67BDF32F" w14:textId="77777777" w:rsidR="004962D9" w:rsidRPr="00731B48" w:rsidRDefault="004962D9" w:rsidP="00D4226B">
            <w:pPr>
              <w:tabs>
                <w:tab w:val="left" w:pos="875"/>
              </w:tabs>
              <w:ind w:right="-50"/>
              <w:jc w:val="both"/>
              <w:rPr>
                <w:rFonts w:ascii="Arial" w:hAnsi="Arial" w:cs="Arial"/>
              </w:rPr>
            </w:pPr>
            <w:r w:rsidRPr="00731B48">
              <w:rPr>
                <w:rFonts w:ascii="Arial" w:hAnsi="Arial" w:cs="Arial"/>
              </w:rPr>
              <w:t>En el proceso de implementación, fue necesario trabajar de manera constante en el cambio de mentalidad, especialmente en algunas áreas de la entidad, explicando que la responsabilidad de este proceso si bien se encontraba bajo el liderazgo de la alta dirección, toda la entidad hacía parte de esta implementación; adicionalmente que la información que se incorpora en los Estados Financieros emana del área que genera los datos correspondientes. Cabe anotar que esta limitación se presentó en el momento de implementación y las áreas de la entidad han venido reconociendo la importancia de la calidad y oportunidad en la entrega de su información y que es fundamental para la conformación de los Estados Financieros de la entidad. En algunos casos se presentaron diferencias en criterios relacionados con el reconocimiento, medición y revelación de los hechos económicos, para minimizar lo mencionado, fue necesario hacer extensivas las reuniones para unificar estas ideas.</w:t>
            </w:r>
          </w:p>
        </w:tc>
      </w:tr>
    </w:tbl>
    <w:p w14:paraId="684D024F" w14:textId="77777777" w:rsidR="004962D9" w:rsidRPr="00B54567" w:rsidRDefault="004962D9" w:rsidP="004962D9">
      <w:pPr>
        <w:pStyle w:val="Textoindependiente"/>
        <w:spacing w:before="92"/>
        <w:ind w:left="257" w:right="176"/>
        <w:jc w:val="both"/>
        <w:rPr>
          <w:b/>
        </w:rPr>
      </w:pPr>
    </w:p>
    <w:p w14:paraId="6D5E7806" w14:textId="77777777" w:rsidR="004962D9" w:rsidRPr="00A52B1D" w:rsidRDefault="004962D9" w:rsidP="004962D9">
      <w:pPr>
        <w:ind w:left="-284"/>
        <w:jc w:val="both"/>
        <w:rPr>
          <w:rFonts w:ascii="Arial" w:hAnsi="Arial" w:cs="Arial"/>
          <w:b/>
          <w:sz w:val="28"/>
          <w:szCs w:val="28"/>
          <w:lang w:val="es-MX"/>
        </w:rPr>
      </w:pPr>
      <w:r w:rsidRPr="00A52B1D">
        <w:rPr>
          <w:rFonts w:ascii="Arial" w:hAnsi="Arial" w:cs="Arial"/>
          <w:b/>
          <w:sz w:val="28"/>
          <w:szCs w:val="28"/>
          <w:lang w:val="es-MX"/>
        </w:rPr>
        <w:t>79.- MINISTERIO DEL DEPORTE.</w:t>
      </w:r>
    </w:p>
    <w:p w14:paraId="5C2F6A86"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9D7FD8" w14:paraId="37C54948" w14:textId="77777777" w:rsidTr="00D4226B">
        <w:tc>
          <w:tcPr>
            <w:tcW w:w="867" w:type="dxa"/>
          </w:tcPr>
          <w:p w14:paraId="221689B2"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N°</w:t>
            </w:r>
          </w:p>
        </w:tc>
        <w:tc>
          <w:tcPr>
            <w:tcW w:w="4379" w:type="dxa"/>
          </w:tcPr>
          <w:p w14:paraId="55AD4489"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Limitaciones detectadas por su entidad en</w:t>
            </w:r>
          </w:p>
          <w:p w14:paraId="732B118F"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 xml:space="preserve"> la aplicación del Marco Normativo - NICSP </w:t>
            </w:r>
          </w:p>
          <w:p w14:paraId="564D9A54"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a 31/12/2024</w:t>
            </w:r>
          </w:p>
          <w:p w14:paraId="7A265A42" w14:textId="77777777" w:rsidR="004962D9" w:rsidRPr="009D7FD8" w:rsidRDefault="004962D9" w:rsidP="00D4226B">
            <w:pPr>
              <w:tabs>
                <w:tab w:val="left" w:pos="875"/>
              </w:tabs>
              <w:ind w:right="-50"/>
              <w:jc w:val="center"/>
              <w:rPr>
                <w:rFonts w:ascii="Arial" w:hAnsi="Arial" w:cs="Arial"/>
                <w:b/>
              </w:rPr>
            </w:pPr>
          </w:p>
        </w:tc>
        <w:tc>
          <w:tcPr>
            <w:tcW w:w="5244" w:type="dxa"/>
          </w:tcPr>
          <w:p w14:paraId="2C619CB3"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Descripción de la limitación</w:t>
            </w:r>
          </w:p>
        </w:tc>
      </w:tr>
      <w:tr w:rsidR="004962D9" w:rsidRPr="009D7FD8" w14:paraId="07443131" w14:textId="77777777" w:rsidTr="00D4226B">
        <w:tc>
          <w:tcPr>
            <w:tcW w:w="867" w:type="dxa"/>
          </w:tcPr>
          <w:p w14:paraId="26992939"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1</w:t>
            </w:r>
          </w:p>
        </w:tc>
        <w:tc>
          <w:tcPr>
            <w:tcW w:w="4379" w:type="dxa"/>
          </w:tcPr>
          <w:p w14:paraId="5CCF2FEB" w14:textId="77777777" w:rsidR="004962D9" w:rsidRPr="009D7FD8" w:rsidRDefault="004962D9" w:rsidP="00D4226B">
            <w:pPr>
              <w:tabs>
                <w:tab w:val="left" w:pos="875"/>
              </w:tabs>
              <w:ind w:right="-50"/>
              <w:jc w:val="both"/>
              <w:rPr>
                <w:rFonts w:ascii="Arial" w:hAnsi="Arial" w:cs="Arial"/>
                <w:b/>
              </w:rPr>
            </w:pPr>
            <w:r w:rsidRPr="009D7FD8">
              <w:rPr>
                <w:rFonts w:ascii="Arial" w:hAnsi="Arial" w:cs="Arial"/>
                <w:b/>
              </w:rPr>
              <w:t>Académicas:</w:t>
            </w:r>
          </w:p>
        </w:tc>
        <w:tc>
          <w:tcPr>
            <w:tcW w:w="5244" w:type="dxa"/>
          </w:tcPr>
          <w:p w14:paraId="136E3DC4" w14:textId="77777777" w:rsidR="004962D9" w:rsidRPr="009D7FD8" w:rsidRDefault="004962D9" w:rsidP="00D4226B">
            <w:pPr>
              <w:tabs>
                <w:tab w:val="left" w:pos="875"/>
              </w:tabs>
              <w:ind w:right="-50"/>
              <w:jc w:val="both"/>
              <w:rPr>
                <w:rFonts w:ascii="Arial" w:hAnsi="Arial" w:cs="Arial"/>
              </w:rPr>
            </w:pPr>
            <w:r w:rsidRPr="009D7FD8">
              <w:rPr>
                <w:rFonts w:ascii="Arial" w:hAnsi="Arial" w:cs="Arial"/>
              </w:rPr>
              <w:t>La falta de personal capacitado en la correcta aplicación de la NICPS, puede ser una limitación importante. Los profesionales de Contabilidad del sector público, deben estar actualizados y formados en el marco normativo, lo que implica una inversión en capacitación continúa.</w:t>
            </w:r>
          </w:p>
        </w:tc>
      </w:tr>
      <w:tr w:rsidR="004962D9" w:rsidRPr="009D7FD8" w14:paraId="7FD64217" w14:textId="77777777" w:rsidTr="00D4226B">
        <w:tc>
          <w:tcPr>
            <w:tcW w:w="867" w:type="dxa"/>
          </w:tcPr>
          <w:p w14:paraId="5E1FE5FD" w14:textId="77777777" w:rsidR="004962D9" w:rsidRPr="009D7FD8" w:rsidRDefault="004962D9" w:rsidP="00D4226B">
            <w:pPr>
              <w:tabs>
                <w:tab w:val="left" w:pos="875"/>
              </w:tabs>
              <w:ind w:right="-50"/>
              <w:jc w:val="center"/>
              <w:rPr>
                <w:rFonts w:ascii="Arial" w:hAnsi="Arial" w:cs="Arial"/>
                <w:b/>
              </w:rPr>
            </w:pPr>
            <w:r w:rsidRPr="009D7FD8">
              <w:rPr>
                <w:rFonts w:ascii="Arial" w:hAnsi="Arial" w:cs="Arial"/>
                <w:b/>
              </w:rPr>
              <w:t>2</w:t>
            </w:r>
          </w:p>
        </w:tc>
        <w:tc>
          <w:tcPr>
            <w:tcW w:w="4379" w:type="dxa"/>
          </w:tcPr>
          <w:p w14:paraId="08C6F5CD" w14:textId="77777777" w:rsidR="004962D9" w:rsidRPr="009D7FD8" w:rsidRDefault="004962D9" w:rsidP="00D4226B">
            <w:pPr>
              <w:tabs>
                <w:tab w:val="left" w:pos="875"/>
              </w:tabs>
              <w:ind w:right="-50"/>
              <w:jc w:val="both"/>
              <w:rPr>
                <w:rFonts w:ascii="Arial" w:hAnsi="Arial" w:cs="Arial"/>
                <w:b/>
              </w:rPr>
            </w:pPr>
            <w:r w:rsidRPr="009D7FD8">
              <w:rPr>
                <w:rFonts w:ascii="Arial" w:hAnsi="Arial" w:cs="Arial"/>
                <w:b/>
              </w:rPr>
              <w:t>Presupuestales:</w:t>
            </w:r>
          </w:p>
        </w:tc>
        <w:tc>
          <w:tcPr>
            <w:tcW w:w="5244" w:type="dxa"/>
          </w:tcPr>
          <w:p w14:paraId="53D0799C" w14:textId="77777777" w:rsidR="004962D9" w:rsidRPr="009D7FD8" w:rsidRDefault="004962D9" w:rsidP="00D4226B">
            <w:pPr>
              <w:tabs>
                <w:tab w:val="left" w:pos="875"/>
              </w:tabs>
              <w:ind w:right="-50"/>
              <w:jc w:val="both"/>
              <w:rPr>
                <w:rFonts w:ascii="Arial" w:hAnsi="Arial" w:cs="Arial"/>
              </w:rPr>
            </w:pPr>
            <w:r w:rsidRPr="009D7FD8">
              <w:rPr>
                <w:rFonts w:ascii="Arial" w:hAnsi="Arial" w:cs="Arial"/>
              </w:rPr>
              <w:t>La falta de presupuesto para acceder a una continua capacitación y actualización sobre el tema.</w:t>
            </w:r>
          </w:p>
        </w:tc>
      </w:tr>
    </w:tbl>
    <w:p w14:paraId="59B26630" w14:textId="77777777" w:rsidR="004962D9" w:rsidRDefault="004962D9" w:rsidP="004962D9">
      <w:pPr>
        <w:ind w:left="-284" w:right="-234"/>
        <w:jc w:val="both"/>
        <w:rPr>
          <w:rFonts w:ascii="Arial" w:eastAsia="Trebuchet MS" w:hAnsi="Arial" w:cs="Arial"/>
          <w:b/>
          <w:sz w:val="32"/>
          <w:szCs w:val="32"/>
          <w:u w:val="single"/>
          <w:lang w:eastAsia="es-CO"/>
        </w:rPr>
      </w:pPr>
    </w:p>
    <w:p w14:paraId="2C0726C4" w14:textId="77777777" w:rsidR="004962D9" w:rsidRPr="007D7C09" w:rsidRDefault="004962D9" w:rsidP="004962D9">
      <w:pPr>
        <w:ind w:left="-284" w:right="-234"/>
        <w:jc w:val="both"/>
        <w:rPr>
          <w:rFonts w:ascii="Arial" w:hAnsi="Arial" w:cs="Arial"/>
          <w:b/>
          <w:sz w:val="28"/>
          <w:szCs w:val="28"/>
          <w:lang w:val="es-MX"/>
        </w:rPr>
      </w:pPr>
      <w:r w:rsidRPr="007D7C09">
        <w:rPr>
          <w:rFonts w:ascii="Arial" w:hAnsi="Arial" w:cs="Arial"/>
          <w:b/>
          <w:sz w:val="28"/>
          <w:szCs w:val="28"/>
          <w:lang w:val="es-MX"/>
        </w:rPr>
        <w:t>82.- UNIDAD DE PLANIFICACIÓN DE TIERRAS RURALES, ADECUACIÓN DE TIERRAS Y USOS AGROPECUARIOS – UPRA.</w:t>
      </w:r>
    </w:p>
    <w:p w14:paraId="2966F330"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7D7C09" w14:paraId="1FD905A2" w14:textId="77777777" w:rsidTr="00D4226B">
        <w:tc>
          <w:tcPr>
            <w:tcW w:w="851" w:type="dxa"/>
          </w:tcPr>
          <w:p w14:paraId="6D8C44F0" w14:textId="77777777" w:rsidR="004962D9" w:rsidRPr="007D7C09" w:rsidRDefault="004962D9" w:rsidP="00D4226B">
            <w:pPr>
              <w:tabs>
                <w:tab w:val="left" w:pos="875"/>
              </w:tabs>
              <w:ind w:right="-50"/>
              <w:jc w:val="center"/>
              <w:rPr>
                <w:rFonts w:ascii="Arial" w:hAnsi="Arial" w:cs="Arial"/>
                <w:b/>
              </w:rPr>
            </w:pPr>
            <w:r w:rsidRPr="007D7C09">
              <w:rPr>
                <w:rFonts w:ascii="Arial" w:hAnsi="Arial" w:cs="Arial"/>
                <w:b/>
              </w:rPr>
              <w:t>N°</w:t>
            </w:r>
          </w:p>
        </w:tc>
        <w:tc>
          <w:tcPr>
            <w:tcW w:w="4395" w:type="dxa"/>
          </w:tcPr>
          <w:p w14:paraId="393D967C" w14:textId="77777777" w:rsidR="004962D9" w:rsidRPr="007D7C09" w:rsidRDefault="004962D9" w:rsidP="00D4226B">
            <w:pPr>
              <w:tabs>
                <w:tab w:val="left" w:pos="875"/>
              </w:tabs>
              <w:ind w:right="-50"/>
              <w:jc w:val="center"/>
              <w:rPr>
                <w:rFonts w:ascii="Arial" w:hAnsi="Arial" w:cs="Arial"/>
                <w:b/>
              </w:rPr>
            </w:pPr>
            <w:r w:rsidRPr="007D7C09">
              <w:rPr>
                <w:rFonts w:ascii="Arial" w:hAnsi="Arial" w:cs="Arial"/>
                <w:b/>
              </w:rPr>
              <w:t>Limitaciones detectadas por su entidad en</w:t>
            </w:r>
          </w:p>
          <w:p w14:paraId="0AC2F116" w14:textId="77777777" w:rsidR="004962D9" w:rsidRPr="007D7C09" w:rsidRDefault="004962D9" w:rsidP="00D4226B">
            <w:pPr>
              <w:tabs>
                <w:tab w:val="left" w:pos="875"/>
              </w:tabs>
              <w:ind w:right="-50"/>
              <w:jc w:val="center"/>
              <w:rPr>
                <w:rFonts w:ascii="Arial" w:hAnsi="Arial" w:cs="Arial"/>
                <w:b/>
              </w:rPr>
            </w:pPr>
            <w:r w:rsidRPr="007D7C09">
              <w:rPr>
                <w:rFonts w:ascii="Arial" w:hAnsi="Arial" w:cs="Arial"/>
                <w:b/>
              </w:rPr>
              <w:t xml:space="preserve"> la aplicación del Marco Normativo - NICSP </w:t>
            </w:r>
          </w:p>
          <w:p w14:paraId="73A78AE4" w14:textId="77777777" w:rsidR="004962D9" w:rsidRPr="007D7C09" w:rsidRDefault="004962D9" w:rsidP="00D4226B">
            <w:pPr>
              <w:tabs>
                <w:tab w:val="left" w:pos="875"/>
              </w:tabs>
              <w:ind w:right="-50"/>
              <w:jc w:val="center"/>
              <w:rPr>
                <w:rFonts w:ascii="Arial" w:hAnsi="Arial" w:cs="Arial"/>
                <w:b/>
              </w:rPr>
            </w:pPr>
            <w:r w:rsidRPr="007D7C09">
              <w:rPr>
                <w:rFonts w:ascii="Arial" w:hAnsi="Arial" w:cs="Arial"/>
                <w:b/>
              </w:rPr>
              <w:t>a 31/12/2024</w:t>
            </w:r>
          </w:p>
          <w:p w14:paraId="7D884BFA" w14:textId="77777777" w:rsidR="004962D9" w:rsidRPr="007D7C09" w:rsidRDefault="004962D9" w:rsidP="00D4226B">
            <w:pPr>
              <w:tabs>
                <w:tab w:val="left" w:pos="875"/>
              </w:tabs>
              <w:ind w:right="-50"/>
              <w:jc w:val="center"/>
              <w:rPr>
                <w:rFonts w:ascii="Arial" w:hAnsi="Arial" w:cs="Arial"/>
                <w:b/>
              </w:rPr>
            </w:pPr>
          </w:p>
        </w:tc>
        <w:tc>
          <w:tcPr>
            <w:tcW w:w="5244" w:type="dxa"/>
          </w:tcPr>
          <w:p w14:paraId="70D7BF76" w14:textId="77777777" w:rsidR="004962D9" w:rsidRPr="007D7C09" w:rsidRDefault="004962D9" w:rsidP="00D4226B">
            <w:pPr>
              <w:tabs>
                <w:tab w:val="left" w:pos="875"/>
              </w:tabs>
              <w:ind w:right="-50"/>
              <w:jc w:val="center"/>
              <w:rPr>
                <w:rFonts w:ascii="Arial" w:hAnsi="Arial" w:cs="Arial"/>
                <w:b/>
              </w:rPr>
            </w:pPr>
            <w:r w:rsidRPr="007D7C09">
              <w:rPr>
                <w:rFonts w:ascii="Arial" w:hAnsi="Arial" w:cs="Arial"/>
                <w:b/>
              </w:rPr>
              <w:t>Descripción de la limitación</w:t>
            </w:r>
          </w:p>
        </w:tc>
      </w:tr>
      <w:tr w:rsidR="004962D9" w:rsidRPr="007D7C09" w14:paraId="49467F29" w14:textId="77777777" w:rsidTr="00D4226B">
        <w:tc>
          <w:tcPr>
            <w:tcW w:w="851" w:type="dxa"/>
          </w:tcPr>
          <w:p w14:paraId="63B9E3C1" w14:textId="77777777" w:rsidR="004962D9" w:rsidRPr="007D7C09" w:rsidRDefault="004962D9" w:rsidP="00D4226B">
            <w:pPr>
              <w:tabs>
                <w:tab w:val="left" w:pos="875"/>
              </w:tabs>
              <w:ind w:right="-50"/>
              <w:jc w:val="center"/>
              <w:rPr>
                <w:rFonts w:ascii="Arial" w:hAnsi="Arial" w:cs="Arial"/>
                <w:b/>
              </w:rPr>
            </w:pPr>
            <w:r w:rsidRPr="007D7C09">
              <w:rPr>
                <w:rFonts w:ascii="Arial" w:hAnsi="Arial" w:cs="Arial"/>
                <w:b/>
              </w:rPr>
              <w:t>1</w:t>
            </w:r>
          </w:p>
        </w:tc>
        <w:tc>
          <w:tcPr>
            <w:tcW w:w="4395" w:type="dxa"/>
          </w:tcPr>
          <w:p w14:paraId="6D633D06" w14:textId="77777777" w:rsidR="004962D9" w:rsidRPr="007D7C09" w:rsidRDefault="004962D9" w:rsidP="00D4226B">
            <w:pPr>
              <w:tabs>
                <w:tab w:val="left" w:pos="875"/>
              </w:tabs>
              <w:ind w:right="-50"/>
              <w:jc w:val="both"/>
              <w:rPr>
                <w:rFonts w:ascii="Arial" w:hAnsi="Arial" w:cs="Arial"/>
                <w:b/>
              </w:rPr>
            </w:pPr>
            <w:r w:rsidRPr="007D7C09">
              <w:rPr>
                <w:rFonts w:ascii="Arial" w:hAnsi="Arial" w:cs="Arial"/>
                <w:b/>
              </w:rPr>
              <w:t>Operativas:</w:t>
            </w:r>
          </w:p>
        </w:tc>
        <w:tc>
          <w:tcPr>
            <w:tcW w:w="5244" w:type="dxa"/>
          </w:tcPr>
          <w:p w14:paraId="13290E30" w14:textId="77777777" w:rsidR="004962D9" w:rsidRPr="007D7C09" w:rsidRDefault="004962D9" w:rsidP="00D4226B">
            <w:pPr>
              <w:tabs>
                <w:tab w:val="left" w:pos="875"/>
              </w:tabs>
              <w:ind w:right="-50"/>
              <w:jc w:val="both"/>
              <w:rPr>
                <w:rFonts w:ascii="Arial" w:hAnsi="Arial" w:cs="Arial"/>
              </w:rPr>
            </w:pPr>
            <w:r w:rsidRPr="007D7C09">
              <w:rPr>
                <w:rFonts w:ascii="Arial" w:hAnsi="Arial" w:cs="Arial"/>
              </w:rPr>
              <w:t>La entidad maneja SIIF (Sistema Integrado de Información Financiera), el cual no tiene integrado un sistema para el manejo de Propiedad, Planta y Equipo Intangibles ni Nómina, por lo tanto, se realizan registros manuales para contabilizar los hechos económicos que afectan estas partidas.</w:t>
            </w:r>
          </w:p>
          <w:p w14:paraId="2911F66B" w14:textId="77777777" w:rsidR="004962D9" w:rsidRPr="007D7C09" w:rsidRDefault="004962D9" w:rsidP="00D4226B">
            <w:pPr>
              <w:tabs>
                <w:tab w:val="left" w:pos="875"/>
              </w:tabs>
              <w:ind w:right="-50"/>
              <w:jc w:val="both"/>
              <w:rPr>
                <w:rFonts w:ascii="Arial" w:hAnsi="Arial" w:cs="Arial"/>
              </w:rPr>
            </w:pPr>
          </w:p>
          <w:p w14:paraId="31273C71" w14:textId="77777777" w:rsidR="004962D9" w:rsidRPr="007D7C09" w:rsidRDefault="004962D9" w:rsidP="00D4226B">
            <w:pPr>
              <w:tabs>
                <w:tab w:val="left" w:pos="875"/>
              </w:tabs>
              <w:ind w:right="-50"/>
              <w:jc w:val="both"/>
              <w:rPr>
                <w:rFonts w:ascii="Arial" w:hAnsi="Arial" w:cs="Arial"/>
              </w:rPr>
            </w:pPr>
            <w:r w:rsidRPr="007D7C09">
              <w:rPr>
                <w:rFonts w:ascii="Arial" w:hAnsi="Arial" w:cs="Arial"/>
              </w:rPr>
              <w:t>La entidad no cuenta con un sistema para el manejo de Propiedad, Planta y Equipo e Intangibles.</w:t>
            </w:r>
          </w:p>
        </w:tc>
      </w:tr>
    </w:tbl>
    <w:p w14:paraId="6AF7FC8E" w14:textId="77777777" w:rsidR="004C5E54" w:rsidRDefault="004C5E54" w:rsidP="004962D9">
      <w:pPr>
        <w:ind w:left="-284" w:right="-93"/>
        <w:jc w:val="both"/>
        <w:rPr>
          <w:rFonts w:ascii="Arial" w:hAnsi="Arial" w:cs="Arial"/>
          <w:b/>
          <w:sz w:val="28"/>
          <w:szCs w:val="28"/>
          <w:lang w:val="es-MX"/>
        </w:rPr>
      </w:pPr>
    </w:p>
    <w:p w14:paraId="30892601" w14:textId="54B97CDD" w:rsidR="004962D9" w:rsidRPr="00DB0D22" w:rsidRDefault="004962D9" w:rsidP="004962D9">
      <w:pPr>
        <w:ind w:left="-284" w:right="-93"/>
        <w:jc w:val="both"/>
        <w:rPr>
          <w:rFonts w:ascii="Arial" w:hAnsi="Arial" w:cs="Arial"/>
          <w:b/>
          <w:sz w:val="28"/>
          <w:szCs w:val="28"/>
          <w:lang w:val="es-MX"/>
        </w:rPr>
      </w:pPr>
      <w:r w:rsidRPr="00DB0D22">
        <w:rPr>
          <w:rFonts w:ascii="Arial" w:hAnsi="Arial" w:cs="Arial"/>
          <w:b/>
          <w:sz w:val="28"/>
          <w:szCs w:val="28"/>
          <w:lang w:val="es-MX"/>
        </w:rPr>
        <w:t>87.- CORPORACIÓN DE CIENCIA Y TECNOLOGÍA PARA EL DESARROLLO DE LA INDUSTRIA NAVAL, MARÍTIMA Y FLUVIAL - COTECMAR.</w:t>
      </w: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D31036" w14:paraId="13CAC623" w14:textId="77777777" w:rsidTr="00D4226B">
        <w:tc>
          <w:tcPr>
            <w:tcW w:w="851" w:type="dxa"/>
          </w:tcPr>
          <w:p w14:paraId="14596941"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lastRenderedPageBreak/>
              <w:t>N°</w:t>
            </w:r>
          </w:p>
        </w:tc>
        <w:tc>
          <w:tcPr>
            <w:tcW w:w="4395" w:type="dxa"/>
          </w:tcPr>
          <w:p w14:paraId="45279FD4"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t>Limitaciones detectadas por su entidad en</w:t>
            </w:r>
          </w:p>
          <w:p w14:paraId="1C2B7138"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t xml:space="preserve"> la aplicación del Marco Normativo - NICSP </w:t>
            </w:r>
          </w:p>
          <w:p w14:paraId="49A325B8"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t>a 31/12/2024</w:t>
            </w:r>
          </w:p>
          <w:p w14:paraId="12EADC69" w14:textId="77777777" w:rsidR="004962D9" w:rsidRPr="00D31036" w:rsidRDefault="004962D9" w:rsidP="00D4226B">
            <w:pPr>
              <w:tabs>
                <w:tab w:val="left" w:pos="875"/>
              </w:tabs>
              <w:ind w:right="-50"/>
              <w:jc w:val="center"/>
              <w:rPr>
                <w:rFonts w:ascii="Arial" w:hAnsi="Arial" w:cs="Arial"/>
                <w:b/>
              </w:rPr>
            </w:pPr>
          </w:p>
        </w:tc>
        <w:tc>
          <w:tcPr>
            <w:tcW w:w="5244" w:type="dxa"/>
          </w:tcPr>
          <w:p w14:paraId="57167672"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t>Descripción de la limitación</w:t>
            </w:r>
          </w:p>
        </w:tc>
      </w:tr>
      <w:tr w:rsidR="004962D9" w:rsidRPr="00D31036" w14:paraId="4A9A5FBD" w14:textId="77777777" w:rsidTr="00D4226B">
        <w:tc>
          <w:tcPr>
            <w:tcW w:w="851" w:type="dxa"/>
          </w:tcPr>
          <w:p w14:paraId="651FF492"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t>1</w:t>
            </w:r>
          </w:p>
        </w:tc>
        <w:tc>
          <w:tcPr>
            <w:tcW w:w="4395" w:type="dxa"/>
          </w:tcPr>
          <w:p w14:paraId="15F6664D" w14:textId="77777777" w:rsidR="004962D9" w:rsidRPr="00D31036" w:rsidRDefault="004962D9" w:rsidP="00D4226B">
            <w:pPr>
              <w:jc w:val="both"/>
              <w:rPr>
                <w:rFonts w:ascii="Arial" w:hAnsi="Arial" w:cs="Arial"/>
              </w:rPr>
            </w:pPr>
            <w:r w:rsidRPr="00D31036">
              <w:rPr>
                <w:rFonts w:ascii="Arial" w:hAnsi="Arial" w:cs="Arial"/>
                <w:b/>
                <w:bCs/>
              </w:rPr>
              <w:t>Normativas:</w:t>
            </w:r>
            <w:r w:rsidRPr="00D31036">
              <w:rPr>
                <w:rFonts w:ascii="Arial" w:hAnsi="Arial" w:cs="Arial"/>
              </w:rPr>
              <w:t xml:space="preserve"> </w:t>
            </w:r>
          </w:p>
          <w:p w14:paraId="28BF429C" w14:textId="77777777" w:rsidR="004962D9" w:rsidRPr="00D31036" w:rsidRDefault="004962D9" w:rsidP="00D4226B">
            <w:pPr>
              <w:jc w:val="both"/>
              <w:rPr>
                <w:rFonts w:ascii="Arial" w:hAnsi="Arial" w:cs="Arial"/>
              </w:rPr>
            </w:pPr>
          </w:p>
          <w:p w14:paraId="4C6B1BB6" w14:textId="77777777" w:rsidR="004962D9" w:rsidRPr="00D31036" w:rsidRDefault="004962D9" w:rsidP="00D4226B">
            <w:pPr>
              <w:tabs>
                <w:tab w:val="left" w:pos="875"/>
              </w:tabs>
              <w:ind w:right="-50"/>
              <w:jc w:val="both"/>
              <w:rPr>
                <w:rFonts w:ascii="Arial" w:hAnsi="Arial" w:cs="Arial"/>
                <w:b/>
              </w:rPr>
            </w:pPr>
            <w:r w:rsidRPr="00D31036">
              <w:rPr>
                <w:rFonts w:ascii="Arial" w:hAnsi="Arial" w:cs="Arial"/>
              </w:rPr>
              <w:t>Reconocimiento del Aporte en Industria que hace la Armada Nacional de Colombia a COTECMAR a través del personal en comisión del servicio. </w:t>
            </w:r>
          </w:p>
        </w:tc>
        <w:tc>
          <w:tcPr>
            <w:tcW w:w="5244" w:type="dxa"/>
            <w:vAlign w:val="center"/>
          </w:tcPr>
          <w:p w14:paraId="4412E212" w14:textId="77777777" w:rsidR="004962D9" w:rsidRPr="00D31036" w:rsidRDefault="004962D9" w:rsidP="00D4226B">
            <w:pPr>
              <w:jc w:val="both"/>
              <w:rPr>
                <w:rFonts w:ascii="Arial" w:hAnsi="Arial" w:cs="Arial"/>
              </w:rPr>
            </w:pPr>
          </w:p>
          <w:p w14:paraId="237794EC" w14:textId="77777777" w:rsidR="004962D9" w:rsidRPr="00D31036" w:rsidRDefault="004962D9" w:rsidP="00D4226B">
            <w:pPr>
              <w:jc w:val="both"/>
              <w:rPr>
                <w:rFonts w:ascii="Arial" w:hAnsi="Arial" w:cs="Arial"/>
              </w:rPr>
            </w:pPr>
          </w:p>
          <w:p w14:paraId="3D98E70B" w14:textId="77777777" w:rsidR="004962D9" w:rsidRPr="00D31036" w:rsidRDefault="004962D9" w:rsidP="00D4226B">
            <w:pPr>
              <w:jc w:val="both"/>
              <w:rPr>
                <w:rFonts w:ascii="Arial" w:hAnsi="Arial" w:cs="Arial"/>
              </w:rPr>
            </w:pPr>
            <w:r w:rsidRPr="00D31036">
              <w:rPr>
                <w:rFonts w:ascii="Arial" w:hAnsi="Arial" w:cs="Arial"/>
              </w:rPr>
              <w:t xml:space="preserve">Se generan distintas mesas de trabajo interinstitucional entre COTECMAR y la Contaduría General de la Nación para contextualizar la aplicación del </w:t>
            </w:r>
            <w:r w:rsidRPr="00D31036">
              <w:rPr>
                <w:rFonts w:ascii="Arial" w:hAnsi="Arial" w:cs="Arial"/>
                <w:lang w:val="es-MX"/>
              </w:rPr>
              <w:t>Concepto CGN 20221100054761 de agosto 11 de 2022 y confirmado con el Concepto CGN 20231120000941 del 20 de enero de 2023, los cuales eliminan el reconocimiento contable del aporte en industria que realiza la Armada Nacional de Colombia y que se representa en el monto de la nómina del personal en comisión del servicio en COTECMAR.</w:t>
            </w:r>
            <w:r w:rsidRPr="00D31036">
              <w:rPr>
                <w:rFonts w:ascii="Arial" w:hAnsi="Arial" w:cs="Arial"/>
              </w:rPr>
              <w:t> </w:t>
            </w:r>
          </w:p>
          <w:p w14:paraId="2DE46B83" w14:textId="77777777" w:rsidR="004962D9" w:rsidRPr="00D31036" w:rsidRDefault="004962D9" w:rsidP="00D4226B">
            <w:pPr>
              <w:jc w:val="both"/>
              <w:rPr>
                <w:rFonts w:ascii="Arial" w:hAnsi="Arial" w:cs="Arial"/>
              </w:rPr>
            </w:pPr>
          </w:p>
          <w:p w14:paraId="2EFD4440" w14:textId="77777777" w:rsidR="004962D9" w:rsidRPr="00D31036" w:rsidRDefault="004962D9" w:rsidP="00D4226B">
            <w:pPr>
              <w:jc w:val="both"/>
              <w:rPr>
                <w:rFonts w:ascii="Arial" w:hAnsi="Arial" w:cs="Arial"/>
              </w:rPr>
            </w:pPr>
            <w:r w:rsidRPr="00D31036">
              <w:rPr>
                <w:rFonts w:ascii="Arial" w:hAnsi="Arial" w:cs="Arial"/>
                <w:lang w:val="es-MX"/>
              </w:rPr>
              <w:t>Estos conceptos prohíben reconocer contablemente, por parte de COTECMAR, el valor de la nómina que se reconocía bajo la figura de subvención.</w:t>
            </w:r>
            <w:r w:rsidRPr="00D31036">
              <w:rPr>
                <w:rFonts w:ascii="Arial" w:hAnsi="Arial" w:cs="Arial"/>
              </w:rPr>
              <w:t> </w:t>
            </w:r>
          </w:p>
          <w:p w14:paraId="453025EA" w14:textId="77777777" w:rsidR="004962D9" w:rsidRPr="00D31036" w:rsidRDefault="004962D9" w:rsidP="00D4226B">
            <w:pPr>
              <w:jc w:val="both"/>
              <w:rPr>
                <w:rFonts w:ascii="Arial" w:hAnsi="Arial" w:cs="Arial"/>
              </w:rPr>
            </w:pPr>
          </w:p>
          <w:p w14:paraId="632B539A" w14:textId="77777777" w:rsidR="004962D9" w:rsidRPr="00D31036" w:rsidRDefault="004962D9" w:rsidP="00D4226B">
            <w:pPr>
              <w:jc w:val="both"/>
              <w:rPr>
                <w:rFonts w:ascii="Arial" w:hAnsi="Arial" w:cs="Arial"/>
              </w:rPr>
            </w:pPr>
            <w:r w:rsidRPr="00D31036">
              <w:rPr>
                <w:rFonts w:ascii="Arial" w:hAnsi="Arial" w:cs="Arial"/>
                <w:lang w:val="es-MX"/>
              </w:rPr>
              <w:t>Esta prohibición genera:</w:t>
            </w:r>
            <w:r w:rsidRPr="00D31036">
              <w:rPr>
                <w:rFonts w:ascii="Arial" w:hAnsi="Arial" w:cs="Arial"/>
              </w:rPr>
              <w:t> </w:t>
            </w:r>
          </w:p>
          <w:p w14:paraId="103333BC" w14:textId="77777777" w:rsidR="004962D9" w:rsidRPr="00D31036" w:rsidRDefault="004962D9" w:rsidP="00D4226B">
            <w:pPr>
              <w:jc w:val="both"/>
              <w:rPr>
                <w:rFonts w:ascii="Arial" w:hAnsi="Arial" w:cs="Arial"/>
              </w:rPr>
            </w:pPr>
          </w:p>
          <w:p w14:paraId="17545F48" w14:textId="77777777" w:rsidR="004962D9" w:rsidRPr="00D31036" w:rsidRDefault="004962D9" w:rsidP="00AE3935">
            <w:pPr>
              <w:widowControl/>
              <w:numPr>
                <w:ilvl w:val="0"/>
                <w:numId w:val="54"/>
              </w:numPr>
              <w:autoSpaceDE/>
              <w:autoSpaceDN/>
              <w:spacing w:line="259" w:lineRule="auto"/>
              <w:jc w:val="both"/>
              <w:rPr>
                <w:rFonts w:ascii="Arial" w:hAnsi="Arial" w:cs="Arial"/>
              </w:rPr>
            </w:pPr>
            <w:r w:rsidRPr="00D31036">
              <w:rPr>
                <w:rFonts w:ascii="Arial" w:hAnsi="Arial" w:cs="Arial"/>
              </w:rPr>
              <w:t>Dudas frente a la realidad financiera por la relevancia que los registros que esta operación tiene en la información de la Corporación (Costos y gastos). </w:t>
            </w:r>
          </w:p>
          <w:p w14:paraId="1AD81889" w14:textId="77777777" w:rsidR="004962D9" w:rsidRPr="00D31036" w:rsidRDefault="004962D9" w:rsidP="00AE3935">
            <w:pPr>
              <w:widowControl/>
              <w:numPr>
                <w:ilvl w:val="0"/>
                <w:numId w:val="55"/>
              </w:numPr>
              <w:autoSpaceDE/>
              <w:autoSpaceDN/>
              <w:spacing w:line="259" w:lineRule="auto"/>
              <w:jc w:val="both"/>
              <w:rPr>
                <w:rFonts w:ascii="Arial" w:hAnsi="Arial" w:cs="Arial"/>
              </w:rPr>
            </w:pPr>
            <w:r w:rsidRPr="00D31036">
              <w:rPr>
                <w:rFonts w:ascii="Arial" w:hAnsi="Arial" w:cs="Arial"/>
              </w:rPr>
              <w:t> Aparente ventaja, que es un riesgo futuro, ya que las necesidades institucionales de ARC requieren movimientos de personal que inciden en los costos de la Corporación. </w:t>
            </w:r>
          </w:p>
          <w:p w14:paraId="6F320F44" w14:textId="77777777" w:rsidR="004962D9" w:rsidRPr="00D31036" w:rsidRDefault="004962D9" w:rsidP="00AE3935">
            <w:pPr>
              <w:widowControl/>
              <w:numPr>
                <w:ilvl w:val="0"/>
                <w:numId w:val="56"/>
              </w:numPr>
              <w:autoSpaceDE/>
              <w:autoSpaceDN/>
              <w:spacing w:line="259" w:lineRule="auto"/>
              <w:jc w:val="both"/>
              <w:rPr>
                <w:rFonts w:ascii="Arial" w:hAnsi="Arial" w:cs="Arial"/>
              </w:rPr>
            </w:pPr>
            <w:r w:rsidRPr="00D31036">
              <w:rPr>
                <w:rFonts w:ascii="Arial" w:hAnsi="Arial" w:cs="Arial"/>
              </w:rPr>
              <w:t> Se desdibuja la estructuración correcta de precios de venta; situación que puede ser tomada como competencia desleal. </w:t>
            </w:r>
          </w:p>
          <w:p w14:paraId="6E809930" w14:textId="77777777" w:rsidR="004962D9" w:rsidRPr="00D31036" w:rsidRDefault="004962D9" w:rsidP="00D4226B">
            <w:pPr>
              <w:jc w:val="both"/>
              <w:rPr>
                <w:rFonts w:ascii="Arial" w:hAnsi="Arial" w:cs="Arial"/>
              </w:rPr>
            </w:pPr>
            <w:r w:rsidRPr="00D31036">
              <w:rPr>
                <w:rFonts w:ascii="Arial" w:hAnsi="Arial" w:cs="Arial"/>
              </w:rPr>
              <w:t> </w:t>
            </w:r>
          </w:p>
          <w:p w14:paraId="5681BF72" w14:textId="77777777" w:rsidR="004962D9" w:rsidRPr="00D31036" w:rsidRDefault="004962D9" w:rsidP="00D4226B">
            <w:pPr>
              <w:tabs>
                <w:tab w:val="left" w:pos="875"/>
              </w:tabs>
              <w:ind w:right="-50"/>
              <w:jc w:val="both"/>
              <w:rPr>
                <w:rFonts w:ascii="Arial" w:hAnsi="Arial" w:cs="Arial"/>
              </w:rPr>
            </w:pPr>
            <w:r w:rsidRPr="00D31036">
              <w:rPr>
                <w:rFonts w:ascii="Arial" w:hAnsi="Arial" w:cs="Arial"/>
              </w:rPr>
              <w:t>Las conclusiones de la mesa de trabajo se enfocaron en la elaboración de oficio por parte de COTECMAR dirigido a la CGN sustentando los aspectos jurídicos de la eliminación del registro contable del aporte en industria que realiza la Armada Nacional de Colombia, oficio que se envió acorde lo previsto y de lo cual se recibió respuesta por parte de la CGN en marzo de 2024 ratificando la posición frente al concepto. </w:t>
            </w:r>
          </w:p>
        </w:tc>
      </w:tr>
      <w:tr w:rsidR="004962D9" w:rsidRPr="00D31036" w14:paraId="6A15FC65" w14:textId="77777777" w:rsidTr="00D4226B">
        <w:tc>
          <w:tcPr>
            <w:tcW w:w="851" w:type="dxa"/>
          </w:tcPr>
          <w:p w14:paraId="1F57C202" w14:textId="77777777" w:rsidR="004962D9" w:rsidRPr="00D31036" w:rsidRDefault="004962D9" w:rsidP="00D4226B">
            <w:pPr>
              <w:tabs>
                <w:tab w:val="left" w:pos="875"/>
              </w:tabs>
              <w:ind w:right="-50"/>
              <w:jc w:val="center"/>
              <w:rPr>
                <w:rFonts w:ascii="Arial" w:hAnsi="Arial" w:cs="Arial"/>
                <w:b/>
              </w:rPr>
            </w:pPr>
            <w:r w:rsidRPr="00D31036">
              <w:rPr>
                <w:rFonts w:ascii="Arial" w:hAnsi="Arial" w:cs="Arial"/>
                <w:b/>
              </w:rPr>
              <w:t>2</w:t>
            </w:r>
          </w:p>
        </w:tc>
        <w:tc>
          <w:tcPr>
            <w:tcW w:w="4395" w:type="dxa"/>
            <w:vAlign w:val="center"/>
          </w:tcPr>
          <w:p w14:paraId="04BA933B" w14:textId="77777777" w:rsidR="004962D9" w:rsidRPr="00D31036" w:rsidRDefault="004962D9" w:rsidP="00D4226B">
            <w:pPr>
              <w:jc w:val="both"/>
              <w:rPr>
                <w:rFonts w:ascii="Arial" w:hAnsi="Arial" w:cs="Arial"/>
                <w:b/>
                <w:bCs/>
              </w:rPr>
            </w:pPr>
            <w:r w:rsidRPr="00D31036">
              <w:rPr>
                <w:rFonts w:ascii="Arial" w:hAnsi="Arial" w:cs="Arial"/>
                <w:b/>
                <w:bCs/>
              </w:rPr>
              <w:t xml:space="preserve">Técnicas: </w:t>
            </w:r>
          </w:p>
          <w:p w14:paraId="04AF035F" w14:textId="77777777" w:rsidR="004962D9" w:rsidRPr="00D31036" w:rsidRDefault="004962D9" w:rsidP="00D4226B">
            <w:pPr>
              <w:jc w:val="both"/>
              <w:rPr>
                <w:rFonts w:ascii="Arial" w:hAnsi="Arial" w:cs="Arial"/>
              </w:rPr>
            </w:pPr>
          </w:p>
          <w:p w14:paraId="49210B2F" w14:textId="77777777" w:rsidR="004962D9" w:rsidRPr="00D31036" w:rsidRDefault="004962D9" w:rsidP="00D4226B">
            <w:pPr>
              <w:tabs>
                <w:tab w:val="left" w:pos="875"/>
              </w:tabs>
              <w:ind w:right="-50"/>
              <w:jc w:val="both"/>
              <w:rPr>
                <w:rFonts w:ascii="Arial" w:hAnsi="Arial" w:cs="Arial"/>
                <w:b/>
              </w:rPr>
            </w:pPr>
            <w:r w:rsidRPr="00D31036">
              <w:rPr>
                <w:rFonts w:ascii="Arial" w:hAnsi="Arial" w:cs="Arial"/>
              </w:rPr>
              <w:t>Para abarcar los requerimientos de la Resolución 414 de 2014 y demás normas emitidas en materia contable y fiscal, ha sido necesario la implementación de ampliaciones a las funcionalidades estándar del sistema SAP de la Corporación a través de desarrollos, de modo que permita soportar la aplicación de la normatividad. </w:t>
            </w:r>
          </w:p>
        </w:tc>
        <w:tc>
          <w:tcPr>
            <w:tcW w:w="5244" w:type="dxa"/>
            <w:vAlign w:val="center"/>
          </w:tcPr>
          <w:p w14:paraId="13B6E258" w14:textId="77777777" w:rsidR="004962D9" w:rsidRPr="00D31036" w:rsidRDefault="004962D9" w:rsidP="00D4226B">
            <w:pPr>
              <w:tabs>
                <w:tab w:val="left" w:pos="875"/>
              </w:tabs>
              <w:ind w:right="-50"/>
              <w:jc w:val="both"/>
              <w:rPr>
                <w:rFonts w:ascii="Arial" w:hAnsi="Arial" w:cs="Arial"/>
              </w:rPr>
            </w:pPr>
            <w:r w:rsidRPr="00D31036">
              <w:rPr>
                <w:rFonts w:ascii="Arial" w:hAnsi="Arial" w:cs="Arial"/>
              </w:rPr>
              <w:t>Un desarrollo es la aplicación de cambios a una funcionalidad estándar para soportar aspectos muy particulares de los procesos para cumplir un requisito de ley y que no considera inicialmente el estándar de SAP.</w:t>
            </w:r>
          </w:p>
        </w:tc>
      </w:tr>
    </w:tbl>
    <w:p w14:paraId="58667A39" w14:textId="77777777" w:rsidR="00A85772" w:rsidRDefault="00A85772" w:rsidP="004962D9">
      <w:pPr>
        <w:ind w:left="-284"/>
        <w:jc w:val="both"/>
        <w:rPr>
          <w:rFonts w:ascii="Arial" w:hAnsi="Arial" w:cs="Arial"/>
          <w:b/>
          <w:sz w:val="28"/>
          <w:szCs w:val="28"/>
          <w:lang w:val="es-MX"/>
        </w:rPr>
      </w:pPr>
    </w:p>
    <w:p w14:paraId="688091E5" w14:textId="644223DB" w:rsidR="004962D9" w:rsidRPr="00681147" w:rsidRDefault="004962D9" w:rsidP="004962D9">
      <w:pPr>
        <w:ind w:left="-284"/>
        <w:jc w:val="both"/>
        <w:rPr>
          <w:rFonts w:ascii="Arial" w:hAnsi="Arial" w:cs="Arial"/>
          <w:b/>
          <w:sz w:val="28"/>
          <w:szCs w:val="28"/>
          <w:lang w:val="es-MX"/>
        </w:rPr>
      </w:pPr>
      <w:r w:rsidRPr="00681147">
        <w:rPr>
          <w:rFonts w:ascii="Arial" w:hAnsi="Arial" w:cs="Arial"/>
          <w:b/>
          <w:sz w:val="28"/>
          <w:szCs w:val="28"/>
          <w:lang w:val="es-MX"/>
        </w:rPr>
        <w:t>94.- CORPORACIÓN AUTÓNOMA REGIONAL DE RISARALDA - CARDER.</w:t>
      </w:r>
    </w:p>
    <w:p w14:paraId="2769EAEA"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62270C" w14:paraId="5CFE0093" w14:textId="77777777" w:rsidTr="004C5E54">
        <w:tc>
          <w:tcPr>
            <w:tcW w:w="867" w:type="dxa"/>
          </w:tcPr>
          <w:p w14:paraId="2565DBFD"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lastRenderedPageBreak/>
              <w:t>N°</w:t>
            </w:r>
          </w:p>
        </w:tc>
        <w:tc>
          <w:tcPr>
            <w:tcW w:w="4379" w:type="dxa"/>
          </w:tcPr>
          <w:p w14:paraId="4FB54F9A"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t>Limitaciones detectadas por su entidad en</w:t>
            </w:r>
          </w:p>
          <w:p w14:paraId="79BBA6DA"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t xml:space="preserve"> la aplicación del Marco Normativo - NICSP </w:t>
            </w:r>
          </w:p>
          <w:p w14:paraId="2EFCE638"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t>a 31/12/2024</w:t>
            </w:r>
          </w:p>
          <w:p w14:paraId="3718B0E9" w14:textId="77777777" w:rsidR="004962D9" w:rsidRPr="0062270C" w:rsidRDefault="004962D9" w:rsidP="00D4226B">
            <w:pPr>
              <w:tabs>
                <w:tab w:val="left" w:pos="875"/>
              </w:tabs>
              <w:ind w:right="-50"/>
              <w:jc w:val="center"/>
              <w:rPr>
                <w:rFonts w:ascii="Arial" w:hAnsi="Arial" w:cs="Arial"/>
                <w:b/>
              </w:rPr>
            </w:pPr>
          </w:p>
        </w:tc>
        <w:tc>
          <w:tcPr>
            <w:tcW w:w="5244" w:type="dxa"/>
          </w:tcPr>
          <w:p w14:paraId="4947A7D2"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t>Descripción de la limitación</w:t>
            </w:r>
          </w:p>
        </w:tc>
      </w:tr>
      <w:tr w:rsidR="004962D9" w:rsidRPr="0062270C" w14:paraId="3A0EF09D" w14:textId="77777777" w:rsidTr="004C5E54">
        <w:tc>
          <w:tcPr>
            <w:tcW w:w="867" w:type="dxa"/>
          </w:tcPr>
          <w:p w14:paraId="1768E6B7"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t>1</w:t>
            </w:r>
          </w:p>
        </w:tc>
        <w:tc>
          <w:tcPr>
            <w:tcW w:w="4379" w:type="dxa"/>
          </w:tcPr>
          <w:p w14:paraId="2E67AFC2" w14:textId="77777777" w:rsidR="004962D9" w:rsidRPr="0062270C" w:rsidRDefault="004962D9" w:rsidP="00D4226B">
            <w:pPr>
              <w:tabs>
                <w:tab w:val="left" w:pos="875"/>
              </w:tabs>
              <w:ind w:right="-50"/>
              <w:jc w:val="both"/>
              <w:rPr>
                <w:rFonts w:ascii="Arial" w:hAnsi="Arial" w:cs="Arial"/>
                <w:b/>
              </w:rPr>
            </w:pPr>
            <w:r w:rsidRPr="0062270C">
              <w:rPr>
                <w:rFonts w:ascii="Arial" w:hAnsi="Arial" w:cs="Arial"/>
                <w:b/>
              </w:rPr>
              <w:t>Normativas:</w:t>
            </w:r>
          </w:p>
        </w:tc>
        <w:tc>
          <w:tcPr>
            <w:tcW w:w="5244" w:type="dxa"/>
          </w:tcPr>
          <w:p w14:paraId="5ACE5E92" w14:textId="77777777" w:rsidR="004962D9" w:rsidRPr="0062270C" w:rsidRDefault="004962D9" w:rsidP="00D4226B">
            <w:pPr>
              <w:tabs>
                <w:tab w:val="left" w:pos="875"/>
              </w:tabs>
              <w:ind w:right="-50"/>
              <w:jc w:val="both"/>
              <w:rPr>
                <w:rFonts w:ascii="Arial" w:hAnsi="Arial" w:cs="Arial"/>
              </w:rPr>
            </w:pPr>
            <w:r w:rsidRPr="0062270C">
              <w:rPr>
                <w:rFonts w:ascii="Arial" w:hAnsi="Arial" w:cs="Arial"/>
              </w:rPr>
              <w:t>Las deferencias en las políticas contables y en los marcos técnicos normativos: Entidades de Gobierno, entidades que cotizan en Bolsa y entidades que no cotizan en Bolsa generan diferencias en las cuentas recíprocas entre entidades, ocasionan que existan registros contables que una entidad reconoce en un periodo contable y la otra entidad reconoce posteriormente o nunca lo incorporen en sus estados financieros.</w:t>
            </w:r>
          </w:p>
        </w:tc>
      </w:tr>
      <w:tr w:rsidR="004962D9" w:rsidRPr="0062270C" w14:paraId="178518E2" w14:textId="77777777" w:rsidTr="004C5E54">
        <w:tc>
          <w:tcPr>
            <w:tcW w:w="867" w:type="dxa"/>
          </w:tcPr>
          <w:p w14:paraId="6A318E40" w14:textId="77777777" w:rsidR="004962D9" w:rsidRPr="0062270C" w:rsidRDefault="004962D9" w:rsidP="00D4226B">
            <w:pPr>
              <w:tabs>
                <w:tab w:val="left" w:pos="875"/>
              </w:tabs>
              <w:ind w:right="-50"/>
              <w:jc w:val="center"/>
              <w:rPr>
                <w:rFonts w:ascii="Arial" w:hAnsi="Arial" w:cs="Arial"/>
                <w:b/>
              </w:rPr>
            </w:pPr>
            <w:r w:rsidRPr="0062270C">
              <w:rPr>
                <w:rFonts w:ascii="Arial" w:hAnsi="Arial" w:cs="Arial"/>
                <w:b/>
              </w:rPr>
              <w:t>2</w:t>
            </w:r>
          </w:p>
        </w:tc>
        <w:tc>
          <w:tcPr>
            <w:tcW w:w="4379" w:type="dxa"/>
          </w:tcPr>
          <w:p w14:paraId="0A2B1794" w14:textId="77777777" w:rsidR="004962D9" w:rsidRPr="0062270C" w:rsidRDefault="004962D9" w:rsidP="00D4226B">
            <w:pPr>
              <w:tabs>
                <w:tab w:val="left" w:pos="875"/>
              </w:tabs>
              <w:ind w:right="-50"/>
              <w:jc w:val="both"/>
              <w:rPr>
                <w:rFonts w:ascii="Arial" w:hAnsi="Arial" w:cs="Arial"/>
                <w:b/>
              </w:rPr>
            </w:pPr>
            <w:r w:rsidRPr="0062270C">
              <w:rPr>
                <w:rFonts w:ascii="Arial" w:hAnsi="Arial" w:cs="Arial"/>
                <w:b/>
              </w:rPr>
              <w:t>Técnicas:</w:t>
            </w:r>
          </w:p>
        </w:tc>
        <w:tc>
          <w:tcPr>
            <w:tcW w:w="5244" w:type="dxa"/>
          </w:tcPr>
          <w:p w14:paraId="32343294" w14:textId="77777777" w:rsidR="004962D9" w:rsidRPr="0062270C" w:rsidRDefault="004962D9" w:rsidP="00D4226B">
            <w:pPr>
              <w:tabs>
                <w:tab w:val="left" w:pos="875"/>
              </w:tabs>
              <w:ind w:right="-50"/>
              <w:jc w:val="both"/>
              <w:rPr>
                <w:rFonts w:ascii="Arial" w:hAnsi="Arial" w:cs="Arial"/>
              </w:rPr>
            </w:pPr>
            <w:r w:rsidRPr="0062270C">
              <w:rPr>
                <w:rFonts w:ascii="Arial" w:hAnsi="Arial" w:cs="Arial"/>
              </w:rPr>
              <w:t>La herramienta tecnológica tiene deficiencias en algunos procesos para suplir las necesidades de la entidad en el cumplimiento de la norma vigente. Dos casos puntuales el cálculo del deterioro y la revisión anual de las vidas útiles de la propiedad, planta y equipo y los cambios en estimaciones contables; estos dos procesos no ha sido posible su automatización por parte de la herramienta tecnológica y se ha realizado de forma manual.</w:t>
            </w:r>
          </w:p>
        </w:tc>
      </w:tr>
    </w:tbl>
    <w:p w14:paraId="681843A8" w14:textId="77777777" w:rsidR="004962D9" w:rsidRDefault="004962D9" w:rsidP="004962D9">
      <w:pPr>
        <w:ind w:left="-284" w:right="-234"/>
        <w:jc w:val="both"/>
        <w:rPr>
          <w:rFonts w:ascii="Arial" w:eastAsia="Trebuchet MS" w:hAnsi="Arial" w:cs="Arial"/>
          <w:b/>
          <w:sz w:val="32"/>
          <w:szCs w:val="32"/>
          <w:u w:val="single"/>
          <w:lang w:eastAsia="es-CO"/>
        </w:rPr>
      </w:pPr>
    </w:p>
    <w:p w14:paraId="05E86EA8" w14:textId="77777777" w:rsidR="004962D9" w:rsidRPr="00586930" w:rsidRDefault="004962D9" w:rsidP="004962D9">
      <w:pPr>
        <w:ind w:left="-284"/>
        <w:jc w:val="both"/>
        <w:rPr>
          <w:rFonts w:ascii="Arial" w:hAnsi="Arial" w:cs="Arial"/>
          <w:b/>
          <w:sz w:val="28"/>
          <w:szCs w:val="28"/>
          <w:lang w:val="es-MX"/>
        </w:rPr>
      </w:pPr>
      <w:r w:rsidRPr="00586930">
        <w:rPr>
          <w:rFonts w:ascii="Arial" w:hAnsi="Arial" w:cs="Arial"/>
          <w:b/>
          <w:sz w:val="28"/>
          <w:szCs w:val="28"/>
          <w:lang w:val="es-MX"/>
        </w:rPr>
        <w:t xml:space="preserve">100.- </w:t>
      </w:r>
      <w:r w:rsidRPr="00586930">
        <w:rPr>
          <w:rFonts w:ascii="Arial" w:hAnsi="Arial" w:cs="Arial"/>
          <w:b/>
          <w:sz w:val="28"/>
          <w:szCs w:val="28"/>
          <w:lang w:val="es-CO"/>
        </w:rPr>
        <w:t>CORPORACIÓN AUTÓNOMA REGIONAL DEL TOLIMA – CORTOLIMA.</w:t>
      </w:r>
    </w:p>
    <w:p w14:paraId="40E9E8B7"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586930" w14:paraId="29320863" w14:textId="77777777" w:rsidTr="004C5E54">
        <w:tc>
          <w:tcPr>
            <w:tcW w:w="867" w:type="dxa"/>
          </w:tcPr>
          <w:p w14:paraId="68918B78" w14:textId="77777777" w:rsidR="004962D9" w:rsidRPr="00586930" w:rsidRDefault="004962D9" w:rsidP="00D4226B">
            <w:pPr>
              <w:tabs>
                <w:tab w:val="left" w:pos="875"/>
              </w:tabs>
              <w:jc w:val="center"/>
              <w:rPr>
                <w:rFonts w:ascii="Arial" w:hAnsi="Arial" w:cs="Arial"/>
                <w:b/>
              </w:rPr>
            </w:pPr>
            <w:r w:rsidRPr="00586930">
              <w:rPr>
                <w:rFonts w:ascii="Arial" w:hAnsi="Arial" w:cs="Arial"/>
                <w:b/>
              </w:rPr>
              <w:t>N°</w:t>
            </w:r>
          </w:p>
        </w:tc>
        <w:tc>
          <w:tcPr>
            <w:tcW w:w="4379" w:type="dxa"/>
          </w:tcPr>
          <w:p w14:paraId="32A07660" w14:textId="77777777" w:rsidR="004962D9" w:rsidRPr="00586930" w:rsidRDefault="004962D9" w:rsidP="00D4226B">
            <w:pPr>
              <w:tabs>
                <w:tab w:val="left" w:pos="875"/>
              </w:tabs>
              <w:jc w:val="center"/>
              <w:rPr>
                <w:rFonts w:ascii="Arial" w:hAnsi="Arial" w:cs="Arial"/>
                <w:b/>
              </w:rPr>
            </w:pPr>
            <w:r w:rsidRPr="00586930">
              <w:rPr>
                <w:rFonts w:ascii="Arial" w:hAnsi="Arial" w:cs="Arial"/>
                <w:b/>
              </w:rPr>
              <w:t>Limitaciones detectadas por su entidad en</w:t>
            </w:r>
          </w:p>
          <w:p w14:paraId="50EA1D69" w14:textId="77777777" w:rsidR="004962D9" w:rsidRPr="00586930" w:rsidRDefault="004962D9" w:rsidP="00D4226B">
            <w:pPr>
              <w:tabs>
                <w:tab w:val="left" w:pos="875"/>
              </w:tabs>
              <w:jc w:val="center"/>
              <w:rPr>
                <w:rFonts w:ascii="Arial" w:hAnsi="Arial" w:cs="Arial"/>
                <w:b/>
              </w:rPr>
            </w:pPr>
            <w:r w:rsidRPr="00586930">
              <w:rPr>
                <w:rFonts w:ascii="Arial" w:hAnsi="Arial" w:cs="Arial"/>
                <w:b/>
              </w:rPr>
              <w:t xml:space="preserve"> la aplicación del Marco Normativo - NICSP </w:t>
            </w:r>
          </w:p>
          <w:p w14:paraId="40772B7F" w14:textId="77777777" w:rsidR="004962D9" w:rsidRPr="00586930" w:rsidRDefault="004962D9" w:rsidP="00D4226B">
            <w:pPr>
              <w:tabs>
                <w:tab w:val="left" w:pos="875"/>
              </w:tabs>
              <w:jc w:val="center"/>
              <w:rPr>
                <w:rFonts w:ascii="Arial" w:hAnsi="Arial" w:cs="Arial"/>
                <w:b/>
              </w:rPr>
            </w:pPr>
            <w:r w:rsidRPr="00586930">
              <w:rPr>
                <w:rFonts w:ascii="Arial" w:hAnsi="Arial" w:cs="Arial"/>
                <w:b/>
              </w:rPr>
              <w:t>a 31/12/2024</w:t>
            </w:r>
          </w:p>
          <w:p w14:paraId="36CC859F" w14:textId="77777777" w:rsidR="004962D9" w:rsidRPr="00586930" w:rsidRDefault="004962D9" w:rsidP="00D4226B">
            <w:pPr>
              <w:tabs>
                <w:tab w:val="left" w:pos="875"/>
              </w:tabs>
              <w:jc w:val="center"/>
              <w:rPr>
                <w:rFonts w:ascii="Arial" w:hAnsi="Arial" w:cs="Arial"/>
                <w:b/>
              </w:rPr>
            </w:pPr>
          </w:p>
        </w:tc>
        <w:tc>
          <w:tcPr>
            <w:tcW w:w="5244" w:type="dxa"/>
          </w:tcPr>
          <w:p w14:paraId="5F2F0079" w14:textId="77777777" w:rsidR="004962D9" w:rsidRPr="00586930" w:rsidRDefault="004962D9" w:rsidP="00D4226B">
            <w:pPr>
              <w:tabs>
                <w:tab w:val="left" w:pos="875"/>
              </w:tabs>
              <w:jc w:val="center"/>
              <w:rPr>
                <w:rFonts w:ascii="Arial" w:hAnsi="Arial" w:cs="Arial"/>
                <w:b/>
              </w:rPr>
            </w:pPr>
            <w:r w:rsidRPr="00586930">
              <w:rPr>
                <w:rFonts w:ascii="Arial" w:hAnsi="Arial" w:cs="Arial"/>
                <w:b/>
              </w:rPr>
              <w:t>Descripción de la limitación</w:t>
            </w:r>
          </w:p>
        </w:tc>
      </w:tr>
      <w:tr w:rsidR="004962D9" w:rsidRPr="00586930" w14:paraId="37822A1C" w14:textId="77777777" w:rsidTr="004C5E54">
        <w:tc>
          <w:tcPr>
            <w:tcW w:w="867" w:type="dxa"/>
          </w:tcPr>
          <w:p w14:paraId="7F787D0D" w14:textId="77777777" w:rsidR="004962D9" w:rsidRPr="00586930" w:rsidRDefault="004962D9" w:rsidP="00D4226B">
            <w:pPr>
              <w:tabs>
                <w:tab w:val="left" w:pos="875"/>
              </w:tabs>
              <w:jc w:val="center"/>
              <w:rPr>
                <w:rFonts w:ascii="Arial" w:hAnsi="Arial" w:cs="Arial"/>
                <w:b/>
              </w:rPr>
            </w:pPr>
            <w:r w:rsidRPr="00586930">
              <w:rPr>
                <w:rFonts w:ascii="Arial" w:hAnsi="Arial" w:cs="Arial"/>
                <w:b/>
              </w:rPr>
              <w:t>1</w:t>
            </w:r>
          </w:p>
        </w:tc>
        <w:tc>
          <w:tcPr>
            <w:tcW w:w="4379" w:type="dxa"/>
          </w:tcPr>
          <w:p w14:paraId="4C6259AD" w14:textId="77777777" w:rsidR="004962D9" w:rsidRPr="00586930" w:rsidRDefault="004962D9" w:rsidP="00D4226B">
            <w:pPr>
              <w:tabs>
                <w:tab w:val="left" w:pos="875"/>
              </w:tabs>
              <w:jc w:val="both"/>
              <w:rPr>
                <w:rFonts w:ascii="Arial" w:hAnsi="Arial" w:cs="Arial"/>
                <w:b/>
              </w:rPr>
            </w:pPr>
            <w:r w:rsidRPr="00586930">
              <w:rPr>
                <w:rFonts w:ascii="Arial" w:hAnsi="Arial" w:cs="Arial"/>
                <w:b/>
              </w:rPr>
              <w:t>Académicas:</w:t>
            </w:r>
          </w:p>
        </w:tc>
        <w:tc>
          <w:tcPr>
            <w:tcW w:w="5244" w:type="dxa"/>
          </w:tcPr>
          <w:p w14:paraId="741728B9" w14:textId="77777777" w:rsidR="004962D9" w:rsidRPr="00586930" w:rsidRDefault="004962D9" w:rsidP="00D4226B">
            <w:pPr>
              <w:tabs>
                <w:tab w:val="left" w:pos="875"/>
              </w:tabs>
              <w:jc w:val="both"/>
              <w:rPr>
                <w:rFonts w:ascii="Arial" w:hAnsi="Arial" w:cs="Arial"/>
              </w:rPr>
            </w:pPr>
            <w:r w:rsidRPr="00586930">
              <w:rPr>
                <w:rFonts w:ascii="Arial" w:hAnsi="Arial" w:cs="Arial"/>
              </w:rPr>
              <w:t>Es bueno aclarar que el personal del área contable tiene los perfiles requeridos y se capacitaron en el Nuevo Marco Normativo de la Contabilidad Pública, como los demás funcionarios de las diferentes áreas que alimentan el proceso contable de la Corporación</w:t>
            </w:r>
          </w:p>
        </w:tc>
      </w:tr>
    </w:tbl>
    <w:p w14:paraId="1796330A" w14:textId="77777777" w:rsidR="004962D9" w:rsidRDefault="004962D9" w:rsidP="004962D9">
      <w:pPr>
        <w:ind w:left="-284" w:right="-234"/>
        <w:jc w:val="both"/>
        <w:rPr>
          <w:rFonts w:ascii="Arial" w:eastAsia="Trebuchet MS" w:hAnsi="Arial" w:cs="Arial"/>
          <w:b/>
          <w:sz w:val="32"/>
          <w:szCs w:val="32"/>
          <w:u w:val="single"/>
          <w:lang w:eastAsia="es-CO"/>
        </w:rPr>
      </w:pPr>
    </w:p>
    <w:p w14:paraId="7830C951" w14:textId="77777777" w:rsidR="004962D9" w:rsidRPr="00E27FA5" w:rsidRDefault="004962D9" w:rsidP="004962D9">
      <w:pPr>
        <w:ind w:left="-284"/>
        <w:jc w:val="both"/>
        <w:rPr>
          <w:rFonts w:ascii="Arial" w:hAnsi="Arial" w:cs="Arial"/>
          <w:b/>
          <w:sz w:val="28"/>
          <w:szCs w:val="28"/>
          <w:lang w:val="es-MX"/>
        </w:rPr>
      </w:pPr>
      <w:r w:rsidRPr="00E27FA5">
        <w:rPr>
          <w:rFonts w:ascii="Arial" w:hAnsi="Arial" w:cs="Arial"/>
          <w:b/>
          <w:sz w:val="28"/>
          <w:szCs w:val="28"/>
          <w:lang w:val="es-MX"/>
        </w:rPr>
        <w:t xml:space="preserve">102.- </w:t>
      </w:r>
      <w:r w:rsidRPr="00E27FA5">
        <w:rPr>
          <w:rFonts w:ascii="Arial" w:hAnsi="Arial" w:cs="Arial"/>
          <w:b/>
          <w:sz w:val="28"/>
          <w:szCs w:val="28"/>
          <w:lang w:val="es-CO"/>
        </w:rPr>
        <w:t xml:space="preserve">CORPORACIÓN SALUD U.N. </w:t>
      </w:r>
    </w:p>
    <w:p w14:paraId="02A81B98"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EE2436" w14:paraId="49175978" w14:textId="77777777" w:rsidTr="004C5E54">
        <w:tc>
          <w:tcPr>
            <w:tcW w:w="867" w:type="dxa"/>
          </w:tcPr>
          <w:p w14:paraId="063750BE" w14:textId="77777777" w:rsidR="004962D9" w:rsidRPr="00EE2436" w:rsidRDefault="004962D9" w:rsidP="00D4226B">
            <w:pPr>
              <w:tabs>
                <w:tab w:val="left" w:pos="875"/>
              </w:tabs>
              <w:jc w:val="center"/>
              <w:rPr>
                <w:rFonts w:ascii="Arial" w:hAnsi="Arial" w:cs="Arial"/>
                <w:b/>
              </w:rPr>
            </w:pPr>
            <w:r w:rsidRPr="00EE2436">
              <w:rPr>
                <w:rFonts w:ascii="Arial" w:hAnsi="Arial" w:cs="Arial"/>
                <w:b/>
              </w:rPr>
              <w:t>N°</w:t>
            </w:r>
          </w:p>
        </w:tc>
        <w:tc>
          <w:tcPr>
            <w:tcW w:w="4379" w:type="dxa"/>
          </w:tcPr>
          <w:p w14:paraId="1321372F" w14:textId="77777777" w:rsidR="004962D9" w:rsidRPr="00EE2436" w:rsidRDefault="004962D9" w:rsidP="00D4226B">
            <w:pPr>
              <w:tabs>
                <w:tab w:val="left" w:pos="875"/>
              </w:tabs>
              <w:jc w:val="center"/>
              <w:rPr>
                <w:rFonts w:ascii="Arial" w:hAnsi="Arial" w:cs="Arial"/>
                <w:b/>
              </w:rPr>
            </w:pPr>
            <w:r w:rsidRPr="00EE2436">
              <w:rPr>
                <w:rFonts w:ascii="Arial" w:hAnsi="Arial" w:cs="Arial"/>
                <w:b/>
              </w:rPr>
              <w:t xml:space="preserve">Limitaciones detectadas por su entidad en la aplicación del Marco Normativo - NICSP </w:t>
            </w:r>
          </w:p>
          <w:p w14:paraId="7C4ECC58" w14:textId="77777777" w:rsidR="004962D9" w:rsidRPr="00EE2436" w:rsidRDefault="004962D9" w:rsidP="00D4226B">
            <w:pPr>
              <w:tabs>
                <w:tab w:val="left" w:pos="875"/>
              </w:tabs>
              <w:jc w:val="center"/>
              <w:rPr>
                <w:rFonts w:ascii="Arial" w:hAnsi="Arial" w:cs="Arial"/>
                <w:b/>
              </w:rPr>
            </w:pPr>
            <w:r w:rsidRPr="00EE2436">
              <w:rPr>
                <w:rFonts w:ascii="Arial" w:hAnsi="Arial" w:cs="Arial"/>
                <w:b/>
              </w:rPr>
              <w:t>a 31/12/2024</w:t>
            </w:r>
          </w:p>
          <w:p w14:paraId="76024B75" w14:textId="77777777" w:rsidR="004962D9" w:rsidRPr="00EE2436" w:rsidRDefault="004962D9" w:rsidP="00D4226B">
            <w:pPr>
              <w:tabs>
                <w:tab w:val="left" w:pos="875"/>
              </w:tabs>
              <w:jc w:val="center"/>
              <w:rPr>
                <w:rFonts w:ascii="Arial" w:hAnsi="Arial" w:cs="Arial"/>
                <w:b/>
              </w:rPr>
            </w:pPr>
          </w:p>
        </w:tc>
        <w:tc>
          <w:tcPr>
            <w:tcW w:w="5244" w:type="dxa"/>
          </w:tcPr>
          <w:p w14:paraId="5115B6EC" w14:textId="77777777" w:rsidR="004962D9" w:rsidRPr="00EE2436" w:rsidRDefault="004962D9" w:rsidP="00D4226B">
            <w:pPr>
              <w:tabs>
                <w:tab w:val="left" w:pos="875"/>
              </w:tabs>
              <w:jc w:val="center"/>
              <w:rPr>
                <w:rFonts w:ascii="Arial" w:hAnsi="Arial" w:cs="Arial"/>
                <w:b/>
              </w:rPr>
            </w:pPr>
            <w:r w:rsidRPr="00EE2436">
              <w:rPr>
                <w:rFonts w:ascii="Arial" w:hAnsi="Arial" w:cs="Arial"/>
                <w:b/>
              </w:rPr>
              <w:t>Descripción de la limitación</w:t>
            </w:r>
          </w:p>
        </w:tc>
      </w:tr>
      <w:tr w:rsidR="004962D9" w:rsidRPr="00EE2436" w14:paraId="4C5B0FE6" w14:textId="77777777" w:rsidTr="004C5E54">
        <w:tc>
          <w:tcPr>
            <w:tcW w:w="867" w:type="dxa"/>
          </w:tcPr>
          <w:p w14:paraId="1FD0335A" w14:textId="77777777" w:rsidR="004962D9" w:rsidRPr="00EE2436" w:rsidRDefault="004962D9" w:rsidP="00D4226B">
            <w:pPr>
              <w:tabs>
                <w:tab w:val="left" w:pos="875"/>
              </w:tabs>
              <w:jc w:val="center"/>
              <w:rPr>
                <w:rFonts w:ascii="Arial" w:hAnsi="Arial" w:cs="Arial"/>
                <w:b/>
              </w:rPr>
            </w:pPr>
            <w:r w:rsidRPr="00EE2436">
              <w:rPr>
                <w:rFonts w:ascii="Arial" w:hAnsi="Arial" w:cs="Arial"/>
                <w:b/>
              </w:rPr>
              <w:t>1</w:t>
            </w:r>
          </w:p>
        </w:tc>
        <w:tc>
          <w:tcPr>
            <w:tcW w:w="4379" w:type="dxa"/>
          </w:tcPr>
          <w:p w14:paraId="114EC69C" w14:textId="77777777" w:rsidR="004962D9" w:rsidRPr="00EE2436" w:rsidRDefault="004962D9" w:rsidP="00D4226B">
            <w:pPr>
              <w:tabs>
                <w:tab w:val="left" w:pos="875"/>
              </w:tabs>
              <w:jc w:val="both"/>
              <w:rPr>
                <w:rFonts w:ascii="Arial" w:hAnsi="Arial" w:cs="Arial"/>
                <w:b/>
              </w:rPr>
            </w:pPr>
            <w:r w:rsidRPr="00EE2436">
              <w:rPr>
                <w:rFonts w:ascii="Arial" w:hAnsi="Arial" w:cs="Arial"/>
                <w:b/>
              </w:rPr>
              <w:t>Académicas:</w:t>
            </w:r>
          </w:p>
        </w:tc>
        <w:tc>
          <w:tcPr>
            <w:tcW w:w="5244" w:type="dxa"/>
          </w:tcPr>
          <w:p w14:paraId="16260A05" w14:textId="77777777" w:rsidR="004962D9" w:rsidRPr="00EE2436" w:rsidRDefault="004962D9" w:rsidP="00D4226B">
            <w:pPr>
              <w:tabs>
                <w:tab w:val="left" w:pos="875"/>
              </w:tabs>
              <w:jc w:val="both"/>
              <w:rPr>
                <w:rFonts w:ascii="Arial" w:hAnsi="Arial" w:cs="Arial"/>
              </w:rPr>
            </w:pPr>
            <w:r w:rsidRPr="00EE2436">
              <w:rPr>
                <w:rFonts w:ascii="Arial" w:eastAsia="Calibri" w:hAnsi="Arial" w:cs="Arial"/>
                <w:lang w:val="es-CO"/>
              </w:rPr>
              <w:t>No se cuenta con programas de capacitación al menos una vez al año sobre la normatividad y las diferentes actualizaciones realizadas a la plataforma. Lo anterior origina una retroalimentación interna oportuna que optimice los diferentes requerimientos de reportes en el CHIP.</w:t>
            </w:r>
          </w:p>
        </w:tc>
      </w:tr>
    </w:tbl>
    <w:p w14:paraId="5C7DB93A" w14:textId="77777777" w:rsidR="004962D9" w:rsidRDefault="004962D9" w:rsidP="004962D9">
      <w:pPr>
        <w:ind w:left="-284" w:right="-234"/>
        <w:jc w:val="both"/>
        <w:rPr>
          <w:rFonts w:ascii="Arial" w:eastAsia="Trebuchet MS" w:hAnsi="Arial" w:cs="Arial"/>
          <w:b/>
          <w:sz w:val="32"/>
          <w:szCs w:val="32"/>
          <w:u w:val="single"/>
          <w:lang w:eastAsia="es-CO"/>
        </w:rPr>
      </w:pPr>
    </w:p>
    <w:p w14:paraId="5E37DBA2" w14:textId="4FEDD210" w:rsidR="004962D9" w:rsidRDefault="004962D9" w:rsidP="004C5E54">
      <w:pPr>
        <w:ind w:left="-284" w:right="-234"/>
        <w:jc w:val="both"/>
        <w:rPr>
          <w:rFonts w:ascii="Arial" w:hAnsi="Arial" w:cs="Arial"/>
          <w:b/>
          <w:sz w:val="28"/>
          <w:szCs w:val="28"/>
          <w:lang w:val="es-MX"/>
        </w:rPr>
      </w:pPr>
      <w:r w:rsidRPr="005F202B">
        <w:rPr>
          <w:rFonts w:ascii="Arial" w:hAnsi="Arial" w:cs="Arial"/>
          <w:b/>
          <w:sz w:val="28"/>
          <w:szCs w:val="28"/>
          <w:lang w:val="es-MX"/>
        </w:rPr>
        <w:t>106.- UNIDAD DE PLANEACIÓN DE INFRAESTRUCTURA DE TRANSPORTE - UPIT.</w:t>
      </w:r>
    </w:p>
    <w:p w14:paraId="71A08334" w14:textId="77777777" w:rsidR="004C5E54" w:rsidRPr="005F202B" w:rsidRDefault="004C5E54" w:rsidP="004962D9">
      <w:pPr>
        <w:ind w:left="-284" w:right="49"/>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8B78D7" w14:paraId="45126F18" w14:textId="77777777" w:rsidTr="004C5E54">
        <w:tc>
          <w:tcPr>
            <w:tcW w:w="867" w:type="dxa"/>
          </w:tcPr>
          <w:p w14:paraId="1FF1AF78" w14:textId="77777777" w:rsidR="004962D9" w:rsidRPr="008B78D7" w:rsidRDefault="004962D9" w:rsidP="00D4226B">
            <w:pPr>
              <w:tabs>
                <w:tab w:val="left" w:pos="875"/>
              </w:tabs>
              <w:jc w:val="center"/>
              <w:rPr>
                <w:rFonts w:ascii="Arial" w:hAnsi="Arial" w:cs="Arial"/>
                <w:b/>
              </w:rPr>
            </w:pPr>
            <w:r w:rsidRPr="008B78D7">
              <w:rPr>
                <w:rFonts w:ascii="Arial" w:hAnsi="Arial" w:cs="Arial"/>
                <w:b/>
              </w:rPr>
              <w:t>N°</w:t>
            </w:r>
          </w:p>
        </w:tc>
        <w:tc>
          <w:tcPr>
            <w:tcW w:w="4379" w:type="dxa"/>
          </w:tcPr>
          <w:p w14:paraId="15E54B5D" w14:textId="77777777" w:rsidR="004962D9" w:rsidRPr="008B78D7" w:rsidRDefault="004962D9" w:rsidP="00D4226B">
            <w:pPr>
              <w:tabs>
                <w:tab w:val="left" w:pos="875"/>
              </w:tabs>
              <w:jc w:val="center"/>
              <w:rPr>
                <w:rFonts w:ascii="Arial" w:hAnsi="Arial" w:cs="Arial"/>
                <w:b/>
              </w:rPr>
            </w:pPr>
            <w:r w:rsidRPr="008B78D7">
              <w:rPr>
                <w:rFonts w:ascii="Arial" w:hAnsi="Arial" w:cs="Arial"/>
                <w:b/>
              </w:rPr>
              <w:t>Limitaciones detectadas por su entidad en la aplicación del Marco Normativo - NICSP a 31/12/2024</w:t>
            </w:r>
          </w:p>
          <w:p w14:paraId="1888EE2D" w14:textId="77777777" w:rsidR="004962D9" w:rsidRPr="008B78D7" w:rsidRDefault="004962D9" w:rsidP="00D4226B">
            <w:pPr>
              <w:tabs>
                <w:tab w:val="left" w:pos="875"/>
              </w:tabs>
              <w:jc w:val="center"/>
              <w:rPr>
                <w:rFonts w:ascii="Arial" w:hAnsi="Arial" w:cs="Arial"/>
                <w:b/>
              </w:rPr>
            </w:pPr>
          </w:p>
        </w:tc>
        <w:tc>
          <w:tcPr>
            <w:tcW w:w="5244" w:type="dxa"/>
          </w:tcPr>
          <w:p w14:paraId="58260173" w14:textId="77777777" w:rsidR="004962D9" w:rsidRPr="008B78D7" w:rsidRDefault="004962D9" w:rsidP="00D4226B">
            <w:pPr>
              <w:tabs>
                <w:tab w:val="left" w:pos="875"/>
              </w:tabs>
              <w:jc w:val="center"/>
              <w:rPr>
                <w:rFonts w:ascii="Arial" w:hAnsi="Arial" w:cs="Arial"/>
                <w:b/>
              </w:rPr>
            </w:pPr>
            <w:r w:rsidRPr="008B78D7">
              <w:rPr>
                <w:rFonts w:ascii="Arial" w:hAnsi="Arial" w:cs="Arial"/>
                <w:b/>
              </w:rPr>
              <w:t>Descripción de la limitación</w:t>
            </w:r>
          </w:p>
        </w:tc>
      </w:tr>
      <w:tr w:rsidR="004962D9" w:rsidRPr="008B78D7" w14:paraId="2BBFA917" w14:textId="77777777" w:rsidTr="004C5E54">
        <w:tc>
          <w:tcPr>
            <w:tcW w:w="867" w:type="dxa"/>
          </w:tcPr>
          <w:p w14:paraId="6F3CCF25" w14:textId="77777777" w:rsidR="004962D9" w:rsidRPr="008B78D7" w:rsidRDefault="004962D9" w:rsidP="00D4226B">
            <w:pPr>
              <w:tabs>
                <w:tab w:val="left" w:pos="875"/>
              </w:tabs>
              <w:jc w:val="center"/>
              <w:rPr>
                <w:rFonts w:ascii="Arial" w:hAnsi="Arial" w:cs="Arial"/>
                <w:b/>
              </w:rPr>
            </w:pPr>
            <w:r w:rsidRPr="008B78D7">
              <w:rPr>
                <w:rFonts w:ascii="Arial" w:hAnsi="Arial" w:cs="Arial"/>
                <w:b/>
              </w:rPr>
              <w:lastRenderedPageBreak/>
              <w:t>1</w:t>
            </w:r>
          </w:p>
        </w:tc>
        <w:tc>
          <w:tcPr>
            <w:tcW w:w="4379" w:type="dxa"/>
          </w:tcPr>
          <w:p w14:paraId="0AE3C012" w14:textId="77777777" w:rsidR="004962D9" w:rsidRPr="008B78D7" w:rsidRDefault="004962D9" w:rsidP="00D4226B">
            <w:pPr>
              <w:tabs>
                <w:tab w:val="left" w:pos="875"/>
              </w:tabs>
              <w:jc w:val="both"/>
              <w:rPr>
                <w:rFonts w:ascii="Arial" w:hAnsi="Arial" w:cs="Arial"/>
                <w:b/>
              </w:rPr>
            </w:pPr>
            <w:r w:rsidRPr="008B78D7">
              <w:rPr>
                <w:rFonts w:ascii="Arial" w:hAnsi="Arial" w:cs="Arial"/>
                <w:b/>
              </w:rPr>
              <w:t>Normativas:</w:t>
            </w:r>
          </w:p>
        </w:tc>
        <w:tc>
          <w:tcPr>
            <w:tcW w:w="5244" w:type="dxa"/>
          </w:tcPr>
          <w:p w14:paraId="5E4C2F4E" w14:textId="77777777" w:rsidR="004962D9" w:rsidRPr="008B78D7" w:rsidRDefault="004962D9" w:rsidP="00D4226B">
            <w:pPr>
              <w:tabs>
                <w:tab w:val="left" w:pos="875"/>
              </w:tabs>
              <w:jc w:val="both"/>
              <w:rPr>
                <w:rFonts w:ascii="Arial" w:hAnsi="Arial" w:cs="Arial"/>
              </w:rPr>
            </w:pPr>
            <w:r w:rsidRPr="008B78D7">
              <w:rPr>
                <w:rFonts w:ascii="Arial" w:hAnsi="Arial" w:cs="Arial"/>
                <w:lang w:val="es-CO"/>
              </w:rPr>
              <w:t>Es importante reiterar circulares informativas sobre el estado indefinido en la presentación del estado de flujos de efectivo y en el estado normativo en el que se encuentra.</w:t>
            </w:r>
          </w:p>
        </w:tc>
      </w:tr>
      <w:tr w:rsidR="004962D9" w:rsidRPr="008B78D7" w14:paraId="02067F1C" w14:textId="77777777" w:rsidTr="004C5E54">
        <w:tc>
          <w:tcPr>
            <w:tcW w:w="867" w:type="dxa"/>
          </w:tcPr>
          <w:p w14:paraId="72C6A474" w14:textId="77777777" w:rsidR="004962D9" w:rsidRPr="008B78D7" w:rsidRDefault="004962D9" w:rsidP="00D4226B">
            <w:pPr>
              <w:tabs>
                <w:tab w:val="left" w:pos="875"/>
              </w:tabs>
              <w:jc w:val="center"/>
              <w:rPr>
                <w:rFonts w:ascii="Arial" w:hAnsi="Arial" w:cs="Arial"/>
                <w:b/>
              </w:rPr>
            </w:pPr>
            <w:r w:rsidRPr="008B78D7">
              <w:rPr>
                <w:rFonts w:ascii="Arial" w:hAnsi="Arial" w:cs="Arial"/>
                <w:b/>
              </w:rPr>
              <w:t>2</w:t>
            </w:r>
          </w:p>
        </w:tc>
        <w:tc>
          <w:tcPr>
            <w:tcW w:w="4379" w:type="dxa"/>
          </w:tcPr>
          <w:p w14:paraId="499FF2D2" w14:textId="77777777" w:rsidR="004962D9" w:rsidRPr="008B78D7" w:rsidRDefault="004962D9" w:rsidP="00D4226B">
            <w:pPr>
              <w:tabs>
                <w:tab w:val="left" w:pos="875"/>
              </w:tabs>
              <w:jc w:val="both"/>
              <w:rPr>
                <w:rFonts w:ascii="Arial" w:hAnsi="Arial" w:cs="Arial"/>
                <w:b/>
              </w:rPr>
            </w:pPr>
            <w:r w:rsidRPr="008B78D7">
              <w:rPr>
                <w:rFonts w:ascii="Arial" w:hAnsi="Arial" w:cs="Arial"/>
                <w:b/>
              </w:rPr>
              <w:t>Académicas:</w:t>
            </w:r>
          </w:p>
        </w:tc>
        <w:tc>
          <w:tcPr>
            <w:tcW w:w="5244" w:type="dxa"/>
          </w:tcPr>
          <w:p w14:paraId="183345B9" w14:textId="77777777" w:rsidR="004962D9" w:rsidRPr="008B78D7" w:rsidRDefault="004962D9" w:rsidP="00D4226B">
            <w:pPr>
              <w:tabs>
                <w:tab w:val="left" w:pos="875"/>
              </w:tabs>
              <w:jc w:val="both"/>
              <w:rPr>
                <w:rFonts w:ascii="Arial" w:hAnsi="Arial" w:cs="Arial"/>
              </w:rPr>
            </w:pPr>
            <w:r w:rsidRPr="008B78D7">
              <w:rPr>
                <w:rFonts w:ascii="Arial" w:hAnsi="Arial" w:cs="Arial"/>
                <w:lang w:val="es-CO"/>
              </w:rPr>
              <w:t>Capacitaciones por parte la Contaduría General de la Nación, para hacer más asertiva la información contable pública.</w:t>
            </w:r>
          </w:p>
        </w:tc>
      </w:tr>
    </w:tbl>
    <w:p w14:paraId="4E4711CA" w14:textId="77777777" w:rsidR="004962D9" w:rsidRDefault="004962D9" w:rsidP="004962D9">
      <w:pPr>
        <w:ind w:left="-284" w:right="-234"/>
        <w:jc w:val="both"/>
        <w:rPr>
          <w:rFonts w:ascii="Arial" w:eastAsia="Trebuchet MS" w:hAnsi="Arial" w:cs="Arial"/>
          <w:b/>
          <w:sz w:val="32"/>
          <w:szCs w:val="32"/>
          <w:u w:val="single"/>
          <w:lang w:eastAsia="es-CO"/>
        </w:rPr>
      </w:pPr>
    </w:p>
    <w:p w14:paraId="17824A34" w14:textId="77777777" w:rsidR="004962D9" w:rsidRPr="00832034" w:rsidRDefault="004962D9" w:rsidP="004C5E54">
      <w:pPr>
        <w:ind w:left="-284" w:right="-234"/>
        <w:jc w:val="both"/>
        <w:rPr>
          <w:rFonts w:ascii="Arial" w:hAnsi="Arial" w:cs="Arial"/>
          <w:b/>
          <w:sz w:val="28"/>
          <w:szCs w:val="28"/>
          <w:lang w:val="es-MX"/>
        </w:rPr>
      </w:pPr>
      <w:r w:rsidRPr="00832034">
        <w:rPr>
          <w:rFonts w:ascii="Arial" w:hAnsi="Arial" w:cs="Arial"/>
          <w:b/>
          <w:sz w:val="28"/>
          <w:szCs w:val="28"/>
          <w:lang w:val="es-MX"/>
        </w:rPr>
        <w:t>118.- CORPORACIÓN PARA EL DESARROLLO SOSTENIBLES DEL ARCHIPIELAGO DE SAN ANDRÉS, PROVIDENCIA Y SANTA CATALINA - CORALINA.</w:t>
      </w:r>
    </w:p>
    <w:p w14:paraId="7C6572DF"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832034" w14:paraId="36CA9BEC" w14:textId="77777777" w:rsidTr="00D4226B">
        <w:tc>
          <w:tcPr>
            <w:tcW w:w="867" w:type="dxa"/>
          </w:tcPr>
          <w:p w14:paraId="5AF4C7E0"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N°</w:t>
            </w:r>
          </w:p>
        </w:tc>
        <w:tc>
          <w:tcPr>
            <w:tcW w:w="4379" w:type="dxa"/>
          </w:tcPr>
          <w:p w14:paraId="7BA4C7BE"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Limitaciones detectadas por su entidad en</w:t>
            </w:r>
          </w:p>
          <w:p w14:paraId="7B8FCF63"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 xml:space="preserve"> la aplicación del Marco Normativo - NICSP </w:t>
            </w:r>
          </w:p>
          <w:p w14:paraId="57140379"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a 31/12/2024</w:t>
            </w:r>
          </w:p>
          <w:p w14:paraId="35D61233" w14:textId="77777777" w:rsidR="004962D9" w:rsidRPr="00832034" w:rsidRDefault="004962D9" w:rsidP="00D4226B">
            <w:pPr>
              <w:tabs>
                <w:tab w:val="left" w:pos="875"/>
              </w:tabs>
              <w:ind w:right="-50"/>
              <w:jc w:val="center"/>
              <w:rPr>
                <w:rFonts w:ascii="Arial" w:hAnsi="Arial" w:cs="Arial"/>
                <w:b/>
              </w:rPr>
            </w:pPr>
          </w:p>
        </w:tc>
        <w:tc>
          <w:tcPr>
            <w:tcW w:w="5244" w:type="dxa"/>
          </w:tcPr>
          <w:p w14:paraId="7084EED0"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Descripción de la limitación</w:t>
            </w:r>
          </w:p>
        </w:tc>
      </w:tr>
      <w:tr w:rsidR="004962D9" w:rsidRPr="00832034" w14:paraId="5BA2ED22" w14:textId="77777777" w:rsidTr="00D4226B">
        <w:tc>
          <w:tcPr>
            <w:tcW w:w="867" w:type="dxa"/>
          </w:tcPr>
          <w:p w14:paraId="15CC780A"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1</w:t>
            </w:r>
          </w:p>
        </w:tc>
        <w:tc>
          <w:tcPr>
            <w:tcW w:w="4379" w:type="dxa"/>
          </w:tcPr>
          <w:p w14:paraId="6025E029" w14:textId="77777777" w:rsidR="004962D9" w:rsidRPr="00832034" w:rsidRDefault="004962D9" w:rsidP="00D4226B">
            <w:pPr>
              <w:tabs>
                <w:tab w:val="left" w:pos="875"/>
              </w:tabs>
              <w:ind w:right="-50"/>
              <w:jc w:val="both"/>
              <w:rPr>
                <w:rFonts w:ascii="Arial" w:hAnsi="Arial" w:cs="Arial"/>
                <w:b/>
              </w:rPr>
            </w:pPr>
            <w:r w:rsidRPr="00832034">
              <w:rPr>
                <w:rFonts w:ascii="Arial" w:hAnsi="Arial" w:cs="Arial"/>
                <w:b/>
              </w:rPr>
              <w:t>Académicas:</w:t>
            </w:r>
          </w:p>
        </w:tc>
        <w:tc>
          <w:tcPr>
            <w:tcW w:w="5244" w:type="dxa"/>
          </w:tcPr>
          <w:p w14:paraId="28157E81" w14:textId="77777777" w:rsidR="004962D9" w:rsidRPr="00832034" w:rsidRDefault="004962D9" w:rsidP="00D4226B">
            <w:pPr>
              <w:tabs>
                <w:tab w:val="left" w:pos="875"/>
              </w:tabs>
              <w:ind w:right="-50"/>
              <w:jc w:val="both"/>
              <w:rPr>
                <w:rFonts w:ascii="Arial" w:hAnsi="Arial" w:cs="Arial"/>
              </w:rPr>
            </w:pPr>
            <w:r w:rsidRPr="00832034">
              <w:rPr>
                <w:rFonts w:ascii="Arial" w:hAnsi="Arial" w:cs="Arial"/>
              </w:rPr>
              <w:t>Es necesario actualización en deterioro</w:t>
            </w:r>
          </w:p>
        </w:tc>
      </w:tr>
      <w:tr w:rsidR="004962D9" w:rsidRPr="00832034" w14:paraId="33DD8962" w14:textId="77777777" w:rsidTr="00D4226B">
        <w:tc>
          <w:tcPr>
            <w:tcW w:w="867" w:type="dxa"/>
          </w:tcPr>
          <w:p w14:paraId="14701C21" w14:textId="77777777" w:rsidR="004962D9" w:rsidRPr="00832034" w:rsidRDefault="004962D9" w:rsidP="00D4226B">
            <w:pPr>
              <w:tabs>
                <w:tab w:val="left" w:pos="875"/>
              </w:tabs>
              <w:ind w:right="-50"/>
              <w:jc w:val="center"/>
              <w:rPr>
                <w:rFonts w:ascii="Arial" w:hAnsi="Arial" w:cs="Arial"/>
                <w:b/>
              </w:rPr>
            </w:pPr>
            <w:r w:rsidRPr="00832034">
              <w:rPr>
                <w:rFonts w:ascii="Arial" w:hAnsi="Arial" w:cs="Arial"/>
                <w:b/>
              </w:rPr>
              <w:t>2</w:t>
            </w:r>
          </w:p>
        </w:tc>
        <w:tc>
          <w:tcPr>
            <w:tcW w:w="4379" w:type="dxa"/>
          </w:tcPr>
          <w:p w14:paraId="2BF3CB3F" w14:textId="77777777" w:rsidR="004962D9" w:rsidRPr="00832034" w:rsidRDefault="004962D9" w:rsidP="00D4226B">
            <w:pPr>
              <w:tabs>
                <w:tab w:val="left" w:pos="875"/>
              </w:tabs>
              <w:ind w:right="-50"/>
              <w:jc w:val="both"/>
              <w:rPr>
                <w:rFonts w:ascii="Arial" w:hAnsi="Arial" w:cs="Arial"/>
                <w:b/>
              </w:rPr>
            </w:pPr>
            <w:r w:rsidRPr="00832034">
              <w:rPr>
                <w:rFonts w:ascii="Arial" w:hAnsi="Arial" w:cs="Arial"/>
                <w:b/>
              </w:rPr>
              <w:t>Operativas:</w:t>
            </w:r>
          </w:p>
        </w:tc>
        <w:tc>
          <w:tcPr>
            <w:tcW w:w="5244" w:type="dxa"/>
          </w:tcPr>
          <w:p w14:paraId="42C8FEA3" w14:textId="77777777" w:rsidR="004962D9" w:rsidRPr="00832034" w:rsidRDefault="004962D9" w:rsidP="00D4226B">
            <w:pPr>
              <w:tabs>
                <w:tab w:val="left" w:pos="875"/>
              </w:tabs>
              <w:ind w:right="-50"/>
              <w:jc w:val="both"/>
              <w:rPr>
                <w:rFonts w:ascii="Arial" w:hAnsi="Arial" w:cs="Arial"/>
              </w:rPr>
            </w:pPr>
            <w:r w:rsidRPr="00832034">
              <w:rPr>
                <w:rFonts w:ascii="Arial" w:hAnsi="Arial" w:cs="Arial"/>
              </w:rPr>
              <w:t>Es necesario actualización en deterioro</w:t>
            </w:r>
          </w:p>
        </w:tc>
      </w:tr>
    </w:tbl>
    <w:p w14:paraId="54EC4A18" w14:textId="77777777" w:rsidR="004962D9" w:rsidRDefault="004962D9" w:rsidP="004962D9">
      <w:pPr>
        <w:ind w:left="-284" w:right="-234"/>
        <w:jc w:val="both"/>
        <w:rPr>
          <w:rFonts w:ascii="Arial" w:eastAsia="Trebuchet MS" w:hAnsi="Arial" w:cs="Arial"/>
          <w:b/>
          <w:sz w:val="32"/>
          <w:szCs w:val="32"/>
          <w:u w:val="single"/>
          <w:lang w:eastAsia="es-CO"/>
        </w:rPr>
      </w:pPr>
    </w:p>
    <w:p w14:paraId="07E35E3A" w14:textId="77777777" w:rsidR="004962D9" w:rsidRPr="00BB4BCE" w:rsidRDefault="004962D9" w:rsidP="004962D9">
      <w:pPr>
        <w:ind w:left="-284"/>
        <w:jc w:val="both"/>
        <w:rPr>
          <w:rFonts w:ascii="Arial" w:hAnsi="Arial" w:cs="Arial"/>
          <w:b/>
          <w:sz w:val="32"/>
          <w:szCs w:val="32"/>
        </w:rPr>
      </w:pPr>
      <w:r w:rsidRPr="00BB4BCE">
        <w:rPr>
          <w:rFonts w:ascii="Arial" w:hAnsi="Arial" w:cs="Arial"/>
          <w:b/>
          <w:sz w:val="28"/>
          <w:szCs w:val="28"/>
          <w:lang w:val="es-MX"/>
        </w:rPr>
        <w:t xml:space="preserve">125.- </w:t>
      </w:r>
      <w:r w:rsidRPr="00BB4BCE">
        <w:rPr>
          <w:rFonts w:ascii="Arial" w:hAnsi="Arial" w:cs="Arial"/>
          <w:b/>
          <w:sz w:val="28"/>
          <w:szCs w:val="28"/>
        </w:rPr>
        <w:t>CORPORACIÓN AUTÓNOMA REGIONAL DE SANTANDER – CAS.</w:t>
      </w:r>
    </w:p>
    <w:p w14:paraId="38A292F0" w14:textId="77777777" w:rsidR="004962D9" w:rsidRDefault="004962D9" w:rsidP="004962D9">
      <w:pPr>
        <w:jc w:val="both"/>
        <w:rPr>
          <w:b/>
          <w:sz w:val="32"/>
          <w:szCs w:val="32"/>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BB4BCE" w14:paraId="30E26647" w14:textId="77777777" w:rsidTr="004C5E54">
        <w:tc>
          <w:tcPr>
            <w:tcW w:w="867" w:type="dxa"/>
          </w:tcPr>
          <w:p w14:paraId="4FEBE00C" w14:textId="77777777" w:rsidR="004962D9" w:rsidRPr="00BB4BCE" w:rsidRDefault="004962D9" w:rsidP="00D4226B">
            <w:pPr>
              <w:tabs>
                <w:tab w:val="left" w:pos="875"/>
              </w:tabs>
              <w:ind w:right="-50"/>
              <w:jc w:val="center"/>
              <w:rPr>
                <w:rFonts w:ascii="Arial" w:hAnsi="Arial" w:cs="Arial"/>
                <w:b/>
              </w:rPr>
            </w:pPr>
            <w:r w:rsidRPr="00BB4BCE">
              <w:rPr>
                <w:rFonts w:ascii="Arial" w:hAnsi="Arial" w:cs="Arial"/>
                <w:b/>
              </w:rPr>
              <w:t>N°</w:t>
            </w:r>
          </w:p>
        </w:tc>
        <w:tc>
          <w:tcPr>
            <w:tcW w:w="4379" w:type="dxa"/>
          </w:tcPr>
          <w:p w14:paraId="26FF048D" w14:textId="77777777" w:rsidR="004962D9" w:rsidRPr="00BB4BCE" w:rsidRDefault="004962D9" w:rsidP="00D4226B">
            <w:pPr>
              <w:tabs>
                <w:tab w:val="left" w:pos="875"/>
              </w:tabs>
              <w:ind w:right="-50"/>
              <w:jc w:val="center"/>
              <w:rPr>
                <w:rFonts w:ascii="Arial" w:hAnsi="Arial" w:cs="Arial"/>
                <w:b/>
              </w:rPr>
            </w:pPr>
            <w:r w:rsidRPr="00BB4BCE">
              <w:rPr>
                <w:rFonts w:ascii="Arial" w:hAnsi="Arial" w:cs="Arial"/>
                <w:b/>
              </w:rPr>
              <w:t>Limitaciones detectadas por su entidad en</w:t>
            </w:r>
          </w:p>
          <w:p w14:paraId="205E670C" w14:textId="77777777" w:rsidR="004962D9" w:rsidRPr="00BB4BCE" w:rsidRDefault="004962D9" w:rsidP="00D4226B">
            <w:pPr>
              <w:tabs>
                <w:tab w:val="left" w:pos="875"/>
              </w:tabs>
              <w:ind w:right="-50"/>
              <w:jc w:val="center"/>
              <w:rPr>
                <w:rFonts w:ascii="Arial" w:hAnsi="Arial" w:cs="Arial"/>
                <w:b/>
              </w:rPr>
            </w:pPr>
            <w:r w:rsidRPr="00BB4BCE">
              <w:rPr>
                <w:rFonts w:ascii="Arial" w:hAnsi="Arial" w:cs="Arial"/>
                <w:b/>
              </w:rPr>
              <w:t xml:space="preserve"> la aplicación del Marco Normativo - NICSP </w:t>
            </w:r>
          </w:p>
          <w:p w14:paraId="60A3F852" w14:textId="77777777" w:rsidR="004962D9" w:rsidRPr="00BB4BCE" w:rsidRDefault="004962D9" w:rsidP="00D4226B">
            <w:pPr>
              <w:tabs>
                <w:tab w:val="left" w:pos="875"/>
              </w:tabs>
              <w:ind w:right="-50"/>
              <w:jc w:val="center"/>
              <w:rPr>
                <w:rFonts w:ascii="Arial" w:hAnsi="Arial" w:cs="Arial"/>
                <w:b/>
              </w:rPr>
            </w:pPr>
            <w:r w:rsidRPr="00BB4BCE">
              <w:rPr>
                <w:rFonts w:ascii="Arial" w:hAnsi="Arial" w:cs="Arial"/>
                <w:b/>
              </w:rPr>
              <w:t>a 31/12/2024</w:t>
            </w:r>
          </w:p>
          <w:p w14:paraId="0D7A4E24" w14:textId="77777777" w:rsidR="004962D9" w:rsidRPr="00BB4BCE" w:rsidRDefault="004962D9" w:rsidP="00D4226B">
            <w:pPr>
              <w:tabs>
                <w:tab w:val="left" w:pos="875"/>
              </w:tabs>
              <w:ind w:right="-50"/>
              <w:jc w:val="center"/>
              <w:rPr>
                <w:rFonts w:ascii="Arial" w:hAnsi="Arial" w:cs="Arial"/>
                <w:b/>
              </w:rPr>
            </w:pPr>
          </w:p>
        </w:tc>
        <w:tc>
          <w:tcPr>
            <w:tcW w:w="5244" w:type="dxa"/>
          </w:tcPr>
          <w:p w14:paraId="28146138" w14:textId="77777777" w:rsidR="004962D9" w:rsidRPr="00BB4BCE" w:rsidRDefault="004962D9" w:rsidP="00D4226B">
            <w:pPr>
              <w:tabs>
                <w:tab w:val="left" w:pos="875"/>
              </w:tabs>
              <w:ind w:right="-50"/>
              <w:jc w:val="center"/>
              <w:rPr>
                <w:rFonts w:ascii="Arial" w:hAnsi="Arial" w:cs="Arial"/>
                <w:b/>
              </w:rPr>
            </w:pPr>
            <w:r w:rsidRPr="00BB4BCE">
              <w:rPr>
                <w:rFonts w:ascii="Arial" w:hAnsi="Arial" w:cs="Arial"/>
                <w:b/>
              </w:rPr>
              <w:t>Descripción de la limitación</w:t>
            </w:r>
          </w:p>
        </w:tc>
      </w:tr>
      <w:tr w:rsidR="004962D9" w:rsidRPr="00BB4BCE" w14:paraId="4C6D7526" w14:textId="77777777" w:rsidTr="004C5E54">
        <w:tc>
          <w:tcPr>
            <w:tcW w:w="867" w:type="dxa"/>
          </w:tcPr>
          <w:p w14:paraId="787A8FD3" w14:textId="77777777" w:rsidR="004962D9" w:rsidRPr="00BB4BCE" w:rsidRDefault="004962D9" w:rsidP="00D4226B">
            <w:pPr>
              <w:tabs>
                <w:tab w:val="left" w:pos="875"/>
              </w:tabs>
              <w:ind w:right="-50"/>
              <w:jc w:val="center"/>
              <w:rPr>
                <w:rFonts w:ascii="Arial" w:hAnsi="Arial" w:cs="Arial"/>
                <w:b/>
              </w:rPr>
            </w:pPr>
            <w:r w:rsidRPr="00BB4BCE">
              <w:rPr>
                <w:rFonts w:ascii="Arial" w:hAnsi="Arial" w:cs="Arial"/>
                <w:b/>
              </w:rPr>
              <w:t>1</w:t>
            </w:r>
          </w:p>
        </w:tc>
        <w:tc>
          <w:tcPr>
            <w:tcW w:w="4379" w:type="dxa"/>
          </w:tcPr>
          <w:p w14:paraId="10EC9049" w14:textId="77777777" w:rsidR="004962D9" w:rsidRPr="00BB4BCE" w:rsidRDefault="004962D9" w:rsidP="00D4226B">
            <w:pPr>
              <w:tabs>
                <w:tab w:val="left" w:pos="875"/>
              </w:tabs>
              <w:ind w:right="-50"/>
              <w:jc w:val="both"/>
              <w:rPr>
                <w:rFonts w:ascii="Arial" w:hAnsi="Arial" w:cs="Arial"/>
                <w:b/>
              </w:rPr>
            </w:pPr>
            <w:r w:rsidRPr="00BB4BCE">
              <w:rPr>
                <w:rFonts w:ascii="Arial" w:hAnsi="Arial" w:cs="Arial"/>
                <w:b/>
              </w:rPr>
              <w:t>Normativas:</w:t>
            </w:r>
          </w:p>
        </w:tc>
        <w:tc>
          <w:tcPr>
            <w:tcW w:w="5244" w:type="dxa"/>
          </w:tcPr>
          <w:p w14:paraId="5E67F318" w14:textId="77777777" w:rsidR="004962D9" w:rsidRPr="00BB4BCE" w:rsidRDefault="004962D9" w:rsidP="00D4226B">
            <w:pPr>
              <w:pStyle w:val="Textoindependiente"/>
              <w:ind w:right="31" w:firstLine="33"/>
              <w:jc w:val="both"/>
              <w:rPr>
                <w:rFonts w:ascii="Arial" w:hAnsi="Arial" w:cs="Arial"/>
              </w:rPr>
            </w:pPr>
            <w:r w:rsidRPr="00BB4BCE">
              <w:rPr>
                <w:rFonts w:ascii="Arial" w:hAnsi="Arial" w:cs="Arial"/>
              </w:rPr>
              <w:t>La aplicación desde el 2018 de la Resolución CGN 593 de 2018  modificada con  La Resolución CGN 089 de   2024 que establecen el procedimiento contable para el registro del porcentaje ambiental, la sobretasa ambiental, realizando la causación  o reconocimiento contable con la certificación de  proyección enviada por el ente territorial hace que al cierre de vigencia si el municipio no recaudó todo lo proyectado por predial, queden saldos a 31 de diciembre pendientes por cobrar por concepto de sobretasa ambiental que los entes territoriales no registran contablemente como cuentas por pagar; y no está establecido como subsanar o saldar los saldos que quedan al cierre de vigencia cuando son superiores al valor pendiente de giro por parte del municipio.</w:t>
            </w:r>
          </w:p>
          <w:p w14:paraId="54E5D0DC" w14:textId="77777777" w:rsidR="004962D9" w:rsidRPr="00BB4BCE" w:rsidRDefault="004962D9" w:rsidP="00D4226B">
            <w:pPr>
              <w:pStyle w:val="Textoindependiente"/>
              <w:ind w:right="31" w:firstLine="33"/>
              <w:jc w:val="both"/>
              <w:rPr>
                <w:rFonts w:ascii="Arial" w:hAnsi="Arial" w:cs="Arial"/>
              </w:rPr>
            </w:pPr>
          </w:p>
          <w:p w14:paraId="0F8A6C67" w14:textId="77777777" w:rsidR="004962D9" w:rsidRPr="00BB4BCE" w:rsidRDefault="004962D9" w:rsidP="00D4226B">
            <w:pPr>
              <w:tabs>
                <w:tab w:val="left" w:pos="875"/>
              </w:tabs>
              <w:ind w:right="31" w:firstLine="33"/>
              <w:jc w:val="both"/>
              <w:rPr>
                <w:rFonts w:ascii="Arial" w:hAnsi="Arial" w:cs="Arial"/>
              </w:rPr>
            </w:pPr>
            <w:r w:rsidRPr="00BB4BCE">
              <w:rPr>
                <w:rFonts w:ascii="Arial" w:hAnsi="Arial" w:cs="Arial"/>
              </w:rPr>
              <w:t>Para las CAR la sobretasa ambiental es reconocido como un</w:t>
            </w:r>
            <w:r w:rsidRPr="00BB4BCE">
              <w:rPr>
                <w:rFonts w:ascii="Arial" w:hAnsi="Arial" w:cs="Arial"/>
                <w:b/>
                <w:bCs/>
              </w:rPr>
              <w:t xml:space="preserve"> ingreso</w:t>
            </w:r>
            <w:r w:rsidRPr="00BB4BCE">
              <w:rPr>
                <w:rFonts w:ascii="Arial" w:hAnsi="Arial" w:cs="Arial"/>
              </w:rPr>
              <w:t xml:space="preserve"> tributario de acuerdo a la normatividad vigente pero los entes territoriales no están reportando la cuenta recíproca lo que hace que se generen partidas conciliatorias por operaciones recíprocas con la mayoría de municipios pertenecientes a la jurisdicción de la CAS.</w:t>
            </w:r>
          </w:p>
        </w:tc>
      </w:tr>
    </w:tbl>
    <w:p w14:paraId="1E340275" w14:textId="77777777" w:rsidR="004962D9" w:rsidRDefault="004962D9" w:rsidP="004962D9">
      <w:pPr>
        <w:jc w:val="both"/>
        <w:rPr>
          <w:b/>
          <w:sz w:val="32"/>
          <w:szCs w:val="32"/>
        </w:rPr>
      </w:pPr>
    </w:p>
    <w:p w14:paraId="4C4EF933" w14:textId="77777777" w:rsidR="004962D9" w:rsidRDefault="004962D9" w:rsidP="004962D9">
      <w:pPr>
        <w:ind w:left="-284"/>
        <w:jc w:val="both"/>
        <w:rPr>
          <w:rFonts w:ascii="Arial" w:hAnsi="Arial" w:cs="Arial"/>
          <w:b/>
          <w:sz w:val="24"/>
          <w:szCs w:val="24"/>
        </w:rPr>
      </w:pPr>
      <w:r w:rsidRPr="002A6E88">
        <w:rPr>
          <w:rFonts w:ascii="Arial" w:hAnsi="Arial" w:cs="Arial"/>
          <w:b/>
          <w:sz w:val="28"/>
          <w:szCs w:val="28"/>
          <w:lang w:val="es-MX"/>
        </w:rPr>
        <w:t xml:space="preserve">129.- </w:t>
      </w:r>
      <w:r w:rsidRPr="002A6E88">
        <w:rPr>
          <w:rFonts w:ascii="Arial" w:hAnsi="Arial" w:cs="Arial"/>
          <w:b/>
          <w:sz w:val="28"/>
          <w:szCs w:val="28"/>
        </w:rPr>
        <w:t>UNIDAD DE SERVICIOS PENITENCIARIOS Y CARCELARIOS – USPEC</w:t>
      </w:r>
      <w:r w:rsidRPr="002A6E88">
        <w:rPr>
          <w:rFonts w:ascii="Arial" w:hAnsi="Arial" w:cs="Arial"/>
          <w:b/>
          <w:sz w:val="28"/>
          <w:szCs w:val="28"/>
          <w:lang w:val="es-MX"/>
        </w:rPr>
        <w:t>.</w:t>
      </w:r>
    </w:p>
    <w:p w14:paraId="0CBB0A4C"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ED5811" w14:paraId="49C12BE4" w14:textId="77777777" w:rsidTr="004C5E54">
        <w:tc>
          <w:tcPr>
            <w:tcW w:w="867" w:type="dxa"/>
          </w:tcPr>
          <w:p w14:paraId="7E86C73E"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N°</w:t>
            </w:r>
          </w:p>
        </w:tc>
        <w:tc>
          <w:tcPr>
            <w:tcW w:w="4379" w:type="dxa"/>
          </w:tcPr>
          <w:p w14:paraId="13969A39"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 xml:space="preserve">Limitaciones detectadas por su entidad en la aplicación del Marco Normativo - NICSP </w:t>
            </w:r>
          </w:p>
          <w:p w14:paraId="13A74A90"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lastRenderedPageBreak/>
              <w:t>a 31/12/2024</w:t>
            </w:r>
          </w:p>
          <w:p w14:paraId="13E41F3A" w14:textId="77777777" w:rsidR="004962D9" w:rsidRPr="00ED5811" w:rsidRDefault="004962D9" w:rsidP="00D4226B">
            <w:pPr>
              <w:tabs>
                <w:tab w:val="left" w:pos="875"/>
              </w:tabs>
              <w:ind w:right="-50"/>
              <w:jc w:val="center"/>
              <w:rPr>
                <w:rFonts w:ascii="Arial" w:hAnsi="Arial" w:cs="Arial"/>
                <w:b/>
              </w:rPr>
            </w:pPr>
          </w:p>
        </w:tc>
        <w:tc>
          <w:tcPr>
            <w:tcW w:w="5244" w:type="dxa"/>
          </w:tcPr>
          <w:p w14:paraId="318EAE4A"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lastRenderedPageBreak/>
              <w:t>Descripción de la limitación</w:t>
            </w:r>
          </w:p>
        </w:tc>
      </w:tr>
      <w:tr w:rsidR="004962D9" w:rsidRPr="00ED5811" w14:paraId="05DAEAF9" w14:textId="77777777" w:rsidTr="004C5E54">
        <w:tc>
          <w:tcPr>
            <w:tcW w:w="867" w:type="dxa"/>
          </w:tcPr>
          <w:p w14:paraId="12BDAFF5"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1</w:t>
            </w:r>
          </w:p>
        </w:tc>
        <w:tc>
          <w:tcPr>
            <w:tcW w:w="4379" w:type="dxa"/>
          </w:tcPr>
          <w:p w14:paraId="12141396" w14:textId="77777777" w:rsidR="004962D9" w:rsidRPr="00ED5811" w:rsidRDefault="004962D9" w:rsidP="00D4226B">
            <w:pPr>
              <w:tabs>
                <w:tab w:val="left" w:pos="875"/>
              </w:tabs>
              <w:ind w:right="-50"/>
              <w:jc w:val="both"/>
              <w:rPr>
                <w:rFonts w:ascii="Arial" w:hAnsi="Arial" w:cs="Arial"/>
                <w:b/>
              </w:rPr>
            </w:pPr>
            <w:r w:rsidRPr="00ED5811">
              <w:rPr>
                <w:rFonts w:ascii="Arial" w:hAnsi="Arial" w:cs="Arial"/>
                <w:b/>
              </w:rPr>
              <w:t>Normativas:</w:t>
            </w:r>
          </w:p>
        </w:tc>
        <w:tc>
          <w:tcPr>
            <w:tcW w:w="5244" w:type="dxa"/>
          </w:tcPr>
          <w:p w14:paraId="27402335"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La USPEC, fue clasificada por su naturaleza con el Marco Normativo de la Resolución 533 de 2015, en este sentido se precisa que la entidad tiene características de procedimiento y ejecución particulares por su naturaleza y misionalidad, que revisten de conceptos específicos aplicados al marco normativo para entidades de gobierno que aún no han sido regulados por la Contaduría General, en tal sentido se solicitan consultas expresas a la CGN para ser aplicadas en la USPEC y en ausencia de la promulgación estas son de desconocimiento ante los entes de control.</w:t>
            </w:r>
          </w:p>
          <w:p w14:paraId="62936731" w14:textId="77777777" w:rsidR="004962D9" w:rsidRPr="00ED5811" w:rsidRDefault="004962D9" w:rsidP="00D4226B">
            <w:pPr>
              <w:tabs>
                <w:tab w:val="left" w:pos="875"/>
              </w:tabs>
              <w:ind w:right="-50"/>
              <w:jc w:val="both"/>
              <w:rPr>
                <w:rFonts w:ascii="Arial" w:hAnsi="Arial" w:cs="Arial"/>
              </w:rPr>
            </w:pPr>
          </w:p>
          <w:p w14:paraId="4BEAB2D1"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Cuando se han presentado temas de los cuales se requiere precisar mejor su manejo contable se han solicitados mesas y conceptos desde su aplicación a la Contaduría General de la Nación</w:t>
            </w:r>
          </w:p>
        </w:tc>
      </w:tr>
      <w:tr w:rsidR="004962D9" w:rsidRPr="00ED5811" w14:paraId="424CC524" w14:textId="77777777" w:rsidTr="004C5E54">
        <w:tc>
          <w:tcPr>
            <w:tcW w:w="867" w:type="dxa"/>
          </w:tcPr>
          <w:p w14:paraId="3A750D47"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2</w:t>
            </w:r>
          </w:p>
        </w:tc>
        <w:tc>
          <w:tcPr>
            <w:tcW w:w="4379" w:type="dxa"/>
          </w:tcPr>
          <w:p w14:paraId="378B26D3" w14:textId="77777777" w:rsidR="004962D9" w:rsidRPr="00ED5811" w:rsidRDefault="004962D9" w:rsidP="00D4226B">
            <w:pPr>
              <w:tabs>
                <w:tab w:val="left" w:pos="875"/>
              </w:tabs>
              <w:ind w:right="-50"/>
              <w:jc w:val="both"/>
              <w:rPr>
                <w:rFonts w:ascii="Arial" w:hAnsi="Arial" w:cs="Arial"/>
                <w:b/>
              </w:rPr>
            </w:pPr>
            <w:r w:rsidRPr="00ED5811">
              <w:rPr>
                <w:rFonts w:ascii="Arial" w:hAnsi="Arial" w:cs="Arial"/>
                <w:b/>
              </w:rPr>
              <w:t>Académicas:</w:t>
            </w:r>
          </w:p>
        </w:tc>
        <w:tc>
          <w:tcPr>
            <w:tcW w:w="5244" w:type="dxa"/>
          </w:tcPr>
          <w:p w14:paraId="705D31CF"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Capacitaciones practicas a todos los funcionarios de la subdirección financiera en todos los aspectos contables aplicados a la USPEC, y en el ámbito general, talleres a la totalidad de funcionarios de la entidad a fin de involucrarlos en el proceso contable como política institucional.</w:t>
            </w:r>
          </w:p>
        </w:tc>
      </w:tr>
      <w:tr w:rsidR="004962D9" w:rsidRPr="00ED5811" w14:paraId="43773DE2" w14:textId="77777777" w:rsidTr="004C5E54">
        <w:tc>
          <w:tcPr>
            <w:tcW w:w="867" w:type="dxa"/>
          </w:tcPr>
          <w:p w14:paraId="1633C222"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3</w:t>
            </w:r>
          </w:p>
        </w:tc>
        <w:tc>
          <w:tcPr>
            <w:tcW w:w="4379" w:type="dxa"/>
          </w:tcPr>
          <w:p w14:paraId="5AAB53D6" w14:textId="77777777" w:rsidR="004962D9" w:rsidRPr="00ED5811" w:rsidRDefault="004962D9" w:rsidP="00D4226B">
            <w:pPr>
              <w:tabs>
                <w:tab w:val="left" w:pos="875"/>
              </w:tabs>
              <w:ind w:right="-50"/>
              <w:jc w:val="both"/>
              <w:rPr>
                <w:rFonts w:ascii="Arial" w:hAnsi="Arial" w:cs="Arial"/>
                <w:b/>
              </w:rPr>
            </w:pPr>
            <w:r w:rsidRPr="00ED5811">
              <w:rPr>
                <w:rFonts w:ascii="Arial" w:hAnsi="Arial" w:cs="Arial"/>
                <w:b/>
              </w:rPr>
              <w:t>Técnicas:</w:t>
            </w:r>
          </w:p>
        </w:tc>
        <w:tc>
          <w:tcPr>
            <w:tcW w:w="5244" w:type="dxa"/>
          </w:tcPr>
          <w:p w14:paraId="79BC2F80"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Fortalecer los conocimientos a todos los funcionarios profesionales y asistenciales de los procesos contables y sus características de información</w:t>
            </w:r>
          </w:p>
        </w:tc>
      </w:tr>
      <w:tr w:rsidR="004962D9" w:rsidRPr="00ED5811" w14:paraId="4E9576E8" w14:textId="77777777" w:rsidTr="004C5E54">
        <w:tc>
          <w:tcPr>
            <w:tcW w:w="867" w:type="dxa"/>
          </w:tcPr>
          <w:p w14:paraId="508DCEA8"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4</w:t>
            </w:r>
          </w:p>
        </w:tc>
        <w:tc>
          <w:tcPr>
            <w:tcW w:w="4379" w:type="dxa"/>
          </w:tcPr>
          <w:p w14:paraId="6B3DEEC7" w14:textId="77777777" w:rsidR="004962D9" w:rsidRPr="00ED5811" w:rsidRDefault="004962D9" w:rsidP="00D4226B">
            <w:pPr>
              <w:tabs>
                <w:tab w:val="left" w:pos="875"/>
              </w:tabs>
              <w:ind w:right="-50"/>
              <w:jc w:val="both"/>
              <w:rPr>
                <w:rFonts w:ascii="Arial" w:hAnsi="Arial" w:cs="Arial"/>
                <w:b/>
              </w:rPr>
            </w:pPr>
            <w:r w:rsidRPr="00ED5811">
              <w:rPr>
                <w:rFonts w:ascii="Arial" w:hAnsi="Arial" w:cs="Arial"/>
                <w:b/>
              </w:rPr>
              <w:t>Operativas:</w:t>
            </w:r>
          </w:p>
        </w:tc>
        <w:tc>
          <w:tcPr>
            <w:tcW w:w="5244" w:type="dxa"/>
          </w:tcPr>
          <w:p w14:paraId="41FE29C6" w14:textId="5E2DE527" w:rsidR="004962D9" w:rsidRPr="00ED5811" w:rsidRDefault="004962D9" w:rsidP="00D4226B">
            <w:pPr>
              <w:tabs>
                <w:tab w:val="left" w:pos="875"/>
              </w:tabs>
              <w:ind w:right="-50"/>
              <w:jc w:val="both"/>
              <w:rPr>
                <w:rFonts w:ascii="Arial" w:hAnsi="Arial" w:cs="Arial"/>
              </w:rPr>
            </w:pPr>
            <w:r w:rsidRPr="00ED5811">
              <w:rPr>
                <w:rFonts w:ascii="Arial" w:hAnsi="Arial" w:cs="Arial"/>
              </w:rPr>
              <w:t xml:space="preserve">Mejorar el flujo y </w:t>
            </w:r>
            <w:r w:rsidR="00D926CD" w:rsidRPr="00ED5811">
              <w:rPr>
                <w:rFonts w:ascii="Arial" w:hAnsi="Arial" w:cs="Arial"/>
              </w:rPr>
              <w:t>calidad de</w:t>
            </w:r>
            <w:r w:rsidRPr="00ED5811">
              <w:rPr>
                <w:rFonts w:ascii="Arial" w:hAnsi="Arial" w:cs="Arial"/>
              </w:rPr>
              <w:t xml:space="preserve"> la información</w:t>
            </w:r>
          </w:p>
        </w:tc>
      </w:tr>
      <w:tr w:rsidR="004962D9" w:rsidRPr="00ED5811" w14:paraId="4B2E064F" w14:textId="77777777" w:rsidTr="004C5E54">
        <w:tc>
          <w:tcPr>
            <w:tcW w:w="867" w:type="dxa"/>
          </w:tcPr>
          <w:p w14:paraId="56FF8449"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5</w:t>
            </w:r>
          </w:p>
        </w:tc>
        <w:tc>
          <w:tcPr>
            <w:tcW w:w="4379" w:type="dxa"/>
          </w:tcPr>
          <w:p w14:paraId="2382D4D7" w14:textId="77777777" w:rsidR="004962D9" w:rsidRPr="00ED5811" w:rsidRDefault="004962D9" w:rsidP="00D4226B">
            <w:pPr>
              <w:tabs>
                <w:tab w:val="left" w:pos="875"/>
              </w:tabs>
              <w:ind w:right="-50"/>
              <w:jc w:val="both"/>
              <w:rPr>
                <w:rFonts w:ascii="Arial" w:hAnsi="Arial" w:cs="Arial"/>
                <w:b/>
              </w:rPr>
            </w:pPr>
            <w:r w:rsidRPr="00ED5811">
              <w:rPr>
                <w:rFonts w:ascii="Arial" w:hAnsi="Arial" w:cs="Arial"/>
                <w:b/>
              </w:rPr>
              <w:t>Presupuestales:</w:t>
            </w:r>
          </w:p>
        </w:tc>
        <w:tc>
          <w:tcPr>
            <w:tcW w:w="5244" w:type="dxa"/>
          </w:tcPr>
          <w:p w14:paraId="6D2BFA4B"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Presupuesto limitado</w:t>
            </w:r>
          </w:p>
        </w:tc>
      </w:tr>
      <w:tr w:rsidR="004962D9" w:rsidRPr="00ED5811" w14:paraId="0367AB42" w14:textId="77777777" w:rsidTr="004C5E54">
        <w:tc>
          <w:tcPr>
            <w:tcW w:w="867" w:type="dxa"/>
          </w:tcPr>
          <w:p w14:paraId="3FB4D04D" w14:textId="77777777" w:rsidR="004962D9" w:rsidRPr="00ED5811" w:rsidRDefault="004962D9" w:rsidP="00D4226B">
            <w:pPr>
              <w:tabs>
                <w:tab w:val="left" w:pos="875"/>
              </w:tabs>
              <w:ind w:right="-50"/>
              <w:jc w:val="center"/>
              <w:rPr>
                <w:rFonts w:ascii="Arial" w:hAnsi="Arial" w:cs="Arial"/>
                <w:b/>
              </w:rPr>
            </w:pPr>
            <w:r w:rsidRPr="00ED5811">
              <w:rPr>
                <w:rFonts w:ascii="Arial" w:hAnsi="Arial" w:cs="Arial"/>
                <w:b/>
              </w:rPr>
              <w:t>6</w:t>
            </w:r>
          </w:p>
        </w:tc>
        <w:tc>
          <w:tcPr>
            <w:tcW w:w="4379" w:type="dxa"/>
          </w:tcPr>
          <w:p w14:paraId="16A7FE61" w14:textId="77777777" w:rsidR="004962D9" w:rsidRPr="00ED5811" w:rsidRDefault="004962D9" w:rsidP="00D4226B">
            <w:pPr>
              <w:tabs>
                <w:tab w:val="left" w:pos="875"/>
              </w:tabs>
              <w:ind w:right="-50"/>
              <w:jc w:val="both"/>
              <w:rPr>
                <w:rFonts w:ascii="Arial" w:hAnsi="Arial" w:cs="Arial"/>
                <w:b/>
              </w:rPr>
            </w:pPr>
            <w:r w:rsidRPr="00ED5811">
              <w:rPr>
                <w:rFonts w:ascii="Arial" w:hAnsi="Arial" w:cs="Arial"/>
                <w:b/>
              </w:rPr>
              <w:t>Otras</w:t>
            </w:r>
          </w:p>
        </w:tc>
        <w:tc>
          <w:tcPr>
            <w:tcW w:w="5244" w:type="dxa"/>
          </w:tcPr>
          <w:p w14:paraId="45D69200"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Hay procesos que requieren conceptos previos a falta de regulación.</w:t>
            </w:r>
          </w:p>
          <w:p w14:paraId="53ABDDC5" w14:textId="77777777" w:rsidR="004962D9" w:rsidRPr="00ED5811" w:rsidRDefault="004962D9" w:rsidP="00D4226B">
            <w:pPr>
              <w:tabs>
                <w:tab w:val="left" w:pos="875"/>
              </w:tabs>
              <w:ind w:right="-50"/>
              <w:jc w:val="both"/>
              <w:rPr>
                <w:rFonts w:ascii="Arial" w:hAnsi="Arial" w:cs="Arial"/>
              </w:rPr>
            </w:pPr>
            <w:r w:rsidRPr="00ED5811">
              <w:rPr>
                <w:rFonts w:ascii="Arial" w:hAnsi="Arial" w:cs="Arial"/>
              </w:rPr>
              <w:t>El tiempo que transcurre entre la emisión del concepto y el cierre financiero es crucial para las entidades</w:t>
            </w:r>
          </w:p>
        </w:tc>
      </w:tr>
    </w:tbl>
    <w:p w14:paraId="3B21AA8A" w14:textId="77777777" w:rsidR="004962D9" w:rsidRDefault="004962D9" w:rsidP="004962D9">
      <w:pPr>
        <w:ind w:left="-284" w:right="-234"/>
        <w:jc w:val="both"/>
        <w:rPr>
          <w:rFonts w:ascii="Arial" w:eastAsia="Trebuchet MS" w:hAnsi="Arial" w:cs="Arial"/>
          <w:b/>
          <w:sz w:val="32"/>
          <w:szCs w:val="32"/>
          <w:u w:val="single"/>
          <w:lang w:eastAsia="es-CO"/>
        </w:rPr>
      </w:pPr>
    </w:p>
    <w:p w14:paraId="15984661" w14:textId="77777777" w:rsidR="004962D9" w:rsidRPr="00A931FC" w:rsidRDefault="004962D9" w:rsidP="004962D9">
      <w:pPr>
        <w:ind w:left="-284"/>
        <w:jc w:val="both"/>
        <w:rPr>
          <w:rFonts w:ascii="Arial" w:hAnsi="Arial" w:cs="Arial"/>
          <w:b/>
          <w:sz w:val="28"/>
          <w:szCs w:val="28"/>
          <w:lang w:val="es-MX"/>
        </w:rPr>
      </w:pPr>
      <w:r w:rsidRPr="00A931FC">
        <w:rPr>
          <w:rFonts w:ascii="Arial" w:hAnsi="Arial" w:cs="Arial"/>
          <w:b/>
          <w:sz w:val="28"/>
          <w:szCs w:val="28"/>
          <w:lang w:val="es-MX"/>
        </w:rPr>
        <w:t>131.- UNIVERSIDAD PEDAGOGICA Y TECNOLOGICA DE COLOMBIA - UPTC.</w:t>
      </w:r>
    </w:p>
    <w:p w14:paraId="0DD0AD57"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A931FC" w14:paraId="4A458A26" w14:textId="77777777" w:rsidTr="00D4226B">
        <w:tc>
          <w:tcPr>
            <w:tcW w:w="867" w:type="dxa"/>
          </w:tcPr>
          <w:p w14:paraId="19969BA1" w14:textId="77777777" w:rsidR="004962D9" w:rsidRPr="00A931FC" w:rsidRDefault="004962D9" w:rsidP="00D4226B">
            <w:pPr>
              <w:tabs>
                <w:tab w:val="left" w:pos="875"/>
              </w:tabs>
              <w:ind w:right="-50"/>
              <w:jc w:val="center"/>
              <w:rPr>
                <w:rFonts w:ascii="Arial" w:hAnsi="Arial" w:cs="Arial"/>
                <w:b/>
              </w:rPr>
            </w:pPr>
            <w:r w:rsidRPr="00A931FC">
              <w:rPr>
                <w:rFonts w:ascii="Arial" w:hAnsi="Arial" w:cs="Arial"/>
                <w:b/>
              </w:rPr>
              <w:t>N°</w:t>
            </w:r>
          </w:p>
        </w:tc>
        <w:tc>
          <w:tcPr>
            <w:tcW w:w="4379" w:type="dxa"/>
          </w:tcPr>
          <w:p w14:paraId="41DD2BBB" w14:textId="77777777" w:rsidR="004962D9" w:rsidRPr="00A931FC" w:rsidRDefault="004962D9" w:rsidP="00D4226B">
            <w:pPr>
              <w:tabs>
                <w:tab w:val="left" w:pos="875"/>
              </w:tabs>
              <w:ind w:right="-50"/>
              <w:jc w:val="center"/>
              <w:rPr>
                <w:rFonts w:ascii="Arial" w:hAnsi="Arial" w:cs="Arial"/>
                <w:b/>
              </w:rPr>
            </w:pPr>
            <w:r w:rsidRPr="00A931FC">
              <w:rPr>
                <w:rFonts w:ascii="Arial" w:hAnsi="Arial" w:cs="Arial"/>
                <w:b/>
              </w:rPr>
              <w:t>Limitaciones detectadas por su entidad en la aplicación del Marco Normativo - NICSP a 31/12/2024</w:t>
            </w:r>
          </w:p>
          <w:p w14:paraId="5CE38045" w14:textId="77777777" w:rsidR="004962D9" w:rsidRPr="00A931FC" w:rsidRDefault="004962D9" w:rsidP="00D4226B">
            <w:pPr>
              <w:tabs>
                <w:tab w:val="left" w:pos="875"/>
              </w:tabs>
              <w:ind w:right="-50"/>
              <w:jc w:val="center"/>
              <w:rPr>
                <w:rFonts w:ascii="Arial" w:hAnsi="Arial" w:cs="Arial"/>
                <w:b/>
              </w:rPr>
            </w:pPr>
          </w:p>
        </w:tc>
        <w:tc>
          <w:tcPr>
            <w:tcW w:w="5244" w:type="dxa"/>
          </w:tcPr>
          <w:p w14:paraId="1EBCC104" w14:textId="77777777" w:rsidR="004962D9" w:rsidRPr="00A931FC" w:rsidRDefault="004962D9" w:rsidP="00D4226B">
            <w:pPr>
              <w:tabs>
                <w:tab w:val="left" w:pos="875"/>
              </w:tabs>
              <w:ind w:right="-50"/>
              <w:jc w:val="center"/>
              <w:rPr>
                <w:rFonts w:ascii="Arial" w:hAnsi="Arial" w:cs="Arial"/>
                <w:b/>
              </w:rPr>
            </w:pPr>
            <w:r w:rsidRPr="00A931FC">
              <w:rPr>
                <w:rFonts w:ascii="Arial" w:hAnsi="Arial" w:cs="Arial"/>
                <w:b/>
              </w:rPr>
              <w:t>Descripción de la limitación</w:t>
            </w:r>
          </w:p>
        </w:tc>
      </w:tr>
      <w:tr w:rsidR="004962D9" w:rsidRPr="00A931FC" w14:paraId="57884CAB" w14:textId="77777777" w:rsidTr="00D4226B">
        <w:tc>
          <w:tcPr>
            <w:tcW w:w="867" w:type="dxa"/>
          </w:tcPr>
          <w:p w14:paraId="68D1A985" w14:textId="77777777" w:rsidR="004962D9" w:rsidRPr="00A931FC" w:rsidRDefault="004962D9" w:rsidP="00D4226B">
            <w:pPr>
              <w:tabs>
                <w:tab w:val="left" w:pos="875"/>
              </w:tabs>
              <w:ind w:right="-50"/>
              <w:jc w:val="center"/>
              <w:rPr>
                <w:rFonts w:ascii="Arial" w:hAnsi="Arial" w:cs="Arial"/>
                <w:b/>
              </w:rPr>
            </w:pPr>
            <w:r w:rsidRPr="00A931FC">
              <w:rPr>
                <w:rFonts w:ascii="Arial" w:hAnsi="Arial" w:cs="Arial"/>
                <w:b/>
              </w:rPr>
              <w:t>1</w:t>
            </w:r>
          </w:p>
        </w:tc>
        <w:tc>
          <w:tcPr>
            <w:tcW w:w="4379" w:type="dxa"/>
          </w:tcPr>
          <w:p w14:paraId="4E614BBA" w14:textId="77777777" w:rsidR="004962D9" w:rsidRPr="00A931FC" w:rsidRDefault="004962D9" w:rsidP="00D4226B">
            <w:pPr>
              <w:tabs>
                <w:tab w:val="left" w:pos="875"/>
              </w:tabs>
              <w:ind w:right="-50"/>
              <w:jc w:val="both"/>
              <w:rPr>
                <w:rFonts w:ascii="Arial" w:hAnsi="Arial" w:cs="Arial"/>
                <w:b/>
              </w:rPr>
            </w:pPr>
            <w:r w:rsidRPr="00A931FC">
              <w:rPr>
                <w:rFonts w:ascii="Arial" w:hAnsi="Arial" w:cs="Arial"/>
                <w:b/>
              </w:rPr>
              <w:t>Operativas:</w:t>
            </w:r>
          </w:p>
        </w:tc>
        <w:tc>
          <w:tcPr>
            <w:tcW w:w="5244" w:type="dxa"/>
          </w:tcPr>
          <w:p w14:paraId="05A2F471" w14:textId="77777777" w:rsidR="004962D9" w:rsidRPr="00A931FC" w:rsidRDefault="004962D9" w:rsidP="00D4226B">
            <w:pPr>
              <w:tabs>
                <w:tab w:val="left" w:pos="875"/>
              </w:tabs>
              <w:ind w:right="-50"/>
              <w:jc w:val="both"/>
              <w:rPr>
                <w:rFonts w:ascii="Arial" w:hAnsi="Arial" w:cs="Arial"/>
              </w:rPr>
            </w:pPr>
            <w:r w:rsidRPr="00A931FC">
              <w:rPr>
                <w:rFonts w:ascii="Arial" w:hAnsi="Arial" w:cs="Arial"/>
              </w:rPr>
              <w:t>Dificultad operativa en la aplicación del marco normativo para contratos y convenios</w:t>
            </w:r>
          </w:p>
        </w:tc>
      </w:tr>
    </w:tbl>
    <w:p w14:paraId="22F2301D" w14:textId="77777777" w:rsidR="004962D9" w:rsidRDefault="004962D9" w:rsidP="004962D9">
      <w:pPr>
        <w:ind w:left="-284" w:right="-234"/>
        <w:jc w:val="both"/>
        <w:rPr>
          <w:rFonts w:ascii="Arial" w:eastAsia="Trebuchet MS" w:hAnsi="Arial" w:cs="Arial"/>
          <w:b/>
          <w:sz w:val="32"/>
          <w:szCs w:val="32"/>
          <w:u w:val="single"/>
          <w:lang w:eastAsia="es-CO"/>
        </w:rPr>
      </w:pPr>
    </w:p>
    <w:p w14:paraId="402C82E8" w14:textId="77777777" w:rsidR="004962D9" w:rsidRPr="00942103" w:rsidRDefault="004962D9" w:rsidP="004962D9">
      <w:pPr>
        <w:ind w:left="-284"/>
        <w:jc w:val="both"/>
        <w:rPr>
          <w:rFonts w:ascii="Arial" w:hAnsi="Arial" w:cs="Arial"/>
          <w:b/>
          <w:sz w:val="28"/>
          <w:szCs w:val="28"/>
          <w:lang w:val="es-MX"/>
        </w:rPr>
      </w:pPr>
      <w:r w:rsidRPr="00942103">
        <w:rPr>
          <w:rFonts w:ascii="Arial" w:hAnsi="Arial" w:cs="Arial"/>
          <w:b/>
          <w:sz w:val="28"/>
          <w:szCs w:val="28"/>
          <w:lang w:val="es-MX"/>
        </w:rPr>
        <w:t>136.- LA PREVISORA S.A. – COMPAÑÍA DE SEGUROS S.A.</w:t>
      </w:r>
    </w:p>
    <w:p w14:paraId="06A6C4DE" w14:textId="77777777" w:rsidR="004962D9" w:rsidRPr="00B54567" w:rsidRDefault="004962D9" w:rsidP="004962D9">
      <w:pPr>
        <w:pStyle w:val="Textoindependiente"/>
        <w:spacing w:before="92"/>
        <w:ind w:left="257" w:right="176"/>
        <w:jc w:val="both"/>
        <w:rPr>
          <w:b/>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942103" w14:paraId="4DFD6B94" w14:textId="77777777" w:rsidTr="004C5E54">
        <w:tc>
          <w:tcPr>
            <w:tcW w:w="851" w:type="dxa"/>
          </w:tcPr>
          <w:p w14:paraId="46DB302C"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t>N°</w:t>
            </w:r>
          </w:p>
        </w:tc>
        <w:tc>
          <w:tcPr>
            <w:tcW w:w="4395" w:type="dxa"/>
          </w:tcPr>
          <w:p w14:paraId="61D3D250"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t>Limitaciones detectadas por su entidad en</w:t>
            </w:r>
          </w:p>
          <w:p w14:paraId="16382819"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t xml:space="preserve"> la aplicación del Marco Normativo - NICSP </w:t>
            </w:r>
          </w:p>
          <w:p w14:paraId="0367032E"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t>a 31/12/2024</w:t>
            </w:r>
          </w:p>
        </w:tc>
        <w:tc>
          <w:tcPr>
            <w:tcW w:w="5244" w:type="dxa"/>
          </w:tcPr>
          <w:p w14:paraId="21F1A2C0"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t>Descripción de la limitación</w:t>
            </w:r>
          </w:p>
        </w:tc>
      </w:tr>
      <w:tr w:rsidR="004962D9" w:rsidRPr="00942103" w14:paraId="1BAEC833" w14:textId="77777777" w:rsidTr="004C5E54">
        <w:tc>
          <w:tcPr>
            <w:tcW w:w="851" w:type="dxa"/>
          </w:tcPr>
          <w:p w14:paraId="0E14DFB7"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t>1</w:t>
            </w:r>
          </w:p>
        </w:tc>
        <w:tc>
          <w:tcPr>
            <w:tcW w:w="4395" w:type="dxa"/>
          </w:tcPr>
          <w:p w14:paraId="51D725E1" w14:textId="77777777" w:rsidR="004962D9" w:rsidRPr="00942103" w:rsidRDefault="004962D9" w:rsidP="00D4226B">
            <w:pPr>
              <w:tabs>
                <w:tab w:val="left" w:pos="875"/>
              </w:tabs>
              <w:ind w:right="-50"/>
              <w:jc w:val="both"/>
              <w:rPr>
                <w:rFonts w:ascii="Arial" w:hAnsi="Arial" w:cs="Arial"/>
                <w:b/>
              </w:rPr>
            </w:pPr>
            <w:r w:rsidRPr="00942103">
              <w:rPr>
                <w:rFonts w:ascii="Arial" w:hAnsi="Arial" w:cs="Arial"/>
                <w:b/>
              </w:rPr>
              <w:t>Normativas:</w:t>
            </w:r>
          </w:p>
        </w:tc>
        <w:tc>
          <w:tcPr>
            <w:tcW w:w="5244" w:type="dxa"/>
          </w:tcPr>
          <w:p w14:paraId="45D4FDA2" w14:textId="77777777" w:rsidR="004962D9" w:rsidRPr="00942103" w:rsidRDefault="004962D9" w:rsidP="00D4226B">
            <w:pPr>
              <w:tabs>
                <w:tab w:val="left" w:pos="875"/>
              </w:tabs>
              <w:ind w:right="-50"/>
              <w:jc w:val="both"/>
              <w:rPr>
                <w:rFonts w:ascii="Arial" w:hAnsi="Arial" w:cs="Arial"/>
              </w:rPr>
            </w:pPr>
            <w:r w:rsidRPr="00942103">
              <w:rPr>
                <w:rFonts w:ascii="Arial" w:hAnsi="Arial" w:cs="Arial"/>
              </w:rPr>
              <w:t xml:space="preserve">La Previsora S.A. Compañía de Seguros, da aplicación a lo establecido en la Resolución N. 037 de 2017 en el parágrafo del artículo 2 “Ámbito de aplicación”, donde se menciona: “Los recursos de las entidades que sean administrados por entidades vigiladas por la Superintendencia Financiera de Colombia, que no </w:t>
            </w:r>
            <w:r w:rsidRPr="00942103">
              <w:rPr>
                <w:rFonts w:ascii="Arial" w:hAnsi="Arial" w:cs="Arial"/>
              </w:rPr>
              <w:lastRenderedPageBreak/>
              <w:t>establezcan contractualmente la aplicación del Marco Normativo para empresas que cotizan en el mercado de valores, o que captan o administran ahorro del público, expedido con la Contaduría General de la Nación, prepararán información financiera para fines de supervisión, en los términos que para el efecto establezca la Superintendencia Financiera de Colombia.”</w:t>
            </w:r>
          </w:p>
          <w:p w14:paraId="171301FA" w14:textId="77777777" w:rsidR="004962D9" w:rsidRPr="00942103" w:rsidRDefault="004962D9" w:rsidP="00D4226B">
            <w:pPr>
              <w:tabs>
                <w:tab w:val="left" w:pos="875"/>
              </w:tabs>
              <w:ind w:right="-50"/>
              <w:jc w:val="both"/>
              <w:rPr>
                <w:rFonts w:ascii="Arial" w:hAnsi="Arial" w:cs="Arial"/>
              </w:rPr>
            </w:pPr>
          </w:p>
          <w:p w14:paraId="4F3F8A4B" w14:textId="77777777" w:rsidR="004962D9" w:rsidRPr="00942103" w:rsidRDefault="004962D9" w:rsidP="00D4226B">
            <w:pPr>
              <w:tabs>
                <w:tab w:val="left" w:pos="875"/>
              </w:tabs>
              <w:ind w:right="-50"/>
              <w:jc w:val="both"/>
              <w:rPr>
                <w:rFonts w:ascii="Arial" w:hAnsi="Arial" w:cs="Arial"/>
              </w:rPr>
            </w:pPr>
            <w:r w:rsidRPr="00942103">
              <w:rPr>
                <w:rFonts w:ascii="Arial" w:hAnsi="Arial" w:cs="Arial"/>
              </w:rPr>
              <w:t>Por lo anterior como entidad supervisada por la Superintendencia Financiera prepara los estados financieros de acuerdo con las normas de contabilidad y de información financiera aceptadas en Colombia (NCIF), aplicando las excepciones contempladas por la misma; información que para efectos de presentación a la Contaduría General de la Nación se efectúa realizando la homologación de cuentas al Catálogo General de Cuentas (CGC), tomando como base los saldos obtenidos en la aplicación de dicha normatividad.</w:t>
            </w:r>
          </w:p>
          <w:p w14:paraId="53A93B1B" w14:textId="77777777" w:rsidR="004962D9" w:rsidRPr="00942103" w:rsidRDefault="004962D9" w:rsidP="00D4226B">
            <w:pPr>
              <w:tabs>
                <w:tab w:val="left" w:pos="875"/>
              </w:tabs>
              <w:ind w:right="-50"/>
              <w:jc w:val="both"/>
              <w:rPr>
                <w:rFonts w:ascii="Arial" w:hAnsi="Arial" w:cs="Arial"/>
              </w:rPr>
            </w:pPr>
          </w:p>
          <w:p w14:paraId="1E4D6F2D" w14:textId="77777777" w:rsidR="004962D9" w:rsidRPr="00942103" w:rsidRDefault="004962D9" w:rsidP="00D4226B">
            <w:pPr>
              <w:tabs>
                <w:tab w:val="left" w:pos="875"/>
              </w:tabs>
              <w:ind w:right="-50"/>
              <w:jc w:val="both"/>
              <w:rPr>
                <w:rFonts w:ascii="Arial" w:hAnsi="Arial" w:cs="Arial"/>
              </w:rPr>
            </w:pPr>
            <w:r w:rsidRPr="00942103">
              <w:rPr>
                <w:rFonts w:ascii="Arial" w:hAnsi="Arial" w:cs="Arial"/>
              </w:rPr>
              <w:t>Se han presentado limitaciones de tipo normativo, en el reporte de operaciones recíprocas, ya que las entidades que celebran operaciones con la Compañía y que deben reportar información, deben aplicar diferentes marcos normativos, entre los que se mencionan: entidades de Gobierno que se encuentran bajo el ámbito del Régimen de Contabilidad Pública, empresas que cotizan en el mercado de valores, o que captan o administran ahorro del público (Resolución N. 037 de 2017) y las entidades que no cotizan en el mercado de valores, y que no captan ni administran ahorro del público (Resolución N. 139 de 2015), generando diferencias en el reporte por criterio contable y normatividad vigente.</w:t>
            </w:r>
          </w:p>
        </w:tc>
      </w:tr>
      <w:tr w:rsidR="004962D9" w:rsidRPr="00942103" w14:paraId="1A265D3E" w14:textId="77777777" w:rsidTr="004C5E54">
        <w:tc>
          <w:tcPr>
            <w:tcW w:w="851" w:type="dxa"/>
          </w:tcPr>
          <w:p w14:paraId="1B42FE82" w14:textId="77777777" w:rsidR="004962D9" w:rsidRPr="00942103" w:rsidRDefault="004962D9" w:rsidP="00D4226B">
            <w:pPr>
              <w:tabs>
                <w:tab w:val="left" w:pos="875"/>
              </w:tabs>
              <w:ind w:right="-50"/>
              <w:jc w:val="center"/>
              <w:rPr>
                <w:rFonts w:ascii="Arial" w:hAnsi="Arial" w:cs="Arial"/>
                <w:b/>
              </w:rPr>
            </w:pPr>
            <w:r w:rsidRPr="00942103">
              <w:rPr>
                <w:rFonts w:ascii="Arial" w:hAnsi="Arial" w:cs="Arial"/>
                <w:b/>
              </w:rPr>
              <w:lastRenderedPageBreak/>
              <w:t>2</w:t>
            </w:r>
          </w:p>
        </w:tc>
        <w:tc>
          <w:tcPr>
            <w:tcW w:w="4395" w:type="dxa"/>
          </w:tcPr>
          <w:p w14:paraId="742A7A9E" w14:textId="77777777" w:rsidR="004962D9" w:rsidRPr="00942103" w:rsidRDefault="004962D9" w:rsidP="00D4226B">
            <w:pPr>
              <w:tabs>
                <w:tab w:val="left" w:pos="875"/>
              </w:tabs>
              <w:ind w:right="-50"/>
              <w:jc w:val="both"/>
              <w:rPr>
                <w:rFonts w:ascii="Arial" w:hAnsi="Arial" w:cs="Arial"/>
                <w:b/>
              </w:rPr>
            </w:pPr>
            <w:r w:rsidRPr="00942103">
              <w:rPr>
                <w:rFonts w:ascii="Arial" w:hAnsi="Arial" w:cs="Arial"/>
                <w:b/>
              </w:rPr>
              <w:t>Operativas:</w:t>
            </w:r>
          </w:p>
        </w:tc>
        <w:tc>
          <w:tcPr>
            <w:tcW w:w="5244" w:type="dxa"/>
          </w:tcPr>
          <w:p w14:paraId="1CAF04D9" w14:textId="77777777" w:rsidR="004962D9" w:rsidRPr="00942103" w:rsidRDefault="004962D9" w:rsidP="00D4226B">
            <w:pPr>
              <w:tabs>
                <w:tab w:val="left" w:pos="875"/>
              </w:tabs>
              <w:ind w:right="-50"/>
              <w:jc w:val="both"/>
              <w:rPr>
                <w:rFonts w:ascii="Arial" w:hAnsi="Arial" w:cs="Arial"/>
              </w:rPr>
            </w:pPr>
            <w:r w:rsidRPr="00942103">
              <w:rPr>
                <w:rFonts w:ascii="Arial" w:hAnsi="Arial" w:cs="Arial"/>
              </w:rPr>
              <w:t>• Para dar aplicación a lo establecido en la Resolución N. 193 de 2020, se anexó como parte integral de las notas a los estados financieros la tabla de homologación de estructura para empresas cotizantes, para su diligenciamiento se presentaron inconvenientes ya que el diseño de las notas reportadas por la Compañía difiere con lo establecido por la Contaduría General de la Nación. Como se puede evidenciar en las notas del estado de pérdidas y ganancias, para la Contaduría solo se presenta una nota por ingresos y otra de gastos; y en la Previsora para dar aplicación a lo establecido en la Ley 1314 de 2009 y sus Decretos reglamentarios, se cuenta con dos notas para el ingreso y 15 notas detallando los gastos, lo cual puede dificultar la lectura e interpretación de la tabla de homologación de las notas mencionadas.</w:t>
            </w:r>
          </w:p>
          <w:p w14:paraId="0159BFA5" w14:textId="77777777" w:rsidR="004962D9" w:rsidRPr="00942103" w:rsidRDefault="004962D9" w:rsidP="00D4226B">
            <w:pPr>
              <w:tabs>
                <w:tab w:val="left" w:pos="875"/>
              </w:tabs>
              <w:ind w:right="-50"/>
              <w:jc w:val="both"/>
              <w:rPr>
                <w:rFonts w:ascii="Arial" w:hAnsi="Arial" w:cs="Arial"/>
              </w:rPr>
            </w:pPr>
            <w:r w:rsidRPr="00942103">
              <w:rPr>
                <w:rFonts w:ascii="Arial" w:hAnsi="Arial" w:cs="Arial"/>
              </w:rPr>
              <w:t>Adicionalmente el catálogo general de cuentas de la Contaduría (GCN) divide sus cuentas del gasto en varios grupos entre ellos de administración y operación (51) y de ventas (52), y el catálogo único de información financiera con fines de supervisión establecido por la Superintendencia Financiera estableció únicamente la cuenta (51) gastos de operación, para el registro de las erogaciones, cargos financieros, administrativos, operativos y de ventas en que incurre la entidad, presentando dificultad en la homologación de los saldos.</w:t>
            </w:r>
          </w:p>
          <w:p w14:paraId="6B19C301" w14:textId="77777777" w:rsidR="004962D9" w:rsidRPr="00942103" w:rsidRDefault="004962D9" w:rsidP="00D4226B">
            <w:pPr>
              <w:tabs>
                <w:tab w:val="left" w:pos="875"/>
              </w:tabs>
              <w:ind w:right="-50"/>
              <w:jc w:val="both"/>
              <w:rPr>
                <w:rFonts w:ascii="Arial" w:hAnsi="Arial" w:cs="Arial"/>
              </w:rPr>
            </w:pPr>
          </w:p>
          <w:p w14:paraId="565AE1B1" w14:textId="77777777" w:rsidR="004962D9" w:rsidRPr="00942103" w:rsidRDefault="004962D9" w:rsidP="00D4226B">
            <w:pPr>
              <w:tabs>
                <w:tab w:val="left" w:pos="875"/>
              </w:tabs>
              <w:ind w:right="-50"/>
              <w:jc w:val="both"/>
              <w:rPr>
                <w:rFonts w:ascii="Arial" w:hAnsi="Arial" w:cs="Arial"/>
              </w:rPr>
            </w:pPr>
            <w:r w:rsidRPr="00942103">
              <w:rPr>
                <w:rFonts w:ascii="Arial" w:hAnsi="Arial" w:cs="Arial"/>
              </w:rPr>
              <w:lastRenderedPageBreak/>
              <w:t>• Para el reporte de operaciones recíprocas se han presentado las siguientes dificultades:</w:t>
            </w:r>
          </w:p>
          <w:p w14:paraId="77913111" w14:textId="77777777" w:rsidR="004962D9" w:rsidRPr="00942103" w:rsidRDefault="004962D9" w:rsidP="00D4226B">
            <w:pPr>
              <w:tabs>
                <w:tab w:val="left" w:pos="875"/>
              </w:tabs>
              <w:ind w:right="-50"/>
              <w:jc w:val="both"/>
              <w:rPr>
                <w:rFonts w:ascii="Arial" w:hAnsi="Arial" w:cs="Arial"/>
              </w:rPr>
            </w:pPr>
          </w:p>
          <w:p w14:paraId="18145D5A" w14:textId="77777777" w:rsidR="004962D9" w:rsidRPr="00942103" w:rsidRDefault="004962D9" w:rsidP="00AE3935">
            <w:pPr>
              <w:pStyle w:val="Prrafodelista"/>
              <w:numPr>
                <w:ilvl w:val="0"/>
                <w:numId w:val="57"/>
              </w:numPr>
              <w:tabs>
                <w:tab w:val="left" w:pos="875"/>
              </w:tabs>
              <w:spacing w:before="1"/>
              <w:ind w:right="-50"/>
              <w:jc w:val="both"/>
              <w:rPr>
                <w:rFonts w:ascii="Arial" w:hAnsi="Arial" w:cs="Arial"/>
              </w:rPr>
            </w:pPr>
            <w:r w:rsidRPr="00942103">
              <w:rPr>
                <w:rFonts w:ascii="Arial" w:hAnsi="Arial" w:cs="Arial"/>
              </w:rPr>
              <w:t xml:space="preserve">      Se presentan inconsistencias originadas por los diferentes sistemas de registro contable en las entidades, aunque estas son clasificadas por la Contaduría General de la Nación “Por el momento del devengo o causación”, el volumen de transacciones generadas específicamente por la emisión de pólizas de seguros (ingresos, cartera e indemnizaciones), dificulta la conciliación con las entidades y generan saldos por conciliar.</w:t>
            </w:r>
          </w:p>
          <w:p w14:paraId="604E090E" w14:textId="77777777" w:rsidR="004962D9" w:rsidRPr="00942103" w:rsidRDefault="004962D9" w:rsidP="00D4226B">
            <w:pPr>
              <w:pStyle w:val="Prrafodelista"/>
              <w:tabs>
                <w:tab w:val="left" w:pos="875"/>
              </w:tabs>
              <w:ind w:left="1230" w:right="-50"/>
              <w:rPr>
                <w:rFonts w:ascii="Arial" w:hAnsi="Arial" w:cs="Arial"/>
              </w:rPr>
            </w:pPr>
          </w:p>
          <w:p w14:paraId="2CBE433E" w14:textId="77777777" w:rsidR="004962D9" w:rsidRPr="00942103" w:rsidRDefault="004962D9" w:rsidP="00AE3935">
            <w:pPr>
              <w:pStyle w:val="Prrafodelista"/>
              <w:numPr>
                <w:ilvl w:val="0"/>
                <w:numId w:val="57"/>
              </w:numPr>
              <w:spacing w:before="1"/>
              <w:jc w:val="both"/>
              <w:rPr>
                <w:rFonts w:ascii="Arial" w:hAnsi="Arial" w:cs="Arial"/>
              </w:rPr>
            </w:pPr>
            <w:r w:rsidRPr="00942103">
              <w:rPr>
                <w:rFonts w:ascii="Arial" w:hAnsi="Arial" w:cs="Arial"/>
              </w:rPr>
              <w:t>Diferencias en los saldos por conciliar generados en el proceso de consolidación de información contable pública, originados por: a) Por el método de medición en inversiones. b) Por inconsistencia en reporte y registros contables. C) Diferencia eliminada vía proceso de consolidación d) Por momento del devengo o causación e) Por aplicación de diferentes marcos normativos. F) Por criterio contable y normatividad vigente.</w:t>
            </w:r>
          </w:p>
        </w:tc>
      </w:tr>
    </w:tbl>
    <w:p w14:paraId="4CD3E472" w14:textId="77777777" w:rsidR="004962D9" w:rsidRPr="00B54567" w:rsidRDefault="004962D9" w:rsidP="004962D9">
      <w:pPr>
        <w:pStyle w:val="Textoindependiente"/>
        <w:spacing w:before="92"/>
        <w:ind w:left="257" w:right="176"/>
        <w:jc w:val="both"/>
        <w:rPr>
          <w:b/>
        </w:rPr>
      </w:pPr>
    </w:p>
    <w:p w14:paraId="77EFC9D8" w14:textId="77777777" w:rsidR="004962D9" w:rsidRPr="00A402E9" w:rsidRDefault="004962D9" w:rsidP="004962D9">
      <w:pPr>
        <w:ind w:left="-284"/>
        <w:jc w:val="both"/>
        <w:rPr>
          <w:rFonts w:ascii="Arial" w:hAnsi="Arial" w:cs="Arial"/>
          <w:b/>
          <w:sz w:val="28"/>
          <w:szCs w:val="28"/>
          <w:lang w:val="es-MX"/>
        </w:rPr>
      </w:pPr>
      <w:bookmarkStart w:id="36" w:name="_Hlk200120434"/>
      <w:r w:rsidRPr="00A402E9">
        <w:rPr>
          <w:rFonts w:ascii="Arial" w:hAnsi="Arial" w:cs="Arial"/>
          <w:b/>
          <w:sz w:val="28"/>
          <w:szCs w:val="28"/>
          <w:lang w:val="es-MX"/>
        </w:rPr>
        <w:t xml:space="preserve">145.- </w:t>
      </w:r>
      <w:r w:rsidRPr="00A402E9">
        <w:rPr>
          <w:rFonts w:ascii="Arial" w:hAnsi="Arial" w:cs="Arial"/>
          <w:b/>
          <w:sz w:val="28"/>
          <w:szCs w:val="28"/>
        </w:rPr>
        <w:t>ECOPETROL S.A.</w:t>
      </w:r>
    </w:p>
    <w:bookmarkEnd w:id="36"/>
    <w:p w14:paraId="451F5AE8"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F7457E" w14:paraId="3F44E6D2" w14:textId="77777777" w:rsidTr="00D4226B">
        <w:tc>
          <w:tcPr>
            <w:tcW w:w="867" w:type="dxa"/>
          </w:tcPr>
          <w:p w14:paraId="5EEF3E70"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N°</w:t>
            </w:r>
          </w:p>
        </w:tc>
        <w:tc>
          <w:tcPr>
            <w:tcW w:w="4379" w:type="dxa"/>
          </w:tcPr>
          <w:p w14:paraId="1B3B2575"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Limitaciones detectadas por su entidad en</w:t>
            </w:r>
          </w:p>
          <w:p w14:paraId="4718BA04"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 xml:space="preserve"> la aplicación del Marco Normativo - NICSP </w:t>
            </w:r>
          </w:p>
          <w:p w14:paraId="1AA5145B"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a 31/12/2024</w:t>
            </w:r>
          </w:p>
          <w:p w14:paraId="4A0AA5EC" w14:textId="77777777" w:rsidR="004962D9" w:rsidRPr="00F7457E" w:rsidRDefault="004962D9" w:rsidP="00D4226B">
            <w:pPr>
              <w:tabs>
                <w:tab w:val="left" w:pos="875"/>
              </w:tabs>
              <w:ind w:right="-50"/>
              <w:jc w:val="center"/>
              <w:rPr>
                <w:rFonts w:ascii="Arial" w:hAnsi="Arial" w:cs="Arial"/>
                <w:b/>
              </w:rPr>
            </w:pPr>
          </w:p>
        </w:tc>
        <w:tc>
          <w:tcPr>
            <w:tcW w:w="5244" w:type="dxa"/>
          </w:tcPr>
          <w:p w14:paraId="158C37C9"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Descripción de la limitación</w:t>
            </w:r>
          </w:p>
        </w:tc>
      </w:tr>
      <w:tr w:rsidR="004962D9" w:rsidRPr="00F7457E" w14:paraId="38E3095B" w14:textId="77777777" w:rsidTr="00D4226B">
        <w:tc>
          <w:tcPr>
            <w:tcW w:w="867" w:type="dxa"/>
          </w:tcPr>
          <w:p w14:paraId="5157E718"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1</w:t>
            </w:r>
          </w:p>
        </w:tc>
        <w:tc>
          <w:tcPr>
            <w:tcW w:w="4379" w:type="dxa"/>
          </w:tcPr>
          <w:p w14:paraId="344977A2" w14:textId="77777777" w:rsidR="004962D9" w:rsidRPr="00F7457E" w:rsidRDefault="004962D9" w:rsidP="00D4226B">
            <w:pPr>
              <w:tabs>
                <w:tab w:val="left" w:pos="875"/>
              </w:tabs>
              <w:ind w:right="-50"/>
              <w:jc w:val="both"/>
              <w:rPr>
                <w:rFonts w:ascii="Arial" w:hAnsi="Arial" w:cs="Arial"/>
                <w:b/>
              </w:rPr>
            </w:pPr>
            <w:r w:rsidRPr="00F7457E">
              <w:rPr>
                <w:rFonts w:ascii="Arial" w:hAnsi="Arial" w:cs="Arial"/>
                <w:b/>
              </w:rPr>
              <w:t>Normativas:</w:t>
            </w:r>
          </w:p>
        </w:tc>
        <w:tc>
          <w:tcPr>
            <w:tcW w:w="5244" w:type="dxa"/>
          </w:tcPr>
          <w:p w14:paraId="017F5B9F" w14:textId="77777777" w:rsidR="004962D9" w:rsidRPr="00F7457E" w:rsidRDefault="004962D9" w:rsidP="00D4226B">
            <w:pPr>
              <w:jc w:val="both"/>
              <w:rPr>
                <w:rFonts w:ascii="Arial" w:hAnsi="Arial" w:cs="Arial"/>
                <w:color w:val="000000"/>
              </w:rPr>
            </w:pPr>
            <w:r w:rsidRPr="00F7457E">
              <w:rPr>
                <w:rFonts w:ascii="Arial" w:hAnsi="Arial" w:cs="Arial"/>
                <w:color w:val="000000"/>
              </w:rPr>
              <w:t>La Compañía está dentro del ámbito de aplicación de la Resolución 037 de 2017, para entidades sujetas al Marco Normativo para Empresas que Cotizan en el Mercado de Valores, o que Captan o Administran Ahorro del Público.</w:t>
            </w:r>
          </w:p>
          <w:p w14:paraId="0DEA871B" w14:textId="77777777" w:rsidR="004962D9" w:rsidRPr="00F7457E" w:rsidRDefault="004962D9" w:rsidP="00D4226B">
            <w:pPr>
              <w:jc w:val="both"/>
              <w:rPr>
                <w:rFonts w:ascii="Arial" w:hAnsi="Arial" w:cs="Arial"/>
                <w:color w:val="000000"/>
              </w:rPr>
            </w:pPr>
          </w:p>
          <w:p w14:paraId="794DCDF4" w14:textId="77777777" w:rsidR="004962D9" w:rsidRPr="00F7457E" w:rsidRDefault="004962D9" w:rsidP="00D4226B">
            <w:pPr>
              <w:jc w:val="both"/>
              <w:rPr>
                <w:rFonts w:ascii="Arial" w:hAnsi="Arial" w:cs="Arial"/>
                <w:color w:val="000000"/>
                <w:sz w:val="18"/>
                <w:szCs w:val="18"/>
              </w:rPr>
            </w:pPr>
            <w:r w:rsidRPr="00F7457E">
              <w:rPr>
                <w:rFonts w:ascii="Arial" w:hAnsi="Arial" w:cs="Arial"/>
                <w:color w:val="000000"/>
              </w:rPr>
              <w:t>Como se menciona en las bases de preparación y presentación de los estados financieros separados de Ecopetrol S.A., éstos han sido preparados de acuerdo con los principios y normas de contabilidad e información financiera, aceptados en Colombia (NCIF), reglamentadas en el Decreto 2420 de 2015 y sus medicaciones. Estas normas están fundamentadas en las Normas Internacionales de Información Financiera - NIIF y sus Interpretaciones emitidas por el Consejo de Normas Internacionales de Contabilidad (IASB, por sus siglas en inglés) al segundo semestre de 2017 y otras disposiciones legales aplicables para las entidades vigiladas y/o controladas por la Contaduría General de la Nación, que pueden diferir en algunos aspectos de los estableci</w:t>
            </w:r>
            <w:r w:rsidRPr="00F7457E">
              <w:rPr>
                <w:rFonts w:ascii="Arial" w:hAnsi="Arial" w:cs="Arial"/>
                <w:color w:val="000000"/>
                <w:sz w:val="18"/>
                <w:szCs w:val="18"/>
              </w:rPr>
              <w:t>dos por otros organismos de control del Estado.</w:t>
            </w:r>
          </w:p>
        </w:tc>
      </w:tr>
      <w:tr w:rsidR="004962D9" w:rsidRPr="00F7457E" w14:paraId="6B880030" w14:textId="77777777" w:rsidTr="00D4226B">
        <w:tc>
          <w:tcPr>
            <w:tcW w:w="867" w:type="dxa"/>
          </w:tcPr>
          <w:p w14:paraId="78EAC617" w14:textId="77777777" w:rsidR="004962D9" w:rsidRPr="00F7457E" w:rsidRDefault="004962D9" w:rsidP="00D4226B">
            <w:pPr>
              <w:tabs>
                <w:tab w:val="left" w:pos="875"/>
              </w:tabs>
              <w:ind w:right="-50"/>
              <w:jc w:val="center"/>
              <w:rPr>
                <w:rFonts w:ascii="Arial" w:hAnsi="Arial" w:cs="Arial"/>
                <w:b/>
              </w:rPr>
            </w:pPr>
            <w:r w:rsidRPr="00F7457E">
              <w:rPr>
                <w:rFonts w:ascii="Arial" w:hAnsi="Arial" w:cs="Arial"/>
                <w:b/>
              </w:rPr>
              <w:t>2</w:t>
            </w:r>
          </w:p>
        </w:tc>
        <w:tc>
          <w:tcPr>
            <w:tcW w:w="4379" w:type="dxa"/>
          </w:tcPr>
          <w:p w14:paraId="61BE5EFC" w14:textId="77777777" w:rsidR="004962D9" w:rsidRPr="00F7457E" w:rsidRDefault="004962D9" w:rsidP="00D4226B">
            <w:pPr>
              <w:tabs>
                <w:tab w:val="left" w:pos="875"/>
              </w:tabs>
              <w:ind w:right="-50"/>
              <w:jc w:val="both"/>
              <w:rPr>
                <w:rFonts w:ascii="Arial" w:hAnsi="Arial" w:cs="Arial"/>
                <w:b/>
              </w:rPr>
            </w:pPr>
            <w:r w:rsidRPr="00F7457E">
              <w:rPr>
                <w:rFonts w:ascii="Arial" w:hAnsi="Arial" w:cs="Arial"/>
                <w:b/>
              </w:rPr>
              <w:t>Presupuestales:</w:t>
            </w:r>
          </w:p>
        </w:tc>
        <w:tc>
          <w:tcPr>
            <w:tcW w:w="5244" w:type="dxa"/>
          </w:tcPr>
          <w:p w14:paraId="5F4EC27C" w14:textId="77777777" w:rsidR="004962D9" w:rsidRPr="00F7457E" w:rsidRDefault="004962D9" w:rsidP="00D4226B">
            <w:pPr>
              <w:tabs>
                <w:tab w:val="left" w:pos="875"/>
              </w:tabs>
              <w:ind w:right="-50"/>
              <w:jc w:val="both"/>
              <w:rPr>
                <w:rFonts w:ascii="Arial" w:hAnsi="Arial" w:cs="Arial"/>
              </w:rPr>
            </w:pPr>
            <w:r w:rsidRPr="00F7457E">
              <w:rPr>
                <w:rFonts w:ascii="Arial" w:hAnsi="Arial" w:cs="Arial"/>
                <w:color w:val="000000"/>
              </w:rPr>
              <w:t xml:space="preserve">La Compañía, por su calidad de empresa de economía mixta, no maneja un presupuesto público, por lo cual, está a discreción de la Junta Directiva la asignación de </w:t>
            </w:r>
            <w:r w:rsidRPr="00F7457E">
              <w:rPr>
                <w:rFonts w:ascii="Arial" w:hAnsi="Arial" w:cs="Arial"/>
                <w:color w:val="000000"/>
              </w:rPr>
              <w:lastRenderedPageBreak/>
              <w:t>recursos de requerirse la implementación de alguna mejora de procesos, administrativa o tecnológica, para dar cumplimiento a la normatividad que emita la Contaduría General de la Nación.</w:t>
            </w:r>
          </w:p>
        </w:tc>
      </w:tr>
    </w:tbl>
    <w:p w14:paraId="5B7C15EA" w14:textId="77777777" w:rsidR="004962D9" w:rsidRDefault="004962D9" w:rsidP="004962D9">
      <w:pPr>
        <w:ind w:left="-284" w:right="-234"/>
        <w:jc w:val="both"/>
        <w:rPr>
          <w:rFonts w:ascii="Arial" w:eastAsia="Trebuchet MS" w:hAnsi="Arial" w:cs="Arial"/>
          <w:b/>
          <w:sz w:val="32"/>
          <w:szCs w:val="32"/>
          <w:u w:val="single"/>
          <w:lang w:eastAsia="es-CO"/>
        </w:rPr>
      </w:pPr>
    </w:p>
    <w:p w14:paraId="4261A22D" w14:textId="7D182CDC" w:rsidR="004962D9" w:rsidRDefault="004962D9" w:rsidP="004C5E54">
      <w:pPr>
        <w:ind w:left="-284" w:right="-234"/>
        <w:jc w:val="both"/>
        <w:rPr>
          <w:rFonts w:ascii="Arial" w:hAnsi="Arial" w:cs="Arial"/>
          <w:b/>
          <w:sz w:val="28"/>
          <w:szCs w:val="28"/>
          <w:lang w:val="es-MX"/>
        </w:rPr>
      </w:pPr>
      <w:r w:rsidRPr="00997EED">
        <w:rPr>
          <w:rFonts w:ascii="Arial" w:hAnsi="Arial" w:cs="Arial"/>
          <w:b/>
          <w:sz w:val="28"/>
          <w:szCs w:val="28"/>
          <w:lang w:val="es-MX"/>
        </w:rPr>
        <w:t>148.- SUPERINTENDENCIA DE SERVICIOS PÚBLICOS DOMICILIARIOS - SUPERSERVICIOS.</w:t>
      </w:r>
    </w:p>
    <w:p w14:paraId="237DDE2C" w14:textId="77777777" w:rsidR="00A03CB3" w:rsidRPr="00997EED" w:rsidRDefault="00A03CB3" w:rsidP="004C5E54">
      <w:pPr>
        <w:ind w:left="-284" w:right="-23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117E0B" w14:paraId="3CF74FA7" w14:textId="77777777" w:rsidTr="00D4226B">
        <w:tc>
          <w:tcPr>
            <w:tcW w:w="851" w:type="dxa"/>
          </w:tcPr>
          <w:p w14:paraId="6A88D2AB" w14:textId="77777777" w:rsidR="004962D9" w:rsidRPr="00117E0B" w:rsidRDefault="004962D9" w:rsidP="00D4226B">
            <w:pPr>
              <w:tabs>
                <w:tab w:val="left" w:pos="875"/>
              </w:tabs>
              <w:ind w:right="-50"/>
              <w:jc w:val="center"/>
              <w:rPr>
                <w:rFonts w:ascii="Arial" w:hAnsi="Arial" w:cs="Arial"/>
                <w:b/>
              </w:rPr>
            </w:pPr>
            <w:r w:rsidRPr="00117E0B">
              <w:rPr>
                <w:rFonts w:ascii="Arial" w:hAnsi="Arial" w:cs="Arial"/>
                <w:b/>
              </w:rPr>
              <w:t>N°</w:t>
            </w:r>
          </w:p>
        </w:tc>
        <w:tc>
          <w:tcPr>
            <w:tcW w:w="4395" w:type="dxa"/>
          </w:tcPr>
          <w:p w14:paraId="1E06DB44" w14:textId="77777777" w:rsidR="004962D9" w:rsidRPr="00117E0B" w:rsidRDefault="004962D9" w:rsidP="00D4226B">
            <w:pPr>
              <w:tabs>
                <w:tab w:val="left" w:pos="875"/>
              </w:tabs>
              <w:ind w:right="-50"/>
              <w:jc w:val="center"/>
              <w:rPr>
                <w:rFonts w:ascii="Arial" w:hAnsi="Arial" w:cs="Arial"/>
                <w:b/>
              </w:rPr>
            </w:pPr>
            <w:r w:rsidRPr="00117E0B">
              <w:rPr>
                <w:rFonts w:ascii="Arial" w:hAnsi="Arial" w:cs="Arial"/>
                <w:b/>
              </w:rPr>
              <w:t>Limitaciones detectadas por su entidad en</w:t>
            </w:r>
          </w:p>
          <w:p w14:paraId="08167DD3" w14:textId="77777777" w:rsidR="004962D9" w:rsidRPr="00117E0B" w:rsidRDefault="004962D9" w:rsidP="00D4226B">
            <w:pPr>
              <w:tabs>
                <w:tab w:val="left" w:pos="875"/>
              </w:tabs>
              <w:ind w:right="-50"/>
              <w:jc w:val="center"/>
              <w:rPr>
                <w:rFonts w:ascii="Arial" w:hAnsi="Arial" w:cs="Arial"/>
                <w:b/>
              </w:rPr>
            </w:pPr>
            <w:r w:rsidRPr="00117E0B">
              <w:rPr>
                <w:rFonts w:ascii="Arial" w:hAnsi="Arial" w:cs="Arial"/>
                <w:b/>
              </w:rPr>
              <w:t xml:space="preserve"> la aplicación del Marco Normativo - NICSP </w:t>
            </w:r>
          </w:p>
          <w:p w14:paraId="61E5AB04" w14:textId="77777777" w:rsidR="004962D9" w:rsidRPr="00117E0B" w:rsidRDefault="004962D9" w:rsidP="00D4226B">
            <w:pPr>
              <w:tabs>
                <w:tab w:val="left" w:pos="875"/>
              </w:tabs>
              <w:ind w:right="-50"/>
              <w:jc w:val="center"/>
              <w:rPr>
                <w:rFonts w:ascii="Arial" w:hAnsi="Arial" w:cs="Arial"/>
                <w:b/>
              </w:rPr>
            </w:pPr>
            <w:r w:rsidRPr="00117E0B">
              <w:rPr>
                <w:rFonts w:ascii="Arial" w:hAnsi="Arial" w:cs="Arial"/>
                <w:b/>
              </w:rPr>
              <w:t>a 31/12/2024</w:t>
            </w:r>
          </w:p>
          <w:p w14:paraId="42DEAE77" w14:textId="77777777" w:rsidR="004962D9" w:rsidRPr="00117E0B" w:rsidRDefault="004962D9" w:rsidP="00D4226B">
            <w:pPr>
              <w:tabs>
                <w:tab w:val="left" w:pos="875"/>
              </w:tabs>
              <w:ind w:right="-50"/>
              <w:jc w:val="center"/>
              <w:rPr>
                <w:rFonts w:ascii="Arial" w:hAnsi="Arial" w:cs="Arial"/>
                <w:b/>
              </w:rPr>
            </w:pPr>
          </w:p>
        </w:tc>
        <w:tc>
          <w:tcPr>
            <w:tcW w:w="5244" w:type="dxa"/>
          </w:tcPr>
          <w:p w14:paraId="73D7E84A" w14:textId="77777777" w:rsidR="004962D9" w:rsidRPr="00117E0B" w:rsidRDefault="004962D9" w:rsidP="00D4226B">
            <w:pPr>
              <w:tabs>
                <w:tab w:val="left" w:pos="875"/>
              </w:tabs>
              <w:ind w:right="-50"/>
              <w:jc w:val="center"/>
              <w:rPr>
                <w:rFonts w:ascii="Arial" w:hAnsi="Arial" w:cs="Arial"/>
                <w:b/>
              </w:rPr>
            </w:pPr>
            <w:r w:rsidRPr="00117E0B">
              <w:rPr>
                <w:rFonts w:ascii="Arial" w:hAnsi="Arial" w:cs="Arial"/>
                <w:b/>
              </w:rPr>
              <w:t>Descripción de la limitación</w:t>
            </w:r>
          </w:p>
        </w:tc>
      </w:tr>
      <w:tr w:rsidR="004962D9" w:rsidRPr="00117E0B" w14:paraId="37A81E3F" w14:textId="77777777" w:rsidTr="00D4226B">
        <w:tc>
          <w:tcPr>
            <w:tcW w:w="851" w:type="dxa"/>
          </w:tcPr>
          <w:p w14:paraId="76B77B61" w14:textId="77777777" w:rsidR="004962D9" w:rsidRPr="00117E0B" w:rsidRDefault="004962D9" w:rsidP="00D4226B">
            <w:pPr>
              <w:tabs>
                <w:tab w:val="left" w:pos="875"/>
              </w:tabs>
              <w:ind w:right="-50"/>
              <w:jc w:val="center"/>
              <w:rPr>
                <w:rFonts w:ascii="Arial" w:hAnsi="Arial" w:cs="Arial"/>
                <w:b/>
              </w:rPr>
            </w:pPr>
            <w:r w:rsidRPr="00117E0B">
              <w:rPr>
                <w:rFonts w:ascii="Arial" w:hAnsi="Arial" w:cs="Arial"/>
                <w:b/>
              </w:rPr>
              <w:t>1</w:t>
            </w:r>
          </w:p>
        </w:tc>
        <w:tc>
          <w:tcPr>
            <w:tcW w:w="4395" w:type="dxa"/>
          </w:tcPr>
          <w:p w14:paraId="78051D8A" w14:textId="77777777" w:rsidR="004962D9" w:rsidRPr="00117E0B" w:rsidRDefault="004962D9" w:rsidP="00D4226B">
            <w:pPr>
              <w:tabs>
                <w:tab w:val="left" w:pos="875"/>
              </w:tabs>
              <w:ind w:right="-50"/>
              <w:jc w:val="both"/>
              <w:rPr>
                <w:rFonts w:ascii="Arial" w:hAnsi="Arial" w:cs="Arial"/>
                <w:b/>
              </w:rPr>
            </w:pPr>
            <w:r w:rsidRPr="00117E0B">
              <w:rPr>
                <w:rFonts w:ascii="Arial" w:hAnsi="Arial" w:cs="Arial"/>
                <w:b/>
              </w:rPr>
              <w:t>Normativas:</w:t>
            </w:r>
          </w:p>
        </w:tc>
        <w:tc>
          <w:tcPr>
            <w:tcW w:w="5244" w:type="dxa"/>
          </w:tcPr>
          <w:p w14:paraId="774B2726" w14:textId="77777777" w:rsidR="004962D9" w:rsidRPr="00117E0B" w:rsidRDefault="004962D9" w:rsidP="00D4226B">
            <w:pPr>
              <w:tabs>
                <w:tab w:val="left" w:pos="875"/>
              </w:tabs>
              <w:ind w:right="-50"/>
              <w:jc w:val="both"/>
              <w:rPr>
                <w:rFonts w:ascii="Arial" w:hAnsi="Arial" w:cs="Arial"/>
              </w:rPr>
            </w:pPr>
            <w:r w:rsidRPr="00117E0B">
              <w:rPr>
                <w:rFonts w:ascii="Arial" w:hAnsi="Arial" w:cs="Arial"/>
              </w:rPr>
              <w:t>De acuerdo con los conceptos emitidos por la CGN, la Superservicios debe reconocer las Cuentas por cobrar por concepto de Contribución Adicional y multas a favor de Fondo Empresarial.</w:t>
            </w:r>
          </w:p>
          <w:p w14:paraId="1929CBED" w14:textId="77777777" w:rsidR="004962D9" w:rsidRPr="00117E0B" w:rsidRDefault="004962D9" w:rsidP="00D4226B">
            <w:pPr>
              <w:tabs>
                <w:tab w:val="left" w:pos="875"/>
              </w:tabs>
              <w:ind w:right="-50"/>
              <w:rPr>
                <w:rFonts w:ascii="Arial" w:hAnsi="Arial" w:cs="Arial"/>
              </w:rPr>
            </w:pPr>
          </w:p>
          <w:p w14:paraId="738104F5" w14:textId="77777777" w:rsidR="004962D9" w:rsidRPr="00117E0B" w:rsidRDefault="004962D9" w:rsidP="00D4226B">
            <w:pPr>
              <w:tabs>
                <w:tab w:val="left" w:pos="875"/>
              </w:tabs>
              <w:ind w:right="-50"/>
              <w:jc w:val="both"/>
              <w:rPr>
                <w:rFonts w:ascii="Arial" w:hAnsi="Arial" w:cs="Arial"/>
              </w:rPr>
            </w:pPr>
            <w:r w:rsidRPr="00117E0B">
              <w:rPr>
                <w:rFonts w:ascii="Arial" w:hAnsi="Arial" w:cs="Arial"/>
              </w:rPr>
              <w:t>Para el cierre de la vigencia 2024 la SSPD incluyó en la contabilidad de la Superservicios esta información de acuerdo a las instrucciones emitidas por la CGN.</w:t>
            </w:r>
          </w:p>
        </w:tc>
      </w:tr>
    </w:tbl>
    <w:p w14:paraId="479D1873" w14:textId="77777777" w:rsidR="004962D9" w:rsidRDefault="004962D9" w:rsidP="004962D9">
      <w:pPr>
        <w:ind w:left="-284" w:right="-234"/>
        <w:jc w:val="both"/>
        <w:rPr>
          <w:rFonts w:ascii="Arial" w:eastAsia="Trebuchet MS" w:hAnsi="Arial" w:cs="Arial"/>
          <w:b/>
          <w:sz w:val="32"/>
          <w:szCs w:val="32"/>
          <w:u w:val="single"/>
          <w:lang w:eastAsia="es-CO"/>
        </w:rPr>
      </w:pPr>
    </w:p>
    <w:p w14:paraId="70BFCB24" w14:textId="77777777" w:rsidR="004962D9" w:rsidRPr="003F464D" w:rsidRDefault="004962D9" w:rsidP="004962D9">
      <w:pPr>
        <w:ind w:left="-284"/>
        <w:jc w:val="both"/>
        <w:rPr>
          <w:rFonts w:ascii="Arial" w:hAnsi="Arial" w:cs="Arial"/>
          <w:b/>
          <w:sz w:val="28"/>
          <w:szCs w:val="28"/>
          <w:lang w:val="es-MX"/>
        </w:rPr>
      </w:pPr>
      <w:r w:rsidRPr="003F464D">
        <w:rPr>
          <w:rFonts w:ascii="Arial" w:hAnsi="Arial" w:cs="Arial"/>
          <w:b/>
          <w:sz w:val="28"/>
          <w:szCs w:val="28"/>
          <w:lang w:val="es-MX"/>
        </w:rPr>
        <w:t>154.- FONDO NACIONAL DE VIVIENDA - FONVIVIENDA.</w:t>
      </w:r>
    </w:p>
    <w:p w14:paraId="08E11C57"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DC205C" w14:paraId="69A88EF2" w14:textId="77777777" w:rsidTr="00D4226B">
        <w:tc>
          <w:tcPr>
            <w:tcW w:w="851" w:type="dxa"/>
          </w:tcPr>
          <w:p w14:paraId="3F08FD9D" w14:textId="77777777" w:rsidR="004962D9" w:rsidRPr="00DC205C" w:rsidRDefault="004962D9" w:rsidP="00D4226B">
            <w:pPr>
              <w:tabs>
                <w:tab w:val="left" w:pos="875"/>
              </w:tabs>
              <w:ind w:right="-50"/>
              <w:jc w:val="center"/>
              <w:rPr>
                <w:rFonts w:ascii="Arial" w:hAnsi="Arial" w:cs="Arial"/>
                <w:b/>
              </w:rPr>
            </w:pPr>
            <w:r w:rsidRPr="00DC205C">
              <w:rPr>
                <w:rFonts w:ascii="Arial" w:hAnsi="Arial" w:cs="Arial"/>
                <w:b/>
              </w:rPr>
              <w:t>N°</w:t>
            </w:r>
          </w:p>
        </w:tc>
        <w:tc>
          <w:tcPr>
            <w:tcW w:w="4395" w:type="dxa"/>
          </w:tcPr>
          <w:p w14:paraId="56F638DD" w14:textId="77777777" w:rsidR="004962D9" w:rsidRPr="00DC205C" w:rsidRDefault="004962D9" w:rsidP="00D4226B">
            <w:pPr>
              <w:tabs>
                <w:tab w:val="left" w:pos="875"/>
              </w:tabs>
              <w:ind w:right="-50"/>
              <w:jc w:val="center"/>
              <w:rPr>
                <w:rFonts w:ascii="Arial" w:hAnsi="Arial" w:cs="Arial"/>
                <w:b/>
              </w:rPr>
            </w:pPr>
            <w:r w:rsidRPr="00DC205C">
              <w:rPr>
                <w:rFonts w:ascii="Arial" w:hAnsi="Arial" w:cs="Arial"/>
                <w:b/>
              </w:rPr>
              <w:t>Limitaciones detectadas por su entidad en la aplicación del Marco Normativo - NICSP a 31/12/2024</w:t>
            </w:r>
          </w:p>
          <w:p w14:paraId="3EF06567" w14:textId="77777777" w:rsidR="004962D9" w:rsidRPr="00DC205C" w:rsidRDefault="004962D9" w:rsidP="00D4226B">
            <w:pPr>
              <w:tabs>
                <w:tab w:val="left" w:pos="875"/>
              </w:tabs>
              <w:ind w:right="-50"/>
              <w:jc w:val="center"/>
              <w:rPr>
                <w:rFonts w:ascii="Arial" w:hAnsi="Arial" w:cs="Arial"/>
                <w:b/>
              </w:rPr>
            </w:pPr>
          </w:p>
        </w:tc>
        <w:tc>
          <w:tcPr>
            <w:tcW w:w="5244" w:type="dxa"/>
          </w:tcPr>
          <w:p w14:paraId="276F0892" w14:textId="77777777" w:rsidR="004962D9" w:rsidRPr="00DC205C" w:rsidRDefault="004962D9" w:rsidP="00D4226B">
            <w:pPr>
              <w:tabs>
                <w:tab w:val="left" w:pos="875"/>
              </w:tabs>
              <w:ind w:right="-50"/>
              <w:jc w:val="center"/>
              <w:rPr>
                <w:rFonts w:ascii="Arial" w:hAnsi="Arial" w:cs="Arial"/>
                <w:b/>
              </w:rPr>
            </w:pPr>
            <w:r w:rsidRPr="00DC205C">
              <w:rPr>
                <w:rFonts w:ascii="Arial" w:hAnsi="Arial" w:cs="Arial"/>
                <w:b/>
              </w:rPr>
              <w:t>Descripción de la limitación</w:t>
            </w:r>
          </w:p>
        </w:tc>
      </w:tr>
      <w:tr w:rsidR="004962D9" w:rsidRPr="00DC205C" w14:paraId="6069FAE6" w14:textId="77777777" w:rsidTr="00D4226B">
        <w:tc>
          <w:tcPr>
            <w:tcW w:w="851" w:type="dxa"/>
          </w:tcPr>
          <w:p w14:paraId="0280C5D1" w14:textId="77777777" w:rsidR="004962D9" w:rsidRPr="00DC205C" w:rsidRDefault="004962D9" w:rsidP="00D4226B">
            <w:pPr>
              <w:tabs>
                <w:tab w:val="left" w:pos="875"/>
              </w:tabs>
              <w:ind w:right="-50"/>
              <w:jc w:val="center"/>
              <w:rPr>
                <w:rFonts w:ascii="Arial" w:hAnsi="Arial" w:cs="Arial"/>
                <w:b/>
              </w:rPr>
            </w:pPr>
            <w:r w:rsidRPr="00DC205C">
              <w:rPr>
                <w:rFonts w:ascii="Arial" w:hAnsi="Arial" w:cs="Arial"/>
                <w:b/>
              </w:rPr>
              <w:t>1</w:t>
            </w:r>
          </w:p>
        </w:tc>
        <w:tc>
          <w:tcPr>
            <w:tcW w:w="4395" w:type="dxa"/>
          </w:tcPr>
          <w:p w14:paraId="2131859F" w14:textId="77777777" w:rsidR="004962D9" w:rsidRPr="00DC205C" w:rsidRDefault="004962D9" w:rsidP="00D4226B">
            <w:pPr>
              <w:tabs>
                <w:tab w:val="left" w:pos="875"/>
              </w:tabs>
              <w:ind w:right="-50"/>
              <w:jc w:val="both"/>
              <w:rPr>
                <w:rFonts w:ascii="Arial" w:hAnsi="Arial" w:cs="Arial"/>
                <w:b/>
              </w:rPr>
            </w:pPr>
            <w:r w:rsidRPr="00DC205C">
              <w:rPr>
                <w:rFonts w:ascii="Arial" w:hAnsi="Arial" w:cs="Arial"/>
                <w:b/>
              </w:rPr>
              <w:t>Normativas:</w:t>
            </w:r>
          </w:p>
        </w:tc>
        <w:tc>
          <w:tcPr>
            <w:tcW w:w="5244" w:type="dxa"/>
          </w:tcPr>
          <w:p w14:paraId="03DFDC11" w14:textId="77777777" w:rsidR="004962D9" w:rsidRPr="00DC205C" w:rsidRDefault="004962D9" w:rsidP="00D4226B">
            <w:pPr>
              <w:ind w:right="44"/>
              <w:jc w:val="both"/>
              <w:rPr>
                <w:rFonts w:ascii="Arial" w:hAnsi="Arial" w:cs="Arial"/>
                <w:sz w:val="18"/>
                <w:szCs w:val="18"/>
              </w:rPr>
            </w:pPr>
            <w:r w:rsidRPr="00DC205C">
              <w:rPr>
                <w:rFonts w:ascii="Arial" w:hAnsi="Arial" w:cs="Arial"/>
                <w:sz w:val="18"/>
                <w:szCs w:val="18"/>
              </w:rPr>
              <w:t>Durante 2024 el proceso contable FONVIVIENDA realizó gestión con la Contaduría General de la Nación -CGN para validar</w:t>
            </w:r>
            <w:r w:rsidRPr="00DC205C">
              <w:rPr>
                <w:rFonts w:ascii="Arial" w:hAnsi="Arial" w:cs="Arial"/>
                <w:spacing w:val="-10"/>
                <w:sz w:val="18"/>
                <w:szCs w:val="18"/>
              </w:rPr>
              <w:t xml:space="preserve"> </w:t>
            </w:r>
            <w:r w:rsidRPr="00DC205C">
              <w:rPr>
                <w:rFonts w:ascii="Arial" w:hAnsi="Arial" w:cs="Arial"/>
                <w:sz w:val="18"/>
                <w:szCs w:val="18"/>
              </w:rPr>
              <w:t>el</w:t>
            </w:r>
            <w:r w:rsidRPr="00DC205C">
              <w:rPr>
                <w:rFonts w:ascii="Arial" w:hAnsi="Arial" w:cs="Arial"/>
                <w:spacing w:val="-11"/>
                <w:sz w:val="18"/>
                <w:szCs w:val="18"/>
              </w:rPr>
              <w:t xml:space="preserve"> </w:t>
            </w:r>
            <w:r w:rsidRPr="00DC205C">
              <w:rPr>
                <w:rFonts w:ascii="Arial" w:hAnsi="Arial" w:cs="Arial"/>
                <w:sz w:val="18"/>
                <w:szCs w:val="18"/>
              </w:rPr>
              <w:t>tratamiento</w:t>
            </w:r>
            <w:r w:rsidRPr="00DC205C">
              <w:rPr>
                <w:rFonts w:ascii="Arial" w:hAnsi="Arial" w:cs="Arial"/>
                <w:spacing w:val="-10"/>
                <w:sz w:val="18"/>
                <w:szCs w:val="18"/>
              </w:rPr>
              <w:t xml:space="preserve"> </w:t>
            </w:r>
            <w:r w:rsidRPr="00DC205C">
              <w:rPr>
                <w:rFonts w:ascii="Arial" w:hAnsi="Arial" w:cs="Arial"/>
                <w:sz w:val="18"/>
                <w:szCs w:val="18"/>
              </w:rPr>
              <w:t>contable</w:t>
            </w:r>
            <w:r w:rsidRPr="00DC205C">
              <w:rPr>
                <w:rFonts w:ascii="Arial" w:hAnsi="Arial" w:cs="Arial"/>
                <w:spacing w:val="-10"/>
                <w:sz w:val="18"/>
                <w:szCs w:val="18"/>
              </w:rPr>
              <w:t xml:space="preserve"> </w:t>
            </w:r>
            <w:r w:rsidRPr="00DC205C">
              <w:rPr>
                <w:rFonts w:ascii="Arial" w:hAnsi="Arial" w:cs="Arial"/>
                <w:sz w:val="18"/>
                <w:szCs w:val="18"/>
              </w:rPr>
              <w:t>definido</w:t>
            </w:r>
            <w:r w:rsidRPr="00DC205C">
              <w:rPr>
                <w:rFonts w:ascii="Arial" w:hAnsi="Arial" w:cs="Arial"/>
                <w:spacing w:val="-10"/>
                <w:sz w:val="18"/>
                <w:szCs w:val="18"/>
              </w:rPr>
              <w:t xml:space="preserve"> </w:t>
            </w:r>
            <w:r w:rsidRPr="00DC205C">
              <w:rPr>
                <w:rFonts w:ascii="Arial" w:hAnsi="Arial" w:cs="Arial"/>
                <w:sz w:val="18"/>
                <w:szCs w:val="18"/>
              </w:rPr>
              <w:t>en</w:t>
            </w:r>
            <w:r w:rsidRPr="00DC205C">
              <w:rPr>
                <w:rFonts w:ascii="Arial" w:hAnsi="Arial" w:cs="Arial"/>
                <w:spacing w:val="-10"/>
                <w:sz w:val="18"/>
                <w:szCs w:val="18"/>
              </w:rPr>
              <w:t xml:space="preserve"> </w:t>
            </w:r>
            <w:r w:rsidRPr="00DC205C">
              <w:rPr>
                <w:rFonts w:ascii="Arial" w:hAnsi="Arial" w:cs="Arial"/>
                <w:sz w:val="18"/>
                <w:szCs w:val="18"/>
              </w:rPr>
              <w:t>la</w:t>
            </w:r>
            <w:r w:rsidRPr="00DC205C">
              <w:rPr>
                <w:rFonts w:ascii="Arial" w:hAnsi="Arial" w:cs="Arial"/>
                <w:spacing w:val="-10"/>
                <w:sz w:val="18"/>
                <w:szCs w:val="18"/>
              </w:rPr>
              <w:t xml:space="preserve"> </w:t>
            </w:r>
            <w:r w:rsidRPr="00DC205C">
              <w:rPr>
                <w:rFonts w:ascii="Arial" w:hAnsi="Arial" w:cs="Arial"/>
                <w:sz w:val="18"/>
                <w:szCs w:val="18"/>
              </w:rPr>
              <w:t>mesa</w:t>
            </w:r>
            <w:r w:rsidRPr="00DC205C">
              <w:rPr>
                <w:rFonts w:ascii="Arial" w:hAnsi="Arial" w:cs="Arial"/>
                <w:spacing w:val="-10"/>
                <w:sz w:val="18"/>
                <w:szCs w:val="18"/>
              </w:rPr>
              <w:t xml:space="preserve"> </w:t>
            </w:r>
            <w:r w:rsidRPr="00DC205C">
              <w:rPr>
                <w:rFonts w:ascii="Arial" w:hAnsi="Arial" w:cs="Arial"/>
                <w:sz w:val="18"/>
                <w:szCs w:val="18"/>
              </w:rPr>
              <w:t>de</w:t>
            </w:r>
            <w:r w:rsidRPr="00DC205C">
              <w:rPr>
                <w:rFonts w:ascii="Arial" w:hAnsi="Arial" w:cs="Arial"/>
                <w:spacing w:val="-10"/>
                <w:sz w:val="18"/>
                <w:szCs w:val="18"/>
              </w:rPr>
              <w:t xml:space="preserve"> </w:t>
            </w:r>
            <w:r w:rsidRPr="00DC205C">
              <w:rPr>
                <w:rFonts w:ascii="Arial" w:hAnsi="Arial" w:cs="Arial"/>
                <w:sz w:val="18"/>
                <w:szCs w:val="18"/>
              </w:rPr>
              <w:t>trabajo del año 2021 para la contabilización de los patrimonios autónomos, de la cual se obtuvo:</w:t>
            </w:r>
          </w:p>
          <w:p w14:paraId="3E0A1E3D" w14:textId="77777777" w:rsidR="004962D9" w:rsidRPr="00DC205C" w:rsidRDefault="004962D9" w:rsidP="00D4226B">
            <w:pPr>
              <w:spacing w:before="3"/>
              <w:rPr>
                <w:rFonts w:ascii="Arial" w:hAnsi="Arial" w:cs="Arial"/>
                <w:b/>
                <w:i/>
                <w:sz w:val="18"/>
                <w:szCs w:val="18"/>
              </w:rPr>
            </w:pPr>
          </w:p>
          <w:p w14:paraId="2536EE7E" w14:textId="77777777" w:rsidR="004962D9" w:rsidRPr="00DC205C" w:rsidRDefault="004962D9" w:rsidP="00AE3935">
            <w:pPr>
              <w:numPr>
                <w:ilvl w:val="0"/>
                <w:numId w:val="59"/>
              </w:numPr>
              <w:tabs>
                <w:tab w:val="left" w:pos="469"/>
              </w:tabs>
              <w:spacing w:before="2" w:line="193" w:lineRule="exact"/>
              <w:ind w:right="45"/>
              <w:jc w:val="both"/>
              <w:rPr>
                <w:rFonts w:ascii="Arial" w:hAnsi="Arial" w:cs="Arial"/>
                <w:sz w:val="18"/>
                <w:szCs w:val="18"/>
              </w:rPr>
            </w:pPr>
            <w:r w:rsidRPr="00DC205C">
              <w:rPr>
                <w:rFonts w:ascii="Arial" w:hAnsi="Arial" w:cs="Arial"/>
                <w:sz w:val="18"/>
                <w:szCs w:val="18"/>
              </w:rPr>
              <w:t>La CGN emitió dos conceptos con número de radicado 20241100034651 de 28 de octubre de 2024 y radicado 20241100038471</w:t>
            </w:r>
            <w:r w:rsidRPr="00DC205C">
              <w:rPr>
                <w:rFonts w:ascii="Arial" w:hAnsi="Arial" w:cs="Arial"/>
                <w:spacing w:val="-1"/>
                <w:sz w:val="18"/>
                <w:szCs w:val="18"/>
              </w:rPr>
              <w:t xml:space="preserve"> </w:t>
            </w:r>
            <w:r w:rsidRPr="00DC205C">
              <w:rPr>
                <w:rFonts w:ascii="Arial" w:hAnsi="Arial" w:cs="Arial"/>
                <w:sz w:val="18"/>
                <w:szCs w:val="18"/>
              </w:rPr>
              <w:t>de</w:t>
            </w:r>
            <w:r w:rsidRPr="00DC205C">
              <w:rPr>
                <w:rFonts w:ascii="Arial" w:hAnsi="Arial" w:cs="Arial"/>
                <w:spacing w:val="-2"/>
                <w:sz w:val="18"/>
                <w:szCs w:val="18"/>
              </w:rPr>
              <w:t xml:space="preserve"> </w:t>
            </w:r>
            <w:r w:rsidRPr="00DC205C">
              <w:rPr>
                <w:rFonts w:ascii="Arial" w:hAnsi="Arial" w:cs="Arial"/>
                <w:sz w:val="18"/>
                <w:szCs w:val="18"/>
              </w:rPr>
              <w:t>26</w:t>
            </w:r>
            <w:r w:rsidRPr="00DC205C">
              <w:rPr>
                <w:rFonts w:ascii="Arial" w:hAnsi="Arial" w:cs="Arial"/>
                <w:spacing w:val="-1"/>
                <w:sz w:val="18"/>
                <w:szCs w:val="18"/>
              </w:rPr>
              <w:t xml:space="preserve"> </w:t>
            </w:r>
            <w:r w:rsidRPr="00DC205C">
              <w:rPr>
                <w:rFonts w:ascii="Arial" w:hAnsi="Arial" w:cs="Arial"/>
                <w:sz w:val="18"/>
                <w:szCs w:val="18"/>
              </w:rPr>
              <w:t>de</w:t>
            </w:r>
            <w:r w:rsidRPr="00DC205C">
              <w:rPr>
                <w:rFonts w:ascii="Arial" w:hAnsi="Arial" w:cs="Arial"/>
                <w:spacing w:val="-2"/>
                <w:sz w:val="18"/>
                <w:szCs w:val="18"/>
              </w:rPr>
              <w:t xml:space="preserve"> </w:t>
            </w:r>
            <w:r w:rsidRPr="00DC205C">
              <w:rPr>
                <w:rFonts w:ascii="Arial" w:hAnsi="Arial" w:cs="Arial"/>
                <w:sz w:val="18"/>
                <w:szCs w:val="18"/>
              </w:rPr>
              <w:t>noviembre</w:t>
            </w:r>
            <w:r w:rsidRPr="00DC205C">
              <w:rPr>
                <w:rFonts w:ascii="Arial" w:hAnsi="Arial" w:cs="Arial"/>
                <w:spacing w:val="-2"/>
                <w:sz w:val="18"/>
                <w:szCs w:val="18"/>
              </w:rPr>
              <w:t xml:space="preserve"> </w:t>
            </w:r>
            <w:r w:rsidRPr="00DC205C">
              <w:rPr>
                <w:rFonts w:ascii="Arial" w:hAnsi="Arial" w:cs="Arial"/>
                <w:sz w:val="18"/>
                <w:szCs w:val="18"/>
              </w:rPr>
              <w:t>de</w:t>
            </w:r>
            <w:r w:rsidRPr="00DC205C">
              <w:rPr>
                <w:rFonts w:ascii="Arial" w:hAnsi="Arial" w:cs="Arial"/>
                <w:spacing w:val="-2"/>
                <w:sz w:val="18"/>
                <w:szCs w:val="18"/>
              </w:rPr>
              <w:t xml:space="preserve"> 2024.</w:t>
            </w:r>
          </w:p>
          <w:p w14:paraId="47681391" w14:textId="77777777" w:rsidR="004962D9" w:rsidRPr="00DC205C" w:rsidRDefault="004962D9" w:rsidP="00AE3935">
            <w:pPr>
              <w:numPr>
                <w:ilvl w:val="0"/>
                <w:numId w:val="59"/>
              </w:numPr>
              <w:tabs>
                <w:tab w:val="left" w:pos="469"/>
              </w:tabs>
              <w:ind w:right="44"/>
              <w:jc w:val="both"/>
              <w:rPr>
                <w:rFonts w:ascii="Arial" w:hAnsi="Arial" w:cs="Arial"/>
                <w:sz w:val="18"/>
                <w:szCs w:val="18"/>
              </w:rPr>
            </w:pPr>
            <w:r w:rsidRPr="00DC205C">
              <w:rPr>
                <w:rFonts w:ascii="Arial" w:hAnsi="Arial" w:cs="Arial"/>
                <w:sz w:val="18"/>
                <w:szCs w:val="18"/>
              </w:rPr>
              <w:t>FONVIVIENDA solicitó mesa de trabajo con la CGN para exponer inquietudes e inconsistencias detectadas al operar</w:t>
            </w:r>
            <w:r w:rsidRPr="00DC205C">
              <w:rPr>
                <w:rFonts w:ascii="Arial" w:hAnsi="Arial" w:cs="Arial"/>
                <w:spacing w:val="-5"/>
                <w:sz w:val="18"/>
                <w:szCs w:val="18"/>
              </w:rPr>
              <w:t xml:space="preserve"> </w:t>
            </w:r>
            <w:r w:rsidRPr="00DC205C">
              <w:rPr>
                <w:rFonts w:ascii="Arial" w:hAnsi="Arial" w:cs="Arial"/>
                <w:sz w:val="18"/>
                <w:szCs w:val="18"/>
              </w:rPr>
              <w:t>estos</w:t>
            </w:r>
            <w:r w:rsidRPr="00DC205C">
              <w:rPr>
                <w:rFonts w:ascii="Arial" w:hAnsi="Arial" w:cs="Arial"/>
                <w:spacing w:val="-5"/>
                <w:sz w:val="18"/>
                <w:szCs w:val="18"/>
              </w:rPr>
              <w:t xml:space="preserve"> </w:t>
            </w:r>
            <w:r w:rsidRPr="00DC205C">
              <w:rPr>
                <w:rFonts w:ascii="Arial" w:hAnsi="Arial" w:cs="Arial"/>
                <w:sz w:val="18"/>
                <w:szCs w:val="18"/>
              </w:rPr>
              <w:t>conceptos,</w:t>
            </w:r>
            <w:r w:rsidRPr="00DC205C">
              <w:rPr>
                <w:rFonts w:ascii="Arial" w:hAnsi="Arial" w:cs="Arial"/>
                <w:spacing w:val="-5"/>
                <w:sz w:val="18"/>
                <w:szCs w:val="18"/>
              </w:rPr>
              <w:t xml:space="preserve"> </w:t>
            </w:r>
            <w:r w:rsidRPr="00DC205C">
              <w:rPr>
                <w:rFonts w:ascii="Arial" w:hAnsi="Arial" w:cs="Arial"/>
                <w:sz w:val="18"/>
                <w:szCs w:val="18"/>
              </w:rPr>
              <w:t>esta</w:t>
            </w:r>
            <w:r w:rsidRPr="00DC205C">
              <w:rPr>
                <w:rFonts w:ascii="Arial" w:hAnsi="Arial" w:cs="Arial"/>
                <w:spacing w:val="-4"/>
                <w:sz w:val="18"/>
                <w:szCs w:val="18"/>
              </w:rPr>
              <w:t xml:space="preserve"> </w:t>
            </w:r>
            <w:r w:rsidRPr="00DC205C">
              <w:rPr>
                <w:rFonts w:ascii="Arial" w:hAnsi="Arial" w:cs="Arial"/>
                <w:sz w:val="18"/>
                <w:szCs w:val="18"/>
              </w:rPr>
              <w:t>mesa</w:t>
            </w:r>
            <w:r w:rsidRPr="00DC205C">
              <w:rPr>
                <w:rFonts w:ascii="Arial" w:hAnsi="Arial" w:cs="Arial"/>
                <w:spacing w:val="-4"/>
                <w:sz w:val="18"/>
                <w:szCs w:val="18"/>
              </w:rPr>
              <w:t xml:space="preserve"> </w:t>
            </w:r>
            <w:r w:rsidRPr="00DC205C">
              <w:rPr>
                <w:rFonts w:ascii="Arial" w:hAnsi="Arial" w:cs="Arial"/>
                <w:sz w:val="18"/>
                <w:szCs w:val="18"/>
              </w:rPr>
              <w:t>de</w:t>
            </w:r>
            <w:r w:rsidRPr="00DC205C">
              <w:rPr>
                <w:rFonts w:ascii="Arial" w:hAnsi="Arial" w:cs="Arial"/>
                <w:spacing w:val="-4"/>
                <w:sz w:val="18"/>
                <w:szCs w:val="18"/>
              </w:rPr>
              <w:t xml:space="preserve"> </w:t>
            </w:r>
            <w:r w:rsidRPr="00DC205C">
              <w:rPr>
                <w:rFonts w:ascii="Arial" w:hAnsi="Arial" w:cs="Arial"/>
                <w:sz w:val="18"/>
                <w:szCs w:val="18"/>
              </w:rPr>
              <w:t>trabajo</w:t>
            </w:r>
            <w:r w:rsidRPr="00DC205C">
              <w:rPr>
                <w:rFonts w:ascii="Arial" w:hAnsi="Arial" w:cs="Arial"/>
                <w:spacing w:val="-4"/>
                <w:sz w:val="18"/>
                <w:szCs w:val="18"/>
              </w:rPr>
              <w:t xml:space="preserve"> </w:t>
            </w:r>
            <w:r w:rsidRPr="00DC205C">
              <w:rPr>
                <w:rFonts w:ascii="Arial" w:hAnsi="Arial" w:cs="Arial"/>
                <w:sz w:val="18"/>
                <w:szCs w:val="18"/>
              </w:rPr>
              <w:t>se</w:t>
            </w:r>
            <w:r w:rsidRPr="00DC205C">
              <w:rPr>
                <w:rFonts w:ascii="Arial" w:hAnsi="Arial" w:cs="Arial"/>
                <w:spacing w:val="-4"/>
                <w:sz w:val="18"/>
                <w:szCs w:val="18"/>
              </w:rPr>
              <w:t xml:space="preserve"> </w:t>
            </w:r>
            <w:r w:rsidRPr="00DC205C">
              <w:rPr>
                <w:rFonts w:ascii="Arial" w:hAnsi="Arial" w:cs="Arial"/>
                <w:sz w:val="18"/>
                <w:szCs w:val="18"/>
              </w:rPr>
              <w:t>efectúo el 28 de noviembre de 2024 y la CGN quedo con el compromiso de trabajar en las siguientes inquietudes expuestas por contabilidad FONVIVIENDA para una nueva mesa de trabajo:</w:t>
            </w:r>
          </w:p>
          <w:p w14:paraId="7EC37990" w14:textId="77777777" w:rsidR="004962D9" w:rsidRPr="00DC205C" w:rsidRDefault="004962D9" w:rsidP="00D4226B">
            <w:pPr>
              <w:spacing w:before="3"/>
              <w:rPr>
                <w:rFonts w:ascii="Arial" w:hAnsi="Arial" w:cs="Arial"/>
                <w:b/>
                <w:i/>
                <w:sz w:val="18"/>
                <w:szCs w:val="18"/>
              </w:rPr>
            </w:pPr>
          </w:p>
          <w:p w14:paraId="2C1B8BFD" w14:textId="77777777" w:rsidR="004962D9" w:rsidRPr="00DC205C" w:rsidRDefault="004962D9" w:rsidP="00AE3935">
            <w:pPr>
              <w:numPr>
                <w:ilvl w:val="0"/>
                <w:numId w:val="58"/>
              </w:numPr>
              <w:tabs>
                <w:tab w:val="left" w:pos="467"/>
                <w:tab w:val="left" w:pos="469"/>
              </w:tabs>
              <w:ind w:right="45"/>
              <w:jc w:val="both"/>
              <w:rPr>
                <w:rFonts w:ascii="Arial" w:hAnsi="Arial" w:cs="Arial"/>
                <w:sz w:val="18"/>
                <w:szCs w:val="18"/>
              </w:rPr>
            </w:pPr>
            <w:r w:rsidRPr="00DC205C">
              <w:rPr>
                <w:rFonts w:ascii="Arial" w:hAnsi="Arial" w:cs="Arial"/>
                <w:sz w:val="18"/>
                <w:szCs w:val="18"/>
              </w:rPr>
              <w:t>Los pasivos que indica la resolución 421 de 2023 que debe registrar FONVIVIENDA en sus estados financieros es</w:t>
            </w:r>
            <w:r w:rsidRPr="00DC205C">
              <w:rPr>
                <w:rFonts w:ascii="Arial" w:hAnsi="Arial" w:cs="Arial"/>
                <w:spacing w:val="-14"/>
                <w:sz w:val="18"/>
                <w:szCs w:val="18"/>
              </w:rPr>
              <w:t xml:space="preserve"> </w:t>
            </w:r>
            <w:r w:rsidRPr="00DC205C">
              <w:rPr>
                <w:rFonts w:ascii="Arial" w:hAnsi="Arial" w:cs="Arial"/>
                <w:sz w:val="18"/>
                <w:szCs w:val="18"/>
              </w:rPr>
              <w:t>al</w:t>
            </w:r>
            <w:r w:rsidRPr="00DC205C">
              <w:rPr>
                <w:rFonts w:ascii="Arial" w:hAnsi="Arial" w:cs="Arial"/>
                <w:spacing w:val="-14"/>
                <w:sz w:val="18"/>
                <w:szCs w:val="18"/>
              </w:rPr>
              <w:t xml:space="preserve"> </w:t>
            </w:r>
            <w:r w:rsidRPr="00DC205C">
              <w:rPr>
                <w:rFonts w:ascii="Arial" w:hAnsi="Arial" w:cs="Arial"/>
                <w:sz w:val="18"/>
                <w:szCs w:val="18"/>
              </w:rPr>
              <w:t>NIT</w:t>
            </w:r>
            <w:r w:rsidRPr="00DC205C">
              <w:rPr>
                <w:rFonts w:ascii="Arial" w:hAnsi="Arial" w:cs="Arial"/>
                <w:spacing w:val="-14"/>
                <w:sz w:val="18"/>
                <w:szCs w:val="18"/>
              </w:rPr>
              <w:t xml:space="preserve"> </w:t>
            </w:r>
            <w:r w:rsidRPr="00DC205C">
              <w:rPr>
                <w:rFonts w:ascii="Arial" w:hAnsi="Arial" w:cs="Arial"/>
                <w:sz w:val="18"/>
                <w:szCs w:val="18"/>
              </w:rPr>
              <w:t>de</w:t>
            </w:r>
            <w:r w:rsidRPr="00DC205C">
              <w:rPr>
                <w:rFonts w:ascii="Arial" w:hAnsi="Arial" w:cs="Arial"/>
                <w:spacing w:val="-14"/>
                <w:sz w:val="18"/>
                <w:szCs w:val="18"/>
              </w:rPr>
              <w:t xml:space="preserve"> </w:t>
            </w:r>
            <w:r w:rsidRPr="00DC205C">
              <w:rPr>
                <w:rFonts w:ascii="Arial" w:hAnsi="Arial" w:cs="Arial"/>
                <w:sz w:val="18"/>
                <w:szCs w:val="18"/>
              </w:rPr>
              <w:t>los</w:t>
            </w:r>
            <w:r w:rsidRPr="00DC205C">
              <w:rPr>
                <w:rFonts w:ascii="Arial" w:hAnsi="Arial" w:cs="Arial"/>
                <w:spacing w:val="-14"/>
                <w:sz w:val="18"/>
                <w:szCs w:val="18"/>
              </w:rPr>
              <w:t xml:space="preserve"> </w:t>
            </w:r>
            <w:r w:rsidRPr="00DC205C">
              <w:rPr>
                <w:rFonts w:ascii="Arial" w:hAnsi="Arial" w:cs="Arial"/>
                <w:sz w:val="18"/>
                <w:szCs w:val="18"/>
              </w:rPr>
              <w:t>terceros</w:t>
            </w:r>
            <w:r w:rsidRPr="00DC205C">
              <w:rPr>
                <w:rFonts w:ascii="Arial" w:hAnsi="Arial" w:cs="Arial"/>
                <w:spacing w:val="-14"/>
                <w:sz w:val="18"/>
                <w:szCs w:val="18"/>
              </w:rPr>
              <w:t xml:space="preserve"> </w:t>
            </w:r>
            <w:r w:rsidRPr="00DC205C">
              <w:rPr>
                <w:rFonts w:ascii="Arial" w:hAnsi="Arial" w:cs="Arial"/>
                <w:sz w:val="18"/>
                <w:szCs w:val="18"/>
              </w:rPr>
              <w:t>o</w:t>
            </w:r>
            <w:r w:rsidRPr="00DC205C">
              <w:rPr>
                <w:rFonts w:ascii="Arial" w:hAnsi="Arial" w:cs="Arial"/>
                <w:spacing w:val="-14"/>
                <w:sz w:val="18"/>
                <w:szCs w:val="18"/>
              </w:rPr>
              <w:t xml:space="preserve"> </w:t>
            </w:r>
            <w:r w:rsidRPr="00DC205C">
              <w:rPr>
                <w:rFonts w:ascii="Arial" w:hAnsi="Arial" w:cs="Arial"/>
                <w:sz w:val="18"/>
                <w:szCs w:val="18"/>
              </w:rPr>
              <w:t>al</w:t>
            </w:r>
            <w:r w:rsidRPr="00DC205C">
              <w:rPr>
                <w:rFonts w:ascii="Arial" w:hAnsi="Arial" w:cs="Arial"/>
                <w:spacing w:val="-14"/>
                <w:sz w:val="18"/>
                <w:szCs w:val="18"/>
              </w:rPr>
              <w:t xml:space="preserve"> </w:t>
            </w:r>
            <w:r w:rsidRPr="00DC205C">
              <w:rPr>
                <w:rFonts w:ascii="Arial" w:hAnsi="Arial" w:cs="Arial"/>
                <w:sz w:val="18"/>
                <w:szCs w:val="18"/>
              </w:rPr>
              <w:t>NIT</w:t>
            </w:r>
            <w:r w:rsidRPr="00DC205C">
              <w:rPr>
                <w:rFonts w:ascii="Arial" w:hAnsi="Arial" w:cs="Arial"/>
                <w:spacing w:val="-14"/>
                <w:sz w:val="18"/>
                <w:szCs w:val="18"/>
              </w:rPr>
              <w:t xml:space="preserve"> </w:t>
            </w:r>
            <w:r w:rsidRPr="00DC205C">
              <w:rPr>
                <w:rFonts w:ascii="Arial" w:hAnsi="Arial" w:cs="Arial"/>
                <w:sz w:val="18"/>
                <w:szCs w:val="18"/>
              </w:rPr>
              <w:t>de</w:t>
            </w:r>
            <w:r w:rsidRPr="00DC205C">
              <w:rPr>
                <w:rFonts w:ascii="Arial" w:hAnsi="Arial" w:cs="Arial"/>
                <w:spacing w:val="-14"/>
                <w:sz w:val="18"/>
                <w:szCs w:val="18"/>
              </w:rPr>
              <w:t xml:space="preserve"> </w:t>
            </w:r>
            <w:r w:rsidRPr="00DC205C">
              <w:rPr>
                <w:rFonts w:ascii="Arial" w:hAnsi="Arial" w:cs="Arial"/>
                <w:sz w:val="18"/>
                <w:szCs w:val="18"/>
              </w:rPr>
              <w:t>la</w:t>
            </w:r>
            <w:r w:rsidRPr="00DC205C">
              <w:rPr>
                <w:rFonts w:ascii="Arial" w:hAnsi="Arial" w:cs="Arial"/>
                <w:spacing w:val="-14"/>
                <w:sz w:val="18"/>
                <w:szCs w:val="18"/>
              </w:rPr>
              <w:t xml:space="preserve"> </w:t>
            </w:r>
            <w:r w:rsidRPr="00DC205C">
              <w:rPr>
                <w:rFonts w:ascii="Arial" w:hAnsi="Arial" w:cs="Arial"/>
                <w:sz w:val="18"/>
                <w:szCs w:val="18"/>
              </w:rPr>
              <w:t>fiduciaria,</w:t>
            </w:r>
            <w:r w:rsidRPr="00DC205C">
              <w:rPr>
                <w:rFonts w:ascii="Arial" w:hAnsi="Arial" w:cs="Arial"/>
                <w:spacing w:val="-14"/>
                <w:sz w:val="18"/>
                <w:szCs w:val="18"/>
              </w:rPr>
              <w:t xml:space="preserve"> </w:t>
            </w:r>
            <w:r w:rsidRPr="00DC205C">
              <w:rPr>
                <w:rFonts w:ascii="Arial" w:hAnsi="Arial" w:cs="Arial"/>
                <w:sz w:val="18"/>
                <w:szCs w:val="18"/>
              </w:rPr>
              <w:t>teniendo en cuenta que el patrimonio autónomo es quien asume las relaciones jurídicas frente a los terceros.</w:t>
            </w:r>
          </w:p>
          <w:p w14:paraId="37D63A5C" w14:textId="77777777" w:rsidR="004962D9" w:rsidRPr="00DC205C" w:rsidRDefault="004962D9" w:rsidP="00D4226B">
            <w:pPr>
              <w:tabs>
                <w:tab w:val="left" w:pos="467"/>
                <w:tab w:val="left" w:pos="469"/>
              </w:tabs>
              <w:ind w:left="469" w:right="45"/>
              <w:rPr>
                <w:rFonts w:ascii="Arial" w:hAnsi="Arial" w:cs="Arial"/>
                <w:sz w:val="18"/>
                <w:szCs w:val="18"/>
              </w:rPr>
            </w:pPr>
          </w:p>
          <w:p w14:paraId="30899FE8" w14:textId="77777777" w:rsidR="004962D9" w:rsidRPr="00DC205C" w:rsidRDefault="004962D9" w:rsidP="00AE3935">
            <w:pPr>
              <w:numPr>
                <w:ilvl w:val="0"/>
                <w:numId w:val="58"/>
              </w:numPr>
              <w:tabs>
                <w:tab w:val="left" w:pos="467"/>
                <w:tab w:val="left" w:pos="469"/>
              </w:tabs>
              <w:ind w:right="45"/>
              <w:jc w:val="both"/>
              <w:rPr>
                <w:rFonts w:ascii="Arial" w:hAnsi="Arial" w:cs="Arial"/>
                <w:sz w:val="18"/>
                <w:szCs w:val="18"/>
              </w:rPr>
            </w:pPr>
            <w:r w:rsidRPr="00DC205C">
              <w:rPr>
                <w:rFonts w:ascii="Arial" w:hAnsi="Arial" w:cs="Arial"/>
                <w:sz w:val="18"/>
                <w:szCs w:val="18"/>
              </w:rPr>
              <w:t>Inconsistencia: La resolución 421 indica que el menor valor a registrar en la cuenta 1926- Fiducia mercantil se origina</w:t>
            </w:r>
            <w:r w:rsidRPr="00DC205C">
              <w:rPr>
                <w:rFonts w:ascii="Arial" w:hAnsi="Arial" w:cs="Arial"/>
                <w:spacing w:val="66"/>
                <w:sz w:val="18"/>
                <w:szCs w:val="18"/>
              </w:rPr>
              <w:t xml:space="preserve"> </w:t>
            </w:r>
            <w:r w:rsidRPr="00DC205C">
              <w:rPr>
                <w:rFonts w:ascii="Arial" w:hAnsi="Arial" w:cs="Arial"/>
                <w:sz w:val="18"/>
                <w:szCs w:val="18"/>
              </w:rPr>
              <w:t>en</w:t>
            </w:r>
            <w:r w:rsidRPr="00DC205C">
              <w:rPr>
                <w:rFonts w:ascii="Arial" w:hAnsi="Arial" w:cs="Arial"/>
                <w:spacing w:val="66"/>
                <w:sz w:val="18"/>
                <w:szCs w:val="18"/>
              </w:rPr>
              <w:t xml:space="preserve"> </w:t>
            </w:r>
            <w:r w:rsidRPr="00DC205C">
              <w:rPr>
                <w:rFonts w:ascii="Arial" w:hAnsi="Arial" w:cs="Arial"/>
                <w:sz w:val="18"/>
                <w:szCs w:val="18"/>
              </w:rPr>
              <w:t>la</w:t>
            </w:r>
            <w:r w:rsidRPr="00DC205C">
              <w:rPr>
                <w:rFonts w:ascii="Arial" w:hAnsi="Arial" w:cs="Arial"/>
                <w:spacing w:val="66"/>
                <w:sz w:val="18"/>
                <w:szCs w:val="18"/>
              </w:rPr>
              <w:t xml:space="preserve"> </w:t>
            </w:r>
            <w:r w:rsidRPr="00DC205C">
              <w:rPr>
                <w:rFonts w:ascii="Arial" w:hAnsi="Arial" w:cs="Arial"/>
                <w:sz w:val="18"/>
                <w:szCs w:val="18"/>
              </w:rPr>
              <w:t>entrega</w:t>
            </w:r>
            <w:r w:rsidRPr="00DC205C">
              <w:rPr>
                <w:rFonts w:ascii="Arial" w:hAnsi="Arial" w:cs="Arial"/>
                <w:spacing w:val="66"/>
                <w:sz w:val="18"/>
                <w:szCs w:val="18"/>
              </w:rPr>
              <w:t xml:space="preserve"> </w:t>
            </w:r>
            <w:r w:rsidRPr="00DC205C">
              <w:rPr>
                <w:rFonts w:ascii="Arial" w:hAnsi="Arial" w:cs="Arial"/>
                <w:sz w:val="18"/>
                <w:szCs w:val="18"/>
              </w:rPr>
              <w:t>de</w:t>
            </w:r>
            <w:r w:rsidRPr="00DC205C">
              <w:rPr>
                <w:rFonts w:ascii="Arial" w:hAnsi="Arial" w:cs="Arial"/>
                <w:spacing w:val="66"/>
                <w:sz w:val="18"/>
                <w:szCs w:val="18"/>
              </w:rPr>
              <w:t xml:space="preserve"> </w:t>
            </w:r>
            <w:r w:rsidRPr="00DC205C">
              <w:rPr>
                <w:rFonts w:ascii="Arial" w:hAnsi="Arial" w:cs="Arial"/>
                <w:sz w:val="18"/>
                <w:szCs w:val="18"/>
              </w:rPr>
              <w:t>activos</w:t>
            </w:r>
            <w:r w:rsidRPr="00DC205C">
              <w:rPr>
                <w:rFonts w:ascii="Arial" w:hAnsi="Arial" w:cs="Arial"/>
                <w:spacing w:val="66"/>
                <w:sz w:val="18"/>
                <w:szCs w:val="18"/>
              </w:rPr>
              <w:t xml:space="preserve"> </w:t>
            </w:r>
            <w:r w:rsidRPr="00DC205C">
              <w:rPr>
                <w:rFonts w:ascii="Arial" w:hAnsi="Arial" w:cs="Arial"/>
                <w:sz w:val="18"/>
                <w:szCs w:val="18"/>
              </w:rPr>
              <w:t>no</w:t>
            </w:r>
            <w:r w:rsidRPr="00DC205C">
              <w:rPr>
                <w:rFonts w:ascii="Arial" w:hAnsi="Arial" w:cs="Arial"/>
                <w:spacing w:val="66"/>
                <w:sz w:val="18"/>
                <w:szCs w:val="18"/>
              </w:rPr>
              <w:t xml:space="preserve"> </w:t>
            </w:r>
            <w:r w:rsidRPr="00DC205C">
              <w:rPr>
                <w:rFonts w:ascii="Arial" w:hAnsi="Arial" w:cs="Arial"/>
                <w:sz w:val="18"/>
                <w:szCs w:val="18"/>
              </w:rPr>
              <w:t>monetarios</w:t>
            </w:r>
            <w:r w:rsidRPr="00DC205C">
              <w:rPr>
                <w:rFonts w:ascii="Arial" w:hAnsi="Arial" w:cs="Arial"/>
                <w:spacing w:val="66"/>
                <w:sz w:val="18"/>
                <w:szCs w:val="18"/>
              </w:rPr>
              <w:t xml:space="preserve"> </w:t>
            </w:r>
            <w:r w:rsidRPr="00DC205C">
              <w:rPr>
                <w:rFonts w:ascii="Arial" w:hAnsi="Arial" w:cs="Arial"/>
                <w:sz w:val="18"/>
                <w:szCs w:val="18"/>
              </w:rPr>
              <w:t>en ejecución</w:t>
            </w:r>
            <w:r w:rsidRPr="00DC205C">
              <w:rPr>
                <w:rFonts w:ascii="Arial" w:hAnsi="Arial" w:cs="Arial"/>
                <w:spacing w:val="10"/>
                <w:sz w:val="18"/>
                <w:szCs w:val="18"/>
              </w:rPr>
              <w:t xml:space="preserve"> </w:t>
            </w:r>
            <w:r w:rsidRPr="00DC205C">
              <w:rPr>
                <w:rFonts w:ascii="Arial" w:hAnsi="Arial" w:cs="Arial"/>
                <w:sz w:val="18"/>
                <w:szCs w:val="18"/>
              </w:rPr>
              <w:t>de</w:t>
            </w:r>
            <w:r w:rsidRPr="00DC205C">
              <w:rPr>
                <w:rFonts w:ascii="Arial" w:hAnsi="Arial" w:cs="Arial"/>
                <w:spacing w:val="10"/>
                <w:sz w:val="18"/>
                <w:szCs w:val="18"/>
              </w:rPr>
              <w:t xml:space="preserve"> </w:t>
            </w:r>
            <w:r w:rsidRPr="00DC205C">
              <w:rPr>
                <w:rFonts w:ascii="Arial" w:hAnsi="Arial" w:cs="Arial"/>
                <w:sz w:val="18"/>
                <w:szCs w:val="18"/>
              </w:rPr>
              <w:t>la</w:t>
            </w:r>
            <w:r w:rsidRPr="00DC205C">
              <w:rPr>
                <w:rFonts w:ascii="Arial" w:hAnsi="Arial" w:cs="Arial"/>
                <w:spacing w:val="10"/>
                <w:sz w:val="18"/>
                <w:szCs w:val="18"/>
              </w:rPr>
              <w:t xml:space="preserve"> </w:t>
            </w:r>
            <w:r w:rsidRPr="00DC205C">
              <w:rPr>
                <w:rFonts w:ascii="Arial" w:hAnsi="Arial" w:cs="Arial"/>
                <w:sz w:val="18"/>
                <w:szCs w:val="18"/>
              </w:rPr>
              <w:t>policía</w:t>
            </w:r>
            <w:r w:rsidRPr="00DC205C">
              <w:rPr>
                <w:rFonts w:ascii="Arial" w:hAnsi="Arial" w:cs="Arial"/>
                <w:spacing w:val="10"/>
                <w:sz w:val="18"/>
                <w:szCs w:val="18"/>
              </w:rPr>
              <w:t xml:space="preserve"> </w:t>
            </w:r>
            <w:r w:rsidRPr="00DC205C">
              <w:rPr>
                <w:rFonts w:ascii="Arial" w:hAnsi="Arial" w:cs="Arial"/>
                <w:sz w:val="18"/>
                <w:szCs w:val="18"/>
              </w:rPr>
              <w:t>pública</w:t>
            </w:r>
            <w:r w:rsidRPr="00DC205C">
              <w:rPr>
                <w:rFonts w:ascii="Arial" w:hAnsi="Arial" w:cs="Arial"/>
                <w:spacing w:val="10"/>
                <w:sz w:val="18"/>
                <w:szCs w:val="18"/>
              </w:rPr>
              <w:t xml:space="preserve"> </w:t>
            </w:r>
            <w:r w:rsidRPr="00DC205C">
              <w:rPr>
                <w:rFonts w:ascii="Arial" w:hAnsi="Arial" w:cs="Arial"/>
                <w:sz w:val="18"/>
                <w:szCs w:val="18"/>
              </w:rPr>
              <w:t>mientras</w:t>
            </w:r>
            <w:r w:rsidRPr="00DC205C">
              <w:rPr>
                <w:rFonts w:ascii="Arial" w:hAnsi="Arial" w:cs="Arial"/>
                <w:spacing w:val="10"/>
                <w:sz w:val="18"/>
                <w:szCs w:val="18"/>
              </w:rPr>
              <w:t xml:space="preserve"> </w:t>
            </w:r>
            <w:r w:rsidRPr="00DC205C">
              <w:rPr>
                <w:rFonts w:ascii="Arial" w:hAnsi="Arial" w:cs="Arial"/>
                <w:sz w:val="18"/>
                <w:szCs w:val="18"/>
              </w:rPr>
              <w:t>que</w:t>
            </w:r>
            <w:r w:rsidRPr="00DC205C">
              <w:rPr>
                <w:rFonts w:ascii="Arial" w:hAnsi="Arial" w:cs="Arial"/>
                <w:spacing w:val="10"/>
                <w:sz w:val="18"/>
                <w:szCs w:val="18"/>
              </w:rPr>
              <w:t xml:space="preserve"> </w:t>
            </w:r>
            <w:r w:rsidRPr="00DC205C">
              <w:rPr>
                <w:rFonts w:ascii="Arial" w:hAnsi="Arial" w:cs="Arial"/>
                <w:sz w:val="18"/>
                <w:szCs w:val="18"/>
              </w:rPr>
              <w:t>el</w:t>
            </w:r>
            <w:r w:rsidRPr="00DC205C">
              <w:rPr>
                <w:rFonts w:ascii="Arial" w:hAnsi="Arial" w:cs="Arial"/>
                <w:spacing w:val="9"/>
                <w:sz w:val="18"/>
                <w:szCs w:val="18"/>
              </w:rPr>
              <w:t xml:space="preserve"> </w:t>
            </w:r>
            <w:r w:rsidRPr="00DC205C">
              <w:rPr>
                <w:rFonts w:ascii="Arial" w:hAnsi="Arial" w:cs="Arial"/>
                <w:spacing w:val="-2"/>
                <w:sz w:val="18"/>
                <w:szCs w:val="18"/>
              </w:rPr>
              <w:t xml:space="preserve">concepto </w:t>
            </w:r>
            <w:r w:rsidRPr="00DC205C">
              <w:rPr>
                <w:rFonts w:ascii="Arial" w:hAnsi="Arial" w:cs="Arial"/>
                <w:sz w:val="18"/>
                <w:szCs w:val="18"/>
              </w:rPr>
              <w:t>contable 20241100038471 indica que el menor valor a registrar en la cuenta 1926- Fiducia mercantil se origina cuando</w:t>
            </w:r>
            <w:r w:rsidRPr="00DC205C">
              <w:rPr>
                <w:rFonts w:ascii="Arial" w:hAnsi="Arial" w:cs="Arial"/>
                <w:spacing w:val="-7"/>
                <w:sz w:val="18"/>
                <w:szCs w:val="18"/>
              </w:rPr>
              <w:t xml:space="preserve"> </w:t>
            </w:r>
            <w:r w:rsidRPr="00DC205C">
              <w:rPr>
                <w:rFonts w:ascii="Arial" w:hAnsi="Arial" w:cs="Arial"/>
                <w:sz w:val="18"/>
                <w:szCs w:val="18"/>
              </w:rPr>
              <w:t>el</w:t>
            </w:r>
            <w:r w:rsidRPr="00DC205C">
              <w:rPr>
                <w:rFonts w:ascii="Arial" w:hAnsi="Arial" w:cs="Arial"/>
                <w:spacing w:val="-8"/>
                <w:sz w:val="18"/>
                <w:szCs w:val="18"/>
              </w:rPr>
              <w:t xml:space="preserve"> </w:t>
            </w:r>
            <w:r w:rsidRPr="00DC205C">
              <w:rPr>
                <w:rFonts w:ascii="Arial" w:hAnsi="Arial" w:cs="Arial"/>
                <w:sz w:val="18"/>
                <w:szCs w:val="18"/>
              </w:rPr>
              <w:t>Fiduciario</w:t>
            </w:r>
            <w:r w:rsidRPr="00DC205C">
              <w:rPr>
                <w:rFonts w:ascii="Arial" w:hAnsi="Arial" w:cs="Arial"/>
                <w:spacing w:val="-7"/>
                <w:sz w:val="18"/>
                <w:szCs w:val="18"/>
              </w:rPr>
              <w:t xml:space="preserve"> </w:t>
            </w:r>
            <w:r w:rsidRPr="00DC205C">
              <w:rPr>
                <w:rFonts w:ascii="Arial" w:hAnsi="Arial" w:cs="Arial"/>
                <w:sz w:val="18"/>
                <w:szCs w:val="18"/>
              </w:rPr>
              <w:t>informa</w:t>
            </w:r>
            <w:r w:rsidRPr="00DC205C">
              <w:rPr>
                <w:rFonts w:ascii="Arial" w:hAnsi="Arial" w:cs="Arial"/>
                <w:spacing w:val="-8"/>
                <w:sz w:val="18"/>
                <w:szCs w:val="18"/>
              </w:rPr>
              <w:t xml:space="preserve"> </w:t>
            </w:r>
            <w:r w:rsidRPr="00DC205C">
              <w:rPr>
                <w:rFonts w:ascii="Arial" w:hAnsi="Arial" w:cs="Arial"/>
                <w:sz w:val="18"/>
                <w:szCs w:val="18"/>
              </w:rPr>
              <w:t>que</w:t>
            </w:r>
            <w:r w:rsidRPr="00DC205C">
              <w:rPr>
                <w:rFonts w:ascii="Arial" w:hAnsi="Arial" w:cs="Arial"/>
                <w:spacing w:val="-8"/>
                <w:sz w:val="18"/>
                <w:szCs w:val="18"/>
              </w:rPr>
              <w:t xml:space="preserve"> </w:t>
            </w:r>
            <w:r w:rsidRPr="00DC205C">
              <w:rPr>
                <w:rFonts w:ascii="Arial" w:hAnsi="Arial" w:cs="Arial"/>
                <w:sz w:val="18"/>
                <w:szCs w:val="18"/>
              </w:rPr>
              <w:t>se</w:t>
            </w:r>
            <w:r w:rsidRPr="00DC205C">
              <w:rPr>
                <w:rFonts w:ascii="Arial" w:hAnsi="Arial" w:cs="Arial"/>
                <w:spacing w:val="-8"/>
                <w:sz w:val="18"/>
                <w:szCs w:val="18"/>
              </w:rPr>
              <w:t xml:space="preserve"> </w:t>
            </w:r>
            <w:r w:rsidRPr="00DC205C">
              <w:rPr>
                <w:rFonts w:ascii="Arial" w:hAnsi="Arial" w:cs="Arial"/>
                <w:sz w:val="18"/>
                <w:szCs w:val="18"/>
              </w:rPr>
              <w:t>ha</w:t>
            </w:r>
            <w:r w:rsidRPr="00DC205C">
              <w:rPr>
                <w:rFonts w:ascii="Arial" w:hAnsi="Arial" w:cs="Arial"/>
                <w:spacing w:val="-8"/>
                <w:sz w:val="18"/>
                <w:szCs w:val="18"/>
              </w:rPr>
              <w:t xml:space="preserve"> </w:t>
            </w:r>
            <w:r w:rsidRPr="00DC205C">
              <w:rPr>
                <w:rFonts w:ascii="Arial" w:hAnsi="Arial" w:cs="Arial"/>
                <w:sz w:val="18"/>
                <w:szCs w:val="18"/>
              </w:rPr>
              <w:t>efectuado</w:t>
            </w:r>
            <w:r w:rsidRPr="00DC205C">
              <w:rPr>
                <w:rFonts w:ascii="Arial" w:hAnsi="Arial" w:cs="Arial"/>
                <w:spacing w:val="-7"/>
                <w:sz w:val="18"/>
                <w:szCs w:val="18"/>
              </w:rPr>
              <w:t xml:space="preserve"> </w:t>
            </w:r>
            <w:r w:rsidRPr="00DC205C">
              <w:rPr>
                <w:rFonts w:ascii="Arial" w:hAnsi="Arial" w:cs="Arial"/>
                <w:sz w:val="18"/>
                <w:szCs w:val="18"/>
              </w:rPr>
              <w:t>el</w:t>
            </w:r>
            <w:r w:rsidRPr="00DC205C">
              <w:rPr>
                <w:rFonts w:ascii="Arial" w:hAnsi="Arial" w:cs="Arial"/>
                <w:spacing w:val="-8"/>
                <w:sz w:val="18"/>
                <w:szCs w:val="18"/>
              </w:rPr>
              <w:t xml:space="preserve"> </w:t>
            </w:r>
            <w:r w:rsidRPr="00DC205C">
              <w:rPr>
                <w:rFonts w:ascii="Arial" w:hAnsi="Arial" w:cs="Arial"/>
                <w:sz w:val="18"/>
                <w:szCs w:val="18"/>
              </w:rPr>
              <w:t>pago de obligaciones.</w:t>
            </w:r>
          </w:p>
          <w:p w14:paraId="2AC861DF" w14:textId="77777777" w:rsidR="004962D9" w:rsidRPr="00DC205C" w:rsidRDefault="004962D9" w:rsidP="00D4226B">
            <w:pPr>
              <w:spacing w:before="2"/>
              <w:ind w:left="469" w:right="45"/>
              <w:jc w:val="both"/>
              <w:rPr>
                <w:rFonts w:ascii="Arial" w:hAnsi="Arial" w:cs="Arial"/>
                <w:sz w:val="18"/>
                <w:szCs w:val="18"/>
              </w:rPr>
            </w:pPr>
          </w:p>
          <w:p w14:paraId="645F72A3" w14:textId="77777777" w:rsidR="004962D9" w:rsidRPr="00DC205C" w:rsidRDefault="004962D9" w:rsidP="00D4226B">
            <w:pPr>
              <w:spacing w:before="2"/>
              <w:ind w:left="469" w:right="45"/>
              <w:jc w:val="both"/>
              <w:rPr>
                <w:rFonts w:ascii="Arial" w:hAnsi="Arial" w:cs="Arial"/>
                <w:sz w:val="18"/>
                <w:szCs w:val="18"/>
              </w:rPr>
            </w:pPr>
            <w:r w:rsidRPr="00DC205C">
              <w:rPr>
                <w:rFonts w:ascii="Arial" w:hAnsi="Arial" w:cs="Arial"/>
                <w:sz w:val="18"/>
                <w:szCs w:val="18"/>
              </w:rPr>
              <w:t>Por lo anterior, se debe dar claridad que hecho       económico origina</w:t>
            </w:r>
            <w:r w:rsidRPr="00DC205C">
              <w:rPr>
                <w:rFonts w:ascii="Arial" w:hAnsi="Arial" w:cs="Arial"/>
                <w:spacing w:val="-5"/>
                <w:sz w:val="18"/>
                <w:szCs w:val="18"/>
              </w:rPr>
              <w:t xml:space="preserve"> </w:t>
            </w:r>
            <w:r w:rsidRPr="00DC205C">
              <w:rPr>
                <w:rFonts w:ascii="Arial" w:hAnsi="Arial" w:cs="Arial"/>
                <w:sz w:val="18"/>
                <w:szCs w:val="18"/>
              </w:rPr>
              <w:t>la</w:t>
            </w:r>
            <w:r w:rsidRPr="00DC205C">
              <w:rPr>
                <w:rFonts w:ascii="Arial" w:hAnsi="Arial" w:cs="Arial"/>
                <w:spacing w:val="-5"/>
                <w:sz w:val="18"/>
                <w:szCs w:val="18"/>
              </w:rPr>
              <w:t xml:space="preserve"> </w:t>
            </w:r>
            <w:r w:rsidRPr="00DC205C">
              <w:rPr>
                <w:rFonts w:ascii="Arial" w:hAnsi="Arial" w:cs="Arial"/>
                <w:sz w:val="18"/>
                <w:szCs w:val="18"/>
              </w:rPr>
              <w:t>disminución</w:t>
            </w:r>
            <w:r w:rsidRPr="00DC205C">
              <w:rPr>
                <w:rFonts w:ascii="Arial" w:hAnsi="Arial" w:cs="Arial"/>
                <w:spacing w:val="-5"/>
                <w:sz w:val="18"/>
                <w:szCs w:val="18"/>
              </w:rPr>
              <w:t xml:space="preserve"> </w:t>
            </w:r>
            <w:r w:rsidRPr="00DC205C">
              <w:rPr>
                <w:rFonts w:ascii="Arial" w:hAnsi="Arial" w:cs="Arial"/>
                <w:sz w:val="18"/>
                <w:szCs w:val="18"/>
              </w:rPr>
              <w:t>de</w:t>
            </w:r>
            <w:r w:rsidRPr="00DC205C">
              <w:rPr>
                <w:rFonts w:ascii="Arial" w:hAnsi="Arial" w:cs="Arial"/>
                <w:spacing w:val="-5"/>
                <w:sz w:val="18"/>
                <w:szCs w:val="18"/>
              </w:rPr>
              <w:t xml:space="preserve"> </w:t>
            </w:r>
            <w:r w:rsidRPr="00DC205C">
              <w:rPr>
                <w:rFonts w:ascii="Arial" w:hAnsi="Arial" w:cs="Arial"/>
                <w:sz w:val="18"/>
                <w:szCs w:val="18"/>
              </w:rPr>
              <w:t>la</w:t>
            </w:r>
            <w:r w:rsidRPr="00DC205C">
              <w:rPr>
                <w:rFonts w:ascii="Arial" w:hAnsi="Arial" w:cs="Arial"/>
                <w:spacing w:val="-5"/>
                <w:sz w:val="18"/>
                <w:szCs w:val="18"/>
              </w:rPr>
              <w:t xml:space="preserve"> </w:t>
            </w:r>
            <w:r w:rsidRPr="00DC205C">
              <w:rPr>
                <w:rFonts w:ascii="Arial" w:hAnsi="Arial" w:cs="Arial"/>
                <w:sz w:val="18"/>
                <w:szCs w:val="18"/>
              </w:rPr>
              <w:t>cuenta</w:t>
            </w:r>
            <w:r w:rsidRPr="00DC205C">
              <w:rPr>
                <w:rFonts w:ascii="Arial" w:hAnsi="Arial" w:cs="Arial"/>
                <w:spacing w:val="-5"/>
                <w:sz w:val="18"/>
                <w:szCs w:val="18"/>
              </w:rPr>
              <w:t xml:space="preserve"> </w:t>
            </w:r>
            <w:r w:rsidRPr="00DC205C">
              <w:rPr>
                <w:rFonts w:ascii="Arial" w:hAnsi="Arial" w:cs="Arial"/>
                <w:sz w:val="18"/>
                <w:szCs w:val="18"/>
              </w:rPr>
              <w:t>1926</w:t>
            </w:r>
            <w:r w:rsidRPr="00DC205C">
              <w:rPr>
                <w:rFonts w:ascii="Arial" w:hAnsi="Arial" w:cs="Arial"/>
                <w:spacing w:val="-5"/>
                <w:sz w:val="18"/>
                <w:szCs w:val="18"/>
              </w:rPr>
              <w:t xml:space="preserve"> </w:t>
            </w:r>
            <w:r w:rsidRPr="00DC205C">
              <w:rPr>
                <w:rFonts w:ascii="Arial" w:hAnsi="Arial" w:cs="Arial"/>
                <w:sz w:val="18"/>
                <w:szCs w:val="18"/>
              </w:rPr>
              <w:t>–</w:t>
            </w:r>
            <w:r w:rsidRPr="00DC205C">
              <w:rPr>
                <w:rFonts w:ascii="Arial" w:hAnsi="Arial" w:cs="Arial"/>
                <w:spacing w:val="-5"/>
                <w:sz w:val="18"/>
                <w:szCs w:val="18"/>
              </w:rPr>
              <w:t xml:space="preserve"> </w:t>
            </w:r>
            <w:r w:rsidRPr="00DC205C">
              <w:rPr>
                <w:rFonts w:ascii="Arial" w:hAnsi="Arial" w:cs="Arial"/>
                <w:sz w:val="18"/>
                <w:szCs w:val="18"/>
              </w:rPr>
              <w:t>fiducia</w:t>
            </w:r>
            <w:r w:rsidRPr="00DC205C">
              <w:rPr>
                <w:rFonts w:ascii="Arial" w:hAnsi="Arial" w:cs="Arial"/>
                <w:spacing w:val="-5"/>
                <w:sz w:val="18"/>
                <w:szCs w:val="18"/>
              </w:rPr>
              <w:t xml:space="preserve"> </w:t>
            </w:r>
            <w:r w:rsidRPr="00DC205C">
              <w:rPr>
                <w:rFonts w:ascii="Arial" w:hAnsi="Arial" w:cs="Arial"/>
                <w:sz w:val="18"/>
                <w:szCs w:val="18"/>
              </w:rPr>
              <w:t>mercantil-, y,</w:t>
            </w:r>
            <w:r w:rsidRPr="00DC205C">
              <w:rPr>
                <w:rFonts w:ascii="Arial" w:hAnsi="Arial" w:cs="Arial"/>
                <w:spacing w:val="-9"/>
                <w:sz w:val="18"/>
                <w:szCs w:val="18"/>
              </w:rPr>
              <w:t xml:space="preserve"> </w:t>
            </w:r>
            <w:r w:rsidRPr="00DC205C">
              <w:rPr>
                <w:rFonts w:ascii="Arial" w:hAnsi="Arial" w:cs="Arial"/>
                <w:sz w:val="18"/>
                <w:szCs w:val="18"/>
              </w:rPr>
              <w:t>al</w:t>
            </w:r>
            <w:r w:rsidRPr="00DC205C">
              <w:rPr>
                <w:rFonts w:ascii="Arial" w:hAnsi="Arial" w:cs="Arial"/>
                <w:spacing w:val="-9"/>
                <w:sz w:val="18"/>
                <w:szCs w:val="18"/>
              </w:rPr>
              <w:t xml:space="preserve"> </w:t>
            </w:r>
            <w:r w:rsidRPr="00DC205C">
              <w:rPr>
                <w:rFonts w:ascii="Arial" w:hAnsi="Arial" w:cs="Arial"/>
                <w:sz w:val="18"/>
                <w:szCs w:val="18"/>
              </w:rPr>
              <w:t>mismo</w:t>
            </w:r>
            <w:r w:rsidRPr="00DC205C">
              <w:rPr>
                <w:rFonts w:ascii="Arial" w:hAnsi="Arial" w:cs="Arial"/>
                <w:spacing w:val="-8"/>
                <w:sz w:val="18"/>
                <w:szCs w:val="18"/>
              </w:rPr>
              <w:t xml:space="preserve"> </w:t>
            </w:r>
            <w:r w:rsidRPr="00DC205C">
              <w:rPr>
                <w:rFonts w:ascii="Arial" w:hAnsi="Arial" w:cs="Arial"/>
                <w:sz w:val="18"/>
                <w:szCs w:val="18"/>
              </w:rPr>
              <w:t>tiempo</w:t>
            </w:r>
            <w:r w:rsidRPr="00DC205C">
              <w:rPr>
                <w:rFonts w:ascii="Arial" w:hAnsi="Arial" w:cs="Arial"/>
                <w:spacing w:val="-8"/>
                <w:sz w:val="18"/>
                <w:szCs w:val="18"/>
              </w:rPr>
              <w:t xml:space="preserve"> </w:t>
            </w:r>
            <w:r w:rsidRPr="00DC205C">
              <w:rPr>
                <w:rFonts w:ascii="Arial" w:hAnsi="Arial" w:cs="Arial"/>
                <w:sz w:val="18"/>
                <w:szCs w:val="18"/>
              </w:rPr>
              <w:t>que</w:t>
            </w:r>
            <w:r w:rsidRPr="00DC205C">
              <w:rPr>
                <w:rFonts w:ascii="Arial" w:hAnsi="Arial" w:cs="Arial"/>
                <w:spacing w:val="-8"/>
                <w:sz w:val="18"/>
                <w:szCs w:val="18"/>
              </w:rPr>
              <w:t xml:space="preserve"> </w:t>
            </w:r>
            <w:r w:rsidRPr="00DC205C">
              <w:rPr>
                <w:rFonts w:ascii="Arial" w:hAnsi="Arial" w:cs="Arial"/>
                <w:sz w:val="18"/>
                <w:szCs w:val="18"/>
              </w:rPr>
              <w:t>este</w:t>
            </w:r>
            <w:r w:rsidRPr="00DC205C">
              <w:rPr>
                <w:rFonts w:ascii="Arial" w:hAnsi="Arial" w:cs="Arial"/>
                <w:spacing w:val="-8"/>
                <w:sz w:val="18"/>
                <w:szCs w:val="18"/>
              </w:rPr>
              <w:t xml:space="preserve"> </w:t>
            </w:r>
            <w:r w:rsidRPr="00DC205C">
              <w:rPr>
                <w:rFonts w:ascii="Arial" w:hAnsi="Arial" w:cs="Arial"/>
                <w:sz w:val="18"/>
                <w:szCs w:val="18"/>
              </w:rPr>
              <w:t>hecho</w:t>
            </w:r>
            <w:r w:rsidRPr="00DC205C">
              <w:rPr>
                <w:rFonts w:ascii="Arial" w:hAnsi="Arial" w:cs="Arial"/>
                <w:spacing w:val="-8"/>
                <w:sz w:val="18"/>
                <w:szCs w:val="18"/>
              </w:rPr>
              <w:t xml:space="preserve"> </w:t>
            </w:r>
            <w:r w:rsidRPr="00DC205C">
              <w:rPr>
                <w:rFonts w:ascii="Arial" w:hAnsi="Arial" w:cs="Arial"/>
                <w:sz w:val="18"/>
                <w:szCs w:val="18"/>
              </w:rPr>
              <w:t>económico</w:t>
            </w:r>
            <w:r w:rsidRPr="00DC205C">
              <w:rPr>
                <w:rFonts w:ascii="Arial" w:hAnsi="Arial" w:cs="Arial"/>
                <w:spacing w:val="-8"/>
                <w:sz w:val="18"/>
                <w:szCs w:val="18"/>
              </w:rPr>
              <w:t xml:space="preserve"> </w:t>
            </w:r>
            <w:r w:rsidRPr="00DC205C">
              <w:rPr>
                <w:rFonts w:ascii="Arial" w:hAnsi="Arial" w:cs="Arial"/>
                <w:sz w:val="18"/>
                <w:szCs w:val="18"/>
              </w:rPr>
              <w:t>no</w:t>
            </w:r>
            <w:r w:rsidRPr="00DC205C">
              <w:rPr>
                <w:rFonts w:ascii="Arial" w:hAnsi="Arial" w:cs="Arial"/>
                <w:spacing w:val="-8"/>
                <w:sz w:val="18"/>
                <w:szCs w:val="18"/>
              </w:rPr>
              <w:t xml:space="preserve"> </w:t>
            </w:r>
            <w:r w:rsidRPr="00DC205C">
              <w:rPr>
                <w:rFonts w:ascii="Arial" w:hAnsi="Arial" w:cs="Arial"/>
                <w:sz w:val="18"/>
                <w:szCs w:val="18"/>
              </w:rPr>
              <w:t>incumpla</w:t>
            </w:r>
            <w:r w:rsidRPr="00DC205C">
              <w:rPr>
                <w:rFonts w:ascii="Arial" w:hAnsi="Arial" w:cs="Arial"/>
                <w:spacing w:val="-8"/>
                <w:sz w:val="18"/>
                <w:szCs w:val="18"/>
              </w:rPr>
              <w:t xml:space="preserve"> </w:t>
            </w:r>
            <w:r w:rsidRPr="00DC205C">
              <w:rPr>
                <w:rFonts w:ascii="Arial" w:hAnsi="Arial" w:cs="Arial"/>
                <w:sz w:val="18"/>
                <w:szCs w:val="18"/>
              </w:rPr>
              <w:t xml:space="preserve">el marco conceptual referente al principio de devengo, ya que, este marco conceptual constituye la base para el desarrollo normativo, instrumental y doctrinal del regulador, y, por ende, tiene un valor normativo superior a la regulación que de él se deriva, como la resolución 421 y el concepto </w:t>
            </w:r>
            <w:r w:rsidRPr="00DC205C">
              <w:rPr>
                <w:rFonts w:ascii="Arial" w:hAnsi="Arial" w:cs="Arial"/>
                <w:spacing w:val="-2"/>
                <w:sz w:val="18"/>
                <w:szCs w:val="18"/>
              </w:rPr>
              <w:t>20241100038471.</w:t>
            </w:r>
          </w:p>
          <w:p w14:paraId="3CBDD41F" w14:textId="77777777" w:rsidR="004962D9" w:rsidRPr="00DC205C" w:rsidRDefault="004962D9" w:rsidP="00D4226B">
            <w:pPr>
              <w:spacing w:before="2"/>
              <w:ind w:left="469" w:right="45"/>
              <w:jc w:val="both"/>
              <w:rPr>
                <w:rFonts w:ascii="Arial" w:hAnsi="Arial" w:cs="Arial"/>
                <w:sz w:val="18"/>
                <w:szCs w:val="18"/>
              </w:rPr>
            </w:pPr>
          </w:p>
          <w:p w14:paraId="597F7B3B" w14:textId="77777777" w:rsidR="004962D9" w:rsidRPr="00DC205C" w:rsidRDefault="004962D9" w:rsidP="00AE3935">
            <w:pPr>
              <w:pStyle w:val="Prrafodelista"/>
              <w:numPr>
                <w:ilvl w:val="0"/>
                <w:numId w:val="58"/>
              </w:numPr>
              <w:spacing w:before="2"/>
              <w:ind w:right="45"/>
              <w:jc w:val="both"/>
              <w:rPr>
                <w:rFonts w:ascii="Arial" w:hAnsi="Arial" w:cs="Arial"/>
                <w:sz w:val="18"/>
                <w:szCs w:val="18"/>
              </w:rPr>
            </w:pPr>
            <w:r w:rsidRPr="00DC205C">
              <w:rPr>
                <w:rFonts w:ascii="Arial" w:hAnsi="Arial" w:cs="Arial"/>
                <w:sz w:val="18"/>
                <w:szCs w:val="18"/>
              </w:rPr>
              <w:t xml:space="preserve">Hay dos tratamientos contables enunciados en el numeral 1.2 Fiducia Mercantil: 1. Cuando la Entidad ejerza control sobre los recursos del patrimonio autónomo y 2. Cuando el patrimonio autónomo que se constituye es para dar cumplimiento a una disposición </w:t>
            </w:r>
            <w:r w:rsidRPr="00DC205C">
              <w:rPr>
                <w:rFonts w:ascii="Arial" w:hAnsi="Arial" w:cs="Arial"/>
                <w:spacing w:val="-2"/>
                <w:sz w:val="18"/>
                <w:szCs w:val="18"/>
              </w:rPr>
              <w:t>legal.</w:t>
            </w:r>
          </w:p>
          <w:p w14:paraId="0AA77BB3" w14:textId="77777777" w:rsidR="004962D9" w:rsidRPr="00DC205C" w:rsidRDefault="004962D9" w:rsidP="00D4226B">
            <w:pPr>
              <w:tabs>
                <w:tab w:val="left" w:pos="469"/>
                <w:tab w:val="left" w:pos="523"/>
              </w:tabs>
              <w:spacing w:before="2"/>
              <w:ind w:left="469" w:right="44"/>
              <w:jc w:val="both"/>
              <w:rPr>
                <w:rFonts w:ascii="Arial" w:hAnsi="Arial" w:cs="Arial"/>
                <w:sz w:val="18"/>
                <w:szCs w:val="18"/>
              </w:rPr>
            </w:pPr>
          </w:p>
          <w:p w14:paraId="56413FC4" w14:textId="77777777" w:rsidR="004962D9" w:rsidRPr="00DC205C" w:rsidRDefault="004962D9" w:rsidP="00D4226B">
            <w:pPr>
              <w:ind w:left="469" w:right="45"/>
              <w:jc w:val="both"/>
              <w:rPr>
                <w:rFonts w:ascii="Arial" w:hAnsi="Arial" w:cs="Arial"/>
                <w:spacing w:val="-2"/>
                <w:sz w:val="18"/>
                <w:szCs w:val="18"/>
              </w:rPr>
            </w:pPr>
            <w:r w:rsidRPr="00DC205C">
              <w:rPr>
                <w:rFonts w:ascii="Arial" w:hAnsi="Arial" w:cs="Arial"/>
                <w:sz w:val="18"/>
                <w:szCs w:val="18"/>
              </w:rPr>
              <w:t>En estos dos casos no se observa la diferencia del tratamiento contable ya que en ambos casos se deben reconocer</w:t>
            </w:r>
            <w:r w:rsidRPr="00DC205C">
              <w:rPr>
                <w:rFonts w:ascii="Arial" w:hAnsi="Arial" w:cs="Arial"/>
                <w:spacing w:val="-8"/>
                <w:sz w:val="18"/>
                <w:szCs w:val="18"/>
              </w:rPr>
              <w:t xml:space="preserve"> </w:t>
            </w:r>
            <w:r w:rsidRPr="00DC205C">
              <w:rPr>
                <w:rFonts w:ascii="Arial" w:hAnsi="Arial" w:cs="Arial"/>
                <w:sz w:val="18"/>
                <w:szCs w:val="18"/>
              </w:rPr>
              <w:t>los</w:t>
            </w:r>
            <w:r w:rsidRPr="00DC205C">
              <w:rPr>
                <w:rFonts w:ascii="Arial" w:hAnsi="Arial" w:cs="Arial"/>
                <w:spacing w:val="-7"/>
                <w:sz w:val="18"/>
                <w:szCs w:val="18"/>
              </w:rPr>
              <w:t xml:space="preserve"> </w:t>
            </w:r>
            <w:r w:rsidRPr="00DC205C">
              <w:rPr>
                <w:rFonts w:ascii="Arial" w:hAnsi="Arial" w:cs="Arial"/>
                <w:sz w:val="18"/>
                <w:szCs w:val="18"/>
              </w:rPr>
              <w:t>pasivos,</w:t>
            </w:r>
            <w:r w:rsidRPr="00DC205C">
              <w:rPr>
                <w:rFonts w:ascii="Arial" w:hAnsi="Arial" w:cs="Arial"/>
                <w:spacing w:val="-7"/>
                <w:sz w:val="18"/>
                <w:szCs w:val="18"/>
              </w:rPr>
              <w:t xml:space="preserve"> </w:t>
            </w:r>
            <w:r w:rsidRPr="00DC205C">
              <w:rPr>
                <w:rFonts w:ascii="Arial" w:hAnsi="Arial" w:cs="Arial"/>
                <w:sz w:val="18"/>
                <w:szCs w:val="18"/>
              </w:rPr>
              <w:t>activos,</w:t>
            </w:r>
            <w:r w:rsidRPr="00DC205C">
              <w:rPr>
                <w:rFonts w:ascii="Arial" w:hAnsi="Arial" w:cs="Arial"/>
                <w:spacing w:val="-7"/>
                <w:sz w:val="18"/>
                <w:szCs w:val="18"/>
              </w:rPr>
              <w:t xml:space="preserve"> </w:t>
            </w:r>
            <w:r w:rsidRPr="00DC205C">
              <w:rPr>
                <w:rFonts w:ascii="Arial" w:hAnsi="Arial" w:cs="Arial"/>
                <w:sz w:val="18"/>
                <w:szCs w:val="18"/>
              </w:rPr>
              <w:t>ingresos,</w:t>
            </w:r>
            <w:r w:rsidRPr="00DC205C">
              <w:rPr>
                <w:rFonts w:ascii="Arial" w:hAnsi="Arial" w:cs="Arial"/>
                <w:spacing w:val="-7"/>
                <w:sz w:val="18"/>
                <w:szCs w:val="18"/>
              </w:rPr>
              <w:t xml:space="preserve"> </w:t>
            </w:r>
            <w:r w:rsidRPr="00DC205C">
              <w:rPr>
                <w:rFonts w:ascii="Arial" w:hAnsi="Arial" w:cs="Arial"/>
                <w:sz w:val="18"/>
                <w:szCs w:val="18"/>
              </w:rPr>
              <w:t>costos</w:t>
            </w:r>
            <w:r w:rsidRPr="00DC205C">
              <w:rPr>
                <w:rFonts w:ascii="Arial" w:hAnsi="Arial" w:cs="Arial"/>
                <w:spacing w:val="-7"/>
                <w:sz w:val="18"/>
                <w:szCs w:val="18"/>
              </w:rPr>
              <w:t xml:space="preserve"> </w:t>
            </w:r>
            <w:r w:rsidRPr="00DC205C">
              <w:rPr>
                <w:rFonts w:ascii="Arial" w:hAnsi="Arial" w:cs="Arial"/>
                <w:sz w:val="18"/>
                <w:szCs w:val="18"/>
              </w:rPr>
              <w:t>y</w:t>
            </w:r>
            <w:r w:rsidRPr="00DC205C">
              <w:rPr>
                <w:rFonts w:ascii="Arial" w:hAnsi="Arial" w:cs="Arial"/>
                <w:spacing w:val="-6"/>
                <w:sz w:val="18"/>
                <w:szCs w:val="18"/>
              </w:rPr>
              <w:t xml:space="preserve"> </w:t>
            </w:r>
            <w:r w:rsidRPr="00DC205C">
              <w:rPr>
                <w:rFonts w:ascii="Arial" w:hAnsi="Arial" w:cs="Arial"/>
                <w:spacing w:val="-2"/>
                <w:sz w:val="18"/>
                <w:szCs w:val="18"/>
              </w:rPr>
              <w:t>gastos.</w:t>
            </w:r>
          </w:p>
          <w:p w14:paraId="203835D2" w14:textId="77777777" w:rsidR="004962D9" w:rsidRPr="00DC205C" w:rsidRDefault="004962D9" w:rsidP="00D4226B">
            <w:pPr>
              <w:ind w:left="469" w:right="45"/>
              <w:jc w:val="both"/>
              <w:rPr>
                <w:rFonts w:ascii="Arial" w:hAnsi="Arial" w:cs="Arial"/>
                <w:sz w:val="18"/>
                <w:szCs w:val="18"/>
              </w:rPr>
            </w:pPr>
          </w:p>
          <w:p w14:paraId="2775772F" w14:textId="77777777" w:rsidR="004962D9" w:rsidRPr="00DC205C" w:rsidRDefault="004962D9" w:rsidP="00AE3935">
            <w:pPr>
              <w:numPr>
                <w:ilvl w:val="0"/>
                <w:numId w:val="58"/>
              </w:numPr>
              <w:tabs>
                <w:tab w:val="left" w:pos="467"/>
                <w:tab w:val="left" w:pos="469"/>
              </w:tabs>
              <w:ind w:right="-50"/>
              <w:jc w:val="both"/>
              <w:rPr>
                <w:rFonts w:ascii="Arial" w:hAnsi="Arial" w:cs="Arial"/>
                <w:sz w:val="18"/>
                <w:szCs w:val="18"/>
              </w:rPr>
            </w:pPr>
            <w:r w:rsidRPr="00DC205C">
              <w:rPr>
                <w:rFonts w:ascii="Arial" w:hAnsi="Arial" w:cs="Arial"/>
                <w:sz w:val="18"/>
                <w:szCs w:val="18"/>
              </w:rPr>
              <w:t>Dar</w:t>
            </w:r>
            <w:r w:rsidRPr="00DC205C">
              <w:rPr>
                <w:rFonts w:ascii="Arial" w:hAnsi="Arial" w:cs="Arial"/>
                <w:spacing w:val="-10"/>
                <w:sz w:val="18"/>
                <w:szCs w:val="18"/>
              </w:rPr>
              <w:t xml:space="preserve"> </w:t>
            </w:r>
            <w:r w:rsidRPr="00DC205C">
              <w:rPr>
                <w:rFonts w:ascii="Arial" w:hAnsi="Arial" w:cs="Arial"/>
                <w:sz w:val="18"/>
                <w:szCs w:val="18"/>
              </w:rPr>
              <w:t>claridad</w:t>
            </w:r>
            <w:r w:rsidRPr="00DC205C">
              <w:rPr>
                <w:rFonts w:ascii="Arial" w:hAnsi="Arial" w:cs="Arial"/>
                <w:spacing w:val="-9"/>
                <w:sz w:val="18"/>
                <w:szCs w:val="18"/>
              </w:rPr>
              <w:t xml:space="preserve"> </w:t>
            </w:r>
            <w:r w:rsidRPr="00DC205C">
              <w:rPr>
                <w:rFonts w:ascii="Arial" w:hAnsi="Arial" w:cs="Arial"/>
                <w:sz w:val="18"/>
                <w:szCs w:val="18"/>
              </w:rPr>
              <w:t>de</w:t>
            </w:r>
            <w:r w:rsidRPr="00DC205C">
              <w:rPr>
                <w:rFonts w:ascii="Arial" w:hAnsi="Arial" w:cs="Arial"/>
                <w:spacing w:val="-9"/>
                <w:sz w:val="18"/>
                <w:szCs w:val="18"/>
              </w:rPr>
              <w:t xml:space="preserve"> </w:t>
            </w:r>
            <w:r w:rsidRPr="00DC205C">
              <w:rPr>
                <w:rFonts w:ascii="Arial" w:hAnsi="Arial" w:cs="Arial"/>
                <w:sz w:val="18"/>
                <w:szCs w:val="18"/>
              </w:rPr>
              <w:t>la</w:t>
            </w:r>
            <w:r w:rsidRPr="00DC205C">
              <w:rPr>
                <w:rFonts w:ascii="Arial" w:hAnsi="Arial" w:cs="Arial"/>
                <w:spacing w:val="-9"/>
                <w:sz w:val="18"/>
                <w:szCs w:val="18"/>
              </w:rPr>
              <w:t xml:space="preserve"> </w:t>
            </w:r>
            <w:r w:rsidRPr="00DC205C">
              <w:rPr>
                <w:rFonts w:ascii="Arial" w:hAnsi="Arial" w:cs="Arial"/>
                <w:sz w:val="18"/>
                <w:szCs w:val="18"/>
              </w:rPr>
              <w:t>diferencia</w:t>
            </w:r>
            <w:r w:rsidRPr="00DC205C">
              <w:rPr>
                <w:rFonts w:ascii="Arial" w:hAnsi="Arial" w:cs="Arial"/>
                <w:spacing w:val="-9"/>
                <w:sz w:val="18"/>
                <w:szCs w:val="18"/>
              </w:rPr>
              <w:t xml:space="preserve"> </w:t>
            </w:r>
            <w:r w:rsidRPr="00DC205C">
              <w:rPr>
                <w:rFonts w:ascii="Arial" w:hAnsi="Arial" w:cs="Arial"/>
                <w:sz w:val="18"/>
                <w:szCs w:val="18"/>
              </w:rPr>
              <w:t>contable</w:t>
            </w:r>
            <w:r w:rsidRPr="00DC205C">
              <w:rPr>
                <w:rFonts w:ascii="Arial" w:hAnsi="Arial" w:cs="Arial"/>
                <w:spacing w:val="-9"/>
                <w:sz w:val="18"/>
                <w:szCs w:val="18"/>
              </w:rPr>
              <w:t xml:space="preserve"> </w:t>
            </w:r>
            <w:r w:rsidRPr="00DC205C">
              <w:rPr>
                <w:rFonts w:ascii="Arial" w:hAnsi="Arial" w:cs="Arial"/>
                <w:sz w:val="18"/>
                <w:szCs w:val="18"/>
              </w:rPr>
              <w:t>que</w:t>
            </w:r>
            <w:r w:rsidRPr="00DC205C">
              <w:rPr>
                <w:rFonts w:ascii="Arial" w:hAnsi="Arial" w:cs="Arial"/>
                <w:spacing w:val="-9"/>
                <w:sz w:val="18"/>
                <w:szCs w:val="18"/>
              </w:rPr>
              <w:t xml:space="preserve"> </w:t>
            </w:r>
            <w:r w:rsidRPr="00DC205C">
              <w:rPr>
                <w:rFonts w:ascii="Arial" w:hAnsi="Arial" w:cs="Arial"/>
                <w:sz w:val="18"/>
                <w:szCs w:val="18"/>
              </w:rPr>
              <w:t>existe</w:t>
            </w:r>
            <w:r w:rsidRPr="00DC205C">
              <w:rPr>
                <w:rFonts w:ascii="Arial" w:hAnsi="Arial" w:cs="Arial"/>
                <w:spacing w:val="-9"/>
                <w:sz w:val="18"/>
                <w:szCs w:val="18"/>
              </w:rPr>
              <w:t xml:space="preserve"> </w:t>
            </w:r>
            <w:r w:rsidRPr="00DC205C">
              <w:rPr>
                <w:rFonts w:ascii="Arial" w:hAnsi="Arial" w:cs="Arial"/>
                <w:sz w:val="18"/>
                <w:szCs w:val="18"/>
              </w:rPr>
              <w:t>entre</w:t>
            </w:r>
            <w:r w:rsidRPr="00DC205C">
              <w:rPr>
                <w:rFonts w:ascii="Arial" w:hAnsi="Arial" w:cs="Arial"/>
                <w:spacing w:val="-9"/>
                <w:sz w:val="18"/>
                <w:szCs w:val="18"/>
              </w:rPr>
              <w:t xml:space="preserve"> </w:t>
            </w:r>
            <w:r w:rsidRPr="00DC205C">
              <w:rPr>
                <w:rFonts w:ascii="Arial" w:hAnsi="Arial" w:cs="Arial"/>
                <w:sz w:val="18"/>
                <w:szCs w:val="18"/>
              </w:rPr>
              <w:t>un encargo fiduciario y un patrimonio autónomo.</w:t>
            </w:r>
          </w:p>
        </w:tc>
      </w:tr>
    </w:tbl>
    <w:p w14:paraId="5CCB2591" w14:textId="77777777" w:rsidR="004962D9" w:rsidRDefault="004962D9" w:rsidP="004962D9">
      <w:pPr>
        <w:ind w:left="-284" w:right="-234"/>
        <w:jc w:val="both"/>
        <w:rPr>
          <w:rFonts w:ascii="Arial" w:eastAsia="Trebuchet MS" w:hAnsi="Arial" w:cs="Arial"/>
          <w:b/>
          <w:sz w:val="32"/>
          <w:szCs w:val="32"/>
          <w:u w:val="single"/>
          <w:lang w:eastAsia="es-CO"/>
        </w:rPr>
      </w:pPr>
    </w:p>
    <w:p w14:paraId="786D079C" w14:textId="77777777" w:rsidR="004962D9" w:rsidRPr="00E31313" w:rsidRDefault="004962D9" w:rsidP="004962D9">
      <w:pPr>
        <w:ind w:left="-284"/>
        <w:jc w:val="both"/>
        <w:rPr>
          <w:rFonts w:ascii="Arial" w:hAnsi="Arial" w:cs="Arial"/>
          <w:b/>
          <w:sz w:val="28"/>
          <w:szCs w:val="28"/>
          <w:lang w:val="es-MX"/>
        </w:rPr>
      </w:pPr>
      <w:r w:rsidRPr="00E31313">
        <w:rPr>
          <w:rFonts w:ascii="Arial" w:hAnsi="Arial" w:cs="Arial"/>
          <w:b/>
          <w:sz w:val="28"/>
          <w:szCs w:val="28"/>
          <w:lang w:val="es-MX"/>
        </w:rPr>
        <w:t>158.- CORPORACIÓN AUTÓNOMA REGIONAL DE NARIÑO – CORPONARIÑO.</w:t>
      </w:r>
    </w:p>
    <w:p w14:paraId="09C9E702"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54" w:type="dxa"/>
        <w:jc w:val="center"/>
        <w:tblLook w:val="04A0" w:firstRow="1" w:lastRow="0" w:firstColumn="1" w:lastColumn="0" w:noHBand="0" w:noVBand="1"/>
      </w:tblPr>
      <w:tblGrid>
        <w:gridCol w:w="846"/>
        <w:gridCol w:w="4394"/>
        <w:gridCol w:w="5214"/>
      </w:tblGrid>
      <w:tr w:rsidR="004962D9" w:rsidRPr="00E31313" w14:paraId="7A5F36C8" w14:textId="77777777" w:rsidTr="00D4226B">
        <w:trPr>
          <w:trHeight w:val="790"/>
          <w:jc w:val="center"/>
        </w:trPr>
        <w:tc>
          <w:tcPr>
            <w:tcW w:w="846" w:type="dxa"/>
            <w:vAlign w:val="center"/>
          </w:tcPr>
          <w:p w14:paraId="21AFEA9B" w14:textId="77777777" w:rsidR="004962D9" w:rsidRPr="00E31313" w:rsidRDefault="004962D9" w:rsidP="00D4226B">
            <w:pPr>
              <w:tabs>
                <w:tab w:val="left" w:pos="875"/>
              </w:tabs>
              <w:ind w:right="-50"/>
              <w:jc w:val="center"/>
              <w:rPr>
                <w:rFonts w:ascii="Arial" w:hAnsi="Arial" w:cs="Arial"/>
                <w:b/>
              </w:rPr>
            </w:pPr>
            <w:r w:rsidRPr="00E31313">
              <w:rPr>
                <w:rFonts w:ascii="Arial" w:hAnsi="Arial" w:cs="Arial"/>
                <w:b/>
              </w:rPr>
              <w:t>N°</w:t>
            </w:r>
          </w:p>
        </w:tc>
        <w:tc>
          <w:tcPr>
            <w:tcW w:w="4394" w:type="dxa"/>
          </w:tcPr>
          <w:p w14:paraId="74C7FC98" w14:textId="77777777" w:rsidR="004962D9" w:rsidRPr="00E31313" w:rsidRDefault="004962D9" w:rsidP="00D4226B">
            <w:pPr>
              <w:tabs>
                <w:tab w:val="left" w:pos="875"/>
              </w:tabs>
              <w:ind w:right="-50"/>
              <w:jc w:val="center"/>
              <w:rPr>
                <w:rFonts w:ascii="Arial" w:hAnsi="Arial" w:cs="Arial"/>
                <w:b/>
              </w:rPr>
            </w:pPr>
            <w:r w:rsidRPr="00E31313">
              <w:rPr>
                <w:rFonts w:ascii="Arial" w:hAnsi="Arial" w:cs="Arial"/>
                <w:b/>
              </w:rPr>
              <w:t xml:space="preserve">Limitaciones detectadas por su entidad en la aplicación del Marco Normativo - NICSP </w:t>
            </w:r>
          </w:p>
          <w:p w14:paraId="37324D94" w14:textId="77777777" w:rsidR="004962D9" w:rsidRPr="00E31313" w:rsidRDefault="004962D9" w:rsidP="00D4226B">
            <w:pPr>
              <w:tabs>
                <w:tab w:val="left" w:pos="875"/>
              </w:tabs>
              <w:ind w:right="-50"/>
              <w:jc w:val="center"/>
              <w:rPr>
                <w:rFonts w:ascii="Arial" w:hAnsi="Arial" w:cs="Arial"/>
                <w:b/>
              </w:rPr>
            </w:pPr>
            <w:r w:rsidRPr="00E31313">
              <w:rPr>
                <w:rFonts w:ascii="Arial" w:hAnsi="Arial" w:cs="Arial"/>
                <w:b/>
              </w:rPr>
              <w:t>a 31/12/2024</w:t>
            </w:r>
          </w:p>
          <w:p w14:paraId="1FD6F212" w14:textId="77777777" w:rsidR="004962D9" w:rsidRPr="00E31313" w:rsidRDefault="004962D9" w:rsidP="00D4226B">
            <w:pPr>
              <w:tabs>
                <w:tab w:val="left" w:pos="875"/>
              </w:tabs>
              <w:ind w:right="-50"/>
              <w:jc w:val="center"/>
              <w:rPr>
                <w:rFonts w:ascii="Arial" w:hAnsi="Arial" w:cs="Arial"/>
                <w:b/>
              </w:rPr>
            </w:pPr>
          </w:p>
        </w:tc>
        <w:tc>
          <w:tcPr>
            <w:tcW w:w="5214" w:type="dxa"/>
            <w:vAlign w:val="center"/>
          </w:tcPr>
          <w:p w14:paraId="14116513" w14:textId="77777777" w:rsidR="004962D9" w:rsidRPr="00E31313" w:rsidRDefault="004962D9" w:rsidP="00D4226B">
            <w:pPr>
              <w:tabs>
                <w:tab w:val="left" w:pos="875"/>
              </w:tabs>
              <w:ind w:right="-50"/>
              <w:jc w:val="center"/>
              <w:rPr>
                <w:rFonts w:ascii="Arial" w:hAnsi="Arial" w:cs="Arial"/>
                <w:b/>
              </w:rPr>
            </w:pPr>
            <w:r w:rsidRPr="00E31313">
              <w:rPr>
                <w:rFonts w:ascii="Arial" w:hAnsi="Arial" w:cs="Arial"/>
                <w:b/>
              </w:rPr>
              <w:t>Descripción de la limitación</w:t>
            </w:r>
          </w:p>
        </w:tc>
      </w:tr>
      <w:tr w:rsidR="004962D9" w:rsidRPr="00E31313" w14:paraId="63AA3D33" w14:textId="77777777" w:rsidTr="00D4226B">
        <w:trPr>
          <w:trHeight w:val="322"/>
          <w:jc w:val="center"/>
        </w:trPr>
        <w:tc>
          <w:tcPr>
            <w:tcW w:w="846" w:type="dxa"/>
          </w:tcPr>
          <w:p w14:paraId="31C58F4B" w14:textId="77777777" w:rsidR="004962D9" w:rsidRPr="00E31313" w:rsidRDefault="004962D9" w:rsidP="00D4226B">
            <w:pPr>
              <w:tabs>
                <w:tab w:val="left" w:pos="875"/>
              </w:tabs>
              <w:ind w:right="-50"/>
              <w:jc w:val="center"/>
              <w:rPr>
                <w:rFonts w:ascii="Arial" w:hAnsi="Arial" w:cs="Arial"/>
                <w:bCs/>
              </w:rPr>
            </w:pPr>
            <w:r w:rsidRPr="00E31313">
              <w:rPr>
                <w:rFonts w:ascii="Arial" w:hAnsi="Arial" w:cs="Arial"/>
                <w:bCs/>
              </w:rPr>
              <w:t>1</w:t>
            </w:r>
          </w:p>
        </w:tc>
        <w:tc>
          <w:tcPr>
            <w:tcW w:w="4394" w:type="dxa"/>
          </w:tcPr>
          <w:p w14:paraId="0316F4CF" w14:textId="77777777" w:rsidR="004962D9" w:rsidRPr="00E31313" w:rsidRDefault="004962D9" w:rsidP="00D4226B">
            <w:pPr>
              <w:tabs>
                <w:tab w:val="left" w:pos="875"/>
              </w:tabs>
              <w:ind w:right="-50"/>
              <w:jc w:val="both"/>
              <w:rPr>
                <w:rFonts w:ascii="Arial" w:hAnsi="Arial" w:cs="Arial"/>
                <w:bCs/>
              </w:rPr>
            </w:pPr>
            <w:r w:rsidRPr="00E31313">
              <w:rPr>
                <w:rFonts w:ascii="Arial" w:hAnsi="Arial" w:cs="Arial"/>
                <w:bCs/>
              </w:rPr>
              <w:t>Normativas:</w:t>
            </w:r>
          </w:p>
        </w:tc>
        <w:tc>
          <w:tcPr>
            <w:tcW w:w="5214" w:type="dxa"/>
          </w:tcPr>
          <w:p w14:paraId="22BA6465" w14:textId="77777777" w:rsidR="004962D9" w:rsidRPr="00E31313" w:rsidRDefault="004962D9" w:rsidP="00D4226B">
            <w:pPr>
              <w:tabs>
                <w:tab w:val="left" w:pos="875"/>
              </w:tabs>
              <w:ind w:right="-50"/>
              <w:jc w:val="both"/>
              <w:rPr>
                <w:rFonts w:ascii="Arial" w:hAnsi="Arial" w:cs="Arial"/>
              </w:rPr>
            </w:pPr>
            <w:r w:rsidRPr="00E31313">
              <w:rPr>
                <w:rFonts w:ascii="Arial" w:hAnsi="Arial" w:cs="Arial"/>
                <w:bCs/>
              </w:rPr>
              <w:t>Falta de capacitación para dar una completa aplicación de la norma.</w:t>
            </w:r>
          </w:p>
        </w:tc>
      </w:tr>
      <w:tr w:rsidR="004962D9" w:rsidRPr="00E31313" w14:paraId="6031E6DA" w14:textId="77777777" w:rsidTr="00D4226B">
        <w:trPr>
          <w:trHeight w:val="634"/>
          <w:jc w:val="center"/>
        </w:trPr>
        <w:tc>
          <w:tcPr>
            <w:tcW w:w="846" w:type="dxa"/>
          </w:tcPr>
          <w:p w14:paraId="14FABB73" w14:textId="77777777" w:rsidR="004962D9" w:rsidRPr="00E31313" w:rsidRDefault="004962D9" w:rsidP="00D4226B">
            <w:pPr>
              <w:tabs>
                <w:tab w:val="left" w:pos="875"/>
              </w:tabs>
              <w:ind w:right="-50"/>
              <w:jc w:val="center"/>
              <w:rPr>
                <w:rFonts w:ascii="Arial" w:hAnsi="Arial" w:cs="Arial"/>
                <w:bCs/>
              </w:rPr>
            </w:pPr>
            <w:r w:rsidRPr="00E31313">
              <w:rPr>
                <w:rFonts w:ascii="Arial" w:hAnsi="Arial" w:cs="Arial"/>
                <w:bCs/>
              </w:rPr>
              <w:t>2</w:t>
            </w:r>
          </w:p>
        </w:tc>
        <w:tc>
          <w:tcPr>
            <w:tcW w:w="4394" w:type="dxa"/>
          </w:tcPr>
          <w:p w14:paraId="71F5F029" w14:textId="77777777" w:rsidR="004962D9" w:rsidRPr="00E31313" w:rsidRDefault="004962D9" w:rsidP="00D4226B">
            <w:pPr>
              <w:tabs>
                <w:tab w:val="left" w:pos="875"/>
              </w:tabs>
              <w:ind w:right="-50"/>
              <w:jc w:val="both"/>
              <w:rPr>
                <w:rFonts w:ascii="Arial" w:hAnsi="Arial" w:cs="Arial"/>
                <w:bCs/>
              </w:rPr>
            </w:pPr>
            <w:r w:rsidRPr="00E31313">
              <w:rPr>
                <w:rFonts w:ascii="Arial" w:hAnsi="Arial" w:cs="Arial"/>
                <w:bCs/>
              </w:rPr>
              <w:t>Operativas:</w:t>
            </w:r>
          </w:p>
        </w:tc>
        <w:tc>
          <w:tcPr>
            <w:tcW w:w="5214" w:type="dxa"/>
          </w:tcPr>
          <w:p w14:paraId="030B3661" w14:textId="77777777" w:rsidR="004962D9" w:rsidRPr="00E31313" w:rsidRDefault="004962D9" w:rsidP="00D4226B">
            <w:pPr>
              <w:tabs>
                <w:tab w:val="left" w:pos="875"/>
              </w:tabs>
              <w:ind w:right="-50"/>
              <w:jc w:val="both"/>
              <w:rPr>
                <w:rFonts w:ascii="Arial" w:hAnsi="Arial" w:cs="Arial"/>
              </w:rPr>
            </w:pPr>
            <w:r w:rsidRPr="00E31313">
              <w:rPr>
                <w:rFonts w:ascii="Arial" w:hAnsi="Arial" w:cs="Arial"/>
                <w:bCs/>
              </w:rPr>
              <w:t>El continuo cambio de personal de las áreas generadoras de información contable impide el desarrollo, actualización y aplicación de los procedimientos y políticas contables.</w:t>
            </w:r>
          </w:p>
        </w:tc>
      </w:tr>
      <w:tr w:rsidR="004962D9" w:rsidRPr="00E31313" w14:paraId="02A6850E" w14:textId="77777777" w:rsidTr="00D4226B">
        <w:trPr>
          <w:trHeight w:val="311"/>
          <w:jc w:val="center"/>
        </w:trPr>
        <w:tc>
          <w:tcPr>
            <w:tcW w:w="846" w:type="dxa"/>
          </w:tcPr>
          <w:p w14:paraId="75721B33" w14:textId="77777777" w:rsidR="004962D9" w:rsidRPr="00E31313" w:rsidRDefault="004962D9" w:rsidP="00D4226B">
            <w:pPr>
              <w:tabs>
                <w:tab w:val="left" w:pos="875"/>
              </w:tabs>
              <w:ind w:right="-50"/>
              <w:jc w:val="center"/>
              <w:rPr>
                <w:rFonts w:ascii="Arial" w:hAnsi="Arial" w:cs="Arial"/>
                <w:bCs/>
              </w:rPr>
            </w:pPr>
            <w:r w:rsidRPr="00E31313">
              <w:rPr>
                <w:rFonts w:ascii="Arial" w:hAnsi="Arial" w:cs="Arial"/>
                <w:bCs/>
              </w:rPr>
              <w:t>3</w:t>
            </w:r>
          </w:p>
        </w:tc>
        <w:tc>
          <w:tcPr>
            <w:tcW w:w="4394" w:type="dxa"/>
          </w:tcPr>
          <w:p w14:paraId="358A7AD9" w14:textId="77777777" w:rsidR="004962D9" w:rsidRPr="00E31313" w:rsidRDefault="004962D9" w:rsidP="00D4226B">
            <w:pPr>
              <w:tabs>
                <w:tab w:val="left" w:pos="875"/>
              </w:tabs>
              <w:ind w:right="-50"/>
              <w:jc w:val="both"/>
              <w:rPr>
                <w:rFonts w:ascii="Arial" w:hAnsi="Arial" w:cs="Arial"/>
                <w:bCs/>
              </w:rPr>
            </w:pPr>
            <w:r w:rsidRPr="00E31313">
              <w:rPr>
                <w:rFonts w:ascii="Arial" w:hAnsi="Arial" w:cs="Arial"/>
                <w:bCs/>
              </w:rPr>
              <w:t>Otras</w:t>
            </w:r>
          </w:p>
        </w:tc>
        <w:tc>
          <w:tcPr>
            <w:tcW w:w="5214" w:type="dxa"/>
          </w:tcPr>
          <w:p w14:paraId="1C97B279" w14:textId="77777777" w:rsidR="004962D9" w:rsidRPr="00E31313" w:rsidRDefault="004962D9" w:rsidP="00D4226B">
            <w:pPr>
              <w:tabs>
                <w:tab w:val="left" w:pos="875"/>
              </w:tabs>
              <w:ind w:right="-50"/>
              <w:jc w:val="both"/>
              <w:rPr>
                <w:rFonts w:ascii="Arial" w:hAnsi="Arial" w:cs="Arial"/>
              </w:rPr>
            </w:pPr>
            <w:r w:rsidRPr="00E31313">
              <w:rPr>
                <w:rFonts w:ascii="Arial" w:hAnsi="Arial" w:cs="Arial"/>
                <w:bCs/>
              </w:rPr>
              <w:t>Realizar de manera continua, capacitaciones sobre la actualización de los marcos normativos – NICSP.</w:t>
            </w:r>
          </w:p>
        </w:tc>
      </w:tr>
    </w:tbl>
    <w:p w14:paraId="494B2D4C" w14:textId="77777777" w:rsidR="004962D9" w:rsidRDefault="004962D9" w:rsidP="004962D9">
      <w:pPr>
        <w:ind w:left="-284" w:right="-234"/>
        <w:jc w:val="both"/>
        <w:rPr>
          <w:rFonts w:ascii="Arial" w:eastAsia="Trebuchet MS" w:hAnsi="Arial" w:cs="Arial"/>
          <w:b/>
          <w:sz w:val="32"/>
          <w:szCs w:val="32"/>
          <w:u w:val="single"/>
          <w:lang w:eastAsia="es-CO"/>
        </w:rPr>
      </w:pPr>
    </w:p>
    <w:p w14:paraId="641593D4" w14:textId="77777777" w:rsidR="004962D9" w:rsidRDefault="004962D9" w:rsidP="004962D9">
      <w:pPr>
        <w:ind w:left="-284"/>
        <w:jc w:val="both"/>
        <w:rPr>
          <w:rFonts w:ascii="Arial" w:hAnsi="Arial" w:cs="Arial"/>
          <w:b/>
          <w:sz w:val="28"/>
          <w:szCs w:val="28"/>
          <w:lang w:val="es-MX"/>
        </w:rPr>
      </w:pPr>
      <w:r w:rsidRPr="00D1314B">
        <w:rPr>
          <w:rFonts w:ascii="Arial" w:hAnsi="Arial" w:cs="Arial"/>
          <w:b/>
          <w:sz w:val="28"/>
          <w:szCs w:val="28"/>
          <w:lang w:val="es-MX"/>
        </w:rPr>
        <w:t>164.- AGENCIA NACIONAL DE SEGURIDAD VIAL.</w:t>
      </w:r>
    </w:p>
    <w:p w14:paraId="2AD506FB" w14:textId="77777777" w:rsidR="004962D9" w:rsidRDefault="004962D9" w:rsidP="004962D9">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562EDF" w14:paraId="48B72059" w14:textId="77777777" w:rsidTr="004C5E54">
        <w:tc>
          <w:tcPr>
            <w:tcW w:w="867" w:type="dxa"/>
          </w:tcPr>
          <w:p w14:paraId="4979924A" w14:textId="77777777" w:rsidR="004962D9" w:rsidRPr="00562EDF" w:rsidRDefault="004962D9" w:rsidP="00D4226B">
            <w:pPr>
              <w:tabs>
                <w:tab w:val="left" w:pos="875"/>
              </w:tabs>
              <w:jc w:val="center"/>
              <w:rPr>
                <w:rFonts w:ascii="Arial" w:hAnsi="Arial" w:cs="Arial"/>
                <w:b/>
              </w:rPr>
            </w:pPr>
            <w:r w:rsidRPr="00562EDF">
              <w:rPr>
                <w:rFonts w:ascii="Arial" w:hAnsi="Arial" w:cs="Arial"/>
                <w:b/>
              </w:rPr>
              <w:t>N°</w:t>
            </w:r>
          </w:p>
        </w:tc>
        <w:tc>
          <w:tcPr>
            <w:tcW w:w="4379" w:type="dxa"/>
          </w:tcPr>
          <w:p w14:paraId="57EE092F" w14:textId="77777777" w:rsidR="004962D9" w:rsidRPr="00562EDF" w:rsidRDefault="004962D9" w:rsidP="00D4226B">
            <w:pPr>
              <w:tabs>
                <w:tab w:val="left" w:pos="875"/>
              </w:tabs>
              <w:jc w:val="center"/>
              <w:rPr>
                <w:rFonts w:ascii="Arial" w:hAnsi="Arial" w:cs="Arial"/>
                <w:b/>
              </w:rPr>
            </w:pPr>
            <w:r w:rsidRPr="00562EDF">
              <w:rPr>
                <w:rFonts w:ascii="Arial" w:hAnsi="Arial" w:cs="Arial"/>
                <w:b/>
              </w:rPr>
              <w:t>Limitaciones detectadas por su entidad en la aplicación del Marco Normativo - NICSP a 31/12/2024</w:t>
            </w:r>
          </w:p>
          <w:p w14:paraId="61E323EB" w14:textId="77777777" w:rsidR="004962D9" w:rsidRPr="00562EDF" w:rsidRDefault="004962D9" w:rsidP="00D4226B">
            <w:pPr>
              <w:tabs>
                <w:tab w:val="left" w:pos="875"/>
              </w:tabs>
              <w:jc w:val="center"/>
              <w:rPr>
                <w:rFonts w:ascii="Arial" w:hAnsi="Arial" w:cs="Arial"/>
                <w:b/>
              </w:rPr>
            </w:pPr>
          </w:p>
        </w:tc>
        <w:tc>
          <w:tcPr>
            <w:tcW w:w="5244" w:type="dxa"/>
          </w:tcPr>
          <w:p w14:paraId="61E5D206" w14:textId="77777777" w:rsidR="004962D9" w:rsidRPr="00562EDF" w:rsidRDefault="004962D9" w:rsidP="00D4226B">
            <w:pPr>
              <w:tabs>
                <w:tab w:val="left" w:pos="875"/>
              </w:tabs>
              <w:jc w:val="center"/>
              <w:rPr>
                <w:rFonts w:ascii="Arial" w:hAnsi="Arial" w:cs="Arial"/>
                <w:b/>
              </w:rPr>
            </w:pPr>
            <w:r w:rsidRPr="00562EDF">
              <w:rPr>
                <w:rFonts w:ascii="Arial" w:hAnsi="Arial" w:cs="Arial"/>
                <w:b/>
              </w:rPr>
              <w:t>Descripción de la limitación</w:t>
            </w:r>
          </w:p>
        </w:tc>
      </w:tr>
      <w:tr w:rsidR="004962D9" w:rsidRPr="00562EDF" w14:paraId="152633BF" w14:textId="77777777" w:rsidTr="004C5E54">
        <w:tc>
          <w:tcPr>
            <w:tcW w:w="867" w:type="dxa"/>
          </w:tcPr>
          <w:p w14:paraId="3460CCF3" w14:textId="77777777" w:rsidR="004962D9" w:rsidRPr="00562EDF" w:rsidRDefault="004962D9" w:rsidP="00D4226B">
            <w:pPr>
              <w:tabs>
                <w:tab w:val="left" w:pos="875"/>
              </w:tabs>
              <w:jc w:val="center"/>
              <w:rPr>
                <w:rFonts w:ascii="Arial" w:hAnsi="Arial" w:cs="Arial"/>
                <w:b/>
              </w:rPr>
            </w:pPr>
            <w:r w:rsidRPr="00562EDF">
              <w:rPr>
                <w:rFonts w:ascii="Arial" w:hAnsi="Arial" w:cs="Arial"/>
                <w:b/>
              </w:rPr>
              <w:t>1</w:t>
            </w:r>
          </w:p>
        </w:tc>
        <w:tc>
          <w:tcPr>
            <w:tcW w:w="4379" w:type="dxa"/>
          </w:tcPr>
          <w:p w14:paraId="00A35F39" w14:textId="77777777" w:rsidR="004962D9" w:rsidRPr="00562EDF" w:rsidRDefault="004962D9" w:rsidP="00D4226B">
            <w:pPr>
              <w:tabs>
                <w:tab w:val="left" w:pos="875"/>
              </w:tabs>
              <w:jc w:val="both"/>
              <w:rPr>
                <w:rFonts w:ascii="Arial" w:hAnsi="Arial" w:cs="Arial"/>
                <w:b/>
              </w:rPr>
            </w:pPr>
            <w:r w:rsidRPr="00562EDF">
              <w:rPr>
                <w:rFonts w:ascii="Arial" w:hAnsi="Arial" w:cs="Arial"/>
                <w:b/>
              </w:rPr>
              <w:t>Normativas:</w:t>
            </w:r>
          </w:p>
        </w:tc>
        <w:tc>
          <w:tcPr>
            <w:tcW w:w="5244" w:type="dxa"/>
          </w:tcPr>
          <w:p w14:paraId="1688B220" w14:textId="77777777" w:rsidR="004962D9" w:rsidRPr="00562EDF" w:rsidRDefault="004962D9" w:rsidP="00D4226B">
            <w:pPr>
              <w:tabs>
                <w:tab w:val="left" w:pos="875"/>
              </w:tabs>
              <w:jc w:val="both"/>
              <w:rPr>
                <w:rFonts w:ascii="Arial" w:hAnsi="Arial" w:cs="Arial"/>
              </w:rPr>
            </w:pPr>
            <w:r w:rsidRPr="00562EDF">
              <w:rPr>
                <w:rFonts w:ascii="Arial" w:hAnsi="Arial" w:cs="Arial"/>
              </w:rPr>
              <w:t>La Doctrina emitida por la Contaduría General de la Nación suele ser publicada en el portal web de dicha entidad varios meses después de su expedición, lo que conlleva a conocer los nuevos desarrollos doctrinarios y en ocasiones dar su aplicación de manera tardía.</w:t>
            </w:r>
          </w:p>
        </w:tc>
      </w:tr>
    </w:tbl>
    <w:p w14:paraId="759BD540" w14:textId="77777777" w:rsidR="004962D9" w:rsidRPr="00562EDF" w:rsidRDefault="004962D9" w:rsidP="004962D9">
      <w:pPr>
        <w:ind w:left="-284"/>
        <w:jc w:val="both"/>
        <w:rPr>
          <w:rFonts w:ascii="Arial" w:hAnsi="Arial" w:cs="Arial"/>
          <w:b/>
          <w:sz w:val="28"/>
          <w:szCs w:val="28"/>
        </w:rPr>
      </w:pPr>
    </w:p>
    <w:p w14:paraId="7650FCE8" w14:textId="77777777" w:rsidR="004962D9" w:rsidRDefault="004962D9" w:rsidP="004C5E54">
      <w:pPr>
        <w:ind w:left="-284" w:right="-234"/>
        <w:jc w:val="both"/>
        <w:rPr>
          <w:rFonts w:ascii="Arial" w:hAnsi="Arial" w:cs="Arial"/>
          <w:b/>
          <w:sz w:val="28"/>
          <w:szCs w:val="28"/>
          <w:lang w:val="es-MX"/>
        </w:rPr>
      </w:pPr>
      <w:r w:rsidRPr="003C1E18">
        <w:rPr>
          <w:rFonts w:ascii="Arial" w:hAnsi="Arial" w:cs="Arial"/>
          <w:b/>
          <w:sz w:val="28"/>
          <w:szCs w:val="28"/>
          <w:lang w:val="es-MX"/>
        </w:rPr>
        <w:t xml:space="preserve">167.- FONDO PARA EL ACCESO DE LOS INSUMOS AGROPECUARIOS FAIA – CONSORCIO FAIA </w:t>
      </w:r>
      <w:r>
        <w:rPr>
          <w:rFonts w:ascii="Arial" w:hAnsi="Arial" w:cs="Arial"/>
          <w:b/>
          <w:sz w:val="28"/>
          <w:szCs w:val="28"/>
          <w:lang w:val="es-MX"/>
        </w:rPr>
        <w:t>–</w:t>
      </w:r>
      <w:r w:rsidRPr="003C1E18">
        <w:rPr>
          <w:rFonts w:ascii="Arial" w:hAnsi="Arial" w:cs="Arial"/>
          <w:b/>
          <w:sz w:val="28"/>
          <w:szCs w:val="28"/>
          <w:lang w:val="es-MX"/>
        </w:rPr>
        <w:t xml:space="preserve"> FIDUAGRARIA</w:t>
      </w:r>
      <w:r>
        <w:rPr>
          <w:rFonts w:ascii="Arial" w:hAnsi="Arial" w:cs="Arial"/>
          <w:b/>
          <w:sz w:val="28"/>
          <w:szCs w:val="28"/>
          <w:lang w:val="es-MX"/>
        </w:rPr>
        <w:t>.</w:t>
      </w:r>
      <w:r w:rsidRPr="003C1E18">
        <w:rPr>
          <w:rFonts w:ascii="Arial" w:hAnsi="Arial" w:cs="Arial"/>
          <w:b/>
          <w:sz w:val="28"/>
          <w:szCs w:val="28"/>
          <w:lang w:val="es-MX"/>
        </w:rPr>
        <w:t xml:space="preserve"> </w:t>
      </w:r>
    </w:p>
    <w:p w14:paraId="1C03543C" w14:textId="77777777" w:rsidR="004962D9" w:rsidRDefault="004962D9" w:rsidP="004962D9">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562EDF" w14:paraId="166A707F" w14:textId="77777777" w:rsidTr="004C5E54">
        <w:tc>
          <w:tcPr>
            <w:tcW w:w="867" w:type="dxa"/>
          </w:tcPr>
          <w:p w14:paraId="46C33054" w14:textId="77777777" w:rsidR="004962D9" w:rsidRPr="00562EDF" w:rsidRDefault="004962D9" w:rsidP="00D4226B">
            <w:pPr>
              <w:tabs>
                <w:tab w:val="left" w:pos="875"/>
              </w:tabs>
              <w:jc w:val="center"/>
              <w:rPr>
                <w:rFonts w:ascii="Arial" w:hAnsi="Arial" w:cs="Arial"/>
                <w:b/>
              </w:rPr>
            </w:pPr>
            <w:r w:rsidRPr="00562EDF">
              <w:rPr>
                <w:rFonts w:ascii="Arial" w:hAnsi="Arial" w:cs="Arial"/>
                <w:b/>
              </w:rPr>
              <w:t>N°</w:t>
            </w:r>
          </w:p>
        </w:tc>
        <w:tc>
          <w:tcPr>
            <w:tcW w:w="4379" w:type="dxa"/>
          </w:tcPr>
          <w:p w14:paraId="4921D8A3" w14:textId="77777777" w:rsidR="004962D9" w:rsidRPr="00562EDF" w:rsidRDefault="004962D9" w:rsidP="00D4226B">
            <w:pPr>
              <w:tabs>
                <w:tab w:val="left" w:pos="875"/>
              </w:tabs>
              <w:jc w:val="center"/>
              <w:rPr>
                <w:rFonts w:ascii="Arial" w:hAnsi="Arial" w:cs="Arial"/>
                <w:b/>
              </w:rPr>
            </w:pPr>
            <w:r w:rsidRPr="00562EDF">
              <w:rPr>
                <w:rFonts w:ascii="Arial" w:hAnsi="Arial" w:cs="Arial"/>
                <w:b/>
              </w:rPr>
              <w:t>Limitaciones detectadas por su entidad en la aplicación del Marco Normativo - NICSP a 31/12/2024</w:t>
            </w:r>
          </w:p>
          <w:p w14:paraId="3280C20D" w14:textId="77777777" w:rsidR="004962D9" w:rsidRPr="00562EDF" w:rsidRDefault="004962D9" w:rsidP="00D4226B">
            <w:pPr>
              <w:tabs>
                <w:tab w:val="left" w:pos="875"/>
              </w:tabs>
              <w:jc w:val="center"/>
              <w:rPr>
                <w:rFonts w:ascii="Arial" w:hAnsi="Arial" w:cs="Arial"/>
                <w:b/>
              </w:rPr>
            </w:pPr>
          </w:p>
        </w:tc>
        <w:tc>
          <w:tcPr>
            <w:tcW w:w="5244" w:type="dxa"/>
          </w:tcPr>
          <w:p w14:paraId="10A14897" w14:textId="77777777" w:rsidR="004962D9" w:rsidRPr="00562EDF" w:rsidRDefault="004962D9" w:rsidP="00D4226B">
            <w:pPr>
              <w:tabs>
                <w:tab w:val="left" w:pos="875"/>
              </w:tabs>
              <w:jc w:val="center"/>
              <w:rPr>
                <w:rFonts w:ascii="Arial" w:hAnsi="Arial" w:cs="Arial"/>
                <w:b/>
              </w:rPr>
            </w:pPr>
            <w:r w:rsidRPr="00562EDF">
              <w:rPr>
                <w:rFonts w:ascii="Arial" w:hAnsi="Arial" w:cs="Arial"/>
                <w:b/>
              </w:rPr>
              <w:t>Descripción de la limitación</w:t>
            </w:r>
          </w:p>
        </w:tc>
      </w:tr>
      <w:tr w:rsidR="004962D9" w:rsidRPr="00562EDF" w14:paraId="5B2516CA" w14:textId="77777777" w:rsidTr="004C5E54">
        <w:tc>
          <w:tcPr>
            <w:tcW w:w="867" w:type="dxa"/>
          </w:tcPr>
          <w:p w14:paraId="0C6A6EFD" w14:textId="77777777" w:rsidR="004962D9" w:rsidRPr="00562EDF" w:rsidRDefault="004962D9" w:rsidP="00D4226B">
            <w:pPr>
              <w:tabs>
                <w:tab w:val="left" w:pos="875"/>
              </w:tabs>
              <w:jc w:val="center"/>
              <w:rPr>
                <w:rFonts w:ascii="Arial" w:hAnsi="Arial" w:cs="Arial"/>
                <w:b/>
              </w:rPr>
            </w:pPr>
            <w:r w:rsidRPr="00562EDF">
              <w:rPr>
                <w:rFonts w:ascii="Arial" w:hAnsi="Arial" w:cs="Arial"/>
                <w:b/>
              </w:rPr>
              <w:t>1</w:t>
            </w:r>
          </w:p>
        </w:tc>
        <w:tc>
          <w:tcPr>
            <w:tcW w:w="4379" w:type="dxa"/>
          </w:tcPr>
          <w:p w14:paraId="6A3091E3" w14:textId="77777777" w:rsidR="004962D9" w:rsidRPr="00562EDF" w:rsidRDefault="004962D9" w:rsidP="00D4226B">
            <w:pPr>
              <w:tabs>
                <w:tab w:val="left" w:pos="875"/>
              </w:tabs>
              <w:jc w:val="both"/>
              <w:rPr>
                <w:rFonts w:ascii="Arial" w:hAnsi="Arial" w:cs="Arial"/>
                <w:b/>
              </w:rPr>
            </w:pPr>
            <w:r w:rsidRPr="003C1E18">
              <w:rPr>
                <w:rFonts w:ascii="Arial" w:hAnsi="Arial" w:cs="Arial"/>
                <w:b/>
              </w:rPr>
              <w:t>Tecnológico:</w:t>
            </w:r>
          </w:p>
        </w:tc>
        <w:tc>
          <w:tcPr>
            <w:tcW w:w="5244" w:type="dxa"/>
          </w:tcPr>
          <w:p w14:paraId="64599139" w14:textId="77777777" w:rsidR="004962D9" w:rsidRPr="00562EDF" w:rsidRDefault="004962D9" w:rsidP="00D4226B">
            <w:pPr>
              <w:tabs>
                <w:tab w:val="left" w:pos="875"/>
              </w:tabs>
              <w:jc w:val="both"/>
              <w:rPr>
                <w:rFonts w:ascii="Arial" w:hAnsi="Arial" w:cs="Arial"/>
              </w:rPr>
            </w:pPr>
            <w:r w:rsidRPr="003C1E18">
              <w:rPr>
                <w:rFonts w:ascii="Arial" w:hAnsi="Arial" w:cs="Arial"/>
              </w:rPr>
              <w:t>El Patrimonio Autónomo Consorcio FAIA 2022, ha tenido limitaciones en la aplicación de las normas contables expedidas por la Contaduría General de la Nación.</w:t>
            </w:r>
          </w:p>
        </w:tc>
      </w:tr>
    </w:tbl>
    <w:p w14:paraId="38E8307B" w14:textId="77777777" w:rsidR="004962D9" w:rsidRPr="003C1E18" w:rsidRDefault="004962D9" w:rsidP="004962D9">
      <w:pPr>
        <w:ind w:left="-284"/>
        <w:jc w:val="both"/>
        <w:rPr>
          <w:rFonts w:ascii="Arial" w:hAnsi="Arial" w:cs="Arial"/>
          <w:b/>
          <w:sz w:val="28"/>
          <w:szCs w:val="28"/>
        </w:rPr>
      </w:pPr>
    </w:p>
    <w:p w14:paraId="3E98A424" w14:textId="77777777" w:rsidR="004962D9" w:rsidRPr="00332417" w:rsidRDefault="004962D9" w:rsidP="004962D9">
      <w:pPr>
        <w:ind w:left="-284"/>
        <w:jc w:val="both"/>
        <w:rPr>
          <w:rFonts w:ascii="Arial" w:hAnsi="Arial" w:cs="Arial"/>
          <w:b/>
          <w:sz w:val="28"/>
          <w:szCs w:val="28"/>
          <w:lang w:val="es-MX"/>
        </w:rPr>
      </w:pPr>
      <w:r w:rsidRPr="00332417">
        <w:rPr>
          <w:rFonts w:ascii="Arial" w:hAnsi="Arial" w:cs="Arial"/>
          <w:b/>
          <w:sz w:val="28"/>
          <w:szCs w:val="28"/>
          <w:lang w:val="es-MX"/>
        </w:rPr>
        <w:t>174.- CONSEJO PROFESIONAL DE BIOLOGÍA.</w:t>
      </w:r>
    </w:p>
    <w:p w14:paraId="00DDE188" w14:textId="77777777" w:rsidR="004962D9" w:rsidRDefault="004962D9" w:rsidP="004962D9">
      <w:pPr>
        <w:ind w:left="-284" w:right="-234"/>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562EDF" w14:paraId="26510C98" w14:textId="77777777" w:rsidTr="004C5E54">
        <w:tc>
          <w:tcPr>
            <w:tcW w:w="867" w:type="dxa"/>
          </w:tcPr>
          <w:p w14:paraId="5B21D9D3" w14:textId="77777777" w:rsidR="004962D9" w:rsidRPr="00562EDF" w:rsidRDefault="004962D9" w:rsidP="00D4226B">
            <w:pPr>
              <w:tabs>
                <w:tab w:val="left" w:pos="875"/>
              </w:tabs>
              <w:jc w:val="center"/>
              <w:rPr>
                <w:rFonts w:ascii="Arial" w:hAnsi="Arial" w:cs="Arial"/>
                <w:b/>
              </w:rPr>
            </w:pPr>
            <w:r w:rsidRPr="00562EDF">
              <w:rPr>
                <w:rFonts w:ascii="Arial" w:hAnsi="Arial" w:cs="Arial"/>
                <w:b/>
              </w:rPr>
              <w:t>N°</w:t>
            </w:r>
          </w:p>
        </w:tc>
        <w:tc>
          <w:tcPr>
            <w:tcW w:w="4379" w:type="dxa"/>
          </w:tcPr>
          <w:p w14:paraId="3CAE4F11" w14:textId="77777777" w:rsidR="004962D9" w:rsidRPr="00562EDF" w:rsidRDefault="004962D9" w:rsidP="00D4226B">
            <w:pPr>
              <w:tabs>
                <w:tab w:val="left" w:pos="875"/>
              </w:tabs>
              <w:jc w:val="center"/>
              <w:rPr>
                <w:rFonts w:ascii="Arial" w:hAnsi="Arial" w:cs="Arial"/>
                <w:b/>
              </w:rPr>
            </w:pPr>
            <w:r w:rsidRPr="00562EDF">
              <w:rPr>
                <w:rFonts w:ascii="Arial" w:hAnsi="Arial" w:cs="Arial"/>
                <w:b/>
              </w:rPr>
              <w:t>Limitaciones detectadas por su entidad en la aplicación del Marco Normativo - NICSP a 31/12/2024</w:t>
            </w:r>
          </w:p>
          <w:p w14:paraId="061C1533" w14:textId="77777777" w:rsidR="004962D9" w:rsidRPr="00562EDF" w:rsidRDefault="004962D9" w:rsidP="00D4226B">
            <w:pPr>
              <w:tabs>
                <w:tab w:val="left" w:pos="875"/>
              </w:tabs>
              <w:jc w:val="center"/>
              <w:rPr>
                <w:rFonts w:ascii="Arial" w:hAnsi="Arial" w:cs="Arial"/>
                <w:b/>
              </w:rPr>
            </w:pPr>
          </w:p>
        </w:tc>
        <w:tc>
          <w:tcPr>
            <w:tcW w:w="5244" w:type="dxa"/>
          </w:tcPr>
          <w:p w14:paraId="7E65E6B8" w14:textId="77777777" w:rsidR="004962D9" w:rsidRPr="00562EDF" w:rsidRDefault="004962D9" w:rsidP="00D4226B">
            <w:pPr>
              <w:tabs>
                <w:tab w:val="left" w:pos="875"/>
              </w:tabs>
              <w:jc w:val="center"/>
              <w:rPr>
                <w:rFonts w:ascii="Arial" w:hAnsi="Arial" w:cs="Arial"/>
                <w:b/>
              </w:rPr>
            </w:pPr>
            <w:r w:rsidRPr="00562EDF">
              <w:rPr>
                <w:rFonts w:ascii="Arial" w:hAnsi="Arial" w:cs="Arial"/>
                <w:b/>
              </w:rPr>
              <w:t>Descripción de la limitación</w:t>
            </w:r>
          </w:p>
        </w:tc>
      </w:tr>
      <w:tr w:rsidR="004962D9" w:rsidRPr="00562EDF" w14:paraId="496F122A" w14:textId="77777777" w:rsidTr="004C5E54">
        <w:tc>
          <w:tcPr>
            <w:tcW w:w="867" w:type="dxa"/>
          </w:tcPr>
          <w:p w14:paraId="0E5CDE7E" w14:textId="77777777" w:rsidR="004962D9" w:rsidRPr="00562EDF" w:rsidRDefault="004962D9" w:rsidP="00D4226B">
            <w:pPr>
              <w:tabs>
                <w:tab w:val="left" w:pos="875"/>
              </w:tabs>
              <w:jc w:val="center"/>
              <w:rPr>
                <w:rFonts w:ascii="Arial" w:hAnsi="Arial" w:cs="Arial"/>
                <w:b/>
              </w:rPr>
            </w:pPr>
            <w:r w:rsidRPr="00332417">
              <w:rPr>
                <w:rFonts w:ascii="Arial" w:hAnsi="Arial" w:cs="Arial"/>
                <w:b/>
              </w:rPr>
              <w:t>1</w:t>
            </w:r>
          </w:p>
        </w:tc>
        <w:tc>
          <w:tcPr>
            <w:tcW w:w="4379" w:type="dxa"/>
          </w:tcPr>
          <w:p w14:paraId="1BD02EE3" w14:textId="77777777" w:rsidR="004962D9" w:rsidRPr="00562EDF" w:rsidRDefault="004962D9" w:rsidP="00D4226B">
            <w:pPr>
              <w:tabs>
                <w:tab w:val="left" w:pos="875"/>
              </w:tabs>
              <w:jc w:val="both"/>
              <w:rPr>
                <w:rFonts w:ascii="Arial" w:hAnsi="Arial" w:cs="Arial"/>
                <w:b/>
              </w:rPr>
            </w:pPr>
            <w:r w:rsidRPr="00332417">
              <w:rPr>
                <w:rFonts w:ascii="Arial" w:hAnsi="Arial" w:cs="Arial"/>
                <w:b/>
              </w:rPr>
              <w:t>Normativas:</w:t>
            </w:r>
          </w:p>
        </w:tc>
        <w:tc>
          <w:tcPr>
            <w:tcW w:w="5244" w:type="dxa"/>
          </w:tcPr>
          <w:p w14:paraId="1CA38D43" w14:textId="77777777" w:rsidR="004962D9" w:rsidRPr="00562EDF" w:rsidRDefault="004962D9" w:rsidP="00D4226B">
            <w:pPr>
              <w:tabs>
                <w:tab w:val="left" w:pos="875"/>
              </w:tabs>
              <w:jc w:val="both"/>
              <w:rPr>
                <w:rFonts w:ascii="Arial" w:hAnsi="Arial" w:cs="Arial"/>
              </w:rPr>
            </w:pPr>
            <w:r w:rsidRPr="00332417">
              <w:rPr>
                <w:rFonts w:ascii="Arial" w:hAnsi="Arial" w:cs="Arial"/>
              </w:rPr>
              <w:t>Han habilitado formularios que no aplica a la entidad.</w:t>
            </w:r>
          </w:p>
        </w:tc>
      </w:tr>
      <w:tr w:rsidR="004962D9" w:rsidRPr="00562EDF" w14:paraId="435DEB08" w14:textId="77777777" w:rsidTr="004C5E54">
        <w:tc>
          <w:tcPr>
            <w:tcW w:w="867" w:type="dxa"/>
          </w:tcPr>
          <w:p w14:paraId="4518B265" w14:textId="77777777" w:rsidR="004962D9" w:rsidRPr="00562EDF" w:rsidRDefault="004962D9" w:rsidP="00D4226B">
            <w:pPr>
              <w:tabs>
                <w:tab w:val="left" w:pos="875"/>
              </w:tabs>
              <w:jc w:val="center"/>
              <w:rPr>
                <w:rFonts w:ascii="Arial" w:hAnsi="Arial" w:cs="Arial"/>
                <w:b/>
              </w:rPr>
            </w:pPr>
            <w:r w:rsidRPr="00332417">
              <w:rPr>
                <w:rFonts w:ascii="Arial" w:hAnsi="Arial" w:cs="Arial"/>
                <w:b/>
              </w:rPr>
              <w:t>2</w:t>
            </w:r>
          </w:p>
        </w:tc>
        <w:tc>
          <w:tcPr>
            <w:tcW w:w="4379" w:type="dxa"/>
          </w:tcPr>
          <w:p w14:paraId="5F809E10" w14:textId="77777777" w:rsidR="004962D9" w:rsidRPr="00562EDF" w:rsidRDefault="004962D9" w:rsidP="00D4226B">
            <w:pPr>
              <w:tabs>
                <w:tab w:val="left" w:pos="875"/>
              </w:tabs>
              <w:jc w:val="both"/>
              <w:rPr>
                <w:rFonts w:ascii="Arial" w:hAnsi="Arial" w:cs="Arial"/>
                <w:b/>
              </w:rPr>
            </w:pPr>
            <w:r w:rsidRPr="00332417">
              <w:rPr>
                <w:rFonts w:ascii="Arial" w:hAnsi="Arial" w:cs="Arial"/>
                <w:b/>
              </w:rPr>
              <w:t>Académicas:</w:t>
            </w:r>
          </w:p>
        </w:tc>
        <w:tc>
          <w:tcPr>
            <w:tcW w:w="5244" w:type="dxa"/>
          </w:tcPr>
          <w:p w14:paraId="643CAFB1" w14:textId="77777777" w:rsidR="004962D9" w:rsidRPr="00332417" w:rsidRDefault="004962D9" w:rsidP="00D4226B">
            <w:pPr>
              <w:tabs>
                <w:tab w:val="left" w:pos="875"/>
              </w:tabs>
              <w:ind w:right="-50"/>
              <w:jc w:val="both"/>
              <w:rPr>
                <w:rFonts w:ascii="Arial" w:hAnsi="Arial" w:cs="Arial"/>
              </w:rPr>
            </w:pPr>
            <w:r w:rsidRPr="00332417">
              <w:rPr>
                <w:rFonts w:ascii="Arial" w:hAnsi="Arial" w:cs="Arial"/>
              </w:rPr>
              <w:t>Se requiere capacitaciones periódicas a los funcionarios de entidades de gobierno en temas específicos o áreas de interés.</w:t>
            </w:r>
          </w:p>
          <w:p w14:paraId="072CF804" w14:textId="77777777" w:rsidR="004962D9" w:rsidRPr="00332417" w:rsidRDefault="004962D9" w:rsidP="00D4226B">
            <w:pPr>
              <w:tabs>
                <w:tab w:val="left" w:pos="875"/>
              </w:tabs>
              <w:ind w:right="-50"/>
              <w:jc w:val="both"/>
              <w:rPr>
                <w:rFonts w:ascii="Arial" w:hAnsi="Arial" w:cs="Arial"/>
              </w:rPr>
            </w:pPr>
          </w:p>
          <w:p w14:paraId="63335558" w14:textId="77777777" w:rsidR="004962D9" w:rsidRPr="00562EDF" w:rsidRDefault="004962D9" w:rsidP="00D4226B">
            <w:pPr>
              <w:tabs>
                <w:tab w:val="left" w:pos="875"/>
              </w:tabs>
              <w:jc w:val="both"/>
              <w:rPr>
                <w:rFonts w:ascii="Arial" w:hAnsi="Arial" w:cs="Arial"/>
              </w:rPr>
            </w:pPr>
            <w:r w:rsidRPr="00332417">
              <w:rPr>
                <w:rFonts w:ascii="Arial" w:hAnsi="Arial" w:cs="Arial"/>
              </w:rPr>
              <w:t>Desde la interpretación de la norma hasta las transmisiones.</w:t>
            </w:r>
          </w:p>
        </w:tc>
      </w:tr>
    </w:tbl>
    <w:p w14:paraId="050E787D" w14:textId="77777777" w:rsidR="004962D9" w:rsidRPr="00B7600B" w:rsidRDefault="004962D9" w:rsidP="004962D9">
      <w:pPr>
        <w:ind w:left="-284" w:right="-234"/>
        <w:jc w:val="both"/>
        <w:rPr>
          <w:rFonts w:ascii="Arial" w:eastAsia="Trebuchet MS" w:hAnsi="Arial" w:cs="Arial"/>
          <w:b/>
          <w:sz w:val="32"/>
          <w:szCs w:val="32"/>
          <w:u w:val="single"/>
          <w:lang w:eastAsia="es-CO"/>
        </w:rPr>
      </w:pPr>
    </w:p>
    <w:p w14:paraId="1730FA13" w14:textId="77777777" w:rsidR="004962D9" w:rsidRPr="00B7600B" w:rsidRDefault="004962D9" w:rsidP="004C5E54">
      <w:pPr>
        <w:ind w:left="-284" w:right="-234"/>
        <w:jc w:val="both"/>
        <w:rPr>
          <w:rFonts w:ascii="Arial" w:hAnsi="Arial" w:cs="Arial"/>
          <w:b/>
          <w:sz w:val="28"/>
          <w:szCs w:val="28"/>
          <w:lang w:val="es-MX"/>
        </w:rPr>
      </w:pPr>
      <w:r w:rsidRPr="00B7600B">
        <w:rPr>
          <w:rFonts w:ascii="Arial" w:hAnsi="Arial" w:cs="Arial"/>
          <w:b/>
          <w:sz w:val="28"/>
          <w:szCs w:val="28"/>
          <w:lang w:val="es-MX"/>
        </w:rPr>
        <w:t>179.- P.A. FONDO PARA LA SUPERACIÓN DE BRECHAS DE DESIGUALDAD POBLACIONAL E INEQUIDAD TERRITORIAL – FIDUAGRARIA S.A.</w:t>
      </w:r>
    </w:p>
    <w:p w14:paraId="4CF67A40" w14:textId="77777777" w:rsidR="004962D9" w:rsidRDefault="004962D9" w:rsidP="004962D9">
      <w:pPr>
        <w:pStyle w:val="Textoindependiente"/>
        <w:ind w:left="-426" w:right="-50"/>
        <w:jc w:val="both"/>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B7600B" w14:paraId="6BD38BA5" w14:textId="77777777" w:rsidTr="004C5E54">
        <w:tc>
          <w:tcPr>
            <w:tcW w:w="867" w:type="dxa"/>
          </w:tcPr>
          <w:p w14:paraId="26BCD0CE" w14:textId="77777777" w:rsidR="004962D9" w:rsidRPr="00B7600B" w:rsidRDefault="004962D9" w:rsidP="00D4226B">
            <w:pPr>
              <w:tabs>
                <w:tab w:val="left" w:pos="875"/>
              </w:tabs>
              <w:ind w:right="-50"/>
              <w:jc w:val="center"/>
              <w:rPr>
                <w:rFonts w:ascii="Arial" w:hAnsi="Arial" w:cs="Arial"/>
                <w:b/>
              </w:rPr>
            </w:pPr>
            <w:r w:rsidRPr="00B7600B">
              <w:rPr>
                <w:rFonts w:ascii="Arial" w:hAnsi="Arial" w:cs="Arial"/>
                <w:b/>
              </w:rPr>
              <w:t>N°</w:t>
            </w:r>
          </w:p>
        </w:tc>
        <w:tc>
          <w:tcPr>
            <w:tcW w:w="4379" w:type="dxa"/>
          </w:tcPr>
          <w:p w14:paraId="34A3235D" w14:textId="77777777" w:rsidR="004962D9" w:rsidRPr="00B7600B" w:rsidRDefault="004962D9" w:rsidP="00D4226B">
            <w:pPr>
              <w:tabs>
                <w:tab w:val="left" w:pos="875"/>
              </w:tabs>
              <w:ind w:right="-50"/>
              <w:jc w:val="center"/>
              <w:rPr>
                <w:rFonts w:ascii="Arial" w:hAnsi="Arial" w:cs="Arial"/>
                <w:b/>
              </w:rPr>
            </w:pPr>
            <w:r w:rsidRPr="00B7600B">
              <w:rPr>
                <w:rFonts w:ascii="Arial" w:hAnsi="Arial" w:cs="Arial"/>
                <w:b/>
              </w:rPr>
              <w:t>Limitaciones detectadas por su entidad en</w:t>
            </w:r>
          </w:p>
          <w:p w14:paraId="719066EC" w14:textId="77777777" w:rsidR="004962D9" w:rsidRPr="00B7600B" w:rsidRDefault="004962D9" w:rsidP="00D4226B">
            <w:pPr>
              <w:tabs>
                <w:tab w:val="left" w:pos="875"/>
              </w:tabs>
              <w:ind w:right="-50"/>
              <w:jc w:val="center"/>
              <w:rPr>
                <w:rFonts w:ascii="Arial" w:hAnsi="Arial" w:cs="Arial"/>
                <w:b/>
              </w:rPr>
            </w:pPr>
            <w:r w:rsidRPr="00B7600B">
              <w:rPr>
                <w:rFonts w:ascii="Arial" w:hAnsi="Arial" w:cs="Arial"/>
                <w:b/>
              </w:rPr>
              <w:t xml:space="preserve"> la aplicación del Marco Normativo - NICSP </w:t>
            </w:r>
          </w:p>
          <w:p w14:paraId="4BC95828" w14:textId="77777777" w:rsidR="004962D9" w:rsidRPr="00B7600B" w:rsidRDefault="004962D9" w:rsidP="00D4226B">
            <w:pPr>
              <w:tabs>
                <w:tab w:val="left" w:pos="875"/>
              </w:tabs>
              <w:ind w:right="-50"/>
              <w:jc w:val="center"/>
              <w:rPr>
                <w:rFonts w:ascii="Arial" w:hAnsi="Arial" w:cs="Arial"/>
                <w:b/>
              </w:rPr>
            </w:pPr>
            <w:r w:rsidRPr="00B7600B">
              <w:rPr>
                <w:rFonts w:ascii="Arial" w:hAnsi="Arial" w:cs="Arial"/>
                <w:b/>
              </w:rPr>
              <w:t>a 31/12/2024</w:t>
            </w:r>
          </w:p>
          <w:p w14:paraId="0647CA15" w14:textId="77777777" w:rsidR="004962D9" w:rsidRPr="00B7600B" w:rsidRDefault="004962D9" w:rsidP="00D4226B">
            <w:pPr>
              <w:tabs>
                <w:tab w:val="left" w:pos="875"/>
              </w:tabs>
              <w:ind w:right="-50"/>
              <w:jc w:val="center"/>
              <w:rPr>
                <w:rFonts w:ascii="Arial" w:hAnsi="Arial" w:cs="Arial"/>
                <w:b/>
              </w:rPr>
            </w:pPr>
          </w:p>
        </w:tc>
        <w:tc>
          <w:tcPr>
            <w:tcW w:w="5244" w:type="dxa"/>
          </w:tcPr>
          <w:p w14:paraId="0B20290D" w14:textId="77777777" w:rsidR="004962D9" w:rsidRPr="00B7600B" w:rsidRDefault="004962D9" w:rsidP="00D4226B">
            <w:pPr>
              <w:tabs>
                <w:tab w:val="left" w:pos="875"/>
              </w:tabs>
              <w:ind w:right="-50"/>
              <w:jc w:val="center"/>
              <w:rPr>
                <w:rFonts w:ascii="Arial" w:hAnsi="Arial" w:cs="Arial"/>
                <w:b/>
              </w:rPr>
            </w:pPr>
            <w:r w:rsidRPr="00B7600B">
              <w:rPr>
                <w:rFonts w:ascii="Arial" w:hAnsi="Arial" w:cs="Arial"/>
                <w:b/>
              </w:rPr>
              <w:t>Descripción de la limitación</w:t>
            </w:r>
          </w:p>
        </w:tc>
      </w:tr>
      <w:tr w:rsidR="004962D9" w:rsidRPr="00B7600B" w14:paraId="34AF848D" w14:textId="77777777" w:rsidTr="004C5E54">
        <w:tc>
          <w:tcPr>
            <w:tcW w:w="867" w:type="dxa"/>
          </w:tcPr>
          <w:p w14:paraId="2DA1346D" w14:textId="77777777" w:rsidR="004962D9" w:rsidRPr="00B7600B" w:rsidRDefault="004962D9" w:rsidP="00D4226B">
            <w:pPr>
              <w:tabs>
                <w:tab w:val="left" w:pos="875"/>
              </w:tabs>
              <w:ind w:right="-50"/>
              <w:jc w:val="center"/>
              <w:rPr>
                <w:rFonts w:ascii="Arial" w:hAnsi="Arial" w:cs="Arial"/>
                <w:b/>
              </w:rPr>
            </w:pPr>
            <w:r w:rsidRPr="00B7600B">
              <w:rPr>
                <w:rFonts w:ascii="Arial" w:hAnsi="Arial" w:cs="Arial"/>
                <w:b/>
              </w:rPr>
              <w:t>1</w:t>
            </w:r>
          </w:p>
        </w:tc>
        <w:tc>
          <w:tcPr>
            <w:tcW w:w="4379" w:type="dxa"/>
          </w:tcPr>
          <w:p w14:paraId="1C64FA43" w14:textId="77777777" w:rsidR="004962D9" w:rsidRPr="00B7600B" w:rsidRDefault="004962D9" w:rsidP="00D4226B">
            <w:pPr>
              <w:tabs>
                <w:tab w:val="left" w:pos="875"/>
              </w:tabs>
              <w:ind w:right="-50"/>
              <w:jc w:val="both"/>
              <w:rPr>
                <w:rFonts w:ascii="Arial" w:hAnsi="Arial" w:cs="Arial"/>
                <w:b/>
              </w:rPr>
            </w:pPr>
            <w:r w:rsidRPr="00B7600B">
              <w:rPr>
                <w:rFonts w:ascii="Arial" w:hAnsi="Arial" w:cs="Arial"/>
                <w:b/>
              </w:rPr>
              <w:t>Tecnológico:</w:t>
            </w:r>
          </w:p>
        </w:tc>
        <w:tc>
          <w:tcPr>
            <w:tcW w:w="5244" w:type="dxa"/>
          </w:tcPr>
          <w:p w14:paraId="68E1ACD0" w14:textId="77777777" w:rsidR="004962D9" w:rsidRPr="00B7600B" w:rsidRDefault="004962D9" w:rsidP="00D4226B">
            <w:pPr>
              <w:tabs>
                <w:tab w:val="left" w:pos="875"/>
              </w:tabs>
              <w:ind w:right="-50"/>
              <w:jc w:val="both"/>
              <w:rPr>
                <w:rFonts w:ascii="Arial" w:hAnsi="Arial" w:cs="Arial"/>
              </w:rPr>
            </w:pPr>
            <w:r w:rsidRPr="00B7600B">
              <w:rPr>
                <w:rFonts w:ascii="Arial" w:hAnsi="Arial" w:cs="Arial"/>
              </w:rPr>
              <w:t>El patrimonio Autónomo Fondo para la Superación de Brechas de Desigualdad Poblacional e Inequidad Territorial, ha tenido limitaciones en la aplicación de las normas contables expedidas por la Contaduría General de la Nación.</w:t>
            </w:r>
          </w:p>
        </w:tc>
      </w:tr>
    </w:tbl>
    <w:p w14:paraId="4C7CD8A8" w14:textId="77777777" w:rsidR="004962D9" w:rsidRPr="00B7600B" w:rsidRDefault="004962D9" w:rsidP="004962D9">
      <w:pPr>
        <w:pStyle w:val="Textoindependiente"/>
        <w:ind w:left="-426" w:right="-50"/>
        <w:jc w:val="both"/>
        <w:rPr>
          <w:rFonts w:ascii="Arial" w:hAnsi="Arial" w:cs="Arial"/>
          <w:b/>
          <w:sz w:val="28"/>
          <w:szCs w:val="28"/>
        </w:rPr>
      </w:pPr>
    </w:p>
    <w:p w14:paraId="6C909126" w14:textId="77777777" w:rsidR="004962D9" w:rsidRPr="0027495E" w:rsidRDefault="004962D9" w:rsidP="004962D9">
      <w:pPr>
        <w:ind w:left="-284"/>
        <w:jc w:val="both"/>
        <w:rPr>
          <w:rFonts w:ascii="Arial" w:hAnsi="Arial" w:cs="Arial"/>
          <w:b/>
          <w:sz w:val="28"/>
          <w:szCs w:val="28"/>
          <w:lang w:val="es-MX"/>
        </w:rPr>
      </w:pPr>
      <w:r w:rsidRPr="0027495E">
        <w:rPr>
          <w:rFonts w:ascii="Arial" w:hAnsi="Arial" w:cs="Arial"/>
          <w:b/>
          <w:sz w:val="28"/>
          <w:szCs w:val="28"/>
          <w:lang w:val="es-MX"/>
        </w:rPr>
        <w:t xml:space="preserve">186.- </w:t>
      </w:r>
      <w:r w:rsidRPr="0027495E">
        <w:rPr>
          <w:rFonts w:ascii="Arial" w:hAnsi="Arial" w:cs="Arial"/>
          <w:b/>
          <w:sz w:val="28"/>
          <w:szCs w:val="28"/>
        </w:rPr>
        <w:t>CORPORACIÓN AUTÓNOMA REGIONAL DE LAS CUENCAS DE LOS RIOS NEGRO Y NARE - CORNARE</w:t>
      </w:r>
      <w:r w:rsidRPr="0027495E">
        <w:rPr>
          <w:rFonts w:ascii="Arial" w:hAnsi="Arial" w:cs="Arial"/>
          <w:b/>
          <w:sz w:val="28"/>
          <w:szCs w:val="28"/>
          <w:lang w:val="es-MX"/>
        </w:rPr>
        <w:t>.</w:t>
      </w:r>
    </w:p>
    <w:p w14:paraId="011D6322" w14:textId="77777777" w:rsidR="004962D9" w:rsidRDefault="004962D9" w:rsidP="004962D9">
      <w:pPr>
        <w:pStyle w:val="Textoindependiente"/>
        <w:ind w:right="-50"/>
        <w:jc w:val="both"/>
        <w:rPr>
          <w:b/>
        </w:rPr>
      </w:pPr>
    </w:p>
    <w:tbl>
      <w:tblPr>
        <w:tblStyle w:val="Tablaconcuadrcula"/>
        <w:tblW w:w="10490" w:type="dxa"/>
        <w:tblInd w:w="-289" w:type="dxa"/>
        <w:tblLook w:val="04A0" w:firstRow="1" w:lastRow="0" w:firstColumn="1" w:lastColumn="0" w:noHBand="0" w:noVBand="1"/>
      </w:tblPr>
      <w:tblGrid>
        <w:gridCol w:w="929"/>
        <w:gridCol w:w="4317"/>
        <w:gridCol w:w="5244"/>
      </w:tblGrid>
      <w:tr w:rsidR="004962D9" w:rsidRPr="0027495E" w14:paraId="1FC3F18B" w14:textId="77777777" w:rsidTr="00D4226B">
        <w:tc>
          <w:tcPr>
            <w:tcW w:w="929" w:type="dxa"/>
          </w:tcPr>
          <w:p w14:paraId="5F70BA6F" w14:textId="77777777" w:rsidR="004962D9" w:rsidRPr="0027495E" w:rsidRDefault="004962D9" w:rsidP="00D4226B">
            <w:pPr>
              <w:tabs>
                <w:tab w:val="left" w:pos="875"/>
              </w:tabs>
              <w:ind w:right="-50"/>
              <w:jc w:val="center"/>
              <w:rPr>
                <w:rFonts w:ascii="Arial" w:hAnsi="Arial" w:cs="Arial"/>
                <w:b/>
              </w:rPr>
            </w:pPr>
            <w:r w:rsidRPr="0027495E">
              <w:rPr>
                <w:rFonts w:ascii="Arial" w:hAnsi="Arial" w:cs="Arial"/>
                <w:b/>
              </w:rPr>
              <w:t>N°</w:t>
            </w:r>
          </w:p>
        </w:tc>
        <w:tc>
          <w:tcPr>
            <w:tcW w:w="4317" w:type="dxa"/>
          </w:tcPr>
          <w:p w14:paraId="02AD1F2D" w14:textId="77777777" w:rsidR="004962D9" w:rsidRPr="0027495E" w:rsidRDefault="004962D9" w:rsidP="00D4226B">
            <w:pPr>
              <w:tabs>
                <w:tab w:val="left" w:pos="875"/>
              </w:tabs>
              <w:ind w:right="-50"/>
              <w:jc w:val="center"/>
              <w:rPr>
                <w:rFonts w:ascii="Arial" w:hAnsi="Arial" w:cs="Arial"/>
                <w:b/>
              </w:rPr>
            </w:pPr>
            <w:r w:rsidRPr="0027495E">
              <w:rPr>
                <w:rFonts w:ascii="Arial" w:hAnsi="Arial" w:cs="Arial"/>
                <w:b/>
              </w:rPr>
              <w:t>Limitaciones detectadas por su entidad en</w:t>
            </w:r>
          </w:p>
          <w:p w14:paraId="4691C109" w14:textId="77777777" w:rsidR="004962D9" w:rsidRPr="0027495E" w:rsidRDefault="004962D9" w:rsidP="00D4226B">
            <w:pPr>
              <w:tabs>
                <w:tab w:val="left" w:pos="875"/>
              </w:tabs>
              <w:ind w:right="-50"/>
              <w:jc w:val="center"/>
              <w:rPr>
                <w:rFonts w:ascii="Arial" w:hAnsi="Arial" w:cs="Arial"/>
                <w:b/>
              </w:rPr>
            </w:pPr>
            <w:r w:rsidRPr="0027495E">
              <w:rPr>
                <w:rFonts w:ascii="Arial" w:hAnsi="Arial" w:cs="Arial"/>
                <w:b/>
              </w:rPr>
              <w:t xml:space="preserve"> la aplicación del Marco Normativo - NICSP </w:t>
            </w:r>
          </w:p>
          <w:p w14:paraId="60A75F3F" w14:textId="77777777" w:rsidR="004962D9" w:rsidRPr="0027495E" w:rsidRDefault="004962D9" w:rsidP="00D4226B">
            <w:pPr>
              <w:tabs>
                <w:tab w:val="left" w:pos="875"/>
              </w:tabs>
              <w:ind w:right="-50"/>
              <w:jc w:val="center"/>
              <w:rPr>
                <w:rFonts w:ascii="Arial" w:hAnsi="Arial" w:cs="Arial"/>
                <w:b/>
              </w:rPr>
            </w:pPr>
            <w:r w:rsidRPr="0027495E">
              <w:rPr>
                <w:rFonts w:ascii="Arial" w:hAnsi="Arial" w:cs="Arial"/>
                <w:b/>
              </w:rPr>
              <w:t>a 31/12/2024</w:t>
            </w:r>
          </w:p>
          <w:p w14:paraId="0FFDD0BA" w14:textId="77777777" w:rsidR="004962D9" w:rsidRPr="0027495E" w:rsidRDefault="004962D9" w:rsidP="00D4226B">
            <w:pPr>
              <w:tabs>
                <w:tab w:val="left" w:pos="875"/>
              </w:tabs>
              <w:ind w:right="-50"/>
              <w:jc w:val="center"/>
              <w:rPr>
                <w:rFonts w:ascii="Arial" w:hAnsi="Arial" w:cs="Arial"/>
                <w:b/>
              </w:rPr>
            </w:pPr>
          </w:p>
        </w:tc>
        <w:tc>
          <w:tcPr>
            <w:tcW w:w="5244" w:type="dxa"/>
          </w:tcPr>
          <w:p w14:paraId="173D2512" w14:textId="77777777" w:rsidR="004962D9" w:rsidRPr="0027495E" w:rsidRDefault="004962D9" w:rsidP="00D4226B">
            <w:pPr>
              <w:tabs>
                <w:tab w:val="left" w:pos="875"/>
              </w:tabs>
              <w:ind w:right="-50"/>
              <w:jc w:val="center"/>
              <w:rPr>
                <w:rFonts w:ascii="Arial" w:hAnsi="Arial" w:cs="Arial"/>
                <w:b/>
              </w:rPr>
            </w:pPr>
            <w:r w:rsidRPr="0027495E">
              <w:rPr>
                <w:rFonts w:ascii="Arial" w:hAnsi="Arial" w:cs="Arial"/>
                <w:b/>
              </w:rPr>
              <w:t>Descripción de la limitación</w:t>
            </w:r>
          </w:p>
        </w:tc>
      </w:tr>
      <w:tr w:rsidR="004962D9" w:rsidRPr="0027495E" w14:paraId="47A34596" w14:textId="77777777" w:rsidTr="00D4226B">
        <w:tc>
          <w:tcPr>
            <w:tcW w:w="929" w:type="dxa"/>
          </w:tcPr>
          <w:p w14:paraId="3B161858" w14:textId="77777777" w:rsidR="004962D9" w:rsidRPr="0027495E" w:rsidRDefault="004962D9" w:rsidP="00D4226B">
            <w:pPr>
              <w:tabs>
                <w:tab w:val="left" w:pos="875"/>
              </w:tabs>
              <w:ind w:right="-50"/>
              <w:jc w:val="center"/>
              <w:rPr>
                <w:rFonts w:ascii="Arial" w:hAnsi="Arial" w:cs="Arial"/>
                <w:b/>
              </w:rPr>
            </w:pPr>
            <w:r w:rsidRPr="0027495E">
              <w:rPr>
                <w:rFonts w:ascii="Arial" w:hAnsi="Arial" w:cs="Arial"/>
                <w:b/>
              </w:rPr>
              <w:t>1</w:t>
            </w:r>
          </w:p>
        </w:tc>
        <w:tc>
          <w:tcPr>
            <w:tcW w:w="4317" w:type="dxa"/>
          </w:tcPr>
          <w:p w14:paraId="59B0C04F" w14:textId="77777777" w:rsidR="004962D9" w:rsidRPr="0027495E" w:rsidRDefault="004962D9" w:rsidP="00D4226B">
            <w:pPr>
              <w:tabs>
                <w:tab w:val="left" w:pos="875"/>
              </w:tabs>
              <w:ind w:right="-50"/>
              <w:jc w:val="both"/>
              <w:rPr>
                <w:rFonts w:ascii="Arial" w:hAnsi="Arial" w:cs="Arial"/>
                <w:b/>
              </w:rPr>
            </w:pPr>
            <w:r w:rsidRPr="0027495E">
              <w:rPr>
                <w:rFonts w:ascii="Arial" w:hAnsi="Arial" w:cs="Arial"/>
                <w:b/>
              </w:rPr>
              <w:t>Técnicas:</w:t>
            </w:r>
          </w:p>
        </w:tc>
        <w:tc>
          <w:tcPr>
            <w:tcW w:w="5244" w:type="dxa"/>
          </w:tcPr>
          <w:p w14:paraId="6CCE7675" w14:textId="77777777" w:rsidR="004962D9" w:rsidRPr="0027495E" w:rsidRDefault="004962D9" w:rsidP="00D4226B">
            <w:pPr>
              <w:tabs>
                <w:tab w:val="left" w:pos="875"/>
              </w:tabs>
              <w:ind w:right="-50"/>
              <w:jc w:val="both"/>
              <w:rPr>
                <w:rFonts w:ascii="Arial" w:hAnsi="Arial" w:cs="Arial"/>
              </w:rPr>
            </w:pPr>
            <w:r w:rsidRPr="0027495E">
              <w:rPr>
                <w:rFonts w:ascii="Arial" w:hAnsi="Arial" w:cs="Arial"/>
              </w:rPr>
              <w:t>Proceso de estabilización y actualización nuevo aplicativo administrativo y financiero PCT</w:t>
            </w:r>
          </w:p>
        </w:tc>
      </w:tr>
    </w:tbl>
    <w:p w14:paraId="01CBFEBE" w14:textId="77777777" w:rsidR="00860EB8" w:rsidRDefault="00860EB8" w:rsidP="004962D9">
      <w:pPr>
        <w:ind w:left="-284" w:right="-376"/>
        <w:jc w:val="both"/>
        <w:rPr>
          <w:rFonts w:ascii="Arial" w:hAnsi="Arial" w:cs="Arial"/>
          <w:b/>
          <w:sz w:val="28"/>
          <w:szCs w:val="28"/>
          <w:lang w:val="es-MX"/>
        </w:rPr>
      </w:pPr>
    </w:p>
    <w:p w14:paraId="7C6EDE2E" w14:textId="4422B023" w:rsidR="004962D9" w:rsidRPr="00027E68" w:rsidRDefault="004962D9" w:rsidP="004962D9">
      <w:pPr>
        <w:ind w:left="-284" w:right="-376"/>
        <w:jc w:val="both"/>
        <w:rPr>
          <w:rFonts w:ascii="Arial" w:hAnsi="Arial" w:cs="Arial"/>
          <w:b/>
          <w:sz w:val="28"/>
          <w:szCs w:val="28"/>
          <w:lang w:val="es-MX"/>
        </w:rPr>
      </w:pPr>
      <w:r w:rsidRPr="00027E68">
        <w:rPr>
          <w:rFonts w:ascii="Arial" w:hAnsi="Arial" w:cs="Arial"/>
          <w:b/>
          <w:sz w:val="28"/>
          <w:szCs w:val="28"/>
          <w:lang w:val="es-MX"/>
        </w:rPr>
        <w:t xml:space="preserve">187.- </w:t>
      </w:r>
      <w:r w:rsidRPr="00027E68">
        <w:rPr>
          <w:rFonts w:ascii="Arial" w:hAnsi="Arial" w:cs="Arial"/>
          <w:b/>
          <w:sz w:val="28"/>
          <w:szCs w:val="28"/>
        </w:rPr>
        <w:t>MINISTERIO DE CIENCIA, TECNOLOGÍA E INNOVACIÓN - MINCIENCIAS.</w:t>
      </w:r>
    </w:p>
    <w:p w14:paraId="444E9567"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993"/>
        <w:gridCol w:w="4253"/>
        <w:gridCol w:w="5244"/>
      </w:tblGrid>
      <w:tr w:rsidR="004962D9" w:rsidRPr="000B147A" w14:paraId="2B336A32" w14:textId="77777777" w:rsidTr="004C5E54">
        <w:tc>
          <w:tcPr>
            <w:tcW w:w="993" w:type="dxa"/>
          </w:tcPr>
          <w:p w14:paraId="15C672A7"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t>N°</w:t>
            </w:r>
          </w:p>
        </w:tc>
        <w:tc>
          <w:tcPr>
            <w:tcW w:w="4253" w:type="dxa"/>
          </w:tcPr>
          <w:p w14:paraId="79292929"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t>Limitaciones detectadas por su entidad en</w:t>
            </w:r>
          </w:p>
          <w:p w14:paraId="3B1D0873"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t xml:space="preserve"> la aplicación del Marco Normativo - NICSP </w:t>
            </w:r>
          </w:p>
          <w:p w14:paraId="3BB2B5C8" w14:textId="09F87234" w:rsidR="004962D9" w:rsidRPr="000B147A" w:rsidRDefault="004962D9" w:rsidP="00860EB8">
            <w:pPr>
              <w:tabs>
                <w:tab w:val="left" w:pos="875"/>
              </w:tabs>
              <w:ind w:right="-50"/>
              <w:jc w:val="center"/>
              <w:rPr>
                <w:rFonts w:ascii="Arial" w:hAnsi="Arial" w:cs="Arial"/>
                <w:b/>
              </w:rPr>
            </w:pPr>
            <w:r w:rsidRPr="000B147A">
              <w:rPr>
                <w:rFonts w:ascii="Arial" w:hAnsi="Arial" w:cs="Arial"/>
                <w:b/>
              </w:rPr>
              <w:t>a 31/12/2024</w:t>
            </w:r>
          </w:p>
        </w:tc>
        <w:tc>
          <w:tcPr>
            <w:tcW w:w="5244" w:type="dxa"/>
          </w:tcPr>
          <w:p w14:paraId="51F47B84"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t>Descripción de la limitación</w:t>
            </w:r>
          </w:p>
        </w:tc>
      </w:tr>
      <w:tr w:rsidR="004962D9" w:rsidRPr="000B147A" w14:paraId="58982384" w14:textId="77777777" w:rsidTr="004C5E54">
        <w:tc>
          <w:tcPr>
            <w:tcW w:w="993" w:type="dxa"/>
          </w:tcPr>
          <w:p w14:paraId="6E7DC193"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lastRenderedPageBreak/>
              <w:t>1</w:t>
            </w:r>
          </w:p>
        </w:tc>
        <w:tc>
          <w:tcPr>
            <w:tcW w:w="4253" w:type="dxa"/>
          </w:tcPr>
          <w:p w14:paraId="69781431" w14:textId="77777777" w:rsidR="004962D9" w:rsidRPr="000B147A" w:rsidRDefault="004962D9" w:rsidP="00D4226B">
            <w:pPr>
              <w:tabs>
                <w:tab w:val="left" w:pos="875"/>
              </w:tabs>
              <w:ind w:right="-50"/>
              <w:jc w:val="both"/>
              <w:rPr>
                <w:rFonts w:ascii="Arial" w:hAnsi="Arial" w:cs="Arial"/>
                <w:b/>
              </w:rPr>
            </w:pPr>
            <w:r w:rsidRPr="000B147A">
              <w:rPr>
                <w:rFonts w:ascii="Arial" w:hAnsi="Arial" w:cs="Arial"/>
                <w:b/>
              </w:rPr>
              <w:t>Normativas:</w:t>
            </w:r>
          </w:p>
        </w:tc>
        <w:tc>
          <w:tcPr>
            <w:tcW w:w="5244" w:type="dxa"/>
          </w:tcPr>
          <w:p w14:paraId="3EAB9C4E" w14:textId="77777777" w:rsidR="004962D9" w:rsidRPr="000B147A" w:rsidRDefault="004962D9" w:rsidP="00D4226B">
            <w:pPr>
              <w:tabs>
                <w:tab w:val="left" w:pos="875"/>
              </w:tabs>
              <w:ind w:right="-50"/>
              <w:jc w:val="both"/>
              <w:rPr>
                <w:rFonts w:ascii="Arial" w:hAnsi="Arial" w:cs="Arial"/>
              </w:rPr>
            </w:pPr>
            <w:r w:rsidRPr="000B147A">
              <w:rPr>
                <w:rFonts w:ascii="Arial" w:hAnsi="Arial" w:cs="Arial"/>
              </w:rPr>
              <w:t>Al Ministerio de Ciencia, Tecnología e Innovación le aplica el marco normativo establecido en la Resolución 533 de 2015 para Entidades de Gobierno, así como sus modificatorias, no se observan normas adicionales emitidas por la Contaduría General de la Nación que deban ser aplicadas por el Ministerio.</w:t>
            </w:r>
          </w:p>
        </w:tc>
      </w:tr>
      <w:tr w:rsidR="004962D9" w:rsidRPr="000B147A" w14:paraId="5413298E" w14:textId="77777777" w:rsidTr="004C5E54">
        <w:tc>
          <w:tcPr>
            <w:tcW w:w="993" w:type="dxa"/>
          </w:tcPr>
          <w:p w14:paraId="5F976E38"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t>2</w:t>
            </w:r>
          </w:p>
        </w:tc>
        <w:tc>
          <w:tcPr>
            <w:tcW w:w="4253" w:type="dxa"/>
          </w:tcPr>
          <w:p w14:paraId="4F6C506E" w14:textId="77777777" w:rsidR="004962D9" w:rsidRPr="000B147A" w:rsidRDefault="004962D9" w:rsidP="00D4226B">
            <w:pPr>
              <w:tabs>
                <w:tab w:val="left" w:pos="875"/>
              </w:tabs>
              <w:ind w:right="-50"/>
              <w:jc w:val="both"/>
              <w:rPr>
                <w:rFonts w:ascii="Arial" w:hAnsi="Arial" w:cs="Arial"/>
                <w:b/>
              </w:rPr>
            </w:pPr>
            <w:r w:rsidRPr="000B147A">
              <w:rPr>
                <w:rFonts w:ascii="Arial" w:hAnsi="Arial" w:cs="Arial"/>
                <w:b/>
              </w:rPr>
              <w:t>Académicas:</w:t>
            </w:r>
          </w:p>
        </w:tc>
        <w:tc>
          <w:tcPr>
            <w:tcW w:w="5244" w:type="dxa"/>
          </w:tcPr>
          <w:p w14:paraId="09566FFE" w14:textId="77777777" w:rsidR="004962D9" w:rsidRPr="000B147A" w:rsidRDefault="004962D9" w:rsidP="00D4226B">
            <w:pPr>
              <w:tabs>
                <w:tab w:val="left" w:pos="875"/>
              </w:tabs>
              <w:ind w:right="-50"/>
              <w:jc w:val="both"/>
              <w:rPr>
                <w:rFonts w:ascii="Arial" w:hAnsi="Arial" w:cs="Arial"/>
              </w:rPr>
            </w:pPr>
            <w:r w:rsidRPr="000B147A">
              <w:rPr>
                <w:rFonts w:ascii="Arial" w:hAnsi="Arial" w:cs="Arial"/>
              </w:rPr>
              <w:t>No se han presentado, el Ministerio ha brindado los espacios para que sus funcionarios asistan a las diferentes capacitaciones del Ministerio de Hacienda y la Contaduría General de la Nación, así como se ha realizado socialización de las políticas contables del Ministerio con el personal de las dependencias responsables de entregar información</w:t>
            </w:r>
          </w:p>
        </w:tc>
      </w:tr>
      <w:tr w:rsidR="004962D9" w:rsidRPr="000B147A" w14:paraId="29C44B11" w14:textId="77777777" w:rsidTr="004C5E54">
        <w:tc>
          <w:tcPr>
            <w:tcW w:w="993" w:type="dxa"/>
          </w:tcPr>
          <w:p w14:paraId="7E2E14F5" w14:textId="77777777" w:rsidR="004962D9" w:rsidRPr="000B147A" w:rsidRDefault="004962D9" w:rsidP="00D4226B">
            <w:pPr>
              <w:tabs>
                <w:tab w:val="left" w:pos="875"/>
              </w:tabs>
              <w:ind w:right="-50"/>
              <w:jc w:val="center"/>
              <w:rPr>
                <w:rFonts w:ascii="Arial" w:hAnsi="Arial" w:cs="Arial"/>
                <w:b/>
              </w:rPr>
            </w:pPr>
            <w:r w:rsidRPr="000B147A">
              <w:rPr>
                <w:rFonts w:ascii="Arial" w:hAnsi="Arial" w:cs="Arial"/>
                <w:b/>
              </w:rPr>
              <w:t>3</w:t>
            </w:r>
          </w:p>
        </w:tc>
        <w:tc>
          <w:tcPr>
            <w:tcW w:w="4253" w:type="dxa"/>
          </w:tcPr>
          <w:p w14:paraId="48E6FC2E" w14:textId="77777777" w:rsidR="004962D9" w:rsidRPr="000B147A" w:rsidRDefault="004962D9" w:rsidP="00D4226B">
            <w:pPr>
              <w:tabs>
                <w:tab w:val="left" w:pos="875"/>
              </w:tabs>
              <w:ind w:right="-50"/>
              <w:jc w:val="both"/>
              <w:rPr>
                <w:rFonts w:ascii="Arial" w:hAnsi="Arial" w:cs="Arial"/>
                <w:b/>
              </w:rPr>
            </w:pPr>
            <w:r w:rsidRPr="000B147A">
              <w:rPr>
                <w:rFonts w:ascii="Arial" w:hAnsi="Arial" w:cs="Arial"/>
                <w:b/>
              </w:rPr>
              <w:t>Operativas:</w:t>
            </w:r>
          </w:p>
        </w:tc>
        <w:tc>
          <w:tcPr>
            <w:tcW w:w="5244" w:type="dxa"/>
          </w:tcPr>
          <w:p w14:paraId="6065503E" w14:textId="77777777" w:rsidR="004962D9" w:rsidRPr="000B147A" w:rsidRDefault="004962D9" w:rsidP="00D4226B">
            <w:pPr>
              <w:tabs>
                <w:tab w:val="left" w:pos="875"/>
              </w:tabs>
              <w:ind w:right="-50"/>
              <w:jc w:val="both"/>
              <w:rPr>
                <w:rFonts w:ascii="Arial" w:hAnsi="Arial" w:cs="Arial"/>
              </w:rPr>
            </w:pPr>
            <w:r w:rsidRPr="000B147A">
              <w:rPr>
                <w:rFonts w:ascii="Arial" w:hAnsi="Arial" w:cs="Arial"/>
              </w:rPr>
              <w:t>Incremento de actividades y complejidad de las mismas producto del cumplimiento de la norma con la misma cantidad de funcionarios o colaboradores por parte de la entidad.</w:t>
            </w:r>
          </w:p>
        </w:tc>
      </w:tr>
    </w:tbl>
    <w:p w14:paraId="6A809E45" w14:textId="77777777" w:rsidR="004962D9" w:rsidRDefault="004962D9" w:rsidP="004962D9">
      <w:pPr>
        <w:ind w:left="-284" w:right="-234"/>
        <w:jc w:val="both"/>
        <w:rPr>
          <w:rFonts w:ascii="Arial" w:eastAsia="Trebuchet MS" w:hAnsi="Arial" w:cs="Arial"/>
          <w:b/>
          <w:sz w:val="32"/>
          <w:szCs w:val="32"/>
          <w:u w:val="single"/>
          <w:lang w:eastAsia="es-CO"/>
        </w:rPr>
      </w:pPr>
    </w:p>
    <w:p w14:paraId="6344A7C3" w14:textId="77777777" w:rsidR="004962D9" w:rsidRPr="00E41EFB" w:rsidRDefault="004962D9" w:rsidP="004962D9">
      <w:pPr>
        <w:ind w:left="-284" w:right="-234"/>
        <w:jc w:val="both"/>
        <w:rPr>
          <w:rFonts w:ascii="Arial" w:hAnsi="Arial" w:cs="Arial"/>
          <w:b/>
          <w:sz w:val="28"/>
          <w:szCs w:val="28"/>
          <w:lang w:val="es-MX"/>
        </w:rPr>
      </w:pPr>
      <w:r w:rsidRPr="00E41EFB">
        <w:rPr>
          <w:rFonts w:ascii="Arial" w:hAnsi="Arial" w:cs="Arial"/>
          <w:b/>
          <w:sz w:val="28"/>
          <w:szCs w:val="28"/>
          <w:lang w:val="es-MX"/>
        </w:rPr>
        <w:t>190.- PAR ELECTRIFICADORA DE CÓRDOBA S.A. E.S.P EN LIQUIDACIÓN – FIDUPREVISORA S.A.</w:t>
      </w:r>
    </w:p>
    <w:p w14:paraId="5BE4D6DA" w14:textId="77777777" w:rsidR="004962D9" w:rsidRDefault="004962D9" w:rsidP="004962D9">
      <w:pPr>
        <w:pStyle w:val="Prrafodelista"/>
        <w:spacing w:before="92"/>
        <w:ind w:left="-142"/>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4962D9" w:rsidRPr="002F5DC3" w14:paraId="3A703C5D" w14:textId="77777777" w:rsidTr="00D4226B">
        <w:tc>
          <w:tcPr>
            <w:tcW w:w="993" w:type="dxa"/>
          </w:tcPr>
          <w:p w14:paraId="7513626D" w14:textId="77777777" w:rsidR="004962D9" w:rsidRPr="002F5DC3" w:rsidRDefault="004962D9" w:rsidP="00D4226B">
            <w:pPr>
              <w:tabs>
                <w:tab w:val="left" w:pos="875"/>
              </w:tabs>
              <w:ind w:right="-50"/>
              <w:jc w:val="center"/>
              <w:rPr>
                <w:rFonts w:ascii="Arial" w:hAnsi="Arial" w:cs="Arial"/>
                <w:b/>
              </w:rPr>
            </w:pPr>
            <w:r w:rsidRPr="002F5DC3">
              <w:rPr>
                <w:rFonts w:ascii="Arial" w:hAnsi="Arial" w:cs="Arial"/>
                <w:b/>
              </w:rPr>
              <w:t>N°</w:t>
            </w:r>
          </w:p>
        </w:tc>
        <w:tc>
          <w:tcPr>
            <w:tcW w:w="4253" w:type="dxa"/>
          </w:tcPr>
          <w:p w14:paraId="03B3EBC2" w14:textId="77777777" w:rsidR="004962D9" w:rsidRPr="002F5DC3" w:rsidRDefault="004962D9" w:rsidP="00D4226B">
            <w:pPr>
              <w:tabs>
                <w:tab w:val="left" w:pos="875"/>
              </w:tabs>
              <w:ind w:right="-50"/>
              <w:jc w:val="center"/>
              <w:rPr>
                <w:rFonts w:ascii="Arial" w:hAnsi="Arial" w:cs="Arial"/>
                <w:b/>
              </w:rPr>
            </w:pPr>
            <w:r w:rsidRPr="002F5DC3">
              <w:rPr>
                <w:rFonts w:ascii="Arial" w:hAnsi="Arial" w:cs="Arial"/>
                <w:b/>
              </w:rPr>
              <w:t>Limitaciones detectadas por su entidad en</w:t>
            </w:r>
          </w:p>
          <w:p w14:paraId="28682434" w14:textId="77777777" w:rsidR="004962D9" w:rsidRPr="002F5DC3" w:rsidRDefault="004962D9" w:rsidP="00D4226B">
            <w:pPr>
              <w:tabs>
                <w:tab w:val="left" w:pos="875"/>
              </w:tabs>
              <w:ind w:right="-50"/>
              <w:jc w:val="center"/>
              <w:rPr>
                <w:rFonts w:ascii="Arial" w:hAnsi="Arial" w:cs="Arial"/>
                <w:b/>
              </w:rPr>
            </w:pPr>
            <w:r w:rsidRPr="002F5DC3">
              <w:rPr>
                <w:rFonts w:ascii="Arial" w:hAnsi="Arial" w:cs="Arial"/>
                <w:b/>
              </w:rPr>
              <w:t xml:space="preserve"> la aplicación del Marco Normativo - NICSP </w:t>
            </w:r>
          </w:p>
          <w:p w14:paraId="3E41B79B" w14:textId="77777777" w:rsidR="004962D9" w:rsidRPr="002F5DC3" w:rsidRDefault="004962D9" w:rsidP="00D4226B">
            <w:pPr>
              <w:tabs>
                <w:tab w:val="left" w:pos="875"/>
              </w:tabs>
              <w:ind w:right="-50"/>
              <w:jc w:val="center"/>
              <w:rPr>
                <w:rFonts w:ascii="Arial" w:hAnsi="Arial" w:cs="Arial"/>
                <w:b/>
              </w:rPr>
            </w:pPr>
            <w:r w:rsidRPr="002F5DC3">
              <w:rPr>
                <w:rFonts w:ascii="Arial" w:hAnsi="Arial" w:cs="Arial"/>
                <w:b/>
              </w:rPr>
              <w:t>a 31/12/2024</w:t>
            </w:r>
          </w:p>
          <w:p w14:paraId="7A2D918B" w14:textId="77777777" w:rsidR="004962D9" w:rsidRPr="002F5DC3" w:rsidRDefault="004962D9" w:rsidP="00D4226B">
            <w:pPr>
              <w:tabs>
                <w:tab w:val="left" w:pos="875"/>
              </w:tabs>
              <w:ind w:right="-50"/>
              <w:jc w:val="center"/>
              <w:rPr>
                <w:rFonts w:ascii="Arial" w:hAnsi="Arial" w:cs="Arial"/>
                <w:b/>
              </w:rPr>
            </w:pPr>
          </w:p>
        </w:tc>
        <w:tc>
          <w:tcPr>
            <w:tcW w:w="5244" w:type="dxa"/>
          </w:tcPr>
          <w:p w14:paraId="41357257" w14:textId="77777777" w:rsidR="004962D9" w:rsidRPr="002F5DC3" w:rsidRDefault="004962D9" w:rsidP="00D4226B">
            <w:pPr>
              <w:tabs>
                <w:tab w:val="left" w:pos="875"/>
              </w:tabs>
              <w:ind w:right="-50"/>
              <w:jc w:val="center"/>
              <w:rPr>
                <w:rFonts w:ascii="Arial" w:hAnsi="Arial" w:cs="Arial"/>
                <w:b/>
              </w:rPr>
            </w:pPr>
            <w:r w:rsidRPr="002F5DC3">
              <w:rPr>
                <w:rFonts w:ascii="Arial" w:hAnsi="Arial" w:cs="Arial"/>
                <w:b/>
              </w:rPr>
              <w:t>Descripción de la limitación</w:t>
            </w:r>
          </w:p>
        </w:tc>
      </w:tr>
      <w:tr w:rsidR="004962D9" w:rsidRPr="002F5DC3" w14:paraId="352F7695" w14:textId="77777777" w:rsidTr="00D4226B">
        <w:tc>
          <w:tcPr>
            <w:tcW w:w="993" w:type="dxa"/>
          </w:tcPr>
          <w:p w14:paraId="7EC87D92" w14:textId="77777777" w:rsidR="004962D9" w:rsidRPr="002F5DC3" w:rsidRDefault="004962D9" w:rsidP="00D4226B">
            <w:pPr>
              <w:tabs>
                <w:tab w:val="left" w:pos="875"/>
              </w:tabs>
              <w:ind w:right="-50"/>
              <w:jc w:val="center"/>
              <w:rPr>
                <w:rFonts w:ascii="Arial" w:hAnsi="Arial" w:cs="Arial"/>
                <w:b/>
              </w:rPr>
            </w:pPr>
            <w:r w:rsidRPr="002F5DC3">
              <w:rPr>
                <w:rFonts w:ascii="Arial" w:hAnsi="Arial" w:cs="Arial"/>
                <w:b/>
              </w:rPr>
              <w:t>1</w:t>
            </w:r>
          </w:p>
        </w:tc>
        <w:tc>
          <w:tcPr>
            <w:tcW w:w="4253" w:type="dxa"/>
          </w:tcPr>
          <w:p w14:paraId="6C86364F" w14:textId="77777777" w:rsidR="004962D9" w:rsidRPr="002F5DC3" w:rsidRDefault="004962D9" w:rsidP="00D4226B">
            <w:pPr>
              <w:tabs>
                <w:tab w:val="left" w:pos="875"/>
              </w:tabs>
              <w:ind w:right="-50"/>
              <w:jc w:val="both"/>
              <w:rPr>
                <w:rFonts w:ascii="Arial" w:hAnsi="Arial" w:cs="Arial"/>
                <w:b/>
              </w:rPr>
            </w:pPr>
            <w:r w:rsidRPr="002F5DC3">
              <w:rPr>
                <w:rFonts w:ascii="Arial" w:hAnsi="Arial" w:cs="Arial"/>
                <w:b/>
              </w:rPr>
              <w:t>Normativas:</w:t>
            </w:r>
          </w:p>
        </w:tc>
        <w:tc>
          <w:tcPr>
            <w:tcW w:w="5244" w:type="dxa"/>
          </w:tcPr>
          <w:p w14:paraId="73DE60AB" w14:textId="77777777" w:rsidR="004962D9" w:rsidRPr="002F5DC3" w:rsidRDefault="004962D9" w:rsidP="00D4226B">
            <w:pPr>
              <w:tabs>
                <w:tab w:val="left" w:pos="875"/>
              </w:tabs>
              <w:ind w:right="-50"/>
              <w:jc w:val="both"/>
              <w:rPr>
                <w:rFonts w:ascii="Arial" w:hAnsi="Arial" w:cs="Arial"/>
              </w:rPr>
            </w:pPr>
            <w:r w:rsidRPr="002F5DC3">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 201813000761 del 21-12-2018 indico “(…) Los responsables de los PATRIMONIOS AUTÓNOMOS sobre los cuales versa la solicitud deberán rendir la información en la forma en la que han venido rindiendo la misma en años anteriores, con los ajustes determinados para ello por la CGN (…)”.</w:t>
            </w:r>
          </w:p>
        </w:tc>
      </w:tr>
    </w:tbl>
    <w:p w14:paraId="78E512B5" w14:textId="77777777" w:rsidR="004962D9" w:rsidRDefault="004962D9" w:rsidP="004962D9">
      <w:pPr>
        <w:pStyle w:val="Prrafodelista"/>
        <w:spacing w:before="92"/>
        <w:ind w:left="-142"/>
        <w:rPr>
          <w:rFonts w:ascii="Arial" w:hAnsi="Arial" w:cs="Arial"/>
          <w:b/>
          <w:sz w:val="24"/>
          <w:szCs w:val="24"/>
        </w:rPr>
      </w:pPr>
    </w:p>
    <w:p w14:paraId="070BAF21" w14:textId="77777777" w:rsidR="004962D9" w:rsidRPr="001937B2" w:rsidRDefault="004962D9" w:rsidP="004962D9">
      <w:pPr>
        <w:ind w:left="-284" w:right="-234"/>
        <w:jc w:val="both"/>
        <w:rPr>
          <w:rFonts w:ascii="Arial" w:hAnsi="Arial" w:cs="Arial"/>
          <w:b/>
          <w:sz w:val="28"/>
          <w:szCs w:val="28"/>
          <w:lang w:val="es-MX"/>
        </w:rPr>
      </w:pPr>
      <w:r w:rsidRPr="001937B2">
        <w:rPr>
          <w:rFonts w:ascii="Arial" w:hAnsi="Arial" w:cs="Arial"/>
          <w:b/>
          <w:sz w:val="28"/>
          <w:szCs w:val="28"/>
          <w:lang w:val="es-MX"/>
        </w:rPr>
        <w:t>191.- ELECTRIFICADORA DE LA GUAJIRA S.A. E.S.P. EN LIQUIDACIÓN – FIDUPREVISORA S.A.</w:t>
      </w:r>
    </w:p>
    <w:p w14:paraId="664A44C0" w14:textId="77777777" w:rsidR="004962D9" w:rsidRPr="001937B2" w:rsidRDefault="004962D9" w:rsidP="004962D9">
      <w:pPr>
        <w:pStyle w:val="Prrafodelista"/>
        <w:spacing w:before="92"/>
        <w:ind w:left="-142"/>
        <w:rPr>
          <w:rFonts w:ascii="Arial" w:hAnsi="Arial" w:cs="Arial"/>
          <w:b/>
          <w:sz w:val="24"/>
          <w:szCs w:val="24"/>
        </w:rPr>
      </w:pPr>
    </w:p>
    <w:tbl>
      <w:tblPr>
        <w:tblStyle w:val="Tablaconcuadrcula"/>
        <w:tblW w:w="10490" w:type="dxa"/>
        <w:tblInd w:w="-289" w:type="dxa"/>
        <w:tblLook w:val="04A0" w:firstRow="1" w:lastRow="0" w:firstColumn="1" w:lastColumn="0" w:noHBand="0" w:noVBand="1"/>
      </w:tblPr>
      <w:tblGrid>
        <w:gridCol w:w="993"/>
        <w:gridCol w:w="4253"/>
        <w:gridCol w:w="5244"/>
      </w:tblGrid>
      <w:tr w:rsidR="004962D9" w:rsidRPr="001937B2" w14:paraId="05FE4F8F" w14:textId="77777777" w:rsidTr="00D4226B">
        <w:tc>
          <w:tcPr>
            <w:tcW w:w="993" w:type="dxa"/>
          </w:tcPr>
          <w:p w14:paraId="4A3C69B1" w14:textId="77777777" w:rsidR="004962D9" w:rsidRPr="001937B2" w:rsidRDefault="004962D9" w:rsidP="00D4226B">
            <w:pPr>
              <w:tabs>
                <w:tab w:val="left" w:pos="875"/>
              </w:tabs>
              <w:ind w:right="-50"/>
              <w:jc w:val="center"/>
              <w:rPr>
                <w:rFonts w:ascii="Arial" w:hAnsi="Arial" w:cs="Arial"/>
                <w:b/>
              </w:rPr>
            </w:pPr>
            <w:r w:rsidRPr="001937B2">
              <w:rPr>
                <w:rFonts w:ascii="Arial" w:hAnsi="Arial" w:cs="Arial"/>
                <w:b/>
              </w:rPr>
              <w:t>N°</w:t>
            </w:r>
          </w:p>
        </w:tc>
        <w:tc>
          <w:tcPr>
            <w:tcW w:w="4253" w:type="dxa"/>
          </w:tcPr>
          <w:p w14:paraId="0AAF9361" w14:textId="77777777" w:rsidR="004962D9" w:rsidRPr="001937B2" w:rsidRDefault="004962D9" w:rsidP="00D4226B">
            <w:pPr>
              <w:tabs>
                <w:tab w:val="left" w:pos="875"/>
              </w:tabs>
              <w:ind w:right="-50"/>
              <w:jc w:val="center"/>
              <w:rPr>
                <w:rFonts w:ascii="Arial" w:hAnsi="Arial" w:cs="Arial"/>
                <w:b/>
              </w:rPr>
            </w:pPr>
            <w:r w:rsidRPr="001937B2">
              <w:rPr>
                <w:rFonts w:ascii="Arial" w:hAnsi="Arial" w:cs="Arial"/>
                <w:b/>
              </w:rPr>
              <w:t>Limitaciones detectadas por su entidad en</w:t>
            </w:r>
          </w:p>
          <w:p w14:paraId="0CB5AF2E" w14:textId="77777777" w:rsidR="004962D9" w:rsidRPr="001937B2" w:rsidRDefault="004962D9" w:rsidP="00D4226B">
            <w:pPr>
              <w:tabs>
                <w:tab w:val="left" w:pos="875"/>
              </w:tabs>
              <w:ind w:right="-50"/>
              <w:jc w:val="center"/>
              <w:rPr>
                <w:rFonts w:ascii="Arial" w:hAnsi="Arial" w:cs="Arial"/>
                <w:b/>
              </w:rPr>
            </w:pPr>
            <w:r w:rsidRPr="001937B2">
              <w:rPr>
                <w:rFonts w:ascii="Arial" w:hAnsi="Arial" w:cs="Arial"/>
                <w:b/>
              </w:rPr>
              <w:t xml:space="preserve"> la aplicación del Marco Normativo - NICSP </w:t>
            </w:r>
          </w:p>
          <w:p w14:paraId="310E415E" w14:textId="77777777" w:rsidR="004962D9" w:rsidRPr="001937B2" w:rsidRDefault="004962D9" w:rsidP="00D4226B">
            <w:pPr>
              <w:tabs>
                <w:tab w:val="left" w:pos="875"/>
              </w:tabs>
              <w:ind w:right="-50"/>
              <w:jc w:val="center"/>
              <w:rPr>
                <w:rFonts w:ascii="Arial" w:hAnsi="Arial" w:cs="Arial"/>
                <w:b/>
              </w:rPr>
            </w:pPr>
            <w:r w:rsidRPr="001937B2">
              <w:rPr>
                <w:rFonts w:ascii="Arial" w:hAnsi="Arial" w:cs="Arial"/>
                <w:b/>
              </w:rPr>
              <w:t>a 31/12/2024</w:t>
            </w:r>
          </w:p>
          <w:p w14:paraId="0AEE7BD5" w14:textId="77777777" w:rsidR="004962D9" w:rsidRPr="001937B2" w:rsidRDefault="004962D9" w:rsidP="00D4226B">
            <w:pPr>
              <w:tabs>
                <w:tab w:val="left" w:pos="875"/>
              </w:tabs>
              <w:ind w:right="-50"/>
              <w:jc w:val="center"/>
              <w:rPr>
                <w:rFonts w:ascii="Arial" w:hAnsi="Arial" w:cs="Arial"/>
                <w:b/>
              </w:rPr>
            </w:pPr>
          </w:p>
        </w:tc>
        <w:tc>
          <w:tcPr>
            <w:tcW w:w="5244" w:type="dxa"/>
          </w:tcPr>
          <w:p w14:paraId="7A115532" w14:textId="77777777" w:rsidR="004962D9" w:rsidRPr="001937B2" w:rsidRDefault="004962D9" w:rsidP="00D4226B">
            <w:pPr>
              <w:tabs>
                <w:tab w:val="left" w:pos="875"/>
              </w:tabs>
              <w:ind w:right="-50"/>
              <w:jc w:val="center"/>
              <w:rPr>
                <w:rFonts w:ascii="Arial" w:hAnsi="Arial" w:cs="Arial"/>
                <w:b/>
              </w:rPr>
            </w:pPr>
            <w:r w:rsidRPr="001937B2">
              <w:rPr>
                <w:rFonts w:ascii="Arial" w:hAnsi="Arial" w:cs="Arial"/>
                <w:b/>
              </w:rPr>
              <w:t>Descripción de la limitación</w:t>
            </w:r>
          </w:p>
        </w:tc>
      </w:tr>
      <w:tr w:rsidR="004962D9" w:rsidRPr="001937B2" w14:paraId="518D79A8" w14:textId="77777777" w:rsidTr="00D4226B">
        <w:tc>
          <w:tcPr>
            <w:tcW w:w="993" w:type="dxa"/>
          </w:tcPr>
          <w:p w14:paraId="083EE61D" w14:textId="77777777" w:rsidR="004962D9" w:rsidRPr="001937B2" w:rsidRDefault="004962D9" w:rsidP="00D4226B">
            <w:pPr>
              <w:tabs>
                <w:tab w:val="left" w:pos="875"/>
              </w:tabs>
              <w:ind w:right="-50"/>
              <w:jc w:val="center"/>
              <w:rPr>
                <w:rFonts w:ascii="Arial" w:hAnsi="Arial" w:cs="Arial"/>
                <w:b/>
              </w:rPr>
            </w:pPr>
            <w:r w:rsidRPr="001937B2">
              <w:rPr>
                <w:rFonts w:ascii="Arial" w:hAnsi="Arial" w:cs="Arial"/>
                <w:b/>
              </w:rPr>
              <w:t>1</w:t>
            </w:r>
          </w:p>
        </w:tc>
        <w:tc>
          <w:tcPr>
            <w:tcW w:w="4253" w:type="dxa"/>
          </w:tcPr>
          <w:p w14:paraId="700E8CBF" w14:textId="77777777" w:rsidR="004962D9" w:rsidRPr="001937B2" w:rsidRDefault="004962D9" w:rsidP="00D4226B">
            <w:pPr>
              <w:tabs>
                <w:tab w:val="left" w:pos="875"/>
              </w:tabs>
              <w:ind w:right="-50"/>
              <w:jc w:val="both"/>
              <w:rPr>
                <w:rFonts w:ascii="Arial" w:hAnsi="Arial" w:cs="Arial"/>
                <w:b/>
              </w:rPr>
            </w:pPr>
            <w:r w:rsidRPr="001937B2">
              <w:rPr>
                <w:rFonts w:ascii="Arial" w:hAnsi="Arial" w:cs="Arial"/>
                <w:b/>
              </w:rPr>
              <w:t>Normativas:</w:t>
            </w:r>
          </w:p>
        </w:tc>
        <w:tc>
          <w:tcPr>
            <w:tcW w:w="5244" w:type="dxa"/>
          </w:tcPr>
          <w:p w14:paraId="793A6DA6" w14:textId="77777777" w:rsidR="004962D9" w:rsidRPr="001937B2" w:rsidRDefault="004962D9" w:rsidP="00D4226B">
            <w:pPr>
              <w:tabs>
                <w:tab w:val="left" w:pos="875"/>
              </w:tabs>
              <w:ind w:right="-50"/>
              <w:jc w:val="both"/>
              <w:rPr>
                <w:rFonts w:ascii="Arial" w:hAnsi="Arial" w:cs="Arial"/>
              </w:rPr>
            </w:pPr>
            <w:r w:rsidRPr="001937B2">
              <w:rPr>
                <w:rFonts w:ascii="Arial" w:hAnsi="Arial" w:cs="Arial"/>
              </w:rPr>
              <w:t xml:space="preserve">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responsables de los PATRIMONIOS AUTÓNOMOS, sobre los cuales versa la solicitud, deberán rendir la información en la forma en que han venido rindiendo la </w:t>
            </w:r>
            <w:r w:rsidRPr="001937B2">
              <w:rPr>
                <w:rFonts w:ascii="Arial" w:hAnsi="Arial" w:cs="Arial"/>
              </w:rPr>
              <w:lastRenderedPageBreak/>
              <w:t>misma en años anteriores, con los ajustes determinados para ello por la CGN (…)”</w:t>
            </w:r>
          </w:p>
        </w:tc>
      </w:tr>
    </w:tbl>
    <w:p w14:paraId="3B8101B7" w14:textId="77777777" w:rsidR="004962D9" w:rsidRDefault="004962D9" w:rsidP="004962D9">
      <w:pPr>
        <w:ind w:left="-284" w:right="-234"/>
        <w:jc w:val="both"/>
        <w:rPr>
          <w:rFonts w:ascii="Arial" w:eastAsia="Trebuchet MS" w:hAnsi="Arial" w:cs="Arial"/>
          <w:b/>
          <w:sz w:val="32"/>
          <w:szCs w:val="32"/>
          <w:u w:val="single"/>
          <w:lang w:eastAsia="es-CO"/>
        </w:rPr>
      </w:pPr>
    </w:p>
    <w:p w14:paraId="5F2BA198" w14:textId="77777777" w:rsidR="004962D9" w:rsidRPr="002D7603" w:rsidRDefault="004962D9" w:rsidP="004962D9">
      <w:pPr>
        <w:ind w:left="-284" w:right="-234"/>
        <w:jc w:val="both"/>
        <w:rPr>
          <w:rFonts w:ascii="Arial" w:hAnsi="Arial" w:cs="Arial"/>
          <w:b/>
          <w:sz w:val="28"/>
          <w:szCs w:val="28"/>
          <w:lang w:val="es-MX"/>
        </w:rPr>
      </w:pPr>
      <w:r w:rsidRPr="002D7603">
        <w:rPr>
          <w:rFonts w:ascii="Arial" w:hAnsi="Arial" w:cs="Arial"/>
          <w:b/>
          <w:sz w:val="28"/>
          <w:szCs w:val="28"/>
          <w:lang w:val="es-MX"/>
        </w:rPr>
        <w:t>192.- PAR ELECTRIFICADORA DEL ATLÁNTICO S.A. E.S.P. EN LIQUIDACIÓN – FIDUPREVISORA S.A.</w:t>
      </w:r>
    </w:p>
    <w:p w14:paraId="27E33570" w14:textId="77777777" w:rsidR="004962D9" w:rsidRPr="002D7603" w:rsidRDefault="004962D9" w:rsidP="004962D9">
      <w:pPr>
        <w:pStyle w:val="Textoindependiente"/>
        <w:ind w:right="-50"/>
        <w:jc w:val="both"/>
        <w:rPr>
          <w:rFonts w:ascii="Arial" w:hAnsi="Arial" w:cs="Arial"/>
          <w:b/>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2D7603" w14:paraId="1F7305A6" w14:textId="77777777" w:rsidTr="004C5E54">
        <w:tc>
          <w:tcPr>
            <w:tcW w:w="851" w:type="dxa"/>
          </w:tcPr>
          <w:p w14:paraId="5285CEC5" w14:textId="77777777" w:rsidR="004962D9" w:rsidRPr="002D7603" w:rsidRDefault="004962D9" w:rsidP="00D4226B">
            <w:pPr>
              <w:tabs>
                <w:tab w:val="left" w:pos="875"/>
              </w:tabs>
              <w:ind w:right="-50"/>
              <w:jc w:val="center"/>
              <w:rPr>
                <w:rFonts w:ascii="Arial" w:hAnsi="Arial" w:cs="Arial"/>
                <w:b/>
              </w:rPr>
            </w:pPr>
            <w:r w:rsidRPr="002D7603">
              <w:rPr>
                <w:rFonts w:ascii="Arial" w:hAnsi="Arial" w:cs="Arial"/>
                <w:b/>
              </w:rPr>
              <w:t>N°</w:t>
            </w:r>
          </w:p>
        </w:tc>
        <w:tc>
          <w:tcPr>
            <w:tcW w:w="4395" w:type="dxa"/>
          </w:tcPr>
          <w:p w14:paraId="725A4789" w14:textId="77777777" w:rsidR="004962D9" w:rsidRPr="002D7603" w:rsidRDefault="004962D9" w:rsidP="00D4226B">
            <w:pPr>
              <w:tabs>
                <w:tab w:val="left" w:pos="875"/>
              </w:tabs>
              <w:ind w:right="-50"/>
              <w:jc w:val="center"/>
              <w:rPr>
                <w:rFonts w:ascii="Arial" w:hAnsi="Arial" w:cs="Arial"/>
                <w:b/>
              </w:rPr>
            </w:pPr>
            <w:r w:rsidRPr="002D7603">
              <w:rPr>
                <w:rFonts w:ascii="Arial" w:hAnsi="Arial" w:cs="Arial"/>
                <w:b/>
              </w:rPr>
              <w:t>Limitaciones detectadas por su entidad en</w:t>
            </w:r>
          </w:p>
          <w:p w14:paraId="0C774929" w14:textId="77777777" w:rsidR="004962D9" w:rsidRPr="002D7603" w:rsidRDefault="004962D9" w:rsidP="00D4226B">
            <w:pPr>
              <w:tabs>
                <w:tab w:val="left" w:pos="875"/>
              </w:tabs>
              <w:ind w:right="-50"/>
              <w:jc w:val="center"/>
              <w:rPr>
                <w:rFonts w:ascii="Arial" w:hAnsi="Arial" w:cs="Arial"/>
                <w:b/>
              </w:rPr>
            </w:pPr>
            <w:r w:rsidRPr="002D7603">
              <w:rPr>
                <w:rFonts w:ascii="Arial" w:hAnsi="Arial" w:cs="Arial"/>
                <w:b/>
              </w:rPr>
              <w:t xml:space="preserve"> la aplicación del Marco Normativo - NICSP </w:t>
            </w:r>
          </w:p>
          <w:p w14:paraId="573E5D12" w14:textId="77777777" w:rsidR="004962D9" w:rsidRPr="002D7603" w:rsidRDefault="004962D9" w:rsidP="00D4226B">
            <w:pPr>
              <w:tabs>
                <w:tab w:val="left" w:pos="875"/>
              </w:tabs>
              <w:ind w:right="-50"/>
              <w:jc w:val="center"/>
              <w:rPr>
                <w:rFonts w:ascii="Arial" w:hAnsi="Arial" w:cs="Arial"/>
                <w:b/>
              </w:rPr>
            </w:pPr>
            <w:r w:rsidRPr="002D7603">
              <w:rPr>
                <w:rFonts w:ascii="Arial" w:hAnsi="Arial" w:cs="Arial"/>
                <w:b/>
              </w:rPr>
              <w:t>a 31/12/2024</w:t>
            </w:r>
          </w:p>
          <w:p w14:paraId="0E8557B4" w14:textId="77777777" w:rsidR="004962D9" w:rsidRPr="002D7603" w:rsidRDefault="004962D9" w:rsidP="00D4226B">
            <w:pPr>
              <w:tabs>
                <w:tab w:val="left" w:pos="875"/>
              </w:tabs>
              <w:ind w:right="-50"/>
              <w:jc w:val="center"/>
              <w:rPr>
                <w:rFonts w:ascii="Arial" w:hAnsi="Arial" w:cs="Arial"/>
                <w:b/>
              </w:rPr>
            </w:pPr>
          </w:p>
        </w:tc>
        <w:tc>
          <w:tcPr>
            <w:tcW w:w="5244" w:type="dxa"/>
          </w:tcPr>
          <w:p w14:paraId="2C8257E7" w14:textId="77777777" w:rsidR="004962D9" w:rsidRPr="002D7603" w:rsidRDefault="004962D9" w:rsidP="00D4226B">
            <w:pPr>
              <w:tabs>
                <w:tab w:val="left" w:pos="875"/>
              </w:tabs>
              <w:ind w:right="-50"/>
              <w:jc w:val="center"/>
              <w:rPr>
                <w:rFonts w:ascii="Arial" w:hAnsi="Arial" w:cs="Arial"/>
                <w:b/>
              </w:rPr>
            </w:pPr>
            <w:r w:rsidRPr="002D7603">
              <w:rPr>
                <w:rFonts w:ascii="Arial" w:hAnsi="Arial" w:cs="Arial"/>
                <w:b/>
              </w:rPr>
              <w:t>Descripción de la limitación</w:t>
            </w:r>
          </w:p>
        </w:tc>
      </w:tr>
      <w:tr w:rsidR="004962D9" w:rsidRPr="002D7603" w14:paraId="7B1F7381" w14:textId="77777777" w:rsidTr="004C5E54">
        <w:tc>
          <w:tcPr>
            <w:tcW w:w="851" w:type="dxa"/>
          </w:tcPr>
          <w:p w14:paraId="1AAC64C8" w14:textId="77777777" w:rsidR="004962D9" w:rsidRPr="002D7603" w:rsidRDefault="004962D9" w:rsidP="00D4226B">
            <w:pPr>
              <w:tabs>
                <w:tab w:val="left" w:pos="875"/>
              </w:tabs>
              <w:ind w:right="-50"/>
              <w:jc w:val="center"/>
              <w:rPr>
                <w:rFonts w:ascii="Arial" w:hAnsi="Arial" w:cs="Arial"/>
                <w:b/>
              </w:rPr>
            </w:pPr>
            <w:r w:rsidRPr="002D7603">
              <w:rPr>
                <w:rFonts w:ascii="Arial" w:hAnsi="Arial" w:cs="Arial"/>
                <w:b/>
              </w:rPr>
              <w:t>1</w:t>
            </w:r>
          </w:p>
        </w:tc>
        <w:tc>
          <w:tcPr>
            <w:tcW w:w="4395" w:type="dxa"/>
          </w:tcPr>
          <w:p w14:paraId="62A31E54" w14:textId="77777777" w:rsidR="004962D9" w:rsidRPr="002D7603" w:rsidRDefault="004962D9" w:rsidP="00D4226B">
            <w:pPr>
              <w:tabs>
                <w:tab w:val="left" w:pos="875"/>
              </w:tabs>
              <w:ind w:right="-50"/>
              <w:jc w:val="both"/>
              <w:rPr>
                <w:rFonts w:ascii="Arial" w:hAnsi="Arial" w:cs="Arial"/>
                <w:b/>
              </w:rPr>
            </w:pPr>
            <w:r w:rsidRPr="002D7603">
              <w:rPr>
                <w:rFonts w:ascii="Arial" w:hAnsi="Arial" w:cs="Arial"/>
                <w:b/>
              </w:rPr>
              <w:t>Normativas:</w:t>
            </w:r>
          </w:p>
        </w:tc>
        <w:tc>
          <w:tcPr>
            <w:tcW w:w="5244" w:type="dxa"/>
          </w:tcPr>
          <w:p w14:paraId="26CF55E8" w14:textId="77777777" w:rsidR="004962D9" w:rsidRPr="002D7603" w:rsidRDefault="004962D9" w:rsidP="00D4226B">
            <w:pPr>
              <w:tabs>
                <w:tab w:val="left" w:pos="875"/>
              </w:tabs>
              <w:ind w:right="-50"/>
              <w:jc w:val="both"/>
              <w:rPr>
                <w:rFonts w:ascii="Arial" w:hAnsi="Arial" w:cs="Arial"/>
              </w:rPr>
            </w:pPr>
            <w:r w:rsidRPr="002D7603">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 201813000761 del 21-12-2018 indico “(…) Los responsables de los PATRIMONIOS AUTÓNOMOS sobre los cuales versa la solicitud deberán rendir la información en la forma en la que han venido rindiendo la misma en años anteriores, con los ajustes determinados para ello por la CGN (…)”.</w:t>
            </w:r>
          </w:p>
        </w:tc>
      </w:tr>
    </w:tbl>
    <w:p w14:paraId="009F0DFC" w14:textId="77777777" w:rsidR="004962D9" w:rsidRDefault="004962D9" w:rsidP="004962D9">
      <w:pPr>
        <w:ind w:left="-284" w:right="-234"/>
        <w:jc w:val="both"/>
        <w:rPr>
          <w:rFonts w:ascii="Arial" w:eastAsia="Trebuchet MS" w:hAnsi="Arial" w:cs="Arial"/>
          <w:b/>
          <w:sz w:val="32"/>
          <w:szCs w:val="32"/>
          <w:u w:val="single"/>
          <w:lang w:eastAsia="es-CO"/>
        </w:rPr>
      </w:pPr>
    </w:p>
    <w:p w14:paraId="70E8223C" w14:textId="77777777" w:rsidR="004962D9" w:rsidRPr="00517442" w:rsidRDefault="004962D9" w:rsidP="004962D9">
      <w:pPr>
        <w:ind w:left="-284" w:right="-234"/>
        <w:jc w:val="both"/>
        <w:rPr>
          <w:rFonts w:ascii="Arial" w:hAnsi="Arial" w:cs="Arial"/>
          <w:b/>
          <w:sz w:val="28"/>
          <w:szCs w:val="28"/>
          <w:lang w:val="es-MX"/>
        </w:rPr>
      </w:pPr>
      <w:r w:rsidRPr="00517442">
        <w:rPr>
          <w:rFonts w:ascii="Arial" w:hAnsi="Arial" w:cs="Arial"/>
          <w:b/>
          <w:sz w:val="28"/>
          <w:szCs w:val="28"/>
          <w:lang w:val="es-MX"/>
        </w:rPr>
        <w:t>193.- PAR ELECTRIFICADORA DEL MAGDALENA S.A. E.S.P. EN LIQUIDACIÓN – FIDUPREVISORA S.A.</w:t>
      </w:r>
    </w:p>
    <w:p w14:paraId="14763FA7" w14:textId="77777777" w:rsidR="004962D9" w:rsidRDefault="004962D9" w:rsidP="004962D9">
      <w:pPr>
        <w:pStyle w:val="Textoindependiente"/>
        <w:ind w:right="-50"/>
        <w:jc w:val="both"/>
        <w:rPr>
          <w:b/>
        </w:rPr>
      </w:pPr>
    </w:p>
    <w:tbl>
      <w:tblPr>
        <w:tblStyle w:val="Tablaconcuadrcula"/>
        <w:tblW w:w="10490" w:type="dxa"/>
        <w:tblInd w:w="-289" w:type="dxa"/>
        <w:tblLook w:val="04A0" w:firstRow="1" w:lastRow="0" w:firstColumn="1" w:lastColumn="0" w:noHBand="0" w:noVBand="1"/>
      </w:tblPr>
      <w:tblGrid>
        <w:gridCol w:w="929"/>
        <w:gridCol w:w="4317"/>
        <w:gridCol w:w="5244"/>
      </w:tblGrid>
      <w:tr w:rsidR="004962D9" w:rsidRPr="00517442" w14:paraId="4FAEC563" w14:textId="77777777" w:rsidTr="00D4226B">
        <w:tc>
          <w:tcPr>
            <w:tcW w:w="929" w:type="dxa"/>
          </w:tcPr>
          <w:p w14:paraId="17749F3F" w14:textId="77777777" w:rsidR="004962D9" w:rsidRPr="00517442" w:rsidRDefault="004962D9" w:rsidP="00D4226B">
            <w:pPr>
              <w:tabs>
                <w:tab w:val="left" w:pos="875"/>
              </w:tabs>
              <w:ind w:right="-50"/>
              <w:jc w:val="center"/>
              <w:rPr>
                <w:rFonts w:ascii="Arial" w:hAnsi="Arial" w:cs="Arial"/>
                <w:b/>
              </w:rPr>
            </w:pPr>
            <w:r w:rsidRPr="00517442">
              <w:rPr>
                <w:rFonts w:ascii="Arial" w:hAnsi="Arial" w:cs="Arial"/>
                <w:b/>
              </w:rPr>
              <w:t>N°</w:t>
            </w:r>
          </w:p>
        </w:tc>
        <w:tc>
          <w:tcPr>
            <w:tcW w:w="4317" w:type="dxa"/>
          </w:tcPr>
          <w:p w14:paraId="700DE27D" w14:textId="77777777" w:rsidR="004962D9" w:rsidRPr="00517442" w:rsidRDefault="004962D9" w:rsidP="00D4226B">
            <w:pPr>
              <w:tabs>
                <w:tab w:val="left" w:pos="875"/>
              </w:tabs>
              <w:ind w:right="-50"/>
              <w:jc w:val="center"/>
              <w:rPr>
                <w:rFonts w:ascii="Arial" w:hAnsi="Arial" w:cs="Arial"/>
                <w:b/>
              </w:rPr>
            </w:pPr>
            <w:r w:rsidRPr="00517442">
              <w:rPr>
                <w:rFonts w:ascii="Arial" w:hAnsi="Arial" w:cs="Arial"/>
                <w:b/>
              </w:rPr>
              <w:t>Limitaciones detectadas por su entidad en</w:t>
            </w:r>
          </w:p>
          <w:p w14:paraId="5FB6D4DD" w14:textId="77777777" w:rsidR="004962D9" w:rsidRPr="00517442" w:rsidRDefault="004962D9" w:rsidP="00D4226B">
            <w:pPr>
              <w:tabs>
                <w:tab w:val="left" w:pos="875"/>
              </w:tabs>
              <w:ind w:right="-50"/>
              <w:jc w:val="center"/>
              <w:rPr>
                <w:rFonts w:ascii="Arial" w:hAnsi="Arial" w:cs="Arial"/>
                <w:b/>
              </w:rPr>
            </w:pPr>
            <w:r w:rsidRPr="00517442">
              <w:rPr>
                <w:rFonts w:ascii="Arial" w:hAnsi="Arial" w:cs="Arial"/>
                <w:b/>
              </w:rPr>
              <w:t xml:space="preserve"> la aplicación del Marco Normativo - NICSP </w:t>
            </w:r>
          </w:p>
          <w:p w14:paraId="0410FB14" w14:textId="77777777" w:rsidR="004962D9" w:rsidRPr="00517442" w:rsidRDefault="004962D9" w:rsidP="00D4226B">
            <w:pPr>
              <w:tabs>
                <w:tab w:val="left" w:pos="875"/>
              </w:tabs>
              <w:ind w:right="-50"/>
              <w:jc w:val="center"/>
              <w:rPr>
                <w:rFonts w:ascii="Arial" w:hAnsi="Arial" w:cs="Arial"/>
                <w:b/>
              </w:rPr>
            </w:pPr>
            <w:r w:rsidRPr="00517442">
              <w:rPr>
                <w:rFonts w:ascii="Arial" w:hAnsi="Arial" w:cs="Arial"/>
                <w:b/>
              </w:rPr>
              <w:t>a 31/12/2024</w:t>
            </w:r>
          </w:p>
          <w:p w14:paraId="1A7CEB1C" w14:textId="77777777" w:rsidR="004962D9" w:rsidRPr="00517442" w:rsidRDefault="004962D9" w:rsidP="00D4226B">
            <w:pPr>
              <w:tabs>
                <w:tab w:val="left" w:pos="875"/>
              </w:tabs>
              <w:ind w:right="-50"/>
              <w:jc w:val="center"/>
              <w:rPr>
                <w:rFonts w:ascii="Arial" w:hAnsi="Arial" w:cs="Arial"/>
                <w:b/>
              </w:rPr>
            </w:pPr>
          </w:p>
        </w:tc>
        <w:tc>
          <w:tcPr>
            <w:tcW w:w="5244" w:type="dxa"/>
          </w:tcPr>
          <w:p w14:paraId="45545788" w14:textId="77777777" w:rsidR="004962D9" w:rsidRPr="00517442" w:rsidRDefault="004962D9" w:rsidP="00D4226B">
            <w:pPr>
              <w:tabs>
                <w:tab w:val="left" w:pos="875"/>
              </w:tabs>
              <w:ind w:right="-50"/>
              <w:jc w:val="center"/>
              <w:rPr>
                <w:rFonts w:ascii="Arial" w:hAnsi="Arial" w:cs="Arial"/>
                <w:b/>
              </w:rPr>
            </w:pPr>
            <w:r w:rsidRPr="00517442">
              <w:rPr>
                <w:rFonts w:ascii="Arial" w:hAnsi="Arial" w:cs="Arial"/>
                <w:b/>
              </w:rPr>
              <w:t>Descripción de la limitación</w:t>
            </w:r>
          </w:p>
        </w:tc>
      </w:tr>
      <w:tr w:rsidR="004962D9" w:rsidRPr="00517442" w14:paraId="0247471D" w14:textId="77777777" w:rsidTr="00D4226B">
        <w:tc>
          <w:tcPr>
            <w:tcW w:w="929" w:type="dxa"/>
          </w:tcPr>
          <w:p w14:paraId="7ED73DA7" w14:textId="77777777" w:rsidR="004962D9" w:rsidRPr="00517442" w:rsidRDefault="004962D9" w:rsidP="00D4226B">
            <w:pPr>
              <w:tabs>
                <w:tab w:val="left" w:pos="875"/>
              </w:tabs>
              <w:ind w:right="-50"/>
              <w:jc w:val="center"/>
              <w:rPr>
                <w:rFonts w:ascii="Arial" w:hAnsi="Arial" w:cs="Arial"/>
                <w:b/>
              </w:rPr>
            </w:pPr>
            <w:r w:rsidRPr="00517442">
              <w:rPr>
                <w:rFonts w:ascii="Arial" w:hAnsi="Arial" w:cs="Arial"/>
                <w:b/>
              </w:rPr>
              <w:t>1</w:t>
            </w:r>
          </w:p>
        </w:tc>
        <w:tc>
          <w:tcPr>
            <w:tcW w:w="4317" w:type="dxa"/>
          </w:tcPr>
          <w:p w14:paraId="226535F1" w14:textId="77777777" w:rsidR="004962D9" w:rsidRPr="00517442" w:rsidRDefault="004962D9" w:rsidP="00D4226B">
            <w:pPr>
              <w:tabs>
                <w:tab w:val="left" w:pos="875"/>
              </w:tabs>
              <w:ind w:right="-50"/>
              <w:jc w:val="both"/>
              <w:rPr>
                <w:rFonts w:ascii="Arial" w:hAnsi="Arial" w:cs="Arial"/>
                <w:b/>
              </w:rPr>
            </w:pPr>
            <w:r w:rsidRPr="00517442">
              <w:rPr>
                <w:rFonts w:ascii="Arial" w:hAnsi="Arial" w:cs="Arial"/>
                <w:b/>
              </w:rPr>
              <w:t>Normativas:</w:t>
            </w:r>
          </w:p>
        </w:tc>
        <w:tc>
          <w:tcPr>
            <w:tcW w:w="5244" w:type="dxa"/>
          </w:tcPr>
          <w:p w14:paraId="1FD32536" w14:textId="77777777" w:rsidR="004962D9" w:rsidRPr="00517442" w:rsidRDefault="004962D9" w:rsidP="00D4226B">
            <w:pPr>
              <w:tabs>
                <w:tab w:val="left" w:pos="875"/>
              </w:tabs>
              <w:ind w:right="-50"/>
              <w:jc w:val="both"/>
              <w:rPr>
                <w:rFonts w:ascii="Arial" w:hAnsi="Arial" w:cs="Arial"/>
              </w:rPr>
            </w:pPr>
            <w:r w:rsidRPr="00517442">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 201813000761 del 21-12-2018 indico “(…) Los responsables de los PATRIMONIOS AUTÓNOMOS sobre los cuales versa la solicitud deberán rendir la información en la forma en la que han venido rindiendo la misma en años anteriores, con los ajustes determinados para ello por la CGN (…)”.</w:t>
            </w:r>
          </w:p>
        </w:tc>
      </w:tr>
    </w:tbl>
    <w:p w14:paraId="037FC362" w14:textId="77777777" w:rsidR="004962D9" w:rsidRDefault="004962D9" w:rsidP="004962D9">
      <w:pPr>
        <w:ind w:left="-284" w:right="-234"/>
        <w:jc w:val="both"/>
        <w:rPr>
          <w:rFonts w:ascii="Arial" w:eastAsia="Trebuchet MS" w:hAnsi="Arial" w:cs="Arial"/>
          <w:b/>
          <w:sz w:val="32"/>
          <w:szCs w:val="32"/>
          <w:u w:val="single"/>
          <w:lang w:eastAsia="es-CO"/>
        </w:rPr>
      </w:pPr>
    </w:p>
    <w:p w14:paraId="577741A5" w14:textId="77777777" w:rsidR="004962D9" w:rsidRPr="0010470F" w:rsidRDefault="004962D9" w:rsidP="004962D9">
      <w:pPr>
        <w:ind w:left="-284" w:right="-234"/>
        <w:jc w:val="both"/>
        <w:rPr>
          <w:rFonts w:ascii="Arial" w:hAnsi="Arial" w:cs="Arial"/>
          <w:b/>
          <w:sz w:val="28"/>
          <w:szCs w:val="28"/>
          <w:lang w:val="es-MX"/>
        </w:rPr>
      </w:pPr>
      <w:r w:rsidRPr="0010470F">
        <w:rPr>
          <w:rFonts w:ascii="Arial" w:hAnsi="Arial" w:cs="Arial"/>
          <w:b/>
          <w:sz w:val="28"/>
          <w:szCs w:val="28"/>
          <w:lang w:val="es-MX"/>
        </w:rPr>
        <w:t>194.- PAR ELECTRIFICADORA DE SUCRE S.A. E.S.P. EN LIQUIDACIÓN – FIDUPREVISORA S.A.</w:t>
      </w:r>
    </w:p>
    <w:p w14:paraId="151E4CDF" w14:textId="77777777" w:rsidR="004962D9" w:rsidRDefault="004962D9" w:rsidP="004962D9">
      <w:pPr>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10470F" w14:paraId="6230C681" w14:textId="77777777" w:rsidTr="00D4226B">
        <w:tc>
          <w:tcPr>
            <w:tcW w:w="867" w:type="dxa"/>
          </w:tcPr>
          <w:p w14:paraId="4677CDD2" w14:textId="77777777" w:rsidR="004962D9" w:rsidRPr="0010470F" w:rsidRDefault="004962D9" w:rsidP="00D4226B">
            <w:pPr>
              <w:tabs>
                <w:tab w:val="left" w:pos="875"/>
              </w:tabs>
              <w:ind w:right="-50"/>
              <w:jc w:val="center"/>
              <w:rPr>
                <w:rFonts w:ascii="Arial" w:hAnsi="Arial" w:cs="Arial"/>
                <w:b/>
              </w:rPr>
            </w:pPr>
            <w:r w:rsidRPr="0010470F">
              <w:rPr>
                <w:rFonts w:ascii="Arial" w:hAnsi="Arial" w:cs="Arial"/>
                <w:b/>
              </w:rPr>
              <w:t>N°</w:t>
            </w:r>
          </w:p>
        </w:tc>
        <w:tc>
          <w:tcPr>
            <w:tcW w:w="4379" w:type="dxa"/>
          </w:tcPr>
          <w:p w14:paraId="7D1FBDB6" w14:textId="77777777" w:rsidR="004962D9" w:rsidRPr="0010470F" w:rsidRDefault="004962D9" w:rsidP="00D4226B">
            <w:pPr>
              <w:tabs>
                <w:tab w:val="left" w:pos="875"/>
              </w:tabs>
              <w:ind w:right="-50"/>
              <w:jc w:val="center"/>
              <w:rPr>
                <w:rFonts w:ascii="Arial" w:hAnsi="Arial" w:cs="Arial"/>
                <w:b/>
              </w:rPr>
            </w:pPr>
            <w:r w:rsidRPr="0010470F">
              <w:rPr>
                <w:rFonts w:ascii="Arial" w:hAnsi="Arial" w:cs="Arial"/>
                <w:b/>
              </w:rPr>
              <w:t>Limitaciones detectadas por su entidad en</w:t>
            </w:r>
          </w:p>
          <w:p w14:paraId="45BDF9CF" w14:textId="77777777" w:rsidR="004962D9" w:rsidRPr="0010470F" w:rsidRDefault="004962D9" w:rsidP="00D4226B">
            <w:pPr>
              <w:tabs>
                <w:tab w:val="left" w:pos="875"/>
              </w:tabs>
              <w:ind w:right="-50"/>
              <w:jc w:val="center"/>
              <w:rPr>
                <w:rFonts w:ascii="Arial" w:hAnsi="Arial" w:cs="Arial"/>
                <w:b/>
              </w:rPr>
            </w:pPr>
            <w:r w:rsidRPr="0010470F">
              <w:rPr>
                <w:rFonts w:ascii="Arial" w:hAnsi="Arial" w:cs="Arial"/>
                <w:b/>
              </w:rPr>
              <w:t xml:space="preserve"> la aplicación del Marco Normativo - NICSP </w:t>
            </w:r>
          </w:p>
          <w:p w14:paraId="24255C6F" w14:textId="77777777" w:rsidR="004962D9" w:rsidRPr="0010470F" w:rsidRDefault="004962D9" w:rsidP="00D4226B">
            <w:pPr>
              <w:tabs>
                <w:tab w:val="left" w:pos="875"/>
              </w:tabs>
              <w:ind w:right="-50"/>
              <w:jc w:val="center"/>
              <w:rPr>
                <w:rFonts w:ascii="Arial" w:hAnsi="Arial" w:cs="Arial"/>
                <w:b/>
              </w:rPr>
            </w:pPr>
            <w:r w:rsidRPr="0010470F">
              <w:rPr>
                <w:rFonts w:ascii="Arial" w:hAnsi="Arial" w:cs="Arial"/>
                <w:b/>
              </w:rPr>
              <w:t>a 31/12/2024</w:t>
            </w:r>
          </w:p>
          <w:p w14:paraId="4857C6D2" w14:textId="77777777" w:rsidR="004962D9" w:rsidRPr="0010470F" w:rsidRDefault="004962D9" w:rsidP="00D4226B">
            <w:pPr>
              <w:tabs>
                <w:tab w:val="left" w:pos="875"/>
              </w:tabs>
              <w:ind w:right="-50"/>
              <w:jc w:val="center"/>
              <w:rPr>
                <w:rFonts w:ascii="Arial" w:hAnsi="Arial" w:cs="Arial"/>
                <w:b/>
              </w:rPr>
            </w:pPr>
          </w:p>
        </w:tc>
        <w:tc>
          <w:tcPr>
            <w:tcW w:w="5244" w:type="dxa"/>
          </w:tcPr>
          <w:p w14:paraId="6A733E7A" w14:textId="77777777" w:rsidR="004962D9" w:rsidRPr="0010470F" w:rsidRDefault="004962D9" w:rsidP="00D4226B">
            <w:pPr>
              <w:tabs>
                <w:tab w:val="left" w:pos="875"/>
              </w:tabs>
              <w:ind w:right="-50"/>
              <w:jc w:val="center"/>
              <w:rPr>
                <w:rFonts w:ascii="Arial" w:hAnsi="Arial" w:cs="Arial"/>
                <w:b/>
              </w:rPr>
            </w:pPr>
            <w:r w:rsidRPr="0010470F">
              <w:rPr>
                <w:rFonts w:ascii="Arial" w:hAnsi="Arial" w:cs="Arial"/>
                <w:b/>
              </w:rPr>
              <w:t>Descripción de la limitación</w:t>
            </w:r>
          </w:p>
        </w:tc>
      </w:tr>
      <w:tr w:rsidR="004962D9" w:rsidRPr="0010470F" w14:paraId="4BCACF9D" w14:textId="77777777" w:rsidTr="00D4226B">
        <w:tc>
          <w:tcPr>
            <w:tcW w:w="867" w:type="dxa"/>
          </w:tcPr>
          <w:p w14:paraId="043C2A32" w14:textId="77777777" w:rsidR="004962D9" w:rsidRPr="0010470F" w:rsidRDefault="004962D9" w:rsidP="00D4226B">
            <w:pPr>
              <w:tabs>
                <w:tab w:val="left" w:pos="875"/>
              </w:tabs>
              <w:ind w:right="-50"/>
              <w:jc w:val="center"/>
              <w:rPr>
                <w:rFonts w:ascii="Arial" w:hAnsi="Arial" w:cs="Arial"/>
                <w:b/>
              </w:rPr>
            </w:pPr>
            <w:r w:rsidRPr="0010470F">
              <w:rPr>
                <w:rFonts w:ascii="Arial" w:hAnsi="Arial" w:cs="Arial"/>
                <w:b/>
              </w:rPr>
              <w:t>1</w:t>
            </w:r>
          </w:p>
        </w:tc>
        <w:tc>
          <w:tcPr>
            <w:tcW w:w="4379" w:type="dxa"/>
          </w:tcPr>
          <w:p w14:paraId="132B5FC9" w14:textId="77777777" w:rsidR="004962D9" w:rsidRPr="0010470F" w:rsidRDefault="004962D9" w:rsidP="00D4226B">
            <w:pPr>
              <w:tabs>
                <w:tab w:val="left" w:pos="875"/>
              </w:tabs>
              <w:ind w:right="-50"/>
              <w:jc w:val="both"/>
              <w:rPr>
                <w:rFonts w:ascii="Arial" w:hAnsi="Arial" w:cs="Arial"/>
                <w:b/>
              </w:rPr>
            </w:pPr>
            <w:r w:rsidRPr="0010470F">
              <w:rPr>
                <w:rFonts w:ascii="Arial" w:hAnsi="Arial" w:cs="Arial"/>
                <w:b/>
              </w:rPr>
              <w:t>Normativas:</w:t>
            </w:r>
          </w:p>
        </w:tc>
        <w:tc>
          <w:tcPr>
            <w:tcW w:w="5244" w:type="dxa"/>
          </w:tcPr>
          <w:p w14:paraId="02066E87" w14:textId="77777777" w:rsidR="004962D9" w:rsidRPr="0010470F" w:rsidRDefault="004962D9" w:rsidP="00D4226B">
            <w:pPr>
              <w:tabs>
                <w:tab w:val="left" w:pos="875"/>
              </w:tabs>
              <w:ind w:right="-50"/>
              <w:jc w:val="both"/>
              <w:rPr>
                <w:rFonts w:ascii="Arial" w:hAnsi="Arial" w:cs="Arial"/>
              </w:rPr>
            </w:pPr>
            <w:r w:rsidRPr="0010470F">
              <w:rPr>
                <w:rFonts w:ascii="Arial" w:hAnsi="Arial" w:cs="Arial"/>
              </w:rPr>
              <w:t xml:space="preserve">Durante el proceso de aplicación de la normatividad contable expedida por la Contaduría General de la Nación se realizaron consultas respecto al marco normativo aplicable a los negocios catalogados como Remanentes, sin embargo, la respuesta dada por la Contaduría General </w:t>
            </w:r>
            <w:r w:rsidRPr="0010470F">
              <w:rPr>
                <w:rFonts w:ascii="Arial" w:hAnsi="Arial" w:cs="Arial"/>
              </w:rPr>
              <w:lastRenderedPageBreak/>
              <w:t>de la Nación bajo radicado CGN N° 201813000761 del 21-12-2018 indico “(…) Los responsables de los PATRIMONIOS AUTÓNOMOS sobre los cuales versa la solicitud deberán rendir la información en la forma en la que han venido rindiendo la misma en años anteriores, con los ajustes determinados para ello por la CGN (…)”.</w:t>
            </w:r>
          </w:p>
        </w:tc>
      </w:tr>
    </w:tbl>
    <w:p w14:paraId="3E8B9813" w14:textId="77777777" w:rsidR="004962D9" w:rsidRPr="0010470F" w:rsidRDefault="004962D9" w:rsidP="004962D9">
      <w:pPr>
        <w:jc w:val="both"/>
        <w:rPr>
          <w:rFonts w:ascii="Arial" w:hAnsi="Arial" w:cs="Arial"/>
          <w:b/>
          <w:sz w:val="28"/>
          <w:szCs w:val="28"/>
          <w:lang w:val="es-MX"/>
        </w:rPr>
      </w:pPr>
    </w:p>
    <w:p w14:paraId="0C55D9D0" w14:textId="77777777" w:rsidR="004962D9" w:rsidRPr="00416425" w:rsidRDefault="004962D9" w:rsidP="004962D9">
      <w:pPr>
        <w:ind w:left="-284" w:right="-234"/>
        <w:jc w:val="both"/>
        <w:rPr>
          <w:rFonts w:ascii="Arial" w:hAnsi="Arial" w:cs="Arial"/>
          <w:b/>
          <w:sz w:val="28"/>
          <w:szCs w:val="28"/>
          <w:lang w:val="es-MX"/>
        </w:rPr>
      </w:pPr>
      <w:r w:rsidRPr="00416425">
        <w:rPr>
          <w:rFonts w:ascii="Arial" w:hAnsi="Arial" w:cs="Arial"/>
          <w:b/>
          <w:sz w:val="28"/>
          <w:szCs w:val="28"/>
          <w:lang w:val="es-MX"/>
        </w:rPr>
        <w:t>195.- PA PAR ELECTROCESAR EN LIQUIDACIÓN S.A. E.S.P – FIDUPREVISORA S.A.</w:t>
      </w:r>
    </w:p>
    <w:p w14:paraId="5491A9EC" w14:textId="77777777" w:rsidR="004962D9" w:rsidRDefault="004962D9" w:rsidP="004962D9">
      <w:pPr>
        <w:ind w:left="-284" w:right="-234"/>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416425" w14:paraId="33FD5A21" w14:textId="77777777" w:rsidTr="00D4226B">
        <w:tc>
          <w:tcPr>
            <w:tcW w:w="867" w:type="dxa"/>
          </w:tcPr>
          <w:p w14:paraId="7330A6C3" w14:textId="77777777" w:rsidR="004962D9" w:rsidRPr="00416425" w:rsidRDefault="004962D9" w:rsidP="00D4226B">
            <w:pPr>
              <w:tabs>
                <w:tab w:val="left" w:pos="875"/>
              </w:tabs>
              <w:ind w:right="-50"/>
              <w:jc w:val="center"/>
              <w:rPr>
                <w:rFonts w:ascii="Arial" w:hAnsi="Arial" w:cs="Arial"/>
                <w:b/>
              </w:rPr>
            </w:pPr>
            <w:r w:rsidRPr="00416425">
              <w:rPr>
                <w:rFonts w:ascii="Arial" w:hAnsi="Arial" w:cs="Arial"/>
                <w:b/>
              </w:rPr>
              <w:t>N°</w:t>
            </w:r>
          </w:p>
        </w:tc>
        <w:tc>
          <w:tcPr>
            <w:tcW w:w="4379" w:type="dxa"/>
          </w:tcPr>
          <w:p w14:paraId="2C7A737D" w14:textId="77777777" w:rsidR="004962D9" w:rsidRPr="00416425" w:rsidRDefault="004962D9" w:rsidP="00D4226B">
            <w:pPr>
              <w:tabs>
                <w:tab w:val="left" w:pos="875"/>
              </w:tabs>
              <w:ind w:right="-50"/>
              <w:jc w:val="center"/>
              <w:rPr>
                <w:rFonts w:ascii="Arial" w:hAnsi="Arial" w:cs="Arial"/>
                <w:b/>
              </w:rPr>
            </w:pPr>
            <w:r w:rsidRPr="00416425">
              <w:rPr>
                <w:rFonts w:ascii="Arial" w:hAnsi="Arial" w:cs="Arial"/>
                <w:b/>
              </w:rPr>
              <w:t>Limitaciones detectadas por su entidad en</w:t>
            </w:r>
          </w:p>
          <w:p w14:paraId="70AD4492" w14:textId="77777777" w:rsidR="004962D9" w:rsidRPr="00416425" w:rsidRDefault="004962D9" w:rsidP="00D4226B">
            <w:pPr>
              <w:tabs>
                <w:tab w:val="left" w:pos="875"/>
              </w:tabs>
              <w:ind w:right="-50"/>
              <w:jc w:val="center"/>
              <w:rPr>
                <w:rFonts w:ascii="Arial" w:hAnsi="Arial" w:cs="Arial"/>
                <w:b/>
              </w:rPr>
            </w:pPr>
            <w:r w:rsidRPr="00416425">
              <w:rPr>
                <w:rFonts w:ascii="Arial" w:hAnsi="Arial" w:cs="Arial"/>
                <w:b/>
              </w:rPr>
              <w:t xml:space="preserve"> la aplicación del Marco Normativo - NICSP </w:t>
            </w:r>
          </w:p>
          <w:p w14:paraId="422C7DCA" w14:textId="77777777" w:rsidR="004962D9" w:rsidRPr="00416425" w:rsidRDefault="004962D9" w:rsidP="00D4226B">
            <w:pPr>
              <w:tabs>
                <w:tab w:val="left" w:pos="875"/>
              </w:tabs>
              <w:ind w:right="-50"/>
              <w:jc w:val="center"/>
              <w:rPr>
                <w:rFonts w:ascii="Arial" w:hAnsi="Arial" w:cs="Arial"/>
                <w:b/>
              </w:rPr>
            </w:pPr>
            <w:r w:rsidRPr="00416425">
              <w:rPr>
                <w:rFonts w:ascii="Arial" w:hAnsi="Arial" w:cs="Arial"/>
                <w:b/>
              </w:rPr>
              <w:t>a 31/12/2024</w:t>
            </w:r>
          </w:p>
          <w:p w14:paraId="3FE285D3" w14:textId="77777777" w:rsidR="004962D9" w:rsidRPr="00416425" w:rsidRDefault="004962D9" w:rsidP="00D4226B">
            <w:pPr>
              <w:tabs>
                <w:tab w:val="left" w:pos="875"/>
              </w:tabs>
              <w:ind w:right="-50"/>
              <w:jc w:val="center"/>
              <w:rPr>
                <w:rFonts w:ascii="Arial" w:hAnsi="Arial" w:cs="Arial"/>
                <w:b/>
              </w:rPr>
            </w:pPr>
          </w:p>
        </w:tc>
        <w:tc>
          <w:tcPr>
            <w:tcW w:w="5244" w:type="dxa"/>
          </w:tcPr>
          <w:p w14:paraId="7034C884" w14:textId="77777777" w:rsidR="004962D9" w:rsidRPr="00416425" w:rsidRDefault="004962D9" w:rsidP="00D4226B">
            <w:pPr>
              <w:tabs>
                <w:tab w:val="left" w:pos="875"/>
              </w:tabs>
              <w:ind w:right="-50"/>
              <w:jc w:val="center"/>
              <w:rPr>
                <w:rFonts w:ascii="Arial" w:hAnsi="Arial" w:cs="Arial"/>
                <w:b/>
              </w:rPr>
            </w:pPr>
            <w:r w:rsidRPr="00416425">
              <w:rPr>
                <w:rFonts w:ascii="Arial" w:hAnsi="Arial" w:cs="Arial"/>
                <w:b/>
              </w:rPr>
              <w:t>Descripción de la limitación</w:t>
            </w:r>
          </w:p>
        </w:tc>
      </w:tr>
      <w:tr w:rsidR="004962D9" w:rsidRPr="00416425" w14:paraId="49F1F112" w14:textId="77777777" w:rsidTr="00D4226B">
        <w:tc>
          <w:tcPr>
            <w:tcW w:w="867" w:type="dxa"/>
          </w:tcPr>
          <w:p w14:paraId="1977664D" w14:textId="77777777" w:rsidR="004962D9" w:rsidRPr="00416425" w:rsidRDefault="004962D9" w:rsidP="00D4226B">
            <w:pPr>
              <w:tabs>
                <w:tab w:val="left" w:pos="875"/>
              </w:tabs>
              <w:ind w:right="-50"/>
              <w:jc w:val="center"/>
              <w:rPr>
                <w:rFonts w:ascii="Arial" w:hAnsi="Arial" w:cs="Arial"/>
                <w:b/>
              </w:rPr>
            </w:pPr>
            <w:r w:rsidRPr="00416425">
              <w:rPr>
                <w:rFonts w:ascii="Arial" w:hAnsi="Arial" w:cs="Arial"/>
                <w:b/>
              </w:rPr>
              <w:t>1</w:t>
            </w:r>
          </w:p>
        </w:tc>
        <w:tc>
          <w:tcPr>
            <w:tcW w:w="4379" w:type="dxa"/>
          </w:tcPr>
          <w:p w14:paraId="149C684C" w14:textId="77777777" w:rsidR="004962D9" w:rsidRPr="00416425" w:rsidRDefault="004962D9" w:rsidP="00D4226B">
            <w:pPr>
              <w:tabs>
                <w:tab w:val="left" w:pos="875"/>
              </w:tabs>
              <w:ind w:right="-50"/>
              <w:jc w:val="both"/>
              <w:rPr>
                <w:rFonts w:ascii="Arial" w:hAnsi="Arial" w:cs="Arial"/>
                <w:b/>
              </w:rPr>
            </w:pPr>
            <w:r w:rsidRPr="00416425">
              <w:rPr>
                <w:rFonts w:ascii="Arial" w:hAnsi="Arial" w:cs="Arial"/>
                <w:b/>
              </w:rPr>
              <w:t>Normativas:</w:t>
            </w:r>
          </w:p>
        </w:tc>
        <w:tc>
          <w:tcPr>
            <w:tcW w:w="5244" w:type="dxa"/>
          </w:tcPr>
          <w:p w14:paraId="4F59FAA8" w14:textId="77777777" w:rsidR="004962D9" w:rsidRPr="00416425" w:rsidRDefault="004962D9" w:rsidP="00D4226B">
            <w:pPr>
              <w:tabs>
                <w:tab w:val="left" w:pos="875"/>
              </w:tabs>
              <w:ind w:right="-50"/>
              <w:jc w:val="both"/>
              <w:rPr>
                <w:rFonts w:ascii="Arial" w:hAnsi="Arial" w:cs="Arial"/>
              </w:rPr>
            </w:pPr>
            <w:r w:rsidRPr="00416425">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 201813000761 del 21-12-2018 indico “(…) Los responsables de los PATRIMONIOS AUTÓNOMOS sobre los cuales versa la solicitud deberán rendir la información en la forma en la que han venido rindiendo la misma en años anteriores, con los ajustes determinados para ello por la CGN (…)”.</w:t>
            </w:r>
          </w:p>
        </w:tc>
      </w:tr>
    </w:tbl>
    <w:p w14:paraId="61BA2AE9" w14:textId="77777777" w:rsidR="004962D9" w:rsidRDefault="004962D9" w:rsidP="004962D9">
      <w:pPr>
        <w:ind w:left="-284" w:right="-234"/>
        <w:jc w:val="both"/>
        <w:rPr>
          <w:rFonts w:ascii="Arial" w:eastAsia="Trebuchet MS" w:hAnsi="Arial" w:cs="Arial"/>
          <w:b/>
          <w:sz w:val="32"/>
          <w:szCs w:val="32"/>
          <w:u w:val="single"/>
          <w:lang w:eastAsia="es-CO"/>
        </w:rPr>
      </w:pPr>
    </w:p>
    <w:p w14:paraId="3E0D11A6" w14:textId="77777777" w:rsidR="004962D9" w:rsidRPr="00EE26E7" w:rsidRDefault="004962D9" w:rsidP="004962D9">
      <w:pPr>
        <w:ind w:left="-284" w:right="-93"/>
        <w:jc w:val="both"/>
        <w:rPr>
          <w:rFonts w:ascii="Arial" w:hAnsi="Arial" w:cs="Arial"/>
          <w:b/>
          <w:sz w:val="28"/>
          <w:szCs w:val="28"/>
          <w:lang w:val="es-MX"/>
        </w:rPr>
      </w:pPr>
      <w:r w:rsidRPr="00EE26E7">
        <w:rPr>
          <w:rFonts w:ascii="Arial" w:hAnsi="Arial" w:cs="Arial"/>
          <w:b/>
          <w:sz w:val="28"/>
          <w:szCs w:val="28"/>
          <w:lang w:val="es-MX"/>
        </w:rPr>
        <w:t>196.- PAR EMPRESA DE ENERGÍA ELÉCTRICA DE MAGANGUÉ S.A. E.S.P. EN LIQUIDACIÓN – FIDUPREVISORA S.A.</w:t>
      </w:r>
    </w:p>
    <w:p w14:paraId="166AE174"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EE26E7" w14:paraId="64E23849" w14:textId="77777777" w:rsidTr="00D4226B">
        <w:tc>
          <w:tcPr>
            <w:tcW w:w="867" w:type="dxa"/>
          </w:tcPr>
          <w:p w14:paraId="1D57D1F2" w14:textId="77777777" w:rsidR="004962D9" w:rsidRPr="00EE26E7" w:rsidRDefault="004962D9" w:rsidP="00D4226B">
            <w:pPr>
              <w:tabs>
                <w:tab w:val="left" w:pos="875"/>
              </w:tabs>
              <w:ind w:right="-50"/>
              <w:jc w:val="center"/>
              <w:rPr>
                <w:rFonts w:ascii="Arial" w:hAnsi="Arial" w:cs="Arial"/>
                <w:b/>
              </w:rPr>
            </w:pPr>
            <w:r w:rsidRPr="00EE26E7">
              <w:rPr>
                <w:rFonts w:ascii="Arial" w:hAnsi="Arial" w:cs="Arial"/>
                <w:b/>
              </w:rPr>
              <w:t>N°</w:t>
            </w:r>
          </w:p>
        </w:tc>
        <w:tc>
          <w:tcPr>
            <w:tcW w:w="4379" w:type="dxa"/>
          </w:tcPr>
          <w:p w14:paraId="4D1DEA3C" w14:textId="77777777" w:rsidR="004962D9" w:rsidRPr="00EE26E7" w:rsidRDefault="004962D9" w:rsidP="00D4226B">
            <w:pPr>
              <w:tabs>
                <w:tab w:val="left" w:pos="875"/>
              </w:tabs>
              <w:ind w:right="-50"/>
              <w:jc w:val="center"/>
              <w:rPr>
                <w:rFonts w:ascii="Arial" w:hAnsi="Arial" w:cs="Arial"/>
                <w:b/>
              </w:rPr>
            </w:pPr>
            <w:r w:rsidRPr="00EE26E7">
              <w:rPr>
                <w:rFonts w:ascii="Arial" w:hAnsi="Arial" w:cs="Arial"/>
                <w:b/>
              </w:rPr>
              <w:t>Limitaciones detectadas por su entidad en</w:t>
            </w:r>
          </w:p>
          <w:p w14:paraId="0FAFD7EA" w14:textId="77777777" w:rsidR="004962D9" w:rsidRPr="00EE26E7" w:rsidRDefault="004962D9" w:rsidP="00D4226B">
            <w:pPr>
              <w:tabs>
                <w:tab w:val="left" w:pos="875"/>
              </w:tabs>
              <w:ind w:right="-50"/>
              <w:jc w:val="center"/>
              <w:rPr>
                <w:rFonts w:ascii="Arial" w:hAnsi="Arial" w:cs="Arial"/>
                <w:b/>
              </w:rPr>
            </w:pPr>
            <w:r w:rsidRPr="00EE26E7">
              <w:rPr>
                <w:rFonts w:ascii="Arial" w:hAnsi="Arial" w:cs="Arial"/>
                <w:b/>
              </w:rPr>
              <w:t xml:space="preserve"> la aplicación del Marco Normativo - NICSP </w:t>
            </w:r>
          </w:p>
          <w:p w14:paraId="67FAF6DC" w14:textId="77777777" w:rsidR="004962D9" w:rsidRPr="00EE26E7" w:rsidRDefault="004962D9" w:rsidP="00D4226B">
            <w:pPr>
              <w:tabs>
                <w:tab w:val="left" w:pos="875"/>
              </w:tabs>
              <w:ind w:right="-50"/>
              <w:jc w:val="center"/>
              <w:rPr>
                <w:rFonts w:ascii="Arial" w:hAnsi="Arial" w:cs="Arial"/>
                <w:b/>
              </w:rPr>
            </w:pPr>
            <w:r w:rsidRPr="00EE26E7">
              <w:rPr>
                <w:rFonts w:ascii="Arial" w:hAnsi="Arial" w:cs="Arial"/>
                <w:b/>
              </w:rPr>
              <w:t>a 31/12/2024</w:t>
            </w:r>
          </w:p>
          <w:p w14:paraId="21DD415F" w14:textId="77777777" w:rsidR="004962D9" w:rsidRPr="00EE26E7" w:rsidRDefault="004962D9" w:rsidP="00D4226B">
            <w:pPr>
              <w:tabs>
                <w:tab w:val="left" w:pos="875"/>
              </w:tabs>
              <w:ind w:right="-50"/>
              <w:jc w:val="center"/>
              <w:rPr>
                <w:rFonts w:ascii="Arial" w:hAnsi="Arial" w:cs="Arial"/>
                <w:b/>
              </w:rPr>
            </w:pPr>
          </w:p>
        </w:tc>
        <w:tc>
          <w:tcPr>
            <w:tcW w:w="5244" w:type="dxa"/>
          </w:tcPr>
          <w:p w14:paraId="40219F1F" w14:textId="77777777" w:rsidR="004962D9" w:rsidRPr="00EE26E7" w:rsidRDefault="004962D9" w:rsidP="00D4226B">
            <w:pPr>
              <w:tabs>
                <w:tab w:val="left" w:pos="875"/>
              </w:tabs>
              <w:ind w:right="-50"/>
              <w:jc w:val="center"/>
              <w:rPr>
                <w:rFonts w:ascii="Arial" w:hAnsi="Arial" w:cs="Arial"/>
                <w:b/>
              </w:rPr>
            </w:pPr>
            <w:r w:rsidRPr="00EE26E7">
              <w:rPr>
                <w:rFonts w:ascii="Arial" w:hAnsi="Arial" w:cs="Arial"/>
                <w:b/>
              </w:rPr>
              <w:t>Descripción de la limitación</w:t>
            </w:r>
          </w:p>
        </w:tc>
      </w:tr>
      <w:tr w:rsidR="004962D9" w:rsidRPr="00EE26E7" w14:paraId="619686A9" w14:textId="77777777" w:rsidTr="00D4226B">
        <w:tc>
          <w:tcPr>
            <w:tcW w:w="867" w:type="dxa"/>
          </w:tcPr>
          <w:p w14:paraId="5596220F" w14:textId="77777777" w:rsidR="004962D9" w:rsidRPr="00EE26E7" w:rsidRDefault="004962D9" w:rsidP="00D4226B">
            <w:pPr>
              <w:tabs>
                <w:tab w:val="left" w:pos="875"/>
              </w:tabs>
              <w:ind w:right="-50"/>
              <w:jc w:val="center"/>
              <w:rPr>
                <w:rFonts w:ascii="Arial" w:hAnsi="Arial" w:cs="Arial"/>
                <w:b/>
              </w:rPr>
            </w:pPr>
            <w:r w:rsidRPr="00EE26E7">
              <w:rPr>
                <w:rFonts w:ascii="Arial" w:hAnsi="Arial" w:cs="Arial"/>
                <w:b/>
              </w:rPr>
              <w:t>1</w:t>
            </w:r>
          </w:p>
        </w:tc>
        <w:tc>
          <w:tcPr>
            <w:tcW w:w="4379" w:type="dxa"/>
          </w:tcPr>
          <w:p w14:paraId="7BA5759C" w14:textId="77777777" w:rsidR="004962D9" w:rsidRPr="00EE26E7" w:rsidRDefault="004962D9" w:rsidP="00D4226B">
            <w:pPr>
              <w:tabs>
                <w:tab w:val="left" w:pos="875"/>
              </w:tabs>
              <w:ind w:right="-50"/>
              <w:jc w:val="both"/>
              <w:rPr>
                <w:rFonts w:ascii="Arial" w:hAnsi="Arial" w:cs="Arial"/>
                <w:b/>
              </w:rPr>
            </w:pPr>
            <w:r w:rsidRPr="00EE26E7">
              <w:rPr>
                <w:rFonts w:ascii="Arial" w:hAnsi="Arial" w:cs="Arial"/>
                <w:b/>
              </w:rPr>
              <w:t>Normativas:</w:t>
            </w:r>
          </w:p>
        </w:tc>
        <w:tc>
          <w:tcPr>
            <w:tcW w:w="5244" w:type="dxa"/>
          </w:tcPr>
          <w:p w14:paraId="159DCB8C" w14:textId="77777777" w:rsidR="004962D9" w:rsidRPr="00EE26E7" w:rsidRDefault="004962D9" w:rsidP="00D4226B">
            <w:pPr>
              <w:tabs>
                <w:tab w:val="left" w:pos="875"/>
              </w:tabs>
              <w:ind w:right="-50"/>
              <w:jc w:val="both"/>
              <w:rPr>
                <w:rFonts w:ascii="Arial" w:hAnsi="Arial" w:cs="Arial"/>
              </w:rPr>
            </w:pPr>
            <w:r w:rsidRPr="00EE26E7">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 201813000761 del 21-12-2018 indico “(…) Los responsables de los PATRIMONIOS AUTÓNOMOS sobre los cuales versa la solicitud deberán rendir la información en la forma en la que han venido rindiendo la misma en años anteriores, con los ajustes determinados para ello por la CGN (…)”.</w:t>
            </w:r>
          </w:p>
        </w:tc>
      </w:tr>
    </w:tbl>
    <w:p w14:paraId="66B8E233" w14:textId="77777777" w:rsidR="004962D9" w:rsidRDefault="004962D9" w:rsidP="004962D9">
      <w:pPr>
        <w:ind w:left="-284" w:right="-93"/>
        <w:jc w:val="both"/>
        <w:rPr>
          <w:rFonts w:ascii="Arial" w:eastAsia="Trebuchet MS" w:hAnsi="Arial" w:cs="Arial"/>
          <w:b/>
          <w:sz w:val="32"/>
          <w:szCs w:val="32"/>
          <w:u w:val="single"/>
          <w:lang w:eastAsia="es-CO"/>
        </w:rPr>
      </w:pPr>
    </w:p>
    <w:p w14:paraId="5DCAB271" w14:textId="77777777" w:rsidR="004962D9" w:rsidRPr="003640EF" w:rsidRDefault="004962D9" w:rsidP="004962D9">
      <w:pPr>
        <w:ind w:left="-284"/>
        <w:jc w:val="both"/>
        <w:rPr>
          <w:rFonts w:ascii="Arial" w:hAnsi="Arial" w:cs="Arial"/>
          <w:b/>
          <w:sz w:val="28"/>
          <w:szCs w:val="28"/>
          <w:lang w:val="es-MX"/>
        </w:rPr>
      </w:pPr>
      <w:r w:rsidRPr="003640EF">
        <w:rPr>
          <w:rFonts w:ascii="Arial" w:hAnsi="Arial" w:cs="Arial"/>
          <w:b/>
          <w:sz w:val="28"/>
          <w:szCs w:val="28"/>
          <w:lang w:val="es-MX"/>
        </w:rPr>
        <w:t>206.- PAR CAPRECOM EICE LIQUIDADO – FIDUPREVISORA S.A.</w:t>
      </w:r>
    </w:p>
    <w:p w14:paraId="442C72D1"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3640EF" w14:paraId="57469963" w14:textId="77777777" w:rsidTr="00D4226B">
        <w:tc>
          <w:tcPr>
            <w:tcW w:w="867" w:type="dxa"/>
          </w:tcPr>
          <w:p w14:paraId="783D86A0" w14:textId="77777777" w:rsidR="004962D9" w:rsidRPr="003640EF" w:rsidRDefault="004962D9" w:rsidP="00D4226B">
            <w:pPr>
              <w:tabs>
                <w:tab w:val="left" w:pos="875"/>
              </w:tabs>
              <w:ind w:right="-50"/>
              <w:jc w:val="center"/>
              <w:rPr>
                <w:rFonts w:ascii="Arial" w:hAnsi="Arial" w:cs="Arial"/>
                <w:b/>
              </w:rPr>
            </w:pPr>
            <w:r w:rsidRPr="003640EF">
              <w:rPr>
                <w:rFonts w:ascii="Arial" w:hAnsi="Arial" w:cs="Arial"/>
                <w:b/>
              </w:rPr>
              <w:t>N°</w:t>
            </w:r>
          </w:p>
        </w:tc>
        <w:tc>
          <w:tcPr>
            <w:tcW w:w="4379" w:type="dxa"/>
          </w:tcPr>
          <w:p w14:paraId="6B62ABFF" w14:textId="77777777" w:rsidR="004962D9" w:rsidRPr="003640EF" w:rsidRDefault="004962D9" w:rsidP="00D4226B">
            <w:pPr>
              <w:tabs>
                <w:tab w:val="left" w:pos="875"/>
              </w:tabs>
              <w:ind w:right="-50"/>
              <w:jc w:val="center"/>
              <w:rPr>
                <w:rFonts w:ascii="Arial" w:hAnsi="Arial" w:cs="Arial"/>
                <w:b/>
              </w:rPr>
            </w:pPr>
            <w:r w:rsidRPr="003640EF">
              <w:rPr>
                <w:rFonts w:ascii="Arial" w:hAnsi="Arial" w:cs="Arial"/>
                <w:b/>
              </w:rPr>
              <w:t>Limitaciones detectadas por su entidad en</w:t>
            </w:r>
          </w:p>
          <w:p w14:paraId="436D49DA" w14:textId="77777777" w:rsidR="004962D9" w:rsidRPr="003640EF" w:rsidRDefault="004962D9" w:rsidP="00D4226B">
            <w:pPr>
              <w:tabs>
                <w:tab w:val="left" w:pos="875"/>
              </w:tabs>
              <w:ind w:right="-50"/>
              <w:jc w:val="center"/>
              <w:rPr>
                <w:rFonts w:ascii="Arial" w:hAnsi="Arial" w:cs="Arial"/>
                <w:b/>
              </w:rPr>
            </w:pPr>
            <w:r w:rsidRPr="003640EF">
              <w:rPr>
                <w:rFonts w:ascii="Arial" w:hAnsi="Arial" w:cs="Arial"/>
                <w:b/>
              </w:rPr>
              <w:t xml:space="preserve"> la aplicación del Marco Normativo - NICSP </w:t>
            </w:r>
          </w:p>
          <w:p w14:paraId="52B6FF8B" w14:textId="77777777" w:rsidR="004962D9" w:rsidRPr="003640EF" w:rsidRDefault="004962D9" w:rsidP="00D4226B">
            <w:pPr>
              <w:tabs>
                <w:tab w:val="left" w:pos="875"/>
              </w:tabs>
              <w:ind w:right="-50"/>
              <w:jc w:val="center"/>
              <w:rPr>
                <w:rFonts w:ascii="Arial" w:hAnsi="Arial" w:cs="Arial"/>
                <w:b/>
              </w:rPr>
            </w:pPr>
            <w:r w:rsidRPr="003640EF">
              <w:rPr>
                <w:rFonts w:ascii="Arial" w:hAnsi="Arial" w:cs="Arial"/>
                <w:b/>
              </w:rPr>
              <w:t>a 31/12/2024</w:t>
            </w:r>
          </w:p>
          <w:p w14:paraId="51765F0C" w14:textId="77777777" w:rsidR="004962D9" w:rsidRPr="003640EF" w:rsidRDefault="004962D9" w:rsidP="00D4226B">
            <w:pPr>
              <w:tabs>
                <w:tab w:val="left" w:pos="875"/>
              </w:tabs>
              <w:ind w:right="-50"/>
              <w:jc w:val="center"/>
              <w:rPr>
                <w:rFonts w:ascii="Arial" w:hAnsi="Arial" w:cs="Arial"/>
                <w:b/>
              </w:rPr>
            </w:pPr>
          </w:p>
        </w:tc>
        <w:tc>
          <w:tcPr>
            <w:tcW w:w="5244" w:type="dxa"/>
          </w:tcPr>
          <w:p w14:paraId="45292A3F" w14:textId="77777777" w:rsidR="004962D9" w:rsidRPr="003640EF" w:rsidRDefault="004962D9" w:rsidP="00D4226B">
            <w:pPr>
              <w:tabs>
                <w:tab w:val="left" w:pos="875"/>
              </w:tabs>
              <w:ind w:right="-50"/>
              <w:jc w:val="center"/>
              <w:rPr>
                <w:rFonts w:ascii="Arial" w:hAnsi="Arial" w:cs="Arial"/>
                <w:b/>
              </w:rPr>
            </w:pPr>
            <w:r w:rsidRPr="003640EF">
              <w:rPr>
                <w:rFonts w:ascii="Arial" w:hAnsi="Arial" w:cs="Arial"/>
                <w:b/>
              </w:rPr>
              <w:t>Descripción de la limitación</w:t>
            </w:r>
          </w:p>
        </w:tc>
      </w:tr>
      <w:tr w:rsidR="004962D9" w:rsidRPr="003640EF" w14:paraId="07FA35EA" w14:textId="77777777" w:rsidTr="00D4226B">
        <w:tc>
          <w:tcPr>
            <w:tcW w:w="867" w:type="dxa"/>
          </w:tcPr>
          <w:p w14:paraId="4A775763" w14:textId="77777777" w:rsidR="004962D9" w:rsidRPr="003640EF" w:rsidRDefault="004962D9" w:rsidP="00D4226B">
            <w:pPr>
              <w:tabs>
                <w:tab w:val="left" w:pos="875"/>
              </w:tabs>
              <w:ind w:right="-50"/>
              <w:jc w:val="center"/>
              <w:rPr>
                <w:rFonts w:ascii="Arial" w:hAnsi="Arial" w:cs="Arial"/>
                <w:b/>
              </w:rPr>
            </w:pPr>
            <w:r w:rsidRPr="003640EF">
              <w:rPr>
                <w:rFonts w:ascii="Arial" w:hAnsi="Arial" w:cs="Arial"/>
                <w:b/>
              </w:rPr>
              <w:lastRenderedPageBreak/>
              <w:t>1</w:t>
            </w:r>
          </w:p>
        </w:tc>
        <w:tc>
          <w:tcPr>
            <w:tcW w:w="4379" w:type="dxa"/>
          </w:tcPr>
          <w:p w14:paraId="5F60446F" w14:textId="77777777" w:rsidR="004962D9" w:rsidRPr="003640EF" w:rsidRDefault="004962D9" w:rsidP="00D4226B">
            <w:pPr>
              <w:tabs>
                <w:tab w:val="left" w:pos="875"/>
              </w:tabs>
              <w:ind w:right="-50"/>
              <w:jc w:val="both"/>
              <w:rPr>
                <w:rFonts w:ascii="Arial" w:hAnsi="Arial" w:cs="Arial"/>
                <w:b/>
              </w:rPr>
            </w:pPr>
            <w:r w:rsidRPr="003640EF">
              <w:rPr>
                <w:rFonts w:ascii="Arial" w:hAnsi="Arial" w:cs="Arial"/>
                <w:b/>
              </w:rPr>
              <w:t>Normativas:</w:t>
            </w:r>
          </w:p>
        </w:tc>
        <w:tc>
          <w:tcPr>
            <w:tcW w:w="5244" w:type="dxa"/>
          </w:tcPr>
          <w:p w14:paraId="0B2E3D81" w14:textId="77777777" w:rsidR="004962D9" w:rsidRPr="003640EF" w:rsidRDefault="004962D9" w:rsidP="00D4226B">
            <w:pPr>
              <w:tabs>
                <w:tab w:val="left" w:pos="875"/>
              </w:tabs>
              <w:ind w:right="-50"/>
              <w:jc w:val="both"/>
              <w:rPr>
                <w:rFonts w:ascii="Arial" w:hAnsi="Arial" w:cs="Arial"/>
              </w:rPr>
            </w:pPr>
            <w:r w:rsidRPr="003640EF">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responsables de los PATRIMONIOS AUTÓNOMOS, sobre los cuales versa la solicitud, deberán rendir la información en la forma en que han venido rindiendo la misma en años anteriores, con los ajustes determinados para ello por la CGN (…)”</w:t>
            </w:r>
          </w:p>
        </w:tc>
      </w:tr>
    </w:tbl>
    <w:p w14:paraId="24F30064" w14:textId="77777777" w:rsidR="004962D9" w:rsidRDefault="004962D9" w:rsidP="004962D9">
      <w:pPr>
        <w:ind w:left="-284" w:right="-93"/>
        <w:jc w:val="both"/>
        <w:rPr>
          <w:rFonts w:ascii="Arial" w:eastAsia="Trebuchet MS" w:hAnsi="Arial" w:cs="Arial"/>
          <w:b/>
          <w:sz w:val="32"/>
          <w:szCs w:val="32"/>
          <w:u w:val="single"/>
          <w:lang w:eastAsia="es-CO"/>
        </w:rPr>
      </w:pPr>
    </w:p>
    <w:p w14:paraId="1962C084" w14:textId="77777777" w:rsidR="004962D9" w:rsidRPr="00E05E38" w:rsidRDefault="004962D9" w:rsidP="004962D9">
      <w:pPr>
        <w:ind w:left="-284" w:right="-234"/>
        <w:jc w:val="both"/>
        <w:rPr>
          <w:rFonts w:ascii="Arial" w:hAnsi="Arial" w:cs="Arial"/>
          <w:b/>
          <w:sz w:val="28"/>
          <w:szCs w:val="28"/>
          <w:lang w:val="es-MX"/>
        </w:rPr>
      </w:pPr>
      <w:r w:rsidRPr="00E05E38">
        <w:rPr>
          <w:rFonts w:ascii="Arial" w:hAnsi="Arial" w:cs="Arial"/>
          <w:b/>
          <w:sz w:val="28"/>
          <w:szCs w:val="28"/>
          <w:lang w:val="es-MX"/>
        </w:rPr>
        <w:t>207.- PATRIMONIO AUTÓNOMO DE REMANENTES CAJA AGRARIA – FIDUPREVISORA S.A.</w:t>
      </w:r>
    </w:p>
    <w:p w14:paraId="7C8046AA"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E05E38" w14:paraId="72FB51E4" w14:textId="77777777" w:rsidTr="00D4226B">
        <w:tc>
          <w:tcPr>
            <w:tcW w:w="867" w:type="dxa"/>
          </w:tcPr>
          <w:p w14:paraId="6023E93B" w14:textId="77777777" w:rsidR="004962D9" w:rsidRPr="00E05E38" w:rsidRDefault="004962D9" w:rsidP="00D4226B">
            <w:pPr>
              <w:tabs>
                <w:tab w:val="left" w:pos="875"/>
              </w:tabs>
              <w:ind w:right="-50"/>
              <w:jc w:val="center"/>
              <w:rPr>
                <w:rFonts w:ascii="Arial" w:hAnsi="Arial" w:cs="Arial"/>
                <w:b/>
              </w:rPr>
            </w:pPr>
            <w:r w:rsidRPr="00E05E38">
              <w:rPr>
                <w:rFonts w:ascii="Arial" w:hAnsi="Arial" w:cs="Arial"/>
                <w:b/>
              </w:rPr>
              <w:t>N°</w:t>
            </w:r>
          </w:p>
        </w:tc>
        <w:tc>
          <w:tcPr>
            <w:tcW w:w="4379" w:type="dxa"/>
          </w:tcPr>
          <w:p w14:paraId="5CB777D7" w14:textId="77777777" w:rsidR="004962D9" w:rsidRPr="00E05E38" w:rsidRDefault="004962D9" w:rsidP="00D4226B">
            <w:pPr>
              <w:tabs>
                <w:tab w:val="left" w:pos="875"/>
              </w:tabs>
              <w:ind w:right="-50"/>
              <w:jc w:val="center"/>
              <w:rPr>
                <w:rFonts w:ascii="Arial" w:hAnsi="Arial" w:cs="Arial"/>
                <w:b/>
              </w:rPr>
            </w:pPr>
            <w:r w:rsidRPr="00E05E38">
              <w:rPr>
                <w:rFonts w:ascii="Arial" w:hAnsi="Arial" w:cs="Arial"/>
                <w:b/>
              </w:rPr>
              <w:t>Limitaciones detectadas por su entidad en</w:t>
            </w:r>
          </w:p>
          <w:p w14:paraId="057D532B" w14:textId="77777777" w:rsidR="004962D9" w:rsidRPr="00E05E38" w:rsidRDefault="004962D9" w:rsidP="00D4226B">
            <w:pPr>
              <w:tabs>
                <w:tab w:val="left" w:pos="875"/>
              </w:tabs>
              <w:ind w:right="-50"/>
              <w:jc w:val="center"/>
              <w:rPr>
                <w:rFonts w:ascii="Arial" w:hAnsi="Arial" w:cs="Arial"/>
                <w:b/>
              </w:rPr>
            </w:pPr>
            <w:r w:rsidRPr="00E05E38">
              <w:rPr>
                <w:rFonts w:ascii="Arial" w:hAnsi="Arial" w:cs="Arial"/>
                <w:b/>
              </w:rPr>
              <w:t xml:space="preserve"> la aplicación del Marco Normativo - NICSP </w:t>
            </w:r>
          </w:p>
          <w:p w14:paraId="33EC46DA" w14:textId="77777777" w:rsidR="004962D9" w:rsidRPr="00E05E38" w:rsidRDefault="004962D9" w:rsidP="00D4226B">
            <w:pPr>
              <w:tabs>
                <w:tab w:val="left" w:pos="875"/>
              </w:tabs>
              <w:ind w:right="-50"/>
              <w:jc w:val="center"/>
              <w:rPr>
                <w:rFonts w:ascii="Arial" w:hAnsi="Arial" w:cs="Arial"/>
                <w:b/>
              </w:rPr>
            </w:pPr>
            <w:r w:rsidRPr="00E05E38">
              <w:rPr>
                <w:rFonts w:ascii="Arial" w:hAnsi="Arial" w:cs="Arial"/>
                <w:b/>
              </w:rPr>
              <w:t>a 31/12/2024</w:t>
            </w:r>
          </w:p>
          <w:p w14:paraId="0A66F5CF" w14:textId="77777777" w:rsidR="004962D9" w:rsidRPr="00E05E38" w:rsidRDefault="004962D9" w:rsidP="00D4226B">
            <w:pPr>
              <w:tabs>
                <w:tab w:val="left" w:pos="875"/>
              </w:tabs>
              <w:ind w:right="-50"/>
              <w:jc w:val="center"/>
              <w:rPr>
                <w:rFonts w:ascii="Arial" w:hAnsi="Arial" w:cs="Arial"/>
                <w:b/>
              </w:rPr>
            </w:pPr>
          </w:p>
        </w:tc>
        <w:tc>
          <w:tcPr>
            <w:tcW w:w="5244" w:type="dxa"/>
          </w:tcPr>
          <w:p w14:paraId="2AF0CD28" w14:textId="77777777" w:rsidR="004962D9" w:rsidRPr="00E05E38" w:rsidRDefault="004962D9" w:rsidP="00D4226B">
            <w:pPr>
              <w:tabs>
                <w:tab w:val="left" w:pos="875"/>
              </w:tabs>
              <w:ind w:right="-50"/>
              <w:jc w:val="center"/>
              <w:rPr>
                <w:rFonts w:ascii="Arial" w:hAnsi="Arial" w:cs="Arial"/>
                <w:b/>
              </w:rPr>
            </w:pPr>
            <w:r w:rsidRPr="00E05E38">
              <w:rPr>
                <w:rFonts w:ascii="Arial" w:hAnsi="Arial" w:cs="Arial"/>
                <w:b/>
              </w:rPr>
              <w:t>Descripción de la limitación</w:t>
            </w:r>
          </w:p>
        </w:tc>
      </w:tr>
      <w:tr w:rsidR="004962D9" w:rsidRPr="00E05E38" w14:paraId="7D4B43BA" w14:textId="77777777" w:rsidTr="00D4226B">
        <w:tc>
          <w:tcPr>
            <w:tcW w:w="867" w:type="dxa"/>
          </w:tcPr>
          <w:p w14:paraId="2E819A48" w14:textId="77777777" w:rsidR="004962D9" w:rsidRPr="00E05E38" w:rsidRDefault="004962D9" w:rsidP="00D4226B">
            <w:pPr>
              <w:tabs>
                <w:tab w:val="left" w:pos="875"/>
              </w:tabs>
              <w:ind w:right="-50"/>
              <w:jc w:val="center"/>
              <w:rPr>
                <w:rFonts w:ascii="Arial" w:hAnsi="Arial" w:cs="Arial"/>
                <w:b/>
              </w:rPr>
            </w:pPr>
            <w:r w:rsidRPr="00E05E38">
              <w:rPr>
                <w:rFonts w:ascii="Arial" w:hAnsi="Arial" w:cs="Arial"/>
                <w:b/>
              </w:rPr>
              <w:t>1</w:t>
            </w:r>
          </w:p>
        </w:tc>
        <w:tc>
          <w:tcPr>
            <w:tcW w:w="4379" w:type="dxa"/>
          </w:tcPr>
          <w:p w14:paraId="3D0878C6" w14:textId="77777777" w:rsidR="004962D9" w:rsidRPr="00E05E38" w:rsidRDefault="004962D9" w:rsidP="00D4226B">
            <w:pPr>
              <w:tabs>
                <w:tab w:val="left" w:pos="875"/>
              </w:tabs>
              <w:ind w:right="-50"/>
              <w:jc w:val="both"/>
              <w:rPr>
                <w:rFonts w:ascii="Arial" w:hAnsi="Arial" w:cs="Arial"/>
                <w:b/>
              </w:rPr>
            </w:pPr>
            <w:r w:rsidRPr="00E05E38">
              <w:rPr>
                <w:rFonts w:ascii="Arial" w:hAnsi="Arial" w:cs="Arial"/>
                <w:b/>
              </w:rPr>
              <w:t>Normativas:</w:t>
            </w:r>
          </w:p>
        </w:tc>
        <w:tc>
          <w:tcPr>
            <w:tcW w:w="5244" w:type="dxa"/>
          </w:tcPr>
          <w:p w14:paraId="090E1BC0" w14:textId="77777777" w:rsidR="004962D9" w:rsidRPr="00E05E38" w:rsidRDefault="004962D9" w:rsidP="00D4226B">
            <w:pPr>
              <w:tabs>
                <w:tab w:val="left" w:pos="875"/>
              </w:tabs>
              <w:ind w:right="-50"/>
              <w:jc w:val="both"/>
              <w:rPr>
                <w:rFonts w:ascii="Arial" w:hAnsi="Arial" w:cs="Arial"/>
              </w:rPr>
            </w:pPr>
            <w:r w:rsidRPr="00E05E38">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responsables de los PATRIMONIOS AUTÓNOMOS, sobre los cuales versa la solicitud, deberán rendir la información en la forma en que han venido rindiendo la misma en años anteriores, con los ajustes determinados para ello por la CGN (…)”</w:t>
            </w:r>
          </w:p>
        </w:tc>
      </w:tr>
    </w:tbl>
    <w:p w14:paraId="4B723280" w14:textId="77777777" w:rsidR="004962D9" w:rsidRDefault="004962D9" w:rsidP="004962D9">
      <w:pPr>
        <w:ind w:left="-284" w:right="-93"/>
        <w:jc w:val="both"/>
        <w:rPr>
          <w:rFonts w:ascii="Arial" w:eastAsia="Trebuchet MS" w:hAnsi="Arial" w:cs="Arial"/>
          <w:b/>
          <w:sz w:val="32"/>
          <w:szCs w:val="32"/>
          <w:u w:val="single"/>
          <w:lang w:eastAsia="es-CO"/>
        </w:rPr>
      </w:pPr>
    </w:p>
    <w:p w14:paraId="7708431F" w14:textId="77777777" w:rsidR="004962D9" w:rsidRDefault="004962D9" w:rsidP="004C5E54">
      <w:pPr>
        <w:ind w:left="-284" w:right="-234"/>
        <w:jc w:val="both"/>
        <w:rPr>
          <w:rFonts w:ascii="Arial" w:hAnsi="Arial" w:cs="Arial"/>
          <w:b/>
          <w:sz w:val="28"/>
          <w:szCs w:val="28"/>
          <w:lang w:val="es-MX"/>
        </w:rPr>
      </w:pPr>
      <w:r w:rsidRPr="007F494A">
        <w:rPr>
          <w:rFonts w:ascii="Arial" w:hAnsi="Arial" w:cs="Arial"/>
          <w:b/>
          <w:sz w:val="28"/>
          <w:szCs w:val="28"/>
          <w:lang w:val="es-MX"/>
        </w:rPr>
        <w:t>208.- PAR BANCO CENTRAL HIPOTECARIO EN LIQUIDACIÓN – FIDUPREVISORA S.A.</w:t>
      </w:r>
    </w:p>
    <w:p w14:paraId="1303E850" w14:textId="77777777" w:rsidR="004962D9" w:rsidRPr="007F494A" w:rsidRDefault="004962D9" w:rsidP="004962D9">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7F494A" w14:paraId="055D682A" w14:textId="77777777" w:rsidTr="00D4226B">
        <w:tc>
          <w:tcPr>
            <w:tcW w:w="867" w:type="dxa"/>
          </w:tcPr>
          <w:p w14:paraId="17F3F5D8" w14:textId="77777777" w:rsidR="004962D9" w:rsidRPr="007F494A" w:rsidRDefault="004962D9" w:rsidP="00D4226B">
            <w:pPr>
              <w:tabs>
                <w:tab w:val="left" w:pos="875"/>
              </w:tabs>
              <w:ind w:right="-50"/>
              <w:jc w:val="center"/>
              <w:rPr>
                <w:rFonts w:ascii="Arial" w:hAnsi="Arial" w:cs="Arial"/>
                <w:b/>
              </w:rPr>
            </w:pPr>
            <w:r w:rsidRPr="007F494A">
              <w:rPr>
                <w:rFonts w:ascii="Arial" w:hAnsi="Arial" w:cs="Arial"/>
                <w:b/>
              </w:rPr>
              <w:t>N°</w:t>
            </w:r>
          </w:p>
        </w:tc>
        <w:tc>
          <w:tcPr>
            <w:tcW w:w="4379" w:type="dxa"/>
          </w:tcPr>
          <w:p w14:paraId="052B1C77" w14:textId="77777777" w:rsidR="004962D9" w:rsidRPr="007F494A" w:rsidRDefault="004962D9" w:rsidP="00D4226B">
            <w:pPr>
              <w:tabs>
                <w:tab w:val="left" w:pos="875"/>
              </w:tabs>
              <w:ind w:right="-50"/>
              <w:jc w:val="center"/>
              <w:rPr>
                <w:rFonts w:ascii="Arial" w:hAnsi="Arial" w:cs="Arial"/>
                <w:b/>
              </w:rPr>
            </w:pPr>
            <w:r w:rsidRPr="007F494A">
              <w:rPr>
                <w:rFonts w:ascii="Arial" w:hAnsi="Arial" w:cs="Arial"/>
                <w:b/>
              </w:rPr>
              <w:t>Limitaciones detectadas por su entidad en</w:t>
            </w:r>
          </w:p>
          <w:p w14:paraId="61EFAF29" w14:textId="77777777" w:rsidR="004962D9" w:rsidRPr="007F494A" w:rsidRDefault="004962D9" w:rsidP="00D4226B">
            <w:pPr>
              <w:tabs>
                <w:tab w:val="left" w:pos="875"/>
              </w:tabs>
              <w:ind w:right="-50"/>
              <w:jc w:val="center"/>
              <w:rPr>
                <w:rFonts w:ascii="Arial" w:hAnsi="Arial" w:cs="Arial"/>
                <w:b/>
              </w:rPr>
            </w:pPr>
            <w:r w:rsidRPr="007F494A">
              <w:rPr>
                <w:rFonts w:ascii="Arial" w:hAnsi="Arial" w:cs="Arial"/>
                <w:b/>
              </w:rPr>
              <w:t xml:space="preserve"> la aplicación del Marco Normativo - NICSP </w:t>
            </w:r>
          </w:p>
          <w:p w14:paraId="431F9EFF" w14:textId="77777777" w:rsidR="004962D9" w:rsidRPr="007F494A" w:rsidRDefault="004962D9" w:rsidP="00D4226B">
            <w:pPr>
              <w:tabs>
                <w:tab w:val="left" w:pos="875"/>
              </w:tabs>
              <w:ind w:right="-50"/>
              <w:jc w:val="center"/>
              <w:rPr>
                <w:rFonts w:ascii="Arial" w:hAnsi="Arial" w:cs="Arial"/>
                <w:b/>
              </w:rPr>
            </w:pPr>
            <w:r w:rsidRPr="007F494A">
              <w:rPr>
                <w:rFonts w:ascii="Arial" w:hAnsi="Arial" w:cs="Arial"/>
                <w:b/>
              </w:rPr>
              <w:t>a 31/12/2024</w:t>
            </w:r>
          </w:p>
          <w:p w14:paraId="2F237414" w14:textId="77777777" w:rsidR="004962D9" w:rsidRPr="007F494A" w:rsidRDefault="004962D9" w:rsidP="00D4226B">
            <w:pPr>
              <w:tabs>
                <w:tab w:val="left" w:pos="875"/>
              </w:tabs>
              <w:ind w:right="-50"/>
              <w:jc w:val="center"/>
              <w:rPr>
                <w:rFonts w:ascii="Arial" w:hAnsi="Arial" w:cs="Arial"/>
                <w:b/>
              </w:rPr>
            </w:pPr>
          </w:p>
        </w:tc>
        <w:tc>
          <w:tcPr>
            <w:tcW w:w="5244" w:type="dxa"/>
          </w:tcPr>
          <w:p w14:paraId="7E28FC21" w14:textId="77777777" w:rsidR="004962D9" w:rsidRPr="007F494A" w:rsidRDefault="004962D9" w:rsidP="00D4226B">
            <w:pPr>
              <w:tabs>
                <w:tab w:val="left" w:pos="875"/>
              </w:tabs>
              <w:ind w:right="-50"/>
              <w:jc w:val="center"/>
              <w:rPr>
                <w:rFonts w:ascii="Arial" w:hAnsi="Arial" w:cs="Arial"/>
                <w:b/>
              </w:rPr>
            </w:pPr>
            <w:r w:rsidRPr="007F494A">
              <w:rPr>
                <w:rFonts w:ascii="Arial" w:hAnsi="Arial" w:cs="Arial"/>
                <w:b/>
              </w:rPr>
              <w:t>Descripción de la limitación</w:t>
            </w:r>
          </w:p>
        </w:tc>
      </w:tr>
      <w:tr w:rsidR="004962D9" w:rsidRPr="007F494A" w14:paraId="7CA3056B" w14:textId="77777777" w:rsidTr="00D4226B">
        <w:tc>
          <w:tcPr>
            <w:tcW w:w="867" w:type="dxa"/>
          </w:tcPr>
          <w:p w14:paraId="6B71D591" w14:textId="77777777" w:rsidR="004962D9" w:rsidRPr="007F494A" w:rsidRDefault="004962D9" w:rsidP="00D4226B">
            <w:pPr>
              <w:tabs>
                <w:tab w:val="left" w:pos="875"/>
              </w:tabs>
              <w:ind w:right="-50"/>
              <w:jc w:val="center"/>
              <w:rPr>
                <w:rFonts w:ascii="Arial" w:hAnsi="Arial" w:cs="Arial"/>
                <w:b/>
              </w:rPr>
            </w:pPr>
            <w:r w:rsidRPr="007F494A">
              <w:rPr>
                <w:rFonts w:ascii="Arial" w:hAnsi="Arial" w:cs="Arial"/>
                <w:b/>
              </w:rPr>
              <w:t>1</w:t>
            </w:r>
          </w:p>
        </w:tc>
        <w:tc>
          <w:tcPr>
            <w:tcW w:w="4379" w:type="dxa"/>
          </w:tcPr>
          <w:p w14:paraId="091B125E" w14:textId="77777777" w:rsidR="004962D9" w:rsidRPr="007F494A" w:rsidRDefault="004962D9" w:rsidP="00D4226B">
            <w:pPr>
              <w:tabs>
                <w:tab w:val="left" w:pos="875"/>
              </w:tabs>
              <w:ind w:right="-50"/>
              <w:jc w:val="both"/>
              <w:rPr>
                <w:rFonts w:ascii="Arial" w:hAnsi="Arial" w:cs="Arial"/>
                <w:b/>
              </w:rPr>
            </w:pPr>
            <w:r w:rsidRPr="007F494A">
              <w:rPr>
                <w:rFonts w:ascii="Arial" w:hAnsi="Arial" w:cs="Arial"/>
                <w:b/>
              </w:rPr>
              <w:t>Normativas:</w:t>
            </w:r>
          </w:p>
        </w:tc>
        <w:tc>
          <w:tcPr>
            <w:tcW w:w="5244" w:type="dxa"/>
          </w:tcPr>
          <w:p w14:paraId="6E9C48D5" w14:textId="77777777" w:rsidR="004962D9" w:rsidRPr="007F494A" w:rsidRDefault="004962D9" w:rsidP="00D4226B">
            <w:pPr>
              <w:tabs>
                <w:tab w:val="left" w:pos="875"/>
              </w:tabs>
              <w:ind w:right="-50"/>
              <w:jc w:val="both"/>
              <w:rPr>
                <w:rFonts w:ascii="Arial" w:hAnsi="Arial" w:cs="Arial"/>
              </w:rPr>
            </w:pPr>
            <w:r w:rsidRPr="007F494A">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responsables de los PATRIMONIOS AUTÓNOMOS, sobre los cuales versa la solicitud, deberán rendir la información en la forma en que han venido rindiendo la misma en años anteriores, con los ajustes determinados para ello por la CGN (…)”</w:t>
            </w:r>
          </w:p>
        </w:tc>
      </w:tr>
    </w:tbl>
    <w:p w14:paraId="1513C565" w14:textId="77777777" w:rsidR="004962D9" w:rsidRDefault="004962D9" w:rsidP="004962D9">
      <w:pPr>
        <w:ind w:left="-284" w:right="-93"/>
        <w:jc w:val="both"/>
        <w:rPr>
          <w:rFonts w:ascii="Arial" w:eastAsia="Trebuchet MS" w:hAnsi="Arial" w:cs="Arial"/>
          <w:b/>
          <w:sz w:val="32"/>
          <w:szCs w:val="32"/>
          <w:u w:val="single"/>
          <w:lang w:eastAsia="es-CO"/>
        </w:rPr>
      </w:pPr>
    </w:p>
    <w:p w14:paraId="32888058" w14:textId="77777777" w:rsidR="004962D9" w:rsidRPr="00721C7A" w:rsidRDefault="004962D9" w:rsidP="004962D9">
      <w:pPr>
        <w:ind w:left="-284"/>
        <w:jc w:val="both"/>
        <w:rPr>
          <w:rFonts w:ascii="Arial" w:hAnsi="Arial" w:cs="Arial"/>
          <w:b/>
          <w:sz w:val="28"/>
          <w:szCs w:val="28"/>
          <w:lang w:val="es-MX"/>
        </w:rPr>
      </w:pPr>
      <w:r w:rsidRPr="00721C7A">
        <w:rPr>
          <w:rFonts w:ascii="Arial" w:hAnsi="Arial" w:cs="Arial"/>
          <w:b/>
          <w:sz w:val="28"/>
          <w:szCs w:val="28"/>
          <w:lang w:val="es-MX"/>
        </w:rPr>
        <w:lastRenderedPageBreak/>
        <w:t>209.- PAP BANCO CENTRAL HIPOTECARIO EN LIQUIDACIÓN /ARCHIVO BOGOTA – FIDUPREVISORA S.A.</w:t>
      </w:r>
    </w:p>
    <w:p w14:paraId="39B082D7"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721C7A" w14:paraId="364D5E52" w14:textId="77777777" w:rsidTr="00D4226B">
        <w:tc>
          <w:tcPr>
            <w:tcW w:w="867" w:type="dxa"/>
          </w:tcPr>
          <w:p w14:paraId="439847E6" w14:textId="77777777" w:rsidR="004962D9" w:rsidRPr="00721C7A" w:rsidRDefault="004962D9" w:rsidP="00D4226B">
            <w:pPr>
              <w:tabs>
                <w:tab w:val="left" w:pos="875"/>
              </w:tabs>
              <w:ind w:right="-50"/>
              <w:jc w:val="center"/>
              <w:rPr>
                <w:rFonts w:ascii="Arial" w:hAnsi="Arial" w:cs="Arial"/>
                <w:b/>
              </w:rPr>
            </w:pPr>
            <w:r w:rsidRPr="00721C7A">
              <w:rPr>
                <w:rFonts w:ascii="Arial" w:hAnsi="Arial" w:cs="Arial"/>
                <w:b/>
              </w:rPr>
              <w:t>N°</w:t>
            </w:r>
          </w:p>
        </w:tc>
        <w:tc>
          <w:tcPr>
            <w:tcW w:w="4379" w:type="dxa"/>
          </w:tcPr>
          <w:p w14:paraId="440B1B92" w14:textId="77777777" w:rsidR="004962D9" w:rsidRPr="00721C7A" w:rsidRDefault="004962D9" w:rsidP="00D4226B">
            <w:pPr>
              <w:tabs>
                <w:tab w:val="left" w:pos="875"/>
              </w:tabs>
              <w:ind w:right="-50"/>
              <w:jc w:val="center"/>
              <w:rPr>
                <w:rFonts w:ascii="Arial" w:hAnsi="Arial" w:cs="Arial"/>
                <w:b/>
              </w:rPr>
            </w:pPr>
            <w:r w:rsidRPr="00721C7A">
              <w:rPr>
                <w:rFonts w:ascii="Arial" w:hAnsi="Arial" w:cs="Arial"/>
                <w:b/>
              </w:rPr>
              <w:t>Limitaciones detectadas por su entidad en</w:t>
            </w:r>
          </w:p>
          <w:p w14:paraId="792D81C8" w14:textId="77777777" w:rsidR="004962D9" w:rsidRPr="00721C7A" w:rsidRDefault="004962D9" w:rsidP="00D4226B">
            <w:pPr>
              <w:tabs>
                <w:tab w:val="left" w:pos="875"/>
              </w:tabs>
              <w:ind w:right="-50"/>
              <w:jc w:val="center"/>
              <w:rPr>
                <w:rFonts w:ascii="Arial" w:hAnsi="Arial" w:cs="Arial"/>
                <w:b/>
              </w:rPr>
            </w:pPr>
            <w:r w:rsidRPr="00721C7A">
              <w:rPr>
                <w:rFonts w:ascii="Arial" w:hAnsi="Arial" w:cs="Arial"/>
                <w:b/>
              </w:rPr>
              <w:t xml:space="preserve"> la aplicación del Marco Normativo - NICSP </w:t>
            </w:r>
          </w:p>
          <w:p w14:paraId="61D8DC60" w14:textId="77777777" w:rsidR="004962D9" w:rsidRPr="00721C7A" w:rsidRDefault="004962D9" w:rsidP="00D4226B">
            <w:pPr>
              <w:tabs>
                <w:tab w:val="left" w:pos="875"/>
              </w:tabs>
              <w:ind w:right="-50"/>
              <w:jc w:val="center"/>
              <w:rPr>
                <w:rFonts w:ascii="Arial" w:hAnsi="Arial" w:cs="Arial"/>
                <w:b/>
              </w:rPr>
            </w:pPr>
            <w:r w:rsidRPr="00721C7A">
              <w:rPr>
                <w:rFonts w:ascii="Arial" w:hAnsi="Arial" w:cs="Arial"/>
                <w:b/>
              </w:rPr>
              <w:t>a 31/12/2024</w:t>
            </w:r>
          </w:p>
          <w:p w14:paraId="578B3F7E" w14:textId="77777777" w:rsidR="004962D9" w:rsidRPr="00721C7A" w:rsidRDefault="004962D9" w:rsidP="00D4226B">
            <w:pPr>
              <w:tabs>
                <w:tab w:val="left" w:pos="875"/>
              </w:tabs>
              <w:ind w:right="-50"/>
              <w:jc w:val="center"/>
              <w:rPr>
                <w:rFonts w:ascii="Arial" w:hAnsi="Arial" w:cs="Arial"/>
                <w:b/>
              </w:rPr>
            </w:pPr>
          </w:p>
        </w:tc>
        <w:tc>
          <w:tcPr>
            <w:tcW w:w="5244" w:type="dxa"/>
          </w:tcPr>
          <w:p w14:paraId="140F9ED7" w14:textId="77777777" w:rsidR="004962D9" w:rsidRPr="00721C7A" w:rsidRDefault="004962D9" w:rsidP="00D4226B">
            <w:pPr>
              <w:tabs>
                <w:tab w:val="left" w:pos="875"/>
              </w:tabs>
              <w:ind w:right="-50"/>
              <w:jc w:val="center"/>
              <w:rPr>
                <w:rFonts w:ascii="Arial" w:hAnsi="Arial" w:cs="Arial"/>
                <w:b/>
              </w:rPr>
            </w:pPr>
            <w:r w:rsidRPr="00721C7A">
              <w:rPr>
                <w:rFonts w:ascii="Arial" w:hAnsi="Arial" w:cs="Arial"/>
                <w:b/>
              </w:rPr>
              <w:t>Descripción de la limitación</w:t>
            </w:r>
          </w:p>
        </w:tc>
      </w:tr>
      <w:tr w:rsidR="004962D9" w:rsidRPr="00721C7A" w14:paraId="6D35E112" w14:textId="77777777" w:rsidTr="00D4226B">
        <w:tc>
          <w:tcPr>
            <w:tcW w:w="867" w:type="dxa"/>
          </w:tcPr>
          <w:p w14:paraId="51283CD1" w14:textId="77777777" w:rsidR="004962D9" w:rsidRPr="00721C7A" w:rsidRDefault="004962D9" w:rsidP="00D4226B">
            <w:pPr>
              <w:tabs>
                <w:tab w:val="left" w:pos="875"/>
              </w:tabs>
              <w:ind w:right="-50"/>
              <w:jc w:val="center"/>
              <w:rPr>
                <w:rFonts w:ascii="Arial" w:hAnsi="Arial" w:cs="Arial"/>
                <w:b/>
              </w:rPr>
            </w:pPr>
            <w:r w:rsidRPr="00721C7A">
              <w:rPr>
                <w:rFonts w:ascii="Arial" w:hAnsi="Arial" w:cs="Arial"/>
                <w:b/>
              </w:rPr>
              <w:t>1</w:t>
            </w:r>
          </w:p>
        </w:tc>
        <w:tc>
          <w:tcPr>
            <w:tcW w:w="4379" w:type="dxa"/>
          </w:tcPr>
          <w:p w14:paraId="0FB1ED47" w14:textId="77777777" w:rsidR="004962D9" w:rsidRPr="00721C7A" w:rsidRDefault="004962D9" w:rsidP="00D4226B">
            <w:pPr>
              <w:tabs>
                <w:tab w:val="left" w:pos="875"/>
              </w:tabs>
              <w:ind w:right="-50"/>
              <w:jc w:val="both"/>
              <w:rPr>
                <w:rFonts w:ascii="Arial" w:hAnsi="Arial" w:cs="Arial"/>
                <w:b/>
              </w:rPr>
            </w:pPr>
            <w:r w:rsidRPr="00721C7A">
              <w:rPr>
                <w:rFonts w:ascii="Arial" w:hAnsi="Arial" w:cs="Arial"/>
                <w:b/>
              </w:rPr>
              <w:t>Normativas:</w:t>
            </w:r>
          </w:p>
        </w:tc>
        <w:tc>
          <w:tcPr>
            <w:tcW w:w="5244" w:type="dxa"/>
          </w:tcPr>
          <w:p w14:paraId="37E87DFB" w14:textId="77777777" w:rsidR="004962D9" w:rsidRPr="00721C7A" w:rsidRDefault="004962D9" w:rsidP="00D4226B">
            <w:pPr>
              <w:tabs>
                <w:tab w:val="left" w:pos="875"/>
              </w:tabs>
              <w:ind w:right="-50"/>
              <w:jc w:val="both"/>
              <w:rPr>
                <w:rFonts w:ascii="Arial" w:hAnsi="Arial" w:cs="Arial"/>
              </w:rPr>
            </w:pPr>
            <w:r w:rsidRPr="00721C7A">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responsables de los PATRIMONIOS AUTÓNOMOS, sobre los cuales versa la solicitud, deberán rendir la información en la forma en que han venido rindiendo la misma en años anteriores, con los ajustes determinados para ello por la CGN (…)”</w:t>
            </w:r>
          </w:p>
        </w:tc>
      </w:tr>
    </w:tbl>
    <w:p w14:paraId="4708560A" w14:textId="77777777" w:rsidR="004962D9" w:rsidRDefault="004962D9" w:rsidP="004962D9">
      <w:pPr>
        <w:ind w:left="-284" w:right="-93"/>
        <w:jc w:val="both"/>
        <w:rPr>
          <w:rFonts w:ascii="Arial" w:eastAsia="Trebuchet MS" w:hAnsi="Arial" w:cs="Arial"/>
          <w:b/>
          <w:sz w:val="32"/>
          <w:szCs w:val="32"/>
          <w:u w:val="single"/>
          <w:lang w:eastAsia="es-CO"/>
        </w:rPr>
      </w:pPr>
    </w:p>
    <w:p w14:paraId="25D9AA0E" w14:textId="77777777" w:rsidR="004962D9" w:rsidRPr="00E61D69" w:rsidRDefault="004962D9" w:rsidP="004962D9">
      <w:pPr>
        <w:ind w:left="-284"/>
        <w:jc w:val="both"/>
        <w:rPr>
          <w:rFonts w:ascii="Arial" w:hAnsi="Arial" w:cs="Arial"/>
          <w:b/>
          <w:sz w:val="28"/>
          <w:szCs w:val="28"/>
          <w:lang w:val="es-MX"/>
        </w:rPr>
      </w:pPr>
      <w:r w:rsidRPr="00E61D69">
        <w:rPr>
          <w:rFonts w:ascii="Arial" w:hAnsi="Arial" w:cs="Arial"/>
          <w:b/>
          <w:sz w:val="28"/>
          <w:szCs w:val="28"/>
          <w:lang w:val="es-MX"/>
        </w:rPr>
        <w:t>211.- PAR BANCO DEL ESTADO EN LIQUIDACIÓN – FIDUPREVISORA S.A.</w:t>
      </w:r>
    </w:p>
    <w:p w14:paraId="2A5DAE8F"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E61D69" w14:paraId="4132D9B3" w14:textId="77777777" w:rsidTr="00D4226B">
        <w:tc>
          <w:tcPr>
            <w:tcW w:w="867" w:type="dxa"/>
          </w:tcPr>
          <w:p w14:paraId="66FE64C3" w14:textId="77777777" w:rsidR="004962D9" w:rsidRPr="00E61D69" w:rsidRDefault="004962D9" w:rsidP="00D4226B">
            <w:pPr>
              <w:tabs>
                <w:tab w:val="left" w:pos="875"/>
              </w:tabs>
              <w:ind w:right="-50"/>
              <w:jc w:val="center"/>
              <w:rPr>
                <w:rFonts w:ascii="Arial" w:hAnsi="Arial" w:cs="Arial"/>
                <w:b/>
              </w:rPr>
            </w:pPr>
            <w:r w:rsidRPr="00E61D69">
              <w:rPr>
                <w:rFonts w:ascii="Arial" w:hAnsi="Arial" w:cs="Arial"/>
                <w:b/>
              </w:rPr>
              <w:t>N°</w:t>
            </w:r>
          </w:p>
        </w:tc>
        <w:tc>
          <w:tcPr>
            <w:tcW w:w="4379" w:type="dxa"/>
          </w:tcPr>
          <w:p w14:paraId="486C6B40" w14:textId="77777777" w:rsidR="004962D9" w:rsidRPr="00E61D69" w:rsidRDefault="004962D9" w:rsidP="00D4226B">
            <w:pPr>
              <w:tabs>
                <w:tab w:val="left" w:pos="875"/>
              </w:tabs>
              <w:ind w:right="-50"/>
              <w:jc w:val="center"/>
              <w:rPr>
                <w:rFonts w:ascii="Arial" w:hAnsi="Arial" w:cs="Arial"/>
                <w:b/>
              </w:rPr>
            </w:pPr>
            <w:r w:rsidRPr="00E61D69">
              <w:rPr>
                <w:rFonts w:ascii="Arial" w:hAnsi="Arial" w:cs="Arial"/>
                <w:b/>
              </w:rPr>
              <w:t>Limitaciones detectadas por su entidad en</w:t>
            </w:r>
          </w:p>
          <w:p w14:paraId="025B4AFF" w14:textId="77777777" w:rsidR="004962D9" w:rsidRPr="00E61D69" w:rsidRDefault="004962D9" w:rsidP="00D4226B">
            <w:pPr>
              <w:tabs>
                <w:tab w:val="left" w:pos="875"/>
              </w:tabs>
              <w:ind w:right="-50"/>
              <w:jc w:val="center"/>
              <w:rPr>
                <w:rFonts w:ascii="Arial" w:hAnsi="Arial" w:cs="Arial"/>
                <w:b/>
              </w:rPr>
            </w:pPr>
            <w:r w:rsidRPr="00E61D69">
              <w:rPr>
                <w:rFonts w:ascii="Arial" w:hAnsi="Arial" w:cs="Arial"/>
                <w:b/>
              </w:rPr>
              <w:t xml:space="preserve"> la aplicación del Marco Normativo - NICSP </w:t>
            </w:r>
          </w:p>
          <w:p w14:paraId="0358DCD3" w14:textId="77777777" w:rsidR="004962D9" w:rsidRPr="00E61D69" w:rsidRDefault="004962D9" w:rsidP="00D4226B">
            <w:pPr>
              <w:tabs>
                <w:tab w:val="left" w:pos="875"/>
              </w:tabs>
              <w:ind w:right="-50"/>
              <w:jc w:val="center"/>
              <w:rPr>
                <w:rFonts w:ascii="Arial" w:hAnsi="Arial" w:cs="Arial"/>
                <w:b/>
              </w:rPr>
            </w:pPr>
            <w:r w:rsidRPr="00E61D69">
              <w:rPr>
                <w:rFonts w:ascii="Arial" w:hAnsi="Arial" w:cs="Arial"/>
                <w:b/>
              </w:rPr>
              <w:t>a 31/12/2024</w:t>
            </w:r>
          </w:p>
          <w:p w14:paraId="031C4960" w14:textId="77777777" w:rsidR="004962D9" w:rsidRPr="00E61D69" w:rsidRDefault="004962D9" w:rsidP="00D4226B">
            <w:pPr>
              <w:tabs>
                <w:tab w:val="left" w:pos="875"/>
              </w:tabs>
              <w:ind w:right="-50"/>
              <w:jc w:val="center"/>
              <w:rPr>
                <w:rFonts w:ascii="Arial" w:hAnsi="Arial" w:cs="Arial"/>
                <w:b/>
              </w:rPr>
            </w:pPr>
          </w:p>
        </w:tc>
        <w:tc>
          <w:tcPr>
            <w:tcW w:w="5244" w:type="dxa"/>
          </w:tcPr>
          <w:p w14:paraId="6F378D41" w14:textId="77777777" w:rsidR="004962D9" w:rsidRPr="00E61D69" w:rsidRDefault="004962D9" w:rsidP="00D4226B">
            <w:pPr>
              <w:tabs>
                <w:tab w:val="left" w:pos="875"/>
              </w:tabs>
              <w:ind w:right="-50"/>
              <w:jc w:val="center"/>
              <w:rPr>
                <w:rFonts w:ascii="Arial" w:hAnsi="Arial" w:cs="Arial"/>
                <w:b/>
              </w:rPr>
            </w:pPr>
            <w:r w:rsidRPr="00E61D69">
              <w:rPr>
                <w:rFonts w:ascii="Arial" w:hAnsi="Arial" w:cs="Arial"/>
                <w:b/>
              </w:rPr>
              <w:t>Descripción de la limitación</w:t>
            </w:r>
          </w:p>
        </w:tc>
      </w:tr>
      <w:tr w:rsidR="004962D9" w:rsidRPr="00E61D69" w14:paraId="0BE0ACE7" w14:textId="77777777" w:rsidTr="00D4226B">
        <w:tc>
          <w:tcPr>
            <w:tcW w:w="867" w:type="dxa"/>
          </w:tcPr>
          <w:p w14:paraId="56D67EDE" w14:textId="77777777" w:rsidR="004962D9" w:rsidRPr="00E61D69" w:rsidRDefault="004962D9" w:rsidP="00D4226B">
            <w:pPr>
              <w:tabs>
                <w:tab w:val="left" w:pos="875"/>
              </w:tabs>
              <w:ind w:right="-50"/>
              <w:jc w:val="center"/>
              <w:rPr>
                <w:rFonts w:ascii="Arial" w:hAnsi="Arial" w:cs="Arial"/>
                <w:b/>
              </w:rPr>
            </w:pPr>
            <w:r w:rsidRPr="00E61D69">
              <w:rPr>
                <w:rFonts w:ascii="Arial" w:hAnsi="Arial" w:cs="Arial"/>
                <w:b/>
              </w:rPr>
              <w:t>1</w:t>
            </w:r>
          </w:p>
        </w:tc>
        <w:tc>
          <w:tcPr>
            <w:tcW w:w="4379" w:type="dxa"/>
          </w:tcPr>
          <w:p w14:paraId="7DCDF87D" w14:textId="77777777" w:rsidR="004962D9" w:rsidRPr="00E61D69" w:rsidRDefault="004962D9" w:rsidP="00D4226B">
            <w:pPr>
              <w:tabs>
                <w:tab w:val="left" w:pos="875"/>
              </w:tabs>
              <w:ind w:right="-50"/>
              <w:jc w:val="both"/>
              <w:rPr>
                <w:rFonts w:ascii="Arial" w:hAnsi="Arial" w:cs="Arial"/>
                <w:b/>
              </w:rPr>
            </w:pPr>
            <w:r w:rsidRPr="00E61D69">
              <w:rPr>
                <w:rFonts w:ascii="Arial" w:hAnsi="Arial" w:cs="Arial"/>
                <w:b/>
              </w:rPr>
              <w:t>Normativas:</w:t>
            </w:r>
          </w:p>
        </w:tc>
        <w:tc>
          <w:tcPr>
            <w:tcW w:w="5244" w:type="dxa"/>
          </w:tcPr>
          <w:p w14:paraId="61C2DE8D" w14:textId="77777777" w:rsidR="004962D9" w:rsidRPr="00E61D69" w:rsidRDefault="004962D9" w:rsidP="00D4226B">
            <w:pPr>
              <w:tabs>
                <w:tab w:val="left" w:pos="875"/>
              </w:tabs>
              <w:ind w:right="-50"/>
              <w:jc w:val="both"/>
              <w:rPr>
                <w:rFonts w:ascii="Arial" w:hAnsi="Arial" w:cs="Arial"/>
              </w:rPr>
            </w:pPr>
            <w:r w:rsidRPr="00E61D69">
              <w:rPr>
                <w:rFonts w:ascii="Arial" w:hAnsi="Arial" w:cs="Arial"/>
              </w:rPr>
              <w:t>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responsables de los PATRIMONIOS AUTÓNOMOS, sobre los cuales versa la solicitud, deberán rendir la información en la forma en que han venido rindiendo la misma en años anteriores, con los ajustes determinados para ello por la CGN (…)”</w:t>
            </w:r>
          </w:p>
        </w:tc>
      </w:tr>
    </w:tbl>
    <w:p w14:paraId="4555E00D" w14:textId="77777777" w:rsidR="004962D9" w:rsidRDefault="004962D9" w:rsidP="004962D9">
      <w:pPr>
        <w:ind w:left="-284" w:right="-93"/>
        <w:jc w:val="both"/>
        <w:rPr>
          <w:rFonts w:ascii="Arial" w:eastAsia="Trebuchet MS" w:hAnsi="Arial" w:cs="Arial"/>
          <w:b/>
          <w:sz w:val="32"/>
          <w:szCs w:val="32"/>
          <w:u w:val="single"/>
          <w:lang w:eastAsia="es-CO"/>
        </w:rPr>
      </w:pPr>
    </w:p>
    <w:p w14:paraId="0A812D2A" w14:textId="77777777" w:rsidR="004962D9" w:rsidRPr="00413B89" w:rsidRDefault="004962D9" w:rsidP="004962D9">
      <w:pPr>
        <w:ind w:left="-284"/>
        <w:jc w:val="both"/>
        <w:rPr>
          <w:rFonts w:ascii="Arial" w:hAnsi="Arial" w:cs="Arial"/>
          <w:b/>
          <w:sz w:val="28"/>
          <w:szCs w:val="28"/>
          <w:lang w:val="es-MX"/>
        </w:rPr>
      </w:pPr>
      <w:r w:rsidRPr="00413B89">
        <w:rPr>
          <w:rFonts w:ascii="Arial" w:hAnsi="Arial" w:cs="Arial"/>
          <w:b/>
          <w:sz w:val="28"/>
          <w:szCs w:val="28"/>
          <w:lang w:val="es-MX"/>
        </w:rPr>
        <w:t>213.- PAR ELECTRIFICADORA DE BOLÍVAR S.A. E.S.P EN LIQUIDACIÓN - FIDUPREVISORA.</w:t>
      </w:r>
    </w:p>
    <w:p w14:paraId="18AE60F4" w14:textId="77777777" w:rsidR="004962D9" w:rsidRPr="00413B89" w:rsidRDefault="004962D9" w:rsidP="004962D9">
      <w:pPr>
        <w:pStyle w:val="Textoindependiente"/>
        <w:ind w:right="-50"/>
        <w:jc w:val="both"/>
        <w:rPr>
          <w:rFonts w:ascii="Arial" w:hAnsi="Arial" w:cs="Arial"/>
          <w:b/>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413B89" w14:paraId="37D8795F" w14:textId="77777777" w:rsidTr="00D4226B">
        <w:tc>
          <w:tcPr>
            <w:tcW w:w="867" w:type="dxa"/>
          </w:tcPr>
          <w:p w14:paraId="74CA290F" w14:textId="77777777" w:rsidR="004962D9" w:rsidRPr="00413B89" w:rsidRDefault="004962D9" w:rsidP="00D4226B">
            <w:pPr>
              <w:tabs>
                <w:tab w:val="left" w:pos="875"/>
              </w:tabs>
              <w:ind w:right="-50"/>
              <w:jc w:val="center"/>
              <w:rPr>
                <w:rFonts w:ascii="Arial" w:hAnsi="Arial" w:cs="Arial"/>
                <w:b/>
              </w:rPr>
            </w:pPr>
            <w:r w:rsidRPr="00413B89">
              <w:rPr>
                <w:rFonts w:ascii="Arial" w:hAnsi="Arial" w:cs="Arial"/>
                <w:b/>
              </w:rPr>
              <w:t>N°</w:t>
            </w:r>
          </w:p>
        </w:tc>
        <w:tc>
          <w:tcPr>
            <w:tcW w:w="4379" w:type="dxa"/>
          </w:tcPr>
          <w:p w14:paraId="0A961C0A" w14:textId="77777777" w:rsidR="004962D9" w:rsidRPr="00413B89" w:rsidRDefault="004962D9" w:rsidP="00D4226B">
            <w:pPr>
              <w:tabs>
                <w:tab w:val="left" w:pos="875"/>
              </w:tabs>
              <w:ind w:right="-50"/>
              <w:jc w:val="center"/>
              <w:rPr>
                <w:rFonts w:ascii="Arial" w:hAnsi="Arial" w:cs="Arial"/>
                <w:b/>
              </w:rPr>
            </w:pPr>
            <w:r w:rsidRPr="00413B89">
              <w:rPr>
                <w:rFonts w:ascii="Arial" w:hAnsi="Arial" w:cs="Arial"/>
                <w:b/>
              </w:rPr>
              <w:t>Limitaciones detectadas por su entidad en</w:t>
            </w:r>
          </w:p>
          <w:p w14:paraId="3BBE5B36" w14:textId="77777777" w:rsidR="004962D9" w:rsidRPr="00413B89" w:rsidRDefault="004962D9" w:rsidP="00D4226B">
            <w:pPr>
              <w:tabs>
                <w:tab w:val="left" w:pos="875"/>
              </w:tabs>
              <w:ind w:right="-50"/>
              <w:jc w:val="center"/>
              <w:rPr>
                <w:rFonts w:ascii="Arial" w:hAnsi="Arial" w:cs="Arial"/>
                <w:b/>
              </w:rPr>
            </w:pPr>
            <w:r w:rsidRPr="00413B89">
              <w:rPr>
                <w:rFonts w:ascii="Arial" w:hAnsi="Arial" w:cs="Arial"/>
                <w:b/>
              </w:rPr>
              <w:t xml:space="preserve"> la aplicación del Marco Normativo - NICSP </w:t>
            </w:r>
          </w:p>
          <w:p w14:paraId="10BE0D92" w14:textId="77777777" w:rsidR="004962D9" w:rsidRPr="00413B89" w:rsidRDefault="004962D9" w:rsidP="00D4226B">
            <w:pPr>
              <w:tabs>
                <w:tab w:val="left" w:pos="875"/>
              </w:tabs>
              <w:ind w:right="-50"/>
              <w:jc w:val="center"/>
              <w:rPr>
                <w:rFonts w:ascii="Arial" w:hAnsi="Arial" w:cs="Arial"/>
                <w:b/>
              </w:rPr>
            </w:pPr>
            <w:r w:rsidRPr="00413B89">
              <w:rPr>
                <w:rFonts w:ascii="Arial" w:hAnsi="Arial" w:cs="Arial"/>
                <w:b/>
              </w:rPr>
              <w:t>a 31/12/2024</w:t>
            </w:r>
          </w:p>
          <w:p w14:paraId="661B638B" w14:textId="77777777" w:rsidR="004962D9" w:rsidRPr="00413B89" w:rsidRDefault="004962D9" w:rsidP="00D4226B">
            <w:pPr>
              <w:tabs>
                <w:tab w:val="left" w:pos="875"/>
              </w:tabs>
              <w:ind w:right="-50"/>
              <w:jc w:val="center"/>
              <w:rPr>
                <w:rFonts w:ascii="Arial" w:hAnsi="Arial" w:cs="Arial"/>
                <w:b/>
              </w:rPr>
            </w:pPr>
          </w:p>
        </w:tc>
        <w:tc>
          <w:tcPr>
            <w:tcW w:w="5244" w:type="dxa"/>
          </w:tcPr>
          <w:p w14:paraId="43C6AC9A" w14:textId="77777777" w:rsidR="004962D9" w:rsidRPr="00413B89" w:rsidRDefault="004962D9" w:rsidP="00D4226B">
            <w:pPr>
              <w:tabs>
                <w:tab w:val="left" w:pos="875"/>
              </w:tabs>
              <w:ind w:right="-50"/>
              <w:jc w:val="center"/>
              <w:rPr>
                <w:rFonts w:ascii="Arial" w:hAnsi="Arial" w:cs="Arial"/>
                <w:b/>
              </w:rPr>
            </w:pPr>
            <w:r w:rsidRPr="00413B89">
              <w:rPr>
                <w:rFonts w:ascii="Arial" w:hAnsi="Arial" w:cs="Arial"/>
                <w:b/>
              </w:rPr>
              <w:t>Descripción de la limitación</w:t>
            </w:r>
          </w:p>
        </w:tc>
      </w:tr>
      <w:tr w:rsidR="004962D9" w:rsidRPr="00413B89" w14:paraId="22E1878C" w14:textId="77777777" w:rsidTr="00D4226B">
        <w:tc>
          <w:tcPr>
            <w:tcW w:w="867" w:type="dxa"/>
          </w:tcPr>
          <w:p w14:paraId="06B4FACC" w14:textId="77777777" w:rsidR="004962D9" w:rsidRPr="00413B89" w:rsidRDefault="004962D9" w:rsidP="00D4226B">
            <w:pPr>
              <w:tabs>
                <w:tab w:val="left" w:pos="875"/>
              </w:tabs>
              <w:ind w:right="-50"/>
              <w:jc w:val="center"/>
              <w:rPr>
                <w:rFonts w:ascii="Arial" w:hAnsi="Arial" w:cs="Arial"/>
                <w:b/>
              </w:rPr>
            </w:pPr>
            <w:r w:rsidRPr="00413B89">
              <w:rPr>
                <w:rFonts w:ascii="Arial" w:hAnsi="Arial" w:cs="Arial"/>
                <w:b/>
              </w:rPr>
              <w:t>1</w:t>
            </w:r>
          </w:p>
        </w:tc>
        <w:tc>
          <w:tcPr>
            <w:tcW w:w="4379" w:type="dxa"/>
          </w:tcPr>
          <w:p w14:paraId="680609F2" w14:textId="77777777" w:rsidR="004962D9" w:rsidRPr="00413B89" w:rsidRDefault="004962D9" w:rsidP="00D4226B">
            <w:pPr>
              <w:tabs>
                <w:tab w:val="left" w:pos="875"/>
              </w:tabs>
              <w:ind w:right="-50"/>
              <w:jc w:val="both"/>
              <w:rPr>
                <w:rFonts w:ascii="Arial" w:hAnsi="Arial" w:cs="Arial"/>
                <w:b/>
              </w:rPr>
            </w:pPr>
            <w:r w:rsidRPr="00413B89">
              <w:rPr>
                <w:rFonts w:ascii="Arial" w:hAnsi="Arial" w:cs="Arial"/>
                <w:b/>
              </w:rPr>
              <w:t>Normativas:</w:t>
            </w:r>
          </w:p>
        </w:tc>
        <w:tc>
          <w:tcPr>
            <w:tcW w:w="5244" w:type="dxa"/>
          </w:tcPr>
          <w:p w14:paraId="4AB87EB3" w14:textId="77777777" w:rsidR="004962D9" w:rsidRPr="00413B89" w:rsidRDefault="004962D9" w:rsidP="00D4226B">
            <w:pPr>
              <w:tabs>
                <w:tab w:val="left" w:pos="875"/>
              </w:tabs>
              <w:ind w:right="-50"/>
              <w:jc w:val="both"/>
              <w:rPr>
                <w:rFonts w:ascii="Arial" w:hAnsi="Arial" w:cs="Arial"/>
              </w:rPr>
            </w:pPr>
            <w:r w:rsidRPr="00413B89">
              <w:rPr>
                <w:rFonts w:ascii="Arial" w:hAnsi="Arial" w:cs="Arial"/>
              </w:rPr>
              <w:t xml:space="preserve">Durante el proceso de aplicación de la normatividad contable expedida por la Contaduría General de la Nación, se realizaron consultas respecto al marco normativo aplicable a los negocios catalogados como Remanentes, sin embargo, la respuesta dada por la Contaduría General de la Nación bajo radicado CGN No.201813000761 del 21-12-2018 indico “(…) los </w:t>
            </w:r>
            <w:r w:rsidRPr="00413B89">
              <w:rPr>
                <w:rFonts w:ascii="Arial" w:hAnsi="Arial" w:cs="Arial"/>
              </w:rPr>
              <w:lastRenderedPageBreak/>
              <w:t>responsables de los PATRIMONIOS AUTÓNOMOS, sobre los cuales versa la solicitud, deberán rendir la información en la forma en que han venido rindiendo la misma en años anteriores, con los ajustes determinados para ello por la CGN (…)”</w:t>
            </w:r>
          </w:p>
        </w:tc>
      </w:tr>
    </w:tbl>
    <w:p w14:paraId="4119DCA0" w14:textId="77777777" w:rsidR="004962D9" w:rsidRDefault="004962D9" w:rsidP="004962D9">
      <w:pPr>
        <w:ind w:left="-284" w:right="-93"/>
        <w:jc w:val="both"/>
        <w:rPr>
          <w:rFonts w:ascii="Arial" w:eastAsia="Trebuchet MS" w:hAnsi="Arial" w:cs="Arial"/>
          <w:b/>
          <w:sz w:val="32"/>
          <w:szCs w:val="32"/>
          <w:u w:val="single"/>
          <w:lang w:eastAsia="es-CO"/>
        </w:rPr>
      </w:pPr>
    </w:p>
    <w:p w14:paraId="1831CD01" w14:textId="77777777" w:rsidR="004962D9" w:rsidRPr="00FB1744" w:rsidRDefault="004962D9" w:rsidP="004962D9">
      <w:pPr>
        <w:ind w:left="-284"/>
        <w:jc w:val="both"/>
        <w:rPr>
          <w:rFonts w:ascii="Arial" w:hAnsi="Arial" w:cs="Arial"/>
          <w:b/>
          <w:sz w:val="28"/>
          <w:szCs w:val="28"/>
          <w:lang w:val="es-MX"/>
        </w:rPr>
      </w:pPr>
      <w:r w:rsidRPr="00FB1744">
        <w:rPr>
          <w:rFonts w:ascii="Arial" w:hAnsi="Arial" w:cs="Arial"/>
          <w:b/>
          <w:sz w:val="28"/>
          <w:szCs w:val="28"/>
          <w:lang w:val="es-MX"/>
        </w:rPr>
        <w:t>216.- UNIVERSIDAD DE LOS LLANOS – UNILLANOS.</w:t>
      </w:r>
    </w:p>
    <w:p w14:paraId="499261E6"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FB1744" w14:paraId="54501796" w14:textId="77777777" w:rsidTr="00D4226B">
        <w:tc>
          <w:tcPr>
            <w:tcW w:w="867" w:type="dxa"/>
          </w:tcPr>
          <w:p w14:paraId="0FC299C9"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N°</w:t>
            </w:r>
          </w:p>
        </w:tc>
        <w:tc>
          <w:tcPr>
            <w:tcW w:w="4379" w:type="dxa"/>
          </w:tcPr>
          <w:p w14:paraId="379276B5"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Limitaciones detectadas por su entidad en</w:t>
            </w:r>
          </w:p>
          <w:p w14:paraId="08E0CA8F"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 xml:space="preserve"> la aplicación del Marco Normativo - NICSP </w:t>
            </w:r>
          </w:p>
          <w:p w14:paraId="32C78A65"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a 31/12/2024</w:t>
            </w:r>
          </w:p>
          <w:p w14:paraId="2C15123E" w14:textId="77777777" w:rsidR="004962D9" w:rsidRPr="00FB1744" w:rsidRDefault="004962D9" w:rsidP="00D4226B">
            <w:pPr>
              <w:tabs>
                <w:tab w:val="left" w:pos="875"/>
              </w:tabs>
              <w:ind w:right="-50"/>
              <w:jc w:val="center"/>
              <w:rPr>
                <w:rFonts w:ascii="Arial" w:hAnsi="Arial" w:cs="Arial"/>
                <w:b/>
              </w:rPr>
            </w:pPr>
          </w:p>
        </w:tc>
        <w:tc>
          <w:tcPr>
            <w:tcW w:w="5244" w:type="dxa"/>
          </w:tcPr>
          <w:p w14:paraId="3F69AE4A"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Descripción de la limitación</w:t>
            </w:r>
          </w:p>
        </w:tc>
      </w:tr>
      <w:tr w:rsidR="004962D9" w:rsidRPr="00FB1744" w14:paraId="060E6A33" w14:textId="77777777" w:rsidTr="00D4226B">
        <w:tc>
          <w:tcPr>
            <w:tcW w:w="867" w:type="dxa"/>
          </w:tcPr>
          <w:p w14:paraId="1FA5B301"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1</w:t>
            </w:r>
          </w:p>
        </w:tc>
        <w:tc>
          <w:tcPr>
            <w:tcW w:w="4379" w:type="dxa"/>
          </w:tcPr>
          <w:p w14:paraId="32D0FB37" w14:textId="77777777" w:rsidR="004962D9" w:rsidRPr="00FB1744" w:rsidRDefault="004962D9" w:rsidP="00D4226B">
            <w:pPr>
              <w:tabs>
                <w:tab w:val="left" w:pos="875"/>
              </w:tabs>
              <w:ind w:right="-50"/>
              <w:jc w:val="both"/>
              <w:rPr>
                <w:rFonts w:ascii="Arial" w:hAnsi="Arial" w:cs="Arial"/>
                <w:b/>
              </w:rPr>
            </w:pPr>
            <w:r w:rsidRPr="00FB1744">
              <w:rPr>
                <w:rFonts w:ascii="Arial" w:hAnsi="Arial" w:cs="Arial"/>
                <w:b/>
              </w:rPr>
              <w:t>Normativas:</w:t>
            </w:r>
          </w:p>
        </w:tc>
        <w:tc>
          <w:tcPr>
            <w:tcW w:w="5244" w:type="dxa"/>
          </w:tcPr>
          <w:p w14:paraId="16423C42" w14:textId="77777777" w:rsidR="004962D9" w:rsidRPr="00FB1744" w:rsidRDefault="004962D9" w:rsidP="00D4226B">
            <w:pPr>
              <w:tabs>
                <w:tab w:val="left" w:pos="875"/>
              </w:tabs>
              <w:ind w:right="-50"/>
              <w:jc w:val="both"/>
              <w:rPr>
                <w:rFonts w:ascii="Arial" w:hAnsi="Arial" w:cs="Arial"/>
              </w:rPr>
            </w:pPr>
            <w:r w:rsidRPr="00FB1744">
              <w:rPr>
                <w:rFonts w:ascii="Arial" w:hAnsi="Arial" w:cs="Arial"/>
              </w:rPr>
              <w:t>El Estado de Flujo de Efectivo se encuentra en proceso de perfeccionamiento y parametrización por parte del proveedor tecnológico del ERP financiero. Este reporte para las entidades de gobierno, fue prorrogado de forma indefinida, según lo establecido por la Resolución 283 de 2022 emanada de la CGN.</w:t>
            </w:r>
          </w:p>
        </w:tc>
      </w:tr>
      <w:tr w:rsidR="004962D9" w:rsidRPr="00FB1744" w14:paraId="3925C38F" w14:textId="77777777" w:rsidTr="00D4226B">
        <w:tc>
          <w:tcPr>
            <w:tcW w:w="867" w:type="dxa"/>
          </w:tcPr>
          <w:p w14:paraId="720CDF2C"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4</w:t>
            </w:r>
          </w:p>
        </w:tc>
        <w:tc>
          <w:tcPr>
            <w:tcW w:w="4379" w:type="dxa"/>
          </w:tcPr>
          <w:p w14:paraId="72DA811C" w14:textId="77777777" w:rsidR="004962D9" w:rsidRPr="00FB1744" w:rsidRDefault="004962D9" w:rsidP="00D4226B">
            <w:pPr>
              <w:tabs>
                <w:tab w:val="left" w:pos="875"/>
              </w:tabs>
              <w:ind w:right="-50"/>
              <w:jc w:val="both"/>
              <w:rPr>
                <w:rFonts w:ascii="Arial" w:hAnsi="Arial" w:cs="Arial"/>
                <w:b/>
              </w:rPr>
            </w:pPr>
            <w:r w:rsidRPr="00FB1744">
              <w:rPr>
                <w:rFonts w:ascii="Arial" w:hAnsi="Arial" w:cs="Arial"/>
                <w:b/>
              </w:rPr>
              <w:t>Operativas:</w:t>
            </w:r>
          </w:p>
        </w:tc>
        <w:tc>
          <w:tcPr>
            <w:tcW w:w="5244" w:type="dxa"/>
          </w:tcPr>
          <w:p w14:paraId="4397FF31" w14:textId="77777777" w:rsidR="004962D9" w:rsidRPr="00FB1744" w:rsidRDefault="004962D9" w:rsidP="00D4226B">
            <w:pPr>
              <w:tabs>
                <w:tab w:val="left" w:pos="875"/>
              </w:tabs>
              <w:ind w:right="-50"/>
              <w:jc w:val="both"/>
              <w:rPr>
                <w:rFonts w:ascii="Arial" w:hAnsi="Arial" w:cs="Arial"/>
              </w:rPr>
            </w:pPr>
            <w:r w:rsidRPr="00FB1744">
              <w:rPr>
                <w:rFonts w:ascii="Arial" w:hAnsi="Arial" w:cs="Arial"/>
              </w:rPr>
              <w:t>Se tuvo algunas dificultades con la elaboración y envió de manera masiva de documentos electrónicos a la DIAN, así como la generación manual de notas créditos donde se reflejan los descuentos otorgados.</w:t>
            </w:r>
          </w:p>
        </w:tc>
      </w:tr>
      <w:tr w:rsidR="004962D9" w:rsidRPr="00FB1744" w14:paraId="6007F454" w14:textId="77777777" w:rsidTr="00D4226B">
        <w:tc>
          <w:tcPr>
            <w:tcW w:w="867" w:type="dxa"/>
          </w:tcPr>
          <w:p w14:paraId="78CC06BC" w14:textId="77777777" w:rsidR="004962D9" w:rsidRPr="00FB1744" w:rsidRDefault="004962D9" w:rsidP="00D4226B">
            <w:pPr>
              <w:tabs>
                <w:tab w:val="left" w:pos="875"/>
              </w:tabs>
              <w:ind w:right="-50"/>
              <w:jc w:val="center"/>
              <w:rPr>
                <w:rFonts w:ascii="Arial" w:hAnsi="Arial" w:cs="Arial"/>
                <w:b/>
              </w:rPr>
            </w:pPr>
            <w:r w:rsidRPr="00FB1744">
              <w:rPr>
                <w:rFonts w:ascii="Arial" w:hAnsi="Arial" w:cs="Arial"/>
                <w:b/>
              </w:rPr>
              <w:t>3</w:t>
            </w:r>
          </w:p>
        </w:tc>
        <w:tc>
          <w:tcPr>
            <w:tcW w:w="4379" w:type="dxa"/>
          </w:tcPr>
          <w:p w14:paraId="462B4691" w14:textId="77777777" w:rsidR="004962D9" w:rsidRPr="00FB1744" w:rsidRDefault="004962D9" w:rsidP="00D4226B">
            <w:pPr>
              <w:tabs>
                <w:tab w:val="left" w:pos="875"/>
              </w:tabs>
              <w:ind w:right="-50"/>
              <w:jc w:val="both"/>
              <w:rPr>
                <w:rFonts w:ascii="Arial" w:hAnsi="Arial" w:cs="Arial"/>
                <w:b/>
              </w:rPr>
            </w:pPr>
            <w:r w:rsidRPr="00FB1744">
              <w:rPr>
                <w:rFonts w:ascii="Arial" w:hAnsi="Arial" w:cs="Arial"/>
                <w:b/>
              </w:rPr>
              <w:t>Otras</w:t>
            </w:r>
          </w:p>
        </w:tc>
        <w:tc>
          <w:tcPr>
            <w:tcW w:w="5244" w:type="dxa"/>
          </w:tcPr>
          <w:p w14:paraId="053F14A7" w14:textId="77777777" w:rsidR="004962D9" w:rsidRPr="00FB1744" w:rsidRDefault="004962D9" w:rsidP="00D4226B">
            <w:pPr>
              <w:tabs>
                <w:tab w:val="left" w:pos="875"/>
              </w:tabs>
              <w:ind w:right="-50"/>
              <w:jc w:val="both"/>
              <w:rPr>
                <w:rFonts w:ascii="Arial" w:hAnsi="Arial" w:cs="Arial"/>
              </w:rPr>
            </w:pPr>
            <w:r w:rsidRPr="00FB1744">
              <w:rPr>
                <w:rFonts w:ascii="Arial" w:hAnsi="Arial" w:cs="Arial"/>
              </w:rPr>
              <w:t>La institución elaboró y presentó ante el Consejo Superior Universitario, propuesta para la actualización de sus políticas contables, con el fin de adaptarlas a los cambios normativos y exigencias contables inherentes del desarrollo de las actividades, las cuales ya tuvieron un primer debate de dos, ante dicho consejo.</w:t>
            </w:r>
          </w:p>
        </w:tc>
      </w:tr>
    </w:tbl>
    <w:p w14:paraId="2C35140E" w14:textId="77777777" w:rsidR="004962D9" w:rsidRDefault="004962D9" w:rsidP="004962D9">
      <w:pPr>
        <w:ind w:left="-284" w:right="-93"/>
        <w:jc w:val="both"/>
        <w:rPr>
          <w:rFonts w:ascii="Arial" w:eastAsia="Trebuchet MS" w:hAnsi="Arial" w:cs="Arial"/>
          <w:b/>
          <w:sz w:val="32"/>
          <w:szCs w:val="32"/>
          <w:u w:val="single"/>
          <w:lang w:eastAsia="es-CO"/>
        </w:rPr>
      </w:pPr>
    </w:p>
    <w:p w14:paraId="0B4F3940" w14:textId="77777777" w:rsidR="004962D9" w:rsidRPr="00481AAB" w:rsidRDefault="004962D9" w:rsidP="004962D9">
      <w:pPr>
        <w:ind w:left="-284"/>
        <w:jc w:val="both"/>
        <w:rPr>
          <w:rFonts w:ascii="Arial" w:hAnsi="Arial" w:cs="Arial"/>
          <w:b/>
          <w:sz w:val="28"/>
          <w:szCs w:val="28"/>
          <w:lang w:val="es-MX"/>
        </w:rPr>
      </w:pPr>
      <w:r w:rsidRPr="00481AAB">
        <w:rPr>
          <w:rFonts w:ascii="Arial" w:hAnsi="Arial" w:cs="Arial"/>
          <w:b/>
          <w:sz w:val="28"/>
          <w:szCs w:val="28"/>
          <w:lang w:val="es-MX"/>
        </w:rPr>
        <w:t xml:space="preserve">220.- PATRIMONIO AUTÓNOMO DE REMANENTES CORELCA S.A. E.S.P. EN LIQUIDACIÓN CONTRATO N° 3-1-40009 – FIDUAGRARIA S.A. </w:t>
      </w:r>
    </w:p>
    <w:p w14:paraId="79540FC2"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929"/>
        <w:gridCol w:w="4317"/>
        <w:gridCol w:w="5244"/>
      </w:tblGrid>
      <w:tr w:rsidR="004962D9" w:rsidRPr="00481AAB" w14:paraId="3BC8C277" w14:textId="77777777" w:rsidTr="00D4226B">
        <w:tc>
          <w:tcPr>
            <w:tcW w:w="929" w:type="dxa"/>
          </w:tcPr>
          <w:p w14:paraId="28ED7891" w14:textId="77777777" w:rsidR="004962D9" w:rsidRPr="00481AAB" w:rsidRDefault="004962D9" w:rsidP="00D4226B">
            <w:pPr>
              <w:tabs>
                <w:tab w:val="left" w:pos="875"/>
              </w:tabs>
              <w:ind w:right="-50"/>
              <w:jc w:val="center"/>
              <w:rPr>
                <w:rFonts w:ascii="Arial" w:hAnsi="Arial" w:cs="Arial"/>
                <w:b/>
              </w:rPr>
            </w:pPr>
            <w:r w:rsidRPr="00481AAB">
              <w:rPr>
                <w:rFonts w:ascii="Arial" w:hAnsi="Arial" w:cs="Arial"/>
                <w:b/>
              </w:rPr>
              <w:t>N°</w:t>
            </w:r>
          </w:p>
        </w:tc>
        <w:tc>
          <w:tcPr>
            <w:tcW w:w="4317" w:type="dxa"/>
          </w:tcPr>
          <w:p w14:paraId="39372C84" w14:textId="77777777" w:rsidR="004962D9" w:rsidRPr="00481AAB" w:rsidRDefault="004962D9" w:rsidP="00D4226B">
            <w:pPr>
              <w:tabs>
                <w:tab w:val="left" w:pos="875"/>
              </w:tabs>
              <w:ind w:right="-50"/>
              <w:jc w:val="center"/>
              <w:rPr>
                <w:rFonts w:ascii="Arial" w:hAnsi="Arial" w:cs="Arial"/>
                <w:b/>
              </w:rPr>
            </w:pPr>
            <w:r w:rsidRPr="00481AAB">
              <w:rPr>
                <w:rFonts w:ascii="Arial" w:hAnsi="Arial" w:cs="Arial"/>
                <w:b/>
              </w:rPr>
              <w:t>Limitaciones detectadas por su entidad en</w:t>
            </w:r>
          </w:p>
          <w:p w14:paraId="14B395A1" w14:textId="77777777" w:rsidR="004962D9" w:rsidRPr="00481AAB" w:rsidRDefault="004962D9" w:rsidP="00D4226B">
            <w:pPr>
              <w:tabs>
                <w:tab w:val="left" w:pos="875"/>
              </w:tabs>
              <w:ind w:right="-50"/>
              <w:jc w:val="center"/>
              <w:rPr>
                <w:rFonts w:ascii="Arial" w:hAnsi="Arial" w:cs="Arial"/>
                <w:b/>
              </w:rPr>
            </w:pPr>
            <w:r w:rsidRPr="00481AAB">
              <w:rPr>
                <w:rFonts w:ascii="Arial" w:hAnsi="Arial" w:cs="Arial"/>
                <w:b/>
              </w:rPr>
              <w:t xml:space="preserve"> la aplicación del Marco Normativo - NICSP </w:t>
            </w:r>
          </w:p>
          <w:p w14:paraId="487FF484" w14:textId="77777777" w:rsidR="004962D9" w:rsidRPr="00481AAB" w:rsidRDefault="004962D9" w:rsidP="00D4226B">
            <w:pPr>
              <w:tabs>
                <w:tab w:val="left" w:pos="875"/>
              </w:tabs>
              <w:ind w:right="-50"/>
              <w:jc w:val="center"/>
              <w:rPr>
                <w:rFonts w:ascii="Arial" w:hAnsi="Arial" w:cs="Arial"/>
                <w:b/>
              </w:rPr>
            </w:pPr>
            <w:r w:rsidRPr="00481AAB">
              <w:rPr>
                <w:rFonts w:ascii="Arial" w:hAnsi="Arial" w:cs="Arial"/>
                <w:b/>
              </w:rPr>
              <w:t>a 31/12/2024</w:t>
            </w:r>
          </w:p>
        </w:tc>
        <w:tc>
          <w:tcPr>
            <w:tcW w:w="5244" w:type="dxa"/>
          </w:tcPr>
          <w:p w14:paraId="6FD43A2D" w14:textId="77777777" w:rsidR="004962D9" w:rsidRPr="00481AAB" w:rsidRDefault="004962D9" w:rsidP="00D4226B">
            <w:pPr>
              <w:tabs>
                <w:tab w:val="left" w:pos="875"/>
              </w:tabs>
              <w:ind w:right="-50"/>
              <w:jc w:val="center"/>
              <w:rPr>
                <w:rFonts w:ascii="Arial" w:hAnsi="Arial" w:cs="Arial"/>
                <w:b/>
              </w:rPr>
            </w:pPr>
            <w:r w:rsidRPr="00481AAB">
              <w:rPr>
                <w:rFonts w:ascii="Arial" w:hAnsi="Arial" w:cs="Arial"/>
                <w:b/>
              </w:rPr>
              <w:t>Descripción de la limitación</w:t>
            </w:r>
          </w:p>
        </w:tc>
      </w:tr>
      <w:tr w:rsidR="004962D9" w:rsidRPr="00481AAB" w14:paraId="707D73A4" w14:textId="77777777" w:rsidTr="00D4226B">
        <w:tc>
          <w:tcPr>
            <w:tcW w:w="929" w:type="dxa"/>
          </w:tcPr>
          <w:p w14:paraId="1FD91B49" w14:textId="77777777" w:rsidR="004962D9" w:rsidRPr="00481AAB" w:rsidRDefault="004962D9" w:rsidP="00D4226B">
            <w:pPr>
              <w:tabs>
                <w:tab w:val="left" w:pos="875"/>
              </w:tabs>
              <w:ind w:right="-50"/>
              <w:jc w:val="center"/>
              <w:rPr>
                <w:rFonts w:ascii="Arial" w:hAnsi="Arial" w:cs="Arial"/>
                <w:b/>
              </w:rPr>
            </w:pPr>
            <w:r w:rsidRPr="00481AAB">
              <w:rPr>
                <w:rFonts w:ascii="Arial" w:hAnsi="Arial" w:cs="Arial"/>
                <w:b/>
              </w:rPr>
              <w:t>1</w:t>
            </w:r>
          </w:p>
        </w:tc>
        <w:tc>
          <w:tcPr>
            <w:tcW w:w="4317" w:type="dxa"/>
          </w:tcPr>
          <w:p w14:paraId="66F88101" w14:textId="77777777" w:rsidR="004962D9" w:rsidRPr="00481AAB" w:rsidRDefault="004962D9" w:rsidP="00D4226B">
            <w:pPr>
              <w:tabs>
                <w:tab w:val="left" w:pos="875"/>
              </w:tabs>
              <w:ind w:right="-50"/>
              <w:jc w:val="both"/>
              <w:rPr>
                <w:rFonts w:ascii="Arial" w:hAnsi="Arial" w:cs="Arial"/>
                <w:b/>
              </w:rPr>
            </w:pPr>
            <w:r w:rsidRPr="00481AAB">
              <w:rPr>
                <w:rFonts w:ascii="Arial" w:hAnsi="Arial" w:cs="Arial"/>
                <w:b/>
              </w:rPr>
              <w:t>Tecnológico:</w:t>
            </w:r>
          </w:p>
        </w:tc>
        <w:tc>
          <w:tcPr>
            <w:tcW w:w="5244" w:type="dxa"/>
          </w:tcPr>
          <w:p w14:paraId="6679FA1F" w14:textId="77777777" w:rsidR="004962D9" w:rsidRPr="00481AAB" w:rsidRDefault="004962D9" w:rsidP="00D4226B">
            <w:pPr>
              <w:tabs>
                <w:tab w:val="left" w:pos="875"/>
              </w:tabs>
              <w:ind w:right="-50"/>
              <w:jc w:val="both"/>
              <w:rPr>
                <w:rFonts w:ascii="Arial" w:hAnsi="Arial" w:cs="Arial"/>
              </w:rPr>
            </w:pPr>
            <w:r w:rsidRPr="00481AAB">
              <w:rPr>
                <w:rFonts w:ascii="Arial" w:hAnsi="Arial" w:cs="Arial"/>
              </w:rPr>
              <w:t>El PA de Remanentes Corelca S.A E.S.P., ha tenido limitaciones en la aplicación de las normas contables expedidas por la Contaduría General de la Nación.</w:t>
            </w:r>
          </w:p>
        </w:tc>
      </w:tr>
    </w:tbl>
    <w:p w14:paraId="17CA4880" w14:textId="77777777" w:rsidR="004962D9" w:rsidRDefault="004962D9" w:rsidP="004962D9">
      <w:pPr>
        <w:ind w:left="-284" w:right="-93"/>
        <w:jc w:val="both"/>
        <w:rPr>
          <w:rFonts w:ascii="Arial" w:eastAsia="Trebuchet MS" w:hAnsi="Arial" w:cs="Arial"/>
          <w:b/>
          <w:sz w:val="32"/>
          <w:szCs w:val="32"/>
          <w:u w:val="single"/>
          <w:lang w:eastAsia="es-CO"/>
        </w:rPr>
      </w:pPr>
    </w:p>
    <w:p w14:paraId="464C1BF5" w14:textId="77777777" w:rsidR="004962D9" w:rsidRPr="003C159D" w:rsidRDefault="004962D9" w:rsidP="004962D9">
      <w:pPr>
        <w:ind w:left="-284"/>
        <w:jc w:val="both"/>
        <w:rPr>
          <w:rFonts w:ascii="Arial" w:hAnsi="Arial" w:cs="Arial"/>
          <w:b/>
          <w:sz w:val="28"/>
          <w:szCs w:val="28"/>
          <w:lang w:val="es-MX"/>
        </w:rPr>
      </w:pPr>
      <w:r w:rsidRPr="003C159D">
        <w:rPr>
          <w:rFonts w:ascii="Arial" w:hAnsi="Arial" w:cs="Arial"/>
          <w:b/>
          <w:sz w:val="28"/>
          <w:szCs w:val="28"/>
          <w:lang w:val="es-MX"/>
        </w:rPr>
        <w:t xml:space="preserve">223.- </w:t>
      </w:r>
      <w:r w:rsidRPr="003C159D">
        <w:rPr>
          <w:rFonts w:ascii="Arial" w:hAnsi="Arial" w:cs="Arial"/>
          <w:b/>
          <w:sz w:val="28"/>
          <w:szCs w:val="28"/>
        </w:rPr>
        <w:t>INSTITUTO NACIONAL PENITENCIARIO Y CARCELARIO – INPEC</w:t>
      </w:r>
      <w:r w:rsidRPr="003C159D">
        <w:rPr>
          <w:rFonts w:ascii="Arial" w:hAnsi="Arial" w:cs="Arial"/>
          <w:b/>
          <w:sz w:val="28"/>
          <w:szCs w:val="28"/>
          <w:lang w:val="es-MX"/>
        </w:rPr>
        <w:t>.</w:t>
      </w:r>
    </w:p>
    <w:p w14:paraId="70D96E74" w14:textId="77777777" w:rsidR="004962D9" w:rsidRPr="00B54567" w:rsidRDefault="004962D9" w:rsidP="004962D9">
      <w:pPr>
        <w:pStyle w:val="Textoindependiente"/>
        <w:spacing w:before="92"/>
        <w:ind w:left="257" w:right="176"/>
        <w:jc w:val="both"/>
        <w:rPr>
          <w:b/>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3C159D" w14:paraId="17F616EE" w14:textId="77777777" w:rsidTr="004C5E54">
        <w:tc>
          <w:tcPr>
            <w:tcW w:w="851" w:type="dxa"/>
          </w:tcPr>
          <w:p w14:paraId="606F39EC"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N°</w:t>
            </w:r>
          </w:p>
        </w:tc>
        <w:tc>
          <w:tcPr>
            <w:tcW w:w="4395" w:type="dxa"/>
          </w:tcPr>
          <w:p w14:paraId="260DEE39"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Limitaciones detectadas por su entidad en</w:t>
            </w:r>
          </w:p>
          <w:p w14:paraId="7F78D23A"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 xml:space="preserve"> la aplicación del Marco Normativo - NICSP </w:t>
            </w:r>
          </w:p>
          <w:p w14:paraId="5925ECE3"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a 31/12/2024</w:t>
            </w:r>
          </w:p>
          <w:p w14:paraId="1EFD9702" w14:textId="77777777" w:rsidR="004962D9" w:rsidRPr="003C159D" w:rsidRDefault="004962D9" w:rsidP="00D4226B">
            <w:pPr>
              <w:tabs>
                <w:tab w:val="left" w:pos="875"/>
              </w:tabs>
              <w:ind w:right="-50"/>
              <w:jc w:val="center"/>
              <w:rPr>
                <w:rFonts w:ascii="Arial" w:hAnsi="Arial" w:cs="Arial"/>
                <w:b/>
              </w:rPr>
            </w:pPr>
          </w:p>
        </w:tc>
        <w:tc>
          <w:tcPr>
            <w:tcW w:w="5244" w:type="dxa"/>
          </w:tcPr>
          <w:p w14:paraId="0196F9B4"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Descripción de la limitación</w:t>
            </w:r>
          </w:p>
        </w:tc>
      </w:tr>
      <w:tr w:rsidR="004962D9" w:rsidRPr="003C159D" w14:paraId="07F86B9F" w14:textId="77777777" w:rsidTr="004C5E54">
        <w:tc>
          <w:tcPr>
            <w:tcW w:w="851" w:type="dxa"/>
          </w:tcPr>
          <w:p w14:paraId="56DA6634"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1</w:t>
            </w:r>
          </w:p>
        </w:tc>
        <w:tc>
          <w:tcPr>
            <w:tcW w:w="4395" w:type="dxa"/>
          </w:tcPr>
          <w:p w14:paraId="138FB1A5" w14:textId="77777777" w:rsidR="004962D9" w:rsidRPr="003C159D" w:rsidRDefault="004962D9" w:rsidP="00D4226B">
            <w:pPr>
              <w:tabs>
                <w:tab w:val="left" w:pos="875"/>
              </w:tabs>
              <w:ind w:right="-50"/>
              <w:jc w:val="both"/>
              <w:rPr>
                <w:rFonts w:ascii="Arial" w:hAnsi="Arial" w:cs="Arial"/>
                <w:b/>
              </w:rPr>
            </w:pPr>
            <w:r w:rsidRPr="003C159D">
              <w:rPr>
                <w:rFonts w:ascii="Arial" w:hAnsi="Arial" w:cs="Arial"/>
                <w:b/>
              </w:rPr>
              <w:t>Académicas:</w:t>
            </w:r>
          </w:p>
        </w:tc>
        <w:tc>
          <w:tcPr>
            <w:tcW w:w="5244" w:type="dxa"/>
          </w:tcPr>
          <w:p w14:paraId="0A9ED386"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El personal asignado para desarrollar las funciones de los perfiles pagador y contable, en su mayoría, no cuenta con conocimientos técnicos contables para el desempeño de las funciones correspondientes, por cuanto la Convocatoria 250 así lo requirió para esos cargos, de acuerdo al Manual de Funciones y Competencias Laborales del Instituto.</w:t>
            </w:r>
          </w:p>
          <w:p w14:paraId="0A256139" w14:textId="77777777" w:rsidR="004962D9" w:rsidRPr="003C159D" w:rsidRDefault="004962D9" w:rsidP="00D4226B">
            <w:pPr>
              <w:tabs>
                <w:tab w:val="left" w:pos="875"/>
              </w:tabs>
              <w:ind w:right="-50"/>
              <w:jc w:val="both"/>
              <w:rPr>
                <w:rFonts w:ascii="Arial" w:hAnsi="Arial" w:cs="Arial"/>
              </w:rPr>
            </w:pPr>
          </w:p>
          <w:p w14:paraId="570F7B42"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Por lo anterior, los funcionarios del Grupo Contable de la sede central, realizaron las tareas correspondientes a ajustes y reclasificaciones, no cumplidas en las diferentes subunidades a nivel nacional para los respectivos cierres mensuales.</w:t>
            </w:r>
          </w:p>
        </w:tc>
      </w:tr>
      <w:tr w:rsidR="004962D9" w:rsidRPr="003C159D" w14:paraId="467FC66C" w14:textId="77777777" w:rsidTr="004C5E54">
        <w:tc>
          <w:tcPr>
            <w:tcW w:w="851" w:type="dxa"/>
          </w:tcPr>
          <w:p w14:paraId="604561AA"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lastRenderedPageBreak/>
              <w:t>2</w:t>
            </w:r>
          </w:p>
        </w:tc>
        <w:tc>
          <w:tcPr>
            <w:tcW w:w="4395" w:type="dxa"/>
          </w:tcPr>
          <w:p w14:paraId="60C0ABB8" w14:textId="77777777" w:rsidR="004962D9" w:rsidRPr="003C159D" w:rsidRDefault="004962D9" w:rsidP="00D4226B">
            <w:pPr>
              <w:tabs>
                <w:tab w:val="left" w:pos="875"/>
              </w:tabs>
              <w:ind w:right="-50"/>
              <w:jc w:val="both"/>
              <w:rPr>
                <w:rFonts w:ascii="Arial" w:hAnsi="Arial" w:cs="Arial"/>
                <w:b/>
              </w:rPr>
            </w:pPr>
            <w:r w:rsidRPr="003C159D">
              <w:rPr>
                <w:rFonts w:ascii="Arial" w:hAnsi="Arial" w:cs="Arial"/>
                <w:b/>
              </w:rPr>
              <w:t>Técnicas:</w:t>
            </w:r>
          </w:p>
        </w:tc>
        <w:tc>
          <w:tcPr>
            <w:tcW w:w="5244" w:type="dxa"/>
          </w:tcPr>
          <w:p w14:paraId="5A88A070"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Tecnológico: Deficiencia en los aplicativos de apoyo que suministran información al proceso contable.</w:t>
            </w:r>
          </w:p>
        </w:tc>
      </w:tr>
      <w:tr w:rsidR="004962D9" w:rsidRPr="003C159D" w14:paraId="164FC5C6" w14:textId="77777777" w:rsidTr="004C5E54">
        <w:tc>
          <w:tcPr>
            <w:tcW w:w="851" w:type="dxa"/>
          </w:tcPr>
          <w:p w14:paraId="2EEBFFFE" w14:textId="77777777" w:rsidR="004962D9" w:rsidRPr="003C159D" w:rsidRDefault="004962D9" w:rsidP="00D4226B">
            <w:pPr>
              <w:tabs>
                <w:tab w:val="left" w:pos="875"/>
              </w:tabs>
              <w:ind w:right="-50"/>
              <w:jc w:val="center"/>
              <w:rPr>
                <w:rFonts w:ascii="Arial" w:hAnsi="Arial" w:cs="Arial"/>
                <w:b/>
              </w:rPr>
            </w:pPr>
            <w:r w:rsidRPr="003C159D">
              <w:rPr>
                <w:rFonts w:ascii="Arial" w:hAnsi="Arial" w:cs="Arial"/>
                <w:b/>
              </w:rPr>
              <w:t>3</w:t>
            </w:r>
          </w:p>
        </w:tc>
        <w:tc>
          <w:tcPr>
            <w:tcW w:w="4395" w:type="dxa"/>
          </w:tcPr>
          <w:p w14:paraId="2EC87630" w14:textId="77777777" w:rsidR="004962D9" w:rsidRPr="003C159D" w:rsidRDefault="004962D9" w:rsidP="00D4226B">
            <w:pPr>
              <w:tabs>
                <w:tab w:val="left" w:pos="875"/>
              </w:tabs>
              <w:ind w:right="-50"/>
              <w:jc w:val="both"/>
              <w:rPr>
                <w:rFonts w:ascii="Arial" w:hAnsi="Arial" w:cs="Arial"/>
                <w:b/>
              </w:rPr>
            </w:pPr>
            <w:r w:rsidRPr="003C159D">
              <w:rPr>
                <w:rFonts w:ascii="Arial" w:hAnsi="Arial" w:cs="Arial"/>
                <w:b/>
              </w:rPr>
              <w:t>Operativas:</w:t>
            </w:r>
          </w:p>
        </w:tc>
        <w:tc>
          <w:tcPr>
            <w:tcW w:w="5244" w:type="dxa"/>
          </w:tcPr>
          <w:p w14:paraId="5B6ACAC8"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Deficiencia en la segregación de funciones en las áreas de presupuesto, pagaduría, contabilidad y almacén por la insuficiencia de personal idóneo para el manejo de los procesos financieros en SIIF, en las 142 subunidades.</w:t>
            </w:r>
          </w:p>
          <w:p w14:paraId="2AF22F1A" w14:textId="77777777" w:rsidR="004962D9" w:rsidRPr="003C159D" w:rsidRDefault="004962D9" w:rsidP="00D4226B">
            <w:pPr>
              <w:tabs>
                <w:tab w:val="left" w:pos="875"/>
              </w:tabs>
              <w:ind w:right="-50"/>
              <w:jc w:val="both"/>
              <w:rPr>
                <w:rFonts w:ascii="Arial" w:hAnsi="Arial" w:cs="Arial"/>
              </w:rPr>
            </w:pPr>
          </w:p>
          <w:p w14:paraId="2805C71F"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El personal asignado para desarrollar las funciones de los perfiles pagador y contable, en su mayoría, no cuenta con conocimientos técnicos contables para el desempeño de las funciones correspondientes, por cuanto la Convocatoria 250 así lo requirió para esos cargos, de acuerdo al Manual de Funciones y Competencias Laborales del Instituto.</w:t>
            </w:r>
          </w:p>
          <w:p w14:paraId="00B4BF77" w14:textId="77777777" w:rsidR="004962D9" w:rsidRPr="003C159D" w:rsidRDefault="004962D9" w:rsidP="00D4226B">
            <w:pPr>
              <w:tabs>
                <w:tab w:val="left" w:pos="875"/>
              </w:tabs>
              <w:ind w:right="-50"/>
              <w:jc w:val="both"/>
              <w:rPr>
                <w:rFonts w:ascii="Arial" w:hAnsi="Arial" w:cs="Arial"/>
              </w:rPr>
            </w:pPr>
          </w:p>
          <w:p w14:paraId="3121EB7C"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Constante rotación del personal capacitado en los aplicativos SIIF Nación, software de apoyo PCT (Almacén bienes muebles) que además conocen las instrucciones contables impartidas para la aplicabilidad del Régimen de Contabilidad Pública, tanto en el nivel central como a nivel nacional.</w:t>
            </w:r>
          </w:p>
          <w:p w14:paraId="7D53B0D0" w14:textId="77777777" w:rsidR="004962D9" w:rsidRPr="003C159D" w:rsidRDefault="004962D9" w:rsidP="00D4226B">
            <w:pPr>
              <w:tabs>
                <w:tab w:val="left" w:pos="875"/>
              </w:tabs>
              <w:ind w:right="-50"/>
              <w:jc w:val="both"/>
              <w:rPr>
                <w:rFonts w:ascii="Arial" w:hAnsi="Arial" w:cs="Arial"/>
              </w:rPr>
            </w:pPr>
          </w:p>
          <w:p w14:paraId="0EB30CD2"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En algunas subunidades, las funciones financieras las desempeña el personal del cuerpo de custodia y vigilancia, quienes se ven obligados a dejar de lado las funciones administrativas para cumplir aquellas propias de sus cargos, incurriendo en la no terminación y la ejecución de los procesos, lo cual genera inconsistencias en la calidad y presentación oportuna en la información.</w:t>
            </w:r>
          </w:p>
          <w:p w14:paraId="05FF89B8" w14:textId="77777777" w:rsidR="004962D9" w:rsidRPr="003C159D" w:rsidRDefault="004962D9" w:rsidP="00D4226B">
            <w:pPr>
              <w:tabs>
                <w:tab w:val="left" w:pos="875"/>
              </w:tabs>
              <w:ind w:right="-50"/>
              <w:jc w:val="both"/>
              <w:rPr>
                <w:rFonts w:ascii="Arial" w:hAnsi="Arial" w:cs="Arial"/>
              </w:rPr>
            </w:pPr>
          </w:p>
          <w:p w14:paraId="3752F883"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Deficiencia en la entrega de información de quienes ejecutan procesos diferentes al contable, a pesar de reiterar a las dependencias la obligatoriedad de remitir oportunamente toda la información contable y los documentos soporte en cumplimiento a lo establecido en la Resolución 193 del 5 de mayo de 2016, numeral 3.2.9.1.</w:t>
            </w:r>
          </w:p>
          <w:p w14:paraId="05149AED" w14:textId="77777777" w:rsidR="004962D9" w:rsidRPr="003C159D" w:rsidRDefault="004962D9" w:rsidP="00D4226B">
            <w:pPr>
              <w:tabs>
                <w:tab w:val="left" w:pos="875"/>
              </w:tabs>
              <w:ind w:right="-50"/>
              <w:jc w:val="both"/>
              <w:rPr>
                <w:rFonts w:ascii="Arial" w:hAnsi="Arial" w:cs="Arial"/>
              </w:rPr>
            </w:pPr>
          </w:p>
          <w:p w14:paraId="3C67E14F" w14:textId="282A2471" w:rsidR="004962D9" w:rsidRDefault="004962D9" w:rsidP="00D4226B">
            <w:pPr>
              <w:tabs>
                <w:tab w:val="left" w:pos="875"/>
              </w:tabs>
              <w:ind w:right="-50"/>
              <w:jc w:val="both"/>
              <w:rPr>
                <w:rFonts w:ascii="Arial" w:hAnsi="Arial" w:cs="Arial"/>
              </w:rPr>
            </w:pPr>
            <w:r w:rsidRPr="003C159D">
              <w:rPr>
                <w:rFonts w:ascii="Arial" w:hAnsi="Arial" w:cs="Arial"/>
              </w:rPr>
              <w:t>Los apoderados designados por el instituto para su representación, registran en el aplicativo EKOGUI el valor de las pretensiones; sin considerar los parámetros establecidos en la normatividad expedida por la Agencia Nacional de Defensa Jurídica del Estado – ADDJE, lo que no refleja la situación real de los procesos judiciales.</w:t>
            </w:r>
          </w:p>
          <w:p w14:paraId="73C4B8C6" w14:textId="77777777" w:rsidR="004C5E54" w:rsidRPr="003C159D" w:rsidRDefault="004C5E54" w:rsidP="00D4226B">
            <w:pPr>
              <w:tabs>
                <w:tab w:val="left" w:pos="875"/>
              </w:tabs>
              <w:ind w:right="-50"/>
              <w:jc w:val="both"/>
              <w:rPr>
                <w:rFonts w:ascii="Arial" w:hAnsi="Arial" w:cs="Arial"/>
              </w:rPr>
            </w:pPr>
          </w:p>
          <w:p w14:paraId="783B6106"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La información plasmada en los estados financieros ha estado sujeta a registros manuales, reclasificaciones y ajustes permanentes, toda vez que, el aplicativo SIIF Nación no ha desarrollado los módulos de nómina, bienes y servicios y costros entre otros.</w:t>
            </w:r>
          </w:p>
          <w:p w14:paraId="19062568" w14:textId="77777777" w:rsidR="004962D9" w:rsidRPr="003C159D" w:rsidRDefault="004962D9" w:rsidP="00D4226B">
            <w:pPr>
              <w:tabs>
                <w:tab w:val="left" w:pos="875"/>
              </w:tabs>
              <w:ind w:right="-50"/>
              <w:jc w:val="both"/>
              <w:rPr>
                <w:rFonts w:ascii="Arial" w:hAnsi="Arial" w:cs="Arial"/>
              </w:rPr>
            </w:pPr>
          </w:p>
          <w:p w14:paraId="1BD5D4EF"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 xml:space="preserve">Los reportes contables generados por el sistema SIIF </w:t>
            </w:r>
            <w:r w:rsidRPr="003C159D">
              <w:rPr>
                <w:rFonts w:ascii="Arial" w:hAnsi="Arial" w:cs="Arial"/>
              </w:rPr>
              <w:lastRenderedPageBreak/>
              <w:t>para el análisis de la información presentan restricción en la generación de periodos mensuales y por horarios, dificultando la consulta y análisis de las cuentas que conforman los estados financieros de la entidad.</w:t>
            </w:r>
          </w:p>
          <w:p w14:paraId="7556999B" w14:textId="77777777" w:rsidR="004962D9" w:rsidRPr="003C159D" w:rsidRDefault="004962D9" w:rsidP="00D4226B">
            <w:pPr>
              <w:tabs>
                <w:tab w:val="left" w:pos="875"/>
              </w:tabs>
              <w:ind w:right="-50"/>
              <w:jc w:val="both"/>
              <w:rPr>
                <w:rFonts w:ascii="Arial" w:hAnsi="Arial" w:cs="Arial"/>
              </w:rPr>
            </w:pPr>
            <w:r w:rsidRPr="003C159D">
              <w:rPr>
                <w:rFonts w:ascii="Arial" w:hAnsi="Arial" w:cs="Arial"/>
              </w:rPr>
              <w:t>La Unidad de Servicios Penitenciarios y Carcelarios USPEC, reporta la información de forma extemporánea generando inconsistencias en la información contable a pesar de los requerimientos realizados por el INPEC con participación de la Contaduría General de la Nación para el cumplimiento del concepto emitido para tal fin y sin la debida desagregación, dificultando el registro y análisis de la causación para la contabilización de los hechos económicos, en los estados financieros del instituto, tal como se menciona en la nota a los estados financieros.</w:t>
            </w:r>
          </w:p>
        </w:tc>
      </w:tr>
    </w:tbl>
    <w:p w14:paraId="0D62F727" w14:textId="77777777" w:rsidR="004962D9" w:rsidRPr="00B54567" w:rsidRDefault="004962D9" w:rsidP="004962D9">
      <w:pPr>
        <w:pStyle w:val="Textoindependiente"/>
        <w:spacing w:before="92"/>
        <w:ind w:left="257" w:right="176"/>
        <w:jc w:val="both"/>
        <w:rPr>
          <w:b/>
        </w:rPr>
      </w:pPr>
    </w:p>
    <w:p w14:paraId="28B04BD1" w14:textId="77777777" w:rsidR="004962D9" w:rsidRPr="00315227" w:rsidRDefault="004962D9" w:rsidP="004962D9">
      <w:pPr>
        <w:ind w:left="-284"/>
        <w:jc w:val="both"/>
        <w:rPr>
          <w:rFonts w:ascii="Arial" w:hAnsi="Arial" w:cs="Arial"/>
          <w:b/>
          <w:sz w:val="28"/>
          <w:szCs w:val="28"/>
          <w:lang w:val="es-MX"/>
        </w:rPr>
      </w:pPr>
      <w:r w:rsidRPr="00315227">
        <w:rPr>
          <w:rFonts w:ascii="Arial" w:hAnsi="Arial" w:cs="Arial"/>
          <w:b/>
          <w:sz w:val="28"/>
          <w:szCs w:val="28"/>
          <w:lang w:val="es-MX"/>
        </w:rPr>
        <w:t>224.- MINISTERIO DE MINAS Y ENERGÍA.</w:t>
      </w:r>
    </w:p>
    <w:p w14:paraId="0E5950B1" w14:textId="77777777" w:rsidR="004962D9" w:rsidRDefault="004962D9" w:rsidP="004962D9">
      <w:pPr>
        <w:ind w:left="-284" w:right="-9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96486C" w14:paraId="5BE95A3E" w14:textId="77777777" w:rsidTr="004C5E54">
        <w:tc>
          <w:tcPr>
            <w:tcW w:w="851" w:type="dxa"/>
          </w:tcPr>
          <w:p w14:paraId="13795FE2"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N°</w:t>
            </w:r>
          </w:p>
        </w:tc>
        <w:tc>
          <w:tcPr>
            <w:tcW w:w="4395" w:type="dxa"/>
          </w:tcPr>
          <w:p w14:paraId="326022D1"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Limitaciones detectadas por su entidad en</w:t>
            </w:r>
          </w:p>
          <w:p w14:paraId="2D246ADE"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 xml:space="preserve"> la aplicación del Marco Normativo - NICSP </w:t>
            </w:r>
          </w:p>
          <w:p w14:paraId="6924904D"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a 31/12/2024</w:t>
            </w:r>
          </w:p>
          <w:p w14:paraId="3AC0C904" w14:textId="77777777" w:rsidR="004962D9" w:rsidRPr="0096486C" w:rsidRDefault="004962D9" w:rsidP="00D4226B">
            <w:pPr>
              <w:tabs>
                <w:tab w:val="left" w:pos="875"/>
              </w:tabs>
              <w:ind w:right="-50"/>
              <w:jc w:val="center"/>
              <w:rPr>
                <w:rFonts w:ascii="Arial" w:hAnsi="Arial" w:cs="Arial"/>
                <w:b/>
              </w:rPr>
            </w:pPr>
          </w:p>
        </w:tc>
        <w:tc>
          <w:tcPr>
            <w:tcW w:w="5244" w:type="dxa"/>
          </w:tcPr>
          <w:p w14:paraId="10EC7FA3"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Descripción de la limitación</w:t>
            </w:r>
          </w:p>
        </w:tc>
      </w:tr>
      <w:tr w:rsidR="004962D9" w:rsidRPr="0096486C" w14:paraId="35BE0345" w14:textId="77777777" w:rsidTr="004C5E54">
        <w:tc>
          <w:tcPr>
            <w:tcW w:w="851" w:type="dxa"/>
          </w:tcPr>
          <w:p w14:paraId="2237E80C"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1</w:t>
            </w:r>
          </w:p>
        </w:tc>
        <w:tc>
          <w:tcPr>
            <w:tcW w:w="4395" w:type="dxa"/>
          </w:tcPr>
          <w:p w14:paraId="55CDE0EF" w14:textId="77777777" w:rsidR="004962D9" w:rsidRPr="0096486C" w:rsidRDefault="004962D9" w:rsidP="00D4226B">
            <w:pPr>
              <w:tabs>
                <w:tab w:val="left" w:pos="875"/>
              </w:tabs>
              <w:ind w:right="-50"/>
              <w:jc w:val="both"/>
              <w:rPr>
                <w:rFonts w:ascii="Arial" w:hAnsi="Arial" w:cs="Arial"/>
                <w:b/>
              </w:rPr>
            </w:pPr>
            <w:r w:rsidRPr="0096486C">
              <w:rPr>
                <w:rFonts w:ascii="Arial" w:hAnsi="Arial" w:cs="Arial"/>
                <w:b/>
              </w:rPr>
              <w:t>Académicas:</w:t>
            </w:r>
          </w:p>
        </w:tc>
        <w:tc>
          <w:tcPr>
            <w:tcW w:w="5244" w:type="dxa"/>
          </w:tcPr>
          <w:p w14:paraId="563B2317" w14:textId="77777777" w:rsidR="004962D9" w:rsidRPr="0096486C" w:rsidRDefault="004962D9" w:rsidP="00D4226B">
            <w:pPr>
              <w:tabs>
                <w:tab w:val="left" w:pos="875"/>
              </w:tabs>
              <w:ind w:right="-50"/>
              <w:jc w:val="both"/>
              <w:rPr>
                <w:rFonts w:ascii="Arial" w:hAnsi="Arial" w:cs="Arial"/>
              </w:rPr>
            </w:pPr>
            <w:r w:rsidRPr="0096486C">
              <w:rPr>
                <w:rFonts w:ascii="Arial" w:hAnsi="Arial" w:cs="Arial"/>
              </w:rPr>
              <w:t>Socialización por parte de la Contaduría General de la Nación sobre los cambios y nuevos procedimientos emitidos en el Régimen de Contabilidad Pública.</w:t>
            </w:r>
          </w:p>
        </w:tc>
      </w:tr>
      <w:tr w:rsidR="004962D9" w:rsidRPr="0096486C" w14:paraId="299EDFE4" w14:textId="77777777" w:rsidTr="004C5E54">
        <w:tc>
          <w:tcPr>
            <w:tcW w:w="851" w:type="dxa"/>
          </w:tcPr>
          <w:p w14:paraId="559046B5" w14:textId="77777777" w:rsidR="004962D9" w:rsidRPr="0096486C" w:rsidRDefault="004962D9" w:rsidP="00D4226B">
            <w:pPr>
              <w:tabs>
                <w:tab w:val="left" w:pos="875"/>
              </w:tabs>
              <w:ind w:right="-50"/>
              <w:jc w:val="center"/>
              <w:rPr>
                <w:rFonts w:ascii="Arial" w:hAnsi="Arial" w:cs="Arial"/>
                <w:b/>
              </w:rPr>
            </w:pPr>
            <w:r w:rsidRPr="0096486C">
              <w:rPr>
                <w:rFonts w:ascii="Arial" w:hAnsi="Arial" w:cs="Arial"/>
                <w:b/>
              </w:rPr>
              <w:t>2</w:t>
            </w:r>
          </w:p>
        </w:tc>
        <w:tc>
          <w:tcPr>
            <w:tcW w:w="4395" w:type="dxa"/>
          </w:tcPr>
          <w:p w14:paraId="1AF56306" w14:textId="77777777" w:rsidR="004962D9" w:rsidRPr="0096486C" w:rsidRDefault="004962D9" w:rsidP="00D4226B">
            <w:pPr>
              <w:tabs>
                <w:tab w:val="left" w:pos="875"/>
              </w:tabs>
              <w:ind w:right="-50"/>
              <w:jc w:val="both"/>
              <w:rPr>
                <w:rFonts w:ascii="Arial" w:hAnsi="Arial" w:cs="Arial"/>
                <w:b/>
              </w:rPr>
            </w:pPr>
            <w:r w:rsidRPr="0096486C">
              <w:rPr>
                <w:rFonts w:ascii="Arial" w:hAnsi="Arial" w:cs="Arial"/>
                <w:b/>
              </w:rPr>
              <w:t>Operativas:</w:t>
            </w:r>
          </w:p>
        </w:tc>
        <w:tc>
          <w:tcPr>
            <w:tcW w:w="5244" w:type="dxa"/>
          </w:tcPr>
          <w:p w14:paraId="52E4ABC7" w14:textId="77777777" w:rsidR="004962D9" w:rsidRPr="0096486C" w:rsidRDefault="004962D9" w:rsidP="00D4226B">
            <w:pPr>
              <w:tabs>
                <w:tab w:val="left" w:pos="875"/>
              </w:tabs>
              <w:ind w:right="-50"/>
              <w:jc w:val="both"/>
              <w:rPr>
                <w:rFonts w:ascii="Arial" w:hAnsi="Arial" w:cs="Arial"/>
              </w:rPr>
            </w:pPr>
            <w:r w:rsidRPr="0096486C">
              <w:rPr>
                <w:rFonts w:ascii="Arial" w:hAnsi="Arial" w:cs="Arial"/>
              </w:rPr>
              <w:t>De acuerdo con los nuevos requerimientos que trae consigo la aplicación de la nueva política contable y teniendo en cuenta que estos aumentan la carga de trabajo del personal contable, reforzar el talento humano para el proceso en particular.</w:t>
            </w:r>
          </w:p>
        </w:tc>
      </w:tr>
    </w:tbl>
    <w:p w14:paraId="4EFFE533" w14:textId="77777777" w:rsidR="004962D9" w:rsidRDefault="004962D9" w:rsidP="004962D9">
      <w:pPr>
        <w:ind w:left="-284" w:right="-93"/>
        <w:jc w:val="both"/>
        <w:rPr>
          <w:rFonts w:ascii="Arial" w:eastAsia="Trebuchet MS" w:hAnsi="Arial" w:cs="Arial"/>
          <w:b/>
          <w:sz w:val="32"/>
          <w:szCs w:val="32"/>
          <w:u w:val="single"/>
          <w:lang w:eastAsia="es-CO"/>
        </w:rPr>
      </w:pPr>
    </w:p>
    <w:p w14:paraId="4A08B848" w14:textId="77777777" w:rsidR="004962D9" w:rsidRPr="00D45FBC" w:rsidRDefault="004962D9" w:rsidP="004962D9">
      <w:pPr>
        <w:pStyle w:val="Prrafodelista"/>
        <w:ind w:left="-284"/>
        <w:rPr>
          <w:b/>
          <w:sz w:val="28"/>
          <w:szCs w:val="28"/>
        </w:rPr>
      </w:pPr>
      <w:r w:rsidRPr="00D45FBC">
        <w:rPr>
          <w:rFonts w:ascii="Arial" w:hAnsi="Arial" w:cs="Arial"/>
          <w:b/>
          <w:sz w:val="28"/>
          <w:szCs w:val="28"/>
          <w:lang w:val="es-MX"/>
        </w:rPr>
        <w:t>226.- UNIVERSIDAD NACIONAL DE COLOMBIA.</w:t>
      </w:r>
    </w:p>
    <w:p w14:paraId="4B928B6E"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3A105B" w14:paraId="7E55307B" w14:textId="77777777" w:rsidTr="004C5E54">
        <w:tc>
          <w:tcPr>
            <w:tcW w:w="851" w:type="dxa"/>
          </w:tcPr>
          <w:p w14:paraId="4FFBDCAB" w14:textId="77777777" w:rsidR="004962D9" w:rsidRPr="003A105B" w:rsidRDefault="004962D9" w:rsidP="00D4226B">
            <w:pPr>
              <w:tabs>
                <w:tab w:val="left" w:pos="875"/>
              </w:tabs>
              <w:ind w:right="-50"/>
              <w:jc w:val="center"/>
              <w:rPr>
                <w:rFonts w:ascii="Arial" w:hAnsi="Arial" w:cs="Arial"/>
                <w:b/>
              </w:rPr>
            </w:pPr>
            <w:r w:rsidRPr="003A105B">
              <w:rPr>
                <w:rFonts w:ascii="Arial" w:hAnsi="Arial" w:cs="Arial"/>
                <w:b/>
              </w:rPr>
              <w:t>N°</w:t>
            </w:r>
          </w:p>
        </w:tc>
        <w:tc>
          <w:tcPr>
            <w:tcW w:w="4395" w:type="dxa"/>
          </w:tcPr>
          <w:p w14:paraId="0C4D6092" w14:textId="77777777" w:rsidR="004962D9" w:rsidRPr="003A105B" w:rsidRDefault="004962D9" w:rsidP="00D4226B">
            <w:pPr>
              <w:tabs>
                <w:tab w:val="left" w:pos="875"/>
              </w:tabs>
              <w:ind w:right="-50"/>
              <w:jc w:val="center"/>
              <w:rPr>
                <w:rFonts w:ascii="Arial" w:hAnsi="Arial" w:cs="Arial"/>
                <w:b/>
              </w:rPr>
            </w:pPr>
            <w:r w:rsidRPr="003A105B">
              <w:rPr>
                <w:rFonts w:ascii="Arial" w:hAnsi="Arial" w:cs="Arial"/>
                <w:b/>
              </w:rPr>
              <w:t>Limitaciones detectadas por su entidad en</w:t>
            </w:r>
          </w:p>
          <w:p w14:paraId="0F7E695B" w14:textId="77777777" w:rsidR="004962D9" w:rsidRPr="003A105B" w:rsidRDefault="004962D9" w:rsidP="00D4226B">
            <w:pPr>
              <w:tabs>
                <w:tab w:val="left" w:pos="875"/>
              </w:tabs>
              <w:ind w:right="-50"/>
              <w:jc w:val="center"/>
              <w:rPr>
                <w:rFonts w:ascii="Arial" w:hAnsi="Arial" w:cs="Arial"/>
                <w:b/>
              </w:rPr>
            </w:pPr>
            <w:r w:rsidRPr="003A105B">
              <w:rPr>
                <w:rFonts w:ascii="Arial" w:hAnsi="Arial" w:cs="Arial"/>
                <w:b/>
              </w:rPr>
              <w:t xml:space="preserve"> la aplicación del Marco Normativo - NICSP </w:t>
            </w:r>
          </w:p>
          <w:p w14:paraId="7F9C70E4" w14:textId="77777777" w:rsidR="004962D9" w:rsidRPr="003A105B" w:rsidRDefault="004962D9" w:rsidP="00D4226B">
            <w:pPr>
              <w:tabs>
                <w:tab w:val="left" w:pos="875"/>
              </w:tabs>
              <w:ind w:right="-50"/>
              <w:jc w:val="center"/>
              <w:rPr>
                <w:rFonts w:ascii="Arial" w:hAnsi="Arial" w:cs="Arial"/>
                <w:b/>
              </w:rPr>
            </w:pPr>
            <w:r w:rsidRPr="003A105B">
              <w:rPr>
                <w:rFonts w:ascii="Arial" w:hAnsi="Arial" w:cs="Arial"/>
                <w:b/>
              </w:rPr>
              <w:t>a 31/12/2024</w:t>
            </w:r>
          </w:p>
          <w:p w14:paraId="2FA3DACF" w14:textId="77777777" w:rsidR="004962D9" w:rsidRPr="003A105B" w:rsidRDefault="004962D9" w:rsidP="00D4226B">
            <w:pPr>
              <w:tabs>
                <w:tab w:val="left" w:pos="875"/>
              </w:tabs>
              <w:ind w:right="-50"/>
              <w:jc w:val="center"/>
              <w:rPr>
                <w:rFonts w:ascii="Arial" w:hAnsi="Arial" w:cs="Arial"/>
                <w:b/>
              </w:rPr>
            </w:pPr>
          </w:p>
        </w:tc>
        <w:tc>
          <w:tcPr>
            <w:tcW w:w="5244" w:type="dxa"/>
          </w:tcPr>
          <w:p w14:paraId="3C0DF3F7" w14:textId="77777777" w:rsidR="004962D9" w:rsidRPr="003A105B" w:rsidRDefault="004962D9" w:rsidP="00D4226B">
            <w:pPr>
              <w:tabs>
                <w:tab w:val="left" w:pos="875"/>
              </w:tabs>
              <w:ind w:right="-50"/>
              <w:jc w:val="center"/>
              <w:rPr>
                <w:rFonts w:ascii="Arial" w:hAnsi="Arial" w:cs="Arial"/>
                <w:b/>
              </w:rPr>
            </w:pPr>
            <w:r w:rsidRPr="003A105B">
              <w:rPr>
                <w:rFonts w:ascii="Arial" w:hAnsi="Arial" w:cs="Arial"/>
                <w:b/>
              </w:rPr>
              <w:t>Descripción de la limitación</w:t>
            </w:r>
          </w:p>
        </w:tc>
      </w:tr>
      <w:tr w:rsidR="004962D9" w:rsidRPr="003A105B" w14:paraId="1CFA1575" w14:textId="77777777" w:rsidTr="004C5E54">
        <w:tc>
          <w:tcPr>
            <w:tcW w:w="851" w:type="dxa"/>
          </w:tcPr>
          <w:p w14:paraId="2531D226" w14:textId="77777777" w:rsidR="004962D9" w:rsidRPr="003A105B" w:rsidRDefault="004962D9" w:rsidP="00D4226B">
            <w:pPr>
              <w:tabs>
                <w:tab w:val="left" w:pos="875"/>
              </w:tabs>
              <w:ind w:right="-50"/>
              <w:jc w:val="center"/>
              <w:rPr>
                <w:rFonts w:ascii="Arial" w:hAnsi="Arial" w:cs="Arial"/>
                <w:b/>
              </w:rPr>
            </w:pPr>
            <w:r w:rsidRPr="003A105B">
              <w:rPr>
                <w:rFonts w:ascii="Arial" w:hAnsi="Arial" w:cs="Arial"/>
                <w:b/>
              </w:rPr>
              <w:t>1</w:t>
            </w:r>
          </w:p>
        </w:tc>
        <w:tc>
          <w:tcPr>
            <w:tcW w:w="4395" w:type="dxa"/>
          </w:tcPr>
          <w:p w14:paraId="0357D233" w14:textId="77777777" w:rsidR="004962D9" w:rsidRPr="003A105B" w:rsidRDefault="004962D9" w:rsidP="00D4226B">
            <w:pPr>
              <w:tabs>
                <w:tab w:val="left" w:pos="875"/>
              </w:tabs>
              <w:ind w:right="-50"/>
              <w:jc w:val="both"/>
              <w:rPr>
                <w:rFonts w:ascii="Arial" w:hAnsi="Arial" w:cs="Arial"/>
                <w:b/>
              </w:rPr>
            </w:pPr>
            <w:r w:rsidRPr="003A105B">
              <w:rPr>
                <w:rFonts w:ascii="Arial" w:hAnsi="Arial" w:cs="Arial"/>
                <w:b/>
              </w:rPr>
              <w:t>Normativas:</w:t>
            </w:r>
          </w:p>
        </w:tc>
        <w:tc>
          <w:tcPr>
            <w:tcW w:w="5244" w:type="dxa"/>
          </w:tcPr>
          <w:p w14:paraId="5B27B290" w14:textId="77777777" w:rsidR="004962D9" w:rsidRPr="003A105B" w:rsidRDefault="004962D9" w:rsidP="00D4226B">
            <w:pPr>
              <w:tabs>
                <w:tab w:val="left" w:pos="875"/>
              </w:tabs>
              <w:ind w:right="-50"/>
              <w:jc w:val="both"/>
              <w:rPr>
                <w:rFonts w:ascii="Arial" w:hAnsi="Arial" w:cs="Arial"/>
              </w:rPr>
            </w:pPr>
            <w:r w:rsidRPr="003A105B">
              <w:rPr>
                <w:rFonts w:ascii="Arial" w:hAnsi="Arial" w:cs="Arial"/>
              </w:rPr>
              <w:t>La Contaduría General de la Nación introduce modificaciones frecuentes a los marcos normativos, lo que obliga a realizar constantes actualizaciones y ajustes en los procedimientos internos de la universidad, dificultando su implementación oportuna. Además, estos cambios no suelen ser socializados de manera clara, ya que no se presentan comparaciones explícitas con la normativa anterior, lo que limita la comprensión de su alcance e impacto.</w:t>
            </w:r>
          </w:p>
        </w:tc>
      </w:tr>
    </w:tbl>
    <w:p w14:paraId="4115E67F" w14:textId="77777777" w:rsidR="004962D9" w:rsidRDefault="004962D9" w:rsidP="004962D9">
      <w:pPr>
        <w:ind w:left="-284" w:right="-93"/>
        <w:jc w:val="both"/>
        <w:rPr>
          <w:rFonts w:ascii="Arial" w:eastAsia="Trebuchet MS" w:hAnsi="Arial" w:cs="Arial"/>
          <w:b/>
          <w:sz w:val="32"/>
          <w:szCs w:val="32"/>
          <w:u w:val="single"/>
          <w:lang w:eastAsia="es-CO"/>
        </w:rPr>
      </w:pPr>
    </w:p>
    <w:p w14:paraId="00386A6F" w14:textId="77777777" w:rsidR="004962D9" w:rsidRPr="00E858C8" w:rsidRDefault="004962D9" w:rsidP="004962D9">
      <w:pPr>
        <w:ind w:left="-284"/>
        <w:jc w:val="both"/>
        <w:rPr>
          <w:rFonts w:ascii="Arial" w:hAnsi="Arial" w:cs="Arial"/>
          <w:b/>
          <w:sz w:val="28"/>
          <w:szCs w:val="28"/>
          <w:lang w:val="es-MX"/>
        </w:rPr>
      </w:pPr>
      <w:r w:rsidRPr="00E858C8">
        <w:rPr>
          <w:rFonts w:ascii="Arial" w:hAnsi="Arial" w:cs="Arial"/>
          <w:b/>
          <w:sz w:val="28"/>
          <w:szCs w:val="28"/>
          <w:lang w:val="es-MX"/>
        </w:rPr>
        <w:t>227.- DEPARTAMENTO ADMINISTRATIVO DE LA PRESIDENCIA DE LA REPÚBLICA – DAPRE.</w:t>
      </w:r>
    </w:p>
    <w:p w14:paraId="0F57E511" w14:textId="77777777" w:rsidR="004962D9" w:rsidRDefault="004962D9" w:rsidP="004962D9">
      <w:pPr>
        <w:ind w:left="-284" w:right="-9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6C02E2" w14:paraId="1BED272C" w14:textId="77777777" w:rsidTr="00D4226B">
        <w:tc>
          <w:tcPr>
            <w:tcW w:w="867" w:type="dxa"/>
          </w:tcPr>
          <w:p w14:paraId="39FB6E42" w14:textId="77777777" w:rsidR="004962D9" w:rsidRPr="006C02E2" w:rsidRDefault="004962D9" w:rsidP="00D4226B">
            <w:pPr>
              <w:tabs>
                <w:tab w:val="left" w:pos="875"/>
              </w:tabs>
              <w:ind w:right="-50"/>
              <w:jc w:val="center"/>
              <w:rPr>
                <w:rFonts w:ascii="Arial" w:hAnsi="Arial" w:cs="Arial"/>
                <w:b/>
              </w:rPr>
            </w:pPr>
            <w:r w:rsidRPr="006C02E2">
              <w:rPr>
                <w:rFonts w:ascii="Arial" w:hAnsi="Arial" w:cs="Arial"/>
                <w:b/>
              </w:rPr>
              <w:t>N°</w:t>
            </w:r>
          </w:p>
        </w:tc>
        <w:tc>
          <w:tcPr>
            <w:tcW w:w="4379" w:type="dxa"/>
          </w:tcPr>
          <w:p w14:paraId="7DC19AD8" w14:textId="77777777" w:rsidR="004962D9" w:rsidRPr="006C02E2" w:rsidRDefault="004962D9" w:rsidP="00D4226B">
            <w:pPr>
              <w:tabs>
                <w:tab w:val="left" w:pos="875"/>
              </w:tabs>
              <w:ind w:right="-50"/>
              <w:jc w:val="center"/>
              <w:rPr>
                <w:rFonts w:ascii="Arial" w:hAnsi="Arial" w:cs="Arial"/>
                <w:b/>
              </w:rPr>
            </w:pPr>
            <w:r w:rsidRPr="006C02E2">
              <w:rPr>
                <w:rFonts w:ascii="Arial" w:hAnsi="Arial" w:cs="Arial"/>
                <w:b/>
              </w:rPr>
              <w:t>Limitaciones detectadas por su entidad en</w:t>
            </w:r>
          </w:p>
          <w:p w14:paraId="075E3DB8" w14:textId="77777777" w:rsidR="004962D9" w:rsidRPr="006C02E2" w:rsidRDefault="004962D9" w:rsidP="00D4226B">
            <w:pPr>
              <w:tabs>
                <w:tab w:val="left" w:pos="875"/>
              </w:tabs>
              <w:ind w:right="-50"/>
              <w:jc w:val="center"/>
              <w:rPr>
                <w:rFonts w:ascii="Arial" w:hAnsi="Arial" w:cs="Arial"/>
                <w:b/>
              </w:rPr>
            </w:pPr>
            <w:r w:rsidRPr="006C02E2">
              <w:rPr>
                <w:rFonts w:ascii="Arial" w:hAnsi="Arial" w:cs="Arial"/>
                <w:b/>
              </w:rPr>
              <w:t xml:space="preserve"> la aplicación del Marco Normativo - NICSP </w:t>
            </w:r>
          </w:p>
          <w:p w14:paraId="5133F953" w14:textId="1B41EAB2" w:rsidR="004962D9" w:rsidRPr="006C02E2" w:rsidRDefault="004962D9" w:rsidP="00860EB8">
            <w:pPr>
              <w:tabs>
                <w:tab w:val="left" w:pos="875"/>
              </w:tabs>
              <w:ind w:right="-50"/>
              <w:jc w:val="center"/>
              <w:rPr>
                <w:rFonts w:ascii="Arial" w:hAnsi="Arial" w:cs="Arial"/>
                <w:b/>
              </w:rPr>
            </w:pPr>
            <w:r w:rsidRPr="006C02E2">
              <w:rPr>
                <w:rFonts w:ascii="Arial" w:hAnsi="Arial" w:cs="Arial"/>
                <w:b/>
              </w:rPr>
              <w:t>a 31/12/2024</w:t>
            </w:r>
          </w:p>
        </w:tc>
        <w:tc>
          <w:tcPr>
            <w:tcW w:w="5244" w:type="dxa"/>
          </w:tcPr>
          <w:p w14:paraId="51F0BF71" w14:textId="77777777" w:rsidR="004962D9" w:rsidRPr="006C02E2" w:rsidRDefault="004962D9" w:rsidP="00D4226B">
            <w:pPr>
              <w:tabs>
                <w:tab w:val="left" w:pos="875"/>
              </w:tabs>
              <w:ind w:right="-50"/>
              <w:jc w:val="center"/>
              <w:rPr>
                <w:rFonts w:ascii="Arial" w:hAnsi="Arial" w:cs="Arial"/>
                <w:b/>
              </w:rPr>
            </w:pPr>
            <w:r w:rsidRPr="006C02E2">
              <w:rPr>
                <w:rFonts w:ascii="Arial" w:hAnsi="Arial" w:cs="Arial"/>
                <w:b/>
              </w:rPr>
              <w:t>Descripción de la limitación</w:t>
            </w:r>
          </w:p>
        </w:tc>
      </w:tr>
      <w:tr w:rsidR="004962D9" w:rsidRPr="006C02E2" w14:paraId="068E9F69" w14:textId="77777777" w:rsidTr="00D4226B">
        <w:tc>
          <w:tcPr>
            <w:tcW w:w="867" w:type="dxa"/>
          </w:tcPr>
          <w:p w14:paraId="740483A5" w14:textId="77777777" w:rsidR="004962D9" w:rsidRPr="006C02E2" w:rsidRDefault="004962D9" w:rsidP="00D4226B">
            <w:pPr>
              <w:tabs>
                <w:tab w:val="left" w:pos="875"/>
              </w:tabs>
              <w:ind w:right="-50"/>
              <w:jc w:val="center"/>
              <w:rPr>
                <w:rFonts w:ascii="Arial" w:hAnsi="Arial" w:cs="Arial"/>
                <w:b/>
              </w:rPr>
            </w:pPr>
            <w:r w:rsidRPr="006C02E2">
              <w:rPr>
                <w:rFonts w:ascii="Arial" w:hAnsi="Arial" w:cs="Arial"/>
                <w:b/>
              </w:rPr>
              <w:lastRenderedPageBreak/>
              <w:t>1</w:t>
            </w:r>
          </w:p>
        </w:tc>
        <w:tc>
          <w:tcPr>
            <w:tcW w:w="4379" w:type="dxa"/>
          </w:tcPr>
          <w:p w14:paraId="6C3B47C6" w14:textId="77777777" w:rsidR="004962D9" w:rsidRPr="006C02E2" w:rsidRDefault="004962D9" w:rsidP="00D4226B">
            <w:pPr>
              <w:tabs>
                <w:tab w:val="left" w:pos="875"/>
              </w:tabs>
              <w:ind w:right="-50"/>
              <w:jc w:val="both"/>
              <w:rPr>
                <w:rFonts w:ascii="Arial" w:hAnsi="Arial" w:cs="Arial"/>
                <w:b/>
              </w:rPr>
            </w:pPr>
            <w:r w:rsidRPr="006C02E2">
              <w:rPr>
                <w:rFonts w:ascii="Arial" w:hAnsi="Arial" w:cs="Arial"/>
                <w:b/>
              </w:rPr>
              <w:t>Operativas:</w:t>
            </w:r>
          </w:p>
        </w:tc>
        <w:tc>
          <w:tcPr>
            <w:tcW w:w="5244" w:type="dxa"/>
          </w:tcPr>
          <w:p w14:paraId="393D7A6E" w14:textId="77777777" w:rsidR="004962D9" w:rsidRPr="006C02E2" w:rsidRDefault="004962D9" w:rsidP="00D4226B">
            <w:pPr>
              <w:tabs>
                <w:tab w:val="left" w:pos="875"/>
              </w:tabs>
              <w:ind w:right="-50"/>
              <w:jc w:val="both"/>
              <w:rPr>
                <w:rFonts w:ascii="Arial" w:hAnsi="Arial" w:cs="Arial"/>
              </w:rPr>
            </w:pPr>
            <w:r w:rsidRPr="006C02E2">
              <w:rPr>
                <w:rFonts w:ascii="Arial" w:hAnsi="Arial" w:cs="Arial"/>
              </w:rPr>
              <w:t>Al cierre de la vigencia 2024, se presentaron dificultades de índole operativo toda vez que, de acuerdo con las instrucciones de la CGN, se incluyó un campo de tipificación y se requería previamente la parametrización de la totalidad de las cuentas contables.  Esto conllevó a reprocesos y demoras al momento de realizar los registros contables.</w:t>
            </w:r>
          </w:p>
        </w:tc>
      </w:tr>
    </w:tbl>
    <w:p w14:paraId="288643A1" w14:textId="77777777" w:rsidR="004962D9" w:rsidRDefault="004962D9" w:rsidP="004962D9">
      <w:pPr>
        <w:ind w:left="-284" w:right="-93"/>
        <w:jc w:val="both"/>
        <w:rPr>
          <w:rFonts w:ascii="Arial" w:eastAsia="Trebuchet MS" w:hAnsi="Arial" w:cs="Arial"/>
          <w:b/>
          <w:sz w:val="32"/>
          <w:szCs w:val="32"/>
          <w:u w:val="single"/>
          <w:lang w:eastAsia="es-CO"/>
        </w:rPr>
      </w:pPr>
    </w:p>
    <w:p w14:paraId="41DD5214" w14:textId="77777777" w:rsidR="004962D9" w:rsidRPr="003356FC" w:rsidRDefault="004962D9" w:rsidP="004962D9">
      <w:pPr>
        <w:ind w:left="-284"/>
        <w:jc w:val="both"/>
        <w:rPr>
          <w:rFonts w:ascii="Arial" w:hAnsi="Arial" w:cs="Arial"/>
          <w:b/>
          <w:sz w:val="28"/>
          <w:szCs w:val="28"/>
          <w:lang w:val="es-MX"/>
        </w:rPr>
      </w:pPr>
      <w:r w:rsidRPr="003356FC">
        <w:rPr>
          <w:rFonts w:ascii="Arial" w:hAnsi="Arial" w:cs="Arial"/>
          <w:b/>
          <w:sz w:val="28"/>
          <w:szCs w:val="28"/>
          <w:lang w:val="es-MX"/>
        </w:rPr>
        <w:t xml:space="preserve">247.- INSTITUTO NACIONAL DE VIGILANCIA DE MEDICAMENTOS Y ALIMENTOS – INVIMA. </w:t>
      </w:r>
    </w:p>
    <w:p w14:paraId="62A293E4" w14:textId="77777777" w:rsidR="004962D9" w:rsidRDefault="004962D9" w:rsidP="004962D9">
      <w:pPr>
        <w:ind w:left="-284" w:right="-9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A520F5" w14:paraId="7CAEC461" w14:textId="77777777" w:rsidTr="00D4226B">
        <w:tc>
          <w:tcPr>
            <w:tcW w:w="867" w:type="dxa"/>
          </w:tcPr>
          <w:p w14:paraId="12108EBD"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N°</w:t>
            </w:r>
          </w:p>
        </w:tc>
        <w:tc>
          <w:tcPr>
            <w:tcW w:w="4379" w:type="dxa"/>
          </w:tcPr>
          <w:p w14:paraId="20409445"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Limitaciones detectadas por su entidad en</w:t>
            </w:r>
          </w:p>
          <w:p w14:paraId="6884E9F7"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 xml:space="preserve"> la aplicación del Marco Normativo - NICSP </w:t>
            </w:r>
          </w:p>
          <w:p w14:paraId="4E108CD6"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a 31/12/2024</w:t>
            </w:r>
          </w:p>
          <w:p w14:paraId="6BF7BAFE" w14:textId="77777777" w:rsidR="004962D9" w:rsidRPr="00A520F5" w:rsidRDefault="004962D9" w:rsidP="00D4226B">
            <w:pPr>
              <w:tabs>
                <w:tab w:val="left" w:pos="875"/>
              </w:tabs>
              <w:ind w:right="-50"/>
              <w:jc w:val="center"/>
              <w:rPr>
                <w:rFonts w:ascii="Arial" w:hAnsi="Arial" w:cs="Arial"/>
                <w:b/>
              </w:rPr>
            </w:pPr>
          </w:p>
        </w:tc>
        <w:tc>
          <w:tcPr>
            <w:tcW w:w="5244" w:type="dxa"/>
          </w:tcPr>
          <w:p w14:paraId="19CD8688"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Descripción de la limitación</w:t>
            </w:r>
          </w:p>
        </w:tc>
      </w:tr>
      <w:tr w:rsidR="004962D9" w:rsidRPr="00A520F5" w14:paraId="287632C4" w14:textId="77777777" w:rsidTr="00D4226B">
        <w:tc>
          <w:tcPr>
            <w:tcW w:w="867" w:type="dxa"/>
          </w:tcPr>
          <w:p w14:paraId="57B0A730"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1</w:t>
            </w:r>
          </w:p>
        </w:tc>
        <w:tc>
          <w:tcPr>
            <w:tcW w:w="4379" w:type="dxa"/>
          </w:tcPr>
          <w:p w14:paraId="2F0AB049" w14:textId="77777777" w:rsidR="004962D9" w:rsidRPr="00A520F5" w:rsidRDefault="004962D9" w:rsidP="00D4226B">
            <w:pPr>
              <w:tabs>
                <w:tab w:val="left" w:pos="875"/>
              </w:tabs>
              <w:ind w:right="-50"/>
              <w:jc w:val="both"/>
              <w:rPr>
                <w:rFonts w:ascii="Arial" w:hAnsi="Arial" w:cs="Arial"/>
                <w:b/>
              </w:rPr>
            </w:pPr>
            <w:r w:rsidRPr="00A520F5">
              <w:rPr>
                <w:rFonts w:ascii="Arial" w:hAnsi="Arial" w:cs="Arial"/>
                <w:b/>
              </w:rPr>
              <w:t>Normativas:</w:t>
            </w:r>
          </w:p>
        </w:tc>
        <w:tc>
          <w:tcPr>
            <w:tcW w:w="5244" w:type="dxa"/>
          </w:tcPr>
          <w:p w14:paraId="48199DD0" w14:textId="77777777" w:rsidR="004962D9" w:rsidRPr="00A520F5" w:rsidRDefault="004962D9" w:rsidP="00D4226B">
            <w:pPr>
              <w:tabs>
                <w:tab w:val="left" w:pos="875"/>
              </w:tabs>
              <w:ind w:right="-50"/>
              <w:jc w:val="both"/>
              <w:rPr>
                <w:rFonts w:ascii="Arial" w:hAnsi="Arial" w:cs="Arial"/>
              </w:rPr>
            </w:pPr>
            <w:r w:rsidRPr="00A520F5">
              <w:rPr>
                <w:rFonts w:ascii="Arial" w:hAnsi="Arial" w:cs="Arial"/>
              </w:rPr>
              <w:t>La extensión y complejidad del Marco Normativo para Entidades de Gobierno, genera la necesidad de que se ejecute un plan de capacitación específico para los funcionarios del área contable y de las dependencias que generan información contable en las políticas contables aplicables al INVIMA.</w:t>
            </w:r>
          </w:p>
          <w:p w14:paraId="19C7FE5F" w14:textId="77777777" w:rsidR="004962D9" w:rsidRPr="00A520F5" w:rsidRDefault="004962D9" w:rsidP="00D4226B">
            <w:pPr>
              <w:tabs>
                <w:tab w:val="left" w:pos="875"/>
              </w:tabs>
              <w:ind w:right="-50"/>
              <w:jc w:val="both"/>
              <w:rPr>
                <w:rFonts w:ascii="Arial" w:hAnsi="Arial" w:cs="Arial"/>
              </w:rPr>
            </w:pPr>
          </w:p>
        </w:tc>
      </w:tr>
      <w:tr w:rsidR="004962D9" w:rsidRPr="00A520F5" w14:paraId="683A7F40" w14:textId="77777777" w:rsidTr="00D4226B">
        <w:tc>
          <w:tcPr>
            <w:tcW w:w="867" w:type="dxa"/>
          </w:tcPr>
          <w:p w14:paraId="59866224"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2</w:t>
            </w:r>
          </w:p>
        </w:tc>
        <w:tc>
          <w:tcPr>
            <w:tcW w:w="4379" w:type="dxa"/>
          </w:tcPr>
          <w:p w14:paraId="136FF039" w14:textId="77777777" w:rsidR="004962D9" w:rsidRPr="00A520F5" w:rsidRDefault="004962D9" w:rsidP="00D4226B">
            <w:pPr>
              <w:tabs>
                <w:tab w:val="left" w:pos="875"/>
              </w:tabs>
              <w:ind w:right="-50"/>
              <w:jc w:val="both"/>
              <w:rPr>
                <w:rFonts w:ascii="Arial" w:hAnsi="Arial" w:cs="Arial"/>
                <w:b/>
              </w:rPr>
            </w:pPr>
            <w:r w:rsidRPr="00A520F5">
              <w:rPr>
                <w:rFonts w:ascii="Arial" w:hAnsi="Arial" w:cs="Arial"/>
                <w:b/>
              </w:rPr>
              <w:t>Académicas:</w:t>
            </w:r>
          </w:p>
        </w:tc>
        <w:tc>
          <w:tcPr>
            <w:tcW w:w="5244" w:type="dxa"/>
          </w:tcPr>
          <w:p w14:paraId="485F78D3" w14:textId="77777777" w:rsidR="004962D9" w:rsidRPr="00A520F5" w:rsidRDefault="004962D9" w:rsidP="00D4226B">
            <w:pPr>
              <w:tabs>
                <w:tab w:val="left" w:pos="875"/>
              </w:tabs>
              <w:ind w:right="-50"/>
              <w:jc w:val="both"/>
              <w:rPr>
                <w:rFonts w:ascii="Arial" w:hAnsi="Arial" w:cs="Arial"/>
              </w:rPr>
            </w:pPr>
            <w:r w:rsidRPr="00A520F5">
              <w:rPr>
                <w:rFonts w:ascii="Arial" w:hAnsi="Arial" w:cs="Arial"/>
              </w:rPr>
              <w:t>La obsolescencia de los aplicativos de Registros Sanitarios, Sapiens Almacén y Sapiens Cartera que afectan el cumplimiento de las características cualitativas de la información financiera.</w:t>
            </w:r>
          </w:p>
          <w:p w14:paraId="11AB0063" w14:textId="77777777" w:rsidR="004962D9" w:rsidRPr="00A520F5" w:rsidRDefault="004962D9" w:rsidP="00D4226B">
            <w:pPr>
              <w:tabs>
                <w:tab w:val="left" w:pos="875"/>
              </w:tabs>
              <w:ind w:right="-50"/>
              <w:jc w:val="both"/>
              <w:rPr>
                <w:rFonts w:ascii="Arial" w:hAnsi="Arial" w:cs="Arial"/>
              </w:rPr>
            </w:pPr>
          </w:p>
        </w:tc>
      </w:tr>
      <w:tr w:rsidR="004962D9" w:rsidRPr="00A520F5" w14:paraId="7DF6A36A" w14:textId="77777777" w:rsidTr="00D4226B">
        <w:tc>
          <w:tcPr>
            <w:tcW w:w="867" w:type="dxa"/>
          </w:tcPr>
          <w:p w14:paraId="27309750" w14:textId="77777777" w:rsidR="004962D9" w:rsidRPr="00A520F5" w:rsidRDefault="004962D9" w:rsidP="00D4226B">
            <w:pPr>
              <w:tabs>
                <w:tab w:val="left" w:pos="875"/>
              </w:tabs>
              <w:ind w:right="-50"/>
              <w:jc w:val="center"/>
              <w:rPr>
                <w:rFonts w:ascii="Arial" w:hAnsi="Arial" w:cs="Arial"/>
                <w:b/>
              </w:rPr>
            </w:pPr>
            <w:r w:rsidRPr="00A520F5">
              <w:rPr>
                <w:rFonts w:ascii="Arial" w:hAnsi="Arial" w:cs="Arial"/>
                <w:b/>
              </w:rPr>
              <w:t>3</w:t>
            </w:r>
          </w:p>
        </w:tc>
        <w:tc>
          <w:tcPr>
            <w:tcW w:w="4379" w:type="dxa"/>
          </w:tcPr>
          <w:p w14:paraId="0E29A278" w14:textId="77777777" w:rsidR="004962D9" w:rsidRPr="00A520F5" w:rsidRDefault="004962D9" w:rsidP="00D4226B">
            <w:pPr>
              <w:tabs>
                <w:tab w:val="left" w:pos="875"/>
              </w:tabs>
              <w:ind w:right="-50"/>
              <w:jc w:val="both"/>
              <w:rPr>
                <w:rFonts w:ascii="Arial" w:hAnsi="Arial" w:cs="Arial"/>
                <w:b/>
              </w:rPr>
            </w:pPr>
            <w:r w:rsidRPr="00A520F5">
              <w:rPr>
                <w:rFonts w:ascii="Arial" w:hAnsi="Arial" w:cs="Arial"/>
                <w:b/>
              </w:rPr>
              <w:t>Técnicas:</w:t>
            </w:r>
          </w:p>
        </w:tc>
        <w:tc>
          <w:tcPr>
            <w:tcW w:w="5244" w:type="dxa"/>
          </w:tcPr>
          <w:p w14:paraId="6E4A973A" w14:textId="77777777" w:rsidR="004962D9" w:rsidRPr="00A520F5" w:rsidRDefault="004962D9" w:rsidP="00D4226B">
            <w:pPr>
              <w:tabs>
                <w:tab w:val="left" w:pos="875"/>
              </w:tabs>
              <w:ind w:right="-50"/>
              <w:jc w:val="both"/>
              <w:rPr>
                <w:rFonts w:ascii="Arial" w:hAnsi="Arial" w:cs="Arial"/>
              </w:rPr>
            </w:pPr>
            <w:r w:rsidRPr="00A520F5">
              <w:rPr>
                <w:rFonts w:ascii="Arial" w:hAnsi="Arial" w:cs="Arial"/>
              </w:rPr>
              <w:t>Intermitencia de SIIF y los módulos de Propiedad, Planta y Equipo y Cartera, no se encuentran actualizados con los parámetros establecidos en las Normas Contables expedidas por la CGN.</w:t>
            </w:r>
          </w:p>
          <w:p w14:paraId="3E9890C5" w14:textId="77777777" w:rsidR="004962D9" w:rsidRPr="00A520F5" w:rsidRDefault="004962D9" w:rsidP="00D4226B">
            <w:pPr>
              <w:tabs>
                <w:tab w:val="left" w:pos="875"/>
              </w:tabs>
              <w:ind w:right="-50"/>
              <w:jc w:val="both"/>
              <w:rPr>
                <w:rFonts w:ascii="Arial" w:hAnsi="Arial" w:cs="Arial"/>
              </w:rPr>
            </w:pPr>
          </w:p>
        </w:tc>
      </w:tr>
    </w:tbl>
    <w:p w14:paraId="79E80F24" w14:textId="77777777" w:rsidR="004962D9" w:rsidRDefault="004962D9" w:rsidP="004962D9">
      <w:pPr>
        <w:ind w:left="-284" w:right="-93"/>
        <w:jc w:val="both"/>
        <w:rPr>
          <w:rFonts w:ascii="Arial" w:eastAsia="Trebuchet MS" w:hAnsi="Arial" w:cs="Arial"/>
          <w:b/>
          <w:sz w:val="32"/>
          <w:szCs w:val="32"/>
          <w:u w:val="single"/>
          <w:lang w:eastAsia="es-CO"/>
        </w:rPr>
      </w:pPr>
    </w:p>
    <w:p w14:paraId="5699DF2C" w14:textId="77777777" w:rsidR="004962D9" w:rsidRPr="0037765B" w:rsidRDefault="004962D9" w:rsidP="004962D9">
      <w:pPr>
        <w:ind w:left="-284"/>
        <w:jc w:val="both"/>
        <w:rPr>
          <w:rFonts w:ascii="Arial" w:hAnsi="Arial" w:cs="Arial"/>
          <w:b/>
          <w:sz w:val="28"/>
          <w:szCs w:val="28"/>
          <w:lang w:val="es-MX"/>
        </w:rPr>
      </w:pPr>
      <w:r w:rsidRPr="0037765B">
        <w:rPr>
          <w:rFonts w:ascii="Arial" w:hAnsi="Arial" w:cs="Arial"/>
          <w:b/>
          <w:sz w:val="28"/>
          <w:szCs w:val="28"/>
          <w:lang w:val="es-MX"/>
        </w:rPr>
        <w:t>268.- CORPORACIÓN AUTÓNOMA REGIONAL DEL SUR DE BOLÍVAR - CSB.</w:t>
      </w:r>
    </w:p>
    <w:p w14:paraId="68138801" w14:textId="77777777" w:rsidR="004962D9" w:rsidRDefault="004962D9" w:rsidP="004962D9">
      <w:pPr>
        <w:ind w:left="-284" w:right="-9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306BF3" w14:paraId="28C2CC08" w14:textId="77777777" w:rsidTr="004C5E54">
        <w:tc>
          <w:tcPr>
            <w:tcW w:w="867" w:type="dxa"/>
          </w:tcPr>
          <w:p w14:paraId="50557337" w14:textId="77777777" w:rsidR="004962D9" w:rsidRPr="00306BF3" w:rsidRDefault="004962D9" w:rsidP="00D4226B">
            <w:pPr>
              <w:tabs>
                <w:tab w:val="left" w:pos="875"/>
              </w:tabs>
              <w:jc w:val="center"/>
              <w:rPr>
                <w:rFonts w:ascii="Arial" w:hAnsi="Arial" w:cs="Arial"/>
                <w:b/>
              </w:rPr>
            </w:pPr>
            <w:r w:rsidRPr="00306BF3">
              <w:rPr>
                <w:rFonts w:ascii="Arial" w:hAnsi="Arial" w:cs="Arial"/>
                <w:b/>
              </w:rPr>
              <w:t>N°</w:t>
            </w:r>
          </w:p>
        </w:tc>
        <w:tc>
          <w:tcPr>
            <w:tcW w:w="4379" w:type="dxa"/>
          </w:tcPr>
          <w:p w14:paraId="7931F18C" w14:textId="77777777" w:rsidR="004962D9" w:rsidRPr="00306BF3" w:rsidRDefault="004962D9" w:rsidP="00D4226B">
            <w:pPr>
              <w:tabs>
                <w:tab w:val="left" w:pos="875"/>
              </w:tabs>
              <w:jc w:val="center"/>
              <w:rPr>
                <w:rFonts w:ascii="Arial" w:hAnsi="Arial" w:cs="Arial"/>
                <w:b/>
              </w:rPr>
            </w:pPr>
            <w:r w:rsidRPr="00306BF3">
              <w:rPr>
                <w:rFonts w:ascii="Arial" w:hAnsi="Arial" w:cs="Arial"/>
                <w:b/>
              </w:rPr>
              <w:t>Limitaciones detectadas por su entidad en</w:t>
            </w:r>
          </w:p>
          <w:p w14:paraId="0C0C8FA2" w14:textId="77777777" w:rsidR="004962D9" w:rsidRPr="00306BF3" w:rsidRDefault="004962D9" w:rsidP="00D4226B">
            <w:pPr>
              <w:tabs>
                <w:tab w:val="left" w:pos="875"/>
              </w:tabs>
              <w:jc w:val="center"/>
              <w:rPr>
                <w:rFonts w:ascii="Arial" w:hAnsi="Arial" w:cs="Arial"/>
                <w:b/>
              </w:rPr>
            </w:pPr>
            <w:r w:rsidRPr="00306BF3">
              <w:rPr>
                <w:rFonts w:ascii="Arial" w:hAnsi="Arial" w:cs="Arial"/>
                <w:b/>
              </w:rPr>
              <w:t xml:space="preserve"> la aplicación del Marco Normativo - NICSP </w:t>
            </w:r>
          </w:p>
          <w:p w14:paraId="58EEF26C" w14:textId="77777777" w:rsidR="004962D9" w:rsidRPr="00306BF3" w:rsidRDefault="004962D9" w:rsidP="00D4226B">
            <w:pPr>
              <w:tabs>
                <w:tab w:val="left" w:pos="875"/>
              </w:tabs>
              <w:jc w:val="center"/>
              <w:rPr>
                <w:rFonts w:ascii="Arial" w:hAnsi="Arial" w:cs="Arial"/>
                <w:b/>
              </w:rPr>
            </w:pPr>
            <w:r w:rsidRPr="00306BF3">
              <w:rPr>
                <w:rFonts w:ascii="Arial" w:hAnsi="Arial" w:cs="Arial"/>
                <w:b/>
              </w:rPr>
              <w:t>a 31/12/2024</w:t>
            </w:r>
          </w:p>
          <w:p w14:paraId="61D6F864" w14:textId="77777777" w:rsidR="004962D9" w:rsidRPr="00306BF3" w:rsidRDefault="004962D9" w:rsidP="00D4226B">
            <w:pPr>
              <w:tabs>
                <w:tab w:val="left" w:pos="875"/>
              </w:tabs>
              <w:jc w:val="center"/>
              <w:rPr>
                <w:rFonts w:ascii="Arial" w:hAnsi="Arial" w:cs="Arial"/>
                <w:b/>
              </w:rPr>
            </w:pPr>
          </w:p>
        </w:tc>
        <w:tc>
          <w:tcPr>
            <w:tcW w:w="5244" w:type="dxa"/>
          </w:tcPr>
          <w:p w14:paraId="0F040865" w14:textId="77777777" w:rsidR="004962D9" w:rsidRPr="00306BF3" w:rsidRDefault="004962D9" w:rsidP="00D4226B">
            <w:pPr>
              <w:tabs>
                <w:tab w:val="left" w:pos="875"/>
              </w:tabs>
              <w:jc w:val="center"/>
              <w:rPr>
                <w:rFonts w:ascii="Arial" w:hAnsi="Arial" w:cs="Arial"/>
                <w:b/>
              </w:rPr>
            </w:pPr>
            <w:r w:rsidRPr="00306BF3">
              <w:rPr>
                <w:rFonts w:ascii="Arial" w:hAnsi="Arial" w:cs="Arial"/>
                <w:b/>
              </w:rPr>
              <w:t>Descripción de la limitación</w:t>
            </w:r>
          </w:p>
        </w:tc>
      </w:tr>
      <w:tr w:rsidR="004962D9" w:rsidRPr="00306BF3" w14:paraId="6EF08011" w14:textId="77777777" w:rsidTr="004C5E54">
        <w:tc>
          <w:tcPr>
            <w:tcW w:w="867" w:type="dxa"/>
          </w:tcPr>
          <w:p w14:paraId="541A115E" w14:textId="77777777" w:rsidR="004962D9" w:rsidRPr="00306BF3" w:rsidRDefault="004962D9" w:rsidP="00D4226B">
            <w:pPr>
              <w:tabs>
                <w:tab w:val="left" w:pos="875"/>
              </w:tabs>
              <w:jc w:val="center"/>
              <w:rPr>
                <w:rFonts w:ascii="Arial" w:hAnsi="Arial" w:cs="Arial"/>
                <w:b/>
              </w:rPr>
            </w:pPr>
            <w:r w:rsidRPr="00306BF3">
              <w:rPr>
                <w:rFonts w:ascii="Arial" w:hAnsi="Arial" w:cs="Arial"/>
                <w:b/>
              </w:rPr>
              <w:t>1</w:t>
            </w:r>
          </w:p>
        </w:tc>
        <w:tc>
          <w:tcPr>
            <w:tcW w:w="4379" w:type="dxa"/>
          </w:tcPr>
          <w:p w14:paraId="07192169" w14:textId="77777777" w:rsidR="004962D9" w:rsidRPr="00306BF3" w:rsidRDefault="004962D9" w:rsidP="00D4226B">
            <w:pPr>
              <w:tabs>
                <w:tab w:val="left" w:pos="875"/>
              </w:tabs>
              <w:jc w:val="both"/>
              <w:rPr>
                <w:rFonts w:ascii="Arial" w:hAnsi="Arial" w:cs="Arial"/>
                <w:b/>
              </w:rPr>
            </w:pPr>
            <w:r w:rsidRPr="00306BF3">
              <w:rPr>
                <w:rFonts w:ascii="Arial" w:hAnsi="Arial" w:cs="Arial"/>
                <w:b/>
              </w:rPr>
              <w:t>Normativas:</w:t>
            </w:r>
          </w:p>
        </w:tc>
        <w:tc>
          <w:tcPr>
            <w:tcW w:w="5244" w:type="dxa"/>
          </w:tcPr>
          <w:p w14:paraId="6A237FF3" w14:textId="77777777" w:rsidR="004962D9" w:rsidRPr="00306BF3" w:rsidRDefault="004962D9" w:rsidP="00D4226B">
            <w:pPr>
              <w:tabs>
                <w:tab w:val="left" w:pos="875"/>
              </w:tabs>
              <w:jc w:val="both"/>
              <w:rPr>
                <w:rFonts w:ascii="Arial" w:hAnsi="Arial" w:cs="Arial"/>
              </w:rPr>
            </w:pPr>
            <w:r w:rsidRPr="00306BF3">
              <w:rPr>
                <w:rFonts w:ascii="Arial" w:hAnsi="Arial" w:cs="Arial"/>
              </w:rPr>
              <w:t xml:space="preserve">No son socializadas de manera oportunas y presenciales </w:t>
            </w:r>
          </w:p>
        </w:tc>
      </w:tr>
      <w:tr w:rsidR="004962D9" w:rsidRPr="00306BF3" w14:paraId="3C541FF5" w14:textId="77777777" w:rsidTr="004C5E54">
        <w:tc>
          <w:tcPr>
            <w:tcW w:w="867" w:type="dxa"/>
          </w:tcPr>
          <w:p w14:paraId="1B6DF082" w14:textId="77777777" w:rsidR="004962D9" w:rsidRPr="00306BF3" w:rsidRDefault="004962D9" w:rsidP="00D4226B">
            <w:pPr>
              <w:tabs>
                <w:tab w:val="left" w:pos="875"/>
              </w:tabs>
              <w:jc w:val="center"/>
              <w:rPr>
                <w:rFonts w:ascii="Arial" w:hAnsi="Arial" w:cs="Arial"/>
                <w:b/>
              </w:rPr>
            </w:pPr>
            <w:r w:rsidRPr="00306BF3">
              <w:rPr>
                <w:rFonts w:ascii="Arial" w:hAnsi="Arial" w:cs="Arial"/>
                <w:b/>
              </w:rPr>
              <w:t>2</w:t>
            </w:r>
          </w:p>
        </w:tc>
        <w:tc>
          <w:tcPr>
            <w:tcW w:w="4379" w:type="dxa"/>
          </w:tcPr>
          <w:p w14:paraId="63B06718" w14:textId="77777777" w:rsidR="004962D9" w:rsidRPr="00306BF3" w:rsidRDefault="004962D9" w:rsidP="00D4226B">
            <w:pPr>
              <w:tabs>
                <w:tab w:val="left" w:pos="875"/>
              </w:tabs>
              <w:jc w:val="both"/>
              <w:rPr>
                <w:rFonts w:ascii="Arial" w:hAnsi="Arial" w:cs="Arial"/>
                <w:b/>
              </w:rPr>
            </w:pPr>
            <w:r w:rsidRPr="00306BF3">
              <w:rPr>
                <w:rFonts w:ascii="Arial" w:hAnsi="Arial" w:cs="Arial"/>
                <w:b/>
              </w:rPr>
              <w:t>Académicas:</w:t>
            </w:r>
          </w:p>
        </w:tc>
        <w:tc>
          <w:tcPr>
            <w:tcW w:w="5244" w:type="dxa"/>
          </w:tcPr>
          <w:p w14:paraId="016FE295" w14:textId="77777777" w:rsidR="004962D9" w:rsidRPr="00306BF3" w:rsidRDefault="004962D9" w:rsidP="00D4226B">
            <w:pPr>
              <w:tabs>
                <w:tab w:val="left" w:pos="875"/>
              </w:tabs>
              <w:jc w:val="both"/>
              <w:rPr>
                <w:rFonts w:ascii="Arial" w:hAnsi="Arial" w:cs="Arial"/>
              </w:rPr>
            </w:pPr>
            <w:r w:rsidRPr="00306BF3">
              <w:rPr>
                <w:rFonts w:ascii="Arial" w:hAnsi="Arial" w:cs="Arial"/>
              </w:rPr>
              <w:t>Algunas normas son difíciles de interpretar</w:t>
            </w:r>
          </w:p>
        </w:tc>
      </w:tr>
      <w:tr w:rsidR="004962D9" w:rsidRPr="00306BF3" w14:paraId="19ABF966" w14:textId="77777777" w:rsidTr="004C5E54">
        <w:tc>
          <w:tcPr>
            <w:tcW w:w="867" w:type="dxa"/>
          </w:tcPr>
          <w:p w14:paraId="025ACBD5" w14:textId="77777777" w:rsidR="004962D9" w:rsidRPr="00306BF3" w:rsidRDefault="004962D9" w:rsidP="00D4226B">
            <w:pPr>
              <w:tabs>
                <w:tab w:val="left" w:pos="875"/>
              </w:tabs>
              <w:jc w:val="center"/>
              <w:rPr>
                <w:rFonts w:ascii="Arial" w:hAnsi="Arial" w:cs="Arial"/>
                <w:b/>
              </w:rPr>
            </w:pPr>
            <w:r w:rsidRPr="00306BF3">
              <w:rPr>
                <w:rFonts w:ascii="Arial" w:hAnsi="Arial" w:cs="Arial"/>
                <w:b/>
              </w:rPr>
              <w:t>3</w:t>
            </w:r>
          </w:p>
        </w:tc>
        <w:tc>
          <w:tcPr>
            <w:tcW w:w="4379" w:type="dxa"/>
          </w:tcPr>
          <w:p w14:paraId="704A5071" w14:textId="77777777" w:rsidR="004962D9" w:rsidRPr="00306BF3" w:rsidRDefault="004962D9" w:rsidP="00D4226B">
            <w:pPr>
              <w:tabs>
                <w:tab w:val="left" w:pos="875"/>
              </w:tabs>
              <w:jc w:val="both"/>
              <w:rPr>
                <w:rFonts w:ascii="Arial" w:hAnsi="Arial" w:cs="Arial"/>
                <w:b/>
              </w:rPr>
            </w:pPr>
            <w:r w:rsidRPr="00306BF3">
              <w:rPr>
                <w:rFonts w:ascii="Arial" w:hAnsi="Arial" w:cs="Arial"/>
                <w:b/>
              </w:rPr>
              <w:t>Presupuestales:</w:t>
            </w:r>
          </w:p>
        </w:tc>
        <w:tc>
          <w:tcPr>
            <w:tcW w:w="5244" w:type="dxa"/>
          </w:tcPr>
          <w:p w14:paraId="6DFCE361" w14:textId="77777777" w:rsidR="004962D9" w:rsidRPr="00306BF3" w:rsidRDefault="004962D9" w:rsidP="00D4226B">
            <w:pPr>
              <w:tabs>
                <w:tab w:val="left" w:pos="875"/>
              </w:tabs>
              <w:jc w:val="both"/>
              <w:rPr>
                <w:rFonts w:ascii="Arial" w:hAnsi="Arial" w:cs="Arial"/>
              </w:rPr>
            </w:pPr>
            <w:r w:rsidRPr="00306BF3">
              <w:rPr>
                <w:rFonts w:ascii="Arial" w:hAnsi="Arial" w:cs="Arial"/>
              </w:rPr>
              <w:t>La entidad no cuenta con recursos suficientes para realizar capacitaciones</w:t>
            </w:r>
          </w:p>
        </w:tc>
      </w:tr>
    </w:tbl>
    <w:p w14:paraId="758B8CF4" w14:textId="77777777" w:rsidR="004962D9" w:rsidRPr="00730167" w:rsidRDefault="004962D9" w:rsidP="004962D9">
      <w:pPr>
        <w:ind w:left="-284" w:right="-93"/>
        <w:jc w:val="both"/>
        <w:rPr>
          <w:rFonts w:ascii="Arial" w:eastAsia="Trebuchet MS" w:hAnsi="Arial" w:cs="Arial"/>
          <w:b/>
          <w:sz w:val="28"/>
          <w:szCs w:val="28"/>
          <w:u w:val="single"/>
          <w:lang w:eastAsia="es-CO"/>
        </w:rPr>
      </w:pPr>
    </w:p>
    <w:p w14:paraId="05AB50C0" w14:textId="4AD562CE" w:rsidR="004962D9" w:rsidRDefault="004962D9" w:rsidP="004962D9">
      <w:pPr>
        <w:ind w:left="-284"/>
        <w:jc w:val="both"/>
        <w:rPr>
          <w:rFonts w:ascii="Arial" w:hAnsi="Arial" w:cs="Arial"/>
          <w:b/>
          <w:sz w:val="28"/>
          <w:szCs w:val="28"/>
          <w:lang w:val="es-MX"/>
        </w:rPr>
      </w:pPr>
      <w:r w:rsidRPr="00730167">
        <w:rPr>
          <w:rFonts w:ascii="Arial" w:hAnsi="Arial" w:cs="Arial"/>
          <w:b/>
          <w:sz w:val="28"/>
          <w:szCs w:val="28"/>
          <w:lang w:val="es-MX"/>
        </w:rPr>
        <w:t>284.- ELECTRIFICADORA DEL META S.A. – EMSA S.A.</w:t>
      </w:r>
    </w:p>
    <w:p w14:paraId="773C539C" w14:textId="77777777" w:rsidR="00860EB8" w:rsidRPr="00730167" w:rsidRDefault="00860EB8" w:rsidP="004962D9">
      <w:pPr>
        <w:ind w:left="-28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730167" w14:paraId="47A074F6" w14:textId="77777777" w:rsidTr="004C5E54">
        <w:tc>
          <w:tcPr>
            <w:tcW w:w="867" w:type="dxa"/>
          </w:tcPr>
          <w:p w14:paraId="3CCB5D78" w14:textId="77777777" w:rsidR="004962D9" w:rsidRPr="00730167" w:rsidRDefault="004962D9" w:rsidP="00D4226B">
            <w:pPr>
              <w:tabs>
                <w:tab w:val="left" w:pos="875"/>
              </w:tabs>
              <w:jc w:val="center"/>
              <w:rPr>
                <w:rFonts w:ascii="Arial" w:hAnsi="Arial" w:cs="Arial"/>
                <w:b/>
              </w:rPr>
            </w:pPr>
            <w:r w:rsidRPr="00730167">
              <w:rPr>
                <w:rFonts w:ascii="Arial" w:hAnsi="Arial" w:cs="Arial"/>
                <w:b/>
              </w:rPr>
              <w:t>N°</w:t>
            </w:r>
          </w:p>
        </w:tc>
        <w:tc>
          <w:tcPr>
            <w:tcW w:w="4379" w:type="dxa"/>
          </w:tcPr>
          <w:p w14:paraId="60CD9FC8" w14:textId="77777777" w:rsidR="004962D9" w:rsidRPr="00730167" w:rsidRDefault="004962D9" w:rsidP="00D4226B">
            <w:pPr>
              <w:tabs>
                <w:tab w:val="left" w:pos="875"/>
              </w:tabs>
              <w:jc w:val="center"/>
              <w:rPr>
                <w:rFonts w:ascii="Arial" w:hAnsi="Arial" w:cs="Arial"/>
                <w:b/>
              </w:rPr>
            </w:pPr>
            <w:r w:rsidRPr="00730167">
              <w:rPr>
                <w:rFonts w:ascii="Arial" w:hAnsi="Arial" w:cs="Arial"/>
                <w:b/>
              </w:rPr>
              <w:t xml:space="preserve">Limitaciones detectadas por su entidad en la aplicación del Marco Normativo - NICSP </w:t>
            </w:r>
          </w:p>
          <w:p w14:paraId="4B7797AB" w14:textId="77777777" w:rsidR="004962D9" w:rsidRPr="00730167" w:rsidRDefault="004962D9" w:rsidP="00D4226B">
            <w:pPr>
              <w:tabs>
                <w:tab w:val="left" w:pos="875"/>
              </w:tabs>
              <w:jc w:val="center"/>
              <w:rPr>
                <w:rFonts w:ascii="Arial" w:hAnsi="Arial" w:cs="Arial"/>
                <w:b/>
              </w:rPr>
            </w:pPr>
            <w:r w:rsidRPr="00730167">
              <w:rPr>
                <w:rFonts w:ascii="Arial" w:hAnsi="Arial" w:cs="Arial"/>
                <w:b/>
              </w:rPr>
              <w:t>a 31/12/2024</w:t>
            </w:r>
          </w:p>
          <w:p w14:paraId="4602570F" w14:textId="77777777" w:rsidR="004962D9" w:rsidRPr="00730167" w:rsidRDefault="004962D9" w:rsidP="00D4226B">
            <w:pPr>
              <w:tabs>
                <w:tab w:val="left" w:pos="875"/>
              </w:tabs>
              <w:jc w:val="center"/>
              <w:rPr>
                <w:rFonts w:ascii="Arial" w:hAnsi="Arial" w:cs="Arial"/>
                <w:b/>
              </w:rPr>
            </w:pPr>
          </w:p>
        </w:tc>
        <w:tc>
          <w:tcPr>
            <w:tcW w:w="5244" w:type="dxa"/>
          </w:tcPr>
          <w:p w14:paraId="62D2AF6B" w14:textId="77777777" w:rsidR="004962D9" w:rsidRPr="00730167" w:rsidRDefault="004962D9" w:rsidP="00D4226B">
            <w:pPr>
              <w:tabs>
                <w:tab w:val="left" w:pos="875"/>
              </w:tabs>
              <w:jc w:val="center"/>
              <w:rPr>
                <w:rFonts w:ascii="Arial" w:hAnsi="Arial" w:cs="Arial"/>
                <w:b/>
              </w:rPr>
            </w:pPr>
            <w:r w:rsidRPr="00730167">
              <w:rPr>
                <w:rFonts w:ascii="Arial" w:hAnsi="Arial" w:cs="Arial"/>
                <w:b/>
              </w:rPr>
              <w:t>Descripción de la limitación</w:t>
            </w:r>
          </w:p>
        </w:tc>
      </w:tr>
      <w:tr w:rsidR="004962D9" w:rsidRPr="00730167" w14:paraId="092B1878" w14:textId="77777777" w:rsidTr="004C5E54">
        <w:tc>
          <w:tcPr>
            <w:tcW w:w="867" w:type="dxa"/>
          </w:tcPr>
          <w:p w14:paraId="71B3DA14" w14:textId="77777777" w:rsidR="004962D9" w:rsidRPr="00730167" w:rsidRDefault="004962D9" w:rsidP="00D4226B">
            <w:pPr>
              <w:tabs>
                <w:tab w:val="left" w:pos="875"/>
              </w:tabs>
              <w:jc w:val="center"/>
              <w:rPr>
                <w:rFonts w:ascii="Arial" w:hAnsi="Arial" w:cs="Arial"/>
                <w:b/>
              </w:rPr>
            </w:pPr>
            <w:r w:rsidRPr="00730167">
              <w:rPr>
                <w:rFonts w:ascii="Arial" w:hAnsi="Arial" w:cs="Arial"/>
                <w:b/>
              </w:rPr>
              <w:t>1</w:t>
            </w:r>
          </w:p>
        </w:tc>
        <w:tc>
          <w:tcPr>
            <w:tcW w:w="4379" w:type="dxa"/>
          </w:tcPr>
          <w:p w14:paraId="1BC233DE" w14:textId="77777777" w:rsidR="004962D9" w:rsidRPr="00730167" w:rsidRDefault="004962D9" w:rsidP="00D4226B">
            <w:pPr>
              <w:tabs>
                <w:tab w:val="left" w:pos="875"/>
              </w:tabs>
              <w:jc w:val="both"/>
              <w:rPr>
                <w:rFonts w:ascii="Arial" w:hAnsi="Arial" w:cs="Arial"/>
                <w:b/>
              </w:rPr>
            </w:pPr>
            <w:r w:rsidRPr="00730167">
              <w:rPr>
                <w:rFonts w:ascii="Arial" w:hAnsi="Arial" w:cs="Arial"/>
                <w:b/>
              </w:rPr>
              <w:t>Normativas:</w:t>
            </w:r>
          </w:p>
        </w:tc>
        <w:tc>
          <w:tcPr>
            <w:tcW w:w="5244" w:type="dxa"/>
          </w:tcPr>
          <w:p w14:paraId="044C9635" w14:textId="77777777" w:rsidR="004962D9" w:rsidRPr="00730167" w:rsidRDefault="004962D9" w:rsidP="00D4226B">
            <w:pPr>
              <w:tabs>
                <w:tab w:val="left" w:pos="875"/>
              </w:tabs>
              <w:jc w:val="both"/>
              <w:rPr>
                <w:rFonts w:ascii="Arial" w:hAnsi="Arial" w:cs="Arial"/>
              </w:rPr>
            </w:pPr>
            <w:r w:rsidRPr="00730167">
              <w:rPr>
                <w:rFonts w:ascii="Arial" w:hAnsi="Arial" w:cs="Arial"/>
              </w:rPr>
              <w:t xml:space="preserve">Continua la dificultad para armonizar el marco normativo y el manual de políticas y procedimientos de la empresa y los diferentes procesos que intervienen en la </w:t>
            </w:r>
            <w:r w:rsidRPr="00730167">
              <w:rPr>
                <w:rFonts w:ascii="Arial" w:hAnsi="Arial" w:cs="Arial"/>
              </w:rPr>
              <w:lastRenderedPageBreak/>
              <w:t>generación de información financiera de la empresa por cuanto demanda tiempo y atención de todas las áreas que por lo general no se involucran de lleno con el tema por considerarlo de índole netamente contable, eso ha requerido de un constante y continuo trabajo debido a los diferentes cambios que se presentan en la normatividad</w:t>
            </w:r>
          </w:p>
        </w:tc>
      </w:tr>
      <w:tr w:rsidR="004962D9" w:rsidRPr="00730167" w14:paraId="2851A4E4" w14:textId="77777777" w:rsidTr="004C5E54">
        <w:tc>
          <w:tcPr>
            <w:tcW w:w="867" w:type="dxa"/>
          </w:tcPr>
          <w:p w14:paraId="55566352" w14:textId="77777777" w:rsidR="004962D9" w:rsidRPr="00730167" w:rsidRDefault="004962D9" w:rsidP="00D4226B">
            <w:pPr>
              <w:tabs>
                <w:tab w:val="left" w:pos="875"/>
              </w:tabs>
              <w:jc w:val="center"/>
              <w:rPr>
                <w:rFonts w:ascii="Arial" w:hAnsi="Arial" w:cs="Arial"/>
                <w:b/>
              </w:rPr>
            </w:pPr>
            <w:r w:rsidRPr="00730167">
              <w:rPr>
                <w:rFonts w:ascii="Arial" w:hAnsi="Arial" w:cs="Arial"/>
                <w:b/>
              </w:rPr>
              <w:lastRenderedPageBreak/>
              <w:t>2</w:t>
            </w:r>
          </w:p>
        </w:tc>
        <w:tc>
          <w:tcPr>
            <w:tcW w:w="4379" w:type="dxa"/>
          </w:tcPr>
          <w:p w14:paraId="6E2D35AD" w14:textId="77777777" w:rsidR="004962D9" w:rsidRPr="00730167" w:rsidRDefault="004962D9" w:rsidP="00D4226B">
            <w:pPr>
              <w:tabs>
                <w:tab w:val="left" w:pos="875"/>
              </w:tabs>
              <w:jc w:val="both"/>
              <w:rPr>
                <w:rFonts w:ascii="Arial" w:hAnsi="Arial" w:cs="Arial"/>
                <w:b/>
              </w:rPr>
            </w:pPr>
            <w:r w:rsidRPr="00730167">
              <w:rPr>
                <w:rFonts w:ascii="Arial" w:hAnsi="Arial" w:cs="Arial"/>
                <w:b/>
              </w:rPr>
              <w:t>Académicas:</w:t>
            </w:r>
          </w:p>
        </w:tc>
        <w:tc>
          <w:tcPr>
            <w:tcW w:w="5244" w:type="dxa"/>
          </w:tcPr>
          <w:p w14:paraId="57711579" w14:textId="77777777" w:rsidR="004962D9" w:rsidRPr="00730167" w:rsidRDefault="004962D9" w:rsidP="00D4226B">
            <w:pPr>
              <w:tabs>
                <w:tab w:val="left" w:pos="875"/>
              </w:tabs>
              <w:jc w:val="both"/>
              <w:rPr>
                <w:rFonts w:ascii="Arial" w:hAnsi="Arial" w:cs="Arial"/>
              </w:rPr>
            </w:pPr>
            <w:r w:rsidRPr="00730167">
              <w:rPr>
                <w:rFonts w:ascii="Arial" w:hAnsi="Arial" w:cs="Arial"/>
              </w:rPr>
              <w:t xml:space="preserve">Es importante que la Contaduría contemple la posibilidad de volver a las capacitaciones presenciales por módulos, tienen mayor alcance </w:t>
            </w:r>
          </w:p>
        </w:tc>
      </w:tr>
      <w:tr w:rsidR="004962D9" w:rsidRPr="00730167" w14:paraId="23C772E4" w14:textId="77777777" w:rsidTr="004C5E54">
        <w:tc>
          <w:tcPr>
            <w:tcW w:w="867" w:type="dxa"/>
          </w:tcPr>
          <w:p w14:paraId="5F2F81D0" w14:textId="77777777" w:rsidR="004962D9" w:rsidRPr="00730167" w:rsidRDefault="004962D9" w:rsidP="00D4226B">
            <w:pPr>
              <w:tabs>
                <w:tab w:val="left" w:pos="875"/>
              </w:tabs>
              <w:jc w:val="center"/>
              <w:rPr>
                <w:rFonts w:ascii="Arial" w:hAnsi="Arial" w:cs="Arial"/>
                <w:b/>
              </w:rPr>
            </w:pPr>
            <w:r w:rsidRPr="00730167">
              <w:rPr>
                <w:rFonts w:ascii="Arial" w:hAnsi="Arial" w:cs="Arial"/>
                <w:b/>
              </w:rPr>
              <w:t>3</w:t>
            </w:r>
          </w:p>
        </w:tc>
        <w:tc>
          <w:tcPr>
            <w:tcW w:w="4379" w:type="dxa"/>
          </w:tcPr>
          <w:p w14:paraId="3C93F13D" w14:textId="77777777" w:rsidR="004962D9" w:rsidRPr="00730167" w:rsidRDefault="004962D9" w:rsidP="00D4226B">
            <w:pPr>
              <w:tabs>
                <w:tab w:val="left" w:pos="875"/>
              </w:tabs>
              <w:jc w:val="both"/>
              <w:rPr>
                <w:rFonts w:ascii="Arial" w:hAnsi="Arial" w:cs="Arial"/>
                <w:b/>
              </w:rPr>
            </w:pPr>
            <w:r w:rsidRPr="00730167">
              <w:rPr>
                <w:rFonts w:ascii="Arial" w:hAnsi="Arial" w:cs="Arial"/>
                <w:b/>
              </w:rPr>
              <w:t>Técnicas Presupuestales:</w:t>
            </w:r>
          </w:p>
        </w:tc>
        <w:tc>
          <w:tcPr>
            <w:tcW w:w="5244" w:type="dxa"/>
          </w:tcPr>
          <w:p w14:paraId="129A817D" w14:textId="77777777" w:rsidR="004962D9" w:rsidRPr="00730167" w:rsidRDefault="004962D9" w:rsidP="00D4226B">
            <w:pPr>
              <w:tabs>
                <w:tab w:val="left" w:pos="875"/>
              </w:tabs>
              <w:jc w:val="both"/>
              <w:rPr>
                <w:rFonts w:ascii="Arial" w:hAnsi="Arial" w:cs="Arial"/>
              </w:rPr>
            </w:pPr>
            <w:r w:rsidRPr="00730167">
              <w:rPr>
                <w:rFonts w:ascii="Arial" w:hAnsi="Arial" w:cs="Arial"/>
              </w:rPr>
              <w:t>Las limitaciones de tipo tecnológico se relacionan con:</w:t>
            </w:r>
          </w:p>
          <w:p w14:paraId="4C664119" w14:textId="77777777" w:rsidR="004962D9" w:rsidRPr="00730167" w:rsidRDefault="004962D9" w:rsidP="00D4226B">
            <w:pPr>
              <w:tabs>
                <w:tab w:val="left" w:pos="875"/>
              </w:tabs>
              <w:jc w:val="both"/>
              <w:rPr>
                <w:rFonts w:ascii="Arial" w:hAnsi="Arial" w:cs="Arial"/>
              </w:rPr>
            </w:pPr>
          </w:p>
          <w:p w14:paraId="09DC27C3" w14:textId="77777777" w:rsidR="004962D9" w:rsidRPr="00730167" w:rsidRDefault="004962D9" w:rsidP="00D4226B">
            <w:pPr>
              <w:tabs>
                <w:tab w:val="left" w:pos="875"/>
              </w:tabs>
              <w:jc w:val="both"/>
              <w:rPr>
                <w:rFonts w:ascii="Arial" w:hAnsi="Arial" w:cs="Arial"/>
              </w:rPr>
            </w:pPr>
            <w:r w:rsidRPr="00730167">
              <w:rPr>
                <w:rFonts w:ascii="Arial" w:hAnsi="Arial" w:cs="Arial"/>
              </w:rPr>
              <w:t xml:space="preserve">a.  Cumplir con el Marco Normativo Contable (Resolución 414 de 2014) se limita por el nivel de desarrollo de los softwares que se ven involucrados en el procesamiento de la información financiera. El sistema de información comercial SIEC, presenta obsolescencia frente a los cambios normativos actuales. En el caso de SAP las limitaciones son más de tipo presupuestal por los altos costos de cualquier cambio cuando se requiere. </w:t>
            </w:r>
          </w:p>
          <w:p w14:paraId="5DEE28D9" w14:textId="77777777" w:rsidR="004962D9" w:rsidRPr="00730167" w:rsidRDefault="004962D9" w:rsidP="00D4226B">
            <w:pPr>
              <w:tabs>
                <w:tab w:val="left" w:pos="875"/>
              </w:tabs>
              <w:jc w:val="both"/>
              <w:rPr>
                <w:rFonts w:ascii="Arial" w:hAnsi="Arial" w:cs="Arial"/>
              </w:rPr>
            </w:pPr>
          </w:p>
          <w:p w14:paraId="14A1F1D7" w14:textId="77777777" w:rsidR="004962D9" w:rsidRPr="00730167" w:rsidRDefault="004962D9" w:rsidP="00D4226B">
            <w:pPr>
              <w:tabs>
                <w:tab w:val="left" w:pos="875"/>
              </w:tabs>
              <w:jc w:val="both"/>
              <w:rPr>
                <w:rFonts w:ascii="Arial" w:hAnsi="Arial" w:cs="Arial"/>
              </w:rPr>
            </w:pPr>
            <w:r w:rsidRPr="00730167">
              <w:rPr>
                <w:rFonts w:ascii="Arial" w:hAnsi="Arial" w:cs="Arial"/>
              </w:rPr>
              <w:t>Esta limitación es de tipo tecnológico y presupuestal al mismo tiempo.</w:t>
            </w:r>
          </w:p>
        </w:tc>
      </w:tr>
      <w:tr w:rsidR="004962D9" w:rsidRPr="00730167" w14:paraId="7511C34C" w14:textId="77777777" w:rsidTr="004C5E54">
        <w:tc>
          <w:tcPr>
            <w:tcW w:w="867" w:type="dxa"/>
          </w:tcPr>
          <w:p w14:paraId="358F47A1" w14:textId="77777777" w:rsidR="004962D9" w:rsidRPr="00730167" w:rsidRDefault="004962D9" w:rsidP="00D4226B">
            <w:pPr>
              <w:tabs>
                <w:tab w:val="left" w:pos="875"/>
              </w:tabs>
              <w:jc w:val="center"/>
              <w:rPr>
                <w:rFonts w:ascii="Arial" w:hAnsi="Arial" w:cs="Arial"/>
                <w:b/>
              </w:rPr>
            </w:pPr>
            <w:r w:rsidRPr="00730167">
              <w:rPr>
                <w:rFonts w:ascii="Arial" w:hAnsi="Arial" w:cs="Arial"/>
                <w:b/>
              </w:rPr>
              <w:t>4</w:t>
            </w:r>
          </w:p>
        </w:tc>
        <w:tc>
          <w:tcPr>
            <w:tcW w:w="4379" w:type="dxa"/>
          </w:tcPr>
          <w:p w14:paraId="54BBCB2C" w14:textId="77777777" w:rsidR="004962D9" w:rsidRPr="00730167" w:rsidRDefault="004962D9" w:rsidP="00D4226B">
            <w:pPr>
              <w:tabs>
                <w:tab w:val="left" w:pos="875"/>
              </w:tabs>
              <w:jc w:val="both"/>
              <w:rPr>
                <w:rFonts w:ascii="Arial" w:hAnsi="Arial" w:cs="Arial"/>
                <w:b/>
              </w:rPr>
            </w:pPr>
            <w:r w:rsidRPr="00730167">
              <w:rPr>
                <w:rFonts w:ascii="Arial" w:hAnsi="Arial" w:cs="Arial"/>
                <w:b/>
              </w:rPr>
              <w:t>Operativas:</w:t>
            </w:r>
          </w:p>
        </w:tc>
        <w:tc>
          <w:tcPr>
            <w:tcW w:w="5244" w:type="dxa"/>
          </w:tcPr>
          <w:p w14:paraId="436E2F1A" w14:textId="77777777" w:rsidR="004962D9" w:rsidRPr="00730167" w:rsidRDefault="004962D9" w:rsidP="00D4226B">
            <w:pPr>
              <w:tabs>
                <w:tab w:val="left" w:pos="875"/>
              </w:tabs>
              <w:jc w:val="both"/>
              <w:rPr>
                <w:rFonts w:ascii="Arial" w:hAnsi="Arial" w:cs="Arial"/>
              </w:rPr>
            </w:pPr>
            <w:r w:rsidRPr="00730167">
              <w:rPr>
                <w:rFonts w:ascii="Arial" w:hAnsi="Arial" w:cs="Arial"/>
              </w:rPr>
              <w:t>La generación anual de versiones del marco normativo contable que aplica a las empresas, genera limitaciones operativas al no contar con el tiempo y recursos suficientes para la auto capacitación, entendimiento y aplicación de estos</w:t>
            </w:r>
          </w:p>
        </w:tc>
      </w:tr>
    </w:tbl>
    <w:p w14:paraId="457E260E" w14:textId="77777777" w:rsidR="004962D9" w:rsidRPr="00730167" w:rsidRDefault="004962D9" w:rsidP="004962D9">
      <w:pPr>
        <w:ind w:left="-284" w:right="-93"/>
        <w:jc w:val="both"/>
        <w:rPr>
          <w:rFonts w:ascii="Arial" w:eastAsia="Trebuchet MS" w:hAnsi="Arial" w:cs="Arial"/>
          <w:b/>
          <w:sz w:val="28"/>
          <w:szCs w:val="28"/>
          <w:u w:val="single"/>
          <w:lang w:eastAsia="es-CO"/>
        </w:rPr>
      </w:pPr>
    </w:p>
    <w:p w14:paraId="1386D336" w14:textId="77777777" w:rsidR="004962D9" w:rsidRPr="00E77965" w:rsidRDefault="004962D9" w:rsidP="004962D9">
      <w:pPr>
        <w:ind w:left="-284"/>
        <w:jc w:val="both"/>
        <w:rPr>
          <w:rFonts w:ascii="Arial" w:hAnsi="Arial" w:cs="Arial"/>
          <w:b/>
          <w:sz w:val="28"/>
          <w:szCs w:val="28"/>
          <w:lang w:val="es-MX"/>
        </w:rPr>
      </w:pPr>
      <w:r w:rsidRPr="00E77965">
        <w:rPr>
          <w:rFonts w:ascii="Arial" w:hAnsi="Arial" w:cs="Arial"/>
          <w:b/>
          <w:sz w:val="28"/>
          <w:szCs w:val="28"/>
          <w:lang w:val="es-MX"/>
        </w:rPr>
        <w:t>288.- UNIVERSIDAD DEL CAUCA.</w:t>
      </w:r>
    </w:p>
    <w:p w14:paraId="36617637" w14:textId="77777777" w:rsidR="004962D9" w:rsidRDefault="004962D9" w:rsidP="004962D9">
      <w:pPr>
        <w:ind w:left="-284" w:right="-234"/>
        <w:jc w:val="both"/>
        <w:rPr>
          <w:rFonts w:ascii="Arial" w:hAnsi="Arial" w:cs="Arial"/>
          <w:b/>
          <w:sz w:val="28"/>
          <w:szCs w:val="28"/>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2341AA" w14:paraId="77A49513" w14:textId="77777777" w:rsidTr="004C5E54">
        <w:tc>
          <w:tcPr>
            <w:tcW w:w="867" w:type="dxa"/>
          </w:tcPr>
          <w:p w14:paraId="5400ED47" w14:textId="77777777" w:rsidR="004962D9" w:rsidRPr="002341AA" w:rsidRDefault="004962D9" w:rsidP="00D4226B">
            <w:pPr>
              <w:tabs>
                <w:tab w:val="left" w:pos="875"/>
              </w:tabs>
              <w:ind w:right="-50"/>
              <w:jc w:val="center"/>
              <w:rPr>
                <w:rFonts w:ascii="Arial" w:hAnsi="Arial" w:cs="Arial"/>
                <w:b/>
              </w:rPr>
            </w:pPr>
            <w:r w:rsidRPr="002341AA">
              <w:rPr>
                <w:rFonts w:ascii="Arial" w:hAnsi="Arial" w:cs="Arial"/>
                <w:b/>
              </w:rPr>
              <w:t>N°</w:t>
            </w:r>
          </w:p>
        </w:tc>
        <w:tc>
          <w:tcPr>
            <w:tcW w:w="4379" w:type="dxa"/>
          </w:tcPr>
          <w:p w14:paraId="429B99B4" w14:textId="77777777" w:rsidR="004962D9" w:rsidRPr="002341AA" w:rsidRDefault="004962D9" w:rsidP="00D4226B">
            <w:pPr>
              <w:tabs>
                <w:tab w:val="left" w:pos="875"/>
              </w:tabs>
              <w:ind w:right="-50"/>
              <w:jc w:val="center"/>
              <w:rPr>
                <w:rFonts w:ascii="Arial" w:hAnsi="Arial" w:cs="Arial"/>
                <w:b/>
              </w:rPr>
            </w:pPr>
            <w:r w:rsidRPr="002341AA">
              <w:rPr>
                <w:rFonts w:ascii="Arial" w:hAnsi="Arial" w:cs="Arial"/>
                <w:b/>
              </w:rPr>
              <w:t>Limitaciones detectadas por su entidad en la aplicación del Marco Normativo - NICSP a 31/12/2024</w:t>
            </w:r>
          </w:p>
          <w:p w14:paraId="66647138" w14:textId="77777777" w:rsidR="004962D9" w:rsidRPr="002341AA" w:rsidRDefault="004962D9" w:rsidP="00D4226B">
            <w:pPr>
              <w:tabs>
                <w:tab w:val="left" w:pos="875"/>
              </w:tabs>
              <w:ind w:right="-50"/>
              <w:jc w:val="center"/>
              <w:rPr>
                <w:rFonts w:ascii="Arial" w:hAnsi="Arial" w:cs="Arial"/>
                <w:b/>
              </w:rPr>
            </w:pPr>
          </w:p>
        </w:tc>
        <w:tc>
          <w:tcPr>
            <w:tcW w:w="5244" w:type="dxa"/>
          </w:tcPr>
          <w:p w14:paraId="36586196" w14:textId="77777777" w:rsidR="004962D9" w:rsidRPr="002341AA" w:rsidRDefault="004962D9" w:rsidP="00D4226B">
            <w:pPr>
              <w:tabs>
                <w:tab w:val="left" w:pos="875"/>
              </w:tabs>
              <w:ind w:right="-50"/>
              <w:jc w:val="center"/>
              <w:rPr>
                <w:rFonts w:ascii="Arial" w:hAnsi="Arial" w:cs="Arial"/>
                <w:b/>
              </w:rPr>
            </w:pPr>
            <w:r w:rsidRPr="002341AA">
              <w:rPr>
                <w:rFonts w:ascii="Arial" w:hAnsi="Arial" w:cs="Arial"/>
                <w:b/>
              </w:rPr>
              <w:t>Descripción de la limitación</w:t>
            </w:r>
          </w:p>
        </w:tc>
      </w:tr>
      <w:tr w:rsidR="004962D9" w:rsidRPr="002341AA" w14:paraId="1CB5186A" w14:textId="77777777" w:rsidTr="004C5E54">
        <w:tc>
          <w:tcPr>
            <w:tcW w:w="867" w:type="dxa"/>
          </w:tcPr>
          <w:p w14:paraId="7FF7F515" w14:textId="77777777" w:rsidR="004962D9" w:rsidRPr="002341AA" w:rsidRDefault="004962D9" w:rsidP="00D4226B">
            <w:pPr>
              <w:tabs>
                <w:tab w:val="left" w:pos="875"/>
              </w:tabs>
              <w:ind w:right="-50"/>
              <w:jc w:val="center"/>
              <w:rPr>
                <w:rFonts w:ascii="Arial" w:hAnsi="Arial" w:cs="Arial"/>
                <w:b/>
              </w:rPr>
            </w:pPr>
            <w:r w:rsidRPr="002341AA">
              <w:rPr>
                <w:rFonts w:ascii="Arial" w:hAnsi="Arial" w:cs="Arial"/>
                <w:b/>
              </w:rPr>
              <w:t>1</w:t>
            </w:r>
          </w:p>
        </w:tc>
        <w:tc>
          <w:tcPr>
            <w:tcW w:w="4379" w:type="dxa"/>
          </w:tcPr>
          <w:p w14:paraId="66821825" w14:textId="77777777" w:rsidR="004962D9" w:rsidRPr="002341AA" w:rsidRDefault="004962D9" w:rsidP="00D4226B">
            <w:pPr>
              <w:tabs>
                <w:tab w:val="left" w:pos="875"/>
              </w:tabs>
              <w:ind w:right="-50"/>
              <w:jc w:val="both"/>
              <w:rPr>
                <w:rFonts w:ascii="Arial" w:hAnsi="Arial" w:cs="Arial"/>
                <w:b/>
              </w:rPr>
            </w:pPr>
            <w:r w:rsidRPr="002341AA">
              <w:rPr>
                <w:rFonts w:ascii="Arial" w:hAnsi="Arial" w:cs="Arial"/>
                <w:b/>
              </w:rPr>
              <w:t>Técnicas:</w:t>
            </w:r>
          </w:p>
        </w:tc>
        <w:tc>
          <w:tcPr>
            <w:tcW w:w="5244" w:type="dxa"/>
          </w:tcPr>
          <w:p w14:paraId="27E5247A" w14:textId="77777777" w:rsidR="004962D9" w:rsidRPr="002341AA" w:rsidRDefault="004962D9" w:rsidP="00D4226B">
            <w:pPr>
              <w:tabs>
                <w:tab w:val="left" w:pos="875"/>
              </w:tabs>
              <w:ind w:right="-50"/>
              <w:jc w:val="both"/>
              <w:rPr>
                <w:rFonts w:ascii="Arial" w:hAnsi="Arial" w:cs="Arial"/>
              </w:rPr>
            </w:pPr>
            <w:r w:rsidRPr="002341AA">
              <w:rPr>
                <w:rFonts w:ascii="Arial" w:hAnsi="Arial" w:cs="Arial"/>
              </w:rPr>
              <w:t>Como algunas de las mediciones y actualizaciones financieras necesarias para elaborar los Estados Financieros no están automatizadas, al deberse realizar en forma manual, genera demoras en el procesamiento de la información especialmente lo concerniente al cálculo de deterioro de cuentas por cobrar, inversiones y propiedades planta y equipo.</w:t>
            </w:r>
          </w:p>
        </w:tc>
      </w:tr>
      <w:tr w:rsidR="004962D9" w:rsidRPr="002341AA" w14:paraId="634207AD" w14:textId="77777777" w:rsidTr="004C5E54">
        <w:tc>
          <w:tcPr>
            <w:tcW w:w="867" w:type="dxa"/>
          </w:tcPr>
          <w:p w14:paraId="6A7667E8" w14:textId="77777777" w:rsidR="004962D9" w:rsidRPr="002341AA" w:rsidRDefault="004962D9" w:rsidP="00D4226B">
            <w:pPr>
              <w:tabs>
                <w:tab w:val="left" w:pos="875"/>
              </w:tabs>
              <w:ind w:right="-50"/>
              <w:jc w:val="center"/>
              <w:rPr>
                <w:rFonts w:ascii="Arial" w:hAnsi="Arial" w:cs="Arial"/>
                <w:b/>
              </w:rPr>
            </w:pPr>
            <w:r w:rsidRPr="002341AA">
              <w:rPr>
                <w:rFonts w:ascii="Arial" w:hAnsi="Arial" w:cs="Arial"/>
                <w:b/>
              </w:rPr>
              <w:t>2</w:t>
            </w:r>
          </w:p>
        </w:tc>
        <w:tc>
          <w:tcPr>
            <w:tcW w:w="4379" w:type="dxa"/>
          </w:tcPr>
          <w:p w14:paraId="5B7D2178" w14:textId="77777777" w:rsidR="004962D9" w:rsidRPr="002341AA" w:rsidRDefault="004962D9" w:rsidP="00D4226B">
            <w:pPr>
              <w:tabs>
                <w:tab w:val="left" w:pos="875"/>
              </w:tabs>
              <w:ind w:right="-50"/>
              <w:jc w:val="both"/>
              <w:rPr>
                <w:rFonts w:ascii="Arial" w:hAnsi="Arial" w:cs="Arial"/>
                <w:b/>
              </w:rPr>
            </w:pPr>
            <w:r w:rsidRPr="002341AA">
              <w:rPr>
                <w:rFonts w:ascii="Arial" w:hAnsi="Arial" w:cs="Arial"/>
                <w:b/>
              </w:rPr>
              <w:t>Operativas:</w:t>
            </w:r>
          </w:p>
        </w:tc>
        <w:tc>
          <w:tcPr>
            <w:tcW w:w="5244" w:type="dxa"/>
          </w:tcPr>
          <w:p w14:paraId="6A79F1E6" w14:textId="77777777" w:rsidR="004962D9" w:rsidRPr="002341AA" w:rsidRDefault="004962D9" w:rsidP="00D4226B">
            <w:pPr>
              <w:tabs>
                <w:tab w:val="left" w:pos="875"/>
              </w:tabs>
              <w:ind w:right="-50"/>
              <w:jc w:val="both"/>
              <w:rPr>
                <w:rFonts w:ascii="Arial" w:hAnsi="Arial" w:cs="Arial"/>
              </w:rPr>
            </w:pPr>
            <w:r w:rsidRPr="002341AA">
              <w:rPr>
                <w:rFonts w:ascii="Arial" w:hAnsi="Arial" w:cs="Arial"/>
              </w:rPr>
              <w:t xml:space="preserve">Debido a que no se contó con la documentación requerida para el registro y reconocimiento en debida forma edificación nueva que ha sido dada al servicio. </w:t>
            </w:r>
            <w:proofErr w:type="gramStart"/>
            <w:r w:rsidRPr="002341AA">
              <w:rPr>
                <w:rFonts w:ascii="Arial" w:hAnsi="Arial" w:cs="Arial"/>
              </w:rPr>
              <w:t>Continua</w:t>
            </w:r>
            <w:proofErr w:type="gramEnd"/>
            <w:r w:rsidRPr="002341AA">
              <w:rPr>
                <w:rFonts w:ascii="Arial" w:hAnsi="Arial" w:cs="Arial"/>
              </w:rPr>
              <w:t xml:space="preserve"> clasificada como construcciones en curso.</w:t>
            </w:r>
          </w:p>
        </w:tc>
      </w:tr>
    </w:tbl>
    <w:p w14:paraId="772D731A" w14:textId="77777777" w:rsidR="004962D9" w:rsidRDefault="004962D9" w:rsidP="004962D9">
      <w:pPr>
        <w:ind w:left="-284" w:right="-93"/>
        <w:jc w:val="both"/>
        <w:rPr>
          <w:rFonts w:ascii="Arial" w:eastAsia="Trebuchet MS" w:hAnsi="Arial" w:cs="Arial"/>
          <w:b/>
          <w:sz w:val="32"/>
          <w:szCs w:val="32"/>
          <w:u w:val="single"/>
          <w:lang w:eastAsia="es-CO"/>
        </w:rPr>
      </w:pPr>
    </w:p>
    <w:p w14:paraId="25A5A4EF" w14:textId="6E6BCB99" w:rsidR="004962D9" w:rsidRDefault="004962D9" w:rsidP="004C5E54">
      <w:pPr>
        <w:ind w:left="-284" w:right="-234"/>
        <w:jc w:val="both"/>
        <w:rPr>
          <w:rFonts w:ascii="Arial" w:hAnsi="Arial" w:cs="Arial"/>
          <w:b/>
          <w:sz w:val="28"/>
          <w:szCs w:val="28"/>
          <w:lang w:val="es-MX"/>
        </w:rPr>
      </w:pPr>
      <w:bookmarkStart w:id="37" w:name="_Hlk204775622"/>
      <w:r w:rsidRPr="002A6BEF">
        <w:rPr>
          <w:rFonts w:ascii="Arial" w:hAnsi="Arial" w:cs="Arial"/>
          <w:b/>
          <w:sz w:val="28"/>
          <w:szCs w:val="28"/>
          <w:lang w:val="es-MX"/>
        </w:rPr>
        <w:t>289.- PATRIMONIOO AUTÓNOMO FONDO EMPRESARIAL DE LA SUPERSERVICIOS - BBVA ASSET MANAGEMENT S.A. SOCIEDAD FIDUCIARIA.</w:t>
      </w:r>
    </w:p>
    <w:p w14:paraId="386EA631" w14:textId="77777777" w:rsidR="00A85772" w:rsidRPr="002A6BEF" w:rsidRDefault="00A85772" w:rsidP="004C5E54">
      <w:pPr>
        <w:ind w:left="-284" w:right="-234"/>
        <w:jc w:val="both"/>
        <w:rPr>
          <w:rFonts w:ascii="Arial" w:hAnsi="Arial" w:cs="Arial"/>
          <w:b/>
          <w:sz w:val="28"/>
          <w:szCs w:val="28"/>
          <w:lang w:val="es-MX"/>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2A6BEF" w14:paraId="6A2C748C" w14:textId="77777777" w:rsidTr="00925DCE">
        <w:tc>
          <w:tcPr>
            <w:tcW w:w="867" w:type="dxa"/>
          </w:tcPr>
          <w:bookmarkEnd w:id="37"/>
          <w:p w14:paraId="64E50E78" w14:textId="77777777" w:rsidR="004962D9" w:rsidRPr="002A6BEF" w:rsidRDefault="004962D9" w:rsidP="00D4226B">
            <w:pPr>
              <w:tabs>
                <w:tab w:val="left" w:pos="875"/>
              </w:tabs>
              <w:ind w:right="-50"/>
              <w:jc w:val="center"/>
              <w:rPr>
                <w:rFonts w:ascii="Arial" w:hAnsi="Arial" w:cs="Arial"/>
                <w:b/>
              </w:rPr>
            </w:pPr>
            <w:r w:rsidRPr="002A6BEF">
              <w:rPr>
                <w:rFonts w:ascii="Arial" w:hAnsi="Arial" w:cs="Arial"/>
                <w:b/>
              </w:rPr>
              <w:t>N°</w:t>
            </w:r>
          </w:p>
        </w:tc>
        <w:tc>
          <w:tcPr>
            <w:tcW w:w="4379" w:type="dxa"/>
          </w:tcPr>
          <w:p w14:paraId="426905F5" w14:textId="77777777" w:rsidR="004962D9" w:rsidRPr="002A6BEF" w:rsidRDefault="004962D9" w:rsidP="00D4226B">
            <w:pPr>
              <w:tabs>
                <w:tab w:val="left" w:pos="875"/>
              </w:tabs>
              <w:ind w:right="-50"/>
              <w:jc w:val="center"/>
              <w:rPr>
                <w:rFonts w:ascii="Arial" w:hAnsi="Arial" w:cs="Arial"/>
                <w:b/>
              </w:rPr>
            </w:pPr>
            <w:r w:rsidRPr="002A6BEF">
              <w:rPr>
                <w:rFonts w:ascii="Arial" w:hAnsi="Arial" w:cs="Arial"/>
                <w:b/>
              </w:rPr>
              <w:t>Limitaciones detectadas por su entidad en la aplicación del Marco Normativo - NICSP a 31/12/2024</w:t>
            </w:r>
          </w:p>
          <w:p w14:paraId="52166537" w14:textId="77777777" w:rsidR="004962D9" w:rsidRPr="002A6BEF" w:rsidRDefault="004962D9" w:rsidP="00D4226B">
            <w:pPr>
              <w:tabs>
                <w:tab w:val="left" w:pos="875"/>
              </w:tabs>
              <w:ind w:right="-50"/>
              <w:jc w:val="center"/>
              <w:rPr>
                <w:rFonts w:ascii="Arial" w:hAnsi="Arial" w:cs="Arial"/>
                <w:b/>
              </w:rPr>
            </w:pPr>
          </w:p>
        </w:tc>
        <w:tc>
          <w:tcPr>
            <w:tcW w:w="5244" w:type="dxa"/>
          </w:tcPr>
          <w:p w14:paraId="4035C752" w14:textId="77777777" w:rsidR="004962D9" w:rsidRPr="002A6BEF" w:rsidRDefault="004962D9" w:rsidP="00D4226B">
            <w:pPr>
              <w:tabs>
                <w:tab w:val="left" w:pos="875"/>
              </w:tabs>
              <w:ind w:right="-50"/>
              <w:jc w:val="center"/>
              <w:rPr>
                <w:rFonts w:ascii="Arial" w:hAnsi="Arial" w:cs="Arial"/>
                <w:b/>
              </w:rPr>
            </w:pPr>
            <w:r w:rsidRPr="002A6BEF">
              <w:rPr>
                <w:rFonts w:ascii="Arial" w:hAnsi="Arial" w:cs="Arial"/>
                <w:b/>
              </w:rPr>
              <w:t>Descripción de la limitación</w:t>
            </w:r>
          </w:p>
        </w:tc>
      </w:tr>
      <w:tr w:rsidR="004962D9" w:rsidRPr="002A6BEF" w14:paraId="775FDD49" w14:textId="77777777" w:rsidTr="00925DCE">
        <w:tc>
          <w:tcPr>
            <w:tcW w:w="867" w:type="dxa"/>
          </w:tcPr>
          <w:p w14:paraId="467FFDF1" w14:textId="77777777" w:rsidR="004962D9" w:rsidRPr="002A6BEF" w:rsidRDefault="004962D9" w:rsidP="00D4226B">
            <w:pPr>
              <w:tabs>
                <w:tab w:val="left" w:pos="875"/>
              </w:tabs>
              <w:ind w:right="-50"/>
              <w:jc w:val="center"/>
              <w:rPr>
                <w:rFonts w:ascii="Arial" w:hAnsi="Arial" w:cs="Arial"/>
                <w:b/>
              </w:rPr>
            </w:pPr>
            <w:r w:rsidRPr="002A6BEF">
              <w:rPr>
                <w:rFonts w:ascii="Arial" w:hAnsi="Arial" w:cs="Arial"/>
                <w:b/>
              </w:rPr>
              <w:t>1</w:t>
            </w:r>
          </w:p>
        </w:tc>
        <w:tc>
          <w:tcPr>
            <w:tcW w:w="4379" w:type="dxa"/>
          </w:tcPr>
          <w:p w14:paraId="373DF3A6" w14:textId="77777777" w:rsidR="004962D9" w:rsidRPr="002A6BEF" w:rsidRDefault="004962D9" w:rsidP="00D4226B">
            <w:pPr>
              <w:tabs>
                <w:tab w:val="left" w:pos="875"/>
              </w:tabs>
              <w:ind w:right="-50"/>
              <w:jc w:val="both"/>
              <w:rPr>
                <w:rFonts w:ascii="Arial" w:hAnsi="Arial" w:cs="Arial"/>
                <w:b/>
              </w:rPr>
            </w:pPr>
            <w:r w:rsidRPr="002A6BEF">
              <w:rPr>
                <w:rFonts w:ascii="Arial" w:hAnsi="Arial" w:cs="Arial"/>
                <w:b/>
              </w:rPr>
              <w:t>Técnicas:</w:t>
            </w:r>
          </w:p>
        </w:tc>
        <w:tc>
          <w:tcPr>
            <w:tcW w:w="5244" w:type="dxa"/>
          </w:tcPr>
          <w:p w14:paraId="5EB8ECC3" w14:textId="77777777" w:rsidR="004962D9" w:rsidRPr="002A6BEF" w:rsidRDefault="004962D9" w:rsidP="00D4226B">
            <w:pPr>
              <w:tabs>
                <w:tab w:val="left" w:pos="875"/>
              </w:tabs>
              <w:ind w:right="-50"/>
              <w:jc w:val="both"/>
              <w:rPr>
                <w:rFonts w:ascii="Arial" w:hAnsi="Arial" w:cs="Arial"/>
              </w:rPr>
            </w:pPr>
            <w:r w:rsidRPr="002A6BEF">
              <w:rPr>
                <w:rFonts w:ascii="Arial" w:hAnsi="Arial" w:cs="Arial"/>
                <w:lang w:val="es-CO"/>
              </w:rPr>
              <w:t xml:space="preserve">Se genera una limitación en la aplicación contable del régimen de contabilidad pública Resolución 620 de 2015, </w:t>
            </w:r>
            <w:r w:rsidRPr="002A6BEF">
              <w:rPr>
                <w:rFonts w:ascii="Arial" w:hAnsi="Arial" w:cs="Arial"/>
                <w:lang w:val="es-CO"/>
              </w:rPr>
              <w:lastRenderedPageBreak/>
              <w:t>al efectuar la homologación de cuentas del marco normativo contable de la Superfinanciera de Colombia Circular 030 de 2017.</w:t>
            </w:r>
          </w:p>
        </w:tc>
      </w:tr>
    </w:tbl>
    <w:p w14:paraId="33B941AA" w14:textId="77777777" w:rsidR="004962D9" w:rsidRDefault="004962D9" w:rsidP="004962D9">
      <w:pPr>
        <w:ind w:left="-284" w:right="283"/>
        <w:jc w:val="both"/>
        <w:rPr>
          <w:rFonts w:ascii="Arial" w:eastAsia="Trebuchet MS" w:hAnsi="Arial" w:cs="Arial"/>
          <w:b/>
          <w:sz w:val="32"/>
          <w:szCs w:val="32"/>
          <w:u w:val="single"/>
          <w:lang w:eastAsia="es-CO"/>
        </w:rPr>
      </w:pPr>
    </w:p>
    <w:p w14:paraId="6518F23E" w14:textId="77777777" w:rsidR="004962D9" w:rsidRPr="001D540E" w:rsidRDefault="004962D9" w:rsidP="004962D9">
      <w:pPr>
        <w:ind w:left="-284"/>
        <w:rPr>
          <w:rFonts w:ascii="Arial" w:hAnsi="Arial" w:cs="Arial"/>
          <w:b/>
          <w:sz w:val="28"/>
          <w:szCs w:val="28"/>
          <w:lang w:val="es-MX"/>
        </w:rPr>
      </w:pPr>
      <w:r w:rsidRPr="001D540E">
        <w:rPr>
          <w:rFonts w:ascii="Arial" w:hAnsi="Arial" w:cs="Arial"/>
          <w:b/>
          <w:sz w:val="28"/>
          <w:szCs w:val="28"/>
          <w:lang w:val="es-MX"/>
        </w:rPr>
        <w:t>296.- AGENCIA NACIONAL DE MINERIA - ANM.</w:t>
      </w:r>
    </w:p>
    <w:p w14:paraId="09122C6A" w14:textId="77777777" w:rsidR="004962D9" w:rsidRPr="001D540E" w:rsidRDefault="004962D9" w:rsidP="004962D9">
      <w:pPr>
        <w:ind w:left="-284" w:right="28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F63FFA" w14:paraId="1813FD45" w14:textId="77777777" w:rsidTr="00925DCE">
        <w:tc>
          <w:tcPr>
            <w:tcW w:w="867" w:type="dxa"/>
          </w:tcPr>
          <w:p w14:paraId="193E839A" w14:textId="77777777" w:rsidR="004962D9" w:rsidRPr="00F63FFA" w:rsidRDefault="004962D9" w:rsidP="00D4226B">
            <w:pPr>
              <w:tabs>
                <w:tab w:val="left" w:pos="875"/>
              </w:tabs>
              <w:jc w:val="center"/>
              <w:rPr>
                <w:rFonts w:ascii="Arial" w:hAnsi="Arial" w:cs="Arial"/>
                <w:b/>
              </w:rPr>
            </w:pPr>
            <w:r w:rsidRPr="00F63FFA">
              <w:rPr>
                <w:rFonts w:ascii="Arial" w:hAnsi="Arial" w:cs="Arial"/>
                <w:b/>
              </w:rPr>
              <w:t>N°</w:t>
            </w:r>
          </w:p>
        </w:tc>
        <w:tc>
          <w:tcPr>
            <w:tcW w:w="4379" w:type="dxa"/>
          </w:tcPr>
          <w:p w14:paraId="0E4B5B0D" w14:textId="77777777" w:rsidR="004962D9" w:rsidRPr="00F63FFA" w:rsidRDefault="004962D9" w:rsidP="00D4226B">
            <w:pPr>
              <w:tabs>
                <w:tab w:val="left" w:pos="875"/>
              </w:tabs>
              <w:jc w:val="center"/>
              <w:rPr>
                <w:rFonts w:ascii="Arial" w:hAnsi="Arial" w:cs="Arial"/>
                <w:b/>
              </w:rPr>
            </w:pPr>
            <w:r w:rsidRPr="00F63FFA">
              <w:rPr>
                <w:rFonts w:ascii="Arial" w:hAnsi="Arial" w:cs="Arial"/>
                <w:b/>
              </w:rPr>
              <w:t xml:space="preserve">Limitaciones detectadas por su entidad en la aplicación del Marco Normativo - NICSP </w:t>
            </w:r>
          </w:p>
          <w:p w14:paraId="7BF0CCB9" w14:textId="77777777" w:rsidR="004962D9" w:rsidRPr="00F63FFA" w:rsidRDefault="004962D9" w:rsidP="00D4226B">
            <w:pPr>
              <w:tabs>
                <w:tab w:val="left" w:pos="875"/>
              </w:tabs>
              <w:jc w:val="center"/>
              <w:rPr>
                <w:rFonts w:ascii="Arial" w:hAnsi="Arial" w:cs="Arial"/>
                <w:b/>
              </w:rPr>
            </w:pPr>
            <w:r w:rsidRPr="00F63FFA">
              <w:rPr>
                <w:rFonts w:ascii="Arial" w:hAnsi="Arial" w:cs="Arial"/>
                <w:b/>
              </w:rPr>
              <w:t>a 31/12/2024</w:t>
            </w:r>
          </w:p>
          <w:p w14:paraId="5FEACE97" w14:textId="77777777" w:rsidR="004962D9" w:rsidRPr="00F63FFA" w:rsidRDefault="004962D9" w:rsidP="00D4226B">
            <w:pPr>
              <w:tabs>
                <w:tab w:val="left" w:pos="875"/>
              </w:tabs>
              <w:jc w:val="center"/>
              <w:rPr>
                <w:rFonts w:ascii="Arial" w:hAnsi="Arial" w:cs="Arial"/>
                <w:b/>
              </w:rPr>
            </w:pPr>
          </w:p>
        </w:tc>
        <w:tc>
          <w:tcPr>
            <w:tcW w:w="5244" w:type="dxa"/>
          </w:tcPr>
          <w:p w14:paraId="4E045A96" w14:textId="77777777" w:rsidR="004962D9" w:rsidRPr="00F63FFA" w:rsidRDefault="004962D9" w:rsidP="00D4226B">
            <w:pPr>
              <w:tabs>
                <w:tab w:val="left" w:pos="875"/>
              </w:tabs>
              <w:jc w:val="center"/>
              <w:rPr>
                <w:rFonts w:ascii="Arial" w:hAnsi="Arial" w:cs="Arial"/>
                <w:b/>
              </w:rPr>
            </w:pPr>
            <w:r w:rsidRPr="00F63FFA">
              <w:rPr>
                <w:rFonts w:ascii="Arial" w:hAnsi="Arial" w:cs="Arial"/>
                <w:b/>
              </w:rPr>
              <w:t>Descripción de la limitación</w:t>
            </w:r>
          </w:p>
        </w:tc>
      </w:tr>
      <w:tr w:rsidR="004962D9" w:rsidRPr="00F63FFA" w14:paraId="2253E172" w14:textId="77777777" w:rsidTr="00925DCE">
        <w:tc>
          <w:tcPr>
            <w:tcW w:w="867" w:type="dxa"/>
          </w:tcPr>
          <w:p w14:paraId="51E7EC33" w14:textId="77777777" w:rsidR="004962D9" w:rsidRPr="00F63FFA" w:rsidRDefault="004962D9" w:rsidP="00D4226B">
            <w:pPr>
              <w:tabs>
                <w:tab w:val="left" w:pos="875"/>
              </w:tabs>
              <w:jc w:val="center"/>
              <w:rPr>
                <w:rFonts w:ascii="Arial" w:hAnsi="Arial" w:cs="Arial"/>
                <w:b/>
              </w:rPr>
            </w:pPr>
            <w:r w:rsidRPr="00F63FFA">
              <w:rPr>
                <w:rFonts w:ascii="Arial" w:hAnsi="Arial" w:cs="Arial"/>
                <w:b/>
              </w:rPr>
              <w:t>1</w:t>
            </w:r>
          </w:p>
        </w:tc>
        <w:tc>
          <w:tcPr>
            <w:tcW w:w="4379" w:type="dxa"/>
          </w:tcPr>
          <w:p w14:paraId="495D39D7" w14:textId="77777777" w:rsidR="004962D9" w:rsidRPr="00F63FFA" w:rsidRDefault="004962D9" w:rsidP="00D4226B">
            <w:pPr>
              <w:tabs>
                <w:tab w:val="left" w:pos="875"/>
              </w:tabs>
              <w:jc w:val="both"/>
              <w:rPr>
                <w:rFonts w:ascii="Arial" w:hAnsi="Arial" w:cs="Arial"/>
                <w:b/>
              </w:rPr>
            </w:pPr>
            <w:r w:rsidRPr="00F63FFA">
              <w:rPr>
                <w:rFonts w:ascii="Arial" w:hAnsi="Arial" w:cs="Arial"/>
                <w:b/>
              </w:rPr>
              <w:t>Académicas:</w:t>
            </w:r>
          </w:p>
        </w:tc>
        <w:tc>
          <w:tcPr>
            <w:tcW w:w="5244" w:type="dxa"/>
          </w:tcPr>
          <w:p w14:paraId="1880DABA" w14:textId="77777777" w:rsidR="004962D9" w:rsidRPr="00F63FFA" w:rsidRDefault="004962D9" w:rsidP="00D4226B">
            <w:pPr>
              <w:tabs>
                <w:tab w:val="left" w:pos="875"/>
              </w:tabs>
              <w:jc w:val="both"/>
              <w:rPr>
                <w:rFonts w:ascii="Arial" w:hAnsi="Arial" w:cs="Arial"/>
              </w:rPr>
            </w:pPr>
            <w:r w:rsidRPr="00F63FFA">
              <w:rPr>
                <w:rFonts w:ascii="Arial" w:hAnsi="Arial" w:cs="Arial"/>
                <w:lang w:val="es-CO"/>
              </w:rPr>
              <w:t>Falta de capacitaciones, que sean más frecuentes</w:t>
            </w:r>
          </w:p>
        </w:tc>
      </w:tr>
      <w:tr w:rsidR="004962D9" w:rsidRPr="00F63FFA" w14:paraId="729EDA57" w14:textId="77777777" w:rsidTr="00925DCE">
        <w:tc>
          <w:tcPr>
            <w:tcW w:w="867" w:type="dxa"/>
          </w:tcPr>
          <w:p w14:paraId="06FC9E05" w14:textId="77777777" w:rsidR="004962D9" w:rsidRPr="00F63FFA" w:rsidRDefault="004962D9" w:rsidP="00D4226B">
            <w:pPr>
              <w:tabs>
                <w:tab w:val="left" w:pos="875"/>
              </w:tabs>
              <w:jc w:val="center"/>
              <w:rPr>
                <w:rFonts w:ascii="Arial" w:hAnsi="Arial" w:cs="Arial"/>
                <w:b/>
              </w:rPr>
            </w:pPr>
            <w:r w:rsidRPr="00F63FFA">
              <w:rPr>
                <w:rFonts w:ascii="Arial" w:hAnsi="Arial" w:cs="Arial"/>
                <w:b/>
              </w:rPr>
              <w:t>2</w:t>
            </w:r>
          </w:p>
        </w:tc>
        <w:tc>
          <w:tcPr>
            <w:tcW w:w="4379" w:type="dxa"/>
          </w:tcPr>
          <w:p w14:paraId="2446E3DC" w14:textId="77777777" w:rsidR="004962D9" w:rsidRPr="00F63FFA" w:rsidRDefault="004962D9" w:rsidP="00D4226B">
            <w:pPr>
              <w:tabs>
                <w:tab w:val="left" w:pos="875"/>
              </w:tabs>
              <w:jc w:val="both"/>
              <w:rPr>
                <w:rFonts w:ascii="Arial" w:hAnsi="Arial" w:cs="Arial"/>
                <w:b/>
              </w:rPr>
            </w:pPr>
            <w:r w:rsidRPr="00F63FFA">
              <w:rPr>
                <w:rFonts w:ascii="Arial" w:hAnsi="Arial" w:cs="Arial"/>
                <w:b/>
              </w:rPr>
              <w:t>Operativas:</w:t>
            </w:r>
          </w:p>
        </w:tc>
        <w:tc>
          <w:tcPr>
            <w:tcW w:w="5244" w:type="dxa"/>
          </w:tcPr>
          <w:p w14:paraId="4EA031AF" w14:textId="77777777" w:rsidR="004962D9" w:rsidRPr="00F63FFA" w:rsidRDefault="004962D9" w:rsidP="00D4226B">
            <w:pPr>
              <w:tabs>
                <w:tab w:val="left" w:pos="875"/>
              </w:tabs>
              <w:jc w:val="both"/>
              <w:rPr>
                <w:rFonts w:ascii="Arial" w:hAnsi="Arial" w:cs="Arial"/>
              </w:rPr>
            </w:pPr>
            <w:r w:rsidRPr="00F63FFA">
              <w:rPr>
                <w:rFonts w:ascii="Arial" w:hAnsi="Arial" w:cs="Arial"/>
                <w:lang w:val="es-CO"/>
              </w:rPr>
              <w:t>Rotación del personal de planta y rotación del personal de contratos de prestación de servicios, insuficiencia en el personal de planta</w:t>
            </w:r>
          </w:p>
        </w:tc>
      </w:tr>
    </w:tbl>
    <w:p w14:paraId="532B3EA7" w14:textId="77777777" w:rsidR="004962D9" w:rsidRDefault="004962D9" w:rsidP="004962D9">
      <w:pPr>
        <w:ind w:left="-284" w:right="283"/>
        <w:jc w:val="both"/>
        <w:rPr>
          <w:rFonts w:ascii="Arial" w:eastAsia="Trebuchet MS" w:hAnsi="Arial" w:cs="Arial"/>
          <w:b/>
          <w:sz w:val="32"/>
          <w:szCs w:val="32"/>
          <w:u w:val="single"/>
          <w:lang w:eastAsia="es-CO"/>
        </w:rPr>
      </w:pPr>
    </w:p>
    <w:p w14:paraId="3D0F8108" w14:textId="77777777" w:rsidR="004962D9" w:rsidRPr="00222115" w:rsidRDefault="004962D9" w:rsidP="00925DCE">
      <w:pPr>
        <w:ind w:left="-284" w:right="-234"/>
        <w:jc w:val="both"/>
        <w:rPr>
          <w:rFonts w:ascii="Arial" w:hAnsi="Arial" w:cs="Arial"/>
          <w:b/>
          <w:sz w:val="28"/>
          <w:szCs w:val="28"/>
          <w:lang w:val="es-MX"/>
        </w:rPr>
      </w:pPr>
      <w:r w:rsidRPr="00222115">
        <w:rPr>
          <w:rFonts w:ascii="Arial" w:hAnsi="Arial" w:cs="Arial"/>
          <w:b/>
          <w:sz w:val="28"/>
          <w:szCs w:val="28"/>
          <w:lang w:val="es-MX"/>
        </w:rPr>
        <w:t>300.- SUPERINTENDENCIA DE LA ECONOMIA SOLIDARIA - SUPERSOLIDARIA.</w:t>
      </w:r>
    </w:p>
    <w:p w14:paraId="16D5ED1F" w14:textId="77777777" w:rsidR="004962D9" w:rsidRDefault="004962D9" w:rsidP="004962D9">
      <w:pPr>
        <w:ind w:left="-284" w:right="28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1D540E" w14:paraId="7B82D2EC" w14:textId="77777777" w:rsidTr="00925DCE">
        <w:tc>
          <w:tcPr>
            <w:tcW w:w="867" w:type="dxa"/>
          </w:tcPr>
          <w:p w14:paraId="27F6703E" w14:textId="77777777" w:rsidR="004962D9" w:rsidRPr="001D540E" w:rsidRDefault="004962D9" w:rsidP="00D4226B">
            <w:pPr>
              <w:tabs>
                <w:tab w:val="left" w:pos="875"/>
              </w:tabs>
              <w:jc w:val="center"/>
              <w:rPr>
                <w:rFonts w:ascii="Arial" w:hAnsi="Arial" w:cs="Arial"/>
                <w:b/>
              </w:rPr>
            </w:pPr>
            <w:r w:rsidRPr="001D540E">
              <w:rPr>
                <w:rFonts w:ascii="Arial" w:hAnsi="Arial" w:cs="Arial"/>
                <w:b/>
              </w:rPr>
              <w:t>N°</w:t>
            </w:r>
          </w:p>
        </w:tc>
        <w:tc>
          <w:tcPr>
            <w:tcW w:w="4379" w:type="dxa"/>
          </w:tcPr>
          <w:p w14:paraId="343CB3EB" w14:textId="77777777" w:rsidR="004962D9" w:rsidRPr="001D540E" w:rsidRDefault="004962D9" w:rsidP="00D4226B">
            <w:pPr>
              <w:tabs>
                <w:tab w:val="left" w:pos="875"/>
              </w:tabs>
              <w:jc w:val="center"/>
              <w:rPr>
                <w:rFonts w:ascii="Arial" w:hAnsi="Arial" w:cs="Arial"/>
                <w:b/>
              </w:rPr>
            </w:pPr>
            <w:r w:rsidRPr="001D540E">
              <w:rPr>
                <w:rFonts w:ascii="Arial" w:hAnsi="Arial" w:cs="Arial"/>
                <w:b/>
              </w:rPr>
              <w:t xml:space="preserve">Limitaciones detectadas por su entidad en la aplicación del Marco Normativo - NICSP </w:t>
            </w:r>
          </w:p>
          <w:p w14:paraId="17CF1D75" w14:textId="77777777" w:rsidR="004962D9" w:rsidRPr="001D540E" w:rsidRDefault="004962D9" w:rsidP="00D4226B">
            <w:pPr>
              <w:tabs>
                <w:tab w:val="left" w:pos="875"/>
              </w:tabs>
              <w:jc w:val="center"/>
              <w:rPr>
                <w:rFonts w:ascii="Arial" w:hAnsi="Arial" w:cs="Arial"/>
                <w:b/>
              </w:rPr>
            </w:pPr>
            <w:r w:rsidRPr="001D540E">
              <w:rPr>
                <w:rFonts w:ascii="Arial" w:hAnsi="Arial" w:cs="Arial"/>
                <w:b/>
              </w:rPr>
              <w:t>a 31/12/2024</w:t>
            </w:r>
          </w:p>
          <w:p w14:paraId="7FA9D83C" w14:textId="77777777" w:rsidR="004962D9" w:rsidRPr="001D540E" w:rsidRDefault="004962D9" w:rsidP="00D4226B">
            <w:pPr>
              <w:tabs>
                <w:tab w:val="left" w:pos="875"/>
              </w:tabs>
              <w:jc w:val="center"/>
              <w:rPr>
                <w:rFonts w:ascii="Arial" w:hAnsi="Arial" w:cs="Arial"/>
                <w:b/>
              </w:rPr>
            </w:pPr>
          </w:p>
        </w:tc>
        <w:tc>
          <w:tcPr>
            <w:tcW w:w="5244" w:type="dxa"/>
          </w:tcPr>
          <w:p w14:paraId="31D9619F" w14:textId="77777777" w:rsidR="004962D9" w:rsidRPr="001D540E" w:rsidRDefault="004962D9" w:rsidP="00D4226B">
            <w:pPr>
              <w:tabs>
                <w:tab w:val="left" w:pos="875"/>
              </w:tabs>
              <w:jc w:val="center"/>
              <w:rPr>
                <w:rFonts w:ascii="Arial" w:hAnsi="Arial" w:cs="Arial"/>
                <w:b/>
              </w:rPr>
            </w:pPr>
            <w:r w:rsidRPr="001D540E">
              <w:rPr>
                <w:rFonts w:ascii="Arial" w:hAnsi="Arial" w:cs="Arial"/>
                <w:b/>
              </w:rPr>
              <w:t>Descripción de la limitación</w:t>
            </w:r>
          </w:p>
        </w:tc>
      </w:tr>
      <w:tr w:rsidR="004962D9" w:rsidRPr="001D540E" w14:paraId="7B5F9441" w14:textId="77777777" w:rsidTr="00925DCE">
        <w:tc>
          <w:tcPr>
            <w:tcW w:w="867" w:type="dxa"/>
          </w:tcPr>
          <w:p w14:paraId="64E2907B" w14:textId="77777777" w:rsidR="004962D9" w:rsidRPr="001D540E" w:rsidRDefault="004962D9" w:rsidP="00D4226B">
            <w:pPr>
              <w:tabs>
                <w:tab w:val="left" w:pos="875"/>
              </w:tabs>
              <w:jc w:val="center"/>
              <w:rPr>
                <w:rFonts w:ascii="Arial" w:hAnsi="Arial" w:cs="Arial"/>
                <w:b/>
              </w:rPr>
            </w:pPr>
            <w:r w:rsidRPr="001D540E">
              <w:rPr>
                <w:rFonts w:ascii="Arial" w:hAnsi="Arial" w:cs="Arial"/>
                <w:b/>
              </w:rPr>
              <w:t>1</w:t>
            </w:r>
          </w:p>
        </w:tc>
        <w:tc>
          <w:tcPr>
            <w:tcW w:w="4379" w:type="dxa"/>
          </w:tcPr>
          <w:p w14:paraId="62CDBC7D" w14:textId="77777777" w:rsidR="004962D9" w:rsidRPr="001D540E" w:rsidRDefault="004962D9" w:rsidP="00D4226B">
            <w:pPr>
              <w:tabs>
                <w:tab w:val="left" w:pos="875"/>
              </w:tabs>
              <w:jc w:val="both"/>
              <w:rPr>
                <w:rFonts w:ascii="Arial" w:hAnsi="Arial" w:cs="Arial"/>
                <w:b/>
              </w:rPr>
            </w:pPr>
            <w:r w:rsidRPr="001D540E">
              <w:rPr>
                <w:rFonts w:ascii="Arial" w:hAnsi="Arial" w:cs="Arial"/>
                <w:b/>
              </w:rPr>
              <w:t>Presupuestales:</w:t>
            </w:r>
          </w:p>
        </w:tc>
        <w:tc>
          <w:tcPr>
            <w:tcW w:w="5244" w:type="dxa"/>
          </w:tcPr>
          <w:p w14:paraId="09C4E047" w14:textId="77777777" w:rsidR="004962D9" w:rsidRPr="001D540E" w:rsidRDefault="004962D9" w:rsidP="00D4226B">
            <w:pPr>
              <w:tabs>
                <w:tab w:val="left" w:pos="875"/>
              </w:tabs>
              <w:jc w:val="both"/>
              <w:rPr>
                <w:rFonts w:ascii="Arial" w:hAnsi="Arial" w:cs="Arial"/>
              </w:rPr>
            </w:pPr>
            <w:r w:rsidRPr="001D540E">
              <w:rPr>
                <w:rFonts w:ascii="Arial" w:hAnsi="Arial" w:cs="Arial"/>
              </w:rPr>
              <w:t>Atendiendo el informe final de auditoría a Proyectos de Inversión aplicada a las vigencias 2018 a corte junio de 2024 realizada por la Contraloría General de la República (CGR), según informe con radicado 2024EE0244392, en lo correspondiente a la gestión contable y presupuestal de ingresos para los mencionados años; fue</w:t>
            </w:r>
          </w:p>
          <w:p w14:paraId="60DCC79A" w14:textId="77777777" w:rsidR="004962D9" w:rsidRPr="001D540E" w:rsidRDefault="004962D9" w:rsidP="00D4226B">
            <w:pPr>
              <w:tabs>
                <w:tab w:val="left" w:pos="875"/>
              </w:tabs>
              <w:jc w:val="both"/>
              <w:rPr>
                <w:rFonts w:ascii="Arial" w:hAnsi="Arial" w:cs="Arial"/>
              </w:rPr>
            </w:pPr>
            <w:r w:rsidRPr="001D540E">
              <w:rPr>
                <w:rFonts w:ascii="Arial" w:hAnsi="Arial" w:cs="Arial"/>
              </w:rPr>
              <w:t xml:space="preserve">observado disimilitudes en la causación contable y presupuestal de los Excedentes Financieros asignados mediante documento del Consejo Nacional de Política Económica y Social (CONPES) a la Superintendencia de la Economía Solidaria. </w:t>
            </w:r>
          </w:p>
          <w:p w14:paraId="10E2478C" w14:textId="77777777" w:rsidR="004962D9" w:rsidRPr="001D540E" w:rsidRDefault="004962D9" w:rsidP="00D4226B">
            <w:pPr>
              <w:tabs>
                <w:tab w:val="left" w:pos="875"/>
              </w:tabs>
              <w:jc w:val="both"/>
              <w:rPr>
                <w:rFonts w:ascii="Arial" w:hAnsi="Arial" w:cs="Arial"/>
              </w:rPr>
            </w:pPr>
          </w:p>
          <w:p w14:paraId="53DF8F37" w14:textId="77777777" w:rsidR="004962D9" w:rsidRPr="001D540E" w:rsidRDefault="004962D9" w:rsidP="00D4226B">
            <w:pPr>
              <w:tabs>
                <w:tab w:val="left" w:pos="875"/>
              </w:tabs>
              <w:jc w:val="both"/>
              <w:rPr>
                <w:rFonts w:ascii="Arial" w:hAnsi="Arial" w:cs="Arial"/>
              </w:rPr>
            </w:pPr>
            <w:r w:rsidRPr="001D540E">
              <w:rPr>
                <w:rFonts w:ascii="Arial" w:hAnsi="Arial" w:cs="Arial"/>
              </w:rPr>
              <w:t>Mediante radicado No. 20240010066312 del 20 de diciembre de 2024 la Secretaría General, solicitó concepto a la Contaduría General de la Nación (CGN) de aplicabilidad al procedimiento de Gestión Contable de recursos Nación para la causación de excedentes financieros para entidades que manejan recursos propios y a las cuales corresponde el 100%, según formalidades del</w:t>
            </w:r>
          </w:p>
          <w:p w14:paraId="42860427" w14:textId="77777777" w:rsidR="004962D9" w:rsidRPr="001D540E" w:rsidRDefault="004962D9" w:rsidP="00D4226B">
            <w:pPr>
              <w:tabs>
                <w:tab w:val="left" w:pos="875"/>
              </w:tabs>
              <w:jc w:val="both"/>
              <w:rPr>
                <w:rFonts w:ascii="Arial" w:hAnsi="Arial" w:cs="Arial"/>
              </w:rPr>
            </w:pPr>
            <w:r w:rsidRPr="001D540E">
              <w:rPr>
                <w:rFonts w:ascii="Arial" w:hAnsi="Arial" w:cs="Arial"/>
              </w:rPr>
              <w:t>documento CONPES; de cara a las observaciones generadas por la CGR, en cuanto a materialidad de los Estados Financieros y la fiabilidad de los mismos.</w:t>
            </w:r>
          </w:p>
          <w:p w14:paraId="2A5A1779" w14:textId="77777777" w:rsidR="004962D9" w:rsidRPr="001D540E" w:rsidRDefault="004962D9" w:rsidP="00D4226B">
            <w:pPr>
              <w:tabs>
                <w:tab w:val="left" w:pos="875"/>
              </w:tabs>
              <w:jc w:val="both"/>
              <w:rPr>
                <w:rFonts w:ascii="Arial" w:hAnsi="Arial" w:cs="Arial"/>
              </w:rPr>
            </w:pPr>
          </w:p>
          <w:p w14:paraId="5D43457C" w14:textId="77777777" w:rsidR="004962D9" w:rsidRPr="001D540E" w:rsidRDefault="004962D9" w:rsidP="00D4226B">
            <w:pPr>
              <w:tabs>
                <w:tab w:val="left" w:pos="875"/>
              </w:tabs>
              <w:jc w:val="both"/>
              <w:rPr>
                <w:rFonts w:ascii="Arial" w:hAnsi="Arial" w:cs="Arial"/>
              </w:rPr>
            </w:pPr>
            <w:r w:rsidRPr="001D540E">
              <w:rPr>
                <w:rFonts w:ascii="Arial" w:hAnsi="Arial" w:cs="Arial"/>
              </w:rPr>
              <w:t xml:space="preserve">La respuesta a esta solicitud fue emitida por la Contaduría General de la Nación (CGN), bajo radicado No. 20251100002611 del 05 de febrero de 2025, y radicado posteriormente a la Superintendencia de la Economía Solidaria, al terminar las fechas estipuladas en el Instructivo No. 001 de 2024, para el cierre contable del mes de diciembre de 2024, por lo que no fue posible su aplicación en el mencionado cierre. </w:t>
            </w:r>
          </w:p>
          <w:p w14:paraId="78CD9FA7" w14:textId="77777777" w:rsidR="004962D9" w:rsidRPr="001D540E" w:rsidRDefault="004962D9" w:rsidP="00D4226B">
            <w:pPr>
              <w:tabs>
                <w:tab w:val="left" w:pos="875"/>
              </w:tabs>
              <w:jc w:val="both"/>
              <w:rPr>
                <w:rFonts w:ascii="Arial" w:hAnsi="Arial" w:cs="Arial"/>
              </w:rPr>
            </w:pPr>
          </w:p>
          <w:p w14:paraId="0372C24E" w14:textId="77777777" w:rsidR="004962D9" w:rsidRPr="001D540E" w:rsidRDefault="004962D9" w:rsidP="00D4226B">
            <w:pPr>
              <w:tabs>
                <w:tab w:val="left" w:pos="875"/>
              </w:tabs>
              <w:jc w:val="both"/>
              <w:rPr>
                <w:rFonts w:ascii="Arial" w:hAnsi="Arial" w:cs="Arial"/>
              </w:rPr>
            </w:pPr>
            <w:r w:rsidRPr="001D540E">
              <w:rPr>
                <w:rFonts w:ascii="Arial" w:hAnsi="Arial" w:cs="Arial"/>
              </w:rPr>
              <w:lastRenderedPageBreak/>
              <w:t xml:space="preserve">Ahora bien, dicho concepto será aplicado durante la vigencia 2025, atendiendo las características de los Excedentes Financieros percibidos por la Superintendencia de la Economía Solidaria, por su naturaleza de tasa-recursos propios, que conforme a lo estipulado por documento CONPES, corresponde su asignación y reconocimiento en un 100% a la Superintendencia; distando de la aplicabilidad del procedimiento de recursos nación propuesto por la CGN. </w:t>
            </w:r>
          </w:p>
          <w:p w14:paraId="6494EEE5" w14:textId="77777777" w:rsidR="004962D9" w:rsidRPr="001D540E" w:rsidRDefault="004962D9" w:rsidP="00D4226B">
            <w:pPr>
              <w:tabs>
                <w:tab w:val="left" w:pos="875"/>
              </w:tabs>
              <w:jc w:val="both"/>
              <w:rPr>
                <w:rFonts w:ascii="Arial" w:hAnsi="Arial" w:cs="Arial"/>
              </w:rPr>
            </w:pPr>
          </w:p>
          <w:p w14:paraId="409DA8C0" w14:textId="77777777" w:rsidR="004962D9" w:rsidRPr="001D540E" w:rsidRDefault="004962D9" w:rsidP="00D4226B">
            <w:pPr>
              <w:tabs>
                <w:tab w:val="left" w:pos="875"/>
              </w:tabs>
              <w:jc w:val="both"/>
              <w:rPr>
                <w:rFonts w:ascii="Arial" w:hAnsi="Arial" w:cs="Arial"/>
              </w:rPr>
            </w:pPr>
            <w:r w:rsidRPr="001D540E">
              <w:rPr>
                <w:rFonts w:ascii="Arial" w:hAnsi="Arial" w:cs="Arial"/>
              </w:rPr>
              <w:t>Es importante anotar que la aplicación realizada por la Contaduría General de la Nación (CGN) al concepto de excedentes financieros, no obedece a la realidad de la Superintendencia de la Economía Solidaria, toda vez que, el aforo de recursos, se tipifican como propios a diferencia de otras entidades.</w:t>
            </w:r>
          </w:p>
        </w:tc>
      </w:tr>
    </w:tbl>
    <w:p w14:paraId="1CC77EE5" w14:textId="77777777" w:rsidR="004962D9" w:rsidRDefault="004962D9" w:rsidP="004962D9">
      <w:pPr>
        <w:ind w:left="-284" w:right="283"/>
        <w:jc w:val="both"/>
        <w:rPr>
          <w:rFonts w:ascii="Arial" w:eastAsia="Trebuchet MS" w:hAnsi="Arial" w:cs="Arial"/>
          <w:b/>
          <w:sz w:val="32"/>
          <w:szCs w:val="32"/>
          <w:u w:val="single"/>
          <w:lang w:eastAsia="es-CO"/>
        </w:rPr>
      </w:pPr>
    </w:p>
    <w:p w14:paraId="2C5BE5A5" w14:textId="77777777" w:rsidR="004962D9" w:rsidRPr="0097603C" w:rsidRDefault="004962D9" w:rsidP="004962D9">
      <w:pPr>
        <w:ind w:left="-284"/>
        <w:jc w:val="both"/>
        <w:rPr>
          <w:rFonts w:ascii="Arial" w:hAnsi="Arial" w:cs="Arial"/>
          <w:b/>
          <w:sz w:val="28"/>
          <w:szCs w:val="28"/>
          <w:lang w:val="es-MX"/>
        </w:rPr>
      </w:pPr>
      <w:bookmarkStart w:id="38" w:name="_Hlk204950245"/>
      <w:r w:rsidRPr="0097603C">
        <w:rPr>
          <w:rFonts w:ascii="Arial" w:hAnsi="Arial" w:cs="Arial"/>
          <w:b/>
          <w:sz w:val="28"/>
          <w:szCs w:val="28"/>
          <w:lang w:val="es-MX"/>
        </w:rPr>
        <w:t xml:space="preserve">306.- </w:t>
      </w:r>
      <w:r w:rsidRPr="0097603C">
        <w:rPr>
          <w:rFonts w:ascii="Arial" w:hAnsi="Arial" w:cs="Arial"/>
          <w:b/>
          <w:sz w:val="28"/>
          <w:szCs w:val="28"/>
        </w:rPr>
        <w:t>MINISTERIO</w:t>
      </w:r>
      <w:r w:rsidRPr="0097603C">
        <w:rPr>
          <w:rFonts w:ascii="Arial" w:hAnsi="Arial" w:cs="Arial"/>
          <w:b/>
          <w:spacing w:val="-12"/>
          <w:sz w:val="28"/>
          <w:szCs w:val="28"/>
        </w:rPr>
        <w:t xml:space="preserve"> </w:t>
      </w:r>
      <w:r w:rsidRPr="0097603C">
        <w:rPr>
          <w:rFonts w:ascii="Arial" w:hAnsi="Arial" w:cs="Arial"/>
          <w:b/>
          <w:sz w:val="28"/>
          <w:szCs w:val="28"/>
        </w:rPr>
        <w:t>DE</w:t>
      </w:r>
      <w:r w:rsidRPr="0097603C">
        <w:rPr>
          <w:rFonts w:ascii="Arial" w:hAnsi="Arial" w:cs="Arial"/>
          <w:b/>
          <w:spacing w:val="-9"/>
          <w:sz w:val="28"/>
          <w:szCs w:val="28"/>
        </w:rPr>
        <w:t xml:space="preserve"> </w:t>
      </w:r>
      <w:r w:rsidRPr="0097603C">
        <w:rPr>
          <w:rFonts w:ascii="Arial" w:hAnsi="Arial" w:cs="Arial"/>
          <w:b/>
          <w:sz w:val="28"/>
          <w:szCs w:val="28"/>
        </w:rPr>
        <w:t>DEFENSA</w:t>
      </w:r>
      <w:r w:rsidRPr="0097603C">
        <w:rPr>
          <w:rFonts w:ascii="Arial" w:hAnsi="Arial" w:cs="Arial"/>
          <w:b/>
          <w:spacing w:val="-9"/>
          <w:sz w:val="28"/>
          <w:szCs w:val="28"/>
        </w:rPr>
        <w:t xml:space="preserve"> </w:t>
      </w:r>
      <w:r w:rsidRPr="0097603C">
        <w:rPr>
          <w:rFonts w:ascii="Arial" w:hAnsi="Arial" w:cs="Arial"/>
          <w:b/>
          <w:sz w:val="28"/>
          <w:szCs w:val="28"/>
        </w:rPr>
        <w:t>NACIONAL</w:t>
      </w:r>
      <w:r w:rsidRPr="0097603C">
        <w:rPr>
          <w:rFonts w:ascii="Arial" w:hAnsi="Arial" w:cs="Arial"/>
          <w:b/>
          <w:sz w:val="28"/>
          <w:szCs w:val="28"/>
          <w:lang w:val="es-MX"/>
        </w:rPr>
        <w:t xml:space="preserve"> CONSOLIDADO.</w:t>
      </w:r>
    </w:p>
    <w:bookmarkEnd w:id="38"/>
    <w:p w14:paraId="5C85A53C" w14:textId="77777777" w:rsidR="004962D9" w:rsidRDefault="004962D9" w:rsidP="004962D9">
      <w:pPr>
        <w:ind w:left="-284" w:right="28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3B1D85" w14:paraId="33DBA930" w14:textId="77777777" w:rsidTr="00D4226B">
        <w:tc>
          <w:tcPr>
            <w:tcW w:w="867" w:type="dxa"/>
          </w:tcPr>
          <w:p w14:paraId="0E20D4C7"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N°</w:t>
            </w:r>
          </w:p>
        </w:tc>
        <w:tc>
          <w:tcPr>
            <w:tcW w:w="4379" w:type="dxa"/>
          </w:tcPr>
          <w:p w14:paraId="1C8F91F0"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Limitaciones detectadas por su entidad en</w:t>
            </w:r>
          </w:p>
          <w:p w14:paraId="4ADE6E24"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 xml:space="preserve"> la aplicación del Marco Normativo - NICSP </w:t>
            </w:r>
          </w:p>
          <w:p w14:paraId="52343FA2"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a 31/12/2024</w:t>
            </w:r>
          </w:p>
          <w:p w14:paraId="3979FA8D" w14:textId="77777777" w:rsidR="004962D9" w:rsidRPr="003B1D85" w:rsidRDefault="004962D9" w:rsidP="00D4226B">
            <w:pPr>
              <w:tabs>
                <w:tab w:val="left" w:pos="875"/>
              </w:tabs>
              <w:ind w:right="-50"/>
              <w:jc w:val="center"/>
              <w:rPr>
                <w:rFonts w:ascii="Arial" w:hAnsi="Arial" w:cs="Arial"/>
                <w:b/>
              </w:rPr>
            </w:pPr>
          </w:p>
        </w:tc>
        <w:tc>
          <w:tcPr>
            <w:tcW w:w="5244" w:type="dxa"/>
          </w:tcPr>
          <w:p w14:paraId="178DBEC1"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Descripción de la limitación</w:t>
            </w:r>
          </w:p>
        </w:tc>
      </w:tr>
      <w:tr w:rsidR="004962D9" w:rsidRPr="003B1D85" w14:paraId="3ACEA1B0" w14:textId="77777777" w:rsidTr="00D4226B">
        <w:tc>
          <w:tcPr>
            <w:tcW w:w="867" w:type="dxa"/>
          </w:tcPr>
          <w:p w14:paraId="0CF65D53"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1</w:t>
            </w:r>
          </w:p>
        </w:tc>
        <w:tc>
          <w:tcPr>
            <w:tcW w:w="4379" w:type="dxa"/>
          </w:tcPr>
          <w:p w14:paraId="6266E62F" w14:textId="77777777" w:rsidR="004962D9" w:rsidRPr="003B1D85" w:rsidRDefault="004962D9" w:rsidP="00D4226B">
            <w:pPr>
              <w:tabs>
                <w:tab w:val="left" w:pos="875"/>
              </w:tabs>
              <w:ind w:right="-50"/>
              <w:jc w:val="both"/>
              <w:rPr>
                <w:rFonts w:ascii="Arial" w:hAnsi="Arial" w:cs="Arial"/>
                <w:b/>
              </w:rPr>
            </w:pPr>
            <w:r w:rsidRPr="003B1D85">
              <w:rPr>
                <w:rFonts w:ascii="Arial" w:hAnsi="Arial" w:cs="Arial"/>
                <w:b/>
              </w:rPr>
              <w:t>Normativas:</w:t>
            </w:r>
          </w:p>
        </w:tc>
        <w:tc>
          <w:tcPr>
            <w:tcW w:w="5244" w:type="dxa"/>
            <w:vAlign w:val="center"/>
          </w:tcPr>
          <w:p w14:paraId="20997949"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Integrar los lineamientos relacionados con el catálogo de clasificación presupuestal de gastos e ingresos y el catálogo general de cuentas de la CGN.</w:t>
            </w:r>
          </w:p>
        </w:tc>
      </w:tr>
      <w:tr w:rsidR="004962D9" w:rsidRPr="003B1D85" w14:paraId="4ACF66AF" w14:textId="77777777" w:rsidTr="00D4226B">
        <w:tc>
          <w:tcPr>
            <w:tcW w:w="867" w:type="dxa"/>
          </w:tcPr>
          <w:p w14:paraId="241DB14F"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2</w:t>
            </w:r>
          </w:p>
        </w:tc>
        <w:tc>
          <w:tcPr>
            <w:tcW w:w="4379" w:type="dxa"/>
          </w:tcPr>
          <w:p w14:paraId="2227EB68" w14:textId="77777777" w:rsidR="004962D9" w:rsidRPr="003B1D85" w:rsidRDefault="004962D9" w:rsidP="00D4226B">
            <w:pPr>
              <w:tabs>
                <w:tab w:val="left" w:pos="875"/>
              </w:tabs>
              <w:ind w:right="-50"/>
              <w:jc w:val="both"/>
              <w:rPr>
                <w:rFonts w:ascii="Arial" w:hAnsi="Arial" w:cs="Arial"/>
                <w:b/>
              </w:rPr>
            </w:pPr>
            <w:r w:rsidRPr="003B1D85">
              <w:rPr>
                <w:rFonts w:ascii="Arial" w:hAnsi="Arial" w:cs="Arial"/>
                <w:b/>
              </w:rPr>
              <w:t>Académicas:</w:t>
            </w:r>
          </w:p>
        </w:tc>
        <w:tc>
          <w:tcPr>
            <w:tcW w:w="5244" w:type="dxa"/>
            <w:vAlign w:val="center"/>
          </w:tcPr>
          <w:p w14:paraId="707EC819"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Se requiere que el ente rector desarrolle capacitaciones sobre los temas de mayor impacto en la generación de información contable, en la cual participen el nivel directivo y administrativo asociados a los procesos. (Beneficios a Empleados, Proceso litigioso, gestión contractual, administración de propiedades, planta y equipo).</w:t>
            </w:r>
          </w:p>
        </w:tc>
      </w:tr>
      <w:tr w:rsidR="004962D9" w:rsidRPr="003B1D85" w14:paraId="5A1B958C" w14:textId="77777777" w:rsidTr="00D4226B">
        <w:tc>
          <w:tcPr>
            <w:tcW w:w="867" w:type="dxa"/>
          </w:tcPr>
          <w:p w14:paraId="11A32E4E"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3</w:t>
            </w:r>
          </w:p>
        </w:tc>
        <w:tc>
          <w:tcPr>
            <w:tcW w:w="4379" w:type="dxa"/>
          </w:tcPr>
          <w:p w14:paraId="3C341AF0" w14:textId="77777777" w:rsidR="004962D9" w:rsidRPr="003B1D85" w:rsidRDefault="004962D9" w:rsidP="00D4226B">
            <w:pPr>
              <w:tabs>
                <w:tab w:val="left" w:pos="875"/>
              </w:tabs>
              <w:ind w:right="-50"/>
              <w:jc w:val="both"/>
              <w:rPr>
                <w:rFonts w:ascii="Arial" w:hAnsi="Arial" w:cs="Arial"/>
                <w:b/>
              </w:rPr>
            </w:pPr>
            <w:r w:rsidRPr="003B1D85">
              <w:rPr>
                <w:rFonts w:ascii="Arial" w:hAnsi="Arial" w:cs="Arial"/>
                <w:b/>
              </w:rPr>
              <w:t>Técnicas:</w:t>
            </w:r>
          </w:p>
        </w:tc>
        <w:tc>
          <w:tcPr>
            <w:tcW w:w="5244" w:type="dxa"/>
            <w:vAlign w:val="center"/>
          </w:tcPr>
          <w:p w14:paraId="35FA304C"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Las exigencias de información financiera y administrativa del nuevo marco normativo en algunos casos desbordan la capacidad de los sistemas de información existentes.</w:t>
            </w:r>
          </w:p>
        </w:tc>
      </w:tr>
      <w:tr w:rsidR="004962D9" w:rsidRPr="003B1D85" w14:paraId="412F8F9E" w14:textId="77777777" w:rsidTr="00D4226B">
        <w:tc>
          <w:tcPr>
            <w:tcW w:w="867" w:type="dxa"/>
          </w:tcPr>
          <w:p w14:paraId="6F44EFB4"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4</w:t>
            </w:r>
          </w:p>
        </w:tc>
        <w:tc>
          <w:tcPr>
            <w:tcW w:w="4379" w:type="dxa"/>
          </w:tcPr>
          <w:p w14:paraId="42ACB00C" w14:textId="77777777" w:rsidR="004962D9" w:rsidRPr="003B1D85" w:rsidRDefault="004962D9" w:rsidP="00D4226B">
            <w:pPr>
              <w:tabs>
                <w:tab w:val="left" w:pos="875"/>
              </w:tabs>
              <w:ind w:right="-50"/>
              <w:jc w:val="both"/>
              <w:rPr>
                <w:rFonts w:ascii="Arial" w:hAnsi="Arial" w:cs="Arial"/>
                <w:b/>
              </w:rPr>
            </w:pPr>
            <w:r w:rsidRPr="003B1D85">
              <w:rPr>
                <w:rFonts w:ascii="Arial" w:hAnsi="Arial" w:cs="Arial"/>
                <w:b/>
              </w:rPr>
              <w:t>Operativas:</w:t>
            </w:r>
          </w:p>
        </w:tc>
        <w:tc>
          <w:tcPr>
            <w:tcW w:w="5244" w:type="dxa"/>
            <w:vAlign w:val="center"/>
          </w:tcPr>
          <w:p w14:paraId="75EA8650"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Los procesos de interoperabilidad de los sistemas administrativos y logísticos con el SIIF Nación, avanzan de manera lenta.</w:t>
            </w:r>
          </w:p>
        </w:tc>
      </w:tr>
      <w:tr w:rsidR="004962D9" w:rsidRPr="003B1D85" w14:paraId="6969AE75" w14:textId="77777777" w:rsidTr="00D4226B">
        <w:tc>
          <w:tcPr>
            <w:tcW w:w="867" w:type="dxa"/>
          </w:tcPr>
          <w:p w14:paraId="58A5713F"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5</w:t>
            </w:r>
          </w:p>
        </w:tc>
        <w:tc>
          <w:tcPr>
            <w:tcW w:w="4379" w:type="dxa"/>
          </w:tcPr>
          <w:p w14:paraId="5DF65759" w14:textId="77777777" w:rsidR="004962D9" w:rsidRPr="003B1D85" w:rsidRDefault="004962D9" w:rsidP="00D4226B">
            <w:pPr>
              <w:tabs>
                <w:tab w:val="left" w:pos="875"/>
              </w:tabs>
              <w:ind w:right="-50"/>
              <w:jc w:val="both"/>
              <w:rPr>
                <w:rFonts w:ascii="Arial" w:hAnsi="Arial" w:cs="Arial"/>
                <w:b/>
              </w:rPr>
            </w:pPr>
            <w:r w:rsidRPr="003B1D85">
              <w:rPr>
                <w:rFonts w:ascii="Arial" w:hAnsi="Arial" w:cs="Arial"/>
                <w:b/>
              </w:rPr>
              <w:t>Presupuestales:</w:t>
            </w:r>
          </w:p>
        </w:tc>
        <w:tc>
          <w:tcPr>
            <w:tcW w:w="5244" w:type="dxa"/>
            <w:vAlign w:val="center"/>
          </w:tcPr>
          <w:p w14:paraId="4E81ECE3"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Recursos limitados para la adecuación de los sistemas que aportan información al proceso contable.</w:t>
            </w:r>
          </w:p>
        </w:tc>
      </w:tr>
      <w:tr w:rsidR="004962D9" w:rsidRPr="003B1D85" w14:paraId="6BD66369" w14:textId="77777777" w:rsidTr="00D4226B">
        <w:tc>
          <w:tcPr>
            <w:tcW w:w="867" w:type="dxa"/>
          </w:tcPr>
          <w:p w14:paraId="1656B139" w14:textId="77777777" w:rsidR="004962D9" w:rsidRPr="003B1D85" w:rsidRDefault="004962D9" w:rsidP="00D4226B">
            <w:pPr>
              <w:tabs>
                <w:tab w:val="left" w:pos="875"/>
              </w:tabs>
              <w:ind w:right="-50"/>
              <w:jc w:val="center"/>
              <w:rPr>
                <w:rFonts w:ascii="Arial" w:hAnsi="Arial" w:cs="Arial"/>
                <w:b/>
              </w:rPr>
            </w:pPr>
            <w:r w:rsidRPr="003B1D85">
              <w:rPr>
                <w:rFonts w:ascii="Arial" w:hAnsi="Arial" w:cs="Arial"/>
                <w:b/>
              </w:rPr>
              <w:t>6</w:t>
            </w:r>
          </w:p>
        </w:tc>
        <w:tc>
          <w:tcPr>
            <w:tcW w:w="4379" w:type="dxa"/>
          </w:tcPr>
          <w:p w14:paraId="16D98EB5" w14:textId="77777777" w:rsidR="004962D9" w:rsidRPr="003B1D85" w:rsidRDefault="004962D9" w:rsidP="00D4226B">
            <w:pPr>
              <w:tabs>
                <w:tab w:val="left" w:pos="875"/>
              </w:tabs>
              <w:ind w:right="-50"/>
              <w:jc w:val="both"/>
              <w:rPr>
                <w:rFonts w:ascii="Arial" w:hAnsi="Arial" w:cs="Arial"/>
                <w:b/>
              </w:rPr>
            </w:pPr>
            <w:r w:rsidRPr="003B1D85">
              <w:rPr>
                <w:rFonts w:ascii="Arial" w:hAnsi="Arial" w:cs="Arial"/>
                <w:b/>
              </w:rPr>
              <w:t>Otras</w:t>
            </w:r>
          </w:p>
        </w:tc>
        <w:tc>
          <w:tcPr>
            <w:tcW w:w="5244" w:type="dxa"/>
          </w:tcPr>
          <w:p w14:paraId="334475AB"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Los cambios normativos constantes demandan mayor exigencia a los generadores de la información, no obstante, los ajustes a los sistemas de información y la interiorización por parte de las dependencias responsables limitan la gestión oportuna de los procedimientos contables.</w:t>
            </w:r>
          </w:p>
          <w:p w14:paraId="6462F8A3" w14:textId="77777777" w:rsidR="004962D9" w:rsidRPr="003B1D85" w:rsidRDefault="004962D9" w:rsidP="00D4226B">
            <w:pPr>
              <w:tabs>
                <w:tab w:val="left" w:pos="875"/>
              </w:tabs>
              <w:ind w:right="-50"/>
              <w:jc w:val="both"/>
              <w:rPr>
                <w:rFonts w:ascii="Arial" w:hAnsi="Arial" w:cs="Arial"/>
              </w:rPr>
            </w:pPr>
          </w:p>
          <w:p w14:paraId="43E9650C" w14:textId="77777777" w:rsidR="004962D9" w:rsidRPr="003B1D85" w:rsidRDefault="004962D9" w:rsidP="00D4226B">
            <w:pPr>
              <w:tabs>
                <w:tab w:val="left" w:pos="875"/>
              </w:tabs>
              <w:ind w:right="-50"/>
              <w:jc w:val="both"/>
              <w:rPr>
                <w:rFonts w:ascii="Arial" w:hAnsi="Arial" w:cs="Arial"/>
              </w:rPr>
            </w:pPr>
            <w:r w:rsidRPr="003B1D85">
              <w:rPr>
                <w:rFonts w:ascii="Arial" w:hAnsi="Arial" w:cs="Arial"/>
              </w:rPr>
              <w:t>Dada la rotación de personal en las áreas administrativas y operativas, los procesos de capacitación resultan insuficientes incidiendo en la gestión contable de la Entidad.</w:t>
            </w:r>
          </w:p>
        </w:tc>
      </w:tr>
    </w:tbl>
    <w:p w14:paraId="1AB09C1F" w14:textId="77777777" w:rsidR="004962D9" w:rsidRDefault="004962D9" w:rsidP="004962D9">
      <w:pPr>
        <w:ind w:left="-284" w:right="283"/>
        <w:jc w:val="both"/>
        <w:rPr>
          <w:rFonts w:ascii="Arial" w:eastAsia="Trebuchet MS" w:hAnsi="Arial" w:cs="Arial"/>
          <w:b/>
          <w:sz w:val="32"/>
          <w:szCs w:val="32"/>
          <w:u w:val="single"/>
          <w:lang w:eastAsia="es-CO"/>
        </w:rPr>
      </w:pPr>
    </w:p>
    <w:p w14:paraId="0462172C" w14:textId="77777777" w:rsidR="004962D9" w:rsidRPr="000F59C0" w:rsidRDefault="004962D9" w:rsidP="004962D9">
      <w:pPr>
        <w:ind w:left="-284"/>
        <w:jc w:val="both"/>
        <w:rPr>
          <w:rFonts w:ascii="Arial" w:hAnsi="Arial" w:cs="Arial"/>
          <w:b/>
          <w:sz w:val="28"/>
          <w:szCs w:val="28"/>
          <w:lang w:val="es-MX"/>
        </w:rPr>
      </w:pPr>
      <w:r w:rsidRPr="000F59C0">
        <w:rPr>
          <w:rFonts w:ascii="Arial" w:hAnsi="Arial" w:cs="Arial"/>
          <w:b/>
          <w:sz w:val="28"/>
          <w:szCs w:val="28"/>
          <w:lang w:val="es-MX"/>
        </w:rPr>
        <w:t>307.- U.A.E. AGENCIA NACIONAL DE DEFENSA JURÍDICA DEL ESTADO.</w:t>
      </w:r>
    </w:p>
    <w:p w14:paraId="421FB885" w14:textId="77777777" w:rsidR="004962D9" w:rsidRDefault="004962D9" w:rsidP="004962D9">
      <w:pPr>
        <w:ind w:left="-284" w:right="283"/>
        <w:jc w:val="both"/>
        <w:rPr>
          <w:rFonts w:ascii="Arial" w:eastAsia="Trebuchet MS" w:hAnsi="Arial" w:cs="Arial"/>
          <w:b/>
          <w:sz w:val="32"/>
          <w:szCs w:val="32"/>
          <w:u w:val="single"/>
          <w:lang w:val="es-MX" w:eastAsia="es-CO"/>
        </w:rPr>
      </w:pPr>
    </w:p>
    <w:tbl>
      <w:tblPr>
        <w:tblStyle w:val="Tablaconcuadrcula"/>
        <w:tblW w:w="10627" w:type="dxa"/>
        <w:jc w:val="center"/>
        <w:tblLook w:val="04A0" w:firstRow="1" w:lastRow="0" w:firstColumn="1" w:lastColumn="0" w:noHBand="0" w:noVBand="1"/>
      </w:tblPr>
      <w:tblGrid>
        <w:gridCol w:w="846"/>
        <w:gridCol w:w="4394"/>
        <w:gridCol w:w="5387"/>
      </w:tblGrid>
      <w:tr w:rsidR="004962D9" w:rsidRPr="00F93D7B" w14:paraId="58F559C1" w14:textId="77777777" w:rsidTr="00925DCE">
        <w:trPr>
          <w:jc w:val="center"/>
        </w:trPr>
        <w:tc>
          <w:tcPr>
            <w:tcW w:w="846" w:type="dxa"/>
            <w:vAlign w:val="center"/>
          </w:tcPr>
          <w:p w14:paraId="55F68F5F" w14:textId="77777777" w:rsidR="004962D9" w:rsidRPr="00F93D7B" w:rsidRDefault="004962D9" w:rsidP="00D4226B">
            <w:pPr>
              <w:tabs>
                <w:tab w:val="left" w:pos="875"/>
              </w:tabs>
              <w:ind w:right="-50"/>
              <w:jc w:val="center"/>
              <w:rPr>
                <w:rFonts w:ascii="Arial" w:hAnsi="Arial" w:cs="Arial"/>
                <w:b/>
              </w:rPr>
            </w:pPr>
            <w:r w:rsidRPr="00F93D7B">
              <w:rPr>
                <w:rFonts w:ascii="Arial" w:hAnsi="Arial" w:cs="Arial"/>
                <w:b/>
              </w:rPr>
              <w:t>N°</w:t>
            </w:r>
          </w:p>
        </w:tc>
        <w:tc>
          <w:tcPr>
            <w:tcW w:w="4394" w:type="dxa"/>
          </w:tcPr>
          <w:p w14:paraId="6EE70D2B" w14:textId="77777777" w:rsidR="004962D9" w:rsidRPr="00F93D7B" w:rsidRDefault="004962D9" w:rsidP="00D4226B">
            <w:pPr>
              <w:tabs>
                <w:tab w:val="left" w:pos="875"/>
              </w:tabs>
              <w:ind w:right="-50"/>
              <w:jc w:val="center"/>
              <w:rPr>
                <w:rFonts w:ascii="Arial" w:hAnsi="Arial" w:cs="Arial"/>
                <w:b/>
              </w:rPr>
            </w:pPr>
            <w:r w:rsidRPr="00F93D7B">
              <w:rPr>
                <w:rFonts w:ascii="Arial" w:hAnsi="Arial" w:cs="Arial"/>
                <w:b/>
              </w:rPr>
              <w:t>Limitaciones detectadas por su entidad en</w:t>
            </w:r>
          </w:p>
          <w:p w14:paraId="30F12CC6" w14:textId="77777777" w:rsidR="004962D9" w:rsidRPr="00F93D7B" w:rsidRDefault="004962D9" w:rsidP="00D4226B">
            <w:pPr>
              <w:tabs>
                <w:tab w:val="left" w:pos="875"/>
              </w:tabs>
              <w:ind w:right="-50"/>
              <w:jc w:val="center"/>
              <w:rPr>
                <w:rFonts w:ascii="Arial" w:hAnsi="Arial" w:cs="Arial"/>
                <w:b/>
              </w:rPr>
            </w:pPr>
            <w:r w:rsidRPr="00F93D7B">
              <w:rPr>
                <w:rFonts w:ascii="Arial" w:hAnsi="Arial" w:cs="Arial"/>
                <w:b/>
              </w:rPr>
              <w:t xml:space="preserve"> la aplicación del Marco Normativo - NICSP </w:t>
            </w:r>
          </w:p>
          <w:p w14:paraId="2F4F6F0A" w14:textId="77777777" w:rsidR="004962D9" w:rsidRPr="00F93D7B" w:rsidRDefault="004962D9" w:rsidP="00D4226B">
            <w:pPr>
              <w:tabs>
                <w:tab w:val="left" w:pos="875"/>
              </w:tabs>
              <w:ind w:right="-50"/>
              <w:jc w:val="center"/>
              <w:rPr>
                <w:rFonts w:ascii="Arial" w:hAnsi="Arial" w:cs="Arial"/>
                <w:b/>
              </w:rPr>
            </w:pPr>
            <w:r w:rsidRPr="00F93D7B">
              <w:rPr>
                <w:rFonts w:ascii="Arial" w:hAnsi="Arial" w:cs="Arial"/>
                <w:b/>
              </w:rPr>
              <w:t>a 31/12/202</w:t>
            </w:r>
            <w:r>
              <w:rPr>
                <w:rFonts w:ascii="Arial" w:hAnsi="Arial" w:cs="Arial"/>
                <w:b/>
              </w:rPr>
              <w:t>4</w:t>
            </w:r>
          </w:p>
          <w:p w14:paraId="15639493" w14:textId="77777777" w:rsidR="004962D9" w:rsidRPr="00F93D7B" w:rsidRDefault="004962D9" w:rsidP="00D4226B">
            <w:pPr>
              <w:tabs>
                <w:tab w:val="left" w:pos="875"/>
              </w:tabs>
              <w:ind w:right="-50"/>
              <w:jc w:val="center"/>
              <w:rPr>
                <w:rFonts w:ascii="Arial" w:hAnsi="Arial" w:cs="Arial"/>
                <w:b/>
              </w:rPr>
            </w:pPr>
          </w:p>
        </w:tc>
        <w:tc>
          <w:tcPr>
            <w:tcW w:w="5387" w:type="dxa"/>
            <w:vAlign w:val="center"/>
          </w:tcPr>
          <w:p w14:paraId="284778E3" w14:textId="77777777" w:rsidR="004962D9" w:rsidRPr="00F93D7B" w:rsidRDefault="004962D9" w:rsidP="00D4226B">
            <w:pPr>
              <w:tabs>
                <w:tab w:val="left" w:pos="875"/>
              </w:tabs>
              <w:ind w:right="-50"/>
              <w:jc w:val="center"/>
              <w:rPr>
                <w:rFonts w:ascii="Arial" w:hAnsi="Arial" w:cs="Arial"/>
                <w:b/>
              </w:rPr>
            </w:pPr>
            <w:r w:rsidRPr="00F93D7B">
              <w:rPr>
                <w:rFonts w:ascii="Arial" w:hAnsi="Arial" w:cs="Arial"/>
                <w:b/>
              </w:rPr>
              <w:t>Descripción de la limitación</w:t>
            </w:r>
          </w:p>
        </w:tc>
      </w:tr>
      <w:tr w:rsidR="004962D9" w:rsidRPr="00F93D7B" w14:paraId="66B2BECA" w14:textId="77777777" w:rsidTr="00925DCE">
        <w:trPr>
          <w:jc w:val="center"/>
        </w:trPr>
        <w:tc>
          <w:tcPr>
            <w:tcW w:w="846" w:type="dxa"/>
          </w:tcPr>
          <w:p w14:paraId="57813148" w14:textId="77777777" w:rsidR="004962D9" w:rsidRPr="00F93D7B" w:rsidRDefault="004962D9" w:rsidP="00D4226B">
            <w:pPr>
              <w:tabs>
                <w:tab w:val="left" w:pos="875"/>
              </w:tabs>
              <w:ind w:right="-50"/>
              <w:jc w:val="center"/>
              <w:rPr>
                <w:rFonts w:ascii="Arial" w:hAnsi="Arial" w:cs="Arial"/>
                <w:bCs/>
              </w:rPr>
            </w:pPr>
            <w:r w:rsidRPr="00F93D7B">
              <w:rPr>
                <w:rFonts w:ascii="Arial" w:hAnsi="Arial" w:cs="Arial"/>
                <w:bCs/>
              </w:rPr>
              <w:t>2</w:t>
            </w:r>
          </w:p>
        </w:tc>
        <w:tc>
          <w:tcPr>
            <w:tcW w:w="4394" w:type="dxa"/>
          </w:tcPr>
          <w:p w14:paraId="124C6DC7" w14:textId="77777777" w:rsidR="004962D9" w:rsidRPr="00F93D7B" w:rsidRDefault="004962D9" w:rsidP="00D4226B">
            <w:pPr>
              <w:tabs>
                <w:tab w:val="left" w:pos="875"/>
              </w:tabs>
              <w:ind w:right="-50"/>
              <w:jc w:val="both"/>
              <w:rPr>
                <w:rFonts w:ascii="Arial" w:hAnsi="Arial" w:cs="Arial"/>
                <w:bCs/>
              </w:rPr>
            </w:pPr>
            <w:r w:rsidRPr="00F93D7B">
              <w:rPr>
                <w:rFonts w:ascii="Arial" w:hAnsi="Arial" w:cs="Arial"/>
                <w:bCs/>
              </w:rPr>
              <w:t>Académicas:</w:t>
            </w:r>
          </w:p>
        </w:tc>
        <w:tc>
          <w:tcPr>
            <w:tcW w:w="5387" w:type="dxa"/>
          </w:tcPr>
          <w:p w14:paraId="191C1DDF" w14:textId="77777777" w:rsidR="004962D9" w:rsidRPr="00F93D7B" w:rsidRDefault="004962D9" w:rsidP="00D4226B">
            <w:pPr>
              <w:tabs>
                <w:tab w:val="left" w:pos="875"/>
              </w:tabs>
              <w:ind w:right="-50"/>
              <w:jc w:val="both"/>
              <w:rPr>
                <w:rFonts w:ascii="Arial" w:hAnsi="Arial" w:cs="Arial"/>
              </w:rPr>
            </w:pPr>
            <w:r>
              <w:rPr>
                <w:rFonts w:ascii="Arial" w:hAnsi="Arial" w:cs="Arial"/>
              </w:rPr>
              <w:t>Se evidencia que se publican varias modificaciones y en ese sentido, debería considerarse la realización de mesas de trabajo y capacitaciones para generar apoyo a las áreas financieras de las entidades y despejar dudas sobre las modificaciones requeridas por esta entidad.</w:t>
            </w:r>
          </w:p>
        </w:tc>
      </w:tr>
    </w:tbl>
    <w:p w14:paraId="002677EF" w14:textId="77777777" w:rsidR="00A03CB3" w:rsidRDefault="00A03CB3" w:rsidP="004962D9">
      <w:pPr>
        <w:ind w:left="-284"/>
        <w:jc w:val="both"/>
        <w:rPr>
          <w:rFonts w:ascii="Arial" w:hAnsi="Arial" w:cs="Arial"/>
          <w:b/>
          <w:sz w:val="28"/>
          <w:szCs w:val="28"/>
          <w:lang w:val="es-MX"/>
        </w:rPr>
      </w:pPr>
    </w:p>
    <w:p w14:paraId="3C8EFB04" w14:textId="763591C7" w:rsidR="004962D9" w:rsidRPr="004C02FC" w:rsidRDefault="004962D9" w:rsidP="004962D9">
      <w:pPr>
        <w:ind w:left="-284"/>
        <w:jc w:val="both"/>
        <w:rPr>
          <w:rFonts w:ascii="Arial" w:hAnsi="Arial" w:cs="Arial"/>
          <w:b/>
          <w:sz w:val="28"/>
          <w:szCs w:val="28"/>
          <w:lang w:val="es-MX"/>
        </w:rPr>
      </w:pPr>
      <w:r w:rsidRPr="004C02FC">
        <w:rPr>
          <w:rFonts w:ascii="Arial" w:hAnsi="Arial" w:cs="Arial"/>
          <w:b/>
          <w:sz w:val="28"/>
          <w:szCs w:val="28"/>
          <w:lang w:val="es-MX"/>
        </w:rPr>
        <w:t>308.- U.A.E. DE ORGANIZACIONES SOLIDARIAS.</w:t>
      </w:r>
    </w:p>
    <w:p w14:paraId="5440981A" w14:textId="77777777" w:rsidR="004962D9" w:rsidRPr="00B54567" w:rsidRDefault="004962D9" w:rsidP="004962D9">
      <w:pPr>
        <w:pStyle w:val="Textoindependiente"/>
        <w:spacing w:before="92"/>
        <w:ind w:left="257" w:right="176"/>
        <w:jc w:val="both"/>
        <w:rPr>
          <w:b/>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893D6F" w14:paraId="7F36913A" w14:textId="77777777" w:rsidTr="00D4226B">
        <w:tc>
          <w:tcPr>
            <w:tcW w:w="867" w:type="dxa"/>
          </w:tcPr>
          <w:p w14:paraId="4D17FA81"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N°</w:t>
            </w:r>
          </w:p>
        </w:tc>
        <w:tc>
          <w:tcPr>
            <w:tcW w:w="4379" w:type="dxa"/>
          </w:tcPr>
          <w:p w14:paraId="2BF217A2"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Limitaciones detectadas por su entidad en</w:t>
            </w:r>
          </w:p>
          <w:p w14:paraId="0181637E"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 xml:space="preserve"> la aplicación del Marco Normativo - NICSP </w:t>
            </w:r>
          </w:p>
          <w:p w14:paraId="5BD290BE"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a 31/12/2024</w:t>
            </w:r>
          </w:p>
          <w:p w14:paraId="3807BD2A" w14:textId="77777777" w:rsidR="004962D9" w:rsidRPr="00893D6F" w:rsidRDefault="004962D9" w:rsidP="00D4226B">
            <w:pPr>
              <w:tabs>
                <w:tab w:val="left" w:pos="875"/>
              </w:tabs>
              <w:ind w:right="-50"/>
              <w:jc w:val="center"/>
              <w:rPr>
                <w:rFonts w:ascii="Arial" w:hAnsi="Arial" w:cs="Arial"/>
                <w:b/>
              </w:rPr>
            </w:pPr>
          </w:p>
        </w:tc>
        <w:tc>
          <w:tcPr>
            <w:tcW w:w="5244" w:type="dxa"/>
          </w:tcPr>
          <w:p w14:paraId="1BF0C808"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Descripción de la limitación</w:t>
            </w:r>
          </w:p>
        </w:tc>
      </w:tr>
      <w:tr w:rsidR="004962D9" w:rsidRPr="00893D6F" w14:paraId="184AD29A" w14:textId="77777777" w:rsidTr="00D4226B">
        <w:tc>
          <w:tcPr>
            <w:tcW w:w="867" w:type="dxa"/>
          </w:tcPr>
          <w:p w14:paraId="6B6E525B"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1</w:t>
            </w:r>
          </w:p>
        </w:tc>
        <w:tc>
          <w:tcPr>
            <w:tcW w:w="4379" w:type="dxa"/>
          </w:tcPr>
          <w:p w14:paraId="025A69AB" w14:textId="77777777" w:rsidR="004962D9" w:rsidRPr="00893D6F" w:rsidRDefault="004962D9" w:rsidP="00D4226B">
            <w:pPr>
              <w:tabs>
                <w:tab w:val="left" w:pos="875"/>
              </w:tabs>
              <w:ind w:right="-50"/>
              <w:jc w:val="both"/>
              <w:rPr>
                <w:rFonts w:ascii="Arial" w:hAnsi="Arial" w:cs="Arial"/>
                <w:b/>
              </w:rPr>
            </w:pPr>
            <w:r w:rsidRPr="00893D6F">
              <w:rPr>
                <w:rFonts w:ascii="Arial" w:hAnsi="Arial" w:cs="Arial"/>
                <w:b/>
              </w:rPr>
              <w:t>Académicas:</w:t>
            </w:r>
          </w:p>
        </w:tc>
        <w:tc>
          <w:tcPr>
            <w:tcW w:w="5244" w:type="dxa"/>
          </w:tcPr>
          <w:p w14:paraId="61947B4B" w14:textId="77777777" w:rsidR="004962D9" w:rsidRPr="00893D6F" w:rsidRDefault="004962D9" w:rsidP="00D4226B">
            <w:pPr>
              <w:tabs>
                <w:tab w:val="left" w:pos="875"/>
              </w:tabs>
              <w:ind w:right="-50"/>
              <w:jc w:val="both"/>
              <w:rPr>
                <w:rFonts w:ascii="Arial" w:hAnsi="Arial" w:cs="Arial"/>
              </w:rPr>
            </w:pPr>
            <w:r w:rsidRPr="00893D6F">
              <w:rPr>
                <w:rFonts w:ascii="Arial" w:hAnsi="Arial" w:cs="Arial"/>
              </w:rPr>
              <w:t>Cuando se tienen inquietudes en la aplicabilidad del Marco Normativo, se solicita acompañamiento por parte de los asesores de la Contaduría General de la Nación, para de esta manera minimizar los errores en la revelación de la información contable. Es importante mencionar que se deberían recibir más capacitaciones por parte de la Contaduría General de la Nación, ya que para la vigencia 2024 no se recibieron invitaciones para participar en ellas.</w:t>
            </w:r>
          </w:p>
        </w:tc>
      </w:tr>
      <w:tr w:rsidR="004962D9" w:rsidRPr="00893D6F" w14:paraId="30438D88" w14:textId="77777777" w:rsidTr="00D4226B">
        <w:tc>
          <w:tcPr>
            <w:tcW w:w="867" w:type="dxa"/>
          </w:tcPr>
          <w:p w14:paraId="097E2D13"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2</w:t>
            </w:r>
          </w:p>
        </w:tc>
        <w:tc>
          <w:tcPr>
            <w:tcW w:w="4379" w:type="dxa"/>
          </w:tcPr>
          <w:p w14:paraId="4893DE2F" w14:textId="77777777" w:rsidR="004962D9" w:rsidRPr="00893D6F" w:rsidRDefault="004962D9" w:rsidP="00D4226B">
            <w:pPr>
              <w:tabs>
                <w:tab w:val="left" w:pos="875"/>
              </w:tabs>
              <w:ind w:right="-50"/>
              <w:jc w:val="both"/>
              <w:rPr>
                <w:rFonts w:ascii="Arial" w:hAnsi="Arial" w:cs="Arial"/>
                <w:b/>
              </w:rPr>
            </w:pPr>
            <w:r w:rsidRPr="00893D6F">
              <w:rPr>
                <w:rFonts w:ascii="Arial" w:hAnsi="Arial" w:cs="Arial"/>
                <w:b/>
              </w:rPr>
              <w:t>Técnicas:</w:t>
            </w:r>
          </w:p>
        </w:tc>
        <w:tc>
          <w:tcPr>
            <w:tcW w:w="5244" w:type="dxa"/>
          </w:tcPr>
          <w:p w14:paraId="6BBF9853" w14:textId="77777777" w:rsidR="004962D9" w:rsidRPr="00893D6F" w:rsidRDefault="004962D9" w:rsidP="00D4226B">
            <w:pPr>
              <w:tabs>
                <w:tab w:val="left" w:pos="875"/>
              </w:tabs>
              <w:ind w:right="-50"/>
              <w:jc w:val="both"/>
              <w:rPr>
                <w:rFonts w:ascii="Arial" w:hAnsi="Arial" w:cs="Arial"/>
              </w:rPr>
            </w:pPr>
            <w:r w:rsidRPr="00893D6F">
              <w:rPr>
                <w:rFonts w:ascii="Arial" w:hAnsi="Arial" w:cs="Arial"/>
              </w:rPr>
              <w:t>La depuración de la información no cuenta con procesos automáticos y resulta más difícil generar la información, ya que para su consolidación se realizan registros manuales.</w:t>
            </w:r>
          </w:p>
        </w:tc>
      </w:tr>
      <w:tr w:rsidR="004962D9" w:rsidRPr="00893D6F" w14:paraId="3F8C8018" w14:textId="77777777" w:rsidTr="00D4226B">
        <w:tc>
          <w:tcPr>
            <w:tcW w:w="867" w:type="dxa"/>
          </w:tcPr>
          <w:p w14:paraId="2A996B1B" w14:textId="77777777" w:rsidR="004962D9" w:rsidRPr="00893D6F" w:rsidRDefault="004962D9" w:rsidP="00D4226B">
            <w:pPr>
              <w:tabs>
                <w:tab w:val="left" w:pos="875"/>
              </w:tabs>
              <w:ind w:right="-50"/>
              <w:jc w:val="center"/>
              <w:rPr>
                <w:rFonts w:ascii="Arial" w:hAnsi="Arial" w:cs="Arial"/>
                <w:b/>
              </w:rPr>
            </w:pPr>
            <w:r w:rsidRPr="00893D6F">
              <w:rPr>
                <w:rFonts w:ascii="Arial" w:hAnsi="Arial" w:cs="Arial"/>
                <w:b/>
              </w:rPr>
              <w:t>3</w:t>
            </w:r>
          </w:p>
        </w:tc>
        <w:tc>
          <w:tcPr>
            <w:tcW w:w="4379" w:type="dxa"/>
          </w:tcPr>
          <w:p w14:paraId="5AAEB656" w14:textId="77777777" w:rsidR="004962D9" w:rsidRPr="00893D6F" w:rsidRDefault="004962D9" w:rsidP="00D4226B">
            <w:pPr>
              <w:tabs>
                <w:tab w:val="left" w:pos="875"/>
              </w:tabs>
              <w:ind w:right="-50"/>
              <w:jc w:val="both"/>
              <w:rPr>
                <w:rFonts w:ascii="Arial" w:hAnsi="Arial" w:cs="Arial"/>
                <w:b/>
              </w:rPr>
            </w:pPr>
            <w:r w:rsidRPr="00893D6F">
              <w:rPr>
                <w:rFonts w:ascii="Arial" w:hAnsi="Arial" w:cs="Arial"/>
                <w:b/>
              </w:rPr>
              <w:t>Operativas:</w:t>
            </w:r>
          </w:p>
        </w:tc>
        <w:tc>
          <w:tcPr>
            <w:tcW w:w="5244" w:type="dxa"/>
          </w:tcPr>
          <w:p w14:paraId="7B95DEAD" w14:textId="77777777" w:rsidR="004962D9" w:rsidRPr="00893D6F" w:rsidRDefault="004962D9" w:rsidP="00D4226B">
            <w:pPr>
              <w:tabs>
                <w:tab w:val="left" w:pos="875"/>
              </w:tabs>
              <w:ind w:right="-50"/>
              <w:jc w:val="both"/>
              <w:rPr>
                <w:rFonts w:ascii="Arial" w:hAnsi="Arial" w:cs="Arial"/>
              </w:rPr>
            </w:pPr>
            <w:r w:rsidRPr="00893D6F">
              <w:rPr>
                <w:rFonts w:ascii="Arial" w:hAnsi="Arial" w:cs="Arial"/>
              </w:rPr>
              <w:t>Es de aclarar que los activos de los bienes muebles e inmuebles, se registra a la fecha en una Hoja de cálculo de Excel y por medio de esta herramienta ofimática se realizan los cálculos correspondientes a depreciaciones por parte del área de almacén, la cual es verificada con Contabilidad para que estos datos coincidan. De igual forma se realizan cálculos correspondientes con el área de TIC en la cual se verifica su deterioro y amortización correspondientes para su respectivo proceso de licencias, derechos y Softwares.</w:t>
            </w:r>
          </w:p>
        </w:tc>
      </w:tr>
    </w:tbl>
    <w:p w14:paraId="0C1AEC44" w14:textId="77777777" w:rsidR="004962D9" w:rsidRPr="00B54567" w:rsidRDefault="004962D9" w:rsidP="004962D9">
      <w:pPr>
        <w:pStyle w:val="Textoindependiente"/>
        <w:spacing w:before="92"/>
        <w:ind w:left="257" w:right="176"/>
        <w:jc w:val="both"/>
        <w:rPr>
          <w:b/>
        </w:rPr>
      </w:pPr>
    </w:p>
    <w:p w14:paraId="7FE6B47B" w14:textId="77777777" w:rsidR="004962D9" w:rsidRPr="00226E24" w:rsidRDefault="004962D9" w:rsidP="004962D9">
      <w:pPr>
        <w:ind w:left="-284"/>
        <w:jc w:val="both"/>
        <w:rPr>
          <w:rFonts w:ascii="Arial" w:hAnsi="Arial" w:cs="Arial"/>
          <w:b/>
          <w:sz w:val="28"/>
          <w:szCs w:val="28"/>
          <w:lang w:val="es-MX"/>
        </w:rPr>
      </w:pPr>
      <w:r w:rsidRPr="00226E24">
        <w:rPr>
          <w:rFonts w:ascii="Arial" w:hAnsi="Arial" w:cs="Arial"/>
          <w:b/>
          <w:sz w:val="28"/>
          <w:szCs w:val="28"/>
          <w:lang w:val="es-MX"/>
        </w:rPr>
        <w:t>318.- FONDO PARA EL FINANCIAMIENTO DEL SECTOR AGROPECUARIO – FINAGRO.</w:t>
      </w:r>
    </w:p>
    <w:p w14:paraId="50A6D356" w14:textId="77777777" w:rsidR="004962D9" w:rsidRDefault="004962D9" w:rsidP="004962D9">
      <w:pPr>
        <w:ind w:left="-284" w:right="283"/>
        <w:jc w:val="both"/>
        <w:rPr>
          <w:rFonts w:ascii="Arial" w:eastAsia="Trebuchet MS" w:hAnsi="Arial" w:cs="Arial"/>
          <w:b/>
          <w:sz w:val="32"/>
          <w:szCs w:val="32"/>
          <w:u w:val="single"/>
          <w:lang w:val="es-MX" w:eastAsia="es-CO"/>
        </w:rPr>
      </w:pPr>
    </w:p>
    <w:tbl>
      <w:tblPr>
        <w:tblStyle w:val="Tablaconcuadrcula"/>
        <w:tblW w:w="10490" w:type="dxa"/>
        <w:tblInd w:w="-289" w:type="dxa"/>
        <w:tblLook w:val="04A0" w:firstRow="1" w:lastRow="0" w:firstColumn="1" w:lastColumn="0" w:noHBand="0" w:noVBand="1"/>
      </w:tblPr>
      <w:tblGrid>
        <w:gridCol w:w="867"/>
        <w:gridCol w:w="4379"/>
        <w:gridCol w:w="5244"/>
      </w:tblGrid>
      <w:tr w:rsidR="004962D9" w:rsidRPr="00356D20" w14:paraId="7CA654B7" w14:textId="77777777" w:rsidTr="00D4226B">
        <w:tc>
          <w:tcPr>
            <w:tcW w:w="867" w:type="dxa"/>
          </w:tcPr>
          <w:p w14:paraId="2B065F70" w14:textId="77777777" w:rsidR="004962D9" w:rsidRPr="00356D20" w:rsidRDefault="004962D9" w:rsidP="00D4226B">
            <w:pPr>
              <w:tabs>
                <w:tab w:val="left" w:pos="875"/>
              </w:tabs>
              <w:ind w:right="-50"/>
              <w:jc w:val="center"/>
              <w:rPr>
                <w:rFonts w:ascii="Arial" w:hAnsi="Arial" w:cs="Arial"/>
                <w:b/>
              </w:rPr>
            </w:pPr>
            <w:r w:rsidRPr="00356D20">
              <w:rPr>
                <w:rFonts w:ascii="Arial" w:hAnsi="Arial" w:cs="Arial"/>
                <w:b/>
              </w:rPr>
              <w:t>N°</w:t>
            </w:r>
          </w:p>
        </w:tc>
        <w:tc>
          <w:tcPr>
            <w:tcW w:w="4379" w:type="dxa"/>
          </w:tcPr>
          <w:p w14:paraId="2E881352" w14:textId="77777777" w:rsidR="004962D9" w:rsidRPr="00356D20" w:rsidRDefault="004962D9" w:rsidP="00D4226B">
            <w:pPr>
              <w:tabs>
                <w:tab w:val="left" w:pos="875"/>
              </w:tabs>
              <w:ind w:right="-50"/>
              <w:jc w:val="center"/>
              <w:rPr>
                <w:rFonts w:ascii="Arial" w:hAnsi="Arial" w:cs="Arial"/>
                <w:b/>
              </w:rPr>
            </w:pPr>
            <w:r w:rsidRPr="00356D20">
              <w:rPr>
                <w:rFonts w:ascii="Arial" w:hAnsi="Arial" w:cs="Arial"/>
                <w:b/>
              </w:rPr>
              <w:t>Limitaciones detectadas por su entidad en</w:t>
            </w:r>
          </w:p>
          <w:p w14:paraId="3559FD24" w14:textId="77777777" w:rsidR="004962D9" w:rsidRPr="00356D20" w:rsidRDefault="004962D9" w:rsidP="00D4226B">
            <w:pPr>
              <w:tabs>
                <w:tab w:val="left" w:pos="875"/>
              </w:tabs>
              <w:ind w:right="-50"/>
              <w:jc w:val="center"/>
              <w:rPr>
                <w:rFonts w:ascii="Arial" w:hAnsi="Arial" w:cs="Arial"/>
                <w:b/>
              </w:rPr>
            </w:pPr>
            <w:r w:rsidRPr="00356D20">
              <w:rPr>
                <w:rFonts w:ascii="Arial" w:hAnsi="Arial" w:cs="Arial"/>
                <w:b/>
              </w:rPr>
              <w:t xml:space="preserve"> la aplicación del Marco Normativo - NICSP </w:t>
            </w:r>
          </w:p>
          <w:p w14:paraId="58512B70" w14:textId="77777777" w:rsidR="004962D9" w:rsidRPr="00356D20" w:rsidRDefault="004962D9" w:rsidP="00D4226B">
            <w:pPr>
              <w:tabs>
                <w:tab w:val="left" w:pos="875"/>
              </w:tabs>
              <w:ind w:right="-50"/>
              <w:jc w:val="center"/>
              <w:rPr>
                <w:rFonts w:ascii="Arial" w:hAnsi="Arial" w:cs="Arial"/>
                <w:b/>
              </w:rPr>
            </w:pPr>
            <w:r w:rsidRPr="00356D20">
              <w:rPr>
                <w:rFonts w:ascii="Arial" w:hAnsi="Arial" w:cs="Arial"/>
                <w:b/>
              </w:rPr>
              <w:t>a 31/12/2024</w:t>
            </w:r>
          </w:p>
          <w:p w14:paraId="3CFC4DF7" w14:textId="77777777" w:rsidR="004962D9" w:rsidRPr="00356D20" w:rsidRDefault="004962D9" w:rsidP="00D4226B">
            <w:pPr>
              <w:tabs>
                <w:tab w:val="left" w:pos="875"/>
              </w:tabs>
              <w:ind w:right="-50"/>
              <w:jc w:val="center"/>
              <w:rPr>
                <w:rFonts w:ascii="Arial" w:hAnsi="Arial" w:cs="Arial"/>
                <w:b/>
              </w:rPr>
            </w:pPr>
          </w:p>
        </w:tc>
        <w:tc>
          <w:tcPr>
            <w:tcW w:w="5244" w:type="dxa"/>
          </w:tcPr>
          <w:p w14:paraId="3647D43F" w14:textId="77777777" w:rsidR="004962D9" w:rsidRPr="00356D20" w:rsidRDefault="004962D9" w:rsidP="00D4226B">
            <w:pPr>
              <w:tabs>
                <w:tab w:val="left" w:pos="875"/>
              </w:tabs>
              <w:ind w:right="-50"/>
              <w:jc w:val="center"/>
              <w:rPr>
                <w:rFonts w:ascii="Arial" w:hAnsi="Arial" w:cs="Arial"/>
                <w:b/>
              </w:rPr>
            </w:pPr>
            <w:r w:rsidRPr="00356D20">
              <w:rPr>
                <w:rFonts w:ascii="Arial" w:hAnsi="Arial" w:cs="Arial"/>
                <w:b/>
              </w:rPr>
              <w:t>Descripción de la limitación</w:t>
            </w:r>
          </w:p>
        </w:tc>
      </w:tr>
      <w:tr w:rsidR="004962D9" w:rsidRPr="00356D20" w14:paraId="7EE05F92" w14:textId="77777777" w:rsidTr="00D4226B">
        <w:tc>
          <w:tcPr>
            <w:tcW w:w="867" w:type="dxa"/>
          </w:tcPr>
          <w:p w14:paraId="140CFCE6" w14:textId="77777777" w:rsidR="004962D9" w:rsidRPr="00356D20" w:rsidRDefault="004962D9" w:rsidP="00D4226B">
            <w:pPr>
              <w:tabs>
                <w:tab w:val="left" w:pos="875"/>
              </w:tabs>
              <w:ind w:right="-50"/>
              <w:jc w:val="center"/>
              <w:rPr>
                <w:rFonts w:ascii="Arial" w:hAnsi="Arial" w:cs="Arial"/>
                <w:b/>
              </w:rPr>
            </w:pPr>
            <w:r w:rsidRPr="00356D20">
              <w:rPr>
                <w:rFonts w:ascii="Arial" w:hAnsi="Arial" w:cs="Arial"/>
                <w:b/>
              </w:rPr>
              <w:t>1</w:t>
            </w:r>
          </w:p>
        </w:tc>
        <w:tc>
          <w:tcPr>
            <w:tcW w:w="4379" w:type="dxa"/>
          </w:tcPr>
          <w:p w14:paraId="514EC651" w14:textId="77777777" w:rsidR="004962D9" w:rsidRPr="00356D20" w:rsidRDefault="004962D9" w:rsidP="00D4226B">
            <w:pPr>
              <w:tabs>
                <w:tab w:val="left" w:pos="875"/>
              </w:tabs>
              <w:ind w:right="-50"/>
              <w:jc w:val="both"/>
              <w:rPr>
                <w:rFonts w:ascii="Arial" w:hAnsi="Arial" w:cs="Arial"/>
                <w:b/>
              </w:rPr>
            </w:pPr>
            <w:r w:rsidRPr="00356D20">
              <w:rPr>
                <w:rFonts w:ascii="Arial" w:hAnsi="Arial" w:cs="Arial"/>
                <w:b/>
              </w:rPr>
              <w:t>Operativas:</w:t>
            </w:r>
          </w:p>
        </w:tc>
        <w:tc>
          <w:tcPr>
            <w:tcW w:w="5244" w:type="dxa"/>
          </w:tcPr>
          <w:p w14:paraId="561AE532" w14:textId="77777777" w:rsidR="004962D9" w:rsidRPr="00356D20" w:rsidRDefault="004962D9" w:rsidP="00D4226B">
            <w:pPr>
              <w:tabs>
                <w:tab w:val="left" w:pos="875"/>
              </w:tabs>
              <w:ind w:right="-50"/>
              <w:jc w:val="both"/>
              <w:rPr>
                <w:rFonts w:ascii="Arial" w:hAnsi="Arial" w:cs="Arial"/>
              </w:rPr>
            </w:pPr>
            <w:r w:rsidRPr="00356D20">
              <w:rPr>
                <w:rFonts w:ascii="Arial" w:hAnsi="Arial" w:cs="Arial"/>
              </w:rPr>
              <w:t>El reporte trimestral de operaciones reciprocas, presenta de manera reiterativa diferencias y partidas por conciliar con las diferentes entidades del Estado.</w:t>
            </w:r>
          </w:p>
          <w:p w14:paraId="60D78BD9" w14:textId="77777777" w:rsidR="004962D9" w:rsidRPr="00356D20" w:rsidRDefault="004962D9" w:rsidP="00D4226B">
            <w:pPr>
              <w:tabs>
                <w:tab w:val="left" w:pos="875"/>
              </w:tabs>
              <w:ind w:right="-50"/>
              <w:jc w:val="both"/>
              <w:rPr>
                <w:rFonts w:ascii="Arial" w:hAnsi="Arial" w:cs="Arial"/>
              </w:rPr>
            </w:pPr>
          </w:p>
          <w:p w14:paraId="481CF81F" w14:textId="77777777" w:rsidR="004962D9" w:rsidRPr="00356D20" w:rsidRDefault="004962D9" w:rsidP="00D4226B">
            <w:pPr>
              <w:tabs>
                <w:tab w:val="left" w:pos="875"/>
              </w:tabs>
              <w:ind w:right="-50"/>
              <w:jc w:val="both"/>
              <w:rPr>
                <w:rFonts w:ascii="Arial" w:hAnsi="Arial" w:cs="Arial"/>
              </w:rPr>
            </w:pPr>
            <w:r w:rsidRPr="00356D20">
              <w:rPr>
                <w:rFonts w:ascii="Arial" w:hAnsi="Arial" w:cs="Arial"/>
              </w:rPr>
              <w:t xml:space="preserve">Dichas partidas obedecen a la naturaleza de cada una de las Entidades que las reportan y a los sistemas </w:t>
            </w:r>
            <w:r w:rsidRPr="00356D20">
              <w:rPr>
                <w:rFonts w:ascii="Arial" w:hAnsi="Arial" w:cs="Arial"/>
              </w:rPr>
              <w:lastRenderedPageBreak/>
              <w:t>normativos aplicables sobre las mismas, las cuales no pueden ser correspondidas por la entidad recíproca, generándose una alta operatividad en los procesos conciliatorios periódicos que deben realizar las entidades involucradas.</w:t>
            </w:r>
          </w:p>
          <w:p w14:paraId="1A679382" w14:textId="77777777" w:rsidR="004962D9" w:rsidRPr="00356D20" w:rsidRDefault="004962D9" w:rsidP="00D4226B">
            <w:pPr>
              <w:tabs>
                <w:tab w:val="left" w:pos="875"/>
              </w:tabs>
              <w:ind w:right="-50"/>
              <w:jc w:val="both"/>
              <w:rPr>
                <w:rFonts w:ascii="Arial" w:hAnsi="Arial" w:cs="Arial"/>
              </w:rPr>
            </w:pPr>
          </w:p>
          <w:p w14:paraId="12929854" w14:textId="77777777" w:rsidR="004962D9" w:rsidRPr="00356D20" w:rsidRDefault="004962D9" w:rsidP="00D4226B">
            <w:pPr>
              <w:tabs>
                <w:tab w:val="left" w:pos="875"/>
              </w:tabs>
              <w:ind w:right="-50"/>
              <w:jc w:val="both"/>
              <w:rPr>
                <w:rFonts w:ascii="Arial" w:hAnsi="Arial" w:cs="Arial"/>
              </w:rPr>
            </w:pPr>
            <w:r w:rsidRPr="00356D20">
              <w:rPr>
                <w:rFonts w:ascii="Arial" w:hAnsi="Arial" w:cs="Arial"/>
              </w:rPr>
              <w:t>Entre otras destacamos las siguientes:</w:t>
            </w:r>
          </w:p>
          <w:p w14:paraId="1CEA878A" w14:textId="77777777" w:rsidR="004962D9" w:rsidRPr="00356D20" w:rsidRDefault="004962D9" w:rsidP="00D4226B">
            <w:pPr>
              <w:tabs>
                <w:tab w:val="left" w:pos="875"/>
              </w:tabs>
              <w:ind w:right="-50"/>
              <w:jc w:val="both"/>
              <w:rPr>
                <w:rFonts w:ascii="Arial" w:hAnsi="Arial" w:cs="Arial"/>
              </w:rPr>
            </w:pPr>
          </w:p>
          <w:p w14:paraId="6C5E755F" w14:textId="77777777" w:rsidR="004962D9" w:rsidRPr="00356D20" w:rsidRDefault="004962D9" w:rsidP="00AE3935">
            <w:pPr>
              <w:pStyle w:val="Prrafodelista"/>
              <w:numPr>
                <w:ilvl w:val="0"/>
                <w:numId w:val="60"/>
              </w:numPr>
              <w:tabs>
                <w:tab w:val="left" w:pos="875"/>
              </w:tabs>
              <w:spacing w:before="1"/>
              <w:ind w:right="-50"/>
              <w:jc w:val="both"/>
              <w:rPr>
                <w:rFonts w:ascii="Arial" w:hAnsi="Arial" w:cs="Arial"/>
              </w:rPr>
            </w:pPr>
            <w:r w:rsidRPr="00356D20">
              <w:rPr>
                <w:rFonts w:ascii="Arial" w:hAnsi="Arial" w:cs="Arial"/>
              </w:rPr>
              <w:t>Cuentas por pagar, anticipos y gastos por concepto de impuestos (DIAN, SHD).</w:t>
            </w:r>
          </w:p>
          <w:p w14:paraId="7EC9BF36" w14:textId="77777777" w:rsidR="004962D9" w:rsidRPr="00356D20" w:rsidRDefault="004962D9" w:rsidP="00D4226B">
            <w:pPr>
              <w:tabs>
                <w:tab w:val="left" w:pos="875"/>
              </w:tabs>
              <w:ind w:right="-50"/>
              <w:jc w:val="both"/>
              <w:rPr>
                <w:rFonts w:ascii="Arial" w:hAnsi="Arial" w:cs="Arial"/>
              </w:rPr>
            </w:pPr>
          </w:p>
          <w:p w14:paraId="1CB964A5" w14:textId="77777777" w:rsidR="004962D9" w:rsidRPr="00356D20" w:rsidRDefault="004962D9" w:rsidP="00AE3935">
            <w:pPr>
              <w:pStyle w:val="Prrafodelista"/>
              <w:numPr>
                <w:ilvl w:val="0"/>
                <w:numId w:val="60"/>
              </w:numPr>
              <w:tabs>
                <w:tab w:val="left" w:pos="875"/>
              </w:tabs>
              <w:spacing w:before="1"/>
              <w:ind w:right="-50"/>
              <w:jc w:val="both"/>
              <w:rPr>
                <w:rFonts w:ascii="Arial" w:hAnsi="Arial" w:cs="Arial"/>
              </w:rPr>
            </w:pPr>
            <w:r w:rsidRPr="00356D20">
              <w:rPr>
                <w:rFonts w:ascii="Arial" w:hAnsi="Arial" w:cs="Arial"/>
              </w:rPr>
              <w:t>Valoración de inversiones.</w:t>
            </w:r>
          </w:p>
          <w:p w14:paraId="0F56C252" w14:textId="77777777" w:rsidR="004962D9" w:rsidRPr="00356D20" w:rsidRDefault="004962D9" w:rsidP="00D4226B">
            <w:pPr>
              <w:tabs>
                <w:tab w:val="left" w:pos="875"/>
              </w:tabs>
              <w:ind w:right="-50"/>
              <w:jc w:val="both"/>
              <w:rPr>
                <w:rFonts w:ascii="Arial" w:hAnsi="Arial" w:cs="Arial"/>
              </w:rPr>
            </w:pPr>
          </w:p>
          <w:p w14:paraId="0E6975FF" w14:textId="77777777" w:rsidR="004962D9" w:rsidRPr="00356D20" w:rsidRDefault="004962D9" w:rsidP="00AE3935">
            <w:pPr>
              <w:pStyle w:val="Prrafodelista"/>
              <w:numPr>
                <w:ilvl w:val="0"/>
                <w:numId w:val="60"/>
              </w:numPr>
              <w:tabs>
                <w:tab w:val="left" w:pos="875"/>
              </w:tabs>
              <w:spacing w:before="1"/>
              <w:ind w:right="-50"/>
              <w:jc w:val="both"/>
              <w:rPr>
                <w:rFonts w:ascii="Arial" w:hAnsi="Arial" w:cs="Arial"/>
              </w:rPr>
            </w:pPr>
            <w:r w:rsidRPr="00356D20">
              <w:rPr>
                <w:rFonts w:ascii="Arial" w:hAnsi="Arial" w:cs="Arial"/>
              </w:rPr>
              <w:t>Pago de seguros. Los valores de los seguros se registran en gastos pagados por anticipado y se difieren al tiempo de cobertura; el emisor lo registra en su totalidad en un ingreso al momento de la expedición de la póliza.</w:t>
            </w:r>
          </w:p>
        </w:tc>
      </w:tr>
    </w:tbl>
    <w:p w14:paraId="00BF5D21" w14:textId="77777777" w:rsidR="004962D9" w:rsidRDefault="004962D9" w:rsidP="004962D9">
      <w:pPr>
        <w:ind w:left="-284" w:right="283"/>
        <w:jc w:val="both"/>
        <w:rPr>
          <w:rFonts w:ascii="Arial" w:eastAsia="Trebuchet MS" w:hAnsi="Arial" w:cs="Arial"/>
          <w:b/>
          <w:sz w:val="32"/>
          <w:szCs w:val="32"/>
          <w:u w:val="single"/>
          <w:lang w:eastAsia="es-CO"/>
        </w:rPr>
      </w:pPr>
    </w:p>
    <w:p w14:paraId="48645C7B" w14:textId="77777777" w:rsidR="004962D9" w:rsidRPr="001E3852" w:rsidRDefault="004962D9" w:rsidP="004962D9">
      <w:pPr>
        <w:ind w:left="-284"/>
        <w:jc w:val="both"/>
        <w:rPr>
          <w:rFonts w:ascii="Arial" w:hAnsi="Arial" w:cs="Arial"/>
          <w:b/>
          <w:sz w:val="28"/>
          <w:szCs w:val="28"/>
          <w:lang w:val="es-MX"/>
        </w:rPr>
      </w:pPr>
      <w:r w:rsidRPr="001E3852">
        <w:rPr>
          <w:rFonts w:ascii="Arial" w:hAnsi="Arial" w:cs="Arial"/>
          <w:b/>
          <w:sz w:val="28"/>
          <w:szCs w:val="28"/>
          <w:lang w:val="es-MX"/>
        </w:rPr>
        <w:t>324.- UNIVERSIDAD POPULAR DEL CESAR.</w:t>
      </w:r>
    </w:p>
    <w:p w14:paraId="4D3CBBF1" w14:textId="77777777" w:rsidR="004962D9" w:rsidRDefault="004962D9" w:rsidP="004962D9">
      <w:pPr>
        <w:ind w:left="-284" w:right="28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1E3852" w14:paraId="3B170D6B" w14:textId="77777777" w:rsidTr="00925DCE">
        <w:tc>
          <w:tcPr>
            <w:tcW w:w="851" w:type="dxa"/>
          </w:tcPr>
          <w:p w14:paraId="2E02E904"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N°</w:t>
            </w:r>
          </w:p>
        </w:tc>
        <w:tc>
          <w:tcPr>
            <w:tcW w:w="4395" w:type="dxa"/>
          </w:tcPr>
          <w:p w14:paraId="40B1F779"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Limitaciones detectadas por su entidad en</w:t>
            </w:r>
          </w:p>
          <w:p w14:paraId="066FBF91"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 xml:space="preserve"> la aplicación del Marco Normativo - NICSP </w:t>
            </w:r>
          </w:p>
          <w:p w14:paraId="0814D2A7"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a 31/12/2024</w:t>
            </w:r>
          </w:p>
          <w:p w14:paraId="21E21441" w14:textId="77777777" w:rsidR="004962D9" w:rsidRPr="001E3852" w:rsidRDefault="004962D9" w:rsidP="00D4226B">
            <w:pPr>
              <w:tabs>
                <w:tab w:val="left" w:pos="875"/>
              </w:tabs>
              <w:ind w:right="-50"/>
              <w:jc w:val="center"/>
              <w:rPr>
                <w:rFonts w:ascii="Arial" w:hAnsi="Arial" w:cs="Arial"/>
                <w:b/>
              </w:rPr>
            </w:pPr>
          </w:p>
        </w:tc>
        <w:tc>
          <w:tcPr>
            <w:tcW w:w="5244" w:type="dxa"/>
          </w:tcPr>
          <w:p w14:paraId="792FD54E"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Descripción de la limitación</w:t>
            </w:r>
          </w:p>
        </w:tc>
      </w:tr>
      <w:tr w:rsidR="004962D9" w:rsidRPr="001E3852" w14:paraId="1FEFA0D0" w14:textId="77777777" w:rsidTr="00925DCE">
        <w:tc>
          <w:tcPr>
            <w:tcW w:w="851" w:type="dxa"/>
          </w:tcPr>
          <w:p w14:paraId="7E6A93EA"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1</w:t>
            </w:r>
          </w:p>
        </w:tc>
        <w:tc>
          <w:tcPr>
            <w:tcW w:w="4395" w:type="dxa"/>
          </w:tcPr>
          <w:p w14:paraId="59B9743D" w14:textId="77777777" w:rsidR="004962D9" w:rsidRPr="001E3852" w:rsidRDefault="004962D9" w:rsidP="00D4226B">
            <w:pPr>
              <w:tabs>
                <w:tab w:val="left" w:pos="875"/>
              </w:tabs>
              <w:ind w:right="-50"/>
              <w:jc w:val="both"/>
              <w:rPr>
                <w:rFonts w:ascii="Arial" w:hAnsi="Arial" w:cs="Arial"/>
                <w:b/>
              </w:rPr>
            </w:pPr>
            <w:r w:rsidRPr="001E3852">
              <w:rPr>
                <w:rFonts w:ascii="Arial" w:hAnsi="Arial" w:cs="Arial"/>
                <w:b/>
              </w:rPr>
              <w:t>Operativas:</w:t>
            </w:r>
          </w:p>
        </w:tc>
        <w:tc>
          <w:tcPr>
            <w:tcW w:w="5244" w:type="dxa"/>
          </w:tcPr>
          <w:p w14:paraId="3AAD284B" w14:textId="77777777" w:rsidR="004962D9" w:rsidRPr="001E3852" w:rsidRDefault="004962D9" w:rsidP="00D4226B">
            <w:pPr>
              <w:tabs>
                <w:tab w:val="left" w:pos="875"/>
              </w:tabs>
              <w:ind w:right="-50"/>
              <w:jc w:val="both"/>
              <w:rPr>
                <w:rFonts w:ascii="Arial" w:hAnsi="Arial" w:cs="Arial"/>
              </w:rPr>
            </w:pPr>
            <w:r w:rsidRPr="001E3852">
              <w:rPr>
                <w:rFonts w:ascii="Arial" w:hAnsi="Arial" w:cs="Arial"/>
              </w:rPr>
              <w:t>Limitaciones en materia de capacitación en temas de las NICSP al personal de apoyo de las áreas administrativas y financieras de la entidad.</w:t>
            </w:r>
          </w:p>
        </w:tc>
      </w:tr>
      <w:tr w:rsidR="004962D9" w:rsidRPr="001E3852" w14:paraId="322A6326" w14:textId="77777777" w:rsidTr="00925DCE">
        <w:tc>
          <w:tcPr>
            <w:tcW w:w="851" w:type="dxa"/>
          </w:tcPr>
          <w:p w14:paraId="46F8FDB0" w14:textId="77777777" w:rsidR="004962D9" w:rsidRPr="001E3852" w:rsidRDefault="004962D9" w:rsidP="00D4226B">
            <w:pPr>
              <w:tabs>
                <w:tab w:val="left" w:pos="875"/>
              </w:tabs>
              <w:ind w:right="-50"/>
              <w:jc w:val="center"/>
              <w:rPr>
                <w:rFonts w:ascii="Arial" w:hAnsi="Arial" w:cs="Arial"/>
                <w:b/>
              </w:rPr>
            </w:pPr>
            <w:r w:rsidRPr="001E3852">
              <w:rPr>
                <w:rFonts w:ascii="Arial" w:hAnsi="Arial" w:cs="Arial"/>
                <w:b/>
              </w:rPr>
              <w:t>2</w:t>
            </w:r>
          </w:p>
        </w:tc>
        <w:tc>
          <w:tcPr>
            <w:tcW w:w="4395" w:type="dxa"/>
          </w:tcPr>
          <w:p w14:paraId="592936A2" w14:textId="77777777" w:rsidR="004962D9" w:rsidRPr="001E3852" w:rsidRDefault="004962D9" w:rsidP="00D4226B">
            <w:pPr>
              <w:tabs>
                <w:tab w:val="left" w:pos="875"/>
              </w:tabs>
              <w:ind w:right="-50"/>
              <w:jc w:val="both"/>
              <w:rPr>
                <w:rFonts w:ascii="Arial" w:hAnsi="Arial" w:cs="Arial"/>
                <w:b/>
              </w:rPr>
            </w:pPr>
            <w:r w:rsidRPr="001E3852">
              <w:rPr>
                <w:rFonts w:ascii="Arial" w:hAnsi="Arial" w:cs="Arial"/>
                <w:b/>
              </w:rPr>
              <w:t>Presupuestales:</w:t>
            </w:r>
          </w:p>
        </w:tc>
        <w:tc>
          <w:tcPr>
            <w:tcW w:w="5244" w:type="dxa"/>
          </w:tcPr>
          <w:p w14:paraId="1D21BBB2" w14:textId="77777777" w:rsidR="004962D9" w:rsidRPr="001E3852" w:rsidRDefault="004962D9" w:rsidP="00D4226B">
            <w:pPr>
              <w:tabs>
                <w:tab w:val="left" w:pos="875"/>
              </w:tabs>
              <w:ind w:right="-50"/>
              <w:jc w:val="both"/>
              <w:rPr>
                <w:rFonts w:ascii="Arial" w:hAnsi="Arial" w:cs="Arial"/>
              </w:rPr>
            </w:pPr>
            <w:r w:rsidRPr="001E3852">
              <w:rPr>
                <w:rFonts w:ascii="Arial" w:hAnsi="Arial" w:cs="Arial"/>
              </w:rPr>
              <w:t>Se presentaron limitaciones de tipo presupuestal para la contratación de personal especializado en NICSP.</w:t>
            </w:r>
          </w:p>
        </w:tc>
      </w:tr>
    </w:tbl>
    <w:p w14:paraId="1F2A6739" w14:textId="77777777" w:rsidR="004962D9" w:rsidRDefault="004962D9" w:rsidP="004962D9">
      <w:pPr>
        <w:ind w:left="-284" w:right="283"/>
        <w:jc w:val="both"/>
        <w:rPr>
          <w:rFonts w:ascii="Arial" w:eastAsia="Trebuchet MS" w:hAnsi="Arial" w:cs="Arial"/>
          <w:b/>
          <w:sz w:val="32"/>
          <w:szCs w:val="32"/>
          <w:u w:val="single"/>
          <w:lang w:eastAsia="es-CO"/>
        </w:rPr>
      </w:pPr>
    </w:p>
    <w:p w14:paraId="38C6B4F3" w14:textId="77777777" w:rsidR="004962D9" w:rsidRPr="000A42AE" w:rsidRDefault="004962D9" w:rsidP="004962D9">
      <w:pPr>
        <w:ind w:left="-284"/>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3A188D71" w14:textId="73E9789B" w:rsidR="004962D9" w:rsidRDefault="004962D9" w:rsidP="004962D9">
      <w:pPr>
        <w:ind w:left="-284" w:right="28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925DCE" w:rsidRPr="001E3852" w14:paraId="0A2D9C69" w14:textId="77777777" w:rsidTr="00D4226B">
        <w:tc>
          <w:tcPr>
            <w:tcW w:w="851" w:type="dxa"/>
          </w:tcPr>
          <w:p w14:paraId="3AFAD2F1" w14:textId="77777777" w:rsidR="00925DCE" w:rsidRPr="001E3852" w:rsidRDefault="00925DCE" w:rsidP="00D4226B">
            <w:pPr>
              <w:tabs>
                <w:tab w:val="left" w:pos="875"/>
              </w:tabs>
              <w:ind w:right="-50"/>
              <w:jc w:val="center"/>
              <w:rPr>
                <w:rFonts w:ascii="Arial" w:hAnsi="Arial" w:cs="Arial"/>
                <w:b/>
              </w:rPr>
            </w:pPr>
            <w:r w:rsidRPr="001E3852">
              <w:rPr>
                <w:rFonts w:ascii="Arial" w:hAnsi="Arial" w:cs="Arial"/>
                <w:b/>
              </w:rPr>
              <w:t>N°</w:t>
            </w:r>
          </w:p>
        </w:tc>
        <w:tc>
          <w:tcPr>
            <w:tcW w:w="4395" w:type="dxa"/>
          </w:tcPr>
          <w:p w14:paraId="437B455C" w14:textId="77777777" w:rsidR="00925DCE" w:rsidRPr="001E3852" w:rsidRDefault="00925DCE" w:rsidP="00D4226B">
            <w:pPr>
              <w:tabs>
                <w:tab w:val="left" w:pos="875"/>
              </w:tabs>
              <w:ind w:right="-50"/>
              <w:jc w:val="center"/>
              <w:rPr>
                <w:rFonts w:ascii="Arial" w:hAnsi="Arial" w:cs="Arial"/>
                <w:b/>
              </w:rPr>
            </w:pPr>
            <w:r w:rsidRPr="001E3852">
              <w:rPr>
                <w:rFonts w:ascii="Arial" w:hAnsi="Arial" w:cs="Arial"/>
                <w:b/>
              </w:rPr>
              <w:t>Limitaciones detectadas por su entidad en</w:t>
            </w:r>
          </w:p>
          <w:p w14:paraId="6B20C425" w14:textId="77777777" w:rsidR="00925DCE" w:rsidRPr="001E3852" w:rsidRDefault="00925DCE" w:rsidP="00D4226B">
            <w:pPr>
              <w:tabs>
                <w:tab w:val="left" w:pos="875"/>
              </w:tabs>
              <w:ind w:right="-50"/>
              <w:jc w:val="center"/>
              <w:rPr>
                <w:rFonts w:ascii="Arial" w:hAnsi="Arial" w:cs="Arial"/>
                <w:b/>
              </w:rPr>
            </w:pPr>
            <w:r w:rsidRPr="001E3852">
              <w:rPr>
                <w:rFonts w:ascii="Arial" w:hAnsi="Arial" w:cs="Arial"/>
                <w:b/>
              </w:rPr>
              <w:t xml:space="preserve"> la aplicación del Marco Normativo - NICSP </w:t>
            </w:r>
          </w:p>
          <w:p w14:paraId="6311A498" w14:textId="77777777" w:rsidR="00925DCE" w:rsidRPr="001E3852" w:rsidRDefault="00925DCE" w:rsidP="00D4226B">
            <w:pPr>
              <w:tabs>
                <w:tab w:val="left" w:pos="875"/>
              </w:tabs>
              <w:ind w:right="-50"/>
              <w:jc w:val="center"/>
              <w:rPr>
                <w:rFonts w:ascii="Arial" w:hAnsi="Arial" w:cs="Arial"/>
                <w:b/>
              </w:rPr>
            </w:pPr>
            <w:r w:rsidRPr="001E3852">
              <w:rPr>
                <w:rFonts w:ascii="Arial" w:hAnsi="Arial" w:cs="Arial"/>
                <w:b/>
              </w:rPr>
              <w:t>a 31/12/2024</w:t>
            </w:r>
          </w:p>
          <w:p w14:paraId="36E43D73" w14:textId="77777777" w:rsidR="00925DCE" w:rsidRPr="001E3852" w:rsidRDefault="00925DCE" w:rsidP="00D4226B">
            <w:pPr>
              <w:tabs>
                <w:tab w:val="left" w:pos="875"/>
              </w:tabs>
              <w:ind w:right="-50"/>
              <w:jc w:val="center"/>
              <w:rPr>
                <w:rFonts w:ascii="Arial" w:hAnsi="Arial" w:cs="Arial"/>
                <w:b/>
              </w:rPr>
            </w:pPr>
          </w:p>
        </w:tc>
        <w:tc>
          <w:tcPr>
            <w:tcW w:w="5244" w:type="dxa"/>
          </w:tcPr>
          <w:p w14:paraId="6D1643A2" w14:textId="77777777" w:rsidR="00925DCE" w:rsidRPr="001E3852" w:rsidRDefault="00925DCE" w:rsidP="00D4226B">
            <w:pPr>
              <w:tabs>
                <w:tab w:val="left" w:pos="875"/>
              </w:tabs>
              <w:ind w:right="-50"/>
              <w:jc w:val="center"/>
              <w:rPr>
                <w:rFonts w:ascii="Arial" w:hAnsi="Arial" w:cs="Arial"/>
                <w:b/>
              </w:rPr>
            </w:pPr>
            <w:r w:rsidRPr="001E3852">
              <w:rPr>
                <w:rFonts w:ascii="Arial" w:hAnsi="Arial" w:cs="Arial"/>
                <w:b/>
              </w:rPr>
              <w:t>Descripción de la limitación</w:t>
            </w:r>
          </w:p>
        </w:tc>
      </w:tr>
      <w:tr w:rsidR="00925DCE" w:rsidRPr="001E3852" w14:paraId="5463C836" w14:textId="77777777" w:rsidTr="00D4226B">
        <w:tc>
          <w:tcPr>
            <w:tcW w:w="851" w:type="dxa"/>
          </w:tcPr>
          <w:p w14:paraId="12D613AE" w14:textId="4EEBDE31" w:rsidR="00925DCE" w:rsidRPr="001E3852" w:rsidRDefault="00925DCE" w:rsidP="00925DCE">
            <w:pPr>
              <w:tabs>
                <w:tab w:val="left" w:pos="875"/>
              </w:tabs>
              <w:ind w:right="-50"/>
              <w:jc w:val="center"/>
              <w:rPr>
                <w:rFonts w:ascii="Arial" w:hAnsi="Arial" w:cs="Arial"/>
                <w:b/>
              </w:rPr>
            </w:pPr>
            <w:r>
              <w:rPr>
                <w:rFonts w:ascii="Arial" w:hAnsi="Arial" w:cs="Arial"/>
                <w:bCs/>
              </w:rPr>
              <w:t>1</w:t>
            </w:r>
          </w:p>
        </w:tc>
        <w:tc>
          <w:tcPr>
            <w:tcW w:w="4395" w:type="dxa"/>
          </w:tcPr>
          <w:p w14:paraId="39BDC225" w14:textId="49B7E6A0" w:rsidR="00925DCE" w:rsidRPr="001E3852" w:rsidRDefault="00925DCE" w:rsidP="00925DCE">
            <w:pPr>
              <w:tabs>
                <w:tab w:val="left" w:pos="875"/>
              </w:tabs>
              <w:ind w:right="-50"/>
              <w:jc w:val="both"/>
              <w:rPr>
                <w:rFonts w:ascii="Arial" w:hAnsi="Arial" w:cs="Arial"/>
                <w:b/>
              </w:rPr>
            </w:pPr>
            <w:r w:rsidRPr="00F93D7B">
              <w:rPr>
                <w:rFonts w:ascii="Arial" w:hAnsi="Arial" w:cs="Arial"/>
                <w:bCs/>
              </w:rPr>
              <w:t>Otras</w:t>
            </w:r>
          </w:p>
        </w:tc>
        <w:tc>
          <w:tcPr>
            <w:tcW w:w="5244" w:type="dxa"/>
          </w:tcPr>
          <w:p w14:paraId="3FCDC74E" w14:textId="2F176663" w:rsidR="00925DCE" w:rsidRPr="001E3852" w:rsidRDefault="00925DCE" w:rsidP="00925DCE">
            <w:pPr>
              <w:tabs>
                <w:tab w:val="left" w:pos="875"/>
              </w:tabs>
              <w:ind w:right="-50"/>
              <w:jc w:val="both"/>
              <w:rPr>
                <w:rFonts w:ascii="Arial" w:hAnsi="Arial" w:cs="Arial"/>
              </w:rPr>
            </w:pPr>
            <w:r>
              <w:rPr>
                <w:rFonts w:ascii="Arial" w:hAnsi="Arial" w:cs="Arial"/>
              </w:rPr>
              <w:t>Teniendo en cuenta la dinámica de la regulación contable pública y sus actualizaciones, se han requerido ajustes a los sistemas internos de información, así como, capacitación y fortalecimiento en el flujo de información por parte de las dependencias para preparar los Estados Contables de la UBPD.</w:t>
            </w:r>
          </w:p>
        </w:tc>
      </w:tr>
    </w:tbl>
    <w:p w14:paraId="5EC4C1CD" w14:textId="3D4BBA1A" w:rsidR="00925DCE" w:rsidRDefault="00925DCE" w:rsidP="004962D9">
      <w:pPr>
        <w:ind w:left="-284" w:right="283"/>
        <w:jc w:val="both"/>
        <w:rPr>
          <w:rFonts w:ascii="Arial" w:eastAsia="Trebuchet MS" w:hAnsi="Arial" w:cs="Arial"/>
          <w:b/>
          <w:sz w:val="32"/>
          <w:szCs w:val="32"/>
          <w:u w:val="single"/>
          <w:lang w:eastAsia="es-CO"/>
        </w:rPr>
      </w:pPr>
    </w:p>
    <w:p w14:paraId="0FEE75DC" w14:textId="77777777" w:rsidR="004962D9" w:rsidRPr="005179BE" w:rsidRDefault="004962D9" w:rsidP="00925DCE">
      <w:pPr>
        <w:pStyle w:val="Prrafodelista"/>
        <w:ind w:left="-284" w:right="-234"/>
        <w:jc w:val="both"/>
        <w:rPr>
          <w:rFonts w:ascii="Arial" w:hAnsi="Arial" w:cs="Arial"/>
          <w:b/>
          <w:sz w:val="28"/>
          <w:szCs w:val="28"/>
          <w:lang w:val="es-MX"/>
        </w:rPr>
      </w:pPr>
      <w:r w:rsidRPr="005179BE">
        <w:rPr>
          <w:rFonts w:ascii="Arial" w:hAnsi="Arial" w:cs="Arial"/>
          <w:b/>
          <w:sz w:val="28"/>
          <w:szCs w:val="28"/>
          <w:lang w:val="es-MX"/>
        </w:rPr>
        <w:t>335.- FONDO DE PASIVO SOCIAL FERROCARRILES NACIONALES DE COLOMBIA.</w:t>
      </w:r>
    </w:p>
    <w:p w14:paraId="4A2C42F3" w14:textId="77777777" w:rsidR="004962D9" w:rsidRDefault="004962D9" w:rsidP="004962D9">
      <w:pPr>
        <w:ind w:left="-284" w:right="28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935836" w14:paraId="2C6F8225" w14:textId="77777777" w:rsidTr="00925DCE">
        <w:tc>
          <w:tcPr>
            <w:tcW w:w="851" w:type="dxa"/>
          </w:tcPr>
          <w:p w14:paraId="1F114FCD" w14:textId="77777777" w:rsidR="004962D9" w:rsidRPr="00935836" w:rsidRDefault="004962D9" w:rsidP="00D4226B">
            <w:pPr>
              <w:tabs>
                <w:tab w:val="left" w:pos="875"/>
              </w:tabs>
              <w:ind w:right="-50"/>
              <w:jc w:val="center"/>
              <w:rPr>
                <w:rFonts w:ascii="Arial" w:hAnsi="Arial" w:cs="Arial"/>
                <w:b/>
              </w:rPr>
            </w:pPr>
            <w:r w:rsidRPr="00935836">
              <w:rPr>
                <w:rFonts w:ascii="Arial" w:hAnsi="Arial" w:cs="Arial"/>
                <w:b/>
              </w:rPr>
              <w:t>N°</w:t>
            </w:r>
          </w:p>
        </w:tc>
        <w:tc>
          <w:tcPr>
            <w:tcW w:w="4395" w:type="dxa"/>
          </w:tcPr>
          <w:p w14:paraId="762F380C" w14:textId="77777777" w:rsidR="004962D9" w:rsidRPr="00935836" w:rsidRDefault="004962D9" w:rsidP="00D4226B">
            <w:pPr>
              <w:tabs>
                <w:tab w:val="left" w:pos="875"/>
              </w:tabs>
              <w:ind w:right="-50"/>
              <w:jc w:val="center"/>
              <w:rPr>
                <w:rFonts w:ascii="Arial" w:hAnsi="Arial" w:cs="Arial"/>
                <w:b/>
              </w:rPr>
            </w:pPr>
            <w:r w:rsidRPr="00935836">
              <w:rPr>
                <w:rFonts w:ascii="Arial" w:hAnsi="Arial" w:cs="Arial"/>
                <w:b/>
              </w:rPr>
              <w:t>Limitaciones detectadas por su entidad en la aplicación del Marco Normativo - NICSP a 31/12/2024</w:t>
            </w:r>
          </w:p>
          <w:p w14:paraId="0C8616A1" w14:textId="77777777" w:rsidR="004962D9" w:rsidRPr="00935836" w:rsidRDefault="004962D9" w:rsidP="00D4226B">
            <w:pPr>
              <w:tabs>
                <w:tab w:val="left" w:pos="875"/>
              </w:tabs>
              <w:ind w:right="-50"/>
              <w:jc w:val="center"/>
              <w:rPr>
                <w:rFonts w:ascii="Arial" w:hAnsi="Arial" w:cs="Arial"/>
                <w:b/>
              </w:rPr>
            </w:pPr>
          </w:p>
        </w:tc>
        <w:tc>
          <w:tcPr>
            <w:tcW w:w="5244" w:type="dxa"/>
          </w:tcPr>
          <w:p w14:paraId="0F1ED21E" w14:textId="77777777" w:rsidR="004962D9" w:rsidRPr="00935836" w:rsidRDefault="004962D9" w:rsidP="00D4226B">
            <w:pPr>
              <w:tabs>
                <w:tab w:val="left" w:pos="875"/>
              </w:tabs>
              <w:ind w:right="-50"/>
              <w:jc w:val="center"/>
              <w:rPr>
                <w:rFonts w:ascii="Arial" w:hAnsi="Arial" w:cs="Arial"/>
                <w:b/>
              </w:rPr>
            </w:pPr>
            <w:r w:rsidRPr="00935836">
              <w:rPr>
                <w:rFonts w:ascii="Arial" w:hAnsi="Arial" w:cs="Arial"/>
                <w:b/>
              </w:rPr>
              <w:t>Descripción de la limitación</w:t>
            </w:r>
          </w:p>
        </w:tc>
      </w:tr>
      <w:tr w:rsidR="004962D9" w:rsidRPr="00935836" w14:paraId="3AE1F997" w14:textId="77777777" w:rsidTr="00925DCE">
        <w:tc>
          <w:tcPr>
            <w:tcW w:w="851" w:type="dxa"/>
          </w:tcPr>
          <w:p w14:paraId="4CE09697" w14:textId="77777777" w:rsidR="004962D9" w:rsidRPr="00935836" w:rsidRDefault="004962D9" w:rsidP="00D4226B">
            <w:pPr>
              <w:tabs>
                <w:tab w:val="left" w:pos="875"/>
              </w:tabs>
              <w:ind w:right="-50"/>
              <w:jc w:val="center"/>
              <w:rPr>
                <w:rFonts w:ascii="Arial" w:hAnsi="Arial" w:cs="Arial"/>
                <w:b/>
              </w:rPr>
            </w:pPr>
            <w:r w:rsidRPr="00935836">
              <w:rPr>
                <w:rFonts w:ascii="Arial" w:hAnsi="Arial" w:cs="Arial"/>
                <w:b/>
              </w:rPr>
              <w:lastRenderedPageBreak/>
              <w:t>1</w:t>
            </w:r>
          </w:p>
        </w:tc>
        <w:tc>
          <w:tcPr>
            <w:tcW w:w="4395" w:type="dxa"/>
          </w:tcPr>
          <w:p w14:paraId="5EFDEDD4" w14:textId="77777777" w:rsidR="004962D9" w:rsidRPr="00935836" w:rsidRDefault="004962D9" w:rsidP="00D4226B">
            <w:pPr>
              <w:tabs>
                <w:tab w:val="left" w:pos="875"/>
              </w:tabs>
              <w:ind w:right="-50"/>
              <w:jc w:val="both"/>
              <w:rPr>
                <w:rFonts w:ascii="Arial" w:hAnsi="Arial" w:cs="Arial"/>
                <w:b/>
              </w:rPr>
            </w:pPr>
            <w:r w:rsidRPr="00935836">
              <w:rPr>
                <w:rFonts w:ascii="Arial" w:hAnsi="Arial" w:cs="Arial"/>
                <w:b/>
              </w:rPr>
              <w:t>Normativas:</w:t>
            </w:r>
          </w:p>
        </w:tc>
        <w:tc>
          <w:tcPr>
            <w:tcW w:w="5244" w:type="dxa"/>
          </w:tcPr>
          <w:p w14:paraId="4E99C916" w14:textId="77777777" w:rsidR="004962D9" w:rsidRPr="00935836" w:rsidRDefault="004962D9" w:rsidP="00D4226B">
            <w:pPr>
              <w:tabs>
                <w:tab w:val="left" w:pos="875"/>
              </w:tabs>
              <w:ind w:right="-50"/>
              <w:jc w:val="both"/>
              <w:rPr>
                <w:rFonts w:ascii="Arial" w:hAnsi="Arial" w:cs="Arial"/>
              </w:rPr>
            </w:pPr>
            <w:r w:rsidRPr="00935836">
              <w:rPr>
                <w:rFonts w:ascii="Arial" w:hAnsi="Arial" w:cs="Arial"/>
              </w:rPr>
              <w:t>Como entidad adaptada en salud, en aplicación al procedimiento contable para el registro de los hechos económicos relacionados con el manejo de los recursos del sistema general de seguridad social en salud para la vigencia 2024, se tuvo que gestionar ante la Contaduría General de la Nación la dinámica contable para el registro de unos hechos económicos generados para la unidad salud que no se encontraban establecidos en el procedimiento contable.</w:t>
            </w:r>
          </w:p>
          <w:p w14:paraId="7CC4407B" w14:textId="77777777" w:rsidR="004962D9" w:rsidRPr="00935836" w:rsidRDefault="004962D9" w:rsidP="00D4226B">
            <w:pPr>
              <w:tabs>
                <w:tab w:val="left" w:pos="875"/>
              </w:tabs>
              <w:ind w:right="-50"/>
              <w:jc w:val="both"/>
              <w:rPr>
                <w:rFonts w:ascii="Arial" w:hAnsi="Arial" w:cs="Arial"/>
              </w:rPr>
            </w:pPr>
          </w:p>
          <w:p w14:paraId="0FEAB9AE" w14:textId="77777777" w:rsidR="004962D9" w:rsidRPr="00935836" w:rsidRDefault="004962D9" w:rsidP="00D4226B">
            <w:pPr>
              <w:tabs>
                <w:tab w:val="left" w:pos="875"/>
              </w:tabs>
              <w:ind w:right="-50"/>
              <w:jc w:val="both"/>
              <w:rPr>
                <w:rFonts w:ascii="Arial" w:hAnsi="Arial" w:cs="Arial"/>
              </w:rPr>
            </w:pPr>
            <w:r w:rsidRPr="00935836">
              <w:rPr>
                <w:rFonts w:ascii="Arial" w:hAnsi="Arial" w:cs="Arial"/>
              </w:rPr>
              <w:t>En aplicación al procedimiento contable para el registro de los procesos judiciales, arbitrajes, conciliaciones extrajudiciales y embargos sobre cuentas bancarias, no se refleja la cuenta contable para provisión en el concepto de laudos arbitrales.</w:t>
            </w:r>
          </w:p>
        </w:tc>
      </w:tr>
    </w:tbl>
    <w:p w14:paraId="0A30E43C" w14:textId="77777777" w:rsidR="004962D9" w:rsidRDefault="004962D9" w:rsidP="004962D9">
      <w:pPr>
        <w:ind w:left="-284" w:right="283"/>
        <w:jc w:val="both"/>
        <w:rPr>
          <w:rFonts w:ascii="Arial" w:eastAsia="Trebuchet MS" w:hAnsi="Arial" w:cs="Arial"/>
          <w:b/>
          <w:sz w:val="32"/>
          <w:szCs w:val="32"/>
          <w:u w:val="single"/>
          <w:lang w:eastAsia="es-CO"/>
        </w:rPr>
      </w:pPr>
    </w:p>
    <w:p w14:paraId="10B08520" w14:textId="77777777" w:rsidR="004962D9" w:rsidRPr="00906234" w:rsidRDefault="004962D9" w:rsidP="00925DCE">
      <w:pPr>
        <w:ind w:left="-284"/>
        <w:jc w:val="both"/>
        <w:rPr>
          <w:rFonts w:ascii="Arial" w:hAnsi="Arial" w:cs="Arial"/>
          <w:b/>
          <w:sz w:val="28"/>
          <w:szCs w:val="28"/>
          <w:lang w:val="es-MX"/>
        </w:rPr>
      </w:pPr>
      <w:r w:rsidRPr="00906234">
        <w:rPr>
          <w:rFonts w:ascii="Arial" w:hAnsi="Arial" w:cs="Arial"/>
          <w:b/>
          <w:sz w:val="28"/>
          <w:szCs w:val="28"/>
          <w:lang w:val="es-MX"/>
        </w:rPr>
        <w:t>337.- UNIVERSIDAD DE CÓRDOBA.</w:t>
      </w:r>
    </w:p>
    <w:p w14:paraId="5EEFE05C" w14:textId="77777777" w:rsidR="004962D9" w:rsidRDefault="004962D9" w:rsidP="004962D9">
      <w:pPr>
        <w:ind w:left="-284" w:right="28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906234" w14:paraId="7C1DD9D9" w14:textId="77777777" w:rsidTr="00925DCE">
        <w:tc>
          <w:tcPr>
            <w:tcW w:w="851" w:type="dxa"/>
          </w:tcPr>
          <w:p w14:paraId="337F0B0E"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t>N°</w:t>
            </w:r>
          </w:p>
        </w:tc>
        <w:tc>
          <w:tcPr>
            <w:tcW w:w="4395" w:type="dxa"/>
          </w:tcPr>
          <w:p w14:paraId="2BD7E590"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t>Limitaciones detectadas por su entidad en</w:t>
            </w:r>
          </w:p>
          <w:p w14:paraId="148E981C"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t xml:space="preserve"> la aplicación del Marco Normativo - NICSP </w:t>
            </w:r>
          </w:p>
          <w:p w14:paraId="3D6E38FF"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t>a 31/12/2024</w:t>
            </w:r>
          </w:p>
          <w:p w14:paraId="488D6BC6" w14:textId="77777777" w:rsidR="004962D9" w:rsidRPr="00906234" w:rsidRDefault="004962D9" w:rsidP="00D4226B">
            <w:pPr>
              <w:tabs>
                <w:tab w:val="left" w:pos="875"/>
              </w:tabs>
              <w:ind w:right="-50"/>
              <w:jc w:val="center"/>
              <w:rPr>
                <w:rFonts w:ascii="Arial" w:hAnsi="Arial" w:cs="Arial"/>
                <w:b/>
              </w:rPr>
            </w:pPr>
          </w:p>
        </w:tc>
        <w:tc>
          <w:tcPr>
            <w:tcW w:w="5244" w:type="dxa"/>
          </w:tcPr>
          <w:p w14:paraId="746C5C4D"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t>Descripción de la limitación</w:t>
            </w:r>
          </w:p>
        </w:tc>
      </w:tr>
      <w:tr w:rsidR="004962D9" w:rsidRPr="00906234" w14:paraId="143051C0" w14:textId="77777777" w:rsidTr="00925DCE">
        <w:tc>
          <w:tcPr>
            <w:tcW w:w="851" w:type="dxa"/>
          </w:tcPr>
          <w:p w14:paraId="203B5EFB"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t>1</w:t>
            </w:r>
          </w:p>
        </w:tc>
        <w:tc>
          <w:tcPr>
            <w:tcW w:w="4395" w:type="dxa"/>
          </w:tcPr>
          <w:p w14:paraId="20B7947C" w14:textId="77777777" w:rsidR="004962D9" w:rsidRPr="00906234" w:rsidRDefault="004962D9" w:rsidP="00D4226B">
            <w:pPr>
              <w:tabs>
                <w:tab w:val="left" w:pos="875"/>
              </w:tabs>
              <w:ind w:right="-50"/>
              <w:jc w:val="both"/>
              <w:rPr>
                <w:rFonts w:ascii="Arial" w:hAnsi="Arial" w:cs="Arial"/>
                <w:b/>
              </w:rPr>
            </w:pPr>
            <w:r w:rsidRPr="00906234">
              <w:rPr>
                <w:rFonts w:ascii="Arial" w:hAnsi="Arial" w:cs="Arial"/>
                <w:b/>
              </w:rPr>
              <w:t>Técnicas:</w:t>
            </w:r>
          </w:p>
        </w:tc>
        <w:tc>
          <w:tcPr>
            <w:tcW w:w="5244" w:type="dxa"/>
          </w:tcPr>
          <w:p w14:paraId="3DC80F98" w14:textId="77777777" w:rsidR="004962D9" w:rsidRPr="00906234" w:rsidRDefault="004962D9" w:rsidP="00D4226B">
            <w:pPr>
              <w:tabs>
                <w:tab w:val="left" w:pos="875"/>
              </w:tabs>
              <w:ind w:right="-50"/>
              <w:jc w:val="both"/>
              <w:rPr>
                <w:rFonts w:ascii="Arial" w:hAnsi="Arial" w:cs="Arial"/>
              </w:rPr>
            </w:pPr>
            <w:r w:rsidRPr="00906234">
              <w:rPr>
                <w:rFonts w:ascii="Arial" w:hAnsi="Arial" w:cs="Arial"/>
              </w:rPr>
              <w:t>A nivel de herramienta tecnológica se ha continuado con los planes de trabajo de normalización de la herramienta financiera y administrativa SEVEN, respecto a los procedimientos de cada área, la alimentación que permitió una mayor integración entre los módulos.</w:t>
            </w:r>
          </w:p>
          <w:p w14:paraId="3F0B1D0D" w14:textId="77777777" w:rsidR="004962D9" w:rsidRPr="00906234" w:rsidRDefault="004962D9" w:rsidP="00D4226B">
            <w:pPr>
              <w:tabs>
                <w:tab w:val="left" w:pos="875"/>
              </w:tabs>
              <w:ind w:right="-50"/>
              <w:jc w:val="both"/>
              <w:rPr>
                <w:rFonts w:ascii="Arial" w:hAnsi="Arial" w:cs="Arial"/>
              </w:rPr>
            </w:pPr>
          </w:p>
          <w:p w14:paraId="2866459B" w14:textId="77777777" w:rsidR="004962D9" w:rsidRPr="00906234" w:rsidRDefault="004962D9" w:rsidP="00D4226B">
            <w:pPr>
              <w:tabs>
                <w:tab w:val="left" w:pos="875"/>
              </w:tabs>
              <w:ind w:right="-50"/>
              <w:jc w:val="both"/>
              <w:rPr>
                <w:rFonts w:ascii="Arial" w:hAnsi="Arial" w:cs="Arial"/>
              </w:rPr>
            </w:pPr>
            <w:r w:rsidRPr="00906234">
              <w:rPr>
                <w:rFonts w:ascii="Arial" w:hAnsi="Arial" w:cs="Arial"/>
              </w:rPr>
              <w:t>A nivel de procedimientos se han venido ajustando de acuerdo a la normatividad y a un mejor flujo de la información, así:</w:t>
            </w:r>
          </w:p>
          <w:p w14:paraId="76890287" w14:textId="77777777" w:rsidR="004962D9" w:rsidRPr="00906234" w:rsidRDefault="004962D9" w:rsidP="00D4226B">
            <w:pPr>
              <w:tabs>
                <w:tab w:val="left" w:pos="875"/>
              </w:tabs>
              <w:ind w:right="-50"/>
              <w:jc w:val="both"/>
              <w:rPr>
                <w:rFonts w:ascii="Arial" w:hAnsi="Arial" w:cs="Arial"/>
              </w:rPr>
            </w:pPr>
          </w:p>
          <w:p w14:paraId="0132F03B" w14:textId="77777777" w:rsidR="004962D9" w:rsidRPr="00906234" w:rsidRDefault="004962D9" w:rsidP="00AE3935">
            <w:pPr>
              <w:pStyle w:val="Prrafodelista"/>
              <w:numPr>
                <w:ilvl w:val="0"/>
                <w:numId w:val="61"/>
              </w:numPr>
              <w:tabs>
                <w:tab w:val="left" w:pos="875"/>
              </w:tabs>
              <w:spacing w:before="1"/>
              <w:ind w:right="-50"/>
              <w:jc w:val="both"/>
              <w:rPr>
                <w:rFonts w:ascii="Arial" w:hAnsi="Arial" w:cs="Arial"/>
              </w:rPr>
            </w:pPr>
            <w:r w:rsidRPr="00906234">
              <w:rPr>
                <w:rFonts w:ascii="Arial" w:hAnsi="Arial" w:cs="Arial"/>
              </w:rPr>
              <w:t>Seguimiento a la información facturada, descuentos aplicados e ingresos recibidos por concepto de matrículas en el software académico Vs. Software financiero.</w:t>
            </w:r>
          </w:p>
          <w:p w14:paraId="1A36AC3A" w14:textId="77777777" w:rsidR="004962D9" w:rsidRPr="00906234" w:rsidRDefault="004962D9" w:rsidP="00D4226B">
            <w:pPr>
              <w:pStyle w:val="Prrafodelista"/>
              <w:tabs>
                <w:tab w:val="left" w:pos="875"/>
              </w:tabs>
              <w:ind w:left="720" w:right="-50"/>
              <w:rPr>
                <w:rFonts w:ascii="Arial" w:hAnsi="Arial" w:cs="Arial"/>
              </w:rPr>
            </w:pPr>
          </w:p>
          <w:p w14:paraId="3E79E7AA" w14:textId="77777777" w:rsidR="004962D9" w:rsidRPr="00906234" w:rsidRDefault="004962D9" w:rsidP="00AE3935">
            <w:pPr>
              <w:pStyle w:val="Prrafodelista"/>
              <w:numPr>
                <w:ilvl w:val="0"/>
                <w:numId w:val="61"/>
              </w:numPr>
              <w:tabs>
                <w:tab w:val="left" w:pos="875"/>
              </w:tabs>
              <w:spacing w:before="1"/>
              <w:ind w:right="-50"/>
              <w:jc w:val="both"/>
              <w:rPr>
                <w:rFonts w:ascii="Arial" w:hAnsi="Arial" w:cs="Arial"/>
              </w:rPr>
            </w:pPr>
            <w:r w:rsidRPr="00906234">
              <w:rPr>
                <w:rFonts w:ascii="Arial" w:hAnsi="Arial" w:cs="Arial"/>
              </w:rPr>
              <w:t>Realiza la actualización de los ingresos por concepto de matrícula en el Software financiero Vs. Bancos.</w:t>
            </w:r>
          </w:p>
          <w:p w14:paraId="65B94BBF" w14:textId="77777777" w:rsidR="004962D9" w:rsidRPr="00906234" w:rsidRDefault="004962D9" w:rsidP="00D4226B">
            <w:pPr>
              <w:pStyle w:val="Prrafodelista"/>
              <w:tabs>
                <w:tab w:val="left" w:pos="875"/>
              </w:tabs>
              <w:ind w:left="720" w:right="-50"/>
              <w:rPr>
                <w:rFonts w:ascii="Arial" w:hAnsi="Arial" w:cs="Arial"/>
              </w:rPr>
            </w:pPr>
          </w:p>
          <w:p w14:paraId="109BBE99" w14:textId="77777777" w:rsidR="004962D9" w:rsidRPr="00906234" w:rsidRDefault="004962D9" w:rsidP="00AE3935">
            <w:pPr>
              <w:pStyle w:val="Prrafodelista"/>
              <w:numPr>
                <w:ilvl w:val="0"/>
                <w:numId w:val="61"/>
              </w:numPr>
              <w:tabs>
                <w:tab w:val="left" w:pos="875"/>
              </w:tabs>
              <w:spacing w:before="1"/>
              <w:ind w:right="-50"/>
              <w:jc w:val="both"/>
              <w:rPr>
                <w:rFonts w:ascii="Arial" w:hAnsi="Arial" w:cs="Arial"/>
              </w:rPr>
            </w:pPr>
            <w:r w:rsidRPr="00906234">
              <w:rPr>
                <w:rFonts w:ascii="Arial" w:hAnsi="Arial" w:cs="Arial"/>
              </w:rPr>
              <w:t>Conciliación de los Módulos de cartera y contabilidad.</w:t>
            </w:r>
          </w:p>
          <w:p w14:paraId="41EBAFC0" w14:textId="77777777" w:rsidR="004962D9" w:rsidRPr="00906234" w:rsidRDefault="004962D9" w:rsidP="00D4226B">
            <w:pPr>
              <w:pStyle w:val="Prrafodelista"/>
              <w:tabs>
                <w:tab w:val="left" w:pos="875"/>
              </w:tabs>
              <w:ind w:left="720" w:right="-50"/>
              <w:rPr>
                <w:rFonts w:ascii="Arial" w:hAnsi="Arial" w:cs="Arial"/>
              </w:rPr>
            </w:pPr>
          </w:p>
          <w:p w14:paraId="09C22D1F" w14:textId="77777777" w:rsidR="004962D9" w:rsidRPr="00906234" w:rsidRDefault="004962D9" w:rsidP="00AE3935">
            <w:pPr>
              <w:pStyle w:val="Prrafodelista"/>
              <w:numPr>
                <w:ilvl w:val="0"/>
                <w:numId w:val="61"/>
              </w:numPr>
              <w:tabs>
                <w:tab w:val="left" w:pos="875"/>
              </w:tabs>
              <w:spacing w:before="1"/>
              <w:ind w:right="-50"/>
              <w:jc w:val="both"/>
              <w:rPr>
                <w:rFonts w:ascii="Arial" w:hAnsi="Arial" w:cs="Arial"/>
              </w:rPr>
            </w:pPr>
            <w:r w:rsidRPr="00906234">
              <w:rPr>
                <w:rFonts w:ascii="Arial" w:hAnsi="Arial" w:cs="Arial"/>
              </w:rPr>
              <w:t>Aplicación de los Ajustes requeridos en el software financiero módulos de cartera y contabilidad.</w:t>
            </w:r>
          </w:p>
          <w:p w14:paraId="7949C5F7" w14:textId="77777777" w:rsidR="004962D9" w:rsidRPr="00906234" w:rsidRDefault="004962D9" w:rsidP="00D4226B">
            <w:pPr>
              <w:pStyle w:val="Prrafodelista"/>
              <w:tabs>
                <w:tab w:val="left" w:pos="875"/>
              </w:tabs>
              <w:ind w:left="720" w:right="-50"/>
              <w:rPr>
                <w:rFonts w:ascii="Arial" w:hAnsi="Arial" w:cs="Arial"/>
              </w:rPr>
            </w:pPr>
          </w:p>
          <w:p w14:paraId="1E3C8E6B" w14:textId="77777777" w:rsidR="004962D9" w:rsidRPr="00906234" w:rsidRDefault="004962D9" w:rsidP="00AE3935">
            <w:pPr>
              <w:pStyle w:val="Prrafodelista"/>
              <w:numPr>
                <w:ilvl w:val="0"/>
                <w:numId w:val="61"/>
              </w:numPr>
              <w:tabs>
                <w:tab w:val="left" w:pos="875"/>
              </w:tabs>
              <w:spacing w:before="1"/>
              <w:ind w:right="-50"/>
              <w:jc w:val="both"/>
              <w:rPr>
                <w:rFonts w:ascii="Arial" w:hAnsi="Arial" w:cs="Arial"/>
              </w:rPr>
            </w:pPr>
            <w:r w:rsidRPr="00906234">
              <w:rPr>
                <w:rFonts w:ascii="Arial" w:hAnsi="Arial" w:cs="Arial"/>
              </w:rPr>
              <w:t xml:space="preserve">Reliquidación de las matrículas en el software académico y financiero (Ingreso de descuentos y/o beneficios en la facturación, por concepto de Icetex, becas ICFES, comunidad afrocolombiana, comunidad indígena, becas hijo del trabajador y pensionados, convenios interadministrativos con municipios, descuentos electorales, descuento por ser egresados, descuentos por nómina, </w:t>
            </w:r>
            <w:r w:rsidRPr="00906234">
              <w:rPr>
                <w:rFonts w:ascii="Arial" w:hAnsi="Arial" w:cs="Arial"/>
              </w:rPr>
              <w:lastRenderedPageBreak/>
              <w:t>Méritos académicos, deportivos y culturales, entre otros).</w:t>
            </w:r>
          </w:p>
        </w:tc>
      </w:tr>
      <w:tr w:rsidR="004962D9" w:rsidRPr="00906234" w14:paraId="27829D68" w14:textId="77777777" w:rsidTr="00925DCE">
        <w:tc>
          <w:tcPr>
            <w:tcW w:w="851" w:type="dxa"/>
          </w:tcPr>
          <w:p w14:paraId="1CBCF30A" w14:textId="77777777" w:rsidR="004962D9" w:rsidRPr="00906234" w:rsidRDefault="004962D9" w:rsidP="00D4226B">
            <w:pPr>
              <w:tabs>
                <w:tab w:val="left" w:pos="875"/>
              </w:tabs>
              <w:ind w:right="-50"/>
              <w:jc w:val="center"/>
              <w:rPr>
                <w:rFonts w:ascii="Arial" w:hAnsi="Arial" w:cs="Arial"/>
                <w:b/>
              </w:rPr>
            </w:pPr>
            <w:r w:rsidRPr="00906234">
              <w:rPr>
                <w:rFonts w:ascii="Arial" w:hAnsi="Arial" w:cs="Arial"/>
                <w:b/>
              </w:rPr>
              <w:lastRenderedPageBreak/>
              <w:t>2</w:t>
            </w:r>
          </w:p>
        </w:tc>
        <w:tc>
          <w:tcPr>
            <w:tcW w:w="4395" w:type="dxa"/>
          </w:tcPr>
          <w:p w14:paraId="17C49AA1" w14:textId="77777777" w:rsidR="004962D9" w:rsidRPr="00906234" w:rsidRDefault="004962D9" w:rsidP="00D4226B">
            <w:pPr>
              <w:tabs>
                <w:tab w:val="left" w:pos="875"/>
              </w:tabs>
              <w:ind w:right="-50"/>
              <w:jc w:val="both"/>
              <w:rPr>
                <w:rFonts w:ascii="Arial" w:hAnsi="Arial" w:cs="Arial"/>
                <w:b/>
              </w:rPr>
            </w:pPr>
            <w:r w:rsidRPr="00906234">
              <w:rPr>
                <w:rFonts w:ascii="Arial" w:hAnsi="Arial" w:cs="Arial"/>
                <w:b/>
              </w:rPr>
              <w:t>Operativas:</w:t>
            </w:r>
          </w:p>
        </w:tc>
        <w:tc>
          <w:tcPr>
            <w:tcW w:w="5244" w:type="dxa"/>
          </w:tcPr>
          <w:p w14:paraId="6C6CDDB7" w14:textId="77777777" w:rsidR="004962D9" w:rsidRPr="00906234" w:rsidRDefault="004962D9" w:rsidP="00D4226B">
            <w:pPr>
              <w:tabs>
                <w:tab w:val="left" w:pos="875"/>
              </w:tabs>
              <w:ind w:right="-50"/>
              <w:jc w:val="both"/>
              <w:rPr>
                <w:rFonts w:ascii="Arial" w:hAnsi="Arial" w:cs="Arial"/>
              </w:rPr>
            </w:pPr>
            <w:r w:rsidRPr="00906234">
              <w:rPr>
                <w:rFonts w:ascii="Arial" w:hAnsi="Arial" w:cs="Arial"/>
              </w:rPr>
              <w:t>La Universidad de Córdoba en su plan de mejoramiento fortaleció la inversión en los sistemas de información y la importancia de las actualizaciones de los softwares, empleando manejo de bases de datos, elaboración de archivos planos que permitan minimizar la carga operativa manual de los funcionarios, adicional se realizó las parametrizaciones de los softwares requeridos en las diferentes subdirecciones de la dirección Financiera, con el fin de sacar el mejor provecho de las herramientas tecnológicas que posee la Universidad de Córdoba y permitir que la información se registre simultáneamente en todos sus módulos.</w:t>
            </w:r>
          </w:p>
        </w:tc>
      </w:tr>
    </w:tbl>
    <w:p w14:paraId="58DD7639" w14:textId="77777777" w:rsidR="004962D9" w:rsidRDefault="004962D9" w:rsidP="004962D9">
      <w:pPr>
        <w:jc w:val="both"/>
        <w:rPr>
          <w:b/>
          <w:sz w:val="28"/>
          <w:szCs w:val="28"/>
          <w:lang w:val="es-MX"/>
        </w:rPr>
      </w:pPr>
    </w:p>
    <w:p w14:paraId="430D4192" w14:textId="77777777" w:rsidR="004962D9" w:rsidRPr="0040097D" w:rsidRDefault="004962D9" w:rsidP="00925DCE">
      <w:pPr>
        <w:ind w:left="-284"/>
        <w:jc w:val="both"/>
        <w:rPr>
          <w:rFonts w:ascii="Arial" w:hAnsi="Arial" w:cs="Arial"/>
          <w:b/>
          <w:sz w:val="28"/>
          <w:szCs w:val="28"/>
          <w:lang w:val="es-MX"/>
        </w:rPr>
      </w:pPr>
      <w:r w:rsidRPr="0040097D">
        <w:rPr>
          <w:rFonts w:ascii="Arial" w:hAnsi="Arial" w:cs="Arial"/>
          <w:b/>
          <w:sz w:val="28"/>
          <w:szCs w:val="28"/>
          <w:lang w:val="es-MX"/>
        </w:rPr>
        <w:t>344.- SUPERINTENDENCIA DE NOTARIADO Y REGISTRO.</w:t>
      </w:r>
    </w:p>
    <w:p w14:paraId="6E996836" w14:textId="77777777" w:rsidR="004962D9" w:rsidRPr="0040097D" w:rsidRDefault="004962D9" w:rsidP="004962D9">
      <w:pPr>
        <w:ind w:left="-284" w:right="28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40097D" w14:paraId="237C131A" w14:textId="77777777" w:rsidTr="00925DCE">
        <w:tc>
          <w:tcPr>
            <w:tcW w:w="851" w:type="dxa"/>
          </w:tcPr>
          <w:p w14:paraId="0E3FC838"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N°</w:t>
            </w:r>
          </w:p>
        </w:tc>
        <w:tc>
          <w:tcPr>
            <w:tcW w:w="4395" w:type="dxa"/>
          </w:tcPr>
          <w:p w14:paraId="3FF0D5B3"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Limitaciones detectadas por su entidad en</w:t>
            </w:r>
          </w:p>
          <w:p w14:paraId="15430733"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 xml:space="preserve"> la aplicación del Marco Normativo - NICSP </w:t>
            </w:r>
          </w:p>
          <w:p w14:paraId="4777FAD5"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a 31/12/2024</w:t>
            </w:r>
          </w:p>
          <w:p w14:paraId="60DE85E8" w14:textId="77777777" w:rsidR="004962D9" w:rsidRPr="0040097D" w:rsidRDefault="004962D9" w:rsidP="00D4226B">
            <w:pPr>
              <w:tabs>
                <w:tab w:val="left" w:pos="875"/>
              </w:tabs>
              <w:ind w:right="-50"/>
              <w:jc w:val="center"/>
              <w:rPr>
                <w:rFonts w:ascii="Arial" w:hAnsi="Arial" w:cs="Arial"/>
                <w:b/>
              </w:rPr>
            </w:pPr>
          </w:p>
        </w:tc>
        <w:tc>
          <w:tcPr>
            <w:tcW w:w="5244" w:type="dxa"/>
          </w:tcPr>
          <w:p w14:paraId="53C40EE4"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Descripción de la limitación</w:t>
            </w:r>
          </w:p>
        </w:tc>
      </w:tr>
      <w:tr w:rsidR="004962D9" w:rsidRPr="0040097D" w14:paraId="1CCBE90A" w14:textId="77777777" w:rsidTr="00925DCE">
        <w:tc>
          <w:tcPr>
            <w:tcW w:w="851" w:type="dxa"/>
          </w:tcPr>
          <w:p w14:paraId="69F590DA"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1</w:t>
            </w:r>
          </w:p>
        </w:tc>
        <w:tc>
          <w:tcPr>
            <w:tcW w:w="4395" w:type="dxa"/>
          </w:tcPr>
          <w:p w14:paraId="0CC2F52F" w14:textId="77777777" w:rsidR="004962D9" w:rsidRPr="0040097D" w:rsidRDefault="004962D9" w:rsidP="00D4226B">
            <w:pPr>
              <w:tabs>
                <w:tab w:val="left" w:pos="875"/>
              </w:tabs>
              <w:ind w:right="-50"/>
              <w:jc w:val="both"/>
              <w:rPr>
                <w:rFonts w:ascii="Arial" w:hAnsi="Arial" w:cs="Arial"/>
                <w:b/>
              </w:rPr>
            </w:pPr>
            <w:r w:rsidRPr="0040097D">
              <w:rPr>
                <w:rFonts w:ascii="Arial" w:hAnsi="Arial" w:cs="Arial"/>
                <w:b/>
              </w:rPr>
              <w:t>Técnicas:</w:t>
            </w:r>
          </w:p>
        </w:tc>
        <w:tc>
          <w:tcPr>
            <w:tcW w:w="5244" w:type="dxa"/>
          </w:tcPr>
          <w:p w14:paraId="2E44B476" w14:textId="77777777" w:rsidR="004962D9" w:rsidRPr="0040097D" w:rsidRDefault="004962D9" w:rsidP="00D4226B">
            <w:pPr>
              <w:tabs>
                <w:tab w:val="left" w:pos="875"/>
              </w:tabs>
              <w:ind w:right="-50"/>
              <w:jc w:val="both"/>
              <w:rPr>
                <w:rFonts w:ascii="Arial" w:hAnsi="Arial" w:cs="Arial"/>
              </w:rPr>
            </w:pPr>
            <w:r w:rsidRPr="0040097D">
              <w:rPr>
                <w:rFonts w:ascii="Arial" w:hAnsi="Arial" w:cs="Arial"/>
              </w:rPr>
              <w:t>En ocasiones se generan fallas en sistema del SIIF lo cual retrasa el correcto desarrollo de los procesos.</w:t>
            </w:r>
          </w:p>
        </w:tc>
      </w:tr>
      <w:tr w:rsidR="004962D9" w:rsidRPr="0040097D" w14:paraId="53642863" w14:textId="77777777" w:rsidTr="00925DCE">
        <w:tc>
          <w:tcPr>
            <w:tcW w:w="851" w:type="dxa"/>
          </w:tcPr>
          <w:p w14:paraId="55B7D3C3" w14:textId="77777777" w:rsidR="004962D9" w:rsidRPr="0040097D" w:rsidRDefault="004962D9" w:rsidP="00D4226B">
            <w:pPr>
              <w:tabs>
                <w:tab w:val="left" w:pos="875"/>
              </w:tabs>
              <w:ind w:right="-50"/>
              <w:jc w:val="center"/>
              <w:rPr>
                <w:rFonts w:ascii="Arial" w:hAnsi="Arial" w:cs="Arial"/>
                <w:b/>
              </w:rPr>
            </w:pPr>
            <w:r w:rsidRPr="0040097D">
              <w:rPr>
                <w:rFonts w:ascii="Arial" w:hAnsi="Arial" w:cs="Arial"/>
                <w:b/>
              </w:rPr>
              <w:t>2</w:t>
            </w:r>
          </w:p>
        </w:tc>
        <w:tc>
          <w:tcPr>
            <w:tcW w:w="4395" w:type="dxa"/>
          </w:tcPr>
          <w:p w14:paraId="0843C359" w14:textId="77777777" w:rsidR="004962D9" w:rsidRPr="0040097D" w:rsidRDefault="004962D9" w:rsidP="00D4226B">
            <w:pPr>
              <w:tabs>
                <w:tab w:val="left" w:pos="875"/>
              </w:tabs>
              <w:ind w:right="-50"/>
              <w:jc w:val="both"/>
              <w:rPr>
                <w:rFonts w:ascii="Arial" w:hAnsi="Arial" w:cs="Arial"/>
                <w:b/>
              </w:rPr>
            </w:pPr>
            <w:r w:rsidRPr="0040097D">
              <w:rPr>
                <w:rFonts w:ascii="Arial" w:hAnsi="Arial" w:cs="Arial"/>
                <w:b/>
              </w:rPr>
              <w:t>Operativas:</w:t>
            </w:r>
          </w:p>
        </w:tc>
        <w:tc>
          <w:tcPr>
            <w:tcW w:w="5244" w:type="dxa"/>
          </w:tcPr>
          <w:p w14:paraId="2AA9E934" w14:textId="77777777" w:rsidR="004962D9" w:rsidRPr="0040097D" w:rsidRDefault="004962D9" w:rsidP="00D4226B">
            <w:pPr>
              <w:tabs>
                <w:tab w:val="left" w:pos="875"/>
              </w:tabs>
              <w:ind w:right="-50"/>
              <w:jc w:val="both"/>
              <w:rPr>
                <w:rFonts w:ascii="Arial" w:hAnsi="Arial" w:cs="Arial"/>
              </w:rPr>
            </w:pPr>
            <w:r w:rsidRPr="0040097D">
              <w:rPr>
                <w:rFonts w:ascii="Arial" w:hAnsi="Arial" w:cs="Arial"/>
              </w:rPr>
              <w:t>La compleja estructura de la entidad, así como su magnitud, no permite la verificación oportuna de sus operaciones, lo cual dificulta el proceso de análisis. Durante la vigencia del 2024 se realizaron mesas de trabajo y análisis de la información según lo registrado en las oficinas de registro de forma virtual por parte de profesionales del Nivel Central con áreas proveedoras, con el fin de brindar apoyo para lograr el mejoramiento en la calidad y oportunidad de la información financiera y contable.</w:t>
            </w:r>
          </w:p>
        </w:tc>
      </w:tr>
    </w:tbl>
    <w:p w14:paraId="446E3628" w14:textId="77777777" w:rsidR="004962D9" w:rsidRDefault="004962D9" w:rsidP="004962D9">
      <w:pPr>
        <w:ind w:left="-284" w:right="283"/>
        <w:jc w:val="both"/>
        <w:rPr>
          <w:rFonts w:ascii="Arial" w:eastAsia="Trebuchet MS" w:hAnsi="Arial" w:cs="Arial"/>
          <w:b/>
          <w:sz w:val="32"/>
          <w:szCs w:val="32"/>
          <w:u w:val="single"/>
          <w:lang w:eastAsia="es-CO"/>
        </w:rPr>
      </w:pPr>
    </w:p>
    <w:p w14:paraId="53206E5A" w14:textId="77777777" w:rsidR="004962D9" w:rsidRPr="00A061AF" w:rsidRDefault="004962D9" w:rsidP="00925DCE">
      <w:pPr>
        <w:ind w:left="-284"/>
        <w:jc w:val="both"/>
        <w:rPr>
          <w:rFonts w:ascii="Arial" w:hAnsi="Arial" w:cs="Arial"/>
          <w:b/>
          <w:sz w:val="28"/>
          <w:szCs w:val="28"/>
          <w:lang w:val="es-MX"/>
        </w:rPr>
      </w:pPr>
      <w:r w:rsidRPr="00A061AF">
        <w:rPr>
          <w:rFonts w:ascii="Arial" w:hAnsi="Arial" w:cs="Arial"/>
          <w:b/>
          <w:sz w:val="28"/>
          <w:szCs w:val="28"/>
          <w:lang w:val="es-MX"/>
        </w:rPr>
        <w:t xml:space="preserve">347.- FONDO AGROPECUARIO DE GARANTÍAS – FAG. </w:t>
      </w:r>
    </w:p>
    <w:p w14:paraId="1E365A06" w14:textId="77777777" w:rsidR="004962D9" w:rsidRDefault="004962D9" w:rsidP="004962D9">
      <w:pPr>
        <w:ind w:left="-284" w:right="283"/>
        <w:jc w:val="both"/>
        <w:rPr>
          <w:rFonts w:ascii="Arial" w:eastAsia="Trebuchet MS" w:hAnsi="Arial" w:cs="Arial"/>
          <w:b/>
          <w:sz w:val="32"/>
          <w:szCs w:val="32"/>
          <w:u w:val="single"/>
          <w:lang w:eastAsia="es-CO"/>
        </w:rPr>
      </w:pPr>
    </w:p>
    <w:tbl>
      <w:tblPr>
        <w:tblStyle w:val="Tablaconcuadrcula"/>
        <w:tblW w:w="10490" w:type="dxa"/>
        <w:tblInd w:w="-289" w:type="dxa"/>
        <w:tblLook w:val="04A0" w:firstRow="1" w:lastRow="0" w:firstColumn="1" w:lastColumn="0" w:noHBand="0" w:noVBand="1"/>
      </w:tblPr>
      <w:tblGrid>
        <w:gridCol w:w="851"/>
        <w:gridCol w:w="4395"/>
        <w:gridCol w:w="5244"/>
      </w:tblGrid>
      <w:tr w:rsidR="004962D9" w:rsidRPr="00987C52" w14:paraId="128E119F" w14:textId="77777777" w:rsidTr="00925DCE">
        <w:tc>
          <w:tcPr>
            <w:tcW w:w="851" w:type="dxa"/>
          </w:tcPr>
          <w:p w14:paraId="26285E2A"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t>N°</w:t>
            </w:r>
          </w:p>
        </w:tc>
        <w:tc>
          <w:tcPr>
            <w:tcW w:w="4395" w:type="dxa"/>
          </w:tcPr>
          <w:p w14:paraId="75B13DC2"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t>Limitaciones detectadas por su entidad en</w:t>
            </w:r>
          </w:p>
          <w:p w14:paraId="2B9B26C7"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t xml:space="preserve"> la aplicación del Marco Normativo - NICSP </w:t>
            </w:r>
          </w:p>
          <w:p w14:paraId="7A2B57F6"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t>a 31/12/2024</w:t>
            </w:r>
          </w:p>
          <w:p w14:paraId="6BDA76FE" w14:textId="77777777" w:rsidR="004962D9" w:rsidRPr="00987C52" w:rsidRDefault="004962D9" w:rsidP="00D4226B">
            <w:pPr>
              <w:tabs>
                <w:tab w:val="left" w:pos="875"/>
              </w:tabs>
              <w:ind w:right="-50"/>
              <w:jc w:val="center"/>
              <w:rPr>
                <w:rFonts w:ascii="Arial" w:hAnsi="Arial" w:cs="Arial"/>
                <w:b/>
              </w:rPr>
            </w:pPr>
          </w:p>
        </w:tc>
        <w:tc>
          <w:tcPr>
            <w:tcW w:w="5244" w:type="dxa"/>
          </w:tcPr>
          <w:p w14:paraId="3713ED94"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t>Descripción de la limitación</w:t>
            </w:r>
          </w:p>
        </w:tc>
      </w:tr>
      <w:tr w:rsidR="004962D9" w:rsidRPr="00987C52" w14:paraId="7626496E" w14:textId="77777777" w:rsidTr="00925DCE">
        <w:tc>
          <w:tcPr>
            <w:tcW w:w="851" w:type="dxa"/>
          </w:tcPr>
          <w:p w14:paraId="6F46C5D8"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t>1</w:t>
            </w:r>
          </w:p>
        </w:tc>
        <w:tc>
          <w:tcPr>
            <w:tcW w:w="4395" w:type="dxa"/>
          </w:tcPr>
          <w:p w14:paraId="0920DB72" w14:textId="77777777" w:rsidR="004962D9" w:rsidRPr="00987C52" w:rsidRDefault="004962D9" w:rsidP="00D4226B">
            <w:pPr>
              <w:tabs>
                <w:tab w:val="left" w:pos="875"/>
              </w:tabs>
              <w:ind w:right="-50"/>
              <w:jc w:val="both"/>
              <w:rPr>
                <w:rFonts w:ascii="Arial" w:hAnsi="Arial" w:cs="Arial"/>
                <w:b/>
              </w:rPr>
            </w:pPr>
            <w:r w:rsidRPr="00987C52">
              <w:rPr>
                <w:rFonts w:ascii="Arial" w:hAnsi="Arial" w:cs="Arial"/>
                <w:b/>
              </w:rPr>
              <w:t>Normativas:</w:t>
            </w:r>
          </w:p>
        </w:tc>
        <w:tc>
          <w:tcPr>
            <w:tcW w:w="5244" w:type="dxa"/>
          </w:tcPr>
          <w:p w14:paraId="4C8F4E26"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t>En consideración que el Fondo Agropecuario de Garantías se encuentra constituido como un Fondo Cuenta vigilado por la Superintendencia Financiera, para efectos contables, a nivel de documento fuente le son aplicables las normas especiales expedidas por la Superintendencia Financiera de Colombia.</w:t>
            </w:r>
          </w:p>
          <w:p w14:paraId="30B5E850"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t>En ese orden la FAG, aplica las Normas Internacionales de Información Financiera NIIF plenas, con excepción de la NIIF 9, la cual aún no es obligatoria su aplicación para entidades del Sector Financiero.</w:t>
            </w:r>
          </w:p>
          <w:p w14:paraId="4D9E1D1A" w14:textId="77777777" w:rsidR="004962D9" w:rsidRPr="00987C52" w:rsidRDefault="004962D9" w:rsidP="00D4226B">
            <w:pPr>
              <w:tabs>
                <w:tab w:val="left" w:pos="875"/>
              </w:tabs>
              <w:ind w:right="-50"/>
              <w:jc w:val="both"/>
              <w:rPr>
                <w:rFonts w:ascii="Arial" w:hAnsi="Arial" w:cs="Arial"/>
              </w:rPr>
            </w:pPr>
          </w:p>
          <w:p w14:paraId="45CF58B2"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t>Al fondo Agropecuario de Garantías – FAG, no le son aplicables los marcos normativos expedidos por la Contaduría General de la Nación NICSP.</w:t>
            </w:r>
          </w:p>
          <w:p w14:paraId="3E8A6DDF" w14:textId="77777777" w:rsidR="004962D9" w:rsidRPr="00987C52" w:rsidRDefault="004962D9" w:rsidP="00D4226B">
            <w:pPr>
              <w:tabs>
                <w:tab w:val="left" w:pos="875"/>
              </w:tabs>
              <w:ind w:right="-50"/>
              <w:jc w:val="both"/>
              <w:rPr>
                <w:rFonts w:ascii="Arial" w:hAnsi="Arial" w:cs="Arial"/>
              </w:rPr>
            </w:pPr>
          </w:p>
          <w:p w14:paraId="5FA5C93E"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lastRenderedPageBreak/>
              <w:t>El FAG cumple con la normatividad expedida por la Contaduría General de la Nación (Resolución 037 de 2017) en lo referente a la homologación de cuentas para efectos de reporte a esa Unidad Administrativa Especial.</w:t>
            </w:r>
          </w:p>
        </w:tc>
      </w:tr>
      <w:tr w:rsidR="004962D9" w:rsidRPr="00987C52" w14:paraId="7268FB87" w14:textId="77777777" w:rsidTr="00925DCE">
        <w:tc>
          <w:tcPr>
            <w:tcW w:w="851" w:type="dxa"/>
          </w:tcPr>
          <w:p w14:paraId="35DBEF1B" w14:textId="77777777" w:rsidR="004962D9" w:rsidRPr="00987C52" w:rsidRDefault="004962D9" w:rsidP="00D4226B">
            <w:pPr>
              <w:tabs>
                <w:tab w:val="left" w:pos="875"/>
              </w:tabs>
              <w:ind w:right="-50"/>
              <w:jc w:val="center"/>
              <w:rPr>
                <w:rFonts w:ascii="Arial" w:hAnsi="Arial" w:cs="Arial"/>
                <w:b/>
              </w:rPr>
            </w:pPr>
            <w:r w:rsidRPr="00987C52">
              <w:rPr>
                <w:rFonts w:ascii="Arial" w:hAnsi="Arial" w:cs="Arial"/>
                <w:b/>
              </w:rPr>
              <w:lastRenderedPageBreak/>
              <w:t>2</w:t>
            </w:r>
          </w:p>
        </w:tc>
        <w:tc>
          <w:tcPr>
            <w:tcW w:w="4395" w:type="dxa"/>
          </w:tcPr>
          <w:p w14:paraId="5170B93F" w14:textId="77777777" w:rsidR="004962D9" w:rsidRPr="00987C52" w:rsidRDefault="004962D9" w:rsidP="00D4226B">
            <w:pPr>
              <w:tabs>
                <w:tab w:val="left" w:pos="875"/>
              </w:tabs>
              <w:ind w:right="-50"/>
              <w:jc w:val="both"/>
              <w:rPr>
                <w:rFonts w:ascii="Arial" w:hAnsi="Arial" w:cs="Arial"/>
                <w:b/>
              </w:rPr>
            </w:pPr>
            <w:r w:rsidRPr="00987C52">
              <w:rPr>
                <w:rFonts w:ascii="Arial" w:hAnsi="Arial" w:cs="Arial"/>
                <w:b/>
              </w:rPr>
              <w:t>Operativas:</w:t>
            </w:r>
          </w:p>
        </w:tc>
        <w:tc>
          <w:tcPr>
            <w:tcW w:w="5244" w:type="dxa"/>
          </w:tcPr>
          <w:p w14:paraId="6C7F88F1"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t>El reporte trimestral de operaciones recíprocas, presenta de manera reiterativa diferencias y partidas por conciliar con las diferentes entidades del Estado.</w:t>
            </w:r>
          </w:p>
          <w:p w14:paraId="73B56455" w14:textId="77777777" w:rsidR="004962D9" w:rsidRPr="00987C52" w:rsidRDefault="004962D9" w:rsidP="00D4226B">
            <w:pPr>
              <w:tabs>
                <w:tab w:val="left" w:pos="875"/>
              </w:tabs>
              <w:ind w:right="-50"/>
              <w:jc w:val="both"/>
              <w:rPr>
                <w:rFonts w:ascii="Arial" w:hAnsi="Arial" w:cs="Arial"/>
              </w:rPr>
            </w:pPr>
          </w:p>
          <w:p w14:paraId="10D7088B"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t>Dichas partidas obedecen a la naturaleza de cada una de las Entidades que las reportan y a los sistemas normativos aplicables sobre las mismas, las cuales no pueden ser correspondidas por la entidad recíproca, generándose una alta operatividad en los procesos conciliatorios periódicos que deben realizar las entidades involucradas.</w:t>
            </w:r>
          </w:p>
          <w:p w14:paraId="246F731F" w14:textId="77777777" w:rsidR="004962D9" w:rsidRPr="00987C52" w:rsidRDefault="004962D9" w:rsidP="00D4226B">
            <w:pPr>
              <w:tabs>
                <w:tab w:val="left" w:pos="875"/>
              </w:tabs>
              <w:ind w:right="-50"/>
              <w:jc w:val="both"/>
              <w:rPr>
                <w:rFonts w:ascii="Arial" w:hAnsi="Arial" w:cs="Arial"/>
              </w:rPr>
            </w:pPr>
          </w:p>
          <w:p w14:paraId="62A02FB2" w14:textId="77777777" w:rsidR="004962D9" w:rsidRPr="00987C52" w:rsidRDefault="004962D9" w:rsidP="00D4226B">
            <w:pPr>
              <w:tabs>
                <w:tab w:val="left" w:pos="875"/>
              </w:tabs>
              <w:ind w:right="-50"/>
              <w:jc w:val="both"/>
              <w:rPr>
                <w:rFonts w:ascii="Arial" w:hAnsi="Arial" w:cs="Arial"/>
              </w:rPr>
            </w:pPr>
            <w:r w:rsidRPr="00987C52">
              <w:rPr>
                <w:rFonts w:ascii="Arial" w:hAnsi="Arial" w:cs="Arial"/>
              </w:rPr>
              <w:t>Entre otras destacamos las siguientes:</w:t>
            </w:r>
          </w:p>
          <w:p w14:paraId="3652ABC9" w14:textId="77777777" w:rsidR="004962D9" w:rsidRPr="00987C52" w:rsidRDefault="004962D9" w:rsidP="00D4226B">
            <w:pPr>
              <w:tabs>
                <w:tab w:val="left" w:pos="875"/>
              </w:tabs>
              <w:ind w:right="-50"/>
              <w:jc w:val="both"/>
              <w:rPr>
                <w:rFonts w:ascii="Arial" w:hAnsi="Arial" w:cs="Arial"/>
              </w:rPr>
            </w:pPr>
          </w:p>
          <w:p w14:paraId="1C951BFB" w14:textId="77777777" w:rsidR="004962D9" w:rsidRPr="00987C52" w:rsidRDefault="004962D9" w:rsidP="00AE3935">
            <w:pPr>
              <w:pStyle w:val="Prrafodelista"/>
              <w:numPr>
                <w:ilvl w:val="0"/>
                <w:numId w:val="62"/>
              </w:numPr>
              <w:tabs>
                <w:tab w:val="left" w:pos="875"/>
              </w:tabs>
              <w:spacing w:before="1"/>
              <w:ind w:right="-50"/>
              <w:jc w:val="both"/>
              <w:rPr>
                <w:rFonts w:ascii="Arial" w:hAnsi="Arial" w:cs="Arial"/>
              </w:rPr>
            </w:pPr>
            <w:r w:rsidRPr="00987C52">
              <w:rPr>
                <w:rFonts w:ascii="Arial" w:hAnsi="Arial" w:cs="Arial"/>
              </w:rPr>
              <w:t>Cuentas por pagar, anticipos y gastos por concepto de impuestos (DIAN, SHD).</w:t>
            </w:r>
          </w:p>
          <w:p w14:paraId="1F5F3D7C" w14:textId="77777777" w:rsidR="004962D9" w:rsidRPr="00987C52" w:rsidRDefault="004962D9" w:rsidP="00D4226B">
            <w:pPr>
              <w:pStyle w:val="Prrafodelista"/>
              <w:tabs>
                <w:tab w:val="left" w:pos="875"/>
              </w:tabs>
              <w:ind w:left="720" w:right="-50"/>
              <w:rPr>
                <w:rFonts w:ascii="Arial" w:hAnsi="Arial" w:cs="Arial"/>
              </w:rPr>
            </w:pPr>
          </w:p>
          <w:p w14:paraId="23C67499" w14:textId="77777777" w:rsidR="004962D9" w:rsidRPr="00987C52" w:rsidRDefault="004962D9" w:rsidP="00AE3935">
            <w:pPr>
              <w:pStyle w:val="Prrafodelista"/>
              <w:numPr>
                <w:ilvl w:val="0"/>
                <w:numId w:val="62"/>
              </w:numPr>
              <w:tabs>
                <w:tab w:val="left" w:pos="875"/>
              </w:tabs>
              <w:spacing w:before="1"/>
              <w:ind w:right="-50"/>
              <w:jc w:val="both"/>
              <w:rPr>
                <w:rFonts w:ascii="Arial" w:hAnsi="Arial" w:cs="Arial"/>
              </w:rPr>
            </w:pPr>
            <w:r w:rsidRPr="00987C52">
              <w:rPr>
                <w:rFonts w:ascii="Arial" w:hAnsi="Arial" w:cs="Arial"/>
              </w:rPr>
              <w:t>Valoración de inversiones.</w:t>
            </w:r>
          </w:p>
          <w:p w14:paraId="0F73CE0D" w14:textId="77777777" w:rsidR="004962D9" w:rsidRPr="00987C52" w:rsidRDefault="004962D9" w:rsidP="00D4226B">
            <w:pPr>
              <w:pStyle w:val="Prrafodelista"/>
              <w:tabs>
                <w:tab w:val="left" w:pos="875"/>
              </w:tabs>
              <w:ind w:left="720" w:right="-50"/>
              <w:rPr>
                <w:rFonts w:ascii="Arial" w:hAnsi="Arial" w:cs="Arial"/>
              </w:rPr>
            </w:pPr>
          </w:p>
          <w:p w14:paraId="68B4929A" w14:textId="77777777" w:rsidR="004962D9" w:rsidRPr="00987C52" w:rsidRDefault="004962D9" w:rsidP="00AE3935">
            <w:pPr>
              <w:pStyle w:val="Prrafodelista"/>
              <w:numPr>
                <w:ilvl w:val="0"/>
                <w:numId w:val="62"/>
              </w:numPr>
              <w:tabs>
                <w:tab w:val="left" w:pos="875"/>
              </w:tabs>
              <w:spacing w:before="1"/>
              <w:ind w:right="-50"/>
              <w:jc w:val="both"/>
              <w:rPr>
                <w:rFonts w:ascii="Arial" w:hAnsi="Arial" w:cs="Arial"/>
              </w:rPr>
            </w:pPr>
            <w:r w:rsidRPr="00987C52">
              <w:rPr>
                <w:rFonts w:ascii="Arial" w:hAnsi="Arial" w:cs="Arial"/>
              </w:rPr>
              <w:t>Pago de seguros. Los valores de los seguros se registran en gastos pagados por anticipado y se difieren al tiempo de cobertura; el emisor lo registra en su totalidad en un ingreso al momento de la expedición de la póliza.</w:t>
            </w:r>
          </w:p>
        </w:tc>
      </w:tr>
    </w:tbl>
    <w:p w14:paraId="4086653A" w14:textId="77777777" w:rsidR="004962D9" w:rsidRPr="00356D20" w:rsidRDefault="004962D9" w:rsidP="004962D9">
      <w:pPr>
        <w:ind w:left="-284" w:right="283"/>
        <w:jc w:val="both"/>
        <w:rPr>
          <w:rFonts w:ascii="Arial" w:eastAsia="Trebuchet MS" w:hAnsi="Arial" w:cs="Arial"/>
          <w:b/>
          <w:sz w:val="32"/>
          <w:szCs w:val="32"/>
          <w:u w:val="single"/>
          <w:lang w:eastAsia="es-CO"/>
        </w:rPr>
      </w:pPr>
    </w:p>
    <w:p w14:paraId="6F74F26F" w14:textId="77777777" w:rsidR="000475BD" w:rsidRPr="00A85772" w:rsidRDefault="000475BD" w:rsidP="00A85772">
      <w:pPr>
        <w:ind w:left="-284" w:right="-234"/>
        <w:jc w:val="center"/>
        <w:rPr>
          <w:rFonts w:ascii="Arial" w:eastAsia="Calibri" w:hAnsi="Arial" w:cs="Arial"/>
          <w:b/>
          <w:sz w:val="28"/>
          <w:szCs w:val="28"/>
          <w:u w:val="single"/>
        </w:rPr>
      </w:pPr>
      <w:bookmarkStart w:id="39" w:name="_Hlk210307144"/>
      <w:r w:rsidRPr="00A85772">
        <w:rPr>
          <w:rFonts w:ascii="Arial" w:eastAsia="Trebuchet MS" w:hAnsi="Arial" w:cs="Arial"/>
          <w:b/>
          <w:sz w:val="28"/>
          <w:szCs w:val="28"/>
          <w:u w:val="single"/>
          <w:lang w:val="es-ES_tradnl" w:eastAsia="es-CO"/>
        </w:rPr>
        <w:t xml:space="preserve">14.- EMPRESAS, ENTIDADES Y FONDOS QUE PRESENTARON </w:t>
      </w:r>
      <w:r w:rsidRPr="00A85772">
        <w:rPr>
          <w:rFonts w:ascii="Arial" w:eastAsia="Calibri" w:hAnsi="Arial" w:cs="Arial"/>
          <w:b/>
          <w:sz w:val="28"/>
          <w:szCs w:val="28"/>
          <w:u w:val="single"/>
        </w:rPr>
        <w:t>CORRECCIÓN DE ERRORES DEL PERIODO CONTABLE ANTERIOR (2023).</w:t>
      </w:r>
    </w:p>
    <w:bookmarkEnd w:id="39"/>
    <w:p w14:paraId="74858DDF" w14:textId="77777777" w:rsidR="000475BD" w:rsidRPr="00FE2C5F" w:rsidRDefault="000475BD" w:rsidP="000475BD">
      <w:pPr>
        <w:ind w:left="-284" w:right="-518"/>
        <w:jc w:val="both"/>
        <w:rPr>
          <w:rFonts w:ascii="Arial" w:hAnsi="Arial" w:cs="Arial"/>
          <w:b/>
          <w:sz w:val="28"/>
          <w:szCs w:val="28"/>
          <w:shd w:val="clear" w:color="auto" w:fill="FFFFFF"/>
        </w:rPr>
      </w:pPr>
    </w:p>
    <w:tbl>
      <w:tblPr>
        <w:tblStyle w:val="Tablaconcuadrcula"/>
        <w:tblW w:w="10485" w:type="dxa"/>
        <w:jc w:val="center"/>
        <w:tblLook w:val="04A0" w:firstRow="1" w:lastRow="0" w:firstColumn="1" w:lastColumn="0" w:noHBand="0" w:noVBand="1"/>
      </w:tblPr>
      <w:tblGrid>
        <w:gridCol w:w="1560"/>
        <w:gridCol w:w="8925"/>
      </w:tblGrid>
      <w:tr w:rsidR="000475BD" w:rsidRPr="004B1294" w14:paraId="45B20DDF" w14:textId="77777777" w:rsidTr="00D4226B">
        <w:trPr>
          <w:jc w:val="center"/>
        </w:trPr>
        <w:tc>
          <w:tcPr>
            <w:tcW w:w="1560" w:type="dxa"/>
          </w:tcPr>
          <w:p w14:paraId="3C120DE0" w14:textId="77777777" w:rsidR="000475BD" w:rsidRPr="004B1294" w:rsidRDefault="000475BD" w:rsidP="00D4226B">
            <w:pPr>
              <w:tabs>
                <w:tab w:val="left" w:pos="993"/>
              </w:tabs>
              <w:jc w:val="center"/>
              <w:rPr>
                <w:rFonts w:ascii="Arial" w:hAnsi="Arial" w:cs="Arial"/>
                <w:b/>
              </w:rPr>
            </w:pPr>
            <w:r w:rsidRPr="004B1294">
              <w:rPr>
                <w:rFonts w:ascii="Arial" w:hAnsi="Arial" w:cs="Arial"/>
                <w:b/>
              </w:rPr>
              <w:t xml:space="preserve">N° </w:t>
            </w:r>
            <w:r>
              <w:rPr>
                <w:rFonts w:ascii="Arial" w:hAnsi="Arial" w:cs="Arial"/>
                <w:b/>
              </w:rPr>
              <w:t xml:space="preserve">DE LA ENTIDAD </w:t>
            </w:r>
            <w:r w:rsidRPr="004B1294">
              <w:rPr>
                <w:rFonts w:ascii="Arial" w:hAnsi="Arial" w:cs="Arial"/>
                <w:b/>
              </w:rPr>
              <w:t>EN LA RESOLUCIÓN</w:t>
            </w:r>
          </w:p>
          <w:p w14:paraId="1BAB0E7D" w14:textId="77777777" w:rsidR="000475BD" w:rsidRPr="004B1294" w:rsidRDefault="000475BD" w:rsidP="00D4226B">
            <w:pPr>
              <w:tabs>
                <w:tab w:val="left" w:pos="993"/>
              </w:tabs>
              <w:jc w:val="center"/>
              <w:rPr>
                <w:rFonts w:ascii="Arial" w:hAnsi="Arial" w:cs="Arial"/>
                <w:b/>
              </w:rPr>
            </w:pPr>
          </w:p>
        </w:tc>
        <w:tc>
          <w:tcPr>
            <w:tcW w:w="8925" w:type="dxa"/>
          </w:tcPr>
          <w:p w14:paraId="0C578929" w14:textId="77777777" w:rsidR="000475BD" w:rsidRPr="004B1294" w:rsidRDefault="000475BD" w:rsidP="00D4226B">
            <w:pPr>
              <w:tabs>
                <w:tab w:val="left" w:pos="993"/>
              </w:tabs>
              <w:jc w:val="center"/>
              <w:rPr>
                <w:rFonts w:ascii="Arial" w:hAnsi="Arial" w:cs="Arial"/>
                <w:b/>
              </w:rPr>
            </w:pPr>
            <w:r w:rsidRPr="004B1294">
              <w:rPr>
                <w:rFonts w:ascii="Arial" w:hAnsi="Arial" w:cs="Arial"/>
                <w:b/>
              </w:rPr>
              <w:t>ENTIDAD DEL NIVEL NACIONAL VIGENCIA FISCAL 202</w:t>
            </w:r>
            <w:r>
              <w:rPr>
                <w:rFonts w:ascii="Arial" w:hAnsi="Arial" w:cs="Arial"/>
                <w:b/>
              </w:rPr>
              <w:t>4</w:t>
            </w:r>
          </w:p>
          <w:p w14:paraId="1535A2C5" w14:textId="77777777" w:rsidR="000475BD" w:rsidRPr="004B1294" w:rsidRDefault="000475BD" w:rsidP="00D4226B">
            <w:pPr>
              <w:tabs>
                <w:tab w:val="left" w:pos="993"/>
              </w:tabs>
              <w:jc w:val="center"/>
              <w:rPr>
                <w:rFonts w:ascii="Arial" w:hAnsi="Arial" w:cs="Arial"/>
                <w:b/>
              </w:rPr>
            </w:pPr>
          </w:p>
        </w:tc>
      </w:tr>
      <w:tr w:rsidR="000475BD" w:rsidRPr="004B1294" w14:paraId="240794D3" w14:textId="77777777" w:rsidTr="00D4226B">
        <w:trPr>
          <w:jc w:val="center"/>
        </w:trPr>
        <w:tc>
          <w:tcPr>
            <w:tcW w:w="1560" w:type="dxa"/>
          </w:tcPr>
          <w:p w14:paraId="5ACB0797" w14:textId="77777777" w:rsidR="000475BD" w:rsidRPr="0016415F" w:rsidRDefault="000475BD" w:rsidP="00D4226B">
            <w:pPr>
              <w:jc w:val="center"/>
              <w:rPr>
                <w:rFonts w:ascii="Arial" w:eastAsia="Trebuchet MS" w:hAnsi="Arial" w:cs="Arial"/>
                <w:b/>
                <w:sz w:val="22"/>
                <w:szCs w:val="22"/>
                <w:lang w:val="es-ES_tradnl"/>
              </w:rPr>
            </w:pPr>
            <w:r w:rsidRPr="0016415F">
              <w:rPr>
                <w:rFonts w:ascii="Arial" w:eastAsia="Trebuchet MS" w:hAnsi="Arial" w:cs="Arial"/>
                <w:b/>
                <w:sz w:val="22"/>
                <w:szCs w:val="22"/>
                <w:lang w:val="es-ES_tradnl"/>
              </w:rPr>
              <w:t>1</w:t>
            </w:r>
          </w:p>
        </w:tc>
        <w:tc>
          <w:tcPr>
            <w:tcW w:w="8925" w:type="dxa"/>
          </w:tcPr>
          <w:p w14:paraId="39EF150E" w14:textId="77777777" w:rsidR="000475BD" w:rsidRPr="0016415F" w:rsidRDefault="000475BD" w:rsidP="00D4226B">
            <w:pPr>
              <w:jc w:val="both"/>
              <w:rPr>
                <w:rFonts w:ascii="Arial" w:hAnsi="Arial" w:cs="Arial"/>
                <w:b/>
                <w:sz w:val="22"/>
                <w:szCs w:val="22"/>
                <w:lang w:val="es-MX"/>
              </w:rPr>
            </w:pPr>
            <w:r w:rsidRPr="0016415F">
              <w:rPr>
                <w:rFonts w:ascii="Arial" w:hAnsi="Arial" w:cs="Arial"/>
                <w:b/>
                <w:sz w:val="22"/>
                <w:szCs w:val="22"/>
                <w:lang w:val="es-MX"/>
              </w:rPr>
              <w:t>U.A.E. DIRECCION DE IMPUESTOS Y ADUANAS NACIONALES DIAN – FUNCION RECAUDADORA.</w:t>
            </w:r>
          </w:p>
        </w:tc>
      </w:tr>
      <w:tr w:rsidR="000475BD" w:rsidRPr="004B1294" w14:paraId="25CF09AA" w14:textId="77777777" w:rsidTr="00D4226B">
        <w:trPr>
          <w:jc w:val="center"/>
        </w:trPr>
        <w:tc>
          <w:tcPr>
            <w:tcW w:w="1560" w:type="dxa"/>
          </w:tcPr>
          <w:p w14:paraId="51E53B38" w14:textId="77777777" w:rsidR="000475BD" w:rsidRPr="0016415F" w:rsidRDefault="000475BD" w:rsidP="00D4226B">
            <w:pPr>
              <w:jc w:val="center"/>
              <w:rPr>
                <w:rFonts w:ascii="Arial" w:eastAsia="Trebuchet MS" w:hAnsi="Arial" w:cs="Arial"/>
                <w:b/>
                <w:lang w:val="es-ES_tradnl"/>
              </w:rPr>
            </w:pPr>
            <w:r>
              <w:rPr>
                <w:rFonts w:ascii="Arial" w:eastAsia="Trebuchet MS" w:hAnsi="Arial" w:cs="Arial"/>
                <w:b/>
                <w:lang w:val="es-ES_tradnl"/>
              </w:rPr>
              <w:t>2</w:t>
            </w:r>
          </w:p>
        </w:tc>
        <w:tc>
          <w:tcPr>
            <w:tcW w:w="8925" w:type="dxa"/>
          </w:tcPr>
          <w:p w14:paraId="621DA1A4" w14:textId="77777777" w:rsidR="000475BD" w:rsidRPr="00694F51" w:rsidRDefault="000475BD" w:rsidP="00D4226B">
            <w:pPr>
              <w:ind w:left="22"/>
              <w:jc w:val="both"/>
              <w:rPr>
                <w:rFonts w:ascii="Arial" w:hAnsi="Arial" w:cs="Arial"/>
                <w:b/>
                <w:sz w:val="22"/>
                <w:szCs w:val="22"/>
                <w:lang w:val="es-MX"/>
              </w:rPr>
            </w:pPr>
            <w:r w:rsidRPr="00694F51">
              <w:rPr>
                <w:rFonts w:ascii="Arial" w:hAnsi="Arial" w:cs="Arial"/>
                <w:b/>
                <w:sz w:val="22"/>
                <w:szCs w:val="22"/>
                <w:lang w:val="es-MX"/>
              </w:rPr>
              <w:t>U.A.E. DIRECCIÓN DE IMPUESTOS Y ADUANAS NACIONALES – DIAN FUNCIÓN PAGADORA.</w:t>
            </w:r>
          </w:p>
        </w:tc>
      </w:tr>
      <w:tr w:rsidR="000475BD" w:rsidRPr="004B1294" w14:paraId="53DB0C3E" w14:textId="77777777" w:rsidTr="00D4226B">
        <w:trPr>
          <w:jc w:val="center"/>
        </w:trPr>
        <w:tc>
          <w:tcPr>
            <w:tcW w:w="1560" w:type="dxa"/>
          </w:tcPr>
          <w:p w14:paraId="12B2869E"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w:t>
            </w:r>
          </w:p>
        </w:tc>
        <w:tc>
          <w:tcPr>
            <w:tcW w:w="8925" w:type="dxa"/>
          </w:tcPr>
          <w:p w14:paraId="65E3164A" w14:textId="77777777" w:rsidR="000475BD" w:rsidRPr="004F0DA8" w:rsidRDefault="000475BD" w:rsidP="00D4226B">
            <w:pPr>
              <w:jc w:val="both"/>
              <w:rPr>
                <w:rFonts w:ascii="Arial" w:hAnsi="Arial" w:cs="Arial"/>
                <w:b/>
                <w:sz w:val="22"/>
                <w:szCs w:val="22"/>
                <w:lang w:val="es-MX"/>
              </w:rPr>
            </w:pPr>
            <w:r w:rsidRPr="004F0DA8">
              <w:rPr>
                <w:rFonts w:ascii="Arial" w:hAnsi="Arial" w:cs="Arial"/>
                <w:b/>
                <w:sz w:val="22"/>
                <w:szCs w:val="22"/>
                <w:lang w:val="es-MX"/>
              </w:rPr>
              <w:t>SUPERINTENDENCIA DE VIGILANCIA Y SEGURIDAD PRIVADA.</w:t>
            </w:r>
          </w:p>
        </w:tc>
      </w:tr>
      <w:tr w:rsidR="000475BD" w:rsidRPr="004B1294" w14:paraId="05E2DD1B" w14:textId="77777777" w:rsidTr="00D4226B">
        <w:trPr>
          <w:jc w:val="center"/>
        </w:trPr>
        <w:tc>
          <w:tcPr>
            <w:tcW w:w="1560" w:type="dxa"/>
          </w:tcPr>
          <w:p w14:paraId="15718DED"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6</w:t>
            </w:r>
          </w:p>
        </w:tc>
        <w:tc>
          <w:tcPr>
            <w:tcW w:w="8925" w:type="dxa"/>
          </w:tcPr>
          <w:p w14:paraId="405E8A0D" w14:textId="77777777" w:rsidR="000475BD" w:rsidRPr="002B343B" w:rsidRDefault="000475BD" w:rsidP="00D4226B">
            <w:pPr>
              <w:jc w:val="both"/>
              <w:rPr>
                <w:rFonts w:ascii="Arial" w:hAnsi="Arial" w:cs="Arial"/>
                <w:b/>
                <w:sz w:val="22"/>
                <w:szCs w:val="22"/>
                <w:lang w:val="es-MX"/>
              </w:rPr>
            </w:pPr>
            <w:r w:rsidRPr="002B343B">
              <w:rPr>
                <w:rFonts w:ascii="Arial" w:hAnsi="Arial" w:cs="Arial"/>
                <w:b/>
                <w:sz w:val="22"/>
                <w:szCs w:val="22"/>
                <w:lang w:val="es-MX"/>
              </w:rPr>
              <w:t>ARCHIVO GENERAL DE LA NACIÓN JORGE PALACIOS PRECIADO.</w:t>
            </w:r>
          </w:p>
        </w:tc>
      </w:tr>
      <w:tr w:rsidR="000475BD" w:rsidRPr="004B1294" w14:paraId="1E37652C" w14:textId="77777777" w:rsidTr="00D4226B">
        <w:trPr>
          <w:jc w:val="center"/>
        </w:trPr>
        <w:tc>
          <w:tcPr>
            <w:tcW w:w="1560" w:type="dxa"/>
          </w:tcPr>
          <w:p w14:paraId="6B491A1D"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8</w:t>
            </w:r>
          </w:p>
        </w:tc>
        <w:tc>
          <w:tcPr>
            <w:tcW w:w="8925" w:type="dxa"/>
          </w:tcPr>
          <w:p w14:paraId="6E7BCB69" w14:textId="77777777" w:rsidR="000475BD" w:rsidRPr="0081515E" w:rsidRDefault="000475BD" w:rsidP="00D4226B">
            <w:pPr>
              <w:jc w:val="both"/>
              <w:rPr>
                <w:rFonts w:ascii="Arial" w:hAnsi="Arial" w:cs="Arial"/>
                <w:b/>
                <w:sz w:val="22"/>
                <w:szCs w:val="22"/>
                <w:lang w:val="es-MX"/>
              </w:rPr>
            </w:pPr>
            <w:bookmarkStart w:id="40" w:name="_Hlk195006379"/>
            <w:r w:rsidRPr="0081515E">
              <w:rPr>
                <w:rFonts w:ascii="Arial" w:hAnsi="Arial" w:cs="Arial"/>
                <w:b/>
                <w:sz w:val="22"/>
                <w:szCs w:val="22"/>
                <w:lang w:val="es-MX"/>
              </w:rPr>
              <w:t>DEPARTAMENTO ADMINISTRATIVO DIRECCIÓN NACIONAL DE INTELIGENCIA.</w:t>
            </w:r>
            <w:bookmarkEnd w:id="40"/>
          </w:p>
        </w:tc>
      </w:tr>
      <w:tr w:rsidR="000475BD" w:rsidRPr="004B1294" w14:paraId="3A04DA36" w14:textId="77777777" w:rsidTr="00D4226B">
        <w:trPr>
          <w:jc w:val="center"/>
        </w:trPr>
        <w:tc>
          <w:tcPr>
            <w:tcW w:w="1560" w:type="dxa"/>
          </w:tcPr>
          <w:p w14:paraId="4E30FD5C"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10</w:t>
            </w:r>
          </w:p>
        </w:tc>
        <w:tc>
          <w:tcPr>
            <w:tcW w:w="8925" w:type="dxa"/>
          </w:tcPr>
          <w:p w14:paraId="48748AFD" w14:textId="77777777" w:rsidR="000475BD" w:rsidRPr="00607C55" w:rsidRDefault="000475BD" w:rsidP="00D4226B">
            <w:pPr>
              <w:jc w:val="both"/>
              <w:rPr>
                <w:rFonts w:ascii="Arial" w:hAnsi="Arial" w:cs="Arial"/>
                <w:b/>
                <w:sz w:val="22"/>
                <w:szCs w:val="22"/>
                <w:lang w:val="es-MX"/>
              </w:rPr>
            </w:pPr>
            <w:bookmarkStart w:id="41" w:name="_Hlk195013914"/>
            <w:r w:rsidRPr="00607C55">
              <w:rPr>
                <w:rFonts w:ascii="Arial" w:hAnsi="Arial" w:cs="Arial"/>
                <w:b/>
                <w:sz w:val="22"/>
                <w:szCs w:val="22"/>
                <w:lang w:val="es-MX"/>
              </w:rPr>
              <w:t>PARQUES NACIONALES NATURALES DE COLOMBIA.</w:t>
            </w:r>
            <w:bookmarkEnd w:id="41"/>
          </w:p>
        </w:tc>
      </w:tr>
      <w:tr w:rsidR="000475BD" w:rsidRPr="004B1294" w14:paraId="2D1B7920" w14:textId="77777777" w:rsidTr="00D4226B">
        <w:trPr>
          <w:jc w:val="center"/>
        </w:trPr>
        <w:tc>
          <w:tcPr>
            <w:tcW w:w="1560" w:type="dxa"/>
          </w:tcPr>
          <w:p w14:paraId="67341C56"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13</w:t>
            </w:r>
          </w:p>
        </w:tc>
        <w:tc>
          <w:tcPr>
            <w:tcW w:w="8925" w:type="dxa"/>
          </w:tcPr>
          <w:p w14:paraId="552FFD76" w14:textId="77777777" w:rsidR="000475BD" w:rsidRPr="0012576D" w:rsidRDefault="000475BD" w:rsidP="00D4226B">
            <w:pPr>
              <w:jc w:val="both"/>
              <w:rPr>
                <w:rFonts w:ascii="Arial" w:hAnsi="Arial" w:cs="Arial"/>
                <w:b/>
                <w:sz w:val="22"/>
                <w:szCs w:val="22"/>
                <w:lang w:val="es-MX"/>
              </w:rPr>
            </w:pPr>
            <w:r w:rsidRPr="0012576D">
              <w:rPr>
                <w:rFonts w:ascii="Arial" w:hAnsi="Arial" w:cs="Arial"/>
                <w:b/>
                <w:sz w:val="22"/>
                <w:szCs w:val="22"/>
                <w:lang w:val="es-MX"/>
              </w:rPr>
              <w:t>FONDO DE PREVISIÓN SOCIAL DEL CONGRESO DE LA REPÚBLICA - PATRIMONIO AUTÓNOMO DE VEJEZ.</w:t>
            </w:r>
          </w:p>
        </w:tc>
      </w:tr>
      <w:tr w:rsidR="000475BD" w:rsidRPr="004B1294" w14:paraId="233DE036" w14:textId="77777777" w:rsidTr="00D4226B">
        <w:trPr>
          <w:jc w:val="center"/>
        </w:trPr>
        <w:tc>
          <w:tcPr>
            <w:tcW w:w="1560" w:type="dxa"/>
          </w:tcPr>
          <w:p w14:paraId="120291A0"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14</w:t>
            </w:r>
          </w:p>
        </w:tc>
        <w:tc>
          <w:tcPr>
            <w:tcW w:w="8925" w:type="dxa"/>
          </w:tcPr>
          <w:p w14:paraId="0799682B" w14:textId="77777777" w:rsidR="000475BD" w:rsidRPr="00427587" w:rsidRDefault="000475BD" w:rsidP="00D4226B">
            <w:pPr>
              <w:jc w:val="both"/>
              <w:rPr>
                <w:rFonts w:ascii="Arial" w:hAnsi="Arial" w:cs="Arial"/>
                <w:b/>
                <w:sz w:val="22"/>
                <w:szCs w:val="22"/>
                <w:lang w:val="es-MX"/>
              </w:rPr>
            </w:pPr>
            <w:r w:rsidRPr="00427587">
              <w:rPr>
                <w:rFonts w:ascii="Arial" w:hAnsi="Arial" w:cs="Arial"/>
                <w:b/>
                <w:sz w:val="22"/>
                <w:szCs w:val="22"/>
                <w:lang w:val="es-MX"/>
              </w:rPr>
              <w:t xml:space="preserve">FONDO DE PREVISIÓN SOCIAL DEL CONGRESO DE LA REPÚBLICA – PATRIMONIO AUTÓNOMO DE INVALIDEZ. </w:t>
            </w:r>
          </w:p>
        </w:tc>
      </w:tr>
      <w:tr w:rsidR="000475BD" w:rsidRPr="004B1294" w14:paraId="47F38236" w14:textId="77777777" w:rsidTr="00D4226B">
        <w:trPr>
          <w:jc w:val="center"/>
        </w:trPr>
        <w:tc>
          <w:tcPr>
            <w:tcW w:w="1560" w:type="dxa"/>
          </w:tcPr>
          <w:p w14:paraId="17CF4000"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15</w:t>
            </w:r>
          </w:p>
        </w:tc>
        <w:tc>
          <w:tcPr>
            <w:tcW w:w="8925" w:type="dxa"/>
          </w:tcPr>
          <w:p w14:paraId="04D70550" w14:textId="77777777" w:rsidR="000475BD" w:rsidRPr="00355BF5" w:rsidRDefault="000475BD" w:rsidP="00D4226B">
            <w:pPr>
              <w:jc w:val="both"/>
              <w:rPr>
                <w:rFonts w:ascii="Arial" w:hAnsi="Arial" w:cs="Arial"/>
                <w:b/>
                <w:sz w:val="22"/>
                <w:szCs w:val="22"/>
                <w:lang w:val="es-MX"/>
              </w:rPr>
            </w:pPr>
            <w:r w:rsidRPr="00355BF5">
              <w:rPr>
                <w:rFonts w:ascii="Arial" w:hAnsi="Arial" w:cs="Arial"/>
                <w:b/>
                <w:sz w:val="22"/>
                <w:szCs w:val="22"/>
                <w:lang w:val="es-MX"/>
              </w:rPr>
              <w:t>FONDO DE PREVISIÓN SOCIAL DEL CONGRESO DE LA REPÚBLICA – PATRIMONIO AUTÓNOMO DE SOBREVIVENCIA.</w:t>
            </w:r>
          </w:p>
        </w:tc>
      </w:tr>
      <w:tr w:rsidR="000475BD" w:rsidRPr="004B1294" w14:paraId="558F651F" w14:textId="77777777" w:rsidTr="00D4226B">
        <w:trPr>
          <w:jc w:val="center"/>
        </w:trPr>
        <w:tc>
          <w:tcPr>
            <w:tcW w:w="1560" w:type="dxa"/>
          </w:tcPr>
          <w:p w14:paraId="63D73BA4"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17</w:t>
            </w:r>
          </w:p>
        </w:tc>
        <w:tc>
          <w:tcPr>
            <w:tcW w:w="8925" w:type="dxa"/>
          </w:tcPr>
          <w:p w14:paraId="5317DD3E" w14:textId="77777777" w:rsidR="000475BD" w:rsidRPr="002A1DDD" w:rsidRDefault="000475BD" w:rsidP="00D4226B">
            <w:pPr>
              <w:jc w:val="both"/>
              <w:rPr>
                <w:rFonts w:ascii="Arial" w:hAnsi="Arial" w:cs="Arial"/>
                <w:b/>
                <w:sz w:val="22"/>
                <w:szCs w:val="22"/>
                <w:lang w:val="es-MX"/>
              </w:rPr>
            </w:pPr>
            <w:r w:rsidRPr="002A1DDD">
              <w:rPr>
                <w:rFonts w:ascii="Arial" w:hAnsi="Arial" w:cs="Arial"/>
                <w:b/>
                <w:sz w:val="22"/>
                <w:szCs w:val="22"/>
                <w:lang w:val="es-MX"/>
              </w:rPr>
              <w:t>SUPERINTENDENCIA DE INDUSTRIA Y COMERCIO.</w:t>
            </w:r>
          </w:p>
        </w:tc>
      </w:tr>
      <w:tr w:rsidR="000475BD" w:rsidRPr="004B1294" w14:paraId="24479030" w14:textId="77777777" w:rsidTr="00D4226B">
        <w:trPr>
          <w:jc w:val="center"/>
        </w:trPr>
        <w:tc>
          <w:tcPr>
            <w:tcW w:w="1560" w:type="dxa"/>
          </w:tcPr>
          <w:p w14:paraId="792728AE"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18</w:t>
            </w:r>
          </w:p>
        </w:tc>
        <w:tc>
          <w:tcPr>
            <w:tcW w:w="8925" w:type="dxa"/>
          </w:tcPr>
          <w:p w14:paraId="6E5093EB" w14:textId="77777777" w:rsidR="000475BD" w:rsidRPr="003B07E6" w:rsidRDefault="000475BD" w:rsidP="00D4226B">
            <w:pPr>
              <w:jc w:val="both"/>
              <w:rPr>
                <w:rFonts w:ascii="Arial" w:hAnsi="Arial" w:cs="Arial"/>
                <w:b/>
                <w:sz w:val="22"/>
                <w:szCs w:val="22"/>
                <w:lang w:val="es-MX"/>
              </w:rPr>
            </w:pPr>
            <w:r w:rsidRPr="003B07E6">
              <w:rPr>
                <w:rFonts w:ascii="Arial" w:hAnsi="Arial" w:cs="Arial"/>
                <w:b/>
                <w:sz w:val="22"/>
                <w:szCs w:val="22"/>
                <w:lang w:val="es-MX"/>
              </w:rPr>
              <w:t>DEPARTAMENTO ADMINISTRATIVO DE LA FUNCIÓN PÚBLICA - DAFP.</w:t>
            </w:r>
          </w:p>
        </w:tc>
      </w:tr>
      <w:tr w:rsidR="000475BD" w:rsidRPr="004B1294" w14:paraId="0BA96F6F" w14:textId="77777777" w:rsidTr="00D4226B">
        <w:trPr>
          <w:jc w:val="center"/>
        </w:trPr>
        <w:tc>
          <w:tcPr>
            <w:tcW w:w="1560" w:type="dxa"/>
          </w:tcPr>
          <w:p w14:paraId="687357FA"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20</w:t>
            </w:r>
          </w:p>
        </w:tc>
        <w:tc>
          <w:tcPr>
            <w:tcW w:w="8925" w:type="dxa"/>
          </w:tcPr>
          <w:p w14:paraId="2C030A28" w14:textId="77777777" w:rsidR="000475BD" w:rsidRPr="00E84056" w:rsidRDefault="000475BD" w:rsidP="00D4226B">
            <w:pPr>
              <w:jc w:val="both"/>
              <w:rPr>
                <w:rFonts w:ascii="Arial" w:hAnsi="Arial" w:cs="Arial"/>
                <w:b/>
                <w:sz w:val="22"/>
                <w:szCs w:val="22"/>
                <w:lang w:val="es-MX"/>
              </w:rPr>
            </w:pPr>
            <w:r w:rsidRPr="00E84056">
              <w:rPr>
                <w:rFonts w:ascii="Arial" w:hAnsi="Arial" w:cs="Arial"/>
                <w:b/>
                <w:sz w:val="22"/>
                <w:szCs w:val="22"/>
                <w:lang w:val="es-MX"/>
              </w:rPr>
              <w:t xml:space="preserve">INSTITUTO DE HIDROLOGÍA METEOROLOGÍA Y ESTUDIOS AMBIENTALES - </w:t>
            </w:r>
            <w:r w:rsidRPr="00E84056">
              <w:rPr>
                <w:rFonts w:ascii="Arial" w:hAnsi="Arial" w:cs="Arial"/>
                <w:b/>
                <w:sz w:val="22"/>
                <w:szCs w:val="22"/>
                <w:lang w:val="es-MX"/>
              </w:rPr>
              <w:lastRenderedPageBreak/>
              <w:t>IDEAM.</w:t>
            </w:r>
          </w:p>
        </w:tc>
      </w:tr>
      <w:tr w:rsidR="000475BD" w:rsidRPr="004B1294" w14:paraId="66DE19ED" w14:textId="77777777" w:rsidTr="00D4226B">
        <w:trPr>
          <w:jc w:val="center"/>
        </w:trPr>
        <w:tc>
          <w:tcPr>
            <w:tcW w:w="1560" w:type="dxa"/>
          </w:tcPr>
          <w:p w14:paraId="7E24B310"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lastRenderedPageBreak/>
              <w:t>21</w:t>
            </w:r>
          </w:p>
        </w:tc>
        <w:tc>
          <w:tcPr>
            <w:tcW w:w="8925" w:type="dxa"/>
          </w:tcPr>
          <w:p w14:paraId="60F6606D" w14:textId="77777777" w:rsidR="000475BD" w:rsidRPr="005C697D" w:rsidRDefault="000475BD" w:rsidP="00D4226B">
            <w:pPr>
              <w:jc w:val="both"/>
              <w:rPr>
                <w:rFonts w:ascii="Arial" w:hAnsi="Arial" w:cs="Arial"/>
                <w:b/>
                <w:sz w:val="22"/>
                <w:szCs w:val="22"/>
                <w:lang w:val="es-MX"/>
              </w:rPr>
            </w:pPr>
            <w:r w:rsidRPr="005C697D">
              <w:rPr>
                <w:rFonts w:ascii="Arial" w:hAnsi="Arial" w:cs="Arial"/>
                <w:b/>
                <w:sz w:val="22"/>
                <w:szCs w:val="22"/>
                <w:lang w:val="es-MX"/>
              </w:rPr>
              <w:t>MINISTERIO DEL INTERIOR.</w:t>
            </w:r>
          </w:p>
        </w:tc>
      </w:tr>
      <w:tr w:rsidR="000475BD" w:rsidRPr="004B1294" w14:paraId="1B9EE541" w14:textId="77777777" w:rsidTr="00D4226B">
        <w:trPr>
          <w:jc w:val="center"/>
        </w:trPr>
        <w:tc>
          <w:tcPr>
            <w:tcW w:w="1560" w:type="dxa"/>
          </w:tcPr>
          <w:p w14:paraId="71957B40"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23</w:t>
            </w:r>
          </w:p>
        </w:tc>
        <w:tc>
          <w:tcPr>
            <w:tcW w:w="8925" w:type="dxa"/>
          </w:tcPr>
          <w:p w14:paraId="0EA64482" w14:textId="77777777" w:rsidR="000475BD" w:rsidRPr="0060464E" w:rsidRDefault="000475BD" w:rsidP="00D4226B">
            <w:pPr>
              <w:jc w:val="both"/>
              <w:rPr>
                <w:rFonts w:ascii="Arial" w:hAnsi="Arial" w:cs="Arial"/>
                <w:b/>
                <w:sz w:val="22"/>
                <w:szCs w:val="22"/>
                <w:lang w:val="es-MX"/>
              </w:rPr>
            </w:pPr>
            <w:r w:rsidRPr="0060464E">
              <w:rPr>
                <w:rFonts w:ascii="Arial" w:hAnsi="Arial" w:cs="Arial"/>
                <w:b/>
                <w:sz w:val="22"/>
                <w:szCs w:val="22"/>
                <w:lang w:val="es-MX"/>
              </w:rPr>
              <w:t>INSTITUTO NACIONAL DE VÍAS - INVÍAS.</w:t>
            </w:r>
          </w:p>
        </w:tc>
      </w:tr>
      <w:tr w:rsidR="000475BD" w:rsidRPr="004B1294" w14:paraId="3BE2F003" w14:textId="77777777" w:rsidTr="00D4226B">
        <w:trPr>
          <w:jc w:val="center"/>
        </w:trPr>
        <w:tc>
          <w:tcPr>
            <w:tcW w:w="1560" w:type="dxa"/>
          </w:tcPr>
          <w:p w14:paraId="39CDA0AB"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26</w:t>
            </w:r>
          </w:p>
        </w:tc>
        <w:tc>
          <w:tcPr>
            <w:tcW w:w="8925" w:type="dxa"/>
          </w:tcPr>
          <w:p w14:paraId="2099807D" w14:textId="77777777" w:rsidR="000475BD" w:rsidRPr="00305E36" w:rsidRDefault="000475BD" w:rsidP="00D4226B">
            <w:pPr>
              <w:jc w:val="both"/>
              <w:rPr>
                <w:rFonts w:ascii="Arial" w:hAnsi="Arial" w:cs="Arial"/>
                <w:b/>
                <w:sz w:val="22"/>
                <w:szCs w:val="22"/>
                <w:lang w:val="es-MX"/>
              </w:rPr>
            </w:pPr>
            <w:r w:rsidRPr="00305E36">
              <w:rPr>
                <w:rFonts w:ascii="Arial" w:hAnsi="Arial" w:cs="Arial"/>
                <w:b/>
                <w:sz w:val="22"/>
                <w:szCs w:val="22"/>
                <w:lang w:val="es-MX"/>
              </w:rPr>
              <w:t>AGENCIA NACIONAL INMOBILIARIA VIRGILIO BARCO.</w:t>
            </w:r>
          </w:p>
        </w:tc>
      </w:tr>
      <w:tr w:rsidR="000475BD" w:rsidRPr="004B1294" w14:paraId="06CEF114" w14:textId="77777777" w:rsidTr="00D4226B">
        <w:trPr>
          <w:jc w:val="center"/>
        </w:trPr>
        <w:tc>
          <w:tcPr>
            <w:tcW w:w="1560" w:type="dxa"/>
          </w:tcPr>
          <w:p w14:paraId="0C1E6A33"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27</w:t>
            </w:r>
          </w:p>
        </w:tc>
        <w:tc>
          <w:tcPr>
            <w:tcW w:w="8925" w:type="dxa"/>
          </w:tcPr>
          <w:p w14:paraId="05DCE878" w14:textId="77777777" w:rsidR="000475BD" w:rsidRPr="006D257A" w:rsidRDefault="000475BD" w:rsidP="00D4226B">
            <w:pPr>
              <w:jc w:val="both"/>
              <w:rPr>
                <w:rFonts w:ascii="Arial" w:hAnsi="Arial" w:cs="Arial"/>
                <w:b/>
                <w:sz w:val="22"/>
                <w:szCs w:val="22"/>
                <w:lang w:val="es-MX"/>
              </w:rPr>
            </w:pPr>
            <w:r w:rsidRPr="006D257A">
              <w:rPr>
                <w:rFonts w:ascii="Arial" w:hAnsi="Arial" w:cs="Arial"/>
                <w:b/>
                <w:sz w:val="22"/>
                <w:szCs w:val="22"/>
                <w:lang w:val="es-MX"/>
              </w:rPr>
              <w:t>INSTITUTO NACIONAL DE METROLOGÍA DE COLOMBIA - INMC.</w:t>
            </w:r>
          </w:p>
        </w:tc>
      </w:tr>
      <w:tr w:rsidR="000475BD" w:rsidRPr="004B1294" w14:paraId="1D3B0EBC" w14:textId="77777777" w:rsidTr="00D4226B">
        <w:trPr>
          <w:jc w:val="center"/>
        </w:trPr>
        <w:tc>
          <w:tcPr>
            <w:tcW w:w="1560" w:type="dxa"/>
          </w:tcPr>
          <w:p w14:paraId="4C03498E"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30</w:t>
            </w:r>
          </w:p>
        </w:tc>
        <w:tc>
          <w:tcPr>
            <w:tcW w:w="8925" w:type="dxa"/>
          </w:tcPr>
          <w:p w14:paraId="3529BCC1" w14:textId="77777777" w:rsidR="000475BD" w:rsidRPr="00476B09" w:rsidRDefault="000475BD" w:rsidP="00D4226B">
            <w:pPr>
              <w:ind w:left="22"/>
              <w:jc w:val="both"/>
              <w:rPr>
                <w:rFonts w:ascii="Arial" w:hAnsi="Arial" w:cs="Arial"/>
                <w:b/>
                <w:sz w:val="22"/>
                <w:szCs w:val="22"/>
                <w:lang w:val="es-MX"/>
              </w:rPr>
            </w:pPr>
            <w:r w:rsidRPr="00476B09">
              <w:rPr>
                <w:rFonts w:ascii="Arial" w:hAnsi="Arial" w:cs="Arial"/>
                <w:b/>
                <w:sz w:val="22"/>
                <w:szCs w:val="22"/>
                <w:lang w:val="es-MX"/>
              </w:rPr>
              <w:t>JURISDICCION ESPECIAL PARA LA PAZ - JEP.</w:t>
            </w:r>
          </w:p>
        </w:tc>
      </w:tr>
      <w:tr w:rsidR="000475BD" w:rsidRPr="004B1294" w14:paraId="3CA5BCCC" w14:textId="77777777" w:rsidTr="00D4226B">
        <w:trPr>
          <w:jc w:val="center"/>
        </w:trPr>
        <w:tc>
          <w:tcPr>
            <w:tcW w:w="1560" w:type="dxa"/>
          </w:tcPr>
          <w:p w14:paraId="7DB0F4DF"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34</w:t>
            </w:r>
          </w:p>
        </w:tc>
        <w:tc>
          <w:tcPr>
            <w:tcW w:w="8925" w:type="dxa"/>
          </w:tcPr>
          <w:p w14:paraId="08AF0028" w14:textId="77777777" w:rsidR="000475BD" w:rsidRPr="00723CA3" w:rsidRDefault="000475BD" w:rsidP="00D4226B">
            <w:pPr>
              <w:ind w:left="22"/>
              <w:jc w:val="both"/>
              <w:rPr>
                <w:rFonts w:ascii="Arial" w:hAnsi="Arial" w:cs="Arial"/>
                <w:b/>
                <w:sz w:val="22"/>
                <w:szCs w:val="22"/>
                <w:lang w:val="es-MX"/>
              </w:rPr>
            </w:pPr>
            <w:r w:rsidRPr="00723CA3">
              <w:rPr>
                <w:rFonts w:ascii="Arial" w:hAnsi="Arial" w:cs="Arial"/>
                <w:b/>
                <w:sz w:val="22"/>
                <w:szCs w:val="22"/>
                <w:lang w:val="es-MX"/>
              </w:rPr>
              <w:t>INSTITUTO DE CASAS FISCALES DEL EJERCITO.</w:t>
            </w:r>
          </w:p>
        </w:tc>
      </w:tr>
      <w:tr w:rsidR="000475BD" w:rsidRPr="004B1294" w14:paraId="230E62D7" w14:textId="77777777" w:rsidTr="00D4226B">
        <w:trPr>
          <w:jc w:val="center"/>
        </w:trPr>
        <w:tc>
          <w:tcPr>
            <w:tcW w:w="1560" w:type="dxa"/>
          </w:tcPr>
          <w:p w14:paraId="3D48B5C7"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35</w:t>
            </w:r>
          </w:p>
        </w:tc>
        <w:tc>
          <w:tcPr>
            <w:tcW w:w="8925" w:type="dxa"/>
          </w:tcPr>
          <w:p w14:paraId="29725AB4" w14:textId="77777777" w:rsidR="000475BD" w:rsidRPr="00E44EAA" w:rsidRDefault="000475BD" w:rsidP="00D4226B">
            <w:pPr>
              <w:jc w:val="both"/>
              <w:rPr>
                <w:rFonts w:ascii="Arial" w:hAnsi="Arial" w:cs="Arial"/>
                <w:b/>
                <w:sz w:val="22"/>
                <w:szCs w:val="22"/>
                <w:lang w:val="es-MX"/>
              </w:rPr>
            </w:pPr>
            <w:r w:rsidRPr="00E44EAA">
              <w:rPr>
                <w:rFonts w:ascii="Arial" w:hAnsi="Arial" w:cs="Arial"/>
                <w:b/>
                <w:sz w:val="22"/>
                <w:szCs w:val="22"/>
                <w:lang w:val="es-MX"/>
              </w:rPr>
              <w:t>CORPORACIÓN AUTÓNOMA REGIONAL DEL MAGDALENA - CORPAMAG.</w:t>
            </w:r>
          </w:p>
        </w:tc>
      </w:tr>
      <w:tr w:rsidR="000475BD" w:rsidRPr="004B1294" w14:paraId="075920D6" w14:textId="77777777" w:rsidTr="00D4226B">
        <w:trPr>
          <w:jc w:val="center"/>
        </w:trPr>
        <w:tc>
          <w:tcPr>
            <w:tcW w:w="1560" w:type="dxa"/>
          </w:tcPr>
          <w:p w14:paraId="79F29576"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36</w:t>
            </w:r>
          </w:p>
        </w:tc>
        <w:tc>
          <w:tcPr>
            <w:tcW w:w="8925" w:type="dxa"/>
          </w:tcPr>
          <w:p w14:paraId="6A5CDB62" w14:textId="77777777" w:rsidR="000475BD" w:rsidRPr="00BA5628" w:rsidRDefault="000475BD" w:rsidP="00D4226B">
            <w:pPr>
              <w:jc w:val="both"/>
              <w:rPr>
                <w:rFonts w:ascii="Arial" w:hAnsi="Arial" w:cs="Arial"/>
                <w:b/>
                <w:sz w:val="22"/>
                <w:szCs w:val="22"/>
                <w:lang w:val="es-MX"/>
              </w:rPr>
            </w:pPr>
            <w:r w:rsidRPr="00BA5628">
              <w:rPr>
                <w:rFonts w:ascii="Arial" w:hAnsi="Arial" w:cs="Arial"/>
                <w:b/>
                <w:sz w:val="22"/>
                <w:szCs w:val="22"/>
                <w:lang w:val="es-MX"/>
              </w:rPr>
              <w:t>U.A.E. AGENCIA NACIONAL DEL ESPECTRO – ANE.</w:t>
            </w:r>
          </w:p>
        </w:tc>
      </w:tr>
      <w:tr w:rsidR="000475BD" w:rsidRPr="004B1294" w14:paraId="78891484" w14:textId="77777777" w:rsidTr="00D4226B">
        <w:trPr>
          <w:jc w:val="center"/>
        </w:trPr>
        <w:tc>
          <w:tcPr>
            <w:tcW w:w="1560" w:type="dxa"/>
          </w:tcPr>
          <w:p w14:paraId="014D6A3E"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37</w:t>
            </w:r>
          </w:p>
        </w:tc>
        <w:tc>
          <w:tcPr>
            <w:tcW w:w="8925" w:type="dxa"/>
          </w:tcPr>
          <w:p w14:paraId="11F17E5B" w14:textId="77777777" w:rsidR="000475BD" w:rsidRPr="00251A16" w:rsidRDefault="000475BD" w:rsidP="00D4226B">
            <w:pPr>
              <w:ind w:left="22"/>
              <w:jc w:val="both"/>
              <w:rPr>
                <w:rFonts w:ascii="Arial" w:hAnsi="Arial" w:cs="Arial"/>
                <w:b/>
                <w:sz w:val="22"/>
                <w:szCs w:val="22"/>
              </w:rPr>
            </w:pPr>
            <w:r w:rsidRPr="00251A16">
              <w:rPr>
                <w:rFonts w:ascii="Arial" w:hAnsi="Arial" w:cs="Arial"/>
                <w:b/>
                <w:sz w:val="22"/>
                <w:szCs w:val="22"/>
              </w:rPr>
              <w:t>AGENCIA NACIONAL DE INFRAESTRUCTURA - ANI.</w:t>
            </w:r>
          </w:p>
        </w:tc>
      </w:tr>
      <w:tr w:rsidR="000475BD" w:rsidRPr="004B1294" w14:paraId="7E681A99" w14:textId="77777777" w:rsidTr="00D4226B">
        <w:trPr>
          <w:jc w:val="center"/>
        </w:trPr>
        <w:tc>
          <w:tcPr>
            <w:tcW w:w="1560" w:type="dxa"/>
          </w:tcPr>
          <w:p w14:paraId="3DE4FEC8"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38</w:t>
            </w:r>
          </w:p>
        </w:tc>
        <w:tc>
          <w:tcPr>
            <w:tcW w:w="8925" w:type="dxa"/>
          </w:tcPr>
          <w:p w14:paraId="150F1367" w14:textId="77777777" w:rsidR="000475BD" w:rsidRPr="00C5321C" w:rsidRDefault="000475BD" w:rsidP="00D4226B">
            <w:pPr>
              <w:jc w:val="both"/>
              <w:rPr>
                <w:rFonts w:ascii="Arial" w:hAnsi="Arial" w:cs="Arial"/>
                <w:b/>
                <w:sz w:val="22"/>
                <w:szCs w:val="22"/>
                <w:lang w:val="es-MX"/>
              </w:rPr>
            </w:pPr>
            <w:r w:rsidRPr="00C5321C">
              <w:rPr>
                <w:rFonts w:ascii="Arial" w:hAnsi="Arial" w:cs="Arial"/>
                <w:b/>
                <w:sz w:val="22"/>
                <w:szCs w:val="22"/>
                <w:lang w:val="es-MX"/>
              </w:rPr>
              <w:t xml:space="preserve">SUPERINTENDENCIA NACIONAL DE SALUD – SUPERSALUD. </w:t>
            </w:r>
          </w:p>
        </w:tc>
      </w:tr>
      <w:tr w:rsidR="000475BD" w:rsidRPr="004B1294" w14:paraId="592C123C" w14:textId="77777777" w:rsidTr="00D4226B">
        <w:trPr>
          <w:jc w:val="center"/>
        </w:trPr>
        <w:tc>
          <w:tcPr>
            <w:tcW w:w="1560" w:type="dxa"/>
          </w:tcPr>
          <w:p w14:paraId="7AD16B05"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40</w:t>
            </w:r>
          </w:p>
        </w:tc>
        <w:tc>
          <w:tcPr>
            <w:tcW w:w="8925" w:type="dxa"/>
          </w:tcPr>
          <w:p w14:paraId="4F03A05E" w14:textId="77777777" w:rsidR="000475BD" w:rsidRPr="00C70A8C" w:rsidRDefault="000475BD" w:rsidP="00D4226B">
            <w:pPr>
              <w:jc w:val="both"/>
              <w:rPr>
                <w:rFonts w:ascii="Arial" w:hAnsi="Arial" w:cs="Arial"/>
                <w:b/>
                <w:sz w:val="22"/>
                <w:szCs w:val="22"/>
                <w:lang w:val="es-MX"/>
              </w:rPr>
            </w:pPr>
            <w:r w:rsidRPr="00C70A8C">
              <w:rPr>
                <w:rFonts w:ascii="Arial" w:hAnsi="Arial" w:cs="Arial"/>
                <w:b/>
                <w:sz w:val="22"/>
                <w:szCs w:val="22"/>
                <w:lang w:val="es-MX"/>
              </w:rPr>
              <w:t>MINISTERIO DE TRANSPORTE.</w:t>
            </w:r>
          </w:p>
        </w:tc>
      </w:tr>
      <w:tr w:rsidR="000475BD" w:rsidRPr="004B1294" w14:paraId="6CFF999F" w14:textId="77777777" w:rsidTr="00D4226B">
        <w:trPr>
          <w:jc w:val="center"/>
        </w:trPr>
        <w:tc>
          <w:tcPr>
            <w:tcW w:w="1560" w:type="dxa"/>
          </w:tcPr>
          <w:p w14:paraId="0AC46AB5"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41</w:t>
            </w:r>
          </w:p>
        </w:tc>
        <w:tc>
          <w:tcPr>
            <w:tcW w:w="8925" w:type="dxa"/>
          </w:tcPr>
          <w:p w14:paraId="2C3E4C3D" w14:textId="77777777" w:rsidR="000475BD" w:rsidRPr="000B2B20" w:rsidRDefault="000475BD" w:rsidP="00D4226B">
            <w:pPr>
              <w:jc w:val="both"/>
              <w:rPr>
                <w:rFonts w:ascii="Arial" w:hAnsi="Arial" w:cs="Arial"/>
                <w:b/>
                <w:sz w:val="22"/>
                <w:szCs w:val="22"/>
                <w:lang w:val="es-MX"/>
              </w:rPr>
            </w:pPr>
            <w:r w:rsidRPr="000B2B20">
              <w:rPr>
                <w:rFonts w:ascii="Arial" w:hAnsi="Arial" w:cs="Arial"/>
                <w:b/>
                <w:sz w:val="22"/>
                <w:szCs w:val="22"/>
                <w:lang w:val="es-MX"/>
              </w:rPr>
              <w:t>SERVICIOS POSTALES NACIONALES – 4 72.</w:t>
            </w:r>
          </w:p>
        </w:tc>
      </w:tr>
      <w:tr w:rsidR="000475BD" w:rsidRPr="004B1294" w14:paraId="05008C76" w14:textId="77777777" w:rsidTr="00D4226B">
        <w:trPr>
          <w:jc w:val="center"/>
        </w:trPr>
        <w:tc>
          <w:tcPr>
            <w:tcW w:w="1560" w:type="dxa"/>
          </w:tcPr>
          <w:p w14:paraId="24B56452"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43</w:t>
            </w:r>
          </w:p>
        </w:tc>
        <w:tc>
          <w:tcPr>
            <w:tcW w:w="8925" w:type="dxa"/>
          </w:tcPr>
          <w:p w14:paraId="5DD6657E" w14:textId="77777777" w:rsidR="000475BD" w:rsidRPr="00445724" w:rsidRDefault="000475BD" w:rsidP="00D4226B">
            <w:pPr>
              <w:jc w:val="both"/>
              <w:rPr>
                <w:rFonts w:ascii="Arial" w:hAnsi="Arial" w:cs="Arial"/>
                <w:b/>
                <w:sz w:val="22"/>
                <w:szCs w:val="22"/>
                <w:lang w:val="es-MX"/>
              </w:rPr>
            </w:pPr>
            <w:r w:rsidRPr="00445724">
              <w:rPr>
                <w:rFonts w:ascii="Arial" w:hAnsi="Arial" w:cs="Arial"/>
                <w:b/>
                <w:sz w:val="22"/>
                <w:szCs w:val="22"/>
                <w:lang w:val="es-MX"/>
              </w:rPr>
              <w:t>CÁMARA DE REPRESENTANTES.</w:t>
            </w:r>
          </w:p>
        </w:tc>
      </w:tr>
      <w:tr w:rsidR="000475BD" w:rsidRPr="004B1294" w14:paraId="1F2228D9" w14:textId="77777777" w:rsidTr="00D4226B">
        <w:trPr>
          <w:jc w:val="center"/>
        </w:trPr>
        <w:tc>
          <w:tcPr>
            <w:tcW w:w="1560" w:type="dxa"/>
          </w:tcPr>
          <w:p w14:paraId="01193DBF"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45</w:t>
            </w:r>
          </w:p>
        </w:tc>
        <w:tc>
          <w:tcPr>
            <w:tcW w:w="8925" w:type="dxa"/>
          </w:tcPr>
          <w:p w14:paraId="406288AD" w14:textId="77777777" w:rsidR="000475BD" w:rsidRPr="009F2386" w:rsidRDefault="000475BD" w:rsidP="00D4226B">
            <w:pPr>
              <w:jc w:val="both"/>
              <w:rPr>
                <w:rFonts w:ascii="Arial" w:hAnsi="Arial" w:cs="Arial"/>
                <w:b/>
                <w:sz w:val="22"/>
                <w:szCs w:val="22"/>
                <w:lang w:val="es-MX"/>
              </w:rPr>
            </w:pPr>
            <w:r w:rsidRPr="009F2386">
              <w:rPr>
                <w:rFonts w:ascii="Arial" w:hAnsi="Arial" w:cs="Arial"/>
                <w:b/>
                <w:sz w:val="22"/>
                <w:szCs w:val="22"/>
                <w:lang w:val="es-MX"/>
              </w:rPr>
              <w:t>U.A.E INSTITUTO NACIONAL DE ACUICULTURA Y PESCA - AUNAP.</w:t>
            </w:r>
          </w:p>
        </w:tc>
      </w:tr>
      <w:tr w:rsidR="000475BD" w:rsidRPr="004B1294" w14:paraId="48367E7E" w14:textId="77777777" w:rsidTr="00D4226B">
        <w:trPr>
          <w:jc w:val="center"/>
        </w:trPr>
        <w:tc>
          <w:tcPr>
            <w:tcW w:w="1560" w:type="dxa"/>
          </w:tcPr>
          <w:p w14:paraId="7C85BD28"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47</w:t>
            </w:r>
          </w:p>
        </w:tc>
        <w:tc>
          <w:tcPr>
            <w:tcW w:w="8925" w:type="dxa"/>
          </w:tcPr>
          <w:p w14:paraId="31B6ADCE" w14:textId="77777777" w:rsidR="000475BD" w:rsidRPr="005B142B" w:rsidRDefault="000475BD" w:rsidP="00D4226B">
            <w:pPr>
              <w:jc w:val="both"/>
              <w:rPr>
                <w:rFonts w:ascii="Arial" w:hAnsi="Arial" w:cs="Arial"/>
                <w:b/>
                <w:sz w:val="22"/>
                <w:szCs w:val="22"/>
                <w:lang w:val="es-MX"/>
              </w:rPr>
            </w:pPr>
            <w:r w:rsidRPr="005B142B">
              <w:rPr>
                <w:rFonts w:ascii="Arial" w:hAnsi="Arial" w:cs="Arial"/>
                <w:b/>
                <w:sz w:val="22"/>
                <w:szCs w:val="22"/>
                <w:lang w:val="es-MX"/>
              </w:rPr>
              <w:t>INSTITUTO COLOMBIANO DE BIENESTAR FAMILIAR – ICBF</w:t>
            </w:r>
            <w:r>
              <w:rPr>
                <w:rFonts w:ascii="Arial" w:hAnsi="Arial" w:cs="Arial"/>
                <w:b/>
                <w:sz w:val="22"/>
                <w:szCs w:val="22"/>
                <w:lang w:val="es-MX"/>
              </w:rPr>
              <w:t>.</w:t>
            </w:r>
          </w:p>
        </w:tc>
      </w:tr>
      <w:tr w:rsidR="000475BD" w:rsidRPr="004B1294" w14:paraId="42540825" w14:textId="77777777" w:rsidTr="00D4226B">
        <w:trPr>
          <w:jc w:val="center"/>
        </w:trPr>
        <w:tc>
          <w:tcPr>
            <w:tcW w:w="1560" w:type="dxa"/>
          </w:tcPr>
          <w:p w14:paraId="6D9F8CA0"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50</w:t>
            </w:r>
          </w:p>
        </w:tc>
        <w:tc>
          <w:tcPr>
            <w:tcW w:w="8925" w:type="dxa"/>
          </w:tcPr>
          <w:p w14:paraId="1CE2C2B3" w14:textId="77777777" w:rsidR="000475BD" w:rsidRPr="00C55B1E" w:rsidRDefault="000475BD" w:rsidP="00D4226B">
            <w:pPr>
              <w:ind w:left="22" w:right="-234"/>
              <w:jc w:val="both"/>
              <w:rPr>
                <w:rFonts w:ascii="Arial" w:hAnsi="Arial" w:cs="Arial"/>
                <w:b/>
                <w:sz w:val="22"/>
                <w:szCs w:val="22"/>
                <w:lang w:val="es-MX"/>
              </w:rPr>
            </w:pPr>
            <w:r w:rsidRPr="00C55B1E">
              <w:rPr>
                <w:rFonts w:ascii="Arial" w:hAnsi="Arial" w:cs="Arial"/>
                <w:b/>
                <w:sz w:val="22"/>
                <w:szCs w:val="22"/>
                <w:lang w:val="es-MX"/>
              </w:rPr>
              <w:t>CORPORACIÓN AUTÓNOMA REGIONAL DE CHIVOR – CORPOCHIVOR.</w:t>
            </w:r>
          </w:p>
        </w:tc>
      </w:tr>
      <w:tr w:rsidR="000475BD" w:rsidRPr="004B1294" w14:paraId="08F0FACE" w14:textId="77777777" w:rsidTr="00D4226B">
        <w:trPr>
          <w:jc w:val="center"/>
        </w:trPr>
        <w:tc>
          <w:tcPr>
            <w:tcW w:w="1560" w:type="dxa"/>
          </w:tcPr>
          <w:p w14:paraId="2CC95958"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51</w:t>
            </w:r>
          </w:p>
        </w:tc>
        <w:tc>
          <w:tcPr>
            <w:tcW w:w="8925" w:type="dxa"/>
          </w:tcPr>
          <w:p w14:paraId="43756002" w14:textId="77777777" w:rsidR="000475BD" w:rsidRPr="007706A8" w:rsidRDefault="000475BD" w:rsidP="00D4226B">
            <w:pPr>
              <w:jc w:val="both"/>
              <w:rPr>
                <w:rFonts w:ascii="Arial" w:hAnsi="Arial" w:cs="Arial"/>
                <w:b/>
                <w:sz w:val="22"/>
                <w:szCs w:val="22"/>
                <w:lang w:val="es-MX"/>
              </w:rPr>
            </w:pPr>
            <w:r w:rsidRPr="002D6093">
              <w:rPr>
                <w:rFonts w:ascii="Arial" w:hAnsi="Arial" w:cs="Arial"/>
                <w:b/>
                <w:sz w:val="22"/>
                <w:szCs w:val="22"/>
                <w:lang w:val="es-MX"/>
              </w:rPr>
              <w:t>INSTITUTO GEOGRÁFICO AGUSTIN CODAZZI - IGAC.</w:t>
            </w:r>
          </w:p>
        </w:tc>
      </w:tr>
      <w:tr w:rsidR="000475BD" w:rsidRPr="004B1294" w14:paraId="7FB97498" w14:textId="77777777" w:rsidTr="00D4226B">
        <w:trPr>
          <w:jc w:val="center"/>
        </w:trPr>
        <w:tc>
          <w:tcPr>
            <w:tcW w:w="1560" w:type="dxa"/>
          </w:tcPr>
          <w:p w14:paraId="1FD26EA7" w14:textId="77777777" w:rsidR="000475BD" w:rsidRDefault="000475BD" w:rsidP="00D4226B">
            <w:pPr>
              <w:ind w:left="449"/>
              <w:rPr>
                <w:rFonts w:ascii="Arial" w:eastAsia="Trebuchet MS" w:hAnsi="Arial" w:cs="Arial"/>
                <w:b/>
                <w:lang w:val="es-ES_tradnl"/>
              </w:rPr>
            </w:pPr>
            <w:r>
              <w:rPr>
                <w:rFonts w:ascii="Arial" w:eastAsia="Trebuchet MS" w:hAnsi="Arial" w:cs="Arial"/>
                <w:b/>
                <w:lang w:val="es-ES_tradnl"/>
              </w:rPr>
              <w:t xml:space="preserve">  54</w:t>
            </w:r>
          </w:p>
        </w:tc>
        <w:tc>
          <w:tcPr>
            <w:tcW w:w="8925" w:type="dxa"/>
          </w:tcPr>
          <w:p w14:paraId="66EBD0E3" w14:textId="77777777" w:rsidR="000475BD" w:rsidRPr="00EC1018" w:rsidRDefault="000475BD" w:rsidP="00D4226B">
            <w:pPr>
              <w:jc w:val="both"/>
              <w:rPr>
                <w:rFonts w:ascii="Arial" w:hAnsi="Arial" w:cs="Arial"/>
                <w:b/>
                <w:sz w:val="22"/>
                <w:szCs w:val="22"/>
                <w:lang w:val="es-MX"/>
              </w:rPr>
            </w:pPr>
            <w:r w:rsidRPr="00EC1018">
              <w:rPr>
                <w:rFonts w:ascii="Arial" w:hAnsi="Arial" w:cs="Arial"/>
                <w:b/>
                <w:sz w:val="22"/>
                <w:szCs w:val="22"/>
              </w:rPr>
              <w:t>FONDO NACIONAL AMBIENTAL - FONAM.</w:t>
            </w:r>
          </w:p>
        </w:tc>
      </w:tr>
      <w:tr w:rsidR="000475BD" w:rsidRPr="004B1294" w14:paraId="5A5363E5" w14:textId="77777777" w:rsidTr="00D4226B">
        <w:trPr>
          <w:jc w:val="center"/>
        </w:trPr>
        <w:tc>
          <w:tcPr>
            <w:tcW w:w="1560" w:type="dxa"/>
          </w:tcPr>
          <w:p w14:paraId="08BAED26"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55</w:t>
            </w:r>
          </w:p>
        </w:tc>
        <w:tc>
          <w:tcPr>
            <w:tcW w:w="8925" w:type="dxa"/>
          </w:tcPr>
          <w:p w14:paraId="06287D16" w14:textId="77777777" w:rsidR="000475BD" w:rsidRPr="009357C7" w:rsidRDefault="000475BD" w:rsidP="00D4226B">
            <w:pPr>
              <w:jc w:val="both"/>
              <w:rPr>
                <w:rFonts w:ascii="Arial" w:hAnsi="Arial" w:cs="Arial"/>
                <w:b/>
                <w:sz w:val="22"/>
                <w:szCs w:val="22"/>
                <w:lang w:val="es-MX"/>
              </w:rPr>
            </w:pPr>
            <w:r w:rsidRPr="00CB0191">
              <w:rPr>
                <w:rFonts w:ascii="Arial" w:hAnsi="Arial" w:cs="Arial"/>
                <w:b/>
                <w:sz w:val="22"/>
                <w:szCs w:val="22"/>
                <w:lang w:val="es-MX"/>
              </w:rPr>
              <w:t>UNIVERSIDAD DEL PACÍFICO.</w:t>
            </w:r>
          </w:p>
        </w:tc>
      </w:tr>
      <w:tr w:rsidR="000475BD" w:rsidRPr="004B1294" w14:paraId="3524E993" w14:textId="77777777" w:rsidTr="00D4226B">
        <w:trPr>
          <w:jc w:val="center"/>
        </w:trPr>
        <w:tc>
          <w:tcPr>
            <w:tcW w:w="1560" w:type="dxa"/>
          </w:tcPr>
          <w:p w14:paraId="4C2C3D27" w14:textId="77777777" w:rsidR="000475BD" w:rsidRDefault="000475BD" w:rsidP="00D4226B">
            <w:pPr>
              <w:jc w:val="center"/>
              <w:rPr>
                <w:rFonts w:ascii="Arial" w:eastAsia="Trebuchet MS" w:hAnsi="Arial" w:cs="Arial"/>
                <w:b/>
                <w:lang w:val="es-ES_tradnl"/>
              </w:rPr>
            </w:pPr>
            <w:r>
              <w:rPr>
                <w:rFonts w:ascii="Arial" w:eastAsia="Trebuchet MS" w:hAnsi="Arial" w:cs="Arial"/>
                <w:b/>
                <w:lang w:val="es-ES_tradnl"/>
              </w:rPr>
              <w:t>59</w:t>
            </w:r>
          </w:p>
        </w:tc>
        <w:tc>
          <w:tcPr>
            <w:tcW w:w="8925" w:type="dxa"/>
          </w:tcPr>
          <w:p w14:paraId="5832EFC3" w14:textId="77777777" w:rsidR="000475BD" w:rsidRPr="003F53E0" w:rsidRDefault="000475BD" w:rsidP="00D4226B">
            <w:pPr>
              <w:jc w:val="both"/>
              <w:rPr>
                <w:rFonts w:ascii="Arial" w:hAnsi="Arial" w:cs="Arial"/>
                <w:b/>
                <w:sz w:val="22"/>
                <w:szCs w:val="22"/>
              </w:rPr>
            </w:pPr>
            <w:r w:rsidRPr="003F53E0">
              <w:rPr>
                <w:rFonts w:ascii="Arial" w:hAnsi="Arial" w:cs="Arial"/>
                <w:b/>
                <w:sz w:val="22"/>
                <w:szCs w:val="22"/>
              </w:rPr>
              <w:t>FONDO UNICO DE TECNOLOGÍAS DE LA INFORMACIÓN Y LAS COMUNICACIONES – FUTIC.</w:t>
            </w:r>
          </w:p>
        </w:tc>
      </w:tr>
      <w:tr w:rsidR="000475BD" w:rsidRPr="004B1294" w14:paraId="553FF28B" w14:textId="77777777" w:rsidTr="00D4226B">
        <w:trPr>
          <w:jc w:val="center"/>
        </w:trPr>
        <w:tc>
          <w:tcPr>
            <w:tcW w:w="1560" w:type="dxa"/>
          </w:tcPr>
          <w:p w14:paraId="64218F28"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61</w:t>
            </w:r>
          </w:p>
        </w:tc>
        <w:tc>
          <w:tcPr>
            <w:tcW w:w="8925" w:type="dxa"/>
          </w:tcPr>
          <w:p w14:paraId="767DDACD" w14:textId="77777777" w:rsidR="000475BD" w:rsidRPr="00661326" w:rsidRDefault="000475BD" w:rsidP="00D4226B">
            <w:pPr>
              <w:pStyle w:val="Ttulo6"/>
              <w:tabs>
                <w:tab w:val="left" w:pos="8505"/>
              </w:tabs>
              <w:spacing w:before="0"/>
              <w:ind w:left="0" w:right="-234" w:firstLine="0"/>
              <w:jc w:val="both"/>
              <w:outlineLvl w:val="5"/>
              <w:rPr>
                <w:rFonts w:ascii="Arial" w:hAnsi="Arial" w:cs="Arial"/>
                <w:b/>
                <w:i w:val="0"/>
                <w:iCs w:val="0"/>
                <w:color w:val="auto"/>
                <w:spacing w:val="-2"/>
                <w:sz w:val="22"/>
                <w:szCs w:val="22"/>
              </w:rPr>
            </w:pPr>
            <w:bookmarkStart w:id="42" w:name="_Hlk197439236"/>
            <w:r w:rsidRPr="00661326">
              <w:rPr>
                <w:rFonts w:ascii="Arial" w:hAnsi="Arial" w:cs="Arial"/>
                <w:b/>
                <w:i w:val="0"/>
                <w:iCs w:val="0"/>
                <w:color w:val="auto"/>
                <w:sz w:val="22"/>
                <w:szCs w:val="22"/>
              </w:rPr>
              <w:t xml:space="preserve">UNIDAD NACIONAL PARA LA GESTIÓN DEL RIESGO DE DESASTRES - </w:t>
            </w:r>
            <w:r w:rsidRPr="00661326">
              <w:rPr>
                <w:rFonts w:ascii="Arial" w:hAnsi="Arial" w:cs="Arial"/>
                <w:b/>
                <w:i w:val="0"/>
                <w:iCs w:val="0"/>
                <w:color w:val="auto"/>
                <w:spacing w:val="-2"/>
                <w:sz w:val="22"/>
                <w:szCs w:val="22"/>
              </w:rPr>
              <w:t>UNGRD.</w:t>
            </w:r>
            <w:bookmarkEnd w:id="42"/>
          </w:p>
        </w:tc>
      </w:tr>
      <w:tr w:rsidR="000475BD" w:rsidRPr="004B1294" w14:paraId="52A7DE45" w14:textId="77777777" w:rsidTr="00D4226B">
        <w:trPr>
          <w:jc w:val="center"/>
        </w:trPr>
        <w:tc>
          <w:tcPr>
            <w:tcW w:w="1560" w:type="dxa"/>
          </w:tcPr>
          <w:p w14:paraId="114892F2"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63</w:t>
            </w:r>
          </w:p>
        </w:tc>
        <w:tc>
          <w:tcPr>
            <w:tcW w:w="8925" w:type="dxa"/>
          </w:tcPr>
          <w:p w14:paraId="2839F63A" w14:textId="77777777" w:rsidR="000475BD" w:rsidRPr="00746E3F" w:rsidRDefault="000475BD" w:rsidP="00D4226B">
            <w:pPr>
              <w:rPr>
                <w:rFonts w:ascii="Arial" w:hAnsi="Arial" w:cs="Arial"/>
                <w:b/>
                <w:sz w:val="22"/>
                <w:szCs w:val="22"/>
                <w:lang w:val="es-MX"/>
              </w:rPr>
            </w:pPr>
            <w:r w:rsidRPr="00746E3F">
              <w:rPr>
                <w:rFonts w:ascii="Arial" w:hAnsi="Arial" w:cs="Arial"/>
                <w:b/>
                <w:sz w:val="22"/>
                <w:szCs w:val="22"/>
              </w:rPr>
              <w:t>AGENCIA DE RENOVACIÓN DE TERRITORIO - ART.</w:t>
            </w:r>
          </w:p>
        </w:tc>
      </w:tr>
      <w:tr w:rsidR="000475BD" w:rsidRPr="004B1294" w14:paraId="3121535C" w14:textId="77777777" w:rsidTr="00D4226B">
        <w:trPr>
          <w:jc w:val="center"/>
        </w:trPr>
        <w:tc>
          <w:tcPr>
            <w:tcW w:w="1560" w:type="dxa"/>
          </w:tcPr>
          <w:p w14:paraId="0D06D6AF"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64</w:t>
            </w:r>
          </w:p>
        </w:tc>
        <w:tc>
          <w:tcPr>
            <w:tcW w:w="8925" w:type="dxa"/>
          </w:tcPr>
          <w:p w14:paraId="5A66B457" w14:textId="77777777" w:rsidR="000475BD" w:rsidRPr="006D21EB" w:rsidRDefault="000475BD" w:rsidP="00D4226B">
            <w:pPr>
              <w:jc w:val="both"/>
              <w:rPr>
                <w:rFonts w:ascii="Arial" w:hAnsi="Arial" w:cs="Arial"/>
                <w:b/>
                <w:sz w:val="22"/>
                <w:szCs w:val="22"/>
              </w:rPr>
            </w:pPr>
            <w:r w:rsidRPr="006D21EB">
              <w:rPr>
                <w:rFonts w:ascii="Arial" w:hAnsi="Arial" w:cs="Arial"/>
                <w:b/>
                <w:sz w:val="22"/>
                <w:szCs w:val="22"/>
              </w:rPr>
              <w:t>AGENCIA PRESIDENCIAL DE COOPERACIÓN INTERNACIONAL DE COLOMBIA APC - COLOMBIA.</w:t>
            </w:r>
          </w:p>
        </w:tc>
      </w:tr>
      <w:tr w:rsidR="000475BD" w:rsidRPr="004B1294" w14:paraId="13008112" w14:textId="77777777" w:rsidTr="00D4226B">
        <w:trPr>
          <w:jc w:val="center"/>
        </w:trPr>
        <w:tc>
          <w:tcPr>
            <w:tcW w:w="1560" w:type="dxa"/>
          </w:tcPr>
          <w:p w14:paraId="6687BD85"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65</w:t>
            </w:r>
          </w:p>
        </w:tc>
        <w:tc>
          <w:tcPr>
            <w:tcW w:w="8925" w:type="dxa"/>
          </w:tcPr>
          <w:p w14:paraId="007E9400" w14:textId="77777777" w:rsidR="000475BD" w:rsidRPr="002E169D" w:rsidRDefault="000475BD" w:rsidP="00D4226B">
            <w:pPr>
              <w:jc w:val="both"/>
              <w:rPr>
                <w:rFonts w:ascii="Arial" w:hAnsi="Arial" w:cs="Arial"/>
                <w:b/>
                <w:sz w:val="22"/>
                <w:szCs w:val="22"/>
                <w:lang w:val="es-MX"/>
              </w:rPr>
            </w:pPr>
            <w:r w:rsidRPr="002E169D">
              <w:rPr>
                <w:rFonts w:ascii="Arial" w:hAnsi="Arial" w:cs="Arial"/>
                <w:b/>
                <w:sz w:val="22"/>
                <w:szCs w:val="22"/>
                <w:lang w:val="es-MX"/>
              </w:rPr>
              <w:t>RAMA JUDICIAL - CONSEJO SUPERIOR DE LA JUDICATURA.</w:t>
            </w:r>
          </w:p>
        </w:tc>
      </w:tr>
      <w:tr w:rsidR="000475BD" w:rsidRPr="004B1294" w14:paraId="6BF63715" w14:textId="77777777" w:rsidTr="00D4226B">
        <w:trPr>
          <w:jc w:val="center"/>
        </w:trPr>
        <w:tc>
          <w:tcPr>
            <w:tcW w:w="1560" w:type="dxa"/>
          </w:tcPr>
          <w:p w14:paraId="15644471"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66 </w:t>
            </w:r>
          </w:p>
        </w:tc>
        <w:tc>
          <w:tcPr>
            <w:tcW w:w="8925" w:type="dxa"/>
          </w:tcPr>
          <w:p w14:paraId="42A26B2B" w14:textId="77777777" w:rsidR="000475BD" w:rsidRPr="0077252E" w:rsidRDefault="000475BD" w:rsidP="00D4226B">
            <w:pPr>
              <w:jc w:val="both"/>
              <w:rPr>
                <w:rFonts w:ascii="Arial" w:hAnsi="Arial" w:cs="Arial"/>
                <w:b/>
                <w:sz w:val="22"/>
                <w:szCs w:val="22"/>
                <w:lang w:val="es-MX"/>
              </w:rPr>
            </w:pPr>
            <w:r w:rsidRPr="0077252E">
              <w:rPr>
                <w:rFonts w:ascii="Arial" w:hAnsi="Arial" w:cs="Arial"/>
                <w:b/>
                <w:sz w:val="22"/>
                <w:szCs w:val="22"/>
                <w:lang w:val="es-MX"/>
              </w:rPr>
              <w:t xml:space="preserve">SUPERINTENDENCIA DE SUBSIDIO FAMILIAR - SUPERSUBSIDIO. </w:t>
            </w:r>
          </w:p>
        </w:tc>
      </w:tr>
      <w:tr w:rsidR="000475BD" w:rsidRPr="004B1294" w14:paraId="7F01D51F" w14:textId="77777777" w:rsidTr="00D4226B">
        <w:trPr>
          <w:jc w:val="center"/>
        </w:trPr>
        <w:tc>
          <w:tcPr>
            <w:tcW w:w="1560" w:type="dxa"/>
          </w:tcPr>
          <w:p w14:paraId="5FAC1CB5"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68</w:t>
            </w:r>
          </w:p>
        </w:tc>
        <w:tc>
          <w:tcPr>
            <w:tcW w:w="8925" w:type="dxa"/>
          </w:tcPr>
          <w:p w14:paraId="68D64429" w14:textId="77777777" w:rsidR="000475BD" w:rsidRPr="00073AF1" w:rsidRDefault="000475BD" w:rsidP="00D4226B">
            <w:pPr>
              <w:jc w:val="both"/>
              <w:rPr>
                <w:rFonts w:ascii="Arial" w:hAnsi="Arial" w:cs="Arial"/>
                <w:b/>
                <w:sz w:val="22"/>
                <w:szCs w:val="22"/>
                <w:lang w:val="es-MX"/>
              </w:rPr>
            </w:pPr>
            <w:r w:rsidRPr="00073AF1">
              <w:rPr>
                <w:rFonts w:ascii="Arial" w:hAnsi="Arial" w:cs="Arial"/>
                <w:b/>
                <w:sz w:val="22"/>
                <w:szCs w:val="22"/>
                <w:lang w:val="es-MX"/>
              </w:rPr>
              <w:t xml:space="preserve">PROCURADURÍA GENERAL DE LA NACIÓN. </w:t>
            </w:r>
          </w:p>
        </w:tc>
      </w:tr>
      <w:tr w:rsidR="000475BD" w:rsidRPr="004B1294" w14:paraId="2FA34637" w14:textId="77777777" w:rsidTr="00D4226B">
        <w:trPr>
          <w:jc w:val="center"/>
        </w:trPr>
        <w:tc>
          <w:tcPr>
            <w:tcW w:w="1560" w:type="dxa"/>
          </w:tcPr>
          <w:p w14:paraId="045A0C9D"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71</w:t>
            </w:r>
          </w:p>
        </w:tc>
        <w:tc>
          <w:tcPr>
            <w:tcW w:w="8925" w:type="dxa"/>
          </w:tcPr>
          <w:p w14:paraId="0DA28A60" w14:textId="77777777" w:rsidR="000475BD" w:rsidRPr="00420DFF" w:rsidRDefault="000475BD" w:rsidP="00D4226B">
            <w:pPr>
              <w:jc w:val="both"/>
              <w:rPr>
                <w:rFonts w:ascii="Arial" w:hAnsi="Arial" w:cs="Arial"/>
                <w:b/>
                <w:sz w:val="22"/>
                <w:szCs w:val="22"/>
                <w:lang w:val="es-MX"/>
              </w:rPr>
            </w:pPr>
            <w:r w:rsidRPr="00420DFF">
              <w:rPr>
                <w:rFonts w:ascii="Arial" w:hAnsi="Arial" w:cs="Arial"/>
                <w:b/>
                <w:sz w:val="22"/>
                <w:szCs w:val="22"/>
                <w:lang w:val="es-MX"/>
              </w:rPr>
              <w:t>UNIVERSIDAD MILITAR NUEVA GRANADA</w:t>
            </w:r>
            <w:r>
              <w:rPr>
                <w:rFonts w:ascii="Arial" w:hAnsi="Arial" w:cs="Arial"/>
                <w:b/>
                <w:sz w:val="22"/>
                <w:szCs w:val="22"/>
                <w:lang w:val="es-MX"/>
              </w:rPr>
              <w:t>.</w:t>
            </w:r>
          </w:p>
        </w:tc>
      </w:tr>
      <w:tr w:rsidR="000475BD" w:rsidRPr="004B1294" w14:paraId="54B79ADE" w14:textId="77777777" w:rsidTr="00D4226B">
        <w:trPr>
          <w:jc w:val="center"/>
        </w:trPr>
        <w:tc>
          <w:tcPr>
            <w:tcW w:w="1560" w:type="dxa"/>
          </w:tcPr>
          <w:p w14:paraId="25C96E72"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72</w:t>
            </w:r>
          </w:p>
        </w:tc>
        <w:tc>
          <w:tcPr>
            <w:tcW w:w="8925" w:type="dxa"/>
          </w:tcPr>
          <w:p w14:paraId="3B9EC350" w14:textId="77777777" w:rsidR="000475BD" w:rsidRPr="00A765AF" w:rsidRDefault="000475BD" w:rsidP="00D4226B">
            <w:pPr>
              <w:jc w:val="both"/>
              <w:rPr>
                <w:rFonts w:ascii="Arial" w:hAnsi="Arial" w:cs="Arial"/>
                <w:b/>
                <w:lang w:val="es-MX"/>
              </w:rPr>
            </w:pPr>
            <w:r w:rsidRPr="00A765AF">
              <w:rPr>
                <w:rFonts w:ascii="Arial" w:hAnsi="Arial" w:cs="Arial"/>
                <w:b/>
                <w:lang w:val="es-MX"/>
              </w:rPr>
              <w:t>SERVICIO GEOLÓGICO COLOMBIANO.</w:t>
            </w:r>
          </w:p>
        </w:tc>
      </w:tr>
      <w:tr w:rsidR="000475BD" w:rsidRPr="004B1294" w14:paraId="614D859C" w14:textId="77777777" w:rsidTr="00D4226B">
        <w:trPr>
          <w:jc w:val="center"/>
        </w:trPr>
        <w:tc>
          <w:tcPr>
            <w:tcW w:w="1560" w:type="dxa"/>
          </w:tcPr>
          <w:p w14:paraId="22BD2971"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74</w:t>
            </w:r>
          </w:p>
        </w:tc>
        <w:tc>
          <w:tcPr>
            <w:tcW w:w="8925" w:type="dxa"/>
          </w:tcPr>
          <w:p w14:paraId="4DEB9204" w14:textId="77777777" w:rsidR="000475BD" w:rsidRPr="00D371A3" w:rsidRDefault="000475BD" w:rsidP="00D4226B">
            <w:pPr>
              <w:ind w:left="26"/>
              <w:jc w:val="both"/>
              <w:rPr>
                <w:rFonts w:ascii="Arial" w:hAnsi="Arial" w:cs="Arial"/>
                <w:b/>
                <w:sz w:val="22"/>
                <w:szCs w:val="22"/>
                <w:lang w:val="es-MX"/>
              </w:rPr>
            </w:pPr>
            <w:r w:rsidRPr="00D371A3">
              <w:rPr>
                <w:rFonts w:ascii="Arial" w:hAnsi="Arial" w:cs="Arial"/>
                <w:b/>
                <w:sz w:val="22"/>
                <w:szCs w:val="22"/>
                <w:lang w:val="es-MX"/>
              </w:rPr>
              <w:t>MINISTERIO DE AGRICULTURA Y DESARROLLO RURAL.</w:t>
            </w:r>
          </w:p>
        </w:tc>
      </w:tr>
      <w:tr w:rsidR="000475BD" w:rsidRPr="004B1294" w14:paraId="7D7B0C92" w14:textId="77777777" w:rsidTr="00D4226B">
        <w:trPr>
          <w:jc w:val="center"/>
        </w:trPr>
        <w:tc>
          <w:tcPr>
            <w:tcW w:w="1560" w:type="dxa"/>
          </w:tcPr>
          <w:p w14:paraId="760B898F"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76</w:t>
            </w:r>
          </w:p>
        </w:tc>
        <w:tc>
          <w:tcPr>
            <w:tcW w:w="8925" w:type="dxa"/>
          </w:tcPr>
          <w:p w14:paraId="33A935A0" w14:textId="77777777" w:rsidR="000475BD" w:rsidRPr="00AD717F" w:rsidRDefault="000475BD" w:rsidP="00D4226B">
            <w:pPr>
              <w:jc w:val="both"/>
              <w:rPr>
                <w:rFonts w:ascii="Arial" w:hAnsi="Arial" w:cs="Arial"/>
                <w:b/>
                <w:sz w:val="22"/>
                <w:szCs w:val="22"/>
              </w:rPr>
            </w:pPr>
            <w:r w:rsidRPr="00AD717F">
              <w:rPr>
                <w:rFonts w:ascii="Arial" w:hAnsi="Arial" w:cs="Arial"/>
                <w:b/>
                <w:sz w:val="22"/>
                <w:szCs w:val="22"/>
              </w:rPr>
              <w:t>CORPORACIÓN AUTÓNOMA REGIONAL DE LOS VALLES DEL SINÚ Y SAN JORGE – CVS</w:t>
            </w:r>
            <w:r>
              <w:rPr>
                <w:rFonts w:ascii="Arial" w:hAnsi="Arial" w:cs="Arial"/>
                <w:b/>
                <w:sz w:val="22"/>
                <w:szCs w:val="22"/>
              </w:rPr>
              <w:t>.</w:t>
            </w:r>
          </w:p>
        </w:tc>
      </w:tr>
      <w:tr w:rsidR="000475BD" w:rsidRPr="004B1294" w14:paraId="5C2D4588" w14:textId="77777777" w:rsidTr="00D4226B">
        <w:trPr>
          <w:jc w:val="center"/>
        </w:trPr>
        <w:tc>
          <w:tcPr>
            <w:tcW w:w="1560" w:type="dxa"/>
          </w:tcPr>
          <w:p w14:paraId="749E27E2" w14:textId="77777777" w:rsidR="000475BD" w:rsidRDefault="000475BD" w:rsidP="00D4226B">
            <w:pPr>
              <w:ind w:left="447" w:right="37"/>
              <w:rPr>
                <w:rFonts w:ascii="Arial" w:eastAsia="Trebuchet MS" w:hAnsi="Arial" w:cs="Arial"/>
                <w:b/>
                <w:lang w:val="es-ES_tradnl"/>
              </w:rPr>
            </w:pPr>
            <w:r>
              <w:rPr>
                <w:rFonts w:ascii="Arial" w:eastAsia="Trebuchet MS" w:hAnsi="Arial" w:cs="Arial"/>
                <w:b/>
                <w:lang w:val="es-ES_tradnl"/>
              </w:rPr>
              <w:t xml:space="preserve">  77</w:t>
            </w:r>
          </w:p>
        </w:tc>
        <w:tc>
          <w:tcPr>
            <w:tcW w:w="8925" w:type="dxa"/>
          </w:tcPr>
          <w:p w14:paraId="726D0A33" w14:textId="77777777" w:rsidR="000475BD" w:rsidRPr="005A608B" w:rsidRDefault="000475BD" w:rsidP="00D4226B">
            <w:pPr>
              <w:jc w:val="both"/>
              <w:rPr>
                <w:rFonts w:ascii="Arial" w:hAnsi="Arial" w:cs="Arial"/>
                <w:b/>
                <w:sz w:val="22"/>
                <w:szCs w:val="22"/>
                <w:lang w:val="es-MX"/>
              </w:rPr>
            </w:pPr>
            <w:r w:rsidRPr="005A608B">
              <w:rPr>
                <w:rFonts w:ascii="Arial" w:hAnsi="Arial" w:cs="Arial"/>
                <w:b/>
                <w:sz w:val="22"/>
                <w:szCs w:val="22"/>
                <w:lang w:val="es-MX"/>
              </w:rPr>
              <w:t xml:space="preserve">FONDO PARA LA REHABILITACIÓN INVERSIÓN SOCIAL Y LUCHA CONTRA EL CRIMEN ORGANIZADO – FRISCO – S.A.E. </w:t>
            </w:r>
          </w:p>
        </w:tc>
      </w:tr>
      <w:tr w:rsidR="000475BD" w:rsidRPr="004B1294" w14:paraId="4BF41BE6" w14:textId="77777777" w:rsidTr="00D4226B">
        <w:trPr>
          <w:jc w:val="center"/>
        </w:trPr>
        <w:tc>
          <w:tcPr>
            <w:tcW w:w="1560" w:type="dxa"/>
          </w:tcPr>
          <w:p w14:paraId="4FD147C0"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79</w:t>
            </w:r>
          </w:p>
        </w:tc>
        <w:tc>
          <w:tcPr>
            <w:tcW w:w="8925" w:type="dxa"/>
          </w:tcPr>
          <w:p w14:paraId="2ABA6652" w14:textId="77777777" w:rsidR="000475BD" w:rsidRPr="00CE45F4" w:rsidRDefault="000475BD" w:rsidP="00D4226B">
            <w:pPr>
              <w:jc w:val="both"/>
              <w:rPr>
                <w:rFonts w:ascii="Arial" w:hAnsi="Arial" w:cs="Arial"/>
                <w:b/>
                <w:sz w:val="22"/>
                <w:szCs w:val="22"/>
                <w:lang w:val="es-MX"/>
              </w:rPr>
            </w:pPr>
            <w:r w:rsidRPr="00CE45F4">
              <w:rPr>
                <w:rFonts w:ascii="Arial" w:hAnsi="Arial" w:cs="Arial"/>
                <w:b/>
                <w:sz w:val="22"/>
                <w:szCs w:val="22"/>
                <w:lang w:val="es-MX"/>
              </w:rPr>
              <w:t>MINISTERIO DEL DEPORTE.</w:t>
            </w:r>
          </w:p>
        </w:tc>
      </w:tr>
      <w:tr w:rsidR="000475BD" w:rsidRPr="004B1294" w14:paraId="4FF82104" w14:textId="77777777" w:rsidTr="00D4226B">
        <w:trPr>
          <w:jc w:val="center"/>
        </w:trPr>
        <w:tc>
          <w:tcPr>
            <w:tcW w:w="1560" w:type="dxa"/>
          </w:tcPr>
          <w:p w14:paraId="6EDF24A9"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81</w:t>
            </w:r>
          </w:p>
        </w:tc>
        <w:tc>
          <w:tcPr>
            <w:tcW w:w="8925" w:type="dxa"/>
          </w:tcPr>
          <w:p w14:paraId="018E6CFF" w14:textId="77777777" w:rsidR="000475BD" w:rsidRPr="003217D7" w:rsidRDefault="000475BD" w:rsidP="00D4226B">
            <w:pPr>
              <w:jc w:val="both"/>
              <w:rPr>
                <w:rFonts w:ascii="Arial" w:hAnsi="Arial" w:cs="Arial"/>
                <w:b/>
                <w:sz w:val="22"/>
                <w:szCs w:val="22"/>
                <w:lang w:val="es-MX"/>
              </w:rPr>
            </w:pPr>
            <w:r w:rsidRPr="003217D7">
              <w:rPr>
                <w:rFonts w:ascii="Arial" w:hAnsi="Arial" w:cs="Arial"/>
                <w:b/>
                <w:sz w:val="22"/>
                <w:szCs w:val="22"/>
                <w:lang w:val="es-MX"/>
              </w:rPr>
              <w:t>CORPORACIÓN AUTÓNOMA REGIONAL DE LA FRONTERA NORORIENTAL - CORPONOR.</w:t>
            </w:r>
          </w:p>
        </w:tc>
      </w:tr>
      <w:tr w:rsidR="000475BD" w:rsidRPr="004B1294" w14:paraId="2B2620BE" w14:textId="77777777" w:rsidTr="00D4226B">
        <w:trPr>
          <w:jc w:val="center"/>
        </w:trPr>
        <w:tc>
          <w:tcPr>
            <w:tcW w:w="1560" w:type="dxa"/>
          </w:tcPr>
          <w:p w14:paraId="7D178100"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82</w:t>
            </w:r>
          </w:p>
        </w:tc>
        <w:tc>
          <w:tcPr>
            <w:tcW w:w="8925" w:type="dxa"/>
          </w:tcPr>
          <w:p w14:paraId="09BCCD8C" w14:textId="77777777" w:rsidR="000475BD" w:rsidRPr="00855690" w:rsidRDefault="000475BD" w:rsidP="00D4226B">
            <w:pPr>
              <w:ind w:right="-234"/>
              <w:jc w:val="both"/>
              <w:rPr>
                <w:rFonts w:ascii="Arial" w:hAnsi="Arial" w:cs="Arial"/>
                <w:b/>
                <w:sz w:val="22"/>
                <w:szCs w:val="22"/>
                <w:lang w:val="es-MX"/>
              </w:rPr>
            </w:pPr>
            <w:r w:rsidRPr="00855690">
              <w:rPr>
                <w:rFonts w:ascii="Arial" w:hAnsi="Arial" w:cs="Arial"/>
                <w:b/>
                <w:sz w:val="22"/>
                <w:szCs w:val="22"/>
                <w:lang w:val="es-MX"/>
              </w:rPr>
              <w:t>UNIDAD DE PLANIFICACIÓN DE TIERRAS RURALES, ADECUACIÓN DE TIERRAS Y USOS AGROPECUARIOS – UPRA.</w:t>
            </w:r>
          </w:p>
        </w:tc>
      </w:tr>
      <w:tr w:rsidR="000475BD" w:rsidRPr="004B1294" w14:paraId="4E4D9E83" w14:textId="77777777" w:rsidTr="00D4226B">
        <w:trPr>
          <w:jc w:val="center"/>
        </w:trPr>
        <w:tc>
          <w:tcPr>
            <w:tcW w:w="1560" w:type="dxa"/>
          </w:tcPr>
          <w:p w14:paraId="70C2EB4B"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88</w:t>
            </w:r>
          </w:p>
        </w:tc>
        <w:tc>
          <w:tcPr>
            <w:tcW w:w="8925" w:type="dxa"/>
          </w:tcPr>
          <w:p w14:paraId="00C98706" w14:textId="77777777" w:rsidR="000475BD" w:rsidRPr="00267D50" w:rsidRDefault="000475BD" w:rsidP="00D4226B">
            <w:pPr>
              <w:jc w:val="both"/>
              <w:rPr>
                <w:rFonts w:ascii="Arial" w:hAnsi="Arial" w:cs="Arial"/>
                <w:b/>
                <w:sz w:val="22"/>
                <w:szCs w:val="22"/>
              </w:rPr>
            </w:pPr>
            <w:r w:rsidRPr="001D6C58">
              <w:rPr>
                <w:rFonts w:ascii="Arial" w:hAnsi="Arial" w:cs="Arial"/>
                <w:b/>
                <w:sz w:val="22"/>
                <w:szCs w:val="22"/>
                <w:lang w:val="es-MX"/>
              </w:rPr>
              <w:t>SENADO DE LA REPÚBLICA.</w:t>
            </w:r>
          </w:p>
        </w:tc>
      </w:tr>
      <w:tr w:rsidR="000475BD" w:rsidRPr="004B1294" w14:paraId="1012CE79" w14:textId="77777777" w:rsidTr="00D4226B">
        <w:trPr>
          <w:jc w:val="center"/>
        </w:trPr>
        <w:tc>
          <w:tcPr>
            <w:tcW w:w="1560" w:type="dxa"/>
          </w:tcPr>
          <w:p w14:paraId="12C6DD50"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91</w:t>
            </w:r>
          </w:p>
        </w:tc>
        <w:tc>
          <w:tcPr>
            <w:tcW w:w="8925" w:type="dxa"/>
          </w:tcPr>
          <w:p w14:paraId="7224FD35" w14:textId="77777777" w:rsidR="000475BD" w:rsidRPr="00267D50" w:rsidRDefault="000475BD" w:rsidP="00D4226B">
            <w:pPr>
              <w:pStyle w:val="Ttulo6"/>
              <w:tabs>
                <w:tab w:val="left" w:pos="8505"/>
              </w:tabs>
              <w:spacing w:before="0" w:line="240" w:lineRule="auto"/>
              <w:ind w:left="0" w:firstLine="0"/>
              <w:jc w:val="both"/>
              <w:outlineLvl w:val="5"/>
              <w:rPr>
                <w:rFonts w:ascii="Arial" w:hAnsi="Arial" w:cs="Arial"/>
                <w:b/>
                <w:i w:val="0"/>
                <w:iCs w:val="0"/>
                <w:color w:val="auto"/>
                <w:spacing w:val="-2"/>
                <w:sz w:val="22"/>
                <w:szCs w:val="22"/>
              </w:rPr>
            </w:pPr>
            <w:r w:rsidRPr="00267D50">
              <w:rPr>
                <w:rFonts w:ascii="Arial" w:hAnsi="Arial" w:cs="Arial"/>
                <w:b/>
                <w:i w:val="0"/>
                <w:iCs w:val="0"/>
                <w:color w:val="auto"/>
                <w:sz w:val="22"/>
                <w:szCs w:val="22"/>
              </w:rPr>
              <w:t xml:space="preserve">CORPORACIÓN AUTÓNOMA REGIONAL DEL CENTRO DE ANTIOQUIA </w:t>
            </w:r>
            <w:r w:rsidRPr="00267D50">
              <w:rPr>
                <w:rFonts w:ascii="Arial" w:hAnsi="Arial" w:cs="Arial"/>
                <w:b/>
                <w:i w:val="0"/>
                <w:iCs w:val="0"/>
                <w:color w:val="auto"/>
                <w:spacing w:val="-2"/>
                <w:sz w:val="22"/>
                <w:szCs w:val="22"/>
              </w:rPr>
              <w:t>- CORANTIOQUIA.</w:t>
            </w:r>
          </w:p>
        </w:tc>
      </w:tr>
      <w:tr w:rsidR="000475BD" w:rsidRPr="004B1294" w14:paraId="4A3A3155" w14:textId="77777777" w:rsidTr="00D4226B">
        <w:trPr>
          <w:jc w:val="center"/>
        </w:trPr>
        <w:tc>
          <w:tcPr>
            <w:tcW w:w="1560" w:type="dxa"/>
          </w:tcPr>
          <w:p w14:paraId="3C87A0F1"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94</w:t>
            </w:r>
          </w:p>
        </w:tc>
        <w:tc>
          <w:tcPr>
            <w:tcW w:w="8925" w:type="dxa"/>
          </w:tcPr>
          <w:p w14:paraId="3A36251A" w14:textId="77777777" w:rsidR="000475BD" w:rsidRPr="00C9118C" w:rsidRDefault="000475BD" w:rsidP="00D4226B">
            <w:pPr>
              <w:jc w:val="both"/>
              <w:rPr>
                <w:rFonts w:ascii="Arial" w:hAnsi="Arial" w:cs="Arial"/>
                <w:b/>
                <w:sz w:val="22"/>
                <w:szCs w:val="22"/>
                <w:lang w:val="es-MX"/>
              </w:rPr>
            </w:pPr>
            <w:r w:rsidRPr="00C9118C">
              <w:rPr>
                <w:rFonts w:ascii="Arial" w:hAnsi="Arial" w:cs="Arial"/>
                <w:b/>
                <w:sz w:val="22"/>
                <w:szCs w:val="22"/>
                <w:lang w:val="es-MX"/>
              </w:rPr>
              <w:t>CORPORACIÓN AUTÓNOMA REGIONAL DE RISARALDA - CARDER.</w:t>
            </w:r>
          </w:p>
        </w:tc>
      </w:tr>
      <w:tr w:rsidR="000475BD" w:rsidRPr="004B1294" w14:paraId="256097DE" w14:textId="77777777" w:rsidTr="00D4226B">
        <w:trPr>
          <w:jc w:val="center"/>
        </w:trPr>
        <w:tc>
          <w:tcPr>
            <w:tcW w:w="1560" w:type="dxa"/>
          </w:tcPr>
          <w:p w14:paraId="35837062"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99</w:t>
            </w:r>
          </w:p>
        </w:tc>
        <w:tc>
          <w:tcPr>
            <w:tcW w:w="8925" w:type="dxa"/>
          </w:tcPr>
          <w:p w14:paraId="0E7B25AA" w14:textId="77777777" w:rsidR="000475BD" w:rsidRPr="00B104B3" w:rsidRDefault="000475BD" w:rsidP="00D4226B">
            <w:pPr>
              <w:jc w:val="both"/>
              <w:rPr>
                <w:rFonts w:ascii="Arial" w:hAnsi="Arial" w:cs="Arial"/>
                <w:b/>
                <w:sz w:val="22"/>
                <w:szCs w:val="22"/>
                <w:lang w:val="es-MX"/>
              </w:rPr>
            </w:pPr>
            <w:r w:rsidRPr="00B104B3">
              <w:rPr>
                <w:rFonts w:ascii="Arial" w:hAnsi="Arial" w:cs="Arial"/>
                <w:b/>
                <w:sz w:val="22"/>
                <w:szCs w:val="22"/>
                <w:lang w:val="es-MX"/>
              </w:rPr>
              <w:t>DEPARTAMENTO ADMINISTRATIVO PARA LA PROSPERIDAD SOCIAL - DPS.</w:t>
            </w:r>
          </w:p>
        </w:tc>
      </w:tr>
      <w:tr w:rsidR="000475BD" w:rsidRPr="004B1294" w14:paraId="2FCC918A" w14:textId="77777777" w:rsidTr="00D4226B">
        <w:trPr>
          <w:jc w:val="center"/>
        </w:trPr>
        <w:tc>
          <w:tcPr>
            <w:tcW w:w="1560" w:type="dxa"/>
          </w:tcPr>
          <w:p w14:paraId="05AEE077"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105</w:t>
            </w:r>
          </w:p>
        </w:tc>
        <w:tc>
          <w:tcPr>
            <w:tcW w:w="8925" w:type="dxa"/>
          </w:tcPr>
          <w:p w14:paraId="20E5ED47" w14:textId="77777777" w:rsidR="000475BD" w:rsidRPr="00B1778B" w:rsidRDefault="000475BD" w:rsidP="00D4226B">
            <w:pPr>
              <w:jc w:val="both"/>
              <w:rPr>
                <w:rFonts w:ascii="Arial" w:eastAsia="Calibri" w:hAnsi="Arial" w:cs="Arial"/>
                <w:b/>
                <w:sz w:val="22"/>
                <w:szCs w:val="22"/>
                <w:lang w:val="es-CO"/>
              </w:rPr>
            </w:pPr>
            <w:bookmarkStart w:id="43" w:name="_Hlk198901787"/>
            <w:r w:rsidRPr="00B1778B">
              <w:rPr>
                <w:rFonts w:ascii="Arial" w:eastAsia="Calibri" w:hAnsi="Arial" w:cs="Arial"/>
                <w:b/>
                <w:sz w:val="22"/>
                <w:szCs w:val="22"/>
                <w:lang w:val="es-CO"/>
              </w:rPr>
              <w:t>SOCIEDAD DE TELEVISIÓN DE CALDAS, RISARALDA Y QUINDÍO LTDA. - TELECAFÉ LTDA.</w:t>
            </w:r>
            <w:bookmarkEnd w:id="43"/>
          </w:p>
        </w:tc>
      </w:tr>
      <w:tr w:rsidR="000475BD" w:rsidRPr="004B1294" w14:paraId="7A1B6EF9" w14:textId="77777777" w:rsidTr="00D4226B">
        <w:trPr>
          <w:jc w:val="center"/>
        </w:trPr>
        <w:tc>
          <w:tcPr>
            <w:tcW w:w="1560" w:type="dxa"/>
          </w:tcPr>
          <w:p w14:paraId="55F81F51"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106</w:t>
            </w:r>
          </w:p>
        </w:tc>
        <w:tc>
          <w:tcPr>
            <w:tcW w:w="8925" w:type="dxa"/>
          </w:tcPr>
          <w:p w14:paraId="2AD64B81" w14:textId="77777777" w:rsidR="000475BD" w:rsidRPr="006E403F" w:rsidRDefault="000475BD" w:rsidP="00D4226B">
            <w:pPr>
              <w:ind w:right="49"/>
              <w:jc w:val="both"/>
              <w:rPr>
                <w:rFonts w:ascii="Arial" w:hAnsi="Arial" w:cs="Arial"/>
                <w:b/>
                <w:sz w:val="22"/>
                <w:szCs w:val="22"/>
                <w:lang w:val="es-MX"/>
              </w:rPr>
            </w:pPr>
            <w:r w:rsidRPr="006E403F">
              <w:rPr>
                <w:rFonts w:ascii="Arial" w:hAnsi="Arial" w:cs="Arial"/>
                <w:b/>
                <w:sz w:val="22"/>
                <w:szCs w:val="22"/>
                <w:lang w:val="es-MX"/>
              </w:rPr>
              <w:t>UNIDAD DE PLANEACIÓN DE INFRAESTRUCTURA DE TRANSPORTE - UPIT.</w:t>
            </w:r>
          </w:p>
        </w:tc>
      </w:tr>
      <w:tr w:rsidR="000475BD" w:rsidRPr="004B1294" w14:paraId="39DB336F" w14:textId="77777777" w:rsidTr="00D4226B">
        <w:trPr>
          <w:jc w:val="center"/>
        </w:trPr>
        <w:tc>
          <w:tcPr>
            <w:tcW w:w="1560" w:type="dxa"/>
          </w:tcPr>
          <w:p w14:paraId="097D41DE"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113</w:t>
            </w:r>
          </w:p>
        </w:tc>
        <w:tc>
          <w:tcPr>
            <w:tcW w:w="8925" w:type="dxa"/>
          </w:tcPr>
          <w:p w14:paraId="25549B6C" w14:textId="77777777" w:rsidR="000475BD" w:rsidRPr="001410EC" w:rsidRDefault="000475BD" w:rsidP="00D4226B">
            <w:pPr>
              <w:jc w:val="both"/>
              <w:rPr>
                <w:rFonts w:ascii="Arial" w:hAnsi="Arial" w:cs="Arial"/>
                <w:b/>
                <w:sz w:val="22"/>
                <w:szCs w:val="22"/>
                <w:lang w:val="es-MX"/>
              </w:rPr>
            </w:pPr>
            <w:r w:rsidRPr="001410EC">
              <w:rPr>
                <w:rFonts w:ascii="Arial" w:hAnsi="Arial" w:cs="Arial"/>
                <w:b/>
                <w:sz w:val="22"/>
                <w:szCs w:val="22"/>
                <w:lang w:val="es-MX"/>
              </w:rPr>
              <w:t>REGISTRADURÍA NACIONAL DEL ESTADO CIVIL.</w:t>
            </w:r>
          </w:p>
        </w:tc>
      </w:tr>
      <w:tr w:rsidR="000475BD" w:rsidRPr="004B1294" w14:paraId="032898D3" w14:textId="77777777" w:rsidTr="00D4226B">
        <w:trPr>
          <w:jc w:val="center"/>
        </w:trPr>
        <w:tc>
          <w:tcPr>
            <w:tcW w:w="1560" w:type="dxa"/>
          </w:tcPr>
          <w:p w14:paraId="295101D1"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116</w:t>
            </w:r>
          </w:p>
        </w:tc>
        <w:tc>
          <w:tcPr>
            <w:tcW w:w="8925" w:type="dxa"/>
          </w:tcPr>
          <w:p w14:paraId="23BF7642" w14:textId="77777777" w:rsidR="000475BD" w:rsidRPr="002E03CA" w:rsidRDefault="000475BD" w:rsidP="00D4226B">
            <w:pPr>
              <w:jc w:val="both"/>
              <w:rPr>
                <w:rFonts w:ascii="Arial" w:hAnsi="Arial" w:cs="Arial"/>
                <w:b/>
                <w:sz w:val="22"/>
                <w:szCs w:val="22"/>
                <w:lang w:val="es-MX"/>
              </w:rPr>
            </w:pPr>
            <w:r w:rsidRPr="002E03CA">
              <w:rPr>
                <w:rFonts w:ascii="Arial" w:hAnsi="Arial" w:cs="Arial"/>
                <w:b/>
                <w:sz w:val="22"/>
                <w:szCs w:val="22"/>
                <w:lang w:val="es-MX"/>
              </w:rPr>
              <w:t>ESCUELA SUPERIOR DE ADMINISTRACIÓN PÚBLICA - ESAP.</w:t>
            </w:r>
          </w:p>
        </w:tc>
      </w:tr>
      <w:tr w:rsidR="000475BD" w:rsidRPr="004B1294" w14:paraId="550A1D93" w14:textId="77777777" w:rsidTr="00D4226B">
        <w:trPr>
          <w:jc w:val="center"/>
        </w:trPr>
        <w:tc>
          <w:tcPr>
            <w:tcW w:w="1560" w:type="dxa"/>
          </w:tcPr>
          <w:p w14:paraId="477B77C5"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lastRenderedPageBreak/>
              <w:t xml:space="preserve">  118</w:t>
            </w:r>
          </w:p>
        </w:tc>
        <w:tc>
          <w:tcPr>
            <w:tcW w:w="8925" w:type="dxa"/>
          </w:tcPr>
          <w:p w14:paraId="66AEA558" w14:textId="77777777" w:rsidR="000475BD" w:rsidRPr="00977500" w:rsidRDefault="000475BD" w:rsidP="00D4226B">
            <w:pPr>
              <w:jc w:val="both"/>
              <w:rPr>
                <w:rFonts w:ascii="Arial" w:hAnsi="Arial" w:cs="Arial"/>
                <w:b/>
                <w:sz w:val="22"/>
                <w:szCs w:val="22"/>
                <w:lang w:val="es-MX"/>
              </w:rPr>
            </w:pPr>
            <w:r w:rsidRPr="00977500">
              <w:rPr>
                <w:rFonts w:ascii="Arial" w:hAnsi="Arial" w:cs="Arial"/>
                <w:b/>
                <w:sz w:val="22"/>
                <w:szCs w:val="22"/>
                <w:lang w:val="es-MX"/>
              </w:rPr>
              <w:t>CORPORACIÓN PARA EL DESARROLLO SOSTENIBLES DEL ARCHIPIELAGO DE SAN ANDRÉS, PROVIDENCIA Y SANTA CATALINA - CORALINA.</w:t>
            </w:r>
          </w:p>
        </w:tc>
      </w:tr>
      <w:tr w:rsidR="000475BD" w:rsidRPr="004B1294" w14:paraId="323F37BB" w14:textId="77777777" w:rsidTr="00D4226B">
        <w:trPr>
          <w:jc w:val="center"/>
        </w:trPr>
        <w:tc>
          <w:tcPr>
            <w:tcW w:w="1560" w:type="dxa"/>
          </w:tcPr>
          <w:p w14:paraId="001D6CDE"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120</w:t>
            </w:r>
          </w:p>
        </w:tc>
        <w:tc>
          <w:tcPr>
            <w:tcW w:w="8925" w:type="dxa"/>
          </w:tcPr>
          <w:p w14:paraId="03E639AC" w14:textId="77777777" w:rsidR="000475BD" w:rsidRPr="004D68BC" w:rsidRDefault="000475BD" w:rsidP="00D4226B">
            <w:pPr>
              <w:jc w:val="both"/>
              <w:rPr>
                <w:rFonts w:ascii="Arial" w:hAnsi="Arial" w:cs="Arial"/>
                <w:b/>
                <w:sz w:val="22"/>
                <w:szCs w:val="22"/>
                <w:lang w:val="es-MX"/>
              </w:rPr>
            </w:pPr>
            <w:r w:rsidRPr="004D68BC">
              <w:rPr>
                <w:rFonts w:ascii="Arial" w:hAnsi="Arial" w:cs="Arial"/>
                <w:b/>
                <w:sz w:val="22"/>
                <w:szCs w:val="22"/>
                <w:lang w:val="es-MX"/>
              </w:rPr>
              <w:t>CORPORACIÓN AUTÓNOMA REGIONAL DEL CAUCA - CRC.</w:t>
            </w:r>
          </w:p>
        </w:tc>
      </w:tr>
      <w:tr w:rsidR="000475BD" w:rsidRPr="004B1294" w14:paraId="0CDE0755" w14:textId="77777777" w:rsidTr="00D4226B">
        <w:trPr>
          <w:jc w:val="center"/>
        </w:trPr>
        <w:tc>
          <w:tcPr>
            <w:tcW w:w="1560" w:type="dxa"/>
          </w:tcPr>
          <w:p w14:paraId="3E49C448"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122</w:t>
            </w:r>
          </w:p>
        </w:tc>
        <w:tc>
          <w:tcPr>
            <w:tcW w:w="8925" w:type="dxa"/>
          </w:tcPr>
          <w:p w14:paraId="2EFBCC6C" w14:textId="77777777" w:rsidR="000475BD" w:rsidRPr="00464AE9" w:rsidRDefault="000475BD" w:rsidP="00D4226B">
            <w:pPr>
              <w:jc w:val="both"/>
              <w:rPr>
                <w:rFonts w:ascii="Arial" w:hAnsi="Arial" w:cs="Arial"/>
                <w:b/>
                <w:sz w:val="22"/>
                <w:szCs w:val="22"/>
                <w:lang w:val="es-MX"/>
              </w:rPr>
            </w:pPr>
            <w:r w:rsidRPr="00464AE9">
              <w:rPr>
                <w:rFonts w:ascii="Arial" w:hAnsi="Arial" w:cs="Arial"/>
                <w:b/>
                <w:sz w:val="22"/>
                <w:szCs w:val="22"/>
                <w:lang w:val="es-MX"/>
              </w:rPr>
              <w:t xml:space="preserve">UNIDAD NACIONAL DE PROTECCIÓN – UNP. </w:t>
            </w:r>
          </w:p>
        </w:tc>
      </w:tr>
      <w:tr w:rsidR="000475BD" w:rsidRPr="004B1294" w14:paraId="78CB6C78" w14:textId="77777777" w:rsidTr="00D4226B">
        <w:trPr>
          <w:jc w:val="center"/>
        </w:trPr>
        <w:tc>
          <w:tcPr>
            <w:tcW w:w="1560" w:type="dxa"/>
          </w:tcPr>
          <w:p w14:paraId="3CCBEEEB"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124</w:t>
            </w:r>
          </w:p>
        </w:tc>
        <w:tc>
          <w:tcPr>
            <w:tcW w:w="8925" w:type="dxa"/>
          </w:tcPr>
          <w:p w14:paraId="76997932" w14:textId="77777777" w:rsidR="000475BD" w:rsidRPr="00C66AC4" w:rsidRDefault="000475BD" w:rsidP="00D4226B">
            <w:pPr>
              <w:tabs>
                <w:tab w:val="left" w:pos="1276"/>
              </w:tabs>
              <w:ind w:right="49"/>
              <w:jc w:val="both"/>
              <w:rPr>
                <w:rFonts w:ascii="Arial" w:hAnsi="Arial" w:cs="Arial"/>
                <w:b/>
                <w:sz w:val="22"/>
                <w:szCs w:val="22"/>
                <w:lang w:val="es-MX"/>
              </w:rPr>
            </w:pPr>
            <w:r w:rsidRPr="00C66AC4">
              <w:rPr>
                <w:rFonts w:ascii="Arial" w:hAnsi="Arial" w:cs="Arial"/>
                <w:b/>
                <w:sz w:val="22"/>
                <w:szCs w:val="22"/>
              </w:rPr>
              <w:t>U.A.E. AGENCIA NACIONAL DE CONTRATACIÓN PÚBLICA - COLOMBIA COMPRA EFICIENTE</w:t>
            </w:r>
            <w:r w:rsidRPr="00C66AC4">
              <w:rPr>
                <w:rFonts w:ascii="Arial" w:hAnsi="Arial" w:cs="Arial"/>
                <w:b/>
                <w:sz w:val="22"/>
                <w:szCs w:val="22"/>
                <w:lang w:val="es-MX"/>
              </w:rPr>
              <w:t xml:space="preserve">. </w:t>
            </w:r>
          </w:p>
        </w:tc>
      </w:tr>
      <w:tr w:rsidR="000475BD" w:rsidRPr="004B1294" w14:paraId="619E638B" w14:textId="77777777" w:rsidTr="00D4226B">
        <w:trPr>
          <w:jc w:val="center"/>
        </w:trPr>
        <w:tc>
          <w:tcPr>
            <w:tcW w:w="1560" w:type="dxa"/>
          </w:tcPr>
          <w:p w14:paraId="2F0D3ACB"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125</w:t>
            </w:r>
          </w:p>
        </w:tc>
        <w:tc>
          <w:tcPr>
            <w:tcW w:w="8925" w:type="dxa"/>
          </w:tcPr>
          <w:p w14:paraId="299559AF" w14:textId="77777777" w:rsidR="000475BD" w:rsidRPr="00B1482A" w:rsidRDefault="000475BD" w:rsidP="00D4226B">
            <w:pPr>
              <w:jc w:val="both"/>
              <w:rPr>
                <w:rFonts w:ascii="Arial" w:hAnsi="Arial" w:cs="Arial"/>
                <w:b/>
                <w:sz w:val="22"/>
                <w:szCs w:val="22"/>
              </w:rPr>
            </w:pPr>
            <w:r w:rsidRPr="00B1482A">
              <w:rPr>
                <w:rFonts w:ascii="Arial" w:hAnsi="Arial" w:cs="Arial"/>
                <w:b/>
                <w:sz w:val="22"/>
                <w:szCs w:val="22"/>
              </w:rPr>
              <w:t>CORPORACIÓN AUTÓNOMA REGIONAL DE SANTANDER – CAS.</w:t>
            </w:r>
          </w:p>
        </w:tc>
      </w:tr>
      <w:tr w:rsidR="000475BD" w:rsidRPr="004B1294" w14:paraId="30D5B87E" w14:textId="77777777" w:rsidTr="00D4226B">
        <w:trPr>
          <w:jc w:val="center"/>
        </w:trPr>
        <w:tc>
          <w:tcPr>
            <w:tcW w:w="1560" w:type="dxa"/>
          </w:tcPr>
          <w:p w14:paraId="145DA497"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126</w:t>
            </w:r>
          </w:p>
        </w:tc>
        <w:tc>
          <w:tcPr>
            <w:tcW w:w="8925" w:type="dxa"/>
          </w:tcPr>
          <w:p w14:paraId="677FE735" w14:textId="77777777" w:rsidR="000475BD" w:rsidRPr="000F656C" w:rsidRDefault="000475BD" w:rsidP="00D4226B">
            <w:pPr>
              <w:ind w:right="32"/>
              <w:jc w:val="both"/>
              <w:rPr>
                <w:rFonts w:ascii="Arial" w:hAnsi="Arial" w:cs="Arial"/>
                <w:b/>
                <w:sz w:val="22"/>
                <w:szCs w:val="22"/>
                <w:lang w:val="es-MX"/>
              </w:rPr>
            </w:pPr>
            <w:r w:rsidRPr="000F656C">
              <w:rPr>
                <w:rFonts w:ascii="Arial" w:hAnsi="Arial" w:cs="Arial"/>
                <w:b/>
                <w:sz w:val="22"/>
                <w:szCs w:val="22"/>
              </w:rPr>
              <w:t>ADMINISTRADORA DE LOS RECURSOS DEL SISTEMA DE SEGURIDAD SOCIAL EN SALUD ADRES – UNIDAD DE RECURSOS ADMINISTRADOS – URA</w:t>
            </w:r>
            <w:r w:rsidRPr="000F656C">
              <w:rPr>
                <w:rFonts w:ascii="Arial" w:hAnsi="Arial" w:cs="Arial"/>
                <w:b/>
                <w:sz w:val="22"/>
                <w:szCs w:val="22"/>
                <w:lang w:val="es-MX"/>
              </w:rPr>
              <w:t>.</w:t>
            </w:r>
          </w:p>
        </w:tc>
      </w:tr>
      <w:tr w:rsidR="000475BD" w:rsidRPr="004B1294" w14:paraId="5FEE908E" w14:textId="77777777" w:rsidTr="00D4226B">
        <w:trPr>
          <w:jc w:val="center"/>
        </w:trPr>
        <w:tc>
          <w:tcPr>
            <w:tcW w:w="1560" w:type="dxa"/>
          </w:tcPr>
          <w:p w14:paraId="12138441"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129</w:t>
            </w:r>
          </w:p>
        </w:tc>
        <w:tc>
          <w:tcPr>
            <w:tcW w:w="8925" w:type="dxa"/>
          </w:tcPr>
          <w:p w14:paraId="11C57A39" w14:textId="77777777" w:rsidR="000475BD" w:rsidRPr="007665F9" w:rsidRDefault="000475BD" w:rsidP="00D4226B">
            <w:pPr>
              <w:jc w:val="both"/>
              <w:rPr>
                <w:rFonts w:ascii="Arial" w:hAnsi="Arial" w:cs="Arial"/>
                <w:b/>
                <w:sz w:val="24"/>
                <w:szCs w:val="24"/>
              </w:rPr>
            </w:pPr>
            <w:r w:rsidRPr="007665F9">
              <w:rPr>
                <w:rFonts w:ascii="Arial" w:hAnsi="Arial" w:cs="Arial"/>
                <w:b/>
                <w:sz w:val="22"/>
                <w:szCs w:val="22"/>
              </w:rPr>
              <w:t>UNIDAD DE SERVICIOS PENITENCIARIOS Y CARCELARIOS – USPEC</w:t>
            </w:r>
            <w:r w:rsidRPr="002A6E88">
              <w:rPr>
                <w:rFonts w:ascii="Arial" w:hAnsi="Arial" w:cs="Arial"/>
                <w:b/>
                <w:sz w:val="28"/>
                <w:szCs w:val="28"/>
                <w:lang w:val="es-MX"/>
              </w:rPr>
              <w:t>.</w:t>
            </w:r>
          </w:p>
        </w:tc>
      </w:tr>
      <w:tr w:rsidR="000475BD" w:rsidRPr="004B1294" w14:paraId="31B55588" w14:textId="77777777" w:rsidTr="00D4226B">
        <w:trPr>
          <w:jc w:val="center"/>
        </w:trPr>
        <w:tc>
          <w:tcPr>
            <w:tcW w:w="1560" w:type="dxa"/>
          </w:tcPr>
          <w:p w14:paraId="5E2C8C19"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133</w:t>
            </w:r>
          </w:p>
        </w:tc>
        <w:tc>
          <w:tcPr>
            <w:tcW w:w="8925" w:type="dxa"/>
          </w:tcPr>
          <w:p w14:paraId="6E07863A" w14:textId="77777777" w:rsidR="000475BD" w:rsidRPr="00D24BB0" w:rsidRDefault="000475BD" w:rsidP="00D4226B">
            <w:pPr>
              <w:jc w:val="both"/>
              <w:rPr>
                <w:rFonts w:ascii="Arial" w:hAnsi="Arial" w:cs="Arial"/>
                <w:b/>
                <w:sz w:val="22"/>
                <w:szCs w:val="22"/>
              </w:rPr>
            </w:pPr>
            <w:r w:rsidRPr="00D24BB0">
              <w:rPr>
                <w:rFonts w:ascii="Arial" w:hAnsi="Arial" w:cs="Arial"/>
                <w:b/>
                <w:sz w:val="22"/>
                <w:szCs w:val="22"/>
                <w:lang w:val="es-MX"/>
              </w:rPr>
              <w:t>FONDO ADAPTACIÓN.</w:t>
            </w:r>
          </w:p>
        </w:tc>
      </w:tr>
      <w:tr w:rsidR="000475BD" w:rsidRPr="004B1294" w14:paraId="115E7780" w14:textId="77777777" w:rsidTr="00D4226B">
        <w:trPr>
          <w:jc w:val="center"/>
        </w:trPr>
        <w:tc>
          <w:tcPr>
            <w:tcW w:w="1560" w:type="dxa"/>
          </w:tcPr>
          <w:p w14:paraId="149F22FE"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134</w:t>
            </w:r>
          </w:p>
        </w:tc>
        <w:tc>
          <w:tcPr>
            <w:tcW w:w="8925" w:type="dxa"/>
          </w:tcPr>
          <w:p w14:paraId="380E22EC" w14:textId="77777777" w:rsidR="000475BD" w:rsidRPr="002E00D3" w:rsidRDefault="000475BD" w:rsidP="00D4226B">
            <w:pPr>
              <w:jc w:val="both"/>
              <w:rPr>
                <w:rFonts w:ascii="Arial" w:hAnsi="Arial" w:cs="Arial"/>
                <w:b/>
                <w:sz w:val="22"/>
                <w:szCs w:val="22"/>
                <w:lang w:val="es-MX"/>
              </w:rPr>
            </w:pPr>
            <w:r w:rsidRPr="002E00D3">
              <w:rPr>
                <w:rFonts w:ascii="Arial" w:hAnsi="Arial" w:cs="Arial"/>
                <w:b/>
                <w:sz w:val="22"/>
                <w:szCs w:val="22"/>
                <w:lang w:val="es-MX"/>
              </w:rPr>
              <w:t xml:space="preserve">FONDO MIXTO PARA EL DESARROLLO INTEGRAL DE LAS REGIONES DE COLOMBIA – FOMCOLOMBIA. </w:t>
            </w:r>
          </w:p>
        </w:tc>
      </w:tr>
      <w:tr w:rsidR="000475BD" w:rsidRPr="004B1294" w14:paraId="732CE4FB" w14:textId="77777777" w:rsidTr="00D4226B">
        <w:trPr>
          <w:jc w:val="center"/>
        </w:trPr>
        <w:tc>
          <w:tcPr>
            <w:tcW w:w="1560" w:type="dxa"/>
          </w:tcPr>
          <w:p w14:paraId="701B3314"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147</w:t>
            </w:r>
          </w:p>
        </w:tc>
        <w:tc>
          <w:tcPr>
            <w:tcW w:w="8925" w:type="dxa"/>
          </w:tcPr>
          <w:p w14:paraId="5E836E57" w14:textId="77777777" w:rsidR="000475BD" w:rsidRPr="00C01608" w:rsidRDefault="000475BD" w:rsidP="00D4226B">
            <w:pPr>
              <w:jc w:val="both"/>
              <w:rPr>
                <w:rFonts w:ascii="Arial" w:hAnsi="Arial" w:cs="Arial"/>
                <w:b/>
                <w:sz w:val="22"/>
                <w:szCs w:val="22"/>
                <w:lang w:val="es-MX"/>
              </w:rPr>
            </w:pPr>
            <w:r w:rsidRPr="00C01608">
              <w:rPr>
                <w:rFonts w:ascii="Arial" w:hAnsi="Arial" w:cs="Arial"/>
                <w:b/>
                <w:sz w:val="22"/>
                <w:szCs w:val="22"/>
                <w:lang w:val="es-MX"/>
              </w:rPr>
              <w:t>INDUSTRIA MILITAR - INDUMIL.</w:t>
            </w:r>
          </w:p>
        </w:tc>
      </w:tr>
      <w:tr w:rsidR="000475BD" w:rsidRPr="004B1294" w14:paraId="2CCCCA0E" w14:textId="77777777" w:rsidTr="00D4226B">
        <w:trPr>
          <w:jc w:val="center"/>
        </w:trPr>
        <w:tc>
          <w:tcPr>
            <w:tcW w:w="1560" w:type="dxa"/>
          </w:tcPr>
          <w:p w14:paraId="1C59682C"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149</w:t>
            </w:r>
          </w:p>
        </w:tc>
        <w:tc>
          <w:tcPr>
            <w:tcW w:w="8925" w:type="dxa"/>
          </w:tcPr>
          <w:p w14:paraId="2CFE248C" w14:textId="77777777" w:rsidR="000475BD" w:rsidRPr="0078146F" w:rsidRDefault="000475BD" w:rsidP="00D4226B">
            <w:pPr>
              <w:jc w:val="both"/>
              <w:rPr>
                <w:rFonts w:ascii="Arial" w:hAnsi="Arial" w:cs="Arial"/>
                <w:b/>
                <w:sz w:val="22"/>
                <w:szCs w:val="22"/>
                <w:lang w:val="es-MX"/>
              </w:rPr>
            </w:pPr>
            <w:r w:rsidRPr="0078146F">
              <w:rPr>
                <w:rFonts w:ascii="Arial" w:hAnsi="Arial" w:cs="Arial"/>
                <w:b/>
                <w:sz w:val="22"/>
                <w:szCs w:val="22"/>
                <w:lang w:val="es-MX"/>
              </w:rPr>
              <w:t>U.A.E. AERONAUTICA CIVIL – AEROCIVIL.</w:t>
            </w:r>
          </w:p>
        </w:tc>
      </w:tr>
      <w:tr w:rsidR="000475BD" w:rsidRPr="00E00D12" w14:paraId="36967C2A" w14:textId="77777777" w:rsidTr="00D4226B">
        <w:trPr>
          <w:jc w:val="center"/>
        </w:trPr>
        <w:tc>
          <w:tcPr>
            <w:tcW w:w="1560" w:type="dxa"/>
          </w:tcPr>
          <w:p w14:paraId="47704198"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150</w:t>
            </w:r>
          </w:p>
        </w:tc>
        <w:tc>
          <w:tcPr>
            <w:tcW w:w="8925" w:type="dxa"/>
          </w:tcPr>
          <w:p w14:paraId="38913B23" w14:textId="77777777" w:rsidR="000475BD" w:rsidRPr="00E00D12" w:rsidRDefault="000475BD" w:rsidP="00D4226B">
            <w:pPr>
              <w:jc w:val="both"/>
              <w:rPr>
                <w:rFonts w:ascii="Arial" w:hAnsi="Arial" w:cs="Arial"/>
                <w:b/>
                <w:sz w:val="22"/>
                <w:szCs w:val="22"/>
                <w:lang w:val="es-MX"/>
              </w:rPr>
            </w:pPr>
            <w:bookmarkStart w:id="44" w:name="_Hlk200375569"/>
            <w:r w:rsidRPr="00E00D12">
              <w:rPr>
                <w:rFonts w:ascii="Arial" w:hAnsi="Arial" w:cs="Arial"/>
                <w:b/>
                <w:sz w:val="22"/>
                <w:szCs w:val="22"/>
                <w:lang w:val="es-MX"/>
              </w:rPr>
              <w:t>MINISTERIO DE JUSTICIA Y DEL DERECHO.</w:t>
            </w:r>
            <w:bookmarkEnd w:id="44"/>
          </w:p>
        </w:tc>
      </w:tr>
      <w:tr w:rsidR="000475BD" w:rsidRPr="00E00D12" w14:paraId="6DBF328D" w14:textId="77777777" w:rsidTr="00D4226B">
        <w:trPr>
          <w:jc w:val="center"/>
        </w:trPr>
        <w:tc>
          <w:tcPr>
            <w:tcW w:w="1560" w:type="dxa"/>
          </w:tcPr>
          <w:p w14:paraId="462637EA"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154</w:t>
            </w:r>
          </w:p>
        </w:tc>
        <w:tc>
          <w:tcPr>
            <w:tcW w:w="8925" w:type="dxa"/>
          </w:tcPr>
          <w:p w14:paraId="433BF1FC" w14:textId="77777777" w:rsidR="000475BD" w:rsidRPr="007B0A84" w:rsidRDefault="000475BD" w:rsidP="00D4226B">
            <w:pPr>
              <w:jc w:val="both"/>
              <w:rPr>
                <w:rFonts w:ascii="Arial" w:hAnsi="Arial" w:cs="Arial"/>
                <w:b/>
                <w:sz w:val="22"/>
                <w:szCs w:val="22"/>
                <w:lang w:val="es-MX"/>
              </w:rPr>
            </w:pPr>
            <w:r w:rsidRPr="007B0A84">
              <w:rPr>
                <w:rFonts w:ascii="Arial" w:hAnsi="Arial" w:cs="Arial"/>
                <w:b/>
                <w:sz w:val="22"/>
                <w:szCs w:val="22"/>
                <w:lang w:val="es-MX"/>
              </w:rPr>
              <w:t>FONDO NACIONAL DE VIVIENDA - FONVIVIENDA.</w:t>
            </w:r>
          </w:p>
        </w:tc>
      </w:tr>
      <w:tr w:rsidR="000475BD" w:rsidRPr="00E00D12" w14:paraId="4F206D81" w14:textId="77777777" w:rsidTr="00D4226B">
        <w:trPr>
          <w:jc w:val="center"/>
        </w:trPr>
        <w:tc>
          <w:tcPr>
            <w:tcW w:w="1560" w:type="dxa"/>
          </w:tcPr>
          <w:p w14:paraId="5B033B8A"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164</w:t>
            </w:r>
          </w:p>
        </w:tc>
        <w:tc>
          <w:tcPr>
            <w:tcW w:w="8925" w:type="dxa"/>
          </w:tcPr>
          <w:p w14:paraId="261001C3" w14:textId="77777777" w:rsidR="000475BD" w:rsidRPr="006F2BF5" w:rsidRDefault="000475BD" w:rsidP="00D4226B">
            <w:pPr>
              <w:jc w:val="both"/>
              <w:rPr>
                <w:rFonts w:ascii="Arial" w:hAnsi="Arial" w:cs="Arial"/>
                <w:b/>
                <w:sz w:val="22"/>
                <w:szCs w:val="22"/>
                <w:lang w:val="es-MX"/>
              </w:rPr>
            </w:pPr>
            <w:r w:rsidRPr="006F2BF5">
              <w:rPr>
                <w:rFonts w:ascii="Arial" w:hAnsi="Arial" w:cs="Arial"/>
                <w:b/>
                <w:sz w:val="22"/>
                <w:szCs w:val="22"/>
                <w:lang w:val="es-MX"/>
              </w:rPr>
              <w:t>AGENCIA NACIONAL DE SEGURIDAD VIAL.</w:t>
            </w:r>
          </w:p>
        </w:tc>
      </w:tr>
      <w:tr w:rsidR="000475BD" w:rsidRPr="00E00D12" w14:paraId="0DD4441F" w14:textId="77777777" w:rsidTr="00D4226B">
        <w:trPr>
          <w:jc w:val="center"/>
        </w:trPr>
        <w:tc>
          <w:tcPr>
            <w:tcW w:w="1560" w:type="dxa"/>
          </w:tcPr>
          <w:p w14:paraId="2A15DBA3" w14:textId="77777777" w:rsidR="000475BD" w:rsidRDefault="000475BD" w:rsidP="00D4226B">
            <w:pPr>
              <w:ind w:left="306" w:right="-105"/>
              <w:rPr>
                <w:rFonts w:ascii="Arial" w:eastAsia="Trebuchet MS" w:hAnsi="Arial" w:cs="Arial"/>
                <w:b/>
                <w:lang w:val="es-ES_tradnl"/>
              </w:rPr>
            </w:pPr>
            <w:r>
              <w:rPr>
                <w:rFonts w:ascii="Arial" w:eastAsia="Trebuchet MS" w:hAnsi="Arial" w:cs="Arial"/>
                <w:b/>
                <w:lang w:val="es-ES_tradnl"/>
              </w:rPr>
              <w:t xml:space="preserve">  166</w:t>
            </w:r>
          </w:p>
        </w:tc>
        <w:tc>
          <w:tcPr>
            <w:tcW w:w="8925" w:type="dxa"/>
          </w:tcPr>
          <w:p w14:paraId="2397B3AA" w14:textId="77777777" w:rsidR="000475BD" w:rsidRPr="005A6D1A" w:rsidRDefault="000475BD" w:rsidP="00D4226B">
            <w:pPr>
              <w:jc w:val="both"/>
              <w:rPr>
                <w:rFonts w:ascii="Arial" w:hAnsi="Arial" w:cs="Arial"/>
                <w:b/>
                <w:sz w:val="22"/>
                <w:szCs w:val="22"/>
              </w:rPr>
            </w:pPr>
            <w:r w:rsidRPr="005A6D1A">
              <w:rPr>
                <w:rFonts w:ascii="Arial" w:hAnsi="Arial" w:cs="Arial"/>
                <w:b/>
                <w:sz w:val="22"/>
                <w:szCs w:val="22"/>
              </w:rPr>
              <w:t>CORPORACIÓN PARA EL DESARROLLO DEL AREA DE MANEJO ESPECIAL LA MACARENA – CORMACARENA</w:t>
            </w:r>
            <w:r>
              <w:rPr>
                <w:rFonts w:ascii="Arial" w:hAnsi="Arial" w:cs="Arial"/>
                <w:b/>
                <w:sz w:val="22"/>
                <w:szCs w:val="22"/>
              </w:rPr>
              <w:t>.</w:t>
            </w:r>
          </w:p>
        </w:tc>
      </w:tr>
      <w:tr w:rsidR="000475BD" w:rsidRPr="00E00D12" w14:paraId="7CC78BC1" w14:textId="77777777" w:rsidTr="00D4226B">
        <w:trPr>
          <w:jc w:val="center"/>
        </w:trPr>
        <w:tc>
          <w:tcPr>
            <w:tcW w:w="1560" w:type="dxa"/>
          </w:tcPr>
          <w:p w14:paraId="2346180E"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171</w:t>
            </w:r>
          </w:p>
        </w:tc>
        <w:tc>
          <w:tcPr>
            <w:tcW w:w="8925" w:type="dxa"/>
          </w:tcPr>
          <w:p w14:paraId="53158CCE" w14:textId="77777777" w:rsidR="000475BD" w:rsidRPr="00C8776B" w:rsidRDefault="000475BD" w:rsidP="00D4226B">
            <w:pPr>
              <w:jc w:val="both"/>
              <w:rPr>
                <w:rFonts w:ascii="Arial" w:hAnsi="Arial" w:cs="Arial"/>
                <w:b/>
                <w:sz w:val="22"/>
                <w:szCs w:val="22"/>
                <w:lang w:val="es-MX"/>
              </w:rPr>
            </w:pPr>
            <w:r w:rsidRPr="00C8776B">
              <w:rPr>
                <w:rFonts w:ascii="Arial" w:hAnsi="Arial" w:cs="Arial"/>
                <w:b/>
                <w:sz w:val="22"/>
                <w:szCs w:val="22"/>
                <w:lang w:val="es-MX"/>
              </w:rPr>
              <w:t>UNIVERSIDAD PEDAGÓGICA NACIONAL.</w:t>
            </w:r>
          </w:p>
        </w:tc>
      </w:tr>
      <w:tr w:rsidR="000475BD" w:rsidRPr="00E00D12" w14:paraId="505AE2B8" w14:textId="77777777" w:rsidTr="00D4226B">
        <w:trPr>
          <w:jc w:val="center"/>
        </w:trPr>
        <w:tc>
          <w:tcPr>
            <w:tcW w:w="1560" w:type="dxa"/>
          </w:tcPr>
          <w:p w14:paraId="0E4971EA"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172</w:t>
            </w:r>
          </w:p>
        </w:tc>
        <w:tc>
          <w:tcPr>
            <w:tcW w:w="8925" w:type="dxa"/>
          </w:tcPr>
          <w:p w14:paraId="32A3C8CB" w14:textId="77777777" w:rsidR="000475BD" w:rsidRPr="00425066" w:rsidRDefault="000475BD" w:rsidP="00D4226B">
            <w:pPr>
              <w:jc w:val="both"/>
              <w:rPr>
                <w:rFonts w:ascii="Arial" w:hAnsi="Arial" w:cs="Arial"/>
                <w:b/>
                <w:sz w:val="22"/>
                <w:szCs w:val="22"/>
              </w:rPr>
            </w:pPr>
            <w:r w:rsidRPr="00425066">
              <w:rPr>
                <w:rFonts w:ascii="Arial" w:hAnsi="Arial" w:cs="Arial"/>
                <w:b/>
                <w:sz w:val="22"/>
                <w:szCs w:val="22"/>
                <w:lang w:val="es-MX"/>
              </w:rPr>
              <w:t>POLICÍA NACIONAL.</w:t>
            </w:r>
          </w:p>
        </w:tc>
      </w:tr>
      <w:tr w:rsidR="000475BD" w:rsidRPr="00E00D12" w14:paraId="6DF9A220" w14:textId="77777777" w:rsidTr="00D4226B">
        <w:trPr>
          <w:jc w:val="center"/>
        </w:trPr>
        <w:tc>
          <w:tcPr>
            <w:tcW w:w="1560" w:type="dxa"/>
          </w:tcPr>
          <w:p w14:paraId="49B897EA"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180</w:t>
            </w:r>
          </w:p>
        </w:tc>
        <w:tc>
          <w:tcPr>
            <w:tcW w:w="8925" w:type="dxa"/>
          </w:tcPr>
          <w:p w14:paraId="49A8DB80" w14:textId="77777777" w:rsidR="000475BD" w:rsidRPr="00766C10" w:rsidRDefault="000475BD" w:rsidP="00D4226B">
            <w:pPr>
              <w:jc w:val="both"/>
              <w:rPr>
                <w:rFonts w:ascii="Arial" w:hAnsi="Arial" w:cs="Arial"/>
                <w:b/>
                <w:sz w:val="22"/>
                <w:szCs w:val="22"/>
                <w:lang w:val="es-MX"/>
              </w:rPr>
            </w:pPr>
            <w:r w:rsidRPr="00766C10">
              <w:rPr>
                <w:rFonts w:ascii="Arial" w:hAnsi="Arial" w:cs="Arial"/>
                <w:b/>
                <w:sz w:val="22"/>
                <w:szCs w:val="22"/>
                <w:lang w:val="es-MX"/>
              </w:rPr>
              <w:t>U.A.E. AGENCIA DEL INSPECTOR GENERAL DE TRIBUTOS, RENTAS Y CONTRIBUCIONES PARAFISCALES - ITRC.</w:t>
            </w:r>
          </w:p>
        </w:tc>
      </w:tr>
      <w:tr w:rsidR="000475BD" w:rsidRPr="00E00D12" w14:paraId="25F1053E" w14:textId="77777777" w:rsidTr="00D4226B">
        <w:trPr>
          <w:jc w:val="center"/>
        </w:trPr>
        <w:tc>
          <w:tcPr>
            <w:tcW w:w="1560" w:type="dxa"/>
          </w:tcPr>
          <w:p w14:paraId="1CCDA3A8"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181</w:t>
            </w:r>
          </w:p>
        </w:tc>
        <w:tc>
          <w:tcPr>
            <w:tcW w:w="8925" w:type="dxa"/>
          </w:tcPr>
          <w:p w14:paraId="180C2B97" w14:textId="77777777" w:rsidR="000475BD" w:rsidRPr="00FE00E1" w:rsidRDefault="000475BD" w:rsidP="00D4226B">
            <w:pPr>
              <w:jc w:val="both"/>
              <w:rPr>
                <w:rFonts w:ascii="Arial" w:hAnsi="Arial" w:cs="Arial"/>
                <w:b/>
                <w:sz w:val="22"/>
                <w:szCs w:val="22"/>
                <w:lang w:val="es-MX"/>
              </w:rPr>
            </w:pPr>
            <w:r w:rsidRPr="00FE00E1">
              <w:rPr>
                <w:rFonts w:ascii="Arial" w:hAnsi="Arial" w:cs="Arial"/>
                <w:b/>
                <w:sz w:val="22"/>
                <w:szCs w:val="22"/>
                <w:lang w:val="es-MX"/>
              </w:rPr>
              <w:t>AGENCIA DE DESARROLLO RURAL – ADR.</w:t>
            </w:r>
          </w:p>
        </w:tc>
      </w:tr>
      <w:tr w:rsidR="000475BD" w:rsidRPr="00E00D12" w14:paraId="714A44B8" w14:textId="77777777" w:rsidTr="00D4226B">
        <w:trPr>
          <w:jc w:val="center"/>
        </w:trPr>
        <w:tc>
          <w:tcPr>
            <w:tcW w:w="1560" w:type="dxa"/>
          </w:tcPr>
          <w:p w14:paraId="2A62D6A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182</w:t>
            </w:r>
          </w:p>
        </w:tc>
        <w:tc>
          <w:tcPr>
            <w:tcW w:w="8925" w:type="dxa"/>
          </w:tcPr>
          <w:p w14:paraId="2CD1377B" w14:textId="77777777" w:rsidR="000475BD" w:rsidRPr="00F167DA" w:rsidRDefault="000475BD" w:rsidP="00D4226B">
            <w:pPr>
              <w:ind w:right="49"/>
              <w:jc w:val="both"/>
              <w:rPr>
                <w:rFonts w:ascii="Arial" w:hAnsi="Arial" w:cs="Arial"/>
                <w:b/>
                <w:sz w:val="22"/>
                <w:szCs w:val="22"/>
                <w:lang w:val="es-MX"/>
              </w:rPr>
            </w:pPr>
            <w:r w:rsidRPr="00F167DA">
              <w:rPr>
                <w:rFonts w:ascii="Arial" w:hAnsi="Arial" w:cs="Arial"/>
                <w:b/>
                <w:sz w:val="22"/>
                <w:szCs w:val="22"/>
                <w:lang w:val="es-MX"/>
              </w:rPr>
              <w:t>INSTITUTO DE PLANIFICACION Y PROMOCION DE SOLUCIONES ENERGETICAS - IPSE.</w:t>
            </w:r>
          </w:p>
        </w:tc>
      </w:tr>
      <w:tr w:rsidR="000475BD" w:rsidRPr="00E00D12" w14:paraId="359E0034" w14:textId="77777777" w:rsidTr="00D4226B">
        <w:trPr>
          <w:jc w:val="center"/>
        </w:trPr>
        <w:tc>
          <w:tcPr>
            <w:tcW w:w="1560" w:type="dxa"/>
          </w:tcPr>
          <w:p w14:paraId="493B3B48"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186</w:t>
            </w:r>
          </w:p>
        </w:tc>
        <w:tc>
          <w:tcPr>
            <w:tcW w:w="8925" w:type="dxa"/>
          </w:tcPr>
          <w:p w14:paraId="005E1D7D" w14:textId="77777777" w:rsidR="000475BD" w:rsidRPr="00F167DA" w:rsidRDefault="000475BD" w:rsidP="00D4226B">
            <w:pPr>
              <w:jc w:val="both"/>
              <w:rPr>
                <w:rFonts w:ascii="Arial" w:hAnsi="Arial" w:cs="Arial"/>
                <w:b/>
                <w:lang w:val="es-MX"/>
              </w:rPr>
            </w:pPr>
            <w:r w:rsidRPr="008A645A">
              <w:rPr>
                <w:rFonts w:ascii="Arial" w:hAnsi="Arial" w:cs="Arial"/>
                <w:b/>
                <w:sz w:val="22"/>
                <w:szCs w:val="22"/>
              </w:rPr>
              <w:t>CORPORACIÓN AUTÓNOMA REGIONAL DE LAS CUENCAS DE LOS RIOS NEGRO Y NARE - CORNARE</w:t>
            </w:r>
            <w:r w:rsidRPr="008A645A">
              <w:rPr>
                <w:rFonts w:ascii="Arial" w:hAnsi="Arial" w:cs="Arial"/>
                <w:b/>
                <w:lang w:val="es-MX"/>
              </w:rPr>
              <w:t>.</w:t>
            </w:r>
          </w:p>
        </w:tc>
      </w:tr>
      <w:tr w:rsidR="000475BD" w:rsidRPr="00E00D12" w14:paraId="304418B6" w14:textId="77777777" w:rsidTr="00D4226B">
        <w:trPr>
          <w:jc w:val="center"/>
        </w:trPr>
        <w:tc>
          <w:tcPr>
            <w:tcW w:w="1560" w:type="dxa"/>
          </w:tcPr>
          <w:p w14:paraId="097AA2C9"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187</w:t>
            </w:r>
          </w:p>
        </w:tc>
        <w:tc>
          <w:tcPr>
            <w:tcW w:w="8925" w:type="dxa"/>
          </w:tcPr>
          <w:p w14:paraId="40C3BD5B" w14:textId="77777777" w:rsidR="000475BD" w:rsidRPr="0085621D" w:rsidRDefault="000475BD" w:rsidP="00D4226B">
            <w:pPr>
              <w:ind w:right="-376"/>
              <w:jc w:val="both"/>
              <w:rPr>
                <w:rFonts w:ascii="Arial" w:hAnsi="Arial" w:cs="Arial"/>
                <w:b/>
                <w:sz w:val="22"/>
                <w:szCs w:val="22"/>
                <w:lang w:val="es-MX"/>
              </w:rPr>
            </w:pPr>
            <w:r w:rsidRPr="0085621D">
              <w:rPr>
                <w:rFonts w:ascii="Arial" w:hAnsi="Arial" w:cs="Arial"/>
                <w:b/>
                <w:sz w:val="22"/>
                <w:szCs w:val="22"/>
              </w:rPr>
              <w:t>MINISTERIO DE CIENCIA, TECNOLOGÍA E INNOVACIÓN - MINCIENCIAS</w:t>
            </w:r>
          </w:p>
        </w:tc>
      </w:tr>
      <w:tr w:rsidR="000475BD" w:rsidRPr="00E00D12" w14:paraId="45388568" w14:textId="77777777" w:rsidTr="00D4226B">
        <w:trPr>
          <w:jc w:val="center"/>
        </w:trPr>
        <w:tc>
          <w:tcPr>
            <w:tcW w:w="1560" w:type="dxa"/>
          </w:tcPr>
          <w:p w14:paraId="3F74D0FD"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215</w:t>
            </w:r>
          </w:p>
        </w:tc>
        <w:tc>
          <w:tcPr>
            <w:tcW w:w="8925" w:type="dxa"/>
          </w:tcPr>
          <w:p w14:paraId="7F824FB3" w14:textId="77777777" w:rsidR="000475BD" w:rsidRPr="00A470CA" w:rsidRDefault="000475BD" w:rsidP="00D4226B">
            <w:pPr>
              <w:jc w:val="both"/>
              <w:rPr>
                <w:rFonts w:ascii="Arial" w:hAnsi="Arial" w:cs="Arial"/>
                <w:b/>
                <w:sz w:val="28"/>
                <w:szCs w:val="28"/>
                <w:lang w:val="es-MX"/>
              </w:rPr>
            </w:pPr>
            <w:r w:rsidRPr="00A470CA">
              <w:rPr>
                <w:rFonts w:ascii="Arial" w:hAnsi="Arial" w:cs="Arial"/>
                <w:b/>
                <w:sz w:val="22"/>
                <w:szCs w:val="22"/>
                <w:lang w:val="es-MX"/>
              </w:rPr>
              <w:t>MINISTERIO DE LAS CULTURAS, LAS ARTES Y LOS SABERES</w:t>
            </w:r>
            <w:r w:rsidRPr="00A03531">
              <w:rPr>
                <w:rFonts w:ascii="Arial" w:hAnsi="Arial" w:cs="Arial"/>
                <w:b/>
                <w:sz w:val="28"/>
                <w:szCs w:val="28"/>
                <w:lang w:val="es-MX"/>
              </w:rPr>
              <w:t>.</w:t>
            </w:r>
          </w:p>
        </w:tc>
      </w:tr>
      <w:tr w:rsidR="000475BD" w:rsidRPr="00E00D12" w14:paraId="1B7F8086" w14:textId="77777777" w:rsidTr="00D4226B">
        <w:trPr>
          <w:jc w:val="center"/>
        </w:trPr>
        <w:tc>
          <w:tcPr>
            <w:tcW w:w="1560" w:type="dxa"/>
          </w:tcPr>
          <w:p w14:paraId="2462B888"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216</w:t>
            </w:r>
          </w:p>
        </w:tc>
        <w:tc>
          <w:tcPr>
            <w:tcW w:w="8925" w:type="dxa"/>
          </w:tcPr>
          <w:p w14:paraId="7A4DF366" w14:textId="77777777" w:rsidR="000475BD" w:rsidRPr="00122371" w:rsidRDefault="000475BD" w:rsidP="00D4226B">
            <w:pPr>
              <w:jc w:val="both"/>
              <w:rPr>
                <w:rFonts w:ascii="Arial" w:hAnsi="Arial" w:cs="Arial"/>
                <w:b/>
                <w:sz w:val="22"/>
                <w:szCs w:val="22"/>
                <w:lang w:val="es-MX"/>
              </w:rPr>
            </w:pPr>
            <w:r w:rsidRPr="00122371">
              <w:rPr>
                <w:rFonts w:ascii="Arial" w:hAnsi="Arial" w:cs="Arial"/>
                <w:b/>
                <w:sz w:val="22"/>
                <w:szCs w:val="22"/>
                <w:lang w:val="es-MX"/>
              </w:rPr>
              <w:t>UNIVERSIDAD DE LOS LLANOS – UNILLANOS.</w:t>
            </w:r>
          </w:p>
        </w:tc>
      </w:tr>
      <w:tr w:rsidR="000475BD" w:rsidRPr="00E00D12" w14:paraId="40713C33" w14:textId="77777777" w:rsidTr="00D4226B">
        <w:trPr>
          <w:jc w:val="center"/>
        </w:trPr>
        <w:tc>
          <w:tcPr>
            <w:tcW w:w="1560" w:type="dxa"/>
          </w:tcPr>
          <w:p w14:paraId="057260E3"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217</w:t>
            </w:r>
          </w:p>
        </w:tc>
        <w:tc>
          <w:tcPr>
            <w:tcW w:w="8925" w:type="dxa"/>
          </w:tcPr>
          <w:p w14:paraId="0FFB8D87" w14:textId="77777777" w:rsidR="000475BD" w:rsidRPr="00ED51CC" w:rsidRDefault="000475BD" w:rsidP="00D4226B">
            <w:pPr>
              <w:jc w:val="both"/>
              <w:rPr>
                <w:rFonts w:ascii="Arial" w:hAnsi="Arial" w:cs="Arial"/>
                <w:b/>
                <w:sz w:val="22"/>
                <w:szCs w:val="22"/>
                <w:lang w:val="es-MX"/>
              </w:rPr>
            </w:pPr>
            <w:r w:rsidRPr="00ED51CC">
              <w:rPr>
                <w:rFonts w:ascii="Arial" w:hAnsi="Arial" w:cs="Arial"/>
                <w:b/>
                <w:sz w:val="22"/>
                <w:szCs w:val="22"/>
                <w:lang w:val="es-MX"/>
              </w:rPr>
              <w:t>RADIO TELEVISIÓN NACIONAL DE COLOMBIA – RTVC S.A.S.</w:t>
            </w:r>
          </w:p>
        </w:tc>
      </w:tr>
      <w:tr w:rsidR="000475BD" w:rsidRPr="00E00D12" w14:paraId="5C286129" w14:textId="77777777" w:rsidTr="00D4226B">
        <w:trPr>
          <w:jc w:val="center"/>
        </w:trPr>
        <w:tc>
          <w:tcPr>
            <w:tcW w:w="1560" w:type="dxa"/>
          </w:tcPr>
          <w:p w14:paraId="531F474B"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223</w:t>
            </w:r>
          </w:p>
        </w:tc>
        <w:tc>
          <w:tcPr>
            <w:tcW w:w="8925" w:type="dxa"/>
          </w:tcPr>
          <w:p w14:paraId="71FEEF1F" w14:textId="77777777" w:rsidR="000475BD" w:rsidRPr="00625F42" w:rsidRDefault="000475BD" w:rsidP="00D4226B">
            <w:pPr>
              <w:jc w:val="both"/>
              <w:rPr>
                <w:rFonts w:ascii="Arial" w:hAnsi="Arial" w:cs="Arial"/>
                <w:b/>
                <w:sz w:val="22"/>
                <w:szCs w:val="22"/>
                <w:lang w:val="es-MX"/>
              </w:rPr>
            </w:pPr>
            <w:r w:rsidRPr="00625F42">
              <w:rPr>
                <w:rFonts w:ascii="Arial" w:hAnsi="Arial" w:cs="Arial"/>
                <w:b/>
                <w:sz w:val="22"/>
                <w:szCs w:val="22"/>
              </w:rPr>
              <w:t>INSTITUTO NACIONAL PENITENCIARIO Y CARCELARIO – INPEC</w:t>
            </w:r>
            <w:r w:rsidRPr="00625F42">
              <w:rPr>
                <w:rFonts w:ascii="Arial" w:hAnsi="Arial" w:cs="Arial"/>
                <w:b/>
                <w:sz w:val="22"/>
                <w:szCs w:val="22"/>
                <w:lang w:val="es-MX"/>
              </w:rPr>
              <w:t>.</w:t>
            </w:r>
          </w:p>
        </w:tc>
      </w:tr>
      <w:tr w:rsidR="000475BD" w:rsidRPr="00E00D12" w14:paraId="1D741EDE" w14:textId="77777777" w:rsidTr="00D4226B">
        <w:trPr>
          <w:jc w:val="center"/>
        </w:trPr>
        <w:tc>
          <w:tcPr>
            <w:tcW w:w="1560" w:type="dxa"/>
          </w:tcPr>
          <w:p w14:paraId="14244720"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224</w:t>
            </w:r>
          </w:p>
        </w:tc>
        <w:tc>
          <w:tcPr>
            <w:tcW w:w="8925" w:type="dxa"/>
          </w:tcPr>
          <w:p w14:paraId="4EC95950" w14:textId="77777777" w:rsidR="000475BD" w:rsidRPr="00561948" w:rsidRDefault="000475BD" w:rsidP="00D4226B">
            <w:pPr>
              <w:jc w:val="both"/>
              <w:rPr>
                <w:rFonts w:ascii="Arial" w:hAnsi="Arial" w:cs="Arial"/>
                <w:b/>
                <w:sz w:val="22"/>
                <w:szCs w:val="22"/>
                <w:lang w:val="es-MX"/>
              </w:rPr>
            </w:pPr>
            <w:r w:rsidRPr="00561948">
              <w:rPr>
                <w:rFonts w:ascii="Arial" w:hAnsi="Arial" w:cs="Arial"/>
                <w:b/>
                <w:sz w:val="22"/>
                <w:szCs w:val="22"/>
                <w:lang w:val="es-MX"/>
              </w:rPr>
              <w:t>MINISTERIO DE MINAS Y ENERGÍA.</w:t>
            </w:r>
          </w:p>
        </w:tc>
      </w:tr>
      <w:tr w:rsidR="000475BD" w:rsidRPr="00E00D12" w14:paraId="71450BD4" w14:textId="77777777" w:rsidTr="00D4226B">
        <w:trPr>
          <w:jc w:val="center"/>
        </w:trPr>
        <w:tc>
          <w:tcPr>
            <w:tcW w:w="1560" w:type="dxa"/>
          </w:tcPr>
          <w:p w14:paraId="0AD0E519"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226</w:t>
            </w:r>
          </w:p>
        </w:tc>
        <w:tc>
          <w:tcPr>
            <w:tcW w:w="8925" w:type="dxa"/>
          </w:tcPr>
          <w:p w14:paraId="0AF19746" w14:textId="77777777" w:rsidR="000475BD" w:rsidRPr="00ED7416" w:rsidRDefault="000475BD" w:rsidP="00D4226B">
            <w:pPr>
              <w:pStyle w:val="Prrafodelista"/>
              <w:ind w:left="0"/>
              <w:rPr>
                <w:b/>
              </w:rPr>
            </w:pPr>
            <w:r w:rsidRPr="00ED7416">
              <w:rPr>
                <w:rFonts w:ascii="Arial" w:hAnsi="Arial" w:cs="Arial"/>
                <w:b/>
                <w:lang w:val="es-MX"/>
              </w:rPr>
              <w:t>UNIVERSIDAD NACIONAL DE COLOMBIA.</w:t>
            </w:r>
          </w:p>
        </w:tc>
      </w:tr>
      <w:tr w:rsidR="000475BD" w:rsidRPr="00E00D12" w14:paraId="2AC246CD" w14:textId="77777777" w:rsidTr="00D4226B">
        <w:trPr>
          <w:jc w:val="center"/>
        </w:trPr>
        <w:tc>
          <w:tcPr>
            <w:tcW w:w="1560" w:type="dxa"/>
          </w:tcPr>
          <w:p w14:paraId="00E3B516"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229</w:t>
            </w:r>
          </w:p>
        </w:tc>
        <w:tc>
          <w:tcPr>
            <w:tcW w:w="8925" w:type="dxa"/>
          </w:tcPr>
          <w:p w14:paraId="3AA6C437" w14:textId="77777777" w:rsidR="000475BD" w:rsidRPr="002437D7" w:rsidRDefault="000475BD" w:rsidP="00D4226B">
            <w:pPr>
              <w:jc w:val="both"/>
              <w:rPr>
                <w:rFonts w:ascii="Arial" w:hAnsi="Arial" w:cs="Arial"/>
                <w:b/>
                <w:sz w:val="22"/>
                <w:szCs w:val="22"/>
                <w:lang w:val="es-MX"/>
              </w:rPr>
            </w:pPr>
            <w:r w:rsidRPr="002437D7">
              <w:rPr>
                <w:rFonts w:ascii="Arial" w:hAnsi="Arial" w:cs="Arial"/>
                <w:b/>
                <w:sz w:val="22"/>
                <w:szCs w:val="22"/>
              </w:rPr>
              <w:t>CAJA DE RETIRO DE LAS FUERZAS MILITARES - CREMIL</w:t>
            </w:r>
          </w:p>
        </w:tc>
      </w:tr>
      <w:tr w:rsidR="000475BD" w:rsidRPr="00E00D12" w14:paraId="58671276" w14:textId="77777777" w:rsidTr="00D4226B">
        <w:trPr>
          <w:jc w:val="center"/>
        </w:trPr>
        <w:tc>
          <w:tcPr>
            <w:tcW w:w="1560" w:type="dxa"/>
          </w:tcPr>
          <w:p w14:paraId="7A22FD16"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237</w:t>
            </w:r>
          </w:p>
        </w:tc>
        <w:tc>
          <w:tcPr>
            <w:tcW w:w="8925" w:type="dxa"/>
          </w:tcPr>
          <w:p w14:paraId="2B54344C" w14:textId="77777777" w:rsidR="000475BD" w:rsidRPr="00CE15D8" w:rsidRDefault="000475BD" w:rsidP="00D4226B">
            <w:pPr>
              <w:jc w:val="both"/>
              <w:rPr>
                <w:rFonts w:ascii="Arial" w:hAnsi="Arial" w:cs="Arial"/>
                <w:b/>
                <w:sz w:val="22"/>
                <w:szCs w:val="22"/>
              </w:rPr>
            </w:pPr>
            <w:r w:rsidRPr="00CE15D8">
              <w:rPr>
                <w:rFonts w:ascii="Arial" w:hAnsi="Arial" w:cs="Arial"/>
                <w:b/>
                <w:sz w:val="22"/>
                <w:szCs w:val="22"/>
              </w:rPr>
              <w:t>FIDEICOMISO PROCOLOMBIA – FIDUCOLDEX S.A.</w:t>
            </w:r>
          </w:p>
        </w:tc>
      </w:tr>
      <w:tr w:rsidR="000475BD" w:rsidRPr="00E00D12" w14:paraId="047D124C" w14:textId="77777777" w:rsidTr="00D4226B">
        <w:trPr>
          <w:jc w:val="center"/>
        </w:trPr>
        <w:tc>
          <w:tcPr>
            <w:tcW w:w="1560" w:type="dxa"/>
          </w:tcPr>
          <w:p w14:paraId="053C2451"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245</w:t>
            </w:r>
          </w:p>
        </w:tc>
        <w:tc>
          <w:tcPr>
            <w:tcW w:w="8925" w:type="dxa"/>
          </w:tcPr>
          <w:p w14:paraId="6F49FD08" w14:textId="77777777" w:rsidR="000475BD" w:rsidRPr="00CE15D8" w:rsidRDefault="000475BD" w:rsidP="00D4226B">
            <w:pPr>
              <w:jc w:val="both"/>
              <w:rPr>
                <w:rFonts w:ascii="Arial" w:hAnsi="Arial" w:cs="Arial"/>
                <w:b/>
                <w:sz w:val="22"/>
                <w:szCs w:val="22"/>
              </w:rPr>
            </w:pPr>
            <w:r w:rsidRPr="00CE15D8">
              <w:rPr>
                <w:rFonts w:ascii="Arial" w:hAnsi="Arial" w:cs="Arial"/>
                <w:b/>
                <w:sz w:val="22"/>
                <w:szCs w:val="22"/>
                <w:lang w:val="es-MX"/>
              </w:rPr>
              <w:t xml:space="preserve">CORPORACIÓN AUTÓNOMA REGIONAL DE CUNDINAMARCA – CAR. </w:t>
            </w:r>
            <w:r w:rsidRPr="00CE15D8">
              <w:rPr>
                <w:rFonts w:ascii="Arial" w:hAnsi="Arial" w:cs="Arial"/>
                <w:b/>
                <w:sz w:val="22"/>
                <w:szCs w:val="22"/>
              </w:rPr>
              <w:t xml:space="preserve"> </w:t>
            </w:r>
          </w:p>
        </w:tc>
      </w:tr>
      <w:tr w:rsidR="000475BD" w:rsidRPr="00E00D12" w14:paraId="759B9D95" w14:textId="77777777" w:rsidTr="00D4226B">
        <w:trPr>
          <w:jc w:val="center"/>
        </w:trPr>
        <w:tc>
          <w:tcPr>
            <w:tcW w:w="1560" w:type="dxa"/>
          </w:tcPr>
          <w:p w14:paraId="4D33A0C9"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247</w:t>
            </w:r>
          </w:p>
        </w:tc>
        <w:tc>
          <w:tcPr>
            <w:tcW w:w="8925" w:type="dxa"/>
          </w:tcPr>
          <w:p w14:paraId="50AC1B2E" w14:textId="77777777" w:rsidR="000475BD" w:rsidRPr="00C30EE4" w:rsidRDefault="000475BD" w:rsidP="00D4226B">
            <w:pPr>
              <w:jc w:val="both"/>
              <w:rPr>
                <w:rFonts w:ascii="Arial" w:hAnsi="Arial" w:cs="Arial"/>
                <w:b/>
                <w:sz w:val="22"/>
                <w:szCs w:val="22"/>
                <w:lang w:val="es-MX"/>
              </w:rPr>
            </w:pPr>
            <w:r w:rsidRPr="00C30EE4">
              <w:rPr>
                <w:rFonts w:ascii="Arial" w:hAnsi="Arial" w:cs="Arial"/>
                <w:b/>
                <w:sz w:val="22"/>
                <w:szCs w:val="22"/>
                <w:lang w:val="es-MX"/>
              </w:rPr>
              <w:t xml:space="preserve">INSTITUTO NACIONAL DE VIGILANCIA DE MEDICAMENTOS Y ALIMENTOS – INVIMA. </w:t>
            </w:r>
          </w:p>
        </w:tc>
      </w:tr>
      <w:tr w:rsidR="000475BD" w:rsidRPr="00E00D12" w14:paraId="31CF32D2" w14:textId="77777777" w:rsidTr="00D4226B">
        <w:trPr>
          <w:jc w:val="center"/>
        </w:trPr>
        <w:tc>
          <w:tcPr>
            <w:tcW w:w="1560" w:type="dxa"/>
          </w:tcPr>
          <w:p w14:paraId="6DF95037"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248</w:t>
            </w:r>
          </w:p>
        </w:tc>
        <w:tc>
          <w:tcPr>
            <w:tcW w:w="8925" w:type="dxa"/>
          </w:tcPr>
          <w:p w14:paraId="10874E30" w14:textId="77777777" w:rsidR="000475BD" w:rsidRPr="00DB4204" w:rsidRDefault="000475BD" w:rsidP="00D4226B">
            <w:pPr>
              <w:jc w:val="both"/>
              <w:rPr>
                <w:rFonts w:ascii="Arial" w:hAnsi="Arial" w:cs="Arial"/>
                <w:b/>
                <w:sz w:val="22"/>
                <w:szCs w:val="22"/>
                <w:lang w:val="es-MX"/>
              </w:rPr>
            </w:pPr>
            <w:r w:rsidRPr="00DB4204">
              <w:rPr>
                <w:rFonts w:ascii="Arial" w:hAnsi="Arial" w:cs="Arial"/>
                <w:b/>
                <w:sz w:val="22"/>
                <w:szCs w:val="22"/>
                <w:lang w:val="es-MX"/>
              </w:rPr>
              <w:t>EMPRESA DISTRIBUIDORA DEL PACÍFICO S.A. E.S.P. – DISPAC.</w:t>
            </w:r>
          </w:p>
        </w:tc>
      </w:tr>
      <w:tr w:rsidR="000475BD" w:rsidRPr="00E00D12" w14:paraId="57EC5C58" w14:textId="77777777" w:rsidTr="00D4226B">
        <w:trPr>
          <w:jc w:val="center"/>
        </w:trPr>
        <w:tc>
          <w:tcPr>
            <w:tcW w:w="1560" w:type="dxa"/>
          </w:tcPr>
          <w:p w14:paraId="74DD82A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250</w:t>
            </w:r>
          </w:p>
        </w:tc>
        <w:tc>
          <w:tcPr>
            <w:tcW w:w="8925" w:type="dxa"/>
          </w:tcPr>
          <w:p w14:paraId="70E9E468" w14:textId="77777777" w:rsidR="000475BD" w:rsidRPr="00732E71" w:rsidRDefault="000475BD" w:rsidP="00D4226B">
            <w:pPr>
              <w:jc w:val="both"/>
              <w:rPr>
                <w:rFonts w:ascii="Arial" w:hAnsi="Arial" w:cs="Arial"/>
                <w:b/>
                <w:sz w:val="22"/>
                <w:szCs w:val="22"/>
                <w:lang w:val="es-MX"/>
              </w:rPr>
            </w:pPr>
            <w:r w:rsidRPr="00732E71">
              <w:rPr>
                <w:rFonts w:ascii="Arial" w:hAnsi="Arial" w:cs="Arial"/>
                <w:b/>
                <w:sz w:val="22"/>
                <w:szCs w:val="22"/>
                <w:lang w:val="es-MX"/>
              </w:rPr>
              <w:t>MINISTERIO DE COMERCIO, INDUSTRIA Y TURISMO – MINCIT.</w:t>
            </w:r>
          </w:p>
        </w:tc>
      </w:tr>
      <w:tr w:rsidR="000475BD" w:rsidRPr="00E00D12" w14:paraId="01519283" w14:textId="77777777" w:rsidTr="00D4226B">
        <w:trPr>
          <w:jc w:val="center"/>
        </w:trPr>
        <w:tc>
          <w:tcPr>
            <w:tcW w:w="1560" w:type="dxa"/>
          </w:tcPr>
          <w:p w14:paraId="219F91D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253</w:t>
            </w:r>
          </w:p>
        </w:tc>
        <w:tc>
          <w:tcPr>
            <w:tcW w:w="8925" w:type="dxa"/>
          </w:tcPr>
          <w:p w14:paraId="01AA6782" w14:textId="77777777" w:rsidR="000475BD" w:rsidRPr="006F4FC8" w:rsidRDefault="000475BD" w:rsidP="00D4226B">
            <w:pPr>
              <w:ind w:right="-93"/>
              <w:jc w:val="both"/>
              <w:rPr>
                <w:rFonts w:ascii="Arial" w:hAnsi="Arial" w:cs="Arial"/>
                <w:b/>
                <w:sz w:val="22"/>
                <w:szCs w:val="22"/>
                <w:lang w:val="es-MX"/>
              </w:rPr>
            </w:pPr>
            <w:r w:rsidRPr="006F4FC8">
              <w:rPr>
                <w:rFonts w:ascii="Arial" w:hAnsi="Arial" w:cs="Arial"/>
                <w:b/>
                <w:sz w:val="22"/>
                <w:szCs w:val="22"/>
                <w:lang w:val="es-MX"/>
              </w:rPr>
              <w:t>UNIDAD PARA LA ATENCIÓN Y REPARACIÓN INTEGRAL A LAS VÍCTIMAS.</w:t>
            </w:r>
          </w:p>
        </w:tc>
      </w:tr>
      <w:tr w:rsidR="000475BD" w:rsidRPr="00E00D12" w14:paraId="030A0772" w14:textId="77777777" w:rsidTr="00D4226B">
        <w:trPr>
          <w:jc w:val="center"/>
        </w:trPr>
        <w:tc>
          <w:tcPr>
            <w:tcW w:w="1560" w:type="dxa"/>
          </w:tcPr>
          <w:p w14:paraId="316E6C7B"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256</w:t>
            </w:r>
          </w:p>
        </w:tc>
        <w:tc>
          <w:tcPr>
            <w:tcW w:w="8925" w:type="dxa"/>
          </w:tcPr>
          <w:p w14:paraId="744480B1" w14:textId="77777777" w:rsidR="000475BD" w:rsidRPr="000B4BA5" w:rsidRDefault="000475BD" w:rsidP="00D4226B">
            <w:pPr>
              <w:ind w:right="49"/>
              <w:jc w:val="both"/>
              <w:rPr>
                <w:rFonts w:ascii="Arial" w:hAnsi="Arial" w:cs="Arial"/>
                <w:b/>
                <w:sz w:val="22"/>
                <w:szCs w:val="22"/>
                <w:lang w:val="es-MX"/>
              </w:rPr>
            </w:pPr>
            <w:r w:rsidRPr="000B4BA5">
              <w:rPr>
                <w:rFonts w:ascii="Arial" w:hAnsi="Arial" w:cs="Arial"/>
                <w:b/>
                <w:sz w:val="22"/>
                <w:szCs w:val="22"/>
                <w:lang w:val="es-MX"/>
              </w:rPr>
              <w:t xml:space="preserve">U.A.E. DE GESTIÓN PENSIONAL Y CONTRIBUCIONES PARAFISCALES DE LA PROTECCIÓN SOCIAL – UGPP. </w:t>
            </w:r>
          </w:p>
        </w:tc>
      </w:tr>
      <w:tr w:rsidR="000475BD" w:rsidRPr="00E00D12" w14:paraId="43245A9A" w14:textId="77777777" w:rsidTr="00D4226B">
        <w:trPr>
          <w:jc w:val="center"/>
        </w:trPr>
        <w:tc>
          <w:tcPr>
            <w:tcW w:w="1560" w:type="dxa"/>
          </w:tcPr>
          <w:p w14:paraId="32CC42F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257</w:t>
            </w:r>
          </w:p>
        </w:tc>
        <w:tc>
          <w:tcPr>
            <w:tcW w:w="8925" w:type="dxa"/>
          </w:tcPr>
          <w:p w14:paraId="613180BA" w14:textId="77777777" w:rsidR="000475BD" w:rsidRPr="00D35A9D" w:rsidRDefault="000475BD" w:rsidP="00D4226B">
            <w:pPr>
              <w:ind w:right="49"/>
              <w:jc w:val="both"/>
              <w:rPr>
                <w:rFonts w:ascii="Arial" w:hAnsi="Arial" w:cs="Arial"/>
                <w:b/>
                <w:sz w:val="22"/>
                <w:szCs w:val="22"/>
                <w:lang w:val="es-MX"/>
              </w:rPr>
            </w:pPr>
            <w:r w:rsidRPr="00D35A9D">
              <w:rPr>
                <w:rFonts w:ascii="Arial" w:hAnsi="Arial" w:cs="Arial"/>
                <w:b/>
                <w:sz w:val="22"/>
                <w:szCs w:val="22"/>
                <w:lang w:val="es-MX"/>
              </w:rPr>
              <w:t>AGENCIA PARA LA REINCORPORACIÓN Y LA NORMALIZACIÓN – ARN.</w:t>
            </w:r>
          </w:p>
        </w:tc>
      </w:tr>
      <w:tr w:rsidR="000475BD" w:rsidRPr="00E00D12" w14:paraId="65562C79" w14:textId="77777777" w:rsidTr="00D4226B">
        <w:trPr>
          <w:jc w:val="center"/>
        </w:trPr>
        <w:tc>
          <w:tcPr>
            <w:tcW w:w="1560" w:type="dxa"/>
          </w:tcPr>
          <w:p w14:paraId="64B4A986"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259</w:t>
            </w:r>
          </w:p>
        </w:tc>
        <w:tc>
          <w:tcPr>
            <w:tcW w:w="8925" w:type="dxa"/>
          </w:tcPr>
          <w:p w14:paraId="01D862E2" w14:textId="77777777" w:rsidR="000475BD" w:rsidRPr="00665FB5" w:rsidRDefault="000475BD" w:rsidP="00D4226B">
            <w:pPr>
              <w:jc w:val="both"/>
              <w:rPr>
                <w:rFonts w:ascii="Arial" w:hAnsi="Arial" w:cs="Arial"/>
                <w:b/>
                <w:sz w:val="22"/>
                <w:szCs w:val="22"/>
                <w:lang w:val="es-MX"/>
              </w:rPr>
            </w:pPr>
            <w:r w:rsidRPr="00665FB5">
              <w:rPr>
                <w:rFonts w:ascii="Arial" w:hAnsi="Arial" w:cs="Arial"/>
                <w:b/>
                <w:sz w:val="22"/>
                <w:szCs w:val="22"/>
                <w:lang w:val="es-MX"/>
              </w:rPr>
              <w:t>CORPORACIÓN AUTÓNOMA REGIONAL DE LA ORINOQUIA - CORPORINOQUIA.</w:t>
            </w:r>
          </w:p>
        </w:tc>
      </w:tr>
      <w:tr w:rsidR="000475BD" w:rsidRPr="00E00D12" w14:paraId="28E9F039" w14:textId="77777777" w:rsidTr="00D4226B">
        <w:trPr>
          <w:jc w:val="center"/>
        </w:trPr>
        <w:tc>
          <w:tcPr>
            <w:tcW w:w="1560" w:type="dxa"/>
          </w:tcPr>
          <w:p w14:paraId="35F51CE4"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264</w:t>
            </w:r>
          </w:p>
        </w:tc>
        <w:tc>
          <w:tcPr>
            <w:tcW w:w="8925" w:type="dxa"/>
          </w:tcPr>
          <w:p w14:paraId="176215C5" w14:textId="77777777" w:rsidR="000475BD" w:rsidRPr="00682D6C" w:rsidRDefault="000475BD" w:rsidP="00D4226B">
            <w:pPr>
              <w:jc w:val="both"/>
              <w:rPr>
                <w:rFonts w:ascii="Arial" w:hAnsi="Arial" w:cs="Arial"/>
                <w:b/>
                <w:sz w:val="22"/>
                <w:szCs w:val="22"/>
                <w:lang w:val="es-MX"/>
              </w:rPr>
            </w:pPr>
            <w:r w:rsidRPr="00682D6C">
              <w:rPr>
                <w:rFonts w:ascii="Arial" w:hAnsi="Arial" w:cs="Arial"/>
                <w:b/>
                <w:sz w:val="22"/>
                <w:szCs w:val="22"/>
                <w:lang w:val="es-MX"/>
              </w:rPr>
              <w:t>MINISTERIO DE EDUCACIÓN NACIONAL.</w:t>
            </w:r>
          </w:p>
        </w:tc>
      </w:tr>
      <w:tr w:rsidR="000475BD" w:rsidRPr="00E00D12" w14:paraId="6064D1D5" w14:textId="77777777" w:rsidTr="00D4226B">
        <w:trPr>
          <w:jc w:val="center"/>
        </w:trPr>
        <w:tc>
          <w:tcPr>
            <w:tcW w:w="1560" w:type="dxa"/>
          </w:tcPr>
          <w:p w14:paraId="31B18364"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265</w:t>
            </w:r>
          </w:p>
        </w:tc>
        <w:tc>
          <w:tcPr>
            <w:tcW w:w="8925" w:type="dxa"/>
          </w:tcPr>
          <w:p w14:paraId="020A4E27" w14:textId="77777777" w:rsidR="000475BD" w:rsidRPr="005B20FC" w:rsidRDefault="000475BD" w:rsidP="00D4226B">
            <w:pPr>
              <w:jc w:val="both"/>
              <w:rPr>
                <w:rFonts w:ascii="Arial" w:hAnsi="Arial" w:cs="Arial"/>
                <w:b/>
                <w:sz w:val="22"/>
                <w:szCs w:val="22"/>
                <w:lang w:val="es-MX"/>
              </w:rPr>
            </w:pPr>
            <w:r w:rsidRPr="005B20FC">
              <w:rPr>
                <w:rFonts w:ascii="Arial" w:hAnsi="Arial" w:cs="Arial"/>
                <w:b/>
                <w:sz w:val="22"/>
                <w:szCs w:val="22"/>
                <w:lang w:val="es-MX"/>
              </w:rPr>
              <w:t>PATRIMONIO AUTÓNOMO FONDO NACIONAL DE SEGURIDAD VIAL FSV – FIDUAGRARIA S.A.</w:t>
            </w:r>
          </w:p>
        </w:tc>
      </w:tr>
      <w:tr w:rsidR="000475BD" w:rsidRPr="00E00D12" w14:paraId="0AF9E957" w14:textId="77777777" w:rsidTr="00D4226B">
        <w:trPr>
          <w:jc w:val="center"/>
        </w:trPr>
        <w:tc>
          <w:tcPr>
            <w:tcW w:w="1560" w:type="dxa"/>
          </w:tcPr>
          <w:p w14:paraId="16D2C3E8"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lastRenderedPageBreak/>
              <w:t>273</w:t>
            </w:r>
          </w:p>
        </w:tc>
        <w:tc>
          <w:tcPr>
            <w:tcW w:w="8925" w:type="dxa"/>
          </w:tcPr>
          <w:p w14:paraId="2EB25880" w14:textId="77777777" w:rsidR="000475BD" w:rsidRPr="007E1029" w:rsidRDefault="000475BD" w:rsidP="00D4226B">
            <w:pPr>
              <w:jc w:val="both"/>
              <w:rPr>
                <w:rFonts w:ascii="Arial" w:hAnsi="Arial" w:cs="Arial"/>
                <w:b/>
                <w:sz w:val="22"/>
                <w:szCs w:val="22"/>
                <w:lang w:val="es-MX"/>
              </w:rPr>
            </w:pPr>
            <w:r w:rsidRPr="007E1029">
              <w:rPr>
                <w:rFonts w:ascii="Arial" w:hAnsi="Arial" w:cs="Arial"/>
                <w:b/>
                <w:sz w:val="22"/>
                <w:szCs w:val="22"/>
                <w:lang w:val="es-MX"/>
              </w:rPr>
              <w:t>FISCALÍA GENERAL DE LA NACIÓN.</w:t>
            </w:r>
          </w:p>
        </w:tc>
      </w:tr>
      <w:tr w:rsidR="000475BD" w:rsidRPr="00E00D12" w14:paraId="4484070D" w14:textId="77777777" w:rsidTr="00D4226B">
        <w:trPr>
          <w:jc w:val="center"/>
        </w:trPr>
        <w:tc>
          <w:tcPr>
            <w:tcW w:w="1560" w:type="dxa"/>
          </w:tcPr>
          <w:p w14:paraId="307962FB"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274</w:t>
            </w:r>
          </w:p>
        </w:tc>
        <w:tc>
          <w:tcPr>
            <w:tcW w:w="8925" w:type="dxa"/>
          </w:tcPr>
          <w:p w14:paraId="3BD70FC0" w14:textId="77777777" w:rsidR="000475BD" w:rsidRPr="0042738B" w:rsidRDefault="000475BD" w:rsidP="00D4226B">
            <w:pPr>
              <w:jc w:val="both"/>
              <w:rPr>
                <w:rFonts w:ascii="Arial" w:hAnsi="Arial" w:cs="Arial"/>
                <w:b/>
                <w:sz w:val="22"/>
                <w:szCs w:val="22"/>
                <w:lang w:val="es-MX"/>
              </w:rPr>
            </w:pPr>
            <w:r w:rsidRPr="0042738B">
              <w:rPr>
                <w:rFonts w:ascii="Arial" w:hAnsi="Arial" w:cs="Arial"/>
                <w:b/>
                <w:sz w:val="22"/>
                <w:szCs w:val="22"/>
                <w:lang w:val="es-MX"/>
              </w:rPr>
              <w:t xml:space="preserve">CONTRALORÍA GENERAL DE LA REPÚBLICA – CGR. </w:t>
            </w:r>
          </w:p>
        </w:tc>
      </w:tr>
      <w:tr w:rsidR="000475BD" w:rsidRPr="00E00D12" w14:paraId="45D45153" w14:textId="77777777" w:rsidTr="00D4226B">
        <w:trPr>
          <w:jc w:val="center"/>
        </w:trPr>
        <w:tc>
          <w:tcPr>
            <w:tcW w:w="1560" w:type="dxa"/>
          </w:tcPr>
          <w:p w14:paraId="180F5072"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276</w:t>
            </w:r>
          </w:p>
        </w:tc>
        <w:tc>
          <w:tcPr>
            <w:tcW w:w="8925" w:type="dxa"/>
          </w:tcPr>
          <w:p w14:paraId="1E8DED46" w14:textId="77777777" w:rsidR="000475BD" w:rsidRPr="00F14D57" w:rsidRDefault="000475BD" w:rsidP="00D4226B">
            <w:pPr>
              <w:jc w:val="both"/>
              <w:rPr>
                <w:rFonts w:ascii="Arial" w:hAnsi="Arial" w:cs="Arial"/>
                <w:b/>
                <w:sz w:val="22"/>
                <w:szCs w:val="22"/>
                <w:lang w:val="es-MX"/>
              </w:rPr>
            </w:pPr>
            <w:r w:rsidRPr="00F14D57">
              <w:rPr>
                <w:rFonts w:ascii="Arial" w:hAnsi="Arial" w:cs="Arial"/>
                <w:b/>
                <w:sz w:val="22"/>
                <w:szCs w:val="22"/>
                <w:lang w:val="es-MX"/>
              </w:rPr>
              <w:t>INSTITUTO COLOMBIANO AGROPECUARIO – ICA.</w:t>
            </w:r>
          </w:p>
        </w:tc>
      </w:tr>
      <w:tr w:rsidR="000475BD" w:rsidRPr="00E00D12" w14:paraId="1DCAF135" w14:textId="77777777" w:rsidTr="00D4226B">
        <w:trPr>
          <w:jc w:val="center"/>
        </w:trPr>
        <w:tc>
          <w:tcPr>
            <w:tcW w:w="1560" w:type="dxa"/>
          </w:tcPr>
          <w:p w14:paraId="7D40AE2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280</w:t>
            </w:r>
          </w:p>
        </w:tc>
        <w:tc>
          <w:tcPr>
            <w:tcW w:w="8925" w:type="dxa"/>
          </w:tcPr>
          <w:p w14:paraId="3565CF35" w14:textId="77777777" w:rsidR="000475BD" w:rsidRPr="008543CA" w:rsidRDefault="000475BD" w:rsidP="00D4226B">
            <w:pPr>
              <w:jc w:val="both"/>
              <w:rPr>
                <w:rFonts w:ascii="Arial" w:hAnsi="Arial" w:cs="Arial"/>
                <w:b/>
                <w:sz w:val="22"/>
                <w:szCs w:val="22"/>
                <w:lang w:val="es-MX"/>
              </w:rPr>
            </w:pPr>
            <w:r w:rsidRPr="008543CA">
              <w:rPr>
                <w:rFonts w:ascii="Arial" w:hAnsi="Arial" w:cs="Arial"/>
                <w:b/>
                <w:sz w:val="22"/>
                <w:szCs w:val="22"/>
                <w:lang w:val="es-MX"/>
              </w:rPr>
              <w:t>AGENCIA LOGISTICA DE LAS FUERZAS MILITARES.</w:t>
            </w:r>
          </w:p>
        </w:tc>
      </w:tr>
      <w:tr w:rsidR="000475BD" w:rsidRPr="00E00D12" w14:paraId="58290F31" w14:textId="77777777" w:rsidTr="00D4226B">
        <w:trPr>
          <w:jc w:val="center"/>
        </w:trPr>
        <w:tc>
          <w:tcPr>
            <w:tcW w:w="1560" w:type="dxa"/>
          </w:tcPr>
          <w:p w14:paraId="0D9446A3"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284</w:t>
            </w:r>
          </w:p>
        </w:tc>
        <w:tc>
          <w:tcPr>
            <w:tcW w:w="8925" w:type="dxa"/>
          </w:tcPr>
          <w:p w14:paraId="0C66A087" w14:textId="77777777" w:rsidR="000475BD" w:rsidRPr="00715CA0" w:rsidRDefault="000475BD" w:rsidP="00D4226B">
            <w:pPr>
              <w:jc w:val="both"/>
              <w:rPr>
                <w:rFonts w:ascii="Arial" w:hAnsi="Arial" w:cs="Arial"/>
                <w:b/>
                <w:sz w:val="22"/>
                <w:szCs w:val="22"/>
                <w:lang w:val="es-MX"/>
              </w:rPr>
            </w:pPr>
            <w:r w:rsidRPr="00715CA0">
              <w:rPr>
                <w:rFonts w:ascii="Arial" w:hAnsi="Arial" w:cs="Arial"/>
                <w:b/>
                <w:sz w:val="22"/>
                <w:szCs w:val="22"/>
                <w:lang w:val="es-MX"/>
              </w:rPr>
              <w:t>ELECTRIFICADORA DEL META S.A. – EMSA S.A.</w:t>
            </w:r>
          </w:p>
        </w:tc>
      </w:tr>
      <w:tr w:rsidR="000475BD" w:rsidRPr="00E00D12" w14:paraId="73A03E05" w14:textId="77777777" w:rsidTr="00D4226B">
        <w:trPr>
          <w:jc w:val="center"/>
        </w:trPr>
        <w:tc>
          <w:tcPr>
            <w:tcW w:w="1560" w:type="dxa"/>
          </w:tcPr>
          <w:p w14:paraId="3A38B4D3"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287</w:t>
            </w:r>
          </w:p>
        </w:tc>
        <w:tc>
          <w:tcPr>
            <w:tcW w:w="8925" w:type="dxa"/>
          </w:tcPr>
          <w:p w14:paraId="2C7DDD51" w14:textId="77777777" w:rsidR="000475BD" w:rsidRPr="00F217E4" w:rsidRDefault="000475BD" w:rsidP="00D4226B">
            <w:pPr>
              <w:jc w:val="both"/>
              <w:rPr>
                <w:rFonts w:ascii="Arial" w:hAnsi="Arial" w:cs="Arial"/>
                <w:b/>
                <w:sz w:val="22"/>
                <w:szCs w:val="22"/>
                <w:lang w:val="es-MX"/>
              </w:rPr>
            </w:pPr>
            <w:r w:rsidRPr="00F217E4">
              <w:rPr>
                <w:rFonts w:ascii="Arial" w:hAnsi="Arial" w:cs="Arial"/>
                <w:b/>
                <w:sz w:val="22"/>
                <w:szCs w:val="22"/>
                <w:lang w:val="es-MX"/>
              </w:rPr>
              <w:t>CORPORACION AUTONOMA REGIONAL DEL CESAR - CORPOCESAR.</w:t>
            </w:r>
          </w:p>
        </w:tc>
      </w:tr>
      <w:tr w:rsidR="000475BD" w:rsidRPr="00E00D12" w14:paraId="7E75449F" w14:textId="77777777" w:rsidTr="00D4226B">
        <w:trPr>
          <w:jc w:val="center"/>
        </w:trPr>
        <w:tc>
          <w:tcPr>
            <w:tcW w:w="1560" w:type="dxa"/>
          </w:tcPr>
          <w:p w14:paraId="65783E99"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288</w:t>
            </w:r>
          </w:p>
        </w:tc>
        <w:tc>
          <w:tcPr>
            <w:tcW w:w="8925" w:type="dxa"/>
          </w:tcPr>
          <w:p w14:paraId="51066C4A" w14:textId="77777777" w:rsidR="000475BD" w:rsidRPr="007863C9" w:rsidRDefault="000475BD" w:rsidP="00D4226B">
            <w:pPr>
              <w:ind w:left="22"/>
              <w:jc w:val="both"/>
              <w:rPr>
                <w:rFonts w:ascii="Arial" w:hAnsi="Arial" w:cs="Arial"/>
                <w:b/>
                <w:sz w:val="22"/>
                <w:szCs w:val="22"/>
                <w:lang w:val="es-MX"/>
              </w:rPr>
            </w:pPr>
            <w:r w:rsidRPr="007863C9">
              <w:rPr>
                <w:rFonts w:ascii="Arial" w:hAnsi="Arial" w:cs="Arial"/>
                <w:b/>
                <w:sz w:val="22"/>
                <w:szCs w:val="22"/>
                <w:lang w:val="es-MX"/>
              </w:rPr>
              <w:t>UNIVERSIDAD DEL CAUCA.</w:t>
            </w:r>
          </w:p>
        </w:tc>
      </w:tr>
      <w:tr w:rsidR="000475BD" w:rsidRPr="00E00D12" w14:paraId="7DFD73D7" w14:textId="77777777" w:rsidTr="00D4226B">
        <w:trPr>
          <w:jc w:val="center"/>
        </w:trPr>
        <w:tc>
          <w:tcPr>
            <w:tcW w:w="1560" w:type="dxa"/>
          </w:tcPr>
          <w:p w14:paraId="73D67D9F"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296</w:t>
            </w:r>
          </w:p>
        </w:tc>
        <w:tc>
          <w:tcPr>
            <w:tcW w:w="8925" w:type="dxa"/>
          </w:tcPr>
          <w:p w14:paraId="069E3254" w14:textId="77777777" w:rsidR="000475BD" w:rsidRPr="00F8745A" w:rsidRDefault="000475BD" w:rsidP="00D4226B">
            <w:pPr>
              <w:ind w:left="456" w:hanging="456"/>
              <w:rPr>
                <w:rFonts w:ascii="Arial" w:hAnsi="Arial" w:cs="Arial"/>
                <w:b/>
                <w:sz w:val="22"/>
                <w:szCs w:val="22"/>
                <w:lang w:val="es-MX"/>
              </w:rPr>
            </w:pPr>
            <w:r w:rsidRPr="00F8745A">
              <w:rPr>
                <w:rFonts w:ascii="Arial" w:hAnsi="Arial" w:cs="Arial"/>
                <w:b/>
                <w:sz w:val="22"/>
                <w:szCs w:val="22"/>
                <w:lang w:val="es-MX"/>
              </w:rPr>
              <w:t>AGENCIA NACIONAL DE MINERIA - ANM.</w:t>
            </w:r>
          </w:p>
        </w:tc>
      </w:tr>
      <w:tr w:rsidR="000475BD" w:rsidRPr="00E00D12" w14:paraId="4A804F3B" w14:textId="77777777" w:rsidTr="00D4226B">
        <w:trPr>
          <w:jc w:val="center"/>
        </w:trPr>
        <w:tc>
          <w:tcPr>
            <w:tcW w:w="1560" w:type="dxa"/>
          </w:tcPr>
          <w:p w14:paraId="7F51E933"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299</w:t>
            </w:r>
          </w:p>
        </w:tc>
        <w:tc>
          <w:tcPr>
            <w:tcW w:w="8925" w:type="dxa"/>
          </w:tcPr>
          <w:p w14:paraId="046C5187" w14:textId="77777777" w:rsidR="000475BD" w:rsidRPr="00BD0D8F" w:rsidRDefault="000475BD" w:rsidP="00D4226B">
            <w:pPr>
              <w:jc w:val="both"/>
              <w:rPr>
                <w:rFonts w:ascii="Arial" w:hAnsi="Arial" w:cs="Arial"/>
                <w:b/>
                <w:sz w:val="22"/>
                <w:szCs w:val="22"/>
                <w:lang w:val="es-MX"/>
              </w:rPr>
            </w:pPr>
            <w:r w:rsidRPr="00BD0D8F">
              <w:rPr>
                <w:rFonts w:ascii="Arial" w:hAnsi="Arial" w:cs="Arial"/>
                <w:b/>
                <w:sz w:val="22"/>
                <w:szCs w:val="22"/>
                <w:lang w:val="es-MX"/>
              </w:rPr>
              <w:t>E.I.C.E. ADMINISTRADORA DEL MONOPOLIO RENTISTICO DE LOS JUEGOS DE SUERTE Y AZAR – COLJUEGOS.</w:t>
            </w:r>
          </w:p>
        </w:tc>
      </w:tr>
      <w:tr w:rsidR="000475BD" w:rsidRPr="00E00D12" w14:paraId="1FEA8BF2" w14:textId="77777777" w:rsidTr="00D4226B">
        <w:trPr>
          <w:jc w:val="center"/>
        </w:trPr>
        <w:tc>
          <w:tcPr>
            <w:tcW w:w="1560" w:type="dxa"/>
          </w:tcPr>
          <w:p w14:paraId="376C6433"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300</w:t>
            </w:r>
          </w:p>
        </w:tc>
        <w:tc>
          <w:tcPr>
            <w:tcW w:w="8925" w:type="dxa"/>
          </w:tcPr>
          <w:p w14:paraId="544CC33B" w14:textId="77777777" w:rsidR="000475BD" w:rsidRPr="00003FA1" w:rsidRDefault="000475BD" w:rsidP="00D4226B">
            <w:pPr>
              <w:ind w:right="283"/>
              <w:jc w:val="both"/>
              <w:rPr>
                <w:rFonts w:ascii="Arial" w:hAnsi="Arial" w:cs="Arial"/>
                <w:b/>
                <w:sz w:val="22"/>
                <w:szCs w:val="22"/>
                <w:lang w:val="es-MX"/>
              </w:rPr>
            </w:pPr>
            <w:r w:rsidRPr="00003FA1">
              <w:rPr>
                <w:rFonts w:ascii="Arial" w:hAnsi="Arial" w:cs="Arial"/>
                <w:b/>
                <w:sz w:val="22"/>
                <w:szCs w:val="22"/>
                <w:lang w:val="es-MX"/>
              </w:rPr>
              <w:t>SUPERINTENDENCIA DE LA ECONOMIA SOLIDARIA - SUPERSOLIDARIA.</w:t>
            </w:r>
          </w:p>
        </w:tc>
      </w:tr>
      <w:tr w:rsidR="000475BD" w:rsidRPr="00E00D12" w14:paraId="6B85EEE7" w14:textId="77777777" w:rsidTr="00D4226B">
        <w:trPr>
          <w:jc w:val="center"/>
        </w:trPr>
        <w:tc>
          <w:tcPr>
            <w:tcW w:w="1560" w:type="dxa"/>
          </w:tcPr>
          <w:p w14:paraId="040790C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302</w:t>
            </w:r>
          </w:p>
        </w:tc>
        <w:tc>
          <w:tcPr>
            <w:tcW w:w="8925" w:type="dxa"/>
          </w:tcPr>
          <w:p w14:paraId="31497E7A" w14:textId="77777777" w:rsidR="000475BD" w:rsidRPr="00726BAD" w:rsidRDefault="000475BD" w:rsidP="00D4226B">
            <w:pPr>
              <w:jc w:val="both"/>
              <w:rPr>
                <w:rFonts w:ascii="Arial" w:hAnsi="Arial" w:cs="Arial"/>
                <w:b/>
                <w:sz w:val="22"/>
                <w:szCs w:val="22"/>
                <w:lang w:val="es-MX"/>
              </w:rPr>
            </w:pPr>
            <w:r w:rsidRPr="00726BAD">
              <w:rPr>
                <w:rFonts w:ascii="Arial" w:hAnsi="Arial" w:cs="Arial"/>
                <w:b/>
                <w:sz w:val="22"/>
                <w:szCs w:val="22"/>
                <w:lang w:val="es-MX"/>
              </w:rPr>
              <w:t>MINISTERIO DE SALUD Y PROTECCIÓN SOCIAL.</w:t>
            </w:r>
          </w:p>
        </w:tc>
      </w:tr>
      <w:tr w:rsidR="000475BD" w:rsidRPr="00E00D12" w14:paraId="7BC9FEA6" w14:textId="77777777" w:rsidTr="00D4226B">
        <w:trPr>
          <w:jc w:val="center"/>
        </w:trPr>
        <w:tc>
          <w:tcPr>
            <w:tcW w:w="1560" w:type="dxa"/>
          </w:tcPr>
          <w:p w14:paraId="0C2AF2EE"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303</w:t>
            </w:r>
          </w:p>
        </w:tc>
        <w:tc>
          <w:tcPr>
            <w:tcW w:w="8925" w:type="dxa"/>
          </w:tcPr>
          <w:p w14:paraId="66B65439" w14:textId="77777777" w:rsidR="000475BD" w:rsidRPr="00620CFF" w:rsidRDefault="000475BD" w:rsidP="00D4226B">
            <w:pPr>
              <w:jc w:val="both"/>
              <w:rPr>
                <w:rFonts w:ascii="Arial" w:hAnsi="Arial" w:cs="Arial"/>
                <w:b/>
                <w:sz w:val="22"/>
                <w:szCs w:val="22"/>
                <w:lang w:val="es-MX" w:eastAsia="en-US"/>
              </w:rPr>
            </w:pPr>
            <w:r w:rsidRPr="00620CFF">
              <w:rPr>
                <w:rFonts w:ascii="Arial" w:hAnsi="Arial" w:cs="Arial"/>
                <w:b/>
                <w:sz w:val="22"/>
                <w:szCs w:val="22"/>
                <w:lang w:val="es-MX"/>
              </w:rPr>
              <w:t>MINISTERIO DE VIVIENDA, CIUDAD Y TERRITORIO.</w:t>
            </w:r>
          </w:p>
        </w:tc>
      </w:tr>
      <w:tr w:rsidR="000475BD" w:rsidRPr="00E00D12" w14:paraId="07237206" w14:textId="77777777" w:rsidTr="00D4226B">
        <w:trPr>
          <w:jc w:val="center"/>
        </w:trPr>
        <w:tc>
          <w:tcPr>
            <w:tcW w:w="1560" w:type="dxa"/>
          </w:tcPr>
          <w:p w14:paraId="0F3B0E62"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304</w:t>
            </w:r>
          </w:p>
        </w:tc>
        <w:tc>
          <w:tcPr>
            <w:tcW w:w="8925" w:type="dxa"/>
          </w:tcPr>
          <w:p w14:paraId="67A3849D" w14:textId="77777777" w:rsidR="000475BD" w:rsidRPr="00DE0700" w:rsidRDefault="000475BD" w:rsidP="00D4226B">
            <w:pPr>
              <w:ind w:right="-93"/>
              <w:jc w:val="both"/>
              <w:rPr>
                <w:rFonts w:ascii="Arial" w:hAnsi="Arial" w:cs="Arial"/>
                <w:b/>
                <w:sz w:val="22"/>
                <w:szCs w:val="22"/>
                <w:lang w:val="es-MX"/>
              </w:rPr>
            </w:pPr>
            <w:r w:rsidRPr="00DE0700">
              <w:rPr>
                <w:rFonts w:ascii="Arial" w:hAnsi="Arial" w:cs="Arial"/>
                <w:b/>
                <w:sz w:val="22"/>
                <w:szCs w:val="22"/>
                <w:lang w:val="es-MX"/>
              </w:rPr>
              <w:t>FONDO ROTATORIO DE LA REGISTRADURÍA NACIONAL DEL ESTADO CIVIL.</w:t>
            </w:r>
          </w:p>
        </w:tc>
      </w:tr>
      <w:tr w:rsidR="000475BD" w:rsidRPr="00E00D12" w14:paraId="0BC2C301" w14:textId="77777777" w:rsidTr="00D4226B">
        <w:trPr>
          <w:jc w:val="center"/>
        </w:trPr>
        <w:tc>
          <w:tcPr>
            <w:tcW w:w="1560" w:type="dxa"/>
          </w:tcPr>
          <w:p w14:paraId="75DA14BC"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306</w:t>
            </w:r>
          </w:p>
        </w:tc>
        <w:tc>
          <w:tcPr>
            <w:tcW w:w="8925" w:type="dxa"/>
          </w:tcPr>
          <w:p w14:paraId="4A5A7837" w14:textId="77777777" w:rsidR="000475BD" w:rsidRPr="002C22CE" w:rsidRDefault="000475BD" w:rsidP="00D4226B">
            <w:pPr>
              <w:jc w:val="both"/>
              <w:rPr>
                <w:rFonts w:ascii="Arial" w:hAnsi="Arial" w:cs="Arial"/>
                <w:b/>
                <w:sz w:val="22"/>
                <w:szCs w:val="22"/>
                <w:lang w:val="es-MX"/>
              </w:rPr>
            </w:pPr>
            <w:r w:rsidRPr="002C22CE">
              <w:rPr>
                <w:rFonts w:ascii="Arial" w:hAnsi="Arial" w:cs="Arial"/>
                <w:b/>
                <w:sz w:val="22"/>
                <w:szCs w:val="22"/>
              </w:rPr>
              <w:t>MINISTERIO</w:t>
            </w:r>
            <w:r w:rsidRPr="002C22CE">
              <w:rPr>
                <w:rFonts w:ascii="Arial" w:hAnsi="Arial" w:cs="Arial"/>
                <w:b/>
                <w:spacing w:val="-12"/>
                <w:sz w:val="22"/>
                <w:szCs w:val="22"/>
              </w:rPr>
              <w:t xml:space="preserve"> </w:t>
            </w:r>
            <w:r w:rsidRPr="002C22CE">
              <w:rPr>
                <w:rFonts w:ascii="Arial" w:hAnsi="Arial" w:cs="Arial"/>
                <w:b/>
                <w:sz w:val="22"/>
                <w:szCs w:val="22"/>
              </w:rPr>
              <w:t>DE</w:t>
            </w:r>
            <w:r w:rsidRPr="002C22CE">
              <w:rPr>
                <w:rFonts w:ascii="Arial" w:hAnsi="Arial" w:cs="Arial"/>
                <w:b/>
                <w:spacing w:val="-9"/>
                <w:sz w:val="22"/>
                <w:szCs w:val="22"/>
              </w:rPr>
              <w:t xml:space="preserve"> </w:t>
            </w:r>
            <w:r w:rsidRPr="002C22CE">
              <w:rPr>
                <w:rFonts w:ascii="Arial" w:hAnsi="Arial" w:cs="Arial"/>
                <w:b/>
                <w:sz w:val="22"/>
                <w:szCs w:val="22"/>
              </w:rPr>
              <w:t>DEFENSA</w:t>
            </w:r>
            <w:r w:rsidRPr="002C22CE">
              <w:rPr>
                <w:rFonts w:ascii="Arial" w:hAnsi="Arial" w:cs="Arial"/>
                <w:b/>
                <w:spacing w:val="-9"/>
                <w:sz w:val="22"/>
                <w:szCs w:val="22"/>
              </w:rPr>
              <w:t xml:space="preserve"> </w:t>
            </w:r>
            <w:r w:rsidRPr="002C22CE">
              <w:rPr>
                <w:rFonts w:ascii="Arial" w:hAnsi="Arial" w:cs="Arial"/>
                <w:b/>
                <w:sz w:val="22"/>
                <w:szCs w:val="22"/>
              </w:rPr>
              <w:t>NACIONAL</w:t>
            </w:r>
            <w:r w:rsidRPr="002C22CE">
              <w:rPr>
                <w:rFonts w:ascii="Arial" w:hAnsi="Arial" w:cs="Arial"/>
                <w:b/>
                <w:sz w:val="22"/>
                <w:szCs w:val="22"/>
                <w:lang w:val="es-MX"/>
              </w:rPr>
              <w:t xml:space="preserve"> CONSOLIDADO.</w:t>
            </w:r>
          </w:p>
        </w:tc>
      </w:tr>
      <w:tr w:rsidR="000475BD" w:rsidRPr="00E00D12" w14:paraId="38BCEE9C" w14:textId="77777777" w:rsidTr="00D4226B">
        <w:trPr>
          <w:jc w:val="center"/>
        </w:trPr>
        <w:tc>
          <w:tcPr>
            <w:tcW w:w="1560" w:type="dxa"/>
          </w:tcPr>
          <w:p w14:paraId="49BFBBDA"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307</w:t>
            </w:r>
          </w:p>
        </w:tc>
        <w:tc>
          <w:tcPr>
            <w:tcW w:w="8925" w:type="dxa"/>
          </w:tcPr>
          <w:p w14:paraId="5B9686C4" w14:textId="77777777" w:rsidR="000475BD" w:rsidRPr="005F3621" w:rsidRDefault="000475BD" w:rsidP="00D4226B">
            <w:pPr>
              <w:jc w:val="both"/>
              <w:rPr>
                <w:rFonts w:ascii="Arial" w:hAnsi="Arial" w:cs="Arial"/>
                <w:b/>
                <w:sz w:val="22"/>
                <w:szCs w:val="22"/>
                <w:lang w:val="es-MX"/>
              </w:rPr>
            </w:pPr>
            <w:r w:rsidRPr="005F3621">
              <w:rPr>
                <w:rFonts w:ascii="Arial" w:hAnsi="Arial" w:cs="Arial"/>
                <w:b/>
                <w:sz w:val="22"/>
                <w:szCs w:val="22"/>
                <w:lang w:val="es-MX"/>
              </w:rPr>
              <w:t>U.A.E. AGENCIA NACIONAL DE DEFENSA JURÍDICA DEL ESTADO.</w:t>
            </w:r>
          </w:p>
        </w:tc>
      </w:tr>
      <w:tr w:rsidR="000475BD" w:rsidRPr="00E00D12" w14:paraId="458AFB4B" w14:textId="77777777" w:rsidTr="00D4226B">
        <w:trPr>
          <w:jc w:val="center"/>
        </w:trPr>
        <w:tc>
          <w:tcPr>
            <w:tcW w:w="1560" w:type="dxa"/>
          </w:tcPr>
          <w:p w14:paraId="431AB59B"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310</w:t>
            </w:r>
          </w:p>
        </w:tc>
        <w:tc>
          <w:tcPr>
            <w:tcW w:w="8925" w:type="dxa"/>
          </w:tcPr>
          <w:p w14:paraId="72B5DA77" w14:textId="77777777" w:rsidR="000475BD" w:rsidRPr="009513A1" w:rsidRDefault="000475BD" w:rsidP="00D4226B">
            <w:pPr>
              <w:jc w:val="both"/>
              <w:rPr>
                <w:rFonts w:ascii="Arial" w:hAnsi="Arial" w:cs="Arial"/>
                <w:b/>
                <w:sz w:val="22"/>
                <w:szCs w:val="22"/>
                <w:lang w:val="es-MX"/>
              </w:rPr>
            </w:pPr>
            <w:r w:rsidRPr="009513A1">
              <w:rPr>
                <w:rFonts w:ascii="Arial" w:hAnsi="Arial" w:cs="Arial"/>
                <w:b/>
                <w:sz w:val="22"/>
                <w:szCs w:val="22"/>
                <w:lang w:val="es-MX"/>
              </w:rPr>
              <w:t xml:space="preserve">INSTITUTO NACIONAL DE MEDICINA LEGAL Y CIENCIAS FORENSES. </w:t>
            </w:r>
          </w:p>
        </w:tc>
      </w:tr>
      <w:tr w:rsidR="000475BD" w:rsidRPr="00E00D12" w14:paraId="7C2BC1CF" w14:textId="77777777" w:rsidTr="00D4226B">
        <w:trPr>
          <w:jc w:val="center"/>
        </w:trPr>
        <w:tc>
          <w:tcPr>
            <w:tcW w:w="1560" w:type="dxa"/>
          </w:tcPr>
          <w:p w14:paraId="7FD75405" w14:textId="77777777" w:rsidR="000475BD" w:rsidRDefault="000475BD" w:rsidP="00D4226B">
            <w:pPr>
              <w:ind w:left="458" w:right="-105"/>
              <w:rPr>
                <w:rFonts w:ascii="Arial" w:eastAsia="Trebuchet MS" w:hAnsi="Arial" w:cs="Arial"/>
                <w:b/>
                <w:lang w:val="es-ES_tradnl"/>
              </w:rPr>
            </w:pPr>
            <w:r>
              <w:rPr>
                <w:rFonts w:ascii="Arial" w:eastAsia="Trebuchet MS" w:hAnsi="Arial" w:cs="Arial"/>
                <w:b/>
                <w:lang w:val="es-ES_tradnl"/>
              </w:rPr>
              <w:t>317</w:t>
            </w:r>
          </w:p>
        </w:tc>
        <w:tc>
          <w:tcPr>
            <w:tcW w:w="8925" w:type="dxa"/>
          </w:tcPr>
          <w:p w14:paraId="02BF339D" w14:textId="77777777" w:rsidR="000475BD" w:rsidRPr="00C03309" w:rsidRDefault="000475BD" w:rsidP="00D4226B">
            <w:pPr>
              <w:ind w:left="-119"/>
              <w:jc w:val="both"/>
              <w:rPr>
                <w:rFonts w:ascii="Arial" w:hAnsi="Arial" w:cs="Arial"/>
                <w:b/>
                <w:sz w:val="22"/>
                <w:szCs w:val="22"/>
                <w:lang w:val="es-MX"/>
              </w:rPr>
            </w:pPr>
            <w:r>
              <w:rPr>
                <w:rFonts w:ascii="Arial" w:hAnsi="Arial" w:cs="Arial"/>
                <w:b/>
                <w:sz w:val="22"/>
                <w:szCs w:val="22"/>
                <w:lang w:val="es-MX"/>
              </w:rPr>
              <w:t xml:space="preserve"> </w:t>
            </w:r>
            <w:r w:rsidRPr="00C03309">
              <w:rPr>
                <w:rFonts w:ascii="Arial" w:hAnsi="Arial" w:cs="Arial"/>
                <w:b/>
                <w:sz w:val="22"/>
                <w:szCs w:val="22"/>
                <w:lang w:val="es-MX"/>
              </w:rPr>
              <w:t xml:space="preserve"> INSTITUTO COLOMBIANO DE ANTROPOLOGÍA E HISTORIA – ICANH.</w:t>
            </w:r>
          </w:p>
        </w:tc>
      </w:tr>
      <w:tr w:rsidR="000475BD" w:rsidRPr="00E00D12" w14:paraId="25D5F424" w14:textId="77777777" w:rsidTr="00D4226B">
        <w:trPr>
          <w:jc w:val="center"/>
        </w:trPr>
        <w:tc>
          <w:tcPr>
            <w:tcW w:w="1560" w:type="dxa"/>
          </w:tcPr>
          <w:p w14:paraId="35B70FBF" w14:textId="77777777" w:rsidR="000475BD" w:rsidRPr="00E323BD" w:rsidRDefault="000475BD" w:rsidP="00D4226B">
            <w:pPr>
              <w:ind w:left="458" w:right="-105"/>
              <w:rPr>
                <w:rFonts w:ascii="Arial" w:eastAsia="Trebuchet MS" w:hAnsi="Arial" w:cs="Arial"/>
                <w:b/>
              </w:rPr>
            </w:pPr>
            <w:r>
              <w:rPr>
                <w:rFonts w:ascii="Arial" w:eastAsia="Trebuchet MS" w:hAnsi="Arial" w:cs="Arial"/>
                <w:b/>
              </w:rPr>
              <w:t>321</w:t>
            </w:r>
          </w:p>
        </w:tc>
        <w:tc>
          <w:tcPr>
            <w:tcW w:w="8925" w:type="dxa"/>
          </w:tcPr>
          <w:p w14:paraId="4AE3F25F" w14:textId="77777777" w:rsidR="000475BD" w:rsidRPr="00E323BD" w:rsidRDefault="000475BD" w:rsidP="00D4226B">
            <w:pPr>
              <w:jc w:val="both"/>
              <w:rPr>
                <w:rFonts w:ascii="Arial" w:hAnsi="Arial" w:cs="Arial"/>
                <w:b/>
                <w:sz w:val="22"/>
                <w:szCs w:val="22"/>
                <w:lang w:val="es-MX"/>
              </w:rPr>
            </w:pPr>
            <w:r w:rsidRPr="00E323BD">
              <w:rPr>
                <w:rFonts w:ascii="Arial" w:hAnsi="Arial" w:cs="Arial"/>
                <w:b/>
                <w:sz w:val="22"/>
                <w:szCs w:val="22"/>
                <w:lang w:val="es-MX"/>
              </w:rPr>
              <w:t xml:space="preserve">CONSEJO PROFESIONAL NACIONAL DE ARQUITECTURA Y SUS PROFESIONES AUXILIARES. </w:t>
            </w:r>
          </w:p>
        </w:tc>
      </w:tr>
      <w:tr w:rsidR="000475BD" w:rsidRPr="00E00D12" w14:paraId="2C387C4F" w14:textId="77777777" w:rsidTr="00D4226B">
        <w:trPr>
          <w:jc w:val="center"/>
        </w:trPr>
        <w:tc>
          <w:tcPr>
            <w:tcW w:w="1560" w:type="dxa"/>
          </w:tcPr>
          <w:p w14:paraId="1C03C373" w14:textId="77777777" w:rsidR="000475BD" w:rsidRDefault="000475BD" w:rsidP="00D4226B">
            <w:pPr>
              <w:ind w:left="458" w:right="-105"/>
              <w:rPr>
                <w:rFonts w:ascii="Arial" w:eastAsia="Trebuchet MS" w:hAnsi="Arial" w:cs="Arial"/>
                <w:b/>
              </w:rPr>
            </w:pPr>
            <w:r>
              <w:rPr>
                <w:rFonts w:ascii="Arial" w:eastAsia="Trebuchet MS" w:hAnsi="Arial" w:cs="Arial"/>
                <w:b/>
              </w:rPr>
              <w:t>322</w:t>
            </w:r>
          </w:p>
        </w:tc>
        <w:tc>
          <w:tcPr>
            <w:tcW w:w="8925" w:type="dxa"/>
          </w:tcPr>
          <w:p w14:paraId="576DD95C" w14:textId="77777777" w:rsidR="000475BD" w:rsidRPr="0059435C" w:rsidRDefault="000475BD" w:rsidP="00D4226B">
            <w:pPr>
              <w:jc w:val="both"/>
              <w:rPr>
                <w:rFonts w:ascii="Arial" w:hAnsi="Arial" w:cs="Arial"/>
                <w:b/>
                <w:sz w:val="22"/>
                <w:szCs w:val="22"/>
                <w:lang w:val="es-MX"/>
              </w:rPr>
            </w:pPr>
            <w:r w:rsidRPr="0059435C">
              <w:rPr>
                <w:rFonts w:ascii="Arial" w:hAnsi="Arial" w:cs="Arial"/>
                <w:b/>
                <w:sz w:val="22"/>
                <w:szCs w:val="22"/>
                <w:lang w:val="es-MX"/>
              </w:rPr>
              <w:t>DIRECCIÓN GENERAL DE CRÉDITO PÚBLICO Y TESORO NACIONAL - DGCPTN.</w:t>
            </w:r>
          </w:p>
        </w:tc>
      </w:tr>
      <w:tr w:rsidR="000475BD" w:rsidRPr="00E00D12" w14:paraId="468DD7DC" w14:textId="77777777" w:rsidTr="00D4226B">
        <w:trPr>
          <w:jc w:val="center"/>
        </w:trPr>
        <w:tc>
          <w:tcPr>
            <w:tcW w:w="1560" w:type="dxa"/>
          </w:tcPr>
          <w:p w14:paraId="0E05AD08" w14:textId="77777777" w:rsidR="000475BD" w:rsidRDefault="000475BD" w:rsidP="00D4226B">
            <w:pPr>
              <w:ind w:left="458" w:right="-105"/>
              <w:rPr>
                <w:rFonts w:ascii="Arial" w:eastAsia="Trebuchet MS" w:hAnsi="Arial" w:cs="Arial"/>
                <w:b/>
              </w:rPr>
            </w:pPr>
            <w:r>
              <w:rPr>
                <w:rFonts w:ascii="Arial" w:eastAsia="Trebuchet MS" w:hAnsi="Arial" w:cs="Arial"/>
                <w:b/>
              </w:rPr>
              <w:t>323</w:t>
            </w:r>
          </w:p>
        </w:tc>
        <w:tc>
          <w:tcPr>
            <w:tcW w:w="8925" w:type="dxa"/>
          </w:tcPr>
          <w:p w14:paraId="0ACBC694" w14:textId="77777777" w:rsidR="000475BD" w:rsidRPr="003A13E9" w:rsidRDefault="000475BD" w:rsidP="00D4226B">
            <w:pPr>
              <w:jc w:val="both"/>
              <w:rPr>
                <w:rFonts w:ascii="Arial" w:hAnsi="Arial" w:cs="Arial"/>
                <w:b/>
                <w:sz w:val="22"/>
                <w:szCs w:val="22"/>
                <w:lang w:val="es-MX"/>
              </w:rPr>
            </w:pPr>
            <w:r w:rsidRPr="003A13E9">
              <w:rPr>
                <w:rFonts w:ascii="Arial" w:hAnsi="Arial" w:cs="Arial"/>
                <w:b/>
                <w:sz w:val="22"/>
                <w:szCs w:val="22"/>
                <w:lang w:val="es-MX"/>
              </w:rPr>
              <w:t>MINISTERIO DE HACIENDA Y CRÉDITO PÚBLICO – GESTIÓN GENERAL</w:t>
            </w:r>
            <w:r>
              <w:rPr>
                <w:rFonts w:ascii="Arial" w:hAnsi="Arial" w:cs="Arial"/>
                <w:b/>
                <w:sz w:val="22"/>
                <w:szCs w:val="22"/>
                <w:lang w:val="es-MX"/>
              </w:rPr>
              <w:t>.</w:t>
            </w:r>
          </w:p>
        </w:tc>
      </w:tr>
      <w:tr w:rsidR="000475BD" w:rsidRPr="00E00D12" w14:paraId="343CBF21" w14:textId="77777777" w:rsidTr="00D4226B">
        <w:trPr>
          <w:jc w:val="center"/>
        </w:trPr>
        <w:tc>
          <w:tcPr>
            <w:tcW w:w="1560" w:type="dxa"/>
          </w:tcPr>
          <w:p w14:paraId="4A9EE053" w14:textId="77777777" w:rsidR="000475BD" w:rsidRDefault="000475BD" w:rsidP="00D4226B">
            <w:pPr>
              <w:ind w:left="458" w:right="-105"/>
              <w:rPr>
                <w:rFonts w:ascii="Arial" w:eastAsia="Trebuchet MS" w:hAnsi="Arial" w:cs="Arial"/>
                <w:b/>
              </w:rPr>
            </w:pPr>
            <w:r>
              <w:rPr>
                <w:rFonts w:ascii="Arial" w:eastAsia="Trebuchet MS" w:hAnsi="Arial" w:cs="Arial"/>
                <w:b/>
              </w:rPr>
              <w:t>324</w:t>
            </w:r>
          </w:p>
        </w:tc>
        <w:tc>
          <w:tcPr>
            <w:tcW w:w="8925" w:type="dxa"/>
          </w:tcPr>
          <w:p w14:paraId="4C109BFB" w14:textId="77777777" w:rsidR="000475BD" w:rsidRPr="0022096E" w:rsidRDefault="000475BD" w:rsidP="00D4226B">
            <w:pPr>
              <w:jc w:val="both"/>
              <w:rPr>
                <w:rFonts w:ascii="Arial" w:hAnsi="Arial" w:cs="Arial"/>
                <w:b/>
                <w:sz w:val="22"/>
                <w:szCs w:val="22"/>
                <w:lang w:val="es-MX"/>
              </w:rPr>
            </w:pPr>
            <w:r w:rsidRPr="0022096E">
              <w:rPr>
                <w:rFonts w:ascii="Arial" w:hAnsi="Arial" w:cs="Arial"/>
                <w:b/>
                <w:sz w:val="22"/>
                <w:szCs w:val="22"/>
                <w:lang w:val="es-MX"/>
              </w:rPr>
              <w:t>UNIVERSIDAD POPULAR DEL CESAR.</w:t>
            </w:r>
          </w:p>
        </w:tc>
      </w:tr>
      <w:tr w:rsidR="000475BD" w:rsidRPr="00E00D12" w14:paraId="2596F711" w14:textId="77777777" w:rsidTr="00D4226B">
        <w:trPr>
          <w:jc w:val="center"/>
        </w:trPr>
        <w:tc>
          <w:tcPr>
            <w:tcW w:w="1560" w:type="dxa"/>
          </w:tcPr>
          <w:p w14:paraId="197D31C1" w14:textId="77777777" w:rsidR="000475BD" w:rsidRDefault="000475BD" w:rsidP="00D4226B">
            <w:pPr>
              <w:ind w:left="458" w:right="-105"/>
              <w:rPr>
                <w:rFonts w:ascii="Arial" w:eastAsia="Trebuchet MS" w:hAnsi="Arial" w:cs="Arial"/>
                <w:b/>
              </w:rPr>
            </w:pPr>
            <w:r>
              <w:rPr>
                <w:rFonts w:ascii="Arial" w:eastAsia="Trebuchet MS" w:hAnsi="Arial" w:cs="Arial"/>
                <w:b/>
              </w:rPr>
              <w:t>329</w:t>
            </w:r>
          </w:p>
        </w:tc>
        <w:tc>
          <w:tcPr>
            <w:tcW w:w="8925" w:type="dxa"/>
          </w:tcPr>
          <w:p w14:paraId="72EA67A4" w14:textId="77777777" w:rsidR="000475BD" w:rsidRPr="008D4C1B" w:rsidRDefault="000475BD" w:rsidP="00D4226B">
            <w:pPr>
              <w:jc w:val="both"/>
              <w:rPr>
                <w:rFonts w:ascii="Arial" w:hAnsi="Arial" w:cs="Arial"/>
                <w:b/>
                <w:sz w:val="22"/>
                <w:szCs w:val="22"/>
                <w:lang w:val="es-MX"/>
              </w:rPr>
            </w:pPr>
            <w:r w:rsidRPr="008D4C1B">
              <w:rPr>
                <w:rFonts w:ascii="Arial" w:hAnsi="Arial" w:cs="Arial"/>
                <w:b/>
                <w:sz w:val="22"/>
                <w:szCs w:val="22"/>
                <w:lang w:val="es-MX"/>
              </w:rPr>
              <w:t xml:space="preserve">SERVICIO NACIONAL DE APRENDIZAJE – SENA. </w:t>
            </w:r>
          </w:p>
        </w:tc>
      </w:tr>
      <w:tr w:rsidR="000475BD" w:rsidRPr="00E00D12" w14:paraId="145030A0" w14:textId="77777777" w:rsidTr="00D4226B">
        <w:trPr>
          <w:jc w:val="center"/>
        </w:trPr>
        <w:tc>
          <w:tcPr>
            <w:tcW w:w="1560" w:type="dxa"/>
          </w:tcPr>
          <w:p w14:paraId="2B90FDA6" w14:textId="77777777" w:rsidR="000475BD" w:rsidRDefault="000475BD" w:rsidP="00D4226B">
            <w:pPr>
              <w:ind w:left="458" w:right="-105"/>
              <w:rPr>
                <w:rFonts w:ascii="Arial" w:eastAsia="Trebuchet MS" w:hAnsi="Arial" w:cs="Arial"/>
                <w:b/>
              </w:rPr>
            </w:pPr>
            <w:r>
              <w:rPr>
                <w:rFonts w:ascii="Arial" w:eastAsia="Trebuchet MS" w:hAnsi="Arial" w:cs="Arial"/>
                <w:b/>
              </w:rPr>
              <w:t>333</w:t>
            </w:r>
          </w:p>
        </w:tc>
        <w:tc>
          <w:tcPr>
            <w:tcW w:w="8925" w:type="dxa"/>
          </w:tcPr>
          <w:p w14:paraId="745FA52A" w14:textId="77777777" w:rsidR="000475BD" w:rsidRPr="00DF3AFD" w:rsidRDefault="000475BD" w:rsidP="00D4226B">
            <w:pPr>
              <w:jc w:val="both"/>
              <w:rPr>
                <w:rFonts w:ascii="Arial" w:hAnsi="Arial" w:cs="Arial"/>
                <w:b/>
                <w:sz w:val="22"/>
                <w:szCs w:val="22"/>
                <w:lang w:val="es-MX"/>
              </w:rPr>
            </w:pPr>
            <w:r w:rsidRPr="00DF3AFD">
              <w:rPr>
                <w:rFonts w:ascii="Arial" w:hAnsi="Arial" w:cs="Arial"/>
                <w:b/>
                <w:sz w:val="22"/>
                <w:szCs w:val="22"/>
                <w:lang w:val="es-MX"/>
              </w:rPr>
              <w:t>FONDO ROTATORIO DEL MINISTERIO DE RELACIONES EXTERIORES.</w:t>
            </w:r>
          </w:p>
        </w:tc>
      </w:tr>
      <w:tr w:rsidR="000475BD" w:rsidRPr="00E00D12" w14:paraId="2D6983C3" w14:textId="77777777" w:rsidTr="00D4226B">
        <w:trPr>
          <w:jc w:val="center"/>
        </w:trPr>
        <w:tc>
          <w:tcPr>
            <w:tcW w:w="1560" w:type="dxa"/>
          </w:tcPr>
          <w:p w14:paraId="6366210C" w14:textId="77777777" w:rsidR="000475BD" w:rsidRDefault="000475BD" w:rsidP="00D4226B">
            <w:pPr>
              <w:ind w:left="458" w:right="-105"/>
              <w:rPr>
                <w:rFonts w:ascii="Arial" w:eastAsia="Trebuchet MS" w:hAnsi="Arial" w:cs="Arial"/>
                <w:b/>
              </w:rPr>
            </w:pPr>
            <w:r>
              <w:rPr>
                <w:rFonts w:ascii="Arial" w:eastAsia="Trebuchet MS" w:hAnsi="Arial" w:cs="Arial"/>
                <w:b/>
              </w:rPr>
              <w:t>334</w:t>
            </w:r>
          </w:p>
        </w:tc>
        <w:tc>
          <w:tcPr>
            <w:tcW w:w="8925" w:type="dxa"/>
          </w:tcPr>
          <w:p w14:paraId="600EA8AB" w14:textId="77777777" w:rsidR="000475BD" w:rsidRPr="00093E9A" w:rsidRDefault="000475BD" w:rsidP="00D4226B">
            <w:pPr>
              <w:ind w:right="49"/>
              <w:jc w:val="both"/>
              <w:rPr>
                <w:rFonts w:ascii="Arial" w:hAnsi="Arial" w:cs="Arial"/>
                <w:b/>
                <w:sz w:val="22"/>
                <w:szCs w:val="22"/>
                <w:lang w:val="es-MX"/>
              </w:rPr>
            </w:pPr>
            <w:r w:rsidRPr="00093E9A">
              <w:rPr>
                <w:rFonts w:ascii="Arial" w:hAnsi="Arial" w:cs="Arial"/>
                <w:b/>
                <w:sz w:val="22"/>
                <w:szCs w:val="22"/>
                <w:lang w:val="es-MX"/>
              </w:rPr>
              <w:t>UNIDAD DE BÚSQUEDA DE PERSONAS DADAS POR DESAPARECIDAS EN EL CONTEXTO Y EN RAZÓN DEL CONFLICTO ARMADO – UBPD.</w:t>
            </w:r>
          </w:p>
        </w:tc>
      </w:tr>
      <w:tr w:rsidR="000475BD" w:rsidRPr="00E00D12" w14:paraId="1BAE7A46" w14:textId="77777777" w:rsidTr="00D4226B">
        <w:trPr>
          <w:jc w:val="center"/>
        </w:trPr>
        <w:tc>
          <w:tcPr>
            <w:tcW w:w="1560" w:type="dxa"/>
          </w:tcPr>
          <w:p w14:paraId="43F088EF" w14:textId="77777777" w:rsidR="000475BD" w:rsidRDefault="000475BD" w:rsidP="00D4226B">
            <w:pPr>
              <w:ind w:left="458" w:right="-105"/>
              <w:rPr>
                <w:rFonts w:ascii="Arial" w:eastAsia="Trebuchet MS" w:hAnsi="Arial" w:cs="Arial"/>
                <w:b/>
              </w:rPr>
            </w:pPr>
            <w:r>
              <w:rPr>
                <w:rFonts w:ascii="Arial" w:eastAsia="Trebuchet MS" w:hAnsi="Arial" w:cs="Arial"/>
                <w:b/>
              </w:rPr>
              <w:t>336</w:t>
            </w:r>
          </w:p>
        </w:tc>
        <w:tc>
          <w:tcPr>
            <w:tcW w:w="8925" w:type="dxa"/>
          </w:tcPr>
          <w:p w14:paraId="7DC22265" w14:textId="77777777" w:rsidR="000475BD" w:rsidRPr="00D4757F" w:rsidRDefault="000475BD" w:rsidP="00D4226B">
            <w:pPr>
              <w:jc w:val="both"/>
              <w:rPr>
                <w:rFonts w:ascii="Arial" w:hAnsi="Arial" w:cs="Arial"/>
                <w:b/>
                <w:sz w:val="22"/>
                <w:szCs w:val="22"/>
                <w:lang w:val="es-MX"/>
              </w:rPr>
            </w:pPr>
            <w:r w:rsidRPr="00D4757F">
              <w:rPr>
                <w:rFonts w:ascii="Arial" w:hAnsi="Arial" w:cs="Arial"/>
                <w:b/>
                <w:sz w:val="22"/>
                <w:szCs w:val="22"/>
                <w:lang w:val="es-CO"/>
              </w:rPr>
              <w:t xml:space="preserve">CORPORACIÓN AUTÓNOMA REGIONAL PARA LA DEFENSA DE LA MESETA DE BUCARAMANGA - CDMB. </w:t>
            </w:r>
          </w:p>
        </w:tc>
      </w:tr>
      <w:tr w:rsidR="000475BD" w:rsidRPr="00E00D12" w14:paraId="6B789CF9" w14:textId="77777777" w:rsidTr="00D4226B">
        <w:trPr>
          <w:jc w:val="center"/>
        </w:trPr>
        <w:tc>
          <w:tcPr>
            <w:tcW w:w="1560" w:type="dxa"/>
          </w:tcPr>
          <w:p w14:paraId="0F959365" w14:textId="77777777" w:rsidR="000475BD" w:rsidRDefault="000475BD" w:rsidP="00D4226B">
            <w:pPr>
              <w:ind w:left="458" w:right="-105"/>
              <w:rPr>
                <w:rFonts w:ascii="Arial" w:eastAsia="Trebuchet MS" w:hAnsi="Arial" w:cs="Arial"/>
                <w:b/>
              </w:rPr>
            </w:pPr>
            <w:r>
              <w:rPr>
                <w:rFonts w:ascii="Arial" w:eastAsia="Trebuchet MS" w:hAnsi="Arial" w:cs="Arial"/>
                <w:b/>
              </w:rPr>
              <w:t>342</w:t>
            </w:r>
          </w:p>
        </w:tc>
        <w:tc>
          <w:tcPr>
            <w:tcW w:w="8925" w:type="dxa"/>
          </w:tcPr>
          <w:p w14:paraId="78443380" w14:textId="77777777" w:rsidR="000475BD" w:rsidRPr="00154E1F" w:rsidRDefault="000475BD" w:rsidP="00D4226B">
            <w:pPr>
              <w:jc w:val="both"/>
              <w:rPr>
                <w:rFonts w:ascii="Arial" w:hAnsi="Arial" w:cs="Arial"/>
                <w:b/>
                <w:sz w:val="22"/>
                <w:szCs w:val="22"/>
                <w:lang w:val="es-MX"/>
              </w:rPr>
            </w:pPr>
            <w:r w:rsidRPr="00154E1F">
              <w:rPr>
                <w:rFonts w:ascii="Arial" w:hAnsi="Arial" w:cs="Arial"/>
                <w:b/>
                <w:sz w:val="22"/>
                <w:szCs w:val="22"/>
                <w:lang w:val="es-MX"/>
              </w:rPr>
              <w:t>MINISTERIO DEL TRABAJO.</w:t>
            </w:r>
          </w:p>
        </w:tc>
      </w:tr>
      <w:tr w:rsidR="000475BD" w:rsidRPr="00E00D12" w14:paraId="1EC34EF7" w14:textId="77777777" w:rsidTr="00D4226B">
        <w:trPr>
          <w:jc w:val="center"/>
        </w:trPr>
        <w:tc>
          <w:tcPr>
            <w:tcW w:w="1560" w:type="dxa"/>
          </w:tcPr>
          <w:p w14:paraId="0D2AF6D2" w14:textId="77777777" w:rsidR="000475BD" w:rsidRDefault="000475BD" w:rsidP="00D4226B">
            <w:pPr>
              <w:ind w:left="458" w:right="-105"/>
              <w:rPr>
                <w:rFonts w:ascii="Arial" w:eastAsia="Trebuchet MS" w:hAnsi="Arial" w:cs="Arial"/>
                <w:b/>
              </w:rPr>
            </w:pPr>
            <w:r>
              <w:rPr>
                <w:rFonts w:ascii="Arial" w:eastAsia="Trebuchet MS" w:hAnsi="Arial" w:cs="Arial"/>
                <w:b/>
              </w:rPr>
              <w:t>343</w:t>
            </w:r>
          </w:p>
        </w:tc>
        <w:tc>
          <w:tcPr>
            <w:tcW w:w="8925" w:type="dxa"/>
          </w:tcPr>
          <w:p w14:paraId="444B7B3B" w14:textId="77777777" w:rsidR="000475BD" w:rsidRPr="004A5378" w:rsidRDefault="000475BD" w:rsidP="00D4226B">
            <w:pPr>
              <w:jc w:val="both"/>
              <w:rPr>
                <w:rFonts w:ascii="Arial" w:hAnsi="Arial" w:cs="Arial"/>
                <w:b/>
                <w:sz w:val="22"/>
                <w:szCs w:val="22"/>
                <w:lang w:val="es-MX"/>
              </w:rPr>
            </w:pPr>
            <w:r w:rsidRPr="004A5378">
              <w:rPr>
                <w:rFonts w:ascii="Arial" w:hAnsi="Arial" w:cs="Arial"/>
                <w:b/>
                <w:sz w:val="22"/>
                <w:szCs w:val="22"/>
                <w:lang w:val="es-MX"/>
              </w:rPr>
              <w:t>AGENCIA NACIONAL DE TIERRAS - ANT.</w:t>
            </w:r>
          </w:p>
        </w:tc>
      </w:tr>
      <w:tr w:rsidR="000475BD" w:rsidRPr="00E00D12" w14:paraId="3B0A6E21" w14:textId="77777777" w:rsidTr="00D4226B">
        <w:trPr>
          <w:jc w:val="center"/>
        </w:trPr>
        <w:tc>
          <w:tcPr>
            <w:tcW w:w="1560" w:type="dxa"/>
          </w:tcPr>
          <w:p w14:paraId="45B92CFA" w14:textId="77777777" w:rsidR="000475BD" w:rsidRDefault="000475BD" w:rsidP="00D4226B">
            <w:pPr>
              <w:ind w:left="458" w:right="-105"/>
              <w:rPr>
                <w:rFonts w:ascii="Arial" w:eastAsia="Trebuchet MS" w:hAnsi="Arial" w:cs="Arial"/>
                <w:b/>
              </w:rPr>
            </w:pPr>
            <w:r>
              <w:rPr>
                <w:rFonts w:ascii="Arial" w:eastAsia="Trebuchet MS" w:hAnsi="Arial" w:cs="Arial"/>
                <w:b/>
              </w:rPr>
              <w:t>344</w:t>
            </w:r>
          </w:p>
        </w:tc>
        <w:tc>
          <w:tcPr>
            <w:tcW w:w="8925" w:type="dxa"/>
          </w:tcPr>
          <w:p w14:paraId="6BFF4517" w14:textId="77777777" w:rsidR="000475BD" w:rsidRPr="004F074B" w:rsidRDefault="000475BD" w:rsidP="00D4226B">
            <w:pPr>
              <w:jc w:val="both"/>
              <w:rPr>
                <w:rFonts w:ascii="Arial" w:hAnsi="Arial" w:cs="Arial"/>
                <w:b/>
                <w:sz w:val="22"/>
                <w:szCs w:val="22"/>
                <w:lang w:val="es-MX"/>
              </w:rPr>
            </w:pPr>
            <w:r w:rsidRPr="004F074B">
              <w:rPr>
                <w:rFonts w:ascii="Arial" w:hAnsi="Arial" w:cs="Arial"/>
                <w:b/>
                <w:sz w:val="22"/>
                <w:szCs w:val="22"/>
                <w:lang w:val="es-MX"/>
              </w:rPr>
              <w:t>SUPERINTENDENCIA DE NOTARIADO Y REGISTRO.</w:t>
            </w:r>
          </w:p>
        </w:tc>
      </w:tr>
      <w:tr w:rsidR="000475BD" w:rsidRPr="00E00D12" w14:paraId="160B554C" w14:textId="77777777" w:rsidTr="00D4226B">
        <w:trPr>
          <w:jc w:val="center"/>
        </w:trPr>
        <w:tc>
          <w:tcPr>
            <w:tcW w:w="1560" w:type="dxa"/>
          </w:tcPr>
          <w:p w14:paraId="1A2FBBB0" w14:textId="77777777" w:rsidR="000475BD" w:rsidRDefault="000475BD" w:rsidP="00D4226B">
            <w:pPr>
              <w:ind w:left="458" w:right="-105"/>
              <w:rPr>
                <w:rFonts w:ascii="Arial" w:eastAsia="Trebuchet MS" w:hAnsi="Arial" w:cs="Arial"/>
                <w:b/>
              </w:rPr>
            </w:pPr>
            <w:r>
              <w:rPr>
                <w:rFonts w:ascii="Arial" w:eastAsia="Trebuchet MS" w:hAnsi="Arial" w:cs="Arial"/>
                <w:b/>
              </w:rPr>
              <w:t>349</w:t>
            </w:r>
          </w:p>
        </w:tc>
        <w:tc>
          <w:tcPr>
            <w:tcW w:w="8925" w:type="dxa"/>
          </w:tcPr>
          <w:p w14:paraId="343FFE4B" w14:textId="77777777" w:rsidR="000475BD" w:rsidRPr="003403D5" w:rsidRDefault="000475BD" w:rsidP="00D4226B">
            <w:pPr>
              <w:jc w:val="both"/>
              <w:rPr>
                <w:rFonts w:ascii="Arial" w:hAnsi="Arial" w:cs="Arial"/>
                <w:b/>
                <w:sz w:val="22"/>
                <w:szCs w:val="22"/>
                <w:lang w:val="es-MX"/>
              </w:rPr>
            </w:pPr>
            <w:r w:rsidRPr="003403D5">
              <w:rPr>
                <w:rFonts w:ascii="Arial" w:hAnsi="Arial" w:cs="Arial"/>
                <w:b/>
                <w:sz w:val="22"/>
                <w:szCs w:val="22"/>
                <w:lang w:val="es-MX"/>
              </w:rPr>
              <w:t>UNIVERSIDAD DE CALDAS.</w:t>
            </w:r>
          </w:p>
        </w:tc>
      </w:tr>
      <w:tr w:rsidR="000475BD" w:rsidRPr="00E00D12" w14:paraId="0F40A7F2" w14:textId="77777777" w:rsidTr="00D4226B">
        <w:trPr>
          <w:jc w:val="center"/>
        </w:trPr>
        <w:tc>
          <w:tcPr>
            <w:tcW w:w="1560" w:type="dxa"/>
          </w:tcPr>
          <w:p w14:paraId="4BD3F41D" w14:textId="77777777" w:rsidR="000475BD" w:rsidRDefault="000475BD" w:rsidP="00D4226B">
            <w:pPr>
              <w:ind w:left="458" w:right="-105"/>
              <w:rPr>
                <w:rFonts w:ascii="Arial" w:eastAsia="Trebuchet MS" w:hAnsi="Arial" w:cs="Arial"/>
                <w:b/>
              </w:rPr>
            </w:pPr>
            <w:r>
              <w:rPr>
                <w:rFonts w:ascii="Arial" w:eastAsia="Trebuchet MS" w:hAnsi="Arial" w:cs="Arial"/>
                <w:b/>
              </w:rPr>
              <w:t>350</w:t>
            </w:r>
          </w:p>
        </w:tc>
        <w:tc>
          <w:tcPr>
            <w:tcW w:w="8925" w:type="dxa"/>
          </w:tcPr>
          <w:p w14:paraId="1D48DC85" w14:textId="77777777" w:rsidR="000475BD" w:rsidRPr="00BA452D" w:rsidRDefault="000475BD" w:rsidP="00D4226B">
            <w:pPr>
              <w:jc w:val="both"/>
              <w:rPr>
                <w:rFonts w:ascii="Arial" w:hAnsi="Arial" w:cs="Arial"/>
                <w:b/>
                <w:sz w:val="22"/>
                <w:szCs w:val="22"/>
                <w:lang w:val="es-MX"/>
              </w:rPr>
            </w:pPr>
            <w:r w:rsidRPr="00BA452D">
              <w:rPr>
                <w:rFonts w:ascii="Arial" w:hAnsi="Arial" w:cs="Arial"/>
                <w:b/>
                <w:sz w:val="22"/>
                <w:szCs w:val="22"/>
                <w:lang w:val="es-MX"/>
              </w:rPr>
              <w:t>CORPORACION PARA EL DESARROLLO SOSTENIBLE DEL URABA - CORPOURABA.</w:t>
            </w:r>
          </w:p>
        </w:tc>
      </w:tr>
    </w:tbl>
    <w:p w14:paraId="3E77A949" w14:textId="77777777" w:rsidR="000475BD" w:rsidRPr="004B1294" w:rsidRDefault="000475BD" w:rsidP="000475BD">
      <w:pPr>
        <w:ind w:left="-284" w:right="-518"/>
        <w:jc w:val="both"/>
        <w:rPr>
          <w:rFonts w:ascii="Arial" w:hAnsi="Arial" w:cs="Arial"/>
          <w:sz w:val="16"/>
          <w:szCs w:val="16"/>
        </w:rPr>
      </w:pPr>
      <w:r w:rsidRPr="00E232C9">
        <w:rPr>
          <w:rFonts w:ascii="Arial" w:hAnsi="Arial" w:cs="Arial"/>
          <w:b/>
          <w:bCs/>
          <w:sz w:val="16"/>
          <w:szCs w:val="16"/>
        </w:rPr>
        <w:t>Fuente</w:t>
      </w:r>
      <w:r w:rsidRPr="004B1294">
        <w:rPr>
          <w:rFonts w:ascii="Arial" w:hAnsi="Arial" w:cs="Arial"/>
          <w:sz w:val="16"/>
          <w:szCs w:val="16"/>
        </w:rPr>
        <w:t>: Informes contables presentados por las entidades del nivel nacional a la Comisión Legal de Cuentas vigencia fiscal 202</w:t>
      </w:r>
      <w:r>
        <w:rPr>
          <w:rFonts w:ascii="Arial" w:hAnsi="Arial" w:cs="Arial"/>
          <w:sz w:val="16"/>
          <w:szCs w:val="16"/>
        </w:rPr>
        <w:t>4</w:t>
      </w:r>
      <w:r w:rsidRPr="004B1294">
        <w:rPr>
          <w:rFonts w:ascii="Arial" w:hAnsi="Arial" w:cs="Arial"/>
          <w:sz w:val="16"/>
          <w:szCs w:val="16"/>
        </w:rPr>
        <w:t>.</w:t>
      </w:r>
    </w:p>
    <w:p w14:paraId="0FA61C1B" w14:textId="77777777" w:rsidR="000475BD" w:rsidRPr="004B1294" w:rsidRDefault="000475BD" w:rsidP="000475BD">
      <w:pPr>
        <w:ind w:left="-426" w:right="-234"/>
        <w:jc w:val="both"/>
        <w:rPr>
          <w:rFonts w:ascii="Arial" w:hAnsi="Arial" w:cs="Arial"/>
          <w:b/>
          <w:u w:val="single"/>
          <w:lang w:val="es-ES_tradnl"/>
        </w:rPr>
      </w:pPr>
    </w:p>
    <w:p w14:paraId="7290EF54" w14:textId="77777777" w:rsidR="000475BD" w:rsidRPr="00FE2C5F" w:rsidRDefault="000475BD" w:rsidP="000475BD">
      <w:pPr>
        <w:ind w:left="-284" w:right="-234"/>
        <w:jc w:val="both"/>
        <w:rPr>
          <w:rFonts w:ascii="Arial" w:hAnsi="Arial" w:cs="Arial"/>
          <w:b/>
          <w:sz w:val="28"/>
          <w:szCs w:val="28"/>
          <w:lang w:val="es-ES_tradnl"/>
        </w:rPr>
      </w:pPr>
      <w:bookmarkStart w:id="45" w:name="_Hlk210307257"/>
      <w:r w:rsidRPr="00FE2C5F">
        <w:rPr>
          <w:rFonts w:ascii="Arial" w:hAnsi="Arial" w:cs="Arial"/>
          <w:b/>
          <w:sz w:val="28"/>
          <w:szCs w:val="28"/>
          <w:u w:val="single"/>
          <w:lang w:val="es-ES_tradnl"/>
        </w:rPr>
        <w:t>NOTA</w:t>
      </w:r>
      <w:r w:rsidRPr="00FE2C5F">
        <w:rPr>
          <w:rFonts w:ascii="Arial" w:hAnsi="Arial" w:cs="Arial"/>
          <w:b/>
          <w:sz w:val="28"/>
          <w:szCs w:val="28"/>
          <w:lang w:val="es-ES_tradnl"/>
        </w:rPr>
        <w:t>: En este punto es importante mencionar que, si bien la corrección de errores es una actividad diaria en la contabilidad, si llama la atención la cantidad de entidades con errores contables.</w:t>
      </w:r>
    </w:p>
    <w:p w14:paraId="3D3A5A35" w14:textId="77777777" w:rsidR="000475BD" w:rsidRPr="00FE2C5F" w:rsidRDefault="000475BD" w:rsidP="000475BD">
      <w:pPr>
        <w:ind w:left="-284" w:right="-234"/>
        <w:jc w:val="both"/>
        <w:rPr>
          <w:rFonts w:ascii="Arial" w:hAnsi="Arial" w:cs="Arial"/>
          <w:b/>
          <w:sz w:val="28"/>
          <w:szCs w:val="28"/>
          <w:lang w:val="es-ES_tradnl"/>
        </w:rPr>
      </w:pPr>
    </w:p>
    <w:p w14:paraId="02A3844A" w14:textId="77777777" w:rsidR="000475BD" w:rsidRPr="00FE2C5F" w:rsidRDefault="000475BD" w:rsidP="000475BD">
      <w:pPr>
        <w:ind w:left="-284" w:right="-234"/>
        <w:jc w:val="both"/>
        <w:rPr>
          <w:rFonts w:ascii="Arial" w:hAnsi="Arial" w:cs="Arial"/>
          <w:b/>
          <w:sz w:val="28"/>
          <w:szCs w:val="28"/>
          <w:lang w:val="es-ES_tradnl"/>
        </w:rPr>
      </w:pPr>
      <w:r w:rsidRPr="00FE2C5F">
        <w:rPr>
          <w:rFonts w:ascii="Arial" w:hAnsi="Arial" w:cs="Arial"/>
          <w:b/>
          <w:sz w:val="28"/>
          <w:szCs w:val="28"/>
          <w:lang w:val="es-ES_tradnl"/>
        </w:rPr>
        <w:t xml:space="preserve">Estos errores, </w:t>
      </w:r>
      <w:proofErr w:type="gramStart"/>
      <w:r w:rsidRPr="00FE2C5F">
        <w:rPr>
          <w:rFonts w:ascii="Arial" w:hAnsi="Arial" w:cs="Arial"/>
          <w:b/>
          <w:sz w:val="28"/>
          <w:szCs w:val="28"/>
          <w:lang w:val="es-ES_tradnl"/>
        </w:rPr>
        <w:t>le</w:t>
      </w:r>
      <w:proofErr w:type="gramEnd"/>
      <w:r w:rsidRPr="00FE2C5F">
        <w:rPr>
          <w:rFonts w:ascii="Arial" w:hAnsi="Arial" w:cs="Arial"/>
          <w:b/>
          <w:sz w:val="28"/>
          <w:szCs w:val="28"/>
          <w:lang w:val="es-ES_tradnl"/>
        </w:rPr>
        <w:t xml:space="preserve"> quitan razonabilidad a los estados financieros aprobados para la vigencia 2023.</w:t>
      </w:r>
    </w:p>
    <w:p w14:paraId="5616C6F9" w14:textId="77777777" w:rsidR="000475BD" w:rsidRPr="00FE2C5F" w:rsidRDefault="000475BD" w:rsidP="000475BD">
      <w:pPr>
        <w:ind w:left="-284" w:right="-234"/>
        <w:jc w:val="both"/>
        <w:rPr>
          <w:rFonts w:ascii="Arial" w:hAnsi="Arial" w:cs="Arial"/>
          <w:b/>
          <w:sz w:val="28"/>
          <w:szCs w:val="28"/>
          <w:lang w:val="es-ES_tradnl"/>
        </w:rPr>
      </w:pPr>
    </w:p>
    <w:p w14:paraId="42DC3239" w14:textId="77777777" w:rsidR="000475BD" w:rsidRPr="00FE2C5F" w:rsidRDefault="000475BD" w:rsidP="000475BD">
      <w:pPr>
        <w:ind w:left="-284" w:right="-234"/>
        <w:jc w:val="both"/>
        <w:rPr>
          <w:rFonts w:ascii="Arial" w:hAnsi="Arial" w:cs="Arial"/>
          <w:b/>
          <w:sz w:val="28"/>
          <w:szCs w:val="28"/>
          <w:lang w:val="es-ES_tradnl"/>
        </w:rPr>
      </w:pPr>
      <w:r w:rsidRPr="00FE2C5F">
        <w:rPr>
          <w:rFonts w:ascii="Arial" w:hAnsi="Arial" w:cs="Arial"/>
          <w:b/>
          <w:sz w:val="28"/>
          <w:szCs w:val="28"/>
          <w:lang w:val="es-ES_tradnl"/>
        </w:rPr>
        <w:t>Es importante preguntar si estos errores contables se deben a la falta de capacitación en el manejo de las NICSP o se deben a descuido de los responsables de las áreas contables de las entidades del Estado.</w:t>
      </w:r>
    </w:p>
    <w:bookmarkEnd w:id="45"/>
    <w:p w14:paraId="147F978A" w14:textId="77777777" w:rsidR="000475BD" w:rsidRDefault="000475BD" w:rsidP="000475BD">
      <w:pPr>
        <w:ind w:left="-426" w:right="-234"/>
        <w:jc w:val="both"/>
        <w:rPr>
          <w:rFonts w:ascii="Arial" w:hAnsi="Arial" w:cs="Arial"/>
          <w:b/>
          <w:lang w:val="es-ES_tradnl"/>
        </w:rPr>
      </w:pPr>
    </w:p>
    <w:p w14:paraId="7814D3F9" w14:textId="77777777" w:rsidR="0003243C" w:rsidRPr="00D74C48" w:rsidRDefault="0003243C" w:rsidP="00D74C48">
      <w:pPr>
        <w:ind w:left="-284" w:right="-234"/>
        <w:jc w:val="center"/>
        <w:rPr>
          <w:rFonts w:ascii="Arial" w:eastAsia="Calibri" w:hAnsi="Arial" w:cs="Arial"/>
          <w:b/>
          <w:sz w:val="28"/>
          <w:szCs w:val="28"/>
          <w:u w:val="single"/>
        </w:rPr>
      </w:pPr>
      <w:bookmarkStart w:id="46" w:name="_Hlk210307179"/>
      <w:r w:rsidRPr="00D74C48">
        <w:rPr>
          <w:rFonts w:ascii="Arial" w:eastAsia="Trebuchet MS" w:hAnsi="Arial" w:cs="Arial"/>
          <w:b/>
          <w:sz w:val="28"/>
          <w:szCs w:val="28"/>
          <w:u w:val="single"/>
          <w:lang w:val="es-ES_tradnl" w:eastAsia="es-CO"/>
        </w:rPr>
        <w:t xml:space="preserve">15.- EMPRESAS, ENTIDADES Y FONDOS QUE PRESENTARON DIFICULTADES </w:t>
      </w:r>
      <w:r w:rsidRPr="00D74C48">
        <w:rPr>
          <w:rFonts w:ascii="Arial" w:eastAsia="Trebuchet MS" w:hAnsi="Arial" w:cs="Arial"/>
          <w:b/>
          <w:sz w:val="28"/>
          <w:szCs w:val="28"/>
          <w:u w:val="single"/>
          <w:lang w:val="es-ES_tradnl" w:eastAsia="es-CO"/>
        </w:rPr>
        <w:lastRenderedPageBreak/>
        <w:t xml:space="preserve">EN LA </w:t>
      </w:r>
      <w:r w:rsidRPr="00D74C48">
        <w:rPr>
          <w:rFonts w:ascii="Arial" w:eastAsia="Calibri" w:hAnsi="Arial" w:cs="Arial"/>
          <w:b/>
          <w:sz w:val="28"/>
          <w:szCs w:val="28"/>
          <w:u w:val="single"/>
        </w:rPr>
        <w:t>DEPURACIÓN DE OPERACIONES RECÍPROCAS A 31 DE DICIEMBRE DE 2024:</w:t>
      </w:r>
    </w:p>
    <w:bookmarkEnd w:id="46"/>
    <w:p w14:paraId="5214DFD5" w14:textId="77777777" w:rsidR="0003243C" w:rsidRPr="00FE2C5F" w:rsidRDefault="0003243C" w:rsidP="0003243C">
      <w:pPr>
        <w:ind w:left="-284" w:right="-518"/>
        <w:jc w:val="both"/>
        <w:rPr>
          <w:rFonts w:ascii="Arial" w:hAnsi="Arial" w:cs="Arial"/>
          <w:b/>
          <w:sz w:val="28"/>
          <w:szCs w:val="28"/>
          <w:shd w:val="clear" w:color="auto" w:fill="FFFFFF"/>
        </w:rPr>
      </w:pPr>
    </w:p>
    <w:tbl>
      <w:tblPr>
        <w:tblStyle w:val="Tablaconcuadrcula"/>
        <w:tblW w:w="10490" w:type="dxa"/>
        <w:tblInd w:w="-289" w:type="dxa"/>
        <w:tblLook w:val="04A0" w:firstRow="1" w:lastRow="0" w:firstColumn="1" w:lastColumn="0" w:noHBand="0" w:noVBand="1"/>
      </w:tblPr>
      <w:tblGrid>
        <w:gridCol w:w="1560"/>
        <w:gridCol w:w="8930"/>
      </w:tblGrid>
      <w:tr w:rsidR="0003243C" w:rsidRPr="004B1294" w14:paraId="425E5E0B" w14:textId="77777777" w:rsidTr="00D4226B">
        <w:tc>
          <w:tcPr>
            <w:tcW w:w="1560" w:type="dxa"/>
          </w:tcPr>
          <w:p w14:paraId="161D1396" w14:textId="77777777" w:rsidR="0003243C" w:rsidRPr="004B1294" w:rsidRDefault="0003243C" w:rsidP="00D4226B">
            <w:pPr>
              <w:tabs>
                <w:tab w:val="left" w:pos="993"/>
              </w:tabs>
              <w:jc w:val="center"/>
              <w:rPr>
                <w:rFonts w:ascii="Arial" w:hAnsi="Arial" w:cs="Arial"/>
                <w:b/>
              </w:rPr>
            </w:pPr>
            <w:r w:rsidRPr="004B1294">
              <w:rPr>
                <w:rFonts w:ascii="Arial" w:hAnsi="Arial" w:cs="Arial"/>
                <w:b/>
              </w:rPr>
              <w:t xml:space="preserve">N° </w:t>
            </w:r>
            <w:r>
              <w:rPr>
                <w:rFonts w:ascii="Arial" w:hAnsi="Arial" w:cs="Arial"/>
                <w:b/>
              </w:rPr>
              <w:t xml:space="preserve">DE LA ENTIDAD </w:t>
            </w:r>
            <w:r w:rsidRPr="004B1294">
              <w:rPr>
                <w:rFonts w:ascii="Arial" w:hAnsi="Arial" w:cs="Arial"/>
                <w:b/>
              </w:rPr>
              <w:t>EN LA</w:t>
            </w:r>
          </w:p>
          <w:p w14:paraId="16FC1755" w14:textId="77777777" w:rsidR="0003243C" w:rsidRDefault="0003243C" w:rsidP="00E86E30">
            <w:pPr>
              <w:tabs>
                <w:tab w:val="left" w:pos="993"/>
              </w:tabs>
              <w:jc w:val="center"/>
              <w:rPr>
                <w:rFonts w:ascii="Arial" w:hAnsi="Arial" w:cs="Arial"/>
                <w:b/>
              </w:rPr>
            </w:pPr>
            <w:r w:rsidRPr="004B1294">
              <w:rPr>
                <w:rFonts w:ascii="Arial" w:hAnsi="Arial" w:cs="Arial"/>
                <w:b/>
              </w:rPr>
              <w:t>RESOLUCIÓN</w:t>
            </w:r>
          </w:p>
          <w:p w14:paraId="313477C0" w14:textId="0885FB08" w:rsidR="0038516E" w:rsidRPr="004B1294" w:rsidRDefault="0038516E" w:rsidP="00E86E30">
            <w:pPr>
              <w:tabs>
                <w:tab w:val="left" w:pos="993"/>
              </w:tabs>
              <w:jc w:val="center"/>
              <w:rPr>
                <w:rFonts w:ascii="Arial" w:hAnsi="Arial" w:cs="Arial"/>
                <w:b/>
              </w:rPr>
            </w:pPr>
          </w:p>
        </w:tc>
        <w:tc>
          <w:tcPr>
            <w:tcW w:w="8930" w:type="dxa"/>
          </w:tcPr>
          <w:p w14:paraId="44E2C0D0" w14:textId="77777777" w:rsidR="0003243C" w:rsidRPr="004B1294" w:rsidRDefault="0003243C" w:rsidP="00D4226B">
            <w:pPr>
              <w:tabs>
                <w:tab w:val="left" w:pos="993"/>
              </w:tabs>
              <w:ind w:left="34"/>
              <w:jc w:val="center"/>
              <w:rPr>
                <w:rFonts w:ascii="Arial" w:hAnsi="Arial" w:cs="Arial"/>
                <w:b/>
              </w:rPr>
            </w:pPr>
            <w:r w:rsidRPr="004B1294">
              <w:rPr>
                <w:rFonts w:ascii="Arial" w:hAnsi="Arial" w:cs="Arial"/>
                <w:b/>
              </w:rPr>
              <w:t>ENTIDAD DEL NIVEL NACIONAL VIGENCIA FISCAL 202</w:t>
            </w:r>
            <w:r>
              <w:rPr>
                <w:rFonts w:ascii="Arial" w:hAnsi="Arial" w:cs="Arial"/>
                <w:b/>
              </w:rPr>
              <w:t>4</w:t>
            </w:r>
          </w:p>
          <w:p w14:paraId="4A0BD104" w14:textId="77777777" w:rsidR="0003243C" w:rsidRPr="004B1294" w:rsidRDefault="0003243C" w:rsidP="00D4226B">
            <w:pPr>
              <w:tabs>
                <w:tab w:val="left" w:pos="993"/>
              </w:tabs>
              <w:ind w:left="34"/>
              <w:jc w:val="center"/>
              <w:rPr>
                <w:rFonts w:ascii="Arial" w:hAnsi="Arial" w:cs="Arial"/>
                <w:b/>
              </w:rPr>
            </w:pPr>
          </w:p>
        </w:tc>
      </w:tr>
      <w:tr w:rsidR="0003243C" w:rsidRPr="004B1294" w14:paraId="5C1F4EFB" w14:textId="77777777" w:rsidTr="00D4226B">
        <w:tc>
          <w:tcPr>
            <w:tcW w:w="1560" w:type="dxa"/>
          </w:tcPr>
          <w:p w14:paraId="394AB2CC" w14:textId="77777777" w:rsidR="0003243C" w:rsidRPr="004B1294" w:rsidRDefault="0003243C" w:rsidP="00D4226B">
            <w:pPr>
              <w:tabs>
                <w:tab w:val="left" w:pos="993"/>
              </w:tabs>
              <w:jc w:val="center"/>
              <w:rPr>
                <w:rFonts w:ascii="Arial" w:hAnsi="Arial" w:cs="Arial"/>
                <w:b/>
              </w:rPr>
            </w:pPr>
            <w:r>
              <w:rPr>
                <w:rFonts w:ascii="Arial" w:hAnsi="Arial" w:cs="Arial"/>
                <w:b/>
              </w:rPr>
              <w:t>2</w:t>
            </w:r>
          </w:p>
        </w:tc>
        <w:tc>
          <w:tcPr>
            <w:tcW w:w="8930" w:type="dxa"/>
          </w:tcPr>
          <w:p w14:paraId="01BA1E0B" w14:textId="77777777" w:rsidR="0003243C" w:rsidRPr="00517DCB" w:rsidRDefault="0003243C" w:rsidP="00D4226B">
            <w:pPr>
              <w:jc w:val="both"/>
              <w:rPr>
                <w:rFonts w:ascii="Arial" w:hAnsi="Arial" w:cs="Arial"/>
                <w:b/>
                <w:sz w:val="22"/>
                <w:szCs w:val="22"/>
                <w:lang w:val="es-MX"/>
              </w:rPr>
            </w:pPr>
            <w:r w:rsidRPr="00452E1B">
              <w:rPr>
                <w:rFonts w:ascii="Arial" w:hAnsi="Arial" w:cs="Arial"/>
                <w:b/>
                <w:sz w:val="22"/>
                <w:szCs w:val="22"/>
                <w:lang w:val="es-MX"/>
              </w:rPr>
              <w:t>U.A.E. DIRECCIÓN DE IMPUESTOS Y ADUANAS NACIONALES – DIAN FUNCIÓN PAGADORA.</w:t>
            </w:r>
          </w:p>
        </w:tc>
      </w:tr>
      <w:tr w:rsidR="0003243C" w:rsidRPr="004B1294" w14:paraId="3742533C" w14:textId="77777777" w:rsidTr="00D4226B">
        <w:tc>
          <w:tcPr>
            <w:tcW w:w="1560" w:type="dxa"/>
          </w:tcPr>
          <w:p w14:paraId="3825DBDD" w14:textId="77777777" w:rsidR="0003243C" w:rsidRDefault="0003243C" w:rsidP="00D4226B">
            <w:pPr>
              <w:tabs>
                <w:tab w:val="left" w:pos="993"/>
              </w:tabs>
              <w:jc w:val="center"/>
              <w:rPr>
                <w:rFonts w:ascii="Arial" w:hAnsi="Arial" w:cs="Arial"/>
                <w:b/>
              </w:rPr>
            </w:pPr>
            <w:r>
              <w:rPr>
                <w:rFonts w:ascii="Arial" w:hAnsi="Arial" w:cs="Arial"/>
                <w:b/>
              </w:rPr>
              <w:t>3</w:t>
            </w:r>
          </w:p>
        </w:tc>
        <w:tc>
          <w:tcPr>
            <w:tcW w:w="8930" w:type="dxa"/>
          </w:tcPr>
          <w:p w14:paraId="1F706E40" w14:textId="77777777" w:rsidR="0003243C" w:rsidRPr="00517DCB" w:rsidRDefault="0003243C" w:rsidP="00D4226B">
            <w:pPr>
              <w:jc w:val="both"/>
              <w:rPr>
                <w:rFonts w:ascii="Arial" w:hAnsi="Arial" w:cs="Arial"/>
                <w:b/>
                <w:sz w:val="22"/>
                <w:szCs w:val="22"/>
                <w:lang w:val="es-MX"/>
              </w:rPr>
            </w:pPr>
            <w:r w:rsidRPr="00517DCB">
              <w:rPr>
                <w:rFonts w:ascii="Arial" w:hAnsi="Arial" w:cs="Arial"/>
                <w:b/>
                <w:sz w:val="22"/>
                <w:szCs w:val="22"/>
                <w:lang w:val="es-MX"/>
              </w:rPr>
              <w:t>SUPERINTENDENCIA DE VIGILANCIA Y SEGURIDAD PRIVADA.</w:t>
            </w:r>
          </w:p>
        </w:tc>
      </w:tr>
      <w:tr w:rsidR="0003243C" w:rsidRPr="004B1294" w14:paraId="6CF93150" w14:textId="77777777" w:rsidTr="00D4226B">
        <w:tc>
          <w:tcPr>
            <w:tcW w:w="1560" w:type="dxa"/>
          </w:tcPr>
          <w:p w14:paraId="067FF14D" w14:textId="77777777" w:rsidR="0003243C" w:rsidRDefault="0003243C" w:rsidP="00D4226B">
            <w:pPr>
              <w:tabs>
                <w:tab w:val="left" w:pos="993"/>
              </w:tabs>
              <w:jc w:val="center"/>
              <w:rPr>
                <w:rFonts w:ascii="Arial" w:hAnsi="Arial" w:cs="Arial"/>
                <w:b/>
              </w:rPr>
            </w:pPr>
            <w:r>
              <w:rPr>
                <w:rFonts w:ascii="Arial" w:hAnsi="Arial" w:cs="Arial"/>
                <w:b/>
              </w:rPr>
              <w:t>7</w:t>
            </w:r>
          </w:p>
        </w:tc>
        <w:tc>
          <w:tcPr>
            <w:tcW w:w="8930" w:type="dxa"/>
          </w:tcPr>
          <w:p w14:paraId="7558DBE7" w14:textId="77777777" w:rsidR="0003243C" w:rsidRPr="00013FC2" w:rsidRDefault="0003243C" w:rsidP="00D4226B">
            <w:pPr>
              <w:jc w:val="both"/>
              <w:rPr>
                <w:rFonts w:ascii="Arial" w:hAnsi="Arial" w:cs="Arial"/>
                <w:b/>
                <w:sz w:val="22"/>
                <w:szCs w:val="22"/>
                <w:lang w:val="es-MX"/>
              </w:rPr>
            </w:pPr>
            <w:r w:rsidRPr="00013FC2">
              <w:rPr>
                <w:rFonts w:ascii="Arial" w:hAnsi="Arial" w:cs="Arial"/>
                <w:b/>
                <w:sz w:val="22"/>
                <w:szCs w:val="22"/>
                <w:lang w:val="es-MX"/>
              </w:rPr>
              <w:t>INSTITUTO NACIONAL DE SALUD - INS.</w:t>
            </w:r>
          </w:p>
        </w:tc>
      </w:tr>
      <w:tr w:rsidR="0003243C" w:rsidRPr="004B1294" w14:paraId="6DD32A52" w14:textId="77777777" w:rsidTr="00D4226B">
        <w:tc>
          <w:tcPr>
            <w:tcW w:w="1560" w:type="dxa"/>
          </w:tcPr>
          <w:p w14:paraId="2EE5C8C5" w14:textId="77777777" w:rsidR="0003243C" w:rsidRDefault="0003243C" w:rsidP="00D4226B">
            <w:pPr>
              <w:tabs>
                <w:tab w:val="left" w:pos="993"/>
              </w:tabs>
              <w:jc w:val="center"/>
              <w:rPr>
                <w:rFonts w:ascii="Arial" w:hAnsi="Arial" w:cs="Arial"/>
                <w:b/>
              </w:rPr>
            </w:pPr>
            <w:r>
              <w:rPr>
                <w:rFonts w:ascii="Arial" w:hAnsi="Arial" w:cs="Arial"/>
                <w:b/>
              </w:rPr>
              <w:t>11</w:t>
            </w:r>
          </w:p>
        </w:tc>
        <w:tc>
          <w:tcPr>
            <w:tcW w:w="8930" w:type="dxa"/>
          </w:tcPr>
          <w:p w14:paraId="4053E709" w14:textId="77777777" w:rsidR="0003243C" w:rsidRPr="00084AA2" w:rsidRDefault="0003243C" w:rsidP="00D4226B">
            <w:pPr>
              <w:jc w:val="both"/>
              <w:rPr>
                <w:rFonts w:ascii="Arial" w:hAnsi="Arial" w:cs="Arial"/>
                <w:b/>
                <w:sz w:val="22"/>
                <w:szCs w:val="22"/>
                <w:lang w:val="es-MX"/>
              </w:rPr>
            </w:pPr>
            <w:r w:rsidRPr="00084AA2">
              <w:rPr>
                <w:rFonts w:ascii="Arial" w:hAnsi="Arial" w:cs="Arial"/>
                <w:b/>
                <w:sz w:val="22"/>
                <w:szCs w:val="22"/>
                <w:lang w:val="es-MX"/>
              </w:rPr>
              <w:t>INSTITUTO COLOMBIANO DE CRÉDITO EDUCATIVO Y ESTUDIOS TÉCNICOS EN EL EXTERIOR “MARIANO OSPINA PEREZ” - ICETEX.</w:t>
            </w:r>
          </w:p>
        </w:tc>
      </w:tr>
      <w:tr w:rsidR="0003243C" w:rsidRPr="004B1294" w14:paraId="2580A312" w14:textId="77777777" w:rsidTr="00D4226B">
        <w:tc>
          <w:tcPr>
            <w:tcW w:w="1560" w:type="dxa"/>
          </w:tcPr>
          <w:p w14:paraId="590B74C3" w14:textId="77777777" w:rsidR="0003243C" w:rsidRDefault="0003243C" w:rsidP="00D4226B">
            <w:pPr>
              <w:tabs>
                <w:tab w:val="left" w:pos="993"/>
              </w:tabs>
              <w:jc w:val="center"/>
              <w:rPr>
                <w:rFonts w:ascii="Arial" w:hAnsi="Arial" w:cs="Arial"/>
                <w:b/>
              </w:rPr>
            </w:pPr>
            <w:r>
              <w:rPr>
                <w:rFonts w:ascii="Arial" w:hAnsi="Arial" w:cs="Arial"/>
                <w:b/>
              </w:rPr>
              <w:t>12</w:t>
            </w:r>
          </w:p>
        </w:tc>
        <w:tc>
          <w:tcPr>
            <w:tcW w:w="8930" w:type="dxa"/>
          </w:tcPr>
          <w:p w14:paraId="278B491D" w14:textId="77777777" w:rsidR="0003243C" w:rsidRPr="000608F7" w:rsidRDefault="0003243C" w:rsidP="00D4226B">
            <w:pPr>
              <w:jc w:val="both"/>
              <w:rPr>
                <w:rFonts w:ascii="Arial" w:hAnsi="Arial" w:cs="Arial"/>
                <w:b/>
                <w:sz w:val="22"/>
                <w:szCs w:val="22"/>
                <w:lang w:val="es-MX"/>
              </w:rPr>
            </w:pPr>
            <w:r w:rsidRPr="000608F7">
              <w:rPr>
                <w:rFonts w:ascii="Arial" w:hAnsi="Arial" w:cs="Arial"/>
                <w:b/>
                <w:sz w:val="22"/>
                <w:szCs w:val="22"/>
                <w:lang w:val="es-MX"/>
              </w:rPr>
              <w:t>FONDO DE PREVISIÓN SOCIAL DEL CONGRESO DE LA REPÚBLICA – ADMINISTRADORA DE PENSIONES Y CESANTÍAS – FONPRECON.</w:t>
            </w:r>
          </w:p>
        </w:tc>
      </w:tr>
      <w:tr w:rsidR="0003243C" w:rsidRPr="004B1294" w14:paraId="474AE986" w14:textId="77777777" w:rsidTr="00D4226B">
        <w:tc>
          <w:tcPr>
            <w:tcW w:w="1560" w:type="dxa"/>
          </w:tcPr>
          <w:p w14:paraId="52FCB298" w14:textId="77777777" w:rsidR="0003243C" w:rsidRDefault="0003243C" w:rsidP="00D4226B">
            <w:pPr>
              <w:tabs>
                <w:tab w:val="left" w:pos="993"/>
              </w:tabs>
              <w:jc w:val="center"/>
              <w:rPr>
                <w:rFonts w:ascii="Arial" w:hAnsi="Arial" w:cs="Arial"/>
                <w:b/>
              </w:rPr>
            </w:pPr>
            <w:r>
              <w:rPr>
                <w:rFonts w:ascii="Arial" w:hAnsi="Arial" w:cs="Arial"/>
                <w:b/>
              </w:rPr>
              <w:t>18</w:t>
            </w:r>
          </w:p>
        </w:tc>
        <w:tc>
          <w:tcPr>
            <w:tcW w:w="8930" w:type="dxa"/>
          </w:tcPr>
          <w:p w14:paraId="435C4EE1" w14:textId="77777777" w:rsidR="0003243C" w:rsidRPr="00E0249F" w:rsidRDefault="0003243C" w:rsidP="00D4226B">
            <w:pPr>
              <w:jc w:val="both"/>
              <w:rPr>
                <w:rFonts w:ascii="Arial" w:hAnsi="Arial" w:cs="Arial"/>
                <w:b/>
                <w:sz w:val="22"/>
                <w:szCs w:val="22"/>
                <w:lang w:val="es-MX"/>
              </w:rPr>
            </w:pPr>
            <w:r w:rsidRPr="00E0249F">
              <w:rPr>
                <w:rFonts w:ascii="Arial" w:hAnsi="Arial" w:cs="Arial"/>
                <w:b/>
                <w:sz w:val="22"/>
                <w:szCs w:val="22"/>
                <w:lang w:val="es-MX"/>
              </w:rPr>
              <w:t>DEPARTAMENTO ADMINISTRATIVO DE LA FUNCIÓN PÚBLICA - DAFP.</w:t>
            </w:r>
          </w:p>
        </w:tc>
      </w:tr>
      <w:tr w:rsidR="0003243C" w:rsidRPr="004B1294" w14:paraId="644B86C3" w14:textId="77777777" w:rsidTr="00D4226B">
        <w:tc>
          <w:tcPr>
            <w:tcW w:w="1560" w:type="dxa"/>
          </w:tcPr>
          <w:p w14:paraId="1FEDA714" w14:textId="77777777" w:rsidR="0003243C" w:rsidRDefault="0003243C" w:rsidP="00D4226B">
            <w:pPr>
              <w:tabs>
                <w:tab w:val="left" w:pos="993"/>
              </w:tabs>
              <w:jc w:val="center"/>
              <w:rPr>
                <w:rFonts w:ascii="Arial" w:hAnsi="Arial" w:cs="Arial"/>
                <w:b/>
              </w:rPr>
            </w:pPr>
            <w:r>
              <w:rPr>
                <w:rFonts w:ascii="Arial" w:hAnsi="Arial" w:cs="Arial"/>
                <w:b/>
              </w:rPr>
              <w:t>22</w:t>
            </w:r>
          </w:p>
        </w:tc>
        <w:tc>
          <w:tcPr>
            <w:tcW w:w="8930" w:type="dxa"/>
          </w:tcPr>
          <w:p w14:paraId="7B2F653B" w14:textId="77777777" w:rsidR="0003243C" w:rsidRPr="00BA3E43" w:rsidRDefault="0003243C" w:rsidP="00D4226B">
            <w:pPr>
              <w:jc w:val="both"/>
              <w:rPr>
                <w:rFonts w:ascii="Arial" w:hAnsi="Arial" w:cs="Arial"/>
                <w:b/>
                <w:sz w:val="22"/>
                <w:szCs w:val="22"/>
                <w:lang w:val="es-MX"/>
              </w:rPr>
            </w:pPr>
            <w:r w:rsidRPr="00BA3E43">
              <w:rPr>
                <w:rFonts w:ascii="Arial" w:hAnsi="Arial" w:cs="Arial"/>
                <w:b/>
                <w:sz w:val="22"/>
                <w:szCs w:val="22"/>
                <w:lang w:val="es-MX"/>
              </w:rPr>
              <w:t>DIRECCIÓN NACIONAL DE BOMBEROS DE COLOMBIA - DNBC.</w:t>
            </w:r>
          </w:p>
        </w:tc>
      </w:tr>
      <w:tr w:rsidR="0003243C" w:rsidRPr="004B1294" w14:paraId="1AD83D80" w14:textId="77777777" w:rsidTr="00D4226B">
        <w:tc>
          <w:tcPr>
            <w:tcW w:w="1560" w:type="dxa"/>
          </w:tcPr>
          <w:p w14:paraId="407DCA45" w14:textId="77777777" w:rsidR="0003243C" w:rsidRDefault="0003243C" w:rsidP="00D4226B">
            <w:pPr>
              <w:tabs>
                <w:tab w:val="left" w:pos="993"/>
              </w:tabs>
              <w:jc w:val="center"/>
              <w:rPr>
                <w:rFonts w:ascii="Arial" w:hAnsi="Arial" w:cs="Arial"/>
                <w:b/>
              </w:rPr>
            </w:pPr>
            <w:r>
              <w:rPr>
                <w:rFonts w:ascii="Arial" w:hAnsi="Arial" w:cs="Arial"/>
                <w:b/>
              </w:rPr>
              <w:t>23</w:t>
            </w:r>
          </w:p>
        </w:tc>
        <w:tc>
          <w:tcPr>
            <w:tcW w:w="8930" w:type="dxa"/>
          </w:tcPr>
          <w:p w14:paraId="34C59454" w14:textId="77777777" w:rsidR="0003243C" w:rsidRPr="00756171" w:rsidRDefault="0003243C" w:rsidP="00D4226B">
            <w:pPr>
              <w:jc w:val="both"/>
              <w:rPr>
                <w:rFonts w:ascii="Arial" w:hAnsi="Arial" w:cs="Arial"/>
                <w:b/>
                <w:sz w:val="22"/>
                <w:szCs w:val="22"/>
                <w:lang w:val="es-MX"/>
              </w:rPr>
            </w:pPr>
            <w:r w:rsidRPr="00756171">
              <w:rPr>
                <w:rFonts w:ascii="Arial" w:hAnsi="Arial" w:cs="Arial"/>
                <w:b/>
                <w:sz w:val="22"/>
                <w:szCs w:val="22"/>
                <w:lang w:val="es-MX"/>
              </w:rPr>
              <w:t>INSTITUTO NACIONAL DE VÍAS - INVÍAS.</w:t>
            </w:r>
          </w:p>
        </w:tc>
      </w:tr>
      <w:tr w:rsidR="0003243C" w:rsidRPr="004B1294" w14:paraId="42AC9231" w14:textId="77777777" w:rsidTr="00D4226B">
        <w:tc>
          <w:tcPr>
            <w:tcW w:w="1560" w:type="dxa"/>
          </w:tcPr>
          <w:p w14:paraId="74BC08F3" w14:textId="77777777" w:rsidR="0003243C" w:rsidRDefault="0003243C" w:rsidP="00D4226B">
            <w:pPr>
              <w:tabs>
                <w:tab w:val="left" w:pos="993"/>
              </w:tabs>
              <w:jc w:val="center"/>
              <w:rPr>
                <w:rFonts w:ascii="Arial" w:hAnsi="Arial" w:cs="Arial"/>
                <w:b/>
              </w:rPr>
            </w:pPr>
            <w:r>
              <w:rPr>
                <w:rFonts w:ascii="Arial" w:hAnsi="Arial" w:cs="Arial"/>
                <w:b/>
              </w:rPr>
              <w:t>25</w:t>
            </w:r>
          </w:p>
        </w:tc>
        <w:tc>
          <w:tcPr>
            <w:tcW w:w="8930" w:type="dxa"/>
          </w:tcPr>
          <w:p w14:paraId="6CB04DFB" w14:textId="77777777" w:rsidR="0003243C" w:rsidRPr="005D3078" w:rsidRDefault="0003243C" w:rsidP="00D4226B">
            <w:pPr>
              <w:jc w:val="both"/>
              <w:rPr>
                <w:rFonts w:ascii="Arial" w:hAnsi="Arial" w:cs="Arial"/>
                <w:b/>
                <w:sz w:val="22"/>
                <w:szCs w:val="22"/>
                <w:lang w:val="es-MX"/>
              </w:rPr>
            </w:pPr>
            <w:r w:rsidRPr="005D3078">
              <w:rPr>
                <w:rFonts w:ascii="Arial" w:hAnsi="Arial" w:cs="Arial"/>
                <w:b/>
                <w:sz w:val="22"/>
                <w:szCs w:val="22"/>
                <w:lang w:val="es-MX"/>
              </w:rPr>
              <w:t>COMISIÓN NACIONAL DEL SERVICIO CIVIL - CNSC.</w:t>
            </w:r>
          </w:p>
        </w:tc>
      </w:tr>
      <w:tr w:rsidR="0003243C" w:rsidRPr="001D1D7E" w14:paraId="46376238" w14:textId="77777777" w:rsidTr="00D4226B">
        <w:tc>
          <w:tcPr>
            <w:tcW w:w="1560" w:type="dxa"/>
          </w:tcPr>
          <w:p w14:paraId="71712CF3" w14:textId="77777777" w:rsidR="0003243C" w:rsidRDefault="0003243C" w:rsidP="00D4226B">
            <w:pPr>
              <w:tabs>
                <w:tab w:val="left" w:pos="993"/>
              </w:tabs>
              <w:jc w:val="center"/>
              <w:rPr>
                <w:rFonts w:ascii="Arial" w:hAnsi="Arial" w:cs="Arial"/>
                <w:b/>
              </w:rPr>
            </w:pPr>
            <w:r>
              <w:rPr>
                <w:rFonts w:ascii="Arial" w:hAnsi="Arial" w:cs="Arial"/>
                <w:b/>
              </w:rPr>
              <w:t>27</w:t>
            </w:r>
          </w:p>
        </w:tc>
        <w:tc>
          <w:tcPr>
            <w:tcW w:w="8930" w:type="dxa"/>
          </w:tcPr>
          <w:p w14:paraId="1DD66D9A" w14:textId="77777777" w:rsidR="0003243C" w:rsidRPr="001D1D7E" w:rsidRDefault="0003243C" w:rsidP="00D4226B">
            <w:pPr>
              <w:jc w:val="both"/>
              <w:rPr>
                <w:rFonts w:ascii="Arial" w:hAnsi="Arial" w:cs="Arial"/>
                <w:b/>
                <w:sz w:val="22"/>
                <w:szCs w:val="22"/>
                <w:lang w:val="es-MX"/>
              </w:rPr>
            </w:pPr>
            <w:r w:rsidRPr="001D1D7E">
              <w:rPr>
                <w:rFonts w:ascii="Arial" w:hAnsi="Arial" w:cs="Arial"/>
                <w:b/>
                <w:sz w:val="22"/>
                <w:szCs w:val="22"/>
                <w:lang w:val="es-MX"/>
              </w:rPr>
              <w:t>INSTITUTO NACIONAL DE METROLOGÍA DE COLOMBIA - INMC.</w:t>
            </w:r>
          </w:p>
        </w:tc>
      </w:tr>
      <w:tr w:rsidR="0003243C" w:rsidRPr="001D1D7E" w14:paraId="50C20293" w14:textId="77777777" w:rsidTr="00D4226B">
        <w:tc>
          <w:tcPr>
            <w:tcW w:w="1560" w:type="dxa"/>
          </w:tcPr>
          <w:p w14:paraId="55BFDDCD" w14:textId="77777777" w:rsidR="0003243C" w:rsidRDefault="0003243C" w:rsidP="00D4226B">
            <w:pPr>
              <w:tabs>
                <w:tab w:val="left" w:pos="993"/>
              </w:tabs>
              <w:jc w:val="center"/>
              <w:rPr>
                <w:rFonts w:ascii="Arial" w:hAnsi="Arial" w:cs="Arial"/>
                <w:b/>
              </w:rPr>
            </w:pPr>
            <w:r>
              <w:rPr>
                <w:rFonts w:ascii="Arial" w:hAnsi="Arial" w:cs="Arial"/>
                <w:b/>
              </w:rPr>
              <w:t>28</w:t>
            </w:r>
          </w:p>
        </w:tc>
        <w:tc>
          <w:tcPr>
            <w:tcW w:w="8930" w:type="dxa"/>
          </w:tcPr>
          <w:p w14:paraId="3CACEB0C" w14:textId="77777777" w:rsidR="0003243C" w:rsidRPr="00A60CE7" w:rsidRDefault="0003243C" w:rsidP="00D4226B">
            <w:pPr>
              <w:ind w:left="464" w:hanging="465"/>
              <w:jc w:val="both"/>
              <w:rPr>
                <w:rFonts w:ascii="Arial" w:hAnsi="Arial" w:cs="Arial"/>
                <w:b/>
                <w:sz w:val="22"/>
                <w:szCs w:val="22"/>
                <w:lang w:val="es-MX"/>
              </w:rPr>
            </w:pPr>
            <w:r w:rsidRPr="00A60CE7">
              <w:rPr>
                <w:rFonts w:ascii="Arial" w:hAnsi="Arial" w:cs="Arial"/>
                <w:b/>
                <w:sz w:val="22"/>
                <w:szCs w:val="22"/>
                <w:lang w:val="es-MX"/>
              </w:rPr>
              <w:t>SUPERINTENDENCIA DE SOCIEDADES - SUPERSOCIEDADES.</w:t>
            </w:r>
          </w:p>
        </w:tc>
      </w:tr>
      <w:tr w:rsidR="0003243C" w:rsidRPr="001D1D7E" w14:paraId="37A13680" w14:textId="77777777" w:rsidTr="00D4226B">
        <w:tc>
          <w:tcPr>
            <w:tcW w:w="1560" w:type="dxa"/>
          </w:tcPr>
          <w:p w14:paraId="3DE9ABBA" w14:textId="77777777" w:rsidR="0003243C" w:rsidRDefault="0003243C" w:rsidP="00D4226B">
            <w:pPr>
              <w:tabs>
                <w:tab w:val="left" w:pos="993"/>
              </w:tabs>
              <w:jc w:val="center"/>
              <w:rPr>
                <w:rFonts w:ascii="Arial" w:hAnsi="Arial" w:cs="Arial"/>
                <w:b/>
              </w:rPr>
            </w:pPr>
            <w:r>
              <w:rPr>
                <w:rFonts w:ascii="Arial" w:hAnsi="Arial" w:cs="Arial"/>
                <w:b/>
              </w:rPr>
              <w:t>32</w:t>
            </w:r>
          </w:p>
        </w:tc>
        <w:tc>
          <w:tcPr>
            <w:tcW w:w="8930" w:type="dxa"/>
          </w:tcPr>
          <w:p w14:paraId="486DCEBE" w14:textId="77777777" w:rsidR="0003243C" w:rsidRPr="001C2F33" w:rsidRDefault="0003243C" w:rsidP="00D4226B">
            <w:pPr>
              <w:jc w:val="both"/>
              <w:rPr>
                <w:rFonts w:ascii="Arial" w:hAnsi="Arial" w:cs="Arial"/>
                <w:b/>
                <w:sz w:val="22"/>
                <w:szCs w:val="22"/>
                <w:lang w:val="es-MX"/>
              </w:rPr>
            </w:pPr>
            <w:r w:rsidRPr="001C2F33">
              <w:rPr>
                <w:rFonts w:ascii="Arial" w:hAnsi="Arial" w:cs="Arial"/>
                <w:b/>
                <w:sz w:val="22"/>
                <w:szCs w:val="22"/>
                <w:lang w:val="es-MX"/>
              </w:rPr>
              <w:t>AUDITORÍA GENERAL DE LA REPÚBLICA.</w:t>
            </w:r>
          </w:p>
        </w:tc>
      </w:tr>
      <w:tr w:rsidR="0003243C" w:rsidRPr="001D1D7E" w14:paraId="36A7B4D2" w14:textId="77777777" w:rsidTr="00D4226B">
        <w:tc>
          <w:tcPr>
            <w:tcW w:w="1560" w:type="dxa"/>
          </w:tcPr>
          <w:p w14:paraId="3EB4A06C" w14:textId="77777777" w:rsidR="0003243C" w:rsidRDefault="0003243C" w:rsidP="00D4226B">
            <w:pPr>
              <w:tabs>
                <w:tab w:val="left" w:pos="993"/>
              </w:tabs>
              <w:jc w:val="center"/>
              <w:rPr>
                <w:rFonts w:ascii="Arial" w:hAnsi="Arial" w:cs="Arial"/>
                <w:b/>
              </w:rPr>
            </w:pPr>
            <w:r>
              <w:rPr>
                <w:rFonts w:ascii="Arial" w:hAnsi="Arial" w:cs="Arial"/>
                <w:b/>
              </w:rPr>
              <w:t>35</w:t>
            </w:r>
          </w:p>
        </w:tc>
        <w:tc>
          <w:tcPr>
            <w:tcW w:w="8930" w:type="dxa"/>
          </w:tcPr>
          <w:p w14:paraId="327B137F" w14:textId="77777777" w:rsidR="0003243C" w:rsidRPr="00423EBC" w:rsidRDefault="0003243C" w:rsidP="00D4226B">
            <w:pPr>
              <w:jc w:val="both"/>
              <w:rPr>
                <w:rFonts w:ascii="Arial" w:hAnsi="Arial" w:cs="Arial"/>
                <w:b/>
                <w:sz w:val="22"/>
                <w:szCs w:val="22"/>
                <w:lang w:val="es-MX"/>
              </w:rPr>
            </w:pPr>
            <w:r w:rsidRPr="00423EBC">
              <w:rPr>
                <w:rFonts w:ascii="Arial" w:hAnsi="Arial" w:cs="Arial"/>
                <w:b/>
                <w:sz w:val="22"/>
                <w:szCs w:val="22"/>
                <w:lang w:val="es-MX"/>
              </w:rPr>
              <w:t>CORPORACIÓN AUTÓNOMA REGIONAL DEL MAGDALENA - CORPAMAG.</w:t>
            </w:r>
          </w:p>
        </w:tc>
      </w:tr>
      <w:tr w:rsidR="0003243C" w:rsidRPr="001D1D7E" w14:paraId="635531F0" w14:textId="77777777" w:rsidTr="00D4226B">
        <w:tc>
          <w:tcPr>
            <w:tcW w:w="1560" w:type="dxa"/>
          </w:tcPr>
          <w:p w14:paraId="5AD0B348" w14:textId="77777777" w:rsidR="0003243C" w:rsidRDefault="0003243C" w:rsidP="00D4226B">
            <w:pPr>
              <w:tabs>
                <w:tab w:val="left" w:pos="993"/>
              </w:tabs>
              <w:jc w:val="center"/>
              <w:rPr>
                <w:rFonts w:ascii="Arial" w:hAnsi="Arial" w:cs="Arial"/>
                <w:b/>
              </w:rPr>
            </w:pPr>
            <w:r>
              <w:rPr>
                <w:rFonts w:ascii="Arial" w:hAnsi="Arial" w:cs="Arial"/>
                <w:b/>
              </w:rPr>
              <w:t>37</w:t>
            </w:r>
          </w:p>
        </w:tc>
        <w:tc>
          <w:tcPr>
            <w:tcW w:w="8930" w:type="dxa"/>
          </w:tcPr>
          <w:p w14:paraId="137AA694" w14:textId="77777777" w:rsidR="0003243C" w:rsidRPr="00DE652B" w:rsidRDefault="0003243C" w:rsidP="00D4226B">
            <w:pPr>
              <w:jc w:val="both"/>
              <w:rPr>
                <w:rFonts w:ascii="Arial" w:hAnsi="Arial" w:cs="Arial"/>
                <w:b/>
                <w:sz w:val="22"/>
                <w:szCs w:val="22"/>
              </w:rPr>
            </w:pPr>
            <w:r w:rsidRPr="00DE652B">
              <w:rPr>
                <w:rFonts w:ascii="Arial" w:hAnsi="Arial" w:cs="Arial"/>
                <w:b/>
                <w:sz w:val="22"/>
                <w:szCs w:val="22"/>
              </w:rPr>
              <w:t>AGENCIA NACIONAL DE INFRAESTRUCTURA - ANI.</w:t>
            </w:r>
          </w:p>
        </w:tc>
      </w:tr>
      <w:tr w:rsidR="0003243C" w:rsidRPr="001D1D7E" w14:paraId="2294DF1D" w14:textId="77777777" w:rsidTr="00D4226B">
        <w:tc>
          <w:tcPr>
            <w:tcW w:w="1560" w:type="dxa"/>
          </w:tcPr>
          <w:p w14:paraId="5669AA8A" w14:textId="77777777" w:rsidR="0003243C" w:rsidRDefault="0003243C" w:rsidP="00D4226B">
            <w:pPr>
              <w:tabs>
                <w:tab w:val="left" w:pos="993"/>
              </w:tabs>
              <w:jc w:val="center"/>
              <w:rPr>
                <w:rFonts w:ascii="Arial" w:hAnsi="Arial" w:cs="Arial"/>
                <w:b/>
              </w:rPr>
            </w:pPr>
            <w:r>
              <w:rPr>
                <w:rFonts w:ascii="Arial" w:hAnsi="Arial" w:cs="Arial"/>
                <w:b/>
              </w:rPr>
              <w:t>38</w:t>
            </w:r>
          </w:p>
        </w:tc>
        <w:tc>
          <w:tcPr>
            <w:tcW w:w="8930" w:type="dxa"/>
          </w:tcPr>
          <w:p w14:paraId="2EC04E9E" w14:textId="77777777" w:rsidR="0003243C" w:rsidRPr="00FE57F5" w:rsidRDefault="0003243C" w:rsidP="00D4226B">
            <w:pPr>
              <w:jc w:val="both"/>
              <w:rPr>
                <w:rFonts w:ascii="Arial" w:hAnsi="Arial" w:cs="Arial"/>
                <w:b/>
                <w:sz w:val="22"/>
                <w:szCs w:val="22"/>
                <w:lang w:val="es-MX"/>
              </w:rPr>
            </w:pPr>
            <w:r w:rsidRPr="00FE57F5">
              <w:rPr>
                <w:rFonts w:ascii="Arial" w:hAnsi="Arial" w:cs="Arial"/>
                <w:b/>
                <w:sz w:val="22"/>
                <w:szCs w:val="22"/>
                <w:lang w:val="es-MX"/>
              </w:rPr>
              <w:t xml:space="preserve">SUPERINTENDENCIA NACIONAL DE SALUD – SUPERSALUD. </w:t>
            </w:r>
          </w:p>
        </w:tc>
      </w:tr>
      <w:tr w:rsidR="0003243C" w:rsidRPr="001D1D7E" w14:paraId="57A80ADC" w14:textId="77777777" w:rsidTr="00D4226B">
        <w:tc>
          <w:tcPr>
            <w:tcW w:w="1560" w:type="dxa"/>
          </w:tcPr>
          <w:p w14:paraId="44401B99" w14:textId="77777777" w:rsidR="0003243C" w:rsidRDefault="0003243C" w:rsidP="00D4226B">
            <w:pPr>
              <w:tabs>
                <w:tab w:val="left" w:pos="993"/>
              </w:tabs>
              <w:jc w:val="center"/>
              <w:rPr>
                <w:rFonts w:ascii="Arial" w:hAnsi="Arial" w:cs="Arial"/>
                <w:b/>
              </w:rPr>
            </w:pPr>
            <w:r>
              <w:rPr>
                <w:rFonts w:ascii="Arial" w:hAnsi="Arial" w:cs="Arial"/>
                <w:b/>
              </w:rPr>
              <w:t>40</w:t>
            </w:r>
          </w:p>
        </w:tc>
        <w:tc>
          <w:tcPr>
            <w:tcW w:w="8930" w:type="dxa"/>
          </w:tcPr>
          <w:p w14:paraId="6A6FA208" w14:textId="77777777" w:rsidR="0003243C" w:rsidRPr="00670B04" w:rsidRDefault="0003243C" w:rsidP="00D4226B">
            <w:pPr>
              <w:ind w:left="-103"/>
              <w:jc w:val="both"/>
              <w:rPr>
                <w:rFonts w:ascii="Arial" w:hAnsi="Arial" w:cs="Arial"/>
                <w:b/>
                <w:sz w:val="22"/>
                <w:szCs w:val="22"/>
                <w:lang w:val="es-MX"/>
              </w:rPr>
            </w:pPr>
            <w:r w:rsidRPr="00670B04">
              <w:rPr>
                <w:rFonts w:ascii="Arial" w:hAnsi="Arial" w:cs="Arial"/>
                <w:b/>
                <w:sz w:val="22"/>
                <w:szCs w:val="22"/>
                <w:lang w:val="es-MX"/>
              </w:rPr>
              <w:t xml:space="preserve"> </w:t>
            </w:r>
            <w:r>
              <w:rPr>
                <w:rFonts w:ascii="Arial" w:hAnsi="Arial" w:cs="Arial"/>
                <w:b/>
                <w:sz w:val="22"/>
                <w:szCs w:val="22"/>
                <w:lang w:val="es-MX"/>
              </w:rPr>
              <w:t xml:space="preserve"> </w:t>
            </w:r>
            <w:r w:rsidRPr="00670B04">
              <w:rPr>
                <w:rFonts w:ascii="Arial" w:hAnsi="Arial" w:cs="Arial"/>
                <w:b/>
                <w:sz w:val="22"/>
                <w:szCs w:val="22"/>
                <w:lang w:val="es-MX"/>
              </w:rPr>
              <w:t>MINISTERIO DE TRANSPORTE.</w:t>
            </w:r>
          </w:p>
        </w:tc>
      </w:tr>
      <w:tr w:rsidR="0003243C" w:rsidRPr="001D1D7E" w14:paraId="11D5F711" w14:textId="77777777" w:rsidTr="00D4226B">
        <w:tc>
          <w:tcPr>
            <w:tcW w:w="1560" w:type="dxa"/>
          </w:tcPr>
          <w:p w14:paraId="64B580B9" w14:textId="77777777" w:rsidR="0003243C" w:rsidRDefault="0003243C" w:rsidP="00D4226B">
            <w:pPr>
              <w:tabs>
                <w:tab w:val="left" w:pos="993"/>
              </w:tabs>
              <w:jc w:val="center"/>
              <w:rPr>
                <w:rFonts w:ascii="Arial" w:hAnsi="Arial" w:cs="Arial"/>
                <w:b/>
              </w:rPr>
            </w:pPr>
            <w:r>
              <w:rPr>
                <w:rFonts w:ascii="Arial" w:hAnsi="Arial" w:cs="Arial"/>
                <w:b/>
              </w:rPr>
              <w:t>42</w:t>
            </w:r>
          </w:p>
        </w:tc>
        <w:tc>
          <w:tcPr>
            <w:tcW w:w="8930" w:type="dxa"/>
          </w:tcPr>
          <w:p w14:paraId="22181B24" w14:textId="77777777" w:rsidR="0003243C" w:rsidRPr="000D285C" w:rsidRDefault="0003243C" w:rsidP="00D4226B">
            <w:pPr>
              <w:ind w:left="-103"/>
              <w:jc w:val="both"/>
              <w:rPr>
                <w:rFonts w:ascii="Arial" w:hAnsi="Arial" w:cs="Arial"/>
                <w:b/>
                <w:sz w:val="22"/>
                <w:szCs w:val="22"/>
              </w:rPr>
            </w:pPr>
            <w:r w:rsidRPr="000D285C">
              <w:rPr>
                <w:rFonts w:ascii="Arial" w:hAnsi="Arial" w:cs="Arial"/>
                <w:b/>
                <w:sz w:val="22"/>
                <w:szCs w:val="22"/>
                <w:lang w:val="es-MX"/>
              </w:rPr>
              <w:t xml:space="preserve"> </w:t>
            </w:r>
            <w:r>
              <w:rPr>
                <w:rFonts w:ascii="Arial" w:hAnsi="Arial" w:cs="Arial"/>
                <w:b/>
                <w:sz w:val="22"/>
                <w:szCs w:val="22"/>
                <w:lang w:val="es-MX"/>
              </w:rPr>
              <w:t xml:space="preserve"> </w:t>
            </w:r>
            <w:r w:rsidRPr="000D285C">
              <w:rPr>
                <w:rFonts w:ascii="Arial" w:hAnsi="Arial" w:cs="Arial"/>
                <w:b/>
                <w:sz w:val="22"/>
                <w:szCs w:val="22"/>
              </w:rPr>
              <w:t>MINISTERIO DE AMBIENTE Y DESARROLLO SOSTENIBLE.</w:t>
            </w:r>
          </w:p>
        </w:tc>
      </w:tr>
      <w:tr w:rsidR="0003243C" w:rsidRPr="001D1D7E" w14:paraId="79008B58" w14:textId="77777777" w:rsidTr="00D4226B">
        <w:tc>
          <w:tcPr>
            <w:tcW w:w="1560" w:type="dxa"/>
          </w:tcPr>
          <w:p w14:paraId="5874097C" w14:textId="77777777" w:rsidR="0003243C" w:rsidRDefault="0003243C" w:rsidP="00D4226B">
            <w:pPr>
              <w:tabs>
                <w:tab w:val="left" w:pos="993"/>
              </w:tabs>
              <w:jc w:val="center"/>
              <w:rPr>
                <w:rFonts w:ascii="Arial" w:hAnsi="Arial" w:cs="Arial"/>
                <w:b/>
              </w:rPr>
            </w:pPr>
            <w:r>
              <w:rPr>
                <w:rFonts w:ascii="Arial" w:hAnsi="Arial" w:cs="Arial"/>
                <w:b/>
              </w:rPr>
              <w:t>43</w:t>
            </w:r>
          </w:p>
        </w:tc>
        <w:tc>
          <w:tcPr>
            <w:tcW w:w="8930" w:type="dxa"/>
          </w:tcPr>
          <w:p w14:paraId="769CD0BB" w14:textId="77777777" w:rsidR="0003243C" w:rsidRPr="00953271" w:rsidRDefault="0003243C" w:rsidP="00D4226B">
            <w:pPr>
              <w:jc w:val="both"/>
              <w:rPr>
                <w:rFonts w:ascii="Arial" w:hAnsi="Arial" w:cs="Arial"/>
                <w:b/>
                <w:sz w:val="22"/>
                <w:szCs w:val="22"/>
                <w:lang w:val="es-MX"/>
              </w:rPr>
            </w:pPr>
            <w:r w:rsidRPr="00953271">
              <w:rPr>
                <w:rFonts w:ascii="Arial" w:hAnsi="Arial" w:cs="Arial"/>
                <w:b/>
                <w:sz w:val="22"/>
                <w:szCs w:val="22"/>
                <w:lang w:val="es-MX"/>
              </w:rPr>
              <w:t>CÁMARA DE REPRESENTANTES.</w:t>
            </w:r>
          </w:p>
        </w:tc>
      </w:tr>
      <w:tr w:rsidR="0003243C" w:rsidRPr="001D1D7E" w14:paraId="1EB0AED9" w14:textId="77777777" w:rsidTr="00D4226B">
        <w:tc>
          <w:tcPr>
            <w:tcW w:w="1560" w:type="dxa"/>
          </w:tcPr>
          <w:p w14:paraId="24EEA116" w14:textId="77777777" w:rsidR="0003243C" w:rsidRDefault="0003243C" w:rsidP="00D4226B">
            <w:pPr>
              <w:tabs>
                <w:tab w:val="left" w:pos="993"/>
              </w:tabs>
              <w:jc w:val="center"/>
              <w:rPr>
                <w:rFonts w:ascii="Arial" w:hAnsi="Arial" w:cs="Arial"/>
                <w:b/>
              </w:rPr>
            </w:pPr>
            <w:r>
              <w:rPr>
                <w:rFonts w:ascii="Arial" w:hAnsi="Arial" w:cs="Arial"/>
                <w:b/>
              </w:rPr>
              <w:t>45</w:t>
            </w:r>
          </w:p>
        </w:tc>
        <w:tc>
          <w:tcPr>
            <w:tcW w:w="8930" w:type="dxa"/>
          </w:tcPr>
          <w:p w14:paraId="71A6950B" w14:textId="77777777" w:rsidR="0003243C" w:rsidRPr="00953271" w:rsidRDefault="0003243C" w:rsidP="00D4226B">
            <w:pPr>
              <w:jc w:val="both"/>
              <w:rPr>
                <w:rFonts w:ascii="Arial" w:hAnsi="Arial" w:cs="Arial"/>
                <w:b/>
                <w:lang w:val="es-MX"/>
              </w:rPr>
            </w:pPr>
            <w:r w:rsidRPr="009F2386">
              <w:rPr>
                <w:rFonts w:ascii="Arial" w:hAnsi="Arial" w:cs="Arial"/>
                <w:b/>
                <w:sz w:val="22"/>
                <w:szCs w:val="22"/>
                <w:lang w:val="es-MX"/>
              </w:rPr>
              <w:t>U.A.E INSTITUTO NACIONAL DE ACUICULTURA Y PESCA - AUNAP.</w:t>
            </w:r>
          </w:p>
        </w:tc>
      </w:tr>
      <w:tr w:rsidR="0003243C" w:rsidRPr="001D1D7E" w14:paraId="4AF4F9A1" w14:textId="77777777" w:rsidTr="00D4226B">
        <w:tc>
          <w:tcPr>
            <w:tcW w:w="1560" w:type="dxa"/>
          </w:tcPr>
          <w:p w14:paraId="7B308B60" w14:textId="77777777" w:rsidR="0003243C" w:rsidRDefault="0003243C" w:rsidP="00D4226B">
            <w:pPr>
              <w:tabs>
                <w:tab w:val="left" w:pos="993"/>
              </w:tabs>
              <w:jc w:val="center"/>
              <w:rPr>
                <w:rFonts w:ascii="Arial" w:hAnsi="Arial" w:cs="Arial"/>
                <w:b/>
              </w:rPr>
            </w:pPr>
            <w:r>
              <w:rPr>
                <w:rFonts w:ascii="Arial" w:hAnsi="Arial" w:cs="Arial"/>
                <w:b/>
              </w:rPr>
              <w:t>46</w:t>
            </w:r>
          </w:p>
        </w:tc>
        <w:tc>
          <w:tcPr>
            <w:tcW w:w="8930" w:type="dxa"/>
          </w:tcPr>
          <w:p w14:paraId="105FEC32" w14:textId="77777777" w:rsidR="0003243C" w:rsidRPr="002D4EF3" w:rsidRDefault="0003243C" w:rsidP="00D4226B">
            <w:pPr>
              <w:jc w:val="both"/>
              <w:rPr>
                <w:rFonts w:ascii="Arial" w:hAnsi="Arial" w:cs="Arial"/>
                <w:b/>
                <w:sz w:val="22"/>
                <w:szCs w:val="22"/>
              </w:rPr>
            </w:pPr>
            <w:r w:rsidRPr="002D4EF3">
              <w:rPr>
                <w:rFonts w:ascii="Arial" w:hAnsi="Arial" w:cs="Arial"/>
                <w:b/>
                <w:sz w:val="22"/>
                <w:szCs w:val="22"/>
              </w:rPr>
              <w:t>MINISTERIO DE TECNOLOGÍAS DE LA INFORMACIÓN Y LAS COMUNICACIONES – MINTIC.</w:t>
            </w:r>
          </w:p>
        </w:tc>
      </w:tr>
      <w:tr w:rsidR="0003243C" w:rsidRPr="001D1D7E" w14:paraId="447C203F" w14:textId="77777777" w:rsidTr="00D4226B">
        <w:tc>
          <w:tcPr>
            <w:tcW w:w="1560" w:type="dxa"/>
          </w:tcPr>
          <w:p w14:paraId="3319698F" w14:textId="77777777" w:rsidR="0003243C" w:rsidRDefault="0003243C" w:rsidP="00D4226B">
            <w:pPr>
              <w:tabs>
                <w:tab w:val="left" w:pos="993"/>
              </w:tabs>
              <w:jc w:val="center"/>
              <w:rPr>
                <w:rFonts w:ascii="Arial" w:hAnsi="Arial" w:cs="Arial"/>
                <w:b/>
              </w:rPr>
            </w:pPr>
            <w:r>
              <w:rPr>
                <w:rFonts w:ascii="Arial" w:hAnsi="Arial" w:cs="Arial"/>
                <w:b/>
              </w:rPr>
              <w:t>48</w:t>
            </w:r>
          </w:p>
        </w:tc>
        <w:tc>
          <w:tcPr>
            <w:tcW w:w="8930" w:type="dxa"/>
          </w:tcPr>
          <w:p w14:paraId="70F36525" w14:textId="77777777" w:rsidR="0003243C" w:rsidRPr="00641CD5" w:rsidRDefault="0003243C" w:rsidP="00D4226B">
            <w:pPr>
              <w:jc w:val="both"/>
              <w:rPr>
                <w:rFonts w:ascii="Arial" w:hAnsi="Arial" w:cs="Arial"/>
                <w:b/>
                <w:sz w:val="22"/>
                <w:szCs w:val="22"/>
                <w:lang w:val="es-MX"/>
              </w:rPr>
            </w:pPr>
            <w:r w:rsidRPr="00641CD5">
              <w:rPr>
                <w:rFonts w:ascii="Arial" w:hAnsi="Arial" w:cs="Arial"/>
                <w:b/>
                <w:sz w:val="22"/>
                <w:szCs w:val="22"/>
                <w:lang w:val="es-MX"/>
              </w:rPr>
              <w:t>SOCIEDAD DE TELEVISIÓN DE LAS ISLAS LTDA – TELEISLAS LTDA.</w:t>
            </w:r>
          </w:p>
        </w:tc>
      </w:tr>
      <w:tr w:rsidR="0003243C" w:rsidRPr="001D1D7E" w14:paraId="11FF95FA" w14:textId="77777777" w:rsidTr="00D4226B">
        <w:tc>
          <w:tcPr>
            <w:tcW w:w="1560" w:type="dxa"/>
          </w:tcPr>
          <w:p w14:paraId="68EDE8A0" w14:textId="77777777" w:rsidR="0003243C" w:rsidRDefault="0003243C" w:rsidP="00D4226B">
            <w:pPr>
              <w:tabs>
                <w:tab w:val="left" w:pos="993"/>
              </w:tabs>
              <w:jc w:val="center"/>
              <w:rPr>
                <w:rFonts w:ascii="Arial" w:hAnsi="Arial" w:cs="Arial"/>
                <w:b/>
              </w:rPr>
            </w:pPr>
            <w:r>
              <w:rPr>
                <w:rFonts w:ascii="Arial" w:hAnsi="Arial" w:cs="Arial"/>
                <w:b/>
              </w:rPr>
              <w:t>50</w:t>
            </w:r>
          </w:p>
        </w:tc>
        <w:tc>
          <w:tcPr>
            <w:tcW w:w="8930" w:type="dxa"/>
          </w:tcPr>
          <w:p w14:paraId="0A0236DE" w14:textId="77777777" w:rsidR="0003243C" w:rsidRPr="00641CD5" w:rsidRDefault="0003243C" w:rsidP="00D4226B">
            <w:pPr>
              <w:jc w:val="both"/>
              <w:rPr>
                <w:rFonts w:ascii="Arial" w:hAnsi="Arial" w:cs="Arial"/>
                <w:b/>
                <w:lang w:val="es-MX"/>
              </w:rPr>
            </w:pPr>
            <w:r w:rsidRPr="00C55B1E">
              <w:rPr>
                <w:rFonts w:ascii="Arial" w:hAnsi="Arial" w:cs="Arial"/>
                <w:b/>
                <w:sz w:val="22"/>
                <w:szCs w:val="22"/>
                <w:lang w:val="es-MX"/>
              </w:rPr>
              <w:t>CORPORACIÓN AUTÓNOMA REGIONAL DE CHIVOR – CORPOCHIVOR.</w:t>
            </w:r>
          </w:p>
        </w:tc>
      </w:tr>
      <w:tr w:rsidR="0003243C" w:rsidRPr="001D1D7E" w14:paraId="133B89D3" w14:textId="77777777" w:rsidTr="00D4226B">
        <w:tc>
          <w:tcPr>
            <w:tcW w:w="1560" w:type="dxa"/>
          </w:tcPr>
          <w:p w14:paraId="15295B8F" w14:textId="77777777" w:rsidR="0003243C" w:rsidRDefault="0003243C" w:rsidP="00D4226B">
            <w:pPr>
              <w:tabs>
                <w:tab w:val="left" w:pos="993"/>
              </w:tabs>
              <w:jc w:val="center"/>
              <w:rPr>
                <w:rFonts w:ascii="Arial" w:hAnsi="Arial" w:cs="Arial"/>
                <w:b/>
              </w:rPr>
            </w:pPr>
            <w:r>
              <w:rPr>
                <w:rFonts w:ascii="Arial" w:hAnsi="Arial" w:cs="Arial"/>
                <w:b/>
              </w:rPr>
              <w:t>51</w:t>
            </w:r>
          </w:p>
        </w:tc>
        <w:tc>
          <w:tcPr>
            <w:tcW w:w="8930" w:type="dxa"/>
          </w:tcPr>
          <w:p w14:paraId="6EAA3837" w14:textId="77777777" w:rsidR="0003243C" w:rsidRPr="002220D8" w:rsidRDefault="0003243C" w:rsidP="00D4226B">
            <w:pPr>
              <w:jc w:val="both"/>
              <w:rPr>
                <w:rFonts w:ascii="Arial" w:hAnsi="Arial" w:cs="Arial"/>
                <w:b/>
                <w:sz w:val="22"/>
                <w:szCs w:val="22"/>
                <w:lang w:val="es-MX"/>
              </w:rPr>
            </w:pPr>
            <w:r w:rsidRPr="004D4028">
              <w:rPr>
                <w:rFonts w:ascii="Arial" w:hAnsi="Arial" w:cs="Arial"/>
                <w:b/>
                <w:sz w:val="22"/>
                <w:szCs w:val="22"/>
                <w:lang w:val="es-MX"/>
              </w:rPr>
              <w:t>INSTITUTO GEOGRÁFICO AGUSTIN CODAZZI - IGAC.</w:t>
            </w:r>
          </w:p>
        </w:tc>
      </w:tr>
      <w:tr w:rsidR="0003243C" w:rsidRPr="001D1D7E" w14:paraId="7CC604FD" w14:textId="77777777" w:rsidTr="00D4226B">
        <w:tc>
          <w:tcPr>
            <w:tcW w:w="1560" w:type="dxa"/>
          </w:tcPr>
          <w:p w14:paraId="6E23103B" w14:textId="77777777" w:rsidR="0003243C" w:rsidRDefault="0003243C" w:rsidP="00D4226B">
            <w:pPr>
              <w:tabs>
                <w:tab w:val="left" w:pos="993"/>
              </w:tabs>
              <w:jc w:val="center"/>
              <w:rPr>
                <w:rFonts w:ascii="Arial" w:hAnsi="Arial" w:cs="Arial"/>
                <w:b/>
              </w:rPr>
            </w:pPr>
            <w:r>
              <w:rPr>
                <w:rFonts w:ascii="Arial" w:hAnsi="Arial" w:cs="Arial"/>
                <w:b/>
              </w:rPr>
              <w:t>53</w:t>
            </w:r>
          </w:p>
        </w:tc>
        <w:tc>
          <w:tcPr>
            <w:tcW w:w="8930" w:type="dxa"/>
          </w:tcPr>
          <w:p w14:paraId="5232AA8F" w14:textId="77777777" w:rsidR="0003243C" w:rsidRPr="00B75000" w:rsidRDefault="0003243C" w:rsidP="00D4226B">
            <w:pPr>
              <w:jc w:val="both"/>
              <w:rPr>
                <w:rFonts w:ascii="Arial" w:hAnsi="Arial" w:cs="Arial"/>
                <w:b/>
                <w:sz w:val="22"/>
                <w:szCs w:val="22"/>
                <w:lang w:val="es-MX"/>
              </w:rPr>
            </w:pPr>
            <w:r w:rsidRPr="00B75000">
              <w:rPr>
                <w:rFonts w:ascii="Arial" w:hAnsi="Arial" w:cs="Arial"/>
                <w:b/>
                <w:sz w:val="22"/>
                <w:szCs w:val="22"/>
                <w:lang w:val="es-MX"/>
              </w:rPr>
              <w:t>CORPORACIÓN DE LA INDUSTRIA AERONAUTICA COLOMBIANA S.A. - CIAC.</w:t>
            </w:r>
          </w:p>
        </w:tc>
      </w:tr>
      <w:tr w:rsidR="0003243C" w:rsidRPr="001D1D7E" w14:paraId="3420EF50" w14:textId="77777777" w:rsidTr="00D4226B">
        <w:tc>
          <w:tcPr>
            <w:tcW w:w="1560" w:type="dxa"/>
          </w:tcPr>
          <w:p w14:paraId="53BA6455" w14:textId="77777777" w:rsidR="0003243C" w:rsidRDefault="0003243C" w:rsidP="00D4226B">
            <w:pPr>
              <w:tabs>
                <w:tab w:val="left" w:pos="993"/>
              </w:tabs>
              <w:jc w:val="center"/>
              <w:rPr>
                <w:rFonts w:ascii="Arial" w:hAnsi="Arial" w:cs="Arial"/>
                <w:b/>
              </w:rPr>
            </w:pPr>
            <w:r>
              <w:rPr>
                <w:rFonts w:ascii="Arial" w:hAnsi="Arial" w:cs="Arial"/>
                <w:b/>
              </w:rPr>
              <w:t>54</w:t>
            </w:r>
          </w:p>
        </w:tc>
        <w:tc>
          <w:tcPr>
            <w:tcW w:w="8930" w:type="dxa"/>
          </w:tcPr>
          <w:p w14:paraId="30A7E5A0" w14:textId="77777777" w:rsidR="0003243C" w:rsidRPr="00DE6335" w:rsidRDefault="0003243C" w:rsidP="00D4226B">
            <w:pPr>
              <w:jc w:val="both"/>
              <w:rPr>
                <w:rFonts w:ascii="Arial" w:hAnsi="Arial" w:cs="Arial"/>
                <w:b/>
                <w:sz w:val="22"/>
                <w:szCs w:val="22"/>
                <w:lang w:val="es-MX"/>
              </w:rPr>
            </w:pPr>
            <w:r w:rsidRPr="00DE6335">
              <w:rPr>
                <w:rFonts w:ascii="Arial" w:hAnsi="Arial" w:cs="Arial"/>
                <w:b/>
                <w:sz w:val="22"/>
                <w:szCs w:val="22"/>
              </w:rPr>
              <w:t>FONDO NACIONAL AMBIENTAL - FONAM.</w:t>
            </w:r>
          </w:p>
        </w:tc>
      </w:tr>
      <w:tr w:rsidR="0003243C" w:rsidRPr="001D1D7E" w14:paraId="1921C1D4" w14:textId="77777777" w:rsidTr="00D4226B">
        <w:tc>
          <w:tcPr>
            <w:tcW w:w="1560" w:type="dxa"/>
          </w:tcPr>
          <w:p w14:paraId="6E898EC6" w14:textId="77777777" w:rsidR="0003243C" w:rsidRDefault="0003243C" w:rsidP="00D4226B">
            <w:pPr>
              <w:tabs>
                <w:tab w:val="left" w:pos="993"/>
              </w:tabs>
              <w:jc w:val="center"/>
              <w:rPr>
                <w:rFonts w:ascii="Arial" w:hAnsi="Arial" w:cs="Arial"/>
                <w:b/>
              </w:rPr>
            </w:pPr>
            <w:r>
              <w:rPr>
                <w:rFonts w:ascii="Arial" w:hAnsi="Arial" w:cs="Arial"/>
                <w:b/>
              </w:rPr>
              <w:t>55</w:t>
            </w:r>
          </w:p>
        </w:tc>
        <w:tc>
          <w:tcPr>
            <w:tcW w:w="8930" w:type="dxa"/>
          </w:tcPr>
          <w:p w14:paraId="2E374368" w14:textId="77777777" w:rsidR="0003243C" w:rsidRPr="00655B47" w:rsidRDefault="0003243C" w:rsidP="00D4226B">
            <w:pPr>
              <w:jc w:val="both"/>
              <w:rPr>
                <w:rFonts w:ascii="Arial" w:hAnsi="Arial" w:cs="Arial"/>
                <w:b/>
                <w:sz w:val="22"/>
                <w:szCs w:val="22"/>
                <w:lang w:val="es-MX"/>
              </w:rPr>
            </w:pPr>
            <w:r w:rsidRPr="00655B47">
              <w:rPr>
                <w:rFonts w:ascii="Arial" w:hAnsi="Arial" w:cs="Arial"/>
                <w:b/>
                <w:sz w:val="22"/>
                <w:szCs w:val="22"/>
                <w:lang w:val="es-MX"/>
              </w:rPr>
              <w:t>UNIVERSIDAD DEL PACÍFICO.</w:t>
            </w:r>
          </w:p>
        </w:tc>
      </w:tr>
      <w:tr w:rsidR="0003243C" w:rsidRPr="001D1D7E" w14:paraId="0CFB47BB" w14:textId="77777777" w:rsidTr="00D4226B">
        <w:tc>
          <w:tcPr>
            <w:tcW w:w="1560" w:type="dxa"/>
          </w:tcPr>
          <w:p w14:paraId="3F159BB6" w14:textId="77777777" w:rsidR="0003243C" w:rsidRDefault="0003243C" w:rsidP="00D4226B">
            <w:pPr>
              <w:tabs>
                <w:tab w:val="left" w:pos="993"/>
              </w:tabs>
              <w:jc w:val="center"/>
              <w:rPr>
                <w:rFonts w:ascii="Arial" w:hAnsi="Arial" w:cs="Arial"/>
                <w:b/>
              </w:rPr>
            </w:pPr>
            <w:r>
              <w:rPr>
                <w:rFonts w:ascii="Arial" w:hAnsi="Arial" w:cs="Arial"/>
                <w:b/>
              </w:rPr>
              <w:t>58</w:t>
            </w:r>
          </w:p>
        </w:tc>
        <w:tc>
          <w:tcPr>
            <w:tcW w:w="8930" w:type="dxa"/>
          </w:tcPr>
          <w:p w14:paraId="3B0369B6" w14:textId="77777777" w:rsidR="0003243C" w:rsidRPr="00AE05F9" w:rsidRDefault="0003243C" w:rsidP="00D4226B">
            <w:pPr>
              <w:jc w:val="both"/>
              <w:rPr>
                <w:rFonts w:ascii="Arial" w:hAnsi="Arial" w:cs="Arial"/>
                <w:b/>
                <w:sz w:val="22"/>
                <w:szCs w:val="22"/>
                <w:lang w:val="es-MX"/>
              </w:rPr>
            </w:pPr>
            <w:r w:rsidRPr="000900D9">
              <w:rPr>
                <w:rFonts w:ascii="Arial" w:hAnsi="Arial" w:cs="Arial"/>
                <w:b/>
                <w:sz w:val="22"/>
                <w:szCs w:val="22"/>
                <w:lang w:val="es-MX"/>
              </w:rPr>
              <w:t>UNIVERSIDAD SURCOLOMBIANA – USCO.</w:t>
            </w:r>
          </w:p>
        </w:tc>
      </w:tr>
      <w:tr w:rsidR="0003243C" w:rsidRPr="001D1D7E" w14:paraId="30EB93E4" w14:textId="77777777" w:rsidTr="00D4226B">
        <w:tc>
          <w:tcPr>
            <w:tcW w:w="1560" w:type="dxa"/>
          </w:tcPr>
          <w:p w14:paraId="1EFB97E5" w14:textId="77777777" w:rsidR="0003243C" w:rsidRDefault="0003243C" w:rsidP="00D4226B">
            <w:pPr>
              <w:tabs>
                <w:tab w:val="left" w:pos="993"/>
              </w:tabs>
              <w:jc w:val="center"/>
              <w:rPr>
                <w:rFonts w:ascii="Arial" w:hAnsi="Arial" w:cs="Arial"/>
                <w:b/>
              </w:rPr>
            </w:pPr>
            <w:r>
              <w:rPr>
                <w:rFonts w:ascii="Arial" w:hAnsi="Arial" w:cs="Arial"/>
                <w:b/>
              </w:rPr>
              <w:t>59</w:t>
            </w:r>
          </w:p>
        </w:tc>
        <w:tc>
          <w:tcPr>
            <w:tcW w:w="8930" w:type="dxa"/>
          </w:tcPr>
          <w:p w14:paraId="34FEE031" w14:textId="77777777" w:rsidR="0003243C" w:rsidRPr="00CA673F" w:rsidRDefault="0003243C" w:rsidP="00D4226B">
            <w:pPr>
              <w:jc w:val="both"/>
              <w:rPr>
                <w:rFonts w:ascii="Arial" w:hAnsi="Arial" w:cs="Arial"/>
                <w:b/>
                <w:sz w:val="22"/>
                <w:szCs w:val="22"/>
              </w:rPr>
            </w:pPr>
            <w:r w:rsidRPr="00CA673F">
              <w:rPr>
                <w:rFonts w:ascii="Arial" w:hAnsi="Arial" w:cs="Arial"/>
                <w:b/>
                <w:sz w:val="22"/>
                <w:szCs w:val="22"/>
              </w:rPr>
              <w:t>FONDO UNICO DE TECNOLOGÍAS DE LA INFORMACIÓN Y LAS COMUNICACIONES – FUTIC.</w:t>
            </w:r>
          </w:p>
        </w:tc>
      </w:tr>
      <w:tr w:rsidR="0003243C" w:rsidRPr="001D1D7E" w14:paraId="71AC99E2" w14:textId="77777777" w:rsidTr="00D4226B">
        <w:tc>
          <w:tcPr>
            <w:tcW w:w="1560" w:type="dxa"/>
          </w:tcPr>
          <w:p w14:paraId="58954E5E" w14:textId="77777777" w:rsidR="0003243C" w:rsidRDefault="0003243C" w:rsidP="00D4226B">
            <w:pPr>
              <w:tabs>
                <w:tab w:val="left" w:pos="993"/>
              </w:tabs>
              <w:jc w:val="center"/>
              <w:rPr>
                <w:rFonts w:ascii="Arial" w:hAnsi="Arial" w:cs="Arial"/>
                <w:b/>
              </w:rPr>
            </w:pPr>
            <w:r>
              <w:rPr>
                <w:rFonts w:ascii="Arial" w:hAnsi="Arial" w:cs="Arial"/>
                <w:b/>
              </w:rPr>
              <w:t>60</w:t>
            </w:r>
          </w:p>
        </w:tc>
        <w:tc>
          <w:tcPr>
            <w:tcW w:w="8930" w:type="dxa"/>
          </w:tcPr>
          <w:p w14:paraId="72EC635B" w14:textId="77777777" w:rsidR="0003243C" w:rsidRPr="00170168" w:rsidRDefault="0003243C" w:rsidP="00D4226B">
            <w:pPr>
              <w:jc w:val="both"/>
              <w:rPr>
                <w:rFonts w:ascii="Arial" w:hAnsi="Arial" w:cs="Arial"/>
                <w:b/>
                <w:sz w:val="22"/>
                <w:szCs w:val="22"/>
                <w:lang w:val="es-MX"/>
              </w:rPr>
            </w:pPr>
            <w:r w:rsidRPr="00170168">
              <w:rPr>
                <w:rFonts w:ascii="Arial" w:hAnsi="Arial" w:cs="Arial"/>
                <w:b/>
                <w:sz w:val="22"/>
                <w:szCs w:val="22"/>
                <w:lang w:val="es-MX"/>
              </w:rPr>
              <w:t>CAJA DE SUELDOS DE RETIRO DE LA POLICIA NACIONAL – CASUR.</w:t>
            </w:r>
          </w:p>
        </w:tc>
      </w:tr>
      <w:tr w:rsidR="0003243C" w:rsidRPr="001D1D7E" w14:paraId="7C5BB98B" w14:textId="77777777" w:rsidTr="00D4226B">
        <w:tc>
          <w:tcPr>
            <w:tcW w:w="1560" w:type="dxa"/>
          </w:tcPr>
          <w:p w14:paraId="05986ED0" w14:textId="77777777" w:rsidR="0003243C" w:rsidRDefault="0003243C" w:rsidP="00D4226B">
            <w:pPr>
              <w:tabs>
                <w:tab w:val="left" w:pos="993"/>
              </w:tabs>
              <w:jc w:val="center"/>
              <w:rPr>
                <w:rFonts w:ascii="Arial" w:hAnsi="Arial" w:cs="Arial"/>
                <w:b/>
              </w:rPr>
            </w:pPr>
            <w:r>
              <w:rPr>
                <w:rFonts w:ascii="Arial" w:hAnsi="Arial" w:cs="Arial"/>
                <w:b/>
              </w:rPr>
              <w:t>61</w:t>
            </w:r>
          </w:p>
        </w:tc>
        <w:tc>
          <w:tcPr>
            <w:tcW w:w="8930" w:type="dxa"/>
          </w:tcPr>
          <w:p w14:paraId="43DFD0D8" w14:textId="77777777" w:rsidR="0003243C" w:rsidRPr="000110FB" w:rsidRDefault="0003243C" w:rsidP="00D4226B">
            <w:pPr>
              <w:pStyle w:val="Ttulo6"/>
              <w:tabs>
                <w:tab w:val="left" w:pos="8505"/>
              </w:tabs>
              <w:spacing w:before="0"/>
              <w:ind w:left="-103" w:right="-234" w:firstLine="0"/>
              <w:jc w:val="both"/>
              <w:outlineLvl w:val="5"/>
              <w:rPr>
                <w:rFonts w:ascii="Arial" w:hAnsi="Arial" w:cs="Arial"/>
                <w:b/>
                <w:i w:val="0"/>
                <w:iCs w:val="0"/>
                <w:color w:val="auto"/>
                <w:spacing w:val="-2"/>
                <w:sz w:val="22"/>
                <w:szCs w:val="22"/>
              </w:rPr>
            </w:pPr>
            <w:r w:rsidRPr="00D35CD3">
              <w:rPr>
                <w:rFonts w:ascii="Arial" w:hAnsi="Arial" w:cs="Arial"/>
                <w:b/>
                <w:color w:val="auto"/>
                <w:sz w:val="28"/>
                <w:szCs w:val="28"/>
                <w:lang w:val="es-MX"/>
              </w:rPr>
              <w:t xml:space="preserve"> </w:t>
            </w:r>
            <w:r w:rsidRPr="000110FB">
              <w:rPr>
                <w:rFonts w:ascii="Arial" w:hAnsi="Arial" w:cs="Arial"/>
                <w:b/>
                <w:i w:val="0"/>
                <w:iCs w:val="0"/>
                <w:color w:val="auto"/>
                <w:sz w:val="22"/>
                <w:szCs w:val="22"/>
              </w:rPr>
              <w:t xml:space="preserve">UNIDAD NACIONAL PARA LA GESTIÓN DEL RIESGO DE DESASTRES - </w:t>
            </w:r>
            <w:r w:rsidRPr="000110FB">
              <w:rPr>
                <w:rFonts w:ascii="Arial" w:hAnsi="Arial" w:cs="Arial"/>
                <w:b/>
                <w:i w:val="0"/>
                <w:iCs w:val="0"/>
                <w:color w:val="auto"/>
                <w:spacing w:val="-2"/>
                <w:sz w:val="22"/>
                <w:szCs w:val="22"/>
              </w:rPr>
              <w:t>UNGRD.</w:t>
            </w:r>
          </w:p>
        </w:tc>
      </w:tr>
      <w:tr w:rsidR="0003243C" w:rsidRPr="001D1D7E" w14:paraId="3BDC0512" w14:textId="77777777" w:rsidTr="00D4226B">
        <w:tc>
          <w:tcPr>
            <w:tcW w:w="1560" w:type="dxa"/>
          </w:tcPr>
          <w:p w14:paraId="65EA09D9" w14:textId="77777777" w:rsidR="0003243C" w:rsidRDefault="0003243C" w:rsidP="00D4226B">
            <w:pPr>
              <w:tabs>
                <w:tab w:val="left" w:pos="993"/>
              </w:tabs>
              <w:jc w:val="center"/>
              <w:rPr>
                <w:rFonts w:ascii="Arial" w:hAnsi="Arial" w:cs="Arial"/>
                <w:b/>
              </w:rPr>
            </w:pPr>
            <w:r>
              <w:rPr>
                <w:rFonts w:ascii="Arial" w:hAnsi="Arial" w:cs="Arial"/>
                <w:b/>
              </w:rPr>
              <w:t>64</w:t>
            </w:r>
          </w:p>
        </w:tc>
        <w:tc>
          <w:tcPr>
            <w:tcW w:w="8930" w:type="dxa"/>
          </w:tcPr>
          <w:p w14:paraId="5E88A984" w14:textId="77777777" w:rsidR="0003243C" w:rsidRPr="00AA5EBB" w:rsidRDefault="0003243C" w:rsidP="00D4226B">
            <w:pPr>
              <w:jc w:val="both"/>
              <w:rPr>
                <w:rFonts w:ascii="Arial" w:hAnsi="Arial" w:cs="Arial"/>
                <w:b/>
                <w:sz w:val="22"/>
                <w:szCs w:val="22"/>
              </w:rPr>
            </w:pPr>
            <w:r w:rsidRPr="00AA5EBB">
              <w:rPr>
                <w:rFonts w:ascii="Arial" w:hAnsi="Arial" w:cs="Arial"/>
                <w:b/>
                <w:sz w:val="22"/>
                <w:szCs w:val="22"/>
              </w:rPr>
              <w:t>AGENCIA PRESIDENCIAL DE COOPERACIÓN INTERNACIONAL DE COLOMBIA APC - COLOMBIA.</w:t>
            </w:r>
          </w:p>
        </w:tc>
      </w:tr>
      <w:tr w:rsidR="0003243C" w:rsidRPr="001D1D7E" w14:paraId="383DC0E8" w14:textId="77777777" w:rsidTr="00D4226B">
        <w:tc>
          <w:tcPr>
            <w:tcW w:w="1560" w:type="dxa"/>
          </w:tcPr>
          <w:p w14:paraId="02BB4E66" w14:textId="77777777" w:rsidR="0003243C" w:rsidRDefault="0003243C" w:rsidP="00D4226B">
            <w:pPr>
              <w:tabs>
                <w:tab w:val="left" w:pos="993"/>
              </w:tabs>
              <w:jc w:val="center"/>
              <w:rPr>
                <w:rFonts w:ascii="Arial" w:hAnsi="Arial" w:cs="Arial"/>
                <w:b/>
              </w:rPr>
            </w:pPr>
            <w:r>
              <w:rPr>
                <w:rFonts w:ascii="Arial" w:hAnsi="Arial" w:cs="Arial"/>
                <w:b/>
              </w:rPr>
              <w:t>66</w:t>
            </w:r>
          </w:p>
        </w:tc>
        <w:tc>
          <w:tcPr>
            <w:tcW w:w="8930" w:type="dxa"/>
          </w:tcPr>
          <w:p w14:paraId="66BB3DC6" w14:textId="77777777" w:rsidR="0003243C" w:rsidRPr="00AA5EBB" w:rsidRDefault="0003243C" w:rsidP="00D4226B">
            <w:pPr>
              <w:jc w:val="both"/>
              <w:rPr>
                <w:rFonts w:ascii="Arial" w:hAnsi="Arial" w:cs="Arial"/>
                <w:b/>
              </w:rPr>
            </w:pPr>
            <w:r w:rsidRPr="0077252E">
              <w:rPr>
                <w:rFonts w:ascii="Arial" w:hAnsi="Arial" w:cs="Arial"/>
                <w:b/>
                <w:sz w:val="22"/>
                <w:szCs w:val="22"/>
                <w:lang w:val="es-MX"/>
              </w:rPr>
              <w:t>SUPERINTENDENCIA DE SUBSIDIO FAMILIAR - SUPERSUBSIDIO.</w:t>
            </w:r>
          </w:p>
        </w:tc>
      </w:tr>
      <w:tr w:rsidR="0003243C" w:rsidRPr="001D1D7E" w14:paraId="44DF5AF3" w14:textId="77777777" w:rsidTr="00D4226B">
        <w:tc>
          <w:tcPr>
            <w:tcW w:w="1560" w:type="dxa"/>
          </w:tcPr>
          <w:p w14:paraId="341E44F2" w14:textId="77777777" w:rsidR="0003243C" w:rsidRDefault="0003243C" w:rsidP="00D4226B">
            <w:pPr>
              <w:tabs>
                <w:tab w:val="left" w:pos="993"/>
              </w:tabs>
              <w:jc w:val="center"/>
              <w:rPr>
                <w:rFonts w:ascii="Arial" w:hAnsi="Arial" w:cs="Arial"/>
                <w:b/>
              </w:rPr>
            </w:pPr>
            <w:r>
              <w:rPr>
                <w:rFonts w:ascii="Arial" w:hAnsi="Arial" w:cs="Arial"/>
                <w:b/>
              </w:rPr>
              <w:t>70</w:t>
            </w:r>
          </w:p>
        </w:tc>
        <w:tc>
          <w:tcPr>
            <w:tcW w:w="8930" w:type="dxa"/>
          </w:tcPr>
          <w:p w14:paraId="0847C864" w14:textId="77777777" w:rsidR="0003243C" w:rsidRPr="007A0302" w:rsidRDefault="0003243C" w:rsidP="00D4226B">
            <w:pPr>
              <w:jc w:val="both"/>
              <w:rPr>
                <w:rFonts w:ascii="Arial" w:hAnsi="Arial" w:cs="Arial"/>
                <w:b/>
                <w:sz w:val="22"/>
                <w:szCs w:val="22"/>
                <w:lang w:val="es-MX"/>
              </w:rPr>
            </w:pPr>
            <w:r w:rsidRPr="007A0302">
              <w:rPr>
                <w:rFonts w:ascii="Arial" w:hAnsi="Arial" w:cs="Arial"/>
                <w:b/>
                <w:sz w:val="22"/>
                <w:szCs w:val="22"/>
                <w:lang w:val="es-MX"/>
              </w:rPr>
              <w:t>INSTITUTO NACIONAL PARA CIEGOS - INCI.</w:t>
            </w:r>
          </w:p>
        </w:tc>
      </w:tr>
      <w:tr w:rsidR="0003243C" w:rsidRPr="001D1D7E" w14:paraId="3C720B24" w14:textId="77777777" w:rsidTr="00D4226B">
        <w:tc>
          <w:tcPr>
            <w:tcW w:w="1560" w:type="dxa"/>
          </w:tcPr>
          <w:p w14:paraId="47B10613" w14:textId="77777777" w:rsidR="0003243C" w:rsidRDefault="0003243C" w:rsidP="00D4226B">
            <w:pPr>
              <w:tabs>
                <w:tab w:val="left" w:pos="993"/>
              </w:tabs>
              <w:jc w:val="center"/>
              <w:rPr>
                <w:rFonts w:ascii="Arial" w:hAnsi="Arial" w:cs="Arial"/>
                <w:b/>
              </w:rPr>
            </w:pPr>
            <w:r>
              <w:rPr>
                <w:rFonts w:ascii="Arial" w:hAnsi="Arial" w:cs="Arial"/>
                <w:b/>
              </w:rPr>
              <w:t>71</w:t>
            </w:r>
          </w:p>
        </w:tc>
        <w:tc>
          <w:tcPr>
            <w:tcW w:w="8930" w:type="dxa"/>
          </w:tcPr>
          <w:p w14:paraId="6D42F305" w14:textId="77777777" w:rsidR="0003243C" w:rsidRPr="00D03617" w:rsidRDefault="0003243C" w:rsidP="00D4226B">
            <w:pPr>
              <w:jc w:val="both"/>
              <w:rPr>
                <w:rFonts w:ascii="Arial" w:hAnsi="Arial" w:cs="Arial"/>
                <w:b/>
                <w:sz w:val="22"/>
                <w:szCs w:val="22"/>
                <w:lang w:val="es-MX"/>
              </w:rPr>
            </w:pPr>
            <w:r w:rsidRPr="00D03617">
              <w:rPr>
                <w:rFonts w:ascii="Arial" w:hAnsi="Arial" w:cs="Arial"/>
                <w:b/>
                <w:sz w:val="22"/>
                <w:szCs w:val="22"/>
                <w:lang w:val="es-MX"/>
              </w:rPr>
              <w:t>UNIVERSIDAD MILITAR NUEVA GRANADA</w:t>
            </w:r>
            <w:r>
              <w:rPr>
                <w:rFonts w:ascii="Arial" w:hAnsi="Arial" w:cs="Arial"/>
                <w:b/>
                <w:sz w:val="22"/>
                <w:szCs w:val="22"/>
                <w:lang w:val="es-MX"/>
              </w:rPr>
              <w:t>.</w:t>
            </w:r>
          </w:p>
        </w:tc>
      </w:tr>
      <w:tr w:rsidR="0003243C" w:rsidRPr="001D1D7E" w14:paraId="30F455C8" w14:textId="77777777" w:rsidTr="00D4226B">
        <w:tc>
          <w:tcPr>
            <w:tcW w:w="1560" w:type="dxa"/>
          </w:tcPr>
          <w:p w14:paraId="7E223586" w14:textId="77777777" w:rsidR="0003243C" w:rsidRDefault="0003243C" w:rsidP="00D4226B">
            <w:pPr>
              <w:tabs>
                <w:tab w:val="left" w:pos="993"/>
              </w:tabs>
              <w:jc w:val="center"/>
              <w:rPr>
                <w:rFonts w:ascii="Arial" w:hAnsi="Arial" w:cs="Arial"/>
                <w:b/>
              </w:rPr>
            </w:pPr>
            <w:r>
              <w:rPr>
                <w:rFonts w:ascii="Arial" w:hAnsi="Arial" w:cs="Arial"/>
                <w:b/>
              </w:rPr>
              <w:t>72</w:t>
            </w:r>
          </w:p>
        </w:tc>
        <w:tc>
          <w:tcPr>
            <w:tcW w:w="8930" w:type="dxa"/>
          </w:tcPr>
          <w:p w14:paraId="016C4088" w14:textId="77777777" w:rsidR="0003243C" w:rsidRPr="007949B2" w:rsidRDefault="0003243C" w:rsidP="00D4226B">
            <w:pPr>
              <w:jc w:val="both"/>
              <w:rPr>
                <w:rFonts w:ascii="Arial" w:hAnsi="Arial" w:cs="Arial"/>
                <w:b/>
                <w:sz w:val="24"/>
                <w:szCs w:val="24"/>
                <w:lang w:val="es-MX"/>
              </w:rPr>
            </w:pPr>
            <w:r w:rsidRPr="007949B2">
              <w:rPr>
                <w:rFonts w:ascii="Arial" w:hAnsi="Arial" w:cs="Arial"/>
                <w:b/>
                <w:sz w:val="24"/>
                <w:szCs w:val="24"/>
                <w:lang w:val="es-MX"/>
              </w:rPr>
              <w:t>SERVICIO GEOLÓGICO COLOMBIANO.</w:t>
            </w:r>
          </w:p>
        </w:tc>
      </w:tr>
      <w:tr w:rsidR="0003243C" w:rsidRPr="001D1D7E" w14:paraId="64D67298" w14:textId="77777777" w:rsidTr="00D4226B">
        <w:tc>
          <w:tcPr>
            <w:tcW w:w="1560" w:type="dxa"/>
          </w:tcPr>
          <w:p w14:paraId="288BB239" w14:textId="77777777" w:rsidR="0003243C" w:rsidRDefault="0003243C" w:rsidP="00D4226B">
            <w:pPr>
              <w:tabs>
                <w:tab w:val="left" w:pos="993"/>
              </w:tabs>
              <w:jc w:val="center"/>
              <w:rPr>
                <w:rFonts w:ascii="Arial" w:hAnsi="Arial" w:cs="Arial"/>
                <w:b/>
              </w:rPr>
            </w:pPr>
            <w:r>
              <w:rPr>
                <w:rFonts w:ascii="Arial" w:hAnsi="Arial" w:cs="Arial"/>
                <w:b/>
              </w:rPr>
              <w:t>74</w:t>
            </w:r>
          </w:p>
        </w:tc>
        <w:tc>
          <w:tcPr>
            <w:tcW w:w="8930" w:type="dxa"/>
          </w:tcPr>
          <w:p w14:paraId="12410E83" w14:textId="77777777" w:rsidR="0003243C" w:rsidRPr="007949B2" w:rsidRDefault="0003243C" w:rsidP="00D4226B">
            <w:pPr>
              <w:jc w:val="both"/>
              <w:rPr>
                <w:rFonts w:ascii="Arial" w:hAnsi="Arial" w:cs="Arial"/>
                <w:b/>
                <w:sz w:val="24"/>
                <w:szCs w:val="24"/>
                <w:lang w:val="es-MX"/>
              </w:rPr>
            </w:pPr>
            <w:r w:rsidRPr="00D371A3">
              <w:rPr>
                <w:rFonts w:ascii="Arial" w:hAnsi="Arial" w:cs="Arial"/>
                <w:b/>
                <w:sz w:val="22"/>
                <w:szCs w:val="22"/>
                <w:lang w:val="es-MX"/>
              </w:rPr>
              <w:t>MINISTERIO DE AGRICULTURA Y DESARROLLO RURAL.</w:t>
            </w:r>
          </w:p>
        </w:tc>
      </w:tr>
      <w:tr w:rsidR="0003243C" w:rsidRPr="001D1D7E" w14:paraId="687C873E" w14:textId="77777777" w:rsidTr="00D4226B">
        <w:tc>
          <w:tcPr>
            <w:tcW w:w="1560" w:type="dxa"/>
          </w:tcPr>
          <w:p w14:paraId="11F71FDA" w14:textId="77777777" w:rsidR="0003243C" w:rsidRDefault="0003243C" w:rsidP="00D4226B">
            <w:pPr>
              <w:tabs>
                <w:tab w:val="left" w:pos="993"/>
              </w:tabs>
              <w:jc w:val="center"/>
              <w:rPr>
                <w:rFonts w:ascii="Arial" w:hAnsi="Arial" w:cs="Arial"/>
                <w:b/>
              </w:rPr>
            </w:pPr>
            <w:r>
              <w:rPr>
                <w:rFonts w:ascii="Arial" w:hAnsi="Arial" w:cs="Arial"/>
                <w:b/>
              </w:rPr>
              <w:t>75</w:t>
            </w:r>
          </w:p>
        </w:tc>
        <w:tc>
          <w:tcPr>
            <w:tcW w:w="8930" w:type="dxa"/>
          </w:tcPr>
          <w:p w14:paraId="508DBC45" w14:textId="77777777" w:rsidR="0003243C" w:rsidRPr="00E37982" w:rsidRDefault="0003243C" w:rsidP="00D4226B">
            <w:pPr>
              <w:jc w:val="both"/>
              <w:rPr>
                <w:rFonts w:ascii="Arial" w:hAnsi="Arial" w:cs="Arial"/>
                <w:b/>
                <w:sz w:val="22"/>
                <w:szCs w:val="22"/>
                <w:lang w:val="es-MX"/>
              </w:rPr>
            </w:pPr>
            <w:r w:rsidRPr="00E37982">
              <w:rPr>
                <w:rFonts w:ascii="Arial" w:hAnsi="Arial" w:cs="Arial"/>
                <w:b/>
                <w:sz w:val="22"/>
                <w:szCs w:val="22"/>
                <w:lang w:val="es-MX"/>
              </w:rPr>
              <w:t>DEPARTAMENTO NACIONAL DE PLANEACION – DNP.</w:t>
            </w:r>
          </w:p>
        </w:tc>
      </w:tr>
      <w:tr w:rsidR="0003243C" w:rsidRPr="001D1D7E" w14:paraId="3C8C281D" w14:textId="77777777" w:rsidTr="00D4226B">
        <w:tc>
          <w:tcPr>
            <w:tcW w:w="1560" w:type="dxa"/>
          </w:tcPr>
          <w:p w14:paraId="0C5D501C" w14:textId="77777777" w:rsidR="0003243C" w:rsidRDefault="0003243C" w:rsidP="00D4226B">
            <w:pPr>
              <w:tabs>
                <w:tab w:val="left" w:pos="993"/>
              </w:tabs>
              <w:jc w:val="center"/>
              <w:rPr>
                <w:rFonts w:ascii="Arial" w:hAnsi="Arial" w:cs="Arial"/>
                <w:b/>
              </w:rPr>
            </w:pPr>
            <w:r>
              <w:rPr>
                <w:rFonts w:ascii="Arial" w:hAnsi="Arial" w:cs="Arial"/>
                <w:b/>
              </w:rPr>
              <w:lastRenderedPageBreak/>
              <w:t>76</w:t>
            </w:r>
          </w:p>
        </w:tc>
        <w:tc>
          <w:tcPr>
            <w:tcW w:w="8930" w:type="dxa"/>
          </w:tcPr>
          <w:p w14:paraId="72D6FBF0" w14:textId="77777777" w:rsidR="0003243C" w:rsidRPr="00E37982" w:rsidRDefault="0003243C" w:rsidP="00D4226B">
            <w:pPr>
              <w:jc w:val="both"/>
              <w:rPr>
                <w:rFonts w:ascii="Arial" w:hAnsi="Arial" w:cs="Arial"/>
                <w:b/>
                <w:lang w:val="es-MX"/>
              </w:rPr>
            </w:pPr>
            <w:r w:rsidRPr="00AD717F">
              <w:rPr>
                <w:rFonts w:ascii="Arial" w:hAnsi="Arial" w:cs="Arial"/>
                <w:b/>
                <w:sz w:val="22"/>
                <w:szCs w:val="22"/>
              </w:rPr>
              <w:t>CORPORACIÓN AUTÓNOMA REGIONAL DE LOS VALLES DEL SINÚ Y SAN JORGE – CVS</w:t>
            </w:r>
            <w:r>
              <w:rPr>
                <w:rFonts w:ascii="Arial" w:hAnsi="Arial" w:cs="Arial"/>
                <w:b/>
                <w:sz w:val="22"/>
                <w:szCs w:val="22"/>
              </w:rPr>
              <w:t>.</w:t>
            </w:r>
          </w:p>
        </w:tc>
      </w:tr>
      <w:tr w:rsidR="0003243C" w:rsidRPr="001D1D7E" w14:paraId="7FBC23FF" w14:textId="77777777" w:rsidTr="00D4226B">
        <w:tc>
          <w:tcPr>
            <w:tcW w:w="1560" w:type="dxa"/>
          </w:tcPr>
          <w:p w14:paraId="67EBB92C" w14:textId="77777777" w:rsidR="0003243C" w:rsidRDefault="0003243C" w:rsidP="00D4226B">
            <w:pPr>
              <w:tabs>
                <w:tab w:val="left" w:pos="993"/>
              </w:tabs>
              <w:jc w:val="center"/>
              <w:rPr>
                <w:rFonts w:ascii="Arial" w:hAnsi="Arial" w:cs="Arial"/>
                <w:b/>
              </w:rPr>
            </w:pPr>
            <w:r>
              <w:rPr>
                <w:rFonts w:ascii="Arial" w:hAnsi="Arial" w:cs="Arial"/>
                <w:b/>
              </w:rPr>
              <w:t>77</w:t>
            </w:r>
          </w:p>
        </w:tc>
        <w:tc>
          <w:tcPr>
            <w:tcW w:w="8930" w:type="dxa"/>
          </w:tcPr>
          <w:p w14:paraId="592BC89D" w14:textId="77777777" w:rsidR="0003243C" w:rsidRPr="00AD717F" w:rsidRDefault="0003243C" w:rsidP="00D4226B">
            <w:pPr>
              <w:jc w:val="both"/>
              <w:rPr>
                <w:rFonts w:ascii="Arial" w:hAnsi="Arial" w:cs="Arial"/>
                <w:b/>
              </w:rPr>
            </w:pPr>
            <w:r w:rsidRPr="005A608B">
              <w:rPr>
                <w:rFonts w:ascii="Arial" w:hAnsi="Arial" w:cs="Arial"/>
                <w:b/>
                <w:sz w:val="22"/>
                <w:szCs w:val="22"/>
                <w:lang w:val="es-MX"/>
              </w:rPr>
              <w:t>FONDO PARA LA REHABILITACIÓN INVERSIÓN SOCIAL Y LUCHA CONTRA EL CRIMEN ORGANIZADO – FRISCO – S.A.E.</w:t>
            </w:r>
          </w:p>
        </w:tc>
      </w:tr>
      <w:tr w:rsidR="0003243C" w:rsidRPr="001D1D7E" w14:paraId="3651D174" w14:textId="77777777" w:rsidTr="00D4226B">
        <w:tc>
          <w:tcPr>
            <w:tcW w:w="1560" w:type="dxa"/>
          </w:tcPr>
          <w:p w14:paraId="6FBDDC3A" w14:textId="77777777" w:rsidR="0003243C" w:rsidRDefault="0003243C" w:rsidP="00D4226B">
            <w:pPr>
              <w:tabs>
                <w:tab w:val="left" w:pos="993"/>
              </w:tabs>
              <w:jc w:val="center"/>
              <w:rPr>
                <w:rFonts w:ascii="Arial" w:hAnsi="Arial" w:cs="Arial"/>
                <w:b/>
              </w:rPr>
            </w:pPr>
            <w:r>
              <w:rPr>
                <w:rFonts w:ascii="Arial" w:hAnsi="Arial" w:cs="Arial"/>
                <w:b/>
              </w:rPr>
              <w:t>78</w:t>
            </w:r>
          </w:p>
        </w:tc>
        <w:tc>
          <w:tcPr>
            <w:tcW w:w="8930" w:type="dxa"/>
          </w:tcPr>
          <w:p w14:paraId="61B6A12B" w14:textId="77777777" w:rsidR="0003243C" w:rsidRPr="007E22F3" w:rsidRDefault="0003243C" w:rsidP="00D4226B">
            <w:pPr>
              <w:jc w:val="both"/>
              <w:rPr>
                <w:rFonts w:ascii="Arial" w:hAnsi="Arial" w:cs="Arial"/>
                <w:b/>
                <w:sz w:val="22"/>
                <w:szCs w:val="22"/>
                <w:lang w:val="es-MX"/>
              </w:rPr>
            </w:pPr>
            <w:r w:rsidRPr="007E22F3">
              <w:rPr>
                <w:rFonts w:ascii="Arial" w:hAnsi="Arial" w:cs="Arial"/>
                <w:b/>
                <w:sz w:val="22"/>
                <w:szCs w:val="22"/>
                <w:lang w:val="es-MX"/>
              </w:rPr>
              <w:t>SOCIEDAD DE ACT</w:t>
            </w:r>
            <w:r>
              <w:rPr>
                <w:rFonts w:ascii="Arial" w:hAnsi="Arial" w:cs="Arial"/>
                <w:b/>
                <w:sz w:val="22"/>
                <w:szCs w:val="22"/>
                <w:lang w:val="es-MX"/>
              </w:rPr>
              <w:t>IVOS ESPECIALES – S.A.E. S.A.S.</w:t>
            </w:r>
          </w:p>
        </w:tc>
      </w:tr>
      <w:tr w:rsidR="0003243C" w:rsidRPr="001D1D7E" w14:paraId="1769EE51" w14:textId="77777777" w:rsidTr="00D4226B">
        <w:tc>
          <w:tcPr>
            <w:tcW w:w="1560" w:type="dxa"/>
          </w:tcPr>
          <w:p w14:paraId="7BDD1904" w14:textId="77777777" w:rsidR="0003243C" w:rsidRDefault="0003243C" w:rsidP="00D4226B">
            <w:pPr>
              <w:tabs>
                <w:tab w:val="left" w:pos="993"/>
              </w:tabs>
              <w:jc w:val="center"/>
              <w:rPr>
                <w:rFonts w:ascii="Arial" w:hAnsi="Arial" w:cs="Arial"/>
                <w:b/>
              </w:rPr>
            </w:pPr>
            <w:r>
              <w:rPr>
                <w:rFonts w:ascii="Arial" w:hAnsi="Arial" w:cs="Arial"/>
                <w:b/>
              </w:rPr>
              <w:t>79</w:t>
            </w:r>
          </w:p>
        </w:tc>
        <w:tc>
          <w:tcPr>
            <w:tcW w:w="8930" w:type="dxa"/>
          </w:tcPr>
          <w:p w14:paraId="6C15B266" w14:textId="77777777" w:rsidR="0003243C" w:rsidRPr="00654B7F" w:rsidRDefault="0003243C" w:rsidP="00D4226B">
            <w:pPr>
              <w:jc w:val="both"/>
              <w:rPr>
                <w:rFonts w:ascii="Arial" w:hAnsi="Arial" w:cs="Arial"/>
                <w:b/>
                <w:sz w:val="22"/>
                <w:szCs w:val="22"/>
                <w:lang w:val="es-MX"/>
              </w:rPr>
            </w:pPr>
            <w:r w:rsidRPr="00654B7F">
              <w:rPr>
                <w:rFonts w:ascii="Arial" w:hAnsi="Arial" w:cs="Arial"/>
                <w:b/>
                <w:sz w:val="22"/>
                <w:szCs w:val="22"/>
                <w:lang w:val="es-MX"/>
              </w:rPr>
              <w:t>MINISTERIO DEL DEPORTE.</w:t>
            </w:r>
          </w:p>
        </w:tc>
      </w:tr>
      <w:tr w:rsidR="0003243C" w:rsidRPr="001D1D7E" w14:paraId="3D4A4866" w14:textId="77777777" w:rsidTr="00D4226B">
        <w:tc>
          <w:tcPr>
            <w:tcW w:w="1560" w:type="dxa"/>
          </w:tcPr>
          <w:p w14:paraId="55E84542" w14:textId="77777777" w:rsidR="0003243C" w:rsidRDefault="0003243C" w:rsidP="00D4226B">
            <w:pPr>
              <w:tabs>
                <w:tab w:val="left" w:pos="993"/>
              </w:tabs>
              <w:jc w:val="center"/>
              <w:rPr>
                <w:rFonts w:ascii="Arial" w:hAnsi="Arial" w:cs="Arial"/>
                <w:b/>
              </w:rPr>
            </w:pPr>
            <w:r>
              <w:rPr>
                <w:rFonts w:ascii="Arial" w:hAnsi="Arial" w:cs="Arial"/>
                <w:b/>
              </w:rPr>
              <w:t>81</w:t>
            </w:r>
          </w:p>
        </w:tc>
        <w:tc>
          <w:tcPr>
            <w:tcW w:w="8930" w:type="dxa"/>
          </w:tcPr>
          <w:p w14:paraId="4AB5D8C8" w14:textId="77777777" w:rsidR="0003243C" w:rsidRPr="00336E4A" w:rsidRDefault="0003243C" w:rsidP="00D4226B">
            <w:pPr>
              <w:jc w:val="both"/>
              <w:rPr>
                <w:rFonts w:ascii="Arial" w:hAnsi="Arial" w:cs="Arial"/>
                <w:b/>
                <w:sz w:val="22"/>
                <w:szCs w:val="22"/>
                <w:lang w:val="es-MX"/>
              </w:rPr>
            </w:pPr>
            <w:r w:rsidRPr="00336E4A">
              <w:rPr>
                <w:rFonts w:ascii="Arial" w:hAnsi="Arial" w:cs="Arial"/>
                <w:b/>
                <w:sz w:val="22"/>
                <w:szCs w:val="22"/>
                <w:lang w:val="es-MX"/>
              </w:rPr>
              <w:t>CORPORACIÓN AUTÓNOMA REGIONAL DE LA FRONTERA NORORIENTAL - CORPONOR.</w:t>
            </w:r>
          </w:p>
        </w:tc>
      </w:tr>
      <w:tr w:rsidR="0003243C" w:rsidRPr="001D1D7E" w14:paraId="11282268" w14:textId="77777777" w:rsidTr="00D4226B">
        <w:tc>
          <w:tcPr>
            <w:tcW w:w="1560" w:type="dxa"/>
          </w:tcPr>
          <w:p w14:paraId="65C83F6D" w14:textId="77777777" w:rsidR="0003243C" w:rsidRDefault="0003243C" w:rsidP="00D4226B">
            <w:pPr>
              <w:tabs>
                <w:tab w:val="left" w:pos="993"/>
              </w:tabs>
              <w:jc w:val="center"/>
              <w:rPr>
                <w:rFonts w:ascii="Arial" w:hAnsi="Arial" w:cs="Arial"/>
                <w:b/>
              </w:rPr>
            </w:pPr>
            <w:r>
              <w:rPr>
                <w:rFonts w:ascii="Arial" w:hAnsi="Arial" w:cs="Arial"/>
                <w:b/>
              </w:rPr>
              <w:t>88</w:t>
            </w:r>
          </w:p>
        </w:tc>
        <w:tc>
          <w:tcPr>
            <w:tcW w:w="8930" w:type="dxa"/>
          </w:tcPr>
          <w:p w14:paraId="4E3638A6" w14:textId="77777777" w:rsidR="0003243C" w:rsidRPr="00336E4A" w:rsidRDefault="0003243C" w:rsidP="00D4226B">
            <w:pPr>
              <w:jc w:val="both"/>
              <w:rPr>
                <w:rFonts w:ascii="Arial" w:hAnsi="Arial" w:cs="Arial"/>
                <w:b/>
                <w:lang w:val="es-MX"/>
              </w:rPr>
            </w:pPr>
            <w:r w:rsidRPr="001D6C58">
              <w:rPr>
                <w:rFonts w:ascii="Arial" w:hAnsi="Arial" w:cs="Arial"/>
                <w:b/>
                <w:sz w:val="22"/>
                <w:szCs w:val="22"/>
                <w:lang w:val="es-MX"/>
              </w:rPr>
              <w:t>SENADO DE LA REPÚBLICA.</w:t>
            </w:r>
          </w:p>
        </w:tc>
      </w:tr>
      <w:tr w:rsidR="0003243C" w:rsidRPr="001D1D7E" w14:paraId="76517A52" w14:textId="77777777" w:rsidTr="00D4226B">
        <w:tc>
          <w:tcPr>
            <w:tcW w:w="1560" w:type="dxa"/>
          </w:tcPr>
          <w:p w14:paraId="4BBCAB0D" w14:textId="77777777" w:rsidR="0003243C" w:rsidRDefault="0003243C" w:rsidP="00D4226B">
            <w:pPr>
              <w:tabs>
                <w:tab w:val="left" w:pos="993"/>
              </w:tabs>
              <w:jc w:val="center"/>
              <w:rPr>
                <w:rFonts w:ascii="Arial" w:hAnsi="Arial" w:cs="Arial"/>
                <w:b/>
              </w:rPr>
            </w:pPr>
            <w:r>
              <w:rPr>
                <w:rFonts w:ascii="Arial" w:hAnsi="Arial" w:cs="Arial"/>
                <w:b/>
              </w:rPr>
              <w:t>89</w:t>
            </w:r>
          </w:p>
        </w:tc>
        <w:tc>
          <w:tcPr>
            <w:tcW w:w="8930" w:type="dxa"/>
          </w:tcPr>
          <w:p w14:paraId="1FFADF33" w14:textId="77777777" w:rsidR="0003243C" w:rsidRPr="008100C6" w:rsidRDefault="0003243C" w:rsidP="00D4226B">
            <w:pPr>
              <w:ind w:left="39"/>
              <w:jc w:val="both"/>
              <w:rPr>
                <w:rFonts w:ascii="Arial" w:hAnsi="Arial" w:cs="Arial"/>
                <w:b/>
                <w:sz w:val="22"/>
                <w:szCs w:val="22"/>
                <w:lang w:val="es-MX"/>
              </w:rPr>
            </w:pPr>
            <w:r w:rsidRPr="008100C6">
              <w:rPr>
                <w:rFonts w:ascii="Arial" w:hAnsi="Arial" w:cs="Arial"/>
                <w:b/>
                <w:sz w:val="22"/>
                <w:szCs w:val="22"/>
                <w:lang w:val="es-MX"/>
              </w:rPr>
              <w:t>CORPORACIÓN AGENCIA NACIONAL DE GOBIERNO DIGITAL - AND.</w:t>
            </w:r>
          </w:p>
        </w:tc>
      </w:tr>
      <w:tr w:rsidR="0003243C" w:rsidRPr="001D1D7E" w14:paraId="254ABF61" w14:textId="77777777" w:rsidTr="00D4226B">
        <w:tc>
          <w:tcPr>
            <w:tcW w:w="1560" w:type="dxa"/>
          </w:tcPr>
          <w:p w14:paraId="2ECE90FA" w14:textId="77777777" w:rsidR="0003243C" w:rsidRDefault="0003243C" w:rsidP="00D4226B">
            <w:pPr>
              <w:tabs>
                <w:tab w:val="left" w:pos="993"/>
              </w:tabs>
              <w:jc w:val="center"/>
              <w:rPr>
                <w:rFonts w:ascii="Arial" w:hAnsi="Arial" w:cs="Arial"/>
                <w:b/>
              </w:rPr>
            </w:pPr>
            <w:r>
              <w:rPr>
                <w:rFonts w:ascii="Arial" w:hAnsi="Arial" w:cs="Arial"/>
                <w:b/>
              </w:rPr>
              <w:t>91</w:t>
            </w:r>
          </w:p>
        </w:tc>
        <w:tc>
          <w:tcPr>
            <w:tcW w:w="8930" w:type="dxa"/>
          </w:tcPr>
          <w:p w14:paraId="459CA3F5" w14:textId="77777777" w:rsidR="0003243C" w:rsidRPr="002E0332" w:rsidRDefault="0003243C" w:rsidP="00D4226B">
            <w:pPr>
              <w:ind w:left="39"/>
              <w:jc w:val="both"/>
              <w:rPr>
                <w:rFonts w:ascii="Arial" w:hAnsi="Arial" w:cs="Arial"/>
                <w:b/>
                <w:lang w:val="es-MX"/>
              </w:rPr>
            </w:pPr>
            <w:r w:rsidRPr="002E0332">
              <w:rPr>
                <w:rFonts w:ascii="Arial" w:hAnsi="Arial" w:cs="Arial"/>
                <w:b/>
                <w:sz w:val="22"/>
                <w:szCs w:val="22"/>
              </w:rPr>
              <w:t xml:space="preserve">CORPORACIÓN AUTÓNOMA REGIONAL DEL CENTRO DE ANTIOQUIA </w:t>
            </w:r>
            <w:r w:rsidRPr="002E0332">
              <w:rPr>
                <w:rFonts w:ascii="Arial" w:hAnsi="Arial" w:cs="Arial"/>
                <w:b/>
                <w:spacing w:val="-2"/>
                <w:sz w:val="22"/>
                <w:szCs w:val="22"/>
              </w:rPr>
              <w:t>- CORANTIOQUIA.</w:t>
            </w:r>
          </w:p>
        </w:tc>
      </w:tr>
      <w:tr w:rsidR="0003243C" w:rsidRPr="001D1D7E" w14:paraId="5F1C7BE8" w14:textId="77777777" w:rsidTr="00D4226B">
        <w:tc>
          <w:tcPr>
            <w:tcW w:w="1560" w:type="dxa"/>
          </w:tcPr>
          <w:p w14:paraId="3F9CA9C1" w14:textId="77777777" w:rsidR="0003243C" w:rsidRDefault="0003243C" w:rsidP="00D4226B">
            <w:pPr>
              <w:tabs>
                <w:tab w:val="left" w:pos="993"/>
              </w:tabs>
              <w:jc w:val="center"/>
              <w:rPr>
                <w:rFonts w:ascii="Arial" w:hAnsi="Arial" w:cs="Arial"/>
                <w:b/>
              </w:rPr>
            </w:pPr>
            <w:r>
              <w:rPr>
                <w:rFonts w:ascii="Arial" w:hAnsi="Arial" w:cs="Arial"/>
                <w:b/>
              </w:rPr>
              <w:t>93</w:t>
            </w:r>
          </w:p>
        </w:tc>
        <w:tc>
          <w:tcPr>
            <w:tcW w:w="8930" w:type="dxa"/>
          </w:tcPr>
          <w:p w14:paraId="78292FD2" w14:textId="77777777" w:rsidR="0003243C" w:rsidRPr="00BB6D6E" w:rsidRDefault="0003243C" w:rsidP="00D4226B">
            <w:pPr>
              <w:jc w:val="both"/>
              <w:rPr>
                <w:rFonts w:ascii="Arial" w:hAnsi="Arial" w:cs="Arial"/>
                <w:b/>
                <w:sz w:val="22"/>
                <w:szCs w:val="22"/>
              </w:rPr>
            </w:pPr>
            <w:r w:rsidRPr="00BB6D6E">
              <w:rPr>
                <w:rFonts w:ascii="Arial" w:hAnsi="Arial" w:cs="Arial"/>
                <w:b/>
                <w:sz w:val="22"/>
                <w:szCs w:val="22"/>
                <w:lang w:val="es-MX"/>
              </w:rPr>
              <w:t>CENTRALES ELECTRICAS DEL CAUCA S.A. E.S.P. – CEDELCA.</w:t>
            </w:r>
          </w:p>
        </w:tc>
      </w:tr>
      <w:tr w:rsidR="0003243C" w:rsidRPr="001D1D7E" w14:paraId="1FD5A4C7" w14:textId="77777777" w:rsidTr="00D4226B">
        <w:tc>
          <w:tcPr>
            <w:tcW w:w="1560" w:type="dxa"/>
          </w:tcPr>
          <w:p w14:paraId="62CA4D6B" w14:textId="77777777" w:rsidR="0003243C" w:rsidRDefault="0003243C" w:rsidP="00D4226B">
            <w:pPr>
              <w:tabs>
                <w:tab w:val="left" w:pos="993"/>
              </w:tabs>
              <w:jc w:val="center"/>
              <w:rPr>
                <w:rFonts w:ascii="Arial" w:hAnsi="Arial" w:cs="Arial"/>
                <w:b/>
              </w:rPr>
            </w:pPr>
            <w:r>
              <w:rPr>
                <w:rFonts w:ascii="Arial" w:hAnsi="Arial" w:cs="Arial"/>
                <w:b/>
              </w:rPr>
              <w:t>94</w:t>
            </w:r>
          </w:p>
        </w:tc>
        <w:tc>
          <w:tcPr>
            <w:tcW w:w="8930" w:type="dxa"/>
          </w:tcPr>
          <w:p w14:paraId="0608EF6C" w14:textId="77777777" w:rsidR="0003243C" w:rsidRPr="00BB6D6E" w:rsidRDefault="0003243C" w:rsidP="00D4226B">
            <w:pPr>
              <w:jc w:val="both"/>
              <w:rPr>
                <w:rFonts w:ascii="Arial" w:hAnsi="Arial" w:cs="Arial"/>
                <w:b/>
                <w:lang w:val="es-MX"/>
              </w:rPr>
            </w:pPr>
            <w:r w:rsidRPr="00C9118C">
              <w:rPr>
                <w:rFonts w:ascii="Arial" w:hAnsi="Arial" w:cs="Arial"/>
                <w:b/>
                <w:sz w:val="22"/>
                <w:szCs w:val="22"/>
                <w:lang w:val="es-MX"/>
              </w:rPr>
              <w:t>CORPORACIÓN AUTÓNOMA REGIONAL DE RISARALDA - CARDER.</w:t>
            </w:r>
          </w:p>
        </w:tc>
      </w:tr>
      <w:tr w:rsidR="0003243C" w:rsidRPr="001D1D7E" w14:paraId="4EF32A54" w14:textId="77777777" w:rsidTr="00D4226B">
        <w:tc>
          <w:tcPr>
            <w:tcW w:w="1560" w:type="dxa"/>
          </w:tcPr>
          <w:p w14:paraId="621F3604" w14:textId="77777777" w:rsidR="0003243C" w:rsidRDefault="0003243C" w:rsidP="00D4226B">
            <w:pPr>
              <w:tabs>
                <w:tab w:val="left" w:pos="993"/>
              </w:tabs>
              <w:jc w:val="center"/>
              <w:rPr>
                <w:rFonts w:ascii="Arial" w:hAnsi="Arial" w:cs="Arial"/>
                <w:b/>
              </w:rPr>
            </w:pPr>
            <w:r>
              <w:rPr>
                <w:rFonts w:ascii="Arial" w:hAnsi="Arial" w:cs="Arial"/>
                <w:b/>
              </w:rPr>
              <w:t>95</w:t>
            </w:r>
          </w:p>
        </w:tc>
        <w:tc>
          <w:tcPr>
            <w:tcW w:w="8930" w:type="dxa"/>
          </w:tcPr>
          <w:p w14:paraId="62681B7B" w14:textId="77777777" w:rsidR="0003243C" w:rsidRPr="005E0D21" w:rsidRDefault="0003243C" w:rsidP="00D4226B">
            <w:pPr>
              <w:jc w:val="both"/>
              <w:rPr>
                <w:rFonts w:ascii="Arial" w:hAnsi="Arial" w:cs="Arial"/>
                <w:b/>
                <w:sz w:val="22"/>
                <w:szCs w:val="22"/>
              </w:rPr>
            </w:pPr>
            <w:r w:rsidRPr="005E0D21">
              <w:rPr>
                <w:rFonts w:ascii="Arial" w:hAnsi="Arial" w:cs="Arial"/>
                <w:b/>
                <w:sz w:val="22"/>
                <w:szCs w:val="22"/>
              </w:rPr>
              <w:t>ELECTRIFICADORA DEL CAQUETÁ S.A. E.S.P. – ELECTROCAQUETÁ.</w:t>
            </w:r>
          </w:p>
        </w:tc>
      </w:tr>
      <w:tr w:rsidR="0003243C" w:rsidRPr="001D1D7E" w14:paraId="3292041D" w14:textId="77777777" w:rsidTr="00D4226B">
        <w:tc>
          <w:tcPr>
            <w:tcW w:w="1560" w:type="dxa"/>
          </w:tcPr>
          <w:p w14:paraId="61ABC0E4" w14:textId="77777777" w:rsidR="0003243C" w:rsidRDefault="0003243C" w:rsidP="00D4226B">
            <w:pPr>
              <w:tabs>
                <w:tab w:val="left" w:pos="993"/>
              </w:tabs>
              <w:jc w:val="center"/>
              <w:rPr>
                <w:rFonts w:ascii="Arial" w:hAnsi="Arial" w:cs="Arial"/>
                <w:b/>
              </w:rPr>
            </w:pPr>
            <w:r>
              <w:rPr>
                <w:rFonts w:ascii="Arial" w:hAnsi="Arial" w:cs="Arial"/>
                <w:b/>
              </w:rPr>
              <w:t>98</w:t>
            </w:r>
          </w:p>
        </w:tc>
        <w:tc>
          <w:tcPr>
            <w:tcW w:w="8930" w:type="dxa"/>
          </w:tcPr>
          <w:p w14:paraId="1513C5A5" w14:textId="77777777" w:rsidR="0003243C" w:rsidRPr="00ED5F5E" w:rsidRDefault="0003243C" w:rsidP="00D4226B">
            <w:pPr>
              <w:jc w:val="both"/>
              <w:rPr>
                <w:rFonts w:ascii="Arial" w:hAnsi="Arial" w:cs="Arial"/>
                <w:b/>
                <w:sz w:val="22"/>
                <w:szCs w:val="22"/>
                <w:lang w:val="es-MX"/>
              </w:rPr>
            </w:pPr>
            <w:r w:rsidRPr="00ED5F5E">
              <w:rPr>
                <w:rFonts w:ascii="Arial" w:hAnsi="Arial" w:cs="Arial"/>
                <w:b/>
                <w:sz w:val="22"/>
                <w:szCs w:val="22"/>
              </w:rPr>
              <w:t>CORPORACIÓN AUTÓNOMA REGIONAL DEL QUINDIO – CRQ</w:t>
            </w:r>
            <w:r w:rsidRPr="00ED5F5E">
              <w:rPr>
                <w:rFonts w:ascii="Arial" w:hAnsi="Arial" w:cs="Arial"/>
                <w:b/>
                <w:sz w:val="22"/>
                <w:szCs w:val="22"/>
                <w:lang w:val="es-MX"/>
              </w:rPr>
              <w:t>.</w:t>
            </w:r>
          </w:p>
        </w:tc>
      </w:tr>
      <w:tr w:rsidR="0003243C" w:rsidRPr="00E54952" w14:paraId="12A39B1A" w14:textId="77777777" w:rsidTr="00D4226B">
        <w:tc>
          <w:tcPr>
            <w:tcW w:w="1560" w:type="dxa"/>
          </w:tcPr>
          <w:p w14:paraId="26B496B7" w14:textId="77777777" w:rsidR="0003243C" w:rsidRPr="00E54952" w:rsidRDefault="0003243C" w:rsidP="00D4226B">
            <w:pPr>
              <w:tabs>
                <w:tab w:val="left" w:pos="993"/>
              </w:tabs>
              <w:jc w:val="center"/>
              <w:rPr>
                <w:rFonts w:ascii="Arial" w:hAnsi="Arial" w:cs="Arial"/>
                <w:b/>
                <w:sz w:val="22"/>
                <w:szCs w:val="22"/>
              </w:rPr>
            </w:pPr>
            <w:r w:rsidRPr="00E54952">
              <w:rPr>
                <w:rFonts w:ascii="Arial" w:hAnsi="Arial" w:cs="Arial"/>
                <w:b/>
                <w:sz w:val="22"/>
                <w:szCs w:val="22"/>
              </w:rPr>
              <w:t>99</w:t>
            </w:r>
          </w:p>
        </w:tc>
        <w:tc>
          <w:tcPr>
            <w:tcW w:w="8930" w:type="dxa"/>
          </w:tcPr>
          <w:p w14:paraId="7906BD93" w14:textId="77777777" w:rsidR="0003243C" w:rsidRPr="00E54952" w:rsidRDefault="0003243C" w:rsidP="00D4226B">
            <w:pPr>
              <w:jc w:val="both"/>
              <w:rPr>
                <w:rFonts w:ascii="Arial" w:hAnsi="Arial" w:cs="Arial"/>
                <w:b/>
                <w:sz w:val="22"/>
                <w:szCs w:val="22"/>
                <w:lang w:val="es-MX"/>
              </w:rPr>
            </w:pPr>
            <w:r w:rsidRPr="00E54952">
              <w:rPr>
                <w:rFonts w:ascii="Arial" w:hAnsi="Arial" w:cs="Arial"/>
                <w:b/>
                <w:sz w:val="22"/>
                <w:szCs w:val="22"/>
                <w:lang w:val="es-MX"/>
              </w:rPr>
              <w:t>DEPARTAMENTO ADMINISTRATIVO PARA LA PROSPERIDAD SOCIAL - DPS.</w:t>
            </w:r>
          </w:p>
        </w:tc>
      </w:tr>
      <w:tr w:rsidR="0003243C" w:rsidRPr="00E54952" w14:paraId="368BDC6F" w14:textId="77777777" w:rsidTr="00D4226B">
        <w:tc>
          <w:tcPr>
            <w:tcW w:w="1560" w:type="dxa"/>
          </w:tcPr>
          <w:p w14:paraId="29820119" w14:textId="77777777" w:rsidR="0003243C" w:rsidRPr="00E54952" w:rsidRDefault="0003243C" w:rsidP="00D4226B">
            <w:pPr>
              <w:tabs>
                <w:tab w:val="left" w:pos="993"/>
              </w:tabs>
              <w:jc w:val="center"/>
              <w:rPr>
                <w:rFonts w:ascii="Arial" w:hAnsi="Arial" w:cs="Arial"/>
                <w:b/>
              </w:rPr>
            </w:pPr>
            <w:r>
              <w:rPr>
                <w:rFonts w:ascii="Arial" w:hAnsi="Arial" w:cs="Arial"/>
                <w:b/>
              </w:rPr>
              <w:t>100</w:t>
            </w:r>
          </w:p>
        </w:tc>
        <w:tc>
          <w:tcPr>
            <w:tcW w:w="8930" w:type="dxa"/>
          </w:tcPr>
          <w:p w14:paraId="7B70EEF3" w14:textId="77777777" w:rsidR="0003243C" w:rsidRPr="009E02A1" w:rsidRDefault="0003243C" w:rsidP="00D4226B">
            <w:pPr>
              <w:jc w:val="both"/>
              <w:rPr>
                <w:rFonts w:ascii="Arial" w:hAnsi="Arial" w:cs="Arial"/>
                <w:b/>
                <w:sz w:val="22"/>
                <w:szCs w:val="22"/>
                <w:lang w:val="es-MX"/>
              </w:rPr>
            </w:pPr>
            <w:r w:rsidRPr="009E02A1">
              <w:rPr>
                <w:rFonts w:ascii="Arial" w:hAnsi="Arial" w:cs="Arial"/>
                <w:b/>
                <w:sz w:val="22"/>
                <w:szCs w:val="22"/>
                <w:lang w:val="es-CO"/>
              </w:rPr>
              <w:t>CORPORACIÓN AUTÓNOMA REGIONAL DEL TOLIMA – CORTOLIMA.</w:t>
            </w:r>
          </w:p>
        </w:tc>
      </w:tr>
      <w:tr w:rsidR="0003243C" w:rsidRPr="00E54952" w14:paraId="33D734F2" w14:textId="77777777" w:rsidTr="00D4226B">
        <w:tc>
          <w:tcPr>
            <w:tcW w:w="1560" w:type="dxa"/>
          </w:tcPr>
          <w:p w14:paraId="2E94676A" w14:textId="77777777" w:rsidR="0003243C" w:rsidRDefault="0003243C" w:rsidP="00D4226B">
            <w:pPr>
              <w:tabs>
                <w:tab w:val="left" w:pos="993"/>
              </w:tabs>
              <w:jc w:val="center"/>
              <w:rPr>
                <w:rFonts w:ascii="Arial" w:hAnsi="Arial" w:cs="Arial"/>
                <w:b/>
              </w:rPr>
            </w:pPr>
            <w:r>
              <w:rPr>
                <w:rFonts w:ascii="Arial" w:hAnsi="Arial" w:cs="Arial"/>
                <w:b/>
              </w:rPr>
              <w:t>103</w:t>
            </w:r>
          </w:p>
        </w:tc>
        <w:tc>
          <w:tcPr>
            <w:tcW w:w="8930" w:type="dxa"/>
          </w:tcPr>
          <w:p w14:paraId="0E50263A" w14:textId="77777777" w:rsidR="0003243C" w:rsidRPr="001C31DF" w:rsidRDefault="0003243C" w:rsidP="00D4226B">
            <w:pPr>
              <w:jc w:val="both"/>
              <w:rPr>
                <w:rFonts w:ascii="Arial" w:hAnsi="Arial" w:cs="Arial"/>
                <w:b/>
                <w:sz w:val="22"/>
                <w:szCs w:val="22"/>
                <w:lang w:val="es-MX"/>
              </w:rPr>
            </w:pPr>
            <w:r w:rsidRPr="001C31DF">
              <w:rPr>
                <w:rFonts w:ascii="Arial" w:hAnsi="Arial" w:cs="Arial"/>
                <w:b/>
                <w:sz w:val="22"/>
                <w:szCs w:val="22"/>
                <w:lang w:val="es-MX"/>
              </w:rPr>
              <w:t>INSTITUTO AMAZÓNICO DE INVESTIGACIONES CIENTIFICAS - SINCHI.</w:t>
            </w:r>
          </w:p>
        </w:tc>
      </w:tr>
      <w:tr w:rsidR="0003243C" w:rsidRPr="00E54952" w14:paraId="1BCC9ED3" w14:textId="77777777" w:rsidTr="00D4226B">
        <w:tc>
          <w:tcPr>
            <w:tcW w:w="1560" w:type="dxa"/>
          </w:tcPr>
          <w:p w14:paraId="6216F264" w14:textId="77777777" w:rsidR="0003243C" w:rsidRDefault="0003243C" w:rsidP="00D4226B">
            <w:pPr>
              <w:tabs>
                <w:tab w:val="left" w:pos="993"/>
              </w:tabs>
              <w:jc w:val="center"/>
              <w:rPr>
                <w:rFonts w:ascii="Arial" w:hAnsi="Arial" w:cs="Arial"/>
                <w:b/>
              </w:rPr>
            </w:pPr>
            <w:r>
              <w:rPr>
                <w:rFonts w:ascii="Arial" w:hAnsi="Arial" w:cs="Arial"/>
                <w:b/>
              </w:rPr>
              <w:t>112</w:t>
            </w:r>
          </w:p>
        </w:tc>
        <w:tc>
          <w:tcPr>
            <w:tcW w:w="8930" w:type="dxa"/>
          </w:tcPr>
          <w:p w14:paraId="255DD54D" w14:textId="77777777" w:rsidR="0003243C" w:rsidRPr="00974181" w:rsidRDefault="0003243C" w:rsidP="00D4226B">
            <w:pPr>
              <w:jc w:val="both"/>
              <w:rPr>
                <w:rFonts w:ascii="Arial" w:hAnsi="Arial" w:cs="Arial"/>
                <w:b/>
                <w:sz w:val="22"/>
                <w:szCs w:val="22"/>
                <w:lang w:val="es-MX"/>
              </w:rPr>
            </w:pPr>
            <w:r w:rsidRPr="00974181">
              <w:rPr>
                <w:rFonts w:ascii="Arial" w:hAnsi="Arial" w:cs="Arial"/>
                <w:b/>
                <w:sz w:val="22"/>
                <w:szCs w:val="22"/>
              </w:rPr>
              <w:t>FONDO ROTATORIO DE LA POLICÍA NACIONAL</w:t>
            </w:r>
            <w:r w:rsidRPr="00974181">
              <w:rPr>
                <w:rFonts w:ascii="Arial" w:hAnsi="Arial" w:cs="Arial"/>
                <w:b/>
                <w:sz w:val="22"/>
                <w:szCs w:val="22"/>
                <w:lang w:val="es-MX"/>
              </w:rPr>
              <w:t>.</w:t>
            </w:r>
          </w:p>
        </w:tc>
      </w:tr>
      <w:tr w:rsidR="0003243C" w:rsidRPr="00E54952" w14:paraId="4A3CBCDC" w14:textId="77777777" w:rsidTr="00D4226B">
        <w:tc>
          <w:tcPr>
            <w:tcW w:w="1560" w:type="dxa"/>
          </w:tcPr>
          <w:p w14:paraId="13F5D2CE" w14:textId="77777777" w:rsidR="0003243C" w:rsidRDefault="0003243C" w:rsidP="00D4226B">
            <w:pPr>
              <w:tabs>
                <w:tab w:val="left" w:pos="993"/>
              </w:tabs>
              <w:jc w:val="center"/>
              <w:rPr>
                <w:rFonts w:ascii="Arial" w:hAnsi="Arial" w:cs="Arial"/>
                <w:b/>
              </w:rPr>
            </w:pPr>
            <w:r>
              <w:rPr>
                <w:rFonts w:ascii="Arial" w:hAnsi="Arial" w:cs="Arial"/>
                <w:b/>
              </w:rPr>
              <w:t>116</w:t>
            </w:r>
          </w:p>
        </w:tc>
        <w:tc>
          <w:tcPr>
            <w:tcW w:w="8930" w:type="dxa"/>
          </w:tcPr>
          <w:p w14:paraId="58A4ED9E" w14:textId="77777777" w:rsidR="0003243C" w:rsidRPr="00974181" w:rsidRDefault="0003243C" w:rsidP="00D4226B">
            <w:pPr>
              <w:jc w:val="both"/>
              <w:rPr>
                <w:rFonts w:ascii="Arial" w:hAnsi="Arial" w:cs="Arial"/>
                <w:b/>
              </w:rPr>
            </w:pPr>
            <w:r w:rsidRPr="002E03CA">
              <w:rPr>
                <w:rFonts w:ascii="Arial" w:hAnsi="Arial" w:cs="Arial"/>
                <w:b/>
                <w:sz w:val="22"/>
                <w:szCs w:val="22"/>
                <w:lang w:val="es-MX"/>
              </w:rPr>
              <w:t>ESCUELA SUPERIOR DE ADMINISTRACIÓN PÚBLICA - ESAP.</w:t>
            </w:r>
          </w:p>
        </w:tc>
      </w:tr>
      <w:tr w:rsidR="0003243C" w:rsidRPr="00E54952" w14:paraId="00B2B241" w14:textId="77777777" w:rsidTr="00D4226B">
        <w:tc>
          <w:tcPr>
            <w:tcW w:w="1560" w:type="dxa"/>
          </w:tcPr>
          <w:p w14:paraId="1726246F" w14:textId="77777777" w:rsidR="0003243C" w:rsidRDefault="0003243C" w:rsidP="00D4226B">
            <w:pPr>
              <w:tabs>
                <w:tab w:val="left" w:pos="993"/>
              </w:tabs>
              <w:jc w:val="center"/>
              <w:rPr>
                <w:rFonts w:ascii="Arial" w:hAnsi="Arial" w:cs="Arial"/>
                <w:b/>
              </w:rPr>
            </w:pPr>
            <w:r>
              <w:rPr>
                <w:rFonts w:ascii="Arial" w:hAnsi="Arial" w:cs="Arial"/>
                <w:b/>
              </w:rPr>
              <w:t>120</w:t>
            </w:r>
          </w:p>
        </w:tc>
        <w:tc>
          <w:tcPr>
            <w:tcW w:w="8930" w:type="dxa"/>
          </w:tcPr>
          <w:p w14:paraId="2D506801" w14:textId="77777777" w:rsidR="0003243C" w:rsidRPr="005A450B" w:rsidRDefault="0003243C" w:rsidP="00D4226B">
            <w:pPr>
              <w:jc w:val="both"/>
              <w:rPr>
                <w:rFonts w:ascii="Arial" w:hAnsi="Arial" w:cs="Arial"/>
                <w:b/>
                <w:sz w:val="22"/>
                <w:szCs w:val="22"/>
                <w:lang w:val="es-MX"/>
              </w:rPr>
            </w:pPr>
            <w:r w:rsidRPr="005A450B">
              <w:rPr>
                <w:rFonts w:ascii="Arial" w:hAnsi="Arial" w:cs="Arial"/>
                <w:b/>
                <w:sz w:val="22"/>
                <w:szCs w:val="22"/>
                <w:lang w:val="es-MX"/>
              </w:rPr>
              <w:t>CORPORACIÓN AUTÓNOMA REGIONAL DEL CAUCA - CRC.</w:t>
            </w:r>
          </w:p>
        </w:tc>
      </w:tr>
      <w:tr w:rsidR="0003243C" w:rsidRPr="00E54952" w14:paraId="329804AC" w14:textId="77777777" w:rsidTr="00D4226B">
        <w:tc>
          <w:tcPr>
            <w:tcW w:w="1560" w:type="dxa"/>
          </w:tcPr>
          <w:p w14:paraId="626D0A74" w14:textId="77777777" w:rsidR="0003243C" w:rsidRDefault="0003243C" w:rsidP="00D4226B">
            <w:pPr>
              <w:tabs>
                <w:tab w:val="left" w:pos="993"/>
              </w:tabs>
              <w:jc w:val="center"/>
              <w:rPr>
                <w:rFonts w:ascii="Arial" w:hAnsi="Arial" w:cs="Arial"/>
                <w:b/>
              </w:rPr>
            </w:pPr>
            <w:r>
              <w:rPr>
                <w:rFonts w:ascii="Arial" w:hAnsi="Arial" w:cs="Arial"/>
                <w:b/>
              </w:rPr>
              <w:t>122</w:t>
            </w:r>
          </w:p>
        </w:tc>
        <w:tc>
          <w:tcPr>
            <w:tcW w:w="8930" w:type="dxa"/>
          </w:tcPr>
          <w:p w14:paraId="0C36EFBE" w14:textId="77777777" w:rsidR="0003243C" w:rsidRPr="00DA69EE" w:rsidRDefault="0003243C" w:rsidP="00D4226B">
            <w:pPr>
              <w:jc w:val="both"/>
              <w:rPr>
                <w:rFonts w:ascii="Arial" w:hAnsi="Arial" w:cs="Arial"/>
                <w:b/>
                <w:sz w:val="22"/>
                <w:szCs w:val="22"/>
                <w:lang w:val="es-MX"/>
              </w:rPr>
            </w:pPr>
            <w:r w:rsidRPr="00DA69EE">
              <w:rPr>
                <w:rFonts w:ascii="Arial" w:hAnsi="Arial" w:cs="Arial"/>
                <w:b/>
                <w:sz w:val="22"/>
                <w:szCs w:val="22"/>
                <w:lang w:val="es-MX"/>
              </w:rPr>
              <w:t xml:space="preserve">UNIDAD NACIONAL DE PROTECCIÓN – UNP. </w:t>
            </w:r>
          </w:p>
        </w:tc>
      </w:tr>
      <w:tr w:rsidR="0003243C" w:rsidRPr="00E54952" w14:paraId="0CD2D718" w14:textId="77777777" w:rsidTr="00D4226B">
        <w:tc>
          <w:tcPr>
            <w:tcW w:w="1560" w:type="dxa"/>
          </w:tcPr>
          <w:p w14:paraId="0CF7FA40" w14:textId="77777777" w:rsidR="0003243C" w:rsidRDefault="0003243C" w:rsidP="00D4226B">
            <w:pPr>
              <w:tabs>
                <w:tab w:val="left" w:pos="993"/>
              </w:tabs>
              <w:jc w:val="center"/>
              <w:rPr>
                <w:rFonts w:ascii="Arial" w:hAnsi="Arial" w:cs="Arial"/>
                <w:b/>
              </w:rPr>
            </w:pPr>
            <w:r>
              <w:rPr>
                <w:rFonts w:ascii="Arial" w:hAnsi="Arial" w:cs="Arial"/>
                <w:b/>
              </w:rPr>
              <w:t>124</w:t>
            </w:r>
          </w:p>
        </w:tc>
        <w:tc>
          <w:tcPr>
            <w:tcW w:w="8930" w:type="dxa"/>
          </w:tcPr>
          <w:p w14:paraId="204832D5" w14:textId="77777777" w:rsidR="0003243C" w:rsidRPr="00DA69EE" w:rsidRDefault="0003243C" w:rsidP="00D4226B">
            <w:pPr>
              <w:jc w:val="both"/>
              <w:rPr>
                <w:rFonts w:ascii="Arial" w:hAnsi="Arial" w:cs="Arial"/>
                <w:b/>
                <w:lang w:val="es-MX"/>
              </w:rPr>
            </w:pPr>
            <w:r w:rsidRPr="00C66AC4">
              <w:rPr>
                <w:rFonts w:ascii="Arial" w:hAnsi="Arial" w:cs="Arial"/>
                <w:b/>
                <w:sz w:val="22"/>
                <w:szCs w:val="22"/>
              </w:rPr>
              <w:t>U.A.E. AGENCIA NACIONAL DE CONTRATACIÓN PÚBLICA - COLOMBIA COMPRA EFICIENTE</w:t>
            </w:r>
            <w:r w:rsidRPr="00C66AC4">
              <w:rPr>
                <w:rFonts w:ascii="Arial" w:hAnsi="Arial" w:cs="Arial"/>
                <w:b/>
                <w:sz w:val="22"/>
                <w:szCs w:val="22"/>
                <w:lang w:val="es-MX"/>
              </w:rPr>
              <w:t>.</w:t>
            </w:r>
          </w:p>
        </w:tc>
      </w:tr>
      <w:tr w:rsidR="0003243C" w:rsidRPr="00E54952" w14:paraId="065AC668" w14:textId="77777777" w:rsidTr="00D4226B">
        <w:tc>
          <w:tcPr>
            <w:tcW w:w="1560" w:type="dxa"/>
          </w:tcPr>
          <w:p w14:paraId="0F9272A9" w14:textId="77777777" w:rsidR="0003243C" w:rsidRDefault="0003243C" w:rsidP="00D4226B">
            <w:pPr>
              <w:tabs>
                <w:tab w:val="left" w:pos="993"/>
              </w:tabs>
              <w:jc w:val="center"/>
              <w:rPr>
                <w:rFonts w:ascii="Arial" w:hAnsi="Arial" w:cs="Arial"/>
                <w:b/>
              </w:rPr>
            </w:pPr>
            <w:r>
              <w:rPr>
                <w:rFonts w:ascii="Arial" w:hAnsi="Arial" w:cs="Arial"/>
                <w:b/>
              </w:rPr>
              <w:t>125</w:t>
            </w:r>
          </w:p>
        </w:tc>
        <w:tc>
          <w:tcPr>
            <w:tcW w:w="8930" w:type="dxa"/>
          </w:tcPr>
          <w:p w14:paraId="0045870E" w14:textId="77777777" w:rsidR="0003243C" w:rsidRPr="00C66AC4" w:rsidRDefault="0003243C" w:rsidP="00D4226B">
            <w:pPr>
              <w:jc w:val="both"/>
              <w:rPr>
                <w:rFonts w:ascii="Arial" w:hAnsi="Arial" w:cs="Arial"/>
                <w:b/>
              </w:rPr>
            </w:pPr>
            <w:r w:rsidRPr="00B1482A">
              <w:rPr>
                <w:rFonts w:ascii="Arial" w:hAnsi="Arial" w:cs="Arial"/>
                <w:b/>
                <w:sz w:val="22"/>
                <w:szCs w:val="22"/>
              </w:rPr>
              <w:t>CORPORACIÓN AUTÓNOMA REGIONAL DE SANTANDER – CAS.</w:t>
            </w:r>
          </w:p>
        </w:tc>
      </w:tr>
      <w:tr w:rsidR="0003243C" w:rsidRPr="00E54952" w14:paraId="68EF9034" w14:textId="77777777" w:rsidTr="00D4226B">
        <w:tc>
          <w:tcPr>
            <w:tcW w:w="1560" w:type="dxa"/>
          </w:tcPr>
          <w:p w14:paraId="637A3E99" w14:textId="77777777" w:rsidR="0003243C" w:rsidRDefault="0003243C" w:rsidP="00D4226B">
            <w:pPr>
              <w:tabs>
                <w:tab w:val="left" w:pos="993"/>
              </w:tabs>
              <w:jc w:val="center"/>
              <w:rPr>
                <w:rFonts w:ascii="Arial" w:hAnsi="Arial" w:cs="Arial"/>
                <w:b/>
              </w:rPr>
            </w:pPr>
            <w:r>
              <w:rPr>
                <w:rFonts w:ascii="Arial" w:hAnsi="Arial" w:cs="Arial"/>
                <w:b/>
              </w:rPr>
              <w:t>126</w:t>
            </w:r>
          </w:p>
        </w:tc>
        <w:tc>
          <w:tcPr>
            <w:tcW w:w="8930" w:type="dxa"/>
          </w:tcPr>
          <w:p w14:paraId="63C07258" w14:textId="77777777" w:rsidR="0003243C" w:rsidRPr="00B1482A" w:rsidRDefault="0003243C" w:rsidP="00D4226B">
            <w:pPr>
              <w:jc w:val="both"/>
              <w:rPr>
                <w:rFonts w:ascii="Arial" w:hAnsi="Arial" w:cs="Arial"/>
                <w:b/>
              </w:rPr>
            </w:pPr>
            <w:r w:rsidRPr="000F656C">
              <w:rPr>
                <w:rFonts w:ascii="Arial" w:hAnsi="Arial" w:cs="Arial"/>
                <w:b/>
                <w:sz w:val="22"/>
                <w:szCs w:val="22"/>
              </w:rPr>
              <w:t>ADMINISTRADORA DE LOS RECURSOS DEL SISTEMA DE SEGURIDAD SOCIAL EN SALUD ADRES – UNIDAD DE RECURSOS ADMINISTRADOS – URA</w:t>
            </w:r>
            <w:r w:rsidRPr="000F656C">
              <w:rPr>
                <w:rFonts w:ascii="Arial" w:hAnsi="Arial" w:cs="Arial"/>
                <w:b/>
                <w:sz w:val="22"/>
                <w:szCs w:val="22"/>
                <w:lang w:val="es-MX"/>
              </w:rPr>
              <w:t>.</w:t>
            </w:r>
          </w:p>
        </w:tc>
      </w:tr>
      <w:tr w:rsidR="0003243C" w:rsidRPr="00E54952" w14:paraId="7EEBF37D" w14:textId="77777777" w:rsidTr="00D4226B">
        <w:tc>
          <w:tcPr>
            <w:tcW w:w="1560" w:type="dxa"/>
          </w:tcPr>
          <w:p w14:paraId="497C0CDB" w14:textId="77777777" w:rsidR="0003243C" w:rsidRDefault="0003243C" w:rsidP="00D4226B">
            <w:pPr>
              <w:tabs>
                <w:tab w:val="left" w:pos="993"/>
              </w:tabs>
              <w:jc w:val="center"/>
              <w:rPr>
                <w:rFonts w:ascii="Arial" w:hAnsi="Arial" w:cs="Arial"/>
                <w:b/>
              </w:rPr>
            </w:pPr>
            <w:r>
              <w:rPr>
                <w:rFonts w:ascii="Arial" w:hAnsi="Arial" w:cs="Arial"/>
                <w:b/>
              </w:rPr>
              <w:t>129</w:t>
            </w:r>
          </w:p>
        </w:tc>
        <w:tc>
          <w:tcPr>
            <w:tcW w:w="8930" w:type="dxa"/>
          </w:tcPr>
          <w:p w14:paraId="370611F7" w14:textId="77777777" w:rsidR="0003243C" w:rsidRPr="000F656C" w:rsidRDefault="0003243C" w:rsidP="00D4226B">
            <w:pPr>
              <w:jc w:val="both"/>
              <w:rPr>
                <w:rFonts w:ascii="Arial" w:hAnsi="Arial" w:cs="Arial"/>
                <w:b/>
              </w:rPr>
            </w:pPr>
            <w:r w:rsidRPr="007665F9">
              <w:rPr>
                <w:rFonts w:ascii="Arial" w:hAnsi="Arial" w:cs="Arial"/>
                <w:b/>
                <w:sz w:val="22"/>
                <w:szCs w:val="22"/>
              </w:rPr>
              <w:t>UNIDAD DE SERVICIOS PENITENCIARIOS Y CARCELARIOS – USPEC</w:t>
            </w:r>
            <w:r w:rsidRPr="002A6E88">
              <w:rPr>
                <w:rFonts w:ascii="Arial" w:hAnsi="Arial" w:cs="Arial"/>
                <w:b/>
                <w:sz w:val="28"/>
                <w:szCs w:val="28"/>
                <w:lang w:val="es-MX"/>
              </w:rPr>
              <w:t>.</w:t>
            </w:r>
          </w:p>
        </w:tc>
      </w:tr>
      <w:tr w:rsidR="0003243C" w:rsidRPr="00E54952" w14:paraId="4F96C1BE" w14:textId="77777777" w:rsidTr="00D4226B">
        <w:tc>
          <w:tcPr>
            <w:tcW w:w="1560" w:type="dxa"/>
          </w:tcPr>
          <w:p w14:paraId="3CE8FC8B" w14:textId="77777777" w:rsidR="0003243C" w:rsidRDefault="0003243C" w:rsidP="00D4226B">
            <w:pPr>
              <w:tabs>
                <w:tab w:val="left" w:pos="993"/>
              </w:tabs>
              <w:jc w:val="center"/>
              <w:rPr>
                <w:rFonts w:ascii="Arial" w:hAnsi="Arial" w:cs="Arial"/>
                <w:b/>
              </w:rPr>
            </w:pPr>
            <w:r>
              <w:rPr>
                <w:rFonts w:ascii="Arial" w:hAnsi="Arial" w:cs="Arial"/>
                <w:b/>
              </w:rPr>
              <w:t>131</w:t>
            </w:r>
          </w:p>
        </w:tc>
        <w:tc>
          <w:tcPr>
            <w:tcW w:w="8930" w:type="dxa"/>
          </w:tcPr>
          <w:p w14:paraId="512D3D55" w14:textId="77777777" w:rsidR="0003243C" w:rsidRPr="00D3042D" w:rsidRDefault="0003243C" w:rsidP="00D4226B">
            <w:pPr>
              <w:jc w:val="both"/>
              <w:rPr>
                <w:rFonts w:ascii="Arial" w:hAnsi="Arial" w:cs="Arial"/>
                <w:b/>
                <w:sz w:val="22"/>
                <w:szCs w:val="22"/>
                <w:lang w:val="es-MX"/>
              </w:rPr>
            </w:pPr>
            <w:r w:rsidRPr="00D3042D">
              <w:rPr>
                <w:rFonts w:ascii="Arial" w:hAnsi="Arial" w:cs="Arial"/>
                <w:b/>
                <w:sz w:val="22"/>
                <w:szCs w:val="22"/>
                <w:lang w:val="es-MX"/>
              </w:rPr>
              <w:t>UNIVERSIDAD PEDAGOGICA Y TECNOLOGICA DE COLOMBIA - UPTC.</w:t>
            </w:r>
          </w:p>
        </w:tc>
      </w:tr>
      <w:tr w:rsidR="0003243C" w:rsidRPr="00E54952" w14:paraId="279B2FAC" w14:textId="77777777" w:rsidTr="00D4226B">
        <w:tc>
          <w:tcPr>
            <w:tcW w:w="1560" w:type="dxa"/>
          </w:tcPr>
          <w:p w14:paraId="65936406" w14:textId="77777777" w:rsidR="0003243C" w:rsidRDefault="0003243C" w:rsidP="00D4226B">
            <w:pPr>
              <w:tabs>
                <w:tab w:val="left" w:pos="993"/>
              </w:tabs>
              <w:jc w:val="center"/>
              <w:rPr>
                <w:rFonts w:ascii="Arial" w:hAnsi="Arial" w:cs="Arial"/>
                <w:b/>
              </w:rPr>
            </w:pPr>
            <w:r>
              <w:rPr>
                <w:rFonts w:ascii="Arial" w:hAnsi="Arial" w:cs="Arial"/>
                <w:b/>
              </w:rPr>
              <w:t>133</w:t>
            </w:r>
          </w:p>
        </w:tc>
        <w:tc>
          <w:tcPr>
            <w:tcW w:w="8930" w:type="dxa"/>
          </w:tcPr>
          <w:p w14:paraId="62711764" w14:textId="77777777" w:rsidR="0003243C" w:rsidRPr="00D3042D" w:rsidRDefault="0003243C" w:rsidP="00D4226B">
            <w:pPr>
              <w:jc w:val="both"/>
              <w:rPr>
                <w:rFonts w:ascii="Arial" w:hAnsi="Arial" w:cs="Arial"/>
                <w:b/>
                <w:lang w:val="es-MX"/>
              </w:rPr>
            </w:pPr>
            <w:r w:rsidRPr="00D24BB0">
              <w:rPr>
                <w:rFonts w:ascii="Arial" w:hAnsi="Arial" w:cs="Arial"/>
                <w:b/>
                <w:sz w:val="22"/>
                <w:szCs w:val="22"/>
                <w:lang w:val="es-MX"/>
              </w:rPr>
              <w:t>FONDO ADAPTACIÓN.</w:t>
            </w:r>
          </w:p>
        </w:tc>
      </w:tr>
      <w:tr w:rsidR="0003243C" w:rsidRPr="00E54952" w14:paraId="23198563" w14:textId="77777777" w:rsidTr="00D4226B">
        <w:tc>
          <w:tcPr>
            <w:tcW w:w="1560" w:type="dxa"/>
          </w:tcPr>
          <w:p w14:paraId="078092E2" w14:textId="77777777" w:rsidR="0003243C" w:rsidRDefault="0003243C" w:rsidP="00D4226B">
            <w:pPr>
              <w:tabs>
                <w:tab w:val="left" w:pos="993"/>
              </w:tabs>
              <w:jc w:val="center"/>
              <w:rPr>
                <w:rFonts w:ascii="Arial" w:hAnsi="Arial" w:cs="Arial"/>
                <w:b/>
              </w:rPr>
            </w:pPr>
            <w:r>
              <w:rPr>
                <w:rFonts w:ascii="Arial" w:hAnsi="Arial" w:cs="Arial"/>
                <w:b/>
              </w:rPr>
              <w:t>136</w:t>
            </w:r>
          </w:p>
        </w:tc>
        <w:tc>
          <w:tcPr>
            <w:tcW w:w="8930" w:type="dxa"/>
          </w:tcPr>
          <w:p w14:paraId="6A8FA0D2" w14:textId="77777777" w:rsidR="0003243C" w:rsidRPr="00F56560" w:rsidRDefault="0003243C" w:rsidP="00D4226B">
            <w:pPr>
              <w:jc w:val="both"/>
              <w:rPr>
                <w:rFonts w:ascii="Arial" w:hAnsi="Arial" w:cs="Arial"/>
                <w:b/>
                <w:sz w:val="22"/>
                <w:szCs w:val="22"/>
                <w:lang w:val="es-MX"/>
              </w:rPr>
            </w:pPr>
            <w:r w:rsidRPr="00F56560">
              <w:rPr>
                <w:rFonts w:ascii="Arial" w:hAnsi="Arial" w:cs="Arial"/>
                <w:b/>
                <w:sz w:val="22"/>
                <w:szCs w:val="22"/>
                <w:lang w:val="es-MX"/>
              </w:rPr>
              <w:t>LA PREVISORA S.A. – COMPAÑÍA DE SEGUROS S.A.</w:t>
            </w:r>
          </w:p>
        </w:tc>
      </w:tr>
      <w:tr w:rsidR="0003243C" w:rsidRPr="00E54952" w14:paraId="53A5C25B" w14:textId="77777777" w:rsidTr="00D4226B">
        <w:tc>
          <w:tcPr>
            <w:tcW w:w="1560" w:type="dxa"/>
          </w:tcPr>
          <w:p w14:paraId="251EEC6D" w14:textId="77777777" w:rsidR="0003243C" w:rsidRDefault="0003243C" w:rsidP="00D4226B">
            <w:pPr>
              <w:tabs>
                <w:tab w:val="left" w:pos="993"/>
              </w:tabs>
              <w:jc w:val="center"/>
              <w:rPr>
                <w:rFonts w:ascii="Arial" w:hAnsi="Arial" w:cs="Arial"/>
                <w:b/>
              </w:rPr>
            </w:pPr>
            <w:r>
              <w:rPr>
                <w:rFonts w:ascii="Arial" w:hAnsi="Arial" w:cs="Arial"/>
                <w:b/>
              </w:rPr>
              <w:t>139</w:t>
            </w:r>
          </w:p>
        </w:tc>
        <w:tc>
          <w:tcPr>
            <w:tcW w:w="8930" w:type="dxa"/>
          </w:tcPr>
          <w:p w14:paraId="2E60D3B0" w14:textId="77777777" w:rsidR="0003243C" w:rsidRPr="00394681" w:rsidRDefault="0003243C" w:rsidP="00D4226B">
            <w:pPr>
              <w:jc w:val="both"/>
              <w:rPr>
                <w:rFonts w:ascii="Arial" w:hAnsi="Arial" w:cs="Arial"/>
                <w:b/>
                <w:sz w:val="22"/>
                <w:szCs w:val="22"/>
                <w:lang w:val="es-MX"/>
              </w:rPr>
            </w:pPr>
            <w:r w:rsidRPr="00394681">
              <w:rPr>
                <w:rFonts w:ascii="Arial" w:hAnsi="Arial" w:cs="Arial"/>
                <w:b/>
                <w:sz w:val="22"/>
                <w:szCs w:val="22"/>
              </w:rPr>
              <w:t>FONDO DE GARANTÍAS DE INSTITUCIONES FINANCIERAS – FOGAFIN.</w:t>
            </w:r>
          </w:p>
        </w:tc>
      </w:tr>
      <w:tr w:rsidR="0003243C" w:rsidRPr="00E54952" w14:paraId="6D03E529" w14:textId="77777777" w:rsidTr="00D4226B">
        <w:tc>
          <w:tcPr>
            <w:tcW w:w="1560" w:type="dxa"/>
          </w:tcPr>
          <w:p w14:paraId="191DF879" w14:textId="77777777" w:rsidR="0003243C" w:rsidRDefault="0003243C" w:rsidP="00D4226B">
            <w:pPr>
              <w:tabs>
                <w:tab w:val="left" w:pos="993"/>
              </w:tabs>
              <w:jc w:val="center"/>
              <w:rPr>
                <w:rFonts w:ascii="Arial" w:hAnsi="Arial" w:cs="Arial"/>
                <w:b/>
              </w:rPr>
            </w:pPr>
            <w:r>
              <w:rPr>
                <w:rFonts w:ascii="Arial" w:hAnsi="Arial" w:cs="Arial"/>
                <w:b/>
              </w:rPr>
              <w:t>148</w:t>
            </w:r>
          </w:p>
        </w:tc>
        <w:tc>
          <w:tcPr>
            <w:tcW w:w="8930" w:type="dxa"/>
          </w:tcPr>
          <w:p w14:paraId="2DD20483" w14:textId="77777777" w:rsidR="0003243C" w:rsidRPr="0023218E" w:rsidRDefault="0003243C" w:rsidP="00D4226B">
            <w:pPr>
              <w:jc w:val="both"/>
              <w:rPr>
                <w:rFonts w:ascii="Arial" w:hAnsi="Arial" w:cs="Arial"/>
                <w:b/>
                <w:sz w:val="22"/>
                <w:szCs w:val="22"/>
                <w:lang w:val="es-MX"/>
              </w:rPr>
            </w:pPr>
            <w:r w:rsidRPr="0023218E">
              <w:rPr>
                <w:rFonts w:ascii="Arial" w:hAnsi="Arial" w:cs="Arial"/>
                <w:b/>
                <w:sz w:val="22"/>
                <w:szCs w:val="22"/>
                <w:lang w:val="es-MX"/>
              </w:rPr>
              <w:t>SUPERINTENDENCIA DE SERVICIOS PÚBLICOS DOMICILIARIOS - SUPERSERVICIOS.</w:t>
            </w:r>
          </w:p>
        </w:tc>
      </w:tr>
      <w:tr w:rsidR="0003243C" w:rsidRPr="00E54952" w14:paraId="4624CCD7" w14:textId="77777777" w:rsidTr="00D4226B">
        <w:tc>
          <w:tcPr>
            <w:tcW w:w="1560" w:type="dxa"/>
          </w:tcPr>
          <w:p w14:paraId="497B525A" w14:textId="77777777" w:rsidR="0003243C" w:rsidRDefault="0003243C" w:rsidP="00D4226B">
            <w:pPr>
              <w:tabs>
                <w:tab w:val="left" w:pos="993"/>
              </w:tabs>
              <w:jc w:val="center"/>
              <w:rPr>
                <w:rFonts w:ascii="Arial" w:hAnsi="Arial" w:cs="Arial"/>
                <w:b/>
              </w:rPr>
            </w:pPr>
            <w:r>
              <w:rPr>
                <w:rFonts w:ascii="Arial" w:hAnsi="Arial" w:cs="Arial"/>
                <w:b/>
              </w:rPr>
              <w:t>149</w:t>
            </w:r>
          </w:p>
        </w:tc>
        <w:tc>
          <w:tcPr>
            <w:tcW w:w="8930" w:type="dxa"/>
          </w:tcPr>
          <w:p w14:paraId="1B13154C" w14:textId="77777777" w:rsidR="0003243C" w:rsidRPr="00454F23" w:rsidRDefault="0003243C" w:rsidP="00D4226B">
            <w:pPr>
              <w:jc w:val="both"/>
              <w:rPr>
                <w:rFonts w:ascii="Arial" w:hAnsi="Arial" w:cs="Arial"/>
                <w:b/>
                <w:sz w:val="22"/>
                <w:szCs w:val="22"/>
                <w:lang w:val="es-MX"/>
              </w:rPr>
            </w:pPr>
            <w:r w:rsidRPr="00454F23">
              <w:rPr>
                <w:rFonts w:ascii="Arial" w:hAnsi="Arial" w:cs="Arial"/>
                <w:b/>
                <w:sz w:val="22"/>
                <w:szCs w:val="22"/>
                <w:lang w:val="es-MX"/>
              </w:rPr>
              <w:t xml:space="preserve">U.A.E. AERONAUTICA CIVIL </w:t>
            </w:r>
            <w:r>
              <w:rPr>
                <w:rFonts w:ascii="Arial" w:hAnsi="Arial" w:cs="Arial"/>
                <w:b/>
                <w:sz w:val="22"/>
                <w:szCs w:val="22"/>
                <w:lang w:val="es-MX"/>
              </w:rPr>
              <w:t>–</w:t>
            </w:r>
            <w:r w:rsidRPr="00454F23">
              <w:rPr>
                <w:rFonts w:ascii="Arial" w:hAnsi="Arial" w:cs="Arial"/>
                <w:b/>
                <w:sz w:val="22"/>
                <w:szCs w:val="22"/>
                <w:lang w:val="es-MX"/>
              </w:rPr>
              <w:t xml:space="preserve"> AEROCIVIL</w:t>
            </w:r>
            <w:r>
              <w:rPr>
                <w:rFonts w:ascii="Arial" w:hAnsi="Arial" w:cs="Arial"/>
                <w:b/>
                <w:sz w:val="22"/>
                <w:szCs w:val="22"/>
                <w:lang w:val="es-MX"/>
              </w:rPr>
              <w:t>.</w:t>
            </w:r>
          </w:p>
        </w:tc>
      </w:tr>
      <w:tr w:rsidR="0003243C" w:rsidRPr="00E54952" w14:paraId="386ACC32" w14:textId="77777777" w:rsidTr="00D4226B">
        <w:tc>
          <w:tcPr>
            <w:tcW w:w="1560" w:type="dxa"/>
          </w:tcPr>
          <w:p w14:paraId="0CD331D8" w14:textId="77777777" w:rsidR="0003243C" w:rsidRDefault="0003243C" w:rsidP="00D4226B">
            <w:pPr>
              <w:tabs>
                <w:tab w:val="left" w:pos="993"/>
              </w:tabs>
              <w:jc w:val="center"/>
              <w:rPr>
                <w:rFonts w:ascii="Arial" w:hAnsi="Arial" w:cs="Arial"/>
                <w:b/>
              </w:rPr>
            </w:pPr>
            <w:r>
              <w:rPr>
                <w:rFonts w:ascii="Arial" w:hAnsi="Arial" w:cs="Arial"/>
                <w:b/>
              </w:rPr>
              <w:t>150</w:t>
            </w:r>
          </w:p>
        </w:tc>
        <w:tc>
          <w:tcPr>
            <w:tcW w:w="8930" w:type="dxa"/>
          </w:tcPr>
          <w:p w14:paraId="1D2BE7DD" w14:textId="77777777" w:rsidR="0003243C" w:rsidRPr="007B6718" w:rsidRDefault="0003243C" w:rsidP="00D4226B">
            <w:pPr>
              <w:jc w:val="both"/>
              <w:rPr>
                <w:rFonts w:ascii="Arial" w:hAnsi="Arial" w:cs="Arial"/>
                <w:b/>
                <w:sz w:val="22"/>
                <w:szCs w:val="22"/>
                <w:lang w:val="es-MX"/>
              </w:rPr>
            </w:pPr>
            <w:r w:rsidRPr="007B6718">
              <w:rPr>
                <w:rFonts w:ascii="Arial" w:hAnsi="Arial" w:cs="Arial"/>
                <w:b/>
                <w:sz w:val="22"/>
                <w:szCs w:val="22"/>
                <w:lang w:val="es-MX"/>
              </w:rPr>
              <w:t>MINISTERIO DE JUSTICIA Y DEL DERECHO.</w:t>
            </w:r>
          </w:p>
        </w:tc>
      </w:tr>
      <w:tr w:rsidR="0003243C" w:rsidRPr="00E54952" w14:paraId="33DCCD41" w14:textId="77777777" w:rsidTr="00D4226B">
        <w:tc>
          <w:tcPr>
            <w:tcW w:w="1560" w:type="dxa"/>
          </w:tcPr>
          <w:p w14:paraId="74287BDE" w14:textId="77777777" w:rsidR="0003243C" w:rsidRDefault="0003243C" w:rsidP="00D4226B">
            <w:pPr>
              <w:tabs>
                <w:tab w:val="left" w:pos="993"/>
              </w:tabs>
              <w:jc w:val="center"/>
              <w:rPr>
                <w:rFonts w:ascii="Arial" w:hAnsi="Arial" w:cs="Arial"/>
                <w:b/>
              </w:rPr>
            </w:pPr>
            <w:r>
              <w:rPr>
                <w:rFonts w:ascii="Arial" w:hAnsi="Arial" w:cs="Arial"/>
                <w:b/>
              </w:rPr>
              <w:t>153</w:t>
            </w:r>
          </w:p>
        </w:tc>
        <w:tc>
          <w:tcPr>
            <w:tcW w:w="8930" w:type="dxa"/>
          </w:tcPr>
          <w:p w14:paraId="5024EE75" w14:textId="77777777" w:rsidR="0003243C" w:rsidRPr="00001621" w:rsidRDefault="0003243C" w:rsidP="00D4226B">
            <w:pPr>
              <w:jc w:val="both"/>
              <w:rPr>
                <w:rFonts w:ascii="Arial" w:hAnsi="Arial" w:cs="Arial"/>
                <w:b/>
                <w:sz w:val="22"/>
                <w:szCs w:val="22"/>
              </w:rPr>
            </w:pPr>
            <w:r w:rsidRPr="00001621">
              <w:rPr>
                <w:rFonts w:ascii="Arial" w:hAnsi="Arial" w:cs="Arial"/>
                <w:b/>
                <w:sz w:val="22"/>
                <w:szCs w:val="22"/>
              </w:rPr>
              <w:t>INSTITUTO COLOMBIANO PARA LA EVALUACIÓN DE LA EDUCACIÓN - ICFES.</w:t>
            </w:r>
          </w:p>
        </w:tc>
      </w:tr>
      <w:tr w:rsidR="0003243C" w:rsidRPr="00E54952" w14:paraId="6AEBD74F" w14:textId="77777777" w:rsidTr="00D4226B">
        <w:tc>
          <w:tcPr>
            <w:tcW w:w="1560" w:type="dxa"/>
          </w:tcPr>
          <w:p w14:paraId="38BB0CC8" w14:textId="77777777" w:rsidR="0003243C" w:rsidRDefault="0003243C" w:rsidP="00D4226B">
            <w:pPr>
              <w:tabs>
                <w:tab w:val="left" w:pos="993"/>
              </w:tabs>
              <w:jc w:val="center"/>
              <w:rPr>
                <w:rFonts w:ascii="Arial" w:hAnsi="Arial" w:cs="Arial"/>
                <w:b/>
              </w:rPr>
            </w:pPr>
            <w:r>
              <w:rPr>
                <w:rFonts w:ascii="Arial" w:hAnsi="Arial" w:cs="Arial"/>
                <w:b/>
              </w:rPr>
              <w:t>158</w:t>
            </w:r>
          </w:p>
        </w:tc>
        <w:tc>
          <w:tcPr>
            <w:tcW w:w="8930" w:type="dxa"/>
          </w:tcPr>
          <w:p w14:paraId="7AE62A25" w14:textId="77777777" w:rsidR="0003243C" w:rsidRPr="00EB6FB8" w:rsidRDefault="0003243C" w:rsidP="00D4226B">
            <w:pPr>
              <w:jc w:val="both"/>
              <w:rPr>
                <w:rFonts w:ascii="Arial" w:hAnsi="Arial" w:cs="Arial"/>
                <w:b/>
                <w:sz w:val="22"/>
                <w:szCs w:val="22"/>
                <w:lang w:val="es-MX"/>
              </w:rPr>
            </w:pPr>
            <w:r w:rsidRPr="00EB6FB8">
              <w:rPr>
                <w:rFonts w:ascii="Arial" w:hAnsi="Arial" w:cs="Arial"/>
                <w:b/>
                <w:sz w:val="22"/>
                <w:szCs w:val="22"/>
                <w:lang w:val="es-MX"/>
              </w:rPr>
              <w:t>CORPORACIÓN AUTÓNOMA REGIONAL DE NARIÑO – CORPONARIÑO.</w:t>
            </w:r>
          </w:p>
        </w:tc>
      </w:tr>
      <w:tr w:rsidR="0003243C" w:rsidRPr="00E54952" w14:paraId="09E771EE" w14:textId="77777777" w:rsidTr="00D4226B">
        <w:tc>
          <w:tcPr>
            <w:tcW w:w="1560" w:type="dxa"/>
          </w:tcPr>
          <w:p w14:paraId="74AFD3ED" w14:textId="77777777" w:rsidR="0003243C" w:rsidRDefault="0003243C" w:rsidP="00D4226B">
            <w:pPr>
              <w:tabs>
                <w:tab w:val="left" w:pos="993"/>
              </w:tabs>
              <w:jc w:val="center"/>
              <w:rPr>
                <w:rFonts w:ascii="Arial" w:hAnsi="Arial" w:cs="Arial"/>
                <w:b/>
              </w:rPr>
            </w:pPr>
            <w:r>
              <w:rPr>
                <w:rFonts w:ascii="Arial" w:hAnsi="Arial" w:cs="Arial"/>
                <w:b/>
              </w:rPr>
              <w:t>160</w:t>
            </w:r>
          </w:p>
        </w:tc>
        <w:tc>
          <w:tcPr>
            <w:tcW w:w="8930" w:type="dxa"/>
          </w:tcPr>
          <w:p w14:paraId="18623066" w14:textId="77777777" w:rsidR="0003243C" w:rsidRPr="007C1540" w:rsidRDefault="0003243C" w:rsidP="00D4226B">
            <w:pPr>
              <w:jc w:val="both"/>
              <w:rPr>
                <w:rFonts w:ascii="Arial" w:hAnsi="Arial" w:cs="Arial"/>
                <w:b/>
                <w:sz w:val="22"/>
                <w:szCs w:val="22"/>
              </w:rPr>
            </w:pPr>
            <w:r w:rsidRPr="007C1540">
              <w:rPr>
                <w:rFonts w:ascii="Arial" w:hAnsi="Arial" w:cs="Arial"/>
                <w:b/>
                <w:sz w:val="22"/>
                <w:szCs w:val="22"/>
              </w:rPr>
              <w:t>UNIVERSIDAD TECNOLÓGICA DEL CHOCÓ - DIEGO LUIS CÓRDOBA.</w:t>
            </w:r>
          </w:p>
        </w:tc>
      </w:tr>
      <w:tr w:rsidR="0003243C" w:rsidRPr="00E54952" w14:paraId="160B28DC" w14:textId="77777777" w:rsidTr="00D4226B">
        <w:tc>
          <w:tcPr>
            <w:tcW w:w="1560" w:type="dxa"/>
          </w:tcPr>
          <w:p w14:paraId="0F0A65C5" w14:textId="77777777" w:rsidR="0003243C" w:rsidRDefault="0003243C" w:rsidP="00D4226B">
            <w:pPr>
              <w:tabs>
                <w:tab w:val="left" w:pos="993"/>
              </w:tabs>
              <w:jc w:val="center"/>
              <w:rPr>
                <w:rFonts w:ascii="Arial" w:hAnsi="Arial" w:cs="Arial"/>
                <w:b/>
              </w:rPr>
            </w:pPr>
            <w:r>
              <w:rPr>
                <w:rFonts w:ascii="Arial" w:hAnsi="Arial" w:cs="Arial"/>
                <w:b/>
              </w:rPr>
              <w:t>163</w:t>
            </w:r>
          </w:p>
        </w:tc>
        <w:tc>
          <w:tcPr>
            <w:tcW w:w="8930" w:type="dxa"/>
          </w:tcPr>
          <w:p w14:paraId="1CEEF3C9" w14:textId="77777777" w:rsidR="0003243C" w:rsidRPr="004E2A39" w:rsidRDefault="0003243C" w:rsidP="00D4226B">
            <w:pPr>
              <w:jc w:val="both"/>
              <w:rPr>
                <w:rFonts w:ascii="Arial" w:hAnsi="Arial" w:cs="Arial"/>
                <w:b/>
                <w:sz w:val="22"/>
                <w:szCs w:val="22"/>
                <w:lang w:val="es-MX"/>
              </w:rPr>
            </w:pPr>
            <w:r w:rsidRPr="004E2A39">
              <w:rPr>
                <w:rFonts w:ascii="Arial" w:hAnsi="Arial" w:cs="Arial"/>
                <w:b/>
                <w:sz w:val="22"/>
                <w:szCs w:val="22"/>
                <w:lang w:val="es-MX"/>
              </w:rPr>
              <w:t>COMISIÓN DE REGULACIÓN DE ENERGÍA Y GAS - CREG.</w:t>
            </w:r>
          </w:p>
        </w:tc>
      </w:tr>
      <w:tr w:rsidR="0003243C" w:rsidRPr="00E54952" w14:paraId="0C192CA7" w14:textId="77777777" w:rsidTr="00D4226B">
        <w:tc>
          <w:tcPr>
            <w:tcW w:w="1560" w:type="dxa"/>
          </w:tcPr>
          <w:p w14:paraId="452B344C" w14:textId="77777777" w:rsidR="0003243C" w:rsidRDefault="0003243C" w:rsidP="00D4226B">
            <w:pPr>
              <w:tabs>
                <w:tab w:val="left" w:pos="993"/>
              </w:tabs>
              <w:jc w:val="center"/>
              <w:rPr>
                <w:rFonts w:ascii="Arial" w:hAnsi="Arial" w:cs="Arial"/>
                <w:b/>
              </w:rPr>
            </w:pPr>
            <w:r>
              <w:rPr>
                <w:rFonts w:ascii="Arial" w:hAnsi="Arial" w:cs="Arial"/>
                <w:b/>
              </w:rPr>
              <w:t>164</w:t>
            </w:r>
          </w:p>
        </w:tc>
        <w:tc>
          <w:tcPr>
            <w:tcW w:w="8930" w:type="dxa"/>
          </w:tcPr>
          <w:p w14:paraId="2582202D" w14:textId="77777777" w:rsidR="0003243C" w:rsidRPr="00403078" w:rsidRDefault="0003243C" w:rsidP="00D4226B">
            <w:pPr>
              <w:jc w:val="both"/>
              <w:rPr>
                <w:rFonts w:ascii="Arial" w:hAnsi="Arial" w:cs="Arial"/>
                <w:b/>
                <w:sz w:val="22"/>
                <w:szCs w:val="22"/>
                <w:lang w:val="es-MX"/>
              </w:rPr>
            </w:pPr>
            <w:r w:rsidRPr="00403078">
              <w:rPr>
                <w:rFonts w:ascii="Arial" w:hAnsi="Arial" w:cs="Arial"/>
                <w:b/>
                <w:sz w:val="22"/>
                <w:szCs w:val="22"/>
                <w:lang w:val="es-MX"/>
              </w:rPr>
              <w:t>AGENCIA NACIONAL DE SEGURIDAD VIAL.</w:t>
            </w:r>
          </w:p>
        </w:tc>
      </w:tr>
      <w:tr w:rsidR="0003243C" w:rsidRPr="00E54952" w14:paraId="5A38954F" w14:textId="77777777" w:rsidTr="00D4226B">
        <w:tc>
          <w:tcPr>
            <w:tcW w:w="1560" w:type="dxa"/>
          </w:tcPr>
          <w:p w14:paraId="3CD2AF07" w14:textId="77777777" w:rsidR="0003243C" w:rsidRDefault="0003243C" w:rsidP="00D4226B">
            <w:pPr>
              <w:tabs>
                <w:tab w:val="left" w:pos="993"/>
              </w:tabs>
              <w:jc w:val="center"/>
              <w:rPr>
                <w:rFonts w:ascii="Arial" w:hAnsi="Arial" w:cs="Arial"/>
                <w:b/>
              </w:rPr>
            </w:pPr>
            <w:r>
              <w:rPr>
                <w:rFonts w:ascii="Arial" w:hAnsi="Arial" w:cs="Arial"/>
                <w:b/>
              </w:rPr>
              <w:t>166</w:t>
            </w:r>
          </w:p>
        </w:tc>
        <w:tc>
          <w:tcPr>
            <w:tcW w:w="8930" w:type="dxa"/>
          </w:tcPr>
          <w:p w14:paraId="79916765" w14:textId="77777777" w:rsidR="0003243C" w:rsidRPr="0027797E" w:rsidRDefault="0003243C" w:rsidP="00D4226B">
            <w:pPr>
              <w:jc w:val="both"/>
              <w:rPr>
                <w:rFonts w:ascii="Arial" w:hAnsi="Arial" w:cs="Arial"/>
                <w:b/>
                <w:sz w:val="22"/>
                <w:szCs w:val="22"/>
              </w:rPr>
            </w:pPr>
            <w:r w:rsidRPr="0027797E">
              <w:rPr>
                <w:rFonts w:ascii="Arial" w:hAnsi="Arial" w:cs="Arial"/>
                <w:b/>
                <w:sz w:val="22"/>
                <w:szCs w:val="22"/>
              </w:rPr>
              <w:t>CORPORACIÓN PARA EL DESARROLLO DEL AREA DE MANEJO ESPECIAL LA MACARENA – CORMACARENA.</w:t>
            </w:r>
          </w:p>
        </w:tc>
      </w:tr>
      <w:tr w:rsidR="0003243C" w:rsidRPr="00E54952" w14:paraId="1AF1C0EE" w14:textId="77777777" w:rsidTr="00D4226B">
        <w:tc>
          <w:tcPr>
            <w:tcW w:w="1560" w:type="dxa"/>
          </w:tcPr>
          <w:p w14:paraId="47C4EF36" w14:textId="77777777" w:rsidR="0003243C" w:rsidRDefault="0003243C" w:rsidP="00D4226B">
            <w:pPr>
              <w:tabs>
                <w:tab w:val="left" w:pos="993"/>
              </w:tabs>
              <w:jc w:val="center"/>
              <w:rPr>
                <w:rFonts w:ascii="Arial" w:hAnsi="Arial" w:cs="Arial"/>
                <w:b/>
              </w:rPr>
            </w:pPr>
            <w:r>
              <w:rPr>
                <w:rFonts w:ascii="Arial" w:hAnsi="Arial" w:cs="Arial"/>
                <w:b/>
              </w:rPr>
              <w:t>172</w:t>
            </w:r>
          </w:p>
        </w:tc>
        <w:tc>
          <w:tcPr>
            <w:tcW w:w="8930" w:type="dxa"/>
          </w:tcPr>
          <w:p w14:paraId="6919B997" w14:textId="77777777" w:rsidR="0003243C" w:rsidRPr="000A2EF6" w:rsidRDefault="0003243C" w:rsidP="00D4226B">
            <w:pPr>
              <w:ind w:left="32"/>
              <w:jc w:val="both"/>
              <w:rPr>
                <w:rFonts w:ascii="Arial" w:hAnsi="Arial" w:cs="Arial"/>
                <w:b/>
                <w:sz w:val="22"/>
                <w:szCs w:val="22"/>
              </w:rPr>
            </w:pPr>
            <w:r w:rsidRPr="000A2EF6">
              <w:rPr>
                <w:rFonts w:ascii="Arial" w:hAnsi="Arial" w:cs="Arial"/>
                <w:b/>
                <w:sz w:val="22"/>
                <w:szCs w:val="22"/>
                <w:lang w:val="es-MX"/>
              </w:rPr>
              <w:t>POLICÍA NACIONAL.</w:t>
            </w:r>
          </w:p>
        </w:tc>
      </w:tr>
      <w:tr w:rsidR="0003243C" w:rsidRPr="00E54952" w14:paraId="4C6EC8B6" w14:textId="77777777" w:rsidTr="00D4226B">
        <w:tc>
          <w:tcPr>
            <w:tcW w:w="1560" w:type="dxa"/>
          </w:tcPr>
          <w:p w14:paraId="47833397" w14:textId="77777777" w:rsidR="0003243C" w:rsidRDefault="0003243C" w:rsidP="00D4226B">
            <w:pPr>
              <w:tabs>
                <w:tab w:val="left" w:pos="993"/>
              </w:tabs>
              <w:jc w:val="center"/>
              <w:rPr>
                <w:rFonts w:ascii="Arial" w:hAnsi="Arial" w:cs="Arial"/>
                <w:b/>
              </w:rPr>
            </w:pPr>
            <w:r>
              <w:rPr>
                <w:rFonts w:ascii="Arial" w:hAnsi="Arial" w:cs="Arial"/>
                <w:b/>
              </w:rPr>
              <w:t>177</w:t>
            </w:r>
          </w:p>
        </w:tc>
        <w:tc>
          <w:tcPr>
            <w:tcW w:w="8930" w:type="dxa"/>
          </w:tcPr>
          <w:p w14:paraId="0F5F0C7D" w14:textId="77777777" w:rsidR="0003243C" w:rsidRPr="00E743B8" w:rsidRDefault="0003243C" w:rsidP="00D4226B">
            <w:pPr>
              <w:jc w:val="both"/>
              <w:rPr>
                <w:rFonts w:ascii="Arial" w:hAnsi="Arial" w:cs="Arial"/>
                <w:b/>
                <w:sz w:val="28"/>
                <w:szCs w:val="28"/>
                <w:lang w:val="es-MX"/>
              </w:rPr>
            </w:pPr>
            <w:r w:rsidRPr="00E743B8">
              <w:rPr>
                <w:rFonts w:ascii="Arial" w:hAnsi="Arial" w:cs="Arial"/>
                <w:b/>
                <w:sz w:val="22"/>
                <w:szCs w:val="22"/>
                <w:lang w:val="es-MX"/>
              </w:rPr>
              <w:t>FONDO DE DESARROLLO DE LA EDUCACIÓN SUPERIOR – FODESEP</w:t>
            </w:r>
            <w:r w:rsidRPr="00AD57F7">
              <w:rPr>
                <w:rFonts w:ascii="Arial" w:hAnsi="Arial" w:cs="Arial"/>
                <w:b/>
                <w:sz w:val="28"/>
                <w:szCs w:val="28"/>
                <w:lang w:val="es-MX"/>
              </w:rPr>
              <w:t>.</w:t>
            </w:r>
          </w:p>
        </w:tc>
      </w:tr>
      <w:tr w:rsidR="0003243C" w:rsidRPr="00E54952" w14:paraId="604C7427" w14:textId="77777777" w:rsidTr="00D4226B">
        <w:tc>
          <w:tcPr>
            <w:tcW w:w="1560" w:type="dxa"/>
          </w:tcPr>
          <w:p w14:paraId="5116DBE3" w14:textId="77777777" w:rsidR="0003243C" w:rsidRDefault="0003243C" w:rsidP="00D4226B">
            <w:pPr>
              <w:tabs>
                <w:tab w:val="left" w:pos="993"/>
              </w:tabs>
              <w:jc w:val="center"/>
              <w:rPr>
                <w:rFonts w:ascii="Arial" w:hAnsi="Arial" w:cs="Arial"/>
                <w:b/>
              </w:rPr>
            </w:pPr>
            <w:r>
              <w:rPr>
                <w:rFonts w:ascii="Arial" w:hAnsi="Arial" w:cs="Arial"/>
                <w:b/>
              </w:rPr>
              <w:t>182</w:t>
            </w:r>
          </w:p>
        </w:tc>
        <w:tc>
          <w:tcPr>
            <w:tcW w:w="8930" w:type="dxa"/>
          </w:tcPr>
          <w:p w14:paraId="74FE7146" w14:textId="77777777" w:rsidR="0003243C" w:rsidRPr="00E743B8" w:rsidRDefault="0003243C" w:rsidP="00D4226B">
            <w:pPr>
              <w:jc w:val="both"/>
              <w:rPr>
                <w:rFonts w:ascii="Arial" w:hAnsi="Arial" w:cs="Arial"/>
                <w:b/>
                <w:lang w:val="es-MX"/>
              </w:rPr>
            </w:pPr>
            <w:r w:rsidRPr="00F167DA">
              <w:rPr>
                <w:rFonts w:ascii="Arial" w:hAnsi="Arial" w:cs="Arial"/>
                <w:b/>
                <w:sz w:val="22"/>
                <w:szCs w:val="22"/>
                <w:lang w:val="es-MX"/>
              </w:rPr>
              <w:t>INSTITUTO DE PLANIFICACION Y PROMOCION DE SOLUCIONES ENERGETICAS - IPSE.</w:t>
            </w:r>
          </w:p>
        </w:tc>
      </w:tr>
      <w:tr w:rsidR="0003243C" w:rsidRPr="00E54952" w14:paraId="7058EDF9" w14:textId="77777777" w:rsidTr="00D4226B">
        <w:tc>
          <w:tcPr>
            <w:tcW w:w="1560" w:type="dxa"/>
          </w:tcPr>
          <w:p w14:paraId="7010E165" w14:textId="77777777" w:rsidR="0003243C" w:rsidRDefault="0003243C" w:rsidP="00D4226B">
            <w:pPr>
              <w:tabs>
                <w:tab w:val="left" w:pos="993"/>
              </w:tabs>
              <w:jc w:val="center"/>
              <w:rPr>
                <w:rFonts w:ascii="Arial" w:hAnsi="Arial" w:cs="Arial"/>
                <w:b/>
              </w:rPr>
            </w:pPr>
            <w:r>
              <w:rPr>
                <w:rFonts w:ascii="Arial" w:hAnsi="Arial" w:cs="Arial"/>
                <w:b/>
              </w:rPr>
              <w:t>185</w:t>
            </w:r>
          </w:p>
        </w:tc>
        <w:tc>
          <w:tcPr>
            <w:tcW w:w="8930" w:type="dxa"/>
          </w:tcPr>
          <w:p w14:paraId="52A3C8BD" w14:textId="77777777" w:rsidR="0003243C" w:rsidRPr="005C29A0" w:rsidRDefault="0003243C" w:rsidP="00D4226B">
            <w:pPr>
              <w:jc w:val="both"/>
              <w:rPr>
                <w:rFonts w:ascii="Arial" w:hAnsi="Arial" w:cs="Arial"/>
                <w:b/>
                <w:sz w:val="22"/>
                <w:szCs w:val="22"/>
                <w:lang w:val="es-MX"/>
              </w:rPr>
            </w:pPr>
            <w:r w:rsidRPr="005C29A0">
              <w:rPr>
                <w:rFonts w:ascii="Arial" w:hAnsi="Arial" w:cs="Arial"/>
                <w:b/>
                <w:sz w:val="22"/>
                <w:szCs w:val="22"/>
              </w:rPr>
              <w:t>UNIVERSIDAD NACIONAL ABIERTA Y A DISTANCIA – UNAD.</w:t>
            </w:r>
          </w:p>
        </w:tc>
      </w:tr>
      <w:tr w:rsidR="0003243C" w:rsidRPr="00E54952" w14:paraId="74CDA6C7" w14:textId="77777777" w:rsidTr="00D4226B">
        <w:tc>
          <w:tcPr>
            <w:tcW w:w="1560" w:type="dxa"/>
          </w:tcPr>
          <w:p w14:paraId="1EAE5834" w14:textId="77777777" w:rsidR="0003243C" w:rsidRDefault="0003243C" w:rsidP="00D4226B">
            <w:pPr>
              <w:tabs>
                <w:tab w:val="left" w:pos="993"/>
              </w:tabs>
              <w:jc w:val="center"/>
              <w:rPr>
                <w:rFonts w:ascii="Arial" w:hAnsi="Arial" w:cs="Arial"/>
                <w:b/>
              </w:rPr>
            </w:pPr>
            <w:r>
              <w:rPr>
                <w:rFonts w:ascii="Arial" w:hAnsi="Arial" w:cs="Arial"/>
                <w:b/>
              </w:rPr>
              <w:t>186</w:t>
            </w:r>
          </w:p>
        </w:tc>
        <w:tc>
          <w:tcPr>
            <w:tcW w:w="8930" w:type="dxa"/>
          </w:tcPr>
          <w:p w14:paraId="217A885A" w14:textId="77777777" w:rsidR="0003243C" w:rsidRPr="005C29A0" w:rsidRDefault="0003243C" w:rsidP="00D4226B">
            <w:pPr>
              <w:jc w:val="both"/>
              <w:rPr>
                <w:rFonts w:ascii="Arial" w:hAnsi="Arial" w:cs="Arial"/>
                <w:b/>
              </w:rPr>
            </w:pPr>
            <w:r w:rsidRPr="008A645A">
              <w:rPr>
                <w:rFonts w:ascii="Arial" w:hAnsi="Arial" w:cs="Arial"/>
                <w:b/>
                <w:sz w:val="22"/>
                <w:szCs w:val="22"/>
              </w:rPr>
              <w:t>CORPORACIÓN AUTÓNOMA REGIONAL DE LAS CUENCAS DE LOS RIOS NEGRO Y NARE - CORNARE</w:t>
            </w:r>
            <w:r w:rsidRPr="008A645A">
              <w:rPr>
                <w:rFonts w:ascii="Arial" w:hAnsi="Arial" w:cs="Arial"/>
                <w:b/>
                <w:lang w:val="es-MX"/>
              </w:rPr>
              <w:t>.</w:t>
            </w:r>
          </w:p>
        </w:tc>
      </w:tr>
      <w:tr w:rsidR="0003243C" w:rsidRPr="00E54952" w14:paraId="3C7B8BDF" w14:textId="77777777" w:rsidTr="00D4226B">
        <w:tc>
          <w:tcPr>
            <w:tcW w:w="1560" w:type="dxa"/>
          </w:tcPr>
          <w:p w14:paraId="10842871" w14:textId="77777777" w:rsidR="0003243C" w:rsidRDefault="0003243C" w:rsidP="00D4226B">
            <w:pPr>
              <w:tabs>
                <w:tab w:val="left" w:pos="993"/>
              </w:tabs>
              <w:jc w:val="center"/>
              <w:rPr>
                <w:rFonts w:ascii="Arial" w:hAnsi="Arial" w:cs="Arial"/>
                <w:b/>
              </w:rPr>
            </w:pPr>
            <w:r>
              <w:rPr>
                <w:rFonts w:ascii="Arial" w:hAnsi="Arial" w:cs="Arial"/>
                <w:b/>
              </w:rPr>
              <w:lastRenderedPageBreak/>
              <w:t>187</w:t>
            </w:r>
          </w:p>
        </w:tc>
        <w:tc>
          <w:tcPr>
            <w:tcW w:w="8930" w:type="dxa"/>
          </w:tcPr>
          <w:p w14:paraId="39102C2D" w14:textId="77777777" w:rsidR="0003243C" w:rsidRPr="00D87FB6" w:rsidRDefault="0003243C" w:rsidP="00D4226B">
            <w:pPr>
              <w:ind w:right="-376"/>
              <w:jc w:val="both"/>
              <w:rPr>
                <w:rFonts w:ascii="Arial" w:hAnsi="Arial" w:cs="Arial"/>
                <w:b/>
                <w:sz w:val="22"/>
                <w:szCs w:val="22"/>
                <w:lang w:val="es-MX"/>
              </w:rPr>
            </w:pPr>
            <w:r w:rsidRPr="00D87FB6">
              <w:rPr>
                <w:rFonts w:ascii="Arial" w:hAnsi="Arial" w:cs="Arial"/>
                <w:b/>
                <w:sz w:val="22"/>
                <w:szCs w:val="22"/>
              </w:rPr>
              <w:t xml:space="preserve">MINISTERIO DE CIENCIA, TECNOLOGÍA E INNOVACIÓN </w:t>
            </w:r>
            <w:r>
              <w:rPr>
                <w:rFonts w:ascii="Arial" w:hAnsi="Arial" w:cs="Arial"/>
                <w:b/>
                <w:sz w:val="22"/>
                <w:szCs w:val="22"/>
              </w:rPr>
              <w:t>–</w:t>
            </w:r>
            <w:r w:rsidRPr="00D87FB6">
              <w:rPr>
                <w:rFonts w:ascii="Arial" w:hAnsi="Arial" w:cs="Arial"/>
                <w:b/>
                <w:sz w:val="22"/>
                <w:szCs w:val="22"/>
              </w:rPr>
              <w:t xml:space="preserve"> MINCIENCIAS</w:t>
            </w:r>
            <w:r>
              <w:rPr>
                <w:rFonts w:ascii="Arial" w:hAnsi="Arial" w:cs="Arial"/>
                <w:b/>
                <w:sz w:val="22"/>
                <w:szCs w:val="22"/>
              </w:rPr>
              <w:t>.</w:t>
            </w:r>
          </w:p>
        </w:tc>
      </w:tr>
      <w:tr w:rsidR="0003243C" w:rsidRPr="00E54952" w14:paraId="05D5DA09" w14:textId="77777777" w:rsidTr="00D4226B">
        <w:tc>
          <w:tcPr>
            <w:tcW w:w="1560" w:type="dxa"/>
          </w:tcPr>
          <w:p w14:paraId="6AB1B576" w14:textId="77777777" w:rsidR="0003243C" w:rsidRDefault="0003243C" w:rsidP="00D4226B">
            <w:pPr>
              <w:tabs>
                <w:tab w:val="left" w:pos="993"/>
              </w:tabs>
              <w:jc w:val="center"/>
              <w:rPr>
                <w:rFonts w:ascii="Arial" w:hAnsi="Arial" w:cs="Arial"/>
                <w:b/>
              </w:rPr>
            </w:pPr>
            <w:r>
              <w:rPr>
                <w:rFonts w:ascii="Arial" w:hAnsi="Arial" w:cs="Arial"/>
                <w:b/>
              </w:rPr>
              <w:t>188</w:t>
            </w:r>
          </w:p>
        </w:tc>
        <w:tc>
          <w:tcPr>
            <w:tcW w:w="8930" w:type="dxa"/>
          </w:tcPr>
          <w:p w14:paraId="3E8B6CB3" w14:textId="21BCF165" w:rsidR="0003243C" w:rsidRPr="00560A2F" w:rsidRDefault="0003243C" w:rsidP="00D4226B">
            <w:pPr>
              <w:jc w:val="both"/>
              <w:rPr>
                <w:rFonts w:ascii="Arial" w:hAnsi="Arial" w:cs="Arial"/>
                <w:b/>
                <w:sz w:val="22"/>
                <w:szCs w:val="22"/>
                <w:lang w:val="es-MX"/>
              </w:rPr>
            </w:pPr>
            <w:r w:rsidRPr="00560A2F">
              <w:rPr>
                <w:rFonts w:ascii="Arial" w:hAnsi="Arial" w:cs="Arial"/>
                <w:b/>
                <w:sz w:val="22"/>
                <w:szCs w:val="22"/>
                <w:lang w:val="es-MX"/>
              </w:rPr>
              <w:t>BANCO AGRARIO DE COLOMBIA S.A</w:t>
            </w:r>
            <w:r w:rsidR="00D926CD">
              <w:rPr>
                <w:rFonts w:ascii="Arial" w:hAnsi="Arial" w:cs="Arial"/>
                <w:b/>
                <w:sz w:val="22"/>
                <w:szCs w:val="22"/>
                <w:lang w:val="es-MX"/>
              </w:rPr>
              <w:t>.</w:t>
            </w:r>
          </w:p>
        </w:tc>
      </w:tr>
      <w:tr w:rsidR="0003243C" w:rsidRPr="00E54952" w14:paraId="5B3C2FDD" w14:textId="77777777" w:rsidTr="00D4226B">
        <w:tc>
          <w:tcPr>
            <w:tcW w:w="1560" w:type="dxa"/>
          </w:tcPr>
          <w:p w14:paraId="781A37EC" w14:textId="77777777" w:rsidR="0003243C" w:rsidRDefault="0003243C" w:rsidP="00D4226B">
            <w:pPr>
              <w:tabs>
                <w:tab w:val="left" w:pos="993"/>
              </w:tabs>
              <w:jc w:val="center"/>
              <w:rPr>
                <w:rFonts w:ascii="Arial" w:hAnsi="Arial" w:cs="Arial"/>
                <w:b/>
              </w:rPr>
            </w:pPr>
            <w:r>
              <w:rPr>
                <w:rFonts w:ascii="Arial" w:hAnsi="Arial" w:cs="Arial"/>
                <w:b/>
              </w:rPr>
              <w:t>189</w:t>
            </w:r>
          </w:p>
        </w:tc>
        <w:tc>
          <w:tcPr>
            <w:tcW w:w="8930" w:type="dxa"/>
          </w:tcPr>
          <w:p w14:paraId="20E062D4" w14:textId="77777777" w:rsidR="0003243C" w:rsidRPr="002252E4" w:rsidRDefault="0003243C" w:rsidP="00D4226B">
            <w:pPr>
              <w:jc w:val="both"/>
              <w:rPr>
                <w:rFonts w:ascii="Arial" w:hAnsi="Arial" w:cs="Arial"/>
                <w:b/>
                <w:sz w:val="22"/>
                <w:szCs w:val="22"/>
                <w:lang w:val="es-MX"/>
              </w:rPr>
            </w:pPr>
            <w:r w:rsidRPr="002252E4">
              <w:rPr>
                <w:rFonts w:ascii="Arial" w:hAnsi="Arial" w:cs="Arial"/>
                <w:b/>
                <w:sz w:val="22"/>
                <w:szCs w:val="22"/>
                <w:lang w:val="es-MX"/>
              </w:rPr>
              <w:t>FIDUCIARIA LA PREVISORA S.A. – FIDUPREVISORA S.A.</w:t>
            </w:r>
          </w:p>
        </w:tc>
      </w:tr>
      <w:tr w:rsidR="0003243C" w:rsidRPr="00E54952" w14:paraId="3F80D78C" w14:textId="77777777" w:rsidTr="00D4226B">
        <w:tc>
          <w:tcPr>
            <w:tcW w:w="1560" w:type="dxa"/>
          </w:tcPr>
          <w:p w14:paraId="2F050AC0" w14:textId="77777777" w:rsidR="0003243C" w:rsidRDefault="0003243C" w:rsidP="00D4226B">
            <w:pPr>
              <w:tabs>
                <w:tab w:val="left" w:pos="993"/>
              </w:tabs>
              <w:jc w:val="center"/>
              <w:rPr>
                <w:rFonts w:ascii="Arial" w:hAnsi="Arial" w:cs="Arial"/>
                <w:b/>
              </w:rPr>
            </w:pPr>
            <w:r>
              <w:rPr>
                <w:rFonts w:ascii="Arial" w:hAnsi="Arial" w:cs="Arial"/>
                <w:b/>
              </w:rPr>
              <w:t>191</w:t>
            </w:r>
          </w:p>
        </w:tc>
        <w:tc>
          <w:tcPr>
            <w:tcW w:w="8930" w:type="dxa"/>
          </w:tcPr>
          <w:p w14:paraId="6F7A3CF1" w14:textId="77777777" w:rsidR="0003243C" w:rsidRPr="007C1513" w:rsidRDefault="0003243C" w:rsidP="00D4226B">
            <w:pPr>
              <w:jc w:val="both"/>
              <w:rPr>
                <w:rFonts w:ascii="Arial" w:hAnsi="Arial" w:cs="Arial"/>
                <w:b/>
                <w:sz w:val="22"/>
                <w:szCs w:val="22"/>
                <w:lang w:val="es-MX"/>
              </w:rPr>
            </w:pPr>
            <w:r w:rsidRPr="007C1513">
              <w:rPr>
                <w:rFonts w:ascii="Arial" w:hAnsi="Arial" w:cs="Arial"/>
                <w:b/>
                <w:sz w:val="22"/>
                <w:szCs w:val="22"/>
                <w:lang w:val="es-MX"/>
              </w:rPr>
              <w:t>ELECTRIFICADORA DE LA GUAJIRA S.A. E.S.P. EN LIQUIDACIÓN – FIDUPREVISORA S.A.</w:t>
            </w:r>
          </w:p>
        </w:tc>
      </w:tr>
      <w:tr w:rsidR="0003243C" w:rsidRPr="00E54952" w14:paraId="5EF37319" w14:textId="77777777" w:rsidTr="00D4226B">
        <w:tc>
          <w:tcPr>
            <w:tcW w:w="1560" w:type="dxa"/>
          </w:tcPr>
          <w:p w14:paraId="4CD9E236" w14:textId="77777777" w:rsidR="0003243C" w:rsidRDefault="0003243C" w:rsidP="00D4226B">
            <w:pPr>
              <w:tabs>
                <w:tab w:val="left" w:pos="993"/>
              </w:tabs>
              <w:jc w:val="center"/>
              <w:rPr>
                <w:rFonts w:ascii="Arial" w:hAnsi="Arial" w:cs="Arial"/>
                <w:b/>
              </w:rPr>
            </w:pPr>
            <w:r>
              <w:rPr>
                <w:rFonts w:ascii="Arial" w:hAnsi="Arial" w:cs="Arial"/>
                <w:b/>
              </w:rPr>
              <w:t>200</w:t>
            </w:r>
          </w:p>
        </w:tc>
        <w:tc>
          <w:tcPr>
            <w:tcW w:w="8930" w:type="dxa"/>
          </w:tcPr>
          <w:p w14:paraId="5DC80EFA" w14:textId="77777777" w:rsidR="0003243C" w:rsidRPr="003B7510" w:rsidRDefault="0003243C" w:rsidP="00D4226B">
            <w:pPr>
              <w:jc w:val="both"/>
              <w:rPr>
                <w:rFonts w:ascii="Arial" w:hAnsi="Arial" w:cs="Arial"/>
                <w:b/>
                <w:sz w:val="22"/>
                <w:szCs w:val="22"/>
                <w:lang w:val="es-MX"/>
              </w:rPr>
            </w:pPr>
            <w:r w:rsidRPr="003B7510">
              <w:rPr>
                <w:rFonts w:ascii="Arial" w:hAnsi="Arial" w:cs="Arial"/>
                <w:b/>
                <w:sz w:val="22"/>
                <w:szCs w:val="22"/>
                <w:lang w:val="es-MX"/>
              </w:rPr>
              <w:t>PAP DEFENSA JURÍDICA EXTINTO DAS Y SU FONDO ROTATORIO – FIDUPREVISORA S.A.</w:t>
            </w:r>
          </w:p>
        </w:tc>
      </w:tr>
      <w:tr w:rsidR="0003243C" w:rsidRPr="00E54952" w14:paraId="05E94690" w14:textId="77777777" w:rsidTr="00D4226B">
        <w:tc>
          <w:tcPr>
            <w:tcW w:w="1560" w:type="dxa"/>
          </w:tcPr>
          <w:p w14:paraId="3C935D99" w14:textId="77777777" w:rsidR="0003243C" w:rsidRDefault="0003243C" w:rsidP="00D4226B">
            <w:pPr>
              <w:tabs>
                <w:tab w:val="left" w:pos="993"/>
              </w:tabs>
              <w:jc w:val="center"/>
              <w:rPr>
                <w:rFonts w:ascii="Arial" w:hAnsi="Arial" w:cs="Arial"/>
                <w:b/>
              </w:rPr>
            </w:pPr>
            <w:r>
              <w:rPr>
                <w:rFonts w:ascii="Arial" w:hAnsi="Arial" w:cs="Arial"/>
                <w:b/>
              </w:rPr>
              <w:t>202</w:t>
            </w:r>
          </w:p>
        </w:tc>
        <w:tc>
          <w:tcPr>
            <w:tcW w:w="8930" w:type="dxa"/>
          </w:tcPr>
          <w:p w14:paraId="7C7A9669" w14:textId="77777777" w:rsidR="0003243C" w:rsidRPr="00C12206" w:rsidRDefault="0003243C" w:rsidP="00D4226B">
            <w:pPr>
              <w:ind w:right="-110"/>
              <w:jc w:val="both"/>
              <w:rPr>
                <w:rFonts w:ascii="Arial" w:hAnsi="Arial" w:cs="Arial"/>
                <w:b/>
                <w:sz w:val="22"/>
                <w:szCs w:val="22"/>
                <w:lang w:val="es-MX"/>
              </w:rPr>
            </w:pPr>
            <w:r w:rsidRPr="00C12206">
              <w:rPr>
                <w:rFonts w:ascii="Arial" w:hAnsi="Arial" w:cs="Arial"/>
                <w:b/>
                <w:sz w:val="22"/>
                <w:szCs w:val="22"/>
                <w:lang w:val="es-MX"/>
              </w:rPr>
              <w:t>PA FONDO DE ENERGÍAS NO CONVENCIONALES Y GESTIÓN EFICIENTE DE ENERGÍA – FENOGE – FIDUPREVISORA S.A.</w:t>
            </w:r>
          </w:p>
        </w:tc>
      </w:tr>
      <w:tr w:rsidR="0003243C" w:rsidRPr="00E54952" w14:paraId="62CFCC2B" w14:textId="77777777" w:rsidTr="00D4226B">
        <w:tc>
          <w:tcPr>
            <w:tcW w:w="1560" w:type="dxa"/>
          </w:tcPr>
          <w:p w14:paraId="6144C512" w14:textId="77777777" w:rsidR="0003243C" w:rsidRDefault="0003243C" w:rsidP="00D4226B">
            <w:pPr>
              <w:tabs>
                <w:tab w:val="left" w:pos="993"/>
              </w:tabs>
              <w:jc w:val="center"/>
              <w:rPr>
                <w:rFonts w:ascii="Arial" w:hAnsi="Arial" w:cs="Arial"/>
                <w:b/>
              </w:rPr>
            </w:pPr>
            <w:r>
              <w:rPr>
                <w:rFonts w:ascii="Arial" w:hAnsi="Arial" w:cs="Arial"/>
                <w:b/>
              </w:rPr>
              <w:t>203</w:t>
            </w:r>
          </w:p>
        </w:tc>
        <w:tc>
          <w:tcPr>
            <w:tcW w:w="8930" w:type="dxa"/>
          </w:tcPr>
          <w:p w14:paraId="26493DAD" w14:textId="77777777" w:rsidR="0003243C" w:rsidRPr="00FD41C5" w:rsidRDefault="0003243C" w:rsidP="00D4226B">
            <w:pPr>
              <w:jc w:val="both"/>
              <w:rPr>
                <w:rFonts w:ascii="Arial" w:hAnsi="Arial" w:cs="Arial"/>
                <w:b/>
                <w:sz w:val="22"/>
                <w:szCs w:val="22"/>
                <w:lang w:val="es-MX"/>
              </w:rPr>
            </w:pPr>
            <w:r w:rsidRPr="00FD41C5">
              <w:rPr>
                <w:rFonts w:ascii="Arial" w:hAnsi="Arial" w:cs="Arial"/>
                <w:b/>
                <w:sz w:val="22"/>
                <w:szCs w:val="22"/>
                <w:lang w:val="es-MX"/>
              </w:rPr>
              <w:t>PA FONDO DIAN PARA COLOMBIA – FIDUPREVISORA S.A.</w:t>
            </w:r>
          </w:p>
        </w:tc>
      </w:tr>
      <w:tr w:rsidR="0003243C" w:rsidRPr="00E54952" w14:paraId="6A41E9ED" w14:textId="77777777" w:rsidTr="00D4226B">
        <w:tc>
          <w:tcPr>
            <w:tcW w:w="1560" w:type="dxa"/>
          </w:tcPr>
          <w:p w14:paraId="58D881E9" w14:textId="77777777" w:rsidR="0003243C" w:rsidRDefault="0003243C" w:rsidP="00D4226B">
            <w:pPr>
              <w:tabs>
                <w:tab w:val="left" w:pos="993"/>
              </w:tabs>
              <w:jc w:val="center"/>
              <w:rPr>
                <w:rFonts w:ascii="Arial" w:hAnsi="Arial" w:cs="Arial"/>
                <w:b/>
              </w:rPr>
            </w:pPr>
            <w:r>
              <w:rPr>
                <w:rFonts w:ascii="Arial" w:hAnsi="Arial" w:cs="Arial"/>
                <w:b/>
              </w:rPr>
              <w:t>204</w:t>
            </w:r>
          </w:p>
        </w:tc>
        <w:tc>
          <w:tcPr>
            <w:tcW w:w="8930" w:type="dxa"/>
          </w:tcPr>
          <w:p w14:paraId="04FC9DE4" w14:textId="77777777" w:rsidR="0003243C" w:rsidRPr="0030334C" w:rsidRDefault="0003243C" w:rsidP="00D4226B">
            <w:pPr>
              <w:jc w:val="both"/>
              <w:rPr>
                <w:rFonts w:ascii="Arial" w:hAnsi="Arial" w:cs="Arial"/>
                <w:b/>
                <w:sz w:val="22"/>
                <w:szCs w:val="22"/>
                <w:lang w:val="es-MX"/>
              </w:rPr>
            </w:pPr>
            <w:r w:rsidRPr="0030334C">
              <w:rPr>
                <w:rFonts w:ascii="Arial" w:hAnsi="Arial" w:cs="Arial"/>
                <w:b/>
                <w:sz w:val="22"/>
                <w:szCs w:val="22"/>
                <w:lang w:val="es-MX"/>
              </w:rPr>
              <w:t>PAP CONSORCIO FONDO DE ATENCIÓN EN SALUD PPL – FIDUPREVISORA S.A.</w:t>
            </w:r>
          </w:p>
        </w:tc>
      </w:tr>
      <w:tr w:rsidR="0003243C" w:rsidRPr="00E54952" w14:paraId="26E4A739" w14:textId="77777777" w:rsidTr="00D4226B">
        <w:tc>
          <w:tcPr>
            <w:tcW w:w="1560" w:type="dxa"/>
          </w:tcPr>
          <w:p w14:paraId="7DB8087A" w14:textId="77777777" w:rsidR="0003243C" w:rsidRDefault="0003243C" w:rsidP="00D4226B">
            <w:pPr>
              <w:tabs>
                <w:tab w:val="left" w:pos="993"/>
              </w:tabs>
              <w:jc w:val="center"/>
              <w:rPr>
                <w:rFonts w:ascii="Arial" w:hAnsi="Arial" w:cs="Arial"/>
                <w:b/>
              </w:rPr>
            </w:pPr>
            <w:r>
              <w:rPr>
                <w:rFonts w:ascii="Arial" w:hAnsi="Arial" w:cs="Arial"/>
                <w:b/>
              </w:rPr>
              <w:t>206</w:t>
            </w:r>
          </w:p>
        </w:tc>
        <w:tc>
          <w:tcPr>
            <w:tcW w:w="8930" w:type="dxa"/>
          </w:tcPr>
          <w:p w14:paraId="182A394B" w14:textId="77777777" w:rsidR="0003243C" w:rsidRPr="009B45D8" w:rsidRDefault="0003243C" w:rsidP="00D4226B">
            <w:pPr>
              <w:jc w:val="both"/>
              <w:rPr>
                <w:rFonts w:ascii="Arial" w:hAnsi="Arial" w:cs="Arial"/>
                <w:b/>
                <w:sz w:val="22"/>
                <w:szCs w:val="22"/>
                <w:lang w:val="es-MX"/>
              </w:rPr>
            </w:pPr>
            <w:r w:rsidRPr="009B45D8">
              <w:rPr>
                <w:rFonts w:ascii="Arial" w:hAnsi="Arial" w:cs="Arial"/>
                <w:b/>
                <w:sz w:val="22"/>
                <w:szCs w:val="22"/>
                <w:lang w:val="es-MX"/>
              </w:rPr>
              <w:t>PAR CAPRECOM EICE LIQUIDADO – FIDUPREVISORA S.A.</w:t>
            </w:r>
          </w:p>
        </w:tc>
      </w:tr>
      <w:tr w:rsidR="0003243C" w:rsidRPr="00E54952" w14:paraId="3F8E4445" w14:textId="77777777" w:rsidTr="00D4226B">
        <w:tc>
          <w:tcPr>
            <w:tcW w:w="1560" w:type="dxa"/>
          </w:tcPr>
          <w:p w14:paraId="2CEFF94B" w14:textId="77777777" w:rsidR="0003243C" w:rsidRDefault="0003243C" w:rsidP="00D4226B">
            <w:pPr>
              <w:tabs>
                <w:tab w:val="left" w:pos="993"/>
              </w:tabs>
              <w:jc w:val="center"/>
              <w:rPr>
                <w:rFonts w:ascii="Arial" w:hAnsi="Arial" w:cs="Arial"/>
                <w:b/>
              </w:rPr>
            </w:pPr>
            <w:r>
              <w:rPr>
                <w:rFonts w:ascii="Arial" w:hAnsi="Arial" w:cs="Arial"/>
                <w:b/>
              </w:rPr>
              <w:t>207</w:t>
            </w:r>
          </w:p>
        </w:tc>
        <w:tc>
          <w:tcPr>
            <w:tcW w:w="8930" w:type="dxa"/>
          </w:tcPr>
          <w:p w14:paraId="0D3B85F2" w14:textId="77777777" w:rsidR="0003243C" w:rsidRPr="006953FA" w:rsidRDefault="0003243C" w:rsidP="00D4226B">
            <w:pPr>
              <w:jc w:val="both"/>
              <w:rPr>
                <w:rFonts w:ascii="Arial" w:hAnsi="Arial" w:cs="Arial"/>
                <w:b/>
                <w:sz w:val="22"/>
                <w:szCs w:val="22"/>
                <w:lang w:val="es-MX"/>
              </w:rPr>
            </w:pPr>
            <w:r w:rsidRPr="006953FA">
              <w:rPr>
                <w:rFonts w:ascii="Arial" w:hAnsi="Arial" w:cs="Arial"/>
                <w:b/>
                <w:sz w:val="22"/>
                <w:szCs w:val="22"/>
                <w:lang w:val="es-MX"/>
              </w:rPr>
              <w:t>PATRIMONIO AUTÓNOMO DE REMANENTES CAJA AGRARIA – FIDUPREVISORA S.A.</w:t>
            </w:r>
          </w:p>
        </w:tc>
      </w:tr>
      <w:tr w:rsidR="0003243C" w:rsidRPr="00E54952" w14:paraId="61898A66" w14:textId="77777777" w:rsidTr="00D4226B">
        <w:tc>
          <w:tcPr>
            <w:tcW w:w="1560" w:type="dxa"/>
          </w:tcPr>
          <w:p w14:paraId="4FDDDD1D" w14:textId="77777777" w:rsidR="0003243C" w:rsidRDefault="0003243C" w:rsidP="00D4226B">
            <w:pPr>
              <w:tabs>
                <w:tab w:val="left" w:pos="993"/>
              </w:tabs>
              <w:jc w:val="center"/>
              <w:rPr>
                <w:rFonts w:ascii="Arial" w:hAnsi="Arial" w:cs="Arial"/>
                <w:b/>
              </w:rPr>
            </w:pPr>
            <w:r>
              <w:rPr>
                <w:rFonts w:ascii="Arial" w:hAnsi="Arial" w:cs="Arial"/>
                <w:b/>
              </w:rPr>
              <w:t>212</w:t>
            </w:r>
          </w:p>
        </w:tc>
        <w:tc>
          <w:tcPr>
            <w:tcW w:w="8930" w:type="dxa"/>
          </w:tcPr>
          <w:p w14:paraId="0D787768" w14:textId="77777777" w:rsidR="0003243C" w:rsidRPr="00C16B12" w:rsidRDefault="0003243C" w:rsidP="00D4226B">
            <w:pPr>
              <w:jc w:val="both"/>
              <w:rPr>
                <w:rFonts w:ascii="Arial" w:hAnsi="Arial" w:cs="Arial"/>
                <w:b/>
                <w:sz w:val="22"/>
                <w:szCs w:val="22"/>
                <w:lang w:val="es-MX"/>
              </w:rPr>
            </w:pPr>
            <w:r w:rsidRPr="00C16B12">
              <w:rPr>
                <w:rFonts w:ascii="Arial" w:hAnsi="Arial" w:cs="Arial"/>
                <w:b/>
                <w:bCs/>
                <w:sz w:val="22"/>
                <w:szCs w:val="22"/>
              </w:rPr>
              <w:t>P.A. FONDO NACIONAL DEL PASIVO PENSIONAL Y PRESTACIONAL DE LA ELECTRIFICADORA DEL CARIBE S.A. E.S.P. - FONECA.</w:t>
            </w:r>
          </w:p>
        </w:tc>
      </w:tr>
      <w:tr w:rsidR="0003243C" w:rsidRPr="00E54952" w14:paraId="56081197" w14:textId="77777777" w:rsidTr="00D4226B">
        <w:tc>
          <w:tcPr>
            <w:tcW w:w="1560" w:type="dxa"/>
          </w:tcPr>
          <w:p w14:paraId="748F5F0A" w14:textId="77777777" w:rsidR="0003243C" w:rsidRDefault="0003243C" w:rsidP="00D4226B">
            <w:pPr>
              <w:tabs>
                <w:tab w:val="left" w:pos="993"/>
              </w:tabs>
              <w:jc w:val="center"/>
              <w:rPr>
                <w:rFonts w:ascii="Arial" w:hAnsi="Arial" w:cs="Arial"/>
                <w:b/>
              </w:rPr>
            </w:pPr>
            <w:r>
              <w:rPr>
                <w:rFonts w:ascii="Arial" w:hAnsi="Arial" w:cs="Arial"/>
                <w:b/>
              </w:rPr>
              <w:t>215</w:t>
            </w:r>
          </w:p>
        </w:tc>
        <w:tc>
          <w:tcPr>
            <w:tcW w:w="8930" w:type="dxa"/>
          </w:tcPr>
          <w:p w14:paraId="3B3E09BB" w14:textId="77777777" w:rsidR="0003243C" w:rsidRPr="009C2DEC" w:rsidRDefault="0003243C" w:rsidP="00D4226B">
            <w:pPr>
              <w:jc w:val="both"/>
              <w:rPr>
                <w:rFonts w:ascii="Arial" w:hAnsi="Arial" w:cs="Arial"/>
                <w:b/>
                <w:sz w:val="28"/>
                <w:szCs w:val="28"/>
                <w:lang w:val="es-MX"/>
              </w:rPr>
            </w:pPr>
            <w:r w:rsidRPr="009C2DEC">
              <w:rPr>
                <w:rFonts w:ascii="Arial" w:hAnsi="Arial" w:cs="Arial"/>
                <w:b/>
                <w:sz w:val="22"/>
                <w:szCs w:val="22"/>
                <w:lang w:val="es-MX"/>
              </w:rPr>
              <w:t>MINISTERIO DE LAS CULTURAS, LAS ARTES Y LOS SABERES</w:t>
            </w:r>
            <w:r w:rsidRPr="00A03531">
              <w:rPr>
                <w:rFonts w:ascii="Arial" w:hAnsi="Arial" w:cs="Arial"/>
                <w:b/>
                <w:sz w:val="28"/>
                <w:szCs w:val="28"/>
                <w:lang w:val="es-MX"/>
              </w:rPr>
              <w:t>.</w:t>
            </w:r>
          </w:p>
        </w:tc>
      </w:tr>
      <w:tr w:rsidR="0003243C" w:rsidRPr="00E54952" w14:paraId="2BF26F90" w14:textId="77777777" w:rsidTr="00D4226B">
        <w:tc>
          <w:tcPr>
            <w:tcW w:w="1560" w:type="dxa"/>
          </w:tcPr>
          <w:p w14:paraId="0E97B2B6" w14:textId="77777777" w:rsidR="0003243C" w:rsidRDefault="0003243C" w:rsidP="00D4226B">
            <w:pPr>
              <w:tabs>
                <w:tab w:val="left" w:pos="993"/>
              </w:tabs>
              <w:jc w:val="center"/>
              <w:rPr>
                <w:rFonts w:ascii="Arial" w:hAnsi="Arial" w:cs="Arial"/>
                <w:b/>
              </w:rPr>
            </w:pPr>
            <w:r>
              <w:rPr>
                <w:rFonts w:ascii="Arial" w:hAnsi="Arial" w:cs="Arial"/>
                <w:b/>
              </w:rPr>
              <w:t>216</w:t>
            </w:r>
          </w:p>
        </w:tc>
        <w:tc>
          <w:tcPr>
            <w:tcW w:w="8930" w:type="dxa"/>
          </w:tcPr>
          <w:p w14:paraId="6CAFB653" w14:textId="77777777" w:rsidR="0003243C" w:rsidRPr="0039633C" w:rsidRDefault="0003243C" w:rsidP="00D4226B">
            <w:pPr>
              <w:jc w:val="both"/>
              <w:rPr>
                <w:rFonts w:ascii="Arial" w:hAnsi="Arial" w:cs="Arial"/>
                <w:b/>
                <w:sz w:val="22"/>
                <w:szCs w:val="22"/>
                <w:lang w:val="es-MX"/>
              </w:rPr>
            </w:pPr>
            <w:r w:rsidRPr="0039633C">
              <w:rPr>
                <w:rFonts w:ascii="Arial" w:hAnsi="Arial" w:cs="Arial"/>
                <w:b/>
                <w:sz w:val="22"/>
                <w:szCs w:val="22"/>
                <w:lang w:val="es-MX"/>
              </w:rPr>
              <w:t>UNIVERSIDAD DE LOS LLANOS – UNILLANOS.</w:t>
            </w:r>
          </w:p>
        </w:tc>
      </w:tr>
      <w:tr w:rsidR="0003243C" w:rsidRPr="00E54952" w14:paraId="7E9D5809" w14:textId="77777777" w:rsidTr="00D4226B">
        <w:tc>
          <w:tcPr>
            <w:tcW w:w="1560" w:type="dxa"/>
          </w:tcPr>
          <w:p w14:paraId="0EAE9FE3" w14:textId="77777777" w:rsidR="0003243C" w:rsidRDefault="0003243C" w:rsidP="00D4226B">
            <w:pPr>
              <w:tabs>
                <w:tab w:val="left" w:pos="993"/>
              </w:tabs>
              <w:jc w:val="center"/>
              <w:rPr>
                <w:rFonts w:ascii="Arial" w:hAnsi="Arial" w:cs="Arial"/>
                <w:b/>
              </w:rPr>
            </w:pPr>
            <w:r>
              <w:rPr>
                <w:rFonts w:ascii="Arial" w:hAnsi="Arial" w:cs="Arial"/>
                <w:b/>
              </w:rPr>
              <w:t>217</w:t>
            </w:r>
          </w:p>
        </w:tc>
        <w:tc>
          <w:tcPr>
            <w:tcW w:w="8930" w:type="dxa"/>
          </w:tcPr>
          <w:p w14:paraId="5C388042" w14:textId="77777777" w:rsidR="0003243C" w:rsidRPr="00A53694" w:rsidRDefault="0003243C" w:rsidP="00D4226B">
            <w:pPr>
              <w:jc w:val="both"/>
              <w:rPr>
                <w:rFonts w:ascii="Arial" w:hAnsi="Arial" w:cs="Arial"/>
                <w:b/>
                <w:sz w:val="22"/>
                <w:szCs w:val="22"/>
                <w:lang w:val="es-MX"/>
              </w:rPr>
            </w:pPr>
            <w:r w:rsidRPr="00A53694">
              <w:rPr>
                <w:rFonts w:ascii="Arial" w:hAnsi="Arial" w:cs="Arial"/>
                <w:b/>
                <w:sz w:val="22"/>
                <w:szCs w:val="22"/>
                <w:lang w:val="es-MX"/>
              </w:rPr>
              <w:t>RADIO TELEVISIÓN NACIONAL DE COLOMBIA – RTVC S.A.S.</w:t>
            </w:r>
          </w:p>
        </w:tc>
      </w:tr>
      <w:tr w:rsidR="0003243C" w:rsidRPr="00E54952" w14:paraId="69235FB9" w14:textId="77777777" w:rsidTr="00D4226B">
        <w:tc>
          <w:tcPr>
            <w:tcW w:w="1560" w:type="dxa"/>
          </w:tcPr>
          <w:p w14:paraId="75475F55" w14:textId="77777777" w:rsidR="0003243C" w:rsidRDefault="0003243C" w:rsidP="00D4226B">
            <w:pPr>
              <w:tabs>
                <w:tab w:val="left" w:pos="993"/>
              </w:tabs>
              <w:jc w:val="center"/>
              <w:rPr>
                <w:rFonts w:ascii="Arial" w:hAnsi="Arial" w:cs="Arial"/>
                <w:b/>
              </w:rPr>
            </w:pPr>
            <w:r>
              <w:rPr>
                <w:rFonts w:ascii="Arial" w:hAnsi="Arial" w:cs="Arial"/>
                <w:b/>
              </w:rPr>
              <w:t>218</w:t>
            </w:r>
          </w:p>
        </w:tc>
        <w:tc>
          <w:tcPr>
            <w:tcW w:w="8930" w:type="dxa"/>
          </w:tcPr>
          <w:p w14:paraId="4E2128B4" w14:textId="77777777" w:rsidR="0003243C" w:rsidRPr="00DD297E" w:rsidRDefault="0003243C" w:rsidP="00D4226B">
            <w:pPr>
              <w:ind w:left="33" w:right="37"/>
              <w:jc w:val="both"/>
              <w:rPr>
                <w:rFonts w:ascii="Arial" w:hAnsi="Arial" w:cs="Arial"/>
                <w:b/>
                <w:sz w:val="22"/>
                <w:szCs w:val="22"/>
                <w:lang w:val="es-MX"/>
              </w:rPr>
            </w:pPr>
            <w:r w:rsidRPr="00DD297E">
              <w:rPr>
                <w:rFonts w:ascii="Arial" w:hAnsi="Arial" w:cs="Arial"/>
                <w:b/>
                <w:sz w:val="22"/>
                <w:szCs w:val="22"/>
                <w:lang w:val="es-MX"/>
              </w:rPr>
              <w:t>ALIANZA COLOMBIANA DE INSTITUCIONES PÚBLICAS DE EDUCACIÓN SUPERIOR – RED SUMMA.</w:t>
            </w:r>
          </w:p>
        </w:tc>
      </w:tr>
      <w:tr w:rsidR="0003243C" w:rsidRPr="00E54952" w14:paraId="3EA7E7EB" w14:textId="77777777" w:rsidTr="00D4226B">
        <w:tc>
          <w:tcPr>
            <w:tcW w:w="1560" w:type="dxa"/>
          </w:tcPr>
          <w:p w14:paraId="0D1C3059" w14:textId="77777777" w:rsidR="0003243C" w:rsidRDefault="0003243C" w:rsidP="00D4226B">
            <w:pPr>
              <w:tabs>
                <w:tab w:val="left" w:pos="993"/>
              </w:tabs>
              <w:jc w:val="center"/>
              <w:rPr>
                <w:rFonts w:ascii="Arial" w:hAnsi="Arial" w:cs="Arial"/>
                <w:b/>
              </w:rPr>
            </w:pPr>
            <w:r>
              <w:rPr>
                <w:rFonts w:ascii="Arial" w:hAnsi="Arial" w:cs="Arial"/>
                <w:b/>
              </w:rPr>
              <w:t>223</w:t>
            </w:r>
          </w:p>
        </w:tc>
        <w:tc>
          <w:tcPr>
            <w:tcW w:w="8930" w:type="dxa"/>
          </w:tcPr>
          <w:p w14:paraId="0D778EA4" w14:textId="77777777" w:rsidR="0003243C" w:rsidRPr="00243E6D" w:rsidRDefault="0003243C" w:rsidP="00D4226B">
            <w:pPr>
              <w:ind w:left="28"/>
              <w:jc w:val="both"/>
              <w:rPr>
                <w:rFonts w:ascii="Arial" w:hAnsi="Arial" w:cs="Arial"/>
                <w:b/>
                <w:sz w:val="22"/>
                <w:szCs w:val="22"/>
                <w:lang w:val="es-MX"/>
              </w:rPr>
            </w:pPr>
            <w:r w:rsidRPr="00243E6D">
              <w:rPr>
                <w:rFonts w:ascii="Arial" w:hAnsi="Arial" w:cs="Arial"/>
                <w:b/>
                <w:sz w:val="22"/>
                <w:szCs w:val="22"/>
              </w:rPr>
              <w:t>INSTITUTO NACIONAL PENITENCIARIO Y CARCELARIO – INPEC</w:t>
            </w:r>
            <w:r w:rsidRPr="00243E6D">
              <w:rPr>
                <w:rFonts w:ascii="Arial" w:hAnsi="Arial" w:cs="Arial"/>
                <w:b/>
                <w:sz w:val="22"/>
                <w:szCs w:val="22"/>
                <w:lang w:val="es-MX"/>
              </w:rPr>
              <w:t>.</w:t>
            </w:r>
          </w:p>
        </w:tc>
      </w:tr>
      <w:tr w:rsidR="0003243C" w:rsidRPr="00E54952" w14:paraId="6CEAEA46" w14:textId="77777777" w:rsidTr="00D4226B">
        <w:tc>
          <w:tcPr>
            <w:tcW w:w="1560" w:type="dxa"/>
          </w:tcPr>
          <w:p w14:paraId="4A790101" w14:textId="77777777" w:rsidR="0003243C" w:rsidRDefault="0003243C" w:rsidP="00D4226B">
            <w:pPr>
              <w:tabs>
                <w:tab w:val="left" w:pos="993"/>
              </w:tabs>
              <w:jc w:val="center"/>
              <w:rPr>
                <w:rFonts w:ascii="Arial" w:hAnsi="Arial" w:cs="Arial"/>
                <w:b/>
              </w:rPr>
            </w:pPr>
            <w:r>
              <w:rPr>
                <w:rFonts w:ascii="Arial" w:hAnsi="Arial" w:cs="Arial"/>
                <w:b/>
              </w:rPr>
              <w:t>224</w:t>
            </w:r>
          </w:p>
        </w:tc>
        <w:tc>
          <w:tcPr>
            <w:tcW w:w="8930" w:type="dxa"/>
          </w:tcPr>
          <w:p w14:paraId="1F286D04" w14:textId="77777777" w:rsidR="0003243C" w:rsidRPr="00F33E95" w:rsidRDefault="0003243C" w:rsidP="00D4226B">
            <w:pPr>
              <w:jc w:val="both"/>
              <w:rPr>
                <w:rFonts w:ascii="Arial" w:hAnsi="Arial" w:cs="Arial"/>
                <w:b/>
                <w:sz w:val="22"/>
                <w:szCs w:val="22"/>
                <w:lang w:val="es-MX"/>
              </w:rPr>
            </w:pPr>
            <w:r w:rsidRPr="00F33E95">
              <w:rPr>
                <w:rFonts w:ascii="Arial" w:hAnsi="Arial" w:cs="Arial"/>
                <w:b/>
                <w:sz w:val="22"/>
                <w:szCs w:val="22"/>
                <w:lang w:val="es-MX"/>
              </w:rPr>
              <w:t>MINISTERIO DE MINAS Y ENERGÍA.</w:t>
            </w:r>
          </w:p>
        </w:tc>
      </w:tr>
      <w:tr w:rsidR="0003243C" w:rsidRPr="00E54952" w14:paraId="64D9D502" w14:textId="77777777" w:rsidTr="00D4226B">
        <w:tc>
          <w:tcPr>
            <w:tcW w:w="1560" w:type="dxa"/>
          </w:tcPr>
          <w:p w14:paraId="0B2A65A3" w14:textId="77777777" w:rsidR="0003243C" w:rsidRDefault="0003243C" w:rsidP="00D4226B">
            <w:pPr>
              <w:tabs>
                <w:tab w:val="left" w:pos="993"/>
              </w:tabs>
              <w:jc w:val="center"/>
              <w:rPr>
                <w:rFonts w:ascii="Arial" w:hAnsi="Arial" w:cs="Arial"/>
                <w:b/>
              </w:rPr>
            </w:pPr>
            <w:r>
              <w:rPr>
                <w:rFonts w:ascii="Arial" w:hAnsi="Arial" w:cs="Arial"/>
                <w:b/>
              </w:rPr>
              <w:t>226</w:t>
            </w:r>
          </w:p>
        </w:tc>
        <w:tc>
          <w:tcPr>
            <w:tcW w:w="8930" w:type="dxa"/>
          </w:tcPr>
          <w:p w14:paraId="7489C866" w14:textId="77777777" w:rsidR="0003243C" w:rsidRPr="00B40997" w:rsidRDefault="0003243C" w:rsidP="00D4226B">
            <w:pPr>
              <w:pStyle w:val="Prrafodelista"/>
              <w:ind w:left="0"/>
              <w:rPr>
                <w:b/>
              </w:rPr>
            </w:pPr>
            <w:r w:rsidRPr="00B40997">
              <w:rPr>
                <w:rFonts w:ascii="Arial" w:hAnsi="Arial" w:cs="Arial"/>
                <w:b/>
                <w:lang w:val="es-MX"/>
              </w:rPr>
              <w:t>UNIVERSIDAD NACIONAL DE COLOMBIA.</w:t>
            </w:r>
          </w:p>
        </w:tc>
      </w:tr>
      <w:tr w:rsidR="0003243C" w:rsidRPr="00E54952" w14:paraId="057B393B" w14:textId="77777777" w:rsidTr="00D4226B">
        <w:tc>
          <w:tcPr>
            <w:tcW w:w="1560" w:type="dxa"/>
          </w:tcPr>
          <w:p w14:paraId="13CD938F" w14:textId="77777777" w:rsidR="0003243C" w:rsidRDefault="0003243C" w:rsidP="00D4226B">
            <w:pPr>
              <w:tabs>
                <w:tab w:val="left" w:pos="993"/>
              </w:tabs>
              <w:jc w:val="center"/>
              <w:rPr>
                <w:rFonts w:ascii="Arial" w:hAnsi="Arial" w:cs="Arial"/>
                <w:b/>
              </w:rPr>
            </w:pPr>
            <w:r>
              <w:rPr>
                <w:rFonts w:ascii="Arial" w:hAnsi="Arial" w:cs="Arial"/>
                <w:b/>
              </w:rPr>
              <w:t>227</w:t>
            </w:r>
          </w:p>
        </w:tc>
        <w:tc>
          <w:tcPr>
            <w:tcW w:w="8930" w:type="dxa"/>
          </w:tcPr>
          <w:p w14:paraId="50A282A8" w14:textId="77777777" w:rsidR="0003243C" w:rsidRPr="00D21617" w:rsidRDefault="0003243C" w:rsidP="00D4226B">
            <w:pPr>
              <w:jc w:val="both"/>
              <w:rPr>
                <w:rFonts w:ascii="Arial" w:hAnsi="Arial" w:cs="Arial"/>
                <w:b/>
                <w:sz w:val="22"/>
                <w:szCs w:val="22"/>
                <w:lang w:val="es-MX"/>
              </w:rPr>
            </w:pPr>
            <w:r w:rsidRPr="00D21617">
              <w:rPr>
                <w:rFonts w:ascii="Arial" w:hAnsi="Arial" w:cs="Arial"/>
                <w:b/>
                <w:sz w:val="22"/>
                <w:szCs w:val="22"/>
                <w:lang w:val="es-MX"/>
              </w:rPr>
              <w:t>DEPARTAMENTO ADMINISTRATIVO DE LA PRESIDENCIA DE LA REPÚBLICA – DAPRE.</w:t>
            </w:r>
          </w:p>
        </w:tc>
      </w:tr>
      <w:tr w:rsidR="0003243C" w:rsidRPr="00E54952" w14:paraId="57A8C346" w14:textId="77777777" w:rsidTr="00D4226B">
        <w:tc>
          <w:tcPr>
            <w:tcW w:w="1560" w:type="dxa"/>
          </w:tcPr>
          <w:p w14:paraId="634F49DF" w14:textId="77777777" w:rsidR="0003243C" w:rsidRDefault="0003243C" w:rsidP="00D4226B">
            <w:pPr>
              <w:tabs>
                <w:tab w:val="left" w:pos="993"/>
              </w:tabs>
              <w:jc w:val="center"/>
              <w:rPr>
                <w:rFonts w:ascii="Arial" w:hAnsi="Arial" w:cs="Arial"/>
                <w:b/>
              </w:rPr>
            </w:pPr>
            <w:r>
              <w:rPr>
                <w:rFonts w:ascii="Arial" w:hAnsi="Arial" w:cs="Arial"/>
                <w:b/>
              </w:rPr>
              <w:t>229</w:t>
            </w:r>
          </w:p>
        </w:tc>
        <w:tc>
          <w:tcPr>
            <w:tcW w:w="8930" w:type="dxa"/>
          </w:tcPr>
          <w:p w14:paraId="73D1EE1D" w14:textId="77777777" w:rsidR="0003243C" w:rsidRPr="00AF582E" w:rsidRDefault="0003243C" w:rsidP="00D4226B">
            <w:pPr>
              <w:jc w:val="both"/>
              <w:rPr>
                <w:rFonts w:ascii="Arial" w:hAnsi="Arial" w:cs="Arial"/>
                <w:b/>
                <w:sz w:val="22"/>
                <w:szCs w:val="22"/>
                <w:lang w:val="es-MX"/>
              </w:rPr>
            </w:pPr>
            <w:r w:rsidRPr="00AF582E">
              <w:rPr>
                <w:rFonts w:ascii="Arial" w:hAnsi="Arial" w:cs="Arial"/>
                <w:b/>
                <w:sz w:val="22"/>
                <w:szCs w:val="22"/>
              </w:rPr>
              <w:t>CAJA DE RETIRO DE LAS FUERZAS MILITARES - CREMIL</w:t>
            </w:r>
            <w:r w:rsidRPr="00AF582E">
              <w:rPr>
                <w:rFonts w:ascii="Arial" w:hAnsi="Arial" w:cs="Arial"/>
                <w:b/>
                <w:sz w:val="22"/>
                <w:szCs w:val="22"/>
                <w:lang w:val="es-MX"/>
              </w:rPr>
              <w:t>.</w:t>
            </w:r>
          </w:p>
        </w:tc>
      </w:tr>
      <w:tr w:rsidR="0003243C" w:rsidRPr="00E54952" w14:paraId="13B4D20E" w14:textId="77777777" w:rsidTr="00D4226B">
        <w:tc>
          <w:tcPr>
            <w:tcW w:w="1560" w:type="dxa"/>
          </w:tcPr>
          <w:p w14:paraId="00582E46" w14:textId="77777777" w:rsidR="0003243C" w:rsidRDefault="0003243C" w:rsidP="00D4226B">
            <w:pPr>
              <w:tabs>
                <w:tab w:val="left" w:pos="993"/>
              </w:tabs>
              <w:jc w:val="center"/>
              <w:rPr>
                <w:rFonts w:ascii="Arial" w:hAnsi="Arial" w:cs="Arial"/>
                <w:b/>
              </w:rPr>
            </w:pPr>
            <w:r>
              <w:rPr>
                <w:rFonts w:ascii="Arial" w:hAnsi="Arial" w:cs="Arial"/>
                <w:b/>
              </w:rPr>
              <w:t>230</w:t>
            </w:r>
          </w:p>
        </w:tc>
        <w:tc>
          <w:tcPr>
            <w:tcW w:w="8930" w:type="dxa"/>
          </w:tcPr>
          <w:p w14:paraId="51F3DEBD" w14:textId="77777777" w:rsidR="0003243C" w:rsidRPr="00447417" w:rsidRDefault="0003243C" w:rsidP="00D4226B">
            <w:pPr>
              <w:ind w:right="49"/>
              <w:jc w:val="both"/>
              <w:rPr>
                <w:rFonts w:ascii="Arial" w:hAnsi="Arial" w:cs="Arial"/>
                <w:sz w:val="22"/>
                <w:szCs w:val="22"/>
                <w:lang w:val="es-MX"/>
              </w:rPr>
            </w:pPr>
            <w:r w:rsidRPr="00447417">
              <w:rPr>
                <w:rFonts w:ascii="Arial" w:hAnsi="Arial" w:cs="Arial"/>
                <w:b/>
                <w:sz w:val="22"/>
                <w:szCs w:val="22"/>
              </w:rPr>
              <w:t>ELECTRIFICADORA DEL TOLIMA S.A. E.S.P. EN LIQUIDACIÓN - ELECTROLIMA.</w:t>
            </w:r>
            <w:r w:rsidRPr="00447417">
              <w:rPr>
                <w:rFonts w:ascii="Arial" w:hAnsi="Arial" w:cs="Arial"/>
                <w:sz w:val="22"/>
                <w:szCs w:val="22"/>
              </w:rPr>
              <w:t xml:space="preserve"> </w:t>
            </w:r>
          </w:p>
        </w:tc>
      </w:tr>
      <w:tr w:rsidR="0003243C" w:rsidRPr="00E54952" w14:paraId="1DAEE1E5" w14:textId="77777777" w:rsidTr="00D4226B">
        <w:tc>
          <w:tcPr>
            <w:tcW w:w="1560" w:type="dxa"/>
          </w:tcPr>
          <w:p w14:paraId="1AEB1956" w14:textId="77777777" w:rsidR="0003243C" w:rsidRDefault="0003243C" w:rsidP="00D4226B">
            <w:pPr>
              <w:tabs>
                <w:tab w:val="left" w:pos="993"/>
              </w:tabs>
              <w:jc w:val="center"/>
              <w:rPr>
                <w:rFonts w:ascii="Arial" w:hAnsi="Arial" w:cs="Arial"/>
                <w:b/>
              </w:rPr>
            </w:pPr>
            <w:r>
              <w:rPr>
                <w:rFonts w:ascii="Arial" w:hAnsi="Arial" w:cs="Arial"/>
                <w:b/>
              </w:rPr>
              <w:t>232</w:t>
            </w:r>
          </w:p>
        </w:tc>
        <w:tc>
          <w:tcPr>
            <w:tcW w:w="8930" w:type="dxa"/>
          </w:tcPr>
          <w:p w14:paraId="4837BF33" w14:textId="77777777" w:rsidR="0003243C" w:rsidRPr="00FF1C28" w:rsidRDefault="0003243C" w:rsidP="00D4226B">
            <w:pPr>
              <w:ind w:right="-142"/>
              <w:jc w:val="both"/>
              <w:rPr>
                <w:rFonts w:ascii="Arial" w:hAnsi="Arial" w:cs="Arial"/>
                <w:b/>
                <w:sz w:val="22"/>
                <w:szCs w:val="22"/>
                <w:lang w:val="es-MX"/>
              </w:rPr>
            </w:pPr>
            <w:r w:rsidRPr="00FF1C28">
              <w:rPr>
                <w:rFonts w:ascii="Arial" w:hAnsi="Arial" w:cs="Arial"/>
                <w:b/>
                <w:sz w:val="22"/>
                <w:szCs w:val="22"/>
              </w:rPr>
              <w:t>PATRIMONIO AUTÓNOMO COLOMBIA PRODUCTIVA - FIDUCOLDEX S.A.</w:t>
            </w:r>
          </w:p>
        </w:tc>
      </w:tr>
      <w:tr w:rsidR="0003243C" w:rsidRPr="00E54952" w14:paraId="4A3943DB" w14:textId="77777777" w:rsidTr="00D4226B">
        <w:tc>
          <w:tcPr>
            <w:tcW w:w="1560" w:type="dxa"/>
          </w:tcPr>
          <w:p w14:paraId="591CC3EA" w14:textId="77777777" w:rsidR="0003243C" w:rsidRDefault="0003243C" w:rsidP="00D4226B">
            <w:pPr>
              <w:tabs>
                <w:tab w:val="left" w:pos="993"/>
              </w:tabs>
              <w:jc w:val="center"/>
              <w:rPr>
                <w:rFonts w:ascii="Arial" w:hAnsi="Arial" w:cs="Arial"/>
                <w:b/>
              </w:rPr>
            </w:pPr>
            <w:r>
              <w:rPr>
                <w:rFonts w:ascii="Arial" w:hAnsi="Arial" w:cs="Arial"/>
                <w:b/>
              </w:rPr>
              <w:t>233</w:t>
            </w:r>
          </w:p>
        </w:tc>
        <w:tc>
          <w:tcPr>
            <w:tcW w:w="8930" w:type="dxa"/>
          </w:tcPr>
          <w:p w14:paraId="3F94CAEA" w14:textId="77777777" w:rsidR="0003243C" w:rsidRPr="0003422B" w:rsidRDefault="0003243C" w:rsidP="00D4226B">
            <w:pPr>
              <w:jc w:val="both"/>
              <w:rPr>
                <w:rFonts w:ascii="Arial" w:hAnsi="Arial" w:cs="Arial"/>
                <w:b/>
                <w:sz w:val="22"/>
                <w:szCs w:val="22"/>
                <w:lang w:val="es-MX"/>
              </w:rPr>
            </w:pPr>
            <w:r w:rsidRPr="0003422B">
              <w:rPr>
                <w:rFonts w:ascii="Arial" w:hAnsi="Arial" w:cs="Arial"/>
                <w:b/>
                <w:sz w:val="22"/>
                <w:szCs w:val="22"/>
                <w:lang w:val="es-MX"/>
              </w:rPr>
              <w:t xml:space="preserve">233.- </w:t>
            </w:r>
            <w:r w:rsidRPr="0003422B">
              <w:rPr>
                <w:rFonts w:ascii="Arial" w:hAnsi="Arial" w:cs="Arial"/>
                <w:b/>
                <w:sz w:val="22"/>
                <w:szCs w:val="22"/>
              </w:rPr>
              <w:t>PATRIMONIO AUTÓNOMO FONDO ESPECIAL PARA INVESTIGACIONES FEI – INS – FIDUCOLDEX S.A.</w:t>
            </w:r>
          </w:p>
        </w:tc>
      </w:tr>
      <w:tr w:rsidR="0003243C" w:rsidRPr="00E54952" w14:paraId="046AAB83" w14:textId="77777777" w:rsidTr="00D4226B">
        <w:tc>
          <w:tcPr>
            <w:tcW w:w="1560" w:type="dxa"/>
          </w:tcPr>
          <w:p w14:paraId="11ED0207" w14:textId="77777777" w:rsidR="0003243C" w:rsidRDefault="0003243C" w:rsidP="00D4226B">
            <w:pPr>
              <w:tabs>
                <w:tab w:val="left" w:pos="993"/>
              </w:tabs>
              <w:jc w:val="center"/>
              <w:rPr>
                <w:rFonts w:ascii="Arial" w:hAnsi="Arial" w:cs="Arial"/>
                <w:b/>
              </w:rPr>
            </w:pPr>
            <w:r>
              <w:rPr>
                <w:rFonts w:ascii="Arial" w:hAnsi="Arial" w:cs="Arial"/>
                <w:b/>
              </w:rPr>
              <w:t>234</w:t>
            </w:r>
          </w:p>
        </w:tc>
        <w:tc>
          <w:tcPr>
            <w:tcW w:w="8930" w:type="dxa"/>
          </w:tcPr>
          <w:p w14:paraId="4C73755F" w14:textId="77777777" w:rsidR="0003243C" w:rsidRPr="001F6AB2" w:rsidRDefault="0003243C" w:rsidP="00D4226B">
            <w:pPr>
              <w:jc w:val="both"/>
              <w:rPr>
                <w:rFonts w:ascii="Arial" w:hAnsi="Arial" w:cs="Arial"/>
                <w:b/>
                <w:sz w:val="22"/>
                <w:szCs w:val="22"/>
              </w:rPr>
            </w:pPr>
            <w:r w:rsidRPr="001F6AB2">
              <w:rPr>
                <w:rFonts w:ascii="Arial" w:hAnsi="Arial" w:cs="Arial"/>
                <w:b/>
                <w:sz w:val="22"/>
                <w:szCs w:val="22"/>
              </w:rPr>
              <w:t>PATRIMONIO AUTÓNOMO FONDO PARA LA VIDA Y BIODIVERSIDAD – FIDUCOLDEX S.A.</w:t>
            </w:r>
          </w:p>
        </w:tc>
      </w:tr>
      <w:tr w:rsidR="0003243C" w:rsidRPr="00E54952" w14:paraId="20DEC6E8" w14:textId="77777777" w:rsidTr="00D4226B">
        <w:tc>
          <w:tcPr>
            <w:tcW w:w="1560" w:type="dxa"/>
          </w:tcPr>
          <w:p w14:paraId="0B426695" w14:textId="77777777" w:rsidR="0003243C" w:rsidRDefault="0003243C" w:rsidP="00D4226B">
            <w:pPr>
              <w:tabs>
                <w:tab w:val="left" w:pos="993"/>
              </w:tabs>
              <w:jc w:val="center"/>
              <w:rPr>
                <w:rFonts w:ascii="Arial" w:hAnsi="Arial" w:cs="Arial"/>
                <w:b/>
              </w:rPr>
            </w:pPr>
            <w:r>
              <w:rPr>
                <w:rFonts w:ascii="Arial" w:hAnsi="Arial" w:cs="Arial"/>
                <w:b/>
              </w:rPr>
              <w:t>236</w:t>
            </w:r>
          </w:p>
        </w:tc>
        <w:tc>
          <w:tcPr>
            <w:tcW w:w="8930" w:type="dxa"/>
          </w:tcPr>
          <w:p w14:paraId="0D661921" w14:textId="77777777" w:rsidR="0003243C" w:rsidRPr="00F27B25" w:rsidRDefault="0003243C" w:rsidP="00D4226B">
            <w:pPr>
              <w:jc w:val="both"/>
              <w:rPr>
                <w:rFonts w:ascii="Arial" w:hAnsi="Arial" w:cs="Arial"/>
                <w:b/>
                <w:sz w:val="22"/>
                <w:szCs w:val="22"/>
              </w:rPr>
            </w:pPr>
            <w:r w:rsidRPr="00F27B25">
              <w:rPr>
                <w:rFonts w:ascii="Arial" w:hAnsi="Arial" w:cs="Arial"/>
                <w:b/>
                <w:sz w:val="22"/>
                <w:szCs w:val="22"/>
              </w:rPr>
              <w:t>PATRIMONIO AUTÓNOMO INNPULSA – FIDUCOLDEX S.A.</w:t>
            </w:r>
          </w:p>
        </w:tc>
      </w:tr>
      <w:tr w:rsidR="0003243C" w:rsidRPr="00E54952" w14:paraId="63C4D995" w14:textId="77777777" w:rsidTr="00D4226B">
        <w:tc>
          <w:tcPr>
            <w:tcW w:w="1560" w:type="dxa"/>
          </w:tcPr>
          <w:p w14:paraId="1D816370" w14:textId="77777777" w:rsidR="0003243C" w:rsidRDefault="0003243C" w:rsidP="00D4226B">
            <w:pPr>
              <w:tabs>
                <w:tab w:val="left" w:pos="993"/>
              </w:tabs>
              <w:jc w:val="center"/>
              <w:rPr>
                <w:rFonts w:ascii="Arial" w:hAnsi="Arial" w:cs="Arial"/>
                <w:b/>
              </w:rPr>
            </w:pPr>
            <w:r>
              <w:rPr>
                <w:rFonts w:ascii="Arial" w:hAnsi="Arial" w:cs="Arial"/>
                <w:b/>
              </w:rPr>
              <w:t>237</w:t>
            </w:r>
          </w:p>
        </w:tc>
        <w:tc>
          <w:tcPr>
            <w:tcW w:w="8930" w:type="dxa"/>
          </w:tcPr>
          <w:p w14:paraId="07D07929" w14:textId="77777777" w:rsidR="0003243C" w:rsidRPr="00AD40FC" w:rsidRDefault="0003243C" w:rsidP="00D4226B">
            <w:pPr>
              <w:jc w:val="both"/>
              <w:rPr>
                <w:rFonts w:ascii="Arial" w:hAnsi="Arial" w:cs="Arial"/>
                <w:b/>
                <w:sz w:val="22"/>
                <w:szCs w:val="22"/>
              </w:rPr>
            </w:pPr>
            <w:r w:rsidRPr="00AD40FC">
              <w:rPr>
                <w:rFonts w:ascii="Arial" w:hAnsi="Arial" w:cs="Arial"/>
                <w:b/>
                <w:sz w:val="22"/>
                <w:szCs w:val="22"/>
              </w:rPr>
              <w:t>FIDEICOMISO PROCOLOMBIA – FIDUCOLDEX S.A.</w:t>
            </w:r>
          </w:p>
        </w:tc>
      </w:tr>
      <w:tr w:rsidR="0003243C" w:rsidRPr="00E54952" w14:paraId="5C5B8781" w14:textId="77777777" w:rsidTr="00D4226B">
        <w:tc>
          <w:tcPr>
            <w:tcW w:w="1560" w:type="dxa"/>
          </w:tcPr>
          <w:p w14:paraId="11DC121B" w14:textId="77777777" w:rsidR="0003243C" w:rsidRDefault="0003243C" w:rsidP="00D4226B">
            <w:pPr>
              <w:tabs>
                <w:tab w:val="left" w:pos="993"/>
              </w:tabs>
              <w:jc w:val="center"/>
              <w:rPr>
                <w:rFonts w:ascii="Arial" w:hAnsi="Arial" w:cs="Arial"/>
                <w:b/>
              </w:rPr>
            </w:pPr>
            <w:r>
              <w:rPr>
                <w:rFonts w:ascii="Arial" w:hAnsi="Arial" w:cs="Arial"/>
                <w:b/>
              </w:rPr>
              <w:t>238</w:t>
            </w:r>
          </w:p>
        </w:tc>
        <w:tc>
          <w:tcPr>
            <w:tcW w:w="8930" w:type="dxa"/>
          </w:tcPr>
          <w:p w14:paraId="42AF5BA4" w14:textId="77777777" w:rsidR="0003243C" w:rsidRPr="001E1DAC" w:rsidRDefault="0003243C" w:rsidP="00D4226B">
            <w:pPr>
              <w:ind w:right="31"/>
              <w:jc w:val="both"/>
              <w:rPr>
                <w:rFonts w:ascii="Arial" w:hAnsi="Arial" w:cs="Arial"/>
                <w:b/>
                <w:sz w:val="22"/>
                <w:szCs w:val="22"/>
                <w:lang w:val="es-MX"/>
              </w:rPr>
            </w:pPr>
            <w:r w:rsidRPr="001E1DAC">
              <w:rPr>
                <w:rFonts w:ascii="Arial" w:hAnsi="Arial" w:cs="Arial"/>
                <w:b/>
                <w:sz w:val="22"/>
                <w:szCs w:val="22"/>
                <w:lang w:val="es-MX"/>
              </w:rPr>
              <w:t>P</w:t>
            </w:r>
            <w:r w:rsidRPr="001E1DAC">
              <w:rPr>
                <w:rFonts w:ascii="Arial" w:hAnsi="Arial" w:cs="Arial"/>
                <w:b/>
                <w:sz w:val="22"/>
                <w:szCs w:val="22"/>
              </w:rPr>
              <w:t>ATRIMONIO AUTÓNOMO FONDO MUJER LIBRE Y PRODUCTIVA – FIDUCOLDEX S.A.</w:t>
            </w:r>
          </w:p>
        </w:tc>
      </w:tr>
      <w:tr w:rsidR="0003243C" w:rsidRPr="00E54952" w14:paraId="15799FB4" w14:textId="77777777" w:rsidTr="00D4226B">
        <w:tc>
          <w:tcPr>
            <w:tcW w:w="1560" w:type="dxa"/>
          </w:tcPr>
          <w:p w14:paraId="3E6A5367" w14:textId="77777777" w:rsidR="0003243C" w:rsidRDefault="0003243C" w:rsidP="00D4226B">
            <w:pPr>
              <w:tabs>
                <w:tab w:val="left" w:pos="993"/>
              </w:tabs>
              <w:jc w:val="center"/>
              <w:rPr>
                <w:rFonts w:ascii="Arial" w:hAnsi="Arial" w:cs="Arial"/>
                <w:b/>
              </w:rPr>
            </w:pPr>
            <w:r>
              <w:rPr>
                <w:rFonts w:ascii="Arial" w:hAnsi="Arial" w:cs="Arial"/>
                <w:b/>
              </w:rPr>
              <w:t>240</w:t>
            </w:r>
          </w:p>
        </w:tc>
        <w:tc>
          <w:tcPr>
            <w:tcW w:w="8930" w:type="dxa"/>
          </w:tcPr>
          <w:p w14:paraId="100E73B5" w14:textId="77777777" w:rsidR="0003243C" w:rsidRPr="00BC319A" w:rsidRDefault="0003243C" w:rsidP="00D4226B">
            <w:pPr>
              <w:jc w:val="both"/>
              <w:rPr>
                <w:rFonts w:ascii="Arial" w:hAnsi="Arial" w:cs="Arial"/>
                <w:b/>
                <w:sz w:val="22"/>
                <w:szCs w:val="22"/>
                <w:lang w:val="es-MX"/>
              </w:rPr>
            </w:pPr>
            <w:r w:rsidRPr="00BC319A">
              <w:rPr>
                <w:rFonts w:ascii="Arial" w:hAnsi="Arial" w:cs="Arial"/>
                <w:b/>
                <w:sz w:val="22"/>
                <w:szCs w:val="22"/>
              </w:rPr>
              <w:t>AUTORIDAD NACIONAL DE LICENCIAS AMBIENTALES - ANLA</w:t>
            </w:r>
            <w:r w:rsidRPr="00BC319A">
              <w:rPr>
                <w:rFonts w:ascii="Arial" w:hAnsi="Arial" w:cs="Arial"/>
                <w:b/>
                <w:sz w:val="22"/>
                <w:szCs w:val="22"/>
                <w:lang w:val="es-MX"/>
              </w:rPr>
              <w:t>.</w:t>
            </w:r>
          </w:p>
        </w:tc>
      </w:tr>
      <w:tr w:rsidR="0003243C" w:rsidRPr="00E54952" w14:paraId="156F35B5" w14:textId="77777777" w:rsidTr="00D4226B">
        <w:tc>
          <w:tcPr>
            <w:tcW w:w="1560" w:type="dxa"/>
          </w:tcPr>
          <w:p w14:paraId="75F071A9" w14:textId="77777777" w:rsidR="0003243C" w:rsidRDefault="0003243C" w:rsidP="00D4226B">
            <w:pPr>
              <w:tabs>
                <w:tab w:val="left" w:pos="993"/>
              </w:tabs>
              <w:jc w:val="center"/>
              <w:rPr>
                <w:rFonts w:ascii="Arial" w:hAnsi="Arial" w:cs="Arial"/>
                <w:b/>
              </w:rPr>
            </w:pPr>
            <w:r>
              <w:rPr>
                <w:rFonts w:ascii="Arial" w:hAnsi="Arial" w:cs="Arial"/>
                <w:b/>
              </w:rPr>
              <w:t>241</w:t>
            </w:r>
          </w:p>
        </w:tc>
        <w:tc>
          <w:tcPr>
            <w:tcW w:w="8930" w:type="dxa"/>
          </w:tcPr>
          <w:p w14:paraId="24456638" w14:textId="77777777" w:rsidR="0003243C" w:rsidRPr="006B5170" w:rsidRDefault="0003243C" w:rsidP="00D4226B">
            <w:pPr>
              <w:ind w:right="37"/>
              <w:jc w:val="both"/>
              <w:rPr>
                <w:rFonts w:ascii="Arial" w:hAnsi="Arial" w:cs="Arial"/>
                <w:b/>
                <w:sz w:val="22"/>
                <w:szCs w:val="22"/>
                <w:lang w:val="es-MX"/>
              </w:rPr>
            </w:pPr>
            <w:r w:rsidRPr="006B5170">
              <w:rPr>
                <w:rFonts w:ascii="Arial" w:hAnsi="Arial" w:cs="Arial"/>
                <w:b/>
                <w:sz w:val="22"/>
                <w:szCs w:val="22"/>
              </w:rPr>
              <w:t>CORPORACIÓN AUTÓNOMA REGIONAL PARA EL DESARROLLO SOSTENIBLE DEL CHOCÓ - CODECHOCÓ</w:t>
            </w:r>
            <w:r w:rsidRPr="006B5170">
              <w:rPr>
                <w:rFonts w:ascii="Arial" w:hAnsi="Arial" w:cs="Arial"/>
                <w:b/>
                <w:sz w:val="22"/>
                <w:szCs w:val="22"/>
                <w:lang w:val="es-MX"/>
              </w:rPr>
              <w:t>.</w:t>
            </w:r>
          </w:p>
        </w:tc>
      </w:tr>
      <w:tr w:rsidR="0003243C" w:rsidRPr="00E54952" w14:paraId="562D73B0" w14:textId="77777777" w:rsidTr="00D4226B">
        <w:tc>
          <w:tcPr>
            <w:tcW w:w="1560" w:type="dxa"/>
          </w:tcPr>
          <w:p w14:paraId="666C1F8B" w14:textId="77777777" w:rsidR="0003243C" w:rsidRDefault="0003243C" w:rsidP="00D4226B">
            <w:pPr>
              <w:tabs>
                <w:tab w:val="left" w:pos="993"/>
              </w:tabs>
              <w:jc w:val="center"/>
              <w:rPr>
                <w:rFonts w:ascii="Arial" w:hAnsi="Arial" w:cs="Arial"/>
                <w:b/>
              </w:rPr>
            </w:pPr>
            <w:r>
              <w:rPr>
                <w:rFonts w:ascii="Arial" w:hAnsi="Arial" w:cs="Arial"/>
                <w:b/>
              </w:rPr>
              <w:t>242</w:t>
            </w:r>
          </w:p>
        </w:tc>
        <w:tc>
          <w:tcPr>
            <w:tcW w:w="8930" w:type="dxa"/>
          </w:tcPr>
          <w:p w14:paraId="5D02F993" w14:textId="77777777" w:rsidR="0003243C" w:rsidRPr="00624F82" w:rsidRDefault="0003243C" w:rsidP="00D4226B">
            <w:pPr>
              <w:ind w:right="-142"/>
              <w:jc w:val="both"/>
              <w:rPr>
                <w:rFonts w:ascii="Arial" w:hAnsi="Arial" w:cs="Arial"/>
                <w:b/>
                <w:sz w:val="22"/>
                <w:szCs w:val="22"/>
                <w:lang w:val="es-MX"/>
              </w:rPr>
            </w:pPr>
            <w:r w:rsidRPr="00624F82">
              <w:rPr>
                <w:rFonts w:ascii="Arial" w:hAnsi="Arial" w:cs="Arial"/>
                <w:b/>
                <w:sz w:val="22"/>
                <w:szCs w:val="22"/>
              </w:rPr>
              <w:t>FIDUCIARIA COLOMBIANA DE COMERCIO EXTERIOR S.A. – FIDUCOLDEX S.A.</w:t>
            </w:r>
          </w:p>
        </w:tc>
      </w:tr>
      <w:tr w:rsidR="0003243C" w:rsidRPr="00E54952" w14:paraId="7DB17A7F" w14:textId="77777777" w:rsidTr="00D4226B">
        <w:tc>
          <w:tcPr>
            <w:tcW w:w="1560" w:type="dxa"/>
          </w:tcPr>
          <w:p w14:paraId="28BC075F" w14:textId="77777777" w:rsidR="0003243C" w:rsidRDefault="0003243C" w:rsidP="00D4226B">
            <w:pPr>
              <w:tabs>
                <w:tab w:val="left" w:pos="993"/>
              </w:tabs>
              <w:jc w:val="center"/>
              <w:rPr>
                <w:rFonts w:ascii="Arial" w:hAnsi="Arial" w:cs="Arial"/>
                <w:b/>
              </w:rPr>
            </w:pPr>
            <w:r>
              <w:rPr>
                <w:rFonts w:ascii="Arial" w:hAnsi="Arial" w:cs="Arial"/>
                <w:b/>
              </w:rPr>
              <w:t>243</w:t>
            </w:r>
          </w:p>
        </w:tc>
        <w:tc>
          <w:tcPr>
            <w:tcW w:w="8930" w:type="dxa"/>
          </w:tcPr>
          <w:p w14:paraId="50739895" w14:textId="77777777" w:rsidR="0003243C" w:rsidRPr="00583CAF" w:rsidRDefault="0003243C" w:rsidP="00D4226B">
            <w:pPr>
              <w:jc w:val="both"/>
              <w:rPr>
                <w:b/>
                <w:sz w:val="22"/>
                <w:szCs w:val="22"/>
                <w:lang w:val="es-MX"/>
              </w:rPr>
            </w:pPr>
            <w:r w:rsidRPr="00583CAF">
              <w:rPr>
                <w:b/>
                <w:sz w:val="22"/>
                <w:szCs w:val="22"/>
                <w:lang w:val="es-MX"/>
              </w:rPr>
              <w:t xml:space="preserve">FONDO NACIONAL DEL AHORRO – FNA. </w:t>
            </w:r>
          </w:p>
        </w:tc>
      </w:tr>
      <w:tr w:rsidR="0003243C" w:rsidRPr="00E54952" w14:paraId="1563D101" w14:textId="77777777" w:rsidTr="00D4226B">
        <w:tc>
          <w:tcPr>
            <w:tcW w:w="1560" w:type="dxa"/>
          </w:tcPr>
          <w:p w14:paraId="1CB54955" w14:textId="77777777" w:rsidR="0003243C" w:rsidRDefault="0003243C" w:rsidP="00D4226B">
            <w:pPr>
              <w:tabs>
                <w:tab w:val="left" w:pos="993"/>
              </w:tabs>
              <w:jc w:val="center"/>
              <w:rPr>
                <w:rFonts w:ascii="Arial" w:hAnsi="Arial" w:cs="Arial"/>
                <w:b/>
              </w:rPr>
            </w:pPr>
            <w:r>
              <w:rPr>
                <w:rFonts w:ascii="Arial" w:hAnsi="Arial" w:cs="Arial"/>
                <w:b/>
              </w:rPr>
              <w:t>244</w:t>
            </w:r>
          </w:p>
        </w:tc>
        <w:tc>
          <w:tcPr>
            <w:tcW w:w="8930" w:type="dxa"/>
          </w:tcPr>
          <w:p w14:paraId="71CB0AA2" w14:textId="77777777" w:rsidR="0003243C" w:rsidRPr="003946F1" w:rsidRDefault="0003243C" w:rsidP="00D4226B">
            <w:pPr>
              <w:ind w:right="31"/>
              <w:jc w:val="both"/>
              <w:rPr>
                <w:rFonts w:ascii="Arial" w:hAnsi="Arial" w:cs="Arial"/>
                <w:b/>
                <w:sz w:val="22"/>
                <w:szCs w:val="22"/>
                <w:lang w:val="es-MX"/>
              </w:rPr>
            </w:pPr>
            <w:r w:rsidRPr="003946F1">
              <w:rPr>
                <w:rFonts w:ascii="Arial" w:hAnsi="Arial" w:cs="Arial"/>
                <w:b/>
                <w:sz w:val="22"/>
                <w:szCs w:val="22"/>
              </w:rPr>
              <w:t>PATRIMONIO AUTÓNOMO FONDO NACIONAL DE TURISMO FONTUR - FIDUCOLDEX S.A.</w:t>
            </w:r>
          </w:p>
        </w:tc>
      </w:tr>
      <w:tr w:rsidR="0003243C" w:rsidRPr="00E54952" w14:paraId="4799FB91" w14:textId="77777777" w:rsidTr="00D4226B">
        <w:tc>
          <w:tcPr>
            <w:tcW w:w="1560" w:type="dxa"/>
          </w:tcPr>
          <w:p w14:paraId="3155D96C" w14:textId="77777777" w:rsidR="0003243C" w:rsidRDefault="0003243C" w:rsidP="00D4226B">
            <w:pPr>
              <w:tabs>
                <w:tab w:val="left" w:pos="993"/>
              </w:tabs>
              <w:jc w:val="center"/>
              <w:rPr>
                <w:rFonts w:ascii="Arial" w:hAnsi="Arial" w:cs="Arial"/>
                <w:b/>
              </w:rPr>
            </w:pPr>
            <w:r>
              <w:rPr>
                <w:rFonts w:ascii="Arial" w:hAnsi="Arial" w:cs="Arial"/>
                <w:b/>
              </w:rPr>
              <w:t>245</w:t>
            </w:r>
          </w:p>
        </w:tc>
        <w:tc>
          <w:tcPr>
            <w:tcW w:w="8930" w:type="dxa"/>
          </w:tcPr>
          <w:p w14:paraId="4582D7B4" w14:textId="77777777" w:rsidR="0003243C" w:rsidRPr="00713325" w:rsidRDefault="0003243C" w:rsidP="00D4226B">
            <w:pPr>
              <w:jc w:val="both"/>
              <w:rPr>
                <w:rFonts w:ascii="Arial" w:hAnsi="Arial" w:cs="Arial"/>
                <w:b/>
                <w:sz w:val="22"/>
                <w:szCs w:val="22"/>
              </w:rPr>
            </w:pPr>
            <w:r w:rsidRPr="00713325">
              <w:rPr>
                <w:rFonts w:ascii="Arial" w:hAnsi="Arial" w:cs="Arial"/>
                <w:b/>
                <w:sz w:val="22"/>
                <w:szCs w:val="22"/>
                <w:lang w:val="es-MX"/>
              </w:rPr>
              <w:t xml:space="preserve">CORPORACIÓN AUTÓNOMA REGIONAL DE CUNDINAMARCA – CAR. </w:t>
            </w:r>
            <w:r w:rsidRPr="00713325">
              <w:rPr>
                <w:rFonts w:ascii="Arial" w:hAnsi="Arial" w:cs="Arial"/>
                <w:b/>
                <w:sz w:val="22"/>
                <w:szCs w:val="22"/>
              </w:rPr>
              <w:t xml:space="preserve"> </w:t>
            </w:r>
          </w:p>
        </w:tc>
      </w:tr>
      <w:tr w:rsidR="0003243C" w:rsidRPr="00E54952" w14:paraId="67FDBEEB" w14:textId="77777777" w:rsidTr="00D4226B">
        <w:tc>
          <w:tcPr>
            <w:tcW w:w="1560" w:type="dxa"/>
          </w:tcPr>
          <w:p w14:paraId="7954C815" w14:textId="77777777" w:rsidR="0003243C" w:rsidRDefault="0003243C" w:rsidP="00D4226B">
            <w:pPr>
              <w:tabs>
                <w:tab w:val="left" w:pos="993"/>
              </w:tabs>
              <w:jc w:val="center"/>
              <w:rPr>
                <w:rFonts w:ascii="Arial" w:hAnsi="Arial" w:cs="Arial"/>
                <w:b/>
              </w:rPr>
            </w:pPr>
            <w:r>
              <w:rPr>
                <w:rFonts w:ascii="Arial" w:hAnsi="Arial" w:cs="Arial"/>
                <w:b/>
              </w:rPr>
              <w:t>246</w:t>
            </w:r>
          </w:p>
        </w:tc>
        <w:tc>
          <w:tcPr>
            <w:tcW w:w="8930" w:type="dxa"/>
          </w:tcPr>
          <w:p w14:paraId="448CC8BC" w14:textId="77777777" w:rsidR="0003243C" w:rsidRPr="00C80655" w:rsidRDefault="0003243C" w:rsidP="00D4226B">
            <w:pPr>
              <w:jc w:val="both"/>
              <w:rPr>
                <w:rFonts w:ascii="Arial" w:hAnsi="Arial" w:cs="Arial"/>
                <w:b/>
                <w:sz w:val="22"/>
                <w:szCs w:val="22"/>
                <w:lang w:val="es-MX"/>
              </w:rPr>
            </w:pPr>
            <w:r w:rsidRPr="00C80655">
              <w:rPr>
                <w:rFonts w:ascii="Arial" w:hAnsi="Arial" w:cs="Arial"/>
                <w:b/>
                <w:sz w:val="22"/>
                <w:szCs w:val="22"/>
                <w:lang w:val="es-MX"/>
              </w:rPr>
              <w:t>ELECTRIFICADORA DEL HUILA S.A. E.S.P. – ELECTROHUILA.</w:t>
            </w:r>
          </w:p>
        </w:tc>
      </w:tr>
      <w:tr w:rsidR="0003243C" w:rsidRPr="00E54952" w14:paraId="1BCC27B5" w14:textId="77777777" w:rsidTr="00D4226B">
        <w:tc>
          <w:tcPr>
            <w:tcW w:w="1560" w:type="dxa"/>
          </w:tcPr>
          <w:p w14:paraId="0C92296C" w14:textId="77777777" w:rsidR="0003243C" w:rsidRDefault="0003243C" w:rsidP="00D4226B">
            <w:pPr>
              <w:tabs>
                <w:tab w:val="left" w:pos="993"/>
              </w:tabs>
              <w:jc w:val="center"/>
              <w:rPr>
                <w:rFonts w:ascii="Arial" w:hAnsi="Arial" w:cs="Arial"/>
                <w:b/>
              </w:rPr>
            </w:pPr>
            <w:r>
              <w:rPr>
                <w:rFonts w:ascii="Arial" w:hAnsi="Arial" w:cs="Arial"/>
                <w:b/>
              </w:rPr>
              <w:t>247</w:t>
            </w:r>
          </w:p>
        </w:tc>
        <w:tc>
          <w:tcPr>
            <w:tcW w:w="8930" w:type="dxa"/>
          </w:tcPr>
          <w:p w14:paraId="5E4BC4DC" w14:textId="77777777" w:rsidR="0003243C" w:rsidRPr="009F4985" w:rsidRDefault="0003243C" w:rsidP="00D4226B">
            <w:pPr>
              <w:jc w:val="both"/>
              <w:rPr>
                <w:rFonts w:ascii="Arial" w:hAnsi="Arial" w:cs="Arial"/>
                <w:b/>
                <w:sz w:val="22"/>
                <w:szCs w:val="22"/>
                <w:lang w:val="es-MX"/>
              </w:rPr>
            </w:pPr>
            <w:r w:rsidRPr="009F4985">
              <w:rPr>
                <w:rFonts w:ascii="Arial" w:hAnsi="Arial" w:cs="Arial"/>
                <w:b/>
                <w:sz w:val="22"/>
                <w:szCs w:val="22"/>
                <w:lang w:val="es-MX"/>
              </w:rPr>
              <w:t xml:space="preserve">INSTITUTO NACIONAL DE VIGILANCIA DE MEDICAMENTOS Y ALIMENTOS – INVIMA. </w:t>
            </w:r>
          </w:p>
        </w:tc>
      </w:tr>
      <w:tr w:rsidR="0003243C" w:rsidRPr="00E54952" w14:paraId="7F6C9C43" w14:textId="77777777" w:rsidTr="00D4226B">
        <w:tc>
          <w:tcPr>
            <w:tcW w:w="1560" w:type="dxa"/>
          </w:tcPr>
          <w:p w14:paraId="021C00EE" w14:textId="77777777" w:rsidR="0003243C" w:rsidRDefault="0003243C" w:rsidP="00D4226B">
            <w:pPr>
              <w:tabs>
                <w:tab w:val="left" w:pos="993"/>
              </w:tabs>
              <w:jc w:val="center"/>
              <w:rPr>
                <w:rFonts w:ascii="Arial" w:hAnsi="Arial" w:cs="Arial"/>
                <w:b/>
              </w:rPr>
            </w:pPr>
            <w:r>
              <w:rPr>
                <w:rFonts w:ascii="Arial" w:hAnsi="Arial" w:cs="Arial"/>
                <w:b/>
              </w:rPr>
              <w:t>250</w:t>
            </w:r>
          </w:p>
        </w:tc>
        <w:tc>
          <w:tcPr>
            <w:tcW w:w="8930" w:type="dxa"/>
          </w:tcPr>
          <w:p w14:paraId="075C6A74" w14:textId="77777777" w:rsidR="0003243C" w:rsidRPr="00451670" w:rsidRDefault="0003243C" w:rsidP="00D4226B">
            <w:pPr>
              <w:jc w:val="both"/>
              <w:rPr>
                <w:rFonts w:ascii="Arial" w:hAnsi="Arial" w:cs="Arial"/>
                <w:b/>
                <w:sz w:val="22"/>
                <w:szCs w:val="22"/>
                <w:lang w:val="es-MX"/>
              </w:rPr>
            </w:pPr>
            <w:r w:rsidRPr="00451670">
              <w:rPr>
                <w:rFonts w:ascii="Arial" w:hAnsi="Arial" w:cs="Arial"/>
                <w:b/>
                <w:sz w:val="22"/>
                <w:szCs w:val="22"/>
                <w:lang w:val="es-MX"/>
              </w:rPr>
              <w:t>MINISTERIO DE COMERCIO, INDUSTRIA Y TURISMO – MINCIT.</w:t>
            </w:r>
          </w:p>
        </w:tc>
      </w:tr>
      <w:tr w:rsidR="0003243C" w:rsidRPr="00E54952" w14:paraId="061F0961" w14:textId="77777777" w:rsidTr="00D4226B">
        <w:tc>
          <w:tcPr>
            <w:tcW w:w="1560" w:type="dxa"/>
          </w:tcPr>
          <w:p w14:paraId="04B3A90D" w14:textId="77777777" w:rsidR="0003243C" w:rsidRDefault="0003243C" w:rsidP="00D4226B">
            <w:pPr>
              <w:tabs>
                <w:tab w:val="left" w:pos="993"/>
              </w:tabs>
              <w:jc w:val="center"/>
              <w:rPr>
                <w:rFonts w:ascii="Arial" w:hAnsi="Arial" w:cs="Arial"/>
                <w:b/>
              </w:rPr>
            </w:pPr>
            <w:r>
              <w:rPr>
                <w:rFonts w:ascii="Arial" w:hAnsi="Arial" w:cs="Arial"/>
                <w:b/>
              </w:rPr>
              <w:t>255</w:t>
            </w:r>
          </w:p>
        </w:tc>
        <w:tc>
          <w:tcPr>
            <w:tcW w:w="8930" w:type="dxa"/>
          </w:tcPr>
          <w:p w14:paraId="7B68FF82" w14:textId="77777777" w:rsidR="0003243C" w:rsidRPr="00765D2A" w:rsidRDefault="0003243C" w:rsidP="00D4226B">
            <w:pPr>
              <w:jc w:val="both"/>
              <w:rPr>
                <w:rFonts w:ascii="Arial" w:hAnsi="Arial" w:cs="Arial"/>
                <w:b/>
                <w:sz w:val="22"/>
                <w:szCs w:val="22"/>
                <w:lang w:val="es-MX"/>
              </w:rPr>
            </w:pPr>
            <w:r w:rsidRPr="00765D2A">
              <w:rPr>
                <w:rFonts w:ascii="Arial" w:hAnsi="Arial" w:cs="Arial"/>
                <w:b/>
                <w:sz w:val="22"/>
                <w:szCs w:val="22"/>
                <w:lang w:val="es-MX"/>
              </w:rPr>
              <w:t xml:space="preserve">CORPORACIÓN AUTÓNOMA REGIONAL DEL VALLE DEL CAUCA – CVC. </w:t>
            </w:r>
          </w:p>
        </w:tc>
      </w:tr>
      <w:tr w:rsidR="0003243C" w:rsidRPr="00E54952" w14:paraId="3F018EB4" w14:textId="77777777" w:rsidTr="00D4226B">
        <w:tc>
          <w:tcPr>
            <w:tcW w:w="1560" w:type="dxa"/>
          </w:tcPr>
          <w:p w14:paraId="6FB7781F" w14:textId="77777777" w:rsidR="0003243C" w:rsidRDefault="0003243C" w:rsidP="00D4226B">
            <w:pPr>
              <w:tabs>
                <w:tab w:val="left" w:pos="993"/>
              </w:tabs>
              <w:jc w:val="center"/>
              <w:rPr>
                <w:rFonts w:ascii="Arial" w:hAnsi="Arial" w:cs="Arial"/>
                <w:b/>
              </w:rPr>
            </w:pPr>
            <w:r>
              <w:rPr>
                <w:rFonts w:ascii="Arial" w:hAnsi="Arial" w:cs="Arial"/>
                <w:b/>
              </w:rPr>
              <w:t>256</w:t>
            </w:r>
          </w:p>
        </w:tc>
        <w:tc>
          <w:tcPr>
            <w:tcW w:w="8930" w:type="dxa"/>
          </w:tcPr>
          <w:p w14:paraId="6C882BB4" w14:textId="77777777" w:rsidR="0003243C" w:rsidRPr="007F60E9" w:rsidRDefault="0003243C" w:rsidP="00D4226B">
            <w:pPr>
              <w:ind w:right="49"/>
              <w:jc w:val="both"/>
              <w:rPr>
                <w:rFonts w:ascii="Arial" w:hAnsi="Arial" w:cs="Arial"/>
                <w:b/>
                <w:sz w:val="22"/>
                <w:szCs w:val="22"/>
                <w:lang w:val="es-MX"/>
              </w:rPr>
            </w:pPr>
            <w:r w:rsidRPr="007F60E9">
              <w:rPr>
                <w:rFonts w:ascii="Arial" w:hAnsi="Arial" w:cs="Arial"/>
                <w:b/>
                <w:sz w:val="22"/>
                <w:szCs w:val="22"/>
                <w:lang w:val="es-MX"/>
              </w:rPr>
              <w:t xml:space="preserve">U.A.E. DE GESTIÓN PENSIONAL Y CONTRIBUCIONES PARAFISCALES DE LA </w:t>
            </w:r>
            <w:r w:rsidRPr="007F60E9">
              <w:rPr>
                <w:rFonts w:ascii="Arial" w:hAnsi="Arial" w:cs="Arial"/>
                <w:b/>
                <w:sz w:val="22"/>
                <w:szCs w:val="22"/>
                <w:lang w:val="es-MX"/>
              </w:rPr>
              <w:lastRenderedPageBreak/>
              <w:t xml:space="preserve">PROTECCIÓN SOCIAL – UGPP. </w:t>
            </w:r>
          </w:p>
        </w:tc>
      </w:tr>
      <w:tr w:rsidR="0003243C" w:rsidRPr="00E54952" w14:paraId="70A105B1" w14:textId="77777777" w:rsidTr="00D4226B">
        <w:tc>
          <w:tcPr>
            <w:tcW w:w="1560" w:type="dxa"/>
          </w:tcPr>
          <w:p w14:paraId="39CC620A" w14:textId="77777777" w:rsidR="0003243C" w:rsidRDefault="0003243C" w:rsidP="00D4226B">
            <w:pPr>
              <w:tabs>
                <w:tab w:val="left" w:pos="993"/>
              </w:tabs>
              <w:jc w:val="center"/>
              <w:rPr>
                <w:rFonts w:ascii="Arial" w:hAnsi="Arial" w:cs="Arial"/>
                <w:b/>
              </w:rPr>
            </w:pPr>
            <w:r>
              <w:rPr>
                <w:rFonts w:ascii="Arial" w:hAnsi="Arial" w:cs="Arial"/>
                <w:b/>
              </w:rPr>
              <w:lastRenderedPageBreak/>
              <w:t>257</w:t>
            </w:r>
          </w:p>
        </w:tc>
        <w:tc>
          <w:tcPr>
            <w:tcW w:w="8930" w:type="dxa"/>
          </w:tcPr>
          <w:p w14:paraId="70D9DA85" w14:textId="77777777" w:rsidR="0003243C" w:rsidRPr="00AE020B" w:rsidRDefault="0003243C" w:rsidP="00D4226B">
            <w:pPr>
              <w:ind w:right="49"/>
              <w:jc w:val="both"/>
              <w:rPr>
                <w:rFonts w:ascii="Arial" w:hAnsi="Arial" w:cs="Arial"/>
                <w:b/>
                <w:sz w:val="22"/>
                <w:szCs w:val="22"/>
                <w:lang w:val="es-MX"/>
              </w:rPr>
            </w:pPr>
            <w:r w:rsidRPr="00AE020B">
              <w:rPr>
                <w:rFonts w:ascii="Arial" w:hAnsi="Arial" w:cs="Arial"/>
                <w:b/>
                <w:sz w:val="22"/>
                <w:szCs w:val="22"/>
                <w:lang w:val="es-MX"/>
              </w:rPr>
              <w:t>AGENCIA PARA LA REINCORPORACIÓN Y LA NORMALIZACIÓN – ARN.</w:t>
            </w:r>
          </w:p>
        </w:tc>
      </w:tr>
      <w:tr w:rsidR="0003243C" w:rsidRPr="00E54952" w14:paraId="45EAE772" w14:textId="77777777" w:rsidTr="00D4226B">
        <w:tc>
          <w:tcPr>
            <w:tcW w:w="1560" w:type="dxa"/>
          </w:tcPr>
          <w:p w14:paraId="6C644E5C" w14:textId="77777777" w:rsidR="0003243C" w:rsidRDefault="0003243C" w:rsidP="00D4226B">
            <w:pPr>
              <w:tabs>
                <w:tab w:val="left" w:pos="993"/>
              </w:tabs>
              <w:jc w:val="center"/>
              <w:rPr>
                <w:rFonts w:ascii="Arial" w:hAnsi="Arial" w:cs="Arial"/>
                <w:b/>
              </w:rPr>
            </w:pPr>
            <w:r>
              <w:rPr>
                <w:rFonts w:ascii="Arial" w:hAnsi="Arial" w:cs="Arial"/>
                <w:b/>
              </w:rPr>
              <w:t>260</w:t>
            </w:r>
          </w:p>
        </w:tc>
        <w:tc>
          <w:tcPr>
            <w:tcW w:w="8930" w:type="dxa"/>
          </w:tcPr>
          <w:p w14:paraId="5F1F1163" w14:textId="77777777" w:rsidR="0003243C" w:rsidRPr="004B4814" w:rsidRDefault="0003243C" w:rsidP="00D4226B">
            <w:pPr>
              <w:ind w:right="28"/>
              <w:jc w:val="both"/>
              <w:rPr>
                <w:rFonts w:ascii="Arial" w:hAnsi="Arial" w:cs="Arial"/>
                <w:b/>
                <w:sz w:val="22"/>
                <w:szCs w:val="22"/>
                <w:lang w:val="es-MX"/>
              </w:rPr>
            </w:pPr>
            <w:r w:rsidRPr="004B4814">
              <w:rPr>
                <w:rFonts w:ascii="Arial" w:hAnsi="Arial" w:cs="Arial"/>
                <w:b/>
                <w:sz w:val="22"/>
                <w:szCs w:val="22"/>
                <w:lang w:val="es-MX"/>
              </w:rPr>
              <w:t>260.- EMPRESA PÚBLICA DE ALCANTARILLADO DE SANTANDER S.A. E.S.P. - EMPAS.</w:t>
            </w:r>
          </w:p>
        </w:tc>
      </w:tr>
      <w:tr w:rsidR="0003243C" w:rsidRPr="00E54952" w14:paraId="2A62F86B" w14:textId="77777777" w:rsidTr="00D4226B">
        <w:tc>
          <w:tcPr>
            <w:tcW w:w="1560" w:type="dxa"/>
          </w:tcPr>
          <w:p w14:paraId="5FBDCA24" w14:textId="77777777" w:rsidR="0003243C" w:rsidRDefault="0003243C" w:rsidP="00D4226B">
            <w:pPr>
              <w:tabs>
                <w:tab w:val="left" w:pos="993"/>
              </w:tabs>
              <w:jc w:val="center"/>
              <w:rPr>
                <w:rFonts w:ascii="Arial" w:hAnsi="Arial" w:cs="Arial"/>
                <w:b/>
              </w:rPr>
            </w:pPr>
            <w:r>
              <w:rPr>
                <w:rFonts w:ascii="Arial" w:hAnsi="Arial" w:cs="Arial"/>
                <w:b/>
              </w:rPr>
              <w:t>264</w:t>
            </w:r>
          </w:p>
        </w:tc>
        <w:tc>
          <w:tcPr>
            <w:tcW w:w="8930" w:type="dxa"/>
          </w:tcPr>
          <w:p w14:paraId="0F00BD18" w14:textId="77777777" w:rsidR="0003243C" w:rsidRPr="00C3417A" w:rsidRDefault="0003243C" w:rsidP="00D4226B">
            <w:pPr>
              <w:jc w:val="both"/>
              <w:rPr>
                <w:rFonts w:ascii="Arial" w:hAnsi="Arial" w:cs="Arial"/>
                <w:b/>
                <w:sz w:val="22"/>
                <w:szCs w:val="22"/>
                <w:lang w:val="es-MX"/>
              </w:rPr>
            </w:pPr>
            <w:r w:rsidRPr="00C3417A">
              <w:rPr>
                <w:rFonts w:ascii="Arial" w:hAnsi="Arial" w:cs="Arial"/>
                <w:b/>
                <w:sz w:val="22"/>
                <w:szCs w:val="22"/>
                <w:lang w:val="es-MX"/>
              </w:rPr>
              <w:t>MINISTERIO DE EDUCACIÓN NACIONAL.</w:t>
            </w:r>
          </w:p>
        </w:tc>
      </w:tr>
      <w:tr w:rsidR="0003243C" w:rsidRPr="00E54952" w14:paraId="77B28E4B" w14:textId="77777777" w:rsidTr="00D4226B">
        <w:tc>
          <w:tcPr>
            <w:tcW w:w="1560" w:type="dxa"/>
          </w:tcPr>
          <w:p w14:paraId="31E0EB47" w14:textId="77777777" w:rsidR="0003243C" w:rsidRDefault="0003243C" w:rsidP="00D4226B">
            <w:pPr>
              <w:tabs>
                <w:tab w:val="left" w:pos="993"/>
              </w:tabs>
              <w:jc w:val="center"/>
              <w:rPr>
                <w:rFonts w:ascii="Arial" w:hAnsi="Arial" w:cs="Arial"/>
                <w:b/>
              </w:rPr>
            </w:pPr>
            <w:r>
              <w:rPr>
                <w:rFonts w:ascii="Arial" w:hAnsi="Arial" w:cs="Arial"/>
                <w:b/>
              </w:rPr>
              <w:t>266</w:t>
            </w:r>
          </w:p>
        </w:tc>
        <w:tc>
          <w:tcPr>
            <w:tcW w:w="8930" w:type="dxa"/>
          </w:tcPr>
          <w:p w14:paraId="1CAEC46F" w14:textId="77777777" w:rsidR="0003243C" w:rsidRPr="002B1C41" w:rsidRDefault="0003243C" w:rsidP="00D4226B">
            <w:pPr>
              <w:jc w:val="both"/>
              <w:rPr>
                <w:rFonts w:ascii="Arial" w:hAnsi="Arial" w:cs="Arial"/>
                <w:b/>
                <w:sz w:val="22"/>
                <w:szCs w:val="22"/>
                <w:lang w:val="es-MX"/>
              </w:rPr>
            </w:pPr>
            <w:r w:rsidRPr="002B1C41">
              <w:rPr>
                <w:rFonts w:ascii="Arial" w:hAnsi="Arial" w:cs="Arial"/>
                <w:b/>
                <w:sz w:val="22"/>
                <w:szCs w:val="22"/>
              </w:rPr>
              <w:t>PATRIMONIO AUTÓNOMO COBERTURA DE TASAS – FOGAFIN.</w:t>
            </w:r>
          </w:p>
        </w:tc>
      </w:tr>
      <w:tr w:rsidR="0003243C" w:rsidRPr="00E54952" w14:paraId="1E31A084" w14:textId="77777777" w:rsidTr="00D4226B">
        <w:tc>
          <w:tcPr>
            <w:tcW w:w="1560" w:type="dxa"/>
          </w:tcPr>
          <w:p w14:paraId="1809C763" w14:textId="77777777" w:rsidR="0003243C" w:rsidRDefault="0003243C" w:rsidP="00D4226B">
            <w:pPr>
              <w:tabs>
                <w:tab w:val="left" w:pos="993"/>
              </w:tabs>
              <w:jc w:val="center"/>
              <w:rPr>
                <w:rFonts w:ascii="Arial" w:hAnsi="Arial" w:cs="Arial"/>
                <w:b/>
              </w:rPr>
            </w:pPr>
            <w:r>
              <w:rPr>
                <w:rFonts w:ascii="Arial" w:hAnsi="Arial" w:cs="Arial"/>
                <w:b/>
              </w:rPr>
              <w:t>268</w:t>
            </w:r>
          </w:p>
        </w:tc>
        <w:tc>
          <w:tcPr>
            <w:tcW w:w="8930" w:type="dxa"/>
          </w:tcPr>
          <w:p w14:paraId="4A32E96C" w14:textId="77777777" w:rsidR="0003243C" w:rsidRPr="00C07991" w:rsidRDefault="0003243C" w:rsidP="00D4226B">
            <w:pPr>
              <w:jc w:val="both"/>
              <w:rPr>
                <w:rFonts w:ascii="Arial" w:hAnsi="Arial" w:cs="Arial"/>
                <w:b/>
                <w:sz w:val="22"/>
                <w:szCs w:val="22"/>
                <w:lang w:val="es-MX"/>
              </w:rPr>
            </w:pPr>
            <w:r w:rsidRPr="00C07991">
              <w:rPr>
                <w:rFonts w:ascii="Arial" w:hAnsi="Arial" w:cs="Arial"/>
                <w:b/>
                <w:sz w:val="22"/>
                <w:szCs w:val="22"/>
                <w:lang w:val="es-MX"/>
              </w:rPr>
              <w:t>CORPORACIÓN AUTÓNOMA REGIONAL DEL SUR DE BOLÍVAR - CSB.</w:t>
            </w:r>
          </w:p>
        </w:tc>
      </w:tr>
      <w:tr w:rsidR="0003243C" w:rsidRPr="00E54952" w14:paraId="45D8C545" w14:textId="77777777" w:rsidTr="00D4226B">
        <w:tc>
          <w:tcPr>
            <w:tcW w:w="1560" w:type="dxa"/>
          </w:tcPr>
          <w:p w14:paraId="70E797FB" w14:textId="77777777" w:rsidR="0003243C" w:rsidRDefault="0003243C" w:rsidP="00D4226B">
            <w:pPr>
              <w:tabs>
                <w:tab w:val="left" w:pos="993"/>
              </w:tabs>
              <w:jc w:val="center"/>
              <w:rPr>
                <w:rFonts w:ascii="Arial" w:hAnsi="Arial" w:cs="Arial"/>
                <w:b/>
              </w:rPr>
            </w:pPr>
            <w:r>
              <w:rPr>
                <w:rFonts w:ascii="Arial" w:hAnsi="Arial" w:cs="Arial"/>
                <w:b/>
              </w:rPr>
              <w:t>269</w:t>
            </w:r>
          </w:p>
        </w:tc>
        <w:tc>
          <w:tcPr>
            <w:tcW w:w="8930" w:type="dxa"/>
          </w:tcPr>
          <w:p w14:paraId="7FBE6294" w14:textId="77777777" w:rsidR="0003243C" w:rsidRPr="00C308DD" w:rsidRDefault="0003243C" w:rsidP="00D4226B">
            <w:pPr>
              <w:ind w:right="49"/>
              <w:jc w:val="both"/>
              <w:rPr>
                <w:rFonts w:ascii="Arial" w:hAnsi="Arial" w:cs="Arial"/>
                <w:b/>
                <w:sz w:val="22"/>
                <w:szCs w:val="22"/>
                <w:lang w:val="es-MX"/>
              </w:rPr>
            </w:pPr>
            <w:r w:rsidRPr="00C308DD">
              <w:rPr>
                <w:rFonts w:ascii="Arial" w:hAnsi="Arial" w:cs="Arial"/>
                <w:b/>
                <w:sz w:val="22"/>
                <w:szCs w:val="22"/>
                <w:lang w:val="es-MX"/>
              </w:rPr>
              <w:t>DEPARTAMENTO ADMINISTRATIVO NACIONAL DE ESTADÍSTICA - DANE.</w:t>
            </w:r>
          </w:p>
        </w:tc>
      </w:tr>
      <w:tr w:rsidR="0003243C" w:rsidRPr="00E54952" w14:paraId="78960608" w14:textId="77777777" w:rsidTr="00D4226B">
        <w:tc>
          <w:tcPr>
            <w:tcW w:w="1560" w:type="dxa"/>
          </w:tcPr>
          <w:p w14:paraId="2814CB7F" w14:textId="77777777" w:rsidR="0003243C" w:rsidRDefault="0003243C" w:rsidP="00D4226B">
            <w:pPr>
              <w:tabs>
                <w:tab w:val="left" w:pos="993"/>
              </w:tabs>
              <w:jc w:val="center"/>
              <w:rPr>
                <w:rFonts w:ascii="Arial" w:hAnsi="Arial" w:cs="Arial"/>
                <w:b/>
              </w:rPr>
            </w:pPr>
            <w:r>
              <w:rPr>
                <w:rFonts w:ascii="Arial" w:hAnsi="Arial" w:cs="Arial"/>
                <w:b/>
              </w:rPr>
              <w:t>273</w:t>
            </w:r>
          </w:p>
        </w:tc>
        <w:tc>
          <w:tcPr>
            <w:tcW w:w="8930" w:type="dxa"/>
          </w:tcPr>
          <w:p w14:paraId="40CFA266" w14:textId="77777777" w:rsidR="0003243C" w:rsidRPr="00B95CDE" w:rsidRDefault="0003243C" w:rsidP="00D4226B">
            <w:pPr>
              <w:jc w:val="both"/>
              <w:rPr>
                <w:rFonts w:ascii="Arial" w:hAnsi="Arial" w:cs="Arial"/>
                <w:b/>
                <w:sz w:val="22"/>
                <w:szCs w:val="22"/>
                <w:lang w:val="es-MX"/>
              </w:rPr>
            </w:pPr>
            <w:r w:rsidRPr="00B95CDE">
              <w:rPr>
                <w:rFonts w:ascii="Arial" w:hAnsi="Arial" w:cs="Arial"/>
                <w:b/>
                <w:sz w:val="22"/>
                <w:szCs w:val="22"/>
                <w:lang w:val="es-MX"/>
              </w:rPr>
              <w:t>FISCALÍA GENERAL DE LA NACIÓN.</w:t>
            </w:r>
          </w:p>
        </w:tc>
      </w:tr>
      <w:tr w:rsidR="0003243C" w:rsidRPr="00E54952" w14:paraId="1DCB4CD0" w14:textId="77777777" w:rsidTr="00D4226B">
        <w:tc>
          <w:tcPr>
            <w:tcW w:w="1560" w:type="dxa"/>
          </w:tcPr>
          <w:p w14:paraId="2E725F16" w14:textId="77777777" w:rsidR="0003243C" w:rsidRDefault="0003243C" w:rsidP="00D4226B">
            <w:pPr>
              <w:tabs>
                <w:tab w:val="left" w:pos="993"/>
              </w:tabs>
              <w:jc w:val="center"/>
              <w:rPr>
                <w:rFonts w:ascii="Arial" w:hAnsi="Arial" w:cs="Arial"/>
                <w:b/>
              </w:rPr>
            </w:pPr>
            <w:r>
              <w:rPr>
                <w:rFonts w:ascii="Arial" w:hAnsi="Arial" w:cs="Arial"/>
                <w:b/>
              </w:rPr>
              <w:t>275</w:t>
            </w:r>
          </w:p>
        </w:tc>
        <w:tc>
          <w:tcPr>
            <w:tcW w:w="8930" w:type="dxa"/>
          </w:tcPr>
          <w:p w14:paraId="74B6A455" w14:textId="77777777" w:rsidR="0003243C" w:rsidRPr="00123852" w:rsidRDefault="0003243C" w:rsidP="00D4226B">
            <w:pPr>
              <w:ind w:right="49"/>
              <w:jc w:val="both"/>
              <w:rPr>
                <w:rFonts w:ascii="Arial" w:hAnsi="Arial" w:cs="Arial"/>
                <w:b/>
                <w:sz w:val="22"/>
                <w:szCs w:val="22"/>
                <w:lang w:val="es-MX"/>
              </w:rPr>
            </w:pPr>
            <w:r w:rsidRPr="00123852">
              <w:rPr>
                <w:rFonts w:ascii="Arial" w:hAnsi="Arial" w:cs="Arial"/>
                <w:b/>
                <w:sz w:val="22"/>
                <w:szCs w:val="22"/>
                <w:lang w:val="es-MX"/>
              </w:rPr>
              <w:t>CORPORACIÓN AUTÓNOMA REGIONAL DE LA GUAJIRA - CORPOGUAJIRA.</w:t>
            </w:r>
          </w:p>
        </w:tc>
      </w:tr>
      <w:tr w:rsidR="0003243C" w:rsidRPr="00E54952" w14:paraId="335C313C" w14:textId="77777777" w:rsidTr="00D4226B">
        <w:tc>
          <w:tcPr>
            <w:tcW w:w="1560" w:type="dxa"/>
          </w:tcPr>
          <w:p w14:paraId="1B4E8BD3" w14:textId="77777777" w:rsidR="0003243C" w:rsidRDefault="0003243C" w:rsidP="00D4226B">
            <w:pPr>
              <w:tabs>
                <w:tab w:val="left" w:pos="993"/>
              </w:tabs>
              <w:jc w:val="center"/>
              <w:rPr>
                <w:rFonts w:ascii="Arial" w:hAnsi="Arial" w:cs="Arial"/>
                <w:b/>
              </w:rPr>
            </w:pPr>
            <w:r>
              <w:rPr>
                <w:rFonts w:ascii="Arial" w:hAnsi="Arial" w:cs="Arial"/>
                <w:b/>
              </w:rPr>
              <w:t>276</w:t>
            </w:r>
          </w:p>
        </w:tc>
        <w:tc>
          <w:tcPr>
            <w:tcW w:w="8930" w:type="dxa"/>
          </w:tcPr>
          <w:p w14:paraId="2F56E356" w14:textId="77777777" w:rsidR="0003243C" w:rsidRPr="0062300A" w:rsidRDefault="0003243C" w:rsidP="00D4226B">
            <w:pPr>
              <w:jc w:val="both"/>
              <w:rPr>
                <w:rFonts w:ascii="Arial" w:hAnsi="Arial" w:cs="Arial"/>
                <w:b/>
                <w:sz w:val="22"/>
                <w:szCs w:val="22"/>
                <w:lang w:val="es-MX"/>
              </w:rPr>
            </w:pPr>
            <w:r w:rsidRPr="0062300A">
              <w:rPr>
                <w:rFonts w:ascii="Arial" w:hAnsi="Arial" w:cs="Arial"/>
                <w:b/>
                <w:sz w:val="22"/>
                <w:szCs w:val="22"/>
                <w:lang w:val="es-MX"/>
              </w:rPr>
              <w:t>INSTITUTO COLOMBIANO AGROPECUARIO – ICA.</w:t>
            </w:r>
          </w:p>
        </w:tc>
      </w:tr>
      <w:tr w:rsidR="0003243C" w:rsidRPr="00E54952" w14:paraId="4BA5C061" w14:textId="77777777" w:rsidTr="00D4226B">
        <w:tc>
          <w:tcPr>
            <w:tcW w:w="1560" w:type="dxa"/>
          </w:tcPr>
          <w:p w14:paraId="72D9A036" w14:textId="77777777" w:rsidR="0003243C" w:rsidRDefault="0003243C" w:rsidP="00D4226B">
            <w:pPr>
              <w:tabs>
                <w:tab w:val="left" w:pos="993"/>
              </w:tabs>
              <w:jc w:val="center"/>
              <w:rPr>
                <w:rFonts w:ascii="Arial" w:hAnsi="Arial" w:cs="Arial"/>
                <w:b/>
              </w:rPr>
            </w:pPr>
            <w:r>
              <w:rPr>
                <w:rFonts w:ascii="Arial" w:hAnsi="Arial" w:cs="Arial"/>
                <w:b/>
              </w:rPr>
              <w:t>277</w:t>
            </w:r>
          </w:p>
        </w:tc>
        <w:tc>
          <w:tcPr>
            <w:tcW w:w="8930" w:type="dxa"/>
          </w:tcPr>
          <w:p w14:paraId="21E43A85" w14:textId="77777777" w:rsidR="0003243C" w:rsidRPr="0006740A" w:rsidRDefault="0003243C" w:rsidP="00D4226B">
            <w:pPr>
              <w:jc w:val="both"/>
              <w:rPr>
                <w:rFonts w:ascii="Arial" w:hAnsi="Arial" w:cs="Arial"/>
                <w:b/>
                <w:sz w:val="22"/>
                <w:szCs w:val="22"/>
                <w:lang w:val="es-MX"/>
              </w:rPr>
            </w:pPr>
            <w:r w:rsidRPr="0006740A">
              <w:rPr>
                <w:rFonts w:ascii="Arial" w:hAnsi="Arial" w:cs="Arial"/>
                <w:b/>
                <w:sz w:val="22"/>
                <w:szCs w:val="22"/>
                <w:lang w:val="es-MX"/>
              </w:rPr>
              <w:t>CONSEJO PROFESIONAL NACIONAL DE INGENIERIA – COPNIA.</w:t>
            </w:r>
          </w:p>
        </w:tc>
      </w:tr>
      <w:tr w:rsidR="0003243C" w:rsidRPr="00E54952" w14:paraId="2345F8A2" w14:textId="77777777" w:rsidTr="00D4226B">
        <w:tc>
          <w:tcPr>
            <w:tcW w:w="1560" w:type="dxa"/>
          </w:tcPr>
          <w:p w14:paraId="30D22EB1" w14:textId="77777777" w:rsidR="0003243C" w:rsidRDefault="0003243C" w:rsidP="00D4226B">
            <w:pPr>
              <w:tabs>
                <w:tab w:val="left" w:pos="993"/>
              </w:tabs>
              <w:jc w:val="center"/>
              <w:rPr>
                <w:rFonts w:ascii="Arial" w:hAnsi="Arial" w:cs="Arial"/>
                <w:b/>
              </w:rPr>
            </w:pPr>
            <w:r>
              <w:rPr>
                <w:rFonts w:ascii="Arial" w:hAnsi="Arial" w:cs="Arial"/>
                <w:b/>
              </w:rPr>
              <w:t>278</w:t>
            </w:r>
          </w:p>
        </w:tc>
        <w:tc>
          <w:tcPr>
            <w:tcW w:w="8930" w:type="dxa"/>
          </w:tcPr>
          <w:p w14:paraId="0A5613E5" w14:textId="77777777" w:rsidR="0003243C" w:rsidRPr="006C78AC" w:rsidRDefault="0003243C" w:rsidP="00D4226B">
            <w:pPr>
              <w:jc w:val="both"/>
              <w:rPr>
                <w:rFonts w:ascii="Arial" w:hAnsi="Arial" w:cs="Arial"/>
                <w:b/>
                <w:sz w:val="22"/>
                <w:szCs w:val="22"/>
                <w:lang w:val="es-MX"/>
              </w:rPr>
            </w:pPr>
            <w:r w:rsidRPr="006C78AC">
              <w:rPr>
                <w:rFonts w:ascii="Arial" w:hAnsi="Arial" w:cs="Arial"/>
                <w:b/>
                <w:sz w:val="22"/>
                <w:szCs w:val="22"/>
                <w:lang w:val="es-MX"/>
              </w:rPr>
              <w:t>UNIVERSIDAD TECNOLÓGICA DE PEREIRA.</w:t>
            </w:r>
          </w:p>
        </w:tc>
      </w:tr>
      <w:tr w:rsidR="0003243C" w:rsidRPr="00E54952" w14:paraId="232BA105" w14:textId="77777777" w:rsidTr="00D4226B">
        <w:tc>
          <w:tcPr>
            <w:tcW w:w="1560" w:type="dxa"/>
          </w:tcPr>
          <w:p w14:paraId="4E601A6B" w14:textId="77777777" w:rsidR="0003243C" w:rsidRDefault="0003243C" w:rsidP="00D4226B">
            <w:pPr>
              <w:tabs>
                <w:tab w:val="left" w:pos="993"/>
              </w:tabs>
              <w:jc w:val="center"/>
              <w:rPr>
                <w:rFonts w:ascii="Arial" w:hAnsi="Arial" w:cs="Arial"/>
                <w:b/>
              </w:rPr>
            </w:pPr>
            <w:r>
              <w:rPr>
                <w:rFonts w:ascii="Arial" w:hAnsi="Arial" w:cs="Arial"/>
                <w:b/>
              </w:rPr>
              <w:t>280</w:t>
            </w:r>
          </w:p>
        </w:tc>
        <w:tc>
          <w:tcPr>
            <w:tcW w:w="8930" w:type="dxa"/>
          </w:tcPr>
          <w:p w14:paraId="57E26438" w14:textId="77777777" w:rsidR="0003243C" w:rsidRPr="00612B57" w:rsidRDefault="0003243C" w:rsidP="00D4226B">
            <w:pPr>
              <w:jc w:val="both"/>
              <w:rPr>
                <w:rFonts w:ascii="Arial" w:hAnsi="Arial" w:cs="Arial"/>
                <w:b/>
                <w:sz w:val="22"/>
                <w:szCs w:val="22"/>
                <w:lang w:val="es-MX"/>
              </w:rPr>
            </w:pPr>
            <w:r w:rsidRPr="00612B57">
              <w:rPr>
                <w:rFonts w:ascii="Arial" w:hAnsi="Arial" w:cs="Arial"/>
                <w:b/>
                <w:sz w:val="22"/>
                <w:szCs w:val="22"/>
                <w:lang w:val="es-MX"/>
              </w:rPr>
              <w:t>AGENCIA LOGISTICA DE LAS FUERZAS MILITARES.</w:t>
            </w:r>
          </w:p>
        </w:tc>
      </w:tr>
      <w:tr w:rsidR="0003243C" w:rsidRPr="00E54952" w14:paraId="4DFED6AA" w14:textId="77777777" w:rsidTr="00D4226B">
        <w:tc>
          <w:tcPr>
            <w:tcW w:w="1560" w:type="dxa"/>
          </w:tcPr>
          <w:p w14:paraId="5BCD0D23" w14:textId="77777777" w:rsidR="0003243C" w:rsidRDefault="0003243C" w:rsidP="00D4226B">
            <w:pPr>
              <w:tabs>
                <w:tab w:val="left" w:pos="993"/>
              </w:tabs>
              <w:jc w:val="center"/>
              <w:rPr>
                <w:rFonts w:ascii="Arial" w:hAnsi="Arial" w:cs="Arial"/>
                <w:b/>
              </w:rPr>
            </w:pPr>
            <w:r>
              <w:rPr>
                <w:rFonts w:ascii="Arial" w:hAnsi="Arial" w:cs="Arial"/>
                <w:b/>
              </w:rPr>
              <w:t>284</w:t>
            </w:r>
          </w:p>
        </w:tc>
        <w:tc>
          <w:tcPr>
            <w:tcW w:w="8930" w:type="dxa"/>
          </w:tcPr>
          <w:p w14:paraId="647DED20" w14:textId="77777777" w:rsidR="0003243C" w:rsidRPr="0040240D" w:rsidRDefault="0003243C" w:rsidP="00D4226B">
            <w:pPr>
              <w:jc w:val="both"/>
              <w:rPr>
                <w:rFonts w:ascii="Arial" w:hAnsi="Arial" w:cs="Arial"/>
                <w:b/>
                <w:sz w:val="22"/>
                <w:szCs w:val="22"/>
                <w:lang w:val="es-MX"/>
              </w:rPr>
            </w:pPr>
            <w:r w:rsidRPr="0040240D">
              <w:rPr>
                <w:rFonts w:ascii="Arial" w:hAnsi="Arial" w:cs="Arial"/>
                <w:b/>
                <w:sz w:val="22"/>
                <w:szCs w:val="22"/>
                <w:lang w:val="es-MX"/>
              </w:rPr>
              <w:t>ELECTRIFICADORA DEL META S.A. – EMSA S.A.</w:t>
            </w:r>
          </w:p>
        </w:tc>
      </w:tr>
      <w:tr w:rsidR="0003243C" w:rsidRPr="00E54952" w14:paraId="1A521D6C" w14:textId="77777777" w:rsidTr="00D4226B">
        <w:tc>
          <w:tcPr>
            <w:tcW w:w="1560" w:type="dxa"/>
          </w:tcPr>
          <w:p w14:paraId="447E2321" w14:textId="77777777" w:rsidR="0003243C" w:rsidRDefault="0003243C" w:rsidP="00D4226B">
            <w:pPr>
              <w:tabs>
                <w:tab w:val="left" w:pos="993"/>
              </w:tabs>
              <w:jc w:val="center"/>
              <w:rPr>
                <w:rFonts w:ascii="Arial" w:hAnsi="Arial" w:cs="Arial"/>
                <w:b/>
              </w:rPr>
            </w:pPr>
            <w:r>
              <w:rPr>
                <w:rFonts w:ascii="Arial" w:hAnsi="Arial" w:cs="Arial"/>
                <w:b/>
              </w:rPr>
              <w:t>285</w:t>
            </w:r>
          </w:p>
        </w:tc>
        <w:tc>
          <w:tcPr>
            <w:tcW w:w="8930" w:type="dxa"/>
          </w:tcPr>
          <w:p w14:paraId="36168DFE" w14:textId="77777777" w:rsidR="0003243C" w:rsidRPr="0068206B" w:rsidRDefault="0003243C" w:rsidP="00D4226B">
            <w:pPr>
              <w:jc w:val="both"/>
              <w:rPr>
                <w:rFonts w:ascii="Arial" w:hAnsi="Arial" w:cs="Arial"/>
                <w:b/>
                <w:sz w:val="22"/>
                <w:szCs w:val="22"/>
                <w:lang w:val="es-MX"/>
              </w:rPr>
            </w:pPr>
            <w:r w:rsidRPr="0068206B">
              <w:rPr>
                <w:rFonts w:ascii="Arial" w:hAnsi="Arial" w:cs="Arial"/>
                <w:b/>
                <w:sz w:val="22"/>
                <w:szCs w:val="22"/>
                <w:lang w:val="es-CO"/>
              </w:rPr>
              <w:t>FONDO ROTATORIO DEL DEPARTAMENTO ADMINISTRATIVO NACIONAL DE ESTADÍSTICA – FONDANE.</w:t>
            </w:r>
            <w:r w:rsidRPr="0068206B">
              <w:rPr>
                <w:rFonts w:ascii="Arial" w:hAnsi="Arial" w:cs="Arial"/>
                <w:b/>
                <w:sz w:val="22"/>
                <w:szCs w:val="22"/>
                <w:lang w:val="es-MX"/>
              </w:rPr>
              <w:t xml:space="preserve"> </w:t>
            </w:r>
          </w:p>
        </w:tc>
      </w:tr>
      <w:tr w:rsidR="0003243C" w:rsidRPr="00E54952" w14:paraId="5775C3C1" w14:textId="77777777" w:rsidTr="00D4226B">
        <w:tc>
          <w:tcPr>
            <w:tcW w:w="1560" w:type="dxa"/>
          </w:tcPr>
          <w:p w14:paraId="5B3F6B09" w14:textId="77777777" w:rsidR="0003243C" w:rsidRDefault="0003243C" w:rsidP="00D4226B">
            <w:pPr>
              <w:tabs>
                <w:tab w:val="left" w:pos="993"/>
              </w:tabs>
              <w:jc w:val="center"/>
              <w:rPr>
                <w:rFonts w:ascii="Arial" w:hAnsi="Arial" w:cs="Arial"/>
                <w:b/>
              </w:rPr>
            </w:pPr>
            <w:r>
              <w:rPr>
                <w:rFonts w:ascii="Arial" w:hAnsi="Arial" w:cs="Arial"/>
                <w:b/>
              </w:rPr>
              <w:t>288</w:t>
            </w:r>
          </w:p>
        </w:tc>
        <w:tc>
          <w:tcPr>
            <w:tcW w:w="8930" w:type="dxa"/>
          </w:tcPr>
          <w:p w14:paraId="2AFA17F4" w14:textId="77777777" w:rsidR="0003243C" w:rsidRPr="001F473A" w:rsidRDefault="0003243C" w:rsidP="00D4226B">
            <w:pPr>
              <w:jc w:val="both"/>
              <w:rPr>
                <w:rFonts w:ascii="Arial" w:hAnsi="Arial" w:cs="Arial"/>
                <w:b/>
                <w:sz w:val="22"/>
                <w:szCs w:val="22"/>
                <w:lang w:val="es-MX"/>
              </w:rPr>
            </w:pPr>
            <w:r w:rsidRPr="001F473A">
              <w:rPr>
                <w:rFonts w:ascii="Arial" w:hAnsi="Arial" w:cs="Arial"/>
                <w:b/>
                <w:sz w:val="22"/>
                <w:szCs w:val="22"/>
                <w:lang w:val="es-MX"/>
              </w:rPr>
              <w:t>UNIVERSIDAD DEL CAUCA.</w:t>
            </w:r>
          </w:p>
        </w:tc>
      </w:tr>
      <w:tr w:rsidR="0003243C" w:rsidRPr="00E54952" w14:paraId="4A47FA57" w14:textId="77777777" w:rsidTr="00D4226B">
        <w:tc>
          <w:tcPr>
            <w:tcW w:w="1560" w:type="dxa"/>
          </w:tcPr>
          <w:p w14:paraId="5BE3B454" w14:textId="77777777" w:rsidR="0003243C" w:rsidRDefault="0003243C" w:rsidP="00D4226B">
            <w:pPr>
              <w:tabs>
                <w:tab w:val="left" w:pos="993"/>
              </w:tabs>
              <w:jc w:val="center"/>
              <w:rPr>
                <w:rFonts w:ascii="Arial" w:hAnsi="Arial" w:cs="Arial"/>
                <w:b/>
              </w:rPr>
            </w:pPr>
            <w:r>
              <w:rPr>
                <w:rFonts w:ascii="Arial" w:hAnsi="Arial" w:cs="Arial"/>
                <w:b/>
              </w:rPr>
              <w:t>290</w:t>
            </w:r>
          </w:p>
        </w:tc>
        <w:tc>
          <w:tcPr>
            <w:tcW w:w="8930" w:type="dxa"/>
          </w:tcPr>
          <w:p w14:paraId="4989E5F6" w14:textId="77777777" w:rsidR="0003243C" w:rsidRPr="002C3B60" w:rsidRDefault="0003243C" w:rsidP="00D4226B">
            <w:pPr>
              <w:jc w:val="both"/>
              <w:rPr>
                <w:rFonts w:ascii="Arial" w:hAnsi="Arial" w:cs="Arial"/>
                <w:b/>
                <w:sz w:val="22"/>
                <w:szCs w:val="22"/>
                <w:lang w:val="es-MX"/>
              </w:rPr>
            </w:pPr>
            <w:r w:rsidRPr="002C3B60">
              <w:rPr>
                <w:rFonts w:ascii="Arial" w:hAnsi="Arial" w:cs="Arial"/>
                <w:b/>
                <w:sz w:val="22"/>
                <w:szCs w:val="22"/>
                <w:lang w:val="es-MX"/>
              </w:rPr>
              <w:t>ADMINISTRADORA COLOMBIANA DE PENSIONES - COLPENSIONES.</w:t>
            </w:r>
          </w:p>
        </w:tc>
      </w:tr>
      <w:tr w:rsidR="0003243C" w:rsidRPr="00E54952" w14:paraId="74D0FDB4" w14:textId="77777777" w:rsidTr="00D4226B">
        <w:tc>
          <w:tcPr>
            <w:tcW w:w="1560" w:type="dxa"/>
          </w:tcPr>
          <w:p w14:paraId="465BABA1" w14:textId="77777777" w:rsidR="0003243C" w:rsidRDefault="0003243C" w:rsidP="00D4226B">
            <w:pPr>
              <w:tabs>
                <w:tab w:val="left" w:pos="993"/>
              </w:tabs>
              <w:jc w:val="center"/>
              <w:rPr>
                <w:rFonts w:ascii="Arial" w:hAnsi="Arial" w:cs="Arial"/>
                <w:b/>
              </w:rPr>
            </w:pPr>
            <w:r>
              <w:rPr>
                <w:rFonts w:ascii="Arial" w:hAnsi="Arial" w:cs="Arial"/>
                <w:b/>
              </w:rPr>
              <w:t>296</w:t>
            </w:r>
          </w:p>
        </w:tc>
        <w:tc>
          <w:tcPr>
            <w:tcW w:w="8930" w:type="dxa"/>
          </w:tcPr>
          <w:p w14:paraId="45D41907" w14:textId="77777777" w:rsidR="0003243C" w:rsidRPr="002C3B60" w:rsidRDefault="0003243C" w:rsidP="00D4226B">
            <w:pPr>
              <w:jc w:val="both"/>
              <w:rPr>
                <w:rFonts w:ascii="Arial" w:hAnsi="Arial" w:cs="Arial"/>
                <w:b/>
                <w:lang w:val="es-MX"/>
              </w:rPr>
            </w:pPr>
            <w:r w:rsidRPr="00F8745A">
              <w:rPr>
                <w:rFonts w:ascii="Arial" w:hAnsi="Arial" w:cs="Arial"/>
                <w:b/>
                <w:sz w:val="22"/>
                <w:szCs w:val="22"/>
                <w:lang w:val="es-MX"/>
              </w:rPr>
              <w:t>AGENCIA NACIONAL DE MINERIA - ANM.</w:t>
            </w:r>
          </w:p>
        </w:tc>
      </w:tr>
      <w:tr w:rsidR="0003243C" w:rsidRPr="00E54952" w14:paraId="12AD4AAC" w14:textId="77777777" w:rsidTr="00D4226B">
        <w:tc>
          <w:tcPr>
            <w:tcW w:w="1560" w:type="dxa"/>
          </w:tcPr>
          <w:p w14:paraId="10A1CC44" w14:textId="77777777" w:rsidR="0003243C" w:rsidRDefault="0003243C" w:rsidP="00D4226B">
            <w:pPr>
              <w:tabs>
                <w:tab w:val="left" w:pos="993"/>
              </w:tabs>
              <w:jc w:val="center"/>
              <w:rPr>
                <w:rFonts w:ascii="Arial" w:hAnsi="Arial" w:cs="Arial"/>
                <w:b/>
              </w:rPr>
            </w:pPr>
            <w:r>
              <w:rPr>
                <w:rFonts w:ascii="Arial" w:hAnsi="Arial" w:cs="Arial"/>
                <w:b/>
              </w:rPr>
              <w:t>298</w:t>
            </w:r>
          </w:p>
        </w:tc>
        <w:tc>
          <w:tcPr>
            <w:tcW w:w="8930" w:type="dxa"/>
          </w:tcPr>
          <w:p w14:paraId="2A261982" w14:textId="77777777" w:rsidR="0003243C" w:rsidRPr="000033BA" w:rsidRDefault="0003243C" w:rsidP="00D4226B">
            <w:pPr>
              <w:jc w:val="both"/>
              <w:rPr>
                <w:rFonts w:ascii="Arial" w:hAnsi="Arial" w:cs="Arial"/>
                <w:b/>
                <w:sz w:val="22"/>
                <w:szCs w:val="22"/>
                <w:lang w:val="es-MX"/>
              </w:rPr>
            </w:pPr>
            <w:r w:rsidRPr="000033BA">
              <w:rPr>
                <w:rFonts w:ascii="Arial" w:eastAsia="Calibri" w:hAnsi="Arial" w:cs="Arial"/>
                <w:b/>
                <w:sz w:val="22"/>
                <w:szCs w:val="22"/>
                <w:lang w:val="es-MX"/>
              </w:rPr>
              <w:t>CORPORACIÓN COLOMBIANA DE INVESTIGACIÓN AGROPECUARIA - AGROSAVIA.</w:t>
            </w:r>
          </w:p>
        </w:tc>
      </w:tr>
      <w:tr w:rsidR="0003243C" w:rsidRPr="00E54952" w14:paraId="008950FA" w14:textId="77777777" w:rsidTr="00D4226B">
        <w:tc>
          <w:tcPr>
            <w:tcW w:w="1560" w:type="dxa"/>
          </w:tcPr>
          <w:p w14:paraId="1D16760A" w14:textId="77777777" w:rsidR="0003243C" w:rsidRDefault="0003243C" w:rsidP="00D4226B">
            <w:pPr>
              <w:tabs>
                <w:tab w:val="left" w:pos="993"/>
              </w:tabs>
              <w:jc w:val="center"/>
              <w:rPr>
                <w:rFonts w:ascii="Arial" w:hAnsi="Arial" w:cs="Arial"/>
                <w:b/>
              </w:rPr>
            </w:pPr>
            <w:r>
              <w:rPr>
                <w:rFonts w:ascii="Arial" w:hAnsi="Arial" w:cs="Arial"/>
                <w:b/>
              </w:rPr>
              <w:t>299</w:t>
            </w:r>
          </w:p>
        </w:tc>
        <w:tc>
          <w:tcPr>
            <w:tcW w:w="8930" w:type="dxa"/>
          </w:tcPr>
          <w:p w14:paraId="01BB110A" w14:textId="77777777" w:rsidR="0003243C" w:rsidRPr="009523F9" w:rsidRDefault="0003243C" w:rsidP="00D4226B">
            <w:pPr>
              <w:jc w:val="both"/>
              <w:rPr>
                <w:rFonts w:ascii="Arial" w:hAnsi="Arial" w:cs="Arial"/>
                <w:b/>
                <w:sz w:val="22"/>
                <w:szCs w:val="22"/>
                <w:lang w:val="es-MX"/>
              </w:rPr>
            </w:pPr>
            <w:r w:rsidRPr="00BD0D8F">
              <w:rPr>
                <w:rFonts w:ascii="Arial" w:hAnsi="Arial" w:cs="Arial"/>
                <w:b/>
                <w:sz w:val="22"/>
                <w:szCs w:val="22"/>
                <w:lang w:val="es-MX"/>
              </w:rPr>
              <w:t>E.I.C.E. ADMINISTRADORA DEL MONOPOLIO RENTISTICO DE LOS JUEGOS DE SUERTE Y AZAR – COLJUEGOS.</w:t>
            </w:r>
          </w:p>
        </w:tc>
      </w:tr>
      <w:tr w:rsidR="0003243C" w:rsidRPr="00E54952" w14:paraId="1C40F1FB" w14:textId="77777777" w:rsidTr="00D4226B">
        <w:tc>
          <w:tcPr>
            <w:tcW w:w="1560" w:type="dxa"/>
          </w:tcPr>
          <w:p w14:paraId="2EF43DF9" w14:textId="77777777" w:rsidR="0003243C" w:rsidRDefault="0003243C" w:rsidP="00D4226B">
            <w:pPr>
              <w:tabs>
                <w:tab w:val="left" w:pos="993"/>
              </w:tabs>
              <w:jc w:val="center"/>
              <w:rPr>
                <w:rFonts w:ascii="Arial" w:hAnsi="Arial" w:cs="Arial"/>
                <w:b/>
              </w:rPr>
            </w:pPr>
            <w:r>
              <w:rPr>
                <w:rFonts w:ascii="Arial" w:hAnsi="Arial" w:cs="Arial"/>
                <w:b/>
              </w:rPr>
              <w:t>300</w:t>
            </w:r>
          </w:p>
        </w:tc>
        <w:tc>
          <w:tcPr>
            <w:tcW w:w="8930" w:type="dxa"/>
          </w:tcPr>
          <w:p w14:paraId="6AFA37F0" w14:textId="77777777" w:rsidR="0003243C" w:rsidRPr="00BD0D8F" w:rsidRDefault="0003243C" w:rsidP="00D4226B">
            <w:pPr>
              <w:jc w:val="both"/>
              <w:rPr>
                <w:rFonts w:ascii="Arial" w:hAnsi="Arial" w:cs="Arial"/>
                <w:b/>
                <w:lang w:val="es-MX"/>
              </w:rPr>
            </w:pPr>
            <w:r w:rsidRPr="00003FA1">
              <w:rPr>
                <w:rFonts w:ascii="Arial" w:hAnsi="Arial" w:cs="Arial"/>
                <w:b/>
                <w:sz w:val="22"/>
                <w:szCs w:val="22"/>
                <w:lang w:val="es-MX"/>
              </w:rPr>
              <w:t>SUPERINTENDENCIA DE LA ECONOMIA SOLIDARIA - SUPERSOLIDARIA.</w:t>
            </w:r>
          </w:p>
        </w:tc>
      </w:tr>
      <w:tr w:rsidR="0003243C" w:rsidRPr="00E54952" w14:paraId="7E3B9362" w14:textId="77777777" w:rsidTr="00D4226B">
        <w:tc>
          <w:tcPr>
            <w:tcW w:w="1560" w:type="dxa"/>
          </w:tcPr>
          <w:p w14:paraId="028FE8C1" w14:textId="77777777" w:rsidR="0003243C" w:rsidRDefault="0003243C" w:rsidP="00D4226B">
            <w:pPr>
              <w:tabs>
                <w:tab w:val="left" w:pos="993"/>
              </w:tabs>
              <w:jc w:val="center"/>
              <w:rPr>
                <w:rFonts w:ascii="Arial" w:hAnsi="Arial" w:cs="Arial"/>
                <w:b/>
              </w:rPr>
            </w:pPr>
            <w:r>
              <w:rPr>
                <w:rFonts w:ascii="Arial" w:hAnsi="Arial" w:cs="Arial"/>
                <w:b/>
              </w:rPr>
              <w:t>301</w:t>
            </w:r>
          </w:p>
        </w:tc>
        <w:tc>
          <w:tcPr>
            <w:tcW w:w="8930" w:type="dxa"/>
          </w:tcPr>
          <w:p w14:paraId="65E0DAED" w14:textId="77777777" w:rsidR="0003243C" w:rsidRPr="00864820" w:rsidRDefault="0003243C" w:rsidP="00D4226B">
            <w:pPr>
              <w:jc w:val="both"/>
              <w:rPr>
                <w:rFonts w:ascii="Arial" w:hAnsi="Arial" w:cs="Arial"/>
                <w:b/>
                <w:sz w:val="22"/>
                <w:szCs w:val="22"/>
                <w:lang w:val="es-MX"/>
              </w:rPr>
            </w:pPr>
            <w:r w:rsidRPr="00864820">
              <w:rPr>
                <w:rFonts w:ascii="Arial" w:hAnsi="Arial" w:cs="Arial"/>
                <w:b/>
                <w:sz w:val="22"/>
                <w:szCs w:val="22"/>
              </w:rPr>
              <w:t>CENTRO DE DIAGNÓSTICO AUTOMOTOR DE CÚCUTA LTDA - CEDAC</w:t>
            </w:r>
            <w:r w:rsidRPr="00864820">
              <w:rPr>
                <w:rFonts w:ascii="Arial" w:hAnsi="Arial" w:cs="Arial"/>
                <w:b/>
                <w:sz w:val="22"/>
                <w:szCs w:val="22"/>
                <w:lang w:val="es-MX"/>
              </w:rPr>
              <w:t>.</w:t>
            </w:r>
          </w:p>
        </w:tc>
      </w:tr>
      <w:tr w:rsidR="0003243C" w:rsidRPr="00E54952" w14:paraId="0EC4D0EC" w14:textId="77777777" w:rsidTr="00D4226B">
        <w:tc>
          <w:tcPr>
            <w:tcW w:w="1560" w:type="dxa"/>
          </w:tcPr>
          <w:p w14:paraId="4E920CEA" w14:textId="77777777" w:rsidR="0003243C" w:rsidRDefault="0003243C" w:rsidP="00D4226B">
            <w:pPr>
              <w:tabs>
                <w:tab w:val="left" w:pos="993"/>
              </w:tabs>
              <w:jc w:val="center"/>
              <w:rPr>
                <w:rFonts w:ascii="Arial" w:hAnsi="Arial" w:cs="Arial"/>
                <w:b/>
              </w:rPr>
            </w:pPr>
            <w:r>
              <w:rPr>
                <w:rFonts w:ascii="Arial" w:hAnsi="Arial" w:cs="Arial"/>
                <w:b/>
              </w:rPr>
              <w:t>302</w:t>
            </w:r>
          </w:p>
        </w:tc>
        <w:tc>
          <w:tcPr>
            <w:tcW w:w="8930" w:type="dxa"/>
          </w:tcPr>
          <w:p w14:paraId="54063FA7" w14:textId="77777777" w:rsidR="0003243C" w:rsidRPr="00C13D8E" w:rsidRDefault="0003243C" w:rsidP="00D4226B">
            <w:pPr>
              <w:ind w:left="39"/>
              <w:jc w:val="both"/>
              <w:rPr>
                <w:rFonts w:ascii="Arial" w:hAnsi="Arial" w:cs="Arial"/>
                <w:b/>
                <w:sz w:val="22"/>
                <w:szCs w:val="22"/>
                <w:lang w:val="es-MX"/>
              </w:rPr>
            </w:pPr>
            <w:r w:rsidRPr="00C13D8E">
              <w:rPr>
                <w:rFonts w:ascii="Arial" w:hAnsi="Arial" w:cs="Arial"/>
                <w:b/>
                <w:sz w:val="22"/>
                <w:szCs w:val="22"/>
                <w:lang w:val="es-MX"/>
              </w:rPr>
              <w:t>MINISTERIO DE SALUD Y PROTECCIÓN SOCIAL.</w:t>
            </w:r>
          </w:p>
        </w:tc>
      </w:tr>
      <w:tr w:rsidR="0003243C" w:rsidRPr="00E54952" w14:paraId="6344B16F" w14:textId="77777777" w:rsidTr="00D4226B">
        <w:tc>
          <w:tcPr>
            <w:tcW w:w="1560" w:type="dxa"/>
          </w:tcPr>
          <w:p w14:paraId="2F8FACC0" w14:textId="77777777" w:rsidR="0003243C" w:rsidRDefault="0003243C" w:rsidP="00D4226B">
            <w:pPr>
              <w:tabs>
                <w:tab w:val="left" w:pos="993"/>
              </w:tabs>
              <w:jc w:val="center"/>
              <w:rPr>
                <w:rFonts w:ascii="Arial" w:hAnsi="Arial" w:cs="Arial"/>
                <w:b/>
              </w:rPr>
            </w:pPr>
            <w:r>
              <w:rPr>
                <w:rFonts w:ascii="Arial" w:hAnsi="Arial" w:cs="Arial"/>
                <w:b/>
              </w:rPr>
              <w:t>303</w:t>
            </w:r>
          </w:p>
        </w:tc>
        <w:tc>
          <w:tcPr>
            <w:tcW w:w="8930" w:type="dxa"/>
          </w:tcPr>
          <w:p w14:paraId="35E31260" w14:textId="77777777" w:rsidR="0003243C" w:rsidRPr="00A10F5D" w:rsidRDefault="0003243C" w:rsidP="00D4226B">
            <w:pPr>
              <w:jc w:val="both"/>
              <w:rPr>
                <w:rFonts w:ascii="Arial" w:hAnsi="Arial" w:cs="Arial"/>
                <w:b/>
                <w:sz w:val="22"/>
                <w:szCs w:val="22"/>
                <w:lang w:val="es-MX" w:eastAsia="en-US"/>
              </w:rPr>
            </w:pPr>
            <w:r w:rsidRPr="00A10F5D">
              <w:rPr>
                <w:rFonts w:ascii="Arial" w:hAnsi="Arial" w:cs="Arial"/>
                <w:b/>
                <w:sz w:val="22"/>
                <w:szCs w:val="22"/>
                <w:lang w:val="es-MX"/>
              </w:rPr>
              <w:t>MINISTERIO DE VIVIENDA, CIUDAD Y TERRITORIO.</w:t>
            </w:r>
          </w:p>
        </w:tc>
      </w:tr>
      <w:tr w:rsidR="0003243C" w:rsidRPr="00E54952" w14:paraId="35F01B97" w14:textId="77777777" w:rsidTr="00D4226B">
        <w:tc>
          <w:tcPr>
            <w:tcW w:w="1560" w:type="dxa"/>
          </w:tcPr>
          <w:p w14:paraId="5D57D0E1" w14:textId="77777777" w:rsidR="0003243C" w:rsidRDefault="0003243C" w:rsidP="00D4226B">
            <w:pPr>
              <w:tabs>
                <w:tab w:val="left" w:pos="993"/>
              </w:tabs>
              <w:jc w:val="center"/>
              <w:rPr>
                <w:rFonts w:ascii="Arial" w:hAnsi="Arial" w:cs="Arial"/>
                <w:b/>
              </w:rPr>
            </w:pPr>
            <w:r>
              <w:rPr>
                <w:rFonts w:ascii="Arial" w:hAnsi="Arial" w:cs="Arial"/>
                <w:b/>
              </w:rPr>
              <w:t>306</w:t>
            </w:r>
          </w:p>
        </w:tc>
        <w:tc>
          <w:tcPr>
            <w:tcW w:w="8930" w:type="dxa"/>
          </w:tcPr>
          <w:p w14:paraId="0CF5349D" w14:textId="77777777" w:rsidR="0003243C" w:rsidRPr="00633D61" w:rsidRDefault="0003243C" w:rsidP="00D4226B">
            <w:pPr>
              <w:jc w:val="both"/>
              <w:rPr>
                <w:rFonts w:ascii="Arial" w:hAnsi="Arial" w:cs="Arial"/>
                <w:b/>
                <w:sz w:val="22"/>
                <w:szCs w:val="22"/>
                <w:lang w:val="es-MX"/>
              </w:rPr>
            </w:pPr>
            <w:r w:rsidRPr="00633D61">
              <w:rPr>
                <w:rFonts w:ascii="Arial" w:hAnsi="Arial" w:cs="Arial"/>
                <w:b/>
                <w:sz w:val="22"/>
                <w:szCs w:val="22"/>
              </w:rPr>
              <w:t>MINISTERIO</w:t>
            </w:r>
            <w:r w:rsidRPr="00633D61">
              <w:rPr>
                <w:rFonts w:ascii="Arial" w:hAnsi="Arial" w:cs="Arial"/>
                <w:b/>
                <w:spacing w:val="-12"/>
                <w:sz w:val="22"/>
                <w:szCs w:val="22"/>
              </w:rPr>
              <w:t xml:space="preserve"> </w:t>
            </w:r>
            <w:r w:rsidRPr="00633D61">
              <w:rPr>
                <w:rFonts w:ascii="Arial" w:hAnsi="Arial" w:cs="Arial"/>
                <w:b/>
                <w:sz w:val="22"/>
                <w:szCs w:val="22"/>
              </w:rPr>
              <w:t>DE</w:t>
            </w:r>
            <w:r w:rsidRPr="00633D61">
              <w:rPr>
                <w:rFonts w:ascii="Arial" w:hAnsi="Arial" w:cs="Arial"/>
                <w:b/>
                <w:spacing w:val="-9"/>
                <w:sz w:val="22"/>
                <w:szCs w:val="22"/>
              </w:rPr>
              <w:t xml:space="preserve"> </w:t>
            </w:r>
            <w:r w:rsidRPr="00633D61">
              <w:rPr>
                <w:rFonts w:ascii="Arial" w:hAnsi="Arial" w:cs="Arial"/>
                <w:b/>
                <w:sz w:val="22"/>
                <w:szCs w:val="22"/>
              </w:rPr>
              <w:t>DEFENSA</w:t>
            </w:r>
            <w:r w:rsidRPr="00633D61">
              <w:rPr>
                <w:rFonts w:ascii="Arial" w:hAnsi="Arial" w:cs="Arial"/>
                <w:b/>
                <w:spacing w:val="-9"/>
                <w:sz w:val="22"/>
                <w:szCs w:val="22"/>
              </w:rPr>
              <w:t xml:space="preserve"> </w:t>
            </w:r>
            <w:r w:rsidRPr="00633D61">
              <w:rPr>
                <w:rFonts w:ascii="Arial" w:hAnsi="Arial" w:cs="Arial"/>
                <w:b/>
                <w:sz w:val="22"/>
                <w:szCs w:val="22"/>
              </w:rPr>
              <w:t>NACIONAL</w:t>
            </w:r>
            <w:r w:rsidRPr="00633D61">
              <w:rPr>
                <w:rFonts w:ascii="Arial" w:hAnsi="Arial" w:cs="Arial"/>
                <w:b/>
                <w:sz w:val="22"/>
                <w:szCs w:val="22"/>
                <w:lang w:val="es-MX"/>
              </w:rPr>
              <w:t xml:space="preserve"> CONSOLIDADO.</w:t>
            </w:r>
          </w:p>
        </w:tc>
      </w:tr>
      <w:tr w:rsidR="0003243C" w:rsidRPr="00E54952" w14:paraId="450CF440" w14:textId="77777777" w:rsidTr="00D4226B">
        <w:tc>
          <w:tcPr>
            <w:tcW w:w="1560" w:type="dxa"/>
          </w:tcPr>
          <w:p w14:paraId="575F3E4E" w14:textId="77777777" w:rsidR="0003243C" w:rsidRDefault="0003243C" w:rsidP="00D4226B">
            <w:pPr>
              <w:tabs>
                <w:tab w:val="left" w:pos="993"/>
              </w:tabs>
              <w:jc w:val="center"/>
              <w:rPr>
                <w:rFonts w:ascii="Arial" w:hAnsi="Arial" w:cs="Arial"/>
                <w:b/>
              </w:rPr>
            </w:pPr>
            <w:r>
              <w:rPr>
                <w:rFonts w:ascii="Arial" w:hAnsi="Arial" w:cs="Arial"/>
                <w:b/>
              </w:rPr>
              <w:t>308</w:t>
            </w:r>
          </w:p>
        </w:tc>
        <w:tc>
          <w:tcPr>
            <w:tcW w:w="8930" w:type="dxa"/>
          </w:tcPr>
          <w:p w14:paraId="7BE616FD" w14:textId="77777777" w:rsidR="0003243C" w:rsidRPr="00AB5F4F" w:rsidRDefault="0003243C" w:rsidP="00D4226B">
            <w:pPr>
              <w:jc w:val="both"/>
              <w:rPr>
                <w:rFonts w:ascii="Arial" w:hAnsi="Arial" w:cs="Arial"/>
                <w:b/>
                <w:sz w:val="22"/>
                <w:szCs w:val="22"/>
                <w:lang w:val="es-MX"/>
              </w:rPr>
            </w:pPr>
            <w:r w:rsidRPr="00AB5F4F">
              <w:rPr>
                <w:rFonts w:ascii="Arial" w:hAnsi="Arial" w:cs="Arial"/>
                <w:b/>
                <w:sz w:val="22"/>
                <w:szCs w:val="22"/>
                <w:lang w:val="es-MX"/>
              </w:rPr>
              <w:t>U.A.E. DE ORGANIZACIONES SOLIDARIAS.</w:t>
            </w:r>
          </w:p>
        </w:tc>
      </w:tr>
      <w:tr w:rsidR="0003243C" w:rsidRPr="00E54952" w14:paraId="753C96E7" w14:textId="77777777" w:rsidTr="00D4226B">
        <w:tc>
          <w:tcPr>
            <w:tcW w:w="1560" w:type="dxa"/>
          </w:tcPr>
          <w:p w14:paraId="1D031D55" w14:textId="77777777" w:rsidR="0003243C" w:rsidRDefault="0003243C" w:rsidP="00D4226B">
            <w:pPr>
              <w:tabs>
                <w:tab w:val="left" w:pos="993"/>
              </w:tabs>
              <w:jc w:val="center"/>
              <w:rPr>
                <w:rFonts w:ascii="Arial" w:hAnsi="Arial" w:cs="Arial"/>
                <w:b/>
              </w:rPr>
            </w:pPr>
            <w:r>
              <w:rPr>
                <w:rFonts w:ascii="Arial" w:hAnsi="Arial" w:cs="Arial"/>
                <w:b/>
              </w:rPr>
              <w:t>310</w:t>
            </w:r>
          </w:p>
        </w:tc>
        <w:tc>
          <w:tcPr>
            <w:tcW w:w="8930" w:type="dxa"/>
          </w:tcPr>
          <w:p w14:paraId="1B8916CE" w14:textId="77777777" w:rsidR="0003243C" w:rsidRPr="006763AB" w:rsidRDefault="0003243C" w:rsidP="00D4226B">
            <w:pPr>
              <w:jc w:val="both"/>
              <w:rPr>
                <w:rFonts w:ascii="Arial" w:hAnsi="Arial" w:cs="Arial"/>
                <w:b/>
                <w:sz w:val="22"/>
                <w:szCs w:val="22"/>
                <w:lang w:val="es-MX"/>
              </w:rPr>
            </w:pPr>
            <w:r w:rsidRPr="006763AB">
              <w:rPr>
                <w:rFonts w:ascii="Arial" w:hAnsi="Arial" w:cs="Arial"/>
                <w:b/>
                <w:sz w:val="22"/>
                <w:szCs w:val="22"/>
                <w:lang w:val="es-MX"/>
              </w:rPr>
              <w:t xml:space="preserve">INSTITUTO NACIONAL DE MEDICINA LEGAL Y CIENCIAS FORENSES. </w:t>
            </w:r>
          </w:p>
        </w:tc>
      </w:tr>
      <w:tr w:rsidR="0003243C" w:rsidRPr="00E54952" w14:paraId="454BDEBF" w14:textId="77777777" w:rsidTr="00D4226B">
        <w:tc>
          <w:tcPr>
            <w:tcW w:w="1560" w:type="dxa"/>
          </w:tcPr>
          <w:p w14:paraId="3076135B" w14:textId="77777777" w:rsidR="0003243C" w:rsidRDefault="0003243C" w:rsidP="00D4226B">
            <w:pPr>
              <w:tabs>
                <w:tab w:val="left" w:pos="993"/>
              </w:tabs>
              <w:jc w:val="center"/>
              <w:rPr>
                <w:rFonts w:ascii="Arial" w:hAnsi="Arial" w:cs="Arial"/>
                <w:b/>
              </w:rPr>
            </w:pPr>
            <w:r>
              <w:rPr>
                <w:rFonts w:ascii="Arial" w:hAnsi="Arial" w:cs="Arial"/>
                <w:b/>
              </w:rPr>
              <w:t>312</w:t>
            </w:r>
          </w:p>
        </w:tc>
        <w:tc>
          <w:tcPr>
            <w:tcW w:w="8930" w:type="dxa"/>
          </w:tcPr>
          <w:p w14:paraId="3CD15237" w14:textId="77777777" w:rsidR="0003243C" w:rsidRPr="00526F6F" w:rsidRDefault="0003243C" w:rsidP="00D4226B">
            <w:pPr>
              <w:jc w:val="both"/>
              <w:rPr>
                <w:rFonts w:ascii="Arial" w:hAnsi="Arial" w:cs="Arial"/>
                <w:b/>
                <w:sz w:val="22"/>
                <w:szCs w:val="22"/>
                <w:lang w:val="es-MX"/>
              </w:rPr>
            </w:pPr>
            <w:r w:rsidRPr="00526F6F">
              <w:rPr>
                <w:rFonts w:ascii="Arial" w:hAnsi="Arial" w:cs="Arial"/>
                <w:b/>
                <w:sz w:val="22"/>
                <w:szCs w:val="22"/>
                <w:lang w:val="es-MX"/>
              </w:rPr>
              <w:t>U.A.E. COMISIÓN DE REGULACIÓN DE COMUNICACIONES – CRC.</w:t>
            </w:r>
          </w:p>
        </w:tc>
      </w:tr>
      <w:tr w:rsidR="0003243C" w:rsidRPr="00E54952" w14:paraId="69F1DC63" w14:textId="77777777" w:rsidTr="00D4226B">
        <w:tc>
          <w:tcPr>
            <w:tcW w:w="1560" w:type="dxa"/>
          </w:tcPr>
          <w:p w14:paraId="0AAD2C44" w14:textId="77777777" w:rsidR="0003243C" w:rsidRDefault="0003243C" w:rsidP="00D4226B">
            <w:pPr>
              <w:tabs>
                <w:tab w:val="left" w:pos="993"/>
              </w:tabs>
              <w:jc w:val="center"/>
              <w:rPr>
                <w:rFonts w:ascii="Arial" w:hAnsi="Arial" w:cs="Arial"/>
                <w:b/>
              </w:rPr>
            </w:pPr>
            <w:r>
              <w:rPr>
                <w:rFonts w:ascii="Arial" w:hAnsi="Arial" w:cs="Arial"/>
                <w:b/>
              </w:rPr>
              <w:t>317</w:t>
            </w:r>
          </w:p>
        </w:tc>
        <w:tc>
          <w:tcPr>
            <w:tcW w:w="8930" w:type="dxa"/>
          </w:tcPr>
          <w:p w14:paraId="3087EF3E" w14:textId="77777777" w:rsidR="0003243C" w:rsidRPr="0072760D" w:rsidRDefault="0003243C" w:rsidP="00D4226B">
            <w:pPr>
              <w:jc w:val="both"/>
              <w:rPr>
                <w:rFonts w:ascii="Arial" w:hAnsi="Arial" w:cs="Arial"/>
                <w:b/>
                <w:sz w:val="22"/>
                <w:szCs w:val="22"/>
                <w:lang w:val="es-MX"/>
              </w:rPr>
            </w:pPr>
            <w:r w:rsidRPr="0072760D">
              <w:rPr>
                <w:rFonts w:ascii="Arial" w:hAnsi="Arial" w:cs="Arial"/>
                <w:b/>
                <w:sz w:val="22"/>
                <w:szCs w:val="22"/>
                <w:lang w:val="es-MX"/>
              </w:rPr>
              <w:t>INSTITUTO COLOMBIANO DE ANTROPOLOGÍA E HISTORIA – ICANH.</w:t>
            </w:r>
          </w:p>
        </w:tc>
      </w:tr>
      <w:tr w:rsidR="0003243C" w:rsidRPr="00E54952" w14:paraId="0B7DEF80" w14:textId="77777777" w:rsidTr="00D4226B">
        <w:tc>
          <w:tcPr>
            <w:tcW w:w="1560" w:type="dxa"/>
          </w:tcPr>
          <w:p w14:paraId="7EA0AB03" w14:textId="77777777" w:rsidR="0003243C" w:rsidRDefault="0003243C" w:rsidP="00D4226B">
            <w:pPr>
              <w:tabs>
                <w:tab w:val="left" w:pos="993"/>
              </w:tabs>
              <w:jc w:val="center"/>
              <w:rPr>
                <w:rFonts w:ascii="Arial" w:hAnsi="Arial" w:cs="Arial"/>
                <w:b/>
              </w:rPr>
            </w:pPr>
            <w:r>
              <w:rPr>
                <w:rFonts w:ascii="Arial" w:hAnsi="Arial" w:cs="Arial"/>
                <w:b/>
              </w:rPr>
              <w:t>318</w:t>
            </w:r>
          </w:p>
        </w:tc>
        <w:tc>
          <w:tcPr>
            <w:tcW w:w="8930" w:type="dxa"/>
          </w:tcPr>
          <w:p w14:paraId="74CD8540" w14:textId="77777777" w:rsidR="0003243C" w:rsidRPr="00903503" w:rsidRDefault="0003243C" w:rsidP="00D4226B">
            <w:pPr>
              <w:jc w:val="both"/>
              <w:rPr>
                <w:rFonts w:ascii="Arial" w:hAnsi="Arial" w:cs="Arial"/>
                <w:b/>
                <w:sz w:val="22"/>
                <w:szCs w:val="22"/>
                <w:lang w:val="es-MX"/>
              </w:rPr>
            </w:pPr>
            <w:r w:rsidRPr="00903503">
              <w:rPr>
                <w:rFonts w:ascii="Arial" w:hAnsi="Arial" w:cs="Arial"/>
                <w:b/>
                <w:sz w:val="22"/>
                <w:szCs w:val="22"/>
                <w:lang w:val="es-MX"/>
              </w:rPr>
              <w:t>FONDO PARA EL FINANCIAMIENTO DEL SECTOR AGROPECUARIO – FINAGRO.</w:t>
            </w:r>
          </w:p>
        </w:tc>
      </w:tr>
      <w:tr w:rsidR="0003243C" w:rsidRPr="00E54952" w14:paraId="192542D2" w14:textId="77777777" w:rsidTr="00D4226B">
        <w:tc>
          <w:tcPr>
            <w:tcW w:w="1560" w:type="dxa"/>
          </w:tcPr>
          <w:p w14:paraId="7959AFBA" w14:textId="77777777" w:rsidR="0003243C" w:rsidRDefault="0003243C" w:rsidP="00D4226B">
            <w:pPr>
              <w:tabs>
                <w:tab w:val="left" w:pos="993"/>
              </w:tabs>
              <w:jc w:val="center"/>
              <w:rPr>
                <w:rFonts w:ascii="Arial" w:hAnsi="Arial" w:cs="Arial"/>
                <w:b/>
              </w:rPr>
            </w:pPr>
            <w:r>
              <w:rPr>
                <w:rFonts w:ascii="Arial" w:hAnsi="Arial" w:cs="Arial"/>
                <w:b/>
              </w:rPr>
              <w:t>319</w:t>
            </w:r>
          </w:p>
        </w:tc>
        <w:tc>
          <w:tcPr>
            <w:tcW w:w="8930" w:type="dxa"/>
          </w:tcPr>
          <w:p w14:paraId="00B7758D" w14:textId="77777777" w:rsidR="0003243C" w:rsidRPr="008546F2" w:rsidRDefault="0003243C" w:rsidP="00D4226B">
            <w:pPr>
              <w:jc w:val="both"/>
              <w:rPr>
                <w:rFonts w:ascii="Arial" w:hAnsi="Arial" w:cs="Arial"/>
                <w:b/>
                <w:sz w:val="22"/>
                <w:szCs w:val="22"/>
                <w:lang w:val="es-MX"/>
              </w:rPr>
            </w:pPr>
            <w:r w:rsidRPr="008546F2">
              <w:rPr>
                <w:rFonts w:ascii="Arial" w:hAnsi="Arial" w:cs="Arial"/>
                <w:b/>
                <w:sz w:val="22"/>
                <w:szCs w:val="22"/>
                <w:lang w:val="es-MX"/>
              </w:rPr>
              <w:t>REFINERÍA DE CARTAGENA S.A.S. – REFICAR.</w:t>
            </w:r>
          </w:p>
        </w:tc>
      </w:tr>
      <w:tr w:rsidR="0003243C" w:rsidRPr="00E54952" w14:paraId="47FF092F" w14:textId="77777777" w:rsidTr="00D4226B">
        <w:tc>
          <w:tcPr>
            <w:tcW w:w="1560" w:type="dxa"/>
          </w:tcPr>
          <w:p w14:paraId="4581264A" w14:textId="77777777" w:rsidR="0003243C" w:rsidRDefault="0003243C" w:rsidP="00D4226B">
            <w:pPr>
              <w:tabs>
                <w:tab w:val="left" w:pos="993"/>
              </w:tabs>
              <w:jc w:val="center"/>
              <w:rPr>
                <w:rFonts w:ascii="Arial" w:hAnsi="Arial" w:cs="Arial"/>
                <w:b/>
              </w:rPr>
            </w:pPr>
            <w:r>
              <w:rPr>
                <w:rFonts w:ascii="Arial" w:hAnsi="Arial" w:cs="Arial"/>
                <w:b/>
              </w:rPr>
              <w:t>329</w:t>
            </w:r>
          </w:p>
        </w:tc>
        <w:tc>
          <w:tcPr>
            <w:tcW w:w="8930" w:type="dxa"/>
          </w:tcPr>
          <w:p w14:paraId="06A6CC7A" w14:textId="77777777" w:rsidR="0003243C" w:rsidRPr="0005544F" w:rsidRDefault="0003243C" w:rsidP="00D4226B">
            <w:pPr>
              <w:jc w:val="both"/>
              <w:rPr>
                <w:rFonts w:ascii="Arial" w:hAnsi="Arial" w:cs="Arial"/>
                <w:b/>
                <w:sz w:val="22"/>
                <w:szCs w:val="22"/>
                <w:lang w:val="es-MX"/>
              </w:rPr>
            </w:pPr>
            <w:r w:rsidRPr="0005544F">
              <w:rPr>
                <w:rFonts w:ascii="Arial" w:hAnsi="Arial" w:cs="Arial"/>
                <w:b/>
                <w:sz w:val="22"/>
                <w:szCs w:val="22"/>
                <w:lang w:val="es-MX"/>
              </w:rPr>
              <w:t xml:space="preserve">SERVICIO NACIONAL DE APRENDIZAJE – SENA. </w:t>
            </w:r>
          </w:p>
        </w:tc>
      </w:tr>
      <w:tr w:rsidR="0003243C" w:rsidRPr="00E54952" w14:paraId="32C2FB0C" w14:textId="77777777" w:rsidTr="00D4226B">
        <w:tc>
          <w:tcPr>
            <w:tcW w:w="1560" w:type="dxa"/>
          </w:tcPr>
          <w:p w14:paraId="1E103801" w14:textId="77777777" w:rsidR="0003243C" w:rsidRDefault="0003243C" w:rsidP="00D4226B">
            <w:pPr>
              <w:tabs>
                <w:tab w:val="left" w:pos="993"/>
              </w:tabs>
              <w:jc w:val="center"/>
              <w:rPr>
                <w:rFonts w:ascii="Arial" w:hAnsi="Arial" w:cs="Arial"/>
                <w:b/>
              </w:rPr>
            </w:pPr>
            <w:r>
              <w:rPr>
                <w:rFonts w:ascii="Arial" w:hAnsi="Arial" w:cs="Arial"/>
                <w:b/>
              </w:rPr>
              <w:t>339</w:t>
            </w:r>
          </w:p>
        </w:tc>
        <w:tc>
          <w:tcPr>
            <w:tcW w:w="8930" w:type="dxa"/>
          </w:tcPr>
          <w:p w14:paraId="6F412F5D" w14:textId="77777777" w:rsidR="0003243C" w:rsidRPr="000D65FA" w:rsidRDefault="0003243C" w:rsidP="00D4226B">
            <w:pPr>
              <w:jc w:val="both"/>
              <w:rPr>
                <w:rFonts w:ascii="Arial" w:hAnsi="Arial" w:cs="Arial"/>
                <w:b/>
                <w:sz w:val="22"/>
                <w:szCs w:val="22"/>
                <w:lang w:val="es-MX"/>
              </w:rPr>
            </w:pPr>
            <w:r w:rsidRPr="000D65FA">
              <w:rPr>
                <w:rFonts w:ascii="Arial" w:hAnsi="Arial" w:cs="Arial"/>
                <w:b/>
                <w:sz w:val="22"/>
                <w:szCs w:val="22"/>
                <w:lang w:val="es-MX"/>
              </w:rPr>
              <w:t xml:space="preserve">CORPORACIÓN DE CIENCIA Y TECNOLOGÍA AMBIENTAL – MACARENIA. </w:t>
            </w:r>
          </w:p>
        </w:tc>
      </w:tr>
      <w:tr w:rsidR="0003243C" w:rsidRPr="00E54952" w14:paraId="118626F1" w14:textId="77777777" w:rsidTr="00D4226B">
        <w:tc>
          <w:tcPr>
            <w:tcW w:w="1560" w:type="dxa"/>
          </w:tcPr>
          <w:p w14:paraId="7D25C35D" w14:textId="77777777" w:rsidR="0003243C" w:rsidRDefault="0003243C" w:rsidP="00D4226B">
            <w:pPr>
              <w:tabs>
                <w:tab w:val="left" w:pos="993"/>
              </w:tabs>
              <w:jc w:val="center"/>
              <w:rPr>
                <w:rFonts w:ascii="Arial" w:hAnsi="Arial" w:cs="Arial"/>
                <w:b/>
              </w:rPr>
            </w:pPr>
            <w:r>
              <w:rPr>
                <w:rFonts w:ascii="Arial" w:hAnsi="Arial" w:cs="Arial"/>
                <w:b/>
              </w:rPr>
              <w:t>341</w:t>
            </w:r>
          </w:p>
        </w:tc>
        <w:tc>
          <w:tcPr>
            <w:tcW w:w="8930" w:type="dxa"/>
          </w:tcPr>
          <w:p w14:paraId="2CC4B5FB" w14:textId="77777777" w:rsidR="0003243C" w:rsidRPr="00C93495" w:rsidRDefault="0003243C" w:rsidP="00D4226B">
            <w:pPr>
              <w:jc w:val="both"/>
              <w:rPr>
                <w:rFonts w:ascii="Arial" w:hAnsi="Arial" w:cs="Arial"/>
                <w:b/>
                <w:sz w:val="22"/>
                <w:szCs w:val="22"/>
                <w:lang w:val="es-MX"/>
              </w:rPr>
            </w:pPr>
            <w:r w:rsidRPr="00C93495">
              <w:rPr>
                <w:rFonts w:ascii="Arial" w:eastAsiaTheme="minorHAnsi" w:hAnsi="Arial" w:cs="Arial"/>
                <w:b/>
                <w:sz w:val="22"/>
                <w:szCs w:val="22"/>
                <w:lang w:val="es-MX"/>
              </w:rPr>
              <w:t xml:space="preserve">CORPORACIÓN </w:t>
            </w:r>
            <w:r w:rsidRPr="00C93495">
              <w:rPr>
                <w:rFonts w:ascii="Arial" w:hAnsi="Arial" w:cs="Arial"/>
                <w:b/>
                <w:sz w:val="22"/>
                <w:szCs w:val="22"/>
                <w:lang w:val="es-MX"/>
              </w:rPr>
              <w:t xml:space="preserve">ROTORR – MOTOR DE INNOVACIÓN. </w:t>
            </w:r>
          </w:p>
        </w:tc>
      </w:tr>
      <w:tr w:rsidR="0003243C" w:rsidRPr="00E54952" w14:paraId="0E8B957D" w14:textId="77777777" w:rsidTr="00D4226B">
        <w:tc>
          <w:tcPr>
            <w:tcW w:w="1560" w:type="dxa"/>
          </w:tcPr>
          <w:p w14:paraId="6290AD56" w14:textId="77777777" w:rsidR="0003243C" w:rsidRDefault="0003243C" w:rsidP="00D4226B">
            <w:pPr>
              <w:tabs>
                <w:tab w:val="left" w:pos="993"/>
              </w:tabs>
              <w:jc w:val="center"/>
              <w:rPr>
                <w:rFonts w:ascii="Arial" w:hAnsi="Arial" w:cs="Arial"/>
                <w:b/>
              </w:rPr>
            </w:pPr>
            <w:r>
              <w:rPr>
                <w:rFonts w:ascii="Arial" w:hAnsi="Arial" w:cs="Arial"/>
                <w:b/>
              </w:rPr>
              <w:t>342</w:t>
            </w:r>
          </w:p>
        </w:tc>
        <w:tc>
          <w:tcPr>
            <w:tcW w:w="8930" w:type="dxa"/>
          </w:tcPr>
          <w:p w14:paraId="6356A883" w14:textId="77777777" w:rsidR="0003243C" w:rsidRPr="007741A8" w:rsidRDefault="0003243C" w:rsidP="00D4226B">
            <w:pPr>
              <w:jc w:val="both"/>
              <w:rPr>
                <w:rFonts w:ascii="Arial" w:hAnsi="Arial" w:cs="Arial"/>
                <w:b/>
                <w:sz w:val="22"/>
                <w:szCs w:val="22"/>
                <w:lang w:val="es-MX"/>
              </w:rPr>
            </w:pPr>
            <w:r w:rsidRPr="007741A8">
              <w:rPr>
                <w:rFonts w:ascii="Arial" w:hAnsi="Arial" w:cs="Arial"/>
                <w:b/>
                <w:sz w:val="22"/>
                <w:szCs w:val="22"/>
                <w:lang w:val="es-MX"/>
              </w:rPr>
              <w:t>MINISTERIO DEL TRABAJO.</w:t>
            </w:r>
          </w:p>
        </w:tc>
      </w:tr>
      <w:tr w:rsidR="0003243C" w:rsidRPr="00E54952" w14:paraId="34163D9E" w14:textId="77777777" w:rsidTr="00D4226B">
        <w:tc>
          <w:tcPr>
            <w:tcW w:w="1560" w:type="dxa"/>
          </w:tcPr>
          <w:p w14:paraId="1BF2A578" w14:textId="77777777" w:rsidR="0003243C" w:rsidRDefault="0003243C" w:rsidP="00D4226B">
            <w:pPr>
              <w:tabs>
                <w:tab w:val="left" w:pos="993"/>
              </w:tabs>
              <w:jc w:val="center"/>
              <w:rPr>
                <w:rFonts w:ascii="Arial" w:hAnsi="Arial" w:cs="Arial"/>
                <w:b/>
              </w:rPr>
            </w:pPr>
            <w:r>
              <w:rPr>
                <w:rFonts w:ascii="Arial" w:hAnsi="Arial" w:cs="Arial"/>
                <w:b/>
              </w:rPr>
              <w:t>343</w:t>
            </w:r>
          </w:p>
        </w:tc>
        <w:tc>
          <w:tcPr>
            <w:tcW w:w="8930" w:type="dxa"/>
          </w:tcPr>
          <w:p w14:paraId="46C2A3E4" w14:textId="77777777" w:rsidR="0003243C" w:rsidRPr="00CC29F0" w:rsidRDefault="0003243C" w:rsidP="00D4226B">
            <w:pPr>
              <w:jc w:val="both"/>
              <w:rPr>
                <w:rFonts w:ascii="Arial" w:hAnsi="Arial" w:cs="Arial"/>
                <w:b/>
                <w:sz w:val="22"/>
                <w:szCs w:val="22"/>
                <w:lang w:val="es-MX"/>
              </w:rPr>
            </w:pPr>
            <w:r w:rsidRPr="00CC29F0">
              <w:rPr>
                <w:rFonts w:ascii="Arial" w:hAnsi="Arial" w:cs="Arial"/>
                <w:b/>
                <w:sz w:val="22"/>
                <w:szCs w:val="22"/>
                <w:lang w:val="es-MX"/>
              </w:rPr>
              <w:t>AGENCIA NACIONAL DE TIERRAS - ANT.</w:t>
            </w:r>
          </w:p>
        </w:tc>
      </w:tr>
      <w:tr w:rsidR="0003243C" w:rsidRPr="00E54952" w14:paraId="40EB2336" w14:textId="77777777" w:rsidTr="00D4226B">
        <w:tc>
          <w:tcPr>
            <w:tcW w:w="1560" w:type="dxa"/>
          </w:tcPr>
          <w:p w14:paraId="54469D6E" w14:textId="77777777" w:rsidR="0003243C" w:rsidRDefault="0003243C" w:rsidP="00D4226B">
            <w:pPr>
              <w:tabs>
                <w:tab w:val="left" w:pos="993"/>
              </w:tabs>
              <w:jc w:val="center"/>
              <w:rPr>
                <w:rFonts w:ascii="Arial" w:hAnsi="Arial" w:cs="Arial"/>
                <w:b/>
              </w:rPr>
            </w:pPr>
            <w:r>
              <w:rPr>
                <w:rFonts w:ascii="Arial" w:hAnsi="Arial" w:cs="Arial"/>
                <w:b/>
              </w:rPr>
              <w:t>347</w:t>
            </w:r>
          </w:p>
        </w:tc>
        <w:tc>
          <w:tcPr>
            <w:tcW w:w="8930" w:type="dxa"/>
          </w:tcPr>
          <w:p w14:paraId="3412664B" w14:textId="77777777" w:rsidR="0003243C" w:rsidRPr="007376F7" w:rsidRDefault="0003243C" w:rsidP="00D4226B">
            <w:pPr>
              <w:ind w:left="-107"/>
              <w:rPr>
                <w:rFonts w:ascii="Arial" w:hAnsi="Arial" w:cs="Arial"/>
                <w:b/>
                <w:sz w:val="22"/>
                <w:szCs w:val="22"/>
                <w:lang w:val="es-MX"/>
              </w:rPr>
            </w:pPr>
            <w:r>
              <w:rPr>
                <w:rFonts w:ascii="Arial" w:hAnsi="Arial" w:cs="Arial"/>
                <w:b/>
                <w:lang w:val="es-MX"/>
              </w:rPr>
              <w:tab/>
            </w:r>
            <w:r w:rsidRPr="007376F7">
              <w:rPr>
                <w:rFonts w:ascii="Arial" w:hAnsi="Arial" w:cs="Arial"/>
                <w:b/>
                <w:sz w:val="22"/>
                <w:szCs w:val="22"/>
                <w:lang w:val="es-MX"/>
              </w:rPr>
              <w:t xml:space="preserve">FONDO AGROPECUARIO DE GARANTÍAS – FAG. </w:t>
            </w:r>
          </w:p>
        </w:tc>
      </w:tr>
      <w:tr w:rsidR="0003243C" w:rsidRPr="00E54952" w14:paraId="166C4FF7" w14:textId="77777777" w:rsidTr="00D4226B">
        <w:tc>
          <w:tcPr>
            <w:tcW w:w="1560" w:type="dxa"/>
          </w:tcPr>
          <w:p w14:paraId="17B2B1E6" w14:textId="77777777" w:rsidR="0003243C" w:rsidRDefault="0003243C" w:rsidP="00D4226B">
            <w:pPr>
              <w:tabs>
                <w:tab w:val="left" w:pos="993"/>
              </w:tabs>
              <w:jc w:val="center"/>
              <w:rPr>
                <w:rFonts w:ascii="Arial" w:hAnsi="Arial" w:cs="Arial"/>
                <w:b/>
              </w:rPr>
            </w:pPr>
            <w:r>
              <w:rPr>
                <w:rFonts w:ascii="Arial" w:hAnsi="Arial" w:cs="Arial"/>
                <w:b/>
              </w:rPr>
              <w:t>348</w:t>
            </w:r>
          </w:p>
        </w:tc>
        <w:tc>
          <w:tcPr>
            <w:tcW w:w="8930" w:type="dxa"/>
          </w:tcPr>
          <w:p w14:paraId="3D5F91E2" w14:textId="77777777" w:rsidR="0003243C" w:rsidRPr="00750589" w:rsidRDefault="0003243C" w:rsidP="00D4226B">
            <w:pPr>
              <w:jc w:val="both"/>
              <w:rPr>
                <w:rFonts w:ascii="Arial" w:hAnsi="Arial" w:cs="Arial"/>
                <w:b/>
                <w:sz w:val="22"/>
                <w:szCs w:val="22"/>
                <w:lang w:val="es-MX"/>
              </w:rPr>
            </w:pPr>
            <w:r w:rsidRPr="00750589">
              <w:rPr>
                <w:rFonts w:ascii="Arial" w:hAnsi="Arial" w:cs="Arial"/>
                <w:b/>
                <w:sz w:val="22"/>
                <w:szCs w:val="22"/>
                <w:lang w:val="es-MX"/>
              </w:rPr>
              <w:t>CORPORACION PARA EL DESARROLLO SOSTENIBLE DEL NORTE Y EL ORIENTE AMAZONICO - C.D.A.</w:t>
            </w:r>
          </w:p>
        </w:tc>
      </w:tr>
      <w:tr w:rsidR="0003243C" w:rsidRPr="00E54952" w14:paraId="5852C388" w14:textId="77777777" w:rsidTr="00D4226B">
        <w:tc>
          <w:tcPr>
            <w:tcW w:w="1560" w:type="dxa"/>
          </w:tcPr>
          <w:p w14:paraId="5444676F" w14:textId="77777777" w:rsidR="0003243C" w:rsidRDefault="0003243C" w:rsidP="00D4226B">
            <w:pPr>
              <w:tabs>
                <w:tab w:val="left" w:pos="993"/>
              </w:tabs>
              <w:jc w:val="center"/>
              <w:rPr>
                <w:rFonts w:ascii="Arial" w:hAnsi="Arial" w:cs="Arial"/>
                <w:b/>
              </w:rPr>
            </w:pPr>
            <w:r>
              <w:rPr>
                <w:rFonts w:ascii="Arial" w:hAnsi="Arial" w:cs="Arial"/>
                <w:b/>
              </w:rPr>
              <w:t>351</w:t>
            </w:r>
          </w:p>
        </w:tc>
        <w:tc>
          <w:tcPr>
            <w:tcW w:w="8930" w:type="dxa"/>
          </w:tcPr>
          <w:p w14:paraId="5F40E9B6" w14:textId="77777777" w:rsidR="0003243C" w:rsidRPr="0068224E" w:rsidRDefault="0003243C" w:rsidP="00D4226B">
            <w:pPr>
              <w:jc w:val="both"/>
              <w:rPr>
                <w:rFonts w:ascii="Arial" w:hAnsi="Arial" w:cs="Arial"/>
                <w:b/>
                <w:sz w:val="22"/>
                <w:szCs w:val="22"/>
                <w:lang w:val="es-MX"/>
              </w:rPr>
            </w:pPr>
            <w:r w:rsidRPr="0068224E">
              <w:rPr>
                <w:rFonts w:ascii="Arial" w:hAnsi="Arial" w:cs="Arial"/>
                <w:b/>
                <w:sz w:val="22"/>
                <w:szCs w:val="22"/>
                <w:lang w:val="es-MX"/>
              </w:rPr>
              <w:t xml:space="preserve">ALIANZA PÚBLICA PARA EL DESARROLLO INTEGRAL – ALDESARROLLO (RED COLOMBIANA DE INSTITUCIONES DE EDUCACIÓN SUPERIOR). </w:t>
            </w:r>
          </w:p>
        </w:tc>
      </w:tr>
    </w:tbl>
    <w:p w14:paraId="7A241F21" w14:textId="77777777" w:rsidR="0003243C" w:rsidRPr="00E54952" w:rsidRDefault="0003243C" w:rsidP="0003243C">
      <w:pPr>
        <w:ind w:left="-284" w:right="-234"/>
        <w:jc w:val="both"/>
        <w:rPr>
          <w:rFonts w:ascii="Arial" w:hAnsi="Arial" w:cs="Arial"/>
          <w:sz w:val="18"/>
          <w:szCs w:val="18"/>
        </w:rPr>
      </w:pPr>
      <w:r w:rsidRPr="00E54952">
        <w:rPr>
          <w:rFonts w:ascii="Arial" w:hAnsi="Arial" w:cs="Arial"/>
          <w:b/>
          <w:bCs/>
          <w:sz w:val="18"/>
          <w:szCs w:val="18"/>
        </w:rPr>
        <w:t>Fuente</w:t>
      </w:r>
      <w:r w:rsidRPr="00E54952">
        <w:rPr>
          <w:rFonts w:ascii="Arial" w:hAnsi="Arial" w:cs="Arial"/>
          <w:sz w:val="18"/>
          <w:szCs w:val="18"/>
        </w:rPr>
        <w:t>: Informes contables presentados por las entidades del nivel nacional a la Comisión Legal de Cuentas vigencia fiscal 2024.</w:t>
      </w:r>
    </w:p>
    <w:p w14:paraId="56CB3650" w14:textId="77777777" w:rsidR="0003243C" w:rsidRDefault="0003243C" w:rsidP="0003243C">
      <w:pPr>
        <w:ind w:left="-284" w:right="-234"/>
        <w:jc w:val="both"/>
        <w:rPr>
          <w:rFonts w:ascii="Arial" w:hAnsi="Arial" w:cs="Arial"/>
          <w:b/>
          <w:sz w:val="28"/>
          <w:szCs w:val="28"/>
        </w:rPr>
      </w:pPr>
    </w:p>
    <w:p w14:paraId="4CEF88AF" w14:textId="77777777" w:rsidR="0003243C" w:rsidRPr="00FE2C5F" w:rsidRDefault="0003243C" w:rsidP="0003243C">
      <w:pPr>
        <w:ind w:left="-284" w:right="-234"/>
        <w:jc w:val="both"/>
        <w:rPr>
          <w:rFonts w:ascii="Arial" w:hAnsi="Arial" w:cs="Arial"/>
          <w:b/>
          <w:sz w:val="28"/>
          <w:szCs w:val="28"/>
        </w:rPr>
      </w:pPr>
      <w:bookmarkStart w:id="47" w:name="_Hlk210307219"/>
      <w:r w:rsidRPr="00FE2C5F">
        <w:rPr>
          <w:rFonts w:ascii="Arial" w:hAnsi="Arial" w:cs="Arial"/>
          <w:b/>
          <w:sz w:val="28"/>
          <w:szCs w:val="28"/>
        </w:rPr>
        <w:t>NOTA: Esta situación en muchos casos se debe a la falta de información para poder depurar las operaciones reciprocas.</w:t>
      </w:r>
    </w:p>
    <w:p w14:paraId="1C5B7173" w14:textId="77777777" w:rsidR="0003243C" w:rsidRPr="00FE2C5F" w:rsidRDefault="0003243C" w:rsidP="0003243C">
      <w:pPr>
        <w:ind w:left="-284" w:right="-234"/>
        <w:jc w:val="both"/>
        <w:rPr>
          <w:rFonts w:ascii="Arial" w:hAnsi="Arial" w:cs="Arial"/>
          <w:b/>
          <w:sz w:val="28"/>
          <w:szCs w:val="28"/>
        </w:rPr>
      </w:pPr>
    </w:p>
    <w:p w14:paraId="7B1C1460" w14:textId="7B9D2B73" w:rsidR="0003243C" w:rsidRDefault="0003243C" w:rsidP="0003243C">
      <w:pPr>
        <w:ind w:left="-284" w:right="-234"/>
        <w:jc w:val="both"/>
        <w:rPr>
          <w:rFonts w:ascii="Arial" w:hAnsi="Arial" w:cs="Arial"/>
          <w:b/>
          <w:sz w:val="28"/>
          <w:szCs w:val="28"/>
        </w:rPr>
      </w:pPr>
      <w:r w:rsidRPr="00FE2C5F">
        <w:rPr>
          <w:rFonts w:ascii="Arial" w:hAnsi="Arial" w:cs="Arial"/>
          <w:b/>
          <w:sz w:val="28"/>
          <w:szCs w:val="28"/>
        </w:rPr>
        <w:lastRenderedPageBreak/>
        <w:t>En otros casos, simplemente las entidades no contestan las solicitudes de otras entidades para cruzar los saldos.</w:t>
      </w:r>
    </w:p>
    <w:p w14:paraId="5798CAF2" w14:textId="1BAE7C9C" w:rsidR="0003243C" w:rsidRDefault="0003243C" w:rsidP="0003243C">
      <w:pPr>
        <w:ind w:left="-284" w:right="-234"/>
        <w:jc w:val="both"/>
        <w:rPr>
          <w:rFonts w:ascii="Arial" w:hAnsi="Arial" w:cs="Arial"/>
          <w:b/>
          <w:sz w:val="28"/>
          <w:szCs w:val="28"/>
        </w:rPr>
      </w:pPr>
    </w:p>
    <w:p w14:paraId="4F942B0D" w14:textId="77777777" w:rsidR="00216DC0" w:rsidRPr="00216DC0" w:rsidRDefault="00216DC0" w:rsidP="00216DC0">
      <w:pPr>
        <w:ind w:left="-284" w:right="-234"/>
        <w:jc w:val="center"/>
        <w:rPr>
          <w:rFonts w:ascii="Arial" w:hAnsi="Arial" w:cs="Arial"/>
          <w:b/>
          <w:sz w:val="28"/>
          <w:szCs w:val="28"/>
          <w:u w:val="single"/>
        </w:rPr>
      </w:pPr>
      <w:bookmarkStart w:id="48" w:name="_Hlk210307380"/>
      <w:bookmarkEnd w:id="47"/>
      <w:r w:rsidRPr="00216DC0">
        <w:rPr>
          <w:rFonts w:ascii="Arial" w:hAnsi="Arial" w:cs="Arial"/>
          <w:b/>
          <w:spacing w:val="-3"/>
          <w:sz w:val="28"/>
          <w:szCs w:val="28"/>
          <w:u w:val="single"/>
          <w:lang w:val="es-ES_tradnl"/>
        </w:rPr>
        <w:t xml:space="preserve">16.- OBSERVACIONES GENERALES DE ORDEN ADMINISTRATIVO </w:t>
      </w:r>
      <w:r w:rsidRPr="00216DC0">
        <w:rPr>
          <w:rFonts w:ascii="Arial" w:hAnsi="Arial" w:cs="Arial"/>
          <w:b/>
          <w:sz w:val="28"/>
          <w:szCs w:val="28"/>
          <w:u w:val="single"/>
        </w:rPr>
        <w:t>DETERMINADAS POR LA COMISIÓN LEGAL DE CUENTAS DE LA CÁMARA DE REPRESENTANTES PARA LA VIGENCIA FISCAL 2024.</w:t>
      </w:r>
    </w:p>
    <w:p w14:paraId="02446A97" w14:textId="77777777" w:rsidR="00216DC0" w:rsidRPr="00FE2C5F" w:rsidRDefault="00216DC0" w:rsidP="00216DC0">
      <w:pPr>
        <w:ind w:left="-284" w:right="-234"/>
        <w:jc w:val="both"/>
        <w:rPr>
          <w:rFonts w:ascii="Arial" w:hAnsi="Arial" w:cs="Arial"/>
          <w:b/>
          <w:spacing w:val="-3"/>
          <w:sz w:val="28"/>
          <w:szCs w:val="28"/>
          <w:lang w:val="es-ES_tradnl"/>
        </w:rPr>
      </w:pPr>
    </w:p>
    <w:tbl>
      <w:tblPr>
        <w:tblStyle w:val="Tablaconcuadrcula"/>
        <w:tblW w:w="10485" w:type="dxa"/>
        <w:jc w:val="center"/>
        <w:tblLook w:val="04A0" w:firstRow="1" w:lastRow="0" w:firstColumn="1" w:lastColumn="0" w:noHBand="0" w:noVBand="1"/>
      </w:tblPr>
      <w:tblGrid>
        <w:gridCol w:w="988"/>
        <w:gridCol w:w="9497"/>
      </w:tblGrid>
      <w:tr w:rsidR="00216DC0" w:rsidRPr="00E232C9" w14:paraId="7A93D11D" w14:textId="77777777" w:rsidTr="00D4226B">
        <w:trPr>
          <w:jc w:val="center"/>
        </w:trPr>
        <w:tc>
          <w:tcPr>
            <w:tcW w:w="988" w:type="dxa"/>
          </w:tcPr>
          <w:bookmarkEnd w:id="48"/>
          <w:p w14:paraId="72D0DFF7" w14:textId="77777777" w:rsidR="00216DC0" w:rsidRPr="00986F27" w:rsidRDefault="00216DC0" w:rsidP="00D4226B">
            <w:pPr>
              <w:tabs>
                <w:tab w:val="left" w:pos="1920"/>
              </w:tabs>
              <w:ind w:right="-108"/>
              <w:jc w:val="center"/>
              <w:rPr>
                <w:rFonts w:ascii="Arial" w:hAnsi="Arial" w:cs="Arial"/>
                <w:b/>
              </w:rPr>
            </w:pPr>
            <w:r w:rsidRPr="00986F27">
              <w:rPr>
                <w:rFonts w:ascii="Arial" w:hAnsi="Arial" w:cs="Arial"/>
                <w:b/>
              </w:rPr>
              <w:t>N°</w:t>
            </w:r>
          </w:p>
        </w:tc>
        <w:tc>
          <w:tcPr>
            <w:tcW w:w="9497" w:type="dxa"/>
          </w:tcPr>
          <w:p w14:paraId="522CF58C" w14:textId="77777777" w:rsidR="00216DC0" w:rsidRPr="00986F27" w:rsidRDefault="00216DC0" w:rsidP="00D4226B">
            <w:pPr>
              <w:tabs>
                <w:tab w:val="left" w:pos="1395"/>
              </w:tabs>
              <w:jc w:val="center"/>
              <w:rPr>
                <w:rFonts w:ascii="Arial" w:hAnsi="Arial" w:cs="Arial"/>
                <w:b/>
              </w:rPr>
            </w:pPr>
            <w:r w:rsidRPr="00986F27">
              <w:rPr>
                <w:rFonts w:ascii="Arial" w:hAnsi="Arial" w:cs="Arial"/>
                <w:b/>
              </w:rPr>
              <w:t>OBSERVACIONES DE ORDEN ADMINISTRATIVO</w:t>
            </w:r>
          </w:p>
          <w:p w14:paraId="00D15AC4" w14:textId="6BF3122F" w:rsidR="00216DC0" w:rsidRPr="008C3428" w:rsidRDefault="00216DC0" w:rsidP="008C3428">
            <w:pPr>
              <w:tabs>
                <w:tab w:val="left" w:pos="1395"/>
              </w:tabs>
              <w:jc w:val="center"/>
              <w:rPr>
                <w:rFonts w:ascii="Arial" w:hAnsi="Arial" w:cs="Arial"/>
                <w:b/>
              </w:rPr>
            </w:pPr>
            <w:r w:rsidRPr="00986F27">
              <w:rPr>
                <w:rFonts w:ascii="Arial" w:hAnsi="Arial" w:cs="Arial"/>
                <w:b/>
              </w:rPr>
              <w:t>2024</w:t>
            </w:r>
          </w:p>
        </w:tc>
      </w:tr>
      <w:tr w:rsidR="00216DC0" w:rsidRPr="00E232C9" w14:paraId="271473CA" w14:textId="77777777" w:rsidTr="00D4226B">
        <w:trPr>
          <w:jc w:val="center"/>
        </w:trPr>
        <w:tc>
          <w:tcPr>
            <w:tcW w:w="988" w:type="dxa"/>
          </w:tcPr>
          <w:p w14:paraId="13CA436B" w14:textId="77777777" w:rsidR="00216DC0" w:rsidRPr="00E232C9" w:rsidRDefault="00216DC0" w:rsidP="00D4226B">
            <w:pPr>
              <w:tabs>
                <w:tab w:val="left" w:pos="1920"/>
              </w:tabs>
              <w:ind w:right="-108"/>
              <w:jc w:val="center"/>
              <w:rPr>
                <w:rFonts w:ascii="Arial" w:hAnsi="Arial" w:cs="Arial"/>
                <w:b/>
                <w:color w:val="FF0000"/>
              </w:rPr>
            </w:pPr>
            <w:r w:rsidRPr="00986F27">
              <w:rPr>
                <w:rFonts w:ascii="Arial" w:hAnsi="Arial" w:cs="Arial"/>
                <w:b/>
              </w:rPr>
              <w:t>1</w:t>
            </w:r>
          </w:p>
        </w:tc>
        <w:tc>
          <w:tcPr>
            <w:tcW w:w="9497" w:type="dxa"/>
          </w:tcPr>
          <w:p w14:paraId="518924E1" w14:textId="77777777" w:rsidR="00216DC0" w:rsidRDefault="00216DC0" w:rsidP="00D4226B">
            <w:pPr>
              <w:jc w:val="both"/>
              <w:rPr>
                <w:rFonts w:ascii="Arial" w:hAnsi="Arial" w:cs="Arial"/>
                <w:b/>
                <w:sz w:val="22"/>
                <w:szCs w:val="22"/>
                <w:lang w:val="es-MX"/>
              </w:rPr>
            </w:pPr>
            <w:r w:rsidRPr="006F3FBC">
              <w:rPr>
                <w:rFonts w:ascii="Arial" w:hAnsi="Arial" w:cs="Arial"/>
                <w:b/>
                <w:sz w:val="22"/>
                <w:szCs w:val="22"/>
                <w:lang w:val="es-MX"/>
              </w:rPr>
              <w:t>U.A.E. DIRECCION DE IMPUESTOS Y ADUANAS NACIONALES DIAN – FUNCION RECAUDADORA.</w:t>
            </w:r>
          </w:p>
          <w:p w14:paraId="1558B0BF" w14:textId="77777777" w:rsidR="00216DC0" w:rsidRDefault="00216DC0" w:rsidP="00D4226B">
            <w:pPr>
              <w:jc w:val="both"/>
              <w:rPr>
                <w:rFonts w:ascii="Arial" w:hAnsi="Arial" w:cs="Arial"/>
                <w:b/>
                <w:sz w:val="22"/>
                <w:szCs w:val="22"/>
                <w:lang w:val="es-MX"/>
              </w:rPr>
            </w:pPr>
          </w:p>
          <w:p w14:paraId="06813D2C" w14:textId="77777777" w:rsidR="00216DC0" w:rsidRPr="006F3FBC" w:rsidRDefault="00216DC0" w:rsidP="00D4226B">
            <w:pPr>
              <w:jc w:val="both"/>
              <w:rPr>
                <w:rFonts w:ascii="Arial" w:hAnsi="Arial" w:cs="Arial"/>
                <w:b/>
                <w:sz w:val="22"/>
                <w:szCs w:val="22"/>
                <w:lang w:val="es-MX"/>
              </w:rPr>
            </w:pPr>
            <w:r>
              <w:t>Se presentaron limitaciones de índole técnico, en referencia con el procesamiento de la información dado el volumen de los documentos a registrar; los cuales comprenden las declaraciones y pagos presentados por los contribuyentes en sus diferentes obligaciones a cargo y las actuaciones administrativas en ejercicio de las funciones asignadas a la entidad.</w:t>
            </w:r>
          </w:p>
        </w:tc>
      </w:tr>
      <w:tr w:rsidR="00216DC0" w:rsidRPr="00E232C9" w14:paraId="2370F409" w14:textId="77777777" w:rsidTr="00D4226B">
        <w:trPr>
          <w:jc w:val="center"/>
        </w:trPr>
        <w:tc>
          <w:tcPr>
            <w:tcW w:w="988" w:type="dxa"/>
          </w:tcPr>
          <w:p w14:paraId="56AAC5B4" w14:textId="77777777" w:rsidR="00216DC0" w:rsidRDefault="00216DC0" w:rsidP="00D4226B">
            <w:pPr>
              <w:tabs>
                <w:tab w:val="left" w:pos="1920"/>
              </w:tabs>
              <w:ind w:right="-108"/>
              <w:jc w:val="center"/>
              <w:rPr>
                <w:rFonts w:ascii="Arial" w:hAnsi="Arial" w:cs="Arial"/>
                <w:b/>
                <w:color w:val="FF0000"/>
              </w:rPr>
            </w:pPr>
            <w:r w:rsidRPr="00C6241C">
              <w:rPr>
                <w:rFonts w:ascii="Arial" w:hAnsi="Arial" w:cs="Arial"/>
                <w:b/>
              </w:rPr>
              <w:t>2</w:t>
            </w:r>
          </w:p>
        </w:tc>
        <w:tc>
          <w:tcPr>
            <w:tcW w:w="9497" w:type="dxa"/>
          </w:tcPr>
          <w:p w14:paraId="706F6281" w14:textId="77777777" w:rsidR="00216DC0" w:rsidRDefault="00216DC0" w:rsidP="00D4226B">
            <w:pPr>
              <w:ind w:left="34"/>
              <w:jc w:val="both"/>
              <w:rPr>
                <w:rFonts w:ascii="Arial" w:hAnsi="Arial" w:cs="Arial"/>
                <w:b/>
                <w:sz w:val="22"/>
                <w:szCs w:val="22"/>
                <w:lang w:val="es-MX"/>
              </w:rPr>
            </w:pPr>
            <w:r w:rsidRPr="00C6241C">
              <w:rPr>
                <w:rFonts w:ascii="Arial" w:hAnsi="Arial" w:cs="Arial"/>
                <w:b/>
                <w:sz w:val="22"/>
                <w:szCs w:val="22"/>
                <w:lang w:val="es-MX"/>
              </w:rPr>
              <w:t>U.A.E. DIRECCIÓN DE IMPUESTOS Y ADUANAS NACIONALES – DIAN FUNCIÓN PAGADORA.</w:t>
            </w:r>
          </w:p>
          <w:p w14:paraId="7C22E014" w14:textId="77777777" w:rsidR="00216DC0" w:rsidRPr="00C6241C" w:rsidRDefault="00216DC0" w:rsidP="00D4226B">
            <w:pPr>
              <w:ind w:left="34"/>
              <w:jc w:val="both"/>
              <w:rPr>
                <w:rFonts w:ascii="Arial" w:hAnsi="Arial" w:cs="Arial"/>
                <w:b/>
                <w:sz w:val="22"/>
                <w:szCs w:val="22"/>
                <w:lang w:val="es-MX"/>
              </w:rPr>
            </w:pPr>
          </w:p>
          <w:p w14:paraId="60FB4AC9" w14:textId="77777777" w:rsidR="00216DC0" w:rsidRPr="006F3FBC" w:rsidRDefault="00216DC0" w:rsidP="00D4226B">
            <w:pPr>
              <w:pStyle w:val="Textoindependiente"/>
              <w:ind w:right="33"/>
              <w:jc w:val="both"/>
              <w:rPr>
                <w:rFonts w:ascii="Arial" w:hAnsi="Arial" w:cs="Arial"/>
                <w:b/>
                <w:lang w:val="es-MX"/>
              </w:rPr>
            </w:pPr>
            <w:r w:rsidRPr="005C2EC4">
              <w:rPr>
                <w:bCs/>
                <w:szCs w:val="28"/>
              </w:rPr>
              <w:t>En cuanto a las limitaciones generales de tipo operativo que influyen en el desarrollo normal del proceso contable, la entidad utiliza aplicaciones externas al Sistema Integrado de Información financiera - SIIF para registrar y controlar las cuentas por cobrar, los bienes muebles e inmuebles, intangibles, la nómina, entre otros. Esta información se ingresa al aplicativo SIIF a través de documentos manuales y en forma agregada</w:t>
            </w:r>
            <w:r>
              <w:rPr>
                <w:bCs/>
                <w:szCs w:val="28"/>
              </w:rPr>
              <w:t>.</w:t>
            </w:r>
          </w:p>
        </w:tc>
      </w:tr>
      <w:tr w:rsidR="00216DC0" w:rsidRPr="00E232C9" w14:paraId="39DAA607" w14:textId="77777777" w:rsidTr="00D4226B">
        <w:trPr>
          <w:jc w:val="center"/>
        </w:trPr>
        <w:tc>
          <w:tcPr>
            <w:tcW w:w="988" w:type="dxa"/>
          </w:tcPr>
          <w:p w14:paraId="3F4ED024" w14:textId="77777777" w:rsidR="00216DC0" w:rsidRDefault="00216DC0" w:rsidP="00D4226B">
            <w:pPr>
              <w:tabs>
                <w:tab w:val="left" w:pos="1920"/>
              </w:tabs>
              <w:ind w:right="-108"/>
              <w:jc w:val="center"/>
              <w:rPr>
                <w:rFonts w:ascii="Arial" w:hAnsi="Arial" w:cs="Arial"/>
                <w:b/>
                <w:color w:val="FF0000"/>
              </w:rPr>
            </w:pPr>
            <w:r w:rsidRPr="009C1D7C">
              <w:rPr>
                <w:rFonts w:ascii="Arial" w:hAnsi="Arial" w:cs="Arial"/>
                <w:b/>
              </w:rPr>
              <w:t>3</w:t>
            </w:r>
          </w:p>
        </w:tc>
        <w:tc>
          <w:tcPr>
            <w:tcW w:w="9497" w:type="dxa"/>
          </w:tcPr>
          <w:p w14:paraId="4D93CADF" w14:textId="77777777" w:rsidR="00216DC0" w:rsidRPr="00517D44" w:rsidRDefault="00216DC0" w:rsidP="00D4226B">
            <w:pPr>
              <w:jc w:val="both"/>
              <w:rPr>
                <w:rFonts w:ascii="Arial" w:hAnsi="Arial" w:cs="Arial"/>
                <w:lang w:val="es-MX"/>
              </w:rPr>
            </w:pPr>
            <w:r w:rsidRPr="00517D44">
              <w:rPr>
                <w:rFonts w:ascii="Arial" w:hAnsi="Arial" w:cs="Arial"/>
                <w:lang w:val="es-MX"/>
              </w:rPr>
              <w:t>Se constituyen cuentas por pagar por falta de PAC.</w:t>
            </w:r>
          </w:p>
        </w:tc>
      </w:tr>
      <w:tr w:rsidR="00216DC0" w:rsidRPr="00E232C9" w14:paraId="4E18405E" w14:textId="77777777" w:rsidTr="00D4226B">
        <w:trPr>
          <w:jc w:val="center"/>
        </w:trPr>
        <w:tc>
          <w:tcPr>
            <w:tcW w:w="988" w:type="dxa"/>
          </w:tcPr>
          <w:p w14:paraId="14202C4B" w14:textId="77777777" w:rsidR="00216DC0" w:rsidRDefault="00216DC0" w:rsidP="00D4226B">
            <w:pPr>
              <w:tabs>
                <w:tab w:val="left" w:pos="1920"/>
              </w:tabs>
              <w:ind w:right="-108"/>
              <w:jc w:val="center"/>
              <w:rPr>
                <w:rFonts w:ascii="Arial" w:hAnsi="Arial" w:cs="Arial"/>
                <w:b/>
                <w:color w:val="FF0000"/>
              </w:rPr>
            </w:pPr>
            <w:r w:rsidRPr="00033D94">
              <w:rPr>
                <w:rFonts w:ascii="Arial" w:hAnsi="Arial" w:cs="Arial"/>
                <w:b/>
              </w:rPr>
              <w:t>4</w:t>
            </w:r>
          </w:p>
        </w:tc>
        <w:tc>
          <w:tcPr>
            <w:tcW w:w="9497" w:type="dxa"/>
          </w:tcPr>
          <w:p w14:paraId="314FF33E" w14:textId="77777777" w:rsidR="00216DC0" w:rsidRDefault="00216DC0" w:rsidP="00D4226B">
            <w:pPr>
              <w:jc w:val="both"/>
              <w:rPr>
                <w:rFonts w:ascii="Arial" w:hAnsi="Arial" w:cs="Arial"/>
                <w:b/>
                <w:sz w:val="24"/>
                <w:szCs w:val="24"/>
                <w:lang w:val="es-MX"/>
              </w:rPr>
            </w:pPr>
            <w:bookmarkStart w:id="49" w:name="_Hlk194926035"/>
            <w:r w:rsidRPr="00033D94">
              <w:rPr>
                <w:rFonts w:ascii="Arial" w:hAnsi="Arial" w:cs="Arial"/>
                <w:b/>
                <w:sz w:val="24"/>
                <w:szCs w:val="24"/>
                <w:lang w:val="es-MX"/>
              </w:rPr>
              <w:t>SUPERINTENDENCIA DE VIGILANCIA Y SEGURIDAD PRIVADA.</w:t>
            </w:r>
          </w:p>
          <w:p w14:paraId="63335BA0" w14:textId="77777777" w:rsidR="00216DC0" w:rsidRDefault="00216DC0" w:rsidP="00D4226B">
            <w:pPr>
              <w:jc w:val="both"/>
              <w:rPr>
                <w:rFonts w:ascii="Arial" w:hAnsi="Arial" w:cs="Arial"/>
                <w:b/>
                <w:sz w:val="24"/>
                <w:szCs w:val="24"/>
                <w:lang w:val="es-MX"/>
              </w:rPr>
            </w:pPr>
          </w:p>
          <w:p w14:paraId="444EFB9E" w14:textId="77777777" w:rsidR="00216DC0" w:rsidRPr="00033D94" w:rsidRDefault="00216DC0" w:rsidP="00D4226B">
            <w:pPr>
              <w:pStyle w:val="Textoindependiente"/>
              <w:ind w:right="33"/>
              <w:jc w:val="both"/>
              <w:rPr>
                <w:rFonts w:ascii="Arial" w:hAnsi="Arial" w:cs="Arial"/>
              </w:rPr>
            </w:pPr>
            <w:r w:rsidRPr="00033D94">
              <w:rPr>
                <w:rFonts w:ascii="Arial" w:hAnsi="Arial" w:cs="Arial"/>
                <w:b/>
              </w:rPr>
              <w:t xml:space="preserve">Sistemas Auxiliares de Información. </w:t>
            </w:r>
            <w:r w:rsidRPr="00033D94">
              <w:rPr>
                <w:rFonts w:ascii="Arial" w:hAnsi="Arial" w:cs="Arial"/>
              </w:rPr>
              <w:t>La entidad no cuenta con sistemas de información auxiliares para el macro proceso contable del SIIF Nación. La entidad no cuenta con sistema alguno que permita efectuar interface, en lo que tiene que ver con el manejo de la cartera tanto de contribución como de multas y sanciones, como tampoco cuenta con un sistema para el manejo de activos fijos que calcule la depreciación, ni de control de elementos de consumo.</w:t>
            </w:r>
          </w:p>
          <w:p w14:paraId="2517A4DB" w14:textId="77777777" w:rsidR="00216DC0" w:rsidRPr="00033D94" w:rsidRDefault="00216DC0" w:rsidP="00D4226B">
            <w:pPr>
              <w:pStyle w:val="Textoindependiente"/>
              <w:ind w:right="33"/>
              <w:jc w:val="both"/>
              <w:rPr>
                <w:rFonts w:ascii="Arial" w:hAnsi="Arial" w:cs="Arial"/>
              </w:rPr>
            </w:pPr>
          </w:p>
          <w:p w14:paraId="171C31D7" w14:textId="77777777" w:rsidR="00216DC0" w:rsidRPr="00033D94" w:rsidRDefault="00216DC0" w:rsidP="00D4226B">
            <w:pPr>
              <w:pStyle w:val="Textoindependiente"/>
              <w:ind w:right="33"/>
              <w:jc w:val="both"/>
              <w:rPr>
                <w:rFonts w:ascii="Arial" w:hAnsi="Arial" w:cs="Arial"/>
              </w:rPr>
            </w:pPr>
            <w:r w:rsidRPr="00033D94">
              <w:rPr>
                <w:rFonts w:ascii="Arial" w:hAnsi="Arial" w:cs="Arial"/>
                <w:b/>
              </w:rPr>
              <w:t>Plan de contingencia para restablecer la información contable y transmitirla vía CHIP.</w:t>
            </w:r>
            <w:r w:rsidRPr="00033D94">
              <w:rPr>
                <w:rFonts w:ascii="Arial" w:hAnsi="Arial" w:cs="Arial"/>
              </w:rPr>
              <w:t xml:space="preserve"> El plan de contingencia con que cuenta la entidad es una base de datos en Excel alimentado por el contador, el cual contiene los movimientos mensuales de la entidad.</w:t>
            </w:r>
          </w:p>
          <w:p w14:paraId="2FB0B523" w14:textId="77777777" w:rsidR="00216DC0" w:rsidRPr="00033D94" w:rsidRDefault="00216DC0" w:rsidP="00D4226B">
            <w:pPr>
              <w:pStyle w:val="Textoindependiente"/>
              <w:ind w:right="33"/>
              <w:jc w:val="both"/>
              <w:rPr>
                <w:rFonts w:ascii="Arial" w:hAnsi="Arial" w:cs="Arial"/>
              </w:rPr>
            </w:pPr>
          </w:p>
          <w:p w14:paraId="2921C3C0" w14:textId="77777777" w:rsidR="00216DC0" w:rsidRPr="00033D94" w:rsidRDefault="00216DC0" w:rsidP="00D4226B">
            <w:pPr>
              <w:pStyle w:val="Textoindependiente"/>
              <w:ind w:right="33"/>
              <w:jc w:val="both"/>
              <w:rPr>
                <w:rFonts w:ascii="Arial" w:hAnsi="Arial" w:cs="Arial"/>
              </w:rPr>
            </w:pPr>
            <w:r>
              <w:rPr>
                <w:rFonts w:ascii="Arial" w:hAnsi="Arial" w:cs="Arial"/>
                <w:b/>
              </w:rPr>
              <w:t>M</w:t>
            </w:r>
            <w:r w:rsidRPr="00033D94">
              <w:rPr>
                <w:rFonts w:ascii="Arial" w:hAnsi="Arial" w:cs="Arial"/>
                <w:b/>
              </w:rPr>
              <w:t>anejo de documentos y soportes contables</w:t>
            </w:r>
            <w:r w:rsidRPr="00033D94">
              <w:rPr>
                <w:rFonts w:ascii="Arial" w:hAnsi="Arial" w:cs="Arial"/>
              </w:rPr>
              <w:t xml:space="preserve">. El área financiera vela por que todos los hechos económicos, contengan el respectivo soporte contable, </w:t>
            </w:r>
            <w:r w:rsidRPr="00033D94">
              <w:rPr>
                <w:rFonts w:ascii="Arial" w:hAnsi="Arial" w:cs="Arial"/>
                <w:b/>
                <w:bCs/>
                <w:u w:val="single"/>
              </w:rPr>
              <w:t>aunque en algunas ocasiones se dificulta el cierre contable debido a que la recepción de la documentación y la respectiva conciliación entre las áreas no se efectúan oportunamente,</w:t>
            </w:r>
            <w:r w:rsidRPr="00033D94">
              <w:rPr>
                <w:rFonts w:ascii="Arial" w:hAnsi="Arial" w:cs="Arial"/>
              </w:rPr>
              <w:t xml:space="preserve"> lo cual genera demoras en el cierre mensual, puesto que hasta tanto no se tenga la información debidamente soportada y conciliada no se pueden emitir los respectivos Estados Financieros. Es importante aclarar que se ha venido mejorando esta situación y siempre se logra cerrar cada periodo en el término establecido por el Ministerio de Hacienda.</w:t>
            </w:r>
          </w:p>
          <w:p w14:paraId="0F5F73E5" w14:textId="77777777" w:rsidR="00216DC0" w:rsidRPr="00033D94" w:rsidRDefault="00216DC0" w:rsidP="00D4226B">
            <w:pPr>
              <w:pStyle w:val="Textoindependiente"/>
              <w:ind w:right="33"/>
              <w:jc w:val="both"/>
              <w:rPr>
                <w:rFonts w:ascii="Arial" w:hAnsi="Arial" w:cs="Arial"/>
              </w:rPr>
            </w:pPr>
          </w:p>
          <w:p w14:paraId="5BEDD52F" w14:textId="77777777" w:rsidR="00216DC0" w:rsidRPr="006F3FBC" w:rsidRDefault="00216DC0" w:rsidP="00D4226B">
            <w:pPr>
              <w:pStyle w:val="Textoindependiente"/>
              <w:ind w:right="33"/>
              <w:jc w:val="both"/>
              <w:rPr>
                <w:rFonts w:ascii="Arial" w:hAnsi="Arial" w:cs="Arial"/>
                <w:b/>
                <w:lang w:val="es-MX"/>
              </w:rPr>
            </w:pPr>
            <w:r w:rsidRPr="00033D94">
              <w:rPr>
                <w:rFonts w:ascii="Arial" w:hAnsi="Arial" w:cs="Arial"/>
                <w:b/>
              </w:rPr>
              <w:t>Incorporación de activos</w:t>
            </w:r>
            <w:r w:rsidRPr="00033D94">
              <w:rPr>
                <w:rFonts w:ascii="Arial" w:hAnsi="Arial" w:cs="Arial"/>
              </w:rPr>
              <w:t xml:space="preserve">. </w:t>
            </w:r>
            <w:r w:rsidRPr="00033D94">
              <w:rPr>
                <w:rFonts w:ascii="Arial" w:hAnsi="Arial" w:cs="Arial"/>
                <w:b/>
                <w:bCs/>
                <w:u w:val="single"/>
              </w:rPr>
              <w:t>Es importante aclarar que la totalidad de la cartera no se encuentra conciliada, lo anterior debido a la insuficiencia de personal al cierre e inicio de la vigencia</w:t>
            </w:r>
            <w:r w:rsidRPr="00033D94">
              <w:rPr>
                <w:rFonts w:ascii="Arial" w:hAnsi="Arial" w:cs="Arial"/>
              </w:rPr>
              <w:t>, lo anterior debido a que la información se encuentra en diferentes bases de datos y en algunos casos difíciles de cruzar.</w:t>
            </w:r>
            <w:bookmarkEnd w:id="49"/>
          </w:p>
        </w:tc>
      </w:tr>
      <w:tr w:rsidR="00216DC0" w:rsidRPr="00E232C9" w14:paraId="70D82DBC" w14:textId="77777777" w:rsidTr="00D4226B">
        <w:trPr>
          <w:jc w:val="center"/>
        </w:trPr>
        <w:tc>
          <w:tcPr>
            <w:tcW w:w="988" w:type="dxa"/>
          </w:tcPr>
          <w:p w14:paraId="136A3D41" w14:textId="77777777" w:rsidR="00216DC0" w:rsidRDefault="00216DC0" w:rsidP="00D4226B">
            <w:pPr>
              <w:tabs>
                <w:tab w:val="left" w:pos="1920"/>
              </w:tabs>
              <w:ind w:right="-108"/>
              <w:jc w:val="center"/>
              <w:rPr>
                <w:rFonts w:ascii="Arial" w:hAnsi="Arial" w:cs="Arial"/>
                <w:b/>
                <w:color w:val="FF0000"/>
              </w:rPr>
            </w:pPr>
            <w:r w:rsidRPr="00D75A7F">
              <w:rPr>
                <w:rFonts w:ascii="Arial" w:hAnsi="Arial" w:cs="Arial"/>
                <w:b/>
                <w:color w:val="000000" w:themeColor="text1"/>
              </w:rPr>
              <w:t>5</w:t>
            </w:r>
          </w:p>
        </w:tc>
        <w:tc>
          <w:tcPr>
            <w:tcW w:w="9497" w:type="dxa"/>
          </w:tcPr>
          <w:p w14:paraId="6DBC97B0" w14:textId="77777777" w:rsidR="00216DC0" w:rsidRDefault="00216DC0" w:rsidP="00D4226B">
            <w:pPr>
              <w:jc w:val="both"/>
              <w:rPr>
                <w:rFonts w:ascii="Arial" w:hAnsi="Arial" w:cs="Arial"/>
                <w:b/>
                <w:lang w:val="es-MX"/>
              </w:rPr>
            </w:pPr>
            <w:r>
              <w:rPr>
                <w:rFonts w:ascii="Arial" w:hAnsi="Arial" w:cs="Arial"/>
                <w:b/>
                <w:lang w:val="es-MX"/>
              </w:rPr>
              <w:t>DIRECCIÓN NACIONAL DE BOMBEROS DE COLOMBIA.</w:t>
            </w:r>
          </w:p>
          <w:p w14:paraId="77143A2A" w14:textId="77777777" w:rsidR="00216DC0" w:rsidRDefault="00216DC0" w:rsidP="00D4226B">
            <w:pPr>
              <w:jc w:val="both"/>
              <w:rPr>
                <w:rFonts w:ascii="Arial" w:hAnsi="Arial" w:cs="Arial"/>
                <w:b/>
                <w:lang w:val="es-MX"/>
              </w:rPr>
            </w:pPr>
          </w:p>
          <w:p w14:paraId="5E084794" w14:textId="77777777" w:rsidR="00216DC0" w:rsidRPr="00FE576E" w:rsidRDefault="00216DC0" w:rsidP="00D4226B">
            <w:pPr>
              <w:jc w:val="both"/>
              <w:rPr>
                <w:bCs/>
              </w:rPr>
            </w:pPr>
            <w:r>
              <w:rPr>
                <w:rFonts w:ascii="Arial" w:hAnsi="Arial" w:cs="Arial"/>
                <w:b/>
                <w:lang w:val="es-MX"/>
              </w:rPr>
              <w:t xml:space="preserve">Contratos en donde no se cumple en su totalidad el objeto de los mismos. </w:t>
            </w:r>
            <w:r w:rsidRPr="00FE576E">
              <w:rPr>
                <w:bCs/>
              </w:rPr>
              <w:t xml:space="preserve">Convenio firmado en el 2013 con la UNGRD, el cual se encuentra en la fase del cierre financiero de los procesos </w:t>
            </w:r>
            <w:r w:rsidRPr="00FE576E">
              <w:rPr>
                <w:bCs/>
              </w:rPr>
              <w:lastRenderedPageBreak/>
              <w:t xml:space="preserve">derivados del mismo para su posterior legalización. </w:t>
            </w:r>
            <w:r w:rsidRPr="00156649">
              <w:rPr>
                <w:b/>
                <w:u w:val="single"/>
              </w:rPr>
              <w:t>A diciembre 31 de 2024, no han reportado informe final para legalizar dicho saldo</w:t>
            </w:r>
            <w:r w:rsidRPr="00FE576E">
              <w:rPr>
                <w:bCs/>
              </w:rPr>
              <w:t>.</w:t>
            </w:r>
          </w:p>
          <w:p w14:paraId="7EAEEF60" w14:textId="77777777" w:rsidR="00216DC0" w:rsidRDefault="00216DC0" w:rsidP="00D4226B">
            <w:pPr>
              <w:jc w:val="both"/>
              <w:rPr>
                <w:rFonts w:ascii="Arial" w:hAnsi="Arial" w:cs="Arial"/>
                <w:b/>
              </w:rPr>
            </w:pPr>
          </w:p>
          <w:p w14:paraId="18222452" w14:textId="77777777" w:rsidR="00216DC0" w:rsidRPr="00AC7FAF" w:rsidRDefault="00216DC0" w:rsidP="00D4226B">
            <w:pPr>
              <w:jc w:val="both"/>
              <w:rPr>
                <w:rFonts w:ascii="Arial" w:hAnsi="Arial" w:cs="Arial"/>
                <w:b/>
              </w:rPr>
            </w:pPr>
            <w:r w:rsidRPr="00AC7FAF">
              <w:rPr>
                <w:rFonts w:ascii="Arial" w:hAnsi="Arial" w:cs="Arial"/>
                <w:b/>
                <w:u w:val="single"/>
              </w:rPr>
              <w:t>Recursos Entregados en Administración</w:t>
            </w:r>
            <w:r>
              <w:rPr>
                <w:rFonts w:ascii="Arial" w:hAnsi="Arial" w:cs="Arial"/>
                <w:b/>
              </w:rPr>
              <w:t xml:space="preserve">. </w:t>
            </w:r>
            <w:r w:rsidRPr="00FE576E">
              <w:rPr>
                <w:bCs/>
              </w:rPr>
              <w:t>La DNBC mantendrá las partidas giradas a los Municipios en la Cuenta por Cobrar, hasta que no se reciban a satisfacción las Estaciones de bomberos y se legalice en el Gasto los recursos entregados.</w:t>
            </w:r>
          </w:p>
        </w:tc>
      </w:tr>
      <w:tr w:rsidR="00216DC0" w:rsidRPr="00E232C9" w14:paraId="38E73D91" w14:textId="77777777" w:rsidTr="00D4226B">
        <w:trPr>
          <w:jc w:val="center"/>
        </w:trPr>
        <w:tc>
          <w:tcPr>
            <w:tcW w:w="988" w:type="dxa"/>
          </w:tcPr>
          <w:p w14:paraId="305F7E3C" w14:textId="77777777" w:rsidR="00216DC0" w:rsidRDefault="00216DC0" w:rsidP="00D4226B">
            <w:pPr>
              <w:tabs>
                <w:tab w:val="left" w:pos="1920"/>
              </w:tabs>
              <w:ind w:right="-108"/>
              <w:jc w:val="center"/>
              <w:rPr>
                <w:rFonts w:ascii="Arial" w:hAnsi="Arial" w:cs="Arial"/>
                <w:b/>
                <w:color w:val="FF0000"/>
              </w:rPr>
            </w:pPr>
            <w:r w:rsidRPr="006A1DF9">
              <w:rPr>
                <w:rFonts w:ascii="Arial" w:hAnsi="Arial" w:cs="Arial"/>
                <w:b/>
              </w:rPr>
              <w:lastRenderedPageBreak/>
              <w:t>6</w:t>
            </w:r>
          </w:p>
        </w:tc>
        <w:tc>
          <w:tcPr>
            <w:tcW w:w="9497" w:type="dxa"/>
          </w:tcPr>
          <w:p w14:paraId="5A7A7DDD" w14:textId="77777777" w:rsidR="00216DC0" w:rsidRPr="00002FED" w:rsidRDefault="00216DC0" w:rsidP="00D4226B">
            <w:pPr>
              <w:jc w:val="both"/>
              <w:rPr>
                <w:rFonts w:ascii="Arial" w:hAnsi="Arial" w:cs="Arial"/>
                <w:b/>
                <w:lang w:val="es-MX"/>
              </w:rPr>
            </w:pPr>
            <w:r w:rsidRPr="00002FED">
              <w:rPr>
                <w:rFonts w:ascii="Arial" w:hAnsi="Arial" w:cs="Arial"/>
                <w:b/>
                <w:lang w:val="es-MX"/>
              </w:rPr>
              <w:t>AGENCIA NACIONAL INMOBILIARIA VIRGILIO BARCO.</w:t>
            </w:r>
          </w:p>
          <w:p w14:paraId="283B7EB9" w14:textId="77777777" w:rsidR="00216DC0" w:rsidRDefault="00216DC0" w:rsidP="00D4226B">
            <w:pPr>
              <w:jc w:val="both"/>
              <w:rPr>
                <w:rFonts w:ascii="Arial" w:hAnsi="Arial" w:cs="Arial"/>
                <w:b/>
                <w:lang w:val="es-MX"/>
              </w:rPr>
            </w:pPr>
          </w:p>
          <w:p w14:paraId="0D794737" w14:textId="77777777" w:rsidR="00216DC0" w:rsidRDefault="00216DC0" w:rsidP="00D4226B">
            <w:pPr>
              <w:pStyle w:val="Textoindependiente"/>
              <w:ind w:right="-50"/>
              <w:jc w:val="both"/>
            </w:pPr>
            <w:r w:rsidRPr="00B217ED">
              <w:t xml:space="preserve">La ANIM para la vigencia 2024 como consecuencia de las necesidades para la prestación del servicio no contó con los suficientes recursos para la adquisición de un software, para el control y manejo de Inventarios </w:t>
            </w:r>
            <w:r>
              <w:t>y</w:t>
            </w:r>
            <w:r w:rsidRPr="00B217ED">
              <w:t xml:space="preserve"> activos fijos, situación que se corrigió en la presentación del </w:t>
            </w:r>
            <w:r>
              <w:t>a</w:t>
            </w:r>
            <w:r w:rsidRPr="00B217ED">
              <w:t>nteproyecto de presupuesto, y la presupuestación para la vigencia 2025 de los recursos para superar esta necesidad.</w:t>
            </w:r>
          </w:p>
          <w:p w14:paraId="00ADD1D1" w14:textId="77777777" w:rsidR="00216DC0" w:rsidRDefault="00216DC0" w:rsidP="00D4226B">
            <w:pPr>
              <w:pStyle w:val="Textoindependiente"/>
              <w:ind w:right="-50"/>
              <w:jc w:val="both"/>
            </w:pPr>
          </w:p>
          <w:p w14:paraId="2756E152" w14:textId="77777777" w:rsidR="00216DC0" w:rsidRDefault="00216DC0" w:rsidP="00D4226B">
            <w:pPr>
              <w:pStyle w:val="Textoindependiente"/>
              <w:ind w:right="-50"/>
              <w:jc w:val="both"/>
            </w:pPr>
            <w:r>
              <w:t>Para la vigencia 2025, La ANIM hizo cambio del profesional contable, lo que implicó un proceso de empalme y revisión de la información entregada, así mismo la supervisión se encuentra en proceso de liquidación del contrato y validación de los insumos presentados en la evidencia del cumplimiento de las obligaciones.</w:t>
            </w:r>
          </w:p>
          <w:p w14:paraId="4B0EC894" w14:textId="77777777" w:rsidR="00216DC0" w:rsidRDefault="00216DC0" w:rsidP="00D4226B">
            <w:pPr>
              <w:pStyle w:val="Textoindependiente"/>
              <w:ind w:right="-50"/>
              <w:jc w:val="both"/>
            </w:pPr>
          </w:p>
          <w:p w14:paraId="1131A72E" w14:textId="77777777" w:rsidR="00216DC0" w:rsidRPr="00AC73AB" w:rsidRDefault="00216DC0" w:rsidP="00D4226B">
            <w:pPr>
              <w:pStyle w:val="Textoindependiente"/>
              <w:ind w:right="-50"/>
              <w:jc w:val="both"/>
              <w:rPr>
                <w:b/>
                <w:bCs/>
                <w:u w:val="single"/>
              </w:rPr>
            </w:pPr>
            <w:r>
              <w:t xml:space="preserve">El Manual de políticas contables actualizado en agosto 2024, establece la elaboración de conciliaciones de saldos, cruces de información de activos, pasivos, gastos, se verificó en gestión documental de agosto 2023 a 30 de noviembre de 2024, </w:t>
            </w:r>
            <w:r w:rsidRPr="00B83CB8">
              <w:rPr>
                <w:b/>
                <w:bCs/>
                <w:u w:val="single"/>
              </w:rPr>
              <w:t>no se evidenció conciliaciones de saldos.</w:t>
            </w:r>
          </w:p>
        </w:tc>
      </w:tr>
      <w:tr w:rsidR="00216DC0" w:rsidRPr="00E232C9" w14:paraId="2B5E60F7" w14:textId="77777777" w:rsidTr="00D4226B">
        <w:trPr>
          <w:jc w:val="center"/>
        </w:trPr>
        <w:tc>
          <w:tcPr>
            <w:tcW w:w="988" w:type="dxa"/>
          </w:tcPr>
          <w:p w14:paraId="1A31C3D0" w14:textId="77777777" w:rsidR="00216DC0" w:rsidRDefault="00216DC0" w:rsidP="00D4226B">
            <w:pPr>
              <w:tabs>
                <w:tab w:val="left" w:pos="1920"/>
              </w:tabs>
              <w:ind w:right="-108"/>
              <w:jc w:val="center"/>
              <w:rPr>
                <w:rFonts w:ascii="Arial" w:hAnsi="Arial" w:cs="Arial"/>
                <w:b/>
                <w:color w:val="FF0000"/>
              </w:rPr>
            </w:pPr>
            <w:r w:rsidRPr="008C2410">
              <w:rPr>
                <w:rFonts w:ascii="Arial" w:hAnsi="Arial" w:cs="Arial"/>
                <w:b/>
              </w:rPr>
              <w:t>7</w:t>
            </w:r>
          </w:p>
        </w:tc>
        <w:tc>
          <w:tcPr>
            <w:tcW w:w="9497" w:type="dxa"/>
          </w:tcPr>
          <w:p w14:paraId="0231B7C4" w14:textId="77777777" w:rsidR="00216DC0" w:rsidRPr="00D36B22" w:rsidRDefault="00216DC0" w:rsidP="00D4226B">
            <w:pPr>
              <w:jc w:val="both"/>
              <w:rPr>
                <w:rFonts w:ascii="Arial" w:hAnsi="Arial" w:cs="Arial"/>
                <w:b/>
              </w:rPr>
            </w:pPr>
            <w:r w:rsidRPr="00D36B22">
              <w:rPr>
                <w:rFonts w:ascii="Arial" w:hAnsi="Arial" w:cs="Arial"/>
                <w:b/>
                <w:lang w:val="es-MX"/>
              </w:rPr>
              <w:t xml:space="preserve">LA SUPERINTENDENCIA NACIONAL DE SALUD – SUPERSALUD informa o siguiente: </w:t>
            </w:r>
            <w:r w:rsidRPr="00D36B22">
              <w:rPr>
                <w:rFonts w:ascii="Arial" w:hAnsi="Arial" w:cs="Arial"/>
                <w:b/>
              </w:rPr>
              <w:t>Limitaciones y deficiencias que inciden en el proceso contable.</w:t>
            </w:r>
          </w:p>
          <w:p w14:paraId="48638C54" w14:textId="77777777" w:rsidR="00216DC0" w:rsidRPr="00D36B22" w:rsidRDefault="00216DC0" w:rsidP="00D4226B">
            <w:pPr>
              <w:pStyle w:val="Textoindependiente"/>
              <w:ind w:right="-50"/>
              <w:jc w:val="both"/>
              <w:rPr>
                <w:rFonts w:ascii="Arial" w:hAnsi="Arial" w:cs="Arial"/>
                <w:b/>
                <w:sz w:val="28"/>
                <w:szCs w:val="28"/>
              </w:rPr>
            </w:pPr>
          </w:p>
          <w:p w14:paraId="2E0B6037" w14:textId="77777777" w:rsidR="00216DC0" w:rsidRPr="00D36B22" w:rsidRDefault="00216DC0" w:rsidP="00D4226B">
            <w:pPr>
              <w:pStyle w:val="Textoindependiente"/>
              <w:ind w:right="-50"/>
              <w:jc w:val="both"/>
              <w:rPr>
                <w:rFonts w:ascii="Arial" w:hAnsi="Arial" w:cs="Arial"/>
                <w:b/>
              </w:rPr>
            </w:pPr>
            <w:r w:rsidRPr="00D36B22">
              <w:rPr>
                <w:rFonts w:ascii="Arial" w:hAnsi="Arial" w:cs="Arial"/>
                <w:b/>
              </w:rPr>
              <w:t>Administrativas.</w:t>
            </w:r>
          </w:p>
          <w:p w14:paraId="0576E577" w14:textId="77777777" w:rsidR="00216DC0" w:rsidRPr="00D36B22" w:rsidRDefault="00216DC0" w:rsidP="00D4226B">
            <w:pPr>
              <w:pStyle w:val="Textoindependiente"/>
              <w:ind w:right="-50"/>
              <w:jc w:val="both"/>
              <w:rPr>
                <w:rFonts w:ascii="Arial" w:hAnsi="Arial" w:cs="Arial"/>
                <w:b/>
              </w:rPr>
            </w:pPr>
          </w:p>
          <w:p w14:paraId="3D4DC4A5"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Consecuencia de la restructuración de la Entidad, de acuerdo con lo establecido en los Decretos 1080 y 1081 de 2021 y el rediseño institucional resultante, mediante resolución número 20218000013221-6 de 2021 le fueron asignadas al Grupo de Contabilidad actividades netamente operativas relativas a la gestión de pagos como son, la digitación de información para para el registro de cuentas por pagar y obligaciones en SIIF y las actividades relacionadas con preparación y presentación de impuestos nacionales y territoriales y de información exógena, impactando negativamente el tiempo y capacidad de análisis requeridos frente a la información con incidencia contable a revelar en los Estados Financieros de la Entidad.</w:t>
            </w:r>
          </w:p>
          <w:p w14:paraId="6B7DD38B" w14:textId="77777777" w:rsidR="00216DC0" w:rsidRPr="00D36B22" w:rsidRDefault="00216DC0" w:rsidP="00D4226B">
            <w:pPr>
              <w:pStyle w:val="Textoindependiente"/>
              <w:ind w:right="-50"/>
              <w:jc w:val="both"/>
              <w:rPr>
                <w:rFonts w:ascii="Arial" w:hAnsi="Arial" w:cs="Arial"/>
              </w:rPr>
            </w:pPr>
          </w:p>
          <w:p w14:paraId="55296106"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Lo anterior desatendiendo la instrucción dada mediante Circular Externa No. 004 de 2021, expedida por la Administración SIIF del Ministerio de Hacienda y Crédito Público, en la cual se informa que las siguientes transacciones se han retirado de la Gestión Contable y se han asignado al perfil Gestión Central de Cuentas, con el propósito de enfocar los esfuerzos de la gestión de las áreas contables de las entidades públicas del ámbito del SIIF Nación a la generación de información contable de calidad, realizando los análisis oportunos y sus revelaciones:</w:t>
            </w:r>
          </w:p>
          <w:p w14:paraId="2F7C01D1" w14:textId="77777777" w:rsidR="00216DC0" w:rsidRPr="00D36B22" w:rsidRDefault="00216DC0" w:rsidP="00D4226B">
            <w:pPr>
              <w:pStyle w:val="Textoindependiente"/>
              <w:ind w:right="-50"/>
              <w:jc w:val="both"/>
              <w:rPr>
                <w:rFonts w:ascii="Arial" w:hAnsi="Arial" w:cs="Arial"/>
              </w:rPr>
            </w:pPr>
          </w:p>
          <w:p w14:paraId="435E7236"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w:t>
            </w:r>
            <w:r w:rsidRPr="00D36B22">
              <w:rPr>
                <w:rFonts w:ascii="Arial" w:hAnsi="Arial" w:cs="Arial"/>
              </w:rPr>
              <w:tab/>
              <w:t>Creación de Cuenta por Pagar y su administración</w:t>
            </w:r>
          </w:p>
          <w:p w14:paraId="19505FCE"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w:t>
            </w:r>
            <w:r w:rsidRPr="00D36B22">
              <w:rPr>
                <w:rFonts w:ascii="Arial" w:hAnsi="Arial" w:cs="Arial"/>
              </w:rPr>
              <w:tab/>
              <w:t>Creación Obligación, cargas de Deducciones y su administración</w:t>
            </w:r>
          </w:p>
          <w:p w14:paraId="3B7821AD"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w:t>
            </w:r>
            <w:r w:rsidRPr="00D36B22">
              <w:rPr>
                <w:rFonts w:ascii="Arial" w:hAnsi="Arial" w:cs="Arial"/>
              </w:rPr>
              <w:tab/>
              <w:t>Elaborar y Pre-aprobar pago por Compensación Retenciones DIAN relacionadas</w:t>
            </w:r>
          </w:p>
          <w:p w14:paraId="0AB0BA66" w14:textId="77777777" w:rsidR="00216DC0" w:rsidRPr="00D36B22" w:rsidRDefault="00216DC0" w:rsidP="00D4226B">
            <w:pPr>
              <w:pStyle w:val="Textoindependiente"/>
              <w:ind w:right="-50"/>
              <w:jc w:val="both"/>
              <w:rPr>
                <w:rFonts w:ascii="Arial" w:hAnsi="Arial" w:cs="Arial"/>
              </w:rPr>
            </w:pPr>
          </w:p>
          <w:p w14:paraId="38EB98A6"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Por lo anterior, no deberían estar a cargo de funcionarios del Grupo de Contabilidad dado que corresponden a actividades no contables y que la Entidad por su estructura se encuentra en capacidad de asignarlas a otro grupo, bien sea el de Tesorería o, a un grupo de Central de Cuentas.</w:t>
            </w:r>
          </w:p>
          <w:p w14:paraId="414BD79F"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Adicional a desconocer lo establecido en las normas tributarias que establecen como responsable de la firma de las declaraciones de impuestos al Representante Legal (Artículo 572 E.T., literal c), posibilitando que se designe en el pagador o quien haga sus veces esta responsabilidad (Parágrafo 2, artículo 1.6.1.13.2.5. Formularios y contenido de las declaraciones, Decreto 1625 de 2016 – Único Reglamentario en materia tributaria.</w:t>
            </w:r>
          </w:p>
          <w:p w14:paraId="159BB4E6" w14:textId="77777777" w:rsidR="00216DC0" w:rsidRPr="00D36B22" w:rsidRDefault="00216DC0" w:rsidP="00D4226B">
            <w:pPr>
              <w:pStyle w:val="Textoindependiente"/>
              <w:ind w:right="-50"/>
              <w:jc w:val="both"/>
              <w:rPr>
                <w:rFonts w:ascii="Arial" w:hAnsi="Arial" w:cs="Arial"/>
              </w:rPr>
            </w:pPr>
          </w:p>
          <w:p w14:paraId="11778FA2"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En la vigencia 2024, el grupo de contabilidad tuvo que atender las actividades a su cargo y desempeñar sus funciones sin contar con dos profesionales de la planta asignada, perfiles que no han sido suplidos desde 2023 y que, adicional a lo enunciado anteriormente impactan en el desarrollo de actividades tanto operativas, como de análisis y gestión de la información a cargo.</w:t>
            </w:r>
          </w:p>
          <w:p w14:paraId="32CDF68B" w14:textId="77777777" w:rsidR="00216DC0" w:rsidRPr="00D36B22" w:rsidRDefault="00216DC0" w:rsidP="00D4226B">
            <w:pPr>
              <w:pStyle w:val="Textoindependiente"/>
              <w:ind w:right="-50"/>
              <w:jc w:val="both"/>
              <w:rPr>
                <w:rFonts w:ascii="Arial" w:hAnsi="Arial" w:cs="Arial"/>
              </w:rPr>
            </w:pPr>
          </w:p>
          <w:p w14:paraId="22781148"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Se identifica con preocupación que el aplicativo Génesis, en el que se administran y controlan las cuentas por cobrar relacionadas con tasa, contribución y multas, aún para la vigencia 2024 no se constituye en una herramienta confiable, dado que su operación genera para los módulos de ingresos y contabilidad permanentes solicitudes de reversiones, reaplicaciones y ajustes manuales, generando reprocesos e incertidumbre y del grupo fuente de información no se tiene identificado el universo de cartera por depurar.</w:t>
            </w:r>
          </w:p>
          <w:p w14:paraId="733BC860" w14:textId="77777777" w:rsidR="00216DC0" w:rsidRPr="00D36B22" w:rsidRDefault="00216DC0" w:rsidP="00D4226B">
            <w:pPr>
              <w:pStyle w:val="Textoindependiente"/>
              <w:ind w:right="-50"/>
              <w:jc w:val="both"/>
              <w:rPr>
                <w:rFonts w:ascii="Arial" w:hAnsi="Arial" w:cs="Arial"/>
              </w:rPr>
            </w:pPr>
          </w:p>
          <w:p w14:paraId="5783072E"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Las limitaciones y deficiencias detectadas en el SIIF en la operación del día a día se reportan por evento a la línea soporte de atención telefónica dispuesta por el Ministerio de Hacienda. De acuerdo con el caso que se trate, son escaladas mediante la radicación de incidentes o la solicitud de acompañamientos presenciales o vía teams, de acuerdo con los tiempos de atención establecidos por la administración SIIF.</w:t>
            </w:r>
          </w:p>
          <w:p w14:paraId="58B756BC" w14:textId="77777777" w:rsidR="00216DC0" w:rsidRPr="00D36B22" w:rsidRDefault="00216DC0" w:rsidP="00D4226B">
            <w:pPr>
              <w:pStyle w:val="Textoindependiente"/>
              <w:ind w:right="-50"/>
              <w:jc w:val="both"/>
              <w:rPr>
                <w:rFonts w:ascii="Arial" w:hAnsi="Arial" w:cs="Arial"/>
              </w:rPr>
            </w:pPr>
          </w:p>
          <w:p w14:paraId="0C876123" w14:textId="77777777" w:rsidR="00216DC0" w:rsidRPr="00D36B22" w:rsidRDefault="00216DC0" w:rsidP="00D4226B">
            <w:pPr>
              <w:pStyle w:val="Textoindependiente"/>
              <w:ind w:right="-50"/>
              <w:jc w:val="both"/>
              <w:rPr>
                <w:rFonts w:ascii="Arial" w:hAnsi="Arial" w:cs="Arial"/>
                <w:b/>
              </w:rPr>
            </w:pPr>
            <w:r w:rsidRPr="00D36B22">
              <w:rPr>
                <w:rFonts w:ascii="Arial" w:hAnsi="Arial" w:cs="Arial"/>
                <w:b/>
              </w:rPr>
              <w:t>Deficiencia en información suministrada por las dependencias.</w:t>
            </w:r>
          </w:p>
          <w:p w14:paraId="40A63256" w14:textId="77777777" w:rsidR="00216DC0" w:rsidRPr="00D36B22" w:rsidRDefault="00216DC0" w:rsidP="00D4226B">
            <w:pPr>
              <w:pStyle w:val="Textoindependiente"/>
              <w:ind w:right="-50"/>
              <w:jc w:val="both"/>
              <w:rPr>
                <w:rFonts w:ascii="Arial" w:hAnsi="Arial" w:cs="Arial"/>
              </w:rPr>
            </w:pPr>
          </w:p>
          <w:p w14:paraId="42E5F70B"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A pesar del trabajo adelantado por el Grupo de Contabilidad en el que se busca integrar a las diferentes dependencias que intervienen y aportan información para los Estados Financieros y crear la conciencia financiera requerida para que en las diferentes etapas del proceso contable suministren información suficiente y pertinente con la calidad y oportunidad requerida, algunas dependencias a pesar de que se solicita aclaración, ampliación, confirmación o validación de información para la estructuración de las revelaciones no la suministran. Esto no permite se aplique el Procedimiento para la Evaluación del Control Interno Contable, especialmente en los siguientes aspectos:</w:t>
            </w:r>
          </w:p>
          <w:p w14:paraId="0B4326C2" w14:textId="77777777" w:rsidR="00216DC0" w:rsidRPr="00D36B22" w:rsidRDefault="00216DC0" w:rsidP="00D4226B">
            <w:pPr>
              <w:pStyle w:val="Textoindependiente"/>
              <w:ind w:right="-50"/>
              <w:jc w:val="both"/>
              <w:rPr>
                <w:rFonts w:ascii="Arial" w:hAnsi="Arial" w:cs="Arial"/>
                <w:b/>
                <w:sz w:val="28"/>
                <w:szCs w:val="28"/>
              </w:rPr>
            </w:pPr>
          </w:p>
          <w:p w14:paraId="2A329813"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3.2.9. Coordinación entre las diferentes dependencias.</w:t>
            </w:r>
          </w:p>
          <w:p w14:paraId="7200E232" w14:textId="77777777" w:rsidR="00216DC0" w:rsidRPr="00D36B22" w:rsidRDefault="00216DC0" w:rsidP="00D4226B">
            <w:pPr>
              <w:pStyle w:val="Textoindependiente"/>
              <w:ind w:right="-50"/>
              <w:jc w:val="both"/>
              <w:rPr>
                <w:rFonts w:ascii="Arial" w:hAnsi="Arial" w:cs="Arial"/>
              </w:rPr>
            </w:pPr>
          </w:p>
          <w:p w14:paraId="26F29B71"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La visión sistémica de la contabilidad exige responsabilidad por parte de quienes ejecutan procesos diferentes al contable, lo cual requiere de un compromiso institucional liderado por quienes representan legalmente a las entidades.</w:t>
            </w:r>
          </w:p>
          <w:p w14:paraId="4441FA85" w14:textId="77777777" w:rsidR="00216DC0" w:rsidRPr="00D36B22" w:rsidRDefault="00216DC0" w:rsidP="00D4226B">
            <w:pPr>
              <w:pStyle w:val="Textoindependiente"/>
              <w:ind w:right="-50"/>
              <w:jc w:val="both"/>
              <w:rPr>
                <w:rFonts w:ascii="Arial" w:hAnsi="Arial" w:cs="Arial"/>
              </w:rPr>
            </w:pPr>
          </w:p>
          <w:p w14:paraId="32348A32"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3.2.9.1. Responsabilidad de quienes ejecutan procesos diferentes al contable.</w:t>
            </w:r>
          </w:p>
          <w:p w14:paraId="24A67DC0" w14:textId="77777777" w:rsidR="00216DC0" w:rsidRPr="00D36B22" w:rsidRDefault="00216DC0" w:rsidP="00D4226B">
            <w:pPr>
              <w:pStyle w:val="Textoindependiente"/>
              <w:ind w:right="-50"/>
              <w:jc w:val="both"/>
              <w:rPr>
                <w:rFonts w:ascii="Arial" w:hAnsi="Arial" w:cs="Arial"/>
              </w:rPr>
            </w:pPr>
          </w:p>
          <w:p w14:paraId="22330392"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El proceso contable de la entidad está interrelacionado con los demás procesos que se llevan a cabo, por lo cual, en virtud de la característica recursiva que tienen todos los sistemas y en aras de lograr la sinergia que permita alcanzar los objetivos específicos y organizacionales, todas las áreas de la entidad que se relacionen con el proceso contable como proveedores de información tienen el compromiso de suministrar los datos que se requieran, de manera oportuna y con las características necesarias, de modo que estos insumos sean procesados adecuadamente.</w:t>
            </w:r>
          </w:p>
          <w:p w14:paraId="1A1CC332" w14:textId="77777777" w:rsidR="00216DC0" w:rsidRPr="00D36B22" w:rsidRDefault="00216DC0" w:rsidP="00D4226B">
            <w:pPr>
              <w:pStyle w:val="Textoindependiente"/>
              <w:ind w:right="-50"/>
              <w:jc w:val="both"/>
              <w:rPr>
                <w:rFonts w:ascii="Arial" w:hAnsi="Arial" w:cs="Arial"/>
              </w:rPr>
            </w:pPr>
          </w:p>
          <w:p w14:paraId="5C790FC2" w14:textId="77777777" w:rsidR="00216DC0" w:rsidRPr="00D36B22" w:rsidRDefault="00216DC0" w:rsidP="00D4226B">
            <w:pPr>
              <w:pStyle w:val="Textoindependiente"/>
              <w:ind w:right="-50"/>
              <w:jc w:val="both"/>
              <w:rPr>
                <w:rFonts w:ascii="Arial" w:hAnsi="Arial" w:cs="Arial"/>
              </w:rPr>
            </w:pPr>
            <w:r w:rsidRPr="00D36B22">
              <w:rPr>
                <w:rFonts w:ascii="Arial" w:hAnsi="Arial" w:cs="Arial"/>
              </w:rPr>
              <w:t>Con lo cual a pesar del análisis, revisión, conciliación y revelaciones que adelanta el Grupo de Contabilidad, en especial las revelaciones pueden verse limitadas por falta de información y compromiso por parte de las áreas fuente responsables.</w:t>
            </w:r>
          </w:p>
        </w:tc>
      </w:tr>
      <w:tr w:rsidR="00216DC0" w:rsidRPr="00E232C9" w14:paraId="0EF3FB34" w14:textId="77777777" w:rsidTr="00D4226B">
        <w:trPr>
          <w:jc w:val="center"/>
        </w:trPr>
        <w:tc>
          <w:tcPr>
            <w:tcW w:w="988" w:type="dxa"/>
          </w:tcPr>
          <w:p w14:paraId="5EBAB540" w14:textId="77777777" w:rsidR="00216DC0" w:rsidRDefault="00216DC0" w:rsidP="00D4226B">
            <w:pPr>
              <w:tabs>
                <w:tab w:val="left" w:pos="1920"/>
              </w:tabs>
              <w:ind w:right="-108"/>
              <w:jc w:val="center"/>
              <w:rPr>
                <w:rFonts w:ascii="Arial" w:hAnsi="Arial" w:cs="Arial"/>
                <w:b/>
                <w:color w:val="FF0000"/>
              </w:rPr>
            </w:pPr>
            <w:r w:rsidRPr="008C2410">
              <w:rPr>
                <w:rFonts w:ascii="Arial" w:hAnsi="Arial" w:cs="Arial"/>
                <w:b/>
              </w:rPr>
              <w:lastRenderedPageBreak/>
              <w:t>8</w:t>
            </w:r>
          </w:p>
        </w:tc>
        <w:tc>
          <w:tcPr>
            <w:tcW w:w="9497" w:type="dxa"/>
          </w:tcPr>
          <w:p w14:paraId="3BC84A11" w14:textId="77777777" w:rsidR="00216DC0" w:rsidRPr="008C2410" w:rsidRDefault="00216DC0" w:rsidP="00D4226B">
            <w:pPr>
              <w:jc w:val="both"/>
              <w:rPr>
                <w:rFonts w:ascii="Arial" w:hAnsi="Arial" w:cs="Arial"/>
                <w:b/>
                <w:lang w:val="es-MX"/>
              </w:rPr>
            </w:pPr>
            <w:r w:rsidRPr="008C2410">
              <w:rPr>
                <w:rFonts w:ascii="Arial" w:hAnsi="Arial" w:cs="Arial"/>
                <w:b/>
                <w:lang w:val="es-MX"/>
              </w:rPr>
              <w:t xml:space="preserve">EL MINISTERIO DE IGUALDAD Y EQUIDAD informa lo siguiente: </w:t>
            </w:r>
          </w:p>
          <w:p w14:paraId="0DCE44A5" w14:textId="77777777" w:rsidR="00216DC0" w:rsidRPr="008C2410" w:rsidRDefault="00216DC0" w:rsidP="00D4226B">
            <w:pPr>
              <w:jc w:val="both"/>
              <w:rPr>
                <w:rFonts w:ascii="Arial" w:hAnsi="Arial" w:cs="Arial"/>
                <w:b/>
                <w:lang w:val="es-MX"/>
              </w:rPr>
            </w:pPr>
          </w:p>
          <w:p w14:paraId="3D2C38F2" w14:textId="77777777" w:rsidR="00216DC0" w:rsidRPr="008C2410" w:rsidRDefault="00216DC0" w:rsidP="00D4226B">
            <w:pPr>
              <w:pStyle w:val="Textoindependiente"/>
              <w:ind w:right="-50"/>
              <w:jc w:val="both"/>
              <w:rPr>
                <w:rFonts w:ascii="Arial" w:hAnsi="Arial" w:cs="Arial"/>
                <w:bCs/>
              </w:rPr>
            </w:pPr>
            <w:r w:rsidRPr="008C2410">
              <w:rPr>
                <w:rFonts w:ascii="Arial" w:hAnsi="Arial" w:cs="Arial"/>
                <w:b/>
                <w:bCs/>
              </w:rPr>
              <w:t xml:space="preserve">1.2.1. Limitaciones y deficiencias generales de tipo operativo o administrativo. </w:t>
            </w:r>
            <w:r w:rsidRPr="008C2410">
              <w:rPr>
                <w:rFonts w:ascii="Arial" w:hAnsi="Arial" w:cs="Arial"/>
                <w:bCs/>
              </w:rPr>
              <w:t xml:space="preserve">Durante el presente semestre el Ministerio ha continuado fortaleciendo de manera progresiva sus capacidades administrativas disponibles; se adelantaron los procedimientos de reconocimiento y registro de los hechos económicos con los soportes contables correspondientes, no obstante, se viene construyendo la consolidación y documentación de los procesos y procedimientos bajo el modelo de Gestión en el Sector Público. </w:t>
            </w:r>
          </w:p>
          <w:p w14:paraId="64916EEF" w14:textId="77777777" w:rsidR="00216DC0" w:rsidRPr="008C2410" w:rsidRDefault="00216DC0" w:rsidP="00D4226B">
            <w:pPr>
              <w:pStyle w:val="Textoindependiente"/>
              <w:ind w:right="-50"/>
              <w:jc w:val="both"/>
              <w:rPr>
                <w:rFonts w:ascii="Arial" w:hAnsi="Arial" w:cs="Arial"/>
                <w:bCs/>
              </w:rPr>
            </w:pPr>
          </w:p>
          <w:p w14:paraId="3A59AA8E" w14:textId="77777777" w:rsidR="00216DC0" w:rsidRDefault="00216DC0" w:rsidP="00D4226B">
            <w:pPr>
              <w:pStyle w:val="Textoindependiente"/>
              <w:ind w:right="-50"/>
              <w:jc w:val="both"/>
              <w:rPr>
                <w:rFonts w:ascii="Arial" w:hAnsi="Arial" w:cs="Arial"/>
                <w:b/>
                <w:bCs/>
              </w:rPr>
            </w:pPr>
            <w:r w:rsidRPr="008C2410">
              <w:rPr>
                <w:rFonts w:ascii="Arial" w:hAnsi="Arial" w:cs="Arial"/>
                <w:b/>
                <w:bCs/>
              </w:rPr>
              <w:t xml:space="preserve">1.2.2. Limitaciones y deficiencias que tienen efectos en el Sistema Contable. </w:t>
            </w:r>
          </w:p>
          <w:p w14:paraId="1CF0DA5C" w14:textId="77777777" w:rsidR="00216DC0" w:rsidRDefault="00216DC0" w:rsidP="00D4226B">
            <w:pPr>
              <w:pStyle w:val="Textoindependiente"/>
              <w:ind w:right="-50"/>
              <w:jc w:val="both"/>
              <w:rPr>
                <w:rFonts w:ascii="Arial" w:hAnsi="Arial" w:cs="Arial"/>
                <w:b/>
                <w:bCs/>
              </w:rPr>
            </w:pPr>
          </w:p>
          <w:p w14:paraId="5EF5CDEB" w14:textId="77777777" w:rsidR="00216DC0" w:rsidRPr="008C2410" w:rsidRDefault="00216DC0" w:rsidP="00D4226B">
            <w:pPr>
              <w:pStyle w:val="Textoindependiente"/>
              <w:ind w:right="-50"/>
              <w:jc w:val="both"/>
              <w:rPr>
                <w:rFonts w:ascii="Arial" w:hAnsi="Arial" w:cs="Arial"/>
                <w:bCs/>
              </w:rPr>
            </w:pPr>
            <w:r w:rsidRPr="008C2410">
              <w:rPr>
                <w:rFonts w:ascii="Arial" w:hAnsi="Arial" w:cs="Arial"/>
                <w:b/>
                <w:bCs/>
              </w:rPr>
              <w:t>P</w:t>
            </w:r>
            <w:r w:rsidRPr="008C2410">
              <w:rPr>
                <w:rFonts w:ascii="Arial" w:hAnsi="Arial" w:cs="Arial"/>
                <w:bCs/>
              </w:rPr>
              <w:t>ara el cierre no se contó con el manual de políticas contables formalizado.</w:t>
            </w:r>
          </w:p>
          <w:p w14:paraId="16E989B0" w14:textId="77777777" w:rsidR="00216DC0" w:rsidRPr="008C2410" w:rsidRDefault="00216DC0" w:rsidP="00D4226B">
            <w:pPr>
              <w:pStyle w:val="Textoindependiente"/>
              <w:ind w:right="-50"/>
              <w:jc w:val="both"/>
              <w:rPr>
                <w:rFonts w:ascii="Arial" w:hAnsi="Arial" w:cs="Arial"/>
                <w:bCs/>
              </w:rPr>
            </w:pPr>
          </w:p>
          <w:p w14:paraId="1853EC32" w14:textId="77777777" w:rsidR="00216DC0" w:rsidRPr="008C2410" w:rsidRDefault="00216DC0" w:rsidP="00D4226B">
            <w:pPr>
              <w:pStyle w:val="Textoindependiente"/>
              <w:ind w:right="-50"/>
              <w:jc w:val="both"/>
              <w:rPr>
                <w:rFonts w:ascii="Arial" w:hAnsi="Arial" w:cs="Arial"/>
                <w:bCs/>
              </w:rPr>
            </w:pPr>
            <w:r w:rsidRPr="008C2410">
              <w:rPr>
                <w:rFonts w:ascii="Arial" w:hAnsi="Arial" w:cs="Arial"/>
                <w:b/>
                <w:bCs/>
              </w:rPr>
              <w:t xml:space="preserve">1.2.3. Limitaciones Presupuestales. </w:t>
            </w:r>
            <w:r w:rsidRPr="008C2410">
              <w:rPr>
                <w:rFonts w:ascii="Arial" w:hAnsi="Arial" w:cs="Arial"/>
                <w:bCs/>
              </w:rPr>
              <w:t xml:space="preserve">Debido a la normatividad presupuestal vigente, existen limitaciones </w:t>
            </w:r>
            <w:r w:rsidRPr="008C2410">
              <w:rPr>
                <w:rFonts w:ascii="Arial" w:hAnsi="Arial" w:cs="Arial"/>
                <w:bCs/>
              </w:rPr>
              <w:lastRenderedPageBreak/>
              <w:t xml:space="preserve">que pueden llegar a afectar el proceso contable, puesto que no es posible realizar obligaciones si no se cuenta con la asignación de los recursos suficientes por medio del Programa Anual Mensualizado de Caja – PAC de la vigencia. </w:t>
            </w:r>
          </w:p>
          <w:p w14:paraId="66990A09" w14:textId="77777777" w:rsidR="00216DC0" w:rsidRPr="008C2410" w:rsidRDefault="00216DC0" w:rsidP="00D4226B">
            <w:pPr>
              <w:pStyle w:val="Textoindependiente"/>
              <w:ind w:right="-50"/>
              <w:jc w:val="both"/>
              <w:rPr>
                <w:rFonts w:ascii="Arial" w:hAnsi="Arial" w:cs="Arial"/>
                <w:bCs/>
              </w:rPr>
            </w:pPr>
          </w:p>
          <w:p w14:paraId="1822ED3D" w14:textId="77777777" w:rsidR="00216DC0" w:rsidRPr="008C2410" w:rsidRDefault="00216DC0" w:rsidP="00D4226B">
            <w:pPr>
              <w:pStyle w:val="Textoindependiente"/>
              <w:ind w:right="-50"/>
              <w:jc w:val="both"/>
              <w:rPr>
                <w:rFonts w:ascii="Arial" w:hAnsi="Arial" w:cs="Arial"/>
                <w:bCs/>
              </w:rPr>
            </w:pPr>
            <w:r w:rsidRPr="008C2410">
              <w:rPr>
                <w:rFonts w:ascii="Arial" w:hAnsi="Arial" w:cs="Arial"/>
                <w:bCs/>
              </w:rPr>
              <w:t>Dicho lo anterior, para cada cierre de vigencia, aquellos bienes y/o servicios recibidos a satisfacción que no alcanzaron a ser registrados en el SIIF Nación II, por insuficiencia de PAC, se deberá realizar de forma manual para cumplir con el principio de causación y devengo.</w:t>
            </w:r>
          </w:p>
        </w:tc>
      </w:tr>
      <w:tr w:rsidR="00216DC0" w:rsidRPr="00E232C9" w14:paraId="00517361" w14:textId="77777777" w:rsidTr="00D4226B">
        <w:trPr>
          <w:jc w:val="center"/>
        </w:trPr>
        <w:tc>
          <w:tcPr>
            <w:tcW w:w="988" w:type="dxa"/>
          </w:tcPr>
          <w:p w14:paraId="40F8BCA7" w14:textId="77777777" w:rsidR="00216DC0" w:rsidRPr="0024750F" w:rsidRDefault="00216DC0" w:rsidP="00D4226B">
            <w:pPr>
              <w:tabs>
                <w:tab w:val="left" w:pos="1920"/>
              </w:tabs>
              <w:ind w:right="-108"/>
              <w:jc w:val="center"/>
              <w:rPr>
                <w:rFonts w:ascii="Arial" w:hAnsi="Arial" w:cs="Arial"/>
                <w:b/>
                <w:color w:val="FF0000"/>
              </w:rPr>
            </w:pPr>
            <w:r w:rsidRPr="0024750F">
              <w:rPr>
                <w:rFonts w:ascii="Arial" w:hAnsi="Arial" w:cs="Arial"/>
                <w:b/>
                <w:color w:val="595959" w:themeColor="text1" w:themeTint="A6"/>
              </w:rPr>
              <w:lastRenderedPageBreak/>
              <w:t>9</w:t>
            </w:r>
          </w:p>
        </w:tc>
        <w:tc>
          <w:tcPr>
            <w:tcW w:w="9497" w:type="dxa"/>
          </w:tcPr>
          <w:p w14:paraId="216A2671" w14:textId="77777777" w:rsidR="00216DC0" w:rsidRPr="00FA7F1E" w:rsidRDefault="00216DC0" w:rsidP="00D4226B">
            <w:pPr>
              <w:jc w:val="both"/>
              <w:rPr>
                <w:rFonts w:ascii="Arial" w:hAnsi="Arial" w:cs="Arial"/>
                <w:lang w:val="es-MX"/>
              </w:rPr>
            </w:pPr>
            <w:r w:rsidRPr="00FA7F1E">
              <w:rPr>
                <w:rFonts w:ascii="Arial" w:hAnsi="Arial" w:cs="Arial"/>
                <w:b/>
                <w:lang w:val="es-MX"/>
              </w:rPr>
              <w:t xml:space="preserve">54.- </w:t>
            </w:r>
            <w:r w:rsidRPr="00FA7F1E">
              <w:rPr>
                <w:rFonts w:ascii="Arial" w:hAnsi="Arial" w:cs="Arial"/>
                <w:b/>
              </w:rPr>
              <w:t xml:space="preserve">FONDO NACIONAL AMBIENTAL - FONAM. </w:t>
            </w:r>
            <w:r w:rsidRPr="00FA7F1E">
              <w:rPr>
                <w:rFonts w:ascii="Arial" w:hAnsi="Arial" w:cs="Arial"/>
                <w:b/>
                <w:lang w:val="es-MX"/>
              </w:rPr>
              <w:t xml:space="preserve">DE LAS NOTAS DE CARÁCTER GENERAL: 1.2. Declaración de Cumplimiento del Marco Normativo y Limitaciones: </w:t>
            </w:r>
            <w:r w:rsidRPr="00FA7F1E">
              <w:rPr>
                <w:rFonts w:ascii="Arial" w:hAnsi="Arial" w:cs="Arial"/>
                <w:lang w:val="es-MX"/>
              </w:rPr>
              <w:t>(…) Las limitaciones que tiene el FONAM, con impacto en el proceso contable están determinadas por la segregación de los procesos administrativos en las subunidades de FONAM, ANLA y FONAM PARQUES.</w:t>
            </w:r>
          </w:p>
        </w:tc>
      </w:tr>
      <w:tr w:rsidR="00216DC0" w:rsidRPr="00E232C9" w14:paraId="01CD4369" w14:textId="77777777" w:rsidTr="00D4226B">
        <w:trPr>
          <w:jc w:val="center"/>
        </w:trPr>
        <w:tc>
          <w:tcPr>
            <w:tcW w:w="988" w:type="dxa"/>
          </w:tcPr>
          <w:p w14:paraId="4FC3F7CD" w14:textId="77777777" w:rsidR="00216DC0" w:rsidRDefault="00216DC0" w:rsidP="00D4226B">
            <w:pPr>
              <w:tabs>
                <w:tab w:val="left" w:pos="1920"/>
              </w:tabs>
              <w:ind w:right="-108"/>
              <w:jc w:val="center"/>
              <w:rPr>
                <w:rFonts w:ascii="Arial" w:hAnsi="Arial" w:cs="Arial"/>
                <w:b/>
                <w:color w:val="FF0000"/>
              </w:rPr>
            </w:pPr>
            <w:r w:rsidRPr="00DD633B">
              <w:rPr>
                <w:rFonts w:ascii="Arial" w:hAnsi="Arial" w:cs="Arial"/>
                <w:b/>
                <w:color w:val="0D0D0D" w:themeColor="text1" w:themeTint="F2"/>
              </w:rPr>
              <w:t>10</w:t>
            </w:r>
          </w:p>
        </w:tc>
        <w:tc>
          <w:tcPr>
            <w:tcW w:w="9497" w:type="dxa"/>
          </w:tcPr>
          <w:p w14:paraId="2C0649B8" w14:textId="77777777" w:rsidR="00216DC0" w:rsidRPr="00DD633B" w:rsidRDefault="00216DC0" w:rsidP="00D4226B">
            <w:pPr>
              <w:pStyle w:val="Textoindependiente"/>
              <w:ind w:right="49"/>
              <w:jc w:val="both"/>
              <w:rPr>
                <w:rFonts w:ascii="Arial" w:hAnsi="Arial" w:cs="Arial"/>
                <w:bCs/>
              </w:rPr>
            </w:pPr>
            <w:r w:rsidRPr="00973EF3">
              <w:rPr>
                <w:rFonts w:ascii="Arial" w:hAnsi="Arial" w:cs="Arial"/>
                <w:b/>
                <w:lang w:val="es-MX"/>
              </w:rPr>
              <w:t>UNIVERSIDAD DEL PACÍFICO.</w:t>
            </w:r>
            <w:r>
              <w:rPr>
                <w:rFonts w:ascii="Arial" w:hAnsi="Arial" w:cs="Arial"/>
                <w:b/>
                <w:lang w:val="es-MX"/>
              </w:rPr>
              <w:t xml:space="preserve"> </w:t>
            </w:r>
            <w:r w:rsidRPr="00DD633B">
              <w:rPr>
                <w:rFonts w:ascii="Arial" w:hAnsi="Arial" w:cs="Arial"/>
                <w:b/>
                <w:bCs/>
                <w:lang w:val="es-CO"/>
              </w:rPr>
              <w:t xml:space="preserve">2. Declaración de cumplimiento del marco normativo y limitaciones. </w:t>
            </w:r>
            <w:r w:rsidRPr="00DD633B">
              <w:rPr>
                <w:rFonts w:ascii="Arial" w:hAnsi="Arial" w:cs="Arial"/>
                <w:bCs/>
              </w:rPr>
              <w:t xml:space="preserve">A continuación, se expresan las limitaciones operativas y administrativas que impactan el proceso contable: </w:t>
            </w:r>
          </w:p>
          <w:p w14:paraId="0846DC55" w14:textId="77777777" w:rsidR="00216DC0" w:rsidRPr="00DD633B" w:rsidRDefault="00216DC0" w:rsidP="00D4226B">
            <w:pPr>
              <w:pStyle w:val="Textoindependiente"/>
              <w:ind w:right="49"/>
              <w:jc w:val="both"/>
              <w:rPr>
                <w:rFonts w:ascii="Arial" w:hAnsi="Arial" w:cs="Arial"/>
                <w:bCs/>
              </w:rPr>
            </w:pPr>
          </w:p>
          <w:p w14:paraId="217F5D1B" w14:textId="77777777" w:rsidR="00216DC0" w:rsidRPr="00DD633B" w:rsidRDefault="00216DC0" w:rsidP="00D4226B">
            <w:pPr>
              <w:pStyle w:val="Textoindependiente"/>
              <w:ind w:right="49"/>
              <w:jc w:val="both"/>
              <w:rPr>
                <w:rFonts w:ascii="Arial" w:hAnsi="Arial" w:cs="Arial"/>
                <w:bCs/>
              </w:rPr>
            </w:pPr>
            <w:r w:rsidRPr="00DD633B">
              <w:rPr>
                <w:rFonts w:ascii="Arial" w:hAnsi="Arial" w:cs="Arial"/>
                <w:bCs/>
              </w:rPr>
              <w:t xml:space="preserve">El desarrollo normal del proceso contable se ve afectado con la falta de oportunidad en la entrega o registro de la información por parte de algunas Unidades Administrativas. Esto, sumado a la falta de continuidad del personal contratado y a la variación de estos, ocasiona inconvenientes y retrasos en la información para la preparación de los estados financieros oportunamente. </w:t>
            </w:r>
          </w:p>
          <w:p w14:paraId="2E239F70" w14:textId="77777777" w:rsidR="00216DC0" w:rsidRPr="00DD633B" w:rsidRDefault="00216DC0" w:rsidP="00D4226B">
            <w:pPr>
              <w:pStyle w:val="Textoindependiente"/>
              <w:ind w:right="49"/>
              <w:jc w:val="both"/>
              <w:rPr>
                <w:rFonts w:ascii="Arial" w:hAnsi="Arial" w:cs="Arial"/>
                <w:bCs/>
              </w:rPr>
            </w:pPr>
          </w:p>
          <w:p w14:paraId="27A8623B" w14:textId="77777777" w:rsidR="00216DC0" w:rsidRPr="00DD633B" w:rsidRDefault="00216DC0" w:rsidP="00D4226B">
            <w:pPr>
              <w:pStyle w:val="Textoindependiente"/>
              <w:ind w:right="49"/>
              <w:jc w:val="both"/>
              <w:rPr>
                <w:rFonts w:ascii="Arial" w:hAnsi="Arial" w:cs="Arial"/>
                <w:bCs/>
              </w:rPr>
            </w:pPr>
            <w:r w:rsidRPr="00DD633B">
              <w:rPr>
                <w:rFonts w:ascii="Arial" w:hAnsi="Arial" w:cs="Arial"/>
                <w:bCs/>
              </w:rPr>
              <w:t xml:space="preserve">Adicionalmente, algunas mediciones y actualizaciones de los elementos de los Estados Financieros, incorporadas por el Nuevo Marco Normativo para Entidades de Gobierno, no se encuentran preestablecidas o automatizadas en el GESTASOFT, lo cual genera procesos manuales que aumentan la carga operativa y pueden ocasionar retrasos en la presentación de los Estados Financieros. </w:t>
            </w:r>
          </w:p>
        </w:tc>
      </w:tr>
      <w:tr w:rsidR="00216DC0" w:rsidRPr="00E232C9" w14:paraId="4B31E936" w14:textId="77777777" w:rsidTr="00D4226B">
        <w:trPr>
          <w:jc w:val="center"/>
        </w:trPr>
        <w:tc>
          <w:tcPr>
            <w:tcW w:w="988" w:type="dxa"/>
          </w:tcPr>
          <w:p w14:paraId="3A9FBBAE" w14:textId="77777777" w:rsidR="00216DC0" w:rsidRDefault="00216DC0" w:rsidP="00D4226B">
            <w:pPr>
              <w:tabs>
                <w:tab w:val="left" w:pos="1920"/>
              </w:tabs>
              <w:ind w:right="-108"/>
              <w:jc w:val="center"/>
              <w:rPr>
                <w:rFonts w:ascii="Arial" w:hAnsi="Arial" w:cs="Arial"/>
                <w:b/>
                <w:color w:val="FF0000"/>
              </w:rPr>
            </w:pPr>
            <w:r w:rsidRPr="007F2766">
              <w:rPr>
                <w:rFonts w:ascii="Arial" w:hAnsi="Arial" w:cs="Arial"/>
                <w:b/>
              </w:rPr>
              <w:t>11</w:t>
            </w:r>
          </w:p>
        </w:tc>
        <w:tc>
          <w:tcPr>
            <w:tcW w:w="9497" w:type="dxa"/>
          </w:tcPr>
          <w:p w14:paraId="1CEFE652" w14:textId="77777777" w:rsidR="00216DC0" w:rsidRPr="00722DAB" w:rsidRDefault="00216DC0" w:rsidP="00D4226B">
            <w:pPr>
              <w:pStyle w:val="Textoindependiente"/>
              <w:ind w:right="33"/>
              <w:jc w:val="both"/>
              <w:rPr>
                <w:rFonts w:ascii="Arial" w:hAnsi="Arial" w:cs="Arial"/>
                <w:bCs/>
              </w:rPr>
            </w:pPr>
            <w:r w:rsidRPr="00722DAB">
              <w:rPr>
                <w:rFonts w:ascii="Arial" w:hAnsi="Arial" w:cs="Arial"/>
                <w:b/>
                <w:lang w:val="es-MX"/>
              </w:rPr>
              <w:t>UNIVERSIDAD SURCOLOMBIANA – USCO.</w:t>
            </w:r>
            <w:r>
              <w:rPr>
                <w:rFonts w:ascii="Arial" w:hAnsi="Arial" w:cs="Arial"/>
                <w:b/>
                <w:lang w:val="es-MX"/>
              </w:rPr>
              <w:t xml:space="preserve"> </w:t>
            </w:r>
            <w:r w:rsidRPr="00722DAB">
              <w:rPr>
                <w:rFonts w:ascii="Arial" w:hAnsi="Arial" w:cs="Arial"/>
                <w:bCs/>
              </w:rPr>
              <w:t>La Administración, con el fin de optimizar y dinamizar los procesos, contrató con el proveedor del Sistema Financiero LINIX, la actualización del aplicativo, e igualmente se implementó un nuevo módulo de ingresos y cartera por lo que fue necesario efectuar ajustes y reclasificaciones, siempre enmarcados dentro de las prácticas y políticas contables, acorde con las normas técnicas y los procedimientos del Régimen de Contabilidad Pública.</w:t>
            </w:r>
          </w:p>
          <w:p w14:paraId="3A6395AE" w14:textId="77777777" w:rsidR="00216DC0" w:rsidRPr="00722DAB" w:rsidRDefault="00216DC0" w:rsidP="00D4226B">
            <w:pPr>
              <w:pStyle w:val="Textoindependiente"/>
              <w:ind w:right="33"/>
              <w:jc w:val="both"/>
              <w:rPr>
                <w:rFonts w:ascii="Arial" w:hAnsi="Arial" w:cs="Arial"/>
                <w:bCs/>
              </w:rPr>
            </w:pPr>
          </w:p>
          <w:p w14:paraId="19720F67" w14:textId="77777777" w:rsidR="00216DC0" w:rsidRPr="00722DAB" w:rsidRDefault="00216DC0" w:rsidP="00D4226B">
            <w:pPr>
              <w:pStyle w:val="Textoindependiente"/>
              <w:ind w:right="33"/>
              <w:jc w:val="both"/>
              <w:rPr>
                <w:rFonts w:ascii="Arial" w:hAnsi="Arial" w:cs="Arial"/>
                <w:bCs/>
              </w:rPr>
            </w:pPr>
            <w:r w:rsidRPr="00722DAB">
              <w:rPr>
                <w:rFonts w:ascii="Arial" w:hAnsi="Arial" w:cs="Arial"/>
                <w:bCs/>
              </w:rPr>
              <w:t xml:space="preserve">Dada la anterior situación, una vez culminada la vigencia fiscal y como resultado de los ajustes, parametrización y reclasificaciones realizadas se pudo determinar que los nuevos desarrollos al sistema administrativo y financiero que maneja la Institución permitieron obtener un mayor control de la información contable y financiera más exactamente en las cuentas relacionadas con los ingresos y la cartera, presentando con esto una mayor agilidad en los procesos de registro de los recaudos. </w:t>
            </w:r>
            <w:r w:rsidRPr="00722DAB">
              <w:rPr>
                <w:rFonts w:ascii="Arial" w:hAnsi="Arial" w:cs="Arial"/>
                <w:b/>
                <w:u w:val="single"/>
              </w:rPr>
              <w:t>Sin embargo, el hecho de que el módulo de facturación no esté integrado al Sistema Financiero LINIX, hace que los procesos de interface con el Sistema Académico SILSA, generen algunas inconsistencias que obligan a efectuar ajustes contables, indicados en el párrafo anterior</w:t>
            </w:r>
            <w:r w:rsidRPr="00722DAB">
              <w:rPr>
                <w:rFonts w:ascii="Arial" w:hAnsi="Arial" w:cs="Arial"/>
                <w:bCs/>
              </w:rPr>
              <w:t>.</w:t>
            </w:r>
          </w:p>
          <w:p w14:paraId="47C59811" w14:textId="77777777" w:rsidR="00216DC0" w:rsidRPr="00722DAB" w:rsidRDefault="00216DC0" w:rsidP="00D4226B">
            <w:pPr>
              <w:pStyle w:val="Textoindependiente"/>
              <w:ind w:right="33"/>
              <w:jc w:val="both"/>
              <w:rPr>
                <w:rFonts w:ascii="Arial" w:hAnsi="Arial" w:cs="Arial"/>
                <w:b/>
                <w:bCs/>
              </w:rPr>
            </w:pPr>
          </w:p>
          <w:p w14:paraId="0267A01E" w14:textId="77777777" w:rsidR="00216DC0" w:rsidRPr="00722DAB" w:rsidRDefault="00216DC0" w:rsidP="00D4226B">
            <w:pPr>
              <w:pStyle w:val="Textoindependiente"/>
              <w:ind w:right="33"/>
              <w:jc w:val="both"/>
              <w:rPr>
                <w:rFonts w:ascii="Arial" w:hAnsi="Arial" w:cs="Arial"/>
                <w:bCs/>
              </w:rPr>
            </w:pPr>
            <w:r w:rsidRPr="00722DAB">
              <w:rPr>
                <w:rFonts w:ascii="Arial" w:hAnsi="Arial" w:cs="Arial"/>
                <w:bCs/>
              </w:rPr>
              <w:t>Mediante resolución No. 252 de 2020 (19 de octubre), por medio de la cual se crea el Comité de Cartera de la Universidad Surcolombiana y se deroga la Resolución No. 341 del 2 de octubre de 2019.</w:t>
            </w:r>
          </w:p>
          <w:p w14:paraId="5C764D81" w14:textId="77777777" w:rsidR="00216DC0" w:rsidRPr="00722DAB" w:rsidRDefault="00216DC0" w:rsidP="00D4226B">
            <w:pPr>
              <w:pStyle w:val="Textoindependiente"/>
              <w:ind w:right="33"/>
              <w:jc w:val="both"/>
              <w:rPr>
                <w:rFonts w:ascii="Arial" w:hAnsi="Arial" w:cs="Arial"/>
                <w:bCs/>
              </w:rPr>
            </w:pPr>
          </w:p>
          <w:p w14:paraId="418826F5" w14:textId="77777777" w:rsidR="00216DC0" w:rsidRPr="00722DAB" w:rsidRDefault="00216DC0" w:rsidP="00D4226B">
            <w:pPr>
              <w:pStyle w:val="Textoindependiente"/>
              <w:ind w:right="33"/>
              <w:jc w:val="both"/>
              <w:rPr>
                <w:rFonts w:ascii="Arial" w:hAnsi="Arial" w:cs="Arial"/>
                <w:bCs/>
              </w:rPr>
            </w:pPr>
            <w:r w:rsidRPr="00722DAB">
              <w:rPr>
                <w:rFonts w:ascii="Arial" w:hAnsi="Arial" w:cs="Arial"/>
                <w:bCs/>
              </w:rPr>
              <w:t>La Institución se encuentra realizando un replanteamiento a los procedimientos establecidos para la interface de los sistemas de información financiero LINIX y académico SILSA, a través del cual se generan las cuentas por cobrar de los servicios académicos e interinstitucionales, con el fin de establecer la dinámica que actualmente utiliza dicho proceso e identificar las problemáticas presentadas en el proceso actual y sus posibles soluciones.</w:t>
            </w:r>
          </w:p>
          <w:p w14:paraId="1F4B4E5C" w14:textId="77777777" w:rsidR="00216DC0" w:rsidRPr="00175D8E" w:rsidRDefault="00216DC0" w:rsidP="00D4226B">
            <w:pPr>
              <w:pStyle w:val="Textoindependiente"/>
              <w:ind w:right="33"/>
              <w:jc w:val="both"/>
              <w:rPr>
                <w:bCs/>
              </w:rPr>
            </w:pPr>
          </w:p>
          <w:p w14:paraId="2709F298" w14:textId="77777777" w:rsidR="00216DC0" w:rsidRPr="00175D8E" w:rsidRDefault="00216DC0" w:rsidP="00D4226B">
            <w:pPr>
              <w:pStyle w:val="Textoindependiente"/>
              <w:ind w:right="33"/>
              <w:jc w:val="both"/>
              <w:rPr>
                <w:bCs/>
              </w:rPr>
            </w:pPr>
            <w:r w:rsidRPr="00175D8E">
              <w:rPr>
                <w:bCs/>
              </w:rPr>
              <w:t xml:space="preserve">El sistema Financiero y Administrativo LINIX, mediante el cual se registran las operaciones contables, relacionadas con los ingresos, costos, gastos y cuentas de orden, así como activo, pasivo y patrimonio, </w:t>
            </w:r>
            <w:r w:rsidRPr="003B3A8F">
              <w:rPr>
                <w:b/>
                <w:u w:val="single"/>
              </w:rPr>
              <w:t>presenta dificultades</w:t>
            </w:r>
            <w:r w:rsidRPr="00175D8E">
              <w:rPr>
                <w:bCs/>
              </w:rPr>
              <w:t>, que se ven reflejadas en las cuentas contables, que se afectan a través de la interface entre el sistema financiero LINIX y el Sistema académico SILSA, especialmente en los ingresos, deudores, ingresos recibidos por anticipado.</w:t>
            </w:r>
          </w:p>
          <w:p w14:paraId="43AC7C86" w14:textId="77777777" w:rsidR="00216DC0" w:rsidRPr="00722DAB" w:rsidRDefault="00216DC0" w:rsidP="00D4226B">
            <w:pPr>
              <w:pStyle w:val="Textoindependiente"/>
              <w:ind w:right="33"/>
              <w:jc w:val="both"/>
              <w:rPr>
                <w:bCs/>
              </w:rPr>
            </w:pPr>
            <w:r w:rsidRPr="00175D8E">
              <w:rPr>
                <w:bCs/>
              </w:rPr>
              <w:t xml:space="preserve">Lo anterior conlleva a que mensualmente se realicen conciliaciones entre las dependencias de la Institución, basadas en los recaudos efectivos, que se perciben a través de los bancos en donde se consignan los recursos, los cuales reflejan la realidad absoluta, con el fin de </w:t>
            </w:r>
            <w:r w:rsidRPr="00175D8E">
              <w:rPr>
                <w:bCs/>
              </w:rPr>
              <w:lastRenderedPageBreak/>
              <w:t>realizar los ajustes en el sistema financiero LINIX y garantizar que la información que se refleja en los Estados Financieros este acorde a la realidad.</w:t>
            </w:r>
          </w:p>
        </w:tc>
      </w:tr>
      <w:tr w:rsidR="00216DC0" w:rsidRPr="00E232C9" w14:paraId="27DB7AAA" w14:textId="77777777" w:rsidTr="00D4226B">
        <w:trPr>
          <w:jc w:val="center"/>
        </w:trPr>
        <w:tc>
          <w:tcPr>
            <w:tcW w:w="988" w:type="dxa"/>
          </w:tcPr>
          <w:p w14:paraId="54CC8FDD" w14:textId="77777777" w:rsidR="00216DC0" w:rsidRPr="003E2681" w:rsidRDefault="00216DC0" w:rsidP="00D4226B">
            <w:pPr>
              <w:tabs>
                <w:tab w:val="left" w:pos="1920"/>
              </w:tabs>
              <w:ind w:right="-108"/>
              <w:jc w:val="center"/>
              <w:rPr>
                <w:rFonts w:ascii="Arial" w:hAnsi="Arial" w:cs="Arial"/>
                <w:b/>
                <w:color w:val="FF0000"/>
              </w:rPr>
            </w:pPr>
            <w:r w:rsidRPr="003E2681">
              <w:rPr>
                <w:rFonts w:ascii="Arial" w:hAnsi="Arial" w:cs="Arial"/>
                <w:b/>
                <w:color w:val="000000" w:themeColor="text1"/>
              </w:rPr>
              <w:lastRenderedPageBreak/>
              <w:t>12</w:t>
            </w:r>
          </w:p>
        </w:tc>
        <w:tc>
          <w:tcPr>
            <w:tcW w:w="9497" w:type="dxa"/>
          </w:tcPr>
          <w:p w14:paraId="46B7E38E" w14:textId="77777777" w:rsidR="00216DC0" w:rsidRPr="003E2681" w:rsidRDefault="00216DC0" w:rsidP="00D4226B">
            <w:pPr>
              <w:ind w:right="33"/>
              <w:jc w:val="both"/>
              <w:rPr>
                <w:rFonts w:ascii="Arial" w:hAnsi="Arial" w:cs="Arial"/>
                <w:b/>
                <w:lang w:val="es-MX"/>
              </w:rPr>
            </w:pPr>
            <w:r w:rsidRPr="003E2681">
              <w:rPr>
                <w:rFonts w:ascii="Arial" w:hAnsi="Arial" w:cs="Arial"/>
                <w:b/>
                <w:lang w:val="es-MX"/>
              </w:rPr>
              <w:t>CAJA DE SUELDOS DE RETIRO DE LA POLICIA NACIONAL – CASUR.</w:t>
            </w:r>
          </w:p>
          <w:p w14:paraId="17A1A95D" w14:textId="77777777" w:rsidR="00216DC0" w:rsidRPr="003E2681" w:rsidRDefault="00216DC0" w:rsidP="00D4226B">
            <w:pPr>
              <w:ind w:right="33"/>
              <w:jc w:val="both"/>
              <w:rPr>
                <w:rFonts w:ascii="Arial" w:hAnsi="Arial" w:cs="Arial"/>
                <w:b/>
                <w:lang w:val="es-MX"/>
              </w:rPr>
            </w:pPr>
          </w:p>
          <w:p w14:paraId="2FEB020B" w14:textId="77777777" w:rsidR="00216DC0" w:rsidRPr="003E2681" w:rsidRDefault="00216DC0" w:rsidP="00216DC0">
            <w:pPr>
              <w:pStyle w:val="Textoindependiente"/>
              <w:numPr>
                <w:ilvl w:val="0"/>
                <w:numId w:val="17"/>
              </w:numPr>
              <w:ind w:right="33"/>
              <w:jc w:val="both"/>
              <w:rPr>
                <w:rFonts w:ascii="Arial" w:hAnsi="Arial" w:cs="Arial"/>
                <w:b/>
                <w:bCs/>
              </w:rPr>
            </w:pPr>
            <w:r w:rsidRPr="003E2681">
              <w:rPr>
                <w:rFonts w:ascii="Arial" w:hAnsi="Arial" w:cs="Arial"/>
                <w:b/>
                <w:bCs/>
              </w:rPr>
              <w:t xml:space="preserve">Sistema del aplicativo auxiliar de apoyo. </w:t>
            </w:r>
          </w:p>
          <w:p w14:paraId="65BA2EBE" w14:textId="77777777" w:rsidR="00216DC0" w:rsidRPr="003E2681" w:rsidRDefault="00216DC0" w:rsidP="00D4226B">
            <w:pPr>
              <w:pStyle w:val="Textoindependiente"/>
              <w:ind w:right="33"/>
              <w:jc w:val="both"/>
              <w:rPr>
                <w:rFonts w:ascii="Arial" w:hAnsi="Arial" w:cs="Arial"/>
                <w:bCs/>
              </w:rPr>
            </w:pPr>
          </w:p>
          <w:p w14:paraId="32A02B8E" w14:textId="77777777" w:rsidR="00216DC0" w:rsidRPr="003E2681" w:rsidRDefault="00216DC0" w:rsidP="00D4226B">
            <w:pPr>
              <w:pStyle w:val="Textoindependiente"/>
              <w:ind w:right="33"/>
              <w:jc w:val="both"/>
              <w:rPr>
                <w:rFonts w:ascii="Arial" w:hAnsi="Arial" w:cs="Arial"/>
                <w:bCs/>
              </w:rPr>
            </w:pPr>
            <w:r w:rsidRPr="003E2681">
              <w:rPr>
                <w:rFonts w:ascii="Arial" w:hAnsi="Arial" w:cs="Arial"/>
                <w:bCs/>
              </w:rPr>
              <w:t xml:space="preserve">A partir del 2016 la Gestión Contable de la entidad se eliminó del aplicativo local de apoyo y se hizo obligatoria la utilización de la gestión contable por el aplicativo SIIF Nación. Así mismo se dispone que se continúe con el aplicativo local de apoyo en los módulos de Activos fijos y Mantenimiento, Inventarios, Compras, Cartera/cuentas por cobrar, Inmuebles arriendos, Nómina y hojas de vida, nómina de asignaciones, crédito, toda vez que no están previstos en el aplicativo SIIF Nación. A partir de esta información para que las áreas responsables afecten de forma directa la contabilidad en el SIIF. </w:t>
            </w:r>
          </w:p>
          <w:p w14:paraId="45B3BC14" w14:textId="77777777" w:rsidR="00216DC0" w:rsidRPr="003E2681" w:rsidRDefault="00216DC0" w:rsidP="00D4226B">
            <w:pPr>
              <w:pStyle w:val="Textoindependiente"/>
              <w:ind w:right="33"/>
              <w:jc w:val="both"/>
              <w:rPr>
                <w:rFonts w:ascii="Arial" w:hAnsi="Arial" w:cs="Arial"/>
                <w:bCs/>
              </w:rPr>
            </w:pPr>
          </w:p>
          <w:p w14:paraId="1B432EC6" w14:textId="77777777" w:rsidR="00216DC0" w:rsidRPr="003E2681" w:rsidRDefault="00216DC0" w:rsidP="00D4226B">
            <w:pPr>
              <w:pStyle w:val="Textoindependiente"/>
              <w:ind w:right="33"/>
              <w:jc w:val="both"/>
              <w:rPr>
                <w:rFonts w:ascii="Arial" w:hAnsi="Arial" w:cs="Arial"/>
                <w:bCs/>
              </w:rPr>
            </w:pPr>
            <w:r w:rsidRPr="003E2681">
              <w:rPr>
                <w:rFonts w:ascii="Arial" w:hAnsi="Arial" w:cs="Arial"/>
                <w:bCs/>
              </w:rPr>
              <w:t xml:space="preserve">Con el proceso de adquisición del software ERP- Enterprice Resourse Planning - Planificación de Recursos Empresariales segunda fase, adquiriendo los módulos de nómina de personal, nómina de asignaciones de retiro, reconocimiento de asignaciones, sustituciones, proceso litigioso- provisión y liquidación de demandas, conforme lo previsto en el detalle del proyecto de inversión para este efecto. </w:t>
            </w:r>
          </w:p>
          <w:p w14:paraId="7B661DCB" w14:textId="77777777" w:rsidR="00216DC0" w:rsidRPr="003E2681" w:rsidRDefault="00216DC0" w:rsidP="00D4226B">
            <w:pPr>
              <w:pStyle w:val="Textoindependiente"/>
              <w:ind w:right="33"/>
              <w:jc w:val="both"/>
              <w:rPr>
                <w:rFonts w:ascii="Arial" w:hAnsi="Arial" w:cs="Arial"/>
                <w:bCs/>
              </w:rPr>
            </w:pPr>
          </w:p>
          <w:p w14:paraId="1791F9F9" w14:textId="77777777" w:rsidR="00216DC0" w:rsidRPr="003E2681" w:rsidRDefault="00216DC0" w:rsidP="00D4226B">
            <w:pPr>
              <w:pStyle w:val="Textoindependiente"/>
              <w:ind w:right="33"/>
              <w:jc w:val="both"/>
              <w:rPr>
                <w:rFonts w:ascii="Arial" w:hAnsi="Arial" w:cs="Arial"/>
                <w:bCs/>
              </w:rPr>
            </w:pPr>
            <w:r w:rsidRPr="003E2681">
              <w:rPr>
                <w:rFonts w:ascii="Arial" w:hAnsi="Arial" w:cs="Arial"/>
                <w:bCs/>
              </w:rPr>
              <w:t>Estos módulos se encuentran en etapa de adaptación, revisión y de migración de saldos lo cual implica efectuar procesos paralelos con los aplicativos anteriores SIMPRES Y SINFAD, hasta lograr la estabilidad del aplicativo, y enlazarlos con los módulos de la primera fase, hasta obtener la integridad de todos los procesos en un solo aplicativo de apoyo. Esta adaptación de módulo de liquidación y reconocimiento de asignaciones de retiro no ha permito que se implemente el pago de la nómina a beneficiario final, es decir que el desembolso lo realice directamente el Ministerio de Hacienda.</w:t>
            </w:r>
          </w:p>
          <w:p w14:paraId="562F776F" w14:textId="77777777" w:rsidR="00216DC0" w:rsidRPr="003E2681" w:rsidRDefault="00216DC0" w:rsidP="00D4226B">
            <w:pPr>
              <w:pStyle w:val="Textoindependiente"/>
              <w:ind w:right="33"/>
              <w:jc w:val="both"/>
              <w:rPr>
                <w:rFonts w:ascii="Arial" w:hAnsi="Arial" w:cs="Arial"/>
                <w:bCs/>
              </w:rPr>
            </w:pPr>
          </w:p>
          <w:p w14:paraId="7605BD14" w14:textId="77777777" w:rsidR="00216DC0" w:rsidRPr="003E2681" w:rsidRDefault="00216DC0" w:rsidP="00216DC0">
            <w:pPr>
              <w:pStyle w:val="Textoindependiente"/>
              <w:numPr>
                <w:ilvl w:val="0"/>
                <w:numId w:val="17"/>
              </w:numPr>
              <w:ind w:right="33"/>
              <w:jc w:val="both"/>
              <w:rPr>
                <w:rFonts w:ascii="Arial" w:hAnsi="Arial" w:cs="Arial"/>
                <w:b/>
                <w:bCs/>
              </w:rPr>
            </w:pPr>
            <w:r w:rsidRPr="003E2681">
              <w:rPr>
                <w:rFonts w:ascii="Arial" w:hAnsi="Arial" w:cs="Arial"/>
                <w:b/>
                <w:bCs/>
              </w:rPr>
              <w:t xml:space="preserve">Procedimientos. </w:t>
            </w:r>
          </w:p>
          <w:p w14:paraId="5533ADB6" w14:textId="77777777" w:rsidR="00216DC0" w:rsidRPr="003E2681" w:rsidRDefault="00216DC0" w:rsidP="00D4226B">
            <w:pPr>
              <w:pStyle w:val="Textoindependiente"/>
              <w:ind w:right="33"/>
              <w:jc w:val="both"/>
              <w:rPr>
                <w:rFonts w:ascii="Arial" w:hAnsi="Arial" w:cs="Arial"/>
                <w:bCs/>
              </w:rPr>
            </w:pPr>
          </w:p>
          <w:p w14:paraId="3A9C0C4A" w14:textId="77777777" w:rsidR="00216DC0" w:rsidRPr="003E2681" w:rsidRDefault="00216DC0" w:rsidP="00D4226B">
            <w:pPr>
              <w:pStyle w:val="Textoindependiente"/>
              <w:ind w:right="33"/>
              <w:jc w:val="both"/>
              <w:rPr>
                <w:rFonts w:ascii="Arial" w:hAnsi="Arial" w:cs="Arial"/>
                <w:bCs/>
              </w:rPr>
            </w:pPr>
            <w:r w:rsidRPr="003E2681">
              <w:rPr>
                <w:rFonts w:ascii="Arial" w:hAnsi="Arial" w:cs="Arial"/>
                <w:bCs/>
              </w:rPr>
              <w:t xml:space="preserve">Debido a circunstancias de carácter técnico, no se ha producido el reconocimiento y liquidación del retroactivo salarial a los afiliados fallecidos que se dieron de baja en el aplicativo de nómina y asignaciones antes del reconocimiento por Ley del aumento salarial. Esta eventualidad será subsanada con la implementación del nuevo sistema de apoyo (Módulo de nóminas). Así mismo no se han reconocido las cuentas por cobrar de los mayores valores pagados en asignaciones de afiliados fallecidos por falta de los registros de defunción, que es el documento idóneo para el proceso de liquidación de estas cuentas por cobrar. GG </w:t>
            </w:r>
          </w:p>
          <w:p w14:paraId="0F903F50" w14:textId="77777777" w:rsidR="00216DC0" w:rsidRPr="003E2681" w:rsidRDefault="00216DC0" w:rsidP="00D4226B">
            <w:pPr>
              <w:pStyle w:val="Textoindependiente"/>
              <w:ind w:right="33"/>
              <w:jc w:val="both"/>
              <w:rPr>
                <w:rFonts w:ascii="Arial" w:hAnsi="Arial" w:cs="Arial"/>
                <w:bCs/>
              </w:rPr>
            </w:pPr>
          </w:p>
          <w:p w14:paraId="2BD99E08" w14:textId="77777777" w:rsidR="00216DC0" w:rsidRPr="003E2681" w:rsidRDefault="00216DC0" w:rsidP="00AE3935">
            <w:pPr>
              <w:pStyle w:val="Textoindependiente"/>
              <w:numPr>
                <w:ilvl w:val="0"/>
                <w:numId w:val="63"/>
              </w:numPr>
              <w:ind w:right="33"/>
              <w:jc w:val="both"/>
              <w:rPr>
                <w:rFonts w:ascii="Arial" w:hAnsi="Arial" w:cs="Arial"/>
                <w:b/>
                <w:bCs/>
              </w:rPr>
            </w:pPr>
            <w:r w:rsidRPr="003E2681">
              <w:rPr>
                <w:rFonts w:ascii="Arial" w:hAnsi="Arial" w:cs="Arial"/>
                <w:b/>
                <w:bCs/>
              </w:rPr>
              <w:t xml:space="preserve">Cambio de normatividad. </w:t>
            </w:r>
          </w:p>
          <w:p w14:paraId="569054B3" w14:textId="77777777" w:rsidR="00216DC0" w:rsidRPr="003E2681" w:rsidRDefault="00216DC0" w:rsidP="00D4226B">
            <w:pPr>
              <w:pStyle w:val="Textoindependiente"/>
              <w:ind w:right="33"/>
              <w:jc w:val="both"/>
              <w:rPr>
                <w:rFonts w:ascii="Arial" w:hAnsi="Arial" w:cs="Arial"/>
                <w:bCs/>
              </w:rPr>
            </w:pPr>
          </w:p>
          <w:p w14:paraId="7A0E2EEA" w14:textId="77777777" w:rsidR="00216DC0" w:rsidRPr="003E2681" w:rsidRDefault="00216DC0" w:rsidP="00D4226B">
            <w:pPr>
              <w:pStyle w:val="Textoindependiente"/>
              <w:ind w:right="33"/>
              <w:jc w:val="both"/>
              <w:rPr>
                <w:rFonts w:ascii="Arial" w:hAnsi="Arial" w:cs="Arial"/>
                <w:bCs/>
              </w:rPr>
            </w:pPr>
            <w:r w:rsidRPr="003E2681">
              <w:rPr>
                <w:rFonts w:ascii="Arial" w:hAnsi="Arial" w:cs="Arial"/>
                <w:bCs/>
              </w:rPr>
              <w:t>En cumplimiento a la resolución 320 y 425 del 2019 expedida por la Contaduría General de la Nación, la Entidad efectuó el reconocimiento contable del resultado del cálculo actuarial de las asignaciones de retiro, generando un impacto negativo en la cuenta del patrimonio en los Estados Financieros de la Entidad, afectando la subcuenta 3109 – Resultados de los ejercicios anteriores por valor de $54.441.581,72</w:t>
            </w:r>
          </w:p>
          <w:p w14:paraId="0D2AC9B0" w14:textId="77777777" w:rsidR="00216DC0" w:rsidRPr="003E2681" w:rsidRDefault="00216DC0" w:rsidP="00D4226B">
            <w:pPr>
              <w:pStyle w:val="Textoindependiente"/>
              <w:ind w:right="33"/>
              <w:jc w:val="both"/>
              <w:rPr>
                <w:rFonts w:ascii="Arial" w:hAnsi="Arial" w:cs="Arial"/>
                <w:bCs/>
              </w:rPr>
            </w:pPr>
          </w:p>
          <w:p w14:paraId="3D881006" w14:textId="77777777" w:rsidR="00216DC0" w:rsidRPr="003E2681" w:rsidRDefault="00216DC0" w:rsidP="00D4226B">
            <w:pPr>
              <w:pStyle w:val="Textoindependiente"/>
              <w:ind w:right="33"/>
              <w:jc w:val="both"/>
              <w:rPr>
                <w:rFonts w:ascii="Arial" w:hAnsi="Arial" w:cs="Arial"/>
                <w:bCs/>
              </w:rPr>
            </w:pPr>
            <w:r w:rsidRPr="003E2681">
              <w:rPr>
                <w:rFonts w:ascii="Arial" w:hAnsi="Arial" w:cs="Arial"/>
                <w:bCs/>
              </w:rPr>
              <w:t>Adicionalmente, la incorporación del cálculo del pasivo pensional de las asignaciones de retiro genera un impacto negativo al patrimonio de la Entidad y consecuentemente al Estado Colombiano en su conjunto, toda vez que se encuentra imposibilitado de presentar un plan de activos que supere esta eventualidad. Esta situación debe ser abordada por las instancias estatales llamadas a su solución.</w:t>
            </w:r>
          </w:p>
        </w:tc>
      </w:tr>
      <w:tr w:rsidR="00216DC0" w:rsidRPr="00E232C9" w14:paraId="2D985B12" w14:textId="77777777" w:rsidTr="00D4226B">
        <w:trPr>
          <w:jc w:val="center"/>
        </w:trPr>
        <w:tc>
          <w:tcPr>
            <w:tcW w:w="988" w:type="dxa"/>
          </w:tcPr>
          <w:p w14:paraId="29FDA659" w14:textId="77777777" w:rsidR="00216DC0" w:rsidRDefault="00216DC0" w:rsidP="00D4226B">
            <w:pPr>
              <w:tabs>
                <w:tab w:val="left" w:pos="1920"/>
              </w:tabs>
              <w:ind w:right="-108"/>
              <w:jc w:val="center"/>
              <w:rPr>
                <w:rFonts w:ascii="Arial" w:hAnsi="Arial" w:cs="Arial"/>
                <w:b/>
                <w:color w:val="FF0000"/>
              </w:rPr>
            </w:pPr>
            <w:r w:rsidRPr="00332C0F">
              <w:rPr>
                <w:rFonts w:ascii="Arial" w:hAnsi="Arial" w:cs="Arial"/>
                <w:b/>
              </w:rPr>
              <w:t>13</w:t>
            </w:r>
          </w:p>
        </w:tc>
        <w:tc>
          <w:tcPr>
            <w:tcW w:w="9497" w:type="dxa"/>
          </w:tcPr>
          <w:p w14:paraId="02E36EF7" w14:textId="77777777" w:rsidR="00216DC0" w:rsidRPr="00B754ED" w:rsidRDefault="00216DC0" w:rsidP="00D4226B">
            <w:pPr>
              <w:pStyle w:val="Textoindependiente"/>
              <w:ind w:right="-50"/>
              <w:jc w:val="both"/>
              <w:rPr>
                <w:rFonts w:ascii="Arial" w:hAnsi="Arial" w:cs="Arial"/>
              </w:rPr>
            </w:pPr>
            <w:r w:rsidRPr="00B754ED">
              <w:rPr>
                <w:rFonts w:ascii="Arial" w:hAnsi="Arial" w:cs="Arial"/>
                <w:b/>
                <w:lang w:val="es-MX"/>
              </w:rPr>
              <w:t xml:space="preserve">UNIVERSIDAD MILITAR NUEVA GRANADA. </w:t>
            </w:r>
            <w:r w:rsidRPr="00B754ED">
              <w:rPr>
                <w:rFonts w:ascii="Arial" w:hAnsi="Arial" w:cs="Arial"/>
              </w:rPr>
              <w:t>Durante la vigencia 2024, las principales limitaciones y deficiencias operativas, administrativas y tecnológicas que impactan el proceso contable y que afectan la preparación de la información financiera en términos de representación fiel, están asociadas fundamentalmente a:</w:t>
            </w:r>
          </w:p>
          <w:p w14:paraId="6A24A9E8" w14:textId="77777777" w:rsidR="00216DC0" w:rsidRPr="00B754ED" w:rsidRDefault="00216DC0" w:rsidP="00D4226B">
            <w:pPr>
              <w:pStyle w:val="Textoindependiente"/>
              <w:ind w:right="-50"/>
              <w:jc w:val="both"/>
              <w:rPr>
                <w:rFonts w:ascii="Arial" w:hAnsi="Arial" w:cs="Arial"/>
              </w:rPr>
            </w:pPr>
          </w:p>
          <w:p w14:paraId="1B97219F" w14:textId="77777777" w:rsidR="00216DC0" w:rsidRPr="00B754ED" w:rsidRDefault="00216DC0" w:rsidP="00AE3935">
            <w:pPr>
              <w:pStyle w:val="Textoindependiente"/>
              <w:numPr>
                <w:ilvl w:val="0"/>
                <w:numId w:val="64"/>
              </w:numPr>
              <w:ind w:right="-50"/>
              <w:jc w:val="both"/>
              <w:rPr>
                <w:rFonts w:ascii="Arial" w:hAnsi="Arial" w:cs="Arial"/>
              </w:rPr>
            </w:pPr>
            <w:r w:rsidRPr="00B754ED">
              <w:rPr>
                <w:rFonts w:ascii="Arial" w:hAnsi="Arial" w:cs="Arial"/>
              </w:rPr>
              <w:t>Procesamiento de la información a través de múltiples sistemas de información que no se integran entre sí y generan procesamientos manuales de información continuos, conllevando un alto nivel de exposición a riesgos por inexactitud, omisión y reprocesos.</w:t>
            </w:r>
          </w:p>
          <w:p w14:paraId="0FF1904E" w14:textId="77777777" w:rsidR="00216DC0" w:rsidRPr="00B754ED" w:rsidRDefault="00216DC0" w:rsidP="00D4226B">
            <w:pPr>
              <w:pStyle w:val="Textoindependiente"/>
              <w:ind w:right="-50"/>
              <w:jc w:val="both"/>
              <w:rPr>
                <w:rFonts w:ascii="Arial" w:hAnsi="Arial" w:cs="Arial"/>
              </w:rPr>
            </w:pPr>
          </w:p>
          <w:p w14:paraId="4139B503" w14:textId="77777777" w:rsidR="00216DC0" w:rsidRPr="00B754ED" w:rsidRDefault="00216DC0" w:rsidP="00AE3935">
            <w:pPr>
              <w:pStyle w:val="Textoindependiente"/>
              <w:numPr>
                <w:ilvl w:val="0"/>
                <w:numId w:val="64"/>
              </w:numPr>
              <w:ind w:right="-50"/>
              <w:jc w:val="both"/>
              <w:rPr>
                <w:rFonts w:ascii="Arial" w:hAnsi="Arial" w:cs="Arial"/>
              </w:rPr>
            </w:pPr>
            <w:r w:rsidRPr="00B754ED">
              <w:rPr>
                <w:rFonts w:ascii="Arial" w:hAnsi="Arial" w:cs="Arial"/>
              </w:rPr>
              <w:t xml:space="preserve">Algunos elementos necesarios para la elaboración de los Estados Financieros conforme los lineamientos del Marco Normativo para Entidades de Gobierno, no se encuentran parametrizadas </w:t>
            </w:r>
            <w:r w:rsidRPr="00B754ED">
              <w:rPr>
                <w:rFonts w:ascii="Arial" w:hAnsi="Arial" w:cs="Arial"/>
              </w:rPr>
              <w:lastRenderedPageBreak/>
              <w:t>en el Sistema de Información Financiero, lo que genera procesos manuales que aumentan la carga operativa y pueden ocasionar retrasos en la presentación de los Estados Financieros.</w:t>
            </w:r>
          </w:p>
          <w:p w14:paraId="5DE2022A" w14:textId="77777777" w:rsidR="00216DC0" w:rsidRPr="00B754ED" w:rsidRDefault="00216DC0" w:rsidP="00D4226B">
            <w:pPr>
              <w:pStyle w:val="Prrafodelista"/>
              <w:rPr>
                <w:rFonts w:ascii="Arial" w:hAnsi="Arial" w:cs="Arial"/>
              </w:rPr>
            </w:pPr>
          </w:p>
          <w:p w14:paraId="4279E970" w14:textId="77777777" w:rsidR="00216DC0" w:rsidRPr="00B754ED" w:rsidRDefault="00216DC0" w:rsidP="00AE3935">
            <w:pPr>
              <w:pStyle w:val="Textoindependiente"/>
              <w:numPr>
                <w:ilvl w:val="0"/>
                <w:numId w:val="64"/>
              </w:numPr>
              <w:ind w:right="-50"/>
              <w:jc w:val="both"/>
              <w:rPr>
                <w:rFonts w:ascii="Arial" w:hAnsi="Arial" w:cs="Arial"/>
                <w:b/>
                <w:u w:val="single"/>
              </w:rPr>
            </w:pPr>
            <w:r w:rsidRPr="00B754ED">
              <w:rPr>
                <w:rFonts w:ascii="Arial" w:hAnsi="Arial" w:cs="Arial"/>
                <w:b/>
                <w:u w:val="single"/>
              </w:rPr>
              <w:t>Falta de oportunidad en la entrega y suministro de la información requerida para cumplir con el proceso contable y financiero por parte de algunas Unidades Académico-Administrativas.</w:t>
            </w:r>
          </w:p>
          <w:p w14:paraId="59FD41E8" w14:textId="77777777" w:rsidR="00216DC0" w:rsidRPr="00B754ED" w:rsidRDefault="00216DC0" w:rsidP="00D4226B">
            <w:pPr>
              <w:pStyle w:val="Prrafodelista"/>
              <w:rPr>
                <w:rFonts w:ascii="Arial" w:hAnsi="Arial" w:cs="Arial"/>
                <w:b/>
                <w:u w:val="single"/>
              </w:rPr>
            </w:pPr>
          </w:p>
          <w:p w14:paraId="63D6416A" w14:textId="77777777" w:rsidR="00216DC0" w:rsidRPr="00B754ED" w:rsidRDefault="00216DC0" w:rsidP="00AE3935">
            <w:pPr>
              <w:pStyle w:val="Textoindependiente"/>
              <w:numPr>
                <w:ilvl w:val="0"/>
                <w:numId w:val="64"/>
              </w:numPr>
              <w:ind w:right="-50"/>
              <w:jc w:val="both"/>
              <w:rPr>
                <w:rFonts w:ascii="Arial" w:hAnsi="Arial" w:cs="Arial"/>
              </w:rPr>
            </w:pPr>
            <w:r w:rsidRPr="00B754ED">
              <w:rPr>
                <w:rFonts w:ascii="Arial" w:hAnsi="Arial" w:cs="Arial"/>
              </w:rPr>
              <w:t>Limitación en los sistemas administrativos para adoptar la política contable establecida en aplicación del Marco Normativo para Entidades de Gobierno, los bienes inmuebles y muebles de la Universidad, para ello se determinó apoyarse a través de herramientas ofimáticas y con ellas efectuar el cálculo de la estimación de la depreciación de los bienes de la Universidad. Dado que la implementación ERP PleopleSoft no concluyo, se debió abordar la estrategia de ampliar las capacidades del software financiero para incorporar mediante un módulo nuevo el control de propiedad planta y equipo.</w:t>
            </w:r>
          </w:p>
        </w:tc>
      </w:tr>
      <w:tr w:rsidR="00216DC0" w:rsidRPr="00E232C9" w14:paraId="5C2AB700" w14:textId="77777777" w:rsidTr="00D4226B">
        <w:trPr>
          <w:jc w:val="center"/>
        </w:trPr>
        <w:tc>
          <w:tcPr>
            <w:tcW w:w="988" w:type="dxa"/>
          </w:tcPr>
          <w:p w14:paraId="48EA9A07" w14:textId="77777777" w:rsidR="00216DC0" w:rsidRDefault="00216DC0" w:rsidP="00D4226B">
            <w:pPr>
              <w:tabs>
                <w:tab w:val="left" w:pos="1920"/>
              </w:tabs>
              <w:ind w:right="-108"/>
              <w:jc w:val="center"/>
              <w:rPr>
                <w:rFonts w:ascii="Arial" w:hAnsi="Arial" w:cs="Arial"/>
                <w:b/>
                <w:color w:val="FF0000"/>
              </w:rPr>
            </w:pPr>
            <w:r w:rsidRPr="00182B1A">
              <w:rPr>
                <w:rFonts w:ascii="Arial" w:hAnsi="Arial" w:cs="Arial"/>
                <w:b/>
              </w:rPr>
              <w:lastRenderedPageBreak/>
              <w:t>14</w:t>
            </w:r>
          </w:p>
        </w:tc>
        <w:tc>
          <w:tcPr>
            <w:tcW w:w="9497" w:type="dxa"/>
          </w:tcPr>
          <w:p w14:paraId="6B23EC3C" w14:textId="77777777" w:rsidR="00216DC0" w:rsidRPr="00182B1A" w:rsidRDefault="00216DC0" w:rsidP="00D4226B">
            <w:pPr>
              <w:pStyle w:val="Textoindependiente"/>
              <w:ind w:right="-50"/>
              <w:jc w:val="both"/>
              <w:rPr>
                <w:rFonts w:ascii="Arial" w:hAnsi="Arial" w:cs="Arial"/>
              </w:rPr>
            </w:pPr>
            <w:r w:rsidRPr="00517D44">
              <w:rPr>
                <w:rFonts w:ascii="Arial" w:hAnsi="Arial" w:cs="Arial"/>
                <w:b/>
                <w:lang w:val="es-MX"/>
              </w:rPr>
              <w:t>MINISTERIO DEL DEPORTE</w:t>
            </w:r>
            <w:r w:rsidRPr="00182B1A">
              <w:rPr>
                <w:rFonts w:ascii="Arial" w:hAnsi="Arial" w:cs="Arial"/>
                <w:b/>
                <w:sz w:val="22"/>
                <w:szCs w:val="22"/>
                <w:lang w:val="es-MX"/>
              </w:rPr>
              <w:t xml:space="preserve">. </w:t>
            </w:r>
            <w:r w:rsidRPr="00182B1A">
              <w:rPr>
                <w:rFonts w:ascii="Arial" w:hAnsi="Arial" w:cs="Arial"/>
                <w:b/>
                <w:bCs/>
              </w:rPr>
              <w:t>1.2.2. Limitaciones.</w:t>
            </w:r>
            <w:r>
              <w:rPr>
                <w:rFonts w:ascii="Arial" w:hAnsi="Arial" w:cs="Arial"/>
                <w:b/>
                <w:bCs/>
              </w:rPr>
              <w:t xml:space="preserve"> </w:t>
            </w:r>
            <w:r w:rsidRPr="00182B1A">
              <w:rPr>
                <w:rFonts w:ascii="Arial" w:hAnsi="Arial" w:cs="Arial"/>
                <w:b/>
                <w:bCs/>
              </w:rPr>
              <w:t xml:space="preserve">1.2.2.1. De orden administrativo. </w:t>
            </w:r>
            <w:r w:rsidRPr="00182B1A">
              <w:rPr>
                <w:rFonts w:ascii="Arial" w:hAnsi="Arial" w:cs="Arial"/>
              </w:rPr>
              <w:t>Atendiendo que las áreas o direcciones son las generadoras de los hechos económicos que llegasen a impactar financieramente a la Entidad, la no oportuna entrega de información al área contable genera demora en la realización de los registros tanto de derechos como de obligaciones, así como la no entrega de informes respectivos que deben ser reflejaos en los registros contables, afectan la razonabilidad.</w:t>
            </w:r>
          </w:p>
        </w:tc>
      </w:tr>
      <w:tr w:rsidR="00216DC0" w:rsidRPr="00E232C9" w14:paraId="3CACBF88" w14:textId="77777777" w:rsidTr="00D4226B">
        <w:trPr>
          <w:jc w:val="center"/>
        </w:trPr>
        <w:tc>
          <w:tcPr>
            <w:tcW w:w="988" w:type="dxa"/>
          </w:tcPr>
          <w:p w14:paraId="6DBB68EB" w14:textId="77777777" w:rsidR="00216DC0" w:rsidRDefault="00216DC0" w:rsidP="00D4226B">
            <w:pPr>
              <w:tabs>
                <w:tab w:val="left" w:pos="1920"/>
              </w:tabs>
              <w:ind w:right="-108"/>
              <w:jc w:val="center"/>
              <w:rPr>
                <w:rFonts w:ascii="Arial" w:hAnsi="Arial" w:cs="Arial"/>
                <w:b/>
                <w:color w:val="FF0000"/>
              </w:rPr>
            </w:pPr>
            <w:r w:rsidRPr="00025869">
              <w:rPr>
                <w:rFonts w:ascii="Arial" w:hAnsi="Arial" w:cs="Arial"/>
                <w:b/>
              </w:rPr>
              <w:t>15</w:t>
            </w:r>
          </w:p>
        </w:tc>
        <w:tc>
          <w:tcPr>
            <w:tcW w:w="9497" w:type="dxa"/>
          </w:tcPr>
          <w:p w14:paraId="49B4EB1E" w14:textId="77777777" w:rsidR="00216DC0" w:rsidRPr="00025869" w:rsidRDefault="00216DC0" w:rsidP="00D4226B">
            <w:pPr>
              <w:jc w:val="both"/>
              <w:rPr>
                <w:rFonts w:ascii="Arial" w:hAnsi="Arial" w:cs="Arial"/>
                <w:bCs/>
              </w:rPr>
            </w:pPr>
            <w:r w:rsidRPr="00517D44">
              <w:rPr>
                <w:rFonts w:ascii="Arial" w:hAnsi="Arial" w:cs="Arial"/>
                <w:b/>
                <w:lang w:val="es-MX"/>
              </w:rPr>
              <w:t>CORPORACIÓN AGENCIA NACIONAL DE GOBIERNO DIGITAL - AND.</w:t>
            </w:r>
            <w:r>
              <w:rPr>
                <w:rFonts w:ascii="Arial" w:hAnsi="Arial" w:cs="Arial"/>
                <w:b/>
                <w:sz w:val="22"/>
                <w:szCs w:val="22"/>
                <w:lang w:val="es-MX"/>
              </w:rPr>
              <w:t xml:space="preserve"> </w:t>
            </w:r>
            <w:r w:rsidRPr="00025869">
              <w:rPr>
                <w:rFonts w:ascii="Arial" w:hAnsi="Arial" w:cs="Arial"/>
                <w:bCs/>
                <w:lang w:val="es-MX"/>
              </w:rPr>
              <w:t>P</w:t>
            </w:r>
            <w:r w:rsidRPr="00025869">
              <w:rPr>
                <w:rFonts w:ascii="Arial" w:hAnsi="Arial" w:cs="Arial"/>
                <w:bCs/>
              </w:rPr>
              <w:t>ese a todas las acciones efectuadas por los respectivos supervisores para que se presentaran los documentos de cobro, no se contó con la información requerida para causar la cuenta por pagar, razón por la cual quedaron constituidas como reservas presupuestales.</w:t>
            </w:r>
          </w:p>
        </w:tc>
      </w:tr>
      <w:tr w:rsidR="00216DC0" w:rsidRPr="00E232C9" w14:paraId="18E00F62" w14:textId="77777777" w:rsidTr="00D4226B">
        <w:trPr>
          <w:jc w:val="center"/>
        </w:trPr>
        <w:tc>
          <w:tcPr>
            <w:tcW w:w="988" w:type="dxa"/>
          </w:tcPr>
          <w:p w14:paraId="4A3C91E2" w14:textId="77777777" w:rsidR="00216DC0" w:rsidRDefault="00216DC0" w:rsidP="00D4226B">
            <w:pPr>
              <w:tabs>
                <w:tab w:val="left" w:pos="1920"/>
              </w:tabs>
              <w:ind w:right="-108"/>
              <w:jc w:val="center"/>
              <w:rPr>
                <w:rFonts w:ascii="Arial" w:hAnsi="Arial" w:cs="Arial"/>
                <w:b/>
                <w:color w:val="FF0000"/>
              </w:rPr>
            </w:pPr>
            <w:r w:rsidRPr="00CB73CB">
              <w:rPr>
                <w:rFonts w:ascii="Arial" w:hAnsi="Arial" w:cs="Arial"/>
                <w:b/>
              </w:rPr>
              <w:t>16</w:t>
            </w:r>
          </w:p>
        </w:tc>
        <w:tc>
          <w:tcPr>
            <w:tcW w:w="9497" w:type="dxa"/>
          </w:tcPr>
          <w:p w14:paraId="10B55DE7" w14:textId="77777777" w:rsidR="00216DC0" w:rsidRPr="00CB73CB" w:rsidRDefault="00216DC0" w:rsidP="00D4226B">
            <w:pPr>
              <w:pStyle w:val="Textoindependiente"/>
              <w:jc w:val="both"/>
              <w:rPr>
                <w:rFonts w:ascii="Arial" w:hAnsi="Arial" w:cs="Arial"/>
              </w:rPr>
            </w:pPr>
            <w:r w:rsidRPr="00CB73CB">
              <w:rPr>
                <w:rFonts w:ascii="Arial" w:hAnsi="Arial" w:cs="Arial"/>
                <w:b/>
                <w:lang w:val="es-CO"/>
              </w:rPr>
              <w:t xml:space="preserve">CORPORACIÓN AUTÓNOMA REGIONAL DEL TOLIMA – CORTOLIMA. </w:t>
            </w:r>
            <w:r w:rsidRPr="00CB73CB">
              <w:rPr>
                <w:rFonts w:ascii="Arial" w:hAnsi="Arial" w:cs="Arial"/>
                <w:b/>
              </w:rPr>
              <w:t xml:space="preserve">Declaración de cumplimiento del marco normativo y limitaciones. </w:t>
            </w:r>
            <w:r w:rsidRPr="00CB73CB">
              <w:rPr>
                <w:rFonts w:ascii="Arial" w:hAnsi="Arial" w:cs="Arial"/>
              </w:rPr>
              <w:t>En esta misma vigencia fiscal se dio inicio a la implementación de la plataforma de recaudos de la Corporación, la cual, a la fecha está en etapa de depuración y validación de la información, para minimizar los posibles riesgos que se presenten en la misma y que sirve como base para el sistema contable de la Entidad.</w:t>
            </w:r>
          </w:p>
        </w:tc>
      </w:tr>
      <w:tr w:rsidR="00216DC0" w:rsidRPr="00E232C9" w14:paraId="7F9999C3" w14:textId="77777777" w:rsidTr="00D4226B">
        <w:trPr>
          <w:jc w:val="center"/>
        </w:trPr>
        <w:tc>
          <w:tcPr>
            <w:tcW w:w="988" w:type="dxa"/>
          </w:tcPr>
          <w:p w14:paraId="66BAD95F" w14:textId="77777777" w:rsidR="00216DC0" w:rsidRDefault="00216DC0" w:rsidP="00D4226B">
            <w:pPr>
              <w:tabs>
                <w:tab w:val="left" w:pos="1920"/>
              </w:tabs>
              <w:ind w:right="-108"/>
              <w:jc w:val="center"/>
              <w:rPr>
                <w:rFonts w:ascii="Arial" w:hAnsi="Arial" w:cs="Arial"/>
                <w:b/>
                <w:color w:val="FF0000"/>
              </w:rPr>
            </w:pPr>
            <w:r w:rsidRPr="00A6190B">
              <w:rPr>
                <w:rFonts w:ascii="Arial" w:hAnsi="Arial" w:cs="Arial"/>
                <w:b/>
                <w:color w:val="000000" w:themeColor="text1"/>
              </w:rPr>
              <w:t>17</w:t>
            </w:r>
          </w:p>
        </w:tc>
        <w:tc>
          <w:tcPr>
            <w:tcW w:w="9497" w:type="dxa"/>
          </w:tcPr>
          <w:p w14:paraId="29320940" w14:textId="77777777" w:rsidR="00216DC0" w:rsidRPr="00A6190B" w:rsidRDefault="00216DC0" w:rsidP="00D4226B">
            <w:pPr>
              <w:pStyle w:val="Textoindependiente"/>
              <w:ind w:right="-50"/>
              <w:jc w:val="both"/>
              <w:rPr>
                <w:rFonts w:ascii="Arial" w:hAnsi="Arial" w:cs="Arial"/>
              </w:rPr>
            </w:pPr>
            <w:r w:rsidRPr="00A6190B">
              <w:rPr>
                <w:rFonts w:ascii="Arial" w:hAnsi="Arial" w:cs="Arial"/>
                <w:b/>
                <w:lang w:val="es-MX"/>
              </w:rPr>
              <w:t xml:space="preserve">INSTITUTO TOLIMENSE DE FORMACIÓN TÉCNICA PROFESIONAL – ITFIP. </w:t>
            </w:r>
            <w:r w:rsidRPr="00A6190B">
              <w:rPr>
                <w:rFonts w:ascii="Arial" w:hAnsi="Arial" w:cs="Arial"/>
                <w:b/>
                <w:bCs/>
              </w:rPr>
              <w:t xml:space="preserve">Limitaciones Y Deficiencias Generales De Tipo Operativo O Administrativo. </w:t>
            </w:r>
            <w:r w:rsidRPr="00A6190B">
              <w:rPr>
                <w:rFonts w:ascii="Arial" w:hAnsi="Arial" w:cs="Arial"/>
              </w:rPr>
              <w:t>El Sistema RYCA continúa manejándose en los estudiantes que no están activos, todavía no se ha emigrado la información a la nueva plataforma GUIA, en donde se genera a los estudiantes y aspirantes los recibos para pago de los diferentes conceptos.</w:t>
            </w:r>
          </w:p>
        </w:tc>
      </w:tr>
      <w:tr w:rsidR="00216DC0" w:rsidRPr="00E232C9" w14:paraId="140B6168" w14:textId="77777777" w:rsidTr="00D4226B">
        <w:trPr>
          <w:jc w:val="center"/>
        </w:trPr>
        <w:tc>
          <w:tcPr>
            <w:tcW w:w="988" w:type="dxa"/>
          </w:tcPr>
          <w:p w14:paraId="42ACD2EA" w14:textId="77777777" w:rsidR="00216DC0" w:rsidRDefault="00216DC0" w:rsidP="00D4226B">
            <w:pPr>
              <w:tabs>
                <w:tab w:val="left" w:pos="1920"/>
              </w:tabs>
              <w:ind w:right="-108"/>
              <w:jc w:val="center"/>
              <w:rPr>
                <w:rFonts w:ascii="Arial" w:hAnsi="Arial" w:cs="Arial"/>
                <w:b/>
                <w:color w:val="FF0000"/>
              </w:rPr>
            </w:pPr>
            <w:r w:rsidRPr="00B754ED">
              <w:rPr>
                <w:rFonts w:ascii="Arial" w:hAnsi="Arial" w:cs="Arial"/>
                <w:b/>
              </w:rPr>
              <w:t>18</w:t>
            </w:r>
          </w:p>
        </w:tc>
        <w:tc>
          <w:tcPr>
            <w:tcW w:w="9497" w:type="dxa"/>
          </w:tcPr>
          <w:p w14:paraId="7B242542" w14:textId="77777777" w:rsidR="00216DC0" w:rsidRDefault="00216DC0" w:rsidP="00D4226B">
            <w:pPr>
              <w:jc w:val="both"/>
              <w:rPr>
                <w:rFonts w:ascii="Arial" w:hAnsi="Arial" w:cs="Arial"/>
                <w:b/>
                <w:lang w:val="es-MX"/>
              </w:rPr>
            </w:pPr>
            <w:r w:rsidRPr="00B754ED">
              <w:rPr>
                <w:rFonts w:ascii="Arial" w:hAnsi="Arial" w:cs="Arial"/>
                <w:b/>
              </w:rPr>
              <w:t>FONDO ROTATORIO DE LA POLICÍA NACIONAL</w:t>
            </w:r>
            <w:r w:rsidRPr="00B754ED">
              <w:rPr>
                <w:rFonts w:ascii="Arial" w:hAnsi="Arial" w:cs="Arial"/>
                <w:b/>
                <w:lang w:val="es-MX"/>
              </w:rPr>
              <w:t>.</w:t>
            </w:r>
            <w:r>
              <w:rPr>
                <w:rFonts w:ascii="Arial" w:hAnsi="Arial" w:cs="Arial"/>
                <w:b/>
                <w:lang w:val="es-MX"/>
              </w:rPr>
              <w:t xml:space="preserve"> </w:t>
            </w:r>
          </w:p>
          <w:p w14:paraId="34B65568" w14:textId="77777777" w:rsidR="00216DC0" w:rsidRDefault="00216DC0" w:rsidP="00D4226B">
            <w:pPr>
              <w:jc w:val="both"/>
              <w:rPr>
                <w:rFonts w:ascii="Arial" w:hAnsi="Arial" w:cs="Arial"/>
                <w:b/>
                <w:lang w:val="es-MX"/>
              </w:rPr>
            </w:pPr>
          </w:p>
          <w:p w14:paraId="51F73725" w14:textId="77777777" w:rsidR="00216DC0" w:rsidRPr="00B754ED" w:rsidRDefault="00216DC0" w:rsidP="00216DC0">
            <w:pPr>
              <w:pStyle w:val="Textoindependiente"/>
              <w:numPr>
                <w:ilvl w:val="0"/>
                <w:numId w:val="25"/>
              </w:numPr>
              <w:ind w:left="426" w:right="-50" w:hanging="426"/>
              <w:jc w:val="both"/>
              <w:rPr>
                <w:rFonts w:ascii="Arial" w:hAnsi="Arial" w:cs="Arial"/>
                <w:b/>
                <w:sz w:val="28"/>
                <w:szCs w:val="28"/>
              </w:rPr>
            </w:pPr>
            <w:r w:rsidRPr="00B754ED">
              <w:rPr>
                <w:rFonts w:ascii="Arial" w:hAnsi="Arial" w:cs="Arial"/>
                <w:b/>
                <w:bCs/>
                <w:u w:val="single"/>
              </w:rPr>
              <w:t>Carencia de personal de planta en el área contable</w:t>
            </w:r>
            <w:r w:rsidRPr="00B754ED">
              <w:rPr>
                <w:rFonts w:ascii="Arial" w:hAnsi="Arial" w:cs="Arial"/>
              </w:rPr>
              <w:t>. El grupo Contabilidad y Costos no cuenta con personal de planta suficiente, para la realización de las actividades de cierre anual, debido a que a corte 31 de diciembre de la vigencia 2024, solo una funcionaria tienen contrato de carrera administrativa, el personal restante se encuentra contratado bajo la modalidad de supernumerarios, lo que equivale a que estos tengan contrato hasta el 31 de diciembre y retomen funciones solo hasta la última semana del mes de enero o en ocasiones hasta el inicio del mes de febrero del año inmediatamente siguiente, ocasionando esto que las actividades a desarrollar en el área contable se vean retrasadas por falta de personal y que el inicio de estas no se realice de manera oportuna y específica como debe ser, situación que puede llegar a presentar inconsistencias en el cruce, verificación y registro hechos contables.</w:t>
            </w:r>
          </w:p>
        </w:tc>
      </w:tr>
      <w:tr w:rsidR="00216DC0" w:rsidRPr="00E232C9" w14:paraId="13806D29" w14:textId="77777777" w:rsidTr="00D4226B">
        <w:trPr>
          <w:jc w:val="center"/>
        </w:trPr>
        <w:tc>
          <w:tcPr>
            <w:tcW w:w="988" w:type="dxa"/>
          </w:tcPr>
          <w:p w14:paraId="13A499E4" w14:textId="77777777" w:rsidR="00216DC0" w:rsidRDefault="00216DC0" w:rsidP="00D4226B">
            <w:pPr>
              <w:tabs>
                <w:tab w:val="left" w:pos="1920"/>
              </w:tabs>
              <w:ind w:right="-108"/>
              <w:jc w:val="center"/>
              <w:rPr>
                <w:rFonts w:ascii="Arial" w:hAnsi="Arial" w:cs="Arial"/>
                <w:b/>
                <w:color w:val="FF0000"/>
              </w:rPr>
            </w:pPr>
            <w:r w:rsidRPr="0032633D">
              <w:rPr>
                <w:rFonts w:ascii="Arial" w:hAnsi="Arial" w:cs="Arial"/>
                <w:b/>
              </w:rPr>
              <w:t>19</w:t>
            </w:r>
          </w:p>
        </w:tc>
        <w:tc>
          <w:tcPr>
            <w:tcW w:w="9497" w:type="dxa"/>
          </w:tcPr>
          <w:p w14:paraId="2CB081C4" w14:textId="77777777" w:rsidR="00216DC0" w:rsidRPr="00517D44" w:rsidRDefault="00216DC0" w:rsidP="00D4226B">
            <w:pPr>
              <w:pStyle w:val="Textoindependiente"/>
              <w:ind w:right="-50"/>
              <w:jc w:val="both"/>
              <w:rPr>
                <w:rFonts w:ascii="Arial" w:hAnsi="Arial" w:cs="Arial"/>
              </w:rPr>
            </w:pPr>
            <w:r w:rsidRPr="00517D44">
              <w:rPr>
                <w:rFonts w:ascii="Arial" w:hAnsi="Arial" w:cs="Arial"/>
                <w:b/>
                <w:lang w:val="es-MX"/>
              </w:rPr>
              <w:t>IMPRENTA NACIONAL DE COLOMBIA.</w:t>
            </w:r>
            <w:r>
              <w:rPr>
                <w:rFonts w:ascii="Arial" w:hAnsi="Arial" w:cs="Arial"/>
                <w:b/>
                <w:lang w:val="es-MX"/>
              </w:rPr>
              <w:t xml:space="preserve"> </w:t>
            </w:r>
            <w:r w:rsidRPr="00517D44">
              <w:rPr>
                <w:rFonts w:ascii="Arial" w:hAnsi="Arial" w:cs="Arial"/>
                <w:b/>
                <w:bCs/>
              </w:rPr>
              <w:t xml:space="preserve">1.2.3 Limitaciones y deficiencias operativas o administrativas. </w:t>
            </w:r>
            <w:r w:rsidRPr="00517D44">
              <w:rPr>
                <w:rFonts w:ascii="Arial" w:hAnsi="Arial" w:cs="Arial"/>
              </w:rPr>
              <w:t xml:space="preserve">La Imprenta Nacional del Colombia, cuenta con limitaciones en la parametrización del sistema “PRINTUX” que utiliza la entidad </w:t>
            </w:r>
            <w:r w:rsidRPr="00517D44">
              <w:rPr>
                <w:rFonts w:ascii="Arial" w:hAnsi="Arial" w:cs="Arial"/>
                <w:b/>
                <w:u w:val="single"/>
              </w:rPr>
              <w:t>para el costeo de las ordenes de producción</w:t>
            </w:r>
            <w:r w:rsidRPr="00517D44">
              <w:rPr>
                <w:rFonts w:ascii="Arial" w:hAnsi="Arial" w:cs="Arial"/>
              </w:rPr>
              <w:t>, lo cual unido a la no óptima comunicación de dicho sistema con los otros sistemas de información con los que cuenta la empresa y la falta de los reportes respectivos que le permitan de manera ágil y oportuna realizar una revisión y control de la información, convirtiéndose en una situación que no permite determinar con toda precisión los costos por línea de negocio y por orden de producción.</w:t>
            </w:r>
          </w:p>
          <w:p w14:paraId="0A6F100D" w14:textId="77777777" w:rsidR="00216DC0" w:rsidRPr="00517D44" w:rsidRDefault="00216DC0" w:rsidP="00D4226B">
            <w:pPr>
              <w:pStyle w:val="Textoindependiente"/>
              <w:ind w:right="-50"/>
              <w:jc w:val="both"/>
              <w:rPr>
                <w:rFonts w:ascii="Arial" w:hAnsi="Arial" w:cs="Arial"/>
              </w:rPr>
            </w:pPr>
          </w:p>
          <w:p w14:paraId="61C78003" w14:textId="77777777" w:rsidR="00216DC0" w:rsidRPr="00517D44" w:rsidRDefault="00216DC0" w:rsidP="00D4226B">
            <w:pPr>
              <w:pStyle w:val="Textoindependiente"/>
              <w:ind w:right="-50"/>
              <w:jc w:val="both"/>
              <w:rPr>
                <w:rFonts w:ascii="Arial" w:hAnsi="Arial" w:cs="Arial"/>
              </w:rPr>
            </w:pPr>
            <w:r w:rsidRPr="00517D44">
              <w:rPr>
                <w:rFonts w:ascii="Arial" w:hAnsi="Arial" w:cs="Arial"/>
              </w:rPr>
              <w:t>Adicionalmente, la no actualización del manual de procesos y procedimientos para el manejo de la información de costos, es una situación que genera deficiencias en los datos reportados para ser incorporados en los estados financieros.</w:t>
            </w:r>
          </w:p>
          <w:p w14:paraId="3D86E342" w14:textId="77777777" w:rsidR="00216DC0" w:rsidRPr="00517D44" w:rsidRDefault="00216DC0" w:rsidP="00D4226B">
            <w:pPr>
              <w:pStyle w:val="Textoindependiente"/>
              <w:ind w:right="-50"/>
              <w:jc w:val="both"/>
              <w:rPr>
                <w:rFonts w:ascii="Arial" w:hAnsi="Arial" w:cs="Arial"/>
              </w:rPr>
            </w:pPr>
          </w:p>
          <w:p w14:paraId="7AC93197" w14:textId="77777777" w:rsidR="00216DC0" w:rsidRPr="00517D44" w:rsidRDefault="00216DC0" w:rsidP="00D4226B">
            <w:pPr>
              <w:pStyle w:val="Textoindependiente"/>
              <w:ind w:right="-50"/>
              <w:jc w:val="both"/>
              <w:rPr>
                <w:rFonts w:ascii="Arial" w:hAnsi="Arial" w:cs="Arial"/>
              </w:rPr>
            </w:pPr>
            <w:r w:rsidRPr="00517D44">
              <w:rPr>
                <w:rFonts w:ascii="Arial" w:hAnsi="Arial" w:cs="Arial"/>
              </w:rPr>
              <w:lastRenderedPageBreak/>
              <w:t>Igualmente, la no entrega oportuna de la información para ser incorporada en los estados financieros por parte de las áreas misionales responsables de generarla y validarla, es un hecho que causa demoras para la entrega de reportes a los diferentes entes de control internos y externos.</w:t>
            </w:r>
          </w:p>
        </w:tc>
      </w:tr>
      <w:tr w:rsidR="00216DC0" w:rsidRPr="00E232C9" w14:paraId="7B1C9161" w14:textId="77777777" w:rsidTr="00D4226B">
        <w:trPr>
          <w:jc w:val="center"/>
        </w:trPr>
        <w:tc>
          <w:tcPr>
            <w:tcW w:w="988" w:type="dxa"/>
          </w:tcPr>
          <w:p w14:paraId="40E888C0" w14:textId="77777777" w:rsidR="00216DC0" w:rsidRDefault="00216DC0" w:rsidP="00D4226B">
            <w:pPr>
              <w:tabs>
                <w:tab w:val="left" w:pos="1920"/>
              </w:tabs>
              <w:ind w:right="-108"/>
              <w:jc w:val="center"/>
              <w:rPr>
                <w:rFonts w:ascii="Arial" w:hAnsi="Arial" w:cs="Arial"/>
                <w:b/>
                <w:color w:val="FF0000"/>
              </w:rPr>
            </w:pPr>
            <w:r w:rsidRPr="0032633D">
              <w:rPr>
                <w:rFonts w:ascii="Arial" w:hAnsi="Arial" w:cs="Arial"/>
                <w:b/>
              </w:rPr>
              <w:lastRenderedPageBreak/>
              <w:t>20</w:t>
            </w:r>
          </w:p>
        </w:tc>
        <w:tc>
          <w:tcPr>
            <w:tcW w:w="9497" w:type="dxa"/>
          </w:tcPr>
          <w:p w14:paraId="33D2F2D6" w14:textId="77777777" w:rsidR="00216DC0" w:rsidRPr="0032633D" w:rsidRDefault="00216DC0" w:rsidP="00D4226B">
            <w:pPr>
              <w:pStyle w:val="Textoindependiente"/>
              <w:ind w:right="-50"/>
              <w:jc w:val="both"/>
              <w:rPr>
                <w:rFonts w:ascii="Arial" w:hAnsi="Arial" w:cs="Arial"/>
              </w:rPr>
            </w:pPr>
            <w:r w:rsidRPr="0032633D">
              <w:rPr>
                <w:rFonts w:ascii="Arial" w:hAnsi="Arial" w:cs="Arial"/>
                <w:b/>
                <w:lang w:val="es-MX"/>
              </w:rPr>
              <w:t xml:space="preserve">CORPORACIÓN PARA EL DESARROLLO SOSTENIBLES DEL ARCHIPIELAGO DE SAN ANDRÉS, PROVIDENCIA Y SANTA CATALINA - CORALINA. </w:t>
            </w:r>
            <w:r w:rsidRPr="0032633D">
              <w:rPr>
                <w:rFonts w:ascii="Arial" w:hAnsi="Arial" w:cs="Arial"/>
                <w:b/>
                <w:bCs/>
              </w:rPr>
              <w:t xml:space="preserve">1.2.1. Limitaciones y deficiencias generales de tipo operativo o administrativo. </w:t>
            </w:r>
            <w:r w:rsidRPr="0032633D">
              <w:rPr>
                <w:rFonts w:ascii="Arial" w:hAnsi="Arial" w:cs="Arial"/>
              </w:rPr>
              <w:t>Durante el presente año la Corporación para continuar fortaleciendo de manera progresiva sus capacidades administrativas disponibles se adelantaron los procedimientos de reconocimiento y registro de los hechos económicos con los soportes contables correspondientes, no obstante, se realizaron varias cotizaciones de programas financieros y contables para un posible reemplazo del programa Novasoft utilizado, ya que se requiere una actualización importante en materia de registros financieros y contables en el programa y así disminuir errores potenciales</w:t>
            </w:r>
          </w:p>
          <w:p w14:paraId="3EBAC15A" w14:textId="77777777" w:rsidR="00216DC0" w:rsidRPr="0032633D" w:rsidRDefault="00216DC0" w:rsidP="00D4226B">
            <w:pPr>
              <w:pStyle w:val="Textoindependiente"/>
              <w:ind w:right="-50"/>
              <w:jc w:val="both"/>
              <w:rPr>
                <w:rFonts w:ascii="Arial" w:hAnsi="Arial" w:cs="Arial"/>
              </w:rPr>
            </w:pPr>
          </w:p>
          <w:p w14:paraId="1D9869B9" w14:textId="77777777" w:rsidR="00216DC0" w:rsidRPr="0032633D" w:rsidRDefault="00216DC0" w:rsidP="00D4226B">
            <w:pPr>
              <w:pStyle w:val="Textoindependiente"/>
              <w:ind w:right="-50"/>
              <w:jc w:val="both"/>
              <w:rPr>
                <w:rFonts w:ascii="Arial" w:hAnsi="Arial" w:cs="Arial"/>
              </w:rPr>
            </w:pPr>
            <w:r w:rsidRPr="0032633D">
              <w:rPr>
                <w:rFonts w:ascii="Arial" w:hAnsi="Arial" w:cs="Arial"/>
                <w:b/>
                <w:bCs/>
              </w:rPr>
              <w:t xml:space="preserve">1.2.2. Limitaciones y deficiencias que tienen efectos en el Sistema Contable. </w:t>
            </w:r>
            <w:r w:rsidRPr="0032633D">
              <w:rPr>
                <w:rFonts w:ascii="Arial" w:hAnsi="Arial" w:cs="Arial"/>
              </w:rPr>
              <w:t>El programa actual utilizado por la Corporación, requiere ser actualizado o en su defecto reemplazado por otro más actual y acorde al volumen de registros y operaciones que se realizan; así como también para evitar dobles registros desde el área de recursos humanos (nómina) y del área de almacén y así lograr el 100% de parametrizaciones y migración de la información para el logro de evitar limitaciones y deficiencias que impacten el sistema contable.</w:t>
            </w:r>
          </w:p>
        </w:tc>
      </w:tr>
      <w:tr w:rsidR="00216DC0" w:rsidRPr="00E232C9" w14:paraId="499E4AF3" w14:textId="77777777" w:rsidTr="00D4226B">
        <w:trPr>
          <w:jc w:val="center"/>
        </w:trPr>
        <w:tc>
          <w:tcPr>
            <w:tcW w:w="988" w:type="dxa"/>
          </w:tcPr>
          <w:p w14:paraId="120238C4" w14:textId="77777777" w:rsidR="00216DC0" w:rsidRDefault="00216DC0" w:rsidP="00D4226B">
            <w:pPr>
              <w:tabs>
                <w:tab w:val="left" w:pos="1920"/>
              </w:tabs>
              <w:ind w:right="-108"/>
              <w:jc w:val="center"/>
              <w:rPr>
                <w:rFonts w:ascii="Arial" w:hAnsi="Arial" w:cs="Arial"/>
                <w:b/>
                <w:color w:val="FF0000"/>
              </w:rPr>
            </w:pPr>
            <w:r w:rsidRPr="00052652">
              <w:rPr>
                <w:rFonts w:ascii="Arial" w:hAnsi="Arial" w:cs="Arial"/>
                <w:b/>
              </w:rPr>
              <w:t>21</w:t>
            </w:r>
          </w:p>
        </w:tc>
        <w:tc>
          <w:tcPr>
            <w:tcW w:w="9497" w:type="dxa"/>
          </w:tcPr>
          <w:p w14:paraId="7A487ADC" w14:textId="77777777" w:rsidR="00216DC0" w:rsidRPr="00052652" w:rsidRDefault="00216DC0" w:rsidP="00D4226B">
            <w:pPr>
              <w:pStyle w:val="Textoindependiente"/>
              <w:ind w:right="-50"/>
              <w:jc w:val="both"/>
              <w:rPr>
                <w:rFonts w:ascii="Arial" w:hAnsi="Arial" w:cs="Arial"/>
              </w:rPr>
            </w:pPr>
            <w:r w:rsidRPr="00052652">
              <w:rPr>
                <w:rFonts w:ascii="Arial" w:hAnsi="Arial" w:cs="Arial"/>
                <w:b/>
                <w:lang w:val="es-MX"/>
              </w:rPr>
              <w:t xml:space="preserve">INSTITUTO NACIONAL DE FORMACIÓN TÉCNICA PROFESIONAL DE SAN JUAN DEL CESAR LA GUAJIRA – INFOTEP. </w:t>
            </w:r>
            <w:r w:rsidRPr="00052652">
              <w:rPr>
                <w:rFonts w:ascii="Arial" w:hAnsi="Arial" w:cs="Arial"/>
                <w:b/>
                <w:bCs/>
              </w:rPr>
              <w:t xml:space="preserve">3.1 Del Orden Administrativo. </w:t>
            </w:r>
            <w:r w:rsidRPr="00052652">
              <w:rPr>
                <w:rFonts w:ascii="Arial" w:hAnsi="Arial" w:cs="Arial"/>
              </w:rPr>
              <w:t>No existe un sistema de información para el manejo de inventarios y de propiedad, planta y equipos que genere cálculos automáticos y esté integrado al área de contabilidad.</w:t>
            </w:r>
          </w:p>
        </w:tc>
      </w:tr>
      <w:tr w:rsidR="00216DC0" w:rsidRPr="00E232C9" w14:paraId="0961F43E" w14:textId="77777777" w:rsidTr="00D4226B">
        <w:trPr>
          <w:jc w:val="center"/>
        </w:trPr>
        <w:tc>
          <w:tcPr>
            <w:tcW w:w="988" w:type="dxa"/>
          </w:tcPr>
          <w:p w14:paraId="58AE1E06" w14:textId="77777777" w:rsidR="00216DC0" w:rsidRDefault="00216DC0" w:rsidP="00D4226B">
            <w:pPr>
              <w:tabs>
                <w:tab w:val="left" w:pos="1920"/>
              </w:tabs>
              <w:ind w:right="-108"/>
              <w:jc w:val="center"/>
              <w:rPr>
                <w:rFonts w:ascii="Arial" w:hAnsi="Arial" w:cs="Arial"/>
                <w:b/>
                <w:color w:val="FF0000"/>
              </w:rPr>
            </w:pPr>
            <w:r w:rsidRPr="006C2926">
              <w:rPr>
                <w:rFonts w:ascii="Arial" w:hAnsi="Arial" w:cs="Arial"/>
                <w:b/>
              </w:rPr>
              <w:t>22</w:t>
            </w:r>
          </w:p>
        </w:tc>
        <w:tc>
          <w:tcPr>
            <w:tcW w:w="9497" w:type="dxa"/>
          </w:tcPr>
          <w:p w14:paraId="2AC2AC8A" w14:textId="77777777" w:rsidR="00216DC0" w:rsidRPr="006C2926" w:rsidRDefault="00216DC0" w:rsidP="00D4226B">
            <w:pPr>
              <w:pStyle w:val="Textoindependiente"/>
              <w:jc w:val="both"/>
              <w:rPr>
                <w:rFonts w:ascii="Arial" w:hAnsi="Arial" w:cs="Arial"/>
              </w:rPr>
            </w:pPr>
            <w:r w:rsidRPr="006C2926">
              <w:rPr>
                <w:rFonts w:ascii="Arial" w:hAnsi="Arial" w:cs="Arial"/>
                <w:b/>
                <w:lang w:val="es-MX"/>
              </w:rPr>
              <w:t xml:space="preserve">SUPERINTENDENCIA DE TRANSPORTE. </w:t>
            </w:r>
            <w:r w:rsidRPr="006C2926">
              <w:rPr>
                <w:rFonts w:ascii="Arial" w:hAnsi="Arial" w:cs="Arial"/>
                <w:b/>
                <w:bCs/>
              </w:rPr>
              <w:t xml:space="preserve">1.2.6. Limitaciones y deficiencias generales de tipo contable. </w:t>
            </w:r>
            <w:r w:rsidRPr="006C2926">
              <w:rPr>
                <w:rFonts w:ascii="Arial" w:hAnsi="Arial" w:cs="Arial"/>
              </w:rPr>
              <w:t>Durante la vigencia 2024, se realizó el control mediante el uso combinado de hojas de Excel y el aplicativo C-TAUX, a través de los cuales se administra, controla, consolida y depura la información. Sin embargo, dichas plataformas presentan deficiencias que no permiten un manejo eficaz de la información, generando dificultades en la generación de reportes, actualización y conciliación de los datos, y su uso en general.</w:t>
            </w:r>
          </w:p>
        </w:tc>
      </w:tr>
      <w:tr w:rsidR="00216DC0" w:rsidRPr="00E232C9" w14:paraId="3347E73C" w14:textId="77777777" w:rsidTr="00D4226B">
        <w:trPr>
          <w:jc w:val="center"/>
        </w:trPr>
        <w:tc>
          <w:tcPr>
            <w:tcW w:w="988" w:type="dxa"/>
          </w:tcPr>
          <w:p w14:paraId="0DE3944A" w14:textId="77777777" w:rsidR="00216DC0" w:rsidRDefault="00216DC0" w:rsidP="00D4226B">
            <w:pPr>
              <w:tabs>
                <w:tab w:val="left" w:pos="1920"/>
              </w:tabs>
              <w:ind w:right="-108"/>
              <w:jc w:val="center"/>
              <w:rPr>
                <w:rFonts w:ascii="Arial" w:hAnsi="Arial" w:cs="Arial"/>
                <w:b/>
                <w:color w:val="FF0000"/>
              </w:rPr>
            </w:pPr>
            <w:r w:rsidRPr="003307E2">
              <w:rPr>
                <w:rFonts w:ascii="Arial" w:hAnsi="Arial" w:cs="Arial"/>
                <w:b/>
              </w:rPr>
              <w:t>23</w:t>
            </w:r>
          </w:p>
        </w:tc>
        <w:tc>
          <w:tcPr>
            <w:tcW w:w="9497" w:type="dxa"/>
          </w:tcPr>
          <w:p w14:paraId="6EBCA356" w14:textId="77777777" w:rsidR="00216DC0" w:rsidRPr="003307E2" w:rsidRDefault="00216DC0" w:rsidP="00D4226B">
            <w:pPr>
              <w:pStyle w:val="Textoindependiente"/>
              <w:ind w:right="31"/>
              <w:jc w:val="both"/>
              <w:rPr>
                <w:rFonts w:ascii="Arial" w:hAnsi="Arial" w:cs="Arial"/>
                <w:b/>
                <w:bCs/>
              </w:rPr>
            </w:pPr>
            <w:r w:rsidRPr="003307E2">
              <w:rPr>
                <w:rFonts w:ascii="Arial" w:hAnsi="Arial" w:cs="Arial"/>
                <w:b/>
              </w:rPr>
              <w:t>UNIDAD DE SERVICIOS PENITENCIARIOS Y CARCELARIOS – USPEC</w:t>
            </w:r>
            <w:r w:rsidRPr="003307E2">
              <w:rPr>
                <w:rFonts w:ascii="Arial" w:hAnsi="Arial" w:cs="Arial"/>
                <w:b/>
                <w:lang w:val="es-MX"/>
              </w:rPr>
              <w:t xml:space="preserve">. </w:t>
            </w:r>
            <w:r w:rsidRPr="003307E2">
              <w:rPr>
                <w:rFonts w:ascii="Arial" w:hAnsi="Arial" w:cs="Arial"/>
                <w:b/>
                <w:bCs/>
              </w:rPr>
              <w:t xml:space="preserve">1.2.2.2. Limitaciones de tipo administrativo. </w:t>
            </w:r>
          </w:p>
          <w:p w14:paraId="55D30CE2" w14:textId="77777777" w:rsidR="00216DC0" w:rsidRPr="003307E2" w:rsidRDefault="00216DC0" w:rsidP="00D4226B">
            <w:pPr>
              <w:pStyle w:val="Textoindependiente"/>
              <w:ind w:right="31"/>
              <w:jc w:val="both"/>
              <w:rPr>
                <w:rFonts w:ascii="Arial" w:hAnsi="Arial" w:cs="Arial"/>
                <w:bCs/>
              </w:rPr>
            </w:pPr>
          </w:p>
          <w:p w14:paraId="1CA210A5" w14:textId="77777777" w:rsidR="00216DC0" w:rsidRPr="003307E2" w:rsidRDefault="00216DC0" w:rsidP="00D4226B">
            <w:pPr>
              <w:pStyle w:val="Textoindependiente"/>
              <w:ind w:right="31"/>
              <w:jc w:val="both"/>
              <w:rPr>
                <w:rFonts w:ascii="Arial" w:hAnsi="Arial" w:cs="Arial"/>
                <w:bCs/>
              </w:rPr>
            </w:pPr>
            <w:r w:rsidRPr="003307E2">
              <w:rPr>
                <w:rFonts w:ascii="Arial" w:hAnsi="Arial" w:cs="Arial"/>
                <w:bCs/>
              </w:rPr>
              <w:t>Si bien es cierto que la USPEC, elaboró las políticas contables y de operación con la participación de las dependencias proveedoras de información contable, la Subdirección Financiera a través de su Grupo de Contabilidad, debe interactuar con las dependencias ejecutoras del presupuesto de la Entidad para obtener una información contable con los atributos requeridos, para obtener unos estados financieros que cumplan con las características de relevancia y representación fiel.</w:t>
            </w:r>
          </w:p>
          <w:p w14:paraId="10655BEB" w14:textId="77777777" w:rsidR="00216DC0" w:rsidRPr="003307E2" w:rsidRDefault="00216DC0" w:rsidP="00D4226B">
            <w:pPr>
              <w:pStyle w:val="Textoindependiente"/>
              <w:ind w:right="31"/>
              <w:jc w:val="both"/>
              <w:rPr>
                <w:rFonts w:ascii="Arial" w:hAnsi="Arial" w:cs="Arial"/>
                <w:bCs/>
              </w:rPr>
            </w:pPr>
          </w:p>
          <w:p w14:paraId="1B83EEE9" w14:textId="77777777" w:rsidR="00216DC0" w:rsidRPr="003307E2" w:rsidRDefault="00216DC0" w:rsidP="00216DC0">
            <w:pPr>
              <w:pStyle w:val="Textoindependiente"/>
              <w:numPr>
                <w:ilvl w:val="0"/>
                <w:numId w:val="26"/>
              </w:numPr>
              <w:ind w:right="31"/>
              <w:jc w:val="both"/>
              <w:rPr>
                <w:rFonts w:ascii="Arial" w:hAnsi="Arial" w:cs="Arial"/>
                <w:bCs/>
              </w:rPr>
            </w:pPr>
            <w:r w:rsidRPr="003307E2">
              <w:rPr>
                <w:rFonts w:ascii="Arial" w:hAnsi="Arial" w:cs="Arial"/>
                <w:bCs/>
              </w:rPr>
              <w:t>No se cuenta con personal profesional y técnico suficiente, para realizar los procesos de conciliaciones de saldos, con cada una de las áreas proveedoras de información, así mismo, por cada una de las cuentas contables.</w:t>
            </w:r>
          </w:p>
          <w:p w14:paraId="2F711E63" w14:textId="77777777" w:rsidR="00216DC0" w:rsidRPr="003307E2" w:rsidRDefault="00216DC0" w:rsidP="00D4226B">
            <w:pPr>
              <w:pStyle w:val="Textoindependiente"/>
              <w:ind w:left="720" w:right="31"/>
              <w:jc w:val="both"/>
              <w:rPr>
                <w:rFonts w:ascii="Arial" w:hAnsi="Arial" w:cs="Arial"/>
                <w:bCs/>
              </w:rPr>
            </w:pPr>
          </w:p>
          <w:p w14:paraId="21A78938" w14:textId="77777777" w:rsidR="00216DC0" w:rsidRPr="003307E2" w:rsidRDefault="00216DC0" w:rsidP="00216DC0">
            <w:pPr>
              <w:pStyle w:val="Textoindependiente"/>
              <w:numPr>
                <w:ilvl w:val="0"/>
                <w:numId w:val="26"/>
              </w:numPr>
              <w:ind w:right="31"/>
              <w:jc w:val="both"/>
              <w:rPr>
                <w:rFonts w:ascii="Arial" w:hAnsi="Arial" w:cs="Arial"/>
                <w:bCs/>
              </w:rPr>
            </w:pPr>
            <w:r w:rsidRPr="003307E2">
              <w:rPr>
                <w:rFonts w:ascii="Arial" w:hAnsi="Arial" w:cs="Arial"/>
                <w:bCs/>
              </w:rPr>
              <w:t>No se cuenta con un grupo especializado de planta en la USPEC, para el tema Tributario, la entidad es responsable en la liquidación, registro, elaboración y reporte de declaraciones tributarias, e información exógena, a nivel Nacional, Distrital y Municipal.</w:t>
            </w:r>
          </w:p>
        </w:tc>
      </w:tr>
      <w:tr w:rsidR="00216DC0" w:rsidRPr="00E232C9" w14:paraId="1E9E27E3" w14:textId="77777777" w:rsidTr="00D4226B">
        <w:trPr>
          <w:jc w:val="center"/>
        </w:trPr>
        <w:tc>
          <w:tcPr>
            <w:tcW w:w="988" w:type="dxa"/>
          </w:tcPr>
          <w:p w14:paraId="687EC3FC" w14:textId="77777777" w:rsidR="00216DC0" w:rsidRPr="00AB4F26" w:rsidRDefault="00216DC0" w:rsidP="00D4226B">
            <w:pPr>
              <w:tabs>
                <w:tab w:val="left" w:pos="1920"/>
              </w:tabs>
              <w:ind w:right="-108"/>
              <w:jc w:val="center"/>
              <w:rPr>
                <w:rFonts w:ascii="Arial" w:hAnsi="Arial" w:cs="Arial"/>
                <w:b/>
              </w:rPr>
            </w:pPr>
            <w:r w:rsidRPr="00AB4F26">
              <w:rPr>
                <w:rFonts w:ascii="Arial" w:hAnsi="Arial" w:cs="Arial"/>
                <w:b/>
              </w:rPr>
              <w:t>24</w:t>
            </w:r>
          </w:p>
        </w:tc>
        <w:tc>
          <w:tcPr>
            <w:tcW w:w="9497" w:type="dxa"/>
          </w:tcPr>
          <w:p w14:paraId="6231768F" w14:textId="77777777" w:rsidR="00216DC0" w:rsidRPr="00AB4F26" w:rsidRDefault="00216DC0" w:rsidP="00D4226B">
            <w:pPr>
              <w:pStyle w:val="Textoindependiente"/>
              <w:ind w:right="31"/>
              <w:jc w:val="both"/>
              <w:rPr>
                <w:rFonts w:ascii="Arial" w:hAnsi="Arial" w:cs="Arial"/>
                <w:b/>
                <w:bCs/>
                <w:sz w:val="28"/>
                <w:szCs w:val="28"/>
              </w:rPr>
            </w:pPr>
            <w:r w:rsidRPr="00AB4F26">
              <w:rPr>
                <w:rFonts w:ascii="Arial" w:hAnsi="Arial" w:cs="Arial"/>
                <w:b/>
                <w:lang w:val="es-MX"/>
              </w:rPr>
              <w:t xml:space="preserve">MINISTERIO DE JUSTICIA Y DEL DERECHO. </w:t>
            </w:r>
            <w:r w:rsidRPr="00AB4F26">
              <w:rPr>
                <w:rFonts w:ascii="Arial" w:hAnsi="Arial" w:cs="Arial"/>
                <w:b/>
                <w:bCs/>
              </w:rPr>
              <w:t xml:space="preserve">1.2.2 Limitaciones de tipo Administrativo. </w:t>
            </w:r>
            <w:r w:rsidRPr="00AB4F26">
              <w:rPr>
                <w:rFonts w:ascii="Arial" w:hAnsi="Arial" w:cs="Arial"/>
              </w:rPr>
              <w:t>Fortalecer el proceso de capacitaciones relacionada con Ofimática a fin de agilizar los procesos y disminuir o evitar los reprocesos, igualmente las capacitaciones en temas especializados como impuestos, información exógena dados los permanentes cambios normativos y procedimentales en la materia.</w:t>
            </w:r>
          </w:p>
        </w:tc>
      </w:tr>
      <w:tr w:rsidR="00216DC0" w:rsidRPr="00E232C9" w14:paraId="6A5AF7F3" w14:textId="77777777" w:rsidTr="00D4226B">
        <w:trPr>
          <w:jc w:val="center"/>
        </w:trPr>
        <w:tc>
          <w:tcPr>
            <w:tcW w:w="988" w:type="dxa"/>
          </w:tcPr>
          <w:p w14:paraId="346D046F" w14:textId="77777777" w:rsidR="00216DC0" w:rsidRDefault="00216DC0" w:rsidP="00D4226B">
            <w:pPr>
              <w:tabs>
                <w:tab w:val="left" w:pos="1920"/>
              </w:tabs>
              <w:ind w:right="-108"/>
              <w:jc w:val="center"/>
              <w:rPr>
                <w:rFonts w:ascii="Arial" w:hAnsi="Arial" w:cs="Arial"/>
                <w:b/>
                <w:color w:val="FF0000"/>
              </w:rPr>
            </w:pPr>
            <w:r w:rsidRPr="0010664F">
              <w:rPr>
                <w:rFonts w:ascii="Arial" w:hAnsi="Arial" w:cs="Arial"/>
                <w:b/>
                <w:color w:val="000000" w:themeColor="text1"/>
              </w:rPr>
              <w:t>25</w:t>
            </w:r>
          </w:p>
        </w:tc>
        <w:tc>
          <w:tcPr>
            <w:tcW w:w="9497" w:type="dxa"/>
          </w:tcPr>
          <w:p w14:paraId="554FEF6A" w14:textId="77777777" w:rsidR="00216DC0" w:rsidRPr="0010664F" w:rsidRDefault="00216DC0" w:rsidP="00D4226B">
            <w:pPr>
              <w:pStyle w:val="Textoindependiente"/>
              <w:ind w:right="-50"/>
              <w:jc w:val="both"/>
              <w:rPr>
                <w:rFonts w:ascii="Arial" w:hAnsi="Arial" w:cs="Arial"/>
                <w:bCs/>
              </w:rPr>
            </w:pPr>
            <w:r w:rsidRPr="0010664F">
              <w:rPr>
                <w:rFonts w:ascii="Arial" w:hAnsi="Arial" w:cs="Arial"/>
                <w:b/>
              </w:rPr>
              <w:t xml:space="preserve">UNIVERSIDAD TECNOLÓGICA DEL CHOCÓ - DIEGO LUIS CÓRDOBA. </w:t>
            </w:r>
            <w:r w:rsidRPr="0010664F">
              <w:rPr>
                <w:rFonts w:ascii="Arial" w:hAnsi="Arial" w:cs="Arial"/>
                <w:b/>
                <w:bCs/>
              </w:rPr>
              <w:t xml:space="preserve">DE LAS NOTAS DE CARÁCTER GENERAL – </w:t>
            </w:r>
            <w:r w:rsidRPr="0010664F">
              <w:rPr>
                <w:rFonts w:ascii="Arial" w:hAnsi="Arial" w:cs="Arial"/>
                <w:bCs/>
              </w:rPr>
              <w:t>Las limitaciones operativas y administrativas que impactan el proceso contable se describen a continuación:</w:t>
            </w:r>
          </w:p>
          <w:p w14:paraId="76A08E38" w14:textId="77777777" w:rsidR="00216DC0" w:rsidRPr="0010664F" w:rsidRDefault="00216DC0" w:rsidP="00D4226B">
            <w:pPr>
              <w:pStyle w:val="Textoindependiente"/>
              <w:ind w:right="-50"/>
              <w:jc w:val="both"/>
              <w:rPr>
                <w:rFonts w:ascii="Arial" w:hAnsi="Arial" w:cs="Arial"/>
                <w:bCs/>
              </w:rPr>
            </w:pPr>
          </w:p>
          <w:p w14:paraId="087CFCF3"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1. La Universidad en el transcurso de la vigencia 2024 continuó con el proceso de reimplantación del software administrativo y financiero - GESTASOFT; en la actualidad se han integrado los módulos de contratación, almacén, facturación, talento humano, tesorería, presupuesto y contabilidad y se logró la parametrización de cada módulo, pero con pequeñas limitaciones de carácter técnico que se vienen abordando en la institución y reportando al proveedor del software tecnológico para la corrección de los errores que se logren identificar, con la finalidad de contar con un software optimo y eficaz. </w:t>
            </w:r>
          </w:p>
          <w:p w14:paraId="3E009A78" w14:textId="77777777" w:rsidR="00216DC0" w:rsidRPr="0010664F" w:rsidRDefault="00216DC0" w:rsidP="00D4226B">
            <w:pPr>
              <w:pStyle w:val="Textoindependiente"/>
              <w:ind w:right="-50"/>
              <w:jc w:val="both"/>
              <w:rPr>
                <w:rFonts w:ascii="Arial" w:hAnsi="Arial" w:cs="Arial"/>
              </w:rPr>
            </w:pPr>
          </w:p>
          <w:p w14:paraId="3832BD2B"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2. Producto del escenario antes mencionado, existen grandes deficiencias en el sistema integrado de gestión administrativa y financiera, situación tal que dificulta enormemente el proceso de cruce de información generada por las distintas unidades académicas y administrativas de la Universidad, en consecuencia, la información no es oportuna, generando reprocesos manuales de verificación y registro. </w:t>
            </w:r>
          </w:p>
          <w:p w14:paraId="0D8FF0B8" w14:textId="77777777" w:rsidR="00216DC0" w:rsidRPr="0010664F" w:rsidRDefault="00216DC0" w:rsidP="00D4226B">
            <w:pPr>
              <w:pStyle w:val="Textoindependiente"/>
              <w:ind w:right="-50"/>
              <w:jc w:val="both"/>
              <w:rPr>
                <w:rFonts w:ascii="Arial" w:hAnsi="Arial" w:cs="Arial"/>
              </w:rPr>
            </w:pPr>
          </w:p>
          <w:p w14:paraId="66126B01"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3. No existe el enlace sistemático financiero integrado (Software) que permita realizar la trazabilidad o interfaz de la información entre almacén, presupuesto, nomina, planeación, cartera, tesorería y facturación; esta situación no permite que la información cumpla la trazabilidad y dicha información la remiten en unos aplicativos modulares desarrollados internamente en Excel. </w:t>
            </w:r>
          </w:p>
          <w:p w14:paraId="6B9FECFD" w14:textId="77777777" w:rsidR="00216DC0" w:rsidRPr="0010664F" w:rsidRDefault="00216DC0" w:rsidP="00D4226B">
            <w:pPr>
              <w:pStyle w:val="Textoindependiente"/>
              <w:ind w:right="-50"/>
              <w:jc w:val="both"/>
              <w:rPr>
                <w:rFonts w:ascii="Arial" w:hAnsi="Arial" w:cs="Arial"/>
              </w:rPr>
            </w:pPr>
          </w:p>
          <w:p w14:paraId="715387C4"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4. Insuficiencia de herramientas tecnológicas y de trabajo en general para la garantía del cumplimiento de las funciones asignadas. (Equipos, internet, espacio) </w:t>
            </w:r>
          </w:p>
          <w:p w14:paraId="2C8C4CBC" w14:textId="77777777" w:rsidR="00216DC0" w:rsidRPr="0010664F" w:rsidRDefault="00216DC0" w:rsidP="00D4226B">
            <w:pPr>
              <w:pStyle w:val="Textoindependiente"/>
              <w:ind w:right="-50"/>
              <w:jc w:val="both"/>
              <w:rPr>
                <w:rFonts w:ascii="Arial" w:hAnsi="Arial" w:cs="Arial"/>
              </w:rPr>
            </w:pPr>
          </w:p>
          <w:p w14:paraId="1D689CBE"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5. Deficiencias en la calidad de la información de fuentes primarias y secundarias para la alimentación de los sistemas de información. </w:t>
            </w:r>
          </w:p>
          <w:p w14:paraId="5151F3B3" w14:textId="77777777" w:rsidR="00216DC0" w:rsidRPr="0010664F" w:rsidRDefault="00216DC0" w:rsidP="00D4226B">
            <w:pPr>
              <w:pStyle w:val="Textoindependiente"/>
              <w:ind w:right="-50"/>
              <w:jc w:val="both"/>
              <w:rPr>
                <w:rFonts w:ascii="Arial" w:hAnsi="Arial" w:cs="Arial"/>
                <w:bCs/>
              </w:rPr>
            </w:pPr>
            <w:r w:rsidRPr="0010664F">
              <w:rPr>
                <w:rFonts w:ascii="Arial" w:hAnsi="Arial" w:cs="Arial"/>
              </w:rPr>
              <w:t>6. Falta de automatización de políticas y estimaciones contables según el Marco Normativo para Entidades de Gobierno, generando más reprocesos manuales que pueden ocasionar demoras en la presentación de los Estados Financieros y deficiencias en la calidad de la información.</w:t>
            </w:r>
          </w:p>
          <w:p w14:paraId="4FFEE93A" w14:textId="77777777" w:rsidR="00216DC0" w:rsidRPr="0010664F" w:rsidRDefault="00216DC0" w:rsidP="00D4226B">
            <w:pPr>
              <w:pStyle w:val="Textoindependiente"/>
              <w:ind w:right="-50"/>
              <w:jc w:val="both"/>
              <w:rPr>
                <w:rFonts w:ascii="Arial" w:hAnsi="Arial" w:cs="Arial"/>
                <w:b/>
                <w:bCs/>
              </w:rPr>
            </w:pPr>
          </w:p>
          <w:p w14:paraId="01462FB0" w14:textId="77777777" w:rsidR="00216DC0" w:rsidRPr="0010664F" w:rsidRDefault="00216DC0" w:rsidP="00D4226B">
            <w:pPr>
              <w:pStyle w:val="Textoindependiente"/>
              <w:ind w:right="-50"/>
              <w:jc w:val="both"/>
              <w:rPr>
                <w:rFonts w:ascii="Arial" w:hAnsi="Arial" w:cs="Arial"/>
                <w:b/>
                <w:bCs/>
              </w:rPr>
            </w:pPr>
            <w:r w:rsidRPr="0010664F">
              <w:rPr>
                <w:rFonts w:ascii="Arial" w:hAnsi="Arial" w:cs="Arial"/>
                <w:b/>
                <w:bCs/>
              </w:rPr>
              <w:t>1.5. Hechos Relevantes y Contingencias Ocurridas en el Periodo Reportado – 1.5.1. Medidas preventivas y de vigilancia especial – resolución 018742 de 2023.</w:t>
            </w:r>
          </w:p>
          <w:p w14:paraId="7CA02FB3" w14:textId="77777777" w:rsidR="00216DC0" w:rsidRPr="0010664F" w:rsidRDefault="00216DC0" w:rsidP="00D4226B">
            <w:pPr>
              <w:pStyle w:val="Textoindependiente"/>
              <w:ind w:right="-50"/>
              <w:jc w:val="both"/>
              <w:rPr>
                <w:rFonts w:ascii="Arial" w:hAnsi="Arial" w:cs="Arial"/>
                <w:b/>
                <w:bCs/>
              </w:rPr>
            </w:pPr>
          </w:p>
          <w:p w14:paraId="2852F225"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Las medidas de inspección y vigilancia especial por parte del Ministerio de Educación Nacional conforme a lo dispuesto en la Resolución 018742 del 06 de octubre de 2023. Dicha resolución fue emitida con fundamento en el artículo 2.5.3.2.10.1 del Decreto 1075 de 2015, en concordancia con el artículo 4 de la Ley 1740 de 2014, los cuales establecen la facultad del Ministerio de Educación Nacional para adoptar medidas de inspección y vigilancia especial cuando se evidencien deficiencias graves en la gestión institucional que puedan comprometer la viabilidad financiera o la calidad educativa de la institución.</w:t>
            </w:r>
          </w:p>
          <w:p w14:paraId="11204E16" w14:textId="77777777" w:rsidR="00216DC0" w:rsidRPr="0010664F" w:rsidRDefault="00216DC0" w:rsidP="00D4226B">
            <w:pPr>
              <w:pStyle w:val="Textoindependiente"/>
              <w:ind w:right="-50"/>
              <w:jc w:val="both"/>
              <w:rPr>
                <w:rFonts w:ascii="Arial" w:hAnsi="Arial" w:cs="Arial"/>
              </w:rPr>
            </w:pPr>
          </w:p>
          <w:p w14:paraId="1F6050E6"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El artículo 4 de la Ley 1740 de 2014 establece: "El Ministerio de Educación Nacional, en ejercicio de la inspección y vigilancia de las instituciones de educación superior, podrá adoptar medidas preventivas o correctivas cuando se presenten situaciones que afecten la prestación del servicio público de educación superior o comprometan la sostenibilidad financiera de la institución". </w:t>
            </w:r>
          </w:p>
          <w:p w14:paraId="4D0C5627" w14:textId="77777777" w:rsidR="00216DC0" w:rsidRPr="0010664F" w:rsidRDefault="00216DC0" w:rsidP="00D4226B">
            <w:pPr>
              <w:pStyle w:val="Textoindependiente"/>
              <w:ind w:right="-50"/>
              <w:jc w:val="both"/>
              <w:rPr>
                <w:rFonts w:ascii="Arial" w:hAnsi="Arial" w:cs="Arial"/>
              </w:rPr>
            </w:pPr>
          </w:p>
          <w:p w14:paraId="6D5204C2"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La imposición de la medida se debe a supuestas deficiencias detectadas en la gestión financiera, administrativa y académica de la institución, que presuntamente ponían en riesgo su sostenibilidad y cumplimiento misional. Entre los hallazgos se señalan inadecuados controles financieros, desbalance en la ejecución presupuestal y dificultades en la operación de los fondos universitarios. </w:t>
            </w:r>
          </w:p>
          <w:p w14:paraId="7E8D8A92" w14:textId="77777777" w:rsidR="00216DC0" w:rsidRPr="0010664F" w:rsidRDefault="00216DC0" w:rsidP="00D4226B">
            <w:pPr>
              <w:pStyle w:val="Textoindependiente"/>
              <w:ind w:right="-50"/>
              <w:jc w:val="both"/>
              <w:rPr>
                <w:rFonts w:ascii="Arial" w:hAnsi="Arial" w:cs="Arial"/>
              </w:rPr>
            </w:pPr>
          </w:p>
          <w:p w14:paraId="170A0C3C"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La Vigilancia Especial fue impuesta en virtud de la causal c del artículo 11 de la Ley 1740 de 2014, que establece: "Que los recursos o rentas de la institución están siendo conservados, invertidos, aplicados o arbitrados indebidamente, con fines diferentes al cumplimiento de su misión y función institucional, o en actividades diferentes a las propias y exclusivas de la institución, teniendo en cuenta lo que dispone la Constitución, la ley y sus estatutos." </w:t>
            </w:r>
          </w:p>
          <w:p w14:paraId="778423BF" w14:textId="77777777" w:rsidR="00216DC0" w:rsidRPr="0010664F" w:rsidRDefault="00216DC0" w:rsidP="00D4226B">
            <w:pPr>
              <w:pStyle w:val="Textoindependiente"/>
              <w:ind w:right="-50"/>
              <w:jc w:val="both"/>
              <w:rPr>
                <w:rFonts w:ascii="Arial" w:hAnsi="Arial" w:cs="Arial"/>
              </w:rPr>
            </w:pPr>
          </w:p>
          <w:p w14:paraId="235C614E"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Alcance de las medidas impuestas.</w:t>
            </w:r>
            <w:r w:rsidRPr="0010664F">
              <w:rPr>
                <w:rFonts w:ascii="Arial" w:hAnsi="Arial" w:cs="Arial"/>
              </w:rPr>
              <w:t xml:space="preserve"> Las medidas preventivas y de vigilancia especial impuestas a la institución incluyen: </w:t>
            </w:r>
          </w:p>
          <w:p w14:paraId="2A0DBE2F" w14:textId="77777777" w:rsidR="00216DC0" w:rsidRPr="0010664F" w:rsidRDefault="00216DC0" w:rsidP="00D4226B">
            <w:pPr>
              <w:pStyle w:val="Textoindependiente"/>
              <w:ind w:right="-50"/>
              <w:jc w:val="both"/>
              <w:rPr>
                <w:rFonts w:ascii="Arial" w:hAnsi="Arial" w:cs="Arial"/>
              </w:rPr>
            </w:pPr>
          </w:p>
          <w:p w14:paraId="6C45EA89"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Medidas Preventivas:</w:t>
            </w:r>
            <w:r w:rsidRPr="0010664F">
              <w:rPr>
                <w:rFonts w:ascii="Arial" w:hAnsi="Arial" w:cs="Arial"/>
              </w:rPr>
              <w:t xml:space="preserve"> </w:t>
            </w:r>
          </w:p>
          <w:p w14:paraId="51438553" w14:textId="77777777" w:rsidR="00216DC0" w:rsidRPr="0010664F" w:rsidRDefault="00216DC0" w:rsidP="00D4226B">
            <w:pPr>
              <w:pStyle w:val="Textoindependiente"/>
              <w:ind w:right="-50"/>
              <w:jc w:val="both"/>
              <w:rPr>
                <w:rFonts w:ascii="Arial" w:hAnsi="Arial" w:cs="Arial"/>
              </w:rPr>
            </w:pPr>
          </w:p>
          <w:p w14:paraId="265EAF39" w14:textId="77777777" w:rsidR="00216DC0" w:rsidRPr="0010664F" w:rsidRDefault="00216DC0" w:rsidP="00AE3935">
            <w:pPr>
              <w:pStyle w:val="Textoindependiente"/>
              <w:numPr>
                <w:ilvl w:val="0"/>
                <w:numId w:val="65"/>
              </w:numPr>
              <w:ind w:right="-50"/>
              <w:jc w:val="both"/>
              <w:rPr>
                <w:rFonts w:ascii="Arial" w:hAnsi="Arial" w:cs="Arial"/>
                <w:b/>
                <w:bCs/>
              </w:rPr>
            </w:pPr>
            <w:r w:rsidRPr="0010664F">
              <w:rPr>
                <w:rFonts w:ascii="Arial" w:hAnsi="Arial" w:cs="Arial"/>
              </w:rPr>
              <w:t xml:space="preserve">Disponer la vigilancia especial de la Universidad Tecnológica del Chocó - Diego Luis Córdoba por evidenciarse la causal del literal c del artículo 11 de la Ley 1740 de 2014. </w:t>
            </w:r>
          </w:p>
          <w:p w14:paraId="1974F108" w14:textId="77777777" w:rsidR="00216DC0" w:rsidRPr="0010664F" w:rsidRDefault="00216DC0" w:rsidP="00D4226B">
            <w:pPr>
              <w:pStyle w:val="Textoindependiente"/>
              <w:ind w:left="720" w:right="-50"/>
              <w:jc w:val="both"/>
              <w:rPr>
                <w:rFonts w:ascii="Arial" w:hAnsi="Arial" w:cs="Arial"/>
                <w:b/>
                <w:bCs/>
              </w:rPr>
            </w:pPr>
          </w:p>
          <w:p w14:paraId="364F72C9" w14:textId="77777777" w:rsidR="00216DC0" w:rsidRPr="0010664F" w:rsidRDefault="00216DC0" w:rsidP="00AE3935">
            <w:pPr>
              <w:pStyle w:val="Textoindependiente"/>
              <w:numPr>
                <w:ilvl w:val="0"/>
                <w:numId w:val="65"/>
              </w:numPr>
              <w:ind w:right="-50"/>
              <w:jc w:val="both"/>
              <w:rPr>
                <w:rFonts w:ascii="Arial" w:hAnsi="Arial" w:cs="Arial"/>
                <w:b/>
                <w:bCs/>
              </w:rPr>
            </w:pPr>
            <w:r w:rsidRPr="0010664F">
              <w:rPr>
                <w:rFonts w:ascii="Arial" w:hAnsi="Arial" w:cs="Arial"/>
              </w:rPr>
              <w:t>Ordenar a la institución que elabore, implemente y ejecute un plan de mejoramiento para corregir las irregularidades detectadas, previa presentación y aprobación ante el Ministerio de Educación Nacional.</w:t>
            </w:r>
          </w:p>
          <w:p w14:paraId="20F3494F" w14:textId="77777777" w:rsidR="00216DC0" w:rsidRPr="0010664F" w:rsidRDefault="00216DC0" w:rsidP="00D4226B">
            <w:pPr>
              <w:pStyle w:val="Prrafodelista"/>
              <w:rPr>
                <w:rFonts w:ascii="Arial" w:hAnsi="Arial" w:cs="Arial"/>
              </w:rPr>
            </w:pPr>
          </w:p>
          <w:p w14:paraId="30502FB2" w14:textId="77777777" w:rsidR="00216DC0" w:rsidRPr="0010664F" w:rsidRDefault="00216DC0" w:rsidP="00AE3935">
            <w:pPr>
              <w:pStyle w:val="Textoindependiente"/>
              <w:numPr>
                <w:ilvl w:val="0"/>
                <w:numId w:val="65"/>
              </w:numPr>
              <w:ind w:right="-50"/>
              <w:jc w:val="both"/>
              <w:rPr>
                <w:rFonts w:ascii="Arial" w:hAnsi="Arial" w:cs="Arial"/>
                <w:b/>
                <w:bCs/>
              </w:rPr>
            </w:pPr>
            <w:r w:rsidRPr="0010664F">
              <w:rPr>
                <w:rFonts w:ascii="Arial" w:hAnsi="Arial" w:cs="Arial"/>
              </w:rPr>
              <w:lastRenderedPageBreak/>
              <w:t xml:space="preserve">Establecer condiciones específicas que la universidad debe atender para corregir irregularidades administrativas, financieras o de calidad que puedan afectar el servicio público de educación superior. </w:t>
            </w:r>
          </w:p>
          <w:p w14:paraId="0F428AE5" w14:textId="77777777" w:rsidR="00216DC0" w:rsidRPr="0010664F" w:rsidRDefault="00216DC0" w:rsidP="00D4226B">
            <w:pPr>
              <w:pStyle w:val="Textoindependiente"/>
              <w:ind w:right="-50"/>
              <w:jc w:val="both"/>
              <w:rPr>
                <w:rFonts w:ascii="Arial" w:hAnsi="Arial" w:cs="Arial"/>
                <w:b/>
                <w:bCs/>
              </w:rPr>
            </w:pPr>
          </w:p>
          <w:p w14:paraId="06D734C2"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Medidas de Vigilancia Especial:</w:t>
            </w:r>
            <w:r w:rsidRPr="0010664F">
              <w:rPr>
                <w:rFonts w:ascii="Arial" w:hAnsi="Arial" w:cs="Arial"/>
              </w:rPr>
              <w:t xml:space="preserve"> </w:t>
            </w:r>
          </w:p>
          <w:p w14:paraId="090FA77C" w14:textId="77777777" w:rsidR="00216DC0" w:rsidRPr="0010664F" w:rsidRDefault="00216DC0" w:rsidP="00D4226B">
            <w:pPr>
              <w:pStyle w:val="Textoindependiente"/>
              <w:ind w:right="-50"/>
              <w:jc w:val="both"/>
              <w:rPr>
                <w:rFonts w:ascii="Arial" w:hAnsi="Arial" w:cs="Arial"/>
              </w:rPr>
            </w:pPr>
          </w:p>
          <w:p w14:paraId="3898EB95" w14:textId="77777777" w:rsidR="00216DC0" w:rsidRPr="0010664F" w:rsidRDefault="00216DC0" w:rsidP="00AE3935">
            <w:pPr>
              <w:pStyle w:val="Textoindependiente"/>
              <w:numPr>
                <w:ilvl w:val="0"/>
                <w:numId w:val="66"/>
              </w:numPr>
              <w:ind w:right="-50"/>
              <w:jc w:val="both"/>
              <w:rPr>
                <w:rFonts w:ascii="Arial" w:hAnsi="Arial" w:cs="Arial"/>
                <w:b/>
                <w:bCs/>
              </w:rPr>
            </w:pPr>
            <w:r w:rsidRPr="0010664F">
              <w:rPr>
                <w:rFonts w:ascii="Arial" w:hAnsi="Arial" w:cs="Arial"/>
              </w:rPr>
              <w:t xml:space="preserve">Designación de un Inspector in situ, quien vigilará de manera permanente la gestión administrativa y financiera de la universidad hasta la superación de las irregularidades. </w:t>
            </w:r>
          </w:p>
          <w:p w14:paraId="5D927B0F" w14:textId="77777777" w:rsidR="00216DC0" w:rsidRPr="0010664F" w:rsidRDefault="00216DC0" w:rsidP="00D4226B">
            <w:pPr>
              <w:pStyle w:val="Textoindependiente"/>
              <w:ind w:left="720" w:right="-50"/>
              <w:jc w:val="both"/>
              <w:rPr>
                <w:rFonts w:ascii="Arial" w:hAnsi="Arial" w:cs="Arial"/>
                <w:b/>
                <w:bCs/>
              </w:rPr>
            </w:pPr>
          </w:p>
          <w:p w14:paraId="5787D6AC" w14:textId="77777777" w:rsidR="00216DC0" w:rsidRPr="0010664F" w:rsidRDefault="00216DC0" w:rsidP="00AE3935">
            <w:pPr>
              <w:pStyle w:val="Textoindependiente"/>
              <w:numPr>
                <w:ilvl w:val="0"/>
                <w:numId w:val="66"/>
              </w:numPr>
              <w:ind w:right="-50"/>
              <w:jc w:val="both"/>
              <w:rPr>
                <w:rFonts w:ascii="Arial" w:hAnsi="Arial" w:cs="Arial"/>
                <w:b/>
                <w:bCs/>
              </w:rPr>
            </w:pPr>
            <w:r w:rsidRPr="0010664F">
              <w:rPr>
                <w:rFonts w:ascii="Arial" w:hAnsi="Arial" w:cs="Arial"/>
              </w:rPr>
              <w:t xml:space="preserve">Orden de constitución de una fiducia para el manejo de los recursos y rentas de la universidad, garantizando que estos sean conservados, invertidos y aplicados exclusivamente en el cumplimiento de su misión institucional. </w:t>
            </w:r>
          </w:p>
          <w:p w14:paraId="114377BA" w14:textId="77777777" w:rsidR="00216DC0" w:rsidRPr="0010664F" w:rsidRDefault="00216DC0" w:rsidP="00D4226B">
            <w:pPr>
              <w:pStyle w:val="Prrafodelista"/>
              <w:rPr>
                <w:rFonts w:ascii="Arial" w:hAnsi="Arial" w:cs="Arial"/>
              </w:rPr>
            </w:pPr>
          </w:p>
          <w:p w14:paraId="6454DBFB" w14:textId="77777777" w:rsidR="00216DC0" w:rsidRPr="0010664F" w:rsidRDefault="00216DC0" w:rsidP="00AE3935">
            <w:pPr>
              <w:pStyle w:val="Textoindependiente"/>
              <w:numPr>
                <w:ilvl w:val="0"/>
                <w:numId w:val="66"/>
              </w:numPr>
              <w:ind w:right="-50"/>
              <w:jc w:val="both"/>
              <w:rPr>
                <w:rFonts w:ascii="Arial" w:hAnsi="Arial" w:cs="Arial"/>
                <w:b/>
                <w:bCs/>
              </w:rPr>
            </w:pPr>
            <w:r w:rsidRPr="0010664F">
              <w:rPr>
                <w:rFonts w:ascii="Arial" w:hAnsi="Arial" w:cs="Arial"/>
              </w:rPr>
              <w:t xml:space="preserve">Prohibición de recibir ingresos fuera de la fiducia, incluyendo matrículas y otros pagos por derechos académicos, con la obligación de destinar los recursos únicamente a necesidades académicas, administrativas y financieras. </w:t>
            </w:r>
          </w:p>
          <w:p w14:paraId="26881BFA" w14:textId="77777777" w:rsidR="00216DC0" w:rsidRPr="0010664F" w:rsidRDefault="00216DC0" w:rsidP="00D4226B">
            <w:pPr>
              <w:pStyle w:val="Prrafodelista"/>
              <w:rPr>
                <w:rFonts w:ascii="Arial" w:hAnsi="Arial" w:cs="Arial"/>
              </w:rPr>
            </w:pPr>
          </w:p>
          <w:p w14:paraId="4EA61FF5" w14:textId="77777777" w:rsidR="00216DC0" w:rsidRPr="0010664F" w:rsidRDefault="00216DC0" w:rsidP="00AE3935">
            <w:pPr>
              <w:pStyle w:val="Textoindependiente"/>
              <w:numPr>
                <w:ilvl w:val="0"/>
                <w:numId w:val="66"/>
              </w:numPr>
              <w:ind w:right="-50"/>
              <w:jc w:val="both"/>
              <w:rPr>
                <w:rFonts w:ascii="Arial" w:hAnsi="Arial" w:cs="Arial"/>
                <w:b/>
                <w:bCs/>
              </w:rPr>
            </w:pPr>
            <w:r w:rsidRPr="0010664F">
              <w:rPr>
                <w:rFonts w:ascii="Arial" w:hAnsi="Arial" w:cs="Arial"/>
              </w:rPr>
              <w:t xml:space="preserve">Obligación de la universidad de contar con un auditor de pagos interno, quien deberá rendir informes periódicos de su actividad al Inspector in situ y a la Subdirección de Inspección y Vigilancia del Ministerio de Educación Nacional. </w:t>
            </w:r>
          </w:p>
          <w:p w14:paraId="5624E78C" w14:textId="77777777" w:rsidR="00216DC0" w:rsidRPr="0010664F" w:rsidRDefault="00216DC0" w:rsidP="00D4226B">
            <w:pPr>
              <w:pStyle w:val="Textoindependiente"/>
              <w:ind w:right="-50"/>
              <w:jc w:val="both"/>
              <w:rPr>
                <w:rFonts w:ascii="Arial" w:hAnsi="Arial" w:cs="Arial"/>
                <w:b/>
                <w:bCs/>
              </w:rPr>
            </w:pPr>
          </w:p>
          <w:p w14:paraId="60D3D520"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Impacto en la información financiera</w:t>
            </w:r>
            <w:r w:rsidRPr="0010664F">
              <w:rPr>
                <w:rFonts w:ascii="Arial" w:hAnsi="Arial" w:cs="Arial"/>
              </w:rPr>
              <w:t xml:space="preserve">: Como resultado de la aplicación de esta medida, la universidad ha implementado ajustes en su gestión financiera los cuales han tenido impacto en la información contable y presupuestal: </w:t>
            </w:r>
          </w:p>
          <w:p w14:paraId="39A422B6" w14:textId="77777777" w:rsidR="00216DC0" w:rsidRPr="0010664F" w:rsidRDefault="00216DC0" w:rsidP="00D4226B">
            <w:pPr>
              <w:pStyle w:val="Textoindependiente"/>
              <w:ind w:right="-50"/>
              <w:jc w:val="both"/>
              <w:rPr>
                <w:rFonts w:ascii="Arial" w:hAnsi="Arial" w:cs="Arial"/>
              </w:rPr>
            </w:pPr>
          </w:p>
          <w:p w14:paraId="68D48425" w14:textId="77777777" w:rsidR="00216DC0" w:rsidRPr="0010664F" w:rsidRDefault="00216DC0" w:rsidP="00AE3935">
            <w:pPr>
              <w:pStyle w:val="Textoindependiente"/>
              <w:numPr>
                <w:ilvl w:val="0"/>
                <w:numId w:val="67"/>
              </w:numPr>
              <w:ind w:right="-50"/>
              <w:jc w:val="both"/>
              <w:rPr>
                <w:rFonts w:ascii="Arial" w:hAnsi="Arial" w:cs="Arial"/>
                <w:b/>
                <w:bCs/>
              </w:rPr>
            </w:pPr>
            <w:r w:rsidRPr="0010664F">
              <w:rPr>
                <w:rFonts w:ascii="Arial" w:hAnsi="Arial" w:cs="Arial"/>
              </w:rPr>
              <w:t xml:space="preserve">Modificaciones en la ejecución de pagos. Se han implementado controles más estrictos sobre el flujo de caja afectando los tiempos de desembolso de obligaciones como cesantías, nómina y contratos. </w:t>
            </w:r>
          </w:p>
          <w:p w14:paraId="3BDE6C17" w14:textId="77777777" w:rsidR="00216DC0" w:rsidRPr="0010664F" w:rsidRDefault="00216DC0" w:rsidP="00D4226B">
            <w:pPr>
              <w:pStyle w:val="Textoindependiente"/>
              <w:ind w:left="720" w:right="-50"/>
              <w:jc w:val="both"/>
              <w:rPr>
                <w:rFonts w:ascii="Arial" w:hAnsi="Arial" w:cs="Arial"/>
                <w:b/>
                <w:bCs/>
              </w:rPr>
            </w:pPr>
          </w:p>
          <w:p w14:paraId="5EE5705E" w14:textId="77777777" w:rsidR="00216DC0" w:rsidRPr="0010664F" w:rsidRDefault="00216DC0" w:rsidP="00AE3935">
            <w:pPr>
              <w:pStyle w:val="Textoindependiente"/>
              <w:numPr>
                <w:ilvl w:val="0"/>
                <w:numId w:val="67"/>
              </w:numPr>
              <w:ind w:right="-50"/>
              <w:jc w:val="both"/>
              <w:rPr>
                <w:rFonts w:ascii="Arial" w:hAnsi="Arial" w:cs="Arial"/>
                <w:b/>
                <w:bCs/>
              </w:rPr>
            </w:pPr>
            <w:r w:rsidRPr="0010664F">
              <w:rPr>
                <w:rFonts w:ascii="Arial" w:hAnsi="Arial" w:cs="Arial"/>
              </w:rPr>
              <w:t>Registro de posibles pasivos contingentes. Se evalúa la necesidad de constituir provisiones en caso de que se generen sanciones o ajustes derivados de la supervisión.</w:t>
            </w:r>
          </w:p>
          <w:p w14:paraId="2314A0F7" w14:textId="77777777" w:rsidR="00216DC0" w:rsidRPr="0010664F" w:rsidRDefault="00216DC0" w:rsidP="00D4226B">
            <w:pPr>
              <w:pStyle w:val="Textoindependiente"/>
              <w:ind w:right="-50"/>
              <w:jc w:val="both"/>
              <w:rPr>
                <w:rFonts w:ascii="Arial" w:hAnsi="Arial" w:cs="Arial"/>
                <w:b/>
                <w:bCs/>
              </w:rPr>
            </w:pPr>
          </w:p>
          <w:p w14:paraId="696FDCE6" w14:textId="77777777" w:rsidR="00216DC0" w:rsidRPr="0010664F" w:rsidRDefault="00216DC0" w:rsidP="00AE3935">
            <w:pPr>
              <w:pStyle w:val="Textoindependiente"/>
              <w:numPr>
                <w:ilvl w:val="0"/>
                <w:numId w:val="67"/>
              </w:numPr>
              <w:ind w:right="-50"/>
              <w:jc w:val="both"/>
              <w:rPr>
                <w:rFonts w:ascii="Arial" w:hAnsi="Arial" w:cs="Arial"/>
                <w:b/>
                <w:bCs/>
              </w:rPr>
            </w:pPr>
            <w:r w:rsidRPr="0010664F">
              <w:rPr>
                <w:rFonts w:ascii="Arial" w:hAnsi="Arial" w:cs="Arial"/>
              </w:rPr>
              <w:t xml:space="preserve">Restricciones operativas. Algunas decisiones administrativas requieren aprobación expresa de distintos comités y niveles de autorización, lo que podría afectar la ejecución presupuestal y la continuidad de ciertos proyectos. </w:t>
            </w:r>
          </w:p>
          <w:p w14:paraId="037A541A" w14:textId="77777777" w:rsidR="00216DC0" w:rsidRPr="0010664F" w:rsidRDefault="00216DC0" w:rsidP="00D4226B">
            <w:pPr>
              <w:pStyle w:val="Textoindependiente"/>
              <w:ind w:left="720" w:right="-50"/>
              <w:jc w:val="both"/>
              <w:rPr>
                <w:rFonts w:ascii="Arial" w:hAnsi="Arial" w:cs="Arial"/>
                <w:b/>
                <w:bCs/>
              </w:rPr>
            </w:pPr>
          </w:p>
          <w:p w14:paraId="06F9162E" w14:textId="77777777" w:rsidR="00216DC0" w:rsidRPr="0010664F" w:rsidRDefault="00216DC0" w:rsidP="00AE3935">
            <w:pPr>
              <w:pStyle w:val="Textoindependiente"/>
              <w:numPr>
                <w:ilvl w:val="0"/>
                <w:numId w:val="67"/>
              </w:numPr>
              <w:ind w:right="-50"/>
              <w:jc w:val="both"/>
              <w:rPr>
                <w:rFonts w:ascii="Arial" w:hAnsi="Arial" w:cs="Arial"/>
                <w:b/>
                <w:bCs/>
              </w:rPr>
            </w:pPr>
            <w:r w:rsidRPr="0010664F">
              <w:rPr>
                <w:rFonts w:ascii="Arial" w:hAnsi="Arial" w:cs="Arial"/>
              </w:rPr>
              <w:t xml:space="preserve">Mayor nivel de revelación y auditoría. Se han fortalecido los procedimientos internos de control financiero y auditoría interna. </w:t>
            </w:r>
          </w:p>
          <w:p w14:paraId="1CD4A70C" w14:textId="77777777" w:rsidR="00216DC0" w:rsidRPr="0010664F" w:rsidRDefault="00216DC0" w:rsidP="00D4226B">
            <w:pPr>
              <w:pStyle w:val="Prrafodelista"/>
              <w:rPr>
                <w:rFonts w:ascii="Arial" w:hAnsi="Arial" w:cs="Arial"/>
              </w:rPr>
            </w:pPr>
          </w:p>
          <w:p w14:paraId="25194403"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Acciones Correctivas y Plan de Mejoramiento</w:t>
            </w:r>
            <w:r w:rsidRPr="0010664F">
              <w:rPr>
                <w:rFonts w:ascii="Arial" w:hAnsi="Arial" w:cs="Arial"/>
              </w:rPr>
              <w:t xml:space="preserve">: En cumplimiento de las directrices del Ministerio de Educación, la universidad ha implementado un Plan de Mejoramiento Institucional que incluye: </w:t>
            </w:r>
          </w:p>
          <w:p w14:paraId="5552F9F6" w14:textId="77777777" w:rsidR="00216DC0" w:rsidRPr="0010664F" w:rsidRDefault="00216DC0" w:rsidP="00D4226B">
            <w:pPr>
              <w:pStyle w:val="Textoindependiente"/>
              <w:ind w:right="-50"/>
              <w:jc w:val="both"/>
              <w:rPr>
                <w:rFonts w:ascii="Arial" w:hAnsi="Arial" w:cs="Arial"/>
              </w:rPr>
            </w:pPr>
          </w:p>
          <w:p w14:paraId="6B4C2828" w14:textId="77777777" w:rsidR="00216DC0" w:rsidRPr="0010664F" w:rsidRDefault="00216DC0" w:rsidP="00AE3935">
            <w:pPr>
              <w:pStyle w:val="Textoindependiente"/>
              <w:numPr>
                <w:ilvl w:val="0"/>
                <w:numId w:val="68"/>
              </w:numPr>
              <w:ind w:right="-50"/>
              <w:jc w:val="both"/>
              <w:rPr>
                <w:rFonts w:ascii="Arial" w:hAnsi="Arial" w:cs="Arial"/>
                <w:b/>
                <w:bCs/>
              </w:rPr>
            </w:pPr>
            <w:r w:rsidRPr="0010664F">
              <w:rPr>
                <w:rFonts w:ascii="Arial" w:hAnsi="Arial" w:cs="Arial"/>
              </w:rPr>
              <w:t xml:space="preserve">Automatización y modernización de los sistemas de información financiera mejorando la trazabilidad y confiabilidad de la información contable. </w:t>
            </w:r>
          </w:p>
          <w:p w14:paraId="63AD85E8" w14:textId="77777777" w:rsidR="00216DC0" w:rsidRPr="0010664F" w:rsidRDefault="00216DC0" w:rsidP="00D4226B">
            <w:pPr>
              <w:pStyle w:val="Textoindependiente"/>
              <w:ind w:left="720" w:right="-50"/>
              <w:jc w:val="both"/>
              <w:rPr>
                <w:rFonts w:ascii="Arial" w:hAnsi="Arial" w:cs="Arial"/>
                <w:b/>
                <w:bCs/>
              </w:rPr>
            </w:pPr>
          </w:p>
          <w:p w14:paraId="12F70D65" w14:textId="77777777" w:rsidR="00216DC0" w:rsidRPr="0010664F" w:rsidRDefault="00216DC0" w:rsidP="00AE3935">
            <w:pPr>
              <w:pStyle w:val="Textoindependiente"/>
              <w:numPr>
                <w:ilvl w:val="0"/>
                <w:numId w:val="68"/>
              </w:numPr>
              <w:ind w:right="-50"/>
              <w:jc w:val="both"/>
              <w:rPr>
                <w:rFonts w:ascii="Arial" w:hAnsi="Arial" w:cs="Arial"/>
                <w:b/>
                <w:bCs/>
              </w:rPr>
            </w:pPr>
            <w:r w:rsidRPr="0010664F">
              <w:rPr>
                <w:rFonts w:ascii="Arial" w:hAnsi="Arial" w:cs="Arial"/>
              </w:rPr>
              <w:t xml:space="preserve">Estrategias para el saneamiento fiscal y financiero con medidas para mejorar el flujo de caja y garantizar el cumplimiento de obligaciones pendientes. </w:t>
            </w:r>
          </w:p>
          <w:p w14:paraId="2AC995B0" w14:textId="77777777" w:rsidR="00216DC0" w:rsidRPr="0010664F" w:rsidRDefault="00216DC0" w:rsidP="00D4226B">
            <w:pPr>
              <w:pStyle w:val="Prrafodelista"/>
              <w:rPr>
                <w:rFonts w:ascii="Arial" w:hAnsi="Arial" w:cs="Arial"/>
              </w:rPr>
            </w:pPr>
          </w:p>
          <w:p w14:paraId="12804B0B" w14:textId="77777777" w:rsidR="00216DC0" w:rsidRPr="0010664F" w:rsidRDefault="00216DC0" w:rsidP="00AE3935">
            <w:pPr>
              <w:pStyle w:val="Textoindependiente"/>
              <w:numPr>
                <w:ilvl w:val="0"/>
                <w:numId w:val="68"/>
              </w:numPr>
              <w:ind w:right="-50"/>
              <w:jc w:val="both"/>
              <w:rPr>
                <w:rFonts w:ascii="Arial" w:hAnsi="Arial" w:cs="Arial"/>
                <w:b/>
                <w:bCs/>
              </w:rPr>
            </w:pPr>
            <w:r w:rsidRPr="0010664F">
              <w:rPr>
                <w:rFonts w:ascii="Arial" w:hAnsi="Arial" w:cs="Arial"/>
              </w:rPr>
              <w:t xml:space="preserve">Revisión de la estructura de costos y fuentes de financiación a fin de identificar oportunidades de optimización en el manejo de recursos. </w:t>
            </w:r>
          </w:p>
          <w:p w14:paraId="5ECBB11F" w14:textId="77777777" w:rsidR="00216DC0" w:rsidRPr="0010664F" w:rsidRDefault="00216DC0" w:rsidP="00D4226B">
            <w:pPr>
              <w:pStyle w:val="Prrafodelista"/>
              <w:rPr>
                <w:rFonts w:ascii="Arial" w:hAnsi="Arial" w:cs="Arial"/>
              </w:rPr>
            </w:pPr>
          </w:p>
          <w:p w14:paraId="4756E115" w14:textId="77777777" w:rsidR="00216DC0" w:rsidRPr="0010664F" w:rsidRDefault="00216DC0" w:rsidP="00AE3935">
            <w:pPr>
              <w:pStyle w:val="Textoindependiente"/>
              <w:numPr>
                <w:ilvl w:val="0"/>
                <w:numId w:val="68"/>
              </w:numPr>
              <w:ind w:right="-50"/>
              <w:jc w:val="both"/>
              <w:rPr>
                <w:rFonts w:ascii="Arial" w:hAnsi="Arial" w:cs="Arial"/>
                <w:b/>
                <w:bCs/>
              </w:rPr>
            </w:pPr>
            <w:r w:rsidRPr="0010664F">
              <w:rPr>
                <w:rFonts w:ascii="Arial" w:hAnsi="Arial" w:cs="Arial"/>
              </w:rPr>
              <w:t xml:space="preserve">Aplicación de medidas de control administrativo para garantizar la correcta utilización de los recursos y evitar desviaciones presupuestales. </w:t>
            </w:r>
          </w:p>
          <w:p w14:paraId="6B05AEE7" w14:textId="77777777" w:rsidR="00216DC0" w:rsidRPr="0010664F" w:rsidRDefault="00216DC0" w:rsidP="00D4226B">
            <w:pPr>
              <w:pStyle w:val="Prrafodelista"/>
              <w:rPr>
                <w:rFonts w:ascii="Arial" w:hAnsi="Arial" w:cs="Arial"/>
              </w:rPr>
            </w:pPr>
          </w:p>
          <w:p w14:paraId="5413D0AC"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 xml:space="preserve">Desventajas de la Aplicación de la Medida: </w:t>
            </w:r>
            <w:r w:rsidRPr="0010664F">
              <w:rPr>
                <w:rFonts w:ascii="Arial" w:hAnsi="Arial" w:cs="Arial"/>
              </w:rPr>
              <w:t xml:space="preserve">Si bien la implementación del esquema fiduciario responde a la necesidad de ejercer mayor control sobre los recursos de la universidad, ha generado múltiples inconvenientes, tales como: </w:t>
            </w:r>
          </w:p>
          <w:p w14:paraId="173940F6" w14:textId="77777777" w:rsidR="00216DC0" w:rsidRPr="0010664F" w:rsidRDefault="00216DC0" w:rsidP="00D4226B">
            <w:pPr>
              <w:pStyle w:val="Textoindependiente"/>
              <w:ind w:right="-50"/>
              <w:jc w:val="both"/>
              <w:rPr>
                <w:rFonts w:ascii="Arial" w:hAnsi="Arial" w:cs="Arial"/>
              </w:rPr>
            </w:pPr>
          </w:p>
          <w:p w14:paraId="0A7DD51E"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 xml:space="preserve">Incremento en la carga de trabajo administrativo debido a la necesidad de reportar y coordinar cada transacción con la fiduciaria. </w:t>
            </w:r>
          </w:p>
          <w:p w14:paraId="186598C6" w14:textId="77777777" w:rsidR="00216DC0" w:rsidRPr="0010664F" w:rsidRDefault="00216DC0" w:rsidP="00D4226B">
            <w:pPr>
              <w:pStyle w:val="Textoindependiente"/>
              <w:ind w:left="720" w:right="-50"/>
              <w:jc w:val="both"/>
              <w:rPr>
                <w:rFonts w:ascii="Arial" w:hAnsi="Arial" w:cs="Arial"/>
                <w:b/>
                <w:bCs/>
              </w:rPr>
            </w:pPr>
          </w:p>
          <w:p w14:paraId="0CA2923D"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 xml:space="preserve">Aumento en los tiempos de respuesta y procesamiento de pagos, lo que ha generado retrasos en la ejecución de compromisos financieros esenciales como nóminas y contrataciones. </w:t>
            </w:r>
          </w:p>
          <w:p w14:paraId="53D0EB60" w14:textId="77777777" w:rsidR="00216DC0" w:rsidRPr="0010664F" w:rsidRDefault="00216DC0" w:rsidP="00D4226B">
            <w:pPr>
              <w:pStyle w:val="Prrafodelista"/>
              <w:rPr>
                <w:rFonts w:ascii="Arial" w:hAnsi="Arial" w:cs="Arial"/>
              </w:rPr>
            </w:pPr>
          </w:p>
          <w:p w14:paraId="10E2AB14"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Deficiencias en el reporte de información de recaudos por terceros, lo que ha dificultado la conciliación y trazabilidad de los ingresos.</w:t>
            </w:r>
          </w:p>
          <w:p w14:paraId="62C9D2A4" w14:textId="77777777" w:rsidR="00216DC0" w:rsidRPr="0010664F" w:rsidRDefault="00216DC0" w:rsidP="00D4226B">
            <w:pPr>
              <w:pStyle w:val="Prrafodelista"/>
              <w:rPr>
                <w:rFonts w:ascii="Arial" w:hAnsi="Arial" w:cs="Arial"/>
              </w:rPr>
            </w:pPr>
          </w:p>
          <w:p w14:paraId="73A2B624"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 xml:space="preserve">Archivos planos con bases de datos manualizados, lo que ha ralentizado los procesos y aumentado la posibilidad de errores humanos en la validación de datos. </w:t>
            </w:r>
          </w:p>
          <w:p w14:paraId="5F2886D1"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 xml:space="preserve">Pérdida de información clave sobre el manejo diario de saldos y usuarios de consulta, afectando la capacidad de la universidad para tomar decisiones en tiempo real. </w:t>
            </w:r>
          </w:p>
          <w:p w14:paraId="30C8F51D" w14:textId="77777777" w:rsidR="00216DC0" w:rsidRPr="0010664F" w:rsidRDefault="00216DC0" w:rsidP="00D4226B">
            <w:pPr>
              <w:pStyle w:val="Prrafodelista"/>
              <w:rPr>
                <w:rFonts w:ascii="Arial" w:hAnsi="Arial" w:cs="Arial"/>
              </w:rPr>
            </w:pPr>
          </w:p>
          <w:p w14:paraId="287036AC"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 xml:space="preserve">Dependencia total de terceros para acceder a información financiera, lo que limita la autonomía de la universidad y genera incertidumbre en la gestión de sus recursos. </w:t>
            </w:r>
          </w:p>
          <w:p w14:paraId="73EE35DB" w14:textId="77777777" w:rsidR="00216DC0" w:rsidRPr="0010664F" w:rsidRDefault="00216DC0" w:rsidP="00D4226B">
            <w:pPr>
              <w:pStyle w:val="Prrafodelista"/>
              <w:rPr>
                <w:rFonts w:ascii="Arial" w:hAnsi="Arial" w:cs="Arial"/>
              </w:rPr>
            </w:pPr>
          </w:p>
          <w:p w14:paraId="1494F671" w14:textId="77777777" w:rsidR="00216DC0" w:rsidRPr="0010664F" w:rsidRDefault="00216DC0" w:rsidP="00AE3935">
            <w:pPr>
              <w:pStyle w:val="Textoindependiente"/>
              <w:numPr>
                <w:ilvl w:val="0"/>
                <w:numId w:val="69"/>
              </w:numPr>
              <w:ind w:right="-50"/>
              <w:jc w:val="both"/>
              <w:rPr>
                <w:rFonts w:ascii="Arial" w:hAnsi="Arial" w:cs="Arial"/>
                <w:b/>
                <w:bCs/>
              </w:rPr>
            </w:pPr>
            <w:r w:rsidRPr="0010664F">
              <w:rPr>
                <w:rFonts w:ascii="Arial" w:hAnsi="Arial" w:cs="Arial"/>
              </w:rPr>
              <w:t xml:space="preserve">Costos adicionales derivados del pago de comisiones fiduciarias, lo que incrementa los gastos operativos de la universidad sin aportar valor directo a su funcionamiento. </w:t>
            </w:r>
          </w:p>
          <w:p w14:paraId="31BF0579" w14:textId="77777777" w:rsidR="00216DC0" w:rsidRPr="0010664F" w:rsidRDefault="00216DC0" w:rsidP="00D4226B">
            <w:pPr>
              <w:pStyle w:val="Prrafodelista"/>
              <w:rPr>
                <w:rFonts w:ascii="Arial" w:hAnsi="Arial" w:cs="Arial"/>
              </w:rPr>
            </w:pPr>
          </w:p>
          <w:p w14:paraId="0841C42F"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Eventos Posteriores</w:t>
            </w:r>
            <w:r w:rsidRPr="0010664F">
              <w:rPr>
                <w:rFonts w:ascii="Arial" w:hAnsi="Arial" w:cs="Arial"/>
              </w:rPr>
              <w:t xml:space="preserve">: Hasta la fecha de emisión de estos estados financieros, la universidad continúa bajo supervisión especial. No obstante, se han realizado gestiones para garantizar el cumplimiento de los requerimientos del ente de control asegurando la estabilidad operativa y financiera de la institución. </w:t>
            </w:r>
          </w:p>
          <w:p w14:paraId="5E0FEEA7" w14:textId="77777777" w:rsidR="00216DC0" w:rsidRPr="0010664F" w:rsidRDefault="00216DC0" w:rsidP="00D4226B">
            <w:pPr>
              <w:pStyle w:val="Textoindependiente"/>
              <w:ind w:right="-50"/>
              <w:jc w:val="both"/>
              <w:rPr>
                <w:rFonts w:ascii="Arial" w:hAnsi="Arial" w:cs="Arial"/>
              </w:rPr>
            </w:pPr>
          </w:p>
          <w:p w14:paraId="2443639F"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En caso de que la medida de inspección y vigilancia especial genere cambios significativos en la presentación de los estados financieros o en la continuidad operativa de la universidad, estos serán debidamente informados en notas adicionales o a través de mecanismos institucionales de divulgación. </w:t>
            </w:r>
          </w:p>
          <w:p w14:paraId="48519444" w14:textId="77777777" w:rsidR="00216DC0" w:rsidRPr="0010664F" w:rsidRDefault="00216DC0" w:rsidP="00D4226B">
            <w:pPr>
              <w:pStyle w:val="Textoindependiente"/>
              <w:ind w:right="-50"/>
              <w:jc w:val="both"/>
              <w:rPr>
                <w:rFonts w:ascii="Arial" w:hAnsi="Arial" w:cs="Arial"/>
              </w:rPr>
            </w:pPr>
          </w:p>
          <w:p w14:paraId="7CB1D5CF"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1.5.2. Inestabilidad Administrativa y Crisis Institucional</w:t>
            </w:r>
            <w:r w:rsidRPr="0010664F">
              <w:rPr>
                <w:rFonts w:ascii="Arial" w:hAnsi="Arial" w:cs="Arial"/>
              </w:rPr>
              <w:t xml:space="preserve">: Durante la vigencia 2024, la Universidad Tecnológica del Chocó (UTCH) ha enfrentado una crisis institucional sin precedentes, caracterizada por: </w:t>
            </w:r>
          </w:p>
          <w:p w14:paraId="4D644F9F" w14:textId="77777777" w:rsidR="00216DC0" w:rsidRPr="0010664F" w:rsidRDefault="00216DC0" w:rsidP="00D4226B">
            <w:pPr>
              <w:pStyle w:val="Textoindependiente"/>
              <w:ind w:right="-50"/>
              <w:jc w:val="both"/>
              <w:rPr>
                <w:rFonts w:ascii="Arial" w:hAnsi="Arial" w:cs="Arial"/>
              </w:rPr>
            </w:pPr>
          </w:p>
          <w:p w14:paraId="1C4F767B" w14:textId="77777777" w:rsidR="00216DC0" w:rsidRPr="0010664F" w:rsidRDefault="00216DC0" w:rsidP="00AE3935">
            <w:pPr>
              <w:pStyle w:val="Textoindependiente"/>
              <w:numPr>
                <w:ilvl w:val="0"/>
                <w:numId w:val="70"/>
              </w:numPr>
              <w:ind w:right="-50"/>
              <w:jc w:val="both"/>
              <w:rPr>
                <w:rFonts w:ascii="Arial" w:hAnsi="Arial" w:cs="Arial"/>
                <w:b/>
                <w:bCs/>
              </w:rPr>
            </w:pPr>
            <w:r w:rsidRPr="0010664F">
              <w:rPr>
                <w:rFonts w:ascii="Arial" w:hAnsi="Arial" w:cs="Arial"/>
              </w:rPr>
              <w:t xml:space="preserve">Inestabilidad administrativa, derivada de los constantes cambios en la representación legal. </w:t>
            </w:r>
          </w:p>
          <w:p w14:paraId="2F811FDB" w14:textId="77777777" w:rsidR="00216DC0" w:rsidRPr="0010664F" w:rsidRDefault="00216DC0" w:rsidP="00D4226B">
            <w:pPr>
              <w:pStyle w:val="Textoindependiente"/>
              <w:ind w:left="720" w:right="-50"/>
              <w:jc w:val="both"/>
              <w:rPr>
                <w:rFonts w:ascii="Arial" w:hAnsi="Arial" w:cs="Arial"/>
                <w:b/>
                <w:bCs/>
              </w:rPr>
            </w:pPr>
          </w:p>
          <w:p w14:paraId="07AFDFDE" w14:textId="77777777" w:rsidR="00216DC0" w:rsidRPr="0010664F" w:rsidRDefault="00216DC0" w:rsidP="00AE3935">
            <w:pPr>
              <w:pStyle w:val="Textoindependiente"/>
              <w:numPr>
                <w:ilvl w:val="0"/>
                <w:numId w:val="70"/>
              </w:numPr>
              <w:ind w:right="-50"/>
              <w:jc w:val="both"/>
              <w:rPr>
                <w:rFonts w:ascii="Arial" w:hAnsi="Arial" w:cs="Arial"/>
                <w:b/>
                <w:bCs/>
              </w:rPr>
            </w:pPr>
            <w:r w:rsidRPr="0010664F">
              <w:rPr>
                <w:rFonts w:ascii="Arial" w:hAnsi="Arial" w:cs="Arial"/>
              </w:rPr>
              <w:t>Deterioro financiero, evidenciado en el creciente déficit presupuestal y los retrasos en el pago de obligaciones laborales y contractuales.</w:t>
            </w:r>
          </w:p>
          <w:p w14:paraId="012BE9D2" w14:textId="77777777" w:rsidR="00216DC0" w:rsidRPr="0010664F" w:rsidRDefault="00216DC0" w:rsidP="00D4226B">
            <w:pPr>
              <w:pStyle w:val="Prrafodelista"/>
              <w:rPr>
                <w:rFonts w:ascii="Arial" w:hAnsi="Arial" w:cs="Arial"/>
              </w:rPr>
            </w:pPr>
          </w:p>
          <w:p w14:paraId="0CB5CA2D" w14:textId="77777777" w:rsidR="00216DC0" w:rsidRPr="0010664F" w:rsidRDefault="00216DC0" w:rsidP="00AE3935">
            <w:pPr>
              <w:pStyle w:val="Textoindependiente"/>
              <w:numPr>
                <w:ilvl w:val="0"/>
                <w:numId w:val="70"/>
              </w:numPr>
              <w:ind w:right="-50"/>
              <w:jc w:val="both"/>
              <w:rPr>
                <w:rFonts w:ascii="Arial" w:hAnsi="Arial" w:cs="Arial"/>
                <w:b/>
                <w:bCs/>
              </w:rPr>
            </w:pPr>
            <w:r w:rsidRPr="0010664F">
              <w:rPr>
                <w:rFonts w:ascii="Arial" w:hAnsi="Arial" w:cs="Arial"/>
              </w:rPr>
              <w:t xml:space="preserve">Suspensión indefinida de actividades académicas desde el 26 de septiembre de 2024, como resultado del cese promovido por la Asamblea Triestamentaria. </w:t>
            </w:r>
          </w:p>
          <w:p w14:paraId="3519CC42" w14:textId="77777777" w:rsidR="00216DC0" w:rsidRPr="0010664F" w:rsidRDefault="00216DC0" w:rsidP="00D4226B">
            <w:pPr>
              <w:pStyle w:val="Prrafodelista"/>
              <w:rPr>
                <w:rFonts w:ascii="Arial" w:hAnsi="Arial" w:cs="Arial"/>
              </w:rPr>
            </w:pPr>
          </w:p>
          <w:p w14:paraId="39BDCFE3" w14:textId="77777777" w:rsidR="00216DC0" w:rsidRPr="0010664F" w:rsidRDefault="00216DC0" w:rsidP="00D4226B">
            <w:pPr>
              <w:pStyle w:val="Textoindependiente"/>
              <w:ind w:right="-50"/>
              <w:jc w:val="both"/>
              <w:rPr>
                <w:rFonts w:ascii="Arial" w:hAnsi="Arial" w:cs="Arial"/>
              </w:rPr>
            </w:pPr>
            <w:r w:rsidRPr="0010664F">
              <w:rPr>
                <w:rFonts w:ascii="Arial" w:hAnsi="Arial" w:cs="Arial"/>
              </w:rPr>
              <w:t xml:space="preserve">Este conjunto de factores ha tenido repercusiones significativas en la gestión administrativa y financiera de la Universidad, afectando su capacidad de operación y ejecución presupuestal. </w:t>
            </w:r>
          </w:p>
          <w:p w14:paraId="41DD19BC" w14:textId="77777777" w:rsidR="00216DC0" w:rsidRPr="0010664F" w:rsidRDefault="00216DC0" w:rsidP="00D4226B">
            <w:pPr>
              <w:pStyle w:val="Textoindependiente"/>
              <w:ind w:right="-50"/>
              <w:jc w:val="both"/>
              <w:rPr>
                <w:rFonts w:ascii="Arial" w:hAnsi="Arial" w:cs="Arial"/>
              </w:rPr>
            </w:pPr>
          </w:p>
          <w:p w14:paraId="5A31106B"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Impacto financiero y administrativo - Déficit presupuestal y restricción en el Manejo de Recursos:</w:t>
            </w:r>
            <w:r w:rsidRPr="0010664F">
              <w:rPr>
                <w:rFonts w:ascii="Arial" w:hAnsi="Arial" w:cs="Arial"/>
              </w:rPr>
              <w:t xml:space="preserve"> </w:t>
            </w:r>
          </w:p>
          <w:p w14:paraId="274FD1E2" w14:textId="77777777" w:rsidR="00216DC0" w:rsidRPr="0010664F" w:rsidRDefault="00216DC0" w:rsidP="00D4226B">
            <w:pPr>
              <w:pStyle w:val="Textoindependiente"/>
              <w:ind w:right="-50"/>
              <w:jc w:val="both"/>
              <w:rPr>
                <w:rFonts w:ascii="Arial" w:hAnsi="Arial" w:cs="Arial"/>
              </w:rPr>
            </w:pPr>
          </w:p>
          <w:p w14:paraId="3C338BFD" w14:textId="77777777" w:rsidR="00216DC0" w:rsidRPr="0010664F" w:rsidRDefault="00216DC0" w:rsidP="00AE3935">
            <w:pPr>
              <w:pStyle w:val="Textoindependiente"/>
              <w:numPr>
                <w:ilvl w:val="0"/>
                <w:numId w:val="71"/>
              </w:numPr>
              <w:ind w:right="-50"/>
              <w:jc w:val="both"/>
              <w:rPr>
                <w:rFonts w:ascii="Arial" w:hAnsi="Arial" w:cs="Arial"/>
                <w:b/>
                <w:bCs/>
              </w:rPr>
            </w:pPr>
            <w:r w:rsidRPr="0010664F">
              <w:rPr>
                <w:rFonts w:ascii="Arial" w:hAnsi="Arial" w:cs="Arial"/>
              </w:rPr>
              <w:t xml:space="preserve">A diciembre de 2024, la UTCH registró un déficit superior a $23.000 millones, comprometiendo su liquidez y la capacidad para cumplir con obligaciones contractuales y operativas. </w:t>
            </w:r>
          </w:p>
          <w:p w14:paraId="208E4E4A" w14:textId="77777777" w:rsidR="00216DC0" w:rsidRPr="0010664F" w:rsidRDefault="00216DC0" w:rsidP="00D4226B">
            <w:pPr>
              <w:pStyle w:val="Textoindependiente"/>
              <w:ind w:left="720" w:right="-50"/>
              <w:jc w:val="both"/>
              <w:rPr>
                <w:rFonts w:ascii="Arial" w:hAnsi="Arial" w:cs="Arial"/>
                <w:b/>
                <w:bCs/>
              </w:rPr>
            </w:pPr>
          </w:p>
          <w:p w14:paraId="0E5E3D82" w14:textId="77777777" w:rsidR="00216DC0" w:rsidRPr="0010664F" w:rsidRDefault="00216DC0" w:rsidP="00AE3935">
            <w:pPr>
              <w:pStyle w:val="Textoindependiente"/>
              <w:numPr>
                <w:ilvl w:val="0"/>
                <w:numId w:val="71"/>
              </w:numPr>
              <w:ind w:right="-50"/>
              <w:jc w:val="both"/>
              <w:rPr>
                <w:rFonts w:ascii="Arial" w:hAnsi="Arial" w:cs="Arial"/>
                <w:b/>
                <w:bCs/>
              </w:rPr>
            </w:pPr>
            <w:r w:rsidRPr="0010664F">
              <w:rPr>
                <w:rFonts w:ascii="Arial" w:hAnsi="Arial" w:cs="Arial"/>
              </w:rPr>
              <w:t xml:space="preserve">La implementación de un encargo fiduciario con Fiduciaria Bogotá S.A. para la administración de los recursos financieros ha llevado a la eliminación de cuentas bancarias institucionales, centralizando los fondos en la Fiducia. </w:t>
            </w:r>
          </w:p>
          <w:p w14:paraId="506A68C9" w14:textId="77777777" w:rsidR="00216DC0" w:rsidRPr="0010664F" w:rsidRDefault="00216DC0" w:rsidP="00D4226B">
            <w:pPr>
              <w:pStyle w:val="Textoindependiente"/>
              <w:ind w:right="-50"/>
              <w:jc w:val="both"/>
              <w:rPr>
                <w:rFonts w:ascii="Arial" w:hAnsi="Arial" w:cs="Arial"/>
                <w:b/>
                <w:bCs/>
              </w:rPr>
            </w:pPr>
          </w:p>
          <w:p w14:paraId="1D42C894" w14:textId="77777777" w:rsidR="00216DC0" w:rsidRPr="0010664F" w:rsidRDefault="00216DC0" w:rsidP="00D4226B">
            <w:pPr>
              <w:pStyle w:val="Textoindependiente"/>
              <w:ind w:right="-50"/>
              <w:jc w:val="both"/>
              <w:rPr>
                <w:rFonts w:ascii="Arial" w:hAnsi="Arial" w:cs="Arial"/>
                <w:b/>
              </w:rPr>
            </w:pPr>
            <w:r w:rsidRPr="0010664F">
              <w:rPr>
                <w:rFonts w:ascii="Arial" w:hAnsi="Arial" w:cs="Arial"/>
                <w:b/>
              </w:rPr>
              <w:t>Suspensión de pagos laborales y obligaciones contractuales.</w:t>
            </w:r>
          </w:p>
          <w:p w14:paraId="26159C46" w14:textId="77777777" w:rsidR="00216DC0" w:rsidRPr="0010664F" w:rsidRDefault="00216DC0" w:rsidP="00D4226B">
            <w:pPr>
              <w:pStyle w:val="Textoindependiente"/>
              <w:ind w:right="-50"/>
              <w:jc w:val="both"/>
              <w:rPr>
                <w:rFonts w:ascii="Arial" w:hAnsi="Arial" w:cs="Arial"/>
              </w:rPr>
            </w:pPr>
          </w:p>
          <w:p w14:paraId="26190059" w14:textId="77777777" w:rsidR="00216DC0" w:rsidRPr="0010664F" w:rsidRDefault="00216DC0" w:rsidP="00AE3935">
            <w:pPr>
              <w:pStyle w:val="Textoindependiente"/>
              <w:numPr>
                <w:ilvl w:val="0"/>
                <w:numId w:val="72"/>
              </w:numPr>
              <w:ind w:right="-50"/>
              <w:jc w:val="both"/>
              <w:rPr>
                <w:rFonts w:ascii="Arial" w:hAnsi="Arial" w:cs="Arial"/>
                <w:b/>
                <w:bCs/>
              </w:rPr>
            </w:pPr>
            <w:r w:rsidRPr="0010664F">
              <w:rPr>
                <w:rFonts w:ascii="Arial" w:hAnsi="Arial" w:cs="Arial"/>
              </w:rPr>
              <w:t xml:space="preserve">Debido al cese de actividades, la Universidad adoptó la suspensión de pagos de salarios a docentes y administrativos, generando una controversia sobre la legalidad y procedencia de estos pagos en el sector público. </w:t>
            </w:r>
          </w:p>
          <w:p w14:paraId="282F24C9" w14:textId="77777777" w:rsidR="00216DC0" w:rsidRPr="0010664F" w:rsidRDefault="00216DC0" w:rsidP="00D4226B">
            <w:pPr>
              <w:pStyle w:val="Textoindependiente"/>
              <w:ind w:left="720" w:right="-50"/>
              <w:jc w:val="both"/>
              <w:rPr>
                <w:rFonts w:ascii="Arial" w:hAnsi="Arial" w:cs="Arial"/>
                <w:b/>
                <w:bCs/>
              </w:rPr>
            </w:pPr>
          </w:p>
          <w:p w14:paraId="33A2ED51" w14:textId="77777777" w:rsidR="00216DC0" w:rsidRPr="0010664F" w:rsidRDefault="00216DC0" w:rsidP="00AE3935">
            <w:pPr>
              <w:pStyle w:val="Textoindependiente"/>
              <w:numPr>
                <w:ilvl w:val="0"/>
                <w:numId w:val="72"/>
              </w:numPr>
              <w:ind w:right="-50"/>
              <w:jc w:val="both"/>
              <w:rPr>
                <w:rFonts w:ascii="Arial" w:hAnsi="Arial" w:cs="Arial"/>
                <w:b/>
                <w:bCs/>
              </w:rPr>
            </w:pPr>
            <w:r w:rsidRPr="0010664F">
              <w:rPr>
                <w:rFonts w:ascii="Arial" w:hAnsi="Arial" w:cs="Arial"/>
              </w:rPr>
              <w:t xml:space="preserve">Adicionalmente, se han retrasado pagos a proveedores y contratistas, afectando el desarrollo de proyectos académicos y administrativos. </w:t>
            </w:r>
          </w:p>
          <w:p w14:paraId="0C76FC0B" w14:textId="77777777" w:rsidR="00216DC0" w:rsidRPr="0010664F" w:rsidRDefault="00216DC0" w:rsidP="00D4226B">
            <w:pPr>
              <w:pStyle w:val="Prrafodelista"/>
              <w:rPr>
                <w:rFonts w:ascii="Arial" w:hAnsi="Arial" w:cs="Arial"/>
              </w:rPr>
            </w:pPr>
          </w:p>
          <w:p w14:paraId="4BAFEDA3" w14:textId="77777777" w:rsidR="00216DC0" w:rsidRPr="0010664F" w:rsidRDefault="00216DC0" w:rsidP="00D4226B">
            <w:pPr>
              <w:pStyle w:val="Textoindependiente"/>
              <w:ind w:right="-50"/>
              <w:jc w:val="both"/>
              <w:rPr>
                <w:rFonts w:ascii="Arial" w:hAnsi="Arial" w:cs="Arial"/>
              </w:rPr>
            </w:pPr>
            <w:r w:rsidRPr="0010664F">
              <w:rPr>
                <w:rFonts w:ascii="Arial" w:hAnsi="Arial" w:cs="Arial"/>
                <w:b/>
              </w:rPr>
              <w:t>Sentencia Judicial sobre el pago de salarios durante el cese</w:t>
            </w:r>
            <w:r w:rsidRPr="0010664F">
              <w:rPr>
                <w:rFonts w:ascii="Arial" w:hAnsi="Arial" w:cs="Arial"/>
              </w:rPr>
              <w:t>.</w:t>
            </w:r>
          </w:p>
          <w:p w14:paraId="373C7689" w14:textId="77777777" w:rsidR="00216DC0" w:rsidRPr="0010664F" w:rsidRDefault="00216DC0" w:rsidP="00D4226B">
            <w:pPr>
              <w:pStyle w:val="Textoindependiente"/>
              <w:ind w:right="-50"/>
              <w:jc w:val="both"/>
              <w:rPr>
                <w:rFonts w:ascii="Arial" w:hAnsi="Arial" w:cs="Arial"/>
              </w:rPr>
            </w:pPr>
          </w:p>
          <w:p w14:paraId="259C23F6" w14:textId="77777777" w:rsidR="00216DC0" w:rsidRPr="0010664F" w:rsidRDefault="00216DC0" w:rsidP="00AE3935">
            <w:pPr>
              <w:pStyle w:val="Textoindependiente"/>
              <w:numPr>
                <w:ilvl w:val="0"/>
                <w:numId w:val="73"/>
              </w:numPr>
              <w:ind w:right="-50"/>
              <w:jc w:val="both"/>
              <w:rPr>
                <w:rFonts w:ascii="Arial" w:hAnsi="Arial" w:cs="Arial"/>
                <w:b/>
                <w:bCs/>
              </w:rPr>
            </w:pPr>
            <w:r w:rsidRPr="0010664F">
              <w:rPr>
                <w:rFonts w:ascii="Arial" w:hAnsi="Arial" w:cs="Arial"/>
              </w:rPr>
              <w:t>El 18 de diciembre de 2024, el Juzgado Séptimo Administrativo de Quibdó profirió la Sentencia No. 322 dentro de los expedientes acumulados 27001333300720240020400 27001333300720240020600, en respuesta a la acción de tutela interpuesta por José Manuel Valencia Robledo y Christian Martínez Valencia contra la Universidad Tecnológica del Chocó y con vinculación del Ministerio de Educación Nacional, en la cual determinó que el pago de salarios en el sector público está condicionado a la efectiva prestación del servicio.</w:t>
            </w:r>
          </w:p>
          <w:p w14:paraId="721C6510" w14:textId="77777777" w:rsidR="00216DC0" w:rsidRPr="0010664F" w:rsidRDefault="00216DC0" w:rsidP="00D4226B">
            <w:pPr>
              <w:pStyle w:val="Textoindependiente"/>
              <w:ind w:left="720" w:right="-50"/>
              <w:jc w:val="both"/>
              <w:rPr>
                <w:rFonts w:ascii="Arial" w:hAnsi="Arial" w:cs="Arial"/>
                <w:b/>
                <w:bCs/>
              </w:rPr>
            </w:pPr>
          </w:p>
          <w:p w14:paraId="465E08B4" w14:textId="77777777" w:rsidR="00216DC0" w:rsidRPr="0010664F" w:rsidRDefault="00216DC0" w:rsidP="00AE3935">
            <w:pPr>
              <w:pStyle w:val="Textoindependiente"/>
              <w:numPr>
                <w:ilvl w:val="0"/>
                <w:numId w:val="73"/>
              </w:numPr>
              <w:ind w:right="-50"/>
              <w:jc w:val="both"/>
              <w:rPr>
                <w:rFonts w:ascii="Arial" w:hAnsi="Arial" w:cs="Arial"/>
                <w:b/>
                <w:bCs/>
              </w:rPr>
            </w:pPr>
            <w:r w:rsidRPr="0010664F">
              <w:rPr>
                <w:rFonts w:ascii="Arial" w:hAnsi="Arial" w:cs="Arial"/>
              </w:rPr>
              <w:t xml:space="preserve">En consideración a lo anterior, quedó claro que la Universidad actuó dentro del marco legal al abstenerse de efectuar pagos mientras persistí el cese de actividades; lo cual tuvo un impacto directo en la revelación contable de las acreencias de tipo laboral reflejadas en los estados de situación financiera. </w:t>
            </w:r>
          </w:p>
          <w:p w14:paraId="2080BED4" w14:textId="77777777" w:rsidR="00216DC0" w:rsidRPr="0010664F" w:rsidRDefault="00216DC0" w:rsidP="00D4226B">
            <w:pPr>
              <w:pStyle w:val="Textoindependiente"/>
              <w:ind w:left="720" w:right="-50"/>
              <w:jc w:val="both"/>
              <w:rPr>
                <w:rFonts w:ascii="Arial" w:hAnsi="Arial" w:cs="Arial"/>
                <w:b/>
                <w:bCs/>
              </w:rPr>
            </w:pPr>
          </w:p>
          <w:p w14:paraId="062591E7" w14:textId="77777777" w:rsidR="00216DC0" w:rsidRPr="0010664F" w:rsidRDefault="00216DC0" w:rsidP="00AE3935">
            <w:pPr>
              <w:pStyle w:val="Textoindependiente"/>
              <w:numPr>
                <w:ilvl w:val="0"/>
                <w:numId w:val="73"/>
              </w:numPr>
              <w:ind w:right="-50"/>
              <w:jc w:val="both"/>
              <w:rPr>
                <w:rFonts w:ascii="Arial" w:hAnsi="Arial" w:cs="Arial"/>
                <w:b/>
                <w:bCs/>
              </w:rPr>
            </w:pPr>
            <w:r w:rsidRPr="0010664F">
              <w:rPr>
                <w:rFonts w:ascii="Arial" w:hAnsi="Arial" w:cs="Arial"/>
              </w:rPr>
              <w:t>El fallo establece un precedente para la gestión financiera de la UTCH, reafirmando la necesidad de cumplir con los principios de ejecución presupuestal y responsabilidad fiscal.</w:t>
            </w:r>
          </w:p>
        </w:tc>
      </w:tr>
      <w:tr w:rsidR="00216DC0" w:rsidRPr="00E232C9" w14:paraId="4E4F2A22" w14:textId="77777777" w:rsidTr="00D4226B">
        <w:trPr>
          <w:jc w:val="center"/>
        </w:trPr>
        <w:tc>
          <w:tcPr>
            <w:tcW w:w="988" w:type="dxa"/>
          </w:tcPr>
          <w:p w14:paraId="3EE7057C" w14:textId="77777777" w:rsidR="00216DC0" w:rsidRDefault="00216DC0" w:rsidP="00D4226B">
            <w:pPr>
              <w:tabs>
                <w:tab w:val="left" w:pos="1920"/>
              </w:tabs>
              <w:ind w:right="-108"/>
              <w:jc w:val="center"/>
              <w:rPr>
                <w:rFonts w:ascii="Arial" w:hAnsi="Arial" w:cs="Arial"/>
                <w:b/>
                <w:color w:val="FF0000"/>
              </w:rPr>
            </w:pPr>
            <w:r w:rsidRPr="00567FEE">
              <w:rPr>
                <w:rFonts w:ascii="Arial" w:hAnsi="Arial" w:cs="Arial"/>
                <w:b/>
                <w:color w:val="000000" w:themeColor="text1"/>
              </w:rPr>
              <w:lastRenderedPageBreak/>
              <w:t>26</w:t>
            </w:r>
          </w:p>
        </w:tc>
        <w:tc>
          <w:tcPr>
            <w:tcW w:w="9497" w:type="dxa"/>
          </w:tcPr>
          <w:p w14:paraId="3FCA4894" w14:textId="77777777" w:rsidR="00216DC0" w:rsidRPr="00567FEE" w:rsidRDefault="00216DC0" w:rsidP="00D4226B">
            <w:pPr>
              <w:pStyle w:val="Textoindependiente"/>
              <w:jc w:val="both"/>
              <w:rPr>
                <w:rFonts w:ascii="Arial" w:hAnsi="Arial" w:cs="Arial"/>
              </w:rPr>
            </w:pPr>
            <w:r w:rsidRPr="00567FEE">
              <w:rPr>
                <w:rFonts w:ascii="Arial" w:hAnsi="Arial" w:cs="Arial"/>
                <w:b/>
                <w:lang w:val="es-MX"/>
              </w:rPr>
              <w:t xml:space="preserve">COMISIÓN DE REGULACIÓN DE ENERGÍA Y GAS - CREG. </w:t>
            </w:r>
            <w:r w:rsidRPr="00567FEE">
              <w:rPr>
                <w:rFonts w:ascii="Arial" w:hAnsi="Arial" w:cs="Arial"/>
              </w:rPr>
              <w:t>Limitaciones para cumplir con el principio de devengo en el registro de las operaciones: La CREG no ha tenido inconvenientes en las operaciones generadas a través del sistema.</w:t>
            </w:r>
          </w:p>
        </w:tc>
      </w:tr>
      <w:tr w:rsidR="00216DC0" w:rsidRPr="00E232C9" w14:paraId="5040442A" w14:textId="77777777" w:rsidTr="00D4226B">
        <w:trPr>
          <w:jc w:val="center"/>
        </w:trPr>
        <w:tc>
          <w:tcPr>
            <w:tcW w:w="988" w:type="dxa"/>
          </w:tcPr>
          <w:p w14:paraId="4E10486C" w14:textId="77777777" w:rsidR="00216DC0" w:rsidRDefault="00216DC0" w:rsidP="00D4226B">
            <w:pPr>
              <w:tabs>
                <w:tab w:val="left" w:pos="1920"/>
              </w:tabs>
              <w:ind w:right="-108"/>
              <w:jc w:val="center"/>
              <w:rPr>
                <w:rFonts w:ascii="Arial" w:hAnsi="Arial" w:cs="Arial"/>
                <w:b/>
                <w:color w:val="FF0000"/>
              </w:rPr>
            </w:pPr>
            <w:r w:rsidRPr="001A5129">
              <w:rPr>
                <w:rFonts w:ascii="Arial" w:hAnsi="Arial" w:cs="Arial"/>
                <w:b/>
              </w:rPr>
              <w:t>27</w:t>
            </w:r>
          </w:p>
        </w:tc>
        <w:tc>
          <w:tcPr>
            <w:tcW w:w="9497" w:type="dxa"/>
          </w:tcPr>
          <w:p w14:paraId="61B72A8E" w14:textId="77777777" w:rsidR="00216DC0" w:rsidRPr="001A5129" w:rsidRDefault="00216DC0" w:rsidP="00D4226B">
            <w:pPr>
              <w:pStyle w:val="Textoindependiente"/>
              <w:ind w:right="31"/>
              <w:jc w:val="both"/>
              <w:rPr>
                <w:rFonts w:ascii="Arial" w:hAnsi="Arial" w:cs="Arial"/>
              </w:rPr>
            </w:pPr>
            <w:r w:rsidRPr="001A5129">
              <w:rPr>
                <w:rFonts w:ascii="Arial" w:hAnsi="Arial" w:cs="Arial"/>
                <w:b/>
              </w:rPr>
              <w:t xml:space="preserve">CORPORACIÓN PARA EL DESARROLLO DEL AREA DE MANEJO ESPECIAL LA MACARENA – CORMACARENA. </w:t>
            </w:r>
            <w:r w:rsidRPr="001A5129">
              <w:rPr>
                <w:rFonts w:ascii="Arial" w:hAnsi="Arial" w:cs="Arial"/>
                <w:b/>
                <w:bCs/>
              </w:rPr>
              <w:t xml:space="preserve">1.2. Declaración de Cumplimiento del Marco Normativo y Limitaciones: </w:t>
            </w:r>
            <w:r w:rsidRPr="001A5129">
              <w:rPr>
                <w:rFonts w:ascii="Arial" w:hAnsi="Arial" w:cs="Arial"/>
                <w:bCs/>
              </w:rPr>
              <w:t xml:space="preserve">(…) </w:t>
            </w:r>
            <w:r w:rsidRPr="001A5129">
              <w:rPr>
                <w:rFonts w:ascii="Arial" w:hAnsi="Arial" w:cs="Arial"/>
              </w:rPr>
              <w:t>La deficiencia en la integridad de las áreas que producen información al sistema de</w:t>
            </w:r>
            <w:r w:rsidRPr="001A5129">
              <w:rPr>
                <w:rFonts w:ascii="Arial" w:hAnsi="Arial" w:cs="Arial"/>
                <w:spacing w:val="1"/>
              </w:rPr>
              <w:t xml:space="preserve"> </w:t>
            </w:r>
            <w:r w:rsidRPr="001A5129">
              <w:rPr>
                <w:rFonts w:ascii="Arial" w:hAnsi="Arial" w:cs="Arial"/>
              </w:rPr>
              <w:t>información contable genera la posibilidad de errores por falta de oportunidad en la</w:t>
            </w:r>
            <w:r w:rsidRPr="001A5129">
              <w:rPr>
                <w:rFonts w:ascii="Arial" w:hAnsi="Arial" w:cs="Arial"/>
                <w:spacing w:val="1"/>
              </w:rPr>
              <w:t xml:space="preserve"> </w:t>
            </w:r>
            <w:r w:rsidRPr="001A5129">
              <w:rPr>
                <w:rFonts w:ascii="Arial" w:hAnsi="Arial" w:cs="Arial"/>
              </w:rPr>
              <w:t>recepción</w:t>
            </w:r>
            <w:r w:rsidRPr="001A5129">
              <w:rPr>
                <w:rFonts w:ascii="Arial" w:hAnsi="Arial" w:cs="Arial"/>
                <w:spacing w:val="-1"/>
              </w:rPr>
              <w:t xml:space="preserve"> </w:t>
            </w:r>
            <w:r w:rsidRPr="001A5129">
              <w:rPr>
                <w:rFonts w:ascii="Arial" w:hAnsi="Arial" w:cs="Arial"/>
              </w:rPr>
              <w:t>de insumos. Durante el año 2024 hubo deficiencias en la oportunidad de la entrega de información desde la subdirección de gestión y control ambiental, relacionada particularmente con las visitas de control y seguimiento, generando la imposibilidad de elaborar conciliaciones mensuales entre estas dos dependencias, se logró hacer una conciliación parcial con corte a diciembre 31, en el mes de febrero de 2025.</w:t>
            </w:r>
          </w:p>
          <w:p w14:paraId="4AE862D3" w14:textId="77777777" w:rsidR="00216DC0" w:rsidRPr="001A5129" w:rsidRDefault="00216DC0" w:rsidP="00D4226B">
            <w:pPr>
              <w:ind w:right="31"/>
              <w:jc w:val="both"/>
              <w:rPr>
                <w:rFonts w:ascii="Arial" w:hAnsi="Arial" w:cs="Arial"/>
              </w:rPr>
            </w:pPr>
          </w:p>
          <w:p w14:paraId="50241F4E" w14:textId="77777777" w:rsidR="00216DC0" w:rsidRPr="001A5129" w:rsidRDefault="00216DC0" w:rsidP="00D4226B">
            <w:pPr>
              <w:jc w:val="both"/>
              <w:rPr>
                <w:rFonts w:ascii="Arial" w:hAnsi="Arial" w:cs="Arial"/>
              </w:rPr>
            </w:pPr>
            <w:r w:rsidRPr="001A5129">
              <w:rPr>
                <w:rFonts w:ascii="Arial" w:hAnsi="Arial" w:cs="Arial"/>
              </w:rPr>
              <w:t>Igual situación se presentó con la entrega de información relacionada con los conceptos de ingresos por multas, por parte de la oficina de autoridad ambiental, situación que generó falta de oportunidad en el cierre contable e imposibilidad de elaborar conciliaciones en tiempos cortos dentro del año, se logró una conciliación con corte a diciembre 31 de 2024, en el mes de febrero de 2025.</w:t>
            </w:r>
          </w:p>
          <w:p w14:paraId="14D1C755" w14:textId="77777777" w:rsidR="00216DC0" w:rsidRPr="001A5129" w:rsidRDefault="00216DC0" w:rsidP="00D4226B">
            <w:pPr>
              <w:jc w:val="both"/>
              <w:rPr>
                <w:rFonts w:ascii="Arial" w:hAnsi="Arial" w:cs="Arial"/>
              </w:rPr>
            </w:pPr>
          </w:p>
          <w:p w14:paraId="4ED8D31B" w14:textId="77777777" w:rsidR="00216DC0" w:rsidRPr="001A5129" w:rsidRDefault="00216DC0" w:rsidP="00D4226B">
            <w:pPr>
              <w:jc w:val="both"/>
              <w:rPr>
                <w:rFonts w:ascii="Arial" w:hAnsi="Arial" w:cs="Arial"/>
              </w:rPr>
            </w:pPr>
            <w:r w:rsidRPr="001A5129">
              <w:rPr>
                <w:rFonts w:ascii="Arial" w:hAnsi="Arial" w:cs="Arial"/>
              </w:rPr>
              <w:t>Se tuvo respuesta por parte de la contaduría General de la Nación, a una consulta adelantada por el contador de la corporación, respecto a un predio donado por HOCOL S.A con NIT, 860-072-1347 en el año 2019; y fue prácticamente imposible recibir por parte de la Subdirección de Gestión y control ambiental y por parte de la oficina jurídica todos los documentos que permitieran la contabilización del predio, con las exigencias proferidas por el ente rector de la contabilidad pública en Colombia, generando posiblemente inconsistencia en el valor que muestre la realidad económica de la entidad, en este registro.</w:t>
            </w:r>
          </w:p>
          <w:p w14:paraId="6F279ABB" w14:textId="77777777" w:rsidR="00216DC0" w:rsidRPr="001A5129" w:rsidRDefault="00216DC0" w:rsidP="00D4226B">
            <w:pPr>
              <w:jc w:val="both"/>
              <w:rPr>
                <w:rFonts w:ascii="Arial" w:hAnsi="Arial" w:cs="Arial"/>
              </w:rPr>
            </w:pPr>
          </w:p>
          <w:p w14:paraId="5D67F5A9" w14:textId="77777777" w:rsidR="00216DC0" w:rsidRPr="001A5129" w:rsidRDefault="00216DC0" w:rsidP="00D4226B">
            <w:pPr>
              <w:jc w:val="both"/>
              <w:rPr>
                <w:rFonts w:ascii="Arial" w:hAnsi="Arial" w:cs="Arial"/>
              </w:rPr>
            </w:pPr>
            <w:r w:rsidRPr="001A5129">
              <w:rPr>
                <w:rFonts w:ascii="Arial" w:hAnsi="Arial" w:cs="Arial"/>
              </w:rPr>
              <w:t>Poca oportunidad en la entrega de la liquidación de intereses de mora a las cuentas por cobrar por parte de la oficina de rentas de la entidad. lo que limitó significativamente la intervención del área contable y dejando exclusivamente la responsabilidad de estas cifras en el área de rentas de la entidad.</w:t>
            </w:r>
          </w:p>
          <w:p w14:paraId="78484CCD" w14:textId="77777777" w:rsidR="00216DC0" w:rsidRPr="001A5129" w:rsidRDefault="00216DC0" w:rsidP="00D4226B">
            <w:pPr>
              <w:jc w:val="both"/>
              <w:rPr>
                <w:rFonts w:ascii="Arial" w:hAnsi="Arial" w:cs="Arial"/>
              </w:rPr>
            </w:pPr>
          </w:p>
          <w:p w14:paraId="08B750B5" w14:textId="77777777" w:rsidR="00216DC0" w:rsidRPr="001A5129" w:rsidRDefault="00216DC0" w:rsidP="00D4226B">
            <w:pPr>
              <w:jc w:val="both"/>
              <w:rPr>
                <w:rFonts w:ascii="Arial" w:hAnsi="Arial" w:cs="Arial"/>
              </w:rPr>
            </w:pPr>
            <w:r w:rsidRPr="001A5129">
              <w:rPr>
                <w:rFonts w:ascii="Arial" w:hAnsi="Arial" w:cs="Arial"/>
              </w:rPr>
              <w:t>La Corporación en la vigencia 2022 y 2021, aportó a la Corporación “MACARENIA CORP, un valor de $200 millones en la vigencia 2021 y $200 millones para la vigencia 2022, con el objetivo de su constitución; esta inversión tiene la posibilidad de modificar su valor en el tiempo dependiendo de las utilidades o pérdidas acumuladas de MACARENIA CORP. El área contable solicitó al personal directivo la consecución de los Estados financieros más recientes de esta. Pero no obtuvo respuesta o apoyo de la alta dirección; motivo por el cual los Estados Financieros de CORMACARENA, podrían afectarse negativamente.</w:t>
            </w:r>
          </w:p>
          <w:p w14:paraId="7B9FE985" w14:textId="77777777" w:rsidR="00216DC0" w:rsidRPr="001A5129" w:rsidRDefault="00216DC0" w:rsidP="00D4226B">
            <w:pPr>
              <w:jc w:val="both"/>
              <w:rPr>
                <w:rFonts w:ascii="Arial" w:hAnsi="Arial" w:cs="Arial"/>
              </w:rPr>
            </w:pPr>
          </w:p>
          <w:p w14:paraId="40CE953E" w14:textId="77777777" w:rsidR="00216DC0" w:rsidRPr="001A5129" w:rsidRDefault="00216DC0" w:rsidP="00D4226B">
            <w:pPr>
              <w:jc w:val="both"/>
              <w:rPr>
                <w:rFonts w:ascii="Arial" w:hAnsi="Arial" w:cs="Arial"/>
              </w:rPr>
            </w:pPr>
            <w:r w:rsidRPr="001A5129">
              <w:rPr>
                <w:rFonts w:ascii="Arial" w:hAnsi="Arial" w:cs="Arial"/>
              </w:rPr>
              <w:t xml:space="preserve">Todas estas deficiencias en el flujo oportuno de la información de las dependencias que generan información tan importante para la contabilidad de la entidad, podrían impactar la razonabilidad de las </w:t>
            </w:r>
            <w:r w:rsidRPr="001A5129">
              <w:rPr>
                <w:rFonts w:ascii="Arial" w:hAnsi="Arial" w:cs="Arial"/>
              </w:rPr>
              <w:lastRenderedPageBreak/>
              <w:t>cifras de los estados financieros, por falta entre otros del requisito de complejidad, y no reflejar la realidad económica de la entidad en todas sus actuaciones, con corte a diciembre 31 de 2024.</w:t>
            </w:r>
          </w:p>
        </w:tc>
      </w:tr>
      <w:tr w:rsidR="00216DC0" w:rsidRPr="00E232C9" w14:paraId="179E49AD" w14:textId="77777777" w:rsidTr="00D4226B">
        <w:trPr>
          <w:jc w:val="center"/>
        </w:trPr>
        <w:tc>
          <w:tcPr>
            <w:tcW w:w="988" w:type="dxa"/>
          </w:tcPr>
          <w:p w14:paraId="4C83D487" w14:textId="77777777" w:rsidR="00216DC0" w:rsidRDefault="00216DC0" w:rsidP="00D4226B">
            <w:pPr>
              <w:tabs>
                <w:tab w:val="left" w:pos="1920"/>
              </w:tabs>
              <w:ind w:right="-108"/>
              <w:jc w:val="center"/>
              <w:rPr>
                <w:rFonts w:ascii="Arial" w:hAnsi="Arial" w:cs="Arial"/>
                <w:b/>
                <w:color w:val="FF0000"/>
              </w:rPr>
            </w:pPr>
            <w:r w:rsidRPr="00A75252">
              <w:rPr>
                <w:rFonts w:ascii="Arial" w:hAnsi="Arial" w:cs="Arial"/>
                <w:b/>
              </w:rPr>
              <w:lastRenderedPageBreak/>
              <w:t>28</w:t>
            </w:r>
          </w:p>
        </w:tc>
        <w:tc>
          <w:tcPr>
            <w:tcW w:w="9497" w:type="dxa"/>
          </w:tcPr>
          <w:p w14:paraId="787D0DA4" w14:textId="77777777" w:rsidR="00216DC0" w:rsidRPr="00A75252" w:rsidRDefault="00216DC0" w:rsidP="00D4226B">
            <w:pPr>
              <w:jc w:val="both"/>
              <w:rPr>
                <w:rFonts w:ascii="Arial" w:hAnsi="Arial" w:cs="Arial"/>
                <w:b/>
                <w:bCs/>
              </w:rPr>
            </w:pPr>
            <w:r w:rsidRPr="00A75252">
              <w:rPr>
                <w:rFonts w:ascii="Arial" w:hAnsi="Arial" w:cs="Arial"/>
                <w:b/>
                <w:lang w:val="es-MX"/>
              </w:rPr>
              <w:t xml:space="preserve">U.A.E. DE LA JUSTICIA PENAL MILITAR Y POLICIAL. </w:t>
            </w:r>
            <w:r w:rsidRPr="00A75252">
              <w:rPr>
                <w:rFonts w:ascii="Arial" w:hAnsi="Arial" w:cs="Arial"/>
                <w:b/>
                <w:bCs/>
              </w:rPr>
              <w:t>DE LAS NOTAS DE CARÁCTER GENERAL – 1.2. Declaración de Cumplimiento del Marco Normativo y Limitaciones.</w:t>
            </w:r>
          </w:p>
          <w:p w14:paraId="70813B2B" w14:textId="77777777" w:rsidR="00216DC0" w:rsidRPr="00A75252" w:rsidRDefault="00216DC0" w:rsidP="00D4226B">
            <w:pPr>
              <w:jc w:val="both"/>
              <w:rPr>
                <w:rFonts w:ascii="Arial" w:hAnsi="Arial" w:cs="Arial"/>
                <w:b/>
                <w:bCs/>
              </w:rPr>
            </w:pPr>
          </w:p>
          <w:p w14:paraId="28C7E4B9" w14:textId="77777777" w:rsidR="00216DC0" w:rsidRPr="00A75252" w:rsidRDefault="00216DC0" w:rsidP="00D4226B">
            <w:pPr>
              <w:pStyle w:val="Textoindependiente"/>
              <w:ind w:right="-50"/>
              <w:jc w:val="both"/>
              <w:rPr>
                <w:rFonts w:ascii="Arial" w:hAnsi="Arial" w:cs="Arial"/>
                <w:bCs/>
              </w:rPr>
            </w:pPr>
            <w:r w:rsidRPr="00A75252">
              <w:rPr>
                <w:rFonts w:ascii="Arial" w:hAnsi="Arial" w:cs="Arial"/>
                <w:bCs/>
              </w:rPr>
              <w:t>La unidad utiliza el software logístico SAP, PAOYER y SIATH, de propiedad del Ministerio de Defensa Nacional, en virtud del Convenio Interadministrativo de Cooperación No. 16 del 30 de diciembre de 2021. La parametrización y administración del sistema son responsabilidad del Ministerio, lo que limita a la unidad para la generación de información que pueda ser relevante para esta.</w:t>
            </w:r>
          </w:p>
        </w:tc>
      </w:tr>
      <w:tr w:rsidR="00216DC0" w:rsidRPr="00E232C9" w14:paraId="4439828B" w14:textId="77777777" w:rsidTr="00D4226B">
        <w:trPr>
          <w:jc w:val="center"/>
        </w:trPr>
        <w:tc>
          <w:tcPr>
            <w:tcW w:w="988" w:type="dxa"/>
          </w:tcPr>
          <w:p w14:paraId="2E7D3BBA" w14:textId="77777777" w:rsidR="00216DC0" w:rsidRPr="00CD7C64" w:rsidRDefault="00216DC0" w:rsidP="00D4226B">
            <w:pPr>
              <w:tabs>
                <w:tab w:val="left" w:pos="1920"/>
              </w:tabs>
              <w:ind w:right="-108"/>
              <w:jc w:val="center"/>
              <w:rPr>
                <w:rFonts w:ascii="Arial" w:hAnsi="Arial" w:cs="Arial"/>
                <w:b/>
              </w:rPr>
            </w:pPr>
            <w:r w:rsidRPr="00CD7C64">
              <w:rPr>
                <w:rFonts w:ascii="Arial" w:hAnsi="Arial" w:cs="Arial"/>
                <w:b/>
              </w:rPr>
              <w:t>29</w:t>
            </w:r>
          </w:p>
        </w:tc>
        <w:tc>
          <w:tcPr>
            <w:tcW w:w="9497" w:type="dxa"/>
          </w:tcPr>
          <w:p w14:paraId="15692C29" w14:textId="77777777" w:rsidR="00216DC0" w:rsidRPr="00CD7C64" w:rsidRDefault="00216DC0" w:rsidP="00D4226B">
            <w:pPr>
              <w:pStyle w:val="Textoindependiente"/>
              <w:ind w:right="-50"/>
              <w:jc w:val="both"/>
              <w:rPr>
                <w:rFonts w:ascii="Arial" w:hAnsi="Arial" w:cs="Arial"/>
              </w:rPr>
            </w:pPr>
            <w:r w:rsidRPr="00CD7C64">
              <w:rPr>
                <w:rFonts w:ascii="Arial" w:hAnsi="Arial" w:cs="Arial"/>
                <w:b/>
                <w:lang w:val="es-MX"/>
              </w:rPr>
              <w:t xml:space="preserve">183.- U.A.E. MIGRACIÓN COLOMBIA. </w:t>
            </w:r>
            <w:r w:rsidRPr="00CD7C64">
              <w:rPr>
                <w:rFonts w:ascii="Arial" w:hAnsi="Arial" w:cs="Arial"/>
              </w:rPr>
              <w:t>De las Notas a los Estados Financieros, retomamos:</w:t>
            </w:r>
          </w:p>
          <w:p w14:paraId="7ECFCF59" w14:textId="77777777" w:rsidR="00216DC0" w:rsidRPr="00CD7C64" w:rsidRDefault="00216DC0" w:rsidP="00D4226B">
            <w:pPr>
              <w:pStyle w:val="Textoindependiente"/>
              <w:ind w:right="-50"/>
              <w:jc w:val="both"/>
              <w:rPr>
                <w:rFonts w:ascii="Arial" w:hAnsi="Arial" w:cs="Arial"/>
                <w:b/>
                <w:bCs/>
                <w:sz w:val="28"/>
                <w:szCs w:val="28"/>
              </w:rPr>
            </w:pPr>
          </w:p>
          <w:p w14:paraId="05527ADA" w14:textId="77777777" w:rsidR="00216DC0" w:rsidRPr="00CD7C64" w:rsidRDefault="00216DC0" w:rsidP="00D4226B">
            <w:pPr>
              <w:pStyle w:val="Textoindependiente"/>
              <w:ind w:right="-50"/>
              <w:jc w:val="both"/>
              <w:rPr>
                <w:rFonts w:ascii="Arial" w:hAnsi="Arial" w:cs="Arial"/>
                <w:b/>
                <w:bCs/>
              </w:rPr>
            </w:pPr>
            <w:r w:rsidRPr="00CD7C64">
              <w:rPr>
                <w:rFonts w:ascii="Arial" w:hAnsi="Arial" w:cs="Arial"/>
                <w:b/>
                <w:bCs/>
              </w:rPr>
              <w:t>1.2</w:t>
            </w:r>
            <w:r w:rsidRPr="00CD7C64">
              <w:rPr>
                <w:rFonts w:ascii="Arial" w:hAnsi="Arial" w:cs="Arial"/>
                <w:b/>
                <w:bCs/>
              </w:rPr>
              <w:tab/>
              <w:t>Declaración de cumplimiento del marco normativo y limitaciones.</w:t>
            </w:r>
          </w:p>
          <w:p w14:paraId="483FB7DD" w14:textId="77777777" w:rsidR="00216DC0" w:rsidRPr="00CD7C64" w:rsidRDefault="00216DC0" w:rsidP="00D4226B">
            <w:pPr>
              <w:pStyle w:val="Textoindependiente"/>
              <w:ind w:right="-50"/>
              <w:jc w:val="both"/>
              <w:rPr>
                <w:rFonts w:ascii="Arial" w:hAnsi="Arial" w:cs="Arial"/>
                <w:b/>
                <w:bCs/>
                <w:sz w:val="28"/>
                <w:szCs w:val="28"/>
              </w:rPr>
            </w:pPr>
          </w:p>
          <w:p w14:paraId="4F7D7BBE" w14:textId="77777777" w:rsidR="00216DC0" w:rsidRPr="00CD7C64" w:rsidRDefault="00216DC0" w:rsidP="00D4226B">
            <w:pPr>
              <w:pStyle w:val="Textoindependiente"/>
              <w:ind w:right="-50"/>
              <w:jc w:val="both"/>
              <w:rPr>
                <w:rFonts w:ascii="Arial" w:hAnsi="Arial" w:cs="Arial"/>
              </w:rPr>
            </w:pPr>
            <w:r w:rsidRPr="00CD7C64">
              <w:rPr>
                <w:rFonts w:ascii="Arial" w:hAnsi="Arial" w:cs="Arial"/>
                <w:b/>
                <w:bCs/>
              </w:rPr>
              <w:t xml:space="preserve">Limitaciones de Orden Administrativo. </w:t>
            </w:r>
            <w:r w:rsidRPr="00CD7C64">
              <w:rPr>
                <w:rFonts w:ascii="Arial" w:hAnsi="Arial" w:cs="Arial"/>
              </w:rPr>
              <w:t>Una de las limitaciones de orden administrativo que logra incidir en el proceso contable, es el hecho de que la Entidad a nivel nacional se encuentra centralizada administrativamente, lo que puede generar riesgos de inoportunidad u omisión en el reconocimiento de la totalidad de los hechos económicos o que los mismos no logren representar la realidad económica de Migración.</w:t>
            </w:r>
          </w:p>
          <w:p w14:paraId="1C00F56D" w14:textId="77777777" w:rsidR="00216DC0" w:rsidRPr="00CD7C64" w:rsidRDefault="00216DC0" w:rsidP="00D4226B">
            <w:pPr>
              <w:pStyle w:val="Textoindependiente"/>
              <w:ind w:right="-50"/>
              <w:jc w:val="both"/>
              <w:rPr>
                <w:rFonts w:ascii="Arial" w:hAnsi="Arial" w:cs="Arial"/>
              </w:rPr>
            </w:pPr>
          </w:p>
          <w:p w14:paraId="6BD4226C" w14:textId="77777777" w:rsidR="00216DC0" w:rsidRPr="00CD7C64" w:rsidRDefault="00216DC0" w:rsidP="00D4226B">
            <w:pPr>
              <w:pStyle w:val="Textoindependiente"/>
              <w:ind w:right="-50"/>
              <w:jc w:val="both"/>
              <w:rPr>
                <w:rFonts w:ascii="Arial" w:hAnsi="Arial" w:cs="Arial"/>
              </w:rPr>
            </w:pPr>
            <w:r w:rsidRPr="00CD7C64">
              <w:rPr>
                <w:rFonts w:ascii="Arial" w:hAnsi="Arial" w:cs="Arial"/>
                <w:b/>
                <w:bCs/>
              </w:rPr>
              <w:t xml:space="preserve">Limitaciones de Orden Contable. </w:t>
            </w:r>
            <w:r w:rsidRPr="00CD7C64">
              <w:rPr>
                <w:rFonts w:ascii="Arial" w:hAnsi="Arial" w:cs="Arial"/>
              </w:rPr>
              <w:t>Una de las limitaciones más importantes de orden contable, es el hecho de que algunas Áreas Internas proveedoras de información (Áreas de Apoyo), no cuentan con sistemas de información automatizados para el control y seguimiento de algunos hechos económicos como los siguientes: Cartera de multas; procesos judiciales; cartera de incapacidades y beneficios a empleados, los cuales se llevan en bases de Excel, lo que puede generar un riesgo sobre la confiabilidad de la información.</w:t>
            </w:r>
          </w:p>
        </w:tc>
      </w:tr>
      <w:tr w:rsidR="00216DC0" w:rsidRPr="00E232C9" w14:paraId="70C17930" w14:textId="77777777" w:rsidTr="00D4226B">
        <w:trPr>
          <w:jc w:val="center"/>
        </w:trPr>
        <w:tc>
          <w:tcPr>
            <w:tcW w:w="988" w:type="dxa"/>
          </w:tcPr>
          <w:p w14:paraId="6D51EB54" w14:textId="77777777" w:rsidR="00216DC0" w:rsidRDefault="00216DC0" w:rsidP="00D4226B">
            <w:pPr>
              <w:tabs>
                <w:tab w:val="left" w:pos="1920"/>
              </w:tabs>
              <w:ind w:right="-108"/>
              <w:jc w:val="center"/>
              <w:rPr>
                <w:rFonts w:ascii="Arial" w:hAnsi="Arial" w:cs="Arial"/>
                <w:b/>
                <w:color w:val="FF0000"/>
              </w:rPr>
            </w:pPr>
            <w:r w:rsidRPr="00F65E7B">
              <w:rPr>
                <w:rFonts w:ascii="Arial" w:hAnsi="Arial" w:cs="Arial"/>
                <w:b/>
              </w:rPr>
              <w:t>30</w:t>
            </w:r>
          </w:p>
        </w:tc>
        <w:tc>
          <w:tcPr>
            <w:tcW w:w="9497" w:type="dxa"/>
          </w:tcPr>
          <w:p w14:paraId="7ABDF7BD" w14:textId="77777777" w:rsidR="00216DC0" w:rsidRPr="00F65E7B" w:rsidRDefault="00216DC0" w:rsidP="00D4226B">
            <w:pPr>
              <w:pStyle w:val="Textoindependiente"/>
              <w:ind w:right="-50"/>
              <w:jc w:val="both"/>
              <w:rPr>
                <w:rFonts w:ascii="Arial" w:hAnsi="Arial" w:cs="Arial"/>
                <w:b/>
                <w:bCs/>
              </w:rPr>
            </w:pPr>
            <w:r w:rsidRPr="00F65E7B">
              <w:rPr>
                <w:rFonts w:ascii="Arial" w:hAnsi="Arial" w:cs="Arial"/>
                <w:b/>
                <w:lang w:val="es-MX"/>
              </w:rPr>
              <w:t>FONDO DE PRESTACIONES SOCIALES DEL MAGISTERIO – FOMAG -</w:t>
            </w:r>
            <w:r>
              <w:rPr>
                <w:rFonts w:ascii="Arial" w:hAnsi="Arial" w:cs="Arial"/>
                <w:b/>
                <w:lang w:val="es-MX"/>
              </w:rPr>
              <w:t xml:space="preserve"> </w:t>
            </w:r>
            <w:r w:rsidRPr="00F65E7B">
              <w:rPr>
                <w:rFonts w:ascii="Arial" w:hAnsi="Arial" w:cs="Arial"/>
                <w:b/>
                <w:lang w:val="es-MX"/>
              </w:rPr>
              <w:t xml:space="preserve">FIDUPREVISORA. </w:t>
            </w:r>
            <w:r>
              <w:rPr>
                <w:rFonts w:ascii="Arial" w:hAnsi="Arial" w:cs="Arial"/>
                <w:b/>
                <w:lang w:val="es-MX"/>
              </w:rPr>
              <w:t xml:space="preserve">S.A. </w:t>
            </w:r>
            <w:r w:rsidRPr="00F65E7B">
              <w:rPr>
                <w:rFonts w:ascii="Arial" w:hAnsi="Arial" w:cs="Arial"/>
                <w:b/>
                <w:bCs/>
              </w:rPr>
              <w:t>1.2. Declaración de cumplimiento del marco normativo y limitaciones.</w:t>
            </w:r>
          </w:p>
          <w:p w14:paraId="64D6022C" w14:textId="77777777" w:rsidR="00216DC0" w:rsidRPr="00F65E7B" w:rsidRDefault="00216DC0" w:rsidP="00D4226B">
            <w:pPr>
              <w:pStyle w:val="Textoindependiente"/>
              <w:ind w:right="-50"/>
              <w:jc w:val="both"/>
              <w:rPr>
                <w:rFonts w:ascii="Arial" w:hAnsi="Arial" w:cs="Arial"/>
                <w:b/>
                <w:bCs/>
                <w:sz w:val="28"/>
                <w:szCs w:val="28"/>
              </w:rPr>
            </w:pPr>
          </w:p>
          <w:p w14:paraId="011E3D36" w14:textId="77777777" w:rsidR="00216DC0" w:rsidRPr="00F65E7B" w:rsidRDefault="00216DC0" w:rsidP="00D4226B">
            <w:pPr>
              <w:pStyle w:val="Textoindependiente"/>
              <w:ind w:right="-50"/>
              <w:jc w:val="both"/>
              <w:rPr>
                <w:rFonts w:ascii="Arial" w:hAnsi="Arial" w:cs="Arial"/>
              </w:rPr>
            </w:pPr>
            <w:r w:rsidRPr="00F65E7B">
              <w:rPr>
                <w:rFonts w:ascii="Arial" w:hAnsi="Arial" w:cs="Arial"/>
                <w:b/>
                <w:bCs/>
              </w:rPr>
              <w:t xml:space="preserve">Limitaciones y deficiencias. </w:t>
            </w:r>
            <w:r w:rsidRPr="00F65E7B">
              <w:rPr>
                <w:rFonts w:ascii="Arial" w:hAnsi="Arial" w:cs="Arial"/>
              </w:rPr>
              <w:t>Se presentó limitación de orden administrativo pese a las solicitudes reiteradas con destino a los diferentes despachos judiciales para acceder a las piezas procesales que dieron origen a:</w:t>
            </w:r>
          </w:p>
          <w:p w14:paraId="001EF153" w14:textId="77777777" w:rsidR="00216DC0" w:rsidRPr="00F65E7B" w:rsidRDefault="00216DC0" w:rsidP="00D4226B">
            <w:pPr>
              <w:pStyle w:val="Textoindependiente"/>
              <w:ind w:right="-50"/>
              <w:jc w:val="both"/>
              <w:rPr>
                <w:rFonts w:ascii="Arial" w:hAnsi="Arial" w:cs="Arial"/>
              </w:rPr>
            </w:pPr>
          </w:p>
          <w:p w14:paraId="3E1CB32D" w14:textId="77777777" w:rsidR="00216DC0" w:rsidRPr="00F65E7B" w:rsidRDefault="00216DC0" w:rsidP="00AE3935">
            <w:pPr>
              <w:pStyle w:val="Textoindependiente"/>
              <w:numPr>
                <w:ilvl w:val="0"/>
                <w:numId w:val="74"/>
              </w:numPr>
              <w:ind w:right="-50"/>
              <w:jc w:val="both"/>
              <w:rPr>
                <w:rFonts w:ascii="Arial" w:hAnsi="Arial" w:cs="Arial"/>
              </w:rPr>
            </w:pPr>
            <w:r w:rsidRPr="00F65E7B">
              <w:rPr>
                <w:rFonts w:ascii="Arial" w:hAnsi="Arial" w:cs="Arial"/>
              </w:rPr>
              <w:t>154 embargos por valor de $6.335.906.181,76 que se encuentran registrados dentro de la cuenta de depósitos judiciales equivalente al 10% del saldo total del rubro otros derechos y garantías, ver gestiones realizadas durante la vigencia 2024 en la nota 16.</w:t>
            </w:r>
          </w:p>
          <w:p w14:paraId="6E12A943" w14:textId="77777777" w:rsidR="00216DC0" w:rsidRPr="00F65E7B" w:rsidRDefault="00216DC0" w:rsidP="00D4226B">
            <w:pPr>
              <w:pStyle w:val="Textoindependiente"/>
              <w:ind w:right="-50"/>
              <w:jc w:val="both"/>
              <w:rPr>
                <w:rFonts w:ascii="Arial" w:hAnsi="Arial" w:cs="Arial"/>
              </w:rPr>
            </w:pPr>
          </w:p>
          <w:p w14:paraId="5CF45098" w14:textId="77777777" w:rsidR="00216DC0" w:rsidRPr="00F65E7B" w:rsidRDefault="00216DC0" w:rsidP="00AE3935">
            <w:pPr>
              <w:pStyle w:val="Textoindependiente"/>
              <w:numPr>
                <w:ilvl w:val="0"/>
                <w:numId w:val="74"/>
              </w:numPr>
              <w:ind w:right="-50"/>
              <w:jc w:val="both"/>
              <w:rPr>
                <w:rFonts w:ascii="Arial" w:hAnsi="Arial" w:cs="Arial"/>
              </w:rPr>
            </w:pPr>
            <w:r w:rsidRPr="00F65E7B">
              <w:rPr>
                <w:rFonts w:ascii="Arial" w:hAnsi="Arial" w:cs="Arial"/>
              </w:rPr>
              <w:t>1.010 fallos registrados dentro de la cuenta créditos judiciales por valor de $19.512.284.499,49 que corresponde al 8% del saldo total de este rubro, ver gestiones realizadas durante la vigencia 2024 en la nota 22.</w:t>
            </w:r>
          </w:p>
          <w:p w14:paraId="23C4CEBB" w14:textId="77777777" w:rsidR="00216DC0" w:rsidRPr="00F65E7B" w:rsidRDefault="00216DC0" w:rsidP="00D4226B">
            <w:pPr>
              <w:pStyle w:val="Prrafodelista"/>
              <w:rPr>
                <w:rFonts w:ascii="Arial" w:hAnsi="Arial" w:cs="Arial"/>
              </w:rPr>
            </w:pPr>
          </w:p>
          <w:p w14:paraId="503BAAE8" w14:textId="77777777" w:rsidR="00216DC0" w:rsidRPr="00F65E7B" w:rsidRDefault="00216DC0" w:rsidP="00D4226B">
            <w:pPr>
              <w:pStyle w:val="Textoindependiente"/>
              <w:ind w:right="-50"/>
              <w:jc w:val="both"/>
              <w:rPr>
                <w:rFonts w:ascii="Arial" w:hAnsi="Arial" w:cs="Arial"/>
              </w:rPr>
            </w:pPr>
            <w:r w:rsidRPr="00F65E7B">
              <w:rPr>
                <w:rFonts w:ascii="Arial" w:hAnsi="Arial" w:cs="Arial"/>
              </w:rPr>
              <w:t>Durante el año 2024, se logró la depuración de 133 embargos por valor de $7.803.230.043,23 y 660 fallos por valor de 26.670.968.727,92, lo cual represento un avance del 55% y 58%, respectivamente sobre los saldos pendientes por depurar al cierre de la vigencia 2023, así mismo, al no contar con el acceso total a las piezas procesales se continúa con la verificación del estado de los títulos y sentencias originados dentro de los procesos que se adelantan en contra del Patrimonio Autónomo, a pesar de las múltiples gestiones que se adelantaron en la vigencia través del proveedor de vigilancia Lupa Jurídica, tales como solicitud y reiteración de expedientes o piezas procesales, pago de arancel judicial en seis (6) oportunidades por concepto de desarchivo de 227 procesos, visita presencial a los despachos judiciales a nivel nacional, no obstante lo anterior, la gran mayoría de los despachos judiciales no han atendido las solicitudes para la obtención de las piezas procesales requeridas.</w:t>
            </w:r>
          </w:p>
          <w:p w14:paraId="1C18715B" w14:textId="77777777" w:rsidR="00216DC0" w:rsidRPr="00F65E7B" w:rsidRDefault="00216DC0" w:rsidP="00D4226B">
            <w:pPr>
              <w:pStyle w:val="Textoindependiente"/>
              <w:ind w:right="-50"/>
              <w:jc w:val="both"/>
              <w:rPr>
                <w:rFonts w:ascii="Arial" w:hAnsi="Arial" w:cs="Arial"/>
              </w:rPr>
            </w:pPr>
            <w:r w:rsidRPr="00F65E7B">
              <w:rPr>
                <w:rFonts w:ascii="Arial" w:hAnsi="Arial" w:cs="Arial"/>
              </w:rPr>
              <w:t>En relación al extracto en medio magnético de los depósitos judiciales del banco agrario, fuente que es utilizada para realizar validaciones sobre los estados de los títulos, y que en el caso particular de los embargos aplicados a las cuentas bancarias del Ministerio de Educación Nacional la entrega de esta información estuvo sujeto a los tiempos de remisión por parte de esa entidad como titular de las cuentas bancarias y único habilitado para tramitar esta solicitud ante la entidad financiera misma que nos fue remitida solo en dos (2) ocasiones una con corte al 30 de mayo y la otra a corte 30 de noviembre de 2024 por parte del Ministerio de Educación Nacional.</w:t>
            </w:r>
          </w:p>
        </w:tc>
      </w:tr>
      <w:tr w:rsidR="00216DC0" w:rsidRPr="00E232C9" w14:paraId="32C032C8" w14:textId="77777777" w:rsidTr="00D4226B">
        <w:trPr>
          <w:jc w:val="center"/>
        </w:trPr>
        <w:tc>
          <w:tcPr>
            <w:tcW w:w="988" w:type="dxa"/>
          </w:tcPr>
          <w:p w14:paraId="49530B11" w14:textId="77777777" w:rsidR="00216DC0" w:rsidRPr="00231824" w:rsidRDefault="00216DC0" w:rsidP="00D4226B">
            <w:pPr>
              <w:tabs>
                <w:tab w:val="left" w:pos="1920"/>
              </w:tabs>
              <w:ind w:right="-108"/>
              <w:jc w:val="center"/>
              <w:rPr>
                <w:rFonts w:ascii="Arial" w:hAnsi="Arial" w:cs="Arial"/>
                <w:b/>
              </w:rPr>
            </w:pPr>
            <w:r w:rsidRPr="00231824">
              <w:rPr>
                <w:rFonts w:ascii="Arial" w:hAnsi="Arial" w:cs="Arial"/>
                <w:b/>
              </w:rPr>
              <w:lastRenderedPageBreak/>
              <w:t>31</w:t>
            </w:r>
          </w:p>
        </w:tc>
        <w:tc>
          <w:tcPr>
            <w:tcW w:w="9497" w:type="dxa"/>
          </w:tcPr>
          <w:p w14:paraId="11DC62EC" w14:textId="77777777" w:rsidR="00216DC0" w:rsidRPr="00231824" w:rsidRDefault="00216DC0" w:rsidP="00D4226B">
            <w:pPr>
              <w:pStyle w:val="Textoindependiente"/>
              <w:ind w:right="-50"/>
              <w:jc w:val="both"/>
              <w:rPr>
                <w:rFonts w:ascii="Arial" w:hAnsi="Arial" w:cs="Arial"/>
                <w:bCs/>
              </w:rPr>
            </w:pPr>
            <w:r w:rsidRPr="00231824">
              <w:rPr>
                <w:rFonts w:ascii="Arial" w:hAnsi="Arial" w:cs="Arial"/>
                <w:b/>
                <w:lang w:val="es-MX"/>
              </w:rPr>
              <w:t xml:space="preserve">UNIVERSIDAD NACIONAL DE COLOMBIA. </w:t>
            </w:r>
            <w:r w:rsidRPr="00231824">
              <w:rPr>
                <w:rFonts w:ascii="Arial" w:hAnsi="Arial" w:cs="Arial"/>
                <w:b/>
                <w:bCs/>
              </w:rPr>
              <w:t>2. Declaración de cumplimiento del marco normativo y limitaciones</w:t>
            </w:r>
            <w:r w:rsidRPr="00231824">
              <w:rPr>
                <w:rFonts w:ascii="Arial" w:hAnsi="Arial" w:cs="Arial"/>
                <w:b/>
              </w:rPr>
              <w:t xml:space="preserve"> - Limitaciones y Deficiencias Operativas o Administrativas en el Proceso Contable: </w:t>
            </w:r>
            <w:r w:rsidRPr="00231824">
              <w:rPr>
                <w:rFonts w:ascii="Arial" w:hAnsi="Arial" w:cs="Arial"/>
                <w:bCs/>
              </w:rPr>
              <w:t>A continuación, se exponen las limitaciones operativas, administrativas y tecnológicas, que impactan el proceso contable en todos los niveles de la universidad:</w:t>
            </w:r>
          </w:p>
          <w:p w14:paraId="4ECB9FBF" w14:textId="77777777" w:rsidR="00216DC0" w:rsidRPr="00231824" w:rsidRDefault="00216DC0" w:rsidP="00D4226B">
            <w:pPr>
              <w:pStyle w:val="Textoindependiente"/>
              <w:ind w:right="-50"/>
              <w:jc w:val="both"/>
              <w:rPr>
                <w:rFonts w:ascii="Arial" w:hAnsi="Arial" w:cs="Arial"/>
                <w:bCs/>
              </w:rPr>
            </w:pPr>
          </w:p>
          <w:p w14:paraId="74BC3C13" w14:textId="77777777" w:rsidR="00216DC0" w:rsidRPr="00231824" w:rsidRDefault="00216DC0" w:rsidP="00D4226B">
            <w:pPr>
              <w:pStyle w:val="Textoindependiente"/>
              <w:ind w:right="-50"/>
              <w:jc w:val="both"/>
              <w:rPr>
                <w:rFonts w:ascii="Arial" w:hAnsi="Arial" w:cs="Arial"/>
              </w:rPr>
            </w:pPr>
            <w:r w:rsidRPr="00231824">
              <w:rPr>
                <w:rFonts w:ascii="Arial" w:hAnsi="Arial" w:cs="Arial"/>
              </w:rPr>
              <w:t xml:space="preserve">● </w:t>
            </w:r>
            <w:r w:rsidRPr="00231824">
              <w:rPr>
                <w:rFonts w:ascii="Arial" w:hAnsi="Arial" w:cs="Arial"/>
                <w:b/>
                <w:u w:val="single"/>
              </w:rPr>
              <w:t>Desintegración de los demás sistemas de información de la Universidad con el Sistema de Gestión Financiera – SGF - QUIPU</w:t>
            </w:r>
            <w:r w:rsidRPr="00231824">
              <w:rPr>
                <w:rFonts w:ascii="Arial" w:hAnsi="Arial" w:cs="Arial"/>
              </w:rPr>
              <w:t xml:space="preserve">: Algunos de los componentes que hacen parte de la información contable y financiera de la Universidad y su detalle, están procesados y/o contenidos en diferentes sistemas de información y estos no se encuentran integrados al - SGF QUIPU, lo que genera riesgo de inexactitud, al realizar este proceso de integración de forma manual. </w:t>
            </w:r>
          </w:p>
          <w:p w14:paraId="74598EFF" w14:textId="77777777" w:rsidR="00216DC0" w:rsidRPr="00231824" w:rsidRDefault="00216DC0" w:rsidP="00D4226B">
            <w:pPr>
              <w:pStyle w:val="Textoindependiente"/>
              <w:ind w:right="-50"/>
              <w:jc w:val="both"/>
              <w:rPr>
                <w:rFonts w:ascii="Arial" w:hAnsi="Arial" w:cs="Arial"/>
              </w:rPr>
            </w:pPr>
          </w:p>
          <w:p w14:paraId="2ACFD4A2" w14:textId="77777777" w:rsidR="00216DC0" w:rsidRPr="00231824" w:rsidRDefault="00216DC0" w:rsidP="00D4226B">
            <w:pPr>
              <w:pStyle w:val="Textoindependiente"/>
              <w:ind w:right="-50"/>
              <w:jc w:val="both"/>
              <w:rPr>
                <w:rFonts w:ascii="Arial" w:hAnsi="Arial" w:cs="Arial"/>
              </w:rPr>
            </w:pPr>
            <w:r w:rsidRPr="00231824">
              <w:rPr>
                <w:rFonts w:ascii="Arial" w:hAnsi="Arial" w:cs="Arial"/>
              </w:rPr>
              <w:t xml:space="preserve">● Ejecución manual del Sistema de Costos: </w:t>
            </w:r>
            <w:r w:rsidRPr="00231824">
              <w:rPr>
                <w:rFonts w:ascii="Arial" w:hAnsi="Arial" w:cs="Arial"/>
                <w:b/>
                <w:u w:val="single"/>
              </w:rPr>
              <w:t>la Universidad no dispone de un sistema o módulo automático que facilite los desarrollos necesarios para la implementación del sistema de costos. Por esta razón, la aplicación del sistema de costos se lleva a cabo de manera manual y fuera de los registros contables</w:t>
            </w:r>
            <w:r w:rsidRPr="00231824">
              <w:rPr>
                <w:rFonts w:ascii="Arial" w:hAnsi="Arial" w:cs="Arial"/>
              </w:rPr>
              <w:t xml:space="preserve">. </w:t>
            </w:r>
          </w:p>
          <w:p w14:paraId="021D1868" w14:textId="77777777" w:rsidR="00216DC0" w:rsidRPr="00231824" w:rsidRDefault="00216DC0" w:rsidP="00D4226B">
            <w:pPr>
              <w:pStyle w:val="Textoindependiente"/>
              <w:ind w:right="-50"/>
              <w:jc w:val="both"/>
              <w:rPr>
                <w:rFonts w:ascii="Arial" w:hAnsi="Arial" w:cs="Arial"/>
              </w:rPr>
            </w:pPr>
          </w:p>
          <w:p w14:paraId="313E012F" w14:textId="77777777" w:rsidR="00216DC0" w:rsidRPr="00231824" w:rsidRDefault="00216DC0" w:rsidP="00D4226B">
            <w:pPr>
              <w:pStyle w:val="Textoindependiente"/>
              <w:ind w:right="-50"/>
              <w:jc w:val="both"/>
              <w:rPr>
                <w:rFonts w:ascii="Arial" w:hAnsi="Arial" w:cs="Arial"/>
                <w:bCs/>
              </w:rPr>
            </w:pPr>
            <w:r w:rsidRPr="00231824">
              <w:rPr>
                <w:rFonts w:ascii="Arial" w:hAnsi="Arial" w:cs="Arial"/>
              </w:rPr>
              <w:t xml:space="preserve">● </w:t>
            </w:r>
            <w:r w:rsidRPr="00231824">
              <w:rPr>
                <w:rFonts w:ascii="Arial" w:hAnsi="Arial" w:cs="Arial"/>
                <w:b/>
                <w:u w:val="single"/>
              </w:rPr>
              <w:t>Alta Rotación de personal:</w:t>
            </w:r>
            <w:r w:rsidRPr="00231824">
              <w:rPr>
                <w:rFonts w:ascii="Arial" w:hAnsi="Arial" w:cs="Arial"/>
              </w:rPr>
              <w:t xml:space="preserve"> En algunas sedes o unidades especiales se presentan inconvenientes en garantizar la continuidad del personal encargado de las labores de las áreas contables. Esta situación genera traumatismos en los cierres periódicos, debido a la complejidad de la operación, la curva de aprendizaje e idoneidad asociada a estas tareas específicas incrementan el tiempo requerido para que el personal contratado alcance el proceso de adaptabilidad a los procesos internos de las áreas contables.</w:t>
            </w:r>
          </w:p>
        </w:tc>
      </w:tr>
      <w:tr w:rsidR="00216DC0" w:rsidRPr="00E232C9" w14:paraId="12FE4DD2" w14:textId="77777777" w:rsidTr="00D4226B">
        <w:trPr>
          <w:jc w:val="center"/>
        </w:trPr>
        <w:tc>
          <w:tcPr>
            <w:tcW w:w="988" w:type="dxa"/>
          </w:tcPr>
          <w:p w14:paraId="1268F0CF" w14:textId="77777777" w:rsidR="00216DC0" w:rsidRDefault="00216DC0" w:rsidP="00D4226B">
            <w:pPr>
              <w:tabs>
                <w:tab w:val="left" w:pos="1920"/>
              </w:tabs>
              <w:ind w:right="-108"/>
              <w:jc w:val="center"/>
              <w:rPr>
                <w:rFonts w:ascii="Arial" w:hAnsi="Arial" w:cs="Arial"/>
                <w:b/>
                <w:color w:val="FF0000"/>
              </w:rPr>
            </w:pPr>
            <w:r>
              <w:rPr>
                <w:rFonts w:ascii="Arial" w:hAnsi="Arial" w:cs="Arial"/>
                <w:b/>
                <w:color w:val="000000" w:themeColor="text1"/>
              </w:rPr>
              <w:t>32</w:t>
            </w:r>
          </w:p>
        </w:tc>
        <w:tc>
          <w:tcPr>
            <w:tcW w:w="9497" w:type="dxa"/>
          </w:tcPr>
          <w:p w14:paraId="5EEAF9FB" w14:textId="77777777" w:rsidR="00216DC0" w:rsidRPr="002716C8" w:rsidRDefault="00216DC0" w:rsidP="00D4226B">
            <w:pPr>
              <w:jc w:val="both"/>
              <w:rPr>
                <w:rFonts w:ascii="Arial" w:hAnsi="Arial" w:cs="Arial"/>
                <w:lang w:eastAsia="es-ES_tradnl"/>
              </w:rPr>
            </w:pPr>
            <w:r w:rsidRPr="002716C8">
              <w:rPr>
                <w:rFonts w:ascii="Arial" w:hAnsi="Arial" w:cs="Arial"/>
                <w:b/>
                <w:lang w:val="es-MX"/>
              </w:rPr>
              <w:t>DEPARTAMENTO ADMINISTRATIVO DE LA PRESIDENCIA DE LA REPÚBLICA – DAPRE.</w:t>
            </w:r>
            <w:r>
              <w:rPr>
                <w:rFonts w:ascii="Arial" w:hAnsi="Arial" w:cs="Arial"/>
                <w:b/>
                <w:lang w:val="es-MX"/>
              </w:rPr>
              <w:t xml:space="preserve"> </w:t>
            </w:r>
            <w:r w:rsidRPr="002716C8">
              <w:rPr>
                <w:rFonts w:ascii="Arial" w:hAnsi="Arial" w:cs="Arial"/>
                <w:b/>
              </w:rPr>
              <w:t xml:space="preserve">Limitaciones y Deficiencias Generales que Inciden en el Sistema Contable - </w:t>
            </w:r>
            <w:r w:rsidRPr="002716C8">
              <w:rPr>
                <w:rFonts w:ascii="Arial" w:hAnsi="Arial" w:cs="Arial"/>
                <w:b/>
                <w:lang w:val="es-ES_tradnl" w:eastAsia="es-ES_tradnl"/>
              </w:rPr>
              <w:t xml:space="preserve">Limitaciones Administrativas: </w:t>
            </w:r>
            <w:r w:rsidRPr="002716C8">
              <w:rPr>
                <w:rFonts w:ascii="Arial" w:hAnsi="Arial" w:cs="Arial"/>
                <w:lang w:eastAsia="es-ES_tradnl"/>
              </w:rPr>
              <w:t>Algunas dependencias que ejecutan recursos a través de terceros no remiten oportunamente la información de la ejecución de estos al Grupo de Contabilidad, a pesar de lo establecido en el Manual de Políticas Contables y en el Procedimiento para la Elaboración de Estados Financieros, lo cual genera desgaste administrativo.</w:t>
            </w:r>
          </w:p>
          <w:p w14:paraId="778508A4" w14:textId="77777777" w:rsidR="00216DC0" w:rsidRPr="002716C8" w:rsidRDefault="00216DC0" w:rsidP="00D4226B">
            <w:pPr>
              <w:jc w:val="both"/>
              <w:rPr>
                <w:rFonts w:ascii="Arial" w:hAnsi="Arial" w:cs="Arial"/>
                <w:lang w:eastAsia="es-ES_tradnl"/>
              </w:rPr>
            </w:pPr>
          </w:p>
          <w:p w14:paraId="45A98273" w14:textId="77777777" w:rsidR="00216DC0" w:rsidRPr="002716C8" w:rsidRDefault="00216DC0" w:rsidP="00D4226B">
            <w:pPr>
              <w:jc w:val="both"/>
              <w:rPr>
                <w:rFonts w:ascii="Arial" w:hAnsi="Arial" w:cs="Arial"/>
                <w:lang w:eastAsia="es-ES_tradnl"/>
              </w:rPr>
            </w:pPr>
            <w:r w:rsidRPr="002716C8">
              <w:rPr>
                <w:rFonts w:ascii="Arial" w:hAnsi="Arial" w:cs="Arial"/>
                <w:lang w:eastAsia="es-ES_tradnl"/>
              </w:rPr>
              <w:t>Al cierre de la vigencia algunos supervisores de contratos no radicaron oportunamente las cuentas en el Grupo de Central de Cuentas, en consecuencia, no fue posible realizar la obligación en el SIIF Nación, por tanto, se solicitó a los supervisores el envío de la información y se realizó el registro manual de estas facturas, en cumplim</w:t>
            </w:r>
            <w:r>
              <w:rPr>
                <w:rFonts w:ascii="Arial" w:hAnsi="Arial" w:cs="Arial"/>
                <w:lang w:eastAsia="es-ES_tradnl"/>
              </w:rPr>
              <w:t>iento del principio de devengo.</w:t>
            </w:r>
          </w:p>
        </w:tc>
      </w:tr>
      <w:tr w:rsidR="00216DC0" w:rsidRPr="00E232C9" w14:paraId="1B6AB4D2" w14:textId="77777777" w:rsidTr="00D4226B">
        <w:trPr>
          <w:jc w:val="center"/>
        </w:trPr>
        <w:tc>
          <w:tcPr>
            <w:tcW w:w="988" w:type="dxa"/>
          </w:tcPr>
          <w:p w14:paraId="40FC352D" w14:textId="77777777" w:rsidR="00216DC0" w:rsidRPr="006D2758" w:rsidRDefault="00216DC0" w:rsidP="00D4226B">
            <w:pPr>
              <w:tabs>
                <w:tab w:val="left" w:pos="1920"/>
              </w:tabs>
              <w:ind w:right="-108"/>
              <w:jc w:val="center"/>
              <w:rPr>
                <w:rFonts w:ascii="Arial" w:hAnsi="Arial" w:cs="Arial"/>
                <w:b/>
              </w:rPr>
            </w:pPr>
            <w:r>
              <w:rPr>
                <w:rFonts w:ascii="Arial" w:hAnsi="Arial" w:cs="Arial"/>
                <w:b/>
              </w:rPr>
              <w:t>33</w:t>
            </w:r>
          </w:p>
        </w:tc>
        <w:tc>
          <w:tcPr>
            <w:tcW w:w="9497" w:type="dxa"/>
          </w:tcPr>
          <w:p w14:paraId="2690C88E" w14:textId="77777777" w:rsidR="00216DC0" w:rsidRPr="00AD1269" w:rsidRDefault="00216DC0" w:rsidP="00D4226B">
            <w:pPr>
              <w:pStyle w:val="Textoindependiente"/>
              <w:ind w:right="33"/>
              <w:jc w:val="both"/>
              <w:rPr>
                <w:rFonts w:ascii="Arial" w:hAnsi="Arial" w:cs="Arial"/>
              </w:rPr>
            </w:pPr>
            <w:r w:rsidRPr="00AD1269">
              <w:rPr>
                <w:rFonts w:ascii="Arial" w:hAnsi="Arial" w:cs="Arial"/>
                <w:b/>
                <w:lang w:val="es-MX"/>
              </w:rPr>
              <w:t xml:space="preserve">INSTITUTO NACIONAL DE VIGILANCIA DE MEDICAMENTOS Y ALIMENTOS – INVIMA. </w:t>
            </w:r>
            <w:r w:rsidRPr="00AD1269">
              <w:rPr>
                <w:rFonts w:ascii="Arial" w:hAnsi="Arial" w:cs="Arial"/>
                <w:b/>
                <w:bCs/>
              </w:rPr>
              <w:t xml:space="preserve">1.2. Declaración de cumplimiento del marco normativo y limitaciones. </w:t>
            </w:r>
            <w:r w:rsidRPr="00AD1269">
              <w:rPr>
                <w:rFonts w:ascii="Arial" w:hAnsi="Arial" w:cs="Arial"/>
                <w:b/>
                <w:bCs/>
                <w:u w:val="single"/>
              </w:rPr>
              <w:t>Los módulos de cartera y control de inventarios y activos fijos del sistema Sapiens, no se encuentran actualizados con los requerimientos del Marco Normativo de Contabilidad Publica vigente</w:t>
            </w:r>
            <w:r w:rsidRPr="00AD1269">
              <w:rPr>
                <w:rFonts w:ascii="Arial" w:hAnsi="Arial" w:cs="Arial"/>
              </w:rPr>
              <w:t>, estos módulos se utilizan para tener el detalle de la informaci</w:t>
            </w:r>
            <w:r>
              <w:rPr>
                <w:rFonts w:ascii="Arial" w:hAnsi="Arial" w:cs="Arial"/>
              </w:rPr>
              <w:t>ó</w:t>
            </w:r>
            <w:r w:rsidRPr="00AD1269">
              <w:rPr>
                <w:rFonts w:ascii="Arial" w:hAnsi="Arial" w:cs="Arial"/>
              </w:rPr>
              <w:t>n de los procesos sancionatorios ejecutoriados y el control de los bienes del Instituto, aunque no tengan parametrizados el cálculo de intereses de cartera, amortización de pagos, deterioro, vida útil por rangos, ni control de activos por componentes.</w:t>
            </w:r>
          </w:p>
        </w:tc>
      </w:tr>
      <w:tr w:rsidR="00216DC0" w:rsidRPr="00E232C9" w14:paraId="627D2AF7" w14:textId="77777777" w:rsidTr="00D4226B">
        <w:trPr>
          <w:jc w:val="center"/>
        </w:trPr>
        <w:tc>
          <w:tcPr>
            <w:tcW w:w="988" w:type="dxa"/>
          </w:tcPr>
          <w:p w14:paraId="67A7AFD5" w14:textId="77777777" w:rsidR="00216DC0" w:rsidRDefault="00216DC0" w:rsidP="00D4226B">
            <w:pPr>
              <w:tabs>
                <w:tab w:val="left" w:pos="1920"/>
              </w:tabs>
              <w:ind w:right="-108"/>
              <w:jc w:val="center"/>
              <w:rPr>
                <w:rFonts w:ascii="Arial" w:hAnsi="Arial" w:cs="Arial"/>
                <w:b/>
                <w:color w:val="FF0000"/>
              </w:rPr>
            </w:pPr>
            <w:r w:rsidRPr="007E501C">
              <w:rPr>
                <w:rFonts w:ascii="Arial" w:hAnsi="Arial" w:cs="Arial"/>
                <w:b/>
              </w:rPr>
              <w:t>34</w:t>
            </w:r>
          </w:p>
        </w:tc>
        <w:tc>
          <w:tcPr>
            <w:tcW w:w="9497" w:type="dxa"/>
          </w:tcPr>
          <w:p w14:paraId="27116C86" w14:textId="77777777" w:rsidR="00216DC0" w:rsidRPr="007E501C" w:rsidRDefault="00216DC0" w:rsidP="00D4226B">
            <w:pPr>
              <w:jc w:val="both"/>
              <w:rPr>
                <w:rFonts w:ascii="Arial" w:hAnsi="Arial" w:cs="Arial"/>
              </w:rPr>
            </w:pPr>
            <w:bookmarkStart w:id="50" w:name="_Hlk203057246"/>
            <w:r w:rsidRPr="007E501C">
              <w:rPr>
                <w:rFonts w:ascii="Arial" w:hAnsi="Arial" w:cs="Arial"/>
                <w:b/>
                <w:lang w:val="es-MX"/>
              </w:rPr>
              <w:t>UNIDAD PARA LA ATENCIÓN Y REPARACIÓN INTEGRAL A LAS VÍCTIMAS.</w:t>
            </w:r>
            <w:r>
              <w:rPr>
                <w:rFonts w:ascii="Arial" w:hAnsi="Arial" w:cs="Arial"/>
                <w:b/>
                <w:lang w:val="es-MX"/>
              </w:rPr>
              <w:t xml:space="preserve"> </w:t>
            </w:r>
            <w:bookmarkEnd w:id="50"/>
            <w:r w:rsidRPr="007E501C">
              <w:rPr>
                <w:rFonts w:ascii="Arial" w:hAnsi="Arial" w:cs="Arial"/>
                <w:b/>
                <w:bCs/>
              </w:rPr>
              <w:t>1.2</w:t>
            </w:r>
            <w:r w:rsidRPr="007E501C">
              <w:rPr>
                <w:rFonts w:ascii="Arial" w:hAnsi="Arial" w:cs="Arial"/>
                <w:b/>
                <w:bCs/>
              </w:rPr>
              <w:tab/>
              <w:t>Declaración de cumplimiento del marco normativo y limitaciones.</w:t>
            </w:r>
            <w:r>
              <w:rPr>
                <w:rFonts w:ascii="Arial" w:hAnsi="Arial" w:cs="Arial"/>
                <w:b/>
                <w:bCs/>
              </w:rPr>
              <w:t xml:space="preserve"> </w:t>
            </w:r>
            <w:r w:rsidRPr="007E501C">
              <w:rPr>
                <w:rFonts w:ascii="Arial" w:hAnsi="Arial" w:cs="Arial"/>
                <w:b/>
                <w:bCs/>
              </w:rPr>
              <w:t>1.2.1</w:t>
            </w:r>
            <w:r w:rsidRPr="007E501C">
              <w:rPr>
                <w:rFonts w:ascii="Arial" w:hAnsi="Arial" w:cs="Arial"/>
                <w:b/>
                <w:bCs/>
              </w:rPr>
              <w:tab/>
              <w:t xml:space="preserve">Limitaciones y deficiencias operativas. </w:t>
            </w:r>
            <w:r w:rsidRPr="007E501C">
              <w:rPr>
                <w:rFonts w:ascii="Arial" w:hAnsi="Arial" w:cs="Arial"/>
              </w:rPr>
              <w:t>La principal limitación identificada es la falta de interoperabilidad entre las aplicaciones administrativas y misionales, lo que afecta la integración con el Sistema Integrado de Información Financiera (SIIF) Nación.</w:t>
            </w:r>
          </w:p>
        </w:tc>
      </w:tr>
      <w:tr w:rsidR="00216DC0" w:rsidRPr="00E232C9" w14:paraId="63C07A41" w14:textId="77777777" w:rsidTr="00D4226B">
        <w:trPr>
          <w:jc w:val="center"/>
        </w:trPr>
        <w:tc>
          <w:tcPr>
            <w:tcW w:w="988" w:type="dxa"/>
          </w:tcPr>
          <w:p w14:paraId="76E64136" w14:textId="77777777" w:rsidR="00216DC0" w:rsidRDefault="00216DC0" w:rsidP="00D4226B">
            <w:pPr>
              <w:tabs>
                <w:tab w:val="left" w:pos="1920"/>
              </w:tabs>
              <w:ind w:right="-108"/>
              <w:jc w:val="center"/>
              <w:rPr>
                <w:rFonts w:ascii="Arial" w:hAnsi="Arial" w:cs="Arial"/>
                <w:b/>
                <w:color w:val="FF0000"/>
              </w:rPr>
            </w:pPr>
            <w:r w:rsidRPr="00CF5C15">
              <w:rPr>
                <w:rFonts w:ascii="Arial" w:hAnsi="Arial" w:cs="Arial"/>
                <w:b/>
              </w:rPr>
              <w:t>35</w:t>
            </w:r>
          </w:p>
        </w:tc>
        <w:tc>
          <w:tcPr>
            <w:tcW w:w="9497" w:type="dxa"/>
          </w:tcPr>
          <w:p w14:paraId="7A609BA4" w14:textId="77777777" w:rsidR="00216DC0" w:rsidRPr="00CF5C15" w:rsidRDefault="00216DC0" w:rsidP="00D4226B">
            <w:pPr>
              <w:pStyle w:val="Textoindependiente"/>
              <w:ind w:right="-50"/>
              <w:jc w:val="both"/>
              <w:rPr>
                <w:rFonts w:ascii="Arial" w:hAnsi="Arial" w:cs="Arial"/>
                <w:b/>
                <w:bCs/>
              </w:rPr>
            </w:pPr>
            <w:r w:rsidRPr="00CF5C15">
              <w:rPr>
                <w:rFonts w:ascii="Arial" w:hAnsi="Arial" w:cs="Arial"/>
                <w:b/>
                <w:lang w:val="es-MX"/>
              </w:rPr>
              <w:t xml:space="preserve">U.A.E. DE GESTIÓN PENSIONAL Y CONTRIBUCIONES PARAFISCALES DE LA PROTECCIÓN SOCIAL – UGPP. </w:t>
            </w:r>
            <w:r w:rsidRPr="00CF5C15">
              <w:rPr>
                <w:rFonts w:ascii="Arial" w:hAnsi="Arial" w:cs="Arial"/>
                <w:b/>
                <w:bCs/>
              </w:rPr>
              <w:t>1.2.3</w:t>
            </w:r>
            <w:r w:rsidRPr="00CF5C15">
              <w:rPr>
                <w:rFonts w:ascii="Arial" w:hAnsi="Arial" w:cs="Arial"/>
                <w:b/>
                <w:bCs/>
              </w:rPr>
              <w:tab/>
              <w:t>Limitaciones y deficiencias operativas o administrativas con impacto en el desarrollo normal del proceso o en la consistencia y razonabilidad de las cifras.</w:t>
            </w:r>
          </w:p>
          <w:p w14:paraId="673FD97D" w14:textId="77777777" w:rsidR="00216DC0" w:rsidRPr="00CF5C15" w:rsidRDefault="00216DC0" w:rsidP="00D4226B">
            <w:pPr>
              <w:pStyle w:val="Textoindependiente"/>
              <w:ind w:right="-50"/>
              <w:jc w:val="both"/>
              <w:rPr>
                <w:rFonts w:ascii="Arial" w:hAnsi="Arial" w:cs="Arial"/>
                <w:b/>
                <w:bCs/>
              </w:rPr>
            </w:pPr>
          </w:p>
          <w:p w14:paraId="17877471" w14:textId="77777777" w:rsidR="00216DC0" w:rsidRPr="00CF5C15" w:rsidRDefault="00216DC0" w:rsidP="00D4226B">
            <w:pPr>
              <w:pStyle w:val="Textoindependiente"/>
              <w:ind w:right="-50"/>
              <w:jc w:val="both"/>
              <w:rPr>
                <w:rFonts w:ascii="Arial" w:hAnsi="Arial" w:cs="Arial"/>
              </w:rPr>
            </w:pPr>
            <w:r w:rsidRPr="00CF5C15">
              <w:rPr>
                <w:rFonts w:ascii="Arial" w:hAnsi="Arial" w:cs="Arial"/>
              </w:rPr>
              <w:t>La principal limitación o deficiencia operativa que impacta el normal desarrollo del proceso contable es el manejo de bases de datos a través de archivos de Excel que, aunque cuenta con controles para garantizar la razonabilidad de la información, pueden ser objeto de errores humanos en su alimentación.</w:t>
            </w:r>
          </w:p>
          <w:p w14:paraId="428AD955" w14:textId="77777777" w:rsidR="00216DC0" w:rsidRPr="00CF5C15" w:rsidRDefault="00216DC0" w:rsidP="00D4226B">
            <w:pPr>
              <w:pStyle w:val="Textoindependiente"/>
              <w:ind w:right="-50"/>
              <w:jc w:val="both"/>
              <w:rPr>
                <w:rFonts w:ascii="Arial" w:hAnsi="Arial" w:cs="Arial"/>
              </w:rPr>
            </w:pPr>
            <w:r w:rsidRPr="00CF5C15">
              <w:rPr>
                <w:rFonts w:ascii="Arial" w:hAnsi="Arial" w:cs="Arial"/>
              </w:rPr>
              <w:t xml:space="preserve">Lo anterior, por cuanto </w:t>
            </w:r>
            <w:r w:rsidRPr="00CF5C15">
              <w:rPr>
                <w:rFonts w:ascii="Arial" w:hAnsi="Arial" w:cs="Arial"/>
                <w:b/>
                <w:bCs/>
                <w:u w:val="single"/>
              </w:rPr>
              <w:t>no existen</w:t>
            </w:r>
            <w:r w:rsidRPr="00CF5C15">
              <w:rPr>
                <w:rFonts w:ascii="Arial" w:hAnsi="Arial" w:cs="Arial"/>
              </w:rPr>
              <w:t xml:space="preserve"> sistemas integrados para las áreas fuente responsables de reportar la información contable al GIT de Contabilidad de la Subdirección Financiera para su reconocimiento y revelación en los Estados Financieros de la UGPP.</w:t>
            </w:r>
          </w:p>
        </w:tc>
      </w:tr>
      <w:tr w:rsidR="00216DC0" w:rsidRPr="00E232C9" w14:paraId="328121C0" w14:textId="77777777" w:rsidTr="00D4226B">
        <w:trPr>
          <w:jc w:val="center"/>
        </w:trPr>
        <w:tc>
          <w:tcPr>
            <w:tcW w:w="988" w:type="dxa"/>
          </w:tcPr>
          <w:p w14:paraId="6A1EEA6D" w14:textId="77777777" w:rsidR="00216DC0" w:rsidRDefault="00216DC0" w:rsidP="00D4226B">
            <w:pPr>
              <w:tabs>
                <w:tab w:val="left" w:pos="1920"/>
              </w:tabs>
              <w:ind w:right="-108"/>
              <w:jc w:val="center"/>
              <w:rPr>
                <w:rFonts w:ascii="Arial" w:hAnsi="Arial" w:cs="Arial"/>
                <w:b/>
                <w:color w:val="FF0000"/>
              </w:rPr>
            </w:pPr>
            <w:r w:rsidRPr="001F6D17">
              <w:rPr>
                <w:rFonts w:ascii="Arial" w:hAnsi="Arial" w:cs="Arial"/>
                <w:b/>
                <w:color w:val="000000" w:themeColor="text1"/>
              </w:rPr>
              <w:t>36</w:t>
            </w:r>
          </w:p>
        </w:tc>
        <w:tc>
          <w:tcPr>
            <w:tcW w:w="9497" w:type="dxa"/>
          </w:tcPr>
          <w:p w14:paraId="3F143722" w14:textId="77777777" w:rsidR="00216DC0" w:rsidRDefault="00216DC0" w:rsidP="00D4226B">
            <w:pPr>
              <w:pStyle w:val="Textoindependiente"/>
              <w:jc w:val="both"/>
              <w:rPr>
                <w:rFonts w:ascii="Arial" w:hAnsi="Arial" w:cs="Arial"/>
                <w:b/>
                <w:lang w:val="es-MX"/>
              </w:rPr>
            </w:pPr>
            <w:r w:rsidRPr="001F6D17">
              <w:rPr>
                <w:rFonts w:ascii="Arial" w:hAnsi="Arial" w:cs="Arial"/>
                <w:b/>
                <w:lang w:val="es-MX"/>
              </w:rPr>
              <w:t xml:space="preserve">CORPORACIÓN AUTÓNOMA REGIONAL DEL SUR DE BOLÍVAR - CSB. </w:t>
            </w:r>
          </w:p>
          <w:p w14:paraId="0593DD89" w14:textId="77777777" w:rsidR="00216DC0" w:rsidRDefault="00216DC0" w:rsidP="00D4226B">
            <w:pPr>
              <w:pStyle w:val="Textoindependiente"/>
              <w:jc w:val="both"/>
              <w:rPr>
                <w:rFonts w:ascii="Arial" w:hAnsi="Arial" w:cs="Arial"/>
                <w:b/>
                <w:bCs/>
              </w:rPr>
            </w:pPr>
          </w:p>
          <w:p w14:paraId="14A67D81" w14:textId="77777777" w:rsidR="00216DC0" w:rsidRPr="001F6D17" w:rsidRDefault="00216DC0" w:rsidP="00D4226B">
            <w:pPr>
              <w:pStyle w:val="Textoindependiente"/>
              <w:jc w:val="both"/>
              <w:rPr>
                <w:rFonts w:ascii="Arial" w:hAnsi="Arial" w:cs="Arial"/>
                <w:b/>
                <w:bCs/>
              </w:rPr>
            </w:pPr>
            <w:r w:rsidRPr="001F6D17">
              <w:rPr>
                <w:rFonts w:ascii="Arial" w:hAnsi="Arial" w:cs="Arial"/>
                <w:b/>
                <w:bCs/>
              </w:rPr>
              <w:t xml:space="preserve">1.3 LIMITACIONES Y DEFICIENCIAS DE TIPO OPERATIVO, ADMINISTRATIVO Y CONTABLES. </w:t>
            </w:r>
          </w:p>
          <w:p w14:paraId="52298232" w14:textId="77777777" w:rsidR="00216DC0" w:rsidRPr="001F6D17" w:rsidRDefault="00216DC0" w:rsidP="00D4226B">
            <w:pPr>
              <w:pStyle w:val="Textoindependiente"/>
              <w:jc w:val="both"/>
              <w:rPr>
                <w:rFonts w:ascii="Arial" w:hAnsi="Arial" w:cs="Arial"/>
              </w:rPr>
            </w:pPr>
          </w:p>
          <w:p w14:paraId="1D74AB2E" w14:textId="77777777" w:rsidR="00216DC0" w:rsidRDefault="00216DC0" w:rsidP="00D4226B">
            <w:pPr>
              <w:pStyle w:val="Textoindependiente"/>
              <w:jc w:val="both"/>
              <w:rPr>
                <w:rFonts w:ascii="Arial" w:hAnsi="Arial" w:cs="Arial"/>
              </w:rPr>
            </w:pPr>
            <w:r w:rsidRPr="001F6D17">
              <w:rPr>
                <w:rFonts w:ascii="Arial" w:hAnsi="Arial" w:cs="Arial"/>
              </w:rPr>
              <w:lastRenderedPageBreak/>
              <w:t>La Corporación Autónoma Regional del Sur de Bolívar para el registro de las operaciones presupuestales, contables y financieras utiliza el Software POT- OBELISCO, el cual a la fecha presenta algunas deficiencias en la presentación de algunos reportes contables, tales como el reporte para elaborar la información Exógena.</w:t>
            </w:r>
          </w:p>
          <w:p w14:paraId="1FD7D695" w14:textId="77777777" w:rsidR="00216DC0" w:rsidRDefault="00216DC0" w:rsidP="00D4226B">
            <w:pPr>
              <w:pStyle w:val="Textoindependiente"/>
              <w:jc w:val="both"/>
              <w:rPr>
                <w:rFonts w:ascii="Arial" w:hAnsi="Arial" w:cs="Arial"/>
              </w:rPr>
            </w:pPr>
          </w:p>
          <w:p w14:paraId="364FE7EC" w14:textId="77777777" w:rsidR="00216DC0" w:rsidRPr="001F6D17" w:rsidRDefault="00216DC0" w:rsidP="00D4226B">
            <w:pPr>
              <w:pStyle w:val="Textoindependiente"/>
              <w:jc w:val="both"/>
              <w:rPr>
                <w:rFonts w:ascii="Arial" w:hAnsi="Arial" w:cs="Arial"/>
              </w:rPr>
            </w:pPr>
            <w:r w:rsidRPr="001F6D17">
              <w:rPr>
                <w:rFonts w:ascii="Arial" w:hAnsi="Arial" w:cs="Arial"/>
              </w:rPr>
              <w:t xml:space="preserve"> Igualmente, a fecha de 31 de diciembre de 2024 aún persisten dificultades en las acciones que se deben adelantar por parte de la administración, para la recuperación de los bienes inmuebles que se encuentran ocupados o invadidos por la comunidad, específicamente el lote de ABISINIA.</w:t>
            </w:r>
          </w:p>
        </w:tc>
      </w:tr>
      <w:tr w:rsidR="00216DC0" w:rsidRPr="00E232C9" w14:paraId="5E4C55AE" w14:textId="77777777" w:rsidTr="00D4226B">
        <w:trPr>
          <w:jc w:val="center"/>
        </w:trPr>
        <w:tc>
          <w:tcPr>
            <w:tcW w:w="988" w:type="dxa"/>
          </w:tcPr>
          <w:p w14:paraId="1EF89480" w14:textId="77777777" w:rsidR="00216DC0" w:rsidRDefault="00216DC0" w:rsidP="00D4226B">
            <w:pPr>
              <w:tabs>
                <w:tab w:val="left" w:pos="1920"/>
              </w:tabs>
              <w:ind w:right="-108"/>
              <w:jc w:val="center"/>
              <w:rPr>
                <w:rFonts w:ascii="Arial" w:hAnsi="Arial" w:cs="Arial"/>
                <w:b/>
                <w:color w:val="FF0000"/>
              </w:rPr>
            </w:pPr>
            <w:r w:rsidRPr="00887572">
              <w:rPr>
                <w:rFonts w:ascii="Arial" w:hAnsi="Arial" w:cs="Arial"/>
                <w:b/>
                <w:color w:val="000000" w:themeColor="text1"/>
              </w:rPr>
              <w:lastRenderedPageBreak/>
              <w:t>37</w:t>
            </w:r>
          </w:p>
        </w:tc>
        <w:tc>
          <w:tcPr>
            <w:tcW w:w="9497" w:type="dxa"/>
          </w:tcPr>
          <w:p w14:paraId="4165AC7F" w14:textId="77777777" w:rsidR="00216DC0" w:rsidRDefault="00216DC0" w:rsidP="00D4226B">
            <w:pPr>
              <w:pStyle w:val="Textoindependiente"/>
              <w:ind w:right="-50"/>
              <w:jc w:val="both"/>
              <w:rPr>
                <w:rFonts w:ascii="Arial" w:hAnsi="Arial" w:cs="Arial"/>
                <w:b/>
                <w:lang w:val="es-MX"/>
              </w:rPr>
            </w:pPr>
            <w:r w:rsidRPr="00887572">
              <w:rPr>
                <w:rFonts w:ascii="Arial" w:hAnsi="Arial" w:cs="Arial"/>
                <w:b/>
                <w:lang w:val="es-MX"/>
              </w:rPr>
              <w:t xml:space="preserve">DEPARTAMENTO ADMINISTRATIVO NACIONAL DE ESTADÍSTICA - DANE. </w:t>
            </w:r>
          </w:p>
          <w:p w14:paraId="74974E3D" w14:textId="77777777" w:rsidR="00216DC0" w:rsidRDefault="00216DC0" w:rsidP="00D4226B">
            <w:pPr>
              <w:pStyle w:val="Textoindependiente"/>
              <w:ind w:right="-50"/>
              <w:jc w:val="both"/>
              <w:rPr>
                <w:rFonts w:ascii="Arial" w:hAnsi="Arial" w:cs="Arial"/>
                <w:b/>
                <w:bCs/>
              </w:rPr>
            </w:pPr>
          </w:p>
          <w:p w14:paraId="6BA16CA6" w14:textId="77777777" w:rsidR="00216DC0" w:rsidRPr="00887572" w:rsidRDefault="00216DC0" w:rsidP="00D4226B">
            <w:pPr>
              <w:pStyle w:val="Textoindependiente"/>
              <w:ind w:right="-50"/>
              <w:jc w:val="both"/>
              <w:rPr>
                <w:rFonts w:ascii="Arial" w:hAnsi="Arial" w:cs="Arial"/>
                <w:b/>
                <w:bCs/>
              </w:rPr>
            </w:pPr>
            <w:r w:rsidRPr="00887572">
              <w:rPr>
                <w:rFonts w:ascii="Arial" w:hAnsi="Arial" w:cs="Arial"/>
                <w:b/>
                <w:bCs/>
              </w:rPr>
              <w:t xml:space="preserve">Limitaciones y Deficiencias Generales de tipo Operativo o Administrativo </w:t>
            </w:r>
          </w:p>
          <w:p w14:paraId="6408AE73" w14:textId="77777777" w:rsidR="00D926CD" w:rsidRDefault="00D926CD" w:rsidP="00D4226B">
            <w:pPr>
              <w:pStyle w:val="Textoindependiente"/>
              <w:ind w:right="-50"/>
              <w:jc w:val="both"/>
              <w:rPr>
                <w:rFonts w:ascii="Arial" w:hAnsi="Arial" w:cs="Arial"/>
                <w:b/>
                <w:bCs/>
              </w:rPr>
            </w:pPr>
          </w:p>
          <w:p w14:paraId="570196FA" w14:textId="68857C91" w:rsidR="00216DC0" w:rsidRPr="00887572" w:rsidRDefault="00216DC0" w:rsidP="00D4226B">
            <w:pPr>
              <w:pStyle w:val="Textoindependiente"/>
              <w:ind w:right="-50"/>
              <w:jc w:val="both"/>
              <w:rPr>
                <w:rFonts w:ascii="Arial" w:hAnsi="Arial" w:cs="Arial"/>
                <w:b/>
                <w:bCs/>
              </w:rPr>
            </w:pPr>
            <w:r w:rsidRPr="00887572">
              <w:rPr>
                <w:rFonts w:ascii="Arial" w:hAnsi="Arial" w:cs="Arial"/>
                <w:b/>
                <w:bCs/>
              </w:rPr>
              <w:t>A</w:t>
            </w:r>
            <w:proofErr w:type="gramStart"/>
            <w:r w:rsidRPr="00887572">
              <w:rPr>
                <w:rFonts w:ascii="Arial" w:hAnsi="Arial" w:cs="Arial"/>
                <w:b/>
                <w:bCs/>
              </w:rPr>
              <w:t>).-</w:t>
            </w:r>
            <w:proofErr w:type="gramEnd"/>
            <w:r w:rsidRPr="00887572">
              <w:rPr>
                <w:rFonts w:ascii="Arial" w:hAnsi="Arial" w:cs="Arial"/>
                <w:b/>
                <w:bCs/>
              </w:rPr>
              <w:t xml:space="preserve"> Operativo. </w:t>
            </w:r>
          </w:p>
          <w:p w14:paraId="7309D22E" w14:textId="77777777" w:rsidR="00216DC0" w:rsidRPr="00887572" w:rsidRDefault="00216DC0" w:rsidP="00D4226B">
            <w:pPr>
              <w:pStyle w:val="Textoindependiente"/>
              <w:ind w:left="735" w:right="-50"/>
              <w:jc w:val="both"/>
              <w:rPr>
                <w:rFonts w:ascii="Arial" w:hAnsi="Arial" w:cs="Arial"/>
                <w:bCs/>
              </w:rPr>
            </w:pPr>
          </w:p>
          <w:p w14:paraId="5AD114FD" w14:textId="77777777" w:rsidR="00216DC0" w:rsidRPr="00887572" w:rsidRDefault="00216DC0" w:rsidP="00D4226B">
            <w:pPr>
              <w:pStyle w:val="Textoindependiente"/>
              <w:ind w:right="-50"/>
              <w:jc w:val="both"/>
              <w:rPr>
                <w:rFonts w:ascii="Arial" w:hAnsi="Arial" w:cs="Arial"/>
                <w:bCs/>
              </w:rPr>
            </w:pPr>
            <w:r w:rsidRPr="00887572">
              <w:rPr>
                <w:rFonts w:ascii="Arial" w:hAnsi="Arial" w:cs="Arial"/>
                <w:bCs/>
              </w:rPr>
              <w:t xml:space="preserve">El DANE registra sus operaciones financieras en el Sistema Integrado de Información Financiera - SIIF NACIÓN, que administra el Ministerio de Hacienda y Crédito Público, mediante los Decretos 178 del 29 de enero de 2003 y el 2674 del 21 de diciembre de 2012, los cuales reglamentaron al SIIF, “Como un sistema que coordina, centraliza y estandariza la gestión financiera pública nacional, con el fin de proporcionar una mayor eficiencia y seguridad en el uso de los recursos del Presupuesto General de la Nación, y de brindar información oportuna y confiable”, el presente Decreto deroga los Decretos 2789 de 2004 y 4318 de 2006. </w:t>
            </w:r>
          </w:p>
          <w:p w14:paraId="221F0581" w14:textId="77777777" w:rsidR="00216DC0" w:rsidRPr="00887572" w:rsidRDefault="00216DC0" w:rsidP="00D4226B">
            <w:pPr>
              <w:pStyle w:val="Textoindependiente"/>
              <w:ind w:right="-50"/>
              <w:jc w:val="both"/>
              <w:rPr>
                <w:rFonts w:ascii="Arial" w:hAnsi="Arial" w:cs="Arial"/>
                <w:bCs/>
              </w:rPr>
            </w:pPr>
          </w:p>
          <w:p w14:paraId="1B22E64E" w14:textId="77777777" w:rsidR="00216DC0" w:rsidRPr="00887572" w:rsidRDefault="00216DC0" w:rsidP="00D4226B">
            <w:pPr>
              <w:pStyle w:val="Textoindependiente"/>
              <w:ind w:right="-50"/>
              <w:jc w:val="both"/>
              <w:rPr>
                <w:rFonts w:ascii="Arial" w:hAnsi="Arial" w:cs="Arial"/>
                <w:bCs/>
              </w:rPr>
            </w:pPr>
            <w:r w:rsidRPr="00887572">
              <w:rPr>
                <w:rFonts w:ascii="Arial" w:hAnsi="Arial" w:cs="Arial"/>
                <w:bCs/>
              </w:rPr>
              <w:t xml:space="preserve">Habiendo dicho lo anterior, y teniendo en cuenta la limitación del Sistema Integrado de Información Financiera - SIIF NACIÓN para el registro de la información de propiedad planta y equipo, el DANE gestiona esta información a través del aplicativo de detalle administrado por el Área Administrativa -GIT Almacén e Inventarios nombrado como SAI para el registro del detalle de los bienes devolutivos y el SAE para el registro del detalle de los bienes de consumo. </w:t>
            </w:r>
          </w:p>
          <w:p w14:paraId="24E9F9E8" w14:textId="77777777" w:rsidR="00216DC0" w:rsidRPr="00887572" w:rsidRDefault="00216DC0" w:rsidP="00D4226B">
            <w:pPr>
              <w:pStyle w:val="Textoindependiente"/>
              <w:ind w:right="-50"/>
              <w:jc w:val="both"/>
              <w:rPr>
                <w:rFonts w:ascii="Arial" w:hAnsi="Arial" w:cs="Arial"/>
                <w:bCs/>
              </w:rPr>
            </w:pPr>
          </w:p>
          <w:p w14:paraId="3F24FC44" w14:textId="77777777" w:rsidR="00216DC0" w:rsidRPr="00887572" w:rsidRDefault="00216DC0" w:rsidP="00D4226B">
            <w:pPr>
              <w:pStyle w:val="Textoindependiente"/>
              <w:ind w:right="-50"/>
              <w:jc w:val="both"/>
              <w:rPr>
                <w:rFonts w:ascii="Arial" w:hAnsi="Arial" w:cs="Arial"/>
                <w:bCs/>
              </w:rPr>
            </w:pPr>
            <w:r w:rsidRPr="00887572">
              <w:rPr>
                <w:rFonts w:ascii="Arial" w:hAnsi="Arial" w:cs="Arial"/>
                <w:bCs/>
              </w:rPr>
              <w:t xml:space="preserve">Adicional, la Entidad registra los movimientos de los beneficios a empleados y liquidación de parafiscales en el aplicativo de detalle llamado KACTUS administrado por el Área de Gestión Humana. </w:t>
            </w:r>
          </w:p>
          <w:p w14:paraId="08EEA562" w14:textId="77777777" w:rsidR="00216DC0" w:rsidRPr="00887572" w:rsidRDefault="00216DC0" w:rsidP="00D4226B">
            <w:pPr>
              <w:pStyle w:val="Textoindependiente"/>
              <w:ind w:right="-50"/>
              <w:jc w:val="both"/>
              <w:rPr>
                <w:rFonts w:ascii="Arial" w:hAnsi="Arial" w:cs="Arial"/>
                <w:bCs/>
              </w:rPr>
            </w:pPr>
          </w:p>
          <w:p w14:paraId="464B4A90" w14:textId="77777777" w:rsidR="00216DC0" w:rsidRPr="00887572" w:rsidRDefault="00216DC0" w:rsidP="00D4226B">
            <w:pPr>
              <w:pStyle w:val="Textoindependiente"/>
              <w:ind w:right="-50"/>
              <w:jc w:val="both"/>
              <w:rPr>
                <w:rFonts w:ascii="Arial" w:hAnsi="Arial" w:cs="Arial"/>
                <w:b/>
                <w:bCs/>
              </w:rPr>
            </w:pPr>
            <w:r w:rsidRPr="00887572">
              <w:rPr>
                <w:rFonts w:ascii="Arial" w:hAnsi="Arial" w:cs="Arial"/>
                <w:b/>
                <w:bCs/>
              </w:rPr>
              <w:t>B</w:t>
            </w:r>
            <w:proofErr w:type="gramStart"/>
            <w:r w:rsidRPr="00887572">
              <w:rPr>
                <w:rFonts w:ascii="Arial" w:hAnsi="Arial" w:cs="Arial"/>
                <w:b/>
                <w:bCs/>
              </w:rPr>
              <w:t>).-</w:t>
            </w:r>
            <w:proofErr w:type="gramEnd"/>
            <w:r w:rsidRPr="00887572">
              <w:rPr>
                <w:rFonts w:ascii="Arial" w:hAnsi="Arial" w:cs="Arial"/>
                <w:b/>
                <w:bCs/>
              </w:rPr>
              <w:t xml:space="preserve"> Administrativo.</w:t>
            </w:r>
          </w:p>
          <w:p w14:paraId="5178455C" w14:textId="77777777" w:rsidR="00216DC0" w:rsidRPr="00887572" w:rsidRDefault="00216DC0" w:rsidP="00D4226B">
            <w:pPr>
              <w:pStyle w:val="Textoindependiente"/>
              <w:ind w:right="-50"/>
              <w:jc w:val="both"/>
              <w:rPr>
                <w:rFonts w:ascii="Arial" w:hAnsi="Arial" w:cs="Arial"/>
                <w:bCs/>
              </w:rPr>
            </w:pPr>
          </w:p>
          <w:p w14:paraId="0E09CC77" w14:textId="77777777" w:rsidR="00216DC0" w:rsidRPr="00887572" w:rsidRDefault="00216DC0" w:rsidP="00AE3935">
            <w:pPr>
              <w:pStyle w:val="Textoindependiente"/>
              <w:numPr>
                <w:ilvl w:val="0"/>
                <w:numId w:val="75"/>
              </w:numPr>
              <w:ind w:right="-50"/>
              <w:jc w:val="both"/>
              <w:rPr>
                <w:rFonts w:ascii="Arial" w:hAnsi="Arial" w:cs="Arial"/>
                <w:bCs/>
              </w:rPr>
            </w:pPr>
            <w:r w:rsidRPr="00887572">
              <w:rPr>
                <w:rFonts w:ascii="Arial" w:hAnsi="Arial" w:cs="Arial"/>
                <w:bCs/>
              </w:rPr>
              <w:t xml:space="preserve">Personal del área. </w:t>
            </w:r>
          </w:p>
          <w:p w14:paraId="28F5B63E" w14:textId="77777777" w:rsidR="00216DC0" w:rsidRPr="00887572" w:rsidRDefault="00216DC0" w:rsidP="00D4226B">
            <w:pPr>
              <w:pStyle w:val="Textoindependiente"/>
              <w:ind w:right="-50"/>
              <w:jc w:val="both"/>
              <w:rPr>
                <w:rFonts w:ascii="Arial" w:hAnsi="Arial" w:cs="Arial"/>
                <w:bCs/>
              </w:rPr>
            </w:pPr>
          </w:p>
          <w:p w14:paraId="755D2729" w14:textId="77777777" w:rsidR="00216DC0" w:rsidRPr="00887572" w:rsidRDefault="00216DC0" w:rsidP="00D4226B">
            <w:pPr>
              <w:pStyle w:val="Textoindependiente"/>
              <w:ind w:right="-50"/>
              <w:jc w:val="both"/>
              <w:rPr>
                <w:rFonts w:ascii="Arial" w:hAnsi="Arial" w:cs="Arial"/>
                <w:bCs/>
              </w:rPr>
            </w:pPr>
            <w:r w:rsidRPr="00887572">
              <w:rPr>
                <w:rFonts w:ascii="Arial" w:hAnsi="Arial" w:cs="Arial"/>
                <w:bCs/>
              </w:rPr>
              <w:t xml:space="preserve">El Área de Gestión Financiera no cuenta con el personal suficiente de planta en el grupo interno de contabilidad, debido a que, en la estructura de la planta global no se han realizado los nombramientos para cubrir todos los cargos dispuestos, por tal motivo se hace necesario contratar personal por prestación de servicios profesionales para el apoyo en el registro, análisis y control de la información contable. Lo anterior teniendo en cuenta que ha crecido el volumen de trabajo, por el aumento de asignación presupuestal. </w:t>
            </w:r>
          </w:p>
          <w:p w14:paraId="11B44A68" w14:textId="77777777" w:rsidR="00216DC0" w:rsidRPr="00887572" w:rsidRDefault="00216DC0" w:rsidP="00D4226B">
            <w:pPr>
              <w:pStyle w:val="Textoindependiente"/>
              <w:ind w:right="-50"/>
              <w:jc w:val="both"/>
              <w:rPr>
                <w:rFonts w:ascii="Arial" w:hAnsi="Arial" w:cs="Arial"/>
                <w:bCs/>
              </w:rPr>
            </w:pPr>
          </w:p>
          <w:p w14:paraId="4C972AA8" w14:textId="77777777" w:rsidR="00216DC0" w:rsidRPr="00887572" w:rsidRDefault="00216DC0" w:rsidP="00D4226B">
            <w:pPr>
              <w:pStyle w:val="Textoindependiente"/>
              <w:ind w:right="-50"/>
              <w:jc w:val="both"/>
              <w:rPr>
                <w:rFonts w:ascii="Arial" w:hAnsi="Arial" w:cs="Arial"/>
                <w:bCs/>
              </w:rPr>
            </w:pPr>
            <w:r w:rsidRPr="00887572">
              <w:rPr>
                <w:rFonts w:ascii="Arial" w:hAnsi="Arial" w:cs="Arial"/>
                <w:bCs/>
              </w:rPr>
              <w:t>Es importante tener en cuenta que la falta de personal en el grupo interno de contabilidad ha generado que los profesionales realicen el registro de obligaciones presupuestales siendo este un proceso que debería realizarse desde el Grupo interno de Central de cuentas y que han ocasionado demoras en el desarrollo de actividades de carácter contable.</w:t>
            </w:r>
          </w:p>
        </w:tc>
      </w:tr>
      <w:tr w:rsidR="00216DC0" w:rsidRPr="00E232C9" w14:paraId="7DCECEA2" w14:textId="77777777" w:rsidTr="00D4226B">
        <w:trPr>
          <w:jc w:val="center"/>
        </w:trPr>
        <w:tc>
          <w:tcPr>
            <w:tcW w:w="988" w:type="dxa"/>
          </w:tcPr>
          <w:p w14:paraId="317FEE92" w14:textId="77777777" w:rsidR="00216DC0" w:rsidRPr="00A52FDC" w:rsidRDefault="00216DC0" w:rsidP="00D4226B">
            <w:pPr>
              <w:tabs>
                <w:tab w:val="left" w:pos="1920"/>
              </w:tabs>
              <w:ind w:right="-108"/>
              <w:jc w:val="center"/>
              <w:rPr>
                <w:rFonts w:ascii="Arial" w:hAnsi="Arial" w:cs="Arial"/>
                <w:b/>
              </w:rPr>
            </w:pPr>
            <w:r w:rsidRPr="00A52FDC">
              <w:rPr>
                <w:rFonts w:ascii="Arial" w:hAnsi="Arial" w:cs="Arial"/>
                <w:b/>
              </w:rPr>
              <w:t>38</w:t>
            </w:r>
          </w:p>
        </w:tc>
        <w:tc>
          <w:tcPr>
            <w:tcW w:w="9497" w:type="dxa"/>
          </w:tcPr>
          <w:p w14:paraId="13F02245" w14:textId="77777777" w:rsidR="00216DC0" w:rsidRPr="00A52FDC" w:rsidRDefault="00216DC0" w:rsidP="00D4226B">
            <w:pPr>
              <w:pStyle w:val="Textoindependiente"/>
              <w:ind w:right="-50"/>
              <w:jc w:val="both"/>
              <w:rPr>
                <w:rFonts w:ascii="Arial" w:hAnsi="Arial" w:cs="Arial"/>
                <w:b/>
                <w:bCs/>
              </w:rPr>
            </w:pPr>
            <w:r w:rsidRPr="00A52FDC">
              <w:rPr>
                <w:rFonts w:ascii="Arial" w:hAnsi="Arial" w:cs="Arial"/>
                <w:b/>
                <w:lang w:val="es-MX"/>
              </w:rPr>
              <w:t xml:space="preserve">INSTITUTO COLOMBIANO AGROPECUARIO – ICA. </w:t>
            </w:r>
          </w:p>
          <w:p w14:paraId="7E5F72A0" w14:textId="77777777" w:rsidR="00216DC0" w:rsidRPr="00A52FDC" w:rsidRDefault="00216DC0" w:rsidP="00D4226B">
            <w:pPr>
              <w:pStyle w:val="Textoindependiente"/>
              <w:ind w:right="-50"/>
              <w:jc w:val="both"/>
              <w:rPr>
                <w:rFonts w:ascii="Arial" w:hAnsi="Arial" w:cs="Arial"/>
                <w:b/>
                <w:bCs/>
              </w:rPr>
            </w:pPr>
          </w:p>
          <w:p w14:paraId="2EBD61DB" w14:textId="77777777" w:rsidR="00216DC0" w:rsidRPr="00A52FDC" w:rsidRDefault="00216DC0" w:rsidP="00D4226B">
            <w:pPr>
              <w:pStyle w:val="Textoindependiente"/>
              <w:ind w:right="-50"/>
              <w:jc w:val="both"/>
              <w:rPr>
                <w:rFonts w:ascii="Arial" w:hAnsi="Arial" w:cs="Arial"/>
                <w:b/>
                <w:bCs/>
              </w:rPr>
            </w:pPr>
            <w:r w:rsidRPr="00A52FDC">
              <w:rPr>
                <w:rFonts w:ascii="Arial" w:hAnsi="Arial" w:cs="Arial"/>
                <w:b/>
                <w:bCs/>
              </w:rPr>
              <w:t>2.</w:t>
            </w:r>
            <w:r w:rsidRPr="00A52FDC">
              <w:rPr>
                <w:rFonts w:ascii="Arial" w:hAnsi="Arial" w:cs="Arial"/>
                <w:b/>
                <w:bCs/>
              </w:rPr>
              <w:tab/>
              <w:t>Declaración de cumplimiento del marco normativo y limitaciones.</w:t>
            </w:r>
          </w:p>
          <w:p w14:paraId="325FE09B" w14:textId="77777777" w:rsidR="00216DC0" w:rsidRPr="00A52FDC" w:rsidRDefault="00216DC0" w:rsidP="00D4226B">
            <w:pPr>
              <w:pStyle w:val="Textoindependiente"/>
              <w:ind w:right="-50"/>
              <w:jc w:val="both"/>
              <w:rPr>
                <w:rFonts w:ascii="Arial" w:hAnsi="Arial" w:cs="Arial"/>
                <w:b/>
                <w:bCs/>
              </w:rPr>
            </w:pPr>
          </w:p>
          <w:p w14:paraId="2338702E" w14:textId="77777777" w:rsidR="00216DC0" w:rsidRPr="00A52FDC" w:rsidRDefault="00216DC0" w:rsidP="00D4226B">
            <w:pPr>
              <w:pStyle w:val="Textoindependiente"/>
              <w:ind w:right="-50"/>
              <w:jc w:val="both"/>
              <w:rPr>
                <w:rFonts w:ascii="Arial" w:hAnsi="Arial" w:cs="Arial"/>
                <w:b/>
                <w:bCs/>
              </w:rPr>
            </w:pPr>
            <w:r w:rsidRPr="00A52FDC">
              <w:rPr>
                <w:rFonts w:ascii="Arial" w:hAnsi="Arial" w:cs="Arial"/>
                <w:b/>
                <w:bCs/>
              </w:rPr>
              <w:t>1.2.1.</w:t>
            </w:r>
            <w:r w:rsidRPr="00A52FDC">
              <w:rPr>
                <w:rFonts w:ascii="Arial" w:hAnsi="Arial" w:cs="Arial"/>
                <w:b/>
                <w:bCs/>
              </w:rPr>
              <w:tab/>
              <w:t>Aplicación de la Regulación Contable Pública emitida por la UAE Contaduría General de la Nación (CGN).</w:t>
            </w:r>
          </w:p>
          <w:p w14:paraId="47344E55" w14:textId="77777777" w:rsidR="00216DC0" w:rsidRPr="00A52FDC" w:rsidRDefault="00216DC0" w:rsidP="00D4226B">
            <w:pPr>
              <w:pStyle w:val="Textoindependiente"/>
              <w:ind w:right="-50"/>
              <w:jc w:val="both"/>
              <w:rPr>
                <w:rFonts w:ascii="Arial" w:hAnsi="Arial" w:cs="Arial"/>
              </w:rPr>
            </w:pPr>
          </w:p>
          <w:p w14:paraId="3CADE081" w14:textId="77777777" w:rsidR="00216DC0" w:rsidRPr="00A52FDC" w:rsidRDefault="00216DC0" w:rsidP="00D4226B">
            <w:pPr>
              <w:pStyle w:val="Textoindependiente"/>
              <w:ind w:right="-50"/>
              <w:jc w:val="both"/>
              <w:rPr>
                <w:rFonts w:ascii="Arial" w:hAnsi="Arial" w:cs="Arial"/>
              </w:rPr>
            </w:pPr>
            <w:r w:rsidRPr="00A52FDC">
              <w:rPr>
                <w:rFonts w:ascii="Arial" w:hAnsi="Arial" w:cs="Arial"/>
              </w:rPr>
              <w:t xml:space="preserve">En cumplimiento de la normatividad contable pública anexa al Marco Normativo para Entidades de Gobierno y las políticas contables adoptadas por el ICA, se han identificado operaciones que no se realizaron de conformidad con las normas legales y reglamentarias aplicables. </w:t>
            </w:r>
            <w:r w:rsidRPr="00A52FDC">
              <w:rPr>
                <w:rFonts w:ascii="Arial" w:hAnsi="Arial" w:cs="Arial"/>
                <w:b/>
                <w:bCs/>
                <w:u w:val="single"/>
              </w:rPr>
              <w:t xml:space="preserve">Estos hallazgos son significativos, especialmente en lo que respecta a los procesos implementados para la depuración y sostenibilidad contable de los bienes inmuebles, tomando en cuenta los planes de mejoramiento </w:t>
            </w:r>
            <w:r w:rsidRPr="00A52FDC">
              <w:rPr>
                <w:rFonts w:ascii="Arial" w:hAnsi="Arial" w:cs="Arial"/>
                <w:b/>
                <w:bCs/>
                <w:u w:val="single"/>
              </w:rPr>
              <w:lastRenderedPageBreak/>
              <w:t>suscritos con los organismos de control, vigilancia y supervisión</w:t>
            </w:r>
            <w:r w:rsidRPr="00A52FDC">
              <w:rPr>
                <w:rFonts w:ascii="Arial" w:hAnsi="Arial" w:cs="Arial"/>
              </w:rPr>
              <w:t>.</w:t>
            </w:r>
          </w:p>
          <w:p w14:paraId="758A9598" w14:textId="77777777" w:rsidR="00216DC0" w:rsidRPr="00A52FDC" w:rsidRDefault="00216DC0" w:rsidP="00D4226B">
            <w:pPr>
              <w:pStyle w:val="Textoindependiente"/>
              <w:ind w:right="-50"/>
              <w:jc w:val="both"/>
              <w:rPr>
                <w:rFonts w:ascii="Arial" w:hAnsi="Arial" w:cs="Arial"/>
                <w:b/>
                <w:bCs/>
              </w:rPr>
            </w:pPr>
          </w:p>
          <w:p w14:paraId="6099D52A" w14:textId="77777777" w:rsidR="00216DC0" w:rsidRPr="00A52FDC" w:rsidRDefault="00216DC0" w:rsidP="00D4226B">
            <w:pPr>
              <w:pStyle w:val="Textoindependiente"/>
              <w:ind w:right="-50"/>
              <w:jc w:val="both"/>
              <w:rPr>
                <w:rFonts w:ascii="Arial" w:hAnsi="Arial" w:cs="Arial"/>
                <w:b/>
                <w:bCs/>
              </w:rPr>
            </w:pPr>
            <w:r w:rsidRPr="00A52FDC">
              <w:rPr>
                <w:rFonts w:ascii="Arial" w:hAnsi="Arial" w:cs="Arial"/>
                <w:b/>
                <w:bCs/>
              </w:rPr>
              <w:t>1.2.3.</w:t>
            </w:r>
            <w:r w:rsidRPr="00A52FDC">
              <w:rPr>
                <w:rFonts w:ascii="Arial" w:hAnsi="Arial" w:cs="Arial"/>
                <w:b/>
                <w:bCs/>
              </w:rPr>
              <w:tab/>
              <w:t>Limitaciones y deficiencias operativas y administrativas que impactan el proceso contable.</w:t>
            </w:r>
          </w:p>
          <w:p w14:paraId="08938A4C" w14:textId="77777777" w:rsidR="00216DC0" w:rsidRPr="00A52FDC" w:rsidRDefault="00216DC0" w:rsidP="00D4226B">
            <w:pPr>
              <w:pStyle w:val="Textoindependiente"/>
              <w:ind w:right="-50"/>
              <w:jc w:val="both"/>
              <w:rPr>
                <w:rFonts w:ascii="Arial" w:hAnsi="Arial" w:cs="Arial"/>
                <w:b/>
                <w:bCs/>
              </w:rPr>
            </w:pPr>
          </w:p>
          <w:p w14:paraId="1F2D3784" w14:textId="77777777" w:rsidR="00216DC0" w:rsidRPr="00A52FDC" w:rsidRDefault="00216DC0" w:rsidP="00D4226B">
            <w:pPr>
              <w:pStyle w:val="Textoindependiente"/>
              <w:ind w:right="-50"/>
              <w:jc w:val="both"/>
              <w:rPr>
                <w:rFonts w:ascii="Arial" w:hAnsi="Arial" w:cs="Arial"/>
              </w:rPr>
            </w:pPr>
            <w:r w:rsidRPr="00A52FDC">
              <w:rPr>
                <w:rFonts w:ascii="Arial" w:hAnsi="Arial" w:cs="Arial"/>
              </w:rPr>
              <w:t>Las principales limitaciones y deficiencias que afectan el proceso contable del ICA, según su naturaleza, son las siguientes:</w:t>
            </w:r>
          </w:p>
          <w:p w14:paraId="2D1EED72" w14:textId="77777777" w:rsidR="00216DC0" w:rsidRPr="00A52FDC" w:rsidRDefault="00216DC0" w:rsidP="00AE3935">
            <w:pPr>
              <w:pStyle w:val="Textoindependiente"/>
              <w:numPr>
                <w:ilvl w:val="0"/>
                <w:numId w:val="76"/>
              </w:numPr>
              <w:ind w:right="-50"/>
              <w:jc w:val="both"/>
              <w:rPr>
                <w:rFonts w:ascii="Arial" w:hAnsi="Arial" w:cs="Arial"/>
              </w:rPr>
            </w:pPr>
            <w:r w:rsidRPr="00A52FDC">
              <w:rPr>
                <w:rFonts w:ascii="Arial" w:hAnsi="Arial" w:cs="Arial"/>
              </w:rPr>
              <w:t>El Grupo de Gestión Contable está conformado por quince (15) personas, de las cuales diez (10) son contratistas de prestación de servicios, lo que representa el sesenta y siete por ciento (67%) del total del personal. Esta modalidad de vinculación está limitada a la vigencia presupuestal, lo que provoca interrupciones en los períodos de mayor demanda de apoyo, como el cierre contable y la preparación de informes. Esta situación impacta negativamente en la continuidad de los procesos, lo que puede ocasionar errores y retrasos en las actividades.</w:t>
            </w:r>
          </w:p>
          <w:p w14:paraId="78C618E8" w14:textId="77777777" w:rsidR="00216DC0" w:rsidRPr="00A52FDC" w:rsidRDefault="00216DC0" w:rsidP="00AE3935">
            <w:pPr>
              <w:pStyle w:val="Textoindependiente"/>
              <w:numPr>
                <w:ilvl w:val="0"/>
                <w:numId w:val="76"/>
              </w:numPr>
              <w:ind w:right="-50"/>
              <w:jc w:val="both"/>
              <w:rPr>
                <w:rFonts w:ascii="Arial" w:hAnsi="Arial" w:cs="Arial"/>
              </w:rPr>
            </w:pPr>
            <w:r w:rsidRPr="00A52FDC">
              <w:rPr>
                <w:rFonts w:ascii="Arial" w:hAnsi="Arial" w:cs="Arial"/>
              </w:rPr>
              <w:t>Al cierre de la vigencia 2024, el Ministerio de Hacienda y Crédito Público (MHCP) aún no ha habilitado los procesos de Cartera, Nómina y Propiedad, planta y equipo en el Sistema Integrado de Información Financiera (SIIF). Esta falta de integración entre los procesos administrativos y financieros obliga a realizar reprocesos manuales para actualizar la información de los sistemas alternos y efectuar las conciliaciones necesarias, con el objetivo de asegurar la coherencia en la presentación de los Estados Financieros del ICA. Esta situación da lugar a una duplicidad en la carga de trabajo y aumenta el riesgo de errores.</w:t>
            </w:r>
          </w:p>
          <w:p w14:paraId="62B67956" w14:textId="77777777" w:rsidR="00216DC0" w:rsidRPr="00A52FDC" w:rsidRDefault="00216DC0" w:rsidP="00D4226B">
            <w:pPr>
              <w:pStyle w:val="Textoindependiente"/>
              <w:ind w:right="-50"/>
              <w:jc w:val="both"/>
              <w:rPr>
                <w:rFonts w:ascii="Arial" w:hAnsi="Arial" w:cs="Arial"/>
              </w:rPr>
            </w:pPr>
          </w:p>
          <w:p w14:paraId="0D59B83B" w14:textId="77777777" w:rsidR="00216DC0" w:rsidRPr="00A52FDC" w:rsidRDefault="00216DC0" w:rsidP="00AE3935">
            <w:pPr>
              <w:pStyle w:val="Textoindependiente"/>
              <w:numPr>
                <w:ilvl w:val="0"/>
                <w:numId w:val="76"/>
              </w:numPr>
              <w:ind w:right="-50"/>
              <w:jc w:val="both"/>
              <w:rPr>
                <w:rFonts w:ascii="Arial" w:hAnsi="Arial" w:cs="Arial"/>
              </w:rPr>
            </w:pPr>
            <w:r w:rsidRPr="00A52FDC">
              <w:rPr>
                <w:rFonts w:ascii="Arial" w:hAnsi="Arial" w:cs="Arial"/>
              </w:rPr>
              <w:t>El ICA opera de manera paralela con otro sistema de información (NOVASOFT) para detallar los ingresos tarifados. Esta situación contribuye a la duplicidad de los esfuerzos y a un incremento en la carga de trabajo, lo que genera ineficiencias y mayores riesgos operativos.</w:t>
            </w:r>
          </w:p>
          <w:p w14:paraId="45FD56B2" w14:textId="77777777" w:rsidR="00216DC0" w:rsidRPr="00A52FDC" w:rsidRDefault="00216DC0" w:rsidP="00D4226B">
            <w:pPr>
              <w:pStyle w:val="Textoindependiente"/>
              <w:ind w:right="-50"/>
              <w:jc w:val="both"/>
              <w:rPr>
                <w:rFonts w:ascii="Arial" w:hAnsi="Arial" w:cs="Arial"/>
              </w:rPr>
            </w:pPr>
          </w:p>
          <w:p w14:paraId="22F3CB66" w14:textId="77777777" w:rsidR="00216DC0" w:rsidRPr="00A52FDC" w:rsidRDefault="00216DC0" w:rsidP="00AE3935">
            <w:pPr>
              <w:pStyle w:val="Textoindependiente"/>
              <w:numPr>
                <w:ilvl w:val="0"/>
                <w:numId w:val="76"/>
              </w:numPr>
              <w:ind w:right="-50"/>
              <w:jc w:val="both"/>
              <w:rPr>
                <w:rFonts w:ascii="Arial" w:hAnsi="Arial" w:cs="Arial"/>
              </w:rPr>
            </w:pPr>
            <w:r w:rsidRPr="00A52FDC">
              <w:rPr>
                <w:rFonts w:ascii="Arial" w:hAnsi="Arial" w:cs="Arial"/>
              </w:rPr>
              <w:t>La falta de integración entre los diversos sistemas de información utilizados en el ICA obliga a realizar procesos manuales continuos, lo que aumenta la exposición a riesgos por inexactitudes, omisiones y reprocesos, además de afectar la eficiencia general del proceso contable.</w:t>
            </w:r>
          </w:p>
        </w:tc>
      </w:tr>
      <w:tr w:rsidR="00216DC0" w:rsidRPr="00E232C9" w14:paraId="4A82DF8D" w14:textId="77777777" w:rsidTr="00D4226B">
        <w:trPr>
          <w:jc w:val="center"/>
        </w:trPr>
        <w:tc>
          <w:tcPr>
            <w:tcW w:w="988" w:type="dxa"/>
          </w:tcPr>
          <w:p w14:paraId="01DA211B" w14:textId="77777777" w:rsidR="00216DC0" w:rsidRDefault="00216DC0" w:rsidP="00D4226B">
            <w:pPr>
              <w:tabs>
                <w:tab w:val="left" w:pos="1920"/>
              </w:tabs>
              <w:ind w:right="-108"/>
              <w:jc w:val="center"/>
              <w:rPr>
                <w:rFonts w:ascii="Arial" w:hAnsi="Arial" w:cs="Arial"/>
                <w:b/>
                <w:color w:val="FF0000"/>
              </w:rPr>
            </w:pPr>
            <w:r w:rsidRPr="00FF5264">
              <w:rPr>
                <w:rFonts w:ascii="Arial" w:hAnsi="Arial" w:cs="Arial"/>
                <w:b/>
                <w:color w:val="000000" w:themeColor="text1"/>
              </w:rPr>
              <w:lastRenderedPageBreak/>
              <w:t>39</w:t>
            </w:r>
          </w:p>
        </w:tc>
        <w:tc>
          <w:tcPr>
            <w:tcW w:w="9497" w:type="dxa"/>
          </w:tcPr>
          <w:p w14:paraId="2834ACDA" w14:textId="77777777" w:rsidR="00216DC0" w:rsidRPr="00FF5264" w:rsidRDefault="00216DC0" w:rsidP="00D4226B">
            <w:pPr>
              <w:widowControl/>
              <w:autoSpaceDE/>
              <w:autoSpaceDN/>
              <w:jc w:val="both"/>
              <w:rPr>
                <w:rFonts w:ascii="Arial" w:eastAsiaTheme="minorHAnsi" w:hAnsi="Arial" w:cs="Arial"/>
                <w:b/>
                <w:lang w:val="es-CO"/>
              </w:rPr>
            </w:pPr>
            <w:r w:rsidRPr="00FF5264">
              <w:rPr>
                <w:rFonts w:ascii="Arial" w:hAnsi="Arial" w:cs="Arial"/>
                <w:b/>
                <w:lang w:val="es-MX"/>
              </w:rPr>
              <w:t xml:space="preserve">FONDO ESPECIAL PARA LA ADMINISTRACIÓN DE BIENES DE LA FISCALÍA GENERAL DE LA NACIÓN. </w:t>
            </w:r>
            <w:r w:rsidRPr="00FF5264">
              <w:rPr>
                <w:rFonts w:ascii="Arial" w:eastAsiaTheme="minorHAnsi" w:hAnsi="Arial" w:cs="Arial"/>
                <w:b/>
                <w:lang w:val="es-CO"/>
              </w:rPr>
              <w:t xml:space="preserve">1.2. 1. Limitaciones. </w:t>
            </w:r>
          </w:p>
          <w:p w14:paraId="07D7E8D7" w14:textId="77777777" w:rsidR="00216DC0" w:rsidRPr="00FF5264" w:rsidRDefault="00216DC0" w:rsidP="00D4226B">
            <w:pPr>
              <w:widowControl/>
              <w:autoSpaceDE/>
              <w:autoSpaceDN/>
              <w:jc w:val="both"/>
              <w:rPr>
                <w:rFonts w:ascii="Arial" w:eastAsiaTheme="minorHAnsi" w:hAnsi="Arial" w:cs="Arial"/>
                <w:lang w:val="es-CO"/>
              </w:rPr>
            </w:pPr>
          </w:p>
          <w:p w14:paraId="010C28B9" w14:textId="1C4A0DFD" w:rsidR="00216DC0" w:rsidRPr="00FF5264" w:rsidRDefault="00216DC0" w:rsidP="00D4226B">
            <w:pPr>
              <w:widowControl/>
              <w:autoSpaceDE/>
              <w:autoSpaceDN/>
              <w:jc w:val="both"/>
              <w:rPr>
                <w:rFonts w:ascii="Arial" w:eastAsiaTheme="minorHAnsi" w:hAnsi="Arial" w:cs="Arial"/>
                <w:lang w:val="es-CO"/>
              </w:rPr>
            </w:pPr>
            <w:r w:rsidRPr="00FF5264">
              <w:rPr>
                <w:rFonts w:ascii="Arial" w:eastAsiaTheme="minorHAnsi" w:hAnsi="Arial" w:cs="Arial"/>
                <w:lang w:val="es-CO"/>
              </w:rPr>
              <w:t xml:space="preserve">El FONDO ESPECIAL PARA LA ADMINISTRACIÓN DE BIENES, no cuenta con planta de personal para el desarrollo de la misión y las actividades propias, en consecuencia, se asignaron funciones especiales a algunos servidores de la </w:t>
            </w:r>
            <w:r w:rsidR="00D926CD" w:rsidRPr="00FF5264">
              <w:rPr>
                <w:rFonts w:ascii="Arial" w:eastAsiaTheme="minorHAnsi" w:hAnsi="Arial" w:cs="Arial"/>
                <w:lang w:val="es-CO"/>
              </w:rPr>
              <w:t>fiscalía general</w:t>
            </w:r>
            <w:r w:rsidRPr="00FF5264">
              <w:rPr>
                <w:rFonts w:ascii="Arial" w:eastAsiaTheme="minorHAnsi" w:hAnsi="Arial" w:cs="Arial"/>
                <w:lang w:val="es-CO"/>
              </w:rPr>
              <w:t xml:space="preserve"> de la Nación. Con base en el artículo 13 de la Resolución 0-1296 del 22 de julio de 2015, establece: “Todas las dependencias de la </w:t>
            </w:r>
            <w:r w:rsidR="00D926CD" w:rsidRPr="00FF5264">
              <w:rPr>
                <w:rFonts w:ascii="Arial" w:eastAsiaTheme="minorHAnsi" w:hAnsi="Arial" w:cs="Arial"/>
                <w:lang w:val="es-CO"/>
              </w:rPr>
              <w:t>fiscalía general</w:t>
            </w:r>
            <w:r w:rsidRPr="00FF5264">
              <w:rPr>
                <w:rFonts w:ascii="Arial" w:eastAsiaTheme="minorHAnsi" w:hAnsi="Arial" w:cs="Arial"/>
                <w:lang w:val="es-CO"/>
              </w:rPr>
              <w:t xml:space="preserve"> de la Nación actuaran corno órganos de apoyo del FEAB y son responsables de atender las actividades que se requieran para su funcionamiento, de acuerdo con sus funciones legales y reglamentarias, y las directrices impartidas por el </w:t>
            </w:r>
            <w:r w:rsidR="00D926CD" w:rsidRPr="00FF5264">
              <w:rPr>
                <w:rFonts w:ascii="Arial" w:eastAsiaTheme="minorHAnsi" w:hAnsi="Arial" w:cs="Arial"/>
                <w:lang w:val="es-CO"/>
              </w:rPr>
              <w:t>fiscal general</w:t>
            </w:r>
            <w:r w:rsidRPr="00FF5264">
              <w:rPr>
                <w:rFonts w:ascii="Arial" w:eastAsiaTheme="minorHAnsi" w:hAnsi="Arial" w:cs="Arial"/>
                <w:lang w:val="es-CO"/>
              </w:rPr>
              <w:t xml:space="preserve"> de la Nación, el </w:t>
            </w:r>
            <w:r w:rsidR="00D926CD" w:rsidRPr="00FF5264">
              <w:rPr>
                <w:rFonts w:ascii="Arial" w:eastAsiaTheme="minorHAnsi" w:hAnsi="Arial" w:cs="Arial"/>
                <w:lang w:val="es-CO"/>
              </w:rPr>
              <w:t>director</w:t>
            </w:r>
            <w:r w:rsidRPr="00FF5264">
              <w:rPr>
                <w:rFonts w:ascii="Arial" w:eastAsiaTheme="minorHAnsi" w:hAnsi="Arial" w:cs="Arial"/>
                <w:lang w:val="es-CO"/>
              </w:rPr>
              <w:t xml:space="preserve"> y el Administrador Nacional. ( .. )"</w:t>
            </w:r>
          </w:p>
        </w:tc>
      </w:tr>
      <w:tr w:rsidR="00216DC0" w:rsidRPr="00E232C9" w14:paraId="43C30321" w14:textId="77777777" w:rsidTr="00D4226B">
        <w:trPr>
          <w:jc w:val="center"/>
        </w:trPr>
        <w:tc>
          <w:tcPr>
            <w:tcW w:w="988" w:type="dxa"/>
          </w:tcPr>
          <w:p w14:paraId="19C713B8" w14:textId="77777777" w:rsidR="00216DC0" w:rsidRPr="00D851F9" w:rsidRDefault="00216DC0" w:rsidP="00D4226B">
            <w:pPr>
              <w:tabs>
                <w:tab w:val="left" w:pos="1920"/>
              </w:tabs>
              <w:ind w:right="-108"/>
              <w:jc w:val="center"/>
              <w:rPr>
                <w:rFonts w:ascii="Arial" w:hAnsi="Arial" w:cs="Arial"/>
                <w:b/>
              </w:rPr>
            </w:pPr>
            <w:r w:rsidRPr="00D851F9">
              <w:rPr>
                <w:rFonts w:ascii="Arial" w:hAnsi="Arial" w:cs="Arial"/>
                <w:b/>
              </w:rPr>
              <w:t>40</w:t>
            </w:r>
          </w:p>
        </w:tc>
        <w:tc>
          <w:tcPr>
            <w:tcW w:w="9497" w:type="dxa"/>
          </w:tcPr>
          <w:p w14:paraId="054C4394" w14:textId="77777777" w:rsidR="00216DC0" w:rsidRPr="00D851F9" w:rsidRDefault="00216DC0" w:rsidP="00D4226B">
            <w:pPr>
              <w:pStyle w:val="Textoindependiente"/>
              <w:ind w:right="-50"/>
              <w:jc w:val="both"/>
              <w:rPr>
                <w:rFonts w:ascii="Arial" w:hAnsi="Arial" w:cs="Arial"/>
                <w:b/>
                <w:bCs/>
                <w:sz w:val="28"/>
                <w:szCs w:val="28"/>
              </w:rPr>
            </w:pPr>
            <w:r w:rsidRPr="00D851F9">
              <w:rPr>
                <w:rFonts w:ascii="Arial" w:hAnsi="Arial" w:cs="Arial"/>
                <w:b/>
                <w:lang w:val="es-CO"/>
              </w:rPr>
              <w:t>FONDO ROTATORIO DEL DEPARTAMENTO ADMINISTRATIVO NACIONAL DE ESTADÍSTICA – FONDANE.</w:t>
            </w:r>
            <w:r w:rsidRPr="00D851F9">
              <w:rPr>
                <w:rFonts w:ascii="Arial" w:hAnsi="Arial" w:cs="Arial"/>
                <w:b/>
                <w:lang w:val="es-MX"/>
              </w:rPr>
              <w:t xml:space="preserve"> </w:t>
            </w:r>
          </w:p>
          <w:p w14:paraId="59C92E0D" w14:textId="77777777" w:rsidR="00216DC0" w:rsidRPr="00D851F9" w:rsidRDefault="00216DC0" w:rsidP="00D4226B">
            <w:pPr>
              <w:pStyle w:val="Textoindependiente"/>
              <w:ind w:right="-50"/>
              <w:jc w:val="both"/>
              <w:rPr>
                <w:rFonts w:ascii="Arial" w:hAnsi="Arial" w:cs="Arial"/>
                <w:b/>
              </w:rPr>
            </w:pPr>
          </w:p>
          <w:p w14:paraId="15F885C9" w14:textId="77777777" w:rsidR="00216DC0" w:rsidRPr="00D851F9" w:rsidRDefault="00216DC0" w:rsidP="00D4226B">
            <w:pPr>
              <w:pStyle w:val="Textoindependiente"/>
              <w:ind w:right="-50"/>
              <w:jc w:val="both"/>
              <w:rPr>
                <w:rFonts w:ascii="Arial" w:hAnsi="Arial" w:cs="Arial"/>
                <w:b/>
              </w:rPr>
            </w:pPr>
            <w:r w:rsidRPr="00D851F9">
              <w:rPr>
                <w:rFonts w:ascii="Arial" w:hAnsi="Arial" w:cs="Arial"/>
                <w:b/>
              </w:rPr>
              <w:t xml:space="preserve">.2. Declaración de cumplimiento del Marco Normativo. Limitaciones de tipo administrativo. </w:t>
            </w:r>
          </w:p>
          <w:p w14:paraId="7A313A6C" w14:textId="77777777" w:rsidR="00216DC0" w:rsidRPr="00D851F9" w:rsidRDefault="00216DC0" w:rsidP="00D4226B">
            <w:pPr>
              <w:pStyle w:val="Textoindependiente"/>
              <w:ind w:right="-50"/>
              <w:jc w:val="both"/>
              <w:rPr>
                <w:rFonts w:ascii="Arial" w:hAnsi="Arial" w:cs="Arial"/>
              </w:rPr>
            </w:pPr>
          </w:p>
          <w:p w14:paraId="4D9B293C" w14:textId="77777777" w:rsidR="00216DC0" w:rsidRPr="00D851F9" w:rsidRDefault="00216DC0" w:rsidP="00D4226B">
            <w:pPr>
              <w:pStyle w:val="Textoindependiente"/>
              <w:ind w:right="-50"/>
              <w:jc w:val="both"/>
              <w:rPr>
                <w:rFonts w:ascii="Arial" w:hAnsi="Arial" w:cs="Arial"/>
              </w:rPr>
            </w:pPr>
            <w:r w:rsidRPr="00D851F9">
              <w:rPr>
                <w:rFonts w:ascii="Arial" w:hAnsi="Arial" w:cs="Arial"/>
              </w:rPr>
              <w:t xml:space="preserve">Personal del área. El Área de Gestión Financiera no cuenta con el personal suficiente de planta en el grupo interno de contabilidad, debido a que, en la estructura de la planta global no se han realizado los nombramientos para cubrir todos los cargos dispuestos, por tal motivo se hace necesario contratar personal por prestación de servicios profesionales para el apoyo en el registro, análisis y control de la información contable. Lo anterior teniendo en cuenta que ha crecido el volumen de trabajo, por el aumento de asignación presupuestal. </w:t>
            </w:r>
          </w:p>
          <w:p w14:paraId="5489C121" w14:textId="77777777" w:rsidR="00216DC0" w:rsidRPr="00D851F9" w:rsidRDefault="00216DC0" w:rsidP="00D4226B">
            <w:pPr>
              <w:pStyle w:val="Textoindependiente"/>
              <w:ind w:right="-50"/>
              <w:jc w:val="both"/>
              <w:rPr>
                <w:rFonts w:ascii="Arial" w:hAnsi="Arial" w:cs="Arial"/>
              </w:rPr>
            </w:pPr>
            <w:r w:rsidRPr="00D851F9">
              <w:rPr>
                <w:rFonts w:ascii="Arial" w:hAnsi="Arial" w:cs="Arial"/>
              </w:rPr>
              <w:t>Es importante tener en cuenta que la falta de personal en el grupo interno de contabilidad ha generado que los profesionales realicen el registro de obligaciones presupuestales, siendo este un proceso que debería realizarse desde el Grupo interno de Central de cuentas y que han ocasionado demoras en el desarrollo de actividades de carácter contable.</w:t>
            </w:r>
          </w:p>
        </w:tc>
      </w:tr>
      <w:tr w:rsidR="00216DC0" w:rsidRPr="00E232C9" w14:paraId="1419CD4E" w14:textId="77777777" w:rsidTr="00D4226B">
        <w:trPr>
          <w:jc w:val="center"/>
        </w:trPr>
        <w:tc>
          <w:tcPr>
            <w:tcW w:w="988" w:type="dxa"/>
          </w:tcPr>
          <w:p w14:paraId="2B5BD14C" w14:textId="77777777" w:rsidR="00216DC0" w:rsidRDefault="00216DC0" w:rsidP="00D4226B">
            <w:pPr>
              <w:tabs>
                <w:tab w:val="left" w:pos="1920"/>
              </w:tabs>
              <w:ind w:right="-108"/>
              <w:jc w:val="center"/>
              <w:rPr>
                <w:rFonts w:ascii="Arial" w:hAnsi="Arial" w:cs="Arial"/>
                <w:b/>
                <w:color w:val="FF0000"/>
              </w:rPr>
            </w:pPr>
            <w:r w:rsidRPr="00E92DAB">
              <w:rPr>
                <w:rFonts w:ascii="Arial" w:hAnsi="Arial" w:cs="Arial"/>
                <w:b/>
              </w:rPr>
              <w:t>41</w:t>
            </w:r>
          </w:p>
        </w:tc>
        <w:tc>
          <w:tcPr>
            <w:tcW w:w="9497" w:type="dxa"/>
          </w:tcPr>
          <w:p w14:paraId="7C790EF2" w14:textId="77777777" w:rsidR="00216DC0" w:rsidRPr="00E92DAB" w:rsidRDefault="00216DC0" w:rsidP="00D4226B">
            <w:pPr>
              <w:pStyle w:val="Textoindependiente"/>
              <w:ind w:right="-50"/>
              <w:jc w:val="both"/>
              <w:rPr>
                <w:rFonts w:ascii="Arial" w:hAnsi="Arial" w:cs="Arial"/>
                <w:b/>
                <w:bCs/>
              </w:rPr>
            </w:pPr>
            <w:r w:rsidRPr="00E92DAB">
              <w:rPr>
                <w:rFonts w:ascii="Arial" w:hAnsi="Arial" w:cs="Arial"/>
                <w:b/>
                <w:lang w:val="es-MX"/>
              </w:rPr>
              <w:t xml:space="preserve">CORPORACION AUTONOMA REGIONAL DEL CESAR - CORPOCESAR. </w:t>
            </w:r>
            <w:r w:rsidRPr="00E92DAB">
              <w:rPr>
                <w:rFonts w:ascii="Arial" w:hAnsi="Arial" w:cs="Arial"/>
                <w:b/>
                <w:bCs/>
              </w:rPr>
              <w:t>1.2. Declaración de cumplimiento del marco normativo y limitaciones.</w:t>
            </w:r>
          </w:p>
          <w:p w14:paraId="4B3F5EE9" w14:textId="77777777" w:rsidR="00216DC0" w:rsidRPr="00E92DAB" w:rsidRDefault="00216DC0" w:rsidP="00D4226B">
            <w:pPr>
              <w:pStyle w:val="Textoindependiente"/>
              <w:ind w:right="-50"/>
              <w:jc w:val="both"/>
              <w:rPr>
                <w:rFonts w:ascii="Arial" w:hAnsi="Arial" w:cs="Arial"/>
                <w:b/>
                <w:bCs/>
              </w:rPr>
            </w:pPr>
          </w:p>
          <w:p w14:paraId="5928FA5E" w14:textId="77777777" w:rsidR="00216DC0" w:rsidRPr="00E92DAB" w:rsidRDefault="00216DC0" w:rsidP="00D4226B">
            <w:pPr>
              <w:pStyle w:val="Textoindependiente"/>
              <w:ind w:right="-50"/>
              <w:jc w:val="both"/>
              <w:rPr>
                <w:rFonts w:ascii="Arial" w:hAnsi="Arial" w:cs="Arial"/>
                <w:bCs/>
              </w:rPr>
            </w:pPr>
            <w:r w:rsidRPr="00E92DAB">
              <w:rPr>
                <w:rFonts w:ascii="Arial" w:hAnsi="Arial" w:cs="Arial"/>
                <w:b/>
                <w:bCs/>
              </w:rPr>
              <w:t xml:space="preserve">1.2.1 Limitaciones. </w:t>
            </w:r>
            <w:r w:rsidRPr="00E92DAB">
              <w:rPr>
                <w:rFonts w:ascii="Arial" w:hAnsi="Arial" w:cs="Arial"/>
                <w:bCs/>
              </w:rPr>
              <w:t xml:space="preserve">Los municipios del departamento del cesar, tienen la obligación legal de reportar de manera periódica a la corporación, los recursos que cobran por concepto de sobretasa ambiental a los contribuyentes de impuesto predial, y, sin embargo, y pese a la gestión realizada por la entidad, no vienen </w:t>
            </w:r>
            <w:r w:rsidRPr="00E92DAB">
              <w:rPr>
                <w:rFonts w:ascii="Arial" w:hAnsi="Arial" w:cs="Arial"/>
                <w:bCs/>
              </w:rPr>
              <w:lastRenderedPageBreak/>
              <w:t>reportando estos valores de manera oportuna, lo que viene dificultando el proceso de causación en la Corporación.</w:t>
            </w:r>
          </w:p>
        </w:tc>
      </w:tr>
      <w:tr w:rsidR="00216DC0" w:rsidRPr="00E232C9" w14:paraId="2EF1CF1A" w14:textId="77777777" w:rsidTr="00D4226B">
        <w:trPr>
          <w:jc w:val="center"/>
        </w:trPr>
        <w:tc>
          <w:tcPr>
            <w:tcW w:w="988" w:type="dxa"/>
          </w:tcPr>
          <w:p w14:paraId="3CE5E50E" w14:textId="77777777" w:rsidR="00216DC0" w:rsidRPr="00B56BE2" w:rsidRDefault="00216DC0" w:rsidP="00D4226B">
            <w:pPr>
              <w:tabs>
                <w:tab w:val="left" w:pos="1920"/>
              </w:tabs>
              <w:ind w:right="-108"/>
              <w:jc w:val="center"/>
              <w:rPr>
                <w:rFonts w:ascii="Arial" w:hAnsi="Arial" w:cs="Arial"/>
                <w:b/>
                <w:color w:val="000000" w:themeColor="text1"/>
              </w:rPr>
            </w:pPr>
            <w:r w:rsidRPr="00B56BE2">
              <w:rPr>
                <w:rFonts w:ascii="Arial" w:hAnsi="Arial" w:cs="Arial"/>
                <w:b/>
                <w:color w:val="000000" w:themeColor="text1"/>
              </w:rPr>
              <w:lastRenderedPageBreak/>
              <w:t>42</w:t>
            </w:r>
          </w:p>
        </w:tc>
        <w:tc>
          <w:tcPr>
            <w:tcW w:w="9497" w:type="dxa"/>
          </w:tcPr>
          <w:p w14:paraId="5A911B02" w14:textId="77777777" w:rsidR="00216DC0" w:rsidRPr="00B512FC" w:rsidRDefault="00216DC0" w:rsidP="00D4226B">
            <w:pPr>
              <w:pStyle w:val="Textoindependiente"/>
              <w:jc w:val="both"/>
              <w:rPr>
                <w:rFonts w:ascii="Arial" w:hAnsi="Arial" w:cs="Arial"/>
                <w:bCs/>
              </w:rPr>
            </w:pPr>
            <w:r w:rsidRPr="00B512FC">
              <w:rPr>
                <w:rFonts w:ascii="Arial" w:hAnsi="Arial" w:cs="Arial"/>
                <w:b/>
                <w:lang w:val="es-MX"/>
              </w:rPr>
              <w:t>UNIVERSIDAD DEL CAUCA.</w:t>
            </w:r>
            <w:r>
              <w:rPr>
                <w:rFonts w:ascii="Arial" w:hAnsi="Arial" w:cs="Arial"/>
                <w:b/>
                <w:lang w:val="es-MX"/>
              </w:rPr>
              <w:t xml:space="preserve"> </w:t>
            </w:r>
            <w:r w:rsidRPr="00E3544C">
              <w:rPr>
                <w:b/>
                <w:bCs/>
              </w:rPr>
              <w:t xml:space="preserve">Limitaciones y Deficiencias Operativas o Administrativas </w:t>
            </w:r>
            <w:r w:rsidRPr="00B512FC">
              <w:rPr>
                <w:rFonts w:ascii="Arial" w:hAnsi="Arial" w:cs="Arial"/>
                <w:b/>
                <w:bCs/>
              </w:rPr>
              <w:t xml:space="preserve">en el Proceso Contable: </w:t>
            </w:r>
            <w:r w:rsidRPr="00B512FC">
              <w:rPr>
                <w:rFonts w:ascii="Arial" w:hAnsi="Arial" w:cs="Arial"/>
                <w:bCs/>
              </w:rPr>
              <w:t>Respecto de la obra conocida como “Ciudadela Universitaria” que se adelanta en el municipio de Santander de Quilichao y de las cuales ya se ha dado al servicio un sector, a la fecha continúa figurando como construcciones en curso; lo anterior debido a que no ha habido por parte del contratista entrega en debida forma y oportunidad los soportes que se requieren para el registro y reconocimiento por parte del Área de Adquisiciones e Inventarios.</w:t>
            </w:r>
          </w:p>
          <w:p w14:paraId="0BC5FC2A" w14:textId="77777777" w:rsidR="00216DC0" w:rsidRPr="00B512FC" w:rsidRDefault="00216DC0" w:rsidP="00D4226B">
            <w:pPr>
              <w:pStyle w:val="Textoindependiente"/>
              <w:jc w:val="both"/>
              <w:rPr>
                <w:rFonts w:ascii="Arial" w:hAnsi="Arial" w:cs="Arial"/>
                <w:bCs/>
              </w:rPr>
            </w:pPr>
          </w:p>
          <w:p w14:paraId="456781F8" w14:textId="77777777" w:rsidR="00216DC0" w:rsidRPr="00B512FC" w:rsidRDefault="00216DC0" w:rsidP="00D4226B">
            <w:pPr>
              <w:pStyle w:val="Textoindependiente"/>
              <w:jc w:val="both"/>
              <w:rPr>
                <w:rFonts w:ascii="Arial" w:hAnsi="Arial" w:cs="Arial"/>
                <w:bCs/>
              </w:rPr>
            </w:pPr>
            <w:r w:rsidRPr="00B512FC">
              <w:rPr>
                <w:rFonts w:ascii="Arial" w:hAnsi="Arial" w:cs="Arial"/>
                <w:b/>
                <w:bCs/>
              </w:rPr>
              <w:t xml:space="preserve">Automatización de mediciones financieras: </w:t>
            </w:r>
            <w:r w:rsidRPr="00B512FC">
              <w:rPr>
                <w:rFonts w:ascii="Arial" w:hAnsi="Arial" w:cs="Arial"/>
                <w:bCs/>
              </w:rPr>
              <w:t>Algunas mediciones y actualizaciones financieras necesarias para elaborar los Estados Financieros, según el Marco Normativo para Entidades de Gobierno, no están automatizadas en el Sistema de Recursos Físicos (SRF) y el Sistema Integrado de Recaudo (SQUID). Esto conlleva la realización de actividades manuales, lo que puede generar demoras en el procesamiento de la información en el sistema financiero, especialmente en el cálculo de deterioro de Cuentas por Cobrar, Inversiones y propiedades, planta y equipo.</w:t>
            </w:r>
          </w:p>
        </w:tc>
      </w:tr>
      <w:tr w:rsidR="00216DC0" w:rsidRPr="00E232C9" w14:paraId="40ABC803" w14:textId="77777777" w:rsidTr="00D4226B">
        <w:trPr>
          <w:jc w:val="center"/>
        </w:trPr>
        <w:tc>
          <w:tcPr>
            <w:tcW w:w="988" w:type="dxa"/>
          </w:tcPr>
          <w:p w14:paraId="0DA2E147" w14:textId="77777777" w:rsidR="00216DC0" w:rsidRPr="00B56BE2" w:rsidRDefault="00216DC0" w:rsidP="00D4226B">
            <w:pPr>
              <w:tabs>
                <w:tab w:val="left" w:pos="1920"/>
              </w:tabs>
              <w:ind w:right="-108"/>
              <w:jc w:val="center"/>
              <w:rPr>
                <w:rFonts w:ascii="Arial" w:hAnsi="Arial" w:cs="Arial"/>
                <w:b/>
                <w:color w:val="000000" w:themeColor="text1"/>
              </w:rPr>
            </w:pPr>
            <w:r w:rsidRPr="00B56BE2">
              <w:rPr>
                <w:rFonts w:ascii="Arial" w:hAnsi="Arial" w:cs="Arial"/>
                <w:b/>
                <w:color w:val="000000" w:themeColor="text1"/>
              </w:rPr>
              <w:t>43</w:t>
            </w:r>
          </w:p>
        </w:tc>
        <w:tc>
          <w:tcPr>
            <w:tcW w:w="9497" w:type="dxa"/>
          </w:tcPr>
          <w:p w14:paraId="3CA9298D" w14:textId="77777777" w:rsidR="00216DC0" w:rsidRPr="00B56BE2" w:rsidRDefault="00216DC0" w:rsidP="00D4226B">
            <w:pPr>
              <w:pStyle w:val="Textoindependiente"/>
              <w:ind w:right="-50"/>
              <w:jc w:val="both"/>
              <w:rPr>
                <w:rFonts w:ascii="Arial" w:hAnsi="Arial" w:cs="Arial"/>
              </w:rPr>
            </w:pPr>
            <w:r w:rsidRPr="00B56BE2">
              <w:rPr>
                <w:rFonts w:ascii="Arial" w:hAnsi="Arial" w:cs="Arial"/>
                <w:b/>
                <w:lang w:val="es-MX"/>
              </w:rPr>
              <w:t xml:space="preserve">DIRECCIÓN NACIONAL DE DERECHO DE AUTOR. </w:t>
            </w:r>
            <w:r w:rsidRPr="00B56BE2">
              <w:rPr>
                <w:rFonts w:ascii="Arial" w:hAnsi="Arial" w:cs="Arial"/>
                <w:b/>
                <w:bCs/>
                <w:u w:val="single"/>
              </w:rPr>
              <w:t>El Sistema de Información Financiera SIIF Nación, en la actualidad no ha culminado el desarrollo de los negocios de nómina y activos fijos</w:t>
            </w:r>
            <w:r w:rsidRPr="00B56BE2">
              <w:rPr>
                <w:rFonts w:ascii="Arial" w:hAnsi="Arial" w:cs="Arial"/>
              </w:rPr>
              <w:t xml:space="preserve">, por lo tanto, la U.A.E. Dirección Nacional de Derecho de Autor cuenta con el software SIGEP como sistema auxiliar del proceso contable, garantizando confiabilidad y oportunidad en la información correspondiente de las cuentas contables que afecta la nómina </w:t>
            </w:r>
            <w:r w:rsidRPr="00B56BE2">
              <w:rPr>
                <w:rFonts w:ascii="Arial" w:hAnsi="Arial" w:cs="Arial"/>
                <w:b/>
                <w:bCs/>
                <w:u w:val="single"/>
              </w:rPr>
              <w:t>pero no se cuenta con el software para la propiedad planta y equipo, cargos diferidos y activos intangibles</w:t>
            </w:r>
            <w:r w:rsidRPr="00B56BE2">
              <w:rPr>
                <w:rFonts w:ascii="Arial" w:hAnsi="Arial" w:cs="Arial"/>
              </w:rPr>
              <w:t>.</w:t>
            </w:r>
          </w:p>
        </w:tc>
      </w:tr>
      <w:tr w:rsidR="00216DC0" w:rsidRPr="00E232C9" w14:paraId="4F3171A5" w14:textId="77777777" w:rsidTr="00D4226B">
        <w:trPr>
          <w:jc w:val="center"/>
        </w:trPr>
        <w:tc>
          <w:tcPr>
            <w:tcW w:w="988" w:type="dxa"/>
          </w:tcPr>
          <w:p w14:paraId="1924E100" w14:textId="77777777" w:rsidR="00216DC0" w:rsidRPr="00C061C4" w:rsidRDefault="00216DC0" w:rsidP="00D4226B">
            <w:pPr>
              <w:tabs>
                <w:tab w:val="left" w:pos="1920"/>
              </w:tabs>
              <w:ind w:right="-108"/>
              <w:jc w:val="center"/>
              <w:rPr>
                <w:rFonts w:ascii="Arial" w:hAnsi="Arial" w:cs="Arial"/>
                <w:b/>
              </w:rPr>
            </w:pPr>
            <w:r w:rsidRPr="00C061C4">
              <w:rPr>
                <w:rFonts w:ascii="Arial" w:hAnsi="Arial" w:cs="Arial"/>
                <w:b/>
              </w:rPr>
              <w:t>44</w:t>
            </w:r>
          </w:p>
        </w:tc>
        <w:tc>
          <w:tcPr>
            <w:tcW w:w="9497" w:type="dxa"/>
          </w:tcPr>
          <w:p w14:paraId="36D88289" w14:textId="77777777" w:rsidR="00216DC0" w:rsidRPr="00C061C4" w:rsidRDefault="00216DC0" w:rsidP="00D4226B">
            <w:pPr>
              <w:pStyle w:val="Textoindependiente"/>
              <w:jc w:val="both"/>
              <w:rPr>
                <w:rFonts w:ascii="Arial" w:hAnsi="Arial" w:cs="Arial"/>
                <w:b/>
                <w:bCs/>
              </w:rPr>
            </w:pPr>
            <w:r w:rsidRPr="00C061C4">
              <w:rPr>
                <w:rFonts w:ascii="Arial" w:hAnsi="Arial" w:cs="Arial"/>
                <w:b/>
                <w:lang w:val="es-MX"/>
              </w:rPr>
              <w:t xml:space="preserve">AGENCIA NACIONAL DE MINERIA - ANM. </w:t>
            </w:r>
            <w:r w:rsidRPr="00C061C4">
              <w:rPr>
                <w:rFonts w:ascii="Arial" w:hAnsi="Arial" w:cs="Arial"/>
                <w:b/>
                <w:bCs/>
              </w:rPr>
              <w:t>1.2. Declaración de cumplimiento del marco normativo y limitaciones.</w:t>
            </w:r>
          </w:p>
          <w:p w14:paraId="2B148AD4" w14:textId="77777777" w:rsidR="00216DC0" w:rsidRPr="00C061C4" w:rsidRDefault="00216DC0" w:rsidP="00D4226B">
            <w:pPr>
              <w:pStyle w:val="Textoindependiente"/>
              <w:jc w:val="both"/>
              <w:rPr>
                <w:rFonts w:ascii="Arial" w:hAnsi="Arial" w:cs="Arial"/>
              </w:rPr>
            </w:pPr>
          </w:p>
          <w:p w14:paraId="4E1E9E50" w14:textId="77777777" w:rsidR="00216DC0" w:rsidRPr="00C061C4" w:rsidRDefault="00216DC0" w:rsidP="00D4226B">
            <w:pPr>
              <w:pStyle w:val="Textoindependiente"/>
              <w:jc w:val="both"/>
              <w:rPr>
                <w:rFonts w:ascii="Arial" w:hAnsi="Arial" w:cs="Arial"/>
              </w:rPr>
            </w:pPr>
            <w:r w:rsidRPr="00C061C4">
              <w:rPr>
                <w:rFonts w:ascii="Arial" w:hAnsi="Arial" w:cs="Arial"/>
                <w:b/>
                <w:bCs/>
                <w:u w:val="single"/>
              </w:rPr>
              <w:t>Teniendo en cuenta lo anterior, la ANM continua con el sistema de información financiera WEBSAFI ERP, debido a que el sistema SIIF Nación II, aún no cuenta, o no se ajusta a las necesidades de la Entidad, con los módulos de Tesorería; Regalías; Control de comisiones; Comisiones; Cartera; Cobro coactivo; Canon; Nómina; Inventario; Talento Humano; Radicador virtual de cuentas, entre otros</w:t>
            </w:r>
            <w:r w:rsidRPr="00C061C4">
              <w:rPr>
                <w:rFonts w:ascii="Arial" w:hAnsi="Arial" w:cs="Arial"/>
              </w:rPr>
              <w:t xml:space="preserve">. </w:t>
            </w:r>
          </w:p>
          <w:p w14:paraId="07AC3EDA" w14:textId="77777777" w:rsidR="00216DC0" w:rsidRPr="00C061C4" w:rsidRDefault="00216DC0" w:rsidP="00D4226B">
            <w:pPr>
              <w:pStyle w:val="Textoindependiente"/>
              <w:jc w:val="both"/>
              <w:rPr>
                <w:rFonts w:ascii="Arial" w:hAnsi="Arial" w:cs="Arial"/>
              </w:rPr>
            </w:pPr>
          </w:p>
          <w:p w14:paraId="75F3F839" w14:textId="77777777" w:rsidR="00216DC0" w:rsidRPr="00C061C4" w:rsidRDefault="00216DC0" w:rsidP="00D4226B">
            <w:pPr>
              <w:pStyle w:val="Textoindependiente"/>
              <w:jc w:val="both"/>
              <w:rPr>
                <w:rFonts w:ascii="Arial" w:hAnsi="Arial" w:cs="Arial"/>
              </w:rPr>
            </w:pPr>
            <w:r w:rsidRPr="00C061C4">
              <w:rPr>
                <w:rFonts w:ascii="Arial" w:hAnsi="Arial" w:cs="Arial"/>
              </w:rPr>
              <w:t xml:space="preserve">La Entidad cuenta con procesos y procedimientos estructurados, sin embargo, se debe seguir fortaleciendo las áreas fuentes, para que la información financiera que se reporte siga siendo analizada, conciliada y depurada con el fin de revelar información oportuna y veraz en los Estados Financieros; por lo tanto, se invita a todas las áreas misionales Vicepresidencia de seguimiento, control y Seguridad Minera, Puntos de Atención Regional, Cobro coactivo, de la Agencia Nacional de Minería, especial atención a la conciliación, depuración y gestión de los saldos de la cartera de la Entidad, teniendo en cuenta un mayor porcentaje en cartera con vencimiento superior a cinco años, de la cual parte de la cartera corresponde a la recibida de la anterior autoridad minera Servicio Geológico Colombiano, presentándose igualmente la posibilidad de riesgo de prescripción. </w:t>
            </w:r>
          </w:p>
          <w:p w14:paraId="2B86AA67" w14:textId="77777777" w:rsidR="00216DC0" w:rsidRPr="00C061C4" w:rsidRDefault="00216DC0" w:rsidP="00D4226B">
            <w:pPr>
              <w:pStyle w:val="Textoindependiente"/>
              <w:jc w:val="both"/>
              <w:rPr>
                <w:rFonts w:ascii="Arial" w:hAnsi="Arial" w:cs="Arial"/>
              </w:rPr>
            </w:pPr>
          </w:p>
          <w:p w14:paraId="68440975" w14:textId="77777777" w:rsidR="00216DC0" w:rsidRPr="00C061C4" w:rsidRDefault="00216DC0" w:rsidP="00D4226B">
            <w:pPr>
              <w:pStyle w:val="Textoindependiente"/>
              <w:jc w:val="both"/>
              <w:rPr>
                <w:rFonts w:ascii="Arial" w:hAnsi="Arial" w:cs="Arial"/>
              </w:rPr>
            </w:pPr>
            <w:r w:rsidRPr="00C061C4">
              <w:rPr>
                <w:rFonts w:ascii="Arial" w:hAnsi="Arial" w:cs="Arial"/>
                <w:b/>
                <w:bCs/>
                <w:u w:val="single"/>
              </w:rPr>
              <w:t>Una falencia en la estructura de la entidad consiste en que no se cuenta con Central de Cuentas</w:t>
            </w:r>
            <w:r w:rsidRPr="00C061C4">
              <w:rPr>
                <w:rFonts w:ascii="Arial" w:hAnsi="Arial" w:cs="Arial"/>
              </w:rPr>
              <w:t xml:space="preserve"> y estas actividades (Recepción, revisión, devolución, radicación, obligación y ajuste de obligaciones, atención a contratistas, entre otras) se tiene que asumir con personal de contabilidad; tampoco se cuenta con un grupo tributario, por tanto, lo correspondiente a la preparación y presentación de declaraciones y demás obligaciones tributarias a nivel nacional y territorial son asumidas por las mismas personas. </w:t>
            </w:r>
          </w:p>
          <w:p w14:paraId="152BB7C1" w14:textId="77777777" w:rsidR="00216DC0" w:rsidRPr="00C061C4" w:rsidRDefault="00216DC0" w:rsidP="00D4226B">
            <w:pPr>
              <w:pStyle w:val="Textoindependiente"/>
              <w:jc w:val="both"/>
              <w:rPr>
                <w:rFonts w:ascii="Arial" w:hAnsi="Arial" w:cs="Arial"/>
              </w:rPr>
            </w:pPr>
          </w:p>
          <w:p w14:paraId="49353051" w14:textId="77777777" w:rsidR="00216DC0" w:rsidRPr="00C061C4" w:rsidRDefault="00216DC0" w:rsidP="00D4226B">
            <w:pPr>
              <w:pStyle w:val="Textoindependiente"/>
              <w:jc w:val="both"/>
              <w:rPr>
                <w:rFonts w:ascii="Arial" w:hAnsi="Arial" w:cs="Arial"/>
              </w:rPr>
            </w:pPr>
            <w:r w:rsidRPr="00C061C4">
              <w:rPr>
                <w:rFonts w:ascii="Arial" w:hAnsi="Arial" w:cs="Arial"/>
              </w:rPr>
              <w:t xml:space="preserve">De otro lado, el grupo cuenta con tres personas de planta asignadas, y se cuenta con siete contratistas, con las dificultades que conlleva este tipo de vinculación, lo cual genera falta de continuidad en los procesos, reprocesos en capacitación y perdida del aprendizaje y experiencia ganados por los mismos, y debido a las demoras propias de la contratación no se cuenta en forma permanente con los apoyos correspondientes, cuando por ejemplo las obligaciones tributarias no tienen periodos de suspensión y los mismos cambios en el manejo presupuestal han implicado que para algunos contratos se deban hacer varias cuentas por pagar y varias obligaciones para realizar el pago mensual (Crecimiento de la cantidad de actividades frente al mismo o menor grupo de trabajo). </w:t>
            </w:r>
          </w:p>
          <w:p w14:paraId="188B7F07" w14:textId="77777777" w:rsidR="00216DC0" w:rsidRPr="00C061C4" w:rsidRDefault="00216DC0" w:rsidP="00D4226B">
            <w:pPr>
              <w:pStyle w:val="Textoindependiente"/>
              <w:jc w:val="both"/>
              <w:rPr>
                <w:rFonts w:ascii="Arial" w:hAnsi="Arial" w:cs="Arial"/>
              </w:rPr>
            </w:pPr>
          </w:p>
          <w:p w14:paraId="3A94DCBA" w14:textId="77777777" w:rsidR="00216DC0" w:rsidRPr="00C061C4" w:rsidRDefault="00216DC0" w:rsidP="00D4226B">
            <w:pPr>
              <w:pStyle w:val="Textoindependiente"/>
              <w:jc w:val="both"/>
              <w:rPr>
                <w:rFonts w:ascii="Arial" w:hAnsi="Arial" w:cs="Arial"/>
              </w:rPr>
            </w:pPr>
            <w:r w:rsidRPr="00C061C4">
              <w:rPr>
                <w:rFonts w:ascii="Arial" w:hAnsi="Arial" w:cs="Arial"/>
                <w:b/>
                <w:bCs/>
                <w:u w:val="single"/>
              </w:rPr>
              <w:t>Lo anterior se constituye en un riesgo inductor de incumplimiento de obligaciones por parte de la Agencia</w:t>
            </w:r>
            <w:r w:rsidRPr="00C061C4">
              <w:rPr>
                <w:rFonts w:ascii="Arial" w:hAnsi="Arial" w:cs="Arial"/>
              </w:rPr>
              <w:t xml:space="preserve">, en razón a que lo concerniente a central de cuentas consume la mayor parte del tiempo del personal, dejando de lado los compromisos que implica la permanente revisión, conciliación, análisis, </w:t>
            </w:r>
            <w:r w:rsidRPr="00C061C4">
              <w:rPr>
                <w:rFonts w:ascii="Arial" w:hAnsi="Arial" w:cs="Arial"/>
              </w:rPr>
              <w:lastRenderedPageBreak/>
              <w:t>ajustes y demás tratamiento de la información contable, necesario para emitir unos estados financieros que cumplan con los requisitos legales.</w:t>
            </w:r>
          </w:p>
          <w:p w14:paraId="7BE49359" w14:textId="77777777" w:rsidR="00216DC0" w:rsidRPr="00C061C4" w:rsidRDefault="00216DC0" w:rsidP="00D4226B">
            <w:pPr>
              <w:pStyle w:val="Textoindependiente"/>
              <w:jc w:val="both"/>
              <w:rPr>
                <w:rFonts w:ascii="Arial" w:hAnsi="Arial" w:cs="Arial"/>
              </w:rPr>
            </w:pPr>
          </w:p>
          <w:p w14:paraId="0AF5BDFD" w14:textId="77777777" w:rsidR="00216DC0" w:rsidRPr="00C061C4" w:rsidRDefault="00216DC0" w:rsidP="00D4226B">
            <w:pPr>
              <w:pStyle w:val="Textoindependiente"/>
              <w:jc w:val="both"/>
              <w:rPr>
                <w:rFonts w:ascii="Arial" w:hAnsi="Arial" w:cs="Arial"/>
              </w:rPr>
            </w:pPr>
            <w:r w:rsidRPr="00C061C4">
              <w:rPr>
                <w:rFonts w:ascii="Arial" w:hAnsi="Arial" w:cs="Arial"/>
                <w:b/>
                <w:bCs/>
                <w:u w:val="single"/>
              </w:rPr>
              <w:t>En cuanto a la información exógena que se debe reportar a la Dirección de Impuestos y Aduanas Nacionales, es altamente susceptible de error</w:t>
            </w:r>
            <w:r w:rsidRPr="00C061C4">
              <w:rPr>
                <w:rFonts w:ascii="Arial" w:hAnsi="Arial" w:cs="Arial"/>
              </w:rPr>
              <w:t xml:space="preserve">, por cuanto la construcción de archivos se realiza de forma manual y extrayendo los datos de diferentes fuentes, lo cual dificulta su comparación y validación. </w:t>
            </w:r>
          </w:p>
          <w:p w14:paraId="108641BE" w14:textId="77777777" w:rsidR="00216DC0" w:rsidRPr="00C061C4" w:rsidRDefault="00216DC0" w:rsidP="00D4226B">
            <w:pPr>
              <w:pStyle w:val="Textoindependiente"/>
              <w:jc w:val="both"/>
              <w:rPr>
                <w:rFonts w:ascii="Arial" w:hAnsi="Arial" w:cs="Arial"/>
              </w:rPr>
            </w:pPr>
          </w:p>
          <w:p w14:paraId="0994DDA9" w14:textId="77777777" w:rsidR="00216DC0" w:rsidRPr="00C061C4" w:rsidRDefault="00216DC0" w:rsidP="00D4226B">
            <w:pPr>
              <w:pStyle w:val="Textoindependiente"/>
              <w:jc w:val="both"/>
              <w:rPr>
                <w:rFonts w:ascii="Arial" w:hAnsi="Arial" w:cs="Arial"/>
              </w:rPr>
            </w:pPr>
            <w:r w:rsidRPr="00C061C4">
              <w:rPr>
                <w:rFonts w:ascii="Arial" w:hAnsi="Arial" w:cs="Arial"/>
                <w:b/>
                <w:bCs/>
                <w:u w:val="single"/>
              </w:rPr>
              <w:t>En lo referente a la seguridad de los datos, la infraestructura tecnológica de los aplicativos de apoyo es muy sensible a alteración de los mismos</w:t>
            </w:r>
            <w:r w:rsidRPr="00C061C4">
              <w:rPr>
                <w:rFonts w:ascii="Arial" w:hAnsi="Arial" w:cs="Arial"/>
              </w:rPr>
              <w:t xml:space="preserve">, por cuanto no cuenta con validaciones ante bases de datos como la Dian y Registraduría, que evite el cambio de información por parte de los usuarios, incluso externos de los mismos. </w:t>
            </w:r>
          </w:p>
          <w:p w14:paraId="2F084262" w14:textId="77777777" w:rsidR="00216DC0" w:rsidRPr="00C061C4" w:rsidRDefault="00216DC0" w:rsidP="00D4226B">
            <w:pPr>
              <w:pStyle w:val="Textoindependiente"/>
              <w:jc w:val="both"/>
              <w:rPr>
                <w:rFonts w:ascii="Arial" w:hAnsi="Arial" w:cs="Arial"/>
              </w:rPr>
            </w:pPr>
          </w:p>
          <w:p w14:paraId="6AE786F6" w14:textId="77777777" w:rsidR="00216DC0" w:rsidRPr="00C061C4" w:rsidRDefault="00216DC0" w:rsidP="00D4226B">
            <w:pPr>
              <w:pStyle w:val="Textoindependiente"/>
              <w:jc w:val="both"/>
              <w:rPr>
                <w:rFonts w:ascii="Arial" w:hAnsi="Arial" w:cs="Arial"/>
              </w:rPr>
            </w:pPr>
            <w:r w:rsidRPr="00C061C4">
              <w:rPr>
                <w:rFonts w:ascii="Arial" w:hAnsi="Arial" w:cs="Arial"/>
                <w:b/>
                <w:bCs/>
                <w:u w:val="single"/>
              </w:rPr>
              <w:t>Aunado a lo anterior, la infraestructura tecnológica asignada a los colaboradores de contabilidad no cuenta con la calidad y requisitos que exige la información que se debe procesar</w:t>
            </w:r>
            <w:r w:rsidRPr="00C061C4">
              <w:rPr>
                <w:rFonts w:ascii="Arial" w:hAnsi="Arial" w:cs="Arial"/>
              </w:rPr>
              <w:t>.</w:t>
            </w:r>
          </w:p>
        </w:tc>
      </w:tr>
      <w:tr w:rsidR="00216DC0" w:rsidRPr="00E232C9" w14:paraId="218342E2" w14:textId="77777777" w:rsidTr="00D4226B">
        <w:trPr>
          <w:jc w:val="center"/>
        </w:trPr>
        <w:tc>
          <w:tcPr>
            <w:tcW w:w="988" w:type="dxa"/>
          </w:tcPr>
          <w:p w14:paraId="36E19E89" w14:textId="77777777" w:rsidR="00216DC0" w:rsidRDefault="00216DC0" w:rsidP="00D4226B">
            <w:pPr>
              <w:tabs>
                <w:tab w:val="left" w:pos="1920"/>
              </w:tabs>
              <w:ind w:right="-108"/>
              <w:jc w:val="center"/>
              <w:rPr>
                <w:rFonts w:ascii="Arial" w:hAnsi="Arial" w:cs="Arial"/>
                <w:b/>
                <w:color w:val="FF0000"/>
              </w:rPr>
            </w:pPr>
            <w:r w:rsidRPr="00524B2B">
              <w:rPr>
                <w:rFonts w:ascii="Arial" w:hAnsi="Arial" w:cs="Arial"/>
                <w:b/>
              </w:rPr>
              <w:lastRenderedPageBreak/>
              <w:t>45</w:t>
            </w:r>
          </w:p>
        </w:tc>
        <w:tc>
          <w:tcPr>
            <w:tcW w:w="9497" w:type="dxa"/>
          </w:tcPr>
          <w:p w14:paraId="088BAE36" w14:textId="77777777" w:rsidR="00216DC0" w:rsidRPr="00740954" w:rsidRDefault="00216DC0" w:rsidP="00D4226B">
            <w:pPr>
              <w:pStyle w:val="Textoindependiente"/>
              <w:jc w:val="both"/>
              <w:rPr>
                <w:rFonts w:ascii="Arial" w:hAnsi="Arial" w:cs="Arial"/>
                <w:b/>
                <w:bCs/>
              </w:rPr>
            </w:pPr>
            <w:r w:rsidRPr="00740954">
              <w:rPr>
                <w:rFonts w:ascii="Arial" w:hAnsi="Arial" w:cs="Arial"/>
                <w:b/>
                <w:lang w:val="es-MX"/>
              </w:rPr>
              <w:t xml:space="preserve">SUPERINTENDENCIA DE LA ECONOMIA SOLIDARIA - SUPERSOLIDARIA. </w:t>
            </w:r>
            <w:r w:rsidRPr="00740954">
              <w:rPr>
                <w:rFonts w:ascii="Arial" w:hAnsi="Arial" w:cs="Arial"/>
                <w:b/>
                <w:bCs/>
              </w:rPr>
              <w:t>.3 LIMITACIONES Y DEFICIENCIAS GENERALES DE TIPO OPERATIVO O ADMINISTRATIVO</w:t>
            </w:r>
          </w:p>
          <w:p w14:paraId="71A7092F" w14:textId="77777777" w:rsidR="00216DC0" w:rsidRPr="00740954" w:rsidRDefault="00216DC0" w:rsidP="00D4226B">
            <w:pPr>
              <w:pStyle w:val="Textoindependiente"/>
              <w:jc w:val="both"/>
              <w:rPr>
                <w:rFonts w:ascii="Arial" w:hAnsi="Arial" w:cs="Arial"/>
                <w:b/>
                <w:bCs/>
              </w:rPr>
            </w:pPr>
          </w:p>
          <w:p w14:paraId="3018396D" w14:textId="77777777" w:rsidR="00216DC0" w:rsidRPr="00740954" w:rsidRDefault="00216DC0" w:rsidP="00D4226B">
            <w:pPr>
              <w:pStyle w:val="Textoindependiente"/>
              <w:jc w:val="both"/>
              <w:rPr>
                <w:rFonts w:ascii="Arial" w:hAnsi="Arial" w:cs="Arial"/>
              </w:rPr>
            </w:pPr>
            <w:r w:rsidRPr="00740954">
              <w:rPr>
                <w:rFonts w:ascii="Arial" w:hAnsi="Arial" w:cs="Arial"/>
                <w:b/>
                <w:bCs/>
              </w:rPr>
              <w:t xml:space="preserve">Falta de sistemas de información integrados: </w:t>
            </w:r>
            <w:r w:rsidRPr="00740954">
              <w:rPr>
                <w:rFonts w:ascii="Arial" w:hAnsi="Arial" w:cs="Arial"/>
              </w:rPr>
              <w:t xml:space="preserve">La Superintendencia de la Economía Solidaria forma parte de entidades del nivel nacional que usan el Sistema Integrado de Información Financiera (SIIF) Nación, el cual garantiza la integridad de la contabilidad presupuestal frente a la contabilidad financiera. </w:t>
            </w:r>
          </w:p>
          <w:p w14:paraId="2C5FCD10" w14:textId="77777777" w:rsidR="00216DC0" w:rsidRPr="00740954" w:rsidRDefault="00216DC0" w:rsidP="00D4226B">
            <w:pPr>
              <w:pStyle w:val="Textoindependiente"/>
              <w:jc w:val="both"/>
              <w:rPr>
                <w:rFonts w:ascii="Arial" w:hAnsi="Arial" w:cs="Arial"/>
              </w:rPr>
            </w:pPr>
          </w:p>
          <w:p w14:paraId="724A96B5" w14:textId="77777777" w:rsidR="00216DC0" w:rsidRPr="00740954" w:rsidRDefault="00216DC0" w:rsidP="00D4226B">
            <w:pPr>
              <w:pStyle w:val="Textoindependiente"/>
              <w:jc w:val="both"/>
              <w:rPr>
                <w:rFonts w:ascii="Arial" w:hAnsi="Arial" w:cs="Arial"/>
              </w:rPr>
            </w:pPr>
            <w:r w:rsidRPr="00740954">
              <w:rPr>
                <w:rFonts w:ascii="Arial" w:hAnsi="Arial" w:cs="Arial"/>
              </w:rPr>
              <w:t xml:space="preserve">Dicho sistema aún no dispone de los módulos de liquidación y administración de las contribuciones en tasas y multas, bienes e inventarios, nómina y prestaciones, trámite de cuentas de proveedores y contratistas lo cual obliga a manejar sistemas alternos de gestión, advirtiendo que no se cuenta con las funcionalidades ni aplicaciones de vanguardia, que ayuden a integrar los sistemas de información auxiliares de la entidad con el SIIF Nación y menos con los subsistemas internos, lo cual limita la oportunidad y eficacia de seguimiento a la traza contable de las operaciones relacionadas con el reconocimiento de los hechos derivados de tales subsistemas. </w:t>
            </w:r>
          </w:p>
          <w:p w14:paraId="32848AED" w14:textId="77777777" w:rsidR="00216DC0" w:rsidRPr="00740954" w:rsidRDefault="00216DC0" w:rsidP="00D4226B">
            <w:pPr>
              <w:pStyle w:val="Textoindependiente"/>
              <w:jc w:val="both"/>
              <w:rPr>
                <w:rFonts w:ascii="Arial" w:hAnsi="Arial" w:cs="Arial"/>
                <w:b/>
                <w:bCs/>
              </w:rPr>
            </w:pPr>
          </w:p>
          <w:p w14:paraId="21D2729A" w14:textId="77777777" w:rsidR="00216DC0" w:rsidRPr="00740954" w:rsidRDefault="00216DC0" w:rsidP="00D4226B">
            <w:pPr>
              <w:pStyle w:val="Textoindependiente"/>
              <w:jc w:val="both"/>
              <w:rPr>
                <w:rFonts w:ascii="Arial" w:hAnsi="Arial" w:cs="Arial"/>
              </w:rPr>
            </w:pPr>
            <w:r w:rsidRPr="00740954">
              <w:rPr>
                <w:rFonts w:ascii="Arial" w:hAnsi="Arial" w:cs="Arial"/>
                <w:b/>
                <w:bCs/>
              </w:rPr>
              <w:t xml:space="preserve">Efectos longitudinales: </w:t>
            </w:r>
            <w:r w:rsidRPr="00740954">
              <w:rPr>
                <w:rFonts w:ascii="Arial" w:hAnsi="Arial" w:cs="Arial"/>
              </w:rPr>
              <w:t>El tiempo y el recurso humano, en la mayoría de los casos, bien limitado, por ejemplo, a causa de las fechas de vencimiento en informes legales, el volumen de operaciones en paralelo con las consultas previas a las principales bases de datos y subsistemas que obligan a desplazar funciones y compromisos más allá de las limitaciones del recurso disponible.</w:t>
            </w:r>
          </w:p>
        </w:tc>
      </w:tr>
      <w:tr w:rsidR="00216DC0" w:rsidRPr="00E232C9" w14:paraId="2496EB31" w14:textId="77777777" w:rsidTr="00D4226B">
        <w:trPr>
          <w:jc w:val="center"/>
        </w:trPr>
        <w:tc>
          <w:tcPr>
            <w:tcW w:w="988" w:type="dxa"/>
          </w:tcPr>
          <w:p w14:paraId="43A98FC6" w14:textId="77777777" w:rsidR="00216DC0" w:rsidRDefault="00216DC0" w:rsidP="00D4226B">
            <w:pPr>
              <w:tabs>
                <w:tab w:val="left" w:pos="1920"/>
              </w:tabs>
              <w:ind w:right="-108"/>
              <w:jc w:val="center"/>
              <w:rPr>
                <w:rFonts w:ascii="Arial" w:hAnsi="Arial" w:cs="Arial"/>
                <w:b/>
                <w:color w:val="FF0000"/>
              </w:rPr>
            </w:pPr>
            <w:r w:rsidRPr="00524B2B">
              <w:rPr>
                <w:rFonts w:ascii="Arial" w:hAnsi="Arial" w:cs="Arial"/>
                <w:b/>
              </w:rPr>
              <w:t>46</w:t>
            </w:r>
          </w:p>
        </w:tc>
        <w:tc>
          <w:tcPr>
            <w:tcW w:w="9497" w:type="dxa"/>
          </w:tcPr>
          <w:p w14:paraId="5AFD7732" w14:textId="77777777" w:rsidR="00216DC0" w:rsidRPr="006432A3" w:rsidRDefault="00216DC0" w:rsidP="00D4226B">
            <w:pPr>
              <w:pStyle w:val="Textoindependiente"/>
              <w:ind w:right="-50"/>
              <w:jc w:val="both"/>
              <w:rPr>
                <w:rFonts w:ascii="Arial" w:hAnsi="Arial" w:cs="Arial"/>
              </w:rPr>
            </w:pPr>
            <w:r w:rsidRPr="006432A3">
              <w:rPr>
                <w:rFonts w:ascii="Arial" w:hAnsi="Arial" w:cs="Arial"/>
                <w:b/>
                <w:lang w:val="es-MX"/>
              </w:rPr>
              <w:t xml:space="preserve">CORPORACIÓN AUTÓNOMA REGIONAL DEL GUAVIO – CORPOGUAVIO. </w:t>
            </w:r>
            <w:r w:rsidRPr="006432A3">
              <w:rPr>
                <w:rFonts w:ascii="Arial" w:hAnsi="Arial" w:cs="Arial"/>
                <w:b/>
                <w:bCs/>
              </w:rPr>
              <w:t xml:space="preserve">-2.4. Limitaciones y deficiencias para la preparación de los Estados Financieros. </w:t>
            </w:r>
            <w:r w:rsidRPr="006432A3">
              <w:rPr>
                <w:rFonts w:ascii="Arial" w:hAnsi="Arial" w:cs="Arial"/>
              </w:rPr>
              <w:t>La Corporación Autónoma Regional del Guavio “CORPOGUAVIO”, para la preparación de los Estados Financieros de la vigencia 2024 presenta las siguientes limitaciones y deficiencias.</w:t>
            </w:r>
          </w:p>
          <w:p w14:paraId="48D291F4" w14:textId="77777777" w:rsidR="00216DC0" w:rsidRPr="006432A3" w:rsidRDefault="00216DC0" w:rsidP="00D4226B">
            <w:pPr>
              <w:pStyle w:val="Textoindependiente"/>
              <w:ind w:right="-50"/>
              <w:jc w:val="both"/>
              <w:rPr>
                <w:rFonts w:ascii="Arial" w:hAnsi="Arial" w:cs="Arial"/>
              </w:rPr>
            </w:pPr>
          </w:p>
          <w:p w14:paraId="513620D8" w14:textId="77777777" w:rsidR="00216DC0" w:rsidRPr="006432A3" w:rsidRDefault="00216DC0" w:rsidP="00AE3935">
            <w:pPr>
              <w:pStyle w:val="Textoindependiente"/>
              <w:numPr>
                <w:ilvl w:val="0"/>
                <w:numId w:val="77"/>
              </w:numPr>
              <w:ind w:right="-50"/>
              <w:jc w:val="both"/>
              <w:rPr>
                <w:rFonts w:ascii="Arial" w:hAnsi="Arial" w:cs="Arial"/>
              </w:rPr>
            </w:pPr>
            <w:r w:rsidRPr="006432A3">
              <w:rPr>
                <w:rFonts w:ascii="Arial" w:hAnsi="Arial" w:cs="Arial"/>
              </w:rPr>
              <w:t>Se presentaron varios errores con el software utilizado, en el manejo de la información financiera y contable PCTG implementado por la Corporación, al momento de reconocer algunos hechos económicos en los procesos de parametrización contable.</w:t>
            </w:r>
          </w:p>
        </w:tc>
      </w:tr>
      <w:tr w:rsidR="00216DC0" w:rsidRPr="00E232C9" w14:paraId="73AE10B3" w14:textId="77777777" w:rsidTr="00D4226B">
        <w:trPr>
          <w:jc w:val="center"/>
        </w:trPr>
        <w:tc>
          <w:tcPr>
            <w:tcW w:w="988" w:type="dxa"/>
          </w:tcPr>
          <w:p w14:paraId="4CC97FC8" w14:textId="77777777" w:rsidR="00216DC0" w:rsidRDefault="00216DC0" w:rsidP="00D4226B">
            <w:pPr>
              <w:tabs>
                <w:tab w:val="left" w:pos="1920"/>
              </w:tabs>
              <w:ind w:right="-108"/>
              <w:jc w:val="center"/>
              <w:rPr>
                <w:rFonts w:ascii="Arial" w:hAnsi="Arial" w:cs="Arial"/>
                <w:b/>
                <w:color w:val="FF0000"/>
              </w:rPr>
            </w:pPr>
            <w:r w:rsidRPr="00524B2B">
              <w:rPr>
                <w:rFonts w:ascii="Arial" w:hAnsi="Arial" w:cs="Arial"/>
                <w:b/>
              </w:rPr>
              <w:t>47</w:t>
            </w:r>
          </w:p>
        </w:tc>
        <w:tc>
          <w:tcPr>
            <w:tcW w:w="9497" w:type="dxa"/>
          </w:tcPr>
          <w:p w14:paraId="6937F259" w14:textId="77777777" w:rsidR="00216DC0" w:rsidRPr="00BE4EAD" w:rsidRDefault="00216DC0" w:rsidP="00D4226B">
            <w:pPr>
              <w:jc w:val="both"/>
              <w:rPr>
                <w:rFonts w:ascii="Arial" w:hAnsi="Arial" w:cs="Arial"/>
              </w:rPr>
            </w:pPr>
            <w:r w:rsidRPr="00BE4EAD">
              <w:rPr>
                <w:rFonts w:ascii="Arial" w:hAnsi="Arial" w:cs="Arial"/>
                <w:b/>
                <w:lang w:val="es-MX"/>
              </w:rPr>
              <w:t xml:space="preserve">E.S.E. CENTRO DERMATOLÓGICO FEDERÍCO LLERAS ACOSTA. </w:t>
            </w:r>
            <w:r w:rsidRPr="00BE4EAD">
              <w:rPr>
                <w:rFonts w:ascii="Arial" w:hAnsi="Arial" w:cs="Arial"/>
              </w:rPr>
              <w:t>De las Notas a los Estados Financieros, retomamos:</w:t>
            </w:r>
          </w:p>
          <w:p w14:paraId="2259203E" w14:textId="77777777" w:rsidR="00216DC0" w:rsidRPr="00BE4EAD" w:rsidRDefault="00216DC0" w:rsidP="00D4226B">
            <w:pPr>
              <w:pStyle w:val="Textoindependiente"/>
              <w:ind w:right="-50"/>
              <w:jc w:val="both"/>
              <w:rPr>
                <w:rFonts w:ascii="Arial" w:hAnsi="Arial" w:cs="Arial"/>
              </w:rPr>
            </w:pPr>
          </w:p>
          <w:p w14:paraId="5036B12E" w14:textId="77777777" w:rsidR="00216DC0" w:rsidRPr="00BE4EAD" w:rsidRDefault="00216DC0" w:rsidP="00D4226B">
            <w:pPr>
              <w:pStyle w:val="Textoindependiente"/>
              <w:ind w:right="-50"/>
              <w:jc w:val="both"/>
              <w:rPr>
                <w:rFonts w:ascii="Arial" w:hAnsi="Arial" w:cs="Arial"/>
                <w:b/>
                <w:bCs/>
              </w:rPr>
            </w:pPr>
            <w:r w:rsidRPr="00BE4EAD">
              <w:rPr>
                <w:rFonts w:ascii="Arial" w:hAnsi="Arial" w:cs="Arial"/>
                <w:b/>
                <w:bCs/>
              </w:rPr>
              <w:t>1.2. Declaración de Cumplimiento del Marco Normativo y Limitaciones</w:t>
            </w:r>
          </w:p>
          <w:p w14:paraId="5D381690" w14:textId="77777777" w:rsidR="00216DC0" w:rsidRPr="00BE4EAD" w:rsidRDefault="00216DC0" w:rsidP="00D4226B">
            <w:pPr>
              <w:pStyle w:val="Textoindependiente"/>
              <w:ind w:right="-50"/>
              <w:jc w:val="both"/>
              <w:rPr>
                <w:rFonts w:ascii="Arial" w:hAnsi="Arial" w:cs="Arial"/>
                <w:b/>
                <w:bCs/>
              </w:rPr>
            </w:pPr>
          </w:p>
          <w:p w14:paraId="4BC67EE2" w14:textId="77777777" w:rsidR="00216DC0" w:rsidRPr="00BE4EAD" w:rsidRDefault="00216DC0" w:rsidP="00D4226B">
            <w:pPr>
              <w:pStyle w:val="Textoindependiente"/>
              <w:ind w:right="-50"/>
              <w:jc w:val="both"/>
              <w:rPr>
                <w:rFonts w:ascii="Arial" w:hAnsi="Arial" w:cs="Arial"/>
                <w:b/>
                <w:bCs/>
              </w:rPr>
            </w:pPr>
            <w:r w:rsidRPr="00BE4EAD">
              <w:rPr>
                <w:rFonts w:ascii="Arial" w:hAnsi="Arial" w:cs="Arial"/>
                <w:b/>
                <w:bCs/>
              </w:rPr>
              <w:t>Limitaciones:</w:t>
            </w:r>
          </w:p>
          <w:p w14:paraId="18FE8583" w14:textId="77777777" w:rsidR="00216DC0" w:rsidRPr="00BE4EAD" w:rsidRDefault="00216DC0" w:rsidP="00D4226B">
            <w:pPr>
              <w:pStyle w:val="Textoindependiente"/>
              <w:ind w:right="-50"/>
              <w:jc w:val="both"/>
              <w:rPr>
                <w:rFonts w:ascii="Arial" w:hAnsi="Arial" w:cs="Arial"/>
              </w:rPr>
            </w:pPr>
          </w:p>
          <w:p w14:paraId="7754AB28" w14:textId="77777777" w:rsidR="00216DC0" w:rsidRPr="00BE4EAD" w:rsidRDefault="00216DC0" w:rsidP="00D4226B">
            <w:pPr>
              <w:pStyle w:val="Textoindependiente"/>
              <w:ind w:right="-50"/>
              <w:jc w:val="both"/>
              <w:rPr>
                <w:rFonts w:ascii="Arial" w:hAnsi="Arial" w:cs="Arial"/>
              </w:rPr>
            </w:pPr>
            <w:r w:rsidRPr="00BE4EAD">
              <w:rPr>
                <w:rFonts w:ascii="Arial" w:hAnsi="Arial" w:cs="Arial"/>
              </w:rPr>
              <w:t>Bajo la perspectiva del mejoramiento continuo del proceso de sistemas de información y las diferentes necesidades que surgen desde el componente técnico - operativo y normativo referente a las Tecnologías de la Información y la Comunicación, El Centro Dermatológico Federico Lleras Acosta, continua en el fortalecimiento de las herramientas tecnológicas para una adecuada optimización de tiempos en procesos internos que permitan trasladar esos beneficios en la calidad de la prestación de nuestros servicios a los usuarios. Por lo que se han planteado diferentes mesas de trabajo para identificar y generar un diagnóstico general sobre las debilidades que presenta la entidad, con el fin de generar un plan de acción orientado a mitigar los diferentes riesgos institucionales en la ejecución de procesos y procedimientos, identificando entre otros lo siguiente:</w:t>
            </w:r>
          </w:p>
          <w:p w14:paraId="0637230F" w14:textId="77777777" w:rsidR="00216DC0" w:rsidRPr="00BE4EAD" w:rsidRDefault="00216DC0" w:rsidP="00D4226B">
            <w:pPr>
              <w:pStyle w:val="Textoindependiente"/>
              <w:ind w:right="-50"/>
              <w:jc w:val="both"/>
              <w:rPr>
                <w:rFonts w:ascii="Arial" w:hAnsi="Arial" w:cs="Arial"/>
              </w:rPr>
            </w:pPr>
          </w:p>
          <w:p w14:paraId="0C489DF1" w14:textId="77777777" w:rsidR="00216DC0" w:rsidRPr="00BE4EAD" w:rsidRDefault="00216DC0" w:rsidP="00AE3935">
            <w:pPr>
              <w:pStyle w:val="Textoindependiente"/>
              <w:numPr>
                <w:ilvl w:val="0"/>
                <w:numId w:val="78"/>
              </w:numPr>
              <w:ind w:right="-50"/>
              <w:jc w:val="both"/>
              <w:rPr>
                <w:rFonts w:ascii="Arial" w:hAnsi="Arial" w:cs="Arial"/>
              </w:rPr>
            </w:pPr>
            <w:r w:rsidRPr="00BE4EAD">
              <w:rPr>
                <w:rFonts w:ascii="Arial" w:hAnsi="Arial" w:cs="Arial"/>
              </w:rPr>
              <w:lastRenderedPageBreak/>
              <w:t>El sistema de información DGH, requiere un fortalecimiento en la parametrización y generación de reportes en la ejecución misional, administrativa y financiera que permita optimizar los tiempos en la ejecución de procesos y de algunos procedimientos que se llevan actualmente de manera manual con un control formulado mediante hojas de cálculo.</w:t>
            </w:r>
          </w:p>
          <w:p w14:paraId="58DFCF76" w14:textId="77777777" w:rsidR="00216DC0" w:rsidRPr="00BE4EAD" w:rsidRDefault="00216DC0" w:rsidP="00D4226B">
            <w:pPr>
              <w:pStyle w:val="Textoindependiente"/>
              <w:ind w:right="-50"/>
              <w:jc w:val="both"/>
              <w:rPr>
                <w:rFonts w:ascii="Arial" w:hAnsi="Arial" w:cs="Arial"/>
              </w:rPr>
            </w:pPr>
          </w:p>
          <w:p w14:paraId="1D26C274" w14:textId="77777777" w:rsidR="00216DC0" w:rsidRPr="00BE4EAD" w:rsidRDefault="00216DC0" w:rsidP="00AE3935">
            <w:pPr>
              <w:pStyle w:val="Textoindependiente"/>
              <w:numPr>
                <w:ilvl w:val="0"/>
                <w:numId w:val="78"/>
              </w:numPr>
              <w:ind w:right="-50"/>
              <w:jc w:val="both"/>
              <w:rPr>
                <w:rFonts w:ascii="Arial" w:hAnsi="Arial" w:cs="Arial"/>
              </w:rPr>
            </w:pPr>
            <w:r w:rsidRPr="00BE4EAD">
              <w:rPr>
                <w:rFonts w:ascii="Arial" w:hAnsi="Arial" w:cs="Arial"/>
              </w:rPr>
              <w:t>Actualización en los Clúster de la Entidad. La Dirección se encuentra gestionando recursos financieros ante el Ministerio de Salud y Protección Social en aras de ejecutar el proyecto que permita la renovación de los servidores actuales que participan en las cargas de trabajo de la Entidad con la alianza estratégica de Microsoft.</w:t>
            </w:r>
          </w:p>
          <w:p w14:paraId="72FE94C9" w14:textId="77777777" w:rsidR="00216DC0" w:rsidRPr="00BE4EAD" w:rsidRDefault="00216DC0" w:rsidP="00D4226B">
            <w:pPr>
              <w:pStyle w:val="Textoindependiente"/>
              <w:ind w:right="-50"/>
              <w:jc w:val="both"/>
              <w:rPr>
                <w:rFonts w:ascii="Arial" w:hAnsi="Arial" w:cs="Arial"/>
              </w:rPr>
            </w:pPr>
          </w:p>
          <w:p w14:paraId="2B9EC926" w14:textId="77777777" w:rsidR="00216DC0" w:rsidRPr="00BE4EAD" w:rsidRDefault="00216DC0" w:rsidP="00AE3935">
            <w:pPr>
              <w:pStyle w:val="Textoindependiente"/>
              <w:numPr>
                <w:ilvl w:val="0"/>
                <w:numId w:val="78"/>
              </w:numPr>
              <w:ind w:right="-50"/>
              <w:jc w:val="both"/>
              <w:rPr>
                <w:rFonts w:ascii="Arial" w:hAnsi="Arial" w:cs="Arial"/>
              </w:rPr>
            </w:pPr>
            <w:r w:rsidRPr="00BE4EAD">
              <w:rPr>
                <w:rFonts w:ascii="Arial" w:hAnsi="Arial" w:cs="Arial"/>
              </w:rPr>
              <w:t>La renovación de equipos de cómputo que se adelantan mediante las gestiones que realiza la Oficina de Docencia e Investigación a través de convenios concertados con Universidades para fortalecer la calidad de la prestación del servicio brindando un mejoramiento en las instalaciones de la Entidad para los estudiantes que realizan sus pasantías.</w:t>
            </w:r>
          </w:p>
          <w:p w14:paraId="05978077" w14:textId="77777777" w:rsidR="00216DC0" w:rsidRPr="00BE4EAD" w:rsidRDefault="00216DC0" w:rsidP="00D4226B">
            <w:pPr>
              <w:pStyle w:val="Textoindependiente"/>
              <w:ind w:right="-50"/>
              <w:jc w:val="both"/>
              <w:rPr>
                <w:rFonts w:ascii="Arial" w:hAnsi="Arial" w:cs="Arial"/>
              </w:rPr>
            </w:pPr>
          </w:p>
          <w:p w14:paraId="2027F78D" w14:textId="77777777" w:rsidR="00216DC0" w:rsidRPr="00BE4EAD" w:rsidRDefault="00216DC0" w:rsidP="00AE3935">
            <w:pPr>
              <w:pStyle w:val="Textoindependiente"/>
              <w:numPr>
                <w:ilvl w:val="0"/>
                <w:numId w:val="78"/>
              </w:numPr>
              <w:ind w:right="-50"/>
              <w:jc w:val="both"/>
              <w:rPr>
                <w:rFonts w:ascii="Arial" w:hAnsi="Arial" w:cs="Arial"/>
              </w:rPr>
            </w:pPr>
            <w:r w:rsidRPr="00BE4EAD">
              <w:rPr>
                <w:rFonts w:ascii="Arial" w:hAnsi="Arial" w:cs="Arial"/>
              </w:rPr>
              <w:t>Durante la vigencia 2024, tuvimos el reto de buscar alternativas que permitan mejorar la calidad del servicio de internet, en diferentes ocasiones prescindimos del servicio por el alto riesgo de vandalismo en el que está expuesto la zona, por lo cual, la Entidad ha concertado con nuevos aliados estratégicos el suministro del servicio con un plan de contingencia que reaccione a las necesidades de nuestra E.S.E.</w:t>
            </w:r>
          </w:p>
          <w:p w14:paraId="3850970B" w14:textId="77777777" w:rsidR="00216DC0" w:rsidRPr="00BE4EAD" w:rsidRDefault="00216DC0" w:rsidP="00D4226B">
            <w:pPr>
              <w:pStyle w:val="Textoindependiente"/>
              <w:ind w:right="-50"/>
              <w:jc w:val="both"/>
              <w:rPr>
                <w:rFonts w:ascii="Arial" w:hAnsi="Arial" w:cs="Arial"/>
              </w:rPr>
            </w:pPr>
          </w:p>
          <w:p w14:paraId="06BF4B07" w14:textId="77777777" w:rsidR="00216DC0" w:rsidRPr="00BE4EAD" w:rsidRDefault="00216DC0" w:rsidP="00AE3935">
            <w:pPr>
              <w:pStyle w:val="Textoindependiente"/>
              <w:numPr>
                <w:ilvl w:val="0"/>
                <w:numId w:val="78"/>
              </w:numPr>
              <w:ind w:right="-50"/>
              <w:jc w:val="both"/>
              <w:rPr>
                <w:rFonts w:ascii="Arial" w:hAnsi="Arial" w:cs="Arial"/>
              </w:rPr>
            </w:pPr>
            <w:r w:rsidRPr="00BE4EAD">
              <w:rPr>
                <w:rFonts w:ascii="Arial" w:hAnsi="Arial" w:cs="Arial"/>
              </w:rPr>
              <w:t>En la vigencia 2024, se asignó un presupuesto para el bienestar y capacitación, el cual se ejecutó el 0.06%. La dirección, en conjunto con Talento Humano se encuentran en la búsqueda de nuevas alternativas que permitan fortalecer la capacitación continua de nuestros colaboradores en aras de ofrecer una mayor calidad en la prestación de nuestro portafolio de servicios y en el análisis, preparación y presentación de informes al cliente externo e interno.</w:t>
            </w:r>
          </w:p>
        </w:tc>
      </w:tr>
      <w:tr w:rsidR="00216DC0" w:rsidRPr="00E232C9" w14:paraId="7ED63EA1" w14:textId="77777777" w:rsidTr="00D4226B">
        <w:trPr>
          <w:jc w:val="center"/>
        </w:trPr>
        <w:tc>
          <w:tcPr>
            <w:tcW w:w="988" w:type="dxa"/>
          </w:tcPr>
          <w:p w14:paraId="77C395F7" w14:textId="77777777" w:rsidR="00216DC0" w:rsidRDefault="00216DC0" w:rsidP="00D4226B">
            <w:pPr>
              <w:tabs>
                <w:tab w:val="left" w:pos="1920"/>
              </w:tabs>
              <w:ind w:right="-108"/>
              <w:jc w:val="center"/>
              <w:rPr>
                <w:rFonts w:ascii="Arial" w:hAnsi="Arial" w:cs="Arial"/>
                <w:b/>
                <w:color w:val="FF0000"/>
              </w:rPr>
            </w:pPr>
            <w:r w:rsidRPr="00524B2B">
              <w:rPr>
                <w:rFonts w:ascii="Arial" w:hAnsi="Arial" w:cs="Arial"/>
                <w:b/>
              </w:rPr>
              <w:lastRenderedPageBreak/>
              <w:t>48</w:t>
            </w:r>
          </w:p>
        </w:tc>
        <w:tc>
          <w:tcPr>
            <w:tcW w:w="9497" w:type="dxa"/>
          </w:tcPr>
          <w:p w14:paraId="255D1726" w14:textId="77777777" w:rsidR="00216DC0" w:rsidRPr="00524B2B" w:rsidRDefault="00216DC0" w:rsidP="00D4226B">
            <w:pPr>
              <w:ind w:left="40"/>
              <w:jc w:val="both"/>
              <w:rPr>
                <w:rFonts w:ascii="Arial" w:hAnsi="Arial" w:cs="Arial"/>
                <w:b/>
              </w:rPr>
            </w:pPr>
            <w:r w:rsidRPr="00524B2B">
              <w:rPr>
                <w:rFonts w:ascii="Arial" w:hAnsi="Arial" w:cs="Arial"/>
                <w:b/>
                <w:lang w:val="es-MX"/>
              </w:rPr>
              <w:t xml:space="preserve">326.- SERVICIOS INTEGRALES DEL ESTADO COLOMBIANO SIEC SAS SOCIEDAD DE ECONOMÍA MIXTA. </w:t>
            </w:r>
            <w:r w:rsidRPr="00524B2B">
              <w:rPr>
                <w:rFonts w:ascii="Arial" w:hAnsi="Arial" w:cs="Arial"/>
                <w:b/>
              </w:rPr>
              <w:t>NOTA 4. RESUMEN DE POLÍTICAS CONTABLES,</w:t>
            </w:r>
          </w:p>
          <w:p w14:paraId="7F4DCE5D" w14:textId="77777777" w:rsidR="00216DC0" w:rsidRPr="00524B2B" w:rsidRDefault="00216DC0" w:rsidP="00D4226B">
            <w:pPr>
              <w:pStyle w:val="Textoindependiente"/>
              <w:ind w:right="-50"/>
              <w:jc w:val="both"/>
              <w:rPr>
                <w:rFonts w:ascii="Arial" w:hAnsi="Arial" w:cs="Arial"/>
                <w:b/>
              </w:rPr>
            </w:pPr>
          </w:p>
          <w:p w14:paraId="66F2C383" w14:textId="77777777" w:rsidR="00216DC0" w:rsidRPr="00524B2B" w:rsidRDefault="00216DC0" w:rsidP="00AE3935">
            <w:pPr>
              <w:pStyle w:val="Textoindependiente"/>
              <w:numPr>
                <w:ilvl w:val="0"/>
                <w:numId w:val="79"/>
              </w:numPr>
              <w:ind w:right="-50"/>
              <w:jc w:val="both"/>
              <w:rPr>
                <w:rFonts w:ascii="Arial" w:hAnsi="Arial" w:cs="Arial"/>
                <w:b/>
              </w:rPr>
            </w:pPr>
            <w:r w:rsidRPr="00524B2B">
              <w:rPr>
                <w:rFonts w:ascii="Arial" w:hAnsi="Arial" w:cs="Arial"/>
                <w:b/>
              </w:rPr>
              <w:t>Hipótesis de negocio en marcha.</w:t>
            </w:r>
          </w:p>
          <w:p w14:paraId="0A437101" w14:textId="77777777" w:rsidR="00216DC0" w:rsidRPr="00524B2B" w:rsidRDefault="00216DC0" w:rsidP="00D4226B">
            <w:pPr>
              <w:pStyle w:val="Textoindependiente"/>
              <w:ind w:right="-50"/>
              <w:jc w:val="both"/>
              <w:rPr>
                <w:rFonts w:ascii="Arial" w:hAnsi="Arial" w:cs="Arial"/>
                <w:bCs/>
              </w:rPr>
            </w:pPr>
          </w:p>
          <w:p w14:paraId="5852E2DE" w14:textId="77777777" w:rsidR="00216DC0" w:rsidRPr="00524B2B" w:rsidRDefault="00216DC0" w:rsidP="00D4226B">
            <w:pPr>
              <w:pStyle w:val="Textoindependiente"/>
              <w:ind w:left="708" w:right="-50"/>
              <w:jc w:val="both"/>
              <w:rPr>
                <w:rFonts w:ascii="Arial" w:hAnsi="Arial" w:cs="Arial"/>
                <w:bCs/>
              </w:rPr>
            </w:pPr>
            <w:r w:rsidRPr="00524B2B">
              <w:rPr>
                <w:rFonts w:ascii="Arial" w:hAnsi="Arial" w:cs="Arial"/>
                <w:bCs/>
              </w:rPr>
              <w:t xml:space="preserve">En conformidad con la Sección 3 Presentación de Estados Financieros de la Norma Internacional de Información Financiera para Pymes, la gerencia ha manifestado que no tiene intención de liquidar o hacer cesar sus operaciones. </w:t>
            </w:r>
            <w:r w:rsidRPr="00524B2B">
              <w:rPr>
                <w:rFonts w:ascii="Arial" w:hAnsi="Arial" w:cs="Arial"/>
                <w:b/>
                <w:u w:val="single"/>
              </w:rPr>
              <w:t>Sin embargo, las proyecciones realizadas por la Administración reflejan que la entidad debe plantear una nueva estructura que le permita disminuir sus costos fijos, así como incluir nuevas unidades de negocio que le permitan incrementar sus ingresos y mejorar el margen operacional. Este tema se explica en mayor detalle en el Informe de Gestión entregado por la Administración</w:t>
            </w:r>
            <w:r w:rsidRPr="00524B2B">
              <w:rPr>
                <w:rFonts w:ascii="Arial" w:hAnsi="Arial" w:cs="Arial"/>
                <w:bCs/>
              </w:rPr>
              <w:t>.</w:t>
            </w:r>
          </w:p>
        </w:tc>
      </w:tr>
      <w:tr w:rsidR="00216DC0" w:rsidRPr="00E232C9" w14:paraId="4E1A96A5" w14:textId="77777777" w:rsidTr="00D4226B">
        <w:trPr>
          <w:jc w:val="center"/>
        </w:trPr>
        <w:tc>
          <w:tcPr>
            <w:tcW w:w="988" w:type="dxa"/>
          </w:tcPr>
          <w:p w14:paraId="7C2D9A79" w14:textId="77777777" w:rsidR="00216DC0" w:rsidRDefault="00216DC0" w:rsidP="00D4226B">
            <w:pPr>
              <w:tabs>
                <w:tab w:val="left" w:pos="1920"/>
              </w:tabs>
              <w:ind w:right="-108"/>
              <w:jc w:val="center"/>
              <w:rPr>
                <w:rFonts w:ascii="Arial" w:hAnsi="Arial" w:cs="Arial"/>
                <w:b/>
                <w:color w:val="FF0000"/>
              </w:rPr>
            </w:pPr>
            <w:r w:rsidRPr="00325CDB">
              <w:rPr>
                <w:rFonts w:ascii="Arial" w:hAnsi="Arial" w:cs="Arial"/>
                <w:b/>
              </w:rPr>
              <w:t>49</w:t>
            </w:r>
          </w:p>
        </w:tc>
        <w:tc>
          <w:tcPr>
            <w:tcW w:w="9497" w:type="dxa"/>
          </w:tcPr>
          <w:p w14:paraId="7C8C1B0D" w14:textId="77777777" w:rsidR="00216DC0" w:rsidRPr="00325CDB" w:rsidRDefault="00216DC0" w:rsidP="00D4226B">
            <w:pPr>
              <w:pStyle w:val="Textoindependiente"/>
              <w:ind w:right="-50"/>
              <w:jc w:val="both"/>
              <w:rPr>
                <w:rFonts w:ascii="Arial" w:hAnsi="Arial" w:cs="Arial"/>
                <w:b/>
                <w:lang w:val="es-MX"/>
              </w:rPr>
            </w:pPr>
            <w:r w:rsidRPr="00325CDB">
              <w:rPr>
                <w:rFonts w:ascii="Arial" w:hAnsi="Arial" w:cs="Arial"/>
                <w:b/>
                <w:lang w:val="es-MX"/>
              </w:rPr>
              <w:t xml:space="preserve">FONDO DE PASIVO SOCIAL FERROCARRILES NACIONALES DE COLOMBIA. </w:t>
            </w:r>
          </w:p>
          <w:p w14:paraId="25F6AEBF" w14:textId="77777777" w:rsidR="00216DC0" w:rsidRPr="00325CDB" w:rsidRDefault="00216DC0" w:rsidP="00D4226B">
            <w:pPr>
              <w:pStyle w:val="Textoindependiente"/>
              <w:ind w:right="-50"/>
              <w:jc w:val="both"/>
              <w:rPr>
                <w:rFonts w:ascii="Arial" w:hAnsi="Arial" w:cs="Arial"/>
                <w:b/>
                <w:lang w:val="es-MX"/>
              </w:rPr>
            </w:pPr>
          </w:p>
          <w:p w14:paraId="039A93F5" w14:textId="77777777" w:rsidR="00216DC0" w:rsidRPr="00325CDB" w:rsidRDefault="00216DC0" w:rsidP="00D4226B">
            <w:pPr>
              <w:pStyle w:val="Textoindependiente"/>
              <w:ind w:right="-50"/>
              <w:jc w:val="both"/>
              <w:rPr>
                <w:rFonts w:ascii="Arial" w:hAnsi="Arial" w:cs="Arial"/>
                <w:b/>
                <w:bCs/>
              </w:rPr>
            </w:pPr>
            <w:r w:rsidRPr="00325CDB">
              <w:rPr>
                <w:rFonts w:ascii="Arial" w:hAnsi="Arial" w:cs="Arial"/>
                <w:b/>
                <w:bCs/>
              </w:rPr>
              <w:t>1.2. Declaración de cumplimiento del marco normativo y limitaciones</w:t>
            </w:r>
          </w:p>
          <w:p w14:paraId="5C2AC4D1" w14:textId="77777777" w:rsidR="00216DC0" w:rsidRPr="00325CDB" w:rsidRDefault="00216DC0" w:rsidP="00D4226B">
            <w:pPr>
              <w:pStyle w:val="Textoindependiente"/>
              <w:ind w:right="-50"/>
              <w:jc w:val="both"/>
              <w:rPr>
                <w:rFonts w:ascii="Arial" w:hAnsi="Arial" w:cs="Arial"/>
                <w:bCs/>
              </w:rPr>
            </w:pPr>
          </w:p>
          <w:p w14:paraId="6FCD6335" w14:textId="77777777" w:rsidR="00216DC0" w:rsidRPr="00325CDB" w:rsidRDefault="00216DC0" w:rsidP="00D4226B">
            <w:pPr>
              <w:pStyle w:val="Textoindependiente"/>
              <w:ind w:right="-50"/>
              <w:jc w:val="both"/>
              <w:rPr>
                <w:rFonts w:ascii="Arial" w:hAnsi="Arial" w:cs="Arial"/>
                <w:b/>
                <w:bCs/>
              </w:rPr>
            </w:pPr>
            <w:r w:rsidRPr="00325CDB">
              <w:rPr>
                <w:rFonts w:ascii="Arial" w:hAnsi="Arial" w:cs="Arial"/>
                <w:b/>
                <w:bCs/>
              </w:rPr>
              <w:t>Limitaciones.</w:t>
            </w:r>
          </w:p>
          <w:p w14:paraId="3563EDED" w14:textId="77777777" w:rsidR="00216DC0" w:rsidRPr="00325CDB" w:rsidRDefault="00216DC0" w:rsidP="00D4226B">
            <w:pPr>
              <w:pStyle w:val="Textoindependiente"/>
              <w:ind w:right="-50"/>
              <w:jc w:val="both"/>
              <w:rPr>
                <w:rFonts w:ascii="Arial" w:hAnsi="Arial" w:cs="Arial"/>
                <w:bCs/>
              </w:rPr>
            </w:pPr>
          </w:p>
          <w:p w14:paraId="55AB78BC" w14:textId="77777777" w:rsidR="00216DC0" w:rsidRPr="00325CDB" w:rsidRDefault="00216DC0" w:rsidP="00AE3935">
            <w:pPr>
              <w:pStyle w:val="Textoindependiente"/>
              <w:numPr>
                <w:ilvl w:val="0"/>
                <w:numId w:val="80"/>
              </w:numPr>
              <w:ind w:right="-50"/>
              <w:jc w:val="both"/>
              <w:rPr>
                <w:rFonts w:ascii="Arial" w:hAnsi="Arial" w:cs="Arial"/>
              </w:rPr>
            </w:pPr>
            <w:r w:rsidRPr="00325CDB">
              <w:rPr>
                <w:rFonts w:ascii="Arial" w:hAnsi="Arial" w:cs="Arial"/>
                <w:b/>
                <w:bCs/>
              </w:rPr>
              <w:t xml:space="preserve">Sistemas de información: </w:t>
            </w:r>
            <w:r w:rsidRPr="00325CDB">
              <w:rPr>
                <w:rFonts w:ascii="Arial" w:hAnsi="Arial" w:cs="Arial"/>
                <w:bCs/>
              </w:rPr>
              <w:t xml:space="preserve">En cuanto a la integralidad del Sistema Integrado de Información Financiero SIIF y su interoperabilidad con el sistema de gestión de bienes y compras ( Inventario y Propiedad Planta y Equipo), así como el de administración de nómina (Empleados y pensionados) y desarrollo del aplicativo de cartera para el control de recaudo, </w:t>
            </w:r>
            <w:r w:rsidRPr="00325CDB">
              <w:rPr>
                <w:rFonts w:ascii="Arial" w:hAnsi="Arial" w:cs="Arial"/>
                <w:b/>
                <w:bCs/>
                <w:u w:val="single"/>
              </w:rPr>
              <w:t>se precisa que para la vigencia 2024 aún no se cuenta con las funcionalidades que ayuden a integrar los sistemas de información auxiliares de la entidad con el SIIF, aspecto que limita la eficacia de seguimiento a la traza contable de las operaciones relacionadas con el reconocimiento de los hechos derivados de tales subsistemas,</w:t>
            </w:r>
            <w:r w:rsidRPr="00325CDB">
              <w:rPr>
                <w:rFonts w:ascii="Arial" w:hAnsi="Arial" w:cs="Arial"/>
                <w:bCs/>
              </w:rPr>
              <w:t xml:space="preserve"> la entidad en la vigencia 2024 desarrolla mesas de trabajos con los desarrolladores del sistema financiero SAFIX (Sistema financiero paralelo de la entidad), realizando procesos alternos de verificación y cargue de </w:t>
            </w:r>
            <w:r w:rsidRPr="00325CDB">
              <w:rPr>
                <w:rFonts w:ascii="Arial" w:hAnsi="Arial" w:cs="Arial"/>
              </w:rPr>
              <w:t xml:space="preserve">información en la plataforma con la coordinación gestión de bienes y servicios, y Subdirección de Prestaciones Sociales (Mejoras nómina de pensionados) con temas relacionados de inventarios y homologación de cuentas, de acuerdo a la resolución 620 de 2025 emitida por la Contaduría General de la Nación, sistema paralelo que aún no completa el desarrollo para mantener la interoperabilidad con el </w:t>
            </w:r>
            <w:r w:rsidRPr="00325CDB">
              <w:rPr>
                <w:rFonts w:ascii="Arial" w:hAnsi="Arial" w:cs="Arial"/>
              </w:rPr>
              <w:lastRenderedPageBreak/>
              <w:t xml:space="preserve">sistema SIIF. </w:t>
            </w:r>
          </w:p>
          <w:p w14:paraId="2E43A3C2" w14:textId="77777777" w:rsidR="00216DC0" w:rsidRPr="00325CDB" w:rsidRDefault="00216DC0" w:rsidP="00D4226B">
            <w:pPr>
              <w:pStyle w:val="Textoindependiente"/>
              <w:ind w:left="720" w:right="-50"/>
              <w:jc w:val="both"/>
              <w:rPr>
                <w:rFonts w:ascii="Arial" w:hAnsi="Arial" w:cs="Arial"/>
              </w:rPr>
            </w:pPr>
          </w:p>
          <w:p w14:paraId="73EE0CAF" w14:textId="77777777" w:rsidR="00216DC0" w:rsidRPr="00325CDB" w:rsidRDefault="00216DC0" w:rsidP="00AE3935">
            <w:pPr>
              <w:pStyle w:val="Textoindependiente"/>
              <w:numPr>
                <w:ilvl w:val="0"/>
                <w:numId w:val="80"/>
              </w:numPr>
              <w:ind w:right="-50"/>
              <w:jc w:val="both"/>
              <w:rPr>
                <w:rFonts w:ascii="Arial" w:hAnsi="Arial" w:cs="Arial"/>
              </w:rPr>
            </w:pPr>
            <w:r w:rsidRPr="00325CDB">
              <w:rPr>
                <w:rFonts w:ascii="Arial" w:hAnsi="Arial" w:cs="Arial"/>
              </w:rPr>
              <w:t xml:space="preserve">Falta de creación de la tesorería asociada a la Subunidad (19-14-02-004), la cual no permite articular el manejo de la unidad ejecutora Pensión (19-14-02) y la Subunidad ejecutora del ISS (19-14-02-004). Esta actividad debe ser liderada por la Subdirección Financiera de la entidad con apoyo del Ministerio de Hacienda y Crédito Público, </w:t>
            </w:r>
            <w:r w:rsidRPr="00325CDB">
              <w:rPr>
                <w:rFonts w:ascii="Arial" w:hAnsi="Arial" w:cs="Arial"/>
                <w:b/>
                <w:u w:val="single"/>
              </w:rPr>
              <w:t>para la vigencia 2024 no se adelantó esta actividad.</w:t>
            </w:r>
            <w:r w:rsidRPr="00325CDB">
              <w:rPr>
                <w:rFonts w:ascii="Arial" w:hAnsi="Arial" w:cs="Arial"/>
              </w:rPr>
              <w:t xml:space="preserve"> </w:t>
            </w:r>
          </w:p>
          <w:p w14:paraId="0E699328" w14:textId="77777777" w:rsidR="00216DC0" w:rsidRPr="00325CDB" w:rsidRDefault="00216DC0" w:rsidP="00D4226B">
            <w:pPr>
              <w:pStyle w:val="Prrafodelista"/>
              <w:rPr>
                <w:rFonts w:ascii="Arial" w:hAnsi="Arial" w:cs="Arial"/>
              </w:rPr>
            </w:pPr>
          </w:p>
          <w:p w14:paraId="033F297F" w14:textId="77777777" w:rsidR="00216DC0" w:rsidRPr="00325CDB" w:rsidRDefault="00216DC0" w:rsidP="00AE3935">
            <w:pPr>
              <w:pStyle w:val="Textoindependiente"/>
              <w:numPr>
                <w:ilvl w:val="0"/>
                <w:numId w:val="80"/>
              </w:numPr>
              <w:ind w:right="-50"/>
              <w:jc w:val="both"/>
              <w:rPr>
                <w:rFonts w:ascii="Arial" w:hAnsi="Arial" w:cs="Arial"/>
              </w:rPr>
            </w:pPr>
            <w:r w:rsidRPr="00325CDB">
              <w:rPr>
                <w:rFonts w:ascii="Arial" w:hAnsi="Arial" w:cs="Arial"/>
                <w:b/>
                <w:u w:val="single"/>
              </w:rPr>
              <w:t>Con relación a la actualización del manual de políticas contables, para la vigencia 2024 no fue actualizada la policía de deterioro de las cuentas por cobrar, así mismo la política de pagos</w:t>
            </w:r>
            <w:r w:rsidRPr="00325CDB">
              <w:rPr>
                <w:rFonts w:ascii="Arial" w:hAnsi="Arial" w:cs="Arial"/>
              </w:rPr>
              <w:t xml:space="preserve">, en la vigencia 2025 la Subdirección Financiera ya cuenta con un proyecto de política para la actualización del manual. </w:t>
            </w:r>
          </w:p>
          <w:p w14:paraId="292796F3" w14:textId="77777777" w:rsidR="00216DC0" w:rsidRPr="00325CDB" w:rsidRDefault="00216DC0" w:rsidP="00AE3935">
            <w:pPr>
              <w:pStyle w:val="Textoindependiente"/>
              <w:numPr>
                <w:ilvl w:val="0"/>
                <w:numId w:val="80"/>
              </w:numPr>
              <w:ind w:right="-50"/>
              <w:jc w:val="both"/>
              <w:rPr>
                <w:rFonts w:ascii="Arial" w:hAnsi="Arial" w:cs="Arial"/>
              </w:rPr>
            </w:pPr>
            <w:r w:rsidRPr="00325CDB">
              <w:rPr>
                <w:rFonts w:ascii="Arial" w:hAnsi="Arial" w:cs="Arial"/>
                <w:b/>
                <w:u w:val="single"/>
              </w:rPr>
              <w:t>El sistema financiero SIIF tiene limitadas el manejo de terceros para la cuenta 25 beneficios a empleados y su contrapartida en la cuenta 5101 sueldos y salarios, lo cual genera reprocesos en los informes financieros que se deben presentar de estas cuentas por tercero, ante la Superintendencia nacional de salud y la dirección de impuesto nacionales DIAN en su reporte de medios magnéticos nacionales</w:t>
            </w:r>
            <w:r w:rsidRPr="00325CDB">
              <w:rPr>
                <w:rFonts w:ascii="Arial" w:hAnsi="Arial" w:cs="Arial"/>
              </w:rPr>
              <w:t xml:space="preserve">. </w:t>
            </w:r>
          </w:p>
          <w:p w14:paraId="6ED6A964" w14:textId="77777777" w:rsidR="00216DC0" w:rsidRPr="00325CDB" w:rsidRDefault="00216DC0" w:rsidP="00D4226B">
            <w:pPr>
              <w:pStyle w:val="Prrafodelista"/>
              <w:rPr>
                <w:rFonts w:ascii="Arial" w:hAnsi="Arial" w:cs="Arial"/>
              </w:rPr>
            </w:pPr>
          </w:p>
          <w:p w14:paraId="3C2D4C40" w14:textId="77777777" w:rsidR="00216DC0" w:rsidRPr="00325CDB" w:rsidRDefault="00216DC0" w:rsidP="00AE3935">
            <w:pPr>
              <w:pStyle w:val="Textoindependiente"/>
              <w:numPr>
                <w:ilvl w:val="0"/>
                <w:numId w:val="80"/>
              </w:numPr>
              <w:ind w:right="-50"/>
              <w:jc w:val="both"/>
              <w:rPr>
                <w:rFonts w:ascii="Arial" w:hAnsi="Arial" w:cs="Arial"/>
                <w:b/>
                <w:u w:val="single"/>
              </w:rPr>
            </w:pPr>
            <w:r w:rsidRPr="00325CDB">
              <w:rPr>
                <w:rFonts w:ascii="Arial" w:hAnsi="Arial" w:cs="Arial"/>
                <w:b/>
                <w:u w:val="single"/>
              </w:rPr>
              <w:t>Para para el cierre de vigencia 2024, se evidenciaron incumpliendo por parte de los procesos de la entidad en la oportunidad de entrega de la información contable publica como insumo para su reconcomiendo contable de manera oportuna, lo cual se evidencias en las gestiones adelantadas por parte de la coordinación para garantizar el reconocimiento de la totalidad de hechos económicos generados por la entidad mediante circulares números: DG-202401000001364 25/11/2024, No.: SFI – 202504000000014 10/01/2025, SFI – 202504000000084 23/01/2025 solicito a los procesos origen de información el reporte de la totalidad de hechos económicos generados para el cierre de la vigencia 2024, de las actividades administrativas, operativas y técnicas objeto de revelación fiel en los estados financieros.</w:t>
            </w:r>
          </w:p>
          <w:p w14:paraId="30D314E2" w14:textId="77777777" w:rsidR="00216DC0" w:rsidRPr="00325CDB" w:rsidRDefault="00216DC0" w:rsidP="00D4226B">
            <w:pPr>
              <w:pStyle w:val="Textoindependiente"/>
              <w:ind w:right="-50"/>
              <w:jc w:val="both"/>
              <w:rPr>
                <w:rFonts w:ascii="Arial" w:hAnsi="Arial" w:cs="Arial"/>
                <w:b/>
                <w:bCs/>
                <w:u w:val="single"/>
              </w:rPr>
            </w:pPr>
          </w:p>
          <w:p w14:paraId="2CD4EF94" w14:textId="77777777" w:rsidR="00216DC0" w:rsidRPr="00325CDB" w:rsidRDefault="00216DC0" w:rsidP="00D4226B">
            <w:pPr>
              <w:pStyle w:val="Textoindependiente"/>
              <w:ind w:right="-50"/>
              <w:jc w:val="both"/>
              <w:rPr>
                <w:rFonts w:ascii="Arial" w:hAnsi="Arial" w:cs="Arial"/>
                <w:b/>
              </w:rPr>
            </w:pPr>
            <w:r w:rsidRPr="00325CDB">
              <w:rPr>
                <w:rFonts w:ascii="Arial" w:hAnsi="Arial" w:cs="Arial"/>
                <w:b/>
              </w:rPr>
              <w:t>SALVEDAD A LOS ESTADOS FINANCIEROS UNIDAD EJECUTORA PENSIÓN Y SUBUNIDAD ISS A DICIEMBRE 31 DE 2024.</w:t>
            </w:r>
          </w:p>
          <w:p w14:paraId="7FF7D38F" w14:textId="77777777" w:rsidR="00216DC0" w:rsidRPr="00325CDB" w:rsidRDefault="00216DC0" w:rsidP="00D4226B">
            <w:pPr>
              <w:pStyle w:val="Textoindependiente"/>
              <w:ind w:right="-50"/>
              <w:jc w:val="both"/>
              <w:rPr>
                <w:rFonts w:ascii="Arial" w:hAnsi="Arial" w:cs="Arial"/>
              </w:rPr>
            </w:pPr>
          </w:p>
          <w:p w14:paraId="617C0A23" w14:textId="77777777" w:rsidR="00216DC0" w:rsidRPr="00325CDB" w:rsidRDefault="00216DC0" w:rsidP="00AE3935">
            <w:pPr>
              <w:pStyle w:val="Textoindependiente"/>
              <w:numPr>
                <w:ilvl w:val="0"/>
                <w:numId w:val="81"/>
              </w:numPr>
              <w:ind w:right="-50"/>
              <w:jc w:val="both"/>
              <w:rPr>
                <w:rFonts w:ascii="Arial" w:hAnsi="Arial" w:cs="Arial"/>
                <w:b/>
                <w:bCs/>
              </w:rPr>
            </w:pPr>
            <w:r w:rsidRPr="00325CDB">
              <w:rPr>
                <w:rFonts w:ascii="Arial" w:hAnsi="Arial" w:cs="Arial"/>
                <w:b/>
                <w:bCs/>
              </w:rPr>
              <w:t xml:space="preserve">Cuotas partes pensionales por cobrar y por pagar y acta de entrega de acuerdo al decreto 553 de 2015 “por medio del cual se adoptan medidas con ocasión del cierre de la liquidación del Instituto de Seguros Sociales (ISS) en Liquidación y se dictan otras disposiciones”. </w:t>
            </w:r>
          </w:p>
          <w:p w14:paraId="6E9DBDD9" w14:textId="77777777" w:rsidR="00216DC0" w:rsidRPr="00325CDB" w:rsidRDefault="00216DC0" w:rsidP="00D4226B">
            <w:pPr>
              <w:pStyle w:val="Textoindependiente"/>
              <w:ind w:right="-50"/>
              <w:jc w:val="both"/>
              <w:rPr>
                <w:rFonts w:ascii="Arial" w:hAnsi="Arial" w:cs="Arial"/>
                <w:bCs/>
              </w:rPr>
            </w:pPr>
          </w:p>
          <w:p w14:paraId="34892592" w14:textId="77777777" w:rsidR="00216DC0" w:rsidRPr="00325CDB" w:rsidRDefault="00216DC0" w:rsidP="00D4226B">
            <w:pPr>
              <w:pStyle w:val="Textoindependiente"/>
              <w:ind w:right="-50"/>
              <w:jc w:val="both"/>
              <w:rPr>
                <w:rFonts w:ascii="Arial" w:hAnsi="Arial" w:cs="Arial"/>
              </w:rPr>
            </w:pPr>
            <w:r w:rsidRPr="00325CDB">
              <w:rPr>
                <w:rFonts w:ascii="Arial" w:hAnsi="Arial" w:cs="Arial"/>
                <w:b/>
                <w:u w:val="single"/>
              </w:rPr>
              <w:t>Como salvedad a los estados Financieros referente a la Unidad Ejecutora Pensión y Subunidad ISS para el 2024 (salvedad que será señala en la Certificación de los estados finan</w:t>
            </w:r>
            <w:r>
              <w:rPr>
                <w:rFonts w:ascii="Arial" w:hAnsi="Arial" w:cs="Arial"/>
                <w:b/>
                <w:u w:val="single"/>
              </w:rPr>
              <w:t>cieros</w:t>
            </w:r>
            <w:r w:rsidRPr="00325CDB">
              <w:rPr>
                <w:rFonts w:ascii="Arial" w:hAnsi="Arial" w:cs="Arial"/>
                <w:b/>
                <w:u w:val="single"/>
              </w:rPr>
              <w:t xml:space="preserve"> vigencia 2024) , no se evidenció avances significativos dentro del proceso de cobro coactivo en lo que tiene que ver con las cuentas por cobrar del concepto de Cuotas Partes Pensionales del ISS y FNC, así mismo, se advirtió una baja aplicación de títulos de los recaudos reflejados en las cuentas bancarias 309014934 y 311084305 de FCN e ISS respectivamente, manteniendo el saldo de $55.042.912.413 al corte del 31 de diciembre de 2024 pendiente de aplicación, saldos reflejados desde vigencias anteriores</w:t>
            </w:r>
            <w:r w:rsidRPr="00325CDB">
              <w:rPr>
                <w:rFonts w:ascii="Arial" w:hAnsi="Arial" w:cs="Arial"/>
              </w:rPr>
              <w:t xml:space="preserve">. </w:t>
            </w:r>
          </w:p>
          <w:p w14:paraId="0C730FB5" w14:textId="77777777" w:rsidR="00216DC0" w:rsidRPr="00325CDB" w:rsidRDefault="00216DC0" w:rsidP="00D4226B">
            <w:pPr>
              <w:pStyle w:val="Textoindependiente"/>
              <w:ind w:right="-50"/>
              <w:jc w:val="both"/>
              <w:rPr>
                <w:rFonts w:ascii="Arial" w:hAnsi="Arial" w:cs="Arial"/>
              </w:rPr>
            </w:pPr>
          </w:p>
          <w:p w14:paraId="352E590A" w14:textId="77777777" w:rsidR="00216DC0" w:rsidRPr="00C02B16" w:rsidRDefault="00216DC0" w:rsidP="00D4226B">
            <w:pPr>
              <w:pStyle w:val="Textoindependiente"/>
              <w:ind w:right="-50"/>
              <w:jc w:val="both"/>
              <w:rPr>
                <w:rFonts w:ascii="Arial" w:hAnsi="Arial" w:cs="Arial"/>
                <w:bCs/>
              </w:rPr>
            </w:pPr>
            <w:r w:rsidRPr="00325CDB">
              <w:rPr>
                <w:rFonts w:ascii="Arial" w:hAnsi="Arial" w:cs="Arial"/>
                <w:b/>
                <w:u w:val="single"/>
              </w:rPr>
              <w:t>En consecuencia, debido a la baja depuración y saneamiento de las cuentas contables tanto por cobrar como por pagar de las cuotas partes pensionales y de los saldos reconocidos dentro de la entrega de parte del Seguro Social en Liquidación conforme al Decreto 553 de 2015; desde la Coordinación del GIT de Contabilidad se adelantaron comunicaciones y mesas de trabajo con la Oficina Asesora Jurídica, con el propósito de instar al proceso Coactivo para que avance en la depuración y saneamiento de las Cuotas partes pensionales FCN e ISS, para lo cual el proceso origen de la información adquirió compromisos como se evidencia en las actas</w:t>
            </w:r>
            <w:r w:rsidRPr="00325CDB">
              <w:rPr>
                <w:rFonts w:ascii="Arial" w:hAnsi="Arial" w:cs="Arial"/>
              </w:rPr>
              <w:t>.</w:t>
            </w:r>
          </w:p>
        </w:tc>
      </w:tr>
      <w:tr w:rsidR="00216DC0" w:rsidRPr="00E232C9" w14:paraId="68485B44" w14:textId="77777777" w:rsidTr="00D4226B">
        <w:trPr>
          <w:jc w:val="center"/>
        </w:trPr>
        <w:tc>
          <w:tcPr>
            <w:tcW w:w="988" w:type="dxa"/>
          </w:tcPr>
          <w:p w14:paraId="6D1212C1" w14:textId="77777777" w:rsidR="00216DC0" w:rsidRPr="00C02B16" w:rsidRDefault="00216DC0" w:rsidP="00D4226B">
            <w:pPr>
              <w:tabs>
                <w:tab w:val="left" w:pos="1920"/>
              </w:tabs>
              <w:ind w:right="-108"/>
              <w:jc w:val="center"/>
              <w:rPr>
                <w:rFonts w:ascii="Arial" w:hAnsi="Arial" w:cs="Arial"/>
                <w:b/>
              </w:rPr>
            </w:pPr>
            <w:r w:rsidRPr="00C02B16">
              <w:rPr>
                <w:rFonts w:ascii="Arial" w:hAnsi="Arial" w:cs="Arial"/>
                <w:b/>
              </w:rPr>
              <w:lastRenderedPageBreak/>
              <w:t>50</w:t>
            </w:r>
          </w:p>
        </w:tc>
        <w:tc>
          <w:tcPr>
            <w:tcW w:w="9497" w:type="dxa"/>
          </w:tcPr>
          <w:p w14:paraId="696655A5" w14:textId="77777777" w:rsidR="00216DC0" w:rsidRPr="00C02B16" w:rsidRDefault="00216DC0" w:rsidP="00D4226B">
            <w:pPr>
              <w:jc w:val="both"/>
              <w:rPr>
                <w:rFonts w:ascii="Arial" w:hAnsi="Arial" w:cs="Arial"/>
                <w:b/>
              </w:rPr>
            </w:pPr>
            <w:r w:rsidRPr="00C02B16">
              <w:rPr>
                <w:rFonts w:ascii="Arial" w:hAnsi="Arial" w:cs="Arial"/>
                <w:b/>
                <w:lang w:val="es-MX"/>
              </w:rPr>
              <w:t>SUPERINTENDENCIA DE NOTARIADO Y REGISTRO.</w:t>
            </w:r>
            <w:r>
              <w:rPr>
                <w:rFonts w:ascii="Arial" w:hAnsi="Arial" w:cs="Arial"/>
                <w:b/>
                <w:lang w:val="es-MX"/>
              </w:rPr>
              <w:t xml:space="preserve"> </w:t>
            </w:r>
            <w:r w:rsidRPr="00C02B16">
              <w:rPr>
                <w:rFonts w:ascii="Arial" w:hAnsi="Arial" w:cs="Arial"/>
                <w:b/>
              </w:rPr>
              <w:t>1.2. Declaración de Cumplimiento del Marco Normativo y Limitaciones.</w:t>
            </w:r>
          </w:p>
          <w:p w14:paraId="15F08B90" w14:textId="77777777" w:rsidR="00216DC0" w:rsidRPr="00C02B16" w:rsidRDefault="00216DC0" w:rsidP="00D4226B">
            <w:pPr>
              <w:pStyle w:val="Textoindependiente"/>
              <w:ind w:right="-50"/>
              <w:jc w:val="both"/>
              <w:rPr>
                <w:rFonts w:ascii="Arial" w:hAnsi="Arial" w:cs="Arial"/>
                <w:b/>
              </w:rPr>
            </w:pPr>
          </w:p>
          <w:p w14:paraId="4826C703" w14:textId="77777777" w:rsidR="00216DC0" w:rsidRPr="00C02B16" w:rsidRDefault="00216DC0" w:rsidP="00D4226B">
            <w:pPr>
              <w:pStyle w:val="Textoindependiente"/>
              <w:ind w:right="-50"/>
              <w:jc w:val="both"/>
              <w:rPr>
                <w:rFonts w:ascii="Arial" w:hAnsi="Arial" w:cs="Arial"/>
                <w:b/>
              </w:rPr>
            </w:pPr>
            <w:r w:rsidRPr="00C02B16">
              <w:rPr>
                <w:rFonts w:ascii="Arial" w:hAnsi="Arial" w:cs="Arial"/>
                <w:b/>
              </w:rPr>
              <w:t>Limitaciones y Deficiencias.</w:t>
            </w:r>
          </w:p>
          <w:p w14:paraId="12ADA4AB" w14:textId="77777777" w:rsidR="00216DC0" w:rsidRPr="00C02B16" w:rsidRDefault="00216DC0" w:rsidP="00D4226B">
            <w:pPr>
              <w:pStyle w:val="Textoindependiente"/>
              <w:ind w:right="-50"/>
              <w:jc w:val="both"/>
              <w:rPr>
                <w:rFonts w:ascii="Arial" w:hAnsi="Arial" w:cs="Arial"/>
                <w:bCs/>
              </w:rPr>
            </w:pPr>
          </w:p>
          <w:p w14:paraId="2A930126" w14:textId="77777777" w:rsidR="00216DC0" w:rsidRPr="00C02B16" w:rsidRDefault="00216DC0" w:rsidP="00D4226B">
            <w:pPr>
              <w:pStyle w:val="Textoindependiente"/>
              <w:ind w:right="-50"/>
              <w:jc w:val="both"/>
              <w:rPr>
                <w:rFonts w:ascii="Arial" w:hAnsi="Arial" w:cs="Arial"/>
                <w:bCs/>
              </w:rPr>
            </w:pPr>
            <w:r w:rsidRPr="00C02B16">
              <w:rPr>
                <w:rFonts w:ascii="Arial" w:hAnsi="Arial" w:cs="Arial"/>
                <w:bCs/>
              </w:rPr>
              <w:t xml:space="preserve">Dentro de las actividades que desarrolla la entidad, se evidencia algunas limitaciones y deficiencias </w:t>
            </w:r>
            <w:r w:rsidRPr="00C02B16">
              <w:rPr>
                <w:rFonts w:ascii="Arial" w:hAnsi="Arial" w:cs="Arial"/>
                <w:bCs/>
              </w:rPr>
              <w:lastRenderedPageBreak/>
              <w:t xml:space="preserve">generales de tipo operativo o administrativo que tienen un impacto en el desarrollo normal del proceso contable como se detallan a continuación: </w:t>
            </w:r>
          </w:p>
          <w:p w14:paraId="649FDE27" w14:textId="77777777" w:rsidR="00216DC0" w:rsidRPr="00C02B16" w:rsidRDefault="00216DC0" w:rsidP="00D4226B">
            <w:pPr>
              <w:pStyle w:val="Textoindependiente"/>
              <w:ind w:right="-50"/>
              <w:jc w:val="both"/>
              <w:rPr>
                <w:rFonts w:ascii="Arial" w:hAnsi="Arial" w:cs="Arial"/>
                <w:bCs/>
              </w:rPr>
            </w:pPr>
          </w:p>
          <w:p w14:paraId="641A65B8" w14:textId="77777777" w:rsidR="00216DC0" w:rsidRPr="00C02B16" w:rsidRDefault="00216DC0" w:rsidP="00D4226B">
            <w:pPr>
              <w:pStyle w:val="Textoindependiente"/>
              <w:ind w:right="-50"/>
              <w:jc w:val="both"/>
              <w:rPr>
                <w:rFonts w:ascii="Arial" w:hAnsi="Arial" w:cs="Arial"/>
              </w:rPr>
            </w:pPr>
            <w:r w:rsidRPr="00C02B16">
              <w:rPr>
                <w:rFonts w:ascii="Arial" w:hAnsi="Arial" w:cs="Arial"/>
                <w:b/>
              </w:rPr>
              <w:t xml:space="preserve">Análisis Operación Superintendencia de Notariado y Registro. </w:t>
            </w:r>
            <w:r w:rsidRPr="00C02B16">
              <w:rPr>
                <w:rFonts w:ascii="Arial" w:hAnsi="Arial" w:cs="Arial"/>
              </w:rPr>
              <w:t xml:space="preserve">La compleja estructura de la entidad, así como su magnitud, no permite la verificación oportuna de sus operaciones, lo cual dificulta el proceso de análisis. Durante la vigencia del 2024 se realizaron mesas de trabajo y visitas a las Oficinas de Registro del País por parte de profesionales del Nivel Central con áreas proveedoras, con el fin de brindar apoyo para lograr el mejoramiento en la calidad y oportunidad de la información financiera y contable. </w:t>
            </w:r>
          </w:p>
          <w:p w14:paraId="63BD1EBB" w14:textId="77777777" w:rsidR="00216DC0" w:rsidRPr="00C02B16" w:rsidRDefault="00216DC0" w:rsidP="00D4226B">
            <w:pPr>
              <w:pStyle w:val="Textoindependiente"/>
              <w:ind w:right="-50"/>
              <w:jc w:val="both"/>
              <w:rPr>
                <w:rFonts w:ascii="Arial" w:hAnsi="Arial" w:cs="Arial"/>
              </w:rPr>
            </w:pPr>
          </w:p>
          <w:p w14:paraId="6950D26F" w14:textId="77777777" w:rsidR="00216DC0" w:rsidRPr="00C02B16" w:rsidRDefault="00216DC0" w:rsidP="00D4226B">
            <w:pPr>
              <w:pStyle w:val="Textoindependiente"/>
              <w:ind w:right="-50"/>
              <w:jc w:val="both"/>
              <w:rPr>
                <w:rFonts w:ascii="Arial" w:hAnsi="Arial" w:cs="Arial"/>
              </w:rPr>
            </w:pPr>
            <w:r w:rsidRPr="00C02B16">
              <w:rPr>
                <w:rFonts w:ascii="Arial" w:hAnsi="Arial" w:cs="Arial"/>
                <w:b/>
                <w:bCs/>
              </w:rPr>
              <w:t xml:space="preserve">Propiedades Planta y Equipo. </w:t>
            </w:r>
            <w:r w:rsidRPr="00C02B16">
              <w:rPr>
                <w:rFonts w:ascii="Arial" w:hAnsi="Arial" w:cs="Arial"/>
              </w:rPr>
              <w:t xml:space="preserve">A 31 de diciembre 2024 el control de los bienes muebles e inmuebles, y el cálculo de las depreciaciones se lleva en la Herramienta de Gestión Financiera Integral (HGFI) de las Direcciones Regionales y Nivel central. </w:t>
            </w:r>
          </w:p>
          <w:p w14:paraId="5CA5D8BE" w14:textId="77777777" w:rsidR="00216DC0" w:rsidRPr="00C02B16" w:rsidRDefault="00216DC0" w:rsidP="00D4226B">
            <w:pPr>
              <w:pStyle w:val="Textoindependiente"/>
              <w:ind w:right="-50"/>
              <w:jc w:val="both"/>
              <w:rPr>
                <w:rFonts w:ascii="Arial" w:hAnsi="Arial" w:cs="Arial"/>
              </w:rPr>
            </w:pPr>
          </w:p>
          <w:p w14:paraId="6178EADB" w14:textId="77777777" w:rsidR="00216DC0" w:rsidRPr="00C02B16" w:rsidRDefault="00216DC0" w:rsidP="00D4226B">
            <w:pPr>
              <w:pStyle w:val="Textoindependiente"/>
              <w:ind w:right="-50"/>
              <w:jc w:val="both"/>
              <w:rPr>
                <w:rFonts w:ascii="Arial" w:hAnsi="Arial" w:cs="Arial"/>
              </w:rPr>
            </w:pPr>
            <w:r w:rsidRPr="00C02B16">
              <w:rPr>
                <w:rFonts w:ascii="Arial" w:hAnsi="Arial" w:cs="Arial"/>
              </w:rPr>
              <w:t xml:space="preserve">El 7 de febrero 2024 se generó la Circular No. 038 de secretaria general estableciendo un plan de contingencia sobre el manejo de Propiedad planta y Equipo en la Herramienta Gestión Integral – HGFI, </w:t>
            </w:r>
            <w:r w:rsidRPr="00C02B16">
              <w:rPr>
                <w:rFonts w:ascii="Arial" w:hAnsi="Arial" w:cs="Arial"/>
                <w:b/>
                <w:u w:val="single"/>
              </w:rPr>
              <w:t>por lo cual de enero a agosto del 2024 se llevó el control de forma manual en Excel, quedando actualizado al mes de diciembre 2024</w:t>
            </w:r>
            <w:r w:rsidRPr="00C02B16">
              <w:rPr>
                <w:rFonts w:ascii="Arial" w:hAnsi="Arial" w:cs="Arial"/>
              </w:rPr>
              <w:t xml:space="preserve">. </w:t>
            </w:r>
          </w:p>
          <w:p w14:paraId="76D6BABB" w14:textId="77777777" w:rsidR="00216DC0" w:rsidRPr="00C02B16" w:rsidRDefault="00216DC0" w:rsidP="00D4226B">
            <w:pPr>
              <w:pStyle w:val="Textoindependiente"/>
              <w:ind w:right="-50"/>
              <w:jc w:val="both"/>
              <w:rPr>
                <w:rFonts w:ascii="Arial" w:hAnsi="Arial" w:cs="Arial"/>
              </w:rPr>
            </w:pPr>
          </w:p>
          <w:p w14:paraId="26C69CB5" w14:textId="77777777" w:rsidR="00216DC0" w:rsidRPr="00C02B16" w:rsidRDefault="00216DC0" w:rsidP="00D4226B">
            <w:pPr>
              <w:pStyle w:val="Textoindependiente"/>
              <w:ind w:right="-50"/>
              <w:jc w:val="both"/>
              <w:rPr>
                <w:rFonts w:ascii="Arial" w:hAnsi="Arial" w:cs="Arial"/>
              </w:rPr>
            </w:pPr>
            <w:r w:rsidRPr="00C02B16">
              <w:rPr>
                <w:rFonts w:ascii="Arial" w:hAnsi="Arial" w:cs="Arial"/>
              </w:rPr>
              <w:t>El control de los activos intangibles a 31 de diciembre 2024 se realiza a través de Excel, sin embargo, se han venido adelantando procesos para su implementación en la herramienta HGFI.</w:t>
            </w:r>
          </w:p>
          <w:p w14:paraId="2C76A080" w14:textId="77777777" w:rsidR="00216DC0" w:rsidRPr="00C02B16" w:rsidRDefault="00216DC0" w:rsidP="00D4226B">
            <w:pPr>
              <w:pStyle w:val="Textoindependiente"/>
              <w:ind w:right="-50"/>
              <w:jc w:val="both"/>
              <w:rPr>
                <w:rFonts w:ascii="Arial" w:hAnsi="Arial" w:cs="Arial"/>
              </w:rPr>
            </w:pPr>
          </w:p>
          <w:p w14:paraId="5DF812AF" w14:textId="77777777" w:rsidR="00216DC0" w:rsidRPr="00C02B16" w:rsidRDefault="00216DC0" w:rsidP="00D4226B">
            <w:pPr>
              <w:pStyle w:val="Textoindependiente"/>
              <w:ind w:right="-50"/>
              <w:jc w:val="both"/>
              <w:rPr>
                <w:rFonts w:ascii="Arial" w:hAnsi="Arial" w:cs="Arial"/>
              </w:rPr>
            </w:pPr>
            <w:r w:rsidRPr="00C02B16">
              <w:rPr>
                <w:rFonts w:ascii="Arial" w:hAnsi="Arial" w:cs="Arial"/>
                <w:b/>
                <w:bCs/>
              </w:rPr>
              <w:t xml:space="preserve">Ingresos Misionales vs Ingresos Estados Financieros 2024. </w:t>
            </w:r>
            <w:r w:rsidRPr="00C02B16">
              <w:rPr>
                <w:rFonts w:ascii="Arial" w:hAnsi="Arial" w:cs="Arial"/>
              </w:rPr>
              <w:t xml:space="preserve">Al término de la vigencia 2024; 15 oficinas continúan trabajando con el sistema misional FOLIO y 180 con el sistema misional SIR. </w:t>
            </w:r>
          </w:p>
          <w:p w14:paraId="10F1A8A8" w14:textId="77777777" w:rsidR="00216DC0" w:rsidRPr="00C02B16" w:rsidRDefault="00216DC0" w:rsidP="00D4226B">
            <w:pPr>
              <w:pStyle w:val="Textoindependiente"/>
              <w:ind w:right="-50"/>
              <w:jc w:val="both"/>
              <w:rPr>
                <w:rFonts w:ascii="Arial" w:hAnsi="Arial" w:cs="Arial"/>
              </w:rPr>
            </w:pPr>
          </w:p>
          <w:p w14:paraId="21DFE9C8" w14:textId="77777777" w:rsidR="00216DC0" w:rsidRPr="00C02B16" w:rsidRDefault="00216DC0" w:rsidP="00D4226B">
            <w:pPr>
              <w:pStyle w:val="Textoindependiente"/>
              <w:ind w:right="-50"/>
              <w:jc w:val="both"/>
              <w:rPr>
                <w:rFonts w:ascii="Arial" w:hAnsi="Arial" w:cs="Arial"/>
              </w:rPr>
            </w:pPr>
            <w:r w:rsidRPr="00C02B16">
              <w:rPr>
                <w:rFonts w:ascii="Arial" w:hAnsi="Arial" w:cs="Arial"/>
              </w:rPr>
              <w:t xml:space="preserve">A 31 de diciembre de 2024, las 15 oficinas que trabajan con el sistema misional FOLIO representan aproximadamente el 58% de los ingresos de la SNR en el último mes de la vigencia. </w:t>
            </w:r>
          </w:p>
          <w:p w14:paraId="261872B4" w14:textId="77777777" w:rsidR="00216DC0" w:rsidRPr="00C02B16" w:rsidRDefault="00216DC0" w:rsidP="00D4226B">
            <w:pPr>
              <w:pStyle w:val="Textoindependiente"/>
              <w:ind w:right="-50"/>
              <w:jc w:val="both"/>
              <w:rPr>
                <w:rFonts w:ascii="Arial" w:hAnsi="Arial" w:cs="Arial"/>
              </w:rPr>
            </w:pPr>
          </w:p>
          <w:p w14:paraId="12F51D17" w14:textId="77777777" w:rsidR="00216DC0" w:rsidRPr="00C02B16" w:rsidRDefault="00216DC0" w:rsidP="00D4226B">
            <w:pPr>
              <w:pStyle w:val="Textoindependiente"/>
              <w:ind w:right="-50"/>
              <w:jc w:val="both"/>
              <w:rPr>
                <w:rFonts w:ascii="Arial" w:hAnsi="Arial" w:cs="Arial"/>
              </w:rPr>
            </w:pPr>
            <w:r w:rsidRPr="00C02B16">
              <w:rPr>
                <w:rFonts w:ascii="Arial" w:hAnsi="Arial" w:cs="Arial"/>
              </w:rPr>
              <w:t xml:space="preserve">Durante la vigencia 2024 se realizó análisis independiente entre los documentos de derechos de registro y los certificados de tradición y libertad de acuerdo con la Ley 2159 de noviembre del 2021, toda vez que partir de la vigencia 2022 los certificados de libertad y tradición por no corresponder a derechos de registro de instrumentos públicos fueron excluidos para dar cumplimiento a lo establecido en los artículos 13 y 13A de la Ley 55 de 1985, que dio aplicabilidad a partir de enero 2022. </w:t>
            </w:r>
          </w:p>
          <w:p w14:paraId="6069A996" w14:textId="77777777" w:rsidR="00216DC0" w:rsidRPr="00C02B16" w:rsidRDefault="00216DC0" w:rsidP="00D4226B">
            <w:pPr>
              <w:pStyle w:val="Textoindependiente"/>
              <w:ind w:right="-50"/>
              <w:jc w:val="both"/>
              <w:rPr>
                <w:rFonts w:ascii="Arial" w:hAnsi="Arial" w:cs="Arial"/>
              </w:rPr>
            </w:pPr>
          </w:p>
          <w:p w14:paraId="509BBC1A" w14:textId="77777777" w:rsidR="00216DC0" w:rsidRPr="00C02B16" w:rsidRDefault="00216DC0" w:rsidP="00D4226B">
            <w:pPr>
              <w:pStyle w:val="Textoindependiente"/>
              <w:ind w:right="-50"/>
              <w:jc w:val="both"/>
              <w:rPr>
                <w:rFonts w:ascii="Arial" w:hAnsi="Arial" w:cs="Arial"/>
              </w:rPr>
            </w:pPr>
            <w:r w:rsidRPr="00C02B16">
              <w:rPr>
                <w:rFonts w:ascii="Arial" w:hAnsi="Arial" w:cs="Arial"/>
                <w:b/>
                <w:bCs/>
              </w:rPr>
              <w:t xml:space="preserve">Derechos de Registro. </w:t>
            </w:r>
            <w:r w:rsidRPr="00C02B16">
              <w:rPr>
                <w:rFonts w:ascii="Arial" w:hAnsi="Arial" w:cs="Arial"/>
                <w:b/>
                <w:u w:val="single"/>
              </w:rPr>
              <w:t>A 31 de diciembre de 2024 se evidencio una diferencia entre los valores consolidados de los reportes de los sistemas misionales y lo registrado en los estados financieros</w:t>
            </w:r>
            <w:r w:rsidRPr="00C02B16">
              <w:rPr>
                <w:rFonts w:ascii="Arial" w:hAnsi="Arial" w:cs="Arial"/>
              </w:rPr>
              <w:t>.</w:t>
            </w:r>
          </w:p>
          <w:p w14:paraId="018C1EC5" w14:textId="77777777" w:rsidR="00216DC0" w:rsidRPr="00C02B16" w:rsidRDefault="00216DC0" w:rsidP="00D4226B">
            <w:pPr>
              <w:pStyle w:val="Textoindependiente"/>
              <w:ind w:right="-50"/>
              <w:jc w:val="both"/>
              <w:rPr>
                <w:rFonts w:ascii="Arial" w:hAnsi="Arial" w:cs="Arial"/>
              </w:rPr>
            </w:pPr>
          </w:p>
          <w:p w14:paraId="77851F90" w14:textId="77777777" w:rsidR="00216DC0" w:rsidRPr="00C02B16" w:rsidRDefault="00216DC0" w:rsidP="00D4226B">
            <w:pPr>
              <w:pStyle w:val="Textoindependiente"/>
              <w:ind w:right="-50"/>
              <w:jc w:val="both"/>
              <w:rPr>
                <w:rFonts w:ascii="Arial" w:hAnsi="Arial" w:cs="Arial"/>
                <w:bCs/>
              </w:rPr>
            </w:pPr>
            <w:r w:rsidRPr="00C02B16">
              <w:rPr>
                <w:rFonts w:ascii="Arial" w:hAnsi="Arial" w:cs="Arial"/>
                <w:bCs/>
              </w:rPr>
              <w:t>Esta diferencia está justificada por la falta de interoperabilidad entre los sistemas misionales y los canales de recaudo, los ingresos recibidos por anticipado y las causaciones de ingresos de periodos anteriores que no se registran en SIR y FOLIO.</w:t>
            </w:r>
          </w:p>
          <w:p w14:paraId="4918D9C3" w14:textId="77777777" w:rsidR="00216DC0" w:rsidRPr="00C02B16" w:rsidRDefault="00216DC0" w:rsidP="00D4226B">
            <w:pPr>
              <w:pStyle w:val="Textoindependiente"/>
              <w:ind w:right="-50"/>
              <w:jc w:val="both"/>
              <w:rPr>
                <w:rFonts w:ascii="Arial" w:hAnsi="Arial" w:cs="Arial"/>
                <w:bCs/>
              </w:rPr>
            </w:pPr>
          </w:p>
          <w:p w14:paraId="5966FC5C" w14:textId="77777777" w:rsidR="00216DC0" w:rsidRPr="00C02B16" w:rsidRDefault="00216DC0" w:rsidP="00D4226B">
            <w:pPr>
              <w:pStyle w:val="Textoindependiente"/>
              <w:ind w:right="-50"/>
              <w:jc w:val="both"/>
              <w:rPr>
                <w:rFonts w:ascii="Arial" w:hAnsi="Arial" w:cs="Arial"/>
                <w:bCs/>
              </w:rPr>
            </w:pPr>
            <w:r w:rsidRPr="00C02B16">
              <w:rPr>
                <w:rFonts w:ascii="Arial" w:hAnsi="Arial" w:cs="Arial"/>
                <w:b/>
              </w:rPr>
              <w:t>Certificados de Tradición y Libertad</w:t>
            </w:r>
            <w:r w:rsidRPr="00C02B16">
              <w:rPr>
                <w:rFonts w:ascii="Arial" w:hAnsi="Arial" w:cs="Arial"/>
                <w:bCs/>
              </w:rPr>
              <w:t xml:space="preserve">. Durante la vigencia 2024 se dio continuidad a la gestión para anular los turnos de los sistemas misionales por concepto de CTL, teniendo en cuenta el incidente identificado por el error de time-out entre la plataforma de Bancarización y los sistemas misionales por la duplicidad en algunos turnos cuando los usuarios solicitaban el servicio. </w:t>
            </w:r>
          </w:p>
          <w:p w14:paraId="5EEC2C30" w14:textId="77777777" w:rsidR="00216DC0" w:rsidRPr="00C02B16" w:rsidRDefault="00216DC0" w:rsidP="00D4226B">
            <w:pPr>
              <w:pStyle w:val="Textoindependiente"/>
              <w:ind w:right="-50"/>
              <w:jc w:val="both"/>
              <w:rPr>
                <w:rFonts w:ascii="Arial" w:hAnsi="Arial" w:cs="Arial"/>
                <w:bCs/>
              </w:rPr>
            </w:pPr>
          </w:p>
          <w:p w14:paraId="25681451" w14:textId="77777777" w:rsidR="00216DC0" w:rsidRPr="00C02B16" w:rsidRDefault="00216DC0" w:rsidP="00D4226B">
            <w:pPr>
              <w:pStyle w:val="Textoindependiente"/>
              <w:ind w:right="-50"/>
              <w:jc w:val="both"/>
              <w:rPr>
                <w:rFonts w:ascii="Arial" w:hAnsi="Arial" w:cs="Arial"/>
                <w:bCs/>
              </w:rPr>
            </w:pPr>
            <w:r w:rsidRPr="00C02B16">
              <w:rPr>
                <w:rFonts w:ascii="Arial" w:hAnsi="Arial" w:cs="Arial"/>
                <w:bCs/>
              </w:rPr>
              <w:t xml:space="preserve">Por lo anterior, el 13 de agosto de 2024 se emitió resolución No 08669 que ordenaba la anulación de esos turnos de los sistemas misionales de los meses de enero a junio de 2024 y la generación y publicación de los nuevos reportes. Posteriormente, para el mes de octubre de 2024 se realizó conciliación de ingresos con los reportes actualizados disminuyendo la diferencia en $680.435.800. Actualmente, la diferencia que se presenta a 31 de diciembre de 2024 se encuentra impactada por turnos que presentan el error y que se encuentran registrados en los reportes del segundo semestre. A la fecha, se encuentra un proyecto de Resolución en proceso de revisión para que se ordene la anulación de esos turnos del segundo semestre de 2024 y completar su depuración. </w:t>
            </w:r>
          </w:p>
          <w:p w14:paraId="24E029F7" w14:textId="77777777" w:rsidR="00216DC0" w:rsidRPr="00C02B16" w:rsidRDefault="00216DC0" w:rsidP="00D4226B">
            <w:pPr>
              <w:pStyle w:val="Textoindependiente"/>
              <w:ind w:right="-50"/>
              <w:jc w:val="both"/>
              <w:rPr>
                <w:rFonts w:ascii="Arial" w:hAnsi="Arial" w:cs="Arial"/>
                <w:bCs/>
              </w:rPr>
            </w:pPr>
          </w:p>
          <w:p w14:paraId="46B6A798" w14:textId="77777777" w:rsidR="00216DC0" w:rsidRPr="00C02B16" w:rsidRDefault="00216DC0" w:rsidP="00D4226B">
            <w:pPr>
              <w:pStyle w:val="Textoindependiente"/>
              <w:ind w:right="-50"/>
              <w:jc w:val="both"/>
              <w:rPr>
                <w:rFonts w:ascii="Arial" w:hAnsi="Arial" w:cs="Arial"/>
                <w:bCs/>
              </w:rPr>
            </w:pPr>
            <w:r w:rsidRPr="00C02B16">
              <w:rPr>
                <w:rFonts w:ascii="Arial" w:hAnsi="Arial" w:cs="Arial"/>
                <w:bCs/>
              </w:rPr>
              <w:t xml:space="preserve">Una segunda causa de la diferencia obedece a que se presenta un incidente de parametrización en las cuentas bancarias en el sistema misional SIR, por lo que el Grupo de Tecnologías de la Información se encuentra subsanando este error; así mismo, una vez que sea solucionado el incidente, la OTI enviara los reportes actualizados de los turnos de Certificados de Tradición y Libertad relacionando el número de </w:t>
            </w:r>
            <w:r w:rsidRPr="00C02B16">
              <w:rPr>
                <w:rFonts w:ascii="Arial" w:hAnsi="Arial" w:cs="Arial"/>
                <w:bCs/>
              </w:rPr>
              <w:lastRenderedPageBreak/>
              <w:t>cuenta bancaria de recaudo, para que, de esta manera el Grupo de Tesorería pueda realizar un nuevo cruce y validación, de la información de ingresos por CTL de las Orips y lo presentado en los reportes del sistema misional SIR.</w:t>
            </w:r>
          </w:p>
        </w:tc>
      </w:tr>
      <w:tr w:rsidR="00216DC0" w:rsidRPr="00E232C9" w14:paraId="6A6E70E6" w14:textId="77777777" w:rsidTr="00D4226B">
        <w:trPr>
          <w:jc w:val="center"/>
        </w:trPr>
        <w:tc>
          <w:tcPr>
            <w:tcW w:w="988" w:type="dxa"/>
          </w:tcPr>
          <w:p w14:paraId="3AE232DE" w14:textId="77777777" w:rsidR="00216DC0" w:rsidRDefault="00216DC0" w:rsidP="00D4226B">
            <w:pPr>
              <w:tabs>
                <w:tab w:val="left" w:pos="1920"/>
              </w:tabs>
              <w:ind w:right="-108"/>
              <w:jc w:val="center"/>
              <w:rPr>
                <w:rFonts w:ascii="Arial" w:hAnsi="Arial" w:cs="Arial"/>
                <w:b/>
                <w:color w:val="FF0000"/>
              </w:rPr>
            </w:pPr>
            <w:r w:rsidRPr="00A71FA0">
              <w:rPr>
                <w:rFonts w:ascii="Arial" w:hAnsi="Arial" w:cs="Arial"/>
                <w:b/>
              </w:rPr>
              <w:lastRenderedPageBreak/>
              <w:t>51</w:t>
            </w:r>
          </w:p>
        </w:tc>
        <w:tc>
          <w:tcPr>
            <w:tcW w:w="9497" w:type="dxa"/>
          </w:tcPr>
          <w:p w14:paraId="12C64F75" w14:textId="77777777" w:rsidR="00216DC0" w:rsidRPr="00A71FA0" w:rsidRDefault="00216DC0" w:rsidP="00D4226B">
            <w:pPr>
              <w:jc w:val="both"/>
              <w:rPr>
                <w:rFonts w:ascii="Arial" w:hAnsi="Arial" w:cs="Arial"/>
              </w:rPr>
            </w:pPr>
            <w:r w:rsidRPr="00A71FA0">
              <w:rPr>
                <w:rFonts w:ascii="Arial" w:hAnsi="Arial" w:cs="Arial"/>
                <w:b/>
                <w:lang w:val="es-MX"/>
              </w:rPr>
              <w:t xml:space="preserve">CORPORACION PARA EL DESARROLLO SOSTENIBLE DEL NORTE Y EL ORIENTE AMAZONICO - C.D.A. </w:t>
            </w:r>
            <w:r w:rsidRPr="00A71FA0">
              <w:rPr>
                <w:rFonts w:ascii="Arial" w:hAnsi="Arial" w:cs="Arial"/>
                <w:b/>
              </w:rPr>
              <w:t xml:space="preserve">Limitaciones y Deficiencias Operativas. </w:t>
            </w:r>
            <w:r w:rsidRPr="00A71FA0">
              <w:rPr>
                <w:rFonts w:ascii="Arial" w:hAnsi="Arial" w:cs="Arial"/>
              </w:rPr>
              <w:t xml:space="preserve">Las principales limitaciones y/o deficiencias generales de tipo operativo o administrativo que han incidido en el normal desarrollo del proceso contable y/o afectan la consistencia y razonabilidad de las cifras. </w:t>
            </w:r>
          </w:p>
          <w:p w14:paraId="5CE3090E" w14:textId="77777777" w:rsidR="00216DC0" w:rsidRPr="00A71FA0" w:rsidRDefault="00216DC0" w:rsidP="00D4226B">
            <w:pPr>
              <w:pStyle w:val="Textoindependiente"/>
              <w:ind w:right="-50"/>
              <w:jc w:val="both"/>
              <w:rPr>
                <w:rFonts w:ascii="Arial" w:hAnsi="Arial" w:cs="Arial"/>
              </w:rPr>
            </w:pPr>
          </w:p>
          <w:p w14:paraId="0CDF37DA" w14:textId="77777777" w:rsidR="00216DC0" w:rsidRPr="00A71FA0" w:rsidRDefault="00216DC0" w:rsidP="00AE3935">
            <w:pPr>
              <w:pStyle w:val="Textoindependiente"/>
              <w:numPr>
                <w:ilvl w:val="0"/>
                <w:numId w:val="82"/>
              </w:numPr>
              <w:ind w:right="-50"/>
              <w:jc w:val="both"/>
              <w:rPr>
                <w:rFonts w:ascii="Arial" w:hAnsi="Arial" w:cs="Arial"/>
                <w:bCs/>
              </w:rPr>
            </w:pPr>
            <w:r w:rsidRPr="00A71FA0">
              <w:rPr>
                <w:rFonts w:ascii="Arial" w:hAnsi="Arial" w:cs="Arial"/>
              </w:rPr>
              <w:t xml:space="preserve">El área financiera ha insistido en el manejo del flujo de la información con todas las demás áreas, reiterando lo contemplado en la circular 001 de 2009 “Compromiso NOTAS A LOS ESTADOS FINANCIEROS VIGENCIA 2024 institucional para todas las dependencias que ejecutan procesos diferentes al contable </w:t>
            </w:r>
            <w:r w:rsidRPr="00A71FA0">
              <w:rPr>
                <w:rFonts w:ascii="Arial" w:hAnsi="Arial" w:cs="Arial"/>
                <w:b/>
                <w:u w:val="single"/>
              </w:rPr>
              <w:t>“Pero aún falta que algunos funcionarios se comprometan con la entidad para tener la información completa y a tiempo en el área financiera para generar los respectivos registros; por otra parte también tenemos dificultades técnicas, distancia y desplazamiento entre las seccionales de Guaviare y Vaupés y la sede principal que está en Inírida</w:t>
            </w:r>
            <w:r w:rsidRPr="00A71FA0">
              <w:rPr>
                <w:rFonts w:ascii="Arial" w:hAnsi="Arial" w:cs="Arial"/>
              </w:rPr>
              <w:t>.</w:t>
            </w:r>
          </w:p>
        </w:tc>
      </w:tr>
    </w:tbl>
    <w:p w14:paraId="29EE0511" w14:textId="77777777" w:rsidR="00216DC0" w:rsidRPr="0025451A" w:rsidRDefault="00216DC0" w:rsidP="00216DC0">
      <w:pPr>
        <w:ind w:left="-426" w:right="-234"/>
        <w:jc w:val="both"/>
        <w:rPr>
          <w:rFonts w:ascii="Arial" w:hAnsi="Arial" w:cs="Arial"/>
          <w:b/>
          <w:spacing w:val="-3"/>
          <w:sz w:val="28"/>
          <w:szCs w:val="28"/>
          <w:u w:val="single"/>
        </w:rPr>
      </w:pPr>
    </w:p>
    <w:p w14:paraId="6B817F76" w14:textId="7E8821F5" w:rsidR="00E46C0A" w:rsidRPr="00E46C0A" w:rsidRDefault="00E46C0A" w:rsidP="00E46C0A">
      <w:pPr>
        <w:ind w:left="-284" w:right="49"/>
        <w:jc w:val="center"/>
        <w:rPr>
          <w:rFonts w:ascii="Arial" w:hAnsi="Arial" w:cs="Arial"/>
          <w:b/>
          <w:spacing w:val="-3"/>
          <w:sz w:val="28"/>
          <w:szCs w:val="28"/>
          <w:u w:val="single"/>
          <w:lang w:val="es-ES_tradnl"/>
        </w:rPr>
      </w:pPr>
      <w:bookmarkStart w:id="51" w:name="_Hlk210307537"/>
      <w:r w:rsidRPr="00E46C0A">
        <w:rPr>
          <w:rFonts w:ascii="Arial" w:hAnsi="Arial" w:cs="Arial"/>
          <w:b/>
          <w:spacing w:val="-3"/>
          <w:sz w:val="28"/>
          <w:szCs w:val="28"/>
          <w:u w:val="single"/>
          <w:lang w:val="es-ES_tradnl"/>
        </w:rPr>
        <w:t xml:space="preserve">17.- OBSERVACIONES GENERALES </w:t>
      </w:r>
      <w:r w:rsidRPr="00E46C0A">
        <w:rPr>
          <w:rFonts w:ascii="Arial" w:hAnsi="Arial" w:cs="Arial"/>
          <w:b/>
          <w:sz w:val="28"/>
          <w:szCs w:val="28"/>
          <w:u w:val="single"/>
        </w:rPr>
        <w:t xml:space="preserve">DETERMINADAS POR LA COMISIÓN LEGAL DE CUENTAS DE LA CÁMARA DE REPRESENTANTES </w:t>
      </w:r>
      <w:r w:rsidRPr="00E46C0A">
        <w:rPr>
          <w:rFonts w:ascii="Arial" w:hAnsi="Arial" w:cs="Arial"/>
          <w:b/>
          <w:spacing w:val="-3"/>
          <w:sz w:val="28"/>
          <w:szCs w:val="28"/>
          <w:u w:val="single"/>
          <w:lang w:val="es-ES_tradnl"/>
        </w:rPr>
        <w:t>A LOS INFORMES DE LOS REVISORES FISCALES DE VARIAS EMPRESAS DEL ESTADO VIGENCIA FISCAL 2024.</w:t>
      </w:r>
    </w:p>
    <w:bookmarkEnd w:id="51"/>
    <w:p w14:paraId="67651D69" w14:textId="77777777" w:rsidR="00E46C0A" w:rsidRDefault="00E46C0A" w:rsidP="00E46C0A">
      <w:pPr>
        <w:ind w:left="-284" w:right="-234"/>
        <w:jc w:val="both"/>
        <w:rPr>
          <w:rFonts w:ascii="Arial" w:hAnsi="Arial" w:cs="Arial"/>
          <w:b/>
          <w:sz w:val="28"/>
          <w:szCs w:val="28"/>
          <w:lang w:val="es-MX"/>
        </w:rPr>
      </w:pPr>
    </w:p>
    <w:p w14:paraId="484CC8B8" w14:textId="63E51BB7" w:rsidR="00E46C0A" w:rsidRPr="00214AD6" w:rsidRDefault="00E46C0A" w:rsidP="00E46C0A">
      <w:pPr>
        <w:ind w:left="-284" w:right="-234"/>
        <w:jc w:val="both"/>
        <w:rPr>
          <w:rFonts w:ascii="Arial" w:hAnsi="Arial" w:cs="Arial"/>
          <w:b/>
          <w:sz w:val="28"/>
          <w:szCs w:val="28"/>
          <w:lang w:val="es-MX"/>
        </w:rPr>
      </w:pPr>
      <w:r w:rsidRPr="00214AD6">
        <w:rPr>
          <w:rFonts w:ascii="Arial" w:hAnsi="Arial" w:cs="Arial"/>
          <w:b/>
          <w:sz w:val="28"/>
          <w:szCs w:val="28"/>
          <w:lang w:val="es-MX"/>
        </w:rPr>
        <w:t>11.- INSTITUTO COLOMBIANO DE CRÉDITO EDUCATIVO Y ESTUDIOS TÉCNICOS EN EL EXTERIOR “MARIANO OSPINA PEREZ” - ICETEX.</w:t>
      </w:r>
    </w:p>
    <w:p w14:paraId="44BD210C" w14:textId="77777777" w:rsidR="00E46C0A" w:rsidRDefault="00E46C0A" w:rsidP="00E46C0A">
      <w:pPr>
        <w:pStyle w:val="Textoindependiente"/>
        <w:ind w:left="-142" w:right="-234"/>
        <w:jc w:val="both"/>
        <w:rPr>
          <w:b/>
        </w:rPr>
      </w:pPr>
    </w:p>
    <w:p w14:paraId="26A999E9" w14:textId="77777777" w:rsidR="00E46C0A" w:rsidRPr="00214AD6" w:rsidRDefault="00E46C0A" w:rsidP="00E46C0A">
      <w:pPr>
        <w:pStyle w:val="Textoindependiente"/>
        <w:ind w:left="-284" w:right="-50"/>
        <w:jc w:val="both"/>
        <w:rPr>
          <w:rFonts w:ascii="Arial" w:hAnsi="Arial" w:cs="Arial"/>
          <w:b/>
          <w:bCs/>
          <w:sz w:val="24"/>
          <w:szCs w:val="24"/>
        </w:rPr>
      </w:pPr>
      <w:r w:rsidRPr="00214AD6">
        <w:rPr>
          <w:rFonts w:ascii="Arial" w:hAnsi="Arial" w:cs="Arial"/>
          <w:b/>
          <w:bCs/>
          <w:sz w:val="24"/>
          <w:szCs w:val="24"/>
        </w:rPr>
        <w:t>“1 ESTIMACIÓN DE LA PROVISIÓN DE LA CARTERA.</w:t>
      </w:r>
    </w:p>
    <w:p w14:paraId="53823D3C" w14:textId="77777777" w:rsidR="00E46C0A" w:rsidRPr="00214AD6" w:rsidRDefault="00E46C0A" w:rsidP="00E46C0A">
      <w:pPr>
        <w:pStyle w:val="Textoindependiente"/>
        <w:ind w:left="-284" w:right="-50"/>
        <w:jc w:val="both"/>
        <w:rPr>
          <w:rFonts w:ascii="Arial" w:hAnsi="Arial" w:cs="Arial"/>
          <w:b/>
          <w:bCs/>
          <w:sz w:val="24"/>
          <w:szCs w:val="24"/>
        </w:rPr>
      </w:pPr>
    </w:p>
    <w:p w14:paraId="46740C79" w14:textId="77777777" w:rsidR="00E46C0A" w:rsidRPr="00214AD6" w:rsidRDefault="00E46C0A" w:rsidP="00E46C0A">
      <w:pPr>
        <w:pStyle w:val="Textoindependiente"/>
        <w:ind w:left="-284" w:right="-234"/>
        <w:jc w:val="both"/>
        <w:rPr>
          <w:rFonts w:ascii="Arial" w:hAnsi="Arial" w:cs="Arial"/>
          <w:bCs/>
          <w:sz w:val="24"/>
          <w:szCs w:val="24"/>
        </w:rPr>
      </w:pPr>
      <w:r w:rsidRPr="00214AD6">
        <w:rPr>
          <w:rFonts w:ascii="Arial" w:hAnsi="Arial" w:cs="Arial"/>
          <w:b/>
          <w:bCs/>
          <w:sz w:val="24"/>
          <w:szCs w:val="24"/>
        </w:rPr>
        <w:t xml:space="preserve">Asunto clave de auditoría. </w:t>
      </w:r>
      <w:r w:rsidRPr="00214AD6">
        <w:rPr>
          <w:rFonts w:ascii="Arial" w:hAnsi="Arial" w:cs="Arial"/>
          <w:bCs/>
          <w:sz w:val="24"/>
          <w:szCs w:val="24"/>
        </w:rPr>
        <w:t>La estimación del deterioro de la cartera de créditos es el estimado más importante y complejo en la preparación de los estados financieros del ICETEX al 31 de diciembre de 2024, ya que corresponde al monto que resulta de la medición de las probabilidades de incumplimiento (PI) y pérdida dada el incumplimiento (PDI) en su cartera de créditos.</w:t>
      </w:r>
    </w:p>
    <w:p w14:paraId="6D0F6A73" w14:textId="77777777" w:rsidR="00E46C0A" w:rsidRPr="00214AD6" w:rsidRDefault="00E46C0A" w:rsidP="00E46C0A">
      <w:pPr>
        <w:pStyle w:val="Textoindependiente"/>
        <w:ind w:left="-284" w:right="-50"/>
        <w:jc w:val="both"/>
        <w:rPr>
          <w:rFonts w:ascii="Arial" w:hAnsi="Arial" w:cs="Arial"/>
          <w:bCs/>
          <w:sz w:val="24"/>
          <w:szCs w:val="24"/>
        </w:rPr>
      </w:pPr>
    </w:p>
    <w:p w14:paraId="0373BE95" w14:textId="77777777" w:rsidR="00E46C0A" w:rsidRPr="00214AD6" w:rsidRDefault="00E46C0A" w:rsidP="00E46C0A">
      <w:pPr>
        <w:pStyle w:val="Textoindependiente"/>
        <w:ind w:left="-284" w:right="-234"/>
        <w:jc w:val="both"/>
        <w:rPr>
          <w:rFonts w:ascii="Arial" w:hAnsi="Arial" w:cs="Arial"/>
          <w:bCs/>
          <w:sz w:val="24"/>
          <w:szCs w:val="24"/>
        </w:rPr>
      </w:pPr>
      <w:r w:rsidRPr="00214AD6">
        <w:rPr>
          <w:rFonts w:ascii="Arial" w:hAnsi="Arial" w:cs="Arial"/>
          <w:bCs/>
          <w:sz w:val="24"/>
          <w:szCs w:val="24"/>
        </w:rPr>
        <w:t>El ICETEX mide el deterioro de la cartera, mediante la aplicación de un modelo interno de pérdida esperada, mediante el cual se obtiene el valor de la provisión a nivel individual y en la cuales incorpora elementos de juicio significativo como es la probabilidad de incumplimiento (PI) y la pérdida dada el incumplimiento (PDI), en la cual se establecen una serie de variables dependiendo el tipo de crédito.</w:t>
      </w:r>
    </w:p>
    <w:p w14:paraId="0A6316E6" w14:textId="77777777" w:rsidR="00E46C0A" w:rsidRPr="00214AD6" w:rsidRDefault="00E46C0A" w:rsidP="00E46C0A">
      <w:pPr>
        <w:pStyle w:val="Textoindependiente"/>
        <w:ind w:left="-284" w:right="-234"/>
        <w:jc w:val="both"/>
        <w:rPr>
          <w:rFonts w:ascii="Arial" w:hAnsi="Arial" w:cs="Arial"/>
          <w:bCs/>
          <w:sz w:val="24"/>
          <w:szCs w:val="24"/>
        </w:rPr>
      </w:pPr>
    </w:p>
    <w:p w14:paraId="167234F2" w14:textId="77777777" w:rsidR="00E46C0A" w:rsidRPr="00214AD6" w:rsidRDefault="00E46C0A" w:rsidP="00E46C0A">
      <w:pPr>
        <w:pStyle w:val="Textoindependiente"/>
        <w:ind w:left="-284" w:right="-234"/>
        <w:jc w:val="both"/>
        <w:rPr>
          <w:rFonts w:ascii="Arial" w:hAnsi="Arial" w:cs="Arial"/>
          <w:bCs/>
          <w:sz w:val="24"/>
          <w:szCs w:val="24"/>
        </w:rPr>
      </w:pPr>
      <w:r w:rsidRPr="00214AD6">
        <w:rPr>
          <w:rFonts w:ascii="Arial" w:hAnsi="Arial" w:cs="Arial"/>
          <w:bCs/>
          <w:sz w:val="24"/>
          <w:szCs w:val="24"/>
        </w:rPr>
        <w:t xml:space="preserve">Por lo anterior, se considera un asunto significativo la evaluación del deterioro de cartera, ya que aunque su aplicación se da sobre un modelo interno que sustancialmente se basa en el modelo de deterioro establecido por la Superintendencia Financiera de Colombia para entidades de crédito, en cuanto al  “Punto de Default” y las “Variables de Mora” al ser un modelo interno de variables establecidas por el ICETEX, </w:t>
      </w:r>
      <w:r w:rsidRPr="00214AD6">
        <w:rPr>
          <w:rFonts w:ascii="Arial" w:hAnsi="Arial" w:cs="Arial"/>
          <w:b/>
          <w:sz w:val="24"/>
          <w:szCs w:val="24"/>
          <w:u w:val="single"/>
        </w:rPr>
        <w:t>la gerencia realiza juicios y estimaciones que pueden cambiar la calificación del modelo o crear provisiones adicionales, incrementando la posibilidad de que los desenlaces de las incertidumbres afecten en el futuro el valor en libros de la Cartera de Créditos”</w:t>
      </w:r>
      <w:r w:rsidRPr="00214AD6">
        <w:rPr>
          <w:rFonts w:ascii="Arial" w:hAnsi="Arial" w:cs="Arial"/>
          <w:bCs/>
          <w:sz w:val="24"/>
          <w:szCs w:val="24"/>
        </w:rPr>
        <w:t>.</w:t>
      </w:r>
    </w:p>
    <w:p w14:paraId="3665F504" w14:textId="77777777" w:rsidR="00E46C0A" w:rsidRPr="00214AD6" w:rsidRDefault="00E46C0A" w:rsidP="00E46C0A">
      <w:pPr>
        <w:pStyle w:val="Textoindependiente"/>
        <w:ind w:left="-284" w:right="-50"/>
        <w:jc w:val="both"/>
        <w:rPr>
          <w:rFonts w:ascii="Arial" w:hAnsi="Arial" w:cs="Arial"/>
          <w:b/>
          <w:bCs/>
          <w:sz w:val="24"/>
          <w:szCs w:val="24"/>
        </w:rPr>
      </w:pPr>
    </w:p>
    <w:p w14:paraId="007570C6" w14:textId="77777777" w:rsidR="00E46C0A" w:rsidRPr="00080FEF" w:rsidRDefault="00E46C0A" w:rsidP="00E46C0A">
      <w:pPr>
        <w:ind w:left="-284" w:right="-234"/>
        <w:jc w:val="both"/>
        <w:rPr>
          <w:rFonts w:ascii="Arial" w:hAnsi="Arial" w:cs="Arial"/>
          <w:b/>
          <w:sz w:val="28"/>
          <w:szCs w:val="28"/>
          <w:lang w:val="es-MX"/>
        </w:rPr>
      </w:pPr>
      <w:r w:rsidRPr="00080FEF">
        <w:rPr>
          <w:rFonts w:ascii="Arial" w:hAnsi="Arial" w:cs="Arial"/>
          <w:b/>
          <w:sz w:val="28"/>
          <w:szCs w:val="28"/>
          <w:lang w:val="es-MX"/>
        </w:rPr>
        <w:t>1</w:t>
      </w:r>
      <w:r>
        <w:rPr>
          <w:rFonts w:ascii="Arial" w:hAnsi="Arial" w:cs="Arial"/>
          <w:b/>
          <w:sz w:val="28"/>
          <w:szCs w:val="28"/>
          <w:lang w:val="es-MX"/>
        </w:rPr>
        <w:t>3</w:t>
      </w:r>
      <w:r w:rsidRPr="00080FEF">
        <w:rPr>
          <w:rFonts w:ascii="Arial" w:hAnsi="Arial" w:cs="Arial"/>
          <w:b/>
          <w:sz w:val="28"/>
          <w:szCs w:val="28"/>
          <w:lang w:val="es-MX"/>
        </w:rPr>
        <w:t>.- FONDO DE PREVISIÓN SOCIAL DEL CONGRESO DE LA REPÚBLICA - PATRIMONIO AUTÓNOMO DE VEJEZ.</w:t>
      </w:r>
    </w:p>
    <w:p w14:paraId="347418FF" w14:textId="77777777" w:rsidR="00E46C0A" w:rsidRDefault="00E46C0A" w:rsidP="00E46C0A">
      <w:pPr>
        <w:ind w:left="-284" w:right="49"/>
        <w:jc w:val="both"/>
        <w:rPr>
          <w:rFonts w:ascii="Arial" w:hAnsi="Arial" w:cs="Arial"/>
          <w:b/>
          <w:spacing w:val="-3"/>
          <w:sz w:val="24"/>
          <w:szCs w:val="24"/>
          <w:lang w:val="es-ES_tradnl"/>
        </w:rPr>
      </w:pPr>
    </w:p>
    <w:p w14:paraId="64EFC9E6" w14:textId="77777777" w:rsidR="00E46C0A" w:rsidRPr="00C40BED" w:rsidRDefault="00E46C0A" w:rsidP="00E46C0A">
      <w:pPr>
        <w:pStyle w:val="Textoindependiente"/>
        <w:ind w:left="-284" w:right="-50"/>
        <w:jc w:val="both"/>
        <w:rPr>
          <w:rFonts w:ascii="Arial" w:hAnsi="Arial" w:cs="Arial"/>
          <w:b/>
          <w:bCs/>
          <w:sz w:val="24"/>
          <w:szCs w:val="24"/>
        </w:rPr>
      </w:pPr>
      <w:r w:rsidRPr="00C40BED">
        <w:rPr>
          <w:rFonts w:ascii="Arial" w:hAnsi="Arial" w:cs="Arial"/>
          <w:b/>
          <w:bCs/>
          <w:sz w:val="24"/>
          <w:szCs w:val="24"/>
        </w:rPr>
        <w:t>“Párrafo de Énfasis.</w:t>
      </w:r>
    </w:p>
    <w:p w14:paraId="5E216B09" w14:textId="77777777" w:rsidR="00E46C0A" w:rsidRPr="00C40BED" w:rsidRDefault="00E46C0A" w:rsidP="00E46C0A">
      <w:pPr>
        <w:pStyle w:val="Textoindependiente"/>
        <w:ind w:left="-284" w:right="-50"/>
        <w:jc w:val="both"/>
        <w:rPr>
          <w:rFonts w:ascii="Arial" w:hAnsi="Arial" w:cs="Arial"/>
          <w:b/>
          <w:bCs/>
          <w:sz w:val="24"/>
          <w:szCs w:val="24"/>
        </w:rPr>
      </w:pPr>
    </w:p>
    <w:p w14:paraId="43141EC6" w14:textId="77777777" w:rsidR="00E46C0A" w:rsidRPr="00C40BED" w:rsidRDefault="00E46C0A" w:rsidP="00292104">
      <w:pPr>
        <w:pStyle w:val="Textoindependiente"/>
        <w:ind w:left="-284" w:right="-234"/>
        <w:jc w:val="both"/>
        <w:rPr>
          <w:rFonts w:ascii="Arial" w:hAnsi="Arial" w:cs="Arial"/>
          <w:bCs/>
          <w:sz w:val="24"/>
          <w:szCs w:val="24"/>
        </w:rPr>
      </w:pPr>
      <w:r w:rsidRPr="00C40BED">
        <w:rPr>
          <w:rFonts w:ascii="Arial" w:hAnsi="Arial" w:cs="Arial"/>
          <w:bCs/>
          <w:sz w:val="24"/>
          <w:szCs w:val="24"/>
        </w:rPr>
        <w:t>Invitamos al FONDO DE PREVISIÓN SOCIAL DEL CONGRESO DE LA REPÚBLICA a revisar la nota “3.3 correcciones contables”, en relación con los saldos allí reportados en cuentas de orden por los intereses de mora en la Reserva de Vejez; en razón a que en nuestro proceso de auditoría se evidenció inconsistencias en el reporte del consolidado de los intereses de mora, generado del aplicativo ZBOX, presuntamente generados en la parametrización de este reporte; sobre lo cual el Fondo estableció un plan de mejoramiento para su subsanación; en tal sentido quedamos atentos a los resultados que arroje este plan. Cabe anotar que mi opinión no ha sido modificada con relación a esta cuestión y que corresponde a una recomendación de buena práctica”.</w:t>
      </w:r>
    </w:p>
    <w:p w14:paraId="75ED57FC" w14:textId="77777777" w:rsidR="00E46C0A" w:rsidRDefault="00E46C0A" w:rsidP="00292104">
      <w:pPr>
        <w:ind w:left="-284" w:right="-234"/>
        <w:jc w:val="both"/>
        <w:rPr>
          <w:rFonts w:ascii="Arial" w:hAnsi="Arial" w:cs="Arial"/>
          <w:b/>
          <w:spacing w:val="-3"/>
          <w:sz w:val="24"/>
          <w:szCs w:val="24"/>
          <w:lang w:val="es-ES_tradnl"/>
        </w:rPr>
      </w:pPr>
    </w:p>
    <w:p w14:paraId="2D555862" w14:textId="77777777" w:rsidR="00E46C0A" w:rsidRPr="00ED50B2" w:rsidRDefault="00E46C0A" w:rsidP="00292104">
      <w:pPr>
        <w:ind w:left="-284" w:right="-234"/>
        <w:jc w:val="both"/>
        <w:rPr>
          <w:rFonts w:ascii="Arial" w:hAnsi="Arial" w:cs="Arial"/>
          <w:b/>
          <w:sz w:val="28"/>
          <w:szCs w:val="28"/>
          <w:lang w:val="es-MX"/>
        </w:rPr>
      </w:pPr>
      <w:r w:rsidRPr="00ED50B2">
        <w:rPr>
          <w:rFonts w:ascii="Arial" w:hAnsi="Arial" w:cs="Arial"/>
          <w:b/>
          <w:sz w:val="28"/>
          <w:szCs w:val="28"/>
          <w:lang w:val="es-MX"/>
        </w:rPr>
        <w:t xml:space="preserve">14.- FONDO DE PREVISIÓN SOCIAL DEL CONGRESO DE LA REPÚBLICA – PATRIMONIO AUTÓNOMO DE INVALIDEZ. </w:t>
      </w:r>
    </w:p>
    <w:p w14:paraId="3E2C6891" w14:textId="77777777" w:rsidR="00E46C0A" w:rsidRPr="00ED50B2" w:rsidRDefault="00E46C0A" w:rsidP="00E46C0A">
      <w:pPr>
        <w:pStyle w:val="Prrafodelista"/>
        <w:spacing w:before="92"/>
        <w:ind w:left="-142"/>
        <w:rPr>
          <w:rFonts w:ascii="Arial" w:hAnsi="Arial" w:cs="Arial"/>
          <w:b/>
          <w:sz w:val="24"/>
        </w:rPr>
      </w:pPr>
    </w:p>
    <w:p w14:paraId="48B448A9" w14:textId="77777777" w:rsidR="00E46C0A" w:rsidRPr="00ED50B2" w:rsidRDefault="00E46C0A" w:rsidP="00E46C0A">
      <w:pPr>
        <w:pStyle w:val="Textoindependiente"/>
        <w:ind w:left="-284" w:right="-50"/>
        <w:jc w:val="both"/>
        <w:rPr>
          <w:rFonts w:ascii="Arial" w:hAnsi="Arial" w:cs="Arial"/>
          <w:b/>
          <w:bCs/>
          <w:sz w:val="24"/>
          <w:szCs w:val="24"/>
        </w:rPr>
      </w:pPr>
      <w:r>
        <w:rPr>
          <w:b/>
          <w:bCs/>
        </w:rPr>
        <w:t>“</w:t>
      </w:r>
      <w:r w:rsidRPr="00ED50B2">
        <w:rPr>
          <w:rFonts w:ascii="Arial" w:hAnsi="Arial" w:cs="Arial"/>
          <w:b/>
          <w:bCs/>
          <w:sz w:val="24"/>
          <w:szCs w:val="24"/>
        </w:rPr>
        <w:t>Párrafo de Énfasis.</w:t>
      </w:r>
    </w:p>
    <w:p w14:paraId="475447E5" w14:textId="77777777" w:rsidR="00E46C0A" w:rsidRPr="00ED50B2" w:rsidRDefault="00E46C0A" w:rsidP="00E46C0A">
      <w:pPr>
        <w:pStyle w:val="Textoindependiente"/>
        <w:ind w:right="-50"/>
        <w:jc w:val="both"/>
        <w:rPr>
          <w:rFonts w:ascii="Arial" w:hAnsi="Arial" w:cs="Arial"/>
          <w:b/>
          <w:bCs/>
          <w:sz w:val="24"/>
          <w:szCs w:val="24"/>
        </w:rPr>
      </w:pPr>
    </w:p>
    <w:p w14:paraId="0757077E" w14:textId="77777777" w:rsidR="00E46C0A" w:rsidRDefault="00E46C0A" w:rsidP="00292104">
      <w:pPr>
        <w:pStyle w:val="Textoindependiente"/>
        <w:ind w:left="-284" w:right="-234"/>
        <w:jc w:val="both"/>
        <w:rPr>
          <w:rFonts w:ascii="Arial" w:hAnsi="Arial" w:cs="Arial"/>
          <w:bCs/>
          <w:sz w:val="24"/>
          <w:szCs w:val="24"/>
        </w:rPr>
      </w:pPr>
      <w:r w:rsidRPr="00ED50B2">
        <w:rPr>
          <w:rFonts w:ascii="Arial" w:hAnsi="Arial" w:cs="Arial"/>
          <w:bCs/>
          <w:sz w:val="24"/>
          <w:szCs w:val="24"/>
        </w:rPr>
        <w:t>Invitamos al FONDO DE PREVISIÓN SOCIAL DEL CONGRESO DE LA REPÚBLICA a revisar la nota “3.3 correcciones contables”, en relación con los saldos allí reportados en cuentas de orden por los intereses de mora en la Reserva de Invalidez; en razón a que en nuestro proceso de auditoría se evidenció inconsistencias en el reporte del consolidado de los intereses de mora, generado del aplicativo ZBOX, presuntamente generados en la parametrización de este reporte; sobre lo cual el Fondo estableció un plan de mejoramiento para su subsanación; en tal sentido quedamos atentos a los resultados que arroje este plan. Cabe anotar que mi opinión no ha sido modificada con relación a esta cuestión y que corresponde a una recomendación de buena práctica”.</w:t>
      </w:r>
    </w:p>
    <w:p w14:paraId="30C72472" w14:textId="77777777" w:rsidR="00E46C0A" w:rsidRDefault="00E46C0A" w:rsidP="00292104">
      <w:pPr>
        <w:pStyle w:val="Textoindependiente"/>
        <w:ind w:left="-284" w:right="-234"/>
        <w:jc w:val="both"/>
        <w:rPr>
          <w:rFonts w:ascii="Arial" w:hAnsi="Arial" w:cs="Arial"/>
          <w:bCs/>
          <w:sz w:val="24"/>
          <w:szCs w:val="24"/>
        </w:rPr>
      </w:pPr>
    </w:p>
    <w:p w14:paraId="62CE01AE" w14:textId="77777777" w:rsidR="00E46C0A" w:rsidRPr="00973832" w:rsidRDefault="00E46C0A" w:rsidP="00292104">
      <w:pPr>
        <w:ind w:left="-284" w:right="-234"/>
        <w:jc w:val="both"/>
        <w:rPr>
          <w:rFonts w:ascii="Arial" w:hAnsi="Arial" w:cs="Arial"/>
          <w:b/>
          <w:sz w:val="28"/>
          <w:szCs w:val="28"/>
          <w:lang w:val="es-MX"/>
        </w:rPr>
      </w:pPr>
      <w:r w:rsidRPr="00973832">
        <w:rPr>
          <w:rFonts w:ascii="Arial" w:hAnsi="Arial" w:cs="Arial"/>
          <w:b/>
          <w:sz w:val="28"/>
          <w:szCs w:val="28"/>
          <w:lang w:val="es-MX"/>
        </w:rPr>
        <w:t>15.- FONDO DE PREVISIÓN SOCIAL DEL CONGRESO DE LA REPÚBLICA – PATRIMONIO AUTÓNOMO DE SOBREVIVENCIA.</w:t>
      </w:r>
    </w:p>
    <w:p w14:paraId="14234901" w14:textId="77777777" w:rsidR="00E46C0A" w:rsidRPr="00973832" w:rsidRDefault="00E46C0A" w:rsidP="00292104">
      <w:pPr>
        <w:ind w:left="-284" w:right="-234"/>
        <w:jc w:val="both"/>
        <w:rPr>
          <w:rFonts w:ascii="Arial" w:hAnsi="Arial" w:cs="Arial"/>
          <w:b/>
          <w:sz w:val="28"/>
          <w:szCs w:val="28"/>
          <w:lang w:val="es-MX"/>
        </w:rPr>
      </w:pPr>
    </w:p>
    <w:p w14:paraId="28B46835" w14:textId="77777777" w:rsidR="00E46C0A" w:rsidRPr="00973832" w:rsidRDefault="00E46C0A" w:rsidP="00292104">
      <w:pPr>
        <w:pStyle w:val="Textoindependiente"/>
        <w:ind w:left="-284" w:right="-234"/>
        <w:jc w:val="both"/>
        <w:rPr>
          <w:rFonts w:ascii="Arial" w:hAnsi="Arial" w:cs="Arial"/>
          <w:b/>
          <w:bCs/>
          <w:sz w:val="24"/>
          <w:szCs w:val="24"/>
        </w:rPr>
      </w:pPr>
      <w:r w:rsidRPr="00973832">
        <w:rPr>
          <w:rFonts w:ascii="Arial" w:hAnsi="Arial" w:cs="Arial"/>
          <w:b/>
          <w:bCs/>
          <w:sz w:val="24"/>
          <w:szCs w:val="24"/>
        </w:rPr>
        <w:t>“Párrafo de Énfasis.</w:t>
      </w:r>
    </w:p>
    <w:p w14:paraId="2C0E7F9D" w14:textId="77777777" w:rsidR="00E46C0A" w:rsidRPr="00973832" w:rsidRDefault="00E46C0A" w:rsidP="00292104">
      <w:pPr>
        <w:pStyle w:val="Textoindependiente"/>
        <w:ind w:left="-284" w:right="-234"/>
        <w:jc w:val="both"/>
        <w:rPr>
          <w:rFonts w:ascii="Arial" w:hAnsi="Arial" w:cs="Arial"/>
          <w:b/>
          <w:bCs/>
          <w:sz w:val="24"/>
          <w:szCs w:val="24"/>
        </w:rPr>
      </w:pPr>
    </w:p>
    <w:p w14:paraId="43427304" w14:textId="77777777" w:rsidR="00E46C0A" w:rsidRPr="00973832" w:rsidRDefault="00E46C0A" w:rsidP="00292104">
      <w:pPr>
        <w:pStyle w:val="Textoindependiente"/>
        <w:ind w:left="-284" w:right="-234"/>
        <w:jc w:val="both"/>
        <w:rPr>
          <w:rFonts w:ascii="Arial" w:hAnsi="Arial" w:cs="Arial"/>
          <w:bCs/>
          <w:sz w:val="24"/>
          <w:szCs w:val="24"/>
        </w:rPr>
      </w:pPr>
      <w:r w:rsidRPr="00973832">
        <w:rPr>
          <w:rFonts w:ascii="Arial" w:hAnsi="Arial" w:cs="Arial"/>
          <w:bCs/>
          <w:sz w:val="24"/>
          <w:szCs w:val="24"/>
        </w:rPr>
        <w:t>Invitamos al FONDO DE PREVISIÓN SOCIAL DEL CONGRESO DE LA REPÚBLICA a revisar la nota “3.3 correcciones contables”, en relación con los saldos allí reportados en cuentas de orden por los intereses de mora en la Reserva de Invalidez; en razón a que en nuestro proceso de auditoría se evidenció inconsistencias en el reporte del consolidado de los intereses de mora, generado del aplicativo ZBOX, presuntamente generados en la parametrización de este reporte; sobre lo cual el Fondo estableció un plan de mejoramiento para su subsanación; en tal sentido quedamos atentos a los resultados que arroje este plan. Cabe anotar que mi opinión no ha sido modificada con relación a esta cuestión y que corresponde a una recomendación de buena práctica”.</w:t>
      </w:r>
    </w:p>
    <w:p w14:paraId="67433725" w14:textId="77777777" w:rsidR="00E46C0A" w:rsidRPr="00973832" w:rsidRDefault="00E46C0A" w:rsidP="00E46C0A">
      <w:pPr>
        <w:pStyle w:val="Textoindependiente"/>
        <w:ind w:left="-284" w:right="-50"/>
        <w:jc w:val="both"/>
        <w:rPr>
          <w:rFonts w:ascii="Arial" w:hAnsi="Arial" w:cs="Arial"/>
          <w:bCs/>
          <w:sz w:val="24"/>
          <w:szCs w:val="24"/>
        </w:rPr>
      </w:pPr>
    </w:p>
    <w:p w14:paraId="18A7665A" w14:textId="77777777" w:rsidR="00E46C0A" w:rsidRPr="005B113E" w:rsidRDefault="00E46C0A" w:rsidP="00E46C0A">
      <w:pPr>
        <w:ind w:left="-284"/>
        <w:jc w:val="both"/>
        <w:rPr>
          <w:rFonts w:ascii="Arial" w:hAnsi="Arial" w:cs="Arial"/>
          <w:b/>
          <w:sz w:val="28"/>
          <w:szCs w:val="28"/>
          <w:lang w:val="es-MX"/>
        </w:rPr>
      </w:pPr>
      <w:r w:rsidRPr="005B113E">
        <w:rPr>
          <w:rFonts w:ascii="Arial" w:hAnsi="Arial" w:cs="Arial"/>
          <w:b/>
          <w:sz w:val="28"/>
          <w:szCs w:val="28"/>
          <w:lang w:val="es-MX"/>
        </w:rPr>
        <w:t xml:space="preserve">16.- CONSEJO PROFESIONAL DE INGENIERÍA DE PETROLEOS - </w:t>
      </w:r>
      <w:r w:rsidRPr="005B113E">
        <w:rPr>
          <w:rFonts w:ascii="Arial" w:hAnsi="Arial" w:cs="Arial"/>
          <w:b/>
          <w:sz w:val="28"/>
          <w:szCs w:val="28"/>
        </w:rPr>
        <w:t>CPIP.</w:t>
      </w:r>
    </w:p>
    <w:p w14:paraId="690E515A" w14:textId="77777777" w:rsidR="00E46C0A" w:rsidRDefault="00E46C0A" w:rsidP="00E46C0A">
      <w:pPr>
        <w:ind w:left="-284" w:right="49"/>
        <w:jc w:val="both"/>
        <w:rPr>
          <w:rFonts w:ascii="Arial" w:hAnsi="Arial" w:cs="Arial"/>
          <w:b/>
          <w:spacing w:val="-3"/>
          <w:sz w:val="24"/>
          <w:szCs w:val="24"/>
          <w:lang w:val="es-ES_tradnl"/>
        </w:rPr>
      </w:pPr>
    </w:p>
    <w:p w14:paraId="6553CE8C" w14:textId="77777777" w:rsidR="00E46C0A" w:rsidRPr="005B113E" w:rsidRDefault="00E46C0A" w:rsidP="00E46C0A">
      <w:pPr>
        <w:pStyle w:val="Textoindependiente"/>
        <w:ind w:left="-284" w:right="-50"/>
        <w:jc w:val="both"/>
        <w:rPr>
          <w:rFonts w:ascii="Arial" w:hAnsi="Arial" w:cs="Arial"/>
          <w:b/>
          <w:bCs/>
          <w:sz w:val="24"/>
          <w:szCs w:val="24"/>
        </w:rPr>
      </w:pPr>
      <w:r>
        <w:rPr>
          <w:b/>
          <w:bCs/>
        </w:rPr>
        <w:t>“</w:t>
      </w:r>
      <w:r w:rsidRPr="005B113E">
        <w:rPr>
          <w:rFonts w:ascii="Arial" w:hAnsi="Arial" w:cs="Arial"/>
          <w:b/>
          <w:bCs/>
          <w:sz w:val="24"/>
          <w:szCs w:val="24"/>
        </w:rPr>
        <w:t>J.</w:t>
      </w:r>
      <w:r w:rsidRPr="005B113E">
        <w:rPr>
          <w:rFonts w:ascii="Arial" w:hAnsi="Arial" w:cs="Arial"/>
          <w:b/>
          <w:bCs/>
          <w:sz w:val="24"/>
          <w:szCs w:val="24"/>
        </w:rPr>
        <w:tab/>
        <w:t>Párrafo de Énfasis.</w:t>
      </w:r>
    </w:p>
    <w:p w14:paraId="5B27BD6E" w14:textId="77777777" w:rsidR="00E46C0A" w:rsidRPr="005B113E" w:rsidRDefault="00E46C0A" w:rsidP="00E46C0A">
      <w:pPr>
        <w:pStyle w:val="Textoindependiente"/>
        <w:ind w:left="-284" w:right="-50"/>
        <w:jc w:val="both"/>
        <w:rPr>
          <w:rFonts w:ascii="Arial" w:hAnsi="Arial" w:cs="Arial"/>
          <w:b/>
          <w:bCs/>
          <w:sz w:val="24"/>
          <w:szCs w:val="24"/>
        </w:rPr>
      </w:pPr>
    </w:p>
    <w:p w14:paraId="1E9B065F" w14:textId="77777777" w:rsidR="00E46C0A" w:rsidRPr="005B113E" w:rsidRDefault="00E46C0A" w:rsidP="00E46C0A">
      <w:pPr>
        <w:pStyle w:val="Textoindependiente"/>
        <w:ind w:left="-284" w:right="-50"/>
        <w:jc w:val="both"/>
        <w:rPr>
          <w:rFonts w:ascii="Arial" w:hAnsi="Arial" w:cs="Arial"/>
          <w:sz w:val="24"/>
          <w:szCs w:val="24"/>
        </w:rPr>
      </w:pPr>
      <w:r w:rsidRPr="005B113E">
        <w:rPr>
          <w:rFonts w:ascii="Arial" w:hAnsi="Arial" w:cs="Arial"/>
          <w:sz w:val="24"/>
          <w:szCs w:val="24"/>
        </w:rPr>
        <w:t>Llamamos la atención sobre el siguiente aspecto:</w:t>
      </w:r>
    </w:p>
    <w:p w14:paraId="3C502315" w14:textId="77777777" w:rsidR="00E46C0A" w:rsidRPr="005B113E" w:rsidRDefault="00E46C0A" w:rsidP="00E46C0A">
      <w:pPr>
        <w:pStyle w:val="Textoindependiente"/>
        <w:ind w:left="-284" w:right="-50"/>
        <w:jc w:val="both"/>
        <w:rPr>
          <w:rFonts w:ascii="Arial" w:hAnsi="Arial" w:cs="Arial"/>
          <w:sz w:val="24"/>
          <w:szCs w:val="24"/>
        </w:rPr>
      </w:pPr>
    </w:p>
    <w:p w14:paraId="695EBBC9" w14:textId="77777777" w:rsidR="00E46C0A" w:rsidRPr="005B113E" w:rsidRDefault="00E46C0A" w:rsidP="00292104">
      <w:pPr>
        <w:pStyle w:val="Textoindependiente"/>
        <w:ind w:left="-284" w:right="-234"/>
        <w:jc w:val="both"/>
        <w:rPr>
          <w:rFonts w:ascii="Arial" w:hAnsi="Arial" w:cs="Arial"/>
          <w:sz w:val="24"/>
          <w:szCs w:val="24"/>
        </w:rPr>
      </w:pPr>
      <w:r w:rsidRPr="005B113E">
        <w:rPr>
          <w:rFonts w:ascii="Arial" w:hAnsi="Arial" w:cs="Arial"/>
          <w:sz w:val="24"/>
          <w:szCs w:val="24"/>
        </w:rPr>
        <w:t>1)</w:t>
      </w:r>
      <w:r w:rsidRPr="005B113E">
        <w:rPr>
          <w:rFonts w:ascii="Arial" w:hAnsi="Arial" w:cs="Arial"/>
          <w:sz w:val="24"/>
          <w:szCs w:val="24"/>
        </w:rPr>
        <w:tab/>
        <w:t xml:space="preserve">Es de suma relevancia continuar con el seguimiento exhaustivo de los activos totalmente </w:t>
      </w:r>
      <w:r w:rsidRPr="005B113E">
        <w:rPr>
          <w:rFonts w:ascii="Arial" w:hAnsi="Arial" w:cs="Arial"/>
          <w:sz w:val="24"/>
          <w:szCs w:val="24"/>
        </w:rPr>
        <w:lastRenderedPageBreak/>
        <w:t>depreciados, con el propósito de evaluar su estado físico, su utilización actual y su viabilidad dentro de las operaciones de la entidad. Este análisis permite determinar si dichos activos continúan generando valor o, en su defecto, si es necesario proceder a su baja o reemplazo. Tal evaluación es crítica para asegurar que la información financiera represente de manera precisa y transparente la realidad operativa y patrimonial de la entidad. Además, esta información es esencial para respaldar la toma de decisiones estratégicas en relación con la gestión de recursos y la sostenibilidad operativa, contribuyendo así a la optimización del rendimiento y la eficiencia organizacional.</w:t>
      </w:r>
    </w:p>
    <w:p w14:paraId="72570215" w14:textId="77777777" w:rsidR="00E46C0A" w:rsidRPr="005B113E" w:rsidRDefault="00E46C0A" w:rsidP="00292104">
      <w:pPr>
        <w:pStyle w:val="Textoindependiente"/>
        <w:ind w:left="-284" w:right="-234"/>
        <w:jc w:val="both"/>
        <w:rPr>
          <w:rFonts w:ascii="Arial" w:hAnsi="Arial" w:cs="Arial"/>
          <w:sz w:val="24"/>
          <w:szCs w:val="24"/>
        </w:rPr>
      </w:pPr>
    </w:p>
    <w:p w14:paraId="0EF7C755" w14:textId="77777777" w:rsidR="00E46C0A" w:rsidRPr="005B113E" w:rsidRDefault="00E46C0A" w:rsidP="00292104">
      <w:pPr>
        <w:pStyle w:val="Textoindependiente"/>
        <w:ind w:left="-284" w:right="-234"/>
        <w:jc w:val="both"/>
        <w:rPr>
          <w:rFonts w:ascii="Arial" w:hAnsi="Arial" w:cs="Arial"/>
          <w:sz w:val="24"/>
          <w:szCs w:val="24"/>
        </w:rPr>
      </w:pPr>
      <w:r w:rsidRPr="005B113E">
        <w:rPr>
          <w:rFonts w:ascii="Arial" w:hAnsi="Arial" w:cs="Arial"/>
          <w:sz w:val="24"/>
          <w:szCs w:val="24"/>
        </w:rPr>
        <w:t>2)</w:t>
      </w:r>
      <w:r w:rsidRPr="005B113E">
        <w:rPr>
          <w:rFonts w:ascii="Arial" w:hAnsi="Arial" w:cs="Arial"/>
          <w:sz w:val="24"/>
          <w:szCs w:val="24"/>
        </w:rPr>
        <w:tab/>
        <w:t>En cumplimiento de lo establecido en la Resolución Número 438 del 05 de diciembre de 2024, se informa que las modificaciones a las Normas para el Reconocimiento, Medición, Revelación y Presentación de los Hechos Económicos del Marco Normativo para Entidades de Gobierno, entrarán en vigor de manera prospectiva a partir del 1 de enero de 2025. Estas modificaciones no implicarán la reexpresión retroactiva de los saldos al 31 de diciembre de 2024 que se presenten comparativamente en los estados financieros con corte al 31 de diciembre de 2025. Sin embargo, en dichos estados financieros, se deberá revelar el impacto que las modificaciones tengan sobre la situación financiera y el rendimiento de la entidad. Adicionalmente, las entidades contarán con un plazo hasta el 31 de marzo de 2025, para ajustar sus sistemas de información conforme a las disposiciones de la presente Resolución. Este aspecto reviste especial importancia, ya que garantiza la transparencia y la adecuada aplicación de las normas en la preparación y presentación de la información financiera”.</w:t>
      </w:r>
    </w:p>
    <w:p w14:paraId="52A6CA57" w14:textId="77777777" w:rsidR="00E46C0A" w:rsidRDefault="00E46C0A" w:rsidP="00E46C0A">
      <w:pPr>
        <w:ind w:left="-284" w:right="49"/>
        <w:jc w:val="both"/>
        <w:rPr>
          <w:rFonts w:ascii="Arial" w:hAnsi="Arial" w:cs="Arial"/>
          <w:b/>
          <w:spacing w:val="-3"/>
          <w:sz w:val="24"/>
          <w:szCs w:val="24"/>
          <w:lang w:val="es-ES_tradnl"/>
        </w:rPr>
      </w:pPr>
    </w:p>
    <w:p w14:paraId="63AD49DD" w14:textId="77777777" w:rsidR="00E46C0A" w:rsidRPr="00695617" w:rsidRDefault="00E46C0A" w:rsidP="00292104">
      <w:pPr>
        <w:ind w:left="-284" w:right="-234"/>
        <w:jc w:val="both"/>
        <w:rPr>
          <w:rFonts w:ascii="Arial" w:hAnsi="Arial" w:cs="Arial"/>
          <w:b/>
          <w:sz w:val="28"/>
          <w:szCs w:val="28"/>
          <w:lang w:val="es-MX"/>
        </w:rPr>
      </w:pPr>
      <w:r w:rsidRPr="00695617">
        <w:rPr>
          <w:rFonts w:ascii="Arial" w:hAnsi="Arial" w:cs="Arial"/>
          <w:b/>
          <w:sz w:val="28"/>
          <w:szCs w:val="28"/>
          <w:lang w:val="es-MX"/>
        </w:rPr>
        <w:t xml:space="preserve">29.- </w:t>
      </w:r>
      <w:r w:rsidRPr="00695617">
        <w:rPr>
          <w:rFonts w:ascii="Arial" w:hAnsi="Arial" w:cs="Arial"/>
          <w:b/>
          <w:sz w:val="28"/>
          <w:szCs w:val="28"/>
        </w:rPr>
        <w:t>CORPORACIÓN DE ALTA TECNOLOGÍA PARA LA DEFENSA – CODALTEC.</w:t>
      </w:r>
    </w:p>
    <w:p w14:paraId="09F79076" w14:textId="77777777" w:rsidR="00E46C0A" w:rsidRPr="00A552F0" w:rsidRDefault="00E46C0A" w:rsidP="00E46C0A">
      <w:pPr>
        <w:ind w:left="-284" w:right="49"/>
        <w:jc w:val="both"/>
        <w:rPr>
          <w:rFonts w:ascii="Arial" w:hAnsi="Arial" w:cs="Arial"/>
          <w:b/>
          <w:spacing w:val="-3"/>
          <w:sz w:val="24"/>
          <w:szCs w:val="24"/>
          <w:lang w:val="es-MX"/>
        </w:rPr>
      </w:pPr>
    </w:p>
    <w:p w14:paraId="796DA4ED" w14:textId="77777777" w:rsidR="00E46C0A" w:rsidRPr="00A552F0" w:rsidRDefault="00E46C0A" w:rsidP="00E46C0A">
      <w:pPr>
        <w:pStyle w:val="Textoindependiente"/>
        <w:ind w:left="-284" w:right="-50"/>
        <w:jc w:val="both"/>
        <w:rPr>
          <w:rFonts w:ascii="Arial" w:hAnsi="Arial" w:cs="Arial"/>
          <w:sz w:val="24"/>
          <w:szCs w:val="24"/>
        </w:rPr>
      </w:pPr>
      <w:r w:rsidRPr="00A552F0">
        <w:rPr>
          <w:rFonts w:ascii="Arial" w:hAnsi="Arial" w:cs="Arial"/>
          <w:b/>
          <w:sz w:val="24"/>
          <w:szCs w:val="24"/>
        </w:rPr>
        <w:t>“K. Párrafo de énfasis:</w:t>
      </w:r>
      <w:r w:rsidRPr="00A552F0">
        <w:rPr>
          <w:rFonts w:ascii="Arial" w:hAnsi="Arial" w:cs="Arial"/>
          <w:sz w:val="24"/>
          <w:szCs w:val="24"/>
        </w:rPr>
        <w:t xml:space="preserve"> Queremos llamar la atención a la administración sobre el siguiente aspecto: </w:t>
      </w:r>
    </w:p>
    <w:p w14:paraId="7E5D22C9" w14:textId="77777777" w:rsidR="00E46C0A" w:rsidRPr="00A552F0" w:rsidRDefault="00E46C0A" w:rsidP="00E46C0A">
      <w:pPr>
        <w:pStyle w:val="Textoindependiente"/>
        <w:ind w:left="-284" w:right="-50"/>
        <w:jc w:val="both"/>
        <w:rPr>
          <w:rFonts w:ascii="Arial" w:hAnsi="Arial" w:cs="Arial"/>
          <w:sz w:val="24"/>
          <w:szCs w:val="24"/>
        </w:rPr>
      </w:pPr>
    </w:p>
    <w:p w14:paraId="560C819D" w14:textId="77777777" w:rsidR="00E46C0A" w:rsidRPr="00A552F0" w:rsidRDefault="00E46C0A" w:rsidP="00292104">
      <w:pPr>
        <w:pStyle w:val="Textoindependiente"/>
        <w:ind w:left="-284" w:right="-234"/>
        <w:jc w:val="both"/>
        <w:rPr>
          <w:rFonts w:ascii="Arial" w:hAnsi="Arial" w:cs="Arial"/>
          <w:sz w:val="24"/>
          <w:szCs w:val="24"/>
        </w:rPr>
      </w:pPr>
      <w:r w:rsidRPr="00A552F0">
        <w:rPr>
          <w:rFonts w:ascii="Arial" w:hAnsi="Arial" w:cs="Arial"/>
          <w:sz w:val="24"/>
          <w:szCs w:val="24"/>
        </w:rPr>
        <w:t xml:space="preserve">1). Al cierre de la vigencia del año 2024, la CORPORACIÓN DE ALTA TECNOLOGÍA PARA LA DEFENSA, registró un déficit por valor aproximado de $9.968 millones de pesos, este resultado se atribuye principalmente al incremento del rubro de Otros Gastos, por concepto de Baja de Activos, que corresponde a la baja de Derechos de Propiedad Industrial (DPI) SINDER, TADER y SENSORES, detalle que se describe en la nota 9.3. Intangibles, y que revela, entre otros aspectos, que los activos no cumplen con los requisitos establecidos por el Manual de Políticas Contables de CODALTEC para formar parte de su patrimonio, siendo además que, no cumplen con lo establecido en las normas para el reconocimiento, medición, revelación y presentación de los hechos económicos del marco normativo para entidades de gobierno resoluciones 436 y 438 de 2024 de la contaduría General de la Nación CGN capítulo 1 numeral 15. Activos intangibles, aspecto que atribuye evaluar la materialidad y lo consagrado en el numeral 4.3. del capítulo VI Normas para la presentación de estados financieros y revelaciones del marco normativo para entidades de gobierno actualizadas, según la resolución 342 del 2022 y 285 del 2023 frente a las políticas contables, cambios en las estimaciones contables y corrección de errores, a su vez determinar los efectos ante los entes de control y vigilancia, asimismo, los efectos de carácter tributario, financiero, fiscal y reporte a contaduría general de la nación CHIP. </w:t>
      </w:r>
    </w:p>
    <w:p w14:paraId="38D542F8" w14:textId="77777777" w:rsidR="00E46C0A" w:rsidRDefault="00E46C0A" w:rsidP="00E46C0A">
      <w:pPr>
        <w:ind w:left="-284" w:right="49"/>
        <w:jc w:val="both"/>
        <w:rPr>
          <w:rFonts w:ascii="Arial" w:hAnsi="Arial" w:cs="Arial"/>
          <w:b/>
          <w:spacing w:val="-3"/>
          <w:sz w:val="24"/>
          <w:szCs w:val="24"/>
        </w:rPr>
      </w:pPr>
    </w:p>
    <w:p w14:paraId="68770340" w14:textId="77777777" w:rsidR="00E46C0A" w:rsidRPr="008356B3" w:rsidRDefault="00E46C0A" w:rsidP="00292104">
      <w:pPr>
        <w:pStyle w:val="Textoindependiente"/>
        <w:ind w:left="-284" w:right="-234"/>
        <w:jc w:val="both"/>
        <w:rPr>
          <w:rFonts w:ascii="Arial" w:hAnsi="Arial" w:cs="Arial"/>
          <w:b/>
          <w:bCs/>
          <w:sz w:val="24"/>
          <w:szCs w:val="24"/>
        </w:rPr>
      </w:pPr>
      <w:r w:rsidRPr="008356B3">
        <w:rPr>
          <w:rFonts w:ascii="Arial" w:hAnsi="Arial" w:cs="Arial"/>
          <w:sz w:val="24"/>
          <w:szCs w:val="24"/>
        </w:rPr>
        <w:t xml:space="preserve">2). En virtud del proyecto de reforma laboral implementado en Colombia y los artículos ya aprobados a diciembre de 2024, es imperativo destacar el impacto significativo que dicha reforma puede tener en los estados financieros de las empresas. Esta reforma, que introduce modificaciones sustanciales en la normativa laboral, puede afectar diversos aspectos contables y financieros, tales como la valoración de las provisiones para beneficios laborales, la contabilización de indemnizaciones y la </w:t>
      </w:r>
      <w:r w:rsidRPr="008356B3">
        <w:rPr>
          <w:rFonts w:ascii="Arial" w:hAnsi="Arial" w:cs="Arial"/>
          <w:sz w:val="24"/>
          <w:szCs w:val="24"/>
        </w:rPr>
        <w:lastRenderedPageBreak/>
        <w:t>estructura de costos laborales. La adaptación a estos cambios normativos requiere una revisión exhaustiva de las políticas contables y la implementación de prácticas adecuadas para garantizar que los estados financieros reflejen con precisión la situación económica y financiera de la entidad”.</w:t>
      </w:r>
    </w:p>
    <w:p w14:paraId="38C4A251" w14:textId="77777777" w:rsidR="00E46C0A" w:rsidRDefault="00E46C0A" w:rsidP="00E46C0A">
      <w:pPr>
        <w:ind w:left="-284" w:right="49"/>
        <w:jc w:val="both"/>
        <w:rPr>
          <w:rFonts w:ascii="Arial" w:hAnsi="Arial" w:cs="Arial"/>
          <w:b/>
          <w:spacing w:val="-3"/>
          <w:sz w:val="24"/>
          <w:szCs w:val="24"/>
        </w:rPr>
      </w:pPr>
    </w:p>
    <w:p w14:paraId="6A93BEC3" w14:textId="77777777" w:rsidR="00E46C0A" w:rsidRDefault="00E46C0A" w:rsidP="00E46C0A">
      <w:pPr>
        <w:ind w:left="-284"/>
        <w:jc w:val="both"/>
        <w:rPr>
          <w:rFonts w:ascii="Arial" w:eastAsia="Arial" w:hAnsi="Arial" w:cs="Arial"/>
          <w:b/>
          <w:sz w:val="28"/>
          <w:szCs w:val="28"/>
          <w:lang w:val="es-MX"/>
        </w:rPr>
      </w:pPr>
      <w:r w:rsidRPr="004A0D98">
        <w:rPr>
          <w:rFonts w:ascii="Arial" w:hAnsi="Arial" w:cs="Arial"/>
          <w:b/>
          <w:sz w:val="28"/>
          <w:szCs w:val="28"/>
          <w:lang w:val="es-MX"/>
        </w:rPr>
        <w:t xml:space="preserve">41.- SERVICIOS POSTALES NACIONALES – 4 72. </w:t>
      </w:r>
    </w:p>
    <w:p w14:paraId="410A27AA" w14:textId="77777777" w:rsidR="00E46C0A" w:rsidRDefault="00E46C0A" w:rsidP="00E46C0A">
      <w:pPr>
        <w:ind w:left="-284"/>
        <w:jc w:val="both"/>
        <w:rPr>
          <w:rFonts w:ascii="Arial" w:eastAsia="Arial" w:hAnsi="Arial" w:cs="Arial"/>
          <w:b/>
          <w:sz w:val="28"/>
          <w:szCs w:val="28"/>
          <w:lang w:val="es-MX"/>
        </w:rPr>
      </w:pPr>
    </w:p>
    <w:p w14:paraId="3DA08305" w14:textId="77777777" w:rsidR="00E46C0A" w:rsidRPr="002E46FC" w:rsidRDefault="00E46C0A" w:rsidP="00E46C0A">
      <w:pPr>
        <w:pStyle w:val="Textoindependiente"/>
        <w:ind w:left="-284" w:right="-50"/>
        <w:jc w:val="both"/>
        <w:rPr>
          <w:rFonts w:ascii="Arial" w:hAnsi="Arial" w:cs="Arial"/>
          <w:b/>
          <w:bCs/>
          <w:sz w:val="24"/>
          <w:szCs w:val="24"/>
        </w:rPr>
      </w:pPr>
      <w:r w:rsidRPr="002E46FC">
        <w:rPr>
          <w:rFonts w:ascii="Arial" w:hAnsi="Arial" w:cs="Arial"/>
          <w:b/>
          <w:bCs/>
          <w:sz w:val="24"/>
          <w:szCs w:val="24"/>
        </w:rPr>
        <w:t>“Incertidumbre relacionada con la entidad en funcionamiento.</w:t>
      </w:r>
    </w:p>
    <w:p w14:paraId="51CF1D9F" w14:textId="77777777" w:rsidR="00E46C0A" w:rsidRPr="002E46FC" w:rsidRDefault="00E46C0A" w:rsidP="00E46C0A">
      <w:pPr>
        <w:pStyle w:val="Textoindependiente"/>
        <w:ind w:left="-284" w:right="-50"/>
        <w:jc w:val="both"/>
        <w:rPr>
          <w:rFonts w:ascii="Arial" w:hAnsi="Arial" w:cs="Arial"/>
          <w:bCs/>
          <w:sz w:val="24"/>
          <w:szCs w:val="24"/>
        </w:rPr>
      </w:pPr>
    </w:p>
    <w:p w14:paraId="11B04F8E" w14:textId="77777777" w:rsidR="00E46C0A" w:rsidRPr="002E46FC" w:rsidRDefault="00E46C0A" w:rsidP="00292104">
      <w:pPr>
        <w:pStyle w:val="Textoindependiente"/>
        <w:ind w:left="-284" w:right="-234"/>
        <w:jc w:val="both"/>
        <w:rPr>
          <w:rFonts w:ascii="Arial" w:hAnsi="Arial" w:cs="Arial"/>
          <w:bCs/>
          <w:sz w:val="24"/>
          <w:szCs w:val="24"/>
        </w:rPr>
      </w:pPr>
      <w:r w:rsidRPr="002E46FC">
        <w:rPr>
          <w:rFonts w:ascii="Arial" w:hAnsi="Arial" w:cs="Arial"/>
          <w:bCs/>
          <w:sz w:val="24"/>
          <w:szCs w:val="24"/>
        </w:rPr>
        <w:t>En 2024, la Compañía mantuvo las dificultades de liquidez y cerró con indicadores financieros que reflejan capital de trabajo negativo de $1.239 millones, un índice de razón corriente de 0.99 y la acumulación de pérdidas por $165.498 millones, lo que representan el 66% del capital suscrito y pagado.</w:t>
      </w:r>
    </w:p>
    <w:p w14:paraId="33E8B88D" w14:textId="77777777" w:rsidR="00E46C0A" w:rsidRPr="002E46FC" w:rsidRDefault="00E46C0A" w:rsidP="00292104">
      <w:pPr>
        <w:pStyle w:val="Textoindependiente"/>
        <w:ind w:left="-284" w:right="-234"/>
        <w:jc w:val="both"/>
        <w:rPr>
          <w:rFonts w:ascii="Arial" w:hAnsi="Arial" w:cs="Arial"/>
          <w:bCs/>
          <w:sz w:val="24"/>
          <w:szCs w:val="24"/>
        </w:rPr>
      </w:pPr>
    </w:p>
    <w:p w14:paraId="01FCDB62" w14:textId="77777777" w:rsidR="00E46C0A" w:rsidRPr="002E46FC" w:rsidRDefault="00E46C0A" w:rsidP="00292104">
      <w:pPr>
        <w:pStyle w:val="Textoindependiente"/>
        <w:ind w:left="-284" w:right="-234"/>
        <w:jc w:val="both"/>
        <w:rPr>
          <w:rFonts w:ascii="Arial" w:hAnsi="Arial" w:cs="Arial"/>
          <w:bCs/>
          <w:sz w:val="24"/>
          <w:szCs w:val="24"/>
        </w:rPr>
      </w:pPr>
      <w:r w:rsidRPr="002E46FC">
        <w:rPr>
          <w:rFonts w:ascii="Arial" w:hAnsi="Arial" w:cs="Arial"/>
          <w:bCs/>
          <w:sz w:val="24"/>
          <w:szCs w:val="24"/>
        </w:rPr>
        <w:t>Con el fin de suministrar liquidez para el funcionamiento de la Compañía, en septiembre de 2024 la Nación - Ministerio de Hacienda y Crédito Público capitalizó la entidad con $9.999 millones, tal como se detalla en la Nota 27 de los Estados Financieros.</w:t>
      </w:r>
    </w:p>
    <w:p w14:paraId="5C78F021" w14:textId="77777777" w:rsidR="00E46C0A" w:rsidRPr="002E46FC" w:rsidRDefault="00E46C0A" w:rsidP="00292104">
      <w:pPr>
        <w:pStyle w:val="Textoindependiente"/>
        <w:ind w:left="-284" w:right="-234"/>
        <w:jc w:val="both"/>
        <w:rPr>
          <w:rFonts w:ascii="Arial" w:hAnsi="Arial" w:cs="Arial"/>
          <w:bCs/>
          <w:sz w:val="24"/>
          <w:szCs w:val="24"/>
        </w:rPr>
      </w:pPr>
    </w:p>
    <w:p w14:paraId="26A0FE4E" w14:textId="77777777" w:rsidR="00E46C0A" w:rsidRPr="002E46FC" w:rsidRDefault="00E46C0A" w:rsidP="00292104">
      <w:pPr>
        <w:pStyle w:val="Textoindependiente"/>
        <w:ind w:left="-284" w:right="-234"/>
        <w:jc w:val="both"/>
        <w:rPr>
          <w:rFonts w:ascii="Arial" w:hAnsi="Arial" w:cs="Arial"/>
          <w:bCs/>
          <w:sz w:val="24"/>
          <w:szCs w:val="24"/>
        </w:rPr>
      </w:pPr>
      <w:r w:rsidRPr="002E46FC">
        <w:rPr>
          <w:rFonts w:ascii="Arial" w:hAnsi="Arial" w:cs="Arial"/>
          <w:bCs/>
          <w:sz w:val="24"/>
          <w:szCs w:val="24"/>
        </w:rPr>
        <w:t>La dirección de la Compañía en la preparación de los Estados Financieros al 31 de diciembre de 2024, bajo la supervisión de los responsables del gobierno de la entidad, evaluó la hipótesis de negocio en marcha para un horizonte de al menos doce (12) meses, considerando factores financieros, operativos y legales. En este proceso, analizó la capacidad, habilidad y viabilidad de ejecutar acciones que permitan a la Compañía continuar como un negocio en marcha, con énfasis en aquellas que permitan generar los ingresos y la liquidez necesarios para sufragar los gastos de la entidad. Como se revela en la Nota 1.5 de los Estados Financieros, concluyó, que a pesar de existir incertidumbres importantes relacionadas con eventos y condiciones que pueden generar dudas significativas acerca de la capacidad de la entidad para continuar como un negocio en marcha, la citada hipótesis continúa siendo apropiada, en razón a que la Compañía tiene alternativas reales diferentes a las de terminar sus operaciones o liquidarse”.</w:t>
      </w:r>
    </w:p>
    <w:p w14:paraId="0948B86D" w14:textId="77777777" w:rsidR="00E46C0A" w:rsidRPr="002E46FC" w:rsidRDefault="00E46C0A" w:rsidP="00E46C0A">
      <w:pPr>
        <w:pStyle w:val="Textoindependiente"/>
        <w:ind w:right="-50"/>
        <w:jc w:val="both"/>
        <w:rPr>
          <w:rFonts w:ascii="Arial" w:hAnsi="Arial" w:cs="Arial"/>
          <w:b/>
          <w:bCs/>
          <w:sz w:val="24"/>
          <w:szCs w:val="24"/>
        </w:rPr>
      </w:pPr>
    </w:p>
    <w:p w14:paraId="45D7E904" w14:textId="77777777" w:rsidR="00E46C0A" w:rsidRPr="00582E6C" w:rsidRDefault="00E46C0A" w:rsidP="00E46C0A">
      <w:pPr>
        <w:ind w:left="-284"/>
        <w:jc w:val="both"/>
        <w:rPr>
          <w:rFonts w:ascii="Arial" w:hAnsi="Arial" w:cs="Arial"/>
          <w:b/>
          <w:sz w:val="28"/>
          <w:szCs w:val="28"/>
          <w:lang w:val="es-MX"/>
        </w:rPr>
      </w:pPr>
      <w:r w:rsidRPr="00582E6C">
        <w:rPr>
          <w:rFonts w:ascii="Arial" w:hAnsi="Arial" w:cs="Arial"/>
          <w:b/>
          <w:sz w:val="28"/>
          <w:szCs w:val="28"/>
          <w:lang w:val="es-MX"/>
        </w:rPr>
        <w:t>50.- CORPORACIÓN AUTÓNOMA REGIONAL DE CHIVOR – CORPOCHIVOR.</w:t>
      </w:r>
    </w:p>
    <w:p w14:paraId="071319DF" w14:textId="77777777" w:rsidR="00E46C0A" w:rsidRPr="00582E6C" w:rsidRDefault="00E46C0A" w:rsidP="00E46C0A">
      <w:pPr>
        <w:ind w:left="-284"/>
        <w:jc w:val="both"/>
        <w:rPr>
          <w:rFonts w:ascii="Arial" w:eastAsia="Arial" w:hAnsi="Arial" w:cs="Arial"/>
          <w:b/>
          <w:sz w:val="24"/>
          <w:szCs w:val="24"/>
          <w:lang w:val="es-MX"/>
        </w:rPr>
      </w:pPr>
    </w:p>
    <w:p w14:paraId="02D42435" w14:textId="77777777" w:rsidR="00E46C0A" w:rsidRPr="00582E6C" w:rsidRDefault="00E46C0A" w:rsidP="00E46C0A">
      <w:pPr>
        <w:pStyle w:val="Textoindependiente"/>
        <w:ind w:left="-284" w:right="-50"/>
        <w:jc w:val="both"/>
        <w:rPr>
          <w:rFonts w:ascii="Arial" w:hAnsi="Arial" w:cs="Arial"/>
          <w:b/>
          <w:bCs/>
          <w:sz w:val="24"/>
          <w:szCs w:val="24"/>
        </w:rPr>
      </w:pPr>
      <w:r w:rsidRPr="00582E6C">
        <w:rPr>
          <w:rFonts w:ascii="Arial" w:hAnsi="Arial" w:cs="Arial"/>
          <w:b/>
          <w:bCs/>
          <w:sz w:val="24"/>
          <w:szCs w:val="24"/>
        </w:rPr>
        <w:t>“VI. OPINION.</w:t>
      </w:r>
    </w:p>
    <w:p w14:paraId="1F7DAE77" w14:textId="77777777" w:rsidR="00E46C0A" w:rsidRPr="00582E6C" w:rsidRDefault="00E46C0A" w:rsidP="00E46C0A">
      <w:pPr>
        <w:pStyle w:val="Textoindependiente"/>
        <w:ind w:left="-284" w:right="-50"/>
        <w:jc w:val="both"/>
        <w:rPr>
          <w:rFonts w:ascii="Arial" w:hAnsi="Arial" w:cs="Arial"/>
          <w:b/>
          <w:bCs/>
          <w:sz w:val="24"/>
          <w:szCs w:val="24"/>
        </w:rPr>
      </w:pPr>
    </w:p>
    <w:p w14:paraId="339AE154" w14:textId="77777777" w:rsidR="00E46C0A" w:rsidRPr="00582E6C" w:rsidRDefault="00E46C0A" w:rsidP="00292104">
      <w:pPr>
        <w:pStyle w:val="Textoindependiente"/>
        <w:ind w:left="-284" w:right="-234"/>
        <w:jc w:val="both"/>
        <w:rPr>
          <w:rFonts w:ascii="Arial" w:hAnsi="Arial" w:cs="Arial"/>
          <w:b/>
          <w:bCs/>
          <w:sz w:val="24"/>
          <w:szCs w:val="24"/>
        </w:rPr>
      </w:pPr>
      <w:r w:rsidRPr="00582E6C">
        <w:rPr>
          <w:rFonts w:ascii="Arial" w:hAnsi="Arial" w:cs="Arial"/>
          <w:bCs/>
          <w:sz w:val="24"/>
          <w:szCs w:val="24"/>
        </w:rPr>
        <w:t>Se recomienda implementar una actualización tecnológica en el sistema de información financiera, dado que la aplicación actual presenta limitaciones que dificultan la determinación de procesos y el flujo de información. Esta situación puede provocar un desgaste administrativo y aumentar el riesgo de errores humanos en la emisión de informes manuales”.</w:t>
      </w:r>
    </w:p>
    <w:p w14:paraId="57C312AE" w14:textId="77777777" w:rsidR="00E46C0A" w:rsidRDefault="00E46C0A" w:rsidP="00E46C0A">
      <w:pPr>
        <w:ind w:left="-284" w:right="49"/>
        <w:jc w:val="both"/>
        <w:rPr>
          <w:rFonts w:ascii="Arial" w:hAnsi="Arial" w:cs="Arial"/>
          <w:b/>
          <w:spacing w:val="-3"/>
          <w:sz w:val="24"/>
          <w:szCs w:val="24"/>
        </w:rPr>
      </w:pPr>
    </w:p>
    <w:p w14:paraId="71B07BC5" w14:textId="77777777" w:rsidR="00E46C0A" w:rsidRPr="00197447" w:rsidRDefault="00E46C0A" w:rsidP="00E46C0A">
      <w:pPr>
        <w:ind w:left="-284"/>
        <w:jc w:val="both"/>
        <w:rPr>
          <w:rFonts w:ascii="Arial" w:hAnsi="Arial" w:cs="Arial"/>
          <w:b/>
          <w:sz w:val="28"/>
          <w:szCs w:val="28"/>
          <w:lang w:val="es-MX"/>
        </w:rPr>
      </w:pPr>
      <w:r w:rsidRPr="00197447">
        <w:rPr>
          <w:rFonts w:ascii="Arial" w:hAnsi="Arial" w:cs="Arial"/>
          <w:b/>
          <w:sz w:val="28"/>
          <w:szCs w:val="28"/>
          <w:lang w:val="es-MX"/>
        </w:rPr>
        <w:t>52.- CLUB MILITAR DE OFICIALES.</w:t>
      </w:r>
    </w:p>
    <w:p w14:paraId="1A891740" w14:textId="77777777" w:rsidR="00E46C0A" w:rsidRDefault="00E46C0A" w:rsidP="00E46C0A">
      <w:pPr>
        <w:ind w:left="-284" w:right="49"/>
        <w:jc w:val="both"/>
        <w:rPr>
          <w:rFonts w:ascii="Arial" w:hAnsi="Arial" w:cs="Arial"/>
          <w:b/>
          <w:spacing w:val="-3"/>
          <w:sz w:val="24"/>
          <w:szCs w:val="24"/>
        </w:rPr>
      </w:pPr>
    </w:p>
    <w:p w14:paraId="184DAE45" w14:textId="77777777" w:rsidR="00E46C0A" w:rsidRPr="00337C13" w:rsidRDefault="00E46C0A" w:rsidP="00E46C0A">
      <w:pPr>
        <w:pStyle w:val="Default"/>
        <w:ind w:left="-284"/>
        <w:jc w:val="both"/>
        <w:rPr>
          <w:b/>
          <w:bCs/>
        </w:rPr>
      </w:pPr>
      <w:r w:rsidRPr="00337C13">
        <w:rPr>
          <w:b/>
          <w:bCs/>
        </w:rPr>
        <w:t>“Párrafo de Énfasis.</w:t>
      </w:r>
    </w:p>
    <w:p w14:paraId="7723537F" w14:textId="77777777" w:rsidR="00E46C0A" w:rsidRPr="00337C13" w:rsidRDefault="00E46C0A" w:rsidP="00E46C0A">
      <w:pPr>
        <w:pStyle w:val="Default"/>
        <w:ind w:left="-284"/>
        <w:jc w:val="both"/>
        <w:rPr>
          <w:b/>
          <w:bCs/>
        </w:rPr>
      </w:pPr>
    </w:p>
    <w:p w14:paraId="21472573" w14:textId="77777777" w:rsidR="00E46C0A" w:rsidRPr="00337C13" w:rsidRDefault="00E46C0A" w:rsidP="00292104">
      <w:pPr>
        <w:pStyle w:val="Default"/>
        <w:ind w:left="-284" w:right="-234"/>
        <w:jc w:val="both"/>
        <w:rPr>
          <w:color w:val="auto"/>
        </w:rPr>
      </w:pPr>
      <w:r w:rsidRPr="00337C13">
        <w:t xml:space="preserve">Sin calificar mi opinión, llamo la atención sobre la Nota 23 “PROVISIONES” de los estados financieros, la cual muestra un valor provisionado relacionado con el proceso jurídico con el tercero AMMON AGRI SAS, por concepto del contrato de prestación de servicios No. 50 de 2016, suscrito el 10 de febrero de 2016, cuyo objeto era "LA PRESTACIÓN DE SERVICIOS DE APOYO A LA GESTIÓN EN LO OPERATIVO Y LOGÍSTICO PARA EL ADECUADO FUNCIONAMIENTO </w:t>
      </w:r>
      <w:r w:rsidRPr="00337C13">
        <w:rPr>
          <w:color w:val="auto"/>
        </w:rPr>
        <w:t xml:space="preserve">QUE INCLUYE EL SUMINISTRO MEDIANTE LA FIGURA DE CONSIGNACIÓN DE ALIMENTOS Y </w:t>
      </w:r>
      <w:r w:rsidRPr="00337C13">
        <w:rPr>
          <w:color w:val="auto"/>
        </w:rPr>
        <w:lastRenderedPageBreak/>
        <w:t>BEBIDAS NECESARIOS PARA LA OPERACIÓN DE LAS COCINAS Y PUNTOS DE VENTA DEL CLUB MILITAR" de valor indeterminado, pero determinable a la liquidación del contrato con plazo de ejecución hasta el 31 de enero de 2017. La provisión reconocida a 31 de diciembre de 2024 por $20.102.687.000, se encuentra con una probabilidad de riesgo ALTA, para lo cual la entidad ha solicitado un concepto de asesores externos, cuyas recomendaciones fueron las siguientes para el cierre de 2024:</w:t>
      </w:r>
    </w:p>
    <w:p w14:paraId="41747F6C" w14:textId="77777777" w:rsidR="00E46C0A" w:rsidRPr="00337C13" w:rsidRDefault="00E46C0A" w:rsidP="00292104">
      <w:pPr>
        <w:pStyle w:val="Default"/>
        <w:ind w:right="-234"/>
        <w:jc w:val="both"/>
        <w:rPr>
          <w:color w:val="auto"/>
        </w:rPr>
      </w:pPr>
    </w:p>
    <w:p w14:paraId="2D49397D" w14:textId="77777777" w:rsidR="00E46C0A" w:rsidRPr="00337C13" w:rsidRDefault="00E46C0A" w:rsidP="00292104">
      <w:pPr>
        <w:pStyle w:val="Default"/>
        <w:numPr>
          <w:ilvl w:val="0"/>
          <w:numId w:val="39"/>
        </w:numPr>
        <w:ind w:right="-234"/>
        <w:jc w:val="both"/>
        <w:rPr>
          <w:color w:val="auto"/>
        </w:rPr>
      </w:pPr>
      <w:r w:rsidRPr="00337C13">
        <w:rPr>
          <w:color w:val="auto"/>
        </w:rPr>
        <w:t>“Mantener la provisión contable e incrementarla mensualmente según la tasa de interés moratoria determinada por la Superintendencia Financiera.</w:t>
      </w:r>
    </w:p>
    <w:p w14:paraId="6D2F2F6C" w14:textId="77777777" w:rsidR="00E46C0A" w:rsidRPr="00337C13" w:rsidRDefault="00E46C0A" w:rsidP="00292104">
      <w:pPr>
        <w:pStyle w:val="Default"/>
        <w:ind w:left="1004" w:right="-234"/>
        <w:jc w:val="both"/>
        <w:rPr>
          <w:color w:val="auto"/>
        </w:rPr>
      </w:pPr>
    </w:p>
    <w:p w14:paraId="463B3938" w14:textId="77777777" w:rsidR="00E46C0A" w:rsidRPr="00337C13" w:rsidRDefault="00E46C0A" w:rsidP="00292104">
      <w:pPr>
        <w:pStyle w:val="Default"/>
        <w:numPr>
          <w:ilvl w:val="0"/>
          <w:numId w:val="39"/>
        </w:numPr>
        <w:ind w:right="-234"/>
        <w:jc w:val="both"/>
        <w:rPr>
          <w:color w:val="auto"/>
        </w:rPr>
      </w:pPr>
      <w:r w:rsidRPr="00337C13">
        <w:rPr>
          <w:color w:val="auto"/>
        </w:rPr>
        <w:t>Mantener el valor actual de la provisión contable y suspender el incremento mensual, con base en los pronunciamientos del Tribunal.</w:t>
      </w:r>
    </w:p>
    <w:p w14:paraId="690F0444" w14:textId="77777777" w:rsidR="00E46C0A" w:rsidRPr="00337C13" w:rsidRDefault="00E46C0A" w:rsidP="00292104">
      <w:pPr>
        <w:pStyle w:val="Prrafodelista"/>
        <w:ind w:right="-234"/>
        <w:rPr>
          <w:rFonts w:ascii="Arial" w:hAnsi="Arial" w:cs="Arial"/>
          <w:sz w:val="24"/>
          <w:szCs w:val="24"/>
        </w:rPr>
      </w:pPr>
    </w:p>
    <w:p w14:paraId="00238644" w14:textId="77777777" w:rsidR="00E46C0A" w:rsidRPr="00337C13" w:rsidRDefault="00E46C0A" w:rsidP="00292104">
      <w:pPr>
        <w:pStyle w:val="Default"/>
        <w:numPr>
          <w:ilvl w:val="0"/>
          <w:numId w:val="39"/>
        </w:numPr>
        <w:ind w:right="-234"/>
        <w:jc w:val="both"/>
        <w:rPr>
          <w:color w:val="auto"/>
        </w:rPr>
      </w:pPr>
      <w:r w:rsidRPr="00337C13">
        <w:rPr>
          <w:color w:val="auto"/>
        </w:rPr>
        <w:t xml:space="preserve">Disminuir el valor actual de la provisión contable a una suma intermedia </w:t>
      </w:r>
      <w:bookmarkStart w:id="52" w:name="_Hlk196154734"/>
      <w:r w:rsidRPr="00337C13">
        <w:rPr>
          <w:color w:val="auto"/>
        </w:rPr>
        <w:t>entre el valor actual y el monto de la caución decretada y aumentarla periódicamente atendiendo la tasa de interés legal.</w:t>
      </w:r>
    </w:p>
    <w:p w14:paraId="6DE27ED8" w14:textId="77777777" w:rsidR="00E46C0A" w:rsidRPr="00337C13" w:rsidRDefault="00E46C0A" w:rsidP="00292104">
      <w:pPr>
        <w:pStyle w:val="Prrafodelista"/>
        <w:ind w:right="-234"/>
        <w:rPr>
          <w:rFonts w:ascii="Arial" w:hAnsi="Arial" w:cs="Arial"/>
          <w:sz w:val="24"/>
          <w:szCs w:val="24"/>
        </w:rPr>
      </w:pPr>
    </w:p>
    <w:bookmarkEnd w:id="52"/>
    <w:p w14:paraId="252921C1" w14:textId="77777777" w:rsidR="00E46C0A" w:rsidRPr="00337C13" w:rsidRDefault="00E46C0A" w:rsidP="00292104">
      <w:pPr>
        <w:pStyle w:val="Prrafodelista"/>
        <w:numPr>
          <w:ilvl w:val="0"/>
          <w:numId w:val="39"/>
        </w:numPr>
        <w:spacing w:before="1"/>
        <w:ind w:right="-234"/>
        <w:jc w:val="both"/>
        <w:rPr>
          <w:rFonts w:ascii="Arial" w:eastAsiaTheme="minorHAnsi" w:hAnsi="Arial" w:cs="Arial"/>
          <w:sz w:val="24"/>
          <w:szCs w:val="24"/>
          <w:lang w:val="es-CO"/>
        </w:rPr>
      </w:pPr>
      <w:r w:rsidRPr="00337C13">
        <w:rPr>
          <w:rFonts w:ascii="Arial" w:hAnsi="Arial" w:cs="Arial"/>
          <w:sz w:val="24"/>
          <w:szCs w:val="24"/>
        </w:rPr>
        <w:t xml:space="preserve">Disminuir el valor actual de la provisión contable a una suma intermedia </w:t>
      </w:r>
      <w:r w:rsidRPr="00337C13">
        <w:rPr>
          <w:rFonts w:ascii="Arial" w:eastAsiaTheme="minorHAnsi" w:hAnsi="Arial" w:cs="Arial"/>
          <w:sz w:val="24"/>
          <w:szCs w:val="24"/>
          <w:lang w:val="es-CO"/>
        </w:rPr>
        <w:t>entre el valor actual y el monto de la caución decretada y aumentarla periódicamente atendiendo la tasa de interés moratorio determinada por la Superintendencia Financiera.</w:t>
      </w:r>
    </w:p>
    <w:p w14:paraId="36009F96" w14:textId="77777777" w:rsidR="00E46C0A" w:rsidRPr="00337C13" w:rsidRDefault="00E46C0A" w:rsidP="00292104">
      <w:pPr>
        <w:ind w:right="-234"/>
        <w:rPr>
          <w:rFonts w:ascii="Arial" w:eastAsiaTheme="minorHAnsi" w:hAnsi="Arial" w:cs="Arial"/>
          <w:sz w:val="24"/>
          <w:szCs w:val="24"/>
          <w:lang w:val="es-CO"/>
        </w:rPr>
      </w:pPr>
    </w:p>
    <w:p w14:paraId="50F7195B" w14:textId="77777777" w:rsidR="00E46C0A" w:rsidRPr="00337C13" w:rsidRDefault="00E46C0A" w:rsidP="00292104">
      <w:pPr>
        <w:ind w:left="-284" w:right="-234"/>
        <w:jc w:val="both"/>
        <w:rPr>
          <w:rFonts w:ascii="Arial" w:eastAsiaTheme="minorHAnsi" w:hAnsi="Arial" w:cs="Arial"/>
          <w:sz w:val="24"/>
          <w:szCs w:val="24"/>
          <w:lang w:val="es-CO"/>
        </w:rPr>
      </w:pPr>
      <w:r w:rsidRPr="00337C13">
        <w:rPr>
          <w:rFonts w:ascii="Arial" w:eastAsiaTheme="minorHAnsi" w:hAnsi="Arial" w:cs="Arial"/>
          <w:sz w:val="24"/>
          <w:szCs w:val="24"/>
          <w:lang w:val="es-CO"/>
        </w:rPr>
        <w:t>Así mismo llamo la atención sobre la Nota a los estados financieros 10 PROPIEDADES, PLANTA Y EQUIPO – CLUB MILITAR, en la cual se resalta que a la fecha no se ha realizado el registro ante la Oficina de Registros Públicos, del lote donde se ubica el predio de la sede Las Mercedes, con número de matrícula inmobiliaria 307-29247, registrado en estados financieros por un valor de $12.800.081, debido a la medida cautelar denominada “Oferta de compra del bien rural sobre un área de 108.599.38 M2” Esto en ocasión a que el Consorcio de la RUTA 40, debe levantar la oferta de compra, para que el Club Militar continúe con el trámite de registro”.</w:t>
      </w:r>
    </w:p>
    <w:p w14:paraId="3294860F" w14:textId="77777777" w:rsidR="00E46C0A" w:rsidRPr="00337C13" w:rsidRDefault="00E46C0A" w:rsidP="00292104">
      <w:pPr>
        <w:ind w:right="-234"/>
        <w:jc w:val="both"/>
        <w:rPr>
          <w:rFonts w:ascii="Arial" w:eastAsiaTheme="minorHAnsi" w:hAnsi="Arial" w:cs="Arial"/>
          <w:sz w:val="24"/>
          <w:szCs w:val="24"/>
          <w:lang w:val="es-CO"/>
        </w:rPr>
      </w:pPr>
    </w:p>
    <w:p w14:paraId="06E7CAAA" w14:textId="77777777" w:rsidR="00E46C0A" w:rsidRPr="00F444F6" w:rsidRDefault="00E46C0A" w:rsidP="00E46C0A">
      <w:pPr>
        <w:ind w:left="-284"/>
        <w:jc w:val="both"/>
        <w:rPr>
          <w:rFonts w:ascii="Arial" w:hAnsi="Arial" w:cs="Arial"/>
          <w:b/>
          <w:sz w:val="28"/>
          <w:szCs w:val="28"/>
          <w:lang w:val="es-MX"/>
        </w:rPr>
      </w:pPr>
      <w:bookmarkStart w:id="53" w:name="_Hlk197435323"/>
      <w:r w:rsidRPr="00F444F6">
        <w:rPr>
          <w:rFonts w:ascii="Arial" w:hAnsi="Arial" w:cs="Arial"/>
          <w:b/>
          <w:sz w:val="28"/>
          <w:szCs w:val="28"/>
          <w:lang w:val="es-MX"/>
        </w:rPr>
        <w:t>60.- CAJA DE SUELDOS DE RETIRO DE LA POLICIA NACIONAL – CASUR.</w:t>
      </w:r>
    </w:p>
    <w:bookmarkEnd w:id="53"/>
    <w:p w14:paraId="05568DBD" w14:textId="77777777" w:rsidR="00E46C0A" w:rsidRDefault="00E46C0A" w:rsidP="00E46C0A">
      <w:pPr>
        <w:ind w:left="-284" w:right="49"/>
        <w:jc w:val="both"/>
        <w:rPr>
          <w:rFonts w:ascii="Arial" w:hAnsi="Arial" w:cs="Arial"/>
          <w:b/>
          <w:spacing w:val="-3"/>
          <w:sz w:val="24"/>
          <w:szCs w:val="24"/>
          <w:lang w:val="es-MX"/>
        </w:rPr>
      </w:pPr>
    </w:p>
    <w:p w14:paraId="6488450E" w14:textId="77777777" w:rsidR="00E46C0A" w:rsidRPr="00F444F6" w:rsidRDefault="00E46C0A" w:rsidP="00E46C0A">
      <w:pPr>
        <w:pStyle w:val="Textoindependiente"/>
        <w:ind w:left="-284" w:right="-50"/>
        <w:rPr>
          <w:rFonts w:ascii="Arial" w:hAnsi="Arial" w:cs="Arial"/>
          <w:b/>
          <w:bCs/>
          <w:sz w:val="24"/>
          <w:szCs w:val="24"/>
          <w:lang w:val="es-CO"/>
        </w:rPr>
      </w:pPr>
      <w:r w:rsidRPr="00F444F6">
        <w:rPr>
          <w:rFonts w:ascii="Arial" w:hAnsi="Arial" w:cs="Arial"/>
          <w:b/>
          <w:bCs/>
          <w:sz w:val="24"/>
          <w:szCs w:val="24"/>
          <w:lang w:val="es-CO"/>
        </w:rPr>
        <w:t>E.- Párrafo de énfasis.</w:t>
      </w:r>
    </w:p>
    <w:p w14:paraId="5ACE092B" w14:textId="77777777" w:rsidR="00E46C0A" w:rsidRPr="00F444F6" w:rsidRDefault="00E46C0A" w:rsidP="00E46C0A">
      <w:pPr>
        <w:pStyle w:val="Textoindependiente"/>
        <w:ind w:left="-284" w:right="-50"/>
        <w:jc w:val="both"/>
        <w:rPr>
          <w:rFonts w:ascii="Arial" w:hAnsi="Arial" w:cs="Arial"/>
          <w:b/>
          <w:bCs/>
          <w:sz w:val="24"/>
          <w:szCs w:val="24"/>
          <w:lang w:val="es-CO"/>
        </w:rPr>
      </w:pPr>
    </w:p>
    <w:p w14:paraId="2D42A3B8" w14:textId="77777777" w:rsidR="00E46C0A" w:rsidRPr="00F444F6" w:rsidRDefault="00E46C0A" w:rsidP="00292104">
      <w:pPr>
        <w:pStyle w:val="Textoindependiente"/>
        <w:ind w:left="-284" w:right="-234"/>
        <w:jc w:val="both"/>
        <w:rPr>
          <w:rFonts w:ascii="Arial" w:hAnsi="Arial" w:cs="Arial"/>
          <w:bCs/>
          <w:sz w:val="24"/>
          <w:szCs w:val="24"/>
        </w:rPr>
      </w:pPr>
      <w:r w:rsidRPr="00F444F6">
        <w:rPr>
          <w:rFonts w:ascii="Arial" w:hAnsi="Arial" w:cs="Arial"/>
          <w:bCs/>
          <w:sz w:val="24"/>
          <w:szCs w:val="24"/>
        </w:rPr>
        <w:t xml:space="preserve">Como se menciona en la nota </w:t>
      </w:r>
      <w:r w:rsidRPr="00F444F6">
        <w:rPr>
          <w:rFonts w:ascii="Arial" w:hAnsi="Arial" w:cs="Arial"/>
          <w:b/>
          <w:bCs/>
          <w:sz w:val="24"/>
          <w:szCs w:val="24"/>
        </w:rPr>
        <w:t xml:space="preserve">13 "PROPIEDAD DE INVERSION por $501.692,89 millones; </w:t>
      </w:r>
      <w:r w:rsidRPr="00F444F6">
        <w:rPr>
          <w:rFonts w:ascii="Arial" w:hAnsi="Arial" w:cs="Arial"/>
          <w:bCs/>
          <w:sz w:val="24"/>
          <w:szCs w:val="24"/>
        </w:rPr>
        <w:t>la entidad no ha realizado</w:t>
      </w:r>
      <w:r w:rsidRPr="00F444F6">
        <w:rPr>
          <w:rFonts w:ascii="Arial" w:hAnsi="Arial" w:cs="Arial"/>
          <w:b/>
          <w:bCs/>
          <w:sz w:val="24"/>
          <w:szCs w:val="24"/>
        </w:rPr>
        <w:t xml:space="preserve"> </w:t>
      </w:r>
      <w:r w:rsidRPr="00F444F6">
        <w:rPr>
          <w:rFonts w:ascii="Arial" w:hAnsi="Arial" w:cs="Arial"/>
          <w:bCs/>
          <w:sz w:val="24"/>
          <w:szCs w:val="24"/>
        </w:rPr>
        <w:t>el análisis de deterioro para este corte conforme lo define la resolución 533 del 2015, emitida por la Contaduría General de la Nación - CGN. Sin embargo, en la vigencia de 2023, se reconoció el deterioro de las propiedades que están registradas en no explotados, para el inmueble ubicado en el municipio de Apulo "Centro recreativo de Apulo" y para las propiedades de inversión, en el inmueble ubicado en la calle 33 6B-04, ubicado en la localidad de Santa Fe en Bogotá D.C”.</w:t>
      </w:r>
    </w:p>
    <w:p w14:paraId="708F8F4D" w14:textId="77777777" w:rsidR="00E46C0A" w:rsidRDefault="00E46C0A" w:rsidP="00E46C0A">
      <w:pPr>
        <w:jc w:val="both"/>
        <w:rPr>
          <w:rFonts w:ascii="Arial" w:hAnsi="Arial" w:cs="Arial"/>
          <w:b/>
          <w:spacing w:val="-3"/>
          <w:sz w:val="24"/>
          <w:szCs w:val="24"/>
        </w:rPr>
      </w:pPr>
    </w:p>
    <w:p w14:paraId="4E79656C" w14:textId="77777777" w:rsidR="00E46C0A" w:rsidRPr="00397280" w:rsidRDefault="00E46C0A" w:rsidP="00292104">
      <w:pPr>
        <w:ind w:left="-284" w:right="-234"/>
        <w:jc w:val="both"/>
        <w:rPr>
          <w:rFonts w:ascii="Arial" w:hAnsi="Arial" w:cs="Arial"/>
          <w:b/>
          <w:sz w:val="28"/>
          <w:szCs w:val="28"/>
          <w:lang w:val="es-MX"/>
        </w:rPr>
      </w:pPr>
      <w:r w:rsidRPr="00397280">
        <w:rPr>
          <w:rFonts w:ascii="Arial" w:hAnsi="Arial" w:cs="Arial"/>
          <w:b/>
          <w:sz w:val="28"/>
          <w:szCs w:val="28"/>
          <w:lang w:val="es-MX"/>
        </w:rPr>
        <w:t>69.- CORPORACIÓN AUTÓNOMA REGIONAL DEL ALTO MAGDALENA - CAM.</w:t>
      </w:r>
    </w:p>
    <w:p w14:paraId="2234C22B" w14:textId="77777777" w:rsidR="00E46C0A" w:rsidRDefault="00E46C0A" w:rsidP="00292104">
      <w:pPr>
        <w:ind w:left="-284" w:right="-234"/>
        <w:jc w:val="both"/>
        <w:rPr>
          <w:rFonts w:ascii="Arial" w:hAnsi="Arial" w:cs="Arial"/>
          <w:b/>
          <w:spacing w:val="-3"/>
          <w:sz w:val="24"/>
          <w:szCs w:val="24"/>
        </w:rPr>
      </w:pPr>
    </w:p>
    <w:p w14:paraId="5D09AE9B" w14:textId="77777777" w:rsidR="00E46C0A" w:rsidRPr="00397280" w:rsidRDefault="00E46C0A" w:rsidP="00292104">
      <w:pPr>
        <w:pStyle w:val="Textoindependiente"/>
        <w:ind w:left="-284" w:right="-234"/>
        <w:jc w:val="both"/>
        <w:rPr>
          <w:rFonts w:ascii="Arial" w:hAnsi="Arial" w:cs="Arial"/>
          <w:b/>
          <w:bCs/>
        </w:rPr>
      </w:pPr>
      <w:r w:rsidRPr="00397280">
        <w:rPr>
          <w:rFonts w:ascii="Arial" w:hAnsi="Arial" w:cs="Arial"/>
          <w:b/>
          <w:bCs/>
        </w:rPr>
        <w:t>“Párrafo de énfasis.</w:t>
      </w:r>
    </w:p>
    <w:p w14:paraId="577C58FB" w14:textId="77777777" w:rsidR="00E46C0A" w:rsidRPr="00397280" w:rsidRDefault="00E46C0A" w:rsidP="00292104">
      <w:pPr>
        <w:pStyle w:val="Textoindependiente"/>
        <w:ind w:left="-284" w:right="-234"/>
        <w:jc w:val="both"/>
        <w:rPr>
          <w:rFonts w:ascii="Arial" w:hAnsi="Arial" w:cs="Arial"/>
          <w:b/>
          <w:bCs/>
        </w:rPr>
      </w:pPr>
    </w:p>
    <w:p w14:paraId="586E8BDE" w14:textId="77777777" w:rsidR="00E46C0A" w:rsidRPr="00397280" w:rsidRDefault="00E46C0A" w:rsidP="00292104">
      <w:pPr>
        <w:pStyle w:val="Textoindependiente"/>
        <w:ind w:left="-284" w:right="-234"/>
        <w:jc w:val="both"/>
        <w:rPr>
          <w:rFonts w:ascii="Arial" w:hAnsi="Arial" w:cs="Arial"/>
          <w:bCs/>
        </w:rPr>
      </w:pPr>
      <w:r w:rsidRPr="00397280">
        <w:rPr>
          <w:rFonts w:ascii="Arial" w:hAnsi="Arial" w:cs="Arial"/>
          <w:bCs/>
        </w:rPr>
        <w:t xml:space="preserve">La Corporación generó pérdida contable, para la vigencia 2024, por valor de $549 millones de pesos, en razón a que mientras los ingresos contables aumentaron un 14% respecto de la vigencia 2023, los gastos aumentaron un 18%. Dichos gastos aumentaron debido a que en la vigencia 2023 fueron constituidas </w:t>
      </w:r>
      <w:r w:rsidRPr="00397280">
        <w:rPr>
          <w:rFonts w:ascii="Arial" w:hAnsi="Arial" w:cs="Arial"/>
          <w:bCs/>
        </w:rPr>
        <w:lastRenderedPageBreak/>
        <w:t>reservas presupuestales por valor de $11.148 millones de pesos, ejecutadas en la vigencia 2024 por valor de $10.886 millones de pesos, llevándose contablemente al gasto de la vigencia 2024, según el objeto contractual y la dinámica contable.</w:t>
      </w:r>
    </w:p>
    <w:p w14:paraId="23F8B910" w14:textId="77777777" w:rsidR="00E46C0A" w:rsidRPr="00397280" w:rsidRDefault="00E46C0A" w:rsidP="00292104">
      <w:pPr>
        <w:pStyle w:val="Textoindependiente"/>
        <w:ind w:left="-284" w:right="-234"/>
        <w:jc w:val="both"/>
        <w:rPr>
          <w:rFonts w:ascii="Arial" w:hAnsi="Arial" w:cs="Arial"/>
          <w:b/>
          <w:bCs/>
        </w:rPr>
      </w:pPr>
    </w:p>
    <w:p w14:paraId="17E0667E" w14:textId="77777777" w:rsidR="00E46C0A" w:rsidRPr="00397280" w:rsidRDefault="00E46C0A" w:rsidP="00292104">
      <w:pPr>
        <w:pStyle w:val="Textoindependiente"/>
        <w:ind w:left="-284" w:right="-234"/>
        <w:jc w:val="both"/>
        <w:rPr>
          <w:rFonts w:ascii="Arial" w:hAnsi="Arial" w:cs="Arial"/>
          <w:bCs/>
        </w:rPr>
      </w:pPr>
      <w:r w:rsidRPr="00397280">
        <w:rPr>
          <w:rFonts w:ascii="Arial" w:hAnsi="Arial" w:cs="Arial"/>
          <w:bCs/>
        </w:rPr>
        <w:t>Existen pasivos sin identificar por valor de $490 millones, menores a los establecidos en el año 2023 que fueron $850 millones, razón por la que se deben establecer procedimientos con las entidades financieras, de modo que el recaudo sea inmediatamente identificado, con el fin de incrementar la razonabilidad de los estados financieros”.</w:t>
      </w:r>
    </w:p>
    <w:p w14:paraId="16C8B4C9" w14:textId="77777777" w:rsidR="00E46C0A" w:rsidRPr="00397280" w:rsidRDefault="00E46C0A" w:rsidP="00292104">
      <w:pPr>
        <w:pStyle w:val="Textoindependiente"/>
        <w:ind w:left="-284" w:right="-234"/>
        <w:jc w:val="both"/>
        <w:rPr>
          <w:rFonts w:ascii="Arial" w:hAnsi="Arial" w:cs="Arial"/>
          <w:bCs/>
        </w:rPr>
      </w:pPr>
    </w:p>
    <w:p w14:paraId="2CCC41A9" w14:textId="77777777" w:rsidR="00E46C0A" w:rsidRPr="008E61CD" w:rsidRDefault="00E46C0A" w:rsidP="00292104">
      <w:pPr>
        <w:ind w:left="-284" w:right="-234"/>
        <w:jc w:val="both"/>
        <w:rPr>
          <w:rFonts w:ascii="Arial" w:hAnsi="Arial" w:cs="Arial"/>
          <w:b/>
          <w:sz w:val="28"/>
          <w:szCs w:val="28"/>
        </w:rPr>
      </w:pPr>
      <w:r w:rsidRPr="008E61CD">
        <w:rPr>
          <w:rFonts w:ascii="Arial" w:hAnsi="Arial" w:cs="Arial"/>
          <w:b/>
          <w:sz w:val="28"/>
          <w:szCs w:val="28"/>
          <w:lang w:val="es-MX"/>
        </w:rPr>
        <w:t xml:space="preserve">76.- </w:t>
      </w:r>
      <w:r w:rsidRPr="008E61CD">
        <w:rPr>
          <w:rFonts w:ascii="Arial" w:hAnsi="Arial" w:cs="Arial"/>
          <w:b/>
          <w:sz w:val="28"/>
          <w:szCs w:val="28"/>
        </w:rPr>
        <w:t>CORPORACIÓN AUTÓNOMA REGIONAL DE LOS VALLES DEL SINÚ Y SAN JORGE – CVS.</w:t>
      </w:r>
    </w:p>
    <w:p w14:paraId="32FFC48A" w14:textId="77777777" w:rsidR="00E46C0A" w:rsidRDefault="00E46C0A" w:rsidP="00E46C0A">
      <w:pPr>
        <w:ind w:left="-284" w:right="49"/>
        <w:jc w:val="both"/>
        <w:rPr>
          <w:rFonts w:ascii="Arial" w:hAnsi="Arial" w:cs="Arial"/>
          <w:b/>
          <w:spacing w:val="-3"/>
        </w:rPr>
      </w:pPr>
    </w:p>
    <w:p w14:paraId="1923BB4D" w14:textId="77777777" w:rsidR="00E46C0A" w:rsidRPr="008B6A05" w:rsidRDefault="00E46C0A" w:rsidP="00E46C0A">
      <w:pPr>
        <w:tabs>
          <w:tab w:val="left" w:pos="3450"/>
        </w:tabs>
        <w:ind w:left="-284"/>
        <w:jc w:val="both"/>
        <w:rPr>
          <w:rFonts w:ascii="Arial" w:hAnsi="Arial" w:cs="Arial"/>
          <w:b/>
          <w:bCs/>
          <w:sz w:val="24"/>
          <w:szCs w:val="24"/>
        </w:rPr>
      </w:pPr>
      <w:r w:rsidRPr="008B6A05">
        <w:rPr>
          <w:rFonts w:ascii="Arial" w:hAnsi="Arial" w:cs="Arial"/>
          <w:b/>
          <w:bCs/>
          <w:sz w:val="24"/>
          <w:szCs w:val="24"/>
        </w:rPr>
        <w:t>“RECOMENDACIONES CONCLUSIONES:</w:t>
      </w:r>
    </w:p>
    <w:p w14:paraId="0AD5324C" w14:textId="77777777" w:rsidR="00E46C0A" w:rsidRPr="008B6A05" w:rsidRDefault="00E46C0A" w:rsidP="00E46C0A">
      <w:pPr>
        <w:tabs>
          <w:tab w:val="left" w:pos="3450"/>
        </w:tabs>
        <w:jc w:val="both"/>
        <w:rPr>
          <w:rFonts w:ascii="Arial" w:hAnsi="Arial" w:cs="Arial"/>
          <w:b/>
          <w:bCs/>
          <w:sz w:val="24"/>
          <w:szCs w:val="24"/>
        </w:rPr>
      </w:pPr>
    </w:p>
    <w:p w14:paraId="2FF73F5D" w14:textId="77777777" w:rsidR="00E46C0A" w:rsidRPr="008B6A05" w:rsidRDefault="00E46C0A" w:rsidP="00AE3935">
      <w:pPr>
        <w:pStyle w:val="Prrafodelista"/>
        <w:widowControl/>
        <w:numPr>
          <w:ilvl w:val="0"/>
          <w:numId w:val="83"/>
        </w:numPr>
        <w:tabs>
          <w:tab w:val="left" w:pos="3450"/>
        </w:tabs>
        <w:autoSpaceDE/>
        <w:autoSpaceDN/>
        <w:spacing w:after="160"/>
        <w:contextualSpacing/>
        <w:jc w:val="both"/>
        <w:rPr>
          <w:rFonts w:ascii="Arial" w:hAnsi="Arial" w:cs="Arial"/>
          <w:sz w:val="24"/>
          <w:szCs w:val="24"/>
        </w:rPr>
      </w:pPr>
      <w:r w:rsidRPr="008B6A05">
        <w:rPr>
          <w:rFonts w:ascii="Arial" w:hAnsi="Arial" w:cs="Arial"/>
          <w:sz w:val="24"/>
          <w:szCs w:val="24"/>
        </w:rPr>
        <w:t>Continuar con los procesos de cobro coactivo, en cuanto a las cuentas por cobrar.</w:t>
      </w:r>
    </w:p>
    <w:p w14:paraId="3B469DA4" w14:textId="77777777" w:rsidR="00E46C0A" w:rsidRPr="008B6A05" w:rsidRDefault="00E46C0A" w:rsidP="00E46C0A">
      <w:pPr>
        <w:pStyle w:val="Prrafodelista"/>
        <w:tabs>
          <w:tab w:val="left" w:pos="3450"/>
        </w:tabs>
        <w:ind w:left="420"/>
        <w:rPr>
          <w:rFonts w:ascii="Arial" w:hAnsi="Arial" w:cs="Arial"/>
          <w:sz w:val="24"/>
          <w:szCs w:val="24"/>
        </w:rPr>
      </w:pPr>
    </w:p>
    <w:p w14:paraId="1F1A61AA" w14:textId="77777777" w:rsidR="00E46C0A" w:rsidRPr="008B6A05" w:rsidRDefault="00E46C0A" w:rsidP="00AE3935">
      <w:pPr>
        <w:pStyle w:val="Prrafodelista"/>
        <w:widowControl/>
        <w:numPr>
          <w:ilvl w:val="0"/>
          <w:numId w:val="83"/>
        </w:numPr>
        <w:tabs>
          <w:tab w:val="left" w:pos="3450"/>
        </w:tabs>
        <w:autoSpaceDE/>
        <w:autoSpaceDN/>
        <w:spacing w:after="160"/>
        <w:ind w:right="-234"/>
        <w:contextualSpacing/>
        <w:jc w:val="both"/>
        <w:rPr>
          <w:rFonts w:ascii="Arial" w:hAnsi="Arial" w:cs="Arial"/>
          <w:sz w:val="24"/>
          <w:szCs w:val="24"/>
        </w:rPr>
      </w:pPr>
      <w:r w:rsidRPr="008B6A05">
        <w:rPr>
          <w:rFonts w:ascii="Arial" w:hAnsi="Arial" w:cs="Arial"/>
          <w:sz w:val="24"/>
          <w:szCs w:val="24"/>
        </w:rPr>
        <w:t>Que se continúe con la agilidad de articulación entre la Oficina Administrativa y Financiera y la oficina Jurídica, en aras a que se consolide los procesos de cobros en la gestión de Cartera.</w:t>
      </w:r>
    </w:p>
    <w:p w14:paraId="52217C5E" w14:textId="77777777" w:rsidR="00E46C0A" w:rsidRPr="008B6A05" w:rsidRDefault="00E46C0A" w:rsidP="00292104">
      <w:pPr>
        <w:pStyle w:val="Prrafodelista"/>
        <w:ind w:right="-234"/>
        <w:rPr>
          <w:rFonts w:ascii="Arial" w:hAnsi="Arial" w:cs="Arial"/>
          <w:sz w:val="24"/>
          <w:szCs w:val="24"/>
        </w:rPr>
      </w:pPr>
    </w:p>
    <w:p w14:paraId="69ACF22B" w14:textId="77777777" w:rsidR="00E46C0A" w:rsidRPr="008B6A05" w:rsidRDefault="00E46C0A" w:rsidP="00AE3935">
      <w:pPr>
        <w:pStyle w:val="Prrafodelista"/>
        <w:widowControl/>
        <w:numPr>
          <w:ilvl w:val="0"/>
          <w:numId w:val="83"/>
        </w:numPr>
        <w:tabs>
          <w:tab w:val="left" w:pos="3450"/>
        </w:tabs>
        <w:autoSpaceDE/>
        <w:autoSpaceDN/>
        <w:spacing w:after="160"/>
        <w:ind w:right="-234"/>
        <w:contextualSpacing/>
        <w:jc w:val="both"/>
        <w:rPr>
          <w:rFonts w:ascii="Arial" w:hAnsi="Arial" w:cs="Arial"/>
          <w:sz w:val="24"/>
          <w:szCs w:val="24"/>
        </w:rPr>
      </w:pPr>
      <w:r w:rsidRPr="008B6A05">
        <w:rPr>
          <w:rFonts w:ascii="Arial" w:hAnsi="Arial" w:cs="Arial"/>
          <w:sz w:val="24"/>
          <w:szCs w:val="24"/>
        </w:rPr>
        <w:t>Revisar y analizar las cuentas bancarias, que presentan inactividad desde hace más de un año, estas cuentas mantienen recursos importantes, que podrían disponerse en caso de ser sobrantes.</w:t>
      </w:r>
    </w:p>
    <w:p w14:paraId="2AD35B86" w14:textId="77777777" w:rsidR="00E46C0A" w:rsidRPr="008B6A05" w:rsidRDefault="00E46C0A" w:rsidP="00292104">
      <w:pPr>
        <w:pStyle w:val="Prrafodelista"/>
        <w:ind w:right="-234"/>
        <w:rPr>
          <w:rFonts w:ascii="Arial" w:hAnsi="Arial" w:cs="Arial"/>
          <w:sz w:val="24"/>
          <w:szCs w:val="24"/>
        </w:rPr>
      </w:pPr>
    </w:p>
    <w:p w14:paraId="096AFFD8" w14:textId="77777777" w:rsidR="00E46C0A" w:rsidRDefault="00E46C0A" w:rsidP="00AE3935">
      <w:pPr>
        <w:pStyle w:val="Prrafodelista"/>
        <w:widowControl/>
        <w:numPr>
          <w:ilvl w:val="0"/>
          <w:numId w:val="83"/>
        </w:numPr>
        <w:tabs>
          <w:tab w:val="left" w:pos="3450"/>
        </w:tabs>
        <w:autoSpaceDE/>
        <w:autoSpaceDN/>
        <w:ind w:right="-234"/>
        <w:contextualSpacing/>
        <w:jc w:val="both"/>
        <w:rPr>
          <w:rFonts w:ascii="Arial" w:hAnsi="Arial" w:cs="Arial"/>
          <w:sz w:val="24"/>
          <w:szCs w:val="24"/>
        </w:rPr>
      </w:pPr>
      <w:r w:rsidRPr="008B6A05">
        <w:rPr>
          <w:rFonts w:ascii="Arial" w:hAnsi="Arial" w:cs="Arial"/>
          <w:sz w:val="24"/>
          <w:szCs w:val="24"/>
        </w:rPr>
        <w:t>Consolidar la oficina de cobro jurídico, como una oficina de cobranzas, con funciones de Dirigir, coordinar, evaluar y controlar las actividades de cobro; en especial las competencias delegadas en materia de cobro coactivo no tributario, de acuerdo con la normativa vigente”.</w:t>
      </w:r>
    </w:p>
    <w:p w14:paraId="68E5C4FA" w14:textId="77777777" w:rsidR="00E46C0A" w:rsidRPr="00F23564" w:rsidRDefault="00E46C0A" w:rsidP="00E46C0A">
      <w:pPr>
        <w:pStyle w:val="Prrafodelista"/>
        <w:rPr>
          <w:rFonts w:ascii="Arial" w:hAnsi="Arial" w:cs="Arial"/>
          <w:sz w:val="24"/>
          <w:szCs w:val="24"/>
        </w:rPr>
      </w:pPr>
    </w:p>
    <w:p w14:paraId="51C29DE9" w14:textId="77777777" w:rsidR="00E46C0A" w:rsidRPr="00F23564" w:rsidRDefault="00E46C0A" w:rsidP="00292104">
      <w:pPr>
        <w:widowControl/>
        <w:tabs>
          <w:tab w:val="left" w:pos="3450"/>
        </w:tabs>
        <w:autoSpaceDE/>
        <w:ind w:left="-142" w:right="-234"/>
        <w:jc w:val="both"/>
        <w:rPr>
          <w:rFonts w:ascii="Arial" w:eastAsia="Arial" w:hAnsi="Arial" w:cs="Arial"/>
          <w:sz w:val="24"/>
          <w:szCs w:val="24"/>
        </w:rPr>
      </w:pPr>
      <w:r w:rsidRPr="00F23564">
        <w:rPr>
          <w:rFonts w:ascii="Arial" w:hAnsi="Arial" w:cs="Arial"/>
          <w:b/>
          <w:bCs/>
          <w:sz w:val="24"/>
          <w:szCs w:val="24"/>
        </w:rPr>
        <w:t>NOTA</w:t>
      </w:r>
      <w:r w:rsidRPr="00F23564">
        <w:rPr>
          <w:rFonts w:ascii="Arial" w:hAnsi="Arial" w:cs="Arial"/>
          <w:sz w:val="24"/>
          <w:szCs w:val="24"/>
        </w:rPr>
        <w:t>: Los estados financieros a 31 de diciembre de 2024, no están firmados por el señor revisor fiscal.</w:t>
      </w:r>
    </w:p>
    <w:p w14:paraId="3230CD7C" w14:textId="77777777" w:rsidR="00E46C0A" w:rsidRPr="00F23564" w:rsidRDefault="00E46C0A" w:rsidP="00E46C0A">
      <w:pPr>
        <w:widowControl/>
        <w:tabs>
          <w:tab w:val="left" w:pos="3450"/>
        </w:tabs>
        <w:autoSpaceDE/>
        <w:autoSpaceDN/>
        <w:ind w:left="-142"/>
        <w:contextualSpacing/>
        <w:jc w:val="both"/>
        <w:rPr>
          <w:rFonts w:ascii="Arial" w:hAnsi="Arial" w:cs="Arial"/>
          <w:sz w:val="24"/>
          <w:szCs w:val="24"/>
        </w:rPr>
      </w:pPr>
    </w:p>
    <w:p w14:paraId="1547DFB9" w14:textId="77777777" w:rsidR="00E46C0A" w:rsidRPr="00D22B6C" w:rsidRDefault="00E46C0A" w:rsidP="00E46C0A">
      <w:pPr>
        <w:ind w:left="-142"/>
        <w:jc w:val="both"/>
        <w:rPr>
          <w:rFonts w:ascii="Arial" w:hAnsi="Arial" w:cs="Arial"/>
          <w:b/>
          <w:sz w:val="28"/>
          <w:szCs w:val="28"/>
          <w:lang w:val="es-MX"/>
        </w:rPr>
      </w:pPr>
      <w:r w:rsidRPr="00D22B6C">
        <w:rPr>
          <w:rFonts w:ascii="Arial" w:hAnsi="Arial" w:cs="Arial"/>
          <w:b/>
          <w:sz w:val="28"/>
          <w:szCs w:val="28"/>
          <w:lang w:val="es-MX"/>
        </w:rPr>
        <w:t>78.- SOCIEDAD DE ACTIVOS ESPECIALES – S.A.E. S.A.S.</w:t>
      </w:r>
    </w:p>
    <w:p w14:paraId="015E6F3D" w14:textId="77777777" w:rsidR="00E46C0A" w:rsidRDefault="00E46C0A" w:rsidP="00E46C0A">
      <w:pPr>
        <w:jc w:val="both"/>
        <w:rPr>
          <w:b/>
          <w:sz w:val="28"/>
          <w:szCs w:val="28"/>
          <w:lang w:val="es-MX"/>
        </w:rPr>
      </w:pPr>
    </w:p>
    <w:p w14:paraId="1EDE1F06" w14:textId="77777777" w:rsidR="00E46C0A" w:rsidRPr="00D22B6C" w:rsidRDefault="00E46C0A" w:rsidP="00E46C0A">
      <w:pPr>
        <w:pStyle w:val="Textoindependiente"/>
        <w:ind w:left="-142" w:right="-50"/>
        <w:jc w:val="both"/>
        <w:rPr>
          <w:rFonts w:ascii="Arial" w:hAnsi="Arial" w:cs="Arial"/>
          <w:b/>
          <w:bCs/>
          <w:sz w:val="24"/>
          <w:szCs w:val="24"/>
        </w:rPr>
      </w:pPr>
      <w:r w:rsidRPr="00D22B6C">
        <w:rPr>
          <w:rFonts w:ascii="Arial" w:hAnsi="Arial" w:cs="Arial"/>
          <w:b/>
          <w:bCs/>
          <w:sz w:val="24"/>
          <w:szCs w:val="24"/>
        </w:rPr>
        <w:t>“Párrafo de énfasis</w:t>
      </w:r>
    </w:p>
    <w:p w14:paraId="4A58F4EF" w14:textId="77777777" w:rsidR="00E46C0A" w:rsidRPr="00D22B6C" w:rsidRDefault="00E46C0A" w:rsidP="00E46C0A">
      <w:pPr>
        <w:pStyle w:val="Textoindependiente"/>
        <w:ind w:right="-50"/>
        <w:jc w:val="both"/>
        <w:rPr>
          <w:rFonts w:ascii="Arial" w:hAnsi="Arial" w:cs="Arial"/>
          <w:sz w:val="24"/>
          <w:szCs w:val="24"/>
        </w:rPr>
      </w:pPr>
    </w:p>
    <w:p w14:paraId="51B94C4D" w14:textId="77777777" w:rsidR="00E46C0A" w:rsidRPr="00D22B6C" w:rsidRDefault="00E46C0A" w:rsidP="00AE3935">
      <w:pPr>
        <w:pStyle w:val="Textoindependiente"/>
        <w:numPr>
          <w:ilvl w:val="0"/>
          <w:numId w:val="84"/>
        </w:numPr>
        <w:ind w:right="-234"/>
        <w:jc w:val="both"/>
        <w:rPr>
          <w:rFonts w:ascii="Arial" w:hAnsi="Arial" w:cs="Arial"/>
          <w:sz w:val="24"/>
          <w:szCs w:val="24"/>
        </w:rPr>
      </w:pPr>
      <w:r w:rsidRPr="00D22B6C">
        <w:rPr>
          <w:rFonts w:ascii="Arial" w:hAnsi="Arial" w:cs="Arial"/>
          <w:sz w:val="24"/>
          <w:szCs w:val="24"/>
        </w:rPr>
        <w:t>El Fondo para la Rehabilitación, Inversión Social y Lucha Contra el Crimen Organizado – FRISCO, es administrado por la Sociedad de Activos Especiales S.A.S. – SAE S.A.S (entidad subordinada), en observancia de la Ley 1708 de 2014 (mediante la cual se expidió el Código de Extinción de Dominio). El Fondo es una cuenta especial, sin personería jurídica, depositario de los bienes que se encuentran afectados por los trámites de extinción de dominio o sobre los cuales se declaró la extinción a favor del Estado y, por tanto, es un ente jurídico diferente de la Sociedad de Activos Especiales S.A.S. – SAE S.A.S. en consecuencia. El alcance de nuestro no incluyó procedimientos de auditoría acerca de las operaciones del Fondo para la Rehabilitación, Inversión Social y Lucha Contra el Crimen Organizado – FRISCO.</w:t>
      </w:r>
    </w:p>
    <w:p w14:paraId="4CB11577" w14:textId="77777777" w:rsidR="00E46C0A" w:rsidRPr="00D22B6C" w:rsidRDefault="00E46C0A" w:rsidP="00E46C0A">
      <w:pPr>
        <w:pStyle w:val="Textoindependiente"/>
        <w:ind w:left="720" w:right="-50"/>
        <w:jc w:val="both"/>
        <w:rPr>
          <w:rFonts w:ascii="Arial" w:hAnsi="Arial" w:cs="Arial"/>
          <w:sz w:val="24"/>
          <w:szCs w:val="24"/>
        </w:rPr>
      </w:pPr>
    </w:p>
    <w:p w14:paraId="40915ADC" w14:textId="77777777" w:rsidR="00E46C0A" w:rsidRPr="00D22B6C" w:rsidRDefault="00E46C0A" w:rsidP="00AE3935">
      <w:pPr>
        <w:pStyle w:val="Textoindependiente"/>
        <w:numPr>
          <w:ilvl w:val="0"/>
          <w:numId w:val="84"/>
        </w:numPr>
        <w:ind w:right="-234"/>
        <w:jc w:val="both"/>
        <w:rPr>
          <w:rFonts w:ascii="Arial" w:hAnsi="Arial" w:cs="Arial"/>
          <w:sz w:val="24"/>
          <w:szCs w:val="24"/>
        </w:rPr>
      </w:pPr>
      <w:r w:rsidRPr="00D22B6C">
        <w:rPr>
          <w:rFonts w:ascii="Arial" w:hAnsi="Arial" w:cs="Arial"/>
          <w:sz w:val="24"/>
          <w:szCs w:val="24"/>
        </w:rPr>
        <w:t>Sin modificar nuestra opinión, llamamos la atención sobre las siguientes Notas de los estados financieros:</w:t>
      </w:r>
    </w:p>
    <w:p w14:paraId="23578197" w14:textId="77777777" w:rsidR="00E46C0A" w:rsidRPr="00D22B6C" w:rsidRDefault="00E46C0A" w:rsidP="00292104">
      <w:pPr>
        <w:pStyle w:val="Textoindependiente"/>
        <w:ind w:left="720" w:right="-234"/>
        <w:jc w:val="both"/>
        <w:rPr>
          <w:rFonts w:ascii="Arial" w:hAnsi="Arial" w:cs="Arial"/>
          <w:sz w:val="24"/>
          <w:szCs w:val="24"/>
        </w:rPr>
      </w:pPr>
    </w:p>
    <w:p w14:paraId="6F134542"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lastRenderedPageBreak/>
        <w:t>Nota 3.2.: Estimaciones y supuestos en el literal (d)</w:t>
      </w:r>
    </w:p>
    <w:p w14:paraId="5154F926"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t>Nota 4: Políticas contables sobre otras cuentas por cobrar por derecho de reembolso en el literal (b), Otros activos en el literal (e), Provisiones y contingencias en el literal (b), Ingresos en su literal (b).</w:t>
      </w:r>
    </w:p>
    <w:p w14:paraId="43E71087"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t>Nota 7.21: Otras cuentas por cobrar</w:t>
      </w:r>
    </w:p>
    <w:p w14:paraId="1271F033"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t>Nota 16.1: Desglose de la cuenta otros derechos y garantía.</w:t>
      </w:r>
    </w:p>
    <w:p w14:paraId="3818903F"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t>Nota 25: Activos y Pasivos contingentes.</w:t>
      </w:r>
    </w:p>
    <w:p w14:paraId="216291D0"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t>Nota 28.2: Otros ingresos.</w:t>
      </w:r>
    </w:p>
    <w:p w14:paraId="5D8092A1" w14:textId="77777777" w:rsidR="00E46C0A" w:rsidRPr="00D22B6C" w:rsidRDefault="00E46C0A" w:rsidP="00AE3935">
      <w:pPr>
        <w:pStyle w:val="Textoindependiente"/>
        <w:numPr>
          <w:ilvl w:val="0"/>
          <w:numId w:val="85"/>
        </w:numPr>
        <w:ind w:right="-234"/>
        <w:jc w:val="both"/>
        <w:rPr>
          <w:rFonts w:ascii="Arial" w:hAnsi="Arial" w:cs="Arial"/>
          <w:sz w:val="24"/>
          <w:szCs w:val="24"/>
        </w:rPr>
      </w:pPr>
      <w:r w:rsidRPr="00D22B6C">
        <w:rPr>
          <w:rFonts w:ascii="Arial" w:hAnsi="Arial" w:cs="Arial"/>
          <w:sz w:val="24"/>
          <w:szCs w:val="24"/>
        </w:rPr>
        <w:t>Nota 29.7: Otros gastos.</w:t>
      </w:r>
    </w:p>
    <w:p w14:paraId="288621ED" w14:textId="77777777" w:rsidR="00E46C0A" w:rsidRPr="00D22B6C" w:rsidRDefault="00E46C0A" w:rsidP="00292104">
      <w:pPr>
        <w:pStyle w:val="Textoindependiente"/>
        <w:ind w:left="1080" w:right="-234"/>
        <w:jc w:val="both"/>
        <w:rPr>
          <w:rFonts w:ascii="Arial" w:hAnsi="Arial" w:cs="Arial"/>
          <w:sz w:val="24"/>
          <w:szCs w:val="24"/>
        </w:rPr>
      </w:pPr>
    </w:p>
    <w:p w14:paraId="3CD0491B" w14:textId="77777777" w:rsidR="00E46C0A" w:rsidRPr="00D22B6C" w:rsidRDefault="00E46C0A" w:rsidP="00292104">
      <w:pPr>
        <w:pStyle w:val="Textoindependiente"/>
        <w:ind w:right="-234"/>
        <w:jc w:val="both"/>
        <w:rPr>
          <w:rFonts w:ascii="Arial" w:hAnsi="Arial" w:cs="Arial"/>
          <w:sz w:val="24"/>
          <w:szCs w:val="24"/>
        </w:rPr>
      </w:pPr>
      <w:r w:rsidRPr="00D22B6C">
        <w:rPr>
          <w:rFonts w:ascii="Arial" w:hAnsi="Arial" w:cs="Arial"/>
          <w:sz w:val="24"/>
          <w:szCs w:val="24"/>
        </w:rPr>
        <w:t>En las anteriores Notas la administración revela el impacto significativo del reconocimiento del contingente judicial del FRISCO en los estados financieros de la Sociedad de Activos Especiales S.A.S. – SAE S.A.S., por la aplicación del concepto 20241120006221 emitido por la Contaduría General de la Nación del 8 de marzo de 2024, donde indicó la obligatoriedad para la SAE S.A.S. de aplicar el procedimiento sobre el reconocimiento de los derechos de reembolso”.</w:t>
      </w:r>
    </w:p>
    <w:p w14:paraId="1D9159A4" w14:textId="77777777" w:rsidR="00E46C0A" w:rsidRPr="00D22B6C" w:rsidRDefault="00E46C0A" w:rsidP="00E46C0A">
      <w:pPr>
        <w:jc w:val="both"/>
        <w:rPr>
          <w:rFonts w:ascii="Arial" w:hAnsi="Arial" w:cs="Arial"/>
          <w:b/>
          <w:sz w:val="24"/>
          <w:szCs w:val="24"/>
          <w:lang w:val="es-MX"/>
        </w:rPr>
      </w:pPr>
    </w:p>
    <w:p w14:paraId="6C28B155" w14:textId="77777777" w:rsidR="00E46C0A" w:rsidRPr="00C23C0F" w:rsidRDefault="00E46C0A" w:rsidP="00E46C0A">
      <w:pPr>
        <w:jc w:val="both"/>
        <w:rPr>
          <w:rFonts w:ascii="Arial" w:hAnsi="Arial" w:cs="Arial"/>
          <w:b/>
          <w:sz w:val="28"/>
          <w:szCs w:val="28"/>
          <w:lang w:val="es-MX"/>
        </w:rPr>
      </w:pPr>
      <w:r w:rsidRPr="00C23C0F">
        <w:rPr>
          <w:rFonts w:ascii="Arial" w:hAnsi="Arial" w:cs="Arial"/>
          <w:b/>
          <w:sz w:val="28"/>
          <w:szCs w:val="28"/>
          <w:lang w:val="es-MX"/>
        </w:rPr>
        <w:t>89.- CORPORACIÓN AGENCIA NACIONAL DE GOBIERNO DIGITAL - AND.</w:t>
      </w:r>
    </w:p>
    <w:p w14:paraId="7027F207" w14:textId="77777777" w:rsidR="00E46C0A" w:rsidRDefault="00E46C0A" w:rsidP="00E46C0A">
      <w:pPr>
        <w:ind w:left="-284" w:right="49"/>
        <w:jc w:val="both"/>
        <w:rPr>
          <w:rFonts w:ascii="Arial" w:hAnsi="Arial" w:cs="Arial"/>
          <w:b/>
          <w:spacing w:val="-3"/>
          <w:sz w:val="24"/>
          <w:szCs w:val="24"/>
          <w:lang w:val="es-MX"/>
        </w:rPr>
      </w:pPr>
    </w:p>
    <w:p w14:paraId="477CE2F7" w14:textId="77777777" w:rsidR="00E46C0A" w:rsidRPr="00051841" w:rsidRDefault="00E46C0A" w:rsidP="00E46C0A">
      <w:pPr>
        <w:jc w:val="both"/>
        <w:rPr>
          <w:rFonts w:ascii="Arial" w:hAnsi="Arial" w:cs="Arial"/>
          <w:b/>
          <w:sz w:val="24"/>
          <w:szCs w:val="24"/>
        </w:rPr>
      </w:pPr>
      <w:r>
        <w:rPr>
          <w:rFonts w:ascii="Arial" w:hAnsi="Arial" w:cs="Arial"/>
          <w:b/>
          <w:sz w:val="24"/>
          <w:szCs w:val="24"/>
        </w:rPr>
        <w:t>“</w:t>
      </w:r>
      <w:r w:rsidRPr="00051841">
        <w:rPr>
          <w:rFonts w:ascii="Arial" w:hAnsi="Arial" w:cs="Arial"/>
          <w:b/>
          <w:sz w:val="24"/>
          <w:szCs w:val="24"/>
        </w:rPr>
        <w:t xml:space="preserve">J. Párrafo de Énfasis. </w:t>
      </w:r>
    </w:p>
    <w:p w14:paraId="1D1BF147" w14:textId="77777777" w:rsidR="00E46C0A" w:rsidRDefault="00E46C0A" w:rsidP="00E46C0A">
      <w:pPr>
        <w:jc w:val="both"/>
        <w:rPr>
          <w:rFonts w:ascii="Arial" w:hAnsi="Arial" w:cs="Arial"/>
          <w:sz w:val="24"/>
          <w:szCs w:val="24"/>
        </w:rPr>
      </w:pPr>
    </w:p>
    <w:p w14:paraId="5403F893" w14:textId="77777777" w:rsidR="00E46C0A" w:rsidRPr="00051841" w:rsidRDefault="00E46C0A" w:rsidP="00292104">
      <w:pPr>
        <w:ind w:right="-234"/>
        <w:jc w:val="both"/>
        <w:rPr>
          <w:rFonts w:ascii="Arial" w:hAnsi="Arial" w:cs="Arial"/>
          <w:sz w:val="24"/>
          <w:szCs w:val="24"/>
          <w:lang w:val="es-MX"/>
        </w:rPr>
      </w:pPr>
      <w:r w:rsidRPr="00696310">
        <w:rPr>
          <w:rFonts w:ascii="Arial" w:hAnsi="Arial" w:cs="Arial"/>
          <w:b/>
          <w:sz w:val="24"/>
          <w:szCs w:val="24"/>
        </w:rPr>
        <w:t>Queremos llamar la atención sobre lo siguiente</w:t>
      </w:r>
      <w:r w:rsidRPr="00051841">
        <w:rPr>
          <w:rFonts w:ascii="Arial" w:hAnsi="Arial" w:cs="Arial"/>
          <w:sz w:val="24"/>
          <w:szCs w:val="24"/>
        </w:rPr>
        <w:t>: Al cierre de la vigencia del año 2023, la Corporación Agencia Nacional de Gobierno Digital – AND, registró un déficit de la vigencia por valor aproximado de $3.903 millones de pesos, este resultado se atribuye principalmente al incremento del 51% de los costos y gastos, lo cual reflejó un desequilibrio financiero considerable necesario para llevar a cabo la ejecución de su objeto social, la administración debe validar las estrategias necesarias para alcanzar como mínimo el punto de equilibrio durante la vigencia 2024</w:t>
      </w:r>
      <w:r>
        <w:rPr>
          <w:rFonts w:ascii="Arial" w:hAnsi="Arial" w:cs="Arial"/>
          <w:sz w:val="24"/>
          <w:szCs w:val="24"/>
        </w:rPr>
        <w:t>”</w:t>
      </w:r>
      <w:r w:rsidRPr="00051841">
        <w:rPr>
          <w:rFonts w:ascii="Arial" w:hAnsi="Arial" w:cs="Arial"/>
          <w:sz w:val="24"/>
          <w:szCs w:val="24"/>
        </w:rPr>
        <w:t>.</w:t>
      </w:r>
    </w:p>
    <w:p w14:paraId="3763F9B1" w14:textId="77777777" w:rsidR="00E46C0A" w:rsidRDefault="00E46C0A" w:rsidP="00292104">
      <w:pPr>
        <w:ind w:left="-284" w:right="-234"/>
        <w:jc w:val="both"/>
        <w:rPr>
          <w:rFonts w:ascii="Arial" w:hAnsi="Arial" w:cs="Arial"/>
          <w:b/>
          <w:spacing w:val="-3"/>
          <w:sz w:val="24"/>
          <w:szCs w:val="24"/>
          <w:lang w:val="es-MX"/>
        </w:rPr>
      </w:pPr>
    </w:p>
    <w:p w14:paraId="116ED06C" w14:textId="77777777" w:rsidR="00E46C0A" w:rsidRPr="00C858F5" w:rsidRDefault="00E46C0A" w:rsidP="00292104">
      <w:pPr>
        <w:ind w:right="-234"/>
        <w:jc w:val="both"/>
        <w:rPr>
          <w:rFonts w:ascii="Arial" w:hAnsi="Arial" w:cs="Arial"/>
          <w:b/>
          <w:sz w:val="28"/>
          <w:szCs w:val="28"/>
          <w:lang w:val="es-MX"/>
        </w:rPr>
      </w:pPr>
      <w:r w:rsidRPr="00C858F5">
        <w:rPr>
          <w:rFonts w:ascii="Arial" w:hAnsi="Arial" w:cs="Arial"/>
          <w:b/>
          <w:sz w:val="28"/>
          <w:szCs w:val="28"/>
          <w:lang w:val="es-MX"/>
        </w:rPr>
        <w:t xml:space="preserve">90.- </w:t>
      </w:r>
      <w:r w:rsidRPr="00C858F5">
        <w:rPr>
          <w:rFonts w:ascii="Arial" w:hAnsi="Arial" w:cs="Arial"/>
          <w:b/>
          <w:sz w:val="28"/>
          <w:szCs w:val="28"/>
        </w:rPr>
        <w:t>GRAN CENTRAL DE ABASTOS DEL CARIBE S.A. - GRANABASTOS S.A.</w:t>
      </w:r>
    </w:p>
    <w:p w14:paraId="633E7FE5" w14:textId="77777777" w:rsidR="00E46C0A" w:rsidRPr="00C858F5" w:rsidRDefault="00E46C0A" w:rsidP="00292104">
      <w:pPr>
        <w:ind w:left="-284" w:right="-234"/>
        <w:jc w:val="both"/>
        <w:rPr>
          <w:rFonts w:ascii="Arial" w:hAnsi="Arial" w:cs="Arial"/>
          <w:b/>
          <w:spacing w:val="-3"/>
          <w:sz w:val="24"/>
          <w:szCs w:val="24"/>
          <w:lang w:val="es-MX"/>
        </w:rPr>
      </w:pPr>
    </w:p>
    <w:p w14:paraId="6FBD6B06" w14:textId="77777777" w:rsidR="00E46C0A" w:rsidRPr="00C858F5" w:rsidRDefault="00E46C0A" w:rsidP="00292104">
      <w:pPr>
        <w:spacing w:line="276" w:lineRule="auto"/>
        <w:ind w:right="-234"/>
        <w:jc w:val="both"/>
        <w:rPr>
          <w:rFonts w:ascii="Arial" w:hAnsi="Arial" w:cs="Arial"/>
          <w:sz w:val="24"/>
          <w:szCs w:val="24"/>
        </w:rPr>
      </w:pPr>
      <w:r w:rsidRPr="00C858F5">
        <w:rPr>
          <w:rFonts w:ascii="Arial" w:hAnsi="Arial" w:cs="Arial"/>
          <w:b/>
          <w:sz w:val="24"/>
          <w:szCs w:val="24"/>
        </w:rPr>
        <w:t>“PÁRRAFO</w:t>
      </w:r>
      <w:r w:rsidRPr="00C858F5">
        <w:rPr>
          <w:rFonts w:ascii="Arial" w:hAnsi="Arial" w:cs="Arial"/>
          <w:b/>
          <w:spacing w:val="-5"/>
          <w:sz w:val="24"/>
          <w:szCs w:val="24"/>
        </w:rPr>
        <w:t xml:space="preserve"> </w:t>
      </w:r>
      <w:r w:rsidRPr="00C858F5">
        <w:rPr>
          <w:rFonts w:ascii="Arial" w:hAnsi="Arial" w:cs="Arial"/>
          <w:b/>
          <w:sz w:val="24"/>
          <w:szCs w:val="24"/>
        </w:rPr>
        <w:t>DE</w:t>
      </w:r>
      <w:r w:rsidRPr="00C858F5">
        <w:rPr>
          <w:rFonts w:ascii="Arial" w:hAnsi="Arial" w:cs="Arial"/>
          <w:b/>
          <w:spacing w:val="-4"/>
          <w:sz w:val="24"/>
          <w:szCs w:val="24"/>
        </w:rPr>
        <w:t xml:space="preserve"> </w:t>
      </w:r>
      <w:r w:rsidRPr="00C858F5">
        <w:rPr>
          <w:rFonts w:ascii="Arial" w:hAnsi="Arial" w:cs="Arial"/>
          <w:b/>
          <w:spacing w:val="-2"/>
          <w:sz w:val="24"/>
          <w:szCs w:val="24"/>
        </w:rPr>
        <w:t xml:space="preserve">ÉNFASIS: </w:t>
      </w:r>
      <w:r w:rsidRPr="00C858F5">
        <w:rPr>
          <w:rFonts w:ascii="Arial" w:hAnsi="Arial" w:cs="Arial"/>
          <w:sz w:val="24"/>
          <w:szCs w:val="24"/>
        </w:rPr>
        <w:t>De acuerdo a la NIA 706, considero fundamental enunciar lo revelado en los estados financieros</w:t>
      </w:r>
      <w:r w:rsidRPr="00C858F5">
        <w:rPr>
          <w:rFonts w:ascii="Arial" w:hAnsi="Arial" w:cs="Arial"/>
          <w:spacing w:val="-8"/>
          <w:sz w:val="24"/>
          <w:szCs w:val="24"/>
        </w:rPr>
        <w:t xml:space="preserve"> </w:t>
      </w:r>
      <w:r w:rsidRPr="00C858F5">
        <w:rPr>
          <w:rFonts w:ascii="Arial" w:hAnsi="Arial" w:cs="Arial"/>
          <w:sz w:val="24"/>
          <w:szCs w:val="24"/>
        </w:rPr>
        <w:t>referente</w:t>
      </w:r>
      <w:r w:rsidRPr="00C858F5">
        <w:rPr>
          <w:rFonts w:ascii="Arial" w:hAnsi="Arial" w:cs="Arial"/>
          <w:spacing w:val="-7"/>
          <w:sz w:val="24"/>
          <w:szCs w:val="24"/>
        </w:rPr>
        <w:t xml:space="preserve"> </w:t>
      </w:r>
      <w:r w:rsidRPr="00C858F5">
        <w:rPr>
          <w:rFonts w:ascii="Arial" w:hAnsi="Arial" w:cs="Arial"/>
          <w:sz w:val="24"/>
          <w:szCs w:val="24"/>
        </w:rPr>
        <w:t>al</w:t>
      </w:r>
      <w:r w:rsidRPr="00C858F5">
        <w:rPr>
          <w:rFonts w:ascii="Arial" w:hAnsi="Arial" w:cs="Arial"/>
          <w:spacing w:val="-8"/>
          <w:sz w:val="24"/>
          <w:szCs w:val="24"/>
        </w:rPr>
        <w:t xml:space="preserve"> </w:t>
      </w:r>
      <w:r w:rsidRPr="00C858F5">
        <w:rPr>
          <w:rFonts w:ascii="Arial" w:hAnsi="Arial" w:cs="Arial"/>
          <w:sz w:val="24"/>
          <w:szCs w:val="24"/>
        </w:rPr>
        <w:t>Préstamo</w:t>
      </w:r>
      <w:r w:rsidRPr="00C858F5">
        <w:rPr>
          <w:rFonts w:ascii="Arial" w:hAnsi="Arial" w:cs="Arial"/>
          <w:spacing w:val="-8"/>
          <w:sz w:val="24"/>
          <w:szCs w:val="24"/>
        </w:rPr>
        <w:t xml:space="preserve"> </w:t>
      </w:r>
      <w:r w:rsidRPr="00C858F5">
        <w:rPr>
          <w:rFonts w:ascii="Arial" w:hAnsi="Arial" w:cs="Arial"/>
          <w:sz w:val="24"/>
          <w:szCs w:val="24"/>
        </w:rPr>
        <w:t>por</w:t>
      </w:r>
      <w:r w:rsidRPr="00C858F5">
        <w:rPr>
          <w:rFonts w:ascii="Arial" w:hAnsi="Arial" w:cs="Arial"/>
          <w:spacing w:val="-8"/>
          <w:sz w:val="24"/>
          <w:szCs w:val="24"/>
        </w:rPr>
        <w:t xml:space="preserve"> </w:t>
      </w:r>
      <w:r w:rsidRPr="00C858F5">
        <w:rPr>
          <w:rFonts w:ascii="Arial" w:hAnsi="Arial" w:cs="Arial"/>
          <w:sz w:val="24"/>
          <w:szCs w:val="24"/>
        </w:rPr>
        <w:t>pagar</w:t>
      </w:r>
      <w:r w:rsidRPr="00C858F5">
        <w:rPr>
          <w:rFonts w:ascii="Arial" w:hAnsi="Arial" w:cs="Arial"/>
          <w:spacing w:val="-8"/>
          <w:sz w:val="24"/>
          <w:szCs w:val="24"/>
        </w:rPr>
        <w:t xml:space="preserve"> </w:t>
      </w:r>
      <w:r w:rsidRPr="00C858F5">
        <w:rPr>
          <w:rFonts w:ascii="Arial" w:hAnsi="Arial" w:cs="Arial"/>
          <w:sz w:val="24"/>
          <w:szCs w:val="24"/>
        </w:rPr>
        <w:t>con</w:t>
      </w:r>
      <w:r w:rsidRPr="00C858F5">
        <w:rPr>
          <w:rFonts w:ascii="Arial" w:hAnsi="Arial" w:cs="Arial"/>
          <w:spacing w:val="-6"/>
          <w:sz w:val="24"/>
          <w:szCs w:val="24"/>
        </w:rPr>
        <w:t xml:space="preserve"> </w:t>
      </w:r>
      <w:r w:rsidRPr="00C858F5">
        <w:rPr>
          <w:rFonts w:ascii="Arial" w:hAnsi="Arial" w:cs="Arial"/>
          <w:sz w:val="24"/>
          <w:szCs w:val="24"/>
        </w:rPr>
        <w:t>la</w:t>
      </w:r>
      <w:r w:rsidRPr="00C858F5">
        <w:rPr>
          <w:rFonts w:ascii="Arial" w:hAnsi="Arial" w:cs="Arial"/>
          <w:spacing w:val="-9"/>
          <w:sz w:val="24"/>
          <w:szCs w:val="24"/>
        </w:rPr>
        <w:t xml:space="preserve"> </w:t>
      </w:r>
      <w:r w:rsidRPr="00C858F5">
        <w:rPr>
          <w:rFonts w:ascii="Arial" w:hAnsi="Arial" w:cs="Arial"/>
          <w:sz w:val="24"/>
          <w:szCs w:val="24"/>
        </w:rPr>
        <w:t>nación</w:t>
      </w:r>
      <w:r w:rsidRPr="00C858F5">
        <w:rPr>
          <w:rFonts w:ascii="Arial" w:hAnsi="Arial" w:cs="Arial"/>
          <w:spacing w:val="-5"/>
          <w:sz w:val="24"/>
          <w:szCs w:val="24"/>
        </w:rPr>
        <w:t xml:space="preserve"> </w:t>
      </w:r>
      <w:r w:rsidRPr="00C858F5">
        <w:rPr>
          <w:rFonts w:ascii="Arial" w:hAnsi="Arial" w:cs="Arial"/>
          <w:sz w:val="24"/>
          <w:szCs w:val="24"/>
        </w:rPr>
        <w:t>–</w:t>
      </w:r>
      <w:r w:rsidRPr="00C858F5">
        <w:rPr>
          <w:rFonts w:ascii="Arial" w:hAnsi="Arial" w:cs="Arial"/>
          <w:spacing w:val="-9"/>
          <w:sz w:val="24"/>
          <w:szCs w:val="24"/>
        </w:rPr>
        <w:t xml:space="preserve"> </w:t>
      </w:r>
      <w:r w:rsidRPr="00C858F5">
        <w:rPr>
          <w:rFonts w:ascii="Arial" w:hAnsi="Arial" w:cs="Arial"/>
          <w:sz w:val="24"/>
          <w:szCs w:val="24"/>
        </w:rPr>
        <w:t>Ministerio</w:t>
      </w:r>
      <w:r w:rsidRPr="00C858F5">
        <w:rPr>
          <w:rFonts w:ascii="Arial" w:hAnsi="Arial" w:cs="Arial"/>
          <w:spacing w:val="-8"/>
          <w:sz w:val="24"/>
          <w:szCs w:val="24"/>
        </w:rPr>
        <w:t xml:space="preserve"> </w:t>
      </w:r>
      <w:r w:rsidRPr="00C858F5">
        <w:rPr>
          <w:rFonts w:ascii="Arial" w:hAnsi="Arial" w:cs="Arial"/>
          <w:sz w:val="24"/>
          <w:szCs w:val="24"/>
        </w:rPr>
        <w:t>de</w:t>
      </w:r>
      <w:r w:rsidRPr="00C858F5">
        <w:rPr>
          <w:rFonts w:ascii="Arial" w:hAnsi="Arial" w:cs="Arial"/>
          <w:spacing w:val="-10"/>
          <w:sz w:val="24"/>
          <w:szCs w:val="24"/>
        </w:rPr>
        <w:t xml:space="preserve"> </w:t>
      </w:r>
      <w:r w:rsidRPr="00C858F5">
        <w:rPr>
          <w:rFonts w:ascii="Arial" w:hAnsi="Arial" w:cs="Arial"/>
          <w:sz w:val="24"/>
          <w:szCs w:val="24"/>
        </w:rPr>
        <w:t>Hacienda</w:t>
      </w:r>
      <w:r w:rsidRPr="00C858F5">
        <w:rPr>
          <w:rFonts w:ascii="Arial" w:hAnsi="Arial" w:cs="Arial"/>
          <w:spacing w:val="-7"/>
          <w:sz w:val="24"/>
          <w:szCs w:val="24"/>
        </w:rPr>
        <w:t xml:space="preserve"> </w:t>
      </w:r>
      <w:r w:rsidRPr="00C858F5">
        <w:rPr>
          <w:rFonts w:ascii="Arial" w:hAnsi="Arial" w:cs="Arial"/>
          <w:sz w:val="24"/>
          <w:szCs w:val="24"/>
        </w:rPr>
        <w:t>y</w:t>
      </w:r>
      <w:r w:rsidRPr="00C858F5">
        <w:rPr>
          <w:rFonts w:ascii="Arial" w:hAnsi="Arial" w:cs="Arial"/>
          <w:spacing w:val="-7"/>
          <w:sz w:val="24"/>
          <w:szCs w:val="24"/>
        </w:rPr>
        <w:t xml:space="preserve"> </w:t>
      </w:r>
      <w:r w:rsidRPr="00C858F5">
        <w:rPr>
          <w:rFonts w:ascii="Arial" w:hAnsi="Arial" w:cs="Arial"/>
          <w:sz w:val="24"/>
          <w:szCs w:val="24"/>
        </w:rPr>
        <w:t>Crédito Público: “</w:t>
      </w:r>
      <w:r w:rsidRPr="00C858F5">
        <w:rPr>
          <w:rFonts w:ascii="Arial" w:hAnsi="Arial" w:cs="Arial"/>
          <w:i/>
          <w:sz w:val="24"/>
          <w:szCs w:val="24"/>
        </w:rPr>
        <w:t xml:space="preserve">Con la Nación - Ministerio de Hacienda y Crédito Público a través del contrato de Reestructuración de Deuda correspondientes a la parte del crédito BID 426 OC-CO divisas en adelante denominado Tramo C suscrito el 13 de diciembre de 1994”. </w:t>
      </w:r>
      <w:r w:rsidRPr="00C858F5">
        <w:rPr>
          <w:rFonts w:ascii="Arial" w:hAnsi="Arial" w:cs="Arial"/>
          <w:sz w:val="24"/>
          <w:szCs w:val="24"/>
        </w:rPr>
        <w:t xml:space="preserve">Revelado en la </w:t>
      </w:r>
      <w:r w:rsidRPr="00C858F5">
        <w:rPr>
          <w:rFonts w:ascii="Arial" w:hAnsi="Arial" w:cs="Arial"/>
          <w:b/>
          <w:sz w:val="24"/>
          <w:szCs w:val="24"/>
        </w:rPr>
        <w:t>NOTA 12 PRESTAMOS POR PAGAR</w:t>
      </w:r>
      <w:r w:rsidRPr="00C858F5">
        <w:rPr>
          <w:rFonts w:ascii="Arial" w:hAnsi="Arial" w:cs="Arial"/>
          <w:sz w:val="24"/>
          <w:szCs w:val="24"/>
        </w:rPr>
        <w:t>, de los estados financieros 2024, cuyo valor al cierre asciende a la suma de $ 29.416.957.951,66, según N° de expediente 2478/2023/GEA.</w:t>
      </w:r>
    </w:p>
    <w:p w14:paraId="50BFC887" w14:textId="77777777" w:rsidR="00E46C0A" w:rsidRPr="00C858F5" w:rsidRDefault="00E46C0A" w:rsidP="00E46C0A">
      <w:pPr>
        <w:jc w:val="both"/>
        <w:rPr>
          <w:rFonts w:ascii="Arial" w:hAnsi="Arial" w:cs="Arial"/>
          <w:sz w:val="24"/>
          <w:szCs w:val="24"/>
        </w:rPr>
      </w:pPr>
    </w:p>
    <w:p w14:paraId="687CCCEA" w14:textId="77777777" w:rsidR="00E46C0A" w:rsidRPr="00C858F5" w:rsidRDefault="00E46C0A" w:rsidP="002813F1">
      <w:pPr>
        <w:ind w:right="-234"/>
        <w:jc w:val="both"/>
        <w:rPr>
          <w:rFonts w:ascii="Arial" w:hAnsi="Arial" w:cs="Arial"/>
          <w:sz w:val="24"/>
          <w:szCs w:val="24"/>
        </w:rPr>
      </w:pPr>
      <w:r w:rsidRPr="00C858F5">
        <w:rPr>
          <w:rFonts w:ascii="Arial" w:hAnsi="Arial" w:cs="Arial"/>
          <w:sz w:val="24"/>
          <w:szCs w:val="24"/>
        </w:rPr>
        <w:t xml:space="preserve">En el tercer informe del trimestre de año 2024 emitido por la firma de abogados ATM Consultores Legales, donde señala las actuaciones legales a la fecha recalcando, el 01 diciembre de 2023 el representante de MINHACIENDA allega memorial mediante el cual anexa Sentencia de Segunda Instancia proferida por el Consejo de Estado del 14 de julio de 2023 de la demanda de controversias contractuales, igualmente anexa Auto del 19 de octubre de 2023 a través del cual el Consejo de Estado niega la solicitud de aclaración y adición”. </w:t>
      </w:r>
    </w:p>
    <w:p w14:paraId="16CE201A" w14:textId="77777777" w:rsidR="00E46C0A" w:rsidRPr="00C858F5" w:rsidRDefault="00E46C0A" w:rsidP="002813F1">
      <w:pPr>
        <w:pStyle w:val="Textoindependiente"/>
        <w:ind w:right="-234"/>
        <w:jc w:val="both"/>
        <w:rPr>
          <w:rFonts w:ascii="Arial" w:hAnsi="Arial" w:cs="Arial"/>
          <w:b/>
          <w:bCs/>
        </w:rPr>
      </w:pPr>
    </w:p>
    <w:p w14:paraId="7CB238EB" w14:textId="77777777" w:rsidR="00E46C0A" w:rsidRPr="0070051F" w:rsidRDefault="00E46C0A" w:rsidP="002813F1">
      <w:pPr>
        <w:ind w:right="-234"/>
        <w:jc w:val="both"/>
        <w:rPr>
          <w:rFonts w:ascii="Arial" w:hAnsi="Arial" w:cs="Arial"/>
          <w:b/>
          <w:sz w:val="28"/>
          <w:szCs w:val="28"/>
          <w:lang w:val="es-MX"/>
        </w:rPr>
      </w:pPr>
      <w:bookmarkStart w:id="54" w:name="_Hlk198564142"/>
      <w:r w:rsidRPr="0070051F">
        <w:rPr>
          <w:rFonts w:ascii="Arial" w:hAnsi="Arial" w:cs="Arial"/>
          <w:b/>
          <w:sz w:val="28"/>
          <w:szCs w:val="28"/>
          <w:lang w:val="es-MX"/>
        </w:rPr>
        <w:t xml:space="preserve">97.- </w:t>
      </w:r>
      <w:r w:rsidRPr="0070051F">
        <w:rPr>
          <w:rFonts w:ascii="Arial" w:hAnsi="Arial" w:cs="Arial"/>
          <w:b/>
          <w:sz w:val="28"/>
          <w:szCs w:val="28"/>
        </w:rPr>
        <w:t xml:space="preserve">EMPRESA DE ENERGÍA DEL ARCHIPIELAGO DE SAN ANDRÉS, PROVIDENCIA Y SANTA CATALINA S.A.E.S.P. - EEDAS S.A.E.S.P. </w:t>
      </w:r>
    </w:p>
    <w:p w14:paraId="5C3E8768" w14:textId="77777777" w:rsidR="00E46C0A" w:rsidRDefault="00E46C0A" w:rsidP="002813F1">
      <w:pPr>
        <w:ind w:left="-284" w:right="-234"/>
        <w:jc w:val="both"/>
        <w:rPr>
          <w:rFonts w:ascii="Arial" w:hAnsi="Arial" w:cs="Arial"/>
          <w:b/>
          <w:spacing w:val="-3"/>
          <w:sz w:val="24"/>
          <w:szCs w:val="24"/>
          <w:lang w:val="es-MX"/>
        </w:rPr>
      </w:pPr>
    </w:p>
    <w:bookmarkEnd w:id="54"/>
    <w:p w14:paraId="65DD7A52" w14:textId="77777777" w:rsidR="00E46C0A" w:rsidRPr="0070051F" w:rsidRDefault="00E46C0A" w:rsidP="002813F1">
      <w:pPr>
        <w:pStyle w:val="Textoindependiente"/>
        <w:ind w:right="-234"/>
        <w:jc w:val="both"/>
        <w:rPr>
          <w:rFonts w:ascii="Arial" w:hAnsi="Arial" w:cs="Arial"/>
          <w:bCs/>
          <w:sz w:val="24"/>
          <w:szCs w:val="24"/>
        </w:rPr>
      </w:pPr>
      <w:r w:rsidRPr="0070051F">
        <w:rPr>
          <w:rFonts w:ascii="Arial" w:hAnsi="Arial" w:cs="Arial"/>
          <w:b/>
          <w:bCs/>
          <w:sz w:val="24"/>
          <w:szCs w:val="24"/>
        </w:rPr>
        <w:t xml:space="preserve">“PARRAFO DE ENFASIS: </w:t>
      </w:r>
      <w:r w:rsidRPr="0070051F">
        <w:rPr>
          <w:rFonts w:ascii="Arial" w:hAnsi="Arial" w:cs="Arial"/>
          <w:bCs/>
          <w:sz w:val="24"/>
          <w:szCs w:val="24"/>
        </w:rPr>
        <w:t>Llamamos la atención y sin considerarlo una afectación a nuestra opinión; anotamos que una vez revisados los contratos objeto de la actividad principal de la entidad (Interventoría), Contrato Interadministrativo de Interventoría, a la concesión con exclusividad para la prestación del servicio de energía eléctrica en el área geográfica de San Andrés, Providencia y Santa Catalina, No. 49 del 29 de enero de 2010, celebrado entre el Ministerio de Minas y Energía y EEDAS S.A., E.S.P y contrato ASE No. 067 de 2009, celebrado entre el Ministerio de Minas y Energía  y el concesionario SOPESA S.A. E.S.P, para la prestación del servicio de energía eléctrica con exclusividad para el área geográfica de San Andrés, Providencia y Santa Catalina.</w:t>
      </w:r>
    </w:p>
    <w:p w14:paraId="7CAA77F3" w14:textId="77777777" w:rsidR="00E46C0A" w:rsidRPr="0070051F" w:rsidRDefault="00E46C0A" w:rsidP="002813F1">
      <w:pPr>
        <w:pStyle w:val="Textoindependiente"/>
        <w:ind w:right="-234"/>
        <w:jc w:val="both"/>
        <w:rPr>
          <w:rFonts w:ascii="Arial" w:hAnsi="Arial" w:cs="Arial"/>
          <w:bCs/>
          <w:sz w:val="24"/>
          <w:szCs w:val="24"/>
        </w:rPr>
      </w:pPr>
    </w:p>
    <w:p w14:paraId="32C88F27" w14:textId="77777777" w:rsidR="00E46C0A" w:rsidRPr="0070051F" w:rsidRDefault="00E46C0A" w:rsidP="002813F1">
      <w:pPr>
        <w:pStyle w:val="Textoindependiente"/>
        <w:ind w:right="-234"/>
        <w:jc w:val="both"/>
        <w:rPr>
          <w:rFonts w:ascii="Arial" w:hAnsi="Arial" w:cs="Arial"/>
          <w:bCs/>
          <w:sz w:val="24"/>
          <w:szCs w:val="24"/>
        </w:rPr>
      </w:pPr>
      <w:r w:rsidRPr="0070051F">
        <w:rPr>
          <w:rFonts w:ascii="Arial" w:hAnsi="Arial" w:cs="Arial"/>
          <w:bCs/>
          <w:sz w:val="24"/>
          <w:szCs w:val="24"/>
        </w:rPr>
        <w:t>Y que de acuerdo a lo registrado en los libros contables de la entidad, se observa que la cuenta denominada Bienes Entregados a la Concesión, con un saldo en libros a diciembre 31 de 2024 por un valor de $27.750 millones, está conformada por los bienes de subtransmisión, distribución y comercialización para la prestación del servicio de energía eléctrica en la zona insular de San Andrés, Providencia y Santa Catalina de propiedad de EEDAS S.A. E.S.P y que fueron entregados a título gratuito a la Concesión por el Ministerio de Minas y Energía, tal como lo establecen las cláusulas 10 y 11 del Contrato de Concesión ASE No. 067 de 2009, en tanto la cláusula 48 ibidem, establece que una vez transcurridos los 20 años de la concesión, dichos activos serán revertidos al concedente (Ministerio de Minas y Energía). Adicionalmente, el Otrosí No. 2, al contrato de concesión ASE, establece en su cláusula cuarta: “Modifíquese la cláusula 10.- Propiedad de los Bienes e Instalaciones, la cual quedará así: El concedente tendrá propiedad plena sobre los bienes que adquiera, construya o reponga el concesionario. Los bienes que componen la infraestructura los tendrá el concesionario a título de concesión … y/o serán devueltos a sus propietarios, en caso que no hayan sido objeto de reposición por parte del concesionario”.</w:t>
      </w:r>
    </w:p>
    <w:p w14:paraId="532897F8" w14:textId="77777777" w:rsidR="00E46C0A" w:rsidRPr="0070051F" w:rsidRDefault="00E46C0A" w:rsidP="00E46C0A">
      <w:pPr>
        <w:pStyle w:val="Textoindependiente"/>
        <w:ind w:right="-50"/>
        <w:jc w:val="both"/>
        <w:rPr>
          <w:rFonts w:ascii="Arial" w:hAnsi="Arial" w:cs="Arial"/>
          <w:bCs/>
          <w:sz w:val="24"/>
          <w:szCs w:val="24"/>
        </w:rPr>
      </w:pPr>
    </w:p>
    <w:p w14:paraId="575AE5E6" w14:textId="77777777" w:rsidR="00E46C0A" w:rsidRPr="0070051F" w:rsidRDefault="00E46C0A" w:rsidP="002813F1">
      <w:pPr>
        <w:pStyle w:val="Textoindependiente"/>
        <w:ind w:right="-234"/>
        <w:jc w:val="both"/>
        <w:rPr>
          <w:rFonts w:ascii="Arial" w:hAnsi="Arial" w:cs="Arial"/>
          <w:bCs/>
          <w:sz w:val="24"/>
          <w:szCs w:val="24"/>
        </w:rPr>
      </w:pPr>
      <w:r w:rsidRPr="0070051F">
        <w:rPr>
          <w:rFonts w:ascii="Arial" w:hAnsi="Arial" w:cs="Arial"/>
          <w:bCs/>
          <w:sz w:val="24"/>
          <w:szCs w:val="24"/>
        </w:rPr>
        <w:t>Dejamos claro que, de no darse la reversión de la infraestructura con sus mejoras, reposiciones y modernizaciones a su propietaria, EEDAS S.A. E.S.P., se podría causar una pérdida patrimonial superior al 50% del capital suscrito y por ende la empresa podría quedar incursa en una causal de disolución.</w:t>
      </w:r>
    </w:p>
    <w:p w14:paraId="55329C78" w14:textId="77777777" w:rsidR="00E46C0A" w:rsidRPr="0070051F" w:rsidRDefault="00E46C0A" w:rsidP="002813F1">
      <w:pPr>
        <w:pStyle w:val="Textoindependiente"/>
        <w:ind w:right="-234"/>
        <w:jc w:val="both"/>
        <w:rPr>
          <w:rFonts w:ascii="Arial" w:hAnsi="Arial" w:cs="Arial"/>
          <w:bCs/>
          <w:sz w:val="24"/>
          <w:szCs w:val="24"/>
        </w:rPr>
      </w:pPr>
    </w:p>
    <w:p w14:paraId="11A9815C" w14:textId="2908775A" w:rsidR="00E46C0A" w:rsidRDefault="00E46C0A" w:rsidP="002813F1">
      <w:pPr>
        <w:pStyle w:val="Textoindependiente"/>
        <w:ind w:right="-234"/>
        <w:jc w:val="both"/>
        <w:rPr>
          <w:rFonts w:ascii="Arial" w:hAnsi="Arial" w:cs="Arial"/>
          <w:bCs/>
          <w:sz w:val="24"/>
          <w:szCs w:val="24"/>
        </w:rPr>
      </w:pPr>
      <w:r w:rsidRPr="0070051F">
        <w:rPr>
          <w:rFonts w:ascii="Arial" w:hAnsi="Arial" w:cs="Arial"/>
          <w:bCs/>
          <w:sz w:val="24"/>
          <w:szCs w:val="24"/>
        </w:rPr>
        <w:t>Adicionalmente, observamos que el día 30 de diciembre de 2016, se celebró un Contrato Especial de Aporte de Activos de Distribución y Comercialización entre EEDAS S.A. E.S.P., el Ministerio de Minas y Energía y el Concesionario – SOPESA S.A. E.S.P., no obstante que en su cláusula sexta numeral 1º. Se reconoció la propiedad de los bienes entregados a título gratuito a la concesión, se omitió estipular en el aludido contrato la reversión de los mismos a EEDAS S.A. E.S.P., una vez transcurrido el tiempo de la concesión, conformo lo instruyó la Honorable Asamblea de Accionistas mediante Acta No. 7 del 27 de agosto de 2010, en donde se expresó que “(…) en dicho contrato se debe establecer que cualquier inversión que haga el concesionario a la infraestructura de distribución y comercialización del departamento, debe revertir a la empresa EEDAS al terminar la concesión”.</w:t>
      </w:r>
    </w:p>
    <w:p w14:paraId="44D78E7E" w14:textId="77777777" w:rsidR="002813F1" w:rsidRPr="0070051F" w:rsidRDefault="002813F1" w:rsidP="002813F1">
      <w:pPr>
        <w:pStyle w:val="Textoindependiente"/>
        <w:ind w:right="-234"/>
        <w:jc w:val="both"/>
        <w:rPr>
          <w:rFonts w:ascii="Arial" w:hAnsi="Arial" w:cs="Arial"/>
          <w:bCs/>
          <w:sz w:val="24"/>
          <w:szCs w:val="24"/>
        </w:rPr>
      </w:pPr>
    </w:p>
    <w:p w14:paraId="2ED47120" w14:textId="77777777" w:rsidR="00E46C0A" w:rsidRPr="0070051F" w:rsidRDefault="00E46C0A" w:rsidP="002813F1">
      <w:pPr>
        <w:pStyle w:val="Textoindependiente"/>
        <w:ind w:right="-234"/>
        <w:jc w:val="both"/>
        <w:rPr>
          <w:rFonts w:ascii="Arial" w:hAnsi="Arial" w:cs="Arial"/>
          <w:bCs/>
          <w:sz w:val="24"/>
          <w:szCs w:val="24"/>
        </w:rPr>
      </w:pPr>
      <w:r w:rsidRPr="0070051F">
        <w:rPr>
          <w:rFonts w:ascii="Arial" w:hAnsi="Arial" w:cs="Arial"/>
          <w:bCs/>
          <w:sz w:val="24"/>
          <w:szCs w:val="24"/>
        </w:rPr>
        <w:t xml:space="preserve">En nuestra condición de revisores fiscales y por lo establecido en la evidencia que soportan los documentos que reposan en la entidad, dejamos de presente que la empresa aporta los bienes de distribución, transmisión y comercialización a título gratuito a la concesión, con el objeto de que su valor no sea considerado al momento de establecer la tarifa del servicio público de energía eléctrica en el departamento Archipiélago de San Andrés, Providencia y Santa Catalina, con fundamento en lo dispuesto en el artículo 87.9 de la Ley 142 de 1994, modificado por el artículo </w:t>
      </w:r>
      <w:r w:rsidRPr="0070051F">
        <w:rPr>
          <w:rFonts w:ascii="Arial" w:hAnsi="Arial" w:cs="Arial"/>
          <w:bCs/>
          <w:sz w:val="24"/>
          <w:szCs w:val="24"/>
        </w:rPr>
        <w:lastRenderedPageBreak/>
        <w:t>143 de la Ley 1151 de 2007”.</w:t>
      </w:r>
    </w:p>
    <w:p w14:paraId="2704B623" w14:textId="77777777" w:rsidR="00E46C0A" w:rsidRDefault="00E46C0A" w:rsidP="00E46C0A">
      <w:pPr>
        <w:ind w:left="-284" w:right="49"/>
        <w:jc w:val="both"/>
        <w:rPr>
          <w:rFonts w:ascii="Arial" w:hAnsi="Arial" w:cs="Arial"/>
          <w:b/>
          <w:spacing w:val="-3"/>
          <w:sz w:val="24"/>
          <w:szCs w:val="24"/>
        </w:rPr>
      </w:pPr>
    </w:p>
    <w:p w14:paraId="7ACC2A90" w14:textId="77777777" w:rsidR="00E46C0A" w:rsidRDefault="00E46C0A" w:rsidP="00E46C0A">
      <w:pPr>
        <w:jc w:val="both"/>
        <w:rPr>
          <w:rFonts w:ascii="Arial" w:hAnsi="Arial" w:cs="Arial"/>
          <w:b/>
          <w:sz w:val="28"/>
          <w:szCs w:val="28"/>
          <w:lang w:val="es-MX"/>
        </w:rPr>
      </w:pPr>
      <w:r>
        <w:rPr>
          <w:rFonts w:ascii="Arial" w:hAnsi="Arial" w:cs="Arial"/>
          <w:b/>
          <w:sz w:val="28"/>
          <w:szCs w:val="28"/>
          <w:lang w:val="es-MX"/>
        </w:rPr>
        <w:t xml:space="preserve">98.- </w:t>
      </w:r>
      <w:r>
        <w:rPr>
          <w:rFonts w:ascii="Arial" w:hAnsi="Arial" w:cs="Arial"/>
          <w:b/>
          <w:sz w:val="28"/>
          <w:szCs w:val="28"/>
        </w:rPr>
        <w:t>CORPORACIÓN AUTÓNOMA REGIONAL DEL QUINDIO – CRQ</w:t>
      </w:r>
      <w:r>
        <w:rPr>
          <w:rFonts w:ascii="Arial" w:hAnsi="Arial" w:cs="Arial"/>
          <w:b/>
          <w:sz w:val="28"/>
          <w:szCs w:val="28"/>
          <w:lang w:val="es-MX"/>
        </w:rPr>
        <w:t>.</w:t>
      </w:r>
    </w:p>
    <w:p w14:paraId="0589CBF4" w14:textId="77777777" w:rsidR="00E46C0A" w:rsidRDefault="00E46C0A" w:rsidP="00E46C0A">
      <w:pPr>
        <w:ind w:left="-284" w:right="49"/>
        <w:jc w:val="both"/>
        <w:rPr>
          <w:rFonts w:ascii="Arial" w:hAnsi="Arial" w:cs="Arial"/>
          <w:b/>
          <w:spacing w:val="-3"/>
          <w:sz w:val="24"/>
          <w:szCs w:val="24"/>
          <w:lang w:val="es-MX"/>
        </w:rPr>
      </w:pPr>
    </w:p>
    <w:p w14:paraId="12620A03" w14:textId="77777777" w:rsidR="00E46C0A" w:rsidRPr="001E546D" w:rsidRDefault="00E46C0A" w:rsidP="002813F1">
      <w:pPr>
        <w:pStyle w:val="Textoindependiente"/>
        <w:ind w:right="-234"/>
        <w:jc w:val="both"/>
        <w:rPr>
          <w:rFonts w:ascii="Arial" w:hAnsi="Arial" w:cs="Arial"/>
          <w:b/>
          <w:bCs/>
          <w:sz w:val="24"/>
          <w:szCs w:val="24"/>
          <w:u w:val="single"/>
        </w:rPr>
      </w:pPr>
      <w:r w:rsidRPr="001E546D">
        <w:rPr>
          <w:rFonts w:ascii="Arial" w:hAnsi="Arial" w:cs="Arial"/>
          <w:b/>
          <w:bCs/>
          <w:sz w:val="24"/>
          <w:szCs w:val="24"/>
        </w:rPr>
        <w:t xml:space="preserve">“Párrafo de Énfasis: (…) </w:t>
      </w:r>
      <w:r w:rsidRPr="001E546D">
        <w:rPr>
          <w:rFonts w:ascii="Arial" w:hAnsi="Arial" w:cs="Arial"/>
          <w:sz w:val="24"/>
          <w:szCs w:val="24"/>
        </w:rPr>
        <w:t xml:space="preserve">En la Corporación según información suministrada cursan 23 procesos de nulidad y restablecimientos de derecho por valor de $4.815 millones de pesos, como provisión para litigios y demandas en contra de la entidad, reconocidos contablemente como mecanismos alternativos de solución de conflictos, los cuales fueron registrados de conformidad con la evaluación y análisis establecido por el Área Jurídica para cada proceso. Cursan 53 procesos registrados en cuentas de orden 912004 que corresponden a Litigios y mecanismos alternativos de solución de conflictos por $66.148 millones de pesos. </w:t>
      </w:r>
      <w:r w:rsidRPr="001E546D">
        <w:rPr>
          <w:rFonts w:ascii="Arial" w:hAnsi="Arial" w:cs="Arial"/>
          <w:b/>
          <w:bCs/>
          <w:sz w:val="24"/>
          <w:szCs w:val="24"/>
          <w:u w:val="single"/>
        </w:rPr>
        <w:t>Cabe resaltar que estas cifras se deben actualizar con el fin de mantener control sobre la totalidad de los procesos, además del seguimiento que se debe tener con el avance de los procesos dada la importancia de la cifra pretendida por los demandantes”.</w:t>
      </w:r>
    </w:p>
    <w:p w14:paraId="5626DBAC" w14:textId="77777777" w:rsidR="00E46C0A" w:rsidRDefault="00E46C0A" w:rsidP="00E46C0A">
      <w:pPr>
        <w:ind w:left="-284" w:right="49"/>
        <w:jc w:val="both"/>
        <w:rPr>
          <w:rFonts w:ascii="Arial" w:hAnsi="Arial" w:cs="Arial"/>
          <w:b/>
          <w:spacing w:val="-3"/>
          <w:sz w:val="24"/>
          <w:szCs w:val="24"/>
        </w:rPr>
      </w:pPr>
    </w:p>
    <w:p w14:paraId="2BC6335F" w14:textId="77777777" w:rsidR="00E46C0A" w:rsidRPr="00044A63" w:rsidRDefault="00E46C0A" w:rsidP="00E46C0A">
      <w:pPr>
        <w:jc w:val="both"/>
        <w:rPr>
          <w:rFonts w:ascii="Arial" w:hAnsi="Arial" w:cs="Arial"/>
          <w:b/>
          <w:sz w:val="28"/>
          <w:szCs w:val="28"/>
          <w:lang w:val="es-MX"/>
        </w:rPr>
      </w:pPr>
      <w:bookmarkStart w:id="55" w:name="_Hlk198643102"/>
      <w:bookmarkStart w:id="56" w:name="_Hlk198642598"/>
      <w:r w:rsidRPr="00044A63">
        <w:rPr>
          <w:rFonts w:ascii="Arial" w:hAnsi="Arial" w:cs="Arial"/>
          <w:b/>
          <w:sz w:val="28"/>
          <w:szCs w:val="28"/>
          <w:lang w:val="es-MX"/>
        </w:rPr>
        <w:t xml:space="preserve">100.- </w:t>
      </w:r>
      <w:r w:rsidRPr="00044A63">
        <w:rPr>
          <w:rFonts w:ascii="Arial" w:hAnsi="Arial" w:cs="Arial"/>
          <w:b/>
          <w:sz w:val="28"/>
          <w:szCs w:val="28"/>
          <w:lang w:val="es-CO"/>
        </w:rPr>
        <w:t>CORPORACIÓN AUTÓNOMA REGIONAL DEL TOLIMA – CORTOLIMA.</w:t>
      </w:r>
    </w:p>
    <w:bookmarkEnd w:id="55"/>
    <w:p w14:paraId="6DAD8DD7" w14:textId="77777777" w:rsidR="00E46C0A" w:rsidRPr="00044A63" w:rsidRDefault="00E46C0A" w:rsidP="00E46C0A">
      <w:pPr>
        <w:pStyle w:val="Prrafodelista"/>
        <w:spacing w:before="92"/>
        <w:ind w:left="-142"/>
        <w:rPr>
          <w:rFonts w:ascii="Arial" w:hAnsi="Arial" w:cs="Arial"/>
          <w:b/>
          <w:sz w:val="24"/>
        </w:rPr>
      </w:pPr>
    </w:p>
    <w:bookmarkEnd w:id="56"/>
    <w:p w14:paraId="36275223" w14:textId="77777777" w:rsidR="00E46C0A" w:rsidRPr="00044A63" w:rsidRDefault="00E46C0A" w:rsidP="00E46C0A">
      <w:pPr>
        <w:pStyle w:val="Textoindependiente"/>
        <w:jc w:val="both"/>
        <w:rPr>
          <w:rFonts w:ascii="Arial" w:hAnsi="Arial" w:cs="Arial"/>
          <w:b/>
          <w:bCs/>
          <w:sz w:val="24"/>
          <w:szCs w:val="24"/>
        </w:rPr>
      </w:pPr>
      <w:r>
        <w:rPr>
          <w:b/>
          <w:bCs/>
        </w:rPr>
        <w:t>“</w:t>
      </w:r>
      <w:r w:rsidRPr="00044A63">
        <w:rPr>
          <w:rFonts w:ascii="Arial" w:hAnsi="Arial" w:cs="Arial"/>
          <w:b/>
          <w:bCs/>
          <w:sz w:val="24"/>
          <w:szCs w:val="24"/>
        </w:rPr>
        <w:t>ASUNTOS RELEVANTES DE AUDITORIA.</w:t>
      </w:r>
    </w:p>
    <w:p w14:paraId="1D86EB3F" w14:textId="77777777" w:rsidR="00E46C0A" w:rsidRPr="00044A63" w:rsidRDefault="00E46C0A" w:rsidP="00E46C0A">
      <w:pPr>
        <w:pStyle w:val="Textoindependiente"/>
        <w:jc w:val="both"/>
        <w:rPr>
          <w:rFonts w:ascii="Arial" w:hAnsi="Arial" w:cs="Arial"/>
          <w:bCs/>
          <w:sz w:val="24"/>
          <w:szCs w:val="24"/>
        </w:rPr>
      </w:pPr>
    </w:p>
    <w:p w14:paraId="5BFBA441" w14:textId="77777777" w:rsidR="00E46C0A" w:rsidRPr="00044A63" w:rsidRDefault="00E46C0A" w:rsidP="002813F1">
      <w:pPr>
        <w:pStyle w:val="Prrafodelista"/>
        <w:widowControl/>
        <w:numPr>
          <w:ilvl w:val="0"/>
          <w:numId w:val="86"/>
        </w:numPr>
        <w:tabs>
          <w:tab w:val="left" w:pos="830"/>
          <w:tab w:val="left" w:pos="833"/>
        </w:tabs>
        <w:autoSpaceDE/>
        <w:autoSpaceDN/>
        <w:spacing w:before="1"/>
        <w:ind w:right="-234"/>
        <w:jc w:val="both"/>
        <w:rPr>
          <w:rFonts w:ascii="Arial" w:hAnsi="Arial" w:cs="Arial"/>
          <w:position w:val="1"/>
          <w:sz w:val="24"/>
          <w:szCs w:val="24"/>
        </w:rPr>
      </w:pPr>
      <w:r w:rsidRPr="00044A63">
        <w:rPr>
          <w:rFonts w:ascii="Arial" w:hAnsi="Arial" w:cs="Arial"/>
          <w:sz w:val="24"/>
          <w:szCs w:val="24"/>
        </w:rPr>
        <w:t>Durante</w:t>
      </w:r>
      <w:r w:rsidRPr="00044A63">
        <w:rPr>
          <w:rFonts w:ascii="Arial" w:hAnsi="Arial" w:cs="Arial"/>
          <w:spacing w:val="-4"/>
          <w:sz w:val="24"/>
          <w:szCs w:val="24"/>
        </w:rPr>
        <w:t xml:space="preserve"> </w:t>
      </w:r>
      <w:r w:rsidRPr="00044A63">
        <w:rPr>
          <w:rFonts w:ascii="Arial" w:hAnsi="Arial" w:cs="Arial"/>
          <w:sz w:val="24"/>
          <w:szCs w:val="24"/>
        </w:rPr>
        <w:t>la</w:t>
      </w:r>
      <w:r w:rsidRPr="00044A63">
        <w:rPr>
          <w:rFonts w:ascii="Arial" w:hAnsi="Arial" w:cs="Arial"/>
          <w:spacing w:val="-6"/>
          <w:sz w:val="24"/>
          <w:szCs w:val="24"/>
        </w:rPr>
        <w:t xml:space="preserve"> </w:t>
      </w:r>
      <w:r w:rsidRPr="00044A63">
        <w:rPr>
          <w:rFonts w:ascii="Arial" w:hAnsi="Arial" w:cs="Arial"/>
          <w:sz w:val="24"/>
          <w:szCs w:val="24"/>
        </w:rPr>
        <w:t>Vigencia Fiscal</w:t>
      </w:r>
      <w:r w:rsidRPr="00044A63">
        <w:rPr>
          <w:rFonts w:ascii="Arial" w:hAnsi="Arial" w:cs="Arial"/>
          <w:spacing w:val="-1"/>
          <w:sz w:val="24"/>
          <w:szCs w:val="24"/>
        </w:rPr>
        <w:t xml:space="preserve"> </w:t>
      </w:r>
      <w:r w:rsidRPr="00044A63">
        <w:rPr>
          <w:rFonts w:ascii="Arial" w:hAnsi="Arial" w:cs="Arial"/>
          <w:sz w:val="24"/>
          <w:szCs w:val="24"/>
        </w:rPr>
        <w:t>2024,</w:t>
      </w:r>
      <w:r w:rsidRPr="00044A63">
        <w:rPr>
          <w:rFonts w:ascii="Arial" w:hAnsi="Arial" w:cs="Arial"/>
          <w:spacing w:val="-4"/>
          <w:sz w:val="24"/>
          <w:szCs w:val="24"/>
        </w:rPr>
        <w:t xml:space="preserve"> </w:t>
      </w:r>
      <w:r w:rsidRPr="00044A63">
        <w:rPr>
          <w:rFonts w:ascii="Arial" w:hAnsi="Arial" w:cs="Arial"/>
          <w:sz w:val="24"/>
          <w:szCs w:val="24"/>
        </w:rPr>
        <w:t>la</w:t>
      </w:r>
      <w:r w:rsidRPr="00044A63">
        <w:rPr>
          <w:rFonts w:ascii="Arial" w:hAnsi="Arial" w:cs="Arial"/>
          <w:spacing w:val="-8"/>
          <w:sz w:val="24"/>
          <w:szCs w:val="24"/>
        </w:rPr>
        <w:t xml:space="preserve"> </w:t>
      </w:r>
      <w:r w:rsidRPr="00044A63">
        <w:rPr>
          <w:rFonts w:ascii="Arial" w:hAnsi="Arial" w:cs="Arial"/>
          <w:sz w:val="24"/>
          <w:szCs w:val="24"/>
        </w:rPr>
        <w:t>Contraloría General</w:t>
      </w:r>
      <w:r w:rsidRPr="00044A63">
        <w:rPr>
          <w:rFonts w:ascii="Arial" w:hAnsi="Arial" w:cs="Arial"/>
          <w:spacing w:val="-3"/>
          <w:sz w:val="24"/>
          <w:szCs w:val="24"/>
        </w:rPr>
        <w:t xml:space="preserve"> </w:t>
      </w:r>
      <w:r w:rsidRPr="00044A63">
        <w:rPr>
          <w:rFonts w:ascii="Arial" w:hAnsi="Arial" w:cs="Arial"/>
          <w:sz w:val="24"/>
          <w:szCs w:val="24"/>
        </w:rPr>
        <w:t>de</w:t>
      </w:r>
      <w:r w:rsidRPr="00044A63">
        <w:rPr>
          <w:rFonts w:ascii="Arial" w:hAnsi="Arial" w:cs="Arial"/>
          <w:spacing w:val="-9"/>
          <w:sz w:val="24"/>
          <w:szCs w:val="24"/>
        </w:rPr>
        <w:t xml:space="preserve"> </w:t>
      </w:r>
      <w:r w:rsidRPr="00044A63">
        <w:rPr>
          <w:rFonts w:ascii="Arial" w:hAnsi="Arial" w:cs="Arial"/>
          <w:sz w:val="24"/>
          <w:szCs w:val="24"/>
        </w:rPr>
        <w:t>la</w:t>
      </w:r>
      <w:r w:rsidRPr="00044A63">
        <w:rPr>
          <w:rFonts w:ascii="Arial" w:hAnsi="Arial" w:cs="Arial"/>
          <w:spacing w:val="-16"/>
          <w:sz w:val="24"/>
          <w:szCs w:val="24"/>
        </w:rPr>
        <w:t xml:space="preserve"> </w:t>
      </w:r>
      <w:r w:rsidRPr="00044A63">
        <w:rPr>
          <w:rFonts w:ascii="Arial" w:hAnsi="Arial" w:cs="Arial"/>
          <w:sz w:val="24"/>
          <w:szCs w:val="24"/>
        </w:rPr>
        <w:t xml:space="preserve">República, realizo </w:t>
      </w:r>
      <w:r w:rsidRPr="00044A63">
        <w:rPr>
          <w:rFonts w:ascii="Arial" w:hAnsi="Arial" w:cs="Arial"/>
          <w:spacing w:val="-2"/>
          <w:sz w:val="24"/>
          <w:szCs w:val="24"/>
        </w:rPr>
        <w:t>auditoría</w:t>
      </w:r>
      <w:r w:rsidRPr="00044A63">
        <w:rPr>
          <w:rFonts w:ascii="Arial" w:hAnsi="Arial" w:cs="Arial"/>
          <w:spacing w:val="-14"/>
          <w:sz w:val="24"/>
          <w:szCs w:val="24"/>
        </w:rPr>
        <w:t xml:space="preserve"> </w:t>
      </w:r>
      <w:r w:rsidRPr="00044A63">
        <w:rPr>
          <w:rFonts w:ascii="Arial" w:hAnsi="Arial" w:cs="Arial"/>
          <w:spacing w:val="-2"/>
          <w:sz w:val="24"/>
          <w:szCs w:val="24"/>
        </w:rPr>
        <w:t>financiera</w:t>
      </w:r>
      <w:r w:rsidRPr="00044A63">
        <w:rPr>
          <w:rFonts w:ascii="Arial" w:hAnsi="Arial" w:cs="Arial"/>
          <w:spacing w:val="-14"/>
          <w:sz w:val="24"/>
          <w:szCs w:val="24"/>
        </w:rPr>
        <w:t xml:space="preserve"> </w:t>
      </w:r>
      <w:r w:rsidRPr="00044A63">
        <w:rPr>
          <w:rFonts w:ascii="Arial" w:hAnsi="Arial" w:cs="Arial"/>
          <w:spacing w:val="-2"/>
          <w:sz w:val="24"/>
          <w:szCs w:val="24"/>
        </w:rPr>
        <w:t>por</w:t>
      </w:r>
      <w:r w:rsidRPr="00044A63">
        <w:rPr>
          <w:rFonts w:ascii="Arial" w:hAnsi="Arial" w:cs="Arial"/>
          <w:spacing w:val="-14"/>
          <w:sz w:val="24"/>
          <w:szCs w:val="24"/>
        </w:rPr>
        <w:t xml:space="preserve"> </w:t>
      </w:r>
      <w:r w:rsidRPr="00044A63">
        <w:rPr>
          <w:rFonts w:ascii="Arial" w:hAnsi="Arial" w:cs="Arial"/>
          <w:spacing w:val="-2"/>
          <w:sz w:val="24"/>
          <w:szCs w:val="24"/>
        </w:rPr>
        <w:t>la</w:t>
      </w:r>
      <w:r w:rsidRPr="00044A63">
        <w:rPr>
          <w:rFonts w:ascii="Arial" w:hAnsi="Arial" w:cs="Arial"/>
          <w:spacing w:val="-14"/>
          <w:sz w:val="24"/>
          <w:szCs w:val="24"/>
        </w:rPr>
        <w:t xml:space="preserve"> </w:t>
      </w:r>
      <w:r w:rsidRPr="00044A63">
        <w:rPr>
          <w:rFonts w:ascii="Arial" w:hAnsi="Arial" w:cs="Arial"/>
          <w:spacing w:val="-2"/>
          <w:sz w:val="24"/>
          <w:szCs w:val="24"/>
        </w:rPr>
        <w:t>vigencia</w:t>
      </w:r>
      <w:r w:rsidRPr="00044A63">
        <w:rPr>
          <w:rFonts w:ascii="Arial" w:hAnsi="Arial" w:cs="Arial"/>
          <w:spacing w:val="-14"/>
          <w:sz w:val="24"/>
          <w:szCs w:val="24"/>
        </w:rPr>
        <w:t xml:space="preserve"> </w:t>
      </w:r>
      <w:r w:rsidRPr="00044A63">
        <w:rPr>
          <w:rFonts w:ascii="Arial" w:hAnsi="Arial" w:cs="Arial"/>
          <w:spacing w:val="-2"/>
          <w:sz w:val="24"/>
          <w:szCs w:val="24"/>
        </w:rPr>
        <w:t>2023,</w:t>
      </w:r>
      <w:r w:rsidRPr="00044A63">
        <w:rPr>
          <w:rFonts w:ascii="Arial" w:hAnsi="Arial" w:cs="Arial"/>
          <w:spacing w:val="-14"/>
          <w:sz w:val="24"/>
          <w:szCs w:val="24"/>
        </w:rPr>
        <w:t xml:space="preserve"> </w:t>
      </w:r>
      <w:r w:rsidRPr="00044A63">
        <w:rPr>
          <w:rFonts w:ascii="Arial" w:hAnsi="Arial" w:cs="Arial"/>
          <w:spacing w:val="-2"/>
          <w:sz w:val="24"/>
          <w:szCs w:val="24"/>
        </w:rPr>
        <w:t>cuyo</w:t>
      </w:r>
      <w:r w:rsidRPr="00044A63">
        <w:rPr>
          <w:rFonts w:ascii="Arial" w:hAnsi="Arial" w:cs="Arial"/>
          <w:spacing w:val="-14"/>
          <w:sz w:val="24"/>
          <w:szCs w:val="24"/>
        </w:rPr>
        <w:t xml:space="preserve"> </w:t>
      </w:r>
      <w:r w:rsidRPr="00044A63">
        <w:rPr>
          <w:rFonts w:ascii="Arial" w:hAnsi="Arial" w:cs="Arial"/>
          <w:spacing w:val="-2"/>
          <w:sz w:val="24"/>
          <w:szCs w:val="24"/>
        </w:rPr>
        <w:t>resultado</w:t>
      </w:r>
      <w:r w:rsidRPr="00044A63">
        <w:rPr>
          <w:rFonts w:ascii="Arial" w:hAnsi="Arial" w:cs="Arial"/>
          <w:spacing w:val="-14"/>
          <w:sz w:val="24"/>
          <w:szCs w:val="24"/>
        </w:rPr>
        <w:t xml:space="preserve"> </w:t>
      </w:r>
      <w:r w:rsidRPr="00044A63">
        <w:rPr>
          <w:rFonts w:ascii="Arial" w:hAnsi="Arial" w:cs="Arial"/>
          <w:spacing w:val="-2"/>
          <w:sz w:val="24"/>
          <w:szCs w:val="24"/>
        </w:rPr>
        <w:t>final</w:t>
      </w:r>
      <w:r w:rsidRPr="00044A63">
        <w:rPr>
          <w:rFonts w:ascii="Arial" w:hAnsi="Arial" w:cs="Arial"/>
          <w:spacing w:val="-14"/>
          <w:sz w:val="24"/>
          <w:szCs w:val="24"/>
        </w:rPr>
        <w:t xml:space="preserve"> </w:t>
      </w:r>
      <w:r w:rsidRPr="00044A63">
        <w:rPr>
          <w:rFonts w:ascii="Arial" w:hAnsi="Arial" w:cs="Arial"/>
          <w:spacing w:val="-2"/>
          <w:sz w:val="24"/>
          <w:szCs w:val="24"/>
        </w:rPr>
        <w:t>genero</w:t>
      </w:r>
      <w:r w:rsidRPr="00044A63">
        <w:rPr>
          <w:rFonts w:ascii="Arial" w:hAnsi="Arial" w:cs="Arial"/>
          <w:spacing w:val="-14"/>
          <w:sz w:val="24"/>
          <w:szCs w:val="24"/>
        </w:rPr>
        <w:t xml:space="preserve"> </w:t>
      </w:r>
      <w:r w:rsidRPr="00044A63">
        <w:rPr>
          <w:rFonts w:ascii="Arial" w:hAnsi="Arial" w:cs="Arial"/>
          <w:spacing w:val="-2"/>
          <w:sz w:val="24"/>
          <w:szCs w:val="24"/>
        </w:rPr>
        <w:t>26</w:t>
      </w:r>
      <w:r w:rsidRPr="00044A63">
        <w:rPr>
          <w:rFonts w:ascii="Arial" w:hAnsi="Arial" w:cs="Arial"/>
          <w:spacing w:val="-14"/>
          <w:sz w:val="24"/>
          <w:szCs w:val="24"/>
        </w:rPr>
        <w:t xml:space="preserve"> </w:t>
      </w:r>
      <w:r w:rsidRPr="00044A63">
        <w:rPr>
          <w:rFonts w:ascii="Arial" w:hAnsi="Arial" w:cs="Arial"/>
          <w:spacing w:val="-2"/>
          <w:sz w:val="24"/>
          <w:szCs w:val="24"/>
        </w:rPr>
        <w:t xml:space="preserve">hallazgos, </w:t>
      </w:r>
      <w:r w:rsidRPr="00044A63">
        <w:rPr>
          <w:rFonts w:ascii="Arial" w:hAnsi="Arial" w:cs="Arial"/>
          <w:sz w:val="24"/>
          <w:szCs w:val="24"/>
        </w:rPr>
        <w:t>por lo que la Corporación suscribió el Plan de Mejoramiento. AI cierre de la vigencia 2024, según informes de la Oficina Asesora de Control Interno, se ha atendido de manera satisfactoria, de conformidad con el cronograma, mediante la realización de todas las acciones de mejora y la ejecución</w:t>
      </w:r>
      <w:r w:rsidRPr="00044A63">
        <w:rPr>
          <w:rFonts w:ascii="Arial" w:hAnsi="Arial" w:cs="Arial"/>
          <w:spacing w:val="-12"/>
          <w:sz w:val="24"/>
          <w:szCs w:val="24"/>
        </w:rPr>
        <w:t xml:space="preserve"> </w:t>
      </w:r>
      <w:r w:rsidRPr="00044A63">
        <w:rPr>
          <w:rFonts w:ascii="Arial" w:hAnsi="Arial" w:cs="Arial"/>
          <w:sz w:val="24"/>
          <w:szCs w:val="24"/>
        </w:rPr>
        <w:t>de</w:t>
      </w:r>
      <w:r w:rsidRPr="00044A63">
        <w:rPr>
          <w:rFonts w:ascii="Arial" w:hAnsi="Arial" w:cs="Arial"/>
          <w:spacing w:val="-16"/>
          <w:sz w:val="24"/>
          <w:szCs w:val="24"/>
        </w:rPr>
        <w:t xml:space="preserve"> </w:t>
      </w:r>
      <w:r w:rsidRPr="00044A63">
        <w:rPr>
          <w:rFonts w:ascii="Arial" w:hAnsi="Arial" w:cs="Arial"/>
          <w:sz w:val="24"/>
          <w:szCs w:val="24"/>
        </w:rPr>
        <w:t>las</w:t>
      </w:r>
      <w:r w:rsidRPr="00044A63">
        <w:rPr>
          <w:rFonts w:ascii="Arial" w:hAnsi="Arial" w:cs="Arial"/>
          <w:spacing w:val="-15"/>
          <w:sz w:val="24"/>
          <w:szCs w:val="24"/>
        </w:rPr>
        <w:t xml:space="preserve"> </w:t>
      </w:r>
      <w:r w:rsidRPr="00044A63">
        <w:rPr>
          <w:rFonts w:ascii="Arial" w:hAnsi="Arial" w:cs="Arial"/>
          <w:sz w:val="24"/>
          <w:szCs w:val="24"/>
        </w:rPr>
        <w:t>actividades</w:t>
      </w:r>
      <w:r w:rsidRPr="00044A63">
        <w:rPr>
          <w:rFonts w:ascii="Arial" w:hAnsi="Arial" w:cs="Arial"/>
          <w:spacing w:val="-11"/>
          <w:sz w:val="24"/>
          <w:szCs w:val="24"/>
        </w:rPr>
        <w:t xml:space="preserve"> </w:t>
      </w:r>
      <w:r w:rsidRPr="00044A63">
        <w:rPr>
          <w:rFonts w:ascii="Arial" w:hAnsi="Arial" w:cs="Arial"/>
          <w:sz w:val="24"/>
          <w:szCs w:val="24"/>
        </w:rPr>
        <w:t>previstas</w:t>
      </w:r>
      <w:r w:rsidRPr="00044A63">
        <w:rPr>
          <w:rFonts w:ascii="Arial" w:hAnsi="Arial" w:cs="Arial"/>
          <w:spacing w:val="-14"/>
          <w:sz w:val="24"/>
          <w:szCs w:val="24"/>
        </w:rPr>
        <w:t xml:space="preserve"> </w:t>
      </w:r>
      <w:r w:rsidRPr="00044A63">
        <w:rPr>
          <w:rFonts w:ascii="Arial" w:hAnsi="Arial" w:cs="Arial"/>
          <w:sz w:val="24"/>
          <w:szCs w:val="24"/>
        </w:rPr>
        <w:t>en</w:t>
      </w:r>
      <w:r w:rsidRPr="00044A63">
        <w:rPr>
          <w:rFonts w:ascii="Arial" w:hAnsi="Arial" w:cs="Arial"/>
          <w:spacing w:val="-16"/>
          <w:sz w:val="24"/>
          <w:szCs w:val="24"/>
        </w:rPr>
        <w:t xml:space="preserve"> </w:t>
      </w:r>
      <w:r w:rsidRPr="00044A63">
        <w:rPr>
          <w:rFonts w:ascii="Arial" w:hAnsi="Arial" w:cs="Arial"/>
          <w:sz w:val="24"/>
          <w:szCs w:val="24"/>
        </w:rPr>
        <w:t>cada</w:t>
      </w:r>
      <w:r w:rsidRPr="00044A63">
        <w:rPr>
          <w:rFonts w:ascii="Arial" w:hAnsi="Arial" w:cs="Arial"/>
          <w:spacing w:val="-16"/>
          <w:sz w:val="24"/>
          <w:szCs w:val="24"/>
        </w:rPr>
        <w:t xml:space="preserve"> </w:t>
      </w:r>
      <w:r w:rsidRPr="00044A63">
        <w:rPr>
          <w:rFonts w:ascii="Arial" w:hAnsi="Arial" w:cs="Arial"/>
          <w:sz w:val="24"/>
          <w:szCs w:val="24"/>
        </w:rPr>
        <w:t>una</w:t>
      </w:r>
      <w:r w:rsidRPr="00044A63">
        <w:rPr>
          <w:rFonts w:ascii="Arial" w:hAnsi="Arial" w:cs="Arial"/>
          <w:spacing w:val="-16"/>
          <w:sz w:val="24"/>
          <w:szCs w:val="24"/>
        </w:rPr>
        <w:t xml:space="preserve"> </w:t>
      </w:r>
      <w:r w:rsidRPr="00044A63">
        <w:rPr>
          <w:rFonts w:ascii="Arial" w:hAnsi="Arial" w:cs="Arial"/>
          <w:sz w:val="24"/>
          <w:szCs w:val="24"/>
        </w:rPr>
        <w:t>de</w:t>
      </w:r>
      <w:r w:rsidRPr="00044A63">
        <w:rPr>
          <w:rFonts w:ascii="Arial" w:hAnsi="Arial" w:cs="Arial"/>
          <w:spacing w:val="-15"/>
          <w:sz w:val="24"/>
          <w:szCs w:val="24"/>
        </w:rPr>
        <w:t xml:space="preserve"> </w:t>
      </w:r>
      <w:r w:rsidRPr="00044A63">
        <w:rPr>
          <w:rFonts w:ascii="Arial" w:hAnsi="Arial" w:cs="Arial"/>
          <w:sz w:val="24"/>
          <w:szCs w:val="24"/>
        </w:rPr>
        <w:t>ellas.</w:t>
      </w:r>
    </w:p>
    <w:p w14:paraId="5FD93FAE" w14:textId="77777777" w:rsidR="00E46C0A" w:rsidRPr="00044A63" w:rsidRDefault="00E46C0A" w:rsidP="002813F1">
      <w:pPr>
        <w:ind w:right="-234"/>
        <w:rPr>
          <w:rFonts w:ascii="Arial" w:eastAsia="Times New Roman" w:hAnsi="Arial" w:cs="Arial"/>
          <w:sz w:val="24"/>
          <w:szCs w:val="24"/>
        </w:rPr>
      </w:pPr>
    </w:p>
    <w:p w14:paraId="2C6CEFE5" w14:textId="77777777" w:rsidR="00E46C0A" w:rsidRPr="00044A63" w:rsidRDefault="00E46C0A" w:rsidP="002813F1">
      <w:pPr>
        <w:pStyle w:val="Prrafodelista"/>
        <w:widowControl/>
        <w:numPr>
          <w:ilvl w:val="0"/>
          <w:numId w:val="86"/>
        </w:numPr>
        <w:tabs>
          <w:tab w:val="left" w:pos="835"/>
          <w:tab w:val="left" w:pos="839"/>
        </w:tabs>
        <w:autoSpaceDE/>
        <w:autoSpaceDN/>
        <w:spacing w:before="1"/>
        <w:ind w:right="-234"/>
        <w:jc w:val="both"/>
        <w:rPr>
          <w:rFonts w:ascii="Arial" w:hAnsi="Arial" w:cs="Arial"/>
          <w:position w:val="1"/>
          <w:sz w:val="24"/>
          <w:szCs w:val="24"/>
        </w:rPr>
      </w:pPr>
      <w:r w:rsidRPr="00044A63">
        <w:rPr>
          <w:rFonts w:ascii="Arial" w:hAnsi="Arial" w:cs="Arial"/>
          <w:position w:val="1"/>
          <w:sz w:val="24"/>
          <w:szCs w:val="24"/>
        </w:rPr>
        <w:t>En relación al inventario, se adelantó toma física para el periodo 2024, por parte del área de almacén. A la fecha del presente informe de Revisoría Fiscal, los responsables de este proceso, se encuentran realizando los respectivos cruces de información entre el conteo físico y los registros del sistema. Esta área generará finalmente el informe resultante de faltantes y sobrantes para que la administración, determine las acciones a seguir y cuyo impacto en los estados financieros se verá reflejada en la vigencia 2025</w:t>
      </w:r>
    </w:p>
    <w:p w14:paraId="6A3BFD6E" w14:textId="77777777" w:rsidR="00E46C0A" w:rsidRPr="00044A63" w:rsidRDefault="00E46C0A" w:rsidP="00E46C0A">
      <w:pPr>
        <w:pStyle w:val="Prrafodelista"/>
        <w:ind w:left="0"/>
        <w:rPr>
          <w:rFonts w:ascii="Arial" w:hAnsi="Arial" w:cs="Arial"/>
          <w:spacing w:val="-4"/>
          <w:sz w:val="24"/>
          <w:szCs w:val="24"/>
        </w:rPr>
      </w:pPr>
    </w:p>
    <w:p w14:paraId="1A764B9E" w14:textId="77777777" w:rsidR="00E46C0A" w:rsidRPr="00044A63" w:rsidRDefault="00E46C0A" w:rsidP="002813F1">
      <w:pPr>
        <w:pStyle w:val="Prrafodelista"/>
        <w:widowControl/>
        <w:numPr>
          <w:ilvl w:val="0"/>
          <w:numId w:val="86"/>
        </w:numPr>
        <w:tabs>
          <w:tab w:val="left" w:pos="844"/>
          <w:tab w:val="left" w:pos="852"/>
        </w:tabs>
        <w:autoSpaceDE/>
        <w:autoSpaceDN/>
        <w:spacing w:before="1"/>
        <w:ind w:right="-234"/>
        <w:jc w:val="both"/>
        <w:rPr>
          <w:rFonts w:ascii="Arial" w:hAnsi="Arial" w:cs="Arial"/>
          <w:sz w:val="24"/>
          <w:szCs w:val="24"/>
        </w:rPr>
      </w:pPr>
      <w:r w:rsidRPr="00044A63">
        <w:rPr>
          <w:rFonts w:ascii="Arial" w:hAnsi="Arial" w:cs="Arial"/>
          <w:sz w:val="24"/>
          <w:szCs w:val="24"/>
        </w:rPr>
        <w:t xml:space="preserve">AI cierre de la presente auditoria se pudo establecer un hallazgo reiterativo por parte de la CGR, en atención a entrega inoportuna por parte de los responsables de reportar resoluciones por concepto de sanciones y multas, lo que se retrasa los cierres contables quedando así en la contabilidad, el registro de los suministrado hasta esa fecha. </w:t>
      </w:r>
    </w:p>
    <w:p w14:paraId="473F9A08" w14:textId="77777777" w:rsidR="00E46C0A" w:rsidRPr="00044A63" w:rsidRDefault="00E46C0A" w:rsidP="002813F1">
      <w:pPr>
        <w:pStyle w:val="Prrafodelista"/>
        <w:ind w:left="0" w:right="-234"/>
        <w:rPr>
          <w:rFonts w:ascii="Arial" w:hAnsi="Arial" w:cs="Arial"/>
          <w:sz w:val="24"/>
          <w:szCs w:val="24"/>
        </w:rPr>
      </w:pPr>
    </w:p>
    <w:p w14:paraId="6E04F022" w14:textId="77777777" w:rsidR="00E46C0A" w:rsidRDefault="00E46C0A" w:rsidP="002813F1">
      <w:pPr>
        <w:pStyle w:val="Prrafodelista"/>
        <w:widowControl/>
        <w:numPr>
          <w:ilvl w:val="0"/>
          <w:numId w:val="86"/>
        </w:numPr>
        <w:tabs>
          <w:tab w:val="left" w:pos="844"/>
          <w:tab w:val="left" w:pos="852"/>
        </w:tabs>
        <w:autoSpaceDE/>
        <w:autoSpaceDN/>
        <w:spacing w:before="1"/>
        <w:ind w:right="-234"/>
        <w:jc w:val="both"/>
        <w:rPr>
          <w:rFonts w:ascii="Arial" w:hAnsi="Arial" w:cs="Arial"/>
          <w:sz w:val="24"/>
          <w:szCs w:val="24"/>
        </w:rPr>
      </w:pPr>
      <w:r w:rsidRPr="00044A63">
        <w:rPr>
          <w:rFonts w:ascii="Arial" w:hAnsi="Arial" w:cs="Arial"/>
          <w:sz w:val="24"/>
          <w:szCs w:val="24"/>
        </w:rPr>
        <w:t>Desde el mes de septiembre de 2024, se dio inicio a la migración de la información contable financiera de cuentas por cobrar, a la nueva plataforma SISCAR, la cual se sigue adelantado a la fecha de emisión del presente reporte, lo que genera un proceso de transición especial de la información mencionada</w:t>
      </w:r>
      <w:r>
        <w:rPr>
          <w:rFonts w:ascii="Arial" w:hAnsi="Arial" w:cs="Arial"/>
          <w:sz w:val="24"/>
          <w:szCs w:val="24"/>
        </w:rPr>
        <w:t>”</w:t>
      </w:r>
      <w:r w:rsidRPr="00044A63">
        <w:rPr>
          <w:rFonts w:ascii="Arial" w:hAnsi="Arial" w:cs="Arial"/>
          <w:sz w:val="24"/>
          <w:szCs w:val="24"/>
        </w:rPr>
        <w:t>.</w:t>
      </w:r>
    </w:p>
    <w:p w14:paraId="78B3E978" w14:textId="77777777" w:rsidR="002813F1" w:rsidRDefault="002813F1" w:rsidP="00E46C0A">
      <w:pPr>
        <w:jc w:val="both"/>
        <w:rPr>
          <w:rFonts w:ascii="Arial" w:hAnsi="Arial" w:cs="Arial"/>
          <w:b/>
          <w:sz w:val="28"/>
          <w:szCs w:val="28"/>
          <w:lang w:val="es-MX"/>
        </w:rPr>
      </w:pPr>
    </w:p>
    <w:p w14:paraId="4E7D3047" w14:textId="0200EDEA" w:rsidR="00E46C0A" w:rsidRPr="00E27FA5" w:rsidRDefault="00E46C0A" w:rsidP="00E46C0A">
      <w:pPr>
        <w:jc w:val="both"/>
        <w:rPr>
          <w:rFonts w:ascii="Arial" w:hAnsi="Arial" w:cs="Arial"/>
          <w:b/>
          <w:sz w:val="28"/>
          <w:szCs w:val="28"/>
          <w:lang w:val="es-MX"/>
        </w:rPr>
      </w:pPr>
      <w:r w:rsidRPr="00E27FA5">
        <w:rPr>
          <w:rFonts w:ascii="Arial" w:hAnsi="Arial" w:cs="Arial"/>
          <w:b/>
          <w:sz w:val="28"/>
          <w:szCs w:val="28"/>
          <w:lang w:val="es-MX"/>
        </w:rPr>
        <w:t xml:space="preserve">102.- </w:t>
      </w:r>
      <w:r w:rsidRPr="00E27FA5">
        <w:rPr>
          <w:rFonts w:ascii="Arial" w:hAnsi="Arial" w:cs="Arial"/>
          <w:b/>
          <w:sz w:val="28"/>
          <w:szCs w:val="28"/>
          <w:lang w:val="es-CO"/>
        </w:rPr>
        <w:t xml:space="preserve">CORPORACIÓN SALUD U.N. </w:t>
      </w:r>
    </w:p>
    <w:p w14:paraId="33B1EB3C" w14:textId="77777777" w:rsidR="00E46C0A" w:rsidRDefault="00E46C0A" w:rsidP="00E46C0A">
      <w:pPr>
        <w:pStyle w:val="Textoindependiente"/>
        <w:jc w:val="both"/>
        <w:rPr>
          <w:b/>
          <w:bCs/>
        </w:rPr>
      </w:pPr>
    </w:p>
    <w:p w14:paraId="4B9A35A9" w14:textId="77777777" w:rsidR="00E46C0A" w:rsidRPr="003265E7" w:rsidRDefault="00E46C0A" w:rsidP="00E46C0A">
      <w:pPr>
        <w:pStyle w:val="Textoindependiente"/>
        <w:jc w:val="both"/>
        <w:rPr>
          <w:rFonts w:ascii="Arial" w:hAnsi="Arial" w:cs="Arial"/>
          <w:b/>
          <w:bCs/>
          <w:sz w:val="24"/>
          <w:szCs w:val="24"/>
        </w:rPr>
      </w:pPr>
      <w:r w:rsidRPr="003265E7">
        <w:rPr>
          <w:rFonts w:ascii="Arial" w:hAnsi="Arial" w:cs="Arial"/>
          <w:b/>
          <w:bCs/>
          <w:sz w:val="24"/>
          <w:szCs w:val="24"/>
        </w:rPr>
        <w:t>“Párrafo de Énfasis</w:t>
      </w:r>
    </w:p>
    <w:p w14:paraId="76097E91" w14:textId="77777777" w:rsidR="00E46C0A" w:rsidRPr="003265E7" w:rsidRDefault="00E46C0A" w:rsidP="00E46C0A">
      <w:pPr>
        <w:pStyle w:val="Textoindependiente"/>
        <w:jc w:val="both"/>
        <w:rPr>
          <w:rFonts w:ascii="Arial" w:hAnsi="Arial" w:cs="Arial"/>
          <w:sz w:val="24"/>
          <w:szCs w:val="24"/>
        </w:rPr>
      </w:pPr>
    </w:p>
    <w:p w14:paraId="65496946" w14:textId="77777777" w:rsidR="00E46C0A" w:rsidRPr="003265E7" w:rsidRDefault="00E46C0A" w:rsidP="00146806">
      <w:pPr>
        <w:pStyle w:val="Textoindependiente"/>
        <w:numPr>
          <w:ilvl w:val="0"/>
          <w:numId w:val="87"/>
        </w:numPr>
        <w:ind w:right="-234"/>
        <w:jc w:val="both"/>
        <w:rPr>
          <w:rFonts w:ascii="Arial" w:hAnsi="Arial" w:cs="Arial"/>
          <w:sz w:val="24"/>
          <w:szCs w:val="24"/>
        </w:rPr>
      </w:pPr>
      <w:r w:rsidRPr="003265E7">
        <w:rPr>
          <w:rFonts w:ascii="Arial" w:hAnsi="Arial" w:cs="Arial"/>
          <w:sz w:val="24"/>
          <w:szCs w:val="24"/>
        </w:rPr>
        <w:lastRenderedPageBreak/>
        <w:t>Al 31 de diciembre de 2024, continúa en curso el proyecto de Ley 339 de 2023, presentado por el Gobierno Nacional, el cual propone una transformación estructural del sistema de salud en Colombia. Esta reforma busca fortalecer la atención primaria y promover modelos de salud predictivos; sin embargo, persisten incertidumbres sobre su implementación y el impacto en la estabilidad financiera de las Instituciones Prestadoras de Servicios de Salud (IPS).</w:t>
      </w:r>
    </w:p>
    <w:p w14:paraId="4C589226" w14:textId="77777777" w:rsidR="00E46C0A" w:rsidRPr="003265E7" w:rsidRDefault="00E46C0A" w:rsidP="00146806">
      <w:pPr>
        <w:pStyle w:val="Textoindependiente"/>
        <w:ind w:right="-234"/>
        <w:jc w:val="both"/>
        <w:rPr>
          <w:rFonts w:ascii="Arial" w:hAnsi="Arial" w:cs="Arial"/>
          <w:sz w:val="24"/>
          <w:szCs w:val="24"/>
        </w:rPr>
      </w:pPr>
    </w:p>
    <w:p w14:paraId="7CEB8EF9" w14:textId="77777777" w:rsidR="00E46C0A" w:rsidRPr="003265E7" w:rsidRDefault="00E46C0A" w:rsidP="00146806">
      <w:pPr>
        <w:pStyle w:val="Textoindependiente"/>
        <w:ind w:right="-234"/>
        <w:jc w:val="both"/>
        <w:rPr>
          <w:rFonts w:ascii="Arial" w:hAnsi="Arial" w:cs="Arial"/>
          <w:sz w:val="24"/>
          <w:szCs w:val="24"/>
          <w:lang w:val="es-CO"/>
        </w:rPr>
      </w:pPr>
      <w:r w:rsidRPr="003265E7">
        <w:rPr>
          <w:rFonts w:ascii="Arial" w:hAnsi="Arial" w:cs="Arial"/>
          <w:sz w:val="24"/>
          <w:szCs w:val="24"/>
          <w:lang w:val="es-CO"/>
        </w:rPr>
        <w:t xml:space="preserve">Adicionalmente, la Corte Constitucional ha ordenado ajustes financieros a las Entidades Promotoras de Salud (EPS), Io que ha modificado los esquemas de contratación y afectado el flujo de recursos </w:t>
      </w:r>
      <w:r w:rsidRPr="003265E7">
        <w:rPr>
          <w:rFonts w:ascii="Arial" w:hAnsi="Arial" w:cs="Arial"/>
          <w:noProof/>
          <w:sz w:val="24"/>
          <w:szCs w:val="24"/>
          <w:lang w:val="es-CO" w:eastAsia="es-CO"/>
        </w:rPr>
        <w:drawing>
          <wp:inline distT="0" distB="0" distL="0" distR="0" wp14:anchorId="4025271D" wp14:editId="6C5A5CFF">
            <wp:extent cx="6095" cy="6096"/>
            <wp:effectExtent l="0" t="0" r="0" b="0"/>
            <wp:docPr id="6959" name="Picture 6959"/>
            <wp:cNvGraphicFramePr/>
            <a:graphic xmlns:a="http://schemas.openxmlformats.org/drawingml/2006/main">
              <a:graphicData uri="http://schemas.openxmlformats.org/drawingml/2006/picture">
                <pic:pic xmlns:pic="http://schemas.openxmlformats.org/drawingml/2006/picture">
                  <pic:nvPicPr>
                    <pic:cNvPr id="6959" name="Picture 6959"/>
                    <pic:cNvPicPr/>
                  </pic:nvPicPr>
                  <pic:blipFill>
                    <a:blip r:embed="rId38"/>
                    <a:stretch>
                      <a:fillRect/>
                    </a:stretch>
                  </pic:blipFill>
                  <pic:spPr>
                    <a:xfrm>
                      <a:off x="0" y="0"/>
                      <a:ext cx="6095" cy="6096"/>
                    </a:xfrm>
                    <a:prstGeom prst="rect">
                      <a:avLst/>
                    </a:prstGeom>
                  </pic:spPr>
                </pic:pic>
              </a:graphicData>
            </a:graphic>
          </wp:inline>
        </w:drawing>
      </w:r>
      <w:r w:rsidRPr="003265E7">
        <w:rPr>
          <w:rFonts w:ascii="Arial" w:hAnsi="Arial" w:cs="Arial"/>
          <w:sz w:val="24"/>
          <w:szCs w:val="24"/>
          <w:lang w:val="es-CO"/>
        </w:rPr>
        <w:t>dentro del sistema. En este contexto, la Reforma a la Salud 2.0 pasó a primer debate el 18 de noviembre de 2024, y se prevé que su aprobación final se concrete en el transcurso de 2025.</w:t>
      </w:r>
      <w:r w:rsidRPr="003265E7">
        <w:rPr>
          <w:rFonts w:ascii="Arial" w:hAnsi="Arial" w:cs="Arial"/>
          <w:noProof/>
          <w:sz w:val="24"/>
          <w:szCs w:val="24"/>
          <w:lang w:val="es-CO" w:eastAsia="es-CO"/>
        </w:rPr>
        <w:drawing>
          <wp:inline distT="0" distB="0" distL="0" distR="0" wp14:anchorId="61AE9E31" wp14:editId="02F7ABE0">
            <wp:extent cx="18288" cy="24384"/>
            <wp:effectExtent l="0" t="0" r="0" b="0"/>
            <wp:docPr id="45258" name="Picture 45258"/>
            <wp:cNvGraphicFramePr/>
            <a:graphic xmlns:a="http://schemas.openxmlformats.org/drawingml/2006/main">
              <a:graphicData uri="http://schemas.openxmlformats.org/drawingml/2006/picture">
                <pic:pic xmlns:pic="http://schemas.openxmlformats.org/drawingml/2006/picture">
                  <pic:nvPicPr>
                    <pic:cNvPr id="45258" name="Picture 45258"/>
                    <pic:cNvPicPr/>
                  </pic:nvPicPr>
                  <pic:blipFill>
                    <a:blip r:embed="rId39"/>
                    <a:stretch>
                      <a:fillRect/>
                    </a:stretch>
                  </pic:blipFill>
                  <pic:spPr>
                    <a:xfrm>
                      <a:off x="0" y="0"/>
                      <a:ext cx="18288" cy="24384"/>
                    </a:xfrm>
                    <a:prstGeom prst="rect">
                      <a:avLst/>
                    </a:prstGeom>
                  </pic:spPr>
                </pic:pic>
              </a:graphicData>
            </a:graphic>
          </wp:inline>
        </w:drawing>
      </w:r>
    </w:p>
    <w:p w14:paraId="73D8D81F" w14:textId="77777777" w:rsidR="00E46C0A" w:rsidRPr="003265E7" w:rsidRDefault="00E46C0A" w:rsidP="00146806">
      <w:pPr>
        <w:pStyle w:val="Textoindependiente"/>
        <w:ind w:right="-234"/>
        <w:jc w:val="both"/>
        <w:rPr>
          <w:rFonts w:ascii="Arial" w:hAnsi="Arial" w:cs="Arial"/>
          <w:sz w:val="24"/>
          <w:szCs w:val="24"/>
          <w:lang w:val="es-CO"/>
        </w:rPr>
      </w:pPr>
    </w:p>
    <w:p w14:paraId="60E80C3B" w14:textId="77777777" w:rsidR="00E46C0A" w:rsidRPr="003265E7" w:rsidRDefault="00E46C0A" w:rsidP="00146806">
      <w:pPr>
        <w:pStyle w:val="Textoindependiente"/>
        <w:numPr>
          <w:ilvl w:val="0"/>
          <w:numId w:val="87"/>
        </w:numPr>
        <w:ind w:right="-234"/>
        <w:jc w:val="both"/>
        <w:rPr>
          <w:rFonts w:ascii="Arial" w:hAnsi="Arial" w:cs="Arial"/>
          <w:sz w:val="24"/>
          <w:szCs w:val="24"/>
          <w:lang w:val="es-CO"/>
        </w:rPr>
      </w:pPr>
      <w:r w:rsidRPr="003265E7">
        <w:rPr>
          <w:rFonts w:ascii="Arial" w:hAnsi="Arial" w:cs="Arial"/>
          <w:sz w:val="24"/>
          <w:szCs w:val="24"/>
          <w:lang w:val="es-CO"/>
        </w:rPr>
        <w:t>Impacto de las medidas judiciales y financieras en la liquidez del sistema</w:t>
      </w:r>
      <w:r w:rsidRPr="003265E7">
        <w:rPr>
          <w:rFonts w:ascii="Arial" w:hAnsi="Arial" w:cs="Arial"/>
          <w:noProof/>
          <w:sz w:val="24"/>
          <w:szCs w:val="24"/>
          <w:lang w:val="es-CO" w:eastAsia="es-CO"/>
        </w:rPr>
        <w:drawing>
          <wp:inline distT="0" distB="0" distL="0" distR="0" wp14:anchorId="72895D54" wp14:editId="1ACE5F20">
            <wp:extent cx="6096" cy="24384"/>
            <wp:effectExtent l="0" t="0" r="0" b="0"/>
            <wp:docPr id="45260" name="Picture 45260"/>
            <wp:cNvGraphicFramePr/>
            <a:graphic xmlns:a="http://schemas.openxmlformats.org/drawingml/2006/main">
              <a:graphicData uri="http://schemas.openxmlformats.org/drawingml/2006/picture">
                <pic:pic xmlns:pic="http://schemas.openxmlformats.org/drawingml/2006/picture">
                  <pic:nvPicPr>
                    <pic:cNvPr id="45260" name="Picture 45260"/>
                    <pic:cNvPicPr/>
                  </pic:nvPicPr>
                  <pic:blipFill>
                    <a:blip r:embed="rId40"/>
                    <a:stretch>
                      <a:fillRect/>
                    </a:stretch>
                  </pic:blipFill>
                  <pic:spPr>
                    <a:xfrm>
                      <a:off x="0" y="0"/>
                      <a:ext cx="6096" cy="24384"/>
                    </a:xfrm>
                    <a:prstGeom prst="rect">
                      <a:avLst/>
                    </a:prstGeom>
                  </pic:spPr>
                </pic:pic>
              </a:graphicData>
            </a:graphic>
          </wp:inline>
        </w:drawing>
      </w:r>
    </w:p>
    <w:p w14:paraId="412A0DB9" w14:textId="77777777" w:rsidR="00E46C0A" w:rsidRPr="003265E7" w:rsidRDefault="00E46C0A" w:rsidP="00146806">
      <w:pPr>
        <w:pStyle w:val="Textoindependiente"/>
        <w:ind w:left="360" w:right="-234"/>
        <w:jc w:val="both"/>
        <w:rPr>
          <w:rFonts w:ascii="Arial" w:hAnsi="Arial" w:cs="Arial"/>
          <w:sz w:val="24"/>
          <w:szCs w:val="24"/>
          <w:lang w:val="es-CO"/>
        </w:rPr>
      </w:pPr>
    </w:p>
    <w:p w14:paraId="055D4754" w14:textId="77777777" w:rsidR="00E46C0A" w:rsidRPr="003265E7" w:rsidRDefault="00E46C0A" w:rsidP="00146806">
      <w:pPr>
        <w:pStyle w:val="Textoindependiente"/>
        <w:ind w:right="-234"/>
        <w:jc w:val="both"/>
        <w:rPr>
          <w:rFonts w:ascii="Arial" w:hAnsi="Arial" w:cs="Arial"/>
          <w:sz w:val="24"/>
          <w:szCs w:val="24"/>
          <w:lang w:val="es-CO"/>
        </w:rPr>
      </w:pPr>
      <w:r w:rsidRPr="003265E7">
        <w:rPr>
          <w:rFonts w:ascii="Arial" w:hAnsi="Arial" w:cs="Arial"/>
          <w:sz w:val="24"/>
          <w:szCs w:val="24"/>
          <w:lang w:val="es-CO"/>
        </w:rPr>
        <w:t xml:space="preserve">Mediante el Auto 2881 de 2023, la Sala Especial de Seguimiento a la Sentencia T-760 de 2008 declaró un nivel de cumplimiento bajo en relación con la suficiencia de los Presupuestos Máximos para la financiación de los servicios y tecnologías en salud no cubiertos por la Unidad de Pago por Capitación </w:t>
      </w:r>
      <w:r w:rsidRPr="003265E7">
        <w:rPr>
          <w:rFonts w:ascii="Arial" w:hAnsi="Arial" w:cs="Arial"/>
          <w:noProof/>
          <w:sz w:val="24"/>
          <w:szCs w:val="24"/>
          <w:lang w:val="es-CO" w:eastAsia="es-CO"/>
        </w:rPr>
        <w:drawing>
          <wp:inline distT="0" distB="0" distL="0" distR="0" wp14:anchorId="7A23FF8D" wp14:editId="520FB583">
            <wp:extent cx="6095" cy="6096"/>
            <wp:effectExtent l="0" t="0" r="0" b="0"/>
            <wp:docPr id="6966" name="Picture 6966"/>
            <wp:cNvGraphicFramePr/>
            <a:graphic xmlns:a="http://schemas.openxmlformats.org/drawingml/2006/main">
              <a:graphicData uri="http://schemas.openxmlformats.org/drawingml/2006/picture">
                <pic:pic xmlns:pic="http://schemas.openxmlformats.org/drawingml/2006/picture">
                  <pic:nvPicPr>
                    <pic:cNvPr id="6966" name="Picture 6966"/>
                    <pic:cNvPicPr/>
                  </pic:nvPicPr>
                  <pic:blipFill>
                    <a:blip r:embed="rId41"/>
                    <a:stretch>
                      <a:fillRect/>
                    </a:stretch>
                  </pic:blipFill>
                  <pic:spPr>
                    <a:xfrm>
                      <a:off x="0" y="0"/>
                      <a:ext cx="6095" cy="6096"/>
                    </a:xfrm>
                    <a:prstGeom prst="rect">
                      <a:avLst/>
                    </a:prstGeom>
                  </pic:spPr>
                </pic:pic>
              </a:graphicData>
            </a:graphic>
          </wp:inline>
        </w:drawing>
      </w:r>
      <w:r w:rsidRPr="003265E7">
        <w:rPr>
          <w:rFonts w:ascii="Arial" w:hAnsi="Arial" w:cs="Arial"/>
          <w:sz w:val="24"/>
          <w:szCs w:val="24"/>
          <w:lang w:val="es-CO"/>
        </w:rPr>
        <w:t>(UPC). Esta insuficiencia ha sido atribuida a problemas en:</w:t>
      </w:r>
      <w:r w:rsidRPr="003265E7">
        <w:rPr>
          <w:rFonts w:ascii="Arial" w:hAnsi="Arial" w:cs="Arial"/>
          <w:noProof/>
          <w:sz w:val="24"/>
          <w:szCs w:val="24"/>
          <w:lang w:val="es-CO" w:eastAsia="es-CO"/>
        </w:rPr>
        <w:drawing>
          <wp:inline distT="0" distB="0" distL="0" distR="0" wp14:anchorId="3FB35501" wp14:editId="5DD0EF36">
            <wp:extent cx="6096" cy="6096"/>
            <wp:effectExtent l="0" t="0" r="0" b="0"/>
            <wp:docPr id="6969" name="Picture 6969"/>
            <wp:cNvGraphicFramePr/>
            <a:graphic xmlns:a="http://schemas.openxmlformats.org/drawingml/2006/main">
              <a:graphicData uri="http://schemas.openxmlformats.org/drawingml/2006/picture">
                <pic:pic xmlns:pic="http://schemas.openxmlformats.org/drawingml/2006/picture">
                  <pic:nvPicPr>
                    <pic:cNvPr id="6969" name="Picture 6969"/>
                    <pic:cNvPicPr/>
                  </pic:nvPicPr>
                  <pic:blipFill>
                    <a:blip r:embed="rId42"/>
                    <a:stretch>
                      <a:fillRect/>
                    </a:stretch>
                  </pic:blipFill>
                  <pic:spPr>
                    <a:xfrm>
                      <a:off x="0" y="0"/>
                      <a:ext cx="6096" cy="6096"/>
                    </a:xfrm>
                    <a:prstGeom prst="rect">
                      <a:avLst/>
                    </a:prstGeom>
                  </pic:spPr>
                </pic:pic>
              </a:graphicData>
            </a:graphic>
          </wp:inline>
        </w:drawing>
      </w:r>
    </w:p>
    <w:p w14:paraId="6686222D" w14:textId="77777777" w:rsidR="00E46C0A" w:rsidRPr="003265E7" w:rsidRDefault="00E46C0A" w:rsidP="00E46C0A">
      <w:pPr>
        <w:pStyle w:val="Textoindependiente"/>
        <w:jc w:val="both"/>
        <w:rPr>
          <w:rFonts w:ascii="Arial" w:hAnsi="Arial" w:cs="Arial"/>
          <w:sz w:val="24"/>
          <w:szCs w:val="24"/>
        </w:rPr>
      </w:pPr>
    </w:p>
    <w:p w14:paraId="42DA0F2F" w14:textId="77777777" w:rsidR="00E46C0A" w:rsidRPr="003265E7" w:rsidRDefault="00E46C0A" w:rsidP="00AE3935">
      <w:pPr>
        <w:pStyle w:val="Textoindependiente"/>
        <w:numPr>
          <w:ilvl w:val="0"/>
          <w:numId w:val="88"/>
        </w:numPr>
        <w:rPr>
          <w:rFonts w:ascii="Arial" w:hAnsi="Arial" w:cs="Arial"/>
          <w:sz w:val="24"/>
          <w:szCs w:val="24"/>
          <w:lang w:val="es-CO"/>
        </w:rPr>
      </w:pPr>
      <w:r w:rsidRPr="003265E7">
        <w:rPr>
          <w:rFonts w:ascii="Arial" w:hAnsi="Arial" w:cs="Arial"/>
          <w:sz w:val="24"/>
          <w:szCs w:val="24"/>
          <w:lang w:val="es-CO"/>
        </w:rPr>
        <w:t>La fijación y reajuste de los presupuestos.</w:t>
      </w:r>
    </w:p>
    <w:p w14:paraId="42855B0F" w14:textId="77777777" w:rsidR="00E46C0A" w:rsidRPr="003265E7" w:rsidRDefault="00E46C0A" w:rsidP="00146806">
      <w:pPr>
        <w:pStyle w:val="Textoindependiente"/>
        <w:numPr>
          <w:ilvl w:val="0"/>
          <w:numId w:val="88"/>
        </w:numPr>
        <w:ind w:right="-234"/>
        <w:rPr>
          <w:rFonts w:ascii="Arial" w:hAnsi="Arial" w:cs="Arial"/>
          <w:sz w:val="24"/>
          <w:szCs w:val="24"/>
          <w:lang w:val="es-CO"/>
        </w:rPr>
      </w:pPr>
      <w:r w:rsidRPr="003265E7">
        <w:rPr>
          <w:rFonts w:ascii="Arial" w:hAnsi="Arial" w:cs="Arial"/>
          <w:sz w:val="24"/>
          <w:szCs w:val="24"/>
          <w:lang w:val="es-CO"/>
        </w:rPr>
        <w:t>Retrasos en los pagos y en la expedición de la metodología para su cálculo.</w:t>
      </w:r>
    </w:p>
    <w:p w14:paraId="11033840" w14:textId="77777777" w:rsidR="00E46C0A" w:rsidRPr="003265E7" w:rsidRDefault="00E46C0A" w:rsidP="00146806">
      <w:pPr>
        <w:pStyle w:val="Textoindependiente"/>
        <w:numPr>
          <w:ilvl w:val="0"/>
          <w:numId w:val="88"/>
        </w:numPr>
        <w:ind w:right="-234"/>
        <w:jc w:val="both"/>
        <w:rPr>
          <w:rFonts w:ascii="Arial" w:hAnsi="Arial" w:cs="Arial"/>
          <w:sz w:val="24"/>
          <w:szCs w:val="24"/>
          <w:lang w:val="es-CO"/>
        </w:rPr>
      </w:pPr>
      <w:r w:rsidRPr="003265E7">
        <w:rPr>
          <w:rFonts w:ascii="Arial" w:hAnsi="Arial" w:cs="Arial"/>
          <w:sz w:val="24"/>
          <w:szCs w:val="24"/>
          <w:lang w:val="es-CO"/>
        </w:rPr>
        <w:t>Demoras en la entrega y recolección de información necesaria para su determinación.</w:t>
      </w:r>
    </w:p>
    <w:p w14:paraId="4391B502" w14:textId="77777777" w:rsidR="00E46C0A" w:rsidRPr="003265E7" w:rsidRDefault="00E46C0A" w:rsidP="00146806">
      <w:pPr>
        <w:pStyle w:val="Textoindependiente"/>
        <w:numPr>
          <w:ilvl w:val="0"/>
          <w:numId w:val="88"/>
        </w:numPr>
        <w:ind w:right="-234"/>
        <w:jc w:val="both"/>
        <w:rPr>
          <w:rFonts w:ascii="Arial" w:hAnsi="Arial" w:cs="Arial"/>
          <w:sz w:val="24"/>
          <w:szCs w:val="24"/>
          <w:lang w:val="es-CO"/>
        </w:rPr>
      </w:pPr>
      <w:r w:rsidRPr="003265E7">
        <w:rPr>
          <w:rFonts w:ascii="Arial" w:hAnsi="Arial" w:cs="Arial"/>
          <w:sz w:val="24"/>
          <w:szCs w:val="24"/>
          <w:lang w:val="es-CO"/>
        </w:rPr>
        <w:t>Dilaciones en la expedición de los actos administrativos requeridos para su reconocimiento y pago</w:t>
      </w:r>
    </w:p>
    <w:p w14:paraId="47D9EBB0" w14:textId="77777777" w:rsidR="00E46C0A" w:rsidRPr="003265E7" w:rsidRDefault="00E46C0A" w:rsidP="00E46C0A">
      <w:pPr>
        <w:pStyle w:val="Textoindependiente"/>
        <w:jc w:val="both"/>
        <w:rPr>
          <w:rFonts w:ascii="Arial" w:hAnsi="Arial" w:cs="Arial"/>
          <w:sz w:val="24"/>
          <w:szCs w:val="24"/>
          <w:lang w:val="es-CO"/>
        </w:rPr>
      </w:pPr>
    </w:p>
    <w:p w14:paraId="0E33903D" w14:textId="77777777" w:rsidR="00E46C0A" w:rsidRPr="003265E7" w:rsidRDefault="00E46C0A" w:rsidP="00146806">
      <w:pPr>
        <w:pStyle w:val="Textoindependiente"/>
        <w:ind w:right="-234"/>
        <w:jc w:val="both"/>
        <w:rPr>
          <w:rFonts w:ascii="Arial" w:hAnsi="Arial" w:cs="Arial"/>
          <w:sz w:val="24"/>
          <w:szCs w:val="24"/>
        </w:rPr>
      </w:pPr>
      <w:r w:rsidRPr="003265E7">
        <w:rPr>
          <w:rFonts w:ascii="Arial" w:hAnsi="Arial" w:cs="Arial"/>
          <w:sz w:val="24"/>
          <w:szCs w:val="24"/>
          <w:lang w:val="es-CO"/>
        </w:rPr>
        <w:t>Estas dificultades han generado un deterioro en la liquidez de las EPS y han afectado significativamente el flujo de recursos dentro del Sistema General de Seguridad Social en Salud. Como consecuencia, se evidencia un incremento en la cartera adeudada, con obligaciones en mora que superan los dos años de vencimiento.</w:t>
      </w:r>
    </w:p>
    <w:p w14:paraId="6B312AB5" w14:textId="77777777" w:rsidR="00E46C0A" w:rsidRPr="003265E7" w:rsidRDefault="00E46C0A" w:rsidP="00E46C0A">
      <w:pPr>
        <w:pStyle w:val="Textoindependiente"/>
        <w:jc w:val="both"/>
        <w:rPr>
          <w:rFonts w:ascii="Arial" w:hAnsi="Arial" w:cs="Arial"/>
          <w:sz w:val="24"/>
          <w:szCs w:val="24"/>
        </w:rPr>
      </w:pPr>
    </w:p>
    <w:p w14:paraId="58404495" w14:textId="77777777" w:rsidR="00E46C0A" w:rsidRPr="003265E7" w:rsidRDefault="00E46C0A" w:rsidP="00E46C0A">
      <w:pPr>
        <w:pStyle w:val="Textoindependiente"/>
        <w:jc w:val="both"/>
        <w:rPr>
          <w:rFonts w:ascii="Arial" w:hAnsi="Arial" w:cs="Arial"/>
          <w:sz w:val="24"/>
          <w:szCs w:val="24"/>
          <w:lang w:val="es-CO"/>
        </w:rPr>
      </w:pPr>
      <w:r w:rsidRPr="003265E7">
        <w:rPr>
          <w:rFonts w:ascii="Arial" w:hAnsi="Arial" w:cs="Arial"/>
          <w:sz w:val="24"/>
          <w:szCs w:val="24"/>
          <w:lang w:val="es-CO"/>
        </w:rPr>
        <w:t>Para el sistema, esta situación ha representado un impacto crítico debido a:</w:t>
      </w:r>
    </w:p>
    <w:p w14:paraId="3493F873" w14:textId="77777777" w:rsidR="00E46C0A" w:rsidRPr="003265E7" w:rsidRDefault="00E46C0A" w:rsidP="00E46C0A">
      <w:pPr>
        <w:pStyle w:val="Textoindependiente"/>
        <w:jc w:val="both"/>
        <w:rPr>
          <w:rFonts w:ascii="Arial" w:hAnsi="Arial" w:cs="Arial"/>
          <w:sz w:val="24"/>
          <w:szCs w:val="24"/>
        </w:rPr>
      </w:pPr>
    </w:p>
    <w:p w14:paraId="2BAF11F8" w14:textId="77777777" w:rsidR="00E46C0A" w:rsidRPr="003265E7" w:rsidRDefault="00E46C0A" w:rsidP="00146806">
      <w:pPr>
        <w:pStyle w:val="Textoindependiente"/>
        <w:numPr>
          <w:ilvl w:val="0"/>
          <w:numId w:val="89"/>
        </w:numPr>
        <w:ind w:right="-234"/>
        <w:jc w:val="both"/>
        <w:rPr>
          <w:rFonts w:ascii="Arial" w:hAnsi="Arial" w:cs="Arial"/>
          <w:sz w:val="24"/>
          <w:szCs w:val="24"/>
          <w:lang w:val="es-CO"/>
        </w:rPr>
      </w:pPr>
      <w:r w:rsidRPr="003265E7">
        <w:rPr>
          <w:rFonts w:ascii="Arial" w:hAnsi="Arial" w:cs="Arial"/>
          <w:sz w:val="24"/>
          <w:szCs w:val="24"/>
          <w:lang w:val="es-CO"/>
        </w:rPr>
        <w:t>Intervenciones y reorganización de EPS, que han alterado la continuidad en los contratos y en la asignación de recursos.</w:t>
      </w:r>
    </w:p>
    <w:p w14:paraId="765127CA" w14:textId="77777777" w:rsidR="00E46C0A" w:rsidRPr="003265E7" w:rsidRDefault="00E46C0A" w:rsidP="0014585C">
      <w:pPr>
        <w:pStyle w:val="Textoindependiente"/>
        <w:numPr>
          <w:ilvl w:val="0"/>
          <w:numId w:val="89"/>
        </w:numPr>
        <w:ind w:right="-234"/>
        <w:jc w:val="both"/>
        <w:rPr>
          <w:rFonts w:ascii="Arial" w:hAnsi="Arial" w:cs="Arial"/>
          <w:sz w:val="24"/>
          <w:szCs w:val="24"/>
          <w:lang w:val="es-CO"/>
        </w:rPr>
      </w:pPr>
      <w:r w:rsidRPr="003265E7">
        <w:rPr>
          <w:rFonts w:ascii="Arial" w:hAnsi="Arial" w:cs="Arial"/>
          <w:sz w:val="24"/>
          <w:szCs w:val="24"/>
          <w:lang w:val="es-CO"/>
        </w:rPr>
        <w:t>Rezagos en los giros directos de la ADRES, que han afectado la liquidez operativa y el cumplimiento de obligaciones con proveedores y personal.</w:t>
      </w:r>
    </w:p>
    <w:p w14:paraId="22706247" w14:textId="77777777" w:rsidR="00E46C0A" w:rsidRPr="003265E7" w:rsidRDefault="00E46C0A" w:rsidP="0014585C">
      <w:pPr>
        <w:pStyle w:val="Textoindependiente"/>
        <w:numPr>
          <w:ilvl w:val="0"/>
          <w:numId w:val="89"/>
        </w:numPr>
        <w:ind w:right="-234"/>
        <w:jc w:val="both"/>
        <w:rPr>
          <w:rFonts w:ascii="Arial" w:hAnsi="Arial" w:cs="Arial"/>
          <w:sz w:val="24"/>
          <w:szCs w:val="24"/>
          <w:lang w:val="es-CO"/>
        </w:rPr>
      </w:pPr>
      <w:r w:rsidRPr="003265E7">
        <w:rPr>
          <w:rFonts w:ascii="Arial" w:hAnsi="Arial" w:cs="Arial"/>
          <w:sz w:val="24"/>
          <w:szCs w:val="24"/>
          <w:lang w:val="es-CO"/>
        </w:rPr>
        <w:t>Pérdida de población afiliada asignada, lo que ha reducido la cobertura y afectado la estabilidad financiera del sistema.</w:t>
      </w:r>
    </w:p>
    <w:p w14:paraId="4C76F4DD" w14:textId="77777777" w:rsidR="00E46C0A" w:rsidRPr="003265E7" w:rsidRDefault="00E46C0A" w:rsidP="0014585C">
      <w:pPr>
        <w:pStyle w:val="Textoindependiente"/>
        <w:ind w:right="-234"/>
        <w:jc w:val="both"/>
        <w:rPr>
          <w:rFonts w:ascii="Arial" w:hAnsi="Arial" w:cs="Arial"/>
          <w:sz w:val="24"/>
          <w:szCs w:val="24"/>
          <w:lang w:val="es-CO"/>
        </w:rPr>
      </w:pPr>
    </w:p>
    <w:p w14:paraId="0A9CAF89" w14:textId="77777777" w:rsidR="00E46C0A" w:rsidRPr="003265E7" w:rsidRDefault="00E46C0A" w:rsidP="0014585C">
      <w:pPr>
        <w:pStyle w:val="Textoindependiente"/>
        <w:ind w:right="-234"/>
        <w:jc w:val="both"/>
        <w:rPr>
          <w:rFonts w:ascii="Arial" w:hAnsi="Arial" w:cs="Arial"/>
          <w:sz w:val="24"/>
          <w:szCs w:val="24"/>
          <w:lang w:val="es-CO"/>
        </w:rPr>
      </w:pPr>
      <w:r w:rsidRPr="003265E7">
        <w:rPr>
          <w:rFonts w:ascii="Arial" w:hAnsi="Arial" w:cs="Arial"/>
          <w:sz w:val="24"/>
          <w:szCs w:val="24"/>
          <w:lang w:val="es-CO"/>
        </w:rPr>
        <w:t>Estos factores han generado un entorno de incertidumbre en la sostenibilidad del Sistema General de Salud, cuyo impacto solo podrá determinarse con claridad una vez se concluyan los procesos de transformación y se estabilice el flujo financiero dentro del sistema de salud”.</w:t>
      </w:r>
    </w:p>
    <w:p w14:paraId="3806C7CD" w14:textId="77777777" w:rsidR="00E46C0A" w:rsidRPr="003265E7" w:rsidRDefault="00E46C0A" w:rsidP="0014585C">
      <w:pPr>
        <w:ind w:left="-284" w:right="-234"/>
        <w:jc w:val="both"/>
        <w:rPr>
          <w:rFonts w:ascii="Arial" w:eastAsia="Trebuchet MS" w:hAnsi="Arial" w:cs="Arial"/>
          <w:b/>
          <w:sz w:val="32"/>
          <w:szCs w:val="32"/>
          <w:u w:val="single"/>
          <w:lang w:val="es-CO" w:eastAsia="es-CO"/>
        </w:rPr>
      </w:pPr>
    </w:p>
    <w:p w14:paraId="772BE3AD" w14:textId="77777777" w:rsidR="00E46C0A" w:rsidRDefault="00E46C0A" w:rsidP="0014585C">
      <w:pPr>
        <w:ind w:right="-234"/>
        <w:jc w:val="both"/>
        <w:rPr>
          <w:rFonts w:ascii="Arial" w:eastAsia="Calibri" w:hAnsi="Arial" w:cs="Arial"/>
          <w:b/>
          <w:sz w:val="28"/>
          <w:szCs w:val="28"/>
          <w:lang w:val="es-CO"/>
        </w:rPr>
      </w:pPr>
      <w:r w:rsidRPr="00273463">
        <w:rPr>
          <w:rFonts w:ascii="Arial" w:hAnsi="Arial" w:cs="Arial"/>
          <w:b/>
          <w:sz w:val="28"/>
          <w:szCs w:val="28"/>
          <w:lang w:val="es-MX"/>
        </w:rPr>
        <w:t xml:space="preserve">105.- </w:t>
      </w:r>
      <w:r w:rsidRPr="00273463">
        <w:rPr>
          <w:rFonts w:ascii="Arial" w:eastAsia="Calibri" w:hAnsi="Arial" w:cs="Arial"/>
          <w:b/>
          <w:sz w:val="28"/>
          <w:szCs w:val="28"/>
          <w:lang w:val="es-CO"/>
        </w:rPr>
        <w:t>SOCIEDAD DE TELEVISIÓN DE CALDAS, RISARALDA Y QUINDÍO LTDA. - TELECAFÉ LTDA.</w:t>
      </w:r>
    </w:p>
    <w:p w14:paraId="69CA6CBD" w14:textId="77777777" w:rsidR="00E46C0A" w:rsidRDefault="00E46C0A" w:rsidP="0014585C">
      <w:pPr>
        <w:ind w:right="-234"/>
        <w:jc w:val="both"/>
        <w:rPr>
          <w:rFonts w:ascii="Arial" w:eastAsia="Calibri" w:hAnsi="Arial" w:cs="Arial"/>
          <w:b/>
          <w:sz w:val="28"/>
          <w:szCs w:val="28"/>
          <w:lang w:val="es-CO"/>
        </w:rPr>
      </w:pPr>
    </w:p>
    <w:p w14:paraId="15BA8978" w14:textId="77777777" w:rsidR="00E46C0A" w:rsidRPr="004971EC" w:rsidRDefault="00E46C0A" w:rsidP="0014585C">
      <w:pPr>
        <w:ind w:right="-234"/>
        <w:jc w:val="both"/>
        <w:rPr>
          <w:rFonts w:ascii="Arial" w:hAnsi="Arial" w:cs="Arial"/>
          <w:b/>
          <w:bCs/>
          <w:sz w:val="24"/>
          <w:szCs w:val="24"/>
        </w:rPr>
      </w:pPr>
      <w:r w:rsidRPr="004971EC">
        <w:rPr>
          <w:rFonts w:ascii="Arial" w:hAnsi="Arial" w:cs="Arial"/>
          <w:b/>
          <w:bCs/>
          <w:sz w:val="24"/>
          <w:szCs w:val="24"/>
        </w:rPr>
        <w:lastRenderedPageBreak/>
        <w:t>“C. Otras Cuestiones.</w:t>
      </w:r>
    </w:p>
    <w:p w14:paraId="30388F45" w14:textId="77777777" w:rsidR="00E46C0A" w:rsidRPr="004971EC" w:rsidRDefault="00E46C0A" w:rsidP="0014585C">
      <w:pPr>
        <w:pStyle w:val="Textoindependiente"/>
        <w:ind w:right="-234"/>
        <w:jc w:val="both"/>
        <w:rPr>
          <w:rFonts w:ascii="Arial" w:hAnsi="Arial" w:cs="Arial"/>
          <w:b/>
          <w:bCs/>
          <w:sz w:val="24"/>
          <w:szCs w:val="24"/>
        </w:rPr>
      </w:pPr>
      <w:r w:rsidRPr="004971EC">
        <w:rPr>
          <w:rFonts w:ascii="Arial" w:hAnsi="Arial" w:cs="Arial"/>
          <w:b/>
          <w:bCs/>
          <w:sz w:val="24"/>
          <w:szCs w:val="24"/>
        </w:rPr>
        <w:t xml:space="preserve"> </w:t>
      </w:r>
    </w:p>
    <w:p w14:paraId="04DD1945" w14:textId="77777777" w:rsidR="00E46C0A" w:rsidRPr="004971EC" w:rsidRDefault="00E46C0A" w:rsidP="0014585C">
      <w:pPr>
        <w:pStyle w:val="Textoindependiente"/>
        <w:ind w:right="-234"/>
        <w:jc w:val="both"/>
        <w:rPr>
          <w:rFonts w:ascii="Arial" w:hAnsi="Arial" w:cs="Arial"/>
          <w:sz w:val="24"/>
          <w:szCs w:val="24"/>
        </w:rPr>
      </w:pPr>
      <w:r w:rsidRPr="004971EC">
        <w:rPr>
          <w:rFonts w:ascii="Arial" w:hAnsi="Arial" w:cs="Arial"/>
          <w:sz w:val="24"/>
          <w:szCs w:val="24"/>
        </w:rPr>
        <w:t>Los estados financieros de la vigencia 2023 de la SOCIEDAD DE TELEVISIÓN DE CALDAS, RISARALDA Y QUINDÍO LTDA., fueron objeto de reexpresión por decisión de la Junta Administradora Regional mediante Acta N° 009 del pasado 22 de agosto del 2024, toda vez que se determinaron omisiones, reclasificaciones, cambios de políticas y operaciones que afectan considerablemente la materialidad de la información y los efectos para la toma de decisiones frente a la información financiera de dicha vigencia.</w:t>
      </w:r>
    </w:p>
    <w:p w14:paraId="311F1F52" w14:textId="77777777" w:rsidR="00E46C0A" w:rsidRPr="004971EC" w:rsidRDefault="00E46C0A" w:rsidP="00146806">
      <w:pPr>
        <w:pStyle w:val="Textoindependiente"/>
        <w:ind w:right="-376"/>
        <w:jc w:val="both"/>
        <w:rPr>
          <w:rFonts w:ascii="Arial" w:hAnsi="Arial" w:cs="Arial"/>
          <w:sz w:val="24"/>
          <w:szCs w:val="24"/>
        </w:rPr>
      </w:pPr>
    </w:p>
    <w:p w14:paraId="1201498F" w14:textId="77777777" w:rsidR="00E46C0A" w:rsidRPr="004971EC" w:rsidRDefault="00E46C0A" w:rsidP="00146806">
      <w:pPr>
        <w:pStyle w:val="Textoindependiente"/>
        <w:ind w:right="-376"/>
        <w:jc w:val="both"/>
        <w:rPr>
          <w:rFonts w:ascii="Arial" w:hAnsi="Arial" w:cs="Arial"/>
          <w:b/>
          <w:bCs/>
          <w:sz w:val="24"/>
          <w:szCs w:val="24"/>
        </w:rPr>
      </w:pPr>
      <w:r w:rsidRPr="004971EC">
        <w:rPr>
          <w:rFonts w:ascii="Arial" w:hAnsi="Arial" w:cs="Arial"/>
          <w:b/>
          <w:bCs/>
          <w:sz w:val="24"/>
          <w:szCs w:val="24"/>
        </w:rPr>
        <w:t xml:space="preserve">K. Párrafo de énfasis. </w:t>
      </w:r>
    </w:p>
    <w:p w14:paraId="566FB256" w14:textId="77777777" w:rsidR="00E46C0A" w:rsidRPr="004971EC" w:rsidRDefault="00E46C0A" w:rsidP="00146806">
      <w:pPr>
        <w:pStyle w:val="Textoindependiente"/>
        <w:ind w:right="-376"/>
        <w:jc w:val="both"/>
        <w:rPr>
          <w:rFonts w:ascii="Arial" w:hAnsi="Arial" w:cs="Arial"/>
          <w:sz w:val="24"/>
          <w:szCs w:val="24"/>
        </w:rPr>
      </w:pPr>
    </w:p>
    <w:p w14:paraId="161980B6" w14:textId="77777777" w:rsidR="00E46C0A" w:rsidRPr="004971EC" w:rsidRDefault="00E46C0A" w:rsidP="00146806">
      <w:pPr>
        <w:pStyle w:val="Textoindependiente"/>
        <w:ind w:right="-376"/>
        <w:jc w:val="both"/>
        <w:rPr>
          <w:rFonts w:ascii="Arial" w:hAnsi="Arial" w:cs="Arial"/>
          <w:sz w:val="24"/>
          <w:szCs w:val="24"/>
        </w:rPr>
      </w:pPr>
      <w:r w:rsidRPr="004971EC">
        <w:rPr>
          <w:rFonts w:ascii="Arial" w:hAnsi="Arial" w:cs="Arial"/>
          <w:sz w:val="24"/>
          <w:szCs w:val="24"/>
        </w:rPr>
        <w:t>Queremos llamar la atención a la administración sobre el siguiente aspecto:</w:t>
      </w:r>
    </w:p>
    <w:p w14:paraId="6B6B7612" w14:textId="77777777" w:rsidR="00E46C0A" w:rsidRPr="004971EC" w:rsidRDefault="00E46C0A" w:rsidP="00146806">
      <w:pPr>
        <w:pStyle w:val="Textoindependiente"/>
        <w:ind w:right="-376"/>
        <w:jc w:val="both"/>
        <w:rPr>
          <w:rFonts w:ascii="Arial" w:hAnsi="Arial" w:cs="Arial"/>
          <w:sz w:val="24"/>
          <w:szCs w:val="24"/>
        </w:rPr>
      </w:pPr>
    </w:p>
    <w:p w14:paraId="149D73F9" w14:textId="77777777" w:rsidR="00E46C0A" w:rsidRPr="004971EC" w:rsidRDefault="00E46C0A" w:rsidP="0014585C">
      <w:pPr>
        <w:pStyle w:val="Textoindependiente"/>
        <w:numPr>
          <w:ilvl w:val="0"/>
          <w:numId w:val="90"/>
        </w:numPr>
        <w:ind w:right="-234"/>
        <w:jc w:val="both"/>
        <w:rPr>
          <w:rFonts w:ascii="Arial" w:hAnsi="Arial" w:cs="Arial"/>
          <w:sz w:val="24"/>
          <w:szCs w:val="24"/>
        </w:rPr>
      </w:pPr>
      <w:r w:rsidRPr="004971EC">
        <w:rPr>
          <w:rFonts w:ascii="Arial" w:hAnsi="Arial" w:cs="Arial"/>
          <w:sz w:val="24"/>
          <w:szCs w:val="24"/>
        </w:rPr>
        <w:t xml:space="preserve">En relación con la reexpresión de los Estados Financieros de la vigencia 2023 y con base a la aplicación de nuevos criterios se realizaron ajustes en la información financiera de la vigencia 2024, con el fin de reflejar adecuadamente los efectos de dicha reexpresión de manera que los saldos comparativos han sido ajustados para asegurar la razonabilidad y comparabilidad de la información financiera presentada. De acuerdo con lo anterior la Sociedad tiene pendiente realizar las respectivas correcciones de impuestos en virtud de las diferencias presentadas en los ingresos de la vigencia y la respectiva presentación de los estados financieros dictaminados en el CGN. </w:t>
      </w:r>
    </w:p>
    <w:p w14:paraId="7776CC6E" w14:textId="77777777" w:rsidR="00E46C0A" w:rsidRPr="004971EC" w:rsidRDefault="00E46C0A" w:rsidP="0014585C">
      <w:pPr>
        <w:pStyle w:val="Textoindependiente"/>
        <w:ind w:right="-234"/>
        <w:jc w:val="both"/>
        <w:rPr>
          <w:rFonts w:ascii="Arial" w:hAnsi="Arial" w:cs="Arial"/>
          <w:sz w:val="24"/>
          <w:szCs w:val="24"/>
        </w:rPr>
      </w:pPr>
    </w:p>
    <w:p w14:paraId="238D81E9" w14:textId="77777777" w:rsidR="00E46C0A" w:rsidRPr="004971EC" w:rsidRDefault="00E46C0A" w:rsidP="0014585C">
      <w:pPr>
        <w:pStyle w:val="Textoindependiente"/>
        <w:numPr>
          <w:ilvl w:val="0"/>
          <w:numId w:val="90"/>
        </w:numPr>
        <w:ind w:right="-234"/>
        <w:jc w:val="both"/>
        <w:rPr>
          <w:rFonts w:ascii="Arial" w:hAnsi="Arial" w:cs="Arial"/>
          <w:sz w:val="24"/>
          <w:szCs w:val="24"/>
        </w:rPr>
      </w:pPr>
      <w:r w:rsidRPr="004971EC">
        <w:rPr>
          <w:rFonts w:ascii="Arial" w:hAnsi="Arial" w:cs="Arial"/>
          <w:sz w:val="24"/>
          <w:szCs w:val="24"/>
        </w:rPr>
        <w:t xml:space="preserve">En virtud del proyecto de reforma laboral implementado en Colombia y los artículos ya aprobados a diciembre de 2024, es imperativo destacar el impacto significativo que dicha reforma puede tener en los estados financieros de las empresas. Esta reforma, que introduce modificaciones sustanciales en la normativa laboral, puede afectar diversos aspectos contables y financieros, tales como la valoración de las provisiones para beneficios laborales, la contabilización de indemnizaciones y la estructura de costos laborales. La adaptación a estos cambios normativos requiere una revisión exhaustiva de las políticas contables y la implementación de prácticas adecuadas para garantizar que los estados financieros reflejen con precisión la situación económica y financiera de la entidad. </w:t>
      </w:r>
    </w:p>
    <w:p w14:paraId="06BD9B7E" w14:textId="77777777" w:rsidR="00E46C0A" w:rsidRPr="004971EC" w:rsidRDefault="00E46C0A" w:rsidP="0014585C">
      <w:pPr>
        <w:pStyle w:val="Prrafodelista"/>
        <w:ind w:right="-234"/>
        <w:rPr>
          <w:rFonts w:ascii="Arial" w:hAnsi="Arial" w:cs="Arial"/>
          <w:sz w:val="24"/>
          <w:szCs w:val="24"/>
        </w:rPr>
      </w:pPr>
    </w:p>
    <w:p w14:paraId="3302EE11" w14:textId="77777777" w:rsidR="00E46C0A" w:rsidRPr="004971EC" w:rsidRDefault="00E46C0A" w:rsidP="0014585C">
      <w:pPr>
        <w:pStyle w:val="Textoindependiente"/>
        <w:numPr>
          <w:ilvl w:val="0"/>
          <w:numId w:val="90"/>
        </w:numPr>
        <w:ind w:right="-234"/>
        <w:jc w:val="both"/>
        <w:rPr>
          <w:rFonts w:ascii="Arial" w:hAnsi="Arial" w:cs="Arial"/>
          <w:sz w:val="24"/>
          <w:szCs w:val="24"/>
        </w:rPr>
      </w:pPr>
      <w:r w:rsidRPr="004971EC">
        <w:rPr>
          <w:rFonts w:ascii="Arial" w:hAnsi="Arial" w:cs="Arial"/>
          <w:sz w:val="24"/>
          <w:szCs w:val="24"/>
        </w:rPr>
        <w:t>Mediante el Decreto 175 del 14 de febrero de 2025, el Gobierno Nacional estableció medidas tributarias para atender el estado de conmoción interior que afecta al país, específicamente en la región del Catatumbo, el área metropolitana de Cúcuta y los municipios de Río de Oro y González, en el departamento del Cesar. Entre estas medidas, se reactivó el impuesto de timbre para la suscripción de actos notariales y contratos de alto valor, entendidos como aquellos cuyo monto supere los 6.000 UVT ($298.794.000 para el año 2025). Esta disposición implica un nuevo tributo para las empresas en Colombia en la vigencia 2025, por lo que se recomienda a la administración validar el cumplimiento oportuno de las retenciones a título de timbre, de acuerdo con los lineamientos fiscales establecidos”.</w:t>
      </w:r>
    </w:p>
    <w:p w14:paraId="1273CBFC" w14:textId="77777777" w:rsidR="00E46C0A" w:rsidRDefault="00E46C0A" w:rsidP="00E46C0A">
      <w:pPr>
        <w:ind w:left="-284" w:right="49"/>
        <w:jc w:val="both"/>
        <w:rPr>
          <w:rFonts w:ascii="Arial" w:hAnsi="Arial" w:cs="Arial"/>
          <w:b/>
          <w:spacing w:val="-3"/>
          <w:sz w:val="24"/>
          <w:szCs w:val="24"/>
        </w:rPr>
      </w:pPr>
    </w:p>
    <w:p w14:paraId="7F6532CC" w14:textId="0B7E3395" w:rsidR="00E46C0A" w:rsidRDefault="00E46C0A" w:rsidP="00E46C0A">
      <w:pPr>
        <w:jc w:val="both"/>
        <w:rPr>
          <w:rFonts w:ascii="Arial" w:hAnsi="Arial" w:cs="Arial"/>
          <w:b/>
          <w:sz w:val="28"/>
          <w:szCs w:val="28"/>
          <w:lang w:val="es-MX"/>
        </w:rPr>
      </w:pPr>
      <w:bookmarkStart w:id="57" w:name="_Hlk199166833"/>
      <w:r w:rsidRPr="000F1709">
        <w:rPr>
          <w:rFonts w:ascii="Arial" w:hAnsi="Arial" w:cs="Arial"/>
          <w:b/>
          <w:sz w:val="28"/>
          <w:szCs w:val="28"/>
          <w:lang w:val="es-MX"/>
        </w:rPr>
        <w:t xml:space="preserve">110.- </w:t>
      </w:r>
      <w:r w:rsidRPr="000F1709">
        <w:rPr>
          <w:rFonts w:ascii="Arial" w:hAnsi="Arial" w:cs="Arial"/>
          <w:b/>
          <w:sz w:val="28"/>
          <w:szCs w:val="28"/>
        </w:rPr>
        <w:t>E.S.P GESTIÓN ENERGETICA S.A. - GENSA S.A</w:t>
      </w:r>
      <w:r w:rsidRPr="000F1709">
        <w:rPr>
          <w:rFonts w:ascii="Arial" w:hAnsi="Arial" w:cs="Arial"/>
          <w:b/>
          <w:sz w:val="28"/>
          <w:szCs w:val="28"/>
          <w:lang w:val="es-MX"/>
        </w:rPr>
        <w:t>.</w:t>
      </w:r>
    </w:p>
    <w:p w14:paraId="038D967A" w14:textId="77777777" w:rsidR="00146806" w:rsidRPr="000F1709" w:rsidRDefault="00146806" w:rsidP="00E46C0A">
      <w:pPr>
        <w:jc w:val="both"/>
        <w:rPr>
          <w:rFonts w:ascii="Arial" w:hAnsi="Arial" w:cs="Arial"/>
          <w:b/>
          <w:sz w:val="32"/>
          <w:szCs w:val="32"/>
        </w:rPr>
      </w:pPr>
    </w:p>
    <w:bookmarkEnd w:id="57"/>
    <w:p w14:paraId="685ABB69" w14:textId="77777777" w:rsidR="00E46C0A" w:rsidRPr="00F7587B" w:rsidRDefault="00E46C0A" w:rsidP="00E46C0A">
      <w:pPr>
        <w:pStyle w:val="Textoindependiente"/>
        <w:ind w:right="-50"/>
        <w:jc w:val="both"/>
        <w:rPr>
          <w:rFonts w:ascii="Arial" w:hAnsi="Arial" w:cs="Arial"/>
          <w:b/>
          <w:bCs/>
          <w:sz w:val="24"/>
          <w:szCs w:val="24"/>
        </w:rPr>
      </w:pPr>
      <w:r w:rsidRPr="00F7587B">
        <w:rPr>
          <w:rFonts w:ascii="Arial" w:hAnsi="Arial" w:cs="Arial"/>
          <w:b/>
          <w:bCs/>
          <w:sz w:val="24"/>
          <w:szCs w:val="24"/>
        </w:rPr>
        <w:t xml:space="preserve">- “Párrafo de Énfasis:  </w:t>
      </w:r>
    </w:p>
    <w:p w14:paraId="7BD49C5C" w14:textId="77777777" w:rsidR="00E46C0A" w:rsidRPr="00F7587B" w:rsidRDefault="00E46C0A" w:rsidP="00E46C0A">
      <w:pPr>
        <w:pStyle w:val="Textoindependiente"/>
        <w:ind w:right="-50"/>
        <w:jc w:val="both"/>
        <w:rPr>
          <w:rFonts w:ascii="Arial" w:hAnsi="Arial" w:cs="Arial"/>
          <w:b/>
          <w:bCs/>
          <w:sz w:val="24"/>
          <w:szCs w:val="24"/>
        </w:rPr>
      </w:pPr>
    </w:p>
    <w:p w14:paraId="267F60DF" w14:textId="77777777" w:rsidR="00E46C0A" w:rsidRPr="00F7587B" w:rsidRDefault="00E46C0A" w:rsidP="00E46C0A">
      <w:pPr>
        <w:pStyle w:val="Textoindependiente"/>
        <w:ind w:right="-50"/>
        <w:jc w:val="both"/>
        <w:rPr>
          <w:rFonts w:ascii="Arial" w:hAnsi="Arial" w:cs="Arial"/>
          <w:sz w:val="24"/>
          <w:szCs w:val="24"/>
        </w:rPr>
      </w:pPr>
      <w:r w:rsidRPr="00F7587B">
        <w:rPr>
          <w:rFonts w:ascii="Arial" w:hAnsi="Arial" w:cs="Arial"/>
          <w:sz w:val="24"/>
          <w:szCs w:val="24"/>
        </w:rPr>
        <w:t xml:space="preserve">Sin calificar mi opinión, llamo la atención sobre el siguiente aspecto. </w:t>
      </w:r>
    </w:p>
    <w:p w14:paraId="7FB410C4" w14:textId="77777777" w:rsidR="00E46C0A" w:rsidRPr="00F7587B" w:rsidRDefault="00E46C0A" w:rsidP="00146806">
      <w:pPr>
        <w:pStyle w:val="Textoindependiente"/>
        <w:ind w:right="-376"/>
        <w:jc w:val="both"/>
        <w:rPr>
          <w:rFonts w:ascii="Arial" w:hAnsi="Arial" w:cs="Arial"/>
          <w:sz w:val="24"/>
          <w:szCs w:val="24"/>
        </w:rPr>
      </w:pPr>
    </w:p>
    <w:p w14:paraId="39F43387" w14:textId="77777777" w:rsidR="00E46C0A" w:rsidRPr="00F7587B" w:rsidRDefault="00E46C0A" w:rsidP="0014585C">
      <w:pPr>
        <w:pStyle w:val="Textoindependiente"/>
        <w:numPr>
          <w:ilvl w:val="0"/>
          <w:numId w:val="91"/>
        </w:numPr>
        <w:ind w:right="-234"/>
        <w:jc w:val="both"/>
        <w:rPr>
          <w:rFonts w:ascii="Arial" w:hAnsi="Arial" w:cs="Arial"/>
          <w:sz w:val="24"/>
          <w:szCs w:val="24"/>
        </w:rPr>
      </w:pPr>
      <w:r w:rsidRPr="00F7587B">
        <w:rPr>
          <w:rFonts w:ascii="Arial" w:hAnsi="Arial" w:cs="Arial"/>
          <w:sz w:val="24"/>
          <w:szCs w:val="24"/>
        </w:rPr>
        <w:t xml:space="preserve">Llamó la atención sobre la nota de revelación No 2.4 denominada “Viabilidad del Negocio en Marcha., la cual indica lo siguiente “Gensa preparó los estados financieros del año 2024 sobre la hipótesis de negocio en marcha, arrojando una pérdida antes de impuestos por valor de $137.769.866.004 y una pérdida del ejercicio de $99.213.908.090, después del impuesto diferido y el ORI en cuantía de $38.555.957.954. </w:t>
      </w:r>
    </w:p>
    <w:p w14:paraId="6869937D" w14:textId="77777777" w:rsidR="00E46C0A" w:rsidRPr="00F7587B" w:rsidRDefault="00E46C0A" w:rsidP="0014585C">
      <w:pPr>
        <w:pStyle w:val="Textoindependiente"/>
        <w:ind w:left="360" w:right="-234"/>
        <w:jc w:val="both"/>
        <w:rPr>
          <w:rFonts w:ascii="Arial" w:hAnsi="Arial" w:cs="Arial"/>
          <w:b/>
          <w:bCs/>
          <w:sz w:val="24"/>
          <w:szCs w:val="24"/>
        </w:rPr>
      </w:pPr>
    </w:p>
    <w:p w14:paraId="354C0D42" w14:textId="77777777" w:rsidR="00E46C0A" w:rsidRPr="00F7587B" w:rsidRDefault="00E46C0A" w:rsidP="0014585C">
      <w:pPr>
        <w:pStyle w:val="Textoindependiente"/>
        <w:ind w:left="360" w:right="-234"/>
        <w:jc w:val="both"/>
        <w:rPr>
          <w:rFonts w:ascii="Arial" w:hAnsi="Arial" w:cs="Arial"/>
          <w:sz w:val="24"/>
          <w:szCs w:val="24"/>
        </w:rPr>
      </w:pPr>
      <w:r w:rsidRPr="00F7587B">
        <w:rPr>
          <w:rFonts w:ascii="Arial" w:hAnsi="Arial" w:cs="Arial"/>
          <w:sz w:val="24"/>
          <w:szCs w:val="24"/>
        </w:rPr>
        <w:t xml:space="preserve">Adicionalmente se presentaron pérdidas acumuladas por un valor de $10.573.294.413, producto del valor neto entre el impacto positivo de transición a normas internacionales por un valor de $215.229.303.276 y pérdidas acumuladas de ejercicios anteriores por $225.802.597.688. </w:t>
      </w:r>
    </w:p>
    <w:p w14:paraId="41A57791" w14:textId="77777777" w:rsidR="00E46C0A" w:rsidRPr="00F7587B" w:rsidRDefault="00E46C0A" w:rsidP="0014585C">
      <w:pPr>
        <w:pStyle w:val="Textoindependiente"/>
        <w:ind w:left="360" w:right="-234"/>
        <w:jc w:val="both"/>
        <w:rPr>
          <w:rFonts w:ascii="Arial" w:hAnsi="Arial" w:cs="Arial"/>
          <w:sz w:val="24"/>
          <w:szCs w:val="24"/>
        </w:rPr>
      </w:pPr>
    </w:p>
    <w:p w14:paraId="03E8C04F" w14:textId="77777777" w:rsidR="00E46C0A" w:rsidRPr="00F7587B" w:rsidRDefault="00E46C0A" w:rsidP="0014585C">
      <w:pPr>
        <w:pStyle w:val="Textoindependiente"/>
        <w:ind w:left="360" w:right="-234"/>
        <w:jc w:val="both"/>
        <w:rPr>
          <w:rFonts w:ascii="Arial" w:hAnsi="Arial" w:cs="Arial"/>
          <w:sz w:val="24"/>
          <w:szCs w:val="24"/>
        </w:rPr>
      </w:pPr>
      <w:r w:rsidRPr="00F7587B">
        <w:rPr>
          <w:rFonts w:ascii="Arial" w:hAnsi="Arial" w:cs="Arial"/>
          <w:sz w:val="24"/>
          <w:szCs w:val="24"/>
        </w:rPr>
        <w:t xml:space="preserve">De acuerdo con la actualización de proyecciones financieras, se espera en los próximos 5 años generar unas utilidades superiores a los $107.000.000.000, las cuales permitirán compensar gran parte de las pérdidas acumuladas. Dichas proyecciones contemplan situaciones tales como: Precios de carbón estables, operación comercial en condiciones meteorológicas normales, y unos incrementos en costos de producción en línea con los ingresos operacionales. Todo lo anterior permitirá a la empresa minimizar los riesgos financieros existentes y desarrollar su actividad bajo la hipótesis del negocio en marcha.” </w:t>
      </w:r>
    </w:p>
    <w:p w14:paraId="132646E2" w14:textId="77777777" w:rsidR="00E46C0A" w:rsidRPr="00F7587B" w:rsidRDefault="00E46C0A" w:rsidP="0014585C">
      <w:pPr>
        <w:pStyle w:val="Textoindependiente"/>
        <w:ind w:left="360" w:right="-234"/>
        <w:jc w:val="both"/>
        <w:rPr>
          <w:rFonts w:ascii="Arial" w:hAnsi="Arial" w:cs="Arial"/>
          <w:sz w:val="24"/>
          <w:szCs w:val="24"/>
        </w:rPr>
      </w:pPr>
    </w:p>
    <w:p w14:paraId="3E79F7B6" w14:textId="77777777" w:rsidR="00E46C0A" w:rsidRPr="00F7587B" w:rsidRDefault="00E46C0A" w:rsidP="0014585C">
      <w:pPr>
        <w:pStyle w:val="Textoindependiente"/>
        <w:ind w:left="360" w:right="-234"/>
        <w:jc w:val="both"/>
        <w:rPr>
          <w:rFonts w:ascii="Arial" w:hAnsi="Arial" w:cs="Arial"/>
          <w:sz w:val="24"/>
          <w:szCs w:val="24"/>
        </w:rPr>
      </w:pPr>
      <w:r w:rsidRPr="00F7587B">
        <w:rPr>
          <w:rFonts w:ascii="Arial" w:hAnsi="Arial" w:cs="Arial"/>
          <w:sz w:val="24"/>
          <w:szCs w:val="24"/>
        </w:rPr>
        <w:t xml:space="preserve">En virtud de lo expuesto, esta revisoría considera esencial llevar a cabo un monitoreo continuo del cumplimiento de las proyecciones financieras, especialmente dada la magnitud de las pérdidas registradas durante los períodos 2023-2024. Este seguimiento debe enfocarse en ajustar las proyecciones a la realidad económica de Gensa S.A., reconociendo que los factores utilizados para su elaboración pueden variar y no están bajo el control directo de la compañía. Mi opinión no ha sido modificada por este aspecto. </w:t>
      </w:r>
    </w:p>
    <w:p w14:paraId="6820D004" w14:textId="77777777" w:rsidR="00E46C0A" w:rsidRPr="00F7587B" w:rsidRDefault="00E46C0A" w:rsidP="0014585C">
      <w:pPr>
        <w:pStyle w:val="Textoindependiente"/>
        <w:ind w:left="360" w:right="-234"/>
        <w:jc w:val="both"/>
        <w:rPr>
          <w:rFonts w:ascii="Arial" w:hAnsi="Arial" w:cs="Arial"/>
          <w:sz w:val="24"/>
          <w:szCs w:val="24"/>
        </w:rPr>
      </w:pPr>
    </w:p>
    <w:p w14:paraId="4DD90D8F" w14:textId="77777777" w:rsidR="00E46C0A" w:rsidRPr="00F7587B" w:rsidRDefault="00E46C0A" w:rsidP="0014585C">
      <w:pPr>
        <w:pStyle w:val="Textoindependiente"/>
        <w:numPr>
          <w:ilvl w:val="0"/>
          <w:numId w:val="91"/>
        </w:numPr>
        <w:ind w:right="-234"/>
        <w:jc w:val="both"/>
        <w:rPr>
          <w:rFonts w:ascii="Arial" w:hAnsi="Arial" w:cs="Arial"/>
          <w:sz w:val="24"/>
          <w:szCs w:val="24"/>
        </w:rPr>
      </w:pPr>
      <w:r w:rsidRPr="00F7587B">
        <w:rPr>
          <w:rFonts w:ascii="Arial" w:hAnsi="Arial" w:cs="Arial"/>
          <w:sz w:val="24"/>
          <w:szCs w:val="24"/>
        </w:rPr>
        <w:t xml:space="preserve">Llamó la atención sobre la nota de revelación No 7.6 denominada, “Riesgo de Liquidez: La cual expresa lo siguiente “Del valor total de la cartera deteriorada por valor de $64.100.615.412, la cartera correspondiente a la operación de ZNI y Frontera comercial Caucheras Riosucio asciende a un valor de $57.418.225.630, situación que ha venido afectando el flujo de caja de la empresa, debiendo recurrir a créditos lo que ha incrementado los costos financieros, igualmente dentro de la cartera no deteriorada se tiene un valor de $52.776.396.733 de ZNI que pese a su antigüedad no se considera riesgo en su recaudo ya que es cartera cancelada con recursos del Ministerio de Minas y Energía vía subsidios a los prestadores locales los cuales son recibidos por Gensa a través de endoso, situación que también nos afecta financieramente dada la necesidad de tener continuidad en la prestación del servicio teniendo que acudir a recursos de crédito y recursos propios para atender la operación” </w:t>
      </w:r>
    </w:p>
    <w:p w14:paraId="1AE9F434" w14:textId="77777777" w:rsidR="00E46C0A" w:rsidRPr="00F7587B" w:rsidRDefault="00E46C0A" w:rsidP="00E46C0A">
      <w:pPr>
        <w:pStyle w:val="Textoindependiente"/>
        <w:ind w:right="-50"/>
        <w:jc w:val="both"/>
        <w:rPr>
          <w:rFonts w:ascii="Arial" w:hAnsi="Arial" w:cs="Arial"/>
          <w:b/>
          <w:bCs/>
          <w:sz w:val="24"/>
          <w:szCs w:val="24"/>
        </w:rPr>
      </w:pPr>
    </w:p>
    <w:p w14:paraId="1C4A2CC9" w14:textId="77777777" w:rsidR="00E46C0A" w:rsidRPr="00F7587B" w:rsidRDefault="00E46C0A" w:rsidP="0014585C">
      <w:pPr>
        <w:pStyle w:val="Textoindependiente"/>
        <w:ind w:right="-234"/>
        <w:jc w:val="both"/>
        <w:rPr>
          <w:rFonts w:ascii="Arial" w:hAnsi="Arial" w:cs="Arial"/>
          <w:sz w:val="24"/>
          <w:szCs w:val="24"/>
        </w:rPr>
      </w:pPr>
      <w:r w:rsidRPr="00F7587B">
        <w:rPr>
          <w:rFonts w:ascii="Arial" w:hAnsi="Arial" w:cs="Arial"/>
          <w:sz w:val="24"/>
          <w:szCs w:val="24"/>
        </w:rPr>
        <w:t xml:space="preserve">“No se tiene estipulado el cobro de intereses moratorios, para esta facturación, dada la naturaleza de los recursos” </w:t>
      </w:r>
    </w:p>
    <w:p w14:paraId="64A4CFD8" w14:textId="77777777" w:rsidR="00E46C0A" w:rsidRPr="00F7587B" w:rsidRDefault="00E46C0A" w:rsidP="0014585C">
      <w:pPr>
        <w:pStyle w:val="Textoindependiente"/>
        <w:ind w:right="-234"/>
        <w:jc w:val="both"/>
        <w:rPr>
          <w:rFonts w:ascii="Arial" w:hAnsi="Arial" w:cs="Arial"/>
          <w:sz w:val="24"/>
          <w:szCs w:val="24"/>
        </w:rPr>
      </w:pPr>
    </w:p>
    <w:p w14:paraId="21C66D7C" w14:textId="77777777" w:rsidR="00E46C0A" w:rsidRPr="00F7587B" w:rsidRDefault="00E46C0A" w:rsidP="0014585C">
      <w:pPr>
        <w:pStyle w:val="Textoindependiente"/>
        <w:ind w:right="-234"/>
        <w:jc w:val="both"/>
        <w:rPr>
          <w:rFonts w:ascii="Arial" w:hAnsi="Arial" w:cs="Arial"/>
          <w:sz w:val="24"/>
          <w:szCs w:val="24"/>
        </w:rPr>
      </w:pPr>
      <w:r w:rsidRPr="00F7587B">
        <w:rPr>
          <w:rFonts w:ascii="Arial" w:hAnsi="Arial" w:cs="Arial"/>
          <w:sz w:val="24"/>
          <w:szCs w:val="24"/>
        </w:rPr>
        <w:t>Estas situaciones han venido afectando el flujo de caja de la entidad, por cuanto para cubrir la operación se debe recurrir a créditos, lo que ha incrementado los costos financieros. Además, aunque la cartera de ZNI no se encuentra deteriorada por la naturaleza de la misma, su antigüedad genera un impacto financiero negativo. Mi opinión no ha sido modificada por este aspecto.</w:t>
      </w:r>
    </w:p>
    <w:p w14:paraId="5462E39F" w14:textId="77777777" w:rsidR="00E46C0A" w:rsidRPr="00F7587B" w:rsidRDefault="00E46C0A" w:rsidP="0014585C">
      <w:pPr>
        <w:pStyle w:val="Textoindependiente"/>
        <w:ind w:right="-234"/>
        <w:jc w:val="both"/>
        <w:rPr>
          <w:rFonts w:ascii="Arial" w:hAnsi="Arial" w:cs="Arial"/>
          <w:sz w:val="24"/>
          <w:szCs w:val="24"/>
        </w:rPr>
      </w:pPr>
    </w:p>
    <w:p w14:paraId="70C31FBA" w14:textId="77777777" w:rsidR="00E46C0A" w:rsidRPr="00F7587B" w:rsidRDefault="00E46C0A" w:rsidP="0014585C">
      <w:pPr>
        <w:pStyle w:val="Textoindependiente"/>
        <w:numPr>
          <w:ilvl w:val="0"/>
          <w:numId w:val="91"/>
        </w:numPr>
        <w:ind w:right="-234"/>
        <w:jc w:val="both"/>
        <w:rPr>
          <w:rFonts w:ascii="Arial" w:hAnsi="Arial" w:cs="Arial"/>
          <w:sz w:val="24"/>
          <w:szCs w:val="24"/>
        </w:rPr>
      </w:pPr>
      <w:r w:rsidRPr="00F7587B">
        <w:rPr>
          <w:rFonts w:ascii="Arial" w:hAnsi="Arial" w:cs="Arial"/>
          <w:sz w:val="24"/>
          <w:szCs w:val="24"/>
        </w:rPr>
        <w:t xml:space="preserve">Llamó la atención la nota 20. Préstamos por pagar, la cual indica lo siguiente “Las siguientes cuentas representan el nivel de endeudamiento con el sector financiero, en el corto plazo y largo plazo, compuesto por el saldo de capital y el saldo de los intereses causados al 31 de diciembre 2024”: </w:t>
      </w:r>
    </w:p>
    <w:p w14:paraId="421718F8" w14:textId="77777777" w:rsidR="00E46C0A" w:rsidRDefault="00E46C0A" w:rsidP="00E46C0A">
      <w:pPr>
        <w:pStyle w:val="Textoindependiente"/>
        <w:ind w:right="-50"/>
        <w:jc w:val="center"/>
        <w:rPr>
          <w:b/>
          <w:bCs/>
        </w:rPr>
      </w:pPr>
      <w:r w:rsidRPr="004C25B5">
        <w:rPr>
          <w:b/>
          <w:bCs/>
          <w:noProof/>
          <w:lang w:val="es-CO" w:eastAsia="es-CO"/>
        </w:rPr>
        <w:drawing>
          <wp:inline distT="0" distB="0" distL="0" distR="0" wp14:anchorId="3375E161" wp14:editId="4C541C41">
            <wp:extent cx="5849166" cy="619211"/>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49166" cy="619211"/>
                    </a:xfrm>
                    <a:prstGeom prst="rect">
                      <a:avLst/>
                    </a:prstGeom>
                  </pic:spPr>
                </pic:pic>
              </a:graphicData>
            </a:graphic>
          </wp:inline>
        </w:drawing>
      </w:r>
    </w:p>
    <w:p w14:paraId="0B25C54D" w14:textId="77777777" w:rsidR="00E46C0A" w:rsidRDefault="00E46C0A" w:rsidP="00E46C0A">
      <w:pPr>
        <w:pStyle w:val="Textoindependiente"/>
        <w:ind w:right="-50"/>
        <w:jc w:val="both"/>
        <w:rPr>
          <w:b/>
          <w:bCs/>
        </w:rPr>
      </w:pPr>
    </w:p>
    <w:p w14:paraId="430EE155" w14:textId="77777777" w:rsidR="00E46C0A" w:rsidRPr="00F7587B" w:rsidRDefault="00E46C0A" w:rsidP="0014585C">
      <w:pPr>
        <w:pStyle w:val="Textoindependiente"/>
        <w:ind w:right="-234"/>
        <w:jc w:val="both"/>
        <w:rPr>
          <w:rFonts w:ascii="Arial" w:hAnsi="Arial" w:cs="Arial"/>
          <w:sz w:val="24"/>
          <w:szCs w:val="24"/>
        </w:rPr>
      </w:pPr>
      <w:r w:rsidRPr="00F7587B">
        <w:rPr>
          <w:rFonts w:ascii="Arial" w:hAnsi="Arial" w:cs="Arial"/>
          <w:sz w:val="24"/>
          <w:szCs w:val="24"/>
        </w:rPr>
        <w:t xml:space="preserve">“Los niveles de endeudamiento de corto plazo se deben hacer para atender los faltantes transitorios de caja y poder así atender la operación de Termopaipa y de las ZNI” </w:t>
      </w:r>
    </w:p>
    <w:p w14:paraId="2CE742DC" w14:textId="77777777" w:rsidR="00E46C0A" w:rsidRPr="00F7587B" w:rsidRDefault="00E46C0A" w:rsidP="00146806">
      <w:pPr>
        <w:pStyle w:val="Textoindependiente"/>
        <w:ind w:right="-376"/>
        <w:jc w:val="both"/>
        <w:rPr>
          <w:rFonts w:ascii="Arial" w:hAnsi="Arial" w:cs="Arial"/>
          <w:sz w:val="24"/>
          <w:szCs w:val="24"/>
        </w:rPr>
      </w:pPr>
    </w:p>
    <w:p w14:paraId="3EFCC89D" w14:textId="77777777" w:rsidR="00E46C0A" w:rsidRPr="00F7587B" w:rsidRDefault="00E46C0A" w:rsidP="0014585C">
      <w:pPr>
        <w:pStyle w:val="Textoindependiente"/>
        <w:ind w:right="-234"/>
        <w:jc w:val="both"/>
        <w:rPr>
          <w:rFonts w:ascii="Arial" w:hAnsi="Arial" w:cs="Arial"/>
          <w:sz w:val="24"/>
          <w:szCs w:val="24"/>
        </w:rPr>
      </w:pPr>
      <w:r w:rsidRPr="00F7587B">
        <w:rPr>
          <w:rFonts w:ascii="Arial" w:hAnsi="Arial" w:cs="Arial"/>
          <w:sz w:val="24"/>
          <w:szCs w:val="24"/>
        </w:rPr>
        <w:t xml:space="preserve">“Es importante anotar que en Bancolombia se causaron intereses de mora por valor de $1.025.512.003” </w:t>
      </w:r>
    </w:p>
    <w:p w14:paraId="02A90EF3" w14:textId="77777777" w:rsidR="00E46C0A" w:rsidRPr="00F7587B" w:rsidRDefault="00E46C0A" w:rsidP="0014585C">
      <w:pPr>
        <w:pStyle w:val="Textoindependiente"/>
        <w:ind w:right="-234"/>
        <w:jc w:val="both"/>
        <w:rPr>
          <w:rFonts w:ascii="Arial" w:hAnsi="Arial" w:cs="Arial"/>
          <w:sz w:val="24"/>
          <w:szCs w:val="24"/>
        </w:rPr>
      </w:pPr>
    </w:p>
    <w:p w14:paraId="2AAF2093" w14:textId="77777777" w:rsidR="00E46C0A" w:rsidRPr="00F7587B" w:rsidRDefault="00E46C0A" w:rsidP="0014585C">
      <w:pPr>
        <w:pStyle w:val="Textoindependiente"/>
        <w:ind w:right="-234"/>
        <w:jc w:val="both"/>
        <w:rPr>
          <w:rFonts w:ascii="Arial" w:hAnsi="Arial" w:cs="Arial"/>
          <w:sz w:val="24"/>
          <w:szCs w:val="24"/>
        </w:rPr>
      </w:pPr>
      <w:r w:rsidRPr="00F7587B">
        <w:rPr>
          <w:rFonts w:ascii="Arial" w:hAnsi="Arial" w:cs="Arial"/>
          <w:sz w:val="24"/>
          <w:szCs w:val="24"/>
        </w:rPr>
        <w:t xml:space="preserve">El nivel de endeudamiento muestra incrementos significativos de un periodo a otro, y se han generado intereses por mora, lo que influye en la variación observada, debido a la falta de liquidez para cumplir oportunamente con dichos compromisos. Este aspecto no ha modificado mi opinión. </w:t>
      </w:r>
    </w:p>
    <w:p w14:paraId="1B8165E6" w14:textId="77777777" w:rsidR="00E46C0A" w:rsidRPr="00F7587B" w:rsidRDefault="00E46C0A" w:rsidP="0014585C">
      <w:pPr>
        <w:pStyle w:val="Textoindependiente"/>
        <w:ind w:right="-234"/>
        <w:jc w:val="both"/>
        <w:rPr>
          <w:rFonts w:ascii="Arial" w:hAnsi="Arial" w:cs="Arial"/>
          <w:sz w:val="24"/>
          <w:szCs w:val="24"/>
        </w:rPr>
      </w:pPr>
    </w:p>
    <w:p w14:paraId="4E2EDF67" w14:textId="77777777" w:rsidR="00E46C0A" w:rsidRPr="00F7587B" w:rsidRDefault="00E46C0A" w:rsidP="0014585C">
      <w:pPr>
        <w:pStyle w:val="Textoindependiente"/>
        <w:numPr>
          <w:ilvl w:val="0"/>
          <w:numId w:val="91"/>
        </w:numPr>
        <w:ind w:right="-234"/>
        <w:jc w:val="both"/>
        <w:rPr>
          <w:rFonts w:ascii="Arial" w:hAnsi="Arial" w:cs="Arial"/>
          <w:sz w:val="24"/>
          <w:szCs w:val="24"/>
        </w:rPr>
      </w:pPr>
      <w:r w:rsidRPr="00F7587B">
        <w:rPr>
          <w:rFonts w:ascii="Arial" w:hAnsi="Arial" w:cs="Arial"/>
          <w:sz w:val="24"/>
          <w:szCs w:val="24"/>
        </w:rPr>
        <w:t xml:space="preserve">Así mismo, llamó la atención sobre la nota 21. denominada Cuentas por Pagar la cual indica: “El incremento en las cuentas por pagar en el 2024 de las cuentas por pagar con respecto al 2023 por valor de $40.507.606.719 se debe principalmente a que en las vigencias anteriores hasta el 2022 se pagaban en diciembre la totalidad de las cuentas a contratistas y proveedores, como estrategia para no afectar el presupuesto de la vigencia siguiente. En los años 2024 y 2023 dicha estrategia no se pudo aplicar con las cuentas por pagar anotadas, dada la falta de liquidez generada por los altos sobrecostos en la operación de Termopaipa ante el fenómeno de El Niño, especialmente el mayor consumo del carbón y los altos precios en bolsa, aunado esto, con la no disponibilidad de manera oportuna de la transferencia por parte de la Nación de los recursos por subsidios de las ZNI” </w:t>
      </w:r>
    </w:p>
    <w:p w14:paraId="773D4AC1" w14:textId="77777777" w:rsidR="00E46C0A" w:rsidRPr="00F7587B" w:rsidRDefault="00E46C0A" w:rsidP="0014585C">
      <w:pPr>
        <w:pStyle w:val="Textoindependiente"/>
        <w:ind w:right="-234"/>
        <w:jc w:val="both"/>
        <w:rPr>
          <w:rFonts w:ascii="Arial" w:hAnsi="Arial" w:cs="Arial"/>
          <w:b/>
          <w:bCs/>
          <w:sz w:val="24"/>
          <w:szCs w:val="24"/>
        </w:rPr>
      </w:pPr>
    </w:p>
    <w:p w14:paraId="0569D43D" w14:textId="77777777" w:rsidR="00E46C0A" w:rsidRPr="00F7587B" w:rsidRDefault="00E46C0A" w:rsidP="0014585C">
      <w:pPr>
        <w:pStyle w:val="Textoindependiente"/>
        <w:ind w:right="-234"/>
        <w:jc w:val="both"/>
        <w:rPr>
          <w:rFonts w:ascii="Arial" w:hAnsi="Arial" w:cs="Arial"/>
          <w:b/>
          <w:bCs/>
          <w:sz w:val="24"/>
          <w:szCs w:val="24"/>
        </w:rPr>
      </w:pPr>
      <w:r w:rsidRPr="00F7587B">
        <w:rPr>
          <w:rFonts w:ascii="Arial" w:hAnsi="Arial" w:cs="Arial"/>
          <w:sz w:val="24"/>
          <w:szCs w:val="24"/>
        </w:rPr>
        <w:t>Aunado a lo anterior acerca de la falta de liquidez para cubrir los préstamos con la banca, también se vieron afectados los compromisos con proveedores durante la vigencia, evidenciando el aumento de los mismos y la baja capacidad para cubrir oportunamente las necesidades de pago. Este aspecto no ha modificado mi opinión”.</w:t>
      </w:r>
    </w:p>
    <w:p w14:paraId="47FFE108" w14:textId="77777777" w:rsidR="00E46C0A" w:rsidRPr="00F7587B" w:rsidRDefault="00E46C0A" w:rsidP="00E46C0A">
      <w:pPr>
        <w:pStyle w:val="Textoindependiente"/>
        <w:ind w:right="-50"/>
        <w:jc w:val="both"/>
        <w:rPr>
          <w:rFonts w:ascii="Arial" w:hAnsi="Arial" w:cs="Arial"/>
          <w:b/>
          <w:bCs/>
          <w:sz w:val="24"/>
          <w:szCs w:val="24"/>
        </w:rPr>
      </w:pPr>
    </w:p>
    <w:p w14:paraId="3E68C493" w14:textId="77777777" w:rsidR="00E46C0A" w:rsidRPr="007169F9" w:rsidRDefault="00E46C0A" w:rsidP="00E46C0A">
      <w:pPr>
        <w:jc w:val="both"/>
        <w:rPr>
          <w:rFonts w:ascii="Arial" w:hAnsi="Arial" w:cs="Arial"/>
          <w:b/>
          <w:sz w:val="28"/>
          <w:szCs w:val="28"/>
          <w:lang w:val="es-MX"/>
        </w:rPr>
      </w:pPr>
      <w:r w:rsidRPr="007169F9">
        <w:rPr>
          <w:rFonts w:ascii="Arial" w:hAnsi="Arial" w:cs="Arial"/>
          <w:b/>
          <w:sz w:val="28"/>
          <w:szCs w:val="28"/>
          <w:lang w:val="es-MX"/>
        </w:rPr>
        <w:t xml:space="preserve">111.- FINANCIERA DE DESARROLLO NACIONAL – FDN. </w:t>
      </w:r>
    </w:p>
    <w:p w14:paraId="544A1EFB" w14:textId="77777777" w:rsidR="00E46C0A" w:rsidRDefault="00E46C0A" w:rsidP="00E46C0A">
      <w:pPr>
        <w:ind w:left="-284" w:right="49"/>
        <w:jc w:val="both"/>
        <w:rPr>
          <w:rFonts w:ascii="Arial" w:hAnsi="Arial" w:cs="Arial"/>
          <w:b/>
          <w:spacing w:val="-3"/>
          <w:sz w:val="24"/>
          <w:szCs w:val="24"/>
          <w:lang w:val="es-MX"/>
        </w:rPr>
      </w:pPr>
    </w:p>
    <w:p w14:paraId="3A936C62" w14:textId="77777777" w:rsidR="00E46C0A" w:rsidRPr="00066F89" w:rsidRDefault="00E46C0A" w:rsidP="00E46C0A">
      <w:pPr>
        <w:pStyle w:val="Textoindependiente"/>
        <w:ind w:right="-50"/>
        <w:jc w:val="both"/>
        <w:rPr>
          <w:rFonts w:ascii="Arial" w:hAnsi="Arial" w:cs="Arial"/>
          <w:b/>
          <w:bCs/>
          <w:noProof/>
          <w:sz w:val="24"/>
          <w:szCs w:val="24"/>
        </w:rPr>
      </w:pPr>
      <w:r w:rsidRPr="00066F89">
        <w:rPr>
          <w:rFonts w:ascii="Arial" w:hAnsi="Arial" w:cs="Arial"/>
          <w:b/>
          <w:bCs/>
          <w:noProof/>
          <w:sz w:val="24"/>
          <w:szCs w:val="24"/>
        </w:rPr>
        <w:t>“Otros requerimientos Legales y Reglamentarios.</w:t>
      </w:r>
    </w:p>
    <w:p w14:paraId="44B1C657" w14:textId="77777777" w:rsidR="00E46C0A" w:rsidRPr="00066F89" w:rsidRDefault="00E46C0A" w:rsidP="00E46C0A">
      <w:pPr>
        <w:pStyle w:val="Textoindependiente"/>
        <w:ind w:right="-50"/>
        <w:jc w:val="both"/>
        <w:rPr>
          <w:rFonts w:ascii="Arial" w:hAnsi="Arial" w:cs="Arial"/>
          <w:noProof/>
          <w:sz w:val="24"/>
          <w:szCs w:val="24"/>
        </w:rPr>
      </w:pPr>
    </w:p>
    <w:p w14:paraId="7312D02B" w14:textId="77777777" w:rsidR="00E46C0A" w:rsidRPr="00066F89" w:rsidRDefault="00E46C0A" w:rsidP="0014585C">
      <w:pPr>
        <w:pStyle w:val="Textoindependiente"/>
        <w:numPr>
          <w:ilvl w:val="0"/>
          <w:numId w:val="92"/>
        </w:numPr>
        <w:ind w:right="-234" w:hanging="720"/>
        <w:jc w:val="both"/>
        <w:rPr>
          <w:rFonts w:ascii="Arial" w:hAnsi="Arial" w:cs="Arial"/>
          <w:noProof/>
          <w:sz w:val="24"/>
          <w:szCs w:val="24"/>
        </w:rPr>
      </w:pPr>
      <w:r w:rsidRPr="00066F89">
        <w:rPr>
          <w:rFonts w:ascii="Arial" w:hAnsi="Arial" w:cs="Arial"/>
          <w:noProof/>
          <w:sz w:val="24"/>
          <w:szCs w:val="24"/>
        </w:rPr>
        <w:t>Efectuar seguimiento a mis recomendaciones sobre control interno y otros asuntos de las cuales, según mi criterio profesional, a la fecha del presente informe se han implementado en un 56% y el 44 % se encuentran en proceso de implementación”.</w:t>
      </w:r>
    </w:p>
    <w:p w14:paraId="33C8F649" w14:textId="77777777" w:rsidR="00E46C0A" w:rsidRDefault="00E46C0A" w:rsidP="0014585C">
      <w:pPr>
        <w:pStyle w:val="Textoindependiente"/>
        <w:ind w:right="-234"/>
        <w:jc w:val="both"/>
        <w:rPr>
          <w:rFonts w:ascii="Arial" w:hAnsi="Arial" w:cs="Arial"/>
          <w:noProof/>
          <w:sz w:val="24"/>
          <w:szCs w:val="24"/>
        </w:rPr>
      </w:pPr>
    </w:p>
    <w:p w14:paraId="3F9D2151" w14:textId="77777777" w:rsidR="00E46C0A" w:rsidRPr="008D40EA" w:rsidRDefault="00E46C0A" w:rsidP="0014585C">
      <w:pPr>
        <w:pStyle w:val="Textoindependiente"/>
        <w:ind w:right="-234"/>
        <w:jc w:val="both"/>
        <w:rPr>
          <w:rFonts w:ascii="Arial" w:hAnsi="Arial" w:cs="Arial"/>
          <w:noProof/>
          <w:sz w:val="28"/>
          <w:szCs w:val="28"/>
        </w:rPr>
      </w:pPr>
      <w:r w:rsidRPr="008D40EA">
        <w:rPr>
          <w:rFonts w:ascii="Arial" w:hAnsi="Arial" w:cs="Arial"/>
          <w:b/>
          <w:sz w:val="28"/>
          <w:szCs w:val="28"/>
          <w:lang w:val="es-MX"/>
        </w:rPr>
        <w:t>118.- CORPORACIÓN PARA EL DESARROLLO SOSTENIBLES DEL ARCHIPIELAGO DE SAN ANDRÉS, PROVIDENCIA Y SANTA CATALINA - CORALINA.</w:t>
      </w:r>
    </w:p>
    <w:p w14:paraId="0A13EF41" w14:textId="77777777" w:rsidR="00E46C0A" w:rsidRDefault="00E46C0A" w:rsidP="0014585C">
      <w:pPr>
        <w:ind w:left="-284" w:right="-234"/>
        <w:jc w:val="both"/>
        <w:rPr>
          <w:rFonts w:ascii="Arial" w:hAnsi="Arial" w:cs="Arial"/>
          <w:b/>
          <w:spacing w:val="-3"/>
          <w:sz w:val="24"/>
          <w:szCs w:val="24"/>
        </w:rPr>
      </w:pPr>
    </w:p>
    <w:p w14:paraId="39CE4763" w14:textId="77777777" w:rsidR="00E46C0A" w:rsidRPr="008D40EA" w:rsidRDefault="00E46C0A" w:rsidP="0014585C">
      <w:pPr>
        <w:pStyle w:val="Textoindependiente"/>
        <w:ind w:right="-234"/>
        <w:jc w:val="both"/>
        <w:rPr>
          <w:rFonts w:ascii="Arial" w:hAnsi="Arial" w:cs="Arial"/>
          <w:sz w:val="24"/>
          <w:szCs w:val="24"/>
        </w:rPr>
      </w:pPr>
      <w:r>
        <w:rPr>
          <w:b/>
          <w:bCs/>
        </w:rPr>
        <w:lastRenderedPageBreak/>
        <w:t>“</w:t>
      </w:r>
      <w:r w:rsidRPr="008D40EA">
        <w:rPr>
          <w:rFonts w:ascii="Arial" w:hAnsi="Arial" w:cs="Arial"/>
          <w:b/>
          <w:bCs/>
          <w:sz w:val="24"/>
          <w:szCs w:val="24"/>
        </w:rPr>
        <w:t xml:space="preserve">Párrafo de énfasis: </w:t>
      </w:r>
      <w:r w:rsidRPr="008D40EA">
        <w:rPr>
          <w:rFonts w:ascii="Arial" w:hAnsi="Arial" w:cs="Arial"/>
          <w:b/>
          <w:sz w:val="24"/>
          <w:szCs w:val="24"/>
          <w:u w:val="single"/>
        </w:rPr>
        <w:t>Los valores consignados por concepto de multas que estimo se encuentra sobrevalorados teniendo en cuenta que han sobrepasado muchas de ellas los cinco y algunas hasta diez años, encontrándose prescritas para su cobro, y que no han sido documentadas en contabilidad para darse de baja con las evidencias necesarias y suficientes</w:t>
      </w:r>
      <w:r w:rsidRPr="008D40EA">
        <w:rPr>
          <w:rFonts w:ascii="Arial" w:hAnsi="Arial" w:cs="Arial"/>
          <w:sz w:val="24"/>
          <w:szCs w:val="24"/>
        </w:rPr>
        <w:t xml:space="preserve">. Para el periodo fiscal 2024, esta cuenta con la contadora auxiliar y la abogada de cobro coactivo se viene depurando teniendo en cuenta los procedimientos establecidos por la ley para tal fin, en consecuencia, se llevó a comité de cartera de la corporación y </w:t>
      </w:r>
      <w:r w:rsidRPr="008D40EA">
        <w:rPr>
          <w:rFonts w:ascii="Arial" w:hAnsi="Arial" w:cs="Arial"/>
          <w:b/>
          <w:sz w:val="24"/>
          <w:szCs w:val="24"/>
          <w:u w:val="single"/>
        </w:rPr>
        <w:t>se ha depurado parte de la cartera</w:t>
      </w:r>
      <w:r w:rsidRPr="008D40EA">
        <w:rPr>
          <w:rFonts w:ascii="Arial" w:hAnsi="Arial" w:cs="Arial"/>
          <w:sz w:val="24"/>
          <w:szCs w:val="24"/>
        </w:rPr>
        <w:t xml:space="preserve"> cumpliendo conforme a la ley y ajustes de acuerdo procedimientos contables</w:t>
      </w:r>
    </w:p>
    <w:p w14:paraId="39957256" w14:textId="77777777" w:rsidR="00E46C0A" w:rsidRPr="008D40EA" w:rsidRDefault="00E46C0A" w:rsidP="0014585C">
      <w:pPr>
        <w:pStyle w:val="Textoindependiente"/>
        <w:ind w:right="-234"/>
        <w:jc w:val="both"/>
        <w:rPr>
          <w:rFonts w:ascii="Arial" w:hAnsi="Arial" w:cs="Arial"/>
          <w:b/>
          <w:bCs/>
          <w:sz w:val="24"/>
          <w:szCs w:val="24"/>
        </w:rPr>
      </w:pPr>
    </w:p>
    <w:p w14:paraId="3550311F" w14:textId="77777777" w:rsidR="00E46C0A" w:rsidRPr="008D40EA" w:rsidRDefault="00E46C0A" w:rsidP="0014585C">
      <w:pPr>
        <w:pStyle w:val="Textoindependiente"/>
        <w:ind w:right="-234"/>
        <w:jc w:val="both"/>
        <w:rPr>
          <w:rFonts w:ascii="Arial" w:hAnsi="Arial" w:cs="Arial"/>
          <w:sz w:val="24"/>
          <w:szCs w:val="24"/>
        </w:rPr>
      </w:pPr>
      <w:r w:rsidRPr="008D40EA">
        <w:rPr>
          <w:rFonts w:ascii="Arial" w:hAnsi="Arial" w:cs="Arial"/>
          <w:b/>
          <w:bCs/>
          <w:sz w:val="24"/>
          <w:szCs w:val="24"/>
        </w:rPr>
        <w:t xml:space="preserve">Información sobre requerimientos legales y regulatorios. </w:t>
      </w:r>
      <w:r w:rsidRPr="008D40EA">
        <w:rPr>
          <w:rFonts w:ascii="Arial" w:hAnsi="Arial" w:cs="Arial"/>
          <w:sz w:val="24"/>
          <w:szCs w:val="24"/>
        </w:rPr>
        <w:t>h) Coralina cuenta con el área de su archivo general, pero esta área quedo pequeña por el movimiento que maneja la corporación; pero el proceso de dicha área no se está realizando por falta de personal, e interés de la administración, lleva varios años en esta situación, para el 2024, no ha sido la excepción. Para este periodo fiscal no hay traslado de documentos al archivo general. Pero en las diferentes dependencias se llevan y se guardan debidamente”.</w:t>
      </w:r>
    </w:p>
    <w:p w14:paraId="607950F8" w14:textId="77777777" w:rsidR="00E46C0A" w:rsidRDefault="00E46C0A" w:rsidP="00E46C0A">
      <w:pPr>
        <w:ind w:left="-284" w:right="49"/>
        <w:jc w:val="both"/>
        <w:rPr>
          <w:rFonts w:ascii="Arial" w:hAnsi="Arial" w:cs="Arial"/>
          <w:b/>
          <w:spacing w:val="-3"/>
          <w:sz w:val="24"/>
          <w:szCs w:val="24"/>
        </w:rPr>
      </w:pPr>
    </w:p>
    <w:p w14:paraId="29242AB6" w14:textId="77777777" w:rsidR="00E46C0A" w:rsidRPr="00F43DED" w:rsidRDefault="00E46C0A" w:rsidP="00E46C0A">
      <w:pPr>
        <w:jc w:val="both"/>
        <w:rPr>
          <w:rFonts w:ascii="Arial" w:hAnsi="Arial" w:cs="Arial"/>
          <w:b/>
          <w:sz w:val="28"/>
          <w:szCs w:val="28"/>
          <w:lang w:val="es-MX"/>
        </w:rPr>
      </w:pPr>
      <w:r w:rsidRPr="00F43DED">
        <w:rPr>
          <w:rFonts w:ascii="Arial" w:hAnsi="Arial" w:cs="Arial"/>
          <w:b/>
          <w:sz w:val="28"/>
          <w:szCs w:val="28"/>
          <w:lang w:val="es-MX"/>
        </w:rPr>
        <w:t>119.- SANATORIO DE AGUA DE DIOS E.S.E.</w:t>
      </w:r>
    </w:p>
    <w:p w14:paraId="6B87622E" w14:textId="77777777" w:rsidR="00E46C0A" w:rsidRDefault="00E46C0A" w:rsidP="00E46C0A">
      <w:pPr>
        <w:ind w:left="-284" w:right="49"/>
        <w:jc w:val="both"/>
        <w:rPr>
          <w:rFonts w:ascii="Arial" w:hAnsi="Arial" w:cs="Arial"/>
          <w:b/>
          <w:spacing w:val="-3"/>
          <w:sz w:val="24"/>
          <w:szCs w:val="24"/>
        </w:rPr>
      </w:pPr>
    </w:p>
    <w:p w14:paraId="43CE654A" w14:textId="77777777" w:rsidR="00E46C0A" w:rsidRPr="00F43DED" w:rsidRDefault="00E46C0A" w:rsidP="00E46C0A">
      <w:pPr>
        <w:pStyle w:val="Textoindependiente"/>
        <w:ind w:right="-50"/>
        <w:jc w:val="both"/>
        <w:rPr>
          <w:rFonts w:ascii="Arial" w:hAnsi="Arial" w:cs="Arial"/>
          <w:b/>
          <w:bCs/>
          <w:sz w:val="24"/>
          <w:szCs w:val="24"/>
        </w:rPr>
      </w:pPr>
      <w:r>
        <w:rPr>
          <w:b/>
          <w:bCs/>
        </w:rPr>
        <w:t>“</w:t>
      </w:r>
      <w:r w:rsidRPr="00F43DED">
        <w:rPr>
          <w:rFonts w:ascii="Arial" w:hAnsi="Arial" w:cs="Arial"/>
          <w:b/>
          <w:bCs/>
          <w:sz w:val="24"/>
          <w:szCs w:val="24"/>
        </w:rPr>
        <w:t>K.</w:t>
      </w:r>
      <w:r w:rsidRPr="00F43DED">
        <w:rPr>
          <w:rFonts w:ascii="Arial" w:hAnsi="Arial" w:cs="Arial"/>
          <w:b/>
          <w:bCs/>
          <w:sz w:val="24"/>
          <w:szCs w:val="24"/>
        </w:rPr>
        <w:tab/>
        <w:t>Párrafo de énfasis.</w:t>
      </w:r>
    </w:p>
    <w:p w14:paraId="601094FB" w14:textId="77777777" w:rsidR="00E46C0A" w:rsidRPr="00F43DED" w:rsidRDefault="00E46C0A" w:rsidP="00E46C0A">
      <w:pPr>
        <w:pStyle w:val="Textoindependiente"/>
        <w:ind w:right="-50"/>
        <w:jc w:val="both"/>
        <w:rPr>
          <w:rFonts w:ascii="Arial" w:hAnsi="Arial" w:cs="Arial"/>
          <w:b/>
          <w:bCs/>
          <w:sz w:val="24"/>
          <w:szCs w:val="24"/>
        </w:rPr>
      </w:pPr>
    </w:p>
    <w:p w14:paraId="77305DDC" w14:textId="77777777" w:rsidR="00E46C0A" w:rsidRPr="00F43DED" w:rsidRDefault="00E46C0A" w:rsidP="00E46C0A">
      <w:pPr>
        <w:pStyle w:val="Textoindependiente"/>
        <w:ind w:right="-50"/>
        <w:jc w:val="both"/>
        <w:rPr>
          <w:rFonts w:ascii="Arial" w:hAnsi="Arial" w:cs="Arial"/>
          <w:b/>
          <w:bCs/>
          <w:sz w:val="24"/>
          <w:szCs w:val="24"/>
        </w:rPr>
      </w:pPr>
      <w:r w:rsidRPr="00F43DED">
        <w:rPr>
          <w:rFonts w:ascii="Arial" w:hAnsi="Arial" w:cs="Arial"/>
          <w:b/>
          <w:bCs/>
          <w:sz w:val="24"/>
          <w:szCs w:val="24"/>
        </w:rPr>
        <w:t>Llamamos la atención sobre los siguientes aspectos:</w:t>
      </w:r>
    </w:p>
    <w:p w14:paraId="158DCAB8" w14:textId="77777777" w:rsidR="00E46C0A" w:rsidRPr="00F43DED" w:rsidRDefault="00E46C0A" w:rsidP="00E46C0A">
      <w:pPr>
        <w:pStyle w:val="Textoindependiente"/>
        <w:ind w:right="-50"/>
        <w:jc w:val="both"/>
        <w:rPr>
          <w:rFonts w:ascii="Arial" w:hAnsi="Arial" w:cs="Arial"/>
          <w:b/>
          <w:bCs/>
          <w:sz w:val="24"/>
          <w:szCs w:val="24"/>
        </w:rPr>
      </w:pPr>
    </w:p>
    <w:p w14:paraId="7BA6A9D1" w14:textId="77777777" w:rsidR="00E46C0A" w:rsidRPr="00F43DED" w:rsidRDefault="00E46C0A" w:rsidP="0014585C">
      <w:pPr>
        <w:pStyle w:val="Textoindependiente"/>
        <w:numPr>
          <w:ilvl w:val="0"/>
          <w:numId w:val="93"/>
        </w:numPr>
        <w:ind w:right="-234"/>
        <w:jc w:val="both"/>
        <w:rPr>
          <w:rFonts w:ascii="Arial" w:hAnsi="Arial" w:cs="Arial"/>
          <w:sz w:val="24"/>
          <w:szCs w:val="24"/>
        </w:rPr>
      </w:pPr>
      <w:r w:rsidRPr="00F43DED">
        <w:rPr>
          <w:rFonts w:ascii="Arial" w:hAnsi="Arial" w:cs="Arial"/>
          <w:sz w:val="24"/>
          <w:szCs w:val="24"/>
        </w:rPr>
        <w:t>Se debe implementar un control formal para validar el proceso de castigo de cartera, garantizando que las cuentas por cobrar sujetas a este procedimiento cumplan con los criterios establecidos del mismo y los marcos técnicos contables aplicables. Esto aplica específicamente para aquellos casos en los que, luego de agotar el proceso de gestión de cobro (Incluyendo notificaciones, requerimientos de pago y seguimiento documentado), se determine baja probabilidad de recaudo por situaciones como: (i) Liquidación judicial del deudor, (ii) Prescripción de la acción de cobro o (iii) Existencia de una provisión del 100% por difícil cobro debidamente soportada. Dicho proceso debe contar con evidencia documental (Actas, conceptos jurídicos y autorización del representante legal) e integrarse al sistema de control interno bajo el componente de monitoreo de controles, asegurando la trazabilidad y la revelación adecuada en los estados financieros.</w:t>
      </w:r>
    </w:p>
    <w:p w14:paraId="43CDA0E0" w14:textId="77777777" w:rsidR="00E46C0A" w:rsidRPr="00F43DED" w:rsidRDefault="00E46C0A" w:rsidP="00E46C0A">
      <w:pPr>
        <w:pStyle w:val="Textoindependiente"/>
        <w:ind w:left="1065" w:right="-50"/>
        <w:jc w:val="both"/>
        <w:rPr>
          <w:rFonts w:ascii="Arial" w:hAnsi="Arial" w:cs="Arial"/>
          <w:sz w:val="24"/>
          <w:szCs w:val="24"/>
        </w:rPr>
      </w:pPr>
    </w:p>
    <w:p w14:paraId="42A18538" w14:textId="77777777" w:rsidR="00E46C0A" w:rsidRPr="00F43DED" w:rsidRDefault="00E46C0A" w:rsidP="0014585C">
      <w:pPr>
        <w:pStyle w:val="Textoindependiente"/>
        <w:numPr>
          <w:ilvl w:val="0"/>
          <w:numId w:val="93"/>
        </w:numPr>
        <w:ind w:right="-234"/>
        <w:jc w:val="both"/>
        <w:rPr>
          <w:rFonts w:ascii="Arial" w:hAnsi="Arial" w:cs="Arial"/>
          <w:sz w:val="24"/>
          <w:szCs w:val="24"/>
        </w:rPr>
      </w:pPr>
      <w:r w:rsidRPr="00F43DED">
        <w:rPr>
          <w:rFonts w:ascii="Arial" w:hAnsi="Arial" w:cs="Arial"/>
          <w:sz w:val="24"/>
          <w:szCs w:val="24"/>
        </w:rPr>
        <w:t>La administración deberá gestionar los rubros generados por concepto de incapacidades por pagar a empleados. Este monto ha mostrado un incremento constante durante los últimos tres años y refleja saldos correspondientes a terceros que ya no mantienen vinculación laboral. La finalidad de esta gestión es mitigar o eliminar los riesgos legales y financieros asociados a posibles demandas derivadas del incumplimiento en el pago de dichos rubros.</w:t>
      </w:r>
    </w:p>
    <w:p w14:paraId="49809900" w14:textId="77777777" w:rsidR="00E46C0A" w:rsidRPr="00F43DED" w:rsidRDefault="00E46C0A" w:rsidP="0014585C">
      <w:pPr>
        <w:pStyle w:val="Textoindependiente"/>
        <w:ind w:left="1065" w:right="-234"/>
        <w:jc w:val="both"/>
        <w:rPr>
          <w:rFonts w:ascii="Arial" w:hAnsi="Arial" w:cs="Arial"/>
          <w:sz w:val="24"/>
          <w:szCs w:val="24"/>
        </w:rPr>
      </w:pPr>
    </w:p>
    <w:p w14:paraId="657A5ECD" w14:textId="77777777" w:rsidR="00E46C0A" w:rsidRPr="00F43DED" w:rsidRDefault="00E46C0A" w:rsidP="0014585C">
      <w:pPr>
        <w:pStyle w:val="Prrafodelista"/>
        <w:numPr>
          <w:ilvl w:val="0"/>
          <w:numId w:val="93"/>
        </w:numPr>
        <w:spacing w:before="1"/>
        <w:ind w:right="-234"/>
        <w:jc w:val="both"/>
        <w:rPr>
          <w:rFonts w:ascii="Arial" w:hAnsi="Arial" w:cs="Arial"/>
          <w:sz w:val="24"/>
          <w:szCs w:val="24"/>
        </w:rPr>
      </w:pPr>
      <w:r w:rsidRPr="00F43DED">
        <w:rPr>
          <w:rFonts w:ascii="Arial" w:hAnsi="Arial" w:cs="Arial"/>
          <w:sz w:val="24"/>
          <w:szCs w:val="24"/>
        </w:rPr>
        <w:t xml:space="preserve">La entidad debe consolidar y fortalecer los siguientes aspectos, dado que puede estar sujeto a situaciones que afectan la confiabilidad de la información y requieren medidas efectivas, tales como la implementación de controles automatizados (Controles preventivos y correctivos), la integración de sistemas bajo el estándar control interno, y la capacitación al personal como principio de eficiencia y razonabilidad exigidos por los marcos técnicos de la información contable. Por lo anterior se identificó: (i) La ausencia </w:t>
      </w:r>
      <w:r w:rsidRPr="00F43DED">
        <w:rPr>
          <w:rFonts w:ascii="Arial" w:hAnsi="Arial" w:cs="Arial"/>
          <w:sz w:val="24"/>
          <w:szCs w:val="24"/>
        </w:rPr>
        <w:lastRenderedPageBreak/>
        <w:t>de integración entre el módulo de farmacia, el sistema contable y el registro de inventarios, lo que genera riesgos de discrepancias en auditorías internas y externas; (ii) El presupuesto se gestiona mediante archivos Excel, sin vinculación al sistema de información, incurriendo en un riesgo material por posibles errores no detectados; y (iii) La falta de un módulo de costos automatizado incrementa la carga laboral, los errores humanos y retrasos en la generación de información financiera oportuna.</w:t>
      </w:r>
    </w:p>
    <w:p w14:paraId="2293DB75" w14:textId="77777777" w:rsidR="00E46C0A" w:rsidRPr="00F43DED" w:rsidRDefault="00E46C0A" w:rsidP="0014585C">
      <w:pPr>
        <w:pStyle w:val="Prrafodelista"/>
        <w:ind w:left="1065" w:right="-234"/>
        <w:rPr>
          <w:rFonts w:ascii="Arial" w:hAnsi="Arial" w:cs="Arial"/>
          <w:sz w:val="24"/>
          <w:szCs w:val="24"/>
        </w:rPr>
      </w:pPr>
    </w:p>
    <w:p w14:paraId="1D56CA15" w14:textId="77777777" w:rsidR="00E46C0A" w:rsidRPr="00F43DED" w:rsidRDefault="00E46C0A" w:rsidP="0014585C">
      <w:pPr>
        <w:pStyle w:val="Textoindependiente"/>
        <w:numPr>
          <w:ilvl w:val="0"/>
          <w:numId w:val="93"/>
        </w:numPr>
        <w:ind w:right="-234"/>
        <w:jc w:val="both"/>
        <w:rPr>
          <w:rFonts w:ascii="Arial" w:hAnsi="Arial" w:cs="Arial"/>
          <w:sz w:val="24"/>
          <w:szCs w:val="24"/>
        </w:rPr>
      </w:pPr>
      <w:r w:rsidRPr="00F43DED">
        <w:rPr>
          <w:rFonts w:ascii="Arial" w:hAnsi="Arial" w:cs="Arial"/>
          <w:sz w:val="24"/>
          <w:szCs w:val="24"/>
        </w:rPr>
        <w:t>El SANATORIO DE AGUA DE DIOS ESE, al 31 de diciembre de 2024, se encuentra en el proceso de la actualización a sus políticas contables; Con el objetivo de mantener la transparencia, la consistencia y el cumplimiento normativo, Las modificaciones deben estar adaptadas a los cambios regulatorio, para la toma adecuada de decisiones basadas en información financiera precisa y relevante.</w:t>
      </w:r>
    </w:p>
    <w:p w14:paraId="25935269" w14:textId="77777777" w:rsidR="00E46C0A" w:rsidRPr="00F43DED" w:rsidRDefault="00E46C0A" w:rsidP="0014585C">
      <w:pPr>
        <w:pStyle w:val="Textoindependiente"/>
        <w:ind w:left="1065" w:right="-234"/>
        <w:jc w:val="both"/>
        <w:rPr>
          <w:rFonts w:ascii="Arial" w:hAnsi="Arial" w:cs="Arial"/>
          <w:sz w:val="24"/>
          <w:szCs w:val="24"/>
        </w:rPr>
      </w:pPr>
    </w:p>
    <w:p w14:paraId="1FCD4443" w14:textId="77777777" w:rsidR="00E46C0A" w:rsidRPr="00F43DED" w:rsidRDefault="00E46C0A" w:rsidP="0014585C">
      <w:pPr>
        <w:pStyle w:val="Prrafodelista"/>
        <w:numPr>
          <w:ilvl w:val="0"/>
          <w:numId w:val="93"/>
        </w:numPr>
        <w:spacing w:before="1"/>
        <w:ind w:right="-234"/>
        <w:jc w:val="both"/>
        <w:rPr>
          <w:rFonts w:ascii="Arial" w:hAnsi="Arial" w:cs="Arial"/>
          <w:sz w:val="24"/>
          <w:szCs w:val="24"/>
        </w:rPr>
      </w:pPr>
      <w:r w:rsidRPr="00F43DED">
        <w:rPr>
          <w:rFonts w:ascii="Arial" w:hAnsi="Arial" w:cs="Arial"/>
          <w:sz w:val="24"/>
          <w:szCs w:val="24"/>
        </w:rPr>
        <w:t>Mediante el Decreto 175 del 14 de febrero de 2025, el Gobierno Nacional estableció medidas tributarias para atender el estado de conmoción interior que afecta al país, específicamente en la región del Catatumbo, el área metropolitana de Cúcuta y los municipios de Río de Oro y González, en el Departamento del Cesar. Entre estas medidas, se reactivó el impuesto de timbre para la suscripción de actos notariales y contratos de alto valor, entendidos como aquellos cuyo monto supere los 6.000 UVT ($298.794.000 para el año 2025). Esta disposición implica un nuevo tributo para las empresas en Colombia en la vigencia 2025, por lo que se recomienda a la administración validar el cumplimiento oportuno de las retenciones a título de timbre, de acuerdo con los lineamientos fiscales establecidos”</w:t>
      </w:r>
    </w:p>
    <w:p w14:paraId="20C08812" w14:textId="77777777" w:rsidR="00E46C0A" w:rsidRDefault="00E46C0A" w:rsidP="00E46C0A">
      <w:pPr>
        <w:ind w:left="-284" w:right="49"/>
        <w:jc w:val="both"/>
        <w:rPr>
          <w:rFonts w:ascii="Arial" w:hAnsi="Arial" w:cs="Arial"/>
          <w:b/>
          <w:spacing w:val="-3"/>
          <w:sz w:val="24"/>
          <w:szCs w:val="24"/>
        </w:rPr>
      </w:pPr>
    </w:p>
    <w:p w14:paraId="1530EA31" w14:textId="77777777" w:rsidR="00E46C0A" w:rsidRDefault="00E46C0A" w:rsidP="00E46C0A">
      <w:pPr>
        <w:ind w:right="49"/>
        <w:jc w:val="both"/>
        <w:rPr>
          <w:rFonts w:ascii="Arial" w:hAnsi="Arial" w:cs="Arial"/>
          <w:b/>
          <w:sz w:val="28"/>
          <w:szCs w:val="28"/>
        </w:rPr>
      </w:pPr>
      <w:r w:rsidRPr="00B35356">
        <w:rPr>
          <w:rFonts w:ascii="Arial" w:hAnsi="Arial" w:cs="Arial"/>
          <w:b/>
          <w:sz w:val="28"/>
          <w:szCs w:val="28"/>
        </w:rPr>
        <w:t>125.- CORPORACIÓN AUTÓNOMA REGIONAL DE SANTANDER – CAS.</w:t>
      </w:r>
    </w:p>
    <w:p w14:paraId="10951080" w14:textId="77777777" w:rsidR="00E46C0A" w:rsidRDefault="00E46C0A" w:rsidP="00E46C0A">
      <w:pPr>
        <w:ind w:right="49"/>
        <w:jc w:val="both"/>
        <w:rPr>
          <w:rFonts w:ascii="Arial" w:hAnsi="Arial" w:cs="Arial"/>
          <w:b/>
          <w:sz w:val="28"/>
          <w:szCs w:val="28"/>
        </w:rPr>
      </w:pPr>
    </w:p>
    <w:p w14:paraId="41A6C8E7" w14:textId="77777777" w:rsidR="00E46C0A" w:rsidRPr="00B35356" w:rsidRDefault="00E46C0A" w:rsidP="00E46C0A">
      <w:pPr>
        <w:pStyle w:val="Textoindependiente"/>
        <w:ind w:right="-50"/>
        <w:jc w:val="both"/>
        <w:rPr>
          <w:rFonts w:ascii="Arial" w:hAnsi="Arial" w:cs="Arial"/>
          <w:b/>
          <w:bCs/>
          <w:sz w:val="24"/>
          <w:szCs w:val="24"/>
        </w:rPr>
      </w:pPr>
      <w:r w:rsidRPr="00B35356">
        <w:rPr>
          <w:rFonts w:ascii="Arial" w:hAnsi="Arial" w:cs="Arial"/>
          <w:b/>
          <w:bCs/>
          <w:sz w:val="24"/>
          <w:szCs w:val="24"/>
        </w:rPr>
        <w:t>“C. ASUNTOS RELEVANTES DE AUDITORIA.</w:t>
      </w:r>
    </w:p>
    <w:p w14:paraId="36762DEB" w14:textId="77777777" w:rsidR="00E46C0A" w:rsidRPr="00B35356" w:rsidRDefault="00E46C0A" w:rsidP="00E46C0A">
      <w:pPr>
        <w:pStyle w:val="Textoindependiente"/>
        <w:ind w:right="-50"/>
        <w:jc w:val="both"/>
        <w:rPr>
          <w:rFonts w:ascii="Arial" w:hAnsi="Arial" w:cs="Arial"/>
          <w:b/>
          <w:bCs/>
          <w:sz w:val="24"/>
          <w:szCs w:val="24"/>
        </w:rPr>
      </w:pPr>
    </w:p>
    <w:p w14:paraId="6ECC6EB4" w14:textId="77777777" w:rsidR="00E46C0A" w:rsidRPr="00B35356" w:rsidRDefault="00E46C0A" w:rsidP="0014585C">
      <w:pPr>
        <w:pStyle w:val="Textoindependiente"/>
        <w:numPr>
          <w:ilvl w:val="0"/>
          <w:numId w:val="94"/>
        </w:numPr>
        <w:ind w:right="-234"/>
        <w:jc w:val="both"/>
        <w:rPr>
          <w:rFonts w:ascii="Arial" w:hAnsi="Arial" w:cs="Arial"/>
          <w:sz w:val="24"/>
          <w:szCs w:val="24"/>
        </w:rPr>
      </w:pPr>
      <w:r w:rsidRPr="00B35356">
        <w:rPr>
          <w:rFonts w:ascii="Arial" w:hAnsi="Arial" w:cs="Arial"/>
          <w:sz w:val="24"/>
          <w:szCs w:val="24"/>
        </w:rPr>
        <w:t>Se realizó verificación al programa CENTRO DE INFORMACION DE TRAMITES AMBIENTALES - CITA, el cual fue adquirido por la entidad con el fin de sistematizar todo su archivo desde la recepción hasta el estado del trámite de este; se ha podido observar deficiencias tales como:</w:t>
      </w:r>
    </w:p>
    <w:p w14:paraId="33BFE388" w14:textId="77777777" w:rsidR="00E46C0A" w:rsidRPr="00B35356" w:rsidRDefault="00E46C0A" w:rsidP="00146806">
      <w:pPr>
        <w:pStyle w:val="Textoindependiente"/>
        <w:ind w:right="-376"/>
        <w:jc w:val="both"/>
        <w:rPr>
          <w:rFonts w:ascii="Arial" w:hAnsi="Arial" w:cs="Arial"/>
          <w:b/>
          <w:bCs/>
          <w:sz w:val="24"/>
          <w:szCs w:val="24"/>
        </w:rPr>
      </w:pPr>
    </w:p>
    <w:p w14:paraId="6388A0DC" w14:textId="77777777" w:rsidR="00E46C0A" w:rsidRPr="00B35356" w:rsidRDefault="00E46C0A" w:rsidP="0014585C">
      <w:pPr>
        <w:pStyle w:val="Textoindependiente"/>
        <w:ind w:left="375" w:right="-234"/>
        <w:jc w:val="both"/>
        <w:rPr>
          <w:rFonts w:ascii="Arial" w:hAnsi="Arial" w:cs="Arial"/>
          <w:b/>
          <w:bCs/>
          <w:sz w:val="24"/>
          <w:szCs w:val="24"/>
        </w:rPr>
      </w:pPr>
      <w:r w:rsidRPr="00B35356">
        <w:rPr>
          <w:rFonts w:ascii="Arial" w:hAnsi="Arial" w:cs="Arial"/>
          <w:sz w:val="24"/>
          <w:szCs w:val="24"/>
        </w:rPr>
        <w:t>a. Los expedientes de las diferentes dependencias y regionales, no se encuentran debidamente diligenciados en el sistema CITA2; lo anterior desaprovechando los recursos que se pueden obtener en el buen manejo de dicha plataforma, al contar con información clara y al día de los tramites que se llevan a cabo en la Corporación. De lo anterior se llama la atención para que se dé un manejo correcto y con alto interés por parte de los subdirectores y del personal que en cada dependencia opera, asignando dicha actividad en lo posible al personal de plata; lo anterior teniendo en cuenta que este tipo de vinculación no es tan común que rote y las actividades realizadas en cuestión de capacitación, no se pierdan en la transición de personal.</w:t>
      </w:r>
    </w:p>
    <w:p w14:paraId="0B900A91" w14:textId="77777777" w:rsidR="00E46C0A" w:rsidRPr="00B35356" w:rsidRDefault="00E46C0A" w:rsidP="0014585C">
      <w:pPr>
        <w:pStyle w:val="Textoindependiente"/>
        <w:ind w:left="375" w:right="-234"/>
        <w:jc w:val="both"/>
        <w:rPr>
          <w:rFonts w:ascii="Arial" w:hAnsi="Arial" w:cs="Arial"/>
          <w:sz w:val="24"/>
          <w:szCs w:val="24"/>
        </w:rPr>
      </w:pPr>
      <w:r w:rsidRPr="00B35356">
        <w:rPr>
          <w:rFonts w:ascii="Arial" w:hAnsi="Arial" w:cs="Arial"/>
          <w:sz w:val="24"/>
          <w:szCs w:val="24"/>
        </w:rPr>
        <w:t xml:space="preserve">b. Con el fin de llevar al día los diferentes tramites en el aplicativo CITA2 y en concordancia con la parte contable y presupuestal de la entidad; se llama la atención en la dificultad que se sigue presentando ante la imposibilidad de tener un sistema el cual integre; desde la creación del expediente, liquidación de tarifas por los diferentes tramites, facturación integrada con el sistema contable y financiero generando un código de pago y por último el estado del trámite; de tal manera que en el momento de recibir un ingreso se identifique plenamente a que </w:t>
      </w:r>
      <w:r w:rsidRPr="00B35356">
        <w:rPr>
          <w:rFonts w:ascii="Arial" w:hAnsi="Arial" w:cs="Arial"/>
          <w:sz w:val="24"/>
          <w:szCs w:val="24"/>
        </w:rPr>
        <w:lastRenderedPageBreak/>
        <w:t>expediente pertenece y por tanto contar con información idónea y efectiva al momento del hecho; aunado a lo anterior evitar dificultades en:</w:t>
      </w:r>
    </w:p>
    <w:p w14:paraId="73DE3FC9" w14:textId="77777777" w:rsidR="00E46C0A" w:rsidRPr="00B35356" w:rsidRDefault="00E46C0A" w:rsidP="0014585C">
      <w:pPr>
        <w:pStyle w:val="Textoindependiente"/>
        <w:ind w:left="375" w:right="-234"/>
        <w:jc w:val="both"/>
        <w:rPr>
          <w:rFonts w:ascii="Arial" w:hAnsi="Arial" w:cs="Arial"/>
          <w:sz w:val="24"/>
          <w:szCs w:val="24"/>
        </w:rPr>
      </w:pPr>
      <w:r w:rsidRPr="00B35356">
        <w:rPr>
          <w:rFonts w:ascii="Arial" w:hAnsi="Arial" w:cs="Arial"/>
          <w:sz w:val="24"/>
          <w:szCs w:val="24"/>
        </w:rPr>
        <w:t xml:space="preserve">• Imposibilidad de reconocer el tercero titular de la obligación contraída </w:t>
      </w:r>
    </w:p>
    <w:p w14:paraId="3041FF87" w14:textId="77777777" w:rsidR="00E46C0A" w:rsidRPr="00B35356" w:rsidRDefault="00E46C0A" w:rsidP="0014585C">
      <w:pPr>
        <w:pStyle w:val="Textoindependiente"/>
        <w:ind w:left="375" w:right="-234"/>
        <w:jc w:val="both"/>
        <w:rPr>
          <w:rFonts w:ascii="Arial" w:hAnsi="Arial" w:cs="Arial"/>
          <w:sz w:val="24"/>
          <w:szCs w:val="24"/>
        </w:rPr>
      </w:pPr>
    </w:p>
    <w:p w14:paraId="6EF49B1B" w14:textId="77777777" w:rsidR="00E46C0A" w:rsidRPr="00B35356" w:rsidRDefault="00E46C0A" w:rsidP="0014585C">
      <w:pPr>
        <w:pStyle w:val="Textoindependiente"/>
        <w:ind w:left="375" w:right="-234"/>
        <w:jc w:val="both"/>
        <w:rPr>
          <w:rFonts w:ascii="Arial" w:hAnsi="Arial" w:cs="Arial"/>
          <w:sz w:val="24"/>
          <w:szCs w:val="24"/>
        </w:rPr>
      </w:pPr>
      <w:r w:rsidRPr="00B35356">
        <w:rPr>
          <w:rFonts w:ascii="Arial" w:hAnsi="Arial" w:cs="Arial"/>
          <w:sz w:val="24"/>
          <w:szCs w:val="24"/>
        </w:rPr>
        <w:t xml:space="preserve">• Dificultad en las conciliaciones bancarias la cual se evidencia aún más al cierre de una vigencia </w:t>
      </w:r>
    </w:p>
    <w:p w14:paraId="38EF5C6F" w14:textId="77777777" w:rsidR="00E46C0A" w:rsidRPr="00B35356" w:rsidRDefault="00E46C0A" w:rsidP="0014585C">
      <w:pPr>
        <w:pStyle w:val="Textoindependiente"/>
        <w:ind w:left="375" w:right="-234"/>
        <w:jc w:val="both"/>
        <w:rPr>
          <w:rFonts w:ascii="Arial" w:hAnsi="Arial" w:cs="Arial"/>
          <w:sz w:val="24"/>
          <w:szCs w:val="24"/>
        </w:rPr>
      </w:pPr>
    </w:p>
    <w:p w14:paraId="51B9F174" w14:textId="77777777" w:rsidR="00E46C0A" w:rsidRPr="00B35356" w:rsidRDefault="00E46C0A" w:rsidP="0014585C">
      <w:pPr>
        <w:pStyle w:val="Textoindependiente"/>
        <w:ind w:left="375" w:right="-234"/>
        <w:jc w:val="both"/>
        <w:rPr>
          <w:rFonts w:ascii="Arial" w:hAnsi="Arial" w:cs="Arial"/>
          <w:b/>
          <w:bCs/>
          <w:sz w:val="24"/>
          <w:szCs w:val="24"/>
        </w:rPr>
      </w:pPr>
      <w:r w:rsidRPr="00B35356">
        <w:rPr>
          <w:rFonts w:ascii="Arial" w:hAnsi="Arial" w:cs="Arial"/>
          <w:sz w:val="24"/>
          <w:szCs w:val="24"/>
        </w:rPr>
        <w:t>• Desistimientos y revocatorias de liquidación que fueran causadas, las cuales no se dan de baja en contabilidad y por lo tanto la cartera no mostrara la realidad.</w:t>
      </w:r>
    </w:p>
    <w:p w14:paraId="6570D4E4" w14:textId="77777777" w:rsidR="00E46C0A" w:rsidRPr="00B35356" w:rsidRDefault="00E46C0A" w:rsidP="0014585C">
      <w:pPr>
        <w:pStyle w:val="Textoindependiente"/>
        <w:ind w:right="-234"/>
        <w:jc w:val="both"/>
        <w:rPr>
          <w:rFonts w:ascii="Arial" w:hAnsi="Arial" w:cs="Arial"/>
          <w:b/>
          <w:bCs/>
          <w:sz w:val="24"/>
          <w:szCs w:val="24"/>
        </w:rPr>
      </w:pPr>
    </w:p>
    <w:p w14:paraId="34A4224B" w14:textId="77777777" w:rsidR="00E46C0A" w:rsidRPr="00B35356" w:rsidRDefault="00E46C0A" w:rsidP="0014585C">
      <w:pPr>
        <w:pStyle w:val="Textoindependiente"/>
        <w:numPr>
          <w:ilvl w:val="0"/>
          <w:numId w:val="94"/>
        </w:numPr>
        <w:ind w:right="-234"/>
        <w:jc w:val="both"/>
        <w:rPr>
          <w:rFonts w:ascii="Arial" w:hAnsi="Arial" w:cs="Arial"/>
          <w:sz w:val="24"/>
          <w:szCs w:val="24"/>
        </w:rPr>
      </w:pPr>
      <w:r w:rsidRPr="00B35356">
        <w:rPr>
          <w:rFonts w:ascii="Arial" w:hAnsi="Arial" w:cs="Arial"/>
          <w:sz w:val="24"/>
          <w:szCs w:val="24"/>
        </w:rPr>
        <w:t>En la Nota 7.2 a los estados financieros, se da cuenta la cartera por edades; lo cual nos permite identificar una posible cartera de difícil cobro a más de 360 días por valor de $47.334.197.826.71 millones; sin embargo, se puede constatar que el valor de $40.967.992.179 son procesos suspendidos por demanda de nulidad y restablecimiento del derecho en la jurisdicción ordinaria y de acuerdo al manual de políticas contables de la Entidad, no se aplicara deterioro a aquellas cuentas por cobrar que al cierre de la vigencia se encuentre en el juzgado de cobro coactivo y/o en procesos por la jurisdicción ordinaria en estado de suspensión de términos. Se recomienda continuar y acelerar los procesos de cobro coactivo en cuanto a las cuentas por cobrar, ante todo en las cuentas de difícil recaudo.</w:t>
      </w:r>
    </w:p>
    <w:p w14:paraId="17C46D91" w14:textId="77777777" w:rsidR="00E46C0A" w:rsidRPr="00B35356" w:rsidRDefault="00E46C0A" w:rsidP="00E46C0A">
      <w:pPr>
        <w:pStyle w:val="Textoindependiente"/>
        <w:ind w:right="-50"/>
        <w:jc w:val="both"/>
        <w:rPr>
          <w:rFonts w:ascii="Arial" w:hAnsi="Arial" w:cs="Arial"/>
          <w:sz w:val="24"/>
          <w:szCs w:val="24"/>
        </w:rPr>
      </w:pPr>
    </w:p>
    <w:p w14:paraId="65AC10BE" w14:textId="77777777" w:rsidR="00E46C0A" w:rsidRPr="00B35356" w:rsidRDefault="00E46C0A" w:rsidP="0014585C">
      <w:pPr>
        <w:pStyle w:val="Textoindependiente"/>
        <w:numPr>
          <w:ilvl w:val="0"/>
          <w:numId w:val="94"/>
        </w:numPr>
        <w:ind w:right="-234"/>
        <w:jc w:val="both"/>
        <w:rPr>
          <w:rFonts w:ascii="Arial" w:hAnsi="Arial" w:cs="Arial"/>
          <w:sz w:val="24"/>
          <w:szCs w:val="24"/>
        </w:rPr>
      </w:pPr>
      <w:r w:rsidRPr="00B35356">
        <w:rPr>
          <w:rFonts w:ascii="Arial" w:hAnsi="Arial" w:cs="Arial"/>
          <w:sz w:val="24"/>
          <w:szCs w:val="24"/>
        </w:rPr>
        <w:t xml:space="preserve">En la Nota 7 a los estados financieros, indica que durante el año 2024 se aprobó la Depuración de Cartera de Mínimas Cuantías, teniendo en cuenta el procedimiento contemplado en la Resolución DGL 183 del 22 de marzo de 2018. Se llevó a cabo la depuración y castigo de cuentas por cobrar por un valor de $154.795.778,68, correspondiente a cuantías menores, según las causales establecidas y con la aprobación previa de los comités de cartera y sostenibilidad contable. Estas cifras se reflejaban desde la vigencia 2000 al 2019, con saldos inferiores a un millón de pesos ($1.000.000), destacando que estas cifras estaban deterioradas al 100% contablemente. </w:t>
      </w:r>
    </w:p>
    <w:p w14:paraId="150B244A" w14:textId="77777777" w:rsidR="00E46C0A" w:rsidRPr="00B35356" w:rsidRDefault="00E46C0A" w:rsidP="0014585C">
      <w:pPr>
        <w:pStyle w:val="Textoindependiente"/>
        <w:ind w:right="-234"/>
        <w:jc w:val="both"/>
        <w:rPr>
          <w:rFonts w:ascii="Arial" w:hAnsi="Arial" w:cs="Arial"/>
          <w:sz w:val="24"/>
          <w:szCs w:val="24"/>
        </w:rPr>
      </w:pPr>
    </w:p>
    <w:p w14:paraId="677BE77F" w14:textId="77777777" w:rsidR="00E46C0A" w:rsidRPr="00B35356" w:rsidRDefault="00E46C0A" w:rsidP="0014585C">
      <w:pPr>
        <w:pStyle w:val="Textoindependiente"/>
        <w:numPr>
          <w:ilvl w:val="0"/>
          <w:numId w:val="94"/>
        </w:numPr>
        <w:ind w:right="-234"/>
        <w:jc w:val="both"/>
        <w:rPr>
          <w:rFonts w:ascii="Arial" w:hAnsi="Arial" w:cs="Arial"/>
          <w:sz w:val="24"/>
          <w:szCs w:val="24"/>
        </w:rPr>
      </w:pPr>
      <w:r w:rsidRPr="00B35356">
        <w:rPr>
          <w:rFonts w:ascii="Arial" w:hAnsi="Arial" w:cs="Arial"/>
          <w:sz w:val="24"/>
          <w:szCs w:val="24"/>
        </w:rPr>
        <w:t xml:space="preserve">En la Nota 7 a los estados financieros, se evidencian acciones para dar cumplimiento al plan de mejoramiento de la auditoria 2023 de la CGR; se realizó la depuración de cartera por conceptos de evaluación, seguimiento ambiental y multas, los cuales habían sido reconocidos como cuentas por cobrar. Por parte de la oficina de contabilidad se realizó la revisión de expedientes físicos que reposan en las subdirecciones de oferta y autoridad ambiental; de acuerdo a los soportes encontrados, se observaron que existían actos administrativos que se habían expedido en su momento por las subdirecciones, donde se encontraron motivos diversos que daban cuenta para saldar la obligación contraída por el tercero, pero no fue informado en su momento a contabilidad, para realizar los ajustes que dieran a lugar. </w:t>
      </w:r>
    </w:p>
    <w:p w14:paraId="176CF152" w14:textId="77777777" w:rsidR="00E46C0A" w:rsidRPr="00B35356" w:rsidRDefault="00E46C0A" w:rsidP="0014585C">
      <w:pPr>
        <w:pStyle w:val="Prrafodelista"/>
        <w:ind w:right="-234"/>
        <w:rPr>
          <w:rFonts w:ascii="Arial" w:hAnsi="Arial" w:cs="Arial"/>
          <w:sz w:val="24"/>
          <w:szCs w:val="24"/>
        </w:rPr>
      </w:pPr>
    </w:p>
    <w:p w14:paraId="497285C5" w14:textId="77777777" w:rsidR="00E46C0A" w:rsidRPr="00B35356" w:rsidRDefault="00E46C0A" w:rsidP="0014585C">
      <w:pPr>
        <w:pStyle w:val="Textoindependiente"/>
        <w:ind w:left="375" w:right="-234"/>
        <w:jc w:val="both"/>
        <w:rPr>
          <w:rFonts w:ascii="Arial" w:hAnsi="Arial" w:cs="Arial"/>
          <w:sz w:val="24"/>
          <w:szCs w:val="24"/>
        </w:rPr>
      </w:pPr>
      <w:r w:rsidRPr="00B35356">
        <w:rPr>
          <w:rFonts w:ascii="Arial" w:hAnsi="Arial" w:cs="Arial"/>
          <w:sz w:val="24"/>
          <w:szCs w:val="24"/>
        </w:rPr>
        <w:t xml:space="preserve">Por lo anterior se llama la atención al procedimiento realizado para la depuración y dada de baja de la cartera; si bien es cierto que dando cumplimiento a la Resolución 193 del 05 de mayo de 2016 la cual establece el procedimiento 3.2.15 de Depuración Contable Permanente y Sostenible y se establece adelantar acciones correspondientes para concretar la baja de cuentas; es importante advertir el procedimiento establecido mediante la Resolución DGL No 000385 del 18 de junio de 2018 y sus modificatorios – 16.6 políticas contables de deterioro de cuentas por cobrar, para el momento del retiro o baja en cuentas; donde se deberá tipificar el tipo de riesgo y dar cumplimiento a las condiciones establecidas para el reconocimiento, medición, presentación y revelación del deterioro de valor de las cuentas por cobrar de LA </w:t>
      </w:r>
      <w:r w:rsidRPr="00B35356">
        <w:rPr>
          <w:rFonts w:ascii="Arial" w:hAnsi="Arial" w:cs="Arial"/>
          <w:sz w:val="24"/>
          <w:szCs w:val="24"/>
        </w:rPr>
        <w:lastRenderedPageBreak/>
        <w:t xml:space="preserve">CORPORACION AUTONOMA DE SANTANDER - CAS </w:t>
      </w:r>
    </w:p>
    <w:p w14:paraId="4982AC22" w14:textId="77777777" w:rsidR="00E46C0A" w:rsidRPr="00B35356" w:rsidRDefault="00E46C0A" w:rsidP="0014585C">
      <w:pPr>
        <w:pStyle w:val="Textoindependiente"/>
        <w:ind w:right="-234"/>
        <w:jc w:val="both"/>
        <w:rPr>
          <w:rFonts w:ascii="Arial" w:hAnsi="Arial" w:cs="Arial"/>
          <w:sz w:val="24"/>
          <w:szCs w:val="24"/>
        </w:rPr>
      </w:pPr>
    </w:p>
    <w:p w14:paraId="35127ED3" w14:textId="77777777" w:rsidR="00E46C0A" w:rsidRPr="00B35356" w:rsidRDefault="00E46C0A" w:rsidP="0014585C">
      <w:pPr>
        <w:pStyle w:val="Textoindependiente"/>
        <w:numPr>
          <w:ilvl w:val="0"/>
          <w:numId w:val="94"/>
        </w:numPr>
        <w:ind w:right="-234"/>
        <w:jc w:val="both"/>
        <w:rPr>
          <w:rFonts w:ascii="Arial" w:hAnsi="Arial" w:cs="Arial"/>
          <w:b/>
          <w:bCs/>
          <w:sz w:val="24"/>
          <w:szCs w:val="24"/>
        </w:rPr>
      </w:pPr>
      <w:r w:rsidRPr="00B35356">
        <w:rPr>
          <w:rFonts w:ascii="Arial" w:hAnsi="Arial" w:cs="Arial"/>
          <w:sz w:val="24"/>
          <w:szCs w:val="24"/>
        </w:rPr>
        <w:t xml:space="preserve">Se pudo establecer saldos de vigencias anteriores correspondiente a la sobretasa ambiental de aproximadamente de 21 municipios, lo cual sugiere que la corporación conforme un equipo interdisciplinario para hacer seguimiento al ingreso y de esta manera de ser necesario depurar la cartera, en caso de que se requiera. </w:t>
      </w:r>
    </w:p>
    <w:p w14:paraId="219842C4" w14:textId="77777777" w:rsidR="00E46C0A" w:rsidRPr="00B35356" w:rsidRDefault="00E46C0A" w:rsidP="0014585C">
      <w:pPr>
        <w:pStyle w:val="Textoindependiente"/>
        <w:ind w:left="375" w:right="-234"/>
        <w:jc w:val="both"/>
        <w:rPr>
          <w:rFonts w:ascii="Arial" w:hAnsi="Arial" w:cs="Arial"/>
          <w:b/>
          <w:bCs/>
          <w:sz w:val="24"/>
          <w:szCs w:val="24"/>
        </w:rPr>
      </w:pPr>
    </w:p>
    <w:p w14:paraId="69461212" w14:textId="77777777" w:rsidR="00E46C0A" w:rsidRPr="00B35356" w:rsidRDefault="00E46C0A" w:rsidP="0014585C">
      <w:pPr>
        <w:pStyle w:val="Textoindependiente"/>
        <w:numPr>
          <w:ilvl w:val="0"/>
          <w:numId w:val="94"/>
        </w:numPr>
        <w:ind w:right="-234"/>
        <w:jc w:val="both"/>
        <w:rPr>
          <w:rFonts w:ascii="Arial" w:hAnsi="Arial" w:cs="Arial"/>
          <w:b/>
          <w:bCs/>
          <w:sz w:val="24"/>
          <w:szCs w:val="24"/>
        </w:rPr>
      </w:pPr>
      <w:r w:rsidRPr="00B35356">
        <w:rPr>
          <w:rFonts w:ascii="Arial" w:hAnsi="Arial" w:cs="Arial"/>
          <w:sz w:val="24"/>
          <w:szCs w:val="24"/>
        </w:rPr>
        <w:t>Se llama la atención la falta de personal en el área contable y personal que tiene a cargo el manejo de información financiera de las diferentes dependencias; lo anterior pondría tener riesgo en problemas de cumplimiento de obligaciones y la incapacidad para el cierre financiero, hasta la dificultad en la toma de decisiones”.</w:t>
      </w:r>
    </w:p>
    <w:p w14:paraId="40303792" w14:textId="77777777" w:rsidR="00E46C0A" w:rsidRDefault="00E46C0A" w:rsidP="0014585C">
      <w:pPr>
        <w:ind w:right="-234"/>
        <w:jc w:val="both"/>
        <w:rPr>
          <w:rFonts w:ascii="Arial" w:hAnsi="Arial" w:cs="Arial"/>
          <w:b/>
          <w:spacing w:val="-3"/>
          <w:sz w:val="24"/>
          <w:szCs w:val="24"/>
        </w:rPr>
      </w:pPr>
    </w:p>
    <w:p w14:paraId="14D0BF9F" w14:textId="77777777" w:rsidR="00E46C0A" w:rsidRPr="00F508F9" w:rsidRDefault="00E46C0A" w:rsidP="0014585C">
      <w:pPr>
        <w:ind w:right="-234"/>
        <w:jc w:val="both"/>
        <w:rPr>
          <w:rFonts w:ascii="Arial" w:hAnsi="Arial" w:cs="Arial"/>
          <w:b/>
          <w:sz w:val="28"/>
          <w:szCs w:val="28"/>
          <w:lang w:val="es-MX"/>
        </w:rPr>
      </w:pPr>
      <w:r w:rsidRPr="00F508F9">
        <w:rPr>
          <w:rFonts w:ascii="Arial" w:hAnsi="Arial" w:cs="Arial"/>
          <w:b/>
          <w:sz w:val="28"/>
          <w:szCs w:val="28"/>
          <w:lang w:val="es-MX"/>
        </w:rPr>
        <w:t xml:space="preserve">126.- </w:t>
      </w:r>
      <w:r w:rsidRPr="00F508F9">
        <w:rPr>
          <w:rFonts w:ascii="Arial" w:hAnsi="Arial" w:cs="Arial"/>
          <w:b/>
          <w:sz w:val="28"/>
          <w:szCs w:val="28"/>
        </w:rPr>
        <w:t>ADMINISTRADORA DE LOS RECURSOS DEL SISTEMA DE SEGURIDAD SOCIAL EN SALUD ADRES – UNIDAD DE RECURSOS ADMINISTRADOS – URA</w:t>
      </w:r>
      <w:r w:rsidRPr="00F508F9">
        <w:rPr>
          <w:rFonts w:ascii="Arial" w:hAnsi="Arial" w:cs="Arial"/>
          <w:b/>
          <w:sz w:val="28"/>
          <w:szCs w:val="28"/>
          <w:lang w:val="es-MX"/>
        </w:rPr>
        <w:t>.</w:t>
      </w:r>
    </w:p>
    <w:p w14:paraId="2753F999" w14:textId="77777777" w:rsidR="00E46C0A" w:rsidRPr="00F508F9" w:rsidRDefault="00E46C0A" w:rsidP="0014585C">
      <w:pPr>
        <w:ind w:right="-234"/>
        <w:jc w:val="both"/>
        <w:rPr>
          <w:rFonts w:ascii="Arial" w:hAnsi="Arial" w:cs="Arial"/>
          <w:b/>
          <w:spacing w:val="-3"/>
          <w:sz w:val="24"/>
          <w:szCs w:val="24"/>
        </w:rPr>
      </w:pPr>
    </w:p>
    <w:p w14:paraId="5B9B3D52" w14:textId="77777777" w:rsidR="00E46C0A" w:rsidRPr="00F508F9" w:rsidRDefault="00E46C0A" w:rsidP="0014585C">
      <w:pPr>
        <w:ind w:right="-234"/>
        <w:jc w:val="both"/>
        <w:rPr>
          <w:rFonts w:ascii="Arial" w:hAnsi="Arial" w:cs="Arial"/>
          <w:b/>
          <w:sz w:val="24"/>
          <w:szCs w:val="24"/>
        </w:rPr>
      </w:pPr>
      <w:r w:rsidRPr="00F508F9">
        <w:rPr>
          <w:rFonts w:ascii="Arial" w:hAnsi="Arial" w:cs="Arial"/>
          <w:b/>
          <w:sz w:val="24"/>
          <w:szCs w:val="24"/>
        </w:rPr>
        <w:t>“Párrafo de énfasis Contrato de Concesión Clínica El Bosque Cartagena.</w:t>
      </w:r>
    </w:p>
    <w:p w14:paraId="6D8C4B5A" w14:textId="77777777" w:rsidR="00E46C0A" w:rsidRPr="00F508F9" w:rsidRDefault="00E46C0A" w:rsidP="0014585C">
      <w:pPr>
        <w:adjustRightInd w:val="0"/>
        <w:ind w:right="-234"/>
        <w:jc w:val="both"/>
        <w:rPr>
          <w:rFonts w:ascii="Arial" w:hAnsi="Arial" w:cs="Arial"/>
          <w:b/>
          <w:sz w:val="24"/>
          <w:szCs w:val="24"/>
        </w:rPr>
      </w:pPr>
    </w:p>
    <w:p w14:paraId="3A33B05C" w14:textId="77777777" w:rsidR="00E46C0A" w:rsidRPr="00F508F9" w:rsidRDefault="00E46C0A" w:rsidP="0014585C">
      <w:pPr>
        <w:adjustRightInd w:val="0"/>
        <w:ind w:right="-234"/>
        <w:jc w:val="both"/>
        <w:rPr>
          <w:rFonts w:ascii="Arial" w:hAnsi="Arial" w:cs="Arial"/>
          <w:b/>
          <w:sz w:val="24"/>
          <w:szCs w:val="24"/>
        </w:rPr>
      </w:pPr>
      <w:r w:rsidRPr="00F508F9">
        <w:rPr>
          <w:rFonts w:ascii="Arial" w:hAnsi="Arial" w:cs="Arial"/>
          <w:sz w:val="24"/>
          <w:szCs w:val="24"/>
        </w:rPr>
        <w:t xml:space="preserve">Sin modificar mi opinión, llamo la atención sobre la Nota 32 de los estados financieros en la que se indica que La ADRES al 31 de diciembre de 2024, cuenta con Activos en Concesión por $104.460 millones, correspondientes al contrato de administración y operación de La Clínica El Bosque de Cartagena. Durante el 2024 el Concesionario no le permitió a La ADRES el ingreso a la clínica para inspeccionar el estado de los bienes, además, sobre el contrato La ADRES adelanta un proceso administrativo sancionatorio y un proceso jurídico de controversia contractual interpuesto por parte de La ADRES al Concesionario. </w:t>
      </w:r>
    </w:p>
    <w:p w14:paraId="6C018C37" w14:textId="77777777" w:rsidR="00E46C0A" w:rsidRPr="00F508F9" w:rsidRDefault="00E46C0A" w:rsidP="00E46C0A">
      <w:pPr>
        <w:adjustRightInd w:val="0"/>
        <w:jc w:val="both"/>
        <w:rPr>
          <w:rFonts w:ascii="Arial" w:hAnsi="Arial" w:cs="Arial"/>
          <w:b/>
          <w:sz w:val="24"/>
          <w:szCs w:val="24"/>
        </w:rPr>
      </w:pPr>
    </w:p>
    <w:p w14:paraId="126D0F2C" w14:textId="77777777" w:rsidR="00E46C0A" w:rsidRPr="00F508F9" w:rsidRDefault="00E46C0A" w:rsidP="0014585C">
      <w:pPr>
        <w:ind w:right="-234"/>
        <w:jc w:val="both"/>
        <w:rPr>
          <w:rFonts w:ascii="Arial" w:hAnsi="Arial" w:cs="Arial"/>
          <w:b/>
          <w:bCs/>
          <w:color w:val="000000" w:themeColor="text1"/>
          <w:sz w:val="24"/>
          <w:szCs w:val="24"/>
        </w:rPr>
      </w:pPr>
      <w:r w:rsidRPr="00F508F9">
        <w:rPr>
          <w:rFonts w:ascii="Arial" w:hAnsi="Arial" w:cs="Arial"/>
          <w:b/>
          <w:sz w:val="24"/>
          <w:szCs w:val="24"/>
        </w:rPr>
        <w:t xml:space="preserve">Párrafo de énfasis recursos ajustes Presupuestos Máximos 2022. </w:t>
      </w:r>
      <w:r w:rsidRPr="00F508F9">
        <w:rPr>
          <w:rFonts w:ascii="Arial" w:hAnsi="Arial" w:cs="Arial"/>
          <w:sz w:val="24"/>
          <w:szCs w:val="24"/>
        </w:rPr>
        <w:t>Sin modificar mi opinión, llamo la atención sobre la Nota 21.3.8, de l</w:t>
      </w:r>
      <w:r w:rsidRPr="00F508F9">
        <w:rPr>
          <w:rFonts w:ascii="Arial" w:hAnsi="Arial" w:cs="Arial"/>
          <w:bCs/>
          <w:color w:val="000000" w:themeColor="text1"/>
          <w:sz w:val="24"/>
          <w:szCs w:val="24"/>
        </w:rPr>
        <w:t>os estados financieros que incluye cuentas por pagar con las Entidades Prestadoras de Salud EPS por $819.667 millones por ajustes de presupuestos máximos del año 2022; sin embargo, al 31 de diciembre de 2024 el Ministerio de Hacienda no emitió un acto administrativo para el reconocimiento de la cuenta por cobrar a la Nación que soporte el derecho del cobro de los recursos que garantizarán el pago de esta obligación, como consecuencia, se presentaron pérdidas en el resultado del ejercicio.</w:t>
      </w:r>
    </w:p>
    <w:p w14:paraId="7CEBC1C1" w14:textId="77777777" w:rsidR="00E46C0A" w:rsidRPr="00F508F9" w:rsidRDefault="00E46C0A" w:rsidP="00E46C0A">
      <w:pPr>
        <w:spacing w:before="40" w:after="40"/>
        <w:jc w:val="both"/>
        <w:rPr>
          <w:rFonts w:ascii="Arial" w:hAnsi="Arial" w:cs="Arial"/>
          <w:b/>
          <w:bCs/>
          <w:color w:val="000000" w:themeColor="text1"/>
          <w:sz w:val="24"/>
          <w:szCs w:val="24"/>
        </w:rPr>
      </w:pPr>
    </w:p>
    <w:p w14:paraId="7B7500D8" w14:textId="77777777" w:rsidR="00E46C0A" w:rsidRPr="00F508F9" w:rsidRDefault="00E46C0A" w:rsidP="0014585C">
      <w:pPr>
        <w:ind w:right="-234"/>
        <w:jc w:val="both"/>
        <w:rPr>
          <w:rFonts w:ascii="Arial" w:hAnsi="Arial" w:cs="Arial"/>
          <w:b/>
          <w:sz w:val="24"/>
          <w:szCs w:val="24"/>
        </w:rPr>
      </w:pPr>
      <w:r w:rsidRPr="00F508F9">
        <w:rPr>
          <w:rFonts w:ascii="Arial" w:hAnsi="Arial" w:cs="Arial"/>
          <w:b/>
          <w:sz w:val="24"/>
          <w:szCs w:val="24"/>
        </w:rPr>
        <w:t xml:space="preserve">Párrafo de énfasis disminución patrimonial. </w:t>
      </w:r>
      <w:r w:rsidRPr="00F508F9">
        <w:rPr>
          <w:rFonts w:ascii="Arial" w:hAnsi="Arial" w:cs="Arial"/>
          <w:sz w:val="24"/>
          <w:szCs w:val="24"/>
        </w:rPr>
        <w:t>Sin modificar mi opinión, llamo la atención sobre la Nota 27.4 de los estados financieros, en la que se indica que al 31 de diciembre de 2024 La ADRES presentó pérdidas por $1.355.533 millones que generan una reducción del patrimonio neto de La ADRES por debajo del cincuenta por ciento (50%) del capital fiscal.</w:t>
      </w:r>
    </w:p>
    <w:p w14:paraId="52AE68DC" w14:textId="77777777" w:rsidR="00E46C0A" w:rsidRPr="00F508F9" w:rsidRDefault="00E46C0A" w:rsidP="0014585C">
      <w:pPr>
        <w:adjustRightInd w:val="0"/>
        <w:ind w:right="-234"/>
        <w:jc w:val="both"/>
        <w:rPr>
          <w:rFonts w:ascii="Arial" w:hAnsi="Arial" w:cs="Arial"/>
          <w:b/>
          <w:sz w:val="24"/>
          <w:szCs w:val="24"/>
        </w:rPr>
      </w:pPr>
    </w:p>
    <w:p w14:paraId="07F9ACA6" w14:textId="77777777" w:rsidR="00E46C0A" w:rsidRPr="00F508F9" w:rsidRDefault="00E46C0A" w:rsidP="0014585C">
      <w:pPr>
        <w:ind w:right="-234"/>
        <w:jc w:val="both"/>
        <w:rPr>
          <w:rFonts w:ascii="Arial" w:hAnsi="Arial" w:cs="Arial"/>
          <w:sz w:val="24"/>
          <w:szCs w:val="24"/>
        </w:rPr>
      </w:pPr>
      <w:r w:rsidRPr="00F508F9">
        <w:rPr>
          <w:rFonts w:ascii="Arial" w:hAnsi="Arial" w:cs="Arial"/>
          <w:b/>
          <w:sz w:val="24"/>
          <w:szCs w:val="24"/>
        </w:rPr>
        <w:t xml:space="preserve">Párrafo de énfasis cuentas de reclamaciones en auditoría con antigüedad mayor a 2 meses desde su radicación. </w:t>
      </w:r>
      <w:r w:rsidRPr="00F508F9">
        <w:rPr>
          <w:rFonts w:ascii="Arial" w:hAnsi="Arial" w:cs="Arial"/>
          <w:sz w:val="24"/>
          <w:szCs w:val="24"/>
        </w:rPr>
        <w:t xml:space="preserve">Sin modificar mi opinión, llamo la atención sobre la Nota 26.2.1.1, de los estados financieros en la que se indica que La ADRES al 31 de diciembre de 2024, en sus cuentas de orden ha registrado Reclamaciones por accidentes de tránsito ocasionados por vehículos no identificados o sin SOAT, eventos terroristas y eventos catastróficos de origen natural por $1.044.580 millones. De acuerdo por lo establecido en las Resoluciones 1236 de agosto 2023 emitida por el Ministerio de Salud y Protección Social y 1278 de agosto 2023 emitida por La ADRES, “El tiempo establecido para realizar la auditoría integral de las Reclamaciones es de 2 </w:t>
      </w:r>
      <w:r w:rsidRPr="00F508F9">
        <w:rPr>
          <w:rFonts w:ascii="Arial" w:hAnsi="Arial" w:cs="Arial"/>
          <w:sz w:val="24"/>
          <w:szCs w:val="24"/>
        </w:rPr>
        <w:lastRenderedPageBreak/>
        <w:t>meses siguientes al cierre del periodo de la radicación”, sin embargo, al 31 de diciembre de 2024, aún estaban en proceso de auditoría integral Reclamaciones radicadas en los periodos de agosto a octubre 2024.</w:t>
      </w:r>
    </w:p>
    <w:p w14:paraId="1060FEED" w14:textId="77777777" w:rsidR="00E46C0A" w:rsidRPr="00F508F9" w:rsidRDefault="00E46C0A" w:rsidP="0014585C">
      <w:pPr>
        <w:spacing w:before="40" w:after="40"/>
        <w:ind w:right="-234"/>
        <w:jc w:val="both"/>
        <w:rPr>
          <w:rFonts w:ascii="Arial" w:hAnsi="Arial" w:cs="Arial"/>
          <w:sz w:val="24"/>
          <w:szCs w:val="24"/>
        </w:rPr>
      </w:pPr>
    </w:p>
    <w:p w14:paraId="74207A6C" w14:textId="77777777" w:rsidR="00E46C0A" w:rsidRPr="00F508F9" w:rsidRDefault="00E46C0A" w:rsidP="0014585C">
      <w:pPr>
        <w:ind w:right="-234"/>
        <w:jc w:val="both"/>
        <w:rPr>
          <w:rFonts w:ascii="Arial" w:hAnsi="Arial" w:cs="Arial"/>
          <w:b/>
          <w:sz w:val="24"/>
          <w:szCs w:val="24"/>
        </w:rPr>
      </w:pPr>
      <w:r w:rsidRPr="00F508F9">
        <w:rPr>
          <w:rFonts w:ascii="Arial" w:hAnsi="Arial" w:cs="Arial"/>
          <w:b/>
          <w:sz w:val="24"/>
          <w:szCs w:val="24"/>
        </w:rPr>
        <w:t>INFORME DEL REVISOR FISCAL SOBRE EL CUMPLIMIENTO DE LOS NUMERALES PRIMERO Y TERCERO DEL ARTICULO 209 DEL CÓDIGO DE COMERCIO.</w:t>
      </w:r>
    </w:p>
    <w:p w14:paraId="1D058782" w14:textId="77777777" w:rsidR="00E46C0A" w:rsidRPr="00F508F9" w:rsidRDefault="00E46C0A" w:rsidP="0014585C">
      <w:pPr>
        <w:ind w:right="-234"/>
        <w:jc w:val="both"/>
        <w:rPr>
          <w:rFonts w:ascii="Arial" w:hAnsi="Arial" w:cs="Arial"/>
          <w:b/>
          <w:sz w:val="24"/>
          <w:szCs w:val="24"/>
        </w:rPr>
      </w:pPr>
    </w:p>
    <w:p w14:paraId="782C4CE1" w14:textId="77777777" w:rsidR="00E46C0A" w:rsidRPr="00F508F9" w:rsidRDefault="00E46C0A" w:rsidP="0014585C">
      <w:pPr>
        <w:ind w:right="-234"/>
        <w:jc w:val="both"/>
        <w:rPr>
          <w:rFonts w:ascii="Arial" w:hAnsi="Arial" w:cs="Arial"/>
          <w:sz w:val="24"/>
          <w:szCs w:val="24"/>
        </w:rPr>
      </w:pPr>
      <w:r w:rsidRPr="00F508F9">
        <w:rPr>
          <w:rFonts w:ascii="Arial" w:hAnsi="Arial" w:cs="Arial"/>
          <w:b/>
          <w:sz w:val="24"/>
          <w:szCs w:val="24"/>
        </w:rPr>
        <w:t xml:space="preserve">Conclusión con Salvedad. </w:t>
      </w:r>
      <w:r w:rsidRPr="00F508F9">
        <w:rPr>
          <w:rFonts w:ascii="Arial" w:hAnsi="Arial" w:cs="Arial"/>
          <w:b/>
          <w:sz w:val="24"/>
          <w:szCs w:val="24"/>
          <w:u w:val="single"/>
        </w:rPr>
        <w:t>Conforme a mis procedimientos de auditoría desarrollados en su conjunto y las limitaciones inherentes detalladas anteriormente, excepto por lo descrito en el siguiente párrafo</w:t>
      </w:r>
      <w:r w:rsidRPr="00F508F9">
        <w:rPr>
          <w:rFonts w:ascii="Arial" w:hAnsi="Arial" w:cs="Arial"/>
          <w:sz w:val="24"/>
          <w:szCs w:val="24"/>
        </w:rPr>
        <w:t>, puedo concluir que al 31 de diciembre de 2024, los actos de los administradores de la entidad se ajustan a las decisiones de la Junta Directiva y las medidas de control interno, de conservación y custodia de los bienes de la entidad o de los de terceros que estén en su poder, existen y son adecuadas, en todos los aspectos materiales, según los criterios aplicables.</w:t>
      </w:r>
    </w:p>
    <w:p w14:paraId="568E5EF4" w14:textId="77777777" w:rsidR="00E46C0A" w:rsidRPr="00F508F9" w:rsidRDefault="00E46C0A" w:rsidP="00E46C0A">
      <w:pPr>
        <w:spacing w:before="40" w:after="40"/>
        <w:jc w:val="both"/>
        <w:rPr>
          <w:rFonts w:ascii="Arial" w:hAnsi="Arial" w:cs="Arial"/>
          <w:sz w:val="24"/>
          <w:szCs w:val="24"/>
        </w:rPr>
      </w:pPr>
    </w:p>
    <w:p w14:paraId="2EDDA35D" w14:textId="77777777" w:rsidR="00E46C0A" w:rsidRPr="00F508F9" w:rsidRDefault="00E46C0A" w:rsidP="0014585C">
      <w:pPr>
        <w:ind w:right="-234"/>
        <w:jc w:val="both"/>
        <w:rPr>
          <w:rFonts w:ascii="Arial" w:hAnsi="Arial" w:cs="Arial"/>
          <w:sz w:val="24"/>
          <w:szCs w:val="24"/>
        </w:rPr>
      </w:pPr>
      <w:r w:rsidRPr="00F508F9">
        <w:rPr>
          <w:rFonts w:ascii="Arial" w:hAnsi="Arial" w:cs="Arial"/>
          <w:b/>
          <w:sz w:val="24"/>
          <w:szCs w:val="24"/>
        </w:rPr>
        <w:t xml:space="preserve">Fundamento de la Conclusión Con Salvedades. </w:t>
      </w:r>
      <w:r w:rsidRPr="00F508F9">
        <w:rPr>
          <w:rFonts w:ascii="Arial" w:hAnsi="Arial" w:cs="Arial"/>
          <w:b/>
          <w:sz w:val="24"/>
          <w:szCs w:val="24"/>
          <w:u w:val="single"/>
        </w:rPr>
        <w:t>Se ha observado que las actas de Junta Directiva de 2024 correspondiente a las sesiones, asincrónica No. 87 del 18 y 19 de enero, No. 90 del 14 de febrero y No. 92 del 20 de marzo de 2024, aunque fueron transcritas con base en las grabaciones, aún se encuentran en proceso de firma. La omisión de firmas puede afectar la validez de los hechos que consten en las mismas, lo cual constituye una debilidad en su control interno</w:t>
      </w:r>
      <w:r w:rsidRPr="00F508F9">
        <w:rPr>
          <w:rFonts w:ascii="Arial" w:hAnsi="Arial" w:cs="Arial"/>
          <w:sz w:val="24"/>
          <w:szCs w:val="24"/>
        </w:rPr>
        <w:t>, no obstante, la entidad se encuentra desarrollando las gestiones para la formalización de las actas”.</w:t>
      </w:r>
    </w:p>
    <w:p w14:paraId="07D0EFC5" w14:textId="77777777" w:rsidR="00E46C0A" w:rsidRDefault="00E46C0A" w:rsidP="00146806">
      <w:pPr>
        <w:ind w:right="-376"/>
        <w:jc w:val="both"/>
        <w:rPr>
          <w:rFonts w:ascii="Arial" w:hAnsi="Arial" w:cs="Arial"/>
          <w:b/>
          <w:spacing w:val="-3"/>
          <w:sz w:val="24"/>
          <w:szCs w:val="24"/>
        </w:rPr>
      </w:pPr>
    </w:p>
    <w:p w14:paraId="758B08E4" w14:textId="77777777" w:rsidR="00E46C0A" w:rsidRPr="009F5F24" w:rsidRDefault="00E46C0A" w:rsidP="0014585C">
      <w:pPr>
        <w:ind w:right="-234"/>
        <w:jc w:val="both"/>
        <w:rPr>
          <w:rFonts w:ascii="Arial" w:hAnsi="Arial" w:cs="Arial"/>
          <w:b/>
          <w:sz w:val="28"/>
          <w:szCs w:val="28"/>
          <w:lang w:val="es-MX"/>
        </w:rPr>
      </w:pPr>
      <w:r w:rsidRPr="009F5F24">
        <w:rPr>
          <w:rFonts w:ascii="Arial" w:hAnsi="Arial" w:cs="Arial"/>
          <w:b/>
          <w:sz w:val="28"/>
          <w:szCs w:val="28"/>
          <w:lang w:val="es-MX"/>
        </w:rPr>
        <w:t xml:space="preserve">132.- </w:t>
      </w:r>
      <w:r w:rsidRPr="009F5F24">
        <w:rPr>
          <w:rFonts w:ascii="Arial" w:hAnsi="Arial" w:cs="Arial"/>
          <w:b/>
          <w:sz w:val="28"/>
          <w:szCs w:val="28"/>
        </w:rPr>
        <w:t>ADMINISTRADORA DE LOS RECURSOS DEL SISTEMA GENERAL DE SEGURIDAD SOCIAL EN SALUD ADRES – UNIDAD DE GESTIÓN GENERAL - UGG</w:t>
      </w:r>
      <w:r w:rsidRPr="009F5F24">
        <w:rPr>
          <w:rFonts w:ascii="Arial" w:hAnsi="Arial" w:cs="Arial"/>
          <w:b/>
          <w:sz w:val="28"/>
          <w:szCs w:val="28"/>
          <w:lang w:val="es-MX"/>
        </w:rPr>
        <w:t>.</w:t>
      </w:r>
    </w:p>
    <w:p w14:paraId="71E11919" w14:textId="77777777" w:rsidR="00E46C0A" w:rsidRDefault="00E46C0A" w:rsidP="00146806">
      <w:pPr>
        <w:ind w:right="-376"/>
        <w:jc w:val="both"/>
        <w:rPr>
          <w:rFonts w:ascii="Arial" w:hAnsi="Arial" w:cs="Arial"/>
          <w:b/>
          <w:spacing w:val="-3"/>
          <w:sz w:val="24"/>
          <w:szCs w:val="24"/>
          <w:lang w:val="es-MX"/>
        </w:rPr>
      </w:pPr>
    </w:p>
    <w:p w14:paraId="638CC11A" w14:textId="77777777" w:rsidR="00E46C0A" w:rsidRPr="009F5F24" w:rsidRDefault="00E46C0A" w:rsidP="00146806">
      <w:pPr>
        <w:spacing w:before="40" w:after="40"/>
        <w:ind w:right="-376"/>
        <w:jc w:val="both"/>
        <w:rPr>
          <w:rFonts w:ascii="Arial" w:hAnsi="Arial" w:cs="Arial"/>
          <w:b/>
          <w:sz w:val="24"/>
          <w:szCs w:val="24"/>
        </w:rPr>
      </w:pPr>
      <w:r>
        <w:rPr>
          <w:b/>
          <w:sz w:val="24"/>
          <w:szCs w:val="24"/>
        </w:rPr>
        <w:t>“</w:t>
      </w:r>
      <w:r w:rsidRPr="009F5F24">
        <w:rPr>
          <w:rFonts w:ascii="Arial" w:hAnsi="Arial" w:cs="Arial"/>
          <w:b/>
          <w:sz w:val="24"/>
          <w:szCs w:val="24"/>
        </w:rPr>
        <w:t>Conclusión con Salvedad.</w:t>
      </w:r>
    </w:p>
    <w:p w14:paraId="29D8E760" w14:textId="77777777" w:rsidR="00E46C0A" w:rsidRPr="009F5F24" w:rsidRDefault="00E46C0A" w:rsidP="00146806">
      <w:pPr>
        <w:spacing w:before="40" w:after="40"/>
        <w:ind w:right="-376"/>
        <w:jc w:val="both"/>
        <w:rPr>
          <w:rFonts w:ascii="Arial" w:hAnsi="Arial" w:cs="Arial"/>
          <w:b/>
          <w:sz w:val="24"/>
          <w:szCs w:val="24"/>
        </w:rPr>
      </w:pPr>
    </w:p>
    <w:p w14:paraId="01311B0E" w14:textId="77777777" w:rsidR="00E46C0A" w:rsidRPr="009F5F24" w:rsidRDefault="00E46C0A" w:rsidP="0014585C">
      <w:pPr>
        <w:spacing w:before="40" w:after="40"/>
        <w:ind w:right="-93"/>
        <w:jc w:val="both"/>
        <w:rPr>
          <w:rFonts w:ascii="Arial" w:hAnsi="Arial" w:cs="Arial"/>
          <w:bCs/>
          <w:sz w:val="24"/>
          <w:szCs w:val="24"/>
        </w:rPr>
      </w:pPr>
      <w:r w:rsidRPr="009F5F24">
        <w:rPr>
          <w:rFonts w:ascii="Arial" w:hAnsi="Arial" w:cs="Arial"/>
          <w:b/>
          <w:sz w:val="24"/>
          <w:szCs w:val="24"/>
        </w:rPr>
        <w:t xml:space="preserve">Fundamento de la Conclusión Con Salvedades. </w:t>
      </w:r>
      <w:r w:rsidRPr="009F5F24">
        <w:rPr>
          <w:rFonts w:ascii="Arial" w:hAnsi="Arial" w:cs="Arial"/>
          <w:sz w:val="24"/>
          <w:szCs w:val="24"/>
        </w:rPr>
        <w:t>Se ha observado que las actas de Junta Directiva de 2024 correspondiente a las sesiones, asincrónica No. 87 del 18 y 19 de enero, No. 90 del 14 de febrero y No. 92 del 20 de marzo de 2024, aunque fueron transcritas con base en las grabaciones, aún se encuentran en proceso de firma. La omisión de firmas puede afectar la validez de los hechos que consten en las mismas, lo cual constituye una debilidad en su control interno, no obstante, la entidad se encuentra desarrollando las gestiones para la formalización de las actas”.</w:t>
      </w:r>
    </w:p>
    <w:p w14:paraId="53E79F02" w14:textId="77777777" w:rsidR="00E46C0A" w:rsidRDefault="00E46C0A" w:rsidP="0014585C">
      <w:pPr>
        <w:ind w:right="-93"/>
        <w:jc w:val="both"/>
        <w:rPr>
          <w:rFonts w:ascii="Arial" w:hAnsi="Arial" w:cs="Arial"/>
          <w:b/>
          <w:spacing w:val="-3"/>
          <w:sz w:val="24"/>
          <w:szCs w:val="24"/>
        </w:rPr>
      </w:pPr>
    </w:p>
    <w:p w14:paraId="77CBEF09" w14:textId="77777777" w:rsidR="00E46C0A" w:rsidRPr="00E806B5" w:rsidRDefault="00E46C0A" w:rsidP="0014585C">
      <w:pPr>
        <w:ind w:right="-93"/>
        <w:jc w:val="both"/>
        <w:rPr>
          <w:rFonts w:ascii="Arial" w:hAnsi="Arial" w:cs="Arial"/>
          <w:b/>
          <w:sz w:val="28"/>
          <w:szCs w:val="28"/>
          <w:lang w:val="es-MX"/>
        </w:rPr>
      </w:pPr>
      <w:r w:rsidRPr="00E806B5">
        <w:rPr>
          <w:rFonts w:ascii="Arial" w:hAnsi="Arial" w:cs="Arial"/>
          <w:b/>
          <w:sz w:val="28"/>
          <w:szCs w:val="28"/>
          <w:lang w:val="es-MX"/>
        </w:rPr>
        <w:t>147.- INDUSTRIA MILITAR - INDUMIL.</w:t>
      </w:r>
    </w:p>
    <w:p w14:paraId="659E135E" w14:textId="77777777" w:rsidR="00E46C0A" w:rsidRDefault="00E46C0A" w:rsidP="0014585C">
      <w:pPr>
        <w:pStyle w:val="Textoindependiente"/>
        <w:ind w:right="-93"/>
        <w:jc w:val="both"/>
        <w:rPr>
          <w:b/>
          <w:sz w:val="28"/>
          <w:szCs w:val="28"/>
        </w:rPr>
      </w:pPr>
    </w:p>
    <w:p w14:paraId="7C59FAF3" w14:textId="77777777" w:rsidR="00E46C0A" w:rsidRPr="00E806B5" w:rsidRDefault="00E46C0A" w:rsidP="0014585C">
      <w:pPr>
        <w:pStyle w:val="Textoindependiente"/>
        <w:ind w:right="-93"/>
        <w:jc w:val="both"/>
        <w:rPr>
          <w:rFonts w:ascii="Arial" w:hAnsi="Arial" w:cs="Arial"/>
          <w:b/>
          <w:bCs/>
          <w:sz w:val="24"/>
          <w:szCs w:val="24"/>
        </w:rPr>
      </w:pPr>
      <w:r w:rsidRPr="00E806B5">
        <w:rPr>
          <w:rFonts w:ascii="Arial" w:hAnsi="Arial" w:cs="Arial"/>
          <w:b/>
          <w:bCs/>
          <w:sz w:val="24"/>
          <w:szCs w:val="24"/>
        </w:rPr>
        <w:t>“Párrafo de énfasis por Reexpresión.</w:t>
      </w:r>
    </w:p>
    <w:p w14:paraId="22FD3B82" w14:textId="77777777" w:rsidR="00E46C0A" w:rsidRPr="00E806B5" w:rsidRDefault="00E46C0A" w:rsidP="0014585C">
      <w:pPr>
        <w:pStyle w:val="Textoindependiente"/>
        <w:ind w:right="-93"/>
        <w:jc w:val="both"/>
        <w:rPr>
          <w:rFonts w:ascii="Arial" w:hAnsi="Arial" w:cs="Arial"/>
          <w:b/>
          <w:bCs/>
          <w:sz w:val="24"/>
          <w:szCs w:val="24"/>
        </w:rPr>
      </w:pPr>
    </w:p>
    <w:p w14:paraId="67E0AE2F" w14:textId="77777777" w:rsidR="00E46C0A" w:rsidRPr="00E806B5" w:rsidRDefault="00E46C0A" w:rsidP="0014585C">
      <w:pPr>
        <w:pStyle w:val="Textoindependiente"/>
        <w:ind w:right="-93"/>
        <w:jc w:val="both"/>
        <w:rPr>
          <w:rFonts w:ascii="Arial" w:hAnsi="Arial" w:cs="Arial"/>
          <w:sz w:val="24"/>
          <w:szCs w:val="24"/>
        </w:rPr>
      </w:pPr>
      <w:r w:rsidRPr="00E806B5">
        <w:rPr>
          <w:rFonts w:ascii="Arial" w:hAnsi="Arial" w:cs="Arial"/>
          <w:sz w:val="24"/>
          <w:szCs w:val="24"/>
        </w:rPr>
        <w:t xml:space="preserve">Sin modificar mi opinión, llamo la atención sobre la Nota 3.3. de los estados financieros adjuntos, en cuanto a que la Industria Militar determinó la necesidad de corregir sus estados financieros dando de baja la provisión del “Proyecto fortaleza” por valor de $12 mil millones, afectando los resultados de ejercicios anteriores. Los saldos iniciales del periodo terminado al 31 de diciembre de 2023, es decir, los saldos al 1 de enero de 2023 han sido re-expresados retroactivamente </w:t>
      </w:r>
      <w:r w:rsidRPr="00E806B5">
        <w:rPr>
          <w:rFonts w:ascii="Arial" w:hAnsi="Arial" w:cs="Arial"/>
          <w:sz w:val="24"/>
          <w:szCs w:val="24"/>
        </w:rPr>
        <w:lastRenderedPageBreak/>
        <w:t>para reflejar dichos ajustes como si hubieran sido efectuados en esa fecha”.</w:t>
      </w:r>
    </w:p>
    <w:p w14:paraId="3187379D" w14:textId="77777777" w:rsidR="00E46C0A" w:rsidRPr="00E806B5" w:rsidRDefault="00E46C0A" w:rsidP="0014585C">
      <w:pPr>
        <w:pStyle w:val="Textoindependiente"/>
        <w:ind w:right="-93"/>
        <w:jc w:val="both"/>
        <w:rPr>
          <w:rFonts w:ascii="Arial" w:hAnsi="Arial" w:cs="Arial"/>
          <w:sz w:val="24"/>
          <w:szCs w:val="24"/>
        </w:rPr>
      </w:pPr>
    </w:p>
    <w:p w14:paraId="2B6D4326" w14:textId="77777777" w:rsidR="00E46C0A" w:rsidRPr="00992BB1" w:rsidRDefault="00E46C0A" w:rsidP="0014585C">
      <w:pPr>
        <w:ind w:right="-93"/>
        <w:jc w:val="both"/>
        <w:rPr>
          <w:rFonts w:ascii="Arial" w:hAnsi="Arial" w:cs="Arial"/>
          <w:b/>
          <w:sz w:val="32"/>
          <w:szCs w:val="32"/>
        </w:rPr>
      </w:pPr>
      <w:r w:rsidRPr="00992BB1">
        <w:rPr>
          <w:rFonts w:ascii="Arial" w:hAnsi="Arial" w:cs="Arial"/>
          <w:b/>
          <w:sz w:val="28"/>
          <w:szCs w:val="28"/>
          <w:lang w:val="es-MX"/>
        </w:rPr>
        <w:t xml:space="preserve">156.- </w:t>
      </w:r>
      <w:r w:rsidRPr="00992BB1">
        <w:rPr>
          <w:rFonts w:ascii="Arial" w:hAnsi="Arial" w:cs="Arial"/>
          <w:b/>
          <w:sz w:val="28"/>
          <w:szCs w:val="28"/>
        </w:rPr>
        <w:t>GRUPO BICENTENARIO S.A.S.</w:t>
      </w:r>
    </w:p>
    <w:p w14:paraId="19B5DCBA" w14:textId="77777777" w:rsidR="00E46C0A" w:rsidRDefault="00E46C0A" w:rsidP="0014585C">
      <w:pPr>
        <w:ind w:right="-93"/>
        <w:jc w:val="both"/>
        <w:rPr>
          <w:rFonts w:ascii="Arial" w:hAnsi="Arial" w:cs="Arial"/>
          <w:b/>
          <w:spacing w:val="-3"/>
          <w:sz w:val="24"/>
          <w:szCs w:val="24"/>
        </w:rPr>
      </w:pPr>
    </w:p>
    <w:p w14:paraId="70E18FD4" w14:textId="77777777" w:rsidR="00E46C0A" w:rsidRPr="00992BB1" w:rsidRDefault="00E46C0A" w:rsidP="0014585C">
      <w:pPr>
        <w:pStyle w:val="Textoindependiente"/>
        <w:ind w:right="-93"/>
        <w:jc w:val="both"/>
        <w:rPr>
          <w:rFonts w:ascii="Arial" w:hAnsi="Arial" w:cs="Arial"/>
          <w:sz w:val="24"/>
          <w:szCs w:val="24"/>
        </w:rPr>
      </w:pPr>
      <w:r w:rsidRPr="00992BB1">
        <w:rPr>
          <w:rFonts w:ascii="Arial" w:hAnsi="Arial" w:cs="Arial"/>
          <w:b/>
          <w:bCs/>
          <w:sz w:val="24"/>
          <w:szCs w:val="24"/>
        </w:rPr>
        <w:t xml:space="preserve">“Conclusión: </w:t>
      </w:r>
      <w:r w:rsidRPr="00992BB1">
        <w:rPr>
          <w:rFonts w:ascii="Arial" w:hAnsi="Arial" w:cs="Arial"/>
          <w:sz w:val="24"/>
          <w:szCs w:val="24"/>
        </w:rPr>
        <w:t>(…) Como parte del fortalecimiento asociado al control interno del reporte de información financiera y gestión contable, recordamos al grupo Bicentenario S.A.S, establecer planes de acción encaminados a establecer herramientas tecnológicas que le permitan soportar su operatividad, disminuyendo actividades manuales, riesgos y probabilidad de error”.</w:t>
      </w:r>
    </w:p>
    <w:p w14:paraId="1857A411" w14:textId="77777777" w:rsidR="00E46C0A" w:rsidRDefault="00E46C0A" w:rsidP="00146806">
      <w:pPr>
        <w:ind w:right="-376"/>
        <w:jc w:val="both"/>
        <w:rPr>
          <w:rFonts w:ascii="Arial" w:hAnsi="Arial" w:cs="Arial"/>
          <w:b/>
          <w:spacing w:val="-3"/>
          <w:sz w:val="24"/>
          <w:szCs w:val="24"/>
        </w:rPr>
      </w:pPr>
    </w:p>
    <w:p w14:paraId="753DD0F4" w14:textId="77777777" w:rsidR="00E46C0A" w:rsidRPr="000E7764" w:rsidRDefault="00E46C0A" w:rsidP="00146806">
      <w:pPr>
        <w:ind w:right="-376"/>
        <w:jc w:val="both"/>
        <w:rPr>
          <w:rFonts w:ascii="Arial" w:hAnsi="Arial" w:cs="Arial"/>
          <w:b/>
          <w:sz w:val="28"/>
          <w:szCs w:val="28"/>
          <w:lang w:val="es-MX"/>
        </w:rPr>
      </w:pPr>
      <w:r w:rsidRPr="000E7764">
        <w:rPr>
          <w:rFonts w:ascii="Arial" w:hAnsi="Arial" w:cs="Arial"/>
          <w:b/>
          <w:sz w:val="28"/>
          <w:szCs w:val="28"/>
          <w:lang w:val="es-MX"/>
        </w:rPr>
        <w:t>157.- ISA – INTERCONEXIÓN ELÉCTRICA S.A. E.S.P.</w:t>
      </w:r>
    </w:p>
    <w:p w14:paraId="5F8603FE" w14:textId="77777777" w:rsidR="00E46C0A" w:rsidRDefault="00E46C0A" w:rsidP="00146806">
      <w:pPr>
        <w:ind w:right="-376"/>
        <w:jc w:val="both"/>
        <w:rPr>
          <w:rFonts w:ascii="Arial" w:hAnsi="Arial" w:cs="Arial"/>
          <w:b/>
          <w:spacing w:val="-3"/>
          <w:sz w:val="24"/>
          <w:szCs w:val="24"/>
          <w:lang w:val="es-MX"/>
        </w:rPr>
      </w:pPr>
    </w:p>
    <w:p w14:paraId="33542215" w14:textId="77777777" w:rsidR="00E46C0A" w:rsidRPr="000E7764" w:rsidRDefault="00E46C0A" w:rsidP="0014585C">
      <w:pPr>
        <w:pStyle w:val="Textoindependiente"/>
        <w:ind w:right="-93"/>
        <w:jc w:val="both"/>
        <w:rPr>
          <w:rFonts w:ascii="Arial" w:hAnsi="Arial" w:cs="Arial"/>
          <w:sz w:val="24"/>
          <w:szCs w:val="24"/>
        </w:rPr>
      </w:pPr>
      <w:r w:rsidRPr="000E7764">
        <w:rPr>
          <w:rFonts w:ascii="Arial" w:hAnsi="Arial" w:cs="Arial"/>
          <w:sz w:val="24"/>
          <w:szCs w:val="24"/>
        </w:rPr>
        <w:t>“Como se indica en la Nota 12 a los estados financieros, CTEEP, subsidiaria de Interconexión Eléctrica S.A. E.S.P. a través de ISA Capital do Brasil, tiene registrado un saldo neto de cuentas por cobrar al Estado Sao Paulo por aproximadamente COP $1.826.040 millones, relacionados con los impactos de la Ley 4.819 de 1958, que otorgó a los empleados de las empresas bajo el control del Estado de Sao Paulo, beneficios ya concedidos a otros servidores públicos. CTEEP ha adelantado gestiones jurídicas ante las respectivas autoridades estatales, para recaudar estas cuentas por cobrar. Los estados financieros adjuntos no incluyen ajustes que pudieran resultar del desenlace de esta incertidumbre. Mi opinión no ha sido modificada por este asunto”.</w:t>
      </w:r>
    </w:p>
    <w:p w14:paraId="3DAC4E4E" w14:textId="77777777" w:rsidR="00E46C0A" w:rsidRDefault="00E46C0A" w:rsidP="0014585C">
      <w:pPr>
        <w:ind w:right="-93"/>
        <w:jc w:val="both"/>
        <w:rPr>
          <w:rFonts w:ascii="Arial" w:hAnsi="Arial" w:cs="Arial"/>
          <w:b/>
          <w:spacing w:val="-3"/>
          <w:sz w:val="24"/>
          <w:szCs w:val="24"/>
          <w:lang w:val="es-MX"/>
        </w:rPr>
      </w:pPr>
    </w:p>
    <w:p w14:paraId="1644D58A" w14:textId="77777777" w:rsidR="00E46C0A" w:rsidRPr="00A860CC" w:rsidRDefault="00E46C0A" w:rsidP="0014585C">
      <w:pPr>
        <w:ind w:right="-93"/>
        <w:jc w:val="both"/>
        <w:rPr>
          <w:rFonts w:ascii="Arial" w:hAnsi="Arial" w:cs="Arial"/>
          <w:b/>
          <w:sz w:val="28"/>
          <w:szCs w:val="28"/>
          <w:lang w:val="es-MX"/>
        </w:rPr>
      </w:pPr>
      <w:r w:rsidRPr="00A860CC">
        <w:rPr>
          <w:rFonts w:ascii="Arial" w:hAnsi="Arial" w:cs="Arial"/>
          <w:b/>
          <w:sz w:val="28"/>
          <w:szCs w:val="28"/>
          <w:lang w:val="es-MX"/>
        </w:rPr>
        <w:t>158.- CORPORACIÓN AUTÓNOMA REGIONAL DE NARIÑO – CORPONARIÑO.</w:t>
      </w:r>
    </w:p>
    <w:p w14:paraId="69C0C262" w14:textId="77777777" w:rsidR="00E46C0A" w:rsidRDefault="00E46C0A" w:rsidP="0014585C">
      <w:pPr>
        <w:ind w:right="-93"/>
        <w:jc w:val="both"/>
        <w:rPr>
          <w:rFonts w:ascii="Arial" w:hAnsi="Arial" w:cs="Arial"/>
          <w:b/>
          <w:spacing w:val="-3"/>
          <w:sz w:val="24"/>
          <w:szCs w:val="24"/>
          <w:lang w:val="es-MX"/>
        </w:rPr>
      </w:pPr>
    </w:p>
    <w:p w14:paraId="22EE0CBC" w14:textId="77777777" w:rsidR="00E46C0A" w:rsidRPr="00A860CC" w:rsidRDefault="00E46C0A" w:rsidP="0014585C">
      <w:pPr>
        <w:spacing w:after="298" w:line="218" w:lineRule="auto"/>
        <w:ind w:left="27" w:right="-93" w:firstLine="4"/>
        <w:jc w:val="both"/>
        <w:rPr>
          <w:rFonts w:ascii="Arial" w:hAnsi="Arial" w:cs="Arial"/>
          <w:sz w:val="24"/>
          <w:szCs w:val="24"/>
        </w:rPr>
      </w:pPr>
      <w:r w:rsidRPr="00A860CC">
        <w:rPr>
          <w:rFonts w:ascii="Arial" w:hAnsi="Arial" w:cs="Arial"/>
          <w:sz w:val="24"/>
          <w:szCs w:val="24"/>
        </w:rPr>
        <w:t>“En mi opinión, debido a la significatividad de las cuestiones descritas en la sección Fundamento de la opinión desfavorable (Adversa) de mi informe, los estados financieros adjuntos no presentan de manera razonable, en todos los aspectos materiales la situación financiera de la CORPORACIÓN REGIONAL AUTONOMA DE NARIÑO a 31 de diciembre de 2024, así como de sus resultados, correspondientes al ejercicio terminado en dicha fecha, de conformidad con las Normas Internacionales de Contabilidad del Sector Público (NICSP), definidas mediante la Resolución 533 de 2015 expedida por la Contaduría General de la Nación para Entidades de Gobierno.</w:t>
      </w:r>
    </w:p>
    <w:p w14:paraId="216B47B0" w14:textId="77777777" w:rsidR="00E46C0A" w:rsidRPr="00A860CC" w:rsidRDefault="00E46C0A" w:rsidP="00146806">
      <w:pPr>
        <w:spacing w:after="275"/>
        <w:ind w:left="23" w:right="-376" w:hanging="3"/>
        <w:rPr>
          <w:rFonts w:ascii="Arial" w:hAnsi="Arial" w:cs="Arial"/>
          <w:b/>
          <w:bCs/>
          <w:sz w:val="24"/>
          <w:szCs w:val="24"/>
        </w:rPr>
      </w:pPr>
      <w:r w:rsidRPr="00A860CC">
        <w:rPr>
          <w:rFonts w:ascii="Arial" w:hAnsi="Arial" w:cs="Arial"/>
          <w:b/>
          <w:bCs/>
          <w:sz w:val="24"/>
          <w:szCs w:val="24"/>
        </w:rPr>
        <w:t>FUNDAMENTO DE LA OPINIÓN DESFAVORABLE (ADVERSA).</w:t>
      </w:r>
    </w:p>
    <w:p w14:paraId="2BA9F80A" w14:textId="77777777" w:rsidR="00E46C0A" w:rsidRPr="00A860CC" w:rsidRDefault="00E46C0A" w:rsidP="00146806">
      <w:pPr>
        <w:ind w:right="-376"/>
        <w:rPr>
          <w:rFonts w:ascii="Arial" w:hAnsi="Arial" w:cs="Arial"/>
          <w:sz w:val="24"/>
          <w:szCs w:val="24"/>
        </w:rPr>
      </w:pPr>
      <w:r w:rsidRPr="00A860CC">
        <w:rPr>
          <w:rFonts w:ascii="Arial" w:hAnsi="Arial" w:cs="Arial"/>
          <w:sz w:val="24"/>
          <w:szCs w:val="24"/>
        </w:rPr>
        <w:t>Durante mi auditoría: identifique las siguientes cuestiones significativas y generalizadas en la preparación y presentación de los estados financieros:</w:t>
      </w:r>
    </w:p>
    <w:p w14:paraId="329D6DF4" w14:textId="77777777" w:rsidR="00E46C0A" w:rsidRPr="00A860CC" w:rsidRDefault="00E46C0A" w:rsidP="00146806">
      <w:pPr>
        <w:ind w:right="-376"/>
        <w:rPr>
          <w:rFonts w:ascii="Arial" w:hAnsi="Arial" w:cs="Arial"/>
          <w:sz w:val="24"/>
          <w:szCs w:val="24"/>
        </w:rPr>
      </w:pPr>
    </w:p>
    <w:p w14:paraId="5C8FE6B5" w14:textId="77777777" w:rsidR="00E46C0A" w:rsidRPr="00A860CC" w:rsidRDefault="00E46C0A" w:rsidP="0014585C">
      <w:pPr>
        <w:pStyle w:val="Textoindependiente"/>
        <w:numPr>
          <w:ilvl w:val="0"/>
          <w:numId w:val="97"/>
        </w:numPr>
        <w:ind w:right="-93"/>
        <w:jc w:val="both"/>
        <w:rPr>
          <w:rFonts w:ascii="Arial" w:hAnsi="Arial" w:cs="Arial"/>
          <w:sz w:val="24"/>
          <w:szCs w:val="24"/>
          <w:lang w:val="es-CO"/>
        </w:rPr>
      </w:pPr>
      <w:r w:rsidRPr="00A860CC">
        <w:rPr>
          <w:rFonts w:ascii="Arial" w:hAnsi="Arial" w:cs="Arial"/>
          <w:sz w:val="24"/>
          <w:szCs w:val="24"/>
        </w:rPr>
        <w:t xml:space="preserve">La Corporación no ha registrado adecuadamente el deterioro de sus cuentas por cobrar. La política contable de cuentas por cobrar, define en su numeral 3.6 medición posterior, que </w:t>
      </w:r>
      <w:r w:rsidRPr="00A860CC">
        <w:rPr>
          <w:rFonts w:ascii="Arial" w:hAnsi="Arial" w:cs="Arial"/>
          <w:sz w:val="24"/>
          <w:szCs w:val="24"/>
          <w:u w:val="single" w:color="000000"/>
        </w:rPr>
        <w:t>al cierre de cada periodo</w:t>
      </w:r>
      <w:r w:rsidRPr="00A860CC">
        <w:rPr>
          <w:rFonts w:ascii="Arial" w:hAnsi="Arial" w:cs="Arial"/>
          <w:sz w:val="24"/>
          <w:szCs w:val="24"/>
        </w:rPr>
        <w:t xml:space="preserve"> la CORPORACION AUTONOMA REGIONAL DE NARIÑO analizará si existe evidencia objetiva de deterioro de cada una de sus cuentas por cobrar, para tal efecto, existirá evidencia cuando el deudor ha incumplido con </w:t>
      </w:r>
      <w:r w:rsidRPr="00A860CC">
        <w:rPr>
          <w:rFonts w:ascii="Arial" w:hAnsi="Arial" w:cs="Arial"/>
          <w:sz w:val="24"/>
          <w:szCs w:val="24"/>
          <w:lang w:val="es-CO"/>
        </w:rPr>
        <w:t>el plazo de pago y presenta mora superior a 360 días. En esta política, se define, además, el procedimiento para el cálculo del deterioro, finalmente, indica que el cálculo del deterioro correspondiente al exceso del valor en libros de la cuenta por cobrar con respecto al valor presente de los flujos de efectivo futuros estimados, se reconocerá en la cuenta 1386 "Deterioro acumulado de cuentas por cobrar (CR)" contra el gasto del periodo.</w:t>
      </w:r>
    </w:p>
    <w:p w14:paraId="17928905" w14:textId="77777777" w:rsidR="00E46C0A" w:rsidRPr="00A860CC" w:rsidRDefault="00E46C0A" w:rsidP="00E46C0A">
      <w:pPr>
        <w:pStyle w:val="Textoindependiente"/>
        <w:rPr>
          <w:rFonts w:ascii="Arial" w:hAnsi="Arial" w:cs="Arial"/>
          <w:sz w:val="24"/>
          <w:szCs w:val="24"/>
          <w:lang w:val="es-CO"/>
        </w:rPr>
      </w:pPr>
    </w:p>
    <w:p w14:paraId="6B9F416E" w14:textId="2094C341" w:rsidR="00E46C0A"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lastRenderedPageBreak/>
        <w:t>A pesar de los avances en la identificación de una parte de las cuentas por cobrar, lideradas desde el área de tesorería, no se tiene la totalidad de las cuentas por cobrar clasificadas por edades, considerando que la identificación de cartera contempla parte de las fuentes de recaudo de la Corporación como tasa retributiva, Tasa por uso de Agua, y otros conceptos.</w:t>
      </w:r>
    </w:p>
    <w:p w14:paraId="06134CE3" w14:textId="77777777" w:rsidR="00E41332" w:rsidRPr="00A860CC" w:rsidRDefault="00E41332" w:rsidP="0014585C">
      <w:pPr>
        <w:pStyle w:val="Textoindependiente"/>
        <w:ind w:right="-93"/>
        <w:jc w:val="both"/>
        <w:rPr>
          <w:rFonts w:ascii="Arial" w:hAnsi="Arial" w:cs="Arial"/>
          <w:sz w:val="24"/>
          <w:szCs w:val="24"/>
          <w:lang w:val="es-CO"/>
        </w:rPr>
      </w:pPr>
    </w:p>
    <w:p w14:paraId="66EA956B" w14:textId="77777777" w:rsidR="00E46C0A" w:rsidRDefault="00E46C0A" w:rsidP="00E46C0A">
      <w:pPr>
        <w:pStyle w:val="Textoindependiente"/>
        <w:jc w:val="center"/>
      </w:pPr>
      <w:r w:rsidRPr="0074022B">
        <w:rPr>
          <w:noProof/>
          <w:lang w:val="es-CO" w:eastAsia="es-CO"/>
        </w:rPr>
        <w:drawing>
          <wp:inline distT="0" distB="0" distL="0" distR="0" wp14:anchorId="51CCD788" wp14:editId="3A756827">
            <wp:extent cx="5629275" cy="14954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9275" cy="1495425"/>
                    </a:xfrm>
                    <a:prstGeom prst="rect">
                      <a:avLst/>
                    </a:prstGeom>
                  </pic:spPr>
                </pic:pic>
              </a:graphicData>
            </a:graphic>
          </wp:inline>
        </w:drawing>
      </w:r>
    </w:p>
    <w:p w14:paraId="507325CD" w14:textId="77777777" w:rsidR="00E46C0A" w:rsidRPr="0074022B" w:rsidRDefault="00E46C0A" w:rsidP="00E46C0A">
      <w:pPr>
        <w:pStyle w:val="Textoindependiente"/>
        <w:jc w:val="both"/>
        <w:rPr>
          <w:sz w:val="20"/>
          <w:szCs w:val="20"/>
          <w:lang w:val="es-CO"/>
        </w:rPr>
      </w:pPr>
      <w:r>
        <w:rPr>
          <w:b/>
          <w:bCs/>
          <w:sz w:val="20"/>
          <w:szCs w:val="20"/>
          <w:lang w:val="es-CO"/>
        </w:rPr>
        <w:t xml:space="preserve">          </w:t>
      </w:r>
      <w:r w:rsidRPr="0074022B">
        <w:rPr>
          <w:b/>
          <w:bCs/>
          <w:sz w:val="20"/>
          <w:szCs w:val="20"/>
          <w:lang w:val="es-CO"/>
        </w:rPr>
        <w:t>Fuente:</w:t>
      </w:r>
      <w:r w:rsidRPr="0074022B">
        <w:rPr>
          <w:sz w:val="20"/>
          <w:szCs w:val="20"/>
          <w:lang w:val="es-CO"/>
        </w:rPr>
        <w:t xml:space="preserve"> CARTERA POR EDADES GNRAL A 31.12.2024 - Tesorería</w:t>
      </w:r>
    </w:p>
    <w:p w14:paraId="6C7E13F2" w14:textId="77777777" w:rsidR="00E46C0A" w:rsidRPr="0074022B" w:rsidRDefault="00E46C0A" w:rsidP="00E46C0A">
      <w:pPr>
        <w:pStyle w:val="Textoindependiente"/>
        <w:jc w:val="both"/>
        <w:rPr>
          <w:lang w:val="es-CO"/>
        </w:rPr>
      </w:pPr>
    </w:p>
    <w:p w14:paraId="3BD00906" w14:textId="77777777" w:rsidR="00E46C0A" w:rsidRPr="00A860CC" w:rsidRDefault="00E46C0A" w:rsidP="0014585C">
      <w:pPr>
        <w:pStyle w:val="Textoindependiente"/>
        <w:ind w:right="-93"/>
        <w:jc w:val="both"/>
        <w:rPr>
          <w:rFonts w:ascii="Arial" w:hAnsi="Arial" w:cs="Arial"/>
          <w:sz w:val="24"/>
          <w:szCs w:val="24"/>
          <w:lang w:val="es-CO"/>
        </w:rPr>
      </w:pPr>
      <w:r w:rsidRPr="0074022B">
        <w:rPr>
          <w:lang w:val="es-CO"/>
        </w:rPr>
        <w:t xml:space="preserve">En este sentido se debe tener en cuenta que las cuentas por cobrar reveladas en el estado </w:t>
      </w:r>
      <w:r w:rsidRPr="00A860CC">
        <w:rPr>
          <w:rFonts w:ascii="Arial" w:hAnsi="Arial" w:cs="Arial"/>
          <w:sz w:val="24"/>
          <w:szCs w:val="24"/>
          <w:lang w:val="es-CO"/>
        </w:rPr>
        <w:t>de situación financiera a 31 de diciembre de 2024, representan un monto de 54 mil millones de pesos, que representan un 49,5% del total de los activos, de estas según los estados financieros presentados por la Corporación 43 mil millones de pesos se clasifican como cuentas por cobrar no corrientes correspondientes a un 80% del total de esta partida; por su parte, las cuentas por cobrar identificadas y clasificadas por edades desde tesorería ascienden a 42 mil millones de pesos, de los cuales se presentan cuentas por cobrar con Una edad de más de 360 días por 34 mil millones de pesos (79.18%) y una cartera con una edad entre 181 a 360 días por 7 mil millones de pesos (16%).</w:t>
      </w:r>
    </w:p>
    <w:p w14:paraId="36F70A6A" w14:textId="77777777" w:rsidR="00E46C0A" w:rsidRPr="00A860CC" w:rsidRDefault="00E46C0A" w:rsidP="0014585C">
      <w:pPr>
        <w:pStyle w:val="Textoindependiente"/>
        <w:ind w:right="-93"/>
        <w:jc w:val="both"/>
        <w:rPr>
          <w:rFonts w:ascii="Arial" w:hAnsi="Arial" w:cs="Arial"/>
          <w:sz w:val="24"/>
          <w:szCs w:val="24"/>
          <w:lang w:val="es-CO"/>
        </w:rPr>
      </w:pPr>
    </w:p>
    <w:p w14:paraId="3E57592D"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Considerando lo anterior, y teniendo en cuenta que esta partida representa una parte sustancial dentro de los estados financieros, el no aplicar el deterioro a las cuentas por cobrar de conformidad con las políticas contables, representa una incorrección material, que afectaría de manera generalizada el estado de situación financiera, el estado de resultados, el estado de cambios en el patrimonio y el estado de notas a los estados financieros.</w:t>
      </w:r>
    </w:p>
    <w:p w14:paraId="3804F6EE" w14:textId="77777777" w:rsidR="00E46C0A" w:rsidRPr="00A860CC" w:rsidRDefault="00E46C0A" w:rsidP="0014585C">
      <w:pPr>
        <w:pStyle w:val="Textoindependiente"/>
        <w:ind w:right="-93"/>
        <w:jc w:val="both"/>
        <w:rPr>
          <w:rFonts w:ascii="Arial" w:hAnsi="Arial" w:cs="Arial"/>
          <w:sz w:val="24"/>
          <w:szCs w:val="24"/>
          <w:lang w:val="es-CO"/>
        </w:rPr>
      </w:pPr>
    </w:p>
    <w:p w14:paraId="3181CB4C"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Es deber manifestar que este deterioro, no se viene aplicando desde el año 2020, pese a que se ha expresado en los dictámenes de revisoría fiscal anteriores periodos (2021, 2022 y 2023), aunado lo anterior, se encuentra dentro del Plan de Mejoramiento derivado de los Hallazgos del Informe de Auditoría del Balance General de Hacienda Pública 2023, emitido por la Contraloría General de la República (CGR) dentro del cual está inmersa la Corporación.</w:t>
      </w:r>
    </w:p>
    <w:p w14:paraId="5B60FD59" w14:textId="77777777" w:rsidR="00E46C0A" w:rsidRPr="0074022B" w:rsidRDefault="00E46C0A" w:rsidP="00146806">
      <w:pPr>
        <w:pStyle w:val="Textoindependiente"/>
        <w:ind w:right="-376"/>
        <w:jc w:val="both"/>
        <w:rPr>
          <w:lang w:val="es-CO"/>
        </w:rPr>
      </w:pPr>
    </w:p>
    <w:p w14:paraId="32E417E6" w14:textId="77777777" w:rsidR="00E46C0A" w:rsidRPr="00A860CC" w:rsidRDefault="00E46C0A" w:rsidP="0014585C">
      <w:pPr>
        <w:pStyle w:val="Textoindependiente"/>
        <w:numPr>
          <w:ilvl w:val="0"/>
          <w:numId w:val="97"/>
        </w:numPr>
        <w:ind w:right="-93"/>
        <w:jc w:val="both"/>
        <w:rPr>
          <w:rFonts w:ascii="Arial" w:hAnsi="Arial" w:cs="Arial"/>
          <w:sz w:val="24"/>
          <w:szCs w:val="24"/>
          <w:lang w:val="es-CO"/>
        </w:rPr>
      </w:pPr>
      <w:r w:rsidRPr="00A860CC">
        <w:rPr>
          <w:rFonts w:ascii="Arial" w:hAnsi="Arial" w:cs="Arial"/>
          <w:sz w:val="24"/>
          <w:szCs w:val="24"/>
          <w:lang w:val="es-CO"/>
        </w:rPr>
        <w:t>Activos dentro de las partidas, se tienen 14.527 millones de pesos, Pasivos $2.679 millones de pesos (20% del total de los pasivos 13.745 millones)</w:t>
      </w:r>
      <w:r>
        <w:rPr>
          <w:rFonts w:ascii="Arial" w:hAnsi="Arial" w:cs="Arial"/>
          <w:sz w:val="24"/>
          <w:szCs w:val="24"/>
          <w:lang w:val="es-CO"/>
        </w:rPr>
        <w:t>.</w:t>
      </w:r>
    </w:p>
    <w:p w14:paraId="7375A0DA" w14:textId="77777777" w:rsidR="00E46C0A" w:rsidRPr="0074022B" w:rsidRDefault="00E46C0A" w:rsidP="00E46C0A">
      <w:pPr>
        <w:pStyle w:val="Textoindependiente"/>
        <w:jc w:val="both"/>
        <w:rPr>
          <w:lang w:val="es-CO"/>
        </w:rPr>
      </w:pPr>
    </w:p>
    <w:p w14:paraId="02A8C449" w14:textId="77777777" w:rsidR="00E46C0A" w:rsidRDefault="00E46C0A" w:rsidP="00E46C0A">
      <w:pPr>
        <w:pStyle w:val="Textoindependiente"/>
        <w:jc w:val="center"/>
      </w:pPr>
      <w:r w:rsidRPr="0074022B">
        <w:rPr>
          <w:noProof/>
          <w:lang w:val="es-CO" w:eastAsia="es-CO"/>
        </w:rPr>
        <w:drawing>
          <wp:inline distT="0" distB="0" distL="0" distR="0" wp14:anchorId="452981A6" wp14:editId="645FA335">
            <wp:extent cx="5657850" cy="13430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7850" cy="1343025"/>
                    </a:xfrm>
                    <a:prstGeom prst="rect">
                      <a:avLst/>
                    </a:prstGeom>
                  </pic:spPr>
                </pic:pic>
              </a:graphicData>
            </a:graphic>
          </wp:inline>
        </w:drawing>
      </w:r>
    </w:p>
    <w:p w14:paraId="1F7EC604" w14:textId="77777777" w:rsidR="00E46C0A" w:rsidRDefault="00E46C0A" w:rsidP="00E46C0A">
      <w:pPr>
        <w:pStyle w:val="Textoindependiente"/>
        <w:jc w:val="both"/>
      </w:pPr>
    </w:p>
    <w:p w14:paraId="5D7F4259"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Frente a las presentes cuentas, se realizó seguimiento por parte de esta revisoría fiscal, evidenciando que en las anteriores subcuentas se presentan partidas sobre las cuales, la administración debe efectuar los seguimientos y depuraciones, si ha ello hay lugar, se puede evidenciar en el cuadro anterior, que se presentan valores significativos desde años anteriores, lo cual, no se ha corregido por la Corporación, por lo tanto, genera incertidumbre en las cifras reveladas en el estado de situación financiera, la cual es generalizada en diferentes partidas.</w:t>
      </w:r>
    </w:p>
    <w:p w14:paraId="76213854" w14:textId="77777777" w:rsidR="00E46C0A" w:rsidRPr="00A860CC" w:rsidRDefault="00E46C0A" w:rsidP="0014585C">
      <w:pPr>
        <w:pStyle w:val="Textoindependiente"/>
        <w:ind w:right="-93"/>
        <w:jc w:val="both"/>
        <w:rPr>
          <w:rFonts w:ascii="Arial" w:hAnsi="Arial" w:cs="Arial"/>
          <w:sz w:val="24"/>
          <w:szCs w:val="24"/>
          <w:lang w:val="es-CO"/>
        </w:rPr>
      </w:pPr>
    </w:p>
    <w:p w14:paraId="737AF336"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Se debe mencionar que en la subcuenta 13371 2 Otras transferencias, se reportan diferentes fuentes o rentas, lo cual, dificulta efectuar una correcta clasificación y seguimiento de los saldos de esta partida, generando incertidumbre en los saldos de la misma.</w:t>
      </w:r>
    </w:p>
    <w:p w14:paraId="4ED152D5" w14:textId="77777777" w:rsidR="00E46C0A" w:rsidRPr="00A860CC" w:rsidRDefault="00E46C0A" w:rsidP="0014585C">
      <w:pPr>
        <w:pStyle w:val="Textoindependiente"/>
        <w:ind w:right="-93"/>
        <w:jc w:val="both"/>
        <w:rPr>
          <w:rFonts w:ascii="Arial" w:hAnsi="Arial" w:cs="Arial"/>
          <w:sz w:val="24"/>
          <w:szCs w:val="24"/>
          <w:lang w:val="es-CO"/>
        </w:rPr>
      </w:pPr>
    </w:p>
    <w:p w14:paraId="4F6384BA"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Se resalta la cuenta 138418 Excedentes Financieros, en la cual, se ha causado el valor del superávit presupuestal incorporado en la vigencia fiscal 2023, y sobre el cual, se debe dar claridad del registro de una cuenta por cobrar a favor de la misma Corporación, situación que no corresponde, por cuanto estos se generan de ejercicio meramente presupuestal que no afecta la contabilidad, puesto que, en los activos de la Corporación, ya se encuentran dichos montos.</w:t>
      </w:r>
    </w:p>
    <w:p w14:paraId="37E7BB1F" w14:textId="77777777" w:rsidR="00E46C0A" w:rsidRPr="00A860CC" w:rsidRDefault="00E46C0A" w:rsidP="0014585C">
      <w:pPr>
        <w:pStyle w:val="Textoindependiente"/>
        <w:ind w:right="-93"/>
        <w:jc w:val="both"/>
        <w:rPr>
          <w:rFonts w:ascii="Arial" w:hAnsi="Arial" w:cs="Arial"/>
          <w:sz w:val="24"/>
          <w:szCs w:val="24"/>
          <w:lang w:val="es-CO"/>
        </w:rPr>
      </w:pPr>
    </w:p>
    <w:p w14:paraId="50026F26"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Las subcuentas 138410, 138439, 138490 y 190903 registran saldos que se arrastran desde vigencias anteriores, con valores iguales y/o sin presentar mayor variación, los cuales, generan incertidumbre en la información presentada en los estados financieros. Es de señalar, que se tienen dentro de estas partidas, montos que superan la edad, en más de 360 días.</w:t>
      </w:r>
    </w:p>
    <w:p w14:paraId="086EEB4F" w14:textId="77777777" w:rsidR="00E46C0A" w:rsidRPr="00A860CC" w:rsidRDefault="00E46C0A" w:rsidP="0014585C">
      <w:pPr>
        <w:pStyle w:val="Textoindependiente"/>
        <w:ind w:right="-93"/>
        <w:jc w:val="both"/>
        <w:rPr>
          <w:rFonts w:ascii="Arial" w:hAnsi="Arial" w:cs="Arial"/>
          <w:sz w:val="24"/>
          <w:szCs w:val="24"/>
          <w:lang w:val="es-CO"/>
        </w:rPr>
      </w:pPr>
    </w:p>
    <w:p w14:paraId="2245FBC2"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Finalmente, las subcuentas del pasivo 240720 y 240790 presentan saldos que desde el año 2022, no han presentado variaciones, lo cual, conlleva o generar incertidumbre en la existencia de estas partidas, además, incluye cuentas por pagar de más de 360 días.</w:t>
      </w:r>
    </w:p>
    <w:p w14:paraId="71D814F2" w14:textId="77777777" w:rsidR="00E46C0A" w:rsidRPr="00A860CC" w:rsidRDefault="00E46C0A" w:rsidP="0014585C">
      <w:pPr>
        <w:pStyle w:val="Textoindependiente"/>
        <w:ind w:right="-93"/>
        <w:jc w:val="both"/>
        <w:rPr>
          <w:rFonts w:ascii="Arial" w:hAnsi="Arial" w:cs="Arial"/>
          <w:sz w:val="24"/>
          <w:szCs w:val="24"/>
          <w:lang w:val="es-CO"/>
        </w:rPr>
      </w:pPr>
    </w:p>
    <w:p w14:paraId="09A86F18"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Es deber manifestar que la clasificación de cuentas por cobrar y recaudos por clasificar, se encuentra dentro del Plan de Mejoramiento derivado de los Hallazgos del Informe de Auditoría del Balance General de Hacienda Pública 2023, emitido por la Contraloría General de la República (CGR) dentro del cual está inmersa la Corporación, siendo reiterativo desde años pasados y sobre las cuales, la Corporación no ha logrado identificar con precisión los valores de estas partidas.</w:t>
      </w:r>
    </w:p>
    <w:p w14:paraId="1DBAA3D8" w14:textId="77777777" w:rsidR="00E46C0A" w:rsidRPr="00A860CC" w:rsidRDefault="00E46C0A" w:rsidP="0014585C">
      <w:pPr>
        <w:pStyle w:val="Textoindependiente"/>
        <w:ind w:right="-93"/>
        <w:jc w:val="both"/>
        <w:rPr>
          <w:rFonts w:ascii="Arial" w:hAnsi="Arial" w:cs="Arial"/>
          <w:sz w:val="24"/>
          <w:szCs w:val="24"/>
          <w:lang w:val="es-CO"/>
        </w:rPr>
      </w:pPr>
    </w:p>
    <w:p w14:paraId="1C2C4AD2" w14:textId="77777777" w:rsidR="00E46C0A" w:rsidRPr="00A860CC" w:rsidRDefault="00E46C0A" w:rsidP="0014585C">
      <w:pPr>
        <w:pStyle w:val="Textoindependiente"/>
        <w:numPr>
          <w:ilvl w:val="0"/>
          <w:numId w:val="97"/>
        </w:numPr>
        <w:ind w:right="-93"/>
        <w:jc w:val="both"/>
        <w:rPr>
          <w:rFonts w:ascii="Arial" w:hAnsi="Arial" w:cs="Arial"/>
          <w:sz w:val="24"/>
          <w:szCs w:val="24"/>
          <w:lang w:val="es-CO"/>
        </w:rPr>
      </w:pPr>
      <w:r w:rsidRPr="00A860CC">
        <w:rPr>
          <w:rFonts w:ascii="Arial" w:hAnsi="Arial" w:cs="Arial"/>
          <w:sz w:val="24"/>
          <w:szCs w:val="24"/>
          <w:lang w:val="es-CO"/>
        </w:rPr>
        <w:t xml:space="preserve">La cuenta 1110 Depósitos en Entidades Financieras, refleja partidas por conciliar, las cuales, arrastran operaciones desde años anteriores, que generan que los saldos de los extractos bancarios no se encuentren conciliados con los saldos reflejados en los libros de contabilidad de </w:t>
      </w:r>
      <w:r w:rsidRPr="00A860CC">
        <w:rPr>
          <w:rFonts w:ascii="Arial" w:hAnsi="Arial" w:cs="Arial"/>
          <w:noProof/>
          <w:sz w:val="24"/>
          <w:szCs w:val="24"/>
          <w:lang w:val="es-CO"/>
        </w:rPr>
        <w:t xml:space="preserve">la </w:t>
      </w:r>
      <w:r w:rsidRPr="00A860CC">
        <w:rPr>
          <w:rFonts w:ascii="Arial" w:hAnsi="Arial" w:cs="Arial"/>
          <w:sz w:val="24"/>
          <w:szCs w:val="24"/>
          <w:lang w:val="es-CO"/>
        </w:rPr>
        <w:t>Corporación, de los extractos remitidos por la administración del mes de diciembre de 2024, se pudo determinar, que las diferencias entre los extractos bancarios y los libros contables, ascienden a 3.328 millones de pesos, con unos mayores valores en bancos. Lo anterior, genera incertidumbre en la información financiera ya que esto afecta el saldo de bancos y puede afectar contrapartidas del estado de resultados y/o del estado de situación financiera.</w:t>
      </w:r>
    </w:p>
    <w:p w14:paraId="6A3F1A5A" w14:textId="77777777" w:rsidR="00E46C0A" w:rsidRPr="00E7429B" w:rsidRDefault="00E46C0A" w:rsidP="00146806">
      <w:pPr>
        <w:pStyle w:val="Textoindependiente"/>
        <w:ind w:right="-376"/>
        <w:jc w:val="both"/>
        <w:rPr>
          <w:lang w:val="es-CO"/>
        </w:rPr>
      </w:pPr>
    </w:p>
    <w:p w14:paraId="11E2D427" w14:textId="77777777" w:rsidR="00E46C0A" w:rsidRPr="00E7429B" w:rsidRDefault="00E46C0A" w:rsidP="00E46C0A">
      <w:pPr>
        <w:pStyle w:val="Textoindependiente"/>
        <w:jc w:val="center"/>
        <w:rPr>
          <w:lang w:val="es-CO"/>
        </w:rPr>
      </w:pPr>
      <w:r w:rsidRPr="00E7429B">
        <w:rPr>
          <w:noProof/>
          <w:lang w:val="es-CO" w:eastAsia="es-CO"/>
        </w:rPr>
        <w:lastRenderedPageBreak/>
        <w:drawing>
          <wp:inline distT="0" distB="0" distL="0" distR="0" wp14:anchorId="4405034B" wp14:editId="0F5C2253">
            <wp:extent cx="5534025" cy="27051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34025" cy="2705100"/>
                    </a:xfrm>
                    <a:prstGeom prst="rect">
                      <a:avLst/>
                    </a:prstGeom>
                  </pic:spPr>
                </pic:pic>
              </a:graphicData>
            </a:graphic>
          </wp:inline>
        </w:drawing>
      </w:r>
    </w:p>
    <w:p w14:paraId="45F18D65" w14:textId="77777777" w:rsidR="00E46C0A" w:rsidRDefault="00E46C0A" w:rsidP="00E46C0A">
      <w:pPr>
        <w:pStyle w:val="Textoindependiente"/>
        <w:jc w:val="center"/>
      </w:pPr>
      <w:r w:rsidRPr="00E7429B">
        <w:rPr>
          <w:noProof/>
          <w:lang w:val="es-CO" w:eastAsia="es-CO"/>
        </w:rPr>
        <w:drawing>
          <wp:inline distT="0" distB="0" distL="0" distR="0" wp14:anchorId="5C9D87F7" wp14:editId="22760951">
            <wp:extent cx="5543550" cy="2743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3550" cy="2743200"/>
                    </a:xfrm>
                    <a:prstGeom prst="rect">
                      <a:avLst/>
                    </a:prstGeom>
                  </pic:spPr>
                </pic:pic>
              </a:graphicData>
            </a:graphic>
          </wp:inline>
        </w:drawing>
      </w:r>
    </w:p>
    <w:p w14:paraId="5ECA427E" w14:textId="77777777" w:rsidR="00E46C0A" w:rsidRDefault="00E46C0A" w:rsidP="00E46C0A">
      <w:pPr>
        <w:pStyle w:val="Textoindependiente"/>
        <w:jc w:val="both"/>
      </w:pPr>
    </w:p>
    <w:p w14:paraId="1065BDB5" w14:textId="77777777" w:rsidR="00E46C0A" w:rsidRDefault="00E46C0A" w:rsidP="00E46C0A">
      <w:pPr>
        <w:pStyle w:val="Textoindependiente"/>
        <w:jc w:val="center"/>
      </w:pPr>
      <w:r w:rsidRPr="00E7429B">
        <w:rPr>
          <w:noProof/>
          <w:lang w:val="es-CO" w:eastAsia="es-CO"/>
        </w:rPr>
        <w:lastRenderedPageBreak/>
        <w:drawing>
          <wp:inline distT="0" distB="0" distL="0" distR="0" wp14:anchorId="25502233" wp14:editId="0E3CB3BB">
            <wp:extent cx="5543550" cy="51720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3550" cy="5172075"/>
                    </a:xfrm>
                    <a:prstGeom prst="rect">
                      <a:avLst/>
                    </a:prstGeom>
                  </pic:spPr>
                </pic:pic>
              </a:graphicData>
            </a:graphic>
          </wp:inline>
        </w:drawing>
      </w:r>
    </w:p>
    <w:p w14:paraId="2A2B8BBE" w14:textId="77777777" w:rsidR="00E46C0A" w:rsidRDefault="00E46C0A" w:rsidP="00E46C0A">
      <w:pPr>
        <w:pStyle w:val="Textoindependiente"/>
        <w:jc w:val="center"/>
      </w:pPr>
      <w:r w:rsidRPr="00E7429B">
        <w:rPr>
          <w:noProof/>
          <w:lang w:val="es-CO" w:eastAsia="es-CO"/>
        </w:rPr>
        <w:drawing>
          <wp:inline distT="0" distB="0" distL="0" distR="0" wp14:anchorId="49C7BF0F" wp14:editId="0EF99026">
            <wp:extent cx="5543550" cy="1352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43550" cy="1352550"/>
                    </a:xfrm>
                    <a:prstGeom prst="rect">
                      <a:avLst/>
                    </a:prstGeom>
                  </pic:spPr>
                </pic:pic>
              </a:graphicData>
            </a:graphic>
          </wp:inline>
        </w:drawing>
      </w:r>
    </w:p>
    <w:p w14:paraId="639CBA55" w14:textId="77777777" w:rsidR="00E46C0A" w:rsidRDefault="00E46C0A" w:rsidP="00E46C0A">
      <w:pPr>
        <w:pStyle w:val="Textoindependiente"/>
        <w:jc w:val="both"/>
      </w:pPr>
    </w:p>
    <w:p w14:paraId="0EA54592"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Se debe señalar, que a corte diciembre de 2024, no se presenta la totalidad de conciliaciones bancarias de las cuentas de ahorro o cuentas corrientes de la Corporación, lo que expone nuevamente la fiabilidad de la información reflejada en los estados financieros preparados por la administración.</w:t>
      </w:r>
    </w:p>
    <w:p w14:paraId="756A9AB9" w14:textId="77777777" w:rsidR="00E46C0A" w:rsidRPr="00A860CC" w:rsidRDefault="00E46C0A" w:rsidP="0014585C">
      <w:pPr>
        <w:pStyle w:val="Textoindependiente"/>
        <w:ind w:right="-93"/>
        <w:jc w:val="both"/>
        <w:rPr>
          <w:rFonts w:ascii="Arial" w:hAnsi="Arial" w:cs="Arial"/>
          <w:sz w:val="24"/>
          <w:szCs w:val="24"/>
          <w:lang w:val="es-CO"/>
        </w:rPr>
      </w:pPr>
    </w:p>
    <w:p w14:paraId="15BE9D40"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 xml:space="preserve">Se debe manifestar esta cuestión, se viene expresando en los dictámenes de revisoría fiscal anteriores periodos (2021, 2022 y 2023), aunado lo anterior, se encuentra dentro del Plan de Mejoramiento derivado de los Hallazgos del Informe de Auditoría del Balance General de Hacienda Pública 2023, emitido por la Contraloría General de la República (CGR) dentro del cual está inmersa la Corporación, siendo reiterativa esta incorrección material desde años </w:t>
      </w:r>
      <w:r w:rsidRPr="00A860CC">
        <w:rPr>
          <w:rFonts w:ascii="Arial" w:hAnsi="Arial" w:cs="Arial"/>
          <w:sz w:val="24"/>
          <w:szCs w:val="24"/>
          <w:lang w:val="es-CO"/>
        </w:rPr>
        <w:lastRenderedPageBreak/>
        <w:t>pasados y sobre las cuales, la Corporación no ha logrado identificar con precisión los valores de estas partidas.</w:t>
      </w:r>
    </w:p>
    <w:p w14:paraId="4CA36569" w14:textId="77777777" w:rsidR="00E46C0A" w:rsidRPr="00A860CC" w:rsidRDefault="00E46C0A" w:rsidP="00E46C0A">
      <w:pPr>
        <w:pStyle w:val="Textoindependiente"/>
        <w:jc w:val="both"/>
        <w:rPr>
          <w:rFonts w:ascii="Arial" w:hAnsi="Arial" w:cs="Arial"/>
          <w:sz w:val="24"/>
          <w:szCs w:val="24"/>
          <w:lang w:val="es-CO"/>
        </w:rPr>
      </w:pPr>
    </w:p>
    <w:p w14:paraId="337639B9"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Estas incorrecciones son de gran magnitud y alcance que afectan de manera generalizada la confiabilidad de los estados financieros, impidiendo que reflejen una imagen de situación económica y financiera de la Corporación.</w:t>
      </w:r>
    </w:p>
    <w:p w14:paraId="59913A1C" w14:textId="77777777" w:rsidR="00E46C0A" w:rsidRPr="00A860CC" w:rsidRDefault="00E46C0A" w:rsidP="0014585C">
      <w:pPr>
        <w:pStyle w:val="Textoindependiente"/>
        <w:ind w:right="-93"/>
        <w:jc w:val="both"/>
        <w:rPr>
          <w:rFonts w:ascii="Arial" w:hAnsi="Arial" w:cs="Arial"/>
          <w:sz w:val="24"/>
          <w:szCs w:val="24"/>
          <w:lang w:val="es-CO"/>
        </w:rPr>
      </w:pPr>
    </w:p>
    <w:p w14:paraId="336F1E16" w14:textId="77777777" w:rsidR="00E46C0A" w:rsidRPr="00A860CC" w:rsidRDefault="00E46C0A" w:rsidP="0014585C">
      <w:pPr>
        <w:pStyle w:val="Textoindependiente"/>
        <w:ind w:right="-93"/>
        <w:rPr>
          <w:rFonts w:ascii="Arial" w:hAnsi="Arial" w:cs="Arial"/>
          <w:b/>
          <w:bCs/>
          <w:sz w:val="24"/>
          <w:szCs w:val="24"/>
          <w:lang w:val="es-CO"/>
        </w:rPr>
      </w:pPr>
      <w:r w:rsidRPr="00A860CC">
        <w:rPr>
          <w:rFonts w:ascii="Arial" w:hAnsi="Arial" w:cs="Arial"/>
          <w:b/>
          <w:bCs/>
          <w:sz w:val="24"/>
          <w:szCs w:val="24"/>
          <w:lang w:val="es-CO"/>
        </w:rPr>
        <w:t>OTRA INFORMACIÓN.</w:t>
      </w:r>
    </w:p>
    <w:p w14:paraId="48E20AA2" w14:textId="77777777" w:rsidR="00E46C0A" w:rsidRPr="00A860CC" w:rsidRDefault="00E46C0A" w:rsidP="0014585C">
      <w:pPr>
        <w:pStyle w:val="Textoindependiente"/>
        <w:ind w:right="-93"/>
        <w:rPr>
          <w:rFonts w:ascii="Arial" w:hAnsi="Arial" w:cs="Arial"/>
          <w:b/>
          <w:bCs/>
          <w:sz w:val="24"/>
          <w:szCs w:val="24"/>
          <w:lang w:val="es-CO"/>
        </w:rPr>
      </w:pPr>
    </w:p>
    <w:p w14:paraId="22BEBE1F"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b/>
          <w:bCs/>
          <w:sz w:val="24"/>
          <w:szCs w:val="24"/>
          <w:lang w:val="es-CO"/>
        </w:rPr>
        <w:t xml:space="preserve">Plan de Acción Cuatrienal 2024-2027 (PAC). </w:t>
      </w:r>
      <w:r w:rsidRPr="00A860CC">
        <w:rPr>
          <w:rFonts w:ascii="Arial" w:hAnsi="Arial" w:cs="Arial"/>
          <w:sz w:val="24"/>
          <w:szCs w:val="24"/>
          <w:lang w:val="es-CO"/>
        </w:rPr>
        <w:t>El Plan de Acción Cuatrienal 2024 2027 (PAC), como herramienta gerencial y de gestión se presenta por parte de la Corporación un avance de las metas físicas del año 2024, del 92.41 %, dicho avance, se efectuó con una ejecución del presupuesto de la vigencia 2024 del 76.12%, de lo anterior, esta revisoría fiscal ha recomendado a la Corporación el ajuste del PAC en su aspecto financiero, por cuanto, se evidencia presuntamente una mala planeación de! PAC, considerando que se preveía unos recursos a ejecutar de 44 mil millones de pesos para 2024, no obstante, la ejecución al cierre de 2024, se reporta en 39 mil millones de pesos, sin considerar, que el recaudo presupuestal de 2024 solo fue de 35 mil millones de pesos.</w:t>
      </w:r>
    </w:p>
    <w:p w14:paraId="0A9079DD" w14:textId="77777777" w:rsidR="00E46C0A" w:rsidRPr="00A860CC" w:rsidRDefault="00E46C0A" w:rsidP="00E46C0A">
      <w:pPr>
        <w:pStyle w:val="Textoindependiente"/>
        <w:jc w:val="both"/>
        <w:rPr>
          <w:rFonts w:ascii="Arial" w:hAnsi="Arial" w:cs="Arial"/>
          <w:sz w:val="24"/>
          <w:szCs w:val="24"/>
          <w:lang w:val="es-CO"/>
        </w:rPr>
      </w:pPr>
    </w:p>
    <w:p w14:paraId="639FDB84"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Lo que puede concluir en una presunta mala planeación en los recursos que se esperan para ejecutar los programas del PAC, generando expectativas que no corresponden a la realidad, en el mismo sentido, afectando los resultados en de evaluación de este instrumento.</w:t>
      </w:r>
    </w:p>
    <w:p w14:paraId="06B534B1" w14:textId="77777777" w:rsidR="00E46C0A" w:rsidRPr="00A860CC" w:rsidRDefault="00E46C0A" w:rsidP="00E46C0A">
      <w:pPr>
        <w:pStyle w:val="Textoindependiente"/>
        <w:jc w:val="both"/>
        <w:rPr>
          <w:rFonts w:ascii="Arial" w:hAnsi="Arial" w:cs="Arial"/>
          <w:sz w:val="24"/>
          <w:szCs w:val="24"/>
          <w:lang w:val="es-CO"/>
        </w:rPr>
      </w:pPr>
    </w:p>
    <w:p w14:paraId="70B326B1" w14:textId="77777777" w:rsidR="00E46C0A" w:rsidRPr="00A860CC" w:rsidRDefault="00E46C0A" w:rsidP="00E46C0A">
      <w:pPr>
        <w:pStyle w:val="Textoindependiente"/>
        <w:jc w:val="both"/>
        <w:rPr>
          <w:rFonts w:ascii="Arial" w:hAnsi="Arial" w:cs="Arial"/>
          <w:b/>
          <w:bCs/>
          <w:sz w:val="24"/>
          <w:szCs w:val="24"/>
        </w:rPr>
      </w:pPr>
      <w:r w:rsidRPr="00A860CC">
        <w:rPr>
          <w:rFonts w:ascii="Arial" w:hAnsi="Arial" w:cs="Arial"/>
          <w:b/>
          <w:bCs/>
          <w:sz w:val="24"/>
          <w:szCs w:val="24"/>
          <w:lang w:val="es-CO"/>
        </w:rPr>
        <w:t>PAC 2024-2027</w:t>
      </w:r>
      <w:r>
        <w:rPr>
          <w:rFonts w:ascii="Arial" w:hAnsi="Arial" w:cs="Arial"/>
          <w:b/>
          <w:bCs/>
          <w:sz w:val="24"/>
          <w:szCs w:val="24"/>
          <w:lang w:val="es-CO"/>
        </w:rPr>
        <w:t>.</w:t>
      </w:r>
    </w:p>
    <w:p w14:paraId="23E03D94" w14:textId="77777777" w:rsidR="00E46C0A" w:rsidRDefault="00E46C0A" w:rsidP="00E46C0A">
      <w:pPr>
        <w:pStyle w:val="Textoindependiente"/>
        <w:jc w:val="both"/>
      </w:pPr>
    </w:p>
    <w:p w14:paraId="6CA7122E" w14:textId="77777777" w:rsidR="00E46C0A" w:rsidRDefault="00E46C0A" w:rsidP="00E46C0A">
      <w:pPr>
        <w:pStyle w:val="Textoindependiente"/>
        <w:jc w:val="center"/>
      </w:pPr>
      <w:r w:rsidRPr="001364A4">
        <w:rPr>
          <w:noProof/>
          <w:lang w:val="es-CO" w:eastAsia="es-CO"/>
        </w:rPr>
        <w:drawing>
          <wp:inline distT="0" distB="0" distL="0" distR="0" wp14:anchorId="171BB249" wp14:editId="1C936201">
            <wp:extent cx="3333750" cy="1504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33750" cy="1504950"/>
                    </a:xfrm>
                    <a:prstGeom prst="rect">
                      <a:avLst/>
                    </a:prstGeom>
                  </pic:spPr>
                </pic:pic>
              </a:graphicData>
            </a:graphic>
          </wp:inline>
        </w:drawing>
      </w:r>
    </w:p>
    <w:p w14:paraId="6071707C" w14:textId="77777777" w:rsidR="00E46C0A" w:rsidRPr="001364A4" w:rsidRDefault="00E46C0A" w:rsidP="00E46C0A">
      <w:pPr>
        <w:pStyle w:val="Textoindependiente"/>
        <w:jc w:val="both"/>
        <w:rPr>
          <w:sz w:val="20"/>
          <w:szCs w:val="20"/>
          <w:lang w:val="es-CO"/>
        </w:rPr>
      </w:pPr>
      <w:r>
        <w:rPr>
          <w:sz w:val="20"/>
          <w:szCs w:val="20"/>
          <w:lang w:val="es-CO"/>
        </w:rPr>
        <w:t xml:space="preserve">                                           </w:t>
      </w:r>
      <w:r w:rsidRPr="001364A4">
        <w:rPr>
          <w:sz w:val="20"/>
          <w:szCs w:val="20"/>
          <w:lang w:val="es-CO"/>
        </w:rPr>
        <w:t>Fuente: PAC 2024-2027 Corponariño</w:t>
      </w:r>
    </w:p>
    <w:p w14:paraId="7AF535F6" w14:textId="77777777" w:rsidR="00E46C0A" w:rsidRDefault="00E46C0A" w:rsidP="00E46C0A">
      <w:pPr>
        <w:pStyle w:val="Textoindependiente"/>
        <w:rPr>
          <w:lang w:val="es-CO"/>
        </w:rPr>
      </w:pPr>
    </w:p>
    <w:p w14:paraId="2C24144E" w14:textId="77777777" w:rsidR="00E46C0A" w:rsidRPr="00A860CC" w:rsidRDefault="00E46C0A" w:rsidP="00E46C0A">
      <w:pPr>
        <w:pStyle w:val="Textoindependiente"/>
        <w:rPr>
          <w:rFonts w:ascii="Arial" w:hAnsi="Arial" w:cs="Arial"/>
          <w:b/>
          <w:bCs/>
          <w:sz w:val="24"/>
          <w:szCs w:val="24"/>
          <w:lang w:val="es-CO"/>
        </w:rPr>
      </w:pPr>
      <w:r w:rsidRPr="00A860CC">
        <w:rPr>
          <w:rFonts w:ascii="Arial" w:hAnsi="Arial" w:cs="Arial"/>
          <w:b/>
          <w:bCs/>
          <w:sz w:val="24"/>
          <w:szCs w:val="24"/>
          <w:lang w:val="es-CO"/>
        </w:rPr>
        <w:t>Presupuesto ejecutado 2024.</w:t>
      </w:r>
    </w:p>
    <w:p w14:paraId="7F2BCA93" w14:textId="77777777" w:rsidR="00E46C0A" w:rsidRPr="001364A4" w:rsidRDefault="00E46C0A" w:rsidP="00E46C0A">
      <w:pPr>
        <w:pStyle w:val="Textoindependiente"/>
        <w:jc w:val="both"/>
        <w:rPr>
          <w:lang w:val="es-CO"/>
        </w:rPr>
      </w:pPr>
    </w:p>
    <w:p w14:paraId="4E076C3A" w14:textId="77777777" w:rsidR="00E46C0A" w:rsidRDefault="00E46C0A" w:rsidP="00E46C0A">
      <w:pPr>
        <w:pStyle w:val="Textoindependiente"/>
        <w:jc w:val="center"/>
      </w:pPr>
      <w:r w:rsidRPr="001364A4">
        <w:rPr>
          <w:noProof/>
          <w:lang w:val="es-CO" w:eastAsia="es-CO"/>
        </w:rPr>
        <w:drawing>
          <wp:inline distT="0" distB="0" distL="0" distR="0" wp14:anchorId="5D237EC7" wp14:editId="35C37DE6">
            <wp:extent cx="2714625" cy="7715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4625" cy="771525"/>
                    </a:xfrm>
                    <a:prstGeom prst="rect">
                      <a:avLst/>
                    </a:prstGeom>
                  </pic:spPr>
                </pic:pic>
              </a:graphicData>
            </a:graphic>
          </wp:inline>
        </w:drawing>
      </w:r>
    </w:p>
    <w:p w14:paraId="0DCFCC9B" w14:textId="77777777" w:rsidR="00E46C0A" w:rsidRPr="00C924EE" w:rsidRDefault="00E46C0A" w:rsidP="00E46C0A">
      <w:pPr>
        <w:pStyle w:val="Textoindependiente"/>
        <w:jc w:val="both"/>
        <w:rPr>
          <w:sz w:val="20"/>
          <w:szCs w:val="20"/>
          <w:lang w:val="es-CO"/>
        </w:rPr>
      </w:pPr>
      <w:r>
        <w:rPr>
          <w:sz w:val="20"/>
          <w:szCs w:val="20"/>
          <w:lang w:val="es-CO"/>
        </w:rPr>
        <w:t xml:space="preserve">                                                    </w:t>
      </w:r>
      <w:r w:rsidRPr="00C924EE">
        <w:rPr>
          <w:sz w:val="20"/>
          <w:szCs w:val="20"/>
          <w:lang w:val="es-CO"/>
        </w:rPr>
        <w:t>Fuente: Elaboración propia</w:t>
      </w:r>
    </w:p>
    <w:p w14:paraId="77E9207C" w14:textId="77777777" w:rsidR="00E46C0A" w:rsidRDefault="00E46C0A" w:rsidP="00E46C0A">
      <w:pPr>
        <w:pStyle w:val="Textoindependiente"/>
        <w:jc w:val="both"/>
      </w:pPr>
    </w:p>
    <w:p w14:paraId="45902E81"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En el mismo sentido, se debe señalar que dentro del reporte IEDI - índice de Evaluación del Desempeño Institucional, del Ministerio de Ambiente y Desarrollo Sostenible, se contemplan los siguientes indicadores para tener en cuenta.</w:t>
      </w:r>
    </w:p>
    <w:p w14:paraId="4754F5A3" w14:textId="77777777" w:rsidR="00E46C0A" w:rsidRPr="00A860CC" w:rsidRDefault="00E46C0A" w:rsidP="00E46C0A">
      <w:pPr>
        <w:pStyle w:val="Textoindependiente"/>
        <w:rPr>
          <w:rFonts w:ascii="Arial" w:hAnsi="Arial" w:cs="Arial"/>
          <w:sz w:val="24"/>
          <w:szCs w:val="24"/>
          <w:lang w:val="es-CO"/>
        </w:rPr>
      </w:pPr>
    </w:p>
    <w:p w14:paraId="216041D6" w14:textId="77777777" w:rsidR="00E46C0A" w:rsidRPr="00A860CC" w:rsidRDefault="00E46C0A" w:rsidP="00E46C0A">
      <w:pPr>
        <w:pStyle w:val="Textoindependiente"/>
        <w:rPr>
          <w:rFonts w:ascii="Arial" w:hAnsi="Arial" w:cs="Arial"/>
          <w:b/>
          <w:bCs/>
          <w:sz w:val="24"/>
          <w:szCs w:val="24"/>
          <w:lang w:val="es-CO"/>
        </w:rPr>
      </w:pPr>
      <w:r w:rsidRPr="00A860CC">
        <w:rPr>
          <w:rFonts w:ascii="Arial" w:hAnsi="Arial" w:cs="Arial"/>
          <w:b/>
          <w:bCs/>
          <w:sz w:val="24"/>
          <w:szCs w:val="24"/>
          <w:lang w:val="es-CO"/>
        </w:rPr>
        <w:t>Financieros.</w:t>
      </w:r>
    </w:p>
    <w:p w14:paraId="673D20F0" w14:textId="77777777" w:rsidR="00E46C0A" w:rsidRDefault="00E46C0A" w:rsidP="00E46C0A">
      <w:pPr>
        <w:pStyle w:val="Textoindependiente"/>
        <w:jc w:val="center"/>
      </w:pPr>
      <w:r w:rsidRPr="001364A4">
        <w:rPr>
          <w:noProof/>
          <w:lang w:val="es-CO" w:eastAsia="es-CO"/>
        </w:rPr>
        <w:lastRenderedPageBreak/>
        <w:drawing>
          <wp:inline distT="0" distB="0" distL="0" distR="0" wp14:anchorId="27C19FB9" wp14:editId="4A193467">
            <wp:extent cx="4981575" cy="31527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81575" cy="3152775"/>
                    </a:xfrm>
                    <a:prstGeom prst="rect">
                      <a:avLst/>
                    </a:prstGeom>
                  </pic:spPr>
                </pic:pic>
              </a:graphicData>
            </a:graphic>
          </wp:inline>
        </w:drawing>
      </w:r>
    </w:p>
    <w:p w14:paraId="2F25930C" w14:textId="77777777" w:rsidR="00E46C0A" w:rsidRPr="00C924EE" w:rsidRDefault="00E46C0A" w:rsidP="00E46C0A">
      <w:pPr>
        <w:pStyle w:val="Textoindependiente"/>
        <w:jc w:val="both"/>
        <w:rPr>
          <w:sz w:val="20"/>
          <w:szCs w:val="20"/>
          <w:lang w:val="es-CO"/>
        </w:rPr>
      </w:pPr>
      <w:r>
        <w:rPr>
          <w:sz w:val="20"/>
          <w:szCs w:val="20"/>
          <w:lang w:val="es-CO"/>
        </w:rPr>
        <w:t xml:space="preserve">                    </w:t>
      </w:r>
      <w:r w:rsidRPr="00C924EE">
        <w:rPr>
          <w:sz w:val="20"/>
          <w:szCs w:val="20"/>
          <w:lang w:val="es-CO"/>
        </w:rPr>
        <w:t>Fuente: 15_GTO ING PROP - reporte IEDI</w:t>
      </w:r>
    </w:p>
    <w:p w14:paraId="4F86F080" w14:textId="77777777" w:rsidR="00E46C0A" w:rsidRPr="00C924EE" w:rsidRDefault="00E46C0A" w:rsidP="00E46C0A">
      <w:pPr>
        <w:pStyle w:val="Textoindependiente"/>
        <w:jc w:val="both"/>
        <w:rPr>
          <w:lang w:val="es-CO"/>
        </w:rPr>
      </w:pPr>
    </w:p>
    <w:p w14:paraId="06C540BC" w14:textId="77777777" w:rsidR="00E46C0A" w:rsidRDefault="00E46C0A" w:rsidP="00E46C0A">
      <w:pPr>
        <w:pStyle w:val="Textoindependiente"/>
        <w:jc w:val="center"/>
      </w:pPr>
      <w:r w:rsidRPr="001364A4">
        <w:rPr>
          <w:noProof/>
          <w:lang w:val="es-CO" w:eastAsia="es-CO"/>
        </w:rPr>
        <w:drawing>
          <wp:inline distT="0" distB="0" distL="0" distR="0" wp14:anchorId="43FC3619" wp14:editId="3DB43F63">
            <wp:extent cx="5010150" cy="14287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10150" cy="1428750"/>
                    </a:xfrm>
                    <a:prstGeom prst="rect">
                      <a:avLst/>
                    </a:prstGeom>
                  </pic:spPr>
                </pic:pic>
              </a:graphicData>
            </a:graphic>
          </wp:inline>
        </w:drawing>
      </w:r>
    </w:p>
    <w:p w14:paraId="585124CB" w14:textId="77777777" w:rsidR="00E46C0A" w:rsidRPr="00C924EE" w:rsidRDefault="00E46C0A" w:rsidP="00E46C0A">
      <w:pPr>
        <w:pStyle w:val="Textoindependiente"/>
        <w:jc w:val="both"/>
        <w:rPr>
          <w:sz w:val="20"/>
          <w:szCs w:val="20"/>
          <w:lang w:val="es-CO"/>
        </w:rPr>
      </w:pPr>
      <w:r>
        <w:rPr>
          <w:sz w:val="20"/>
          <w:szCs w:val="20"/>
          <w:lang w:val="es-CO"/>
        </w:rPr>
        <w:t xml:space="preserve">                    </w:t>
      </w:r>
      <w:r w:rsidRPr="00C924EE">
        <w:rPr>
          <w:sz w:val="20"/>
          <w:szCs w:val="20"/>
          <w:lang w:val="es-CO"/>
        </w:rPr>
        <w:t>Fuente: 16_Capacidad de ejec - reporte IEDI</w:t>
      </w:r>
    </w:p>
    <w:p w14:paraId="3BFD57F0" w14:textId="77777777" w:rsidR="00E46C0A" w:rsidRPr="00C924EE" w:rsidRDefault="00E46C0A" w:rsidP="00E46C0A">
      <w:pPr>
        <w:pStyle w:val="Textoindependiente"/>
        <w:jc w:val="both"/>
        <w:rPr>
          <w:lang w:val="es-CO"/>
        </w:rPr>
      </w:pPr>
    </w:p>
    <w:p w14:paraId="01236403" w14:textId="77777777" w:rsidR="00E46C0A" w:rsidRDefault="00E46C0A" w:rsidP="00E46C0A">
      <w:pPr>
        <w:pStyle w:val="Textoindependiente"/>
        <w:jc w:val="center"/>
      </w:pPr>
      <w:r w:rsidRPr="00C924EE">
        <w:rPr>
          <w:noProof/>
          <w:lang w:val="es-CO" w:eastAsia="es-CO"/>
        </w:rPr>
        <w:drawing>
          <wp:inline distT="0" distB="0" distL="0" distR="0" wp14:anchorId="46F09ECB" wp14:editId="1808A5D2">
            <wp:extent cx="5086350" cy="1066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86350" cy="1066800"/>
                    </a:xfrm>
                    <a:prstGeom prst="rect">
                      <a:avLst/>
                    </a:prstGeom>
                  </pic:spPr>
                </pic:pic>
              </a:graphicData>
            </a:graphic>
          </wp:inline>
        </w:drawing>
      </w:r>
    </w:p>
    <w:p w14:paraId="45C0880D" w14:textId="77777777" w:rsidR="00E46C0A" w:rsidRPr="00C924EE" w:rsidRDefault="00E46C0A" w:rsidP="00E46C0A">
      <w:pPr>
        <w:pStyle w:val="Textoindependiente"/>
        <w:jc w:val="both"/>
        <w:rPr>
          <w:sz w:val="20"/>
          <w:szCs w:val="20"/>
        </w:rPr>
      </w:pPr>
      <w:r>
        <w:rPr>
          <w:sz w:val="20"/>
          <w:szCs w:val="20"/>
        </w:rPr>
        <w:t xml:space="preserve">                  </w:t>
      </w:r>
      <w:r w:rsidRPr="00C924EE">
        <w:rPr>
          <w:sz w:val="20"/>
          <w:szCs w:val="20"/>
        </w:rPr>
        <w:t xml:space="preserve">17 </w:t>
      </w:r>
      <w:proofErr w:type="gramStart"/>
      <w:r w:rsidRPr="00C924EE">
        <w:rPr>
          <w:sz w:val="20"/>
          <w:szCs w:val="20"/>
        </w:rPr>
        <w:t>Cartera</w:t>
      </w:r>
      <w:proofErr w:type="gramEnd"/>
      <w:r w:rsidRPr="00C924EE">
        <w:rPr>
          <w:sz w:val="20"/>
          <w:szCs w:val="20"/>
        </w:rPr>
        <w:t xml:space="preserve"> vencida – reporte IEDI</w:t>
      </w:r>
    </w:p>
    <w:p w14:paraId="06304713" w14:textId="77777777" w:rsidR="00E46C0A" w:rsidRDefault="00E46C0A" w:rsidP="00E46C0A">
      <w:pPr>
        <w:pStyle w:val="Textoindependiente"/>
        <w:jc w:val="both"/>
      </w:pPr>
    </w:p>
    <w:p w14:paraId="05235582" w14:textId="77777777" w:rsidR="00E46C0A" w:rsidRPr="00A860CC" w:rsidRDefault="00E46C0A" w:rsidP="0014585C">
      <w:pPr>
        <w:pStyle w:val="Textoindependiente"/>
        <w:ind w:right="-93"/>
        <w:rPr>
          <w:rFonts w:ascii="Arial" w:hAnsi="Arial" w:cs="Arial"/>
          <w:sz w:val="24"/>
          <w:szCs w:val="24"/>
          <w:lang w:val="es-CO"/>
        </w:rPr>
      </w:pPr>
      <w:r w:rsidRPr="00A860CC">
        <w:rPr>
          <w:rFonts w:ascii="Arial" w:hAnsi="Arial" w:cs="Arial"/>
          <w:sz w:val="24"/>
          <w:szCs w:val="24"/>
          <w:lang w:val="es-CO"/>
        </w:rPr>
        <w:t>La Administración debe tener en cuenta los resultados de los anteriores indicadores, toda vez que el resultado de los mismos durante el año 2024, no es favorable para la Corporación.</w:t>
      </w:r>
    </w:p>
    <w:p w14:paraId="37941925" w14:textId="77777777" w:rsidR="00E46C0A" w:rsidRPr="00A860CC" w:rsidRDefault="00E46C0A" w:rsidP="0014585C">
      <w:pPr>
        <w:pStyle w:val="Textoindependiente"/>
        <w:ind w:right="-93"/>
        <w:jc w:val="both"/>
        <w:rPr>
          <w:rFonts w:ascii="Arial" w:hAnsi="Arial" w:cs="Arial"/>
          <w:sz w:val="24"/>
          <w:szCs w:val="24"/>
          <w:lang w:val="es-CO"/>
        </w:rPr>
      </w:pPr>
    </w:p>
    <w:p w14:paraId="47956DC4" w14:textId="77777777" w:rsidR="00E46C0A" w:rsidRPr="00A860CC" w:rsidRDefault="00E46C0A" w:rsidP="0014585C">
      <w:pPr>
        <w:pStyle w:val="Textoindependiente"/>
        <w:ind w:right="-93"/>
        <w:rPr>
          <w:rFonts w:ascii="Arial" w:hAnsi="Arial" w:cs="Arial"/>
          <w:b/>
          <w:bCs/>
          <w:sz w:val="24"/>
          <w:szCs w:val="24"/>
          <w:lang w:val="es-CO"/>
        </w:rPr>
      </w:pPr>
      <w:r w:rsidRPr="00A860CC">
        <w:rPr>
          <w:rFonts w:ascii="Arial" w:hAnsi="Arial" w:cs="Arial"/>
          <w:b/>
          <w:bCs/>
          <w:sz w:val="24"/>
          <w:szCs w:val="24"/>
          <w:lang w:val="es-CO"/>
        </w:rPr>
        <w:t>Indicadores Presupuestales PAC 2024-2027.</w:t>
      </w:r>
    </w:p>
    <w:p w14:paraId="4AA0E36D" w14:textId="77777777" w:rsidR="00E46C0A" w:rsidRPr="00A860CC" w:rsidRDefault="00E46C0A" w:rsidP="0014585C">
      <w:pPr>
        <w:pStyle w:val="Textoindependiente"/>
        <w:ind w:right="-93"/>
        <w:jc w:val="both"/>
        <w:rPr>
          <w:rFonts w:ascii="Arial" w:hAnsi="Arial" w:cs="Arial"/>
          <w:sz w:val="24"/>
          <w:szCs w:val="24"/>
        </w:rPr>
      </w:pPr>
    </w:p>
    <w:p w14:paraId="1941A3AB"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Fuente: PAC 2024-2027 – Corponariño.</w:t>
      </w:r>
    </w:p>
    <w:p w14:paraId="06308D26" w14:textId="77777777" w:rsidR="00E46C0A" w:rsidRPr="00A860CC" w:rsidRDefault="00E46C0A" w:rsidP="0014585C">
      <w:pPr>
        <w:pStyle w:val="Textoindependiente"/>
        <w:ind w:right="-93"/>
        <w:jc w:val="both"/>
        <w:rPr>
          <w:rFonts w:ascii="Arial" w:hAnsi="Arial" w:cs="Arial"/>
          <w:sz w:val="24"/>
          <w:szCs w:val="24"/>
          <w:lang w:val="es-CO"/>
        </w:rPr>
      </w:pPr>
    </w:p>
    <w:p w14:paraId="0FA39CDC" w14:textId="77777777" w:rsidR="00E46C0A" w:rsidRPr="00A860CC" w:rsidRDefault="00E46C0A" w:rsidP="0014585C">
      <w:pPr>
        <w:pStyle w:val="Textoindependiente"/>
        <w:numPr>
          <w:ilvl w:val="0"/>
          <w:numId w:val="98"/>
        </w:numPr>
        <w:ind w:right="-93"/>
        <w:jc w:val="both"/>
        <w:rPr>
          <w:rFonts w:ascii="Arial" w:hAnsi="Arial" w:cs="Arial"/>
          <w:sz w:val="24"/>
          <w:szCs w:val="24"/>
          <w:lang w:val="es-CO"/>
        </w:rPr>
      </w:pPr>
      <w:r w:rsidRPr="00A860CC">
        <w:rPr>
          <w:rFonts w:ascii="Arial" w:hAnsi="Arial" w:cs="Arial"/>
          <w:sz w:val="24"/>
          <w:szCs w:val="24"/>
          <w:lang w:val="es-CO"/>
        </w:rPr>
        <w:t>Recaudo efectivo en relación con los ingresos estimados. Indica el porcentaje de recaudo efectivo en relación con los ingresos estimados para la vigencia.</w:t>
      </w:r>
    </w:p>
    <w:p w14:paraId="12C5644A" w14:textId="77777777" w:rsidR="00E46C0A" w:rsidRPr="00C924EE" w:rsidRDefault="00E46C0A" w:rsidP="00E46C0A">
      <w:pPr>
        <w:pStyle w:val="Textoindependiente"/>
        <w:jc w:val="both"/>
        <w:rPr>
          <w:lang w:val="es-CO"/>
        </w:rPr>
      </w:pPr>
    </w:p>
    <w:tbl>
      <w:tblPr>
        <w:tblStyle w:val="TableGrid"/>
        <w:tblW w:w="7118" w:type="dxa"/>
        <w:tblInd w:w="1441" w:type="dxa"/>
        <w:tblCellMar>
          <w:top w:w="53" w:type="dxa"/>
          <w:left w:w="72" w:type="dxa"/>
          <w:right w:w="65" w:type="dxa"/>
        </w:tblCellMar>
        <w:tblLook w:val="04A0" w:firstRow="1" w:lastRow="0" w:firstColumn="1" w:lastColumn="0" w:noHBand="0" w:noVBand="1"/>
      </w:tblPr>
      <w:tblGrid>
        <w:gridCol w:w="3060"/>
        <w:gridCol w:w="2311"/>
        <w:gridCol w:w="1747"/>
      </w:tblGrid>
      <w:tr w:rsidR="00E46C0A" w14:paraId="7D6B666F" w14:textId="77777777" w:rsidTr="00D4226B">
        <w:trPr>
          <w:trHeight w:val="254"/>
        </w:trPr>
        <w:tc>
          <w:tcPr>
            <w:tcW w:w="3060" w:type="dxa"/>
            <w:tcBorders>
              <w:top w:val="single" w:sz="2" w:space="0" w:color="000000"/>
              <w:left w:val="single" w:sz="2" w:space="0" w:color="000000"/>
              <w:bottom w:val="single" w:sz="2" w:space="0" w:color="000000"/>
              <w:right w:val="single" w:sz="2" w:space="0" w:color="000000"/>
            </w:tcBorders>
          </w:tcPr>
          <w:p w14:paraId="39A51F7C" w14:textId="77777777" w:rsidR="00E46C0A" w:rsidRDefault="00E46C0A" w:rsidP="00D4226B">
            <w:pPr>
              <w:ind w:left="166"/>
            </w:pPr>
            <w:r>
              <w:rPr>
                <w:rFonts w:ascii="Times New Roman" w:eastAsia="Times New Roman" w:hAnsi="Times New Roman" w:cs="Times New Roman"/>
                <w:sz w:val="26"/>
              </w:rPr>
              <w:lastRenderedPageBreak/>
              <w:t>RECAUDO EFECTIVO</w:t>
            </w:r>
          </w:p>
        </w:tc>
        <w:tc>
          <w:tcPr>
            <w:tcW w:w="2311" w:type="dxa"/>
            <w:tcBorders>
              <w:top w:val="single" w:sz="2" w:space="0" w:color="000000"/>
              <w:left w:val="single" w:sz="2" w:space="0" w:color="000000"/>
              <w:bottom w:val="single" w:sz="2" w:space="0" w:color="000000"/>
              <w:right w:val="single" w:sz="2" w:space="0" w:color="000000"/>
            </w:tcBorders>
          </w:tcPr>
          <w:p w14:paraId="0EB59F28" w14:textId="77777777" w:rsidR="00E46C0A" w:rsidRDefault="00E46C0A" w:rsidP="00D4226B">
            <w:r>
              <w:rPr>
                <w:rFonts w:ascii="Times New Roman" w:eastAsia="Times New Roman" w:hAnsi="Times New Roman" w:cs="Times New Roman"/>
                <w:sz w:val="26"/>
              </w:rPr>
              <w:t>35,092,988, 157.07</w:t>
            </w:r>
          </w:p>
        </w:tc>
        <w:tc>
          <w:tcPr>
            <w:tcW w:w="1747" w:type="dxa"/>
            <w:tcBorders>
              <w:top w:val="single" w:sz="2" w:space="0" w:color="000000"/>
              <w:left w:val="single" w:sz="2" w:space="0" w:color="000000"/>
              <w:bottom w:val="single" w:sz="2" w:space="0" w:color="000000"/>
              <w:right w:val="single" w:sz="2" w:space="0" w:color="000000"/>
            </w:tcBorders>
            <w:vAlign w:val="bottom"/>
          </w:tcPr>
          <w:p w14:paraId="68A78377" w14:textId="77777777" w:rsidR="00E46C0A" w:rsidRDefault="00E46C0A" w:rsidP="00D4226B">
            <w:pPr>
              <w:jc w:val="right"/>
            </w:pPr>
            <w:r>
              <w:rPr>
                <w:rFonts w:ascii="Times New Roman" w:eastAsia="Times New Roman" w:hAnsi="Times New Roman" w:cs="Times New Roman"/>
              </w:rPr>
              <w:t>71 %</w:t>
            </w:r>
          </w:p>
        </w:tc>
      </w:tr>
      <w:tr w:rsidR="00E46C0A" w14:paraId="268693A9" w14:textId="77777777" w:rsidTr="00D4226B">
        <w:trPr>
          <w:trHeight w:val="411"/>
        </w:trPr>
        <w:tc>
          <w:tcPr>
            <w:tcW w:w="3060" w:type="dxa"/>
            <w:tcBorders>
              <w:top w:val="single" w:sz="2" w:space="0" w:color="000000"/>
              <w:left w:val="single" w:sz="2" w:space="0" w:color="000000"/>
              <w:bottom w:val="single" w:sz="2" w:space="0" w:color="000000"/>
              <w:right w:val="single" w:sz="2" w:space="0" w:color="000000"/>
            </w:tcBorders>
          </w:tcPr>
          <w:p w14:paraId="1C45BA58" w14:textId="77777777" w:rsidR="00E46C0A" w:rsidRDefault="00E46C0A" w:rsidP="00D4226B">
            <w:pPr>
              <w:ind w:right="7"/>
              <w:jc w:val="center"/>
            </w:pPr>
            <w:r>
              <w:rPr>
                <w:rFonts w:ascii="Times New Roman" w:eastAsia="Times New Roman" w:hAnsi="Times New Roman" w:cs="Times New Roman"/>
                <w:sz w:val="26"/>
              </w:rPr>
              <w:t>INGRESOS</w:t>
            </w:r>
          </w:p>
          <w:p w14:paraId="3A0A8BEC" w14:textId="77777777" w:rsidR="00E46C0A" w:rsidRDefault="00E46C0A" w:rsidP="00D4226B">
            <w:pPr>
              <w:jc w:val="center"/>
            </w:pPr>
            <w:r>
              <w:rPr>
                <w:rFonts w:ascii="Times New Roman" w:eastAsia="Times New Roman" w:hAnsi="Times New Roman" w:cs="Times New Roman"/>
                <w:sz w:val="26"/>
              </w:rPr>
              <w:t>PRESUPUESTADOS</w:t>
            </w:r>
          </w:p>
        </w:tc>
        <w:tc>
          <w:tcPr>
            <w:tcW w:w="2311" w:type="dxa"/>
            <w:tcBorders>
              <w:top w:val="single" w:sz="2" w:space="0" w:color="000000"/>
              <w:left w:val="single" w:sz="2" w:space="0" w:color="000000"/>
              <w:bottom w:val="single" w:sz="2" w:space="0" w:color="000000"/>
              <w:right w:val="single" w:sz="2" w:space="0" w:color="000000"/>
            </w:tcBorders>
            <w:vAlign w:val="bottom"/>
          </w:tcPr>
          <w:p w14:paraId="41A6C14A" w14:textId="77777777" w:rsidR="00E46C0A" w:rsidRDefault="00E46C0A" w:rsidP="00D4226B">
            <w:r>
              <w:rPr>
                <w:rFonts w:ascii="Times New Roman" w:eastAsia="Times New Roman" w:hAnsi="Times New Roman" w:cs="Times New Roman"/>
                <w:sz w:val="24"/>
              </w:rPr>
              <w:t>49,725, 1 32,825.48</w:t>
            </w:r>
          </w:p>
        </w:tc>
        <w:tc>
          <w:tcPr>
            <w:tcW w:w="1747" w:type="dxa"/>
            <w:tcBorders>
              <w:top w:val="single" w:sz="2" w:space="0" w:color="000000"/>
              <w:left w:val="single" w:sz="2" w:space="0" w:color="000000"/>
              <w:bottom w:val="single" w:sz="2" w:space="0" w:color="000000"/>
              <w:right w:val="single" w:sz="2" w:space="0" w:color="000000"/>
            </w:tcBorders>
          </w:tcPr>
          <w:p w14:paraId="35520495" w14:textId="77777777" w:rsidR="00E46C0A" w:rsidRDefault="00E46C0A" w:rsidP="00D4226B"/>
        </w:tc>
      </w:tr>
    </w:tbl>
    <w:p w14:paraId="13DB7178" w14:textId="77777777" w:rsidR="00E46C0A" w:rsidRDefault="00E46C0A" w:rsidP="00E46C0A">
      <w:pPr>
        <w:spacing w:after="216"/>
        <w:ind w:left="1488" w:right="802" w:hanging="3"/>
      </w:pPr>
      <w:r>
        <w:rPr>
          <w:rFonts w:ascii="Times New Roman" w:eastAsia="Times New Roman" w:hAnsi="Times New Roman" w:cs="Times New Roman"/>
          <w:sz w:val="20"/>
        </w:rPr>
        <w:t>Fuente: Elaboración propia</w:t>
      </w:r>
    </w:p>
    <w:p w14:paraId="649CCF79"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Frente al indicador que mide el nivel de recaudo del presupuesto de ingresos, frente al presupuesto de ingresos aforado, se tiene que en atención a la meta de presupuesto generada por la Corporación, los recaudos alcanzaron un 71% del presupuesto de ingresos, lo que es coherente con el comportamiento histórico de los ingresos recaudados por la Corporación según el mismo PAC y que refuerzan la recomendación de ajustar el PAC en su componente de ingresos, aunado, a la situación advertida frente a las cuentas por cobrar con edad mayor a 360 días y que presentan una situación de riesgo frente a su recuperación, lo cual, se refleja en el indicador de capacidad de ejecución de la cartera que en 2024, solo fue del 1.6%</w:t>
      </w:r>
    </w:p>
    <w:p w14:paraId="6ED04EB7" w14:textId="77777777" w:rsidR="00E46C0A" w:rsidRPr="00A860CC" w:rsidRDefault="00E46C0A" w:rsidP="00E46C0A">
      <w:pPr>
        <w:pStyle w:val="Textoindependiente"/>
        <w:jc w:val="both"/>
        <w:rPr>
          <w:rFonts w:ascii="Arial" w:hAnsi="Arial" w:cs="Arial"/>
          <w:sz w:val="24"/>
          <w:szCs w:val="24"/>
          <w:lang w:val="es-CO"/>
        </w:rPr>
      </w:pPr>
    </w:p>
    <w:p w14:paraId="4868A2B0" w14:textId="77777777" w:rsidR="00E46C0A" w:rsidRPr="00A860CC" w:rsidRDefault="00E46C0A" w:rsidP="00AE3935">
      <w:pPr>
        <w:pStyle w:val="Textoindependiente"/>
        <w:numPr>
          <w:ilvl w:val="0"/>
          <w:numId w:val="98"/>
        </w:numPr>
        <w:jc w:val="both"/>
        <w:rPr>
          <w:rFonts w:ascii="Arial" w:hAnsi="Arial" w:cs="Arial"/>
          <w:b/>
          <w:bCs/>
          <w:sz w:val="24"/>
          <w:szCs w:val="24"/>
          <w:lang w:val="es-CO"/>
        </w:rPr>
      </w:pPr>
      <w:r w:rsidRPr="00A860CC">
        <w:rPr>
          <w:rFonts w:ascii="Arial" w:hAnsi="Arial" w:cs="Arial"/>
          <w:b/>
          <w:bCs/>
          <w:sz w:val="24"/>
          <w:szCs w:val="24"/>
          <w:lang w:val="es-CO"/>
        </w:rPr>
        <w:t>Superávit o Déficit</w:t>
      </w:r>
      <w:r>
        <w:rPr>
          <w:rFonts w:ascii="Arial" w:hAnsi="Arial" w:cs="Arial"/>
          <w:b/>
          <w:bCs/>
          <w:sz w:val="24"/>
          <w:szCs w:val="24"/>
          <w:lang w:val="es-CO"/>
        </w:rPr>
        <w:t>.</w:t>
      </w:r>
      <w:r w:rsidRPr="00A860CC">
        <w:rPr>
          <w:rFonts w:ascii="Arial" w:hAnsi="Arial" w:cs="Arial"/>
          <w:b/>
          <w:bCs/>
          <w:sz w:val="24"/>
          <w:szCs w:val="24"/>
          <w:lang w:val="es-CO"/>
        </w:rPr>
        <w:t xml:space="preserve"> </w:t>
      </w:r>
    </w:p>
    <w:p w14:paraId="71361C77" w14:textId="77777777" w:rsidR="00E46C0A" w:rsidRPr="00C924EE" w:rsidRDefault="00E46C0A" w:rsidP="00E46C0A">
      <w:pPr>
        <w:pStyle w:val="Textoindependiente"/>
        <w:jc w:val="both"/>
        <w:rPr>
          <w:lang w:val="es-CO"/>
        </w:rPr>
      </w:pPr>
    </w:p>
    <w:p w14:paraId="43EEFBF7" w14:textId="77777777" w:rsidR="00E46C0A" w:rsidRDefault="00E46C0A" w:rsidP="00E46C0A">
      <w:pPr>
        <w:pStyle w:val="Textoindependiente"/>
        <w:jc w:val="center"/>
      </w:pPr>
      <w:r w:rsidRPr="00C924EE">
        <w:rPr>
          <w:noProof/>
          <w:lang w:val="es-CO" w:eastAsia="es-CO"/>
        </w:rPr>
        <w:drawing>
          <wp:inline distT="0" distB="0" distL="0" distR="0" wp14:anchorId="1ECE1520" wp14:editId="630D2A10">
            <wp:extent cx="5619750" cy="39909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9750" cy="3990975"/>
                    </a:xfrm>
                    <a:prstGeom prst="rect">
                      <a:avLst/>
                    </a:prstGeom>
                  </pic:spPr>
                </pic:pic>
              </a:graphicData>
            </a:graphic>
          </wp:inline>
        </w:drawing>
      </w:r>
    </w:p>
    <w:p w14:paraId="4244FA96" w14:textId="77777777" w:rsidR="00E46C0A" w:rsidRDefault="00E46C0A" w:rsidP="00E46C0A">
      <w:pPr>
        <w:pStyle w:val="Textoindependiente"/>
        <w:jc w:val="both"/>
      </w:pPr>
    </w:p>
    <w:p w14:paraId="6B4E2DBF"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Frente al presente indicador, se puede mencionar que comparando el presupuesto total recaudado del ingreso, versus el presupuesto total comprometido en el gasto de 2024, se tiene un resultado de déficit de 4.134 millones de pesos, sin perjuicio, del indicador de la fuente de recursos propios, la cual genera un superávit de 322 millones de pesos, es importante que la Administración genere Un seguimiento pertinente por fuentes, en especial, se advierte, el uso continuado de reservas presupuestales por parte de la Corporación, en contratos y/o convenios en los cuales, planeaba que su plazo de ejecución excedía la vigencia 2024, omitiendo presuntamente el uso de la autorización de vigencias futuras.</w:t>
      </w:r>
    </w:p>
    <w:p w14:paraId="302359DD" w14:textId="77777777" w:rsidR="00E46C0A" w:rsidRPr="00A860CC" w:rsidRDefault="00E46C0A" w:rsidP="00E46C0A">
      <w:pPr>
        <w:pStyle w:val="Textoindependiente"/>
        <w:jc w:val="both"/>
        <w:rPr>
          <w:rFonts w:ascii="Arial" w:hAnsi="Arial" w:cs="Arial"/>
          <w:sz w:val="24"/>
          <w:szCs w:val="24"/>
          <w:lang w:val="es-CO"/>
        </w:rPr>
      </w:pPr>
      <w:r w:rsidRPr="00A860CC">
        <w:rPr>
          <w:rFonts w:ascii="Arial" w:hAnsi="Arial" w:cs="Arial"/>
          <w:sz w:val="24"/>
          <w:szCs w:val="24"/>
          <w:lang w:val="es-CO"/>
        </w:rPr>
        <w:lastRenderedPageBreak/>
        <w:t>Fuente: PAC 2024-2027 – Corponariño.</w:t>
      </w:r>
    </w:p>
    <w:p w14:paraId="573B4734" w14:textId="77777777" w:rsidR="00E46C0A" w:rsidRPr="00A860CC" w:rsidRDefault="00E46C0A" w:rsidP="00E46C0A">
      <w:pPr>
        <w:pStyle w:val="Textoindependiente"/>
        <w:jc w:val="both"/>
        <w:rPr>
          <w:rFonts w:ascii="Arial" w:hAnsi="Arial" w:cs="Arial"/>
          <w:sz w:val="24"/>
          <w:szCs w:val="24"/>
          <w:lang w:val="es-CO"/>
        </w:rPr>
      </w:pPr>
    </w:p>
    <w:p w14:paraId="18278084" w14:textId="77777777" w:rsidR="00E46C0A" w:rsidRPr="00A860CC" w:rsidRDefault="00E46C0A" w:rsidP="00AE3935">
      <w:pPr>
        <w:pStyle w:val="Textoindependiente"/>
        <w:numPr>
          <w:ilvl w:val="0"/>
          <w:numId w:val="98"/>
        </w:numPr>
        <w:jc w:val="both"/>
        <w:rPr>
          <w:rFonts w:ascii="Arial" w:hAnsi="Arial" w:cs="Arial"/>
          <w:b/>
          <w:bCs/>
          <w:sz w:val="24"/>
          <w:szCs w:val="24"/>
          <w:lang w:val="es-CO"/>
        </w:rPr>
      </w:pPr>
      <w:r w:rsidRPr="00A860CC">
        <w:rPr>
          <w:rFonts w:ascii="Arial" w:hAnsi="Arial" w:cs="Arial"/>
          <w:b/>
          <w:bCs/>
          <w:sz w:val="24"/>
          <w:szCs w:val="24"/>
          <w:lang w:val="es-CO"/>
        </w:rPr>
        <w:t>Recaudo de cartera.</w:t>
      </w:r>
    </w:p>
    <w:p w14:paraId="3E7A0DA3" w14:textId="77777777" w:rsidR="00E46C0A" w:rsidRDefault="00E46C0A" w:rsidP="00E46C0A">
      <w:pPr>
        <w:pStyle w:val="Textoindependiente"/>
        <w:jc w:val="both"/>
      </w:pPr>
    </w:p>
    <w:p w14:paraId="6B69FD34" w14:textId="77777777" w:rsidR="00E46C0A" w:rsidRDefault="00E46C0A" w:rsidP="00E46C0A">
      <w:pPr>
        <w:pStyle w:val="Textoindependiente"/>
        <w:jc w:val="center"/>
      </w:pPr>
      <w:r w:rsidRPr="00B13666">
        <w:rPr>
          <w:noProof/>
          <w:lang w:val="es-CO" w:eastAsia="es-CO"/>
        </w:rPr>
        <w:drawing>
          <wp:inline distT="0" distB="0" distL="0" distR="0" wp14:anchorId="0B13A5EC" wp14:editId="0BD0F6C0">
            <wp:extent cx="5553075" cy="13144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53075" cy="1314450"/>
                    </a:xfrm>
                    <a:prstGeom prst="rect">
                      <a:avLst/>
                    </a:prstGeom>
                  </pic:spPr>
                </pic:pic>
              </a:graphicData>
            </a:graphic>
          </wp:inline>
        </w:drawing>
      </w:r>
    </w:p>
    <w:p w14:paraId="5C23AFAC" w14:textId="77777777" w:rsidR="00E46C0A" w:rsidRDefault="00E46C0A" w:rsidP="00E46C0A">
      <w:pPr>
        <w:pStyle w:val="Textoindependiente"/>
        <w:rPr>
          <w:lang w:val="es-CO"/>
        </w:rPr>
      </w:pPr>
    </w:p>
    <w:p w14:paraId="60173605"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No cumple este indicador, presenta un resultado del I .6%, evidenciando una mala gestión en el recaudo de cartera, al igual, que se evidencia la necesidad de llevar a cabo las gestiones para identificar las cuentas por cobrar que si reflejen la realidad de esta partida para la Corporación.</w:t>
      </w:r>
    </w:p>
    <w:p w14:paraId="7580442A" w14:textId="77777777" w:rsidR="00E46C0A" w:rsidRPr="00A860CC" w:rsidRDefault="00E46C0A" w:rsidP="00E46C0A">
      <w:pPr>
        <w:pStyle w:val="Textoindependiente"/>
        <w:jc w:val="both"/>
        <w:rPr>
          <w:rFonts w:ascii="Arial" w:hAnsi="Arial" w:cs="Arial"/>
          <w:sz w:val="24"/>
          <w:szCs w:val="24"/>
          <w:lang w:val="es-CO"/>
        </w:rPr>
      </w:pPr>
    </w:p>
    <w:p w14:paraId="54C4041B" w14:textId="77777777" w:rsidR="00E46C0A" w:rsidRPr="00A860CC" w:rsidRDefault="00E46C0A" w:rsidP="00AE3935">
      <w:pPr>
        <w:pStyle w:val="Textoindependiente"/>
        <w:numPr>
          <w:ilvl w:val="0"/>
          <w:numId w:val="98"/>
        </w:numPr>
        <w:jc w:val="both"/>
        <w:rPr>
          <w:rFonts w:ascii="Arial" w:hAnsi="Arial" w:cs="Arial"/>
          <w:b/>
          <w:bCs/>
          <w:sz w:val="24"/>
          <w:szCs w:val="24"/>
          <w:lang w:val="es-CO"/>
        </w:rPr>
      </w:pPr>
      <w:r w:rsidRPr="00A860CC">
        <w:rPr>
          <w:rFonts w:ascii="Arial" w:hAnsi="Arial" w:cs="Arial"/>
          <w:b/>
          <w:bCs/>
          <w:sz w:val="24"/>
          <w:szCs w:val="24"/>
          <w:lang w:val="es-CO"/>
        </w:rPr>
        <w:t>Razón corriente.</w:t>
      </w:r>
    </w:p>
    <w:p w14:paraId="7EDE5B98" w14:textId="77777777" w:rsidR="00E46C0A" w:rsidRDefault="00E46C0A" w:rsidP="00E46C0A">
      <w:pPr>
        <w:pStyle w:val="Textoindependiente"/>
        <w:jc w:val="both"/>
        <w:rPr>
          <w:b/>
          <w:bCs/>
          <w:lang w:val="es-CO"/>
        </w:rPr>
      </w:pPr>
    </w:p>
    <w:tbl>
      <w:tblPr>
        <w:tblStyle w:val="Tablaconcuadrcula"/>
        <w:tblW w:w="0" w:type="auto"/>
        <w:jc w:val="center"/>
        <w:tblLook w:val="04A0" w:firstRow="1" w:lastRow="0" w:firstColumn="1" w:lastColumn="0" w:noHBand="0" w:noVBand="1"/>
      </w:tblPr>
      <w:tblGrid>
        <w:gridCol w:w="2049"/>
        <w:gridCol w:w="1833"/>
        <w:gridCol w:w="1276"/>
      </w:tblGrid>
      <w:tr w:rsidR="00E46C0A" w:rsidRPr="004518C0" w14:paraId="6E0328F6" w14:textId="77777777" w:rsidTr="00D4226B">
        <w:trPr>
          <w:jc w:val="center"/>
        </w:trPr>
        <w:tc>
          <w:tcPr>
            <w:tcW w:w="2049" w:type="dxa"/>
          </w:tcPr>
          <w:p w14:paraId="336CC39D" w14:textId="77777777" w:rsidR="00E46C0A" w:rsidRPr="004518C0" w:rsidRDefault="00E46C0A" w:rsidP="00D4226B">
            <w:pPr>
              <w:pStyle w:val="Textoindependiente"/>
              <w:jc w:val="both"/>
              <w:rPr>
                <w:lang w:val="es-CO"/>
              </w:rPr>
            </w:pPr>
            <w:r w:rsidRPr="004518C0">
              <w:rPr>
                <w:lang w:val="es-CO"/>
              </w:rPr>
              <w:t xml:space="preserve">Activo corriente </w:t>
            </w:r>
          </w:p>
        </w:tc>
        <w:tc>
          <w:tcPr>
            <w:tcW w:w="1778" w:type="dxa"/>
          </w:tcPr>
          <w:p w14:paraId="6E993F5D" w14:textId="77777777" w:rsidR="00E46C0A" w:rsidRPr="004518C0" w:rsidRDefault="00E46C0A" w:rsidP="00D4226B">
            <w:pPr>
              <w:pStyle w:val="Textoindependiente"/>
              <w:jc w:val="both"/>
              <w:rPr>
                <w:lang w:val="es-CO"/>
              </w:rPr>
            </w:pPr>
            <w:r w:rsidRPr="004518C0">
              <w:rPr>
                <w:lang w:val="es-CO"/>
              </w:rPr>
              <w:t>27.078.780.226</w:t>
            </w:r>
          </w:p>
        </w:tc>
        <w:tc>
          <w:tcPr>
            <w:tcW w:w="1276" w:type="dxa"/>
          </w:tcPr>
          <w:p w14:paraId="0820D11E" w14:textId="77777777" w:rsidR="00E46C0A" w:rsidRPr="004518C0" w:rsidRDefault="00E46C0A" w:rsidP="00D4226B">
            <w:pPr>
              <w:pStyle w:val="Textoindependiente"/>
              <w:jc w:val="both"/>
              <w:rPr>
                <w:lang w:val="es-CO"/>
              </w:rPr>
            </w:pPr>
            <w:r w:rsidRPr="004518C0">
              <w:rPr>
                <w:lang w:val="es-CO"/>
              </w:rPr>
              <w:t>3.08</w:t>
            </w:r>
          </w:p>
        </w:tc>
      </w:tr>
      <w:tr w:rsidR="00E46C0A" w:rsidRPr="004518C0" w14:paraId="7B790F3B" w14:textId="77777777" w:rsidTr="00D4226B">
        <w:trPr>
          <w:jc w:val="center"/>
        </w:trPr>
        <w:tc>
          <w:tcPr>
            <w:tcW w:w="2049" w:type="dxa"/>
          </w:tcPr>
          <w:p w14:paraId="0A4766FF" w14:textId="77777777" w:rsidR="00E46C0A" w:rsidRPr="004518C0" w:rsidRDefault="00E46C0A" w:rsidP="00D4226B">
            <w:pPr>
              <w:pStyle w:val="Textoindependiente"/>
              <w:jc w:val="both"/>
              <w:rPr>
                <w:lang w:val="es-CO"/>
              </w:rPr>
            </w:pPr>
            <w:r w:rsidRPr="004518C0">
              <w:rPr>
                <w:lang w:val="es-CO"/>
              </w:rPr>
              <w:t>Pasivo corriente</w:t>
            </w:r>
          </w:p>
        </w:tc>
        <w:tc>
          <w:tcPr>
            <w:tcW w:w="1778" w:type="dxa"/>
          </w:tcPr>
          <w:p w14:paraId="70470167" w14:textId="77777777" w:rsidR="00E46C0A" w:rsidRPr="004518C0" w:rsidRDefault="00E46C0A" w:rsidP="00D4226B">
            <w:pPr>
              <w:pStyle w:val="Textoindependiente"/>
              <w:jc w:val="both"/>
              <w:rPr>
                <w:lang w:val="es-CO"/>
              </w:rPr>
            </w:pPr>
            <w:r w:rsidRPr="004518C0">
              <w:rPr>
                <w:lang w:val="es-CO"/>
              </w:rPr>
              <w:t>8.789.278.094</w:t>
            </w:r>
          </w:p>
        </w:tc>
        <w:tc>
          <w:tcPr>
            <w:tcW w:w="1276" w:type="dxa"/>
          </w:tcPr>
          <w:p w14:paraId="6F0DB22B" w14:textId="77777777" w:rsidR="00E46C0A" w:rsidRPr="004518C0" w:rsidRDefault="00E46C0A" w:rsidP="00D4226B">
            <w:pPr>
              <w:pStyle w:val="Textoindependiente"/>
              <w:jc w:val="both"/>
              <w:rPr>
                <w:lang w:val="es-CO"/>
              </w:rPr>
            </w:pPr>
          </w:p>
        </w:tc>
      </w:tr>
    </w:tbl>
    <w:p w14:paraId="6E4A5520" w14:textId="77777777" w:rsidR="00E46C0A" w:rsidRPr="00B13666" w:rsidRDefault="00E46C0A" w:rsidP="00E46C0A">
      <w:pPr>
        <w:pStyle w:val="Textoindependiente"/>
        <w:jc w:val="both"/>
        <w:rPr>
          <w:lang w:val="es-CO"/>
        </w:rPr>
      </w:pPr>
    </w:p>
    <w:p w14:paraId="34B08EDB"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Para los efectos, del presente informe solo se relacionan las observaciones generadas por la revisoría fiscal, frente a presuntos hechos irregulares, los cuales, se dieron a conocer al director general, al Consejo Directivo y a los entes de control:</w:t>
      </w:r>
    </w:p>
    <w:p w14:paraId="7465467D" w14:textId="77777777" w:rsidR="00E46C0A" w:rsidRPr="00A860CC" w:rsidRDefault="00E46C0A" w:rsidP="0014585C">
      <w:pPr>
        <w:pStyle w:val="Textoindependiente"/>
        <w:ind w:right="-93"/>
        <w:jc w:val="both"/>
        <w:rPr>
          <w:rFonts w:ascii="Arial" w:hAnsi="Arial" w:cs="Arial"/>
          <w:sz w:val="24"/>
          <w:szCs w:val="24"/>
          <w:lang w:val="es-CO"/>
        </w:rPr>
      </w:pPr>
    </w:p>
    <w:p w14:paraId="6C4E2EEE"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OBSERVACIÓN EN EL PROCESO DE MODALIDAD DE CONTRATACIÓN, se identificaron contratos presuntos por 8.500 millones de pesos.</w:t>
      </w:r>
    </w:p>
    <w:p w14:paraId="0E6B54AE" w14:textId="77777777" w:rsidR="00E46C0A" w:rsidRPr="00A860CC" w:rsidRDefault="00E46C0A" w:rsidP="0014585C">
      <w:pPr>
        <w:pStyle w:val="Textoindependiente"/>
        <w:ind w:right="-93"/>
        <w:jc w:val="both"/>
        <w:rPr>
          <w:rFonts w:ascii="Arial" w:hAnsi="Arial" w:cs="Arial"/>
          <w:sz w:val="24"/>
          <w:szCs w:val="24"/>
          <w:lang w:val="es-CO"/>
        </w:rPr>
      </w:pPr>
    </w:p>
    <w:p w14:paraId="469C4032"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OBSERVACION POR PRESUNTA INCUMPLIMIENTO AL TRÁMITE DE AUTORIZACIÓN DE VIGENCIAS FUTURAS ORDINARIAS, asciende a 9.900 millones.</w:t>
      </w:r>
    </w:p>
    <w:p w14:paraId="7357A5B6" w14:textId="77777777" w:rsidR="00E46C0A" w:rsidRPr="00A860CC" w:rsidRDefault="00E46C0A" w:rsidP="0014585C">
      <w:pPr>
        <w:pStyle w:val="Textoindependiente"/>
        <w:ind w:right="-93"/>
        <w:jc w:val="both"/>
        <w:rPr>
          <w:rFonts w:ascii="Arial" w:hAnsi="Arial" w:cs="Arial"/>
          <w:sz w:val="24"/>
          <w:szCs w:val="24"/>
          <w:lang w:val="es-CO"/>
        </w:rPr>
      </w:pPr>
    </w:p>
    <w:p w14:paraId="047D385F"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OBSERVACIÓN POR PRESUNTOS SOBRECOSTOS EN LA GESTIÓN DE LOS NEGOCIOS JURÍDICOS, por valor de 320 millones de pesos.</w:t>
      </w:r>
    </w:p>
    <w:p w14:paraId="52E854B9" w14:textId="77777777" w:rsidR="00E46C0A" w:rsidRPr="00A860CC" w:rsidRDefault="00E46C0A" w:rsidP="0014585C">
      <w:pPr>
        <w:pStyle w:val="Textoindependiente"/>
        <w:ind w:right="-93"/>
        <w:jc w:val="both"/>
        <w:rPr>
          <w:rFonts w:ascii="Arial" w:hAnsi="Arial" w:cs="Arial"/>
          <w:sz w:val="24"/>
          <w:szCs w:val="24"/>
          <w:lang w:val="es-CO"/>
        </w:rPr>
      </w:pPr>
    </w:p>
    <w:p w14:paraId="36073099"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OBSERVACIÓN POR PRESUNTA TRASGRESIÓN AL PRINCIPIO DE TRANSPARENCIA Y DE MAXIMA PUBLICIDAD.</w:t>
      </w:r>
    </w:p>
    <w:p w14:paraId="4CE02CEE" w14:textId="77777777" w:rsidR="00E46C0A" w:rsidRPr="00A860CC" w:rsidRDefault="00E46C0A" w:rsidP="0014585C">
      <w:pPr>
        <w:pStyle w:val="Textoindependiente"/>
        <w:ind w:right="-93"/>
        <w:jc w:val="both"/>
        <w:rPr>
          <w:rFonts w:ascii="Arial" w:hAnsi="Arial" w:cs="Arial"/>
          <w:sz w:val="24"/>
          <w:szCs w:val="24"/>
          <w:lang w:val="es-CO"/>
        </w:rPr>
      </w:pPr>
    </w:p>
    <w:p w14:paraId="4F288E03"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OBSERVACION POR PRESUNTAS FALENCIAS EN LA ELABORACIÓN DE LOS INFORMES DE SUPERVISIÓN.</w:t>
      </w:r>
    </w:p>
    <w:p w14:paraId="61DCE3FA" w14:textId="77777777" w:rsidR="00E46C0A" w:rsidRPr="00A860CC" w:rsidRDefault="00E46C0A" w:rsidP="0014585C">
      <w:pPr>
        <w:pStyle w:val="Textoindependiente"/>
        <w:ind w:right="-93"/>
        <w:jc w:val="both"/>
        <w:rPr>
          <w:rFonts w:ascii="Arial" w:hAnsi="Arial" w:cs="Arial"/>
          <w:sz w:val="24"/>
          <w:szCs w:val="24"/>
          <w:lang w:val="es-CO"/>
        </w:rPr>
      </w:pPr>
    </w:p>
    <w:p w14:paraId="7222D452"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OBSERVACIONES POR PRESUNTA OMISION CONSTITUCIÓN DE FIDUCIAS Y FORMA DE CONTRATACIÓN INTERVENTORIAS.</w:t>
      </w:r>
    </w:p>
    <w:p w14:paraId="3D383A36" w14:textId="77777777" w:rsidR="00E46C0A" w:rsidRPr="00A860CC" w:rsidRDefault="00E46C0A" w:rsidP="00E46C0A">
      <w:pPr>
        <w:pStyle w:val="Textoindependiente"/>
        <w:jc w:val="both"/>
        <w:rPr>
          <w:rFonts w:ascii="Arial" w:hAnsi="Arial" w:cs="Arial"/>
          <w:sz w:val="24"/>
          <w:szCs w:val="24"/>
          <w:lang w:val="es-CO"/>
        </w:rPr>
      </w:pPr>
    </w:p>
    <w:p w14:paraId="311DFD2A" w14:textId="77777777" w:rsidR="00E46C0A" w:rsidRPr="00A860CC" w:rsidRDefault="00E46C0A" w:rsidP="00E46C0A">
      <w:pPr>
        <w:pStyle w:val="Textoindependiente"/>
        <w:jc w:val="both"/>
        <w:rPr>
          <w:rFonts w:ascii="Arial" w:hAnsi="Arial" w:cs="Arial"/>
          <w:b/>
          <w:bCs/>
          <w:sz w:val="24"/>
          <w:szCs w:val="24"/>
          <w:lang w:val="es-CO"/>
        </w:rPr>
      </w:pPr>
      <w:r w:rsidRPr="00A860CC">
        <w:rPr>
          <w:rFonts w:ascii="Arial" w:hAnsi="Arial" w:cs="Arial"/>
          <w:b/>
          <w:bCs/>
          <w:sz w:val="24"/>
          <w:szCs w:val="24"/>
          <w:lang w:val="es-CO"/>
        </w:rPr>
        <w:t>Otros Asuntos.</w:t>
      </w:r>
    </w:p>
    <w:p w14:paraId="6685FC09" w14:textId="77777777" w:rsidR="00E46C0A" w:rsidRPr="00A860CC" w:rsidRDefault="00E46C0A" w:rsidP="00E46C0A">
      <w:pPr>
        <w:pStyle w:val="Textoindependiente"/>
        <w:jc w:val="both"/>
        <w:rPr>
          <w:rFonts w:ascii="Arial" w:hAnsi="Arial" w:cs="Arial"/>
          <w:sz w:val="24"/>
          <w:szCs w:val="24"/>
          <w:lang w:val="es-CO"/>
        </w:rPr>
      </w:pPr>
    </w:p>
    <w:p w14:paraId="3D22E5EC" w14:textId="16C5EBE7" w:rsidR="00E46C0A" w:rsidRPr="00A860CC" w:rsidRDefault="00E46C0A" w:rsidP="0014585C">
      <w:pPr>
        <w:pStyle w:val="Textoindependiente"/>
        <w:ind w:right="-93"/>
        <w:jc w:val="both"/>
        <w:rPr>
          <w:rFonts w:ascii="Arial" w:hAnsi="Arial" w:cs="Arial"/>
          <w:sz w:val="24"/>
          <w:szCs w:val="24"/>
        </w:rPr>
      </w:pPr>
      <w:r w:rsidRPr="00A860CC">
        <w:rPr>
          <w:rFonts w:ascii="Arial" w:hAnsi="Arial" w:cs="Arial"/>
          <w:sz w:val="24"/>
          <w:szCs w:val="24"/>
          <w:lang w:val="es-CO"/>
        </w:rPr>
        <w:t xml:space="preserve">La </w:t>
      </w:r>
      <w:r w:rsidR="00D926CD" w:rsidRPr="00A860CC">
        <w:rPr>
          <w:rFonts w:ascii="Arial" w:hAnsi="Arial" w:cs="Arial"/>
          <w:sz w:val="24"/>
          <w:szCs w:val="24"/>
          <w:lang w:val="es-CO"/>
        </w:rPr>
        <w:t>fiscalía general</w:t>
      </w:r>
      <w:r w:rsidRPr="00A860CC">
        <w:rPr>
          <w:rFonts w:ascii="Arial" w:hAnsi="Arial" w:cs="Arial"/>
          <w:sz w:val="24"/>
          <w:szCs w:val="24"/>
          <w:lang w:val="es-CO"/>
        </w:rPr>
        <w:t xml:space="preserve"> de la Nación capturó a seis personas, entre funcionarios y contratistas de Corponariño, por presunta participación en actos de corrupción vinculados a permisos irregulares para el aprovechamiento forestal en 2022. Las investigaciones se enfocan en </w:t>
      </w:r>
      <w:r w:rsidRPr="00A860CC">
        <w:rPr>
          <w:rFonts w:ascii="Arial" w:hAnsi="Arial" w:cs="Arial"/>
          <w:sz w:val="24"/>
          <w:szCs w:val="24"/>
          <w:lang w:val="es-CO"/>
        </w:rPr>
        <w:lastRenderedPageBreak/>
        <w:t>irregularidades relacionadas con la movilización de madera.</w:t>
      </w:r>
    </w:p>
    <w:p w14:paraId="7EDB63D9" w14:textId="77777777" w:rsidR="00E46C0A" w:rsidRPr="00A860CC" w:rsidRDefault="00E46C0A" w:rsidP="0014585C">
      <w:pPr>
        <w:pStyle w:val="Textoindependiente"/>
        <w:ind w:right="-93"/>
        <w:jc w:val="both"/>
        <w:rPr>
          <w:rFonts w:ascii="Arial" w:hAnsi="Arial" w:cs="Arial"/>
          <w:sz w:val="24"/>
          <w:szCs w:val="24"/>
        </w:rPr>
      </w:pPr>
    </w:p>
    <w:p w14:paraId="41928939" w14:textId="77777777" w:rsidR="00E46C0A" w:rsidRPr="00A860CC" w:rsidRDefault="00E46C0A" w:rsidP="0014585C">
      <w:pPr>
        <w:pStyle w:val="Textoindependiente"/>
        <w:ind w:right="-93"/>
        <w:jc w:val="both"/>
        <w:rPr>
          <w:rFonts w:ascii="Arial" w:hAnsi="Arial" w:cs="Arial"/>
          <w:b/>
          <w:bCs/>
          <w:sz w:val="24"/>
          <w:szCs w:val="24"/>
          <w:lang w:val="es-CO"/>
        </w:rPr>
      </w:pPr>
      <w:r w:rsidRPr="00A860CC">
        <w:rPr>
          <w:rFonts w:ascii="Arial" w:hAnsi="Arial" w:cs="Arial"/>
          <w:b/>
          <w:bCs/>
          <w:sz w:val="24"/>
          <w:szCs w:val="24"/>
          <w:lang w:val="es-CO"/>
        </w:rPr>
        <w:t>-INFORME SOBRE OTROS REQUERIMIENTOS LEGALES Y REGLAMENTARIOS Y CONTROL INTERNO.</w:t>
      </w:r>
    </w:p>
    <w:p w14:paraId="2DA72042" w14:textId="77777777" w:rsidR="00E46C0A" w:rsidRPr="00A860CC" w:rsidRDefault="00E46C0A" w:rsidP="0014585C">
      <w:pPr>
        <w:pStyle w:val="Textoindependiente"/>
        <w:ind w:right="-93"/>
        <w:jc w:val="both"/>
        <w:rPr>
          <w:rFonts w:ascii="Arial" w:hAnsi="Arial" w:cs="Arial"/>
          <w:sz w:val="24"/>
          <w:szCs w:val="24"/>
          <w:lang w:val="es-CO"/>
        </w:rPr>
      </w:pPr>
    </w:p>
    <w:p w14:paraId="7F8D4190" w14:textId="77777777" w:rsidR="00E46C0A" w:rsidRPr="00A860CC" w:rsidRDefault="00E46C0A" w:rsidP="0014585C">
      <w:pPr>
        <w:pStyle w:val="Textoindependiente"/>
        <w:ind w:right="-93"/>
        <w:rPr>
          <w:rFonts w:ascii="Arial" w:hAnsi="Arial" w:cs="Arial"/>
          <w:b/>
          <w:bCs/>
          <w:sz w:val="24"/>
          <w:szCs w:val="24"/>
          <w:lang w:val="es-CO"/>
        </w:rPr>
      </w:pPr>
      <w:r w:rsidRPr="00A860CC">
        <w:rPr>
          <w:rFonts w:ascii="Arial" w:hAnsi="Arial" w:cs="Arial"/>
          <w:b/>
          <w:bCs/>
          <w:sz w:val="24"/>
          <w:szCs w:val="24"/>
          <w:lang w:val="es-CO"/>
        </w:rPr>
        <w:t>Requerimientos legales y reglamentarios.</w:t>
      </w:r>
    </w:p>
    <w:p w14:paraId="69193D5A" w14:textId="77777777" w:rsidR="00E46C0A" w:rsidRPr="00A860CC" w:rsidRDefault="00E46C0A" w:rsidP="0014585C">
      <w:pPr>
        <w:pStyle w:val="Textoindependiente"/>
        <w:ind w:right="-93"/>
        <w:rPr>
          <w:rFonts w:ascii="Arial" w:hAnsi="Arial" w:cs="Arial"/>
          <w:sz w:val="24"/>
          <w:szCs w:val="24"/>
          <w:lang w:val="es-CO"/>
        </w:rPr>
      </w:pPr>
    </w:p>
    <w:p w14:paraId="08539245"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Informo que, durante el año 2024, la CORPORACIÓN REGIONAL AUTONOMA DE NARIÑO, de conformidad con los estatutos, el código de comercio en especial, los artículos 208 y 209, la ley 222 de 1995:</w:t>
      </w:r>
    </w:p>
    <w:p w14:paraId="091F1C1D" w14:textId="77777777" w:rsidR="00E46C0A" w:rsidRPr="00A860CC" w:rsidRDefault="00E46C0A" w:rsidP="0014585C">
      <w:pPr>
        <w:pStyle w:val="Textoindependiente"/>
        <w:ind w:right="-93"/>
        <w:jc w:val="both"/>
        <w:rPr>
          <w:rFonts w:ascii="Arial" w:hAnsi="Arial" w:cs="Arial"/>
          <w:sz w:val="24"/>
          <w:szCs w:val="24"/>
          <w:lang w:val="es-CO"/>
        </w:rPr>
      </w:pPr>
    </w:p>
    <w:p w14:paraId="09863D1C" w14:textId="77777777" w:rsidR="00E46C0A" w:rsidRPr="00A860CC" w:rsidRDefault="00E46C0A" w:rsidP="0014585C">
      <w:pPr>
        <w:pStyle w:val="Textoindependiente"/>
        <w:numPr>
          <w:ilvl w:val="0"/>
          <w:numId w:val="95"/>
        </w:numPr>
        <w:ind w:right="-93"/>
        <w:jc w:val="both"/>
        <w:rPr>
          <w:rFonts w:ascii="Arial" w:hAnsi="Arial" w:cs="Arial"/>
          <w:sz w:val="24"/>
          <w:szCs w:val="24"/>
          <w:lang w:val="es-CO"/>
        </w:rPr>
      </w:pPr>
      <w:r w:rsidRPr="00A860CC">
        <w:rPr>
          <w:rFonts w:ascii="Arial" w:hAnsi="Arial" w:cs="Arial"/>
          <w:sz w:val="24"/>
          <w:szCs w:val="24"/>
          <w:lang w:val="es-CO"/>
        </w:rPr>
        <w:t>La Corporación no lleva en su generalidad la contabilidad conforme a las normas legales y a la técnica contable.</w:t>
      </w:r>
    </w:p>
    <w:p w14:paraId="7DE313F7" w14:textId="77777777" w:rsidR="00E46C0A" w:rsidRPr="00A860CC" w:rsidRDefault="00E46C0A" w:rsidP="0014585C">
      <w:pPr>
        <w:pStyle w:val="Textoindependiente"/>
        <w:numPr>
          <w:ilvl w:val="0"/>
          <w:numId w:val="95"/>
        </w:numPr>
        <w:ind w:right="-93"/>
        <w:jc w:val="both"/>
        <w:rPr>
          <w:rFonts w:ascii="Arial" w:hAnsi="Arial" w:cs="Arial"/>
          <w:sz w:val="24"/>
          <w:szCs w:val="24"/>
        </w:rPr>
      </w:pPr>
      <w:r w:rsidRPr="00A860CC">
        <w:rPr>
          <w:rFonts w:ascii="Arial" w:hAnsi="Arial" w:cs="Arial"/>
          <w:sz w:val="24"/>
          <w:szCs w:val="24"/>
          <w:lang w:val="es-CO"/>
        </w:rPr>
        <w:t>Las operaciones registradas en los libros de contabilidad y los actos de los administradores se ajustan a los estatutos y a las decisiones del Consejo Directivo y la Asamblea, sin perjuicio, de las incorrecciones materiales descritas en el presente informe y los resultados de las auditorías practicadas a la Corporación</w:t>
      </w:r>
    </w:p>
    <w:p w14:paraId="0B81DECC" w14:textId="77777777" w:rsidR="00E46C0A" w:rsidRPr="00A860CC" w:rsidRDefault="00E46C0A" w:rsidP="0014585C">
      <w:pPr>
        <w:pStyle w:val="Textoindependiente"/>
        <w:ind w:right="-93"/>
        <w:jc w:val="both"/>
        <w:rPr>
          <w:rFonts w:ascii="Arial" w:hAnsi="Arial" w:cs="Arial"/>
          <w:sz w:val="24"/>
          <w:szCs w:val="24"/>
        </w:rPr>
      </w:pPr>
    </w:p>
    <w:p w14:paraId="104CF986" w14:textId="77777777" w:rsidR="00E46C0A" w:rsidRPr="00A860CC" w:rsidRDefault="00E46C0A" w:rsidP="0014585C">
      <w:pPr>
        <w:pStyle w:val="Textoindependiente"/>
        <w:ind w:right="-93"/>
        <w:jc w:val="both"/>
        <w:rPr>
          <w:rFonts w:ascii="Arial" w:hAnsi="Arial" w:cs="Arial"/>
          <w:b/>
          <w:bCs/>
          <w:sz w:val="24"/>
          <w:szCs w:val="24"/>
          <w:lang w:val="es-CO"/>
        </w:rPr>
      </w:pPr>
      <w:r w:rsidRPr="00A860CC">
        <w:rPr>
          <w:rFonts w:ascii="Arial" w:hAnsi="Arial" w:cs="Arial"/>
          <w:b/>
          <w:bCs/>
          <w:sz w:val="24"/>
          <w:szCs w:val="24"/>
          <w:lang w:val="es-CO"/>
        </w:rPr>
        <w:t>Aportes a seguridad social y parafiscales.</w:t>
      </w:r>
    </w:p>
    <w:p w14:paraId="740D531B" w14:textId="77777777" w:rsidR="00E46C0A" w:rsidRPr="00A860CC" w:rsidRDefault="00E46C0A" w:rsidP="0014585C">
      <w:pPr>
        <w:pStyle w:val="Textoindependiente"/>
        <w:ind w:right="-93"/>
        <w:jc w:val="both"/>
        <w:rPr>
          <w:rFonts w:ascii="Arial" w:hAnsi="Arial" w:cs="Arial"/>
          <w:sz w:val="24"/>
          <w:szCs w:val="24"/>
          <w:lang w:val="es-CO"/>
        </w:rPr>
      </w:pPr>
    </w:p>
    <w:p w14:paraId="3E3A3350"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Se evidencia que se vienen efectuando los aportes por parte de la Corporación, sin embargo, los pagos se están efectuando en algunos periodos de manera extemporánea, incurriendo en intereses moratorios. Mismos que señala esta revisoría fiscal deben ser asumidos por el o los responsables de pago inoportuno.</w:t>
      </w:r>
    </w:p>
    <w:p w14:paraId="59CF4B51" w14:textId="77777777" w:rsidR="00E46C0A" w:rsidRPr="00A860CC" w:rsidRDefault="00E46C0A" w:rsidP="00E46C0A">
      <w:pPr>
        <w:pStyle w:val="Textoindependiente"/>
        <w:jc w:val="both"/>
        <w:rPr>
          <w:rFonts w:ascii="Arial" w:hAnsi="Arial" w:cs="Arial"/>
          <w:sz w:val="24"/>
          <w:szCs w:val="24"/>
          <w:lang w:val="es-CO"/>
        </w:rPr>
      </w:pPr>
    </w:p>
    <w:p w14:paraId="008958AB" w14:textId="77777777" w:rsidR="00E46C0A" w:rsidRPr="00A860CC" w:rsidRDefault="00E46C0A" w:rsidP="00E46C0A">
      <w:pPr>
        <w:pStyle w:val="Textoindependiente"/>
        <w:jc w:val="both"/>
        <w:rPr>
          <w:rFonts w:ascii="Arial" w:hAnsi="Arial" w:cs="Arial"/>
          <w:b/>
          <w:bCs/>
          <w:sz w:val="24"/>
          <w:szCs w:val="24"/>
        </w:rPr>
      </w:pPr>
      <w:r w:rsidRPr="00A860CC">
        <w:rPr>
          <w:rFonts w:ascii="Arial" w:hAnsi="Arial" w:cs="Arial"/>
          <w:b/>
          <w:bCs/>
          <w:sz w:val="24"/>
          <w:szCs w:val="24"/>
        </w:rPr>
        <w:t>Control Interno.</w:t>
      </w:r>
    </w:p>
    <w:p w14:paraId="301B3D5D" w14:textId="77777777" w:rsidR="00E46C0A" w:rsidRPr="00A860CC" w:rsidRDefault="00E46C0A" w:rsidP="00E46C0A">
      <w:pPr>
        <w:pStyle w:val="Textoindependiente"/>
        <w:jc w:val="both"/>
        <w:rPr>
          <w:rFonts w:ascii="Arial" w:hAnsi="Arial" w:cs="Arial"/>
          <w:b/>
          <w:bCs/>
          <w:sz w:val="24"/>
          <w:szCs w:val="24"/>
        </w:rPr>
      </w:pPr>
    </w:p>
    <w:p w14:paraId="200DD6D4" w14:textId="77777777" w:rsidR="00E46C0A" w:rsidRPr="00A860CC" w:rsidRDefault="00E46C0A" w:rsidP="0014585C">
      <w:pPr>
        <w:pStyle w:val="Textoindependiente"/>
        <w:ind w:right="-93"/>
        <w:jc w:val="both"/>
        <w:rPr>
          <w:rFonts w:ascii="Arial" w:hAnsi="Arial" w:cs="Arial"/>
          <w:sz w:val="24"/>
          <w:szCs w:val="24"/>
        </w:rPr>
      </w:pPr>
      <w:r w:rsidRPr="00A860CC">
        <w:rPr>
          <w:rFonts w:ascii="Arial" w:hAnsi="Arial" w:cs="Arial"/>
          <w:sz w:val="24"/>
          <w:szCs w:val="24"/>
        </w:rPr>
        <w:t>La CORPORACIÓN AUTÓNOMA REGIONAL DE NARIÑO como autoridad ambiental del departamento, es la encargada de la ejecución de las políticas y planes del Ministerio de Ambiente y Desarrollo Sostenible, ¡por la autonomía administrativa y financiera que ostenta a! igual que otras entidades de similar envergadura tiene la responsabilidad de implementar, fortalecer e implementar el sistema de control interno.</w:t>
      </w:r>
    </w:p>
    <w:p w14:paraId="4DF75147" w14:textId="77777777" w:rsidR="00E46C0A" w:rsidRPr="00A860CC" w:rsidRDefault="00E46C0A" w:rsidP="0014585C">
      <w:pPr>
        <w:pStyle w:val="Textoindependiente"/>
        <w:ind w:right="-93"/>
        <w:jc w:val="both"/>
        <w:rPr>
          <w:rFonts w:ascii="Arial" w:hAnsi="Arial" w:cs="Arial"/>
          <w:sz w:val="24"/>
          <w:szCs w:val="24"/>
        </w:rPr>
      </w:pPr>
    </w:p>
    <w:p w14:paraId="23F5F337" w14:textId="77777777" w:rsidR="00E46C0A" w:rsidRPr="00A860CC" w:rsidRDefault="00E46C0A" w:rsidP="0014585C">
      <w:pPr>
        <w:pStyle w:val="Textoindependiente"/>
        <w:ind w:right="-93"/>
        <w:jc w:val="both"/>
        <w:rPr>
          <w:rFonts w:ascii="Arial" w:hAnsi="Arial" w:cs="Arial"/>
          <w:sz w:val="24"/>
          <w:szCs w:val="24"/>
          <w:lang w:val="es-CO"/>
        </w:rPr>
      </w:pPr>
      <w:r w:rsidRPr="00A860CC">
        <w:rPr>
          <w:rFonts w:ascii="Arial" w:hAnsi="Arial" w:cs="Arial"/>
          <w:sz w:val="24"/>
          <w:szCs w:val="24"/>
          <w:lang w:val="es-CO"/>
        </w:rPr>
        <w:t xml:space="preserve">Teniendo en cuenta lo anterior, a pesar de que la Corporación, tiene documentados sus procesos y procedimientos, ha identificado los riesgos de la entidad, </w:t>
      </w:r>
      <w:r w:rsidRPr="00A860CC">
        <w:rPr>
          <w:rFonts w:ascii="Arial" w:hAnsi="Arial" w:cs="Arial"/>
          <w:b/>
          <w:bCs/>
          <w:sz w:val="24"/>
          <w:szCs w:val="24"/>
          <w:u w:val="single"/>
          <w:lang w:val="es-CO"/>
        </w:rPr>
        <w:t>se evidencian debilidades dentro del sistema de control interno</w:t>
      </w:r>
      <w:r w:rsidRPr="00A860CC">
        <w:rPr>
          <w:rFonts w:ascii="Arial" w:hAnsi="Arial" w:cs="Arial"/>
          <w:sz w:val="24"/>
          <w:szCs w:val="24"/>
          <w:lang w:val="es-CO"/>
        </w:rPr>
        <w:t>, considerando, lo tratado en el presente informe, en especial las cuestiones del fundamento de la opinión, las auditorías realizadas, las situaciones recurrentes de vigencias anteriores informadas en su momento por la revisoría fiscal, y los planes de mejoramiento suscritos por la Corporación.</w:t>
      </w:r>
    </w:p>
    <w:p w14:paraId="2D803BAE" w14:textId="77777777" w:rsidR="00E46C0A" w:rsidRPr="00A860CC" w:rsidRDefault="00E46C0A" w:rsidP="00E46C0A">
      <w:pPr>
        <w:pStyle w:val="Textoindependiente"/>
        <w:jc w:val="both"/>
        <w:rPr>
          <w:rFonts w:ascii="Arial" w:hAnsi="Arial" w:cs="Arial"/>
          <w:sz w:val="24"/>
          <w:szCs w:val="24"/>
          <w:lang w:val="es-CO"/>
        </w:rPr>
      </w:pPr>
    </w:p>
    <w:p w14:paraId="2B7E4C9E" w14:textId="77777777" w:rsidR="00E46C0A" w:rsidRPr="00A860CC" w:rsidRDefault="00E46C0A" w:rsidP="00E46C0A">
      <w:pPr>
        <w:pStyle w:val="Textoindependiente"/>
        <w:jc w:val="both"/>
        <w:rPr>
          <w:rFonts w:ascii="Arial" w:hAnsi="Arial" w:cs="Arial"/>
          <w:sz w:val="24"/>
          <w:szCs w:val="24"/>
          <w:lang w:val="es-CO"/>
        </w:rPr>
      </w:pPr>
      <w:r w:rsidRPr="00A860CC">
        <w:rPr>
          <w:rFonts w:ascii="Arial" w:hAnsi="Arial" w:cs="Arial"/>
          <w:sz w:val="24"/>
          <w:szCs w:val="24"/>
          <w:lang w:val="es-CO"/>
        </w:rPr>
        <w:t>Entre estos se deben resaltar:</w:t>
      </w:r>
    </w:p>
    <w:p w14:paraId="274E0B0A" w14:textId="77777777" w:rsidR="00E46C0A" w:rsidRPr="00A860CC" w:rsidRDefault="00E46C0A" w:rsidP="00E46C0A">
      <w:pPr>
        <w:pStyle w:val="Textoindependiente"/>
        <w:jc w:val="both"/>
        <w:rPr>
          <w:rFonts w:ascii="Arial" w:hAnsi="Arial" w:cs="Arial"/>
          <w:sz w:val="24"/>
          <w:szCs w:val="24"/>
          <w:lang w:val="es-CO"/>
        </w:rPr>
      </w:pPr>
    </w:p>
    <w:p w14:paraId="780A369A"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La falta de conciliaciones bancarias oportunas y diferencias entre los saldos en los extractos bancarios y los saldos registrados en la contabilidad, que se registran desde años anteriores.</w:t>
      </w:r>
    </w:p>
    <w:p w14:paraId="3ADDA616" w14:textId="77777777" w:rsidR="00E46C0A" w:rsidRPr="00A860CC" w:rsidRDefault="00E46C0A" w:rsidP="0014585C">
      <w:pPr>
        <w:pStyle w:val="Textoindependiente"/>
        <w:ind w:left="720" w:right="-93"/>
        <w:jc w:val="both"/>
        <w:rPr>
          <w:rFonts w:ascii="Arial" w:hAnsi="Arial" w:cs="Arial"/>
          <w:sz w:val="24"/>
          <w:szCs w:val="24"/>
          <w:lang w:val="es-CO"/>
        </w:rPr>
      </w:pPr>
    </w:p>
    <w:p w14:paraId="64396272"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 xml:space="preserve">La no aplicación del deterioro en cuentas por cobrar, conforme el marco normativo aplicable y las políticas contables adoptadas por la corporación, entendiendo la </w:t>
      </w:r>
      <w:r w:rsidRPr="00A860CC">
        <w:rPr>
          <w:rFonts w:ascii="Arial" w:hAnsi="Arial" w:cs="Arial"/>
          <w:sz w:val="24"/>
          <w:szCs w:val="24"/>
          <w:lang w:val="es-CO"/>
        </w:rPr>
        <w:lastRenderedPageBreak/>
        <w:t xml:space="preserve">materialidad de los saldos de esta partida, generando incertidumbre significativa frente a los saldos de estas partidas, entre otros, debido a que no se tienen identificadas con precisión por edades </w:t>
      </w:r>
      <w:r w:rsidRPr="00A860CC">
        <w:rPr>
          <w:rFonts w:ascii="Arial" w:hAnsi="Arial" w:cs="Arial"/>
          <w:noProof/>
          <w:sz w:val="24"/>
          <w:szCs w:val="24"/>
          <w:lang w:val="es-CO" w:eastAsia="es-CO"/>
        </w:rPr>
        <w:drawing>
          <wp:inline distT="0" distB="0" distL="0" distR="0" wp14:anchorId="6A96D713" wp14:editId="37C5DE00">
            <wp:extent cx="159885" cy="114231"/>
            <wp:effectExtent l="0" t="0" r="0" b="0"/>
            <wp:docPr id="93646" name="Picture 93646"/>
            <wp:cNvGraphicFramePr/>
            <a:graphic xmlns:a="http://schemas.openxmlformats.org/drawingml/2006/main">
              <a:graphicData uri="http://schemas.openxmlformats.org/drawingml/2006/picture">
                <pic:pic xmlns:pic="http://schemas.openxmlformats.org/drawingml/2006/picture">
                  <pic:nvPicPr>
                    <pic:cNvPr id="93646" name="Picture 93646"/>
                    <pic:cNvPicPr/>
                  </pic:nvPicPr>
                  <pic:blipFill>
                    <a:blip r:embed="rId57"/>
                    <a:stretch>
                      <a:fillRect/>
                    </a:stretch>
                  </pic:blipFill>
                  <pic:spPr>
                    <a:xfrm>
                      <a:off x="0" y="0"/>
                      <a:ext cx="159885" cy="114231"/>
                    </a:xfrm>
                    <a:prstGeom prst="rect">
                      <a:avLst/>
                    </a:prstGeom>
                  </pic:spPr>
                </pic:pic>
              </a:graphicData>
            </a:graphic>
          </wp:inline>
        </w:drawing>
      </w:r>
      <w:r w:rsidRPr="00A860CC">
        <w:rPr>
          <w:rFonts w:ascii="Arial" w:hAnsi="Arial" w:cs="Arial"/>
          <w:sz w:val="24"/>
          <w:szCs w:val="24"/>
          <w:lang w:val="es-CO"/>
        </w:rPr>
        <w:t>cuentas por cobrar y no existe conciliación entre el área de tesorería y de contabilidad, generando un riesgo de pérdida de estos recursos para la Corporación.</w:t>
      </w:r>
    </w:p>
    <w:p w14:paraId="0882A20F" w14:textId="77777777" w:rsidR="00E46C0A" w:rsidRPr="00A860CC" w:rsidRDefault="00E46C0A" w:rsidP="0014585C">
      <w:pPr>
        <w:pStyle w:val="Prrafodelista"/>
        <w:ind w:right="-93"/>
        <w:rPr>
          <w:rFonts w:ascii="Arial" w:hAnsi="Arial" w:cs="Arial"/>
          <w:sz w:val="24"/>
          <w:szCs w:val="24"/>
          <w:lang w:val="es-CO"/>
        </w:rPr>
      </w:pPr>
    </w:p>
    <w:p w14:paraId="168FC97B"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Falta de depuración contable permanente, considerando que, durante el año 2024, aún persisten dentro de la contabilidad partidas sobre las cuales se arrastran saldos sobre los cuales se debe determinar su existencia o depuración; durante 2024, no se realizaron reuniones de comité técnico de sostenibilidad contable.</w:t>
      </w:r>
    </w:p>
    <w:p w14:paraId="253137B8" w14:textId="77777777" w:rsidR="00E46C0A" w:rsidRPr="00A860CC" w:rsidRDefault="00E46C0A" w:rsidP="0014585C">
      <w:pPr>
        <w:pStyle w:val="Prrafodelista"/>
        <w:ind w:right="-93"/>
        <w:rPr>
          <w:rFonts w:ascii="Arial" w:hAnsi="Arial" w:cs="Arial"/>
          <w:sz w:val="24"/>
          <w:szCs w:val="24"/>
          <w:lang w:val="es-CO"/>
        </w:rPr>
      </w:pPr>
    </w:p>
    <w:p w14:paraId="6C3364FC"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Debilidades en los procedimientos de integración y conciliación dentro de los sistemas de información relacionados con los procesos financieros, de cartera y de nómina.</w:t>
      </w:r>
    </w:p>
    <w:p w14:paraId="0AB5FAE8" w14:textId="77777777" w:rsidR="00E46C0A" w:rsidRPr="00A860CC" w:rsidRDefault="00E46C0A" w:rsidP="0014585C">
      <w:pPr>
        <w:pStyle w:val="Prrafodelista"/>
        <w:ind w:right="-93"/>
        <w:rPr>
          <w:rFonts w:ascii="Arial" w:hAnsi="Arial" w:cs="Arial"/>
          <w:sz w:val="24"/>
          <w:szCs w:val="24"/>
          <w:lang w:val="es-CO"/>
        </w:rPr>
      </w:pPr>
    </w:p>
    <w:p w14:paraId="0267445E"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Debilidades en el procedimiento trente al pago oportuno de los aportes a seguridad social y parafiscales de la Corporación.</w:t>
      </w:r>
    </w:p>
    <w:p w14:paraId="4EB67276" w14:textId="77777777" w:rsidR="00E46C0A" w:rsidRPr="00A860CC" w:rsidRDefault="00E46C0A" w:rsidP="0014585C">
      <w:pPr>
        <w:pStyle w:val="Prrafodelista"/>
        <w:ind w:right="-93"/>
        <w:rPr>
          <w:rFonts w:ascii="Arial" w:hAnsi="Arial" w:cs="Arial"/>
          <w:sz w:val="24"/>
          <w:szCs w:val="24"/>
          <w:lang w:val="es-CO"/>
        </w:rPr>
      </w:pPr>
    </w:p>
    <w:p w14:paraId="4851E812"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Debilidades en los presupuestos estimados establecidos dentro del Plan de Acción Cuatrienal 2024-2027 de la Corporación.</w:t>
      </w:r>
    </w:p>
    <w:p w14:paraId="0940C4CC" w14:textId="77777777" w:rsidR="00E46C0A" w:rsidRPr="00A860CC" w:rsidRDefault="00E46C0A" w:rsidP="0014585C">
      <w:pPr>
        <w:pStyle w:val="Prrafodelista"/>
        <w:ind w:right="-93"/>
        <w:rPr>
          <w:rFonts w:ascii="Arial" w:hAnsi="Arial" w:cs="Arial"/>
          <w:sz w:val="24"/>
          <w:szCs w:val="24"/>
          <w:lang w:val="es-CO"/>
        </w:rPr>
      </w:pPr>
    </w:p>
    <w:p w14:paraId="14CA79D0" w14:textId="77777777" w:rsidR="00E46C0A" w:rsidRPr="00A860CC" w:rsidRDefault="00E46C0A" w:rsidP="0014585C">
      <w:pPr>
        <w:pStyle w:val="Textoindependiente"/>
        <w:numPr>
          <w:ilvl w:val="0"/>
          <w:numId w:val="96"/>
        </w:numPr>
        <w:ind w:right="-93"/>
        <w:jc w:val="both"/>
        <w:rPr>
          <w:rFonts w:ascii="Arial" w:hAnsi="Arial" w:cs="Arial"/>
          <w:sz w:val="24"/>
          <w:szCs w:val="24"/>
          <w:lang w:val="es-CO"/>
        </w:rPr>
      </w:pPr>
      <w:r w:rsidRPr="00A860CC">
        <w:rPr>
          <w:rFonts w:ascii="Arial" w:hAnsi="Arial" w:cs="Arial"/>
          <w:sz w:val="24"/>
          <w:szCs w:val="24"/>
          <w:lang w:val="es-CO"/>
        </w:rPr>
        <w:t>Falencias y debilidades en los procesos de contratación adelantados por la Corporación, en sus diferentes etapas, relacionados con presuntas irregularidades en las modalidades de contratación, el uso de reservas injustificadas, debilidades en los informes de supervisión de los contratos, publicidad en la plataforma Secop ll”.</w:t>
      </w:r>
    </w:p>
    <w:p w14:paraId="36AFE0C7" w14:textId="77777777" w:rsidR="00E46C0A" w:rsidRDefault="00E46C0A" w:rsidP="0014585C">
      <w:pPr>
        <w:ind w:right="-93"/>
        <w:jc w:val="both"/>
        <w:rPr>
          <w:rFonts w:ascii="Arial" w:hAnsi="Arial" w:cs="Arial"/>
          <w:b/>
          <w:spacing w:val="-3"/>
          <w:sz w:val="24"/>
          <w:szCs w:val="24"/>
          <w:lang w:val="es-CO"/>
        </w:rPr>
      </w:pPr>
    </w:p>
    <w:p w14:paraId="144EFF52" w14:textId="77777777" w:rsidR="00E46C0A" w:rsidRPr="00BE08AB" w:rsidRDefault="00E46C0A" w:rsidP="0014585C">
      <w:pPr>
        <w:ind w:right="-93"/>
        <w:jc w:val="both"/>
        <w:rPr>
          <w:rFonts w:ascii="Arial" w:hAnsi="Arial" w:cs="Arial"/>
          <w:b/>
          <w:sz w:val="28"/>
          <w:szCs w:val="28"/>
        </w:rPr>
      </w:pPr>
      <w:r w:rsidRPr="00BE08AB">
        <w:rPr>
          <w:rFonts w:ascii="Arial" w:hAnsi="Arial" w:cs="Arial"/>
          <w:b/>
          <w:sz w:val="28"/>
          <w:szCs w:val="28"/>
          <w:lang w:val="es-MX"/>
        </w:rPr>
        <w:t xml:space="preserve">166.- </w:t>
      </w:r>
      <w:r w:rsidRPr="00BE08AB">
        <w:rPr>
          <w:rFonts w:ascii="Arial" w:hAnsi="Arial" w:cs="Arial"/>
          <w:b/>
          <w:sz w:val="28"/>
          <w:szCs w:val="28"/>
        </w:rPr>
        <w:t>CORPORACIÓN PARA EL DESARROLLO DEL AREA DE MANEJO ESPECIAL LA MACARENA – CORMACARENA.</w:t>
      </w:r>
    </w:p>
    <w:p w14:paraId="35A5BC24" w14:textId="77777777" w:rsidR="00E46C0A" w:rsidRPr="00BE08AB" w:rsidRDefault="00E46C0A" w:rsidP="00E46C0A">
      <w:pPr>
        <w:jc w:val="both"/>
        <w:rPr>
          <w:rFonts w:ascii="Arial" w:hAnsi="Arial" w:cs="Arial"/>
          <w:b/>
          <w:sz w:val="28"/>
          <w:szCs w:val="28"/>
        </w:rPr>
      </w:pPr>
    </w:p>
    <w:p w14:paraId="322F7244" w14:textId="77777777" w:rsidR="00E46C0A" w:rsidRPr="00BE08AB" w:rsidRDefault="00E46C0A" w:rsidP="00E46C0A">
      <w:pPr>
        <w:pStyle w:val="Textoindependiente"/>
        <w:ind w:right="-50"/>
        <w:jc w:val="both"/>
        <w:rPr>
          <w:rFonts w:ascii="Arial" w:hAnsi="Arial" w:cs="Arial"/>
          <w:b/>
          <w:bCs/>
          <w:sz w:val="24"/>
          <w:szCs w:val="24"/>
        </w:rPr>
      </w:pPr>
      <w:r w:rsidRPr="00BE08AB">
        <w:rPr>
          <w:rFonts w:ascii="Arial" w:hAnsi="Arial" w:cs="Arial"/>
          <w:b/>
          <w:bCs/>
          <w:sz w:val="24"/>
          <w:szCs w:val="24"/>
        </w:rPr>
        <w:t>“Bases para una Opinión Calificada:</w:t>
      </w:r>
    </w:p>
    <w:p w14:paraId="613F7597" w14:textId="77777777" w:rsidR="00E46C0A" w:rsidRPr="00BE08AB" w:rsidRDefault="00E46C0A" w:rsidP="00E46C0A">
      <w:pPr>
        <w:pStyle w:val="Textoindependiente"/>
        <w:ind w:right="-50"/>
        <w:jc w:val="both"/>
        <w:rPr>
          <w:rFonts w:ascii="Arial" w:hAnsi="Arial" w:cs="Arial"/>
          <w:b/>
          <w:bCs/>
          <w:sz w:val="24"/>
          <w:szCs w:val="24"/>
        </w:rPr>
      </w:pPr>
    </w:p>
    <w:p w14:paraId="5A8F085B" w14:textId="77777777" w:rsidR="00E46C0A" w:rsidRPr="00BE08AB" w:rsidRDefault="00E46C0A" w:rsidP="0014585C">
      <w:pPr>
        <w:pStyle w:val="Textoindependiente"/>
        <w:ind w:right="-93"/>
        <w:jc w:val="both"/>
        <w:rPr>
          <w:rFonts w:ascii="Arial" w:hAnsi="Arial" w:cs="Arial"/>
          <w:sz w:val="24"/>
          <w:szCs w:val="24"/>
        </w:rPr>
      </w:pPr>
      <w:r w:rsidRPr="00BE08AB">
        <w:rPr>
          <w:rFonts w:ascii="Arial" w:hAnsi="Arial" w:cs="Arial"/>
          <w:b/>
          <w:bCs/>
          <w:sz w:val="24"/>
          <w:szCs w:val="24"/>
        </w:rPr>
        <w:t xml:space="preserve">Ingresos recibidos por Anticipado: </w:t>
      </w:r>
      <w:r w:rsidRPr="00BE08AB">
        <w:rPr>
          <w:rFonts w:ascii="Arial" w:hAnsi="Arial" w:cs="Arial"/>
          <w:sz w:val="24"/>
          <w:szCs w:val="24"/>
        </w:rPr>
        <w:t xml:space="preserve">Con corte a 31 de diciembre de 2024, CORMACARENA presenta dentro de sus pasivos, la suma de $1.471 millones de pesos, </w:t>
      </w:r>
      <w:r w:rsidRPr="00BE08AB">
        <w:rPr>
          <w:rFonts w:ascii="Arial" w:hAnsi="Arial" w:cs="Arial"/>
          <w:b/>
          <w:bCs/>
          <w:sz w:val="24"/>
          <w:szCs w:val="24"/>
          <w:u w:val="single"/>
        </w:rPr>
        <w:t>por concepto de ingresos recibidos por anticipado, los cuales corresponden a recaudos por aplicar por parte de la entidad</w:t>
      </w:r>
      <w:r w:rsidRPr="00BE08AB">
        <w:rPr>
          <w:rFonts w:ascii="Arial" w:hAnsi="Arial" w:cs="Arial"/>
          <w:sz w:val="24"/>
          <w:szCs w:val="24"/>
        </w:rPr>
        <w:t>, ante lo cual, se debe realizar la revisión y depuración de la cuenta y las gestiones pertinentes para su conciliación.</w:t>
      </w:r>
    </w:p>
    <w:p w14:paraId="3C40777B" w14:textId="77777777" w:rsidR="00E46C0A" w:rsidRPr="00BE08AB" w:rsidRDefault="00E46C0A" w:rsidP="0014585C">
      <w:pPr>
        <w:pStyle w:val="Textoindependiente"/>
        <w:ind w:right="-93"/>
        <w:jc w:val="both"/>
        <w:rPr>
          <w:rFonts w:ascii="Arial" w:hAnsi="Arial" w:cs="Arial"/>
          <w:b/>
          <w:bCs/>
          <w:sz w:val="24"/>
          <w:szCs w:val="24"/>
        </w:rPr>
      </w:pPr>
    </w:p>
    <w:p w14:paraId="10347D28" w14:textId="77777777" w:rsidR="00E46C0A" w:rsidRPr="00BE08AB" w:rsidRDefault="00E46C0A" w:rsidP="0014585C">
      <w:pPr>
        <w:pStyle w:val="Textoindependiente"/>
        <w:ind w:right="-93"/>
        <w:jc w:val="both"/>
        <w:rPr>
          <w:rFonts w:ascii="Arial" w:hAnsi="Arial" w:cs="Arial"/>
          <w:bCs/>
          <w:sz w:val="24"/>
          <w:szCs w:val="24"/>
        </w:rPr>
      </w:pPr>
      <w:r w:rsidRPr="00BE08AB">
        <w:rPr>
          <w:rFonts w:ascii="Arial" w:hAnsi="Arial" w:cs="Arial"/>
          <w:b/>
          <w:bCs/>
          <w:sz w:val="24"/>
          <w:szCs w:val="24"/>
        </w:rPr>
        <w:t xml:space="preserve">Visitas Técnicas: </w:t>
      </w:r>
      <w:r w:rsidRPr="00BE08AB">
        <w:rPr>
          <w:rFonts w:ascii="Arial" w:hAnsi="Arial" w:cs="Arial"/>
          <w:b/>
          <w:sz w:val="24"/>
          <w:szCs w:val="24"/>
          <w:u w:val="single"/>
        </w:rPr>
        <w:t>Se recomienda continuar con las actividades de depuración, reconocimiento y revelación de las partidas financieras y contables de las labores realizadas desde el área de Gestión Ambiental en lo referente a visitas técnicas de inicio, seguimiento y control, así como continuar con los mecanismos que conlleven a una comunicación efectiva y oportuna entre ambas áreas que permita realizar de manera eficiente la contabilización en tiempo real de dichos ingresos en el periodo correspondiente</w:t>
      </w:r>
      <w:r w:rsidRPr="00BE08AB">
        <w:rPr>
          <w:rFonts w:ascii="Arial" w:hAnsi="Arial" w:cs="Arial"/>
          <w:bCs/>
          <w:sz w:val="24"/>
          <w:szCs w:val="24"/>
        </w:rPr>
        <w:t>.</w:t>
      </w:r>
    </w:p>
    <w:p w14:paraId="48B22858" w14:textId="77777777" w:rsidR="00E46C0A" w:rsidRPr="00BE08AB" w:rsidRDefault="00E46C0A" w:rsidP="0014585C">
      <w:pPr>
        <w:pStyle w:val="Textoindependiente"/>
        <w:ind w:right="-93"/>
        <w:jc w:val="both"/>
        <w:rPr>
          <w:rFonts w:ascii="Arial" w:hAnsi="Arial" w:cs="Arial"/>
          <w:bCs/>
          <w:sz w:val="24"/>
          <w:szCs w:val="24"/>
        </w:rPr>
      </w:pPr>
    </w:p>
    <w:p w14:paraId="75C29660" w14:textId="77777777" w:rsidR="00E46C0A" w:rsidRPr="00BE08AB" w:rsidRDefault="00E46C0A" w:rsidP="0014585C">
      <w:pPr>
        <w:pStyle w:val="Textoindependiente"/>
        <w:ind w:right="-93"/>
        <w:jc w:val="both"/>
        <w:rPr>
          <w:rFonts w:ascii="Arial" w:hAnsi="Arial" w:cs="Arial"/>
          <w:bCs/>
          <w:sz w:val="24"/>
          <w:szCs w:val="24"/>
        </w:rPr>
      </w:pPr>
      <w:r w:rsidRPr="00BE08AB">
        <w:rPr>
          <w:rFonts w:ascii="Arial" w:hAnsi="Arial" w:cs="Arial"/>
          <w:bCs/>
          <w:sz w:val="24"/>
          <w:szCs w:val="24"/>
        </w:rPr>
        <w:t>Las labores de reconocimiento y depuración de las visitas de seguimiento y control de años anteriores corresponden a un valor de $134 millones que afectaron el patrimonio, se han implementado los mecanismos de mejora correspondientes a la comunicación entre las áreas, buscando realizar dichos reconocimientos y revelaciones en el tiempo real.</w:t>
      </w:r>
    </w:p>
    <w:p w14:paraId="0C7716CF" w14:textId="77777777" w:rsidR="00E46C0A" w:rsidRPr="00BE08AB" w:rsidRDefault="00E46C0A" w:rsidP="0014585C">
      <w:pPr>
        <w:pStyle w:val="Textoindependiente"/>
        <w:ind w:right="-93"/>
        <w:jc w:val="both"/>
        <w:rPr>
          <w:rFonts w:ascii="Arial" w:hAnsi="Arial" w:cs="Arial"/>
          <w:bCs/>
          <w:sz w:val="24"/>
          <w:szCs w:val="24"/>
        </w:rPr>
      </w:pPr>
      <w:r w:rsidRPr="00BE08AB">
        <w:rPr>
          <w:rFonts w:ascii="Arial" w:hAnsi="Arial" w:cs="Arial"/>
          <w:b/>
          <w:bCs/>
          <w:sz w:val="24"/>
          <w:szCs w:val="24"/>
        </w:rPr>
        <w:lastRenderedPageBreak/>
        <w:t xml:space="preserve">Convenios: </w:t>
      </w:r>
      <w:r w:rsidRPr="00BE08AB">
        <w:rPr>
          <w:rFonts w:ascii="Arial" w:hAnsi="Arial" w:cs="Arial"/>
          <w:b/>
          <w:sz w:val="24"/>
          <w:szCs w:val="24"/>
          <w:u w:val="single"/>
        </w:rPr>
        <w:t>Es fundamental continuar con el proceso de depuración, ajuste y reclasificación de las partidas asociadas a los convenios celebrados entre la Corporación Ambiental y las Personas Jurídicas con las cuales se han establecido estas colaboraciones</w:t>
      </w:r>
      <w:r w:rsidRPr="00BE08AB">
        <w:rPr>
          <w:rFonts w:ascii="Arial" w:hAnsi="Arial" w:cs="Arial"/>
          <w:bCs/>
          <w:sz w:val="24"/>
          <w:szCs w:val="24"/>
        </w:rPr>
        <w:t>.  Dicho proceso busca garantizar que el reconocimiento contable de las erogaciones derivadas de la ejecución de los convenios refleje con precisión el impacto financiero de estos en los estados financieros, en estricto cumplimiento de la normativa contable aplicable. En este contexto, resulta indispensable reconocer los gastos asociados a la ejecución de los convenios de acuerdo con su avance en la vigencia respectiva, asegurando que la información contable sea fiable, transparente y acorde con la realidad económica de las operaciones.</w:t>
      </w:r>
    </w:p>
    <w:p w14:paraId="4FB2C8E2" w14:textId="77777777" w:rsidR="00E46C0A" w:rsidRPr="00BE08AB" w:rsidRDefault="00E46C0A" w:rsidP="0014585C">
      <w:pPr>
        <w:pStyle w:val="Textoindependiente"/>
        <w:ind w:right="-93"/>
        <w:jc w:val="both"/>
        <w:rPr>
          <w:rFonts w:ascii="Arial" w:hAnsi="Arial" w:cs="Arial"/>
          <w:bCs/>
          <w:sz w:val="24"/>
          <w:szCs w:val="24"/>
        </w:rPr>
      </w:pPr>
    </w:p>
    <w:p w14:paraId="18D15D19" w14:textId="77777777" w:rsidR="00E46C0A" w:rsidRPr="00BE08AB" w:rsidRDefault="00E46C0A" w:rsidP="0014585C">
      <w:pPr>
        <w:pStyle w:val="Textoindependiente"/>
        <w:ind w:right="-93"/>
        <w:jc w:val="both"/>
        <w:rPr>
          <w:rFonts w:ascii="Arial" w:hAnsi="Arial" w:cs="Arial"/>
          <w:bCs/>
          <w:sz w:val="24"/>
          <w:szCs w:val="24"/>
        </w:rPr>
      </w:pPr>
      <w:r w:rsidRPr="00BE08AB">
        <w:rPr>
          <w:rFonts w:ascii="Arial" w:hAnsi="Arial" w:cs="Arial"/>
          <w:bCs/>
          <w:sz w:val="24"/>
          <w:szCs w:val="24"/>
        </w:rPr>
        <w:t>A la fecha, se han reconocido gastos por ejecución de convenios por un total de $12.389 millones.  De acuerdo con la aplicación política contable vigente, se ha distribuido este monto de la siguiente manera: $1.301 millones registrados en el patrimonio, conforme a los criterios de reconocimiento y clasificación establecidos, $11.088 millones registrados en las cuentas de gasto, en línea con los principios contables de devengo y prudencia, garantizando que el reconocimiento refleje el uso efectivo de los recursos en la ejecución de los convenios.</w:t>
      </w:r>
    </w:p>
    <w:p w14:paraId="32ED3723" w14:textId="77777777" w:rsidR="00E46C0A" w:rsidRPr="00BE08AB" w:rsidRDefault="00E46C0A" w:rsidP="0014585C">
      <w:pPr>
        <w:pStyle w:val="Textoindependiente"/>
        <w:ind w:right="-93"/>
        <w:jc w:val="both"/>
        <w:rPr>
          <w:rFonts w:ascii="Arial" w:hAnsi="Arial" w:cs="Arial"/>
          <w:bCs/>
          <w:sz w:val="24"/>
          <w:szCs w:val="24"/>
        </w:rPr>
      </w:pPr>
    </w:p>
    <w:p w14:paraId="51691640" w14:textId="77777777" w:rsidR="00E46C0A" w:rsidRPr="00BE08AB" w:rsidRDefault="00E46C0A" w:rsidP="0014585C">
      <w:pPr>
        <w:pStyle w:val="Textoindependiente"/>
        <w:ind w:right="-93"/>
        <w:jc w:val="both"/>
        <w:rPr>
          <w:rFonts w:ascii="Arial" w:hAnsi="Arial" w:cs="Arial"/>
          <w:bCs/>
          <w:sz w:val="24"/>
          <w:szCs w:val="24"/>
        </w:rPr>
      </w:pPr>
      <w:r w:rsidRPr="00BE08AB">
        <w:rPr>
          <w:rFonts w:ascii="Arial" w:hAnsi="Arial" w:cs="Arial"/>
          <w:bCs/>
          <w:sz w:val="24"/>
          <w:szCs w:val="24"/>
        </w:rPr>
        <w:t>Este proceso de reconocimiento y clasificación es esencial para mantener la integridad y transparencia de la información financiera, facilitando la adecuada toma de decisiones y asegurando el cumplimiento de las obligaciones contables y normativas establecidas para la gestión de recursos.</w:t>
      </w:r>
    </w:p>
    <w:p w14:paraId="47877B9A" w14:textId="77777777" w:rsidR="00E46C0A" w:rsidRPr="00BE08AB" w:rsidRDefault="00E46C0A" w:rsidP="00E46C0A">
      <w:pPr>
        <w:pStyle w:val="Textoindependiente"/>
        <w:ind w:right="-50"/>
        <w:jc w:val="both"/>
        <w:rPr>
          <w:rFonts w:ascii="Arial" w:hAnsi="Arial" w:cs="Arial"/>
          <w:bCs/>
          <w:sz w:val="24"/>
          <w:szCs w:val="24"/>
        </w:rPr>
      </w:pPr>
    </w:p>
    <w:p w14:paraId="339DA16E" w14:textId="77777777" w:rsidR="00E46C0A" w:rsidRPr="00BE08AB" w:rsidRDefault="00E46C0A" w:rsidP="00E46C0A">
      <w:pPr>
        <w:pStyle w:val="Textoindependiente"/>
        <w:ind w:right="-50"/>
        <w:jc w:val="both"/>
        <w:rPr>
          <w:rFonts w:ascii="Arial" w:hAnsi="Arial" w:cs="Arial"/>
          <w:bCs/>
          <w:sz w:val="24"/>
          <w:szCs w:val="24"/>
        </w:rPr>
      </w:pPr>
      <w:r w:rsidRPr="00BE08AB">
        <w:rPr>
          <w:rFonts w:ascii="Arial" w:hAnsi="Arial" w:cs="Arial"/>
          <w:b/>
          <w:sz w:val="24"/>
          <w:szCs w:val="24"/>
        </w:rPr>
        <w:t xml:space="preserve">Informe sobre otros requerimientos legales y reglamentarios: </w:t>
      </w:r>
      <w:r w:rsidRPr="00BE08AB">
        <w:rPr>
          <w:rFonts w:ascii="Arial" w:hAnsi="Arial" w:cs="Arial"/>
          <w:bCs/>
          <w:sz w:val="24"/>
          <w:szCs w:val="24"/>
        </w:rPr>
        <w:t xml:space="preserve">(…) </w:t>
      </w:r>
      <w:r w:rsidRPr="00BE08AB">
        <w:rPr>
          <w:rFonts w:ascii="Arial" w:hAnsi="Arial" w:cs="Arial"/>
          <w:b/>
          <w:sz w:val="24"/>
          <w:szCs w:val="24"/>
          <w:u w:val="single"/>
        </w:rPr>
        <w:t>Es necesario que se haga un análisis de las estrategias, la formulación y la implementación de objetivos en la toma de decisiones, que permitirá una identificación del riesgo adecuada a las necesidades de la Corporación, con un enfoque preventivo que permita la protección de los recursos, alcanzar mejores resultados</w:t>
      </w:r>
      <w:r>
        <w:rPr>
          <w:rFonts w:ascii="Arial" w:hAnsi="Arial" w:cs="Arial"/>
          <w:b/>
          <w:sz w:val="24"/>
          <w:szCs w:val="24"/>
          <w:u w:val="single"/>
        </w:rPr>
        <w:t>”</w:t>
      </w:r>
      <w:r w:rsidRPr="00BE08AB">
        <w:rPr>
          <w:rFonts w:ascii="Arial" w:hAnsi="Arial" w:cs="Arial"/>
          <w:bCs/>
          <w:sz w:val="24"/>
          <w:szCs w:val="24"/>
        </w:rPr>
        <w:t xml:space="preserve">. </w:t>
      </w:r>
    </w:p>
    <w:p w14:paraId="4146D4AC" w14:textId="77777777" w:rsidR="00E46C0A" w:rsidRDefault="00E46C0A" w:rsidP="00E46C0A">
      <w:pPr>
        <w:ind w:right="49"/>
        <w:jc w:val="both"/>
        <w:rPr>
          <w:rFonts w:ascii="Arial" w:hAnsi="Arial" w:cs="Arial"/>
          <w:b/>
          <w:spacing w:val="-3"/>
          <w:sz w:val="24"/>
          <w:szCs w:val="24"/>
        </w:rPr>
      </w:pPr>
    </w:p>
    <w:p w14:paraId="5559B0E9" w14:textId="77777777" w:rsidR="00E46C0A" w:rsidRPr="00B62592" w:rsidRDefault="00E46C0A" w:rsidP="00E46C0A">
      <w:pPr>
        <w:jc w:val="both"/>
        <w:rPr>
          <w:rFonts w:ascii="Arial" w:hAnsi="Arial" w:cs="Arial"/>
          <w:b/>
          <w:sz w:val="28"/>
          <w:szCs w:val="28"/>
          <w:lang w:val="es-MX"/>
        </w:rPr>
      </w:pPr>
      <w:r w:rsidRPr="00B62592">
        <w:rPr>
          <w:rFonts w:ascii="Arial" w:hAnsi="Arial" w:cs="Arial"/>
          <w:b/>
          <w:sz w:val="28"/>
          <w:szCs w:val="28"/>
          <w:lang w:val="es-MX"/>
        </w:rPr>
        <w:t>178.- SOCIEDAD FIDUCIARIA DE DESARROLLO AGROPECUARIO S.A. – FIDUAGRARIA S.A.</w:t>
      </w:r>
    </w:p>
    <w:p w14:paraId="6CE4C018" w14:textId="77777777" w:rsidR="00E46C0A" w:rsidRDefault="00E46C0A" w:rsidP="00E46C0A">
      <w:pPr>
        <w:ind w:right="49"/>
        <w:jc w:val="both"/>
        <w:rPr>
          <w:rFonts w:ascii="Arial" w:hAnsi="Arial" w:cs="Arial"/>
          <w:b/>
          <w:spacing w:val="-3"/>
          <w:sz w:val="24"/>
          <w:szCs w:val="24"/>
          <w:lang w:val="es-MX"/>
        </w:rPr>
      </w:pPr>
    </w:p>
    <w:p w14:paraId="1EAA56AD" w14:textId="77777777" w:rsidR="00E46C0A" w:rsidRPr="00B62592" w:rsidRDefault="00E46C0A" w:rsidP="00E46C0A">
      <w:pPr>
        <w:pStyle w:val="Textoindependiente"/>
        <w:ind w:right="-50"/>
        <w:jc w:val="both"/>
        <w:rPr>
          <w:rFonts w:ascii="Arial" w:hAnsi="Arial" w:cs="Arial"/>
          <w:b/>
          <w:bCs/>
          <w:sz w:val="24"/>
          <w:szCs w:val="24"/>
        </w:rPr>
      </w:pPr>
      <w:r w:rsidRPr="00B62592">
        <w:rPr>
          <w:rFonts w:ascii="Arial" w:hAnsi="Arial" w:cs="Arial"/>
          <w:b/>
          <w:bCs/>
          <w:sz w:val="24"/>
          <w:szCs w:val="24"/>
        </w:rPr>
        <w:t>“Párrafo de énfasis por contingencias acreedoras.</w:t>
      </w:r>
    </w:p>
    <w:p w14:paraId="07CBEB5D" w14:textId="77777777" w:rsidR="00E46C0A" w:rsidRPr="00B62592" w:rsidRDefault="00E46C0A" w:rsidP="00E46C0A">
      <w:pPr>
        <w:pStyle w:val="Textoindependiente"/>
        <w:ind w:right="-50"/>
        <w:jc w:val="both"/>
        <w:rPr>
          <w:rFonts w:ascii="Arial" w:hAnsi="Arial" w:cs="Arial"/>
          <w:sz w:val="24"/>
          <w:szCs w:val="24"/>
        </w:rPr>
      </w:pPr>
    </w:p>
    <w:p w14:paraId="35111153" w14:textId="77777777" w:rsidR="00E46C0A" w:rsidRPr="00B62592" w:rsidRDefault="00E46C0A" w:rsidP="0014585C">
      <w:pPr>
        <w:pStyle w:val="Textoindependiente"/>
        <w:ind w:right="-234"/>
        <w:jc w:val="both"/>
        <w:rPr>
          <w:rFonts w:ascii="Arial" w:hAnsi="Arial" w:cs="Arial"/>
          <w:sz w:val="24"/>
          <w:szCs w:val="24"/>
        </w:rPr>
      </w:pPr>
      <w:r w:rsidRPr="00B62592">
        <w:rPr>
          <w:rFonts w:ascii="Arial" w:hAnsi="Arial" w:cs="Arial"/>
          <w:sz w:val="24"/>
          <w:szCs w:val="24"/>
        </w:rPr>
        <w:t>Sin calificar mi opinión, llamo la atención sobre la nota 30, numeral 3, donde se informa que se encuentra en curso una acción popular que pretende la protección del derecho colectivo de la moralidad administrativa, con ocasión de la pérdida de recursos invertidos por el departamento del Casanare en Patrimonios Autónomos administrados por sociedades fiduciarias, entre ellas Fiduagraria S.A., cuyos Fideicomitentes son personas naturales y jurídicas de derecho privado. En dicha acción constitucional, el 10 de noviembre de 2023 el despacho notificó fallo de primera instancia desfavorable para la entidad, ordenando que "Dentro de los tres (3) meses siguientes a la ejecutoria de la providencia, de forma solidaria y conforme a los dineros girados por el ente territorial en cada uno de los negocios que participaron, reintegren debidamente indexadas las sumas de dinero"; así y en caso de prosperar, la Sociedad estaría llamada a reintegrar $19.842.813.565 indexados a la fecha de pago. Contra esta decisión, la Sociedad Fiduciaria por medio de su apoderado, así como la Agencia Nacional de Defensa Jurídica del Estado en defensa de ésta y Fiduprevisora, entidad que también resultó condenada, presentaron recurso de apelación.</w:t>
      </w:r>
    </w:p>
    <w:p w14:paraId="2320EE81" w14:textId="77777777" w:rsidR="00E46C0A" w:rsidRPr="00B62592" w:rsidRDefault="00E46C0A" w:rsidP="0014585C">
      <w:pPr>
        <w:pStyle w:val="Textoindependiente"/>
        <w:ind w:right="-234"/>
        <w:jc w:val="both"/>
        <w:rPr>
          <w:rFonts w:ascii="Arial" w:hAnsi="Arial" w:cs="Arial"/>
          <w:sz w:val="24"/>
          <w:szCs w:val="24"/>
        </w:rPr>
      </w:pPr>
      <w:r w:rsidRPr="00B62592">
        <w:rPr>
          <w:rFonts w:ascii="Arial" w:hAnsi="Arial" w:cs="Arial"/>
          <w:sz w:val="24"/>
          <w:szCs w:val="24"/>
        </w:rPr>
        <w:lastRenderedPageBreak/>
        <w:t>De acuerdo con la metodología descrita en la Política contable bajo normas internacionales de información financiera de la Fiduciaria, se determinó una calificación de la contingencia como POSIBLE, razón por la que se procede a revelar el proceso”.</w:t>
      </w:r>
    </w:p>
    <w:p w14:paraId="416A97D1" w14:textId="77777777" w:rsidR="00E46C0A" w:rsidRDefault="00E46C0A" w:rsidP="0014585C">
      <w:pPr>
        <w:ind w:right="-234"/>
        <w:jc w:val="both"/>
        <w:rPr>
          <w:rFonts w:ascii="Arial" w:hAnsi="Arial" w:cs="Arial"/>
          <w:b/>
          <w:spacing w:val="-3"/>
          <w:sz w:val="24"/>
          <w:szCs w:val="24"/>
        </w:rPr>
      </w:pPr>
    </w:p>
    <w:p w14:paraId="314EF54F" w14:textId="77777777" w:rsidR="00E46C0A" w:rsidRDefault="00E46C0A" w:rsidP="0014585C">
      <w:pPr>
        <w:ind w:right="-234"/>
        <w:jc w:val="both"/>
        <w:rPr>
          <w:rFonts w:ascii="Arial" w:hAnsi="Arial" w:cs="Arial"/>
          <w:b/>
          <w:sz w:val="28"/>
          <w:szCs w:val="28"/>
          <w:lang w:val="es-MX"/>
        </w:rPr>
      </w:pPr>
      <w:r w:rsidRPr="00C03D9B">
        <w:rPr>
          <w:rFonts w:ascii="Arial" w:hAnsi="Arial" w:cs="Arial"/>
          <w:b/>
          <w:sz w:val="28"/>
          <w:szCs w:val="28"/>
        </w:rPr>
        <w:t>186.- CORPORACIÓN AUTÓNOMA REGIONAL DE LAS CUENCAS DE LOS RIOS NEGRO Y NARE - CORNARE</w:t>
      </w:r>
      <w:r w:rsidRPr="00C03D9B">
        <w:rPr>
          <w:rFonts w:ascii="Arial" w:hAnsi="Arial" w:cs="Arial"/>
          <w:b/>
          <w:sz w:val="28"/>
          <w:szCs w:val="28"/>
          <w:lang w:val="es-MX"/>
        </w:rPr>
        <w:t>.</w:t>
      </w:r>
    </w:p>
    <w:p w14:paraId="3D259D02" w14:textId="77777777" w:rsidR="00E46C0A" w:rsidRDefault="00E46C0A" w:rsidP="00E46C0A">
      <w:pPr>
        <w:ind w:right="49"/>
        <w:jc w:val="both"/>
        <w:rPr>
          <w:rFonts w:ascii="Arial" w:hAnsi="Arial" w:cs="Arial"/>
          <w:b/>
          <w:sz w:val="28"/>
          <w:szCs w:val="28"/>
          <w:lang w:val="es-MX"/>
        </w:rPr>
      </w:pPr>
    </w:p>
    <w:p w14:paraId="6705303D" w14:textId="77777777" w:rsidR="00E46C0A" w:rsidRPr="00C03D9B" w:rsidRDefault="00E46C0A" w:rsidP="00E46C0A">
      <w:pPr>
        <w:pStyle w:val="Textoindependiente"/>
        <w:ind w:right="-50"/>
        <w:jc w:val="both"/>
        <w:rPr>
          <w:rFonts w:ascii="Arial" w:hAnsi="Arial" w:cs="Arial"/>
          <w:b/>
          <w:bCs/>
          <w:sz w:val="24"/>
          <w:szCs w:val="24"/>
        </w:rPr>
      </w:pPr>
      <w:r w:rsidRPr="00C03D9B">
        <w:rPr>
          <w:rFonts w:ascii="Arial" w:hAnsi="Arial" w:cs="Arial"/>
          <w:b/>
          <w:bCs/>
          <w:sz w:val="24"/>
          <w:szCs w:val="24"/>
        </w:rPr>
        <w:t>“CONTROL DE GESTIÓN ADMINISTRATIVA Y DE RECURSOS.</w:t>
      </w:r>
    </w:p>
    <w:p w14:paraId="4D187E2F" w14:textId="77777777" w:rsidR="00E46C0A" w:rsidRPr="00C03D9B" w:rsidRDefault="00E46C0A" w:rsidP="0014585C">
      <w:pPr>
        <w:pStyle w:val="Textoindependiente"/>
        <w:ind w:right="-234"/>
        <w:jc w:val="both"/>
        <w:rPr>
          <w:rFonts w:ascii="Arial" w:hAnsi="Arial" w:cs="Arial"/>
          <w:b/>
          <w:bCs/>
          <w:sz w:val="24"/>
          <w:szCs w:val="24"/>
        </w:rPr>
      </w:pPr>
    </w:p>
    <w:p w14:paraId="3FADABBD" w14:textId="77777777" w:rsidR="00E46C0A" w:rsidRPr="00C03D9B" w:rsidRDefault="00E46C0A" w:rsidP="0014585C">
      <w:pPr>
        <w:pStyle w:val="Textoindependiente"/>
        <w:ind w:right="-234"/>
        <w:jc w:val="both"/>
        <w:rPr>
          <w:rFonts w:ascii="Arial" w:hAnsi="Arial" w:cs="Arial"/>
          <w:sz w:val="24"/>
          <w:szCs w:val="24"/>
        </w:rPr>
      </w:pPr>
      <w:r w:rsidRPr="00C03D9B">
        <w:rPr>
          <w:rFonts w:ascii="Arial" w:hAnsi="Arial" w:cs="Arial"/>
          <w:b/>
          <w:bCs/>
          <w:sz w:val="24"/>
          <w:szCs w:val="24"/>
        </w:rPr>
        <w:t xml:space="preserve">Gestión de Recursos: </w:t>
      </w:r>
      <w:r w:rsidRPr="00C03D9B">
        <w:rPr>
          <w:rFonts w:ascii="Arial" w:hAnsi="Arial" w:cs="Arial"/>
          <w:sz w:val="24"/>
          <w:szCs w:val="24"/>
        </w:rPr>
        <w:t>En la vigencia de 2024 el presupuesto inicial fue de $108.956 millones y terminó en $145.389 millones, presentando un incremento neto por valor de $36.433 millones de pesos, después de restar una reducción de $6.278 millones por el concepto de transferencias del sector eléctrico que no cumplió lo presupuestado para 2024, situación que se debe tener en cuenta para la elaboración de posteriores presupuestos, finalmente se dio un incremento del 33.44% del total del presupuesto inicial, debido especialmente a la gestión por la dirección general y recursos del balance, dicho aumento permitió mejorar y fortalecer las inversiones de la corporación en los municipios de la jurisdicción.</w:t>
      </w:r>
    </w:p>
    <w:p w14:paraId="04A24343" w14:textId="77777777" w:rsidR="00E46C0A" w:rsidRPr="00C03D9B" w:rsidRDefault="00E46C0A" w:rsidP="0014585C">
      <w:pPr>
        <w:pStyle w:val="Textoindependiente"/>
        <w:ind w:right="-234"/>
        <w:jc w:val="both"/>
        <w:rPr>
          <w:rFonts w:ascii="Arial" w:hAnsi="Arial" w:cs="Arial"/>
          <w:sz w:val="24"/>
          <w:szCs w:val="24"/>
        </w:rPr>
      </w:pPr>
    </w:p>
    <w:p w14:paraId="5FFB0D65" w14:textId="77777777" w:rsidR="00E46C0A" w:rsidRPr="00C03D9B" w:rsidRDefault="00E46C0A" w:rsidP="0014585C">
      <w:pPr>
        <w:pStyle w:val="Textoindependiente"/>
        <w:ind w:right="-234"/>
        <w:jc w:val="both"/>
        <w:rPr>
          <w:rFonts w:ascii="Arial" w:hAnsi="Arial" w:cs="Arial"/>
          <w:sz w:val="24"/>
          <w:szCs w:val="24"/>
        </w:rPr>
      </w:pPr>
      <w:r w:rsidRPr="00C03D9B">
        <w:rPr>
          <w:rFonts w:ascii="Arial" w:hAnsi="Arial" w:cs="Arial"/>
          <w:b/>
          <w:bCs/>
          <w:sz w:val="24"/>
          <w:szCs w:val="24"/>
        </w:rPr>
        <w:t xml:space="preserve">Gestión Presupuestal: </w:t>
      </w:r>
      <w:r w:rsidRPr="00C03D9B">
        <w:rPr>
          <w:rFonts w:ascii="Arial" w:hAnsi="Arial" w:cs="Arial"/>
          <w:sz w:val="24"/>
          <w:szCs w:val="24"/>
        </w:rPr>
        <w:t>Las reservas presupuestales de la vigencia de 2023 y que pasaron para ser ejecutadas en el año 2024 quedaron en $27.989 millones de pesos, las cuales tuvieron unas reducciones de $8.206 millones por liberación de recursos y unas ejecuciones de $18.457 millones, quedando un saldo no ejecutado de vigencias expiradas de 1.325 millones de pesos de los $18.457 comprometidos.</w:t>
      </w:r>
    </w:p>
    <w:p w14:paraId="3D3DD467" w14:textId="77777777" w:rsidR="00E46C0A" w:rsidRPr="00C03D9B" w:rsidRDefault="00E46C0A" w:rsidP="0014585C">
      <w:pPr>
        <w:pStyle w:val="Textoindependiente"/>
        <w:ind w:right="-234"/>
        <w:jc w:val="both"/>
        <w:rPr>
          <w:rFonts w:ascii="Arial" w:hAnsi="Arial" w:cs="Arial"/>
          <w:sz w:val="24"/>
          <w:szCs w:val="24"/>
        </w:rPr>
      </w:pPr>
    </w:p>
    <w:p w14:paraId="080A3ECD" w14:textId="77777777" w:rsidR="00E46C0A" w:rsidRPr="00C03D9B" w:rsidRDefault="00E46C0A" w:rsidP="0014585C">
      <w:pPr>
        <w:pStyle w:val="Textoindependiente"/>
        <w:ind w:right="-234"/>
        <w:jc w:val="both"/>
        <w:rPr>
          <w:rFonts w:ascii="Arial" w:hAnsi="Arial" w:cs="Arial"/>
          <w:sz w:val="24"/>
          <w:szCs w:val="24"/>
        </w:rPr>
      </w:pPr>
      <w:r w:rsidRPr="00C03D9B">
        <w:rPr>
          <w:rFonts w:ascii="Arial" w:hAnsi="Arial" w:cs="Arial"/>
          <w:sz w:val="24"/>
          <w:szCs w:val="24"/>
        </w:rPr>
        <w:t>El monto de las reservas presupuestales al cierre de 2024 y que serán ejecutadas en la vigencia 2025 son del orden de $39.898 millones de pesos y se deben especialmente a los procesos de contratación estatal y a la elaboración de convenios en el último semestre de 2024 por efectos de la elaboración del plan de acción y planes de desarrollo municipales, en dicha vigencia y que no alcanzaron a ser ejecutados, debido a esto se recomienda realizar un gran esfuerzo en la ejecución de las reservas presupuestales que pasan a la vigencia de 2025, con el fin de llevar a feliz término la ejecución de los proyectos. De igual manera se debe agilizar la concertación, formulación, elaboración y ejecución de proyectos a través de convenios en el primer semestre de 2025 con los diferentes entes territoriales y demás entidades para el presupuesto de 2025, con el fin de disminuir las reservas presupuestales para el periodo de 2026.</w:t>
      </w:r>
    </w:p>
    <w:p w14:paraId="0C17E79D" w14:textId="77777777" w:rsidR="00E46C0A" w:rsidRPr="00C03D9B" w:rsidRDefault="00E46C0A" w:rsidP="0014585C">
      <w:pPr>
        <w:pStyle w:val="Textoindependiente"/>
        <w:ind w:right="-234"/>
        <w:jc w:val="both"/>
        <w:rPr>
          <w:rFonts w:ascii="Arial" w:hAnsi="Arial" w:cs="Arial"/>
          <w:sz w:val="24"/>
          <w:szCs w:val="24"/>
        </w:rPr>
      </w:pPr>
    </w:p>
    <w:p w14:paraId="0C1D1ACD" w14:textId="77777777" w:rsidR="00E46C0A" w:rsidRPr="00C03D9B" w:rsidRDefault="00E46C0A" w:rsidP="0014585C">
      <w:pPr>
        <w:pStyle w:val="Textoindependiente"/>
        <w:ind w:right="-234"/>
        <w:jc w:val="both"/>
        <w:rPr>
          <w:rFonts w:ascii="Arial" w:hAnsi="Arial" w:cs="Arial"/>
          <w:sz w:val="24"/>
          <w:szCs w:val="24"/>
        </w:rPr>
      </w:pPr>
      <w:r w:rsidRPr="00C03D9B">
        <w:rPr>
          <w:rFonts w:ascii="Arial" w:hAnsi="Arial" w:cs="Arial"/>
          <w:sz w:val="24"/>
          <w:szCs w:val="24"/>
        </w:rPr>
        <w:t>Las vigencias futuras que fueron autorizadas mediante acuerdos del Consejo Directivo en la vigencia de 2024 fueron de $55.704 millones de pesos, de los cuales se comprometieron $36.881 millones de pesos del presupuesto de 2025 para ser ejecutadas en dicho año, por ende, se recomienda darle celeridad a su ejecución.</w:t>
      </w:r>
    </w:p>
    <w:p w14:paraId="5399D6C1" w14:textId="77777777" w:rsidR="00E46C0A" w:rsidRPr="00C03D9B" w:rsidRDefault="00E46C0A" w:rsidP="00E46C0A">
      <w:pPr>
        <w:pStyle w:val="Textoindependiente"/>
        <w:ind w:right="-50"/>
        <w:jc w:val="both"/>
        <w:rPr>
          <w:rFonts w:ascii="Arial" w:hAnsi="Arial" w:cs="Arial"/>
          <w:sz w:val="24"/>
          <w:szCs w:val="24"/>
        </w:rPr>
      </w:pPr>
    </w:p>
    <w:p w14:paraId="4FD0915D" w14:textId="77777777" w:rsidR="00E46C0A" w:rsidRPr="00C03D9B" w:rsidRDefault="00E46C0A" w:rsidP="0014585C">
      <w:pPr>
        <w:pStyle w:val="Textoindependiente"/>
        <w:ind w:right="-234"/>
        <w:jc w:val="both"/>
        <w:rPr>
          <w:rFonts w:ascii="Arial" w:hAnsi="Arial" w:cs="Arial"/>
          <w:sz w:val="24"/>
          <w:szCs w:val="24"/>
        </w:rPr>
      </w:pPr>
      <w:r w:rsidRPr="00C03D9B">
        <w:rPr>
          <w:rFonts w:ascii="Arial" w:hAnsi="Arial" w:cs="Arial"/>
          <w:b/>
          <w:bCs/>
          <w:sz w:val="24"/>
          <w:szCs w:val="24"/>
        </w:rPr>
        <w:t xml:space="preserve">CONTROL DE ESTADOS FINANCIEROS – Efectivo y Equivalentes al Efectivo: </w:t>
      </w:r>
      <w:r w:rsidRPr="00C03D9B">
        <w:rPr>
          <w:rFonts w:ascii="Arial" w:hAnsi="Arial" w:cs="Arial"/>
          <w:sz w:val="24"/>
          <w:szCs w:val="24"/>
        </w:rPr>
        <w:t xml:space="preserve">La Corporación cerró la vigencia 2024 con un saldo de efectivo y equivalentes al efectivo con un valor de $72.943 millones de pesos lo que representa el 52% del total del activo, se recomienda continuar con el proceso pleno de identificación de transferencias o consignaciones realizadas por clientes en algunas de las cuentas de ahorro y corrientes de la Corporación sin identificar el tercero que realiza dicho pago como es su cédula o NIT, el tipo de obligación a cancelar, tramite o proceso que están efectuando, igualmente insistir en la implementación de estrategias con las entidades financieras como código de barras en todos los documentos, solicitud de información </w:t>
      </w:r>
      <w:r w:rsidRPr="00C03D9B">
        <w:rPr>
          <w:rFonts w:ascii="Arial" w:hAnsi="Arial" w:cs="Arial"/>
          <w:sz w:val="24"/>
          <w:szCs w:val="24"/>
        </w:rPr>
        <w:lastRenderedPageBreak/>
        <w:t>al momento de los pagos y demás controles de recaudo que manejen con el fin de poder registrar esos pagos e ingresos en debida forma.</w:t>
      </w:r>
    </w:p>
    <w:p w14:paraId="0F65822B" w14:textId="77777777" w:rsidR="00E46C0A" w:rsidRPr="00C03D9B" w:rsidRDefault="00E46C0A" w:rsidP="00E46C0A">
      <w:pPr>
        <w:pStyle w:val="Textoindependiente"/>
        <w:ind w:right="-50"/>
        <w:jc w:val="both"/>
        <w:rPr>
          <w:rFonts w:ascii="Arial" w:hAnsi="Arial" w:cs="Arial"/>
          <w:sz w:val="24"/>
          <w:szCs w:val="24"/>
        </w:rPr>
      </w:pPr>
    </w:p>
    <w:p w14:paraId="443F55E1" w14:textId="77777777" w:rsidR="00E46C0A" w:rsidRPr="00C03D9B" w:rsidRDefault="00E46C0A" w:rsidP="0014585C">
      <w:pPr>
        <w:pStyle w:val="Textoindependiente"/>
        <w:ind w:right="-234"/>
        <w:jc w:val="both"/>
        <w:rPr>
          <w:rFonts w:ascii="Arial" w:hAnsi="Arial" w:cs="Arial"/>
          <w:sz w:val="24"/>
          <w:szCs w:val="24"/>
        </w:rPr>
      </w:pPr>
      <w:r w:rsidRPr="00C03D9B">
        <w:rPr>
          <w:rFonts w:ascii="Arial" w:hAnsi="Arial" w:cs="Arial"/>
          <w:b/>
          <w:bCs/>
          <w:sz w:val="24"/>
          <w:szCs w:val="24"/>
        </w:rPr>
        <w:t xml:space="preserve">Cuentas por Cobrar: </w:t>
      </w:r>
      <w:r w:rsidRPr="00C03D9B">
        <w:rPr>
          <w:rFonts w:ascii="Arial" w:hAnsi="Arial" w:cs="Arial"/>
          <w:sz w:val="24"/>
          <w:szCs w:val="24"/>
        </w:rPr>
        <w:t>Las cuentas por cobrar al 31 de diciembre de 2024 suman un valor de $33.171 millones de pesos equivalente al 23,78% del total del activo de las cuales hay registradas $5.436 millones en cuentas de difícil recaudo y cuyo deterioro es de $2.518 millones, originando después de este un monto de $30.653, se recomienda seguir fortaleciendo el proceso de cobro de dicha cartera que se viene realizando, al igual que reforzar la cultura de pago, con el fin de obtener la recuperación de estos ingresos para que puedan ser utilizados en el desarrollo del objeto social corporativo, como autoridad, control y seguimiento ambiental y las demás inversiones en protección de los recursos naturales de la jurisdicción”.</w:t>
      </w:r>
    </w:p>
    <w:p w14:paraId="4CCE83A9" w14:textId="77777777" w:rsidR="00E46C0A" w:rsidRDefault="00E46C0A" w:rsidP="0014585C">
      <w:pPr>
        <w:ind w:right="-234"/>
        <w:jc w:val="both"/>
        <w:rPr>
          <w:rFonts w:ascii="Arial" w:hAnsi="Arial" w:cs="Arial"/>
          <w:b/>
          <w:spacing w:val="-3"/>
          <w:sz w:val="24"/>
          <w:szCs w:val="24"/>
        </w:rPr>
      </w:pPr>
    </w:p>
    <w:p w14:paraId="299DCBF4" w14:textId="77777777" w:rsidR="00E46C0A" w:rsidRDefault="00E46C0A" w:rsidP="0014585C">
      <w:pPr>
        <w:ind w:right="-234"/>
        <w:jc w:val="both"/>
        <w:rPr>
          <w:rFonts w:ascii="Arial" w:hAnsi="Arial" w:cs="Arial"/>
          <w:b/>
          <w:sz w:val="28"/>
          <w:szCs w:val="28"/>
          <w:lang w:val="es-MX"/>
        </w:rPr>
      </w:pPr>
      <w:r w:rsidRPr="00597F3F">
        <w:rPr>
          <w:rFonts w:ascii="Arial" w:hAnsi="Arial" w:cs="Arial"/>
          <w:b/>
          <w:sz w:val="28"/>
          <w:szCs w:val="28"/>
          <w:lang w:val="es-MX"/>
        </w:rPr>
        <w:t>189.- FIDUCIARIA LA PREVISORA S.A. – FIDUPREVISORA S.A.</w:t>
      </w:r>
    </w:p>
    <w:p w14:paraId="25A61626" w14:textId="77777777" w:rsidR="00E46C0A" w:rsidRDefault="00E46C0A" w:rsidP="0014585C">
      <w:pPr>
        <w:ind w:right="-234"/>
        <w:jc w:val="both"/>
        <w:rPr>
          <w:rFonts w:ascii="Arial" w:hAnsi="Arial" w:cs="Arial"/>
          <w:b/>
          <w:sz w:val="28"/>
          <w:szCs w:val="28"/>
          <w:lang w:val="es-MX"/>
        </w:rPr>
      </w:pPr>
    </w:p>
    <w:p w14:paraId="6FAC86B8" w14:textId="77777777" w:rsidR="00E46C0A" w:rsidRPr="00D72450" w:rsidRDefault="00E46C0A" w:rsidP="0014585C">
      <w:pPr>
        <w:pStyle w:val="Textoindependiente"/>
        <w:ind w:right="-234"/>
        <w:jc w:val="center"/>
        <w:rPr>
          <w:rFonts w:ascii="Arial" w:hAnsi="Arial" w:cs="Arial"/>
          <w:b/>
          <w:bCs/>
          <w:sz w:val="24"/>
          <w:szCs w:val="24"/>
        </w:rPr>
      </w:pPr>
      <w:r w:rsidRPr="00D72450">
        <w:rPr>
          <w:rFonts w:ascii="Arial" w:hAnsi="Arial" w:cs="Arial"/>
          <w:b/>
          <w:bCs/>
          <w:sz w:val="24"/>
          <w:szCs w:val="24"/>
        </w:rPr>
        <w:t>“Informe del Revisor Fiscal sobre el Cumplimiento de los Numerales Primero y Tercero</w:t>
      </w:r>
    </w:p>
    <w:p w14:paraId="48B935A8" w14:textId="77777777" w:rsidR="00E46C0A" w:rsidRPr="00D72450" w:rsidRDefault="00E46C0A" w:rsidP="0014585C">
      <w:pPr>
        <w:pStyle w:val="Textoindependiente"/>
        <w:ind w:right="-234"/>
        <w:jc w:val="center"/>
        <w:rPr>
          <w:rFonts w:ascii="Arial" w:hAnsi="Arial" w:cs="Arial"/>
          <w:b/>
          <w:bCs/>
          <w:sz w:val="24"/>
          <w:szCs w:val="24"/>
        </w:rPr>
      </w:pPr>
      <w:r w:rsidRPr="00D72450">
        <w:rPr>
          <w:rFonts w:ascii="Arial" w:hAnsi="Arial" w:cs="Arial"/>
          <w:b/>
          <w:bCs/>
          <w:sz w:val="24"/>
          <w:szCs w:val="24"/>
        </w:rPr>
        <w:t>del Artículo 209 del Código de Comercio</w:t>
      </w:r>
    </w:p>
    <w:p w14:paraId="044C4EC5" w14:textId="77777777" w:rsidR="00E46C0A" w:rsidRPr="00D72450" w:rsidRDefault="00E46C0A" w:rsidP="0014585C">
      <w:pPr>
        <w:pStyle w:val="Textoindependiente"/>
        <w:ind w:right="-234"/>
        <w:jc w:val="both"/>
        <w:rPr>
          <w:rFonts w:ascii="Arial" w:hAnsi="Arial" w:cs="Arial"/>
          <w:b/>
          <w:bCs/>
          <w:sz w:val="24"/>
          <w:szCs w:val="24"/>
        </w:rPr>
      </w:pPr>
    </w:p>
    <w:p w14:paraId="7E767BC8" w14:textId="77777777" w:rsidR="00E46C0A" w:rsidRPr="00D72450" w:rsidRDefault="00E46C0A" w:rsidP="0014585C">
      <w:pPr>
        <w:pStyle w:val="Textoindependiente"/>
        <w:ind w:right="-234"/>
        <w:jc w:val="both"/>
        <w:rPr>
          <w:rFonts w:ascii="Arial" w:hAnsi="Arial" w:cs="Arial"/>
          <w:b/>
          <w:bCs/>
          <w:sz w:val="24"/>
          <w:szCs w:val="24"/>
        </w:rPr>
      </w:pPr>
      <w:r w:rsidRPr="00D72450">
        <w:rPr>
          <w:rFonts w:ascii="Arial" w:hAnsi="Arial" w:cs="Arial"/>
          <w:b/>
          <w:bCs/>
          <w:sz w:val="24"/>
          <w:szCs w:val="24"/>
        </w:rPr>
        <w:t>Fundamento de la conclusión con salvedad.</w:t>
      </w:r>
    </w:p>
    <w:p w14:paraId="2277ABE8" w14:textId="77777777" w:rsidR="00E46C0A" w:rsidRPr="00D72450" w:rsidRDefault="00E46C0A" w:rsidP="0014585C">
      <w:pPr>
        <w:pStyle w:val="Textoindependiente"/>
        <w:ind w:right="-234"/>
        <w:jc w:val="both"/>
        <w:rPr>
          <w:rFonts w:ascii="Arial" w:hAnsi="Arial" w:cs="Arial"/>
          <w:b/>
          <w:bCs/>
          <w:sz w:val="24"/>
          <w:szCs w:val="24"/>
        </w:rPr>
      </w:pPr>
    </w:p>
    <w:p w14:paraId="640AADAF" w14:textId="77777777" w:rsidR="00E46C0A" w:rsidRPr="00D72450" w:rsidRDefault="00E46C0A" w:rsidP="0014585C">
      <w:pPr>
        <w:pStyle w:val="Textoindependiente"/>
        <w:ind w:right="-234"/>
        <w:jc w:val="both"/>
        <w:rPr>
          <w:rFonts w:ascii="Arial" w:hAnsi="Arial" w:cs="Arial"/>
          <w:sz w:val="24"/>
          <w:szCs w:val="24"/>
        </w:rPr>
      </w:pPr>
      <w:r w:rsidRPr="00D72450">
        <w:rPr>
          <w:rFonts w:ascii="Arial" w:hAnsi="Arial" w:cs="Arial"/>
          <w:sz w:val="24"/>
          <w:szCs w:val="24"/>
        </w:rPr>
        <w:t>Durante el transcurso del año 2024, evidencié situaciones que pusieron de manifiesto algunas oportunidades de mejora en el diseño, implementación y/o eficacia operativa del sistema de control interno, especialmente en aquellos controles relevantes relacionados con los procesos de tecnología de información. Estas recomendaciones fueron puestas a disposición de la alta gerencia y demás responsables durante el curso de la auditoría. La administración de la Fiduciaria ha iniciado un plan de acción para su implementación.”</w:t>
      </w:r>
    </w:p>
    <w:p w14:paraId="08B5FA94" w14:textId="77777777" w:rsidR="00E46C0A" w:rsidRDefault="00E46C0A" w:rsidP="0014585C">
      <w:pPr>
        <w:pStyle w:val="Textoindependiente"/>
        <w:ind w:right="-234"/>
        <w:jc w:val="both"/>
        <w:rPr>
          <w:rFonts w:ascii="Arial" w:hAnsi="Arial" w:cs="Arial"/>
          <w:b/>
          <w:bCs/>
          <w:sz w:val="24"/>
          <w:szCs w:val="24"/>
        </w:rPr>
      </w:pPr>
    </w:p>
    <w:p w14:paraId="485AB7BD" w14:textId="77777777" w:rsidR="00E46C0A" w:rsidRPr="002A2135" w:rsidRDefault="00E46C0A" w:rsidP="0014585C">
      <w:pPr>
        <w:ind w:right="-234"/>
        <w:jc w:val="both"/>
        <w:rPr>
          <w:rFonts w:ascii="Arial" w:hAnsi="Arial" w:cs="Arial"/>
          <w:b/>
          <w:sz w:val="28"/>
          <w:szCs w:val="28"/>
          <w:lang w:val="es-MX"/>
        </w:rPr>
      </w:pPr>
      <w:r w:rsidRPr="002A2135">
        <w:rPr>
          <w:rFonts w:ascii="Arial" w:hAnsi="Arial" w:cs="Arial"/>
          <w:b/>
          <w:sz w:val="28"/>
          <w:szCs w:val="28"/>
          <w:lang w:val="es-MX"/>
        </w:rPr>
        <w:t>191.- ELECTRIFICADORA DE LA GUAJIRA S.A. E.S.P. EN LIQUIDACIÓN – FIDUPREVISORA S.A.</w:t>
      </w:r>
    </w:p>
    <w:p w14:paraId="5B479B6F" w14:textId="77777777" w:rsidR="00E46C0A" w:rsidRDefault="00E46C0A" w:rsidP="00E46C0A">
      <w:pPr>
        <w:pStyle w:val="Textoindependiente"/>
        <w:ind w:right="-50"/>
        <w:jc w:val="both"/>
        <w:rPr>
          <w:rFonts w:ascii="Arial" w:hAnsi="Arial" w:cs="Arial"/>
          <w:b/>
          <w:bCs/>
          <w:sz w:val="24"/>
          <w:szCs w:val="24"/>
        </w:rPr>
      </w:pPr>
    </w:p>
    <w:p w14:paraId="6522DFFE" w14:textId="77777777" w:rsidR="00E46C0A" w:rsidRPr="002A2135" w:rsidRDefault="00E46C0A" w:rsidP="0014585C">
      <w:pPr>
        <w:pStyle w:val="Textoindependiente"/>
        <w:ind w:right="-234"/>
        <w:jc w:val="both"/>
        <w:rPr>
          <w:rFonts w:ascii="Arial" w:hAnsi="Arial" w:cs="Arial"/>
          <w:sz w:val="24"/>
          <w:szCs w:val="24"/>
        </w:rPr>
      </w:pPr>
      <w:r w:rsidRPr="002A2135">
        <w:rPr>
          <w:rFonts w:ascii="Arial" w:hAnsi="Arial" w:cs="Arial"/>
          <w:b/>
          <w:bCs/>
          <w:sz w:val="24"/>
          <w:szCs w:val="24"/>
        </w:rPr>
        <w:t xml:space="preserve">“Párrafo de Énfasis – Negocio Fiduciario en Liquidación. </w:t>
      </w:r>
      <w:r w:rsidRPr="002A2135">
        <w:rPr>
          <w:rFonts w:ascii="Arial" w:hAnsi="Arial" w:cs="Arial"/>
          <w:sz w:val="24"/>
          <w:szCs w:val="24"/>
        </w:rPr>
        <w:t>Sin calificar mi informe, tal y como lo menciona la Nota 1, el negocio fiduciario, al 31 de diciembre de 2024, se encuentra en proceso de liquidación, en virtud del cumplimiento del objeto contractual, razón por la cual Fiduprevisora S.A., se encuentra gestionando las actividades para la liquidación del negocio fiduciario”.</w:t>
      </w:r>
    </w:p>
    <w:p w14:paraId="05F7F7FB" w14:textId="77777777" w:rsidR="00E46C0A" w:rsidRPr="002A2135" w:rsidRDefault="00E46C0A" w:rsidP="0014585C">
      <w:pPr>
        <w:pStyle w:val="Textoindependiente"/>
        <w:ind w:right="-234"/>
        <w:jc w:val="both"/>
        <w:rPr>
          <w:rFonts w:ascii="Arial" w:hAnsi="Arial" w:cs="Arial"/>
          <w:b/>
          <w:bCs/>
          <w:sz w:val="24"/>
          <w:szCs w:val="24"/>
        </w:rPr>
      </w:pPr>
    </w:p>
    <w:p w14:paraId="14F11075" w14:textId="77777777" w:rsidR="00E46C0A" w:rsidRPr="002A2135" w:rsidRDefault="00E46C0A" w:rsidP="0014585C">
      <w:pPr>
        <w:ind w:right="-234"/>
        <w:jc w:val="both"/>
        <w:rPr>
          <w:rFonts w:ascii="Arial" w:hAnsi="Arial" w:cs="Arial"/>
          <w:b/>
          <w:sz w:val="28"/>
          <w:szCs w:val="28"/>
          <w:lang w:val="es-MX"/>
        </w:rPr>
      </w:pPr>
      <w:r w:rsidRPr="002A2135">
        <w:rPr>
          <w:rFonts w:ascii="Arial" w:hAnsi="Arial" w:cs="Arial"/>
          <w:b/>
          <w:sz w:val="28"/>
          <w:szCs w:val="28"/>
          <w:lang w:val="es-MX"/>
        </w:rPr>
        <w:t>192.- PAR ELECTRIFICADORA DEL ATLÁNTICO S.A. E.S.P. EN LIQUIDACIÓN – FIDUPREVISORA S.A.</w:t>
      </w:r>
    </w:p>
    <w:p w14:paraId="7F111BC9" w14:textId="77777777" w:rsidR="00E46C0A" w:rsidRPr="002A2135" w:rsidRDefault="00E46C0A" w:rsidP="0014585C">
      <w:pPr>
        <w:ind w:right="-234"/>
        <w:jc w:val="both"/>
        <w:rPr>
          <w:rFonts w:ascii="Arial" w:hAnsi="Arial" w:cs="Arial"/>
          <w:b/>
          <w:spacing w:val="-3"/>
          <w:sz w:val="24"/>
          <w:szCs w:val="24"/>
        </w:rPr>
      </w:pPr>
    </w:p>
    <w:p w14:paraId="4E63F291" w14:textId="77777777" w:rsidR="00E46C0A" w:rsidRPr="002A2135" w:rsidRDefault="00E46C0A" w:rsidP="0014585C">
      <w:pPr>
        <w:pStyle w:val="Textoindependiente"/>
        <w:ind w:right="-234"/>
        <w:jc w:val="both"/>
        <w:rPr>
          <w:rFonts w:ascii="Arial" w:hAnsi="Arial" w:cs="Arial"/>
          <w:b/>
          <w:bCs/>
          <w:sz w:val="24"/>
          <w:szCs w:val="24"/>
        </w:rPr>
      </w:pPr>
      <w:r w:rsidRPr="002A2135">
        <w:rPr>
          <w:rFonts w:ascii="Arial" w:hAnsi="Arial" w:cs="Arial"/>
          <w:b/>
          <w:bCs/>
          <w:sz w:val="24"/>
          <w:szCs w:val="24"/>
        </w:rPr>
        <w:t xml:space="preserve">“Párrafo de énfasis por patrimonio negativo. </w:t>
      </w:r>
    </w:p>
    <w:p w14:paraId="6B5D8AF3" w14:textId="77777777" w:rsidR="00E46C0A" w:rsidRPr="002A2135" w:rsidRDefault="00E46C0A" w:rsidP="0014585C">
      <w:pPr>
        <w:pStyle w:val="Textoindependiente"/>
        <w:ind w:right="-234"/>
        <w:jc w:val="both"/>
        <w:rPr>
          <w:rFonts w:ascii="Arial" w:hAnsi="Arial" w:cs="Arial"/>
          <w:b/>
          <w:bCs/>
          <w:sz w:val="24"/>
          <w:szCs w:val="24"/>
        </w:rPr>
      </w:pPr>
    </w:p>
    <w:p w14:paraId="7EA88A27" w14:textId="77777777" w:rsidR="00E46C0A" w:rsidRPr="002A2135" w:rsidRDefault="00E46C0A" w:rsidP="0014585C">
      <w:pPr>
        <w:pStyle w:val="Textoindependiente"/>
        <w:ind w:right="-234"/>
        <w:jc w:val="both"/>
        <w:rPr>
          <w:rFonts w:ascii="Arial" w:hAnsi="Arial" w:cs="Arial"/>
          <w:sz w:val="24"/>
          <w:szCs w:val="24"/>
        </w:rPr>
      </w:pPr>
      <w:r w:rsidRPr="002A2135">
        <w:rPr>
          <w:rFonts w:ascii="Arial" w:hAnsi="Arial" w:cs="Arial"/>
          <w:sz w:val="24"/>
          <w:szCs w:val="24"/>
        </w:rPr>
        <w:t>Sin modificar mi opinión, llamo la atención sobre el hecho que, al 31 de diciembre de 2024, el Fideicomiso de ADMINISTRACIÓN Y PAGOS 3-1-4176 – ELECTRIFICADORA DEL ATLÁNTICO S.A. E.S.P. LIQUIDACIÓN tiene un patrimonio negativo por valor de $1.013 millones, ya que presenta pérdidas acumuladas de ejercicios anteriores, producto de la provisión de procesos judiciales en contra y del deterioro de las inversiones en acciones en la sociedad Electricaribe, así como del deterioro del inmueble ubicado en el municipio de Tubará.</w:t>
      </w:r>
    </w:p>
    <w:p w14:paraId="22C9005E" w14:textId="77777777" w:rsidR="00E46C0A" w:rsidRPr="002A2135" w:rsidRDefault="00E46C0A" w:rsidP="0014585C">
      <w:pPr>
        <w:pStyle w:val="Textoindependiente"/>
        <w:ind w:right="-234"/>
        <w:jc w:val="both"/>
        <w:rPr>
          <w:rFonts w:ascii="Arial" w:hAnsi="Arial" w:cs="Arial"/>
          <w:b/>
          <w:bCs/>
          <w:sz w:val="24"/>
          <w:szCs w:val="24"/>
        </w:rPr>
      </w:pPr>
    </w:p>
    <w:p w14:paraId="141FD5EA" w14:textId="77777777" w:rsidR="00E46C0A" w:rsidRPr="002A2135" w:rsidRDefault="00E46C0A" w:rsidP="0014585C">
      <w:pPr>
        <w:pStyle w:val="Textoindependiente"/>
        <w:ind w:right="-234"/>
        <w:jc w:val="both"/>
        <w:rPr>
          <w:rFonts w:ascii="Arial" w:hAnsi="Arial" w:cs="Arial"/>
          <w:sz w:val="24"/>
          <w:szCs w:val="24"/>
        </w:rPr>
      </w:pPr>
      <w:r w:rsidRPr="002A2135">
        <w:rPr>
          <w:rFonts w:ascii="Arial" w:hAnsi="Arial" w:cs="Arial"/>
          <w:sz w:val="24"/>
          <w:szCs w:val="24"/>
        </w:rPr>
        <w:t xml:space="preserve">En la preparación de los estados financieros, la administración de FIDUCIARIA LA PREVISORA </w:t>
      </w:r>
      <w:r w:rsidRPr="002A2135">
        <w:rPr>
          <w:rFonts w:ascii="Arial" w:hAnsi="Arial" w:cs="Arial"/>
          <w:sz w:val="24"/>
          <w:szCs w:val="24"/>
        </w:rPr>
        <w:lastRenderedPageBreak/>
        <w:t>S.A., como sociedad administradora del Patrimonio Autónomo es responsable de la evaluación de la capacidad del Negocio Fiduciario, revelando, según corresponda.</w:t>
      </w:r>
    </w:p>
    <w:p w14:paraId="245E3B97" w14:textId="77777777" w:rsidR="00E46C0A" w:rsidRPr="002A2135" w:rsidRDefault="00E46C0A" w:rsidP="0014585C">
      <w:pPr>
        <w:pStyle w:val="Textoindependiente"/>
        <w:ind w:right="-234"/>
        <w:jc w:val="both"/>
        <w:rPr>
          <w:rFonts w:ascii="Arial" w:hAnsi="Arial" w:cs="Arial"/>
          <w:sz w:val="24"/>
          <w:szCs w:val="24"/>
        </w:rPr>
      </w:pPr>
    </w:p>
    <w:p w14:paraId="4E20D191" w14:textId="77777777" w:rsidR="00E46C0A" w:rsidRPr="002A2135" w:rsidRDefault="00E46C0A" w:rsidP="0014585C">
      <w:pPr>
        <w:pStyle w:val="Textoindependiente"/>
        <w:ind w:right="-234"/>
        <w:jc w:val="both"/>
        <w:rPr>
          <w:rFonts w:ascii="Arial" w:hAnsi="Arial" w:cs="Arial"/>
          <w:b/>
          <w:bCs/>
          <w:sz w:val="24"/>
          <w:szCs w:val="24"/>
        </w:rPr>
      </w:pPr>
      <w:r w:rsidRPr="002A2135">
        <w:rPr>
          <w:rFonts w:ascii="Arial" w:hAnsi="Arial" w:cs="Arial"/>
          <w:b/>
          <w:bCs/>
          <w:sz w:val="24"/>
          <w:szCs w:val="24"/>
        </w:rPr>
        <w:t>Párrafo de Énfasis – Negocio Fiduciario en Liquidación.</w:t>
      </w:r>
    </w:p>
    <w:p w14:paraId="5C148CFA" w14:textId="77777777" w:rsidR="00E46C0A" w:rsidRPr="002A2135" w:rsidRDefault="00E46C0A" w:rsidP="0014585C">
      <w:pPr>
        <w:pStyle w:val="Textoindependiente"/>
        <w:ind w:right="-234"/>
        <w:jc w:val="both"/>
        <w:rPr>
          <w:rFonts w:ascii="Arial" w:hAnsi="Arial" w:cs="Arial"/>
          <w:sz w:val="24"/>
          <w:szCs w:val="24"/>
        </w:rPr>
      </w:pPr>
    </w:p>
    <w:p w14:paraId="1B7142D7" w14:textId="77777777" w:rsidR="00E46C0A" w:rsidRPr="002A2135" w:rsidRDefault="00E46C0A" w:rsidP="0014585C">
      <w:pPr>
        <w:pStyle w:val="Textoindependiente"/>
        <w:ind w:right="-234"/>
        <w:jc w:val="both"/>
        <w:rPr>
          <w:rFonts w:ascii="Arial" w:hAnsi="Arial" w:cs="Arial"/>
          <w:sz w:val="24"/>
          <w:szCs w:val="24"/>
        </w:rPr>
      </w:pPr>
      <w:r w:rsidRPr="002A2135">
        <w:rPr>
          <w:rFonts w:ascii="Arial" w:hAnsi="Arial" w:cs="Arial"/>
          <w:sz w:val="24"/>
          <w:szCs w:val="24"/>
        </w:rPr>
        <w:t>Sin calificar mi informe, tal y como lo menciona la nota 1, el negocio fiduciario al 31 de diciembre de 2024 se encuentra en proceso de liquidación en virtud del cumplimiento del objeto contractual, razón por la cual Fiduprevisora S.A. se encuentra gestionando las actividades para la liquidación del negocio fiduciario”.</w:t>
      </w:r>
    </w:p>
    <w:p w14:paraId="631DFAC9" w14:textId="77777777" w:rsidR="00E46C0A" w:rsidRDefault="00E46C0A" w:rsidP="0014585C">
      <w:pPr>
        <w:ind w:right="-234"/>
        <w:jc w:val="both"/>
        <w:rPr>
          <w:rFonts w:ascii="Arial" w:hAnsi="Arial" w:cs="Arial"/>
          <w:b/>
          <w:spacing w:val="-3"/>
          <w:sz w:val="24"/>
          <w:szCs w:val="24"/>
        </w:rPr>
      </w:pPr>
    </w:p>
    <w:p w14:paraId="102AD234" w14:textId="77777777" w:rsidR="00E46C0A" w:rsidRPr="00517442" w:rsidRDefault="00E46C0A" w:rsidP="0014585C">
      <w:pPr>
        <w:ind w:right="-234"/>
        <w:jc w:val="both"/>
        <w:rPr>
          <w:rFonts w:ascii="Arial" w:hAnsi="Arial" w:cs="Arial"/>
          <w:b/>
          <w:sz w:val="28"/>
          <w:szCs w:val="28"/>
          <w:lang w:val="es-MX"/>
        </w:rPr>
      </w:pPr>
      <w:r w:rsidRPr="00517442">
        <w:rPr>
          <w:rFonts w:ascii="Arial" w:hAnsi="Arial" w:cs="Arial"/>
          <w:b/>
          <w:sz w:val="28"/>
          <w:szCs w:val="28"/>
          <w:lang w:val="es-MX"/>
        </w:rPr>
        <w:t>193.- PAR ELECTRIFICADORA DEL MAGDALENA S.A. E.S.P. EN LIQUIDACIÓN – FIDUPREVISORA S.A.</w:t>
      </w:r>
    </w:p>
    <w:p w14:paraId="55CEDEEB" w14:textId="77777777" w:rsidR="00E46C0A" w:rsidRDefault="00E46C0A" w:rsidP="0014585C">
      <w:pPr>
        <w:ind w:right="-234"/>
        <w:jc w:val="both"/>
        <w:rPr>
          <w:rFonts w:ascii="Arial" w:hAnsi="Arial" w:cs="Arial"/>
          <w:b/>
          <w:spacing w:val="-3"/>
          <w:sz w:val="24"/>
          <w:szCs w:val="24"/>
        </w:rPr>
      </w:pPr>
    </w:p>
    <w:p w14:paraId="7C4AC8E4" w14:textId="77777777" w:rsidR="00E46C0A" w:rsidRDefault="00E46C0A" w:rsidP="0014585C">
      <w:pPr>
        <w:pStyle w:val="Textoindependiente"/>
        <w:ind w:right="-234"/>
        <w:jc w:val="both"/>
        <w:rPr>
          <w:b/>
          <w:bCs/>
        </w:rPr>
      </w:pPr>
      <w:r>
        <w:rPr>
          <w:b/>
          <w:bCs/>
        </w:rPr>
        <w:t>“</w:t>
      </w:r>
      <w:r w:rsidRPr="00A21B45">
        <w:rPr>
          <w:b/>
          <w:bCs/>
        </w:rPr>
        <w:t>Párrafo de Énfasis – Negocio Fiduciario en Liquidación</w:t>
      </w:r>
      <w:r>
        <w:rPr>
          <w:b/>
          <w:bCs/>
        </w:rPr>
        <w:t>.</w:t>
      </w:r>
    </w:p>
    <w:p w14:paraId="5C09C5C4" w14:textId="77777777" w:rsidR="00E46C0A" w:rsidRPr="001D6692" w:rsidRDefault="00E46C0A" w:rsidP="0014585C">
      <w:pPr>
        <w:pStyle w:val="Textoindependiente"/>
        <w:ind w:right="-234"/>
        <w:jc w:val="both"/>
        <w:rPr>
          <w:rFonts w:ascii="Arial" w:hAnsi="Arial" w:cs="Arial"/>
          <w:b/>
          <w:bCs/>
          <w:sz w:val="24"/>
          <w:szCs w:val="24"/>
        </w:rPr>
      </w:pPr>
    </w:p>
    <w:p w14:paraId="7DF4E29D" w14:textId="77777777" w:rsidR="00E46C0A" w:rsidRPr="001D6692" w:rsidRDefault="00E46C0A" w:rsidP="0014585C">
      <w:pPr>
        <w:pStyle w:val="Textoindependiente"/>
        <w:ind w:right="-234"/>
        <w:jc w:val="both"/>
        <w:rPr>
          <w:rFonts w:ascii="Arial" w:hAnsi="Arial" w:cs="Arial"/>
          <w:sz w:val="24"/>
          <w:szCs w:val="24"/>
        </w:rPr>
      </w:pPr>
      <w:r w:rsidRPr="001D6692">
        <w:rPr>
          <w:rFonts w:ascii="Arial" w:hAnsi="Arial" w:cs="Arial"/>
          <w:sz w:val="24"/>
          <w:szCs w:val="24"/>
        </w:rPr>
        <w:t>Sin calificar mi informe, tal y como lo menciona la nota 1, el negocio fiduciario al 31 de diciembre de 2024 se encuentra en proceso de liquidación en virtud del cumplimiento del objeto contractual, razón por la cual Fiduprevisora S.A. se encuentra gestionando las actividades para la liquidación del negocio fiduciario.”</w:t>
      </w:r>
    </w:p>
    <w:p w14:paraId="36A6AF40" w14:textId="77777777" w:rsidR="00E46C0A" w:rsidRDefault="00E46C0A" w:rsidP="0014585C">
      <w:pPr>
        <w:ind w:right="-234"/>
        <w:jc w:val="both"/>
        <w:rPr>
          <w:rFonts w:ascii="Arial" w:hAnsi="Arial" w:cs="Arial"/>
          <w:b/>
          <w:spacing w:val="-3"/>
          <w:sz w:val="24"/>
          <w:szCs w:val="24"/>
        </w:rPr>
      </w:pPr>
    </w:p>
    <w:p w14:paraId="339DFACD" w14:textId="77777777" w:rsidR="00E46C0A" w:rsidRPr="00EE26E7" w:rsidRDefault="00E46C0A" w:rsidP="0014585C">
      <w:pPr>
        <w:ind w:right="-234"/>
        <w:jc w:val="both"/>
        <w:rPr>
          <w:rFonts w:ascii="Arial" w:hAnsi="Arial" w:cs="Arial"/>
          <w:b/>
          <w:sz w:val="28"/>
          <w:szCs w:val="28"/>
          <w:lang w:val="es-MX"/>
        </w:rPr>
      </w:pPr>
      <w:r w:rsidRPr="00EE26E7">
        <w:rPr>
          <w:rFonts w:ascii="Arial" w:hAnsi="Arial" w:cs="Arial"/>
          <w:b/>
          <w:sz w:val="28"/>
          <w:szCs w:val="28"/>
          <w:lang w:val="es-MX"/>
        </w:rPr>
        <w:t>196.- PAR EMPRESA DE ENERGÍA ELÉCTRICA DE MAGANGUÉ S.A. E.S.P. EN LIQUIDACIÓN – FIDUPREVISORA S.A.</w:t>
      </w:r>
    </w:p>
    <w:p w14:paraId="4EAB4810" w14:textId="77777777" w:rsidR="00E46C0A" w:rsidRDefault="00E46C0A" w:rsidP="0014585C">
      <w:pPr>
        <w:ind w:right="-234"/>
        <w:jc w:val="both"/>
        <w:rPr>
          <w:rFonts w:ascii="Arial" w:hAnsi="Arial" w:cs="Arial"/>
          <w:b/>
          <w:spacing w:val="-3"/>
          <w:sz w:val="24"/>
          <w:szCs w:val="24"/>
        </w:rPr>
      </w:pPr>
    </w:p>
    <w:p w14:paraId="1BF8737E" w14:textId="77777777" w:rsidR="00E46C0A" w:rsidRPr="00A10BFD" w:rsidRDefault="00E46C0A" w:rsidP="0014585C">
      <w:pPr>
        <w:pStyle w:val="Textoindependiente"/>
        <w:ind w:right="-234"/>
        <w:jc w:val="both"/>
        <w:rPr>
          <w:rFonts w:ascii="Arial" w:hAnsi="Arial" w:cs="Arial"/>
          <w:b/>
          <w:bCs/>
          <w:sz w:val="24"/>
          <w:szCs w:val="24"/>
        </w:rPr>
      </w:pPr>
      <w:r w:rsidRPr="00A10BFD">
        <w:rPr>
          <w:rFonts w:ascii="Arial" w:hAnsi="Arial" w:cs="Arial"/>
          <w:b/>
          <w:bCs/>
          <w:sz w:val="24"/>
          <w:szCs w:val="24"/>
        </w:rPr>
        <w:t>“Párrafo de énfasis – Negocio en liquidación</w:t>
      </w:r>
    </w:p>
    <w:p w14:paraId="25736EE9" w14:textId="77777777" w:rsidR="00E46C0A" w:rsidRPr="00A10BFD" w:rsidRDefault="00E46C0A" w:rsidP="0014585C">
      <w:pPr>
        <w:pStyle w:val="Textoindependiente"/>
        <w:ind w:right="-234"/>
        <w:jc w:val="both"/>
        <w:rPr>
          <w:rFonts w:ascii="Arial" w:hAnsi="Arial" w:cs="Arial"/>
          <w:b/>
          <w:bCs/>
          <w:sz w:val="24"/>
          <w:szCs w:val="24"/>
        </w:rPr>
      </w:pPr>
    </w:p>
    <w:p w14:paraId="587294B8" w14:textId="77777777" w:rsidR="00E46C0A" w:rsidRPr="00A10BFD" w:rsidRDefault="00E46C0A" w:rsidP="0014585C">
      <w:pPr>
        <w:pStyle w:val="Textoindependiente"/>
        <w:ind w:right="-234"/>
        <w:jc w:val="both"/>
        <w:rPr>
          <w:rFonts w:ascii="Arial" w:hAnsi="Arial" w:cs="Arial"/>
          <w:sz w:val="24"/>
          <w:szCs w:val="24"/>
        </w:rPr>
      </w:pPr>
      <w:r w:rsidRPr="00A10BFD">
        <w:rPr>
          <w:rFonts w:ascii="Arial" w:hAnsi="Arial" w:cs="Arial"/>
          <w:sz w:val="24"/>
          <w:szCs w:val="24"/>
        </w:rPr>
        <w:t>Sin calificar mi nombre, llamo la atención sobre la Nota 1 de los estados financieros, la cual indica que el Encargo Fiduciario se encuentra en proceso de liquidación por cumplimiento del objeto contractual, razón por la cual Fiduprevisora S.A. se encuentra gestionando las actividades para la liquidación del negocio fiduciario”.</w:t>
      </w:r>
    </w:p>
    <w:p w14:paraId="3EC039E6" w14:textId="77777777" w:rsidR="00E46C0A" w:rsidRDefault="00E46C0A" w:rsidP="00E46C0A">
      <w:pPr>
        <w:rPr>
          <w:rFonts w:ascii="Arial" w:hAnsi="Arial" w:cs="Arial"/>
          <w:sz w:val="24"/>
          <w:szCs w:val="24"/>
        </w:rPr>
      </w:pPr>
    </w:p>
    <w:p w14:paraId="6F7A0B56" w14:textId="77777777" w:rsidR="00E46C0A" w:rsidRPr="005361EC" w:rsidRDefault="00E46C0A" w:rsidP="0014585C">
      <w:pPr>
        <w:ind w:right="-234"/>
        <w:jc w:val="both"/>
        <w:rPr>
          <w:rFonts w:ascii="Arial" w:hAnsi="Arial" w:cs="Arial"/>
          <w:b/>
          <w:sz w:val="28"/>
          <w:szCs w:val="28"/>
          <w:lang w:val="es-MX"/>
        </w:rPr>
      </w:pPr>
      <w:r w:rsidRPr="005361EC">
        <w:rPr>
          <w:rFonts w:ascii="Arial" w:hAnsi="Arial" w:cs="Arial"/>
          <w:b/>
          <w:sz w:val="28"/>
          <w:szCs w:val="28"/>
          <w:lang w:val="es-MX"/>
        </w:rPr>
        <w:t>200.- PAP DEFENSA JURÍDICA EXTINTO DAS Y SU FONDO ROTATORIO – FIDUPREVISORA S.A.</w:t>
      </w:r>
    </w:p>
    <w:p w14:paraId="3811D9D4" w14:textId="77777777" w:rsidR="00E46C0A" w:rsidRPr="005361EC" w:rsidRDefault="00E46C0A" w:rsidP="00E46C0A">
      <w:pPr>
        <w:pStyle w:val="Textoindependiente"/>
        <w:ind w:right="-50"/>
        <w:jc w:val="both"/>
        <w:rPr>
          <w:rFonts w:ascii="Arial" w:hAnsi="Arial" w:cs="Arial"/>
          <w:b/>
        </w:rPr>
      </w:pPr>
    </w:p>
    <w:p w14:paraId="1FDE6FF6" w14:textId="77777777" w:rsidR="00E46C0A" w:rsidRPr="005361EC" w:rsidRDefault="00E46C0A" w:rsidP="00E46C0A">
      <w:pPr>
        <w:pStyle w:val="Textoindependiente"/>
        <w:ind w:right="-50"/>
        <w:jc w:val="both"/>
        <w:rPr>
          <w:rFonts w:ascii="Arial" w:hAnsi="Arial" w:cs="Arial"/>
          <w:b/>
          <w:bCs/>
          <w:sz w:val="24"/>
          <w:szCs w:val="24"/>
        </w:rPr>
      </w:pPr>
      <w:r w:rsidRPr="005361EC">
        <w:rPr>
          <w:rFonts w:ascii="Arial" w:hAnsi="Arial" w:cs="Arial"/>
          <w:b/>
          <w:bCs/>
          <w:sz w:val="24"/>
          <w:szCs w:val="24"/>
        </w:rPr>
        <w:t>“Párrafo de énfasis – Patrimonio Negativo.</w:t>
      </w:r>
    </w:p>
    <w:p w14:paraId="3379F0F5" w14:textId="77777777" w:rsidR="00E46C0A" w:rsidRPr="005361EC" w:rsidRDefault="00E46C0A" w:rsidP="00E46C0A">
      <w:pPr>
        <w:pStyle w:val="Textoindependiente"/>
        <w:ind w:right="-50"/>
        <w:jc w:val="both"/>
        <w:rPr>
          <w:rFonts w:ascii="Arial" w:hAnsi="Arial" w:cs="Arial"/>
          <w:b/>
          <w:bCs/>
          <w:sz w:val="24"/>
          <w:szCs w:val="24"/>
        </w:rPr>
      </w:pPr>
    </w:p>
    <w:p w14:paraId="681DB082" w14:textId="77777777" w:rsidR="00E46C0A" w:rsidRPr="005361EC" w:rsidRDefault="00E46C0A" w:rsidP="0014585C">
      <w:pPr>
        <w:pStyle w:val="Textoindependiente"/>
        <w:ind w:right="-234"/>
        <w:jc w:val="both"/>
        <w:rPr>
          <w:rFonts w:ascii="Arial" w:hAnsi="Arial" w:cs="Arial"/>
          <w:sz w:val="24"/>
          <w:szCs w:val="24"/>
        </w:rPr>
      </w:pPr>
      <w:r w:rsidRPr="005361EC">
        <w:rPr>
          <w:rFonts w:ascii="Arial" w:hAnsi="Arial" w:cs="Arial"/>
          <w:sz w:val="24"/>
          <w:szCs w:val="24"/>
        </w:rPr>
        <w:t>Sin modificar mi opinión, llamo la atención que, al 31 de diciembre de 2024, el Fideicomiso de Administración y Pagos 3-1-61069 - PAP FIDUPREVISORA S.A. DEFENSA JURÍDICA EXTINTO D.A.S Y SU FONDO ROTATORIO tiene un patrimonio negativo por valor de $(5.347.404.962,80) pesos colombianos, ya que presenta pérdidas acumuladas de ejercicios anteriores y pérdidas del ejercicio actual. Es de mencionar que el pasado 24 de enero de 2025 se recibieron recursos por valor de $6.600.000.000.</w:t>
      </w:r>
    </w:p>
    <w:p w14:paraId="56094C55" w14:textId="77777777" w:rsidR="00E46C0A" w:rsidRPr="005361EC" w:rsidRDefault="00E46C0A" w:rsidP="00E46C0A">
      <w:pPr>
        <w:pStyle w:val="Textoindependiente"/>
        <w:ind w:right="-50"/>
        <w:jc w:val="both"/>
        <w:rPr>
          <w:rFonts w:ascii="Arial" w:hAnsi="Arial" w:cs="Arial"/>
          <w:sz w:val="24"/>
          <w:szCs w:val="24"/>
        </w:rPr>
      </w:pPr>
    </w:p>
    <w:p w14:paraId="3DC2424E" w14:textId="77777777" w:rsidR="00E46C0A" w:rsidRPr="005361EC" w:rsidRDefault="00E46C0A" w:rsidP="0014585C">
      <w:pPr>
        <w:pStyle w:val="Textoindependiente"/>
        <w:ind w:right="-234"/>
        <w:jc w:val="both"/>
        <w:rPr>
          <w:rFonts w:ascii="Arial" w:hAnsi="Arial" w:cs="Arial"/>
          <w:sz w:val="24"/>
          <w:szCs w:val="24"/>
        </w:rPr>
      </w:pPr>
      <w:r w:rsidRPr="005361EC">
        <w:rPr>
          <w:rFonts w:ascii="Arial" w:hAnsi="Arial" w:cs="Arial"/>
          <w:sz w:val="24"/>
          <w:szCs w:val="24"/>
        </w:rPr>
        <w:t xml:space="preserve">En la preparación de los estados financieros, la administración de FIDUCIARIA LA PREVISORA S.A., como sociedad administradora del 3-1-61069 - PAP FIDUPREVISORA S.A. DEFENSA JURÍDICA EXTINTO D.A.S Y SU FONDO ROTATORIO, es responsable de la evaluación de la capacidad del Negocio Fiduciario para continuar como negocio en marcha, revelando, según corresponda, los asuntos relacionados salvo que la administración se proponga liquidar el </w:t>
      </w:r>
      <w:r w:rsidRPr="005361EC">
        <w:rPr>
          <w:rFonts w:ascii="Arial" w:hAnsi="Arial" w:cs="Arial"/>
          <w:sz w:val="24"/>
          <w:szCs w:val="24"/>
        </w:rPr>
        <w:lastRenderedPageBreak/>
        <w:t>Negocio Fiduciario o cesar sus operaciones, o bien no exista otra alternativa más realista que hacerlo”.</w:t>
      </w:r>
    </w:p>
    <w:p w14:paraId="6076739D" w14:textId="77777777" w:rsidR="00E46C0A" w:rsidRDefault="00E46C0A" w:rsidP="0014585C">
      <w:pPr>
        <w:ind w:right="-234"/>
        <w:rPr>
          <w:rFonts w:ascii="Arial" w:hAnsi="Arial" w:cs="Arial"/>
          <w:sz w:val="24"/>
          <w:szCs w:val="24"/>
        </w:rPr>
      </w:pPr>
    </w:p>
    <w:p w14:paraId="3B3E409A" w14:textId="77777777" w:rsidR="00E46C0A" w:rsidRPr="00366C61" w:rsidRDefault="00E46C0A" w:rsidP="0014585C">
      <w:pPr>
        <w:ind w:right="-234"/>
        <w:jc w:val="both"/>
        <w:rPr>
          <w:rFonts w:ascii="Arial" w:hAnsi="Arial" w:cs="Arial"/>
          <w:b/>
          <w:sz w:val="28"/>
          <w:szCs w:val="28"/>
          <w:lang w:val="es-MX"/>
        </w:rPr>
      </w:pPr>
      <w:r w:rsidRPr="00366C61">
        <w:rPr>
          <w:rFonts w:ascii="Arial" w:hAnsi="Arial" w:cs="Arial"/>
          <w:b/>
          <w:sz w:val="28"/>
          <w:szCs w:val="28"/>
          <w:lang w:val="es-MX"/>
        </w:rPr>
        <w:t>204.- PAP CONSORCIO FONDO DE ATENCIÓN EN SALUD PPL – FIDUPREVISORA S.A.</w:t>
      </w:r>
    </w:p>
    <w:p w14:paraId="5E41235E" w14:textId="77777777" w:rsidR="00E46C0A" w:rsidRDefault="00E46C0A" w:rsidP="0014585C">
      <w:pPr>
        <w:ind w:right="-234"/>
        <w:rPr>
          <w:rFonts w:ascii="Arial" w:hAnsi="Arial" w:cs="Arial"/>
          <w:sz w:val="24"/>
          <w:szCs w:val="24"/>
        </w:rPr>
      </w:pPr>
    </w:p>
    <w:p w14:paraId="03F6BBAC" w14:textId="77777777" w:rsidR="00E46C0A" w:rsidRPr="00862833" w:rsidRDefault="00E46C0A" w:rsidP="0014585C">
      <w:pPr>
        <w:pStyle w:val="Textoindependiente"/>
        <w:ind w:right="-234"/>
        <w:jc w:val="both"/>
        <w:rPr>
          <w:rFonts w:ascii="Arial" w:hAnsi="Arial" w:cs="Arial"/>
          <w:b/>
          <w:bCs/>
          <w:sz w:val="24"/>
          <w:szCs w:val="24"/>
        </w:rPr>
      </w:pPr>
      <w:r w:rsidRPr="00862833">
        <w:rPr>
          <w:rFonts w:ascii="Arial" w:hAnsi="Arial" w:cs="Arial"/>
          <w:b/>
          <w:bCs/>
          <w:sz w:val="24"/>
          <w:szCs w:val="24"/>
        </w:rPr>
        <w:t>“Párrafo de énfasis – Negocio en liquidación.</w:t>
      </w:r>
    </w:p>
    <w:p w14:paraId="2B8A65E4" w14:textId="77777777" w:rsidR="00E46C0A" w:rsidRPr="00862833" w:rsidRDefault="00E46C0A" w:rsidP="0014585C">
      <w:pPr>
        <w:pStyle w:val="Textoindependiente"/>
        <w:ind w:right="-234"/>
        <w:jc w:val="both"/>
        <w:rPr>
          <w:rFonts w:ascii="Arial" w:hAnsi="Arial" w:cs="Arial"/>
          <w:b/>
          <w:bCs/>
          <w:sz w:val="24"/>
          <w:szCs w:val="24"/>
        </w:rPr>
      </w:pPr>
    </w:p>
    <w:p w14:paraId="77739C57" w14:textId="77777777" w:rsidR="00E46C0A" w:rsidRPr="00862833" w:rsidRDefault="00E46C0A" w:rsidP="0014585C">
      <w:pPr>
        <w:pStyle w:val="Textoindependiente"/>
        <w:ind w:right="-234"/>
        <w:jc w:val="both"/>
        <w:rPr>
          <w:rFonts w:ascii="Arial" w:hAnsi="Arial" w:cs="Arial"/>
          <w:sz w:val="24"/>
          <w:szCs w:val="24"/>
        </w:rPr>
      </w:pPr>
      <w:r w:rsidRPr="00862833">
        <w:rPr>
          <w:rFonts w:ascii="Arial" w:hAnsi="Arial" w:cs="Arial"/>
          <w:sz w:val="24"/>
          <w:szCs w:val="24"/>
        </w:rPr>
        <w:t>Sin calificar mi nombre, llamo la atención sobre la Nota 1 de los estados financieros, la cual indica que el Encargo Fiduciario se encuentra en proceso de liquidación por cumplimiento del objeto contractual, razón por la cual Fiduprevisora S.A. se encuentra gestionando las actividades para la liquidación del negocio fiduciario.</w:t>
      </w:r>
    </w:p>
    <w:p w14:paraId="29419E82" w14:textId="77777777" w:rsidR="00E46C0A" w:rsidRDefault="00E46C0A" w:rsidP="0014585C">
      <w:pPr>
        <w:ind w:right="-234"/>
        <w:rPr>
          <w:rFonts w:ascii="Arial" w:hAnsi="Arial" w:cs="Arial"/>
          <w:sz w:val="24"/>
          <w:szCs w:val="24"/>
        </w:rPr>
      </w:pPr>
    </w:p>
    <w:p w14:paraId="556AA017" w14:textId="77777777" w:rsidR="00E46C0A" w:rsidRDefault="00E46C0A" w:rsidP="0014585C">
      <w:pPr>
        <w:ind w:right="-234"/>
        <w:jc w:val="both"/>
        <w:rPr>
          <w:rFonts w:ascii="Arial" w:hAnsi="Arial" w:cs="Arial"/>
          <w:b/>
          <w:sz w:val="28"/>
          <w:szCs w:val="28"/>
          <w:lang w:val="es-MX"/>
        </w:rPr>
      </w:pPr>
      <w:r w:rsidRPr="00366C61">
        <w:rPr>
          <w:rFonts w:ascii="Arial" w:hAnsi="Arial" w:cs="Arial"/>
          <w:b/>
          <w:sz w:val="28"/>
          <w:szCs w:val="28"/>
          <w:lang w:val="es-MX"/>
        </w:rPr>
        <w:t>205.- FONDO DE PRESTACIONES SOCIALES DEL MAGISTERIO – FOMAG - FIDUPREVISORA. S.A</w:t>
      </w:r>
      <w:r>
        <w:rPr>
          <w:rFonts w:ascii="Arial" w:hAnsi="Arial" w:cs="Arial"/>
          <w:b/>
          <w:sz w:val="28"/>
          <w:szCs w:val="28"/>
          <w:lang w:val="es-MX"/>
        </w:rPr>
        <w:t>.</w:t>
      </w:r>
    </w:p>
    <w:p w14:paraId="768C7B67" w14:textId="77777777" w:rsidR="00E46C0A" w:rsidRDefault="00E46C0A" w:rsidP="00E46C0A">
      <w:pPr>
        <w:pStyle w:val="Textoindependiente"/>
        <w:ind w:right="-50"/>
        <w:jc w:val="both"/>
        <w:rPr>
          <w:b/>
          <w:bCs/>
        </w:rPr>
      </w:pPr>
    </w:p>
    <w:p w14:paraId="06671196" w14:textId="77777777" w:rsidR="00E46C0A" w:rsidRPr="00366C61" w:rsidRDefault="00E46C0A" w:rsidP="00E46C0A">
      <w:pPr>
        <w:pStyle w:val="Textoindependiente"/>
        <w:ind w:right="-50"/>
        <w:jc w:val="both"/>
        <w:rPr>
          <w:rFonts w:ascii="Arial" w:hAnsi="Arial" w:cs="Arial"/>
          <w:b/>
          <w:bCs/>
          <w:sz w:val="24"/>
          <w:szCs w:val="24"/>
        </w:rPr>
      </w:pPr>
      <w:r w:rsidRPr="00366C61">
        <w:rPr>
          <w:rFonts w:ascii="Arial" w:hAnsi="Arial" w:cs="Arial"/>
          <w:b/>
          <w:bCs/>
          <w:sz w:val="24"/>
          <w:szCs w:val="24"/>
        </w:rPr>
        <w:t>“Fundamento de la Opinión con Salvedades.</w:t>
      </w:r>
    </w:p>
    <w:p w14:paraId="3B1A6203" w14:textId="77777777" w:rsidR="00E46C0A" w:rsidRPr="00366C61" w:rsidRDefault="00E46C0A" w:rsidP="00E46C0A">
      <w:pPr>
        <w:pStyle w:val="Textoindependiente"/>
        <w:ind w:right="-50"/>
        <w:jc w:val="both"/>
        <w:rPr>
          <w:rFonts w:ascii="Arial" w:hAnsi="Arial" w:cs="Arial"/>
          <w:b/>
          <w:bCs/>
          <w:sz w:val="24"/>
          <w:szCs w:val="24"/>
        </w:rPr>
      </w:pPr>
    </w:p>
    <w:p w14:paraId="7E2EE19B"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b/>
          <w:bCs/>
          <w:sz w:val="24"/>
          <w:szCs w:val="24"/>
        </w:rPr>
        <w:t xml:space="preserve">Salvedad sobre los saldos a pagar por concepto de sentencias en contra. </w:t>
      </w:r>
      <w:r w:rsidRPr="00366C61">
        <w:rPr>
          <w:rFonts w:ascii="Arial" w:hAnsi="Arial" w:cs="Arial"/>
          <w:sz w:val="24"/>
          <w:szCs w:val="24"/>
        </w:rPr>
        <w:t>Al 31 de diciembre de 2024, se encuentra registrada en la cuenta 246002 – Sentencias por un valor de $19.512 millones; si bien, la administración ha venido ejecutando un plan de trabajo importante para la identificación de estos saldos, a la fecha de la presente opinión, todavía se encuentran pendientes de realizar el proceso de depuración e identificación de los saldos mencionados.</w:t>
      </w:r>
    </w:p>
    <w:p w14:paraId="6791F350" w14:textId="77777777" w:rsidR="00E46C0A" w:rsidRPr="00366C61" w:rsidRDefault="00E46C0A" w:rsidP="0014585C">
      <w:pPr>
        <w:pStyle w:val="Textoindependiente"/>
        <w:ind w:right="-234"/>
        <w:jc w:val="both"/>
        <w:rPr>
          <w:rFonts w:ascii="Arial" w:hAnsi="Arial" w:cs="Arial"/>
          <w:sz w:val="24"/>
          <w:szCs w:val="24"/>
        </w:rPr>
      </w:pPr>
    </w:p>
    <w:p w14:paraId="65303594"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sz w:val="24"/>
          <w:szCs w:val="24"/>
        </w:rPr>
        <w:t>Durante el año 2025 la Sociedad Fiduciaria continuará con su plan de acción con miras a la depuración efectiva de los saldos mencionados anteriormente; por lo tanto, hasta que la administración no finalice su depuración y análisis, no me es posible determinar la razonabilidad del mismo.</w:t>
      </w:r>
    </w:p>
    <w:p w14:paraId="05844FBA" w14:textId="77777777" w:rsidR="00E46C0A" w:rsidRPr="00366C61" w:rsidRDefault="00E46C0A" w:rsidP="0014585C">
      <w:pPr>
        <w:pStyle w:val="Textoindependiente"/>
        <w:ind w:right="-234"/>
        <w:jc w:val="both"/>
        <w:rPr>
          <w:rFonts w:ascii="Arial" w:hAnsi="Arial" w:cs="Arial"/>
          <w:sz w:val="24"/>
          <w:szCs w:val="24"/>
        </w:rPr>
      </w:pPr>
    </w:p>
    <w:p w14:paraId="3FF347B2"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b/>
          <w:bCs/>
          <w:sz w:val="24"/>
          <w:szCs w:val="24"/>
        </w:rPr>
        <w:t xml:space="preserve">Salvedad sobre la cuenta proveedores por concepto de salud. </w:t>
      </w:r>
      <w:r w:rsidRPr="00366C61">
        <w:rPr>
          <w:rFonts w:ascii="Arial" w:hAnsi="Arial" w:cs="Arial"/>
          <w:sz w:val="24"/>
          <w:szCs w:val="24"/>
        </w:rPr>
        <w:t>Durante el proceso de auditoría de los estados financieros del Fondo, se identificaron deficiencias en el control interno relacionadas con la causación y el registro contable de los pasivos por concepto de salud, los cuales se contabilizan en el rubro 249090007 - Proveedores que suman un valor de $564.773.530.599 con contrapartida en la cuenta patrimonial 310506073 – "Contratos servicios médicos". Estas deficiencias en el control interno impiden obtener evidencia suficiente y adecuada para verificar, al 31 de diciembre de 2024, la integridad y exactitud de los saldos registrados en dichas cuentas.</w:t>
      </w:r>
    </w:p>
    <w:p w14:paraId="7312492F" w14:textId="77777777" w:rsidR="00E46C0A" w:rsidRPr="00366C61" w:rsidRDefault="00E46C0A" w:rsidP="0014585C">
      <w:pPr>
        <w:pStyle w:val="Textoindependiente"/>
        <w:ind w:right="-234"/>
        <w:jc w:val="both"/>
        <w:rPr>
          <w:rFonts w:ascii="Arial" w:hAnsi="Arial" w:cs="Arial"/>
          <w:sz w:val="24"/>
          <w:szCs w:val="24"/>
        </w:rPr>
      </w:pPr>
    </w:p>
    <w:p w14:paraId="1F8E81E5"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b/>
          <w:bCs/>
          <w:sz w:val="24"/>
          <w:szCs w:val="24"/>
        </w:rPr>
        <w:t xml:space="preserve">Párrafo de énfasis por patrimonio negativo. </w:t>
      </w:r>
      <w:r w:rsidRPr="00366C61">
        <w:rPr>
          <w:rFonts w:ascii="Arial" w:hAnsi="Arial" w:cs="Arial"/>
          <w:sz w:val="24"/>
          <w:szCs w:val="24"/>
        </w:rPr>
        <w:t>Sin modificar mi opinión, llamo la atención sobre la nota 27 Patrimonio donde la administración menciona que, al 31 de diciembre de 2024, el Fideicomiso PASIVOS PENSIONALES 6-3-12076 FONDO DE PRESTACIONES SOCIALES DEL MAGISTERIO tiene un patrimonio negativo por valor de $391.416 millones, ya que presenta pérdidas acumuladas de ejercicios anteriores.</w:t>
      </w:r>
    </w:p>
    <w:p w14:paraId="3919DE5F" w14:textId="77777777" w:rsidR="00E46C0A" w:rsidRPr="00366C61" w:rsidRDefault="00E46C0A" w:rsidP="0014585C">
      <w:pPr>
        <w:pStyle w:val="Textoindependiente"/>
        <w:ind w:right="-234"/>
        <w:jc w:val="both"/>
        <w:rPr>
          <w:rFonts w:ascii="Arial" w:hAnsi="Arial" w:cs="Arial"/>
          <w:sz w:val="24"/>
          <w:szCs w:val="24"/>
        </w:rPr>
      </w:pPr>
    </w:p>
    <w:p w14:paraId="3074B47C"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sz w:val="24"/>
          <w:szCs w:val="24"/>
        </w:rPr>
        <w:t xml:space="preserve">En la preparación de los estados financieros, la administración de FIDUCIARIA LA PREVISORA S.A., como sociedad administradora del FIDEICOMISO DE ADMINISTRACIÓN Y PAGOS PASIVOS PENSIONALES 6-3-12076 FONDO DE PRESTACIONES SOCIALES DEL MAGISTERIO es responsable de la evaluación de la capacidad del Negocio Fiduciario para </w:t>
      </w:r>
      <w:r w:rsidRPr="00366C61">
        <w:rPr>
          <w:rFonts w:ascii="Arial" w:hAnsi="Arial" w:cs="Arial"/>
          <w:sz w:val="24"/>
          <w:szCs w:val="24"/>
        </w:rPr>
        <w:lastRenderedPageBreak/>
        <w:t>continuar como negocio en marcha, revelando, según corresponda, los asuntos relacionados salvo que la administración se proponga liquidar el Negocio Fiduciario o cesar sus operaciones, o bien no exista otra alternativa más realista que hacerlo.</w:t>
      </w:r>
    </w:p>
    <w:p w14:paraId="083CC7F3" w14:textId="77777777" w:rsidR="00E46C0A" w:rsidRPr="00366C61" w:rsidRDefault="00E46C0A" w:rsidP="0014585C">
      <w:pPr>
        <w:pStyle w:val="Textoindependiente"/>
        <w:ind w:right="-234"/>
        <w:jc w:val="both"/>
        <w:rPr>
          <w:rFonts w:ascii="Arial" w:hAnsi="Arial" w:cs="Arial"/>
          <w:sz w:val="24"/>
          <w:szCs w:val="24"/>
        </w:rPr>
      </w:pPr>
    </w:p>
    <w:p w14:paraId="1ECF7305"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b/>
          <w:bCs/>
          <w:sz w:val="24"/>
          <w:szCs w:val="24"/>
        </w:rPr>
        <w:t xml:space="preserve">Párrafo de énfasis por nuevo modelo de salud. </w:t>
      </w:r>
      <w:r w:rsidRPr="00366C61">
        <w:rPr>
          <w:rFonts w:ascii="Arial" w:hAnsi="Arial" w:cs="Arial"/>
          <w:sz w:val="24"/>
          <w:szCs w:val="24"/>
        </w:rPr>
        <w:t>Sin modificar mi opinión, llamo la atención en la nota 1 sobre el hecho de que el Fondo implementó un nuevo modelo de salud el cual entró en vigor a partir del 01 de mayo de 2024 bajo el acuerdo 003 del 01 de abril de 2024 emitido por el Consejo Directivo del Fondo Nacional de Prestaciones Sociales del Magisterio el cual la fiduciaria ha implementado en lo corrido del año 2024. El inicio de nuevo modelo de salud, implicó un cambio de la forma de negocio.</w:t>
      </w:r>
    </w:p>
    <w:p w14:paraId="177C5412" w14:textId="77777777" w:rsidR="00E46C0A" w:rsidRPr="00366C61" w:rsidRDefault="00E46C0A" w:rsidP="0014585C">
      <w:pPr>
        <w:pStyle w:val="Textoindependiente"/>
        <w:ind w:right="-234"/>
        <w:jc w:val="both"/>
        <w:rPr>
          <w:rFonts w:ascii="Arial" w:hAnsi="Arial" w:cs="Arial"/>
          <w:sz w:val="24"/>
          <w:szCs w:val="24"/>
        </w:rPr>
      </w:pPr>
    </w:p>
    <w:p w14:paraId="17B1F46F"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b/>
          <w:bCs/>
          <w:sz w:val="24"/>
          <w:szCs w:val="24"/>
        </w:rPr>
        <w:t xml:space="preserve">Otros asuntos. </w:t>
      </w:r>
      <w:r w:rsidRPr="00366C61">
        <w:rPr>
          <w:rFonts w:ascii="Arial" w:hAnsi="Arial" w:cs="Arial"/>
          <w:sz w:val="24"/>
          <w:szCs w:val="24"/>
        </w:rPr>
        <w:t xml:space="preserve">Los estados financieros del Fideicomiso bajo el Marco Normativo Aplicable para Entidades de Gobierno, establecidas en la Resolución 533 de 2015 emitida por la Contaduría General de la Nación y sus modificaciones al 31 de diciembre de 2023, que se presentan para propósitos comparativos, fueron auditados por mí, y exprese una opinión </w:t>
      </w:r>
      <w:r w:rsidRPr="00366C61">
        <w:rPr>
          <w:rFonts w:ascii="Arial" w:hAnsi="Arial" w:cs="Arial"/>
          <w:b/>
          <w:bCs/>
          <w:sz w:val="24"/>
          <w:szCs w:val="24"/>
        </w:rPr>
        <w:t>con salvedad</w:t>
      </w:r>
      <w:r w:rsidRPr="00366C61">
        <w:rPr>
          <w:rFonts w:ascii="Arial" w:hAnsi="Arial" w:cs="Arial"/>
          <w:sz w:val="24"/>
          <w:szCs w:val="24"/>
        </w:rPr>
        <w:t xml:space="preserve"> sobre los mismos el 27 de febrero de 2024.</w:t>
      </w:r>
    </w:p>
    <w:p w14:paraId="20FAFB27" w14:textId="77777777" w:rsidR="00E46C0A" w:rsidRPr="00366C61" w:rsidRDefault="00E46C0A" w:rsidP="0014585C">
      <w:pPr>
        <w:pStyle w:val="Textoindependiente"/>
        <w:ind w:right="-234"/>
        <w:jc w:val="both"/>
        <w:rPr>
          <w:rFonts w:ascii="Arial" w:hAnsi="Arial" w:cs="Arial"/>
          <w:sz w:val="24"/>
          <w:szCs w:val="24"/>
        </w:rPr>
      </w:pPr>
    </w:p>
    <w:p w14:paraId="5781BCD1" w14:textId="77777777" w:rsidR="00E46C0A" w:rsidRPr="00366C61" w:rsidRDefault="00E46C0A" w:rsidP="0014585C">
      <w:pPr>
        <w:pStyle w:val="Textoindependiente"/>
        <w:ind w:right="-234"/>
        <w:jc w:val="both"/>
        <w:rPr>
          <w:rFonts w:ascii="Arial" w:hAnsi="Arial" w:cs="Arial"/>
          <w:sz w:val="24"/>
          <w:szCs w:val="24"/>
        </w:rPr>
      </w:pPr>
      <w:r w:rsidRPr="00366C61">
        <w:rPr>
          <w:rFonts w:ascii="Arial" w:hAnsi="Arial" w:cs="Arial"/>
          <w:b/>
          <w:bCs/>
          <w:sz w:val="24"/>
          <w:szCs w:val="24"/>
        </w:rPr>
        <w:t xml:space="preserve">Otros Requerimientos Legales y Reglamentarios. </w:t>
      </w:r>
      <w:r w:rsidRPr="00366C61">
        <w:rPr>
          <w:rFonts w:ascii="Arial" w:hAnsi="Arial" w:cs="Arial"/>
          <w:sz w:val="24"/>
          <w:szCs w:val="24"/>
        </w:rPr>
        <w:t>De acuerdo con mi evaluación sobre el sistema de control interno del Fondo, puedo concluir que existen deficiencias en el proceso de contratación de entidades prestadoras de salud de acuerdo con lo establecido en el manual de contratación ML-GNE-05-001 vigente para el Fondo”.</w:t>
      </w:r>
    </w:p>
    <w:p w14:paraId="273579DD" w14:textId="77777777" w:rsidR="00E46C0A" w:rsidRPr="00366C61" w:rsidRDefault="00E46C0A" w:rsidP="0014585C">
      <w:pPr>
        <w:ind w:right="-234"/>
        <w:rPr>
          <w:rFonts w:ascii="Arial" w:hAnsi="Arial" w:cs="Arial"/>
          <w:b/>
          <w:sz w:val="24"/>
          <w:szCs w:val="24"/>
          <w:lang w:val="es-MX"/>
        </w:rPr>
      </w:pPr>
    </w:p>
    <w:p w14:paraId="4990E841" w14:textId="77777777" w:rsidR="00E46C0A" w:rsidRPr="00481AAB" w:rsidRDefault="00E46C0A" w:rsidP="0014585C">
      <w:pPr>
        <w:ind w:right="-234"/>
        <w:jc w:val="both"/>
        <w:rPr>
          <w:rFonts w:ascii="Arial" w:hAnsi="Arial" w:cs="Arial"/>
          <w:b/>
          <w:sz w:val="28"/>
          <w:szCs w:val="28"/>
          <w:lang w:val="es-MX"/>
        </w:rPr>
      </w:pPr>
      <w:r w:rsidRPr="00481AAB">
        <w:rPr>
          <w:rFonts w:ascii="Arial" w:hAnsi="Arial" w:cs="Arial"/>
          <w:b/>
          <w:sz w:val="28"/>
          <w:szCs w:val="28"/>
          <w:lang w:val="es-MX"/>
        </w:rPr>
        <w:t xml:space="preserve">220.- PATRIMONIO AUTÓNOMO DE REMANENTES CORELCA S.A. E.S.P. EN LIQUIDACIÓN CONTRATO N° 3-1-40009 – FIDUAGRARIA S.A. </w:t>
      </w:r>
    </w:p>
    <w:p w14:paraId="572ADEB4" w14:textId="77777777" w:rsidR="00E46C0A" w:rsidRDefault="00E46C0A" w:rsidP="0014585C">
      <w:pPr>
        <w:ind w:right="-234"/>
        <w:rPr>
          <w:rFonts w:ascii="Arial" w:hAnsi="Arial" w:cs="Arial"/>
          <w:sz w:val="24"/>
          <w:szCs w:val="24"/>
        </w:rPr>
      </w:pPr>
    </w:p>
    <w:p w14:paraId="22AE781C" w14:textId="77777777" w:rsidR="00E46C0A" w:rsidRPr="000A7DC5" w:rsidRDefault="00E46C0A" w:rsidP="0014585C">
      <w:pPr>
        <w:pStyle w:val="Textoindependiente"/>
        <w:ind w:right="-234"/>
        <w:jc w:val="both"/>
        <w:rPr>
          <w:rFonts w:ascii="Arial" w:hAnsi="Arial" w:cs="Arial"/>
          <w:b/>
          <w:bCs/>
          <w:sz w:val="24"/>
          <w:szCs w:val="24"/>
        </w:rPr>
      </w:pPr>
      <w:r w:rsidRPr="000A7DC5">
        <w:rPr>
          <w:rFonts w:ascii="Arial" w:hAnsi="Arial" w:cs="Arial"/>
          <w:b/>
          <w:bCs/>
          <w:sz w:val="24"/>
          <w:szCs w:val="24"/>
        </w:rPr>
        <w:t xml:space="preserve">Fundamento de la Opinión con Salvedad. </w:t>
      </w:r>
    </w:p>
    <w:p w14:paraId="1A42800C" w14:textId="77777777" w:rsidR="00E46C0A" w:rsidRPr="000A7DC5" w:rsidRDefault="00E46C0A" w:rsidP="00E46C0A">
      <w:pPr>
        <w:pStyle w:val="Textoindependiente"/>
        <w:ind w:right="-50"/>
        <w:jc w:val="both"/>
        <w:rPr>
          <w:rFonts w:ascii="Arial" w:hAnsi="Arial" w:cs="Arial"/>
          <w:sz w:val="24"/>
          <w:szCs w:val="24"/>
        </w:rPr>
      </w:pPr>
    </w:p>
    <w:p w14:paraId="043716D8" w14:textId="77777777" w:rsidR="00E46C0A" w:rsidRPr="000A7DC5" w:rsidRDefault="00E46C0A" w:rsidP="0014585C">
      <w:pPr>
        <w:pStyle w:val="Textoindependiente"/>
        <w:ind w:right="-234"/>
        <w:jc w:val="both"/>
        <w:rPr>
          <w:rFonts w:ascii="Arial" w:hAnsi="Arial" w:cs="Arial"/>
          <w:sz w:val="24"/>
          <w:szCs w:val="24"/>
        </w:rPr>
      </w:pPr>
      <w:r w:rsidRPr="000A7DC5">
        <w:rPr>
          <w:rFonts w:ascii="Arial" w:hAnsi="Arial" w:cs="Arial"/>
          <w:sz w:val="24"/>
          <w:szCs w:val="24"/>
        </w:rPr>
        <w:t>Al 31 de diciembre de 2024, los estados financieros del Patrimonio Autónomo PAR CORELCA reflejan otros activos por valor de $6.496 millones (Nota 6), representados en 18 terrenos los cuales no presentan avalúos técnicos actualizados en 2024, de acuerdo con lo establecido en el capítulo XXIX de la Circular Básica Contable y Financiera de la Superintendencia Financiera de Colombia, aunque la Fiduciaria ha realizado la gestión correspondiente ante el fideicomitente, 4 de los inmuebles se encuentran en procesos jurídicos de pertenencia, impidiendo el acceso físico a estos. Por lo anterior no me fue posible cuantificar los efectos en los estados financieros que hubiesen resultado de haber realizado el avalúo técnico actualizado de su valor de realización en el mercado”.</w:t>
      </w:r>
    </w:p>
    <w:p w14:paraId="5073FEB6" w14:textId="77777777" w:rsidR="00E46C0A" w:rsidRDefault="00E46C0A" w:rsidP="00E46C0A">
      <w:pPr>
        <w:ind w:right="-93"/>
        <w:rPr>
          <w:rFonts w:ascii="Arial" w:hAnsi="Arial" w:cs="Arial"/>
          <w:sz w:val="24"/>
          <w:szCs w:val="24"/>
        </w:rPr>
      </w:pPr>
    </w:p>
    <w:p w14:paraId="0CFF6656" w14:textId="77777777" w:rsidR="00E46C0A" w:rsidRPr="00D047C5" w:rsidRDefault="00E46C0A" w:rsidP="0014585C">
      <w:pPr>
        <w:ind w:right="-234"/>
        <w:jc w:val="both"/>
        <w:rPr>
          <w:rFonts w:ascii="Arial" w:hAnsi="Arial" w:cs="Arial"/>
          <w:b/>
          <w:sz w:val="28"/>
          <w:szCs w:val="28"/>
          <w:lang w:val="es-MX"/>
        </w:rPr>
      </w:pPr>
      <w:r w:rsidRPr="00D047C5">
        <w:rPr>
          <w:rFonts w:ascii="Arial" w:hAnsi="Arial" w:cs="Arial"/>
          <w:b/>
          <w:sz w:val="28"/>
          <w:szCs w:val="28"/>
          <w:lang w:val="es-MX"/>
        </w:rPr>
        <w:t xml:space="preserve">222.- </w:t>
      </w:r>
      <w:r w:rsidRPr="00D047C5">
        <w:rPr>
          <w:rFonts w:ascii="Arial" w:hAnsi="Arial" w:cs="Arial"/>
          <w:b/>
          <w:sz w:val="28"/>
          <w:szCs w:val="28"/>
        </w:rPr>
        <w:t>CENTRAL DE ABASTOS DE CUCUTA S.A. – CENABASTOS EN LIQUIDACIÓN.</w:t>
      </w:r>
    </w:p>
    <w:p w14:paraId="3D059908" w14:textId="77777777" w:rsidR="00E46C0A" w:rsidRDefault="00E46C0A" w:rsidP="0014585C">
      <w:pPr>
        <w:ind w:right="-234"/>
        <w:rPr>
          <w:rFonts w:ascii="Arial" w:hAnsi="Arial" w:cs="Arial"/>
          <w:sz w:val="24"/>
          <w:szCs w:val="24"/>
        </w:rPr>
      </w:pPr>
    </w:p>
    <w:p w14:paraId="1ACC8CB1"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b/>
          <w:bCs/>
          <w:sz w:val="24"/>
          <w:szCs w:val="24"/>
        </w:rPr>
        <w:t>“Fundamento de la Opinión con Salvedades:</w:t>
      </w:r>
      <w:r w:rsidRPr="00D047C5">
        <w:rPr>
          <w:rFonts w:ascii="Arial" w:hAnsi="Arial" w:cs="Arial"/>
          <w:sz w:val="24"/>
          <w:szCs w:val="24"/>
        </w:rPr>
        <w:t xml:space="preserve"> He llevado a cabo mi auditoría de conformidad con Marco Normativo para las entidades que se encuentren bajo el ámbito del Régimen de Contabilidad Pública para las cuales exista un acto que ordene su supresión o disolución con fines de liquidación (Resolución No. 461 de 2017 y sus modificaciones de la Contaduría General de la Nación), Decreto Ley 254 de 2000, modificado por la Ley 1105 de 2006, por el cual se expide el régimen para la liquidación de las entidades públicas del orden nacional, mi responsabilidad, según dichas normas, se describen más adelante en la sección “Responsabilidades del revisor fiscal en relación con la auditoría de los estados financieros consolidados” de mi dictamen. </w:t>
      </w:r>
      <w:r w:rsidRPr="00D047C5">
        <w:rPr>
          <w:rFonts w:ascii="Arial" w:hAnsi="Arial" w:cs="Arial"/>
          <w:sz w:val="24"/>
          <w:szCs w:val="24"/>
        </w:rPr>
        <w:lastRenderedPageBreak/>
        <w:t>Considero que la evidencia de auditoría que he obtenido proporciona una base suficiente y adecuada para mi opinión con salvedades.</w:t>
      </w:r>
    </w:p>
    <w:p w14:paraId="343E3266" w14:textId="77777777" w:rsidR="00E46C0A" w:rsidRPr="00D047C5" w:rsidRDefault="00E46C0A" w:rsidP="0014585C">
      <w:pPr>
        <w:pStyle w:val="Textoindependiente"/>
        <w:ind w:right="-234"/>
        <w:jc w:val="both"/>
        <w:rPr>
          <w:rFonts w:ascii="Arial" w:hAnsi="Arial" w:cs="Arial"/>
          <w:sz w:val="24"/>
          <w:szCs w:val="24"/>
        </w:rPr>
      </w:pPr>
    </w:p>
    <w:p w14:paraId="51205390"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b/>
          <w:bCs/>
          <w:sz w:val="24"/>
          <w:szCs w:val="24"/>
        </w:rPr>
        <w:t>Cuentas Por Cobrar:</w:t>
      </w:r>
      <w:r w:rsidRPr="00D047C5">
        <w:rPr>
          <w:rFonts w:ascii="Arial" w:hAnsi="Arial" w:cs="Arial"/>
          <w:sz w:val="24"/>
          <w:szCs w:val="24"/>
        </w:rPr>
        <w:t xml:space="preserve"> Al 31 de diciembre de 2024 CENABASTOS S.A en Liquidación presenta un saldo en las cuentas por cobrar de $589.332.015,43, cifra que se encuentra en cobro de cartera correspondiente a la venta de bienes que comprende todas bodegas, locales y puestos construidos por la entidad, para su comercialización, así como los arrendamientos, acuerdos de pago y depósitos judiciales. </w:t>
      </w:r>
    </w:p>
    <w:p w14:paraId="6032935A" w14:textId="77777777" w:rsidR="00E46C0A" w:rsidRPr="00D047C5" w:rsidRDefault="00E46C0A" w:rsidP="0014585C">
      <w:pPr>
        <w:pStyle w:val="Textoindependiente"/>
        <w:ind w:right="-234"/>
        <w:jc w:val="both"/>
        <w:rPr>
          <w:rFonts w:ascii="Arial" w:hAnsi="Arial" w:cs="Arial"/>
          <w:sz w:val="24"/>
          <w:szCs w:val="24"/>
        </w:rPr>
      </w:pPr>
    </w:p>
    <w:p w14:paraId="0F4BCDF2"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b/>
          <w:bCs/>
          <w:sz w:val="24"/>
          <w:szCs w:val="24"/>
        </w:rPr>
        <w:t>Inventarios:</w:t>
      </w:r>
      <w:r w:rsidRPr="00D047C5">
        <w:rPr>
          <w:rFonts w:ascii="Arial" w:hAnsi="Arial" w:cs="Arial"/>
          <w:sz w:val="24"/>
          <w:szCs w:val="24"/>
        </w:rPr>
        <w:t xml:space="preserve"> Al 31 de diciembre de 2024 CENABASTOS S.A en Liquidación presenta un saldo en Inventarios de $6.753.082.000 cifra que comprende todas aquellas bodegas, locales y puestos construidos por la entidad, disponibles para su comercialización. </w:t>
      </w:r>
    </w:p>
    <w:p w14:paraId="6A28861E" w14:textId="77777777" w:rsidR="00E46C0A" w:rsidRPr="00D047C5" w:rsidRDefault="00E46C0A" w:rsidP="0014585C">
      <w:pPr>
        <w:pStyle w:val="Textoindependiente"/>
        <w:ind w:right="-234"/>
        <w:jc w:val="both"/>
        <w:rPr>
          <w:rFonts w:ascii="Arial" w:hAnsi="Arial" w:cs="Arial"/>
          <w:sz w:val="24"/>
          <w:szCs w:val="24"/>
        </w:rPr>
      </w:pPr>
    </w:p>
    <w:p w14:paraId="2FAE187F"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sz w:val="24"/>
          <w:szCs w:val="24"/>
        </w:rPr>
        <w:t xml:space="preserve">Los valores comerciales de Doscientos sesenta y tres (263) bienes inmuebles con un valor catastral de Tres Mil Noventa Y Seis Millones Noventa Mil Pesos M/cte. ($3.096.090.000), propiedad de CENABASTOS S.A. en Liquidación podrán ser objetos de modificación en razón a la solicitud de revisión y ajuste de avaluó catastral que se encuentra en trámite ante Catastro Multipropósito de la Alcaldía de San José de Cúcuta como consta en los comunicados Nº. 6416 del 27 de noviembre de 2023 y N°6595 de 11 de abril de 2024. </w:t>
      </w:r>
    </w:p>
    <w:p w14:paraId="44EE93AF" w14:textId="77777777" w:rsidR="00E46C0A" w:rsidRPr="00D047C5" w:rsidRDefault="00E46C0A" w:rsidP="0014585C">
      <w:pPr>
        <w:pStyle w:val="Textoindependiente"/>
        <w:ind w:right="-234"/>
        <w:jc w:val="both"/>
        <w:rPr>
          <w:rFonts w:ascii="Arial" w:hAnsi="Arial" w:cs="Arial"/>
          <w:sz w:val="24"/>
          <w:szCs w:val="24"/>
        </w:rPr>
      </w:pPr>
    </w:p>
    <w:p w14:paraId="0FA4685C"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b/>
          <w:bCs/>
          <w:sz w:val="24"/>
          <w:szCs w:val="24"/>
        </w:rPr>
        <w:t>Otros Activos Para Liquidar</w:t>
      </w:r>
      <w:r w:rsidRPr="00D047C5">
        <w:rPr>
          <w:rFonts w:ascii="Arial" w:hAnsi="Arial" w:cs="Arial"/>
          <w:sz w:val="24"/>
          <w:szCs w:val="24"/>
        </w:rPr>
        <w:t>: Al 31 de diciembre de 2024 CENABASTOS S.A en Liquidación presenta un saldo en otros activos para liquidar por $22.193.387,77 cifra que comprende saldos a cargo de las entidades gubernamentales, la Dian por concepto de anticipos de impuestos originados en las liquidaciones de declaraciones tributarias contribuciones, para ser solicitados en devoluciones o compensaciones con liquidaciones futuras, cifra que se encuentra en depuración contable dando cumplimiento a lo establecido en la Resolución No 006 (18 de abril de 2023).</w:t>
      </w:r>
    </w:p>
    <w:p w14:paraId="31444559" w14:textId="77777777" w:rsidR="00E46C0A" w:rsidRPr="00D047C5" w:rsidRDefault="00E46C0A" w:rsidP="0014585C">
      <w:pPr>
        <w:pStyle w:val="Textoindependiente"/>
        <w:ind w:right="-234"/>
        <w:jc w:val="both"/>
        <w:rPr>
          <w:rFonts w:ascii="Arial" w:hAnsi="Arial" w:cs="Arial"/>
          <w:sz w:val="24"/>
          <w:szCs w:val="24"/>
        </w:rPr>
      </w:pPr>
    </w:p>
    <w:p w14:paraId="23253C74"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b/>
          <w:bCs/>
          <w:sz w:val="24"/>
          <w:szCs w:val="24"/>
        </w:rPr>
        <w:t>Cuentas Por Pagar:</w:t>
      </w:r>
      <w:r w:rsidRPr="00D047C5">
        <w:rPr>
          <w:rFonts w:ascii="Arial" w:hAnsi="Arial" w:cs="Arial"/>
          <w:sz w:val="24"/>
          <w:szCs w:val="24"/>
        </w:rPr>
        <w:t xml:space="preserve"> Al 31 de diciembre de 2024 CENABASTOS S.A en Liquidación presenta un saldo en cuentas por pagar por $1.309.782.342.85, cifra que comprende Corresponden a las obligaciones contraídas por Cenabastos en liquidación, con los diferentes proveedores, contratistas, servicios e impuestos, para el desarrollo de sus actividades.</w:t>
      </w:r>
    </w:p>
    <w:p w14:paraId="668CEECD" w14:textId="77777777" w:rsidR="00E46C0A" w:rsidRPr="00D047C5" w:rsidRDefault="00E46C0A" w:rsidP="0014585C">
      <w:pPr>
        <w:pStyle w:val="Textoindependiente"/>
        <w:ind w:right="-234"/>
        <w:jc w:val="both"/>
        <w:rPr>
          <w:rFonts w:ascii="Arial" w:hAnsi="Arial" w:cs="Arial"/>
          <w:sz w:val="24"/>
          <w:szCs w:val="24"/>
        </w:rPr>
      </w:pPr>
    </w:p>
    <w:p w14:paraId="47B2254F"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b/>
          <w:bCs/>
          <w:sz w:val="24"/>
          <w:szCs w:val="24"/>
        </w:rPr>
        <w:t>Otros Pasivos Para Liquidar:</w:t>
      </w:r>
      <w:r w:rsidRPr="00D047C5">
        <w:rPr>
          <w:rFonts w:ascii="Arial" w:hAnsi="Arial" w:cs="Arial"/>
          <w:sz w:val="24"/>
          <w:szCs w:val="24"/>
        </w:rPr>
        <w:t xml:space="preserve"> Al 31 de diciembre de 2024 CENABASTOS S.A en Liquidación presenta un saldo en otros pasivos para liquidar por $6.587.741.754.4, cifra que comprende el saldo adeudado a terceros por concepto de las diferentes obligaciones contraídas por la entidad por concepto de bienes y servicios, así mismo se encuentra registrado las retenciones de los contratos de los contratistas y proveedores generados en el proceso liquidatario, y las acreencias reconocidas en el proceso liquidatario por valor de $6.275.440.806 correspondiente al 95,26% del total de la cuenta.</w:t>
      </w:r>
    </w:p>
    <w:p w14:paraId="184E24B0" w14:textId="77777777" w:rsidR="00E46C0A" w:rsidRPr="00D047C5" w:rsidRDefault="00E46C0A" w:rsidP="0014585C">
      <w:pPr>
        <w:pStyle w:val="Textoindependiente"/>
        <w:ind w:right="-234"/>
        <w:jc w:val="both"/>
        <w:rPr>
          <w:rFonts w:ascii="Arial" w:hAnsi="Arial" w:cs="Arial"/>
          <w:sz w:val="24"/>
          <w:szCs w:val="24"/>
        </w:rPr>
      </w:pPr>
    </w:p>
    <w:p w14:paraId="08E23760" w14:textId="77777777" w:rsidR="00E46C0A" w:rsidRPr="00D047C5" w:rsidRDefault="00E46C0A" w:rsidP="0014585C">
      <w:pPr>
        <w:pStyle w:val="Textoindependiente"/>
        <w:ind w:right="-234"/>
        <w:jc w:val="both"/>
        <w:rPr>
          <w:rFonts w:ascii="Arial" w:hAnsi="Arial" w:cs="Arial"/>
          <w:sz w:val="24"/>
          <w:szCs w:val="24"/>
        </w:rPr>
      </w:pPr>
      <w:r w:rsidRPr="00D047C5">
        <w:rPr>
          <w:rFonts w:ascii="Arial" w:hAnsi="Arial" w:cs="Arial"/>
          <w:sz w:val="24"/>
          <w:szCs w:val="24"/>
        </w:rPr>
        <w:t>En las cuentas por pagar - Otros pasivos para liquidar se encuentran pendientes de calificar $172.029.290,24 correspondiente al 2.61% de las cuentas por pagar y calificar acreencias los siguientes:</w:t>
      </w:r>
    </w:p>
    <w:p w14:paraId="697323A2" w14:textId="77777777" w:rsidR="00E46C0A" w:rsidRPr="00D047C5" w:rsidRDefault="00E46C0A" w:rsidP="00E46C0A">
      <w:pPr>
        <w:pStyle w:val="Textoindependiente"/>
        <w:ind w:right="-50"/>
        <w:jc w:val="both"/>
        <w:rPr>
          <w:rFonts w:ascii="Arial" w:hAnsi="Arial" w:cs="Arial"/>
          <w:sz w:val="24"/>
          <w:szCs w:val="24"/>
        </w:rPr>
      </w:pPr>
    </w:p>
    <w:p w14:paraId="012ADBD1" w14:textId="77777777" w:rsidR="00E46C0A" w:rsidRPr="00D047C5" w:rsidRDefault="00E46C0A" w:rsidP="00E95331">
      <w:pPr>
        <w:pStyle w:val="Textoindependiente"/>
        <w:ind w:left="708" w:right="-234"/>
        <w:jc w:val="both"/>
        <w:rPr>
          <w:rFonts w:ascii="Arial" w:hAnsi="Arial" w:cs="Arial"/>
          <w:sz w:val="24"/>
          <w:szCs w:val="24"/>
        </w:rPr>
      </w:pPr>
      <w:r w:rsidRPr="00D047C5">
        <w:rPr>
          <w:rFonts w:ascii="Arial" w:hAnsi="Arial" w:cs="Arial"/>
          <w:sz w:val="24"/>
          <w:szCs w:val="24"/>
        </w:rPr>
        <w:t xml:space="preserve">• No Masa 187 terceros por $50.569.133,03, valor que corresponde al 0.77% del total de las cuentas por pagar. </w:t>
      </w:r>
    </w:p>
    <w:p w14:paraId="643F8BDC" w14:textId="77777777" w:rsidR="00E46C0A" w:rsidRPr="00D047C5" w:rsidRDefault="00E46C0A" w:rsidP="00E95331">
      <w:pPr>
        <w:pStyle w:val="Textoindependiente"/>
        <w:ind w:left="708" w:right="-234"/>
        <w:jc w:val="both"/>
        <w:rPr>
          <w:rFonts w:ascii="Arial" w:hAnsi="Arial" w:cs="Arial"/>
          <w:sz w:val="24"/>
          <w:szCs w:val="24"/>
        </w:rPr>
      </w:pPr>
    </w:p>
    <w:p w14:paraId="74E553D5" w14:textId="77777777" w:rsidR="00E46C0A" w:rsidRPr="00D047C5" w:rsidRDefault="00E46C0A" w:rsidP="00E95331">
      <w:pPr>
        <w:pStyle w:val="Textoindependiente"/>
        <w:ind w:left="708" w:right="-234"/>
        <w:jc w:val="both"/>
        <w:rPr>
          <w:rFonts w:ascii="Arial" w:hAnsi="Arial" w:cs="Arial"/>
          <w:sz w:val="24"/>
          <w:szCs w:val="24"/>
        </w:rPr>
      </w:pPr>
      <w:r w:rsidRPr="00D047C5">
        <w:rPr>
          <w:rFonts w:ascii="Arial" w:hAnsi="Arial" w:cs="Arial"/>
          <w:sz w:val="24"/>
          <w:szCs w:val="24"/>
        </w:rPr>
        <w:lastRenderedPageBreak/>
        <w:t xml:space="preserve">• Pasivo Cierto No Reclamado 5 terceros por $68.689.634,00 valor que corresponde al 1.04% del total de las cuentas por pagar. </w:t>
      </w:r>
    </w:p>
    <w:p w14:paraId="1CCE00AD" w14:textId="77777777" w:rsidR="00E46C0A" w:rsidRPr="00D047C5" w:rsidRDefault="00E46C0A" w:rsidP="00E95331">
      <w:pPr>
        <w:pStyle w:val="Textoindependiente"/>
        <w:ind w:left="708" w:right="-234"/>
        <w:jc w:val="both"/>
        <w:rPr>
          <w:rFonts w:ascii="Arial" w:hAnsi="Arial" w:cs="Arial"/>
          <w:sz w:val="24"/>
          <w:szCs w:val="24"/>
        </w:rPr>
      </w:pPr>
    </w:p>
    <w:p w14:paraId="25FCAEB6" w14:textId="77777777" w:rsidR="00E46C0A" w:rsidRPr="00D047C5" w:rsidRDefault="00E46C0A" w:rsidP="00E95331">
      <w:pPr>
        <w:pStyle w:val="Textoindependiente"/>
        <w:ind w:left="708" w:right="-234"/>
        <w:jc w:val="both"/>
        <w:rPr>
          <w:rFonts w:ascii="Arial" w:hAnsi="Arial" w:cs="Arial"/>
          <w:sz w:val="24"/>
          <w:szCs w:val="24"/>
        </w:rPr>
      </w:pPr>
      <w:r w:rsidRPr="00D047C5">
        <w:rPr>
          <w:rFonts w:ascii="Arial" w:hAnsi="Arial" w:cs="Arial"/>
          <w:sz w:val="24"/>
          <w:szCs w:val="24"/>
        </w:rPr>
        <w:t>• Saldos Iniciales Pendientes Por Revisar 5 terceros por $52.770.523,21 valor que corresponde al 0.80% del total de las cuentas por pagar.</w:t>
      </w:r>
    </w:p>
    <w:p w14:paraId="69C748FE" w14:textId="77777777" w:rsidR="00E46C0A" w:rsidRPr="00D047C5" w:rsidRDefault="00E46C0A" w:rsidP="00E95331">
      <w:pPr>
        <w:pStyle w:val="Textoindependiente"/>
        <w:ind w:right="-234"/>
        <w:jc w:val="both"/>
        <w:rPr>
          <w:rFonts w:ascii="Arial" w:hAnsi="Arial" w:cs="Arial"/>
          <w:sz w:val="24"/>
          <w:szCs w:val="24"/>
        </w:rPr>
      </w:pPr>
    </w:p>
    <w:p w14:paraId="1D48200D" w14:textId="77777777" w:rsidR="00E46C0A" w:rsidRPr="00D047C5" w:rsidRDefault="00E46C0A" w:rsidP="00E95331">
      <w:pPr>
        <w:pStyle w:val="Textoindependiente"/>
        <w:ind w:right="-234"/>
        <w:jc w:val="both"/>
        <w:rPr>
          <w:rFonts w:ascii="Arial" w:hAnsi="Arial" w:cs="Arial"/>
          <w:sz w:val="24"/>
          <w:szCs w:val="24"/>
        </w:rPr>
      </w:pPr>
      <w:r w:rsidRPr="00D047C5">
        <w:rPr>
          <w:rFonts w:ascii="Arial" w:hAnsi="Arial" w:cs="Arial"/>
          <w:b/>
          <w:bCs/>
          <w:sz w:val="24"/>
          <w:szCs w:val="24"/>
        </w:rPr>
        <w:t>Cuentas De Orden – Deudoras:</w:t>
      </w:r>
      <w:r w:rsidRPr="00D047C5">
        <w:rPr>
          <w:rFonts w:ascii="Arial" w:hAnsi="Arial" w:cs="Arial"/>
          <w:sz w:val="24"/>
          <w:szCs w:val="24"/>
        </w:rPr>
        <w:t xml:space="preserve"> Al 31 de diciembre de 2024 CENABASTOS S.A en Liquidación presenta un saldo en deudoras de control por $941.422.187,5. cuenta de orden por concepto de procesos vigentes para registro de provisiones y contingencias de procesos civiles y administrativos a favor.</w:t>
      </w:r>
    </w:p>
    <w:p w14:paraId="73025C26" w14:textId="77777777" w:rsidR="00E46C0A" w:rsidRPr="00D047C5" w:rsidRDefault="00E46C0A" w:rsidP="00E46C0A">
      <w:pPr>
        <w:pStyle w:val="Textoindependiente"/>
        <w:ind w:right="-50"/>
        <w:jc w:val="both"/>
        <w:rPr>
          <w:rFonts w:ascii="Arial" w:hAnsi="Arial" w:cs="Arial"/>
          <w:sz w:val="24"/>
          <w:szCs w:val="24"/>
        </w:rPr>
      </w:pPr>
    </w:p>
    <w:p w14:paraId="3C961E4F" w14:textId="77777777" w:rsidR="00E46C0A" w:rsidRPr="00D047C5" w:rsidRDefault="00E46C0A" w:rsidP="00E95331">
      <w:pPr>
        <w:pStyle w:val="Textoindependiente"/>
        <w:ind w:right="-234"/>
        <w:jc w:val="both"/>
        <w:rPr>
          <w:rFonts w:ascii="Arial" w:hAnsi="Arial" w:cs="Arial"/>
          <w:sz w:val="24"/>
          <w:szCs w:val="24"/>
        </w:rPr>
      </w:pPr>
      <w:r w:rsidRPr="00D047C5">
        <w:rPr>
          <w:rFonts w:ascii="Arial" w:hAnsi="Arial" w:cs="Arial"/>
          <w:b/>
          <w:bCs/>
          <w:sz w:val="24"/>
          <w:szCs w:val="24"/>
        </w:rPr>
        <w:t>Acreedoras:</w:t>
      </w:r>
      <w:r w:rsidRPr="00D047C5">
        <w:rPr>
          <w:rFonts w:ascii="Arial" w:hAnsi="Arial" w:cs="Arial"/>
          <w:sz w:val="24"/>
          <w:szCs w:val="24"/>
        </w:rPr>
        <w:t xml:space="preserve"> Al 31 de diciembre de 2024 CENABASTOS S.A en Liquidación presenta un saldo en cuentas de orden acreedoras por $13.534.824.975,5. en esta cuenta se encuentran registradas responsabilidades de procesos civiles y laborales en contra de Cenabastos S.A. en liquidación, Bienes recibidos en custodia y cuotas de condominio de locales no escriturados”.</w:t>
      </w:r>
    </w:p>
    <w:p w14:paraId="661583F4" w14:textId="77777777" w:rsidR="00E46C0A" w:rsidRPr="00D047C5" w:rsidRDefault="00E46C0A" w:rsidP="00E46C0A">
      <w:pPr>
        <w:pStyle w:val="Textoindependiente"/>
        <w:ind w:right="-50"/>
        <w:jc w:val="both"/>
        <w:rPr>
          <w:rFonts w:ascii="Arial" w:hAnsi="Arial" w:cs="Arial"/>
          <w:b/>
          <w:bCs/>
          <w:sz w:val="24"/>
          <w:szCs w:val="24"/>
        </w:rPr>
      </w:pPr>
    </w:p>
    <w:p w14:paraId="62741DE0" w14:textId="77777777" w:rsidR="00E46C0A" w:rsidRPr="009F0E22" w:rsidRDefault="00E46C0A" w:rsidP="00E95331">
      <w:pPr>
        <w:ind w:right="-234"/>
        <w:jc w:val="both"/>
        <w:rPr>
          <w:rFonts w:ascii="Arial" w:hAnsi="Arial" w:cs="Arial"/>
          <w:b/>
          <w:sz w:val="28"/>
          <w:szCs w:val="28"/>
          <w:lang w:val="es-MX"/>
        </w:rPr>
      </w:pPr>
      <w:r w:rsidRPr="009F0E22">
        <w:rPr>
          <w:rFonts w:ascii="Arial" w:hAnsi="Arial" w:cs="Arial"/>
          <w:b/>
          <w:sz w:val="28"/>
          <w:szCs w:val="28"/>
          <w:lang w:val="es-MX"/>
        </w:rPr>
        <w:t>225.- CONSEJO PROFESIONAL DE INGENIERIA QUÍMICA DE COLOMBIA – CPIQ.</w:t>
      </w:r>
    </w:p>
    <w:p w14:paraId="1BAB0C58" w14:textId="77777777" w:rsidR="00E46C0A" w:rsidRDefault="00E46C0A" w:rsidP="00E46C0A">
      <w:pPr>
        <w:ind w:right="-93"/>
        <w:rPr>
          <w:rFonts w:ascii="Arial" w:hAnsi="Arial" w:cs="Arial"/>
          <w:sz w:val="24"/>
          <w:szCs w:val="24"/>
          <w:lang w:val="es-MX"/>
        </w:rPr>
      </w:pPr>
    </w:p>
    <w:p w14:paraId="0C054A03" w14:textId="77777777" w:rsidR="00E46C0A" w:rsidRPr="009F0E22" w:rsidRDefault="00E46C0A" w:rsidP="00E46C0A">
      <w:pPr>
        <w:pStyle w:val="Textoindependiente"/>
        <w:ind w:right="-50"/>
        <w:jc w:val="both"/>
        <w:rPr>
          <w:rFonts w:ascii="Arial" w:hAnsi="Arial" w:cs="Arial"/>
          <w:sz w:val="24"/>
          <w:szCs w:val="24"/>
        </w:rPr>
      </w:pPr>
      <w:r w:rsidRPr="009F0E22">
        <w:rPr>
          <w:rFonts w:ascii="Arial" w:hAnsi="Arial" w:cs="Arial"/>
          <w:b/>
          <w:bCs/>
          <w:sz w:val="24"/>
          <w:szCs w:val="24"/>
        </w:rPr>
        <w:t xml:space="preserve">“Párrafo de Énfasis: </w:t>
      </w:r>
      <w:r w:rsidRPr="009F0E22">
        <w:rPr>
          <w:rFonts w:ascii="Arial" w:hAnsi="Arial" w:cs="Arial"/>
          <w:sz w:val="24"/>
          <w:szCs w:val="24"/>
        </w:rPr>
        <w:t>Llamamos</w:t>
      </w:r>
      <w:r w:rsidRPr="009F0E22">
        <w:rPr>
          <w:rFonts w:ascii="Arial" w:hAnsi="Arial" w:cs="Arial"/>
          <w:spacing w:val="-2"/>
          <w:sz w:val="24"/>
          <w:szCs w:val="24"/>
        </w:rPr>
        <w:t xml:space="preserve"> </w:t>
      </w:r>
      <w:r w:rsidRPr="009F0E22">
        <w:rPr>
          <w:rFonts w:ascii="Arial" w:hAnsi="Arial" w:cs="Arial"/>
          <w:sz w:val="24"/>
          <w:szCs w:val="24"/>
        </w:rPr>
        <w:t>la</w:t>
      </w:r>
      <w:r w:rsidRPr="009F0E22">
        <w:rPr>
          <w:rFonts w:ascii="Arial" w:hAnsi="Arial" w:cs="Arial"/>
          <w:spacing w:val="-1"/>
          <w:sz w:val="24"/>
          <w:szCs w:val="24"/>
        </w:rPr>
        <w:t xml:space="preserve"> </w:t>
      </w:r>
      <w:r w:rsidRPr="009F0E22">
        <w:rPr>
          <w:rFonts w:ascii="Arial" w:hAnsi="Arial" w:cs="Arial"/>
          <w:sz w:val="24"/>
          <w:szCs w:val="24"/>
        </w:rPr>
        <w:t>atención</w:t>
      </w:r>
      <w:r w:rsidRPr="009F0E22">
        <w:rPr>
          <w:rFonts w:ascii="Arial" w:hAnsi="Arial" w:cs="Arial"/>
          <w:spacing w:val="-3"/>
          <w:sz w:val="24"/>
          <w:szCs w:val="24"/>
        </w:rPr>
        <w:t xml:space="preserve"> </w:t>
      </w:r>
      <w:r w:rsidRPr="009F0E22">
        <w:rPr>
          <w:rFonts w:ascii="Arial" w:hAnsi="Arial" w:cs="Arial"/>
          <w:sz w:val="24"/>
          <w:szCs w:val="24"/>
        </w:rPr>
        <w:t>sobre</w:t>
      </w:r>
      <w:r w:rsidRPr="009F0E22">
        <w:rPr>
          <w:rFonts w:ascii="Arial" w:hAnsi="Arial" w:cs="Arial"/>
          <w:spacing w:val="1"/>
          <w:sz w:val="24"/>
          <w:szCs w:val="24"/>
        </w:rPr>
        <w:t xml:space="preserve"> </w:t>
      </w:r>
      <w:r w:rsidRPr="009F0E22">
        <w:rPr>
          <w:rFonts w:ascii="Arial" w:hAnsi="Arial" w:cs="Arial"/>
          <w:sz w:val="24"/>
          <w:szCs w:val="24"/>
        </w:rPr>
        <w:t>el</w:t>
      </w:r>
      <w:r w:rsidRPr="009F0E22">
        <w:rPr>
          <w:rFonts w:ascii="Arial" w:hAnsi="Arial" w:cs="Arial"/>
          <w:spacing w:val="-2"/>
          <w:sz w:val="24"/>
          <w:szCs w:val="24"/>
        </w:rPr>
        <w:t xml:space="preserve"> </w:t>
      </w:r>
      <w:r w:rsidRPr="009F0E22">
        <w:rPr>
          <w:rFonts w:ascii="Arial" w:hAnsi="Arial" w:cs="Arial"/>
          <w:sz w:val="24"/>
          <w:szCs w:val="24"/>
        </w:rPr>
        <w:t>siguiente</w:t>
      </w:r>
      <w:r w:rsidRPr="009F0E22">
        <w:rPr>
          <w:rFonts w:ascii="Arial" w:hAnsi="Arial" w:cs="Arial"/>
          <w:spacing w:val="-2"/>
          <w:sz w:val="24"/>
          <w:szCs w:val="24"/>
        </w:rPr>
        <w:t xml:space="preserve"> aspecto:</w:t>
      </w:r>
    </w:p>
    <w:p w14:paraId="41F517DA" w14:textId="77777777" w:rsidR="00E46C0A" w:rsidRPr="009F0E22" w:rsidRDefault="00E46C0A" w:rsidP="00E46C0A">
      <w:pPr>
        <w:pStyle w:val="Textoindependiente"/>
        <w:ind w:right="-50"/>
        <w:jc w:val="both"/>
        <w:rPr>
          <w:rFonts w:ascii="Arial" w:hAnsi="Arial" w:cs="Arial"/>
          <w:sz w:val="24"/>
          <w:szCs w:val="24"/>
        </w:rPr>
      </w:pPr>
    </w:p>
    <w:p w14:paraId="72A0D9F6" w14:textId="77777777" w:rsidR="00E46C0A" w:rsidRPr="009F0E22" w:rsidRDefault="00E46C0A" w:rsidP="00E95331">
      <w:pPr>
        <w:pStyle w:val="Prrafodelista"/>
        <w:numPr>
          <w:ilvl w:val="0"/>
          <w:numId w:val="99"/>
        </w:numPr>
        <w:tabs>
          <w:tab w:val="left" w:pos="812"/>
        </w:tabs>
        <w:ind w:right="-234"/>
        <w:jc w:val="both"/>
        <w:rPr>
          <w:rFonts w:ascii="Arial" w:hAnsi="Arial" w:cs="Arial"/>
          <w:sz w:val="24"/>
          <w:szCs w:val="24"/>
        </w:rPr>
      </w:pPr>
      <w:r w:rsidRPr="009F0E22">
        <w:rPr>
          <w:rFonts w:ascii="Arial" w:hAnsi="Arial" w:cs="Arial"/>
          <w:sz w:val="24"/>
          <w:szCs w:val="24"/>
        </w:rPr>
        <w:t>Es de suma relevancia continuar con el seguimiento exhaustivo de los activos totalmente depreciados, con el propósito de evaluar su estado físico, su utilización actual y su viabilidad dentro de las operaciones de la entidad. Este análisis permite determinar si dichos activos continúan generando valor o, en su defecto, si es necesario proceder a su baja o reemplazo. Tal evaluación</w:t>
      </w:r>
      <w:r w:rsidRPr="009F0E22">
        <w:rPr>
          <w:rFonts w:ascii="Arial" w:hAnsi="Arial" w:cs="Arial"/>
          <w:spacing w:val="-3"/>
          <w:sz w:val="24"/>
          <w:szCs w:val="24"/>
        </w:rPr>
        <w:t xml:space="preserve"> </w:t>
      </w:r>
      <w:r w:rsidRPr="009F0E22">
        <w:rPr>
          <w:rFonts w:ascii="Arial" w:hAnsi="Arial" w:cs="Arial"/>
          <w:sz w:val="24"/>
          <w:szCs w:val="24"/>
        </w:rPr>
        <w:t>es</w:t>
      </w:r>
      <w:r w:rsidRPr="009F0E22">
        <w:rPr>
          <w:rFonts w:ascii="Arial" w:hAnsi="Arial" w:cs="Arial"/>
          <w:spacing w:val="-2"/>
          <w:sz w:val="24"/>
          <w:szCs w:val="24"/>
        </w:rPr>
        <w:t xml:space="preserve"> </w:t>
      </w:r>
      <w:r w:rsidRPr="009F0E22">
        <w:rPr>
          <w:rFonts w:ascii="Arial" w:hAnsi="Arial" w:cs="Arial"/>
          <w:sz w:val="24"/>
          <w:szCs w:val="24"/>
        </w:rPr>
        <w:t>crítica</w:t>
      </w:r>
      <w:r w:rsidRPr="009F0E22">
        <w:rPr>
          <w:rFonts w:ascii="Arial" w:hAnsi="Arial" w:cs="Arial"/>
          <w:spacing w:val="-2"/>
          <w:sz w:val="24"/>
          <w:szCs w:val="24"/>
        </w:rPr>
        <w:t xml:space="preserve"> </w:t>
      </w:r>
      <w:r w:rsidRPr="009F0E22">
        <w:rPr>
          <w:rFonts w:ascii="Arial" w:hAnsi="Arial" w:cs="Arial"/>
          <w:sz w:val="24"/>
          <w:szCs w:val="24"/>
        </w:rPr>
        <w:t>para</w:t>
      </w:r>
      <w:r w:rsidRPr="009F0E22">
        <w:rPr>
          <w:rFonts w:ascii="Arial" w:hAnsi="Arial" w:cs="Arial"/>
          <w:spacing w:val="-2"/>
          <w:sz w:val="24"/>
          <w:szCs w:val="24"/>
        </w:rPr>
        <w:t xml:space="preserve"> </w:t>
      </w:r>
      <w:r w:rsidRPr="009F0E22">
        <w:rPr>
          <w:rFonts w:ascii="Arial" w:hAnsi="Arial" w:cs="Arial"/>
          <w:sz w:val="24"/>
          <w:szCs w:val="24"/>
        </w:rPr>
        <w:t>asegurar</w:t>
      </w:r>
      <w:r w:rsidRPr="009F0E22">
        <w:rPr>
          <w:rFonts w:ascii="Arial" w:hAnsi="Arial" w:cs="Arial"/>
          <w:spacing w:val="-2"/>
          <w:sz w:val="24"/>
          <w:szCs w:val="24"/>
        </w:rPr>
        <w:t xml:space="preserve"> </w:t>
      </w:r>
      <w:r w:rsidRPr="009F0E22">
        <w:rPr>
          <w:rFonts w:ascii="Arial" w:hAnsi="Arial" w:cs="Arial"/>
          <w:sz w:val="24"/>
          <w:szCs w:val="24"/>
        </w:rPr>
        <w:t>que</w:t>
      </w:r>
      <w:r w:rsidRPr="009F0E22">
        <w:rPr>
          <w:rFonts w:ascii="Arial" w:hAnsi="Arial" w:cs="Arial"/>
          <w:spacing w:val="-2"/>
          <w:sz w:val="24"/>
          <w:szCs w:val="24"/>
        </w:rPr>
        <w:t xml:space="preserve"> </w:t>
      </w:r>
      <w:r w:rsidRPr="009F0E22">
        <w:rPr>
          <w:rFonts w:ascii="Arial" w:hAnsi="Arial" w:cs="Arial"/>
          <w:sz w:val="24"/>
          <w:szCs w:val="24"/>
        </w:rPr>
        <w:t>la</w:t>
      </w:r>
      <w:r w:rsidRPr="009F0E22">
        <w:rPr>
          <w:rFonts w:ascii="Arial" w:hAnsi="Arial" w:cs="Arial"/>
          <w:spacing w:val="-4"/>
          <w:sz w:val="24"/>
          <w:szCs w:val="24"/>
        </w:rPr>
        <w:t xml:space="preserve"> </w:t>
      </w:r>
      <w:r w:rsidRPr="009F0E22">
        <w:rPr>
          <w:rFonts w:ascii="Arial" w:hAnsi="Arial" w:cs="Arial"/>
          <w:sz w:val="24"/>
          <w:szCs w:val="24"/>
        </w:rPr>
        <w:t>información</w:t>
      </w:r>
      <w:r w:rsidRPr="009F0E22">
        <w:rPr>
          <w:rFonts w:ascii="Arial" w:hAnsi="Arial" w:cs="Arial"/>
          <w:spacing w:val="-3"/>
          <w:sz w:val="24"/>
          <w:szCs w:val="24"/>
        </w:rPr>
        <w:t xml:space="preserve"> </w:t>
      </w:r>
      <w:r w:rsidRPr="009F0E22">
        <w:rPr>
          <w:rFonts w:ascii="Arial" w:hAnsi="Arial" w:cs="Arial"/>
          <w:sz w:val="24"/>
          <w:szCs w:val="24"/>
        </w:rPr>
        <w:t>financiera</w:t>
      </w:r>
      <w:r w:rsidRPr="009F0E22">
        <w:rPr>
          <w:rFonts w:ascii="Arial" w:hAnsi="Arial" w:cs="Arial"/>
          <w:spacing w:val="-2"/>
          <w:sz w:val="24"/>
          <w:szCs w:val="24"/>
        </w:rPr>
        <w:t xml:space="preserve"> </w:t>
      </w:r>
      <w:r w:rsidRPr="009F0E22">
        <w:rPr>
          <w:rFonts w:ascii="Arial" w:hAnsi="Arial" w:cs="Arial"/>
          <w:sz w:val="24"/>
          <w:szCs w:val="24"/>
        </w:rPr>
        <w:t>represente</w:t>
      </w:r>
      <w:r w:rsidRPr="009F0E22">
        <w:rPr>
          <w:rFonts w:ascii="Arial" w:hAnsi="Arial" w:cs="Arial"/>
          <w:spacing w:val="-2"/>
          <w:sz w:val="24"/>
          <w:szCs w:val="24"/>
        </w:rPr>
        <w:t xml:space="preserve"> </w:t>
      </w:r>
      <w:r w:rsidRPr="009F0E22">
        <w:rPr>
          <w:rFonts w:ascii="Arial" w:hAnsi="Arial" w:cs="Arial"/>
          <w:sz w:val="24"/>
          <w:szCs w:val="24"/>
        </w:rPr>
        <w:t>de</w:t>
      </w:r>
      <w:r w:rsidRPr="009F0E22">
        <w:rPr>
          <w:rFonts w:ascii="Arial" w:hAnsi="Arial" w:cs="Arial"/>
          <w:spacing w:val="-2"/>
          <w:sz w:val="24"/>
          <w:szCs w:val="24"/>
        </w:rPr>
        <w:t xml:space="preserve"> </w:t>
      </w:r>
      <w:r w:rsidRPr="009F0E22">
        <w:rPr>
          <w:rFonts w:ascii="Arial" w:hAnsi="Arial" w:cs="Arial"/>
          <w:sz w:val="24"/>
          <w:szCs w:val="24"/>
        </w:rPr>
        <w:t>manera</w:t>
      </w:r>
      <w:r w:rsidRPr="009F0E22">
        <w:rPr>
          <w:rFonts w:ascii="Arial" w:hAnsi="Arial" w:cs="Arial"/>
          <w:spacing w:val="-2"/>
          <w:sz w:val="24"/>
          <w:szCs w:val="24"/>
        </w:rPr>
        <w:t xml:space="preserve"> </w:t>
      </w:r>
      <w:r w:rsidRPr="009F0E22">
        <w:rPr>
          <w:rFonts w:ascii="Arial" w:hAnsi="Arial" w:cs="Arial"/>
          <w:sz w:val="24"/>
          <w:szCs w:val="24"/>
        </w:rPr>
        <w:t>precisa</w:t>
      </w:r>
      <w:r w:rsidRPr="009F0E22">
        <w:rPr>
          <w:rFonts w:ascii="Arial" w:hAnsi="Arial" w:cs="Arial"/>
          <w:spacing w:val="-2"/>
          <w:sz w:val="24"/>
          <w:szCs w:val="24"/>
        </w:rPr>
        <w:t xml:space="preserve"> </w:t>
      </w:r>
      <w:r w:rsidRPr="009F0E22">
        <w:rPr>
          <w:rFonts w:ascii="Arial" w:hAnsi="Arial" w:cs="Arial"/>
          <w:sz w:val="24"/>
          <w:szCs w:val="24"/>
        </w:rPr>
        <w:t>y transparente la realidad operativa y patrimonial de la entidad. Además, esta información es esencial para respaldar la toma de decisiones estratégicas en relación con la gestión de recursos y la sostenibilidad operativa, contribuyendo así a la optimización del rendimiento y la</w:t>
      </w:r>
      <w:r w:rsidRPr="009F0E22">
        <w:rPr>
          <w:rFonts w:ascii="Arial" w:hAnsi="Arial" w:cs="Arial"/>
          <w:spacing w:val="80"/>
          <w:sz w:val="24"/>
          <w:szCs w:val="24"/>
        </w:rPr>
        <w:t xml:space="preserve"> </w:t>
      </w:r>
      <w:r w:rsidRPr="009F0E22">
        <w:rPr>
          <w:rFonts w:ascii="Arial" w:hAnsi="Arial" w:cs="Arial"/>
          <w:sz w:val="24"/>
          <w:szCs w:val="24"/>
        </w:rPr>
        <w:t>eficiencia organizacional.</w:t>
      </w:r>
    </w:p>
    <w:p w14:paraId="1FD6B56B" w14:textId="77777777" w:rsidR="00E46C0A" w:rsidRPr="009F0E22" w:rsidRDefault="00E46C0A" w:rsidP="00E95331">
      <w:pPr>
        <w:pStyle w:val="Textoindependiente"/>
        <w:ind w:right="-234"/>
        <w:rPr>
          <w:rFonts w:ascii="Arial" w:hAnsi="Arial" w:cs="Arial"/>
          <w:sz w:val="24"/>
          <w:szCs w:val="24"/>
        </w:rPr>
      </w:pPr>
    </w:p>
    <w:p w14:paraId="0AFA97E0" w14:textId="77777777" w:rsidR="00E46C0A" w:rsidRPr="009F0E22" w:rsidRDefault="00E46C0A" w:rsidP="00E95331">
      <w:pPr>
        <w:pStyle w:val="Prrafodelista"/>
        <w:numPr>
          <w:ilvl w:val="0"/>
          <w:numId w:val="99"/>
        </w:numPr>
        <w:tabs>
          <w:tab w:val="left" w:pos="812"/>
        </w:tabs>
        <w:ind w:right="-234"/>
        <w:jc w:val="both"/>
        <w:rPr>
          <w:rFonts w:ascii="Arial" w:hAnsi="Arial" w:cs="Arial"/>
          <w:sz w:val="24"/>
          <w:szCs w:val="24"/>
        </w:rPr>
      </w:pPr>
      <w:r w:rsidRPr="009F0E22">
        <w:rPr>
          <w:rFonts w:ascii="Arial" w:hAnsi="Arial" w:cs="Arial"/>
          <w:sz w:val="24"/>
          <w:szCs w:val="24"/>
        </w:rPr>
        <w:t>En cumplimiento de lo establecido en la Resolución Número 438 del 05 de diciembre de 2024, se informa que las modificaciones a las Normas para el Reconocimiento, Medición, Revelación y Presentación de los Hechos Económicos del Marco Normativo para Entidades de Gobierno, entrarán</w:t>
      </w:r>
      <w:r w:rsidRPr="009F0E22">
        <w:rPr>
          <w:rFonts w:ascii="Arial" w:hAnsi="Arial" w:cs="Arial"/>
          <w:spacing w:val="-6"/>
          <w:sz w:val="24"/>
          <w:szCs w:val="24"/>
        </w:rPr>
        <w:t xml:space="preserve"> </w:t>
      </w:r>
      <w:r w:rsidRPr="009F0E22">
        <w:rPr>
          <w:rFonts w:ascii="Arial" w:hAnsi="Arial" w:cs="Arial"/>
          <w:sz w:val="24"/>
          <w:szCs w:val="24"/>
        </w:rPr>
        <w:t>en</w:t>
      </w:r>
      <w:r w:rsidRPr="009F0E22">
        <w:rPr>
          <w:rFonts w:ascii="Arial" w:hAnsi="Arial" w:cs="Arial"/>
          <w:spacing w:val="-8"/>
          <w:sz w:val="24"/>
          <w:szCs w:val="24"/>
        </w:rPr>
        <w:t xml:space="preserve"> </w:t>
      </w:r>
      <w:r w:rsidRPr="009F0E22">
        <w:rPr>
          <w:rFonts w:ascii="Arial" w:hAnsi="Arial" w:cs="Arial"/>
          <w:sz w:val="24"/>
          <w:szCs w:val="24"/>
        </w:rPr>
        <w:t>vigor</w:t>
      </w:r>
      <w:r w:rsidRPr="009F0E22">
        <w:rPr>
          <w:rFonts w:ascii="Arial" w:hAnsi="Arial" w:cs="Arial"/>
          <w:spacing w:val="-6"/>
          <w:sz w:val="24"/>
          <w:szCs w:val="24"/>
        </w:rPr>
        <w:t xml:space="preserve"> </w:t>
      </w:r>
      <w:r w:rsidRPr="009F0E22">
        <w:rPr>
          <w:rFonts w:ascii="Arial" w:hAnsi="Arial" w:cs="Arial"/>
          <w:sz w:val="24"/>
          <w:szCs w:val="24"/>
        </w:rPr>
        <w:t>de</w:t>
      </w:r>
      <w:r w:rsidRPr="009F0E22">
        <w:rPr>
          <w:rFonts w:ascii="Arial" w:hAnsi="Arial" w:cs="Arial"/>
          <w:spacing w:val="-8"/>
          <w:sz w:val="24"/>
          <w:szCs w:val="24"/>
        </w:rPr>
        <w:t xml:space="preserve"> </w:t>
      </w:r>
      <w:r w:rsidRPr="009F0E22">
        <w:rPr>
          <w:rFonts w:ascii="Arial" w:hAnsi="Arial" w:cs="Arial"/>
          <w:sz w:val="24"/>
          <w:szCs w:val="24"/>
        </w:rPr>
        <w:t>manera</w:t>
      </w:r>
      <w:r w:rsidRPr="009F0E22">
        <w:rPr>
          <w:rFonts w:ascii="Arial" w:hAnsi="Arial" w:cs="Arial"/>
          <w:spacing w:val="-6"/>
          <w:sz w:val="24"/>
          <w:szCs w:val="24"/>
        </w:rPr>
        <w:t xml:space="preserve"> </w:t>
      </w:r>
      <w:r w:rsidRPr="009F0E22">
        <w:rPr>
          <w:rFonts w:ascii="Arial" w:hAnsi="Arial" w:cs="Arial"/>
          <w:sz w:val="24"/>
          <w:szCs w:val="24"/>
        </w:rPr>
        <w:t>prospectiva</w:t>
      </w:r>
      <w:r w:rsidRPr="009F0E22">
        <w:rPr>
          <w:rFonts w:ascii="Arial" w:hAnsi="Arial" w:cs="Arial"/>
          <w:spacing w:val="-8"/>
          <w:sz w:val="24"/>
          <w:szCs w:val="24"/>
        </w:rPr>
        <w:t xml:space="preserve"> </w:t>
      </w:r>
      <w:r w:rsidRPr="009F0E22">
        <w:rPr>
          <w:rFonts w:ascii="Arial" w:hAnsi="Arial" w:cs="Arial"/>
          <w:sz w:val="24"/>
          <w:szCs w:val="24"/>
        </w:rPr>
        <w:t>a</w:t>
      </w:r>
      <w:r w:rsidRPr="009F0E22">
        <w:rPr>
          <w:rFonts w:ascii="Arial" w:hAnsi="Arial" w:cs="Arial"/>
          <w:spacing w:val="-8"/>
          <w:sz w:val="24"/>
          <w:szCs w:val="24"/>
        </w:rPr>
        <w:t xml:space="preserve"> </w:t>
      </w:r>
      <w:r w:rsidRPr="009F0E22">
        <w:rPr>
          <w:rFonts w:ascii="Arial" w:hAnsi="Arial" w:cs="Arial"/>
          <w:sz w:val="24"/>
          <w:szCs w:val="24"/>
        </w:rPr>
        <w:t>partir</w:t>
      </w:r>
      <w:r w:rsidRPr="009F0E22">
        <w:rPr>
          <w:rFonts w:ascii="Arial" w:hAnsi="Arial" w:cs="Arial"/>
          <w:spacing w:val="-8"/>
          <w:sz w:val="24"/>
          <w:szCs w:val="24"/>
        </w:rPr>
        <w:t xml:space="preserve"> </w:t>
      </w:r>
      <w:r w:rsidRPr="009F0E22">
        <w:rPr>
          <w:rFonts w:ascii="Arial" w:hAnsi="Arial" w:cs="Arial"/>
          <w:sz w:val="24"/>
          <w:szCs w:val="24"/>
        </w:rPr>
        <w:t>del</w:t>
      </w:r>
      <w:r w:rsidRPr="009F0E22">
        <w:rPr>
          <w:rFonts w:ascii="Arial" w:hAnsi="Arial" w:cs="Arial"/>
          <w:spacing w:val="-7"/>
          <w:sz w:val="24"/>
          <w:szCs w:val="24"/>
        </w:rPr>
        <w:t xml:space="preserve"> </w:t>
      </w:r>
      <w:r w:rsidRPr="009F0E22">
        <w:rPr>
          <w:rFonts w:ascii="Arial" w:hAnsi="Arial" w:cs="Arial"/>
          <w:sz w:val="24"/>
          <w:szCs w:val="24"/>
        </w:rPr>
        <w:t>1</w:t>
      </w:r>
      <w:r w:rsidRPr="009F0E22">
        <w:rPr>
          <w:rFonts w:ascii="Arial" w:hAnsi="Arial" w:cs="Arial"/>
          <w:spacing w:val="-7"/>
          <w:sz w:val="24"/>
          <w:szCs w:val="24"/>
        </w:rPr>
        <w:t xml:space="preserve"> </w:t>
      </w:r>
      <w:r w:rsidRPr="009F0E22">
        <w:rPr>
          <w:rFonts w:ascii="Arial" w:hAnsi="Arial" w:cs="Arial"/>
          <w:sz w:val="24"/>
          <w:szCs w:val="24"/>
        </w:rPr>
        <w:t>de</w:t>
      </w:r>
      <w:r w:rsidRPr="009F0E22">
        <w:rPr>
          <w:rFonts w:ascii="Arial" w:hAnsi="Arial" w:cs="Arial"/>
          <w:spacing w:val="-6"/>
          <w:sz w:val="24"/>
          <w:szCs w:val="24"/>
        </w:rPr>
        <w:t xml:space="preserve"> </w:t>
      </w:r>
      <w:r w:rsidRPr="009F0E22">
        <w:rPr>
          <w:rFonts w:ascii="Arial" w:hAnsi="Arial" w:cs="Arial"/>
          <w:sz w:val="24"/>
          <w:szCs w:val="24"/>
        </w:rPr>
        <w:t>enero</w:t>
      </w:r>
      <w:r w:rsidRPr="009F0E22">
        <w:rPr>
          <w:rFonts w:ascii="Arial" w:hAnsi="Arial" w:cs="Arial"/>
          <w:spacing w:val="-7"/>
          <w:sz w:val="24"/>
          <w:szCs w:val="24"/>
        </w:rPr>
        <w:t xml:space="preserve"> </w:t>
      </w:r>
      <w:r w:rsidRPr="009F0E22">
        <w:rPr>
          <w:rFonts w:ascii="Arial" w:hAnsi="Arial" w:cs="Arial"/>
          <w:sz w:val="24"/>
          <w:szCs w:val="24"/>
        </w:rPr>
        <w:t>de</w:t>
      </w:r>
      <w:r w:rsidRPr="009F0E22">
        <w:rPr>
          <w:rFonts w:ascii="Arial" w:hAnsi="Arial" w:cs="Arial"/>
          <w:spacing w:val="-8"/>
          <w:sz w:val="24"/>
          <w:szCs w:val="24"/>
        </w:rPr>
        <w:t xml:space="preserve"> </w:t>
      </w:r>
      <w:r w:rsidRPr="009F0E22">
        <w:rPr>
          <w:rFonts w:ascii="Arial" w:hAnsi="Arial" w:cs="Arial"/>
          <w:sz w:val="24"/>
          <w:szCs w:val="24"/>
        </w:rPr>
        <w:t>2025.</w:t>
      </w:r>
      <w:r w:rsidRPr="009F0E22">
        <w:rPr>
          <w:rFonts w:ascii="Arial" w:hAnsi="Arial" w:cs="Arial"/>
          <w:spacing w:val="-6"/>
          <w:sz w:val="24"/>
          <w:szCs w:val="24"/>
        </w:rPr>
        <w:t xml:space="preserve"> </w:t>
      </w:r>
      <w:r w:rsidRPr="009F0E22">
        <w:rPr>
          <w:rFonts w:ascii="Arial" w:hAnsi="Arial" w:cs="Arial"/>
          <w:sz w:val="24"/>
          <w:szCs w:val="24"/>
        </w:rPr>
        <w:t>Estas</w:t>
      </w:r>
      <w:r w:rsidRPr="009F0E22">
        <w:rPr>
          <w:rFonts w:ascii="Arial" w:hAnsi="Arial" w:cs="Arial"/>
          <w:spacing w:val="-8"/>
          <w:sz w:val="24"/>
          <w:szCs w:val="24"/>
        </w:rPr>
        <w:t xml:space="preserve"> </w:t>
      </w:r>
      <w:r w:rsidRPr="009F0E22">
        <w:rPr>
          <w:rFonts w:ascii="Arial" w:hAnsi="Arial" w:cs="Arial"/>
          <w:sz w:val="24"/>
          <w:szCs w:val="24"/>
        </w:rPr>
        <w:t>modificaciones</w:t>
      </w:r>
      <w:r w:rsidRPr="009F0E22">
        <w:rPr>
          <w:rFonts w:ascii="Arial" w:hAnsi="Arial" w:cs="Arial"/>
          <w:spacing w:val="-6"/>
          <w:sz w:val="24"/>
          <w:szCs w:val="24"/>
        </w:rPr>
        <w:t xml:space="preserve"> </w:t>
      </w:r>
      <w:r w:rsidRPr="009F0E22">
        <w:rPr>
          <w:rFonts w:ascii="Arial" w:hAnsi="Arial" w:cs="Arial"/>
          <w:sz w:val="24"/>
          <w:szCs w:val="24"/>
        </w:rPr>
        <w:t>no implicarán la reexpresión retroactiva de los saldos al 31 de diciembre de 2024 que se presenten comparativamente</w:t>
      </w:r>
      <w:r w:rsidRPr="009F0E22">
        <w:rPr>
          <w:rFonts w:ascii="Arial" w:hAnsi="Arial" w:cs="Arial"/>
          <w:spacing w:val="-8"/>
          <w:sz w:val="24"/>
          <w:szCs w:val="24"/>
        </w:rPr>
        <w:t xml:space="preserve"> </w:t>
      </w:r>
      <w:r w:rsidRPr="009F0E22">
        <w:rPr>
          <w:rFonts w:ascii="Arial" w:hAnsi="Arial" w:cs="Arial"/>
          <w:sz w:val="24"/>
          <w:szCs w:val="24"/>
        </w:rPr>
        <w:t>en</w:t>
      </w:r>
      <w:r w:rsidRPr="009F0E22">
        <w:rPr>
          <w:rFonts w:ascii="Arial" w:hAnsi="Arial" w:cs="Arial"/>
          <w:spacing w:val="-8"/>
          <w:sz w:val="24"/>
          <w:szCs w:val="24"/>
        </w:rPr>
        <w:t xml:space="preserve"> </w:t>
      </w:r>
      <w:r w:rsidRPr="009F0E22">
        <w:rPr>
          <w:rFonts w:ascii="Arial" w:hAnsi="Arial" w:cs="Arial"/>
          <w:sz w:val="24"/>
          <w:szCs w:val="24"/>
        </w:rPr>
        <w:t>los</w:t>
      </w:r>
      <w:r w:rsidRPr="009F0E22">
        <w:rPr>
          <w:rFonts w:ascii="Arial" w:hAnsi="Arial" w:cs="Arial"/>
          <w:spacing w:val="-8"/>
          <w:sz w:val="24"/>
          <w:szCs w:val="24"/>
        </w:rPr>
        <w:t xml:space="preserve"> </w:t>
      </w:r>
      <w:r w:rsidRPr="009F0E22">
        <w:rPr>
          <w:rFonts w:ascii="Arial" w:hAnsi="Arial" w:cs="Arial"/>
          <w:sz w:val="24"/>
          <w:szCs w:val="24"/>
        </w:rPr>
        <w:t>estados</w:t>
      </w:r>
      <w:r w:rsidRPr="009F0E22">
        <w:rPr>
          <w:rFonts w:ascii="Arial" w:hAnsi="Arial" w:cs="Arial"/>
          <w:spacing w:val="-10"/>
          <w:sz w:val="24"/>
          <w:szCs w:val="24"/>
        </w:rPr>
        <w:t xml:space="preserve"> </w:t>
      </w:r>
      <w:r w:rsidRPr="009F0E22">
        <w:rPr>
          <w:rFonts w:ascii="Arial" w:hAnsi="Arial" w:cs="Arial"/>
          <w:sz w:val="24"/>
          <w:szCs w:val="24"/>
        </w:rPr>
        <w:t>financieros</w:t>
      </w:r>
      <w:r w:rsidRPr="009F0E22">
        <w:rPr>
          <w:rFonts w:ascii="Arial" w:hAnsi="Arial" w:cs="Arial"/>
          <w:spacing w:val="-10"/>
          <w:sz w:val="24"/>
          <w:szCs w:val="24"/>
        </w:rPr>
        <w:t xml:space="preserve"> </w:t>
      </w:r>
      <w:r w:rsidRPr="009F0E22">
        <w:rPr>
          <w:rFonts w:ascii="Arial" w:hAnsi="Arial" w:cs="Arial"/>
          <w:sz w:val="24"/>
          <w:szCs w:val="24"/>
        </w:rPr>
        <w:t>con</w:t>
      </w:r>
      <w:r w:rsidRPr="009F0E22">
        <w:rPr>
          <w:rFonts w:ascii="Arial" w:hAnsi="Arial" w:cs="Arial"/>
          <w:spacing w:val="-4"/>
          <w:sz w:val="24"/>
          <w:szCs w:val="24"/>
        </w:rPr>
        <w:t xml:space="preserve"> </w:t>
      </w:r>
      <w:r w:rsidRPr="009F0E22">
        <w:rPr>
          <w:rFonts w:ascii="Arial" w:hAnsi="Arial" w:cs="Arial"/>
          <w:sz w:val="24"/>
          <w:szCs w:val="24"/>
        </w:rPr>
        <w:t>corte</w:t>
      </w:r>
      <w:r w:rsidRPr="009F0E22">
        <w:rPr>
          <w:rFonts w:ascii="Arial" w:hAnsi="Arial" w:cs="Arial"/>
          <w:spacing w:val="-10"/>
          <w:sz w:val="24"/>
          <w:szCs w:val="24"/>
        </w:rPr>
        <w:t xml:space="preserve"> </w:t>
      </w:r>
      <w:r w:rsidRPr="009F0E22">
        <w:rPr>
          <w:rFonts w:ascii="Arial" w:hAnsi="Arial" w:cs="Arial"/>
          <w:sz w:val="24"/>
          <w:szCs w:val="24"/>
        </w:rPr>
        <w:t>al</w:t>
      </w:r>
      <w:r w:rsidRPr="009F0E22">
        <w:rPr>
          <w:rFonts w:ascii="Arial" w:hAnsi="Arial" w:cs="Arial"/>
          <w:spacing w:val="-8"/>
          <w:sz w:val="24"/>
          <w:szCs w:val="24"/>
        </w:rPr>
        <w:t xml:space="preserve"> </w:t>
      </w:r>
      <w:r w:rsidRPr="009F0E22">
        <w:rPr>
          <w:rFonts w:ascii="Arial" w:hAnsi="Arial" w:cs="Arial"/>
          <w:sz w:val="24"/>
          <w:szCs w:val="24"/>
        </w:rPr>
        <w:t>31</w:t>
      </w:r>
      <w:r w:rsidRPr="009F0E22">
        <w:rPr>
          <w:rFonts w:ascii="Arial" w:hAnsi="Arial" w:cs="Arial"/>
          <w:spacing w:val="-9"/>
          <w:sz w:val="24"/>
          <w:szCs w:val="24"/>
        </w:rPr>
        <w:t xml:space="preserve"> </w:t>
      </w:r>
      <w:r w:rsidRPr="009F0E22">
        <w:rPr>
          <w:rFonts w:ascii="Arial" w:hAnsi="Arial" w:cs="Arial"/>
          <w:sz w:val="24"/>
          <w:szCs w:val="24"/>
        </w:rPr>
        <w:t>de</w:t>
      </w:r>
      <w:r w:rsidRPr="009F0E22">
        <w:rPr>
          <w:rFonts w:ascii="Arial" w:hAnsi="Arial" w:cs="Arial"/>
          <w:spacing w:val="-8"/>
          <w:sz w:val="24"/>
          <w:szCs w:val="24"/>
        </w:rPr>
        <w:t xml:space="preserve"> </w:t>
      </w:r>
      <w:r w:rsidRPr="009F0E22">
        <w:rPr>
          <w:rFonts w:ascii="Arial" w:hAnsi="Arial" w:cs="Arial"/>
          <w:sz w:val="24"/>
          <w:szCs w:val="24"/>
        </w:rPr>
        <w:t>diciembre</w:t>
      </w:r>
      <w:r w:rsidRPr="009F0E22">
        <w:rPr>
          <w:rFonts w:ascii="Arial" w:hAnsi="Arial" w:cs="Arial"/>
          <w:spacing w:val="-8"/>
          <w:sz w:val="24"/>
          <w:szCs w:val="24"/>
        </w:rPr>
        <w:t xml:space="preserve"> </w:t>
      </w:r>
      <w:r w:rsidRPr="009F0E22">
        <w:rPr>
          <w:rFonts w:ascii="Arial" w:hAnsi="Arial" w:cs="Arial"/>
          <w:sz w:val="24"/>
          <w:szCs w:val="24"/>
        </w:rPr>
        <w:t>de</w:t>
      </w:r>
      <w:r w:rsidRPr="009F0E22">
        <w:rPr>
          <w:rFonts w:ascii="Arial" w:hAnsi="Arial" w:cs="Arial"/>
          <w:spacing w:val="-8"/>
          <w:sz w:val="24"/>
          <w:szCs w:val="24"/>
        </w:rPr>
        <w:t xml:space="preserve"> </w:t>
      </w:r>
      <w:r w:rsidRPr="009F0E22">
        <w:rPr>
          <w:rFonts w:ascii="Arial" w:hAnsi="Arial" w:cs="Arial"/>
          <w:sz w:val="24"/>
          <w:szCs w:val="24"/>
        </w:rPr>
        <w:t>2025.</w:t>
      </w:r>
      <w:r w:rsidRPr="009F0E22">
        <w:rPr>
          <w:rFonts w:ascii="Arial" w:hAnsi="Arial" w:cs="Arial"/>
          <w:spacing w:val="-8"/>
          <w:sz w:val="24"/>
          <w:szCs w:val="24"/>
        </w:rPr>
        <w:t xml:space="preserve"> </w:t>
      </w:r>
      <w:r w:rsidRPr="009F0E22">
        <w:rPr>
          <w:rFonts w:ascii="Arial" w:hAnsi="Arial" w:cs="Arial"/>
          <w:sz w:val="24"/>
          <w:szCs w:val="24"/>
        </w:rPr>
        <w:t>Sin</w:t>
      </w:r>
      <w:r w:rsidRPr="009F0E22">
        <w:rPr>
          <w:rFonts w:ascii="Arial" w:hAnsi="Arial" w:cs="Arial"/>
          <w:spacing w:val="-8"/>
          <w:sz w:val="24"/>
          <w:szCs w:val="24"/>
        </w:rPr>
        <w:t xml:space="preserve"> </w:t>
      </w:r>
      <w:r w:rsidRPr="009F0E22">
        <w:rPr>
          <w:rFonts w:ascii="Arial" w:hAnsi="Arial" w:cs="Arial"/>
          <w:sz w:val="24"/>
          <w:szCs w:val="24"/>
        </w:rPr>
        <w:t>embargo, en dichos estados financieros, se deberá revelar el impacto que las modificaciones tengan sobre la</w:t>
      </w:r>
      <w:r w:rsidRPr="009F0E22">
        <w:rPr>
          <w:rFonts w:ascii="Arial" w:hAnsi="Arial" w:cs="Arial"/>
          <w:spacing w:val="-10"/>
          <w:sz w:val="24"/>
          <w:szCs w:val="24"/>
        </w:rPr>
        <w:t xml:space="preserve"> </w:t>
      </w:r>
      <w:r w:rsidRPr="009F0E22">
        <w:rPr>
          <w:rFonts w:ascii="Arial" w:hAnsi="Arial" w:cs="Arial"/>
          <w:sz w:val="24"/>
          <w:szCs w:val="24"/>
        </w:rPr>
        <w:t>situación</w:t>
      </w:r>
      <w:r w:rsidRPr="009F0E22">
        <w:rPr>
          <w:rFonts w:ascii="Arial" w:hAnsi="Arial" w:cs="Arial"/>
          <w:spacing w:val="-13"/>
          <w:sz w:val="24"/>
          <w:szCs w:val="24"/>
        </w:rPr>
        <w:t xml:space="preserve"> </w:t>
      </w:r>
      <w:r w:rsidRPr="009F0E22">
        <w:rPr>
          <w:rFonts w:ascii="Arial" w:hAnsi="Arial" w:cs="Arial"/>
          <w:sz w:val="24"/>
          <w:szCs w:val="24"/>
        </w:rPr>
        <w:t>financiera</w:t>
      </w:r>
      <w:r w:rsidRPr="009F0E22">
        <w:rPr>
          <w:rFonts w:ascii="Arial" w:hAnsi="Arial" w:cs="Arial"/>
          <w:spacing w:val="-12"/>
          <w:sz w:val="24"/>
          <w:szCs w:val="24"/>
        </w:rPr>
        <w:t xml:space="preserve"> </w:t>
      </w:r>
      <w:r w:rsidRPr="009F0E22">
        <w:rPr>
          <w:rFonts w:ascii="Arial" w:hAnsi="Arial" w:cs="Arial"/>
          <w:sz w:val="24"/>
          <w:szCs w:val="24"/>
        </w:rPr>
        <w:t>y</w:t>
      </w:r>
      <w:r w:rsidRPr="009F0E22">
        <w:rPr>
          <w:rFonts w:ascii="Arial" w:hAnsi="Arial" w:cs="Arial"/>
          <w:spacing w:val="-11"/>
          <w:sz w:val="24"/>
          <w:szCs w:val="24"/>
        </w:rPr>
        <w:t xml:space="preserve"> </w:t>
      </w:r>
      <w:r w:rsidRPr="009F0E22">
        <w:rPr>
          <w:rFonts w:ascii="Arial" w:hAnsi="Arial" w:cs="Arial"/>
          <w:sz w:val="24"/>
          <w:szCs w:val="24"/>
        </w:rPr>
        <w:t>el</w:t>
      </w:r>
      <w:r w:rsidRPr="009F0E22">
        <w:rPr>
          <w:rFonts w:ascii="Arial" w:hAnsi="Arial" w:cs="Arial"/>
          <w:spacing w:val="-12"/>
          <w:sz w:val="24"/>
          <w:szCs w:val="24"/>
        </w:rPr>
        <w:t xml:space="preserve"> </w:t>
      </w:r>
      <w:r w:rsidRPr="009F0E22">
        <w:rPr>
          <w:rFonts w:ascii="Arial" w:hAnsi="Arial" w:cs="Arial"/>
          <w:sz w:val="24"/>
          <w:szCs w:val="24"/>
        </w:rPr>
        <w:t>rendimiento</w:t>
      </w:r>
      <w:r w:rsidRPr="009F0E22">
        <w:rPr>
          <w:rFonts w:ascii="Arial" w:hAnsi="Arial" w:cs="Arial"/>
          <w:spacing w:val="-11"/>
          <w:sz w:val="24"/>
          <w:szCs w:val="24"/>
        </w:rPr>
        <w:t xml:space="preserve"> </w:t>
      </w:r>
      <w:r w:rsidRPr="009F0E22">
        <w:rPr>
          <w:rFonts w:ascii="Arial" w:hAnsi="Arial" w:cs="Arial"/>
          <w:sz w:val="24"/>
          <w:szCs w:val="24"/>
        </w:rPr>
        <w:t>de</w:t>
      </w:r>
      <w:r w:rsidRPr="009F0E22">
        <w:rPr>
          <w:rFonts w:ascii="Arial" w:hAnsi="Arial" w:cs="Arial"/>
          <w:spacing w:val="-12"/>
          <w:sz w:val="24"/>
          <w:szCs w:val="24"/>
        </w:rPr>
        <w:t xml:space="preserve"> </w:t>
      </w:r>
      <w:r w:rsidRPr="009F0E22">
        <w:rPr>
          <w:rFonts w:ascii="Arial" w:hAnsi="Arial" w:cs="Arial"/>
          <w:sz w:val="24"/>
          <w:szCs w:val="24"/>
        </w:rPr>
        <w:t>la</w:t>
      </w:r>
      <w:r w:rsidRPr="009F0E22">
        <w:rPr>
          <w:rFonts w:ascii="Arial" w:hAnsi="Arial" w:cs="Arial"/>
          <w:spacing w:val="-12"/>
          <w:sz w:val="24"/>
          <w:szCs w:val="24"/>
        </w:rPr>
        <w:t xml:space="preserve"> </w:t>
      </w:r>
      <w:r w:rsidRPr="009F0E22">
        <w:rPr>
          <w:rFonts w:ascii="Arial" w:hAnsi="Arial" w:cs="Arial"/>
          <w:sz w:val="24"/>
          <w:szCs w:val="24"/>
        </w:rPr>
        <w:t>entidad.</w:t>
      </w:r>
      <w:r w:rsidRPr="009F0E22">
        <w:rPr>
          <w:rFonts w:ascii="Arial" w:hAnsi="Arial" w:cs="Arial"/>
          <w:spacing w:val="-10"/>
          <w:sz w:val="24"/>
          <w:szCs w:val="24"/>
        </w:rPr>
        <w:t xml:space="preserve"> </w:t>
      </w:r>
      <w:r w:rsidRPr="009F0E22">
        <w:rPr>
          <w:rFonts w:ascii="Arial" w:hAnsi="Arial" w:cs="Arial"/>
          <w:sz w:val="24"/>
          <w:szCs w:val="24"/>
        </w:rPr>
        <w:t>Adicionalmente,</w:t>
      </w:r>
      <w:r w:rsidRPr="009F0E22">
        <w:rPr>
          <w:rFonts w:ascii="Arial" w:hAnsi="Arial" w:cs="Arial"/>
          <w:spacing w:val="-9"/>
          <w:sz w:val="24"/>
          <w:szCs w:val="24"/>
        </w:rPr>
        <w:t xml:space="preserve"> </w:t>
      </w:r>
      <w:r w:rsidRPr="009F0E22">
        <w:rPr>
          <w:rFonts w:ascii="Arial" w:hAnsi="Arial" w:cs="Arial"/>
          <w:sz w:val="24"/>
          <w:szCs w:val="24"/>
        </w:rPr>
        <w:t>las</w:t>
      </w:r>
      <w:r w:rsidRPr="009F0E22">
        <w:rPr>
          <w:rFonts w:ascii="Arial" w:hAnsi="Arial" w:cs="Arial"/>
          <w:spacing w:val="-10"/>
          <w:sz w:val="24"/>
          <w:szCs w:val="24"/>
        </w:rPr>
        <w:t xml:space="preserve"> </w:t>
      </w:r>
      <w:r w:rsidRPr="009F0E22">
        <w:rPr>
          <w:rFonts w:ascii="Arial" w:hAnsi="Arial" w:cs="Arial"/>
          <w:sz w:val="24"/>
          <w:szCs w:val="24"/>
        </w:rPr>
        <w:t>entidades</w:t>
      </w:r>
      <w:r w:rsidRPr="009F0E22">
        <w:rPr>
          <w:rFonts w:ascii="Arial" w:hAnsi="Arial" w:cs="Arial"/>
          <w:spacing w:val="-10"/>
          <w:sz w:val="24"/>
          <w:szCs w:val="24"/>
        </w:rPr>
        <w:t xml:space="preserve"> </w:t>
      </w:r>
      <w:r w:rsidRPr="009F0E22">
        <w:rPr>
          <w:rFonts w:ascii="Arial" w:hAnsi="Arial" w:cs="Arial"/>
          <w:sz w:val="24"/>
          <w:szCs w:val="24"/>
        </w:rPr>
        <w:t>contarán</w:t>
      </w:r>
      <w:r w:rsidRPr="009F0E22">
        <w:rPr>
          <w:rFonts w:ascii="Arial" w:hAnsi="Arial" w:cs="Arial"/>
          <w:spacing w:val="-11"/>
          <w:sz w:val="24"/>
          <w:szCs w:val="24"/>
        </w:rPr>
        <w:t xml:space="preserve"> </w:t>
      </w:r>
      <w:r w:rsidRPr="009F0E22">
        <w:rPr>
          <w:rFonts w:ascii="Arial" w:hAnsi="Arial" w:cs="Arial"/>
          <w:sz w:val="24"/>
          <w:szCs w:val="24"/>
        </w:rPr>
        <w:t>con un plazo hasta el 31 de marzo de 2025 para ajustar sus sistemas de información conforme a las disposiciones de la presente Resolución. Este aspecto reviste especial importancia, ya que garantiza</w:t>
      </w:r>
      <w:r w:rsidRPr="009F0E22">
        <w:rPr>
          <w:rFonts w:ascii="Arial" w:hAnsi="Arial" w:cs="Arial"/>
          <w:spacing w:val="-14"/>
          <w:sz w:val="24"/>
          <w:szCs w:val="24"/>
        </w:rPr>
        <w:t xml:space="preserve"> </w:t>
      </w:r>
      <w:r w:rsidRPr="009F0E22">
        <w:rPr>
          <w:rFonts w:ascii="Arial" w:hAnsi="Arial" w:cs="Arial"/>
          <w:sz w:val="24"/>
          <w:szCs w:val="24"/>
        </w:rPr>
        <w:t>la</w:t>
      </w:r>
      <w:r w:rsidRPr="009F0E22">
        <w:rPr>
          <w:rFonts w:ascii="Arial" w:hAnsi="Arial" w:cs="Arial"/>
          <w:spacing w:val="-14"/>
          <w:sz w:val="24"/>
          <w:szCs w:val="24"/>
        </w:rPr>
        <w:t xml:space="preserve"> </w:t>
      </w:r>
      <w:r w:rsidRPr="009F0E22">
        <w:rPr>
          <w:rFonts w:ascii="Arial" w:hAnsi="Arial" w:cs="Arial"/>
          <w:sz w:val="24"/>
          <w:szCs w:val="24"/>
        </w:rPr>
        <w:t>transparencia</w:t>
      </w:r>
      <w:r w:rsidRPr="009F0E22">
        <w:rPr>
          <w:rFonts w:ascii="Arial" w:hAnsi="Arial" w:cs="Arial"/>
          <w:spacing w:val="-14"/>
          <w:sz w:val="24"/>
          <w:szCs w:val="24"/>
        </w:rPr>
        <w:t xml:space="preserve"> </w:t>
      </w:r>
      <w:r w:rsidRPr="009F0E22">
        <w:rPr>
          <w:rFonts w:ascii="Arial" w:hAnsi="Arial" w:cs="Arial"/>
          <w:sz w:val="24"/>
          <w:szCs w:val="24"/>
        </w:rPr>
        <w:t>y</w:t>
      </w:r>
      <w:r w:rsidRPr="009F0E22">
        <w:rPr>
          <w:rFonts w:ascii="Arial" w:hAnsi="Arial" w:cs="Arial"/>
          <w:spacing w:val="-13"/>
          <w:sz w:val="24"/>
          <w:szCs w:val="24"/>
        </w:rPr>
        <w:t xml:space="preserve"> </w:t>
      </w:r>
      <w:r w:rsidRPr="009F0E22">
        <w:rPr>
          <w:rFonts w:ascii="Arial" w:hAnsi="Arial" w:cs="Arial"/>
          <w:sz w:val="24"/>
          <w:szCs w:val="24"/>
        </w:rPr>
        <w:t>la</w:t>
      </w:r>
      <w:r w:rsidRPr="009F0E22">
        <w:rPr>
          <w:rFonts w:ascii="Arial" w:hAnsi="Arial" w:cs="Arial"/>
          <w:spacing w:val="-14"/>
          <w:sz w:val="24"/>
          <w:szCs w:val="24"/>
        </w:rPr>
        <w:t xml:space="preserve"> </w:t>
      </w:r>
      <w:r w:rsidRPr="009F0E22">
        <w:rPr>
          <w:rFonts w:ascii="Arial" w:hAnsi="Arial" w:cs="Arial"/>
          <w:sz w:val="24"/>
          <w:szCs w:val="24"/>
        </w:rPr>
        <w:t>adecuada</w:t>
      </w:r>
      <w:r w:rsidRPr="009F0E22">
        <w:rPr>
          <w:rFonts w:ascii="Arial" w:hAnsi="Arial" w:cs="Arial"/>
          <w:spacing w:val="-14"/>
          <w:sz w:val="24"/>
          <w:szCs w:val="24"/>
        </w:rPr>
        <w:t xml:space="preserve"> </w:t>
      </w:r>
      <w:r w:rsidRPr="009F0E22">
        <w:rPr>
          <w:rFonts w:ascii="Arial" w:hAnsi="Arial" w:cs="Arial"/>
          <w:sz w:val="24"/>
          <w:szCs w:val="24"/>
        </w:rPr>
        <w:t>aplicación</w:t>
      </w:r>
      <w:r w:rsidRPr="009F0E22">
        <w:rPr>
          <w:rFonts w:ascii="Arial" w:hAnsi="Arial" w:cs="Arial"/>
          <w:spacing w:val="-14"/>
          <w:sz w:val="24"/>
          <w:szCs w:val="24"/>
        </w:rPr>
        <w:t xml:space="preserve"> </w:t>
      </w:r>
      <w:r w:rsidRPr="009F0E22">
        <w:rPr>
          <w:rFonts w:ascii="Arial" w:hAnsi="Arial" w:cs="Arial"/>
          <w:sz w:val="24"/>
          <w:szCs w:val="24"/>
        </w:rPr>
        <w:t>de</w:t>
      </w:r>
      <w:r w:rsidRPr="009F0E22">
        <w:rPr>
          <w:rFonts w:ascii="Arial" w:hAnsi="Arial" w:cs="Arial"/>
          <w:spacing w:val="-13"/>
          <w:sz w:val="24"/>
          <w:szCs w:val="24"/>
        </w:rPr>
        <w:t xml:space="preserve"> </w:t>
      </w:r>
      <w:r w:rsidRPr="009F0E22">
        <w:rPr>
          <w:rFonts w:ascii="Arial" w:hAnsi="Arial" w:cs="Arial"/>
          <w:sz w:val="24"/>
          <w:szCs w:val="24"/>
        </w:rPr>
        <w:t>las</w:t>
      </w:r>
      <w:r w:rsidRPr="009F0E22">
        <w:rPr>
          <w:rFonts w:ascii="Arial" w:hAnsi="Arial" w:cs="Arial"/>
          <w:spacing w:val="-14"/>
          <w:sz w:val="24"/>
          <w:szCs w:val="24"/>
        </w:rPr>
        <w:t xml:space="preserve"> </w:t>
      </w:r>
      <w:r w:rsidRPr="009F0E22">
        <w:rPr>
          <w:rFonts w:ascii="Arial" w:hAnsi="Arial" w:cs="Arial"/>
          <w:sz w:val="24"/>
          <w:szCs w:val="24"/>
        </w:rPr>
        <w:t>normas</w:t>
      </w:r>
      <w:r w:rsidRPr="009F0E22">
        <w:rPr>
          <w:rFonts w:ascii="Arial" w:hAnsi="Arial" w:cs="Arial"/>
          <w:spacing w:val="-14"/>
          <w:sz w:val="24"/>
          <w:szCs w:val="24"/>
        </w:rPr>
        <w:t xml:space="preserve"> </w:t>
      </w:r>
      <w:r w:rsidRPr="009F0E22">
        <w:rPr>
          <w:rFonts w:ascii="Arial" w:hAnsi="Arial" w:cs="Arial"/>
          <w:sz w:val="24"/>
          <w:szCs w:val="24"/>
        </w:rPr>
        <w:t>en</w:t>
      </w:r>
      <w:r w:rsidRPr="009F0E22">
        <w:rPr>
          <w:rFonts w:ascii="Arial" w:hAnsi="Arial" w:cs="Arial"/>
          <w:spacing w:val="-14"/>
          <w:sz w:val="24"/>
          <w:szCs w:val="24"/>
        </w:rPr>
        <w:t xml:space="preserve"> </w:t>
      </w:r>
      <w:r w:rsidRPr="009F0E22">
        <w:rPr>
          <w:rFonts w:ascii="Arial" w:hAnsi="Arial" w:cs="Arial"/>
          <w:sz w:val="24"/>
          <w:szCs w:val="24"/>
        </w:rPr>
        <w:t>la</w:t>
      </w:r>
      <w:r w:rsidRPr="009F0E22">
        <w:rPr>
          <w:rFonts w:ascii="Arial" w:hAnsi="Arial" w:cs="Arial"/>
          <w:spacing w:val="-13"/>
          <w:sz w:val="24"/>
          <w:szCs w:val="24"/>
        </w:rPr>
        <w:t xml:space="preserve"> </w:t>
      </w:r>
      <w:r w:rsidRPr="009F0E22">
        <w:rPr>
          <w:rFonts w:ascii="Arial" w:hAnsi="Arial" w:cs="Arial"/>
          <w:sz w:val="24"/>
          <w:szCs w:val="24"/>
        </w:rPr>
        <w:t>preparación</w:t>
      </w:r>
      <w:r w:rsidRPr="009F0E22">
        <w:rPr>
          <w:rFonts w:ascii="Arial" w:hAnsi="Arial" w:cs="Arial"/>
          <w:spacing w:val="-14"/>
          <w:sz w:val="24"/>
          <w:szCs w:val="24"/>
        </w:rPr>
        <w:t xml:space="preserve"> </w:t>
      </w:r>
      <w:r w:rsidRPr="009F0E22">
        <w:rPr>
          <w:rFonts w:ascii="Arial" w:hAnsi="Arial" w:cs="Arial"/>
          <w:sz w:val="24"/>
          <w:szCs w:val="24"/>
        </w:rPr>
        <w:t>y</w:t>
      </w:r>
      <w:r w:rsidRPr="009F0E22">
        <w:rPr>
          <w:rFonts w:ascii="Arial" w:hAnsi="Arial" w:cs="Arial"/>
          <w:spacing w:val="-14"/>
          <w:sz w:val="24"/>
          <w:szCs w:val="24"/>
        </w:rPr>
        <w:t xml:space="preserve"> </w:t>
      </w:r>
      <w:r w:rsidRPr="009F0E22">
        <w:rPr>
          <w:rFonts w:ascii="Arial" w:hAnsi="Arial" w:cs="Arial"/>
          <w:sz w:val="24"/>
          <w:szCs w:val="24"/>
        </w:rPr>
        <w:t>presentación de la información financiera”.</w:t>
      </w:r>
    </w:p>
    <w:p w14:paraId="4AA12339" w14:textId="77777777" w:rsidR="00E46C0A" w:rsidRPr="009F0E22" w:rsidRDefault="00E46C0A" w:rsidP="00E95331">
      <w:pPr>
        <w:pStyle w:val="Textoindependiente"/>
        <w:ind w:right="-234"/>
        <w:jc w:val="both"/>
        <w:rPr>
          <w:rFonts w:ascii="Arial" w:hAnsi="Arial" w:cs="Arial"/>
          <w:bCs/>
          <w:sz w:val="24"/>
          <w:szCs w:val="24"/>
        </w:rPr>
      </w:pPr>
    </w:p>
    <w:p w14:paraId="22D11A0D" w14:textId="77777777" w:rsidR="00E46C0A" w:rsidRPr="00344677" w:rsidRDefault="00E46C0A" w:rsidP="00E46C0A">
      <w:pPr>
        <w:jc w:val="both"/>
        <w:rPr>
          <w:rFonts w:ascii="Arial" w:hAnsi="Arial" w:cs="Arial"/>
          <w:b/>
          <w:sz w:val="28"/>
          <w:szCs w:val="28"/>
          <w:lang w:val="es-MX"/>
        </w:rPr>
      </w:pPr>
      <w:r w:rsidRPr="00344677">
        <w:rPr>
          <w:rFonts w:ascii="Arial" w:hAnsi="Arial" w:cs="Arial"/>
          <w:b/>
          <w:sz w:val="28"/>
          <w:szCs w:val="28"/>
          <w:lang w:val="es-MX"/>
        </w:rPr>
        <w:t xml:space="preserve">229.- </w:t>
      </w:r>
      <w:r w:rsidRPr="00344677">
        <w:rPr>
          <w:rFonts w:ascii="Arial" w:hAnsi="Arial" w:cs="Arial"/>
          <w:b/>
          <w:sz w:val="28"/>
          <w:szCs w:val="28"/>
        </w:rPr>
        <w:t>CAJA DE RETIRO DE LAS FUERZAS MILITARES - CREMIL</w:t>
      </w:r>
      <w:r w:rsidRPr="00344677">
        <w:rPr>
          <w:rFonts w:ascii="Arial" w:hAnsi="Arial" w:cs="Arial"/>
          <w:b/>
          <w:sz w:val="28"/>
          <w:szCs w:val="28"/>
          <w:lang w:val="es-MX"/>
        </w:rPr>
        <w:t>.</w:t>
      </w:r>
    </w:p>
    <w:p w14:paraId="4AE11E1E" w14:textId="77777777" w:rsidR="00E46C0A" w:rsidRDefault="00E46C0A" w:rsidP="00E46C0A">
      <w:pPr>
        <w:ind w:right="-93"/>
        <w:rPr>
          <w:rFonts w:ascii="Arial" w:hAnsi="Arial" w:cs="Arial"/>
          <w:sz w:val="24"/>
          <w:szCs w:val="24"/>
        </w:rPr>
      </w:pPr>
    </w:p>
    <w:p w14:paraId="394D43FC" w14:textId="77777777" w:rsidR="00E46C0A" w:rsidRPr="00180D2C" w:rsidRDefault="00E46C0A" w:rsidP="00E46C0A">
      <w:pPr>
        <w:pStyle w:val="Textoindependiente"/>
        <w:ind w:right="-50"/>
        <w:jc w:val="both"/>
        <w:rPr>
          <w:rFonts w:ascii="Arial" w:hAnsi="Arial" w:cs="Arial"/>
          <w:b/>
          <w:bCs/>
          <w:sz w:val="24"/>
          <w:szCs w:val="24"/>
        </w:rPr>
      </w:pPr>
      <w:r w:rsidRPr="00180D2C">
        <w:rPr>
          <w:rFonts w:ascii="Arial" w:hAnsi="Arial" w:cs="Arial"/>
          <w:b/>
          <w:bCs/>
          <w:sz w:val="24"/>
          <w:szCs w:val="24"/>
        </w:rPr>
        <w:t>“OPINION CON SALVEDADES</w:t>
      </w:r>
    </w:p>
    <w:p w14:paraId="02104C9E" w14:textId="77777777" w:rsidR="00E46C0A" w:rsidRPr="00180D2C" w:rsidRDefault="00E46C0A" w:rsidP="00E46C0A">
      <w:pPr>
        <w:pStyle w:val="Textoindependiente"/>
        <w:ind w:right="-50"/>
        <w:jc w:val="both"/>
        <w:rPr>
          <w:rFonts w:ascii="Arial" w:hAnsi="Arial" w:cs="Arial"/>
          <w:b/>
          <w:bCs/>
          <w:sz w:val="24"/>
          <w:szCs w:val="24"/>
        </w:rPr>
      </w:pPr>
      <w:r w:rsidRPr="00180D2C">
        <w:rPr>
          <w:rFonts w:ascii="Arial" w:hAnsi="Arial" w:cs="Arial"/>
          <w:b/>
          <w:bCs/>
          <w:sz w:val="24"/>
          <w:szCs w:val="24"/>
        </w:rPr>
        <w:lastRenderedPageBreak/>
        <w:t xml:space="preserve">Fundamento de la Opinión Con Salvedades: </w:t>
      </w:r>
    </w:p>
    <w:p w14:paraId="46580B7C" w14:textId="77777777" w:rsidR="00E46C0A" w:rsidRPr="00180D2C" w:rsidRDefault="00E46C0A" w:rsidP="00E46C0A">
      <w:pPr>
        <w:pStyle w:val="Textoindependiente"/>
        <w:ind w:right="-50"/>
        <w:jc w:val="both"/>
        <w:rPr>
          <w:rFonts w:ascii="Arial" w:hAnsi="Arial" w:cs="Arial"/>
          <w:b/>
          <w:bCs/>
          <w:sz w:val="24"/>
          <w:szCs w:val="24"/>
        </w:rPr>
      </w:pPr>
    </w:p>
    <w:p w14:paraId="3ABD75D5" w14:textId="77777777" w:rsidR="00E46C0A" w:rsidRPr="00180D2C" w:rsidRDefault="00E46C0A" w:rsidP="00E95331">
      <w:pPr>
        <w:pStyle w:val="Prrafodelista"/>
        <w:numPr>
          <w:ilvl w:val="1"/>
          <w:numId w:val="100"/>
        </w:numPr>
        <w:tabs>
          <w:tab w:val="left" w:pos="910"/>
          <w:tab w:val="left" w:pos="912"/>
        </w:tabs>
        <w:ind w:right="-234"/>
        <w:jc w:val="both"/>
        <w:rPr>
          <w:rFonts w:ascii="Arial" w:hAnsi="Arial" w:cs="Arial"/>
          <w:sz w:val="24"/>
          <w:szCs w:val="24"/>
        </w:rPr>
      </w:pPr>
      <w:r w:rsidRPr="00180D2C">
        <w:rPr>
          <w:rFonts w:ascii="Arial" w:hAnsi="Arial" w:cs="Arial"/>
          <w:sz w:val="24"/>
          <w:szCs w:val="24"/>
        </w:rPr>
        <w:t>Como se indica en la Nota 7 y 16 de los Estados Financieros al 31 de diciembre de 2023</w:t>
      </w:r>
      <w:r w:rsidRPr="00180D2C">
        <w:rPr>
          <w:rFonts w:ascii="Arial" w:hAnsi="Arial" w:cs="Arial"/>
          <w:spacing w:val="-16"/>
          <w:sz w:val="24"/>
          <w:szCs w:val="24"/>
        </w:rPr>
        <w:t xml:space="preserve"> </w:t>
      </w:r>
      <w:r w:rsidRPr="00180D2C">
        <w:rPr>
          <w:rFonts w:ascii="Arial" w:hAnsi="Arial" w:cs="Arial"/>
          <w:sz w:val="24"/>
          <w:szCs w:val="24"/>
        </w:rPr>
        <w:t>existían</w:t>
      </w:r>
      <w:r w:rsidRPr="00180D2C">
        <w:rPr>
          <w:rFonts w:ascii="Arial" w:hAnsi="Arial" w:cs="Arial"/>
          <w:spacing w:val="-15"/>
          <w:sz w:val="24"/>
          <w:szCs w:val="24"/>
        </w:rPr>
        <w:t xml:space="preserve"> </w:t>
      </w:r>
      <w:r w:rsidRPr="00180D2C">
        <w:rPr>
          <w:rFonts w:ascii="Arial" w:hAnsi="Arial" w:cs="Arial"/>
          <w:sz w:val="24"/>
          <w:szCs w:val="24"/>
        </w:rPr>
        <w:t>activos</w:t>
      </w:r>
      <w:r w:rsidRPr="00180D2C">
        <w:rPr>
          <w:rFonts w:ascii="Arial" w:hAnsi="Arial" w:cs="Arial"/>
          <w:spacing w:val="-15"/>
          <w:sz w:val="24"/>
          <w:szCs w:val="24"/>
        </w:rPr>
        <w:t xml:space="preserve"> </w:t>
      </w:r>
      <w:r w:rsidRPr="00180D2C">
        <w:rPr>
          <w:rFonts w:ascii="Arial" w:hAnsi="Arial" w:cs="Arial"/>
          <w:sz w:val="24"/>
          <w:szCs w:val="24"/>
        </w:rPr>
        <w:t>por</w:t>
      </w:r>
      <w:r w:rsidRPr="00180D2C">
        <w:rPr>
          <w:rFonts w:ascii="Arial" w:hAnsi="Arial" w:cs="Arial"/>
          <w:spacing w:val="-16"/>
          <w:sz w:val="24"/>
          <w:szCs w:val="24"/>
        </w:rPr>
        <w:t xml:space="preserve"> </w:t>
      </w:r>
      <w:r w:rsidRPr="00180D2C">
        <w:rPr>
          <w:rFonts w:ascii="Arial" w:hAnsi="Arial" w:cs="Arial"/>
          <w:sz w:val="24"/>
          <w:szCs w:val="24"/>
        </w:rPr>
        <w:t>$225.250</w:t>
      </w:r>
      <w:r w:rsidRPr="00180D2C">
        <w:rPr>
          <w:rFonts w:ascii="Arial" w:hAnsi="Arial" w:cs="Arial"/>
          <w:spacing w:val="-15"/>
          <w:sz w:val="24"/>
          <w:szCs w:val="24"/>
        </w:rPr>
        <w:t xml:space="preserve"> </w:t>
      </w:r>
      <w:r w:rsidRPr="00180D2C">
        <w:rPr>
          <w:rFonts w:ascii="Arial" w:hAnsi="Arial" w:cs="Arial"/>
          <w:sz w:val="24"/>
          <w:szCs w:val="24"/>
        </w:rPr>
        <w:t>millones,</w:t>
      </w:r>
      <w:r w:rsidRPr="00180D2C">
        <w:rPr>
          <w:rFonts w:ascii="Arial" w:hAnsi="Arial" w:cs="Arial"/>
          <w:spacing w:val="-13"/>
          <w:sz w:val="24"/>
          <w:szCs w:val="24"/>
        </w:rPr>
        <w:t xml:space="preserve"> </w:t>
      </w:r>
      <w:r w:rsidRPr="00180D2C">
        <w:rPr>
          <w:rFonts w:ascii="Arial" w:hAnsi="Arial" w:cs="Arial"/>
          <w:sz w:val="24"/>
          <w:szCs w:val="24"/>
        </w:rPr>
        <w:t>contabilizados</w:t>
      </w:r>
      <w:r w:rsidRPr="00180D2C">
        <w:rPr>
          <w:rFonts w:ascii="Arial" w:hAnsi="Arial" w:cs="Arial"/>
          <w:spacing w:val="-14"/>
          <w:sz w:val="24"/>
          <w:szCs w:val="24"/>
        </w:rPr>
        <w:t xml:space="preserve"> </w:t>
      </w:r>
      <w:r w:rsidRPr="00180D2C">
        <w:rPr>
          <w:rFonts w:ascii="Arial" w:hAnsi="Arial" w:cs="Arial"/>
          <w:sz w:val="24"/>
          <w:szCs w:val="24"/>
        </w:rPr>
        <w:t>y</w:t>
      </w:r>
      <w:r w:rsidRPr="00180D2C">
        <w:rPr>
          <w:rFonts w:ascii="Arial" w:hAnsi="Arial" w:cs="Arial"/>
          <w:spacing w:val="-14"/>
          <w:sz w:val="24"/>
          <w:szCs w:val="24"/>
        </w:rPr>
        <w:t xml:space="preserve"> </w:t>
      </w:r>
      <w:r w:rsidRPr="00180D2C">
        <w:rPr>
          <w:rFonts w:ascii="Arial" w:hAnsi="Arial" w:cs="Arial"/>
          <w:sz w:val="24"/>
          <w:szCs w:val="24"/>
        </w:rPr>
        <w:t>presentados</w:t>
      </w:r>
      <w:r w:rsidRPr="00180D2C">
        <w:rPr>
          <w:rFonts w:ascii="Arial" w:hAnsi="Arial" w:cs="Arial"/>
          <w:spacing w:val="-14"/>
          <w:sz w:val="24"/>
          <w:szCs w:val="24"/>
        </w:rPr>
        <w:t xml:space="preserve"> </w:t>
      </w:r>
      <w:r w:rsidRPr="00180D2C">
        <w:rPr>
          <w:rFonts w:ascii="Arial" w:hAnsi="Arial" w:cs="Arial"/>
          <w:sz w:val="24"/>
          <w:szCs w:val="24"/>
        </w:rPr>
        <w:t>en</w:t>
      </w:r>
      <w:r w:rsidRPr="00180D2C">
        <w:rPr>
          <w:rFonts w:ascii="Arial" w:hAnsi="Arial" w:cs="Arial"/>
          <w:spacing w:val="-15"/>
          <w:sz w:val="24"/>
          <w:szCs w:val="24"/>
        </w:rPr>
        <w:t xml:space="preserve"> </w:t>
      </w:r>
      <w:r w:rsidRPr="00180D2C">
        <w:rPr>
          <w:rFonts w:ascii="Arial" w:hAnsi="Arial" w:cs="Arial"/>
          <w:sz w:val="24"/>
          <w:szCs w:val="24"/>
        </w:rPr>
        <w:t>el</w:t>
      </w:r>
      <w:r w:rsidRPr="00180D2C">
        <w:rPr>
          <w:rFonts w:ascii="Arial" w:hAnsi="Arial" w:cs="Arial"/>
          <w:spacing w:val="-16"/>
          <w:sz w:val="24"/>
          <w:szCs w:val="24"/>
        </w:rPr>
        <w:t xml:space="preserve"> </w:t>
      </w:r>
      <w:r w:rsidRPr="00180D2C">
        <w:rPr>
          <w:rFonts w:ascii="Arial" w:hAnsi="Arial" w:cs="Arial"/>
          <w:sz w:val="24"/>
          <w:szCs w:val="24"/>
        </w:rPr>
        <w:t>rubro de</w:t>
      </w:r>
      <w:r w:rsidRPr="00180D2C">
        <w:rPr>
          <w:rFonts w:ascii="Arial" w:hAnsi="Arial" w:cs="Arial"/>
          <w:spacing w:val="-7"/>
          <w:sz w:val="24"/>
          <w:szCs w:val="24"/>
        </w:rPr>
        <w:t xml:space="preserve"> </w:t>
      </w:r>
      <w:r w:rsidRPr="00180D2C">
        <w:rPr>
          <w:rFonts w:ascii="Arial" w:hAnsi="Arial" w:cs="Arial"/>
          <w:sz w:val="24"/>
          <w:szCs w:val="24"/>
        </w:rPr>
        <w:t>“Derechos</w:t>
      </w:r>
      <w:r w:rsidRPr="00180D2C">
        <w:rPr>
          <w:rFonts w:ascii="Arial" w:hAnsi="Arial" w:cs="Arial"/>
          <w:spacing w:val="-7"/>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Fideicomiso”</w:t>
      </w:r>
      <w:r w:rsidRPr="00180D2C">
        <w:rPr>
          <w:rFonts w:ascii="Arial" w:hAnsi="Arial" w:cs="Arial"/>
          <w:spacing w:val="-4"/>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atención</w:t>
      </w:r>
      <w:r w:rsidRPr="00180D2C">
        <w:rPr>
          <w:rFonts w:ascii="Arial" w:hAnsi="Arial" w:cs="Arial"/>
          <w:spacing w:val="-7"/>
          <w:sz w:val="24"/>
          <w:szCs w:val="24"/>
        </w:rPr>
        <w:t xml:space="preserve"> </w:t>
      </w:r>
      <w:r w:rsidRPr="00180D2C">
        <w:rPr>
          <w:rFonts w:ascii="Arial" w:hAnsi="Arial" w:cs="Arial"/>
          <w:sz w:val="24"/>
          <w:szCs w:val="24"/>
        </w:rPr>
        <w:t>a</w:t>
      </w:r>
      <w:r w:rsidRPr="00180D2C">
        <w:rPr>
          <w:rFonts w:ascii="Arial" w:hAnsi="Arial" w:cs="Arial"/>
          <w:spacing w:val="-6"/>
          <w:sz w:val="24"/>
          <w:szCs w:val="24"/>
        </w:rPr>
        <w:t xml:space="preserve"> </w:t>
      </w:r>
      <w:r w:rsidRPr="00180D2C">
        <w:rPr>
          <w:rFonts w:ascii="Arial" w:hAnsi="Arial" w:cs="Arial"/>
          <w:sz w:val="24"/>
          <w:szCs w:val="24"/>
        </w:rPr>
        <w:t>conceptos</w:t>
      </w:r>
      <w:r w:rsidRPr="00180D2C">
        <w:rPr>
          <w:rFonts w:ascii="Arial" w:hAnsi="Arial" w:cs="Arial"/>
          <w:spacing w:val="-6"/>
          <w:sz w:val="24"/>
          <w:szCs w:val="24"/>
        </w:rPr>
        <w:t xml:space="preserve"> </w:t>
      </w:r>
      <w:r w:rsidRPr="00180D2C">
        <w:rPr>
          <w:rFonts w:ascii="Arial" w:hAnsi="Arial" w:cs="Arial"/>
          <w:sz w:val="24"/>
          <w:szCs w:val="24"/>
        </w:rPr>
        <w:t>que</w:t>
      </w:r>
      <w:r w:rsidRPr="00180D2C">
        <w:rPr>
          <w:rFonts w:ascii="Arial" w:hAnsi="Arial" w:cs="Arial"/>
          <w:spacing w:val="-6"/>
          <w:sz w:val="24"/>
          <w:szCs w:val="24"/>
        </w:rPr>
        <w:t xml:space="preserve"> </w:t>
      </w:r>
      <w:r w:rsidRPr="00180D2C">
        <w:rPr>
          <w:rFonts w:ascii="Arial" w:hAnsi="Arial" w:cs="Arial"/>
          <w:sz w:val="24"/>
          <w:szCs w:val="24"/>
        </w:rPr>
        <w:t>sobre</w:t>
      </w:r>
      <w:r w:rsidRPr="00180D2C">
        <w:rPr>
          <w:rFonts w:ascii="Arial" w:hAnsi="Arial" w:cs="Arial"/>
          <w:spacing w:val="-6"/>
          <w:sz w:val="24"/>
          <w:szCs w:val="24"/>
        </w:rPr>
        <w:t xml:space="preserve"> </w:t>
      </w:r>
      <w:r w:rsidRPr="00180D2C">
        <w:rPr>
          <w:rFonts w:ascii="Arial" w:hAnsi="Arial" w:cs="Arial"/>
          <w:sz w:val="24"/>
          <w:szCs w:val="24"/>
        </w:rPr>
        <w:t>el</w:t>
      </w:r>
      <w:r w:rsidRPr="00180D2C">
        <w:rPr>
          <w:rFonts w:ascii="Arial" w:hAnsi="Arial" w:cs="Arial"/>
          <w:spacing w:val="-7"/>
          <w:sz w:val="24"/>
          <w:szCs w:val="24"/>
        </w:rPr>
        <w:t xml:space="preserve"> </w:t>
      </w:r>
      <w:r w:rsidRPr="00180D2C">
        <w:rPr>
          <w:rFonts w:ascii="Arial" w:hAnsi="Arial" w:cs="Arial"/>
          <w:sz w:val="24"/>
          <w:szCs w:val="24"/>
        </w:rPr>
        <w:t>particular</w:t>
      </w:r>
      <w:r w:rsidRPr="00180D2C">
        <w:rPr>
          <w:rFonts w:ascii="Arial" w:hAnsi="Arial" w:cs="Arial"/>
          <w:spacing w:val="-6"/>
          <w:sz w:val="24"/>
          <w:szCs w:val="24"/>
        </w:rPr>
        <w:t xml:space="preserve"> </w:t>
      </w:r>
      <w:r w:rsidRPr="00180D2C">
        <w:rPr>
          <w:rFonts w:ascii="Arial" w:hAnsi="Arial" w:cs="Arial"/>
          <w:sz w:val="24"/>
          <w:szCs w:val="24"/>
        </w:rPr>
        <w:t>emitió la Contaduría General de la Nación, los cuales se originaron en la venta de 14 inmuebles a Aldea</w:t>
      </w:r>
      <w:r w:rsidRPr="00180D2C">
        <w:rPr>
          <w:rFonts w:ascii="Arial" w:hAnsi="Arial" w:cs="Arial"/>
          <w:spacing w:val="-2"/>
          <w:sz w:val="24"/>
          <w:szCs w:val="24"/>
        </w:rPr>
        <w:t xml:space="preserve"> </w:t>
      </w:r>
      <w:r w:rsidRPr="00180D2C">
        <w:rPr>
          <w:rFonts w:ascii="Arial" w:hAnsi="Arial" w:cs="Arial"/>
          <w:sz w:val="24"/>
          <w:szCs w:val="24"/>
        </w:rPr>
        <w:t>Proyectos S.A.S, mediante</w:t>
      </w:r>
      <w:r w:rsidRPr="00180D2C">
        <w:rPr>
          <w:rFonts w:ascii="Arial" w:hAnsi="Arial" w:cs="Arial"/>
          <w:spacing w:val="-1"/>
          <w:sz w:val="24"/>
          <w:szCs w:val="24"/>
        </w:rPr>
        <w:t xml:space="preserve"> </w:t>
      </w:r>
      <w:r w:rsidRPr="00180D2C">
        <w:rPr>
          <w:rFonts w:ascii="Arial" w:hAnsi="Arial" w:cs="Arial"/>
          <w:sz w:val="24"/>
          <w:szCs w:val="24"/>
        </w:rPr>
        <w:t>la</w:t>
      </w:r>
      <w:r w:rsidRPr="00180D2C">
        <w:rPr>
          <w:rFonts w:ascii="Arial" w:hAnsi="Arial" w:cs="Arial"/>
          <w:spacing w:val="-2"/>
          <w:sz w:val="24"/>
          <w:szCs w:val="24"/>
        </w:rPr>
        <w:t xml:space="preserve"> </w:t>
      </w:r>
      <w:r w:rsidRPr="00180D2C">
        <w:rPr>
          <w:rFonts w:ascii="Arial" w:hAnsi="Arial" w:cs="Arial"/>
          <w:sz w:val="24"/>
          <w:szCs w:val="24"/>
        </w:rPr>
        <w:t>escritura</w:t>
      </w:r>
      <w:r w:rsidRPr="00180D2C">
        <w:rPr>
          <w:rFonts w:ascii="Arial" w:hAnsi="Arial" w:cs="Arial"/>
          <w:spacing w:val="-2"/>
          <w:sz w:val="24"/>
          <w:szCs w:val="24"/>
        </w:rPr>
        <w:t xml:space="preserve"> </w:t>
      </w:r>
      <w:r w:rsidRPr="00180D2C">
        <w:rPr>
          <w:rFonts w:ascii="Arial" w:hAnsi="Arial" w:cs="Arial"/>
          <w:sz w:val="24"/>
          <w:szCs w:val="24"/>
        </w:rPr>
        <w:t>pública No. 798</w:t>
      </w:r>
      <w:r w:rsidRPr="00180D2C">
        <w:rPr>
          <w:rFonts w:ascii="Arial" w:hAnsi="Arial" w:cs="Arial"/>
          <w:spacing w:val="-2"/>
          <w:sz w:val="24"/>
          <w:szCs w:val="24"/>
        </w:rPr>
        <w:t xml:space="preserve"> </w:t>
      </w:r>
      <w:r w:rsidRPr="00180D2C">
        <w:rPr>
          <w:rFonts w:ascii="Arial" w:hAnsi="Arial" w:cs="Arial"/>
          <w:sz w:val="24"/>
          <w:szCs w:val="24"/>
        </w:rPr>
        <w:t>del 26</w:t>
      </w:r>
      <w:r w:rsidRPr="00180D2C">
        <w:rPr>
          <w:rFonts w:ascii="Arial" w:hAnsi="Arial" w:cs="Arial"/>
          <w:spacing w:val="-2"/>
          <w:sz w:val="24"/>
          <w:szCs w:val="24"/>
        </w:rPr>
        <w:t xml:space="preserve"> </w:t>
      </w:r>
      <w:r w:rsidRPr="00180D2C">
        <w:rPr>
          <w:rFonts w:ascii="Arial" w:hAnsi="Arial" w:cs="Arial"/>
          <w:sz w:val="24"/>
          <w:szCs w:val="24"/>
        </w:rPr>
        <w:t>de junio de 2015. En contraprestación, CREMIL recibiría la Torre 2 y 289 estacionamientos del proyecto Inmobiliario América De Negocios en un plazo aproximado</w:t>
      </w:r>
      <w:r w:rsidRPr="00180D2C">
        <w:rPr>
          <w:rFonts w:ascii="Arial" w:hAnsi="Arial" w:cs="Arial"/>
          <w:spacing w:val="-11"/>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48</w:t>
      </w:r>
      <w:r w:rsidRPr="00180D2C">
        <w:rPr>
          <w:rFonts w:ascii="Arial" w:hAnsi="Arial" w:cs="Arial"/>
          <w:spacing w:val="-12"/>
          <w:sz w:val="24"/>
          <w:szCs w:val="24"/>
        </w:rPr>
        <w:t xml:space="preserve"> </w:t>
      </w:r>
      <w:r w:rsidRPr="00180D2C">
        <w:rPr>
          <w:rFonts w:ascii="Arial" w:hAnsi="Arial" w:cs="Arial"/>
          <w:sz w:val="24"/>
          <w:szCs w:val="24"/>
        </w:rPr>
        <w:t>meses</w:t>
      </w:r>
      <w:r w:rsidRPr="00180D2C">
        <w:rPr>
          <w:rFonts w:ascii="Arial" w:hAnsi="Arial" w:cs="Arial"/>
          <w:spacing w:val="-14"/>
          <w:sz w:val="24"/>
          <w:szCs w:val="24"/>
        </w:rPr>
        <w:t xml:space="preserve"> </w:t>
      </w:r>
      <w:r w:rsidRPr="00180D2C">
        <w:rPr>
          <w:rFonts w:ascii="Arial" w:hAnsi="Arial" w:cs="Arial"/>
          <w:sz w:val="24"/>
          <w:szCs w:val="24"/>
        </w:rPr>
        <w:t>contados</w:t>
      </w:r>
      <w:r w:rsidRPr="00180D2C">
        <w:rPr>
          <w:rFonts w:ascii="Arial" w:hAnsi="Arial" w:cs="Arial"/>
          <w:spacing w:val="-11"/>
          <w:sz w:val="24"/>
          <w:szCs w:val="24"/>
        </w:rPr>
        <w:t xml:space="preserve"> </w:t>
      </w:r>
      <w:r w:rsidRPr="00180D2C">
        <w:rPr>
          <w:rFonts w:ascii="Arial" w:hAnsi="Arial" w:cs="Arial"/>
          <w:sz w:val="24"/>
          <w:szCs w:val="24"/>
        </w:rPr>
        <w:t>a</w:t>
      </w:r>
      <w:r w:rsidRPr="00180D2C">
        <w:rPr>
          <w:rFonts w:ascii="Arial" w:hAnsi="Arial" w:cs="Arial"/>
          <w:spacing w:val="-14"/>
          <w:sz w:val="24"/>
          <w:szCs w:val="24"/>
        </w:rPr>
        <w:t xml:space="preserve"> </w:t>
      </w:r>
      <w:r w:rsidRPr="00180D2C">
        <w:rPr>
          <w:rFonts w:ascii="Arial" w:hAnsi="Arial" w:cs="Arial"/>
          <w:sz w:val="24"/>
          <w:szCs w:val="24"/>
        </w:rPr>
        <w:t>partir</w:t>
      </w:r>
      <w:r w:rsidRPr="00180D2C">
        <w:rPr>
          <w:rFonts w:ascii="Arial" w:hAnsi="Arial" w:cs="Arial"/>
          <w:spacing w:val="-10"/>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la</w:t>
      </w:r>
      <w:r w:rsidRPr="00180D2C">
        <w:rPr>
          <w:rFonts w:ascii="Arial" w:hAnsi="Arial" w:cs="Arial"/>
          <w:spacing w:val="-14"/>
          <w:sz w:val="24"/>
          <w:szCs w:val="24"/>
        </w:rPr>
        <w:t xml:space="preserve"> </w:t>
      </w:r>
      <w:r w:rsidRPr="00180D2C">
        <w:rPr>
          <w:rFonts w:ascii="Arial" w:hAnsi="Arial" w:cs="Arial"/>
          <w:sz w:val="24"/>
          <w:szCs w:val="24"/>
        </w:rPr>
        <w:t>firma</w:t>
      </w:r>
      <w:r w:rsidRPr="00180D2C">
        <w:rPr>
          <w:rFonts w:ascii="Arial" w:hAnsi="Arial" w:cs="Arial"/>
          <w:spacing w:val="-11"/>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la</w:t>
      </w:r>
      <w:r w:rsidRPr="00180D2C">
        <w:rPr>
          <w:rFonts w:ascii="Arial" w:hAnsi="Arial" w:cs="Arial"/>
          <w:spacing w:val="-11"/>
          <w:sz w:val="24"/>
          <w:szCs w:val="24"/>
        </w:rPr>
        <w:t xml:space="preserve"> </w:t>
      </w:r>
      <w:r w:rsidRPr="00180D2C">
        <w:rPr>
          <w:rFonts w:ascii="Arial" w:hAnsi="Arial" w:cs="Arial"/>
          <w:sz w:val="24"/>
          <w:szCs w:val="24"/>
        </w:rPr>
        <w:t>escritura</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venta,</w:t>
      </w:r>
      <w:r w:rsidRPr="00180D2C">
        <w:rPr>
          <w:rFonts w:ascii="Arial" w:hAnsi="Arial" w:cs="Arial"/>
          <w:spacing w:val="-10"/>
          <w:sz w:val="24"/>
          <w:szCs w:val="24"/>
        </w:rPr>
        <w:t xml:space="preserve"> </w:t>
      </w:r>
      <w:r w:rsidRPr="00180D2C">
        <w:rPr>
          <w:rFonts w:ascii="Arial" w:hAnsi="Arial" w:cs="Arial"/>
          <w:sz w:val="24"/>
          <w:szCs w:val="24"/>
        </w:rPr>
        <w:t>lo</w:t>
      </w:r>
      <w:r w:rsidRPr="00180D2C">
        <w:rPr>
          <w:rFonts w:ascii="Arial" w:hAnsi="Arial" w:cs="Arial"/>
          <w:spacing w:val="-11"/>
          <w:sz w:val="24"/>
          <w:szCs w:val="24"/>
        </w:rPr>
        <w:t xml:space="preserve"> </w:t>
      </w:r>
      <w:r w:rsidRPr="00180D2C">
        <w:rPr>
          <w:rFonts w:ascii="Arial" w:hAnsi="Arial" w:cs="Arial"/>
          <w:sz w:val="24"/>
          <w:szCs w:val="24"/>
        </w:rPr>
        <w:t>cual hasta la fecha de nuestro informe no se ha perfeccionado.</w:t>
      </w:r>
    </w:p>
    <w:p w14:paraId="115E386F" w14:textId="77777777" w:rsidR="00E46C0A" w:rsidRPr="00180D2C" w:rsidRDefault="00E46C0A" w:rsidP="00E95331">
      <w:pPr>
        <w:pStyle w:val="Textoindependiente"/>
        <w:spacing w:before="14"/>
        <w:ind w:right="-234"/>
        <w:rPr>
          <w:rFonts w:ascii="Arial" w:hAnsi="Arial" w:cs="Arial"/>
          <w:sz w:val="24"/>
          <w:szCs w:val="24"/>
        </w:rPr>
      </w:pPr>
    </w:p>
    <w:p w14:paraId="66A7BBCF"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En</w:t>
      </w:r>
      <w:r w:rsidRPr="00180D2C">
        <w:rPr>
          <w:rFonts w:ascii="Arial" w:hAnsi="Arial" w:cs="Arial"/>
          <w:spacing w:val="-16"/>
          <w:sz w:val="24"/>
          <w:szCs w:val="24"/>
        </w:rPr>
        <w:t xml:space="preserve"> </w:t>
      </w:r>
      <w:r w:rsidRPr="00180D2C">
        <w:rPr>
          <w:rFonts w:ascii="Arial" w:hAnsi="Arial" w:cs="Arial"/>
          <w:sz w:val="24"/>
          <w:szCs w:val="24"/>
        </w:rPr>
        <w:t>octubre</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2024</w:t>
      </w:r>
      <w:r w:rsidRPr="00180D2C">
        <w:rPr>
          <w:rFonts w:ascii="Arial" w:hAnsi="Arial" w:cs="Arial"/>
          <w:spacing w:val="-16"/>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entidad</w:t>
      </w:r>
      <w:r w:rsidRPr="00180D2C">
        <w:rPr>
          <w:rFonts w:ascii="Arial" w:hAnsi="Arial" w:cs="Arial"/>
          <w:spacing w:val="-15"/>
          <w:sz w:val="24"/>
          <w:szCs w:val="24"/>
        </w:rPr>
        <w:t xml:space="preserve"> </w:t>
      </w:r>
      <w:r w:rsidRPr="00180D2C">
        <w:rPr>
          <w:rFonts w:ascii="Arial" w:hAnsi="Arial" w:cs="Arial"/>
          <w:sz w:val="24"/>
          <w:szCs w:val="24"/>
        </w:rPr>
        <w:t>solicitó</w:t>
      </w:r>
      <w:r w:rsidRPr="00180D2C">
        <w:rPr>
          <w:rFonts w:ascii="Arial" w:hAnsi="Arial" w:cs="Arial"/>
          <w:spacing w:val="-15"/>
          <w:sz w:val="24"/>
          <w:szCs w:val="24"/>
        </w:rPr>
        <w:t xml:space="preserve"> </w:t>
      </w:r>
      <w:r w:rsidRPr="00180D2C">
        <w:rPr>
          <w:rFonts w:ascii="Arial" w:hAnsi="Arial" w:cs="Arial"/>
          <w:sz w:val="24"/>
          <w:szCs w:val="24"/>
        </w:rPr>
        <w:t>a</w:t>
      </w:r>
      <w:r w:rsidRPr="00180D2C">
        <w:rPr>
          <w:rFonts w:ascii="Arial" w:hAnsi="Arial" w:cs="Arial"/>
          <w:spacing w:val="-16"/>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Contaduría</w:t>
      </w:r>
      <w:r w:rsidRPr="00180D2C">
        <w:rPr>
          <w:rFonts w:ascii="Arial" w:hAnsi="Arial" w:cs="Arial"/>
          <w:spacing w:val="-15"/>
          <w:sz w:val="24"/>
          <w:szCs w:val="24"/>
        </w:rPr>
        <w:t xml:space="preserve"> </w:t>
      </w:r>
      <w:r w:rsidRPr="00180D2C">
        <w:rPr>
          <w:rFonts w:ascii="Arial" w:hAnsi="Arial" w:cs="Arial"/>
          <w:sz w:val="24"/>
          <w:szCs w:val="24"/>
        </w:rPr>
        <w:t>General</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Nación</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revisión de los conceptos Nos. CGN20231100026681 del 12 de septiembre de 2023 y CGN20241100003511 del 13 de febrero de 2024, para dar claridad al tratamiento contable del hecho económico contabilizado como “Derechos en Fideicomiso”. En respuesta al estudio</w:t>
      </w:r>
      <w:r w:rsidRPr="00180D2C">
        <w:rPr>
          <w:rFonts w:ascii="Arial" w:hAnsi="Arial" w:cs="Arial"/>
          <w:spacing w:val="19"/>
          <w:sz w:val="24"/>
          <w:szCs w:val="24"/>
        </w:rPr>
        <w:t xml:space="preserve"> </w:t>
      </w:r>
      <w:r w:rsidRPr="00180D2C">
        <w:rPr>
          <w:rFonts w:ascii="Arial" w:hAnsi="Arial" w:cs="Arial"/>
          <w:sz w:val="24"/>
          <w:szCs w:val="24"/>
        </w:rPr>
        <w:t>presentado</w:t>
      </w:r>
      <w:r w:rsidRPr="00180D2C">
        <w:rPr>
          <w:rFonts w:ascii="Arial" w:hAnsi="Arial" w:cs="Arial"/>
          <w:spacing w:val="19"/>
          <w:sz w:val="24"/>
          <w:szCs w:val="24"/>
        </w:rPr>
        <w:t xml:space="preserve"> </w:t>
      </w:r>
      <w:r w:rsidRPr="00180D2C">
        <w:rPr>
          <w:rFonts w:ascii="Arial" w:hAnsi="Arial" w:cs="Arial"/>
          <w:sz w:val="24"/>
          <w:szCs w:val="24"/>
        </w:rPr>
        <w:t>por</w:t>
      </w:r>
      <w:r w:rsidRPr="00180D2C">
        <w:rPr>
          <w:rFonts w:ascii="Arial" w:hAnsi="Arial" w:cs="Arial"/>
          <w:spacing w:val="20"/>
          <w:sz w:val="24"/>
          <w:szCs w:val="24"/>
        </w:rPr>
        <w:t xml:space="preserve"> </w:t>
      </w:r>
      <w:r w:rsidRPr="00180D2C">
        <w:rPr>
          <w:rFonts w:ascii="Arial" w:hAnsi="Arial" w:cs="Arial"/>
          <w:sz w:val="24"/>
          <w:szCs w:val="24"/>
        </w:rPr>
        <w:t>CREMIL,</w:t>
      </w:r>
      <w:r w:rsidRPr="00180D2C">
        <w:rPr>
          <w:rFonts w:ascii="Arial" w:hAnsi="Arial" w:cs="Arial"/>
          <w:spacing w:val="20"/>
          <w:sz w:val="24"/>
          <w:szCs w:val="24"/>
        </w:rPr>
        <w:t xml:space="preserve"> </w:t>
      </w:r>
      <w:r w:rsidRPr="00180D2C">
        <w:rPr>
          <w:rFonts w:ascii="Arial" w:hAnsi="Arial" w:cs="Arial"/>
          <w:sz w:val="24"/>
          <w:szCs w:val="24"/>
        </w:rPr>
        <w:t>la</w:t>
      </w:r>
      <w:r w:rsidRPr="00180D2C">
        <w:rPr>
          <w:rFonts w:ascii="Arial" w:hAnsi="Arial" w:cs="Arial"/>
          <w:spacing w:val="19"/>
          <w:sz w:val="24"/>
          <w:szCs w:val="24"/>
        </w:rPr>
        <w:t xml:space="preserve"> </w:t>
      </w:r>
      <w:r w:rsidRPr="00180D2C">
        <w:rPr>
          <w:rFonts w:ascii="Arial" w:hAnsi="Arial" w:cs="Arial"/>
          <w:sz w:val="24"/>
          <w:szCs w:val="24"/>
        </w:rPr>
        <w:t>Contaduría</w:t>
      </w:r>
      <w:r w:rsidRPr="00180D2C">
        <w:rPr>
          <w:rFonts w:ascii="Arial" w:hAnsi="Arial" w:cs="Arial"/>
          <w:spacing w:val="19"/>
          <w:sz w:val="24"/>
          <w:szCs w:val="24"/>
        </w:rPr>
        <w:t xml:space="preserve"> </w:t>
      </w:r>
      <w:r w:rsidRPr="00180D2C">
        <w:rPr>
          <w:rFonts w:ascii="Arial" w:hAnsi="Arial" w:cs="Arial"/>
          <w:sz w:val="24"/>
          <w:szCs w:val="24"/>
        </w:rPr>
        <w:t>General de la</w:t>
      </w:r>
      <w:r w:rsidRPr="00180D2C">
        <w:rPr>
          <w:rFonts w:ascii="Arial" w:hAnsi="Arial" w:cs="Arial"/>
          <w:spacing w:val="19"/>
          <w:sz w:val="24"/>
          <w:szCs w:val="24"/>
        </w:rPr>
        <w:t xml:space="preserve"> </w:t>
      </w:r>
      <w:r w:rsidRPr="00180D2C">
        <w:rPr>
          <w:rFonts w:ascii="Arial" w:hAnsi="Arial" w:cs="Arial"/>
          <w:sz w:val="24"/>
          <w:szCs w:val="24"/>
        </w:rPr>
        <w:t>Nación mediante el concepto No. 20251100002181 derogó lo definido en los anteriores conceptos y dio instrucciones para contabilizar “los recursos entregados en forma anticipada para la adquisición de los bienes inmuebles resultantes del Proyecto América Centro de Negocios en la subcuenta 190590 - Otros bienes y servicios pagados</w:t>
      </w:r>
      <w:r w:rsidRPr="00180D2C">
        <w:rPr>
          <w:rFonts w:ascii="Arial" w:hAnsi="Arial" w:cs="Arial"/>
          <w:spacing w:val="-5"/>
          <w:sz w:val="24"/>
          <w:szCs w:val="24"/>
        </w:rPr>
        <w:t xml:space="preserve"> </w:t>
      </w:r>
      <w:r w:rsidRPr="00180D2C">
        <w:rPr>
          <w:rFonts w:ascii="Arial" w:hAnsi="Arial" w:cs="Arial"/>
          <w:sz w:val="24"/>
          <w:szCs w:val="24"/>
        </w:rPr>
        <w:t>por</w:t>
      </w:r>
      <w:r w:rsidRPr="00180D2C">
        <w:rPr>
          <w:rFonts w:ascii="Arial" w:hAnsi="Arial" w:cs="Arial"/>
          <w:spacing w:val="-6"/>
          <w:sz w:val="24"/>
          <w:szCs w:val="24"/>
        </w:rPr>
        <w:t xml:space="preserve"> </w:t>
      </w:r>
      <w:r w:rsidRPr="00180D2C">
        <w:rPr>
          <w:rFonts w:ascii="Arial" w:hAnsi="Arial" w:cs="Arial"/>
          <w:sz w:val="24"/>
          <w:szCs w:val="24"/>
        </w:rPr>
        <w:t>anticipado</w:t>
      </w:r>
      <w:r w:rsidRPr="00180D2C">
        <w:rPr>
          <w:rFonts w:ascii="Arial" w:hAnsi="Arial" w:cs="Arial"/>
          <w:spacing w:val="-8"/>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la</w:t>
      </w:r>
      <w:r w:rsidRPr="00180D2C">
        <w:rPr>
          <w:rFonts w:ascii="Arial" w:hAnsi="Arial" w:cs="Arial"/>
          <w:spacing w:val="-5"/>
          <w:sz w:val="24"/>
          <w:szCs w:val="24"/>
        </w:rPr>
        <w:t xml:space="preserve"> </w:t>
      </w:r>
      <w:r w:rsidRPr="00180D2C">
        <w:rPr>
          <w:rFonts w:ascii="Arial" w:hAnsi="Arial" w:cs="Arial"/>
          <w:sz w:val="24"/>
          <w:szCs w:val="24"/>
        </w:rPr>
        <w:t>cuenta</w:t>
      </w:r>
      <w:r w:rsidRPr="00180D2C">
        <w:rPr>
          <w:rFonts w:ascii="Arial" w:hAnsi="Arial" w:cs="Arial"/>
          <w:spacing w:val="-5"/>
          <w:sz w:val="24"/>
          <w:szCs w:val="24"/>
        </w:rPr>
        <w:t xml:space="preserve"> </w:t>
      </w:r>
      <w:r w:rsidRPr="00180D2C">
        <w:rPr>
          <w:rFonts w:ascii="Arial" w:hAnsi="Arial" w:cs="Arial"/>
          <w:sz w:val="24"/>
          <w:szCs w:val="24"/>
        </w:rPr>
        <w:t>1905</w:t>
      </w:r>
      <w:r w:rsidRPr="00180D2C">
        <w:rPr>
          <w:rFonts w:ascii="Arial" w:hAnsi="Arial" w:cs="Arial"/>
          <w:spacing w:val="-10"/>
          <w:sz w:val="24"/>
          <w:szCs w:val="24"/>
        </w:rPr>
        <w:t xml:space="preserve"> </w:t>
      </w:r>
      <w:r w:rsidRPr="00180D2C">
        <w:rPr>
          <w:rFonts w:ascii="Arial" w:hAnsi="Arial" w:cs="Arial"/>
          <w:sz w:val="24"/>
          <w:szCs w:val="24"/>
        </w:rPr>
        <w:t>-</w:t>
      </w:r>
      <w:r w:rsidRPr="00180D2C">
        <w:rPr>
          <w:rFonts w:ascii="Arial" w:hAnsi="Arial" w:cs="Arial"/>
          <w:spacing w:val="-3"/>
          <w:sz w:val="24"/>
          <w:szCs w:val="24"/>
        </w:rPr>
        <w:t xml:space="preserve"> </w:t>
      </w:r>
      <w:r w:rsidRPr="00180D2C">
        <w:rPr>
          <w:rFonts w:ascii="Arial" w:hAnsi="Arial" w:cs="Arial"/>
          <w:sz w:val="24"/>
          <w:szCs w:val="24"/>
        </w:rPr>
        <w:t>BIENES</w:t>
      </w:r>
      <w:r w:rsidRPr="00180D2C">
        <w:rPr>
          <w:rFonts w:ascii="Arial" w:hAnsi="Arial" w:cs="Arial"/>
          <w:spacing w:val="-5"/>
          <w:sz w:val="24"/>
          <w:szCs w:val="24"/>
        </w:rPr>
        <w:t xml:space="preserve"> </w:t>
      </w:r>
      <w:r w:rsidRPr="00180D2C">
        <w:rPr>
          <w:rFonts w:ascii="Arial" w:hAnsi="Arial" w:cs="Arial"/>
          <w:sz w:val="24"/>
          <w:szCs w:val="24"/>
        </w:rPr>
        <w:t>Y</w:t>
      </w:r>
      <w:r w:rsidRPr="00180D2C">
        <w:rPr>
          <w:rFonts w:ascii="Arial" w:hAnsi="Arial" w:cs="Arial"/>
          <w:spacing w:val="-5"/>
          <w:sz w:val="24"/>
          <w:szCs w:val="24"/>
        </w:rPr>
        <w:t xml:space="preserve"> </w:t>
      </w:r>
      <w:r w:rsidRPr="00180D2C">
        <w:rPr>
          <w:rFonts w:ascii="Arial" w:hAnsi="Arial" w:cs="Arial"/>
          <w:sz w:val="24"/>
          <w:szCs w:val="24"/>
        </w:rPr>
        <w:t>SERVICIOS</w:t>
      </w:r>
      <w:r w:rsidRPr="00180D2C">
        <w:rPr>
          <w:rFonts w:ascii="Arial" w:hAnsi="Arial" w:cs="Arial"/>
          <w:spacing w:val="-5"/>
          <w:sz w:val="24"/>
          <w:szCs w:val="24"/>
        </w:rPr>
        <w:t xml:space="preserve"> </w:t>
      </w:r>
      <w:r w:rsidRPr="00180D2C">
        <w:rPr>
          <w:rFonts w:ascii="Arial" w:hAnsi="Arial" w:cs="Arial"/>
          <w:sz w:val="24"/>
          <w:szCs w:val="24"/>
        </w:rPr>
        <w:t>PAGADOS</w:t>
      </w:r>
      <w:r w:rsidRPr="00180D2C">
        <w:rPr>
          <w:rFonts w:ascii="Arial" w:hAnsi="Arial" w:cs="Arial"/>
          <w:spacing w:val="-5"/>
          <w:sz w:val="24"/>
          <w:szCs w:val="24"/>
        </w:rPr>
        <w:t xml:space="preserve"> </w:t>
      </w:r>
      <w:r w:rsidRPr="00180D2C">
        <w:rPr>
          <w:rFonts w:ascii="Arial" w:hAnsi="Arial" w:cs="Arial"/>
          <w:sz w:val="24"/>
          <w:szCs w:val="24"/>
        </w:rPr>
        <w:t>POR ANTICIPADO o en la subcuenta 190604 - Anticipo para adquisición de bienes y servicios</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cuenta</w:t>
      </w:r>
      <w:r w:rsidRPr="00180D2C">
        <w:rPr>
          <w:rFonts w:ascii="Arial" w:hAnsi="Arial" w:cs="Arial"/>
          <w:spacing w:val="-16"/>
          <w:sz w:val="24"/>
          <w:szCs w:val="24"/>
        </w:rPr>
        <w:t xml:space="preserve"> </w:t>
      </w:r>
      <w:r w:rsidRPr="00180D2C">
        <w:rPr>
          <w:rFonts w:ascii="Arial" w:hAnsi="Arial" w:cs="Arial"/>
          <w:sz w:val="24"/>
          <w:szCs w:val="24"/>
        </w:rPr>
        <w:t>1906</w:t>
      </w:r>
      <w:r w:rsidRPr="00180D2C">
        <w:rPr>
          <w:rFonts w:ascii="Arial" w:hAnsi="Arial" w:cs="Arial"/>
          <w:spacing w:val="-15"/>
          <w:sz w:val="24"/>
          <w:szCs w:val="24"/>
        </w:rPr>
        <w:t xml:space="preserve"> </w:t>
      </w:r>
      <w:r w:rsidRPr="00180D2C">
        <w:rPr>
          <w:rFonts w:ascii="Arial" w:hAnsi="Arial" w:cs="Arial"/>
          <w:sz w:val="24"/>
          <w:szCs w:val="24"/>
        </w:rPr>
        <w:t>-</w:t>
      </w:r>
      <w:r w:rsidRPr="00180D2C">
        <w:rPr>
          <w:rFonts w:ascii="Arial" w:hAnsi="Arial" w:cs="Arial"/>
          <w:spacing w:val="-15"/>
          <w:sz w:val="24"/>
          <w:szCs w:val="24"/>
        </w:rPr>
        <w:t xml:space="preserve"> </w:t>
      </w:r>
      <w:r w:rsidRPr="00180D2C">
        <w:rPr>
          <w:rFonts w:ascii="Arial" w:hAnsi="Arial" w:cs="Arial"/>
          <w:sz w:val="24"/>
          <w:szCs w:val="24"/>
        </w:rPr>
        <w:t>AVANCES</w:t>
      </w:r>
      <w:r w:rsidRPr="00180D2C">
        <w:rPr>
          <w:rFonts w:ascii="Arial" w:hAnsi="Arial" w:cs="Arial"/>
          <w:spacing w:val="-15"/>
          <w:sz w:val="24"/>
          <w:szCs w:val="24"/>
        </w:rPr>
        <w:t xml:space="preserve"> </w:t>
      </w:r>
      <w:r w:rsidRPr="00180D2C">
        <w:rPr>
          <w:rFonts w:ascii="Arial" w:hAnsi="Arial" w:cs="Arial"/>
          <w:sz w:val="24"/>
          <w:szCs w:val="24"/>
        </w:rPr>
        <w:t>Y</w:t>
      </w:r>
      <w:r w:rsidRPr="00180D2C">
        <w:rPr>
          <w:rFonts w:ascii="Arial" w:hAnsi="Arial" w:cs="Arial"/>
          <w:spacing w:val="-16"/>
          <w:sz w:val="24"/>
          <w:szCs w:val="24"/>
        </w:rPr>
        <w:t xml:space="preserve"> </w:t>
      </w:r>
      <w:r w:rsidRPr="00180D2C">
        <w:rPr>
          <w:rFonts w:ascii="Arial" w:hAnsi="Arial" w:cs="Arial"/>
          <w:sz w:val="24"/>
          <w:szCs w:val="24"/>
        </w:rPr>
        <w:t>ANTICIPOS</w:t>
      </w:r>
      <w:r w:rsidRPr="00180D2C">
        <w:rPr>
          <w:rFonts w:ascii="Arial" w:hAnsi="Arial" w:cs="Arial"/>
          <w:spacing w:val="-15"/>
          <w:sz w:val="24"/>
          <w:szCs w:val="24"/>
        </w:rPr>
        <w:t xml:space="preserve"> </w:t>
      </w:r>
      <w:r w:rsidRPr="00180D2C">
        <w:rPr>
          <w:rFonts w:ascii="Arial" w:hAnsi="Arial" w:cs="Arial"/>
          <w:sz w:val="24"/>
          <w:szCs w:val="24"/>
        </w:rPr>
        <w:t>ENTREGADOS,</w:t>
      </w:r>
      <w:r w:rsidRPr="00180D2C">
        <w:rPr>
          <w:rFonts w:ascii="Arial" w:hAnsi="Arial" w:cs="Arial"/>
          <w:spacing w:val="-15"/>
          <w:sz w:val="24"/>
          <w:szCs w:val="24"/>
        </w:rPr>
        <w:t xml:space="preserve"> </w:t>
      </w:r>
      <w:r w:rsidRPr="00180D2C">
        <w:rPr>
          <w:rFonts w:ascii="Arial" w:hAnsi="Arial" w:cs="Arial"/>
          <w:sz w:val="24"/>
          <w:szCs w:val="24"/>
        </w:rPr>
        <w:t>dependiendo de la naturaleza del pago pactado; es decir, si tienen la condición de un pago anticipado</w:t>
      </w:r>
      <w:r w:rsidRPr="00180D2C">
        <w:rPr>
          <w:rFonts w:ascii="Arial" w:hAnsi="Arial" w:cs="Arial"/>
          <w:spacing w:val="-5"/>
          <w:sz w:val="24"/>
          <w:szCs w:val="24"/>
        </w:rPr>
        <w:t xml:space="preserve"> </w:t>
      </w:r>
      <w:r w:rsidRPr="00180D2C">
        <w:rPr>
          <w:rFonts w:ascii="Arial" w:hAnsi="Arial" w:cs="Arial"/>
          <w:sz w:val="24"/>
          <w:szCs w:val="24"/>
        </w:rPr>
        <w:t>para</w:t>
      </w:r>
      <w:r w:rsidRPr="00180D2C">
        <w:rPr>
          <w:rFonts w:ascii="Arial" w:hAnsi="Arial" w:cs="Arial"/>
          <w:spacing w:val="-7"/>
          <w:sz w:val="24"/>
          <w:szCs w:val="24"/>
        </w:rPr>
        <w:t xml:space="preserve"> </w:t>
      </w:r>
      <w:r w:rsidRPr="00180D2C">
        <w:rPr>
          <w:rFonts w:ascii="Arial" w:hAnsi="Arial" w:cs="Arial"/>
          <w:sz w:val="24"/>
          <w:szCs w:val="24"/>
        </w:rPr>
        <w:t>la</w:t>
      </w:r>
      <w:r w:rsidRPr="00180D2C">
        <w:rPr>
          <w:rFonts w:ascii="Arial" w:hAnsi="Arial" w:cs="Arial"/>
          <w:spacing w:val="-7"/>
          <w:sz w:val="24"/>
          <w:szCs w:val="24"/>
        </w:rPr>
        <w:t xml:space="preserve"> </w:t>
      </w:r>
      <w:r w:rsidRPr="00180D2C">
        <w:rPr>
          <w:rFonts w:ascii="Arial" w:hAnsi="Arial" w:cs="Arial"/>
          <w:sz w:val="24"/>
          <w:szCs w:val="24"/>
        </w:rPr>
        <w:t>adquisición</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unos</w:t>
      </w:r>
      <w:r w:rsidRPr="00180D2C">
        <w:rPr>
          <w:rFonts w:ascii="Arial" w:hAnsi="Arial" w:cs="Arial"/>
          <w:spacing w:val="-7"/>
          <w:sz w:val="24"/>
          <w:szCs w:val="24"/>
        </w:rPr>
        <w:t xml:space="preserve"> </w:t>
      </w:r>
      <w:r w:rsidRPr="00180D2C">
        <w:rPr>
          <w:rFonts w:ascii="Arial" w:hAnsi="Arial" w:cs="Arial"/>
          <w:sz w:val="24"/>
          <w:szCs w:val="24"/>
        </w:rPr>
        <w:t>bienes,</w:t>
      </w:r>
      <w:r w:rsidRPr="00180D2C">
        <w:rPr>
          <w:rFonts w:ascii="Arial" w:hAnsi="Arial" w:cs="Arial"/>
          <w:spacing w:val="-6"/>
          <w:sz w:val="24"/>
          <w:szCs w:val="24"/>
        </w:rPr>
        <w:t xml:space="preserve"> </w:t>
      </w:r>
      <w:r w:rsidRPr="00180D2C">
        <w:rPr>
          <w:rFonts w:ascii="Arial" w:hAnsi="Arial" w:cs="Arial"/>
          <w:sz w:val="24"/>
          <w:szCs w:val="24"/>
        </w:rPr>
        <w:t>o</w:t>
      </w:r>
      <w:r w:rsidRPr="00180D2C">
        <w:rPr>
          <w:rFonts w:ascii="Arial" w:hAnsi="Arial" w:cs="Arial"/>
          <w:spacing w:val="-7"/>
          <w:sz w:val="24"/>
          <w:szCs w:val="24"/>
        </w:rPr>
        <w:t xml:space="preserve"> </w:t>
      </w:r>
      <w:r w:rsidRPr="00180D2C">
        <w:rPr>
          <w:rFonts w:ascii="Arial" w:hAnsi="Arial" w:cs="Arial"/>
          <w:sz w:val="24"/>
          <w:szCs w:val="24"/>
        </w:rPr>
        <w:t>si</w:t>
      </w:r>
      <w:r w:rsidRPr="00180D2C">
        <w:rPr>
          <w:rFonts w:ascii="Arial" w:hAnsi="Arial" w:cs="Arial"/>
          <w:spacing w:val="-6"/>
          <w:sz w:val="24"/>
          <w:szCs w:val="24"/>
        </w:rPr>
        <w:t xml:space="preserve"> </w:t>
      </w:r>
      <w:r w:rsidRPr="00180D2C">
        <w:rPr>
          <w:rFonts w:ascii="Arial" w:hAnsi="Arial" w:cs="Arial"/>
          <w:sz w:val="24"/>
          <w:szCs w:val="24"/>
        </w:rPr>
        <w:t>se</w:t>
      </w:r>
      <w:r w:rsidRPr="00180D2C">
        <w:rPr>
          <w:rFonts w:ascii="Arial" w:hAnsi="Arial" w:cs="Arial"/>
          <w:spacing w:val="-7"/>
          <w:sz w:val="24"/>
          <w:szCs w:val="24"/>
        </w:rPr>
        <w:t xml:space="preserve"> </w:t>
      </w:r>
      <w:r w:rsidRPr="00180D2C">
        <w:rPr>
          <w:rFonts w:ascii="Arial" w:hAnsi="Arial" w:cs="Arial"/>
          <w:sz w:val="24"/>
          <w:szCs w:val="24"/>
        </w:rPr>
        <w:t>trata</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8"/>
          <w:sz w:val="24"/>
          <w:szCs w:val="24"/>
        </w:rPr>
        <w:t xml:space="preserve"> </w:t>
      </w:r>
      <w:r w:rsidRPr="00180D2C">
        <w:rPr>
          <w:rFonts w:ascii="Arial" w:hAnsi="Arial" w:cs="Arial"/>
          <w:sz w:val="24"/>
          <w:szCs w:val="24"/>
        </w:rPr>
        <w:t>un</w:t>
      </w:r>
      <w:r w:rsidRPr="00180D2C">
        <w:rPr>
          <w:rFonts w:ascii="Arial" w:hAnsi="Arial" w:cs="Arial"/>
          <w:spacing w:val="-8"/>
          <w:sz w:val="24"/>
          <w:szCs w:val="24"/>
        </w:rPr>
        <w:t xml:space="preserve"> </w:t>
      </w:r>
      <w:r w:rsidRPr="00180D2C">
        <w:rPr>
          <w:rFonts w:ascii="Arial" w:hAnsi="Arial" w:cs="Arial"/>
          <w:sz w:val="24"/>
          <w:szCs w:val="24"/>
        </w:rPr>
        <w:t>anticipo.”</w:t>
      </w:r>
      <w:r w:rsidRPr="00180D2C">
        <w:rPr>
          <w:rFonts w:ascii="Arial" w:hAnsi="Arial" w:cs="Arial"/>
          <w:spacing w:val="-6"/>
          <w:sz w:val="24"/>
          <w:szCs w:val="24"/>
        </w:rPr>
        <w:t xml:space="preserve"> </w:t>
      </w:r>
      <w:r w:rsidRPr="00180D2C">
        <w:rPr>
          <w:rFonts w:ascii="Arial" w:hAnsi="Arial" w:cs="Arial"/>
          <w:sz w:val="24"/>
          <w:szCs w:val="24"/>
        </w:rPr>
        <w:t>Acatando la instrucción, el activo se contabilizó y presentó al 31 de diciembre de 2024 como anticipo para adquisición de bienes y servicios.</w:t>
      </w:r>
    </w:p>
    <w:p w14:paraId="4BDCEAF6" w14:textId="77777777" w:rsidR="00E46C0A" w:rsidRPr="00180D2C" w:rsidRDefault="00E46C0A" w:rsidP="00E95331">
      <w:pPr>
        <w:pStyle w:val="Textoindependiente"/>
        <w:spacing w:before="18"/>
        <w:ind w:right="-234"/>
        <w:rPr>
          <w:rFonts w:ascii="Arial" w:hAnsi="Arial" w:cs="Arial"/>
          <w:sz w:val="24"/>
          <w:szCs w:val="24"/>
        </w:rPr>
      </w:pPr>
    </w:p>
    <w:p w14:paraId="752EB562" w14:textId="25ED2F80" w:rsidR="00E46C0A"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La Contaduría</w:t>
      </w:r>
      <w:r w:rsidRPr="00180D2C">
        <w:rPr>
          <w:rFonts w:ascii="Arial" w:hAnsi="Arial" w:cs="Arial"/>
          <w:spacing w:val="-3"/>
          <w:sz w:val="24"/>
          <w:szCs w:val="24"/>
        </w:rPr>
        <w:t xml:space="preserve"> </w:t>
      </w:r>
      <w:r w:rsidRPr="00180D2C">
        <w:rPr>
          <w:rFonts w:ascii="Arial" w:hAnsi="Arial" w:cs="Arial"/>
          <w:sz w:val="24"/>
          <w:szCs w:val="24"/>
        </w:rPr>
        <w:t>General</w:t>
      </w:r>
      <w:r w:rsidRPr="00180D2C">
        <w:rPr>
          <w:rFonts w:ascii="Arial" w:hAnsi="Arial" w:cs="Arial"/>
          <w:spacing w:val="-1"/>
          <w:sz w:val="24"/>
          <w:szCs w:val="24"/>
        </w:rPr>
        <w:t xml:space="preserve"> </w:t>
      </w:r>
      <w:r w:rsidRPr="00180D2C">
        <w:rPr>
          <w:rFonts w:ascii="Arial" w:hAnsi="Arial" w:cs="Arial"/>
          <w:sz w:val="24"/>
          <w:szCs w:val="24"/>
        </w:rPr>
        <w:t>de la Nación</w:t>
      </w:r>
      <w:r w:rsidRPr="00180D2C">
        <w:rPr>
          <w:rFonts w:ascii="Arial" w:hAnsi="Arial" w:cs="Arial"/>
          <w:spacing w:val="-1"/>
          <w:sz w:val="24"/>
          <w:szCs w:val="24"/>
        </w:rPr>
        <w:t xml:space="preserve"> </w:t>
      </w:r>
      <w:r w:rsidRPr="00180D2C">
        <w:rPr>
          <w:rFonts w:ascii="Arial" w:hAnsi="Arial" w:cs="Arial"/>
          <w:sz w:val="24"/>
          <w:szCs w:val="24"/>
        </w:rPr>
        <w:t>también manifestó:</w:t>
      </w:r>
      <w:r w:rsidRPr="00180D2C">
        <w:rPr>
          <w:rFonts w:ascii="Arial" w:hAnsi="Arial" w:cs="Arial"/>
          <w:spacing w:val="-1"/>
          <w:sz w:val="24"/>
          <w:szCs w:val="24"/>
        </w:rPr>
        <w:t xml:space="preserve"> </w:t>
      </w:r>
      <w:r w:rsidRPr="00180D2C">
        <w:rPr>
          <w:rFonts w:ascii="Arial" w:hAnsi="Arial" w:cs="Arial"/>
          <w:sz w:val="24"/>
          <w:szCs w:val="24"/>
        </w:rPr>
        <w:t>“Por consiguiente, teniendo en cuenta que la entidad cometió un error al reconocer los recursos entregados en forma</w:t>
      </w:r>
      <w:r w:rsidRPr="00180D2C">
        <w:rPr>
          <w:rFonts w:ascii="Arial" w:hAnsi="Arial" w:cs="Arial"/>
          <w:spacing w:val="-16"/>
          <w:sz w:val="24"/>
          <w:szCs w:val="24"/>
        </w:rPr>
        <w:t xml:space="preserve"> </w:t>
      </w:r>
      <w:r w:rsidRPr="00180D2C">
        <w:rPr>
          <w:rFonts w:ascii="Arial" w:hAnsi="Arial" w:cs="Arial"/>
          <w:sz w:val="24"/>
          <w:szCs w:val="24"/>
        </w:rPr>
        <w:t>anticipada</w:t>
      </w:r>
      <w:r w:rsidRPr="00180D2C">
        <w:rPr>
          <w:rFonts w:ascii="Arial" w:hAnsi="Arial" w:cs="Arial"/>
          <w:spacing w:val="-15"/>
          <w:sz w:val="24"/>
          <w:szCs w:val="24"/>
        </w:rPr>
        <w:t xml:space="preserve"> </w:t>
      </w:r>
      <w:r w:rsidRPr="00180D2C">
        <w:rPr>
          <w:rFonts w:ascii="Arial" w:hAnsi="Arial" w:cs="Arial"/>
          <w:sz w:val="24"/>
          <w:szCs w:val="24"/>
        </w:rPr>
        <w:t>para</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6"/>
          <w:sz w:val="24"/>
          <w:szCs w:val="24"/>
        </w:rPr>
        <w:t xml:space="preserve"> </w:t>
      </w:r>
      <w:r w:rsidRPr="00180D2C">
        <w:rPr>
          <w:rFonts w:ascii="Arial" w:hAnsi="Arial" w:cs="Arial"/>
          <w:sz w:val="24"/>
          <w:szCs w:val="24"/>
        </w:rPr>
        <w:t>adquisición</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los</w:t>
      </w:r>
      <w:r w:rsidRPr="00180D2C">
        <w:rPr>
          <w:rFonts w:ascii="Arial" w:hAnsi="Arial" w:cs="Arial"/>
          <w:spacing w:val="-15"/>
          <w:sz w:val="24"/>
          <w:szCs w:val="24"/>
        </w:rPr>
        <w:t xml:space="preserve"> </w:t>
      </w:r>
      <w:r w:rsidRPr="00180D2C">
        <w:rPr>
          <w:rFonts w:ascii="Arial" w:hAnsi="Arial" w:cs="Arial"/>
          <w:sz w:val="24"/>
          <w:szCs w:val="24"/>
        </w:rPr>
        <w:t>bienes</w:t>
      </w:r>
      <w:r w:rsidRPr="00180D2C">
        <w:rPr>
          <w:rFonts w:ascii="Arial" w:hAnsi="Arial" w:cs="Arial"/>
          <w:spacing w:val="-16"/>
          <w:sz w:val="24"/>
          <w:szCs w:val="24"/>
        </w:rPr>
        <w:t xml:space="preserve"> </w:t>
      </w:r>
      <w:r w:rsidRPr="00180D2C">
        <w:rPr>
          <w:rFonts w:ascii="Arial" w:hAnsi="Arial" w:cs="Arial"/>
          <w:sz w:val="24"/>
          <w:szCs w:val="24"/>
        </w:rPr>
        <w:t>inmuebles</w:t>
      </w:r>
      <w:r w:rsidRPr="00180D2C">
        <w:rPr>
          <w:rFonts w:ascii="Arial" w:hAnsi="Arial" w:cs="Arial"/>
          <w:spacing w:val="-15"/>
          <w:sz w:val="24"/>
          <w:szCs w:val="24"/>
        </w:rPr>
        <w:t xml:space="preserve"> </w:t>
      </w:r>
      <w:r w:rsidRPr="00180D2C">
        <w:rPr>
          <w:rFonts w:ascii="Arial" w:hAnsi="Arial" w:cs="Arial"/>
          <w:sz w:val="24"/>
          <w:szCs w:val="24"/>
        </w:rPr>
        <w:t>resultantes</w:t>
      </w:r>
      <w:r w:rsidRPr="00180D2C">
        <w:rPr>
          <w:rFonts w:ascii="Arial" w:hAnsi="Arial" w:cs="Arial"/>
          <w:spacing w:val="-15"/>
          <w:sz w:val="24"/>
          <w:szCs w:val="24"/>
        </w:rPr>
        <w:t xml:space="preserve"> </w:t>
      </w:r>
      <w:r w:rsidRPr="00180D2C">
        <w:rPr>
          <w:rFonts w:ascii="Arial" w:hAnsi="Arial" w:cs="Arial"/>
          <w:sz w:val="24"/>
          <w:szCs w:val="24"/>
        </w:rPr>
        <w:t>del</w:t>
      </w:r>
      <w:r w:rsidRPr="00180D2C">
        <w:rPr>
          <w:rFonts w:ascii="Arial" w:hAnsi="Arial" w:cs="Arial"/>
          <w:spacing w:val="-16"/>
          <w:sz w:val="24"/>
          <w:szCs w:val="24"/>
        </w:rPr>
        <w:t xml:space="preserve"> </w:t>
      </w:r>
      <w:r w:rsidRPr="00180D2C">
        <w:rPr>
          <w:rFonts w:ascii="Arial" w:hAnsi="Arial" w:cs="Arial"/>
          <w:sz w:val="24"/>
          <w:szCs w:val="24"/>
        </w:rPr>
        <w:t>Proyecto América Centro de Negocios como un derecho en fideicomiso en la cuenta 1926 - DERECHOS EN FIDEICOMISO, deberá corregir dicho error reclasificando los valores allí reconocidos a la subcuenta que se determine de conformidad con el párrafo anterior, dando aplicación a lo establecido en el numeral 4.3. Corrección de errores</w:t>
      </w:r>
      <w:r w:rsidRPr="00180D2C">
        <w:rPr>
          <w:rFonts w:ascii="Arial" w:hAnsi="Arial" w:cs="Arial"/>
          <w:spacing w:val="-4"/>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la</w:t>
      </w:r>
      <w:r w:rsidRPr="00180D2C">
        <w:rPr>
          <w:rFonts w:ascii="Arial" w:hAnsi="Arial" w:cs="Arial"/>
          <w:spacing w:val="-5"/>
          <w:sz w:val="24"/>
          <w:szCs w:val="24"/>
        </w:rPr>
        <w:t xml:space="preserve"> </w:t>
      </w:r>
      <w:r w:rsidRPr="00180D2C">
        <w:rPr>
          <w:rFonts w:ascii="Arial" w:hAnsi="Arial" w:cs="Arial"/>
          <w:sz w:val="24"/>
          <w:szCs w:val="24"/>
        </w:rPr>
        <w:t>Norma</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políticas</w:t>
      </w:r>
      <w:r w:rsidRPr="00180D2C">
        <w:rPr>
          <w:rFonts w:ascii="Arial" w:hAnsi="Arial" w:cs="Arial"/>
          <w:spacing w:val="-4"/>
          <w:sz w:val="24"/>
          <w:szCs w:val="24"/>
        </w:rPr>
        <w:t xml:space="preserve"> </w:t>
      </w:r>
      <w:r w:rsidRPr="00180D2C">
        <w:rPr>
          <w:rFonts w:ascii="Arial" w:hAnsi="Arial" w:cs="Arial"/>
          <w:sz w:val="24"/>
          <w:szCs w:val="24"/>
        </w:rPr>
        <w:t>contables,</w:t>
      </w:r>
      <w:r w:rsidRPr="00180D2C">
        <w:rPr>
          <w:rFonts w:ascii="Arial" w:hAnsi="Arial" w:cs="Arial"/>
          <w:spacing w:val="-4"/>
          <w:sz w:val="24"/>
          <w:szCs w:val="24"/>
        </w:rPr>
        <w:t xml:space="preserve"> </w:t>
      </w:r>
      <w:r w:rsidRPr="00180D2C">
        <w:rPr>
          <w:rFonts w:ascii="Arial" w:hAnsi="Arial" w:cs="Arial"/>
          <w:sz w:val="24"/>
          <w:szCs w:val="24"/>
        </w:rPr>
        <w:t>cambios</w:t>
      </w:r>
      <w:r w:rsidRPr="00180D2C">
        <w:rPr>
          <w:rFonts w:ascii="Arial" w:hAnsi="Arial" w:cs="Arial"/>
          <w:spacing w:val="-5"/>
          <w:sz w:val="24"/>
          <w:szCs w:val="24"/>
        </w:rPr>
        <w:t xml:space="preserve"> </w:t>
      </w:r>
      <w:r w:rsidRPr="00180D2C">
        <w:rPr>
          <w:rFonts w:ascii="Arial" w:hAnsi="Arial" w:cs="Arial"/>
          <w:sz w:val="24"/>
          <w:szCs w:val="24"/>
        </w:rPr>
        <w:t>en</w:t>
      </w:r>
      <w:r w:rsidRPr="00180D2C">
        <w:rPr>
          <w:rFonts w:ascii="Arial" w:hAnsi="Arial" w:cs="Arial"/>
          <w:spacing w:val="-5"/>
          <w:sz w:val="24"/>
          <w:szCs w:val="24"/>
        </w:rPr>
        <w:t xml:space="preserve"> </w:t>
      </w:r>
      <w:r w:rsidRPr="00180D2C">
        <w:rPr>
          <w:rFonts w:ascii="Arial" w:hAnsi="Arial" w:cs="Arial"/>
          <w:sz w:val="24"/>
          <w:szCs w:val="24"/>
        </w:rPr>
        <w:t>las</w:t>
      </w:r>
      <w:r w:rsidRPr="00180D2C">
        <w:rPr>
          <w:rFonts w:ascii="Arial" w:hAnsi="Arial" w:cs="Arial"/>
          <w:spacing w:val="-5"/>
          <w:sz w:val="24"/>
          <w:szCs w:val="24"/>
        </w:rPr>
        <w:t xml:space="preserve"> </w:t>
      </w:r>
      <w:r w:rsidRPr="00180D2C">
        <w:rPr>
          <w:rFonts w:ascii="Arial" w:hAnsi="Arial" w:cs="Arial"/>
          <w:sz w:val="24"/>
          <w:szCs w:val="24"/>
        </w:rPr>
        <w:t>estimaciones</w:t>
      </w:r>
      <w:r w:rsidRPr="00180D2C">
        <w:rPr>
          <w:rFonts w:ascii="Arial" w:hAnsi="Arial" w:cs="Arial"/>
          <w:spacing w:val="-5"/>
          <w:sz w:val="24"/>
          <w:szCs w:val="24"/>
        </w:rPr>
        <w:t xml:space="preserve"> </w:t>
      </w:r>
      <w:r w:rsidRPr="00180D2C">
        <w:rPr>
          <w:rFonts w:ascii="Arial" w:hAnsi="Arial" w:cs="Arial"/>
          <w:sz w:val="24"/>
          <w:szCs w:val="24"/>
        </w:rPr>
        <w:t>contables</w:t>
      </w:r>
      <w:r w:rsidRPr="00180D2C">
        <w:rPr>
          <w:rFonts w:ascii="Arial" w:hAnsi="Arial" w:cs="Arial"/>
          <w:spacing w:val="-5"/>
          <w:sz w:val="24"/>
          <w:szCs w:val="24"/>
        </w:rPr>
        <w:t xml:space="preserve"> </w:t>
      </w:r>
      <w:r w:rsidRPr="00180D2C">
        <w:rPr>
          <w:rFonts w:ascii="Arial" w:hAnsi="Arial" w:cs="Arial"/>
          <w:sz w:val="24"/>
          <w:szCs w:val="24"/>
        </w:rPr>
        <w:t>y corrección de errores, y efectuando la correspondiente revelación en las</w:t>
      </w:r>
      <w:r w:rsidRPr="00180D2C">
        <w:rPr>
          <w:rFonts w:ascii="Arial" w:hAnsi="Arial" w:cs="Arial"/>
          <w:spacing w:val="-2"/>
          <w:sz w:val="24"/>
          <w:szCs w:val="24"/>
        </w:rPr>
        <w:t xml:space="preserve"> </w:t>
      </w:r>
      <w:r w:rsidRPr="00180D2C">
        <w:rPr>
          <w:rFonts w:ascii="Arial" w:hAnsi="Arial" w:cs="Arial"/>
          <w:sz w:val="24"/>
          <w:szCs w:val="24"/>
        </w:rPr>
        <w:t>notas a los estados financieros.</w:t>
      </w:r>
    </w:p>
    <w:p w14:paraId="17440311" w14:textId="77777777" w:rsidR="00E95331" w:rsidRPr="00180D2C" w:rsidRDefault="00E95331" w:rsidP="00E95331">
      <w:pPr>
        <w:pStyle w:val="Textoindependiente"/>
        <w:ind w:left="912" w:right="-234"/>
        <w:jc w:val="both"/>
        <w:rPr>
          <w:rFonts w:ascii="Arial" w:hAnsi="Arial" w:cs="Arial"/>
          <w:sz w:val="24"/>
          <w:szCs w:val="24"/>
        </w:rPr>
      </w:pPr>
    </w:p>
    <w:p w14:paraId="1BF15E86"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Cabe señalar que, si el error es material, adicionalmente deberá efectuarse la reexpresión de los estados financieros, de conformidad con lo establecido en el numeral 4.3. Corrección de errores de la Norma de políticas contables, cambios en las</w:t>
      </w:r>
      <w:r w:rsidRPr="00180D2C">
        <w:rPr>
          <w:rFonts w:ascii="Arial" w:hAnsi="Arial" w:cs="Arial"/>
          <w:spacing w:val="-3"/>
          <w:sz w:val="24"/>
          <w:szCs w:val="24"/>
        </w:rPr>
        <w:t xml:space="preserve"> </w:t>
      </w:r>
      <w:r w:rsidRPr="00180D2C">
        <w:rPr>
          <w:rFonts w:ascii="Arial" w:hAnsi="Arial" w:cs="Arial"/>
          <w:sz w:val="24"/>
          <w:szCs w:val="24"/>
        </w:rPr>
        <w:t>estimaciones</w:t>
      </w:r>
      <w:r w:rsidRPr="00180D2C">
        <w:rPr>
          <w:rFonts w:ascii="Arial" w:hAnsi="Arial" w:cs="Arial"/>
          <w:spacing w:val="-5"/>
          <w:sz w:val="24"/>
          <w:szCs w:val="24"/>
        </w:rPr>
        <w:t xml:space="preserve"> </w:t>
      </w:r>
      <w:r w:rsidRPr="00180D2C">
        <w:rPr>
          <w:rFonts w:ascii="Arial" w:hAnsi="Arial" w:cs="Arial"/>
          <w:sz w:val="24"/>
          <w:szCs w:val="24"/>
        </w:rPr>
        <w:t>contables</w:t>
      </w:r>
      <w:r w:rsidRPr="00180D2C">
        <w:rPr>
          <w:rFonts w:ascii="Arial" w:hAnsi="Arial" w:cs="Arial"/>
          <w:spacing w:val="-3"/>
          <w:sz w:val="24"/>
          <w:szCs w:val="24"/>
        </w:rPr>
        <w:t xml:space="preserve"> </w:t>
      </w:r>
      <w:r w:rsidRPr="00180D2C">
        <w:rPr>
          <w:rFonts w:ascii="Arial" w:hAnsi="Arial" w:cs="Arial"/>
          <w:sz w:val="24"/>
          <w:szCs w:val="24"/>
        </w:rPr>
        <w:t>y</w:t>
      </w:r>
      <w:r w:rsidRPr="00180D2C">
        <w:rPr>
          <w:rFonts w:ascii="Arial" w:hAnsi="Arial" w:cs="Arial"/>
          <w:spacing w:val="-4"/>
          <w:sz w:val="24"/>
          <w:szCs w:val="24"/>
        </w:rPr>
        <w:t xml:space="preserve"> </w:t>
      </w:r>
      <w:r w:rsidRPr="00180D2C">
        <w:rPr>
          <w:rFonts w:ascii="Arial" w:hAnsi="Arial" w:cs="Arial"/>
          <w:sz w:val="24"/>
          <w:szCs w:val="24"/>
        </w:rPr>
        <w:t>corrección</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errores.”</w:t>
      </w:r>
      <w:r w:rsidRPr="00180D2C">
        <w:rPr>
          <w:rFonts w:ascii="Arial" w:hAnsi="Arial" w:cs="Arial"/>
          <w:spacing w:val="-4"/>
          <w:sz w:val="24"/>
          <w:szCs w:val="24"/>
        </w:rPr>
        <w:t xml:space="preserve"> </w:t>
      </w:r>
      <w:r w:rsidRPr="00180D2C">
        <w:rPr>
          <w:rFonts w:ascii="Arial" w:hAnsi="Arial" w:cs="Arial"/>
          <w:sz w:val="24"/>
          <w:szCs w:val="24"/>
        </w:rPr>
        <w:t>En</w:t>
      </w:r>
      <w:r w:rsidRPr="00180D2C">
        <w:rPr>
          <w:rFonts w:ascii="Arial" w:hAnsi="Arial" w:cs="Arial"/>
          <w:spacing w:val="-5"/>
          <w:sz w:val="24"/>
          <w:szCs w:val="24"/>
        </w:rPr>
        <w:t xml:space="preserve"> </w:t>
      </w:r>
      <w:r w:rsidRPr="00180D2C">
        <w:rPr>
          <w:rFonts w:ascii="Arial" w:hAnsi="Arial" w:cs="Arial"/>
          <w:sz w:val="24"/>
          <w:szCs w:val="24"/>
        </w:rPr>
        <w:t>atención</w:t>
      </w:r>
      <w:r w:rsidRPr="00180D2C">
        <w:rPr>
          <w:rFonts w:ascii="Arial" w:hAnsi="Arial" w:cs="Arial"/>
          <w:spacing w:val="-5"/>
          <w:sz w:val="24"/>
          <w:szCs w:val="24"/>
        </w:rPr>
        <w:t xml:space="preserve"> </w:t>
      </w:r>
      <w:r w:rsidRPr="00180D2C">
        <w:rPr>
          <w:rFonts w:ascii="Arial" w:hAnsi="Arial" w:cs="Arial"/>
          <w:sz w:val="24"/>
          <w:szCs w:val="24"/>
        </w:rPr>
        <w:t>a</w:t>
      </w:r>
      <w:r w:rsidRPr="00180D2C">
        <w:rPr>
          <w:rFonts w:ascii="Arial" w:hAnsi="Arial" w:cs="Arial"/>
          <w:spacing w:val="-5"/>
          <w:sz w:val="24"/>
          <w:szCs w:val="24"/>
        </w:rPr>
        <w:t xml:space="preserve"> </w:t>
      </w:r>
      <w:r w:rsidRPr="00180D2C">
        <w:rPr>
          <w:rFonts w:ascii="Arial" w:hAnsi="Arial" w:cs="Arial"/>
          <w:sz w:val="24"/>
          <w:szCs w:val="24"/>
        </w:rPr>
        <w:t>la</w:t>
      </w:r>
      <w:r w:rsidRPr="00180D2C">
        <w:rPr>
          <w:rFonts w:ascii="Arial" w:hAnsi="Arial" w:cs="Arial"/>
          <w:spacing w:val="-2"/>
          <w:sz w:val="24"/>
          <w:szCs w:val="24"/>
        </w:rPr>
        <w:t xml:space="preserve"> </w:t>
      </w:r>
      <w:r w:rsidRPr="00180D2C">
        <w:rPr>
          <w:rFonts w:ascii="Arial" w:hAnsi="Arial" w:cs="Arial"/>
          <w:sz w:val="24"/>
          <w:szCs w:val="24"/>
        </w:rPr>
        <w:t>instrucción,</w:t>
      </w:r>
      <w:r w:rsidRPr="00180D2C">
        <w:rPr>
          <w:rFonts w:ascii="Arial" w:hAnsi="Arial" w:cs="Arial"/>
          <w:spacing w:val="-1"/>
          <w:sz w:val="24"/>
          <w:szCs w:val="24"/>
        </w:rPr>
        <w:t xml:space="preserve"> </w:t>
      </w:r>
      <w:r w:rsidRPr="00180D2C">
        <w:rPr>
          <w:rFonts w:ascii="Arial" w:hAnsi="Arial" w:cs="Arial"/>
          <w:sz w:val="24"/>
          <w:szCs w:val="24"/>
        </w:rPr>
        <w:t>los Estados Financieros del año 2023 fueron reexpresados, tal como se detalla en la Nota 3.3 de los Estados Financieros.</w:t>
      </w:r>
    </w:p>
    <w:p w14:paraId="15C40024" w14:textId="77777777" w:rsidR="00E46C0A" w:rsidRPr="00180D2C" w:rsidRDefault="00E46C0A" w:rsidP="00E95331">
      <w:pPr>
        <w:pStyle w:val="Textoindependiente"/>
        <w:spacing w:before="11"/>
        <w:ind w:right="-234"/>
        <w:rPr>
          <w:rFonts w:ascii="Arial" w:hAnsi="Arial" w:cs="Arial"/>
          <w:sz w:val="24"/>
          <w:szCs w:val="24"/>
        </w:rPr>
      </w:pPr>
    </w:p>
    <w:p w14:paraId="1B46272B" w14:textId="77777777" w:rsidR="00E46C0A" w:rsidRPr="00180D2C" w:rsidRDefault="00E46C0A" w:rsidP="00E95331">
      <w:pPr>
        <w:pStyle w:val="Textoindependiente"/>
        <w:spacing w:line="259" w:lineRule="auto"/>
        <w:ind w:left="912" w:right="-234"/>
        <w:jc w:val="both"/>
        <w:rPr>
          <w:rFonts w:ascii="Arial" w:hAnsi="Arial" w:cs="Arial"/>
          <w:sz w:val="24"/>
          <w:szCs w:val="24"/>
        </w:rPr>
      </w:pPr>
      <w:r w:rsidRPr="00180D2C">
        <w:rPr>
          <w:rFonts w:ascii="Arial" w:hAnsi="Arial" w:cs="Arial"/>
          <w:sz w:val="24"/>
          <w:szCs w:val="24"/>
        </w:rPr>
        <w:t>Como</w:t>
      </w:r>
      <w:r w:rsidRPr="00180D2C">
        <w:rPr>
          <w:rFonts w:ascii="Arial" w:hAnsi="Arial" w:cs="Arial"/>
          <w:spacing w:val="-13"/>
          <w:sz w:val="24"/>
          <w:szCs w:val="24"/>
        </w:rPr>
        <w:t xml:space="preserve"> </w:t>
      </w:r>
      <w:r w:rsidRPr="00180D2C">
        <w:rPr>
          <w:rFonts w:ascii="Arial" w:hAnsi="Arial" w:cs="Arial"/>
          <w:sz w:val="24"/>
          <w:szCs w:val="24"/>
        </w:rPr>
        <w:t>se</w:t>
      </w:r>
      <w:r w:rsidRPr="00180D2C">
        <w:rPr>
          <w:rFonts w:ascii="Arial" w:hAnsi="Arial" w:cs="Arial"/>
          <w:spacing w:val="-14"/>
          <w:sz w:val="24"/>
          <w:szCs w:val="24"/>
        </w:rPr>
        <w:t xml:space="preserve"> </w:t>
      </w:r>
      <w:r w:rsidRPr="00180D2C">
        <w:rPr>
          <w:rFonts w:ascii="Arial" w:hAnsi="Arial" w:cs="Arial"/>
          <w:sz w:val="24"/>
          <w:szCs w:val="24"/>
        </w:rPr>
        <w:t>explica</w:t>
      </w:r>
      <w:r w:rsidRPr="00180D2C">
        <w:rPr>
          <w:rFonts w:ascii="Arial" w:hAnsi="Arial" w:cs="Arial"/>
          <w:spacing w:val="-14"/>
          <w:sz w:val="24"/>
          <w:szCs w:val="24"/>
        </w:rPr>
        <w:t xml:space="preserve"> </w:t>
      </w:r>
      <w:r w:rsidRPr="00180D2C">
        <w:rPr>
          <w:rFonts w:ascii="Arial" w:hAnsi="Arial" w:cs="Arial"/>
          <w:sz w:val="24"/>
          <w:szCs w:val="24"/>
        </w:rPr>
        <w:t>en</w:t>
      </w:r>
      <w:r w:rsidRPr="00180D2C">
        <w:rPr>
          <w:rFonts w:ascii="Arial" w:hAnsi="Arial" w:cs="Arial"/>
          <w:spacing w:val="-14"/>
          <w:sz w:val="24"/>
          <w:szCs w:val="24"/>
        </w:rPr>
        <w:t xml:space="preserve"> </w:t>
      </w:r>
      <w:r w:rsidRPr="00180D2C">
        <w:rPr>
          <w:rFonts w:ascii="Arial" w:hAnsi="Arial" w:cs="Arial"/>
          <w:sz w:val="24"/>
          <w:szCs w:val="24"/>
        </w:rPr>
        <w:t>las</w:t>
      </w:r>
      <w:r w:rsidRPr="00180D2C">
        <w:rPr>
          <w:rFonts w:ascii="Arial" w:hAnsi="Arial" w:cs="Arial"/>
          <w:spacing w:val="-13"/>
          <w:sz w:val="24"/>
          <w:szCs w:val="24"/>
        </w:rPr>
        <w:t xml:space="preserve"> </w:t>
      </w:r>
      <w:r w:rsidRPr="00180D2C">
        <w:rPr>
          <w:rFonts w:ascii="Arial" w:hAnsi="Arial" w:cs="Arial"/>
          <w:sz w:val="24"/>
          <w:szCs w:val="24"/>
        </w:rPr>
        <w:t>Notas</w:t>
      </w:r>
      <w:r w:rsidRPr="00180D2C">
        <w:rPr>
          <w:rFonts w:ascii="Arial" w:hAnsi="Arial" w:cs="Arial"/>
          <w:spacing w:val="-13"/>
          <w:sz w:val="24"/>
          <w:szCs w:val="24"/>
        </w:rPr>
        <w:t xml:space="preserve"> </w:t>
      </w:r>
      <w:r w:rsidRPr="00180D2C">
        <w:rPr>
          <w:rFonts w:ascii="Arial" w:hAnsi="Arial" w:cs="Arial"/>
          <w:sz w:val="24"/>
          <w:szCs w:val="24"/>
        </w:rPr>
        <w:t>28.1</w:t>
      </w:r>
      <w:r w:rsidRPr="00180D2C">
        <w:rPr>
          <w:rFonts w:ascii="Arial" w:hAnsi="Arial" w:cs="Arial"/>
          <w:spacing w:val="-16"/>
          <w:sz w:val="24"/>
          <w:szCs w:val="24"/>
        </w:rPr>
        <w:t xml:space="preserve"> </w:t>
      </w:r>
      <w:r w:rsidRPr="00180D2C">
        <w:rPr>
          <w:rFonts w:ascii="Arial" w:hAnsi="Arial" w:cs="Arial"/>
          <w:sz w:val="24"/>
          <w:szCs w:val="24"/>
        </w:rPr>
        <w:t>y</w:t>
      </w:r>
      <w:r w:rsidRPr="00180D2C">
        <w:rPr>
          <w:rFonts w:ascii="Arial" w:hAnsi="Arial" w:cs="Arial"/>
          <w:spacing w:val="-12"/>
          <w:sz w:val="24"/>
          <w:szCs w:val="24"/>
        </w:rPr>
        <w:t xml:space="preserve"> </w:t>
      </w:r>
      <w:r w:rsidRPr="00180D2C">
        <w:rPr>
          <w:rFonts w:ascii="Arial" w:hAnsi="Arial" w:cs="Arial"/>
          <w:sz w:val="24"/>
          <w:szCs w:val="24"/>
        </w:rPr>
        <w:t>28.2</w:t>
      </w:r>
      <w:r w:rsidRPr="00180D2C">
        <w:rPr>
          <w:rFonts w:ascii="Arial" w:hAnsi="Arial" w:cs="Arial"/>
          <w:spacing w:val="-15"/>
          <w:sz w:val="24"/>
          <w:szCs w:val="24"/>
        </w:rPr>
        <w:t xml:space="preserve"> </w:t>
      </w:r>
      <w:r w:rsidRPr="00180D2C">
        <w:rPr>
          <w:rFonts w:ascii="Arial" w:hAnsi="Arial" w:cs="Arial"/>
          <w:sz w:val="24"/>
          <w:szCs w:val="24"/>
        </w:rPr>
        <w:t>como</w:t>
      </w:r>
      <w:r w:rsidRPr="00180D2C">
        <w:rPr>
          <w:rFonts w:ascii="Arial" w:hAnsi="Arial" w:cs="Arial"/>
          <w:spacing w:val="-16"/>
          <w:sz w:val="24"/>
          <w:szCs w:val="24"/>
        </w:rPr>
        <w:t xml:space="preserve"> </w:t>
      </w:r>
      <w:r w:rsidRPr="00180D2C">
        <w:rPr>
          <w:rFonts w:ascii="Arial" w:hAnsi="Arial" w:cs="Arial"/>
          <w:sz w:val="24"/>
          <w:szCs w:val="24"/>
        </w:rPr>
        <w:t>consecuencia</w:t>
      </w:r>
      <w:r w:rsidRPr="00180D2C">
        <w:rPr>
          <w:rFonts w:ascii="Arial" w:hAnsi="Arial" w:cs="Arial"/>
          <w:spacing w:val="-13"/>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la</w:t>
      </w:r>
      <w:r w:rsidRPr="00180D2C">
        <w:rPr>
          <w:rFonts w:ascii="Arial" w:hAnsi="Arial" w:cs="Arial"/>
          <w:spacing w:val="-14"/>
          <w:sz w:val="24"/>
          <w:szCs w:val="24"/>
        </w:rPr>
        <w:t xml:space="preserve"> </w:t>
      </w:r>
      <w:r w:rsidRPr="00180D2C">
        <w:rPr>
          <w:rFonts w:ascii="Arial" w:hAnsi="Arial" w:cs="Arial"/>
          <w:sz w:val="24"/>
          <w:szCs w:val="24"/>
        </w:rPr>
        <w:t xml:space="preserve">extemporaneidad en la entrega de la contraprestación, en el año 2024 se reconocieron ingresos por rentas dejadas de percibir de $16.373 millones y por intereses de $7.488 millones, con lo cual </w:t>
      </w:r>
      <w:r w:rsidRPr="00180D2C">
        <w:rPr>
          <w:rFonts w:ascii="Arial" w:hAnsi="Arial" w:cs="Arial"/>
          <w:sz w:val="24"/>
          <w:szCs w:val="24"/>
        </w:rPr>
        <w:lastRenderedPageBreak/>
        <w:t>acumuló al 31 de diciembre de 2024 cuentas por cobrar por estos conceptos de $57.216 millones y $16.452 millones, respectivamente.</w:t>
      </w:r>
    </w:p>
    <w:p w14:paraId="6D595809" w14:textId="77777777" w:rsidR="00E46C0A" w:rsidRPr="00180D2C" w:rsidRDefault="00E46C0A" w:rsidP="00E95331">
      <w:pPr>
        <w:pStyle w:val="Textoindependiente"/>
        <w:spacing w:before="27"/>
        <w:ind w:right="-234"/>
        <w:rPr>
          <w:rFonts w:ascii="Arial" w:hAnsi="Arial" w:cs="Arial"/>
          <w:sz w:val="24"/>
          <w:szCs w:val="24"/>
        </w:rPr>
      </w:pPr>
    </w:p>
    <w:p w14:paraId="1793530C" w14:textId="77777777" w:rsidR="00E46C0A" w:rsidRPr="00180D2C" w:rsidRDefault="00E46C0A" w:rsidP="00E95331">
      <w:pPr>
        <w:pStyle w:val="Textoindependiente"/>
        <w:spacing w:line="242" w:lineRule="auto"/>
        <w:ind w:left="912" w:right="-234"/>
        <w:jc w:val="both"/>
        <w:rPr>
          <w:rFonts w:ascii="Arial" w:hAnsi="Arial" w:cs="Arial"/>
          <w:sz w:val="24"/>
          <w:szCs w:val="24"/>
        </w:rPr>
      </w:pPr>
      <w:r w:rsidRPr="00180D2C">
        <w:rPr>
          <w:rFonts w:ascii="Arial" w:hAnsi="Arial" w:cs="Arial"/>
          <w:sz w:val="24"/>
          <w:szCs w:val="24"/>
        </w:rPr>
        <w:t>Aldea</w:t>
      </w:r>
      <w:r w:rsidRPr="00180D2C">
        <w:rPr>
          <w:rFonts w:ascii="Arial" w:hAnsi="Arial" w:cs="Arial"/>
          <w:spacing w:val="-5"/>
          <w:sz w:val="24"/>
          <w:szCs w:val="24"/>
        </w:rPr>
        <w:t xml:space="preserve"> </w:t>
      </w:r>
      <w:r w:rsidRPr="00180D2C">
        <w:rPr>
          <w:rFonts w:ascii="Arial" w:hAnsi="Arial" w:cs="Arial"/>
          <w:sz w:val="24"/>
          <w:szCs w:val="24"/>
        </w:rPr>
        <w:t>Proyectos</w:t>
      </w:r>
      <w:r w:rsidRPr="00180D2C">
        <w:rPr>
          <w:rFonts w:ascii="Arial" w:hAnsi="Arial" w:cs="Arial"/>
          <w:spacing w:val="-4"/>
          <w:sz w:val="24"/>
          <w:szCs w:val="24"/>
        </w:rPr>
        <w:t xml:space="preserve"> </w:t>
      </w:r>
      <w:r w:rsidRPr="00180D2C">
        <w:rPr>
          <w:rFonts w:ascii="Arial" w:hAnsi="Arial" w:cs="Arial"/>
          <w:sz w:val="24"/>
          <w:szCs w:val="24"/>
        </w:rPr>
        <w:t>SAS</w:t>
      </w:r>
      <w:r w:rsidRPr="00180D2C">
        <w:rPr>
          <w:rFonts w:ascii="Arial" w:hAnsi="Arial" w:cs="Arial"/>
          <w:spacing w:val="-8"/>
          <w:sz w:val="24"/>
          <w:szCs w:val="24"/>
        </w:rPr>
        <w:t xml:space="preserve"> </w:t>
      </w:r>
      <w:r w:rsidRPr="00180D2C">
        <w:rPr>
          <w:rFonts w:ascii="Arial" w:hAnsi="Arial" w:cs="Arial"/>
          <w:sz w:val="24"/>
          <w:szCs w:val="24"/>
        </w:rPr>
        <w:t>-</w:t>
      </w:r>
      <w:r w:rsidRPr="00180D2C">
        <w:rPr>
          <w:rFonts w:ascii="Arial" w:hAnsi="Arial" w:cs="Arial"/>
          <w:spacing w:val="-6"/>
          <w:sz w:val="24"/>
          <w:szCs w:val="24"/>
        </w:rPr>
        <w:t xml:space="preserve"> </w:t>
      </w:r>
      <w:r w:rsidRPr="00180D2C">
        <w:rPr>
          <w:rFonts w:ascii="Arial" w:hAnsi="Arial" w:cs="Arial"/>
          <w:sz w:val="24"/>
          <w:szCs w:val="24"/>
        </w:rPr>
        <w:t>en</w:t>
      </w:r>
      <w:r w:rsidRPr="00180D2C">
        <w:rPr>
          <w:rFonts w:ascii="Arial" w:hAnsi="Arial" w:cs="Arial"/>
          <w:spacing w:val="-5"/>
          <w:sz w:val="24"/>
          <w:szCs w:val="24"/>
        </w:rPr>
        <w:t xml:space="preserve"> </w:t>
      </w:r>
      <w:r w:rsidRPr="00180D2C">
        <w:rPr>
          <w:rFonts w:ascii="Arial" w:hAnsi="Arial" w:cs="Arial"/>
          <w:sz w:val="24"/>
          <w:szCs w:val="24"/>
        </w:rPr>
        <w:t>Reorganización</w:t>
      </w:r>
      <w:r w:rsidRPr="00180D2C">
        <w:rPr>
          <w:rFonts w:ascii="Arial" w:hAnsi="Arial" w:cs="Arial"/>
          <w:spacing w:val="-8"/>
          <w:sz w:val="24"/>
          <w:szCs w:val="24"/>
        </w:rPr>
        <w:t xml:space="preserve"> </w:t>
      </w:r>
      <w:r w:rsidRPr="00180D2C">
        <w:rPr>
          <w:rFonts w:ascii="Arial" w:hAnsi="Arial" w:cs="Arial"/>
          <w:sz w:val="24"/>
          <w:szCs w:val="24"/>
        </w:rPr>
        <w:t>y</w:t>
      </w:r>
      <w:r w:rsidRPr="00180D2C">
        <w:rPr>
          <w:rFonts w:ascii="Arial" w:hAnsi="Arial" w:cs="Arial"/>
          <w:spacing w:val="-5"/>
          <w:sz w:val="24"/>
          <w:szCs w:val="24"/>
        </w:rPr>
        <w:t xml:space="preserve"> </w:t>
      </w:r>
      <w:r w:rsidRPr="00180D2C">
        <w:rPr>
          <w:rFonts w:ascii="Arial" w:hAnsi="Arial" w:cs="Arial"/>
          <w:sz w:val="24"/>
          <w:szCs w:val="24"/>
        </w:rPr>
        <w:t>el</w:t>
      </w:r>
      <w:r w:rsidRPr="00180D2C">
        <w:rPr>
          <w:rFonts w:ascii="Arial" w:hAnsi="Arial" w:cs="Arial"/>
          <w:spacing w:val="-8"/>
          <w:sz w:val="24"/>
          <w:szCs w:val="24"/>
        </w:rPr>
        <w:t xml:space="preserve"> </w:t>
      </w:r>
      <w:r w:rsidRPr="00180D2C">
        <w:rPr>
          <w:rFonts w:ascii="Arial" w:hAnsi="Arial" w:cs="Arial"/>
          <w:sz w:val="24"/>
          <w:szCs w:val="24"/>
        </w:rPr>
        <w:t>Patrimonio</w:t>
      </w:r>
      <w:r w:rsidRPr="00180D2C">
        <w:rPr>
          <w:rFonts w:ascii="Arial" w:hAnsi="Arial" w:cs="Arial"/>
          <w:spacing w:val="-7"/>
          <w:sz w:val="24"/>
          <w:szCs w:val="24"/>
        </w:rPr>
        <w:t xml:space="preserve"> </w:t>
      </w:r>
      <w:r w:rsidRPr="00180D2C">
        <w:rPr>
          <w:rFonts w:ascii="Arial" w:hAnsi="Arial" w:cs="Arial"/>
          <w:sz w:val="24"/>
          <w:szCs w:val="24"/>
        </w:rPr>
        <w:t>Autónomo</w:t>
      </w:r>
      <w:r w:rsidRPr="00180D2C">
        <w:rPr>
          <w:rFonts w:ascii="Arial" w:hAnsi="Arial" w:cs="Arial"/>
          <w:spacing w:val="-7"/>
          <w:sz w:val="24"/>
          <w:szCs w:val="24"/>
        </w:rPr>
        <w:t xml:space="preserve"> </w:t>
      </w:r>
      <w:r w:rsidRPr="00180D2C">
        <w:rPr>
          <w:rFonts w:ascii="Arial" w:hAnsi="Arial" w:cs="Arial"/>
          <w:sz w:val="24"/>
          <w:szCs w:val="24"/>
        </w:rPr>
        <w:t>Fideicomiso</w:t>
      </w:r>
      <w:r w:rsidRPr="00180D2C">
        <w:rPr>
          <w:rFonts w:ascii="Arial" w:hAnsi="Arial" w:cs="Arial"/>
          <w:spacing w:val="-5"/>
          <w:sz w:val="24"/>
          <w:szCs w:val="24"/>
        </w:rPr>
        <w:t xml:space="preserve"> </w:t>
      </w:r>
      <w:r w:rsidRPr="00180D2C">
        <w:rPr>
          <w:rFonts w:ascii="Arial" w:hAnsi="Arial" w:cs="Arial"/>
          <w:sz w:val="24"/>
          <w:szCs w:val="24"/>
        </w:rPr>
        <w:t>de Administración Inmobiliaria América Centro de Negocios - en Reorganización, administrado por la Fiduciaria ITAU SAS, fueron admitidos en el año 2024 por la Superintendencia de Sociedades en proceso de reorganización empresarial bajo la Ley</w:t>
      </w:r>
      <w:r w:rsidRPr="00180D2C">
        <w:rPr>
          <w:rFonts w:ascii="Arial" w:hAnsi="Arial" w:cs="Arial"/>
          <w:spacing w:val="-4"/>
          <w:sz w:val="24"/>
          <w:szCs w:val="24"/>
        </w:rPr>
        <w:t xml:space="preserve"> </w:t>
      </w:r>
      <w:r w:rsidRPr="00180D2C">
        <w:rPr>
          <w:rFonts w:ascii="Arial" w:hAnsi="Arial" w:cs="Arial"/>
          <w:sz w:val="24"/>
          <w:szCs w:val="24"/>
        </w:rPr>
        <w:t>1116</w:t>
      </w:r>
      <w:r w:rsidRPr="00180D2C">
        <w:rPr>
          <w:rFonts w:ascii="Arial" w:hAnsi="Arial" w:cs="Arial"/>
          <w:spacing w:val="-6"/>
          <w:sz w:val="24"/>
          <w:szCs w:val="24"/>
        </w:rPr>
        <w:t xml:space="preserve"> </w:t>
      </w:r>
      <w:r w:rsidRPr="00180D2C">
        <w:rPr>
          <w:rFonts w:ascii="Arial" w:hAnsi="Arial" w:cs="Arial"/>
          <w:sz w:val="24"/>
          <w:szCs w:val="24"/>
        </w:rPr>
        <w:t>de</w:t>
      </w:r>
      <w:r w:rsidRPr="00180D2C">
        <w:rPr>
          <w:rFonts w:ascii="Arial" w:hAnsi="Arial" w:cs="Arial"/>
          <w:spacing w:val="-6"/>
          <w:sz w:val="24"/>
          <w:szCs w:val="24"/>
        </w:rPr>
        <w:t xml:space="preserve"> </w:t>
      </w:r>
      <w:r w:rsidRPr="00180D2C">
        <w:rPr>
          <w:rFonts w:ascii="Arial" w:hAnsi="Arial" w:cs="Arial"/>
          <w:sz w:val="24"/>
          <w:szCs w:val="24"/>
        </w:rPr>
        <w:t>2006,</w:t>
      </w:r>
      <w:r w:rsidRPr="00180D2C">
        <w:rPr>
          <w:rFonts w:ascii="Arial" w:hAnsi="Arial" w:cs="Arial"/>
          <w:spacing w:val="-4"/>
          <w:sz w:val="24"/>
          <w:szCs w:val="24"/>
        </w:rPr>
        <w:t xml:space="preserve"> </w:t>
      </w:r>
      <w:r w:rsidRPr="00180D2C">
        <w:rPr>
          <w:rFonts w:ascii="Arial" w:hAnsi="Arial" w:cs="Arial"/>
          <w:sz w:val="24"/>
          <w:szCs w:val="24"/>
        </w:rPr>
        <w:t>con</w:t>
      </w:r>
      <w:r w:rsidRPr="00180D2C">
        <w:rPr>
          <w:rFonts w:ascii="Arial" w:hAnsi="Arial" w:cs="Arial"/>
          <w:spacing w:val="-6"/>
          <w:sz w:val="24"/>
          <w:szCs w:val="24"/>
        </w:rPr>
        <w:t xml:space="preserve"> </w:t>
      </w:r>
      <w:r w:rsidRPr="00180D2C">
        <w:rPr>
          <w:rFonts w:ascii="Arial" w:hAnsi="Arial" w:cs="Arial"/>
          <w:sz w:val="24"/>
          <w:szCs w:val="24"/>
        </w:rPr>
        <w:t>el</w:t>
      </w:r>
      <w:r w:rsidRPr="00180D2C">
        <w:rPr>
          <w:rFonts w:ascii="Arial" w:hAnsi="Arial" w:cs="Arial"/>
          <w:spacing w:val="-6"/>
          <w:sz w:val="24"/>
          <w:szCs w:val="24"/>
        </w:rPr>
        <w:t xml:space="preserve"> </w:t>
      </w:r>
      <w:r w:rsidRPr="00180D2C">
        <w:rPr>
          <w:rFonts w:ascii="Arial" w:hAnsi="Arial" w:cs="Arial"/>
          <w:sz w:val="24"/>
          <w:szCs w:val="24"/>
        </w:rPr>
        <w:t>fin</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6"/>
          <w:sz w:val="24"/>
          <w:szCs w:val="24"/>
        </w:rPr>
        <w:t xml:space="preserve"> </w:t>
      </w:r>
      <w:r w:rsidRPr="00180D2C">
        <w:rPr>
          <w:rFonts w:ascii="Arial" w:hAnsi="Arial" w:cs="Arial"/>
          <w:sz w:val="24"/>
          <w:szCs w:val="24"/>
        </w:rPr>
        <w:t>lograr</w:t>
      </w:r>
      <w:r w:rsidRPr="00180D2C">
        <w:rPr>
          <w:rFonts w:ascii="Arial" w:hAnsi="Arial" w:cs="Arial"/>
          <w:spacing w:val="-5"/>
          <w:sz w:val="24"/>
          <w:szCs w:val="24"/>
        </w:rPr>
        <w:t xml:space="preserve"> </w:t>
      </w:r>
      <w:r w:rsidRPr="00180D2C">
        <w:rPr>
          <w:rFonts w:ascii="Arial" w:hAnsi="Arial" w:cs="Arial"/>
          <w:sz w:val="24"/>
          <w:szCs w:val="24"/>
        </w:rPr>
        <w:t>un</w:t>
      </w:r>
      <w:r w:rsidRPr="00180D2C">
        <w:rPr>
          <w:rFonts w:ascii="Arial" w:hAnsi="Arial" w:cs="Arial"/>
          <w:spacing w:val="-6"/>
          <w:sz w:val="24"/>
          <w:szCs w:val="24"/>
        </w:rPr>
        <w:t xml:space="preserve"> </w:t>
      </w:r>
      <w:r w:rsidRPr="00180D2C">
        <w:rPr>
          <w:rFonts w:ascii="Arial" w:hAnsi="Arial" w:cs="Arial"/>
          <w:sz w:val="24"/>
          <w:szCs w:val="24"/>
        </w:rPr>
        <w:t>acuerdo</w:t>
      </w:r>
      <w:r w:rsidRPr="00180D2C">
        <w:rPr>
          <w:rFonts w:ascii="Arial" w:hAnsi="Arial" w:cs="Arial"/>
          <w:spacing w:val="-6"/>
          <w:sz w:val="24"/>
          <w:szCs w:val="24"/>
        </w:rPr>
        <w:t xml:space="preserve"> </w:t>
      </w:r>
      <w:r w:rsidRPr="00180D2C">
        <w:rPr>
          <w:rFonts w:ascii="Arial" w:hAnsi="Arial" w:cs="Arial"/>
          <w:sz w:val="24"/>
          <w:szCs w:val="24"/>
        </w:rPr>
        <w:t>con</w:t>
      </w:r>
      <w:r w:rsidRPr="00180D2C">
        <w:rPr>
          <w:rFonts w:ascii="Arial" w:hAnsi="Arial" w:cs="Arial"/>
          <w:spacing w:val="-4"/>
          <w:sz w:val="24"/>
          <w:szCs w:val="24"/>
        </w:rPr>
        <w:t xml:space="preserve"> </w:t>
      </w:r>
      <w:r w:rsidRPr="00180D2C">
        <w:rPr>
          <w:rFonts w:ascii="Arial" w:hAnsi="Arial" w:cs="Arial"/>
          <w:sz w:val="24"/>
          <w:szCs w:val="24"/>
        </w:rPr>
        <w:t>los</w:t>
      </w:r>
      <w:r w:rsidRPr="00180D2C">
        <w:rPr>
          <w:rFonts w:ascii="Arial" w:hAnsi="Arial" w:cs="Arial"/>
          <w:spacing w:val="-5"/>
          <w:sz w:val="24"/>
          <w:szCs w:val="24"/>
        </w:rPr>
        <w:t xml:space="preserve"> </w:t>
      </w:r>
      <w:r w:rsidRPr="00180D2C">
        <w:rPr>
          <w:rFonts w:ascii="Arial" w:hAnsi="Arial" w:cs="Arial"/>
          <w:sz w:val="24"/>
          <w:szCs w:val="24"/>
        </w:rPr>
        <w:t>acreedores</w:t>
      </w:r>
      <w:r w:rsidRPr="00180D2C">
        <w:rPr>
          <w:rFonts w:ascii="Arial" w:hAnsi="Arial" w:cs="Arial"/>
          <w:spacing w:val="-5"/>
          <w:sz w:val="24"/>
          <w:szCs w:val="24"/>
        </w:rPr>
        <w:t xml:space="preserve"> </w:t>
      </w:r>
      <w:r w:rsidRPr="00180D2C">
        <w:rPr>
          <w:rFonts w:ascii="Arial" w:hAnsi="Arial" w:cs="Arial"/>
          <w:sz w:val="24"/>
          <w:szCs w:val="24"/>
        </w:rPr>
        <w:t>para</w:t>
      </w:r>
      <w:r w:rsidRPr="00180D2C">
        <w:rPr>
          <w:rFonts w:ascii="Arial" w:hAnsi="Arial" w:cs="Arial"/>
          <w:spacing w:val="-8"/>
          <w:sz w:val="24"/>
          <w:szCs w:val="24"/>
        </w:rPr>
        <w:t xml:space="preserve"> </w:t>
      </w:r>
      <w:r w:rsidRPr="00180D2C">
        <w:rPr>
          <w:rFonts w:ascii="Arial" w:hAnsi="Arial" w:cs="Arial"/>
          <w:sz w:val="24"/>
          <w:szCs w:val="24"/>
        </w:rPr>
        <w:t>preservar la</w:t>
      </w:r>
      <w:r w:rsidRPr="00180D2C">
        <w:rPr>
          <w:rFonts w:ascii="Arial" w:hAnsi="Arial" w:cs="Arial"/>
          <w:spacing w:val="-16"/>
          <w:sz w:val="24"/>
          <w:szCs w:val="24"/>
        </w:rPr>
        <w:t xml:space="preserve"> </w:t>
      </w:r>
      <w:r w:rsidRPr="00180D2C">
        <w:rPr>
          <w:rFonts w:ascii="Arial" w:hAnsi="Arial" w:cs="Arial"/>
          <w:sz w:val="24"/>
          <w:szCs w:val="24"/>
        </w:rPr>
        <w:t>empresa</w:t>
      </w:r>
      <w:r w:rsidRPr="00180D2C">
        <w:rPr>
          <w:rFonts w:ascii="Arial" w:hAnsi="Arial" w:cs="Arial"/>
          <w:spacing w:val="-15"/>
          <w:sz w:val="24"/>
          <w:szCs w:val="24"/>
        </w:rPr>
        <w:t xml:space="preserve"> </w:t>
      </w:r>
      <w:r w:rsidRPr="00180D2C">
        <w:rPr>
          <w:rFonts w:ascii="Arial" w:hAnsi="Arial" w:cs="Arial"/>
          <w:sz w:val="24"/>
          <w:szCs w:val="24"/>
        </w:rPr>
        <w:t>y</w:t>
      </w:r>
      <w:r w:rsidRPr="00180D2C">
        <w:rPr>
          <w:rFonts w:ascii="Arial" w:hAnsi="Arial" w:cs="Arial"/>
          <w:spacing w:val="-15"/>
          <w:sz w:val="24"/>
          <w:szCs w:val="24"/>
        </w:rPr>
        <w:t xml:space="preserve"> </w:t>
      </w:r>
      <w:r w:rsidRPr="00180D2C">
        <w:rPr>
          <w:rFonts w:ascii="Arial" w:hAnsi="Arial" w:cs="Arial"/>
          <w:sz w:val="24"/>
          <w:szCs w:val="24"/>
        </w:rPr>
        <w:t>el</w:t>
      </w:r>
      <w:r w:rsidRPr="00180D2C">
        <w:rPr>
          <w:rFonts w:ascii="Arial" w:hAnsi="Arial" w:cs="Arial"/>
          <w:spacing w:val="-16"/>
          <w:sz w:val="24"/>
          <w:szCs w:val="24"/>
        </w:rPr>
        <w:t xml:space="preserve"> </w:t>
      </w:r>
      <w:r w:rsidRPr="00180D2C">
        <w:rPr>
          <w:rFonts w:ascii="Arial" w:hAnsi="Arial" w:cs="Arial"/>
          <w:sz w:val="24"/>
          <w:szCs w:val="24"/>
        </w:rPr>
        <w:t>patrimonio</w:t>
      </w:r>
      <w:r w:rsidRPr="00180D2C">
        <w:rPr>
          <w:rFonts w:ascii="Arial" w:hAnsi="Arial" w:cs="Arial"/>
          <w:spacing w:val="-15"/>
          <w:sz w:val="24"/>
          <w:szCs w:val="24"/>
        </w:rPr>
        <w:t xml:space="preserve"> </w:t>
      </w:r>
      <w:r w:rsidRPr="00180D2C">
        <w:rPr>
          <w:rFonts w:ascii="Arial" w:hAnsi="Arial" w:cs="Arial"/>
          <w:sz w:val="24"/>
          <w:szCs w:val="24"/>
        </w:rPr>
        <w:t>autónomo</w:t>
      </w:r>
      <w:r w:rsidRPr="00180D2C">
        <w:rPr>
          <w:rFonts w:ascii="Arial" w:hAnsi="Arial" w:cs="Arial"/>
          <w:spacing w:val="-15"/>
          <w:sz w:val="24"/>
          <w:szCs w:val="24"/>
        </w:rPr>
        <w:t xml:space="preserve"> </w:t>
      </w:r>
      <w:r w:rsidRPr="00180D2C">
        <w:rPr>
          <w:rFonts w:ascii="Arial" w:hAnsi="Arial" w:cs="Arial"/>
          <w:sz w:val="24"/>
          <w:szCs w:val="24"/>
        </w:rPr>
        <w:t>como</w:t>
      </w:r>
      <w:r w:rsidRPr="00180D2C">
        <w:rPr>
          <w:rFonts w:ascii="Arial" w:hAnsi="Arial" w:cs="Arial"/>
          <w:spacing w:val="-15"/>
          <w:sz w:val="24"/>
          <w:szCs w:val="24"/>
        </w:rPr>
        <w:t xml:space="preserve"> </w:t>
      </w:r>
      <w:r w:rsidRPr="00180D2C">
        <w:rPr>
          <w:rFonts w:ascii="Arial" w:hAnsi="Arial" w:cs="Arial"/>
          <w:sz w:val="24"/>
          <w:szCs w:val="24"/>
        </w:rPr>
        <w:t>unidad</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explotación</w:t>
      </w:r>
      <w:r w:rsidRPr="00180D2C">
        <w:rPr>
          <w:rFonts w:ascii="Arial" w:hAnsi="Arial" w:cs="Arial"/>
          <w:spacing w:val="-15"/>
          <w:sz w:val="24"/>
          <w:szCs w:val="24"/>
        </w:rPr>
        <w:t xml:space="preserve"> </w:t>
      </w:r>
      <w:r w:rsidRPr="00180D2C">
        <w:rPr>
          <w:rFonts w:ascii="Arial" w:hAnsi="Arial" w:cs="Arial"/>
          <w:sz w:val="24"/>
          <w:szCs w:val="24"/>
        </w:rPr>
        <w:t>económica</w:t>
      </w:r>
      <w:r w:rsidRPr="00180D2C">
        <w:rPr>
          <w:rFonts w:ascii="Arial" w:hAnsi="Arial" w:cs="Arial"/>
          <w:spacing w:val="-16"/>
          <w:sz w:val="24"/>
          <w:szCs w:val="24"/>
        </w:rPr>
        <w:t xml:space="preserve"> </w:t>
      </w:r>
      <w:r w:rsidRPr="00180D2C">
        <w:rPr>
          <w:rFonts w:ascii="Arial" w:hAnsi="Arial" w:cs="Arial"/>
          <w:sz w:val="24"/>
          <w:szCs w:val="24"/>
        </w:rPr>
        <w:t>y</w:t>
      </w:r>
      <w:r w:rsidRPr="00180D2C">
        <w:rPr>
          <w:rFonts w:ascii="Arial" w:hAnsi="Arial" w:cs="Arial"/>
          <w:spacing w:val="-15"/>
          <w:sz w:val="24"/>
          <w:szCs w:val="24"/>
        </w:rPr>
        <w:t xml:space="preserve"> </w:t>
      </w:r>
      <w:r w:rsidRPr="00180D2C">
        <w:rPr>
          <w:rFonts w:ascii="Arial" w:hAnsi="Arial" w:cs="Arial"/>
          <w:sz w:val="24"/>
          <w:szCs w:val="24"/>
        </w:rPr>
        <w:t>fuente generadora de empleo.</w:t>
      </w:r>
    </w:p>
    <w:p w14:paraId="09E5BDEB" w14:textId="77777777" w:rsidR="00E46C0A" w:rsidRPr="00180D2C" w:rsidRDefault="00E46C0A" w:rsidP="00E95331">
      <w:pPr>
        <w:pStyle w:val="Textoindependiente"/>
        <w:spacing w:line="242" w:lineRule="auto"/>
        <w:ind w:left="912" w:right="-234"/>
        <w:jc w:val="both"/>
        <w:rPr>
          <w:rFonts w:ascii="Arial" w:hAnsi="Arial" w:cs="Arial"/>
          <w:sz w:val="24"/>
          <w:szCs w:val="24"/>
        </w:rPr>
      </w:pPr>
    </w:p>
    <w:p w14:paraId="4DB38995"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CREMIL a través de apoderada judicial, presentó los siguientes créditos para su inclusión en el proyecto de calificación y graduación de los procesos de Aldea Proyectos SAS y/o del Patrimonio Autónomo Fideicomiso de Administración Inmobiliaria América Centro de Negocios: $225.250 millones por el pago del precio de</w:t>
      </w:r>
      <w:r w:rsidRPr="00180D2C">
        <w:rPr>
          <w:rFonts w:ascii="Arial" w:hAnsi="Arial" w:cs="Arial"/>
          <w:spacing w:val="-16"/>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venta</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6"/>
          <w:sz w:val="24"/>
          <w:szCs w:val="24"/>
        </w:rPr>
        <w:t xml:space="preserve"> </w:t>
      </w:r>
      <w:r w:rsidRPr="00180D2C">
        <w:rPr>
          <w:rFonts w:ascii="Arial" w:hAnsi="Arial" w:cs="Arial"/>
          <w:sz w:val="24"/>
          <w:szCs w:val="24"/>
        </w:rPr>
        <w:t>catorce</w:t>
      </w:r>
      <w:r w:rsidRPr="00180D2C">
        <w:rPr>
          <w:rFonts w:ascii="Arial" w:hAnsi="Arial" w:cs="Arial"/>
          <w:spacing w:val="-15"/>
          <w:sz w:val="24"/>
          <w:szCs w:val="24"/>
        </w:rPr>
        <w:t xml:space="preserve"> </w:t>
      </w:r>
      <w:r w:rsidRPr="00180D2C">
        <w:rPr>
          <w:rFonts w:ascii="Arial" w:hAnsi="Arial" w:cs="Arial"/>
          <w:sz w:val="24"/>
          <w:szCs w:val="24"/>
        </w:rPr>
        <w:t>inmuebles,</w:t>
      </w:r>
      <w:r w:rsidRPr="00180D2C">
        <w:rPr>
          <w:rFonts w:ascii="Arial" w:hAnsi="Arial" w:cs="Arial"/>
          <w:spacing w:val="-15"/>
          <w:sz w:val="24"/>
          <w:szCs w:val="24"/>
        </w:rPr>
        <w:t xml:space="preserve"> </w:t>
      </w:r>
      <w:r w:rsidRPr="00180D2C">
        <w:rPr>
          <w:rFonts w:ascii="Arial" w:hAnsi="Arial" w:cs="Arial"/>
          <w:sz w:val="24"/>
          <w:szCs w:val="24"/>
        </w:rPr>
        <w:t>$69.275</w:t>
      </w:r>
      <w:r w:rsidRPr="00180D2C">
        <w:rPr>
          <w:rFonts w:ascii="Arial" w:hAnsi="Arial" w:cs="Arial"/>
          <w:spacing w:val="-15"/>
          <w:sz w:val="24"/>
          <w:szCs w:val="24"/>
        </w:rPr>
        <w:t xml:space="preserve"> </w:t>
      </w:r>
      <w:r w:rsidRPr="00180D2C">
        <w:rPr>
          <w:rFonts w:ascii="Arial" w:hAnsi="Arial" w:cs="Arial"/>
          <w:sz w:val="24"/>
          <w:szCs w:val="24"/>
        </w:rPr>
        <w:t>millones</w:t>
      </w:r>
      <w:r w:rsidRPr="00180D2C">
        <w:rPr>
          <w:rFonts w:ascii="Arial" w:hAnsi="Arial" w:cs="Arial"/>
          <w:spacing w:val="-16"/>
          <w:sz w:val="24"/>
          <w:szCs w:val="24"/>
        </w:rPr>
        <w:t xml:space="preserve"> </w:t>
      </w:r>
      <w:r w:rsidRPr="00180D2C">
        <w:rPr>
          <w:rFonts w:ascii="Arial" w:hAnsi="Arial" w:cs="Arial"/>
          <w:sz w:val="24"/>
          <w:szCs w:val="24"/>
        </w:rPr>
        <w:t>por</w:t>
      </w:r>
      <w:r w:rsidRPr="00180D2C">
        <w:rPr>
          <w:rFonts w:ascii="Arial" w:hAnsi="Arial" w:cs="Arial"/>
          <w:spacing w:val="-15"/>
          <w:sz w:val="24"/>
          <w:szCs w:val="24"/>
        </w:rPr>
        <w:t xml:space="preserve"> </w:t>
      </w:r>
      <w:r w:rsidRPr="00180D2C">
        <w:rPr>
          <w:rFonts w:ascii="Arial" w:hAnsi="Arial" w:cs="Arial"/>
          <w:sz w:val="24"/>
          <w:szCs w:val="24"/>
        </w:rPr>
        <w:t>las</w:t>
      </w:r>
      <w:r w:rsidRPr="00180D2C">
        <w:rPr>
          <w:rFonts w:ascii="Arial" w:hAnsi="Arial" w:cs="Arial"/>
          <w:spacing w:val="-15"/>
          <w:sz w:val="24"/>
          <w:szCs w:val="24"/>
        </w:rPr>
        <w:t xml:space="preserve"> </w:t>
      </w:r>
      <w:r w:rsidRPr="00180D2C">
        <w:rPr>
          <w:rFonts w:ascii="Arial" w:hAnsi="Arial" w:cs="Arial"/>
          <w:sz w:val="24"/>
          <w:szCs w:val="24"/>
        </w:rPr>
        <w:t>rentas</w:t>
      </w:r>
      <w:r w:rsidRPr="00180D2C">
        <w:rPr>
          <w:rFonts w:ascii="Arial" w:hAnsi="Arial" w:cs="Arial"/>
          <w:spacing w:val="-16"/>
          <w:sz w:val="24"/>
          <w:szCs w:val="24"/>
        </w:rPr>
        <w:t xml:space="preserve"> </w:t>
      </w:r>
      <w:r w:rsidRPr="00180D2C">
        <w:rPr>
          <w:rFonts w:ascii="Arial" w:hAnsi="Arial" w:cs="Arial"/>
          <w:sz w:val="24"/>
          <w:szCs w:val="24"/>
        </w:rPr>
        <w:t>dejadas</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percibir, las cuales fueron determinadas mediante actos administrativos que se encuentran debidamente</w:t>
      </w:r>
      <w:r w:rsidRPr="00180D2C">
        <w:rPr>
          <w:rFonts w:ascii="Arial" w:hAnsi="Arial" w:cs="Arial"/>
          <w:spacing w:val="-2"/>
          <w:sz w:val="24"/>
          <w:szCs w:val="24"/>
        </w:rPr>
        <w:t xml:space="preserve"> </w:t>
      </w:r>
      <w:r w:rsidRPr="00180D2C">
        <w:rPr>
          <w:rFonts w:ascii="Arial" w:hAnsi="Arial" w:cs="Arial"/>
          <w:sz w:val="24"/>
          <w:szCs w:val="24"/>
        </w:rPr>
        <w:t>ejecutoriados,</w:t>
      </w:r>
      <w:r w:rsidRPr="00180D2C">
        <w:rPr>
          <w:rFonts w:ascii="Arial" w:hAnsi="Arial" w:cs="Arial"/>
          <w:spacing w:val="-1"/>
          <w:sz w:val="24"/>
          <w:szCs w:val="24"/>
        </w:rPr>
        <w:t xml:space="preserve"> </w:t>
      </w:r>
      <w:r w:rsidRPr="00180D2C">
        <w:rPr>
          <w:rFonts w:ascii="Arial" w:hAnsi="Arial" w:cs="Arial"/>
          <w:sz w:val="24"/>
          <w:szCs w:val="24"/>
        </w:rPr>
        <w:t>y</w:t>
      </w:r>
      <w:r w:rsidRPr="00180D2C">
        <w:rPr>
          <w:rFonts w:ascii="Arial" w:hAnsi="Arial" w:cs="Arial"/>
          <w:spacing w:val="-1"/>
          <w:sz w:val="24"/>
          <w:szCs w:val="24"/>
        </w:rPr>
        <w:t xml:space="preserve"> </w:t>
      </w:r>
      <w:r w:rsidRPr="00180D2C">
        <w:rPr>
          <w:rFonts w:ascii="Arial" w:hAnsi="Arial" w:cs="Arial"/>
          <w:sz w:val="24"/>
          <w:szCs w:val="24"/>
        </w:rPr>
        <w:t>$453</w:t>
      </w:r>
      <w:r w:rsidRPr="00180D2C">
        <w:rPr>
          <w:rFonts w:ascii="Arial" w:hAnsi="Arial" w:cs="Arial"/>
          <w:spacing w:val="-4"/>
          <w:sz w:val="24"/>
          <w:szCs w:val="24"/>
        </w:rPr>
        <w:t xml:space="preserve"> </w:t>
      </w:r>
      <w:r w:rsidRPr="00180D2C">
        <w:rPr>
          <w:rFonts w:ascii="Arial" w:hAnsi="Arial" w:cs="Arial"/>
          <w:sz w:val="24"/>
          <w:szCs w:val="24"/>
        </w:rPr>
        <w:t>millones</w:t>
      </w:r>
      <w:r w:rsidRPr="00180D2C">
        <w:rPr>
          <w:rFonts w:ascii="Arial" w:hAnsi="Arial" w:cs="Arial"/>
          <w:spacing w:val="-2"/>
          <w:sz w:val="24"/>
          <w:szCs w:val="24"/>
        </w:rPr>
        <w:t xml:space="preserve"> </w:t>
      </w:r>
      <w:r w:rsidRPr="00180D2C">
        <w:rPr>
          <w:rFonts w:ascii="Arial" w:hAnsi="Arial" w:cs="Arial"/>
          <w:sz w:val="24"/>
          <w:szCs w:val="24"/>
        </w:rPr>
        <w:t>por</w:t>
      </w:r>
      <w:r w:rsidRPr="00180D2C">
        <w:rPr>
          <w:rFonts w:ascii="Arial" w:hAnsi="Arial" w:cs="Arial"/>
          <w:spacing w:val="-1"/>
          <w:sz w:val="24"/>
          <w:szCs w:val="24"/>
        </w:rPr>
        <w:t xml:space="preserve"> </w:t>
      </w:r>
      <w:r w:rsidRPr="00180D2C">
        <w:rPr>
          <w:rFonts w:ascii="Arial" w:hAnsi="Arial" w:cs="Arial"/>
          <w:sz w:val="24"/>
          <w:szCs w:val="24"/>
        </w:rPr>
        <w:t>el</w:t>
      </w:r>
      <w:r w:rsidRPr="00180D2C">
        <w:rPr>
          <w:rFonts w:ascii="Arial" w:hAnsi="Arial" w:cs="Arial"/>
          <w:spacing w:val="-3"/>
          <w:sz w:val="24"/>
          <w:szCs w:val="24"/>
        </w:rPr>
        <w:t xml:space="preserve"> </w:t>
      </w:r>
      <w:r w:rsidRPr="00180D2C">
        <w:rPr>
          <w:rFonts w:ascii="Arial" w:hAnsi="Arial" w:cs="Arial"/>
          <w:sz w:val="24"/>
          <w:szCs w:val="24"/>
        </w:rPr>
        <w:t>pago</w:t>
      </w:r>
      <w:r w:rsidRPr="00180D2C">
        <w:rPr>
          <w:rFonts w:ascii="Arial" w:hAnsi="Arial" w:cs="Arial"/>
          <w:spacing w:val="-2"/>
          <w:sz w:val="24"/>
          <w:szCs w:val="24"/>
        </w:rPr>
        <w:t xml:space="preserve"> </w:t>
      </w:r>
      <w:r w:rsidRPr="00180D2C">
        <w:rPr>
          <w:rFonts w:ascii="Arial" w:hAnsi="Arial" w:cs="Arial"/>
          <w:sz w:val="24"/>
          <w:szCs w:val="24"/>
        </w:rPr>
        <w:t>del</w:t>
      </w:r>
      <w:r w:rsidRPr="00180D2C">
        <w:rPr>
          <w:rFonts w:ascii="Arial" w:hAnsi="Arial" w:cs="Arial"/>
          <w:spacing w:val="-2"/>
          <w:sz w:val="24"/>
          <w:szCs w:val="24"/>
        </w:rPr>
        <w:t xml:space="preserve"> </w:t>
      </w:r>
      <w:r w:rsidRPr="00180D2C">
        <w:rPr>
          <w:rFonts w:ascii="Arial" w:hAnsi="Arial" w:cs="Arial"/>
          <w:sz w:val="24"/>
          <w:szCs w:val="24"/>
        </w:rPr>
        <w:t>avalúo</w:t>
      </w:r>
      <w:r w:rsidRPr="00180D2C">
        <w:rPr>
          <w:rFonts w:ascii="Arial" w:hAnsi="Arial" w:cs="Arial"/>
          <w:spacing w:val="-2"/>
          <w:sz w:val="24"/>
          <w:szCs w:val="24"/>
        </w:rPr>
        <w:t xml:space="preserve"> </w:t>
      </w:r>
      <w:r w:rsidRPr="00180D2C">
        <w:rPr>
          <w:rFonts w:ascii="Arial" w:hAnsi="Arial" w:cs="Arial"/>
          <w:sz w:val="24"/>
          <w:szCs w:val="24"/>
        </w:rPr>
        <w:t>que</w:t>
      </w:r>
      <w:r w:rsidRPr="00180D2C">
        <w:rPr>
          <w:rFonts w:ascii="Arial" w:hAnsi="Arial" w:cs="Arial"/>
          <w:spacing w:val="-2"/>
          <w:sz w:val="24"/>
          <w:szCs w:val="24"/>
        </w:rPr>
        <w:t xml:space="preserve"> </w:t>
      </w:r>
      <w:r w:rsidRPr="00180D2C">
        <w:rPr>
          <w:rFonts w:ascii="Arial" w:hAnsi="Arial" w:cs="Arial"/>
          <w:sz w:val="24"/>
          <w:szCs w:val="24"/>
        </w:rPr>
        <w:t>se</w:t>
      </w:r>
      <w:r w:rsidRPr="00180D2C">
        <w:rPr>
          <w:rFonts w:ascii="Arial" w:hAnsi="Arial" w:cs="Arial"/>
          <w:spacing w:val="-1"/>
          <w:sz w:val="24"/>
          <w:szCs w:val="24"/>
        </w:rPr>
        <w:t xml:space="preserve"> </w:t>
      </w:r>
      <w:r w:rsidRPr="00180D2C">
        <w:rPr>
          <w:rFonts w:ascii="Arial" w:hAnsi="Arial" w:cs="Arial"/>
          <w:sz w:val="24"/>
          <w:szCs w:val="24"/>
        </w:rPr>
        <w:t>hizo</w:t>
      </w:r>
      <w:r w:rsidRPr="00180D2C">
        <w:rPr>
          <w:rFonts w:ascii="Arial" w:hAnsi="Arial" w:cs="Arial"/>
          <w:spacing w:val="-2"/>
          <w:sz w:val="24"/>
          <w:szCs w:val="24"/>
        </w:rPr>
        <w:t xml:space="preserve"> </w:t>
      </w:r>
      <w:r w:rsidRPr="00180D2C">
        <w:rPr>
          <w:rFonts w:ascii="Arial" w:hAnsi="Arial" w:cs="Arial"/>
          <w:sz w:val="24"/>
          <w:szCs w:val="24"/>
        </w:rPr>
        <w:t>para poder fijar el valor de las rentas dejadas de percibir.</w:t>
      </w:r>
    </w:p>
    <w:p w14:paraId="7BB1EF38" w14:textId="77777777" w:rsidR="00E46C0A" w:rsidRPr="00180D2C" w:rsidRDefault="00E46C0A" w:rsidP="00E95331">
      <w:pPr>
        <w:pStyle w:val="Textoindependiente"/>
        <w:spacing w:before="13"/>
        <w:ind w:right="-234"/>
        <w:rPr>
          <w:rFonts w:ascii="Arial" w:hAnsi="Arial" w:cs="Arial"/>
          <w:sz w:val="24"/>
          <w:szCs w:val="24"/>
        </w:rPr>
      </w:pPr>
    </w:p>
    <w:p w14:paraId="74332C3B"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A la fecha de nuestro informe CREMIL presentó en ambos procesos de insolvencia las</w:t>
      </w:r>
      <w:r w:rsidRPr="00180D2C">
        <w:rPr>
          <w:rFonts w:ascii="Arial" w:hAnsi="Arial" w:cs="Arial"/>
          <w:spacing w:val="-5"/>
          <w:sz w:val="24"/>
          <w:szCs w:val="24"/>
        </w:rPr>
        <w:t xml:space="preserve"> </w:t>
      </w:r>
      <w:r w:rsidRPr="00180D2C">
        <w:rPr>
          <w:rFonts w:ascii="Arial" w:hAnsi="Arial" w:cs="Arial"/>
          <w:sz w:val="24"/>
          <w:szCs w:val="24"/>
        </w:rPr>
        <w:t>objeciones</w:t>
      </w:r>
      <w:r w:rsidRPr="00180D2C">
        <w:rPr>
          <w:rFonts w:ascii="Arial" w:hAnsi="Arial" w:cs="Arial"/>
          <w:spacing w:val="-5"/>
          <w:sz w:val="24"/>
          <w:szCs w:val="24"/>
        </w:rPr>
        <w:t xml:space="preserve"> </w:t>
      </w:r>
      <w:r w:rsidRPr="00180D2C">
        <w:rPr>
          <w:rFonts w:ascii="Arial" w:hAnsi="Arial" w:cs="Arial"/>
          <w:sz w:val="24"/>
          <w:szCs w:val="24"/>
        </w:rPr>
        <w:t>al</w:t>
      </w:r>
      <w:r w:rsidRPr="00180D2C">
        <w:rPr>
          <w:rFonts w:ascii="Arial" w:hAnsi="Arial" w:cs="Arial"/>
          <w:spacing w:val="-6"/>
          <w:sz w:val="24"/>
          <w:szCs w:val="24"/>
        </w:rPr>
        <w:t xml:space="preserve"> </w:t>
      </w:r>
      <w:r w:rsidRPr="00180D2C">
        <w:rPr>
          <w:rFonts w:ascii="Arial" w:hAnsi="Arial" w:cs="Arial"/>
          <w:sz w:val="24"/>
          <w:szCs w:val="24"/>
        </w:rPr>
        <w:t>proyecto</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calificación</w:t>
      </w:r>
      <w:r w:rsidRPr="00180D2C">
        <w:rPr>
          <w:rFonts w:ascii="Arial" w:hAnsi="Arial" w:cs="Arial"/>
          <w:spacing w:val="-5"/>
          <w:sz w:val="24"/>
          <w:szCs w:val="24"/>
        </w:rPr>
        <w:t xml:space="preserve"> </w:t>
      </w:r>
      <w:r w:rsidRPr="00180D2C">
        <w:rPr>
          <w:rFonts w:ascii="Arial" w:hAnsi="Arial" w:cs="Arial"/>
          <w:sz w:val="24"/>
          <w:szCs w:val="24"/>
        </w:rPr>
        <w:t>y</w:t>
      </w:r>
      <w:r w:rsidRPr="00180D2C">
        <w:rPr>
          <w:rFonts w:ascii="Arial" w:hAnsi="Arial" w:cs="Arial"/>
          <w:spacing w:val="-5"/>
          <w:sz w:val="24"/>
          <w:szCs w:val="24"/>
        </w:rPr>
        <w:t xml:space="preserve"> </w:t>
      </w:r>
      <w:r w:rsidRPr="00180D2C">
        <w:rPr>
          <w:rFonts w:ascii="Arial" w:hAnsi="Arial" w:cs="Arial"/>
          <w:sz w:val="24"/>
          <w:szCs w:val="24"/>
        </w:rPr>
        <w:t>graduación</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créditos,</w:t>
      </w:r>
      <w:r w:rsidRPr="00180D2C">
        <w:rPr>
          <w:rFonts w:ascii="Arial" w:hAnsi="Arial" w:cs="Arial"/>
          <w:spacing w:val="-4"/>
          <w:sz w:val="24"/>
          <w:szCs w:val="24"/>
        </w:rPr>
        <w:t xml:space="preserve"> </w:t>
      </w:r>
      <w:r w:rsidRPr="00180D2C">
        <w:rPr>
          <w:rFonts w:ascii="Arial" w:hAnsi="Arial" w:cs="Arial"/>
          <w:sz w:val="24"/>
          <w:szCs w:val="24"/>
        </w:rPr>
        <w:t>derechos</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voto e</w:t>
      </w:r>
      <w:r w:rsidRPr="00180D2C">
        <w:rPr>
          <w:rFonts w:ascii="Arial" w:hAnsi="Arial" w:cs="Arial"/>
          <w:spacing w:val="-16"/>
          <w:sz w:val="24"/>
          <w:szCs w:val="24"/>
        </w:rPr>
        <w:t xml:space="preserve"> </w:t>
      </w:r>
      <w:r w:rsidRPr="00180D2C">
        <w:rPr>
          <w:rFonts w:ascii="Arial" w:hAnsi="Arial" w:cs="Arial"/>
          <w:sz w:val="24"/>
          <w:szCs w:val="24"/>
        </w:rPr>
        <w:t>inventario</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bienes</w:t>
      </w:r>
      <w:r w:rsidRPr="00180D2C">
        <w:rPr>
          <w:rFonts w:ascii="Arial" w:hAnsi="Arial" w:cs="Arial"/>
          <w:spacing w:val="-15"/>
          <w:sz w:val="24"/>
          <w:szCs w:val="24"/>
        </w:rPr>
        <w:t xml:space="preserve"> </w:t>
      </w:r>
      <w:r w:rsidRPr="00180D2C">
        <w:rPr>
          <w:rFonts w:ascii="Arial" w:hAnsi="Arial" w:cs="Arial"/>
          <w:sz w:val="24"/>
          <w:szCs w:val="24"/>
        </w:rPr>
        <w:t>que</w:t>
      </w:r>
      <w:r w:rsidRPr="00180D2C">
        <w:rPr>
          <w:rFonts w:ascii="Arial" w:hAnsi="Arial" w:cs="Arial"/>
          <w:spacing w:val="-14"/>
          <w:sz w:val="24"/>
          <w:szCs w:val="24"/>
        </w:rPr>
        <w:t xml:space="preserve"> </w:t>
      </w:r>
      <w:r w:rsidRPr="00180D2C">
        <w:rPr>
          <w:rFonts w:ascii="Arial" w:hAnsi="Arial" w:cs="Arial"/>
          <w:sz w:val="24"/>
          <w:szCs w:val="24"/>
        </w:rPr>
        <w:t>presentó</w:t>
      </w:r>
      <w:r w:rsidRPr="00180D2C">
        <w:rPr>
          <w:rFonts w:ascii="Arial" w:hAnsi="Arial" w:cs="Arial"/>
          <w:spacing w:val="-14"/>
          <w:sz w:val="24"/>
          <w:szCs w:val="24"/>
        </w:rPr>
        <w:t xml:space="preserve"> </w:t>
      </w:r>
      <w:r w:rsidRPr="00180D2C">
        <w:rPr>
          <w:rFonts w:ascii="Arial" w:hAnsi="Arial" w:cs="Arial"/>
          <w:sz w:val="24"/>
          <w:szCs w:val="24"/>
        </w:rPr>
        <w:t>el</w:t>
      </w:r>
      <w:r w:rsidRPr="00180D2C">
        <w:rPr>
          <w:rFonts w:ascii="Arial" w:hAnsi="Arial" w:cs="Arial"/>
          <w:spacing w:val="-15"/>
          <w:sz w:val="24"/>
          <w:szCs w:val="24"/>
        </w:rPr>
        <w:t xml:space="preserve"> </w:t>
      </w:r>
      <w:r w:rsidRPr="00180D2C">
        <w:rPr>
          <w:rFonts w:ascii="Arial" w:hAnsi="Arial" w:cs="Arial"/>
          <w:sz w:val="24"/>
          <w:szCs w:val="24"/>
        </w:rPr>
        <w:t>Promotor.</w:t>
      </w:r>
      <w:r w:rsidRPr="00180D2C">
        <w:rPr>
          <w:rFonts w:ascii="Arial" w:hAnsi="Arial" w:cs="Arial"/>
          <w:spacing w:val="-16"/>
          <w:sz w:val="24"/>
          <w:szCs w:val="24"/>
        </w:rPr>
        <w:t xml:space="preserve"> </w:t>
      </w:r>
      <w:r w:rsidRPr="00180D2C">
        <w:rPr>
          <w:rFonts w:ascii="Arial" w:hAnsi="Arial" w:cs="Arial"/>
          <w:sz w:val="24"/>
          <w:szCs w:val="24"/>
        </w:rPr>
        <w:t>Se</w:t>
      </w:r>
      <w:r w:rsidRPr="00180D2C">
        <w:rPr>
          <w:rFonts w:ascii="Arial" w:hAnsi="Arial" w:cs="Arial"/>
          <w:spacing w:val="-13"/>
          <w:sz w:val="24"/>
          <w:szCs w:val="24"/>
        </w:rPr>
        <w:t xml:space="preserve"> </w:t>
      </w:r>
      <w:r w:rsidRPr="00180D2C">
        <w:rPr>
          <w:rFonts w:ascii="Arial" w:hAnsi="Arial" w:cs="Arial"/>
          <w:sz w:val="24"/>
          <w:szCs w:val="24"/>
        </w:rPr>
        <w:t>espera</w:t>
      </w:r>
      <w:r w:rsidRPr="00180D2C">
        <w:rPr>
          <w:rFonts w:ascii="Arial" w:hAnsi="Arial" w:cs="Arial"/>
          <w:spacing w:val="-16"/>
          <w:sz w:val="24"/>
          <w:szCs w:val="24"/>
        </w:rPr>
        <w:t xml:space="preserve"> </w:t>
      </w:r>
      <w:r w:rsidRPr="00180D2C">
        <w:rPr>
          <w:rFonts w:ascii="Arial" w:hAnsi="Arial" w:cs="Arial"/>
          <w:sz w:val="24"/>
          <w:szCs w:val="24"/>
        </w:rPr>
        <w:t>que</w:t>
      </w:r>
      <w:r w:rsidRPr="00180D2C">
        <w:rPr>
          <w:rFonts w:ascii="Arial" w:hAnsi="Arial" w:cs="Arial"/>
          <w:spacing w:val="-13"/>
          <w:sz w:val="24"/>
          <w:szCs w:val="24"/>
        </w:rPr>
        <w:t xml:space="preserve"> </w:t>
      </w:r>
      <w:r w:rsidRPr="00180D2C">
        <w:rPr>
          <w:rFonts w:ascii="Arial" w:hAnsi="Arial" w:cs="Arial"/>
          <w:sz w:val="24"/>
          <w:szCs w:val="24"/>
        </w:rPr>
        <w:t>al</w:t>
      </w:r>
      <w:r w:rsidRPr="00180D2C">
        <w:rPr>
          <w:rFonts w:ascii="Arial" w:hAnsi="Arial" w:cs="Arial"/>
          <w:spacing w:val="-16"/>
          <w:sz w:val="24"/>
          <w:szCs w:val="24"/>
        </w:rPr>
        <w:t xml:space="preserve"> </w:t>
      </w:r>
      <w:r w:rsidRPr="00180D2C">
        <w:rPr>
          <w:rFonts w:ascii="Arial" w:hAnsi="Arial" w:cs="Arial"/>
          <w:sz w:val="24"/>
          <w:szCs w:val="24"/>
        </w:rPr>
        <w:t>finalizar</w:t>
      </w:r>
      <w:r w:rsidRPr="00180D2C">
        <w:rPr>
          <w:rFonts w:ascii="Arial" w:hAnsi="Arial" w:cs="Arial"/>
          <w:spacing w:val="-11"/>
          <w:sz w:val="24"/>
          <w:szCs w:val="24"/>
        </w:rPr>
        <w:t xml:space="preserve"> </w:t>
      </w:r>
      <w:r w:rsidRPr="00180D2C">
        <w:rPr>
          <w:rFonts w:ascii="Arial" w:hAnsi="Arial" w:cs="Arial"/>
          <w:sz w:val="24"/>
          <w:szCs w:val="24"/>
        </w:rPr>
        <w:t>esta</w:t>
      </w:r>
      <w:r w:rsidRPr="00180D2C">
        <w:rPr>
          <w:rFonts w:ascii="Arial" w:hAnsi="Arial" w:cs="Arial"/>
          <w:spacing w:val="-15"/>
          <w:sz w:val="24"/>
          <w:szCs w:val="24"/>
        </w:rPr>
        <w:t xml:space="preserve"> </w:t>
      </w:r>
      <w:r w:rsidRPr="00180D2C">
        <w:rPr>
          <w:rFonts w:ascii="Arial" w:hAnsi="Arial" w:cs="Arial"/>
          <w:sz w:val="24"/>
          <w:szCs w:val="24"/>
        </w:rPr>
        <w:t>etapa y</w:t>
      </w:r>
      <w:r w:rsidRPr="00180D2C">
        <w:rPr>
          <w:rFonts w:ascii="Arial" w:hAnsi="Arial" w:cs="Arial"/>
          <w:spacing w:val="-16"/>
          <w:sz w:val="24"/>
          <w:szCs w:val="24"/>
        </w:rPr>
        <w:t xml:space="preserve"> </w:t>
      </w:r>
      <w:r w:rsidRPr="00180D2C">
        <w:rPr>
          <w:rFonts w:ascii="Arial" w:hAnsi="Arial" w:cs="Arial"/>
          <w:sz w:val="24"/>
          <w:szCs w:val="24"/>
        </w:rPr>
        <w:t>respecto</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las</w:t>
      </w:r>
      <w:r w:rsidRPr="00180D2C">
        <w:rPr>
          <w:rFonts w:ascii="Arial" w:hAnsi="Arial" w:cs="Arial"/>
          <w:spacing w:val="-16"/>
          <w:sz w:val="24"/>
          <w:szCs w:val="24"/>
        </w:rPr>
        <w:t xml:space="preserve"> </w:t>
      </w:r>
      <w:r w:rsidRPr="00180D2C">
        <w:rPr>
          <w:rFonts w:ascii="Arial" w:hAnsi="Arial" w:cs="Arial"/>
          <w:sz w:val="24"/>
          <w:szCs w:val="24"/>
        </w:rPr>
        <w:t>objeciones</w:t>
      </w:r>
      <w:r w:rsidRPr="00180D2C">
        <w:rPr>
          <w:rFonts w:ascii="Arial" w:hAnsi="Arial" w:cs="Arial"/>
          <w:spacing w:val="-15"/>
          <w:sz w:val="24"/>
          <w:szCs w:val="24"/>
        </w:rPr>
        <w:t xml:space="preserve"> </w:t>
      </w:r>
      <w:r w:rsidRPr="00180D2C">
        <w:rPr>
          <w:rFonts w:ascii="Arial" w:hAnsi="Arial" w:cs="Arial"/>
          <w:sz w:val="24"/>
          <w:szCs w:val="24"/>
        </w:rPr>
        <w:t>no</w:t>
      </w:r>
      <w:r w:rsidRPr="00180D2C">
        <w:rPr>
          <w:rFonts w:ascii="Arial" w:hAnsi="Arial" w:cs="Arial"/>
          <w:spacing w:val="-15"/>
          <w:sz w:val="24"/>
          <w:szCs w:val="24"/>
        </w:rPr>
        <w:t xml:space="preserve"> </w:t>
      </w:r>
      <w:r w:rsidRPr="00180D2C">
        <w:rPr>
          <w:rFonts w:ascii="Arial" w:hAnsi="Arial" w:cs="Arial"/>
          <w:sz w:val="24"/>
          <w:szCs w:val="24"/>
        </w:rPr>
        <w:t>conciliadas,</w:t>
      </w:r>
      <w:r w:rsidRPr="00180D2C">
        <w:rPr>
          <w:rFonts w:ascii="Arial" w:hAnsi="Arial" w:cs="Arial"/>
          <w:spacing w:val="-15"/>
          <w:sz w:val="24"/>
          <w:szCs w:val="24"/>
        </w:rPr>
        <w:t xml:space="preserve"> </w:t>
      </w:r>
      <w:r w:rsidRPr="00180D2C">
        <w:rPr>
          <w:rFonts w:ascii="Arial" w:hAnsi="Arial" w:cs="Arial"/>
          <w:sz w:val="24"/>
          <w:szCs w:val="24"/>
        </w:rPr>
        <w:t>el</w:t>
      </w:r>
      <w:r w:rsidRPr="00180D2C">
        <w:rPr>
          <w:rFonts w:ascii="Arial" w:hAnsi="Arial" w:cs="Arial"/>
          <w:spacing w:val="-16"/>
          <w:sz w:val="24"/>
          <w:szCs w:val="24"/>
        </w:rPr>
        <w:t xml:space="preserve"> </w:t>
      </w:r>
      <w:r w:rsidRPr="00180D2C">
        <w:rPr>
          <w:rFonts w:ascii="Arial" w:hAnsi="Arial" w:cs="Arial"/>
          <w:sz w:val="24"/>
          <w:szCs w:val="24"/>
        </w:rPr>
        <w:t>Juez</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Insolvencia</w:t>
      </w:r>
      <w:r w:rsidRPr="00180D2C">
        <w:rPr>
          <w:rFonts w:ascii="Arial" w:hAnsi="Arial" w:cs="Arial"/>
          <w:spacing w:val="-16"/>
          <w:sz w:val="24"/>
          <w:szCs w:val="24"/>
        </w:rPr>
        <w:t xml:space="preserve"> </w:t>
      </w:r>
      <w:r w:rsidRPr="00180D2C">
        <w:rPr>
          <w:rFonts w:ascii="Arial" w:hAnsi="Arial" w:cs="Arial"/>
          <w:sz w:val="24"/>
          <w:szCs w:val="24"/>
        </w:rPr>
        <w:t>deberá</w:t>
      </w:r>
      <w:r w:rsidRPr="00180D2C">
        <w:rPr>
          <w:rFonts w:ascii="Arial" w:hAnsi="Arial" w:cs="Arial"/>
          <w:spacing w:val="-15"/>
          <w:sz w:val="24"/>
          <w:szCs w:val="24"/>
        </w:rPr>
        <w:t xml:space="preserve"> </w:t>
      </w:r>
      <w:r w:rsidRPr="00180D2C">
        <w:rPr>
          <w:rFonts w:ascii="Arial" w:hAnsi="Arial" w:cs="Arial"/>
          <w:sz w:val="24"/>
          <w:szCs w:val="24"/>
        </w:rPr>
        <w:t>resolverlas en</w:t>
      </w:r>
      <w:r w:rsidRPr="00180D2C">
        <w:rPr>
          <w:rFonts w:ascii="Arial" w:hAnsi="Arial" w:cs="Arial"/>
          <w:spacing w:val="-8"/>
          <w:sz w:val="24"/>
          <w:szCs w:val="24"/>
        </w:rPr>
        <w:t xml:space="preserve"> </w:t>
      </w:r>
      <w:r w:rsidRPr="00180D2C">
        <w:rPr>
          <w:rFonts w:ascii="Arial" w:hAnsi="Arial" w:cs="Arial"/>
          <w:sz w:val="24"/>
          <w:szCs w:val="24"/>
        </w:rPr>
        <w:t>la</w:t>
      </w:r>
      <w:r w:rsidRPr="00180D2C">
        <w:rPr>
          <w:rFonts w:ascii="Arial" w:hAnsi="Arial" w:cs="Arial"/>
          <w:spacing w:val="-7"/>
          <w:sz w:val="24"/>
          <w:szCs w:val="24"/>
        </w:rPr>
        <w:t xml:space="preserve"> </w:t>
      </w:r>
      <w:r w:rsidRPr="00180D2C">
        <w:rPr>
          <w:rFonts w:ascii="Arial" w:hAnsi="Arial" w:cs="Arial"/>
          <w:sz w:val="24"/>
          <w:szCs w:val="24"/>
        </w:rPr>
        <w:t>audiencia</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8"/>
          <w:sz w:val="24"/>
          <w:szCs w:val="24"/>
        </w:rPr>
        <w:t xml:space="preserve"> </w:t>
      </w:r>
      <w:r w:rsidRPr="00180D2C">
        <w:rPr>
          <w:rFonts w:ascii="Arial" w:hAnsi="Arial" w:cs="Arial"/>
          <w:sz w:val="24"/>
          <w:szCs w:val="24"/>
        </w:rPr>
        <w:t>calificación</w:t>
      </w:r>
      <w:r w:rsidRPr="00180D2C">
        <w:rPr>
          <w:rFonts w:ascii="Arial" w:hAnsi="Arial" w:cs="Arial"/>
          <w:spacing w:val="-8"/>
          <w:sz w:val="24"/>
          <w:szCs w:val="24"/>
        </w:rPr>
        <w:t xml:space="preserve"> </w:t>
      </w:r>
      <w:r w:rsidRPr="00180D2C">
        <w:rPr>
          <w:rFonts w:ascii="Arial" w:hAnsi="Arial" w:cs="Arial"/>
          <w:sz w:val="24"/>
          <w:szCs w:val="24"/>
        </w:rPr>
        <w:t>y</w:t>
      </w:r>
      <w:r w:rsidRPr="00180D2C">
        <w:rPr>
          <w:rFonts w:ascii="Arial" w:hAnsi="Arial" w:cs="Arial"/>
          <w:spacing w:val="-7"/>
          <w:sz w:val="24"/>
          <w:szCs w:val="24"/>
        </w:rPr>
        <w:t xml:space="preserve"> </w:t>
      </w:r>
      <w:r w:rsidRPr="00180D2C">
        <w:rPr>
          <w:rFonts w:ascii="Arial" w:hAnsi="Arial" w:cs="Arial"/>
          <w:sz w:val="24"/>
          <w:szCs w:val="24"/>
        </w:rPr>
        <w:t>graduación</w:t>
      </w:r>
      <w:r w:rsidRPr="00180D2C">
        <w:rPr>
          <w:rFonts w:ascii="Arial" w:hAnsi="Arial" w:cs="Arial"/>
          <w:spacing w:val="-10"/>
          <w:sz w:val="24"/>
          <w:szCs w:val="24"/>
        </w:rPr>
        <w:t xml:space="preserve"> </w:t>
      </w:r>
      <w:r w:rsidRPr="00180D2C">
        <w:rPr>
          <w:rFonts w:ascii="Arial" w:hAnsi="Arial" w:cs="Arial"/>
          <w:sz w:val="24"/>
          <w:szCs w:val="24"/>
        </w:rPr>
        <w:t>de</w:t>
      </w:r>
      <w:r w:rsidRPr="00180D2C">
        <w:rPr>
          <w:rFonts w:ascii="Arial" w:hAnsi="Arial" w:cs="Arial"/>
          <w:spacing w:val="-8"/>
          <w:sz w:val="24"/>
          <w:szCs w:val="24"/>
        </w:rPr>
        <w:t xml:space="preserve"> </w:t>
      </w:r>
      <w:r w:rsidRPr="00180D2C">
        <w:rPr>
          <w:rFonts w:ascii="Arial" w:hAnsi="Arial" w:cs="Arial"/>
          <w:sz w:val="24"/>
          <w:szCs w:val="24"/>
        </w:rPr>
        <w:t>créditos</w:t>
      </w:r>
      <w:r w:rsidRPr="00180D2C">
        <w:rPr>
          <w:rFonts w:ascii="Arial" w:hAnsi="Arial" w:cs="Arial"/>
          <w:spacing w:val="-7"/>
          <w:sz w:val="24"/>
          <w:szCs w:val="24"/>
        </w:rPr>
        <w:t xml:space="preserve"> </w:t>
      </w:r>
      <w:r w:rsidRPr="00180D2C">
        <w:rPr>
          <w:rFonts w:ascii="Arial" w:hAnsi="Arial" w:cs="Arial"/>
          <w:sz w:val="24"/>
          <w:szCs w:val="24"/>
        </w:rPr>
        <w:t>que</w:t>
      </w:r>
      <w:r w:rsidRPr="00180D2C">
        <w:rPr>
          <w:rFonts w:ascii="Arial" w:hAnsi="Arial" w:cs="Arial"/>
          <w:spacing w:val="-7"/>
          <w:sz w:val="24"/>
          <w:szCs w:val="24"/>
        </w:rPr>
        <w:t xml:space="preserve"> </w:t>
      </w:r>
      <w:r w:rsidRPr="00180D2C">
        <w:rPr>
          <w:rFonts w:ascii="Arial" w:hAnsi="Arial" w:cs="Arial"/>
          <w:sz w:val="24"/>
          <w:szCs w:val="24"/>
        </w:rPr>
        <w:t>convoque</w:t>
      </w:r>
      <w:r w:rsidRPr="00180D2C">
        <w:rPr>
          <w:rFonts w:ascii="Arial" w:hAnsi="Arial" w:cs="Arial"/>
          <w:spacing w:val="-8"/>
          <w:sz w:val="24"/>
          <w:szCs w:val="24"/>
        </w:rPr>
        <w:t xml:space="preserve"> </w:t>
      </w:r>
      <w:r w:rsidRPr="00180D2C">
        <w:rPr>
          <w:rFonts w:ascii="Arial" w:hAnsi="Arial" w:cs="Arial"/>
          <w:sz w:val="24"/>
          <w:szCs w:val="24"/>
        </w:rPr>
        <w:t>para</w:t>
      </w:r>
      <w:r w:rsidRPr="00180D2C">
        <w:rPr>
          <w:rFonts w:ascii="Arial" w:hAnsi="Arial" w:cs="Arial"/>
          <w:spacing w:val="-7"/>
          <w:sz w:val="24"/>
          <w:szCs w:val="24"/>
        </w:rPr>
        <w:t xml:space="preserve"> </w:t>
      </w:r>
      <w:r w:rsidRPr="00180D2C">
        <w:rPr>
          <w:rFonts w:ascii="Arial" w:hAnsi="Arial" w:cs="Arial"/>
          <w:sz w:val="24"/>
          <w:szCs w:val="24"/>
        </w:rPr>
        <w:t>el</w:t>
      </w:r>
      <w:r w:rsidRPr="00180D2C">
        <w:rPr>
          <w:rFonts w:ascii="Arial" w:hAnsi="Arial" w:cs="Arial"/>
          <w:spacing w:val="-8"/>
          <w:sz w:val="24"/>
          <w:szCs w:val="24"/>
        </w:rPr>
        <w:t xml:space="preserve"> </w:t>
      </w:r>
      <w:r w:rsidRPr="00180D2C">
        <w:rPr>
          <w:rFonts w:ascii="Arial" w:hAnsi="Arial" w:cs="Arial"/>
          <w:sz w:val="24"/>
          <w:szCs w:val="24"/>
        </w:rPr>
        <w:t>efecto, una vez sea proferido el auto de pruebas.</w:t>
      </w:r>
    </w:p>
    <w:p w14:paraId="6A34BB0F" w14:textId="77777777" w:rsidR="00E46C0A" w:rsidRPr="00180D2C" w:rsidRDefault="00E46C0A" w:rsidP="00E95331">
      <w:pPr>
        <w:pStyle w:val="Textoindependiente"/>
        <w:ind w:left="912" w:right="-234"/>
        <w:jc w:val="both"/>
        <w:rPr>
          <w:rFonts w:ascii="Arial" w:hAnsi="Arial" w:cs="Arial"/>
          <w:sz w:val="24"/>
          <w:szCs w:val="24"/>
        </w:rPr>
      </w:pPr>
    </w:p>
    <w:p w14:paraId="03F91062"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Según informe de la apoderada judicial “Una vez quede en firme la providencia de reconocimiento de créditos, derechos de voto e inventario, empezará el término de cuatro</w:t>
      </w:r>
      <w:r w:rsidRPr="00180D2C">
        <w:rPr>
          <w:rFonts w:ascii="Arial" w:hAnsi="Arial" w:cs="Arial"/>
          <w:spacing w:val="-1"/>
          <w:sz w:val="24"/>
          <w:szCs w:val="24"/>
        </w:rPr>
        <w:t xml:space="preserve"> </w:t>
      </w:r>
      <w:r w:rsidRPr="00180D2C">
        <w:rPr>
          <w:rFonts w:ascii="Arial" w:hAnsi="Arial" w:cs="Arial"/>
          <w:sz w:val="24"/>
          <w:szCs w:val="24"/>
        </w:rPr>
        <w:t>(4) meses para</w:t>
      </w:r>
      <w:r w:rsidRPr="00180D2C">
        <w:rPr>
          <w:rFonts w:ascii="Arial" w:hAnsi="Arial" w:cs="Arial"/>
          <w:spacing w:val="-1"/>
          <w:sz w:val="24"/>
          <w:szCs w:val="24"/>
        </w:rPr>
        <w:t xml:space="preserve"> </w:t>
      </w:r>
      <w:r w:rsidRPr="00180D2C">
        <w:rPr>
          <w:rFonts w:ascii="Arial" w:hAnsi="Arial" w:cs="Arial"/>
          <w:sz w:val="24"/>
          <w:szCs w:val="24"/>
        </w:rPr>
        <w:t>la negociación del</w:t>
      </w:r>
      <w:r w:rsidRPr="00180D2C">
        <w:rPr>
          <w:rFonts w:ascii="Arial" w:hAnsi="Arial" w:cs="Arial"/>
          <w:spacing w:val="-1"/>
          <w:sz w:val="24"/>
          <w:szCs w:val="24"/>
        </w:rPr>
        <w:t xml:space="preserve"> </w:t>
      </w:r>
      <w:r w:rsidRPr="00180D2C">
        <w:rPr>
          <w:rFonts w:ascii="Arial" w:hAnsi="Arial" w:cs="Arial"/>
          <w:sz w:val="24"/>
          <w:szCs w:val="24"/>
        </w:rPr>
        <w:t>acuerdo de</w:t>
      </w:r>
      <w:r w:rsidRPr="00180D2C">
        <w:rPr>
          <w:rFonts w:ascii="Arial" w:hAnsi="Arial" w:cs="Arial"/>
          <w:spacing w:val="-1"/>
          <w:sz w:val="24"/>
          <w:szCs w:val="24"/>
        </w:rPr>
        <w:t xml:space="preserve"> </w:t>
      </w:r>
      <w:r w:rsidRPr="00180D2C">
        <w:rPr>
          <w:rFonts w:ascii="Arial" w:hAnsi="Arial" w:cs="Arial"/>
          <w:sz w:val="24"/>
          <w:szCs w:val="24"/>
        </w:rPr>
        <w:t>reorganización, que</w:t>
      </w:r>
      <w:r w:rsidRPr="00180D2C">
        <w:rPr>
          <w:rFonts w:ascii="Arial" w:hAnsi="Arial" w:cs="Arial"/>
          <w:spacing w:val="-1"/>
          <w:sz w:val="24"/>
          <w:szCs w:val="24"/>
        </w:rPr>
        <w:t xml:space="preserve"> </w:t>
      </w:r>
      <w:r w:rsidRPr="00180D2C">
        <w:rPr>
          <w:rFonts w:ascii="Arial" w:hAnsi="Arial" w:cs="Arial"/>
          <w:sz w:val="24"/>
          <w:szCs w:val="24"/>
        </w:rPr>
        <w:t>se</w:t>
      </w:r>
      <w:r w:rsidRPr="00180D2C">
        <w:rPr>
          <w:rFonts w:ascii="Arial" w:hAnsi="Arial" w:cs="Arial"/>
          <w:spacing w:val="-1"/>
          <w:sz w:val="24"/>
          <w:szCs w:val="24"/>
        </w:rPr>
        <w:t xml:space="preserve"> </w:t>
      </w:r>
      <w:r w:rsidRPr="00180D2C">
        <w:rPr>
          <w:rFonts w:ascii="Arial" w:hAnsi="Arial" w:cs="Arial"/>
          <w:sz w:val="24"/>
          <w:szCs w:val="24"/>
        </w:rPr>
        <w:t>deberá presentar al Juez con las votaciones exigidas por la Ley 1116 de 2006 para su correspondiente confirmación, el cual deberá comprender entre otros, la forma de pago de las obligaciones reconocidas y el plazo de ejecución del mismo.”</w:t>
      </w:r>
    </w:p>
    <w:p w14:paraId="04F64297" w14:textId="77777777" w:rsidR="00E46C0A" w:rsidRPr="00180D2C" w:rsidRDefault="00E46C0A" w:rsidP="00E95331">
      <w:pPr>
        <w:pStyle w:val="Textoindependiente"/>
        <w:spacing w:before="10"/>
        <w:ind w:right="-234"/>
        <w:rPr>
          <w:rFonts w:ascii="Arial" w:hAnsi="Arial" w:cs="Arial"/>
          <w:sz w:val="24"/>
          <w:szCs w:val="24"/>
        </w:rPr>
      </w:pPr>
    </w:p>
    <w:p w14:paraId="76655D2A" w14:textId="77777777" w:rsidR="00E46C0A"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En caso de no alcanzar el acuerdo con los acreedores, o no presentarse, o no ser confirmado,</w:t>
      </w:r>
      <w:r w:rsidRPr="00180D2C">
        <w:rPr>
          <w:rFonts w:ascii="Arial" w:hAnsi="Arial" w:cs="Arial"/>
          <w:spacing w:val="-6"/>
          <w:sz w:val="24"/>
          <w:szCs w:val="24"/>
        </w:rPr>
        <w:t xml:space="preserve"> </w:t>
      </w:r>
      <w:r w:rsidRPr="00180D2C">
        <w:rPr>
          <w:rFonts w:ascii="Arial" w:hAnsi="Arial" w:cs="Arial"/>
          <w:sz w:val="24"/>
          <w:szCs w:val="24"/>
        </w:rPr>
        <w:t>en</w:t>
      </w:r>
      <w:r w:rsidRPr="00180D2C">
        <w:rPr>
          <w:rFonts w:ascii="Arial" w:hAnsi="Arial" w:cs="Arial"/>
          <w:spacing w:val="-10"/>
          <w:sz w:val="24"/>
          <w:szCs w:val="24"/>
        </w:rPr>
        <w:t xml:space="preserve"> </w:t>
      </w:r>
      <w:r w:rsidRPr="00180D2C">
        <w:rPr>
          <w:rFonts w:ascii="Arial" w:hAnsi="Arial" w:cs="Arial"/>
          <w:sz w:val="24"/>
          <w:szCs w:val="24"/>
        </w:rPr>
        <w:t>desarrollo</w:t>
      </w:r>
      <w:r w:rsidRPr="00180D2C">
        <w:rPr>
          <w:rFonts w:ascii="Arial" w:hAnsi="Arial" w:cs="Arial"/>
          <w:spacing w:val="-7"/>
          <w:sz w:val="24"/>
          <w:szCs w:val="24"/>
        </w:rPr>
        <w:t xml:space="preserve"> </w:t>
      </w:r>
      <w:r w:rsidRPr="00180D2C">
        <w:rPr>
          <w:rFonts w:ascii="Arial" w:hAnsi="Arial" w:cs="Arial"/>
          <w:sz w:val="24"/>
          <w:szCs w:val="24"/>
        </w:rPr>
        <w:t>del</w:t>
      </w:r>
      <w:r w:rsidRPr="00180D2C">
        <w:rPr>
          <w:rFonts w:ascii="Arial" w:hAnsi="Arial" w:cs="Arial"/>
          <w:spacing w:val="-8"/>
          <w:sz w:val="24"/>
          <w:szCs w:val="24"/>
        </w:rPr>
        <w:t xml:space="preserve"> </w:t>
      </w:r>
      <w:r w:rsidRPr="00180D2C">
        <w:rPr>
          <w:rFonts w:ascii="Arial" w:hAnsi="Arial" w:cs="Arial"/>
          <w:sz w:val="24"/>
          <w:szCs w:val="24"/>
        </w:rPr>
        <w:t>proceso</w:t>
      </w:r>
      <w:r w:rsidRPr="00180D2C">
        <w:rPr>
          <w:rFonts w:ascii="Arial" w:hAnsi="Arial" w:cs="Arial"/>
          <w:spacing w:val="-10"/>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reorganización</w:t>
      </w:r>
      <w:r w:rsidRPr="00180D2C">
        <w:rPr>
          <w:rFonts w:ascii="Arial" w:hAnsi="Arial" w:cs="Arial"/>
          <w:spacing w:val="-8"/>
          <w:sz w:val="24"/>
          <w:szCs w:val="24"/>
        </w:rPr>
        <w:t xml:space="preserve"> </w:t>
      </w:r>
      <w:r w:rsidRPr="00180D2C">
        <w:rPr>
          <w:rFonts w:ascii="Arial" w:hAnsi="Arial" w:cs="Arial"/>
          <w:sz w:val="24"/>
          <w:szCs w:val="24"/>
        </w:rPr>
        <w:t>empresarial,</w:t>
      </w:r>
      <w:r w:rsidRPr="00180D2C">
        <w:rPr>
          <w:rFonts w:ascii="Arial" w:hAnsi="Arial" w:cs="Arial"/>
          <w:spacing w:val="-6"/>
          <w:sz w:val="24"/>
          <w:szCs w:val="24"/>
        </w:rPr>
        <w:t xml:space="preserve"> </w:t>
      </w:r>
      <w:r w:rsidRPr="00180D2C">
        <w:rPr>
          <w:rFonts w:ascii="Arial" w:hAnsi="Arial" w:cs="Arial"/>
          <w:sz w:val="24"/>
          <w:szCs w:val="24"/>
        </w:rPr>
        <w:t>se</w:t>
      </w:r>
      <w:r w:rsidRPr="00180D2C">
        <w:rPr>
          <w:rFonts w:ascii="Arial" w:hAnsi="Arial" w:cs="Arial"/>
          <w:spacing w:val="-10"/>
          <w:sz w:val="24"/>
          <w:szCs w:val="24"/>
        </w:rPr>
        <w:t xml:space="preserve"> </w:t>
      </w:r>
      <w:r w:rsidRPr="00180D2C">
        <w:rPr>
          <w:rFonts w:ascii="Arial" w:hAnsi="Arial" w:cs="Arial"/>
          <w:sz w:val="24"/>
          <w:szCs w:val="24"/>
        </w:rPr>
        <w:t>producirá</w:t>
      </w:r>
      <w:r w:rsidRPr="00180D2C">
        <w:rPr>
          <w:rFonts w:ascii="Arial" w:hAnsi="Arial" w:cs="Arial"/>
          <w:spacing w:val="-7"/>
          <w:sz w:val="24"/>
          <w:szCs w:val="24"/>
        </w:rPr>
        <w:t xml:space="preserve"> </w:t>
      </w:r>
      <w:r w:rsidRPr="00180D2C">
        <w:rPr>
          <w:rFonts w:ascii="Arial" w:hAnsi="Arial" w:cs="Arial"/>
          <w:sz w:val="24"/>
          <w:szCs w:val="24"/>
        </w:rPr>
        <w:t>la disolución y liquidación de la sociedad y el patrimonio autónomo.</w:t>
      </w:r>
    </w:p>
    <w:p w14:paraId="29B40AF2" w14:textId="77777777" w:rsidR="00E46C0A" w:rsidRPr="00180D2C" w:rsidRDefault="00E46C0A" w:rsidP="00E95331">
      <w:pPr>
        <w:pStyle w:val="Textoindependiente"/>
        <w:ind w:left="912" w:right="-234"/>
        <w:jc w:val="both"/>
        <w:rPr>
          <w:rFonts w:ascii="Arial" w:hAnsi="Arial" w:cs="Arial"/>
          <w:sz w:val="24"/>
          <w:szCs w:val="24"/>
        </w:rPr>
      </w:pPr>
    </w:p>
    <w:p w14:paraId="7B14B4F6" w14:textId="77777777" w:rsidR="00E46C0A" w:rsidRPr="00180D2C" w:rsidRDefault="00E46C0A" w:rsidP="00E95331">
      <w:pPr>
        <w:pStyle w:val="Textoindependiente"/>
        <w:spacing w:line="259" w:lineRule="auto"/>
        <w:ind w:left="912" w:right="-234"/>
        <w:jc w:val="both"/>
        <w:rPr>
          <w:rFonts w:ascii="Arial" w:hAnsi="Arial" w:cs="Arial"/>
          <w:sz w:val="24"/>
          <w:szCs w:val="24"/>
        </w:rPr>
      </w:pPr>
      <w:r w:rsidRPr="00180D2C">
        <w:rPr>
          <w:rFonts w:ascii="Arial" w:hAnsi="Arial" w:cs="Arial"/>
          <w:sz w:val="24"/>
          <w:szCs w:val="24"/>
        </w:rPr>
        <w:t>Al 31 de diciembre de 2024 CREMIL no estimó, ni reconoció las pérdidas</w:t>
      </w:r>
      <w:r w:rsidRPr="00180D2C">
        <w:rPr>
          <w:rFonts w:ascii="Arial" w:hAnsi="Arial" w:cs="Arial"/>
          <w:spacing w:val="-1"/>
          <w:sz w:val="24"/>
          <w:szCs w:val="24"/>
        </w:rPr>
        <w:t xml:space="preserve"> </w:t>
      </w:r>
      <w:r w:rsidRPr="00180D2C">
        <w:rPr>
          <w:rFonts w:ascii="Arial" w:hAnsi="Arial" w:cs="Arial"/>
          <w:sz w:val="24"/>
          <w:szCs w:val="24"/>
        </w:rPr>
        <w:t>crediticias esperadas</w:t>
      </w:r>
      <w:r w:rsidRPr="00180D2C">
        <w:rPr>
          <w:rFonts w:ascii="Arial" w:hAnsi="Arial" w:cs="Arial"/>
          <w:spacing w:val="-16"/>
          <w:sz w:val="24"/>
          <w:szCs w:val="24"/>
        </w:rPr>
        <w:t xml:space="preserve"> </w:t>
      </w:r>
      <w:r w:rsidRPr="00180D2C">
        <w:rPr>
          <w:rFonts w:ascii="Arial" w:hAnsi="Arial" w:cs="Arial"/>
          <w:sz w:val="24"/>
          <w:szCs w:val="24"/>
        </w:rPr>
        <w:t>por</w:t>
      </w:r>
      <w:r w:rsidRPr="00180D2C">
        <w:rPr>
          <w:rFonts w:ascii="Arial" w:hAnsi="Arial" w:cs="Arial"/>
          <w:spacing w:val="-13"/>
          <w:sz w:val="24"/>
          <w:szCs w:val="24"/>
        </w:rPr>
        <w:t xml:space="preserve"> </w:t>
      </w:r>
      <w:r w:rsidRPr="00180D2C">
        <w:rPr>
          <w:rFonts w:ascii="Arial" w:hAnsi="Arial" w:cs="Arial"/>
          <w:sz w:val="24"/>
          <w:szCs w:val="24"/>
        </w:rPr>
        <w:t>el</w:t>
      </w:r>
      <w:r w:rsidRPr="00180D2C">
        <w:rPr>
          <w:rFonts w:ascii="Arial" w:hAnsi="Arial" w:cs="Arial"/>
          <w:spacing w:val="-15"/>
          <w:sz w:val="24"/>
          <w:szCs w:val="24"/>
        </w:rPr>
        <w:t xml:space="preserve"> </w:t>
      </w:r>
      <w:r w:rsidRPr="00180D2C">
        <w:rPr>
          <w:rFonts w:ascii="Arial" w:hAnsi="Arial" w:cs="Arial"/>
          <w:sz w:val="24"/>
          <w:szCs w:val="24"/>
        </w:rPr>
        <w:t>riesgo</w:t>
      </w:r>
      <w:r w:rsidRPr="00180D2C">
        <w:rPr>
          <w:rFonts w:ascii="Arial" w:hAnsi="Arial" w:cs="Arial"/>
          <w:spacing w:val="-14"/>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un</w:t>
      </w:r>
      <w:r w:rsidRPr="00180D2C">
        <w:rPr>
          <w:rFonts w:ascii="Arial" w:hAnsi="Arial" w:cs="Arial"/>
          <w:spacing w:val="-15"/>
          <w:sz w:val="24"/>
          <w:szCs w:val="24"/>
        </w:rPr>
        <w:t xml:space="preserve"> </w:t>
      </w:r>
      <w:r w:rsidRPr="00180D2C">
        <w:rPr>
          <w:rFonts w:ascii="Arial" w:hAnsi="Arial" w:cs="Arial"/>
          <w:sz w:val="24"/>
          <w:szCs w:val="24"/>
        </w:rPr>
        <w:t>incumplimiento</w:t>
      </w:r>
      <w:r w:rsidRPr="00180D2C">
        <w:rPr>
          <w:rFonts w:ascii="Arial" w:hAnsi="Arial" w:cs="Arial"/>
          <w:spacing w:val="-13"/>
          <w:sz w:val="24"/>
          <w:szCs w:val="24"/>
        </w:rPr>
        <w:t xml:space="preserve"> </w:t>
      </w:r>
      <w:r w:rsidRPr="00180D2C">
        <w:rPr>
          <w:rFonts w:ascii="Arial" w:hAnsi="Arial" w:cs="Arial"/>
          <w:sz w:val="24"/>
          <w:szCs w:val="24"/>
        </w:rPr>
        <w:t>en</w:t>
      </w:r>
      <w:r w:rsidRPr="00180D2C">
        <w:rPr>
          <w:rFonts w:ascii="Arial" w:hAnsi="Arial" w:cs="Arial"/>
          <w:spacing w:val="-16"/>
          <w:sz w:val="24"/>
          <w:szCs w:val="24"/>
        </w:rPr>
        <w:t xml:space="preserve"> </w:t>
      </w:r>
      <w:r w:rsidRPr="00180D2C">
        <w:rPr>
          <w:rFonts w:ascii="Arial" w:hAnsi="Arial" w:cs="Arial"/>
          <w:sz w:val="24"/>
          <w:szCs w:val="24"/>
        </w:rPr>
        <w:t>el</w:t>
      </w:r>
      <w:r w:rsidRPr="00180D2C">
        <w:rPr>
          <w:rFonts w:ascii="Arial" w:hAnsi="Arial" w:cs="Arial"/>
          <w:spacing w:val="-15"/>
          <w:sz w:val="24"/>
          <w:szCs w:val="24"/>
        </w:rPr>
        <w:t xml:space="preserve"> </w:t>
      </w:r>
      <w:r w:rsidRPr="00180D2C">
        <w:rPr>
          <w:rFonts w:ascii="Arial" w:hAnsi="Arial" w:cs="Arial"/>
          <w:sz w:val="24"/>
          <w:szCs w:val="24"/>
        </w:rPr>
        <w:t>pago</w:t>
      </w:r>
      <w:r w:rsidRPr="00180D2C">
        <w:rPr>
          <w:rFonts w:ascii="Arial" w:hAnsi="Arial" w:cs="Arial"/>
          <w:spacing w:val="-14"/>
          <w:sz w:val="24"/>
          <w:szCs w:val="24"/>
        </w:rPr>
        <w:t xml:space="preserve"> </w:t>
      </w:r>
      <w:r w:rsidRPr="00180D2C">
        <w:rPr>
          <w:rFonts w:ascii="Arial" w:hAnsi="Arial" w:cs="Arial"/>
          <w:sz w:val="24"/>
          <w:szCs w:val="24"/>
        </w:rPr>
        <w:t>del</w:t>
      </w:r>
      <w:r w:rsidRPr="00180D2C">
        <w:rPr>
          <w:rFonts w:ascii="Arial" w:hAnsi="Arial" w:cs="Arial"/>
          <w:spacing w:val="-15"/>
          <w:sz w:val="24"/>
          <w:szCs w:val="24"/>
        </w:rPr>
        <w:t xml:space="preserve"> </w:t>
      </w:r>
      <w:r w:rsidRPr="00180D2C">
        <w:rPr>
          <w:rFonts w:ascii="Arial" w:hAnsi="Arial" w:cs="Arial"/>
          <w:sz w:val="24"/>
          <w:szCs w:val="24"/>
        </w:rPr>
        <w:t>contrato</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compraventa suscrito</w:t>
      </w:r>
      <w:r w:rsidRPr="00180D2C">
        <w:rPr>
          <w:rFonts w:ascii="Arial" w:hAnsi="Arial" w:cs="Arial"/>
          <w:spacing w:val="-16"/>
          <w:sz w:val="24"/>
          <w:szCs w:val="24"/>
        </w:rPr>
        <w:t xml:space="preserve"> </w:t>
      </w:r>
      <w:r w:rsidRPr="00180D2C">
        <w:rPr>
          <w:rFonts w:ascii="Arial" w:hAnsi="Arial" w:cs="Arial"/>
          <w:sz w:val="24"/>
          <w:szCs w:val="24"/>
        </w:rPr>
        <w:t>con</w:t>
      </w:r>
      <w:r w:rsidRPr="00180D2C">
        <w:rPr>
          <w:rFonts w:ascii="Arial" w:hAnsi="Arial" w:cs="Arial"/>
          <w:spacing w:val="-15"/>
          <w:sz w:val="24"/>
          <w:szCs w:val="24"/>
        </w:rPr>
        <w:t xml:space="preserve"> </w:t>
      </w:r>
      <w:r w:rsidRPr="00180D2C">
        <w:rPr>
          <w:rFonts w:ascii="Arial" w:hAnsi="Arial" w:cs="Arial"/>
          <w:sz w:val="24"/>
          <w:szCs w:val="24"/>
        </w:rPr>
        <w:t>Aldea</w:t>
      </w:r>
      <w:r w:rsidRPr="00180D2C">
        <w:rPr>
          <w:rFonts w:ascii="Arial" w:hAnsi="Arial" w:cs="Arial"/>
          <w:spacing w:val="-15"/>
          <w:sz w:val="24"/>
          <w:szCs w:val="24"/>
        </w:rPr>
        <w:t xml:space="preserve"> </w:t>
      </w:r>
      <w:r w:rsidRPr="00180D2C">
        <w:rPr>
          <w:rFonts w:ascii="Arial" w:hAnsi="Arial" w:cs="Arial"/>
          <w:sz w:val="24"/>
          <w:szCs w:val="24"/>
        </w:rPr>
        <w:t>Proyectos</w:t>
      </w:r>
      <w:r w:rsidRPr="00180D2C">
        <w:rPr>
          <w:rFonts w:ascii="Arial" w:hAnsi="Arial" w:cs="Arial"/>
          <w:spacing w:val="-16"/>
          <w:sz w:val="24"/>
          <w:szCs w:val="24"/>
        </w:rPr>
        <w:t xml:space="preserve"> </w:t>
      </w:r>
      <w:r w:rsidRPr="00180D2C">
        <w:rPr>
          <w:rFonts w:ascii="Arial" w:hAnsi="Arial" w:cs="Arial"/>
          <w:sz w:val="24"/>
          <w:szCs w:val="24"/>
        </w:rPr>
        <w:t>S.A.S.,</w:t>
      </w:r>
      <w:r w:rsidRPr="00180D2C">
        <w:rPr>
          <w:rFonts w:ascii="Arial" w:hAnsi="Arial" w:cs="Arial"/>
          <w:spacing w:val="-15"/>
          <w:sz w:val="24"/>
          <w:szCs w:val="24"/>
        </w:rPr>
        <w:t xml:space="preserve"> </w:t>
      </w:r>
      <w:r w:rsidRPr="00180D2C">
        <w:rPr>
          <w:rFonts w:ascii="Arial" w:hAnsi="Arial" w:cs="Arial"/>
          <w:sz w:val="24"/>
          <w:szCs w:val="24"/>
        </w:rPr>
        <w:t>dado</w:t>
      </w:r>
      <w:r w:rsidRPr="00180D2C">
        <w:rPr>
          <w:rFonts w:ascii="Arial" w:hAnsi="Arial" w:cs="Arial"/>
          <w:spacing w:val="-15"/>
          <w:sz w:val="24"/>
          <w:szCs w:val="24"/>
        </w:rPr>
        <w:t xml:space="preserve"> </w:t>
      </w:r>
      <w:r w:rsidRPr="00180D2C">
        <w:rPr>
          <w:rFonts w:ascii="Arial" w:hAnsi="Arial" w:cs="Arial"/>
          <w:sz w:val="24"/>
          <w:szCs w:val="24"/>
        </w:rPr>
        <w:t>que</w:t>
      </w:r>
      <w:r w:rsidRPr="00180D2C">
        <w:rPr>
          <w:rFonts w:ascii="Arial" w:hAnsi="Arial" w:cs="Arial"/>
          <w:spacing w:val="-15"/>
          <w:sz w:val="24"/>
          <w:szCs w:val="24"/>
        </w:rPr>
        <w:t xml:space="preserve"> </w:t>
      </w:r>
      <w:r w:rsidRPr="00180D2C">
        <w:rPr>
          <w:rFonts w:ascii="Arial" w:hAnsi="Arial" w:cs="Arial"/>
          <w:sz w:val="24"/>
          <w:szCs w:val="24"/>
        </w:rPr>
        <w:t>el</w:t>
      </w:r>
      <w:r w:rsidRPr="00180D2C">
        <w:rPr>
          <w:rFonts w:ascii="Arial" w:hAnsi="Arial" w:cs="Arial"/>
          <w:spacing w:val="-16"/>
          <w:sz w:val="24"/>
          <w:szCs w:val="24"/>
        </w:rPr>
        <w:t xml:space="preserve"> </w:t>
      </w:r>
      <w:r w:rsidRPr="00180D2C">
        <w:rPr>
          <w:rFonts w:ascii="Arial" w:hAnsi="Arial" w:cs="Arial"/>
          <w:sz w:val="24"/>
          <w:szCs w:val="24"/>
        </w:rPr>
        <w:t>plazo</w:t>
      </w:r>
      <w:r w:rsidRPr="00180D2C">
        <w:rPr>
          <w:rFonts w:ascii="Arial" w:hAnsi="Arial" w:cs="Arial"/>
          <w:spacing w:val="-13"/>
          <w:sz w:val="24"/>
          <w:szCs w:val="24"/>
        </w:rPr>
        <w:t xml:space="preserve"> </w:t>
      </w:r>
      <w:r w:rsidRPr="00180D2C">
        <w:rPr>
          <w:rFonts w:ascii="Arial" w:hAnsi="Arial" w:cs="Arial"/>
          <w:sz w:val="24"/>
          <w:szCs w:val="24"/>
        </w:rPr>
        <w:t>venció</w:t>
      </w:r>
      <w:r w:rsidRPr="00180D2C">
        <w:rPr>
          <w:rFonts w:ascii="Arial" w:hAnsi="Arial" w:cs="Arial"/>
          <w:spacing w:val="-16"/>
          <w:sz w:val="24"/>
          <w:szCs w:val="24"/>
        </w:rPr>
        <w:t xml:space="preserve"> </w:t>
      </w:r>
      <w:r w:rsidRPr="00180D2C">
        <w:rPr>
          <w:rFonts w:ascii="Arial" w:hAnsi="Arial" w:cs="Arial"/>
          <w:sz w:val="24"/>
          <w:szCs w:val="24"/>
        </w:rPr>
        <w:t>el</w:t>
      </w:r>
      <w:r w:rsidRPr="00180D2C">
        <w:rPr>
          <w:rFonts w:ascii="Arial" w:hAnsi="Arial" w:cs="Arial"/>
          <w:spacing w:val="-14"/>
          <w:sz w:val="24"/>
          <w:szCs w:val="24"/>
        </w:rPr>
        <w:t xml:space="preserve"> </w:t>
      </w:r>
      <w:r w:rsidRPr="00180D2C">
        <w:rPr>
          <w:rFonts w:ascii="Arial" w:hAnsi="Arial" w:cs="Arial"/>
          <w:sz w:val="24"/>
          <w:szCs w:val="24"/>
        </w:rPr>
        <w:t>26</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junio</w:t>
      </w:r>
      <w:r w:rsidRPr="00180D2C">
        <w:rPr>
          <w:rFonts w:ascii="Arial" w:hAnsi="Arial" w:cs="Arial"/>
          <w:spacing w:val="-13"/>
          <w:sz w:val="24"/>
          <w:szCs w:val="24"/>
        </w:rPr>
        <w:t xml:space="preserve"> </w:t>
      </w:r>
      <w:r w:rsidRPr="00180D2C">
        <w:rPr>
          <w:rFonts w:ascii="Arial" w:hAnsi="Arial" w:cs="Arial"/>
          <w:sz w:val="24"/>
          <w:szCs w:val="24"/>
        </w:rPr>
        <w:t>del</w:t>
      </w:r>
      <w:r w:rsidRPr="00180D2C">
        <w:rPr>
          <w:rFonts w:ascii="Arial" w:hAnsi="Arial" w:cs="Arial"/>
          <w:spacing w:val="-14"/>
          <w:sz w:val="24"/>
          <w:szCs w:val="24"/>
        </w:rPr>
        <w:t xml:space="preserve"> </w:t>
      </w:r>
      <w:r w:rsidRPr="00180D2C">
        <w:rPr>
          <w:rFonts w:ascii="Arial" w:hAnsi="Arial" w:cs="Arial"/>
          <w:sz w:val="24"/>
          <w:szCs w:val="24"/>
        </w:rPr>
        <w:t>2019, y considerando la información sobre sucesos pasados y las condiciones actuales. Ahora bien,</w:t>
      </w:r>
      <w:r w:rsidRPr="00180D2C">
        <w:rPr>
          <w:rFonts w:ascii="Arial" w:hAnsi="Arial" w:cs="Arial"/>
          <w:spacing w:val="-1"/>
          <w:sz w:val="24"/>
          <w:szCs w:val="24"/>
        </w:rPr>
        <w:t xml:space="preserve"> </w:t>
      </w:r>
      <w:r w:rsidRPr="00180D2C">
        <w:rPr>
          <w:rFonts w:ascii="Arial" w:hAnsi="Arial" w:cs="Arial"/>
          <w:sz w:val="24"/>
          <w:szCs w:val="24"/>
        </w:rPr>
        <w:t>considerando que los</w:t>
      </w:r>
      <w:r w:rsidRPr="00180D2C">
        <w:rPr>
          <w:rFonts w:ascii="Arial" w:hAnsi="Arial" w:cs="Arial"/>
          <w:spacing w:val="-3"/>
          <w:sz w:val="24"/>
          <w:szCs w:val="24"/>
        </w:rPr>
        <w:t xml:space="preserve"> </w:t>
      </w:r>
      <w:r w:rsidRPr="00180D2C">
        <w:rPr>
          <w:rFonts w:ascii="Arial" w:hAnsi="Arial" w:cs="Arial"/>
          <w:sz w:val="24"/>
          <w:szCs w:val="24"/>
        </w:rPr>
        <w:t>saldos por cobrar</w:t>
      </w:r>
      <w:r w:rsidRPr="00180D2C">
        <w:rPr>
          <w:rFonts w:ascii="Arial" w:hAnsi="Arial" w:cs="Arial"/>
          <w:spacing w:val="-2"/>
          <w:sz w:val="24"/>
          <w:szCs w:val="24"/>
        </w:rPr>
        <w:t xml:space="preserve"> </w:t>
      </w:r>
      <w:r w:rsidRPr="00180D2C">
        <w:rPr>
          <w:rFonts w:ascii="Arial" w:hAnsi="Arial" w:cs="Arial"/>
          <w:sz w:val="24"/>
          <w:szCs w:val="24"/>
        </w:rPr>
        <w:t>han sido</w:t>
      </w:r>
      <w:r w:rsidRPr="00180D2C">
        <w:rPr>
          <w:rFonts w:ascii="Arial" w:hAnsi="Arial" w:cs="Arial"/>
          <w:spacing w:val="-3"/>
          <w:sz w:val="24"/>
          <w:szCs w:val="24"/>
        </w:rPr>
        <w:t xml:space="preserve"> </w:t>
      </w:r>
      <w:r w:rsidRPr="00180D2C">
        <w:rPr>
          <w:rFonts w:ascii="Arial" w:hAnsi="Arial" w:cs="Arial"/>
          <w:sz w:val="24"/>
          <w:szCs w:val="24"/>
        </w:rPr>
        <w:t>presentados</w:t>
      </w:r>
      <w:r w:rsidRPr="00180D2C">
        <w:rPr>
          <w:rFonts w:ascii="Arial" w:hAnsi="Arial" w:cs="Arial"/>
          <w:spacing w:val="-3"/>
          <w:sz w:val="24"/>
          <w:szCs w:val="24"/>
        </w:rPr>
        <w:t xml:space="preserve"> </w:t>
      </w:r>
      <w:r w:rsidRPr="00180D2C">
        <w:rPr>
          <w:rFonts w:ascii="Arial" w:hAnsi="Arial" w:cs="Arial"/>
          <w:sz w:val="24"/>
          <w:szCs w:val="24"/>
        </w:rPr>
        <w:t xml:space="preserve">dentro de los procesos de reorganización de Aldea Proyectos S.A.S y/o del Patrimonio Autónomo Fideicomiso de Administración Inmobiliaria América Centro de Negocios por parte del apoderado judicial de CREMIL deben considerarse los plazos de recaudo y la viabilidad de su ejecución en caso de que se llegue a celebrar un eventual acuerdo de </w:t>
      </w:r>
      <w:r w:rsidRPr="00180D2C">
        <w:rPr>
          <w:rFonts w:ascii="Arial" w:hAnsi="Arial" w:cs="Arial"/>
          <w:sz w:val="24"/>
          <w:szCs w:val="24"/>
        </w:rPr>
        <w:lastRenderedPageBreak/>
        <w:t>reorganización.</w:t>
      </w:r>
    </w:p>
    <w:p w14:paraId="646F3368" w14:textId="77777777" w:rsidR="00E46C0A" w:rsidRPr="00180D2C" w:rsidRDefault="00E46C0A" w:rsidP="00E95331">
      <w:pPr>
        <w:pStyle w:val="Textoindependiente"/>
        <w:spacing w:before="16"/>
        <w:ind w:right="-234"/>
        <w:rPr>
          <w:rFonts w:ascii="Arial" w:hAnsi="Arial" w:cs="Arial"/>
          <w:sz w:val="24"/>
          <w:szCs w:val="24"/>
        </w:rPr>
      </w:pPr>
    </w:p>
    <w:p w14:paraId="1914084E"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No nos fue posible determinar el importe del deterioro de estas cuentas por cobrar por</w:t>
      </w:r>
      <w:r w:rsidRPr="00180D2C">
        <w:rPr>
          <w:rFonts w:ascii="Arial" w:hAnsi="Arial" w:cs="Arial"/>
          <w:spacing w:val="-5"/>
          <w:sz w:val="24"/>
          <w:szCs w:val="24"/>
        </w:rPr>
        <w:t xml:space="preserve"> </w:t>
      </w:r>
      <w:r w:rsidRPr="00180D2C">
        <w:rPr>
          <w:rFonts w:ascii="Arial" w:hAnsi="Arial" w:cs="Arial"/>
          <w:sz w:val="24"/>
          <w:szCs w:val="24"/>
        </w:rPr>
        <w:t>cuanto</w:t>
      </w:r>
      <w:r w:rsidRPr="00180D2C">
        <w:rPr>
          <w:rFonts w:ascii="Arial" w:hAnsi="Arial" w:cs="Arial"/>
          <w:spacing w:val="-6"/>
          <w:sz w:val="24"/>
          <w:szCs w:val="24"/>
        </w:rPr>
        <w:t xml:space="preserve"> </w:t>
      </w:r>
      <w:r w:rsidRPr="00180D2C">
        <w:rPr>
          <w:rFonts w:ascii="Arial" w:hAnsi="Arial" w:cs="Arial"/>
          <w:sz w:val="24"/>
          <w:szCs w:val="24"/>
        </w:rPr>
        <w:t>no</w:t>
      </w:r>
      <w:r w:rsidRPr="00180D2C">
        <w:rPr>
          <w:rFonts w:ascii="Arial" w:hAnsi="Arial" w:cs="Arial"/>
          <w:spacing w:val="-9"/>
          <w:sz w:val="24"/>
          <w:szCs w:val="24"/>
        </w:rPr>
        <w:t xml:space="preserve"> </w:t>
      </w:r>
      <w:r w:rsidRPr="00180D2C">
        <w:rPr>
          <w:rFonts w:ascii="Arial" w:hAnsi="Arial" w:cs="Arial"/>
          <w:sz w:val="24"/>
          <w:szCs w:val="24"/>
        </w:rPr>
        <w:t>existe</w:t>
      </w:r>
      <w:r w:rsidRPr="00180D2C">
        <w:rPr>
          <w:rFonts w:ascii="Arial" w:hAnsi="Arial" w:cs="Arial"/>
          <w:spacing w:val="-6"/>
          <w:sz w:val="24"/>
          <w:szCs w:val="24"/>
        </w:rPr>
        <w:t xml:space="preserve"> </w:t>
      </w:r>
      <w:r w:rsidRPr="00180D2C">
        <w:rPr>
          <w:rFonts w:ascii="Arial" w:hAnsi="Arial" w:cs="Arial"/>
          <w:sz w:val="24"/>
          <w:szCs w:val="24"/>
        </w:rPr>
        <w:t>información</w:t>
      </w:r>
      <w:r w:rsidRPr="00180D2C">
        <w:rPr>
          <w:rFonts w:ascii="Arial" w:hAnsi="Arial" w:cs="Arial"/>
          <w:spacing w:val="-9"/>
          <w:sz w:val="24"/>
          <w:szCs w:val="24"/>
        </w:rPr>
        <w:t xml:space="preserve"> </w:t>
      </w:r>
      <w:r w:rsidRPr="00180D2C">
        <w:rPr>
          <w:rFonts w:ascii="Arial" w:hAnsi="Arial" w:cs="Arial"/>
          <w:sz w:val="24"/>
          <w:szCs w:val="24"/>
        </w:rPr>
        <w:t>fiable</w:t>
      </w:r>
      <w:r w:rsidRPr="00180D2C">
        <w:rPr>
          <w:rFonts w:ascii="Arial" w:hAnsi="Arial" w:cs="Arial"/>
          <w:spacing w:val="-6"/>
          <w:sz w:val="24"/>
          <w:szCs w:val="24"/>
        </w:rPr>
        <w:t xml:space="preserve"> </w:t>
      </w:r>
      <w:r w:rsidRPr="00180D2C">
        <w:rPr>
          <w:rFonts w:ascii="Arial" w:hAnsi="Arial" w:cs="Arial"/>
          <w:sz w:val="24"/>
          <w:szCs w:val="24"/>
        </w:rPr>
        <w:t>sobre</w:t>
      </w:r>
      <w:r w:rsidRPr="00180D2C">
        <w:rPr>
          <w:rFonts w:ascii="Arial" w:hAnsi="Arial" w:cs="Arial"/>
          <w:spacing w:val="-9"/>
          <w:sz w:val="24"/>
          <w:szCs w:val="24"/>
        </w:rPr>
        <w:t xml:space="preserve"> </w:t>
      </w:r>
      <w:r w:rsidRPr="00180D2C">
        <w:rPr>
          <w:rFonts w:ascii="Arial" w:hAnsi="Arial" w:cs="Arial"/>
          <w:sz w:val="24"/>
          <w:szCs w:val="24"/>
        </w:rPr>
        <w:t>los</w:t>
      </w:r>
      <w:r w:rsidRPr="00180D2C">
        <w:rPr>
          <w:rFonts w:ascii="Arial" w:hAnsi="Arial" w:cs="Arial"/>
          <w:spacing w:val="-9"/>
          <w:sz w:val="24"/>
          <w:szCs w:val="24"/>
        </w:rPr>
        <w:t xml:space="preserve"> </w:t>
      </w:r>
      <w:r w:rsidRPr="00180D2C">
        <w:rPr>
          <w:rFonts w:ascii="Arial" w:hAnsi="Arial" w:cs="Arial"/>
          <w:sz w:val="24"/>
          <w:szCs w:val="24"/>
        </w:rPr>
        <w:t>flujos</w:t>
      </w:r>
      <w:r w:rsidRPr="00180D2C">
        <w:rPr>
          <w:rFonts w:ascii="Arial" w:hAnsi="Arial" w:cs="Arial"/>
          <w:spacing w:val="-6"/>
          <w:sz w:val="24"/>
          <w:szCs w:val="24"/>
        </w:rPr>
        <w:t xml:space="preserve"> </w:t>
      </w:r>
      <w:r w:rsidRPr="00180D2C">
        <w:rPr>
          <w:rFonts w:ascii="Arial" w:hAnsi="Arial" w:cs="Arial"/>
          <w:sz w:val="24"/>
          <w:szCs w:val="24"/>
        </w:rPr>
        <w:t>y</w:t>
      </w:r>
      <w:r w:rsidRPr="00180D2C">
        <w:rPr>
          <w:rFonts w:ascii="Arial" w:hAnsi="Arial" w:cs="Arial"/>
          <w:spacing w:val="-8"/>
          <w:sz w:val="24"/>
          <w:szCs w:val="24"/>
        </w:rPr>
        <w:t xml:space="preserve"> </w:t>
      </w:r>
      <w:r w:rsidRPr="00180D2C">
        <w:rPr>
          <w:rFonts w:ascii="Arial" w:hAnsi="Arial" w:cs="Arial"/>
          <w:sz w:val="24"/>
          <w:szCs w:val="24"/>
        </w:rPr>
        <w:t>fechas</w:t>
      </w:r>
      <w:r w:rsidRPr="00180D2C">
        <w:rPr>
          <w:rFonts w:ascii="Arial" w:hAnsi="Arial" w:cs="Arial"/>
          <w:spacing w:val="-9"/>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que</w:t>
      </w:r>
      <w:r w:rsidRPr="00180D2C">
        <w:rPr>
          <w:rFonts w:ascii="Arial" w:hAnsi="Arial" w:cs="Arial"/>
          <w:spacing w:val="-9"/>
          <w:sz w:val="24"/>
          <w:szCs w:val="24"/>
        </w:rPr>
        <w:t xml:space="preserve"> </w:t>
      </w:r>
      <w:r w:rsidRPr="00180D2C">
        <w:rPr>
          <w:rFonts w:ascii="Arial" w:hAnsi="Arial" w:cs="Arial"/>
          <w:sz w:val="24"/>
          <w:szCs w:val="24"/>
        </w:rPr>
        <w:t>se</w:t>
      </w:r>
      <w:r w:rsidRPr="00180D2C">
        <w:rPr>
          <w:rFonts w:ascii="Arial" w:hAnsi="Arial" w:cs="Arial"/>
          <w:spacing w:val="-9"/>
          <w:sz w:val="24"/>
          <w:szCs w:val="24"/>
        </w:rPr>
        <w:t xml:space="preserve"> </w:t>
      </w:r>
      <w:r w:rsidRPr="00180D2C">
        <w:rPr>
          <w:rFonts w:ascii="Arial" w:hAnsi="Arial" w:cs="Arial"/>
          <w:sz w:val="24"/>
          <w:szCs w:val="24"/>
        </w:rPr>
        <w:t>realizarían los pagos de las obligaciones, sumado a la incertidumbre que existe sobre la continuidad del proyecto “El Pedregal”.</w:t>
      </w:r>
    </w:p>
    <w:p w14:paraId="308F64EA" w14:textId="77777777" w:rsidR="00E46C0A" w:rsidRPr="00180D2C" w:rsidRDefault="00E46C0A" w:rsidP="00E95331">
      <w:pPr>
        <w:pStyle w:val="Textoindependiente"/>
        <w:spacing w:line="242" w:lineRule="auto"/>
        <w:ind w:left="912" w:right="-234"/>
        <w:jc w:val="both"/>
        <w:rPr>
          <w:rFonts w:ascii="Arial" w:hAnsi="Arial" w:cs="Arial"/>
          <w:sz w:val="24"/>
          <w:szCs w:val="24"/>
        </w:rPr>
      </w:pPr>
    </w:p>
    <w:p w14:paraId="081F30EA" w14:textId="77777777" w:rsidR="00E46C0A" w:rsidRPr="00180D2C" w:rsidRDefault="00E46C0A" w:rsidP="00E95331">
      <w:pPr>
        <w:pStyle w:val="Prrafodelista"/>
        <w:numPr>
          <w:ilvl w:val="1"/>
          <w:numId w:val="100"/>
        </w:numPr>
        <w:tabs>
          <w:tab w:val="left" w:pos="910"/>
          <w:tab w:val="left" w:pos="912"/>
        </w:tabs>
        <w:spacing w:before="3"/>
        <w:ind w:right="-234" w:hanging="360"/>
        <w:jc w:val="both"/>
        <w:rPr>
          <w:rFonts w:ascii="Arial" w:hAnsi="Arial" w:cs="Arial"/>
          <w:sz w:val="24"/>
          <w:szCs w:val="24"/>
        </w:rPr>
      </w:pPr>
      <w:r w:rsidRPr="00180D2C">
        <w:rPr>
          <w:rFonts w:ascii="Arial" w:hAnsi="Arial" w:cs="Arial"/>
          <w:sz w:val="24"/>
          <w:szCs w:val="24"/>
        </w:rPr>
        <w:t>El saldo de los aportes que realizan los afiliados en servicio activo al plan de beneficios</w:t>
      </w:r>
      <w:r w:rsidRPr="00180D2C">
        <w:rPr>
          <w:rFonts w:ascii="Arial" w:hAnsi="Arial" w:cs="Arial"/>
          <w:spacing w:val="15"/>
          <w:sz w:val="24"/>
          <w:szCs w:val="24"/>
        </w:rPr>
        <w:t xml:space="preserve"> </w:t>
      </w:r>
      <w:r w:rsidRPr="00180D2C">
        <w:rPr>
          <w:rFonts w:ascii="Arial" w:hAnsi="Arial" w:cs="Arial"/>
          <w:sz w:val="24"/>
          <w:szCs w:val="24"/>
        </w:rPr>
        <w:t>de retiro de las fuerzas militares</w:t>
      </w:r>
      <w:r w:rsidRPr="00180D2C">
        <w:rPr>
          <w:rFonts w:ascii="Arial" w:hAnsi="Arial" w:cs="Arial"/>
          <w:spacing w:val="17"/>
          <w:sz w:val="24"/>
          <w:szCs w:val="24"/>
        </w:rPr>
        <w:t xml:space="preserve"> </w:t>
      </w:r>
      <w:r w:rsidRPr="00180D2C">
        <w:rPr>
          <w:rFonts w:ascii="Arial" w:hAnsi="Arial" w:cs="Arial"/>
          <w:sz w:val="24"/>
          <w:szCs w:val="24"/>
        </w:rPr>
        <w:t>ascendía al 31 de diciembre</w:t>
      </w:r>
      <w:r w:rsidRPr="00180D2C">
        <w:rPr>
          <w:rFonts w:ascii="Arial" w:hAnsi="Arial" w:cs="Arial"/>
          <w:spacing w:val="15"/>
          <w:sz w:val="24"/>
          <w:szCs w:val="24"/>
        </w:rPr>
        <w:t xml:space="preserve"> </w:t>
      </w:r>
      <w:r w:rsidRPr="00180D2C">
        <w:rPr>
          <w:rFonts w:ascii="Arial" w:hAnsi="Arial" w:cs="Arial"/>
          <w:sz w:val="24"/>
          <w:szCs w:val="24"/>
        </w:rPr>
        <w:t>de 2024 a $28.585</w:t>
      </w:r>
      <w:r w:rsidRPr="00180D2C">
        <w:rPr>
          <w:rFonts w:ascii="Arial" w:hAnsi="Arial" w:cs="Arial"/>
          <w:spacing w:val="-10"/>
          <w:sz w:val="24"/>
          <w:szCs w:val="24"/>
        </w:rPr>
        <w:t xml:space="preserve"> </w:t>
      </w:r>
      <w:r w:rsidRPr="00180D2C">
        <w:rPr>
          <w:rFonts w:ascii="Arial" w:hAnsi="Arial" w:cs="Arial"/>
          <w:sz w:val="24"/>
          <w:szCs w:val="24"/>
        </w:rPr>
        <w:t>millones.</w:t>
      </w:r>
      <w:r w:rsidRPr="00180D2C">
        <w:rPr>
          <w:rFonts w:ascii="Arial" w:hAnsi="Arial" w:cs="Arial"/>
          <w:spacing w:val="-6"/>
          <w:sz w:val="24"/>
          <w:szCs w:val="24"/>
        </w:rPr>
        <w:t xml:space="preserve"> </w:t>
      </w:r>
      <w:r w:rsidRPr="00180D2C">
        <w:rPr>
          <w:rFonts w:ascii="Arial" w:hAnsi="Arial" w:cs="Arial"/>
          <w:sz w:val="24"/>
          <w:szCs w:val="24"/>
        </w:rPr>
        <w:t>(En</w:t>
      </w:r>
      <w:r w:rsidRPr="00180D2C">
        <w:rPr>
          <w:rFonts w:ascii="Arial" w:hAnsi="Arial" w:cs="Arial"/>
          <w:spacing w:val="-10"/>
          <w:sz w:val="24"/>
          <w:szCs w:val="24"/>
        </w:rPr>
        <w:t xml:space="preserve"> </w:t>
      </w:r>
      <w:r w:rsidRPr="00180D2C">
        <w:rPr>
          <w:rFonts w:ascii="Arial" w:hAnsi="Arial" w:cs="Arial"/>
          <w:sz w:val="24"/>
          <w:szCs w:val="24"/>
        </w:rPr>
        <w:t>2023</w:t>
      </w:r>
      <w:r w:rsidRPr="00180D2C">
        <w:rPr>
          <w:rFonts w:ascii="Arial" w:hAnsi="Arial" w:cs="Arial"/>
          <w:spacing w:val="-7"/>
          <w:sz w:val="24"/>
          <w:szCs w:val="24"/>
        </w:rPr>
        <w:t xml:space="preserve"> </w:t>
      </w:r>
      <w:r w:rsidRPr="00180D2C">
        <w:rPr>
          <w:rFonts w:ascii="Arial" w:hAnsi="Arial" w:cs="Arial"/>
          <w:sz w:val="24"/>
          <w:szCs w:val="24"/>
        </w:rPr>
        <w:t>$56.590</w:t>
      </w:r>
      <w:r w:rsidRPr="00180D2C">
        <w:rPr>
          <w:rFonts w:ascii="Arial" w:hAnsi="Arial" w:cs="Arial"/>
          <w:spacing w:val="-10"/>
          <w:sz w:val="24"/>
          <w:szCs w:val="24"/>
        </w:rPr>
        <w:t xml:space="preserve"> </w:t>
      </w:r>
      <w:r w:rsidRPr="00180D2C">
        <w:rPr>
          <w:rFonts w:ascii="Arial" w:hAnsi="Arial" w:cs="Arial"/>
          <w:sz w:val="24"/>
          <w:szCs w:val="24"/>
        </w:rPr>
        <w:t>millones).</w:t>
      </w:r>
      <w:r w:rsidRPr="00180D2C">
        <w:rPr>
          <w:rFonts w:ascii="Arial" w:hAnsi="Arial" w:cs="Arial"/>
          <w:spacing w:val="-5"/>
          <w:sz w:val="24"/>
          <w:szCs w:val="24"/>
        </w:rPr>
        <w:t xml:space="preserve"> </w:t>
      </w:r>
      <w:r w:rsidRPr="00180D2C">
        <w:rPr>
          <w:rFonts w:ascii="Arial" w:hAnsi="Arial" w:cs="Arial"/>
          <w:sz w:val="24"/>
          <w:szCs w:val="24"/>
        </w:rPr>
        <w:t>Estos</w:t>
      </w:r>
      <w:r w:rsidRPr="00180D2C">
        <w:rPr>
          <w:rFonts w:ascii="Arial" w:hAnsi="Arial" w:cs="Arial"/>
          <w:spacing w:val="-10"/>
          <w:sz w:val="24"/>
          <w:szCs w:val="24"/>
        </w:rPr>
        <w:t xml:space="preserve"> </w:t>
      </w:r>
      <w:r w:rsidRPr="00180D2C">
        <w:rPr>
          <w:rFonts w:ascii="Arial" w:hAnsi="Arial" w:cs="Arial"/>
          <w:sz w:val="24"/>
          <w:szCs w:val="24"/>
        </w:rPr>
        <w:t>recursos</w:t>
      </w:r>
      <w:r w:rsidRPr="00180D2C">
        <w:rPr>
          <w:rFonts w:ascii="Arial" w:hAnsi="Arial" w:cs="Arial"/>
          <w:spacing w:val="-9"/>
          <w:sz w:val="24"/>
          <w:szCs w:val="24"/>
        </w:rPr>
        <w:t xml:space="preserve"> </w:t>
      </w:r>
      <w:r w:rsidRPr="00180D2C">
        <w:rPr>
          <w:rFonts w:ascii="Arial" w:hAnsi="Arial" w:cs="Arial"/>
          <w:sz w:val="24"/>
          <w:szCs w:val="24"/>
        </w:rPr>
        <w:t>fueron</w:t>
      </w:r>
      <w:r w:rsidRPr="00180D2C">
        <w:rPr>
          <w:rFonts w:ascii="Arial" w:hAnsi="Arial" w:cs="Arial"/>
          <w:spacing w:val="-10"/>
          <w:sz w:val="24"/>
          <w:szCs w:val="24"/>
        </w:rPr>
        <w:t xml:space="preserve"> </w:t>
      </w:r>
      <w:r w:rsidRPr="00180D2C">
        <w:rPr>
          <w:rFonts w:ascii="Arial" w:hAnsi="Arial" w:cs="Arial"/>
          <w:sz w:val="24"/>
          <w:szCs w:val="24"/>
        </w:rPr>
        <w:t>depositados</w:t>
      </w:r>
      <w:r w:rsidRPr="00180D2C">
        <w:rPr>
          <w:rFonts w:ascii="Arial" w:hAnsi="Arial" w:cs="Arial"/>
          <w:spacing w:val="-7"/>
          <w:sz w:val="24"/>
          <w:szCs w:val="24"/>
        </w:rPr>
        <w:t xml:space="preserve"> </w:t>
      </w:r>
      <w:r w:rsidRPr="00180D2C">
        <w:rPr>
          <w:rFonts w:ascii="Arial" w:hAnsi="Arial" w:cs="Arial"/>
          <w:sz w:val="24"/>
          <w:szCs w:val="24"/>
        </w:rPr>
        <w:t>en la Cuenta Única Nacional del Ministerio de Hacienda y Crédito Público, quien los custodia e invierte en</w:t>
      </w:r>
      <w:r w:rsidRPr="00180D2C">
        <w:rPr>
          <w:rFonts w:ascii="Arial" w:hAnsi="Arial" w:cs="Arial"/>
          <w:spacing w:val="-3"/>
          <w:sz w:val="24"/>
          <w:szCs w:val="24"/>
        </w:rPr>
        <w:t xml:space="preserve"> </w:t>
      </w:r>
      <w:r w:rsidRPr="00180D2C">
        <w:rPr>
          <w:rFonts w:ascii="Arial" w:hAnsi="Arial" w:cs="Arial"/>
          <w:sz w:val="24"/>
          <w:szCs w:val="24"/>
        </w:rPr>
        <w:t>conjunto con</w:t>
      </w:r>
      <w:r w:rsidRPr="00180D2C">
        <w:rPr>
          <w:rFonts w:ascii="Arial" w:hAnsi="Arial" w:cs="Arial"/>
          <w:spacing w:val="-1"/>
          <w:sz w:val="24"/>
          <w:szCs w:val="24"/>
        </w:rPr>
        <w:t xml:space="preserve"> </w:t>
      </w:r>
      <w:r w:rsidRPr="00180D2C">
        <w:rPr>
          <w:rFonts w:ascii="Arial" w:hAnsi="Arial" w:cs="Arial"/>
          <w:sz w:val="24"/>
          <w:szCs w:val="24"/>
        </w:rPr>
        <w:t>los</w:t>
      </w:r>
      <w:r w:rsidRPr="00180D2C">
        <w:rPr>
          <w:rFonts w:ascii="Arial" w:hAnsi="Arial" w:cs="Arial"/>
          <w:spacing w:val="-3"/>
          <w:sz w:val="24"/>
          <w:szCs w:val="24"/>
        </w:rPr>
        <w:t xml:space="preserve"> </w:t>
      </w:r>
      <w:r w:rsidRPr="00180D2C">
        <w:rPr>
          <w:rFonts w:ascii="Arial" w:hAnsi="Arial" w:cs="Arial"/>
          <w:sz w:val="24"/>
          <w:szCs w:val="24"/>
        </w:rPr>
        <w:t>recursos</w:t>
      </w:r>
      <w:r w:rsidRPr="00180D2C">
        <w:rPr>
          <w:rFonts w:ascii="Arial" w:hAnsi="Arial" w:cs="Arial"/>
          <w:spacing w:val="-3"/>
          <w:sz w:val="24"/>
          <w:szCs w:val="24"/>
        </w:rPr>
        <w:t xml:space="preserve"> </w:t>
      </w:r>
      <w:r w:rsidRPr="00180D2C">
        <w:rPr>
          <w:rFonts w:ascii="Arial" w:hAnsi="Arial" w:cs="Arial"/>
          <w:sz w:val="24"/>
          <w:szCs w:val="24"/>
        </w:rPr>
        <w:t>de CREMIL, sin controlar su</w:t>
      </w:r>
      <w:r w:rsidRPr="00180D2C">
        <w:rPr>
          <w:rFonts w:ascii="Arial" w:hAnsi="Arial" w:cs="Arial"/>
          <w:spacing w:val="-3"/>
          <w:sz w:val="24"/>
          <w:szCs w:val="24"/>
        </w:rPr>
        <w:t xml:space="preserve"> </w:t>
      </w:r>
      <w:r w:rsidRPr="00180D2C">
        <w:rPr>
          <w:rFonts w:ascii="Arial" w:hAnsi="Arial" w:cs="Arial"/>
          <w:sz w:val="24"/>
          <w:szCs w:val="24"/>
        </w:rPr>
        <w:t>saldo y rendimientos de manera separada.</w:t>
      </w:r>
    </w:p>
    <w:p w14:paraId="2FA4348F" w14:textId="77777777" w:rsidR="00E46C0A" w:rsidRPr="00180D2C" w:rsidRDefault="00E46C0A" w:rsidP="00E95331">
      <w:pPr>
        <w:pStyle w:val="Textoindependiente"/>
        <w:spacing w:before="7"/>
        <w:ind w:right="-234"/>
        <w:rPr>
          <w:rFonts w:ascii="Arial" w:hAnsi="Arial" w:cs="Arial"/>
          <w:sz w:val="24"/>
          <w:szCs w:val="24"/>
        </w:rPr>
      </w:pPr>
    </w:p>
    <w:p w14:paraId="49812A97"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El importe de los rendimientos de los recursos depositados en la Cuenta Única Nacional del Ministerio de Hacienda y Crédito Público ascendió a $35.033 millones en el año 2024 y fue reconocido como ingresos de la entidad. (En 2023 $27.061 millones reconocido como ingreso).</w:t>
      </w:r>
    </w:p>
    <w:p w14:paraId="7B4BB81F" w14:textId="77777777" w:rsidR="00E46C0A" w:rsidRPr="00180D2C" w:rsidRDefault="00E46C0A" w:rsidP="00E95331">
      <w:pPr>
        <w:pStyle w:val="Textoindependiente"/>
        <w:spacing w:before="8"/>
        <w:ind w:right="-234"/>
        <w:rPr>
          <w:rFonts w:ascii="Arial" w:hAnsi="Arial" w:cs="Arial"/>
          <w:sz w:val="24"/>
          <w:szCs w:val="24"/>
        </w:rPr>
      </w:pPr>
    </w:p>
    <w:p w14:paraId="22E3723A"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CREMIL carece de un procedimiento que le permita determinar el valor de los rendimientos que son imputables a los aportes de los afiliados en servicio activo de las fuerzas militares para abonarlos como mayor valor del activo y reconocer su impacto en el patrimonio, como ganancia o pérdida del plan que financia el pago de los beneficios por</w:t>
      </w:r>
      <w:r w:rsidRPr="00180D2C">
        <w:rPr>
          <w:rFonts w:ascii="Arial" w:hAnsi="Arial" w:cs="Arial"/>
          <w:spacing w:val="-1"/>
          <w:sz w:val="24"/>
          <w:szCs w:val="24"/>
        </w:rPr>
        <w:t xml:space="preserve"> </w:t>
      </w:r>
      <w:r w:rsidRPr="00180D2C">
        <w:rPr>
          <w:rFonts w:ascii="Arial" w:hAnsi="Arial" w:cs="Arial"/>
          <w:sz w:val="24"/>
          <w:szCs w:val="24"/>
        </w:rPr>
        <w:t>retiro</w:t>
      </w:r>
      <w:r w:rsidRPr="00180D2C">
        <w:rPr>
          <w:rFonts w:ascii="Arial" w:hAnsi="Arial" w:cs="Arial"/>
          <w:spacing w:val="-2"/>
          <w:sz w:val="24"/>
          <w:szCs w:val="24"/>
        </w:rPr>
        <w:t xml:space="preserve"> </w:t>
      </w:r>
      <w:r w:rsidRPr="00180D2C">
        <w:rPr>
          <w:rFonts w:ascii="Arial" w:hAnsi="Arial" w:cs="Arial"/>
          <w:sz w:val="24"/>
          <w:szCs w:val="24"/>
        </w:rPr>
        <w:t>de las fuerzas</w:t>
      </w:r>
      <w:r w:rsidRPr="00180D2C">
        <w:rPr>
          <w:rFonts w:ascii="Arial" w:hAnsi="Arial" w:cs="Arial"/>
          <w:spacing w:val="-1"/>
          <w:sz w:val="24"/>
          <w:szCs w:val="24"/>
        </w:rPr>
        <w:t xml:space="preserve"> </w:t>
      </w:r>
      <w:r w:rsidRPr="00180D2C">
        <w:rPr>
          <w:rFonts w:ascii="Arial" w:hAnsi="Arial" w:cs="Arial"/>
          <w:sz w:val="24"/>
          <w:szCs w:val="24"/>
        </w:rPr>
        <w:t>militares, tal</w:t>
      </w:r>
      <w:r w:rsidRPr="00180D2C">
        <w:rPr>
          <w:rFonts w:ascii="Arial" w:hAnsi="Arial" w:cs="Arial"/>
          <w:spacing w:val="-1"/>
          <w:sz w:val="24"/>
          <w:szCs w:val="24"/>
        </w:rPr>
        <w:t xml:space="preserve"> </w:t>
      </w:r>
      <w:r w:rsidRPr="00180D2C">
        <w:rPr>
          <w:rFonts w:ascii="Arial" w:hAnsi="Arial" w:cs="Arial"/>
          <w:sz w:val="24"/>
          <w:szCs w:val="24"/>
        </w:rPr>
        <w:t>como</w:t>
      </w:r>
      <w:r w:rsidRPr="00180D2C">
        <w:rPr>
          <w:rFonts w:ascii="Arial" w:hAnsi="Arial" w:cs="Arial"/>
          <w:spacing w:val="-1"/>
          <w:sz w:val="24"/>
          <w:szCs w:val="24"/>
        </w:rPr>
        <w:t xml:space="preserve"> </w:t>
      </w:r>
      <w:r w:rsidRPr="00180D2C">
        <w:rPr>
          <w:rFonts w:ascii="Arial" w:hAnsi="Arial" w:cs="Arial"/>
          <w:sz w:val="24"/>
          <w:szCs w:val="24"/>
        </w:rPr>
        <w:t>se</w:t>
      </w:r>
      <w:r w:rsidRPr="00180D2C">
        <w:rPr>
          <w:rFonts w:ascii="Arial" w:hAnsi="Arial" w:cs="Arial"/>
          <w:spacing w:val="-2"/>
          <w:sz w:val="24"/>
          <w:szCs w:val="24"/>
        </w:rPr>
        <w:t xml:space="preserve"> </w:t>
      </w:r>
      <w:r w:rsidRPr="00180D2C">
        <w:rPr>
          <w:rFonts w:ascii="Arial" w:hAnsi="Arial" w:cs="Arial"/>
          <w:sz w:val="24"/>
          <w:szCs w:val="24"/>
        </w:rPr>
        <w:t>establece la</w:t>
      </w:r>
      <w:r w:rsidRPr="00180D2C">
        <w:rPr>
          <w:rFonts w:ascii="Arial" w:hAnsi="Arial" w:cs="Arial"/>
          <w:spacing w:val="-2"/>
          <w:sz w:val="24"/>
          <w:szCs w:val="24"/>
        </w:rPr>
        <w:t xml:space="preserve"> </w:t>
      </w:r>
      <w:r w:rsidRPr="00180D2C">
        <w:rPr>
          <w:rFonts w:ascii="Arial" w:hAnsi="Arial" w:cs="Arial"/>
          <w:sz w:val="24"/>
          <w:szCs w:val="24"/>
        </w:rPr>
        <w:t>Contaduría General de la Nación en la Resolución 320 de 2019.</w:t>
      </w:r>
    </w:p>
    <w:p w14:paraId="0AA1E361" w14:textId="77777777" w:rsidR="00E46C0A" w:rsidRPr="00180D2C" w:rsidRDefault="00E46C0A" w:rsidP="00E95331">
      <w:pPr>
        <w:pStyle w:val="Textoindependiente"/>
        <w:spacing w:before="10"/>
        <w:ind w:right="-234"/>
        <w:rPr>
          <w:rFonts w:ascii="Arial" w:hAnsi="Arial" w:cs="Arial"/>
          <w:sz w:val="24"/>
          <w:szCs w:val="24"/>
        </w:rPr>
      </w:pPr>
    </w:p>
    <w:p w14:paraId="7F9CBE93"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Hasta</w:t>
      </w:r>
      <w:r w:rsidRPr="00180D2C">
        <w:rPr>
          <w:rFonts w:ascii="Arial" w:hAnsi="Arial" w:cs="Arial"/>
          <w:spacing w:val="-14"/>
          <w:sz w:val="24"/>
          <w:szCs w:val="24"/>
        </w:rPr>
        <w:t xml:space="preserve"> </w:t>
      </w:r>
      <w:r w:rsidRPr="00180D2C">
        <w:rPr>
          <w:rFonts w:ascii="Arial" w:hAnsi="Arial" w:cs="Arial"/>
          <w:sz w:val="24"/>
          <w:szCs w:val="24"/>
        </w:rPr>
        <w:t>la</w:t>
      </w:r>
      <w:r w:rsidRPr="00180D2C">
        <w:rPr>
          <w:rFonts w:ascii="Arial" w:hAnsi="Arial" w:cs="Arial"/>
          <w:spacing w:val="-13"/>
          <w:sz w:val="24"/>
          <w:szCs w:val="24"/>
        </w:rPr>
        <w:t xml:space="preserve"> </w:t>
      </w:r>
      <w:r w:rsidRPr="00180D2C">
        <w:rPr>
          <w:rFonts w:ascii="Arial" w:hAnsi="Arial" w:cs="Arial"/>
          <w:sz w:val="24"/>
          <w:szCs w:val="24"/>
        </w:rPr>
        <w:t>fecha</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3"/>
          <w:sz w:val="24"/>
          <w:szCs w:val="24"/>
        </w:rPr>
        <w:t xml:space="preserve"> </w:t>
      </w:r>
      <w:r w:rsidRPr="00180D2C">
        <w:rPr>
          <w:rFonts w:ascii="Arial" w:hAnsi="Arial" w:cs="Arial"/>
          <w:sz w:val="24"/>
          <w:szCs w:val="24"/>
        </w:rPr>
        <w:t>nuestro</w:t>
      </w:r>
      <w:r w:rsidRPr="00180D2C">
        <w:rPr>
          <w:rFonts w:ascii="Arial" w:hAnsi="Arial" w:cs="Arial"/>
          <w:spacing w:val="-14"/>
          <w:sz w:val="24"/>
          <w:szCs w:val="24"/>
        </w:rPr>
        <w:t xml:space="preserve"> </w:t>
      </w:r>
      <w:r w:rsidRPr="00180D2C">
        <w:rPr>
          <w:rFonts w:ascii="Arial" w:hAnsi="Arial" w:cs="Arial"/>
          <w:sz w:val="24"/>
          <w:szCs w:val="24"/>
        </w:rPr>
        <w:t>informe</w:t>
      </w:r>
      <w:r w:rsidRPr="00180D2C">
        <w:rPr>
          <w:rFonts w:ascii="Arial" w:hAnsi="Arial" w:cs="Arial"/>
          <w:spacing w:val="-14"/>
          <w:sz w:val="24"/>
          <w:szCs w:val="24"/>
        </w:rPr>
        <w:t xml:space="preserve"> </w:t>
      </w:r>
      <w:r w:rsidRPr="00180D2C">
        <w:rPr>
          <w:rFonts w:ascii="Arial" w:hAnsi="Arial" w:cs="Arial"/>
          <w:sz w:val="24"/>
          <w:szCs w:val="24"/>
        </w:rPr>
        <w:t>CREMIL</w:t>
      </w:r>
      <w:r w:rsidRPr="00180D2C">
        <w:rPr>
          <w:rFonts w:ascii="Arial" w:hAnsi="Arial" w:cs="Arial"/>
          <w:spacing w:val="-15"/>
          <w:sz w:val="24"/>
          <w:szCs w:val="24"/>
        </w:rPr>
        <w:t xml:space="preserve"> </w:t>
      </w:r>
      <w:r w:rsidRPr="00180D2C">
        <w:rPr>
          <w:rFonts w:ascii="Arial" w:hAnsi="Arial" w:cs="Arial"/>
          <w:sz w:val="24"/>
          <w:szCs w:val="24"/>
        </w:rPr>
        <w:t>no</w:t>
      </w:r>
      <w:r w:rsidRPr="00180D2C">
        <w:rPr>
          <w:rFonts w:ascii="Arial" w:hAnsi="Arial" w:cs="Arial"/>
          <w:spacing w:val="-13"/>
          <w:sz w:val="24"/>
          <w:szCs w:val="24"/>
        </w:rPr>
        <w:t xml:space="preserve"> </w:t>
      </w:r>
      <w:r w:rsidRPr="00180D2C">
        <w:rPr>
          <w:rFonts w:ascii="Arial" w:hAnsi="Arial" w:cs="Arial"/>
          <w:sz w:val="24"/>
          <w:szCs w:val="24"/>
        </w:rPr>
        <w:t>ha</w:t>
      </w:r>
      <w:r w:rsidRPr="00180D2C">
        <w:rPr>
          <w:rFonts w:ascii="Arial" w:hAnsi="Arial" w:cs="Arial"/>
          <w:spacing w:val="-16"/>
          <w:sz w:val="24"/>
          <w:szCs w:val="24"/>
        </w:rPr>
        <w:t xml:space="preserve"> </w:t>
      </w:r>
      <w:r w:rsidRPr="00180D2C">
        <w:rPr>
          <w:rFonts w:ascii="Arial" w:hAnsi="Arial" w:cs="Arial"/>
          <w:sz w:val="24"/>
          <w:szCs w:val="24"/>
        </w:rPr>
        <w:t>aplicado</w:t>
      </w:r>
      <w:r w:rsidRPr="00180D2C">
        <w:rPr>
          <w:rFonts w:ascii="Arial" w:hAnsi="Arial" w:cs="Arial"/>
          <w:spacing w:val="-14"/>
          <w:sz w:val="24"/>
          <w:szCs w:val="24"/>
        </w:rPr>
        <w:t xml:space="preserve"> </w:t>
      </w:r>
      <w:r w:rsidRPr="00180D2C">
        <w:rPr>
          <w:rFonts w:ascii="Arial" w:hAnsi="Arial" w:cs="Arial"/>
          <w:sz w:val="24"/>
          <w:szCs w:val="24"/>
        </w:rPr>
        <w:t>las</w:t>
      </w:r>
      <w:r w:rsidRPr="00180D2C">
        <w:rPr>
          <w:rFonts w:ascii="Arial" w:hAnsi="Arial" w:cs="Arial"/>
          <w:spacing w:val="-13"/>
          <w:sz w:val="24"/>
          <w:szCs w:val="24"/>
        </w:rPr>
        <w:t xml:space="preserve"> </w:t>
      </w:r>
      <w:r w:rsidRPr="00180D2C">
        <w:rPr>
          <w:rFonts w:ascii="Arial" w:hAnsi="Arial" w:cs="Arial"/>
          <w:sz w:val="24"/>
          <w:szCs w:val="24"/>
        </w:rPr>
        <w:t>disposiciones</w:t>
      </w:r>
      <w:r w:rsidRPr="00180D2C">
        <w:rPr>
          <w:rFonts w:ascii="Arial" w:hAnsi="Arial" w:cs="Arial"/>
          <w:spacing w:val="-13"/>
          <w:sz w:val="24"/>
          <w:szCs w:val="24"/>
        </w:rPr>
        <w:t xml:space="preserve"> </w:t>
      </w:r>
      <w:r w:rsidRPr="00180D2C">
        <w:rPr>
          <w:rFonts w:ascii="Arial" w:hAnsi="Arial" w:cs="Arial"/>
          <w:sz w:val="24"/>
          <w:szCs w:val="24"/>
        </w:rPr>
        <w:t>que</w:t>
      </w:r>
      <w:r w:rsidRPr="00180D2C">
        <w:rPr>
          <w:rFonts w:ascii="Arial" w:hAnsi="Arial" w:cs="Arial"/>
          <w:spacing w:val="-14"/>
          <w:sz w:val="24"/>
          <w:szCs w:val="24"/>
        </w:rPr>
        <w:t xml:space="preserve"> </w:t>
      </w:r>
      <w:r w:rsidRPr="00180D2C">
        <w:rPr>
          <w:rFonts w:ascii="Arial" w:hAnsi="Arial" w:cs="Arial"/>
          <w:sz w:val="24"/>
          <w:szCs w:val="24"/>
        </w:rPr>
        <w:t>rigen para las entidades administradoras del régimen de prima media con prestación definida,</w:t>
      </w:r>
      <w:r w:rsidRPr="00180D2C">
        <w:rPr>
          <w:rFonts w:ascii="Arial" w:hAnsi="Arial" w:cs="Arial"/>
          <w:spacing w:val="-8"/>
          <w:sz w:val="24"/>
          <w:szCs w:val="24"/>
        </w:rPr>
        <w:t xml:space="preserve"> </w:t>
      </w:r>
      <w:r w:rsidRPr="00180D2C">
        <w:rPr>
          <w:rFonts w:ascii="Arial" w:hAnsi="Arial" w:cs="Arial"/>
          <w:sz w:val="24"/>
          <w:szCs w:val="24"/>
        </w:rPr>
        <w:t>según</w:t>
      </w:r>
      <w:r w:rsidRPr="00180D2C">
        <w:rPr>
          <w:rFonts w:ascii="Arial" w:hAnsi="Arial" w:cs="Arial"/>
          <w:spacing w:val="-12"/>
          <w:sz w:val="24"/>
          <w:szCs w:val="24"/>
        </w:rPr>
        <w:t xml:space="preserve"> </w:t>
      </w:r>
      <w:r w:rsidRPr="00180D2C">
        <w:rPr>
          <w:rFonts w:ascii="Arial" w:hAnsi="Arial" w:cs="Arial"/>
          <w:sz w:val="24"/>
          <w:szCs w:val="24"/>
        </w:rPr>
        <w:t>lo</w:t>
      </w:r>
      <w:r w:rsidRPr="00180D2C">
        <w:rPr>
          <w:rFonts w:ascii="Arial" w:hAnsi="Arial" w:cs="Arial"/>
          <w:spacing w:val="-12"/>
          <w:sz w:val="24"/>
          <w:szCs w:val="24"/>
        </w:rPr>
        <w:t xml:space="preserve"> </w:t>
      </w:r>
      <w:r w:rsidRPr="00180D2C">
        <w:rPr>
          <w:rFonts w:ascii="Arial" w:hAnsi="Arial" w:cs="Arial"/>
          <w:sz w:val="24"/>
          <w:szCs w:val="24"/>
        </w:rPr>
        <w:t>requerido</w:t>
      </w:r>
      <w:r w:rsidRPr="00180D2C">
        <w:rPr>
          <w:rFonts w:ascii="Arial" w:hAnsi="Arial" w:cs="Arial"/>
          <w:spacing w:val="-10"/>
          <w:sz w:val="24"/>
          <w:szCs w:val="24"/>
        </w:rPr>
        <w:t xml:space="preserve"> </w:t>
      </w:r>
      <w:r w:rsidRPr="00180D2C">
        <w:rPr>
          <w:rFonts w:ascii="Arial" w:hAnsi="Arial" w:cs="Arial"/>
          <w:sz w:val="24"/>
          <w:szCs w:val="24"/>
        </w:rPr>
        <w:t>en</w:t>
      </w:r>
      <w:r w:rsidRPr="00180D2C">
        <w:rPr>
          <w:rFonts w:ascii="Arial" w:hAnsi="Arial" w:cs="Arial"/>
          <w:spacing w:val="-10"/>
          <w:sz w:val="24"/>
          <w:szCs w:val="24"/>
        </w:rPr>
        <w:t xml:space="preserve"> </w:t>
      </w:r>
      <w:r w:rsidRPr="00180D2C">
        <w:rPr>
          <w:rFonts w:ascii="Arial" w:hAnsi="Arial" w:cs="Arial"/>
          <w:sz w:val="24"/>
          <w:szCs w:val="24"/>
        </w:rPr>
        <w:t>el</w:t>
      </w:r>
      <w:r w:rsidRPr="00180D2C">
        <w:rPr>
          <w:rFonts w:ascii="Arial" w:hAnsi="Arial" w:cs="Arial"/>
          <w:spacing w:val="-12"/>
          <w:sz w:val="24"/>
          <w:szCs w:val="24"/>
        </w:rPr>
        <w:t xml:space="preserve"> </w:t>
      </w:r>
      <w:r w:rsidRPr="00180D2C">
        <w:rPr>
          <w:rFonts w:ascii="Arial" w:hAnsi="Arial" w:cs="Arial"/>
          <w:sz w:val="24"/>
          <w:szCs w:val="24"/>
        </w:rPr>
        <w:t>Decreto</w:t>
      </w:r>
      <w:r w:rsidRPr="00180D2C">
        <w:rPr>
          <w:rFonts w:ascii="Arial" w:hAnsi="Arial" w:cs="Arial"/>
          <w:spacing w:val="-10"/>
          <w:sz w:val="24"/>
          <w:szCs w:val="24"/>
        </w:rPr>
        <w:t xml:space="preserve"> </w:t>
      </w:r>
      <w:r w:rsidRPr="00180D2C">
        <w:rPr>
          <w:rFonts w:ascii="Arial" w:hAnsi="Arial" w:cs="Arial"/>
          <w:sz w:val="24"/>
          <w:szCs w:val="24"/>
        </w:rPr>
        <w:t>4433</w:t>
      </w:r>
      <w:r w:rsidRPr="00180D2C">
        <w:rPr>
          <w:rFonts w:ascii="Arial" w:hAnsi="Arial" w:cs="Arial"/>
          <w:spacing w:val="-11"/>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2004.</w:t>
      </w:r>
      <w:r w:rsidRPr="00180D2C">
        <w:rPr>
          <w:rFonts w:ascii="Arial" w:hAnsi="Arial" w:cs="Arial"/>
          <w:spacing w:val="-11"/>
          <w:sz w:val="24"/>
          <w:szCs w:val="24"/>
        </w:rPr>
        <w:t xml:space="preserve"> </w:t>
      </w:r>
      <w:r w:rsidRPr="00180D2C">
        <w:rPr>
          <w:rFonts w:ascii="Arial" w:hAnsi="Arial" w:cs="Arial"/>
          <w:sz w:val="24"/>
          <w:szCs w:val="24"/>
        </w:rPr>
        <w:t>Entre</w:t>
      </w:r>
      <w:r w:rsidRPr="00180D2C">
        <w:rPr>
          <w:rFonts w:ascii="Arial" w:hAnsi="Arial" w:cs="Arial"/>
          <w:spacing w:val="-10"/>
          <w:sz w:val="24"/>
          <w:szCs w:val="24"/>
        </w:rPr>
        <w:t xml:space="preserve"> </w:t>
      </w:r>
      <w:r w:rsidRPr="00180D2C">
        <w:rPr>
          <w:rFonts w:ascii="Arial" w:hAnsi="Arial" w:cs="Arial"/>
          <w:sz w:val="24"/>
          <w:szCs w:val="24"/>
        </w:rPr>
        <w:t>otras,</w:t>
      </w:r>
      <w:r w:rsidRPr="00180D2C">
        <w:rPr>
          <w:rFonts w:ascii="Arial" w:hAnsi="Arial" w:cs="Arial"/>
          <w:spacing w:val="-11"/>
          <w:sz w:val="24"/>
          <w:szCs w:val="24"/>
        </w:rPr>
        <w:t xml:space="preserve"> </w:t>
      </w:r>
      <w:r w:rsidRPr="00180D2C">
        <w:rPr>
          <w:rFonts w:ascii="Arial" w:hAnsi="Arial" w:cs="Arial"/>
          <w:sz w:val="24"/>
          <w:szCs w:val="24"/>
        </w:rPr>
        <w:t>destacamos</w:t>
      </w:r>
      <w:r w:rsidRPr="00180D2C">
        <w:rPr>
          <w:rFonts w:ascii="Arial" w:hAnsi="Arial" w:cs="Arial"/>
          <w:spacing w:val="-11"/>
          <w:sz w:val="24"/>
          <w:szCs w:val="24"/>
        </w:rPr>
        <w:t xml:space="preserve"> </w:t>
      </w:r>
      <w:r w:rsidRPr="00180D2C">
        <w:rPr>
          <w:rFonts w:ascii="Arial" w:hAnsi="Arial" w:cs="Arial"/>
          <w:sz w:val="24"/>
          <w:szCs w:val="24"/>
        </w:rPr>
        <w:t>las relacionadas con llevar un sistema de contabilidad, cuentas, inversiones, y pasivos para el plan de beneficios que administra separados del resto de sus negocios.</w:t>
      </w:r>
    </w:p>
    <w:p w14:paraId="3B481267" w14:textId="77777777" w:rsidR="00E46C0A" w:rsidRPr="00180D2C" w:rsidRDefault="00E46C0A" w:rsidP="00E95331">
      <w:pPr>
        <w:pStyle w:val="Textoindependiente"/>
        <w:spacing w:before="9"/>
        <w:ind w:right="-234"/>
        <w:rPr>
          <w:rFonts w:ascii="Arial" w:hAnsi="Arial" w:cs="Arial"/>
          <w:sz w:val="24"/>
          <w:szCs w:val="24"/>
        </w:rPr>
      </w:pPr>
    </w:p>
    <w:p w14:paraId="56F6BCC7"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No nos fue posible determinar el impacto de esta situación en los resultados del ejercicio</w:t>
      </w:r>
      <w:r w:rsidRPr="00180D2C">
        <w:rPr>
          <w:rFonts w:ascii="Arial" w:hAnsi="Arial" w:cs="Arial"/>
          <w:spacing w:val="-4"/>
          <w:sz w:val="24"/>
          <w:szCs w:val="24"/>
        </w:rPr>
        <w:t xml:space="preserve"> </w:t>
      </w:r>
      <w:r w:rsidRPr="00180D2C">
        <w:rPr>
          <w:rFonts w:ascii="Arial" w:hAnsi="Arial" w:cs="Arial"/>
          <w:sz w:val="24"/>
          <w:szCs w:val="24"/>
        </w:rPr>
        <w:t>y</w:t>
      </w:r>
      <w:r w:rsidRPr="00180D2C">
        <w:rPr>
          <w:rFonts w:ascii="Arial" w:hAnsi="Arial" w:cs="Arial"/>
          <w:spacing w:val="-6"/>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los</w:t>
      </w:r>
      <w:r w:rsidRPr="00180D2C">
        <w:rPr>
          <w:rFonts w:ascii="Arial" w:hAnsi="Arial" w:cs="Arial"/>
          <w:spacing w:val="-6"/>
          <w:sz w:val="24"/>
          <w:szCs w:val="24"/>
        </w:rPr>
        <w:t xml:space="preserve"> </w:t>
      </w:r>
      <w:r w:rsidRPr="00180D2C">
        <w:rPr>
          <w:rFonts w:ascii="Arial" w:hAnsi="Arial" w:cs="Arial"/>
          <w:sz w:val="24"/>
          <w:szCs w:val="24"/>
        </w:rPr>
        <w:t>resultados</w:t>
      </w:r>
      <w:r w:rsidRPr="00180D2C">
        <w:rPr>
          <w:rFonts w:ascii="Arial" w:hAnsi="Arial" w:cs="Arial"/>
          <w:spacing w:val="-4"/>
          <w:sz w:val="24"/>
          <w:szCs w:val="24"/>
        </w:rPr>
        <w:t xml:space="preserve"> </w:t>
      </w:r>
      <w:r w:rsidRPr="00180D2C">
        <w:rPr>
          <w:rFonts w:ascii="Arial" w:hAnsi="Arial" w:cs="Arial"/>
          <w:sz w:val="24"/>
          <w:szCs w:val="24"/>
        </w:rPr>
        <w:t>acumulados</w:t>
      </w:r>
      <w:r w:rsidRPr="00180D2C">
        <w:rPr>
          <w:rFonts w:ascii="Arial" w:hAnsi="Arial" w:cs="Arial"/>
          <w:spacing w:val="-6"/>
          <w:sz w:val="24"/>
          <w:szCs w:val="24"/>
        </w:rPr>
        <w:t xml:space="preserve"> </w:t>
      </w:r>
      <w:r w:rsidRPr="00180D2C">
        <w:rPr>
          <w:rFonts w:ascii="Arial" w:hAnsi="Arial" w:cs="Arial"/>
          <w:sz w:val="24"/>
          <w:szCs w:val="24"/>
        </w:rPr>
        <w:t>de</w:t>
      </w:r>
      <w:r w:rsidRPr="00180D2C">
        <w:rPr>
          <w:rFonts w:ascii="Arial" w:hAnsi="Arial" w:cs="Arial"/>
          <w:spacing w:val="-7"/>
          <w:sz w:val="24"/>
          <w:szCs w:val="24"/>
        </w:rPr>
        <w:t xml:space="preserve"> </w:t>
      </w:r>
      <w:r w:rsidRPr="00180D2C">
        <w:rPr>
          <w:rFonts w:ascii="Arial" w:hAnsi="Arial" w:cs="Arial"/>
          <w:sz w:val="24"/>
          <w:szCs w:val="24"/>
        </w:rPr>
        <w:t>CREMIL,</w:t>
      </w:r>
      <w:r w:rsidRPr="00180D2C">
        <w:rPr>
          <w:rFonts w:ascii="Arial" w:hAnsi="Arial" w:cs="Arial"/>
          <w:spacing w:val="-5"/>
          <w:sz w:val="24"/>
          <w:szCs w:val="24"/>
        </w:rPr>
        <w:t xml:space="preserve"> </w:t>
      </w:r>
      <w:r w:rsidRPr="00180D2C">
        <w:rPr>
          <w:rFonts w:ascii="Arial" w:hAnsi="Arial" w:cs="Arial"/>
          <w:sz w:val="24"/>
          <w:szCs w:val="24"/>
        </w:rPr>
        <w:t>ni</w:t>
      </w:r>
      <w:r w:rsidRPr="00180D2C">
        <w:rPr>
          <w:rFonts w:ascii="Arial" w:hAnsi="Arial" w:cs="Arial"/>
          <w:spacing w:val="-5"/>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la</w:t>
      </w:r>
      <w:r w:rsidRPr="00180D2C">
        <w:rPr>
          <w:rFonts w:ascii="Arial" w:hAnsi="Arial" w:cs="Arial"/>
          <w:spacing w:val="-6"/>
          <w:sz w:val="24"/>
          <w:szCs w:val="24"/>
        </w:rPr>
        <w:t xml:space="preserve"> </w:t>
      </w:r>
      <w:r w:rsidRPr="00180D2C">
        <w:rPr>
          <w:rFonts w:ascii="Arial" w:hAnsi="Arial" w:cs="Arial"/>
          <w:sz w:val="24"/>
          <w:szCs w:val="24"/>
        </w:rPr>
        <w:t>ganancia</w:t>
      </w:r>
      <w:r w:rsidRPr="00180D2C">
        <w:rPr>
          <w:rFonts w:ascii="Arial" w:hAnsi="Arial" w:cs="Arial"/>
          <w:spacing w:val="-4"/>
          <w:sz w:val="24"/>
          <w:szCs w:val="24"/>
        </w:rPr>
        <w:t xml:space="preserve"> </w:t>
      </w:r>
      <w:r w:rsidRPr="00180D2C">
        <w:rPr>
          <w:rFonts w:ascii="Arial" w:hAnsi="Arial" w:cs="Arial"/>
          <w:sz w:val="24"/>
          <w:szCs w:val="24"/>
        </w:rPr>
        <w:t>o</w:t>
      </w:r>
      <w:r w:rsidRPr="00180D2C">
        <w:rPr>
          <w:rFonts w:ascii="Arial" w:hAnsi="Arial" w:cs="Arial"/>
          <w:spacing w:val="-9"/>
          <w:sz w:val="24"/>
          <w:szCs w:val="24"/>
        </w:rPr>
        <w:t xml:space="preserve"> </w:t>
      </w:r>
      <w:r w:rsidRPr="00180D2C">
        <w:rPr>
          <w:rFonts w:ascii="Arial" w:hAnsi="Arial" w:cs="Arial"/>
          <w:sz w:val="24"/>
          <w:szCs w:val="24"/>
        </w:rPr>
        <w:t>pérdida</w:t>
      </w:r>
      <w:r w:rsidRPr="00180D2C">
        <w:rPr>
          <w:rFonts w:ascii="Arial" w:hAnsi="Arial" w:cs="Arial"/>
          <w:spacing w:val="-4"/>
          <w:sz w:val="24"/>
          <w:szCs w:val="24"/>
        </w:rPr>
        <w:t xml:space="preserve"> </w:t>
      </w:r>
      <w:r w:rsidRPr="00180D2C">
        <w:rPr>
          <w:rFonts w:ascii="Arial" w:hAnsi="Arial" w:cs="Arial"/>
          <w:sz w:val="24"/>
          <w:szCs w:val="24"/>
        </w:rPr>
        <w:t>del plan que financia el pago de los beneficios por retiro de las fuerzas militares, contabilizada como parte del patrimonio de la entidad.</w:t>
      </w:r>
    </w:p>
    <w:p w14:paraId="52B50372" w14:textId="77777777" w:rsidR="00E46C0A" w:rsidRPr="00180D2C" w:rsidRDefault="00E46C0A" w:rsidP="00E95331">
      <w:pPr>
        <w:pStyle w:val="Textoindependiente"/>
        <w:spacing w:before="7"/>
        <w:ind w:right="-234"/>
        <w:rPr>
          <w:rFonts w:ascii="Arial" w:hAnsi="Arial" w:cs="Arial"/>
          <w:sz w:val="24"/>
          <w:szCs w:val="24"/>
        </w:rPr>
      </w:pPr>
    </w:p>
    <w:p w14:paraId="05520E80" w14:textId="77777777" w:rsidR="00E46C0A" w:rsidRPr="00180D2C" w:rsidRDefault="00E46C0A" w:rsidP="00E95331">
      <w:pPr>
        <w:pStyle w:val="Prrafodelista"/>
        <w:numPr>
          <w:ilvl w:val="1"/>
          <w:numId w:val="100"/>
        </w:numPr>
        <w:tabs>
          <w:tab w:val="left" w:pos="922"/>
          <w:tab w:val="left" w:pos="924"/>
        </w:tabs>
        <w:ind w:left="924" w:right="-234" w:hanging="360"/>
        <w:jc w:val="both"/>
        <w:rPr>
          <w:rFonts w:ascii="Arial" w:hAnsi="Arial" w:cs="Arial"/>
          <w:sz w:val="24"/>
          <w:szCs w:val="24"/>
        </w:rPr>
      </w:pPr>
      <w:r w:rsidRPr="00180D2C">
        <w:rPr>
          <w:rFonts w:ascii="Arial" w:hAnsi="Arial" w:cs="Arial"/>
          <w:sz w:val="24"/>
          <w:szCs w:val="24"/>
        </w:rPr>
        <w:t>De acuerdo con</w:t>
      </w:r>
      <w:r w:rsidRPr="00180D2C">
        <w:rPr>
          <w:rFonts w:ascii="Arial" w:hAnsi="Arial" w:cs="Arial"/>
          <w:spacing w:val="-2"/>
          <w:sz w:val="24"/>
          <w:szCs w:val="24"/>
        </w:rPr>
        <w:t xml:space="preserve"> </w:t>
      </w:r>
      <w:r w:rsidRPr="00180D2C">
        <w:rPr>
          <w:rFonts w:ascii="Arial" w:hAnsi="Arial" w:cs="Arial"/>
          <w:sz w:val="24"/>
          <w:szCs w:val="24"/>
        </w:rPr>
        <w:t>la Resolución 319 de 2019 el cálculo actuarial</w:t>
      </w:r>
      <w:r w:rsidRPr="00180D2C">
        <w:rPr>
          <w:rFonts w:ascii="Arial" w:hAnsi="Arial" w:cs="Arial"/>
          <w:spacing w:val="-1"/>
          <w:sz w:val="24"/>
          <w:szCs w:val="24"/>
        </w:rPr>
        <w:t xml:space="preserve"> </w:t>
      </w:r>
      <w:r w:rsidRPr="00180D2C">
        <w:rPr>
          <w:rFonts w:ascii="Arial" w:hAnsi="Arial" w:cs="Arial"/>
          <w:sz w:val="24"/>
          <w:szCs w:val="24"/>
        </w:rPr>
        <w:t>de pensiones futuras a favor del personal activo, una vez estos consoliden su derecho pensional, puede variar por el reconocimiento del costo del servicio presente, el costo del servicio pasado</w:t>
      </w:r>
      <w:r w:rsidRPr="00180D2C">
        <w:rPr>
          <w:rFonts w:ascii="Arial" w:hAnsi="Arial" w:cs="Arial"/>
          <w:spacing w:val="-3"/>
          <w:sz w:val="24"/>
          <w:szCs w:val="24"/>
        </w:rPr>
        <w:t xml:space="preserve"> </w:t>
      </w:r>
      <w:r w:rsidRPr="00180D2C">
        <w:rPr>
          <w:rFonts w:ascii="Arial" w:hAnsi="Arial" w:cs="Arial"/>
          <w:sz w:val="24"/>
          <w:szCs w:val="24"/>
        </w:rPr>
        <w:t>o</w:t>
      </w:r>
      <w:r w:rsidRPr="00180D2C">
        <w:rPr>
          <w:rFonts w:ascii="Arial" w:hAnsi="Arial" w:cs="Arial"/>
          <w:spacing w:val="-2"/>
          <w:sz w:val="24"/>
          <w:szCs w:val="24"/>
        </w:rPr>
        <w:t xml:space="preserve"> </w:t>
      </w:r>
      <w:r w:rsidRPr="00180D2C">
        <w:rPr>
          <w:rFonts w:ascii="Arial" w:hAnsi="Arial" w:cs="Arial"/>
          <w:sz w:val="24"/>
          <w:szCs w:val="24"/>
        </w:rPr>
        <w:t>las</w:t>
      </w:r>
      <w:r w:rsidRPr="00180D2C">
        <w:rPr>
          <w:rFonts w:ascii="Arial" w:hAnsi="Arial" w:cs="Arial"/>
          <w:spacing w:val="-3"/>
          <w:sz w:val="24"/>
          <w:szCs w:val="24"/>
        </w:rPr>
        <w:t xml:space="preserve"> </w:t>
      </w:r>
      <w:r w:rsidRPr="00180D2C">
        <w:rPr>
          <w:rFonts w:ascii="Arial" w:hAnsi="Arial" w:cs="Arial"/>
          <w:sz w:val="24"/>
          <w:szCs w:val="24"/>
        </w:rPr>
        <w:t>ganancias</w:t>
      </w:r>
      <w:r w:rsidRPr="00180D2C">
        <w:rPr>
          <w:rFonts w:ascii="Arial" w:hAnsi="Arial" w:cs="Arial"/>
          <w:spacing w:val="-3"/>
          <w:sz w:val="24"/>
          <w:szCs w:val="24"/>
        </w:rPr>
        <w:t xml:space="preserve"> </w:t>
      </w:r>
      <w:r w:rsidRPr="00180D2C">
        <w:rPr>
          <w:rFonts w:ascii="Arial" w:hAnsi="Arial" w:cs="Arial"/>
          <w:sz w:val="24"/>
          <w:szCs w:val="24"/>
        </w:rPr>
        <w:t>o</w:t>
      </w:r>
      <w:r w:rsidRPr="00180D2C">
        <w:rPr>
          <w:rFonts w:ascii="Arial" w:hAnsi="Arial" w:cs="Arial"/>
          <w:spacing w:val="-2"/>
          <w:sz w:val="24"/>
          <w:szCs w:val="24"/>
        </w:rPr>
        <w:t xml:space="preserve"> </w:t>
      </w:r>
      <w:r w:rsidRPr="00180D2C">
        <w:rPr>
          <w:rFonts w:ascii="Arial" w:hAnsi="Arial" w:cs="Arial"/>
          <w:sz w:val="24"/>
          <w:szCs w:val="24"/>
        </w:rPr>
        <w:t>pérdidas</w:t>
      </w:r>
      <w:r w:rsidRPr="00180D2C">
        <w:rPr>
          <w:rFonts w:ascii="Arial" w:hAnsi="Arial" w:cs="Arial"/>
          <w:spacing w:val="-1"/>
          <w:sz w:val="24"/>
          <w:szCs w:val="24"/>
        </w:rPr>
        <w:t xml:space="preserve"> </w:t>
      </w:r>
      <w:r w:rsidRPr="00180D2C">
        <w:rPr>
          <w:rFonts w:ascii="Arial" w:hAnsi="Arial" w:cs="Arial"/>
          <w:sz w:val="24"/>
          <w:szCs w:val="24"/>
        </w:rPr>
        <w:t>actuariales.</w:t>
      </w:r>
      <w:r w:rsidRPr="00180D2C">
        <w:rPr>
          <w:rFonts w:ascii="Arial" w:hAnsi="Arial" w:cs="Arial"/>
          <w:spacing w:val="-1"/>
          <w:sz w:val="24"/>
          <w:szCs w:val="24"/>
        </w:rPr>
        <w:t xml:space="preserve"> </w:t>
      </w:r>
      <w:r w:rsidRPr="00180D2C">
        <w:rPr>
          <w:rFonts w:ascii="Arial" w:hAnsi="Arial" w:cs="Arial"/>
          <w:sz w:val="24"/>
          <w:szCs w:val="24"/>
        </w:rPr>
        <w:t>Cuando</w:t>
      </w:r>
      <w:r w:rsidRPr="00180D2C">
        <w:rPr>
          <w:rFonts w:ascii="Arial" w:hAnsi="Arial" w:cs="Arial"/>
          <w:spacing w:val="-3"/>
          <w:sz w:val="24"/>
          <w:szCs w:val="24"/>
        </w:rPr>
        <w:t xml:space="preserve"> </w:t>
      </w:r>
      <w:r w:rsidRPr="00180D2C">
        <w:rPr>
          <w:rFonts w:ascii="Arial" w:hAnsi="Arial" w:cs="Arial"/>
          <w:sz w:val="24"/>
          <w:szCs w:val="24"/>
        </w:rPr>
        <w:t>la</w:t>
      </w:r>
      <w:r w:rsidRPr="00180D2C">
        <w:rPr>
          <w:rFonts w:ascii="Arial" w:hAnsi="Arial" w:cs="Arial"/>
          <w:spacing w:val="-3"/>
          <w:sz w:val="24"/>
          <w:szCs w:val="24"/>
        </w:rPr>
        <w:t xml:space="preserve"> </w:t>
      </w:r>
      <w:r w:rsidRPr="00180D2C">
        <w:rPr>
          <w:rFonts w:ascii="Arial" w:hAnsi="Arial" w:cs="Arial"/>
          <w:sz w:val="24"/>
          <w:szCs w:val="24"/>
        </w:rPr>
        <w:t>entidad</w:t>
      </w:r>
      <w:r w:rsidRPr="00180D2C">
        <w:rPr>
          <w:rFonts w:ascii="Arial" w:hAnsi="Arial" w:cs="Arial"/>
          <w:spacing w:val="-3"/>
          <w:sz w:val="24"/>
          <w:szCs w:val="24"/>
        </w:rPr>
        <w:t xml:space="preserve"> </w:t>
      </w:r>
      <w:r w:rsidRPr="00180D2C">
        <w:rPr>
          <w:rFonts w:ascii="Arial" w:hAnsi="Arial" w:cs="Arial"/>
          <w:sz w:val="24"/>
          <w:szCs w:val="24"/>
        </w:rPr>
        <w:t>pueda</w:t>
      </w:r>
      <w:r w:rsidRPr="00180D2C">
        <w:rPr>
          <w:rFonts w:ascii="Arial" w:hAnsi="Arial" w:cs="Arial"/>
          <w:spacing w:val="-3"/>
          <w:sz w:val="24"/>
          <w:szCs w:val="24"/>
        </w:rPr>
        <w:t xml:space="preserve"> </w:t>
      </w:r>
      <w:r w:rsidRPr="00180D2C">
        <w:rPr>
          <w:rFonts w:ascii="Arial" w:hAnsi="Arial" w:cs="Arial"/>
          <w:sz w:val="24"/>
          <w:szCs w:val="24"/>
        </w:rPr>
        <w:t>determinar el costo del servicio presente, su reconocimiento contable afectará el pasivo por beneficios</w:t>
      </w:r>
      <w:r w:rsidRPr="00180D2C">
        <w:rPr>
          <w:rFonts w:ascii="Arial" w:hAnsi="Arial" w:cs="Arial"/>
          <w:spacing w:val="-5"/>
          <w:sz w:val="24"/>
          <w:szCs w:val="24"/>
        </w:rPr>
        <w:t xml:space="preserve"> </w:t>
      </w:r>
      <w:r w:rsidRPr="00180D2C">
        <w:rPr>
          <w:rFonts w:ascii="Arial" w:hAnsi="Arial" w:cs="Arial"/>
          <w:sz w:val="24"/>
          <w:szCs w:val="24"/>
        </w:rPr>
        <w:t>post</w:t>
      </w:r>
      <w:r w:rsidRPr="00180D2C">
        <w:rPr>
          <w:rFonts w:ascii="Arial" w:hAnsi="Arial" w:cs="Arial"/>
          <w:spacing w:val="-6"/>
          <w:sz w:val="24"/>
          <w:szCs w:val="24"/>
        </w:rPr>
        <w:t xml:space="preserve"> </w:t>
      </w:r>
      <w:r w:rsidRPr="00180D2C">
        <w:rPr>
          <w:rFonts w:ascii="Arial" w:hAnsi="Arial" w:cs="Arial"/>
          <w:sz w:val="24"/>
          <w:szCs w:val="24"/>
        </w:rPr>
        <w:t>empleo,</w:t>
      </w:r>
      <w:r w:rsidRPr="00180D2C">
        <w:rPr>
          <w:rFonts w:ascii="Arial" w:hAnsi="Arial" w:cs="Arial"/>
          <w:spacing w:val="-8"/>
          <w:sz w:val="24"/>
          <w:szCs w:val="24"/>
        </w:rPr>
        <w:t xml:space="preserve"> </w:t>
      </w:r>
      <w:r w:rsidRPr="00180D2C">
        <w:rPr>
          <w:rFonts w:ascii="Arial" w:hAnsi="Arial" w:cs="Arial"/>
          <w:sz w:val="24"/>
          <w:szCs w:val="24"/>
        </w:rPr>
        <w:t>el</w:t>
      </w:r>
      <w:r w:rsidRPr="00180D2C">
        <w:rPr>
          <w:rFonts w:ascii="Arial" w:hAnsi="Arial" w:cs="Arial"/>
          <w:spacing w:val="-6"/>
          <w:sz w:val="24"/>
          <w:szCs w:val="24"/>
        </w:rPr>
        <w:t xml:space="preserve"> </w:t>
      </w:r>
      <w:r w:rsidRPr="00180D2C">
        <w:rPr>
          <w:rFonts w:ascii="Arial" w:hAnsi="Arial" w:cs="Arial"/>
          <w:sz w:val="24"/>
          <w:szCs w:val="24"/>
        </w:rPr>
        <w:t>activo</w:t>
      </w:r>
      <w:r w:rsidRPr="00180D2C">
        <w:rPr>
          <w:rFonts w:ascii="Arial" w:hAnsi="Arial" w:cs="Arial"/>
          <w:spacing w:val="-8"/>
          <w:sz w:val="24"/>
          <w:szCs w:val="24"/>
        </w:rPr>
        <w:t xml:space="preserve"> </w:t>
      </w:r>
      <w:r w:rsidRPr="00180D2C">
        <w:rPr>
          <w:rFonts w:ascii="Arial" w:hAnsi="Arial" w:cs="Arial"/>
          <w:sz w:val="24"/>
          <w:szCs w:val="24"/>
        </w:rPr>
        <w:t>del</w:t>
      </w:r>
      <w:r w:rsidRPr="00180D2C">
        <w:rPr>
          <w:rFonts w:ascii="Arial" w:hAnsi="Arial" w:cs="Arial"/>
          <w:spacing w:val="-8"/>
          <w:sz w:val="24"/>
          <w:szCs w:val="24"/>
        </w:rPr>
        <w:t xml:space="preserve"> </w:t>
      </w:r>
      <w:r w:rsidRPr="00180D2C">
        <w:rPr>
          <w:rFonts w:ascii="Arial" w:hAnsi="Arial" w:cs="Arial"/>
          <w:sz w:val="24"/>
          <w:szCs w:val="24"/>
        </w:rPr>
        <w:t>plan</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8"/>
          <w:sz w:val="24"/>
          <w:szCs w:val="24"/>
        </w:rPr>
        <w:t xml:space="preserve"> </w:t>
      </w:r>
      <w:r w:rsidRPr="00180D2C">
        <w:rPr>
          <w:rFonts w:ascii="Arial" w:hAnsi="Arial" w:cs="Arial"/>
          <w:sz w:val="24"/>
          <w:szCs w:val="24"/>
        </w:rPr>
        <w:t>activos</w:t>
      </w:r>
      <w:r w:rsidRPr="00180D2C">
        <w:rPr>
          <w:rFonts w:ascii="Arial" w:hAnsi="Arial" w:cs="Arial"/>
          <w:spacing w:val="-5"/>
          <w:sz w:val="24"/>
          <w:szCs w:val="24"/>
        </w:rPr>
        <w:t xml:space="preserve"> </w:t>
      </w:r>
      <w:r w:rsidRPr="00180D2C">
        <w:rPr>
          <w:rFonts w:ascii="Arial" w:hAnsi="Arial" w:cs="Arial"/>
          <w:sz w:val="24"/>
          <w:szCs w:val="24"/>
        </w:rPr>
        <w:t>para</w:t>
      </w:r>
      <w:r w:rsidRPr="00180D2C">
        <w:rPr>
          <w:rFonts w:ascii="Arial" w:hAnsi="Arial" w:cs="Arial"/>
          <w:spacing w:val="-7"/>
          <w:sz w:val="24"/>
          <w:szCs w:val="24"/>
        </w:rPr>
        <w:t xml:space="preserve"> </w:t>
      </w:r>
      <w:r w:rsidRPr="00180D2C">
        <w:rPr>
          <w:rFonts w:ascii="Arial" w:hAnsi="Arial" w:cs="Arial"/>
          <w:sz w:val="24"/>
          <w:szCs w:val="24"/>
        </w:rPr>
        <w:t>beneficios</w:t>
      </w:r>
      <w:r w:rsidRPr="00180D2C">
        <w:rPr>
          <w:rFonts w:ascii="Arial" w:hAnsi="Arial" w:cs="Arial"/>
          <w:spacing w:val="-7"/>
          <w:sz w:val="24"/>
          <w:szCs w:val="24"/>
        </w:rPr>
        <w:t xml:space="preserve"> </w:t>
      </w:r>
      <w:r w:rsidRPr="00180D2C">
        <w:rPr>
          <w:rFonts w:ascii="Arial" w:hAnsi="Arial" w:cs="Arial"/>
          <w:sz w:val="24"/>
          <w:szCs w:val="24"/>
        </w:rPr>
        <w:t>post</w:t>
      </w:r>
      <w:r w:rsidRPr="00180D2C">
        <w:rPr>
          <w:rFonts w:ascii="Arial" w:hAnsi="Arial" w:cs="Arial"/>
          <w:spacing w:val="-6"/>
          <w:sz w:val="24"/>
          <w:szCs w:val="24"/>
        </w:rPr>
        <w:t xml:space="preserve"> </w:t>
      </w:r>
      <w:r w:rsidRPr="00180D2C">
        <w:rPr>
          <w:rFonts w:ascii="Arial" w:hAnsi="Arial" w:cs="Arial"/>
          <w:sz w:val="24"/>
          <w:szCs w:val="24"/>
        </w:rPr>
        <w:t>empleo</w:t>
      </w:r>
      <w:r w:rsidRPr="00180D2C">
        <w:rPr>
          <w:rFonts w:ascii="Arial" w:hAnsi="Arial" w:cs="Arial"/>
          <w:spacing w:val="-5"/>
          <w:sz w:val="24"/>
          <w:szCs w:val="24"/>
        </w:rPr>
        <w:t xml:space="preserve"> </w:t>
      </w:r>
      <w:r w:rsidRPr="00180D2C">
        <w:rPr>
          <w:rFonts w:ascii="Arial" w:hAnsi="Arial" w:cs="Arial"/>
          <w:sz w:val="24"/>
          <w:szCs w:val="24"/>
        </w:rPr>
        <w:t>y</w:t>
      </w:r>
      <w:r w:rsidRPr="00180D2C">
        <w:rPr>
          <w:rFonts w:ascii="Arial" w:hAnsi="Arial" w:cs="Arial"/>
          <w:spacing w:val="-7"/>
          <w:sz w:val="24"/>
          <w:szCs w:val="24"/>
        </w:rPr>
        <w:t xml:space="preserve"> </w:t>
      </w:r>
      <w:r w:rsidRPr="00180D2C">
        <w:rPr>
          <w:rFonts w:ascii="Arial" w:hAnsi="Arial" w:cs="Arial"/>
          <w:sz w:val="24"/>
          <w:szCs w:val="24"/>
        </w:rPr>
        <w:t xml:space="preserve">el </w:t>
      </w:r>
      <w:r w:rsidRPr="00180D2C">
        <w:rPr>
          <w:rFonts w:ascii="Arial" w:hAnsi="Arial" w:cs="Arial"/>
          <w:spacing w:val="-2"/>
          <w:sz w:val="24"/>
          <w:szCs w:val="24"/>
        </w:rPr>
        <w:t>gasto.</w:t>
      </w:r>
    </w:p>
    <w:p w14:paraId="3802EF0F" w14:textId="77777777" w:rsidR="00E46C0A" w:rsidRPr="00180D2C" w:rsidRDefault="00E46C0A" w:rsidP="00E95331">
      <w:pPr>
        <w:pStyle w:val="Textoindependiente"/>
        <w:spacing w:before="12"/>
        <w:ind w:right="-234"/>
        <w:rPr>
          <w:rFonts w:ascii="Arial" w:hAnsi="Arial" w:cs="Arial"/>
          <w:sz w:val="24"/>
          <w:szCs w:val="24"/>
        </w:rPr>
      </w:pPr>
    </w:p>
    <w:p w14:paraId="6399F2E1" w14:textId="77777777" w:rsidR="00E46C0A" w:rsidRPr="00180D2C" w:rsidRDefault="00E46C0A" w:rsidP="00E95331">
      <w:pPr>
        <w:pStyle w:val="Textoindependiente"/>
        <w:ind w:left="912" w:right="-234"/>
        <w:jc w:val="both"/>
        <w:rPr>
          <w:rFonts w:ascii="Arial" w:hAnsi="Arial" w:cs="Arial"/>
          <w:spacing w:val="-2"/>
          <w:sz w:val="24"/>
          <w:szCs w:val="24"/>
        </w:rPr>
      </w:pPr>
      <w:r w:rsidRPr="00180D2C">
        <w:rPr>
          <w:rFonts w:ascii="Arial" w:hAnsi="Arial" w:cs="Arial"/>
          <w:sz w:val="24"/>
          <w:szCs w:val="24"/>
        </w:rPr>
        <w:t>CREMIL en los</w:t>
      </w:r>
      <w:r w:rsidRPr="00180D2C">
        <w:rPr>
          <w:rFonts w:ascii="Arial" w:hAnsi="Arial" w:cs="Arial"/>
          <w:spacing w:val="-1"/>
          <w:sz w:val="24"/>
          <w:szCs w:val="24"/>
        </w:rPr>
        <w:t xml:space="preserve"> </w:t>
      </w:r>
      <w:r w:rsidRPr="00180D2C">
        <w:rPr>
          <w:rFonts w:ascii="Arial" w:hAnsi="Arial" w:cs="Arial"/>
          <w:sz w:val="24"/>
          <w:szCs w:val="24"/>
        </w:rPr>
        <w:t>años 2019 y 2021 a</w:t>
      </w:r>
      <w:r w:rsidRPr="00180D2C">
        <w:rPr>
          <w:rFonts w:ascii="Arial" w:hAnsi="Arial" w:cs="Arial"/>
          <w:spacing w:val="-1"/>
          <w:sz w:val="24"/>
          <w:szCs w:val="24"/>
        </w:rPr>
        <w:t xml:space="preserve"> </w:t>
      </w:r>
      <w:r w:rsidRPr="00180D2C">
        <w:rPr>
          <w:rFonts w:ascii="Arial" w:hAnsi="Arial" w:cs="Arial"/>
          <w:sz w:val="24"/>
          <w:szCs w:val="24"/>
        </w:rPr>
        <w:t>2023</w:t>
      </w:r>
      <w:r w:rsidRPr="00180D2C">
        <w:rPr>
          <w:rFonts w:ascii="Arial" w:hAnsi="Arial" w:cs="Arial"/>
          <w:spacing w:val="-2"/>
          <w:sz w:val="24"/>
          <w:szCs w:val="24"/>
        </w:rPr>
        <w:t xml:space="preserve"> </w:t>
      </w:r>
      <w:r w:rsidRPr="00180D2C">
        <w:rPr>
          <w:rFonts w:ascii="Arial" w:hAnsi="Arial" w:cs="Arial"/>
          <w:sz w:val="24"/>
          <w:szCs w:val="24"/>
        </w:rPr>
        <w:t>reconoció la variación del cálculo actuarial de</w:t>
      </w:r>
      <w:r w:rsidRPr="00180D2C">
        <w:rPr>
          <w:rFonts w:ascii="Arial" w:hAnsi="Arial" w:cs="Arial"/>
          <w:spacing w:val="-4"/>
          <w:sz w:val="24"/>
          <w:szCs w:val="24"/>
        </w:rPr>
        <w:t xml:space="preserve"> </w:t>
      </w:r>
      <w:r w:rsidRPr="00180D2C">
        <w:rPr>
          <w:rFonts w:ascii="Arial" w:hAnsi="Arial" w:cs="Arial"/>
          <w:sz w:val="24"/>
          <w:szCs w:val="24"/>
        </w:rPr>
        <w:t>las</w:t>
      </w:r>
      <w:r w:rsidRPr="00180D2C">
        <w:rPr>
          <w:rFonts w:ascii="Arial" w:hAnsi="Arial" w:cs="Arial"/>
          <w:spacing w:val="-4"/>
          <w:sz w:val="24"/>
          <w:szCs w:val="24"/>
        </w:rPr>
        <w:t xml:space="preserve"> </w:t>
      </w:r>
      <w:r w:rsidRPr="00180D2C">
        <w:rPr>
          <w:rFonts w:ascii="Arial" w:hAnsi="Arial" w:cs="Arial"/>
          <w:sz w:val="24"/>
          <w:szCs w:val="24"/>
        </w:rPr>
        <w:t>pensiones</w:t>
      </w:r>
      <w:r w:rsidRPr="00180D2C">
        <w:rPr>
          <w:rFonts w:ascii="Arial" w:hAnsi="Arial" w:cs="Arial"/>
          <w:spacing w:val="-6"/>
          <w:sz w:val="24"/>
          <w:szCs w:val="24"/>
        </w:rPr>
        <w:t xml:space="preserve"> </w:t>
      </w:r>
      <w:r w:rsidRPr="00180D2C">
        <w:rPr>
          <w:rFonts w:ascii="Arial" w:hAnsi="Arial" w:cs="Arial"/>
          <w:sz w:val="24"/>
          <w:szCs w:val="24"/>
        </w:rPr>
        <w:t>futuras</w:t>
      </w:r>
      <w:r w:rsidRPr="00180D2C">
        <w:rPr>
          <w:rFonts w:ascii="Arial" w:hAnsi="Arial" w:cs="Arial"/>
          <w:spacing w:val="-8"/>
          <w:sz w:val="24"/>
          <w:szCs w:val="24"/>
        </w:rPr>
        <w:t xml:space="preserve"> </w:t>
      </w:r>
      <w:r w:rsidRPr="00180D2C">
        <w:rPr>
          <w:rFonts w:ascii="Arial" w:hAnsi="Arial" w:cs="Arial"/>
          <w:sz w:val="24"/>
          <w:szCs w:val="24"/>
        </w:rPr>
        <w:t>de</w:t>
      </w:r>
      <w:r w:rsidRPr="00180D2C">
        <w:rPr>
          <w:rFonts w:ascii="Arial" w:hAnsi="Arial" w:cs="Arial"/>
          <w:spacing w:val="-4"/>
          <w:sz w:val="24"/>
          <w:szCs w:val="24"/>
        </w:rPr>
        <w:t xml:space="preserve"> </w:t>
      </w:r>
      <w:r w:rsidRPr="00180D2C">
        <w:rPr>
          <w:rFonts w:ascii="Arial" w:hAnsi="Arial" w:cs="Arial"/>
          <w:sz w:val="24"/>
          <w:szCs w:val="24"/>
        </w:rPr>
        <w:t>las</w:t>
      </w:r>
      <w:r w:rsidRPr="00180D2C">
        <w:rPr>
          <w:rFonts w:ascii="Arial" w:hAnsi="Arial" w:cs="Arial"/>
          <w:spacing w:val="-6"/>
          <w:sz w:val="24"/>
          <w:szCs w:val="24"/>
        </w:rPr>
        <w:t xml:space="preserve"> </w:t>
      </w:r>
      <w:r w:rsidRPr="00180D2C">
        <w:rPr>
          <w:rFonts w:ascii="Arial" w:hAnsi="Arial" w:cs="Arial"/>
          <w:sz w:val="24"/>
          <w:szCs w:val="24"/>
        </w:rPr>
        <w:t>fuerzas</w:t>
      </w:r>
      <w:r w:rsidRPr="00180D2C">
        <w:rPr>
          <w:rFonts w:ascii="Arial" w:hAnsi="Arial" w:cs="Arial"/>
          <w:spacing w:val="-9"/>
          <w:sz w:val="24"/>
          <w:szCs w:val="24"/>
        </w:rPr>
        <w:t xml:space="preserve"> </w:t>
      </w:r>
      <w:r w:rsidRPr="00180D2C">
        <w:rPr>
          <w:rFonts w:ascii="Arial" w:hAnsi="Arial" w:cs="Arial"/>
          <w:sz w:val="24"/>
          <w:szCs w:val="24"/>
        </w:rPr>
        <w:t>militares</w:t>
      </w:r>
      <w:r w:rsidRPr="00180D2C">
        <w:rPr>
          <w:rFonts w:ascii="Arial" w:hAnsi="Arial" w:cs="Arial"/>
          <w:spacing w:val="-2"/>
          <w:sz w:val="24"/>
          <w:szCs w:val="24"/>
        </w:rPr>
        <w:t xml:space="preserve"> </w:t>
      </w:r>
      <w:r w:rsidRPr="00180D2C">
        <w:rPr>
          <w:rFonts w:ascii="Arial" w:hAnsi="Arial" w:cs="Arial"/>
          <w:sz w:val="24"/>
          <w:szCs w:val="24"/>
        </w:rPr>
        <w:t>por</w:t>
      </w:r>
      <w:r w:rsidRPr="00180D2C">
        <w:rPr>
          <w:rFonts w:ascii="Arial" w:hAnsi="Arial" w:cs="Arial"/>
          <w:spacing w:val="-3"/>
          <w:sz w:val="24"/>
          <w:szCs w:val="24"/>
        </w:rPr>
        <w:t xml:space="preserve"> </w:t>
      </w:r>
      <w:r w:rsidRPr="00180D2C">
        <w:rPr>
          <w:rFonts w:ascii="Arial" w:hAnsi="Arial" w:cs="Arial"/>
          <w:sz w:val="24"/>
          <w:szCs w:val="24"/>
        </w:rPr>
        <w:t>costo</w:t>
      </w:r>
      <w:r w:rsidRPr="00180D2C">
        <w:rPr>
          <w:rFonts w:ascii="Arial" w:hAnsi="Arial" w:cs="Arial"/>
          <w:spacing w:val="-6"/>
          <w:sz w:val="24"/>
          <w:szCs w:val="24"/>
        </w:rPr>
        <w:t xml:space="preserve"> </w:t>
      </w:r>
      <w:r w:rsidRPr="00180D2C">
        <w:rPr>
          <w:rFonts w:ascii="Arial" w:hAnsi="Arial" w:cs="Arial"/>
          <w:sz w:val="24"/>
          <w:szCs w:val="24"/>
        </w:rPr>
        <w:t>del</w:t>
      </w:r>
      <w:r w:rsidRPr="00180D2C">
        <w:rPr>
          <w:rFonts w:ascii="Arial" w:hAnsi="Arial" w:cs="Arial"/>
          <w:spacing w:val="-5"/>
          <w:sz w:val="24"/>
          <w:szCs w:val="24"/>
        </w:rPr>
        <w:t xml:space="preserve"> </w:t>
      </w:r>
      <w:r w:rsidRPr="00180D2C">
        <w:rPr>
          <w:rFonts w:ascii="Arial" w:hAnsi="Arial" w:cs="Arial"/>
          <w:sz w:val="24"/>
          <w:szCs w:val="24"/>
        </w:rPr>
        <w:t>servicio</w:t>
      </w:r>
      <w:r w:rsidRPr="00180D2C">
        <w:rPr>
          <w:rFonts w:ascii="Arial" w:hAnsi="Arial" w:cs="Arial"/>
          <w:spacing w:val="-4"/>
          <w:sz w:val="24"/>
          <w:szCs w:val="24"/>
        </w:rPr>
        <w:t xml:space="preserve"> </w:t>
      </w:r>
      <w:r w:rsidRPr="00180D2C">
        <w:rPr>
          <w:rFonts w:ascii="Arial" w:hAnsi="Arial" w:cs="Arial"/>
          <w:sz w:val="24"/>
          <w:szCs w:val="24"/>
        </w:rPr>
        <w:t>presente</w:t>
      </w:r>
      <w:r w:rsidRPr="00180D2C">
        <w:rPr>
          <w:rFonts w:ascii="Arial" w:hAnsi="Arial" w:cs="Arial"/>
          <w:spacing w:val="-3"/>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el patrimonio</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8"/>
          <w:sz w:val="24"/>
          <w:szCs w:val="24"/>
        </w:rPr>
        <w:t xml:space="preserve"> </w:t>
      </w:r>
      <w:r w:rsidRPr="00180D2C">
        <w:rPr>
          <w:rFonts w:ascii="Arial" w:hAnsi="Arial" w:cs="Arial"/>
          <w:sz w:val="24"/>
          <w:szCs w:val="24"/>
        </w:rPr>
        <w:t>la</w:t>
      </w:r>
      <w:r w:rsidRPr="00180D2C">
        <w:rPr>
          <w:rFonts w:ascii="Arial" w:hAnsi="Arial" w:cs="Arial"/>
          <w:spacing w:val="-5"/>
          <w:sz w:val="24"/>
          <w:szCs w:val="24"/>
        </w:rPr>
        <w:t xml:space="preserve"> </w:t>
      </w:r>
      <w:r w:rsidRPr="00180D2C">
        <w:rPr>
          <w:rFonts w:ascii="Arial" w:hAnsi="Arial" w:cs="Arial"/>
          <w:sz w:val="24"/>
          <w:szCs w:val="24"/>
        </w:rPr>
        <w:t>entidad,</w:t>
      </w:r>
      <w:r w:rsidRPr="00180D2C">
        <w:rPr>
          <w:rFonts w:ascii="Arial" w:hAnsi="Arial" w:cs="Arial"/>
          <w:spacing w:val="-6"/>
          <w:sz w:val="24"/>
          <w:szCs w:val="24"/>
        </w:rPr>
        <w:t xml:space="preserve"> </w:t>
      </w:r>
      <w:r w:rsidRPr="00180D2C">
        <w:rPr>
          <w:rFonts w:ascii="Arial" w:hAnsi="Arial" w:cs="Arial"/>
          <w:sz w:val="24"/>
          <w:szCs w:val="24"/>
        </w:rPr>
        <w:t>como</w:t>
      </w:r>
      <w:r w:rsidRPr="00180D2C">
        <w:rPr>
          <w:rFonts w:ascii="Arial" w:hAnsi="Arial" w:cs="Arial"/>
          <w:spacing w:val="-5"/>
          <w:sz w:val="24"/>
          <w:szCs w:val="24"/>
        </w:rPr>
        <w:t xml:space="preserve"> </w:t>
      </w:r>
      <w:r w:rsidRPr="00180D2C">
        <w:rPr>
          <w:rFonts w:ascii="Arial" w:hAnsi="Arial" w:cs="Arial"/>
          <w:sz w:val="24"/>
          <w:szCs w:val="24"/>
        </w:rPr>
        <w:t>ganancia</w:t>
      </w:r>
      <w:r w:rsidRPr="00180D2C">
        <w:rPr>
          <w:rFonts w:ascii="Arial" w:hAnsi="Arial" w:cs="Arial"/>
          <w:spacing w:val="-5"/>
          <w:sz w:val="24"/>
          <w:szCs w:val="24"/>
        </w:rPr>
        <w:t xml:space="preserve"> </w:t>
      </w:r>
      <w:r w:rsidRPr="00180D2C">
        <w:rPr>
          <w:rFonts w:ascii="Arial" w:hAnsi="Arial" w:cs="Arial"/>
          <w:sz w:val="24"/>
          <w:szCs w:val="24"/>
        </w:rPr>
        <w:t>o</w:t>
      </w:r>
      <w:r w:rsidRPr="00180D2C">
        <w:rPr>
          <w:rFonts w:ascii="Arial" w:hAnsi="Arial" w:cs="Arial"/>
          <w:spacing w:val="-7"/>
          <w:sz w:val="24"/>
          <w:szCs w:val="24"/>
        </w:rPr>
        <w:t xml:space="preserve"> </w:t>
      </w:r>
      <w:r w:rsidRPr="00180D2C">
        <w:rPr>
          <w:rFonts w:ascii="Arial" w:hAnsi="Arial" w:cs="Arial"/>
          <w:sz w:val="24"/>
          <w:szCs w:val="24"/>
        </w:rPr>
        <w:t>pérdida</w:t>
      </w:r>
      <w:r w:rsidRPr="00180D2C">
        <w:rPr>
          <w:rFonts w:ascii="Arial" w:hAnsi="Arial" w:cs="Arial"/>
          <w:spacing w:val="-4"/>
          <w:sz w:val="24"/>
          <w:szCs w:val="24"/>
        </w:rPr>
        <w:t xml:space="preserve"> </w:t>
      </w:r>
      <w:r w:rsidRPr="00180D2C">
        <w:rPr>
          <w:rFonts w:ascii="Arial" w:hAnsi="Arial" w:cs="Arial"/>
          <w:sz w:val="24"/>
          <w:szCs w:val="24"/>
        </w:rPr>
        <w:t>actuarial</w:t>
      </w:r>
      <w:r w:rsidRPr="00180D2C">
        <w:rPr>
          <w:rFonts w:ascii="Arial" w:hAnsi="Arial" w:cs="Arial"/>
          <w:spacing w:val="-6"/>
          <w:sz w:val="24"/>
          <w:szCs w:val="24"/>
        </w:rPr>
        <w:t xml:space="preserve"> </w:t>
      </w:r>
      <w:r w:rsidRPr="00180D2C">
        <w:rPr>
          <w:rFonts w:ascii="Arial" w:hAnsi="Arial" w:cs="Arial"/>
          <w:sz w:val="24"/>
          <w:szCs w:val="24"/>
        </w:rPr>
        <w:t>por</w:t>
      </w:r>
      <w:r w:rsidRPr="00180D2C">
        <w:rPr>
          <w:rFonts w:ascii="Arial" w:hAnsi="Arial" w:cs="Arial"/>
          <w:spacing w:val="-4"/>
          <w:sz w:val="24"/>
          <w:szCs w:val="24"/>
        </w:rPr>
        <w:t xml:space="preserve"> </w:t>
      </w:r>
      <w:r w:rsidRPr="00180D2C">
        <w:rPr>
          <w:rFonts w:ascii="Arial" w:hAnsi="Arial" w:cs="Arial"/>
          <w:sz w:val="24"/>
          <w:szCs w:val="24"/>
        </w:rPr>
        <w:t>planes</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 xml:space="preserve">beneficios post empleo a cargo del Estado, siendo lo apropiado afectar los resultados del </w:t>
      </w:r>
      <w:r w:rsidRPr="00180D2C">
        <w:rPr>
          <w:rFonts w:ascii="Arial" w:hAnsi="Arial" w:cs="Arial"/>
          <w:spacing w:val="-2"/>
          <w:sz w:val="24"/>
          <w:szCs w:val="24"/>
        </w:rPr>
        <w:t>ejercicio.</w:t>
      </w:r>
    </w:p>
    <w:p w14:paraId="528C1B5A"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lastRenderedPageBreak/>
        <w:t>El procedimiento contable para reconocer el costo del servicio del cálculo actuarial de las pensiones futuras de las fuerzas militares se ajustó en el año 2024 a lo requerido en la Resolución 319 de 2019, y se reexpresaron los Estados Financieros del año 2023 para corregir la práctica empleada inicialmente en su preparación. El ajuste de reexpresión no incluyó los impactos económicos del error contable en los años 2019, 2021 y 2022.</w:t>
      </w:r>
    </w:p>
    <w:p w14:paraId="64023AE3" w14:textId="77777777" w:rsidR="00E46C0A" w:rsidRPr="00180D2C" w:rsidRDefault="00E46C0A" w:rsidP="00E95331">
      <w:pPr>
        <w:pStyle w:val="Textoindependiente"/>
        <w:spacing w:before="10"/>
        <w:ind w:right="-234"/>
        <w:rPr>
          <w:rFonts w:ascii="Arial" w:hAnsi="Arial" w:cs="Arial"/>
          <w:sz w:val="24"/>
          <w:szCs w:val="24"/>
        </w:rPr>
      </w:pPr>
    </w:p>
    <w:p w14:paraId="449A0595"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No nos fue posible determinar el impacto de esta situación en los resultados del ejercicio</w:t>
      </w:r>
      <w:r w:rsidRPr="00180D2C">
        <w:rPr>
          <w:rFonts w:ascii="Arial" w:hAnsi="Arial" w:cs="Arial"/>
          <w:spacing w:val="-4"/>
          <w:sz w:val="24"/>
          <w:szCs w:val="24"/>
        </w:rPr>
        <w:t xml:space="preserve"> </w:t>
      </w:r>
      <w:r w:rsidRPr="00180D2C">
        <w:rPr>
          <w:rFonts w:ascii="Arial" w:hAnsi="Arial" w:cs="Arial"/>
          <w:sz w:val="24"/>
          <w:szCs w:val="24"/>
        </w:rPr>
        <w:t>y</w:t>
      </w:r>
      <w:r w:rsidRPr="00180D2C">
        <w:rPr>
          <w:rFonts w:ascii="Arial" w:hAnsi="Arial" w:cs="Arial"/>
          <w:spacing w:val="-6"/>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los</w:t>
      </w:r>
      <w:r w:rsidRPr="00180D2C">
        <w:rPr>
          <w:rFonts w:ascii="Arial" w:hAnsi="Arial" w:cs="Arial"/>
          <w:spacing w:val="-6"/>
          <w:sz w:val="24"/>
          <w:szCs w:val="24"/>
        </w:rPr>
        <w:t xml:space="preserve"> </w:t>
      </w:r>
      <w:r w:rsidRPr="00180D2C">
        <w:rPr>
          <w:rFonts w:ascii="Arial" w:hAnsi="Arial" w:cs="Arial"/>
          <w:sz w:val="24"/>
          <w:szCs w:val="24"/>
        </w:rPr>
        <w:t>resultados</w:t>
      </w:r>
      <w:r w:rsidRPr="00180D2C">
        <w:rPr>
          <w:rFonts w:ascii="Arial" w:hAnsi="Arial" w:cs="Arial"/>
          <w:spacing w:val="-4"/>
          <w:sz w:val="24"/>
          <w:szCs w:val="24"/>
        </w:rPr>
        <w:t xml:space="preserve"> </w:t>
      </w:r>
      <w:r w:rsidRPr="00180D2C">
        <w:rPr>
          <w:rFonts w:ascii="Arial" w:hAnsi="Arial" w:cs="Arial"/>
          <w:sz w:val="24"/>
          <w:szCs w:val="24"/>
        </w:rPr>
        <w:t>acumulados</w:t>
      </w:r>
      <w:r w:rsidRPr="00180D2C">
        <w:rPr>
          <w:rFonts w:ascii="Arial" w:hAnsi="Arial" w:cs="Arial"/>
          <w:spacing w:val="-6"/>
          <w:sz w:val="24"/>
          <w:szCs w:val="24"/>
        </w:rPr>
        <w:t xml:space="preserve"> </w:t>
      </w:r>
      <w:r w:rsidRPr="00180D2C">
        <w:rPr>
          <w:rFonts w:ascii="Arial" w:hAnsi="Arial" w:cs="Arial"/>
          <w:sz w:val="24"/>
          <w:szCs w:val="24"/>
        </w:rPr>
        <w:t>de</w:t>
      </w:r>
      <w:r w:rsidRPr="00180D2C">
        <w:rPr>
          <w:rFonts w:ascii="Arial" w:hAnsi="Arial" w:cs="Arial"/>
          <w:spacing w:val="-7"/>
          <w:sz w:val="24"/>
          <w:szCs w:val="24"/>
        </w:rPr>
        <w:t xml:space="preserve"> </w:t>
      </w:r>
      <w:r w:rsidRPr="00180D2C">
        <w:rPr>
          <w:rFonts w:ascii="Arial" w:hAnsi="Arial" w:cs="Arial"/>
          <w:sz w:val="24"/>
          <w:szCs w:val="24"/>
        </w:rPr>
        <w:t>CREMIL,</w:t>
      </w:r>
      <w:r w:rsidRPr="00180D2C">
        <w:rPr>
          <w:rFonts w:ascii="Arial" w:hAnsi="Arial" w:cs="Arial"/>
          <w:spacing w:val="-5"/>
          <w:sz w:val="24"/>
          <w:szCs w:val="24"/>
        </w:rPr>
        <w:t xml:space="preserve"> </w:t>
      </w:r>
      <w:r w:rsidRPr="00180D2C">
        <w:rPr>
          <w:rFonts w:ascii="Arial" w:hAnsi="Arial" w:cs="Arial"/>
          <w:sz w:val="24"/>
          <w:szCs w:val="24"/>
        </w:rPr>
        <w:t>ni</w:t>
      </w:r>
      <w:r w:rsidRPr="00180D2C">
        <w:rPr>
          <w:rFonts w:ascii="Arial" w:hAnsi="Arial" w:cs="Arial"/>
          <w:spacing w:val="-5"/>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la</w:t>
      </w:r>
      <w:r w:rsidRPr="00180D2C">
        <w:rPr>
          <w:rFonts w:ascii="Arial" w:hAnsi="Arial" w:cs="Arial"/>
          <w:spacing w:val="-6"/>
          <w:sz w:val="24"/>
          <w:szCs w:val="24"/>
        </w:rPr>
        <w:t xml:space="preserve"> </w:t>
      </w:r>
      <w:r w:rsidRPr="00180D2C">
        <w:rPr>
          <w:rFonts w:ascii="Arial" w:hAnsi="Arial" w:cs="Arial"/>
          <w:sz w:val="24"/>
          <w:szCs w:val="24"/>
        </w:rPr>
        <w:t>ganancia</w:t>
      </w:r>
      <w:r w:rsidRPr="00180D2C">
        <w:rPr>
          <w:rFonts w:ascii="Arial" w:hAnsi="Arial" w:cs="Arial"/>
          <w:spacing w:val="-4"/>
          <w:sz w:val="24"/>
          <w:szCs w:val="24"/>
        </w:rPr>
        <w:t xml:space="preserve"> </w:t>
      </w:r>
      <w:r w:rsidRPr="00180D2C">
        <w:rPr>
          <w:rFonts w:ascii="Arial" w:hAnsi="Arial" w:cs="Arial"/>
          <w:sz w:val="24"/>
          <w:szCs w:val="24"/>
        </w:rPr>
        <w:t>o</w:t>
      </w:r>
      <w:r w:rsidRPr="00180D2C">
        <w:rPr>
          <w:rFonts w:ascii="Arial" w:hAnsi="Arial" w:cs="Arial"/>
          <w:spacing w:val="-9"/>
          <w:sz w:val="24"/>
          <w:szCs w:val="24"/>
        </w:rPr>
        <w:t xml:space="preserve"> </w:t>
      </w:r>
      <w:r w:rsidRPr="00180D2C">
        <w:rPr>
          <w:rFonts w:ascii="Arial" w:hAnsi="Arial" w:cs="Arial"/>
          <w:sz w:val="24"/>
          <w:szCs w:val="24"/>
        </w:rPr>
        <w:t>pérdida</w:t>
      </w:r>
      <w:r w:rsidRPr="00180D2C">
        <w:rPr>
          <w:rFonts w:ascii="Arial" w:hAnsi="Arial" w:cs="Arial"/>
          <w:spacing w:val="-4"/>
          <w:sz w:val="24"/>
          <w:szCs w:val="24"/>
        </w:rPr>
        <w:t xml:space="preserve"> </w:t>
      </w:r>
      <w:r w:rsidRPr="00180D2C">
        <w:rPr>
          <w:rFonts w:ascii="Arial" w:hAnsi="Arial" w:cs="Arial"/>
          <w:sz w:val="24"/>
          <w:szCs w:val="24"/>
        </w:rPr>
        <w:t>del plan que financia el pago de los beneficios por retiro de las fuerzas militares, contabilizada como parte del patrimonio de la entidad.</w:t>
      </w:r>
    </w:p>
    <w:p w14:paraId="63D50D47" w14:textId="77777777" w:rsidR="00E46C0A" w:rsidRPr="00180D2C" w:rsidRDefault="00E46C0A" w:rsidP="00E95331">
      <w:pPr>
        <w:pStyle w:val="Textoindependiente"/>
        <w:spacing w:before="8"/>
        <w:ind w:right="-234"/>
        <w:rPr>
          <w:rFonts w:ascii="Arial" w:hAnsi="Arial" w:cs="Arial"/>
          <w:sz w:val="24"/>
          <w:szCs w:val="24"/>
        </w:rPr>
      </w:pPr>
    </w:p>
    <w:p w14:paraId="7F6B4910" w14:textId="77777777" w:rsidR="00E46C0A" w:rsidRPr="00180D2C" w:rsidRDefault="00E46C0A" w:rsidP="00E95331">
      <w:pPr>
        <w:pStyle w:val="Prrafodelista"/>
        <w:numPr>
          <w:ilvl w:val="1"/>
          <w:numId w:val="100"/>
        </w:numPr>
        <w:tabs>
          <w:tab w:val="left" w:pos="922"/>
        </w:tabs>
        <w:ind w:left="922" w:right="-234" w:hanging="358"/>
        <w:jc w:val="both"/>
        <w:rPr>
          <w:rFonts w:ascii="Arial" w:hAnsi="Arial" w:cs="Arial"/>
          <w:sz w:val="24"/>
          <w:szCs w:val="24"/>
        </w:rPr>
      </w:pPr>
      <w:r w:rsidRPr="00180D2C">
        <w:rPr>
          <w:rFonts w:ascii="Arial" w:hAnsi="Arial" w:cs="Arial"/>
          <w:sz w:val="24"/>
          <w:szCs w:val="24"/>
        </w:rPr>
        <w:t>El</w:t>
      </w:r>
      <w:r w:rsidRPr="00180D2C">
        <w:rPr>
          <w:rFonts w:ascii="Arial" w:hAnsi="Arial" w:cs="Arial"/>
          <w:spacing w:val="59"/>
          <w:sz w:val="24"/>
          <w:szCs w:val="24"/>
        </w:rPr>
        <w:t xml:space="preserve"> </w:t>
      </w:r>
      <w:r w:rsidRPr="00180D2C">
        <w:rPr>
          <w:rFonts w:ascii="Arial" w:hAnsi="Arial" w:cs="Arial"/>
          <w:sz w:val="24"/>
          <w:szCs w:val="24"/>
        </w:rPr>
        <w:t>pasivo</w:t>
      </w:r>
      <w:r w:rsidRPr="00180D2C">
        <w:rPr>
          <w:rFonts w:ascii="Arial" w:hAnsi="Arial" w:cs="Arial"/>
          <w:spacing w:val="62"/>
          <w:sz w:val="24"/>
          <w:szCs w:val="24"/>
        </w:rPr>
        <w:t xml:space="preserve"> </w:t>
      </w:r>
      <w:r w:rsidRPr="00180D2C">
        <w:rPr>
          <w:rFonts w:ascii="Arial" w:hAnsi="Arial" w:cs="Arial"/>
          <w:sz w:val="24"/>
          <w:szCs w:val="24"/>
        </w:rPr>
        <w:t>posempleo</w:t>
      </w:r>
      <w:r w:rsidRPr="00180D2C">
        <w:rPr>
          <w:rFonts w:ascii="Arial" w:hAnsi="Arial" w:cs="Arial"/>
          <w:spacing w:val="62"/>
          <w:sz w:val="24"/>
          <w:szCs w:val="24"/>
        </w:rPr>
        <w:t xml:space="preserve"> </w:t>
      </w:r>
      <w:r w:rsidRPr="00180D2C">
        <w:rPr>
          <w:rFonts w:ascii="Arial" w:hAnsi="Arial" w:cs="Arial"/>
          <w:sz w:val="24"/>
          <w:szCs w:val="24"/>
        </w:rPr>
        <w:t>de</w:t>
      </w:r>
      <w:r w:rsidRPr="00180D2C">
        <w:rPr>
          <w:rFonts w:ascii="Arial" w:hAnsi="Arial" w:cs="Arial"/>
          <w:spacing w:val="62"/>
          <w:sz w:val="24"/>
          <w:szCs w:val="24"/>
        </w:rPr>
        <w:t xml:space="preserve"> </w:t>
      </w:r>
      <w:r w:rsidRPr="00180D2C">
        <w:rPr>
          <w:rFonts w:ascii="Arial" w:hAnsi="Arial" w:cs="Arial"/>
          <w:sz w:val="24"/>
          <w:szCs w:val="24"/>
        </w:rPr>
        <w:t>las</w:t>
      </w:r>
      <w:r w:rsidRPr="00180D2C">
        <w:rPr>
          <w:rFonts w:ascii="Arial" w:hAnsi="Arial" w:cs="Arial"/>
          <w:spacing w:val="62"/>
          <w:sz w:val="24"/>
          <w:szCs w:val="24"/>
        </w:rPr>
        <w:t xml:space="preserve"> </w:t>
      </w:r>
      <w:r w:rsidRPr="00180D2C">
        <w:rPr>
          <w:rFonts w:ascii="Arial" w:hAnsi="Arial" w:cs="Arial"/>
          <w:sz w:val="24"/>
          <w:szCs w:val="24"/>
        </w:rPr>
        <w:t>fuerzas</w:t>
      </w:r>
      <w:r w:rsidRPr="00180D2C">
        <w:rPr>
          <w:rFonts w:ascii="Arial" w:hAnsi="Arial" w:cs="Arial"/>
          <w:spacing w:val="60"/>
          <w:sz w:val="24"/>
          <w:szCs w:val="24"/>
        </w:rPr>
        <w:t xml:space="preserve"> </w:t>
      </w:r>
      <w:r w:rsidRPr="00180D2C">
        <w:rPr>
          <w:rFonts w:ascii="Arial" w:hAnsi="Arial" w:cs="Arial"/>
          <w:sz w:val="24"/>
          <w:szCs w:val="24"/>
        </w:rPr>
        <w:t>militares</w:t>
      </w:r>
      <w:r w:rsidRPr="00180D2C">
        <w:rPr>
          <w:rFonts w:ascii="Arial" w:hAnsi="Arial" w:cs="Arial"/>
          <w:spacing w:val="60"/>
          <w:sz w:val="24"/>
          <w:szCs w:val="24"/>
        </w:rPr>
        <w:t xml:space="preserve"> </w:t>
      </w:r>
      <w:r w:rsidRPr="00180D2C">
        <w:rPr>
          <w:rFonts w:ascii="Arial" w:hAnsi="Arial" w:cs="Arial"/>
          <w:sz w:val="24"/>
          <w:szCs w:val="24"/>
        </w:rPr>
        <w:t>presenta</w:t>
      </w:r>
      <w:r w:rsidRPr="00180D2C">
        <w:rPr>
          <w:rFonts w:ascii="Arial" w:hAnsi="Arial" w:cs="Arial"/>
          <w:spacing w:val="62"/>
          <w:sz w:val="24"/>
          <w:szCs w:val="24"/>
        </w:rPr>
        <w:t xml:space="preserve"> </w:t>
      </w:r>
      <w:r w:rsidRPr="00180D2C">
        <w:rPr>
          <w:rFonts w:ascii="Arial" w:hAnsi="Arial" w:cs="Arial"/>
          <w:sz w:val="24"/>
          <w:szCs w:val="24"/>
        </w:rPr>
        <w:t>una</w:t>
      </w:r>
      <w:r w:rsidRPr="00180D2C">
        <w:rPr>
          <w:rFonts w:ascii="Arial" w:hAnsi="Arial" w:cs="Arial"/>
          <w:spacing w:val="66"/>
          <w:sz w:val="24"/>
          <w:szCs w:val="24"/>
        </w:rPr>
        <w:t xml:space="preserve"> </w:t>
      </w:r>
      <w:r w:rsidRPr="00180D2C">
        <w:rPr>
          <w:rFonts w:ascii="Arial" w:hAnsi="Arial" w:cs="Arial"/>
          <w:sz w:val="24"/>
          <w:szCs w:val="24"/>
        </w:rPr>
        <w:t>sobrestimación</w:t>
      </w:r>
      <w:r w:rsidRPr="00180D2C">
        <w:rPr>
          <w:rFonts w:ascii="Arial" w:hAnsi="Arial" w:cs="Arial"/>
          <w:spacing w:val="63"/>
          <w:sz w:val="24"/>
          <w:szCs w:val="24"/>
        </w:rPr>
        <w:t xml:space="preserve"> </w:t>
      </w:r>
      <w:r w:rsidRPr="00180D2C">
        <w:rPr>
          <w:rFonts w:ascii="Arial" w:hAnsi="Arial" w:cs="Arial"/>
          <w:spacing w:val="-5"/>
          <w:sz w:val="24"/>
          <w:szCs w:val="24"/>
        </w:rPr>
        <w:t>de</w:t>
      </w:r>
    </w:p>
    <w:p w14:paraId="51DED6B5" w14:textId="77777777" w:rsidR="00E46C0A" w:rsidRPr="00180D2C" w:rsidRDefault="00E46C0A" w:rsidP="00E95331">
      <w:pPr>
        <w:pStyle w:val="Textoindependiente"/>
        <w:spacing w:before="1"/>
        <w:ind w:left="924" w:right="-234"/>
        <w:jc w:val="both"/>
        <w:rPr>
          <w:rFonts w:ascii="Arial" w:hAnsi="Arial" w:cs="Arial"/>
          <w:sz w:val="24"/>
          <w:szCs w:val="24"/>
        </w:rPr>
      </w:pPr>
      <w:r w:rsidRPr="00180D2C">
        <w:rPr>
          <w:rFonts w:ascii="Arial" w:hAnsi="Arial" w:cs="Arial"/>
          <w:sz w:val="24"/>
          <w:szCs w:val="24"/>
        </w:rPr>
        <w:t>$156.814 millones como consecuencia de un error en la estimación de la reserva actuarial del personal con asignación de retiro futura debido a que se duplicó el personal que se encuentra a tres meses de la reserva de alta.</w:t>
      </w:r>
    </w:p>
    <w:p w14:paraId="6CDFCD2B" w14:textId="77777777" w:rsidR="00E46C0A" w:rsidRPr="00180D2C" w:rsidRDefault="00E46C0A" w:rsidP="00E95331">
      <w:pPr>
        <w:pStyle w:val="Textoindependiente"/>
        <w:spacing w:before="6"/>
        <w:ind w:right="-234"/>
        <w:rPr>
          <w:rFonts w:ascii="Arial" w:hAnsi="Arial" w:cs="Arial"/>
          <w:sz w:val="24"/>
          <w:szCs w:val="24"/>
        </w:rPr>
      </w:pPr>
    </w:p>
    <w:p w14:paraId="60CEEEA5" w14:textId="77777777" w:rsidR="00E46C0A" w:rsidRPr="00180D2C" w:rsidRDefault="00E46C0A" w:rsidP="00E95331">
      <w:pPr>
        <w:pStyle w:val="Textoindependiente"/>
        <w:ind w:left="631" w:right="-234"/>
        <w:jc w:val="both"/>
        <w:rPr>
          <w:rFonts w:ascii="Arial" w:hAnsi="Arial" w:cs="Arial"/>
          <w:sz w:val="24"/>
          <w:szCs w:val="24"/>
        </w:rPr>
      </w:pPr>
      <w:r w:rsidRPr="00180D2C">
        <w:rPr>
          <w:rFonts w:ascii="Arial" w:hAnsi="Arial" w:cs="Arial"/>
          <w:sz w:val="24"/>
          <w:szCs w:val="24"/>
        </w:rPr>
        <w:t>Hemos</w:t>
      </w:r>
      <w:r w:rsidRPr="00180D2C">
        <w:rPr>
          <w:rFonts w:ascii="Arial" w:hAnsi="Arial" w:cs="Arial"/>
          <w:spacing w:val="-9"/>
          <w:sz w:val="24"/>
          <w:szCs w:val="24"/>
        </w:rPr>
        <w:t xml:space="preserve"> </w:t>
      </w:r>
      <w:r w:rsidRPr="00180D2C">
        <w:rPr>
          <w:rFonts w:ascii="Arial" w:hAnsi="Arial" w:cs="Arial"/>
          <w:sz w:val="24"/>
          <w:szCs w:val="24"/>
        </w:rPr>
        <w:t>llevado</w:t>
      </w:r>
      <w:r w:rsidRPr="00180D2C">
        <w:rPr>
          <w:rFonts w:ascii="Arial" w:hAnsi="Arial" w:cs="Arial"/>
          <w:spacing w:val="-10"/>
          <w:sz w:val="24"/>
          <w:szCs w:val="24"/>
        </w:rPr>
        <w:t xml:space="preserve"> </w:t>
      </w:r>
      <w:r w:rsidRPr="00180D2C">
        <w:rPr>
          <w:rFonts w:ascii="Arial" w:hAnsi="Arial" w:cs="Arial"/>
          <w:sz w:val="24"/>
          <w:szCs w:val="24"/>
        </w:rPr>
        <w:t>a</w:t>
      </w:r>
      <w:r w:rsidRPr="00180D2C">
        <w:rPr>
          <w:rFonts w:ascii="Arial" w:hAnsi="Arial" w:cs="Arial"/>
          <w:spacing w:val="-12"/>
          <w:sz w:val="24"/>
          <w:szCs w:val="24"/>
        </w:rPr>
        <w:t xml:space="preserve"> </w:t>
      </w:r>
      <w:r w:rsidRPr="00180D2C">
        <w:rPr>
          <w:rFonts w:ascii="Arial" w:hAnsi="Arial" w:cs="Arial"/>
          <w:sz w:val="24"/>
          <w:szCs w:val="24"/>
        </w:rPr>
        <w:t>cabo</w:t>
      </w:r>
      <w:r w:rsidRPr="00180D2C">
        <w:rPr>
          <w:rFonts w:ascii="Arial" w:hAnsi="Arial" w:cs="Arial"/>
          <w:spacing w:val="-12"/>
          <w:sz w:val="24"/>
          <w:szCs w:val="24"/>
        </w:rPr>
        <w:t xml:space="preserve"> </w:t>
      </w:r>
      <w:r w:rsidRPr="00180D2C">
        <w:rPr>
          <w:rFonts w:ascii="Arial" w:hAnsi="Arial" w:cs="Arial"/>
          <w:sz w:val="24"/>
          <w:szCs w:val="24"/>
        </w:rPr>
        <w:t>nuestra</w:t>
      </w:r>
      <w:r w:rsidRPr="00180D2C">
        <w:rPr>
          <w:rFonts w:ascii="Arial" w:hAnsi="Arial" w:cs="Arial"/>
          <w:spacing w:val="-12"/>
          <w:sz w:val="24"/>
          <w:szCs w:val="24"/>
        </w:rPr>
        <w:t xml:space="preserve"> </w:t>
      </w:r>
      <w:r w:rsidRPr="00180D2C">
        <w:rPr>
          <w:rFonts w:ascii="Arial" w:hAnsi="Arial" w:cs="Arial"/>
          <w:sz w:val="24"/>
          <w:szCs w:val="24"/>
        </w:rPr>
        <w:t>auditoría</w:t>
      </w:r>
      <w:r w:rsidRPr="00180D2C">
        <w:rPr>
          <w:rFonts w:ascii="Arial" w:hAnsi="Arial" w:cs="Arial"/>
          <w:spacing w:val="-12"/>
          <w:sz w:val="24"/>
          <w:szCs w:val="24"/>
        </w:rPr>
        <w:t xml:space="preserve"> </w:t>
      </w:r>
      <w:r w:rsidRPr="00180D2C">
        <w:rPr>
          <w:rFonts w:ascii="Arial" w:hAnsi="Arial" w:cs="Arial"/>
          <w:sz w:val="24"/>
          <w:szCs w:val="24"/>
        </w:rPr>
        <w:t>de</w:t>
      </w:r>
      <w:r w:rsidRPr="00180D2C">
        <w:rPr>
          <w:rFonts w:ascii="Arial" w:hAnsi="Arial" w:cs="Arial"/>
          <w:spacing w:val="-13"/>
          <w:sz w:val="24"/>
          <w:szCs w:val="24"/>
        </w:rPr>
        <w:t xml:space="preserve"> </w:t>
      </w:r>
      <w:r w:rsidRPr="00180D2C">
        <w:rPr>
          <w:rFonts w:ascii="Arial" w:hAnsi="Arial" w:cs="Arial"/>
          <w:sz w:val="24"/>
          <w:szCs w:val="24"/>
        </w:rPr>
        <w:t>conformidad</w:t>
      </w:r>
      <w:r w:rsidRPr="00180D2C">
        <w:rPr>
          <w:rFonts w:ascii="Arial" w:hAnsi="Arial" w:cs="Arial"/>
          <w:spacing w:val="-10"/>
          <w:sz w:val="24"/>
          <w:szCs w:val="24"/>
        </w:rPr>
        <w:t xml:space="preserve"> </w:t>
      </w:r>
      <w:r w:rsidRPr="00180D2C">
        <w:rPr>
          <w:rFonts w:ascii="Arial" w:hAnsi="Arial" w:cs="Arial"/>
          <w:sz w:val="24"/>
          <w:szCs w:val="24"/>
        </w:rPr>
        <w:t>con</w:t>
      </w:r>
      <w:r w:rsidRPr="00180D2C">
        <w:rPr>
          <w:rFonts w:ascii="Arial" w:hAnsi="Arial" w:cs="Arial"/>
          <w:spacing w:val="-13"/>
          <w:sz w:val="24"/>
          <w:szCs w:val="24"/>
        </w:rPr>
        <w:t xml:space="preserve"> </w:t>
      </w:r>
      <w:r w:rsidRPr="00180D2C">
        <w:rPr>
          <w:rFonts w:ascii="Arial" w:hAnsi="Arial" w:cs="Arial"/>
          <w:sz w:val="24"/>
          <w:szCs w:val="24"/>
        </w:rPr>
        <w:t>las</w:t>
      </w:r>
      <w:r w:rsidRPr="00180D2C">
        <w:rPr>
          <w:rFonts w:ascii="Arial" w:hAnsi="Arial" w:cs="Arial"/>
          <w:spacing w:val="-10"/>
          <w:sz w:val="24"/>
          <w:szCs w:val="24"/>
        </w:rPr>
        <w:t xml:space="preserve"> </w:t>
      </w:r>
      <w:r w:rsidRPr="00180D2C">
        <w:rPr>
          <w:rFonts w:ascii="Arial" w:hAnsi="Arial" w:cs="Arial"/>
          <w:sz w:val="24"/>
          <w:szCs w:val="24"/>
        </w:rPr>
        <w:t>Normas</w:t>
      </w:r>
      <w:r w:rsidRPr="00180D2C">
        <w:rPr>
          <w:rFonts w:ascii="Arial" w:hAnsi="Arial" w:cs="Arial"/>
          <w:spacing w:val="-15"/>
          <w:sz w:val="24"/>
          <w:szCs w:val="24"/>
        </w:rPr>
        <w:t xml:space="preserve"> </w:t>
      </w:r>
      <w:r w:rsidRPr="00180D2C">
        <w:rPr>
          <w:rFonts w:ascii="Arial" w:hAnsi="Arial" w:cs="Arial"/>
          <w:sz w:val="24"/>
          <w:szCs w:val="24"/>
        </w:rPr>
        <w:t>Internacionales de Auditoría vigentes en Colombia. Nuestra responsabilidad de acuerdo con dichas normas</w:t>
      </w:r>
      <w:r w:rsidRPr="00180D2C">
        <w:rPr>
          <w:rFonts w:ascii="Arial" w:hAnsi="Arial" w:cs="Arial"/>
          <w:spacing w:val="-16"/>
          <w:sz w:val="24"/>
          <w:szCs w:val="24"/>
        </w:rPr>
        <w:t xml:space="preserve"> </w:t>
      </w:r>
      <w:r w:rsidRPr="00180D2C">
        <w:rPr>
          <w:rFonts w:ascii="Arial" w:hAnsi="Arial" w:cs="Arial"/>
          <w:sz w:val="24"/>
          <w:szCs w:val="24"/>
        </w:rPr>
        <w:t>se</w:t>
      </w:r>
      <w:r w:rsidRPr="00180D2C">
        <w:rPr>
          <w:rFonts w:ascii="Arial" w:hAnsi="Arial" w:cs="Arial"/>
          <w:spacing w:val="-15"/>
          <w:sz w:val="24"/>
          <w:szCs w:val="24"/>
        </w:rPr>
        <w:t xml:space="preserve"> </w:t>
      </w:r>
      <w:r w:rsidRPr="00180D2C">
        <w:rPr>
          <w:rFonts w:ascii="Arial" w:hAnsi="Arial" w:cs="Arial"/>
          <w:sz w:val="24"/>
          <w:szCs w:val="24"/>
        </w:rPr>
        <w:t>describe</w:t>
      </w:r>
      <w:r w:rsidRPr="00180D2C">
        <w:rPr>
          <w:rFonts w:ascii="Arial" w:hAnsi="Arial" w:cs="Arial"/>
          <w:spacing w:val="-15"/>
          <w:sz w:val="24"/>
          <w:szCs w:val="24"/>
        </w:rPr>
        <w:t xml:space="preserve"> </w:t>
      </w:r>
      <w:r w:rsidRPr="00180D2C">
        <w:rPr>
          <w:rFonts w:ascii="Arial" w:hAnsi="Arial" w:cs="Arial"/>
          <w:sz w:val="24"/>
          <w:szCs w:val="24"/>
        </w:rPr>
        <w:t>más</w:t>
      </w:r>
      <w:r w:rsidRPr="00180D2C">
        <w:rPr>
          <w:rFonts w:ascii="Arial" w:hAnsi="Arial" w:cs="Arial"/>
          <w:spacing w:val="-16"/>
          <w:sz w:val="24"/>
          <w:szCs w:val="24"/>
        </w:rPr>
        <w:t xml:space="preserve"> </w:t>
      </w:r>
      <w:r w:rsidRPr="00180D2C">
        <w:rPr>
          <w:rFonts w:ascii="Arial" w:hAnsi="Arial" w:cs="Arial"/>
          <w:sz w:val="24"/>
          <w:szCs w:val="24"/>
        </w:rPr>
        <w:t>adelante</w:t>
      </w:r>
      <w:r w:rsidRPr="00180D2C">
        <w:rPr>
          <w:rFonts w:ascii="Arial" w:hAnsi="Arial" w:cs="Arial"/>
          <w:spacing w:val="-15"/>
          <w:sz w:val="24"/>
          <w:szCs w:val="24"/>
        </w:rPr>
        <w:t xml:space="preserve"> </w:t>
      </w:r>
      <w:r w:rsidRPr="00180D2C">
        <w:rPr>
          <w:rFonts w:ascii="Arial" w:hAnsi="Arial" w:cs="Arial"/>
          <w:sz w:val="24"/>
          <w:szCs w:val="24"/>
        </w:rPr>
        <w:t>en</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sección</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Responsabilidades</w:t>
      </w:r>
      <w:r w:rsidRPr="00180D2C">
        <w:rPr>
          <w:rFonts w:ascii="Arial" w:hAnsi="Arial" w:cs="Arial"/>
          <w:spacing w:val="-15"/>
          <w:sz w:val="24"/>
          <w:szCs w:val="24"/>
        </w:rPr>
        <w:t xml:space="preserve"> </w:t>
      </w:r>
      <w:r w:rsidRPr="00180D2C">
        <w:rPr>
          <w:rFonts w:ascii="Arial" w:hAnsi="Arial" w:cs="Arial"/>
          <w:sz w:val="24"/>
          <w:szCs w:val="24"/>
        </w:rPr>
        <w:t>del</w:t>
      </w:r>
      <w:r w:rsidRPr="00180D2C">
        <w:rPr>
          <w:rFonts w:ascii="Arial" w:hAnsi="Arial" w:cs="Arial"/>
          <w:spacing w:val="-15"/>
          <w:sz w:val="24"/>
          <w:szCs w:val="24"/>
        </w:rPr>
        <w:t xml:space="preserve"> </w:t>
      </w:r>
      <w:r w:rsidRPr="00180D2C">
        <w:rPr>
          <w:rFonts w:ascii="Arial" w:hAnsi="Arial" w:cs="Arial"/>
          <w:sz w:val="24"/>
          <w:szCs w:val="24"/>
        </w:rPr>
        <w:t>Revisor</w:t>
      </w:r>
      <w:r w:rsidRPr="00180D2C">
        <w:rPr>
          <w:rFonts w:ascii="Arial" w:hAnsi="Arial" w:cs="Arial"/>
          <w:spacing w:val="-13"/>
          <w:sz w:val="24"/>
          <w:szCs w:val="24"/>
        </w:rPr>
        <w:t xml:space="preserve"> </w:t>
      </w:r>
      <w:r w:rsidRPr="00180D2C">
        <w:rPr>
          <w:rFonts w:ascii="Arial" w:hAnsi="Arial" w:cs="Arial"/>
          <w:sz w:val="24"/>
          <w:szCs w:val="24"/>
        </w:rPr>
        <w:t>Fiscal en relación con la auditoría de los Estados Financieros.</w:t>
      </w:r>
    </w:p>
    <w:p w14:paraId="7DA60BE0" w14:textId="77777777" w:rsidR="00E46C0A" w:rsidRPr="00180D2C" w:rsidRDefault="00E46C0A" w:rsidP="00E95331">
      <w:pPr>
        <w:pStyle w:val="Textoindependiente"/>
        <w:spacing w:before="7"/>
        <w:ind w:right="-234"/>
        <w:rPr>
          <w:rFonts w:ascii="Arial" w:hAnsi="Arial" w:cs="Arial"/>
          <w:sz w:val="24"/>
          <w:szCs w:val="24"/>
        </w:rPr>
      </w:pPr>
    </w:p>
    <w:p w14:paraId="66228BB4" w14:textId="77777777" w:rsidR="00E46C0A" w:rsidRPr="00180D2C" w:rsidRDefault="00E46C0A" w:rsidP="00E95331">
      <w:pPr>
        <w:pStyle w:val="Textoindependiente"/>
        <w:ind w:left="631" w:right="-234"/>
        <w:jc w:val="both"/>
        <w:rPr>
          <w:rFonts w:ascii="Arial" w:hAnsi="Arial" w:cs="Arial"/>
          <w:sz w:val="24"/>
          <w:szCs w:val="24"/>
        </w:rPr>
      </w:pPr>
      <w:r w:rsidRPr="00180D2C">
        <w:rPr>
          <w:rFonts w:ascii="Arial" w:hAnsi="Arial" w:cs="Arial"/>
          <w:sz w:val="24"/>
          <w:szCs w:val="24"/>
        </w:rPr>
        <w:t>Somos</w:t>
      </w:r>
      <w:r w:rsidRPr="00180D2C">
        <w:rPr>
          <w:rFonts w:ascii="Arial" w:hAnsi="Arial" w:cs="Arial"/>
          <w:spacing w:val="-7"/>
          <w:sz w:val="24"/>
          <w:szCs w:val="24"/>
        </w:rPr>
        <w:t xml:space="preserve"> </w:t>
      </w:r>
      <w:r w:rsidRPr="00180D2C">
        <w:rPr>
          <w:rFonts w:ascii="Arial" w:hAnsi="Arial" w:cs="Arial"/>
          <w:sz w:val="24"/>
          <w:szCs w:val="24"/>
        </w:rPr>
        <w:t>independientes</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7"/>
          <w:sz w:val="24"/>
          <w:szCs w:val="24"/>
        </w:rPr>
        <w:t xml:space="preserve"> </w:t>
      </w:r>
      <w:r w:rsidRPr="00180D2C">
        <w:rPr>
          <w:rFonts w:ascii="Arial" w:hAnsi="Arial" w:cs="Arial"/>
          <w:sz w:val="24"/>
          <w:szCs w:val="24"/>
        </w:rPr>
        <w:t>CREMIL,</w:t>
      </w:r>
      <w:r w:rsidRPr="00180D2C">
        <w:rPr>
          <w:rFonts w:ascii="Arial" w:hAnsi="Arial" w:cs="Arial"/>
          <w:spacing w:val="-8"/>
          <w:sz w:val="24"/>
          <w:szCs w:val="24"/>
        </w:rPr>
        <w:t xml:space="preserve"> </w:t>
      </w:r>
      <w:r w:rsidRPr="00180D2C">
        <w:rPr>
          <w:rFonts w:ascii="Arial" w:hAnsi="Arial" w:cs="Arial"/>
          <w:sz w:val="24"/>
          <w:szCs w:val="24"/>
        </w:rPr>
        <w:t>conforme</w:t>
      </w:r>
      <w:r w:rsidRPr="00180D2C">
        <w:rPr>
          <w:rFonts w:ascii="Arial" w:hAnsi="Arial" w:cs="Arial"/>
          <w:spacing w:val="-7"/>
          <w:sz w:val="24"/>
          <w:szCs w:val="24"/>
        </w:rPr>
        <w:t xml:space="preserve"> </w:t>
      </w:r>
      <w:r w:rsidRPr="00180D2C">
        <w:rPr>
          <w:rFonts w:ascii="Arial" w:hAnsi="Arial" w:cs="Arial"/>
          <w:sz w:val="24"/>
          <w:szCs w:val="24"/>
        </w:rPr>
        <w:t>a</w:t>
      </w:r>
      <w:r w:rsidRPr="00180D2C">
        <w:rPr>
          <w:rFonts w:ascii="Arial" w:hAnsi="Arial" w:cs="Arial"/>
          <w:spacing w:val="-7"/>
          <w:sz w:val="24"/>
          <w:szCs w:val="24"/>
        </w:rPr>
        <w:t xml:space="preserve"> </w:t>
      </w:r>
      <w:r w:rsidRPr="00180D2C">
        <w:rPr>
          <w:rFonts w:ascii="Arial" w:hAnsi="Arial" w:cs="Arial"/>
          <w:sz w:val="24"/>
          <w:szCs w:val="24"/>
        </w:rPr>
        <w:t>los</w:t>
      </w:r>
      <w:r w:rsidRPr="00180D2C">
        <w:rPr>
          <w:rFonts w:ascii="Arial" w:hAnsi="Arial" w:cs="Arial"/>
          <w:spacing w:val="-7"/>
          <w:sz w:val="24"/>
          <w:szCs w:val="24"/>
        </w:rPr>
        <w:t xml:space="preserve"> </w:t>
      </w:r>
      <w:r w:rsidRPr="00180D2C">
        <w:rPr>
          <w:rFonts w:ascii="Arial" w:hAnsi="Arial" w:cs="Arial"/>
          <w:sz w:val="24"/>
          <w:szCs w:val="24"/>
        </w:rPr>
        <w:t>requerimientos</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ética</w:t>
      </w:r>
      <w:r w:rsidRPr="00180D2C">
        <w:rPr>
          <w:rFonts w:ascii="Arial" w:hAnsi="Arial" w:cs="Arial"/>
          <w:spacing w:val="-10"/>
          <w:sz w:val="24"/>
          <w:szCs w:val="24"/>
        </w:rPr>
        <w:t xml:space="preserve"> </w:t>
      </w:r>
      <w:r w:rsidRPr="00180D2C">
        <w:rPr>
          <w:rFonts w:ascii="Arial" w:hAnsi="Arial" w:cs="Arial"/>
          <w:sz w:val="24"/>
          <w:szCs w:val="24"/>
        </w:rPr>
        <w:t>aplicables</w:t>
      </w:r>
      <w:r w:rsidRPr="00180D2C">
        <w:rPr>
          <w:rFonts w:ascii="Arial" w:hAnsi="Arial" w:cs="Arial"/>
          <w:spacing w:val="-7"/>
          <w:sz w:val="24"/>
          <w:szCs w:val="24"/>
        </w:rPr>
        <w:t xml:space="preserve"> </w:t>
      </w:r>
      <w:r w:rsidRPr="00180D2C">
        <w:rPr>
          <w:rFonts w:ascii="Arial" w:hAnsi="Arial" w:cs="Arial"/>
          <w:sz w:val="24"/>
          <w:szCs w:val="24"/>
        </w:rPr>
        <w:t>a la auditoría de los Estados Financieros en Colombia y hemos cumplido las demás responsabilidades de ética establecidas por nuestra profesión. Consideramos que la evidencia</w:t>
      </w:r>
      <w:r w:rsidRPr="00180D2C">
        <w:rPr>
          <w:rFonts w:ascii="Arial" w:hAnsi="Arial" w:cs="Arial"/>
          <w:spacing w:val="-8"/>
          <w:sz w:val="24"/>
          <w:szCs w:val="24"/>
        </w:rPr>
        <w:t xml:space="preserve"> </w:t>
      </w:r>
      <w:r w:rsidRPr="00180D2C">
        <w:rPr>
          <w:rFonts w:ascii="Arial" w:hAnsi="Arial" w:cs="Arial"/>
          <w:sz w:val="24"/>
          <w:szCs w:val="24"/>
        </w:rPr>
        <w:t>de</w:t>
      </w:r>
      <w:r w:rsidRPr="00180D2C">
        <w:rPr>
          <w:rFonts w:ascii="Arial" w:hAnsi="Arial" w:cs="Arial"/>
          <w:spacing w:val="-9"/>
          <w:sz w:val="24"/>
          <w:szCs w:val="24"/>
        </w:rPr>
        <w:t xml:space="preserve"> </w:t>
      </w:r>
      <w:r w:rsidRPr="00180D2C">
        <w:rPr>
          <w:rFonts w:ascii="Arial" w:hAnsi="Arial" w:cs="Arial"/>
          <w:sz w:val="24"/>
          <w:szCs w:val="24"/>
        </w:rPr>
        <w:t>auditoría</w:t>
      </w:r>
      <w:r w:rsidRPr="00180D2C">
        <w:rPr>
          <w:rFonts w:ascii="Arial" w:hAnsi="Arial" w:cs="Arial"/>
          <w:spacing w:val="-8"/>
          <w:sz w:val="24"/>
          <w:szCs w:val="24"/>
        </w:rPr>
        <w:t xml:space="preserve"> </w:t>
      </w:r>
      <w:r w:rsidRPr="00180D2C">
        <w:rPr>
          <w:rFonts w:ascii="Arial" w:hAnsi="Arial" w:cs="Arial"/>
          <w:sz w:val="24"/>
          <w:szCs w:val="24"/>
        </w:rPr>
        <w:t>que</w:t>
      </w:r>
      <w:r w:rsidRPr="00180D2C">
        <w:rPr>
          <w:rFonts w:ascii="Arial" w:hAnsi="Arial" w:cs="Arial"/>
          <w:spacing w:val="-8"/>
          <w:sz w:val="24"/>
          <w:szCs w:val="24"/>
        </w:rPr>
        <w:t xml:space="preserve"> </w:t>
      </w:r>
      <w:r w:rsidRPr="00180D2C">
        <w:rPr>
          <w:rFonts w:ascii="Arial" w:hAnsi="Arial" w:cs="Arial"/>
          <w:sz w:val="24"/>
          <w:szCs w:val="24"/>
        </w:rPr>
        <w:t>hemos</w:t>
      </w:r>
      <w:r w:rsidRPr="00180D2C">
        <w:rPr>
          <w:rFonts w:ascii="Arial" w:hAnsi="Arial" w:cs="Arial"/>
          <w:spacing w:val="-8"/>
          <w:sz w:val="24"/>
          <w:szCs w:val="24"/>
        </w:rPr>
        <w:t xml:space="preserve"> </w:t>
      </w:r>
      <w:r w:rsidRPr="00180D2C">
        <w:rPr>
          <w:rFonts w:ascii="Arial" w:hAnsi="Arial" w:cs="Arial"/>
          <w:sz w:val="24"/>
          <w:szCs w:val="24"/>
        </w:rPr>
        <w:t>obtenido</w:t>
      </w:r>
      <w:r w:rsidRPr="00180D2C">
        <w:rPr>
          <w:rFonts w:ascii="Arial" w:hAnsi="Arial" w:cs="Arial"/>
          <w:spacing w:val="-11"/>
          <w:sz w:val="24"/>
          <w:szCs w:val="24"/>
        </w:rPr>
        <w:t xml:space="preserve"> </w:t>
      </w:r>
      <w:r w:rsidRPr="00180D2C">
        <w:rPr>
          <w:rFonts w:ascii="Arial" w:hAnsi="Arial" w:cs="Arial"/>
          <w:sz w:val="24"/>
          <w:szCs w:val="24"/>
        </w:rPr>
        <w:t>proporciona</w:t>
      </w:r>
      <w:r w:rsidRPr="00180D2C">
        <w:rPr>
          <w:rFonts w:ascii="Arial" w:hAnsi="Arial" w:cs="Arial"/>
          <w:spacing w:val="-8"/>
          <w:sz w:val="24"/>
          <w:szCs w:val="24"/>
        </w:rPr>
        <w:t xml:space="preserve"> </w:t>
      </w:r>
      <w:r w:rsidRPr="00180D2C">
        <w:rPr>
          <w:rFonts w:ascii="Arial" w:hAnsi="Arial" w:cs="Arial"/>
          <w:sz w:val="24"/>
          <w:szCs w:val="24"/>
        </w:rPr>
        <w:t>una</w:t>
      </w:r>
      <w:r w:rsidRPr="00180D2C">
        <w:rPr>
          <w:rFonts w:ascii="Arial" w:hAnsi="Arial" w:cs="Arial"/>
          <w:spacing w:val="-11"/>
          <w:sz w:val="24"/>
          <w:szCs w:val="24"/>
        </w:rPr>
        <w:t xml:space="preserve"> </w:t>
      </w:r>
      <w:r w:rsidRPr="00180D2C">
        <w:rPr>
          <w:rFonts w:ascii="Arial" w:hAnsi="Arial" w:cs="Arial"/>
          <w:sz w:val="24"/>
          <w:szCs w:val="24"/>
        </w:rPr>
        <w:t>base</w:t>
      </w:r>
      <w:r w:rsidRPr="00180D2C">
        <w:rPr>
          <w:rFonts w:ascii="Arial" w:hAnsi="Arial" w:cs="Arial"/>
          <w:spacing w:val="-11"/>
          <w:sz w:val="24"/>
          <w:szCs w:val="24"/>
        </w:rPr>
        <w:t xml:space="preserve"> </w:t>
      </w:r>
      <w:r w:rsidRPr="00180D2C">
        <w:rPr>
          <w:rFonts w:ascii="Arial" w:hAnsi="Arial" w:cs="Arial"/>
          <w:sz w:val="24"/>
          <w:szCs w:val="24"/>
        </w:rPr>
        <w:t>suficiente</w:t>
      </w:r>
      <w:r w:rsidRPr="00180D2C">
        <w:rPr>
          <w:rFonts w:ascii="Arial" w:hAnsi="Arial" w:cs="Arial"/>
          <w:spacing w:val="-8"/>
          <w:sz w:val="24"/>
          <w:szCs w:val="24"/>
        </w:rPr>
        <w:t xml:space="preserve"> </w:t>
      </w:r>
      <w:r w:rsidRPr="00180D2C">
        <w:rPr>
          <w:rFonts w:ascii="Arial" w:hAnsi="Arial" w:cs="Arial"/>
          <w:sz w:val="24"/>
          <w:szCs w:val="24"/>
        </w:rPr>
        <w:t>y</w:t>
      </w:r>
      <w:r w:rsidRPr="00180D2C">
        <w:rPr>
          <w:rFonts w:ascii="Arial" w:hAnsi="Arial" w:cs="Arial"/>
          <w:spacing w:val="-10"/>
          <w:sz w:val="24"/>
          <w:szCs w:val="24"/>
        </w:rPr>
        <w:t xml:space="preserve"> </w:t>
      </w:r>
      <w:r w:rsidRPr="00180D2C">
        <w:rPr>
          <w:rFonts w:ascii="Arial" w:hAnsi="Arial" w:cs="Arial"/>
          <w:sz w:val="24"/>
          <w:szCs w:val="24"/>
        </w:rPr>
        <w:t>adecuada para expresar nuestra opinión con salvedades.</w:t>
      </w:r>
    </w:p>
    <w:p w14:paraId="565677FE" w14:textId="77777777" w:rsidR="00E46C0A" w:rsidRPr="00180D2C" w:rsidRDefault="00E46C0A" w:rsidP="00E95331">
      <w:pPr>
        <w:pStyle w:val="Textoindependiente"/>
        <w:ind w:left="631" w:right="-234"/>
        <w:jc w:val="both"/>
        <w:rPr>
          <w:rFonts w:ascii="Arial" w:hAnsi="Arial" w:cs="Arial"/>
          <w:sz w:val="24"/>
          <w:szCs w:val="24"/>
        </w:rPr>
      </w:pPr>
    </w:p>
    <w:p w14:paraId="4E4631ED" w14:textId="77777777" w:rsidR="00E46C0A" w:rsidRPr="00180D2C" w:rsidRDefault="00E46C0A" w:rsidP="00E95331">
      <w:pPr>
        <w:pStyle w:val="Textoindependiente"/>
        <w:ind w:left="631" w:right="-234"/>
        <w:jc w:val="both"/>
        <w:rPr>
          <w:rFonts w:ascii="Arial" w:hAnsi="Arial" w:cs="Arial"/>
          <w:sz w:val="24"/>
          <w:szCs w:val="24"/>
        </w:rPr>
      </w:pPr>
      <w:r w:rsidRPr="00180D2C">
        <w:rPr>
          <w:rFonts w:ascii="Arial" w:hAnsi="Arial" w:cs="Arial"/>
          <w:b/>
          <w:sz w:val="24"/>
          <w:szCs w:val="24"/>
        </w:rPr>
        <w:t xml:space="preserve">Párrafo de Énfasis: </w:t>
      </w:r>
      <w:r w:rsidRPr="00180D2C">
        <w:rPr>
          <w:rFonts w:ascii="Arial" w:hAnsi="Arial" w:cs="Arial"/>
          <w:sz w:val="24"/>
          <w:szCs w:val="24"/>
        </w:rPr>
        <w:t>Sin</w:t>
      </w:r>
      <w:r w:rsidRPr="00180D2C">
        <w:rPr>
          <w:rFonts w:ascii="Arial" w:hAnsi="Arial" w:cs="Arial"/>
          <w:spacing w:val="-8"/>
          <w:sz w:val="24"/>
          <w:szCs w:val="24"/>
        </w:rPr>
        <w:t xml:space="preserve"> </w:t>
      </w:r>
      <w:r w:rsidRPr="00180D2C">
        <w:rPr>
          <w:rFonts w:ascii="Arial" w:hAnsi="Arial" w:cs="Arial"/>
          <w:sz w:val="24"/>
          <w:szCs w:val="24"/>
        </w:rPr>
        <w:t>modificar</w:t>
      </w:r>
      <w:r w:rsidRPr="00180D2C">
        <w:rPr>
          <w:rFonts w:ascii="Arial" w:hAnsi="Arial" w:cs="Arial"/>
          <w:spacing w:val="-10"/>
          <w:sz w:val="24"/>
          <w:szCs w:val="24"/>
        </w:rPr>
        <w:t xml:space="preserve"> </w:t>
      </w:r>
      <w:r w:rsidRPr="00180D2C">
        <w:rPr>
          <w:rFonts w:ascii="Arial" w:hAnsi="Arial" w:cs="Arial"/>
          <w:sz w:val="24"/>
          <w:szCs w:val="24"/>
        </w:rPr>
        <w:t>nuestra</w:t>
      </w:r>
      <w:r w:rsidRPr="00180D2C">
        <w:rPr>
          <w:rFonts w:ascii="Arial" w:hAnsi="Arial" w:cs="Arial"/>
          <w:spacing w:val="-11"/>
          <w:sz w:val="24"/>
          <w:szCs w:val="24"/>
        </w:rPr>
        <w:t xml:space="preserve"> </w:t>
      </w:r>
      <w:r w:rsidRPr="00180D2C">
        <w:rPr>
          <w:rFonts w:ascii="Arial" w:hAnsi="Arial" w:cs="Arial"/>
          <w:sz w:val="24"/>
          <w:szCs w:val="24"/>
        </w:rPr>
        <w:t>opinión</w:t>
      </w:r>
      <w:r w:rsidRPr="00180D2C">
        <w:rPr>
          <w:rFonts w:ascii="Arial" w:hAnsi="Arial" w:cs="Arial"/>
          <w:spacing w:val="-9"/>
          <w:sz w:val="24"/>
          <w:szCs w:val="24"/>
        </w:rPr>
        <w:t xml:space="preserve"> </w:t>
      </w:r>
      <w:r w:rsidRPr="00180D2C">
        <w:rPr>
          <w:rFonts w:ascii="Arial" w:hAnsi="Arial" w:cs="Arial"/>
          <w:sz w:val="24"/>
          <w:szCs w:val="24"/>
        </w:rPr>
        <w:t>sobre</w:t>
      </w:r>
      <w:r w:rsidRPr="00180D2C">
        <w:rPr>
          <w:rFonts w:ascii="Arial" w:hAnsi="Arial" w:cs="Arial"/>
          <w:spacing w:val="-11"/>
          <w:sz w:val="24"/>
          <w:szCs w:val="24"/>
        </w:rPr>
        <w:t xml:space="preserve"> </w:t>
      </w:r>
      <w:r w:rsidRPr="00180D2C">
        <w:rPr>
          <w:rFonts w:ascii="Arial" w:hAnsi="Arial" w:cs="Arial"/>
          <w:sz w:val="24"/>
          <w:szCs w:val="24"/>
        </w:rPr>
        <w:t>los</w:t>
      </w:r>
      <w:r w:rsidRPr="00180D2C">
        <w:rPr>
          <w:rFonts w:ascii="Arial" w:hAnsi="Arial" w:cs="Arial"/>
          <w:spacing w:val="-8"/>
          <w:sz w:val="24"/>
          <w:szCs w:val="24"/>
        </w:rPr>
        <w:t xml:space="preserve"> </w:t>
      </w:r>
      <w:r w:rsidRPr="00180D2C">
        <w:rPr>
          <w:rFonts w:ascii="Arial" w:hAnsi="Arial" w:cs="Arial"/>
          <w:sz w:val="24"/>
          <w:szCs w:val="24"/>
        </w:rPr>
        <w:t>Estados</w:t>
      </w:r>
      <w:r w:rsidRPr="00180D2C">
        <w:rPr>
          <w:rFonts w:ascii="Arial" w:hAnsi="Arial" w:cs="Arial"/>
          <w:spacing w:val="-11"/>
          <w:sz w:val="24"/>
          <w:szCs w:val="24"/>
        </w:rPr>
        <w:t xml:space="preserve"> </w:t>
      </w:r>
      <w:r w:rsidRPr="00180D2C">
        <w:rPr>
          <w:rFonts w:ascii="Arial" w:hAnsi="Arial" w:cs="Arial"/>
          <w:sz w:val="24"/>
          <w:szCs w:val="24"/>
        </w:rPr>
        <w:t>Financieros</w:t>
      </w:r>
      <w:r w:rsidRPr="00180D2C">
        <w:rPr>
          <w:rFonts w:ascii="Arial" w:hAnsi="Arial" w:cs="Arial"/>
          <w:spacing w:val="-8"/>
          <w:sz w:val="24"/>
          <w:szCs w:val="24"/>
        </w:rPr>
        <w:t xml:space="preserve"> </w:t>
      </w:r>
      <w:r w:rsidRPr="00180D2C">
        <w:rPr>
          <w:rFonts w:ascii="Arial" w:hAnsi="Arial" w:cs="Arial"/>
          <w:sz w:val="24"/>
          <w:szCs w:val="24"/>
        </w:rPr>
        <w:t>llamamos</w:t>
      </w:r>
      <w:r w:rsidRPr="00180D2C">
        <w:rPr>
          <w:rFonts w:ascii="Arial" w:hAnsi="Arial" w:cs="Arial"/>
          <w:spacing w:val="-11"/>
          <w:sz w:val="24"/>
          <w:szCs w:val="24"/>
        </w:rPr>
        <w:t xml:space="preserve"> </w:t>
      </w:r>
      <w:r w:rsidRPr="00180D2C">
        <w:rPr>
          <w:rFonts w:ascii="Arial" w:hAnsi="Arial" w:cs="Arial"/>
          <w:sz w:val="24"/>
          <w:szCs w:val="24"/>
        </w:rPr>
        <w:t>la</w:t>
      </w:r>
      <w:r w:rsidRPr="00180D2C">
        <w:rPr>
          <w:rFonts w:ascii="Arial" w:hAnsi="Arial" w:cs="Arial"/>
          <w:spacing w:val="-8"/>
          <w:sz w:val="24"/>
          <w:szCs w:val="24"/>
        </w:rPr>
        <w:t xml:space="preserve"> </w:t>
      </w:r>
      <w:r w:rsidRPr="00180D2C">
        <w:rPr>
          <w:rFonts w:ascii="Arial" w:hAnsi="Arial" w:cs="Arial"/>
          <w:sz w:val="24"/>
          <w:szCs w:val="24"/>
        </w:rPr>
        <w:t>atención</w:t>
      </w:r>
      <w:r w:rsidRPr="00180D2C">
        <w:rPr>
          <w:rFonts w:ascii="Arial" w:hAnsi="Arial" w:cs="Arial"/>
          <w:spacing w:val="-9"/>
          <w:sz w:val="24"/>
          <w:szCs w:val="24"/>
        </w:rPr>
        <w:t xml:space="preserve"> </w:t>
      </w:r>
      <w:r w:rsidRPr="00180D2C">
        <w:rPr>
          <w:rFonts w:ascii="Arial" w:hAnsi="Arial" w:cs="Arial"/>
          <w:sz w:val="24"/>
          <w:szCs w:val="24"/>
        </w:rPr>
        <w:t>sobre los siguientes asuntos:</w:t>
      </w:r>
    </w:p>
    <w:p w14:paraId="75F62517" w14:textId="77777777" w:rsidR="00E46C0A" w:rsidRPr="00180D2C" w:rsidRDefault="00E46C0A" w:rsidP="00E95331">
      <w:pPr>
        <w:pStyle w:val="Textoindependiente"/>
        <w:spacing w:before="11"/>
        <w:ind w:right="-234"/>
        <w:rPr>
          <w:rFonts w:ascii="Arial" w:hAnsi="Arial" w:cs="Arial"/>
          <w:sz w:val="24"/>
          <w:szCs w:val="24"/>
        </w:rPr>
      </w:pPr>
    </w:p>
    <w:p w14:paraId="7EF9D4F1" w14:textId="77777777" w:rsidR="00E46C0A" w:rsidRPr="00180D2C" w:rsidRDefault="00E46C0A" w:rsidP="00E95331">
      <w:pPr>
        <w:pStyle w:val="Prrafodelista"/>
        <w:numPr>
          <w:ilvl w:val="0"/>
          <w:numId w:val="101"/>
        </w:numPr>
        <w:tabs>
          <w:tab w:val="left" w:pos="910"/>
          <w:tab w:val="left" w:pos="912"/>
        </w:tabs>
        <w:ind w:right="-234"/>
        <w:jc w:val="both"/>
        <w:rPr>
          <w:rFonts w:ascii="Arial" w:hAnsi="Arial" w:cs="Arial"/>
          <w:sz w:val="24"/>
          <w:szCs w:val="24"/>
        </w:rPr>
      </w:pPr>
      <w:r w:rsidRPr="00180D2C">
        <w:rPr>
          <w:rFonts w:ascii="Arial" w:hAnsi="Arial" w:cs="Arial"/>
          <w:sz w:val="24"/>
          <w:szCs w:val="24"/>
        </w:rPr>
        <w:t>Los Estados Financieros al 31 de diciembre de 2023, que se presentan únicamente para efectos de comparación, fueron reexpresados con el fin de subsanar errores contables del año 2023, asociados con el pasivo por beneficios posempleo de las fuerzas militares a cargo del gobierno y el activo por anticipo para adquisición de bienes y servicios, tal como se detalla en la Nota 3.3 de los Estados Financieros.</w:t>
      </w:r>
    </w:p>
    <w:p w14:paraId="516B2FD7" w14:textId="77777777" w:rsidR="00E46C0A" w:rsidRPr="00180D2C" w:rsidRDefault="00E46C0A" w:rsidP="00E95331">
      <w:pPr>
        <w:pStyle w:val="Prrafodelista"/>
        <w:tabs>
          <w:tab w:val="left" w:pos="910"/>
          <w:tab w:val="left" w:pos="912"/>
        </w:tabs>
        <w:ind w:left="912" w:right="-234"/>
        <w:jc w:val="right"/>
        <w:rPr>
          <w:rFonts w:ascii="Arial" w:hAnsi="Arial" w:cs="Arial"/>
          <w:sz w:val="24"/>
          <w:szCs w:val="24"/>
        </w:rPr>
      </w:pPr>
    </w:p>
    <w:p w14:paraId="1817228D" w14:textId="77777777" w:rsidR="00E46C0A" w:rsidRPr="00180D2C" w:rsidRDefault="00E46C0A" w:rsidP="00E95331">
      <w:pPr>
        <w:pStyle w:val="Prrafodelista"/>
        <w:numPr>
          <w:ilvl w:val="0"/>
          <w:numId w:val="101"/>
        </w:numPr>
        <w:tabs>
          <w:tab w:val="left" w:pos="910"/>
          <w:tab w:val="left" w:pos="912"/>
        </w:tabs>
        <w:ind w:right="-234" w:hanging="360"/>
        <w:jc w:val="both"/>
        <w:rPr>
          <w:rFonts w:ascii="Arial" w:hAnsi="Arial" w:cs="Arial"/>
          <w:sz w:val="24"/>
          <w:szCs w:val="24"/>
        </w:rPr>
      </w:pPr>
      <w:r w:rsidRPr="00180D2C">
        <w:rPr>
          <w:rFonts w:ascii="Arial" w:hAnsi="Arial" w:cs="Arial"/>
          <w:sz w:val="24"/>
          <w:szCs w:val="24"/>
        </w:rPr>
        <w:t>La</w:t>
      </w:r>
      <w:r w:rsidRPr="00180D2C">
        <w:rPr>
          <w:rFonts w:ascii="Arial" w:hAnsi="Arial" w:cs="Arial"/>
          <w:spacing w:val="-2"/>
          <w:sz w:val="24"/>
          <w:szCs w:val="24"/>
        </w:rPr>
        <w:t xml:space="preserve"> </w:t>
      </w:r>
      <w:r w:rsidRPr="00180D2C">
        <w:rPr>
          <w:rFonts w:ascii="Arial" w:hAnsi="Arial" w:cs="Arial"/>
          <w:sz w:val="24"/>
          <w:szCs w:val="24"/>
        </w:rPr>
        <w:t>Contaduría</w:t>
      </w:r>
      <w:r w:rsidRPr="00180D2C">
        <w:rPr>
          <w:rFonts w:ascii="Arial" w:hAnsi="Arial" w:cs="Arial"/>
          <w:spacing w:val="-2"/>
          <w:sz w:val="24"/>
          <w:szCs w:val="24"/>
        </w:rPr>
        <w:t xml:space="preserve"> </w:t>
      </w:r>
      <w:r w:rsidRPr="00180D2C">
        <w:rPr>
          <w:rFonts w:ascii="Arial" w:hAnsi="Arial" w:cs="Arial"/>
          <w:sz w:val="24"/>
          <w:szCs w:val="24"/>
        </w:rPr>
        <w:t>General</w:t>
      </w:r>
      <w:r w:rsidRPr="00180D2C">
        <w:rPr>
          <w:rFonts w:ascii="Arial" w:hAnsi="Arial" w:cs="Arial"/>
          <w:spacing w:val="-3"/>
          <w:sz w:val="24"/>
          <w:szCs w:val="24"/>
        </w:rPr>
        <w:t xml:space="preserve"> </w:t>
      </w:r>
      <w:r w:rsidRPr="00180D2C">
        <w:rPr>
          <w:rFonts w:ascii="Arial" w:hAnsi="Arial" w:cs="Arial"/>
          <w:sz w:val="24"/>
          <w:szCs w:val="24"/>
        </w:rPr>
        <w:t>de</w:t>
      </w:r>
      <w:r w:rsidRPr="00180D2C">
        <w:rPr>
          <w:rFonts w:ascii="Arial" w:hAnsi="Arial" w:cs="Arial"/>
          <w:spacing w:val="-2"/>
          <w:sz w:val="24"/>
          <w:szCs w:val="24"/>
        </w:rPr>
        <w:t xml:space="preserve"> </w:t>
      </w:r>
      <w:r w:rsidRPr="00180D2C">
        <w:rPr>
          <w:rFonts w:ascii="Arial" w:hAnsi="Arial" w:cs="Arial"/>
          <w:sz w:val="24"/>
          <w:szCs w:val="24"/>
        </w:rPr>
        <w:t>la</w:t>
      </w:r>
      <w:r w:rsidRPr="00180D2C">
        <w:rPr>
          <w:rFonts w:ascii="Arial" w:hAnsi="Arial" w:cs="Arial"/>
          <w:spacing w:val="-2"/>
          <w:sz w:val="24"/>
          <w:szCs w:val="24"/>
        </w:rPr>
        <w:t xml:space="preserve"> </w:t>
      </w:r>
      <w:r w:rsidRPr="00180D2C">
        <w:rPr>
          <w:rFonts w:ascii="Arial" w:hAnsi="Arial" w:cs="Arial"/>
          <w:sz w:val="24"/>
          <w:szCs w:val="24"/>
        </w:rPr>
        <w:t>Nación en</w:t>
      </w:r>
      <w:r w:rsidRPr="00180D2C">
        <w:rPr>
          <w:rFonts w:ascii="Arial" w:hAnsi="Arial" w:cs="Arial"/>
          <w:spacing w:val="-2"/>
          <w:sz w:val="24"/>
          <w:szCs w:val="24"/>
        </w:rPr>
        <w:t xml:space="preserve"> </w:t>
      </w:r>
      <w:r w:rsidRPr="00180D2C">
        <w:rPr>
          <w:rFonts w:ascii="Arial" w:hAnsi="Arial" w:cs="Arial"/>
          <w:sz w:val="24"/>
          <w:szCs w:val="24"/>
        </w:rPr>
        <w:t>respuesta</w:t>
      </w:r>
      <w:r w:rsidRPr="00180D2C">
        <w:rPr>
          <w:rFonts w:ascii="Arial" w:hAnsi="Arial" w:cs="Arial"/>
          <w:spacing w:val="-4"/>
          <w:sz w:val="24"/>
          <w:szCs w:val="24"/>
        </w:rPr>
        <w:t xml:space="preserve"> </w:t>
      </w:r>
      <w:r w:rsidRPr="00180D2C">
        <w:rPr>
          <w:rFonts w:ascii="Arial" w:hAnsi="Arial" w:cs="Arial"/>
          <w:sz w:val="24"/>
          <w:szCs w:val="24"/>
        </w:rPr>
        <w:t>a</w:t>
      </w:r>
      <w:r w:rsidRPr="00180D2C">
        <w:rPr>
          <w:rFonts w:ascii="Arial" w:hAnsi="Arial" w:cs="Arial"/>
          <w:spacing w:val="-2"/>
          <w:sz w:val="24"/>
          <w:szCs w:val="24"/>
        </w:rPr>
        <w:t xml:space="preserve"> </w:t>
      </w:r>
      <w:r w:rsidRPr="00180D2C">
        <w:rPr>
          <w:rFonts w:ascii="Arial" w:hAnsi="Arial" w:cs="Arial"/>
          <w:sz w:val="24"/>
          <w:szCs w:val="24"/>
        </w:rPr>
        <w:t>consulta</w:t>
      </w:r>
      <w:r w:rsidRPr="00180D2C">
        <w:rPr>
          <w:rFonts w:ascii="Arial" w:hAnsi="Arial" w:cs="Arial"/>
          <w:spacing w:val="-2"/>
          <w:sz w:val="24"/>
          <w:szCs w:val="24"/>
        </w:rPr>
        <w:t xml:space="preserve"> </w:t>
      </w:r>
      <w:r w:rsidRPr="00180D2C">
        <w:rPr>
          <w:rFonts w:ascii="Arial" w:hAnsi="Arial" w:cs="Arial"/>
          <w:sz w:val="24"/>
          <w:szCs w:val="24"/>
        </w:rPr>
        <w:t>formulada</w:t>
      </w:r>
      <w:r w:rsidRPr="00180D2C">
        <w:rPr>
          <w:rFonts w:ascii="Arial" w:hAnsi="Arial" w:cs="Arial"/>
          <w:spacing w:val="-2"/>
          <w:sz w:val="24"/>
          <w:szCs w:val="24"/>
        </w:rPr>
        <w:t xml:space="preserve"> </w:t>
      </w:r>
      <w:r w:rsidRPr="00180D2C">
        <w:rPr>
          <w:rFonts w:ascii="Arial" w:hAnsi="Arial" w:cs="Arial"/>
          <w:sz w:val="24"/>
          <w:szCs w:val="24"/>
        </w:rPr>
        <w:t>por</w:t>
      </w:r>
      <w:r w:rsidRPr="00180D2C">
        <w:rPr>
          <w:rFonts w:ascii="Arial" w:hAnsi="Arial" w:cs="Arial"/>
          <w:spacing w:val="-1"/>
          <w:sz w:val="24"/>
          <w:szCs w:val="24"/>
        </w:rPr>
        <w:t xml:space="preserve"> </w:t>
      </w:r>
      <w:r w:rsidRPr="00180D2C">
        <w:rPr>
          <w:rFonts w:ascii="Arial" w:hAnsi="Arial" w:cs="Arial"/>
          <w:sz w:val="24"/>
          <w:szCs w:val="24"/>
        </w:rPr>
        <w:t>CREMIL sobre la responsabilidad en el reconocimiento del pasivo pensional de las fuerzas militares</w:t>
      </w:r>
      <w:r w:rsidRPr="00180D2C">
        <w:rPr>
          <w:rFonts w:ascii="Arial" w:hAnsi="Arial" w:cs="Arial"/>
          <w:spacing w:val="-2"/>
          <w:sz w:val="24"/>
          <w:szCs w:val="24"/>
        </w:rPr>
        <w:t xml:space="preserve"> </w:t>
      </w:r>
      <w:r w:rsidRPr="00180D2C">
        <w:rPr>
          <w:rFonts w:ascii="Arial" w:hAnsi="Arial" w:cs="Arial"/>
          <w:sz w:val="24"/>
          <w:szCs w:val="24"/>
        </w:rPr>
        <w:t>y</w:t>
      </w:r>
      <w:r w:rsidRPr="00180D2C">
        <w:rPr>
          <w:rFonts w:ascii="Arial" w:hAnsi="Arial" w:cs="Arial"/>
          <w:spacing w:val="-2"/>
          <w:sz w:val="24"/>
          <w:szCs w:val="24"/>
        </w:rPr>
        <w:t xml:space="preserve"> </w:t>
      </w:r>
      <w:r w:rsidRPr="00180D2C">
        <w:rPr>
          <w:rFonts w:ascii="Arial" w:hAnsi="Arial" w:cs="Arial"/>
          <w:sz w:val="24"/>
          <w:szCs w:val="24"/>
        </w:rPr>
        <w:t>su incorporación en</w:t>
      </w:r>
      <w:r w:rsidRPr="00180D2C">
        <w:rPr>
          <w:rFonts w:ascii="Arial" w:hAnsi="Arial" w:cs="Arial"/>
          <w:spacing w:val="-3"/>
          <w:sz w:val="24"/>
          <w:szCs w:val="24"/>
        </w:rPr>
        <w:t xml:space="preserve"> </w:t>
      </w:r>
      <w:r w:rsidRPr="00180D2C">
        <w:rPr>
          <w:rFonts w:ascii="Arial" w:hAnsi="Arial" w:cs="Arial"/>
          <w:sz w:val="24"/>
          <w:szCs w:val="24"/>
        </w:rPr>
        <w:t>el</w:t>
      </w:r>
      <w:r w:rsidRPr="00180D2C">
        <w:rPr>
          <w:rFonts w:ascii="Arial" w:hAnsi="Arial" w:cs="Arial"/>
          <w:spacing w:val="-1"/>
          <w:sz w:val="24"/>
          <w:szCs w:val="24"/>
        </w:rPr>
        <w:t xml:space="preserve"> </w:t>
      </w:r>
      <w:r w:rsidRPr="00180D2C">
        <w:rPr>
          <w:rFonts w:ascii="Arial" w:hAnsi="Arial" w:cs="Arial"/>
          <w:sz w:val="24"/>
          <w:szCs w:val="24"/>
        </w:rPr>
        <w:t>balance de la</w:t>
      </w:r>
      <w:r w:rsidRPr="00180D2C">
        <w:rPr>
          <w:rFonts w:ascii="Arial" w:hAnsi="Arial" w:cs="Arial"/>
          <w:spacing w:val="-3"/>
          <w:sz w:val="24"/>
          <w:szCs w:val="24"/>
        </w:rPr>
        <w:t xml:space="preserve"> </w:t>
      </w:r>
      <w:r w:rsidRPr="00180D2C">
        <w:rPr>
          <w:rFonts w:ascii="Arial" w:hAnsi="Arial" w:cs="Arial"/>
          <w:sz w:val="24"/>
          <w:szCs w:val="24"/>
        </w:rPr>
        <w:t>entidad, dio</w:t>
      </w:r>
      <w:r w:rsidRPr="00180D2C">
        <w:rPr>
          <w:rFonts w:ascii="Arial" w:hAnsi="Arial" w:cs="Arial"/>
          <w:spacing w:val="-3"/>
          <w:sz w:val="24"/>
          <w:szCs w:val="24"/>
        </w:rPr>
        <w:t xml:space="preserve"> </w:t>
      </w:r>
      <w:r w:rsidRPr="00180D2C">
        <w:rPr>
          <w:rFonts w:ascii="Arial" w:hAnsi="Arial" w:cs="Arial"/>
          <w:sz w:val="24"/>
          <w:szCs w:val="24"/>
        </w:rPr>
        <w:t>instrucciones</w:t>
      </w:r>
      <w:r w:rsidRPr="00180D2C">
        <w:rPr>
          <w:rFonts w:ascii="Arial" w:hAnsi="Arial" w:cs="Arial"/>
          <w:spacing w:val="-3"/>
          <w:sz w:val="24"/>
          <w:szCs w:val="24"/>
        </w:rPr>
        <w:t xml:space="preserve"> </w:t>
      </w:r>
      <w:r w:rsidRPr="00180D2C">
        <w:rPr>
          <w:rFonts w:ascii="Arial" w:hAnsi="Arial" w:cs="Arial"/>
          <w:sz w:val="24"/>
          <w:szCs w:val="24"/>
        </w:rPr>
        <w:t>en</w:t>
      </w:r>
      <w:r w:rsidRPr="00180D2C">
        <w:rPr>
          <w:rFonts w:ascii="Arial" w:hAnsi="Arial" w:cs="Arial"/>
          <w:spacing w:val="-1"/>
          <w:sz w:val="24"/>
          <w:szCs w:val="24"/>
        </w:rPr>
        <w:t xml:space="preserve"> </w:t>
      </w:r>
      <w:r w:rsidRPr="00180D2C">
        <w:rPr>
          <w:rFonts w:ascii="Arial" w:hAnsi="Arial" w:cs="Arial"/>
          <w:sz w:val="24"/>
          <w:szCs w:val="24"/>
        </w:rPr>
        <w:t>materia contable,</w:t>
      </w:r>
      <w:r w:rsidRPr="00180D2C">
        <w:rPr>
          <w:rFonts w:ascii="Arial" w:hAnsi="Arial" w:cs="Arial"/>
          <w:spacing w:val="-16"/>
          <w:sz w:val="24"/>
          <w:szCs w:val="24"/>
        </w:rPr>
        <w:t xml:space="preserve"> </w:t>
      </w:r>
      <w:r w:rsidRPr="00180D2C">
        <w:rPr>
          <w:rFonts w:ascii="Arial" w:hAnsi="Arial" w:cs="Arial"/>
          <w:sz w:val="24"/>
          <w:szCs w:val="24"/>
        </w:rPr>
        <w:t>dotadas</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fuerza</w:t>
      </w:r>
      <w:r w:rsidRPr="00180D2C">
        <w:rPr>
          <w:rFonts w:ascii="Arial" w:hAnsi="Arial" w:cs="Arial"/>
          <w:spacing w:val="-16"/>
          <w:sz w:val="24"/>
          <w:szCs w:val="24"/>
        </w:rPr>
        <w:t xml:space="preserve"> </w:t>
      </w:r>
      <w:r w:rsidRPr="00180D2C">
        <w:rPr>
          <w:rFonts w:ascii="Arial" w:hAnsi="Arial" w:cs="Arial"/>
          <w:sz w:val="24"/>
          <w:szCs w:val="24"/>
        </w:rPr>
        <w:t>vinculante,</w:t>
      </w:r>
      <w:r w:rsidRPr="00180D2C">
        <w:rPr>
          <w:rFonts w:ascii="Arial" w:hAnsi="Arial" w:cs="Arial"/>
          <w:spacing w:val="-15"/>
          <w:sz w:val="24"/>
          <w:szCs w:val="24"/>
        </w:rPr>
        <w:t xml:space="preserve"> </w:t>
      </w:r>
      <w:r w:rsidRPr="00180D2C">
        <w:rPr>
          <w:rFonts w:ascii="Arial" w:hAnsi="Arial" w:cs="Arial"/>
          <w:sz w:val="24"/>
          <w:szCs w:val="24"/>
        </w:rPr>
        <w:t>que</w:t>
      </w:r>
      <w:r w:rsidRPr="00180D2C">
        <w:rPr>
          <w:rFonts w:ascii="Arial" w:hAnsi="Arial" w:cs="Arial"/>
          <w:spacing w:val="-15"/>
          <w:sz w:val="24"/>
          <w:szCs w:val="24"/>
        </w:rPr>
        <w:t xml:space="preserve"> </w:t>
      </w:r>
      <w:r w:rsidRPr="00180D2C">
        <w:rPr>
          <w:rFonts w:ascii="Arial" w:hAnsi="Arial" w:cs="Arial"/>
          <w:sz w:val="24"/>
          <w:szCs w:val="24"/>
        </w:rPr>
        <w:t>deben</w:t>
      </w:r>
      <w:r w:rsidRPr="00180D2C">
        <w:rPr>
          <w:rFonts w:ascii="Arial" w:hAnsi="Arial" w:cs="Arial"/>
          <w:spacing w:val="-15"/>
          <w:sz w:val="24"/>
          <w:szCs w:val="24"/>
        </w:rPr>
        <w:t xml:space="preserve"> </w:t>
      </w:r>
      <w:r w:rsidRPr="00180D2C">
        <w:rPr>
          <w:rFonts w:ascii="Arial" w:hAnsi="Arial" w:cs="Arial"/>
          <w:sz w:val="24"/>
          <w:szCs w:val="24"/>
        </w:rPr>
        <w:t>ser</w:t>
      </w:r>
      <w:r w:rsidRPr="00180D2C">
        <w:rPr>
          <w:rFonts w:ascii="Arial" w:hAnsi="Arial" w:cs="Arial"/>
          <w:spacing w:val="-16"/>
          <w:sz w:val="24"/>
          <w:szCs w:val="24"/>
        </w:rPr>
        <w:t xml:space="preserve"> </w:t>
      </w:r>
      <w:r w:rsidRPr="00180D2C">
        <w:rPr>
          <w:rFonts w:ascii="Arial" w:hAnsi="Arial" w:cs="Arial"/>
          <w:sz w:val="24"/>
          <w:szCs w:val="24"/>
        </w:rPr>
        <w:t>acogidos</w:t>
      </w:r>
      <w:r w:rsidRPr="00180D2C">
        <w:rPr>
          <w:rFonts w:ascii="Arial" w:hAnsi="Arial" w:cs="Arial"/>
          <w:spacing w:val="-15"/>
          <w:sz w:val="24"/>
          <w:szCs w:val="24"/>
        </w:rPr>
        <w:t xml:space="preserve"> </w:t>
      </w:r>
      <w:r w:rsidRPr="00180D2C">
        <w:rPr>
          <w:rFonts w:ascii="Arial" w:hAnsi="Arial" w:cs="Arial"/>
          <w:sz w:val="24"/>
          <w:szCs w:val="24"/>
        </w:rPr>
        <w:t>por</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6"/>
          <w:sz w:val="24"/>
          <w:szCs w:val="24"/>
        </w:rPr>
        <w:t xml:space="preserve"> </w:t>
      </w:r>
      <w:r w:rsidRPr="00180D2C">
        <w:rPr>
          <w:rFonts w:ascii="Arial" w:hAnsi="Arial" w:cs="Arial"/>
          <w:sz w:val="24"/>
          <w:szCs w:val="24"/>
        </w:rPr>
        <w:t>entidad</w:t>
      </w:r>
      <w:r w:rsidRPr="00180D2C">
        <w:rPr>
          <w:rFonts w:ascii="Arial" w:hAnsi="Arial" w:cs="Arial"/>
          <w:spacing w:val="-12"/>
          <w:sz w:val="24"/>
          <w:szCs w:val="24"/>
        </w:rPr>
        <w:t xml:space="preserve"> </w:t>
      </w:r>
      <w:r w:rsidRPr="00180D2C">
        <w:rPr>
          <w:rFonts w:ascii="Arial" w:hAnsi="Arial" w:cs="Arial"/>
          <w:sz w:val="24"/>
          <w:szCs w:val="24"/>
        </w:rPr>
        <w:t>pública y le sirven de base para su sistema contable, mediante el concepto No. 20202000007841 del 29 de febrero de 2020.</w:t>
      </w:r>
    </w:p>
    <w:p w14:paraId="4A952DB9" w14:textId="77777777" w:rsidR="00E46C0A" w:rsidRPr="00180D2C" w:rsidRDefault="00E46C0A" w:rsidP="00E95331">
      <w:pPr>
        <w:pStyle w:val="Prrafodelista"/>
        <w:ind w:right="-234"/>
        <w:rPr>
          <w:rFonts w:ascii="Arial" w:hAnsi="Arial" w:cs="Arial"/>
          <w:sz w:val="24"/>
          <w:szCs w:val="24"/>
        </w:rPr>
      </w:pPr>
    </w:p>
    <w:p w14:paraId="5807FC61"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Con independencia del régimen especial prestacional que le es propio a las fuerzas militares la Contaduría General de la Nación concluyó:</w:t>
      </w:r>
    </w:p>
    <w:p w14:paraId="4569FDD7" w14:textId="77777777" w:rsidR="00E46C0A" w:rsidRPr="00180D2C" w:rsidRDefault="00E46C0A" w:rsidP="00E95331">
      <w:pPr>
        <w:pStyle w:val="Textoindependiente"/>
        <w:ind w:left="912" w:right="-234"/>
        <w:jc w:val="both"/>
        <w:rPr>
          <w:rFonts w:ascii="Arial" w:hAnsi="Arial" w:cs="Arial"/>
          <w:sz w:val="24"/>
          <w:szCs w:val="24"/>
        </w:rPr>
      </w:pPr>
    </w:p>
    <w:p w14:paraId="0E3BEA77" w14:textId="77777777" w:rsidR="00E46C0A" w:rsidRPr="00180D2C" w:rsidRDefault="00E46C0A" w:rsidP="00E95331">
      <w:pPr>
        <w:pStyle w:val="Prrafodelista"/>
        <w:numPr>
          <w:ilvl w:val="0"/>
          <w:numId w:val="102"/>
        </w:numPr>
        <w:tabs>
          <w:tab w:val="left" w:pos="1198"/>
        </w:tabs>
        <w:ind w:right="-234"/>
        <w:jc w:val="both"/>
        <w:rPr>
          <w:rFonts w:ascii="Arial" w:hAnsi="Arial" w:cs="Arial"/>
          <w:sz w:val="24"/>
          <w:szCs w:val="24"/>
        </w:rPr>
      </w:pPr>
      <w:r w:rsidRPr="00180D2C">
        <w:rPr>
          <w:rFonts w:ascii="Arial" w:hAnsi="Arial" w:cs="Arial"/>
          <w:sz w:val="24"/>
          <w:szCs w:val="24"/>
        </w:rPr>
        <w:t>Se debe hacer el reconocimiento pleno del cálculo actuarial de asignaciones de retiro</w:t>
      </w:r>
      <w:r w:rsidRPr="00180D2C">
        <w:rPr>
          <w:rFonts w:ascii="Arial" w:hAnsi="Arial" w:cs="Arial"/>
          <w:spacing w:val="-5"/>
          <w:sz w:val="24"/>
          <w:szCs w:val="24"/>
        </w:rPr>
        <w:t xml:space="preserve"> </w:t>
      </w:r>
      <w:r w:rsidRPr="00180D2C">
        <w:rPr>
          <w:rFonts w:ascii="Arial" w:hAnsi="Arial" w:cs="Arial"/>
          <w:sz w:val="24"/>
          <w:szCs w:val="24"/>
        </w:rPr>
        <w:t>como</w:t>
      </w:r>
      <w:r w:rsidRPr="00180D2C">
        <w:rPr>
          <w:rFonts w:ascii="Arial" w:hAnsi="Arial" w:cs="Arial"/>
          <w:spacing w:val="-3"/>
          <w:sz w:val="24"/>
          <w:szCs w:val="24"/>
        </w:rPr>
        <w:t xml:space="preserve"> </w:t>
      </w:r>
      <w:r w:rsidRPr="00180D2C">
        <w:rPr>
          <w:rFonts w:ascii="Arial" w:hAnsi="Arial" w:cs="Arial"/>
          <w:sz w:val="24"/>
          <w:szCs w:val="24"/>
        </w:rPr>
        <w:t>pasivo,</w:t>
      </w:r>
      <w:r w:rsidRPr="00180D2C">
        <w:rPr>
          <w:rFonts w:ascii="Arial" w:hAnsi="Arial" w:cs="Arial"/>
          <w:spacing w:val="-1"/>
          <w:sz w:val="24"/>
          <w:szCs w:val="24"/>
        </w:rPr>
        <w:t xml:space="preserve"> </w:t>
      </w:r>
      <w:r w:rsidRPr="00180D2C">
        <w:rPr>
          <w:rFonts w:ascii="Arial" w:hAnsi="Arial" w:cs="Arial"/>
          <w:sz w:val="24"/>
          <w:szCs w:val="24"/>
        </w:rPr>
        <w:t>puesto</w:t>
      </w:r>
      <w:r w:rsidRPr="00180D2C">
        <w:rPr>
          <w:rFonts w:ascii="Arial" w:hAnsi="Arial" w:cs="Arial"/>
          <w:spacing w:val="-3"/>
          <w:sz w:val="24"/>
          <w:szCs w:val="24"/>
        </w:rPr>
        <w:t xml:space="preserve"> </w:t>
      </w:r>
      <w:r w:rsidRPr="00180D2C">
        <w:rPr>
          <w:rFonts w:ascii="Arial" w:hAnsi="Arial" w:cs="Arial"/>
          <w:sz w:val="24"/>
          <w:szCs w:val="24"/>
        </w:rPr>
        <w:t>que</w:t>
      </w:r>
      <w:r w:rsidRPr="00180D2C">
        <w:rPr>
          <w:rFonts w:ascii="Arial" w:hAnsi="Arial" w:cs="Arial"/>
          <w:spacing w:val="-5"/>
          <w:sz w:val="24"/>
          <w:szCs w:val="24"/>
        </w:rPr>
        <w:t xml:space="preserve"> </w:t>
      </w:r>
      <w:r w:rsidRPr="00180D2C">
        <w:rPr>
          <w:rFonts w:ascii="Arial" w:hAnsi="Arial" w:cs="Arial"/>
          <w:sz w:val="24"/>
          <w:szCs w:val="24"/>
        </w:rPr>
        <w:t>son</w:t>
      </w:r>
      <w:r w:rsidRPr="00180D2C">
        <w:rPr>
          <w:rFonts w:ascii="Arial" w:hAnsi="Arial" w:cs="Arial"/>
          <w:spacing w:val="-5"/>
          <w:sz w:val="24"/>
          <w:szCs w:val="24"/>
        </w:rPr>
        <w:t xml:space="preserve"> </w:t>
      </w:r>
      <w:r w:rsidRPr="00180D2C">
        <w:rPr>
          <w:rFonts w:ascii="Arial" w:hAnsi="Arial" w:cs="Arial"/>
          <w:sz w:val="24"/>
          <w:szCs w:val="24"/>
        </w:rPr>
        <w:t>obligaciones</w:t>
      </w:r>
      <w:r w:rsidRPr="00180D2C">
        <w:rPr>
          <w:rFonts w:ascii="Arial" w:hAnsi="Arial" w:cs="Arial"/>
          <w:spacing w:val="-5"/>
          <w:sz w:val="24"/>
          <w:szCs w:val="24"/>
        </w:rPr>
        <w:t xml:space="preserve"> </w:t>
      </w:r>
      <w:r w:rsidRPr="00180D2C">
        <w:rPr>
          <w:rFonts w:ascii="Arial" w:hAnsi="Arial" w:cs="Arial"/>
          <w:sz w:val="24"/>
          <w:szCs w:val="24"/>
        </w:rPr>
        <w:t>asumidas</w:t>
      </w:r>
      <w:r w:rsidRPr="00180D2C">
        <w:rPr>
          <w:rFonts w:ascii="Arial" w:hAnsi="Arial" w:cs="Arial"/>
          <w:spacing w:val="-2"/>
          <w:sz w:val="24"/>
          <w:szCs w:val="24"/>
        </w:rPr>
        <w:t xml:space="preserve"> </w:t>
      </w:r>
      <w:r w:rsidRPr="00180D2C">
        <w:rPr>
          <w:rFonts w:ascii="Arial" w:hAnsi="Arial" w:cs="Arial"/>
          <w:sz w:val="24"/>
          <w:szCs w:val="24"/>
        </w:rPr>
        <w:t>por</w:t>
      </w:r>
      <w:r w:rsidRPr="00180D2C">
        <w:rPr>
          <w:rFonts w:ascii="Arial" w:hAnsi="Arial" w:cs="Arial"/>
          <w:spacing w:val="-1"/>
          <w:sz w:val="24"/>
          <w:szCs w:val="24"/>
        </w:rPr>
        <w:t xml:space="preserve"> </w:t>
      </w:r>
      <w:r w:rsidRPr="00180D2C">
        <w:rPr>
          <w:rFonts w:ascii="Arial" w:hAnsi="Arial" w:cs="Arial"/>
          <w:sz w:val="24"/>
          <w:szCs w:val="24"/>
        </w:rPr>
        <w:t>el</w:t>
      </w:r>
      <w:r w:rsidRPr="00180D2C">
        <w:rPr>
          <w:rFonts w:ascii="Arial" w:hAnsi="Arial" w:cs="Arial"/>
          <w:spacing w:val="-6"/>
          <w:sz w:val="24"/>
          <w:szCs w:val="24"/>
        </w:rPr>
        <w:t xml:space="preserve"> </w:t>
      </w:r>
      <w:r w:rsidRPr="00180D2C">
        <w:rPr>
          <w:rFonts w:ascii="Arial" w:hAnsi="Arial" w:cs="Arial"/>
          <w:sz w:val="24"/>
          <w:szCs w:val="24"/>
        </w:rPr>
        <w:t>gobierno</w:t>
      </w:r>
      <w:r w:rsidRPr="00180D2C">
        <w:rPr>
          <w:rFonts w:ascii="Arial" w:hAnsi="Arial" w:cs="Arial"/>
          <w:spacing w:val="-3"/>
          <w:sz w:val="24"/>
          <w:szCs w:val="24"/>
        </w:rPr>
        <w:t xml:space="preserve"> </w:t>
      </w:r>
      <w:r w:rsidRPr="00180D2C">
        <w:rPr>
          <w:rFonts w:ascii="Arial" w:hAnsi="Arial" w:cs="Arial"/>
          <w:sz w:val="24"/>
          <w:szCs w:val="24"/>
        </w:rPr>
        <w:t>que</w:t>
      </w:r>
      <w:r w:rsidRPr="00180D2C">
        <w:rPr>
          <w:rFonts w:ascii="Arial" w:hAnsi="Arial" w:cs="Arial"/>
          <w:spacing w:val="-3"/>
          <w:sz w:val="24"/>
          <w:szCs w:val="24"/>
        </w:rPr>
        <w:t xml:space="preserve"> </w:t>
      </w:r>
      <w:r w:rsidRPr="00180D2C">
        <w:rPr>
          <w:rFonts w:ascii="Arial" w:hAnsi="Arial" w:cs="Arial"/>
          <w:sz w:val="24"/>
          <w:szCs w:val="24"/>
        </w:rPr>
        <w:t xml:space="preserve">se </w:t>
      </w:r>
      <w:r w:rsidRPr="00180D2C">
        <w:rPr>
          <w:rFonts w:ascii="Arial" w:hAnsi="Arial" w:cs="Arial"/>
          <w:spacing w:val="-2"/>
          <w:sz w:val="24"/>
          <w:szCs w:val="24"/>
        </w:rPr>
        <w:t>derivan</w:t>
      </w:r>
      <w:r w:rsidRPr="00180D2C">
        <w:rPr>
          <w:rFonts w:ascii="Arial" w:hAnsi="Arial" w:cs="Arial"/>
          <w:spacing w:val="-5"/>
          <w:sz w:val="24"/>
          <w:szCs w:val="24"/>
        </w:rPr>
        <w:t xml:space="preserve"> </w:t>
      </w:r>
      <w:r w:rsidRPr="00180D2C">
        <w:rPr>
          <w:rFonts w:ascii="Arial" w:hAnsi="Arial" w:cs="Arial"/>
          <w:spacing w:val="-2"/>
          <w:sz w:val="24"/>
          <w:szCs w:val="24"/>
        </w:rPr>
        <w:t>de</w:t>
      </w:r>
      <w:r w:rsidRPr="00180D2C">
        <w:rPr>
          <w:rFonts w:ascii="Arial" w:hAnsi="Arial" w:cs="Arial"/>
          <w:spacing w:val="-9"/>
          <w:sz w:val="24"/>
          <w:szCs w:val="24"/>
        </w:rPr>
        <w:t xml:space="preserve"> </w:t>
      </w:r>
      <w:r w:rsidRPr="00180D2C">
        <w:rPr>
          <w:rFonts w:ascii="Arial" w:hAnsi="Arial" w:cs="Arial"/>
          <w:spacing w:val="-2"/>
          <w:sz w:val="24"/>
          <w:szCs w:val="24"/>
        </w:rPr>
        <w:lastRenderedPageBreak/>
        <w:t>los</w:t>
      </w:r>
      <w:r w:rsidRPr="00180D2C">
        <w:rPr>
          <w:rFonts w:ascii="Arial" w:hAnsi="Arial" w:cs="Arial"/>
          <w:spacing w:val="-9"/>
          <w:sz w:val="24"/>
          <w:szCs w:val="24"/>
        </w:rPr>
        <w:t xml:space="preserve"> </w:t>
      </w:r>
      <w:r w:rsidRPr="00180D2C">
        <w:rPr>
          <w:rFonts w:ascii="Arial" w:hAnsi="Arial" w:cs="Arial"/>
          <w:spacing w:val="-2"/>
          <w:sz w:val="24"/>
          <w:szCs w:val="24"/>
        </w:rPr>
        <w:t>servicios</w:t>
      </w:r>
      <w:r w:rsidRPr="00180D2C">
        <w:rPr>
          <w:rFonts w:ascii="Arial" w:hAnsi="Arial" w:cs="Arial"/>
          <w:spacing w:val="-9"/>
          <w:sz w:val="24"/>
          <w:szCs w:val="24"/>
        </w:rPr>
        <w:t xml:space="preserve"> </w:t>
      </w:r>
      <w:r w:rsidRPr="00180D2C">
        <w:rPr>
          <w:rFonts w:ascii="Arial" w:hAnsi="Arial" w:cs="Arial"/>
          <w:spacing w:val="-2"/>
          <w:sz w:val="24"/>
          <w:szCs w:val="24"/>
        </w:rPr>
        <w:t>prestados</w:t>
      </w:r>
      <w:r w:rsidRPr="00180D2C">
        <w:rPr>
          <w:rFonts w:ascii="Arial" w:hAnsi="Arial" w:cs="Arial"/>
          <w:spacing w:val="-6"/>
          <w:sz w:val="24"/>
          <w:szCs w:val="24"/>
        </w:rPr>
        <w:t xml:space="preserve"> </w:t>
      </w:r>
      <w:r w:rsidRPr="00180D2C">
        <w:rPr>
          <w:rFonts w:ascii="Arial" w:hAnsi="Arial" w:cs="Arial"/>
          <w:spacing w:val="-2"/>
          <w:sz w:val="24"/>
          <w:szCs w:val="24"/>
        </w:rPr>
        <w:t>por</w:t>
      </w:r>
      <w:r w:rsidRPr="00180D2C">
        <w:rPr>
          <w:rFonts w:ascii="Arial" w:hAnsi="Arial" w:cs="Arial"/>
          <w:spacing w:val="-6"/>
          <w:sz w:val="24"/>
          <w:szCs w:val="24"/>
        </w:rPr>
        <w:t xml:space="preserve"> </w:t>
      </w:r>
      <w:r w:rsidRPr="00180D2C">
        <w:rPr>
          <w:rFonts w:ascii="Arial" w:hAnsi="Arial" w:cs="Arial"/>
          <w:spacing w:val="-2"/>
          <w:sz w:val="24"/>
          <w:szCs w:val="24"/>
        </w:rPr>
        <w:t>los</w:t>
      </w:r>
      <w:r w:rsidRPr="00180D2C">
        <w:rPr>
          <w:rFonts w:ascii="Arial" w:hAnsi="Arial" w:cs="Arial"/>
          <w:spacing w:val="-8"/>
          <w:sz w:val="24"/>
          <w:szCs w:val="24"/>
        </w:rPr>
        <w:t xml:space="preserve"> </w:t>
      </w:r>
      <w:r w:rsidRPr="00180D2C">
        <w:rPr>
          <w:rFonts w:ascii="Arial" w:hAnsi="Arial" w:cs="Arial"/>
          <w:spacing w:val="-2"/>
          <w:sz w:val="24"/>
          <w:szCs w:val="24"/>
        </w:rPr>
        <w:t>miembros</w:t>
      </w:r>
      <w:r w:rsidRPr="00180D2C">
        <w:rPr>
          <w:rFonts w:ascii="Arial" w:hAnsi="Arial" w:cs="Arial"/>
          <w:spacing w:val="-5"/>
          <w:sz w:val="24"/>
          <w:szCs w:val="24"/>
        </w:rPr>
        <w:t xml:space="preserve"> </w:t>
      </w:r>
      <w:r w:rsidRPr="00180D2C">
        <w:rPr>
          <w:rFonts w:ascii="Arial" w:hAnsi="Arial" w:cs="Arial"/>
          <w:spacing w:val="-2"/>
          <w:sz w:val="24"/>
          <w:szCs w:val="24"/>
        </w:rPr>
        <w:t>de</w:t>
      </w:r>
      <w:r w:rsidRPr="00180D2C">
        <w:rPr>
          <w:rFonts w:ascii="Arial" w:hAnsi="Arial" w:cs="Arial"/>
          <w:spacing w:val="-9"/>
          <w:sz w:val="24"/>
          <w:szCs w:val="24"/>
        </w:rPr>
        <w:t xml:space="preserve"> </w:t>
      </w:r>
      <w:r w:rsidRPr="00180D2C">
        <w:rPr>
          <w:rFonts w:ascii="Arial" w:hAnsi="Arial" w:cs="Arial"/>
          <w:spacing w:val="-2"/>
          <w:sz w:val="24"/>
          <w:szCs w:val="24"/>
        </w:rPr>
        <w:t>las</w:t>
      </w:r>
      <w:r w:rsidRPr="00180D2C">
        <w:rPr>
          <w:rFonts w:ascii="Arial" w:hAnsi="Arial" w:cs="Arial"/>
          <w:spacing w:val="-8"/>
          <w:sz w:val="24"/>
          <w:szCs w:val="24"/>
        </w:rPr>
        <w:t xml:space="preserve"> </w:t>
      </w:r>
      <w:r w:rsidRPr="00180D2C">
        <w:rPr>
          <w:rFonts w:ascii="Arial" w:hAnsi="Arial" w:cs="Arial"/>
          <w:spacing w:val="-2"/>
          <w:sz w:val="24"/>
          <w:szCs w:val="24"/>
        </w:rPr>
        <w:t>fuerzas</w:t>
      </w:r>
      <w:r w:rsidRPr="00180D2C">
        <w:rPr>
          <w:rFonts w:ascii="Arial" w:hAnsi="Arial" w:cs="Arial"/>
          <w:spacing w:val="-9"/>
          <w:sz w:val="24"/>
          <w:szCs w:val="24"/>
        </w:rPr>
        <w:t xml:space="preserve"> </w:t>
      </w:r>
      <w:r w:rsidRPr="00180D2C">
        <w:rPr>
          <w:rFonts w:ascii="Arial" w:hAnsi="Arial" w:cs="Arial"/>
          <w:spacing w:val="-2"/>
          <w:sz w:val="24"/>
          <w:szCs w:val="24"/>
        </w:rPr>
        <w:t>militares</w:t>
      </w:r>
      <w:r w:rsidRPr="00180D2C">
        <w:rPr>
          <w:rFonts w:ascii="Arial" w:hAnsi="Arial" w:cs="Arial"/>
          <w:spacing w:val="-6"/>
          <w:sz w:val="24"/>
          <w:szCs w:val="24"/>
        </w:rPr>
        <w:t xml:space="preserve"> </w:t>
      </w:r>
      <w:r w:rsidRPr="00180D2C">
        <w:rPr>
          <w:rFonts w:ascii="Arial" w:hAnsi="Arial" w:cs="Arial"/>
          <w:spacing w:val="-2"/>
          <w:sz w:val="24"/>
          <w:szCs w:val="24"/>
        </w:rPr>
        <w:t>y</w:t>
      </w:r>
      <w:r w:rsidRPr="00180D2C">
        <w:rPr>
          <w:rFonts w:ascii="Arial" w:hAnsi="Arial" w:cs="Arial"/>
          <w:spacing w:val="-5"/>
          <w:sz w:val="24"/>
          <w:szCs w:val="24"/>
        </w:rPr>
        <w:t xml:space="preserve"> </w:t>
      </w:r>
      <w:r w:rsidRPr="00180D2C">
        <w:rPr>
          <w:rFonts w:ascii="Arial" w:hAnsi="Arial" w:cs="Arial"/>
          <w:spacing w:val="-2"/>
          <w:sz w:val="24"/>
          <w:szCs w:val="24"/>
        </w:rPr>
        <w:t xml:space="preserve">sobre </w:t>
      </w:r>
      <w:r w:rsidRPr="00180D2C">
        <w:rPr>
          <w:rFonts w:ascii="Arial" w:hAnsi="Arial" w:cs="Arial"/>
          <w:sz w:val="24"/>
          <w:szCs w:val="24"/>
        </w:rPr>
        <w:t>los cuales, para liquidarlos, se deben destinar recursos una vez dicho personal consolide su derecho de retiro.</w:t>
      </w:r>
    </w:p>
    <w:p w14:paraId="2B9E840A" w14:textId="77777777" w:rsidR="00E46C0A" w:rsidRPr="00180D2C" w:rsidRDefault="00E46C0A" w:rsidP="00E95331">
      <w:pPr>
        <w:pStyle w:val="Prrafodelista"/>
        <w:tabs>
          <w:tab w:val="left" w:pos="1198"/>
        </w:tabs>
        <w:ind w:left="1198" w:right="-234"/>
        <w:rPr>
          <w:rFonts w:ascii="Arial" w:hAnsi="Arial" w:cs="Arial"/>
          <w:sz w:val="24"/>
          <w:szCs w:val="24"/>
        </w:rPr>
      </w:pPr>
    </w:p>
    <w:p w14:paraId="7B3C3EEF" w14:textId="77777777" w:rsidR="00E46C0A" w:rsidRPr="00180D2C" w:rsidRDefault="00E46C0A" w:rsidP="00E95331">
      <w:pPr>
        <w:pStyle w:val="Prrafodelista"/>
        <w:numPr>
          <w:ilvl w:val="0"/>
          <w:numId w:val="102"/>
        </w:numPr>
        <w:tabs>
          <w:tab w:val="left" w:pos="1198"/>
        </w:tabs>
        <w:ind w:right="-234"/>
        <w:jc w:val="both"/>
        <w:rPr>
          <w:rFonts w:ascii="Arial" w:hAnsi="Arial" w:cs="Arial"/>
          <w:sz w:val="24"/>
          <w:szCs w:val="24"/>
        </w:rPr>
      </w:pPr>
      <w:r w:rsidRPr="00180D2C">
        <w:rPr>
          <w:rFonts w:ascii="Arial" w:hAnsi="Arial" w:cs="Arial"/>
          <w:sz w:val="24"/>
          <w:szCs w:val="24"/>
        </w:rPr>
        <w:t>El pasivo por beneficios posempleo asociado al personal militar debe ser reconocido en los Estados Financieros de CREMIL, teniendo presente que de acuerdo con Ley 75 de 1925 la entidad se constituyó con el fin de reconocer y pagar de forma oportuna las asignaciones de retiro, pensiones y demás prestaciones que la Ley señale, a quienes adquieran ese derecho, y adicionalmente</w:t>
      </w:r>
      <w:r w:rsidRPr="00180D2C">
        <w:rPr>
          <w:rFonts w:ascii="Arial" w:hAnsi="Arial" w:cs="Arial"/>
          <w:spacing w:val="-7"/>
          <w:sz w:val="24"/>
          <w:szCs w:val="24"/>
        </w:rPr>
        <w:t xml:space="preserve"> </w:t>
      </w:r>
      <w:r w:rsidRPr="00180D2C">
        <w:rPr>
          <w:rFonts w:ascii="Arial" w:hAnsi="Arial" w:cs="Arial"/>
          <w:sz w:val="24"/>
          <w:szCs w:val="24"/>
        </w:rPr>
        <w:t>la</w:t>
      </w:r>
      <w:r w:rsidRPr="00180D2C">
        <w:rPr>
          <w:rFonts w:ascii="Arial" w:hAnsi="Arial" w:cs="Arial"/>
          <w:spacing w:val="-7"/>
          <w:sz w:val="24"/>
          <w:szCs w:val="24"/>
        </w:rPr>
        <w:t xml:space="preserve"> </w:t>
      </w:r>
      <w:r w:rsidRPr="00180D2C">
        <w:rPr>
          <w:rFonts w:ascii="Arial" w:hAnsi="Arial" w:cs="Arial"/>
          <w:sz w:val="24"/>
          <w:szCs w:val="24"/>
        </w:rPr>
        <w:t>Ley</w:t>
      </w:r>
      <w:r w:rsidRPr="00180D2C">
        <w:rPr>
          <w:rFonts w:ascii="Arial" w:hAnsi="Arial" w:cs="Arial"/>
          <w:spacing w:val="-7"/>
          <w:sz w:val="24"/>
          <w:szCs w:val="24"/>
        </w:rPr>
        <w:t xml:space="preserve"> </w:t>
      </w:r>
      <w:r w:rsidRPr="00180D2C">
        <w:rPr>
          <w:rFonts w:ascii="Arial" w:hAnsi="Arial" w:cs="Arial"/>
          <w:sz w:val="24"/>
          <w:szCs w:val="24"/>
        </w:rPr>
        <w:t>anual</w:t>
      </w:r>
      <w:r w:rsidRPr="00180D2C">
        <w:rPr>
          <w:rFonts w:ascii="Arial" w:hAnsi="Arial" w:cs="Arial"/>
          <w:spacing w:val="-8"/>
          <w:sz w:val="24"/>
          <w:szCs w:val="24"/>
        </w:rPr>
        <w:t xml:space="preserve"> </w:t>
      </w:r>
      <w:r w:rsidRPr="00180D2C">
        <w:rPr>
          <w:rFonts w:ascii="Arial" w:hAnsi="Arial" w:cs="Arial"/>
          <w:sz w:val="24"/>
          <w:szCs w:val="24"/>
        </w:rPr>
        <w:t>de</w:t>
      </w:r>
      <w:r w:rsidRPr="00180D2C">
        <w:rPr>
          <w:rFonts w:ascii="Arial" w:hAnsi="Arial" w:cs="Arial"/>
          <w:spacing w:val="-8"/>
          <w:sz w:val="24"/>
          <w:szCs w:val="24"/>
        </w:rPr>
        <w:t xml:space="preserve"> </w:t>
      </w:r>
      <w:r w:rsidRPr="00180D2C">
        <w:rPr>
          <w:rFonts w:ascii="Arial" w:hAnsi="Arial" w:cs="Arial"/>
          <w:sz w:val="24"/>
          <w:szCs w:val="24"/>
        </w:rPr>
        <w:t>apropiaciones</w:t>
      </w:r>
      <w:r w:rsidRPr="00180D2C">
        <w:rPr>
          <w:rFonts w:ascii="Arial" w:hAnsi="Arial" w:cs="Arial"/>
          <w:spacing w:val="-7"/>
          <w:sz w:val="24"/>
          <w:szCs w:val="24"/>
        </w:rPr>
        <w:t xml:space="preserve"> </w:t>
      </w:r>
      <w:r w:rsidRPr="00180D2C">
        <w:rPr>
          <w:rFonts w:ascii="Arial" w:hAnsi="Arial" w:cs="Arial"/>
          <w:sz w:val="24"/>
          <w:szCs w:val="24"/>
        </w:rPr>
        <w:t>le</w:t>
      </w:r>
      <w:r w:rsidRPr="00180D2C">
        <w:rPr>
          <w:rFonts w:ascii="Arial" w:hAnsi="Arial" w:cs="Arial"/>
          <w:spacing w:val="-7"/>
          <w:sz w:val="24"/>
          <w:szCs w:val="24"/>
        </w:rPr>
        <w:t xml:space="preserve"> </w:t>
      </w:r>
      <w:r w:rsidRPr="00180D2C">
        <w:rPr>
          <w:rFonts w:ascii="Arial" w:hAnsi="Arial" w:cs="Arial"/>
          <w:sz w:val="24"/>
          <w:szCs w:val="24"/>
        </w:rPr>
        <w:t>ha</w:t>
      </w:r>
      <w:r w:rsidRPr="00180D2C">
        <w:rPr>
          <w:rFonts w:ascii="Arial" w:hAnsi="Arial" w:cs="Arial"/>
          <w:spacing w:val="-8"/>
          <w:sz w:val="24"/>
          <w:szCs w:val="24"/>
        </w:rPr>
        <w:t xml:space="preserve"> </w:t>
      </w:r>
      <w:r w:rsidRPr="00180D2C">
        <w:rPr>
          <w:rFonts w:ascii="Arial" w:hAnsi="Arial" w:cs="Arial"/>
          <w:sz w:val="24"/>
          <w:szCs w:val="24"/>
        </w:rPr>
        <w:t>venido</w:t>
      </w:r>
      <w:r w:rsidRPr="00180D2C">
        <w:rPr>
          <w:rFonts w:ascii="Arial" w:hAnsi="Arial" w:cs="Arial"/>
          <w:spacing w:val="-8"/>
          <w:sz w:val="24"/>
          <w:szCs w:val="24"/>
        </w:rPr>
        <w:t xml:space="preserve"> </w:t>
      </w:r>
      <w:r w:rsidRPr="00180D2C">
        <w:rPr>
          <w:rFonts w:ascii="Arial" w:hAnsi="Arial" w:cs="Arial"/>
          <w:sz w:val="24"/>
          <w:szCs w:val="24"/>
        </w:rPr>
        <w:t>asignando</w:t>
      </w:r>
      <w:r w:rsidRPr="00180D2C">
        <w:rPr>
          <w:rFonts w:ascii="Arial" w:hAnsi="Arial" w:cs="Arial"/>
          <w:spacing w:val="-6"/>
          <w:sz w:val="24"/>
          <w:szCs w:val="24"/>
        </w:rPr>
        <w:t xml:space="preserve"> </w:t>
      </w:r>
      <w:r w:rsidRPr="00180D2C">
        <w:rPr>
          <w:rFonts w:ascii="Arial" w:hAnsi="Arial" w:cs="Arial"/>
          <w:sz w:val="24"/>
          <w:szCs w:val="24"/>
        </w:rPr>
        <w:t>recursos</w:t>
      </w:r>
      <w:r w:rsidRPr="00180D2C">
        <w:rPr>
          <w:rFonts w:ascii="Arial" w:hAnsi="Arial" w:cs="Arial"/>
          <w:spacing w:val="-7"/>
          <w:sz w:val="24"/>
          <w:szCs w:val="24"/>
        </w:rPr>
        <w:t xml:space="preserve"> </w:t>
      </w:r>
      <w:r w:rsidRPr="00180D2C">
        <w:rPr>
          <w:rFonts w:ascii="Arial" w:hAnsi="Arial" w:cs="Arial"/>
          <w:sz w:val="24"/>
          <w:szCs w:val="24"/>
        </w:rPr>
        <w:t>de la Nación para que cumpla con sus funciones.</w:t>
      </w:r>
    </w:p>
    <w:p w14:paraId="514745B8" w14:textId="77777777" w:rsidR="00E46C0A" w:rsidRPr="00180D2C" w:rsidRDefault="00E46C0A" w:rsidP="00E95331">
      <w:pPr>
        <w:pStyle w:val="Textoindependiente"/>
        <w:ind w:left="912" w:right="-234"/>
        <w:jc w:val="both"/>
        <w:rPr>
          <w:rFonts w:ascii="Arial" w:hAnsi="Arial" w:cs="Arial"/>
          <w:sz w:val="24"/>
          <w:szCs w:val="24"/>
        </w:rPr>
      </w:pPr>
    </w:p>
    <w:p w14:paraId="364A7717"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Desde el año 2019 CREMIL reconoce y presenta en sus Estados Financieros el pasivo por beneficios posempleo de las fuerzas militares a cargo del gobierno, aplicando</w:t>
      </w:r>
      <w:r w:rsidRPr="00180D2C">
        <w:rPr>
          <w:rFonts w:ascii="Arial" w:hAnsi="Arial" w:cs="Arial"/>
          <w:spacing w:val="-16"/>
          <w:sz w:val="24"/>
          <w:szCs w:val="24"/>
        </w:rPr>
        <w:t xml:space="preserve"> </w:t>
      </w:r>
      <w:r w:rsidRPr="00180D2C">
        <w:rPr>
          <w:rFonts w:ascii="Arial" w:hAnsi="Arial" w:cs="Arial"/>
          <w:sz w:val="24"/>
          <w:szCs w:val="24"/>
        </w:rPr>
        <w:t>para</w:t>
      </w:r>
      <w:r w:rsidRPr="00180D2C">
        <w:rPr>
          <w:rFonts w:ascii="Arial" w:hAnsi="Arial" w:cs="Arial"/>
          <w:spacing w:val="-15"/>
          <w:sz w:val="24"/>
          <w:szCs w:val="24"/>
        </w:rPr>
        <w:t xml:space="preserve"> </w:t>
      </w:r>
      <w:r w:rsidRPr="00180D2C">
        <w:rPr>
          <w:rFonts w:ascii="Arial" w:hAnsi="Arial" w:cs="Arial"/>
          <w:sz w:val="24"/>
          <w:szCs w:val="24"/>
        </w:rPr>
        <w:t>ello</w:t>
      </w:r>
      <w:r w:rsidRPr="00180D2C">
        <w:rPr>
          <w:rFonts w:ascii="Arial" w:hAnsi="Arial" w:cs="Arial"/>
          <w:spacing w:val="-14"/>
          <w:sz w:val="24"/>
          <w:szCs w:val="24"/>
        </w:rPr>
        <w:t xml:space="preserve"> </w:t>
      </w:r>
      <w:r w:rsidRPr="00180D2C">
        <w:rPr>
          <w:rFonts w:ascii="Arial" w:hAnsi="Arial" w:cs="Arial"/>
          <w:sz w:val="24"/>
          <w:szCs w:val="24"/>
        </w:rPr>
        <w:t>la</w:t>
      </w:r>
      <w:r w:rsidRPr="00180D2C">
        <w:rPr>
          <w:rFonts w:ascii="Arial" w:hAnsi="Arial" w:cs="Arial"/>
          <w:spacing w:val="-14"/>
          <w:sz w:val="24"/>
          <w:szCs w:val="24"/>
        </w:rPr>
        <w:t xml:space="preserve"> </w:t>
      </w:r>
      <w:r w:rsidRPr="00180D2C">
        <w:rPr>
          <w:rFonts w:ascii="Arial" w:hAnsi="Arial" w:cs="Arial"/>
          <w:sz w:val="24"/>
          <w:szCs w:val="24"/>
        </w:rPr>
        <w:t>Resolución</w:t>
      </w:r>
      <w:r w:rsidRPr="00180D2C">
        <w:rPr>
          <w:rFonts w:ascii="Arial" w:hAnsi="Arial" w:cs="Arial"/>
          <w:spacing w:val="-14"/>
          <w:sz w:val="24"/>
          <w:szCs w:val="24"/>
        </w:rPr>
        <w:t xml:space="preserve"> </w:t>
      </w:r>
      <w:r w:rsidRPr="00180D2C">
        <w:rPr>
          <w:rFonts w:ascii="Arial" w:hAnsi="Arial" w:cs="Arial"/>
          <w:sz w:val="24"/>
          <w:szCs w:val="24"/>
        </w:rPr>
        <w:t>320</w:t>
      </w:r>
      <w:r w:rsidRPr="00180D2C">
        <w:rPr>
          <w:rFonts w:ascii="Arial" w:hAnsi="Arial" w:cs="Arial"/>
          <w:spacing w:val="-14"/>
          <w:sz w:val="24"/>
          <w:szCs w:val="24"/>
        </w:rPr>
        <w:t xml:space="preserve"> </w:t>
      </w:r>
      <w:r w:rsidRPr="00180D2C">
        <w:rPr>
          <w:rFonts w:ascii="Arial" w:hAnsi="Arial" w:cs="Arial"/>
          <w:sz w:val="24"/>
          <w:szCs w:val="24"/>
        </w:rPr>
        <w:t>de</w:t>
      </w:r>
      <w:r w:rsidRPr="00180D2C">
        <w:rPr>
          <w:rFonts w:ascii="Arial" w:hAnsi="Arial" w:cs="Arial"/>
          <w:spacing w:val="-13"/>
          <w:sz w:val="24"/>
          <w:szCs w:val="24"/>
        </w:rPr>
        <w:t xml:space="preserve"> </w:t>
      </w:r>
      <w:r w:rsidRPr="00180D2C">
        <w:rPr>
          <w:rFonts w:ascii="Arial" w:hAnsi="Arial" w:cs="Arial"/>
          <w:sz w:val="24"/>
          <w:szCs w:val="24"/>
        </w:rPr>
        <w:t>2019</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4"/>
          <w:sz w:val="24"/>
          <w:szCs w:val="24"/>
        </w:rPr>
        <w:t xml:space="preserve"> </w:t>
      </w:r>
      <w:r w:rsidRPr="00180D2C">
        <w:rPr>
          <w:rFonts w:ascii="Arial" w:hAnsi="Arial" w:cs="Arial"/>
          <w:sz w:val="24"/>
          <w:szCs w:val="24"/>
        </w:rPr>
        <w:t>Contaduría</w:t>
      </w:r>
      <w:r w:rsidRPr="00180D2C">
        <w:rPr>
          <w:rFonts w:ascii="Arial" w:hAnsi="Arial" w:cs="Arial"/>
          <w:spacing w:val="-16"/>
          <w:sz w:val="24"/>
          <w:szCs w:val="24"/>
        </w:rPr>
        <w:t xml:space="preserve"> </w:t>
      </w:r>
      <w:r w:rsidRPr="00180D2C">
        <w:rPr>
          <w:rFonts w:ascii="Arial" w:hAnsi="Arial" w:cs="Arial"/>
          <w:sz w:val="24"/>
          <w:szCs w:val="24"/>
        </w:rPr>
        <w:t>General</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4"/>
          <w:sz w:val="24"/>
          <w:szCs w:val="24"/>
        </w:rPr>
        <w:t xml:space="preserve"> </w:t>
      </w:r>
      <w:r w:rsidRPr="00180D2C">
        <w:rPr>
          <w:rFonts w:ascii="Arial" w:hAnsi="Arial" w:cs="Arial"/>
          <w:sz w:val="24"/>
          <w:szCs w:val="24"/>
        </w:rPr>
        <w:t>Nación. Este procedimiento</w:t>
      </w:r>
      <w:r w:rsidRPr="00180D2C">
        <w:rPr>
          <w:rFonts w:ascii="Arial" w:hAnsi="Arial" w:cs="Arial"/>
          <w:spacing w:val="-1"/>
          <w:sz w:val="24"/>
          <w:szCs w:val="24"/>
        </w:rPr>
        <w:t xml:space="preserve"> </w:t>
      </w:r>
      <w:r w:rsidRPr="00180D2C">
        <w:rPr>
          <w:rFonts w:ascii="Arial" w:hAnsi="Arial" w:cs="Arial"/>
          <w:sz w:val="24"/>
          <w:szCs w:val="24"/>
        </w:rPr>
        <w:t>altera significativamente</w:t>
      </w:r>
      <w:r w:rsidRPr="00180D2C">
        <w:rPr>
          <w:rFonts w:ascii="Arial" w:hAnsi="Arial" w:cs="Arial"/>
          <w:spacing w:val="-1"/>
          <w:sz w:val="24"/>
          <w:szCs w:val="24"/>
        </w:rPr>
        <w:t xml:space="preserve"> </w:t>
      </w:r>
      <w:r w:rsidRPr="00180D2C">
        <w:rPr>
          <w:rFonts w:ascii="Arial" w:hAnsi="Arial" w:cs="Arial"/>
          <w:sz w:val="24"/>
          <w:szCs w:val="24"/>
        </w:rPr>
        <w:t>la situación</w:t>
      </w:r>
      <w:r w:rsidRPr="00180D2C">
        <w:rPr>
          <w:rFonts w:ascii="Arial" w:hAnsi="Arial" w:cs="Arial"/>
          <w:spacing w:val="-1"/>
          <w:sz w:val="24"/>
          <w:szCs w:val="24"/>
        </w:rPr>
        <w:t xml:space="preserve"> </w:t>
      </w:r>
      <w:r w:rsidRPr="00180D2C">
        <w:rPr>
          <w:rFonts w:ascii="Arial" w:hAnsi="Arial" w:cs="Arial"/>
          <w:sz w:val="24"/>
          <w:szCs w:val="24"/>
        </w:rPr>
        <w:t>financiera y los excedentes de CREMIL, tal como se detalla a continuación:</w:t>
      </w:r>
    </w:p>
    <w:p w14:paraId="61C77FA0" w14:textId="77777777" w:rsidR="00E46C0A" w:rsidRPr="00180D2C" w:rsidRDefault="00E46C0A" w:rsidP="00E95331">
      <w:pPr>
        <w:pStyle w:val="Textoindependiente"/>
        <w:ind w:left="912" w:right="-234"/>
        <w:jc w:val="both"/>
        <w:rPr>
          <w:rFonts w:ascii="Arial" w:hAnsi="Arial" w:cs="Arial"/>
          <w:sz w:val="24"/>
          <w:szCs w:val="24"/>
        </w:rPr>
      </w:pPr>
    </w:p>
    <w:p w14:paraId="3D7807E6" w14:textId="77777777" w:rsidR="00E46C0A" w:rsidRPr="00180D2C" w:rsidRDefault="00E46C0A" w:rsidP="00E95331">
      <w:pPr>
        <w:pStyle w:val="Prrafodelista"/>
        <w:numPr>
          <w:ilvl w:val="1"/>
          <w:numId w:val="102"/>
        </w:numPr>
        <w:tabs>
          <w:tab w:val="left" w:pos="1337"/>
        </w:tabs>
        <w:ind w:right="-234"/>
        <w:jc w:val="both"/>
        <w:rPr>
          <w:rFonts w:ascii="Arial" w:hAnsi="Arial" w:cs="Arial"/>
          <w:sz w:val="24"/>
          <w:szCs w:val="24"/>
        </w:rPr>
      </w:pPr>
      <w:r w:rsidRPr="00180D2C">
        <w:rPr>
          <w:rFonts w:ascii="Arial" w:hAnsi="Arial" w:cs="Arial"/>
          <w:sz w:val="24"/>
          <w:szCs w:val="24"/>
        </w:rPr>
        <w:t>Como se indica en la Nota 22 de los Estados Financieros al</w:t>
      </w:r>
      <w:r w:rsidRPr="00180D2C">
        <w:rPr>
          <w:rFonts w:ascii="Arial" w:hAnsi="Arial" w:cs="Arial"/>
          <w:spacing w:val="-1"/>
          <w:sz w:val="24"/>
          <w:szCs w:val="24"/>
        </w:rPr>
        <w:t xml:space="preserve"> </w:t>
      </w:r>
      <w:r w:rsidRPr="00180D2C">
        <w:rPr>
          <w:rFonts w:ascii="Arial" w:hAnsi="Arial" w:cs="Arial"/>
          <w:sz w:val="24"/>
          <w:szCs w:val="24"/>
        </w:rPr>
        <w:t>31 de diciembre de 2024 el pasivo por beneficios posempleo ascendía a $139,36 billones, sin embargo, $33.004 millones correspondían únicamente a obligaciones de CREMIL,</w:t>
      </w:r>
      <w:r w:rsidRPr="00180D2C">
        <w:rPr>
          <w:rFonts w:ascii="Arial" w:hAnsi="Arial" w:cs="Arial"/>
          <w:spacing w:val="-4"/>
          <w:sz w:val="24"/>
          <w:szCs w:val="24"/>
        </w:rPr>
        <w:t xml:space="preserve"> </w:t>
      </w:r>
      <w:r w:rsidRPr="00180D2C">
        <w:rPr>
          <w:rFonts w:ascii="Arial" w:hAnsi="Arial" w:cs="Arial"/>
          <w:sz w:val="24"/>
          <w:szCs w:val="24"/>
        </w:rPr>
        <w:t>con</w:t>
      </w:r>
      <w:r w:rsidRPr="00180D2C">
        <w:rPr>
          <w:rFonts w:ascii="Arial" w:hAnsi="Arial" w:cs="Arial"/>
          <w:spacing w:val="-5"/>
          <w:sz w:val="24"/>
          <w:szCs w:val="24"/>
        </w:rPr>
        <w:t xml:space="preserve"> </w:t>
      </w:r>
      <w:r w:rsidRPr="00180D2C">
        <w:rPr>
          <w:rFonts w:ascii="Arial" w:hAnsi="Arial" w:cs="Arial"/>
          <w:sz w:val="24"/>
          <w:szCs w:val="24"/>
        </w:rPr>
        <w:t>lo</w:t>
      </w:r>
      <w:r w:rsidRPr="00180D2C">
        <w:rPr>
          <w:rFonts w:ascii="Arial" w:hAnsi="Arial" w:cs="Arial"/>
          <w:spacing w:val="-5"/>
          <w:sz w:val="24"/>
          <w:szCs w:val="24"/>
        </w:rPr>
        <w:t xml:space="preserve"> </w:t>
      </w:r>
      <w:r w:rsidRPr="00180D2C">
        <w:rPr>
          <w:rFonts w:ascii="Arial" w:hAnsi="Arial" w:cs="Arial"/>
          <w:sz w:val="24"/>
          <w:szCs w:val="24"/>
        </w:rPr>
        <w:t>cual</w:t>
      </w:r>
      <w:r w:rsidRPr="00180D2C">
        <w:rPr>
          <w:rFonts w:ascii="Arial" w:hAnsi="Arial" w:cs="Arial"/>
          <w:spacing w:val="-3"/>
          <w:sz w:val="24"/>
          <w:szCs w:val="24"/>
        </w:rPr>
        <w:t xml:space="preserve"> </w:t>
      </w:r>
      <w:r w:rsidRPr="00180D2C">
        <w:rPr>
          <w:rFonts w:ascii="Arial" w:hAnsi="Arial" w:cs="Arial"/>
          <w:sz w:val="24"/>
          <w:szCs w:val="24"/>
        </w:rPr>
        <w:t>los</w:t>
      </w:r>
      <w:r w:rsidRPr="00180D2C">
        <w:rPr>
          <w:rFonts w:ascii="Arial" w:hAnsi="Arial" w:cs="Arial"/>
          <w:spacing w:val="-6"/>
          <w:sz w:val="24"/>
          <w:szCs w:val="24"/>
        </w:rPr>
        <w:t xml:space="preserve"> </w:t>
      </w:r>
      <w:r w:rsidRPr="00180D2C">
        <w:rPr>
          <w:rFonts w:ascii="Arial" w:hAnsi="Arial" w:cs="Arial"/>
          <w:sz w:val="24"/>
          <w:szCs w:val="24"/>
        </w:rPr>
        <w:t>restantes</w:t>
      </w:r>
      <w:r w:rsidRPr="00180D2C">
        <w:rPr>
          <w:rFonts w:ascii="Arial" w:hAnsi="Arial" w:cs="Arial"/>
          <w:spacing w:val="-5"/>
          <w:sz w:val="24"/>
          <w:szCs w:val="24"/>
        </w:rPr>
        <w:t xml:space="preserve"> </w:t>
      </w:r>
      <w:r w:rsidRPr="00180D2C">
        <w:rPr>
          <w:rFonts w:ascii="Arial" w:hAnsi="Arial" w:cs="Arial"/>
          <w:sz w:val="24"/>
          <w:szCs w:val="24"/>
        </w:rPr>
        <w:t>$139,33</w:t>
      </w:r>
      <w:r w:rsidRPr="00180D2C">
        <w:rPr>
          <w:rFonts w:ascii="Arial" w:hAnsi="Arial" w:cs="Arial"/>
          <w:spacing w:val="-5"/>
          <w:sz w:val="24"/>
          <w:szCs w:val="24"/>
        </w:rPr>
        <w:t xml:space="preserve"> </w:t>
      </w:r>
      <w:r w:rsidRPr="00180D2C">
        <w:rPr>
          <w:rFonts w:ascii="Arial" w:hAnsi="Arial" w:cs="Arial"/>
          <w:sz w:val="24"/>
          <w:szCs w:val="24"/>
        </w:rPr>
        <w:t>billones</w:t>
      </w:r>
      <w:r w:rsidRPr="00180D2C">
        <w:rPr>
          <w:rFonts w:ascii="Arial" w:hAnsi="Arial" w:cs="Arial"/>
          <w:spacing w:val="-3"/>
          <w:sz w:val="24"/>
          <w:szCs w:val="24"/>
        </w:rPr>
        <w:t xml:space="preserve"> </w:t>
      </w:r>
      <w:r w:rsidRPr="00180D2C">
        <w:rPr>
          <w:rFonts w:ascii="Arial" w:hAnsi="Arial" w:cs="Arial"/>
          <w:sz w:val="24"/>
          <w:szCs w:val="24"/>
        </w:rPr>
        <w:t>son</w:t>
      </w:r>
      <w:r w:rsidRPr="00180D2C">
        <w:rPr>
          <w:rFonts w:ascii="Arial" w:hAnsi="Arial" w:cs="Arial"/>
          <w:spacing w:val="-5"/>
          <w:sz w:val="24"/>
          <w:szCs w:val="24"/>
        </w:rPr>
        <w:t xml:space="preserve"> </w:t>
      </w:r>
      <w:r w:rsidRPr="00180D2C">
        <w:rPr>
          <w:rFonts w:ascii="Arial" w:hAnsi="Arial" w:cs="Arial"/>
          <w:sz w:val="24"/>
          <w:szCs w:val="24"/>
        </w:rPr>
        <w:t>obligaciones</w:t>
      </w:r>
      <w:r w:rsidRPr="00180D2C">
        <w:rPr>
          <w:rFonts w:ascii="Arial" w:hAnsi="Arial" w:cs="Arial"/>
          <w:spacing w:val="-3"/>
          <w:sz w:val="24"/>
          <w:szCs w:val="24"/>
        </w:rPr>
        <w:t xml:space="preserve"> </w:t>
      </w:r>
      <w:r w:rsidRPr="00180D2C">
        <w:rPr>
          <w:rFonts w:ascii="Arial" w:hAnsi="Arial" w:cs="Arial"/>
          <w:sz w:val="24"/>
          <w:szCs w:val="24"/>
        </w:rPr>
        <w:t>a</w:t>
      </w:r>
      <w:r w:rsidRPr="00180D2C">
        <w:rPr>
          <w:rFonts w:ascii="Arial" w:hAnsi="Arial" w:cs="Arial"/>
          <w:spacing w:val="-5"/>
          <w:sz w:val="24"/>
          <w:szCs w:val="24"/>
        </w:rPr>
        <w:t xml:space="preserve"> </w:t>
      </w:r>
      <w:r w:rsidRPr="00180D2C">
        <w:rPr>
          <w:rFonts w:ascii="Arial" w:hAnsi="Arial" w:cs="Arial"/>
          <w:sz w:val="24"/>
          <w:szCs w:val="24"/>
        </w:rPr>
        <w:t>cargo</w:t>
      </w:r>
      <w:r w:rsidRPr="00180D2C">
        <w:rPr>
          <w:rFonts w:ascii="Arial" w:hAnsi="Arial" w:cs="Arial"/>
          <w:spacing w:val="-3"/>
          <w:sz w:val="24"/>
          <w:szCs w:val="24"/>
        </w:rPr>
        <w:t xml:space="preserve"> </w:t>
      </w:r>
      <w:r w:rsidRPr="00180D2C">
        <w:rPr>
          <w:rFonts w:ascii="Arial" w:hAnsi="Arial" w:cs="Arial"/>
          <w:sz w:val="24"/>
          <w:szCs w:val="24"/>
        </w:rPr>
        <w:t>del gobierno por beneficios posempleo de las fuerzas militares. (En 2023 $33.220 millones y $125,70 billones respectivamente).</w:t>
      </w:r>
    </w:p>
    <w:p w14:paraId="40D3D62D" w14:textId="77777777" w:rsidR="00E46C0A" w:rsidRPr="00180D2C" w:rsidRDefault="00E46C0A" w:rsidP="00E95331">
      <w:pPr>
        <w:pStyle w:val="Prrafodelista"/>
        <w:tabs>
          <w:tab w:val="left" w:pos="1337"/>
        </w:tabs>
        <w:ind w:left="1337" w:right="-234"/>
        <w:rPr>
          <w:rFonts w:ascii="Arial" w:hAnsi="Arial" w:cs="Arial"/>
          <w:sz w:val="24"/>
          <w:szCs w:val="24"/>
        </w:rPr>
      </w:pPr>
    </w:p>
    <w:p w14:paraId="19CC4B1A" w14:textId="77777777" w:rsidR="00E46C0A" w:rsidRPr="00180D2C" w:rsidRDefault="00E46C0A" w:rsidP="00E95331">
      <w:pPr>
        <w:pStyle w:val="Prrafodelista"/>
        <w:numPr>
          <w:ilvl w:val="1"/>
          <w:numId w:val="102"/>
        </w:numPr>
        <w:tabs>
          <w:tab w:val="left" w:pos="1337"/>
        </w:tabs>
        <w:ind w:right="-234"/>
        <w:jc w:val="both"/>
        <w:rPr>
          <w:rFonts w:ascii="Arial" w:hAnsi="Arial" w:cs="Arial"/>
          <w:sz w:val="24"/>
          <w:szCs w:val="24"/>
        </w:rPr>
      </w:pPr>
      <w:r w:rsidRPr="00180D2C">
        <w:rPr>
          <w:rFonts w:ascii="Arial" w:hAnsi="Arial" w:cs="Arial"/>
          <w:sz w:val="24"/>
          <w:szCs w:val="24"/>
        </w:rPr>
        <w:t>Al</w:t>
      </w:r>
      <w:r w:rsidRPr="00180D2C">
        <w:rPr>
          <w:rFonts w:ascii="Arial" w:hAnsi="Arial" w:cs="Arial"/>
          <w:spacing w:val="-8"/>
          <w:sz w:val="24"/>
          <w:szCs w:val="24"/>
        </w:rPr>
        <w:t xml:space="preserve"> </w:t>
      </w:r>
      <w:r w:rsidRPr="00180D2C">
        <w:rPr>
          <w:rFonts w:ascii="Arial" w:hAnsi="Arial" w:cs="Arial"/>
          <w:sz w:val="24"/>
          <w:szCs w:val="24"/>
        </w:rPr>
        <w:t>31</w:t>
      </w:r>
      <w:r w:rsidRPr="00180D2C">
        <w:rPr>
          <w:rFonts w:ascii="Arial" w:hAnsi="Arial" w:cs="Arial"/>
          <w:spacing w:val="-8"/>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diciembre</w:t>
      </w:r>
      <w:r w:rsidRPr="00180D2C">
        <w:rPr>
          <w:rFonts w:ascii="Arial" w:hAnsi="Arial" w:cs="Arial"/>
          <w:spacing w:val="-9"/>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2024</w:t>
      </w:r>
      <w:r w:rsidRPr="00180D2C">
        <w:rPr>
          <w:rFonts w:ascii="Arial" w:hAnsi="Arial" w:cs="Arial"/>
          <w:spacing w:val="-8"/>
          <w:sz w:val="24"/>
          <w:szCs w:val="24"/>
        </w:rPr>
        <w:t xml:space="preserve"> </w:t>
      </w:r>
      <w:r w:rsidRPr="00180D2C">
        <w:rPr>
          <w:rFonts w:ascii="Arial" w:hAnsi="Arial" w:cs="Arial"/>
          <w:sz w:val="24"/>
          <w:szCs w:val="24"/>
        </w:rPr>
        <w:t>se</w:t>
      </w:r>
      <w:r w:rsidRPr="00180D2C">
        <w:rPr>
          <w:rFonts w:ascii="Arial" w:hAnsi="Arial" w:cs="Arial"/>
          <w:spacing w:val="-9"/>
          <w:sz w:val="24"/>
          <w:szCs w:val="24"/>
        </w:rPr>
        <w:t xml:space="preserve"> </w:t>
      </w:r>
      <w:r w:rsidRPr="00180D2C">
        <w:rPr>
          <w:rFonts w:ascii="Arial" w:hAnsi="Arial" w:cs="Arial"/>
          <w:sz w:val="24"/>
          <w:szCs w:val="24"/>
        </w:rPr>
        <w:t>incluían</w:t>
      </w:r>
      <w:r w:rsidRPr="00180D2C">
        <w:rPr>
          <w:rFonts w:ascii="Arial" w:hAnsi="Arial" w:cs="Arial"/>
          <w:spacing w:val="-10"/>
          <w:sz w:val="24"/>
          <w:szCs w:val="24"/>
        </w:rPr>
        <w:t xml:space="preserve"> </w:t>
      </w:r>
      <w:r w:rsidRPr="00180D2C">
        <w:rPr>
          <w:rFonts w:ascii="Arial" w:hAnsi="Arial" w:cs="Arial"/>
          <w:sz w:val="24"/>
          <w:szCs w:val="24"/>
        </w:rPr>
        <w:t>como</w:t>
      </w:r>
      <w:r w:rsidRPr="00180D2C">
        <w:rPr>
          <w:rFonts w:ascii="Arial" w:hAnsi="Arial" w:cs="Arial"/>
          <w:spacing w:val="-9"/>
          <w:sz w:val="24"/>
          <w:szCs w:val="24"/>
        </w:rPr>
        <w:t xml:space="preserve"> </w:t>
      </w:r>
      <w:r w:rsidRPr="00180D2C">
        <w:rPr>
          <w:rFonts w:ascii="Arial" w:hAnsi="Arial" w:cs="Arial"/>
          <w:sz w:val="24"/>
          <w:szCs w:val="24"/>
        </w:rPr>
        <w:t>activos</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CREMIL</w:t>
      </w:r>
      <w:r w:rsidRPr="00180D2C">
        <w:rPr>
          <w:rFonts w:ascii="Arial" w:hAnsi="Arial" w:cs="Arial"/>
          <w:spacing w:val="-9"/>
          <w:sz w:val="24"/>
          <w:szCs w:val="24"/>
        </w:rPr>
        <w:t xml:space="preserve"> </w:t>
      </w:r>
      <w:r w:rsidRPr="00180D2C">
        <w:rPr>
          <w:rFonts w:ascii="Arial" w:hAnsi="Arial" w:cs="Arial"/>
          <w:sz w:val="24"/>
          <w:szCs w:val="24"/>
        </w:rPr>
        <w:t>los</w:t>
      </w:r>
      <w:r w:rsidRPr="00180D2C">
        <w:rPr>
          <w:rFonts w:ascii="Arial" w:hAnsi="Arial" w:cs="Arial"/>
          <w:spacing w:val="-9"/>
          <w:sz w:val="24"/>
          <w:szCs w:val="24"/>
        </w:rPr>
        <w:t xml:space="preserve"> </w:t>
      </w:r>
      <w:r w:rsidRPr="00180D2C">
        <w:rPr>
          <w:rFonts w:ascii="Arial" w:hAnsi="Arial" w:cs="Arial"/>
          <w:sz w:val="24"/>
          <w:szCs w:val="24"/>
        </w:rPr>
        <w:t>aportes</w:t>
      </w:r>
      <w:r w:rsidRPr="00180D2C">
        <w:rPr>
          <w:rFonts w:ascii="Arial" w:hAnsi="Arial" w:cs="Arial"/>
          <w:spacing w:val="-7"/>
          <w:sz w:val="24"/>
          <w:szCs w:val="24"/>
        </w:rPr>
        <w:t xml:space="preserve"> </w:t>
      </w:r>
      <w:r w:rsidRPr="00180D2C">
        <w:rPr>
          <w:rFonts w:ascii="Arial" w:hAnsi="Arial" w:cs="Arial"/>
          <w:sz w:val="24"/>
          <w:szCs w:val="24"/>
        </w:rPr>
        <w:t>que realizan los</w:t>
      </w:r>
      <w:r w:rsidRPr="00180D2C">
        <w:rPr>
          <w:rFonts w:ascii="Arial" w:hAnsi="Arial" w:cs="Arial"/>
          <w:spacing w:val="-1"/>
          <w:sz w:val="24"/>
          <w:szCs w:val="24"/>
        </w:rPr>
        <w:t xml:space="preserve"> </w:t>
      </w:r>
      <w:r w:rsidRPr="00180D2C">
        <w:rPr>
          <w:rFonts w:ascii="Arial" w:hAnsi="Arial" w:cs="Arial"/>
          <w:sz w:val="24"/>
          <w:szCs w:val="24"/>
        </w:rPr>
        <w:t>miembros de</w:t>
      </w:r>
      <w:r w:rsidRPr="00180D2C">
        <w:rPr>
          <w:rFonts w:ascii="Arial" w:hAnsi="Arial" w:cs="Arial"/>
          <w:spacing w:val="-2"/>
          <w:sz w:val="24"/>
          <w:szCs w:val="24"/>
        </w:rPr>
        <w:t xml:space="preserve"> </w:t>
      </w:r>
      <w:r w:rsidRPr="00180D2C">
        <w:rPr>
          <w:rFonts w:ascii="Arial" w:hAnsi="Arial" w:cs="Arial"/>
          <w:sz w:val="24"/>
          <w:szCs w:val="24"/>
        </w:rPr>
        <w:t>las</w:t>
      </w:r>
      <w:r w:rsidRPr="00180D2C">
        <w:rPr>
          <w:rFonts w:ascii="Arial" w:hAnsi="Arial" w:cs="Arial"/>
          <w:spacing w:val="-2"/>
          <w:sz w:val="24"/>
          <w:szCs w:val="24"/>
        </w:rPr>
        <w:t xml:space="preserve"> </w:t>
      </w:r>
      <w:r w:rsidRPr="00180D2C">
        <w:rPr>
          <w:rFonts w:ascii="Arial" w:hAnsi="Arial" w:cs="Arial"/>
          <w:sz w:val="24"/>
          <w:szCs w:val="24"/>
        </w:rPr>
        <w:t>fuerzas</w:t>
      </w:r>
      <w:r w:rsidRPr="00180D2C">
        <w:rPr>
          <w:rFonts w:ascii="Arial" w:hAnsi="Arial" w:cs="Arial"/>
          <w:spacing w:val="-4"/>
          <w:sz w:val="24"/>
          <w:szCs w:val="24"/>
        </w:rPr>
        <w:t xml:space="preserve"> </w:t>
      </w:r>
      <w:r w:rsidRPr="00180D2C">
        <w:rPr>
          <w:rFonts w:ascii="Arial" w:hAnsi="Arial" w:cs="Arial"/>
          <w:sz w:val="24"/>
          <w:szCs w:val="24"/>
        </w:rPr>
        <w:t>militares en</w:t>
      </w:r>
      <w:r w:rsidRPr="00180D2C">
        <w:rPr>
          <w:rFonts w:ascii="Arial" w:hAnsi="Arial" w:cs="Arial"/>
          <w:spacing w:val="-4"/>
          <w:sz w:val="24"/>
          <w:szCs w:val="24"/>
        </w:rPr>
        <w:t xml:space="preserve"> </w:t>
      </w:r>
      <w:r w:rsidRPr="00180D2C">
        <w:rPr>
          <w:rFonts w:ascii="Arial" w:hAnsi="Arial" w:cs="Arial"/>
          <w:sz w:val="24"/>
          <w:szCs w:val="24"/>
        </w:rPr>
        <w:t>servicio activo para el</w:t>
      </w:r>
      <w:r w:rsidRPr="00180D2C">
        <w:rPr>
          <w:rFonts w:ascii="Arial" w:hAnsi="Arial" w:cs="Arial"/>
          <w:spacing w:val="-1"/>
          <w:sz w:val="24"/>
          <w:szCs w:val="24"/>
        </w:rPr>
        <w:t xml:space="preserve"> </w:t>
      </w:r>
      <w:r w:rsidRPr="00180D2C">
        <w:rPr>
          <w:rFonts w:ascii="Arial" w:hAnsi="Arial" w:cs="Arial"/>
          <w:sz w:val="24"/>
          <w:szCs w:val="24"/>
        </w:rPr>
        <w:t>pago de las asignaciones de retiro por $28.585 millones. (En 2023 $56.590 millones). Estos</w:t>
      </w:r>
      <w:r w:rsidRPr="00180D2C">
        <w:rPr>
          <w:rFonts w:ascii="Arial" w:hAnsi="Arial" w:cs="Arial"/>
          <w:spacing w:val="-16"/>
          <w:sz w:val="24"/>
          <w:szCs w:val="24"/>
        </w:rPr>
        <w:t xml:space="preserve"> </w:t>
      </w:r>
      <w:r w:rsidRPr="00180D2C">
        <w:rPr>
          <w:rFonts w:ascii="Arial" w:hAnsi="Arial" w:cs="Arial"/>
          <w:sz w:val="24"/>
          <w:szCs w:val="24"/>
        </w:rPr>
        <w:t>activos</w:t>
      </w:r>
      <w:r w:rsidRPr="00180D2C">
        <w:rPr>
          <w:rFonts w:ascii="Arial" w:hAnsi="Arial" w:cs="Arial"/>
          <w:spacing w:val="-15"/>
          <w:sz w:val="24"/>
          <w:szCs w:val="24"/>
        </w:rPr>
        <w:t xml:space="preserve"> </w:t>
      </w:r>
      <w:r w:rsidRPr="00180D2C">
        <w:rPr>
          <w:rFonts w:ascii="Arial" w:hAnsi="Arial" w:cs="Arial"/>
          <w:sz w:val="24"/>
          <w:szCs w:val="24"/>
        </w:rPr>
        <w:t>pertenecen</w:t>
      </w:r>
      <w:r w:rsidRPr="00180D2C">
        <w:rPr>
          <w:rFonts w:ascii="Arial" w:hAnsi="Arial" w:cs="Arial"/>
          <w:spacing w:val="-15"/>
          <w:sz w:val="24"/>
          <w:szCs w:val="24"/>
        </w:rPr>
        <w:t xml:space="preserve"> </w:t>
      </w:r>
      <w:r w:rsidRPr="00180D2C">
        <w:rPr>
          <w:rFonts w:ascii="Arial" w:hAnsi="Arial" w:cs="Arial"/>
          <w:sz w:val="24"/>
          <w:szCs w:val="24"/>
        </w:rPr>
        <w:t>al</w:t>
      </w:r>
      <w:r w:rsidRPr="00180D2C">
        <w:rPr>
          <w:rFonts w:ascii="Arial" w:hAnsi="Arial" w:cs="Arial"/>
          <w:spacing w:val="-16"/>
          <w:sz w:val="24"/>
          <w:szCs w:val="24"/>
        </w:rPr>
        <w:t xml:space="preserve"> </w:t>
      </w:r>
      <w:r w:rsidRPr="00180D2C">
        <w:rPr>
          <w:rFonts w:ascii="Arial" w:hAnsi="Arial" w:cs="Arial"/>
          <w:sz w:val="24"/>
          <w:szCs w:val="24"/>
        </w:rPr>
        <w:t>plan</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beneficios</w:t>
      </w:r>
      <w:r w:rsidRPr="00180D2C">
        <w:rPr>
          <w:rFonts w:ascii="Arial" w:hAnsi="Arial" w:cs="Arial"/>
          <w:spacing w:val="-15"/>
          <w:sz w:val="24"/>
          <w:szCs w:val="24"/>
        </w:rPr>
        <w:t xml:space="preserve"> </w:t>
      </w:r>
      <w:r w:rsidRPr="00180D2C">
        <w:rPr>
          <w:rFonts w:ascii="Arial" w:hAnsi="Arial" w:cs="Arial"/>
          <w:sz w:val="24"/>
          <w:szCs w:val="24"/>
        </w:rPr>
        <w:t>posempleo</w:t>
      </w:r>
      <w:r w:rsidRPr="00180D2C">
        <w:rPr>
          <w:rFonts w:ascii="Arial" w:hAnsi="Arial" w:cs="Arial"/>
          <w:spacing w:val="-16"/>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las</w:t>
      </w:r>
      <w:r w:rsidRPr="00180D2C">
        <w:rPr>
          <w:rFonts w:ascii="Arial" w:hAnsi="Arial" w:cs="Arial"/>
          <w:spacing w:val="-15"/>
          <w:sz w:val="24"/>
          <w:szCs w:val="24"/>
        </w:rPr>
        <w:t xml:space="preserve"> </w:t>
      </w:r>
      <w:r w:rsidRPr="00180D2C">
        <w:rPr>
          <w:rFonts w:ascii="Arial" w:hAnsi="Arial" w:cs="Arial"/>
          <w:sz w:val="24"/>
          <w:szCs w:val="24"/>
        </w:rPr>
        <w:t>fuerzas</w:t>
      </w:r>
      <w:r w:rsidRPr="00180D2C">
        <w:rPr>
          <w:rFonts w:ascii="Arial" w:hAnsi="Arial" w:cs="Arial"/>
          <w:spacing w:val="-16"/>
          <w:sz w:val="24"/>
          <w:szCs w:val="24"/>
        </w:rPr>
        <w:t xml:space="preserve"> </w:t>
      </w:r>
      <w:r w:rsidRPr="00180D2C">
        <w:rPr>
          <w:rFonts w:ascii="Arial" w:hAnsi="Arial" w:cs="Arial"/>
          <w:sz w:val="24"/>
          <w:szCs w:val="24"/>
        </w:rPr>
        <w:t>militares a cargo del gobierno e implican un menor valor de su pasivo.</w:t>
      </w:r>
    </w:p>
    <w:p w14:paraId="4D69D440" w14:textId="77777777" w:rsidR="00E46C0A" w:rsidRPr="00180D2C" w:rsidRDefault="00E46C0A" w:rsidP="00E95331">
      <w:pPr>
        <w:pStyle w:val="Prrafodelista"/>
        <w:tabs>
          <w:tab w:val="left" w:pos="1337"/>
        </w:tabs>
        <w:spacing w:line="242" w:lineRule="auto"/>
        <w:ind w:left="1337" w:right="-234"/>
        <w:rPr>
          <w:rFonts w:ascii="Arial" w:hAnsi="Arial" w:cs="Arial"/>
          <w:sz w:val="24"/>
          <w:szCs w:val="24"/>
        </w:rPr>
      </w:pPr>
    </w:p>
    <w:p w14:paraId="5BF20C87" w14:textId="28A5C765" w:rsidR="00E46C0A" w:rsidRPr="00E95331" w:rsidRDefault="00E46C0A" w:rsidP="0057479C">
      <w:pPr>
        <w:pStyle w:val="Prrafodelista"/>
        <w:numPr>
          <w:ilvl w:val="1"/>
          <w:numId w:val="102"/>
        </w:numPr>
        <w:tabs>
          <w:tab w:val="left" w:pos="1337"/>
        </w:tabs>
        <w:spacing w:line="242" w:lineRule="auto"/>
        <w:ind w:right="-234"/>
        <w:jc w:val="both"/>
        <w:rPr>
          <w:rFonts w:ascii="Arial" w:hAnsi="Arial" w:cs="Arial"/>
          <w:sz w:val="24"/>
          <w:szCs w:val="24"/>
        </w:rPr>
      </w:pPr>
      <w:r w:rsidRPr="00E95331">
        <w:rPr>
          <w:rFonts w:ascii="Arial" w:hAnsi="Arial" w:cs="Arial"/>
          <w:sz w:val="24"/>
          <w:szCs w:val="24"/>
        </w:rPr>
        <w:t>El</w:t>
      </w:r>
      <w:r w:rsidRPr="00E95331">
        <w:rPr>
          <w:rFonts w:ascii="Arial" w:hAnsi="Arial" w:cs="Arial"/>
          <w:spacing w:val="-6"/>
          <w:sz w:val="24"/>
          <w:szCs w:val="24"/>
        </w:rPr>
        <w:t xml:space="preserve"> </w:t>
      </w:r>
      <w:r w:rsidRPr="00E95331">
        <w:rPr>
          <w:rFonts w:ascii="Arial" w:hAnsi="Arial" w:cs="Arial"/>
          <w:sz w:val="24"/>
          <w:szCs w:val="24"/>
        </w:rPr>
        <w:t>gobierno</w:t>
      </w:r>
      <w:r w:rsidRPr="00E95331">
        <w:rPr>
          <w:rFonts w:ascii="Arial" w:hAnsi="Arial" w:cs="Arial"/>
          <w:spacing w:val="-4"/>
          <w:sz w:val="24"/>
          <w:szCs w:val="24"/>
        </w:rPr>
        <w:t xml:space="preserve"> </w:t>
      </w:r>
      <w:r w:rsidRPr="00E95331">
        <w:rPr>
          <w:rFonts w:ascii="Arial" w:hAnsi="Arial" w:cs="Arial"/>
          <w:sz w:val="24"/>
          <w:szCs w:val="24"/>
        </w:rPr>
        <w:t>transfiere</w:t>
      </w:r>
      <w:r w:rsidRPr="00E95331">
        <w:rPr>
          <w:rFonts w:ascii="Arial" w:hAnsi="Arial" w:cs="Arial"/>
          <w:spacing w:val="-7"/>
          <w:sz w:val="24"/>
          <w:szCs w:val="24"/>
        </w:rPr>
        <w:t xml:space="preserve"> </w:t>
      </w:r>
      <w:r w:rsidRPr="00E95331">
        <w:rPr>
          <w:rFonts w:ascii="Arial" w:hAnsi="Arial" w:cs="Arial"/>
          <w:sz w:val="24"/>
          <w:szCs w:val="24"/>
        </w:rPr>
        <w:t>desde</w:t>
      </w:r>
      <w:r w:rsidRPr="00E95331">
        <w:rPr>
          <w:rFonts w:ascii="Arial" w:hAnsi="Arial" w:cs="Arial"/>
          <w:spacing w:val="-5"/>
          <w:sz w:val="24"/>
          <w:szCs w:val="24"/>
        </w:rPr>
        <w:t xml:space="preserve"> </w:t>
      </w:r>
      <w:r w:rsidRPr="00E95331">
        <w:rPr>
          <w:rFonts w:ascii="Arial" w:hAnsi="Arial" w:cs="Arial"/>
          <w:sz w:val="24"/>
          <w:szCs w:val="24"/>
        </w:rPr>
        <w:t>el</w:t>
      </w:r>
      <w:r w:rsidRPr="00E95331">
        <w:rPr>
          <w:rFonts w:ascii="Arial" w:hAnsi="Arial" w:cs="Arial"/>
          <w:spacing w:val="-6"/>
          <w:sz w:val="24"/>
          <w:szCs w:val="24"/>
        </w:rPr>
        <w:t xml:space="preserve"> </w:t>
      </w:r>
      <w:r w:rsidRPr="00E95331">
        <w:rPr>
          <w:rFonts w:ascii="Arial" w:hAnsi="Arial" w:cs="Arial"/>
          <w:sz w:val="24"/>
          <w:szCs w:val="24"/>
        </w:rPr>
        <w:t>presupuesto</w:t>
      </w:r>
      <w:r w:rsidRPr="00E95331">
        <w:rPr>
          <w:rFonts w:ascii="Arial" w:hAnsi="Arial" w:cs="Arial"/>
          <w:spacing w:val="-5"/>
          <w:sz w:val="24"/>
          <w:szCs w:val="24"/>
        </w:rPr>
        <w:t xml:space="preserve"> </w:t>
      </w:r>
      <w:r w:rsidRPr="00E95331">
        <w:rPr>
          <w:rFonts w:ascii="Arial" w:hAnsi="Arial" w:cs="Arial"/>
          <w:sz w:val="24"/>
          <w:szCs w:val="24"/>
        </w:rPr>
        <w:t>nacional</w:t>
      </w:r>
      <w:r w:rsidRPr="00E95331">
        <w:rPr>
          <w:rFonts w:ascii="Arial" w:hAnsi="Arial" w:cs="Arial"/>
          <w:spacing w:val="-5"/>
          <w:sz w:val="24"/>
          <w:szCs w:val="24"/>
        </w:rPr>
        <w:t xml:space="preserve"> </w:t>
      </w:r>
      <w:r w:rsidRPr="00E95331">
        <w:rPr>
          <w:rFonts w:ascii="Arial" w:hAnsi="Arial" w:cs="Arial"/>
          <w:sz w:val="24"/>
          <w:szCs w:val="24"/>
        </w:rPr>
        <w:t>los</w:t>
      </w:r>
      <w:r w:rsidRPr="00E95331">
        <w:rPr>
          <w:rFonts w:ascii="Arial" w:hAnsi="Arial" w:cs="Arial"/>
          <w:spacing w:val="-5"/>
          <w:sz w:val="24"/>
          <w:szCs w:val="24"/>
        </w:rPr>
        <w:t xml:space="preserve"> </w:t>
      </w:r>
      <w:r w:rsidRPr="00E95331">
        <w:rPr>
          <w:rFonts w:ascii="Arial" w:hAnsi="Arial" w:cs="Arial"/>
          <w:sz w:val="24"/>
          <w:szCs w:val="24"/>
        </w:rPr>
        <w:t>aportes</w:t>
      </w:r>
      <w:r w:rsidRPr="00E95331">
        <w:rPr>
          <w:rFonts w:ascii="Arial" w:hAnsi="Arial" w:cs="Arial"/>
          <w:spacing w:val="-7"/>
          <w:sz w:val="24"/>
          <w:szCs w:val="24"/>
        </w:rPr>
        <w:t xml:space="preserve"> </w:t>
      </w:r>
      <w:r w:rsidRPr="00E95331">
        <w:rPr>
          <w:rFonts w:ascii="Arial" w:hAnsi="Arial" w:cs="Arial"/>
          <w:sz w:val="24"/>
          <w:szCs w:val="24"/>
        </w:rPr>
        <w:t>para</w:t>
      </w:r>
      <w:r w:rsidRPr="00E95331">
        <w:rPr>
          <w:rFonts w:ascii="Arial" w:hAnsi="Arial" w:cs="Arial"/>
          <w:spacing w:val="-7"/>
          <w:sz w:val="24"/>
          <w:szCs w:val="24"/>
        </w:rPr>
        <w:t xml:space="preserve"> </w:t>
      </w:r>
      <w:r w:rsidRPr="00E95331">
        <w:rPr>
          <w:rFonts w:ascii="Arial" w:hAnsi="Arial" w:cs="Arial"/>
          <w:sz w:val="24"/>
          <w:szCs w:val="24"/>
        </w:rPr>
        <w:t>cumplir</w:t>
      </w:r>
      <w:r w:rsidRPr="00E95331">
        <w:rPr>
          <w:rFonts w:ascii="Arial" w:hAnsi="Arial" w:cs="Arial"/>
          <w:spacing w:val="-4"/>
          <w:sz w:val="24"/>
          <w:szCs w:val="24"/>
        </w:rPr>
        <w:t xml:space="preserve"> </w:t>
      </w:r>
      <w:r w:rsidRPr="00E95331">
        <w:rPr>
          <w:rFonts w:ascii="Arial" w:hAnsi="Arial" w:cs="Arial"/>
          <w:sz w:val="24"/>
          <w:szCs w:val="24"/>
        </w:rPr>
        <w:t>su obligación</w:t>
      </w:r>
      <w:r w:rsidRPr="00E95331">
        <w:rPr>
          <w:rFonts w:ascii="Arial" w:hAnsi="Arial" w:cs="Arial"/>
          <w:spacing w:val="-11"/>
          <w:sz w:val="24"/>
          <w:szCs w:val="24"/>
        </w:rPr>
        <w:t xml:space="preserve"> </w:t>
      </w:r>
      <w:r w:rsidRPr="00E95331">
        <w:rPr>
          <w:rFonts w:ascii="Arial" w:hAnsi="Arial" w:cs="Arial"/>
          <w:sz w:val="24"/>
          <w:szCs w:val="24"/>
        </w:rPr>
        <w:t>de</w:t>
      </w:r>
      <w:r w:rsidRPr="00E95331">
        <w:rPr>
          <w:rFonts w:ascii="Arial" w:hAnsi="Arial" w:cs="Arial"/>
          <w:spacing w:val="-11"/>
          <w:sz w:val="24"/>
          <w:szCs w:val="24"/>
        </w:rPr>
        <w:t xml:space="preserve"> </w:t>
      </w:r>
      <w:r w:rsidRPr="00E95331">
        <w:rPr>
          <w:rFonts w:ascii="Arial" w:hAnsi="Arial" w:cs="Arial"/>
          <w:sz w:val="24"/>
          <w:szCs w:val="24"/>
        </w:rPr>
        <w:t>pago</w:t>
      </w:r>
      <w:r w:rsidRPr="00E95331">
        <w:rPr>
          <w:rFonts w:ascii="Arial" w:hAnsi="Arial" w:cs="Arial"/>
          <w:spacing w:val="-12"/>
          <w:sz w:val="24"/>
          <w:szCs w:val="24"/>
        </w:rPr>
        <w:t xml:space="preserve"> </w:t>
      </w:r>
      <w:r w:rsidRPr="00E95331">
        <w:rPr>
          <w:rFonts w:ascii="Arial" w:hAnsi="Arial" w:cs="Arial"/>
          <w:sz w:val="24"/>
          <w:szCs w:val="24"/>
        </w:rPr>
        <w:t>por</w:t>
      </w:r>
      <w:r w:rsidRPr="00E95331">
        <w:rPr>
          <w:rFonts w:ascii="Arial" w:hAnsi="Arial" w:cs="Arial"/>
          <w:spacing w:val="-12"/>
          <w:sz w:val="24"/>
          <w:szCs w:val="24"/>
        </w:rPr>
        <w:t xml:space="preserve"> </w:t>
      </w:r>
      <w:r w:rsidRPr="00E95331">
        <w:rPr>
          <w:rFonts w:ascii="Arial" w:hAnsi="Arial" w:cs="Arial"/>
          <w:sz w:val="24"/>
          <w:szCs w:val="24"/>
        </w:rPr>
        <w:t>beneficios</w:t>
      </w:r>
      <w:r w:rsidRPr="00E95331">
        <w:rPr>
          <w:rFonts w:ascii="Arial" w:hAnsi="Arial" w:cs="Arial"/>
          <w:spacing w:val="-11"/>
          <w:sz w:val="24"/>
          <w:szCs w:val="24"/>
        </w:rPr>
        <w:t xml:space="preserve"> </w:t>
      </w:r>
      <w:r w:rsidRPr="00E95331">
        <w:rPr>
          <w:rFonts w:ascii="Arial" w:hAnsi="Arial" w:cs="Arial"/>
          <w:sz w:val="24"/>
          <w:szCs w:val="24"/>
        </w:rPr>
        <w:t>posempleo</w:t>
      </w:r>
      <w:r w:rsidRPr="00E95331">
        <w:rPr>
          <w:rFonts w:ascii="Arial" w:hAnsi="Arial" w:cs="Arial"/>
          <w:spacing w:val="-12"/>
          <w:sz w:val="24"/>
          <w:szCs w:val="24"/>
        </w:rPr>
        <w:t xml:space="preserve"> </w:t>
      </w:r>
      <w:r w:rsidRPr="00E95331">
        <w:rPr>
          <w:rFonts w:ascii="Arial" w:hAnsi="Arial" w:cs="Arial"/>
          <w:sz w:val="24"/>
          <w:szCs w:val="24"/>
        </w:rPr>
        <w:t>del</w:t>
      </w:r>
      <w:r w:rsidRPr="00E95331">
        <w:rPr>
          <w:rFonts w:ascii="Arial" w:hAnsi="Arial" w:cs="Arial"/>
          <w:spacing w:val="-13"/>
          <w:sz w:val="24"/>
          <w:szCs w:val="24"/>
        </w:rPr>
        <w:t xml:space="preserve"> </w:t>
      </w:r>
      <w:r w:rsidRPr="00E95331">
        <w:rPr>
          <w:rFonts w:ascii="Arial" w:hAnsi="Arial" w:cs="Arial"/>
          <w:sz w:val="24"/>
          <w:szCs w:val="24"/>
        </w:rPr>
        <w:t>personal</w:t>
      </w:r>
      <w:r w:rsidRPr="00E95331">
        <w:rPr>
          <w:rFonts w:ascii="Arial" w:hAnsi="Arial" w:cs="Arial"/>
          <w:spacing w:val="-13"/>
          <w:sz w:val="24"/>
          <w:szCs w:val="24"/>
        </w:rPr>
        <w:t xml:space="preserve"> </w:t>
      </w:r>
      <w:r w:rsidRPr="00E95331">
        <w:rPr>
          <w:rFonts w:ascii="Arial" w:hAnsi="Arial" w:cs="Arial"/>
          <w:sz w:val="24"/>
          <w:szCs w:val="24"/>
        </w:rPr>
        <w:t>militar.</w:t>
      </w:r>
      <w:r w:rsidRPr="00E95331">
        <w:rPr>
          <w:rFonts w:ascii="Arial" w:hAnsi="Arial" w:cs="Arial"/>
          <w:spacing w:val="-12"/>
          <w:sz w:val="24"/>
          <w:szCs w:val="24"/>
        </w:rPr>
        <w:t xml:space="preserve"> </w:t>
      </w:r>
      <w:r w:rsidRPr="00E95331">
        <w:rPr>
          <w:rFonts w:ascii="Arial" w:hAnsi="Arial" w:cs="Arial"/>
          <w:sz w:val="24"/>
          <w:szCs w:val="24"/>
        </w:rPr>
        <w:t>Estos</w:t>
      </w:r>
      <w:r w:rsidRPr="00E95331">
        <w:rPr>
          <w:rFonts w:ascii="Arial" w:hAnsi="Arial" w:cs="Arial"/>
          <w:spacing w:val="-12"/>
          <w:sz w:val="24"/>
          <w:szCs w:val="24"/>
        </w:rPr>
        <w:t xml:space="preserve"> </w:t>
      </w:r>
      <w:r w:rsidRPr="00E95331">
        <w:rPr>
          <w:rFonts w:ascii="Arial" w:hAnsi="Arial" w:cs="Arial"/>
          <w:sz w:val="24"/>
          <w:szCs w:val="24"/>
        </w:rPr>
        <w:t>recursos se</w:t>
      </w:r>
      <w:r w:rsidRPr="00E95331">
        <w:rPr>
          <w:rFonts w:ascii="Arial" w:hAnsi="Arial" w:cs="Arial"/>
          <w:spacing w:val="-16"/>
          <w:sz w:val="24"/>
          <w:szCs w:val="24"/>
        </w:rPr>
        <w:t xml:space="preserve"> </w:t>
      </w:r>
      <w:r w:rsidRPr="00E95331">
        <w:rPr>
          <w:rFonts w:ascii="Arial" w:hAnsi="Arial" w:cs="Arial"/>
          <w:sz w:val="24"/>
          <w:szCs w:val="24"/>
        </w:rPr>
        <w:t>tratan</w:t>
      </w:r>
      <w:r w:rsidRPr="00E95331">
        <w:rPr>
          <w:rFonts w:ascii="Arial" w:hAnsi="Arial" w:cs="Arial"/>
          <w:spacing w:val="-15"/>
          <w:sz w:val="24"/>
          <w:szCs w:val="24"/>
        </w:rPr>
        <w:t xml:space="preserve"> </w:t>
      </w:r>
      <w:r w:rsidRPr="00E95331">
        <w:rPr>
          <w:rFonts w:ascii="Arial" w:hAnsi="Arial" w:cs="Arial"/>
          <w:sz w:val="24"/>
          <w:szCs w:val="24"/>
        </w:rPr>
        <w:t>como</w:t>
      </w:r>
      <w:r w:rsidRPr="00E95331">
        <w:rPr>
          <w:rFonts w:ascii="Arial" w:hAnsi="Arial" w:cs="Arial"/>
          <w:spacing w:val="-15"/>
          <w:sz w:val="24"/>
          <w:szCs w:val="24"/>
        </w:rPr>
        <w:t xml:space="preserve"> </w:t>
      </w:r>
      <w:r w:rsidRPr="00E95331">
        <w:rPr>
          <w:rFonts w:ascii="Arial" w:hAnsi="Arial" w:cs="Arial"/>
          <w:sz w:val="24"/>
          <w:szCs w:val="24"/>
        </w:rPr>
        <w:t>ingreso</w:t>
      </w:r>
      <w:r w:rsidRPr="00E95331">
        <w:rPr>
          <w:rFonts w:ascii="Arial" w:hAnsi="Arial" w:cs="Arial"/>
          <w:spacing w:val="-16"/>
          <w:sz w:val="24"/>
          <w:szCs w:val="24"/>
        </w:rPr>
        <w:t xml:space="preserve"> </w:t>
      </w:r>
      <w:r w:rsidRPr="00E95331">
        <w:rPr>
          <w:rFonts w:ascii="Arial" w:hAnsi="Arial" w:cs="Arial"/>
          <w:sz w:val="24"/>
          <w:szCs w:val="24"/>
        </w:rPr>
        <w:t>de</w:t>
      </w:r>
      <w:r w:rsidRPr="00E95331">
        <w:rPr>
          <w:rFonts w:ascii="Arial" w:hAnsi="Arial" w:cs="Arial"/>
          <w:spacing w:val="-15"/>
          <w:sz w:val="24"/>
          <w:szCs w:val="24"/>
        </w:rPr>
        <w:t xml:space="preserve"> </w:t>
      </w:r>
      <w:r w:rsidRPr="00E95331">
        <w:rPr>
          <w:rFonts w:ascii="Arial" w:hAnsi="Arial" w:cs="Arial"/>
          <w:sz w:val="24"/>
          <w:szCs w:val="24"/>
        </w:rPr>
        <w:t>CREMIL,</w:t>
      </w:r>
      <w:r w:rsidRPr="00E95331">
        <w:rPr>
          <w:rFonts w:ascii="Arial" w:hAnsi="Arial" w:cs="Arial"/>
          <w:spacing w:val="-15"/>
          <w:sz w:val="24"/>
          <w:szCs w:val="24"/>
        </w:rPr>
        <w:t xml:space="preserve"> </w:t>
      </w:r>
      <w:r w:rsidRPr="00E95331">
        <w:rPr>
          <w:rFonts w:ascii="Arial" w:hAnsi="Arial" w:cs="Arial"/>
          <w:sz w:val="24"/>
          <w:szCs w:val="24"/>
        </w:rPr>
        <w:t>sin</w:t>
      </w:r>
      <w:r w:rsidRPr="00E95331">
        <w:rPr>
          <w:rFonts w:ascii="Arial" w:hAnsi="Arial" w:cs="Arial"/>
          <w:spacing w:val="-15"/>
          <w:sz w:val="24"/>
          <w:szCs w:val="24"/>
        </w:rPr>
        <w:t xml:space="preserve"> </w:t>
      </w:r>
      <w:r w:rsidRPr="00E95331">
        <w:rPr>
          <w:rFonts w:ascii="Arial" w:hAnsi="Arial" w:cs="Arial"/>
          <w:sz w:val="24"/>
          <w:szCs w:val="24"/>
        </w:rPr>
        <w:t>asociar</w:t>
      </w:r>
      <w:r w:rsidRPr="00E95331">
        <w:rPr>
          <w:rFonts w:ascii="Arial" w:hAnsi="Arial" w:cs="Arial"/>
          <w:spacing w:val="-14"/>
          <w:sz w:val="24"/>
          <w:szCs w:val="24"/>
        </w:rPr>
        <w:t xml:space="preserve"> </w:t>
      </w:r>
      <w:r w:rsidRPr="00E95331">
        <w:rPr>
          <w:rFonts w:ascii="Arial" w:hAnsi="Arial" w:cs="Arial"/>
          <w:sz w:val="24"/>
          <w:szCs w:val="24"/>
        </w:rPr>
        <w:t>el</w:t>
      </w:r>
      <w:r w:rsidRPr="00E95331">
        <w:rPr>
          <w:rFonts w:ascii="Arial" w:hAnsi="Arial" w:cs="Arial"/>
          <w:spacing w:val="-16"/>
          <w:sz w:val="24"/>
          <w:szCs w:val="24"/>
        </w:rPr>
        <w:t xml:space="preserve"> </w:t>
      </w:r>
      <w:r w:rsidRPr="00E95331">
        <w:rPr>
          <w:rFonts w:ascii="Arial" w:hAnsi="Arial" w:cs="Arial"/>
          <w:sz w:val="24"/>
          <w:szCs w:val="24"/>
        </w:rPr>
        <w:t>gasto</w:t>
      </w:r>
      <w:r w:rsidRPr="00E95331">
        <w:rPr>
          <w:rFonts w:ascii="Arial" w:hAnsi="Arial" w:cs="Arial"/>
          <w:spacing w:val="-15"/>
          <w:sz w:val="24"/>
          <w:szCs w:val="24"/>
        </w:rPr>
        <w:t xml:space="preserve"> </w:t>
      </w:r>
      <w:r w:rsidRPr="00E95331">
        <w:rPr>
          <w:rFonts w:ascii="Arial" w:hAnsi="Arial" w:cs="Arial"/>
          <w:sz w:val="24"/>
          <w:szCs w:val="24"/>
        </w:rPr>
        <w:t>por</w:t>
      </w:r>
      <w:r w:rsidRPr="00E95331">
        <w:rPr>
          <w:rFonts w:ascii="Arial" w:hAnsi="Arial" w:cs="Arial"/>
          <w:spacing w:val="-15"/>
          <w:sz w:val="24"/>
          <w:szCs w:val="24"/>
        </w:rPr>
        <w:t xml:space="preserve"> </w:t>
      </w:r>
      <w:r w:rsidRPr="00E95331">
        <w:rPr>
          <w:rFonts w:ascii="Arial" w:hAnsi="Arial" w:cs="Arial"/>
          <w:sz w:val="24"/>
          <w:szCs w:val="24"/>
        </w:rPr>
        <w:t>el</w:t>
      </w:r>
      <w:r w:rsidRPr="00E95331">
        <w:rPr>
          <w:rFonts w:ascii="Arial" w:hAnsi="Arial" w:cs="Arial"/>
          <w:spacing w:val="-15"/>
          <w:sz w:val="24"/>
          <w:szCs w:val="24"/>
        </w:rPr>
        <w:t xml:space="preserve"> </w:t>
      </w:r>
      <w:r w:rsidRPr="00E95331">
        <w:rPr>
          <w:rFonts w:ascii="Arial" w:hAnsi="Arial" w:cs="Arial"/>
          <w:sz w:val="24"/>
          <w:szCs w:val="24"/>
        </w:rPr>
        <w:t>pago</w:t>
      </w:r>
      <w:r w:rsidRPr="00E95331">
        <w:rPr>
          <w:rFonts w:ascii="Arial" w:hAnsi="Arial" w:cs="Arial"/>
          <w:spacing w:val="-14"/>
          <w:sz w:val="24"/>
          <w:szCs w:val="24"/>
        </w:rPr>
        <w:t xml:space="preserve"> </w:t>
      </w:r>
      <w:r w:rsidRPr="00E95331">
        <w:rPr>
          <w:rFonts w:ascii="Arial" w:hAnsi="Arial" w:cs="Arial"/>
          <w:sz w:val="24"/>
          <w:szCs w:val="24"/>
        </w:rPr>
        <w:t>de</w:t>
      </w:r>
      <w:r w:rsidRPr="00E95331">
        <w:rPr>
          <w:rFonts w:ascii="Arial" w:hAnsi="Arial" w:cs="Arial"/>
          <w:spacing w:val="-15"/>
          <w:sz w:val="24"/>
          <w:szCs w:val="24"/>
        </w:rPr>
        <w:t xml:space="preserve"> </w:t>
      </w:r>
      <w:r w:rsidRPr="00E95331">
        <w:rPr>
          <w:rFonts w:ascii="Arial" w:hAnsi="Arial" w:cs="Arial"/>
          <w:sz w:val="24"/>
          <w:szCs w:val="24"/>
        </w:rPr>
        <w:t>los</w:t>
      </w:r>
      <w:r w:rsidRPr="00E95331">
        <w:rPr>
          <w:rFonts w:ascii="Arial" w:hAnsi="Arial" w:cs="Arial"/>
          <w:spacing w:val="-15"/>
          <w:sz w:val="24"/>
          <w:szCs w:val="24"/>
        </w:rPr>
        <w:t xml:space="preserve"> </w:t>
      </w:r>
      <w:r w:rsidRPr="00E95331">
        <w:rPr>
          <w:rFonts w:ascii="Arial" w:hAnsi="Arial" w:cs="Arial"/>
          <w:sz w:val="24"/>
          <w:szCs w:val="24"/>
        </w:rPr>
        <w:t>citados beneficios, por cuanto se reconocen como menor valor del pasivo. Como se indica en la Nota 28.1</w:t>
      </w:r>
      <w:r w:rsidRPr="00E95331">
        <w:rPr>
          <w:rFonts w:ascii="Arial" w:hAnsi="Arial" w:cs="Arial"/>
          <w:spacing w:val="-2"/>
          <w:sz w:val="24"/>
          <w:szCs w:val="24"/>
        </w:rPr>
        <w:t xml:space="preserve"> </w:t>
      </w:r>
      <w:r w:rsidRPr="00E95331">
        <w:rPr>
          <w:rFonts w:ascii="Arial" w:hAnsi="Arial" w:cs="Arial"/>
          <w:sz w:val="24"/>
          <w:szCs w:val="24"/>
        </w:rPr>
        <w:t>de</w:t>
      </w:r>
      <w:r w:rsidRPr="00E95331">
        <w:rPr>
          <w:rFonts w:ascii="Arial" w:hAnsi="Arial" w:cs="Arial"/>
          <w:spacing w:val="-2"/>
          <w:sz w:val="24"/>
          <w:szCs w:val="24"/>
        </w:rPr>
        <w:t xml:space="preserve"> </w:t>
      </w:r>
      <w:r w:rsidRPr="00E95331">
        <w:rPr>
          <w:rFonts w:ascii="Arial" w:hAnsi="Arial" w:cs="Arial"/>
          <w:sz w:val="24"/>
          <w:szCs w:val="24"/>
        </w:rPr>
        <w:t>los Estados</w:t>
      </w:r>
      <w:r w:rsidRPr="00E95331">
        <w:rPr>
          <w:rFonts w:ascii="Arial" w:hAnsi="Arial" w:cs="Arial"/>
          <w:spacing w:val="-2"/>
          <w:sz w:val="24"/>
          <w:szCs w:val="24"/>
        </w:rPr>
        <w:t xml:space="preserve"> </w:t>
      </w:r>
      <w:r w:rsidRPr="00E95331">
        <w:rPr>
          <w:rFonts w:ascii="Arial" w:hAnsi="Arial" w:cs="Arial"/>
          <w:sz w:val="24"/>
          <w:szCs w:val="24"/>
        </w:rPr>
        <w:t>Financieros</w:t>
      </w:r>
      <w:r w:rsidRPr="00E95331">
        <w:rPr>
          <w:rFonts w:ascii="Arial" w:hAnsi="Arial" w:cs="Arial"/>
          <w:spacing w:val="-1"/>
          <w:sz w:val="24"/>
          <w:szCs w:val="24"/>
        </w:rPr>
        <w:t xml:space="preserve"> </w:t>
      </w:r>
      <w:r w:rsidRPr="00E95331">
        <w:rPr>
          <w:rFonts w:ascii="Arial" w:hAnsi="Arial" w:cs="Arial"/>
          <w:sz w:val="24"/>
          <w:szCs w:val="24"/>
        </w:rPr>
        <w:t>el</w:t>
      </w:r>
      <w:r w:rsidRPr="00E95331">
        <w:rPr>
          <w:rFonts w:ascii="Arial" w:hAnsi="Arial" w:cs="Arial"/>
          <w:spacing w:val="-1"/>
          <w:sz w:val="24"/>
          <w:szCs w:val="24"/>
        </w:rPr>
        <w:t xml:space="preserve"> </w:t>
      </w:r>
      <w:r w:rsidRPr="00E95331">
        <w:rPr>
          <w:rFonts w:ascii="Arial" w:hAnsi="Arial" w:cs="Arial"/>
          <w:sz w:val="24"/>
          <w:szCs w:val="24"/>
        </w:rPr>
        <w:t>importe de los ingresos por este concepto ascendió a $6,25 billones en el año 2024, con $0 de gastos asociad os</w:t>
      </w:r>
      <w:r w:rsidRPr="00E95331">
        <w:rPr>
          <w:rFonts w:ascii="Arial" w:hAnsi="Arial" w:cs="Arial"/>
          <w:spacing w:val="24"/>
          <w:sz w:val="24"/>
          <w:szCs w:val="24"/>
        </w:rPr>
        <w:t xml:space="preserve"> </w:t>
      </w:r>
      <w:r w:rsidRPr="00E95331">
        <w:rPr>
          <w:rFonts w:ascii="Arial" w:hAnsi="Arial" w:cs="Arial"/>
          <w:sz w:val="24"/>
          <w:szCs w:val="24"/>
        </w:rPr>
        <w:t>al</w:t>
      </w:r>
      <w:r w:rsidRPr="00E95331">
        <w:rPr>
          <w:rFonts w:ascii="Arial" w:hAnsi="Arial" w:cs="Arial"/>
          <w:spacing w:val="23"/>
          <w:sz w:val="24"/>
          <w:szCs w:val="24"/>
        </w:rPr>
        <w:t xml:space="preserve"> </w:t>
      </w:r>
      <w:r w:rsidRPr="00E95331">
        <w:rPr>
          <w:rFonts w:ascii="Arial" w:hAnsi="Arial" w:cs="Arial"/>
          <w:sz w:val="24"/>
          <w:szCs w:val="24"/>
        </w:rPr>
        <w:t>pago</w:t>
      </w:r>
      <w:r w:rsidRPr="00E95331">
        <w:rPr>
          <w:rFonts w:ascii="Arial" w:hAnsi="Arial" w:cs="Arial"/>
          <w:spacing w:val="21"/>
          <w:sz w:val="24"/>
          <w:szCs w:val="24"/>
        </w:rPr>
        <w:t xml:space="preserve"> </w:t>
      </w:r>
      <w:r w:rsidRPr="00E95331">
        <w:rPr>
          <w:rFonts w:ascii="Arial" w:hAnsi="Arial" w:cs="Arial"/>
          <w:sz w:val="24"/>
          <w:szCs w:val="24"/>
        </w:rPr>
        <w:t>de</w:t>
      </w:r>
      <w:r w:rsidRPr="00E95331">
        <w:rPr>
          <w:rFonts w:ascii="Arial" w:hAnsi="Arial" w:cs="Arial"/>
          <w:spacing w:val="21"/>
          <w:sz w:val="24"/>
          <w:szCs w:val="24"/>
        </w:rPr>
        <w:t xml:space="preserve"> </w:t>
      </w:r>
      <w:r w:rsidRPr="00E95331">
        <w:rPr>
          <w:rFonts w:ascii="Arial" w:hAnsi="Arial" w:cs="Arial"/>
          <w:sz w:val="24"/>
          <w:szCs w:val="24"/>
        </w:rPr>
        <w:t>los</w:t>
      </w:r>
      <w:r w:rsidRPr="00E95331">
        <w:rPr>
          <w:rFonts w:ascii="Arial" w:hAnsi="Arial" w:cs="Arial"/>
          <w:spacing w:val="24"/>
          <w:sz w:val="24"/>
          <w:szCs w:val="24"/>
        </w:rPr>
        <w:t xml:space="preserve"> </w:t>
      </w:r>
      <w:r w:rsidRPr="00E95331">
        <w:rPr>
          <w:rFonts w:ascii="Arial" w:hAnsi="Arial" w:cs="Arial"/>
          <w:sz w:val="24"/>
          <w:szCs w:val="24"/>
        </w:rPr>
        <w:t>beneficios</w:t>
      </w:r>
      <w:r w:rsidRPr="00E95331">
        <w:rPr>
          <w:rFonts w:ascii="Arial" w:hAnsi="Arial" w:cs="Arial"/>
          <w:spacing w:val="24"/>
          <w:sz w:val="24"/>
          <w:szCs w:val="24"/>
        </w:rPr>
        <w:t xml:space="preserve"> </w:t>
      </w:r>
      <w:r w:rsidRPr="00E95331">
        <w:rPr>
          <w:rFonts w:ascii="Arial" w:hAnsi="Arial" w:cs="Arial"/>
          <w:sz w:val="24"/>
          <w:szCs w:val="24"/>
        </w:rPr>
        <w:t>posempleo</w:t>
      </w:r>
      <w:r w:rsidRPr="00E95331">
        <w:rPr>
          <w:rFonts w:ascii="Arial" w:hAnsi="Arial" w:cs="Arial"/>
          <w:spacing w:val="21"/>
          <w:sz w:val="24"/>
          <w:szCs w:val="24"/>
        </w:rPr>
        <w:t xml:space="preserve"> </w:t>
      </w:r>
      <w:r w:rsidRPr="00E95331">
        <w:rPr>
          <w:rFonts w:ascii="Arial" w:hAnsi="Arial" w:cs="Arial"/>
          <w:sz w:val="24"/>
          <w:szCs w:val="24"/>
        </w:rPr>
        <w:t>del</w:t>
      </w:r>
      <w:r w:rsidRPr="00E95331">
        <w:rPr>
          <w:rFonts w:ascii="Arial" w:hAnsi="Arial" w:cs="Arial"/>
          <w:spacing w:val="23"/>
          <w:sz w:val="24"/>
          <w:szCs w:val="24"/>
        </w:rPr>
        <w:t xml:space="preserve"> </w:t>
      </w:r>
      <w:r w:rsidRPr="00E95331">
        <w:rPr>
          <w:rFonts w:ascii="Arial" w:hAnsi="Arial" w:cs="Arial"/>
          <w:sz w:val="24"/>
          <w:szCs w:val="24"/>
        </w:rPr>
        <w:t>personal</w:t>
      </w:r>
      <w:r w:rsidRPr="00E95331">
        <w:rPr>
          <w:rFonts w:ascii="Arial" w:hAnsi="Arial" w:cs="Arial"/>
          <w:spacing w:val="20"/>
          <w:sz w:val="24"/>
          <w:szCs w:val="24"/>
        </w:rPr>
        <w:t xml:space="preserve"> </w:t>
      </w:r>
      <w:r w:rsidRPr="00E95331">
        <w:rPr>
          <w:rFonts w:ascii="Arial" w:hAnsi="Arial" w:cs="Arial"/>
          <w:sz w:val="24"/>
          <w:szCs w:val="24"/>
        </w:rPr>
        <w:t>militar.</w:t>
      </w:r>
      <w:r w:rsidRPr="00E95331">
        <w:rPr>
          <w:rFonts w:ascii="Arial" w:hAnsi="Arial" w:cs="Arial"/>
          <w:spacing w:val="22"/>
          <w:sz w:val="24"/>
          <w:szCs w:val="24"/>
        </w:rPr>
        <w:t xml:space="preserve"> </w:t>
      </w:r>
      <w:r w:rsidRPr="00E95331">
        <w:rPr>
          <w:rFonts w:ascii="Arial" w:hAnsi="Arial" w:cs="Arial"/>
          <w:sz w:val="24"/>
          <w:szCs w:val="24"/>
        </w:rPr>
        <w:t>(En</w:t>
      </w:r>
      <w:r w:rsidRPr="00E95331">
        <w:rPr>
          <w:rFonts w:ascii="Arial" w:hAnsi="Arial" w:cs="Arial"/>
          <w:spacing w:val="21"/>
          <w:sz w:val="24"/>
          <w:szCs w:val="24"/>
        </w:rPr>
        <w:t xml:space="preserve"> </w:t>
      </w:r>
      <w:r w:rsidRPr="00E95331">
        <w:rPr>
          <w:rFonts w:ascii="Arial" w:hAnsi="Arial" w:cs="Arial"/>
          <w:sz w:val="24"/>
          <w:szCs w:val="24"/>
        </w:rPr>
        <w:t>2023</w:t>
      </w:r>
      <w:r w:rsidR="00E95331" w:rsidRPr="00E95331">
        <w:rPr>
          <w:rFonts w:ascii="Arial" w:hAnsi="Arial" w:cs="Arial"/>
          <w:sz w:val="24"/>
          <w:szCs w:val="24"/>
        </w:rPr>
        <w:t xml:space="preserve"> </w:t>
      </w:r>
      <w:r w:rsidRPr="00E95331">
        <w:rPr>
          <w:rFonts w:ascii="Arial" w:hAnsi="Arial" w:cs="Arial"/>
          <w:sz w:val="24"/>
          <w:szCs w:val="24"/>
        </w:rPr>
        <w:t>$5,39</w:t>
      </w:r>
      <w:r w:rsidRPr="00E95331">
        <w:rPr>
          <w:rFonts w:ascii="Arial" w:hAnsi="Arial" w:cs="Arial"/>
          <w:spacing w:val="-2"/>
          <w:sz w:val="24"/>
          <w:szCs w:val="24"/>
        </w:rPr>
        <w:t xml:space="preserve"> </w:t>
      </w:r>
      <w:r w:rsidRPr="00E95331">
        <w:rPr>
          <w:rFonts w:ascii="Arial" w:hAnsi="Arial" w:cs="Arial"/>
          <w:sz w:val="24"/>
          <w:szCs w:val="24"/>
        </w:rPr>
        <w:t>billones</w:t>
      </w:r>
      <w:r w:rsidRPr="00E95331">
        <w:rPr>
          <w:rFonts w:ascii="Arial" w:hAnsi="Arial" w:cs="Arial"/>
          <w:spacing w:val="-3"/>
          <w:sz w:val="24"/>
          <w:szCs w:val="24"/>
        </w:rPr>
        <w:t xml:space="preserve"> </w:t>
      </w:r>
      <w:r w:rsidRPr="00E95331">
        <w:rPr>
          <w:rFonts w:ascii="Arial" w:hAnsi="Arial" w:cs="Arial"/>
          <w:sz w:val="24"/>
          <w:szCs w:val="24"/>
        </w:rPr>
        <w:t>con</w:t>
      </w:r>
      <w:r w:rsidRPr="00E95331">
        <w:rPr>
          <w:rFonts w:ascii="Arial" w:hAnsi="Arial" w:cs="Arial"/>
          <w:spacing w:val="-3"/>
          <w:sz w:val="24"/>
          <w:szCs w:val="24"/>
        </w:rPr>
        <w:t xml:space="preserve"> </w:t>
      </w:r>
      <w:r w:rsidRPr="00E95331">
        <w:rPr>
          <w:rFonts w:ascii="Arial" w:hAnsi="Arial" w:cs="Arial"/>
          <w:sz w:val="24"/>
          <w:szCs w:val="24"/>
        </w:rPr>
        <w:t>$0</w:t>
      </w:r>
      <w:r w:rsidRPr="00E95331">
        <w:rPr>
          <w:rFonts w:ascii="Arial" w:hAnsi="Arial" w:cs="Arial"/>
          <w:spacing w:val="-4"/>
          <w:sz w:val="24"/>
          <w:szCs w:val="24"/>
        </w:rPr>
        <w:t xml:space="preserve"> </w:t>
      </w:r>
      <w:r w:rsidRPr="00E95331">
        <w:rPr>
          <w:rFonts w:ascii="Arial" w:hAnsi="Arial" w:cs="Arial"/>
          <w:sz w:val="24"/>
          <w:szCs w:val="24"/>
        </w:rPr>
        <w:t>gastos</w:t>
      </w:r>
      <w:r w:rsidRPr="00E95331">
        <w:rPr>
          <w:rFonts w:ascii="Arial" w:hAnsi="Arial" w:cs="Arial"/>
          <w:spacing w:val="-3"/>
          <w:sz w:val="24"/>
          <w:szCs w:val="24"/>
        </w:rPr>
        <w:t xml:space="preserve"> </w:t>
      </w:r>
      <w:r w:rsidRPr="00E95331">
        <w:rPr>
          <w:rFonts w:ascii="Arial" w:hAnsi="Arial" w:cs="Arial"/>
          <w:sz w:val="24"/>
          <w:szCs w:val="24"/>
        </w:rPr>
        <w:t>asociados</w:t>
      </w:r>
      <w:r w:rsidRPr="00E95331">
        <w:rPr>
          <w:rFonts w:ascii="Arial" w:hAnsi="Arial" w:cs="Arial"/>
          <w:spacing w:val="-3"/>
          <w:sz w:val="24"/>
          <w:szCs w:val="24"/>
        </w:rPr>
        <w:t xml:space="preserve"> </w:t>
      </w:r>
      <w:r w:rsidRPr="00E95331">
        <w:rPr>
          <w:rFonts w:ascii="Arial" w:hAnsi="Arial" w:cs="Arial"/>
          <w:sz w:val="24"/>
          <w:szCs w:val="24"/>
        </w:rPr>
        <w:t>al</w:t>
      </w:r>
      <w:r w:rsidRPr="00E95331">
        <w:rPr>
          <w:rFonts w:ascii="Arial" w:hAnsi="Arial" w:cs="Arial"/>
          <w:spacing w:val="-3"/>
          <w:sz w:val="24"/>
          <w:szCs w:val="24"/>
        </w:rPr>
        <w:t xml:space="preserve"> </w:t>
      </w:r>
      <w:r w:rsidRPr="00E95331">
        <w:rPr>
          <w:rFonts w:ascii="Arial" w:hAnsi="Arial" w:cs="Arial"/>
          <w:sz w:val="24"/>
          <w:szCs w:val="24"/>
        </w:rPr>
        <w:t>pago</w:t>
      </w:r>
      <w:r w:rsidRPr="00E95331">
        <w:rPr>
          <w:rFonts w:ascii="Arial" w:hAnsi="Arial" w:cs="Arial"/>
          <w:spacing w:val="-5"/>
          <w:sz w:val="24"/>
          <w:szCs w:val="24"/>
        </w:rPr>
        <w:t xml:space="preserve"> </w:t>
      </w:r>
      <w:r w:rsidRPr="00E95331">
        <w:rPr>
          <w:rFonts w:ascii="Arial" w:hAnsi="Arial" w:cs="Arial"/>
          <w:sz w:val="24"/>
          <w:szCs w:val="24"/>
        </w:rPr>
        <w:t>de</w:t>
      </w:r>
      <w:r w:rsidRPr="00E95331">
        <w:rPr>
          <w:rFonts w:ascii="Arial" w:hAnsi="Arial" w:cs="Arial"/>
          <w:spacing w:val="-3"/>
          <w:sz w:val="24"/>
          <w:szCs w:val="24"/>
        </w:rPr>
        <w:t xml:space="preserve"> </w:t>
      </w:r>
      <w:r w:rsidRPr="00E95331">
        <w:rPr>
          <w:rFonts w:ascii="Arial" w:hAnsi="Arial" w:cs="Arial"/>
          <w:sz w:val="24"/>
          <w:szCs w:val="24"/>
        </w:rPr>
        <w:t>los</w:t>
      </w:r>
      <w:r w:rsidRPr="00E95331">
        <w:rPr>
          <w:rFonts w:ascii="Arial" w:hAnsi="Arial" w:cs="Arial"/>
          <w:spacing w:val="-2"/>
          <w:sz w:val="24"/>
          <w:szCs w:val="24"/>
        </w:rPr>
        <w:t xml:space="preserve"> </w:t>
      </w:r>
      <w:r w:rsidRPr="00E95331">
        <w:rPr>
          <w:rFonts w:ascii="Arial" w:hAnsi="Arial" w:cs="Arial"/>
          <w:sz w:val="24"/>
          <w:szCs w:val="24"/>
        </w:rPr>
        <w:t>beneficios</w:t>
      </w:r>
      <w:r w:rsidRPr="00E95331">
        <w:rPr>
          <w:rFonts w:ascii="Arial" w:hAnsi="Arial" w:cs="Arial"/>
          <w:spacing w:val="-3"/>
          <w:sz w:val="24"/>
          <w:szCs w:val="24"/>
        </w:rPr>
        <w:t xml:space="preserve"> </w:t>
      </w:r>
      <w:r w:rsidRPr="00E95331">
        <w:rPr>
          <w:rFonts w:ascii="Arial" w:hAnsi="Arial" w:cs="Arial"/>
          <w:sz w:val="24"/>
          <w:szCs w:val="24"/>
        </w:rPr>
        <w:t>posempleo</w:t>
      </w:r>
      <w:r w:rsidRPr="00E95331">
        <w:rPr>
          <w:rFonts w:ascii="Arial" w:hAnsi="Arial" w:cs="Arial"/>
          <w:spacing w:val="-3"/>
          <w:sz w:val="24"/>
          <w:szCs w:val="24"/>
        </w:rPr>
        <w:t xml:space="preserve"> </w:t>
      </w:r>
      <w:r w:rsidRPr="00E95331">
        <w:rPr>
          <w:rFonts w:ascii="Arial" w:hAnsi="Arial" w:cs="Arial"/>
          <w:sz w:val="24"/>
          <w:szCs w:val="24"/>
        </w:rPr>
        <w:t>del personal militar).</w:t>
      </w:r>
    </w:p>
    <w:p w14:paraId="6FD77945" w14:textId="77777777" w:rsidR="00E46C0A" w:rsidRPr="00180D2C" w:rsidRDefault="00E46C0A" w:rsidP="00E95331">
      <w:pPr>
        <w:tabs>
          <w:tab w:val="left" w:pos="910"/>
          <w:tab w:val="left" w:pos="912"/>
        </w:tabs>
        <w:ind w:right="-234"/>
        <w:jc w:val="both"/>
        <w:rPr>
          <w:rFonts w:ascii="Arial" w:hAnsi="Arial" w:cs="Arial"/>
          <w:sz w:val="24"/>
          <w:szCs w:val="24"/>
        </w:rPr>
      </w:pPr>
    </w:p>
    <w:p w14:paraId="3854514A" w14:textId="77777777" w:rsidR="00E46C0A" w:rsidRPr="00180D2C" w:rsidRDefault="00E46C0A" w:rsidP="00E95331">
      <w:pPr>
        <w:pStyle w:val="Prrafodelista"/>
        <w:numPr>
          <w:ilvl w:val="1"/>
          <w:numId w:val="102"/>
        </w:numPr>
        <w:tabs>
          <w:tab w:val="left" w:pos="1337"/>
        </w:tabs>
        <w:ind w:right="-234"/>
        <w:jc w:val="both"/>
        <w:rPr>
          <w:rFonts w:ascii="Arial" w:hAnsi="Arial" w:cs="Arial"/>
          <w:sz w:val="24"/>
          <w:szCs w:val="24"/>
        </w:rPr>
      </w:pPr>
      <w:r w:rsidRPr="00180D2C">
        <w:rPr>
          <w:rFonts w:ascii="Arial" w:hAnsi="Arial" w:cs="Arial"/>
          <w:sz w:val="24"/>
          <w:szCs w:val="24"/>
        </w:rPr>
        <w:t>Las provisiones relacionadas con procesos judiciales por el reconocimiento de asignaciones</w:t>
      </w:r>
      <w:r w:rsidRPr="00180D2C">
        <w:rPr>
          <w:rFonts w:ascii="Arial" w:hAnsi="Arial" w:cs="Arial"/>
          <w:spacing w:val="-9"/>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retiro</w:t>
      </w:r>
      <w:r w:rsidRPr="00180D2C">
        <w:rPr>
          <w:rFonts w:ascii="Arial" w:hAnsi="Arial" w:cs="Arial"/>
          <w:spacing w:val="-11"/>
          <w:sz w:val="24"/>
          <w:szCs w:val="24"/>
        </w:rPr>
        <w:t xml:space="preserve"> </w:t>
      </w:r>
      <w:r w:rsidRPr="00180D2C">
        <w:rPr>
          <w:rFonts w:ascii="Arial" w:hAnsi="Arial" w:cs="Arial"/>
          <w:sz w:val="24"/>
          <w:szCs w:val="24"/>
        </w:rPr>
        <w:t>y</w:t>
      </w:r>
      <w:r w:rsidRPr="00180D2C">
        <w:rPr>
          <w:rFonts w:ascii="Arial" w:hAnsi="Arial" w:cs="Arial"/>
          <w:spacing w:val="-11"/>
          <w:sz w:val="24"/>
          <w:szCs w:val="24"/>
        </w:rPr>
        <w:t xml:space="preserve"> </w:t>
      </w:r>
      <w:r w:rsidRPr="00180D2C">
        <w:rPr>
          <w:rFonts w:ascii="Arial" w:hAnsi="Arial" w:cs="Arial"/>
          <w:sz w:val="24"/>
          <w:szCs w:val="24"/>
        </w:rPr>
        <w:t>obligaciones</w:t>
      </w:r>
      <w:r w:rsidRPr="00180D2C">
        <w:rPr>
          <w:rFonts w:ascii="Arial" w:hAnsi="Arial" w:cs="Arial"/>
          <w:spacing w:val="-9"/>
          <w:sz w:val="24"/>
          <w:szCs w:val="24"/>
        </w:rPr>
        <w:t xml:space="preserve"> </w:t>
      </w:r>
      <w:r w:rsidRPr="00180D2C">
        <w:rPr>
          <w:rFonts w:ascii="Arial" w:hAnsi="Arial" w:cs="Arial"/>
          <w:sz w:val="24"/>
          <w:szCs w:val="24"/>
        </w:rPr>
        <w:t>pensionales</w:t>
      </w:r>
      <w:r w:rsidRPr="00180D2C">
        <w:rPr>
          <w:rFonts w:ascii="Arial" w:hAnsi="Arial" w:cs="Arial"/>
          <w:spacing w:val="-9"/>
          <w:sz w:val="24"/>
          <w:szCs w:val="24"/>
        </w:rPr>
        <w:t xml:space="preserve"> </w:t>
      </w:r>
      <w:r w:rsidRPr="00180D2C">
        <w:rPr>
          <w:rFonts w:ascii="Arial" w:hAnsi="Arial" w:cs="Arial"/>
          <w:sz w:val="24"/>
          <w:szCs w:val="24"/>
        </w:rPr>
        <w:t>o</w:t>
      </w:r>
      <w:r w:rsidRPr="00180D2C">
        <w:rPr>
          <w:rFonts w:ascii="Arial" w:hAnsi="Arial" w:cs="Arial"/>
          <w:spacing w:val="-9"/>
          <w:sz w:val="24"/>
          <w:szCs w:val="24"/>
        </w:rPr>
        <w:t xml:space="preserve"> </w:t>
      </w:r>
      <w:r w:rsidRPr="00180D2C">
        <w:rPr>
          <w:rFonts w:ascii="Arial" w:hAnsi="Arial" w:cs="Arial"/>
          <w:sz w:val="24"/>
          <w:szCs w:val="24"/>
        </w:rPr>
        <w:t>por</w:t>
      </w:r>
      <w:r w:rsidRPr="00180D2C">
        <w:rPr>
          <w:rFonts w:ascii="Arial" w:hAnsi="Arial" w:cs="Arial"/>
          <w:spacing w:val="-8"/>
          <w:sz w:val="24"/>
          <w:szCs w:val="24"/>
        </w:rPr>
        <w:t xml:space="preserve"> </w:t>
      </w:r>
      <w:r w:rsidRPr="00180D2C">
        <w:rPr>
          <w:rFonts w:ascii="Arial" w:hAnsi="Arial" w:cs="Arial"/>
          <w:sz w:val="24"/>
          <w:szCs w:val="24"/>
        </w:rPr>
        <w:t>el</w:t>
      </w:r>
      <w:r w:rsidRPr="00180D2C">
        <w:rPr>
          <w:rFonts w:ascii="Arial" w:hAnsi="Arial" w:cs="Arial"/>
          <w:spacing w:val="-10"/>
          <w:sz w:val="24"/>
          <w:szCs w:val="24"/>
        </w:rPr>
        <w:t xml:space="preserve"> </w:t>
      </w:r>
      <w:r w:rsidRPr="00180D2C">
        <w:rPr>
          <w:rFonts w:ascii="Arial" w:hAnsi="Arial" w:cs="Arial"/>
          <w:sz w:val="24"/>
          <w:szCs w:val="24"/>
        </w:rPr>
        <w:t>ajuste</w:t>
      </w:r>
      <w:r w:rsidRPr="00180D2C">
        <w:rPr>
          <w:rFonts w:ascii="Arial" w:hAnsi="Arial" w:cs="Arial"/>
          <w:spacing w:val="-9"/>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su</w:t>
      </w:r>
      <w:r w:rsidRPr="00180D2C">
        <w:rPr>
          <w:rFonts w:ascii="Arial" w:hAnsi="Arial" w:cs="Arial"/>
          <w:spacing w:val="-11"/>
          <w:sz w:val="24"/>
          <w:szCs w:val="24"/>
        </w:rPr>
        <w:t xml:space="preserve"> </w:t>
      </w:r>
      <w:r w:rsidRPr="00180D2C">
        <w:rPr>
          <w:rFonts w:ascii="Arial" w:hAnsi="Arial" w:cs="Arial"/>
          <w:sz w:val="24"/>
          <w:szCs w:val="24"/>
        </w:rPr>
        <w:t>valor,</w:t>
      </w:r>
      <w:r w:rsidRPr="00180D2C">
        <w:rPr>
          <w:rFonts w:ascii="Arial" w:hAnsi="Arial" w:cs="Arial"/>
          <w:spacing w:val="-10"/>
          <w:sz w:val="24"/>
          <w:szCs w:val="24"/>
        </w:rPr>
        <w:t xml:space="preserve"> </w:t>
      </w:r>
      <w:r w:rsidRPr="00180D2C">
        <w:rPr>
          <w:rFonts w:ascii="Arial" w:hAnsi="Arial" w:cs="Arial"/>
          <w:sz w:val="24"/>
          <w:szCs w:val="24"/>
        </w:rPr>
        <w:t>que impliquen reconocimiento retroactivo, asociadas con los beneficios posempleo de las fuerzas</w:t>
      </w:r>
      <w:r w:rsidRPr="00180D2C">
        <w:rPr>
          <w:rFonts w:ascii="Arial" w:hAnsi="Arial" w:cs="Arial"/>
          <w:spacing w:val="-2"/>
          <w:sz w:val="24"/>
          <w:szCs w:val="24"/>
        </w:rPr>
        <w:t xml:space="preserve"> </w:t>
      </w:r>
      <w:r w:rsidRPr="00180D2C">
        <w:rPr>
          <w:rFonts w:ascii="Arial" w:hAnsi="Arial" w:cs="Arial"/>
          <w:sz w:val="24"/>
          <w:szCs w:val="24"/>
        </w:rPr>
        <w:t>militares se tratan como gasto de la entidad. En el</w:t>
      </w:r>
      <w:r w:rsidRPr="00180D2C">
        <w:rPr>
          <w:rFonts w:ascii="Arial" w:hAnsi="Arial" w:cs="Arial"/>
          <w:spacing w:val="-1"/>
          <w:sz w:val="24"/>
          <w:szCs w:val="24"/>
        </w:rPr>
        <w:t xml:space="preserve"> </w:t>
      </w:r>
      <w:r w:rsidRPr="00180D2C">
        <w:rPr>
          <w:rFonts w:ascii="Arial" w:hAnsi="Arial" w:cs="Arial"/>
          <w:sz w:val="24"/>
          <w:szCs w:val="24"/>
        </w:rPr>
        <w:t>año 2024 esta expensa ascendió a $25.443 millones. (En 2023 $45.043 millones).</w:t>
      </w:r>
    </w:p>
    <w:p w14:paraId="15BF5C3A" w14:textId="77777777" w:rsidR="00E46C0A" w:rsidRPr="00180D2C" w:rsidRDefault="00E46C0A" w:rsidP="00E95331">
      <w:pPr>
        <w:pStyle w:val="Textoindependiente"/>
        <w:spacing w:before="27"/>
        <w:ind w:right="-234"/>
        <w:rPr>
          <w:rFonts w:ascii="Arial" w:hAnsi="Arial" w:cs="Arial"/>
          <w:sz w:val="24"/>
          <w:szCs w:val="24"/>
        </w:rPr>
      </w:pPr>
    </w:p>
    <w:p w14:paraId="6941D677" w14:textId="77777777" w:rsidR="00E46C0A" w:rsidRPr="00180D2C" w:rsidRDefault="00E46C0A" w:rsidP="00E95331">
      <w:pPr>
        <w:pStyle w:val="Textoindependiente"/>
        <w:spacing w:before="1" w:line="242" w:lineRule="auto"/>
        <w:ind w:left="912" w:right="-234"/>
        <w:jc w:val="both"/>
        <w:rPr>
          <w:rFonts w:ascii="Arial" w:hAnsi="Arial" w:cs="Arial"/>
          <w:sz w:val="24"/>
          <w:szCs w:val="24"/>
        </w:rPr>
      </w:pPr>
      <w:r w:rsidRPr="00180D2C">
        <w:rPr>
          <w:rFonts w:ascii="Arial" w:hAnsi="Arial" w:cs="Arial"/>
          <w:sz w:val="24"/>
          <w:szCs w:val="24"/>
        </w:rPr>
        <w:t>Estimamos</w:t>
      </w:r>
      <w:r w:rsidRPr="00180D2C">
        <w:rPr>
          <w:rFonts w:ascii="Arial" w:hAnsi="Arial" w:cs="Arial"/>
          <w:spacing w:val="-5"/>
          <w:sz w:val="24"/>
          <w:szCs w:val="24"/>
        </w:rPr>
        <w:t xml:space="preserve"> </w:t>
      </w:r>
      <w:r w:rsidRPr="00180D2C">
        <w:rPr>
          <w:rFonts w:ascii="Arial" w:hAnsi="Arial" w:cs="Arial"/>
          <w:sz w:val="24"/>
          <w:szCs w:val="24"/>
        </w:rPr>
        <w:t>que</w:t>
      </w:r>
      <w:r w:rsidRPr="00180D2C">
        <w:rPr>
          <w:rFonts w:ascii="Arial" w:hAnsi="Arial" w:cs="Arial"/>
          <w:spacing w:val="-4"/>
          <w:sz w:val="24"/>
          <w:szCs w:val="24"/>
        </w:rPr>
        <w:t xml:space="preserve"> </w:t>
      </w:r>
      <w:r w:rsidRPr="00180D2C">
        <w:rPr>
          <w:rFonts w:ascii="Arial" w:hAnsi="Arial" w:cs="Arial"/>
          <w:sz w:val="24"/>
          <w:szCs w:val="24"/>
        </w:rPr>
        <w:t>al</w:t>
      </w:r>
      <w:r w:rsidRPr="00180D2C">
        <w:rPr>
          <w:rFonts w:ascii="Arial" w:hAnsi="Arial" w:cs="Arial"/>
          <w:spacing w:val="-8"/>
          <w:sz w:val="24"/>
          <w:szCs w:val="24"/>
        </w:rPr>
        <w:t xml:space="preserve"> </w:t>
      </w:r>
      <w:r w:rsidRPr="00180D2C">
        <w:rPr>
          <w:rFonts w:ascii="Arial" w:hAnsi="Arial" w:cs="Arial"/>
          <w:sz w:val="24"/>
          <w:szCs w:val="24"/>
        </w:rPr>
        <w:t>retirar</w:t>
      </w:r>
      <w:r w:rsidRPr="00180D2C">
        <w:rPr>
          <w:rFonts w:ascii="Arial" w:hAnsi="Arial" w:cs="Arial"/>
          <w:spacing w:val="-6"/>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la</w:t>
      </w:r>
      <w:r w:rsidRPr="00180D2C">
        <w:rPr>
          <w:rFonts w:ascii="Arial" w:hAnsi="Arial" w:cs="Arial"/>
          <w:spacing w:val="-5"/>
          <w:sz w:val="24"/>
          <w:szCs w:val="24"/>
        </w:rPr>
        <w:t xml:space="preserve"> </w:t>
      </w:r>
      <w:r w:rsidRPr="00180D2C">
        <w:rPr>
          <w:rFonts w:ascii="Arial" w:hAnsi="Arial" w:cs="Arial"/>
          <w:sz w:val="24"/>
          <w:szCs w:val="24"/>
        </w:rPr>
        <w:t>contabilidad</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5"/>
          <w:sz w:val="24"/>
          <w:szCs w:val="24"/>
        </w:rPr>
        <w:t xml:space="preserve"> </w:t>
      </w:r>
      <w:r w:rsidRPr="00180D2C">
        <w:rPr>
          <w:rFonts w:ascii="Arial" w:hAnsi="Arial" w:cs="Arial"/>
          <w:sz w:val="24"/>
          <w:szCs w:val="24"/>
        </w:rPr>
        <w:t>CREMIL</w:t>
      </w:r>
      <w:r w:rsidRPr="00180D2C">
        <w:rPr>
          <w:rFonts w:ascii="Arial" w:hAnsi="Arial" w:cs="Arial"/>
          <w:spacing w:val="-4"/>
          <w:sz w:val="24"/>
          <w:szCs w:val="24"/>
        </w:rPr>
        <w:t xml:space="preserve"> </w:t>
      </w:r>
      <w:r w:rsidRPr="00180D2C">
        <w:rPr>
          <w:rFonts w:ascii="Arial" w:hAnsi="Arial" w:cs="Arial"/>
          <w:sz w:val="24"/>
          <w:szCs w:val="24"/>
        </w:rPr>
        <w:t>los</w:t>
      </w:r>
      <w:r w:rsidRPr="00180D2C">
        <w:rPr>
          <w:rFonts w:ascii="Arial" w:hAnsi="Arial" w:cs="Arial"/>
          <w:spacing w:val="-7"/>
          <w:sz w:val="24"/>
          <w:szCs w:val="24"/>
        </w:rPr>
        <w:t xml:space="preserve"> </w:t>
      </w:r>
      <w:r w:rsidRPr="00180D2C">
        <w:rPr>
          <w:rFonts w:ascii="Arial" w:hAnsi="Arial" w:cs="Arial"/>
          <w:sz w:val="24"/>
          <w:szCs w:val="24"/>
        </w:rPr>
        <w:t>activos,</w:t>
      </w:r>
      <w:r w:rsidRPr="00180D2C">
        <w:rPr>
          <w:rFonts w:ascii="Arial" w:hAnsi="Arial" w:cs="Arial"/>
          <w:spacing w:val="-4"/>
          <w:sz w:val="24"/>
          <w:szCs w:val="24"/>
        </w:rPr>
        <w:t xml:space="preserve"> </w:t>
      </w:r>
      <w:r w:rsidRPr="00180D2C">
        <w:rPr>
          <w:rFonts w:ascii="Arial" w:hAnsi="Arial" w:cs="Arial"/>
          <w:sz w:val="24"/>
          <w:szCs w:val="24"/>
        </w:rPr>
        <w:t>pasivos,</w:t>
      </w:r>
      <w:r w:rsidRPr="00180D2C">
        <w:rPr>
          <w:rFonts w:ascii="Arial" w:hAnsi="Arial" w:cs="Arial"/>
          <w:spacing w:val="-4"/>
          <w:sz w:val="24"/>
          <w:szCs w:val="24"/>
        </w:rPr>
        <w:t xml:space="preserve"> </w:t>
      </w:r>
      <w:r w:rsidRPr="00180D2C">
        <w:rPr>
          <w:rFonts w:ascii="Arial" w:hAnsi="Arial" w:cs="Arial"/>
          <w:sz w:val="24"/>
          <w:szCs w:val="24"/>
        </w:rPr>
        <w:t>ingresos y gastos del plan de beneficios posempleo de las fuerzas militares, sus Estados Financieros</w:t>
      </w:r>
      <w:r w:rsidRPr="00180D2C">
        <w:rPr>
          <w:rFonts w:ascii="Arial" w:hAnsi="Arial" w:cs="Arial"/>
          <w:spacing w:val="-7"/>
          <w:sz w:val="24"/>
          <w:szCs w:val="24"/>
        </w:rPr>
        <w:t xml:space="preserve"> </w:t>
      </w:r>
      <w:r w:rsidRPr="00180D2C">
        <w:rPr>
          <w:rFonts w:ascii="Arial" w:hAnsi="Arial" w:cs="Arial"/>
          <w:sz w:val="24"/>
          <w:szCs w:val="24"/>
        </w:rPr>
        <w:t>tendrían</w:t>
      </w:r>
      <w:r w:rsidRPr="00180D2C">
        <w:rPr>
          <w:rFonts w:ascii="Arial" w:hAnsi="Arial" w:cs="Arial"/>
          <w:spacing w:val="-10"/>
          <w:sz w:val="24"/>
          <w:szCs w:val="24"/>
        </w:rPr>
        <w:t xml:space="preserve"> </w:t>
      </w:r>
      <w:r w:rsidRPr="00180D2C">
        <w:rPr>
          <w:rFonts w:ascii="Arial" w:hAnsi="Arial" w:cs="Arial"/>
          <w:sz w:val="24"/>
          <w:szCs w:val="24"/>
        </w:rPr>
        <w:t>cambios</w:t>
      </w:r>
      <w:r w:rsidRPr="00180D2C">
        <w:rPr>
          <w:rFonts w:ascii="Arial" w:hAnsi="Arial" w:cs="Arial"/>
          <w:spacing w:val="-6"/>
          <w:sz w:val="24"/>
          <w:szCs w:val="24"/>
        </w:rPr>
        <w:t xml:space="preserve"> </w:t>
      </w:r>
      <w:r w:rsidRPr="00180D2C">
        <w:rPr>
          <w:rFonts w:ascii="Arial" w:hAnsi="Arial" w:cs="Arial"/>
          <w:sz w:val="24"/>
          <w:szCs w:val="24"/>
        </w:rPr>
        <w:t>generalizados</w:t>
      </w:r>
      <w:r w:rsidRPr="00180D2C">
        <w:rPr>
          <w:rFonts w:ascii="Arial" w:hAnsi="Arial" w:cs="Arial"/>
          <w:spacing w:val="-10"/>
          <w:sz w:val="24"/>
          <w:szCs w:val="24"/>
        </w:rPr>
        <w:t xml:space="preserve"> </w:t>
      </w:r>
      <w:r w:rsidRPr="00180D2C">
        <w:rPr>
          <w:rFonts w:ascii="Arial" w:hAnsi="Arial" w:cs="Arial"/>
          <w:sz w:val="24"/>
          <w:szCs w:val="24"/>
        </w:rPr>
        <w:t>y</w:t>
      </w:r>
      <w:r w:rsidRPr="00180D2C">
        <w:rPr>
          <w:rFonts w:ascii="Arial" w:hAnsi="Arial" w:cs="Arial"/>
          <w:spacing w:val="-9"/>
          <w:sz w:val="24"/>
          <w:szCs w:val="24"/>
        </w:rPr>
        <w:t xml:space="preserve"> </w:t>
      </w:r>
      <w:r w:rsidRPr="00180D2C">
        <w:rPr>
          <w:rFonts w:ascii="Arial" w:hAnsi="Arial" w:cs="Arial"/>
          <w:sz w:val="24"/>
          <w:szCs w:val="24"/>
        </w:rPr>
        <w:t>materiales,</w:t>
      </w:r>
      <w:r w:rsidRPr="00180D2C">
        <w:rPr>
          <w:rFonts w:ascii="Arial" w:hAnsi="Arial" w:cs="Arial"/>
          <w:spacing w:val="-9"/>
          <w:sz w:val="24"/>
          <w:szCs w:val="24"/>
        </w:rPr>
        <w:t xml:space="preserve"> </w:t>
      </w:r>
      <w:r w:rsidRPr="00180D2C">
        <w:rPr>
          <w:rFonts w:ascii="Arial" w:hAnsi="Arial" w:cs="Arial"/>
          <w:sz w:val="24"/>
          <w:szCs w:val="24"/>
        </w:rPr>
        <w:t>mejorando</w:t>
      </w:r>
      <w:r w:rsidRPr="00180D2C">
        <w:rPr>
          <w:rFonts w:ascii="Arial" w:hAnsi="Arial" w:cs="Arial"/>
          <w:spacing w:val="-10"/>
          <w:sz w:val="24"/>
          <w:szCs w:val="24"/>
        </w:rPr>
        <w:t xml:space="preserve"> </w:t>
      </w:r>
      <w:r w:rsidRPr="00180D2C">
        <w:rPr>
          <w:rFonts w:ascii="Arial" w:hAnsi="Arial" w:cs="Arial"/>
          <w:sz w:val="24"/>
          <w:szCs w:val="24"/>
        </w:rPr>
        <w:t>la</w:t>
      </w:r>
      <w:r w:rsidRPr="00180D2C">
        <w:rPr>
          <w:rFonts w:ascii="Arial" w:hAnsi="Arial" w:cs="Arial"/>
          <w:spacing w:val="-7"/>
          <w:sz w:val="24"/>
          <w:szCs w:val="24"/>
        </w:rPr>
        <w:t xml:space="preserve"> </w:t>
      </w:r>
      <w:r w:rsidRPr="00180D2C">
        <w:rPr>
          <w:rFonts w:ascii="Arial" w:hAnsi="Arial" w:cs="Arial"/>
          <w:sz w:val="24"/>
          <w:szCs w:val="24"/>
        </w:rPr>
        <w:t>presentación y</w:t>
      </w:r>
      <w:r w:rsidRPr="00180D2C">
        <w:rPr>
          <w:rFonts w:ascii="Arial" w:hAnsi="Arial" w:cs="Arial"/>
          <w:spacing w:val="-16"/>
          <w:sz w:val="24"/>
          <w:szCs w:val="24"/>
        </w:rPr>
        <w:t xml:space="preserve"> </w:t>
      </w:r>
      <w:r w:rsidRPr="00180D2C">
        <w:rPr>
          <w:rFonts w:ascii="Arial" w:hAnsi="Arial" w:cs="Arial"/>
          <w:sz w:val="24"/>
          <w:szCs w:val="24"/>
        </w:rPr>
        <w:lastRenderedPageBreak/>
        <w:t>entendimiento</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5"/>
          <w:sz w:val="24"/>
          <w:szCs w:val="24"/>
        </w:rPr>
        <w:t xml:space="preserve"> </w:t>
      </w:r>
      <w:r w:rsidRPr="00180D2C">
        <w:rPr>
          <w:rFonts w:ascii="Arial" w:hAnsi="Arial" w:cs="Arial"/>
          <w:sz w:val="24"/>
          <w:szCs w:val="24"/>
        </w:rPr>
        <w:t>la</w:t>
      </w:r>
      <w:r w:rsidRPr="00180D2C">
        <w:rPr>
          <w:rFonts w:ascii="Arial" w:hAnsi="Arial" w:cs="Arial"/>
          <w:spacing w:val="-17"/>
          <w:sz w:val="24"/>
          <w:szCs w:val="24"/>
        </w:rPr>
        <w:t xml:space="preserve"> </w:t>
      </w:r>
      <w:r w:rsidRPr="00180D2C">
        <w:rPr>
          <w:rFonts w:ascii="Arial" w:hAnsi="Arial" w:cs="Arial"/>
          <w:sz w:val="24"/>
          <w:szCs w:val="24"/>
        </w:rPr>
        <w:t>situación</w:t>
      </w:r>
      <w:r w:rsidRPr="00180D2C">
        <w:rPr>
          <w:rFonts w:ascii="Arial" w:hAnsi="Arial" w:cs="Arial"/>
          <w:spacing w:val="-16"/>
          <w:sz w:val="24"/>
          <w:szCs w:val="24"/>
        </w:rPr>
        <w:t xml:space="preserve"> </w:t>
      </w:r>
      <w:r w:rsidRPr="00180D2C">
        <w:rPr>
          <w:rFonts w:ascii="Arial" w:hAnsi="Arial" w:cs="Arial"/>
          <w:sz w:val="24"/>
          <w:szCs w:val="24"/>
        </w:rPr>
        <w:t>financiera,</w:t>
      </w:r>
      <w:r w:rsidRPr="00180D2C">
        <w:rPr>
          <w:rFonts w:ascii="Arial" w:hAnsi="Arial" w:cs="Arial"/>
          <w:spacing w:val="-15"/>
          <w:sz w:val="24"/>
          <w:szCs w:val="24"/>
        </w:rPr>
        <w:t xml:space="preserve"> </w:t>
      </w:r>
      <w:r w:rsidRPr="00180D2C">
        <w:rPr>
          <w:rFonts w:ascii="Arial" w:hAnsi="Arial" w:cs="Arial"/>
          <w:sz w:val="24"/>
          <w:szCs w:val="24"/>
        </w:rPr>
        <w:t>resultados</w:t>
      </w:r>
      <w:r w:rsidRPr="00180D2C">
        <w:rPr>
          <w:rFonts w:ascii="Arial" w:hAnsi="Arial" w:cs="Arial"/>
          <w:spacing w:val="-15"/>
          <w:sz w:val="24"/>
          <w:szCs w:val="24"/>
        </w:rPr>
        <w:t xml:space="preserve"> </w:t>
      </w:r>
      <w:r w:rsidRPr="00180D2C">
        <w:rPr>
          <w:rFonts w:ascii="Arial" w:hAnsi="Arial" w:cs="Arial"/>
          <w:sz w:val="24"/>
          <w:szCs w:val="24"/>
        </w:rPr>
        <w:t>y</w:t>
      </w:r>
      <w:r w:rsidRPr="00180D2C">
        <w:rPr>
          <w:rFonts w:ascii="Arial" w:hAnsi="Arial" w:cs="Arial"/>
          <w:spacing w:val="-16"/>
          <w:sz w:val="24"/>
          <w:szCs w:val="24"/>
        </w:rPr>
        <w:t xml:space="preserve"> </w:t>
      </w:r>
      <w:r w:rsidRPr="00180D2C">
        <w:rPr>
          <w:rFonts w:ascii="Arial" w:hAnsi="Arial" w:cs="Arial"/>
          <w:sz w:val="24"/>
          <w:szCs w:val="24"/>
        </w:rPr>
        <w:t>flujos</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6"/>
          <w:sz w:val="24"/>
          <w:szCs w:val="24"/>
        </w:rPr>
        <w:t xml:space="preserve"> </w:t>
      </w:r>
      <w:r w:rsidRPr="00180D2C">
        <w:rPr>
          <w:rFonts w:ascii="Arial" w:hAnsi="Arial" w:cs="Arial"/>
          <w:sz w:val="24"/>
          <w:szCs w:val="24"/>
        </w:rPr>
        <w:t>efectivo</w:t>
      </w:r>
      <w:r w:rsidRPr="00180D2C">
        <w:rPr>
          <w:rFonts w:ascii="Arial" w:hAnsi="Arial" w:cs="Arial"/>
          <w:spacing w:val="-15"/>
          <w:sz w:val="24"/>
          <w:szCs w:val="24"/>
        </w:rPr>
        <w:t xml:space="preserve"> </w:t>
      </w:r>
      <w:r w:rsidRPr="00180D2C">
        <w:rPr>
          <w:rFonts w:ascii="Arial" w:hAnsi="Arial" w:cs="Arial"/>
          <w:sz w:val="24"/>
          <w:szCs w:val="24"/>
        </w:rPr>
        <w:t>de</w:t>
      </w:r>
      <w:r w:rsidRPr="00180D2C">
        <w:rPr>
          <w:rFonts w:ascii="Arial" w:hAnsi="Arial" w:cs="Arial"/>
          <w:spacing w:val="-17"/>
          <w:sz w:val="24"/>
          <w:szCs w:val="24"/>
        </w:rPr>
        <w:t xml:space="preserve"> </w:t>
      </w:r>
      <w:r w:rsidRPr="00180D2C">
        <w:rPr>
          <w:rFonts w:ascii="Arial" w:hAnsi="Arial" w:cs="Arial"/>
          <w:sz w:val="24"/>
          <w:szCs w:val="24"/>
        </w:rPr>
        <w:t>la</w:t>
      </w:r>
      <w:r w:rsidRPr="00180D2C">
        <w:rPr>
          <w:rFonts w:ascii="Arial" w:hAnsi="Arial" w:cs="Arial"/>
          <w:spacing w:val="-15"/>
          <w:sz w:val="24"/>
          <w:szCs w:val="24"/>
        </w:rPr>
        <w:t xml:space="preserve"> </w:t>
      </w:r>
      <w:r w:rsidRPr="00180D2C">
        <w:rPr>
          <w:rFonts w:ascii="Arial" w:hAnsi="Arial" w:cs="Arial"/>
          <w:sz w:val="24"/>
          <w:szCs w:val="24"/>
        </w:rPr>
        <w:t>entidad.</w:t>
      </w:r>
    </w:p>
    <w:p w14:paraId="1DCD7251" w14:textId="77777777" w:rsidR="00E46C0A" w:rsidRPr="00180D2C" w:rsidRDefault="00E46C0A" w:rsidP="00E95331">
      <w:pPr>
        <w:pStyle w:val="Textoindependiente"/>
        <w:ind w:left="912" w:right="-234"/>
        <w:jc w:val="both"/>
        <w:rPr>
          <w:rFonts w:ascii="Arial" w:hAnsi="Arial" w:cs="Arial"/>
          <w:sz w:val="24"/>
          <w:szCs w:val="24"/>
        </w:rPr>
      </w:pPr>
    </w:p>
    <w:p w14:paraId="6DA75428" w14:textId="77777777" w:rsidR="00E46C0A" w:rsidRPr="00180D2C" w:rsidRDefault="00E46C0A" w:rsidP="00E95331">
      <w:pPr>
        <w:pStyle w:val="Textoindependiente"/>
        <w:ind w:left="912" w:right="-234"/>
        <w:jc w:val="both"/>
        <w:rPr>
          <w:rFonts w:ascii="Arial" w:hAnsi="Arial" w:cs="Arial"/>
          <w:sz w:val="24"/>
          <w:szCs w:val="24"/>
        </w:rPr>
      </w:pPr>
      <w:r w:rsidRPr="00180D2C">
        <w:rPr>
          <w:rFonts w:ascii="Arial" w:hAnsi="Arial" w:cs="Arial"/>
          <w:sz w:val="24"/>
          <w:szCs w:val="24"/>
        </w:rPr>
        <w:t>Solicitamos a la Dirección y responsables del gobierno de la entidad elevar comunicación a la Contaduría General de la Nación para revisar las instrucciones impartidas</w:t>
      </w:r>
      <w:r w:rsidRPr="00180D2C">
        <w:rPr>
          <w:rFonts w:ascii="Arial" w:hAnsi="Arial" w:cs="Arial"/>
          <w:spacing w:val="-8"/>
          <w:sz w:val="24"/>
          <w:szCs w:val="24"/>
        </w:rPr>
        <w:t xml:space="preserve"> </w:t>
      </w:r>
      <w:r w:rsidRPr="00180D2C">
        <w:rPr>
          <w:rFonts w:ascii="Arial" w:hAnsi="Arial" w:cs="Arial"/>
          <w:sz w:val="24"/>
          <w:szCs w:val="24"/>
        </w:rPr>
        <w:t>en</w:t>
      </w:r>
      <w:r w:rsidRPr="00180D2C">
        <w:rPr>
          <w:rFonts w:ascii="Arial" w:hAnsi="Arial" w:cs="Arial"/>
          <w:spacing w:val="-7"/>
          <w:sz w:val="24"/>
          <w:szCs w:val="24"/>
        </w:rPr>
        <w:t xml:space="preserve"> </w:t>
      </w:r>
      <w:r w:rsidRPr="00180D2C">
        <w:rPr>
          <w:rFonts w:ascii="Arial" w:hAnsi="Arial" w:cs="Arial"/>
          <w:sz w:val="24"/>
          <w:szCs w:val="24"/>
        </w:rPr>
        <w:t>el</w:t>
      </w:r>
      <w:r w:rsidRPr="00180D2C">
        <w:rPr>
          <w:rFonts w:ascii="Arial" w:hAnsi="Arial" w:cs="Arial"/>
          <w:spacing w:val="-9"/>
          <w:sz w:val="24"/>
          <w:szCs w:val="24"/>
        </w:rPr>
        <w:t xml:space="preserve"> </w:t>
      </w:r>
      <w:r w:rsidRPr="00180D2C">
        <w:rPr>
          <w:rFonts w:ascii="Arial" w:hAnsi="Arial" w:cs="Arial"/>
          <w:sz w:val="24"/>
          <w:szCs w:val="24"/>
        </w:rPr>
        <w:t>concepto</w:t>
      </w:r>
      <w:r w:rsidRPr="00180D2C">
        <w:rPr>
          <w:rFonts w:ascii="Arial" w:hAnsi="Arial" w:cs="Arial"/>
          <w:spacing w:val="-7"/>
          <w:sz w:val="24"/>
          <w:szCs w:val="24"/>
        </w:rPr>
        <w:t xml:space="preserve"> </w:t>
      </w:r>
      <w:r w:rsidRPr="00180D2C">
        <w:rPr>
          <w:rFonts w:ascii="Arial" w:hAnsi="Arial" w:cs="Arial"/>
          <w:sz w:val="24"/>
          <w:szCs w:val="24"/>
        </w:rPr>
        <w:t>No.</w:t>
      </w:r>
      <w:r w:rsidRPr="00180D2C">
        <w:rPr>
          <w:rFonts w:ascii="Arial" w:hAnsi="Arial" w:cs="Arial"/>
          <w:spacing w:val="-5"/>
          <w:sz w:val="24"/>
          <w:szCs w:val="24"/>
        </w:rPr>
        <w:t xml:space="preserve"> </w:t>
      </w:r>
      <w:r w:rsidRPr="00180D2C">
        <w:rPr>
          <w:rFonts w:ascii="Arial" w:hAnsi="Arial" w:cs="Arial"/>
          <w:sz w:val="24"/>
          <w:szCs w:val="24"/>
        </w:rPr>
        <w:t>20202000007841</w:t>
      </w:r>
      <w:r w:rsidRPr="00180D2C">
        <w:rPr>
          <w:rFonts w:ascii="Arial" w:hAnsi="Arial" w:cs="Arial"/>
          <w:spacing w:val="-9"/>
          <w:sz w:val="24"/>
          <w:szCs w:val="24"/>
        </w:rPr>
        <w:t xml:space="preserve"> </w:t>
      </w:r>
      <w:r w:rsidRPr="00180D2C">
        <w:rPr>
          <w:rFonts w:ascii="Arial" w:hAnsi="Arial" w:cs="Arial"/>
          <w:sz w:val="24"/>
          <w:szCs w:val="24"/>
        </w:rPr>
        <w:t>del</w:t>
      </w:r>
      <w:r w:rsidRPr="00180D2C">
        <w:rPr>
          <w:rFonts w:ascii="Arial" w:hAnsi="Arial" w:cs="Arial"/>
          <w:spacing w:val="-7"/>
          <w:sz w:val="24"/>
          <w:szCs w:val="24"/>
        </w:rPr>
        <w:t xml:space="preserve"> </w:t>
      </w:r>
      <w:r w:rsidRPr="00180D2C">
        <w:rPr>
          <w:rFonts w:ascii="Arial" w:hAnsi="Arial" w:cs="Arial"/>
          <w:sz w:val="24"/>
          <w:szCs w:val="24"/>
        </w:rPr>
        <w:t>29</w:t>
      </w:r>
      <w:r w:rsidRPr="00180D2C">
        <w:rPr>
          <w:rFonts w:ascii="Arial" w:hAnsi="Arial" w:cs="Arial"/>
          <w:spacing w:val="-7"/>
          <w:sz w:val="24"/>
          <w:szCs w:val="24"/>
        </w:rPr>
        <w:t xml:space="preserve"> </w:t>
      </w:r>
      <w:r w:rsidRPr="00180D2C">
        <w:rPr>
          <w:rFonts w:ascii="Arial" w:hAnsi="Arial" w:cs="Arial"/>
          <w:sz w:val="24"/>
          <w:szCs w:val="24"/>
        </w:rPr>
        <w:t>de</w:t>
      </w:r>
      <w:r w:rsidRPr="00180D2C">
        <w:rPr>
          <w:rFonts w:ascii="Arial" w:hAnsi="Arial" w:cs="Arial"/>
          <w:spacing w:val="-9"/>
          <w:sz w:val="24"/>
          <w:szCs w:val="24"/>
        </w:rPr>
        <w:t xml:space="preserve"> </w:t>
      </w:r>
      <w:r w:rsidRPr="00180D2C">
        <w:rPr>
          <w:rFonts w:ascii="Arial" w:hAnsi="Arial" w:cs="Arial"/>
          <w:sz w:val="24"/>
          <w:szCs w:val="24"/>
        </w:rPr>
        <w:t>febrero</w:t>
      </w:r>
      <w:r w:rsidRPr="00180D2C">
        <w:rPr>
          <w:rFonts w:ascii="Arial" w:hAnsi="Arial" w:cs="Arial"/>
          <w:spacing w:val="-6"/>
          <w:sz w:val="24"/>
          <w:szCs w:val="24"/>
        </w:rPr>
        <w:t xml:space="preserve"> </w:t>
      </w:r>
      <w:r w:rsidRPr="00180D2C">
        <w:rPr>
          <w:rFonts w:ascii="Arial" w:hAnsi="Arial" w:cs="Arial"/>
          <w:sz w:val="24"/>
          <w:szCs w:val="24"/>
        </w:rPr>
        <w:t>de</w:t>
      </w:r>
      <w:r w:rsidRPr="00180D2C">
        <w:rPr>
          <w:rFonts w:ascii="Arial" w:hAnsi="Arial" w:cs="Arial"/>
          <w:spacing w:val="-9"/>
          <w:sz w:val="24"/>
          <w:szCs w:val="24"/>
        </w:rPr>
        <w:t xml:space="preserve"> </w:t>
      </w:r>
      <w:r w:rsidRPr="00180D2C">
        <w:rPr>
          <w:rFonts w:ascii="Arial" w:hAnsi="Arial" w:cs="Arial"/>
          <w:sz w:val="24"/>
          <w:szCs w:val="24"/>
        </w:rPr>
        <w:t>2020,</w:t>
      </w:r>
      <w:r w:rsidRPr="00180D2C">
        <w:rPr>
          <w:rFonts w:ascii="Arial" w:hAnsi="Arial" w:cs="Arial"/>
          <w:spacing w:val="-5"/>
          <w:sz w:val="24"/>
          <w:szCs w:val="24"/>
        </w:rPr>
        <w:t xml:space="preserve"> </w:t>
      </w:r>
      <w:r w:rsidRPr="00180D2C">
        <w:rPr>
          <w:rFonts w:ascii="Arial" w:hAnsi="Arial" w:cs="Arial"/>
          <w:sz w:val="24"/>
          <w:szCs w:val="24"/>
        </w:rPr>
        <w:t>de</w:t>
      </w:r>
      <w:r w:rsidRPr="00180D2C">
        <w:rPr>
          <w:rFonts w:ascii="Arial" w:hAnsi="Arial" w:cs="Arial"/>
          <w:spacing w:val="-9"/>
          <w:sz w:val="24"/>
          <w:szCs w:val="24"/>
        </w:rPr>
        <w:t xml:space="preserve"> </w:t>
      </w:r>
      <w:r w:rsidRPr="00180D2C">
        <w:rPr>
          <w:rFonts w:ascii="Arial" w:hAnsi="Arial" w:cs="Arial"/>
          <w:sz w:val="24"/>
          <w:szCs w:val="24"/>
        </w:rPr>
        <w:t>suerte que</w:t>
      </w:r>
      <w:r w:rsidRPr="00180D2C">
        <w:rPr>
          <w:rFonts w:ascii="Arial" w:hAnsi="Arial" w:cs="Arial"/>
          <w:spacing w:val="-9"/>
          <w:sz w:val="24"/>
          <w:szCs w:val="24"/>
        </w:rPr>
        <w:t xml:space="preserve"> </w:t>
      </w:r>
      <w:r w:rsidRPr="00180D2C">
        <w:rPr>
          <w:rFonts w:ascii="Arial" w:hAnsi="Arial" w:cs="Arial"/>
          <w:sz w:val="24"/>
          <w:szCs w:val="24"/>
        </w:rPr>
        <w:t>CREMIL,</w:t>
      </w:r>
      <w:r w:rsidRPr="00180D2C">
        <w:rPr>
          <w:rFonts w:ascii="Arial" w:hAnsi="Arial" w:cs="Arial"/>
          <w:spacing w:val="-8"/>
          <w:sz w:val="24"/>
          <w:szCs w:val="24"/>
        </w:rPr>
        <w:t xml:space="preserve"> </w:t>
      </w:r>
      <w:r w:rsidRPr="00180D2C">
        <w:rPr>
          <w:rFonts w:ascii="Arial" w:hAnsi="Arial" w:cs="Arial"/>
          <w:sz w:val="24"/>
          <w:szCs w:val="24"/>
        </w:rPr>
        <w:t>en</w:t>
      </w:r>
      <w:r w:rsidRPr="00180D2C">
        <w:rPr>
          <w:rFonts w:ascii="Arial" w:hAnsi="Arial" w:cs="Arial"/>
          <w:spacing w:val="-12"/>
          <w:sz w:val="24"/>
          <w:szCs w:val="24"/>
        </w:rPr>
        <w:t xml:space="preserve"> </w:t>
      </w:r>
      <w:r w:rsidRPr="00180D2C">
        <w:rPr>
          <w:rFonts w:ascii="Arial" w:hAnsi="Arial" w:cs="Arial"/>
          <w:sz w:val="24"/>
          <w:szCs w:val="24"/>
        </w:rPr>
        <w:t>calidad</w:t>
      </w:r>
      <w:r w:rsidRPr="00180D2C">
        <w:rPr>
          <w:rFonts w:ascii="Arial" w:hAnsi="Arial" w:cs="Arial"/>
          <w:spacing w:val="-11"/>
          <w:sz w:val="24"/>
          <w:szCs w:val="24"/>
        </w:rPr>
        <w:t xml:space="preserve"> </w:t>
      </w:r>
      <w:r w:rsidRPr="00180D2C">
        <w:rPr>
          <w:rFonts w:ascii="Arial" w:hAnsi="Arial" w:cs="Arial"/>
          <w:sz w:val="24"/>
          <w:szCs w:val="24"/>
        </w:rPr>
        <w:t>de</w:t>
      </w:r>
      <w:r w:rsidRPr="00180D2C">
        <w:rPr>
          <w:rFonts w:ascii="Arial" w:hAnsi="Arial" w:cs="Arial"/>
          <w:spacing w:val="-9"/>
          <w:sz w:val="24"/>
          <w:szCs w:val="24"/>
        </w:rPr>
        <w:t xml:space="preserve"> </w:t>
      </w:r>
      <w:r w:rsidRPr="00180D2C">
        <w:rPr>
          <w:rFonts w:ascii="Arial" w:hAnsi="Arial" w:cs="Arial"/>
          <w:sz w:val="24"/>
          <w:szCs w:val="24"/>
        </w:rPr>
        <w:t>administradora</w:t>
      </w:r>
      <w:r w:rsidRPr="00180D2C">
        <w:rPr>
          <w:rFonts w:ascii="Arial" w:hAnsi="Arial" w:cs="Arial"/>
          <w:spacing w:val="-10"/>
          <w:sz w:val="24"/>
          <w:szCs w:val="24"/>
        </w:rPr>
        <w:t xml:space="preserve"> </w:t>
      </w:r>
      <w:r w:rsidRPr="00180D2C">
        <w:rPr>
          <w:rFonts w:ascii="Arial" w:hAnsi="Arial" w:cs="Arial"/>
          <w:sz w:val="24"/>
          <w:szCs w:val="24"/>
        </w:rPr>
        <w:t>reconozca</w:t>
      </w:r>
      <w:r w:rsidRPr="00180D2C">
        <w:rPr>
          <w:rFonts w:ascii="Arial" w:hAnsi="Arial" w:cs="Arial"/>
          <w:spacing w:val="-9"/>
          <w:sz w:val="24"/>
          <w:szCs w:val="24"/>
        </w:rPr>
        <w:t xml:space="preserve"> </w:t>
      </w:r>
      <w:r w:rsidRPr="00180D2C">
        <w:rPr>
          <w:rFonts w:ascii="Arial" w:hAnsi="Arial" w:cs="Arial"/>
          <w:sz w:val="24"/>
          <w:szCs w:val="24"/>
        </w:rPr>
        <w:t>y</w:t>
      </w:r>
      <w:r w:rsidRPr="00180D2C">
        <w:rPr>
          <w:rFonts w:ascii="Arial" w:hAnsi="Arial" w:cs="Arial"/>
          <w:spacing w:val="-11"/>
          <w:sz w:val="24"/>
          <w:szCs w:val="24"/>
        </w:rPr>
        <w:t xml:space="preserve"> </w:t>
      </w:r>
      <w:r w:rsidRPr="00180D2C">
        <w:rPr>
          <w:rFonts w:ascii="Arial" w:hAnsi="Arial" w:cs="Arial"/>
          <w:sz w:val="24"/>
          <w:szCs w:val="24"/>
        </w:rPr>
        <w:t>pague</w:t>
      </w:r>
      <w:r w:rsidRPr="00180D2C">
        <w:rPr>
          <w:rFonts w:ascii="Arial" w:hAnsi="Arial" w:cs="Arial"/>
          <w:spacing w:val="-9"/>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forma</w:t>
      </w:r>
      <w:r w:rsidRPr="00180D2C">
        <w:rPr>
          <w:rFonts w:ascii="Arial" w:hAnsi="Arial" w:cs="Arial"/>
          <w:spacing w:val="-11"/>
          <w:sz w:val="24"/>
          <w:szCs w:val="24"/>
        </w:rPr>
        <w:t xml:space="preserve"> </w:t>
      </w:r>
      <w:r w:rsidRPr="00180D2C">
        <w:rPr>
          <w:rFonts w:ascii="Arial" w:hAnsi="Arial" w:cs="Arial"/>
          <w:sz w:val="24"/>
          <w:szCs w:val="24"/>
        </w:rPr>
        <w:t>oportuna</w:t>
      </w:r>
      <w:r w:rsidRPr="00180D2C">
        <w:rPr>
          <w:rFonts w:ascii="Arial" w:hAnsi="Arial" w:cs="Arial"/>
          <w:spacing w:val="-11"/>
          <w:sz w:val="24"/>
          <w:szCs w:val="24"/>
        </w:rPr>
        <w:t xml:space="preserve"> </w:t>
      </w:r>
      <w:r w:rsidRPr="00180D2C">
        <w:rPr>
          <w:rFonts w:ascii="Arial" w:hAnsi="Arial" w:cs="Arial"/>
          <w:sz w:val="24"/>
          <w:szCs w:val="24"/>
        </w:rPr>
        <w:t>las asignaciones</w:t>
      </w:r>
      <w:r w:rsidRPr="00180D2C">
        <w:rPr>
          <w:rFonts w:ascii="Arial" w:hAnsi="Arial" w:cs="Arial"/>
          <w:spacing w:val="-10"/>
          <w:sz w:val="24"/>
          <w:szCs w:val="24"/>
        </w:rPr>
        <w:t xml:space="preserve"> </w:t>
      </w:r>
      <w:r w:rsidRPr="00180D2C">
        <w:rPr>
          <w:rFonts w:ascii="Arial" w:hAnsi="Arial" w:cs="Arial"/>
          <w:sz w:val="24"/>
          <w:szCs w:val="24"/>
        </w:rPr>
        <w:t>de</w:t>
      </w:r>
      <w:r w:rsidRPr="00180D2C">
        <w:rPr>
          <w:rFonts w:ascii="Arial" w:hAnsi="Arial" w:cs="Arial"/>
          <w:spacing w:val="-13"/>
          <w:sz w:val="24"/>
          <w:szCs w:val="24"/>
        </w:rPr>
        <w:t xml:space="preserve"> </w:t>
      </w:r>
      <w:r w:rsidRPr="00180D2C">
        <w:rPr>
          <w:rFonts w:ascii="Arial" w:hAnsi="Arial" w:cs="Arial"/>
          <w:sz w:val="24"/>
          <w:szCs w:val="24"/>
        </w:rPr>
        <w:t>retiro,</w:t>
      </w:r>
      <w:r w:rsidRPr="00180D2C">
        <w:rPr>
          <w:rFonts w:ascii="Arial" w:hAnsi="Arial" w:cs="Arial"/>
          <w:spacing w:val="-11"/>
          <w:sz w:val="24"/>
          <w:szCs w:val="24"/>
        </w:rPr>
        <w:t xml:space="preserve"> </w:t>
      </w:r>
      <w:r w:rsidRPr="00180D2C">
        <w:rPr>
          <w:rFonts w:ascii="Arial" w:hAnsi="Arial" w:cs="Arial"/>
          <w:sz w:val="24"/>
          <w:szCs w:val="24"/>
        </w:rPr>
        <w:t>pensiones</w:t>
      </w:r>
      <w:r w:rsidRPr="00180D2C">
        <w:rPr>
          <w:rFonts w:ascii="Arial" w:hAnsi="Arial" w:cs="Arial"/>
          <w:spacing w:val="-10"/>
          <w:sz w:val="24"/>
          <w:szCs w:val="24"/>
        </w:rPr>
        <w:t xml:space="preserve"> </w:t>
      </w:r>
      <w:r w:rsidRPr="00180D2C">
        <w:rPr>
          <w:rFonts w:ascii="Arial" w:hAnsi="Arial" w:cs="Arial"/>
          <w:sz w:val="24"/>
          <w:szCs w:val="24"/>
        </w:rPr>
        <w:t>y</w:t>
      </w:r>
      <w:r w:rsidRPr="00180D2C">
        <w:rPr>
          <w:rFonts w:ascii="Arial" w:hAnsi="Arial" w:cs="Arial"/>
          <w:spacing w:val="-12"/>
          <w:sz w:val="24"/>
          <w:szCs w:val="24"/>
        </w:rPr>
        <w:t xml:space="preserve"> </w:t>
      </w:r>
      <w:r w:rsidRPr="00180D2C">
        <w:rPr>
          <w:rFonts w:ascii="Arial" w:hAnsi="Arial" w:cs="Arial"/>
          <w:sz w:val="24"/>
          <w:szCs w:val="24"/>
        </w:rPr>
        <w:t>demás</w:t>
      </w:r>
      <w:r w:rsidRPr="00180D2C">
        <w:rPr>
          <w:rFonts w:ascii="Arial" w:hAnsi="Arial" w:cs="Arial"/>
          <w:spacing w:val="-12"/>
          <w:sz w:val="24"/>
          <w:szCs w:val="24"/>
        </w:rPr>
        <w:t xml:space="preserve"> </w:t>
      </w:r>
      <w:r w:rsidRPr="00180D2C">
        <w:rPr>
          <w:rFonts w:ascii="Arial" w:hAnsi="Arial" w:cs="Arial"/>
          <w:sz w:val="24"/>
          <w:szCs w:val="24"/>
        </w:rPr>
        <w:t>prestaciones</w:t>
      </w:r>
      <w:r w:rsidRPr="00180D2C">
        <w:rPr>
          <w:rFonts w:ascii="Arial" w:hAnsi="Arial" w:cs="Arial"/>
          <w:spacing w:val="-10"/>
          <w:sz w:val="24"/>
          <w:szCs w:val="24"/>
        </w:rPr>
        <w:t xml:space="preserve"> </w:t>
      </w:r>
      <w:r w:rsidRPr="00180D2C">
        <w:rPr>
          <w:rFonts w:ascii="Arial" w:hAnsi="Arial" w:cs="Arial"/>
          <w:sz w:val="24"/>
          <w:szCs w:val="24"/>
        </w:rPr>
        <w:t>que</w:t>
      </w:r>
      <w:r w:rsidRPr="00180D2C">
        <w:rPr>
          <w:rFonts w:ascii="Arial" w:hAnsi="Arial" w:cs="Arial"/>
          <w:spacing w:val="-12"/>
          <w:sz w:val="24"/>
          <w:szCs w:val="24"/>
        </w:rPr>
        <w:t xml:space="preserve"> </w:t>
      </w:r>
      <w:r w:rsidRPr="00180D2C">
        <w:rPr>
          <w:rFonts w:ascii="Arial" w:hAnsi="Arial" w:cs="Arial"/>
          <w:sz w:val="24"/>
          <w:szCs w:val="24"/>
        </w:rPr>
        <w:t>la</w:t>
      </w:r>
      <w:r w:rsidRPr="00180D2C">
        <w:rPr>
          <w:rFonts w:ascii="Arial" w:hAnsi="Arial" w:cs="Arial"/>
          <w:spacing w:val="-12"/>
          <w:sz w:val="24"/>
          <w:szCs w:val="24"/>
        </w:rPr>
        <w:t xml:space="preserve"> </w:t>
      </w:r>
      <w:r w:rsidRPr="00180D2C">
        <w:rPr>
          <w:rFonts w:ascii="Arial" w:hAnsi="Arial" w:cs="Arial"/>
          <w:sz w:val="24"/>
          <w:szCs w:val="24"/>
        </w:rPr>
        <w:t>Ley</w:t>
      </w:r>
      <w:r w:rsidRPr="00180D2C">
        <w:rPr>
          <w:rFonts w:ascii="Arial" w:hAnsi="Arial" w:cs="Arial"/>
          <w:spacing w:val="-12"/>
          <w:sz w:val="24"/>
          <w:szCs w:val="24"/>
        </w:rPr>
        <w:t xml:space="preserve"> </w:t>
      </w:r>
      <w:r w:rsidRPr="00180D2C">
        <w:rPr>
          <w:rFonts w:ascii="Arial" w:hAnsi="Arial" w:cs="Arial"/>
          <w:sz w:val="24"/>
          <w:szCs w:val="24"/>
        </w:rPr>
        <w:t>señale,</w:t>
      </w:r>
      <w:r w:rsidRPr="00180D2C">
        <w:rPr>
          <w:rFonts w:ascii="Arial" w:hAnsi="Arial" w:cs="Arial"/>
          <w:spacing w:val="-11"/>
          <w:sz w:val="24"/>
          <w:szCs w:val="24"/>
        </w:rPr>
        <w:t xml:space="preserve"> </w:t>
      </w:r>
      <w:r w:rsidRPr="00180D2C">
        <w:rPr>
          <w:rFonts w:ascii="Arial" w:hAnsi="Arial" w:cs="Arial"/>
          <w:sz w:val="24"/>
          <w:szCs w:val="24"/>
        </w:rPr>
        <w:t>a</w:t>
      </w:r>
      <w:r w:rsidRPr="00180D2C">
        <w:rPr>
          <w:rFonts w:ascii="Arial" w:hAnsi="Arial" w:cs="Arial"/>
          <w:spacing w:val="-12"/>
          <w:sz w:val="24"/>
          <w:szCs w:val="24"/>
        </w:rPr>
        <w:t xml:space="preserve"> </w:t>
      </w:r>
      <w:r w:rsidRPr="00180D2C">
        <w:rPr>
          <w:rFonts w:ascii="Arial" w:hAnsi="Arial" w:cs="Arial"/>
          <w:sz w:val="24"/>
          <w:szCs w:val="24"/>
        </w:rPr>
        <w:t>quienes adquieran ese derecho, y lleve un sistema de contabilidad, cuentas, inversiones, y pasivos</w:t>
      </w:r>
      <w:r w:rsidRPr="00180D2C">
        <w:rPr>
          <w:rFonts w:ascii="Arial" w:hAnsi="Arial" w:cs="Arial"/>
          <w:spacing w:val="-7"/>
          <w:sz w:val="24"/>
          <w:szCs w:val="24"/>
        </w:rPr>
        <w:t xml:space="preserve"> </w:t>
      </w:r>
      <w:r w:rsidRPr="00180D2C">
        <w:rPr>
          <w:rFonts w:ascii="Arial" w:hAnsi="Arial" w:cs="Arial"/>
          <w:sz w:val="24"/>
          <w:szCs w:val="24"/>
        </w:rPr>
        <w:t>por</w:t>
      </w:r>
      <w:r w:rsidRPr="00180D2C">
        <w:rPr>
          <w:rFonts w:ascii="Arial" w:hAnsi="Arial" w:cs="Arial"/>
          <w:spacing w:val="-9"/>
          <w:sz w:val="24"/>
          <w:szCs w:val="24"/>
        </w:rPr>
        <w:t xml:space="preserve"> </w:t>
      </w:r>
      <w:r w:rsidRPr="00180D2C">
        <w:rPr>
          <w:rFonts w:ascii="Arial" w:hAnsi="Arial" w:cs="Arial"/>
          <w:sz w:val="24"/>
          <w:szCs w:val="24"/>
        </w:rPr>
        <w:t>los</w:t>
      </w:r>
      <w:r w:rsidRPr="00180D2C">
        <w:rPr>
          <w:rFonts w:ascii="Arial" w:hAnsi="Arial" w:cs="Arial"/>
          <w:spacing w:val="-7"/>
          <w:sz w:val="24"/>
          <w:szCs w:val="24"/>
        </w:rPr>
        <w:t xml:space="preserve"> </w:t>
      </w:r>
      <w:r w:rsidRPr="00180D2C">
        <w:rPr>
          <w:rFonts w:ascii="Arial" w:hAnsi="Arial" w:cs="Arial"/>
          <w:sz w:val="24"/>
          <w:szCs w:val="24"/>
        </w:rPr>
        <w:t>beneficios</w:t>
      </w:r>
      <w:r w:rsidRPr="00180D2C">
        <w:rPr>
          <w:rFonts w:ascii="Arial" w:hAnsi="Arial" w:cs="Arial"/>
          <w:spacing w:val="-7"/>
          <w:sz w:val="24"/>
          <w:szCs w:val="24"/>
        </w:rPr>
        <w:t xml:space="preserve"> </w:t>
      </w:r>
      <w:r w:rsidRPr="00180D2C">
        <w:rPr>
          <w:rFonts w:ascii="Arial" w:hAnsi="Arial" w:cs="Arial"/>
          <w:sz w:val="24"/>
          <w:szCs w:val="24"/>
        </w:rPr>
        <w:t>posempleo</w:t>
      </w:r>
      <w:r w:rsidRPr="00180D2C">
        <w:rPr>
          <w:rFonts w:ascii="Arial" w:hAnsi="Arial" w:cs="Arial"/>
          <w:spacing w:val="-8"/>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la</w:t>
      </w:r>
      <w:r w:rsidRPr="00180D2C">
        <w:rPr>
          <w:rFonts w:ascii="Arial" w:hAnsi="Arial" w:cs="Arial"/>
          <w:spacing w:val="-7"/>
          <w:sz w:val="24"/>
          <w:szCs w:val="24"/>
        </w:rPr>
        <w:t xml:space="preserve"> </w:t>
      </w:r>
      <w:r w:rsidRPr="00180D2C">
        <w:rPr>
          <w:rFonts w:ascii="Arial" w:hAnsi="Arial" w:cs="Arial"/>
          <w:sz w:val="24"/>
          <w:szCs w:val="24"/>
        </w:rPr>
        <w:t>fuerzas</w:t>
      </w:r>
      <w:r w:rsidRPr="00180D2C">
        <w:rPr>
          <w:rFonts w:ascii="Arial" w:hAnsi="Arial" w:cs="Arial"/>
          <w:spacing w:val="-7"/>
          <w:sz w:val="24"/>
          <w:szCs w:val="24"/>
        </w:rPr>
        <w:t xml:space="preserve"> </w:t>
      </w:r>
      <w:r w:rsidRPr="00180D2C">
        <w:rPr>
          <w:rFonts w:ascii="Arial" w:hAnsi="Arial" w:cs="Arial"/>
          <w:sz w:val="24"/>
          <w:szCs w:val="24"/>
        </w:rPr>
        <w:t>militares</w:t>
      </w:r>
      <w:r w:rsidRPr="00180D2C">
        <w:rPr>
          <w:rFonts w:ascii="Arial" w:hAnsi="Arial" w:cs="Arial"/>
          <w:spacing w:val="-6"/>
          <w:sz w:val="24"/>
          <w:szCs w:val="24"/>
        </w:rPr>
        <w:t xml:space="preserve"> </w:t>
      </w:r>
      <w:r w:rsidRPr="00180D2C">
        <w:rPr>
          <w:rFonts w:ascii="Arial" w:hAnsi="Arial" w:cs="Arial"/>
          <w:sz w:val="24"/>
          <w:szCs w:val="24"/>
        </w:rPr>
        <w:t>de</w:t>
      </w:r>
      <w:r w:rsidRPr="00180D2C">
        <w:rPr>
          <w:rFonts w:ascii="Arial" w:hAnsi="Arial" w:cs="Arial"/>
          <w:spacing w:val="-10"/>
          <w:sz w:val="24"/>
          <w:szCs w:val="24"/>
        </w:rPr>
        <w:t xml:space="preserve"> </w:t>
      </w:r>
      <w:r w:rsidRPr="00180D2C">
        <w:rPr>
          <w:rFonts w:ascii="Arial" w:hAnsi="Arial" w:cs="Arial"/>
          <w:sz w:val="24"/>
          <w:szCs w:val="24"/>
        </w:rPr>
        <w:t>manera</w:t>
      </w:r>
      <w:r w:rsidRPr="00180D2C">
        <w:rPr>
          <w:rFonts w:ascii="Arial" w:hAnsi="Arial" w:cs="Arial"/>
          <w:spacing w:val="-9"/>
          <w:sz w:val="24"/>
          <w:szCs w:val="24"/>
        </w:rPr>
        <w:t xml:space="preserve"> </w:t>
      </w:r>
      <w:r w:rsidRPr="00180D2C">
        <w:rPr>
          <w:rFonts w:ascii="Arial" w:hAnsi="Arial" w:cs="Arial"/>
          <w:sz w:val="24"/>
          <w:szCs w:val="24"/>
        </w:rPr>
        <w:t>separado</w:t>
      </w:r>
      <w:r w:rsidRPr="00180D2C">
        <w:rPr>
          <w:rFonts w:ascii="Arial" w:hAnsi="Arial" w:cs="Arial"/>
          <w:spacing w:val="-7"/>
          <w:sz w:val="24"/>
          <w:szCs w:val="24"/>
        </w:rPr>
        <w:t xml:space="preserve"> </w:t>
      </w:r>
      <w:r w:rsidRPr="00180D2C">
        <w:rPr>
          <w:rFonts w:ascii="Arial" w:hAnsi="Arial" w:cs="Arial"/>
          <w:sz w:val="24"/>
          <w:szCs w:val="24"/>
        </w:rPr>
        <w:t>del resto de sus negocios.</w:t>
      </w:r>
    </w:p>
    <w:p w14:paraId="47546E5A" w14:textId="77777777" w:rsidR="00E46C0A" w:rsidRPr="00180D2C" w:rsidRDefault="00E46C0A" w:rsidP="00E95331">
      <w:pPr>
        <w:pStyle w:val="Textoindependiente"/>
        <w:spacing w:before="13"/>
        <w:ind w:right="-234"/>
        <w:rPr>
          <w:rFonts w:ascii="Arial" w:hAnsi="Arial" w:cs="Arial"/>
          <w:sz w:val="24"/>
          <w:szCs w:val="24"/>
        </w:rPr>
      </w:pPr>
    </w:p>
    <w:p w14:paraId="0D1A5B39" w14:textId="77777777" w:rsidR="00E46C0A" w:rsidRPr="00180D2C" w:rsidRDefault="00E46C0A" w:rsidP="00E95331">
      <w:pPr>
        <w:pStyle w:val="Prrafodelista"/>
        <w:numPr>
          <w:ilvl w:val="0"/>
          <w:numId w:val="101"/>
        </w:numPr>
        <w:tabs>
          <w:tab w:val="left" w:pos="910"/>
          <w:tab w:val="left" w:pos="912"/>
        </w:tabs>
        <w:ind w:right="-234" w:hanging="360"/>
        <w:jc w:val="both"/>
        <w:rPr>
          <w:rFonts w:ascii="Arial" w:hAnsi="Arial" w:cs="Arial"/>
          <w:sz w:val="24"/>
          <w:szCs w:val="24"/>
        </w:rPr>
      </w:pPr>
      <w:r w:rsidRPr="00180D2C">
        <w:rPr>
          <w:rFonts w:ascii="Arial" w:hAnsi="Arial" w:cs="Arial"/>
          <w:sz w:val="24"/>
          <w:szCs w:val="24"/>
        </w:rPr>
        <w:t>CREMIL</w:t>
      </w:r>
      <w:r w:rsidRPr="00180D2C">
        <w:rPr>
          <w:rFonts w:ascii="Arial" w:hAnsi="Arial" w:cs="Arial"/>
          <w:spacing w:val="-11"/>
          <w:sz w:val="24"/>
          <w:szCs w:val="24"/>
        </w:rPr>
        <w:t xml:space="preserve"> </w:t>
      </w:r>
      <w:r w:rsidRPr="00180D2C">
        <w:rPr>
          <w:rFonts w:ascii="Arial" w:hAnsi="Arial" w:cs="Arial"/>
          <w:sz w:val="24"/>
          <w:szCs w:val="24"/>
        </w:rPr>
        <w:t>en</w:t>
      </w:r>
      <w:r w:rsidRPr="00180D2C">
        <w:rPr>
          <w:rFonts w:ascii="Arial" w:hAnsi="Arial" w:cs="Arial"/>
          <w:spacing w:val="-14"/>
          <w:sz w:val="24"/>
          <w:szCs w:val="24"/>
        </w:rPr>
        <w:t xml:space="preserve"> </w:t>
      </w:r>
      <w:r w:rsidRPr="00180D2C">
        <w:rPr>
          <w:rFonts w:ascii="Arial" w:hAnsi="Arial" w:cs="Arial"/>
          <w:sz w:val="24"/>
          <w:szCs w:val="24"/>
        </w:rPr>
        <w:t>su</w:t>
      </w:r>
      <w:r w:rsidRPr="00180D2C">
        <w:rPr>
          <w:rFonts w:ascii="Arial" w:hAnsi="Arial" w:cs="Arial"/>
          <w:spacing w:val="-14"/>
          <w:sz w:val="24"/>
          <w:szCs w:val="24"/>
        </w:rPr>
        <w:t xml:space="preserve"> </w:t>
      </w:r>
      <w:r w:rsidRPr="00180D2C">
        <w:rPr>
          <w:rFonts w:ascii="Arial" w:hAnsi="Arial" w:cs="Arial"/>
          <w:sz w:val="24"/>
          <w:szCs w:val="24"/>
        </w:rPr>
        <w:t>calidad</w:t>
      </w:r>
      <w:r w:rsidRPr="00180D2C">
        <w:rPr>
          <w:rFonts w:ascii="Arial" w:hAnsi="Arial" w:cs="Arial"/>
          <w:spacing w:val="-11"/>
          <w:sz w:val="24"/>
          <w:szCs w:val="24"/>
        </w:rPr>
        <w:t xml:space="preserve"> </w:t>
      </w:r>
      <w:r w:rsidRPr="00180D2C">
        <w:rPr>
          <w:rFonts w:ascii="Arial" w:hAnsi="Arial" w:cs="Arial"/>
          <w:sz w:val="24"/>
          <w:szCs w:val="24"/>
        </w:rPr>
        <w:t>de</w:t>
      </w:r>
      <w:r w:rsidRPr="00180D2C">
        <w:rPr>
          <w:rFonts w:ascii="Arial" w:hAnsi="Arial" w:cs="Arial"/>
          <w:spacing w:val="-13"/>
          <w:sz w:val="24"/>
          <w:szCs w:val="24"/>
        </w:rPr>
        <w:t xml:space="preserve"> </w:t>
      </w:r>
      <w:r w:rsidRPr="00180D2C">
        <w:rPr>
          <w:rFonts w:ascii="Arial" w:hAnsi="Arial" w:cs="Arial"/>
          <w:sz w:val="24"/>
          <w:szCs w:val="24"/>
        </w:rPr>
        <w:t>entidad</w:t>
      </w:r>
      <w:r w:rsidRPr="00180D2C">
        <w:rPr>
          <w:rFonts w:ascii="Arial" w:hAnsi="Arial" w:cs="Arial"/>
          <w:spacing w:val="-14"/>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Gobierno</w:t>
      </w:r>
      <w:r w:rsidRPr="00180D2C">
        <w:rPr>
          <w:rFonts w:ascii="Arial" w:hAnsi="Arial" w:cs="Arial"/>
          <w:spacing w:val="-13"/>
          <w:sz w:val="24"/>
          <w:szCs w:val="24"/>
        </w:rPr>
        <w:t xml:space="preserve"> </w:t>
      </w:r>
      <w:r w:rsidRPr="00180D2C">
        <w:rPr>
          <w:rFonts w:ascii="Arial" w:hAnsi="Arial" w:cs="Arial"/>
          <w:sz w:val="24"/>
          <w:szCs w:val="24"/>
        </w:rPr>
        <w:t>tiene</w:t>
      </w:r>
      <w:r w:rsidRPr="00180D2C">
        <w:rPr>
          <w:rFonts w:ascii="Arial" w:hAnsi="Arial" w:cs="Arial"/>
          <w:spacing w:val="-11"/>
          <w:sz w:val="24"/>
          <w:szCs w:val="24"/>
        </w:rPr>
        <w:t xml:space="preserve"> </w:t>
      </w:r>
      <w:r w:rsidRPr="00180D2C">
        <w:rPr>
          <w:rFonts w:ascii="Arial" w:hAnsi="Arial" w:cs="Arial"/>
          <w:sz w:val="24"/>
          <w:szCs w:val="24"/>
        </w:rPr>
        <w:t>suspendida</w:t>
      </w:r>
      <w:r w:rsidRPr="00180D2C">
        <w:rPr>
          <w:rFonts w:ascii="Arial" w:hAnsi="Arial" w:cs="Arial"/>
          <w:spacing w:val="-14"/>
          <w:sz w:val="24"/>
          <w:szCs w:val="24"/>
        </w:rPr>
        <w:t xml:space="preserve"> </w:t>
      </w:r>
      <w:r w:rsidRPr="00180D2C">
        <w:rPr>
          <w:rFonts w:ascii="Arial" w:hAnsi="Arial" w:cs="Arial"/>
          <w:sz w:val="24"/>
          <w:szCs w:val="24"/>
        </w:rPr>
        <w:t>y</w:t>
      </w:r>
      <w:r w:rsidRPr="00180D2C">
        <w:rPr>
          <w:rFonts w:ascii="Arial" w:hAnsi="Arial" w:cs="Arial"/>
          <w:spacing w:val="-13"/>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forma</w:t>
      </w:r>
      <w:r w:rsidRPr="00180D2C">
        <w:rPr>
          <w:rFonts w:ascii="Arial" w:hAnsi="Arial" w:cs="Arial"/>
          <w:spacing w:val="-16"/>
          <w:sz w:val="24"/>
          <w:szCs w:val="24"/>
        </w:rPr>
        <w:t xml:space="preserve"> </w:t>
      </w:r>
      <w:r w:rsidRPr="00180D2C">
        <w:rPr>
          <w:rFonts w:ascii="Arial" w:hAnsi="Arial" w:cs="Arial"/>
          <w:sz w:val="24"/>
          <w:szCs w:val="24"/>
        </w:rPr>
        <w:t xml:space="preserve">indefinida la obligación de presentar el Estado de Flujos de Efectivo, de conformidad con instrucciones de la Contaduría General de la Nación en la Resolución No. 283 de </w:t>
      </w:r>
      <w:r w:rsidRPr="00180D2C">
        <w:rPr>
          <w:rFonts w:ascii="Arial" w:hAnsi="Arial" w:cs="Arial"/>
          <w:spacing w:val="-2"/>
          <w:sz w:val="24"/>
          <w:szCs w:val="24"/>
        </w:rPr>
        <w:t>2022.</w:t>
      </w:r>
    </w:p>
    <w:p w14:paraId="472A5C18" w14:textId="77777777" w:rsidR="00E46C0A" w:rsidRPr="00180D2C" w:rsidRDefault="00E46C0A" w:rsidP="00E95331">
      <w:pPr>
        <w:tabs>
          <w:tab w:val="left" w:pos="910"/>
          <w:tab w:val="left" w:pos="912"/>
        </w:tabs>
        <w:ind w:right="-234"/>
        <w:jc w:val="both"/>
        <w:rPr>
          <w:rFonts w:ascii="Arial" w:hAnsi="Arial" w:cs="Arial"/>
          <w:sz w:val="24"/>
          <w:szCs w:val="24"/>
        </w:rPr>
      </w:pPr>
    </w:p>
    <w:p w14:paraId="3F1BDC03" w14:textId="77777777" w:rsidR="00E46C0A" w:rsidRPr="00180D2C" w:rsidRDefault="00E46C0A" w:rsidP="00E95331">
      <w:pPr>
        <w:pStyle w:val="Textoindependiente"/>
        <w:spacing w:line="259" w:lineRule="auto"/>
        <w:ind w:left="629" w:right="-234"/>
        <w:jc w:val="both"/>
        <w:rPr>
          <w:rFonts w:ascii="Arial" w:hAnsi="Arial" w:cs="Arial"/>
          <w:sz w:val="24"/>
          <w:szCs w:val="24"/>
        </w:rPr>
      </w:pPr>
      <w:r w:rsidRPr="00180D2C">
        <w:rPr>
          <w:rFonts w:ascii="Arial" w:hAnsi="Arial" w:cs="Arial"/>
          <w:b/>
          <w:sz w:val="24"/>
          <w:szCs w:val="24"/>
        </w:rPr>
        <w:t xml:space="preserve">Conclusión Con Salvedades: </w:t>
      </w:r>
      <w:r w:rsidRPr="00180D2C">
        <w:rPr>
          <w:rFonts w:ascii="Arial" w:hAnsi="Arial" w:cs="Arial"/>
          <w:sz w:val="24"/>
          <w:szCs w:val="24"/>
        </w:rPr>
        <w:t>En nuestra conclusión los actos de los administradores de CREMIL se ajustan a los estatutos y a las órdenes o instrucciones del Consejo Directivo, excepto por las situaciones descritas en la sección de “Fundamento de la opinión con salvedades” de nuestro informe existen y son adecuadas las medidas de control interno, de conservación</w:t>
      </w:r>
      <w:r w:rsidRPr="00180D2C">
        <w:rPr>
          <w:rFonts w:ascii="Arial" w:hAnsi="Arial" w:cs="Arial"/>
          <w:spacing w:val="-14"/>
          <w:sz w:val="24"/>
          <w:szCs w:val="24"/>
        </w:rPr>
        <w:t xml:space="preserve"> </w:t>
      </w:r>
      <w:r w:rsidRPr="00180D2C">
        <w:rPr>
          <w:rFonts w:ascii="Arial" w:hAnsi="Arial" w:cs="Arial"/>
          <w:sz w:val="24"/>
          <w:szCs w:val="24"/>
        </w:rPr>
        <w:t>y</w:t>
      </w:r>
      <w:r w:rsidRPr="00180D2C">
        <w:rPr>
          <w:rFonts w:ascii="Arial" w:hAnsi="Arial" w:cs="Arial"/>
          <w:spacing w:val="-11"/>
          <w:sz w:val="24"/>
          <w:szCs w:val="24"/>
        </w:rPr>
        <w:t xml:space="preserve"> </w:t>
      </w:r>
      <w:r w:rsidRPr="00180D2C">
        <w:rPr>
          <w:rFonts w:ascii="Arial" w:hAnsi="Arial" w:cs="Arial"/>
          <w:sz w:val="24"/>
          <w:szCs w:val="24"/>
        </w:rPr>
        <w:t>custodia</w:t>
      </w:r>
      <w:r w:rsidRPr="00180D2C">
        <w:rPr>
          <w:rFonts w:ascii="Arial" w:hAnsi="Arial" w:cs="Arial"/>
          <w:spacing w:val="-14"/>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los</w:t>
      </w:r>
      <w:r w:rsidRPr="00180D2C">
        <w:rPr>
          <w:rFonts w:ascii="Arial" w:hAnsi="Arial" w:cs="Arial"/>
          <w:spacing w:val="-11"/>
          <w:sz w:val="24"/>
          <w:szCs w:val="24"/>
        </w:rPr>
        <w:t xml:space="preserve"> </w:t>
      </w:r>
      <w:r w:rsidRPr="00180D2C">
        <w:rPr>
          <w:rFonts w:ascii="Arial" w:hAnsi="Arial" w:cs="Arial"/>
          <w:sz w:val="24"/>
          <w:szCs w:val="24"/>
        </w:rPr>
        <w:t>bienes</w:t>
      </w:r>
      <w:r w:rsidRPr="00180D2C">
        <w:rPr>
          <w:rFonts w:ascii="Arial" w:hAnsi="Arial" w:cs="Arial"/>
          <w:spacing w:val="-14"/>
          <w:sz w:val="24"/>
          <w:szCs w:val="24"/>
        </w:rPr>
        <w:t xml:space="preserve"> </w:t>
      </w:r>
      <w:r w:rsidRPr="00180D2C">
        <w:rPr>
          <w:rFonts w:ascii="Arial" w:hAnsi="Arial" w:cs="Arial"/>
          <w:sz w:val="24"/>
          <w:szCs w:val="24"/>
        </w:rPr>
        <w:t>de</w:t>
      </w:r>
      <w:r w:rsidRPr="00180D2C">
        <w:rPr>
          <w:rFonts w:ascii="Arial" w:hAnsi="Arial" w:cs="Arial"/>
          <w:spacing w:val="-12"/>
          <w:sz w:val="24"/>
          <w:szCs w:val="24"/>
        </w:rPr>
        <w:t xml:space="preserve"> </w:t>
      </w:r>
      <w:r w:rsidRPr="00180D2C">
        <w:rPr>
          <w:rFonts w:ascii="Arial" w:hAnsi="Arial" w:cs="Arial"/>
          <w:sz w:val="24"/>
          <w:szCs w:val="24"/>
        </w:rPr>
        <w:t>la</w:t>
      </w:r>
      <w:r w:rsidRPr="00180D2C">
        <w:rPr>
          <w:rFonts w:ascii="Arial" w:hAnsi="Arial" w:cs="Arial"/>
          <w:spacing w:val="-10"/>
          <w:sz w:val="24"/>
          <w:szCs w:val="24"/>
        </w:rPr>
        <w:t xml:space="preserve"> </w:t>
      </w:r>
      <w:r w:rsidRPr="00180D2C">
        <w:rPr>
          <w:rFonts w:ascii="Arial" w:hAnsi="Arial" w:cs="Arial"/>
          <w:sz w:val="24"/>
          <w:szCs w:val="24"/>
        </w:rPr>
        <w:t>entidad</w:t>
      </w:r>
      <w:r w:rsidRPr="00180D2C">
        <w:rPr>
          <w:rFonts w:ascii="Arial" w:hAnsi="Arial" w:cs="Arial"/>
          <w:spacing w:val="-11"/>
          <w:sz w:val="24"/>
          <w:szCs w:val="24"/>
        </w:rPr>
        <w:t xml:space="preserve"> </w:t>
      </w:r>
      <w:r w:rsidRPr="00180D2C">
        <w:rPr>
          <w:rFonts w:ascii="Arial" w:hAnsi="Arial" w:cs="Arial"/>
          <w:sz w:val="24"/>
          <w:szCs w:val="24"/>
        </w:rPr>
        <w:t>o</w:t>
      </w:r>
      <w:r w:rsidRPr="00180D2C">
        <w:rPr>
          <w:rFonts w:ascii="Arial" w:hAnsi="Arial" w:cs="Arial"/>
          <w:spacing w:val="-11"/>
          <w:sz w:val="24"/>
          <w:szCs w:val="24"/>
        </w:rPr>
        <w:t xml:space="preserve"> </w:t>
      </w:r>
      <w:r w:rsidRPr="00180D2C">
        <w:rPr>
          <w:rFonts w:ascii="Arial" w:hAnsi="Arial" w:cs="Arial"/>
          <w:sz w:val="24"/>
          <w:szCs w:val="24"/>
        </w:rPr>
        <w:t>de</w:t>
      </w:r>
      <w:r w:rsidRPr="00180D2C">
        <w:rPr>
          <w:rFonts w:ascii="Arial" w:hAnsi="Arial" w:cs="Arial"/>
          <w:spacing w:val="-14"/>
          <w:sz w:val="24"/>
          <w:szCs w:val="24"/>
        </w:rPr>
        <w:t xml:space="preserve"> </w:t>
      </w:r>
      <w:r w:rsidRPr="00180D2C">
        <w:rPr>
          <w:rFonts w:ascii="Arial" w:hAnsi="Arial" w:cs="Arial"/>
          <w:sz w:val="24"/>
          <w:szCs w:val="24"/>
        </w:rPr>
        <w:t>terceros</w:t>
      </w:r>
      <w:r w:rsidRPr="00180D2C">
        <w:rPr>
          <w:rFonts w:ascii="Arial" w:hAnsi="Arial" w:cs="Arial"/>
          <w:spacing w:val="-11"/>
          <w:sz w:val="24"/>
          <w:szCs w:val="24"/>
        </w:rPr>
        <w:t xml:space="preserve"> </w:t>
      </w:r>
      <w:r w:rsidRPr="00180D2C">
        <w:rPr>
          <w:rFonts w:ascii="Arial" w:hAnsi="Arial" w:cs="Arial"/>
          <w:sz w:val="24"/>
          <w:szCs w:val="24"/>
        </w:rPr>
        <w:t>que</w:t>
      </w:r>
      <w:r w:rsidRPr="00180D2C">
        <w:rPr>
          <w:rFonts w:ascii="Arial" w:hAnsi="Arial" w:cs="Arial"/>
          <w:spacing w:val="-14"/>
          <w:sz w:val="24"/>
          <w:szCs w:val="24"/>
        </w:rPr>
        <w:t xml:space="preserve"> </w:t>
      </w:r>
      <w:r w:rsidRPr="00180D2C">
        <w:rPr>
          <w:rFonts w:ascii="Arial" w:hAnsi="Arial" w:cs="Arial"/>
          <w:sz w:val="24"/>
          <w:szCs w:val="24"/>
        </w:rPr>
        <w:t>están</w:t>
      </w:r>
      <w:r w:rsidRPr="00180D2C">
        <w:rPr>
          <w:rFonts w:ascii="Arial" w:hAnsi="Arial" w:cs="Arial"/>
          <w:spacing w:val="-14"/>
          <w:sz w:val="24"/>
          <w:szCs w:val="24"/>
        </w:rPr>
        <w:t xml:space="preserve"> </w:t>
      </w:r>
      <w:r w:rsidRPr="00180D2C">
        <w:rPr>
          <w:rFonts w:ascii="Arial" w:hAnsi="Arial" w:cs="Arial"/>
          <w:sz w:val="24"/>
          <w:szCs w:val="24"/>
        </w:rPr>
        <w:t>en</w:t>
      </w:r>
      <w:r w:rsidRPr="00180D2C">
        <w:rPr>
          <w:rFonts w:ascii="Arial" w:hAnsi="Arial" w:cs="Arial"/>
          <w:spacing w:val="-12"/>
          <w:sz w:val="24"/>
          <w:szCs w:val="24"/>
        </w:rPr>
        <w:t xml:space="preserve"> </w:t>
      </w:r>
      <w:r w:rsidRPr="00180D2C">
        <w:rPr>
          <w:rFonts w:ascii="Arial" w:hAnsi="Arial" w:cs="Arial"/>
          <w:sz w:val="24"/>
          <w:szCs w:val="24"/>
        </w:rPr>
        <w:t>su</w:t>
      </w:r>
      <w:r w:rsidRPr="00180D2C">
        <w:rPr>
          <w:rFonts w:ascii="Arial" w:hAnsi="Arial" w:cs="Arial"/>
          <w:spacing w:val="-14"/>
          <w:sz w:val="24"/>
          <w:szCs w:val="24"/>
        </w:rPr>
        <w:t xml:space="preserve"> </w:t>
      </w:r>
      <w:r w:rsidRPr="00180D2C">
        <w:rPr>
          <w:rFonts w:ascii="Arial" w:hAnsi="Arial" w:cs="Arial"/>
          <w:sz w:val="24"/>
          <w:szCs w:val="24"/>
        </w:rPr>
        <w:t>poder.</w:t>
      </w:r>
    </w:p>
    <w:p w14:paraId="2AD42A05" w14:textId="77777777" w:rsidR="00E46C0A" w:rsidRPr="00180D2C" w:rsidRDefault="00E46C0A" w:rsidP="00E95331">
      <w:pPr>
        <w:pStyle w:val="Textoindependiente"/>
        <w:spacing w:before="28"/>
        <w:ind w:right="-234"/>
        <w:rPr>
          <w:rFonts w:ascii="Arial" w:hAnsi="Arial" w:cs="Arial"/>
          <w:sz w:val="24"/>
          <w:szCs w:val="24"/>
        </w:rPr>
      </w:pPr>
    </w:p>
    <w:p w14:paraId="285CCDDF" w14:textId="77777777" w:rsidR="00E46C0A" w:rsidRPr="00180D2C" w:rsidRDefault="00E46C0A" w:rsidP="00E95331">
      <w:pPr>
        <w:pStyle w:val="Textoindependiente"/>
        <w:spacing w:line="259" w:lineRule="auto"/>
        <w:ind w:left="629" w:right="-234"/>
        <w:jc w:val="both"/>
        <w:rPr>
          <w:rFonts w:ascii="Arial" w:hAnsi="Arial" w:cs="Arial"/>
          <w:sz w:val="24"/>
          <w:szCs w:val="24"/>
        </w:rPr>
      </w:pPr>
      <w:r w:rsidRPr="00180D2C">
        <w:rPr>
          <w:rFonts w:ascii="Arial" w:hAnsi="Arial" w:cs="Arial"/>
          <w:b/>
          <w:sz w:val="24"/>
          <w:szCs w:val="24"/>
          <w:u w:val="single"/>
        </w:rPr>
        <w:t>La</w:t>
      </w:r>
      <w:r w:rsidRPr="00180D2C">
        <w:rPr>
          <w:rFonts w:ascii="Arial" w:hAnsi="Arial" w:cs="Arial"/>
          <w:b/>
          <w:spacing w:val="-16"/>
          <w:sz w:val="24"/>
          <w:szCs w:val="24"/>
          <w:u w:val="single"/>
        </w:rPr>
        <w:t xml:space="preserve"> </w:t>
      </w:r>
      <w:r w:rsidRPr="00180D2C">
        <w:rPr>
          <w:rFonts w:ascii="Arial" w:hAnsi="Arial" w:cs="Arial"/>
          <w:b/>
          <w:sz w:val="24"/>
          <w:szCs w:val="24"/>
          <w:u w:val="single"/>
        </w:rPr>
        <w:t>Dirección,</w:t>
      </w:r>
      <w:r w:rsidRPr="00180D2C">
        <w:rPr>
          <w:rFonts w:ascii="Arial" w:hAnsi="Arial" w:cs="Arial"/>
          <w:b/>
          <w:spacing w:val="-15"/>
          <w:sz w:val="24"/>
          <w:szCs w:val="24"/>
          <w:u w:val="single"/>
        </w:rPr>
        <w:t xml:space="preserve"> </w:t>
      </w:r>
      <w:r w:rsidRPr="00180D2C">
        <w:rPr>
          <w:rFonts w:ascii="Arial" w:hAnsi="Arial" w:cs="Arial"/>
          <w:b/>
          <w:sz w:val="24"/>
          <w:szCs w:val="24"/>
          <w:u w:val="single"/>
        </w:rPr>
        <w:t>bajo</w:t>
      </w:r>
      <w:r w:rsidRPr="00180D2C">
        <w:rPr>
          <w:rFonts w:ascii="Arial" w:hAnsi="Arial" w:cs="Arial"/>
          <w:b/>
          <w:spacing w:val="-15"/>
          <w:sz w:val="24"/>
          <w:szCs w:val="24"/>
          <w:u w:val="single"/>
        </w:rPr>
        <w:t xml:space="preserve"> </w:t>
      </w:r>
      <w:r w:rsidRPr="00180D2C">
        <w:rPr>
          <w:rFonts w:ascii="Arial" w:hAnsi="Arial" w:cs="Arial"/>
          <w:b/>
          <w:sz w:val="24"/>
          <w:szCs w:val="24"/>
          <w:u w:val="single"/>
        </w:rPr>
        <w:t>la</w:t>
      </w:r>
      <w:r w:rsidRPr="00180D2C">
        <w:rPr>
          <w:rFonts w:ascii="Arial" w:hAnsi="Arial" w:cs="Arial"/>
          <w:b/>
          <w:spacing w:val="-16"/>
          <w:sz w:val="24"/>
          <w:szCs w:val="24"/>
          <w:u w:val="single"/>
        </w:rPr>
        <w:t xml:space="preserve"> </w:t>
      </w:r>
      <w:r w:rsidRPr="00180D2C">
        <w:rPr>
          <w:rFonts w:ascii="Arial" w:hAnsi="Arial" w:cs="Arial"/>
          <w:b/>
          <w:sz w:val="24"/>
          <w:szCs w:val="24"/>
          <w:u w:val="single"/>
        </w:rPr>
        <w:t>supervisión</w:t>
      </w:r>
      <w:r w:rsidRPr="00180D2C">
        <w:rPr>
          <w:rFonts w:ascii="Arial" w:hAnsi="Arial" w:cs="Arial"/>
          <w:b/>
          <w:spacing w:val="-15"/>
          <w:sz w:val="24"/>
          <w:szCs w:val="24"/>
          <w:u w:val="single"/>
        </w:rPr>
        <w:t xml:space="preserve"> </w:t>
      </w:r>
      <w:r w:rsidRPr="00180D2C">
        <w:rPr>
          <w:rFonts w:ascii="Arial" w:hAnsi="Arial" w:cs="Arial"/>
          <w:b/>
          <w:sz w:val="24"/>
          <w:szCs w:val="24"/>
          <w:u w:val="single"/>
        </w:rPr>
        <w:t>de</w:t>
      </w:r>
      <w:r w:rsidRPr="00180D2C">
        <w:rPr>
          <w:rFonts w:ascii="Arial" w:hAnsi="Arial" w:cs="Arial"/>
          <w:b/>
          <w:spacing w:val="-15"/>
          <w:sz w:val="24"/>
          <w:szCs w:val="24"/>
          <w:u w:val="single"/>
        </w:rPr>
        <w:t xml:space="preserve"> </w:t>
      </w:r>
      <w:r w:rsidRPr="00180D2C">
        <w:rPr>
          <w:rFonts w:ascii="Arial" w:hAnsi="Arial" w:cs="Arial"/>
          <w:b/>
          <w:sz w:val="24"/>
          <w:szCs w:val="24"/>
          <w:u w:val="single"/>
        </w:rPr>
        <w:t>los</w:t>
      </w:r>
      <w:r w:rsidRPr="00180D2C">
        <w:rPr>
          <w:rFonts w:ascii="Arial" w:hAnsi="Arial" w:cs="Arial"/>
          <w:b/>
          <w:spacing w:val="-15"/>
          <w:sz w:val="24"/>
          <w:szCs w:val="24"/>
          <w:u w:val="single"/>
        </w:rPr>
        <w:t xml:space="preserve"> </w:t>
      </w:r>
      <w:r w:rsidRPr="00180D2C">
        <w:rPr>
          <w:rFonts w:ascii="Arial" w:hAnsi="Arial" w:cs="Arial"/>
          <w:b/>
          <w:sz w:val="24"/>
          <w:szCs w:val="24"/>
          <w:u w:val="single"/>
        </w:rPr>
        <w:t>responsables</w:t>
      </w:r>
      <w:r w:rsidRPr="00180D2C">
        <w:rPr>
          <w:rFonts w:ascii="Arial" w:hAnsi="Arial" w:cs="Arial"/>
          <w:b/>
          <w:spacing w:val="-16"/>
          <w:sz w:val="24"/>
          <w:szCs w:val="24"/>
          <w:u w:val="single"/>
        </w:rPr>
        <w:t xml:space="preserve"> </w:t>
      </w:r>
      <w:r w:rsidRPr="00180D2C">
        <w:rPr>
          <w:rFonts w:ascii="Arial" w:hAnsi="Arial" w:cs="Arial"/>
          <w:b/>
          <w:sz w:val="24"/>
          <w:szCs w:val="24"/>
          <w:u w:val="single"/>
        </w:rPr>
        <w:t>del</w:t>
      </w:r>
      <w:r w:rsidRPr="00180D2C">
        <w:rPr>
          <w:rFonts w:ascii="Arial" w:hAnsi="Arial" w:cs="Arial"/>
          <w:b/>
          <w:spacing w:val="-15"/>
          <w:sz w:val="24"/>
          <w:szCs w:val="24"/>
          <w:u w:val="single"/>
        </w:rPr>
        <w:t xml:space="preserve"> </w:t>
      </w:r>
      <w:r w:rsidRPr="00180D2C">
        <w:rPr>
          <w:rFonts w:ascii="Arial" w:hAnsi="Arial" w:cs="Arial"/>
          <w:b/>
          <w:sz w:val="24"/>
          <w:szCs w:val="24"/>
          <w:u w:val="single"/>
        </w:rPr>
        <w:t>gobierno,</w:t>
      </w:r>
      <w:r w:rsidRPr="00180D2C">
        <w:rPr>
          <w:rFonts w:ascii="Arial" w:hAnsi="Arial" w:cs="Arial"/>
          <w:b/>
          <w:spacing w:val="-15"/>
          <w:sz w:val="24"/>
          <w:szCs w:val="24"/>
          <w:u w:val="single"/>
        </w:rPr>
        <w:t xml:space="preserve"> </w:t>
      </w:r>
      <w:r w:rsidRPr="00180D2C">
        <w:rPr>
          <w:rFonts w:ascii="Arial" w:hAnsi="Arial" w:cs="Arial"/>
          <w:b/>
          <w:sz w:val="24"/>
          <w:szCs w:val="24"/>
          <w:u w:val="single"/>
        </w:rPr>
        <w:t>en</w:t>
      </w:r>
      <w:r w:rsidRPr="00180D2C">
        <w:rPr>
          <w:rFonts w:ascii="Arial" w:hAnsi="Arial" w:cs="Arial"/>
          <w:b/>
          <w:spacing w:val="-16"/>
          <w:sz w:val="24"/>
          <w:szCs w:val="24"/>
          <w:u w:val="single"/>
        </w:rPr>
        <w:t xml:space="preserve"> </w:t>
      </w:r>
      <w:r w:rsidRPr="00180D2C">
        <w:rPr>
          <w:rFonts w:ascii="Arial" w:hAnsi="Arial" w:cs="Arial"/>
          <w:b/>
          <w:sz w:val="24"/>
          <w:szCs w:val="24"/>
          <w:u w:val="single"/>
        </w:rPr>
        <w:t>el</w:t>
      </w:r>
      <w:r w:rsidRPr="00180D2C">
        <w:rPr>
          <w:rFonts w:ascii="Arial" w:hAnsi="Arial" w:cs="Arial"/>
          <w:b/>
          <w:spacing w:val="-15"/>
          <w:sz w:val="24"/>
          <w:szCs w:val="24"/>
          <w:u w:val="single"/>
        </w:rPr>
        <w:t xml:space="preserve"> </w:t>
      </w:r>
      <w:r w:rsidRPr="00180D2C">
        <w:rPr>
          <w:rFonts w:ascii="Arial" w:hAnsi="Arial" w:cs="Arial"/>
          <w:b/>
          <w:sz w:val="24"/>
          <w:szCs w:val="24"/>
          <w:u w:val="single"/>
        </w:rPr>
        <w:t>año</w:t>
      </w:r>
      <w:r w:rsidRPr="00180D2C">
        <w:rPr>
          <w:rFonts w:ascii="Arial" w:hAnsi="Arial" w:cs="Arial"/>
          <w:b/>
          <w:spacing w:val="-15"/>
          <w:sz w:val="24"/>
          <w:szCs w:val="24"/>
          <w:u w:val="single"/>
        </w:rPr>
        <w:t xml:space="preserve"> </w:t>
      </w:r>
      <w:r w:rsidRPr="00180D2C">
        <w:rPr>
          <w:rFonts w:ascii="Arial" w:hAnsi="Arial" w:cs="Arial"/>
          <w:b/>
          <w:sz w:val="24"/>
          <w:szCs w:val="24"/>
          <w:u w:val="single"/>
        </w:rPr>
        <w:t>2025</w:t>
      </w:r>
      <w:r w:rsidRPr="00180D2C">
        <w:rPr>
          <w:rFonts w:ascii="Arial" w:hAnsi="Arial" w:cs="Arial"/>
          <w:b/>
          <w:spacing w:val="-15"/>
          <w:sz w:val="24"/>
          <w:szCs w:val="24"/>
          <w:u w:val="single"/>
        </w:rPr>
        <w:t xml:space="preserve"> </w:t>
      </w:r>
      <w:r w:rsidRPr="00180D2C">
        <w:rPr>
          <w:rFonts w:ascii="Arial" w:hAnsi="Arial" w:cs="Arial"/>
          <w:b/>
          <w:sz w:val="24"/>
          <w:szCs w:val="24"/>
          <w:u w:val="single"/>
        </w:rPr>
        <w:t>deben implementar planes de acción para mejorar y fortalecer del sistema control interno, en particular lo</w:t>
      </w:r>
      <w:r w:rsidRPr="00180D2C">
        <w:rPr>
          <w:rFonts w:ascii="Arial" w:hAnsi="Arial" w:cs="Arial"/>
          <w:b/>
          <w:spacing w:val="-3"/>
          <w:sz w:val="24"/>
          <w:szCs w:val="24"/>
          <w:u w:val="single"/>
        </w:rPr>
        <w:t xml:space="preserve"> </w:t>
      </w:r>
      <w:r w:rsidRPr="00180D2C">
        <w:rPr>
          <w:rFonts w:ascii="Arial" w:hAnsi="Arial" w:cs="Arial"/>
          <w:b/>
          <w:sz w:val="24"/>
          <w:szCs w:val="24"/>
          <w:u w:val="single"/>
        </w:rPr>
        <w:t>relacionado</w:t>
      </w:r>
      <w:r w:rsidRPr="00180D2C">
        <w:rPr>
          <w:rFonts w:ascii="Arial" w:hAnsi="Arial" w:cs="Arial"/>
          <w:b/>
          <w:spacing w:val="-3"/>
          <w:sz w:val="24"/>
          <w:szCs w:val="24"/>
          <w:u w:val="single"/>
        </w:rPr>
        <w:t xml:space="preserve"> </w:t>
      </w:r>
      <w:r w:rsidRPr="00180D2C">
        <w:rPr>
          <w:rFonts w:ascii="Arial" w:hAnsi="Arial" w:cs="Arial"/>
          <w:b/>
          <w:sz w:val="24"/>
          <w:szCs w:val="24"/>
          <w:u w:val="single"/>
        </w:rPr>
        <w:t>con los</w:t>
      </w:r>
      <w:r w:rsidRPr="00180D2C">
        <w:rPr>
          <w:rFonts w:ascii="Arial" w:hAnsi="Arial" w:cs="Arial"/>
          <w:b/>
          <w:spacing w:val="-1"/>
          <w:sz w:val="24"/>
          <w:szCs w:val="24"/>
          <w:u w:val="single"/>
        </w:rPr>
        <w:t xml:space="preserve"> </w:t>
      </w:r>
      <w:r w:rsidRPr="00180D2C">
        <w:rPr>
          <w:rFonts w:ascii="Arial" w:hAnsi="Arial" w:cs="Arial"/>
          <w:b/>
          <w:sz w:val="24"/>
          <w:szCs w:val="24"/>
          <w:u w:val="single"/>
        </w:rPr>
        <w:t>componentes de</w:t>
      </w:r>
      <w:r w:rsidRPr="00180D2C">
        <w:rPr>
          <w:rFonts w:ascii="Arial" w:hAnsi="Arial" w:cs="Arial"/>
          <w:b/>
          <w:spacing w:val="-5"/>
          <w:sz w:val="24"/>
          <w:szCs w:val="24"/>
          <w:u w:val="single"/>
        </w:rPr>
        <w:t xml:space="preserve"> </w:t>
      </w:r>
      <w:r w:rsidRPr="00180D2C">
        <w:rPr>
          <w:rFonts w:ascii="Arial" w:hAnsi="Arial" w:cs="Arial"/>
          <w:b/>
          <w:sz w:val="24"/>
          <w:szCs w:val="24"/>
          <w:u w:val="single"/>
        </w:rPr>
        <w:t>evaluación</w:t>
      </w:r>
      <w:r w:rsidRPr="00180D2C">
        <w:rPr>
          <w:rFonts w:ascii="Arial" w:hAnsi="Arial" w:cs="Arial"/>
          <w:b/>
          <w:spacing w:val="-1"/>
          <w:sz w:val="24"/>
          <w:szCs w:val="24"/>
          <w:u w:val="single"/>
        </w:rPr>
        <w:t xml:space="preserve"> </w:t>
      </w:r>
      <w:r w:rsidRPr="00180D2C">
        <w:rPr>
          <w:rFonts w:ascii="Arial" w:hAnsi="Arial" w:cs="Arial"/>
          <w:b/>
          <w:sz w:val="24"/>
          <w:szCs w:val="24"/>
          <w:u w:val="single"/>
        </w:rPr>
        <w:t>de</w:t>
      </w:r>
      <w:r w:rsidRPr="00180D2C">
        <w:rPr>
          <w:rFonts w:ascii="Arial" w:hAnsi="Arial" w:cs="Arial"/>
          <w:b/>
          <w:spacing w:val="-1"/>
          <w:sz w:val="24"/>
          <w:szCs w:val="24"/>
          <w:u w:val="single"/>
        </w:rPr>
        <w:t xml:space="preserve"> </w:t>
      </w:r>
      <w:r w:rsidRPr="00180D2C">
        <w:rPr>
          <w:rFonts w:ascii="Arial" w:hAnsi="Arial" w:cs="Arial"/>
          <w:b/>
          <w:sz w:val="24"/>
          <w:szCs w:val="24"/>
          <w:u w:val="single"/>
        </w:rPr>
        <w:t>riesgos, actividades</w:t>
      </w:r>
      <w:r w:rsidRPr="00180D2C">
        <w:rPr>
          <w:rFonts w:ascii="Arial" w:hAnsi="Arial" w:cs="Arial"/>
          <w:b/>
          <w:spacing w:val="-1"/>
          <w:sz w:val="24"/>
          <w:szCs w:val="24"/>
          <w:u w:val="single"/>
        </w:rPr>
        <w:t xml:space="preserve"> </w:t>
      </w:r>
      <w:r w:rsidRPr="00180D2C">
        <w:rPr>
          <w:rFonts w:ascii="Arial" w:hAnsi="Arial" w:cs="Arial"/>
          <w:b/>
          <w:sz w:val="24"/>
          <w:szCs w:val="24"/>
          <w:u w:val="single"/>
        </w:rPr>
        <w:t>de control y gestión contable, asociados con las situaciones descritas en la sección de “Fundamento de la opinión con salvedades” de nuestro informe</w:t>
      </w:r>
      <w:r w:rsidRPr="00180D2C">
        <w:rPr>
          <w:rFonts w:ascii="Arial" w:hAnsi="Arial" w:cs="Arial"/>
          <w:sz w:val="24"/>
          <w:szCs w:val="24"/>
        </w:rPr>
        <w:t>”.</w:t>
      </w:r>
    </w:p>
    <w:p w14:paraId="0B52A581" w14:textId="77777777" w:rsidR="00E46C0A" w:rsidRDefault="00E46C0A" w:rsidP="00E46C0A">
      <w:pPr>
        <w:ind w:right="-93"/>
        <w:rPr>
          <w:rFonts w:ascii="Arial" w:hAnsi="Arial" w:cs="Arial"/>
          <w:sz w:val="24"/>
          <w:szCs w:val="24"/>
        </w:rPr>
      </w:pPr>
    </w:p>
    <w:p w14:paraId="7CA3EFE5" w14:textId="77777777" w:rsidR="00E46C0A" w:rsidRPr="006C3FEB" w:rsidRDefault="00E46C0A" w:rsidP="00E95331">
      <w:pPr>
        <w:ind w:right="-234"/>
        <w:jc w:val="both"/>
        <w:rPr>
          <w:rFonts w:ascii="Arial" w:hAnsi="Arial" w:cs="Arial"/>
          <w:b/>
          <w:sz w:val="28"/>
          <w:szCs w:val="28"/>
          <w:lang w:val="es-MX"/>
        </w:rPr>
      </w:pPr>
      <w:r w:rsidRPr="006C3FEB">
        <w:rPr>
          <w:rFonts w:ascii="Arial" w:hAnsi="Arial" w:cs="Arial"/>
          <w:b/>
          <w:sz w:val="28"/>
          <w:szCs w:val="28"/>
          <w:lang w:val="es-MX"/>
        </w:rPr>
        <w:t xml:space="preserve">231.- CORPORACIÓN AUTÓNOMA REGIONAL DEL CANAL DEL DIQUE - CARDIQUE </w:t>
      </w:r>
    </w:p>
    <w:p w14:paraId="38372093" w14:textId="77777777" w:rsidR="00E46C0A" w:rsidRDefault="00E46C0A" w:rsidP="00E46C0A">
      <w:pPr>
        <w:jc w:val="both"/>
        <w:rPr>
          <w:b/>
          <w:sz w:val="28"/>
          <w:szCs w:val="28"/>
          <w:lang w:val="es-MX"/>
        </w:rPr>
      </w:pPr>
    </w:p>
    <w:p w14:paraId="35E96EF6" w14:textId="77777777" w:rsidR="00E46C0A" w:rsidRPr="006C3FEB" w:rsidRDefault="00E46C0A" w:rsidP="00E46C0A">
      <w:pPr>
        <w:pStyle w:val="Textoindependiente"/>
        <w:ind w:right="-50"/>
        <w:jc w:val="both"/>
        <w:rPr>
          <w:rFonts w:ascii="Arial" w:hAnsi="Arial" w:cs="Arial"/>
          <w:b/>
          <w:bCs/>
          <w:sz w:val="24"/>
          <w:szCs w:val="24"/>
        </w:rPr>
      </w:pPr>
      <w:r>
        <w:rPr>
          <w:b/>
          <w:bCs/>
        </w:rPr>
        <w:t>“</w:t>
      </w:r>
      <w:r w:rsidRPr="006C3FEB">
        <w:rPr>
          <w:rFonts w:ascii="Arial" w:hAnsi="Arial" w:cs="Arial"/>
          <w:b/>
          <w:bCs/>
          <w:sz w:val="24"/>
          <w:szCs w:val="24"/>
        </w:rPr>
        <w:t>Párrafo de énfasis.</w:t>
      </w:r>
    </w:p>
    <w:p w14:paraId="575298C0" w14:textId="77777777" w:rsidR="00E46C0A" w:rsidRPr="006C3FEB" w:rsidRDefault="00E46C0A" w:rsidP="00E46C0A">
      <w:pPr>
        <w:pStyle w:val="Textoindependiente"/>
        <w:ind w:right="-50"/>
        <w:jc w:val="both"/>
        <w:rPr>
          <w:rFonts w:ascii="Arial" w:hAnsi="Arial" w:cs="Arial"/>
          <w:b/>
          <w:bCs/>
          <w:sz w:val="24"/>
          <w:szCs w:val="24"/>
        </w:rPr>
      </w:pPr>
    </w:p>
    <w:p w14:paraId="16BADF3C" w14:textId="77777777" w:rsidR="00E46C0A" w:rsidRPr="006C3FEB" w:rsidRDefault="00E46C0A" w:rsidP="00E95331">
      <w:pPr>
        <w:pStyle w:val="Textoindependiente"/>
        <w:ind w:right="-234"/>
        <w:jc w:val="both"/>
        <w:rPr>
          <w:rFonts w:ascii="Arial" w:hAnsi="Arial" w:cs="Arial"/>
          <w:sz w:val="24"/>
          <w:szCs w:val="24"/>
        </w:rPr>
      </w:pPr>
      <w:r w:rsidRPr="006C3FEB">
        <w:rPr>
          <w:rFonts w:ascii="Arial" w:hAnsi="Arial" w:cs="Arial"/>
          <w:sz w:val="24"/>
          <w:szCs w:val="24"/>
        </w:rPr>
        <w:t>Llamo la atención y sin considerarlo una salvedad, en la Nota N° 10.1 a los estados financieros que, del total de las Propiedades, planta y equipo, se encuentra el terreno con referencia catastral 011005890019000 por legalizar con más de 10 años de antigüedad por $12.921.864.489, los cuales se encuentran en estudios jurídicos para su legalización”.</w:t>
      </w:r>
    </w:p>
    <w:p w14:paraId="1A12C057" w14:textId="77777777" w:rsidR="00E46C0A" w:rsidRDefault="00E46C0A" w:rsidP="00E95331">
      <w:pPr>
        <w:ind w:right="-234"/>
        <w:rPr>
          <w:rFonts w:ascii="Arial" w:hAnsi="Arial" w:cs="Arial"/>
          <w:sz w:val="24"/>
          <w:szCs w:val="24"/>
        </w:rPr>
      </w:pPr>
    </w:p>
    <w:p w14:paraId="5C697E47" w14:textId="77777777" w:rsidR="00E46C0A" w:rsidRPr="000B6F31" w:rsidRDefault="00E46C0A" w:rsidP="00E95331">
      <w:pPr>
        <w:ind w:right="-234"/>
        <w:jc w:val="both"/>
        <w:rPr>
          <w:rFonts w:ascii="Arial" w:hAnsi="Arial" w:cs="Arial"/>
          <w:b/>
          <w:sz w:val="28"/>
          <w:szCs w:val="28"/>
          <w:lang w:val="es-MX"/>
        </w:rPr>
      </w:pPr>
      <w:r w:rsidRPr="000B6F31">
        <w:rPr>
          <w:rFonts w:ascii="Arial" w:hAnsi="Arial" w:cs="Arial"/>
          <w:b/>
          <w:sz w:val="28"/>
          <w:szCs w:val="28"/>
          <w:lang w:val="es-MX"/>
        </w:rPr>
        <w:t xml:space="preserve">232.- </w:t>
      </w:r>
      <w:r w:rsidRPr="000B6F31">
        <w:rPr>
          <w:rFonts w:ascii="Arial" w:hAnsi="Arial" w:cs="Arial"/>
          <w:b/>
          <w:sz w:val="28"/>
          <w:szCs w:val="28"/>
        </w:rPr>
        <w:t>PATRIMONIO AUTÓNOMO COLOMBIA PRODUCTIVA - FIDUCOLDEX S.A.</w:t>
      </w:r>
    </w:p>
    <w:p w14:paraId="561E5E3B" w14:textId="77777777" w:rsidR="00E46C0A" w:rsidRDefault="00E46C0A" w:rsidP="00E95331">
      <w:pPr>
        <w:ind w:right="-234"/>
        <w:rPr>
          <w:rFonts w:ascii="Arial" w:hAnsi="Arial" w:cs="Arial"/>
          <w:sz w:val="24"/>
          <w:szCs w:val="24"/>
        </w:rPr>
      </w:pPr>
    </w:p>
    <w:p w14:paraId="6611E19C" w14:textId="77777777" w:rsidR="00E46C0A" w:rsidRPr="000B6F31" w:rsidRDefault="00E46C0A" w:rsidP="00E95331">
      <w:pPr>
        <w:pStyle w:val="Textoindependiente"/>
        <w:ind w:right="-234"/>
        <w:jc w:val="both"/>
        <w:rPr>
          <w:rFonts w:ascii="Arial" w:hAnsi="Arial" w:cs="Arial"/>
          <w:sz w:val="24"/>
          <w:szCs w:val="24"/>
        </w:rPr>
      </w:pPr>
      <w:r w:rsidRPr="000B6F31">
        <w:rPr>
          <w:rFonts w:ascii="Arial" w:hAnsi="Arial" w:cs="Arial"/>
          <w:b/>
          <w:bCs/>
          <w:sz w:val="24"/>
          <w:szCs w:val="24"/>
        </w:rPr>
        <w:t>“PÁRRAFO DE ÉNFASIS:</w:t>
      </w:r>
      <w:r w:rsidRPr="000B6F31">
        <w:rPr>
          <w:rFonts w:ascii="Arial" w:hAnsi="Arial" w:cs="Arial"/>
          <w:sz w:val="24"/>
          <w:szCs w:val="24"/>
        </w:rPr>
        <w:t xml:space="preserve"> </w:t>
      </w:r>
    </w:p>
    <w:p w14:paraId="57091841" w14:textId="77777777" w:rsidR="00E46C0A" w:rsidRPr="000B6F31" w:rsidRDefault="00E46C0A" w:rsidP="00E95331">
      <w:pPr>
        <w:pStyle w:val="Textoindependiente"/>
        <w:ind w:right="-234"/>
        <w:jc w:val="both"/>
        <w:rPr>
          <w:rFonts w:ascii="Arial" w:hAnsi="Arial" w:cs="Arial"/>
          <w:sz w:val="24"/>
          <w:szCs w:val="24"/>
        </w:rPr>
      </w:pPr>
    </w:p>
    <w:p w14:paraId="12F455C0" w14:textId="77777777" w:rsidR="00E46C0A" w:rsidRPr="000B6F31" w:rsidRDefault="00E46C0A" w:rsidP="00E95331">
      <w:pPr>
        <w:pStyle w:val="Textoindependiente"/>
        <w:ind w:right="-234"/>
        <w:jc w:val="both"/>
        <w:rPr>
          <w:rFonts w:ascii="Arial" w:hAnsi="Arial" w:cs="Arial"/>
          <w:b/>
          <w:bCs/>
          <w:sz w:val="24"/>
          <w:szCs w:val="24"/>
        </w:rPr>
      </w:pPr>
      <w:r w:rsidRPr="000B6F31">
        <w:rPr>
          <w:rFonts w:ascii="Arial" w:hAnsi="Arial" w:cs="Arial"/>
          <w:sz w:val="24"/>
          <w:szCs w:val="24"/>
        </w:rPr>
        <w:t xml:space="preserve">Sin calificar mi opinión, llamo la atención sobre la Nota 1 a los estados financieros al 31 de diciembre de 2024, donde se menciona que: “La cláusula décima octava del Convenio Interadministrativo 375 establece que el Programa contará con una Junta Asesora, la cual aprobará el presupuesto anual del Programa, incluidos los gastos de Funcionamiento y </w:t>
      </w:r>
      <w:r w:rsidRPr="000B6F31">
        <w:rPr>
          <w:rFonts w:ascii="Arial" w:hAnsi="Arial" w:cs="Arial"/>
          <w:sz w:val="24"/>
          <w:szCs w:val="24"/>
        </w:rPr>
        <w:lastRenderedPageBreak/>
        <w:t>Administración y hacer seguimiento a su ejecución”. Teniendo en cuenta lo anterior, el alcance de mi auditoría se rige hasta el desembolso de los recursos y no abarca el seguimiento de los mismos; por lo cual, no se expresa una opinión sobre dichos programas.</w:t>
      </w:r>
    </w:p>
    <w:p w14:paraId="428A5BF3" w14:textId="77777777" w:rsidR="00E46C0A" w:rsidRDefault="00E46C0A" w:rsidP="00E95331">
      <w:pPr>
        <w:ind w:right="-234"/>
        <w:rPr>
          <w:rFonts w:ascii="Arial" w:hAnsi="Arial" w:cs="Arial"/>
          <w:sz w:val="24"/>
          <w:szCs w:val="24"/>
        </w:rPr>
      </w:pPr>
    </w:p>
    <w:p w14:paraId="50F651C4" w14:textId="77777777" w:rsidR="00E46C0A" w:rsidRPr="00836BD4" w:rsidRDefault="00E46C0A" w:rsidP="00E95331">
      <w:pPr>
        <w:ind w:right="-234"/>
        <w:jc w:val="both"/>
        <w:rPr>
          <w:rFonts w:ascii="Arial" w:hAnsi="Arial" w:cs="Arial"/>
          <w:b/>
          <w:sz w:val="32"/>
          <w:szCs w:val="32"/>
        </w:rPr>
      </w:pPr>
      <w:r w:rsidRPr="00836BD4">
        <w:rPr>
          <w:rFonts w:ascii="Arial" w:hAnsi="Arial" w:cs="Arial"/>
          <w:b/>
          <w:sz w:val="28"/>
          <w:szCs w:val="28"/>
          <w:lang w:val="es-MX"/>
        </w:rPr>
        <w:t xml:space="preserve">234.- </w:t>
      </w:r>
      <w:r w:rsidRPr="00836BD4">
        <w:rPr>
          <w:rFonts w:ascii="Arial" w:hAnsi="Arial" w:cs="Arial"/>
          <w:b/>
          <w:sz w:val="28"/>
          <w:szCs w:val="28"/>
        </w:rPr>
        <w:t>PATRIMONIO AUTÓNOMO FONDO PARA LA VIDA Y BIODIVERSIDAD – FIDUCOLDEX S.A.</w:t>
      </w:r>
    </w:p>
    <w:p w14:paraId="14ABB9E7" w14:textId="77777777" w:rsidR="00E46C0A" w:rsidRDefault="00E46C0A" w:rsidP="00E95331">
      <w:pPr>
        <w:ind w:right="-234"/>
        <w:rPr>
          <w:rFonts w:ascii="Arial" w:hAnsi="Arial" w:cs="Arial"/>
          <w:sz w:val="24"/>
          <w:szCs w:val="24"/>
        </w:rPr>
      </w:pPr>
    </w:p>
    <w:p w14:paraId="1B078366" w14:textId="77777777" w:rsidR="00E46C0A" w:rsidRPr="00836BD4" w:rsidRDefault="00E46C0A" w:rsidP="00E95331">
      <w:pPr>
        <w:pStyle w:val="Textoindependiente"/>
        <w:ind w:right="-234"/>
        <w:jc w:val="both"/>
        <w:rPr>
          <w:rFonts w:ascii="Arial" w:hAnsi="Arial" w:cs="Arial"/>
          <w:b/>
          <w:bCs/>
          <w:sz w:val="24"/>
          <w:szCs w:val="24"/>
        </w:rPr>
      </w:pPr>
      <w:r w:rsidRPr="00836BD4">
        <w:rPr>
          <w:rFonts w:ascii="Arial" w:hAnsi="Arial" w:cs="Arial"/>
          <w:b/>
          <w:bCs/>
          <w:sz w:val="24"/>
          <w:szCs w:val="24"/>
        </w:rPr>
        <w:t xml:space="preserve">“PÁRRAFO DE ÉNFASIS: </w:t>
      </w:r>
      <w:r w:rsidRPr="00836BD4">
        <w:rPr>
          <w:rFonts w:ascii="Arial" w:hAnsi="Arial" w:cs="Arial"/>
          <w:sz w:val="24"/>
          <w:szCs w:val="24"/>
        </w:rPr>
        <w:t>Sin calificar mi opinión, llamo la atención sobre la Nota 3.3. a los estados financieros al 31 de diciembre de 2024, debido que se indica que se llevó a cabo reclasificación y ajuste contable entre las cuentas 2990 Otros Pasivos Diferidos (Resolución 180 de 2023) y la cuenta 2902 Recursos Recibidos en Administración (Resolución 090 de 2020 actualizada por la resolución 421del 2023), teniendo en cuenta la guía recibida por el Ministerio de Ambiente y Desarrollo Sostenible como lineamentos para el manejo Contable del Patrimonio Autónomo Fondo Para la Vida y la Biodiversidad durante el año 2024, la cual se asimila a la política contable del negocio. Como respuesta a la consulta realizada por el Ministerio de Ambiente y Desarrollo Sostenible, debido al reconocimiento de los hechos económicos de los recursos manejados por el Patrimonio Autónomo”.</w:t>
      </w:r>
    </w:p>
    <w:p w14:paraId="0A48A78A" w14:textId="77777777" w:rsidR="00E46C0A" w:rsidRDefault="00E46C0A" w:rsidP="00E95331">
      <w:pPr>
        <w:ind w:right="-234"/>
        <w:rPr>
          <w:rFonts w:ascii="Arial" w:hAnsi="Arial" w:cs="Arial"/>
          <w:sz w:val="24"/>
          <w:szCs w:val="24"/>
        </w:rPr>
      </w:pPr>
    </w:p>
    <w:p w14:paraId="2050178D" w14:textId="77777777" w:rsidR="00E46C0A" w:rsidRPr="00766855" w:rsidRDefault="00E46C0A" w:rsidP="00E95331">
      <w:pPr>
        <w:ind w:right="-234"/>
        <w:jc w:val="both"/>
        <w:rPr>
          <w:rFonts w:ascii="Arial" w:hAnsi="Arial" w:cs="Arial"/>
          <w:b/>
          <w:sz w:val="32"/>
          <w:szCs w:val="32"/>
        </w:rPr>
      </w:pPr>
      <w:r w:rsidRPr="00766855">
        <w:rPr>
          <w:rFonts w:ascii="Arial" w:hAnsi="Arial" w:cs="Arial"/>
          <w:b/>
          <w:sz w:val="28"/>
          <w:szCs w:val="28"/>
          <w:lang w:val="es-MX"/>
        </w:rPr>
        <w:t xml:space="preserve">236.- </w:t>
      </w:r>
      <w:r w:rsidRPr="00766855">
        <w:rPr>
          <w:rFonts w:ascii="Arial" w:hAnsi="Arial" w:cs="Arial"/>
          <w:b/>
          <w:sz w:val="28"/>
          <w:szCs w:val="28"/>
        </w:rPr>
        <w:t>PATRIMONIO AUTÓNOMO INNPULSA – FIDUCOLDEX S.A.</w:t>
      </w:r>
    </w:p>
    <w:p w14:paraId="3BA43B76" w14:textId="77777777" w:rsidR="00E46C0A" w:rsidRDefault="00E46C0A" w:rsidP="00E95331">
      <w:pPr>
        <w:ind w:right="-234"/>
        <w:rPr>
          <w:rFonts w:ascii="Arial" w:hAnsi="Arial" w:cs="Arial"/>
          <w:sz w:val="24"/>
          <w:szCs w:val="24"/>
        </w:rPr>
      </w:pPr>
    </w:p>
    <w:p w14:paraId="268A0366" w14:textId="77777777" w:rsidR="00E46C0A" w:rsidRPr="00766855" w:rsidRDefault="00E46C0A" w:rsidP="00E95331">
      <w:pPr>
        <w:pStyle w:val="Textoindependiente"/>
        <w:ind w:right="-234"/>
        <w:jc w:val="both"/>
        <w:rPr>
          <w:rFonts w:ascii="Arial" w:hAnsi="Arial" w:cs="Arial"/>
          <w:b/>
          <w:bCs/>
          <w:sz w:val="24"/>
          <w:szCs w:val="24"/>
        </w:rPr>
      </w:pPr>
      <w:r w:rsidRPr="00766855">
        <w:rPr>
          <w:rFonts w:ascii="Arial" w:hAnsi="Arial" w:cs="Arial"/>
          <w:b/>
          <w:bCs/>
          <w:sz w:val="24"/>
          <w:szCs w:val="24"/>
        </w:rPr>
        <w:t xml:space="preserve">“PARRAFO DE ENFASIS: </w:t>
      </w:r>
      <w:r w:rsidRPr="00766855">
        <w:rPr>
          <w:rFonts w:ascii="Arial" w:hAnsi="Arial" w:cs="Arial"/>
          <w:sz w:val="24"/>
          <w:szCs w:val="24"/>
        </w:rPr>
        <w:t>Sin calificar mi opinión, llamo la atención sobre la Nota 1 a los estados financieros al 31 de diciembre de 2024, donde se menciona que: “En la cláusula vigésima séptima del contrato fiduciario, el patrimonio cuenta con Junta Asesora, la cual aprobará el presupuesto anual del Patrimonio Autónomo, incluidos los gastos de operación, administración y hacer el seguimiento respectivo a su ejecución”. Teniendo en cuenta lo anterior, el alcance de mi auditoría se rige hasta el desembolso de los recursos y no abarca el seguimiento de los mismos; por lo cual, no se expresa una opinión sobre dichos programas”.</w:t>
      </w:r>
    </w:p>
    <w:p w14:paraId="17B11841" w14:textId="77777777" w:rsidR="00E46C0A" w:rsidRDefault="00E46C0A" w:rsidP="00E95331">
      <w:pPr>
        <w:ind w:right="-234"/>
        <w:rPr>
          <w:rFonts w:ascii="Arial" w:hAnsi="Arial" w:cs="Arial"/>
          <w:sz w:val="24"/>
          <w:szCs w:val="24"/>
        </w:rPr>
      </w:pPr>
    </w:p>
    <w:p w14:paraId="7FFC31ED" w14:textId="77777777" w:rsidR="00E46C0A" w:rsidRPr="00A1239D" w:rsidRDefault="00E46C0A" w:rsidP="00E95331">
      <w:pPr>
        <w:ind w:right="-234"/>
        <w:jc w:val="both"/>
        <w:rPr>
          <w:rFonts w:ascii="Arial" w:hAnsi="Arial" w:cs="Arial"/>
          <w:b/>
          <w:sz w:val="28"/>
          <w:szCs w:val="28"/>
          <w:lang w:val="es-MX"/>
        </w:rPr>
      </w:pPr>
      <w:r w:rsidRPr="00A1239D">
        <w:rPr>
          <w:rFonts w:ascii="Arial" w:hAnsi="Arial" w:cs="Arial"/>
          <w:b/>
          <w:sz w:val="28"/>
          <w:szCs w:val="28"/>
          <w:lang w:val="es-MX"/>
        </w:rPr>
        <w:t>238.- P</w:t>
      </w:r>
      <w:r w:rsidRPr="00A1239D">
        <w:rPr>
          <w:rFonts w:ascii="Arial" w:hAnsi="Arial" w:cs="Arial"/>
          <w:b/>
          <w:sz w:val="28"/>
          <w:szCs w:val="28"/>
        </w:rPr>
        <w:t>ATRIMONIO AUTÓNOMO FONDO MUJER LIBRE Y PRODUCTIVA – FIDUCOLDEX S.A.</w:t>
      </w:r>
    </w:p>
    <w:p w14:paraId="091459C5" w14:textId="77777777" w:rsidR="00E46C0A" w:rsidRDefault="00E46C0A" w:rsidP="00E95331">
      <w:pPr>
        <w:ind w:right="-234"/>
        <w:rPr>
          <w:rFonts w:ascii="Arial" w:hAnsi="Arial" w:cs="Arial"/>
          <w:sz w:val="24"/>
          <w:szCs w:val="24"/>
        </w:rPr>
      </w:pPr>
    </w:p>
    <w:p w14:paraId="6CC49A07" w14:textId="77777777" w:rsidR="00E46C0A" w:rsidRPr="00A1239D" w:rsidRDefault="00E46C0A" w:rsidP="00E95331">
      <w:pPr>
        <w:pStyle w:val="Textoindependiente"/>
        <w:ind w:right="-234"/>
        <w:jc w:val="both"/>
        <w:rPr>
          <w:rFonts w:ascii="Arial" w:hAnsi="Arial" w:cs="Arial"/>
          <w:b/>
          <w:bCs/>
          <w:sz w:val="24"/>
          <w:szCs w:val="24"/>
        </w:rPr>
      </w:pPr>
      <w:r w:rsidRPr="00A1239D">
        <w:rPr>
          <w:rFonts w:ascii="Arial" w:hAnsi="Arial" w:cs="Arial"/>
          <w:b/>
          <w:bCs/>
          <w:sz w:val="24"/>
          <w:szCs w:val="24"/>
        </w:rPr>
        <w:t xml:space="preserve">“PARRAFO DE ENFASIS: </w:t>
      </w:r>
      <w:r w:rsidRPr="00A1239D">
        <w:rPr>
          <w:rFonts w:ascii="Arial" w:hAnsi="Arial" w:cs="Arial"/>
          <w:sz w:val="24"/>
          <w:szCs w:val="24"/>
        </w:rPr>
        <w:t>Sin calificar mi opinión, llamo la atención sobre la Nota 1 de los Estados Financieros al 31 de diciembre de 2024, para dar cumplimiento a lo dispuesto en el artículo 73 de la Ley 2294 de 2023, el Patrimonio Autónomo INNPULSA COLOMBIA y la Fiduciaria, cederán su posición contractual en el Contrato de Fiducia Mercantil suscrito para la constitución del PATRIMONIO AUTÓNOMO FONDO MUJER LIBRE Y PRODUCTIVA, al Departamento Administrativo de la Presidencia de la República y a la Fiduciaria pública seleccionada por este para la administración del Fondo para la Promoción de la Autonomía y el Emprendimiento de la Mujer”.</w:t>
      </w:r>
    </w:p>
    <w:p w14:paraId="4D55F8FA" w14:textId="77777777" w:rsidR="00E46C0A" w:rsidRPr="00A1239D" w:rsidRDefault="00E46C0A" w:rsidP="00E95331">
      <w:pPr>
        <w:pStyle w:val="Textoindependiente"/>
        <w:ind w:right="-234"/>
        <w:jc w:val="both"/>
        <w:rPr>
          <w:rFonts w:ascii="Arial" w:hAnsi="Arial" w:cs="Arial"/>
          <w:b/>
          <w:bCs/>
          <w:sz w:val="24"/>
          <w:szCs w:val="24"/>
        </w:rPr>
      </w:pPr>
    </w:p>
    <w:p w14:paraId="763D612A" w14:textId="77777777" w:rsidR="00E46C0A" w:rsidRPr="00C50543" w:rsidRDefault="00E46C0A" w:rsidP="00E95331">
      <w:pPr>
        <w:ind w:right="-234"/>
        <w:jc w:val="both"/>
        <w:rPr>
          <w:rFonts w:ascii="Arial" w:hAnsi="Arial" w:cs="Arial"/>
          <w:b/>
          <w:sz w:val="28"/>
          <w:szCs w:val="28"/>
          <w:lang w:val="es-MX"/>
        </w:rPr>
      </w:pPr>
      <w:r w:rsidRPr="00C50543">
        <w:rPr>
          <w:rFonts w:ascii="Arial" w:hAnsi="Arial" w:cs="Arial"/>
          <w:b/>
          <w:sz w:val="28"/>
          <w:szCs w:val="28"/>
          <w:lang w:val="es-MX"/>
        </w:rPr>
        <w:t>239.- CANAL REGIONAL DE TELEVISIÓN TEVEANDINA LTDA.</w:t>
      </w:r>
    </w:p>
    <w:p w14:paraId="2BC57A00" w14:textId="77777777" w:rsidR="00E46C0A" w:rsidRDefault="00E46C0A" w:rsidP="00E95331">
      <w:pPr>
        <w:ind w:right="-234"/>
        <w:rPr>
          <w:rFonts w:ascii="Arial" w:hAnsi="Arial" w:cs="Arial"/>
          <w:sz w:val="24"/>
          <w:szCs w:val="24"/>
        </w:rPr>
      </w:pPr>
    </w:p>
    <w:p w14:paraId="51E621A6" w14:textId="77777777" w:rsidR="00E46C0A" w:rsidRPr="00084EC4" w:rsidRDefault="00E46C0A" w:rsidP="00E95331">
      <w:pPr>
        <w:pStyle w:val="Textoindependiente"/>
        <w:ind w:right="-234"/>
        <w:jc w:val="both"/>
        <w:rPr>
          <w:rFonts w:ascii="Arial" w:hAnsi="Arial" w:cs="Arial"/>
          <w:b/>
          <w:bCs/>
          <w:sz w:val="24"/>
          <w:szCs w:val="24"/>
        </w:rPr>
      </w:pPr>
      <w:r w:rsidRPr="00084EC4">
        <w:rPr>
          <w:rFonts w:ascii="Arial" w:hAnsi="Arial" w:cs="Arial"/>
          <w:b/>
          <w:bCs/>
          <w:sz w:val="24"/>
          <w:szCs w:val="24"/>
        </w:rPr>
        <w:t>Fundamento de la opinión.</w:t>
      </w:r>
    </w:p>
    <w:p w14:paraId="04A5BA5F" w14:textId="77777777" w:rsidR="00E46C0A" w:rsidRPr="00084EC4" w:rsidRDefault="00E46C0A" w:rsidP="00E95331">
      <w:pPr>
        <w:pStyle w:val="Textoindependiente"/>
        <w:ind w:right="-234"/>
        <w:jc w:val="both"/>
        <w:rPr>
          <w:rFonts w:ascii="Arial" w:hAnsi="Arial" w:cs="Arial"/>
          <w:sz w:val="24"/>
          <w:szCs w:val="24"/>
        </w:rPr>
      </w:pPr>
    </w:p>
    <w:p w14:paraId="64EB728D" w14:textId="77777777" w:rsidR="00E46C0A" w:rsidRPr="00084EC4" w:rsidRDefault="00E46C0A" w:rsidP="00E95331">
      <w:pPr>
        <w:pStyle w:val="Textoindependiente"/>
        <w:ind w:right="-234"/>
        <w:jc w:val="both"/>
        <w:rPr>
          <w:rFonts w:ascii="Arial" w:hAnsi="Arial" w:cs="Arial"/>
          <w:sz w:val="24"/>
          <w:szCs w:val="24"/>
        </w:rPr>
      </w:pPr>
      <w:r w:rsidRPr="00084EC4">
        <w:rPr>
          <w:rFonts w:ascii="Arial" w:hAnsi="Arial" w:cs="Arial"/>
          <w:sz w:val="24"/>
          <w:szCs w:val="24"/>
        </w:rPr>
        <w:t xml:space="preserve">…3. Al 31 de diciembre de 2024, Teveandina tiene registrados saldos derivados del reconocimiento del método de participación patrimonial, correspondiente al 70% de la inversión que tiene en la entidad Radio Televisión Nacional de Colombia (RTVC). Dicha inversión, que ha </w:t>
      </w:r>
      <w:r w:rsidRPr="00084EC4">
        <w:rPr>
          <w:rFonts w:ascii="Arial" w:hAnsi="Arial" w:cs="Arial"/>
          <w:sz w:val="24"/>
          <w:szCs w:val="24"/>
        </w:rPr>
        <w:lastRenderedPageBreak/>
        <w:t xml:space="preserve">sido clasificada como una participación en una asociada, presenta un valor neto en activos de $117.126.008.383 ($101.185.004.422 – 2023), un registro en el patrimonio de Teveandina de $47.948.670.857 ($ 38.511.727.871 – 2023) y un valor reconocido por concepto de ganancias mediante la aplicación del método de participación de $25.377.946.947 ($ 21.419.966.095 – 2023). </w:t>
      </w:r>
    </w:p>
    <w:p w14:paraId="37967339" w14:textId="77777777" w:rsidR="00E46C0A" w:rsidRPr="00084EC4" w:rsidRDefault="00E46C0A" w:rsidP="00E95331">
      <w:pPr>
        <w:pStyle w:val="Textoindependiente"/>
        <w:ind w:right="-234"/>
        <w:jc w:val="both"/>
        <w:rPr>
          <w:rFonts w:ascii="Arial" w:hAnsi="Arial" w:cs="Arial"/>
          <w:sz w:val="24"/>
          <w:szCs w:val="24"/>
        </w:rPr>
      </w:pPr>
    </w:p>
    <w:p w14:paraId="21CF300B" w14:textId="77777777" w:rsidR="00E46C0A" w:rsidRPr="00084EC4" w:rsidRDefault="00E46C0A" w:rsidP="00E95331">
      <w:pPr>
        <w:pStyle w:val="Textoindependiente"/>
        <w:ind w:right="-234"/>
        <w:jc w:val="both"/>
        <w:rPr>
          <w:rFonts w:ascii="Arial" w:hAnsi="Arial" w:cs="Arial"/>
          <w:sz w:val="24"/>
          <w:szCs w:val="24"/>
        </w:rPr>
      </w:pPr>
      <w:r w:rsidRPr="00084EC4">
        <w:rPr>
          <w:rFonts w:ascii="Arial" w:hAnsi="Arial" w:cs="Arial"/>
          <w:sz w:val="24"/>
          <w:szCs w:val="24"/>
        </w:rPr>
        <w:t>A la fecha de esta opinión, los saldos antes mencionados se encuentran en proceso de revisión y análisis por parte de la administración de la entidad, con el fin de determinar su razonabilidad. Por lo anterior, de acuerdo con la revisión efectuada a la fecha, y debido a la falta de conclusión sobre dicho análisis, no hemos podido determinar, a través de nuestros procedimientos de auditoría, si podrían ser necesarios ajustes que afecten la razonabilidad del saldo de la inversión, su posible impacto en el impuesto diferido e impuesto de renta y en los resultados del período”.</w:t>
      </w:r>
    </w:p>
    <w:p w14:paraId="2472E3C6" w14:textId="77777777" w:rsidR="00E46C0A" w:rsidRDefault="00E46C0A" w:rsidP="00E95331">
      <w:pPr>
        <w:ind w:right="-234"/>
        <w:rPr>
          <w:rFonts w:ascii="Arial" w:hAnsi="Arial" w:cs="Arial"/>
          <w:sz w:val="24"/>
          <w:szCs w:val="24"/>
        </w:rPr>
      </w:pPr>
    </w:p>
    <w:p w14:paraId="6698EB3C" w14:textId="77777777" w:rsidR="00E46C0A" w:rsidRPr="009A492A" w:rsidRDefault="00E46C0A" w:rsidP="00E46C0A">
      <w:pPr>
        <w:jc w:val="both"/>
        <w:rPr>
          <w:rFonts w:ascii="Arial" w:hAnsi="Arial" w:cs="Arial"/>
          <w:b/>
          <w:sz w:val="28"/>
          <w:szCs w:val="28"/>
          <w:lang w:val="es-MX"/>
        </w:rPr>
      </w:pPr>
      <w:r w:rsidRPr="009A492A">
        <w:rPr>
          <w:rFonts w:ascii="Arial" w:hAnsi="Arial" w:cs="Arial"/>
          <w:b/>
          <w:sz w:val="28"/>
          <w:szCs w:val="28"/>
          <w:lang w:val="es-MX"/>
        </w:rPr>
        <w:t xml:space="preserve">243.- FONDO NACIONAL DEL AHORRO – FNA. </w:t>
      </w:r>
    </w:p>
    <w:p w14:paraId="13854181" w14:textId="77777777" w:rsidR="00E46C0A" w:rsidRDefault="00E46C0A" w:rsidP="00E46C0A">
      <w:pPr>
        <w:ind w:right="-93"/>
        <w:rPr>
          <w:rFonts w:ascii="Arial" w:hAnsi="Arial" w:cs="Arial"/>
          <w:sz w:val="24"/>
          <w:szCs w:val="24"/>
        </w:rPr>
      </w:pPr>
    </w:p>
    <w:p w14:paraId="7A2EAA22" w14:textId="77777777" w:rsidR="00E46C0A" w:rsidRPr="009A492A" w:rsidRDefault="00E46C0A" w:rsidP="00E46C0A">
      <w:pPr>
        <w:pStyle w:val="Textoindependiente"/>
        <w:ind w:right="-50"/>
        <w:jc w:val="both"/>
        <w:rPr>
          <w:rFonts w:ascii="Arial" w:hAnsi="Arial" w:cs="Arial"/>
          <w:b/>
          <w:bCs/>
          <w:sz w:val="24"/>
          <w:szCs w:val="24"/>
        </w:rPr>
      </w:pPr>
      <w:r w:rsidRPr="009A492A">
        <w:rPr>
          <w:rFonts w:ascii="Arial" w:hAnsi="Arial" w:cs="Arial"/>
          <w:b/>
          <w:bCs/>
        </w:rPr>
        <w:t>“</w:t>
      </w:r>
      <w:r w:rsidRPr="009A492A">
        <w:rPr>
          <w:rFonts w:ascii="Arial" w:hAnsi="Arial" w:cs="Arial"/>
          <w:b/>
          <w:bCs/>
          <w:sz w:val="24"/>
          <w:szCs w:val="24"/>
        </w:rPr>
        <w:t>Otros asuntos.</w:t>
      </w:r>
    </w:p>
    <w:p w14:paraId="6B41C400" w14:textId="77777777" w:rsidR="00E46C0A" w:rsidRPr="009A492A" w:rsidRDefault="00E46C0A" w:rsidP="00E46C0A">
      <w:pPr>
        <w:pStyle w:val="Textoindependiente"/>
        <w:ind w:right="-50"/>
        <w:jc w:val="both"/>
        <w:rPr>
          <w:rFonts w:ascii="Arial" w:hAnsi="Arial" w:cs="Arial"/>
          <w:b/>
          <w:bCs/>
          <w:sz w:val="24"/>
          <w:szCs w:val="24"/>
        </w:rPr>
      </w:pPr>
    </w:p>
    <w:p w14:paraId="55091255" w14:textId="77777777" w:rsidR="00E46C0A" w:rsidRPr="009A492A" w:rsidRDefault="00E46C0A" w:rsidP="00E95331">
      <w:pPr>
        <w:pStyle w:val="Textoindependiente"/>
        <w:numPr>
          <w:ilvl w:val="0"/>
          <w:numId w:val="103"/>
        </w:numPr>
        <w:ind w:right="-234"/>
        <w:jc w:val="both"/>
        <w:rPr>
          <w:rFonts w:ascii="Arial" w:hAnsi="Arial" w:cs="Arial"/>
          <w:sz w:val="24"/>
          <w:szCs w:val="24"/>
        </w:rPr>
      </w:pPr>
      <w:r w:rsidRPr="009A492A">
        <w:rPr>
          <w:rFonts w:ascii="Arial" w:hAnsi="Arial" w:cs="Arial"/>
          <w:sz w:val="24"/>
          <w:szCs w:val="24"/>
        </w:rPr>
        <w:t>En la Nota 41.2 de los estados financieros se detalla el proceso de transformación que el Fondo Nacional del Ahorro experimentó durante el año 2024, en virtud del Decreto Ley 1962 de 2023, convirtiéndose en una Sociedad por acciones, de economía mixta vinculada al Ministerio de Hacienda y Crédito Público, organizada como un establecimiento de crédito y su principal accionista es el Grupo Bicentenario S.A.S. con una participación del 94,55%, lo anterior modificó su Gobierno Corporativo, responsabilidades, estructura, entre otros.</w:t>
      </w:r>
    </w:p>
    <w:p w14:paraId="58113B17" w14:textId="77777777" w:rsidR="00E46C0A" w:rsidRPr="009A492A" w:rsidRDefault="00E46C0A" w:rsidP="00E95331">
      <w:pPr>
        <w:pStyle w:val="Textoindependiente"/>
        <w:ind w:right="-234"/>
        <w:jc w:val="both"/>
        <w:rPr>
          <w:rFonts w:ascii="Arial" w:hAnsi="Arial" w:cs="Arial"/>
          <w:b/>
          <w:bCs/>
          <w:sz w:val="24"/>
          <w:szCs w:val="24"/>
        </w:rPr>
      </w:pPr>
    </w:p>
    <w:p w14:paraId="2814D6FF" w14:textId="77777777" w:rsidR="00E46C0A" w:rsidRPr="009A492A" w:rsidRDefault="00E46C0A" w:rsidP="00E95331">
      <w:pPr>
        <w:pStyle w:val="Textoindependiente"/>
        <w:ind w:right="-234"/>
        <w:jc w:val="both"/>
        <w:rPr>
          <w:rFonts w:ascii="Arial" w:hAnsi="Arial" w:cs="Arial"/>
          <w:b/>
          <w:bCs/>
          <w:sz w:val="24"/>
          <w:szCs w:val="24"/>
        </w:rPr>
      </w:pPr>
      <w:r w:rsidRPr="009A492A">
        <w:rPr>
          <w:rFonts w:ascii="Arial" w:hAnsi="Arial" w:cs="Arial"/>
          <w:b/>
          <w:bCs/>
          <w:sz w:val="24"/>
          <w:szCs w:val="24"/>
        </w:rPr>
        <w:t>3. Informe sobre otros requerimientos legales y regulatorios</w:t>
      </w:r>
    </w:p>
    <w:p w14:paraId="4288AEDB" w14:textId="77777777" w:rsidR="00E46C0A" w:rsidRPr="009A492A" w:rsidRDefault="00E46C0A" w:rsidP="00E95331">
      <w:pPr>
        <w:pStyle w:val="Textoindependiente"/>
        <w:ind w:right="-234"/>
        <w:jc w:val="both"/>
        <w:rPr>
          <w:rFonts w:ascii="Arial" w:hAnsi="Arial" w:cs="Arial"/>
          <w:b/>
          <w:bCs/>
          <w:sz w:val="24"/>
          <w:szCs w:val="24"/>
        </w:rPr>
      </w:pPr>
    </w:p>
    <w:p w14:paraId="10A8E692" w14:textId="77777777" w:rsidR="00E46C0A" w:rsidRPr="009A492A" w:rsidRDefault="00E46C0A" w:rsidP="00E95331">
      <w:pPr>
        <w:pStyle w:val="Textoindependiente"/>
        <w:ind w:right="-234"/>
        <w:jc w:val="both"/>
        <w:rPr>
          <w:rFonts w:ascii="Arial" w:hAnsi="Arial" w:cs="Arial"/>
          <w:sz w:val="24"/>
          <w:szCs w:val="24"/>
        </w:rPr>
      </w:pPr>
      <w:r w:rsidRPr="009A492A">
        <w:rPr>
          <w:rFonts w:ascii="Arial" w:hAnsi="Arial" w:cs="Arial"/>
          <w:sz w:val="24"/>
          <w:szCs w:val="24"/>
        </w:rPr>
        <w:t>e) Se cumplen las normas e instrucciones de la Superintendencia Financiera de Colombia relacionadas con el sistema de atención al consumidor financiero-SAC, y con la implementación de los sistemas de administración y gestión de riesgos relacionados con el lavado de activos y la financiación del terrorismo - SARLAFT, operativo - GRO, liquidez - GRL, crédito – GRC, mercado – GRM y RTILB, Riesgo de Tasa de Interés del Libro Bancario, así como con la evaluación, clasificación y contabilización de los bienes recibidos en pago.</w:t>
      </w:r>
    </w:p>
    <w:p w14:paraId="3AA22ECE" w14:textId="77777777" w:rsidR="00E46C0A" w:rsidRPr="009A492A" w:rsidRDefault="00E46C0A" w:rsidP="00E95331">
      <w:pPr>
        <w:pStyle w:val="Textoindependiente"/>
        <w:ind w:right="-234"/>
        <w:jc w:val="both"/>
        <w:rPr>
          <w:rFonts w:ascii="Arial" w:hAnsi="Arial" w:cs="Arial"/>
          <w:sz w:val="24"/>
          <w:szCs w:val="24"/>
        </w:rPr>
      </w:pPr>
    </w:p>
    <w:p w14:paraId="7AEA5E6A" w14:textId="77777777" w:rsidR="00E46C0A" w:rsidRPr="009A492A" w:rsidRDefault="00E46C0A" w:rsidP="00E95331">
      <w:pPr>
        <w:pStyle w:val="Textoindependiente"/>
        <w:ind w:right="-234"/>
        <w:jc w:val="both"/>
        <w:rPr>
          <w:rFonts w:ascii="Arial" w:hAnsi="Arial" w:cs="Arial"/>
          <w:sz w:val="24"/>
          <w:szCs w:val="24"/>
        </w:rPr>
      </w:pPr>
      <w:r w:rsidRPr="009A492A">
        <w:rPr>
          <w:rFonts w:ascii="Arial" w:hAnsi="Arial" w:cs="Arial"/>
          <w:sz w:val="24"/>
          <w:szCs w:val="24"/>
        </w:rPr>
        <w:t>Como se indica en la Nota 39 de los estados financieros, al 31 de diciembre de 2024, con relación al RTILB, la prueba de valores atípicos arrojó un resultado de 35,7%, excediendo el 15.00%, límite prudencial establecido por las normas de la Superintendencia Financiera de Colombia, actualmente, la administración del Fondo adelanta conversaciones con la Superintendencia para establecer los planes de acción”.</w:t>
      </w:r>
    </w:p>
    <w:p w14:paraId="0C34F096" w14:textId="77777777" w:rsidR="00E46C0A" w:rsidRDefault="00E46C0A" w:rsidP="00E46C0A">
      <w:pPr>
        <w:ind w:right="-93"/>
        <w:rPr>
          <w:rFonts w:ascii="Arial" w:hAnsi="Arial" w:cs="Arial"/>
          <w:sz w:val="24"/>
          <w:szCs w:val="24"/>
        </w:rPr>
      </w:pPr>
    </w:p>
    <w:p w14:paraId="65FE6981" w14:textId="77777777" w:rsidR="00E46C0A" w:rsidRPr="00C9294E" w:rsidRDefault="00E46C0A" w:rsidP="00E95331">
      <w:pPr>
        <w:ind w:right="-234"/>
        <w:jc w:val="both"/>
        <w:rPr>
          <w:rFonts w:ascii="Arial" w:hAnsi="Arial" w:cs="Arial"/>
          <w:b/>
          <w:sz w:val="28"/>
          <w:szCs w:val="28"/>
          <w:lang w:val="es-MX"/>
        </w:rPr>
      </w:pPr>
      <w:r w:rsidRPr="00C9294E">
        <w:rPr>
          <w:rFonts w:ascii="Arial" w:hAnsi="Arial" w:cs="Arial"/>
          <w:b/>
          <w:sz w:val="28"/>
          <w:szCs w:val="28"/>
          <w:lang w:val="es-MX"/>
        </w:rPr>
        <w:t xml:space="preserve">244.- </w:t>
      </w:r>
      <w:r w:rsidRPr="00C9294E">
        <w:rPr>
          <w:rFonts w:ascii="Arial" w:hAnsi="Arial" w:cs="Arial"/>
          <w:b/>
          <w:sz w:val="28"/>
          <w:szCs w:val="28"/>
        </w:rPr>
        <w:t>PATRIMONIO AUTÓNOMO FONDO NACIONAL DE TURISMO FONTUR - FIDUCOLDEX S.A.</w:t>
      </w:r>
    </w:p>
    <w:p w14:paraId="6C2270D9" w14:textId="77777777" w:rsidR="00E46C0A" w:rsidRDefault="00E46C0A" w:rsidP="00E46C0A">
      <w:pPr>
        <w:ind w:right="-93"/>
        <w:rPr>
          <w:rFonts w:ascii="Arial" w:hAnsi="Arial" w:cs="Arial"/>
          <w:sz w:val="24"/>
          <w:szCs w:val="24"/>
        </w:rPr>
      </w:pPr>
    </w:p>
    <w:p w14:paraId="00501FC2" w14:textId="77777777" w:rsidR="00E46C0A" w:rsidRPr="00C9294E" w:rsidRDefault="00E46C0A" w:rsidP="00E95331">
      <w:pPr>
        <w:pStyle w:val="Textoindependiente"/>
        <w:ind w:right="-234"/>
        <w:jc w:val="both"/>
        <w:rPr>
          <w:rFonts w:ascii="Arial" w:hAnsi="Arial" w:cs="Arial"/>
          <w:sz w:val="24"/>
          <w:szCs w:val="24"/>
        </w:rPr>
      </w:pPr>
      <w:r w:rsidRPr="00C9294E">
        <w:rPr>
          <w:rFonts w:ascii="Arial" w:hAnsi="Arial" w:cs="Arial"/>
          <w:b/>
          <w:bCs/>
          <w:sz w:val="24"/>
          <w:szCs w:val="24"/>
        </w:rPr>
        <w:t xml:space="preserve">Párrafo de Énfasis por Proceso de Liquidación: </w:t>
      </w:r>
      <w:r w:rsidRPr="00C9294E">
        <w:rPr>
          <w:rFonts w:ascii="Arial" w:hAnsi="Arial" w:cs="Arial"/>
          <w:sz w:val="24"/>
          <w:szCs w:val="24"/>
        </w:rPr>
        <w:t>Sin calificar mi opinión, llamo la atención sobre la Nota 1 a los Estados Financieros al 31 de diciembre de 2024, en la cual se menciona que el contrato fiduciario 137 de 2013 estuvo vigente hasta el 31 de diciembre de 202, fecha en la cual entró en proceso en proceso de liquidación y fue suscrito entre el Ministerio de Comercio, Industria  y Turismo y la Fiduciaria Colombiana de Comercio Exterior S.A. – Fiducoldex el contrato 413 de 2023 con vigencia de diez años, a partir del 01 de enero de 2024.</w:t>
      </w:r>
    </w:p>
    <w:p w14:paraId="34923CDD" w14:textId="77777777" w:rsidR="00E46C0A" w:rsidRPr="00C9294E" w:rsidRDefault="00E46C0A" w:rsidP="00E95331">
      <w:pPr>
        <w:pStyle w:val="Textoindependiente"/>
        <w:ind w:right="-234"/>
        <w:jc w:val="both"/>
        <w:rPr>
          <w:rFonts w:ascii="Arial" w:hAnsi="Arial" w:cs="Arial"/>
          <w:sz w:val="24"/>
          <w:szCs w:val="24"/>
        </w:rPr>
      </w:pPr>
      <w:r w:rsidRPr="00C9294E">
        <w:rPr>
          <w:rFonts w:ascii="Arial" w:hAnsi="Arial" w:cs="Arial"/>
          <w:b/>
          <w:bCs/>
          <w:sz w:val="24"/>
          <w:szCs w:val="24"/>
        </w:rPr>
        <w:lastRenderedPageBreak/>
        <w:t xml:space="preserve">Párrafo de Énfasis por Reclasificación de Bienes Inmuebles: </w:t>
      </w:r>
      <w:r w:rsidRPr="00C9294E">
        <w:rPr>
          <w:rFonts w:ascii="Arial" w:hAnsi="Arial" w:cs="Arial"/>
          <w:sz w:val="24"/>
          <w:szCs w:val="24"/>
        </w:rPr>
        <w:t>Sin calificar mi opinión, llamo la atención sobre la Nota 13.1 a los Estados Financieros, donde se menciona que no se presenta variación frente a la información reportada en el año 2023, según PND 2022 – 2026 en su artículo 372, así: Artículo 372. Los bienes inmuebles actualmente administrados por el Patrimonio Autónomo, en virtud del artículo 22 de la Ley 1558 de 2012, deberán ser transferidos a la Sociedad de Activos Especiales para su administración o enajenación. Siendo así, el Patrimonio Autónomo pierde la facultad para vender dichos bienes y por tal razón, fueron clasificados como “Propiedad, Planta y Equipo No Explotados”, teniendo en cuenta que no se encuentran generando ningún beneficio económico o tienen un comodato. La transferencia de dichos bienes inmuebles se estima serán entregados a la Sociedad de Activos Especiales en el primer semestre de 2024”.</w:t>
      </w:r>
    </w:p>
    <w:p w14:paraId="6935CB77" w14:textId="77777777" w:rsidR="00E46C0A" w:rsidRDefault="00E46C0A" w:rsidP="00E46C0A">
      <w:pPr>
        <w:ind w:right="-93"/>
        <w:rPr>
          <w:rFonts w:ascii="Arial" w:hAnsi="Arial" w:cs="Arial"/>
          <w:sz w:val="24"/>
          <w:szCs w:val="24"/>
        </w:rPr>
      </w:pPr>
    </w:p>
    <w:p w14:paraId="4FCB849F" w14:textId="77777777" w:rsidR="00E46C0A" w:rsidRPr="001C5CBC" w:rsidRDefault="00E46C0A" w:rsidP="00E46C0A">
      <w:pPr>
        <w:jc w:val="both"/>
        <w:rPr>
          <w:rFonts w:ascii="Arial" w:hAnsi="Arial" w:cs="Arial"/>
          <w:b/>
          <w:sz w:val="28"/>
          <w:szCs w:val="28"/>
          <w:lang w:val="es-MX"/>
        </w:rPr>
      </w:pPr>
      <w:r w:rsidRPr="001C5CBC">
        <w:rPr>
          <w:rFonts w:ascii="Arial" w:hAnsi="Arial" w:cs="Arial"/>
          <w:b/>
          <w:sz w:val="28"/>
          <w:szCs w:val="28"/>
          <w:lang w:val="es-MX"/>
        </w:rPr>
        <w:t>248.- EMPRESA DISTRIBUIDORA DEL PACÍFICO S.A. E.S.P. – DISPAC.</w:t>
      </w:r>
    </w:p>
    <w:p w14:paraId="4DABB349" w14:textId="77777777" w:rsidR="00E46C0A" w:rsidRDefault="00E46C0A" w:rsidP="00E46C0A">
      <w:pPr>
        <w:ind w:right="-93"/>
        <w:rPr>
          <w:rFonts w:ascii="Arial" w:hAnsi="Arial" w:cs="Arial"/>
          <w:sz w:val="24"/>
          <w:szCs w:val="24"/>
          <w:lang w:val="es-MX"/>
        </w:rPr>
      </w:pPr>
    </w:p>
    <w:p w14:paraId="4F09C418" w14:textId="77777777" w:rsidR="00E46C0A" w:rsidRPr="001C5CBC" w:rsidRDefault="00E46C0A" w:rsidP="00E46C0A">
      <w:pPr>
        <w:pStyle w:val="Textoindependiente"/>
        <w:ind w:right="-50"/>
        <w:jc w:val="both"/>
        <w:rPr>
          <w:rFonts w:ascii="Arial" w:hAnsi="Arial" w:cs="Arial"/>
          <w:b/>
          <w:bCs/>
          <w:sz w:val="24"/>
          <w:szCs w:val="24"/>
        </w:rPr>
      </w:pPr>
      <w:r w:rsidRPr="001C5CBC">
        <w:rPr>
          <w:rFonts w:ascii="Arial" w:hAnsi="Arial" w:cs="Arial"/>
          <w:b/>
          <w:bCs/>
          <w:sz w:val="24"/>
          <w:szCs w:val="24"/>
        </w:rPr>
        <w:t>“Párrafo de énfasis.</w:t>
      </w:r>
    </w:p>
    <w:p w14:paraId="44B4BEFC" w14:textId="77777777" w:rsidR="00E46C0A" w:rsidRPr="001C5CBC" w:rsidRDefault="00E46C0A" w:rsidP="00E46C0A">
      <w:pPr>
        <w:pStyle w:val="Textoindependiente"/>
        <w:ind w:right="-50"/>
        <w:jc w:val="both"/>
        <w:rPr>
          <w:rFonts w:ascii="Arial" w:hAnsi="Arial" w:cs="Arial"/>
          <w:sz w:val="24"/>
          <w:szCs w:val="24"/>
        </w:rPr>
      </w:pPr>
    </w:p>
    <w:p w14:paraId="650FA375" w14:textId="77777777" w:rsidR="00E46C0A" w:rsidRPr="001C5CBC" w:rsidRDefault="00E46C0A" w:rsidP="00E95331">
      <w:pPr>
        <w:pStyle w:val="Textoindependiente"/>
        <w:ind w:right="-234"/>
        <w:jc w:val="both"/>
        <w:rPr>
          <w:rFonts w:ascii="Arial" w:hAnsi="Arial" w:cs="Arial"/>
          <w:sz w:val="24"/>
          <w:szCs w:val="24"/>
        </w:rPr>
      </w:pPr>
      <w:r w:rsidRPr="001C5CBC">
        <w:rPr>
          <w:rFonts w:ascii="Arial" w:hAnsi="Arial" w:cs="Arial"/>
          <w:sz w:val="24"/>
          <w:szCs w:val="24"/>
        </w:rPr>
        <w:t>Sin modificar nuestra opinión, llamamos la atención sobre el hecho de que en nuestra opinión del año terminado al 31 de diciembre de 2023 expresamos una salvedad relacionada con la diferencia material sobre la depreciación acumulada de los activos fijos adquiridos por la Empresa Distribuidora del Pacífico S.A. de los años anteriores, al 31 de diciembre de 2016.</w:t>
      </w:r>
    </w:p>
    <w:p w14:paraId="23FEBE82" w14:textId="77777777" w:rsidR="00E46C0A" w:rsidRPr="001C5CBC" w:rsidRDefault="00E46C0A" w:rsidP="00E95331">
      <w:pPr>
        <w:pStyle w:val="Textoindependiente"/>
        <w:ind w:right="-234"/>
        <w:jc w:val="both"/>
        <w:rPr>
          <w:rFonts w:ascii="Arial" w:hAnsi="Arial" w:cs="Arial"/>
          <w:sz w:val="24"/>
          <w:szCs w:val="24"/>
        </w:rPr>
      </w:pPr>
    </w:p>
    <w:p w14:paraId="7EDF567E" w14:textId="77777777" w:rsidR="00E46C0A" w:rsidRPr="001C5CBC" w:rsidRDefault="00E46C0A" w:rsidP="00E95331">
      <w:pPr>
        <w:pStyle w:val="Textoindependiente"/>
        <w:ind w:right="-234"/>
        <w:jc w:val="both"/>
        <w:rPr>
          <w:rFonts w:ascii="Arial" w:hAnsi="Arial" w:cs="Arial"/>
          <w:sz w:val="24"/>
          <w:szCs w:val="24"/>
        </w:rPr>
      </w:pPr>
      <w:r w:rsidRPr="001C5CBC">
        <w:rPr>
          <w:rFonts w:ascii="Arial" w:hAnsi="Arial" w:cs="Arial"/>
          <w:sz w:val="24"/>
          <w:szCs w:val="24"/>
        </w:rPr>
        <w:t>Durante el año 2024, la Compañía ha realizado los ajustes contables necesarios, los cuales han sido debidamente auditados y corregidos en sus estados financieros al 31 de diciembre de 2024. Como consecuencia de lo anterior auditamos los ajustes descritos en la Nota 10- Propiedades, planta y equipo en el numeral (10) y en la Nota 27- Patrimonio en el numeral (4), por $4.902 millones, los cuales de forma neta afectaron los excedentes acumulados. En nuestra opinión, dichos ajustes son adecuados y se han realizado correctamente; no expresamos una opinión ni ningún otro concepto sobre los estados financieros de 2023 considerados en su conjunto”.</w:t>
      </w:r>
    </w:p>
    <w:p w14:paraId="590614BC" w14:textId="77777777" w:rsidR="00E46C0A" w:rsidRDefault="00E46C0A" w:rsidP="00E95331">
      <w:pPr>
        <w:ind w:right="-234"/>
        <w:rPr>
          <w:rFonts w:ascii="Arial" w:hAnsi="Arial" w:cs="Arial"/>
          <w:sz w:val="24"/>
          <w:szCs w:val="24"/>
        </w:rPr>
      </w:pPr>
    </w:p>
    <w:p w14:paraId="59565EF7" w14:textId="77777777" w:rsidR="00E46C0A" w:rsidRPr="005854F7" w:rsidRDefault="00E46C0A" w:rsidP="00E95331">
      <w:pPr>
        <w:ind w:right="-234"/>
        <w:jc w:val="both"/>
        <w:rPr>
          <w:rFonts w:ascii="Arial" w:hAnsi="Arial" w:cs="Arial"/>
          <w:b/>
          <w:sz w:val="28"/>
          <w:szCs w:val="28"/>
          <w:lang w:val="es-MX"/>
        </w:rPr>
      </w:pPr>
      <w:r w:rsidRPr="005854F7">
        <w:rPr>
          <w:rFonts w:ascii="Arial" w:hAnsi="Arial" w:cs="Arial"/>
          <w:b/>
          <w:sz w:val="28"/>
          <w:szCs w:val="28"/>
          <w:lang w:val="es-MX"/>
        </w:rPr>
        <w:t xml:space="preserve">251.- </w:t>
      </w:r>
      <w:r w:rsidRPr="005854F7">
        <w:rPr>
          <w:rFonts w:ascii="Arial" w:hAnsi="Arial" w:cs="Arial"/>
          <w:b/>
          <w:sz w:val="28"/>
          <w:szCs w:val="28"/>
        </w:rPr>
        <w:t>FIDEICOMISO FONDO NACIONAL DE SALUD PPL 2023 EN LIQUIDACIÓN – FIDUCIARIA CENTRAL S.A.</w:t>
      </w:r>
    </w:p>
    <w:p w14:paraId="61860E6F" w14:textId="77777777" w:rsidR="00E46C0A" w:rsidRDefault="00E46C0A" w:rsidP="00E46C0A">
      <w:pPr>
        <w:pStyle w:val="Textoindependiente"/>
        <w:ind w:right="-50"/>
        <w:jc w:val="both"/>
        <w:rPr>
          <w:rFonts w:ascii="Arial" w:hAnsi="Arial" w:cs="Arial"/>
          <w:b/>
          <w:sz w:val="28"/>
          <w:szCs w:val="28"/>
        </w:rPr>
      </w:pPr>
    </w:p>
    <w:p w14:paraId="6EE496F5" w14:textId="77777777" w:rsidR="00E46C0A" w:rsidRPr="005854F7" w:rsidRDefault="00E46C0A" w:rsidP="00E95331">
      <w:pPr>
        <w:pStyle w:val="Textoindependiente"/>
        <w:ind w:right="-234"/>
        <w:jc w:val="both"/>
        <w:rPr>
          <w:rFonts w:ascii="Arial" w:hAnsi="Arial" w:cs="Arial"/>
          <w:sz w:val="24"/>
          <w:szCs w:val="24"/>
        </w:rPr>
      </w:pPr>
      <w:r w:rsidRPr="005854F7">
        <w:rPr>
          <w:rFonts w:ascii="Arial" w:hAnsi="Arial" w:cs="Arial"/>
          <w:b/>
          <w:bCs/>
          <w:sz w:val="24"/>
          <w:szCs w:val="24"/>
        </w:rPr>
        <w:t xml:space="preserve">“Párrafo de Énfasis por Negocio en Marcha. </w:t>
      </w:r>
      <w:r w:rsidRPr="005854F7">
        <w:rPr>
          <w:rFonts w:ascii="Arial" w:hAnsi="Arial" w:cs="Arial"/>
          <w:sz w:val="24"/>
          <w:szCs w:val="24"/>
        </w:rPr>
        <w:t>Sin calificar mi opinión, llamo la atención sobre la Nota 2.3.6 de los estados financieros la cual indica que, al 31 de diciembre de 2024, el Fideicomiso se encuentra en proceso de liquidación por finalización del contrato”.</w:t>
      </w:r>
    </w:p>
    <w:p w14:paraId="52801EA7" w14:textId="77777777" w:rsidR="00E46C0A" w:rsidRPr="005854F7" w:rsidRDefault="00E46C0A" w:rsidP="00E46C0A">
      <w:pPr>
        <w:pStyle w:val="Textoindependiente"/>
        <w:ind w:right="-50"/>
        <w:jc w:val="both"/>
        <w:rPr>
          <w:rFonts w:ascii="Arial" w:hAnsi="Arial" w:cs="Arial"/>
          <w:sz w:val="24"/>
          <w:szCs w:val="24"/>
        </w:rPr>
      </w:pPr>
    </w:p>
    <w:p w14:paraId="1824CB01" w14:textId="77777777" w:rsidR="00E46C0A" w:rsidRPr="005854F7" w:rsidRDefault="00E46C0A" w:rsidP="00E46C0A">
      <w:pPr>
        <w:pStyle w:val="Textoindependiente"/>
        <w:ind w:right="-50"/>
        <w:jc w:val="both"/>
        <w:rPr>
          <w:rFonts w:ascii="Arial" w:hAnsi="Arial" w:cs="Arial"/>
          <w:sz w:val="24"/>
          <w:szCs w:val="24"/>
        </w:rPr>
      </w:pPr>
      <w:r w:rsidRPr="005854F7">
        <w:rPr>
          <w:rFonts w:ascii="Arial" w:hAnsi="Arial" w:cs="Arial"/>
          <w:b/>
          <w:bCs/>
          <w:sz w:val="24"/>
          <w:szCs w:val="24"/>
        </w:rPr>
        <w:t>NOTA</w:t>
      </w:r>
      <w:r w:rsidRPr="005854F7">
        <w:rPr>
          <w:rFonts w:ascii="Arial" w:hAnsi="Arial" w:cs="Arial"/>
          <w:sz w:val="24"/>
          <w:szCs w:val="24"/>
        </w:rPr>
        <w:t>: Los estados financieros no están firmados (certificados) por la Revisoría Fiscal.</w:t>
      </w:r>
    </w:p>
    <w:p w14:paraId="568CB323" w14:textId="77777777" w:rsidR="00E46C0A" w:rsidRPr="005854F7" w:rsidRDefault="00E46C0A" w:rsidP="00E46C0A">
      <w:pPr>
        <w:pStyle w:val="Textoindependiente"/>
        <w:ind w:right="-50"/>
        <w:jc w:val="both"/>
        <w:rPr>
          <w:rFonts w:ascii="Arial" w:hAnsi="Arial" w:cs="Arial"/>
          <w:sz w:val="24"/>
          <w:szCs w:val="24"/>
        </w:rPr>
      </w:pPr>
    </w:p>
    <w:p w14:paraId="6EC13462" w14:textId="77777777" w:rsidR="00E46C0A" w:rsidRPr="00615969" w:rsidRDefault="00E46C0A" w:rsidP="00E95331">
      <w:pPr>
        <w:ind w:right="-234"/>
        <w:jc w:val="both"/>
        <w:rPr>
          <w:rFonts w:ascii="Arial" w:hAnsi="Arial" w:cs="Arial"/>
          <w:b/>
          <w:sz w:val="28"/>
          <w:szCs w:val="28"/>
          <w:lang w:val="es-MX"/>
        </w:rPr>
      </w:pPr>
      <w:r w:rsidRPr="00615969">
        <w:rPr>
          <w:rFonts w:ascii="Arial" w:hAnsi="Arial" w:cs="Arial"/>
          <w:b/>
          <w:sz w:val="28"/>
          <w:szCs w:val="28"/>
          <w:lang w:val="es-MX"/>
        </w:rPr>
        <w:t>254.- LABORATORIO REDES DE EMPRENDIMIENTO, COMUNICACIÓN, INNOVACIÓN Y PAZ – REDES LAB.</w:t>
      </w:r>
    </w:p>
    <w:p w14:paraId="0503784F" w14:textId="77777777" w:rsidR="00E46C0A" w:rsidRPr="00615969" w:rsidRDefault="00E46C0A" w:rsidP="00E46C0A">
      <w:pPr>
        <w:pStyle w:val="Textoindependiente"/>
        <w:ind w:right="-50"/>
        <w:jc w:val="both"/>
        <w:rPr>
          <w:rFonts w:ascii="Arial" w:hAnsi="Arial" w:cs="Arial"/>
          <w:b/>
          <w:sz w:val="24"/>
          <w:szCs w:val="24"/>
          <w:lang w:val="es-MX"/>
        </w:rPr>
      </w:pPr>
    </w:p>
    <w:p w14:paraId="712B26F8" w14:textId="77777777" w:rsidR="00E46C0A" w:rsidRPr="00615969" w:rsidRDefault="00E46C0A" w:rsidP="00E46C0A">
      <w:pPr>
        <w:pStyle w:val="Textoindependiente"/>
        <w:ind w:right="-50"/>
        <w:jc w:val="both"/>
        <w:rPr>
          <w:rFonts w:ascii="Arial" w:hAnsi="Arial" w:cs="Arial"/>
          <w:b/>
          <w:bCs/>
          <w:sz w:val="24"/>
          <w:szCs w:val="24"/>
        </w:rPr>
      </w:pPr>
      <w:r w:rsidRPr="00615969">
        <w:rPr>
          <w:rFonts w:ascii="Arial" w:hAnsi="Arial" w:cs="Arial"/>
          <w:b/>
          <w:bCs/>
          <w:sz w:val="24"/>
          <w:szCs w:val="24"/>
        </w:rPr>
        <w:t>“Opinión sobre la efectividad del sistema de control interno.</w:t>
      </w:r>
    </w:p>
    <w:p w14:paraId="1F82E1BF" w14:textId="77777777" w:rsidR="00E46C0A" w:rsidRPr="00615969" w:rsidRDefault="00E46C0A" w:rsidP="00E95331">
      <w:pPr>
        <w:pStyle w:val="Textoindependiente"/>
        <w:ind w:right="-93"/>
        <w:jc w:val="both"/>
        <w:rPr>
          <w:rFonts w:ascii="Arial" w:hAnsi="Arial" w:cs="Arial"/>
          <w:sz w:val="24"/>
          <w:szCs w:val="24"/>
        </w:rPr>
      </w:pPr>
    </w:p>
    <w:p w14:paraId="7B1B145B" w14:textId="77777777" w:rsidR="00E46C0A" w:rsidRPr="00615969" w:rsidRDefault="00E46C0A" w:rsidP="00E95331">
      <w:pPr>
        <w:pStyle w:val="Textoindependiente"/>
        <w:ind w:right="-93"/>
        <w:jc w:val="both"/>
        <w:rPr>
          <w:rFonts w:ascii="Arial" w:hAnsi="Arial" w:cs="Arial"/>
          <w:sz w:val="24"/>
          <w:szCs w:val="24"/>
        </w:rPr>
      </w:pPr>
      <w:r w:rsidRPr="00615969">
        <w:rPr>
          <w:rFonts w:ascii="Arial" w:hAnsi="Arial" w:cs="Arial"/>
          <w:sz w:val="24"/>
          <w:szCs w:val="24"/>
        </w:rPr>
        <w:t>No obstante estar en construcción el sistema de control interno, la evaluación del modelo estándar de control interno MECI / MIPG, se efectuó con el propósito de lograr el alcance de las pruebas de auditoría, quedando de manifiesto que el sistema de control interno adoptado por la administración tiene aspectos por mejorar, entendiendo que actualmente se está implementando este sistema”.</w:t>
      </w:r>
    </w:p>
    <w:p w14:paraId="782DFBFB" w14:textId="77777777" w:rsidR="00E46C0A" w:rsidRPr="00615969" w:rsidRDefault="00E46C0A" w:rsidP="00E95331">
      <w:pPr>
        <w:pStyle w:val="Textoindependiente"/>
        <w:ind w:right="-93"/>
        <w:jc w:val="both"/>
        <w:rPr>
          <w:rFonts w:ascii="Arial" w:hAnsi="Arial" w:cs="Arial"/>
          <w:sz w:val="24"/>
          <w:szCs w:val="24"/>
        </w:rPr>
      </w:pPr>
      <w:r w:rsidRPr="00615969">
        <w:rPr>
          <w:rFonts w:ascii="Arial" w:hAnsi="Arial" w:cs="Arial"/>
          <w:b/>
          <w:bCs/>
          <w:sz w:val="24"/>
          <w:szCs w:val="24"/>
        </w:rPr>
        <w:lastRenderedPageBreak/>
        <w:t>NOTA</w:t>
      </w:r>
      <w:r w:rsidRPr="00615969">
        <w:rPr>
          <w:rFonts w:ascii="Arial" w:hAnsi="Arial" w:cs="Arial"/>
          <w:sz w:val="24"/>
          <w:szCs w:val="24"/>
        </w:rPr>
        <w:t xml:space="preserve">: </w:t>
      </w:r>
      <w:r w:rsidRPr="00615969">
        <w:rPr>
          <w:rFonts w:ascii="Arial" w:hAnsi="Arial" w:cs="Arial"/>
          <w:bCs/>
          <w:sz w:val="24"/>
          <w:szCs w:val="24"/>
        </w:rPr>
        <w:t>Los estados financieros no están firmados (certificados) por la revisoría fiscal.</w:t>
      </w:r>
    </w:p>
    <w:p w14:paraId="1728BED4" w14:textId="77777777" w:rsidR="00E46C0A" w:rsidRDefault="00E46C0A" w:rsidP="00E95331">
      <w:pPr>
        <w:ind w:right="-93"/>
        <w:rPr>
          <w:rFonts w:ascii="Arial" w:hAnsi="Arial" w:cs="Arial"/>
          <w:sz w:val="24"/>
          <w:szCs w:val="24"/>
        </w:rPr>
      </w:pPr>
    </w:p>
    <w:p w14:paraId="112D7B33" w14:textId="77777777" w:rsidR="00E46C0A" w:rsidRPr="003147D3" w:rsidRDefault="00E46C0A" w:rsidP="00E95331">
      <w:pPr>
        <w:ind w:right="-93"/>
        <w:jc w:val="both"/>
        <w:rPr>
          <w:rFonts w:ascii="Arial" w:hAnsi="Arial" w:cs="Arial"/>
          <w:b/>
          <w:sz w:val="28"/>
          <w:szCs w:val="28"/>
          <w:lang w:val="es-MX"/>
        </w:rPr>
      </w:pPr>
      <w:r w:rsidRPr="003147D3">
        <w:rPr>
          <w:rFonts w:ascii="Arial" w:hAnsi="Arial" w:cs="Arial"/>
          <w:b/>
          <w:sz w:val="28"/>
          <w:szCs w:val="28"/>
          <w:lang w:val="es-MX"/>
        </w:rPr>
        <w:t xml:space="preserve">255.- CORPORACIÓN AUTÓNOMA REGIONAL DEL VALLE DEL CAUCA – CVC. </w:t>
      </w:r>
    </w:p>
    <w:p w14:paraId="18DBFF23" w14:textId="77777777" w:rsidR="00E46C0A" w:rsidRDefault="00E46C0A" w:rsidP="00E95331">
      <w:pPr>
        <w:ind w:right="-93"/>
        <w:rPr>
          <w:rFonts w:ascii="Arial" w:hAnsi="Arial" w:cs="Arial"/>
          <w:sz w:val="24"/>
          <w:szCs w:val="24"/>
          <w:lang w:val="es-MX"/>
        </w:rPr>
      </w:pPr>
    </w:p>
    <w:p w14:paraId="4AD7B09D" w14:textId="77777777" w:rsidR="00E46C0A" w:rsidRPr="005C0CBD" w:rsidRDefault="00E46C0A" w:rsidP="00E95331">
      <w:pPr>
        <w:pStyle w:val="Textoindependiente"/>
        <w:ind w:right="-93"/>
        <w:jc w:val="both"/>
        <w:rPr>
          <w:rFonts w:ascii="Arial" w:hAnsi="Arial" w:cs="Arial"/>
          <w:b/>
          <w:bCs/>
          <w:sz w:val="24"/>
          <w:szCs w:val="24"/>
        </w:rPr>
      </w:pPr>
      <w:r w:rsidRPr="005C0CBD">
        <w:rPr>
          <w:rFonts w:ascii="Arial" w:hAnsi="Arial" w:cs="Arial"/>
          <w:b/>
          <w:bCs/>
          <w:sz w:val="24"/>
          <w:szCs w:val="24"/>
        </w:rPr>
        <w:t>“…5. Párrafo de énfasis.</w:t>
      </w:r>
    </w:p>
    <w:p w14:paraId="4F9F5B24" w14:textId="77777777" w:rsidR="00E46C0A" w:rsidRPr="005C0CBD" w:rsidRDefault="00E46C0A" w:rsidP="00E95331">
      <w:pPr>
        <w:pStyle w:val="Textoindependiente"/>
        <w:ind w:right="-93"/>
        <w:jc w:val="both"/>
        <w:rPr>
          <w:rFonts w:ascii="Arial" w:hAnsi="Arial" w:cs="Arial"/>
          <w:b/>
          <w:bCs/>
          <w:sz w:val="24"/>
          <w:szCs w:val="24"/>
        </w:rPr>
      </w:pPr>
    </w:p>
    <w:p w14:paraId="2F784155" w14:textId="77777777" w:rsidR="00E46C0A" w:rsidRPr="005C0CBD" w:rsidRDefault="00E46C0A" w:rsidP="00E95331">
      <w:pPr>
        <w:pStyle w:val="Textoindependiente"/>
        <w:ind w:right="-93"/>
        <w:jc w:val="both"/>
        <w:rPr>
          <w:rFonts w:ascii="Arial" w:hAnsi="Arial" w:cs="Arial"/>
          <w:b/>
          <w:bCs/>
          <w:sz w:val="24"/>
          <w:szCs w:val="24"/>
        </w:rPr>
      </w:pPr>
      <w:r w:rsidRPr="005C0CBD">
        <w:rPr>
          <w:rFonts w:ascii="Arial" w:hAnsi="Arial" w:cs="Arial"/>
          <w:b/>
          <w:bCs/>
          <w:sz w:val="24"/>
          <w:szCs w:val="24"/>
        </w:rPr>
        <w:t>Pasivos Contingentes.</w:t>
      </w:r>
    </w:p>
    <w:p w14:paraId="336F17C5" w14:textId="77777777" w:rsidR="00E46C0A" w:rsidRPr="005C0CBD" w:rsidRDefault="00E46C0A" w:rsidP="00E95331">
      <w:pPr>
        <w:pStyle w:val="Textoindependiente"/>
        <w:ind w:right="-93"/>
        <w:jc w:val="both"/>
        <w:rPr>
          <w:rFonts w:ascii="Arial" w:hAnsi="Arial" w:cs="Arial"/>
          <w:sz w:val="24"/>
          <w:szCs w:val="24"/>
        </w:rPr>
      </w:pPr>
    </w:p>
    <w:p w14:paraId="47EFBBC1" w14:textId="77777777" w:rsidR="00E46C0A" w:rsidRPr="005C0CBD" w:rsidRDefault="00E46C0A" w:rsidP="00E95331">
      <w:pPr>
        <w:pStyle w:val="Textoindependiente"/>
        <w:ind w:right="-93"/>
        <w:jc w:val="both"/>
        <w:rPr>
          <w:rFonts w:ascii="Arial" w:hAnsi="Arial" w:cs="Arial"/>
          <w:sz w:val="24"/>
          <w:szCs w:val="24"/>
        </w:rPr>
      </w:pPr>
      <w:r w:rsidRPr="005C0CBD">
        <w:rPr>
          <w:rFonts w:ascii="Arial" w:hAnsi="Arial" w:cs="Arial"/>
          <w:sz w:val="24"/>
          <w:szCs w:val="24"/>
        </w:rPr>
        <w:t>Sin calificar mi opinión, llamo la atención sobre la nota 25,2 a los estados financieros, la cual hace referencia a las cuentas de orden acreedoras por pasivos contingentes relacionados con procesos judiciales en contra de la Corporación, las cuales ascienden a $1.735 y $1.655 billones al 31 de diciembre de 2024 y 2023, respectivamente. La Corporación adelanta las acciones jurídicas correspondientes para estos procesos y su probabilidad de pérdida se ha establecido teniendo en cuenta los lineamientos de la Agencia Nacional de Defensa Jurídica del Estado - ANDJE, conforme los criterios establecidos en la Resolución 353 del 01 de noviembre de 2016, los cuales se encuentran en etapas iniciales y por consiguiente la Corporación no ha estimado realizar provisión sobre los mismos”.</w:t>
      </w:r>
    </w:p>
    <w:p w14:paraId="5302B720" w14:textId="77777777" w:rsidR="00E46C0A" w:rsidRPr="005C0CBD" w:rsidRDefault="00E46C0A" w:rsidP="00E46C0A">
      <w:pPr>
        <w:ind w:right="-93"/>
        <w:rPr>
          <w:rFonts w:ascii="Arial" w:hAnsi="Arial" w:cs="Arial"/>
          <w:sz w:val="24"/>
          <w:szCs w:val="24"/>
        </w:rPr>
      </w:pPr>
    </w:p>
    <w:p w14:paraId="2A382290" w14:textId="77777777" w:rsidR="00E46C0A" w:rsidRPr="005C0CBD" w:rsidRDefault="00E46C0A" w:rsidP="00E46C0A">
      <w:pPr>
        <w:jc w:val="both"/>
        <w:rPr>
          <w:rFonts w:ascii="Arial" w:hAnsi="Arial" w:cs="Arial"/>
          <w:b/>
          <w:sz w:val="24"/>
          <w:szCs w:val="24"/>
          <w:lang w:val="es-MX"/>
        </w:rPr>
      </w:pPr>
      <w:r w:rsidRPr="005C0CBD">
        <w:rPr>
          <w:rFonts w:ascii="Arial" w:hAnsi="Arial" w:cs="Arial"/>
          <w:b/>
          <w:sz w:val="24"/>
          <w:szCs w:val="24"/>
          <w:lang w:val="es-MX"/>
        </w:rPr>
        <w:t>258.- COMPUTADORES PARA EDUCAR – CPE.</w:t>
      </w:r>
    </w:p>
    <w:p w14:paraId="4692C348" w14:textId="77777777" w:rsidR="00E46C0A" w:rsidRPr="005C0CBD" w:rsidRDefault="00E46C0A" w:rsidP="00E46C0A">
      <w:pPr>
        <w:jc w:val="both"/>
        <w:rPr>
          <w:rFonts w:ascii="Arial" w:hAnsi="Arial" w:cs="Arial"/>
          <w:b/>
          <w:sz w:val="24"/>
          <w:szCs w:val="24"/>
          <w:lang w:val="es-MX"/>
        </w:rPr>
      </w:pPr>
    </w:p>
    <w:p w14:paraId="075A7A40" w14:textId="77777777" w:rsidR="00E46C0A" w:rsidRPr="005C0CBD" w:rsidRDefault="00E46C0A" w:rsidP="00E46C0A">
      <w:pPr>
        <w:pStyle w:val="Textoindependiente"/>
        <w:ind w:right="-50"/>
        <w:jc w:val="both"/>
        <w:rPr>
          <w:rFonts w:ascii="Arial" w:hAnsi="Arial" w:cs="Arial"/>
          <w:b/>
          <w:bCs/>
          <w:sz w:val="24"/>
          <w:szCs w:val="24"/>
        </w:rPr>
      </w:pPr>
      <w:r w:rsidRPr="005C0CBD">
        <w:rPr>
          <w:rFonts w:ascii="Arial" w:hAnsi="Arial" w:cs="Arial"/>
          <w:b/>
          <w:bCs/>
          <w:sz w:val="24"/>
          <w:szCs w:val="24"/>
        </w:rPr>
        <w:t>“J. Párrafo de Énfasis.</w:t>
      </w:r>
    </w:p>
    <w:p w14:paraId="35109B9A" w14:textId="77777777" w:rsidR="00E46C0A" w:rsidRPr="005C0CBD" w:rsidRDefault="00E46C0A" w:rsidP="00E46C0A">
      <w:pPr>
        <w:pStyle w:val="Textoindependiente"/>
        <w:ind w:right="-50"/>
        <w:jc w:val="both"/>
        <w:rPr>
          <w:rFonts w:ascii="Arial" w:hAnsi="Arial" w:cs="Arial"/>
          <w:sz w:val="24"/>
          <w:szCs w:val="24"/>
        </w:rPr>
      </w:pPr>
    </w:p>
    <w:p w14:paraId="592E3F2E"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sz w:val="24"/>
          <w:szCs w:val="24"/>
        </w:rPr>
        <w:t>Llamamos la atención sobre los siguientes aspectos:</w:t>
      </w:r>
    </w:p>
    <w:p w14:paraId="5E3AB88D"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sz w:val="24"/>
          <w:szCs w:val="24"/>
        </w:rPr>
        <w:t>En virtud del proyecto de reforma laboral implementado en Colombia y los artículos ya aprobados a diciembre de 2024, es imperativo destacar el impacto significativo que dicha reforma puede tener en los estados financieros de las empresas. Esta reforma, que introduce modificaciones sustanciales en la normativa laboral, puede afectar diversos aspectos contables y financieros, tales como la valoración de las provisiones para beneficios laborales, la contabilización de indemnizaciones y la estructura de costos laborales. La adaptación a estos cambios normativos requiere una revisión exhaustiva de las políticas contables y la implementación de prácticas adecuadas para garantizar que los estados financieros reflejen con precisión la situación económica y financiera de la entidad. La adecuada aplicación de la reforma es esencial para la presentación fiel de los estados financieros, y cualquier impacto material derivado de dicha reforma debe ser claramente revelado en las notas a los estados financieros”.</w:t>
      </w:r>
    </w:p>
    <w:p w14:paraId="0DC6E832" w14:textId="77777777" w:rsidR="00E46C0A" w:rsidRPr="005C0CBD" w:rsidRDefault="00E46C0A" w:rsidP="00E46C0A">
      <w:pPr>
        <w:pStyle w:val="Textoindependiente"/>
        <w:ind w:right="-50"/>
        <w:jc w:val="both"/>
        <w:rPr>
          <w:rFonts w:ascii="Arial" w:hAnsi="Arial" w:cs="Arial"/>
          <w:b/>
          <w:bCs/>
          <w:sz w:val="24"/>
          <w:szCs w:val="24"/>
        </w:rPr>
      </w:pPr>
    </w:p>
    <w:p w14:paraId="22C67A04" w14:textId="77777777" w:rsidR="00E46C0A" w:rsidRPr="005C0CBD" w:rsidRDefault="00E46C0A" w:rsidP="00E46C0A">
      <w:pPr>
        <w:jc w:val="both"/>
        <w:rPr>
          <w:rFonts w:ascii="Arial" w:hAnsi="Arial" w:cs="Arial"/>
          <w:b/>
          <w:sz w:val="24"/>
          <w:szCs w:val="24"/>
          <w:lang w:val="es-MX"/>
        </w:rPr>
      </w:pPr>
      <w:r w:rsidRPr="005C0CBD">
        <w:rPr>
          <w:rFonts w:ascii="Arial" w:hAnsi="Arial" w:cs="Arial"/>
          <w:b/>
          <w:sz w:val="24"/>
          <w:szCs w:val="24"/>
          <w:lang w:val="es-MX"/>
        </w:rPr>
        <w:t>259.- CORPORACIÓN AUTÓNOMA REGIONAL DE LA ORINOQUIA - CORPORINOQUIA.</w:t>
      </w:r>
    </w:p>
    <w:p w14:paraId="3343B99B" w14:textId="77777777" w:rsidR="00E46C0A" w:rsidRPr="005C0CBD" w:rsidRDefault="00E46C0A" w:rsidP="00E46C0A">
      <w:pPr>
        <w:ind w:right="-93"/>
        <w:rPr>
          <w:rFonts w:ascii="Arial" w:hAnsi="Arial" w:cs="Arial"/>
          <w:sz w:val="24"/>
          <w:szCs w:val="24"/>
          <w:lang w:val="es-MX"/>
        </w:rPr>
      </w:pPr>
    </w:p>
    <w:p w14:paraId="48343418" w14:textId="77777777" w:rsidR="00E46C0A" w:rsidRPr="005C0CBD" w:rsidRDefault="00E46C0A" w:rsidP="00AE3935">
      <w:pPr>
        <w:pStyle w:val="Textoindependiente"/>
        <w:numPr>
          <w:ilvl w:val="0"/>
          <w:numId w:val="104"/>
        </w:numPr>
        <w:ind w:right="-50"/>
        <w:jc w:val="both"/>
        <w:rPr>
          <w:rFonts w:ascii="Arial" w:hAnsi="Arial" w:cs="Arial"/>
          <w:sz w:val="24"/>
          <w:szCs w:val="24"/>
        </w:rPr>
      </w:pPr>
      <w:r w:rsidRPr="005C0CBD">
        <w:rPr>
          <w:rFonts w:ascii="Arial" w:hAnsi="Arial" w:cs="Arial"/>
          <w:b/>
          <w:bCs/>
          <w:sz w:val="24"/>
          <w:szCs w:val="24"/>
        </w:rPr>
        <w:t>“Cálculo del Deterioro e importancia dentro de los estados financieros – Estado de Situación Financiera.</w:t>
      </w:r>
    </w:p>
    <w:p w14:paraId="15BF4CD2" w14:textId="77777777" w:rsidR="00E46C0A" w:rsidRPr="005C0CBD" w:rsidRDefault="00E46C0A" w:rsidP="00E46C0A">
      <w:pPr>
        <w:pStyle w:val="Textoindependiente"/>
        <w:ind w:right="-50"/>
        <w:jc w:val="both"/>
        <w:rPr>
          <w:rFonts w:ascii="Arial" w:hAnsi="Arial" w:cs="Arial"/>
          <w:sz w:val="24"/>
          <w:szCs w:val="24"/>
        </w:rPr>
      </w:pPr>
    </w:p>
    <w:p w14:paraId="66F2CE6E"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Provisión de Cuentas por Cobrar: </w:t>
      </w:r>
      <w:r w:rsidRPr="005C0CBD">
        <w:rPr>
          <w:rFonts w:ascii="Arial" w:hAnsi="Arial" w:cs="Arial"/>
          <w:sz w:val="24"/>
          <w:szCs w:val="24"/>
        </w:rPr>
        <w:t>La entidad presenta un saldo total en el grupo 13 (Estado de Situación Financiera) – Cuentas por cobrar, antes de cálculo de deterioro por un monto total de $22.542.853.599,64, revisada la cuenta 138614 – Deterioro acumulado de las cuentas por cobrar se encuentra que el monto calculado a cierre asciende a la suma de $13.630.353.477. En base a esta afirmación varias conclusiones:</w:t>
      </w:r>
    </w:p>
    <w:p w14:paraId="0BE6505E" w14:textId="77777777" w:rsidR="00E46C0A" w:rsidRPr="005C0CBD" w:rsidRDefault="00E46C0A" w:rsidP="00E46C0A">
      <w:pPr>
        <w:pStyle w:val="Textoindependiente"/>
        <w:ind w:right="-50"/>
        <w:jc w:val="both"/>
        <w:rPr>
          <w:rFonts w:ascii="Arial" w:hAnsi="Arial" w:cs="Arial"/>
          <w:sz w:val="24"/>
          <w:szCs w:val="24"/>
        </w:rPr>
      </w:pPr>
    </w:p>
    <w:p w14:paraId="1DA5EA09" w14:textId="77777777" w:rsidR="00E46C0A" w:rsidRPr="005C0CBD" w:rsidRDefault="00E46C0A" w:rsidP="00AE3935">
      <w:pPr>
        <w:pStyle w:val="Textoindependiente"/>
        <w:numPr>
          <w:ilvl w:val="0"/>
          <w:numId w:val="105"/>
        </w:numPr>
        <w:ind w:right="-50"/>
        <w:jc w:val="both"/>
        <w:rPr>
          <w:rFonts w:ascii="Arial" w:hAnsi="Arial" w:cs="Arial"/>
          <w:sz w:val="24"/>
          <w:szCs w:val="24"/>
        </w:rPr>
      </w:pPr>
      <w:r w:rsidRPr="005C0CBD">
        <w:rPr>
          <w:rFonts w:ascii="Arial" w:hAnsi="Arial" w:cs="Arial"/>
          <w:sz w:val="24"/>
          <w:szCs w:val="24"/>
        </w:rPr>
        <w:t xml:space="preserve">La provisión equivale al 60,5% del total de la cartera, porcentaje supremamente </w:t>
      </w:r>
      <w:r w:rsidRPr="005C0CBD">
        <w:rPr>
          <w:rFonts w:ascii="Arial" w:hAnsi="Arial" w:cs="Arial"/>
          <w:sz w:val="24"/>
          <w:szCs w:val="24"/>
        </w:rPr>
        <w:lastRenderedPageBreak/>
        <w:t>importante y que debe generar alertas para la entidad;</w:t>
      </w:r>
    </w:p>
    <w:p w14:paraId="0110247B" w14:textId="77777777" w:rsidR="00E46C0A" w:rsidRPr="005C0CBD" w:rsidRDefault="00E46C0A" w:rsidP="00AE3935">
      <w:pPr>
        <w:pStyle w:val="Textoindependiente"/>
        <w:numPr>
          <w:ilvl w:val="0"/>
          <w:numId w:val="105"/>
        </w:numPr>
        <w:ind w:right="-50"/>
        <w:jc w:val="both"/>
        <w:rPr>
          <w:rFonts w:ascii="Arial" w:hAnsi="Arial" w:cs="Arial"/>
          <w:sz w:val="24"/>
          <w:szCs w:val="24"/>
        </w:rPr>
      </w:pPr>
      <w:r w:rsidRPr="005C0CBD">
        <w:rPr>
          <w:rFonts w:ascii="Arial" w:hAnsi="Arial" w:cs="Arial"/>
          <w:sz w:val="24"/>
          <w:szCs w:val="24"/>
        </w:rPr>
        <w:t>El impacto de la cifra del deterioro se considera material dentro de los estados financieros a cierre;</w:t>
      </w:r>
    </w:p>
    <w:p w14:paraId="6354218D" w14:textId="77777777" w:rsidR="00E46C0A" w:rsidRPr="005C0CBD" w:rsidRDefault="00E46C0A" w:rsidP="00AE3935">
      <w:pPr>
        <w:pStyle w:val="Textoindependiente"/>
        <w:numPr>
          <w:ilvl w:val="0"/>
          <w:numId w:val="105"/>
        </w:numPr>
        <w:ind w:right="-50"/>
        <w:jc w:val="both"/>
        <w:rPr>
          <w:rFonts w:ascii="Arial" w:hAnsi="Arial" w:cs="Arial"/>
          <w:sz w:val="24"/>
          <w:szCs w:val="24"/>
        </w:rPr>
      </w:pPr>
      <w:r w:rsidRPr="005C0CBD">
        <w:rPr>
          <w:rFonts w:ascii="Arial" w:hAnsi="Arial" w:cs="Arial"/>
          <w:sz w:val="24"/>
          <w:szCs w:val="24"/>
        </w:rPr>
        <w:t xml:space="preserve">Debe conducir a que la administración de la corporación determine un ajuste a la gestión de cobro, implementando determinaciones sustanciales incluso en el área de cobro coactivo; </w:t>
      </w:r>
    </w:p>
    <w:p w14:paraId="2D981822" w14:textId="77777777" w:rsidR="00E46C0A" w:rsidRPr="005C0CBD" w:rsidRDefault="00E46C0A" w:rsidP="00E46C0A">
      <w:pPr>
        <w:pStyle w:val="Textoindependiente"/>
        <w:ind w:left="360" w:right="-50"/>
        <w:jc w:val="both"/>
        <w:rPr>
          <w:rFonts w:ascii="Arial" w:hAnsi="Arial" w:cs="Arial"/>
          <w:sz w:val="24"/>
          <w:szCs w:val="24"/>
        </w:rPr>
      </w:pPr>
    </w:p>
    <w:p w14:paraId="3EE2A399" w14:textId="77777777" w:rsidR="00E46C0A" w:rsidRPr="005C0CBD" w:rsidRDefault="00E46C0A" w:rsidP="00E46C0A">
      <w:pPr>
        <w:pStyle w:val="Textoindependiente"/>
        <w:ind w:left="360" w:right="-50"/>
        <w:jc w:val="both"/>
        <w:rPr>
          <w:rFonts w:ascii="Arial" w:hAnsi="Arial" w:cs="Arial"/>
          <w:sz w:val="24"/>
          <w:szCs w:val="24"/>
        </w:rPr>
      </w:pPr>
      <w:r w:rsidRPr="005C0CBD">
        <w:rPr>
          <w:rFonts w:ascii="Arial" w:hAnsi="Arial" w:cs="Arial"/>
          <w:sz w:val="24"/>
          <w:szCs w:val="24"/>
        </w:rPr>
        <w:t>Criterios y metodología de estimación: Corporinoquia ha aplicado una metodología de reconocimiento y de deterioro conforme al numeral 3.1.3 del Manual de Políticas Contables vigentes para la entidad.  En este punto señalamos que el cálculo del deterioro se genera de manera automática por el sistema PCT ENTER PRICE cifra que no se pudo auditar dado que no se contó con el acceso o nota de confirmación respecto de la parametrización de la operación; igualmente es pertinente señalar que también se adopta lineamiento del área de cobro coactivo.</w:t>
      </w:r>
    </w:p>
    <w:p w14:paraId="17AAF6DB" w14:textId="77777777" w:rsidR="00E46C0A" w:rsidRPr="005C0CBD" w:rsidRDefault="00E46C0A" w:rsidP="00E46C0A">
      <w:pPr>
        <w:pStyle w:val="Textoindependiente"/>
        <w:ind w:right="-50"/>
        <w:jc w:val="both"/>
        <w:rPr>
          <w:rFonts w:ascii="Arial" w:hAnsi="Arial" w:cs="Arial"/>
          <w:sz w:val="24"/>
          <w:szCs w:val="24"/>
        </w:rPr>
      </w:pPr>
    </w:p>
    <w:p w14:paraId="14CCF3F9"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2.  Registro de cuentas por cobrar Sobretasa Ambiental – 13058101: </w:t>
      </w:r>
      <w:r w:rsidRPr="005C0CBD">
        <w:rPr>
          <w:rFonts w:ascii="Arial" w:hAnsi="Arial" w:cs="Arial"/>
          <w:sz w:val="24"/>
          <w:szCs w:val="24"/>
        </w:rPr>
        <w:t>Se establece que el área de recaudo maneja esta cuenta por sistema de caja, el área de contabilidad maneja movimiento por causación; así las cosas, entre áreas se tiene que realizar una reunión donde surgen ajustes que se concilian con acta.  Esto conduce a que exista probabilidad de errores que impacten en estados financieros.</w:t>
      </w:r>
    </w:p>
    <w:p w14:paraId="15B844B7" w14:textId="77777777" w:rsidR="00E46C0A" w:rsidRPr="005C0CBD" w:rsidRDefault="00E46C0A" w:rsidP="00E46C0A">
      <w:pPr>
        <w:pStyle w:val="Textoindependiente"/>
        <w:ind w:right="-50"/>
        <w:jc w:val="both"/>
        <w:rPr>
          <w:rFonts w:ascii="Arial" w:hAnsi="Arial" w:cs="Arial"/>
          <w:sz w:val="24"/>
          <w:szCs w:val="24"/>
        </w:rPr>
      </w:pPr>
    </w:p>
    <w:p w14:paraId="5930EF3B"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3.</w:t>
      </w:r>
      <w:r w:rsidRPr="005C0CBD">
        <w:rPr>
          <w:rFonts w:ascii="Arial" w:hAnsi="Arial" w:cs="Arial"/>
          <w:sz w:val="24"/>
          <w:szCs w:val="24"/>
        </w:rPr>
        <w:t xml:space="preserve"> </w:t>
      </w:r>
      <w:r w:rsidRPr="005C0CBD">
        <w:rPr>
          <w:rFonts w:ascii="Arial" w:hAnsi="Arial" w:cs="Arial"/>
          <w:b/>
          <w:bCs/>
          <w:sz w:val="24"/>
          <w:szCs w:val="24"/>
        </w:rPr>
        <w:t xml:space="preserve">Cuenta 13841204 – Descuentos GMF: </w:t>
      </w:r>
      <w:r w:rsidRPr="005C0CBD">
        <w:rPr>
          <w:rFonts w:ascii="Arial" w:hAnsi="Arial" w:cs="Arial"/>
          <w:sz w:val="24"/>
          <w:szCs w:val="24"/>
        </w:rPr>
        <w:t>El saldo a cierre de esta cuenta $20.000.000 se origina en traslado año 2024 de CDT entre entidades financieras, en la operación se genera este impuesto, en razón a que presupuestalmente no estaba contemplado se lleve contablemente a esta cuenta. Es de concluir que este rubro no cumple la definición según Norma Internacional para llevarse a este rubro, dadas las circunstancias corresponde a un gasto.</w:t>
      </w:r>
    </w:p>
    <w:p w14:paraId="4556809A" w14:textId="77777777" w:rsidR="00E46C0A" w:rsidRPr="005C0CBD" w:rsidRDefault="00E46C0A" w:rsidP="00E46C0A">
      <w:pPr>
        <w:pStyle w:val="Textoindependiente"/>
        <w:ind w:right="-50"/>
        <w:jc w:val="both"/>
        <w:rPr>
          <w:rFonts w:ascii="Arial" w:hAnsi="Arial" w:cs="Arial"/>
          <w:sz w:val="24"/>
          <w:szCs w:val="24"/>
        </w:rPr>
      </w:pPr>
    </w:p>
    <w:p w14:paraId="22906971"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4. Cuenta 1385 Cuentas por Cobrar de Difícil Recaudo: </w:t>
      </w:r>
      <w:r w:rsidRPr="005C0CBD">
        <w:rPr>
          <w:rFonts w:ascii="Arial" w:hAnsi="Arial" w:cs="Arial"/>
          <w:sz w:val="24"/>
          <w:szCs w:val="24"/>
        </w:rPr>
        <w:t>El saldo a cierre de esta cuenta es de $11.473.526.498,05, dentro de ella se encuentra la cuenta 13851504 – Multas y sanciones por $8.158.487.153,20, respecto de este valor existen procesos de nulidad y restablecimiento del derecho por $1.635.636.278. De lo anterior releva manifestar a la Asamblea lo importante de estos rubros, de la prudencia y diligencia que se le debe dar a este rubro ya que puede impactar negativamente en la empresa.</w:t>
      </w:r>
    </w:p>
    <w:p w14:paraId="1929D132" w14:textId="77777777" w:rsidR="00E46C0A" w:rsidRPr="005C0CBD" w:rsidRDefault="00E46C0A" w:rsidP="00E46C0A">
      <w:pPr>
        <w:pStyle w:val="Textoindependiente"/>
        <w:ind w:right="-50"/>
        <w:jc w:val="both"/>
        <w:rPr>
          <w:rFonts w:ascii="Arial" w:hAnsi="Arial" w:cs="Arial"/>
          <w:sz w:val="24"/>
          <w:szCs w:val="24"/>
        </w:rPr>
      </w:pPr>
    </w:p>
    <w:p w14:paraId="744B2707"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5.</w:t>
      </w:r>
      <w:r w:rsidRPr="005C0CBD">
        <w:rPr>
          <w:rFonts w:ascii="Arial" w:hAnsi="Arial" w:cs="Arial"/>
          <w:sz w:val="24"/>
          <w:szCs w:val="24"/>
        </w:rPr>
        <w:t xml:space="preserve"> </w:t>
      </w:r>
      <w:r w:rsidRPr="005C0CBD">
        <w:rPr>
          <w:rFonts w:ascii="Arial" w:hAnsi="Arial" w:cs="Arial"/>
          <w:b/>
          <w:bCs/>
          <w:sz w:val="24"/>
          <w:szCs w:val="24"/>
        </w:rPr>
        <w:t xml:space="preserve">Anticipos – 1906: </w:t>
      </w:r>
      <w:r w:rsidRPr="005C0CBD">
        <w:rPr>
          <w:rFonts w:ascii="Arial" w:hAnsi="Arial" w:cs="Arial"/>
          <w:sz w:val="24"/>
          <w:szCs w:val="24"/>
        </w:rPr>
        <w:t>Existen saldos por anticipos en esta cuenta que ascienden a $2.059.746.629, algunos están en controversias contractuales, otros en procesos de incumplimiento; la mayoría de estos rubros al legalizarse efectivamente tienen las condiciones de ser un gasto.</w:t>
      </w:r>
    </w:p>
    <w:p w14:paraId="02253CC5" w14:textId="77777777" w:rsidR="00E46C0A" w:rsidRPr="005C0CBD" w:rsidRDefault="00E46C0A" w:rsidP="00E46C0A">
      <w:pPr>
        <w:pStyle w:val="Textoindependiente"/>
        <w:ind w:right="-50"/>
        <w:jc w:val="both"/>
        <w:rPr>
          <w:rFonts w:ascii="Arial" w:hAnsi="Arial" w:cs="Arial"/>
          <w:sz w:val="24"/>
          <w:szCs w:val="24"/>
        </w:rPr>
      </w:pPr>
    </w:p>
    <w:p w14:paraId="6999038B"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6. Depósitos en Garantía – 1909: </w:t>
      </w:r>
      <w:r w:rsidRPr="005C0CBD">
        <w:rPr>
          <w:rFonts w:ascii="Arial" w:hAnsi="Arial" w:cs="Arial"/>
          <w:sz w:val="24"/>
          <w:szCs w:val="24"/>
        </w:rPr>
        <w:t xml:space="preserve">Existen saldos por valor de $179.541.630,28, los cuales corresponden a órdenes de embargo por procesos civiles en su mayoría y que tienen que ser sujetos de control por parte de la administración, respecto de los apoderados en cada caso </w:t>
      </w:r>
    </w:p>
    <w:p w14:paraId="2E29CB42" w14:textId="77777777" w:rsidR="00E46C0A" w:rsidRPr="005C0CBD" w:rsidRDefault="00E46C0A" w:rsidP="00E46C0A">
      <w:pPr>
        <w:pStyle w:val="Textoindependiente"/>
        <w:ind w:right="-50"/>
        <w:jc w:val="both"/>
        <w:rPr>
          <w:rFonts w:ascii="Arial" w:hAnsi="Arial" w:cs="Arial"/>
          <w:sz w:val="24"/>
          <w:szCs w:val="24"/>
        </w:rPr>
      </w:pPr>
    </w:p>
    <w:p w14:paraId="146772B4" w14:textId="77777777" w:rsidR="00E46C0A" w:rsidRPr="005C0CBD" w:rsidRDefault="00E46C0A" w:rsidP="00AE3935">
      <w:pPr>
        <w:pStyle w:val="Textoindependiente"/>
        <w:numPr>
          <w:ilvl w:val="0"/>
          <w:numId w:val="106"/>
        </w:numPr>
        <w:ind w:right="-50"/>
        <w:jc w:val="both"/>
        <w:rPr>
          <w:rFonts w:ascii="Arial" w:hAnsi="Arial" w:cs="Arial"/>
          <w:sz w:val="24"/>
          <w:szCs w:val="24"/>
        </w:rPr>
      </w:pPr>
      <w:r w:rsidRPr="005C0CBD">
        <w:rPr>
          <w:rFonts w:ascii="Arial" w:hAnsi="Arial" w:cs="Arial"/>
          <w:sz w:val="24"/>
          <w:szCs w:val="24"/>
        </w:rPr>
        <w:t>$6.000.000 cargados con tercero Corporinoquia – Peritaje Resolución No. 120.36.20.0218,</w:t>
      </w:r>
    </w:p>
    <w:p w14:paraId="5FA8210E" w14:textId="77777777" w:rsidR="00E46C0A" w:rsidRPr="005C0CBD" w:rsidRDefault="00E46C0A" w:rsidP="00AE3935">
      <w:pPr>
        <w:pStyle w:val="Textoindependiente"/>
        <w:numPr>
          <w:ilvl w:val="0"/>
          <w:numId w:val="106"/>
        </w:numPr>
        <w:ind w:right="-50"/>
        <w:jc w:val="both"/>
        <w:rPr>
          <w:rFonts w:ascii="Arial" w:hAnsi="Arial" w:cs="Arial"/>
          <w:sz w:val="24"/>
          <w:szCs w:val="24"/>
        </w:rPr>
      </w:pPr>
      <w:r w:rsidRPr="005C0CBD">
        <w:rPr>
          <w:rFonts w:ascii="Arial" w:hAnsi="Arial" w:cs="Arial"/>
          <w:sz w:val="24"/>
          <w:szCs w:val="24"/>
        </w:rPr>
        <w:t>$172.525.095,28 embargos Davivienda por parte de UT NISSI proceso 810013333001-2022-0010800,</w:t>
      </w:r>
    </w:p>
    <w:p w14:paraId="500902BB" w14:textId="77777777" w:rsidR="00E46C0A" w:rsidRPr="005C0CBD" w:rsidRDefault="00E46C0A" w:rsidP="00AE3935">
      <w:pPr>
        <w:pStyle w:val="Textoindependiente"/>
        <w:numPr>
          <w:ilvl w:val="0"/>
          <w:numId w:val="106"/>
        </w:numPr>
        <w:ind w:right="-50"/>
        <w:jc w:val="both"/>
        <w:rPr>
          <w:rFonts w:ascii="Arial" w:hAnsi="Arial" w:cs="Arial"/>
          <w:sz w:val="24"/>
          <w:szCs w:val="24"/>
        </w:rPr>
      </w:pPr>
      <w:r w:rsidRPr="005C0CBD">
        <w:rPr>
          <w:rFonts w:ascii="Arial" w:hAnsi="Arial" w:cs="Arial"/>
          <w:sz w:val="24"/>
          <w:szCs w:val="24"/>
        </w:rPr>
        <w:t>$1.016.535 embargo municipio Yopal por impuesto predial.</w:t>
      </w:r>
    </w:p>
    <w:p w14:paraId="07D7B984"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lastRenderedPageBreak/>
        <w:t xml:space="preserve">7. Cuenta 24072001 Recaudos por Clasificar – Depósitos por Identificar: </w:t>
      </w:r>
      <w:r w:rsidRPr="005C0CBD">
        <w:rPr>
          <w:rFonts w:ascii="Arial" w:hAnsi="Arial" w:cs="Arial"/>
          <w:sz w:val="24"/>
          <w:szCs w:val="24"/>
        </w:rPr>
        <w:t>La corporación presenta un saldo en esta cuenta por valor de $832.566.560,57, el cual corresponde a consignaciones por identificar, asunto que afecta la adecuada medición de los ingresos, de las cuentas por cobrar y por supuesto una afectación del pasivo que inciden en cifras del periodo contable. Lo anterior sugiere deficiencias a subsanar en el manejo del proceso de conciliación de cartera.</w:t>
      </w:r>
    </w:p>
    <w:p w14:paraId="79F4B61F" w14:textId="77777777" w:rsidR="00E46C0A" w:rsidRPr="005C0CBD" w:rsidRDefault="00E46C0A" w:rsidP="00E46C0A">
      <w:pPr>
        <w:pStyle w:val="Textoindependiente"/>
        <w:ind w:right="-50"/>
        <w:jc w:val="both"/>
        <w:rPr>
          <w:rFonts w:ascii="Arial" w:hAnsi="Arial" w:cs="Arial"/>
          <w:sz w:val="24"/>
          <w:szCs w:val="24"/>
        </w:rPr>
      </w:pPr>
    </w:p>
    <w:p w14:paraId="3BFBB3CE"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8. Pasivos por Procesos Jurídicos: </w:t>
      </w:r>
      <w:r w:rsidRPr="005C0CBD">
        <w:rPr>
          <w:rFonts w:ascii="Arial" w:hAnsi="Arial" w:cs="Arial"/>
          <w:sz w:val="24"/>
          <w:szCs w:val="24"/>
        </w:rPr>
        <w:t>En la actualidad existen apoderados en proceso de que les sea reconocido poder por los juzgados, igualmente no existe un inventario claro y detallado para atender inquietudes; indica lo anterior que la corporación debe enfocar esfuerzos para atender esta situación. No se tuvo acceso al inventario de los mismos.</w:t>
      </w:r>
    </w:p>
    <w:p w14:paraId="422DB915" w14:textId="77777777" w:rsidR="00E46C0A" w:rsidRPr="005C0CBD" w:rsidRDefault="00E46C0A" w:rsidP="00E46C0A">
      <w:pPr>
        <w:pStyle w:val="Textoindependiente"/>
        <w:ind w:right="-50"/>
        <w:jc w:val="both"/>
        <w:rPr>
          <w:rFonts w:ascii="Arial" w:hAnsi="Arial" w:cs="Arial"/>
          <w:sz w:val="24"/>
          <w:szCs w:val="24"/>
        </w:rPr>
      </w:pPr>
    </w:p>
    <w:p w14:paraId="6F222CE6"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9. Facturas Anuladas: </w:t>
      </w:r>
      <w:r w:rsidRPr="005C0CBD">
        <w:rPr>
          <w:rFonts w:ascii="Arial" w:hAnsi="Arial" w:cs="Arial"/>
          <w:sz w:val="24"/>
          <w:szCs w:val="24"/>
        </w:rPr>
        <w:t>En la cuenta de patrimonio 31090105 se registra un saldo al débito por valor de $2.029.618.146,54, este valor corresponde a facturas de venta anuladas años anteriores cuyo soporte corresponde a resoluciones.</w:t>
      </w:r>
    </w:p>
    <w:p w14:paraId="0D215E55" w14:textId="77777777" w:rsidR="00E46C0A" w:rsidRPr="005C0CBD" w:rsidRDefault="00E46C0A" w:rsidP="00E46C0A">
      <w:pPr>
        <w:pStyle w:val="Textoindependiente"/>
        <w:ind w:right="-50"/>
        <w:jc w:val="both"/>
        <w:rPr>
          <w:rFonts w:ascii="Arial" w:hAnsi="Arial" w:cs="Arial"/>
          <w:sz w:val="24"/>
          <w:szCs w:val="24"/>
        </w:rPr>
      </w:pPr>
    </w:p>
    <w:p w14:paraId="542C9036"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sz w:val="24"/>
          <w:szCs w:val="24"/>
        </w:rPr>
        <w:t>Advertimos que este registro conduce a establecer que en años anteriores la utilidad ha sido sobre estimada, por tanto, es necesario determinar una política o procedimiento que limite esta práctica.</w:t>
      </w:r>
    </w:p>
    <w:p w14:paraId="4CA53D56" w14:textId="77777777" w:rsidR="00E46C0A" w:rsidRPr="005C0CBD" w:rsidRDefault="00E46C0A" w:rsidP="00E46C0A">
      <w:pPr>
        <w:pStyle w:val="Textoindependiente"/>
        <w:ind w:right="-50"/>
        <w:jc w:val="both"/>
        <w:rPr>
          <w:rFonts w:ascii="Arial" w:hAnsi="Arial" w:cs="Arial"/>
          <w:sz w:val="24"/>
          <w:szCs w:val="24"/>
        </w:rPr>
      </w:pPr>
    </w:p>
    <w:p w14:paraId="7A2EDE49" w14:textId="77777777" w:rsidR="00E46C0A" w:rsidRPr="005C0CBD" w:rsidRDefault="00E46C0A" w:rsidP="00E46C0A">
      <w:pPr>
        <w:pStyle w:val="Textoindependiente"/>
        <w:ind w:right="-50"/>
        <w:jc w:val="both"/>
        <w:rPr>
          <w:rFonts w:ascii="Arial" w:hAnsi="Arial" w:cs="Arial"/>
          <w:sz w:val="24"/>
          <w:szCs w:val="24"/>
        </w:rPr>
      </w:pPr>
      <w:r w:rsidRPr="005C0CBD">
        <w:rPr>
          <w:rFonts w:ascii="Arial" w:hAnsi="Arial" w:cs="Arial"/>
          <w:b/>
          <w:bCs/>
          <w:sz w:val="24"/>
          <w:szCs w:val="24"/>
        </w:rPr>
        <w:t xml:space="preserve">10. Cuenta 5705 Fondos Entregados – Inversión: </w:t>
      </w:r>
      <w:r w:rsidRPr="005C0CBD">
        <w:rPr>
          <w:rFonts w:ascii="Arial" w:hAnsi="Arial" w:cs="Arial"/>
          <w:sz w:val="24"/>
          <w:szCs w:val="24"/>
        </w:rPr>
        <w:t>Esta cuenta se afecta por devolución de recursos al Ministerio de Medio Ambiente y Desarrollo Sostenible, por no haberse ejecutado el rubro dentro de los tiempos estipulados, valor asciende a $2.050.069.218. “Actualización del Plan Ordenación y Manejo Ambiental de la Cuenca Hidrográfica del Rio Tame en Jurisdicción de Corporinoquia y en Jurisdicción de Corpoboyacá, en los Departamentos de Boyacá y Arauca”.</w:t>
      </w:r>
    </w:p>
    <w:p w14:paraId="731292BF" w14:textId="77777777" w:rsidR="00E46C0A" w:rsidRPr="005C0CBD" w:rsidRDefault="00E46C0A" w:rsidP="00E46C0A">
      <w:pPr>
        <w:pStyle w:val="Textoindependiente"/>
        <w:ind w:right="-50"/>
        <w:jc w:val="both"/>
        <w:rPr>
          <w:rFonts w:ascii="Arial" w:hAnsi="Arial" w:cs="Arial"/>
          <w:sz w:val="24"/>
          <w:szCs w:val="24"/>
        </w:rPr>
      </w:pPr>
    </w:p>
    <w:p w14:paraId="2A94AFE2" w14:textId="77777777" w:rsidR="00E46C0A" w:rsidRPr="00663BEE" w:rsidRDefault="00E46C0A" w:rsidP="00E46C0A">
      <w:pPr>
        <w:ind w:right="49"/>
        <w:jc w:val="both"/>
        <w:rPr>
          <w:rFonts w:ascii="Arial" w:hAnsi="Arial" w:cs="Arial"/>
          <w:b/>
          <w:sz w:val="28"/>
          <w:szCs w:val="28"/>
          <w:lang w:val="es-MX"/>
        </w:rPr>
      </w:pPr>
      <w:r w:rsidRPr="00663BEE">
        <w:rPr>
          <w:rFonts w:ascii="Arial" w:hAnsi="Arial" w:cs="Arial"/>
          <w:b/>
          <w:sz w:val="28"/>
          <w:szCs w:val="28"/>
          <w:lang w:val="es-MX"/>
        </w:rPr>
        <w:t>260.- EMPRESA PÚBLICA DE ALCANTARILLADO DE SANTANDER S.A. E.S.P. - EMPAS.</w:t>
      </w:r>
    </w:p>
    <w:p w14:paraId="252C4CBE" w14:textId="77777777" w:rsidR="00E46C0A" w:rsidRDefault="00E46C0A" w:rsidP="00E46C0A">
      <w:pPr>
        <w:pStyle w:val="Textoindependiente"/>
        <w:ind w:right="-50"/>
        <w:jc w:val="both"/>
        <w:rPr>
          <w:rFonts w:ascii="Arial" w:hAnsi="Arial" w:cs="Arial"/>
          <w:b/>
          <w:bCs/>
          <w:sz w:val="28"/>
          <w:szCs w:val="28"/>
          <w:lang w:val="es-MX"/>
        </w:rPr>
      </w:pPr>
    </w:p>
    <w:p w14:paraId="2F88CE1F" w14:textId="77777777" w:rsidR="00E46C0A" w:rsidRPr="0061004C" w:rsidRDefault="00E46C0A" w:rsidP="00E46C0A">
      <w:pPr>
        <w:pStyle w:val="Textoindependiente"/>
        <w:ind w:right="-50"/>
        <w:jc w:val="both"/>
        <w:rPr>
          <w:rFonts w:ascii="Arial" w:hAnsi="Arial" w:cs="Arial"/>
          <w:sz w:val="24"/>
          <w:szCs w:val="24"/>
        </w:rPr>
      </w:pPr>
      <w:r w:rsidRPr="0061004C">
        <w:rPr>
          <w:rFonts w:ascii="Arial" w:hAnsi="Arial" w:cs="Arial"/>
          <w:b/>
          <w:bCs/>
          <w:sz w:val="24"/>
          <w:szCs w:val="24"/>
        </w:rPr>
        <w:t xml:space="preserve">“INFORME SOBRE OTROS REQUERIMIENTOS LEGALES Y REGLAMENTARIOS: </w:t>
      </w:r>
      <w:r w:rsidRPr="0061004C">
        <w:rPr>
          <w:rFonts w:ascii="Arial" w:hAnsi="Arial" w:cs="Arial"/>
          <w:sz w:val="24"/>
          <w:szCs w:val="24"/>
        </w:rPr>
        <w:t>(…) En relación a la nota número treinta y cinco (35) de los estados financieros, la empresa constituyo la provisión del impuesto sobre la renta del año gravable 2024, y así mismo se revisaron los registros contables y la normativa vigente para reconocer esta provisión. Al no registrarla se estaba subestimando el gasto del año actual y sobreestimando la utilidad.</w:t>
      </w:r>
    </w:p>
    <w:p w14:paraId="2E583E79" w14:textId="77777777" w:rsidR="00E46C0A" w:rsidRPr="0061004C" w:rsidRDefault="00E46C0A" w:rsidP="00E46C0A">
      <w:pPr>
        <w:pStyle w:val="Textoindependiente"/>
        <w:ind w:right="-50"/>
        <w:jc w:val="both"/>
        <w:rPr>
          <w:rFonts w:ascii="Arial" w:hAnsi="Arial" w:cs="Arial"/>
          <w:sz w:val="24"/>
          <w:szCs w:val="24"/>
        </w:rPr>
      </w:pPr>
    </w:p>
    <w:p w14:paraId="0A617F2D" w14:textId="77777777" w:rsidR="00E46C0A" w:rsidRPr="0061004C" w:rsidRDefault="00E46C0A" w:rsidP="00E46C0A">
      <w:pPr>
        <w:pStyle w:val="Textoindependiente"/>
        <w:ind w:right="-50"/>
        <w:jc w:val="both"/>
        <w:rPr>
          <w:rFonts w:ascii="Arial" w:hAnsi="Arial" w:cs="Arial"/>
          <w:sz w:val="24"/>
          <w:szCs w:val="24"/>
        </w:rPr>
      </w:pPr>
      <w:r w:rsidRPr="0061004C">
        <w:rPr>
          <w:rFonts w:ascii="Arial" w:hAnsi="Arial" w:cs="Arial"/>
          <w:sz w:val="24"/>
          <w:szCs w:val="24"/>
        </w:rPr>
        <w:t xml:space="preserve"> La Revisoría Fiscal recomendó a la EMPRESA PÚBLICA DE ALCANTARILLADO DE SANTANDER S.A. ESP continuar involucrándose en proyectos de obras por impuestos buscando alcanzar un doble objetivo, (1). optimizar los recursos (2). generar un impacto social positivo; en los municipios ZOMAC (Matanza, La belleza, Sucre, Bolívar, Landázuri, Sabana de Torres, Playón; Rionegro, Suratá y Charta), esto le permitirá a la empresa cumplir con sus obligaciones tributarias y a la vez fortalecer su compromiso con la responsabilidad social empresarial, lo que se traduce en un mayor reconocimiento y prestigio para la empresa a futuro”.</w:t>
      </w:r>
    </w:p>
    <w:p w14:paraId="5958A54E" w14:textId="77777777" w:rsidR="00E46C0A" w:rsidRDefault="00E46C0A" w:rsidP="00E46C0A">
      <w:pPr>
        <w:pStyle w:val="Textoindependiente"/>
        <w:ind w:right="-50"/>
        <w:jc w:val="both"/>
        <w:rPr>
          <w:rFonts w:ascii="Arial" w:hAnsi="Arial" w:cs="Arial"/>
          <w:b/>
          <w:bCs/>
          <w:sz w:val="24"/>
          <w:szCs w:val="24"/>
        </w:rPr>
      </w:pPr>
    </w:p>
    <w:p w14:paraId="38CA97E0" w14:textId="77777777" w:rsidR="00E46C0A" w:rsidRPr="00256D40" w:rsidRDefault="00E46C0A" w:rsidP="00E46C0A">
      <w:pPr>
        <w:jc w:val="both"/>
        <w:rPr>
          <w:rFonts w:ascii="Arial" w:hAnsi="Arial" w:cs="Arial"/>
          <w:b/>
          <w:sz w:val="28"/>
          <w:szCs w:val="28"/>
          <w:lang w:val="es-MX"/>
        </w:rPr>
      </w:pPr>
      <w:r w:rsidRPr="00256D40">
        <w:rPr>
          <w:rFonts w:ascii="Arial" w:hAnsi="Arial" w:cs="Arial"/>
          <w:b/>
          <w:sz w:val="28"/>
          <w:szCs w:val="28"/>
          <w:lang w:val="es-MX"/>
        </w:rPr>
        <w:t xml:space="preserve">261.- </w:t>
      </w:r>
      <w:r w:rsidRPr="00256D40">
        <w:rPr>
          <w:rFonts w:ascii="Arial" w:hAnsi="Arial" w:cs="Arial"/>
          <w:b/>
          <w:sz w:val="28"/>
          <w:szCs w:val="28"/>
        </w:rPr>
        <w:t>ESP GECELCA 3 S.A.S</w:t>
      </w:r>
      <w:r w:rsidRPr="00256D40">
        <w:rPr>
          <w:rFonts w:ascii="Arial" w:hAnsi="Arial" w:cs="Arial"/>
          <w:b/>
          <w:sz w:val="28"/>
          <w:szCs w:val="28"/>
          <w:lang w:val="es-MX"/>
        </w:rPr>
        <w:t>.</w:t>
      </w:r>
    </w:p>
    <w:p w14:paraId="4F312D7D" w14:textId="77777777" w:rsidR="00E46C0A" w:rsidRPr="00256D40" w:rsidRDefault="00E46C0A" w:rsidP="00E46C0A">
      <w:pPr>
        <w:pStyle w:val="Textoindependiente"/>
        <w:ind w:right="-50"/>
        <w:jc w:val="both"/>
        <w:rPr>
          <w:rFonts w:ascii="Arial" w:hAnsi="Arial" w:cs="Arial"/>
          <w:b/>
          <w:bCs/>
          <w:sz w:val="24"/>
          <w:szCs w:val="24"/>
          <w:lang w:val="es-MX"/>
        </w:rPr>
      </w:pPr>
    </w:p>
    <w:p w14:paraId="2CAAE855" w14:textId="77777777" w:rsidR="00E46C0A" w:rsidRPr="00256D40" w:rsidRDefault="00E46C0A" w:rsidP="00E46C0A">
      <w:pPr>
        <w:pStyle w:val="Textoindependiente"/>
        <w:ind w:right="-50"/>
        <w:jc w:val="both"/>
        <w:rPr>
          <w:rFonts w:ascii="Arial" w:hAnsi="Arial" w:cs="Arial"/>
          <w:bCs/>
          <w:sz w:val="24"/>
          <w:szCs w:val="24"/>
        </w:rPr>
      </w:pPr>
      <w:r w:rsidRPr="00256D40">
        <w:rPr>
          <w:rFonts w:ascii="Arial" w:hAnsi="Arial" w:cs="Arial"/>
          <w:b/>
          <w:bCs/>
          <w:sz w:val="24"/>
          <w:szCs w:val="24"/>
        </w:rPr>
        <w:t>“</w:t>
      </w:r>
      <w:r w:rsidRPr="00256D40">
        <w:rPr>
          <w:rFonts w:ascii="Arial" w:hAnsi="Arial" w:cs="Arial"/>
          <w:bCs/>
          <w:sz w:val="24"/>
          <w:szCs w:val="24"/>
        </w:rPr>
        <w:t xml:space="preserve">Sin modificar mi opinión, llamo la atención sobre la Nota 35 a los estados financieros adjuntos, donde se describe que al 31 de diciembre de 2024 la compañía registra impuesto diferido activo </w:t>
      </w:r>
      <w:r w:rsidRPr="00256D40">
        <w:rPr>
          <w:rFonts w:ascii="Arial" w:hAnsi="Arial" w:cs="Arial"/>
          <w:bCs/>
          <w:sz w:val="24"/>
          <w:szCs w:val="24"/>
        </w:rPr>
        <w:lastRenderedPageBreak/>
        <w:t>neto por $73.500 millones, originado principalmente en pérdidas fiscales pendientes de compensar por $36.392 millones, diferencia en cambio no realizada por $23.154 millones y otras diferencias deducibles por $13.954 millones. La administración, de acuerdo con las estrategias de negocio, ha realizado proyecciones financieras que muestran que la entidad generaría a futuro suficientes utilidades fiscales contra las cuales compensar el impuesto diferido activo mencionado.  Lo anterior, y según manifestaciones de la gerencia, permite que la administración tenga una expectativa razonable de la recuperabilidad del impuesto diferido registrado a esa fecha”.</w:t>
      </w:r>
    </w:p>
    <w:p w14:paraId="339FC924" w14:textId="77777777" w:rsidR="00E46C0A" w:rsidRDefault="00E46C0A" w:rsidP="00E46C0A">
      <w:pPr>
        <w:pStyle w:val="Textoindependiente"/>
        <w:ind w:right="-50"/>
        <w:jc w:val="both"/>
        <w:rPr>
          <w:b/>
          <w:bCs/>
          <w:sz w:val="28"/>
          <w:szCs w:val="28"/>
        </w:rPr>
      </w:pPr>
    </w:p>
    <w:p w14:paraId="13F42FC4" w14:textId="77777777" w:rsidR="00E46C0A" w:rsidRPr="009A36D0" w:rsidRDefault="00E46C0A" w:rsidP="00E46C0A">
      <w:pPr>
        <w:jc w:val="both"/>
        <w:rPr>
          <w:rFonts w:ascii="Arial" w:hAnsi="Arial" w:cs="Arial"/>
          <w:b/>
          <w:sz w:val="28"/>
          <w:szCs w:val="28"/>
          <w:lang w:val="es-MX"/>
        </w:rPr>
      </w:pPr>
      <w:r w:rsidRPr="009A36D0">
        <w:rPr>
          <w:rFonts w:ascii="Arial" w:hAnsi="Arial" w:cs="Arial"/>
          <w:b/>
          <w:sz w:val="28"/>
          <w:szCs w:val="28"/>
          <w:lang w:val="es-MX"/>
        </w:rPr>
        <w:t>262.- GENERADORA Y COMERCILIZADORA DE ENERGIA DEL CARIBE S.A. E.SP. – GECELCA S.A.</w:t>
      </w:r>
    </w:p>
    <w:p w14:paraId="19D922D6" w14:textId="77777777" w:rsidR="00E46C0A" w:rsidRDefault="00E46C0A" w:rsidP="00E46C0A">
      <w:pPr>
        <w:ind w:right="-93"/>
        <w:rPr>
          <w:rFonts w:ascii="Arial" w:hAnsi="Arial" w:cs="Arial"/>
          <w:sz w:val="24"/>
          <w:szCs w:val="24"/>
          <w:lang w:val="es-MX"/>
        </w:rPr>
      </w:pPr>
    </w:p>
    <w:p w14:paraId="3A1A1ACC" w14:textId="77777777" w:rsidR="00E46C0A" w:rsidRPr="009A36D0" w:rsidRDefault="00E46C0A" w:rsidP="00E46C0A">
      <w:pPr>
        <w:pStyle w:val="Textoindependiente"/>
        <w:ind w:right="-50"/>
        <w:jc w:val="both"/>
        <w:rPr>
          <w:rFonts w:ascii="Arial" w:hAnsi="Arial" w:cs="Arial"/>
          <w:b/>
          <w:sz w:val="24"/>
          <w:szCs w:val="24"/>
        </w:rPr>
      </w:pPr>
      <w:r w:rsidRPr="009A36D0">
        <w:rPr>
          <w:rFonts w:ascii="Arial" w:hAnsi="Arial" w:cs="Arial"/>
          <w:b/>
          <w:sz w:val="24"/>
          <w:szCs w:val="24"/>
        </w:rPr>
        <w:t>“Párrafos de énfasis.</w:t>
      </w:r>
    </w:p>
    <w:p w14:paraId="1682E0A6" w14:textId="77777777" w:rsidR="00E46C0A" w:rsidRPr="009A36D0" w:rsidRDefault="00E46C0A" w:rsidP="00E46C0A">
      <w:pPr>
        <w:pStyle w:val="Textoindependiente"/>
        <w:ind w:right="-50"/>
        <w:jc w:val="both"/>
        <w:rPr>
          <w:rFonts w:ascii="Arial" w:hAnsi="Arial" w:cs="Arial"/>
          <w:sz w:val="24"/>
          <w:szCs w:val="24"/>
        </w:rPr>
      </w:pPr>
    </w:p>
    <w:p w14:paraId="35F1004B" w14:textId="77777777" w:rsidR="00E46C0A" w:rsidRPr="009A36D0" w:rsidRDefault="00E46C0A" w:rsidP="00E46C0A">
      <w:pPr>
        <w:pStyle w:val="Textoindependiente"/>
        <w:ind w:right="-50"/>
        <w:jc w:val="both"/>
        <w:rPr>
          <w:rFonts w:ascii="Arial" w:hAnsi="Arial" w:cs="Arial"/>
          <w:sz w:val="24"/>
          <w:szCs w:val="24"/>
        </w:rPr>
      </w:pPr>
      <w:r w:rsidRPr="009A36D0">
        <w:rPr>
          <w:rFonts w:ascii="Arial" w:hAnsi="Arial" w:cs="Arial"/>
          <w:sz w:val="24"/>
          <w:szCs w:val="24"/>
        </w:rPr>
        <w:t>• Sin modificar mi opinión, llamo la atención sobre la Nota 1 a los estados financieros, que indica que la compañía presenta al 31 de diciembre de 2024 capital de trabajo (activo corriente – pasivo corriente), negativo por $326.944 millones, como resultado de la reclasificación de la obligación financiera con Bancolombia Panamá de largo a corto plazo, debido al incumplimiento del indicador financiero previsto como covenant en el contrato de la obligación, que le otorga la posibilidad, más no la obligación al Banco, de la exigibilidad de la deuda. Los planes y acciones de la administración para subsanar esta situación se describen también en la nota 1 en mención y consideran la alta probabilidad de obtener la dispensa o concesión por parte del Banco.</w:t>
      </w:r>
    </w:p>
    <w:p w14:paraId="79A51BBA" w14:textId="77777777" w:rsidR="00E46C0A" w:rsidRPr="009A36D0" w:rsidRDefault="00E46C0A" w:rsidP="00E46C0A">
      <w:pPr>
        <w:pStyle w:val="Textoindependiente"/>
        <w:ind w:right="-50"/>
        <w:jc w:val="both"/>
        <w:rPr>
          <w:rFonts w:ascii="Arial" w:hAnsi="Arial" w:cs="Arial"/>
          <w:sz w:val="24"/>
          <w:szCs w:val="24"/>
        </w:rPr>
      </w:pPr>
    </w:p>
    <w:p w14:paraId="4E25B0A5" w14:textId="77777777" w:rsidR="00E46C0A" w:rsidRPr="009A36D0" w:rsidRDefault="00E46C0A" w:rsidP="00E46C0A">
      <w:pPr>
        <w:pStyle w:val="Textoindependiente"/>
        <w:ind w:right="-50"/>
        <w:jc w:val="both"/>
        <w:rPr>
          <w:rFonts w:ascii="Arial" w:hAnsi="Arial" w:cs="Arial"/>
          <w:b/>
          <w:bCs/>
          <w:sz w:val="24"/>
          <w:szCs w:val="24"/>
        </w:rPr>
      </w:pPr>
      <w:r w:rsidRPr="009A36D0">
        <w:rPr>
          <w:rFonts w:ascii="Arial" w:hAnsi="Arial" w:cs="Arial"/>
          <w:sz w:val="24"/>
          <w:szCs w:val="24"/>
        </w:rPr>
        <w:t>• Sin modificar mi opinión, llamo la atención sobre la Nota 35 a los estados financieros adjuntos, donde se describe que al 31 de diciembre de 2024 la Compañía registra impuesto diferido activo neto por $26.931 millones originado principalmente en pérdidas fiscales pendientes de compensar por $134.115 millones, provisiones por $6.174 millones y otras diferencias deducibles netas por ($113.358) millones. La administración, de acuerdo con las estrategias de negocio, ha realizado proyecciones financieras que muestran que la Entidad generaría a futuro suficientes utilidades fiscales contra las cuales compensar el impuesto diferido activo mencionado. Lo anterior, y según manifestaciones de la gerencia, permite que la Administración tenga una expectativa razonable de la recuperabilidad del impuesto diferido registrado a esa fecha.</w:t>
      </w:r>
    </w:p>
    <w:p w14:paraId="16F6905F" w14:textId="77777777" w:rsidR="00E46C0A" w:rsidRDefault="00E46C0A" w:rsidP="00E46C0A">
      <w:pPr>
        <w:ind w:right="-93"/>
        <w:rPr>
          <w:rFonts w:ascii="Arial" w:hAnsi="Arial" w:cs="Arial"/>
          <w:sz w:val="24"/>
          <w:szCs w:val="24"/>
        </w:rPr>
      </w:pPr>
    </w:p>
    <w:p w14:paraId="0C0D4B9B" w14:textId="77777777" w:rsidR="00E46C0A" w:rsidRPr="00BB43B8" w:rsidRDefault="00E46C0A" w:rsidP="00E46C0A">
      <w:pPr>
        <w:jc w:val="both"/>
        <w:rPr>
          <w:rFonts w:ascii="Arial" w:hAnsi="Arial" w:cs="Arial"/>
          <w:b/>
          <w:sz w:val="28"/>
          <w:szCs w:val="28"/>
          <w:lang w:val="es-MX"/>
        </w:rPr>
      </w:pPr>
      <w:r w:rsidRPr="00BB43B8">
        <w:rPr>
          <w:rFonts w:ascii="Arial" w:hAnsi="Arial" w:cs="Arial"/>
          <w:b/>
          <w:sz w:val="28"/>
          <w:szCs w:val="28"/>
          <w:lang w:val="es-MX"/>
        </w:rPr>
        <w:t>265.- PATRIMONIO AUTÓNOMO FONDO NACIONAL DE SEGURIDAD VIAL FSV – FIDUAGRARIA S.A.</w:t>
      </w:r>
    </w:p>
    <w:p w14:paraId="751A2A89" w14:textId="77777777" w:rsidR="00E46C0A" w:rsidRDefault="00E46C0A" w:rsidP="00E46C0A">
      <w:pPr>
        <w:pStyle w:val="Textoindependiente"/>
        <w:ind w:right="-50"/>
        <w:jc w:val="both"/>
        <w:rPr>
          <w:b/>
          <w:sz w:val="28"/>
          <w:szCs w:val="28"/>
        </w:rPr>
      </w:pPr>
    </w:p>
    <w:p w14:paraId="07DEB093" w14:textId="77777777" w:rsidR="00E46C0A" w:rsidRPr="00BB43B8" w:rsidRDefault="00E46C0A" w:rsidP="00E46C0A">
      <w:pPr>
        <w:pStyle w:val="Textoindependiente"/>
        <w:ind w:right="-50"/>
        <w:jc w:val="both"/>
        <w:rPr>
          <w:rFonts w:ascii="Arial" w:hAnsi="Arial" w:cs="Arial"/>
          <w:b/>
          <w:bCs/>
          <w:sz w:val="24"/>
          <w:szCs w:val="24"/>
        </w:rPr>
      </w:pPr>
      <w:r w:rsidRPr="00BB43B8">
        <w:rPr>
          <w:rFonts w:ascii="Arial" w:hAnsi="Arial" w:cs="Arial"/>
          <w:b/>
          <w:bCs/>
          <w:sz w:val="24"/>
          <w:szCs w:val="24"/>
        </w:rPr>
        <w:t xml:space="preserve">“Párrafo de Énfasis por Reexpresión de Estados Financieros. </w:t>
      </w:r>
    </w:p>
    <w:p w14:paraId="0566BD72" w14:textId="77777777" w:rsidR="00E46C0A" w:rsidRPr="00BB43B8" w:rsidRDefault="00E46C0A" w:rsidP="00E95331">
      <w:pPr>
        <w:pStyle w:val="Textoindependiente"/>
        <w:ind w:right="-141"/>
        <w:jc w:val="both"/>
        <w:rPr>
          <w:rFonts w:ascii="Arial" w:hAnsi="Arial" w:cs="Arial"/>
          <w:sz w:val="24"/>
          <w:szCs w:val="24"/>
        </w:rPr>
      </w:pPr>
      <w:r w:rsidRPr="00BB43B8">
        <w:rPr>
          <w:rFonts w:ascii="Arial" w:hAnsi="Arial" w:cs="Arial"/>
          <w:sz w:val="24"/>
          <w:szCs w:val="24"/>
        </w:rPr>
        <w:t>Sin modificar mi Opinión, tal como se menciona en la Nota 3.2, los Estados Financieros por el año terminado al 31 de diciembre de 2023, han sido reexpresados por el efecto de una serie de ajustes realizados principalmente en las cuentas de Patrimonio y Otros Pasivos entre otras, correspondientes a ese periodo y que fueron identificados en el año 2024. El detalle de dichos ajustes, así como la descripción de las cuentas reexpresadas, se explican en la mencionada nota. Estos ajustes se registraron con cargo a resultados acumulados al 31 de diciembre de 2023 por valor de $393 millones. Los estados financieros previamente por el año terminado al 31 de diciembre de 2023, han sido reexpresados retroactivamente para reflejar dicho ajuste como si hubiera sido efectuado en esa fecha”.</w:t>
      </w:r>
    </w:p>
    <w:p w14:paraId="7D1D2FE4" w14:textId="77777777" w:rsidR="00E46C0A" w:rsidRPr="00F3105F" w:rsidRDefault="00E46C0A" w:rsidP="00E95331">
      <w:pPr>
        <w:ind w:right="-141"/>
        <w:jc w:val="both"/>
        <w:rPr>
          <w:rFonts w:ascii="Arial" w:hAnsi="Arial" w:cs="Arial"/>
          <w:b/>
          <w:sz w:val="28"/>
          <w:szCs w:val="28"/>
          <w:lang w:val="es-MX"/>
        </w:rPr>
      </w:pPr>
      <w:bookmarkStart w:id="58" w:name="_Hlk203477937"/>
      <w:r w:rsidRPr="00F3105F">
        <w:rPr>
          <w:rFonts w:ascii="Arial" w:hAnsi="Arial" w:cs="Arial"/>
          <w:b/>
          <w:sz w:val="28"/>
          <w:szCs w:val="28"/>
          <w:lang w:val="es-MX"/>
        </w:rPr>
        <w:lastRenderedPageBreak/>
        <w:t>272.- CORPORACIÓN AUTÓNOMA REGIONAL DEL ATLÁNTICO - CRA.</w:t>
      </w:r>
    </w:p>
    <w:bookmarkEnd w:id="58"/>
    <w:p w14:paraId="63C3333D" w14:textId="77777777" w:rsidR="00E46C0A" w:rsidRDefault="00E46C0A" w:rsidP="00E95331">
      <w:pPr>
        <w:ind w:right="-141"/>
        <w:rPr>
          <w:rFonts w:ascii="Arial" w:hAnsi="Arial" w:cs="Arial"/>
          <w:sz w:val="24"/>
          <w:szCs w:val="24"/>
          <w:lang w:val="es-MX"/>
        </w:rPr>
      </w:pPr>
    </w:p>
    <w:p w14:paraId="52919D46" w14:textId="77777777" w:rsidR="00E46C0A" w:rsidRPr="00F3105F" w:rsidRDefault="00E46C0A" w:rsidP="00E95331">
      <w:pPr>
        <w:pStyle w:val="Textoindependiente"/>
        <w:ind w:right="-141"/>
        <w:jc w:val="both"/>
        <w:rPr>
          <w:rFonts w:ascii="Arial" w:hAnsi="Arial" w:cs="Arial"/>
          <w:b/>
          <w:bCs/>
          <w:sz w:val="24"/>
          <w:szCs w:val="24"/>
        </w:rPr>
      </w:pPr>
      <w:r w:rsidRPr="00F3105F">
        <w:rPr>
          <w:rFonts w:ascii="Arial" w:hAnsi="Arial" w:cs="Arial"/>
          <w:b/>
          <w:bCs/>
          <w:sz w:val="24"/>
          <w:szCs w:val="24"/>
        </w:rPr>
        <w:t>“Información relevante.</w:t>
      </w:r>
    </w:p>
    <w:p w14:paraId="374B78C5" w14:textId="77777777" w:rsidR="00E46C0A" w:rsidRPr="00F3105F" w:rsidRDefault="00E46C0A" w:rsidP="00E95331">
      <w:pPr>
        <w:pStyle w:val="Textoindependiente"/>
        <w:ind w:right="-141"/>
        <w:jc w:val="both"/>
        <w:rPr>
          <w:rFonts w:ascii="Arial" w:hAnsi="Arial" w:cs="Arial"/>
          <w:sz w:val="24"/>
          <w:szCs w:val="24"/>
        </w:rPr>
      </w:pPr>
    </w:p>
    <w:p w14:paraId="6564FE72" w14:textId="77777777" w:rsidR="00E46C0A" w:rsidRPr="00F3105F" w:rsidRDefault="00E46C0A" w:rsidP="00E95331">
      <w:pPr>
        <w:pStyle w:val="Textoindependiente"/>
        <w:ind w:right="-141"/>
        <w:jc w:val="both"/>
        <w:rPr>
          <w:rFonts w:ascii="Arial" w:hAnsi="Arial" w:cs="Arial"/>
          <w:sz w:val="24"/>
          <w:szCs w:val="24"/>
        </w:rPr>
      </w:pPr>
      <w:r w:rsidRPr="00F3105F">
        <w:rPr>
          <w:rFonts w:ascii="Arial" w:hAnsi="Arial" w:cs="Arial"/>
          <w:sz w:val="24"/>
          <w:szCs w:val="24"/>
        </w:rPr>
        <w:t>Los gastos operacionales aumentaron en Cuarenta y Cuatro Mil Ciento Noventa y Cuatro Millones Cuatrocientos Cincuenta y Tres mil Trescientos Sesenta y Cuatro pesos ($44.194.453.364), que representa un 28% más con respecto al año inmediatamente anterior.</w:t>
      </w:r>
    </w:p>
    <w:p w14:paraId="6E82564B" w14:textId="77777777" w:rsidR="00E46C0A" w:rsidRPr="00F3105F" w:rsidRDefault="00E46C0A" w:rsidP="00E95331">
      <w:pPr>
        <w:pStyle w:val="Textoindependiente"/>
        <w:ind w:right="-141"/>
        <w:jc w:val="both"/>
        <w:rPr>
          <w:rFonts w:ascii="Arial" w:hAnsi="Arial" w:cs="Arial"/>
          <w:sz w:val="24"/>
          <w:szCs w:val="24"/>
        </w:rPr>
      </w:pPr>
    </w:p>
    <w:p w14:paraId="19357741" w14:textId="77777777" w:rsidR="00E46C0A" w:rsidRPr="00F3105F" w:rsidRDefault="00E46C0A" w:rsidP="00E95331">
      <w:pPr>
        <w:pStyle w:val="Textoindependiente"/>
        <w:ind w:right="-141"/>
        <w:jc w:val="both"/>
        <w:rPr>
          <w:rFonts w:ascii="Arial" w:hAnsi="Arial" w:cs="Arial"/>
          <w:sz w:val="24"/>
          <w:szCs w:val="24"/>
        </w:rPr>
      </w:pPr>
      <w:r w:rsidRPr="00F3105F">
        <w:rPr>
          <w:rFonts w:ascii="Arial" w:hAnsi="Arial" w:cs="Arial"/>
          <w:b/>
          <w:bCs/>
          <w:sz w:val="24"/>
          <w:szCs w:val="24"/>
          <w:u w:val="single"/>
        </w:rPr>
        <w:t>El incremento obedece a mayor inversión en medio ambiente y al deterioro de cartera (Procedimiento contable) aplicado en la Corporación que no genera ningún tipo desembolso por parte de la Entidad</w:t>
      </w:r>
      <w:r w:rsidRPr="00F3105F">
        <w:rPr>
          <w:rFonts w:ascii="Arial" w:hAnsi="Arial" w:cs="Arial"/>
          <w:sz w:val="24"/>
          <w:szCs w:val="24"/>
        </w:rPr>
        <w:t xml:space="preserve">. </w:t>
      </w:r>
    </w:p>
    <w:p w14:paraId="332CC3C4" w14:textId="77777777" w:rsidR="00E46C0A" w:rsidRPr="00F3105F" w:rsidRDefault="00E46C0A" w:rsidP="00E46C0A">
      <w:pPr>
        <w:pStyle w:val="Textoindependiente"/>
        <w:jc w:val="both"/>
        <w:rPr>
          <w:rFonts w:ascii="Arial" w:hAnsi="Arial" w:cs="Arial"/>
          <w:sz w:val="24"/>
          <w:szCs w:val="24"/>
        </w:rPr>
      </w:pPr>
    </w:p>
    <w:p w14:paraId="575F1729" w14:textId="77777777" w:rsidR="00E46C0A" w:rsidRPr="00F3105F" w:rsidRDefault="00E46C0A" w:rsidP="00E95331">
      <w:pPr>
        <w:pStyle w:val="Textoindependiente"/>
        <w:ind w:right="-141"/>
        <w:jc w:val="both"/>
        <w:rPr>
          <w:rFonts w:ascii="Arial" w:hAnsi="Arial" w:cs="Arial"/>
          <w:sz w:val="24"/>
          <w:szCs w:val="24"/>
        </w:rPr>
      </w:pPr>
      <w:r w:rsidRPr="00F3105F">
        <w:rPr>
          <w:rFonts w:ascii="Arial" w:hAnsi="Arial" w:cs="Arial"/>
          <w:sz w:val="24"/>
          <w:szCs w:val="24"/>
        </w:rPr>
        <w:t xml:space="preserve">A 31 de diciembre de 2024 la Entidad presenta una cartera corriente por Veinte Ocho Mil Setecientos Ochenta y Tres Millones Trescientos Noventa y Un Mil Novecientos Treinta y Cuatro Pesos ML ($28.783.391.934) y un saldo en depósito de Instituciones Financieras por Siete Mil Seiscientos Treinta Millones Ciento Siete Mil Doscientos Noventa y Nueve Pesos ML ($7.630.107.299), arrojando un saldo de Treinta y Seis Mil Cuatrocientos Trece Millones Cuatrocientos Noventa y Nueve Mil Doscientos Treinta y Tres Pesos ML ($36.413.499.233) permitiendo tener liquidez de las obligaciones a corto plazo los cuales asciende a la suma de Catorce Mil Novecientos Setenta y Tres Millones Doscientos Veinticuatro Mil Trescientos Sesenta y Siete Pesos ML ($14.973.224.367). </w:t>
      </w:r>
    </w:p>
    <w:p w14:paraId="76085B61" w14:textId="77777777" w:rsidR="00E46C0A" w:rsidRPr="00F3105F" w:rsidRDefault="00E46C0A" w:rsidP="00E95331">
      <w:pPr>
        <w:pStyle w:val="Textoindependiente"/>
        <w:ind w:right="-141"/>
        <w:jc w:val="both"/>
        <w:rPr>
          <w:rFonts w:ascii="Arial" w:hAnsi="Arial" w:cs="Arial"/>
          <w:sz w:val="24"/>
          <w:szCs w:val="24"/>
        </w:rPr>
      </w:pPr>
    </w:p>
    <w:p w14:paraId="39A69020" w14:textId="77777777" w:rsidR="00E46C0A" w:rsidRPr="00F3105F" w:rsidRDefault="00E46C0A" w:rsidP="00E95331">
      <w:pPr>
        <w:pStyle w:val="Textoindependiente"/>
        <w:ind w:right="-141"/>
        <w:jc w:val="both"/>
        <w:rPr>
          <w:rFonts w:ascii="Arial" w:hAnsi="Arial" w:cs="Arial"/>
          <w:sz w:val="24"/>
          <w:szCs w:val="24"/>
        </w:rPr>
      </w:pPr>
      <w:r w:rsidRPr="00F3105F">
        <w:rPr>
          <w:rFonts w:ascii="Arial" w:hAnsi="Arial" w:cs="Arial"/>
          <w:b/>
          <w:bCs/>
          <w:sz w:val="24"/>
          <w:szCs w:val="24"/>
          <w:u w:val="single"/>
        </w:rPr>
        <w:t xml:space="preserve">Por lo anterior, la Corporación en la vigencia 2024 presentó un déficit del ejercicio por valor de Once Mil Ochocientos Treinta y Cuatro Millones Setecientos Cuarenta y Tres Mil Ciento Sesenta y Dos </w:t>
      </w:r>
      <w:proofErr w:type="gramStart"/>
      <w:r w:rsidRPr="00F3105F">
        <w:rPr>
          <w:rFonts w:ascii="Arial" w:hAnsi="Arial" w:cs="Arial"/>
          <w:b/>
          <w:bCs/>
          <w:sz w:val="24"/>
          <w:szCs w:val="24"/>
          <w:u w:val="single"/>
        </w:rPr>
        <w:t>Pesos</w:t>
      </w:r>
      <w:proofErr w:type="gramEnd"/>
      <w:r w:rsidRPr="00F3105F">
        <w:rPr>
          <w:rFonts w:ascii="Arial" w:hAnsi="Arial" w:cs="Arial"/>
          <w:b/>
          <w:bCs/>
          <w:sz w:val="24"/>
          <w:szCs w:val="24"/>
          <w:u w:val="single"/>
        </w:rPr>
        <w:t xml:space="preserve"> ($11.834.743.162), el cual se ve reflejado en el patrimonio de la Entidad”</w:t>
      </w:r>
      <w:r w:rsidRPr="00F3105F">
        <w:rPr>
          <w:rFonts w:ascii="Arial" w:hAnsi="Arial" w:cs="Arial"/>
          <w:sz w:val="24"/>
          <w:szCs w:val="24"/>
        </w:rPr>
        <w:t xml:space="preserve">. </w:t>
      </w:r>
    </w:p>
    <w:p w14:paraId="45F3E714" w14:textId="77777777" w:rsidR="00E46C0A" w:rsidRPr="00F3105F" w:rsidRDefault="00E46C0A" w:rsidP="00E95331">
      <w:pPr>
        <w:pStyle w:val="Textoindependiente"/>
        <w:ind w:right="-141"/>
        <w:jc w:val="both"/>
        <w:rPr>
          <w:rFonts w:ascii="Arial" w:hAnsi="Arial" w:cs="Arial"/>
          <w:sz w:val="24"/>
          <w:szCs w:val="24"/>
        </w:rPr>
      </w:pPr>
    </w:p>
    <w:p w14:paraId="38F4C0BC" w14:textId="77777777" w:rsidR="00E46C0A" w:rsidRPr="003E7517" w:rsidRDefault="00E46C0A" w:rsidP="00E95331">
      <w:pPr>
        <w:ind w:right="-141"/>
        <w:jc w:val="both"/>
        <w:rPr>
          <w:rFonts w:ascii="Arial" w:hAnsi="Arial" w:cs="Arial"/>
          <w:b/>
          <w:sz w:val="28"/>
          <w:szCs w:val="28"/>
          <w:lang w:val="es-MX"/>
        </w:rPr>
      </w:pPr>
      <w:r w:rsidRPr="003E7517">
        <w:rPr>
          <w:rFonts w:ascii="Arial" w:hAnsi="Arial" w:cs="Arial"/>
          <w:b/>
          <w:sz w:val="28"/>
          <w:szCs w:val="28"/>
          <w:lang w:val="es-MX"/>
        </w:rPr>
        <w:t>283.- CORPORACIÓN PARA EL DESARROLLO SOSTENIBLE DEL SUR DE LA AMAZONÍA – CORPOAMAZONÍA.</w:t>
      </w:r>
    </w:p>
    <w:p w14:paraId="2092B74D" w14:textId="77777777" w:rsidR="00E46C0A" w:rsidRDefault="00E46C0A" w:rsidP="00E95331">
      <w:pPr>
        <w:pStyle w:val="Textoindependiente"/>
        <w:ind w:right="-141"/>
        <w:jc w:val="both"/>
        <w:rPr>
          <w:b/>
          <w:bCs/>
        </w:rPr>
      </w:pPr>
    </w:p>
    <w:p w14:paraId="378ED7FE" w14:textId="77777777" w:rsidR="00E46C0A" w:rsidRPr="003E7517" w:rsidRDefault="00E46C0A" w:rsidP="00E95331">
      <w:pPr>
        <w:pStyle w:val="Textoindependiente"/>
        <w:ind w:right="-141"/>
        <w:jc w:val="both"/>
        <w:rPr>
          <w:rFonts w:ascii="Arial" w:hAnsi="Arial" w:cs="Arial"/>
          <w:b/>
          <w:bCs/>
          <w:sz w:val="24"/>
          <w:szCs w:val="24"/>
        </w:rPr>
      </w:pPr>
      <w:r w:rsidRPr="003E7517">
        <w:rPr>
          <w:rFonts w:ascii="Arial" w:hAnsi="Arial" w:cs="Arial"/>
          <w:b/>
          <w:bCs/>
          <w:sz w:val="24"/>
          <w:szCs w:val="24"/>
        </w:rPr>
        <w:t xml:space="preserve">“RECOMENDACIONES: </w:t>
      </w:r>
    </w:p>
    <w:p w14:paraId="7E010F00" w14:textId="77777777" w:rsidR="00E46C0A" w:rsidRPr="003E7517" w:rsidRDefault="00E46C0A" w:rsidP="00E95331">
      <w:pPr>
        <w:pStyle w:val="Textoindependiente"/>
        <w:ind w:right="-141"/>
        <w:jc w:val="both"/>
        <w:rPr>
          <w:rFonts w:ascii="Arial" w:hAnsi="Arial" w:cs="Arial"/>
          <w:b/>
          <w:bCs/>
          <w:sz w:val="24"/>
          <w:szCs w:val="24"/>
        </w:rPr>
      </w:pPr>
    </w:p>
    <w:p w14:paraId="09A96A24"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 xml:space="preserve">1). En la cuenta 270103- Litigios y demandas Administrativas en los Estados Financieros a corte 31-dic-2024, se evidencia saldos que viene de vigencias anteriores sin movimiento durante el año 2023, por valor de $843.376.970,00. Se recomienda que la oficina jurídica verifique la plataforma E-KOGUI para que revise por qué la provisión sigue igual al año 2023, analizando el riesgo periódicamente, haciendo la respectiva evaluación del riesgo periódicamente (Probable, posible o remota). La Financiera teniendo en cuenta los criterios de valoración aplicó una provisión contable del 25% de acuerdo la tabla valoración. </w:t>
      </w:r>
    </w:p>
    <w:p w14:paraId="4359935C" w14:textId="77777777" w:rsidR="00E46C0A" w:rsidRPr="003E7517" w:rsidRDefault="00E46C0A" w:rsidP="00E95331">
      <w:pPr>
        <w:pStyle w:val="Textoindependiente"/>
        <w:ind w:right="-141"/>
        <w:jc w:val="both"/>
        <w:rPr>
          <w:rFonts w:ascii="Arial" w:hAnsi="Arial" w:cs="Arial"/>
          <w:sz w:val="24"/>
          <w:szCs w:val="24"/>
        </w:rPr>
      </w:pPr>
    </w:p>
    <w:p w14:paraId="5E7717AC"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 xml:space="preserve">CORPOAMAZONIA, tiene 384 procesos. </w:t>
      </w:r>
    </w:p>
    <w:p w14:paraId="19D406DD" w14:textId="77777777" w:rsidR="00E46C0A" w:rsidRPr="003E7517" w:rsidRDefault="00E46C0A" w:rsidP="00E95331">
      <w:pPr>
        <w:pStyle w:val="Textoindependiente"/>
        <w:ind w:right="-141"/>
        <w:jc w:val="both"/>
        <w:rPr>
          <w:rFonts w:ascii="Arial" w:hAnsi="Arial" w:cs="Arial"/>
          <w:sz w:val="24"/>
          <w:szCs w:val="24"/>
        </w:rPr>
      </w:pPr>
    </w:p>
    <w:p w14:paraId="76181CE8"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 xml:space="preserve">Teniendo en cuenta que la Entidad cuenta con una fiducia en seguros la Previsora que a fecha 31 de enero 2025, por valor de $1.153.078.660.00, y la Entidad tiene procesos en contra con fallo de segunda instancia, es conveniente ir cancelando de los recursos de la fiducia, estos procesos y así evitar que siga aumentando su valor por los intereses. Así mismo, dentro del presupuesto de gastos de recursos propios para la vigencia 2025, quedó presupuestado la suma de $ 400.000.000, por lo que se recomienda realizar una fiducia para que se consignen los </w:t>
      </w:r>
      <w:r w:rsidRPr="003E7517">
        <w:rPr>
          <w:rFonts w:ascii="Arial" w:hAnsi="Arial" w:cs="Arial"/>
          <w:sz w:val="24"/>
          <w:szCs w:val="24"/>
        </w:rPr>
        <w:lastRenderedPageBreak/>
        <w:t xml:space="preserve">recursos que quedaron presupuestados y se utilicen en el pago de procesos judiciales. </w:t>
      </w:r>
    </w:p>
    <w:p w14:paraId="1619DB35" w14:textId="77777777" w:rsidR="00E46C0A" w:rsidRPr="003E7517" w:rsidRDefault="00E46C0A" w:rsidP="00E95331">
      <w:pPr>
        <w:pStyle w:val="Textoindependiente"/>
        <w:ind w:right="-141"/>
        <w:jc w:val="both"/>
        <w:rPr>
          <w:rFonts w:ascii="Arial" w:hAnsi="Arial" w:cs="Arial"/>
          <w:sz w:val="24"/>
          <w:szCs w:val="24"/>
        </w:rPr>
      </w:pPr>
    </w:p>
    <w:p w14:paraId="78FB3B85"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 xml:space="preserve">2). Se recomienda continuar con la gestión de recuperación de cartera; en la vigencia 2024 se recaudó un 11% en Tasa Retributiva y un 4% en Tasa de Uso de agua, de vigencias anteriores. </w:t>
      </w:r>
    </w:p>
    <w:p w14:paraId="59275128" w14:textId="77777777" w:rsidR="00E46C0A" w:rsidRPr="003E7517" w:rsidRDefault="00E46C0A" w:rsidP="00E95331">
      <w:pPr>
        <w:pStyle w:val="Textoindependiente"/>
        <w:ind w:right="-141"/>
        <w:jc w:val="both"/>
        <w:rPr>
          <w:rFonts w:ascii="Arial" w:hAnsi="Arial" w:cs="Arial"/>
          <w:sz w:val="24"/>
          <w:szCs w:val="24"/>
        </w:rPr>
      </w:pPr>
    </w:p>
    <w:p w14:paraId="54613E7A"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 xml:space="preserve">3). Se recomienda a la Administración de CORPOAMAZONIA, continuar con saneamiento contable </w:t>
      </w:r>
    </w:p>
    <w:p w14:paraId="31A6AB15" w14:textId="77777777" w:rsidR="00E46C0A" w:rsidRPr="003E7517" w:rsidRDefault="00E46C0A" w:rsidP="00E95331">
      <w:pPr>
        <w:pStyle w:val="Textoindependiente"/>
        <w:ind w:right="-141"/>
        <w:jc w:val="both"/>
        <w:rPr>
          <w:rFonts w:ascii="Arial" w:hAnsi="Arial" w:cs="Arial"/>
          <w:sz w:val="24"/>
          <w:szCs w:val="24"/>
        </w:rPr>
      </w:pPr>
    </w:p>
    <w:p w14:paraId="61FE1985"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 xml:space="preserve">4). Se recomienda seguir circularizando a los Entes Territoriales para cumplir y validar las operaciones reciprocas, con el fin de cumplir con lineamientos exigidos por la Contaduría General de la Nación. </w:t>
      </w:r>
    </w:p>
    <w:p w14:paraId="6C25FBCC" w14:textId="77777777" w:rsidR="00E46C0A" w:rsidRPr="003E7517" w:rsidRDefault="00E46C0A" w:rsidP="00E95331">
      <w:pPr>
        <w:pStyle w:val="Textoindependiente"/>
        <w:ind w:right="-141"/>
        <w:jc w:val="both"/>
        <w:rPr>
          <w:rFonts w:ascii="Arial" w:hAnsi="Arial" w:cs="Arial"/>
          <w:sz w:val="24"/>
          <w:szCs w:val="24"/>
        </w:rPr>
      </w:pPr>
    </w:p>
    <w:p w14:paraId="0839C450" w14:textId="77777777" w:rsidR="00E46C0A" w:rsidRPr="003E7517" w:rsidRDefault="00E46C0A" w:rsidP="00E95331">
      <w:pPr>
        <w:pStyle w:val="Textoindependiente"/>
        <w:ind w:right="-141"/>
        <w:jc w:val="both"/>
        <w:rPr>
          <w:rFonts w:ascii="Arial" w:hAnsi="Arial" w:cs="Arial"/>
          <w:sz w:val="24"/>
          <w:szCs w:val="24"/>
        </w:rPr>
      </w:pPr>
      <w:r w:rsidRPr="003E7517">
        <w:rPr>
          <w:rFonts w:ascii="Arial" w:hAnsi="Arial" w:cs="Arial"/>
          <w:sz w:val="24"/>
          <w:szCs w:val="24"/>
        </w:rPr>
        <w:t>5). Se recomienda que cuando se elaboren Acuerdos de Pago, se elabore una tabla de amortización definiendo claramente el valor mensual del capital de cada uno de los recursos afectados y el valor del interés, con el fin de que el área de contabilidad registe cada una de las rentas afectadas”.</w:t>
      </w:r>
    </w:p>
    <w:p w14:paraId="2B2CE6A3" w14:textId="77777777" w:rsidR="00E46C0A" w:rsidRDefault="00E46C0A" w:rsidP="00E46C0A">
      <w:pPr>
        <w:pStyle w:val="Prrafodelista"/>
        <w:spacing w:before="92"/>
        <w:ind w:left="-142"/>
        <w:rPr>
          <w:rFonts w:ascii="Arial" w:hAnsi="Arial" w:cs="Arial"/>
          <w:b/>
          <w:sz w:val="24"/>
        </w:rPr>
      </w:pPr>
    </w:p>
    <w:p w14:paraId="7498D02E" w14:textId="77777777" w:rsidR="00E46C0A" w:rsidRPr="00730167" w:rsidRDefault="00E46C0A" w:rsidP="00E46C0A">
      <w:pPr>
        <w:jc w:val="both"/>
        <w:rPr>
          <w:rFonts w:ascii="Arial" w:hAnsi="Arial" w:cs="Arial"/>
          <w:b/>
          <w:sz w:val="28"/>
          <w:szCs w:val="28"/>
          <w:lang w:val="es-MX"/>
        </w:rPr>
      </w:pPr>
      <w:r w:rsidRPr="00730167">
        <w:rPr>
          <w:rFonts w:ascii="Arial" w:hAnsi="Arial" w:cs="Arial"/>
          <w:b/>
          <w:sz w:val="28"/>
          <w:szCs w:val="28"/>
          <w:lang w:val="es-MX"/>
        </w:rPr>
        <w:t>284.- ELECTRIFICADORA DEL META S.A. – EMSA S.A.</w:t>
      </w:r>
    </w:p>
    <w:p w14:paraId="2577742A" w14:textId="77777777" w:rsidR="00E46C0A" w:rsidRDefault="00E46C0A" w:rsidP="00E46C0A">
      <w:pPr>
        <w:pStyle w:val="Textoindependiente"/>
        <w:jc w:val="both"/>
        <w:rPr>
          <w:b/>
          <w:bCs/>
        </w:rPr>
      </w:pPr>
    </w:p>
    <w:p w14:paraId="72B0480C" w14:textId="77777777" w:rsidR="00E46C0A" w:rsidRPr="003D69B9" w:rsidRDefault="00E46C0A" w:rsidP="00E46C0A">
      <w:pPr>
        <w:pStyle w:val="Textoindependiente"/>
        <w:jc w:val="both"/>
        <w:rPr>
          <w:rFonts w:ascii="Arial" w:hAnsi="Arial" w:cs="Arial"/>
          <w:b/>
          <w:bCs/>
          <w:sz w:val="24"/>
          <w:szCs w:val="24"/>
        </w:rPr>
      </w:pPr>
      <w:r w:rsidRPr="003D69B9">
        <w:rPr>
          <w:rFonts w:ascii="Arial" w:hAnsi="Arial" w:cs="Arial"/>
          <w:b/>
          <w:bCs/>
          <w:sz w:val="24"/>
          <w:szCs w:val="24"/>
        </w:rPr>
        <w:t>“E-</w:t>
      </w:r>
      <w:r w:rsidRPr="003D69B9">
        <w:rPr>
          <w:rFonts w:ascii="Arial" w:hAnsi="Arial" w:cs="Arial"/>
          <w:b/>
          <w:bCs/>
          <w:sz w:val="24"/>
          <w:szCs w:val="24"/>
        </w:rPr>
        <w:tab/>
        <w:t>Párrafo de Énfasis.</w:t>
      </w:r>
    </w:p>
    <w:p w14:paraId="6FC8D790" w14:textId="77777777" w:rsidR="00E46C0A" w:rsidRPr="003D69B9" w:rsidRDefault="00E46C0A" w:rsidP="00E46C0A">
      <w:pPr>
        <w:pStyle w:val="Textoindependiente"/>
        <w:jc w:val="both"/>
        <w:rPr>
          <w:rFonts w:ascii="Arial" w:hAnsi="Arial" w:cs="Arial"/>
          <w:b/>
          <w:bCs/>
          <w:sz w:val="24"/>
          <w:szCs w:val="24"/>
        </w:rPr>
      </w:pPr>
    </w:p>
    <w:p w14:paraId="07029C0A" w14:textId="77777777" w:rsidR="00E46C0A" w:rsidRPr="003D69B9" w:rsidRDefault="00E46C0A" w:rsidP="00E95331">
      <w:pPr>
        <w:pStyle w:val="Textoindependiente"/>
        <w:ind w:right="-141"/>
        <w:jc w:val="both"/>
        <w:rPr>
          <w:rFonts w:ascii="Arial" w:hAnsi="Arial" w:cs="Arial"/>
          <w:sz w:val="24"/>
          <w:szCs w:val="24"/>
        </w:rPr>
      </w:pPr>
      <w:r w:rsidRPr="003D69B9">
        <w:rPr>
          <w:rFonts w:ascii="Arial" w:hAnsi="Arial" w:cs="Arial"/>
          <w:sz w:val="24"/>
          <w:szCs w:val="24"/>
        </w:rPr>
        <w:t>Sin que implique una modificación a la opinión, de conformidad con la NOTA 10. Propiedades, Planta Y Equipo de los estados financieros, la Electrificadora Del Meta S.A. Empresa De Servicios Públicos en el 2024, reconoció deterioro por cuantía de 334,9MM por el Edificio de la oficina de atención al cliente en Villavicencio por existir evidencia del deterioro físico del activo. Así mismo se reconoció deterioro por el proyecto de la Nueva Subestación Violetas 115/34,5 kV y Líneas asociadas Ocoa Violetas 115 kV, Violetas Granada 115 kV, clasificado en el grupo de Construcciones en Curso, por la tipificación del Indicio de Deterioro interno toda vez que la construcción del activo se ha detenido por un periodo superior a 12 meses.</w:t>
      </w:r>
    </w:p>
    <w:p w14:paraId="0A28CE54" w14:textId="77777777" w:rsidR="00E46C0A" w:rsidRPr="003D69B9" w:rsidRDefault="00E46C0A" w:rsidP="00E95331">
      <w:pPr>
        <w:pStyle w:val="Textoindependiente"/>
        <w:ind w:right="-141"/>
        <w:jc w:val="both"/>
        <w:rPr>
          <w:rFonts w:ascii="Arial" w:hAnsi="Arial" w:cs="Arial"/>
          <w:sz w:val="24"/>
          <w:szCs w:val="24"/>
        </w:rPr>
      </w:pPr>
    </w:p>
    <w:p w14:paraId="5A8023D0" w14:textId="26DCB3DE" w:rsidR="00E46C0A" w:rsidRDefault="00E46C0A" w:rsidP="00E95331">
      <w:pPr>
        <w:pStyle w:val="Textoindependiente"/>
        <w:ind w:right="-141"/>
        <w:jc w:val="both"/>
        <w:rPr>
          <w:rFonts w:ascii="Arial" w:hAnsi="Arial" w:cs="Arial"/>
          <w:sz w:val="24"/>
          <w:szCs w:val="24"/>
        </w:rPr>
      </w:pPr>
      <w:r w:rsidRPr="003D69B9">
        <w:rPr>
          <w:rFonts w:ascii="Arial" w:hAnsi="Arial" w:cs="Arial"/>
          <w:sz w:val="24"/>
          <w:szCs w:val="24"/>
        </w:rPr>
        <w:t xml:space="preserve">La ejecución del contrato 45/7060 “La EMSA SA ESP, tiene registrados contablemente el valor de los equipos suministrados por el contratista, como un Activo en la cuenta “1615 Construcciones en Curso”. Sin embargo, se demostró que estos activos, no se encuentran en la obra, ni bajo custodia y poder de la Electrificadora Del Meta S.A. Empresa De Servicios Públicos; se encuentran bajo los riesgos del contratista, pero este no demostró la propiedad de los equipos pagados por la Electrificadora Del Meta S.A. Empresa De Servicios Públicos, en la ejecución del contrato”.  El citado contrato está suspendido con siete días pendientes de ejecución y presenta una ejecución presupuestal del 66%. </w:t>
      </w:r>
    </w:p>
    <w:p w14:paraId="7BED0617" w14:textId="77777777" w:rsidR="00EE0D80" w:rsidRPr="003D69B9" w:rsidRDefault="00EE0D80" w:rsidP="00E95331">
      <w:pPr>
        <w:pStyle w:val="Textoindependiente"/>
        <w:ind w:right="-141"/>
        <w:jc w:val="both"/>
        <w:rPr>
          <w:rFonts w:ascii="Arial" w:hAnsi="Arial" w:cs="Arial"/>
          <w:sz w:val="24"/>
          <w:szCs w:val="24"/>
        </w:rPr>
      </w:pPr>
    </w:p>
    <w:p w14:paraId="489549BA" w14:textId="77777777" w:rsidR="00E46C0A" w:rsidRDefault="00E46C0A" w:rsidP="00E95331">
      <w:pPr>
        <w:pStyle w:val="Textoindependiente"/>
        <w:ind w:right="-141"/>
        <w:jc w:val="both"/>
        <w:rPr>
          <w:rFonts w:ascii="Arial" w:hAnsi="Arial" w:cs="Arial"/>
          <w:sz w:val="24"/>
          <w:szCs w:val="24"/>
        </w:rPr>
      </w:pPr>
      <w:r w:rsidRPr="003D69B9">
        <w:rPr>
          <w:rFonts w:ascii="Arial" w:hAnsi="Arial" w:cs="Arial"/>
          <w:sz w:val="24"/>
          <w:szCs w:val="24"/>
        </w:rPr>
        <w:t xml:space="preserve">La Gerencia de Proyectos informa al Comité Técnico de Sostenibilidad Contable que, durante el tercer trimestre de 2024, avanzaron en diferentes gestiones con el contratista sin llegar a un acuerdo que le permita a la Electrificadora Del Meta S.A. Empresa De Servicios Públicos la recuperación de los activos; por lo anterior la administración determina iniciar inmediatamente las acciones que conlleven a radicar una demanda contra la UT Subestación las Violetas.  Al cierre de la vigencia la empresa contrató los servicios de DEVIVEROS para llevar la demanda en contra de la Unión Temporal Violetas. Por lo anterior, la entidad determina reconocer deterioro por el proyecto Nueva Subestación Violetas 115/34,5 kV y Líneas asociadas Ocoa Violetas 115 kV, Violetas Granada 115 kV, a los contratos 45/7597, 45/7060 y 45/7085 por valor de </w:t>
      </w:r>
      <w:r w:rsidRPr="003D69B9">
        <w:rPr>
          <w:rFonts w:ascii="Arial" w:hAnsi="Arial" w:cs="Arial"/>
          <w:sz w:val="24"/>
          <w:szCs w:val="24"/>
        </w:rPr>
        <w:lastRenderedPageBreak/>
        <w:t>1.204,6MM”.</w:t>
      </w:r>
    </w:p>
    <w:p w14:paraId="223A45E8" w14:textId="77777777" w:rsidR="00E46C0A" w:rsidRDefault="00E46C0A" w:rsidP="00E95331">
      <w:pPr>
        <w:pStyle w:val="Textoindependiente"/>
        <w:ind w:right="-141"/>
        <w:jc w:val="both"/>
        <w:rPr>
          <w:rFonts w:ascii="Arial" w:hAnsi="Arial" w:cs="Arial"/>
          <w:sz w:val="24"/>
          <w:szCs w:val="24"/>
        </w:rPr>
      </w:pPr>
    </w:p>
    <w:p w14:paraId="30989259" w14:textId="77777777" w:rsidR="00E46C0A" w:rsidRPr="00C0040D" w:rsidRDefault="00E46C0A" w:rsidP="00E95331">
      <w:pPr>
        <w:ind w:right="-141"/>
        <w:jc w:val="both"/>
        <w:rPr>
          <w:rFonts w:ascii="Arial" w:hAnsi="Arial" w:cs="Arial"/>
          <w:b/>
          <w:sz w:val="28"/>
          <w:szCs w:val="28"/>
          <w:lang w:val="es-MX"/>
        </w:rPr>
      </w:pPr>
      <w:r w:rsidRPr="00C0040D">
        <w:rPr>
          <w:rFonts w:ascii="Arial" w:hAnsi="Arial" w:cs="Arial"/>
          <w:b/>
          <w:sz w:val="28"/>
          <w:szCs w:val="28"/>
          <w:lang w:val="es-MX"/>
        </w:rPr>
        <w:t>287.- CORPORACION AUTONOMA REGIONAL DEL CESAR - CORPOCESAR.</w:t>
      </w:r>
    </w:p>
    <w:p w14:paraId="68333B98" w14:textId="77777777" w:rsidR="00E46C0A" w:rsidRPr="003D69B9" w:rsidRDefault="00E46C0A" w:rsidP="00E95331">
      <w:pPr>
        <w:pStyle w:val="Textoindependiente"/>
        <w:ind w:right="-141"/>
        <w:jc w:val="both"/>
        <w:rPr>
          <w:rFonts w:ascii="Arial" w:hAnsi="Arial" w:cs="Arial"/>
          <w:sz w:val="24"/>
          <w:szCs w:val="24"/>
        </w:rPr>
      </w:pPr>
    </w:p>
    <w:p w14:paraId="10821934" w14:textId="77777777" w:rsidR="00E46C0A" w:rsidRPr="00C0040D" w:rsidRDefault="00E46C0A" w:rsidP="00E95331">
      <w:pPr>
        <w:pStyle w:val="Textoindependiente"/>
        <w:ind w:right="-141"/>
        <w:jc w:val="both"/>
        <w:rPr>
          <w:rFonts w:ascii="Arial" w:hAnsi="Arial" w:cs="Arial"/>
          <w:b/>
          <w:bCs/>
          <w:sz w:val="24"/>
          <w:szCs w:val="24"/>
          <w:lang w:val="es-CO"/>
        </w:rPr>
      </w:pPr>
      <w:r w:rsidRPr="00C0040D">
        <w:rPr>
          <w:rFonts w:ascii="Arial" w:hAnsi="Arial" w:cs="Arial"/>
          <w:b/>
          <w:bCs/>
          <w:sz w:val="24"/>
          <w:szCs w:val="24"/>
          <w:lang w:val="es-CO"/>
        </w:rPr>
        <w:t>“E- Párrafo de énfasis.</w:t>
      </w:r>
    </w:p>
    <w:p w14:paraId="6A0D9157" w14:textId="77777777" w:rsidR="00E46C0A" w:rsidRPr="00C0040D" w:rsidRDefault="00E46C0A" w:rsidP="00E95331">
      <w:pPr>
        <w:pStyle w:val="Textoindependiente"/>
        <w:ind w:right="-141"/>
        <w:jc w:val="both"/>
        <w:rPr>
          <w:rFonts w:ascii="Arial" w:hAnsi="Arial" w:cs="Arial"/>
          <w:bCs/>
          <w:sz w:val="24"/>
          <w:szCs w:val="24"/>
          <w:lang w:val="es-CO"/>
        </w:rPr>
      </w:pPr>
    </w:p>
    <w:p w14:paraId="258DB250" w14:textId="77777777" w:rsidR="00E46C0A" w:rsidRPr="00C0040D" w:rsidRDefault="00E46C0A" w:rsidP="00E95331">
      <w:pPr>
        <w:pStyle w:val="Textoindependiente"/>
        <w:ind w:right="-141"/>
        <w:jc w:val="both"/>
        <w:rPr>
          <w:rFonts w:ascii="Arial" w:hAnsi="Arial" w:cs="Arial"/>
          <w:bCs/>
          <w:sz w:val="24"/>
          <w:szCs w:val="24"/>
          <w:lang w:val="es-CO"/>
        </w:rPr>
      </w:pPr>
      <w:r w:rsidRPr="00C0040D">
        <w:rPr>
          <w:rFonts w:ascii="Arial" w:hAnsi="Arial" w:cs="Arial"/>
          <w:bCs/>
          <w:sz w:val="24"/>
          <w:szCs w:val="24"/>
          <w:lang w:val="es-CO"/>
        </w:rPr>
        <w:t>Sin que ello tenga un efecto sobre nuestra opinión, se hace mención:</w:t>
      </w:r>
    </w:p>
    <w:p w14:paraId="47FE7CA1" w14:textId="77777777" w:rsidR="00E46C0A" w:rsidRPr="00C0040D" w:rsidRDefault="00E46C0A" w:rsidP="00E95331">
      <w:pPr>
        <w:pStyle w:val="Textoindependiente"/>
        <w:ind w:right="-141"/>
        <w:jc w:val="both"/>
        <w:rPr>
          <w:rFonts w:ascii="Arial" w:hAnsi="Arial" w:cs="Arial"/>
          <w:bCs/>
          <w:sz w:val="24"/>
          <w:szCs w:val="24"/>
        </w:rPr>
      </w:pPr>
    </w:p>
    <w:p w14:paraId="090016F7" w14:textId="77777777" w:rsidR="00E46C0A" w:rsidRPr="00C0040D" w:rsidRDefault="00E46C0A" w:rsidP="00E95331">
      <w:pPr>
        <w:pStyle w:val="Textoindependiente"/>
        <w:ind w:right="-141"/>
        <w:jc w:val="both"/>
        <w:rPr>
          <w:rFonts w:ascii="Arial" w:hAnsi="Arial" w:cs="Arial"/>
          <w:bCs/>
          <w:sz w:val="24"/>
          <w:szCs w:val="24"/>
          <w:lang w:val="es-CO"/>
        </w:rPr>
      </w:pPr>
      <w:r w:rsidRPr="00C0040D">
        <w:rPr>
          <w:rFonts w:ascii="Arial" w:hAnsi="Arial" w:cs="Arial"/>
          <w:bCs/>
          <w:sz w:val="24"/>
          <w:szCs w:val="24"/>
          <w:lang w:val="es-CO"/>
        </w:rPr>
        <w:t>El Comité de Cartera estudió y evaluó las solicitudes de depuración contable y prescripción presentadas a la mesa por los miembros de la Oficina Jurídica de la entidad, quienes además entregaron un informe donde expusieron los elementos fácticos y jurídicos en los que se basan para solicitar la depuración contable y la prescripción de los mencionados expedientes, la Directora General de CORPOCESAR expidió la Resolución No. 0569 del 28 de octubre de 2024 aprobó la depuración contable de algunas obligaciones a favor de CORPOCESAR por $7.192.210.582 y la Resolución No 0647 del 05 de diciembre de 2024 aprobó decretar la prescripción de la acción de cobro de las obligaciones llevadas al comité de Cartera por valor de $799.664.164,46.</w:t>
      </w:r>
    </w:p>
    <w:p w14:paraId="637DB97A" w14:textId="77777777" w:rsidR="00E46C0A" w:rsidRPr="00C0040D" w:rsidRDefault="00E46C0A" w:rsidP="00E95331">
      <w:pPr>
        <w:pStyle w:val="Textoindependiente"/>
        <w:ind w:right="-141"/>
        <w:jc w:val="both"/>
        <w:rPr>
          <w:rFonts w:ascii="Arial" w:hAnsi="Arial" w:cs="Arial"/>
          <w:bCs/>
          <w:sz w:val="24"/>
          <w:szCs w:val="24"/>
          <w:lang w:val="es-CO"/>
        </w:rPr>
      </w:pPr>
    </w:p>
    <w:p w14:paraId="69415C8D" w14:textId="77777777" w:rsidR="00E46C0A" w:rsidRPr="00C0040D" w:rsidRDefault="00E46C0A" w:rsidP="00E95331">
      <w:pPr>
        <w:pStyle w:val="Textoindependiente"/>
        <w:ind w:right="-141"/>
        <w:jc w:val="both"/>
        <w:rPr>
          <w:rFonts w:ascii="Arial" w:hAnsi="Arial" w:cs="Arial"/>
          <w:bCs/>
          <w:sz w:val="24"/>
          <w:szCs w:val="24"/>
          <w:lang w:val="es-CO"/>
        </w:rPr>
      </w:pPr>
      <w:r w:rsidRPr="00C0040D">
        <w:rPr>
          <w:rFonts w:ascii="Arial" w:hAnsi="Arial" w:cs="Arial"/>
          <w:bCs/>
          <w:sz w:val="24"/>
          <w:szCs w:val="24"/>
          <w:lang w:val="es-CO"/>
        </w:rPr>
        <w:t>Al cierre del periodo fiscal del año 2024 por concepto de provisiones de litigios se ha reconocido pasivos contingentes por valor de $1.124.993.506 y en cuentas de orden se revelan litigios laborales y administrativos por $904.220.453.668</w:t>
      </w:r>
    </w:p>
    <w:p w14:paraId="0B888842" w14:textId="77777777" w:rsidR="00E46C0A" w:rsidRPr="00C0040D" w:rsidRDefault="00E46C0A" w:rsidP="00E95331">
      <w:pPr>
        <w:pStyle w:val="Textoindependiente"/>
        <w:ind w:right="-141"/>
        <w:jc w:val="both"/>
        <w:rPr>
          <w:rFonts w:ascii="Arial" w:hAnsi="Arial" w:cs="Arial"/>
          <w:bCs/>
          <w:sz w:val="24"/>
          <w:szCs w:val="24"/>
          <w:lang w:val="es-CO"/>
        </w:rPr>
      </w:pPr>
    </w:p>
    <w:p w14:paraId="0FE00932" w14:textId="77777777" w:rsidR="00E46C0A" w:rsidRPr="00C0040D" w:rsidRDefault="00E46C0A" w:rsidP="00E95331">
      <w:pPr>
        <w:pStyle w:val="Textoindependiente"/>
        <w:ind w:right="-141"/>
        <w:jc w:val="both"/>
        <w:rPr>
          <w:rFonts w:ascii="Arial" w:hAnsi="Arial" w:cs="Arial"/>
          <w:b/>
          <w:sz w:val="24"/>
          <w:szCs w:val="24"/>
          <w:lang w:val="es-CO"/>
        </w:rPr>
      </w:pPr>
      <w:r w:rsidRPr="00C0040D">
        <w:rPr>
          <w:rFonts w:ascii="Arial" w:hAnsi="Arial" w:cs="Arial"/>
          <w:b/>
          <w:sz w:val="24"/>
          <w:szCs w:val="24"/>
          <w:lang w:val="es-CO"/>
        </w:rPr>
        <w:t>J- Opinión sobre la efectividad del Sistema de Control Interno.</w:t>
      </w:r>
    </w:p>
    <w:p w14:paraId="20CD8601" w14:textId="77777777" w:rsidR="00E46C0A" w:rsidRPr="00C0040D" w:rsidRDefault="00E46C0A" w:rsidP="00E95331">
      <w:pPr>
        <w:pStyle w:val="Textoindependiente"/>
        <w:ind w:right="-141"/>
        <w:jc w:val="both"/>
        <w:rPr>
          <w:rFonts w:ascii="Arial" w:hAnsi="Arial" w:cs="Arial"/>
          <w:bCs/>
          <w:sz w:val="24"/>
          <w:szCs w:val="24"/>
          <w:lang w:val="es-CO"/>
        </w:rPr>
      </w:pPr>
    </w:p>
    <w:p w14:paraId="079A88BE" w14:textId="77777777" w:rsidR="00E46C0A" w:rsidRPr="00C0040D" w:rsidRDefault="00E46C0A" w:rsidP="00E95331">
      <w:pPr>
        <w:pStyle w:val="Textoindependiente"/>
        <w:ind w:right="-141"/>
        <w:jc w:val="both"/>
        <w:rPr>
          <w:rFonts w:ascii="Arial" w:hAnsi="Arial" w:cs="Arial"/>
          <w:bCs/>
          <w:sz w:val="24"/>
          <w:szCs w:val="24"/>
          <w:lang w:val="es-CO"/>
        </w:rPr>
      </w:pPr>
      <w:r w:rsidRPr="00C0040D">
        <w:rPr>
          <w:rFonts w:ascii="Arial" w:hAnsi="Arial" w:cs="Arial"/>
          <w:bCs/>
          <w:sz w:val="24"/>
          <w:szCs w:val="24"/>
          <w:lang w:val="es-CO"/>
        </w:rPr>
        <w:t>En mi opinión, el Control Interno es aceptable, en todos los aspectos importantes. Relacionado con este aspecto, se enviaron memorandos de recomendaciones y se hicieron mesas de trabajo cuando fue necesario, con el objeto de fortalecer dicho sistema”.</w:t>
      </w:r>
    </w:p>
    <w:p w14:paraId="4E7C933A" w14:textId="77777777" w:rsidR="00E46C0A" w:rsidRDefault="00E46C0A" w:rsidP="00E95331">
      <w:pPr>
        <w:ind w:right="-141"/>
        <w:jc w:val="both"/>
        <w:rPr>
          <w:b/>
          <w:sz w:val="28"/>
          <w:szCs w:val="28"/>
          <w:lang w:val="es-CO"/>
        </w:rPr>
      </w:pPr>
    </w:p>
    <w:p w14:paraId="1C28E65F" w14:textId="77777777" w:rsidR="00E46C0A" w:rsidRPr="00A17EEB" w:rsidRDefault="00E46C0A" w:rsidP="00E95331">
      <w:pPr>
        <w:ind w:right="-141"/>
        <w:jc w:val="both"/>
        <w:rPr>
          <w:rFonts w:ascii="Arial" w:hAnsi="Arial" w:cs="Arial"/>
          <w:b/>
          <w:sz w:val="28"/>
          <w:szCs w:val="28"/>
          <w:lang w:val="es-MX"/>
        </w:rPr>
      </w:pPr>
      <w:r w:rsidRPr="00A17EEB">
        <w:rPr>
          <w:rFonts w:ascii="Arial" w:hAnsi="Arial" w:cs="Arial"/>
          <w:b/>
          <w:sz w:val="28"/>
          <w:szCs w:val="28"/>
          <w:lang w:val="es-MX"/>
        </w:rPr>
        <w:t>290.- ADMINISTRADORA COLOMBIANA DE PENSIONES - COLPENSIONES.</w:t>
      </w:r>
    </w:p>
    <w:p w14:paraId="681A9D3B" w14:textId="77777777" w:rsidR="00E46C0A" w:rsidRDefault="00E46C0A" w:rsidP="00E95331">
      <w:pPr>
        <w:pStyle w:val="Textoindependiente"/>
        <w:ind w:right="-141"/>
        <w:jc w:val="both"/>
        <w:rPr>
          <w:b/>
          <w:bCs/>
        </w:rPr>
      </w:pPr>
    </w:p>
    <w:p w14:paraId="600ECEA7" w14:textId="77777777" w:rsidR="00E46C0A" w:rsidRPr="00A17EEB" w:rsidRDefault="00E46C0A" w:rsidP="00E95331">
      <w:pPr>
        <w:pStyle w:val="Textoindependiente"/>
        <w:ind w:right="-141"/>
        <w:jc w:val="both"/>
        <w:rPr>
          <w:rFonts w:ascii="Arial" w:hAnsi="Arial" w:cs="Arial"/>
          <w:b/>
          <w:bCs/>
          <w:sz w:val="24"/>
          <w:szCs w:val="24"/>
        </w:rPr>
      </w:pPr>
      <w:r w:rsidRPr="00A17EEB">
        <w:rPr>
          <w:rFonts w:ascii="Arial" w:hAnsi="Arial" w:cs="Arial"/>
          <w:b/>
          <w:bCs/>
          <w:sz w:val="24"/>
          <w:szCs w:val="24"/>
        </w:rPr>
        <w:t xml:space="preserve">“Conclusión: </w:t>
      </w:r>
    </w:p>
    <w:p w14:paraId="331ABDED" w14:textId="77777777" w:rsidR="00E46C0A" w:rsidRDefault="00E46C0A" w:rsidP="00E95331">
      <w:pPr>
        <w:pStyle w:val="Textoindependiente"/>
        <w:ind w:right="-141"/>
        <w:jc w:val="both"/>
      </w:pPr>
    </w:p>
    <w:p w14:paraId="23F4FE19" w14:textId="77777777" w:rsidR="00E46C0A" w:rsidRPr="00A17EEB" w:rsidRDefault="00E46C0A" w:rsidP="00E95331">
      <w:pPr>
        <w:pStyle w:val="Textoindependiente"/>
        <w:ind w:right="-141"/>
        <w:jc w:val="both"/>
        <w:rPr>
          <w:rFonts w:ascii="Arial" w:hAnsi="Arial" w:cs="Arial"/>
          <w:sz w:val="24"/>
          <w:szCs w:val="24"/>
        </w:rPr>
      </w:pPr>
      <w:r w:rsidRPr="00A17EEB">
        <w:rPr>
          <w:rFonts w:ascii="Arial" w:hAnsi="Arial" w:cs="Arial"/>
          <w:sz w:val="24"/>
          <w:szCs w:val="24"/>
        </w:rPr>
        <w:t xml:space="preserve">Colpensiones, como administradora de los Fondos Pensionales, es la encargada de gestionar el oportuno cobro y recaudo de las cuentas por cobrar representadas en cuotas partes, bonos y títulos pensionales, así como de calcular la pérdida esperada a las mismas; dentro de estos recursos se incluyen saldos recibidos del seguro social en septiembre de 2012. Al 31 de diciembre de 2024 la cartera gestionada por la administradora tiene un saldo neto de $7,8 Billones; la Junta Directiva y el Comité de Auditoría han realizado seguimiento detallado a la evolución de la gestión de las cuentas por cobrar; producto de los análisis y de nuestras pruebas de auditoría, </w:t>
      </w:r>
      <w:r w:rsidRPr="00A17EEB">
        <w:rPr>
          <w:rFonts w:ascii="Arial" w:hAnsi="Arial" w:cs="Arial"/>
          <w:b/>
          <w:bCs/>
          <w:sz w:val="24"/>
          <w:szCs w:val="24"/>
          <w:u w:val="single"/>
        </w:rPr>
        <w:t>se han identificado situaciones como: alto grado de operatividad manual de la cartera en cobro coactivo, falencias en el soporte de las herramientas tecnologías frente al volumen de información que se traducen en falta de oportunidad y eficacia en los procesos de cobro y de depuración de información, entre otros, que afectan la recuperación de estos recursos”</w:t>
      </w:r>
      <w:r w:rsidRPr="00A17EEB">
        <w:rPr>
          <w:rFonts w:ascii="Arial" w:hAnsi="Arial" w:cs="Arial"/>
          <w:sz w:val="24"/>
          <w:szCs w:val="24"/>
        </w:rPr>
        <w:t xml:space="preserve">. </w:t>
      </w:r>
    </w:p>
    <w:p w14:paraId="08C4C620" w14:textId="77777777" w:rsidR="00E46C0A" w:rsidRPr="00243967" w:rsidRDefault="00E46C0A" w:rsidP="00E95331">
      <w:pPr>
        <w:ind w:right="-141"/>
        <w:jc w:val="both"/>
        <w:rPr>
          <w:rFonts w:ascii="Arial" w:hAnsi="Arial" w:cs="Arial"/>
          <w:b/>
          <w:sz w:val="28"/>
          <w:szCs w:val="28"/>
          <w:lang w:val="es-MX"/>
        </w:rPr>
      </w:pPr>
    </w:p>
    <w:p w14:paraId="7FF16036" w14:textId="77777777" w:rsidR="00E46C0A" w:rsidRPr="00243967" w:rsidRDefault="00E46C0A" w:rsidP="00E95331">
      <w:pPr>
        <w:ind w:right="-141"/>
        <w:jc w:val="both"/>
        <w:rPr>
          <w:rFonts w:ascii="Arial" w:hAnsi="Arial" w:cs="Arial"/>
          <w:b/>
          <w:sz w:val="28"/>
          <w:szCs w:val="28"/>
          <w:lang w:val="es-MX"/>
        </w:rPr>
      </w:pPr>
      <w:r w:rsidRPr="00243967">
        <w:rPr>
          <w:rFonts w:ascii="Arial" w:hAnsi="Arial" w:cs="Arial"/>
          <w:b/>
          <w:sz w:val="28"/>
          <w:szCs w:val="28"/>
          <w:lang w:val="es-MX"/>
        </w:rPr>
        <w:t xml:space="preserve">291.- </w:t>
      </w:r>
      <w:r w:rsidRPr="00243967">
        <w:rPr>
          <w:rFonts w:ascii="Arial" w:hAnsi="Arial" w:cs="Arial"/>
          <w:b/>
          <w:sz w:val="28"/>
          <w:szCs w:val="28"/>
        </w:rPr>
        <w:t>FONDO PENSIONAL DE VEJEZ – COLPENSIONES.</w:t>
      </w:r>
    </w:p>
    <w:p w14:paraId="6A04E65C" w14:textId="77777777" w:rsidR="00E46C0A" w:rsidRDefault="00E46C0A" w:rsidP="00E95331">
      <w:pPr>
        <w:pStyle w:val="Textoindependiente"/>
        <w:ind w:right="-141"/>
        <w:jc w:val="both"/>
        <w:rPr>
          <w:b/>
          <w:bCs/>
        </w:rPr>
      </w:pPr>
    </w:p>
    <w:p w14:paraId="5906433E" w14:textId="77777777" w:rsidR="00E46C0A" w:rsidRPr="00243967" w:rsidRDefault="00E46C0A" w:rsidP="00E95331">
      <w:pPr>
        <w:pStyle w:val="Textoindependiente"/>
        <w:ind w:right="-141"/>
        <w:jc w:val="both"/>
        <w:rPr>
          <w:rFonts w:ascii="Arial" w:hAnsi="Arial" w:cs="Arial"/>
          <w:b/>
          <w:bCs/>
          <w:sz w:val="24"/>
          <w:szCs w:val="24"/>
        </w:rPr>
      </w:pPr>
      <w:r w:rsidRPr="00243967">
        <w:rPr>
          <w:rFonts w:ascii="Arial" w:hAnsi="Arial" w:cs="Arial"/>
          <w:b/>
          <w:bCs/>
          <w:sz w:val="24"/>
          <w:szCs w:val="24"/>
        </w:rPr>
        <w:lastRenderedPageBreak/>
        <w:t xml:space="preserve">- “Párrafo de énfasis. </w:t>
      </w:r>
    </w:p>
    <w:p w14:paraId="604E89F9" w14:textId="77777777" w:rsidR="00E46C0A" w:rsidRPr="00243967" w:rsidRDefault="00E46C0A" w:rsidP="00E95331">
      <w:pPr>
        <w:pStyle w:val="Textoindependiente"/>
        <w:ind w:right="-141"/>
        <w:jc w:val="both"/>
        <w:rPr>
          <w:rFonts w:ascii="Arial" w:hAnsi="Arial" w:cs="Arial"/>
          <w:sz w:val="24"/>
          <w:szCs w:val="24"/>
        </w:rPr>
      </w:pPr>
    </w:p>
    <w:p w14:paraId="400FF73D" w14:textId="77777777" w:rsidR="00E46C0A" w:rsidRPr="00243967" w:rsidRDefault="00E46C0A" w:rsidP="00E95331">
      <w:pPr>
        <w:pStyle w:val="Textoindependiente"/>
        <w:ind w:right="-141"/>
        <w:jc w:val="both"/>
        <w:rPr>
          <w:rFonts w:ascii="Arial" w:hAnsi="Arial" w:cs="Arial"/>
          <w:sz w:val="24"/>
          <w:szCs w:val="24"/>
        </w:rPr>
      </w:pPr>
      <w:r w:rsidRPr="00243967">
        <w:rPr>
          <w:rFonts w:ascii="Arial" w:hAnsi="Arial" w:cs="Arial"/>
          <w:sz w:val="24"/>
          <w:szCs w:val="24"/>
        </w:rPr>
        <w:t xml:space="preserve">Sin modificar nuestra opinión, queremos llamar la atención en el sentido que el Fondo de Reservas Pensionales de Vejez es administrado por Colpensiones, entidad encargada de gestionar el oportuno cobro de las cuentas por cobrar, del recaudo y evitar la prescripción de estos activos representados en cuotas partes, bonos y títulos pensionales, dentro de los que se incluyen saldos recibidos del seguro social al 28 de septiembre de 2012. </w:t>
      </w:r>
      <w:r w:rsidRPr="00243967">
        <w:rPr>
          <w:rFonts w:ascii="Arial" w:hAnsi="Arial" w:cs="Arial"/>
          <w:b/>
          <w:bCs/>
          <w:sz w:val="24"/>
          <w:szCs w:val="24"/>
          <w:u w:val="single"/>
        </w:rPr>
        <w:t>Al 31 de diciembre de 2024 el valor bruto de las cuentas por cobrar asciende a $10 billones y tiene reconocido un deterioro por pérdida esperada de $2,4 billones.</w:t>
      </w:r>
      <w:r w:rsidRPr="00243967">
        <w:rPr>
          <w:rFonts w:ascii="Arial" w:hAnsi="Arial" w:cs="Arial"/>
          <w:sz w:val="24"/>
          <w:szCs w:val="24"/>
        </w:rPr>
        <w:t xml:space="preserve"> La Junta Directiva y el Comité de Auditoría de Colpensiones realizan un monitoreo continuo y detallado a la gestión, la materialización del deterioro estimado está sujeto a la adecuada, oportuna y eficiente gestión de cobro y recaudo de dichas cuentas por cobrar.</w:t>
      </w:r>
    </w:p>
    <w:p w14:paraId="3F8CBA93" w14:textId="77777777" w:rsidR="00E46C0A" w:rsidRPr="00243967" w:rsidRDefault="00E46C0A" w:rsidP="00E95331">
      <w:pPr>
        <w:pStyle w:val="Textoindependiente"/>
        <w:ind w:right="-141"/>
        <w:jc w:val="both"/>
        <w:rPr>
          <w:rFonts w:ascii="Arial" w:hAnsi="Arial" w:cs="Arial"/>
          <w:sz w:val="24"/>
          <w:szCs w:val="24"/>
        </w:rPr>
      </w:pPr>
    </w:p>
    <w:p w14:paraId="14DE63F5" w14:textId="77777777" w:rsidR="00E46C0A" w:rsidRDefault="00E46C0A" w:rsidP="00E95331">
      <w:pPr>
        <w:pStyle w:val="Textoindependiente"/>
        <w:ind w:right="-141"/>
        <w:jc w:val="both"/>
        <w:rPr>
          <w:rFonts w:ascii="Arial" w:hAnsi="Arial" w:cs="Arial"/>
          <w:sz w:val="24"/>
          <w:szCs w:val="24"/>
        </w:rPr>
      </w:pPr>
      <w:r w:rsidRPr="00243967">
        <w:rPr>
          <w:rFonts w:ascii="Arial" w:hAnsi="Arial" w:cs="Arial"/>
          <w:b/>
          <w:bCs/>
          <w:sz w:val="24"/>
          <w:szCs w:val="24"/>
        </w:rPr>
        <w:t xml:space="preserve">-2. Otras cuestiones. </w:t>
      </w:r>
      <w:r w:rsidRPr="00243967">
        <w:rPr>
          <w:rFonts w:ascii="Arial" w:hAnsi="Arial" w:cs="Arial"/>
          <w:sz w:val="24"/>
          <w:szCs w:val="24"/>
        </w:rPr>
        <w:t xml:space="preserve">Como se detallan en la nota 25.2 a los estados financieros del Fondo Pensional, al 31 de diciembre de 2024 se revela el resultado del cálculo actuarial Pensiones de Invalidez por $35,9 billones de pesos”. </w:t>
      </w:r>
    </w:p>
    <w:p w14:paraId="32AD7D94" w14:textId="77777777" w:rsidR="00E46C0A" w:rsidRDefault="00E46C0A" w:rsidP="00E95331">
      <w:pPr>
        <w:pStyle w:val="Textoindependiente"/>
        <w:ind w:right="-141"/>
        <w:jc w:val="both"/>
        <w:rPr>
          <w:rFonts w:ascii="Arial" w:hAnsi="Arial" w:cs="Arial"/>
          <w:sz w:val="24"/>
          <w:szCs w:val="24"/>
        </w:rPr>
      </w:pPr>
    </w:p>
    <w:p w14:paraId="44B76CDC" w14:textId="77777777" w:rsidR="00E46C0A" w:rsidRPr="00480FE8" w:rsidRDefault="00E46C0A" w:rsidP="00E95331">
      <w:pPr>
        <w:ind w:right="-141"/>
        <w:jc w:val="both"/>
        <w:rPr>
          <w:rFonts w:ascii="Arial" w:hAnsi="Arial" w:cs="Arial"/>
          <w:b/>
          <w:sz w:val="28"/>
          <w:szCs w:val="28"/>
          <w:lang w:val="es-MX"/>
        </w:rPr>
      </w:pPr>
      <w:r w:rsidRPr="00480FE8">
        <w:rPr>
          <w:rFonts w:ascii="Arial" w:hAnsi="Arial" w:cs="Arial"/>
          <w:b/>
          <w:sz w:val="28"/>
          <w:szCs w:val="28"/>
          <w:lang w:val="es-MX"/>
        </w:rPr>
        <w:t xml:space="preserve">292.- </w:t>
      </w:r>
      <w:r w:rsidRPr="00480FE8">
        <w:rPr>
          <w:rFonts w:ascii="Arial" w:hAnsi="Arial" w:cs="Arial"/>
          <w:b/>
          <w:sz w:val="28"/>
          <w:szCs w:val="28"/>
        </w:rPr>
        <w:t>FONDO PENSIONAL DE INVALIDEZ - COLPENSIONES</w:t>
      </w:r>
      <w:r w:rsidRPr="00480FE8">
        <w:rPr>
          <w:rFonts w:ascii="Arial" w:hAnsi="Arial" w:cs="Arial"/>
          <w:b/>
          <w:sz w:val="28"/>
          <w:szCs w:val="28"/>
          <w:lang w:val="es-MX"/>
        </w:rPr>
        <w:t>.</w:t>
      </w:r>
    </w:p>
    <w:p w14:paraId="4BD80272" w14:textId="77777777" w:rsidR="00E46C0A" w:rsidRDefault="00E46C0A" w:rsidP="00E95331">
      <w:pPr>
        <w:pStyle w:val="Textoindependiente"/>
        <w:ind w:right="-141"/>
        <w:jc w:val="both"/>
        <w:rPr>
          <w:rFonts w:ascii="Arial" w:hAnsi="Arial" w:cs="Arial"/>
          <w:sz w:val="24"/>
          <w:szCs w:val="24"/>
          <w:lang w:val="es-MX"/>
        </w:rPr>
      </w:pPr>
    </w:p>
    <w:p w14:paraId="38E2B70A" w14:textId="77777777" w:rsidR="00E46C0A" w:rsidRPr="00480FE8" w:rsidRDefault="00E46C0A" w:rsidP="00E95331">
      <w:pPr>
        <w:pStyle w:val="Textoindependiente"/>
        <w:ind w:right="-141"/>
        <w:jc w:val="both"/>
        <w:rPr>
          <w:rFonts w:ascii="Arial" w:hAnsi="Arial" w:cs="Arial"/>
          <w:b/>
          <w:bCs/>
          <w:sz w:val="24"/>
          <w:szCs w:val="24"/>
        </w:rPr>
      </w:pPr>
      <w:r w:rsidRPr="00480FE8">
        <w:rPr>
          <w:rFonts w:ascii="Arial" w:hAnsi="Arial" w:cs="Arial"/>
          <w:b/>
          <w:bCs/>
          <w:sz w:val="24"/>
          <w:szCs w:val="24"/>
        </w:rPr>
        <w:t>“Párrafo de énfasis.</w:t>
      </w:r>
    </w:p>
    <w:p w14:paraId="6C94DC7D" w14:textId="77777777" w:rsidR="00E46C0A" w:rsidRPr="00480FE8" w:rsidRDefault="00E46C0A" w:rsidP="00E95331">
      <w:pPr>
        <w:pStyle w:val="Textoindependiente"/>
        <w:ind w:right="-141"/>
        <w:jc w:val="both"/>
        <w:rPr>
          <w:rFonts w:ascii="Arial" w:hAnsi="Arial" w:cs="Arial"/>
          <w:b/>
          <w:bCs/>
          <w:sz w:val="24"/>
          <w:szCs w:val="24"/>
        </w:rPr>
      </w:pPr>
      <w:r w:rsidRPr="00480FE8">
        <w:rPr>
          <w:rFonts w:ascii="Arial" w:hAnsi="Arial" w:cs="Arial"/>
          <w:b/>
          <w:bCs/>
          <w:sz w:val="24"/>
          <w:szCs w:val="24"/>
        </w:rPr>
        <w:t xml:space="preserve"> </w:t>
      </w:r>
    </w:p>
    <w:p w14:paraId="25DB89CB" w14:textId="77777777" w:rsidR="00E46C0A" w:rsidRPr="00480FE8" w:rsidRDefault="00E46C0A" w:rsidP="00E95331">
      <w:pPr>
        <w:pStyle w:val="Textoindependiente"/>
        <w:ind w:right="-141"/>
        <w:jc w:val="both"/>
        <w:rPr>
          <w:rFonts w:ascii="Arial" w:hAnsi="Arial" w:cs="Arial"/>
          <w:sz w:val="24"/>
          <w:szCs w:val="24"/>
        </w:rPr>
      </w:pPr>
      <w:r w:rsidRPr="00480FE8">
        <w:rPr>
          <w:rFonts w:ascii="Arial" w:hAnsi="Arial" w:cs="Arial"/>
          <w:sz w:val="24"/>
          <w:szCs w:val="24"/>
        </w:rPr>
        <w:t xml:space="preserve">Sin modificar nuestra opinión, queremos llamar la atención en el sentido que el Fondo de Reservas Pensionales de Invalidez es administrado por Colpensiones, entidad encargada de gestionar el oportuno cobro de las cuentas por cobrar, del recaudo y evitar la prescripción de estos activos representados en cuotas partes, bonos y títulos pensionales, dentro de los que se incluyen saldos recibidos del seguro social al 28 de septiembre de 2012. </w:t>
      </w:r>
      <w:r w:rsidRPr="00480FE8">
        <w:rPr>
          <w:rFonts w:ascii="Arial" w:hAnsi="Arial" w:cs="Arial"/>
          <w:b/>
          <w:bCs/>
          <w:sz w:val="24"/>
          <w:szCs w:val="24"/>
          <w:u w:val="single"/>
        </w:rPr>
        <w:t>Al 31 de diciembre de 2024 el valor bruto de las cuentas por cobrar asciende a $94.926 millones y tiene reconocido un deterioro por pérdida esperada de $23.076 millones</w:t>
      </w:r>
      <w:r w:rsidRPr="00480FE8">
        <w:rPr>
          <w:rFonts w:ascii="Arial" w:hAnsi="Arial" w:cs="Arial"/>
          <w:sz w:val="24"/>
          <w:szCs w:val="24"/>
        </w:rPr>
        <w:t>. La Junta Directiva y el Comité de Auditoría de Colpensiones realizan un monitoreo continuo y detallado a la gestión, la materialización del deterioro estimado está sujeto a la adecuada, oportuna y eficiente gestión de cobro y recaudo de dichas cuentas por cobrar.</w:t>
      </w:r>
    </w:p>
    <w:p w14:paraId="7241F740" w14:textId="77777777" w:rsidR="00E46C0A" w:rsidRPr="00480FE8" w:rsidRDefault="00E46C0A" w:rsidP="00E95331">
      <w:pPr>
        <w:pStyle w:val="Textoindependiente"/>
        <w:ind w:right="-141"/>
        <w:jc w:val="both"/>
        <w:rPr>
          <w:rFonts w:ascii="Arial" w:hAnsi="Arial" w:cs="Arial"/>
          <w:sz w:val="24"/>
          <w:szCs w:val="24"/>
        </w:rPr>
      </w:pPr>
    </w:p>
    <w:p w14:paraId="67B74F87" w14:textId="77777777" w:rsidR="00E46C0A" w:rsidRPr="00480FE8" w:rsidRDefault="00E46C0A" w:rsidP="00E95331">
      <w:pPr>
        <w:pStyle w:val="Textoindependiente"/>
        <w:ind w:right="-141"/>
        <w:jc w:val="both"/>
        <w:rPr>
          <w:rFonts w:ascii="Arial" w:hAnsi="Arial" w:cs="Arial"/>
          <w:b/>
          <w:bCs/>
          <w:sz w:val="24"/>
          <w:szCs w:val="24"/>
        </w:rPr>
      </w:pPr>
      <w:r w:rsidRPr="00480FE8">
        <w:rPr>
          <w:rFonts w:ascii="Arial" w:hAnsi="Arial" w:cs="Arial"/>
          <w:b/>
          <w:bCs/>
          <w:sz w:val="24"/>
          <w:szCs w:val="24"/>
        </w:rPr>
        <w:t xml:space="preserve">2. Otras cuestiones. </w:t>
      </w:r>
    </w:p>
    <w:p w14:paraId="7E72E2DA" w14:textId="77777777" w:rsidR="00E46C0A" w:rsidRPr="00480FE8" w:rsidRDefault="00E46C0A" w:rsidP="00E95331">
      <w:pPr>
        <w:pStyle w:val="Textoindependiente"/>
        <w:ind w:right="-141"/>
        <w:jc w:val="both"/>
        <w:rPr>
          <w:rFonts w:ascii="Arial" w:hAnsi="Arial" w:cs="Arial"/>
          <w:sz w:val="24"/>
          <w:szCs w:val="24"/>
        </w:rPr>
      </w:pPr>
    </w:p>
    <w:p w14:paraId="1875CC38" w14:textId="77777777" w:rsidR="00E46C0A" w:rsidRPr="00480FE8" w:rsidRDefault="00E46C0A" w:rsidP="00E95331">
      <w:pPr>
        <w:pStyle w:val="Textoindependiente"/>
        <w:ind w:right="-141"/>
        <w:jc w:val="both"/>
        <w:rPr>
          <w:rFonts w:ascii="Arial" w:hAnsi="Arial" w:cs="Arial"/>
          <w:sz w:val="24"/>
          <w:szCs w:val="24"/>
        </w:rPr>
      </w:pPr>
      <w:r w:rsidRPr="00480FE8">
        <w:rPr>
          <w:rFonts w:ascii="Arial" w:hAnsi="Arial" w:cs="Arial"/>
          <w:b/>
          <w:bCs/>
          <w:sz w:val="24"/>
          <w:szCs w:val="24"/>
        </w:rPr>
        <w:t xml:space="preserve">Cálculo actuarial del Régimen de Prima Media con Prestación Definida. </w:t>
      </w:r>
      <w:r w:rsidRPr="00480FE8">
        <w:rPr>
          <w:rFonts w:ascii="Arial" w:hAnsi="Arial" w:cs="Arial"/>
          <w:sz w:val="24"/>
          <w:szCs w:val="24"/>
        </w:rPr>
        <w:t xml:space="preserve">Colpensiones, como administradora del Fondo de Invalidez, es responsable de preparar y realizar el cálculo actuarial para el Régimen de Prima Media con Prestación Definida, el cual es gestionado desde su Dirección de Prospectiva y Estudios. De acuerdo con las instrucciones de la Contaduría General de la Nación, la responsabilidad del Revisor Fiscal de Colpensiones en los Fondos es verificar su registro en las cuentas de orden en cada uno de ellos. </w:t>
      </w:r>
    </w:p>
    <w:p w14:paraId="7A28401B" w14:textId="77777777" w:rsidR="00E46C0A" w:rsidRPr="00480FE8" w:rsidRDefault="00E46C0A" w:rsidP="00E95331">
      <w:pPr>
        <w:pStyle w:val="Textoindependiente"/>
        <w:ind w:right="-141"/>
        <w:jc w:val="both"/>
        <w:rPr>
          <w:rFonts w:ascii="Arial" w:hAnsi="Arial" w:cs="Arial"/>
          <w:sz w:val="24"/>
          <w:szCs w:val="24"/>
        </w:rPr>
      </w:pPr>
    </w:p>
    <w:p w14:paraId="75303BC0" w14:textId="77777777" w:rsidR="00E46C0A" w:rsidRPr="00480FE8" w:rsidRDefault="00E46C0A" w:rsidP="00E95331">
      <w:pPr>
        <w:pStyle w:val="Textoindependiente"/>
        <w:ind w:right="-141"/>
        <w:jc w:val="both"/>
        <w:rPr>
          <w:rFonts w:ascii="Arial" w:hAnsi="Arial" w:cs="Arial"/>
          <w:sz w:val="24"/>
          <w:szCs w:val="24"/>
        </w:rPr>
      </w:pPr>
      <w:r w:rsidRPr="00480FE8">
        <w:rPr>
          <w:rFonts w:ascii="Arial" w:hAnsi="Arial" w:cs="Arial"/>
          <w:sz w:val="24"/>
          <w:szCs w:val="24"/>
        </w:rPr>
        <w:t xml:space="preserve">Como se detallan en la nota 25.2 a los estados financieros del Fondo Pensional, al 31 de diciembre de 2024 se revela el resultado del cálculo actuarial Pensiones de Invalidez por $35,9 billones de pesos”. </w:t>
      </w:r>
    </w:p>
    <w:p w14:paraId="56711CF9" w14:textId="77777777" w:rsidR="00E46C0A" w:rsidRDefault="00E46C0A" w:rsidP="00E95331">
      <w:pPr>
        <w:pStyle w:val="Textoindependiente"/>
        <w:ind w:right="-141"/>
        <w:jc w:val="both"/>
      </w:pPr>
    </w:p>
    <w:p w14:paraId="4C716FC5" w14:textId="77777777" w:rsidR="00E46C0A" w:rsidRPr="00AC2280" w:rsidRDefault="00E46C0A" w:rsidP="00E95331">
      <w:pPr>
        <w:ind w:right="-141"/>
        <w:jc w:val="both"/>
        <w:rPr>
          <w:rFonts w:ascii="Arial" w:hAnsi="Arial" w:cs="Arial"/>
          <w:b/>
          <w:sz w:val="28"/>
          <w:szCs w:val="28"/>
          <w:lang w:val="es-MX"/>
        </w:rPr>
      </w:pPr>
      <w:r w:rsidRPr="00AC2280">
        <w:rPr>
          <w:rFonts w:ascii="Arial" w:hAnsi="Arial" w:cs="Arial"/>
          <w:b/>
          <w:sz w:val="28"/>
          <w:szCs w:val="28"/>
          <w:lang w:val="es-MX"/>
        </w:rPr>
        <w:t xml:space="preserve">293.- </w:t>
      </w:r>
      <w:r w:rsidRPr="00AC2280">
        <w:rPr>
          <w:rFonts w:ascii="Arial" w:hAnsi="Arial" w:cs="Arial"/>
          <w:b/>
          <w:sz w:val="28"/>
          <w:szCs w:val="28"/>
        </w:rPr>
        <w:t>FONDO PENSIONAL DE SOBREVIVIENTES – COLPENSIONES.</w:t>
      </w:r>
    </w:p>
    <w:p w14:paraId="36D9C750" w14:textId="77777777" w:rsidR="00E46C0A" w:rsidRPr="00AC2280" w:rsidRDefault="00E46C0A" w:rsidP="00E95331">
      <w:pPr>
        <w:pStyle w:val="Textoindependiente"/>
        <w:ind w:right="-141"/>
        <w:jc w:val="both"/>
        <w:rPr>
          <w:lang w:val="es-MX"/>
        </w:rPr>
      </w:pPr>
    </w:p>
    <w:p w14:paraId="5BC00D5F" w14:textId="77777777" w:rsidR="00E46C0A" w:rsidRPr="00AC2280" w:rsidRDefault="00E46C0A" w:rsidP="00E95331">
      <w:pPr>
        <w:pStyle w:val="Textoindependiente"/>
        <w:ind w:right="-141"/>
        <w:jc w:val="both"/>
        <w:rPr>
          <w:rFonts w:ascii="Arial" w:hAnsi="Arial" w:cs="Arial"/>
          <w:b/>
          <w:bCs/>
          <w:sz w:val="24"/>
          <w:szCs w:val="24"/>
        </w:rPr>
      </w:pPr>
      <w:r>
        <w:rPr>
          <w:b/>
          <w:bCs/>
        </w:rPr>
        <w:t>“</w:t>
      </w:r>
      <w:r w:rsidRPr="00AC2280">
        <w:rPr>
          <w:rFonts w:ascii="Arial" w:hAnsi="Arial" w:cs="Arial"/>
          <w:b/>
          <w:bCs/>
          <w:sz w:val="24"/>
          <w:szCs w:val="24"/>
        </w:rPr>
        <w:t>Párrafo de énfasis.</w:t>
      </w:r>
    </w:p>
    <w:p w14:paraId="7FB26033" w14:textId="77777777" w:rsidR="00E46C0A" w:rsidRPr="00AC2280" w:rsidRDefault="00E46C0A" w:rsidP="00E95331">
      <w:pPr>
        <w:pStyle w:val="Textoindependiente"/>
        <w:ind w:right="-141"/>
        <w:jc w:val="both"/>
        <w:rPr>
          <w:rFonts w:ascii="Arial" w:hAnsi="Arial" w:cs="Arial"/>
          <w:sz w:val="24"/>
          <w:szCs w:val="24"/>
        </w:rPr>
      </w:pPr>
      <w:r w:rsidRPr="00AC2280">
        <w:rPr>
          <w:rFonts w:ascii="Arial" w:hAnsi="Arial" w:cs="Arial"/>
          <w:sz w:val="24"/>
          <w:szCs w:val="24"/>
        </w:rPr>
        <w:lastRenderedPageBreak/>
        <w:t xml:space="preserve">Sin modificar nuestra opinión, queremos llamar la atención en el sentido que el Fondo de Reservas Pensionales de Sobrevivientes es administrado por Colpensiones, entidad encargada de gestionar el oportuno cobro de las cuentas por cobrar, del recaudo y evitar la prescripción de estos activos representados en cuotas partes, bonos y títulos pensionales, dentro de los que se incluyen saldos recibidos del seguro social al 28 de septiembre de 2012. </w:t>
      </w:r>
      <w:r w:rsidRPr="00AC2280">
        <w:rPr>
          <w:rFonts w:ascii="Arial" w:hAnsi="Arial" w:cs="Arial"/>
          <w:b/>
          <w:bCs/>
          <w:sz w:val="24"/>
          <w:szCs w:val="24"/>
          <w:u w:val="single"/>
        </w:rPr>
        <w:t>Al 31 de diciembre de 2024 el valor bruto de las cuentas por cobrar asciende a $242.146 millones y tiene reconocido un deterioro por pérdida esperada de $51.279 millones</w:t>
      </w:r>
      <w:r w:rsidRPr="00AC2280">
        <w:rPr>
          <w:rFonts w:ascii="Arial" w:hAnsi="Arial" w:cs="Arial"/>
          <w:sz w:val="24"/>
          <w:szCs w:val="24"/>
        </w:rPr>
        <w:t>. La Junta Directiva y el Comité de Auditoría de Colpensiones realizan un monitoreo continuo y detallado a la gestión, la materialización del deterioro estimado está sujeto a la adecuada, oportuna y eficiente gestión de cobro y recaudo de dichas cuentas por cobrar”.</w:t>
      </w:r>
    </w:p>
    <w:p w14:paraId="792185A0" w14:textId="77777777" w:rsidR="00E46C0A" w:rsidRPr="00AC2280" w:rsidRDefault="00E46C0A" w:rsidP="00E95331">
      <w:pPr>
        <w:pStyle w:val="Textoindependiente"/>
        <w:ind w:right="-141"/>
        <w:jc w:val="both"/>
        <w:rPr>
          <w:rFonts w:ascii="Arial" w:hAnsi="Arial" w:cs="Arial"/>
          <w:sz w:val="24"/>
          <w:szCs w:val="24"/>
        </w:rPr>
      </w:pPr>
    </w:p>
    <w:p w14:paraId="16104A22" w14:textId="77777777" w:rsidR="00E46C0A" w:rsidRDefault="00E46C0A" w:rsidP="00E46C0A">
      <w:pPr>
        <w:jc w:val="both"/>
        <w:rPr>
          <w:rFonts w:ascii="Arial" w:hAnsi="Arial" w:cs="Arial"/>
          <w:b/>
          <w:sz w:val="28"/>
          <w:szCs w:val="28"/>
          <w:lang w:val="es-MX"/>
        </w:rPr>
      </w:pPr>
      <w:r w:rsidRPr="0071036D">
        <w:rPr>
          <w:rFonts w:ascii="Arial" w:hAnsi="Arial" w:cs="Arial"/>
          <w:b/>
          <w:sz w:val="28"/>
          <w:szCs w:val="28"/>
          <w:lang w:val="es-MX"/>
        </w:rPr>
        <w:t xml:space="preserve">297.- SOCIEDAD ALMIDONES DE SUCRE S.A.S. </w:t>
      </w:r>
    </w:p>
    <w:p w14:paraId="09F8A956" w14:textId="77777777" w:rsidR="00E46C0A" w:rsidRPr="00330BB8" w:rsidRDefault="00E46C0A" w:rsidP="00E46C0A">
      <w:pPr>
        <w:pStyle w:val="Prrafodelista"/>
        <w:spacing w:before="92"/>
        <w:ind w:left="-142"/>
        <w:rPr>
          <w:rFonts w:ascii="Arial" w:hAnsi="Arial" w:cs="Arial"/>
          <w:b/>
          <w:sz w:val="24"/>
          <w:szCs w:val="24"/>
          <w:lang w:val="es-MX"/>
        </w:rPr>
      </w:pPr>
    </w:p>
    <w:p w14:paraId="2384F773" w14:textId="77777777" w:rsidR="00E46C0A" w:rsidRPr="00330BB8" w:rsidRDefault="00E46C0A" w:rsidP="00E46C0A">
      <w:pPr>
        <w:pStyle w:val="Textoindependiente"/>
        <w:ind w:right="-50"/>
        <w:jc w:val="both"/>
        <w:rPr>
          <w:rFonts w:ascii="Arial" w:hAnsi="Arial" w:cs="Arial"/>
          <w:b/>
          <w:bCs/>
          <w:sz w:val="24"/>
          <w:szCs w:val="24"/>
        </w:rPr>
      </w:pPr>
      <w:r>
        <w:rPr>
          <w:b/>
          <w:bCs/>
        </w:rPr>
        <w:t>“</w:t>
      </w:r>
      <w:r w:rsidRPr="00330BB8">
        <w:rPr>
          <w:rFonts w:ascii="Arial" w:hAnsi="Arial" w:cs="Arial"/>
          <w:b/>
          <w:bCs/>
          <w:sz w:val="24"/>
          <w:szCs w:val="24"/>
        </w:rPr>
        <w:t xml:space="preserve">Párrafos de énfasis </w:t>
      </w:r>
    </w:p>
    <w:p w14:paraId="3F15BAE3" w14:textId="77777777" w:rsidR="00E46C0A" w:rsidRPr="00330BB8" w:rsidRDefault="00E46C0A" w:rsidP="00E46C0A">
      <w:pPr>
        <w:pStyle w:val="Textoindependiente"/>
        <w:ind w:right="-50"/>
        <w:jc w:val="both"/>
        <w:rPr>
          <w:rFonts w:ascii="Arial" w:hAnsi="Arial" w:cs="Arial"/>
          <w:b/>
          <w:bCs/>
          <w:sz w:val="24"/>
          <w:szCs w:val="24"/>
        </w:rPr>
      </w:pPr>
    </w:p>
    <w:p w14:paraId="3FAF7493" w14:textId="77777777" w:rsidR="00E46C0A" w:rsidRPr="00330BB8" w:rsidRDefault="00E46C0A" w:rsidP="00AE3935">
      <w:pPr>
        <w:pStyle w:val="Textoindependiente"/>
        <w:numPr>
          <w:ilvl w:val="0"/>
          <w:numId w:val="107"/>
        </w:numPr>
        <w:ind w:right="-50"/>
        <w:jc w:val="both"/>
        <w:rPr>
          <w:rFonts w:ascii="Arial" w:hAnsi="Arial" w:cs="Arial"/>
          <w:b/>
          <w:bCs/>
          <w:sz w:val="24"/>
          <w:szCs w:val="24"/>
        </w:rPr>
      </w:pPr>
      <w:r w:rsidRPr="00330BB8">
        <w:rPr>
          <w:rFonts w:ascii="Arial" w:hAnsi="Arial" w:cs="Arial"/>
          <w:b/>
          <w:bCs/>
          <w:sz w:val="24"/>
          <w:szCs w:val="24"/>
        </w:rPr>
        <w:t xml:space="preserve">Pérdidas acumuladas al 2024. </w:t>
      </w:r>
    </w:p>
    <w:p w14:paraId="49180AA3" w14:textId="77777777" w:rsidR="00E46C0A" w:rsidRPr="00330BB8" w:rsidRDefault="00E46C0A" w:rsidP="00E46C0A">
      <w:pPr>
        <w:pStyle w:val="Textoindependiente"/>
        <w:ind w:right="-50"/>
        <w:jc w:val="both"/>
        <w:rPr>
          <w:rFonts w:ascii="Arial" w:hAnsi="Arial" w:cs="Arial"/>
          <w:bCs/>
          <w:sz w:val="24"/>
          <w:szCs w:val="24"/>
        </w:rPr>
      </w:pPr>
    </w:p>
    <w:p w14:paraId="3A5CE3E2" w14:textId="77777777" w:rsidR="00E46C0A" w:rsidRPr="00330BB8" w:rsidRDefault="00E46C0A" w:rsidP="00E95331">
      <w:pPr>
        <w:pStyle w:val="Textoindependiente"/>
        <w:ind w:right="-141"/>
        <w:jc w:val="both"/>
        <w:rPr>
          <w:rFonts w:ascii="Arial" w:hAnsi="Arial" w:cs="Arial"/>
          <w:bCs/>
          <w:sz w:val="24"/>
          <w:szCs w:val="24"/>
        </w:rPr>
      </w:pPr>
      <w:r w:rsidRPr="00330BB8">
        <w:rPr>
          <w:rFonts w:ascii="Arial" w:hAnsi="Arial" w:cs="Arial"/>
          <w:bCs/>
          <w:sz w:val="24"/>
          <w:szCs w:val="24"/>
        </w:rPr>
        <w:t>Informo además sobre las pérdidas acumuladas de la Sociedad al cierre del periodo 2024, las pérdidas operacionales sumaron $6.198 millones, el comportamiento de las perdidas en los últimos 3 años fueron los siguientes;</w:t>
      </w:r>
    </w:p>
    <w:p w14:paraId="189F38AF" w14:textId="77777777" w:rsidR="00E46C0A" w:rsidRDefault="00E46C0A" w:rsidP="00E46C0A">
      <w:pPr>
        <w:pStyle w:val="Textoindependiente"/>
        <w:ind w:right="-50"/>
        <w:jc w:val="both"/>
        <w:rPr>
          <w:bCs/>
        </w:rPr>
      </w:pPr>
    </w:p>
    <w:p w14:paraId="2F4E5469" w14:textId="77777777" w:rsidR="00E46C0A" w:rsidRDefault="00E46C0A" w:rsidP="00E46C0A">
      <w:pPr>
        <w:pStyle w:val="Textoindependiente"/>
        <w:ind w:right="-50"/>
        <w:jc w:val="center"/>
        <w:rPr>
          <w:bCs/>
        </w:rPr>
      </w:pPr>
      <w:r w:rsidRPr="00DC31FA">
        <w:rPr>
          <w:bCs/>
          <w:noProof/>
          <w:lang w:val="es-CO" w:eastAsia="es-CO"/>
        </w:rPr>
        <w:drawing>
          <wp:inline distT="0" distB="0" distL="0" distR="0" wp14:anchorId="3CE287A2" wp14:editId="597A1F54">
            <wp:extent cx="3028950" cy="15525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28950" cy="1552575"/>
                    </a:xfrm>
                    <a:prstGeom prst="rect">
                      <a:avLst/>
                    </a:prstGeom>
                  </pic:spPr>
                </pic:pic>
              </a:graphicData>
            </a:graphic>
          </wp:inline>
        </w:drawing>
      </w:r>
    </w:p>
    <w:p w14:paraId="6B091AE1" w14:textId="77777777" w:rsidR="00E46C0A" w:rsidRDefault="00E46C0A" w:rsidP="00E46C0A">
      <w:pPr>
        <w:pStyle w:val="Textoindependiente"/>
        <w:ind w:right="-50"/>
        <w:jc w:val="both"/>
        <w:rPr>
          <w:bCs/>
        </w:rPr>
      </w:pPr>
    </w:p>
    <w:p w14:paraId="575928AA" w14:textId="77777777" w:rsidR="00E46C0A" w:rsidRPr="00330BB8" w:rsidRDefault="00E46C0A" w:rsidP="00E95331">
      <w:pPr>
        <w:pStyle w:val="Textoindependiente"/>
        <w:ind w:right="-141"/>
        <w:jc w:val="both"/>
        <w:rPr>
          <w:rFonts w:ascii="Arial" w:hAnsi="Arial" w:cs="Arial"/>
          <w:bCs/>
          <w:sz w:val="24"/>
          <w:szCs w:val="24"/>
        </w:rPr>
      </w:pPr>
      <w:r w:rsidRPr="00330BB8">
        <w:rPr>
          <w:rFonts w:ascii="Arial" w:hAnsi="Arial" w:cs="Arial"/>
          <w:bCs/>
          <w:sz w:val="24"/>
          <w:szCs w:val="24"/>
        </w:rPr>
        <w:t xml:space="preserve">Esta situación de perdidas recurrentes ha reducido su patrimonio de $ 30 mil millones de capital suscrito y pagado a un patrimonio neto de $ 22.444 millones, estos resultados generan incertidumbre sobre la capacidad de la Sociedad para continuar como empresa en marcha. Estos estados financieros fueron preparados bajo el supuesto de negocio en marcha, por lo que no se incluyen reclasificaciones o ajustes que pudieran ser necesarios a la situación, de no cambiar los resultados a favor de la continuidad de la empresa. Mi opinión no ha sido modificada por este asunto. </w:t>
      </w:r>
    </w:p>
    <w:p w14:paraId="1279F693" w14:textId="77777777" w:rsidR="00E46C0A" w:rsidRPr="00330BB8" w:rsidRDefault="00E46C0A" w:rsidP="00E46C0A">
      <w:pPr>
        <w:pStyle w:val="Textoindependiente"/>
        <w:ind w:right="-50"/>
        <w:jc w:val="both"/>
        <w:rPr>
          <w:rFonts w:ascii="Arial" w:hAnsi="Arial" w:cs="Arial"/>
          <w:bCs/>
          <w:sz w:val="24"/>
          <w:szCs w:val="24"/>
        </w:rPr>
      </w:pPr>
    </w:p>
    <w:p w14:paraId="6BF51FB2" w14:textId="77777777" w:rsidR="00E46C0A" w:rsidRPr="00330BB8" w:rsidRDefault="00E46C0A" w:rsidP="00AE3935">
      <w:pPr>
        <w:pStyle w:val="Textoindependiente"/>
        <w:numPr>
          <w:ilvl w:val="0"/>
          <w:numId w:val="107"/>
        </w:numPr>
        <w:ind w:right="-50"/>
        <w:jc w:val="both"/>
        <w:rPr>
          <w:rFonts w:ascii="Arial" w:hAnsi="Arial" w:cs="Arial"/>
          <w:b/>
          <w:bCs/>
          <w:sz w:val="24"/>
          <w:szCs w:val="24"/>
        </w:rPr>
      </w:pPr>
      <w:r w:rsidRPr="00330BB8">
        <w:rPr>
          <w:rFonts w:ascii="Arial" w:hAnsi="Arial" w:cs="Arial"/>
          <w:b/>
          <w:bCs/>
          <w:sz w:val="24"/>
          <w:szCs w:val="24"/>
        </w:rPr>
        <w:t xml:space="preserve">Situación de liquidez de la Sociedad. </w:t>
      </w:r>
    </w:p>
    <w:p w14:paraId="35CDD5A4" w14:textId="77777777" w:rsidR="00E46C0A" w:rsidRPr="00330BB8" w:rsidRDefault="00E46C0A" w:rsidP="00E95331">
      <w:pPr>
        <w:pStyle w:val="Textoindependiente"/>
        <w:ind w:right="-141"/>
        <w:jc w:val="both"/>
        <w:rPr>
          <w:rFonts w:ascii="Arial" w:hAnsi="Arial" w:cs="Arial"/>
          <w:bCs/>
          <w:sz w:val="24"/>
          <w:szCs w:val="24"/>
        </w:rPr>
      </w:pPr>
    </w:p>
    <w:p w14:paraId="3489D6A9" w14:textId="77777777" w:rsidR="00E46C0A" w:rsidRPr="00330BB8" w:rsidRDefault="00E46C0A" w:rsidP="00E95331">
      <w:pPr>
        <w:pStyle w:val="Textoindependiente"/>
        <w:ind w:right="-141"/>
        <w:jc w:val="both"/>
        <w:rPr>
          <w:rFonts w:ascii="Arial" w:hAnsi="Arial" w:cs="Arial"/>
          <w:bCs/>
          <w:sz w:val="24"/>
          <w:szCs w:val="24"/>
        </w:rPr>
      </w:pPr>
      <w:r w:rsidRPr="00330BB8">
        <w:rPr>
          <w:rFonts w:ascii="Arial" w:hAnsi="Arial" w:cs="Arial"/>
          <w:bCs/>
          <w:sz w:val="24"/>
          <w:szCs w:val="24"/>
        </w:rPr>
        <w:t xml:space="preserve">La sociedad mantiene una tendencia negativa en la liquidez de la operación, en el año 2023 cerró con un déficit de $ 3.270 millones y 2024 $ 804 millones, situación desencadenada por la compra excesiva de materias primas a un alto costo, muy por encima del precio de mercado, entre los años 2022 y 2023, requiriendo una demanda de recurso muy alta y en muy corto tiempo en el año 2024. Producto de esta misma situación la Sociedad registro al cierre del año 2024, un deterioro de inventarios por $ 1.894 Millones, al realizar el cálculo de VNR (Valor neto de realización), por efecto del sobrecosto de sus inventarios en stock comparado con el precio de </w:t>
      </w:r>
      <w:r w:rsidRPr="00330BB8">
        <w:rPr>
          <w:rFonts w:ascii="Arial" w:hAnsi="Arial" w:cs="Arial"/>
          <w:bCs/>
          <w:sz w:val="24"/>
          <w:szCs w:val="24"/>
        </w:rPr>
        <w:lastRenderedPageBreak/>
        <w:t xml:space="preserve">mercado. Este efecto se sumó a la pérdida operacional obtenida por la entidad. </w:t>
      </w:r>
    </w:p>
    <w:p w14:paraId="26FCE252" w14:textId="77777777" w:rsidR="00E46C0A" w:rsidRPr="00330BB8" w:rsidRDefault="00E46C0A" w:rsidP="00E95331">
      <w:pPr>
        <w:pStyle w:val="Textoindependiente"/>
        <w:ind w:left="720" w:right="-141"/>
        <w:jc w:val="both"/>
        <w:rPr>
          <w:rFonts w:ascii="Arial" w:hAnsi="Arial" w:cs="Arial"/>
          <w:bCs/>
          <w:sz w:val="24"/>
          <w:szCs w:val="24"/>
        </w:rPr>
      </w:pPr>
    </w:p>
    <w:p w14:paraId="4E831DDC" w14:textId="77777777" w:rsidR="00E46C0A" w:rsidRPr="00330BB8" w:rsidRDefault="00E46C0A" w:rsidP="00E95331">
      <w:pPr>
        <w:pStyle w:val="Textoindependiente"/>
        <w:numPr>
          <w:ilvl w:val="0"/>
          <w:numId w:val="107"/>
        </w:numPr>
        <w:ind w:right="-141"/>
        <w:jc w:val="both"/>
        <w:rPr>
          <w:rFonts w:ascii="Arial" w:hAnsi="Arial" w:cs="Arial"/>
          <w:b/>
          <w:bCs/>
          <w:sz w:val="24"/>
          <w:szCs w:val="24"/>
        </w:rPr>
      </w:pPr>
      <w:r w:rsidRPr="00330BB8">
        <w:rPr>
          <w:rFonts w:ascii="Arial" w:hAnsi="Arial" w:cs="Arial"/>
          <w:b/>
          <w:bCs/>
          <w:sz w:val="24"/>
          <w:szCs w:val="24"/>
        </w:rPr>
        <w:t xml:space="preserve">Litigio por demanda de exempleado con fallo adverso en primera instancia. </w:t>
      </w:r>
    </w:p>
    <w:p w14:paraId="171D51FF" w14:textId="77777777" w:rsidR="00E46C0A" w:rsidRPr="00330BB8" w:rsidRDefault="00E46C0A" w:rsidP="00E95331">
      <w:pPr>
        <w:pStyle w:val="Prrafodelista"/>
        <w:ind w:right="-141"/>
        <w:rPr>
          <w:rFonts w:ascii="Arial" w:hAnsi="Arial" w:cs="Arial"/>
          <w:bCs/>
          <w:sz w:val="24"/>
          <w:szCs w:val="24"/>
        </w:rPr>
      </w:pPr>
    </w:p>
    <w:p w14:paraId="5ADF6BA4" w14:textId="77777777" w:rsidR="00E46C0A" w:rsidRPr="00330BB8" w:rsidRDefault="00E46C0A" w:rsidP="00E95331">
      <w:pPr>
        <w:pStyle w:val="Textoindependiente"/>
        <w:ind w:right="-141"/>
        <w:jc w:val="both"/>
        <w:rPr>
          <w:rFonts w:ascii="Arial" w:hAnsi="Arial" w:cs="Arial"/>
          <w:bCs/>
          <w:sz w:val="24"/>
          <w:szCs w:val="24"/>
        </w:rPr>
      </w:pPr>
      <w:r w:rsidRPr="00330BB8">
        <w:rPr>
          <w:rFonts w:ascii="Arial" w:hAnsi="Arial" w:cs="Arial"/>
          <w:bCs/>
          <w:sz w:val="24"/>
          <w:szCs w:val="24"/>
        </w:rPr>
        <w:t>En el año 2024 se reconoce un pasivo estimado como contingencia por fallo en contra de la Sociedad, en Proceso Ordinario Laboral, sentencia de primera instancia, reconoció las pretensiones solicitadas por la demanda, las cuales fueron valoradas en $356 millones. Según los abogados de la entidad para la segunda instancia (Apelación) existe una alta probabilidad de ratificación de la sentencia en contra”.</w:t>
      </w:r>
    </w:p>
    <w:p w14:paraId="483161C6" w14:textId="77777777" w:rsidR="00E46C0A" w:rsidRPr="00330BB8" w:rsidRDefault="00E46C0A" w:rsidP="00E95331">
      <w:pPr>
        <w:pStyle w:val="Textoindependiente"/>
        <w:ind w:right="-141"/>
        <w:jc w:val="both"/>
        <w:rPr>
          <w:rFonts w:ascii="Arial" w:hAnsi="Arial" w:cs="Arial"/>
          <w:bCs/>
          <w:sz w:val="24"/>
          <w:szCs w:val="24"/>
        </w:rPr>
      </w:pPr>
    </w:p>
    <w:p w14:paraId="2980B1B0" w14:textId="77777777" w:rsidR="00E46C0A" w:rsidRPr="004A523D" w:rsidRDefault="00E46C0A" w:rsidP="00E95331">
      <w:pPr>
        <w:ind w:right="-141"/>
        <w:jc w:val="both"/>
        <w:rPr>
          <w:rFonts w:ascii="Arial" w:hAnsi="Arial" w:cs="Arial"/>
          <w:b/>
          <w:sz w:val="28"/>
          <w:szCs w:val="28"/>
          <w:lang w:val="es-MX"/>
        </w:rPr>
      </w:pPr>
      <w:r w:rsidRPr="004A523D">
        <w:rPr>
          <w:rFonts w:ascii="Arial" w:hAnsi="Arial" w:cs="Arial"/>
          <w:b/>
          <w:sz w:val="28"/>
          <w:szCs w:val="28"/>
          <w:lang w:val="es-MX"/>
        </w:rPr>
        <w:t>299.- E.I.C.E. ADMINISTRADORA DEL MONOPOLIO RENTISTICO DE LOS JUEGOS DE SUERTE Y AZAR – COLJUEGOS.</w:t>
      </w:r>
    </w:p>
    <w:p w14:paraId="492D6EB9" w14:textId="77777777" w:rsidR="00E46C0A" w:rsidRPr="004A523D" w:rsidRDefault="00E46C0A" w:rsidP="00E95331">
      <w:pPr>
        <w:pStyle w:val="Prrafodelista"/>
        <w:spacing w:before="92"/>
        <w:ind w:left="-142" w:right="-141"/>
        <w:rPr>
          <w:rFonts w:ascii="Arial" w:hAnsi="Arial" w:cs="Arial"/>
          <w:b/>
          <w:sz w:val="24"/>
        </w:rPr>
      </w:pPr>
    </w:p>
    <w:p w14:paraId="6EFD9B7A" w14:textId="77777777" w:rsidR="00E46C0A" w:rsidRPr="004A523D" w:rsidRDefault="00E46C0A" w:rsidP="00E95331">
      <w:pPr>
        <w:ind w:right="-141"/>
        <w:rPr>
          <w:rFonts w:ascii="Arial" w:hAnsi="Arial" w:cs="Arial"/>
          <w:b/>
          <w:sz w:val="24"/>
        </w:rPr>
      </w:pPr>
      <w:r>
        <w:rPr>
          <w:b/>
          <w:sz w:val="24"/>
        </w:rPr>
        <w:t>-</w:t>
      </w:r>
      <w:r w:rsidRPr="004A523D">
        <w:rPr>
          <w:rFonts w:ascii="Arial" w:hAnsi="Arial" w:cs="Arial"/>
          <w:b/>
          <w:sz w:val="24"/>
        </w:rPr>
        <w:t>Los estados financieros no están firmados por el revisor fiscal.</w:t>
      </w:r>
    </w:p>
    <w:p w14:paraId="12428338" w14:textId="77777777" w:rsidR="00E46C0A" w:rsidRPr="004A523D" w:rsidRDefault="00E46C0A" w:rsidP="00E95331">
      <w:pPr>
        <w:ind w:right="-141"/>
        <w:rPr>
          <w:rFonts w:ascii="Arial" w:hAnsi="Arial" w:cs="Arial"/>
        </w:rPr>
      </w:pPr>
    </w:p>
    <w:p w14:paraId="1CB0C467" w14:textId="77777777" w:rsidR="00E46C0A" w:rsidRDefault="00E46C0A" w:rsidP="00E95331">
      <w:pPr>
        <w:ind w:right="-141"/>
        <w:jc w:val="both"/>
        <w:rPr>
          <w:rFonts w:ascii="Arial" w:hAnsi="Arial" w:cs="Arial"/>
          <w:b/>
          <w:sz w:val="28"/>
          <w:szCs w:val="28"/>
          <w:lang w:val="es-MX"/>
        </w:rPr>
      </w:pPr>
      <w:r w:rsidRPr="00E21C58">
        <w:rPr>
          <w:rFonts w:ascii="Arial" w:hAnsi="Arial" w:cs="Arial"/>
          <w:b/>
          <w:sz w:val="28"/>
          <w:szCs w:val="28"/>
          <w:lang w:val="es-MX"/>
        </w:rPr>
        <w:t>309.- CORPORACIÓN AUTÓNOMA REGIONAL DEL GUAVIO – CORPOGUAVIO.</w:t>
      </w:r>
    </w:p>
    <w:p w14:paraId="446B5AB7" w14:textId="77777777" w:rsidR="00E46C0A" w:rsidRPr="00E21C58" w:rsidRDefault="00E46C0A" w:rsidP="00E46C0A">
      <w:pPr>
        <w:ind w:right="-93"/>
        <w:jc w:val="both"/>
        <w:rPr>
          <w:rFonts w:ascii="Arial" w:hAnsi="Arial" w:cs="Arial"/>
          <w:b/>
          <w:sz w:val="24"/>
          <w:szCs w:val="24"/>
          <w:lang w:val="es-MX"/>
        </w:rPr>
      </w:pPr>
    </w:p>
    <w:p w14:paraId="6583FA44" w14:textId="77777777" w:rsidR="00E46C0A" w:rsidRPr="00E21C58" w:rsidRDefault="00E46C0A" w:rsidP="00E46C0A">
      <w:pPr>
        <w:pStyle w:val="Textoindependiente"/>
        <w:ind w:right="-50"/>
        <w:jc w:val="both"/>
        <w:rPr>
          <w:rFonts w:ascii="Arial" w:hAnsi="Arial" w:cs="Arial"/>
          <w:b/>
          <w:bCs/>
          <w:sz w:val="24"/>
          <w:szCs w:val="24"/>
        </w:rPr>
      </w:pPr>
      <w:r w:rsidRPr="00E21C58">
        <w:rPr>
          <w:rFonts w:ascii="Arial" w:hAnsi="Arial" w:cs="Arial"/>
          <w:b/>
          <w:bCs/>
          <w:sz w:val="24"/>
          <w:szCs w:val="24"/>
        </w:rPr>
        <w:t>- “Procesos jurídicos.</w:t>
      </w:r>
    </w:p>
    <w:p w14:paraId="1324F01A" w14:textId="77777777" w:rsidR="00E46C0A" w:rsidRPr="00E21C58" w:rsidRDefault="00E46C0A" w:rsidP="00E95331">
      <w:pPr>
        <w:pStyle w:val="Textoindependiente"/>
        <w:ind w:right="-141"/>
        <w:jc w:val="both"/>
        <w:rPr>
          <w:rFonts w:ascii="Arial" w:hAnsi="Arial" w:cs="Arial"/>
          <w:sz w:val="24"/>
          <w:szCs w:val="24"/>
        </w:rPr>
      </w:pPr>
    </w:p>
    <w:p w14:paraId="0B1BD06B" w14:textId="77777777" w:rsidR="00E46C0A" w:rsidRPr="00E21C58" w:rsidRDefault="00E46C0A" w:rsidP="00E95331">
      <w:pPr>
        <w:pStyle w:val="Textoindependiente"/>
        <w:ind w:right="-141"/>
        <w:jc w:val="both"/>
        <w:rPr>
          <w:rFonts w:ascii="Arial" w:hAnsi="Arial" w:cs="Arial"/>
          <w:sz w:val="24"/>
          <w:szCs w:val="24"/>
        </w:rPr>
      </w:pPr>
      <w:r w:rsidRPr="00E21C58">
        <w:rPr>
          <w:rFonts w:ascii="Arial" w:hAnsi="Arial" w:cs="Arial"/>
          <w:sz w:val="24"/>
          <w:szCs w:val="24"/>
        </w:rPr>
        <w:t>Respecto a los Procesos jurídicos relacionados en la Notas a los Estados Financieros, se citan los que presentan cuantía y riesgo probable, posible o bajo:</w:t>
      </w:r>
    </w:p>
    <w:p w14:paraId="45174A79" w14:textId="77777777" w:rsidR="00E46C0A" w:rsidRPr="00E21C58" w:rsidRDefault="00E46C0A" w:rsidP="00E95331">
      <w:pPr>
        <w:pStyle w:val="Textoindependiente"/>
        <w:ind w:right="-141"/>
        <w:jc w:val="both"/>
        <w:rPr>
          <w:rFonts w:ascii="Arial" w:hAnsi="Arial" w:cs="Arial"/>
          <w:sz w:val="24"/>
          <w:szCs w:val="24"/>
        </w:rPr>
      </w:pPr>
    </w:p>
    <w:p w14:paraId="2990E73D" w14:textId="77777777" w:rsidR="00E46C0A" w:rsidRPr="00E21C58" w:rsidRDefault="00E46C0A" w:rsidP="00E95331">
      <w:pPr>
        <w:pStyle w:val="Textoindependiente"/>
        <w:numPr>
          <w:ilvl w:val="0"/>
          <w:numId w:val="108"/>
        </w:numPr>
        <w:ind w:right="-141"/>
        <w:jc w:val="both"/>
        <w:rPr>
          <w:rFonts w:ascii="Arial" w:hAnsi="Arial" w:cs="Arial"/>
          <w:b/>
          <w:bCs/>
          <w:sz w:val="24"/>
          <w:szCs w:val="24"/>
        </w:rPr>
      </w:pPr>
      <w:r w:rsidRPr="00E21C58">
        <w:rPr>
          <w:rFonts w:ascii="Arial" w:hAnsi="Arial" w:cs="Arial"/>
          <w:b/>
          <w:bCs/>
          <w:sz w:val="24"/>
          <w:szCs w:val="24"/>
        </w:rPr>
        <w:t>Procesos en contra de CORPOGUAVIO.</w:t>
      </w:r>
    </w:p>
    <w:p w14:paraId="3703DC7D" w14:textId="77777777" w:rsidR="00E46C0A" w:rsidRPr="00E21C58" w:rsidRDefault="00E46C0A" w:rsidP="00E95331">
      <w:pPr>
        <w:pStyle w:val="Textoindependiente"/>
        <w:ind w:right="-141"/>
        <w:jc w:val="both"/>
        <w:rPr>
          <w:rFonts w:ascii="Arial" w:hAnsi="Arial" w:cs="Arial"/>
          <w:sz w:val="24"/>
          <w:szCs w:val="24"/>
        </w:rPr>
      </w:pPr>
    </w:p>
    <w:p w14:paraId="2A2E6C45" w14:textId="77777777" w:rsidR="00E46C0A" w:rsidRPr="00E21C58" w:rsidRDefault="00E46C0A" w:rsidP="00E95331">
      <w:pPr>
        <w:pStyle w:val="Textoindependiente"/>
        <w:numPr>
          <w:ilvl w:val="0"/>
          <w:numId w:val="109"/>
        </w:numPr>
        <w:ind w:right="-141"/>
        <w:jc w:val="both"/>
        <w:rPr>
          <w:rFonts w:ascii="Arial" w:hAnsi="Arial" w:cs="Arial"/>
          <w:sz w:val="24"/>
          <w:szCs w:val="24"/>
        </w:rPr>
      </w:pPr>
      <w:r w:rsidRPr="00E21C58">
        <w:rPr>
          <w:rFonts w:ascii="Arial" w:hAnsi="Arial" w:cs="Arial"/>
          <w:sz w:val="24"/>
          <w:szCs w:val="24"/>
        </w:rPr>
        <w:t xml:space="preserve">Controversias contractuales, Demandante: Fondo Adaptación. Pretensiones; reconocimiento y pago de sumas canceladas por mayor valor de Interventoría en $141.443.650. Se registra en Cuentas de Orden por presentar riesgo </w:t>
      </w:r>
      <w:r w:rsidRPr="00E21C58">
        <w:rPr>
          <w:rFonts w:ascii="Arial" w:hAnsi="Arial" w:cs="Arial"/>
          <w:b/>
          <w:bCs/>
          <w:sz w:val="24"/>
          <w:szCs w:val="24"/>
        </w:rPr>
        <w:t>Probable</w:t>
      </w:r>
      <w:r w:rsidRPr="00E21C58">
        <w:rPr>
          <w:rFonts w:ascii="Arial" w:hAnsi="Arial" w:cs="Arial"/>
          <w:sz w:val="24"/>
          <w:szCs w:val="24"/>
        </w:rPr>
        <w:t>. Se agotó la audiencia inicial el 13 de febrero de 2025.</w:t>
      </w:r>
    </w:p>
    <w:p w14:paraId="51FC6A22" w14:textId="77777777" w:rsidR="00E46C0A" w:rsidRPr="00E21C58" w:rsidRDefault="00E46C0A" w:rsidP="00E95331">
      <w:pPr>
        <w:pStyle w:val="Textoindependiente"/>
        <w:ind w:right="-141"/>
        <w:jc w:val="both"/>
        <w:rPr>
          <w:rFonts w:ascii="Arial" w:hAnsi="Arial" w:cs="Arial"/>
          <w:sz w:val="24"/>
          <w:szCs w:val="24"/>
        </w:rPr>
      </w:pPr>
    </w:p>
    <w:p w14:paraId="5B8076BD" w14:textId="77777777" w:rsidR="00E46C0A" w:rsidRPr="00E21C58" w:rsidRDefault="00E46C0A" w:rsidP="00E95331">
      <w:pPr>
        <w:pStyle w:val="Textoindependiente"/>
        <w:numPr>
          <w:ilvl w:val="0"/>
          <w:numId w:val="109"/>
        </w:numPr>
        <w:ind w:right="-141"/>
        <w:jc w:val="both"/>
        <w:rPr>
          <w:rFonts w:ascii="Arial" w:hAnsi="Arial" w:cs="Arial"/>
          <w:sz w:val="24"/>
          <w:szCs w:val="24"/>
        </w:rPr>
      </w:pPr>
      <w:r w:rsidRPr="00E21C58">
        <w:rPr>
          <w:rFonts w:ascii="Arial" w:hAnsi="Arial" w:cs="Arial"/>
          <w:sz w:val="24"/>
          <w:szCs w:val="24"/>
        </w:rPr>
        <w:t>Proceso de nulidad parcial de Resolución por terminación de nombramiento provisional. Demandante: Bárbara del Pilar Rodríguez Méndez, pretensiones; reintegro del cargo y pago de la suma de $10.998.005,00. Con sentencia de primera instancia favorable a CORPOGUAVIO. Estado, al despacho para desatar Recurso de queja. Se registra en Cuentas de Orden por presentar cuantía y riesgo Bajo”.</w:t>
      </w:r>
    </w:p>
    <w:p w14:paraId="6A580913" w14:textId="77777777" w:rsidR="00E46C0A" w:rsidRDefault="00E46C0A" w:rsidP="00E95331">
      <w:pPr>
        <w:ind w:right="-141"/>
        <w:jc w:val="both"/>
        <w:rPr>
          <w:rFonts w:ascii="Arial" w:hAnsi="Arial" w:cs="Arial"/>
          <w:b/>
          <w:sz w:val="24"/>
          <w:szCs w:val="24"/>
        </w:rPr>
      </w:pPr>
    </w:p>
    <w:p w14:paraId="4E6104A1" w14:textId="77777777" w:rsidR="00E46C0A" w:rsidRPr="004F15A1" w:rsidRDefault="00E46C0A" w:rsidP="00E95331">
      <w:pPr>
        <w:ind w:right="-141"/>
        <w:jc w:val="both"/>
        <w:rPr>
          <w:rFonts w:ascii="Arial" w:hAnsi="Arial" w:cs="Arial"/>
          <w:b/>
          <w:sz w:val="28"/>
          <w:szCs w:val="28"/>
          <w:lang w:val="es-MX"/>
        </w:rPr>
      </w:pPr>
      <w:bookmarkStart w:id="59" w:name="_Hlk205218168"/>
      <w:r w:rsidRPr="004F15A1">
        <w:rPr>
          <w:rFonts w:ascii="Arial" w:hAnsi="Arial" w:cs="Arial"/>
          <w:b/>
          <w:sz w:val="28"/>
          <w:szCs w:val="28"/>
          <w:lang w:val="es-MX"/>
        </w:rPr>
        <w:t>315.- CORPORACIÓN AUTÓNOMA REGIONAL DE BOYACÁ – CORPOBOYACÁ.</w:t>
      </w:r>
    </w:p>
    <w:bookmarkEnd w:id="59"/>
    <w:p w14:paraId="7AFB6F73" w14:textId="77777777" w:rsidR="00E46C0A" w:rsidRDefault="00E46C0A" w:rsidP="00E46C0A">
      <w:pPr>
        <w:ind w:right="-93"/>
        <w:jc w:val="both"/>
        <w:rPr>
          <w:rFonts w:ascii="Arial" w:hAnsi="Arial" w:cs="Arial"/>
          <w:b/>
          <w:sz w:val="24"/>
          <w:szCs w:val="24"/>
          <w:lang w:val="es-MX"/>
        </w:rPr>
      </w:pPr>
    </w:p>
    <w:p w14:paraId="1AEF7C40" w14:textId="77777777" w:rsidR="00E46C0A" w:rsidRPr="004F15A1" w:rsidRDefault="00E46C0A" w:rsidP="00E46C0A">
      <w:pPr>
        <w:pStyle w:val="Textoindependiente"/>
        <w:ind w:right="-50"/>
        <w:jc w:val="both"/>
        <w:rPr>
          <w:rFonts w:ascii="Arial" w:hAnsi="Arial" w:cs="Arial"/>
          <w:b/>
          <w:bCs/>
          <w:sz w:val="24"/>
          <w:szCs w:val="24"/>
        </w:rPr>
      </w:pPr>
      <w:proofErr w:type="gramStart"/>
      <w:r w:rsidRPr="004F15A1">
        <w:rPr>
          <w:rFonts w:ascii="Arial" w:hAnsi="Arial" w:cs="Arial"/>
          <w:b/>
          <w:bCs/>
          <w:sz w:val="24"/>
          <w:szCs w:val="24"/>
        </w:rPr>
        <w:t>-“</w:t>
      </w:r>
      <w:proofErr w:type="gramEnd"/>
      <w:r w:rsidRPr="004F15A1">
        <w:rPr>
          <w:rFonts w:ascii="Arial" w:hAnsi="Arial" w:cs="Arial"/>
          <w:b/>
          <w:bCs/>
          <w:sz w:val="24"/>
          <w:szCs w:val="24"/>
        </w:rPr>
        <w:t>PÁRRAFO DE ÉNFASIS.</w:t>
      </w:r>
    </w:p>
    <w:p w14:paraId="707E6542" w14:textId="77777777" w:rsidR="00E46C0A" w:rsidRPr="004F15A1" w:rsidRDefault="00E46C0A" w:rsidP="00E95331">
      <w:pPr>
        <w:pStyle w:val="Textoindependiente"/>
        <w:ind w:right="-283"/>
        <w:jc w:val="both"/>
        <w:rPr>
          <w:rFonts w:ascii="Arial" w:hAnsi="Arial" w:cs="Arial"/>
          <w:b/>
          <w:bCs/>
          <w:sz w:val="24"/>
          <w:szCs w:val="24"/>
        </w:rPr>
      </w:pPr>
    </w:p>
    <w:p w14:paraId="3BFF9627" w14:textId="77777777" w:rsidR="00E46C0A" w:rsidRPr="004F15A1" w:rsidRDefault="00E46C0A" w:rsidP="00E95331">
      <w:pPr>
        <w:pStyle w:val="Textoindependiente"/>
        <w:ind w:right="-283"/>
        <w:jc w:val="both"/>
        <w:rPr>
          <w:rFonts w:ascii="Arial" w:hAnsi="Arial" w:cs="Arial"/>
          <w:sz w:val="24"/>
          <w:szCs w:val="24"/>
        </w:rPr>
      </w:pPr>
      <w:r w:rsidRPr="004F15A1">
        <w:rPr>
          <w:rFonts w:ascii="Arial" w:hAnsi="Arial" w:cs="Arial"/>
          <w:sz w:val="24"/>
          <w:szCs w:val="24"/>
        </w:rPr>
        <w:t xml:space="preserve">Los estados Financieros a 31 de diciembre de 2024, que se presentan con fines comparativos con la vigencia 2023, que fueron dictaminados por otro revisor fiscal, quien emitió opinión sin salvedades, con énfasis en partidas que no modificaron su opinión y respecto de las cuales la revisoría 2024 declara: </w:t>
      </w:r>
    </w:p>
    <w:p w14:paraId="573035B3" w14:textId="77777777" w:rsidR="00E46C0A" w:rsidRPr="004F15A1" w:rsidRDefault="00E46C0A" w:rsidP="00E95331">
      <w:pPr>
        <w:pStyle w:val="Textoindependiente"/>
        <w:ind w:right="-283"/>
        <w:jc w:val="both"/>
        <w:rPr>
          <w:rFonts w:ascii="Arial" w:hAnsi="Arial" w:cs="Arial"/>
          <w:sz w:val="24"/>
          <w:szCs w:val="24"/>
        </w:rPr>
      </w:pPr>
    </w:p>
    <w:p w14:paraId="6F890491" w14:textId="77777777" w:rsidR="00E46C0A" w:rsidRPr="004F15A1" w:rsidRDefault="00E46C0A" w:rsidP="00E95331">
      <w:pPr>
        <w:pStyle w:val="Textoindependiente"/>
        <w:ind w:right="-283"/>
        <w:jc w:val="both"/>
        <w:rPr>
          <w:rFonts w:ascii="Arial" w:hAnsi="Arial" w:cs="Arial"/>
          <w:sz w:val="24"/>
          <w:szCs w:val="24"/>
        </w:rPr>
      </w:pPr>
      <w:r w:rsidRPr="004F15A1">
        <w:rPr>
          <w:rFonts w:ascii="Arial" w:hAnsi="Arial" w:cs="Arial"/>
          <w:sz w:val="24"/>
          <w:szCs w:val="24"/>
        </w:rPr>
        <w:t xml:space="preserve">Que, mediante estudios técnicos y desarrollos tecnológicos, se llevaron a cabo los ajustes </w:t>
      </w:r>
      <w:r w:rsidRPr="004F15A1">
        <w:rPr>
          <w:rFonts w:ascii="Arial" w:hAnsi="Arial" w:cs="Arial"/>
          <w:sz w:val="24"/>
          <w:szCs w:val="24"/>
        </w:rPr>
        <w:lastRenderedPageBreak/>
        <w:t>correspondientes a las cuentas de Propiedad, Planta y Equipo y su correspondiente deterioro.</w:t>
      </w:r>
    </w:p>
    <w:p w14:paraId="76812822" w14:textId="77777777" w:rsidR="00E46C0A" w:rsidRPr="004F15A1" w:rsidRDefault="00E46C0A" w:rsidP="00E95331">
      <w:pPr>
        <w:pStyle w:val="Textoindependiente"/>
        <w:ind w:right="-283"/>
        <w:jc w:val="both"/>
        <w:rPr>
          <w:rFonts w:ascii="Arial" w:hAnsi="Arial" w:cs="Arial"/>
          <w:sz w:val="24"/>
          <w:szCs w:val="24"/>
        </w:rPr>
      </w:pPr>
    </w:p>
    <w:p w14:paraId="53ED8B20" w14:textId="77777777" w:rsidR="00E46C0A" w:rsidRPr="004F15A1" w:rsidRDefault="00E46C0A" w:rsidP="00E95331">
      <w:pPr>
        <w:pStyle w:val="Textoindependiente"/>
        <w:ind w:right="-283"/>
        <w:jc w:val="both"/>
        <w:rPr>
          <w:rFonts w:ascii="Arial" w:hAnsi="Arial" w:cs="Arial"/>
          <w:sz w:val="24"/>
          <w:szCs w:val="24"/>
        </w:rPr>
      </w:pPr>
      <w:r w:rsidRPr="004F15A1">
        <w:rPr>
          <w:rFonts w:ascii="Arial" w:hAnsi="Arial" w:cs="Arial"/>
          <w:sz w:val="24"/>
          <w:szCs w:val="24"/>
        </w:rPr>
        <w:t>Así mismo, la reexpresión de estados financieros relacionada en párrafo de énfasis de quien dictaminó en vigencias anteriores se dio en la vigencia 2023, con relación a la vigencia 2022, con ajustes a 31 de diciembre de 2023”.</w:t>
      </w:r>
    </w:p>
    <w:p w14:paraId="5AFF1E52" w14:textId="77777777" w:rsidR="00E46C0A" w:rsidRDefault="00E46C0A" w:rsidP="00E95331">
      <w:pPr>
        <w:ind w:right="-283"/>
        <w:jc w:val="both"/>
        <w:rPr>
          <w:rFonts w:ascii="Arial" w:hAnsi="Arial" w:cs="Arial"/>
          <w:b/>
          <w:sz w:val="24"/>
          <w:szCs w:val="24"/>
        </w:rPr>
      </w:pPr>
    </w:p>
    <w:p w14:paraId="083B0583" w14:textId="77777777" w:rsidR="00E46C0A" w:rsidRPr="00E53848" w:rsidRDefault="00E46C0A" w:rsidP="00E95331">
      <w:pPr>
        <w:ind w:right="-283"/>
        <w:jc w:val="both"/>
        <w:rPr>
          <w:rFonts w:ascii="Arial" w:hAnsi="Arial" w:cs="Arial"/>
          <w:b/>
          <w:sz w:val="28"/>
          <w:szCs w:val="28"/>
          <w:lang w:val="es-MX"/>
        </w:rPr>
      </w:pPr>
      <w:r w:rsidRPr="00E53848">
        <w:rPr>
          <w:rFonts w:ascii="Arial" w:hAnsi="Arial" w:cs="Arial"/>
          <w:b/>
          <w:sz w:val="28"/>
          <w:szCs w:val="28"/>
          <w:lang w:val="es-MX"/>
        </w:rPr>
        <w:t>331.- EMPRESA NACIONAL PROMOTORA DEL DESARROLLO TERRITORIAL S.A. – ENTERRITORIO.</w:t>
      </w:r>
    </w:p>
    <w:p w14:paraId="5B4F1E46" w14:textId="77777777" w:rsidR="00E46C0A" w:rsidRDefault="00E46C0A" w:rsidP="00E95331">
      <w:pPr>
        <w:ind w:right="-283"/>
        <w:jc w:val="both"/>
        <w:rPr>
          <w:rFonts w:ascii="Arial" w:hAnsi="Arial" w:cs="Arial"/>
          <w:b/>
          <w:sz w:val="24"/>
          <w:szCs w:val="24"/>
        </w:rPr>
      </w:pPr>
    </w:p>
    <w:p w14:paraId="0549394D" w14:textId="77777777" w:rsidR="00E46C0A" w:rsidRPr="00DD6783" w:rsidRDefault="00E46C0A" w:rsidP="00E95331">
      <w:pPr>
        <w:pStyle w:val="Textoindependiente"/>
        <w:ind w:right="-283"/>
        <w:jc w:val="both"/>
        <w:rPr>
          <w:rFonts w:ascii="Arial" w:hAnsi="Arial" w:cs="Arial"/>
          <w:b/>
          <w:bCs/>
          <w:sz w:val="24"/>
          <w:szCs w:val="24"/>
        </w:rPr>
      </w:pPr>
      <w:r w:rsidRPr="00DD6783">
        <w:rPr>
          <w:rFonts w:ascii="Arial" w:hAnsi="Arial" w:cs="Arial"/>
          <w:b/>
          <w:bCs/>
          <w:sz w:val="24"/>
          <w:szCs w:val="24"/>
        </w:rPr>
        <w:t>“Párrafo de énfasis por Contingencias Acreedoras.</w:t>
      </w:r>
    </w:p>
    <w:p w14:paraId="6527F897" w14:textId="77777777" w:rsidR="00E46C0A" w:rsidRPr="00DD6783" w:rsidRDefault="00E46C0A" w:rsidP="00E95331">
      <w:pPr>
        <w:pStyle w:val="Textoindependiente"/>
        <w:ind w:right="-283"/>
        <w:jc w:val="both"/>
        <w:rPr>
          <w:rFonts w:ascii="Arial" w:hAnsi="Arial" w:cs="Arial"/>
          <w:sz w:val="24"/>
          <w:szCs w:val="24"/>
        </w:rPr>
      </w:pPr>
    </w:p>
    <w:p w14:paraId="4978ACD8" w14:textId="77777777" w:rsidR="00E46C0A" w:rsidRPr="00DD6783" w:rsidRDefault="00E46C0A" w:rsidP="00E95331">
      <w:pPr>
        <w:pStyle w:val="Textoindependiente"/>
        <w:ind w:right="-283"/>
        <w:jc w:val="both"/>
        <w:rPr>
          <w:rFonts w:ascii="Arial" w:hAnsi="Arial" w:cs="Arial"/>
          <w:sz w:val="24"/>
          <w:szCs w:val="24"/>
        </w:rPr>
      </w:pPr>
      <w:r w:rsidRPr="00DD6783">
        <w:rPr>
          <w:rFonts w:ascii="Arial" w:hAnsi="Arial" w:cs="Arial"/>
          <w:sz w:val="24"/>
          <w:szCs w:val="24"/>
        </w:rPr>
        <w:t xml:space="preserve">Sin calificar mi opinión, llamo la atención sobre la Nota 20.2. Procesos Judiciales de los estados </w:t>
      </w:r>
    </w:p>
    <w:p w14:paraId="358BBB34" w14:textId="77777777" w:rsidR="00E46C0A" w:rsidRPr="00DD6783" w:rsidRDefault="00E46C0A" w:rsidP="00E95331">
      <w:pPr>
        <w:pStyle w:val="Textoindependiente"/>
        <w:ind w:right="-283"/>
        <w:jc w:val="both"/>
        <w:rPr>
          <w:rFonts w:ascii="Arial" w:hAnsi="Arial" w:cs="Arial"/>
          <w:sz w:val="24"/>
          <w:szCs w:val="24"/>
        </w:rPr>
      </w:pPr>
      <w:r w:rsidRPr="00DD6783">
        <w:rPr>
          <w:rFonts w:ascii="Arial" w:hAnsi="Arial" w:cs="Arial"/>
          <w:sz w:val="24"/>
          <w:szCs w:val="24"/>
        </w:rPr>
        <w:t xml:space="preserve">financieros donde se indica que existen dos acciones contractuales sobre las cuales el abogado </w:t>
      </w:r>
    </w:p>
    <w:p w14:paraId="4C998079" w14:textId="77777777" w:rsidR="00E46C0A" w:rsidRPr="00DD6783" w:rsidRDefault="00E46C0A" w:rsidP="00E95331">
      <w:pPr>
        <w:pStyle w:val="Textoindependiente"/>
        <w:ind w:right="-283"/>
        <w:jc w:val="both"/>
        <w:rPr>
          <w:rFonts w:ascii="Arial" w:hAnsi="Arial" w:cs="Arial"/>
          <w:sz w:val="24"/>
          <w:szCs w:val="24"/>
        </w:rPr>
      </w:pPr>
      <w:r w:rsidRPr="00DD6783">
        <w:rPr>
          <w:rFonts w:ascii="Arial" w:hAnsi="Arial" w:cs="Arial"/>
          <w:sz w:val="24"/>
          <w:szCs w:val="24"/>
        </w:rPr>
        <w:t>apoderado del proceso confirmo una alta probabilidad de fallo desfavorable a la entidad, el valor y detalle de las acciones es la siguiente:</w:t>
      </w:r>
    </w:p>
    <w:p w14:paraId="37E27FD8" w14:textId="77777777" w:rsidR="00E46C0A" w:rsidRPr="00DD6783" w:rsidRDefault="00E46C0A" w:rsidP="00E95331">
      <w:pPr>
        <w:pStyle w:val="Textoindependiente"/>
        <w:ind w:right="-283"/>
        <w:jc w:val="both"/>
        <w:rPr>
          <w:rFonts w:ascii="Arial" w:hAnsi="Arial" w:cs="Arial"/>
          <w:sz w:val="24"/>
          <w:szCs w:val="24"/>
        </w:rPr>
      </w:pPr>
    </w:p>
    <w:p w14:paraId="074F4BCD" w14:textId="77777777" w:rsidR="00E46C0A" w:rsidRPr="00DD6783" w:rsidRDefault="00E46C0A" w:rsidP="00E95331">
      <w:pPr>
        <w:pStyle w:val="Textoindependiente"/>
        <w:numPr>
          <w:ilvl w:val="0"/>
          <w:numId w:val="110"/>
        </w:numPr>
        <w:ind w:right="-283"/>
        <w:jc w:val="both"/>
        <w:rPr>
          <w:rFonts w:ascii="Arial" w:hAnsi="Arial" w:cs="Arial"/>
          <w:sz w:val="24"/>
          <w:szCs w:val="24"/>
        </w:rPr>
      </w:pPr>
      <w:r w:rsidRPr="00DD6783">
        <w:rPr>
          <w:rFonts w:ascii="Arial" w:hAnsi="Arial" w:cs="Arial"/>
          <w:sz w:val="24"/>
          <w:szCs w:val="24"/>
        </w:rPr>
        <w:t>La Agencia Nacional Minera tiene en curso una acción contractual en contra de ENTerritorio proceso No 25000233600020170075200, por desequilibrio económico del contrato, lo cual, en evaluación jurídica por parte de ENTerritorio S.A se determina la probabilidad de pérdida del proceso son mayores, por lo tanto, se hace necesario realizar la respectiva provisión por el valor $37.291.752 miles de pesos.</w:t>
      </w:r>
    </w:p>
    <w:p w14:paraId="081BB225" w14:textId="77777777" w:rsidR="00E46C0A" w:rsidRPr="00DD6783" w:rsidRDefault="00E46C0A" w:rsidP="00E95331">
      <w:pPr>
        <w:pStyle w:val="Textoindependiente"/>
        <w:ind w:right="-283"/>
        <w:jc w:val="both"/>
        <w:rPr>
          <w:rFonts w:ascii="Arial" w:hAnsi="Arial" w:cs="Arial"/>
          <w:sz w:val="24"/>
          <w:szCs w:val="24"/>
        </w:rPr>
      </w:pPr>
    </w:p>
    <w:p w14:paraId="298DF189" w14:textId="77777777" w:rsidR="00E46C0A" w:rsidRPr="00DD6783" w:rsidRDefault="00E46C0A" w:rsidP="00E95331">
      <w:pPr>
        <w:pStyle w:val="Textoindependiente"/>
        <w:numPr>
          <w:ilvl w:val="0"/>
          <w:numId w:val="110"/>
        </w:numPr>
        <w:ind w:right="-283"/>
        <w:jc w:val="both"/>
        <w:rPr>
          <w:rFonts w:ascii="Arial" w:hAnsi="Arial" w:cs="Arial"/>
          <w:b/>
          <w:bCs/>
          <w:sz w:val="24"/>
          <w:szCs w:val="24"/>
        </w:rPr>
      </w:pPr>
      <w:r w:rsidRPr="00DD6783">
        <w:rPr>
          <w:rFonts w:ascii="Arial" w:hAnsi="Arial" w:cs="Arial"/>
          <w:sz w:val="24"/>
          <w:szCs w:val="24"/>
        </w:rPr>
        <w:t>Acción contractual No. 25000233600020130202800 iniciada por DIRECCIÓN DE IMPUESTOS Y ADUANAS NACIONALES, por causa del incumplimiento del deber liquidar el contrato. Existe fallo desfavorable para los intereses de ENTerritorio S.A. Para el apoderado del proceso los riesgos asociados a la probabilidad de pérdida del proceso son altos, por lo tanto, se hace necesario realizar la respectiva provisión por el valor $1.828.238 miles de pesos”.</w:t>
      </w:r>
      <w:r w:rsidRPr="00DD6783">
        <w:rPr>
          <w:rFonts w:ascii="Arial" w:hAnsi="Arial" w:cs="Arial"/>
          <w:sz w:val="24"/>
          <w:szCs w:val="24"/>
        </w:rPr>
        <w:cr/>
      </w:r>
    </w:p>
    <w:p w14:paraId="4577E22C" w14:textId="77777777" w:rsidR="00E46C0A" w:rsidRPr="00CD1B14" w:rsidRDefault="00E46C0A" w:rsidP="00E95331">
      <w:pPr>
        <w:ind w:right="-283"/>
        <w:jc w:val="both"/>
        <w:rPr>
          <w:rFonts w:ascii="Arial" w:hAnsi="Arial" w:cs="Arial"/>
          <w:b/>
          <w:sz w:val="28"/>
          <w:szCs w:val="28"/>
          <w:lang w:val="es-MX"/>
        </w:rPr>
      </w:pPr>
      <w:r w:rsidRPr="00CD1B14">
        <w:rPr>
          <w:rFonts w:ascii="Arial" w:hAnsi="Arial" w:cs="Arial"/>
          <w:b/>
          <w:sz w:val="28"/>
          <w:szCs w:val="28"/>
          <w:lang w:val="es-MX"/>
        </w:rPr>
        <w:t>341.-</w:t>
      </w:r>
      <w:r w:rsidRPr="00CD1B14">
        <w:rPr>
          <w:rFonts w:ascii="Arial" w:eastAsiaTheme="minorHAnsi" w:hAnsi="Arial" w:cs="Arial"/>
          <w:b/>
          <w:sz w:val="28"/>
          <w:szCs w:val="28"/>
          <w:lang w:val="es-MX"/>
        </w:rPr>
        <w:t xml:space="preserve"> CORPORACIÓN </w:t>
      </w:r>
      <w:r w:rsidRPr="00CD1B14">
        <w:rPr>
          <w:rFonts w:ascii="Arial" w:hAnsi="Arial" w:cs="Arial"/>
          <w:b/>
          <w:sz w:val="28"/>
          <w:szCs w:val="28"/>
          <w:lang w:val="es-MX"/>
        </w:rPr>
        <w:t xml:space="preserve">ROTORR – MOTOR DE INNOVACIÓN. </w:t>
      </w:r>
    </w:p>
    <w:p w14:paraId="232C7DD0" w14:textId="77777777" w:rsidR="00E46C0A" w:rsidRDefault="00E46C0A" w:rsidP="00E95331">
      <w:pPr>
        <w:ind w:right="-283"/>
        <w:jc w:val="both"/>
        <w:rPr>
          <w:rFonts w:ascii="Arial" w:hAnsi="Arial" w:cs="Arial"/>
          <w:b/>
          <w:sz w:val="24"/>
          <w:szCs w:val="24"/>
        </w:rPr>
      </w:pPr>
    </w:p>
    <w:p w14:paraId="7CE36781" w14:textId="77777777" w:rsidR="00E46C0A" w:rsidRPr="00D926CD" w:rsidRDefault="00E46C0A" w:rsidP="00E95331">
      <w:pPr>
        <w:pStyle w:val="Textoindependiente"/>
        <w:ind w:right="-283"/>
        <w:jc w:val="both"/>
        <w:rPr>
          <w:rFonts w:ascii="Arial" w:hAnsi="Arial" w:cs="Arial"/>
          <w:b/>
          <w:bCs/>
          <w:sz w:val="24"/>
          <w:szCs w:val="24"/>
        </w:rPr>
      </w:pPr>
      <w:proofErr w:type="gramStart"/>
      <w:r w:rsidRPr="00D926CD">
        <w:rPr>
          <w:rFonts w:ascii="Arial" w:hAnsi="Arial" w:cs="Arial"/>
          <w:b/>
          <w:bCs/>
          <w:sz w:val="24"/>
          <w:szCs w:val="24"/>
        </w:rPr>
        <w:t>-“</w:t>
      </w:r>
      <w:proofErr w:type="gramEnd"/>
      <w:r w:rsidRPr="00D926CD">
        <w:rPr>
          <w:rFonts w:ascii="Arial" w:hAnsi="Arial" w:cs="Arial"/>
          <w:b/>
          <w:bCs/>
          <w:sz w:val="24"/>
          <w:szCs w:val="24"/>
        </w:rPr>
        <w:t>Otra información.</w:t>
      </w:r>
    </w:p>
    <w:p w14:paraId="3B06C2FD" w14:textId="77777777" w:rsidR="00E46C0A" w:rsidRDefault="00E46C0A" w:rsidP="00E95331">
      <w:pPr>
        <w:pStyle w:val="Textoindependiente"/>
        <w:ind w:right="-283"/>
        <w:jc w:val="both"/>
      </w:pPr>
    </w:p>
    <w:p w14:paraId="0D7338F5" w14:textId="77777777" w:rsidR="00E46C0A" w:rsidRDefault="00E46C0A" w:rsidP="00E95331">
      <w:pPr>
        <w:pStyle w:val="Textoindependiente"/>
        <w:ind w:right="-283"/>
        <w:jc w:val="both"/>
      </w:pPr>
      <w:r>
        <w:t>En cuanto al Control Interno, se debe hacer más énfasis en mejorar la implementación del Sistema de Administración de Riesgo de Lavado de Activos y Financiación del Terrorismo (SARLAFT). Igualmente, se debe examinar el tema de las asignaciones permanentes (reservas) en lo que se refiere a las reinversiones de los excedentes de la Corporación”.</w:t>
      </w:r>
    </w:p>
    <w:p w14:paraId="185CC8B4" w14:textId="77777777" w:rsidR="00E46C0A" w:rsidRDefault="00E46C0A" w:rsidP="00E95331">
      <w:pPr>
        <w:ind w:right="-283"/>
        <w:jc w:val="both"/>
        <w:rPr>
          <w:rFonts w:ascii="Arial" w:hAnsi="Arial" w:cs="Arial"/>
          <w:b/>
          <w:sz w:val="24"/>
          <w:szCs w:val="24"/>
        </w:rPr>
      </w:pPr>
    </w:p>
    <w:p w14:paraId="3A8C4F9F" w14:textId="77777777" w:rsidR="00E46C0A" w:rsidRPr="00A061AF" w:rsidRDefault="00E46C0A" w:rsidP="00E95331">
      <w:pPr>
        <w:ind w:right="-283"/>
        <w:jc w:val="both"/>
        <w:rPr>
          <w:rFonts w:ascii="Arial" w:hAnsi="Arial" w:cs="Arial"/>
          <w:b/>
          <w:sz w:val="28"/>
          <w:szCs w:val="28"/>
          <w:lang w:val="es-MX"/>
        </w:rPr>
      </w:pPr>
      <w:r w:rsidRPr="00A061AF">
        <w:rPr>
          <w:rFonts w:ascii="Arial" w:hAnsi="Arial" w:cs="Arial"/>
          <w:b/>
          <w:sz w:val="28"/>
          <w:szCs w:val="28"/>
          <w:lang w:val="es-MX"/>
        </w:rPr>
        <w:t xml:space="preserve">347.- FONDO AGROPECUARIO DE GARANTÍAS – FAG. </w:t>
      </w:r>
    </w:p>
    <w:p w14:paraId="473EC204" w14:textId="77777777" w:rsidR="0008150C" w:rsidRDefault="0008150C" w:rsidP="00E95331">
      <w:pPr>
        <w:pStyle w:val="Textoindependiente"/>
        <w:ind w:right="-283"/>
        <w:jc w:val="both"/>
        <w:rPr>
          <w:rFonts w:ascii="Arial" w:hAnsi="Arial" w:cs="Arial"/>
          <w:b/>
          <w:bCs/>
          <w:sz w:val="24"/>
          <w:szCs w:val="24"/>
        </w:rPr>
      </w:pPr>
    </w:p>
    <w:p w14:paraId="690C20D4" w14:textId="3E4063BB" w:rsidR="00E46C0A" w:rsidRPr="00F21DE5" w:rsidRDefault="00E46C0A" w:rsidP="00E95331">
      <w:pPr>
        <w:pStyle w:val="Textoindependiente"/>
        <w:ind w:right="-283"/>
        <w:jc w:val="both"/>
        <w:rPr>
          <w:rFonts w:ascii="Arial" w:hAnsi="Arial" w:cs="Arial"/>
          <w:b/>
          <w:bCs/>
          <w:sz w:val="24"/>
          <w:szCs w:val="24"/>
        </w:rPr>
      </w:pPr>
      <w:proofErr w:type="gramStart"/>
      <w:r w:rsidRPr="00F21DE5">
        <w:rPr>
          <w:rFonts w:ascii="Arial" w:hAnsi="Arial" w:cs="Arial"/>
          <w:b/>
          <w:bCs/>
          <w:sz w:val="24"/>
          <w:szCs w:val="24"/>
        </w:rPr>
        <w:t>-“</w:t>
      </w:r>
      <w:proofErr w:type="gramEnd"/>
      <w:r w:rsidRPr="00F21DE5">
        <w:rPr>
          <w:rFonts w:ascii="Arial" w:hAnsi="Arial" w:cs="Arial"/>
          <w:b/>
          <w:bCs/>
          <w:sz w:val="24"/>
          <w:szCs w:val="24"/>
        </w:rPr>
        <w:t>Párrafo de énfasis.</w:t>
      </w:r>
    </w:p>
    <w:p w14:paraId="115465BF" w14:textId="77777777" w:rsidR="00E46C0A" w:rsidRPr="00F21DE5" w:rsidRDefault="00E46C0A" w:rsidP="00E95331">
      <w:pPr>
        <w:pStyle w:val="Textoindependiente"/>
        <w:ind w:right="-283"/>
        <w:jc w:val="both"/>
        <w:rPr>
          <w:rFonts w:ascii="Arial" w:hAnsi="Arial" w:cs="Arial"/>
          <w:sz w:val="24"/>
          <w:szCs w:val="24"/>
        </w:rPr>
      </w:pPr>
    </w:p>
    <w:p w14:paraId="6DD0061C" w14:textId="2A45F05C" w:rsidR="00E46C0A" w:rsidRDefault="00E46C0A" w:rsidP="00E95331">
      <w:pPr>
        <w:pStyle w:val="Textoindependiente"/>
        <w:ind w:right="-283"/>
        <w:jc w:val="both"/>
        <w:rPr>
          <w:rFonts w:ascii="Arial" w:hAnsi="Arial" w:cs="Arial"/>
          <w:sz w:val="24"/>
          <w:szCs w:val="24"/>
        </w:rPr>
      </w:pPr>
      <w:r w:rsidRPr="00F21DE5">
        <w:rPr>
          <w:rFonts w:ascii="Arial" w:hAnsi="Arial" w:cs="Arial"/>
          <w:sz w:val="24"/>
          <w:szCs w:val="24"/>
        </w:rPr>
        <w:t xml:space="preserve">En los estados financieros al 31 de diciembre de 2024, el FAG registra pago de siniestros por $622.059 millones en el año 2024, que significó un crecimiento frente al año anterior del 114%; ha presentado pérdidas recurrentes, en los ejercicios anuales de 2024 y 2023, por valor de $233.979 millones y $138.602 millones, respectivamente; pérdidas acumuladas por $585.038 millones que representan el 58% del Patrimonio Neto, las provisiones y reservas ascienden a $1.08 billones aumentando el 9% frente al año anterior. En la Nota 2 a los estados financieros, Finagro, como </w:t>
      </w:r>
      <w:r w:rsidRPr="00F21DE5">
        <w:rPr>
          <w:rFonts w:ascii="Arial" w:hAnsi="Arial" w:cs="Arial"/>
          <w:sz w:val="24"/>
          <w:szCs w:val="24"/>
        </w:rPr>
        <w:lastRenderedPageBreak/>
        <w:t>administradora del FAG, describe su análisis del principio contable de negocio en marcha, considerando que, por su propósito social e instrumento de política pública, cuentan con diferentes herramientas legales para sostener su viabilidad financiera. Nuestra opinión no ha sido modificada en relación con la situación descrita”.</w:t>
      </w:r>
    </w:p>
    <w:p w14:paraId="60874313" w14:textId="77777777" w:rsidR="00E46C0A" w:rsidRPr="00F21DE5" w:rsidRDefault="00E46C0A" w:rsidP="00E95331">
      <w:pPr>
        <w:ind w:right="-283"/>
        <w:jc w:val="both"/>
        <w:rPr>
          <w:rFonts w:ascii="Arial" w:hAnsi="Arial" w:cs="Arial"/>
          <w:b/>
          <w:sz w:val="24"/>
          <w:szCs w:val="24"/>
        </w:rPr>
      </w:pPr>
    </w:p>
    <w:p w14:paraId="354C75FF" w14:textId="6EE65C1A" w:rsidR="006F5634" w:rsidRPr="006F5634" w:rsidRDefault="00D74C48" w:rsidP="006F5634">
      <w:pPr>
        <w:ind w:right="-234"/>
        <w:jc w:val="center"/>
        <w:rPr>
          <w:rFonts w:ascii="Arial" w:eastAsia="Trebuchet MS" w:hAnsi="Arial" w:cs="Arial"/>
          <w:b/>
          <w:sz w:val="28"/>
          <w:szCs w:val="28"/>
          <w:u w:val="single"/>
          <w:lang w:val="es-ES_tradnl" w:eastAsia="es-CO"/>
        </w:rPr>
      </w:pPr>
      <w:r>
        <w:rPr>
          <w:rFonts w:ascii="Arial" w:eastAsia="Trebuchet MS" w:hAnsi="Arial" w:cs="Arial"/>
          <w:b/>
          <w:sz w:val="28"/>
          <w:szCs w:val="28"/>
          <w:u w:val="single"/>
          <w:lang w:val="es-ES_tradnl" w:eastAsia="es-CO"/>
        </w:rPr>
        <w:t>18</w:t>
      </w:r>
      <w:r w:rsidR="006F5634" w:rsidRPr="006F5634">
        <w:rPr>
          <w:rFonts w:ascii="Arial" w:eastAsia="Trebuchet MS" w:hAnsi="Arial" w:cs="Arial"/>
          <w:b/>
          <w:sz w:val="28"/>
          <w:szCs w:val="28"/>
          <w:u w:val="single"/>
          <w:lang w:val="es-ES_tradnl" w:eastAsia="es-CO"/>
        </w:rPr>
        <w:t>.- ENTIDADES QUE NO TIENEN ACTUALIZADA SU PÁGINA DE INTERNET CON LA INFORMACIÓN PRESUPUESTAL, CONTABLE, ADMINISTRATIVA, CONTROL INTERNO CONTABLE E INFORMES DE GESTIÓN A 31 DE DICIEMBRE DE 2024. SON POCO CLARAS Y LIMITAN EL DERECHO A LA INFORMACIÓN EN TIEMPO REAL</w:t>
      </w:r>
    </w:p>
    <w:p w14:paraId="515776CD" w14:textId="77777777" w:rsidR="006F5634" w:rsidRPr="00FE2C5F" w:rsidRDefault="006F5634" w:rsidP="006F5634">
      <w:pPr>
        <w:ind w:left="-142" w:right="-518"/>
        <w:jc w:val="both"/>
        <w:rPr>
          <w:rFonts w:ascii="Arial" w:eastAsia="Trebuchet MS" w:hAnsi="Arial" w:cs="Arial"/>
          <w:b/>
          <w:sz w:val="28"/>
          <w:szCs w:val="28"/>
          <w:lang w:val="es-ES_tradnl" w:eastAsia="es-CO"/>
        </w:rPr>
      </w:pPr>
    </w:p>
    <w:p w14:paraId="23757509" w14:textId="77777777" w:rsidR="006F5634" w:rsidRPr="00FE2C5F" w:rsidRDefault="006F5634" w:rsidP="006F5634">
      <w:pPr>
        <w:ind w:left="-426" w:right="-376"/>
        <w:jc w:val="center"/>
        <w:rPr>
          <w:rFonts w:ascii="Arial" w:hAnsi="Arial" w:cs="Arial"/>
          <w:b/>
          <w:sz w:val="28"/>
          <w:szCs w:val="28"/>
          <w:shd w:val="clear" w:color="auto" w:fill="FFFFFF"/>
        </w:rPr>
      </w:pPr>
      <w:r w:rsidRPr="00FE2C5F">
        <w:rPr>
          <w:rFonts w:ascii="Arial" w:hAnsi="Arial" w:cs="Arial"/>
          <w:b/>
          <w:sz w:val="28"/>
          <w:szCs w:val="28"/>
          <w:shd w:val="clear" w:color="auto" w:fill="FFFFFF"/>
        </w:rPr>
        <w:t>TRANSPARENCIA Y ACCESO A LA INFORMACIÓN PÚBLICA</w:t>
      </w:r>
    </w:p>
    <w:p w14:paraId="6C179696" w14:textId="77777777" w:rsidR="006F5634" w:rsidRPr="00FE2C5F" w:rsidRDefault="006F5634" w:rsidP="006F5634">
      <w:pPr>
        <w:ind w:left="-426" w:right="-376"/>
        <w:jc w:val="center"/>
        <w:rPr>
          <w:rFonts w:ascii="Arial" w:hAnsi="Arial" w:cs="Arial"/>
          <w:b/>
          <w:sz w:val="28"/>
          <w:szCs w:val="28"/>
          <w:shd w:val="clear" w:color="auto" w:fill="FFFFFF"/>
        </w:rPr>
      </w:pPr>
    </w:p>
    <w:p w14:paraId="5FF8DACC" w14:textId="77777777" w:rsidR="006F5634" w:rsidRPr="00FE2C5F" w:rsidRDefault="006F5634" w:rsidP="006F5634">
      <w:pPr>
        <w:ind w:left="-142" w:right="-234"/>
        <w:jc w:val="center"/>
        <w:rPr>
          <w:rFonts w:ascii="Arial" w:hAnsi="Arial" w:cs="Arial"/>
          <w:b/>
          <w:sz w:val="28"/>
          <w:szCs w:val="28"/>
          <w:shd w:val="clear" w:color="auto" w:fill="FFFFFF"/>
        </w:rPr>
      </w:pPr>
      <w:r w:rsidRPr="00FE2C5F">
        <w:rPr>
          <w:rFonts w:ascii="Arial" w:hAnsi="Arial" w:cs="Arial"/>
          <w:b/>
          <w:sz w:val="28"/>
          <w:szCs w:val="28"/>
          <w:shd w:val="clear" w:color="auto" w:fill="FFFFFF"/>
        </w:rPr>
        <w:t>Ley 1712 del 2014 y la Resolución 1519 de 2020 del Ministerio de Tecnologías de la Información y Comunicaciones – MinTIC.</w:t>
      </w:r>
    </w:p>
    <w:p w14:paraId="68EEA9EF" w14:textId="77777777" w:rsidR="006F5634" w:rsidRPr="004B1294" w:rsidRDefault="006F5634" w:rsidP="006F5634">
      <w:pPr>
        <w:ind w:left="-142" w:right="-518"/>
        <w:jc w:val="center"/>
        <w:rPr>
          <w:rFonts w:ascii="Arial" w:hAnsi="Arial" w:cs="Arial"/>
          <w:b/>
          <w:sz w:val="28"/>
          <w:szCs w:val="28"/>
          <w:shd w:val="clear" w:color="auto" w:fill="FFFFFF"/>
        </w:rPr>
      </w:pPr>
    </w:p>
    <w:tbl>
      <w:tblPr>
        <w:tblStyle w:val="Tablaconcuadrcula"/>
        <w:tblW w:w="10348" w:type="dxa"/>
        <w:tblInd w:w="-5" w:type="dxa"/>
        <w:tblLook w:val="04A0" w:firstRow="1" w:lastRow="0" w:firstColumn="1" w:lastColumn="0" w:noHBand="0" w:noVBand="1"/>
      </w:tblPr>
      <w:tblGrid>
        <w:gridCol w:w="1834"/>
        <w:gridCol w:w="8514"/>
      </w:tblGrid>
      <w:tr w:rsidR="006F5634" w:rsidRPr="004B1294" w14:paraId="6BAFDDA2" w14:textId="77777777" w:rsidTr="00C17E6E">
        <w:tc>
          <w:tcPr>
            <w:tcW w:w="1834" w:type="dxa"/>
          </w:tcPr>
          <w:p w14:paraId="26FA3042" w14:textId="77777777" w:rsidR="006F5634" w:rsidRPr="004B1294" w:rsidRDefault="006F5634" w:rsidP="00F1223B">
            <w:pPr>
              <w:tabs>
                <w:tab w:val="left" w:pos="993"/>
              </w:tabs>
              <w:jc w:val="center"/>
              <w:rPr>
                <w:rFonts w:ascii="Arial" w:hAnsi="Arial" w:cs="Arial"/>
                <w:b/>
              </w:rPr>
            </w:pPr>
            <w:r w:rsidRPr="004B1294">
              <w:rPr>
                <w:rFonts w:ascii="Arial" w:hAnsi="Arial" w:cs="Arial"/>
                <w:b/>
              </w:rPr>
              <w:t xml:space="preserve">N° </w:t>
            </w:r>
            <w:r>
              <w:rPr>
                <w:rFonts w:ascii="Arial" w:hAnsi="Arial" w:cs="Arial"/>
                <w:b/>
              </w:rPr>
              <w:t xml:space="preserve">DE LA ENTIDAD </w:t>
            </w:r>
            <w:r w:rsidRPr="004B1294">
              <w:rPr>
                <w:rFonts w:ascii="Arial" w:hAnsi="Arial" w:cs="Arial"/>
                <w:b/>
              </w:rPr>
              <w:t>EN LA</w:t>
            </w:r>
          </w:p>
          <w:p w14:paraId="671A262C" w14:textId="77777777" w:rsidR="006F5634" w:rsidRPr="004B1294" w:rsidRDefault="006F5634" w:rsidP="00F1223B">
            <w:pPr>
              <w:tabs>
                <w:tab w:val="left" w:pos="993"/>
              </w:tabs>
              <w:jc w:val="center"/>
              <w:rPr>
                <w:rFonts w:ascii="Arial" w:hAnsi="Arial" w:cs="Arial"/>
                <w:b/>
              </w:rPr>
            </w:pPr>
            <w:r w:rsidRPr="004B1294">
              <w:rPr>
                <w:rFonts w:ascii="Arial" w:hAnsi="Arial" w:cs="Arial"/>
                <w:b/>
              </w:rPr>
              <w:t>RESOLUCIÓN</w:t>
            </w:r>
          </w:p>
          <w:p w14:paraId="713749C9" w14:textId="77777777" w:rsidR="006F5634" w:rsidRPr="004B1294" w:rsidRDefault="006F5634" w:rsidP="00F1223B">
            <w:pPr>
              <w:tabs>
                <w:tab w:val="left" w:pos="993"/>
              </w:tabs>
              <w:jc w:val="center"/>
              <w:rPr>
                <w:rFonts w:ascii="Arial" w:hAnsi="Arial" w:cs="Arial"/>
                <w:b/>
              </w:rPr>
            </w:pPr>
          </w:p>
        </w:tc>
        <w:tc>
          <w:tcPr>
            <w:tcW w:w="8514" w:type="dxa"/>
          </w:tcPr>
          <w:p w14:paraId="7116A21F" w14:textId="77777777" w:rsidR="006F5634" w:rsidRPr="004B1294" w:rsidRDefault="006F5634" w:rsidP="00F1223B">
            <w:pPr>
              <w:tabs>
                <w:tab w:val="left" w:pos="993"/>
              </w:tabs>
              <w:jc w:val="center"/>
              <w:rPr>
                <w:rFonts w:ascii="Arial" w:hAnsi="Arial" w:cs="Arial"/>
                <w:b/>
              </w:rPr>
            </w:pPr>
            <w:r w:rsidRPr="004B1294">
              <w:rPr>
                <w:rFonts w:ascii="Arial" w:hAnsi="Arial" w:cs="Arial"/>
                <w:b/>
              </w:rPr>
              <w:t>ENTIDAD DEL NIVEL NACIONAL VIGENCIA FISCAL 202</w:t>
            </w:r>
            <w:r>
              <w:rPr>
                <w:rFonts w:ascii="Arial" w:hAnsi="Arial" w:cs="Arial"/>
                <w:b/>
              </w:rPr>
              <w:t>3</w:t>
            </w:r>
          </w:p>
          <w:p w14:paraId="0C567414" w14:textId="77777777" w:rsidR="006F5634" w:rsidRPr="004B1294" w:rsidRDefault="006F5634" w:rsidP="00F1223B">
            <w:pPr>
              <w:tabs>
                <w:tab w:val="left" w:pos="993"/>
              </w:tabs>
              <w:jc w:val="center"/>
              <w:rPr>
                <w:rFonts w:ascii="Arial" w:hAnsi="Arial" w:cs="Arial"/>
                <w:b/>
              </w:rPr>
            </w:pPr>
            <w:r>
              <w:rPr>
                <w:rFonts w:ascii="Arial" w:hAnsi="Arial" w:cs="Arial"/>
                <w:b/>
              </w:rPr>
              <w:t>4</w:t>
            </w:r>
          </w:p>
        </w:tc>
      </w:tr>
      <w:tr w:rsidR="006F5634" w:rsidRPr="004B1294" w14:paraId="666D6FB4" w14:textId="77777777" w:rsidTr="00C17E6E">
        <w:tc>
          <w:tcPr>
            <w:tcW w:w="1834" w:type="dxa"/>
          </w:tcPr>
          <w:p w14:paraId="54D67CCC" w14:textId="77777777" w:rsidR="006F5634" w:rsidRPr="004B129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3</w:t>
            </w:r>
          </w:p>
        </w:tc>
        <w:tc>
          <w:tcPr>
            <w:tcW w:w="8514" w:type="dxa"/>
          </w:tcPr>
          <w:p w14:paraId="437E7C25" w14:textId="77777777" w:rsidR="006F5634" w:rsidRPr="00D52793" w:rsidRDefault="006F5634" w:rsidP="00F1223B">
            <w:pPr>
              <w:jc w:val="both"/>
              <w:rPr>
                <w:rFonts w:ascii="Arial" w:hAnsi="Arial" w:cs="Arial"/>
                <w:b/>
                <w:sz w:val="22"/>
                <w:szCs w:val="22"/>
                <w:lang w:val="es-MX"/>
              </w:rPr>
            </w:pPr>
            <w:r w:rsidRPr="00B65CBF">
              <w:rPr>
                <w:rFonts w:ascii="Arial" w:hAnsi="Arial" w:cs="Arial"/>
                <w:b/>
                <w:sz w:val="22"/>
                <w:szCs w:val="22"/>
                <w:lang w:val="es-MX"/>
              </w:rPr>
              <w:t>SUPERINTENDENCIA DE VIGILANCIA Y SEGURIDAD PRIVADA.</w:t>
            </w:r>
          </w:p>
        </w:tc>
      </w:tr>
      <w:tr w:rsidR="006F5634" w:rsidRPr="004B1294" w14:paraId="4FE61DBF" w14:textId="77777777" w:rsidTr="00C17E6E">
        <w:tc>
          <w:tcPr>
            <w:tcW w:w="1834" w:type="dxa"/>
          </w:tcPr>
          <w:p w14:paraId="0F634B8C"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8</w:t>
            </w:r>
          </w:p>
        </w:tc>
        <w:tc>
          <w:tcPr>
            <w:tcW w:w="8514" w:type="dxa"/>
          </w:tcPr>
          <w:p w14:paraId="6F55F6B3" w14:textId="77777777" w:rsidR="006F5634" w:rsidRPr="00D52793" w:rsidRDefault="006F5634" w:rsidP="00F1223B">
            <w:pPr>
              <w:jc w:val="both"/>
              <w:rPr>
                <w:rFonts w:ascii="Arial" w:hAnsi="Arial" w:cs="Arial"/>
                <w:b/>
                <w:sz w:val="22"/>
                <w:szCs w:val="22"/>
                <w:lang w:val="es-MX"/>
              </w:rPr>
            </w:pPr>
            <w:r w:rsidRPr="00D52793">
              <w:rPr>
                <w:rFonts w:ascii="Arial" w:hAnsi="Arial" w:cs="Arial"/>
                <w:b/>
                <w:sz w:val="22"/>
                <w:szCs w:val="22"/>
                <w:lang w:val="es-MX"/>
              </w:rPr>
              <w:t>DEPARTAMENTO ADMINISTRATIVO DIRECCIÓN NACIONAL DE INTELIGENCIA.</w:t>
            </w:r>
          </w:p>
        </w:tc>
      </w:tr>
      <w:tr w:rsidR="006F5634" w:rsidRPr="004B1294" w14:paraId="28883EED" w14:textId="77777777" w:rsidTr="00C17E6E">
        <w:tc>
          <w:tcPr>
            <w:tcW w:w="1834" w:type="dxa"/>
          </w:tcPr>
          <w:p w14:paraId="4A1017CE"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51</w:t>
            </w:r>
          </w:p>
        </w:tc>
        <w:tc>
          <w:tcPr>
            <w:tcW w:w="8514" w:type="dxa"/>
          </w:tcPr>
          <w:p w14:paraId="666E177F" w14:textId="77777777" w:rsidR="006F5634" w:rsidRPr="00125B84" w:rsidRDefault="006F5634" w:rsidP="00F1223B">
            <w:pPr>
              <w:jc w:val="both"/>
              <w:rPr>
                <w:rFonts w:ascii="Arial" w:hAnsi="Arial" w:cs="Arial"/>
                <w:b/>
                <w:sz w:val="22"/>
                <w:szCs w:val="22"/>
                <w:lang w:val="es-MX"/>
              </w:rPr>
            </w:pPr>
            <w:r w:rsidRPr="00C53F4F">
              <w:rPr>
                <w:rFonts w:ascii="Arial" w:hAnsi="Arial" w:cs="Arial"/>
                <w:b/>
                <w:sz w:val="22"/>
                <w:szCs w:val="22"/>
                <w:lang w:val="es-MX"/>
              </w:rPr>
              <w:t>INSTITUTO GEOGRÁFICO AGUSTIN CODAZZI - IGAC.</w:t>
            </w:r>
          </w:p>
        </w:tc>
      </w:tr>
      <w:tr w:rsidR="006F5634" w:rsidRPr="004B1294" w14:paraId="6047E1C1" w14:textId="77777777" w:rsidTr="00C17E6E">
        <w:tc>
          <w:tcPr>
            <w:tcW w:w="1834" w:type="dxa"/>
          </w:tcPr>
          <w:p w14:paraId="0DE2D122"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53</w:t>
            </w:r>
          </w:p>
        </w:tc>
        <w:tc>
          <w:tcPr>
            <w:tcW w:w="8514" w:type="dxa"/>
          </w:tcPr>
          <w:p w14:paraId="517DC052" w14:textId="77777777" w:rsidR="006F5634" w:rsidRPr="008D544F" w:rsidRDefault="006F5634" w:rsidP="00F1223B">
            <w:pPr>
              <w:jc w:val="both"/>
              <w:rPr>
                <w:rFonts w:ascii="Arial" w:hAnsi="Arial" w:cs="Arial"/>
                <w:b/>
                <w:sz w:val="22"/>
                <w:szCs w:val="22"/>
                <w:lang w:val="es-MX"/>
              </w:rPr>
            </w:pPr>
            <w:r w:rsidRPr="008D544F">
              <w:rPr>
                <w:rFonts w:ascii="Arial" w:hAnsi="Arial" w:cs="Arial"/>
                <w:b/>
                <w:sz w:val="22"/>
                <w:szCs w:val="22"/>
                <w:lang w:val="es-MX"/>
              </w:rPr>
              <w:t>CORPORACIÓN DE LA INDUSTRIA AERONAUTICA COLOMBIANA S.A. - CIAC.</w:t>
            </w:r>
          </w:p>
        </w:tc>
      </w:tr>
      <w:tr w:rsidR="006F5634" w:rsidRPr="004B1294" w14:paraId="38A9A0AD" w14:textId="77777777" w:rsidTr="00C17E6E">
        <w:tc>
          <w:tcPr>
            <w:tcW w:w="1834" w:type="dxa"/>
          </w:tcPr>
          <w:p w14:paraId="40AC8C65"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75</w:t>
            </w:r>
          </w:p>
        </w:tc>
        <w:tc>
          <w:tcPr>
            <w:tcW w:w="8514" w:type="dxa"/>
          </w:tcPr>
          <w:p w14:paraId="3692CC05" w14:textId="77777777" w:rsidR="006F5634" w:rsidRPr="00250C6C" w:rsidRDefault="006F5634" w:rsidP="00F1223B">
            <w:pPr>
              <w:jc w:val="both"/>
              <w:rPr>
                <w:rFonts w:ascii="Arial" w:hAnsi="Arial" w:cs="Arial"/>
                <w:b/>
                <w:sz w:val="22"/>
                <w:szCs w:val="22"/>
                <w:lang w:val="es-MX"/>
              </w:rPr>
            </w:pPr>
            <w:r w:rsidRPr="00250C6C">
              <w:rPr>
                <w:rFonts w:ascii="Arial" w:hAnsi="Arial" w:cs="Arial"/>
                <w:b/>
                <w:sz w:val="22"/>
                <w:szCs w:val="22"/>
                <w:lang w:val="es-MX"/>
              </w:rPr>
              <w:t>DEPARTAMENTO NACIONAL DE PLANEACION – DNP.</w:t>
            </w:r>
          </w:p>
        </w:tc>
      </w:tr>
      <w:tr w:rsidR="006F5634" w:rsidRPr="004B1294" w14:paraId="05694F1C" w14:textId="77777777" w:rsidTr="00C17E6E">
        <w:tc>
          <w:tcPr>
            <w:tcW w:w="1834" w:type="dxa"/>
          </w:tcPr>
          <w:p w14:paraId="5E85E3EA"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79</w:t>
            </w:r>
          </w:p>
        </w:tc>
        <w:tc>
          <w:tcPr>
            <w:tcW w:w="8514" w:type="dxa"/>
          </w:tcPr>
          <w:p w14:paraId="51856465" w14:textId="77777777" w:rsidR="006F5634" w:rsidRPr="00EB4BEA" w:rsidRDefault="006F5634" w:rsidP="00F1223B">
            <w:pPr>
              <w:jc w:val="both"/>
              <w:rPr>
                <w:rFonts w:ascii="Arial" w:hAnsi="Arial" w:cs="Arial"/>
                <w:b/>
                <w:sz w:val="22"/>
                <w:szCs w:val="22"/>
                <w:lang w:val="es-MX"/>
              </w:rPr>
            </w:pPr>
            <w:r w:rsidRPr="00EB4BEA">
              <w:rPr>
                <w:rFonts w:ascii="Arial" w:hAnsi="Arial" w:cs="Arial"/>
                <w:b/>
                <w:sz w:val="22"/>
                <w:szCs w:val="22"/>
                <w:lang w:val="es-MX"/>
              </w:rPr>
              <w:t>MINISTERIO DEL DEPORTE</w:t>
            </w:r>
          </w:p>
        </w:tc>
      </w:tr>
      <w:tr w:rsidR="006F5634" w:rsidRPr="004B1294" w14:paraId="39941A68" w14:textId="77777777" w:rsidTr="00C17E6E">
        <w:tc>
          <w:tcPr>
            <w:tcW w:w="1834" w:type="dxa"/>
          </w:tcPr>
          <w:p w14:paraId="340CA589"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102</w:t>
            </w:r>
          </w:p>
        </w:tc>
        <w:tc>
          <w:tcPr>
            <w:tcW w:w="8514" w:type="dxa"/>
          </w:tcPr>
          <w:p w14:paraId="643753BB" w14:textId="77777777" w:rsidR="006F5634" w:rsidRPr="00186E3F" w:rsidRDefault="006F5634" w:rsidP="00F1223B">
            <w:pPr>
              <w:jc w:val="both"/>
              <w:rPr>
                <w:rFonts w:ascii="Arial" w:hAnsi="Arial" w:cs="Arial"/>
                <w:b/>
                <w:sz w:val="22"/>
                <w:szCs w:val="22"/>
                <w:lang w:val="es-MX"/>
              </w:rPr>
            </w:pPr>
            <w:r w:rsidRPr="00186E3F">
              <w:rPr>
                <w:rFonts w:ascii="Arial" w:hAnsi="Arial" w:cs="Arial"/>
                <w:b/>
                <w:sz w:val="22"/>
                <w:szCs w:val="22"/>
                <w:lang w:val="es-CO"/>
              </w:rPr>
              <w:t xml:space="preserve">CORPORACIÓN SALUD U.N. </w:t>
            </w:r>
          </w:p>
        </w:tc>
      </w:tr>
      <w:tr w:rsidR="006F5634" w:rsidRPr="004B1294" w14:paraId="58A82298" w14:textId="77777777" w:rsidTr="00C17E6E">
        <w:tc>
          <w:tcPr>
            <w:tcW w:w="1834" w:type="dxa"/>
          </w:tcPr>
          <w:p w14:paraId="01C5C9B9"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107</w:t>
            </w:r>
          </w:p>
        </w:tc>
        <w:tc>
          <w:tcPr>
            <w:tcW w:w="8514" w:type="dxa"/>
          </w:tcPr>
          <w:p w14:paraId="1BD86BB1" w14:textId="77777777" w:rsidR="006F5634" w:rsidRPr="00A06F31" w:rsidRDefault="006F5634" w:rsidP="00F1223B">
            <w:pPr>
              <w:jc w:val="both"/>
              <w:rPr>
                <w:rFonts w:ascii="Arial" w:hAnsi="Arial" w:cs="Arial"/>
                <w:b/>
                <w:sz w:val="22"/>
                <w:szCs w:val="22"/>
              </w:rPr>
            </w:pPr>
            <w:r w:rsidRPr="00A06F31">
              <w:rPr>
                <w:rFonts w:ascii="Arial" w:hAnsi="Arial" w:cs="Arial"/>
                <w:b/>
                <w:sz w:val="22"/>
                <w:szCs w:val="22"/>
                <w:lang w:val="es-MX"/>
              </w:rPr>
              <w:t>CORPORACIÓN AUTÓNOMA REGIONAL DE SUCRE - CARSUCRE.</w:t>
            </w:r>
          </w:p>
        </w:tc>
      </w:tr>
      <w:tr w:rsidR="006F5634" w:rsidRPr="004B1294" w14:paraId="1354367C" w14:textId="77777777" w:rsidTr="00C17E6E">
        <w:tc>
          <w:tcPr>
            <w:tcW w:w="1834" w:type="dxa"/>
          </w:tcPr>
          <w:p w14:paraId="45440207"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115</w:t>
            </w:r>
          </w:p>
        </w:tc>
        <w:tc>
          <w:tcPr>
            <w:tcW w:w="8514" w:type="dxa"/>
          </w:tcPr>
          <w:p w14:paraId="5D0E9418" w14:textId="77777777" w:rsidR="006F5634" w:rsidRPr="00865F3F" w:rsidRDefault="006F5634" w:rsidP="00F1223B">
            <w:pPr>
              <w:jc w:val="both"/>
              <w:rPr>
                <w:rFonts w:ascii="Arial" w:hAnsi="Arial" w:cs="Arial"/>
                <w:b/>
                <w:sz w:val="22"/>
                <w:szCs w:val="22"/>
                <w:lang w:val="es-MX"/>
              </w:rPr>
            </w:pPr>
            <w:r w:rsidRPr="00865F3F">
              <w:rPr>
                <w:rFonts w:ascii="Arial" w:hAnsi="Arial" w:cs="Arial"/>
                <w:b/>
                <w:sz w:val="22"/>
                <w:szCs w:val="22"/>
                <w:lang w:val="es-MX"/>
              </w:rPr>
              <w:t>SERVICIO AÉREO A TERRITORIOS NACIONALES S.A.- SATENA S.A</w:t>
            </w:r>
            <w:r>
              <w:rPr>
                <w:rFonts w:ascii="Arial" w:hAnsi="Arial" w:cs="Arial"/>
                <w:b/>
                <w:sz w:val="22"/>
                <w:szCs w:val="22"/>
                <w:lang w:val="es-MX"/>
              </w:rPr>
              <w:t>.</w:t>
            </w:r>
          </w:p>
        </w:tc>
      </w:tr>
      <w:tr w:rsidR="006F5634" w:rsidRPr="004B1294" w14:paraId="2A02B431" w14:textId="77777777" w:rsidTr="00C17E6E">
        <w:tc>
          <w:tcPr>
            <w:tcW w:w="1834" w:type="dxa"/>
          </w:tcPr>
          <w:p w14:paraId="20BAFDC1"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118</w:t>
            </w:r>
          </w:p>
        </w:tc>
        <w:tc>
          <w:tcPr>
            <w:tcW w:w="8514" w:type="dxa"/>
          </w:tcPr>
          <w:p w14:paraId="40A58C43" w14:textId="77777777" w:rsidR="006F5634" w:rsidRPr="00EB4BEA" w:rsidRDefault="006F5634" w:rsidP="00F1223B">
            <w:pPr>
              <w:pStyle w:val="Textoindependiente"/>
              <w:tabs>
                <w:tab w:val="left" w:pos="2055"/>
              </w:tabs>
              <w:jc w:val="both"/>
              <w:rPr>
                <w:rFonts w:ascii="Arial" w:hAnsi="Arial" w:cs="Arial"/>
                <w:b/>
                <w:sz w:val="22"/>
                <w:szCs w:val="22"/>
                <w:lang w:val="es-MX"/>
              </w:rPr>
            </w:pPr>
            <w:r w:rsidRPr="00EB4BEA">
              <w:rPr>
                <w:rFonts w:ascii="Arial" w:hAnsi="Arial" w:cs="Arial"/>
                <w:b/>
                <w:sz w:val="22"/>
                <w:szCs w:val="22"/>
                <w:lang w:val="es-MX"/>
              </w:rPr>
              <w:t>CORPORACIÓN PARA EL DESARROLLO SOSTENIBLES DEL ARCHIPIELAGO DE SAN ANDRÉS, PROVIDENCIA Y SANTA CATALINA - CORALINA.</w:t>
            </w:r>
          </w:p>
        </w:tc>
      </w:tr>
      <w:tr w:rsidR="006F5634" w:rsidRPr="004B1294" w14:paraId="4C96CC0E" w14:textId="77777777" w:rsidTr="00C17E6E">
        <w:tc>
          <w:tcPr>
            <w:tcW w:w="1834" w:type="dxa"/>
          </w:tcPr>
          <w:p w14:paraId="44C78B13"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168</w:t>
            </w:r>
          </w:p>
        </w:tc>
        <w:tc>
          <w:tcPr>
            <w:tcW w:w="8514" w:type="dxa"/>
          </w:tcPr>
          <w:p w14:paraId="362F387C" w14:textId="77777777" w:rsidR="006F5634" w:rsidRPr="006A59EA" w:rsidRDefault="006F5634" w:rsidP="00F1223B">
            <w:pPr>
              <w:jc w:val="both"/>
              <w:rPr>
                <w:rFonts w:ascii="Arial" w:hAnsi="Arial" w:cs="Arial"/>
                <w:b/>
                <w:sz w:val="22"/>
                <w:szCs w:val="22"/>
                <w:lang w:val="es-MX"/>
              </w:rPr>
            </w:pPr>
            <w:r w:rsidRPr="006A59EA">
              <w:rPr>
                <w:rFonts w:ascii="Arial" w:hAnsi="Arial" w:cs="Arial"/>
                <w:b/>
                <w:sz w:val="22"/>
                <w:szCs w:val="22"/>
                <w:lang w:val="es-MX"/>
              </w:rPr>
              <w:t>CORPORACIÓN COLOMBIA DIGITAL.</w:t>
            </w:r>
          </w:p>
        </w:tc>
      </w:tr>
      <w:tr w:rsidR="006F5634" w:rsidRPr="004B1294" w14:paraId="152B1407" w14:textId="77777777" w:rsidTr="00C17E6E">
        <w:tc>
          <w:tcPr>
            <w:tcW w:w="1834" w:type="dxa"/>
          </w:tcPr>
          <w:p w14:paraId="501F1B36"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326</w:t>
            </w:r>
          </w:p>
        </w:tc>
        <w:tc>
          <w:tcPr>
            <w:tcW w:w="8514" w:type="dxa"/>
          </w:tcPr>
          <w:p w14:paraId="5463D68F" w14:textId="77777777" w:rsidR="006F5634" w:rsidRPr="005729E1" w:rsidRDefault="006F5634" w:rsidP="00F1223B">
            <w:pPr>
              <w:jc w:val="both"/>
              <w:rPr>
                <w:rFonts w:ascii="Arial" w:hAnsi="Arial" w:cs="Arial"/>
                <w:b/>
                <w:sz w:val="22"/>
                <w:szCs w:val="22"/>
                <w:lang w:val="es-MX"/>
              </w:rPr>
            </w:pPr>
            <w:r w:rsidRPr="005729E1">
              <w:rPr>
                <w:rFonts w:ascii="Arial" w:hAnsi="Arial" w:cs="Arial"/>
                <w:b/>
                <w:sz w:val="22"/>
                <w:szCs w:val="22"/>
                <w:lang w:val="es-MX"/>
              </w:rPr>
              <w:t>SERVICIOS INTEGRALES DEL ESTADO COLOMBIANO SIEC SAS SOCIEDAD DE ECONOMÍA MIXTA.</w:t>
            </w:r>
          </w:p>
        </w:tc>
      </w:tr>
      <w:tr w:rsidR="006F5634" w:rsidRPr="004B1294" w14:paraId="0CABAF13" w14:textId="77777777" w:rsidTr="00C17E6E">
        <w:tc>
          <w:tcPr>
            <w:tcW w:w="1834" w:type="dxa"/>
          </w:tcPr>
          <w:p w14:paraId="30AC0F7C" w14:textId="77777777" w:rsidR="006F5634" w:rsidRDefault="006F5634" w:rsidP="00F1223B">
            <w:pPr>
              <w:ind w:right="-108"/>
              <w:jc w:val="center"/>
              <w:rPr>
                <w:rFonts w:ascii="Arial" w:eastAsia="Trebuchet MS" w:hAnsi="Arial" w:cs="Arial"/>
                <w:b/>
                <w:lang w:val="es-ES_tradnl"/>
              </w:rPr>
            </w:pPr>
            <w:r>
              <w:rPr>
                <w:rFonts w:ascii="Arial" w:eastAsia="Trebuchet MS" w:hAnsi="Arial" w:cs="Arial"/>
                <w:b/>
                <w:lang w:val="es-ES_tradnl"/>
              </w:rPr>
              <w:t>353</w:t>
            </w:r>
          </w:p>
        </w:tc>
        <w:tc>
          <w:tcPr>
            <w:tcW w:w="8514" w:type="dxa"/>
          </w:tcPr>
          <w:p w14:paraId="53DAD1B3" w14:textId="77777777" w:rsidR="006F5634" w:rsidRPr="005729E1" w:rsidRDefault="006F5634" w:rsidP="00F1223B">
            <w:pPr>
              <w:jc w:val="both"/>
              <w:rPr>
                <w:rFonts w:ascii="Arial" w:hAnsi="Arial" w:cs="Arial"/>
                <w:b/>
                <w:lang w:val="es-MX"/>
              </w:rPr>
            </w:pPr>
            <w:r>
              <w:rPr>
                <w:rFonts w:ascii="Arial" w:hAnsi="Arial" w:cs="Arial"/>
                <w:b/>
                <w:lang w:val="es-MX"/>
              </w:rPr>
              <w:t>ISA INTERVIAL COLOMBIA S.A.S.</w:t>
            </w:r>
          </w:p>
        </w:tc>
      </w:tr>
    </w:tbl>
    <w:p w14:paraId="316826B9" w14:textId="5C103DD7" w:rsidR="006F5634" w:rsidRPr="004B1294" w:rsidRDefault="006F5634" w:rsidP="006F5634">
      <w:pPr>
        <w:ind w:left="-426" w:right="-518"/>
        <w:jc w:val="both"/>
        <w:rPr>
          <w:rFonts w:ascii="Arial" w:hAnsi="Arial" w:cs="Arial"/>
          <w:sz w:val="16"/>
          <w:szCs w:val="16"/>
        </w:rPr>
      </w:pPr>
      <w:r w:rsidRPr="004B1294">
        <w:rPr>
          <w:rFonts w:ascii="Arial" w:hAnsi="Arial" w:cs="Arial"/>
          <w:sz w:val="16"/>
          <w:szCs w:val="16"/>
        </w:rPr>
        <w:t xml:space="preserve"> </w:t>
      </w:r>
      <w:r>
        <w:rPr>
          <w:rFonts w:ascii="Arial" w:hAnsi="Arial" w:cs="Arial"/>
          <w:sz w:val="16"/>
          <w:szCs w:val="16"/>
        </w:rPr>
        <w:t xml:space="preserve"> </w:t>
      </w:r>
      <w:r w:rsidR="00C17E6E">
        <w:rPr>
          <w:rFonts w:ascii="Arial" w:hAnsi="Arial" w:cs="Arial"/>
          <w:sz w:val="16"/>
          <w:szCs w:val="16"/>
        </w:rPr>
        <w:t xml:space="preserve">      </w:t>
      </w:r>
      <w:r>
        <w:rPr>
          <w:rFonts w:ascii="Arial" w:hAnsi="Arial" w:cs="Arial"/>
          <w:sz w:val="16"/>
          <w:szCs w:val="16"/>
        </w:rPr>
        <w:t xml:space="preserve"> </w:t>
      </w:r>
      <w:r w:rsidRPr="008D289C">
        <w:rPr>
          <w:rFonts w:ascii="Arial" w:hAnsi="Arial" w:cs="Arial"/>
          <w:b/>
          <w:bCs/>
          <w:sz w:val="16"/>
          <w:szCs w:val="16"/>
        </w:rPr>
        <w:t>Fuente</w:t>
      </w:r>
      <w:r w:rsidRPr="004B1294">
        <w:rPr>
          <w:rFonts w:ascii="Arial" w:hAnsi="Arial" w:cs="Arial"/>
          <w:sz w:val="16"/>
          <w:szCs w:val="16"/>
        </w:rPr>
        <w:t>:</w:t>
      </w:r>
      <w:r>
        <w:rPr>
          <w:rFonts w:ascii="Arial" w:hAnsi="Arial" w:cs="Arial"/>
          <w:sz w:val="16"/>
          <w:szCs w:val="16"/>
        </w:rPr>
        <w:t xml:space="preserve"> Páginas de internet y los i</w:t>
      </w:r>
      <w:r w:rsidRPr="004B1294">
        <w:rPr>
          <w:rFonts w:ascii="Arial" w:hAnsi="Arial" w:cs="Arial"/>
          <w:sz w:val="16"/>
          <w:szCs w:val="16"/>
        </w:rPr>
        <w:t>nformes presentados por las entidades del nivel nacional a la Comisión Legal de Cuentas vigencia fiscal 202</w:t>
      </w:r>
      <w:r>
        <w:rPr>
          <w:rFonts w:ascii="Arial" w:hAnsi="Arial" w:cs="Arial"/>
          <w:sz w:val="16"/>
          <w:szCs w:val="16"/>
        </w:rPr>
        <w:t>4</w:t>
      </w:r>
      <w:r w:rsidRPr="004B1294">
        <w:rPr>
          <w:rFonts w:ascii="Arial" w:hAnsi="Arial" w:cs="Arial"/>
          <w:sz w:val="16"/>
          <w:szCs w:val="16"/>
        </w:rPr>
        <w:t>.</w:t>
      </w:r>
    </w:p>
    <w:p w14:paraId="03A2513D" w14:textId="77777777" w:rsidR="006F5634" w:rsidRDefault="006F5634" w:rsidP="006F5634">
      <w:pPr>
        <w:ind w:left="-284" w:right="-234"/>
        <w:jc w:val="both"/>
        <w:rPr>
          <w:rFonts w:ascii="Arial" w:hAnsi="Arial" w:cs="Arial"/>
          <w:b/>
          <w:sz w:val="28"/>
          <w:szCs w:val="28"/>
          <w:u w:val="single"/>
        </w:rPr>
      </w:pPr>
    </w:p>
    <w:p w14:paraId="05135653" w14:textId="77777777" w:rsidR="006F5634" w:rsidRPr="00FE2C5F" w:rsidRDefault="006F5634" w:rsidP="00EE0D80">
      <w:pPr>
        <w:ind w:right="-234"/>
        <w:jc w:val="both"/>
        <w:rPr>
          <w:rFonts w:ascii="Arial" w:hAnsi="Arial" w:cs="Arial"/>
          <w:sz w:val="28"/>
          <w:szCs w:val="28"/>
          <w:shd w:val="clear" w:color="auto" w:fill="FFFFFF"/>
        </w:rPr>
      </w:pPr>
      <w:r w:rsidRPr="00FE2C5F">
        <w:rPr>
          <w:rFonts w:ascii="Arial" w:hAnsi="Arial" w:cs="Arial"/>
          <w:b/>
          <w:sz w:val="28"/>
          <w:szCs w:val="28"/>
          <w:u w:val="single"/>
        </w:rPr>
        <w:t>NOTA</w:t>
      </w:r>
      <w:r w:rsidRPr="00FE2C5F">
        <w:rPr>
          <w:rFonts w:ascii="Arial" w:hAnsi="Arial" w:cs="Arial"/>
          <w:b/>
          <w:sz w:val="28"/>
          <w:szCs w:val="28"/>
        </w:rPr>
        <w:t>:</w:t>
      </w:r>
      <w:r w:rsidRPr="00FE2C5F">
        <w:rPr>
          <w:rFonts w:ascii="Arial" w:hAnsi="Arial" w:cs="Arial"/>
          <w:sz w:val="28"/>
          <w:szCs w:val="28"/>
        </w:rPr>
        <w:t xml:space="preserve"> En este punto se observa el incumplimiento de lo establecido en la Ley de </w:t>
      </w:r>
      <w:r w:rsidRPr="00FE2C5F">
        <w:rPr>
          <w:rFonts w:ascii="Arial" w:hAnsi="Arial" w:cs="Arial"/>
          <w:sz w:val="28"/>
          <w:szCs w:val="28"/>
          <w:shd w:val="clear" w:color="auto" w:fill="FFFFFF"/>
        </w:rPr>
        <w:t>TRANSPARENCIA Y ACCESO A LA INFORMACIÓN PÚBLICA.</w:t>
      </w:r>
    </w:p>
    <w:p w14:paraId="722B1F07" w14:textId="77777777" w:rsidR="00EE0D80" w:rsidRDefault="00EE0D80" w:rsidP="00C17E6E">
      <w:pPr>
        <w:ind w:right="-234" w:hanging="284"/>
        <w:jc w:val="both"/>
        <w:rPr>
          <w:rFonts w:ascii="Arial" w:hAnsi="Arial" w:cs="Arial"/>
          <w:sz w:val="28"/>
          <w:szCs w:val="28"/>
          <w:shd w:val="clear" w:color="auto" w:fill="FFFFFF"/>
        </w:rPr>
      </w:pPr>
    </w:p>
    <w:p w14:paraId="1928660E" w14:textId="633B39F4" w:rsidR="006F5634" w:rsidRPr="00FE2C5F" w:rsidRDefault="006F5634" w:rsidP="00EE0D80">
      <w:pPr>
        <w:ind w:right="-234"/>
        <w:jc w:val="both"/>
        <w:rPr>
          <w:rFonts w:ascii="Arial" w:hAnsi="Arial" w:cs="Arial"/>
          <w:sz w:val="28"/>
          <w:szCs w:val="28"/>
          <w:shd w:val="clear" w:color="auto" w:fill="FFFFFF"/>
        </w:rPr>
      </w:pPr>
      <w:r w:rsidRPr="00FE2C5F">
        <w:rPr>
          <w:rFonts w:ascii="Arial" w:hAnsi="Arial" w:cs="Arial"/>
          <w:sz w:val="28"/>
          <w:szCs w:val="28"/>
          <w:shd w:val="clear" w:color="auto" w:fill="FFFFFF"/>
        </w:rPr>
        <w:t>La Comisión Legal de Cuentas considera que la información solicitada para el Fenecimiento de la Cuenta General del Presupuesto y del Tesoro y el Estado de Situación Financiera (Balance General de la Nación), debe estar debidamente publicada en las páginas de todas las entidades del Nivel una vez sean presentados y aprobados en las diferentes instancias de la administración pública.</w:t>
      </w:r>
    </w:p>
    <w:p w14:paraId="3DDFDAA3" w14:textId="77777777" w:rsidR="006F5634" w:rsidRDefault="006F5634" w:rsidP="006F5634">
      <w:pPr>
        <w:ind w:left="-284" w:right="-234"/>
        <w:jc w:val="both"/>
        <w:rPr>
          <w:rFonts w:ascii="Arial" w:hAnsi="Arial" w:cs="Arial"/>
          <w:sz w:val="28"/>
          <w:szCs w:val="28"/>
        </w:rPr>
      </w:pPr>
    </w:p>
    <w:p w14:paraId="15377962" w14:textId="7B2206E7" w:rsidR="00D74C48" w:rsidRPr="00561B22" w:rsidRDefault="00D74C48" w:rsidP="00561B22">
      <w:pPr>
        <w:ind w:left="-284" w:right="-141"/>
        <w:jc w:val="center"/>
        <w:rPr>
          <w:rFonts w:ascii="Arial" w:hAnsi="Arial" w:cs="Arial"/>
          <w:b/>
          <w:spacing w:val="-3"/>
          <w:sz w:val="28"/>
          <w:szCs w:val="28"/>
          <w:u w:val="single"/>
          <w:lang w:val="es-ES_tradnl"/>
        </w:rPr>
      </w:pPr>
      <w:bookmarkStart w:id="60" w:name="_Hlk210825269"/>
      <w:r w:rsidRPr="00561B22">
        <w:rPr>
          <w:rFonts w:ascii="Arial" w:hAnsi="Arial" w:cs="Arial"/>
          <w:b/>
          <w:spacing w:val="-3"/>
          <w:sz w:val="28"/>
          <w:szCs w:val="28"/>
          <w:u w:val="single"/>
          <w:lang w:val="es-ES_tradnl"/>
        </w:rPr>
        <w:lastRenderedPageBreak/>
        <w:t xml:space="preserve">19.- OBSERVACIONES GENERALES </w:t>
      </w:r>
      <w:r w:rsidRPr="00561B22">
        <w:rPr>
          <w:rFonts w:ascii="Arial" w:hAnsi="Arial" w:cs="Arial"/>
          <w:b/>
          <w:sz w:val="28"/>
          <w:szCs w:val="28"/>
          <w:u w:val="single"/>
        </w:rPr>
        <w:t xml:space="preserve">DETERMINADAS POR LA COMISIÓN LEGAL DE CUENTAS DE LA CÁMARA DE REPRESENTANTES </w:t>
      </w:r>
      <w:r w:rsidRPr="00561B22">
        <w:rPr>
          <w:rFonts w:ascii="Arial" w:hAnsi="Arial" w:cs="Arial"/>
          <w:b/>
          <w:spacing w:val="-3"/>
          <w:sz w:val="28"/>
          <w:szCs w:val="28"/>
          <w:u w:val="single"/>
          <w:lang w:val="es-ES_tradnl"/>
        </w:rPr>
        <w:t xml:space="preserve">AL INFORME DE LOS AUDITORES INDEPENDIENTES DE </w:t>
      </w:r>
      <w:r w:rsidR="00AE2872">
        <w:rPr>
          <w:rFonts w:ascii="Arial" w:hAnsi="Arial" w:cs="Arial"/>
          <w:b/>
          <w:spacing w:val="-3"/>
          <w:sz w:val="28"/>
          <w:szCs w:val="28"/>
          <w:u w:val="single"/>
          <w:lang w:val="es-ES_tradnl"/>
        </w:rPr>
        <w:t xml:space="preserve">UNA (1) </w:t>
      </w:r>
      <w:r w:rsidRPr="00561B22">
        <w:rPr>
          <w:rFonts w:ascii="Arial" w:hAnsi="Arial" w:cs="Arial"/>
          <w:b/>
          <w:spacing w:val="-3"/>
          <w:sz w:val="28"/>
          <w:szCs w:val="28"/>
          <w:u w:val="single"/>
          <w:lang w:val="es-ES_tradnl"/>
        </w:rPr>
        <w:t>EMPRESAS DEL ESTADO VIGENCIA FISCAL 2024.</w:t>
      </w:r>
    </w:p>
    <w:bookmarkEnd w:id="60"/>
    <w:p w14:paraId="0C3855E8" w14:textId="77777777" w:rsidR="00D74C48" w:rsidRPr="00FE2C5F" w:rsidRDefault="00D74C48" w:rsidP="008F34F7">
      <w:pPr>
        <w:ind w:left="-284" w:right="-141"/>
        <w:jc w:val="both"/>
        <w:rPr>
          <w:rFonts w:ascii="Arial" w:hAnsi="Arial" w:cs="Arial"/>
          <w:b/>
          <w:spacing w:val="-3"/>
          <w:sz w:val="28"/>
          <w:szCs w:val="28"/>
          <w:lang w:val="es-ES_tradnl"/>
        </w:rPr>
      </w:pPr>
    </w:p>
    <w:p w14:paraId="7AF9DC25" w14:textId="77777777" w:rsidR="00D74C48" w:rsidRPr="00B811B4" w:rsidRDefault="00D74C48" w:rsidP="00C17E6E">
      <w:pPr>
        <w:ind w:right="-141"/>
        <w:jc w:val="both"/>
        <w:rPr>
          <w:rFonts w:ascii="Arial" w:hAnsi="Arial" w:cs="Arial"/>
          <w:sz w:val="28"/>
          <w:szCs w:val="28"/>
          <w:lang w:val="es-MX"/>
        </w:rPr>
      </w:pPr>
      <w:r w:rsidRPr="00B811B4">
        <w:rPr>
          <w:rFonts w:ascii="Arial" w:hAnsi="Arial" w:cs="Arial"/>
          <w:b/>
          <w:sz w:val="28"/>
          <w:szCs w:val="28"/>
          <w:lang w:val="es-MX"/>
        </w:rPr>
        <w:t xml:space="preserve">230.- </w:t>
      </w:r>
      <w:r w:rsidRPr="00B811B4">
        <w:rPr>
          <w:rFonts w:ascii="Arial" w:hAnsi="Arial" w:cs="Arial"/>
          <w:b/>
          <w:sz w:val="28"/>
          <w:szCs w:val="28"/>
        </w:rPr>
        <w:t>ELECTRIFICADORA DEL TOLIMA S.A. E.S.P. EN LIQUIDACIÓN - ELECTROLIMA.</w:t>
      </w:r>
      <w:r w:rsidRPr="00B811B4">
        <w:rPr>
          <w:rFonts w:ascii="Arial" w:hAnsi="Arial" w:cs="Arial"/>
          <w:sz w:val="28"/>
          <w:szCs w:val="28"/>
        </w:rPr>
        <w:t xml:space="preserve"> </w:t>
      </w:r>
    </w:p>
    <w:p w14:paraId="5E7F6AC1" w14:textId="77777777" w:rsidR="00D74C48" w:rsidRDefault="00D74C48" w:rsidP="00C17E6E">
      <w:pPr>
        <w:ind w:right="-141"/>
        <w:jc w:val="both"/>
        <w:rPr>
          <w:rFonts w:ascii="Arial" w:hAnsi="Arial" w:cs="Arial"/>
          <w:b/>
          <w:sz w:val="24"/>
          <w:szCs w:val="24"/>
          <w:lang w:val="es-ES_tradnl"/>
        </w:rPr>
      </w:pPr>
    </w:p>
    <w:p w14:paraId="1EEC3C46" w14:textId="77777777" w:rsidR="00D74C48" w:rsidRPr="00B811B4" w:rsidRDefault="00D74C48" w:rsidP="00C17E6E">
      <w:pPr>
        <w:ind w:right="-141"/>
        <w:rPr>
          <w:rFonts w:ascii="Arial" w:hAnsi="Arial" w:cs="Arial"/>
          <w:b/>
          <w:bCs/>
          <w:sz w:val="24"/>
          <w:szCs w:val="24"/>
        </w:rPr>
      </w:pPr>
      <w:r w:rsidRPr="00B811B4">
        <w:rPr>
          <w:rFonts w:ascii="Arial" w:hAnsi="Arial" w:cs="Arial"/>
          <w:b/>
          <w:bCs/>
          <w:sz w:val="24"/>
          <w:szCs w:val="24"/>
        </w:rPr>
        <w:t>CAPITULO III CONCLUSIONES, OPINIONES Y RECOMENDACIONES.</w:t>
      </w:r>
    </w:p>
    <w:p w14:paraId="67D0FBEE" w14:textId="77777777" w:rsidR="00D74C48" w:rsidRPr="00B811B4" w:rsidRDefault="00D74C48" w:rsidP="00C17E6E">
      <w:pPr>
        <w:pStyle w:val="Sinespaciado"/>
        <w:ind w:right="-141"/>
        <w:jc w:val="both"/>
        <w:rPr>
          <w:rFonts w:ascii="Arial" w:hAnsi="Arial" w:cs="Arial"/>
          <w:sz w:val="24"/>
          <w:szCs w:val="24"/>
        </w:rPr>
      </w:pPr>
    </w:p>
    <w:p w14:paraId="575DC3A2" w14:textId="77777777" w:rsidR="00D74C48" w:rsidRPr="00B811B4" w:rsidRDefault="00D74C48" w:rsidP="00C17E6E">
      <w:pPr>
        <w:pStyle w:val="Sinespaciado"/>
        <w:ind w:right="-141"/>
        <w:jc w:val="both"/>
        <w:rPr>
          <w:rFonts w:ascii="Arial" w:hAnsi="Arial" w:cs="Arial"/>
          <w:sz w:val="24"/>
          <w:szCs w:val="24"/>
        </w:rPr>
      </w:pPr>
      <w:r w:rsidRPr="00B811B4">
        <w:rPr>
          <w:rFonts w:ascii="Arial" w:hAnsi="Arial" w:cs="Arial"/>
          <w:sz w:val="24"/>
          <w:szCs w:val="24"/>
        </w:rPr>
        <w:t xml:space="preserve">Como mencionamos en el Capítulo I numeral 4, presentación de la empresa en liquidación, recomendamos </w:t>
      </w:r>
      <w:r w:rsidRPr="00B811B4">
        <w:rPr>
          <w:rFonts w:ascii="Arial" w:hAnsi="Arial" w:cs="Arial"/>
          <w:bCs/>
          <w:spacing w:val="-3"/>
          <w:sz w:val="24"/>
          <w:szCs w:val="24"/>
        </w:rPr>
        <w:t>evaluar las alternativas económicas y jurídicas que permitan la normalización del pasivo pensional; evaluadas desde el posible daño antijurídico que puede ocasionarse a la Nación por la no asunción de la responsabilidad pensional de la Electrificadora, dada la condición de vulnerabilidad de los pensionados de la empresa, población de protección especial por parte del Estado.”</w:t>
      </w:r>
      <w:r w:rsidRPr="00B811B4">
        <w:rPr>
          <w:rFonts w:ascii="Arial" w:hAnsi="Arial" w:cs="Arial"/>
          <w:sz w:val="24"/>
          <w:szCs w:val="24"/>
        </w:rPr>
        <w:t xml:space="preserve"> </w:t>
      </w:r>
    </w:p>
    <w:p w14:paraId="43270674" w14:textId="77777777" w:rsidR="00D74C48" w:rsidRDefault="00D74C48" w:rsidP="00D74C48">
      <w:pPr>
        <w:jc w:val="both"/>
        <w:rPr>
          <w:rFonts w:ascii="Arial" w:hAnsi="Arial" w:cs="Arial"/>
          <w:b/>
          <w:sz w:val="24"/>
          <w:szCs w:val="24"/>
          <w:lang w:val="es-ES_tradnl"/>
        </w:rPr>
      </w:pPr>
    </w:p>
    <w:p w14:paraId="48267D18" w14:textId="50B80589" w:rsidR="00561B22" w:rsidRPr="00561B22" w:rsidRDefault="00561B22" w:rsidP="00561B22">
      <w:pPr>
        <w:ind w:left="-284" w:right="-234"/>
        <w:jc w:val="center"/>
        <w:rPr>
          <w:rFonts w:ascii="Arial" w:hAnsi="Arial" w:cs="Arial"/>
          <w:b/>
          <w:spacing w:val="-3"/>
          <w:sz w:val="28"/>
          <w:szCs w:val="28"/>
          <w:u w:val="single"/>
          <w:lang w:val="es-ES_tradnl"/>
        </w:rPr>
      </w:pPr>
      <w:bookmarkStart w:id="61" w:name="_Hlk210307668"/>
      <w:r w:rsidRPr="00561B22">
        <w:rPr>
          <w:rFonts w:ascii="Arial" w:hAnsi="Arial" w:cs="Arial"/>
          <w:b/>
          <w:spacing w:val="-3"/>
          <w:sz w:val="28"/>
          <w:szCs w:val="28"/>
          <w:u w:val="single"/>
          <w:lang w:val="es-ES_tradnl"/>
        </w:rPr>
        <w:t>20.- DEBILIDADES Y RECOMENDACIONES DEL SISTEMA DE CONTROL INTERNO CONTABLE REPORTADAS POR LAS EMPRESAS, ENTIDADES, FONDOS Y PATRIMONIOS AUTÓNOMOS DE LA NACIÓN A LA COMISIÓN LEGAL DE CUENTAS PARA LA VIGENCIA FISCAL 2024:</w:t>
      </w:r>
    </w:p>
    <w:bookmarkEnd w:id="61"/>
    <w:p w14:paraId="0799ED78" w14:textId="77777777" w:rsidR="00561B22" w:rsidRPr="00FE2C5F" w:rsidRDefault="00561B22" w:rsidP="00561B22">
      <w:pPr>
        <w:ind w:left="-284" w:right="-234"/>
        <w:jc w:val="both"/>
        <w:rPr>
          <w:rFonts w:ascii="Arial" w:hAnsi="Arial" w:cs="Arial"/>
          <w:b/>
          <w:sz w:val="28"/>
          <w:szCs w:val="28"/>
        </w:rPr>
      </w:pPr>
    </w:p>
    <w:p w14:paraId="3737CFB7" w14:textId="77777777" w:rsidR="00561B22" w:rsidRPr="00FE2C5F" w:rsidRDefault="00561B22" w:rsidP="00C17E6E">
      <w:pPr>
        <w:ind w:left="-284" w:right="-141"/>
        <w:jc w:val="both"/>
        <w:rPr>
          <w:rFonts w:ascii="Arial" w:hAnsi="Arial" w:cs="Arial"/>
          <w:sz w:val="28"/>
          <w:szCs w:val="28"/>
        </w:rPr>
      </w:pPr>
      <w:r w:rsidRPr="00FE2C5F">
        <w:rPr>
          <w:rFonts w:ascii="Arial" w:hAnsi="Arial" w:cs="Arial"/>
          <w:b/>
          <w:sz w:val="28"/>
          <w:szCs w:val="28"/>
        </w:rPr>
        <w:t>Fuente</w:t>
      </w:r>
      <w:r w:rsidRPr="00FE2C5F">
        <w:rPr>
          <w:rFonts w:ascii="Arial" w:hAnsi="Arial" w:cs="Arial"/>
          <w:sz w:val="28"/>
          <w:szCs w:val="28"/>
        </w:rPr>
        <w:t>: Los informes sobre la Autoevaluación del Sistema de Control Interno Contable presentados por las entidades del nivel nacional a la Comisión Legal de Cuentas vigencia fiscal 2024.</w:t>
      </w:r>
    </w:p>
    <w:p w14:paraId="73285F04" w14:textId="77777777" w:rsidR="00561B22" w:rsidRPr="00FE2C5F" w:rsidRDefault="00561B22" w:rsidP="00561B22">
      <w:pPr>
        <w:ind w:left="-284" w:right="-234"/>
        <w:jc w:val="both"/>
        <w:rPr>
          <w:rFonts w:ascii="Arial" w:hAnsi="Arial" w:cs="Arial"/>
          <w:b/>
          <w:spacing w:val="-3"/>
          <w:sz w:val="28"/>
          <w:szCs w:val="28"/>
          <w:lang w:val="es-ES_tradnl"/>
        </w:rPr>
      </w:pPr>
    </w:p>
    <w:p w14:paraId="6ED21DDA" w14:textId="77777777" w:rsidR="00561B22" w:rsidRPr="00FE2C5F" w:rsidRDefault="00561B22" w:rsidP="00561B22">
      <w:pPr>
        <w:ind w:left="-284" w:right="-234"/>
        <w:jc w:val="both"/>
        <w:rPr>
          <w:rFonts w:ascii="Arial" w:hAnsi="Arial" w:cs="Arial"/>
          <w:sz w:val="28"/>
          <w:szCs w:val="28"/>
        </w:rPr>
      </w:pPr>
      <w:r w:rsidRPr="00FE2C5F">
        <w:rPr>
          <w:rFonts w:ascii="Arial" w:hAnsi="Arial" w:cs="Arial"/>
          <w:b/>
          <w:sz w:val="28"/>
          <w:szCs w:val="28"/>
        </w:rPr>
        <w:t xml:space="preserve">NOTA: </w:t>
      </w:r>
      <w:r w:rsidRPr="00FE2C5F">
        <w:rPr>
          <w:rFonts w:ascii="Arial" w:hAnsi="Arial" w:cs="Arial"/>
          <w:sz w:val="28"/>
          <w:szCs w:val="28"/>
        </w:rPr>
        <w:t>Los soportes de esta información reposan en las carpetas de cada empresa, entidad, fondo y patrimonio autónomo, los cuales se encuentran en el archivo de la Comisión Legal de Cuentas de la Cámara de Representantes.</w:t>
      </w:r>
    </w:p>
    <w:p w14:paraId="0DD028B6" w14:textId="77777777" w:rsidR="00561B22" w:rsidRPr="00FE2C5F" w:rsidRDefault="00561B22" w:rsidP="00561B22">
      <w:pPr>
        <w:ind w:left="-284" w:right="-234"/>
        <w:jc w:val="both"/>
        <w:rPr>
          <w:rFonts w:ascii="Arial" w:hAnsi="Arial" w:cs="Arial"/>
          <w:sz w:val="28"/>
          <w:szCs w:val="28"/>
        </w:rPr>
      </w:pPr>
    </w:p>
    <w:p w14:paraId="05B692FB" w14:textId="77777777" w:rsidR="00561B22" w:rsidRPr="00FE2C5F" w:rsidRDefault="00561B22" w:rsidP="00561B22">
      <w:pPr>
        <w:ind w:left="-284" w:right="-234"/>
        <w:jc w:val="both"/>
        <w:rPr>
          <w:rFonts w:ascii="Arial" w:hAnsi="Arial" w:cs="Arial"/>
          <w:b/>
          <w:spacing w:val="-3"/>
          <w:sz w:val="28"/>
          <w:szCs w:val="28"/>
          <w:lang w:val="es-ES_tradnl"/>
        </w:rPr>
      </w:pPr>
      <w:r w:rsidRPr="00FE2C5F">
        <w:rPr>
          <w:rFonts w:ascii="Arial" w:hAnsi="Arial" w:cs="Arial"/>
          <w:b/>
          <w:spacing w:val="-3"/>
          <w:sz w:val="28"/>
          <w:szCs w:val="28"/>
          <w:lang w:val="es-ES_tradnl"/>
        </w:rPr>
        <w:t>VER CAPÍTULO 1 DE LA PRESENTE RESOLUCIÓN.</w:t>
      </w:r>
    </w:p>
    <w:p w14:paraId="483157E3" w14:textId="77777777" w:rsidR="00561B22" w:rsidRPr="00FE2C5F" w:rsidRDefault="00561B22" w:rsidP="00561B22">
      <w:pPr>
        <w:ind w:right="49"/>
        <w:jc w:val="both"/>
        <w:rPr>
          <w:rFonts w:ascii="Arial" w:hAnsi="Arial" w:cs="Arial"/>
          <w:sz w:val="28"/>
          <w:szCs w:val="28"/>
        </w:rPr>
      </w:pPr>
    </w:p>
    <w:p w14:paraId="28057BDA" w14:textId="77777777" w:rsidR="00561B22" w:rsidRDefault="00561B22" w:rsidP="00C17E6E">
      <w:pPr>
        <w:ind w:left="-284" w:right="-283"/>
        <w:jc w:val="both"/>
        <w:rPr>
          <w:rFonts w:ascii="Arial" w:hAnsi="Arial" w:cs="Arial"/>
          <w:b/>
          <w:sz w:val="28"/>
          <w:szCs w:val="28"/>
          <w:lang w:val="es-MX"/>
        </w:rPr>
      </w:pPr>
      <w:r w:rsidRPr="00D36F18">
        <w:rPr>
          <w:rFonts w:ascii="Arial" w:hAnsi="Arial" w:cs="Arial"/>
          <w:b/>
          <w:sz w:val="28"/>
          <w:szCs w:val="28"/>
          <w:lang w:val="es-MX"/>
        </w:rPr>
        <w:t>1 U.A.E. DIRECCION DE IMPUESTOS Y ADUANAS NACIONALES DIAN – FUNCION RECAUDADORA.</w:t>
      </w:r>
    </w:p>
    <w:p w14:paraId="756D329C" w14:textId="77777777" w:rsidR="00561B22" w:rsidRDefault="00561B22" w:rsidP="00561B22">
      <w:pPr>
        <w:ind w:left="-284"/>
        <w:jc w:val="both"/>
        <w:rPr>
          <w:rFonts w:ascii="Arial" w:hAnsi="Arial" w:cs="Arial"/>
          <w:b/>
          <w:sz w:val="28"/>
          <w:szCs w:val="28"/>
          <w:lang w:val="es-MX"/>
        </w:rPr>
      </w:pPr>
    </w:p>
    <w:p w14:paraId="793B7165" w14:textId="77777777" w:rsidR="00561B22" w:rsidRPr="00D36F18" w:rsidRDefault="00561B22" w:rsidP="00561B22">
      <w:pPr>
        <w:pStyle w:val="Textoindependiente"/>
        <w:ind w:left="-284" w:right="-50"/>
        <w:jc w:val="center"/>
        <w:rPr>
          <w:rFonts w:ascii="Arial" w:hAnsi="Arial" w:cs="Arial"/>
          <w:b/>
          <w:bCs/>
        </w:rPr>
      </w:pPr>
      <w:r w:rsidRPr="00D36F18">
        <w:rPr>
          <w:rFonts w:ascii="Arial" w:hAnsi="Arial" w:cs="Arial"/>
          <w:b/>
          <w:bCs/>
        </w:rPr>
        <w:t>INFORME DE LA AUTOCALIFICACIÓN DEL SISTEMA DE CONTROL INTERNO CONTABLE:</w:t>
      </w:r>
    </w:p>
    <w:p w14:paraId="787A3117" w14:textId="77777777" w:rsidR="00561B22" w:rsidRPr="00D36F1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36F18" w14:paraId="7EC86014" w14:textId="77777777" w:rsidTr="00F1223B">
        <w:tc>
          <w:tcPr>
            <w:tcW w:w="4981" w:type="dxa"/>
          </w:tcPr>
          <w:p w14:paraId="02BA33DF"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AUTOCALIFICACIÓN</w:t>
            </w:r>
          </w:p>
        </w:tc>
        <w:tc>
          <w:tcPr>
            <w:tcW w:w="4981" w:type="dxa"/>
          </w:tcPr>
          <w:p w14:paraId="3C64B6DF" w14:textId="77777777" w:rsidR="00561B22" w:rsidRPr="00D36F18" w:rsidRDefault="00561B22" w:rsidP="00F1223B">
            <w:pPr>
              <w:jc w:val="center"/>
              <w:rPr>
                <w:rFonts w:ascii="Arial" w:hAnsi="Arial" w:cs="Arial"/>
                <w:b/>
                <w:sz w:val="22"/>
                <w:szCs w:val="22"/>
                <w:u w:val="single"/>
                <w:lang w:val="es-MX"/>
              </w:rPr>
            </w:pPr>
            <w:r w:rsidRPr="00D36F18">
              <w:rPr>
                <w:rFonts w:ascii="Arial" w:hAnsi="Arial" w:cs="Arial"/>
                <w:b/>
                <w:sz w:val="22"/>
                <w:szCs w:val="22"/>
                <w:u w:val="single"/>
                <w:lang w:val="es-MX"/>
              </w:rPr>
              <w:t>4.23</w:t>
            </w:r>
          </w:p>
        </w:tc>
      </w:tr>
    </w:tbl>
    <w:p w14:paraId="681AD2A7" w14:textId="77777777" w:rsidR="00561B22" w:rsidRPr="00D36F18" w:rsidRDefault="00561B22" w:rsidP="00561B22">
      <w:pPr>
        <w:pStyle w:val="Textoindependiente"/>
        <w:ind w:right="-50"/>
        <w:jc w:val="both"/>
        <w:rPr>
          <w:rFonts w:ascii="Arial" w:hAnsi="Arial" w:cs="Arial"/>
          <w:b/>
          <w:bCs/>
        </w:rPr>
      </w:pPr>
    </w:p>
    <w:p w14:paraId="68104661" w14:textId="77777777" w:rsidR="00561B22" w:rsidRPr="00D36F18" w:rsidRDefault="00561B22" w:rsidP="00561B22">
      <w:pPr>
        <w:pStyle w:val="Textoindependiente"/>
        <w:ind w:right="-50"/>
        <w:jc w:val="both"/>
        <w:rPr>
          <w:rFonts w:ascii="Arial" w:hAnsi="Arial" w:cs="Arial"/>
          <w:b/>
          <w:bCs/>
        </w:rPr>
      </w:pPr>
      <w:r w:rsidRPr="00D36F18">
        <w:rPr>
          <w:rFonts w:ascii="Arial" w:hAnsi="Arial" w:cs="Arial"/>
          <w:b/>
          <w:bCs/>
        </w:rPr>
        <w:t>Del informe enviado retomamos lo siguiente:</w:t>
      </w:r>
    </w:p>
    <w:p w14:paraId="5368DECA" w14:textId="77777777" w:rsidR="00561B22" w:rsidRPr="00D36F1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D36F18" w14:paraId="2E8000A1" w14:textId="77777777" w:rsidTr="00F1223B">
        <w:trPr>
          <w:trHeight w:val="384"/>
        </w:trPr>
        <w:tc>
          <w:tcPr>
            <w:tcW w:w="1129" w:type="dxa"/>
          </w:tcPr>
          <w:p w14:paraId="7937C645" w14:textId="77777777" w:rsidR="00561B22" w:rsidRPr="00D36F18" w:rsidRDefault="00561B22" w:rsidP="00F1223B">
            <w:pPr>
              <w:ind w:right="-109"/>
              <w:jc w:val="center"/>
              <w:rPr>
                <w:rFonts w:ascii="Arial" w:hAnsi="Arial" w:cs="Arial"/>
                <w:b/>
                <w:sz w:val="22"/>
                <w:szCs w:val="22"/>
                <w:lang w:val="es-MX"/>
              </w:rPr>
            </w:pPr>
            <w:r w:rsidRPr="00D36F18">
              <w:rPr>
                <w:rFonts w:ascii="Arial" w:hAnsi="Arial" w:cs="Arial"/>
                <w:b/>
                <w:sz w:val="22"/>
                <w:szCs w:val="22"/>
                <w:lang w:val="es-MX"/>
              </w:rPr>
              <w:t>N°</w:t>
            </w:r>
          </w:p>
        </w:tc>
        <w:tc>
          <w:tcPr>
            <w:tcW w:w="8833" w:type="dxa"/>
          </w:tcPr>
          <w:p w14:paraId="6BBE2B91"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DEBILIDADES</w:t>
            </w:r>
          </w:p>
          <w:p w14:paraId="799A4618" w14:textId="77777777" w:rsidR="00561B22" w:rsidRPr="00D36F18" w:rsidRDefault="00561B22" w:rsidP="00F1223B">
            <w:pPr>
              <w:jc w:val="center"/>
              <w:rPr>
                <w:rFonts w:ascii="Arial" w:hAnsi="Arial" w:cs="Arial"/>
                <w:b/>
                <w:sz w:val="22"/>
                <w:szCs w:val="22"/>
                <w:lang w:val="es-MX"/>
              </w:rPr>
            </w:pPr>
          </w:p>
        </w:tc>
      </w:tr>
      <w:tr w:rsidR="00561B22" w:rsidRPr="00D36F18" w14:paraId="61D5D737" w14:textId="77777777" w:rsidTr="00F1223B">
        <w:tc>
          <w:tcPr>
            <w:tcW w:w="1129" w:type="dxa"/>
          </w:tcPr>
          <w:p w14:paraId="7FA4E857"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1</w:t>
            </w:r>
          </w:p>
        </w:tc>
        <w:tc>
          <w:tcPr>
            <w:tcW w:w="8833" w:type="dxa"/>
          </w:tcPr>
          <w:p w14:paraId="74725939" w14:textId="77777777" w:rsidR="00561B22" w:rsidRPr="00D36F18" w:rsidRDefault="00561B22" w:rsidP="00F1223B">
            <w:pPr>
              <w:widowControl/>
              <w:autoSpaceDE/>
              <w:autoSpaceDN/>
              <w:adjustRightInd w:val="0"/>
              <w:jc w:val="both"/>
              <w:rPr>
                <w:rFonts w:ascii="Arial" w:eastAsia="Times New Roman" w:hAnsi="Arial" w:cs="Arial"/>
                <w:sz w:val="22"/>
                <w:szCs w:val="22"/>
                <w:lang w:val="es-CO"/>
              </w:rPr>
            </w:pPr>
            <w:r w:rsidRPr="00D36F18">
              <w:rPr>
                <w:rFonts w:ascii="Arial" w:eastAsia="Times New Roman" w:hAnsi="Arial" w:cs="Arial"/>
                <w:sz w:val="22"/>
                <w:szCs w:val="22"/>
                <w:lang w:val="es-CO"/>
              </w:rPr>
              <w:t xml:space="preserve">La Coordinación de Contabilidad de la Función Recaudadora en cumplimiento al memorando 000050 de 2023 asignó una muestra de 19.920 del total del universo de </w:t>
            </w:r>
            <w:r w:rsidRPr="00D36F18">
              <w:rPr>
                <w:rFonts w:ascii="Arial" w:eastAsia="Times New Roman" w:hAnsi="Arial" w:cs="Arial"/>
                <w:sz w:val="22"/>
                <w:szCs w:val="22"/>
                <w:lang w:val="es-CO"/>
              </w:rPr>
              <w:lastRenderedPageBreak/>
              <w:t>terceros, que requieren depuración de los saldos de las cuentas por cobrar a las direcciones seccionales de acuerdo con la materialidad de los saldos y capacidad operativa. De esta muestra asignada para la vigencia se logró conciliar el 97,34% y se realizaron ajustes al 99,59%. Sin embargo, al considerar el universo de partidas que requieren depurarse esta cifra no es suficiente para alcanzar la totalidad de esta cuenta, debido al crecimiento constante</w:t>
            </w:r>
            <w:r w:rsidRPr="00D36F18">
              <w:rPr>
                <w:rFonts w:ascii="Arial" w:eastAsia="Times New Roman" w:hAnsi="Arial" w:cs="Arial"/>
                <w:b/>
                <w:bCs/>
                <w:sz w:val="22"/>
                <w:szCs w:val="22"/>
                <w:lang w:val="es-CO"/>
              </w:rPr>
              <w:t> </w:t>
            </w:r>
            <w:r w:rsidRPr="00D36F18">
              <w:rPr>
                <w:rFonts w:ascii="Arial" w:eastAsia="Times New Roman" w:hAnsi="Arial" w:cs="Arial"/>
                <w:sz w:val="22"/>
                <w:szCs w:val="22"/>
                <w:lang w:val="es-CO"/>
              </w:rPr>
              <w:t>del volumen de información, terceros involucrados y al análisis manual para depurar las partidas que hace que el proceso de conciliación sea dispendioso,</w:t>
            </w:r>
            <w:r w:rsidRPr="00D36F18">
              <w:rPr>
                <w:rFonts w:ascii="Arial" w:eastAsia="Times New Roman" w:hAnsi="Arial" w:cs="Arial"/>
                <w:b/>
                <w:bCs/>
                <w:sz w:val="22"/>
                <w:szCs w:val="22"/>
                <w:lang w:val="es-CO"/>
              </w:rPr>
              <w:t> </w:t>
            </w:r>
            <w:r w:rsidRPr="00D36F18">
              <w:rPr>
                <w:rFonts w:ascii="Arial" w:eastAsia="Times New Roman" w:hAnsi="Arial" w:cs="Arial"/>
                <w:sz w:val="22"/>
                <w:szCs w:val="22"/>
                <w:lang w:val="es-CO"/>
              </w:rPr>
              <w:t>afectando la eficiencia del proceso y dificultando que se logre una depuración total.</w:t>
            </w:r>
          </w:p>
        </w:tc>
      </w:tr>
      <w:tr w:rsidR="00561B22" w:rsidRPr="00D36F18" w14:paraId="3F05B585" w14:textId="77777777" w:rsidTr="00F1223B">
        <w:trPr>
          <w:trHeight w:val="1801"/>
        </w:trPr>
        <w:tc>
          <w:tcPr>
            <w:tcW w:w="1129" w:type="dxa"/>
          </w:tcPr>
          <w:p w14:paraId="63AE4E64"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lastRenderedPageBreak/>
              <w:t>2</w:t>
            </w:r>
          </w:p>
        </w:tc>
        <w:tc>
          <w:tcPr>
            <w:tcW w:w="8833" w:type="dxa"/>
          </w:tcPr>
          <w:p w14:paraId="3102445F" w14:textId="77777777" w:rsidR="00561B22" w:rsidRPr="00D36F18" w:rsidRDefault="00561B22" w:rsidP="00F1223B">
            <w:pPr>
              <w:widowControl/>
              <w:autoSpaceDE/>
              <w:autoSpaceDN/>
              <w:jc w:val="both"/>
              <w:rPr>
                <w:rFonts w:ascii="Arial" w:eastAsia="Times New Roman" w:hAnsi="Arial" w:cs="Arial"/>
                <w:sz w:val="22"/>
                <w:szCs w:val="22"/>
                <w:lang w:val="es-CO"/>
              </w:rPr>
            </w:pPr>
            <w:r w:rsidRPr="00D36F18">
              <w:rPr>
                <w:rFonts w:ascii="Arial" w:eastAsia="Times New Roman" w:hAnsi="Arial" w:cs="Arial"/>
                <w:sz w:val="22"/>
                <w:szCs w:val="22"/>
                <w:lang w:val="es-CO"/>
              </w:rPr>
              <w:t>De una muestra de 84 terceros que conforman las cuentas por cobrar: Renta y Complementarios,  Aduana y Recargos, IVA Interno, IVA Externo, Sanciones Tributarias y de las cuentas por pagar: Excedentes Impuesto al Patrimonio, Excedentes Obligaciones, SAF Impuesto de Renta,  SAF Impuesto al Valor Agregado, Anticipos por Otros Conceptos, a 30 de noviembre de 2024, se  identificaron inconsistencias como la causación y reversión repetida de documentos, notas automáticas de reversión, registros duplicados y saldos sin depurar desde vigencias anteriores, indicando deficiencias en los procesos contables y de conciliación. Estos errores generan saldos de los terceros contrarios a la naturaleza afectando la representación fiel de los estados financieros.</w:t>
            </w:r>
          </w:p>
        </w:tc>
      </w:tr>
      <w:tr w:rsidR="00561B22" w:rsidRPr="00D36F18" w14:paraId="02AF66FE" w14:textId="77777777" w:rsidTr="00F1223B">
        <w:tc>
          <w:tcPr>
            <w:tcW w:w="1129" w:type="dxa"/>
          </w:tcPr>
          <w:p w14:paraId="59119452"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3</w:t>
            </w:r>
          </w:p>
        </w:tc>
        <w:tc>
          <w:tcPr>
            <w:tcW w:w="8833" w:type="dxa"/>
          </w:tcPr>
          <w:p w14:paraId="1273E1F0" w14:textId="77777777" w:rsidR="00561B22" w:rsidRPr="00D36F18" w:rsidRDefault="00561B22" w:rsidP="00F1223B">
            <w:pPr>
              <w:jc w:val="both"/>
              <w:rPr>
                <w:rFonts w:ascii="Arial" w:hAnsi="Arial" w:cs="Arial"/>
                <w:sz w:val="22"/>
                <w:szCs w:val="22"/>
                <w:lang w:val="es-MX"/>
              </w:rPr>
            </w:pPr>
            <w:r w:rsidRPr="00D36F18">
              <w:rPr>
                <w:rFonts w:ascii="Arial" w:eastAsia="Times New Roman" w:hAnsi="Arial" w:cs="Arial"/>
                <w:sz w:val="22"/>
                <w:szCs w:val="22"/>
                <w:lang w:val="es-CO"/>
              </w:rPr>
              <w:t>En los activos y pasivos existen subcuentas denominadas por validar, donde se han registrado documentos que contienen inconsistencias o que aún no han sido depurados adecuadamente, esto refleja inconvenientes en los procesos de validación. La dependencia encargada de solucionar esta situación es la Coordinación de Administración de Aplicativos de Impuestos de la Subdirección de Recaudo, a 30 de noviembre de 2024 las inconsistencias persisten. La falta de depuración afecta la confiabilidad de los registros generando que los saldos de estas subcuentas sean contrarios a su naturaleza y no reflejen la realidad financiera de la entidad.</w:t>
            </w:r>
          </w:p>
        </w:tc>
      </w:tr>
      <w:tr w:rsidR="00561B22" w:rsidRPr="00D36F18" w14:paraId="38065719" w14:textId="77777777" w:rsidTr="00F1223B">
        <w:tc>
          <w:tcPr>
            <w:tcW w:w="1129" w:type="dxa"/>
          </w:tcPr>
          <w:p w14:paraId="1E0ED799"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4</w:t>
            </w:r>
          </w:p>
        </w:tc>
        <w:tc>
          <w:tcPr>
            <w:tcW w:w="8833" w:type="dxa"/>
          </w:tcPr>
          <w:p w14:paraId="3A71BA56" w14:textId="77777777" w:rsidR="00561B22" w:rsidRPr="00D36F18" w:rsidRDefault="00561B22" w:rsidP="00F1223B">
            <w:pPr>
              <w:jc w:val="both"/>
              <w:rPr>
                <w:rFonts w:ascii="Arial" w:hAnsi="Arial" w:cs="Arial"/>
                <w:sz w:val="22"/>
                <w:szCs w:val="22"/>
                <w:lang w:val="es-MX"/>
              </w:rPr>
            </w:pPr>
            <w:r w:rsidRPr="00D36F18">
              <w:rPr>
                <w:rFonts w:ascii="Arial" w:hAnsi="Arial" w:cs="Arial"/>
                <w:sz w:val="22"/>
                <w:szCs w:val="22"/>
              </w:rPr>
              <w:t>A 30 de noviembre de 2024, se encuentran bienes inmuebles adjudicados a favor de la nación pendientes de contabilizar, por valor de $2.006 millones, de estos $1.986 millones corresponden a vigencias comprendidas entre 2012 y 2024. Para la contabilización se requieren las Resoluciones que ordenan la cancelación de obligaciones con bienes inmuebles adjudicados a favor de la Nación en procesos concursales o coactivos que respalden su registro contable, los cuales no han sido remitidos por las áreas responsables de las Direcciones Seccionales de Impuestos de Barranquilla y Bogotá y de Impuestos y Aduanas de Pasto y Girardot, dificultando la inclusión de los bienes en los estados financieros, afectando su razonabilidad.</w:t>
            </w:r>
          </w:p>
        </w:tc>
      </w:tr>
      <w:tr w:rsidR="00561B22" w:rsidRPr="00D36F18" w14:paraId="6749B4B4" w14:textId="77777777" w:rsidTr="00F1223B">
        <w:tc>
          <w:tcPr>
            <w:tcW w:w="1129" w:type="dxa"/>
          </w:tcPr>
          <w:p w14:paraId="66483C76"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5</w:t>
            </w:r>
          </w:p>
        </w:tc>
        <w:tc>
          <w:tcPr>
            <w:tcW w:w="8833" w:type="dxa"/>
          </w:tcPr>
          <w:p w14:paraId="7C4467A9" w14:textId="77777777" w:rsidR="00561B22" w:rsidRPr="00D36F18" w:rsidRDefault="00561B22" w:rsidP="00F1223B">
            <w:pPr>
              <w:jc w:val="both"/>
              <w:rPr>
                <w:rFonts w:ascii="Arial" w:hAnsi="Arial" w:cs="Arial"/>
                <w:sz w:val="22"/>
                <w:szCs w:val="22"/>
              </w:rPr>
            </w:pPr>
            <w:r w:rsidRPr="00D36F18">
              <w:rPr>
                <w:rFonts w:ascii="Arial" w:hAnsi="Arial" w:cs="Arial"/>
                <w:sz w:val="22"/>
                <w:szCs w:val="22"/>
              </w:rPr>
              <w:t>Existen partidas conciliatorias no depuradas en la cuenta 1510 Mercancías en existencia correspondientes a bienes adjudicados a la nación en los años 2011 a 2022, por un valor total de $9.166 millones a noviembre de 2024 en las subcuentas Maquinaria y elementos de ferretería, Muebles Enseres y Equipos, Acciones, Unidad de Explotación Económica y Cuentas por Cobrar.</w:t>
            </w:r>
          </w:p>
        </w:tc>
      </w:tr>
      <w:tr w:rsidR="00561B22" w:rsidRPr="00D36F18" w14:paraId="768D8BB6" w14:textId="77777777" w:rsidTr="00F1223B">
        <w:tc>
          <w:tcPr>
            <w:tcW w:w="1129" w:type="dxa"/>
          </w:tcPr>
          <w:p w14:paraId="11A65667"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6</w:t>
            </w:r>
          </w:p>
        </w:tc>
        <w:tc>
          <w:tcPr>
            <w:tcW w:w="8833" w:type="dxa"/>
          </w:tcPr>
          <w:p w14:paraId="354D6E4F" w14:textId="77777777" w:rsidR="00561B22" w:rsidRPr="00D36F18" w:rsidRDefault="00561B22" w:rsidP="00F1223B">
            <w:pPr>
              <w:jc w:val="both"/>
              <w:rPr>
                <w:rFonts w:ascii="Arial" w:hAnsi="Arial" w:cs="Arial"/>
                <w:sz w:val="22"/>
                <w:szCs w:val="22"/>
              </w:rPr>
            </w:pPr>
            <w:r w:rsidRPr="00D36F18">
              <w:rPr>
                <w:rFonts w:ascii="Arial" w:hAnsi="Arial" w:cs="Arial"/>
                <w:sz w:val="22"/>
                <w:szCs w:val="22"/>
              </w:rPr>
              <w:t>Durante la vigencia 2024, se vendieron 8 bienes inmuebles adjudicados a la Nación, en 7 de estos los certificados de tradición y libertad muestran que la transferencia del derecho de dominio del bien quedo a nombre del comprador entre junio y octubre de 2024, la afectación en las cuentas del activo fue realizada únicamente hasta diciembre, por cuanto el área responsable no remitió la totalidad de los soportes idóneos oportunamente, lo que indica una discrepancia con las políticas contables establecidas, según el Manual de Políticas Contables y Operativas de la Función Recaudadora V5, los bienes inmuebles deben darse de baja en el momento de su transferencia, es decir, en el momento en que se materializa efectivamente su disposición, generando sobreestimación en las cuentas 1510 Mercancías en existencia y 1640 Edificaciones, por ende, no reflejarán la representación fiel de los hechos económicos durante estos meses.</w:t>
            </w:r>
          </w:p>
        </w:tc>
      </w:tr>
    </w:tbl>
    <w:p w14:paraId="2F35BC1B" w14:textId="77777777" w:rsidR="00561B22" w:rsidRDefault="00561B22" w:rsidP="00561B22">
      <w:pPr>
        <w:pStyle w:val="Textoindependiente"/>
        <w:ind w:right="-50"/>
        <w:jc w:val="both"/>
        <w:rPr>
          <w:rFonts w:ascii="Arial" w:hAnsi="Arial" w:cs="Arial"/>
          <w:b/>
          <w:bCs/>
        </w:rPr>
      </w:pPr>
    </w:p>
    <w:p w14:paraId="3B7E1C5E" w14:textId="77777777" w:rsidR="00561B22" w:rsidRPr="00C5063B" w:rsidRDefault="00561B22" w:rsidP="00561B22">
      <w:pPr>
        <w:jc w:val="both"/>
        <w:rPr>
          <w:rFonts w:ascii="Arial" w:hAnsi="Arial" w:cs="Arial"/>
          <w:b/>
          <w:lang w:val="es-MX"/>
        </w:rPr>
      </w:pPr>
      <w:r w:rsidRPr="00C5063B">
        <w:rPr>
          <w:rFonts w:ascii="Arial" w:hAnsi="Arial" w:cs="Arial"/>
          <w:b/>
          <w:lang w:val="es-MX"/>
        </w:rPr>
        <w:lastRenderedPageBreak/>
        <w:t>Del citado informe retomamos las siguientes recomendaciones:</w:t>
      </w:r>
    </w:p>
    <w:p w14:paraId="701323B4" w14:textId="77777777" w:rsidR="00561B22" w:rsidRPr="00D36F1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D36F18" w14:paraId="1F4E0426" w14:textId="77777777" w:rsidTr="00F1223B">
        <w:tc>
          <w:tcPr>
            <w:tcW w:w="1129" w:type="dxa"/>
          </w:tcPr>
          <w:p w14:paraId="294D9D43" w14:textId="77777777" w:rsidR="00561B22" w:rsidRPr="00D36F18" w:rsidRDefault="00561B22" w:rsidP="00F1223B">
            <w:pPr>
              <w:ind w:right="-109"/>
              <w:jc w:val="center"/>
              <w:rPr>
                <w:rFonts w:ascii="Arial" w:hAnsi="Arial" w:cs="Arial"/>
                <w:b/>
                <w:sz w:val="22"/>
                <w:szCs w:val="22"/>
                <w:lang w:val="es-MX"/>
              </w:rPr>
            </w:pPr>
            <w:r w:rsidRPr="00D36F18">
              <w:rPr>
                <w:rFonts w:ascii="Arial" w:hAnsi="Arial" w:cs="Arial"/>
                <w:b/>
                <w:sz w:val="22"/>
                <w:szCs w:val="22"/>
                <w:lang w:val="es-MX"/>
              </w:rPr>
              <w:t>N°</w:t>
            </w:r>
          </w:p>
        </w:tc>
        <w:tc>
          <w:tcPr>
            <w:tcW w:w="8833" w:type="dxa"/>
          </w:tcPr>
          <w:p w14:paraId="2196EA55"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RECOMENDACIONES</w:t>
            </w:r>
          </w:p>
          <w:p w14:paraId="35A8944C" w14:textId="77777777" w:rsidR="00561B22" w:rsidRPr="00D36F18" w:rsidRDefault="00561B22" w:rsidP="00F1223B">
            <w:pPr>
              <w:jc w:val="center"/>
              <w:rPr>
                <w:rFonts w:ascii="Arial" w:hAnsi="Arial" w:cs="Arial"/>
                <w:b/>
                <w:sz w:val="22"/>
                <w:szCs w:val="22"/>
                <w:lang w:val="es-MX"/>
              </w:rPr>
            </w:pPr>
          </w:p>
        </w:tc>
      </w:tr>
      <w:tr w:rsidR="00561B22" w:rsidRPr="00D36F18" w14:paraId="70596225" w14:textId="77777777" w:rsidTr="00F1223B">
        <w:tc>
          <w:tcPr>
            <w:tcW w:w="1129" w:type="dxa"/>
          </w:tcPr>
          <w:p w14:paraId="0F01E5CC"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1</w:t>
            </w:r>
          </w:p>
        </w:tc>
        <w:tc>
          <w:tcPr>
            <w:tcW w:w="8833" w:type="dxa"/>
          </w:tcPr>
          <w:p w14:paraId="56D97B3B" w14:textId="77777777" w:rsidR="00561B22" w:rsidRPr="00D36F18" w:rsidRDefault="00561B22" w:rsidP="00F1223B">
            <w:pPr>
              <w:jc w:val="both"/>
              <w:rPr>
                <w:rFonts w:ascii="Arial" w:hAnsi="Arial" w:cs="Arial"/>
                <w:sz w:val="22"/>
                <w:szCs w:val="22"/>
                <w:lang w:val="es-MX"/>
              </w:rPr>
            </w:pPr>
            <w:r w:rsidRPr="00D36F18">
              <w:rPr>
                <w:rFonts w:ascii="Arial" w:hAnsi="Arial" w:cs="Arial"/>
                <w:sz w:val="22"/>
                <w:szCs w:val="22"/>
              </w:rPr>
              <w:t>Se reitera la recomendación del año inmediatamente anterior: “</w:t>
            </w:r>
            <w:r w:rsidRPr="00D36F18">
              <w:rPr>
                <w:rFonts w:ascii="Arial" w:hAnsi="Arial" w:cs="Arial"/>
                <w:i/>
                <w:iCs/>
                <w:sz w:val="22"/>
                <w:szCs w:val="22"/>
              </w:rPr>
              <w:t>Diseñar estrategias junto con la Dirección de Gestión de Innovación y Tecnología y la Coordinación de Administración de Aplicativos de Impuestos, para que la información que se encuentra en los diferentes buzones fluya de manera oportuna y completa hacia la contabilidad”</w:t>
            </w:r>
            <w:r w:rsidRPr="00D36F18">
              <w:rPr>
                <w:rFonts w:ascii="Arial" w:hAnsi="Arial" w:cs="Arial"/>
                <w:sz w:val="22"/>
                <w:szCs w:val="22"/>
              </w:rPr>
              <w:t>, con el fin de fortalecer la integridad de los estados financieros, permitiendo una representación fiel de la situación económica de la entidad.</w:t>
            </w:r>
          </w:p>
        </w:tc>
      </w:tr>
      <w:tr w:rsidR="00561B22" w:rsidRPr="00D36F18" w14:paraId="4F4B81E8" w14:textId="77777777" w:rsidTr="00F1223B">
        <w:tc>
          <w:tcPr>
            <w:tcW w:w="1129" w:type="dxa"/>
          </w:tcPr>
          <w:p w14:paraId="30170BDF"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2</w:t>
            </w:r>
          </w:p>
        </w:tc>
        <w:tc>
          <w:tcPr>
            <w:tcW w:w="8833" w:type="dxa"/>
          </w:tcPr>
          <w:p w14:paraId="7F2F292C" w14:textId="77777777" w:rsidR="00561B22" w:rsidRPr="00D36F18" w:rsidRDefault="00561B22" w:rsidP="00F1223B">
            <w:pPr>
              <w:jc w:val="both"/>
              <w:rPr>
                <w:rFonts w:ascii="Arial" w:hAnsi="Arial" w:cs="Arial"/>
                <w:sz w:val="22"/>
                <w:szCs w:val="22"/>
                <w:lang w:val="es-MX"/>
              </w:rPr>
            </w:pPr>
            <w:r w:rsidRPr="00D36F18">
              <w:rPr>
                <w:rFonts w:ascii="Arial" w:hAnsi="Arial" w:cs="Arial"/>
                <w:sz w:val="22"/>
                <w:szCs w:val="22"/>
              </w:rPr>
              <w:t>Adelantar las gestiones necesarias para que la Coordinación de Administración de Aplicativos de Impuestos efectúe las depuraciones de documentos inconsistentes que por competencia le corresponde realizar, de tal manera que la información represente fielmente los hechos económicos.</w:t>
            </w:r>
          </w:p>
        </w:tc>
      </w:tr>
      <w:tr w:rsidR="00561B22" w:rsidRPr="00D36F18" w14:paraId="7758BE17" w14:textId="77777777" w:rsidTr="00F1223B">
        <w:tc>
          <w:tcPr>
            <w:tcW w:w="1129" w:type="dxa"/>
          </w:tcPr>
          <w:p w14:paraId="1EC3841D"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3</w:t>
            </w:r>
          </w:p>
        </w:tc>
        <w:tc>
          <w:tcPr>
            <w:tcW w:w="8833" w:type="dxa"/>
          </w:tcPr>
          <w:p w14:paraId="4DB0166A" w14:textId="77777777" w:rsidR="00561B22" w:rsidRPr="00D36F18" w:rsidRDefault="00561B22" w:rsidP="00F1223B">
            <w:pPr>
              <w:jc w:val="both"/>
              <w:rPr>
                <w:rFonts w:ascii="Arial" w:hAnsi="Arial" w:cs="Arial"/>
                <w:sz w:val="22"/>
                <w:szCs w:val="22"/>
                <w:lang w:val="es-MX"/>
              </w:rPr>
            </w:pPr>
            <w:r w:rsidRPr="00D36F18">
              <w:rPr>
                <w:rFonts w:ascii="Arial" w:eastAsia="Times New Roman" w:hAnsi="Arial" w:cs="Arial"/>
                <w:sz w:val="22"/>
                <w:szCs w:val="22"/>
                <w:lang w:val="es-CO"/>
              </w:rPr>
              <w:t>Gestionar las acciones administrativas pertinentes por parte de la Dirección de Gestión Impuestos - Subdirección de Cobranzas y Control Extensivo y la Dirección de Gestión Corporativa - Subdirección Administrativa, responsables de suministrar información de bienes inmuebles adjudicados a la Nación, para que se remitan oportunamente</w:t>
            </w:r>
            <w:r w:rsidRPr="00D36F18">
              <w:rPr>
                <w:rFonts w:ascii="Arial" w:eastAsia="Times New Roman" w:hAnsi="Arial" w:cs="Arial"/>
                <w:b/>
                <w:bCs/>
                <w:sz w:val="22"/>
                <w:szCs w:val="22"/>
                <w:lang w:val="es-CO"/>
              </w:rPr>
              <w:t xml:space="preserve"> </w:t>
            </w:r>
            <w:r w:rsidRPr="00D36F18">
              <w:rPr>
                <w:rFonts w:ascii="Arial" w:eastAsia="Times New Roman" w:hAnsi="Arial" w:cs="Arial"/>
                <w:sz w:val="22"/>
                <w:szCs w:val="22"/>
                <w:lang w:val="es-CO"/>
              </w:rPr>
              <w:t>los documentos idóneos, con el fin de que se realicen los registros contables respectivos y se refleje correctamente la razonabilidad de los estados financieros de la entidad.</w:t>
            </w:r>
          </w:p>
        </w:tc>
      </w:tr>
      <w:tr w:rsidR="00561B22" w:rsidRPr="00D36F18" w14:paraId="64C1117A" w14:textId="77777777" w:rsidTr="00F1223B">
        <w:tc>
          <w:tcPr>
            <w:tcW w:w="1129" w:type="dxa"/>
          </w:tcPr>
          <w:p w14:paraId="2281738A"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4</w:t>
            </w:r>
          </w:p>
        </w:tc>
        <w:tc>
          <w:tcPr>
            <w:tcW w:w="8833" w:type="dxa"/>
          </w:tcPr>
          <w:p w14:paraId="5B3A4049" w14:textId="77777777" w:rsidR="00561B22" w:rsidRPr="00D36F18" w:rsidRDefault="00561B22" w:rsidP="00F1223B">
            <w:pPr>
              <w:jc w:val="both"/>
              <w:rPr>
                <w:rFonts w:ascii="Arial" w:hAnsi="Arial" w:cs="Arial"/>
                <w:sz w:val="22"/>
                <w:szCs w:val="22"/>
                <w:lang w:val="es-MX"/>
              </w:rPr>
            </w:pPr>
            <w:r w:rsidRPr="00D36F18">
              <w:rPr>
                <w:rFonts w:ascii="Arial" w:hAnsi="Arial" w:cs="Arial"/>
                <w:sz w:val="22"/>
                <w:szCs w:val="22"/>
              </w:rPr>
              <w:t>Actualizar el Manual contable de la Función Recaudadora y el Manual de políticas contables y operativas de la Contabilidad Función Recaudadora, en lo referente a los bienes inmuebles adjudicados a favor de la nación que generan ingreso de conformidad con lo señalado en el concepto 2025114441951 de fecha 29 de enero de 2025 emitido por la Contaduría General de la Nación.</w:t>
            </w:r>
          </w:p>
        </w:tc>
      </w:tr>
      <w:tr w:rsidR="00561B22" w:rsidRPr="00D36F18" w14:paraId="313012A9" w14:textId="77777777" w:rsidTr="00F1223B">
        <w:tc>
          <w:tcPr>
            <w:tcW w:w="1129" w:type="dxa"/>
          </w:tcPr>
          <w:p w14:paraId="5DC850CE" w14:textId="77777777" w:rsidR="00561B22" w:rsidRPr="00D36F18" w:rsidRDefault="00561B22" w:rsidP="00F1223B">
            <w:pPr>
              <w:jc w:val="center"/>
              <w:rPr>
                <w:rFonts w:ascii="Arial" w:hAnsi="Arial" w:cs="Arial"/>
                <w:b/>
                <w:sz w:val="22"/>
                <w:szCs w:val="22"/>
                <w:lang w:val="es-MX"/>
              </w:rPr>
            </w:pPr>
            <w:r w:rsidRPr="00D36F18">
              <w:rPr>
                <w:rFonts w:ascii="Arial" w:hAnsi="Arial" w:cs="Arial"/>
                <w:b/>
                <w:sz w:val="22"/>
                <w:szCs w:val="22"/>
                <w:lang w:val="es-MX"/>
              </w:rPr>
              <w:t>5</w:t>
            </w:r>
          </w:p>
        </w:tc>
        <w:tc>
          <w:tcPr>
            <w:tcW w:w="8833" w:type="dxa"/>
          </w:tcPr>
          <w:p w14:paraId="68D0E6B8" w14:textId="77777777" w:rsidR="00561B22" w:rsidRPr="00D36F18" w:rsidRDefault="00561B22" w:rsidP="00F1223B">
            <w:pPr>
              <w:jc w:val="both"/>
              <w:rPr>
                <w:rFonts w:ascii="Arial" w:hAnsi="Arial" w:cs="Arial"/>
                <w:sz w:val="22"/>
                <w:szCs w:val="22"/>
                <w:lang w:val="es-MX"/>
              </w:rPr>
            </w:pPr>
            <w:r w:rsidRPr="00D36F18">
              <w:rPr>
                <w:rFonts w:ascii="Arial" w:eastAsia="Times New Roman" w:hAnsi="Arial" w:cs="Arial"/>
                <w:sz w:val="22"/>
                <w:szCs w:val="22"/>
                <w:lang w:val="es-CO"/>
              </w:rPr>
              <w:t>Realizar una revisión exhaustiva de los bienes muebles e incorporales adjudicados a la Nación que se encuentran como partidas conciliatorias pendientes, para que se realicen las depuraciones correspondientes entre la Coordinación de Contabilidad Función Recaudadora y la Subdirección Logística, en aras de evitar la subestimación o sobreestimación</w:t>
            </w:r>
            <w:r w:rsidRPr="00D36F18">
              <w:rPr>
                <w:rFonts w:ascii="Arial" w:eastAsia="Times New Roman" w:hAnsi="Arial" w:cs="Arial"/>
                <w:b/>
                <w:bCs/>
                <w:sz w:val="22"/>
                <w:szCs w:val="22"/>
                <w:lang w:val="es-CO"/>
              </w:rPr>
              <w:t xml:space="preserve"> </w:t>
            </w:r>
            <w:r w:rsidRPr="00D36F18">
              <w:rPr>
                <w:rFonts w:ascii="Arial" w:eastAsia="Times New Roman" w:hAnsi="Arial" w:cs="Arial"/>
                <w:sz w:val="22"/>
                <w:szCs w:val="22"/>
                <w:lang w:val="es-CO"/>
              </w:rPr>
              <w:t>de los</w:t>
            </w:r>
            <w:r w:rsidRPr="00D36F18">
              <w:rPr>
                <w:rFonts w:ascii="Arial" w:eastAsia="Times New Roman" w:hAnsi="Arial" w:cs="Arial"/>
                <w:b/>
                <w:bCs/>
                <w:sz w:val="22"/>
                <w:szCs w:val="22"/>
                <w:lang w:val="es-CO"/>
              </w:rPr>
              <w:t xml:space="preserve"> </w:t>
            </w:r>
            <w:r w:rsidRPr="00D36F18">
              <w:rPr>
                <w:rFonts w:ascii="Arial" w:eastAsia="Times New Roman" w:hAnsi="Arial" w:cs="Arial"/>
                <w:sz w:val="22"/>
                <w:szCs w:val="22"/>
                <w:lang w:val="es-CO"/>
              </w:rPr>
              <w:t>inventarios asegurando que la información registrada sea precisa y confiable para la toma de decisiones.</w:t>
            </w:r>
          </w:p>
        </w:tc>
      </w:tr>
    </w:tbl>
    <w:p w14:paraId="1C48B3DD" w14:textId="77777777" w:rsidR="00561B22" w:rsidRPr="00D36F18" w:rsidRDefault="00561B22" w:rsidP="00561B22">
      <w:pPr>
        <w:pStyle w:val="Textoindependiente"/>
        <w:ind w:right="-50"/>
        <w:jc w:val="both"/>
        <w:rPr>
          <w:rFonts w:ascii="Arial" w:hAnsi="Arial" w:cs="Arial"/>
          <w:b/>
          <w:bCs/>
        </w:rPr>
      </w:pPr>
    </w:p>
    <w:p w14:paraId="2C28F04A" w14:textId="77777777" w:rsidR="00561B22" w:rsidRPr="008B614E" w:rsidRDefault="00561B22" w:rsidP="00561B22">
      <w:pPr>
        <w:jc w:val="both"/>
        <w:rPr>
          <w:rFonts w:ascii="Arial" w:hAnsi="Arial" w:cs="Arial"/>
          <w:b/>
          <w:bCs/>
          <w:sz w:val="24"/>
          <w:szCs w:val="24"/>
          <w:lang w:val="es-CO"/>
        </w:rPr>
      </w:pPr>
      <w:r w:rsidRPr="008B614E">
        <w:rPr>
          <w:rFonts w:ascii="Arial" w:hAnsi="Arial" w:cs="Arial"/>
          <w:b/>
          <w:bCs/>
          <w:sz w:val="24"/>
          <w:szCs w:val="24"/>
          <w:lang w:val="es-CO"/>
        </w:rPr>
        <w:t xml:space="preserve">NOTA: LA ENTIDAD ENVIA LA MATRIZ DE AUTOEVALUACIÓN DEL SISTEMA DE CONTROL INTERNO CONTABLE CON ACTIVIDADES DE CONTROL REALIZADAS </w:t>
      </w:r>
      <w:r w:rsidRPr="008B614E">
        <w:rPr>
          <w:rFonts w:ascii="Arial" w:hAnsi="Arial" w:cs="Arial"/>
          <w:b/>
          <w:bCs/>
          <w:sz w:val="24"/>
          <w:szCs w:val="24"/>
          <w:u w:val="single"/>
          <w:lang w:val="es-CO"/>
        </w:rPr>
        <w:t>EN FORMA PARCIAL Y OTRAS SIMPLEMENTE INFORMAN QUE NO SE REALIZARON</w:t>
      </w:r>
      <w:r w:rsidRPr="008B614E">
        <w:rPr>
          <w:rFonts w:ascii="Arial" w:hAnsi="Arial" w:cs="Arial"/>
          <w:b/>
          <w:bCs/>
          <w:sz w:val="24"/>
          <w:szCs w:val="24"/>
          <w:lang w:val="es-CO"/>
        </w:rPr>
        <w:t>.</w:t>
      </w:r>
    </w:p>
    <w:p w14:paraId="399719E7" w14:textId="77777777" w:rsidR="00561B22" w:rsidRPr="008B614E" w:rsidRDefault="00561B22" w:rsidP="00561B22">
      <w:pPr>
        <w:ind w:left="720" w:hanging="720"/>
        <w:jc w:val="both"/>
        <w:rPr>
          <w:rFonts w:ascii="Arial" w:hAnsi="Arial" w:cs="Arial"/>
          <w:b/>
          <w:bCs/>
          <w:sz w:val="24"/>
          <w:szCs w:val="24"/>
          <w:lang w:val="es-CO"/>
        </w:rPr>
      </w:pPr>
    </w:p>
    <w:p w14:paraId="74C996A5" w14:textId="77777777" w:rsidR="00561B22" w:rsidRPr="00C17E6E" w:rsidRDefault="00561B22" w:rsidP="00561B22">
      <w:pPr>
        <w:ind w:right="-234"/>
        <w:jc w:val="both"/>
        <w:rPr>
          <w:rFonts w:ascii="Arial" w:hAnsi="Arial" w:cs="Arial"/>
          <w:b/>
          <w:sz w:val="28"/>
          <w:szCs w:val="28"/>
          <w:lang w:val="es-MX"/>
        </w:rPr>
      </w:pPr>
      <w:r w:rsidRPr="00C17E6E">
        <w:rPr>
          <w:rFonts w:ascii="Arial" w:hAnsi="Arial" w:cs="Arial"/>
          <w:b/>
          <w:sz w:val="28"/>
          <w:szCs w:val="28"/>
          <w:lang w:val="es-MX"/>
        </w:rPr>
        <w:t>2.- U.A.E. DIRECCIÓN DE IMPUESTOS Y ADUANAS NACIONALES – DIAN FUNCIÓN PAGADORA.</w:t>
      </w:r>
    </w:p>
    <w:p w14:paraId="74A52F13" w14:textId="77777777" w:rsidR="00561B22" w:rsidRPr="00C17E6E" w:rsidRDefault="00561B22" w:rsidP="00561B22">
      <w:pPr>
        <w:ind w:left="-284"/>
        <w:jc w:val="both"/>
        <w:rPr>
          <w:rFonts w:ascii="Arial" w:hAnsi="Arial" w:cs="Arial"/>
          <w:bCs/>
          <w:lang w:val="es-MX"/>
        </w:rPr>
      </w:pPr>
    </w:p>
    <w:p w14:paraId="000BE4EA" w14:textId="77777777" w:rsidR="00561B22" w:rsidRPr="00C17E6E" w:rsidRDefault="00561B22" w:rsidP="00C17E6E">
      <w:pPr>
        <w:pStyle w:val="Textoindependiente"/>
        <w:ind w:right="-50"/>
        <w:jc w:val="right"/>
        <w:rPr>
          <w:rFonts w:ascii="Arial" w:hAnsi="Arial" w:cs="Arial"/>
          <w:b/>
        </w:rPr>
      </w:pPr>
      <w:r w:rsidRPr="00C17E6E">
        <w:rPr>
          <w:rFonts w:ascii="Arial" w:hAnsi="Arial" w:cs="Arial"/>
          <w:b/>
        </w:rPr>
        <w:t>INFORME DE LA AUTOCALIFICACIÓN DEL SISTEMA DE CONTROL INTERNO CONTABLE:</w:t>
      </w:r>
    </w:p>
    <w:p w14:paraId="6359A5F8" w14:textId="77777777" w:rsidR="00561B22" w:rsidRPr="00C17E6E" w:rsidRDefault="00561B22" w:rsidP="00561B22">
      <w:pPr>
        <w:pStyle w:val="Textoindependiente"/>
        <w:ind w:right="-50"/>
        <w:jc w:val="both"/>
        <w:rPr>
          <w:rFonts w:ascii="Arial" w:hAnsi="Arial" w:cs="Arial"/>
          <w:bCs/>
        </w:rPr>
      </w:pPr>
    </w:p>
    <w:tbl>
      <w:tblPr>
        <w:tblStyle w:val="Tablaconcuadrcula"/>
        <w:tblW w:w="10343" w:type="dxa"/>
        <w:tblLook w:val="04A0" w:firstRow="1" w:lastRow="0" w:firstColumn="1" w:lastColumn="0" w:noHBand="0" w:noVBand="1"/>
      </w:tblPr>
      <w:tblGrid>
        <w:gridCol w:w="4981"/>
        <w:gridCol w:w="5362"/>
      </w:tblGrid>
      <w:tr w:rsidR="00561B22" w:rsidRPr="00D64A93" w14:paraId="17F5A2FD" w14:textId="77777777" w:rsidTr="00C17E6E">
        <w:tc>
          <w:tcPr>
            <w:tcW w:w="4981" w:type="dxa"/>
          </w:tcPr>
          <w:p w14:paraId="01410772"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AUTOCALIFICACIÓN</w:t>
            </w:r>
          </w:p>
        </w:tc>
        <w:tc>
          <w:tcPr>
            <w:tcW w:w="5362" w:type="dxa"/>
          </w:tcPr>
          <w:p w14:paraId="36C75431" w14:textId="77777777" w:rsidR="00561B22" w:rsidRPr="00D64A93" w:rsidRDefault="00561B22" w:rsidP="00F1223B">
            <w:pPr>
              <w:jc w:val="center"/>
              <w:rPr>
                <w:rFonts w:ascii="Arial" w:hAnsi="Arial" w:cs="Arial"/>
                <w:b/>
                <w:sz w:val="22"/>
                <w:szCs w:val="22"/>
                <w:u w:val="single"/>
                <w:lang w:val="es-MX"/>
              </w:rPr>
            </w:pPr>
            <w:r w:rsidRPr="00D64A93">
              <w:rPr>
                <w:rFonts w:ascii="Arial" w:hAnsi="Arial" w:cs="Arial"/>
                <w:b/>
                <w:sz w:val="22"/>
                <w:szCs w:val="22"/>
                <w:u w:val="single"/>
                <w:lang w:val="es-MX"/>
              </w:rPr>
              <w:t>4.70</w:t>
            </w:r>
          </w:p>
        </w:tc>
      </w:tr>
    </w:tbl>
    <w:p w14:paraId="457A71EB" w14:textId="77777777" w:rsidR="00561B22" w:rsidRPr="00D64A93" w:rsidRDefault="00561B22" w:rsidP="00561B22">
      <w:pPr>
        <w:pStyle w:val="Textoindependiente"/>
        <w:ind w:right="-50"/>
        <w:jc w:val="both"/>
        <w:rPr>
          <w:rFonts w:ascii="Arial" w:hAnsi="Arial" w:cs="Arial"/>
          <w:b/>
          <w:bCs/>
        </w:rPr>
      </w:pPr>
    </w:p>
    <w:p w14:paraId="05710C15" w14:textId="77777777" w:rsidR="00561B22" w:rsidRPr="00D64A93" w:rsidRDefault="00561B22" w:rsidP="00561B22">
      <w:pPr>
        <w:pStyle w:val="Textoindependiente"/>
        <w:ind w:right="-50"/>
        <w:jc w:val="both"/>
        <w:rPr>
          <w:rFonts w:ascii="Arial" w:hAnsi="Arial" w:cs="Arial"/>
          <w:b/>
          <w:bCs/>
        </w:rPr>
      </w:pPr>
      <w:r w:rsidRPr="00D64A93">
        <w:rPr>
          <w:rFonts w:ascii="Arial" w:hAnsi="Arial" w:cs="Arial"/>
          <w:b/>
          <w:bCs/>
        </w:rPr>
        <w:t>Del informe enviado retomamos lo siguiente:</w:t>
      </w:r>
    </w:p>
    <w:p w14:paraId="5CE92E96" w14:textId="77777777" w:rsidR="00561B22" w:rsidRPr="00D64A93" w:rsidRDefault="00561B22" w:rsidP="00561B22">
      <w:pPr>
        <w:pStyle w:val="Textoindependiente"/>
        <w:ind w:right="-50"/>
        <w:jc w:val="both"/>
        <w:rPr>
          <w:rFonts w:ascii="Arial" w:hAnsi="Arial" w:cs="Arial"/>
          <w:b/>
          <w:bCs/>
        </w:rPr>
      </w:pPr>
    </w:p>
    <w:tbl>
      <w:tblPr>
        <w:tblStyle w:val="Tablaconcuadrcula"/>
        <w:tblW w:w="10343" w:type="dxa"/>
        <w:tblLook w:val="04A0" w:firstRow="1" w:lastRow="0" w:firstColumn="1" w:lastColumn="0" w:noHBand="0" w:noVBand="1"/>
      </w:tblPr>
      <w:tblGrid>
        <w:gridCol w:w="10343"/>
      </w:tblGrid>
      <w:tr w:rsidR="00561B22" w:rsidRPr="00D64A93" w14:paraId="428A1BA3" w14:textId="77777777" w:rsidTr="00C17E6E">
        <w:trPr>
          <w:trHeight w:val="384"/>
        </w:trPr>
        <w:tc>
          <w:tcPr>
            <w:tcW w:w="10343" w:type="dxa"/>
          </w:tcPr>
          <w:p w14:paraId="78AD09BB"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DEBILIDADES</w:t>
            </w:r>
          </w:p>
          <w:p w14:paraId="215B3196" w14:textId="77777777" w:rsidR="00561B22" w:rsidRPr="00D64A93" w:rsidRDefault="00561B22" w:rsidP="00F1223B">
            <w:pPr>
              <w:jc w:val="center"/>
              <w:rPr>
                <w:rFonts w:ascii="Arial" w:hAnsi="Arial" w:cs="Arial"/>
                <w:b/>
                <w:sz w:val="22"/>
                <w:szCs w:val="22"/>
                <w:lang w:val="es-MX"/>
              </w:rPr>
            </w:pPr>
          </w:p>
        </w:tc>
      </w:tr>
      <w:tr w:rsidR="00561B22" w:rsidRPr="00D64A93" w14:paraId="596809EC" w14:textId="77777777" w:rsidTr="00C17E6E">
        <w:tc>
          <w:tcPr>
            <w:tcW w:w="10343" w:type="dxa"/>
          </w:tcPr>
          <w:p w14:paraId="47531561" w14:textId="77777777" w:rsidR="00561B22" w:rsidRPr="00D64A93" w:rsidRDefault="00561B22" w:rsidP="00F1223B">
            <w:pPr>
              <w:jc w:val="both"/>
              <w:rPr>
                <w:rFonts w:ascii="Arial" w:hAnsi="Arial" w:cs="Arial"/>
                <w:b/>
                <w:sz w:val="22"/>
                <w:szCs w:val="22"/>
                <w:lang w:val="es-MX"/>
              </w:rPr>
            </w:pPr>
            <w:r w:rsidRPr="00D64A93">
              <w:rPr>
                <w:rFonts w:ascii="Arial" w:eastAsia="Times New Roman" w:hAnsi="Arial" w:cs="Arial"/>
                <w:color w:val="000000"/>
                <w:sz w:val="22"/>
                <w:szCs w:val="22"/>
                <w:lang w:val="es-CO"/>
              </w:rPr>
              <w:t>Cta 131102003:</w:t>
            </w:r>
            <w:r>
              <w:rPr>
                <w:rFonts w:ascii="Arial" w:eastAsia="Times New Roman" w:hAnsi="Arial" w:cs="Arial"/>
                <w:color w:val="000000"/>
                <w:sz w:val="22"/>
                <w:szCs w:val="22"/>
                <w:lang w:val="es-CO"/>
              </w:rPr>
              <w:t xml:space="preserve"> </w:t>
            </w:r>
            <w:r w:rsidRPr="00D64A93">
              <w:rPr>
                <w:rFonts w:ascii="Arial" w:eastAsia="Times New Roman" w:hAnsi="Arial" w:cs="Arial"/>
                <w:color w:val="000000"/>
                <w:sz w:val="22"/>
                <w:szCs w:val="22"/>
                <w:lang w:val="es-CO"/>
              </w:rPr>
              <w:t xml:space="preserve">Actos activos (8) ejecutoriados por $75.9 millones no reconocidos contablemente a nov 30, direcciones seccionales en sept no informaron estado de los procesos. Sanción disciplinaria por $1.682.835, Resolución Sanción 000929 del 11/02/2020 pendiente depurar por pago. Proc litigiosos: registros contables en cta 246002 no se hicieron en la vigencia correspondiente por demoras en envío </w:t>
            </w:r>
            <w:r w:rsidRPr="00D64A93">
              <w:rPr>
                <w:rFonts w:ascii="Arial" w:eastAsia="Times New Roman" w:hAnsi="Arial" w:cs="Arial"/>
                <w:color w:val="000000"/>
                <w:sz w:val="22"/>
                <w:szCs w:val="22"/>
                <w:lang w:val="es-CO"/>
              </w:rPr>
              <w:lastRenderedPageBreak/>
              <w:t>de fallos ejecutoriados p/proferir resolución de pago, dos fallos desfavorables en 1ra instancia de 28/06/2024 y 30/08/2024 con registro tardío en Ekogui por lo que su provisión contable se hizo en diciembre en la cuenta 270103. El manual MN-ADF-0014 y proced PR-ADF-0393 presentan deficiencias en identificación de áreas responsables de remitir información con incidencia contable.PPyE:25 inmuebles recibidos (DIAN) sin contraprestación y/o en comodato entre 2010 y 2024 sin análisis documentado para establecer quién (comodante o comodatario) tenía el control del activo y debía reconocerlo en estados financieros o revelarlos en notas a los estados financieros, inmueble con placa 71 entregado en comodato a la Gobernación de San Andrés desde 2005 reconocido en la cuenta 164001 por $1.720.097.826 y en la cuenta 8347 por $8.020.097.826 denotando ausencia del análisis para definir su registro contable apropiado. Cuenta 1635 a diciembre 31 registra 207 bienes por $3.787 mill con permanencia entre 100 y 1956 días sin traslado y/o puesta en servicio por falta de información del cuentadante. Deficiencias en las actividades para la depuración de 3.956 activos (1.199 en servicio y 2.757 en bodega) totalmente depreciados registrados en las cuentas 1637, 1660, 1670, 1665 y 1680.No se calculó deterioro para activos intangibles. No se observó conciliación de Bs inmuebles recibidos y/o entregados sin contraprestación, en comodato, arrendados y vendidos y cuentas por cobrar por sanciones disciplinarias. Cuenta recíproca por asignación de mercancías ADA registró partida conciliatoria desde marzo hasta noviembre.</w:t>
            </w:r>
          </w:p>
        </w:tc>
      </w:tr>
    </w:tbl>
    <w:p w14:paraId="07517ADB" w14:textId="77777777" w:rsidR="00561B22" w:rsidRPr="00D64A93" w:rsidRDefault="00561B22" w:rsidP="00561B22">
      <w:pPr>
        <w:pStyle w:val="Textoindependiente"/>
        <w:ind w:right="-50"/>
        <w:jc w:val="both"/>
        <w:rPr>
          <w:rFonts w:ascii="Arial" w:hAnsi="Arial" w:cs="Arial"/>
          <w:b/>
          <w:bCs/>
        </w:rPr>
      </w:pPr>
    </w:p>
    <w:p w14:paraId="5BE2C80C" w14:textId="77777777" w:rsidR="00561B22" w:rsidRPr="00D64A93" w:rsidRDefault="00561B22" w:rsidP="00561B22">
      <w:pPr>
        <w:jc w:val="both"/>
        <w:rPr>
          <w:rFonts w:ascii="Arial" w:hAnsi="Arial" w:cs="Arial"/>
          <w:b/>
          <w:lang w:val="es-MX"/>
        </w:rPr>
      </w:pPr>
      <w:r w:rsidRPr="00D64A93">
        <w:rPr>
          <w:rFonts w:ascii="Arial" w:hAnsi="Arial" w:cs="Arial"/>
          <w:b/>
          <w:lang w:val="es-MX"/>
        </w:rPr>
        <w:t>Del citado informe retomamos las siguientes recomendaciones:</w:t>
      </w:r>
    </w:p>
    <w:p w14:paraId="26215FCF" w14:textId="77777777" w:rsidR="00561B22" w:rsidRPr="00D64A93" w:rsidRDefault="00561B22" w:rsidP="00561B22">
      <w:pPr>
        <w:pStyle w:val="Textoindependiente"/>
        <w:ind w:right="-50"/>
        <w:jc w:val="both"/>
        <w:rPr>
          <w:rFonts w:ascii="Arial" w:hAnsi="Arial" w:cs="Arial"/>
          <w:b/>
          <w:bCs/>
        </w:rPr>
      </w:pPr>
    </w:p>
    <w:tbl>
      <w:tblPr>
        <w:tblStyle w:val="Tablaconcuadrcula"/>
        <w:tblW w:w="10343" w:type="dxa"/>
        <w:tblLook w:val="04A0" w:firstRow="1" w:lastRow="0" w:firstColumn="1" w:lastColumn="0" w:noHBand="0" w:noVBand="1"/>
      </w:tblPr>
      <w:tblGrid>
        <w:gridCol w:w="10343"/>
      </w:tblGrid>
      <w:tr w:rsidR="00561B22" w:rsidRPr="00D64A93" w14:paraId="79023A3E" w14:textId="77777777" w:rsidTr="00C17E6E">
        <w:tc>
          <w:tcPr>
            <w:tcW w:w="10343" w:type="dxa"/>
          </w:tcPr>
          <w:p w14:paraId="69654DCE"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RECOMENDACIONES</w:t>
            </w:r>
          </w:p>
          <w:p w14:paraId="6E66CE38" w14:textId="77777777" w:rsidR="00561B22" w:rsidRPr="00D64A93" w:rsidRDefault="00561B22" w:rsidP="00F1223B">
            <w:pPr>
              <w:jc w:val="center"/>
              <w:rPr>
                <w:rFonts w:ascii="Arial" w:hAnsi="Arial" w:cs="Arial"/>
                <w:b/>
                <w:sz w:val="22"/>
                <w:szCs w:val="22"/>
                <w:lang w:val="es-MX"/>
              </w:rPr>
            </w:pPr>
          </w:p>
        </w:tc>
      </w:tr>
      <w:tr w:rsidR="00561B22" w:rsidRPr="00D64A93" w14:paraId="2F2B192E" w14:textId="77777777" w:rsidTr="00C17E6E">
        <w:tc>
          <w:tcPr>
            <w:tcW w:w="10343" w:type="dxa"/>
          </w:tcPr>
          <w:p w14:paraId="65815F1F" w14:textId="7CA64B89" w:rsidR="00561B22" w:rsidRPr="00D64A93" w:rsidRDefault="00561B22" w:rsidP="00F1223B">
            <w:pPr>
              <w:jc w:val="both"/>
              <w:rPr>
                <w:rFonts w:ascii="Arial" w:hAnsi="Arial" w:cs="Arial"/>
                <w:sz w:val="22"/>
                <w:szCs w:val="22"/>
                <w:lang w:val="es-MX"/>
              </w:rPr>
            </w:pPr>
            <w:r w:rsidRPr="00D64A93">
              <w:rPr>
                <w:rFonts w:ascii="Arial" w:hAnsi="Arial" w:cs="Arial"/>
                <w:sz w:val="22"/>
                <w:szCs w:val="22"/>
                <w:lang w:val="es-MX"/>
              </w:rPr>
              <w:t xml:space="preserve">Asegurar el funcionamiento y operatividad eficiente de procesos y actividades en áreas que suministran información susceptible de ser reconocida, para el registro oportuno, actualización de saldos y consistencia de cifras, a fin de que fluya en oportunidad y calidad en los registros. Documentar el análisis de contratos de inmuebles recibidos en comodato, determinar si deben ser reconocidos en los estados fros o revelados en notas. Continuar con evaluación de indicios y reconocimiento de pérdidas por deterioro de PPyE, Prop de inversión e Intangible. Adelantar acciones para depurar el inventario de bienes totalmente depreciados y amortizados, registrados en </w:t>
            </w:r>
            <w:r w:rsidR="005F0936" w:rsidRPr="00D64A93">
              <w:rPr>
                <w:rFonts w:ascii="Arial" w:hAnsi="Arial" w:cs="Arial"/>
                <w:sz w:val="22"/>
                <w:szCs w:val="22"/>
                <w:lang w:val="es-MX"/>
              </w:rPr>
              <w:t>Pipíe</w:t>
            </w:r>
            <w:r w:rsidRPr="00D64A93">
              <w:rPr>
                <w:rFonts w:ascii="Arial" w:hAnsi="Arial" w:cs="Arial"/>
                <w:sz w:val="22"/>
                <w:szCs w:val="22"/>
                <w:lang w:val="es-MX"/>
              </w:rPr>
              <w:t xml:space="preserve"> No explotados y Licencias. Las Seccionales y Rep Externa deben fortalecer actividades de seguimiento y revisión de información para el reconocimiento de provisiones de procesos judiciales y pasivos por litigios y Demandas, para actualizar los saldos en la vig correspondiente. Implementar controles para actualizar oportunamente al cuentadante o funcionario con bienes asignados, mitigar el riesgo de bienes reflejados contablemente en bodega, afectando la clasificación. Dar cumplimiento Concepto CGN 20221100055411 de 2022 en el tratamiento contable de bienes totalmente depreciados, en uso y generan beneficios económicos o potencial de servicio, realizar los registros por el recálculo de depreciación, según vida útil consumida y remanente. Fortalecer controles y revisión anual de vida útil y valor residual para ajustar oportunamente el valor en libros y evitar que se deprecien en su totalidad y aún generan beneficios económicos o potencial de servicio. Revisar y actualizar el anexo Insumos Fuentes Información proceso Contable del Manual de Políticas y el procedimiento Reconocimiento, Medición y Revelación Cuentas por Cobrar en los responsables de remitir información, envío de formatos y conciliaciones. Garantizar que el Comité Sostenibilidad Contable se reúna oportunamente en la vigencia según art 4 Resolución 1295 de 2022.</w:t>
            </w:r>
          </w:p>
        </w:tc>
      </w:tr>
    </w:tbl>
    <w:p w14:paraId="2371C949" w14:textId="77777777" w:rsidR="00561B22" w:rsidRPr="00D64A93" w:rsidRDefault="00561B22" w:rsidP="00561B22">
      <w:pPr>
        <w:pStyle w:val="Textoindependiente"/>
        <w:ind w:right="-50"/>
        <w:jc w:val="both"/>
        <w:rPr>
          <w:rFonts w:ascii="Arial" w:hAnsi="Arial" w:cs="Arial"/>
          <w:b/>
          <w:bCs/>
        </w:rPr>
      </w:pPr>
    </w:p>
    <w:p w14:paraId="5F43CB9C" w14:textId="77777777" w:rsidR="00561B22" w:rsidRPr="00D64A93" w:rsidRDefault="00561B22" w:rsidP="00C17E6E">
      <w:pPr>
        <w:ind w:right="-283"/>
        <w:jc w:val="both"/>
        <w:rPr>
          <w:rFonts w:ascii="Arial" w:hAnsi="Arial" w:cs="Arial"/>
          <w:b/>
          <w:bCs/>
          <w:lang w:val="es-CO"/>
        </w:rPr>
      </w:pPr>
      <w:r w:rsidRPr="00D64A93">
        <w:rPr>
          <w:rFonts w:ascii="Arial" w:hAnsi="Arial" w:cs="Arial"/>
          <w:b/>
          <w:bCs/>
          <w:lang w:val="es-CO"/>
        </w:rPr>
        <w:t xml:space="preserve">NOTA: LA ENTIDAD ENVIA LA MATRIZ DE AUTOEVALUACIÓN DEL SISTEMA DE CONTROL INTERNO CONTABLE CON </w:t>
      </w:r>
      <w:r w:rsidRPr="00D64A93">
        <w:rPr>
          <w:rFonts w:ascii="Arial" w:hAnsi="Arial" w:cs="Arial"/>
          <w:b/>
          <w:bCs/>
          <w:u w:val="single"/>
          <w:lang w:val="es-CO"/>
        </w:rPr>
        <w:t>ACTIVIDADES DE CONTROL REALIZADAS EN FORMA PARCIAL</w:t>
      </w:r>
      <w:r w:rsidRPr="00D64A93">
        <w:rPr>
          <w:rFonts w:ascii="Arial" w:hAnsi="Arial" w:cs="Arial"/>
          <w:b/>
          <w:bCs/>
          <w:lang w:val="es-CO"/>
        </w:rPr>
        <w:t>.</w:t>
      </w:r>
    </w:p>
    <w:p w14:paraId="46E7148F" w14:textId="77777777" w:rsidR="00561B22" w:rsidRDefault="00561B22" w:rsidP="00561B22">
      <w:pPr>
        <w:ind w:left="-284"/>
        <w:jc w:val="both"/>
        <w:rPr>
          <w:rFonts w:ascii="Arial" w:hAnsi="Arial" w:cs="Arial"/>
          <w:b/>
          <w:sz w:val="24"/>
          <w:szCs w:val="24"/>
          <w:lang w:val="es-CO"/>
        </w:rPr>
      </w:pPr>
    </w:p>
    <w:p w14:paraId="2A0C9994" w14:textId="77777777" w:rsidR="00561B22" w:rsidRPr="00D64A93" w:rsidRDefault="00561B22" w:rsidP="00561B22">
      <w:pPr>
        <w:jc w:val="both"/>
        <w:rPr>
          <w:rFonts w:ascii="Arial" w:hAnsi="Arial" w:cs="Arial"/>
          <w:b/>
          <w:sz w:val="28"/>
          <w:szCs w:val="28"/>
          <w:lang w:val="es-MX"/>
        </w:rPr>
      </w:pPr>
      <w:r w:rsidRPr="00D64A93">
        <w:rPr>
          <w:rFonts w:ascii="Arial" w:hAnsi="Arial" w:cs="Arial"/>
          <w:b/>
          <w:sz w:val="28"/>
          <w:szCs w:val="28"/>
          <w:lang w:val="es-MX"/>
        </w:rPr>
        <w:t>3.- SUPERINTENDENCIA DE VIGILANCIA Y SEGURIDAD PRIVADA.</w:t>
      </w:r>
    </w:p>
    <w:p w14:paraId="406C7E42" w14:textId="77777777" w:rsidR="00561B22" w:rsidRDefault="00561B22" w:rsidP="00561B22">
      <w:pPr>
        <w:ind w:left="-284"/>
        <w:jc w:val="both"/>
        <w:rPr>
          <w:rFonts w:ascii="Arial" w:hAnsi="Arial" w:cs="Arial"/>
          <w:b/>
          <w:sz w:val="24"/>
          <w:szCs w:val="24"/>
          <w:lang w:val="es-MX"/>
        </w:rPr>
      </w:pPr>
    </w:p>
    <w:p w14:paraId="1D348C5C" w14:textId="77777777" w:rsidR="00561B22" w:rsidRPr="00D64A93" w:rsidRDefault="00561B22" w:rsidP="00561B22">
      <w:pPr>
        <w:pStyle w:val="Textoindependiente"/>
        <w:ind w:right="-50"/>
        <w:jc w:val="center"/>
        <w:rPr>
          <w:rFonts w:ascii="Arial" w:hAnsi="Arial" w:cs="Arial"/>
          <w:b/>
          <w:bCs/>
        </w:rPr>
      </w:pPr>
      <w:r w:rsidRPr="00D64A93">
        <w:rPr>
          <w:rFonts w:ascii="Arial" w:hAnsi="Arial" w:cs="Arial"/>
          <w:b/>
          <w:bCs/>
        </w:rPr>
        <w:t>INFORME DE LA AUTOCALIFICACIÓN DEL SISTEMA DE CONTROL INTERNO CONTABLE:</w:t>
      </w:r>
    </w:p>
    <w:p w14:paraId="03F96BDC" w14:textId="77777777" w:rsidR="00561B22" w:rsidRPr="00D64A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64A93" w14:paraId="077CEB65" w14:textId="77777777" w:rsidTr="00F1223B">
        <w:tc>
          <w:tcPr>
            <w:tcW w:w="4981" w:type="dxa"/>
          </w:tcPr>
          <w:p w14:paraId="12AB8083"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AUTOCALIFICACIÓN</w:t>
            </w:r>
          </w:p>
        </w:tc>
        <w:tc>
          <w:tcPr>
            <w:tcW w:w="4981" w:type="dxa"/>
          </w:tcPr>
          <w:p w14:paraId="586DCDCC" w14:textId="77777777" w:rsidR="00561B22" w:rsidRPr="00D64A93" w:rsidRDefault="00561B22" w:rsidP="00F1223B">
            <w:pPr>
              <w:jc w:val="center"/>
              <w:rPr>
                <w:rFonts w:ascii="Arial" w:hAnsi="Arial" w:cs="Arial"/>
                <w:b/>
                <w:sz w:val="22"/>
                <w:szCs w:val="22"/>
                <w:u w:val="single"/>
                <w:lang w:val="es-MX"/>
              </w:rPr>
            </w:pPr>
            <w:r w:rsidRPr="00D64A93">
              <w:rPr>
                <w:rFonts w:ascii="Arial" w:hAnsi="Arial" w:cs="Arial"/>
                <w:b/>
                <w:sz w:val="22"/>
                <w:szCs w:val="22"/>
                <w:u w:val="single"/>
                <w:lang w:val="es-MX"/>
              </w:rPr>
              <w:t>4.87</w:t>
            </w:r>
          </w:p>
        </w:tc>
      </w:tr>
    </w:tbl>
    <w:p w14:paraId="5E5F44D3" w14:textId="77777777" w:rsidR="00561B22" w:rsidRPr="00D64A93" w:rsidRDefault="00561B22" w:rsidP="00561B22">
      <w:pPr>
        <w:pStyle w:val="Textoindependiente"/>
        <w:ind w:right="-50"/>
        <w:jc w:val="both"/>
        <w:rPr>
          <w:rFonts w:ascii="Arial" w:hAnsi="Arial" w:cs="Arial"/>
          <w:b/>
          <w:bCs/>
        </w:rPr>
      </w:pPr>
    </w:p>
    <w:p w14:paraId="07E04944" w14:textId="77777777" w:rsidR="00561B22" w:rsidRPr="00D64A93" w:rsidRDefault="00561B22" w:rsidP="00561B22">
      <w:pPr>
        <w:pStyle w:val="Textoindependiente"/>
        <w:ind w:right="-50"/>
        <w:jc w:val="both"/>
        <w:rPr>
          <w:rFonts w:ascii="Arial" w:hAnsi="Arial" w:cs="Arial"/>
          <w:b/>
          <w:bCs/>
        </w:rPr>
      </w:pPr>
      <w:r w:rsidRPr="00D64A93">
        <w:rPr>
          <w:rFonts w:ascii="Arial" w:hAnsi="Arial" w:cs="Arial"/>
          <w:b/>
          <w:bCs/>
        </w:rPr>
        <w:lastRenderedPageBreak/>
        <w:t>Del informe enviado retomamos lo siguiente:</w:t>
      </w:r>
    </w:p>
    <w:p w14:paraId="42677DC9" w14:textId="77777777" w:rsidR="00561B22" w:rsidRPr="00D64A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D64A93" w14:paraId="1D9A09BB" w14:textId="77777777" w:rsidTr="00F1223B">
        <w:tc>
          <w:tcPr>
            <w:tcW w:w="1129" w:type="dxa"/>
          </w:tcPr>
          <w:p w14:paraId="175157D2" w14:textId="77777777" w:rsidR="00561B22" w:rsidRPr="00D64A93" w:rsidRDefault="00561B22" w:rsidP="00F1223B">
            <w:pPr>
              <w:ind w:right="-109"/>
              <w:jc w:val="center"/>
              <w:rPr>
                <w:rFonts w:ascii="Arial" w:hAnsi="Arial" w:cs="Arial"/>
                <w:b/>
                <w:sz w:val="22"/>
                <w:szCs w:val="22"/>
                <w:lang w:val="es-MX"/>
              </w:rPr>
            </w:pPr>
            <w:r w:rsidRPr="00D64A93">
              <w:rPr>
                <w:rFonts w:ascii="Arial" w:hAnsi="Arial" w:cs="Arial"/>
                <w:b/>
                <w:sz w:val="22"/>
                <w:szCs w:val="22"/>
                <w:lang w:val="es-MX"/>
              </w:rPr>
              <w:t>N°</w:t>
            </w:r>
          </w:p>
        </w:tc>
        <w:tc>
          <w:tcPr>
            <w:tcW w:w="8833" w:type="dxa"/>
          </w:tcPr>
          <w:p w14:paraId="26A2D7ED"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DEBILIDADES</w:t>
            </w:r>
          </w:p>
          <w:p w14:paraId="50426142" w14:textId="77777777" w:rsidR="00561B22" w:rsidRPr="00D64A93" w:rsidRDefault="00561B22" w:rsidP="00F1223B">
            <w:pPr>
              <w:jc w:val="center"/>
              <w:rPr>
                <w:rFonts w:ascii="Arial" w:hAnsi="Arial" w:cs="Arial"/>
                <w:b/>
                <w:sz w:val="22"/>
                <w:szCs w:val="22"/>
                <w:lang w:val="es-MX"/>
              </w:rPr>
            </w:pPr>
          </w:p>
        </w:tc>
      </w:tr>
      <w:tr w:rsidR="00561B22" w:rsidRPr="00D64A93" w14:paraId="4CB7C208" w14:textId="77777777" w:rsidTr="00F1223B">
        <w:tc>
          <w:tcPr>
            <w:tcW w:w="1129" w:type="dxa"/>
          </w:tcPr>
          <w:p w14:paraId="3973FBDD"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1</w:t>
            </w:r>
          </w:p>
        </w:tc>
        <w:tc>
          <w:tcPr>
            <w:tcW w:w="8833" w:type="dxa"/>
          </w:tcPr>
          <w:p w14:paraId="31921837" w14:textId="77777777" w:rsidR="00561B22" w:rsidRPr="00D64A93" w:rsidRDefault="00561B22" w:rsidP="00F1223B">
            <w:pPr>
              <w:jc w:val="both"/>
              <w:rPr>
                <w:rFonts w:ascii="Arial" w:hAnsi="Arial" w:cs="Arial"/>
                <w:sz w:val="22"/>
                <w:szCs w:val="22"/>
                <w:lang w:val="es-MX"/>
              </w:rPr>
            </w:pPr>
            <w:r w:rsidRPr="00D64A93">
              <w:rPr>
                <w:rFonts w:ascii="Arial" w:hAnsi="Arial" w:cs="Arial"/>
                <w:sz w:val="22"/>
                <w:szCs w:val="22"/>
                <w:lang w:val="es-MX"/>
              </w:rPr>
              <w:t>Por depender de la información de otras áreas se pueden generar incumplimientos y retrasos en el procesamiento de la información- Falta de comunicación en las áreas para agilizar los procesos</w:t>
            </w:r>
          </w:p>
        </w:tc>
      </w:tr>
    </w:tbl>
    <w:p w14:paraId="409B94C2" w14:textId="77777777" w:rsidR="00561B22" w:rsidRPr="00D64A93" w:rsidRDefault="00561B22" w:rsidP="00561B22">
      <w:pPr>
        <w:pStyle w:val="Textoindependiente"/>
        <w:ind w:right="-50"/>
        <w:jc w:val="both"/>
        <w:rPr>
          <w:rFonts w:ascii="Arial" w:hAnsi="Arial" w:cs="Arial"/>
          <w:b/>
          <w:bCs/>
        </w:rPr>
      </w:pPr>
    </w:p>
    <w:p w14:paraId="2BA6A6E0" w14:textId="77777777" w:rsidR="00561B22" w:rsidRPr="00D64A93" w:rsidRDefault="00561B22" w:rsidP="00561B22">
      <w:pPr>
        <w:jc w:val="both"/>
        <w:rPr>
          <w:rFonts w:ascii="Arial" w:hAnsi="Arial" w:cs="Arial"/>
          <w:b/>
          <w:lang w:val="es-MX"/>
        </w:rPr>
      </w:pPr>
      <w:r w:rsidRPr="00D64A93">
        <w:rPr>
          <w:rFonts w:ascii="Arial" w:hAnsi="Arial" w:cs="Arial"/>
          <w:b/>
          <w:lang w:val="es-MX"/>
        </w:rPr>
        <w:t>Del citado informe retomamos las siguientes recomendaciones:</w:t>
      </w:r>
    </w:p>
    <w:p w14:paraId="335CB565" w14:textId="77777777" w:rsidR="00561B22" w:rsidRPr="00D64A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D64A93" w14:paraId="75E1BDC7" w14:textId="77777777" w:rsidTr="00F1223B">
        <w:tc>
          <w:tcPr>
            <w:tcW w:w="1129" w:type="dxa"/>
          </w:tcPr>
          <w:p w14:paraId="06A7AB40" w14:textId="77777777" w:rsidR="00561B22" w:rsidRPr="00D64A93" w:rsidRDefault="00561B22" w:rsidP="00F1223B">
            <w:pPr>
              <w:ind w:right="-109"/>
              <w:jc w:val="center"/>
              <w:rPr>
                <w:rFonts w:ascii="Arial" w:hAnsi="Arial" w:cs="Arial"/>
                <w:b/>
                <w:sz w:val="22"/>
                <w:szCs w:val="22"/>
                <w:lang w:val="es-MX"/>
              </w:rPr>
            </w:pPr>
            <w:r w:rsidRPr="00D64A93">
              <w:rPr>
                <w:rFonts w:ascii="Arial" w:hAnsi="Arial" w:cs="Arial"/>
                <w:b/>
                <w:sz w:val="22"/>
                <w:szCs w:val="22"/>
                <w:lang w:val="es-MX"/>
              </w:rPr>
              <w:t>N°</w:t>
            </w:r>
          </w:p>
        </w:tc>
        <w:tc>
          <w:tcPr>
            <w:tcW w:w="8833" w:type="dxa"/>
          </w:tcPr>
          <w:p w14:paraId="69617BA2"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RECOMENDACIONES</w:t>
            </w:r>
          </w:p>
          <w:p w14:paraId="5BD0D755" w14:textId="77777777" w:rsidR="00561B22" w:rsidRPr="00D64A93" w:rsidRDefault="00561B22" w:rsidP="00F1223B">
            <w:pPr>
              <w:jc w:val="center"/>
              <w:rPr>
                <w:rFonts w:ascii="Arial" w:hAnsi="Arial" w:cs="Arial"/>
                <w:b/>
                <w:sz w:val="22"/>
                <w:szCs w:val="22"/>
                <w:lang w:val="es-MX"/>
              </w:rPr>
            </w:pPr>
          </w:p>
        </w:tc>
      </w:tr>
      <w:tr w:rsidR="00561B22" w:rsidRPr="00D64A93" w14:paraId="2416C4C9" w14:textId="77777777" w:rsidTr="00F1223B">
        <w:tc>
          <w:tcPr>
            <w:tcW w:w="1129" w:type="dxa"/>
          </w:tcPr>
          <w:p w14:paraId="703A7CB1"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1</w:t>
            </w:r>
          </w:p>
        </w:tc>
        <w:tc>
          <w:tcPr>
            <w:tcW w:w="8833" w:type="dxa"/>
          </w:tcPr>
          <w:p w14:paraId="0ECE86D1" w14:textId="77777777" w:rsidR="00561B22" w:rsidRPr="00D64A93" w:rsidRDefault="00561B22" w:rsidP="00F1223B">
            <w:pPr>
              <w:jc w:val="both"/>
              <w:rPr>
                <w:rFonts w:ascii="Arial" w:hAnsi="Arial" w:cs="Arial"/>
                <w:sz w:val="22"/>
                <w:szCs w:val="22"/>
                <w:lang w:val="es-MX"/>
              </w:rPr>
            </w:pPr>
            <w:r w:rsidRPr="00D64A93">
              <w:rPr>
                <w:rFonts w:ascii="Arial" w:hAnsi="Arial" w:cs="Arial"/>
                <w:sz w:val="22"/>
                <w:szCs w:val="22"/>
                <w:lang w:val="es-MX"/>
              </w:rPr>
              <w:t>Se recomienda hacer inventario periódicamente y socializar al personal del área, ya que se identificó que del Grupo de Recursos Físicos por diversos cambios en la vigencia año 2024, no socializo al personal del área sobre la identificación de los bienes físicos en forma individualizada dentro del proceso, de igual manera se evidencio que en la vigencia anterior, no se hizo inventario de los bienes físicos de la Entidad en un 100 %</w:t>
            </w:r>
          </w:p>
        </w:tc>
      </w:tr>
      <w:tr w:rsidR="00561B22" w:rsidRPr="00D64A93" w14:paraId="75D4E3A7" w14:textId="77777777" w:rsidTr="00F1223B">
        <w:tc>
          <w:tcPr>
            <w:tcW w:w="1129" w:type="dxa"/>
          </w:tcPr>
          <w:p w14:paraId="18882A17" w14:textId="77777777" w:rsidR="00561B22" w:rsidRPr="00D64A93" w:rsidRDefault="00561B22" w:rsidP="00F1223B">
            <w:pPr>
              <w:jc w:val="center"/>
              <w:rPr>
                <w:rFonts w:ascii="Arial" w:hAnsi="Arial" w:cs="Arial"/>
                <w:b/>
                <w:sz w:val="22"/>
                <w:szCs w:val="22"/>
                <w:lang w:val="es-MX"/>
              </w:rPr>
            </w:pPr>
            <w:r w:rsidRPr="00D64A93">
              <w:rPr>
                <w:rFonts w:ascii="Arial" w:hAnsi="Arial" w:cs="Arial"/>
                <w:b/>
                <w:sz w:val="22"/>
                <w:szCs w:val="22"/>
                <w:lang w:val="es-MX"/>
              </w:rPr>
              <w:t>2</w:t>
            </w:r>
          </w:p>
        </w:tc>
        <w:tc>
          <w:tcPr>
            <w:tcW w:w="8833" w:type="dxa"/>
          </w:tcPr>
          <w:p w14:paraId="3AC36A61" w14:textId="77777777" w:rsidR="00561B22" w:rsidRPr="00D64A93" w:rsidRDefault="00561B22" w:rsidP="00F1223B">
            <w:pPr>
              <w:jc w:val="both"/>
              <w:rPr>
                <w:rFonts w:ascii="Arial" w:hAnsi="Arial" w:cs="Arial"/>
                <w:sz w:val="22"/>
                <w:szCs w:val="22"/>
                <w:lang w:val="es-MX"/>
              </w:rPr>
            </w:pPr>
            <w:r w:rsidRPr="00D64A93">
              <w:rPr>
                <w:rFonts w:ascii="Arial" w:hAnsi="Arial" w:cs="Arial"/>
                <w:sz w:val="22"/>
                <w:szCs w:val="22"/>
                <w:lang w:val="es-MX"/>
              </w:rPr>
              <w:t>Se recomienda tener presente la fecha límite para la publicación de los Estados Financieros, según Res. 261 de 2023, Procedimiento para la preparación y presentación de informes financieros y contables mensuales expedido por la CONTADURÍA GENERAL DE LA NACIÓN, articulo 6: Los informes financieros y contables se publicarán en el transcurso de los dos meses siguientes al trimestre informado. Los Estados Financieros de junio de 2024, fueron publicados el 6/09/2024, y no como fecha límite 31/08/2024.</w:t>
            </w:r>
          </w:p>
        </w:tc>
      </w:tr>
    </w:tbl>
    <w:p w14:paraId="032E6466" w14:textId="77777777" w:rsidR="00561B22" w:rsidRPr="00D64A93" w:rsidRDefault="00561B22" w:rsidP="00561B22">
      <w:pPr>
        <w:pStyle w:val="Textoindependiente"/>
        <w:ind w:right="-50"/>
        <w:jc w:val="both"/>
        <w:rPr>
          <w:rFonts w:ascii="Arial" w:hAnsi="Arial" w:cs="Arial"/>
          <w:b/>
          <w:bCs/>
        </w:rPr>
      </w:pPr>
    </w:p>
    <w:p w14:paraId="25CE51BB" w14:textId="77777777" w:rsidR="00561B22" w:rsidRPr="00D64A93" w:rsidRDefault="00561B22" w:rsidP="00561B22">
      <w:pPr>
        <w:jc w:val="both"/>
        <w:rPr>
          <w:rFonts w:ascii="Arial" w:hAnsi="Arial" w:cs="Arial"/>
          <w:b/>
          <w:bCs/>
          <w:lang w:val="es-CO"/>
        </w:rPr>
      </w:pPr>
      <w:r w:rsidRPr="00D64A93">
        <w:rPr>
          <w:rFonts w:ascii="Arial" w:hAnsi="Arial" w:cs="Arial"/>
          <w:b/>
          <w:bCs/>
          <w:lang w:val="es-CO"/>
        </w:rPr>
        <w:t xml:space="preserve">NOTA: LA ENTIDAD ENVIA LA MATRIZ DE AUTOEVALUACIÓN DEL SISTEMA DE CONTROL INTERNO CONTABLE CON ACTIVIDADES DE CONTROL REALIZADAS </w:t>
      </w:r>
      <w:r w:rsidRPr="00D64A93">
        <w:rPr>
          <w:rFonts w:ascii="Arial" w:hAnsi="Arial" w:cs="Arial"/>
          <w:b/>
          <w:bCs/>
          <w:u w:val="single"/>
          <w:lang w:val="es-CO"/>
        </w:rPr>
        <w:t>EN FORMA PARCIAL Y OTRAS SIMPLEMENTE INFORMAN QUE NO SE REALIZARON</w:t>
      </w:r>
      <w:r w:rsidRPr="00D64A93">
        <w:rPr>
          <w:rFonts w:ascii="Arial" w:hAnsi="Arial" w:cs="Arial"/>
          <w:b/>
          <w:bCs/>
          <w:lang w:val="es-CO"/>
        </w:rPr>
        <w:t>.</w:t>
      </w:r>
    </w:p>
    <w:p w14:paraId="77224102" w14:textId="77777777" w:rsidR="00561B22" w:rsidRDefault="00561B22" w:rsidP="00561B22">
      <w:pPr>
        <w:pStyle w:val="Textoindependiente"/>
        <w:ind w:right="-50"/>
        <w:jc w:val="both"/>
        <w:rPr>
          <w:rFonts w:ascii="Arial" w:hAnsi="Arial" w:cs="Arial"/>
          <w:b/>
          <w:bCs/>
        </w:rPr>
      </w:pPr>
    </w:p>
    <w:p w14:paraId="7824E4E8" w14:textId="77777777" w:rsidR="00561B22" w:rsidRPr="00C5063B" w:rsidRDefault="00561B22" w:rsidP="00561B22">
      <w:pPr>
        <w:jc w:val="both"/>
        <w:rPr>
          <w:rFonts w:ascii="Arial" w:hAnsi="Arial" w:cs="Arial"/>
          <w:b/>
          <w:sz w:val="28"/>
          <w:szCs w:val="28"/>
          <w:lang w:val="es-MX"/>
        </w:rPr>
      </w:pPr>
      <w:r w:rsidRPr="00C5063B">
        <w:rPr>
          <w:rFonts w:ascii="Arial" w:hAnsi="Arial" w:cs="Arial"/>
          <w:b/>
          <w:sz w:val="28"/>
          <w:szCs w:val="28"/>
          <w:lang w:val="es-MX"/>
        </w:rPr>
        <w:t>4.- UNIVERSIDAD COLEGIO MAYOR DE CUNDINAMARCA.</w:t>
      </w:r>
    </w:p>
    <w:p w14:paraId="3A6E89CC" w14:textId="77777777" w:rsidR="00561B22" w:rsidRPr="00C5063B" w:rsidRDefault="00561B22" w:rsidP="00561B22">
      <w:pPr>
        <w:pStyle w:val="Textoindependiente"/>
        <w:ind w:right="-50"/>
        <w:jc w:val="both"/>
        <w:rPr>
          <w:rFonts w:ascii="Arial" w:hAnsi="Arial" w:cs="Arial"/>
          <w:b/>
          <w:bCs/>
          <w:lang w:val="es-MX"/>
        </w:rPr>
      </w:pPr>
    </w:p>
    <w:p w14:paraId="3DA93824" w14:textId="77777777" w:rsidR="00561B22" w:rsidRPr="00C5063B" w:rsidRDefault="00561B22" w:rsidP="00561B22">
      <w:pPr>
        <w:pStyle w:val="Textoindependiente"/>
        <w:ind w:right="-50"/>
        <w:jc w:val="center"/>
        <w:rPr>
          <w:rFonts w:ascii="Arial" w:hAnsi="Arial" w:cs="Arial"/>
          <w:b/>
          <w:bCs/>
          <w:sz w:val="24"/>
          <w:szCs w:val="24"/>
        </w:rPr>
      </w:pPr>
      <w:r w:rsidRPr="00C5063B">
        <w:rPr>
          <w:rFonts w:ascii="Arial" w:hAnsi="Arial" w:cs="Arial"/>
          <w:b/>
          <w:bCs/>
          <w:sz w:val="24"/>
          <w:szCs w:val="24"/>
        </w:rPr>
        <w:t>INFORME DE LA AUTOCALIFICACIÓN DEL SISTEMA DE CONTROL INTERNO CONTABLE:</w:t>
      </w:r>
    </w:p>
    <w:p w14:paraId="1FDB9F89" w14:textId="77777777" w:rsidR="00561B22" w:rsidRPr="00C5063B"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C5063B" w14:paraId="6657CD82" w14:textId="77777777" w:rsidTr="00F1223B">
        <w:tc>
          <w:tcPr>
            <w:tcW w:w="4981" w:type="dxa"/>
          </w:tcPr>
          <w:p w14:paraId="4784182C" w14:textId="77777777" w:rsidR="00561B22" w:rsidRPr="00C5063B" w:rsidRDefault="00561B22" w:rsidP="00F1223B">
            <w:pPr>
              <w:jc w:val="center"/>
              <w:rPr>
                <w:rFonts w:ascii="Arial" w:hAnsi="Arial" w:cs="Arial"/>
                <w:b/>
                <w:sz w:val="22"/>
                <w:szCs w:val="22"/>
                <w:lang w:val="es-MX"/>
              </w:rPr>
            </w:pPr>
            <w:r w:rsidRPr="00C5063B">
              <w:rPr>
                <w:rFonts w:ascii="Arial" w:hAnsi="Arial" w:cs="Arial"/>
                <w:b/>
                <w:sz w:val="22"/>
                <w:szCs w:val="22"/>
                <w:lang w:val="es-MX"/>
              </w:rPr>
              <w:t>AUTOCALIFICACIÓN</w:t>
            </w:r>
          </w:p>
        </w:tc>
        <w:tc>
          <w:tcPr>
            <w:tcW w:w="4981" w:type="dxa"/>
          </w:tcPr>
          <w:p w14:paraId="31A01BD0" w14:textId="77777777" w:rsidR="00561B22" w:rsidRPr="00C5063B" w:rsidRDefault="00561B22" w:rsidP="00F1223B">
            <w:pPr>
              <w:jc w:val="center"/>
              <w:rPr>
                <w:rFonts w:ascii="Arial" w:hAnsi="Arial" w:cs="Arial"/>
                <w:b/>
                <w:sz w:val="22"/>
                <w:szCs w:val="22"/>
                <w:u w:val="single"/>
                <w:lang w:val="es-MX"/>
              </w:rPr>
            </w:pPr>
            <w:r w:rsidRPr="00C5063B">
              <w:rPr>
                <w:rFonts w:ascii="Arial" w:hAnsi="Arial" w:cs="Arial"/>
                <w:b/>
                <w:sz w:val="22"/>
                <w:szCs w:val="22"/>
                <w:u w:val="single"/>
                <w:lang w:val="es-MX"/>
              </w:rPr>
              <w:t>4.97</w:t>
            </w:r>
          </w:p>
        </w:tc>
      </w:tr>
    </w:tbl>
    <w:p w14:paraId="5173D0FD" w14:textId="77777777" w:rsidR="00561B22" w:rsidRPr="00C5063B" w:rsidRDefault="00561B22" w:rsidP="00561B22">
      <w:pPr>
        <w:pStyle w:val="Textoindependiente"/>
        <w:ind w:right="-50"/>
        <w:jc w:val="both"/>
        <w:rPr>
          <w:rFonts w:ascii="Arial" w:hAnsi="Arial" w:cs="Arial"/>
          <w:b/>
          <w:bCs/>
        </w:rPr>
      </w:pPr>
    </w:p>
    <w:p w14:paraId="63254ECD" w14:textId="77777777" w:rsidR="00561B22" w:rsidRPr="00C5063B" w:rsidRDefault="00561B22" w:rsidP="00561B22">
      <w:pPr>
        <w:pStyle w:val="Textoindependiente"/>
        <w:ind w:right="-50"/>
        <w:jc w:val="both"/>
        <w:rPr>
          <w:rFonts w:ascii="Arial" w:hAnsi="Arial" w:cs="Arial"/>
          <w:b/>
          <w:bCs/>
        </w:rPr>
      </w:pPr>
      <w:r w:rsidRPr="00C5063B">
        <w:rPr>
          <w:rFonts w:ascii="Arial" w:hAnsi="Arial" w:cs="Arial"/>
          <w:b/>
          <w:bCs/>
        </w:rPr>
        <w:t>Del informe enviado retomamos lo siguiente:</w:t>
      </w:r>
    </w:p>
    <w:p w14:paraId="294D06F6" w14:textId="77777777" w:rsidR="00561B22" w:rsidRPr="00C5063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C5063B" w14:paraId="128E3DEF" w14:textId="77777777" w:rsidTr="00F1223B">
        <w:tc>
          <w:tcPr>
            <w:tcW w:w="1129" w:type="dxa"/>
          </w:tcPr>
          <w:p w14:paraId="0B10C1D8" w14:textId="77777777" w:rsidR="00561B22" w:rsidRPr="00C5063B" w:rsidRDefault="00561B22" w:rsidP="00F1223B">
            <w:pPr>
              <w:ind w:right="-109"/>
              <w:jc w:val="center"/>
              <w:rPr>
                <w:rFonts w:ascii="Arial" w:hAnsi="Arial" w:cs="Arial"/>
                <w:b/>
                <w:lang w:val="es-MX"/>
              </w:rPr>
            </w:pPr>
            <w:r w:rsidRPr="00C5063B">
              <w:rPr>
                <w:rFonts w:ascii="Arial" w:hAnsi="Arial" w:cs="Arial"/>
                <w:b/>
                <w:lang w:val="es-MX"/>
              </w:rPr>
              <w:t>N°</w:t>
            </w:r>
          </w:p>
        </w:tc>
        <w:tc>
          <w:tcPr>
            <w:tcW w:w="8833" w:type="dxa"/>
          </w:tcPr>
          <w:p w14:paraId="1CE930F8" w14:textId="77777777" w:rsidR="00561B22" w:rsidRPr="00C5063B" w:rsidRDefault="00561B22" w:rsidP="00F1223B">
            <w:pPr>
              <w:jc w:val="center"/>
              <w:rPr>
                <w:rFonts w:ascii="Arial" w:hAnsi="Arial" w:cs="Arial"/>
                <w:b/>
                <w:lang w:val="es-MX"/>
              </w:rPr>
            </w:pPr>
            <w:r w:rsidRPr="00C5063B">
              <w:rPr>
                <w:rFonts w:ascii="Arial" w:hAnsi="Arial" w:cs="Arial"/>
                <w:b/>
                <w:lang w:val="es-MX"/>
              </w:rPr>
              <w:t>DEBILIDADES</w:t>
            </w:r>
          </w:p>
          <w:p w14:paraId="39086818" w14:textId="77777777" w:rsidR="00561B22" w:rsidRPr="00C5063B" w:rsidRDefault="00561B22" w:rsidP="00F1223B">
            <w:pPr>
              <w:jc w:val="center"/>
              <w:rPr>
                <w:rFonts w:ascii="Arial" w:hAnsi="Arial" w:cs="Arial"/>
                <w:b/>
                <w:lang w:val="es-MX"/>
              </w:rPr>
            </w:pPr>
          </w:p>
        </w:tc>
      </w:tr>
      <w:tr w:rsidR="00561B22" w:rsidRPr="00C5063B" w14:paraId="5CFB31AA" w14:textId="77777777" w:rsidTr="00F1223B">
        <w:tc>
          <w:tcPr>
            <w:tcW w:w="1129" w:type="dxa"/>
          </w:tcPr>
          <w:p w14:paraId="75EAABCC" w14:textId="77777777" w:rsidR="00561B22" w:rsidRPr="00C5063B" w:rsidRDefault="00561B22" w:rsidP="00F1223B">
            <w:pPr>
              <w:jc w:val="center"/>
              <w:rPr>
                <w:rFonts w:ascii="Arial" w:hAnsi="Arial" w:cs="Arial"/>
                <w:b/>
                <w:lang w:val="es-MX"/>
              </w:rPr>
            </w:pPr>
            <w:r w:rsidRPr="00C5063B">
              <w:rPr>
                <w:rFonts w:ascii="Arial" w:hAnsi="Arial" w:cs="Arial"/>
                <w:b/>
                <w:lang w:val="es-MX"/>
              </w:rPr>
              <w:t>1</w:t>
            </w:r>
          </w:p>
        </w:tc>
        <w:tc>
          <w:tcPr>
            <w:tcW w:w="8833" w:type="dxa"/>
          </w:tcPr>
          <w:p w14:paraId="46CDB73B" w14:textId="77777777" w:rsidR="00561B22" w:rsidRPr="00C5063B" w:rsidRDefault="00561B22" w:rsidP="00F1223B">
            <w:pPr>
              <w:jc w:val="both"/>
              <w:rPr>
                <w:rFonts w:ascii="Arial" w:hAnsi="Arial" w:cs="Arial"/>
                <w:b/>
                <w:lang w:val="es-MX"/>
              </w:rPr>
            </w:pPr>
            <w:r w:rsidRPr="00C5063B">
              <w:rPr>
                <w:rFonts w:ascii="Arial" w:hAnsi="Arial" w:cs="Arial"/>
              </w:rPr>
              <w:t>Fallas que presenta el sistema Novasoft lo cual genera reprocesos en las áreas que proveen información.</w:t>
            </w:r>
          </w:p>
        </w:tc>
      </w:tr>
    </w:tbl>
    <w:p w14:paraId="2BAD41CB" w14:textId="77777777" w:rsidR="00561B22" w:rsidRPr="00C5063B" w:rsidRDefault="00561B22" w:rsidP="00561B22">
      <w:pPr>
        <w:pStyle w:val="Textoindependiente"/>
        <w:ind w:right="-50"/>
        <w:jc w:val="both"/>
        <w:rPr>
          <w:rFonts w:ascii="Arial" w:hAnsi="Arial" w:cs="Arial"/>
          <w:b/>
          <w:bCs/>
        </w:rPr>
      </w:pPr>
    </w:p>
    <w:p w14:paraId="30C1C5F7" w14:textId="77777777" w:rsidR="00561B22" w:rsidRPr="00C5063B" w:rsidRDefault="00561B22" w:rsidP="00561B22">
      <w:pPr>
        <w:jc w:val="both"/>
        <w:rPr>
          <w:rFonts w:ascii="Arial" w:hAnsi="Arial" w:cs="Arial"/>
          <w:b/>
          <w:lang w:val="es-MX"/>
        </w:rPr>
      </w:pPr>
      <w:r w:rsidRPr="00C5063B">
        <w:rPr>
          <w:rFonts w:ascii="Arial" w:hAnsi="Arial" w:cs="Arial"/>
          <w:b/>
          <w:lang w:val="es-MX"/>
        </w:rPr>
        <w:t>Del citado informe retomamos las siguientes recomendaciones:</w:t>
      </w:r>
    </w:p>
    <w:p w14:paraId="14D45792" w14:textId="77777777" w:rsidR="00561B22" w:rsidRPr="00C5063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C5063B" w14:paraId="729D0B9C" w14:textId="77777777" w:rsidTr="00F1223B">
        <w:tc>
          <w:tcPr>
            <w:tcW w:w="1129" w:type="dxa"/>
          </w:tcPr>
          <w:p w14:paraId="3130306A" w14:textId="77777777" w:rsidR="00561B22" w:rsidRPr="00C5063B" w:rsidRDefault="00561B22" w:rsidP="00F1223B">
            <w:pPr>
              <w:ind w:right="-109"/>
              <w:jc w:val="center"/>
              <w:rPr>
                <w:rFonts w:ascii="Arial" w:hAnsi="Arial" w:cs="Arial"/>
                <w:b/>
                <w:lang w:val="es-MX"/>
              </w:rPr>
            </w:pPr>
            <w:r w:rsidRPr="00C5063B">
              <w:rPr>
                <w:rFonts w:ascii="Arial" w:hAnsi="Arial" w:cs="Arial"/>
                <w:b/>
                <w:lang w:val="es-MX"/>
              </w:rPr>
              <w:t>N°</w:t>
            </w:r>
          </w:p>
        </w:tc>
        <w:tc>
          <w:tcPr>
            <w:tcW w:w="8833" w:type="dxa"/>
          </w:tcPr>
          <w:p w14:paraId="20BE2B13" w14:textId="77777777" w:rsidR="00561B22" w:rsidRPr="00C5063B" w:rsidRDefault="00561B22" w:rsidP="00F1223B">
            <w:pPr>
              <w:jc w:val="center"/>
              <w:rPr>
                <w:rFonts w:ascii="Arial" w:hAnsi="Arial" w:cs="Arial"/>
                <w:b/>
                <w:lang w:val="es-MX"/>
              </w:rPr>
            </w:pPr>
            <w:r w:rsidRPr="00C5063B">
              <w:rPr>
                <w:rFonts w:ascii="Arial" w:hAnsi="Arial" w:cs="Arial"/>
                <w:b/>
                <w:lang w:val="es-MX"/>
              </w:rPr>
              <w:t>RECOMENDACIONES</w:t>
            </w:r>
          </w:p>
          <w:p w14:paraId="3A874634" w14:textId="77777777" w:rsidR="00561B22" w:rsidRPr="00C5063B" w:rsidRDefault="00561B22" w:rsidP="00F1223B">
            <w:pPr>
              <w:jc w:val="center"/>
              <w:rPr>
                <w:rFonts w:ascii="Arial" w:hAnsi="Arial" w:cs="Arial"/>
                <w:b/>
                <w:lang w:val="es-MX"/>
              </w:rPr>
            </w:pPr>
          </w:p>
        </w:tc>
      </w:tr>
      <w:tr w:rsidR="00561B22" w:rsidRPr="00C5063B" w14:paraId="44B2CDDC" w14:textId="77777777" w:rsidTr="00F1223B">
        <w:tc>
          <w:tcPr>
            <w:tcW w:w="1129" w:type="dxa"/>
          </w:tcPr>
          <w:p w14:paraId="0DD34DE5" w14:textId="77777777" w:rsidR="00561B22" w:rsidRPr="00C5063B" w:rsidRDefault="00561B22" w:rsidP="00F1223B">
            <w:pPr>
              <w:jc w:val="center"/>
              <w:rPr>
                <w:rFonts w:ascii="Arial" w:hAnsi="Arial" w:cs="Arial"/>
                <w:b/>
                <w:lang w:val="es-MX"/>
              </w:rPr>
            </w:pPr>
            <w:r w:rsidRPr="00C5063B">
              <w:rPr>
                <w:rFonts w:ascii="Arial" w:hAnsi="Arial" w:cs="Arial"/>
                <w:b/>
                <w:lang w:val="es-MX"/>
              </w:rPr>
              <w:t>1</w:t>
            </w:r>
          </w:p>
        </w:tc>
        <w:tc>
          <w:tcPr>
            <w:tcW w:w="8833" w:type="dxa"/>
          </w:tcPr>
          <w:p w14:paraId="7E600528" w14:textId="77777777" w:rsidR="00561B22" w:rsidRPr="00C5063B" w:rsidRDefault="00561B22" w:rsidP="00F1223B">
            <w:pPr>
              <w:jc w:val="both"/>
              <w:rPr>
                <w:rFonts w:ascii="Arial" w:hAnsi="Arial" w:cs="Arial"/>
                <w:b/>
                <w:lang w:val="es-MX"/>
              </w:rPr>
            </w:pPr>
            <w:r w:rsidRPr="00C5063B">
              <w:rPr>
                <w:rFonts w:ascii="Arial" w:hAnsi="Arial" w:cs="Arial"/>
              </w:rPr>
              <w:t xml:space="preserve">Continuar fortaleciendo el seguimiento a las acciones de tratamiento de los riesgos y mantener monitoreados los riesgos y controles del proceso contable. </w:t>
            </w:r>
          </w:p>
        </w:tc>
      </w:tr>
      <w:tr w:rsidR="00561B22" w:rsidRPr="00C5063B" w14:paraId="720328FB" w14:textId="77777777" w:rsidTr="00F1223B">
        <w:tc>
          <w:tcPr>
            <w:tcW w:w="1129" w:type="dxa"/>
          </w:tcPr>
          <w:p w14:paraId="1A90545B" w14:textId="77777777" w:rsidR="00561B22" w:rsidRPr="00C5063B" w:rsidRDefault="00561B22" w:rsidP="00F1223B">
            <w:pPr>
              <w:jc w:val="center"/>
              <w:rPr>
                <w:rFonts w:ascii="Arial" w:hAnsi="Arial" w:cs="Arial"/>
                <w:b/>
                <w:lang w:val="es-MX"/>
              </w:rPr>
            </w:pPr>
            <w:r w:rsidRPr="00C5063B">
              <w:rPr>
                <w:rFonts w:ascii="Arial" w:hAnsi="Arial" w:cs="Arial"/>
                <w:b/>
                <w:lang w:val="es-MX"/>
              </w:rPr>
              <w:t>2</w:t>
            </w:r>
          </w:p>
        </w:tc>
        <w:tc>
          <w:tcPr>
            <w:tcW w:w="8833" w:type="dxa"/>
          </w:tcPr>
          <w:p w14:paraId="2E00DBF6" w14:textId="77777777" w:rsidR="00561B22" w:rsidRPr="00C5063B" w:rsidRDefault="00561B22" w:rsidP="00F1223B">
            <w:pPr>
              <w:jc w:val="both"/>
              <w:rPr>
                <w:rFonts w:ascii="Arial" w:hAnsi="Arial" w:cs="Arial"/>
              </w:rPr>
            </w:pPr>
            <w:r w:rsidRPr="00C5063B">
              <w:rPr>
                <w:rFonts w:ascii="Arial" w:hAnsi="Arial" w:cs="Arial"/>
              </w:rPr>
              <w:t>Realizar la publicación de estados financieros de manera comparativa y trimestral conforme los parámetros de la Res. 356/2022 y Res. 261 de 2023.</w:t>
            </w:r>
          </w:p>
        </w:tc>
      </w:tr>
      <w:tr w:rsidR="00561B22" w:rsidRPr="00C5063B" w14:paraId="7283D3A1" w14:textId="77777777" w:rsidTr="00F1223B">
        <w:tc>
          <w:tcPr>
            <w:tcW w:w="1129" w:type="dxa"/>
          </w:tcPr>
          <w:p w14:paraId="7E48235C" w14:textId="77777777" w:rsidR="00561B22" w:rsidRPr="00C5063B" w:rsidRDefault="00561B22" w:rsidP="00F1223B">
            <w:pPr>
              <w:jc w:val="center"/>
              <w:rPr>
                <w:rFonts w:ascii="Arial" w:hAnsi="Arial" w:cs="Arial"/>
                <w:b/>
                <w:lang w:val="es-MX"/>
              </w:rPr>
            </w:pPr>
            <w:r w:rsidRPr="00C5063B">
              <w:rPr>
                <w:rFonts w:ascii="Arial" w:hAnsi="Arial" w:cs="Arial"/>
                <w:b/>
                <w:lang w:val="es-MX"/>
              </w:rPr>
              <w:t>3</w:t>
            </w:r>
          </w:p>
        </w:tc>
        <w:tc>
          <w:tcPr>
            <w:tcW w:w="8833" w:type="dxa"/>
          </w:tcPr>
          <w:p w14:paraId="30817C21" w14:textId="77777777" w:rsidR="00561B22" w:rsidRPr="00C5063B" w:rsidRDefault="00561B22" w:rsidP="00F1223B">
            <w:pPr>
              <w:jc w:val="both"/>
              <w:rPr>
                <w:rFonts w:ascii="Arial" w:hAnsi="Arial" w:cs="Arial"/>
                <w:b/>
                <w:lang w:val="es-MX"/>
              </w:rPr>
            </w:pPr>
            <w:r w:rsidRPr="00C5063B">
              <w:rPr>
                <w:rFonts w:ascii="Arial" w:hAnsi="Arial" w:cs="Arial"/>
              </w:rPr>
              <w:t>Continuar realizando el seguimiento a los planes de mejoramiento y a los indicadores de gestión del proceso.</w:t>
            </w:r>
          </w:p>
        </w:tc>
      </w:tr>
    </w:tbl>
    <w:p w14:paraId="465AB8EE" w14:textId="77777777" w:rsidR="00561B22" w:rsidRPr="00C5063B" w:rsidRDefault="00561B22" w:rsidP="00561B22">
      <w:pPr>
        <w:pStyle w:val="Textoindependiente"/>
        <w:ind w:right="-50"/>
        <w:jc w:val="both"/>
        <w:rPr>
          <w:rFonts w:ascii="Arial" w:hAnsi="Arial" w:cs="Arial"/>
          <w:b/>
          <w:bCs/>
        </w:rPr>
      </w:pPr>
    </w:p>
    <w:p w14:paraId="21755C9A" w14:textId="77777777" w:rsidR="00561B22" w:rsidRPr="00C5063B" w:rsidRDefault="00561B22" w:rsidP="00561B22">
      <w:pPr>
        <w:jc w:val="both"/>
        <w:rPr>
          <w:rFonts w:ascii="Arial" w:hAnsi="Arial" w:cs="Arial"/>
          <w:b/>
          <w:bCs/>
          <w:sz w:val="24"/>
          <w:szCs w:val="24"/>
          <w:lang w:val="es-CO"/>
        </w:rPr>
      </w:pPr>
      <w:r w:rsidRPr="00C5063B">
        <w:rPr>
          <w:rFonts w:ascii="Arial" w:hAnsi="Arial" w:cs="Arial"/>
          <w:b/>
          <w:bCs/>
          <w:sz w:val="24"/>
          <w:szCs w:val="24"/>
          <w:lang w:val="es-CO"/>
        </w:rPr>
        <w:t xml:space="preserve">NOTA: LA ENTIDAD ENVIA LA MATRIZ DE AUTOEVALUACIÓN DEL SISTEMA DE CONTROL INTERNO CONTABLE CON </w:t>
      </w:r>
      <w:r w:rsidRPr="00C5063B">
        <w:rPr>
          <w:rFonts w:ascii="Arial" w:hAnsi="Arial" w:cs="Arial"/>
          <w:b/>
          <w:bCs/>
          <w:sz w:val="24"/>
          <w:szCs w:val="24"/>
          <w:u w:val="single"/>
          <w:lang w:val="es-CO"/>
        </w:rPr>
        <w:t>ACTIVIDADES DE CONTROL REALIZADAS EN FORMA PARCIAL</w:t>
      </w:r>
      <w:r w:rsidRPr="00C5063B">
        <w:rPr>
          <w:rFonts w:ascii="Arial" w:hAnsi="Arial" w:cs="Arial"/>
          <w:b/>
          <w:bCs/>
          <w:sz w:val="24"/>
          <w:szCs w:val="24"/>
          <w:lang w:val="es-CO"/>
        </w:rPr>
        <w:t>.</w:t>
      </w:r>
    </w:p>
    <w:p w14:paraId="2E6E4721" w14:textId="77777777" w:rsidR="00561B22" w:rsidRDefault="00561B22" w:rsidP="00561B22">
      <w:pPr>
        <w:pStyle w:val="Textoindependiente"/>
        <w:ind w:right="-50"/>
        <w:jc w:val="both"/>
        <w:rPr>
          <w:b/>
          <w:bCs/>
          <w:sz w:val="28"/>
          <w:szCs w:val="28"/>
        </w:rPr>
      </w:pPr>
    </w:p>
    <w:p w14:paraId="57AB85E4" w14:textId="77777777" w:rsidR="00561B22" w:rsidRPr="00F1677C" w:rsidRDefault="00561B22" w:rsidP="00561B22">
      <w:pPr>
        <w:jc w:val="both"/>
        <w:rPr>
          <w:rFonts w:ascii="Arial" w:hAnsi="Arial" w:cs="Arial"/>
          <w:b/>
          <w:sz w:val="28"/>
          <w:szCs w:val="28"/>
          <w:lang w:val="es-MX"/>
        </w:rPr>
      </w:pPr>
      <w:r w:rsidRPr="00F1677C">
        <w:rPr>
          <w:rFonts w:ascii="Arial" w:hAnsi="Arial" w:cs="Arial"/>
          <w:b/>
          <w:sz w:val="28"/>
          <w:szCs w:val="28"/>
          <w:lang w:val="es-MX"/>
        </w:rPr>
        <w:t>5.- UNIDAD ADMINISTRATIVA ESPECIAL DEL SERVICIO PÚBLICO DE EMPLEO.</w:t>
      </w:r>
    </w:p>
    <w:p w14:paraId="6A3C71EA" w14:textId="77777777" w:rsidR="00561B22" w:rsidRPr="00F1677C" w:rsidRDefault="00561B22" w:rsidP="00561B22">
      <w:pPr>
        <w:pStyle w:val="Textoindependiente"/>
        <w:tabs>
          <w:tab w:val="left" w:pos="2055"/>
        </w:tabs>
        <w:spacing w:before="5"/>
        <w:rPr>
          <w:rFonts w:ascii="Arial" w:hAnsi="Arial" w:cs="Arial"/>
          <w:sz w:val="20"/>
          <w:szCs w:val="20"/>
          <w:lang w:val="es-MX"/>
        </w:rPr>
      </w:pPr>
    </w:p>
    <w:p w14:paraId="2BEB020A" w14:textId="77777777" w:rsidR="00561B22" w:rsidRPr="00F1677C" w:rsidRDefault="00561B22" w:rsidP="00561B22">
      <w:pPr>
        <w:pStyle w:val="Textoindependiente"/>
        <w:ind w:right="-50"/>
        <w:jc w:val="center"/>
        <w:rPr>
          <w:rFonts w:ascii="Arial" w:hAnsi="Arial" w:cs="Arial"/>
          <w:b/>
          <w:bCs/>
        </w:rPr>
      </w:pPr>
      <w:r w:rsidRPr="00F1677C">
        <w:rPr>
          <w:rFonts w:ascii="Arial" w:hAnsi="Arial" w:cs="Arial"/>
          <w:b/>
          <w:bCs/>
        </w:rPr>
        <w:t>INFORME DE LA AUTOCALIFICACIÓN DEL SISTEMA DE CONTROL INTERNO CONTABLE:</w:t>
      </w:r>
    </w:p>
    <w:p w14:paraId="71B9FFEA" w14:textId="77777777" w:rsidR="00561B22" w:rsidRPr="00F1677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1677C" w14:paraId="49F63FE9" w14:textId="77777777" w:rsidTr="00F1223B">
        <w:tc>
          <w:tcPr>
            <w:tcW w:w="4981" w:type="dxa"/>
          </w:tcPr>
          <w:p w14:paraId="079B9C63" w14:textId="77777777" w:rsidR="00561B22" w:rsidRPr="00F1677C" w:rsidRDefault="00561B22" w:rsidP="00F1223B">
            <w:pPr>
              <w:jc w:val="center"/>
              <w:rPr>
                <w:rFonts w:ascii="Arial" w:hAnsi="Arial" w:cs="Arial"/>
                <w:b/>
                <w:sz w:val="22"/>
                <w:szCs w:val="22"/>
                <w:lang w:val="es-MX"/>
              </w:rPr>
            </w:pPr>
            <w:r w:rsidRPr="00F1677C">
              <w:rPr>
                <w:rFonts w:ascii="Arial" w:hAnsi="Arial" w:cs="Arial"/>
                <w:b/>
                <w:sz w:val="22"/>
                <w:szCs w:val="22"/>
                <w:lang w:val="es-MX"/>
              </w:rPr>
              <w:t>AUTOCALIFICACIÓN</w:t>
            </w:r>
          </w:p>
        </w:tc>
        <w:tc>
          <w:tcPr>
            <w:tcW w:w="4981" w:type="dxa"/>
          </w:tcPr>
          <w:p w14:paraId="77CB367D" w14:textId="77777777" w:rsidR="00561B22" w:rsidRPr="00F1677C" w:rsidRDefault="00561B22" w:rsidP="00F1223B">
            <w:pPr>
              <w:jc w:val="center"/>
              <w:rPr>
                <w:rFonts w:ascii="Arial" w:hAnsi="Arial" w:cs="Arial"/>
                <w:b/>
                <w:sz w:val="22"/>
                <w:szCs w:val="22"/>
                <w:u w:val="single"/>
                <w:lang w:val="es-MX"/>
              </w:rPr>
            </w:pPr>
            <w:r w:rsidRPr="00F1677C">
              <w:rPr>
                <w:rFonts w:ascii="Arial" w:hAnsi="Arial" w:cs="Arial"/>
                <w:b/>
                <w:sz w:val="22"/>
                <w:szCs w:val="22"/>
                <w:u w:val="single"/>
                <w:lang w:val="es-MX"/>
              </w:rPr>
              <w:t>4.93</w:t>
            </w:r>
          </w:p>
        </w:tc>
      </w:tr>
    </w:tbl>
    <w:p w14:paraId="06FEBA12" w14:textId="77777777" w:rsidR="00561B22" w:rsidRPr="00F1677C" w:rsidRDefault="00561B22" w:rsidP="00561B22">
      <w:pPr>
        <w:pStyle w:val="Textoindependiente"/>
        <w:ind w:right="-50"/>
        <w:jc w:val="both"/>
        <w:rPr>
          <w:rFonts w:ascii="Arial" w:hAnsi="Arial" w:cs="Arial"/>
          <w:b/>
          <w:bCs/>
        </w:rPr>
      </w:pPr>
    </w:p>
    <w:p w14:paraId="7534F1A5" w14:textId="77777777" w:rsidR="00561B22" w:rsidRPr="00F1677C" w:rsidRDefault="00561B22" w:rsidP="00561B22">
      <w:pPr>
        <w:pStyle w:val="Textoindependiente"/>
        <w:ind w:right="-50"/>
        <w:jc w:val="both"/>
        <w:rPr>
          <w:rFonts w:ascii="Arial" w:hAnsi="Arial" w:cs="Arial"/>
          <w:b/>
          <w:bCs/>
        </w:rPr>
      </w:pPr>
      <w:r w:rsidRPr="00F1677C">
        <w:rPr>
          <w:rFonts w:ascii="Arial" w:hAnsi="Arial" w:cs="Arial"/>
          <w:b/>
          <w:bCs/>
        </w:rPr>
        <w:t>Del informe enviado retomamos lo siguiente:</w:t>
      </w:r>
    </w:p>
    <w:p w14:paraId="0B272E1F" w14:textId="77777777" w:rsidR="00561B22" w:rsidRPr="00F1677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F1677C" w14:paraId="559899DD" w14:textId="77777777" w:rsidTr="00F1223B">
        <w:trPr>
          <w:trHeight w:val="384"/>
        </w:trPr>
        <w:tc>
          <w:tcPr>
            <w:tcW w:w="1129" w:type="dxa"/>
          </w:tcPr>
          <w:p w14:paraId="79211361" w14:textId="77777777" w:rsidR="00561B22" w:rsidRPr="00F1677C" w:rsidRDefault="00561B22" w:rsidP="00F1223B">
            <w:pPr>
              <w:ind w:right="-109"/>
              <w:jc w:val="center"/>
              <w:rPr>
                <w:rFonts w:ascii="Arial" w:hAnsi="Arial" w:cs="Arial"/>
                <w:b/>
                <w:sz w:val="22"/>
                <w:szCs w:val="22"/>
                <w:lang w:val="es-MX"/>
              </w:rPr>
            </w:pPr>
            <w:r w:rsidRPr="00F1677C">
              <w:rPr>
                <w:rFonts w:ascii="Arial" w:hAnsi="Arial" w:cs="Arial"/>
                <w:b/>
                <w:sz w:val="22"/>
                <w:szCs w:val="22"/>
                <w:lang w:val="es-MX"/>
              </w:rPr>
              <w:t>N°</w:t>
            </w:r>
          </w:p>
        </w:tc>
        <w:tc>
          <w:tcPr>
            <w:tcW w:w="8833" w:type="dxa"/>
          </w:tcPr>
          <w:p w14:paraId="04F17251" w14:textId="77777777" w:rsidR="00561B22" w:rsidRPr="00F1677C" w:rsidRDefault="00561B22" w:rsidP="00F1223B">
            <w:pPr>
              <w:jc w:val="center"/>
              <w:rPr>
                <w:rFonts w:ascii="Arial" w:hAnsi="Arial" w:cs="Arial"/>
                <w:b/>
                <w:sz w:val="22"/>
                <w:szCs w:val="22"/>
                <w:lang w:val="es-MX"/>
              </w:rPr>
            </w:pPr>
            <w:r w:rsidRPr="00F1677C">
              <w:rPr>
                <w:rFonts w:ascii="Arial" w:hAnsi="Arial" w:cs="Arial"/>
                <w:b/>
                <w:sz w:val="22"/>
                <w:szCs w:val="22"/>
                <w:lang w:val="es-MX"/>
              </w:rPr>
              <w:t>DEBILIDADES</w:t>
            </w:r>
          </w:p>
          <w:p w14:paraId="3DBB4D7D" w14:textId="77777777" w:rsidR="00561B22" w:rsidRPr="00F1677C" w:rsidRDefault="00561B22" w:rsidP="00F1223B">
            <w:pPr>
              <w:jc w:val="center"/>
              <w:rPr>
                <w:rFonts w:ascii="Arial" w:hAnsi="Arial" w:cs="Arial"/>
                <w:b/>
                <w:sz w:val="22"/>
                <w:szCs w:val="22"/>
                <w:lang w:val="es-MX"/>
              </w:rPr>
            </w:pPr>
          </w:p>
        </w:tc>
      </w:tr>
      <w:tr w:rsidR="00561B22" w:rsidRPr="00F1677C" w14:paraId="6F3E9247" w14:textId="77777777" w:rsidTr="00F1223B">
        <w:tc>
          <w:tcPr>
            <w:tcW w:w="1129" w:type="dxa"/>
          </w:tcPr>
          <w:p w14:paraId="5A538AE0" w14:textId="77777777" w:rsidR="00561B22" w:rsidRPr="00F1677C" w:rsidRDefault="00561B22" w:rsidP="00F1223B">
            <w:pPr>
              <w:jc w:val="center"/>
              <w:rPr>
                <w:rFonts w:ascii="Arial" w:hAnsi="Arial" w:cs="Arial"/>
                <w:b/>
                <w:sz w:val="22"/>
                <w:szCs w:val="22"/>
                <w:lang w:val="es-MX"/>
              </w:rPr>
            </w:pPr>
            <w:r w:rsidRPr="00F1677C">
              <w:rPr>
                <w:rFonts w:ascii="Arial" w:hAnsi="Arial" w:cs="Arial"/>
                <w:b/>
                <w:sz w:val="22"/>
                <w:szCs w:val="22"/>
                <w:lang w:val="es-MX"/>
              </w:rPr>
              <w:t>1</w:t>
            </w:r>
          </w:p>
        </w:tc>
        <w:tc>
          <w:tcPr>
            <w:tcW w:w="8833" w:type="dxa"/>
          </w:tcPr>
          <w:p w14:paraId="52039A2D" w14:textId="77777777" w:rsidR="00561B22" w:rsidRPr="00F1677C" w:rsidRDefault="00561B22" w:rsidP="00F1223B">
            <w:pPr>
              <w:jc w:val="both"/>
              <w:rPr>
                <w:rFonts w:ascii="Arial" w:hAnsi="Arial" w:cs="Arial"/>
                <w:bCs/>
                <w:sz w:val="22"/>
                <w:szCs w:val="22"/>
                <w:lang w:val="es-MX"/>
              </w:rPr>
            </w:pPr>
            <w:r w:rsidRPr="00F1677C">
              <w:rPr>
                <w:rFonts w:ascii="Arial" w:hAnsi="Arial" w:cs="Arial"/>
                <w:bCs/>
                <w:sz w:val="22"/>
                <w:szCs w:val="22"/>
                <w:lang w:val="es-CO"/>
              </w:rPr>
              <w:t>En la rendición de cuentas efectuada el 03 de diciembre de 2024 no se realizó la presentación de los Estados Financieros.</w:t>
            </w:r>
          </w:p>
        </w:tc>
      </w:tr>
    </w:tbl>
    <w:p w14:paraId="4E7E9724" w14:textId="77777777" w:rsidR="00561B22" w:rsidRPr="00F1677C" w:rsidRDefault="00561B22" w:rsidP="00561B22">
      <w:pPr>
        <w:pStyle w:val="Textoindependiente"/>
        <w:ind w:right="-50"/>
        <w:jc w:val="both"/>
        <w:rPr>
          <w:rFonts w:ascii="Arial" w:hAnsi="Arial" w:cs="Arial"/>
          <w:b/>
          <w:bCs/>
        </w:rPr>
      </w:pPr>
    </w:p>
    <w:p w14:paraId="697928E7" w14:textId="77777777" w:rsidR="00561B22" w:rsidRPr="00F1677C" w:rsidRDefault="00561B22" w:rsidP="00561B22">
      <w:pPr>
        <w:jc w:val="both"/>
        <w:rPr>
          <w:rFonts w:ascii="Arial" w:hAnsi="Arial" w:cs="Arial"/>
          <w:b/>
          <w:lang w:val="es-MX"/>
        </w:rPr>
      </w:pPr>
      <w:r w:rsidRPr="00F1677C">
        <w:rPr>
          <w:rFonts w:ascii="Arial" w:hAnsi="Arial" w:cs="Arial"/>
          <w:b/>
          <w:lang w:val="es-MX"/>
        </w:rPr>
        <w:t>Del citado informe retomamos las siguientes recomendaciones:</w:t>
      </w:r>
    </w:p>
    <w:p w14:paraId="6823042D" w14:textId="77777777" w:rsidR="00561B22" w:rsidRPr="00F1677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F1677C" w14:paraId="4A1FCCED" w14:textId="77777777" w:rsidTr="00F1223B">
        <w:tc>
          <w:tcPr>
            <w:tcW w:w="1129" w:type="dxa"/>
          </w:tcPr>
          <w:p w14:paraId="22641F85" w14:textId="77777777" w:rsidR="00561B22" w:rsidRPr="00F1677C" w:rsidRDefault="00561B22" w:rsidP="00F1223B">
            <w:pPr>
              <w:ind w:right="-109"/>
              <w:jc w:val="center"/>
              <w:rPr>
                <w:rFonts w:ascii="Arial" w:hAnsi="Arial" w:cs="Arial"/>
                <w:b/>
                <w:sz w:val="22"/>
                <w:szCs w:val="22"/>
                <w:lang w:val="es-MX"/>
              </w:rPr>
            </w:pPr>
            <w:r w:rsidRPr="00F1677C">
              <w:rPr>
                <w:rFonts w:ascii="Arial" w:hAnsi="Arial" w:cs="Arial"/>
                <w:b/>
                <w:sz w:val="22"/>
                <w:szCs w:val="22"/>
                <w:lang w:val="es-MX"/>
              </w:rPr>
              <w:t>N°</w:t>
            </w:r>
          </w:p>
        </w:tc>
        <w:tc>
          <w:tcPr>
            <w:tcW w:w="8833" w:type="dxa"/>
          </w:tcPr>
          <w:p w14:paraId="7619FDBE" w14:textId="77777777" w:rsidR="00561B22" w:rsidRPr="00F1677C" w:rsidRDefault="00561B22" w:rsidP="00F1223B">
            <w:pPr>
              <w:jc w:val="center"/>
              <w:rPr>
                <w:rFonts w:ascii="Arial" w:hAnsi="Arial" w:cs="Arial"/>
                <w:b/>
                <w:sz w:val="22"/>
                <w:szCs w:val="22"/>
                <w:lang w:val="es-MX"/>
              </w:rPr>
            </w:pPr>
            <w:r w:rsidRPr="00F1677C">
              <w:rPr>
                <w:rFonts w:ascii="Arial" w:hAnsi="Arial" w:cs="Arial"/>
                <w:b/>
                <w:sz w:val="22"/>
                <w:szCs w:val="22"/>
                <w:lang w:val="es-MX"/>
              </w:rPr>
              <w:t>RECOMENDACIONES</w:t>
            </w:r>
          </w:p>
          <w:p w14:paraId="5E28465A" w14:textId="77777777" w:rsidR="00561B22" w:rsidRPr="00F1677C" w:rsidRDefault="00561B22" w:rsidP="00F1223B">
            <w:pPr>
              <w:jc w:val="center"/>
              <w:rPr>
                <w:rFonts w:ascii="Arial" w:hAnsi="Arial" w:cs="Arial"/>
                <w:b/>
                <w:sz w:val="22"/>
                <w:szCs w:val="22"/>
                <w:lang w:val="es-MX"/>
              </w:rPr>
            </w:pPr>
          </w:p>
        </w:tc>
      </w:tr>
      <w:tr w:rsidR="00561B22" w:rsidRPr="00F1677C" w14:paraId="74A530FC" w14:textId="77777777" w:rsidTr="00F1223B">
        <w:tc>
          <w:tcPr>
            <w:tcW w:w="1129" w:type="dxa"/>
          </w:tcPr>
          <w:p w14:paraId="41057EF5" w14:textId="77777777" w:rsidR="00561B22" w:rsidRPr="00F1677C" w:rsidRDefault="00561B22" w:rsidP="00F1223B">
            <w:pPr>
              <w:jc w:val="center"/>
              <w:rPr>
                <w:rFonts w:ascii="Arial" w:hAnsi="Arial" w:cs="Arial"/>
                <w:b/>
                <w:sz w:val="22"/>
                <w:szCs w:val="22"/>
                <w:lang w:val="es-MX"/>
              </w:rPr>
            </w:pPr>
            <w:r w:rsidRPr="00F1677C">
              <w:rPr>
                <w:rFonts w:ascii="Arial" w:hAnsi="Arial" w:cs="Arial"/>
                <w:b/>
                <w:sz w:val="22"/>
                <w:szCs w:val="22"/>
                <w:lang w:val="es-MX"/>
              </w:rPr>
              <w:t>1</w:t>
            </w:r>
          </w:p>
        </w:tc>
        <w:tc>
          <w:tcPr>
            <w:tcW w:w="8833" w:type="dxa"/>
          </w:tcPr>
          <w:p w14:paraId="0AE45533" w14:textId="77777777" w:rsidR="00561B22" w:rsidRPr="00F1677C" w:rsidRDefault="00561B22" w:rsidP="00F1223B">
            <w:pPr>
              <w:jc w:val="both"/>
              <w:rPr>
                <w:rFonts w:ascii="Arial" w:hAnsi="Arial" w:cs="Arial"/>
                <w:bCs/>
                <w:sz w:val="22"/>
                <w:szCs w:val="22"/>
                <w:lang w:val="es-MX"/>
              </w:rPr>
            </w:pPr>
            <w:r w:rsidRPr="00F1677C">
              <w:rPr>
                <w:rFonts w:ascii="Arial" w:hAnsi="Arial" w:cs="Arial"/>
                <w:bCs/>
                <w:sz w:val="22"/>
                <w:szCs w:val="22"/>
                <w:lang w:val="es-CO"/>
              </w:rPr>
              <w:t>Presentar los Estados Financieros en las rendiciones de cuentas de la Entidad.</w:t>
            </w:r>
          </w:p>
        </w:tc>
      </w:tr>
    </w:tbl>
    <w:p w14:paraId="00551AE1" w14:textId="77777777" w:rsidR="00561B22" w:rsidRDefault="00561B22" w:rsidP="00561B22">
      <w:pPr>
        <w:pStyle w:val="Textoindependiente"/>
        <w:ind w:right="-50"/>
        <w:jc w:val="both"/>
        <w:rPr>
          <w:b/>
          <w:bCs/>
          <w:sz w:val="28"/>
          <w:szCs w:val="28"/>
        </w:rPr>
      </w:pPr>
    </w:p>
    <w:p w14:paraId="5BF4C96E" w14:textId="77777777" w:rsidR="00561B22" w:rsidRPr="00EE091E" w:rsidRDefault="00561B22" w:rsidP="00561B22">
      <w:pPr>
        <w:jc w:val="both"/>
        <w:rPr>
          <w:rFonts w:ascii="Arial" w:hAnsi="Arial" w:cs="Arial"/>
          <w:b/>
          <w:bCs/>
          <w:sz w:val="24"/>
          <w:szCs w:val="24"/>
          <w:lang w:val="es-CO"/>
        </w:rPr>
      </w:pPr>
      <w:r w:rsidRPr="00EE091E">
        <w:rPr>
          <w:rFonts w:ascii="Arial" w:hAnsi="Arial" w:cs="Arial"/>
          <w:b/>
          <w:bCs/>
          <w:sz w:val="24"/>
          <w:szCs w:val="24"/>
          <w:lang w:val="es-CO"/>
        </w:rPr>
        <w:t xml:space="preserve">NOTA: LA ENTIDAD ENVIA LA MATRIZ DE AUTOEVALUACIÓN DEL SISTEMA DE CONTROL INTERNO CONTABLE CON </w:t>
      </w:r>
      <w:r w:rsidRPr="00EE091E">
        <w:rPr>
          <w:rFonts w:ascii="Arial" w:hAnsi="Arial" w:cs="Arial"/>
          <w:b/>
          <w:bCs/>
          <w:sz w:val="24"/>
          <w:szCs w:val="24"/>
          <w:u w:val="single"/>
          <w:lang w:val="es-CO"/>
        </w:rPr>
        <w:t>ACTIVIDADES DE CONTROL REALIZADAS EN FORMA PARCIAL</w:t>
      </w:r>
      <w:r w:rsidRPr="00EE091E">
        <w:rPr>
          <w:rFonts w:ascii="Arial" w:hAnsi="Arial" w:cs="Arial"/>
          <w:b/>
          <w:bCs/>
          <w:sz w:val="24"/>
          <w:szCs w:val="24"/>
          <w:lang w:val="es-CO"/>
        </w:rPr>
        <w:t>.</w:t>
      </w:r>
    </w:p>
    <w:p w14:paraId="58E07ACB" w14:textId="77777777" w:rsidR="00561B22" w:rsidRPr="00EE091E" w:rsidRDefault="00561B22" w:rsidP="00561B22">
      <w:pPr>
        <w:pStyle w:val="Textoindependiente"/>
        <w:ind w:right="-50"/>
        <w:jc w:val="both"/>
        <w:rPr>
          <w:rFonts w:ascii="Arial" w:hAnsi="Arial" w:cs="Arial"/>
          <w:b/>
          <w:bCs/>
          <w:sz w:val="28"/>
          <w:szCs w:val="28"/>
        </w:rPr>
      </w:pPr>
    </w:p>
    <w:p w14:paraId="36D3B34F" w14:textId="77777777" w:rsidR="00561B22" w:rsidRPr="00EE091E" w:rsidRDefault="00561B22" w:rsidP="00561B22">
      <w:pPr>
        <w:jc w:val="both"/>
        <w:rPr>
          <w:rFonts w:ascii="Arial" w:hAnsi="Arial" w:cs="Arial"/>
          <w:b/>
          <w:sz w:val="28"/>
          <w:szCs w:val="28"/>
          <w:lang w:val="es-MX"/>
        </w:rPr>
      </w:pPr>
      <w:r w:rsidRPr="00EE091E">
        <w:rPr>
          <w:rFonts w:ascii="Arial" w:hAnsi="Arial" w:cs="Arial"/>
          <w:b/>
          <w:sz w:val="28"/>
          <w:szCs w:val="28"/>
          <w:lang w:val="es-MX"/>
        </w:rPr>
        <w:t>6.- ARCHIVO GENERAL DE LA NACIÓN JORGE PALACIOS PRECIADO.</w:t>
      </w:r>
    </w:p>
    <w:p w14:paraId="7292B750" w14:textId="77777777" w:rsidR="00561B22" w:rsidRPr="00EE091E" w:rsidRDefault="00561B22" w:rsidP="00561B22">
      <w:pPr>
        <w:pStyle w:val="Textoindependiente"/>
        <w:ind w:right="-50"/>
        <w:jc w:val="both"/>
        <w:rPr>
          <w:b/>
          <w:bCs/>
          <w:sz w:val="28"/>
          <w:szCs w:val="28"/>
          <w:lang w:val="es-MX"/>
        </w:rPr>
      </w:pPr>
    </w:p>
    <w:p w14:paraId="018F5B32" w14:textId="77777777" w:rsidR="00561B22" w:rsidRPr="00EE091E" w:rsidRDefault="00561B22" w:rsidP="00561B22">
      <w:pPr>
        <w:pStyle w:val="Textoindependiente"/>
        <w:ind w:right="-50"/>
        <w:jc w:val="center"/>
        <w:rPr>
          <w:rFonts w:ascii="Arial" w:hAnsi="Arial" w:cs="Arial"/>
          <w:b/>
          <w:bCs/>
        </w:rPr>
      </w:pPr>
      <w:r w:rsidRPr="00EE091E">
        <w:rPr>
          <w:rFonts w:ascii="Arial" w:hAnsi="Arial" w:cs="Arial"/>
          <w:b/>
          <w:bCs/>
        </w:rPr>
        <w:t>INFORME DE LA AUTOCALIFICACIÓN DEL SISTEMA DE CONTROL INTERNO CONTABLE:</w:t>
      </w:r>
    </w:p>
    <w:p w14:paraId="73AA4CA0" w14:textId="77777777" w:rsidR="00561B22" w:rsidRPr="00EE091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E091E" w14:paraId="23996B55" w14:textId="77777777" w:rsidTr="00F1223B">
        <w:tc>
          <w:tcPr>
            <w:tcW w:w="4981" w:type="dxa"/>
          </w:tcPr>
          <w:p w14:paraId="674A908F"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t>AUTOCALIFICACIÓN</w:t>
            </w:r>
          </w:p>
        </w:tc>
        <w:tc>
          <w:tcPr>
            <w:tcW w:w="4981" w:type="dxa"/>
          </w:tcPr>
          <w:p w14:paraId="32989BB0" w14:textId="77777777" w:rsidR="00561B22" w:rsidRPr="00EE091E" w:rsidRDefault="00561B22" w:rsidP="00F1223B">
            <w:pPr>
              <w:jc w:val="center"/>
              <w:rPr>
                <w:rFonts w:ascii="Arial" w:hAnsi="Arial" w:cs="Arial"/>
                <w:b/>
                <w:sz w:val="22"/>
                <w:szCs w:val="22"/>
                <w:u w:val="single"/>
                <w:lang w:val="es-MX"/>
              </w:rPr>
            </w:pPr>
            <w:r w:rsidRPr="00EE091E">
              <w:rPr>
                <w:rFonts w:ascii="Arial" w:hAnsi="Arial" w:cs="Arial"/>
                <w:b/>
                <w:sz w:val="22"/>
                <w:szCs w:val="22"/>
                <w:u w:val="single"/>
                <w:lang w:val="es-MX"/>
              </w:rPr>
              <w:t>4.92</w:t>
            </w:r>
          </w:p>
        </w:tc>
      </w:tr>
    </w:tbl>
    <w:p w14:paraId="4FB75ECA" w14:textId="77777777" w:rsidR="00561B22" w:rsidRPr="00EE091E" w:rsidRDefault="00561B22" w:rsidP="00561B22">
      <w:pPr>
        <w:pStyle w:val="Textoindependiente"/>
        <w:ind w:right="-50"/>
        <w:jc w:val="both"/>
        <w:rPr>
          <w:rFonts w:ascii="Arial" w:hAnsi="Arial" w:cs="Arial"/>
          <w:b/>
          <w:bCs/>
        </w:rPr>
      </w:pPr>
    </w:p>
    <w:p w14:paraId="48BC4D17" w14:textId="77777777" w:rsidR="00561B22" w:rsidRPr="00EE091E" w:rsidRDefault="00561B22" w:rsidP="00561B22">
      <w:pPr>
        <w:pStyle w:val="Textoindependiente"/>
        <w:ind w:right="-50"/>
        <w:jc w:val="both"/>
        <w:rPr>
          <w:rFonts w:ascii="Arial" w:hAnsi="Arial" w:cs="Arial"/>
          <w:b/>
          <w:bCs/>
        </w:rPr>
      </w:pPr>
      <w:r w:rsidRPr="00EE091E">
        <w:rPr>
          <w:rFonts w:ascii="Arial" w:hAnsi="Arial" w:cs="Arial"/>
          <w:b/>
          <w:bCs/>
        </w:rPr>
        <w:t>Del informe enviado retomamos lo siguiente:</w:t>
      </w:r>
    </w:p>
    <w:p w14:paraId="7AE63FCC" w14:textId="77777777" w:rsidR="00561B22" w:rsidRPr="00EE091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1129"/>
        <w:gridCol w:w="8833"/>
      </w:tblGrid>
      <w:tr w:rsidR="00561B22" w:rsidRPr="00EE091E" w14:paraId="0ABD0BAE" w14:textId="77777777" w:rsidTr="00F1223B">
        <w:trPr>
          <w:trHeight w:val="384"/>
        </w:trPr>
        <w:tc>
          <w:tcPr>
            <w:tcW w:w="1129" w:type="dxa"/>
          </w:tcPr>
          <w:p w14:paraId="6E2A6A25" w14:textId="77777777" w:rsidR="00561B22" w:rsidRPr="00EE091E" w:rsidRDefault="00561B22" w:rsidP="00F1223B">
            <w:pPr>
              <w:ind w:right="-109"/>
              <w:jc w:val="center"/>
              <w:rPr>
                <w:rFonts w:ascii="Arial" w:hAnsi="Arial" w:cs="Arial"/>
                <w:b/>
                <w:sz w:val="22"/>
                <w:szCs w:val="22"/>
                <w:lang w:val="es-MX"/>
              </w:rPr>
            </w:pPr>
            <w:r w:rsidRPr="00EE091E">
              <w:rPr>
                <w:rFonts w:ascii="Arial" w:hAnsi="Arial" w:cs="Arial"/>
                <w:b/>
                <w:sz w:val="22"/>
                <w:szCs w:val="22"/>
                <w:lang w:val="es-MX"/>
              </w:rPr>
              <w:t>N°</w:t>
            </w:r>
          </w:p>
        </w:tc>
        <w:tc>
          <w:tcPr>
            <w:tcW w:w="8833" w:type="dxa"/>
          </w:tcPr>
          <w:p w14:paraId="6C370327"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t>DEBILIDADES</w:t>
            </w:r>
          </w:p>
          <w:p w14:paraId="1580D6CC" w14:textId="77777777" w:rsidR="00561B22" w:rsidRPr="00EE091E" w:rsidRDefault="00561B22" w:rsidP="00F1223B">
            <w:pPr>
              <w:jc w:val="center"/>
              <w:rPr>
                <w:rFonts w:ascii="Arial" w:hAnsi="Arial" w:cs="Arial"/>
                <w:b/>
                <w:sz w:val="22"/>
                <w:szCs w:val="22"/>
                <w:lang w:val="es-MX"/>
              </w:rPr>
            </w:pPr>
          </w:p>
        </w:tc>
      </w:tr>
      <w:tr w:rsidR="00561B22" w:rsidRPr="00EE091E" w14:paraId="177F536E" w14:textId="77777777" w:rsidTr="00F1223B">
        <w:tc>
          <w:tcPr>
            <w:tcW w:w="1129" w:type="dxa"/>
          </w:tcPr>
          <w:p w14:paraId="1175D533"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t>1</w:t>
            </w:r>
          </w:p>
        </w:tc>
        <w:tc>
          <w:tcPr>
            <w:tcW w:w="8833" w:type="dxa"/>
          </w:tcPr>
          <w:p w14:paraId="7080C7D6" w14:textId="77777777" w:rsidR="00561B22" w:rsidRPr="00EE091E" w:rsidRDefault="00561B22" w:rsidP="00F1223B">
            <w:pPr>
              <w:jc w:val="both"/>
              <w:rPr>
                <w:rFonts w:ascii="Arial" w:hAnsi="Arial" w:cs="Arial"/>
                <w:b/>
                <w:sz w:val="22"/>
                <w:szCs w:val="22"/>
                <w:lang w:val="es-MX"/>
              </w:rPr>
            </w:pPr>
            <w:r w:rsidRPr="00EE091E">
              <w:rPr>
                <w:rFonts w:ascii="Arial" w:eastAsia="Times New Roman" w:hAnsi="Arial" w:cs="Arial"/>
                <w:sz w:val="22"/>
                <w:szCs w:val="22"/>
              </w:rPr>
              <w:t xml:space="preserve">Aunque existen políticas definidas, no se han socializado de manera efectiva con el personal involucrado en el proceso contable. </w:t>
            </w:r>
          </w:p>
        </w:tc>
      </w:tr>
      <w:tr w:rsidR="00561B22" w:rsidRPr="00EE091E" w14:paraId="1CE15294" w14:textId="77777777" w:rsidTr="00F1223B">
        <w:tc>
          <w:tcPr>
            <w:tcW w:w="1129" w:type="dxa"/>
          </w:tcPr>
          <w:p w14:paraId="0AB07204"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t>2</w:t>
            </w:r>
          </w:p>
        </w:tc>
        <w:tc>
          <w:tcPr>
            <w:tcW w:w="8833" w:type="dxa"/>
          </w:tcPr>
          <w:p w14:paraId="2E12A8C5" w14:textId="77777777" w:rsidR="00561B22" w:rsidRPr="00EE091E" w:rsidRDefault="00561B22" w:rsidP="00F1223B">
            <w:pPr>
              <w:jc w:val="both"/>
              <w:rPr>
                <w:rFonts w:ascii="Arial" w:hAnsi="Arial" w:cs="Arial"/>
                <w:b/>
                <w:sz w:val="22"/>
                <w:szCs w:val="22"/>
                <w:lang w:val="es-MX"/>
              </w:rPr>
            </w:pPr>
            <w:r w:rsidRPr="00EE091E">
              <w:rPr>
                <w:rFonts w:ascii="Arial" w:eastAsia="Times New Roman" w:hAnsi="Arial" w:cs="Arial"/>
                <w:sz w:val="22"/>
                <w:szCs w:val="22"/>
              </w:rPr>
              <w:t>La entidad se encuentra en proceso de modificación y actualización del Manual de Políticas Contables, lo que puede generar incertidumbre hasta su implementación.</w:t>
            </w:r>
          </w:p>
        </w:tc>
      </w:tr>
    </w:tbl>
    <w:p w14:paraId="0B29B669" w14:textId="77777777" w:rsidR="00561B22" w:rsidRPr="00EE091E" w:rsidRDefault="00561B22" w:rsidP="00561B22">
      <w:pPr>
        <w:pStyle w:val="Textoindependiente"/>
        <w:ind w:right="-50"/>
        <w:jc w:val="both"/>
        <w:rPr>
          <w:rFonts w:ascii="Arial" w:hAnsi="Arial" w:cs="Arial"/>
          <w:b/>
          <w:bCs/>
        </w:rPr>
      </w:pPr>
    </w:p>
    <w:p w14:paraId="5A4787ED" w14:textId="77777777" w:rsidR="00561B22" w:rsidRPr="00EE091E" w:rsidRDefault="00561B22" w:rsidP="00561B22">
      <w:pPr>
        <w:jc w:val="both"/>
        <w:rPr>
          <w:rFonts w:ascii="Arial" w:hAnsi="Arial" w:cs="Arial"/>
          <w:b/>
          <w:lang w:val="es-MX"/>
        </w:rPr>
      </w:pPr>
      <w:r w:rsidRPr="00EE091E">
        <w:rPr>
          <w:rFonts w:ascii="Arial" w:hAnsi="Arial" w:cs="Arial"/>
          <w:b/>
          <w:lang w:val="es-MX"/>
        </w:rPr>
        <w:t>Del citado informe retomamos las siguientes recomendaciones:</w:t>
      </w:r>
    </w:p>
    <w:p w14:paraId="05366844" w14:textId="77777777" w:rsidR="00561B22" w:rsidRPr="00EE091E"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1129"/>
        <w:gridCol w:w="8833"/>
      </w:tblGrid>
      <w:tr w:rsidR="00561B22" w:rsidRPr="00EE091E" w14:paraId="2050F851" w14:textId="77777777" w:rsidTr="00F1223B">
        <w:tc>
          <w:tcPr>
            <w:tcW w:w="1129" w:type="dxa"/>
          </w:tcPr>
          <w:p w14:paraId="134AB207" w14:textId="77777777" w:rsidR="00561B22" w:rsidRPr="00EE091E" w:rsidRDefault="00561B22" w:rsidP="00F1223B">
            <w:pPr>
              <w:ind w:right="-109"/>
              <w:jc w:val="center"/>
              <w:rPr>
                <w:rFonts w:ascii="Arial" w:hAnsi="Arial" w:cs="Arial"/>
                <w:b/>
                <w:sz w:val="22"/>
                <w:szCs w:val="22"/>
                <w:lang w:val="es-MX"/>
              </w:rPr>
            </w:pPr>
            <w:r w:rsidRPr="00EE091E">
              <w:rPr>
                <w:rFonts w:ascii="Arial" w:hAnsi="Arial" w:cs="Arial"/>
                <w:b/>
                <w:sz w:val="22"/>
                <w:szCs w:val="22"/>
                <w:lang w:val="es-MX"/>
              </w:rPr>
              <w:t>N°</w:t>
            </w:r>
          </w:p>
        </w:tc>
        <w:tc>
          <w:tcPr>
            <w:tcW w:w="8833" w:type="dxa"/>
          </w:tcPr>
          <w:p w14:paraId="339C684C"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t>RECOMENDACIONES</w:t>
            </w:r>
          </w:p>
          <w:p w14:paraId="1259F677" w14:textId="77777777" w:rsidR="00561B22" w:rsidRPr="00EE091E" w:rsidRDefault="00561B22" w:rsidP="00F1223B">
            <w:pPr>
              <w:jc w:val="center"/>
              <w:rPr>
                <w:rFonts w:ascii="Arial" w:hAnsi="Arial" w:cs="Arial"/>
                <w:b/>
                <w:sz w:val="22"/>
                <w:szCs w:val="22"/>
                <w:lang w:val="es-MX"/>
              </w:rPr>
            </w:pPr>
          </w:p>
        </w:tc>
      </w:tr>
      <w:tr w:rsidR="00561B22" w:rsidRPr="00EE091E" w14:paraId="563BC4C9" w14:textId="77777777" w:rsidTr="00F1223B">
        <w:tc>
          <w:tcPr>
            <w:tcW w:w="1129" w:type="dxa"/>
          </w:tcPr>
          <w:p w14:paraId="5D530108"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t>1</w:t>
            </w:r>
          </w:p>
        </w:tc>
        <w:tc>
          <w:tcPr>
            <w:tcW w:w="8833" w:type="dxa"/>
          </w:tcPr>
          <w:p w14:paraId="545B864B" w14:textId="77777777" w:rsidR="00561B22" w:rsidRPr="00EE091E" w:rsidRDefault="00561B22" w:rsidP="00F1223B">
            <w:pPr>
              <w:jc w:val="both"/>
              <w:rPr>
                <w:rFonts w:ascii="Arial" w:hAnsi="Arial" w:cs="Arial"/>
                <w:b/>
                <w:sz w:val="22"/>
                <w:szCs w:val="22"/>
                <w:lang w:val="es-MX"/>
              </w:rPr>
            </w:pPr>
            <w:r w:rsidRPr="00EE091E">
              <w:rPr>
                <w:rFonts w:ascii="Arial" w:eastAsia="Times New Roman" w:hAnsi="Arial" w:cs="Arial"/>
                <w:sz w:val="22"/>
                <w:szCs w:val="22"/>
              </w:rPr>
              <w:t xml:space="preserve">Implementar un plan de socialización de políticas contables, mediante capacitaciones </w:t>
            </w:r>
            <w:r w:rsidRPr="00EE091E">
              <w:rPr>
                <w:rFonts w:ascii="Arial" w:eastAsia="Times New Roman" w:hAnsi="Arial" w:cs="Arial"/>
                <w:sz w:val="22"/>
                <w:szCs w:val="22"/>
              </w:rPr>
              <w:lastRenderedPageBreak/>
              <w:t xml:space="preserve">para el personal contable. </w:t>
            </w:r>
          </w:p>
        </w:tc>
      </w:tr>
      <w:tr w:rsidR="00561B22" w:rsidRPr="00EE091E" w14:paraId="23420439" w14:textId="77777777" w:rsidTr="00F1223B">
        <w:tc>
          <w:tcPr>
            <w:tcW w:w="1129" w:type="dxa"/>
          </w:tcPr>
          <w:p w14:paraId="4DF92F2E" w14:textId="77777777" w:rsidR="00561B22" w:rsidRPr="00EE091E" w:rsidRDefault="00561B22" w:rsidP="00F1223B">
            <w:pPr>
              <w:jc w:val="center"/>
              <w:rPr>
                <w:rFonts w:ascii="Arial" w:hAnsi="Arial" w:cs="Arial"/>
                <w:b/>
                <w:sz w:val="22"/>
                <w:szCs w:val="22"/>
                <w:lang w:val="es-MX"/>
              </w:rPr>
            </w:pPr>
            <w:r w:rsidRPr="00EE091E">
              <w:rPr>
                <w:rFonts w:ascii="Arial" w:hAnsi="Arial" w:cs="Arial"/>
                <w:b/>
                <w:sz w:val="22"/>
                <w:szCs w:val="22"/>
                <w:lang w:val="es-MX"/>
              </w:rPr>
              <w:lastRenderedPageBreak/>
              <w:t>2</w:t>
            </w:r>
          </w:p>
        </w:tc>
        <w:tc>
          <w:tcPr>
            <w:tcW w:w="8833" w:type="dxa"/>
          </w:tcPr>
          <w:p w14:paraId="6B93E195" w14:textId="77777777" w:rsidR="00561B22" w:rsidRPr="00EE091E" w:rsidRDefault="00561B22" w:rsidP="00F1223B">
            <w:pPr>
              <w:jc w:val="both"/>
              <w:rPr>
                <w:rFonts w:ascii="Arial" w:hAnsi="Arial" w:cs="Arial"/>
                <w:b/>
                <w:sz w:val="22"/>
                <w:szCs w:val="22"/>
                <w:lang w:val="es-MX"/>
              </w:rPr>
            </w:pPr>
            <w:r w:rsidRPr="00EE091E">
              <w:rPr>
                <w:rFonts w:ascii="Arial" w:eastAsia="Times New Roman" w:hAnsi="Arial" w:cs="Arial"/>
                <w:sz w:val="22"/>
                <w:szCs w:val="22"/>
              </w:rPr>
              <w:t>Fortalecer los mecanismos de monitoreo y reporte sobre la efectividad de control interno contable.</w:t>
            </w:r>
          </w:p>
        </w:tc>
      </w:tr>
    </w:tbl>
    <w:p w14:paraId="36A8B22F" w14:textId="77777777" w:rsidR="00561B22" w:rsidRPr="00EE091E" w:rsidRDefault="00561B22" w:rsidP="00561B22">
      <w:pPr>
        <w:jc w:val="both"/>
        <w:rPr>
          <w:rFonts w:ascii="Arial" w:hAnsi="Arial" w:cs="Arial"/>
          <w:b/>
          <w:bCs/>
          <w:lang w:val="es-CO"/>
        </w:rPr>
      </w:pPr>
    </w:p>
    <w:p w14:paraId="00C886C0" w14:textId="77777777" w:rsidR="00561B22" w:rsidRDefault="00561B22" w:rsidP="00561B22">
      <w:pPr>
        <w:jc w:val="both"/>
        <w:rPr>
          <w:rFonts w:ascii="Arial" w:hAnsi="Arial" w:cs="Arial"/>
          <w:b/>
          <w:bCs/>
          <w:sz w:val="24"/>
          <w:szCs w:val="24"/>
          <w:lang w:val="es-CO"/>
        </w:rPr>
      </w:pPr>
      <w:r w:rsidRPr="00EE091E">
        <w:rPr>
          <w:rFonts w:ascii="Arial" w:hAnsi="Arial" w:cs="Arial"/>
          <w:b/>
          <w:bCs/>
          <w:sz w:val="24"/>
          <w:szCs w:val="24"/>
          <w:lang w:val="es-CO"/>
        </w:rPr>
        <w:t xml:space="preserve">NOTA: LA ENTIDAD ENVIA LA MATRIZ DE AUTOEVALUACIÓN DEL SISTEMA DE CONTROL INTERNO CONTABLE CON </w:t>
      </w:r>
      <w:r w:rsidRPr="00EE091E">
        <w:rPr>
          <w:rFonts w:ascii="Arial" w:hAnsi="Arial" w:cs="Arial"/>
          <w:b/>
          <w:bCs/>
          <w:sz w:val="24"/>
          <w:szCs w:val="24"/>
          <w:u w:val="single"/>
          <w:lang w:val="es-CO"/>
        </w:rPr>
        <w:t>ACTIVIDADES DE CONTROL REALIZADAS EN FORMA PARCIAL</w:t>
      </w:r>
      <w:r w:rsidRPr="00EE091E">
        <w:rPr>
          <w:rFonts w:ascii="Arial" w:hAnsi="Arial" w:cs="Arial"/>
          <w:b/>
          <w:bCs/>
          <w:sz w:val="24"/>
          <w:szCs w:val="24"/>
          <w:lang w:val="es-CO"/>
        </w:rPr>
        <w:t>.</w:t>
      </w:r>
    </w:p>
    <w:p w14:paraId="27E626C7" w14:textId="77777777" w:rsidR="00561B22" w:rsidRDefault="00561B22" w:rsidP="00561B22">
      <w:pPr>
        <w:jc w:val="both"/>
        <w:rPr>
          <w:rFonts w:ascii="Arial" w:hAnsi="Arial" w:cs="Arial"/>
          <w:b/>
          <w:bCs/>
          <w:sz w:val="24"/>
          <w:szCs w:val="24"/>
          <w:lang w:val="es-CO"/>
        </w:rPr>
      </w:pPr>
    </w:p>
    <w:p w14:paraId="436A6E85" w14:textId="77777777" w:rsidR="00561B22" w:rsidRPr="00B51F7E" w:rsidRDefault="00561B22" w:rsidP="00561B22">
      <w:pPr>
        <w:jc w:val="both"/>
        <w:rPr>
          <w:rFonts w:ascii="Arial" w:hAnsi="Arial" w:cs="Arial"/>
          <w:b/>
          <w:sz w:val="28"/>
          <w:szCs w:val="28"/>
          <w:lang w:val="es-MX"/>
        </w:rPr>
      </w:pPr>
      <w:r w:rsidRPr="00B51F7E">
        <w:rPr>
          <w:rFonts w:ascii="Arial" w:hAnsi="Arial" w:cs="Arial"/>
          <w:b/>
          <w:sz w:val="28"/>
          <w:szCs w:val="28"/>
          <w:lang w:val="es-MX"/>
        </w:rPr>
        <w:t>7.- INSTITUTO NACIONAL DE SALUD - INS.</w:t>
      </w:r>
    </w:p>
    <w:p w14:paraId="651EBB92" w14:textId="77777777" w:rsidR="00561B22" w:rsidRPr="00B51F7E" w:rsidRDefault="00561B22" w:rsidP="00561B22">
      <w:pPr>
        <w:pStyle w:val="Textoindependiente"/>
        <w:ind w:right="-50"/>
        <w:jc w:val="center"/>
        <w:rPr>
          <w:rFonts w:ascii="Arial" w:hAnsi="Arial" w:cs="Arial"/>
          <w:b/>
          <w:bCs/>
        </w:rPr>
      </w:pPr>
      <w:r w:rsidRPr="00B51F7E">
        <w:rPr>
          <w:rFonts w:ascii="Arial" w:hAnsi="Arial" w:cs="Arial"/>
          <w:b/>
          <w:bCs/>
        </w:rPr>
        <w:t>INFORME DE LA AUTOCALIFICACIÓN DEL SISTEMA DE CONTROL INTERNO CONTABLE:</w:t>
      </w:r>
    </w:p>
    <w:p w14:paraId="670EAAB3" w14:textId="77777777" w:rsidR="00561B22" w:rsidRPr="00B51F7E"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B51F7E" w14:paraId="02E8C73B" w14:textId="77777777" w:rsidTr="00F1223B">
        <w:tc>
          <w:tcPr>
            <w:tcW w:w="4981" w:type="dxa"/>
          </w:tcPr>
          <w:p w14:paraId="38B78CFD" w14:textId="77777777" w:rsidR="00561B22" w:rsidRPr="00B51F7E" w:rsidRDefault="00561B22" w:rsidP="00F1223B">
            <w:pPr>
              <w:jc w:val="center"/>
              <w:rPr>
                <w:rFonts w:ascii="Arial" w:hAnsi="Arial" w:cs="Arial"/>
                <w:b/>
                <w:sz w:val="24"/>
                <w:szCs w:val="24"/>
                <w:lang w:val="es-MX"/>
              </w:rPr>
            </w:pPr>
            <w:r w:rsidRPr="00B51F7E">
              <w:rPr>
                <w:rFonts w:ascii="Arial" w:hAnsi="Arial" w:cs="Arial"/>
                <w:b/>
                <w:sz w:val="24"/>
                <w:szCs w:val="24"/>
                <w:lang w:val="es-MX"/>
              </w:rPr>
              <w:t>AUTOCALIFICACIÓN</w:t>
            </w:r>
          </w:p>
        </w:tc>
        <w:tc>
          <w:tcPr>
            <w:tcW w:w="4981" w:type="dxa"/>
          </w:tcPr>
          <w:p w14:paraId="74A89854" w14:textId="77777777" w:rsidR="00561B22" w:rsidRPr="00B51F7E" w:rsidRDefault="00561B22" w:rsidP="00F1223B">
            <w:pPr>
              <w:jc w:val="center"/>
              <w:rPr>
                <w:rFonts w:ascii="Arial" w:hAnsi="Arial" w:cs="Arial"/>
                <w:b/>
                <w:sz w:val="24"/>
                <w:szCs w:val="24"/>
                <w:u w:val="single"/>
                <w:lang w:val="es-MX"/>
              </w:rPr>
            </w:pPr>
            <w:r w:rsidRPr="00B51F7E">
              <w:rPr>
                <w:rFonts w:ascii="Arial" w:hAnsi="Arial" w:cs="Arial"/>
                <w:b/>
                <w:sz w:val="24"/>
                <w:szCs w:val="24"/>
                <w:u w:val="single"/>
                <w:lang w:val="es-MX"/>
              </w:rPr>
              <w:t>4.80</w:t>
            </w:r>
          </w:p>
        </w:tc>
      </w:tr>
    </w:tbl>
    <w:p w14:paraId="372FC786" w14:textId="77777777" w:rsidR="00561B22" w:rsidRPr="00B51F7E" w:rsidRDefault="00561B22" w:rsidP="00561B22">
      <w:pPr>
        <w:pStyle w:val="Textoindependiente"/>
        <w:ind w:right="-50"/>
        <w:jc w:val="both"/>
        <w:rPr>
          <w:rFonts w:ascii="Arial" w:hAnsi="Arial" w:cs="Arial"/>
          <w:b/>
          <w:bCs/>
          <w:sz w:val="28"/>
          <w:szCs w:val="28"/>
        </w:rPr>
      </w:pPr>
    </w:p>
    <w:p w14:paraId="3F063626" w14:textId="77777777" w:rsidR="00561B22" w:rsidRPr="00B51F7E" w:rsidRDefault="00561B22" w:rsidP="00561B22">
      <w:pPr>
        <w:pStyle w:val="Textoindependiente"/>
        <w:ind w:right="-50"/>
        <w:jc w:val="both"/>
        <w:rPr>
          <w:rFonts w:ascii="Arial" w:hAnsi="Arial" w:cs="Arial"/>
          <w:b/>
          <w:bCs/>
        </w:rPr>
      </w:pPr>
      <w:r w:rsidRPr="00B51F7E">
        <w:rPr>
          <w:rFonts w:ascii="Arial" w:hAnsi="Arial" w:cs="Arial"/>
          <w:b/>
          <w:bCs/>
        </w:rPr>
        <w:t>Del informe enviado retomamos lo siguiente:</w:t>
      </w:r>
    </w:p>
    <w:p w14:paraId="6C5831CF" w14:textId="77777777" w:rsidR="00561B22" w:rsidRPr="00B51F7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51F7E" w14:paraId="4CF1CE84" w14:textId="77777777" w:rsidTr="00F1223B">
        <w:tc>
          <w:tcPr>
            <w:tcW w:w="846" w:type="dxa"/>
          </w:tcPr>
          <w:p w14:paraId="0E7BC285" w14:textId="77777777" w:rsidR="00561B22" w:rsidRPr="00B51F7E" w:rsidRDefault="00561B22" w:rsidP="00F1223B">
            <w:pPr>
              <w:ind w:right="-109"/>
              <w:jc w:val="center"/>
              <w:rPr>
                <w:rFonts w:ascii="Arial" w:hAnsi="Arial" w:cs="Arial"/>
                <w:b/>
                <w:sz w:val="22"/>
                <w:szCs w:val="22"/>
                <w:lang w:val="es-MX"/>
              </w:rPr>
            </w:pPr>
            <w:r w:rsidRPr="00B51F7E">
              <w:rPr>
                <w:rFonts w:ascii="Arial" w:hAnsi="Arial" w:cs="Arial"/>
                <w:b/>
                <w:sz w:val="22"/>
                <w:szCs w:val="22"/>
                <w:lang w:val="es-MX"/>
              </w:rPr>
              <w:t>N°</w:t>
            </w:r>
          </w:p>
        </w:tc>
        <w:tc>
          <w:tcPr>
            <w:tcW w:w="9116" w:type="dxa"/>
          </w:tcPr>
          <w:p w14:paraId="3CE22695"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DEBILIDADES</w:t>
            </w:r>
          </w:p>
          <w:p w14:paraId="4AEEF9CB" w14:textId="77777777" w:rsidR="00561B22" w:rsidRPr="00B51F7E" w:rsidRDefault="00561B22" w:rsidP="00F1223B">
            <w:pPr>
              <w:jc w:val="center"/>
              <w:rPr>
                <w:rFonts w:ascii="Arial" w:hAnsi="Arial" w:cs="Arial"/>
                <w:b/>
                <w:sz w:val="22"/>
                <w:szCs w:val="22"/>
                <w:lang w:val="es-MX"/>
              </w:rPr>
            </w:pPr>
          </w:p>
        </w:tc>
      </w:tr>
      <w:tr w:rsidR="00561B22" w:rsidRPr="00B51F7E" w14:paraId="6F98668A" w14:textId="77777777" w:rsidTr="00F1223B">
        <w:tc>
          <w:tcPr>
            <w:tcW w:w="846" w:type="dxa"/>
          </w:tcPr>
          <w:p w14:paraId="738C7BC3"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1</w:t>
            </w:r>
          </w:p>
        </w:tc>
        <w:tc>
          <w:tcPr>
            <w:tcW w:w="9116" w:type="dxa"/>
          </w:tcPr>
          <w:p w14:paraId="6F74D190" w14:textId="77777777" w:rsidR="00561B22" w:rsidRPr="00B51F7E" w:rsidRDefault="00561B22" w:rsidP="00F1223B">
            <w:pPr>
              <w:jc w:val="both"/>
              <w:rPr>
                <w:rFonts w:ascii="Arial" w:hAnsi="Arial" w:cs="Arial"/>
                <w:sz w:val="22"/>
                <w:szCs w:val="22"/>
                <w:lang w:val="es-MX"/>
              </w:rPr>
            </w:pPr>
            <w:r w:rsidRPr="00B51F7E">
              <w:rPr>
                <w:rFonts w:ascii="Arial" w:hAnsi="Arial" w:cs="Arial"/>
                <w:sz w:val="22"/>
                <w:szCs w:val="22"/>
                <w:lang w:val="es-CO"/>
              </w:rPr>
              <w:t xml:space="preserve">Mayor comunicación con las áreas de Almacén y OTIC para la puesta en marcha de las oportunidades de mejora identificados. </w:t>
            </w:r>
          </w:p>
        </w:tc>
      </w:tr>
      <w:tr w:rsidR="00561B22" w:rsidRPr="00B51F7E" w14:paraId="641B63F1" w14:textId="77777777" w:rsidTr="00F1223B">
        <w:tc>
          <w:tcPr>
            <w:tcW w:w="846" w:type="dxa"/>
          </w:tcPr>
          <w:p w14:paraId="44A2A542"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2</w:t>
            </w:r>
          </w:p>
        </w:tc>
        <w:tc>
          <w:tcPr>
            <w:tcW w:w="9116" w:type="dxa"/>
          </w:tcPr>
          <w:p w14:paraId="2EAAA8D3"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Actualización de inventario permanente (Cuenta de propiedad, planta y equipo) en cuanto a la individualización de los bienes, y mayor rigurosidad con los procesos y directrices impartidas, que generen mayor confiabilidad del saldo presentado en los estados financieros.</w:t>
            </w:r>
          </w:p>
        </w:tc>
      </w:tr>
      <w:tr w:rsidR="00561B22" w:rsidRPr="00B51F7E" w14:paraId="2E5FD0CF" w14:textId="77777777" w:rsidTr="00F1223B">
        <w:tc>
          <w:tcPr>
            <w:tcW w:w="846" w:type="dxa"/>
          </w:tcPr>
          <w:p w14:paraId="09D604B9"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3</w:t>
            </w:r>
          </w:p>
        </w:tc>
        <w:tc>
          <w:tcPr>
            <w:tcW w:w="9116" w:type="dxa"/>
          </w:tcPr>
          <w:p w14:paraId="727FDD75"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No se encuentra registrada la información del valor del software desarrollados por el INS.</w:t>
            </w:r>
          </w:p>
        </w:tc>
      </w:tr>
      <w:tr w:rsidR="00561B22" w:rsidRPr="00B51F7E" w14:paraId="34C36398" w14:textId="77777777" w:rsidTr="00F1223B">
        <w:tc>
          <w:tcPr>
            <w:tcW w:w="846" w:type="dxa"/>
          </w:tcPr>
          <w:p w14:paraId="2CDA600E"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4</w:t>
            </w:r>
          </w:p>
        </w:tc>
        <w:tc>
          <w:tcPr>
            <w:tcW w:w="9116" w:type="dxa"/>
          </w:tcPr>
          <w:p w14:paraId="50A3BE2B"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La OCI realizó seguimiento y evaluación gestión de inventarios bienes devolutivos, estableciendo observaciones, recomendaciones y no conformidades (Priorizar).</w:t>
            </w:r>
          </w:p>
        </w:tc>
      </w:tr>
      <w:tr w:rsidR="00561B22" w:rsidRPr="00B51F7E" w14:paraId="4007D3FA" w14:textId="77777777" w:rsidTr="00F1223B">
        <w:tc>
          <w:tcPr>
            <w:tcW w:w="846" w:type="dxa"/>
          </w:tcPr>
          <w:p w14:paraId="46D08E3E"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5</w:t>
            </w:r>
          </w:p>
        </w:tc>
        <w:tc>
          <w:tcPr>
            <w:tcW w:w="9116" w:type="dxa"/>
          </w:tcPr>
          <w:p w14:paraId="49EDBA10"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La certificación emitida por equipos de laboratorio vigencia 2024, describe que no se sufrieron daños en la vida útil los equipos de laboratorio, la certificación hace referencia únicamente a equipos de laboratorio.</w:t>
            </w:r>
          </w:p>
        </w:tc>
      </w:tr>
      <w:tr w:rsidR="00561B22" w:rsidRPr="00B51F7E" w14:paraId="39018226" w14:textId="77777777" w:rsidTr="00F1223B">
        <w:tc>
          <w:tcPr>
            <w:tcW w:w="846" w:type="dxa"/>
          </w:tcPr>
          <w:p w14:paraId="075BE156"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6</w:t>
            </w:r>
          </w:p>
        </w:tc>
        <w:tc>
          <w:tcPr>
            <w:tcW w:w="9116" w:type="dxa"/>
          </w:tcPr>
          <w:p w14:paraId="6AE0469A"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Debilidad en la formulación de planes de mejoramiento, haciendo que estos no sean efectivos.</w:t>
            </w:r>
          </w:p>
        </w:tc>
      </w:tr>
      <w:tr w:rsidR="00561B22" w:rsidRPr="00B51F7E" w14:paraId="1C7AE03C" w14:textId="77777777" w:rsidTr="00F1223B">
        <w:trPr>
          <w:trHeight w:val="567"/>
        </w:trPr>
        <w:tc>
          <w:tcPr>
            <w:tcW w:w="846" w:type="dxa"/>
          </w:tcPr>
          <w:p w14:paraId="09EABD8E"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7</w:t>
            </w:r>
          </w:p>
        </w:tc>
        <w:tc>
          <w:tcPr>
            <w:tcW w:w="9116" w:type="dxa"/>
          </w:tcPr>
          <w:p w14:paraId="0D76AA95"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Carencia del personal en el proceso de gestión financiera-contable. Procesos de contratación para el personal es engorroso, difícil, demorado.</w:t>
            </w:r>
          </w:p>
        </w:tc>
      </w:tr>
      <w:tr w:rsidR="00561B22" w:rsidRPr="00B51F7E" w14:paraId="24DBE0DD" w14:textId="77777777" w:rsidTr="00F1223B">
        <w:tc>
          <w:tcPr>
            <w:tcW w:w="846" w:type="dxa"/>
          </w:tcPr>
          <w:p w14:paraId="30F929ED"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8</w:t>
            </w:r>
          </w:p>
        </w:tc>
        <w:tc>
          <w:tcPr>
            <w:tcW w:w="9116" w:type="dxa"/>
          </w:tcPr>
          <w:p w14:paraId="61CA318D"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Falta destinación de recursos económicos para la capacitación permanente y continua de los servidores públicos que hacen parte del proceso financiero-contable PIC.</w:t>
            </w:r>
          </w:p>
        </w:tc>
      </w:tr>
      <w:tr w:rsidR="00561B22" w:rsidRPr="00B51F7E" w14:paraId="2BA05708" w14:textId="77777777" w:rsidTr="00F1223B">
        <w:tc>
          <w:tcPr>
            <w:tcW w:w="846" w:type="dxa"/>
          </w:tcPr>
          <w:p w14:paraId="224E54AE"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9</w:t>
            </w:r>
          </w:p>
        </w:tc>
        <w:tc>
          <w:tcPr>
            <w:tcW w:w="9116" w:type="dxa"/>
          </w:tcPr>
          <w:p w14:paraId="32135B3F"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Aunque existen directrices claras y socializadas para el reporte oportuno de la información financiera, algunas áreas no lo hacen.</w:t>
            </w:r>
          </w:p>
        </w:tc>
      </w:tr>
      <w:tr w:rsidR="00561B22" w:rsidRPr="00B51F7E" w14:paraId="2BFB04EF" w14:textId="77777777" w:rsidTr="00F1223B">
        <w:tc>
          <w:tcPr>
            <w:tcW w:w="846" w:type="dxa"/>
          </w:tcPr>
          <w:p w14:paraId="41378AE6"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10</w:t>
            </w:r>
          </w:p>
        </w:tc>
        <w:tc>
          <w:tcPr>
            <w:tcW w:w="9116" w:type="dxa"/>
          </w:tcPr>
          <w:p w14:paraId="0AD86DDA"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Falta de interoperabilidad e interface entre los sistemas de información que faciliten el manejo de los registros.</w:t>
            </w:r>
          </w:p>
        </w:tc>
      </w:tr>
      <w:tr w:rsidR="00561B22" w:rsidRPr="00B51F7E" w14:paraId="3E19E5DA" w14:textId="77777777" w:rsidTr="00F1223B">
        <w:tc>
          <w:tcPr>
            <w:tcW w:w="846" w:type="dxa"/>
          </w:tcPr>
          <w:p w14:paraId="57F91C44"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11</w:t>
            </w:r>
          </w:p>
        </w:tc>
        <w:tc>
          <w:tcPr>
            <w:tcW w:w="9116" w:type="dxa"/>
          </w:tcPr>
          <w:p w14:paraId="0ABE3592" w14:textId="77777777" w:rsidR="00561B22" w:rsidRPr="00B51F7E" w:rsidRDefault="00561B22" w:rsidP="00F1223B">
            <w:pPr>
              <w:jc w:val="both"/>
              <w:rPr>
                <w:rFonts w:ascii="Arial" w:hAnsi="Arial" w:cs="Arial"/>
                <w:sz w:val="22"/>
                <w:szCs w:val="22"/>
                <w:lang w:val="es-CO"/>
              </w:rPr>
            </w:pPr>
            <w:r w:rsidRPr="00B51F7E">
              <w:rPr>
                <w:rFonts w:ascii="Arial" w:hAnsi="Arial" w:cs="Arial"/>
                <w:sz w:val="22"/>
                <w:szCs w:val="22"/>
                <w:lang w:val="es-CO"/>
              </w:rPr>
              <w:t>Mayor compromiso por parte de las áreas y dependencias del INS que forman parte o están involucradas con el proceso contable, no es solo financiera-contabilidad.</w:t>
            </w:r>
          </w:p>
        </w:tc>
      </w:tr>
    </w:tbl>
    <w:p w14:paraId="02939E70" w14:textId="77777777" w:rsidR="00561B22" w:rsidRPr="00B51F7E" w:rsidRDefault="00561B22" w:rsidP="00561B22">
      <w:pPr>
        <w:pStyle w:val="Textoindependiente"/>
        <w:ind w:right="-50"/>
        <w:jc w:val="both"/>
        <w:rPr>
          <w:rFonts w:ascii="Arial" w:hAnsi="Arial" w:cs="Arial"/>
          <w:b/>
          <w:bCs/>
        </w:rPr>
      </w:pPr>
    </w:p>
    <w:p w14:paraId="7431D1AD" w14:textId="77777777" w:rsidR="00561B22" w:rsidRPr="00B51F7E" w:rsidRDefault="00561B22" w:rsidP="00561B22">
      <w:pPr>
        <w:jc w:val="both"/>
        <w:rPr>
          <w:rFonts w:ascii="Arial" w:hAnsi="Arial" w:cs="Arial"/>
          <w:b/>
          <w:lang w:val="es-MX"/>
        </w:rPr>
      </w:pPr>
      <w:r w:rsidRPr="00B51F7E">
        <w:rPr>
          <w:rFonts w:ascii="Arial" w:hAnsi="Arial" w:cs="Arial"/>
          <w:b/>
          <w:lang w:val="es-MX"/>
        </w:rPr>
        <w:t>Del citado informe retomamos las siguientes recomendaciones:</w:t>
      </w:r>
    </w:p>
    <w:p w14:paraId="3645D362" w14:textId="77777777" w:rsidR="00561B22" w:rsidRPr="00B51F7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51F7E" w14:paraId="341C2CEC" w14:textId="77777777" w:rsidTr="00F1223B">
        <w:tc>
          <w:tcPr>
            <w:tcW w:w="846" w:type="dxa"/>
          </w:tcPr>
          <w:p w14:paraId="2FCB38FC" w14:textId="77777777" w:rsidR="00561B22" w:rsidRPr="00B51F7E" w:rsidRDefault="00561B22" w:rsidP="00F1223B">
            <w:pPr>
              <w:ind w:right="-109"/>
              <w:jc w:val="center"/>
              <w:rPr>
                <w:rFonts w:ascii="Arial" w:hAnsi="Arial" w:cs="Arial"/>
                <w:b/>
                <w:sz w:val="22"/>
                <w:szCs w:val="22"/>
                <w:lang w:val="es-MX"/>
              </w:rPr>
            </w:pPr>
            <w:r w:rsidRPr="00B51F7E">
              <w:rPr>
                <w:rFonts w:ascii="Arial" w:hAnsi="Arial" w:cs="Arial"/>
                <w:b/>
                <w:sz w:val="22"/>
                <w:szCs w:val="22"/>
                <w:lang w:val="es-MX"/>
              </w:rPr>
              <w:t>N°</w:t>
            </w:r>
          </w:p>
        </w:tc>
        <w:tc>
          <w:tcPr>
            <w:tcW w:w="9116" w:type="dxa"/>
          </w:tcPr>
          <w:p w14:paraId="2255E1FB"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RECOMENDACIONES</w:t>
            </w:r>
          </w:p>
          <w:p w14:paraId="53CB2A22" w14:textId="77777777" w:rsidR="00561B22" w:rsidRPr="00B51F7E" w:rsidRDefault="00561B22" w:rsidP="00F1223B">
            <w:pPr>
              <w:jc w:val="center"/>
              <w:rPr>
                <w:rFonts w:ascii="Arial" w:hAnsi="Arial" w:cs="Arial"/>
                <w:b/>
                <w:sz w:val="22"/>
                <w:szCs w:val="22"/>
                <w:lang w:val="es-MX"/>
              </w:rPr>
            </w:pPr>
          </w:p>
        </w:tc>
      </w:tr>
      <w:tr w:rsidR="00561B22" w:rsidRPr="00B51F7E" w14:paraId="73F924E3" w14:textId="77777777" w:rsidTr="00F1223B">
        <w:tc>
          <w:tcPr>
            <w:tcW w:w="846" w:type="dxa"/>
          </w:tcPr>
          <w:p w14:paraId="37F43A05"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1</w:t>
            </w:r>
          </w:p>
        </w:tc>
        <w:tc>
          <w:tcPr>
            <w:tcW w:w="9116" w:type="dxa"/>
          </w:tcPr>
          <w:p w14:paraId="2F6294F4" w14:textId="77777777" w:rsidR="00561B22" w:rsidRPr="00B51F7E" w:rsidRDefault="00561B22" w:rsidP="00F1223B">
            <w:pPr>
              <w:jc w:val="both"/>
              <w:rPr>
                <w:rFonts w:ascii="Arial" w:hAnsi="Arial" w:cs="Arial"/>
                <w:sz w:val="22"/>
                <w:szCs w:val="22"/>
                <w:lang w:val="es-MX"/>
              </w:rPr>
            </w:pPr>
            <w:r w:rsidRPr="00B51F7E">
              <w:rPr>
                <w:rFonts w:ascii="Arial" w:hAnsi="Arial" w:cs="Arial"/>
                <w:sz w:val="22"/>
                <w:szCs w:val="22"/>
                <w:lang w:val="es-CO"/>
              </w:rPr>
              <w:t xml:space="preserve">Verificar y ajustar MPC a la normatividad vigente. </w:t>
            </w:r>
          </w:p>
        </w:tc>
      </w:tr>
      <w:tr w:rsidR="00561B22" w:rsidRPr="00B51F7E" w14:paraId="3399E1CA" w14:textId="77777777" w:rsidTr="00F1223B">
        <w:tc>
          <w:tcPr>
            <w:tcW w:w="846" w:type="dxa"/>
          </w:tcPr>
          <w:p w14:paraId="380906E9"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2</w:t>
            </w:r>
          </w:p>
        </w:tc>
        <w:tc>
          <w:tcPr>
            <w:tcW w:w="9116" w:type="dxa"/>
          </w:tcPr>
          <w:p w14:paraId="4D5AE898"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Ajustar tabla de contenido con la numeración de páginas que permita una adecuada navegación por la totalidad del documento y/o las temáticas de interés del lector del MPC.</w:t>
            </w:r>
          </w:p>
        </w:tc>
      </w:tr>
      <w:tr w:rsidR="00561B22" w:rsidRPr="00B51F7E" w14:paraId="21B51D3A" w14:textId="77777777" w:rsidTr="00F1223B">
        <w:tc>
          <w:tcPr>
            <w:tcW w:w="846" w:type="dxa"/>
          </w:tcPr>
          <w:p w14:paraId="3177E2AB"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3</w:t>
            </w:r>
          </w:p>
        </w:tc>
        <w:tc>
          <w:tcPr>
            <w:tcW w:w="9116" w:type="dxa"/>
          </w:tcPr>
          <w:p w14:paraId="5F3F7D41"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 xml:space="preserve">Se recomienda que cuando se pronuncie la CGN o cualquier ente gubernamental y haya un </w:t>
            </w:r>
            <w:r w:rsidRPr="00B51F7E">
              <w:rPr>
                <w:rFonts w:ascii="Arial" w:hAnsi="Arial" w:cs="Arial"/>
                <w:sz w:val="22"/>
                <w:szCs w:val="22"/>
                <w:lang w:val="es-CO"/>
              </w:rPr>
              <w:lastRenderedPageBreak/>
              <w:t>cambio, modificación o erogación de la norma contable, se efectúe la socialización dentro del periodo.</w:t>
            </w:r>
          </w:p>
        </w:tc>
      </w:tr>
      <w:tr w:rsidR="00561B22" w:rsidRPr="00B51F7E" w14:paraId="29252BBB" w14:textId="77777777" w:rsidTr="00F1223B">
        <w:tc>
          <w:tcPr>
            <w:tcW w:w="846" w:type="dxa"/>
          </w:tcPr>
          <w:p w14:paraId="3C2F0227"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lastRenderedPageBreak/>
              <w:t>4</w:t>
            </w:r>
          </w:p>
        </w:tc>
        <w:tc>
          <w:tcPr>
            <w:tcW w:w="9116" w:type="dxa"/>
          </w:tcPr>
          <w:p w14:paraId="727261F7"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El sistema de información SIAI se recomienda parametrización y establecer manual del usuario, así como generar información de manera confiable y oportuna.</w:t>
            </w:r>
          </w:p>
        </w:tc>
      </w:tr>
      <w:tr w:rsidR="00561B22" w:rsidRPr="00B51F7E" w14:paraId="52428EE2" w14:textId="77777777" w:rsidTr="00F1223B">
        <w:tc>
          <w:tcPr>
            <w:tcW w:w="846" w:type="dxa"/>
          </w:tcPr>
          <w:p w14:paraId="120B6719"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5</w:t>
            </w:r>
          </w:p>
        </w:tc>
        <w:tc>
          <w:tcPr>
            <w:tcW w:w="9116" w:type="dxa"/>
          </w:tcPr>
          <w:p w14:paraId="5A7EEC78"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No cuenta con interface entre contabilidad y almacén.</w:t>
            </w:r>
          </w:p>
        </w:tc>
      </w:tr>
      <w:tr w:rsidR="00561B22" w:rsidRPr="00B51F7E" w14:paraId="157323E1" w14:textId="77777777" w:rsidTr="00F1223B">
        <w:tc>
          <w:tcPr>
            <w:tcW w:w="846" w:type="dxa"/>
          </w:tcPr>
          <w:p w14:paraId="5E706564"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6</w:t>
            </w:r>
          </w:p>
        </w:tc>
        <w:tc>
          <w:tcPr>
            <w:tcW w:w="9116" w:type="dxa"/>
          </w:tcPr>
          <w:p w14:paraId="18EE9FBF"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Se recomienda, que se genere un plan de choque (Inventario Físico-bienes muebles del INS-Intangibles licencias), que permita actualizar de manera inmediata los registros de bienes y responsables.</w:t>
            </w:r>
          </w:p>
        </w:tc>
      </w:tr>
      <w:tr w:rsidR="00561B22" w:rsidRPr="00B51F7E" w14:paraId="7466E6D5" w14:textId="77777777" w:rsidTr="00F1223B">
        <w:tc>
          <w:tcPr>
            <w:tcW w:w="846" w:type="dxa"/>
          </w:tcPr>
          <w:p w14:paraId="7D3418C5"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7</w:t>
            </w:r>
          </w:p>
        </w:tc>
        <w:tc>
          <w:tcPr>
            <w:tcW w:w="9116" w:type="dxa"/>
          </w:tcPr>
          <w:p w14:paraId="52A739F2"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Realizar monitoreo y seguimiento permanente al cumplimiento de las acciones definidas en los planes de mejoramiento.</w:t>
            </w:r>
          </w:p>
        </w:tc>
      </w:tr>
      <w:tr w:rsidR="00561B22" w:rsidRPr="00B51F7E" w14:paraId="25D2D774" w14:textId="77777777" w:rsidTr="00F1223B">
        <w:tc>
          <w:tcPr>
            <w:tcW w:w="846" w:type="dxa"/>
          </w:tcPr>
          <w:p w14:paraId="2AB26521"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8</w:t>
            </w:r>
          </w:p>
        </w:tc>
        <w:tc>
          <w:tcPr>
            <w:tcW w:w="9116" w:type="dxa"/>
          </w:tcPr>
          <w:p w14:paraId="18DE5E42"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Realizar monitoreo y seguimiento permanente al cumplimiento de las acciones definidas en el mapa de riesgos.</w:t>
            </w:r>
          </w:p>
        </w:tc>
      </w:tr>
      <w:tr w:rsidR="00561B22" w:rsidRPr="00B51F7E" w14:paraId="465A453A" w14:textId="77777777" w:rsidTr="00F1223B">
        <w:tc>
          <w:tcPr>
            <w:tcW w:w="846" w:type="dxa"/>
          </w:tcPr>
          <w:p w14:paraId="24A04FF0"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9</w:t>
            </w:r>
          </w:p>
        </w:tc>
        <w:tc>
          <w:tcPr>
            <w:tcW w:w="9116" w:type="dxa"/>
          </w:tcPr>
          <w:p w14:paraId="35277903"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Se recomienda establecer controles de mejora y/o mecanismos para hacer extensiva las socializaciones de manera integral, involucrando aquellas áreas que se tienen identificadas en la radicación extemporánea de la información al interior del INS.</w:t>
            </w:r>
          </w:p>
        </w:tc>
      </w:tr>
      <w:tr w:rsidR="00561B22" w:rsidRPr="00B51F7E" w14:paraId="49BA3E2C" w14:textId="77777777" w:rsidTr="00F1223B">
        <w:tc>
          <w:tcPr>
            <w:tcW w:w="846" w:type="dxa"/>
          </w:tcPr>
          <w:p w14:paraId="101E9372"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10</w:t>
            </w:r>
          </w:p>
        </w:tc>
        <w:tc>
          <w:tcPr>
            <w:tcW w:w="9116" w:type="dxa"/>
          </w:tcPr>
          <w:p w14:paraId="000B39EF"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La evaluación de CIC es de toda la institución y no se limita únicamente al proceso de gestión financiera y gestión contable.</w:t>
            </w:r>
          </w:p>
        </w:tc>
      </w:tr>
      <w:tr w:rsidR="00561B22" w:rsidRPr="00B51F7E" w14:paraId="727707BE" w14:textId="77777777" w:rsidTr="00F1223B">
        <w:tc>
          <w:tcPr>
            <w:tcW w:w="846" w:type="dxa"/>
          </w:tcPr>
          <w:p w14:paraId="08EFE83E" w14:textId="77777777" w:rsidR="00561B22" w:rsidRPr="00B51F7E" w:rsidRDefault="00561B22" w:rsidP="00F1223B">
            <w:pPr>
              <w:jc w:val="center"/>
              <w:rPr>
                <w:rFonts w:ascii="Arial" w:hAnsi="Arial" w:cs="Arial"/>
                <w:b/>
                <w:sz w:val="22"/>
                <w:szCs w:val="22"/>
                <w:lang w:val="es-MX"/>
              </w:rPr>
            </w:pPr>
            <w:r w:rsidRPr="00B51F7E">
              <w:rPr>
                <w:rFonts w:ascii="Arial" w:hAnsi="Arial" w:cs="Arial"/>
                <w:b/>
                <w:sz w:val="22"/>
                <w:szCs w:val="22"/>
                <w:lang w:val="es-MX"/>
              </w:rPr>
              <w:t>11</w:t>
            </w:r>
          </w:p>
        </w:tc>
        <w:tc>
          <w:tcPr>
            <w:tcW w:w="9116" w:type="dxa"/>
          </w:tcPr>
          <w:p w14:paraId="76AD53DC" w14:textId="77777777" w:rsidR="00561B22" w:rsidRPr="00B51F7E" w:rsidRDefault="00561B22" w:rsidP="00F1223B">
            <w:pPr>
              <w:jc w:val="both"/>
              <w:rPr>
                <w:rFonts w:ascii="Arial" w:hAnsi="Arial" w:cs="Arial"/>
                <w:b/>
                <w:sz w:val="22"/>
                <w:szCs w:val="22"/>
                <w:lang w:val="es-MX"/>
              </w:rPr>
            </w:pPr>
            <w:r w:rsidRPr="00B51F7E">
              <w:rPr>
                <w:rFonts w:ascii="Arial" w:hAnsi="Arial" w:cs="Arial"/>
                <w:sz w:val="22"/>
                <w:szCs w:val="22"/>
                <w:lang w:val="es-CO"/>
              </w:rPr>
              <w:t>En el PIC, se recomienda crear puntos de control que incluyan por lo menos un tema por dirección, área o dependencia.</w:t>
            </w:r>
          </w:p>
        </w:tc>
      </w:tr>
    </w:tbl>
    <w:p w14:paraId="5B7108B8" w14:textId="77777777" w:rsidR="00561B22" w:rsidRPr="00B51F7E" w:rsidRDefault="00561B22" w:rsidP="00561B22">
      <w:pPr>
        <w:pStyle w:val="Textoindependiente"/>
        <w:ind w:right="-50"/>
        <w:jc w:val="both"/>
        <w:rPr>
          <w:rFonts w:ascii="Arial" w:hAnsi="Arial" w:cs="Arial"/>
          <w:b/>
          <w:bCs/>
          <w:sz w:val="28"/>
          <w:szCs w:val="28"/>
        </w:rPr>
      </w:pPr>
    </w:p>
    <w:p w14:paraId="1A686F0F" w14:textId="77777777" w:rsidR="00561B22" w:rsidRPr="00B51F7E" w:rsidRDefault="00561B22" w:rsidP="00561B22">
      <w:pPr>
        <w:jc w:val="both"/>
        <w:rPr>
          <w:rFonts w:ascii="Arial" w:hAnsi="Arial" w:cs="Arial"/>
          <w:b/>
          <w:bCs/>
          <w:sz w:val="24"/>
          <w:szCs w:val="24"/>
          <w:lang w:val="es-CO"/>
        </w:rPr>
      </w:pPr>
      <w:r w:rsidRPr="00B51F7E">
        <w:rPr>
          <w:rFonts w:ascii="Arial" w:hAnsi="Arial" w:cs="Arial"/>
          <w:b/>
          <w:bCs/>
          <w:sz w:val="24"/>
          <w:szCs w:val="24"/>
          <w:lang w:val="es-CO"/>
        </w:rPr>
        <w:t xml:space="preserve">NOTA: LA ENTIDAD ENVIA LA MATRIZ DE AUTOEVALUACIÓN DEL SISTEMA DE CONTROL INTERNO CONTABLE CON </w:t>
      </w:r>
      <w:r w:rsidRPr="00B51F7E">
        <w:rPr>
          <w:rFonts w:ascii="Arial" w:hAnsi="Arial" w:cs="Arial"/>
          <w:b/>
          <w:bCs/>
          <w:sz w:val="24"/>
          <w:szCs w:val="24"/>
          <w:u w:val="single"/>
          <w:lang w:val="es-CO"/>
        </w:rPr>
        <w:t>ACTIVIDADES DE CONTROL REALIZADAS EN FORMA PARCIAL</w:t>
      </w:r>
      <w:r w:rsidRPr="00B51F7E">
        <w:rPr>
          <w:rFonts w:ascii="Arial" w:hAnsi="Arial" w:cs="Arial"/>
          <w:b/>
          <w:bCs/>
          <w:sz w:val="24"/>
          <w:szCs w:val="24"/>
          <w:lang w:val="es-CO"/>
        </w:rPr>
        <w:t>.</w:t>
      </w:r>
    </w:p>
    <w:p w14:paraId="337961B9" w14:textId="77777777" w:rsidR="00561B22" w:rsidRDefault="00561B22" w:rsidP="00561B22">
      <w:pPr>
        <w:pStyle w:val="Textoindependiente"/>
        <w:ind w:right="-50"/>
        <w:jc w:val="both"/>
        <w:rPr>
          <w:rFonts w:ascii="Arial" w:hAnsi="Arial" w:cs="Arial"/>
          <w:b/>
          <w:bCs/>
          <w:sz w:val="28"/>
          <w:szCs w:val="28"/>
        </w:rPr>
      </w:pPr>
    </w:p>
    <w:p w14:paraId="52A6D6CA" w14:textId="77777777" w:rsidR="00561B22" w:rsidRPr="0010264A" w:rsidRDefault="00561B22" w:rsidP="00561B22">
      <w:pPr>
        <w:jc w:val="both"/>
        <w:rPr>
          <w:rFonts w:ascii="Arial" w:hAnsi="Arial" w:cs="Arial"/>
          <w:b/>
          <w:sz w:val="28"/>
          <w:szCs w:val="28"/>
          <w:lang w:val="es-MX"/>
        </w:rPr>
      </w:pPr>
      <w:r w:rsidRPr="0010264A">
        <w:rPr>
          <w:rFonts w:ascii="Arial" w:hAnsi="Arial" w:cs="Arial"/>
          <w:b/>
          <w:sz w:val="28"/>
          <w:szCs w:val="28"/>
          <w:lang w:val="es-MX"/>
        </w:rPr>
        <w:t>8.- DEPARTAMENTO ADMINISTRATIVO DIRECCIÓN NACIONAL DE INTELIGENCIA.</w:t>
      </w:r>
    </w:p>
    <w:p w14:paraId="658AE264" w14:textId="77777777" w:rsidR="00561B22" w:rsidRDefault="00561B22" w:rsidP="00561B22">
      <w:pPr>
        <w:pStyle w:val="Textoindependiente"/>
        <w:ind w:right="-50"/>
        <w:jc w:val="both"/>
        <w:rPr>
          <w:rFonts w:ascii="Arial" w:hAnsi="Arial" w:cs="Arial"/>
          <w:b/>
          <w:bCs/>
          <w:sz w:val="28"/>
          <w:szCs w:val="28"/>
          <w:lang w:val="es-MX"/>
        </w:rPr>
      </w:pPr>
    </w:p>
    <w:p w14:paraId="1C1BFC75" w14:textId="77777777" w:rsidR="00561B22" w:rsidRPr="00C76CE9" w:rsidRDefault="00561B22" w:rsidP="00561B22">
      <w:pPr>
        <w:pStyle w:val="Textoindependiente"/>
        <w:ind w:right="-50"/>
        <w:jc w:val="both"/>
        <w:rPr>
          <w:rFonts w:ascii="Arial" w:hAnsi="Arial" w:cs="Arial"/>
          <w:b/>
          <w:bCs/>
        </w:rPr>
      </w:pPr>
      <w:r w:rsidRPr="00C76CE9">
        <w:rPr>
          <w:rFonts w:ascii="Arial" w:hAnsi="Arial" w:cs="Arial"/>
          <w:b/>
          <w:bCs/>
        </w:rPr>
        <w:t>INFORME DE LA AUTOCALIFICACIÓN DEL SISTEMA DE CONTROL INTERNO CONTABLE:</w:t>
      </w:r>
    </w:p>
    <w:p w14:paraId="78B0DE15" w14:textId="77777777" w:rsidR="00561B22" w:rsidRPr="00C76CE9"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C76CE9" w14:paraId="32B18731" w14:textId="77777777" w:rsidTr="00F1223B">
        <w:tc>
          <w:tcPr>
            <w:tcW w:w="4981" w:type="dxa"/>
          </w:tcPr>
          <w:p w14:paraId="3444B3B5" w14:textId="77777777" w:rsidR="00561B22" w:rsidRPr="00C76CE9" w:rsidRDefault="00561B22" w:rsidP="00F1223B">
            <w:pPr>
              <w:jc w:val="center"/>
              <w:rPr>
                <w:rFonts w:ascii="Arial" w:hAnsi="Arial" w:cs="Arial"/>
                <w:b/>
                <w:sz w:val="22"/>
                <w:szCs w:val="22"/>
                <w:lang w:val="es-MX"/>
              </w:rPr>
            </w:pPr>
            <w:r w:rsidRPr="00C76CE9">
              <w:rPr>
                <w:rFonts w:ascii="Arial" w:hAnsi="Arial" w:cs="Arial"/>
                <w:b/>
                <w:sz w:val="22"/>
                <w:szCs w:val="22"/>
                <w:lang w:val="es-MX"/>
              </w:rPr>
              <w:t>AUTOCALIFICACIÓN</w:t>
            </w:r>
          </w:p>
        </w:tc>
        <w:tc>
          <w:tcPr>
            <w:tcW w:w="4981" w:type="dxa"/>
          </w:tcPr>
          <w:p w14:paraId="4AAEE5C5" w14:textId="77777777" w:rsidR="00561B22" w:rsidRPr="00C76CE9" w:rsidRDefault="00561B22" w:rsidP="00F1223B">
            <w:pPr>
              <w:jc w:val="center"/>
              <w:rPr>
                <w:rFonts w:ascii="Arial" w:hAnsi="Arial" w:cs="Arial"/>
                <w:b/>
                <w:sz w:val="22"/>
                <w:szCs w:val="22"/>
                <w:u w:val="single"/>
                <w:lang w:val="es-MX"/>
              </w:rPr>
            </w:pPr>
            <w:r w:rsidRPr="00C76CE9">
              <w:rPr>
                <w:rFonts w:ascii="Arial" w:hAnsi="Arial" w:cs="Arial"/>
                <w:b/>
                <w:sz w:val="22"/>
                <w:szCs w:val="22"/>
                <w:u w:val="single"/>
                <w:lang w:val="es-MX"/>
              </w:rPr>
              <w:t>4.92</w:t>
            </w:r>
          </w:p>
        </w:tc>
      </w:tr>
    </w:tbl>
    <w:p w14:paraId="5F9C275C" w14:textId="77777777" w:rsidR="00561B22" w:rsidRPr="00C76CE9" w:rsidRDefault="00561B22" w:rsidP="00561B22">
      <w:pPr>
        <w:pStyle w:val="Textoindependiente"/>
        <w:ind w:right="-50"/>
        <w:jc w:val="both"/>
        <w:rPr>
          <w:rFonts w:ascii="Arial" w:hAnsi="Arial" w:cs="Arial"/>
          <w:b/>
          <w:bCs/>
        </w:rPr>
      </w:pPr>
    </w:p>
    <w:p w14:paraId="049ED5FC" w14:textId="77777777" w:rsidR="00561B22" w:rsidRPr="00C76CE9" w:rsidRDefault="00561B22" w:rsidP="00561B22">
      <w:pPr>
        <w:pStyle w:val="Textoindependiente"/>
        <w:ind w:right="-50"/>
        <w:jc w:val="both"/>
        <w:rPr>
          <w:rFonts w:ascii="Arial" w:hAnsi="Arial" w:cs="Arial"/>
          <w:b/>
          <w:bCs/>
        </w:rPr>
      </w:pPr>
      <w:r w:rsidRPr="00C76CE9">
        <w:rPr>
          <w:rFonts w:ascii="Arial" w:hAnsi="Arial" w:cs="Arial"/>
          <w:b/>
          <w:bCs/>
        </w:rPr>
        <w:t>Del informe enviado retomamos lo siguiente:</w:t>
      </w:r>
    </w:p>
    <w:p w14:paraId="5C83C4B1" w14:textId="77777777" w:rsidR="00561B22" w:rsidRPr="00C76CE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76CE9" w14:paraId="1989088C" w14:textId="77777777" w:rsidTr="00F1223B">
        <w:tc>
          <w:tcPr>
            <w:tcW w:w="846" w:type="dxa"/>
          </w:tcPr>
          <w:p w14:paraId="461D9138" w14:textId="77777777" w:rsidR="00561B22" w:rsidRPr="00C76CE9" w:rsidRDefault="00561B22" w:rsidP="00F1223B">
            <w:pPr>
              <w:ind w:right="-109"/>
              <w:jc w:val="center"/>
              <w:rPr>
                <w:rFonts w:ascii="Arial" w:hAnsi="Arial" w:cs="Arial"/>
                <w:b/>
                <w:sz w:val="22"/>
                <w:szCs w:val="22"/>
                <w:lang w:val="es-MX"/>
              </w:rPr>
            </w:pPr>
            <w:r w:rsidRPr="00C76CE9">
              <w:rPr>
                <w:rFonts w:ascii="Arial" w:hAnsi="Arial" w:cs="Arial"/>
                <w:b/>
                <w:sz w:val="22"/>
                <w:szCs w:val="22"/>
                <w:lang w:val="es-MX"/>
              </w:rPr>
              <w:t>N°</w:t>
            </w:r>
          </w:p>
        </w:tc>
        <w:tc>
          <w:tcPr>
            <w:tcW w:w="9116" w:type="dxa"/>
          </w:tcPr>
          <w:p w14:paraId="7758DFCA" w14:textId="77777777" w:rsidR="00561B22" w:rsidRPr="00C76CE9" w:rsidRDefault="00561B22" w:rsidP="00F1223B">
            <w:pPr>
              <w:jc w:val="center"/>
              <w:rPr>
                <w:rFonts w:ascii="Arial" w:hAnsi="Arial" w:cs="Arial"/>
                <w:b/>
                <w:sz w:val="22"/>
                <w:szCs w:val="22"/>
                <w:lang w:val="es-MX"/>
              </w:rPr>
            </w:pPr>
            <w:r w:rsidRPr="00C76CE9">
              <w:rPr>
                <w:rFonts w:ascii="Arial" w:hAnsi="Arial" w:cs="Arial"/>
                <w:b/>
                <w:sz w:val="22"/>
                <w:szCs w:val="22"/>
                <w:lang w:val="es-MX"/>
              </w:rPr>
              <w:t>DEBILIDADES</w:t>
            </w:r>
          </w:p>
          <w:p w14:paraId="278E4F68" w14:textId="77777777" w:rsidR="00561B22" w:rsidRPr="00C76CE9" w:rsidRDefault="00561B22" w:rsidP="00F1223B">
            <w:pPr>
              <w:jc w:val="center"/>
              <w:rPr>
                <w:rFonts w:ascii="Arial" w:hAnsi="Arial" w:cs="Arial"/>
                <w:b/>
                <w:sz w:val="22"/>
                <w:szCs w:val="22"/>
                <w:lang w:val="es-MX"/>
              </w:rPr>
            </w:pPr>
          </w:p>
        </w:tc>
      </w:tr>
      <w:tr w:rsidR="00561B22" w:rsidRPr="00C76CE9" w14:paraId="7A371A24" w14:textId="77777777" w:rsidTr="00F1223B">
        <w:tc>
          <w:tcPr>
            <w:tcW w:w="846" w:type="dxa"/>
          </w:tcPr>
          <w:p w14:paraId="3919AC71" w14:textId="77777777" w:rsidR="00561B22" w:rsidRPr="00C76CE9" w:rsidRDefault="00561B22" w:rsidP="00F1223B">
            <w:pPr>
              <w:jc w:val="center"/>
              <w:rPr>
                <w:rFonts w:ascii="Arial" w:hAnsi="Arial" w:cs="Arial"/>
                <w:b/>
                <w:sz w:val="22"/>
                <w:szCs w:val="22"/>
                <w:lang w:val="es-MX"/>
              </w:rPr>
            </w:pPr>
            <w:r w:rsidRPr="00C76CE9">
              <w:rPr>
                <w:rFonts w:ascii="Arial" w:hAnsi="Arial" w:cs="Arial"/>
                <w:b/>
                <w:sz w:val="22"/>
                <w:szCs w:val="22"/>
                <w:lang w:val="es-MX"/>
              </w:rPr>
              <w:t>1</w:t>
            </w:r>
          </w:p>
        </w:tc>
        <w:tc>
          <w:tcPr>
            <w:tcW w:w="9116" w:type="dxa"/>
          </w:tcPr>
          <w:p w14:paraId="28F92CC4" w14:textId="77777777" w:rsidR="00561B22" w:rsidRPr="00C76CE9" w:rsidRDefault="00561B22" w:rsidP="00F1223B">
            <w:pPr>
              <w:jc w:val="both"/>
              <w:rPr>
                <w:rFonts w:ascii="Arial" w:hAnsi="Arial" w:cs="Arial"/>
                <w:sz w:val="22"/>
                <w:szCs w:val="22"/>
                <w:lang w:val="es-MX"/>
              </w:rPr>
            </w:pPr>
            <w:r w:rsidRPr="00C76CE9">
              <w:rPr>
                <w:rFonts w:ascii="Arial" w:hAnsi="Arial" w:cs="Arial"/>
                <w:sz w:val="22"/>
                <w:szCs w:val="22"/>
                <w:lang w:val="es-MX"/>
              </w:rPr>
              <w:t>Es necesario proceder con la destinación final de los bienes dados de baja con el fin de realizar una depuración de las cuentas de control, teniendo en cuenta que las bajas de bienes se ejecutan de acuerdo con los procedimientos internos y se contabilizan con los soportes correspondientes</w:t>
            </w:r>
          </w:p>
        </w:tc>
      </w:tr>
    </w:tbl>
    <w:p w14:paraId="2EF2C719" w14:textId="77777777" w:rsidR="00561B22" w:rsidRPr="00C76CE9" w:rsidRDefault="00561B22" w:rsidP="00561B22">
      <w:pPr>
        <w:pStyle w:val="Textoindependiente"/>
        <w:ind w:right="-50"/>
        <w:jc w:val="both"/>
        <w:rPr>
          <w:rFonts w:ascii="Arial" w:hAnsi="Arial" w:cs="Arial"/>
          <w:b/>
          <w:bCs/>
        </w:rPr>
      </w:pPr>
    </w:p>
    <w:p w14:paraId="32CCD2D7" w14:textId="77777777" w:rsidR="00561B22" w:rsidRPr="00C76CE9" w:rsidRDefault="00561B22" w:rsidP="00561B22">
      <w:pPr>
        <w:jc w:val="both"/>
        <w:rPr>
          <w:rFonts w:ascii="Arial" w:hAnsi="Arial" w:cs="Arial"/>
          <w:b/>
          <w:lang w:val="es-MX"/>
        </w:rPr>
      </w:pPr>
      <w:r w:rsidRPr="00C76CE9">
        <w:rPr>
          <w:rFonts w:ascii="Arial" w:hAnsi="Arial" w:cs="Arial"/>
          <w:b/>
          <w:lang w:val="es-MX"/>
        </w:rPr>
        <w:t>Del citado informe retomamos las siguientes recomendaciones:</w:t>
      </w:r>
    </w:p>
    <w:p w14:paraId="76C143E4" w14:textId="77777777" w:rsidR="00561B22" w:rsidRPr="00C76CE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76CE9" w14:paraId="2609F995" w14:textId="77777777" w:rsidTr="00F1223B">
        <w:tc>
          <w:tcPr>
            <w:tcW w:w="846" w:type="dxa"/>
          </w:tcPr>
          <w:p w14:paraId="6F566E19" w14:textId="77777777" w:rsidR="00561B22" w:rsidRPr="00C76CE9" w:rsidRDefault="00561B22" w:rsidP="00F1223B">
            <w:pPr>
              <w:ind w:right="-109"/>
              <w:jc w:val="center"/>
              <w:rPr>
                <w:rFonts w:ascii="Arial" w:hAnsi="Arial" w:cs="Arial"/>
                <w:b/>
                <w:sz w:val="22"/>
                <w:szCs w:val="22"/>
                <w:lang w:val="es-MX"/>
              </w:rPr>
            </w:pPr>
            <w:r w:rsidRPr="00C76CE9">
              <w:rPr>
                <w:rFonts w:ascii="Arial" w:hAnsi="Arial" w:cs="Arial"/>
                <w:b/>
                <w:sz w:val="22"/>
                <w:szCs w:val="22"/>
                <w:lang w:val="es-MX"/>
              </w:rPr>
              <w:t>N°</w:t>
            </w:r>
          </w:p>
        </w:tc>
        <w:tc>
          <w:tcPr>
            <w:tcW w:w="9116" w:type="dxa"/>
          </w:tcPr>
          <w:p w14:paraId="61CAA10D" w14:textId="77777777" w:rsidR="00561B22" w:rsidRPr="00C76CE9" w:rsidRDefault="00561B22" w:rsidP="00F1223B">
            <w:pPr>
              <w:jc w:val="center"/>
              <w:rPr>
                <w:rFonts w:ascii="Arial" w:hAnsi="Arial" w:cs="Arial"/>
                <w:b/>
                <w:sz w:val="22"/>
                <w:szCs w:val="22"/>
                <w:lang w:val="es-MX"/>
              </w:rPr>
            </w:pPr>
            <w:r w:rsidRPr="00C76CE9">
              <w:rPr>
                <w:rFonts w:ascii="Arial" w:hAnsi="Arial" w:cs="Arial"/>
                <w:b/>
                <w:sz w:val="22"/>
                <w:szCs w:val="22"/>
                <w:lang w:val="es-MX"/>
              </w:rPr>
              <w:t>RECOMENDACIONES</w:t>
            </w:r>
          </w:p>
          <w:p w14:paraId="3591662F" w14:textId="77777777" w:rsidR="00561B22" w:rsidRPr="00C76CE9" w:rsidRDefault="00561B22" w:rsidP="00F1223B">
            <w:pPr>
              <w:jc w:val="center"/>
              <w:rPr>
                <w:rFonts w:ascii="Arial" w:hAnsi="Arial" w:cs="Arial"/>
                <w:b/>
                <w:sz w:val="22"/>
                <w:szCs w:val="22"/>
                <w:lang w:val="es-MX"/>
              </w:rPr>
            </w:pPr>
          </w:p>
        </w:tc>
      </w:tr>
      <w:tr w:rsidR="00561B22" w:rsidRPr="00C76CE9" w14:paraId="2E8BAC38" w14:textId="77777777" w:rsidTr="00F1223B">
        <w:tc>
          <w:tcPr>
            <w:tcW w:w="846" w:type="dxa"/>
          </w:tcPr>
          <w:p w14:paraId="67B8A12B" w14:textId="77777777" w:rsidR="00561B22" w:rsidRPr="00C76CE9" w:rsidRDefault="00561B22" w:rsidP="00F1223B">
            <w:pPr>
              <w:jc w:val="center"/>
              <w:rPr>
                <w:rFonts w:ascii="Arial" w:hAnsi="Arial" w:cs="Arial"/>
                <w:b/>
                <w:sz w:val="22"/>
                <w:szCs w:val="22"/>
                <w:lang w:val="es-MX"/>
              </w:rPr>
            </w:pPr>
            <w:r w:rsidRPr="00C76CE9">
              <w:rPr>
                <w:rFonts w:ascii="Arial" w:hAnsi="Arial" w:cs="Arial"/>
                <w:b/>
                <w:sz w:val="22"/>
                <w:szCs w:val="22"/>
                <w:lang w:val="es-MX"/>
              </w:rPr>
              <w:t>1</w:t>
            </w:r>
          </w:p>
        </w:tc>
        <w:tc>
          <w:tcPr>
            <w:tcW w:w="9116" w:type="dxa"/>
          </w:tcPr>
          <w:p w14:paraId="310BD8DF" w14:textId="77777777" w:rsidR="00561B22" w:rsidRPr="00C76CE9" w:rsidRDefault="00561B22" w:rsidP="00F1223B">
            <w:pPr>
              <w:jc w:val="both"/>
              <w:rPr>
                <w:rFonts w:ascii="Arial" w:hAnsi="Arial" w:cs="Arial"/>
                <w:sz w:val="22"/>
                <w:szCs w:val="22"/>
                <w:lang w:val="es-MX"/>
              </w:rPr>
            </w:pPr>
            <w:r w:rsidRPr="00C76CE9">
              <w:rPr>
                <w:rFonts w:ascii="Arial" w:hAnsi="Arial" w:cs="Arial"/>
                <w:sz w:val="22"/>
                <w:szCs w:val="22"/>
                <w:lang w:val="es-MX"/>
              </w:rPr>
              <w:t>Continuar con la dinámica de depuración y conciliación de las cuentas, realizando los seguimientos permanentes para el mejoramiento y sostenibilidad de la calidad de la información en cuentas relacionadas con incapacidades y bienes</w:t>
            </w:r>
          </w:p>
        </w:tc>
      </w:tr>
      <w:tr w:rsidR="00561B22" w:rsidRPr="00C76CE9" w14:paraId="6DF2AED7" w14:textId="77777777" w:rsidTr="00F1223B">
        <w:tc>
          <w:tcPr>
            <w:tcW w:w="846" w:type="dxa"/>
          </w:tcPr>
          <w:p w14:paraId="3F5AA594" w14:textId="77777777" w:rsidR="00561B22" w:rsidRPr="00C76CE9" w:rsidRDefault="00561B22" w:rsidP="00F1223B">
            <w:pPr>
              <w:jc w:val="center"/>
              <w:rPr>
                <w:rFonts w:ascii="Arial" w:hAnsi="Arial" w:cs="Arial"/>
                <w:b/>
                <w:sz w:val="22"/>
                <w:szCs w:val="22"/>
                <w:lang w:val="es-MX"/>
              </w:rPr>
            </w:pPr>
            <w:r w:rsidRPr="00C76CE9">
              <w:rPr>
                <w:rFonts w:ascii="Arial" w:hAnsi="Arial" w:cs="Arial"/>
                <w:b/>
                <w:sz w:val="22"/>
                <w:szCs w:val="22"/>
                <w:lang w:val="es-MX"/>
              </w:rPr>
              <w:t>2</w:t>
            </w:r>
          </w:p>
        </w:tc>
        <w:tc>
          <w:tcPr>
            <w:tcW w:w="9116" w:type="dxa"/>
          </w:tcPr>
          <w:p w14:paraId="138EF250" w14:textId="77777777" w:rsidR="00561B22" w:rsidRPr="00C76CE9" w:rsidRDefault="00561B22" w:rsidP="00F1223B">
            <w:pPr>
              <w:jc w:val="both"/>
              <w:rPr>
                <w:rFonts w:ascii="Arial" w:hAnsi="Arial" w:cs="Arial"/>
                <w:sz w:val="22"/>
                <w:szCs w:val="22"/>
                <w:lang w:val="es-MX"/>
              </w:rPr>
            </w:pPr>
            <w:r w:rsidRPr="00C76CE9">
              <w:rPr>
                <w:rFonts w:ascii="Arial" w:hAnsi="Arial" w:cs="Arial"/>
                <w:sz w:val="22"/>
                <w:szCs w:val="22"/>
                <w:lang w:val="es-MX"/>
              </w:rPr>
              <w:t>Realizar seguimiento al plan de mejoramiento relacionado con el hallazgo en la Auditoría de Cumplimiento, realizada por la CGR en la vigencia 2024</w:t>
            </w:r>
          </w:p>
        </w:tc>
      </w:tr>
    </w:tbl>
    <w:p w14:paraId="122A6EC3" w14:textId="77777777" w:rsidR="00561B22" w:rsidRPr="00C76CE9" w:rsidRDefault="00561B22" w:rsidP="00561B22">
      <w:pPr>
        <w:pStyle w:val="Textoindependiente"/>
        <w:ind w:right="-50"/>
        <w:jc w:val="both"/>
        <w:rPr>
          <w:rFonts w:ascii="Arial" w:hAnsi="Arial" w:cs="Arial"/>
          <w:b/>
          <w:bCs/>
          <w:sz w:val="28"/>
          <w:szCs w:val="28"/>
        </w:rPr>
      </w:pPr>
    </w:p>
    <w:p w14:paraId="00E7DDAD" w14:textId="77777777" w:rsidR="00561B22" w:rsidRPr="00C76CE9" w:rsidRDefault="00561B22" w:rsidP="00561B22">
      <w:pPr>
        <w:jc w:val="both"/>
        <w:rPr>
          <w:rFonts w:ascii="Arial" w:hAnsi="Arial" w:cs="Arial"/>
          <w:b/>
          <w:bCs/>
          <w:sz w:val="24"/>
          <w:szCs w:val="24"/>
          <w:lang w:val="es-CO"/>
        </w:rPr>
      </w:pPr>
      <w:r w:rsidRPr="00C76CE9">
        <w:rPr>
          <w:rFonts w:ascii="Arial" w:hAnsi="Arial" w:cs="Arial"/>
          <w:b/>
          <w:bCs/>
          <w:sz w:val="24"/>
          <w:szCs w:val="24"/>
          <w:lang w:val="es-CO"/>
        </w:rPr>
        <w:lastRenderedPageBreak/>
        <w:t xml:space="preserve">NOTA: LA ENTIDAD ENVIA LA MATRIZ DE AUTOEVALUACIÓN DEL SISTEMA DE CONTROL INTERNO CONTABLE CON ACTIVIDADES DE CONTROL REALIZADAS </w:t>
      </w:r>
      <w:r w:rsidRPr="00C76CE9">
        <w:rPr>
          <w:rFonts w:ascii="Arial" w:hAnsi="Arial" w:cs="Arial"/>
          <w:b/>
          <w:bCs/>
          <w:sz w:val="24"/>
          <w:szCs w:val="24"/>
          <w:u w:val="single"/>
          <w:lang w:val="es-CO"/>
        </w:rPr>
        <w:t>EN FORMA PARCIAL Y OTRA SIMPLEMENTE INFORMAN QUE NO SE REALIZO</w:t>
      </w:r>
      <w:r w:rsidRPr="00C76CE9">
        <w:rPr>
          <w:rFonts w:ascii="Arial" w:hAnsi="Arial" w:cs="Arial"/>
          <w:b/>
          <w:bCs/>
          <w:sz w:val="24"/>
          <w:szCs w:val="24"/>
          <w:lang w:val="es-CO"/>
        </w:rPr>
        <w:t>.</w:t>
      </w:r>
    </w:p>
    <w:p w14:paraId="5A2FD71D" w14:textId="77777777" w:rsidR="00561B22" w:rsidRDefault="00561B22" w:rsidP="00561B22">
      <w:pPr>
        <w:pStyle w:val="Textoindependiente"/>
        <w:ind w:right="-50"/>
        <w:jc w:val="both"/>
        <w:rPr>
          <w:rFonts w:ascii="Arial" w:hAnsi="Arial" w:cs="Arial"/>
          <w:b/>
          <w:bCs/>
          <w:sz w:val="28"/>
          <w:szCs w:val="28"/>
          <w:lang w:val="es-CO"/>
        </w:rPr>
      </w:pPr>
    </w:p>
    <w:p w14:paraId="785C6640" w14:textId="77777777" w:rsidR="00561B22" w:rsidRPr="00A825C3" w:rsidRDefault="00561B22" w:rsidP="00561B22">
      <w:pPr>
        <w:jc w:val="both"/>
        <w:rPr>
          <w:rFonts w:ascii="Arial" w:hAnsi="Arial" w:cs="Arial"/>
          <w:b/>
          <w:sz w:val="28"/>
          <w:szCs w:val="28"/>
          <w:lang w:val="es-MX"/>
        </w:rPr>
      </w:pPr>
      <w:r w:rsidRPr="00A825C3">
        <w:rPr>
          <w:rFonts w:ascii="Arial" w:hAnsi="Arial" w:cs="Arial"/>
          <w:b/>
          <w:sz w:val="28"/>
          <w:szCs w:val="28"/>
          <w:lang w:val="es-MX"/>
        </w:rPr>
        <w:t>9.- CENTRO NACIONAL DE MEMORIA HISTÓRICA.</w:t>
      </w:r>
    </w:p>
    <w:p w14:paraId="0BCB8E14" w14:textId="77777777" w:rsidR="00561B22" w:rsidRPr="00A825C3" w:rsidRDefault="00561B22" w:rsidP="00561B22">
      <w:pPr>
        <w:pStyle w:val="Textoindependiente"/>
        <w:ind w:right="-50"/>
        <w:jc w:val="both"/>
        <w:rPr>
          <w:rFonts w:ascii="Arial" w:hAnsi="Arial" w:cs="Arial"/>
          <w:b/>
          <w:bCs/>
          <w:sz w:val="28"/>
          <w:szCs w:val="28"/>
          <w:lang w:val="es-MX"/>
        </w:rPr>
      </w:pPr>
    </w:p>
    <w:p w14:paraId="1B164D3D" w14:textId="77777777" w:rsidR="00561B22" w:rsidRPr="00A825C3" w:rsidRDefault="00561B22" w:rsidP="00561B22">
      <w:pPr>
        <w:pStyle w:val="Textoindependiente"/>
        <w:ind w:right="-50"/>
        <w:jc w:val="center"/>
        <w:rPr>
          <w:rFonts w:ascii="Arial" w:hAnsi="Arial" w:cs="Arial"/>
          <w:b/>
          <w:bCs/>
        </w:rPr>
      </w:pPr>
      <w:r w:rsidRPr="00A825C3">
        <w:rPr>
          <w:rFonts w:ascii="Arial" w:hAnsi="Arial" w:cs="Arial"/>
          <w:b/>
          <w:bCs/>
        </w:rPr>
        <w:t>INFORME DE LA AUTOCALIFICACIÓN DEL SISTEMA DE CONTROL INTERNO CONTABLE:</w:t>
      </w:r>
    </w:p>
    <w:p w14:paraId="419DEAF0" w14:textId="77777777" w:rsidR="00561B22" w:rsidRPr="00A825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825C3" w14:paraId="093C9DF5" w14:textId="77777777" w:rsidTr="00F1223B">
        <w:tc>
          <w:tcPr>
            <w:tcW w:w="4981" w:type="dxa"/>
          </w:tcPr>
          <w:p w14:paraId="624AC17E"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AUTOCALIFICACIÓN</w:t>
            </w:r>
          </w:p>
        </w:tc>
        <w:tc>
          <w:tcPr>
            <w:tcW w:w="4981" w:type="dxa"/>
          </w:tcPr>
          <w:p w14:paraId="68EDE37A" w14:textId="77777777" w:rsidR="00561B22" w:rsidRPr="00A825C3" w:rsidRDefault="00561B22" w:rsidP="00F1223B">
            <w:pPr>
              <w:jc w:val="center"/>
              <w:rPr>
                <w:rFonts w:ascii="Arial" w:hAnsi="Arial" w:cs="Arial"/>
                <w:b/>
                <w:sz w:val="22"/>
                <w:szCs w:val="22"/>
                <w:u w:val="single"/>
                <w:lang w:val="es-MX"/>
              </w:rPr>
            </w:pPr>
            <w:r w:rsidRPr="00A825C3">
              <w:rPr>
                <w:rFonts w:ascii="Arial" w:hAnsi="Arial" w:cs="Arial"/>
                <w:b/>
                <w:sz w:val="22"/>
                <w:szCs w:val="22"/>
                <w:u w:val="single"/>
                <w:lang w:val="es-MX"/>
              </w:rPr>
              <w:t>4.91</w:t>
            </w:r>
          </w:p>
        </w:tc>
      </w:tr>
    </w:tbl>
    <w:p w14:paraId="75848349" w14:textId="77777777" w:rsidR="00561B22" w:rsidRPr="00A825C3" w:rsidRDefault="00561B22" w:rsidP="00561B22">
      <w:pPr>
        <w:pStyle w:val="Textoindependiente"/>
        <w:ind w:right="-50"/>
        <w:jc w:val="both"/>
        <w:rPr>
          <w:rFonts w:ascii="Arial" w:hAnsi="Arial" w:cs="Arial"/>
          <w:b/>
          <w:bCs/>
        </w:rPr>
      </w:pPr>
    </w:p>
    <w:p w14:paraId="77AD8C11" w14:textId="77777777" w:rsidR="00561B22" w:rsidRPr="00A825C3" w:rsidRDefault="00561B22" w:rsidP="00561B22">
      <w:pPr>
        <w:pStyle w:val="Textoindependiente"/>
        <w:ind w:right="-50"/>
        <w:jc w:val="both"/>
        <w:rPr>
          <w:rFonts w:ascii="Arial" w:hAnsi="Arial" w:cs="Arial"/>
          <w:b/>
          <w:bCs/>
        </w:rPr>
      </w:pPr>
      <w:r w:rsidRPr="00A825C3">
        <w:rPr>
          <w:rFonts w:ascii="Arial" w:hAnsi="Arial" w:cs="Arial"/>
          <w:b/>
          <w:bCs/>
        </w:rPr>
        <w:t>Del informe enviado retomamos lo siguiente:</w:t>
      </w:r>
    </w:p>
    <w:p w14:paraId="57E34E74" w14:textId="77777777" w:rsidR="00561B22" w:rsidRPr="00A825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A825C3" w14:paraId="4284C77F" w14:textId="77777777" w:rsidTr="00F1223B">
        <w:trPr>
          <w:trHeight w:val="384"/>
        </w:trPr>
        <w:tc>
          <w:tcPr>
            <w:tcW w:w="846" w:type="dxa"/>
          </w:tcPr>
          <w:p w14:paraId="46458FBB" w14:textId="77777777" w:rsidR="00561B22" w:rsidRPr="00A825C3" w:rsidRDefault="00561B22" w:rsidP="00F1223B">
            <w:pPr>
              <w:ind w:right="-109"/>
              <w:jc w:val="center"/>
              <w:rPr>
                <w:rFonts w:ascii="Arial" w:hAnsi="Arial" w:cs="Arial"/>
                <w:b/>
                <w:sz w:val="22"/>
                <w:szCs w:val="22"/>
                <w:lang w:val="es-MX"/>
              </w:rPr>
            </w:pPr>
            <w:r w:rsidRPr="00A825C3">
              <w:rPr>
                <w:rFonts w:ascii="Arial" w:hAnsi="Arial" w:cs="Arial"/>
                <w:b/>
                <w:sz w:val="22"/>
                <w:szCs w:val="22"/>
                <w:lang w:val="es-MX"/>
              </w:rPr>
              <w:t>N°</w:t>
            </w:r>
          </w:p>
        </w:tc>
        <w:tc>
          <w:tcPr>
            <w:tcW w:w="9116" w:type="dxa"/>
          </w:tcPr>
          <w:p w14:paraId="75A7DFBB"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DEBILIDADES</w:t>
            </w:r>
          </w:p>
          <w:p w14:paraId="443F113A" w14:textId="77777777" w:rsidR="00561B22" w:rsidRPr="00A825C3" w:rsidRDefault="00561B22" w:rsidP="00F1223B">
            <w:pPr>
              <w:jc w:val="center"/>
              <w:rPr>
                <w:rFonts w:ascii="Arial" w:hAnsi="Arial" w:cs="Arial"/>
                <w:b/>
                <w:sz w:val="22"/>
                <w:szCs w:val="22"/>
                <w:lang w:val="es-MX"/>
              </w:rPr>
            </w:pPr>
          </w:p>
        </w:tc>
      </w:tr>
      <w:tr w:rsidR="00561B22" w:rsidRPr="00A825C3" w14:paraId="017F0568" w14:textId="77777777" w:rsidTr="00F1223B">
        <w:tc>
          <w:tcPr>
            <w:tcW w:w="846" w:type="dxa"/>
          </w:tcPr>
          <w:p w14:paraId="7AE61C6A"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1</w:t>
            </w:r>
          </w:p>
        </w:tc>
        <w:tc>
          <w:tcPr>
            <w:tcW w:w="9116" w:type="dxa"/>
          </w:tcPr>
          <w:p w14:paraId="68DD0112"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 xml:space="preserve">El equipo contable cuenta solo con un funcionario de planta, sin que se tenga un par de este cargo, lo cual puede generar riesgo de incumplimiento en la presentación de información en caso de ausentarse, dada la normatividad que exige la firma del Contador. </w:t>
            </w:r>
          </w:p>
        </w:tc>
      </w:tr>
      <w:tr w:rsidR="00561B22" w:rsidRPr="00A825C3" w14:paraId="3C6BC9D4" w14:textId="77777777" w:rsidTr="00F1223B">
        <w:tc>
          <w:tcPr>
            <w:tcW w:w="846" w:type="dxa"/>
          </w:tcPr>
          <w:p w14:paraId="00FF0F8C"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2</w:t>
            </w:r>
          </w:p>
        </w:tc>
        <w:tc>
          <w:tcPr>
            <w:tcW w:w="9116" w:type="dxa"/>
          </w:tcPr>
          <w:p w14:paraId="54041A24"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Sistemas de información sin interfaz con el aplicativo financiero SIIF, para que el registro de la información se genere de manera integral y sea más práctico y oportuno en especial en lo relacionado con el manejo de inventarios en el aplicativo SYSMAN y el sistema de información HUMANO.</w:t>
            </w:r>
          </w:p>
        </w:tc>
      </w:tr>
      <w:tr w:rsidR="00561B22" w:rsidRPr="00A825C3" w14:paraId="7D80AC1E" w14:textId="77777777" w:rsidTr="00F1223B">
        <w:tc>
          <w:tcPr>
            <w:tcW w:w="846" w:type="dxa"/>
          </w:tcPr>
          <w:p w14:paraId="0E2AA714"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3</w:t>
            </w:r>
          </w:p>
        </w:tc>
        <w:tc>
          <w:tcPr>
            <w:tcW w:w="9116" w:type="dxa"/>
          </w:tcPr>
          <w:p w14:paraId="155874AC"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La depreciación y amortización de los activos fijos se continúa realizando de forma manual, dado que el aplicativo que administra los activos fijos de la entidad no reporta información confiable.</w:t>
            </w:r>
          </w:p>
        </w:tc>
      </w:tr>
      <w:tr w:rsidR="00561B22" w:rsidRPr="00A825C3" w14:paraId="6E349799" w14:textId="77777777" w:rsidTr="00F1223B">
        <w:tc>
          <w:tcPr>
            <w:tcW w:w="846" w:type="dxa"/>
          </w:tcPr>
          <w:p w14:paraId="4C57FF99"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4</w:t>
            </w:r>
          </w:p>
        </w:tc>
        <w:tc>
          <w:tcPr>
            <w:tcW w:w="9116" w:type="dxa"/>
          </w:tcPr>
          <w:p w14:paraId="66F55E6E" w14:textId="77777777" w:rsidR="00561B22" w:rsidRPr="00A825C3" w:rsidRDefault="00561B22" w:rsidP="00F1223B">
            <w:pPr>
              <w:jc w:val="both"/>
              <w:rPr>
                <w:rFonts w:ascii="Arial" w:hAnsi="Arial" w:cs="Arial"/>
                <w:b/>
                <w:sz w:val="22"/>
                <w:szCs w:val="22"/>
                <w:lang w:val="es-MX"/>
              </w:rPr>
            </w:pPr>
          </w:p>
        </w:tc>
      </w:tr>
    </w:tbl>
    <w:p w14:paraId="72A8A929" w14:textId="77777777" w:rsidR="00561B22" w:rsidRPr="00A825C3" w:rsidRDefault="00561B22" w:rsidP="00561B22">
      <w:pPr>
        <w:pStyle w:val="Textoindependiente"/>
        <w:ind w:right="-50"/>
        <w:jc w:val="both"/>
        <w:rPr>
          <w:rFonts w:ascii="Arial" w:hAnsi="Arial" w:cs="Arial"/>
          <w:b/>
          <w:bCs/>
        </w:rPr>
      </w:pPr>
    </w:p>
    <w:p w14:paraId="4B6E8F57" w14:textId="77777777" w:rsidR="00561B22" w:rsidRPr="00A825C3" w:rsidRDefault="00561B22" w:rsidP="00561B22">
      <w:pPr>
        <w:jc w:val="both"/>
        <w:rPr>
          <w:rFonts w:ascii="Arial" w:hAnsi="Arial" w:cs="Arial"/>
          <w:b/>
          <w:lang w:val="es-MX"/>
        </w:rPr>
      </w:pPr>
      <w:r w:rsidRPr="00A825C3">
        <w:rPr>
          <w:rFonts w:ascii="Arial" w:hAnsi="Arial" w:cs="Arial"/>
          <w:b/>
          <w:lang w:val="es-MX"/>
        </w:rPr>
        <w:t>Del citado informe retomamos las siguientes recomendaciones:</w:t>
      </w:r>
    </w:p>
    <w:p w14:paraId="6B7DE9C6" w14:textId="77777777" w:rsidR="00561B22" w:rsidRPr="00A825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A825C3" w14:paraId="68B14D1E" w14:textId="77777777" w:rsidTr="00F1223B">
        <w:tc>
          <w:tcPr>
            <w:tcW w:w="846" w:type="dxa"/>
          </w:tcPr>
          <w:p w14:paraId="587E43B8" w14:textId="77777777" w:rsidR="00561B22" w:rsidRPr="00A825C3" w:rsidRDefault="00561B22" w:rsidP="00F1223B">
            <w:pPr>
              <w:ind w:right="-109"/>
              <w:jc w:val="center"/>
              <w:rPr>
                <w:rFonts w:ascii="Arial" w:hAnsi="Arial" w:cs="Arial"/>
                <w:b/>
                <w:sz w:val="22"/>
                <w:szCs w:val="22"/>
                <w:lang w:val="es-MX"/>
              </w:rPr>
            </w:pPr>
            <w:r w:rsidRPr="00A825C3">
              <w:rPr>
                <w:rFonts w:ascii="Arial" w:hAnsi="Arial" w:cs="Arial"/>
                <w:b/>
                <w:sz w:val="22"/>
                <w:szCs w:val="22"/>
                <w:lang w:val="es-MX"/>
              </w:rPr>
              <w:t>N°</w:t>
            </w:r>
          </w:p>
        </w:tc>
        <w:tc>
          <w:tcPr>
            <w:tcW w:w="9116" w:type="dxa"/>
          </w:tcPr>
          <w:p w14:paraId="7EF8CE2B"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RECOMENDACIONES</w:t>
            </w:r>
          </w:p>
          <w:p w14:paraId="2A0A5024" w14:textId="77777777" w:rsidR="00561B22" w:rsidRPr="00A825C3" w:rsidRDefault="00561B22" w:rsidP="00F1223B">
            <w:pPr>
              <w:jc w:val="center"/>
              <w:rPr>
                <w:rFonts w:ascii="Arial" w:hAnsi="Arial" w:cs="Arial"/>
                <w:b/>
                <w:sz w:val="22"/>
                <w:szCs w:val="22"/>
                <w:lang w:val="es-MX"/>
              </w:rPr>
            </w:pPr>
          </w:p>
        </w:tc>
      </w:tr>
      <w:tr w:rsidR="00561B22" w:rsidRPr="00A825C3" w14:paraId="27D4D966" w14:textId="77777777" w:rsidTr="00F1223B">
        <w:tc>
          <w:tcPr>
            <w:tcW w:w="846" w:type="dxa"/>
          </w:tcPr>
          <w:p w14:paraId="74E86225"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1</w:t>
            </w:r>
          </w:p>
        </w:tc>
        <w:tc>
          <w:tcPr>
            <w:tcW w:w="9116" w:type="dxa"/>
          </w:tcPr>
          <w:p w14:paraId="120A1503"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Mantener la calidad en la revelación de la información contable pública, facilitando la comprensión, interpretación y análisis de los Informes Financieros, brindando los elementos necesarios a aquellos usuarios que los consultan y puedan comprenderlos claramente obteniendo la mayor utilidad de los mismos.</w:t>
            </w:r>
          </w:p>
        </w:tc>
      </w:tr>
      <w:tr w:rsidR="00561B22" w:rsidRPr="00A825C3" w14:paraId="32B3F9B1" w14:textId="77777777" w:rsidTr="00F1223B">
        <w:tc>
          <w:tcPr>
            <w:tcW w:w="846" w:type="dxa"/>
          </w:tcPr>
          <w:p w14:paraId="2BA4F892"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2</w:t>
            </w:r>
          </w:p>
        </w:tc>
        <w:tc>
          <w:tcPr>
            <w:tcW w:w="9116" w:type="dxa"/>
          </w:tcPr>
          <w:p w14:paraId="72E0BCB2"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Continuar con la participación activa de los diferentes responsables de procesos, que suministran información relevante al área contable.</w:t>
            </w:r>
          </w:p>
        </w:tc>
      </w:tr>
      <w:tr w:rsidR="00561B22" w:rsidRPr="00A825C3" w14:paraId="75ECCDF2" w14:textId="77777777" w:rsidTr="00F1223B">
        <w:tc>
          <w:tcPr>
            <w:tcW w:w="846" w:type="dxa"/>
          </w:tcPr>
          <w:p w14:paraId="3D7ECD0C"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3</w:t>
            </w:r>
          </w:p>
        </w:tc>
        <w:tc>
          <w:tcPr>
            <w:tcW w:w="9116" w:type="dxa"/>
          </w:tcPr>
          <w:p w14:paraId="448D25B8"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Mantener la socialización de las actualizaciones realizadas en el SIG y demás manuales existentes a todos los servidores involucrados en los diferentes procesos.</w:t>
            </w:r>
          </w:p>
        </w:tc>
      </w:tr>
      <w:tr w:rsidR="00561B22" w:rsidRPr="00A825C3" w14:paraId="67A17D6F" w14:textId="77777777" w:rsidTr="00F1223B">
        <w:tc>
          <w:tcPr>
            <w:tcW w:w="846" w:type="dxa"/>
          </w:tcPr>
          <w:p w14:paraId="18A5AF68"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4</w:t>
            </w:r>
          </w:p>
        </w:tc>
        <w:tc>
          <w:tcPr>
            <w:tcW w:w="9116" w:type="dxa"/>
          </w:tcPr>
          <w:p w14:paraId="2746F13D"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Garantizar la contratación oportuna de los profesionales del equipo contable, para contar con su apoyo en los procesos de cierre e inicio de vigencia de cada periodo contable, dado que no se tiene el suficiente personal de planta y teniendo en cuenta las fechas de presentación de información a los entes de control se pueden presentar atrasos en el reporte de la misma.</w:t>
            </w:r>
          </w:p>
        </w:tc>
      </w:tr>
      <w:tr w:rsidR="00561B22" w:rsidRPr="00A825C3" w14:paraId="4CF83DE6" w14:textId="77777777" w:rsidTr="00F1223B">
        <w:tc>
          <w:tcPr>
            <w:tcW w:w="846" w:type="dxa"/>
          </w:tcPr>
          <w:p w14:paraId="39560815"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5</w:t>
            </w:r>
          </w:p>
        </w:tc>
        <w:tc>
          <w:tcPr>
            <w:tcW w:w="9116" w:type="dxa"/>
          </w:tcPr>
          <w:p w14:paraId="3480D1AA"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Siendo el proceso contable transversal a las demás áreas de la entidad, se recomienda continuar con la socialización de las políticas contables establecidas y actualizaciones que se realicen.</w:t>
            </w:r>
          </w:p>
        </w:tc>
      </w:tr>
      <w:tr w:rsidR="00561B22" w:rsidRPr="00A825C3" w14:paraId="3CDDBF4A" w14:textId="77777777" w:rsidTr="00F1223B">
        <w:tc>
          <w:tcPr>
            <w:tcW w:w="846" w:type="dxa"/>
          </w:tcPr>
          <w:p w14:paraId="6A6B83E8"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6</w:t>
            </w:r>
          </w:p>
        </w:tc>
        <w:tc>
          <w:tcPr>
            <w:tcW w:w="9116" w:type="dxa"/>
          </w:tcPr>
          <w:p w14:paraId="39B055F1"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Seguir con la calidad en la revelación de la información contable pública, facilitando la comprensión, interpretación y análisis de los Informes Financieros y Contables y brindar los elementos necesarios para que aquellos usuarios que lo consultan puedan comprenderlos claramente y obtener la mayor utilidad de los mismos.</w:t>
            </w:r>
          </w:p>
        </w:tc>
      </w:tr>
      <w:tr w:rsidR="00561B22" w:rsidRPr="00A825C3" w14:paraId="111FA1A1" w14:textId="77777777" w:rsidTr="00F1223B">
        <w:tc>
          <w:tcPr>
            <w:tcW w:w="846" w:type="dxa"/>
          </w:tcPr>
          <w:p w14:paraId="22005154"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t>7</w:t>
            </w:r>
          </w:p>
        </w:tc>
        <w:tc>
          <w:tcPr>
            <w:tcW w:w="9116" w:type="dxa"/>
          </w:tcPr>
          <w:p w14:paraId="013CB605" w14:textId="77777777" w:rsidR="00561B22" w:rsidRPr="00A825C3" w:rsidRDefault="00561B22" w:rsidP="00F1223B">
            <w:pPr>
              <w:jc w:val="both"/>
              <w:rPr>
                <w:rFonts w:ascii="Arial" w:hAnsi="Arial" w:cs="Arial"/>
                <w:sz w:val="22"/>
                <w:szCs w:val="22"/>
                <w:lang w:val="es-MX"/>
              </w:rPr>
            </w:pPr>
            <w:r w:rsidRPr="00A825C3">
              <w:rPr>
                <w:rFonts w:ascii="Arial" w:hAnsi="Arial" w:cs="Arial"/>
                <w:sz w:val="22"/>
                <w:szCs w:val="22"/>
                <w:lang w:val="es-CO"/>
              </w:rPr>
              <w:t xml:space="preserve">Cumplir con lo establecido en el Sistema Integrado de Gestión de la entidad en cuanto a la </w:t>
            </w:r>
            <w:r w:rsidRPr="00A825C3">
              <w:rPr>
                <w:rFonts w:ascii="Arial" w:hAnsi="Arial" w:cs="Arial"/>
                <w:sz w:val="22"/>
                <w:szCs w:val="22"/>
                <w:lang w:val="es-CO"/>
              </w:rPr>
              <w:lastRenderedPageBreak/>
              <w:t>realización de inventarios de los activos fijos de la entidad para su adecuado control.</w:t>
            </w:r>
          </w:p>
        </w:tc>
      </w:tr>
      <w:tr w:rsidR="00561B22" w:rsidRPr="00A825C3" w14:paraId="6AD4326A" w14:textId="77777777" w:rsidTr="00F1223B">
        <w:tc>
          <w:tcPr>
            <w:tcW w:w="846" w:type="dxa"/>
          </w:tcPr>
          <w:p w14:paraId="05885FBB" w14:textId="77777777" w:rsidR="00561B22" w:rsidRPr="00A825C3" w:rsidRDefault="00561B22" w:rsidP="00F1223B">
            <w:pPr>
              <w:jc w:val="center"/>
              <w:rPr>
                <w:rFonts w:ascii="Arial" w:hAnsi="Arial" w:cs="Arial"/>
                <w:b/>
                <w:sz w:val="22"/>
                <w:szCs w:val="22"/>
                <w:lang w:val="es-MX"/>
              </w:rPr>
            </w:pPr>
            <w:r w:rsidRPr="00A825C3">
              <w:rPr>
                <w:rFonts w:ascii="Arial" w:hAnsi="Arial" w:cs="Arial"/>
                <w:b/>
                <w:sz w:val="22"/>
                <w:szCs w:val="22"/>
                <w:lang w:val="es-MX"/>
              </w:rPr>
              <w:lastRenderedPageBreak/>
              <w:t>8</w:t>
            </w:r>
          </w:p>
        </w:tc>
        <w:tc>
          <w:tcPr>
            <w:tcW w:w="9116" w:type="dxa"/>
          </w:tcPr>
          <w:p w14:paraId="5BCD376D" w14:textId="77777777" w:rsidR="00561B22" w:rsidRPr="00A825C3" w:rsidRDefault="00561B22" w:rsidP="00F1223B">
            <w:pPr>
              <w:jc w:val="both"/>
              <w:rPr>
                <w:rFonts w:ascii="Arial" w:hAnsi="Arial" w:cs="Arial"/>
                <w:sz w:val="22"/>
                <w:szCs w:val="22"/>
                <w:lang w:val="es-CO"/>
              </w:rPr>
            </w:pPr>
            <w:r w:rsidRPr="00A825C3">
              <w:rPr>
                <w:rFonts w:ascii="Arial" w:hAnsi="Arial" w:cs="Arial"/>
                <w:sz w:val="22"/>
                <w:szCs w:val="22"/>
                <w:lang w:val="es-CO"/>
              </w:rPr>
              <w:t>Continuar con el seguimiento al Aplicativo del Manejo de los activos fijos de la entidad, para evitar la realización de procesos manuales por parte de los profesionales como es el caso del cálculo de la depreciación y amortización de los activos fijos de la entidad.</w:t>
            </w:r>
          </w:p>
        </w:tc>
      </w:tr>
    </w:tbl>
    <w:p w14:paraId="699EFE8C" w14:textId="77777777" w:rsidR="00561B22" w:rsidRDefault="00561B22" w:rsidP="00561B22">
      <w:pPr>
        <w:pStyle w:val="Textoindependiente"/>
        <w:ind w:right="-50"/>
        <w:jc w:val="both"/>
        <w:rPr>
          <w:b/>
          <w:bCs/>
          <w:sz w:val="28"/>
          <w:szCs w:val="28"/>
        </w:rPr>
      </w:pPr>
    </w:p>
    <w:p w14:paraId="13982C62" w14:textId="77777777" w:rsidR="00561B22" w:rsidRPr="001959BE" w:rsidRDefault="00561B22" w:rsidP="00561B22">
      <w:pPr>
        <w:jc w:val="both"/>
        <w:rPr>
          <w:rFonts w:ascii="Arial" w:hAnsi="Arial" w:cs="Arial"/>
          <w:b/>
          <w:bCs/>
          <w:sz w:val="24"/>
          <w:szCs w:val="24"/>
          <w:lang w:val="es-CO"/>
        </w:rPr>
      </w:pPr>
      <w:r w:rsidRPr="001959BE">
        <w:rPr>
          <w:rFonts w:ascii="Arial" w:hAnsi="Arial" w:cs="Arial"/>
          <w:b/>
          <w:bCs/>
          <w:sz w:val="24"/>
          <w:szCs w:val="24"/>
          <w:lang w:val="es-CO"/>
        </w:rPr>
        <w:t xml:space="preserve">NOTA: LA ENTIDAD </w:t>
      </w:r>
      <w:r w:rsidRPr="001959BE">
        <w:rPr>
          <w:rFonts w:ascii="Arial" w:hAnsi="Arial" w:cs="Arial"/>
          <w:b/>
          <w:bCs/>
          <w:sz w:val="24"/>
          <w:szCs w:val="24"/>
          <w:u w:val="single"/>
          <w:lang w:val="es-CO"/>
        </w:rPr>
        <w:t>NO ENVIA</w:t>
      </w:r>
      <w:r w:rsidRPr="001959BE">
        <w:rPr>
          <w:rFonts w:ascii="Arial" w:hAnsi="Arial" w:cs="Arial"/>
          <w:b/>
          <w:bCs/>
          <w:sz w:val="24"/>
          <w:szCs w:val="24"/>
          <w:lang w:val="es-CO"/>
        </w:rPr>
        <w:t xml:space="preserve"> LA MATRIZ DE AUTOEVALUACIÓN DEL SISTEMA DE CONTROL INTERNO CONTABLE.</w:t>
      </w:r>
    </w:p>
    <w:p w14:paraId="4FEB782D" w14:textId="77777777" w:rsidR="00561B22" w:rsidRPr="00A825C3" w:rsidRDefault="00561B22" w:rsidP="00561B22">
      <w:pPr>
        <w:jc w:val="both"/>
        <w:rPr>
          <w:rFonts w:ascii="Arial" w:hAnsi="Arial" w:cs="Arial"/>
          <w:b/>
          <w:bCs/>
          <w:sz w:val="24"/>
          <w:szCs w:val="24"/>
          <w:lang w:val="es-CO"/>
        </w:rPr>
      </w:pPr>
    </w:p>
    <w:p w14:paraId="176E489E" w14:textId="77777777" w:rsidR="00561B22" w:rsidRPr="001959BE" w:rsidRDefault="00561B22" w:rsidP="00561B22">
      <w:pPr>
        <w:jc w:val="both"/>
        <w:rPr>
          <w:rFonts w:ascii="Arial" w:hAnsi="Arial" w:cs="Arial"/>
          <w:b/>
          <w:sz w:val="28"/>
          <w:szCs w:val="28"/>
          <w:lang w:val="es-MX"/>
        </w:rPr>
      </w:pPr>
      <w:r w:rsidRPr="001959BE">
        <w:rPr>
          <w:rFonts w:ascii="Arial" w:hAnsi="Arial" w:cs="Arial"/>
          <w:b/>
          <w:sz w:val="28"/>
          <w:szCs w:val="28"/>
          <w:lang w:val="es-MX"/>
        </w:rPr>
        <w:t>10.- PARQUES NACIONALES NATURALES DE COLOMBIA.</w:t>
      </w:r>
    </w:p>
    <w:p w14:paraId="7CE488F2" w14:textId="77777777" w:rsidR="00561B22" w:rsidRDefault="00561B22" w:rsidP="00561B22">
      <w:pPr>
        <w:pStyle w:val="Textoindependiente"/>
        <w:ind w:right="-50"/>
        <w:jc w:val="both"/>
        <w:rPr>
          <w:rFonts w:ascii="Arial" w:hAnsi="Arial" w:cs="Arial"/>
          <w:b/>
          <w:bCs/>
          <w:sz w:val="28"/>
          <w:szCs w:val="28"/>
          <w:lang w:val="es-MX"/>
        </w:rPr>
      </w:pPr>
    </w:p>
    <w:p w14:paraId="6666AAEA" w14:textId="77777777" w:rsidR="00561B22" w:rsidRPr="001959BE" w:rsidRDefault="00561B22" w:rsidP="00561B22">
      <w:pPr>
        <w:pStyle w:val="Textoindependiente"/>
        <w:ind w:right="-50"/>
        <w:jc w:val="center"/>
        <w:rPr>
          <w:rFonts w:ascii="Arial" w:hAnsi="Arial" w:cs="Arial"/>
          <w:b/>
          <w:bCs/>
        </w:rPr>
      </w:pPr>
      <w:r w:rsidRPr="001959BE">
        <w:rPr>
          <w:rFonts w:ascii="Arial" w:hAnsi="Arial" w:cs="Arial"/>
          <w:b/>
          <w:bCs/>
        </w:rPr>
        <w:t>INFORME DE LA AUTOCALIFICACIÓN DEL SISTEMA DE CONTROL INTERNO CONTABLE:</w:t>
      </w:r>
    </w:p>
    <w:p w14:paraId="0BB7CEB8" w14:textId="77777777" w:rsidR="00561B22" w:rsidRPr="001959BE"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1959BE" w14:paraId="0565BF7E" w14:textId="77777777" w:rsidTr="00F1223B">
        <w:tc>
          <w:tcPr>
            <w:tcW w:w="4981" w:type="dxa"/>
          </w:tcPr>
          <w:p w14:paraId="2582180D" w14:textId="77777777" w:rsidR="00561B22" w:rsidRPr="001959BE" w:rsidRDefault="00561B22" w:rsidP="00F1223B">
            <w:pPr>
              <w:jc w:val="center"/>
              <w:rPr>
                <w:rFonts w:ascii="Arial" w:hAnsi="Arial" w:cs="Arial"/>
                <w:b/>
                <w:sz w:val="24"/>
                <w:szCs w:val="24"/>
                <w:lang w:val="es-MX"/>
              </w:rPr>
            </w:pPr>
            <w:r w:rsidRPr="001959BE">
              <w:rPr>
                <w:rFonts w:ascii="Arial" w:hAnsi="Arial" w:cs="Arial"/>
                <w:b/>
                <w:sz w:val="24"/>
                <w:szCs w:val="24"/>
                <w:lang w:val="es-MX"/>
              </w:rPr>
              <w:t>AUTOCALIFICACIÓN</w:t>
            </w:r>
          </w:p>
        </w:tc>
        <w:tc>
          <w:tcPr>
            <w:tcW w:w="4981" w:type="dxa"/>
          </w:tcPr>
          <w:p w14:paraId="0AE16ED6" w14:textId="77777777" w:rsidR="00561B22" w:rsidRPr="001959BE" w:rsidRDefault="00561B22" w:rsidP="00F1223B">
            <w:pPr>
              <w:jc w:val="center"/>
              <w:rPr>
                <w:rFonts w:ascii="Arial" w:hAnsi="Arial" w:cs="Arial"/>
                <w:b/>
                <w:sz w:val="24"/>
                <w:szCs w:val="24"/>
                <w:u w:val="single"/>
                <w:lang w:val="es-MX"/>
              </w:rPr>
            </w:pPr>
            <w:r w:rsidRPr="001959BE">
              <w:rPr>
                <w:rFonts w:ascii="Arial" w:hAnsi="Arial" w:cs="Arial"/>
                <w:b/>
                <w:sz w:val="24"/>
                <w:szCs w:val="24"/>
                <w:u w:val="single"/>
                <w:lang w:val="es-MX"/>
              </w:rPr>
              <w:t>4.58</w:t>
            </w:r>
          </w:p>
        </w:tc>
      </w:tr>
    </w:tbl>
    <w:p w14:paraId="2B6FFDA5" w14:textId="77777777" w:rsidR="00561B22" w:rsidRPr="001959BE" w:rsidRDefault="00561B22" w:rsidP="00561B22">
      <w:pPr>
        <w:pStyle w:val="Textoindependiente"/>
        <w:ind w:right="-50"/>
        <w:jc w:val="both"/>
        <w:rPr>
          <w:rFonts w:ascii="Arial" w:hAnsi="Arial" w:cs="Arial"/>
          <w:b/>
          <w:bCs/>
          <w:sz w:val="28"/>
          <w:szCs w:val="28"/>
        </w:rPr>
      </w:pPr>
    </w:p>
    <w:p w14:paraId="0262779D" w14:textId="77777777" w:rsidR="00561B22" w:rsidRPr="001959BE" w:rsidRDefault="00561B22" w:rsidP="00561B22">
      <w:pPr>
        <w:pStyle w:val="Textoindependiente"/>
        <w:ind w:right="-50"/>
        <w:jc w:val="both"/>
        <w:rPr>
          <w:rFonts w:ascii="Arial" w:hAnsi="Arial" w:cs="Arial"/>
          <w:b/>
          <w:bCs/>
        </w:rPr>
      </w:pPr>
      <w:r w:rsidRPr="001959BE">
        <w:rPr>
          <w:rFonts w:ascii="Arial" w:hAnsi="Arial" w:cs="Arial"/>
          <w:b/>
          <w:bCs/>
        </w:rPr>
        <w:t>Del informe enviado retomamos lo siguiente:</w:t>
      </w:r>
    </w:p>
    <w:p w14:paraId="16937F41" w14:textId="77777777" w:rsidR="00561B22" w:rsidRPr="001959B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1959BE" w14:paraId="38FD4E0D" w14:textId="77777777" w:rsidTr="00F1223B">
        <w:trPr>
          <w:trHeight w:val="384"/>
        </w:trPr>
        <w:tc>
          <w:tcPr>
            <w:tcW w:w="846" w:type="dxa"/>
          </w:tcPr>
          <w:p w14:paraId="3385A374" w14:textId="77777777" w:rsidR="00561B22" w:rsidRPr="001959BE" w:rsidRDefault="00561B22" w:rsidP="00F1223B">
            <w:pPr>
              <w:ind w:right="-109"/>
              <w:jc w:val="center"/>
              <w:rPr>
                <w:rFonts w:ascii="Arial" w:hAnsi="Arial" w:cs="Arial"/>
                <w:b/>
                <w:sz w:val="22"/>
                <w:szCs w:val="22"/>
                <w:lang w:val="es-MX"/>
              </w:rPr>
            </w:pPr>
            <w:r w:rsidRPr="001959BE">
              <w:rPr>
                <w:rFonts w:ascii="Arial" w:hAnsi="Arial" w:cs="Arial"/>
                <w:b/>
                <w:sz w:val="22"/>
                <w:szCs w:val="22"/>
                <w:lang w:val="es-MX"/>
              </w:rPr>
              <w:t>N°</w:t>
            </w:r>
          </w:p>
        </w:tc>
        <w:tc>
          <w:tcPr>
            <w:tcW w:w="9116" w:type="dxa"/>
          </w:tcPr>
          <w:p w14:paraId="28DC6485"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DEBILIDADES</w:t>
            </w:r>
          </w:p>
          <w:p w14:paraId="2A0911D1" w14:textId="77777777" w:rsidR="00561B22" w:rsidRPr="001959BE" w:rsidRDefault="00561B22" w:rsidP="00F1223B">
            <w:pPr>
              <w:jc w:val="center"/>
              <w:rPr>
                <w:rFonts w:ascii="Arial" w:hAnsi="Arial" w:cs="Arial"/>
                <w:b/>
                <w:sz w:val="22"/>
                <w:szCs w:val="22"/>
                <w:lang w:val="es-MX"/>
              </w:rPr>
            </w:pPr>
          </w:p>
        </w:tc>
      </w:tr>
      <w:tr w:rsidR="00561B22" w:rsidRPr="001959BE" w14:paraId="62644A6E" w14:textId="77777777" w:rsidTr="00F1223B">
        <w:tc>
          <w:tcPr>
            <w:tcW w:w="846" w:type="dxa"/>
          </w:tcPr>
          <w:p w14:paraId="68A81B5E"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1</w:t>
            </w:r>
          </w:p>
        </w:tc>
        <w:tc>
          <w:tcPr>
            <w:tcW w:w="9116" w:type="dxa"/>
          </w:tcPr>
          <w:p w14:paraId="142ECC67"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El proceso de Recursos Financieros, no tiene implementado Indicadores de eficacia y efectividad que midan la realidad financiera de la entidad.</w:t>
            </w:r>
          </w:p>
        </w:tc>
      </w:tr>
      <w:tr w:rsidR="00561B22" w:rsidRPr="001959BE" w14:paraId="21EC9D4D" w14:textId="77777777" w:rsidTr="00F1223B">
        <w:tc>
          <w:tcPr>
            <w:tcW w:w="846" w:type="dxa"/>
          </w:tcPr>
          <w:p w14:paraId="3C8854F3"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2</w:t>
            </w:r>
          </w:p>
        </w:tc>
        <w:tc>
          <w:tcPr>
            <w:tcW w:w="9116" w:type="dxa"/>
          </w:tcPr>
          <w:p w14:paraId="552FB2D6"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lang w:val="es-MX"/>
              </w:rPr>
              <w:t>Con relación a la revisión de las vidas útiles de la Propiedad, Planta y Equipo; y deterioro de cuentas, algunas territoriales no reportaron esta información dentro de los plazos establecidos para ello.</w:t>
            </w:r>
          </w:p>
        </w:tc>
      </w:tr>
      <w:tr w:rsidR="00561B22" w:rsidRPr="001959BE" w14:paraId="6E2BD465" w14:textId="77777777" w:rsidTr="00F1223B">
        <w:tc>
          <w:tcPr>
            <w:tcW w:w="846" w:type="dxa"/>
          </w:tcPr>
          <w:p w14:paraId="0D5B597C"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3</w:t>
            </w:r>
          </w:p>
        </w:tc>
        <w:tc>
          <w:tcPr>
            <w:tcW w:w="9116" w:type="dxa"/>
          </w:tcPr>
          <w:p w14:paraId="04849A9B"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Dentro del Plan Institucional de Capacitación no se consideraron capacitaciones para el desarrollo de competencias y actualización permanente del personal involucrado en el Proceso de Recursos Financieros</w:t>
            </w:r>
          </w:p>
        </w:tc>
      </w:tr>
      <w:tr w:rsidR="00561B22" w:rsidRPr="001959BE" w14:paraId="2D3EC373" w14:textId="77777777" w:rsidTr="00F1223B">
        <w:tc>
          <w:tcPr>
            <w:tcW w:w="846" w:type="dxa"/>
          </w:tcPr>
          <w:p w14:paraId="2280075A"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4</w:t>
            </w:r>
          </w:p>
        </w:tc>
        <w:tc>
          <w:tcPr>
            <w:tcW w:w="9116" w:type="dxa"/>
          </w:tcPr>
          <w:p w14:paraId="24A6C776"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En la Rendición de Cuentas no fueron presentados los Estados Financieros</w:t>
            </w:r>
          </w:p>
        </w:tc>
      </w:tr>
      <w:tr w:rsidR="00561B22" w:rsidRPr="001959BE" w14:paraId="7C4BCA22" w14:textId="77777777" w:rsidTr="00F1223B">
        <w:tc>
          <w:tcPr>
            <w:tcW w:w="846" w:type="dxa"/>
          </w:tcPr>
          <w:p w14:paraId="5BDCD47D"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5</w:t>
            </w:r>
          </w:p>
        </w:tc>
        <w:tc>
          <w:tcPr>
            <w:tcW w:w="9116" w:type="dxa"/>
          </w:tcPr>
          <w:p w14:paraId="41D0A4B7" w14:textId="77777777" w:rsidR="00561B22" w:rsidRPr="001959BE" w:rsidRDefault="00561B22" w:rsidP="00F1223B">
            <w:pPr>
              <w:jc w:val="both"/>
              <w:rPr>
                <w:rFonts w:ascii="Arial" w:hAnsi="Arial" w:cs="Arial"/>
                <w:sz w:val="22"/>
                <w:szCs w:val="22"/>
              </w:rPr>
            </w:pPr>
            <w:r w:rsidRPr="001959BE">
              <w:rPr>
                <w:rFonts w:ascii="Arial" w:hAnsi="Arial" w:cs="Arial"/>
                <w:sz w:val="22"/>
                <w:szCs w:val="22"/>
              </w:rPr>
              <w:t>El Área Contable del nivel central no cuenta con personal suficiente</w:t>
            </w:r>
          </w:p>
        </w:tc>
      </w:tr>
    </w:tbl>
    <w:p w14:paraId="02966966" w14:textId="77777777" w:rsidR="00561B22" w:rsidRDefault="00561B22" w:rsidP="00561B22">
      <w:pPr>
        <w:jc w:val="both"/>
        <w:rPr>
          <w:rFonts w:ascii="Arial" w:hAnsi="Arial" w:cs="Arial"/>
          <w:b/>
          <w:lang w:val="es-MX"/>
        </w:rPr>
      </w:pPr>
    </w:p>
    <w:p w14:paraId="5F562906" w14:textId="77777777" w:rsidR="00561B22" w:rsidRPr="001959BE" w:rsidRDefault="00561B22" w:rsidP="00561B22">
      <w:pPr>
        <w:jc w:val="both"/>
        <w:rPr>
          <w:rFonts w:ascii="Arial" w:hAnsi="Arial" w:cs="Arial"/>
          <w:b/>
          <w:lang w:val="es-MX"/>
        </w:rPr>
      </w:pPr>
      <w:r w:rsidRPr="001959BE">
        <w:rPr>
          <w:rFonts w:ascii="Arial" w:hAnsi="Arial" w:cs="Arial"/>
          <w:b/>
          <w:lang w:val="es-MX"/>
        </w:rPr>
        <w:t>Del citado informe retomamos las siguientes recomendaciones:</w:t>
      </w:r>
    </w:p>
    <w:p w14:paraId="0770A327" w14:textId="77777777" w:rsidR="00561B22" w:rsidRPr="001959BE"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846"/>
        <w:gridCol w:w="9116"/>
      </w:tblGrid>
      <w:tr w:rsidR="00561B22" w:rsidRPr="001959BE" w14:paraId="6F9F30CD" w14:textId="77777777" w:rsidTr="00F1223B">
        <w:tc>
          <w:tcPr>
            <w:tcW w:w="846" w:type="dxa"/>
          </w:tcPr>
          <w:p w14:paraId="072FBCBA" w14:textId="77777777" w:rsidR="00561B22" w:rsidRPr="001959BE" w:rsidRDefault="00561B22" w:rsidP="00F1223B">
            <w:pPr>
              <w:ind w:right="-109"/>
              <w:jc w:val="center"/>
              <w:rPr>
                <w:rFonts w:ascii="Arial" w:hAnsi="Arial" w:cs="Arial"/>
                <w:b/>
                <w:sz w:val="22"/>
                <w:szCs w:val="22"/>
                <w:lang w:val="es-MX"/>
              </w:rPr>
            </w:pPr>
            <w:r w:rsidRPr="001959BE">
              <w:rPr>
                <w:rFonts w:ascii="Arial" w:hAnsi="Arial" w:cs="Arial"/>
                <w:b/>
                <w:sz w:val="22"/>
                <w:szCs w:val="22"/>
                <w:lang w:val="es-MX"/>
              </w:rPr>
              <w:t>N°</w:t>
            </w:r>
          </w:p>
        </w:tc>
        <w:tc>
          <w:tcPr>
            <w:tcW w:w="9116" w:type="dxa"/>
          </w:tcPr>
          <w:p w14:paraId="4D67EFD4"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RECOMENDACIONES</w:t>
            </w:r>
          </w:p>
          <w:p w14:paraId="27688410" w14:textId="77777777" w:rsidR="00561B22" w:rsidRPr="001959BE" w:rsidRDefault="00561B22" w:rsidP="00F1223B">
            <w:pPr>
              <w:jc w:val="center"/>
              <w:rPr>
                <w:rFonts w:ascii="Arial" w:hAnsi="Arial" w:cs="Arial"/>
                <w:b/>
                <w:sz w:val="22"/>
                <w:szCs w:val="22"/>
                <w:lang w:val="es-MX"/>
              </w:rPr>
            </w:pPr>
          </w:p>
        </w:tc>
      </w:tr>
      <w:tr w:rsidR="00561B22" w:rsidRPr="001959BE" w14:paraId="4DF4CE28" w14:textId="77777777" w:rsidTr="00F1223B">
        <w:tc>
          <w:tcPr>
            <w:tcW w:w="846" w:type="dxa"/>
          </w:tcPr>
          <w:p w14:paraId="49202441"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1</w:t>
            </w:r>
          </w:p>
        </w:tc>
        <w:tc>
          <w:tcPr>
            <w:tcW w:w="9116" w:type="dxa"/>
          </w:tcPr>
          <w:p w14:paraId="711BAE26"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Generar indicadores de eficacia y efectividad que midan la realidad financiera de la entidad.</w:t>
            </w:r>
          </w:p>
        </w:tc>
      </w:tr>
      <w:tr w:rsidR="00561B22" w:rsidRPr="001959BE" w14:paraId="6D921177" w14:textId="77777777" w:rsidTr="00F1223B">
        <w:tc>
          <w:tcPr>
            <w:tcW w:w="846" w:type="dxa"/>
          </w:tcPr>
          <w:p w14:paraId="4395B32A"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2</w:t>
            </w:r>
          </w:p>
        </w:tc>
        <w:tc>
          <w:tcPr>
            <w:tcW w:w="9116" w:type="dxa"/>
          </w:tcPr>
          <w:p w14:paraId="61073BE8"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Es importante fortalecer el equipo de trabajo de Área Contable.</w:t>
            </w:r>
          </w:p>
        </w:tc>
      </w:tr>
      <w:tr w:rsidR="00561B22" w:rsidRPr="001959BE" w14:paraId="181EE0F8" w14:textId="77777777" w:rsidTr="00F1223B">
        <w:tc>
          <w:tcPr>
            <w:tcW w:w="846" w:type="dxa"/>
          </w:tcPr>
          <w:p w14:paraId="17B4E86F"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3</w:t>
            </w:r>
          </w:p>
        </w:tc>
        <w:tc>
          <w:tcPr>
            <w:tcW w:w="9116" w:type="dxa"/>
          </w:tcPr>
          <w:p w14:paraId="1245BAE0"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Incluir en la Rendición de Cuentas la presentación y explicación de los Estados Financieros.</w:t>
            </w:r>
          </w:p>
        </w:tc>
      </w:tr>
      <w:tr w:rsidR="00561B22" w:rsidRPr="001959BE" w14:paraId="718E093B" w14:textId="77777777" w:rsidTr="00F1223B">
        <w:tc>
          <w:tcPr>
            <w:tcW w:w="846" w:type="dxa"/>
          </w:tcPr>
          <w:p w14:paraId="73A94968" w14:textId="77777777" w:rsidR="00561B22" w:rsidRPr="001959BE" w:rsidRDefault="00561B22" w:rsidP="00F1223B">
            <w:pPr>
              <w:jc w:val="center"/>
              <w:rPr>
                <w:rFonts w:ascii="Arial" w:hAnsi="Arial" w:cs="Arial"/>
                <w:b/>
                <w:sz w:val="22"/>
                <w:szCs w:val="22"/>
                <w:lang w:val="es-MX"/>
              </w:rPr>
            </w:pPr>
            <w:r w:rsidRPr="001959BE">
              <w:rPr>
                <w:rFonts w:ascii="Arial" w:hAnsi="Arial" w:cs="Arial"/>
                <w:b/>
                <w:sz w:val="22"/>
                <w:szCs w:val="22"/>
                <w:lang w:val="es-MX"/>
              </w:rPr>
              <w:t>4</w:t>
            </w:r>
          </w:p>
        </w:tc>
        <w:tc>
          <w:tcPr>
            <w:tcW w:w="9116" w:type="dxa"/>
          </w:tcPr>
          <w:p w14:paraId="40720747" w14:textId="77777777" w:rsidR="00561B22" w:rsidRPr="001959BE" w:rsidRDefault="00561B22" w:rsidP="00F1223B">
            <w:pPr>
              <w:jc w:val="both"/>
              <w:rPr>
                <w:rFonts w:ascii="Arial" w:hAnsi="Arial" w:cs="Arial"/>
                <w:sz w:val="22"/>
                <w:szCs w:val="22"/>
                <w:lang w:val="es-MX"/>
              </w:rPr>
            </w:pPr>
            <w:r w:rsidRPr="001959BE">
              <w:rPr>
                <w:rFonts w:ascii="Arial" w:hAnsi="Arial" w:cs="Arial"/>
                <w:sz w:val="22"/>
                <w:szCs w:val="22"/>
              </w:rPr>
              <w:t>Incorporar dentro del Plan Institucional de Capacitación, capacitaciones para el desarrollo de competencias y actualización permanente del personal involucrado en el Proceso de Recursos Financieros.</w:t>
            </w:r>
          </w:p>
        </w:tc>
      </w:tr>
    </w:tbl>
    <w:p w14:paraId="7104FF7C" w14:textId="77777777" w:rsidR="00561B22" w:rsidRPr="001959BE" w:rsidRDefault="00561B22" w:rsidP="00561B22">
      <w:pPr>
        <w:pStyle w:val="Textoindependiente"/>
        <w:ind w:right="-50"/>
        <w:jc w:val="both"/>
        <w:rPr>
          <w:rFonts w:ascii="Arial" w:hAnsi="Arial" w:cs="Arial"/>
          <w:b/>
          <w:bCs/>
          <w:sz w:val="28"/>
          <w:szCs w:val="28"/>
        </w:rPr>
      </w:pPr>
    </w:p>
    <w:p w14:paraId="67CA3D58" w14:textId="77777777" w:rsidR="00561B22" w:rsidRPr="001959BE" w:rsidRDefault="00561B22" w:rsidP="00561B22">
      <w:pPr>
        <w:jc w:val="both"/>
        <w:rPr>
          <w:rFonts w:ascii="Arial" w:hAnsi="Arial" w:cs="Arial"/>
          <w:b/>
          <w:bCs/>
          <w:sz w:val="24"/>
          <w:szCs w:val="24"/>
          <w:lang w:val="es-CO"/>
        </w:rPr>
      </w:pPr>
      <w:r w:rsidRPr="001959BE">
        <w:rPr>
          <w:rFonts w:ascii="Arial" w:hAnsi="Arial" w:cs="Arial"/>
          <w:b/>
          <w:bCs/>
          <w:sz w:val="24"/>
          <w:szCs w:val="24"/>
          <w:lang w:val="es-CO"/>
        </w:rPr>
        <w:t xml:space="preserve">NOTA: LA ENTIDAD ENVIA LA MATRIZ DE AUTOEVALUACIÓN DEL SISTEMA DE CONTROL INTERNO CONTABLE CON ACTIVIDADES DE CONTROL REALIZADAS </w:t>
      </w:r>
      <w:r w:rsidRPr="001959BE">
        <w:rPr>
          <w:rFonts w:ascii="Arial" w:hAnsi="Arial" w:cs="Arial"/>
          <w:b/>
          <w:bCs/>
          <w:sz w:val="24"/>
          <w:szCs w:val="24"/>
          <w:u w:val="single"/>
          <w:lang w:val="es-CO"/>
        </w:rPr>
        <w:t>EN FORMA PARCIAL Y OTRAS SIMPLEMENTE INFORMAN QUE NO SE REALIZARON</w:t>
      </w:r>
      <w:r w:rsidRPr="001959BE">
        <w:rPr>
          <w:rFonts w:ascii="Arial" w:hAnsi="Arial" w:cs="Arial"/>
          <w:b/>
          <w:bCs/>
          <w:sz w:val="24"/>
          <w:szCs w:val="24"/>
          <w:lang w:val="es-CO"/>
        </w:rPr>
        <w:t>.</w:t>
      </w:r>
    </w:p>
    <w:p w14:paraId="54A03834" w14:textId="77777777" w:rsidR="00561B22" w:rsidRPr="001959BE" w:rsidRDefault="00561B22" w:rsidP="00561B22">
      <w:pPr>
        <w:ind w:left="720" w:hanging="720"/>
        <w:jc w:val="both"/>
        <w:rPr>
          <w:rFonts w:ascii="Arial" w:hAnsi="Arial" w:cs="Arial"/>
          <w:b/>
          <w:bCs/>
          <w:sz w:val="24"/>
          <w:szCs w:val="24"/>
          <w:lang w:val="es-CO"/>
        </w:rPr>
      </w:pPr>
    </w:p>
    <w:p w14:paraId="2198F790" w14:textId="77777777" w:rsidR="00561B22" w:rsidRPr="00214AD6" w:rsidRDefault="00561B22" w:rsidP="00561B22">
      <w:pPr>
        <w:jc w:val="both"/>
        <w:rPr>
          <w:rFonts w:ascii="Arial" w:hAnsi="Arial" w:cs="Arial"/>
          <w:b/>
          <w:sz w:val="28"/>
          <w:szCs w:val="28"/>
          <w:lang w:val="es-MX"/>
        </w:rPr>
      </w:pPr>
      <w:r w:rsidRPr="00214AD6">
        <w:rPr>
          <w:rFonts w:ascii="Arial" w:hAnsi="Arial" w:cs="Arial"/>
          <w:b/>
          <w:sz w:val="28"/>
          <w:szCs w:val="28"/>
          <w:lang w:val="es-MX"/>
        </w:rPr>
        <w:t>11.- INSTITUTO COLOMBIANO DE CRÉDITO EDUCATIVO Y ESTUDIOS TÉCNICOS EN EL EXTERIOR “MARIANO OSPINA PEREZ” - ICETEX.</w:t>
      </w:r>
    </w:p>
    <w:p w14:paraId="045E0C88" w14:textId="77777777" w:rsidR="00561B22" w:rsidRPr="001959BE" w:rsidRDefault="00561B22" w:rsidP="00561B22">
      <w:pPr>
        <w:pStyle w:val="Textoindependiente"/>
        <w:ind w:right="-50"/>
        <w:jc w:val="both"/>
        <w:rPr>
          <w:rFonts w:ascii="Arial" w:hAnsi="Arial" w:cs="Arial"/>
          <w:b/>
          <w:bCs/>
          <w:sz w:val="28"/>
          <w:szCs w:val="28"/>
          <w:lang w:val="es-CO"/>
        </w:rPr>
      </w:pPr>
    </w:p>
    <w:p w14:paraId="2713803E" w14:textId="77777777" w:rsidR="00561B22" w:rsidRPr="00465D5C" w:rsidRDefault="00561B22" w:rsidP="00561B22">
      <w:pPr>
        <w:pStyle w:val="Textoindependiente"/>
        <w:ind w:right="-50"/>
        <w:jc w:val="center"/>
        <w:rPr>
          <w:rFonts w:ascii="Arial" w:hAnsi="Arial" w:cs="Arial"/>
          <w:b/>
          <w:bCs/>
        </w:rPr>
      </w:pPr>
      <w:r w:rsidRPr="00465D5C">
        <w:rPr>
          <w:rFonts w:ascii="Arial" w:hAnsi="Arial" w:cs="Arial"/>
          <w:b/>
          <w:bCs/>
        </w:rPr>
        <w:t>INFORME DE LA AUTOCALIFICACIÓN DEL SISTEMA DE CONTROL INTERNO CONTABLE:</w:t>
      </w:r>
    </w:p>
    <w:p w14:paraId="322BA543" w14:textId="77777777" w:rsidR="00561B22" w:rsidRDefault="00561B22" w:rsidP="00561B22">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465D5C" w14:paraId="65AADBD9" w14:textId="77777777" w:rsidTr="00F1223B">
        <w:tc>
          <w:tcPr>
            <w:tcW w:w="4981" w:type="dxa"/>
          </w:tcPr>
          <w:p w14:paraId="4F6FD3E8"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AUTOCALIFICACIÓN</w:t>
            </w:r>
          </w:p>
        </w:tc>
        <w:tc>
          <w:tcPr>
            <w:tcW w:w="4981" w:type="dxa"/>
          </w:tcPr>
          <w:p w14:paraId="10213996" w14:textId="77777777" w:rsidR="00561B22" w:rsidRPr="00465D5C" w:rsidRDefault="00561B22" w:rsidP="00F1223B">
            <w:pPr>
              <w:jc w:val="center"/>
              <w:rPr>
                <w:rFonts w:ascii="Arial" w:hAnsi="Arial" w:cs="Arial"/>
                <w:b/>
                <w:sz w:val="22"/>
                <w:szCs w:val="22"/>
                <w:u w:val="single"/>
                <w:lang w:val="es-MX"/>
              </w:rPr>
            </w:pPr>
            <w:r w:rsidRPr="00465D5C">
              <w:rPr>
                <w:rFonts w:ascii="Arial" w:hAnsi="Arial" w:cs="Arial"/>
                <w:b/>
                <w:sz w:val="22"/>
                <w:szCs w:val="22"/>
                <w:u w:val="single"/>
                <w:lang w:val="es-MX"/>
              </w:rPr>
              <w:t>4.29</w:t>
            </w:r>
          </w:p>
        </w:tc>
      </w:tr>
    </w:tbl>
    <w:p w14:paraId="66C1020D" w14:textId="77777777" w:rsidR="00561B22" w:rsidRPr="00465D5C" w:rsidRDefault="00561B22" w:rsidP="00561B22">
      <w:pPr>
        <w:pStyle w:val="Textoindependiente"/>
        <w:ind w:right="-50"/>
        <w:jc w:val="both"/>
        <w:rPr>
          <w:rFonts w:ascii="Arial" w:hAnsi="Arial" w:cs="Arial"/>
          <w:b/>
          <w:bCs/>
        </w:rPr>
      </w:pPr>
    </w:p>
    <w:p w14:paraId="15788DFC" w14:textId="77777777" w:rsidR="00561B22" w:rsidRPr="00465D5C" w:rsidRDefault="00561B22" w:rsidP="00561B22">
      <w:pPr>
        <w:pStyle w:val="Textoindependiente"/>
        <w:ind w:right="-50"/>
        <w:jc w:val="both"/>
        <w:rPr>
          <w:rFonts w:ascii="Arial" w:hAnsi="Arial" w:cs="Arial"/>
          <w:b/>
          <w:bCs/>
        </w:rPr>
      </w:pPr>
      <w:r w:rsidRPr="00465D5C">
        <w:rPr>
          <w:rFonts w:ascii="Arial" w:hAnsi="Arial" w:cs="Arial"/>
          <w:b/>
          <w:bCs/>
        </w:rPr>
        <w:t>Del informe enviado retomamos lo siguiente:</w:t>
      </w:r>
    </w:p>
    <w:p w14:paraId="4CEBA72E" w14:textId="77777777" w:rsidR="00561B22" w:rsidRPr="00465D5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465D5C" w14:paraId="462E280E" w14:textId="77777777" w:rsidTr="00F1223B">
        <w:tc>
          <w:tcPr>
            <w:tcW w:w="846" w:type="dxa"/>
          </w:tcPr>
          <w:p w14:paraId="0779771E" w14:textId="77777777" w:rsidR="00561B22" w:rsidRPr="00465D5C" w:rsidRDefault="00561B22" w:rsidP="00F1223B">
            <w:pPr>
              <w:ind w:right="-109"/>
              <w:jc w:val="center"/>
              <w:rPr>
                <w:rFonts w:ascii="Arial" w:hAnsi="Arial" w:cs="Arial"/>
                <w:b/>
                <w:sz w:val="22"/>
                <w:szCs w:val="22"/>
                <w:lang w:val="es-MX"/>
              </w:rPr>
            </w:pPr>
            <w:r w:rsidRPr="00465D5C">
              <w:rPr>
                <w:rFonts w:ascii="Arial" w:hAnsi="Arial" w:cs="Arial"/>
                <w:b/>
                <w:sz w:val="22"/>
                <w:szCs w:val="22"/>
                <w:lang w:val="es-MX"/>
              </w:rPr>
              <w:t>N°</w:t>
            </w:r>
          </w:p>
        </w:tc>
        <w:tc>
          <w:tcPr>
            <w:tcW w:w="9116" w:type="dxa"/>
          </w:tcPr>
          <w:p w14:paraId="59DB607C"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DEBILIDADES</w:t>
            </w:r>
          </w:p>
          <w:p w14:paraId="501163CA" w14:textId="77777777" w:rsidR="00561B22" w:rsidRPr="00465D5C" w:rsidRDefault="00561B22" w:rsidP="00F1223B">
            <w:pPr>
              <w:jc w:val="center"/>
              <w:rPr>
                <w:rFonts w:ascii="Arial" w:hAnsi="Arial" w:cs="Arial"/>
                <w:b/>
                <w:sz w:val="22"/>
                <w:szCs w:val="22"/>
                <w:lang w:val="es-MX"/>
              </w:rPr>
            </w:pPr>
          </w:p>
        </w:tc>
      </w:tr>
      <w:tr w:rsidR="00561B22" w:rsidRPr="00465D5C" w14:paraId="445DC30C" w14:textId="77777777" w:rsidTr="00F1223B">
        <w:tc>
          <w:tcPr>
            <w:tcW w:w="846" w:type="dxa"/>
          </w:tcPr>
          <w:p w14:paraId="73C37B99"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1</w:t>
            </w:r>
          </w:p>
        </w:tc>
        <w:tc>
          <w:tcPr>
            <w:tcW w:w="9116" w:type="dxa"/>
          </w:tcPr>
          <w:p w14:paraId="2D69869B"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Debilidades relacionadas con la socialización y retroalimentación del personal involucrado en los procesos financieros de la entidad, de las políticas, herramientas, instrumentos de identificación y medición, conciliación y segregación de funciones entre otros.</w:t>
            </w:r>
          </w:p>
        </w:tc>
      </w:tr>
      <w:tr w:rsidR="00561B22" w:rsidRPr="00465D5C" w14:paraId="609578C6" w14:textId="77777777" w:rsidTr="00F1223B">
        <w:tc>
          <w:tcPr>
            <w:tcW w:w="846" w:type="dxa"/>
          </w:tcPr>
          <w:p w14:paraId="5C107BEC"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2</w:t>
            </w:r>
          </w:p>
        </w:tc>
        <w:tc>
          <w:tcPr>
            <w:tcW w:w="9116" w:type="dxa"/>
          </w:tcPr>
          <w:p w14:paraId="7F6F0165"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Recurrencia en las debilidades relacionadas con los registros de los hechos económicos de manera cronológica, consecutiva y en los periodos en los cuales se originaron.</w:t>
            </w:r>
          </w:p>
        </w:tc>
      </w:tr>
      <w:tr w:rsidR="00561B22" w:rsidRPr="00465D5C" w14:paraId="7170DFCF" w14:textId="77777777" w:rsidTr="00F1223B">
        <w:tc>
          <w:tcPr>
            <w:tcW w:w="846" w:type="dxa"/>
          </w:tcPr>
          <w:p w14:paraId="61473226"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3</w:t>
            </w:r>
          </w:p>
        </w:tc>
        <w:tc>
          <w:tcPr>
            <w:tcW w:w="9116" w:type="dxa"/>
          </w:tcPr>
          <w:p w14:paraId="035BBD11"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Debilidades en la actualización de procedimientos, directrices, instructivos y lineamientos enfocados a la mejora de la calidad de la información financiera.</w:t>
            </w:r>
          </w:p>
        </w:tc>
      </w:tr>
      <w:tr w:rsidR="00561B22" w:rsidRPr="00465D5C" w14:paraId="539C46EF" w14:textId="77777777" w:rsidTr="00F1223B">
        <w:tc>
          <w:tcPr>
            <w:tcW w:w="846" w:type="dxa"/>
          </w:tcPr>
          <w:p w14:paraId="1246EF9A"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4</w:t>
            </w:r>
          </w:p>
        </w:tc>
        <w:tc>
          <w:tcPr>
            <w:tcW w:w="9116" w:type="dxa"/>
          </w:tcPr>
          <w:p w14:paraId="4662B3E6"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Retrasos e incumplimientos en algunos planes de mejoramiento, que impactan en el Sistema de Control Interno Contable.</w:t>
            </w:r>
          </w:p>
        </w:tc>
      </w:tr>
      <w:tr w:rsidR="00561B22" w:rsidRPr="00465D5C" w14:paraId="3413DE54" w14:textId="77777777" w:rsidTr="00F1223B">
        <w:tc>
          <w:tcPr>
            <w:tcW w:w="846" w:type="dxa"/>
          </w:tcPr>
          <w:p w14:paraId="2D5A2A7F"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5</w:t>
            </w:r>
          </w:p>
        </w:tc>
        <w:tc>
          <w:tcPr>
            <w:tcW w:w="9116" w:type="dxa"/>
          </w:tcPr>
          <w:p w14:paraId="771D24A6"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Debilidades en la actualización y control de los inventarios físicos de los bienes de la entidad</w:t>
            </w:r>
          </w:p>
        </w:tc>
      </w:tr>
      <w:tr w:rsidR="00561B22" w:rsidRPr="00465D5C" w14:paraId="2EC6402A" w14:textId="77777777" w:rsidTr="00F1223B">
        <w:tc>
          <w:tcPr>
            <w:tcW w:w="846" w:type="dxa"/>
          </w:tcPr>
          <w:p w14:paraId="79451740"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6</w:t>
            </w:r>
          </w:p>
        </w:tc>
        <w:tc>
          <w:tcPr>
            <w:tcW w:w="9116" w:type="dxa"/>
          </w:tcPr>
          <w:p w14:paraId="6A99F12D"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Debilidades en la depuración de partidas de vigencias anteriores, resultantes de las conciliaciones realizadas y que deben ser regularizadas de manera conjunta con las áreas proveedoras de la información.</w:t>
            </w:r>
          </w:p>
        </w:tc>
      </w:tr>
      <w:tr w:rsidR="00561B22" w:rsidRPr="00465D5C" w14:paraId="16FA3E89" w14:textId="77777777" w:rsidTr="00F1223B">
        <w:tc>
          <w:tcPr>
            <w:tcW w:w="846" w:type="dxa"/>
          </w:tcPr>
          <w:p w14:paraId="0698458E"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7</w:t>
            </w:r>
          </w:p>
        </w:tc>
        <w:tc>
          <w:tcPr>
            <w:tcW w:w="9116" w:type="dxa"/>
          </w:tcPr>
          <w:p w14:paraId="1AB11834"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Debilidades relacionadas con la verificación de datos a través de herramientas como plantillas de Excel con macros, los cuales pueden contener configuraciones erróneas o no adaptarse correctamente a cambios normativos, generando eventuales errores sistemáticos en los cálculos y/o reportes.</w:t>
            </w:r>
          </w:p>
        </w:tc>
      </w:tr>
      <w:tr w:rsidR="00561B22" w:rsidRPr="00465D5C" w14:paraId="6281E189" w14:textId="77777777" w:rsidTr="00F1223B">
        <w:tc>
          <w:tcPr>
            <w:tcW w:w="846" w:type="dxa"/>
          </w:tcPr>
          <w:p w14:paraId="193DD7BA"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8</w:t>
            </w:r>
          </w:p>
        </w:tc>
        <w:tc>
          <w:tcPr>
            <w:tcW w:w="9116" w:type="dxa"/>
          </w:tcPr>
          <w:p w14:paraId="7489B8C2"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Debilidades relacionadas con el porcentaje satisfactorio en el resultado de las evaluaciones posteriores a la realización de las capacitaciones, lo cual no permite evidenciar un desarrollo de competencias y habilidades del personal involucrado en el proceso financiero de la entidad.</w:t>
            </w:r>
          </w:p>
        </w:tc>
      </w:tr>
    </w:tbl>
    <w:p w14:paraId="2BB636BD" w14:textId="77777777" w:rsidR="00561B22" w:rsidRPr="00465D5C" w:rsidRDefault="00561B22" w:rsidP="00561B22">
      <w:pPr>
        <w:pStyle w:val="Textoindependiente"/>
        <w:ind w:right="-50"/>
        <w:jc w:val="both"/>
        <w:rPr>
          <w:rFonts w:ascii="Arial" w:hAnsi="Arial" w:cs="Arial"/>
          <w:b/>
          <w:bCs/>
        </w:rPr>
      </w:pPr>
    </w:p>
    <w:p w14:paraId="085EAEB4" w14:textId="77777777" w:rsidR="00561B22" w:rsidRPr="00465D5C" w:rsidRDefault="00561B22" w:rsidP="00561B22">
      <w:pPr>
        <w:jc w:val="both"/>
        <w:rPr>
          <w:rFonts w:ascii="Arial" w:hAnsi="Arial" w:cs="Arial"/>
          <w:b/>
          <w:lang w:val="es-MX"/>
        </w:rPr>
      </w:pPr>
      <w:r w:rsidRPr="00465D5C">
        <w:rPr>
          <w:rFonts w:ascii="Arial" w:hAnsi="Arial" w:cs="Arial"/>
          <w:b/>
          <w:lang w:val="es-MX"/>
        </w:rPr>
        <w:t>Del citado informe retomamos las siguientes recomendaciones:</w:t>
      </w:r>
    </w:p>
    <w:p w14:paraId="3360F227" w14:textId="77777777" w:rsidR="00561B22" w:rsidRPr="00465D5C"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846"/>
        <w:gridCol w:w="9116"/>
      </w:tblGrid>
      <w:tr w:rsidR="00561B22" w:rsidRPr="00465D5C" w14:paraId="570A5571" w14:textId="77777777" w:rsidTr="00F1223B">
        <w:tc>
          <w:tcPr>
            <w:tcW w:w="846" w:type="dxa"/>
          </w:tcPr>
          <w:p w14:paraId="293695F1" w14:textId="77777777" w:rsidR="00561B22" w:rsidRPr="00465D5C" w:rsidRDefault="00561B22" w:rsidP="00F1223B">
            <w:pPr>
              <w:ind w:right="-109"/>
              <w:jc w:val="center"/>
              <w:rPr>
                <w:rFonts w:ascii="Arial" w:hAnsi="Arial" w:cs="Arial"/>
                <w:b/>
                <w:sz w:val="22"/>
                <w:szCs w:val="22"/>
                <w:lang w:val="es-MX"/>
              </w:rPr>
            </w:pPr>
            <w:r w:rsidRPr="00465D5C">
              <w:rPr>
                <w:rFonts w:ascii="Arial" w:hAnsi="Arial" w:cs="Arial"/>
                <w:b/>
                <w:sz w:val="22"/>
                <w:szCs w:val="22"/>
                <w:lang w:val="es-MX"/>
              </w:rPr>
              <w:t>N°</w:t>
            </w:r>
          </w:p>
          <w:p w14:paraId="2E22F4E0" w14:textId="77777777" w:rsidR="00561B22" w:rsidRPr="00465D5C" w:rsidRDefault="00561B22" w:rsidP="00F1223B">
            <w:pPr>
              <w:ind w:right="-109"/>
              <w:jc w:val="center"/>
              <w:rPr>
                <w:rFonts w:ascii="Arial" w:hAnsi="Arial" w:cs="Arial"/>
                <w:b/>
                <w:sz w:val="22"/>
                <w:szCs w:val="22"/>
                <w:lang w:val="es-MX"/>
              </w:rPr>
            </w:pPr>
          </w:p>
        </w:tc>
        <w:tc>
          <w:tcPr>
            <w:tcW w:w="9116" w:type="dxa"/>
          </w:tcPr>
          <w:p w14:paraId="0E19034E"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RECOMENDACIONES</w:t>
            </w:r>
          </w:p>
          <w:p w14:paraId="70A07736" w14:textId="77777777" w:rsidR="00561B22" w:rsidRPr="00465D5C" w:rsidRDefault="00561B22" w:rsidP="00F1223B">
            <w:pPr>
              <w:jc w:val="center"/>
              <w:rPr>
                <w:rFonts w:ascii="Arial" w:hAnsi="Arial" w:cs="Arial"/>
                <w:b/>
                <w:sz w:val="22"/>
                <w:szCs w:val="22"/>
                <w:lang w:val="es-MX"/>
              </w:rPr>
            </w:pPr>
          </w:p>
        </w:tc>
      </w:tr>
      <w:tr w:rsidR="00561B22" w:rsidRPr="00465D5C" w14:paraId="0526B495" w14:textId="77777777" w:rsidTr="00F1223B">
        <w:tc>
          <w:tcPr>
            <w:tcW w:w="846" w:type="dxa"/>
          </w:tcPr>
          <w:p w14:paraId="427CAF96"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1</w:t>
            </w:r>
          </w:p>
        </w:tc>
        <w:tc>
          <w:tcPr>
            <w:tcW w:w="9116" w:type="dxa"/>
          </w:tcPr>
          <w:p w14:paraId="4468D7AC"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Establecer mecanismos de socialización y retroalimentación del personal involucrado en los procesos financieros de la entidad, de las políticas, herramientas, instrumentos de identificación y medición, conciliación, la segregación de funciones y demás aspectos que lo comprenden.</w:t>
            </w:r>
          </w:p>
        </w:tc>
      </w:tr>
      <w:tr w:rsidR="00561B22" w:rsidRPr="00465D5C" w14:paraId="52DC89F9" w14:textId="77777777" w:rsidTr="00F1223B">
        <w:tc>
          <w:tcPr>
            <w:tcW w:w="846" w:type="dxa"/>
          </w:tcPr>
          <w:p w14:paraId="38EA7C77"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2</w:t>
            </w:r>
          </w:p>
        </w:tc>
        <w:tc>
          <w:tcPr>
            <w:tcW w:w="9116" w:type="dxa"/>
          </w:tcPr>
          <w:p w14:paraId="16B5ADE3"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Dada la interrelación de los procesos de la entidad, es necesario garantizar y fortalecer el tránsito de la información financiera, con el propósito de que fluya adecuadamente y con las características necesarias, de modo que estos insumos sean procesados adecuadamente y se logre la oportunidad y calidad en los registros contables.</w:t>
            </w:r>
          </w:p>
        </w:tc>
      </w:tr>
      <w:tr w:rsidR="00561B22" w:rsidRPr="00465D5C" w14:paraId="55A23573" w14:textId="77777777" w:rsidTr="00F1223B">
        <w:tc>
          <w:tcPr>
            <w:tcW w:w="846" w:type="dxa"/>
          </w:tcPr>
          <w:p w14:paraId="71A5EB3F"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3</w:t>
            </w:r>
          </w:p>
        </w:tc>
        <w:tc>
          <w:tcPr>
            <w:tcW w:w="9116" w:type="dxa"/>
          </w:tcPr>
          <w:p w14:paraId="053ECF45"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Actualizar los procedimientos, directrices, instructivos y lineamientos enfocados a la mejora de la calidad de la información financiera.</w:t>
            </w:r>
          </w:p>
        </w:tc>
      </w:tr>
      <w:tr w:rsidR="00561B22" w:rsidRPr="00465D5C" w14:paraId="1BCC316B" w14:textId="77777777" w:rsidTr="00F1223B">
        <w:tc>
          <w:tcPr>
            <w:tcW w:w="846" w:type="dxa"/>
          </w:tcPr>
          <w:p w14:paraId="4AE95D23"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4</w:t>
            </w:r>
          </w:p>
        </w:tc>
        <w:tc>
          <w:tcPr>
            <w:tcW w:w="9116" w:type="dxa"/>
          </w:tcPr>
          <w:p w14:paraId="75A6D1D1"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Generar actividades que le permitan al proceso financiero la constante depuración de las partidas conciliatorias y verificación de los datos financieros y las herramientas utilizadas para el tránsito de la información.</w:t>
            </w:r>
          </w:p>
        </w:tc>
      </w:tr>
      <w:tr w:rsidR="00561B22" w:rsidRPr="00465D5C" w14:paraId="2B21EA24" w14:textId="77777777" w:rsidTr="00F1223B">
        <w:tc>
          <w:tcPr>
            <w:tcW w:w="846" w:type="dxa"/>
          </w:tcPr>
          <w:p w14:paraId="03909E55"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5</w:t>
            </w:r>
          </w:p>
        </w:tc>
        <w:tc>
          <w:tcPr>
            <w:tcW w:w="9116" w:type="dxa"/>
          </w:tcPr>
          <w:p w14:paraId="5E16C8CB"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Establecer controles de verificación y seguimiento sobre la actualización de los activos físicos de la entidad.</w:t>
            </w:r>
          </w:p>
        </w:tc>
      </w:tr>
      <w:tr w:rsidR="00561B22" w:rsidRPr="00465D5C" w14:paraId="725FA633" w14:textId="77777777" w:rsidTr="00F1223B">
        <w:tc>
          <w:tcPr>
            <w:tcW w:w="846" w:type="dxa"/>
          </w:tcPr>
          <w:p w14:paraId="4F202B1D" w14:textId="77777777" w:rsidR="00561B22" w:rsidRPr="00465D5C" w:rsidRDefault="00561B22" w:rsidP="00F1223B">
            <w:pPr>
              <w:jc w:val="center"/>
              <w:rPr>
                <w:rFonts w:ascii="Arial" w:hAnsi="Arial" w:cs="Arial"/>
                <w:b/>
                <w:sz w:val="22"/>
                <w:szCs w:val="22"/>
                <w:lang w:val="es-MX"/>
              </w:rPr>
            </w:pPr>
            <w:r w:rsidRPr="00465D5C">
              <w:rPr>
                <w:rFonts w:ascii="Arial" w:hAnsi="Arial" w:cs="Arial"/>
                <w:b/>
                <w:sz w:val="22"/>
                <w:szCs w:val="22"/>
                <w:lang w:val="es-MX"/>
              </w:rPr>
              <w:t>6</w:t>
            </w:r>
          </w:p>
        </w:tc>
        <w:tc>
          <w:tcPr>
            <w:tcW w:w="9116" w:type="dxa"/>
          </w:tcPr>
          <w:p w14:paraId="2022CEAE" w14:textId="77777777" w:rsidR="00561B22" w:rsidRPr="00465D5C" w:rsidRDefault="00561B22" w:rsidP="00F1223B">
            <w:pPr>
              <w:jc w:val="both"/>
              <w:rPr>
                <w:rFonts w:ascii="Arial" w:hAnsi="Arial" w:cs="Arial"/>
                <w:sz w:val="22"/>
                <w:szCs w:val="22"/>
                <w:lang w:val="es-MX"/>
              </w:rPr>
            </w:pPr>
            <w:r w:rsidRPr="00465D5C">
              <w:rPr>
                <w:rFonts w:ascii="Arial" w:hAnsi="Arial" w:cs="Arial"/>
                <w:sz w:val="22"/>
                <w:szCs w:val="22"/>
                <w:lang w:val="es-MX"/>
              </w:rPr>
              <w:t xml:space="preserve">Fortalecer las estrategias de capacitación, evaluación y metodologías de trasmisión de conocimiento, para que los funcionarios involucrados en los procesos financieros de la entidad desarrollen competencias y habilidades enfocadas a la ejecución de actividades propias de las funciones asignadas.  </w:t>
            </w:r>
          </w:p>
        </w:tc>
      </w:tr>
    </w:tbl>
    <w:p w14:paraId="5A77ED2F" w14:textId="77777777" w:rsidR="00561B22" w:rsidRPr="00465D5C" w:rsidRDefault="00561B22" w:rsidP="00561B22">
      <w:pPr>
        <w:pStyle w:val="Textoindependiente"/>
        <w:ind w:right="-50"/>
        <w:jc w:val="both"/>
        <w:rPr>
          <w:rFonts w:ascii="Arial" w:hAnsi="Arial" w:cs="Arial"/>
          <w:b/>
          <w:bCs/>
        </w:rPr>
      </w:pPr>
    </w:p>
    <w:p w14:paraId="45D30B40" w14:textId="77777777" w:rsidR="00561B22" w:rsidRPr="00465D5C" w:rsidRDefault="00561B22" w:rsidP="00561B22">
      <w:pPr>
        <w:jc w:val="both"/>
        <w:rPr>
          <w:rFonts w:ascii="Arial" w:hAnsi="Arial" w:cs="Arial"/>
          <w:b/>
          <w:bCs/>
          <w:sz w:val="24"/>
          <w:szCs w:val="24"/>
          <w:lang w:val="es-CO"/>
        </w:rPr>
      </w:pPr>
      <w:r w:rsidRPr="00465D5C">
        <w:rPr>
          <w:rFonts w:ascii="Arial" w:hAnsi="Arial" w:cs="Arial"/>
          <w:b/>
          <w:bCs/>
          <w:sz w:val="24"/>
          <w:szCs w:val="24"/>
          <w:lang w:val="es-CO"/>
        </w:rPr>
        <w:t xml:space="preserve">NOTA: LA ENTIDAD ENVIA LA MATRIZ DE AUTOEVALUACIÓN DEL SISTEMA DE CONTROL INTERNO CONTABLE CON ACTIVIDADES DE CONTROL REALIZADAS </w:t>
      </w:r>
      <w:r w:rsidRPr="00465D5C">
        <w:rPr>
          <w:rFonts w:ascii="Arial" w:hAnsi="Arial" w:cs="Arial"/>
          <w:b/>
          <w:bCs/>
          <w:sz w:val="24"/>
          <w:szCs w:val="24"/>
          <w:u w:val="single"/>
          <w:lang w:val="es-CO"/>
        </w:rPr>
        <w:t>EN FORMA PARCIAL Y OTRAS SIMPLEMENTE INFORMAN QUE NO SE REALIZARON</w:t>
      </w:r>
      <w:r w:rsidRPr="00465D5C">
        <w:rPr>
          <w:rFonts w:ascii="Arial" w:hAnsi="Arial" w:cs="Arial"/>
          <w:b/>
          <w:bCs/>
          <w:sz w:val="24"/>
          <w:szCs w:val="24"/>
          <w:lang w:val="es-CO"/>
        </w:rPr>
        <w:t>.</w:t>
      </w:r>
    </w:p>
    <w:p w14:paraId="4C6374A9" w14:textId="77777777" w:rsidR="00561B22" w:rsidRPr="00465D5C" w:rsidRDefault="00561B22" w:rsidP="00561B22">
      <w:pPr>
        <w:pStyle w:val="Textoindependiente"/>
        <w:tabs>
          <w:tab w:val="left" w:pos="2055"/>
        </w:tabs>
        <w:spacing w:before="5"/>
        <w:rPr>
          <w:rFonts w:ascii="Arial" w:hAnsi="Arial" w:cs="Arial"/>
          <w:sz w:val="17"/>
        </w:rPr>
      </w:pPr>
    </w:p>
    <w:p w14:paraId="1E7F4C24" w14:textId="77777777" w:rsidR="00561B22" w:rsidRDefault="00561B22" w:rsidP="00561B22">
      <w:pPr>
        <w:ind w:left="-284"/>
        <w:jc w:val="both"/>
        <w:rPr>
          <w:rFonts w:ascii="Arial" w:hAnsi="Arial" w:cs="Arial"/>
          <w:b/>
        </w:rPr>
      </w:pPr>
    </w:p>
    <w:p w14:paraId="1498C544" w14:textId="77777777" w:rsidR="00561B22" w:rsidRPr="0082489B" w:rsidRDefault="00561B22" w:rsidP="00561B22">
      <w:pPr>
        <w:ind w:right="49"/>
        <w:jc w:val="both"/>
        <w:rPr>
          <w:rFonts w:ascii="Arial" w:hAnsi="Arial" w:cs="Arial"/>
          <w:b/>
          <w:sz w:val="28"/>
          <w:szCs w:val="28"/>
          <w:lang w:val="es-MX"/>
        </w:rPr>
      </w:pPr>
      <w:r w:rsidRPr="0082489B">
        <w:rPr>
          <w:rFonts w:ascii="Arial" w:hAnsi="Arial" w:cs="Arial"/>
          <w:b/>
          <w:sz w:val="28"/>
          <w:szCs w:val="28"/>
          <w:lang w:val="es-MX"/>
        </w:rPr>
        <w:t>12.- FONDO DE PREVISIÓN SOCIAL DEL CONGRESO DE LA REPÚBLICA – ADMINISTRADORA DE PENSIONES Y CESANTÍAS – FONPRECON.</w:t>
      </w:r>
    </w:p>
    <w:p w14:paraId="43D4806B" w14:textId="77777777" w:rsidR="00561B22" w:rsidRDefault="00561B22" w:rsidP="00561B22">
      <w:pPr>
        <w:ind w:left="-284"/>
        <w:jc w:val="both"/>
        <w:rPr>
          <w:rFonts w:ascii="Arial" w:hAnsi="Arial" w:cs="Arial"/>
          <w:b/>
        </w:rPr>
      </w:pPr>
    </w:p>
    <w:p w14:paraId="4A4F63FC" w14:textId="77777777" w:rsidR="00561B22" w:rsidRPr="008F2EC7" w:rsidRDefault="00561B22" w:rsidP="00561B22">
      <w:pPr>
        <w:pStyle w:val="Textoindependiente"/>
        <w:ind w:right="-50"/>
        <w:jc w:val="center"/>
        <w:rPr>
          <w:rFonts w:ascii="Arial" w:hAnsi="Arial" w:cs="Arial"/>
          <w:b/>
          <w:bCs/>
        </w:rPr>
      </w:pPr>
      <w:r w:rsidRPr="008F2EC7">
        <w:rPr>
          <w:rFonts w:ascii="Arial" w:hAnsi="Arial" w:cs="Arial"/>
          <w:b/>
          <w:bCs/>
        </w:rPr>
        <w:t>INFORME DE LA AUTOCALIFICACIÓN DEL SISTEMA DE CONTROL INTERNO CONTABLE:</w:t>
      </w:r>
    </w:p>
    <w:p w14:paraId="62BB8F97" w14:textId="77777777" w:rsidR="00561B22" w:rsidRPr="008F2EC7"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F2EC7" w14:paraId="6E496C8E" w14:textId="77777777" w:rsidTr="00F1223B">
        <w:tc>
          <w:tcPr>
            <w:tcW w:w="4981" w:type="dxa"/>
          </w:tcPr>
          <w:p w14:paraId="508073EA"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AUTOCALIFICACIÓN</w:t>
            </w:r>
          </w:p>
        </w:tc>
        <w:tc>
          <w:tcPr>
            <w:tcW w:w="4981" w:type="dxa"/>
          </w:tcPr>
          <w:p w14:paraId="6AEBAC99" w14:textId="77777777" w:rsidR="00561B22" w:rsidRPr="008F2EC7" w:rsidRDefault="00561B22" w:rsidP="00F1223B">
            <w:pPr>
              <w:jc w:val="center"/>
              <w:rPr>
                <w:rFonts w:ascii="Arial" w:hAnsi="Arial" w:cs="Arial"/>
                <w:b/>
                <w:sz w:val="22"/>
                <w:szCs w:val="22"/>
                <w:u w:val="single"/>
                <w:lang w:val="es-MX"/>
              </w:rPr>
            </w:pPr>
            <w:r w:rsidRPr="008F2EC7">
              <w:rPr>
                <w:rFonts w:ascii="Arial" w:hAnsi="Arial" w:cs="Arial"/>
                <w:b/>
                <w:sz w:val="22"/>
                <w:szCs w:val="22"/>
                <w:u w:val="single"/>
                <w:lang w:val="es-MX"/>
              </w:rPr>
              <w:t>4.92</w:t>
            </w:r>
          </w:p>
        </w:tc>
      </w:tr>
    </w:tbl>
    <w:p w14:paraId="11D670E9" w14:textId="77777777" w:rsidR="00561B22" w:rsidRPr="008F2EC7" w:rsidRDefault="00561B22" w:rsidP="00561B22">
      <w:pPr>
        <w:pStyle w:val="Textoindependiente"/>
        <w:ind w:right="-50"/>
        <w:jc w:val="both"/>
        <w:rPr>
          <w:rFonts w:ascii="Arial" w:hAnsi="Arial" w:cs="Arial"/>
          <w:b/>
          <w:bCs/>
        </w:rPr>
      </w:pPr>
    </w:p>
    <w:p w14:paraId="6AB64EB8" w14:textId="77777777" w:rsidR="00561B22" w:rsidRPr="008F2EC7" w:rsidRDefault="00561B22" w:rsidP="00561B22">
      <w:pPr>
        <w:pStyle w:val="Textoindependiente"/>
        <w:ind w:right="-50"/>
        <w:jc w:val="both"/>
        <w:rPr>
          <w:rFonts w:ascii="Arial" w:hAnsi="Arial" w:cs="Arial"/>
          <w:b/>
          <w:bCs/>
        </w:rPr>
      </w:pPr>
      <w:r w:rsidRPr="008F2EC7">
        <w:rPr>
          <w:rFonts w:ascii="Arial" w:hAnsi="Arial" w:cs="Arial"/>
          <w:b/>
          <w:bCs/>
        </w:rPr>
        <w:t>Del informe enviado retomamos lo siguiente:</w:t>
      </w:r>
    </w:p>
    <w:p w14:paraId="6EF6CBE5" w14:textId="77777777" w:rsidR="00561B22" w:rsidRPr="008F2EC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F2EC7" w14:paraId="330B8CD9" w14:textId="77777777" w:rsidTr="00F1223B">
        <w:tc>
          <w:tcPr>
            <w:tcW w:w="846" w:type="dxa"/>
          </w:tcPr>
          <w:p w14:paraId="0CF91558" w14:textId="77777777" w:rsidR="00561B22" w:rsidRPr="008F2EC7" w:rsidRDefault="00561B22" w:rsidP="00F1223B">
            <w:pPr>
              <w:ind w:right="-109"/>
              <w:jc w:val="center"/>
              <w:rPr>
                <w:rFonts w:ascii="Arial" w:hAnsi="Arial" w:cs="Arial"/>
                <w:b/>
                <w:sz w:val="22"/>
                <w:szCs w:val="22"/>
                <w:lang w:val="es-MX"/>
              </w:rPr>
            </w:pPr>
            <w:r w:rsidRPr="008F2EC7">
              <w:rPr>
                <w:rFonts w:ascii="Arial" w:hAnsi="Arial" w:cs="Arial"/>
                <w:b/>
                <w:sz w:val="22"/>
                <w:szCs w:val="22"/>
                <w:lang w:val="es-MX"/>
              </w:rPr>
              <w:t>N°</w:t>
            </w:r>
          </w:p>
        </w:tc>
        <w:tc>
          <w:tcPr>
            <w:tcW w:w="9116" w:type="dxa"/>
          </w:tcPr>
          <w:p w14:paraId="4AB47BE7"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DEBILIDADES</w:t>
            </w:r>
          </w:p>
          <w:p w14:paraId="090229D5" w14:textId="77777777" w:rsidR="00561B22" w:rsidRPr="008F2EC7" w:rsidRDefault="00561B22" w:rsidP="00F1223B">
            <w:pPr>
              <w:jc w:val="center"/>
              <w:rPr>
                <w:rFonts w:ascii="Arial" w:hAnsi="Arial" w:cs="Arial"/>
                <w:b/>
                <w:sz w:val="22"/>
                <w:szCs w:val="22"/>
                <w:lang w:val="es-MX"/>
              </w:rPr>
            </w:pPr>
          </w:p>
        </w:tc>
      </w:tr>
      <w:tr w:rsidR="00561B22" w:rsidRPr="008F2EC7" w14:paraId="51B07F35" w14:textId="77777777" w:rsidTr="00F1223B">
        <w:tc>
          <w:tcPr>
            <w:tcW w:w="846" w:type="dxa"/>
          </w:tcPr>
          <w:p w14:paraId="5D272AB6"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1</w:t>
            </w:r>
          </w:p>
        </w:tc>
        <w:tc>
          <w:tcPr>
            <w:tcW w:w="9116" w:type="dxa"/>
          </w:tcPr>
          <w:p w14:paraId="429E65B4" w14:textId="77777777" w:rsidR="00561B22" w:rsidRPr="008F2EC7" w:rsidRDefault="00561B22" w:rsidP="00F1223B">
            <w:pPr>
              <w:jc w:val="both"/>
              <w:rPr>
                <w:rFonts w:ascii="Arial" w:hAnsi="Arial" w:cs="Arial"/>
                <w:sz w:val="22"/>
                <w:szCs w:val="22"/>
                <w:lang w:val="es-MX"/>
              </w:rPr>
            </w:pPr>
            <w:r w:rsidRPr="008F2EC7">
              <w:rPr>
                <w:rFonts w:ascii="Arial" w:hAnsi="Arial" w:cs="Arial"/>
                <w:sz w:val="22"/>
                <w:szCs w:val="22"/>
                <w:lang w:val="es-MX"/>
              </w:rPr>
              <w:t>Dentro del Plan de Capacitaciones 2024, no se observó la inclusión de los temas de capacitación solicitados por el grupo interno de trabajo de contabilidad (Actualización tributaria y de Normas Contables).</w:t>
            </w:r>
          </w:p>
        </w:tc>
      </w:tr>
    </w:tbl>
    <w:p w14:paraId="7B0D05C4" w14:textId="77777777" w:rsidR="00561B22" w:rsidRPr="008F2EC7" w:rsidRDefault="00561B22" w:rsidP="00561B22">
      <w:pPr>
        <w:pStyle w:val="Textoindependiente"/>
        <w:ind w:right="-50"/>
        <w:jc w:val="both"/>
        <w:rPr>
          <w:rFonts w:ascii="Arial" w:hAnsi="Arial" w:cs="Arial"/>
          <w:b/>
          <w:bCs/>
        </w:rPr>
      </w:pPr>
    </w:p>
    <w:p w14:paraId="3DA33786" w14:textId="77777777" w:rsidR="00561B22" w:rsidRPr="008F2EC7" w:rsidRDefault="00561B22" w:rsidP="00561B22">
      <w:pPr>
        <w:jc w:val="both"/>
        <w:rPr>
          <w:rFonts w:ascii="Arial" w:hAnsi="Arial" w:cs="Arial"/>
          <w:b/>
          <w:lang w:val="es-MX"/>
        </w:rPr>
      </w:pPr>
      <w:r w:rsidRPr="008F2EC7">
        <w:rPr>
          <w:rFonts w:ascii="Arial" w:hAnsi="Arial" w:cs="Arial"/>
          <w:b/>
          <w:lang w:val="es-MX"/>
        </w:rPr>
        <w:t>Del citado informe retomamos las siguientes recomendaciones:</w:t>
      </w:r>
    </w:p>
    <w:p w14:paraId="3995EB51" w14:textId="77777777" w:rsidR="00561B22" w:rsidRPr="008F2EC7"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8F2EC7" w14:paraId="7EE0A822" w14:textId="77777777" w:rsidTr="00F1223B">
        <w:tc>
          <w:tcPr>
            <w:tcW w:w="846" w:type="dxa"/>
          </w:tcPr>
          <w:p w14:paraId="477161E2" w14:textId="77777777" w:rsidR="00561B22" w:rsidRPr="008F2EC7" w:rsidRDefault="00561B22" w:rsidP="00F1223B">
            <w:pPr>
              <w:ind w:right="-109"/>
              <w:jc w:val="center"/>
              <w:rPr>
                <w:rFonts w:ascii="Arial" w:hAnsi="Arial" w:cs="Arial"/>
                <w:b/>
                <w:sz w:val="22"/>
                <w:szCs w:val="22"/>
                <w:lang w:val="es-MX"/>
              </w:rPr>
            </w:pPr>
            <w:r w:rsidRPr="008F2EC7">
              <w:rPr>
                <w:rFonts w:ascii="Arial" w:hAnsi="Arial" w:cs="Arial"/>
                <w:b/>
                <w:sz w:val="22"/>
                <w:szCs w:val="22"/>
                <w:lang w:val="es-MX"/>
              </w:rPr>
              <w:t>N°</w:t>
            </w:r>
          </w:p>
        </w:tc>
        <w:tc>
          <w:tcPr>
            <w:tcW w:w="9116" w:type="dxa"/>
          </w:tcPr>
          <w:p w14:paraId="63C504AC"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RECOMENDACIONES</w:t>
            </w:r>
          </w:p>
          <w:p w14:paraId="18513811" w14:textId="77777777" w:rsidR="00561B22" w:rsidRPr="008F2EC7" w:rsidRDefault="00561B22" w:rsidP="00F1223B">
            <w:pPr>
              <w:jc w:val="center"/>
              <w:rPr>
                <w:rFonts w:ascii="Arial" w:hAnsi="Arial" w:cs="Arial"/>
                <w:b/>
                <w:sz w:val="22"/>
                <w:szCs w:val="22"/>
                <w:lang w:val="es-MX"/>
              </w:rPr>
            </w:pPr>
          </w:p>
        </w:tc>
      </w:tr>
      <w:tr w:rsidR="00561B22" w:rsidRPr="008F2EC7" w14:paraId="6F4A5636" w14:textId="77777777" w:rsidTr="00F1223B">
        <w:tc>
          <w:tcPr>
            <w:tcW w:w="846" w:type="dxa"/>
          </w:tcPr>
          <w:p w14:paraId="0B9F16E4"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1</w:t>
            </w:r>
          </w:p>
        </w:tc>
        <w:tc>
          <w:tcPr>
            <w:tcW w:w="9116" w:type="dxa"/>
          </w:tcPr>
          <w:p w14:paraId="713DEA17" w14:textId="77777777" w:rsidR="00561B22" w:rsidRPr="008F2EC7" w:rsidRDefault="00561B22" w:rsidP="00F1223B">
            <w:pPr>
              <w:jc w:val="both"/>
              <w:rPr>
                <w:rFonts w:ascii="Arial" w:hAnsi="Arial" w:cs="Arial"/>
                <w:sz w:val="22"/>
                <w:szCs w:val="22"/>
                <w:lang w:val="es-MX"/>
              </w:rPr>
            </w:pPr>
            <w:r w:rsidRPr="008F2EC7">
              <w:rPr>
                <w:rFonts w:ascii="Arial" w:hAnsi="Arial" w:cs="Arial"/>
                <w:sz w:val="22"/>
                <w:szCs w:val="22"/>
                <w:lang w:val="es-MX"/>
              </w:rPr>
              <w:t>Relacionar la existencia del Manual de Políticas Contables en los procedimientos del área.</w:t>
            </w:r>
          </w:p>
        </w:tc>
      </w:tr>
      <w:tr w:rsidR="00561B22" w:rsidRPr="008F2EC7" w14:paraId="18630BED" w14:textId="77777777" w:rsidTr="00F1223B">
        <w:tc>
          <w:tcPr>
            <w:tcW w:w="846" w:type="dxa"/>
          </w:tcPr>
          <w:p w14:paraId="11DA3827"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2</w:t>
            </w:r>
          </w:p>
        </w:tc>
        <w:tc>
          <w:tcPr>
            <w:tcW w:w="9116" w:type="dxa"/>
          </w:tcPr>
          <w:p w14:paraId="7BA8DE3F" w14:textId="77777777" w:rsidR="00561B22" w:rsidRPr="008F2EC7" w:rsidRDefault="00561B22" w:rsidP="00F1223B">
            <w:pPr>
              <w:jc w:val="both"/>
              <w:rPr>
                <w:rFonts w:ascii="Arial" w:hAnsi="Arial" w:cs="Arial"/>
                <w:sz w:val="22"/>
                <w:szCs w:val="22"/>
                <w:lang w:val="es-MX"/>
              </w:rPr>
            </w:pPr>
            <w:r w:rsidRPr="008F2EC7">
              <w:rPr>
                <w:rFonts w:ascii="Arial" w:hAnsi="Arial" w:cs="Arial"/>
                <w:sz w:val="22"/>
                <w:szCs w:val="22"/>
                <w:lang w:val="es-MX"/>
              </w:rPr>
              <w:t>Formular indicadores que permitan interpretar la realidad del proceso contable.</w:t>
            </w:r>
          </w:p>
        </w:tc>
      </w:tr>
      <w:tr w:rsidR="00561B22" w:rsidRPr="008F2EC7" w14:paraId="473DCC9E" w14:textId="77777777" w:rsidTr="00F1223B">
        <w:tc>
          <w:tcPr>
            <w:tcW w:w="846" w:type="dxa"/>
          </w:tcPr>
          <w:p w14:paraId="2ACD5273"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3</w:t>
            </w:r>
          </w:p>
        </w:tc>
        <w:tc>
          <w:tcPr>
            <w:tcW w:w="9116" w:type="dxa"/>
          </w:tcPr>
          <w:p w14:paraId="21E0C6F8" w14:textId="77777777" w:rsidR="00561B22" w:rsidRPr="008F2EC7" w:rsidRDefault="00561B22" w:rsidP="00F1223B">
            <w:pPr>
              <w:jc w:val="both"/>
              <w:rPr>
                <w:rFonts w:ascii="Arial" w:hAnsi="Arial" w:cs="Arial"/>
                <w:sz w:val="22"/>
                <w:szCs w:val="22"/>
                <w:lang w:val="es-MX"/>
              </w:rPr>
            </w:pPr>
            <w:r w:rsidRPr="008F2EC7">
              <w:rPr>
                <w:rFonts w:ascii="Arial" w:hAnsi="Arial" w:cs="Arial"/>
                <w:sz w:val="22"/>
                <w:szCs w:val="22"/>
                <w:lang w:val="es-MX"/>
              </w:rPr>
              <w:t>Fortalecer la gestión de evidencias relacionadas con las socializaciones, dado que no se observaron soportes en todas las actividades realizadas.</w:t>
            </w:r>
          </w:p>
        </w:tc>
      </w:tr>
      <w:tr w:rsidR="00561B22" w:rsidRPr="008F2EC7" w14:paraId="50EEA84A" w14:textId="77777777" w:rsidTr="00F1223B">
        <w:tc>
          <w:tcPr>
            <w:tcW w:w="846" w:type="dxa"/>
          </w:tcPr>
          <w:p w14:paraId="28DFAFE7"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4</w:t>
            </w:r>
          </w:p>
        </w:tc>
        <w:tc>
          <w:tcPr>
            <w:tcW w:w="9116" w:type="dxa"/>
          </w:tcPr>
          <w:p w14:paraId="286BF6FA" w14:textId="77777777" w:rsidR="00561B22" w:rsidRPr="008F2EC7" w:rsidRDefault="00561B22" w:rsidP="00F1223B">
            <w:pPr>
              <w:jc w:val="both"/>
              <w:rPr>
                <w:rFonts w:ascii="Arial" w:hAnsi="Arial" w:cs="Arial"/>
                <w:sz w:val="22"/>
                <w:szCs w:val="22"/>
                <w:lang w:val="es-MX"/>
              </w:rPr>
            </w:pPr>
            <w:r w:rsidRPr="008F2EC7">
              <w:rPr>
                <w:rFonts w:ascii="Arial" w:hAnsi="Arial" w:cs="Arial"/>
                <w:sz w:val="22"/>
                <w:szCs w:val="22"/>
                <w:lang w:val="es-MX"/>
              </w:rPr>
              <w:t>Fortalecer la frecuencia y cobertura de las socializaciones de políticas, instrumentos, directrices y procedimientos del proceso, dado que para la vigencia 2024 se observó el acta No.01 y No.02 de diciembre 02 y 09 respectivamente, en donde solo participan el grupo de trabajo interno.</w:t>
            </w:r>
          </w:p>
        </w:tc>
      </w:tr>
      <w:tr w:rsidR="00561B22" w:rsidRPr="008F2EC7" w14:paraId="2C3F0BAB" w14:textId="77777777" w:rsidTr="00F1223B">
        <w:tc>
          <w:tcPr>
            <w:tcW w:w="846" w:type="dxa"/>
          </w:tcPr>
          <w:p w14:paraId="6EBB060E" w14:textId="77777777" w:rsidR="00561B22" w:rsidRPr="008F2EC7" w:rsidRDefault="00561B22" w:rsidP="00F1223B">
            <w:pPr>
              <w:jc w:val="center"/>
              <w:rPr>
                <w:rFonts w:ascii="Arial" w:hAnsi="Arial" w:cs="Arial"/>
                <w:b/>
                <w:sz w:val="22"/>
                <w:szCs w:val="22"/>
                <w:lang w:val="es-MX"/>
              </w:rPr>
            </w:pPr>
            <w:r w:rsidRPr="008F2EC7">
              <w:rPr>
                <w:rFonts w:ascii="Arial" w:hAnsi="Arial" w:cs="Arial"/>
                <w:b/>
                <w:sz w:val="22"/>
                <w:szCs w:val="22"/>
                <w:lang w:val="es-MX"/>
              </w:rPr>
              <w:t>5</w:t>
            </w:r>
          </w:p>
        </w:tc>
        <w:tc>
          <w:tcPr>
            <w:tcW w:w="9116" w:type="dxa"/>
          </w:tcPr>
          <w:p w14:paraId="17E44BDD" w14:textId="77777777" w:rsidR="00561B22" w:rsidRPr="008F2EC7" w:rsidRDefault="00561B22" w:rsidP="00F1223B">
            <w:pPr>
              <w:jc w:val="both"/>
              <w:rPr>
                <w:rFonts w:ascii="Arial" w:hAnsi="Arial" w:cs="Arial"/>
                <w:sz w:val="22"/>
                <w:szCs w:val="22"/>
                <w:lang w:val="es-MX"/>
              </w:rPr>
            </w:pPr>
            <w:r w:rsidRPr="008F2EC7">
              <w:rPr>
                <w:rFonts w:ascii="Arial" w:hAnsi="Arial" w:cs="Arial"/>
                <w:sz w:val="22"/>
                <w:szCs w:val="22"/>
                <w:lang w:val="es-MX"/>
              </w:rPr>
              <w:t>Generar explicaciones que faciliten a los diferentes usuarios la comprensión de la información financiera presentada en el informe de rendición de cuentas.</w:t>
            </w:r>
          </w:p>
        </w:tc>
      </w:tr>
    </w:tbl>
    <w:p w14:paraId="09AF634F" w14:textId="77777777" w:rsidR="00561B22" w:rsidRPr="008F2EC7" w:rsidRDefault="00561B22" w:rsidP="00561B22">
      <w:pPr>
        <w:jc w:val="both"/>
        <w:rPr>
          <w:rFonts w:ascii="Arial" w:hAnsi="Arial" w:cs="Arial"/>
          <w:b/>
          <w:bCs/>
          <w:lang w:val="es-CO"/>
        </w:rPr>
      </w:pPr>
    </w:p>
    <w:p w14:paraId="28818C6A" w14:textId="77777777" w:rsidR="00561B22" w:rsidRPr="008F2EC7" w:rsidRDefault="00561B22" w:rsidP="00561B22">
      <w:pPr>
        <w:jc w:val="both"/>
        <w:rPr>
          <w:rFonts w:ascii="Arial" w:hAnsi="Arial" w:cs="Arial"/>
          <w:b/>
          <w:bCs/>
          <w:sz w:val="24"/>
          <w:szCs w:val="24"/>
          <w:lang w:val="es-CO"/>
        </w:rPr>
      </w:pPr>
      <w:r w:rsidRPr="008F2EC7">
        <w:rPr>
          <w:rFonts w:ascii="Arial" w:hAnsi="Arial" w:cs="Arial"/>
          <w:b/>
          <w:bCs/>
          <w:sz w:val="24"/>
          <w:szCs w:val="24"/>
          <w:lang w:val="es-CO"/>
        </w:rPr>
        <w:t xml:space="preserve">NOTA: LA ENTIDAD ENVIA LA MATRIZ DE AUTOEVALUACIÓN DEL SISTEMA DE CONTROL INTERNO CONTABLE CON </w:t>
      </w:r>
      <w:r w:rsidRPr="008F2EC7">
        <w:rPr>
          <w:rFonts w:ascii="Arial" w:hAnsi="Arial" w:cs="Arial"/>
          <w:b/>
          <w:bCs/>
          <w:sz w:val="24"/>
          <w:szCs w:val="24"/>
          <w:u w:val="single"/>
          <w:lang w:val="es-CO"/>
        </w:rPr>
        <w:t>ACTIVIDADES DE CONTROL REALIZADAS EN FORMA PARCIAL</w:t>
      </w:r>
      <w:r w:rsidRPr="008F2EC7">
        <w:rPr>
          <w:rFonts w:ascii="Arial" w:hAnsi="Arial" w:cs="Arial"/>
          <w:b/>
          <w:bCs/>
          <w:sz w:val="24"/>
          <w:szCs w:val="24"/>
          <w:lang w:val="es-CO"/>
        </w:rPr>
        <w:t>.</w:t>
      </w:r>
    </w:p>
    <w:p w14:paraId="0CF499A0" w14:textId="77777777" w:rsidR="00561B22" w:rsidRDefault="00561B22" w:rsidP="00561B22">
      <w:pPr>
        <w:ind w:left="-284"/>
        <w:jc w:val="both"/>
        <w:rPr>
          <w:rFonts w:ascii="Arial" w:hAnsi="Arial" w:cs="Arial"/>
          <w:b/>
        </w:rPr>
      </w:pPr>
    </w:p>
    <w:p w14:paraId="1EB63DCF" w14:textId="77777777" w:rsidR="00561B22" w:rsidRPr="00080FEF" w:rsidRDefault="00561B22" w:rsidP="00561B22">
      <w:pPr>
        <w:ind w:right="-93"/>
        <w:jc w:val="both"/>
        <w:rPr>
          <w:rFonts w:ascii="Arial" w:hAnsi="Arial" w:cs="Arial"/>
          <w:b/>
          <w:sz w:val="28"/>
          <w:szCs w:val="28"/>
          <w:lang w:val="es-MX"/>
        </w:rPr>
      </w:pPr>
      <w:r>
        <w:rPr>
          <w:rFonts w:ascii="Arial" w:hAnsi="Arial" w:cs="Arial"/>
          <w:b/>
          <w:sz w:val="28"/>
          <w:szCs w:val="28"/>
          <w:lang w:val="es-MX"/>
        </w:rPr>
        <w:t>13</w:t>
      </w:r>
      <w:r w:rsidRPr="00080FEF">
        <w:rPr>
          <w:rFonts w:ascii="Arial" w:hAnsi="Arial" w:cs="Arial"/>
          <w:b/>
          <w:sz w:val="28"/>
          <w:szCs w:val="28"/>
          <w:lang w:val="es-MX"/>
        </w:rPr>
        <w:t>.- FONDO DE PREVISIÓN SOCIAL DEL CONGRESO DE LA REPÚBLICA - PATRIMONIO AUTÓNOMO DE VEJEZ.</w:t>
      </w:r>
    </w:p>
    <w:p w14:paraId="506DE7E5" w14:textId="77777777" w:rsidR="00561B22" w:rsidRDefault="00561B22" w:rsidP="00561B22">
      <w:pPr>
        <w:ind w:left="142"/>
        <w:jc w:val="both"/>
        <w:rPr>
          <w:rFonts w:ascii="Arial" w:hAnsi="Arial" w:cs="Arial"/>
          <w:b/>
        </w:rPr>
      </w:pPr>
    </w:p>
    <w:p w14:paraId="236610CA" w14:textId="77777777" w:rsidR="00561B22" w:rsidRPr="00BD12F5" w:rsidRDefault="00561B22" w:rsidP="00561B22">
      <w:pPr>
        <w:pStyle w:val="Textoindependiente"/>
        <w:ind w:right="-50"/>
        <w:jc w:val="center"/>
        <w:rPr>
          <w:rFonts w:ascii="Arial" w:hAnsi="Arial" w:cs="Arial"/>
          <w:b/>
          <w:bCs/>
        </w:rPr>
      </w:pPr>
      <w:r w:rsidRPr="00BD12F5">
        <w:rPr>
          <w:rFonts w:ascii="Arial" w:hAnsi="Arial" w:cs="Arial"/>
          <w:b/>
          <w:bCs/>
        </w:rPr>
        <w:t>INFORME DE LA AUTOCALIFICACIÓN DEL SISTEMA DE CONTROL INTERNO CONTABLE:</w:t>
      </w:r>
    </w:p>
    <w:p w14:paraId="1D9ECBA2" w14:textId="77777777" w:rsidR="00561B22" w:rsidRPr="00BD12F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D12F5" w14:paraId="4E8E9F8C" w14:textId="77777777" w:rsidTr="00F1223B">
        <w:tc>
          <w:tcPr>
            <w:tcW w:w="4981" w:type="dxa"/>
          </w:tcPr>
          <w:p w14:paraId="6FF6CCCE"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AUTOCALIFICACIÓN</w:t>
            </w:r>
          </w:p>
        </w:tc>
        <w:tc>
          <w:tcPr>
            <w:tcW w:w="4981" w:type="dxa"/>
          </w:tcPr>
          <w:p w14:paraId="6A1BFB8F" w14:textId="77777777" w:rsidR="00561B22" w:rsidRPr="00BD12F5" w:rsidRDefault="00561B22" w:rsidP="00F1223B">
            <w:pPr>
              <w:jc w:val="center"/>
              <w:rPr>
                <w:rFonts w:ascii="Arial" w:hAnsi="Arial" w:cs="Arial"/>
                <w:b/>
                <w:sz w:val="22"/>
                <w:szCs w:val="22"/>
                <w:u w:val="single"/>
                <w:lang w:val="es-MX"/>
              </w:rPr>
            </w:pPr>
            <w:r w:rsidRPr="00BD12F5">
              <w:rPr>
                <w:rFonts w:ascii="Arial" w:hAnsi="Arial" w:cs="Arial"/>
                <w:b/>
                <w:sz w:val="22"/>
                <w:szCs w:val="22"/>
                <w:u w:val="single"/>
                <w:lang w:val="es-MX"/>
              </w:rPr>
              <w:t>4.92</w:t>
            </w:r>
          </w:p>
        </w:tc>
      </w:tr>
    </w:tbl>
    <w:p w14:paraId="508BAEB3" w14:textId="77777777" w:rsidR="00561B22" w:rsidRPr="00BD12F5" w:rsidRDefault="00561B22" w:rsidP="00561B22">
      <w:pPr>
        <w:pStyle w:val="Textoindependiente"/>
        <w:ind w:right="-50"/>
        <w:jc w:val="both"/>
        <w:rPr>
          <w:rFonts w:ascii="Arial" w:hAnsi="Arial" w:cs="Arial"/>
          <w:b/>
          <w:bCs/>
        </w:rPr>
      </w:pPr>
    </w:p>
    <w:p w14:paraId="19B9F800" w14:textId="77777777" w:rsidR="00561B22" w:rsidRPr="00BD12F5" w:rsidRDefault="00561B22" w:rsidP="00561B22">
      <w:pPr>
        <w:pStyle w:val="Textoindependiente"/>
        <w:ind w:right="-50"/>
        <w:jc w:val="both"/>
        <w:rPr>
          <w:rFonts w:ascii="Arial" w:hAnsi="Arial" w:cs="Arial"/>
          <w:b/>
          <w:bCs/>
        </w:rPr>
      </w:pPr>
      <w:r w:rsidRPr="00BD12F5">
        <w:rPr>
          <w:rFonts w:ascii="Arial" w:hAnsi="Arial" w:cs="Arial"/>
          <w:b/>
          <w:bCs/>
        </w:rPr>
        <w:t>Del informe enviado retomamos lo siguiente:</w:t>
      </w:r>
    </w:p>
    <w:p w14:paraId="0E6BCBDB" w14:textId="77777777" w:rsidR="00561B22" w:rsidRPr="00BD12F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D12F5" w14:paraId="0297B826" w14:textId="77777777" w:rsidTr="00F1223B">
        <w:tc>
          <w:tcPr>
            <w:tcW w:w="846" w:type="dxa"/>
          </w:tcPr>
          <w:p w14:paraId="58783858" w14:textId="77777777" w:rsidR="00561B22" w:rsidRPr="00BD12F5" w:rsidRDefault="00561B22" w:rsidP="00F1223B">
            <w:pPr>
              <w:ind w:right="-109"/>
              <w:jc w:val="center"/>
              <w:rPr>
                <w:rFonts w:ascii="Arial" w:hAnsi="Arial" w:cs="Arial"/>
                <w:b/>
                <w:sz w:val="22"/>
                <w:szCs w:val="22"/>
                <w:lang w:val="es-MX"/>
              </w:rPr>
            </w:pPr>
            <w:r w:rsidRPr="00BD12F5">
              <w:rPr>
                <w:rFonts w:ascii="Arial" w:hAnsi="Arial" w:cs="Arial"/>
                <w:b/>
                <w:sz w:val="22"/>
                <w:szCs w:val="22"/>
                <w:lang w:val="es-MX"/>
              </w:rPr>
              <w:t>N°</w:t>
            </w:r>
          </w:p>
        </w:tc>
        <w:tc>
          <w:tcPr>
            <w:tcW w:w="9116" w:type="dxa"/>
          </w:tcPr>
          <w:p w14:paraId="1716731E"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DEBILIDADES</w:t>
            </w:r>
          </w:p>
          <w:p w14:paraId="534B15FF" w14:textId="77777777" w:rsidR="00561B22" w:rsidRPr="00BD12F5" w:rsidRDefault="00561B22" w:rsidP="00F1223B">
            <w:pPr>
              <w:jc w:val="center"/>
              <w:rPr>
                <w:rFonts w:ascii="Arial" w:hAnsi="Arial" w:cs="Arial"/>
                <w:b/>
                <w:sz w:val="22"/>
                <w:szCs w:val="22"/>
                <w:lang w:val="es-MX"/>
              </w:rPr>
            </w:pPr>
          </w:p>
        </w:tc>
      </w:tr>
      <w:tr w:rsidR="00561B22" w:rsidRPr="00BD12F5" w14:paraId="0AE0FC09" w14:textId="77777777" w:rsidTr="00F1223B">
        <w:tc>
          <w:tcPr>
            <w:tcW w:w="846" w:type="dxa"/>
          </w:tcPr>
          <w:p w14:paraId="11803B7C"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lastRenderedPageBreak/>
              <w:t>1</w:t>
            </w:r>
          </w:p>
        </w:tc>
        <w:tc>
          <w:tcPr>
            <w:tcW w:w="9116" w:type="dxa"/>
          </w:tcPr>
          <w:p w14:paraId="7F76C7EE" w14:textId="77777777" w:rsidR="00561B22" w:rsidRPr="00BD12F5" w:rsidRDefault="00561B22" w:rsidP="00F1223B">
            <w:pPr>
              <w:jc w:val="both"/>
              <w:rPr>
                <w:rFonts w:ascii="Arial" w:hAnsi="Arial" w:cs="Arial"/>
                <w:b/>
                <w:sz w:val="22"/>
                <w:szCs w:val="22"/>
                <w:lang w:val="es-MX"/>
              </w:rPr>
            </w:pPr>
            <w:r w:rsidRPr="00BD12F5">
              <w:rPr>
                <w:rFonts w:ascii="Arial" w:eastAsia="Times New Roman" w:hAnsi="Arial" w:cs="Arial"/>
                <w:color w:val="000000"/>
                <w:sz w:val="22"/>
                <w:szCs w:val="22"/>
              </w:rPr>
              <w:t>Dentro del Plan de Capacitaciones 2024, no se observó la inclusión de los temas de capacitación solicitados por el grupo interno de trabajo de contabilidad (Actualización tributaria y de Normas Contables).</w:t>
            </w:r>
          </w:p>
        </w:tc>
      </w:tr>
    </w:tbl>
    <w:p w14:paraId="7431A16F" w14:textId="77777777" w:rsidR="00561B22" w:rsidRDefault="00561B22" w:rsidP="00561B22">
      <w:pPr>
        <w:pStyle w:val="Textoindependiente"/>
        <w:ind w:right="-50"/>
        <w:jc w:val="both"/>
        <w:rPr>
          <w:rFonts w:ascii="Arial" w:hAnsi="Arial" w:cs="Arial"/>
          <w:b/>
          <w:bCs/>
        </w:rPr>
      </w:pPr>
    </w:p>
    <w:p w14:paraId="2F0B1A0F" w14:textId="77777777" w:rsidR="00561B22" w:rsidRPr="00465D5C" w:rsidRDefault="00561B22" w:rsidP="00561B22">
      <w:pPr>
        <w:jc w:val="both"/>
        <w:rPr>
          <w:rFonts w:ascii="Arial" w:hAnsi="Arial" w:cs="Arial"/>
          <w:b/>
          <w:lang w:val="es-MX"/>
        </w:rPr>
      </w:pPr>
      <w:r w:rsidRPr="00465D5C">
        <w:rPr>
          <w:rFonts w:ascii="Arial" w:hAnsi="Arial" w:cs="Arial"/>
          <w:b/>
          <w:lang w:val="es-MX"/>
        </w:rPr>
        <w:t>Del citado informe retomamos las siguientes recomendaciones:</w:t>
      </w:r>
    </w:p>
    <w:p w14:paraId="57F3794E" w14:textId="77777777" w:rsidR="00561B22" w:rsidRPr="00BD12F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D12F5" w14:paraId="32A9E38E" w14:textId="77777777" w:rsidTr="00F1223B">
        <w:tc>
          <w:tcPr>
            <w:tcW w:w="846" w:type="dxa"/>
          </w:tcPr>
          <w:p w14:paraId="32818698" w14:textId="77777777" w:rsidR="00561B22" w:rsidRPr="00BD12F5" w:rsidRDefault="00561B22" w:rsidP="00F1223B">
            <w:pPr>
              <w:ind w:right="-109"/>
              <w:jc w:val="center"/>
              <w:rPr>
                <w:rFonts w:ascii="Arial" w:hAnsi="Arial" w:cs="Arial"/>
                <w:b/>
                <w:sz w:val="22"/>
                <w:szCs w:val="22"/>
                <w:lang w:val="es-MX"/>
              </w:rPr>
            </w:pPr>
            <w:r w:rsidRPr="00BD12F5">
              <w:rPr>
                <w:rFonts w:ascii="Arial" w:hAnsi="Arial" w:cs="Arial"/>
                <w:b/>
                <w:sz w:val="22"/>
                <w:szCs w:val="22"/>
                <w:lang w:val="es-MX"/>
              </w:rPr>
              <w:t>N°</w:t>
            </w:r>
          </w:p>
        </w:tc>
        <w:tc>
          <w:tcPr>
            <w:tcW w:w="9116" w:type="dxa"/>
          </w:tcPr>
          <w:p w14:paraId="2E154638"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RECOMENDACIONES</w:t>
            </w:r>
          </w:p>
          <w:p w14:paraId="01339363" w14:textId="77777777" w:rsidR="00561B22" w:rsidRPr="00BD12F5" w:rsidRDefault="00561B22" w:rsidP="00F1223B">
            <w:pPr>
              <w:jc w:val="center"/>
              <w:rPr>
                <w:rFonts w:ascii="Arial" w:hAnsi="Arial" w:cs="Arial"/>
                <w:b/>
                <w:sz w:val="22"/>
                <w:szCs w:val="22"/>
                <w:lang w:val="es-MX"/>
              </w:rPr>
            </w:pPr>
          </w:p>
        </w:tc>
      </w:tr>
      <w:tr w:rsidR="00561B22" w:rsidRPr="00BD12F5" w14:paraId="5AED8F1E" w14:textId="77777777" w:rsidTr="00F1223B">
        <w:tc>
          <w:tcPr>
            <w:tcW w:w="846" w:type="dxa"/>
          </w:tcPr>
          <w:p w14:paraId="3A8B86F8"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1</w:t>
            </w:r>
          </w:p>
        </w:tc>
        <w:tc>
          <w:tcPr>
            <w:tcW w:w="9116" w:type="dxa"/>
          </w:tcPr>
          <w:p w14:paraId="15C5A8E8" w14:textId="77777777" w:rsidR="00561B22" w:rsidRPr="00BD12F5" w:rsidRDefault="00561B22" w:rsidP="00F1223B">
            <w:pPr>
              <w:jc w:val="both"/>
              <w:rPr>
                <w:rFonts w:ascii="Arial" w:hAnsi="Arial" w:cs="Arial"/>
                <w:sz w:val="22"/>
                <w:szCs w:val="22"/>
                <w:lang w:val="es-MX"/>
              </w:rPr>
            </w:pPr>
            <w:r w:rsidRPr="00BD12F5">
              <w:rPr>
                <w:rFonts w:ascii="Arial" w:hAnsi="Arial" w:cs="Arial"/>
                <w:sz w:val="22"/>
                <w:szCs w:val="22"/>
                <w:lang w:val="es-MX"/>
              </w:rPr>
              <w:t>Relacionar la existencia del Manual de Políticas Contables en los procedimientos del área.</w:t>
            </w:r>
          </w:p>
        </w:tc>
      </w:tr>
      <w:tr w:rsidR="00561B22" w:rsidRPr="00BD12F5" w14:paraId="31A283F5" w14:textId="77777777" w:rsidTr="00F1223B">
        <w:tc>
          <w:tcPr>
            <w:tcW w:w="846" w:type="dxa"/>
          </w:tcPr>
          <w:p w14:paraId="66984CA2"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2</w:t>
            </w:r>
          </w:p>
        </w:tc>
        <w:tc>
          <w:tcPr>
            <w:tcW w:w="9116" w:type="dxa"/>
          </w:tcPr>
          <w:p w14:paraId="7BC0E1C7" w14:textId="77777777" w:rsidR="00561B22" w:rsidRPr="00BD12F5" w:rsidRDefault="00561B22" w:rsidP="00F1223B">
            <w:pPr>
              <w:jc w:val="both"/>
              <w:rPr>
                <w:rFonts w:ascii="Arial" w:hAnsi="Arial" w:cs="Arial"/>
                <w:sz w:val="22"/>
                <w:szCs w:val="22"/>
                <w:lang w:val="es-MX"/>
              </w:rPr>
            </w:pPr>
            <w:r w:rsidRPr="00BD12F5">
              <w:rPr>
                <w:rFonts w:ascii="Arial" w:hAnsi="Arial" w:cs="Arial"/>
                <w:sz w:val="22"/>
                <w:szCs w:val="22"/>
                <w:lang w:val="es-MX"/>
              </w:rPr>
              <w:t>Formular indicadores que permitan interpretar la realidad del proceso contable.</w:t>
            </w:r>
          </w:p>
        </w:tc>
      </w:tr>
      <w:tr w:rsidR="00561B22" w:rsidRPr="00BD12F5" w14:paraId="7A806BBE" w14:textId="77777777" w:rsidTr="00F1223B">
        <w:tc>
          <w:tcPr>
            <w:tcW w:w="846" w:type="dxa"/>
          </w:tcPr>
          <w:p w14:paraId="42AD20CD"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3</w:t>
            </w:r>
          </w:p>
        </w:tc>
        <w:tc>
          <w:tcPr>
            <w:tcW w:w="9116" w:type="dxa"/>
          </w:tcPr>
          <w:p w14:paraId="06D0274D" w14:textId="77777777" w:rsidR="00561B22" w:rsidRPr="00BD12F5" w:rsidRDefault="00561B22" w:rsidP="00F1223B">
            <w:pPr>
              <w:jc w:val="both"/>
              <w:rPr>
                <w:rFonts w:ascii="Arial" w:hAnsi="Arial" w:cs="Arial"/>
                <w:sz w:val="22"/>
                <w:szCs w:val="22"/>
                <w:lang w:val="es-MX"/>
              </w:rPr>
            </w:pPr>
            <w:r w:rsidRPr="00BD12F5">
              <w:rPr>
                <w:rFonts w:ascii="Arial" w:hAnsi="Arial" w:cs="Arial"/>
                <w:sz w:val="22"/>
                <w:szCs w:val="22"/>
                <w:lang w:val="es-MX"/>
              </w:rPr>
              <w:t>Fortalecer la gestión de evidencias relacionadas con las socializaciones, dado que no se observaron soportes en todas las actividades realizadas.</w:t>
            </w:r>
          </w:p>
        </w:tc>
      </w:tr>
      <w:tr w:rsidR="00561B22" w:rsidRPr="00BD12F5" w14:paraId="1835A683" w14:textId="77777777" w:rsidTr="00F1223B">
        <w:tc>
          <w:tcPr>
            <w:tcW w:w="846" w:type="dxa"/>
          </w:tcPr>
          <w:p w14:paraId="2BB24FC3"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4</w:t>
            </w:r>
          </w:p>
        </w:tc>
        <w:tc>
          <w:tcPr>
            <w:tcW w:w="9116" w:type="dxa"/>
          </w:tcPr>
          <w:p w14:paraId="72AAA981" w14:textId="77777777" w:rsidR="00561B22" w:rsidRPr="00BD12F5" w:rsidRDefault="00561B22" w:rsidP="00F1223B">
            <w:pPr>
              <w:jc w:val="both"/>
              <w:rPr>
                <w:rFonts w:ascii="Arial" w:hAnsi="Arial" w:cs="Arial"/>
                <w:sz w:val="22"/>
                <w:szCs w:val="22"/>
                <w:lang w:val="es-MX"/>
              </w:rPr>
            </w:pPr>
            <w:r w:rsidRPr="00BD12F5">
              <w:rPr>
                <w:rFonts w:ascii="Arial" w:hAnsi="Arial" w:cs="Arial"/>
                <w:sz w:val="22"/>
                <w:szCs w:val="22"/>
                <w:lang w:val="es-MX"/>
              </w:rPr>
              <w:t>Fortalecer la frecuencia y cobertura de las socializaciones de políticas, instrumentos, directrices y procedimientos del proceso, dado que para la vigencia 2024 se observó el acta No.01 y No.02 de diciembre 02 y 09 respectivamente, en donde solo participan el grupo de trabajo interno.</w:t>
            </w:r>
          </w:p>
        </w:tc>
      </w:tr>
      <w:tr w:rsidR="00561B22" w:rsidRPr="00BD12F5" w14:paraId="705934CA" w14:textId="77777777" w:rsidTr="00F1223B">
        <w:tc>
          <w:tcPr>
            <w:tcW w:w="846" w:type="dxa"/>
          </w:tcPr>
          <w:p w14:paraId="5D41B1C0" w14:textId="77777777" w:rsidR="00561B22" w:rsidRPr="00BD12F5" w:rsidRDefault="00561B22" w:rsidP="00F1223B">
            <w:pPr>
              <w:jc w:val="center"/>
              <w:rPr>
                <w:rFonts w:ascii="Arial" w:hAnsi="Arial" w:cs="Arial"/>
                <w:b/>
                <w:sz w:val="22"/>
                <w:szCs w:val="22"/>
                <w:lang w:val="es-MX"/>
              </w:rPr>
            </w:pPr>
            <w:r w:rsidRPr="00BD12F5">
              <w:rPr>
                <w:rFonts w:ascii="Arial" w:hAnsi="Arial" w:cs="Arial"/>
                <w:b/>
                <w:sz w:val="22"/>
                <w:szCs w:val="22"/>
                <w:lang w:val="es-MX"/>
              </w:rPr>
              <w:t>5</w:t>
            </w:r>
          </w:p>
        </w:tc>
        <w:tc>
          <w:tcPr>
            <w:tcW w:w="9116" w:type="dxa"/>
          </w:tcPr>
          <w:p w14:paraId="3C4CFB80" w14:textId="77777777" w:rsidR="00561B22" w:rsidRPr="00BD12F5" w:rsidRDefault="00561B22" w:rsidP="00F1223B">
            <w:pPr>
              <w:jc w:val="both"/>
              <w:rPr>
                <w:rFonts w:ascii="Arial" w:hAnsi="Arial" w:cs="Arial"/>
                <w:sz w:val="22"/>
                <w:szCs w:val="22"/>
                <w:lang w:val="es-MX"/>
              </w:rPr>
            </w:pPr>
            <w:r w:rsidRPr="00BD12F5">
              <w:rPr>
                <w:rFonts w:ascii="Arial" w:hAnsi="Arial" w:cs="Arial"/>
                <w:sz w:val="22"/>
                <w:szCs w:val="22"/>
                <w:lang w:val="es-MX"/>
              </w:rPr>
              <w:t>Generar explicaciones que faciliten a los diferentes usuarios la comprensión de la información financiera presentada en el informe de rendición de cuentas.</w:t>
            </w:r>
          </w:p>
        </w:tc>
      </w:tr>
    </w:tbl>
    <w:p w14:paraId="294B1AAD" w14:textId="77777777" w:rsidR="00561B22" w:rsidRPr="00BD12F5" w:rsidRDefault="00561B22" w:rsidP="00561B22">
      <w:pPr>
        <w:pStyle w:val="Textoindependiente"/>
        <w:ind w:right="-50"/>
        <w:jc w:val="both"/>
        <w:rPr>
          <w:rFonts w:ascii="Arial" w:hAnsi="Arial" w:cs="Arial"/>
          <w:b/>
          <w:bCs/>
        </w:rPr>
      </w:pPr>
    </w:p>
    <w:p w14:paraId="414B2AE6" w14:textId="77777777" w:rsidR="00561B22" w:rsidRPr="00BD12F5" w:rsidRDefault="00561B22" w:rsidP="00561B22">
      <w:pPr>
        <w:jc w:val="both"/>
        <w:rPr>
          <w:rFonts w:ascii="Arial" w:hAnsi="Arial" w:cs="Arial"/>
          <w:b/>
          <w:bCs/>
          <w:sz w:val="24"/>
          <w:szCs w:val="24"/>
          <w:lang w:val="es-CO"/>
        </w:rPr>
      </w:pPr>
      <w:r w:rsidRPr="00BD12F5">
        <w:rPr>
          <w:rFonts w:ascii="Arial" w:hAnsi="Arial" w:cs="Arial"/>
          <w:b/>
          <w:bCs/>
          <w:sz w:val="24"/>
          <w:szCs w:val="24"/>
          <w:lang w:val="es-CO"/>
        </w:rPr>
        <w:t xml:space="preserve">NOTA: LA ENTIDAD ENVIA LA MATRIZ DE AUTOEVALUACIÓN DEL SISTEMA DE CONTROL INTERNO CONTABLE CON </w:t>
      </w:r>
      <w:r w:rsidRPr="00BD12F5">
        <w:rPr>
          <w:rFonts w:ascii="Arial" w:hAnsi="Arial" w:cs="Arial"/>
          <w:b/>
          <w:bCs/>
          <w:sz w:val="24"/>
          <w:szCs w:val="24"/>
          <w:u w:val="single"/>
          <w:lang w:val="es-CO"/>
        </w:rPr>
        <w:t>ACTIVIDADES DE CONTROL REALIZADAS EN FORMA PARCIAL</w:t>
      </w:r>
      <w:r w:rsidRPr="00BD12F5">
        <w:rPr>
          <w:rFonts w:ascii="Arial" w:hAnsi="Arial" w:cs="Arial"/>
          <w:b/>
          <w:bCs/>
          <w:sz w:val="24"/>
          <w:szCs w:val="24"/>
          <w:lang w:val="es-CO"/>
        </w:rPr>
        <w:t>.</w:t>
      </w:r>
    </w:p>
    <w:p w14:paraId="7BB9A167" w14:textId="77777777" w:rsidR="00561B22" w:rsidRPr="00BD12F5" w:rsidRDefault="00561B22" w:rsidP="00561B22">
      <w:pPr>
        <w:pStyle w:val="Textoindependiente"/>
        <w:ind w:right="-50"/>
        <w:jc w:val="both"/>
        <w:rPr>
          <w:rFonts w:ascii="Arial" w:hAnsi="Arial" w:cs="Arial"/>
          <w:b/>
          <w:bCs/>
          <w:sz w:val="28"/>
          <w:szCs w:val="28"/>
        </w:rPr>
      </w:pPr>
    </w:p>
    <w:p w14:paraId="1B71E32F" w14:textId="77777777" w:rsidR="00561B22" w:rsidRPr="00ED50B2" w:rsidRDefault="00561B22" w:rsidP="00561B22">
      <w:pPr>
        <w:jc w:val="both"/>
        <w:rPr>
          <w:rFonts w:ascii="Arial" w:hAnsi="Arial" w:cs="Arial"/>
          <w:b/>
          <w:sz w:val="28"/>
          <w:szCs w:val="28"/>
          <w:lang w:val="es-MX"/>
        </w:rPr>
      </w:pPr>
      <w:r w:rsidRPr="00ED50B2">
        <w:rPr>
          <w:rFonts w:ascii="Arial" w:hAnsi="Arial" w:cs="Arial"/>
          <w:b/>
          <w:sz w:val="28"/>
          <w:szCs w:val="28"/>
          <w:lang w:val="es-MX"/>
        </w:rPr>
        <w:t xml:space="preserve">14.- FONDO DE PREVISIÓN SOCIAL DEL CONGRESO DE LA REPÚBLICA – PATRIMONIO AUTÓNOMO DE INVALIDEZ. </w:t>
      </w:r>
    </w:p>
    <w:p w14:paraId="7B2531CD" w14:textId="77777777" w:rsidR="00561B22" w:rsidRPr="00ED50B2" w:rsidRDefault="00561B22" w:rsidP="00561B22">
      <w:pPr>
        <w:pStyle w:val="Prrafodelista"/>
        <w:spacing w:before="92"/>
        <w:ind w:left="-142"/>
        <w:rPr>
          <w:rFonts w:ascii="Arial" w:hAnsi="Arial" w:cs="Arial"/>
          <w:b/>
          <w:sz w:val="24"/>
        </w:rPr>
      </w:pPr>
    </w:p>
    <w:p w14:paraId="5CF47A5C" w14:textId="77777777" w:rsidR="00561B22" w:rsidRPr="00A050BE" w:rsidRDefault="00561B22" w:rsidP="00561B22">
      <w:pPr>
        <w:pStyle w:val="Textoindependiente"/>
        <w:ind w:right="-50"/>
        <w:jc w:val="center"/>
        <w:rPr>
          <w:rFonts w:ascii="Arial" w:hAnsi="Arial" w:cs="Arial"/>
          <w:b/>
          <w:bCs/>
        </w:rPr>
      </w:pPr>
      <w:r w:rsidRPr="00A050BE">
        <w:rPr>
          <w:rFonts w:ascii="Arial" w:hAnsi="Arial" w:cs="Arial"/>
          <w:b/>
          <w:bCs/>
        </w:rPr>
        <w:t>INFORME DE LA AUTOCALIFICACIÓN DEL SISTEMA DE CONTROL INTERNO CONTABLE:</w:t>
      </w:r>
    </w:p>
    <w:p w14:paraId="2A07030D" w14:textId="77777777" w:rsidR="00561B22" w:rsidRPr="00A050BE" w:rsidRDefault="00561B22" w:rsidP="00561B22">
      <w:pPr>
        <w:pStyle w:val="Textoindependiente"/>
        <w:ind w:right="-50"/>
        <w:jc w:val="both"/>
        <w:rPr>
          <w:b/>
          <w:bCs/>
        </w:rPr>
      </w:pPr>
    </w:p>
    <w:tbl>
      <w:tblPr>
        <w:tblStyle w:val="Tablaconcuadrcula"/>
        <w:tblW w:w="0" w:type="auto"/>
        <w:tblLook w:val="04A0" w:firstRow="1" w:lastRow="0" w:firstColumn="1" w:lastColumn="0" w:noHBand="0" w:noVBand="1"/>
      </w:tblPr>
      <w:tblGrid>
        <w:gridCol w:w="4981"/>
        <w:gridCol w:w="4981"/>
      </w:tblGrid>
      <w:tr w:rsidR="00561B22" w:rsidRPr="00A050BE" w14:paraId="40FF0338" w14:textId="77777777" w:rsidTr="00F1223B">
        <w:tc>
          <w:tcPr>
            <w:tcW w:w="4981" w:type="dxa"/>
          </w:tcPr>
          <w:p w14:paraId="6A0CC537"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AUTOCALIFICACIÓN</w:t>
            </w:r>
          </w:p>
        </w:tc>
        <w:tc>
          <w:tcPr>
            <w:tcW w:w="4981" w:type="dxa"/>
          </w:tcPr>
          <w:p w14:paraId="06F6B15D" w14:textId="77777777" w:rsidR="00561B22" w:rsidRPr="00A050BE" w:rsidRDefault="00561B22" w:rsidP="00F1223B">
            <w:pPr>
              <w:jc w:val="center"/>
              <w:rPr>
                <w:rFonts w:ascii="Arial" w:hAnsi="Arial" w:cs="Arial"/>
                <w:b/>
                <w:sz w:val="22"/>
                <w:szCs w:val="22"/>
                <w:u w:val="single"/>
                <w:lang w:val="es-MX"/>
              </w:rPr>
            </w:pPr>
            <w:r w:rsidRPr="00A050BE">
              <w:rPr>
                <w:rFonts w:ascii="Arial" w:hAnsi="Arial" w:cs="Arial"/>
                <w:b/>
                <w:sz w:val="22"/>
                <w:szCs w:val="22"/>
                <w:u w:val="single"/>
                <w:lang w:val="es-MX"/>
              </w:rPr>
              <w:t>4.92</w:t>
            </w:r>
          </w:p>
        </w:tc>
      </w:tr>
    </w:tbl>
    <w:p w14:paraId="122B4B4C" w14:textId="77777777" w:rsidR="00561B22" w:rsidRPr="00A050BE" w:rsidRDefault="00561B22" w:rsidP="00561B22">
      <w:pPr>
        <w:pStyle w:val="Textoindependiente"/>
        <w:ind w:right="-50"/>
        <w:jc w:val="both"/>
        <w:rPr>
          <w:rFonts w:ascii="Arial" w:hAnsi="Arial" w:cs="Arial"/>
          <w:b/>
          <w:bCs/>
        </w:rPr>
      </w:pPr>
    </w:p>
    <w:p w14:paraId="21F44ED2" w14:textId="77777777" w:rsidR="00561B22" w:rsidRPr="00A050BE" w:rsidRDefault="00561B22" w:rsidP="00561B22">
      <w:pPr>
        <w:pStyle w:val="Textoindependiente"/>
        <w:ind w:right="-50"/>
        <w:jc w:val="both"/>
        <w:rPr>
          <w:rFonts w:ascii="Arial" w:hAnsi="Arial" w:cs="Arial"/>
          <w:b/>
          <w:bCs/>
        </w:rPr>
      </w:pPr>
      <w:r w:rsidRPr="00A050BE">
        <w:rPr>
          <w:rFonts w:ascii="Arial" w:hAnsi="Arial" w:cs="Arial"/>
          <w:b/>
          <w:bCs/>
        </w:rPr>
        <w:t>Del informe enviado retomamos lo siguiente:</w:t>
      </w:r>
    </w:p>
    <w:p w14:paraId="34808836" w14:textId="77777777" w:rsidR="00561B22" w:rsidRPr="00A050B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A050BE" w14:paraId="65FC7572" w14:textId="77777777" w:rsidTr="00F1223B">
        <w:tc>
          <w:tcPr>
            <w:tcW w:w="846" w:type="dxa"/>
          </w:tcPr>
          <w:p w14:paraId="41F642C1" w14:textId="77777777" w:rsidR="00561B22" w:rsidRPr="00A050BE" w:rsidRDefault="00561B22" w:rsidP="00F1223B">
            <w:pPr>
              <w:ind w:right="-109"/>
              <w:jc w:val="center"/>
              <w:rPr>
                <w:rFonts w:ascii="Arial" w:hAnsi="Arial" w:cs="Arial"/>
                <w:b/>
                <w:sz w:val="22"/>
                <w:szCs w:val="22"/>
                <w:lang w:val="es-MX"/>
              </w:rPr>
            </w:pPr>
            <w:r w:rsidRPr="00A050BE">
              <w:rPr>
                <w:rFonts w:ascii="Arial" w:hAnsi="Arial" w:cs="Arial"/>
                <w:b/>
                <w:sz w:val="22"/>
                <w:szCs w:val="22"/>
                <w:lang w:val="es-MX"/>
              </w:rPr>
              <w:t>N°</w:t>
            </w:r>
          </w:p>
        </w:tc>
        <w:tc>
          <w:tcPr>
            <w:tcW w:w="9116" w:type="dxa"/>
          </w:tcPr>
          <w:p w14:paraId="1F6BB65D"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DEBILIDADES</w:t>
            </w:r>
          </w:p>
          <w:p w14:paraId="023FD5DF" w14:textId="77777777" w:rsidR="00561B22" w:rsidRPr="00A050BE" w:rsidRDefault="00561B22" w:rsidP="00F1223B">
            <w:pPr>
              <w:jc w:val="center"/>
              <w:rPr>
                <w:rFonts w:ascii="Arial" w:hAnsi="Arial" w:cs="Arial"/>
                <w:b/>
                <w:sz w:val="22"/>
                <w:szCs w:val="22"/>
                <w:lang w:val="es-MX"/>
              </w:rPr>
            </w:pPr>
          </w:p>
        </w:tc>
      </w:tr>
      <w:tr w:rsidR="00561B22" w:rsidRPr="00A050BE" w14:paraId="513CDE2B" w14:textId="77777777" w:rsidTr="00F1223B">
        <w:tc>
          <w:tcPr>
            <w:tcW w:w="846" w:type="dxa"/>
          </w:tcPr>
          <w:p w14:paraId="2132816B"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1</w:t>
            </w:r>
          </w:p>
        </w:tc>
        <w:tc>
          <w:tcPr>
            <w:tcW w:w="9116" w:type="dxa"/>
          </w:tcPr>
          <w:p w14:paraId="299B98AD" w14:textId="77777777" w:rsidR="00561B22" w:rsidRPr="00A050BE" w:rsidRDefault="00561B22" w:rsidP="00F1223B">
            <w:pPr>
              <w:jc w:val="both"/>
              <w:rPr>
                <w:rFonts w:ascii="Arial" w:hAnsi="Arial" w:cs="Arial"/>
                <w:sz w:val="22"/>
                <w:szCs w:val="22"/>
                <w:lang w:val="es-MX"/>
              </w:rPr>
            </w:pPr>
            <w:r w:rsidRPr="00A050BE">
              <w:rPr>
                <w:rFonts w:ascii="Arial" w:hAnsi="Arial" w:cs="Arial"/>
                <w:sz w:val="22"/>
                <w:szCs w:val="22"/>
                <w:lang w:val="es-MX"/>
              </w:rPr>
              <w:t>Dentro del Plan de Capacitaciones 2024, no se observó la inclusión de los temas de capacitación solicitados por el grupo interno de trabajo de contabilidad (Actualización tributaria y de Normas Contables).</w:t>
            </w:r>
          </w:p>
        </w:tc>
      </w:tr>
    </w:tbl>
    <w:p w14:paraId="2723EFBD" w14:textId="77777777" w:rsidR="00561B22" w:rsidRPr="00A050BE" w:rsidRDefault="00561B22" w:rsidP="00561B22">
      <w:pPr>
        <w:pStyle w:val="Textoindependiente"/>
        <w:ind w:right="-50"/>
        <w:jc w:val="both"/>
        <w:rPr>
          <w:rFonts w:ascii="Arial" w:hAnsi="Arial" w:cs="Arial"/>
          <w:b/>
          <w:bCs/>
        </w:rPr>
      </w:pPr>
    </w:p>
    <w:p w14:paraId="28B0F084" w14:textId="77777777" w:rsidR="00561B22" w:rsidRPr="00A050BE" w:rsidRDefault="00561B22" w:rsidP="00561B22">
      <w:pPr>
        <w:jc w:val="both"/>
        <w:rPr>
          <w:rFonts w:ascii="Arial" w:hAnsi="Arial" w:cs="Arial"/>
          <w:b/>
          <w:lang w:val="es-MX"/>
        </w:rPr>
      </w:pPr>
      <w:r w:rsidRPr="00A050BE">
        <w:rPr>
          <w:rFonts w:ascii="Arial" w:hAnsi="Arial" w:cs="Arial"/>
          <w:b/>
          <w:lang w:val="es-MX"/>
        </w:rPr>
        <w:t>Del citado informe retomamos las siguientes recomendaciones:</w:t>
      </w:r>
    </w:p>
    <w:p w14:paraId="2707BD0A" w14:textId="77777777" w:rsidR="00561B22" w:rsidRPr="00A050B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A050BE" w14:paraId="1DF6394B" w14:textId="77777777" w:rsidTr="00F1223B">
        <w:tc>
          <w:tcPr>
            <w:tcW w:w="846" w:type="dxa"/>
          </w:tcPr>
          <w:p w14:paraId="6EEBEE3D" w14:textId="77777777" w:rsidR="00561B22" w:rsidRPr="00A050BE" w:rsidRDefault="00561B22" w:rsidP="00F1223B">
            <w:pPr>
              <w:ind w:right="-109"/>
              <w:jc w:val="center"/>
              <w:rPr>
                <w:rFonts w:ascii="Arial" w:hAnsi="Arial" w:cs="Arial"/>
                <w:b/>
                <w:sz w:val="22"/>
                <w:szCs w:val="22"/>
                <w:lang w:val="es-MX"/>
              </w:rPr>
            </w:pPr>
            <w:r w:rsidRPr="00A050BE">
              <w:rPr>
                <w:rFonts w:ascii="Arial" w:hAnsi="Arial" w:cs="Arial"/>
                <w:b/>
                <w:sz w:val="22"/>
                <w:szCs w:val="22"/>
                <w:lang w:val="es-MX"/>
              </w:rPr>
              <w:t>N°</w:t>
            </w:r>
          </w:p>
        </w:tc>
        <w:tc>
          <w:tcPr>
            <w:tcW w:w="9116" w:type="dxa"/>
          </w:tcPr>
          <w:p w14:paraId="6C1F908B"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RECOMENDACIONES</w:t>
            </w:r>
          </w:p>
          <w:p w14:paraId="11F92467" w14:textId="77777777" w:rsidR="00561B22" w:rsidRPr="00A050BE" w:rsidRDefault="00561B22" w:rsidP="00F1223B">
            <w:pPr>
              <w:jc w:val="center"/>
              <w:rPr>
                <w:rFonts w:ascii="Arial" w:hAnsi="Arial" w:cs="Arial"/>
                <w:b/>
                <w:sz w:val="22"/>
                <w:szCs w:val="22"/>
                <w:lang w:val="es-MX"/>
              </w:rPr>
            </w:pPr>
          </w:p>
        </w:tc>
      </w:tr>
      <w:tr w:rsidR="00561B22" w:rsidRPr="00A050BE" w14:paraId="2B283C90" w14:textId="77777777" w:rsidTr="00F1223B">
        <w:tc>
          <w:tcPr>
            <w:tcW w:w="846" w:type="dxa"/>
          </w:tcPr>
          <w:p w14:paraId="0A00BCBA"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1</w:t>
            </w:r>
          </w:p>
        </w:tc>
        <w:tc>
          <w:tcPr>
            <w:tcW w:w="9116" w:type="dxa"/>
          </w:tcPr>
          <w:p w14:paraId="5954F42D" w14:textId="77777777" w:rsidR="00561B22" w:rsidRPr="00A050BE" w:rsidRDefault="00561B22" w:rsidP="00F1223B">
            <w:pPr>
              <w:jc w:val="both"/>
              <w:rPr>
                <w:rFonts w:ascii="Arial" w:hAnsi="Arial" w:cs="Arial"/>
                <w:sz w:val="22"/>
                <w:szCs w:val="22"/>
                <w:lang w:val="es-MX"/>
              </w:rPr>
            </w:pPr>
            <w:r w:rsidRPr="00A050BE">
              <w:rPr>
                <w:rFonts w:ascii="Arial" w:hAnsi="Arial" w:cs="Arial"/>
                <w:sz w:val="22"/>
                <w:szCs w:val="22"/>
                <w:lang w:val="es-MX"/>
              </w:rPr>
              <w:t>Relacionar la existencia del Manual de Políticas Contables en los procedimientos del área.</w:t>
            </w:r>
          </w:p>
        </w:tc>
      </w:tr>
      <w:tr w:rsidR="00561B22" w:rsidRPr="00A050BE" w14:paraId="0909798E" w14:textId="77777777" w:rsidTr="00F1223B">
        <w:tc>
          <w:tcPr>
            <w:tcW w:w="846" w:type="dxa"/>
          </w:tcPr>
          <w:p w14:paraId="41A82E77"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2</w:t>
            </w:r>
          </w:p>
        </w:tc>
        <w:tc>
          <w:tcPr>
            <w:tcW w:w="9116" w:type="dxa"/>
          </w:tcPr>
          <w:p w14:paraId="6C0B5003" w14:textId="77777777" w:rsidR="00561B22" w:rsidRPr="00A050BE" w:rsidRDefault="00561B22" w:rsidP="00F1223B">
            <w:pPr>
              <w:jc w:val="both"/>
              <w:rPr>
                <w:rFonts w:ascii="Arial" w:hAnsi="Arial" w:cs="Arial"/>
                <w:sz w:val="22"/>
                <w:szCs w:val="22"/>
                <w:lang w:val="es-MX"/>
              </w:rPr>
            </w:pPr>
            <w:r w:rsidRPr="00A050BE">
              <w:rPr>
                <w:rFonts w:ascii="Arial" w:hAnsi="Arial" w:cs="Arial"/>
                <w:sz w:val="22"/>
                <w:szCs w:val="22"/>
                <w:lang w:val="es-MX"/>
              </w:rPr>
              <w:t>Formular indicadores que permitan interpretar la realidad del proceso contable.</w:t>
            </w:r>
          </w:p>
        </w:tc>
      </w:tr>
      <w:tr w:rsidR="00561B22" w:rsidRPr="00A050BE" w14:paraId="6E461398" w14:textId="77777777" w:rsidTr="00F1223B">
        <w:tc>
          <w:tcPr>
            <w:tcW w:w="846" w:type="dxa"/>
          </w:tcPr>
          <w:p w14:paraId="4B88F6CE"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3</w:t>
            </w:r>
          </w:p>
        </w:tc>
        <w:tc>
          <w:tcPr>
            <w:tcW w:w="9116" w:type="dxa"/>
          </w:tcPr>
          <w:p w14:paraId="60711BD8" w14:textId="77777777" w:rsidR="00561B22" w:rsidRPr="00A050BE" w:rsidRDefault="00561B22" w:rsidP="00F1223B">
            <w:pPr>
              <w:jc w:val="both"/>
              <w:rPr>
                <w:rFonts w:ascii="Arial" w:hAnsi="Arial" w:cs="Arial"/>
                <w:sz w:val="22"/>
                <w:szCs w:val="22"/>
                <w:lang w:val="es-MX"/>
              </w:rPr>
            </w:pPr>
            <w:r w:rsidRPr="00A050BE">
              <w:rPr>
                <w:rFonts w:ascii="Arial" w:hAnsi="Arial" w:cs="Arial"/>
                <w:sz w:val="22"/>
                <w:szCs w:val="22"/>
                <w:lang w:val="es-MX"/>
              </w:rPr>
              <w:t>Fortalecer la gestión de evidencias relacionadas con las socializaciones, dado que no se observaron soportes en todas las actividades realizadas.</w:t>
            </w:r>
          </w:p>
        </w:tc>
      </w:tr>
      <w:tr w:rsidR="00561B22" w:rsidRPr="00A050BE" w14:paraId="0A473924" w14:textId="77777777" w:rsidTr="00F1223B">
        <w:tc>
          <w:tcPr>
            <w:tcW w:w="846" w:type="dxa"/>
          </w:tcPr>
          <w:p w14:paraId="116A9E2A"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t>4</w:t>
            </w:r>
          </w:p>
        </w:tc>
        <w:tc>
          <w:tcPr>
            <w:tcW w:w="9116" w:type="dxa"/>
          </w:tcPr>
          <w:p w14:paraId="4242731F" w14:textId="77777777" w:rsidR="00561B22" w:rsidRPr="00A050BE" w:rsidRDefault="00561B22" w:rsidP="00F1223B">
            <w:pPr>
              <w:jc w:val="both"/>
              <w:rPr>
                <w:rFonts w:ascii="Arial" w:hAnsi="Arial" w:cs="Arial"/>
                <w:sz w:val="22"/>
                <w:szCs w:val="22"/>
                <w:lang w:val="es-MX"/>
              </w:rPr>
            </w:pPr>
            <w:r w:rsidRPr="00A050BE">
              <w:rPr>
                <w:rFonts w:ascii="Arial" w:hAnsi="Arial" w:cs="Arial"/>
                <w:sz w:val="22"/>
                <w:szCs w:val="22"/>
                <w:lang w:val="es-MX"/>
              </w:rPr>
              <w:t>Fortalecer la frecuencia y cobertura de las socializaciones de políticas, instrumentos, directrices y procedimientos del proceso, dado que para la vigencia 2024 se observó el acta No.01 y No.02 de diciembre 02 y 09 respectivamente, en donde solo participan el grupo de trabajo interno</w:t>
            </w:r>
          </w:p>
        </w:tc>
      </w:tr>
      <w:tr w:rsidR="00561B22" w:rsidRPr="00A050BE" w14:paraId="7D31B707" w14:textId="77777777" w:rsidTr="00F1223B">
        <w:tc>
          <w:tcPr>
            <w:tcW w:w="846" w:type="dxa"/>
          </w:tcPr>
          <w:p w14:paraId="6967DB7D" w14:textId="77777777" w:rsidR="00561B22" w:rsidRPr="00A050BE" w:rsidRDefault="00561B22" w:rsidP="00F1223B">
            <w:pPr>
              <w:jc w:val="center"/>
              <w:rPr>
                <w:rFonts w:ascii="Arial" w:hAnsi="Arial" w:cs="Arial"/>
                <w:b/>
                <w:sz w:val="22"/>
                <w:szCs w:val="22"/>
                <w:lang w:val="es-MX"/>
              </w:rPr>
            </w:pPr>
            <w:r w:rsidRPr="00A050BE">
              <w:rPr>
                <w:rFonts w:ascii="Arial" w:hAnsi="Arial" w:cs="Arial"/>
                <w:b/>
                <w:sz w:val="22"/>
                <w:szCs w:val="22"/>
                <w:lang w:val="es-MX"/>
              </w:rPr>
              <w:lastRenderedPageBreak/>
              <w:t>5</w:t>
            </w:r>
          </w:p>
        </w:tc>
        <w:tc>
          <w:tcPr>
            <w:tcW w:w="9116" w:type="dxa"/>
          </w:tcPr>
          <w:p w14:paraId="505C3A34" w14:textId="77777777" w:rsidR="00561B22" w:rsidRPr="00A050BE" w:rsidRDefault="00561B22" w:rsidP="00F1223B">
            <w:pPr>
              <w:jc w:val="both"/>
              <w:rPr>
                <w:rFonts w:ascii="Arial" w:hAnsi="Arial" w:cs="Arial"/>
                <w:sz w:val="22"/>
                <w:szCs w:val="22"/>
                <w:lang w:val="es-MX"/>
              </w:rPr>
            </w:pPr>
            <w:r w:rsidRPr="00A050BE">
              <w:rPr>
                <w:rFonts w:ascii="Arial" w:hAnsi="Arial" w:cs="Arial"/>
                <w:sz w:val="22"/>
                <w:szCs w:val="22"/>
                <w:lang w:val="es-MX"/>
              </w:rPr>
              <w:t>Generar explicaciones que faciliten a los diferentes usuarios la comprensión de la información financiera presentada en el informe de rendición de cuentas.</w:t>
            </w:r>
          </w:p>
        </w:tc>
      </w:tr>
    </w:tbl>
    <w:p w14:paraId="77477516" w14:textId="77777777" w:rsidR="00561B22" w:rsidRPr="00A050BE" w:rsidRDefault="00561B22" w:rsidP="00561B22">
      <w:pPr>
        <w:pStyle w:val="Textoindependiente"/>
        <w:ind w:right="-50"/>
        <w:jc w:val="both"/>
        <w:rPr>
          <w:rFonts w:ascii="Arial" w:hAnsi="Arial" w:cs="Arial"/>
          <w:b/>
          <w:bCs/>
        </w:rPr>
      </w:pPr>
    </w:p>
    <w:p w14:paraId="0B63BC6A" w14:textId="77777777" w:rsidR="00561B22" w:rsidRPr="00A050BE" w:rsidRDefault="00561B22" w:rsidP="00561B22">
      <w:pPr>
        <w:jc w:val="both"/>
        <w:rPr>
          <w:rFonts w:ascii="Arial" w:hAnsi="Arial" w:cs="Arial"/>
          <w:b/>
          <w:bCs/>
          <w:sz w:val="24"/>
          <w:szCs w:val="24"/>
          <w:lang w:val="es-CO"/>
        </w:rPr>
      </w:pPr>
      <w:r w:rsidRPr="00A050BE">
        <w:rPr>
          <w:rFonts w:ascii="Arial" w:hAnsi="Arial" w:cs="Arial"/>
          <w:b/>
          <w:bCs/>
          <w:sz w:val="24"/>
          <w:szCs w:val="24"/>
          <w:lang w:val="es-CO"/>
        </w:rPr>
        <w:t xml:space="preserve">NOTA: LA ENTIDAD ENVIA LA MATRIZ DE AUTOEVALUACIÓN DEL SISTEMA DE CONTROL INTERNO CONTABLE CON </w:t>
      </w:r>
      <w:r w:rsidRPr="00A050BE">
        <w:rPr>
          <w:rFonts w:ascii="Arial" w:hAnsi="Arial" w:cs="Arial"/>
          <w:b/>
          <w:bCs/>
          <w:sz w:val="24"/>
          <w:szCs w:val="24"/>
          <w:u w:val="single"/>
          <w:lang w:val="es-CO"/>
        </w:rPr>
        <w:t>ACTIVIDADES DE CONTROL REALIZADAS EN FORMA PARCIAL</w:t>
      </w:r>
      <w:r w:rsidRPr="00A050BE">
        <w:rPr>
          <w:rFonts w:ascii="Arial" w:hAnsi="Arial" w:cs="Arial"/>
          <w:b/>
          <w:bCs/>
          <w:sz w:val="24"/>
          <w:szCs w:val="24"/>
          <w:lang w:val="es-CO"/>
        </w:rPr>
        <w:t>.</w:t>
      </w:r>
    </w:p>
    <w:p w14:paraId="0C3FE5E2" w14:textId="77777777" w:rsidR="00561B22" w:rsidRDefault="00561B22" w:rsidP="00561B22">
      <w:pPr>
        <w:ind w:left="142"/>
        <w:jc w:val="both"/>
        <w:rPr>
          <w:rFonts w:ascii="Arial" w:hAnsi="Arial" w:cs="Arial"/>
          <w:b/>
        </w:rPr>
      </w:pPr>
    </w:p>
    <w:p w14:paraId="0A62CB7F" w14:textId="77777777" w:rsidR="00561B22" w:rsidRPr="00803323" w:rsidRDefault="00561B22" w:rsidP="00561B22">
      <w:pPr>
        <w:jc w:val="both"/>
        <w:rPr>
          <w:rFonts w:ascii="Arial" w:hAnsi="Arial" w:cs="Arial"/>
          <w:b/>
          <w:sz w:val="28"/>
          <w:szCs w:val="28"/>
          <w:lang w:val="es-MX"/>
        </w:rPr>
      </w:pPr>
      <w:r w:rsidRPr="00803323">
        <w:rPr>
          <w:rFonts w:ascii="Arial" w:hAnsi="Arial" w:cs="Arial"/>
          <w:b/>
          <w:sz w:val="28"/>
          <w:szCs w:val="28"/>
          <w:lang w:val="es-MX"/>
        </w:rPr>
        <w:t>15.- FONDO DE PREVISIÓN SOCIAL DEL CONGRESO DE LA REPÚBLICA – PATRIMONIO AUTÓNOMO DE SOBREVIVENCIA.</w:t>
      </w:r>
    </w:p>
    <w:p w14:paraId="0B258A0D" w14:textId="77777777" w:rsidR="00561B22" w:rsidRDefault="00561B22" w:rsidP="00561B22">
      <w:pPr>
        <w:ind w:left="142"/>
        <w:jc w:val="both"/>
        <w:rPr>
          <w:rFonts w:ascii="Arial" w:hAnsi="Arial" w:cs="Arial"/>
          <w:b/>
        </w:rPr>
      </w:pPr>
    </w:p>
    <w:p w14:paraId="3A2DD011" w14:textId="77777777" w:rsidR="00561B22" w:rsidRPr="00803323" w:rsidRDefault="00561B22" w:rsidP="00561B22">
      <w:pPr>
        <w:pStyle w:val="Textoindependiente"/>
        <w:ind w:right="-50"/>
        <w:jc w:val="center"/>
        <w:rPr>
          <w:rFonts w:ascii="Arial" w:hAnsi="Arial" w:cs="Arial"/>
          <w:b/>
          <w:bCs/>
        </w:rPr>
      </w:pPr>
      <w:r w:rsidRPr="00803323">
        <w:rPr>
          <w:rFonts w:ascii="Arial" w:hAnsi="Arial" w:cs="Arial"/>
          <w:b/>
          <w:bCs/>
        </w:rPr>
        <w:t>INFORME DE LA AUTOCALIFICACIÓN DEL SISTEMA DE CONTROL INTERNO CONTABLE:</w:t>
      </w:r>
    </w:p>
    <w:p w14:paraId="0A93F0A0" w14:textId="77777777" w:rsidR="00561B22" w:rsidRPr="0080332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03323" w14:paraId="2B199B15" w14:textId="77777777" w:rsidTr="00F1223B">
        <w:tc>
          <w:tcPr>
            <w:tcW w:w="4981" w:type="dxa"/>
          </w:tcPr>
          <w:p w14:paraId="6882D26F"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AUTOCALIFICACIÓN</w:t>
            </w:r>
          </w:p>
        </w:tc>
        <w:tc>
          <w:tcPr>
            <w:tcW w:w="4981" w:type="dxa"/>
          </w:tcPr>
          <w:p w14:paraId="7DCFE1E2" w14:textId="77777777" w:rsidR="00561B22" w:rsidRPr="00803323" w:rsidRDefault="00561B22" w:rsidP="00F1223B">
            <w:pPr>
              <w:jc w:val="center"/>
              <w:rPr>
                <w:rFonts w:ascii="Arial" w:hAnsi="Arial" w:cs="Arial"/>
                <w:b/>
                <w:sz w:val="22"/>
                <w:szCs w:val="22"/>
                <w:u w:val="single"/>
                <w:lang w:val="es-MX"/>
              </w:rPr>
            </w:pPr>
            <w:r w:rsidRPr="00803323">
              <w:rPr>
                <w:rFonts w:ascii="Arial" w:hAnsi="Arial" w:cs="Arial"/>
                <w:b/>
                <w:sz w:val="22"/>
                <w:szCs w:val="22"/>
                <w:u w:val="single"/>
                <w:lang w:val="es-MX"/>
              </w:rPr>
              <w:t>4.92</w:t>
            </w:r>
          </w:p>
        </w:tc>
      </w:tr>
    </w:tbl>
    <w:p w14:paraId="105F3166" w14:textId="77777777" w:rsidR="00561B22" w:rsidRPr="00803323" w:rsidRDefault="00561B22" w:rsidP="00561B22">
      <w:pPr>
        <w:pStyle w:val="Textoindependiente"/>
        <w:ind w:right="-50"/>
        <w:jc w:val="both"/>
        <w:rPr>
          <w:rFonts w:ascii="Arial" w:hAnsi="Arial" w:cs="Arial"/>
          <w:b/>
          <w:bCs/>
        </w:rPr>
      </w:pPr>
    </w:p>
    <w:p w14:paraId="2EF6D572" w14:textId="77777777" w:rsidR="00561B22" w:rsidRPr="00803323" w:rsidRDefault="00561B22" w:rsidP="00561B22">
      <w:pPr>
        <w:pStyle w:val="Textoindependiente"/>
        <w:ind w:right="-50"/>
        <w:jc w:val="both"/>
        <w:rPr>
          <w:rFonts w:ascii="Arial" w:hAnsi="Arial" w:cs="Arial"/>
          <w:b/>
          <w:bCs/>
        </w:rPr>
      </w:pPr>
      <w:r w:rsidRPr="00803323">
        <w:rPr>
          <w:rFonts w:ascii="Arial" w:hAnsi="Arial" w:cs="Arial"/>
          <w:b/>
          <w:bCs/>
        </w:rPr>
        <w:t>Del informe enviado retomamos lo siguiente:</w:t>
      </w:r>
    </w:p>
    <w:p w14:paraId="4E674384" w14:textId="77777777" w:rsidR="00561B22" w:rsidRPr="0080332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03323" w14:paraId="0DC7F60A" w14:textId="77777777" w:rsidTr="00F1223B">
        <w:tc>
          <w:tcPr>
            <w:tcW w:w="846" w:type="dxa"/>
          </w:tcPr>
          <w:p w14:paraId="6A95F545" w14:textId="77777777" w:rsidR="00561B22" w:rsidRPr="00803323" w:rsidRDefault="00561B22" w:rsidP="00F1223B">
            <w:pPr>
              <w:ind w:right="-109"/>
              <w:jc w:val="center"/>
              <w:rPr>
                <w:rFonts w:ascii="Arial" w:hAnsi="Arial" w:cs="Arial"/>
                <w:b/>
                <w:sz w:val="22"/>
                <w:szCs w:val="22"/>
                <w:lang w:val="es-MX"/>
              </w:rPr>
            </w:pPr>
            <w:r w:rsidRPr="00803323">
              <w:rPr>
                <w:rFonts w:ascii="Arial" w:hAnsi="Arial" w:cs="Arial"/>
                <w:b/>
                <w:sz w:val="22"/>
                <w:szCs w:val="22"/>
                <w:lang w:val="es-MX"/>
              </w:rPr>
              <w:t>N°</w:t>
            </w:r>
          </w:p>
        </w:tc>
        <w:tc>
          <w:tcPr>
            <w:tcW w:w="9116" w:type="dxa"/>
          </w:tcPr>
          <w:p w14:paraId="15EF3B80"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DEBILIDADES</w:t>
            </w:r>
          </w:p>
          <w:p w14:paraId="15CA5267" w14:textId="77777777" w:rsidR="00561B22" w:rsidRPr="00803323" w:rsidRDefault="00561B22" w:rsidP="00F1223B">
            <w:pPr>
              <w:jc w:val="center"/>
              <w:rPr>
                <w:rFonts w:ascii="Arial" w:hAnsi="Arial" w:cs="Arial"/>
                <w:b/>
                <w:sz w:val="22"/>
                <w:szCs w:val="22"/>
                <w:lang w:val="es-MX"/>
              </w:rPr>
            </w:pPr>
          </w:p>
        </w:tc>
      </w:tr>
      <w:tr w:rsidR="00561B22" w:rsidRPr="00803323" w14:paraId="5B44FCCF" w14:textId="77777777" w:rsidTr="00F1223B">
        <w:tc>
          <w:tcPr>
            <w:tcW w:w="846" w:type="dxa"/>
          </w:tcPr>
          <w:p w14:paraId="4B368F16"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1</w:t>
            </w:r>
          </w:p>
        </w:tc>
        <w:tc>
          <w:tcPr>
            <w:tcW w:w="9116" w:type="dxa"/>
          </w:tcPr>
          <w:p w14:paraId="071C1457" w14:textId="77777777" w:rsidR="00561B22" w:rsidRPr="00803323" w:rsidRDefault="00561B22" w:rsidP="00F1223B">
            <w:pPr>
              <w:jc w:val="both"/>
              <w:rPr>
                <w:rFonts w:ascii="Arial" w:hAnsi="Arial" w:cs="Arial"/>
                <w:sz w:val="22"/>
                <w:szCs w:val="22"/>
                <w:lang w:val="es-MX"/>
              </w:rPr>
            </w:pPr>
            <w:r w:rsidRPr="00803323">
              <w:rPr>
                <w:rFonts w:ascii="Arial" w:hAnsi="Arial" w:cs="Arial"/>
                <w:sz w:val="22"/>
                <w:szCs w:val="22"/>
                <w:lang w:val="es-MX"/>
              </w:rPr>
              <w:t>Dentro del Plan de Capacitaciones 2024, no se observó la inclusión de los temas de capacitación solicitados por el grupo interno de trabajo de contabilidad (Actualización tributaria y de Normas Contables).</w:t>
            </w:r>
          </w:p>
        </w:tc>
      </w:tr>
    </w:tbl>
    <w:p w14:paraId="00A37BAD" w14:textId="77777777" w:rsidR="00561B22" w:rsidRPr="00803323" w:rsidRDefault="00561B22" w:rsidP="00561B22">
      <w:pPr>
        <w:pStyle w:val="Textoindependiente"/>
        <w:ind w:right="-50"/>
        <w:jc w:val="both"/>
        <w:rPr>
          <w:rFonts w:ascii="Arial" w:hAnsi="Arial" w:cs="Arial"/>
          <w:b/>
          <w:bCs/>
        </w:rPr>
      </w:pPr>
    </w:p>
    <w:p w14:paraId="1ACC5399" w14:textId="77777777" w:rsidR="00561B22" w:rsidRPr="00803323" w:rsidRDefault="00561B22" w:rsidP="00561B22">
      <w:pPr>
        <w:jc w:val="both"/>
        <w:rPr>
          <w:rFonts w:ascii="Arial" w:hAnsi="Arial" w:cs="Arial"/>
          <w:b/>
          <w:lang w:val="es-MX"/>
        </w:rPr>
      </w:pPr>
      <w:r w:rsidRPr="00803323">
        <w:rPr>
          <w:rFonts w:ascii="Arial" w:hAnsi="Arial" w:cs="Arial"/>
          <w:b/>
          <w:lang w:val="es-MX"/>
        </w:rPr>
        <w:t>Del citado informe retomamos las siguientes recomendaciones:</w:t>
      </w:r>
    </w:p>
    <w:p w14:paraId="2BAFCD75" w14:textId="77777777" w:rsidR="00561B22" w:rsidRPr="0080332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03323" w14:paraId="0D3355AD" w14:textId="77777777" w:rsidTr="00F1223B">
        <w:tc>
          <w:tcPr>
            <w:tcW w:w="846" w:type="dxa"/>
          </w:tcPr>
          <w:p w14:paraId="1269BB50" w14:textId="77777777" w:rsidR="00561B22" w:rsidRPr="00803323" w:rsidRDefault="00561B22" w:rsidP="00F1223B">
            <w:pPr>
              <w:ind w:right="-109"/>
              <w:jc w:val="center"/>
              <w:rPr>
                <w:rFonts w:ascii="Arial" w:hAnsi="Arial" w:cs="Arial"/>
                <w:b/>
                <w:sz w:val="22"/>
                <w:szCs w:val="22"/>
                <w:lang w:val="es-MX"/>
              </w:rPr>
            </w:pPr>
            <w:r w:rsidRPr="00803323">
              <w:rPr>
                <w:rFonts w:ascii="Arial" w:hAnsi="Arial" w:cs="Arial"/>
                <w:b/>
                <w:sz w:val="22"/>
                <w:szCs w:val="22"/>
                <w:lang w:val="es-MX"/>
              </w:rPr>
              <w:t>N°</w:t>
            </w:r>
          </w:p>
        </w:tc>
        <w:tc>
          <w:tcPr>
            <w:tcW w:w="9116" w:type="dxa"/>
          </w:tcPr>
          <w:p w14:paraId="7D43B7ED"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RECOMENDACIONES</w:t>
            </w:r>
          </w:p>
          <w:p w14:paraId="29F3E8B6" w14:textId="77777777" w:rsidR="00561B22" w:rsidRPr="00803323" w:rsidRDefault="00561B22" w:rsidP="00F1223B">
            <w:pPr>
              <w:jc w:val="center"/>
              <w:rPr>
                <w:rFonts w:ascii="Arial" w:hAnsi="Arial" w:cs="Arial"/>
                <w:b/>
                <w:sz w:val="22"/>
                <w:szCs w:val="22"/>
                <w:lang w:val="es-MX"/>
              </w:rPr>
            </w:pPr>
          </w:p>
        </w:tc>
      </w:tr>
      <w:tr w:rsidR="00561B22" w:rsidRPr="00803323" w14:paraId="479839E9" w14:textId="77777777" w:rsidTr="00F1223B">
        <w:tc>
          <w:tcPr>
            <w:tcW w:w="846" w:type="dxa"/>
          </w:tcPr>
          <w:p w14:paraId="056A933C"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1</w:t>
            </w:r>
          </w:p>
        </w:tc>
        <w:tc>
          <w:tcPr>
            <w:tcW w:w="9116" w:type="dxa"/>
          </w:tcPr>
          <w:p w14:paraId="649F1FEA" w14:textId="77777777" w:rsidR="00561B22" w:rsidRPr="00803323" w:rsidRDefault="00561B22" w:rsidP="00F1223B">
            <w:pPr>
              <w:jc w:val="both"/>
              <w:rPr>
                <w:rFonts w:ascii="Arial" w:hAnsi="Arial" w:cs="Arial"/>
                <w:sz w:val="22"/>
                <w:szCs w:val="22"/>
                <w:lang w:val="es-MX"/>
              </w:rPr>
            </w:pPr>
            <w:r w:rsidRPr="00803323">
              <w:rPr>
                <w:rFonts w:ascii="Arial" w:hAnsi="Arial" w:cs="Arial"/>
                <w:sz w:val="22"/>
                <w:szCs w:val="22"/>
                <w:lang w:val="es-MX"/>
              </w:rPr>
              <w:t>Relacionar la existencia del Manual de Políticas Contables en los procedimientos del área.</w:t>
            </w:r>
          </w:p>
        </w:tc>
      </w:tr>
      <w:tr w:rsidR="00561B22" w:rsidRPr="00803323" w14:paraId="28D1197C" w14:textId="77777777" w:rsidTr="00F1223B">
        <w:tc>
          <w:tcPr>
            <w:tcW w:w="846" w:type="dxa"/>
          </w:tcPr>
          <w:p w14:paraId="35F27AAF"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2</w:t>
            </w:r>
          </w:p>
        </w:tc>
        <w:tc>
          <w:tcPr>
            <w:tcW w:w="9116" w:type="dxa"/>
          </w:tcPr>
          <w:p w14:paraId="325959A7" w14:textId="77777777" w:rsidR="00561B22" w:rsidRPr="00803323" w:rsidRDefault="00561B22" w:rsidP="00F1223B">
            <w:pPr>
              <w:tabs>
                <w:tab w:val="left" w:pos="914"/>
              </w:tabs>
              <w:jc w:val="both"/>
              <w:rPr>
                <w:rFonts w:ascii="Arial" w:hAnsi="Arial" w:cs="Arial"/>
                <w:sz w:val="22"/>
                <w:szCs w:val="22"/>
                <w:lang w:val="es-MX"/>
              </w:rPr>
            </w:pPr>
            <w:r w:rsidRPr="00803323">
              <w:rPr>
                <w:rFonts w:ascii="Arial" w:hAnsi="Arial" w:cs="Arial"/>
                <w:sz w:val="22"/>
                <w:szCs w:val="22"/>
                <w:lang w:val="es-MX"/>
              </w:rPr>
              <w:t>Formular indicadores que permitan interpretar la realidad del proceso contable.</w:t>
            </w:r>
          </w:p>
        </w:tc>
      </w:tr>
      <w:tr w:rsidR="00561B22" w:rsidRPr="00803323" w14:paraId="74B9AB60" w14:textId="77777777" w:rsidTr="00F1223B">
        <w:tc>
          <w:tcPr>
            <w:tcW w:w="846" w:type="dxa"/>
          </w:tcPr>
          <w:p w14:paraId="78CB7E43"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3</w:t>
            </w:r>
          </w:p>
        </w:tc>
        <w:tc>
          <w:tcPr>
            <w:tcW w:w="9116" w:type="dxa"/>
          </w:tcPr>
          <w:p w14:paraId="31B7D6D6" w14:textId="77777777" w:rsidR="00561B22" w:rsidRPr="00803323" w:rsidRDefault="00561B22" w:rsidP="00F1223B">
            <w:pPr>
              <w:jc w:val="both"/>
              <w:rPr>
                <w:rFonts w:ascii="Arial" w:hAnsi="Arial" w:cs="Arial"/>
                <w:sz w:val="22"/>
                <w:szCs w:val="22"/>
                <w:lang w:val="es-MX"/>
              </w:rPr>
            </w:pPr>
            <w:r w:rsidRPr="00803323">
              <w:rPr>
                <w:rFonts w:ascii="Arial" w:hAnsi="Arial" w:cs="Arial"/>
                <w:sz w:val="22"/>
                <w:szCs w:val="22"/>
                <w:lang w:val="es-MX"/>
              </w:rPr>
              <w:t>Fortalecer la gestión de evidencias relacionadas con las socializaciones, dado que no se observaron soportes en todas las actividades realizadas.</w:t>
            </w:r>
          </w:p>
        </w:tc>
      </w:tr>
      <w:tr w:rsidR="00561B22" w:rsidRPr="00803323" w14:paraId="3B46381E" w14:textId="77777777" w:rsidTr="00F1223B">
        <w:tc>
          <w:tcPr>
            <w:tcW w:w="846" w:type="dxa"/>
          </w:tcPr>
          <w:p w14:paraId="11F087B3"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4</w:t>
            </w:r>
          </w:p>
        </w:tc>
        <w:tc>
          <w:tcPr>
            <w:tcW w:w="9116" w:type="dxa"/>
          </w:tcPr>
          <w:p w14:paraId="5392A163" w14:textId="77777777" w:rsidR="00561B22" w:rsidRPr="00803323" w:rsidRDefault="00561B22" w:rsidP="00F1223B">
            <w:pPr>
              <w:jc w:val="both"/>
              <w:rPr>
                <w:rFonts w:ascii="Arial" w:hAnsi="Arial" w:cs="Arial"/>
                <w:sz w:val="22"/>
                <w:szCs w:val="22"/>
                <w:lang w:val="es-MX"/>
              </w:rPr>
            </w:pPr>
            <w:r w:rsidRPr="00803323">
              <w:rPr>
                <w:rFonts w:ascii="Arial" w:hAnsi="Arial" w:cs="Arial"/>
                <w:sz w:val="22"/>
                <w:szCs w:val="22"/>
                <w:lang w:val="es-MX"/>
              </w:rPr>
              <w:t>Fortalecer la frecuencia y cobertura de las socializaciones de políticas, instrumentos, directrices y procedimientos del proceso, dado que para la vigencia 2024 se observó el acta No.01 y No.02 de diciembre 02 y 09 respectivamente, en donde solo participan el grupo de trabajo interno</w:t>
            </w:r>
          </w:p>
        </w:tc>
      </w:tr>
      <w:tr w:rsidR="00561B22" w:rsidRPr="00803323" w14:paraId="595A5A3D" w14:textId="77777777" w:rsidTr="00F1223B">
        <w:tc>
          <w:tcPr>
            <w:tcW w:w="846" w:type="dxa"/>
          </w:tcPr>
          <w:p w14:paraId="0FE3B8FC" w14:textId="77777777" w:rsidR="00561B22" w:rsidRPr="00803323" w:rsidRDefault="00561B22" w:rsidP="00F1223B">
            <w:pPr>
              <w:jc w:val="center"/>
              <w:rPr>
                <w:rFonts w:ascii="Arial" w:hAnsi="Arial" w:cs="Arial"/>
                <w:b/>
                <w:sz w:val="22"/>
                <w:szCs w:val="22"/>
                <w:lang w:val="es-MX"/>
              </w:rPr>
            </w:pPr>
            <w:r w:rsidRPr="00803323">
              <w:rPr>
                <w:rFonts w:ascii="Arial" w:hAnsi="Arial" w:cs="Arial"/>
                <w:b/>
                <w:sz w:val="22"/>
                <w:szCs w:val="22"/>
                <w:lang w:val="es-MX"/>
              </w:rPr>
              <w:t>5</w:t>
            </w:r>
          </w:p>
        </w:tc>
        <w:tc>
          <w:tcPr>
            <w:tcW w:w="9116" w:type="dxa"/>
          </w:tcPr>
          <w:p w14:paraId="2E3C461C" w14:textId="77777777" w:rsidR="00561B22" w:rsidRPr="00803323" w:rsidRDefault="00561B22" w:rsidP="00F1223B">
            <w:pPr>
              <w:jc w:val="both"/>
              <w:rPr>
                <w:rFonts w:ascii="Arial" w:hAnsi="Arial" w:cs="Arial"/>
                <w:sz w:val="22"/>
                <w:szCs w:val="22"/>
                <w:lang w:val="es-MX"/>
              </w:rPr>
            </w:pPr>
            <w:r w:rsidRPr="00803323">
              <w:rPr>
                <w:rFonts w:ascii="Arial" w:hAnsi="Arial" w:cs="Arial"/>
                <w:sz w:val="22"/>
                <w:szCs w:val="22"/>
                <w:lang w:val="es-MX"/>
              </w:rPr>
              <w:t>Generar explicaciones que faciliten a los diferentes usuarios la comprensión de la información financiera presentada en el informe de rendición de cuentas.</w:t>
            </w:r>
          </w:p>
        </w:tc>
      </w:tr>
    </w:tbl>
    <w:p w14:paraId="7A44CD98" w14:textId="77777777" w:rsidR="00561B22" w:rsidRPr="00803323" w:rsidRDefault="00561B22" w:rsidP="00561B22">
      <w:pPr>
        <w:pStyle w:val="Textoindependiente"/>
        <w:ind w:right="-50"/>
        <w:jc w:val="both"/>
        <w:rPr>
          <w:rFonts w:ascii="Arial" w:hAnsi="Arial" w:cs="Arial"/>
          <w:b/>
          <w:bCs/>
          <w:sz w:val="28"/>
          <w:szCs w:val="28"/>
        </w:rPr>
      </w:pPr>
    </w:p>
    <w:p w14:paraId="3C902E97" w14:textId="77777777" w:rsidR="00561B22" w:rsidRPr="00803323" w:rsidRDefault="00561B22" w:rsidP="00561B22">
      <w:pPr>
        <w:jc w:val="both"/>
        <w:rPr>
          <w:rFonts w:ascii="Arial" w:hAnsi="Arial" w:cs="Arial"/>
          <w:b/>
          <w:bCs/>
          <w:sz w:val="24"/>
          <w:szCs w:val="24"/>
          <w:lang w:val="es-CO"/>
        </w:rPr>
      </w:pPr>
      <w:r w:rsidRPr="00803323">
        <w:rPr>
          <w:rFonts w:ascii="Arial" w:hAnsi="Arial" w:cs="Arial"/>
          <w:b/>
          <w:bCs/>
          <w:sz w:val="24"/>
          <w:szCs w:val="24"/>
          <w:lang w:val="es-CO"/>
        </w:rPr>
        <w:t xml:space="preserve">NOTA: LA ENTIDAD ENVIA LA MATRIZ DE AUTOEVALUACIÓN DEL SISTEMA DE CONTROL INTERNO CONTABLE CON </w:t>
      </w:r>
      <w:r w:rsidRPr="00803323">
        <w:rPr>
          <w:rFonts w:ascii="Arial" w:hAnsi="Arial" w:cs="Arial"/>
          <w:b/>
          <w:bCs/>
          <w:sz w:val="24"/>
          <w:szCs w:val="24"/>
          <w:u w:val="single"/>
          <w:lang w:val="es-CO"/>
        </w:rPr>
        <w:t>ACTIVIDADES DE CONTROL REALIZADAS EN FORMA PARCIAL</w:t>
      </w:r>
      <w:r w:rsidRPr="00803323">
        <w:rPr>
          <w:rFonts w:ascii="Arial" w:hAnsi="Arial" w:cs="Arial"/>
          <w:b/>
          <w:bCs/>
          <w:sz w:val="24"/>
          <w:szCs w:val="24"/>
          <w:lang w:val="es-CO"/>
        </w:rPr>
        <w:t>.</w:t>
      </w:r>
    </w:p>
    <w:p w14:paraId="02581FC4" w14:textId="77777777" w:rsidR="00561B22" w:rsidRPr="00803323" w:rsidRDefault="00561B22" w:rsidP="00561B22">
      <w:pPr>
        <w:pStyle w:val="Textoindependiente"/>
        <w:ind w:right="-50"/>
        <w:jc w:val="both"/>
        <w:rPr>
          <w:rFonts w:ascii="Arial" w:hAnsi="Arial" w:cs="Arial"/>
          <w:b/>
          <w:bCs/>
          <w:sz w:val="28"/>
          <w:szCs w:val="28"/>
        </w:rPr>
      </w:pPr>
    </w:p>
    <w:p w14:paraId="09C74B91" w14:textId="77777777" w:rsidR="00561B22" w:rsidRPr="005B113E" w:rsidRDefault="00561B22" w:rsidP="00561B22">
      <w:pPr>
        <w:jc w:val="both"/>
        <w:rPr>
          <w:rFonts w:ascii="Arial" w:hAnsi="Arial" w:cs="Arial"/>
          <w:b/>
          <w:sz w:val="28"/>
          <w:szCs w:val="28"/>
          <w:lang w:val="es-MX"/>
        </w:rPr>
      </w:pPr>
      <w:r w:rsidRPr="005B113E">
        <w:rPr>
          <w:rFonts w:ascii="Arial" w:hAnsi="Arial" w:cs="Arial"/>
          <w:b/>
          <w:sz w:val="28"/>
          <w:szCs w:val="28"/>
          <w:lang w:val="es-MX"/>
        </w:rPr>
        <w:t xml:space="preserve">16.- CONSEJO PROFESIONAL DE INGENIERÍA DE PETROLEOS - </w:t>
      </w:r>
      <w:r w:rsidRPr="005B113E">
        <w:rPr>
          <w:rFonts w:ascii="Arial" w:hAnsi="Arial" w:cs="Arial"/>
          <w:b/>
          <w:sz w:val="28"/>
          <w:szCs w:val="28"/>
        </w:rPr>
        <w:t>CPIP.</w:t>
      </w:r>
    </w:p>
    <w:p w14:paraId="3DAAB758" w14:textId="77777777" w:rsidR="00561B22" w:rsidRDefault="00561B22" w:rsidP="00561B22">
      <w:pPr>
        <w:ind w:left="142"/>
        <w:jc w:val="both"/>
        <w:rPr>
          <w:rFonts w:ascii="Arial" w:hAnsi="Arial" w:cs="Arial"/>
          <w:b/>
        </w:rPr>
      </w:pPr>
    </w:p>
    <w:p w14:paraId="5948883E" w14:textId="77777777" w:rsidR="00561B22" w:rsidRPr="00270B1D" w:rsidRDefault="00561B22" w:rsidP="00561B22">
      <w:pPr>
        <w:pStyle w:val="Textoindependiente"/>
        <w:ind w:right="-50"/>
        <w:jc w:val="center"/>
        <w:rPr>
          <w:rFonts w:ascii="Arial" w:hAnsi="Arial" w:cs="Arial"/>
          <w:b/>
          <w:bCs/>
        </w:rPr>
      </w:pPr>
      <w:r w:rsidRPr="00270B1D">
        <w:rPr>
          <w:rFonts w:ascii="Arial" w:hAnsi="Arial" w:cs="Arial"/>
          <w:b/>
          <w:bCs/>
        </w:rPr>
        <w:t>INFORME DE LA AUTOCALIFICACIÓN DEL SISTEMA DE CONTROL INTERNO CONTABLE:</w:t>
      </w:r>
    </w:p>
    <w:p w14:paraId="4E9FA8E9" w14:textId="77777777" w:rsidR="00561B22" w:rsidRPr="00270B1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70B1D" w14:paraId="7A2DFEAB" w14:textId="77777777" w:rsidTr="00F1223B">
        <w:tc>
          <w:tcPr>
            <w:tcW w:w="4981" w:type="dxa"/>
          </w:tcPr>
          <w:p w14:paraId="5E1FCC2F" w14:textId="77777777" w:rsidR="00561B22" w:rsidRPr="00270B1D" w:rsidRDefault="00561B22" w:rsidP="00F1223B">
            <w:pPr>
              <w:jc w:val="center"/>
              <w:rPr>
                <w:rFonts w:ascii="Arial" w:hAnsi="Arial" w:cs="Arial"/>
                <w:b/>
                <w:sz w:val="22"/>
                <w:szCs w:val="22"/>
                <w:lang w:val="es-MX"/>
              </w:rPr>
            </w:pPr>
            <w:r w:rsidRPr="00270B1D">
              <w:rPr>
                <w:rFonts w:ascii="Arial" w:hAnsi="Arial" w:cs="Arial"/>
                <w:b/>
                <w:sz w:val="22"/>
                <w:szCs w:val="22"/>
                <w:lang w:val="es-MX"/>
              </w:rPr>
              <w:t>AUTOCALIFICACIÓN</w:t>
            </w:r>
          </w:p>
        </w:tc>
        <w:tc>
          <w:tcPr>
            <w:tcW w:w="4981" w:type="dxa"/>
          </w:tcPr>
          <w:p w14:paraId="04E9033D" w14:textId="77777777" w:rsidR="00561B22" w:rsidRPr="00270B1D" w:rsidRDefault="00561B22" w:rsidP="00F1223B">
            <w:pPr>
              <w:jc w:val="center"/>
              <w:rPr>
                <w:rFonts w:ascii="Arial" w:hAnsi="Arial" w:cs="Arial"/>
                <w:b/>
                <w:sz w:val="22"/>
                <w:szCs w:val="22"/>
                <w:u w:val="single"/>
                <w:lang w:val="es-MX"/>
              </w:rPr>
            </w:pPr>
            <w:r w:rsidRPr="00270B1D">
              <w:rPr>
                <w:rFonts w:ascii="Arial" w:hAnsi="Arial" w:cs="Arial"/>
                <w:b/>
                <w:sz w:val="22"/>
                <w:szCs w:val="22"/>
                <w:u w:val="single"/>
                <w:lang w:val="es-MX"/>
              </w:rPr>
              <w:t>5.00</w:t>
            </w:r>
          </w:p>
        </w:tc>
      </w:tr>
    </w:tbl>
    <w:p w14:paraId="518FD936" w14:textId="77777777" w:rsidR="00561B22" w:rsidRPr="00270B1D" w:rsidRDefault="00561B22" w:rsidP="00561B22">
      <w:pPr>
        <w:pStyle w:val="Textoindependiente"/>
        <w:ind w:right="-50"/>
        <w:jc w:val="both"/>
        <w:rPr>
          <w:rFonts w:ascii="Arial" w:hAnsi="Arial" w:cs="Arial"/>
          <w:b/>
          <w:bCs/>
        </w:rPr>
      </w:pPr>
    </w:p>
    <w:p w14:paraId="168CC676" w14:textId="77777777" w:rsidR="00561B22" w:rsidRPr="00270B1D" w:rsidRDefault="00561B22" w:rsidP="00561B22">
      <w:pPr>
        <w:pStyle w:val="Textoindependiente"/>
        <w:ind w:right="-50"/>
        <w:jc w:val="both"/>
        <w:rPr>
          <w:rFonts w:ascii="Arial" w:hAnsi="Arial" w:cs="Arial"/>
          <w:b/>
          <w:bCs/>
        </w:rPr>
      </w:pPr>
      <w:r w:rsidRPr="00270B1D">
        <w:rPr>
          <w:rFonts w:ascii="Arial" w:hAnsi="Arial" w:cs="Arial"/>
          <w:b/>
          <w:bCs/>
        </w:rPr>
        <w:t>Del informe enviado retomamos lo siguiente:</w:t>
      </w:r>
    </w:p>
    <w:p w14:paraId="31A6482D" w14:textId="77777777" w:rsidR="00561B22" w:rsidRPr="00270B1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270B1D" w14:paraId="37F39B52" w14:textId="77777777" w:rsidTr="00F1223B">
        <w:tc>
          <w:tcPr>
            <w:tcW w:w="846" w:type="dxa"/>
          </w:tcPr>
          <w:p w14:paraId="532BBFBC" w14:textId="77777777" w:rsidR="00561B22" w:rsidRPr="00270B1D" w:rsidRDefault="00561B22" w:rsidP="00F1223B">
            <w:pPr>
              <w:ind w:right="-109"/>
              <w:jc w:val="center"/>
              <w:rPr>
                <w:rFonts w:ascii="Arial" w:hAnsi="Arial" w:cs="Arial"/>
                <w:b/>
                <w:sz w:val="22"/>
                <w:szCs w:val="22"/>
                <w:lang w:val="es-MX"/>
              </w:rPr>
            </w:pPr>
            <w:r w:rsidRPr="00270B1D">
              <w:rPr>
                <w:rFonts w:ascii="Arial" w:hAnsi="Arial" w:cs="Arial"/>
                <w:b/>
                <w:sz w:val="22"/>
                <w:szCs w:val="22"/>
                <w:lang w:val="es-MX"/>
              </w:rPr>
              <w:t>N°</w:t>
            </w:r>
          </w:p>
        </w:tc>
        <w:tc>
          <w:tcPr>
            <w:tcW w:w="9116" w:type="dxa"/>
          </w:tcPr>
          <w:p w14:paraId="506783E2" w14:textId="77777777" w:rsidR="00561B22" w:rsidRPr="00270B1D" w:rsidRDefault="00561B22" w:rsidP="00F1223B">
            <w:pPr>
              <w:jc w:val="center"/>
              <w:rPr>
                <w:rFonts w:ascii="Arial" w:hAnsi="Arial" w:cs="Arial"/>
                <w:b/>
                <w:sz w:val="22"/>
                <w:szCs w:val="22"/>
                <w:lang w:val="es-MX"/>
              </w:rPr>
            </w:pPr>
            <w:r w:rsidRPr="00270B1D">
              <w:rPr>
                <w:rFonts w:ascii="Arial" w:hAnsi="Arial" w:cs="Arial"/>
                <w:b/>
                <w:sz w:val="22"/>
                <w:szCs w:val="22"/>
                <w:lang w:val="es-MX"/>
              </w:rPr>
              <w:t>DEBILIDADES</w:t>
            </w:r>
          </w:p>
          <w:p w14:paraId="2E3B6738" w14:textId="77777777" w:rsidR="00561B22" w:rsidRPr="00270B1D" w:rsidRDefault="00561B22" w:rsidP="00F1223B">
            <w:pPr>
              <w:jc w:val="center"/>
              <w:rPr>
                <w:rFonts w:ascii="Arial" w:hAnsi="Arial" w:cs="Arial"/>
                <w:b/>
                <w:sz w:val="22"/>
                <w:szCs w:val="22"/>
                <w:lang w:val="es-MX"/>
              </w:rPr>
            </w:pPr>
          </w:p>
        </w:tc>
      </w:tr>
      <w:tr w:rsidR="00561B22" w:rsidRPr="00270B1D" w14:paraId="0DB34C02" w14:textId="77777777" w:rsidTr="00F1223B">
        <w:tc>
          <w:tcPr>
            <w:tcW w:w="846" w:type="dxa"/>
          </w:tcPr>
          <w:p w14:paraId="179A79AD" w14:textId="77777777" w:rsidR="00561B22" w:rsidRPr="00270B1D" w:rsidRDefault="00561B22" w:rsidP="00F1223B">
            <w:pPr>
              <w:jc w:val="center"/>
              <w:rPr>
                <w:rFonts w:ascii="Arial" w:hAnsi="Arial" w:cs="Arial"/>
                <w:bCs/>
                <w:sz w:val="22"/>
                <w:szCs w:val="22"/>
                <w:lang w:val="es-MX"/>
              </w:rPr>
            </w:pPr>
            <w:r w:rsidRPr="00270B1D">
              <w:rPr>
                <w:rFonts w:ascii="Arial" w:hAnsi="Arial" w:cs="Arial"/>
                <w:bCs/>
                <w:sz w:val="22"/>
                <w:szCs w:val="22"/>
                <w:lang w:val="es-MX"/>
              </w:rPr>
              <w:lastRenderedPageBreak/>
              <w:t>1</w:t>
            </w:r>
          </w:p>
        </w:tc>
        <w:tc>
          <w:tcPr>
            <w:tcW w:w="9116" w:type="dxa"/>
          </w:tcPr>
          <w:p w14:paraId="1C3A9002" w14:textId="77777777" w:rsidR="00561B22" w:rsidRPr="00270B1D" w:rsidRDefault="00561B22" w:rsidP="00F1223B">
            <w:pPr>
              <w:rPr>
                <w:rFonts w:ascii="Arial" w:hAnsi="Arial" w:cs="Arial"/>
                <w:bCs/>
                <w:sz w:val="22"/>
                <w:szCs w:val="22"/>
                <w:lang w:val="es-MX"/>
              </w:rPr>
            </w:pPr>
            <w:r w:rsidRPr="00270B1D">
              <w:rPr>
                <w:rFonts w:ascii="Arial" w:hAnsi="Arial" w:cs="Arial"/>
                <w:bCs/>
                <w:sz w:val="22"/>
                <w:szCs w:val="22"/>
                <w:lang w:val="es-MX"/>
              </w:rPr>
              <w:t>En algunas ocasiones, se presenta algún pequeño tropiezo en los procedimientos.</w:t>
            </w:r>
          </w:p>
        </w:tc>
      </w:tr>
    </w:tbl>
    <w:p w14:paraId="3277B3CE" w14:textId="77777777" w:rsidR="00561B22" w:rsidRPr="00270B1D" w:rsidRDefault="00561B22" w:rsidP="00561B22">
      <w:pPr>
        <w:pStyle w:val="Textoindependiente"/>
        <w:ind w:right="-50"/>
        <w:jc w:val="both"/>
        <w:rPr>
          <w:rFonts w:ascii="Arial" w:hAnsi="Arial" w:cs="Arial"/>
          <w:b/>
          <w:bCs/>
        </w:rPr>
      </w:pPr>
    </w:p>
    <w:p w14:paraId="3539BFD3" w14:textId="77777777" w:rsidR="00561B22" w:rsidRPr="00270B1D" w:rsidRDefault="00561B22" w:rsidP="00561B22">
      <w:pPr>
        <w:jc w:val="both"/>
        <w:rPr>
          <w:rFonts w:ascii="Arial" w:hAnsi="Arial" w:cs="Arial"/>
          <w:b/>
          <w:lang w:val="es-MX"/>
        </w:rPr>
      </w:pPr>
      <w:r w:rsidRPr="00270B1D">
        <w:rPr>
          <w:rFonts w:ascii="Arial" w:hAnsi="Arial" w:cs="Arial"/>
          <w:b/>
          <w:lang w:val="es-MX"/>
        </w:rPr>
        <w:t>Del citado informe retomamos las siguientes recomendaciones:</w:t>
      </w:r>
    </w:p>
    <w:p w14:paraId="0380E144" w14:textId="77777777" w:rsidR="00561B22" w:rsidRPr="00270B1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270B1D" w14:paraId="51F810FB" w14:textId="77777777" w:rsidTr="00F1223B">
        <w:tc>
          <w:tcPr>
            <w:tcW w:w="846" w:type="dxa"/>
          </w:tcPr>
          <w:p w14:paraId="024E987E" w14:textId="77777777" w:rsidR="00561B22" w:rsidRPr="00270B1D" w:rsidRDefault="00561B22" w:rsidP="00F1223B">
            <w:pPr>
              <w:ind w:right="-109"/>
              <w:jc w:val="center"/>
              <w:rPr>
                <w:rFonts w:ascii="Arial" w:hAnsi="Arial" w:cs="Arial"/>
                <w:b/>
                <w:sz w:val="22"/>
                <w:szCs w:val="22"/>
                <w:lang w:val="es-MX"/>
              </w:rPr>
            </w:pPr>
            <w:r w:rsidRPr="00270B1D">
              <w:rPr>
                <w:rFonts w:ascii="Arial" w:hAnsi="Arial" w:cs="Arial"/>
                <w:b/>
                <w:sz w:val="22"/>
                <w:szCs w:val="22"/>
                <w:lang w:val="es-MX"/>
              </w:rPr>
              <w:t>N°</w:t>
            </w:r>
          </w:p>
        </w:tc>
        <w:tc>
          <w:tcPr>
            <w:tcW w:w="9116" w:type="dxa"/>
          </w:tcPr>
          <w:p w14:paraId="1C3CC263" w14:textId="77777777" w:rsidR="00561B22" w:rsidRPr="00270B1D" w:rsidRDefault="00561B22" w:rsidP="00F1223B">
            <w:pPr>
              <w:jc w:val="center"/>
              <w:rPr>
                <w:rFonts w:ascii="Arial" w:hAnsi="Arial" w:cs="Arial"/>
                <w:b/>
                <w:sz w:val="22"/>
                <w:szCs w:val="22"/>
                <w:lang w:val="es-MX"/>
              </w:rPr>
            </w:pPr>
            <w:r w:rsidRPr="00270B1D">
              <w:rPr>
                <w:rFonts w:ascii="Arial" w:hAnsi="Arial" w:cs="Arial"/>
                <w:b/>
                <w:sz w:val="22"/>
                <w:szCs w:val="22"/>
                <w:lang w:val="es-MX"/>
              </w:rPr>
              <w:t>RECOMENDACIONES</w:t>
            </w:r>
          </w:p>
          <w:p w14:paraId="61FA14AD" w14:textId="77777777" w:rsidR="00561B22" w:rsidRPr="00270B1D" w:rsidRDefault="00561B22" w:rsidP="00F1223B">
            <w:pPr>
              <w:jc w:val="center"/>
              <w:rPr>
                <w:rFonts w:ascii="Arial" w:hAnsi="Arial" w:cs="Arial"/>
                <w:b/>
                <w:sz w:val="22"/>
                <w:szCs w:val="22"/>
                <w:lang w:val="es-MX"/>
              </w:rPr>
            </w:pPr>
          </w:p>
        </w:tc>
      </w:tr>
      <w:tr w:rsidR="00561B22" w:rsidRPr="00270B1D" w14:paraId="5C794212" w14:textId="77777777" w:rsidTr="00F1223B">
        <w:tc>
          <w:tcPr>
            <w:tcW w:w="846" w:type="dxa"/>
          </w:tcPr>
          <w:p w14:paraId="34B048BF" w14:textId="77777777" w:rsidR="00561B22" w:rsidRPr="00270B1D" w:rsidRDefault="00561B22" w:rsidP="00F1223B">
            <w:pPr>
              <w:jc w:val="both"/>
              <w:rPr>
                <w:rFonts w:ascii="Arial" w:hAnsi="Arial" w:cs="Arial"/>
                <w:bCs/>
                <w:sz w:val="22"/>
                <w:szCs w:val="22"/>
                <w:lang w:val="es-MX"/>
              </w:rPr>
            </w:pPr>
            <w:r w:rsidRPr="00270B1D">
              <w:rPr>
                <w:rFonts w:ascii="Arial" w:hAnsi="Arial" w:cs="Arial"/>
                <w:bCs/>
                <w:sz w:val="22"/>
                <w:szCs w:val="22"/>
                <w:lang w:val="es-MX"/>
              </w:rPr>
              <w:t>1</w:t>
            </w:r>
          </w:p>
        </w:tc>
        <w:tc>
          <w:tcPr>
            <w:tcW w:w="9116" w:type="dxa"/>
          </w:tcPr>
          <w:p w14:paraId="69E39FE0" w14:textId="77777777" w:rsidR="00561B22" w:rsidRPr="00270B1D" w:rsidRDefault="00561B22" w:rsidP="00F1223B">
            <w:pPr>
              <w:jc w:val="both"/>
              <w:rPr>
                <w:rFonts w:ascii="Arial" w:hAnsi="Arial" w:cs="Arial"/>
                <w:bCs/>
                <w:sz w:val="22"/>
                <w:szCs w:val="22"/>
                <w:lang w:val="es-MX"/>
              </w:rPr>
            </w:pPr>
            <w:r w:rsidRPr="00270B1D">
              <w:rPr>
                <w:rFonts w:ascii="Arial" w:hAnsi="Arial" w:cs="Arial"/>
                <w:bCs/>
                <w:sz w:val="22"/>
                <w:szCs w:val="22"/>
                <w:lang w:val="es-MX"/>
              </w:rPr>
              <w:t>Verificar y tener siempre los controles adecuados para el registro oportuno de los hechos económicos de la entidad.</w:t>
            </w:r>
          </w:p>
        </w:tc>
      </w:tr>
    </w:tbl>
    <w:p w14:paraId="32E88362" w14:textId="77777777" w:rsidR="00561B22" w:rsidRDefault="00561B22" w:rsidP="00561B22">
      <w:pPr>
        <w:ind w:left="142"/>
        <w:jc w:val="both"/>
        <w:rPr>
          <w:rFonts w:ascii="Arial" w:hAnsi="Arial" w:cs="Arial"/>
          <w:b/>
        </w:rPr>
      </w:pPr>
    </w:p>
    <w:p w14:paraId="1D050E16" w14:textId="77777777" w:rsidR="00561B22" w:rsidRPr="00EE6DEA" w:rsidRDefault="00561B22" w:rsidP="00561B22">
      <w:pPr>
        <w:jc w:val="both"/>
        <w:rPr>
          <w:rFonts w:ascii="Arial" w:hAnsi="Arial" w:cs="Arial"/>
          <w:b/>
          <w:sz w:val="28"/>
          <w:szCs w:val="28"/>
          <w:lang w:val="es-MX"/>
        </w:rPr>
      </w:pPr>
      <w:r w:rsidRPr="00EE6DEA">
        <w:rPr>
          <w:rFonts w:ascii="Arial" w:hAnsi="Arial" w:cs="Arial"/>
          <w:b/>
          <w:sz w:val="28"/>
          <w:szCs w:val="28"/>
          <w:lang w:val="es-MX"/>
        </w:rPr>
        <w:t>17.- SUPERINTENDENCIA DE INDUSTRIA Y COMERCIO.</w:t>
      </w:r>
    </w:p>
    <w:p w14:paraId="65FA2068" w14:textId="77777777" w:rsidR="00561B22" w:rsidRPr="00EE6DEA" w:rsidRDefault="00561B22" w:rsidP="00561B22">
      <w:pPr>
        <w:ind w:left="142"/>
        <w:jc w:val="both"/>
        <w:rPr>
          <w:rFonts w:ascii="Arial" w:hAnsi="Arial" w:cs="Arial"/>
          <w:b/>
        </w:rPr>
      </w:pPr>
    </w:p>
    <w:p w14:paraId="47BA1B62" w14:textId="77777777" w:rsidR="00561B22" w:rsidRPr="00EE6DEA" w:rsidRDefault="00561B22" w:rsidP="00561B22">
      <w:pPr>
        <w:pStyle w:val="Textoindependiente"/>
        <w:ind w:right="-50"/>
        <w:jc w:val="center"/>
        <w:rPr>
          <w:rFonts w:ascii="Arial" w:hAnsi="Arial" w:cs="Arial"/>
          <w:b/>
          <w:bCs/>
        </w:rPr>
      </w:pPr>
      <w:r w:rsidRPr="00EE6DEA">
        <w:rPr>
          <w:rFonts w:ascii="Arial" w:hAnsi="Arial" w:cs="Arial"/>
          <w:b/>
          <w:bCs/>
        </w:rPr>
        <w:t>INFORME DE LA AUTOCALIFICACIÓN DEL SISTEMA DE CONTROL INTERNO CONTABLE:</w:t>
      </w:r>
    </w:p>
    <w:p w14:paraId="49B96421" w14:textId="77777777" w:rsidR="00561B22" w:rsidRPr="00EE6DE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E6DEA" w14:paraId="47881D70" w14:textId="77777777" w:rsidTr="00F1223B">
        <w:tc>
          <w:tcPr>
            <w:tcW w:w="4981" w:type="dxa"/>
          </w:tcPr>
          <w:p w14:paraId="6843248C"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AUTOCALIFICACIÓN</w:t>
            </w:r>
          </w:p>
        </w:tc>
        <w:tc>
          <w:tcPr>
            <w:tcW w:w="4981" w:type="dxa"/>
          </w:tcPr>
          <w:p w14:paraId="72DDF18A" w14:textId="77777777" w:rsidR="00561B22" w:rsidRPr="00EE6DEA" w:rsidRDefault="00561B22" w:rsidP="00F1223B">
            <w:pPr>
              <w:jc w:val="center"/>
              <w:rPr>
                <w:rFonts w:ascii="Arial" w:hAnsi="Arial" w:cs="Arial"/>
                <w:b/>
                <w:sz w:val="22"/>
                <w:szCs w:val="22"/>
                <w:u w:val="single"/>
                <w:lang w:val="es-MX"/>
              </w:rPr>
            </w:pPr>
            <w:r w:rsidRPr="00EE6DEA">
              <w:rPr>
                <w:rFonts w:ascii="Arial" w:hAnsi="Arial" w:cs="Arial"/>
                <w:b/>
                <w:sz w:val="22"/>
                <w:szCs w:val="22"/>
                <w:u w:val="single"/>
                <w:lang w:val="es-MX"/>
              </w:rPr>
              <w:t>4.76</w:t>
            </w:r>
          </w:p>
        </w:tc>
      </w:tr>
    </w:tbl>
    <w:p w14:paraId="4BDE3784" w14:textId="77777777" w:rsidR="00561B22" w:rsidRPr="00EE6DEA" w:rsidRDefault="00561B22" w:rsidP="00561B22">
      <w:pPr>
        <w:pStyle w:val="Textoindependiente"/>
        <w:ind w:right="-50"/>
        <w:jc w:val="both"/>
        <w:rPr>
          <w:rFonts w:ascii="Arial" w:hAnsi="Arial" w:cs="Arial"/>
          <w:b/>
          <w:bCs/>
        </w:rPr>
      </w:pPr>
    </w:p>
    <w:p w14:paraId="27049706" w14:textId="77777777" w:rsidR="00561B22" w:rsidRPr="00EE6DEA" w:rsidRDefault="00561B22" w:rsidP="00561B22">
      <w:pPr>
        <w:pStyle w:val="Textoindependiente"/>
        <w:ind w:right="-50"/>
        <w:jc w:val="both"/>
        <w:rPr>
          <w:rFonts w:ascii="Arial" w:hAnsi="Arial" w:cs="Arial"/>
          <w:b/>
          <w:bCs/>
        </w:rPr>
      </w:pPr>
      <w:r w:rsidRPr="00EE6DEA">
        <w:rPr>
          <w:rFonts w:ascii="Arial" w:hAnsi="Arial" w:cs="Arial"/>
          <w:b/>
          <w:bCs/>
        </w:rPr>
        <w:t>Del informe enviado retomamos lo siguiente:</w:t>
      </w:r>
    </w:p>
    <w:p w14:paraId="7622935F" w14:textId="77777777" w:rsidR="00561B22" w:rsidRPr="00EE6DE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EE6DEA" w14:paraId="35FE114B" w14:textId="77777777" w:rsidTr="00F1223B">
        <w:tc>
          <w:tcPr>
            <w:tcW w:w="846" w:type="dxa"/>
          </w:tcPr>
          <w:p w14:paraId="277CADAE" w14:textId="77777777" w:rsidR="00561B22" w:rsidRPr="00EE6DEA" w:rsidRDefault="00561B22" w:rsidP="00F1223B">
            <w:pPr>
              <w:ind w:right="-109"/>
              <w:jc w:val="center"/>
              <w:rPr>
                <w:rFonts w:ascii="Arial" w:hAnsi="Arial" w:cs="Arial"/>
                <w:b/>
                <w:sz w:val="22"/>
                <w:szCs w:val="22"/>
                <w:lang w:val="es-MX"/>
              </w:rPr>
            </w:pPr>
            <w:r w:rsidRPr="00EE6DEA">
              <w:rPr>
                <w:rFonts w:ascii="Arial" w:hAnsi="Arial" w:cs="Arial"/>
                <w:b/>
                <w:sz w:val="22"/>
                <w:szCs w:val="22"/>
                <w:lang w:val="es-MX"/>
              </w:rPr>
              <w:t>N°</w:t>
            </w:r>
          </w:p>
        </w:tc>
        <w:tc>
          <w:tcPr>
            <w:tcW w:w="9116" w:type="dxa"/>
          </w:tcPr>
          <w:p w14:paraId="751FC3F3"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DEBILIDADES</w:t>
            </w:r>
          </w:p>
          <w:p w14:paraId="5EAD3604" w14:textId="77777777" w:rsidR="00561B22" w:rsidRPr="00EE6DEA" w:rsidRDefault="00561B22" w:rsidP="00F1223B">
            <w:pPr>
              <w:jc w:val="center"/>
              <w:rPr>
                <w:rFonts w:ascii="Arial" w:hAnsi="Arial" w:cs="Arial"/>
                <w:b/>
                <w:sz w:val="22"/>
                <w:szCs w:val="22"/>
                <w:lang w:val="es-MX"/>
              </w:rPr>
            </w:pPr>
          </w:p>
        </w:tc>
      </w:tr>
      <w:tr w:rsidR="00561B22" w:rsidRPr="00EE6DEA" w14:paraId="26772A24" w14:textId="77777777" w:rsidTr="00F1223B">
        <w:tc>
          <w:tcPr>
            <w:tcW w:w="846" w:type="dxa"/>
          </w:tcPr>
          <w:p w14:paraId="6EEA3BEA"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1</w:t>
            </w:r>
          </w:p>
        </w:tc>
        <w:tc>
          <w:tcPr>
            <w:tcW w:w="9116" w:type="dxa"/>
          </w:tcPr>
          <w:p w14:paraId="2B097FC3" w14:textId="77777777" w:rsidR="00561B22" w:rsidRPr="00EE6DEA" w:rsidRDefault="00561B22" w:rsidP="00F1223B">
            <w:pPr>
              <w:jc w:val="both"/>
              <w:rPr>
                <w:rFonts w:ascii="Arial" w:hAnsi="Arial" w:cs="Arial"/>
                <w:bCs/>
                <w:sz w:val="22"/>
                <w:szCs w:val="22"/>
                <w:lang w:val="es-MX"/>
              </w:rPr>
            </w:pPr>
            <w:r w:rsidRPr="00EE6DEA">
              <w:rPr>
                <w:rFonts w:ascii="Arial" w:hAnsi="Arial" w:cs="Arial"/>
                <w:bCs/>
                <w:sz w:val="22"/>
                <w:szCs w:val="22"/>
                <w:lang w:val="es-MX"/>
              </w:rPr>
              <w:t xml:space="preserve">Existe una limitante para realizar un examen detallado a la información registrada en los Estados Financieros finales de la vigencia 2024, teniendo en cuenta que los plazos establecidos por la Contaduría General de la Nación para presentación de Estados Financieros e Informe de Control Interno Contable vencen en la misma fecha, el 28 de febrero de 2025, por lo cual, la Oficina de Control Interno no cuenta con un tiempo para revisar las cifras contenidas en los EF a 31 de diciembre de la vigencia evaluada.  </w:t>
            </w:r>
          </w:p>
        </w:tc>
      </w:tr>
    </w:tbl>
    <w:p w14:paraId="449879CD" w14:textId="77777777" w:rsidR="00561B22" w:rsidRPr="00EE6DEA" w:rsidRDefault="00561B22" w:rsidP="00561B22">
      <w:pPr>
        <w:pStyle w:val="Textoindependiente"/>
        <w:ind w:right="-50"/>
        <w:jc w:val="both"/>
        <w:rPr>
          <w:rFonts w:ascii="Arial" w:hAnsi="Arial" w:cs="Arial"/>
          <w:b/>
          <w:bCs/>
        </w:rPr>
      </w:pPr>
    </w:p>
    <w:p w14:paraId="28857555" w14:textId="77777777" w:rsidR="00561B22" w:rsidRPr="00EE6DEA" w:rsidRDefault="00561B22" w:rsidP="00561B22">
      <w:pPr>
        <w:jc w:val="both"/>
        <w:rPr>
          <w:rFonts w:ascii="Arial" w:hAnsi="Arial" w:cs="Arial"/>
          <w:b/>
          <w:lang w:val="es-MX"/>
        </w:rPr>
      </w:pPr>
      <w:r w:rsidRPr="00EE6DEA">
        <w:rPr>
          <w:rFonts w:ascii="Arial" w:hAnsi="Arial" w:cs="Arial"/>
          <w:b/>
          <w:lang w:val="es-MX"/>
        </w:rPr>
        <w:t>Del citado informe retomamos las siguientes recomendaciones:</w:t>
      </w:r>
    </w:p>
    <w:p w14:paraId="22F2F8C6" w14:textId="77777777" w:rsidR="00561B22" w:rsidRPr="00EE6DE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EE6DEA" w14:paraId="58DA4085" w14:textId="77777777" w:rsidTr="00F1223B">
        <w:tc>
          <w:tcPr>
            <w:tcW w:w="846" w:type="dxa"/>
          </w:tcPr>
          <w:p w14:paraId="5E3E94ED" w14:textId="77777777" w:rsidR="00561B22" w:rsidRPr="00EE6DEA" w:rsidRDefault="00561B22" w:rsidP="00F1223B">
            <w:pPr>
              <w:ind w:right="-109"/>
              <w:jc w:val="center"/>
              <w:rPr>
                <w:rFonts w:ascii="Arial" w:hAnsi="Arial" w:cs="Arial"/>
                <w:b/>
                <w:sz w:val="22"/>
                <w:szCs w:val="22"/>
                <w:lang w:val="es-MX"/>
              </w:rPr>
            </w:pPr>
            <w:r w:rsidRPr="00EE6DEA">
              <w:rPr>
                <w:rFonts w:ascii="Arial" w:hAnsi="Arial" w:cs="Arial"/>
                <w:b/>
                <w:sz w:val="22"/>
                <w:szCs w:val="22"/>
                <w:lang w:val="es-MX"/>
              </w:rPr>
              <w:t>N°</w:t>
            </w:r>
          </w:p>
        </w:tc>
        <w:tc>
          <w:tcPr>
            <w:tcW w:w="9116" w:type="dxa"/>
          </w:tcPr>
          <w:p w14:paraId="21E42F80"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RECOMENDACIONES</w:t>
            </w:r>
          </w:p>
          <w:p w14:paraId="49FF0E73" w14:textId="77777777" w:rsidR="00561B22" w:rsidRPr="00EE6DEA" w:rsidRDefault="00561B22" w:rsidP="00F1223B">
            <w:pPr>
              <w:jc w:val="center"/>
              <w:rPr>
                <w:rFonts w:ascii="Arial" w:hAnsi="Arial" w:cs="Arial"/>
                <w:b/>
                <w:sz w:val="22"/>
                <w:szCs w:val="22"/>
                <w:lang w:val="es-MX"/>
              </w:rPr>
            </w:pPr>
          </w:p>
        </w:tc>
      </w:tr>
      <w:tr w:rsidR="00561B22" w:rsidRPr="00EE6DEA" w14:paraId="77E8EE41" w14:textId="77777777" w:rsidTr="00F1223B">
        <w:tc>
          <w:tcPr>
            <w:tcW w:w="846" w:type="dxa"/>
          </w:tcPr>
          <w:p w14:paraId="47EA19FD"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1</w:t>
            </w:r>
          </w:p>
        </w:tc>
        <w:tc>
          <w:tcPr>
            <w:tcW w:w="9116" w:type="dxa"/>
          </w:tcPr>
          <w:p w14:paraId="7AF3D96C" w14:textId="77777777" w:rsidR="00561B22" w:rsidRPr="00EE6DEA" w:rsidRDefault="00561B22" w:rsidP="00F1223B">
            <w:pPr>
              <w:jc w:val="both"/>
              <w:rPr>
                <w:rFonts w:ascii="Arial" w:hAnsi="Arial" w:cs="Arial"/>
                <w:bCs/>
                <w:sz w:val="22"/>
                <w:szCs w:val="22"/>
                <w:lang w:val="es-MX"/>
              </w:rPr>
            </w:pPr>
            <w:r w:rsidRPr="00EE6DEA">
              <w:rPr>
                <w:rFonts w:ascii="Arial" w:hAnsi="Arial" w:cs="Arial"/>
                <w:bCs/>
                <w:sz w:val="22"/>
                <w:szCs w:val="22"/>
                <w:lang w:val="es-MX"/>
              </w:rPr>
              <w:t>Es importante fortalecer el proceso de toma física de inventarios, en el que se contemple el inventario que se encuentra ubicado fuera de las instalaciones de la Entidad, como las Casas del Consumidor, toda vez que estos bienes requieren de mayor control a fin de evitar pérdidas y/o daño de los bienes</w:t>
            </w:r>
          </w:p>
        </w:tc>
      </w:tr>
      <w:tr w:rsidR="00561B22" w:rsidRPr="00EE6DEA" w14:paraId="3F8E5F88" w14:textId="77777777" w:rsidTr="00F1223B">
        <w:tc>
          <w:tcPr>
            <w:tcW w:w="846" w:type="dxa"/>
          </w:tcPr>
          <w:p w14:paraId="3E0934B7"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2</w:t>
            </w:r>
          </w:p>
        </w:tc>
        <w:tc>
          <w:tcPr>
            <w:tcW w:w="9116" w:type="dxa"/>
          </w:tcPr>
          <w:p w14:paraId="02382920" w14:textId="77777777" w:rsidR="00561B22" w:rsidRPr="00EE6DEA" w:rsidRDefault="00561B22" w:rsidP="00F1223B">
            <w:pPr>
              <w:rPr>
                <w:rFonts w:ascii="Arial" w:hAnsi="Arial" w:cs="Arial"/>
                <w:bCs/>
                <w:sz w:val="22"/>
                <w:szCs w:val="22"/>
                <w:lang w:val="es-MX"/>
              </w:rPr>
            </w:pPr>
            <w:r w:rsidRPr="00EE6DEA">
              <w:rPr>
                <w:rFonts w:ascii="Arial" w:hAnsi="Arial" w:cs="Arial"/>
                <w:bCs/>
                <w:sz w:val="22"/>
                <w:szCs w:val="22"/>
                <w:lang w:val="es-MX"/>
              </w:rPr>
              <w:t>Revisar y fortalecer los controles existentes para la identificación de bienes de la entidad a fin de evitar una doble asignación de placa.</w:t>
            </w:r>
          </w:p>
        </w:tc>
      </w:tr>
      <w:tr w:rsidR="00561B22" w:rsidRPr="00EE6DEA" w14:paraId="45DADC09" w14:textId="77777777" w:rsidTr="00F1223B">
        <w:tc>
          <w:tcPr>
            <w:tcW w:w="846" w:type="dxa"/>
          </w:tcPr>
          <w:p w14:paraId="53F3B302"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3</w:t>
            </w:r>
          </w:p>
        </w:tc>
        <w:tc>
          <w:tcPr>
            <w:tcW w:w="9116" w:type="dxa"/>
          </w:tcPr>
          <w:p w14:paraId="472732F6" w14:textId="77777777" w:rsidR="00561B22" w:rsidRPr="00EE6DEA" w:rsidRDefault="00561B22" w:rsidP="00F1223B">
            <w:pPr>
              <w:jc w:val="both"/>
              <w:rPr>
                <w:rFonts w:ascii="Arial" w:hAnsi="Arial" w:cs="Arial"/>
                <w:bCs/>
                <w:sz w:val="22"/>
                <w:szCs w:val="22"/>
                <w:lang w:val="es-MX"/>
              </w:rPr>
            </w:pPr>
            <w:r w:rsidRPr="00EE6DEA">
              <w:rPr>
                <w:rFonts w:ascii="Arial" w:hAnsi="Arial" w:cs="Arial"/>
                <w:bCs/>
                <w:sz w:val="22"/>
                <w:szCs w:val="22"/>
                <w:lang w:val="es-MX"/>
              </w:rPr>
              <w:t>Actualizar las políticas, instructivos y procedimientos en cuanto a la toma física de inventarios (Bienes devolutivos y de consumo) de tal manera que se establezca que en esta actividad se debe realizar para la totalidad de los bienes, independientemente de su ubicación</w:t>
            </w:r>
          </w:p>
        </w:tc>
      </w:tr>
      <w:tr w:rsidR="00561B22" w:rsidRPr="00EE6DEA" w14:paraId="6A826BA4" w14:textId="77777777" w:rsidTr="00F1223B">
        <w:tc>
          <w:tcPr>
            <w:tcW w:w="846" w:type="dxa"/>
          </w:tcPr>
          <w:p w14:paraId="783828D9" w14:textId="77777777" w:rsidR="00561B22" w:rsidRPr="00EE6DEA" w:rsidRDefault="00561B22" w:rsidP="00F1223B">
            <w:pPr>
              <w:jc w:val="center"/>
              <w:rPr>
                <w:rFonts w:ascii="Arial" w:hAnsi="Arial" w:cs="Arial"/>
                <w:b/>
                <w:sz w:val="22"/>
                <w:szCs w:val="22"/>
                <w:lang w:val="es-MX"/>
              </w:rPr>
            </w:pPr>
            <w:r w:rsidRPr="00EE6DEA">
              <w:rPr>
                <w:rFonts w:ascii="Arial" w:hAnsi="Arial" w:cs="Arial"/>
                <w:b/>
                <w:sz w:val="22"/>
                <w:szCs w:val="22"/>
                <w:lang w:val="es-MX"/>
              </w:rPr>
              <w:t>4</w:t>
            </w:r>
          </w:p>
        </w:tc>
        <w:tc>
          <w:tcPr>
            <w:tcW w:w="9116" w:type="dxa"/>
          </w:tcPr>
          <w:p w14:paraId="1D83F609" w14:textId="77777777" w:rsidR="00561B22" w:rsidRPr="00EE6DEA" w:rsidRDefault="00561B22" w:rsidP="00F1223B">
            <w:pPr>
              <w:jc w:val="both"/>
              <w:rPr>
                <w:rFonts w:ascii="Arial" w:hAnsi="Arial" w:cs="Arial"/>
                <w:bCs/>
                <w:sz w:val="22"/>
                <w:szCs w:val="22"/>
                <w:lang w:val="es-MX"/>
              </w:rPr>
            </w:pPr>
            <w:r w:rsidRPr="00EE6DEA">
              <w:rPr>
                <w:rFonts w:ascii="Arial" w:hAnsi="Arial" w:cs="Arial"/>
                <w:bCs/>
                <w:sz w:val="22"/>
                <w:szCs w:val="22"/>
                <w:lang w:val="es-MX"/>
              </w:rPr>
              <w:t>Incluir en la rendición de cuentas a la ciudadanía, un numeral en el que se presenten Los Estados financieros de la vigencia.</w:t>
            </w:r>
          </w:p>
        </w:tc>
      </w:tr>
    </w:tbl>
    <w:p w14:paraId="28687182" w14:textId="77777777" w:rsidR="00561B22" w:rsidRDefault="00561B22" w:rsidP="00561B22">
      <w:pPr>
        <w:pStyle w:val="Textoindependiente"/>
        <w:ind w:right="-50"/>
        <w:jc w:val="both"/>
        <w:rPr>
          <w:rFonts w:ascii="Arial" w:hAnsi="Arial" w:cs="Arial"/>
          <w:b/>
          <w:bCs/>
        </w:rPr>
      </w:pPr>
    </w:p>
    <w:p w14:paraId="49D75687" w14:textId="77777777" w:rsidR="00561B22" w:rsidRPr="00B522B6" w:rsidRDefault="00561B22" w:rsidP="00561B22">
      <w:pPr>
        <w:jc w:val="both"/>
        <w:rPr>
          <w:rFonts w:ascii="Arial" w:hAnsi="Arial" w:cs="Arial"/>
          <w:b/>
          <w:bCs/>
          <w:sz w:val="24"/>
          <w:szCs w:val="24"/>
          <w:lang w:val="es-CO"/>
        </w:rPr>
      </w:pPr>
      <w:r w:rsidRPr="00B522B6">
        <w:rPr>
          <w:rFonts w:ascii="Arial" w:hAnsi="Arial" w:cs="Arial"/>
          <w:b/>
          <w:bCs/>
          <w:sz w:val="24"/>
          <w:szCs w:val="24"/>
          <w:lang w:val="es-CO"/>
        </w:rPr>
        <w:t>Del informe presentado por la jefe de la Oficina de Control Interno Retomamos las siguientes debilidades:</w:t>
      </w:r>
    </w:p>
    <w:p w14:paraId="651F4BC3" w14:textId="77777777" w:rsidR="00561B22" w:rsidRPr="00B522B6" w:rsidRDefault="00561B22" w:rsidP="00561B22">
      <w:pPr>
        <w:jc w:val="both"/>
        <w:rPr>
          <w:rFonts w:ascii="Arial" w:hAnsi="Arial" w:cs="Arial"/>
          <w:b/>
          <w:bCs/>
          <w:sz w:val="24"/>
          <w:szCs w:val="24"/>
          <w:lang w:val="es-CO"/>
        </w:rPr>
      </w:pPr>
    </w:p>
    <w:p w14:paraId="7CAA660E" w14:textId="77777777" w:rsidR="00561B22" w:rsidRPr="00B522B6" w:rsidRDefault="00561B22" w:rsidP="00561B22">
      <w:pPr>
        <w:widowControl/>
        <w:numPr>
          <w:ilvl w:val="0"/>
          <w:numId w:val="111"/>
        </w:numPr>
        <w:adjustRightInd w:val="0"/>
        <w:jc w:val="both"/>
        <w:rPr>
          <w:rFonts w:ascii="Arial" w:hAnsi="Arial" w:cs="Arial"/>
          <w:color w:val="000000"/>
          <w:sz w:val="24"/>
          <w:szCs w:val="24"/>
          <w:lang w:val="es-CO" w:eastAsia="es-CO"/>
        </w:rPr>
      </w:pPr>
      <w:r w:rsidRPr="00B522B6">
        <w:rPr>
          <w:rFonts w:ascii="Arial" w:hAnsi="Arial" w:cs="Arial"/>
          <w:color w:val="000000"/>
          <w:sz w:val="24"/>
          <w:szCs w:val="24"/>
          <w:lang w:val="es-CO" w:eastAsia="es-CO"/>
        </w:rPr>
        <w:t xml:space="preserve">Toma física de inventario (Bienes de la Entidad) de manera parcial, en la última toma no se contempló el inventario ubicado en Casas del Consumidor, situación que afecta el control sobre los bienes. </w:t>
      </w:r>
    </w:p>
    <w:p w14:paraId="301A2EB5" w14:textId="77777777" w:rsidR="00561B22" w:rsidRPr="00B522B6" w:rsidRDefault="00561B22" w:rsidP="00561B22">
      <w:pPr>
        <w:widowControl/>
        <w:numPr>
          <w:ilvl w:val="0"/>
          <w:numId w:val="111"/>
        </w:numPr>
        <w:adjustRightInd w:val="0"/>
        <w:jc w:val="both"/>
        <w:rPr>
          <w:rFonts w:ascii="Arial" w:hAnsi="Arial" w:cs="Arial"/>
          <w:color w:val="000000"/>
          <w:sz w:val="24"/>
          <w:szCs w:val="24"/>
          <w:lang w:val="es-CO" w:eastAsia="es-CO"/>
        </w:rPr>
      </w:pPr>
      <w:r w:rsidRPr="00B522B6">
        <w:rPr>
          <w:rFonts w:ascii="Arial" w:hAnsi="Arial" w:cs="Arial"/>
          <w:color w:val="000000"/>
          <w:sz w:val="24"/>
          <w:szCs w:val="24"/>
          <w:lang w:val="es-CO" w:eastAsia="es-CO"/>
        </w:rPr>
        <w:lastRenderedPageBreak/>
        <w:t xml:space="preserve">Existen debilidades en la verificación de la individualización de los bienes físicos: Auditoría interna de Gestión Proceso de Inventarios realizada en la vigencia 2024, Rad 24-50988-6. Observación No. 3. Doble Asignación de Placa – Bienes Dados de Baja. En la actualidad, el responsable de almacén es un funcionario en encargo. </w:t>
      </w:r>
    </w:p>
    <w:p w14:paraId="777EA6E6" w14:textId="77777777" w:rsidR="00561B22" w:rsidRPr="00B522B6" w:rsidRDefault="00561B22" w:rsidP="00561B22">
      <w:pPr>
        <w:widowControl/>
        <w:numPr>
          <w:ilvl w:val="0"/>
          <w:numId w:val="111"/>
        </w:numPr>
        <w:adjustRightInd w:val="0"/>
        <w:jc w:val="both"/>
        <w:rPr>
          <w:rFonts w:ascii="Arial" w:hAnsi="Arial" w:cs="Arial"/>
          <w:color w:val="000000"/>
          <w:sz w:val="24"/>
          <w:szCs w:val="24"/>
          <w:lang w:val="es-CO" w:eastAsia="es-CO"/>
        </w:rPr>
      </w:pPr>
      <w:r w:rsidRPr="00B522B6">
        <w:rPr>
          <w:rFonts w:ascii="Arial" w:hAnsi="Arial" w:cs="Arial"/>
          <w:color w:val="000000"/>
          <w:sz w:val="24"/>
          <w:szCs w:val="24"/>
          <w:lang w:val="es-CO" w:eastAsia="es-CO"/>
        </w:rPr>
        <w:t xml:space="preserve">Existen bienes registrados en el Sistema Helisa con valor de adquisición cero cuya vida útil asignada es superior a la establecida en la Política Contable y en el Procedimiento Administración de Bienes Devolutivos y de Consumo. Auditoría de Gestión al Proceso Contable Radicado No. 24-221236 Oportunidad de Mejora No. 3. Definición de Vidas Útiles de los Bienes Devolutivos en el Aplicativo HELISA "El 9/02/2024 se ingresaron 48 bienes “Equipo de computación” (Teclados Dell), cuyo valor de adquisición es cero ($0) y una vida útil asignada de 600 meses (50 años). </w:t>
      </w:r>
    </w:p>
    <w:p w14:paraId="50D5BAE4" w14:textId="77777777" w:rsidR="00561B22" w:rsidRPr="00B522B6" w:rsidRDefault="00561B22" w:rsidP="00561B22">
      <w:pPr>
        <w:widowControl/>
        <w:numPr>
          <w:ilvl w:val="0"/>
          <w:numId w:val="111"/>
        </w:numPr>
        <w:adjustRightInd w:val="0"/>
        <w:jc w:val="both"/>
        <w:rPr>
          <w:rFonts w:ascii="Arial" w:hAnsi="Arial" w:cs="Arial"/>
          <w:color w:val="000000"/>
          <w:sz w:val="24"/>
          <w:szCs w:val="24"/>
          <w:lang w:val="es-CO" w:eastAsia="es-CO"/>
        </w:rPr>
      </w:pPr>
      <w:r w:rsidRPr="00B522B6">
        <w:rPr>
          <w:rFonts w:ascii="Arial" w:hAnsi="Arial" w:cs="Arial"/>
          <w:color w:val="000000"/>
          <w:sz w:val="24"/>
          <w:szCs w:val="24"/>
          <w:lang w:val="es-CO" w:eastAsia="es-CO"/>
        </w:rPr>
        <w:t xml:space="preserve">En la rendición de cuentas de la vigencia 2024 realizada de manera presencial, no se presentó información financiera, esta solo fue registrada en el informe de rendición de cuentas publicado en la página de la Entidad. </w:t>
      </w:r>
    </w:p>
    <w:p w14:paraId="326FA80D" w14:textId="77777777" w:rsidR="00561B22" w:rsidRPr="00B522B6" w:rsidRDefault="00561B22" w:rsidP="00561B22">
      <w:pPr>
        <w:pStyle w:val="Default"/>
        <w:numPr>
          <w:ilvl w:val="0"/>
          <w:numId w:val="111"/>
        </w:numPr>
        <w:jc w:val="both"/>
        <w:rPr>
          <w:rFonts w:eastAsia="Times New Roman"/>
        </w:rPr>
      </w:pPr>
      <w:r w:rsidRPr="00B522B6">
        <w:t xml:space="preserve">Se evidenciaron debilidades en la estimación y cálculo del deterioro de las Cuentas por Cobrar por multas y contribuciones. Auditoría de gestión al Proceso Contable RAD: 24-221236. Observación No. 5. Deterioro de cuentas por cobrar por Multas - Observación No. 6. Deterioro de cuentas por cobrar por Contribuciones. </w:t>
      </w:r>
    </w:p>
    <w:p w14:paraId="008ED1CB" w14:textId="77777777" w:rsidR="00561B22" w:rsidRPr="00B522B6" w:rsidRDefault="00561B22" w:rsidP="00561B22">
      <w:pPr>
        <w:pStyle w:val="Default"/>
        <w:numPr>
          <w:ilvl w:val="0"/>
          <w:numId w:val="111"/>
        </w:numPr>
        <w:jc w:val="both"/>
        <w:rPr>
          <w:rFonts w:eastAsia="Times New Roman"/>
        </w:rPr>
      </w:pPr>
      <w:r w:rsidRPr="00B522B6">
        <w:t xml:space="preserve">Debilidades en la conceptualización de hechos económicos que conllevaron a registros contables en cuentas auxiliares diferentes a las establecidas en el catálogo general de cuentas. Ejemplo de ella es la Oportunidad de Mejora No. 2. Títulos de Depósito Judicial de la Auditoría Contable 2024 y ratificado en Concepto CGN No. 20251100002981 del 10-02-2025. </w:t>
      </w:r>
    </w:p>
    <w:p w14:paraId="02130EC6" w14:textId="77777777" w:rsidR="00561B22" w:rsidRPr="00B522B6" w:rsidRDefault="00561B22" w:rsidP="00561B22">
      <w:pPr>
        <w:widowControl/>
        <w:numPr>
          <w:ilvl w:val="0"/>
          <w:numId w:val="111"/>
        </w:numPr>
        <w:adjustRightInd w:val="0"/>
        <w:jc w:val="both"/>
        <w:rPr>
          <w:rFonts w:ascii="Arial" w:hAnsi="Arial" w:cs="Arial"/>
          <w:color w:val="000000"/>
          <w:sz w:val="24"/>
          <w:szCs w:val="24"/>
          <w:lang w:val="es-CO" w:eastAsia="es-CO"/>
        </w:rPr>
      </w:pPr>
      <w:r w:rsidRPr="00B522B6">
        <w:rPr>
          <w:rFonts w:ascii="Arial" w:hAnsi="Arial" w:cs="Arial"/>
          <w:color w:val="000000"/>
          <w:sz w:val="24"/>
          <w:szCs w:val="24"/>
          <w:lang w:val="es-CO" w:eastAsia="es-CO"/>
        </w:rPr>
        <w:t xml:space="preserve">Debilidades en los controles de registros contables elaborados mediante las tipologías de Comprobantes Manuales con sus respectivos soportes fuente. </w:t>
      </w:r>
    </w:p>
    <w:p w14:paraId="302A73FC" w14:textId="77777777" w:rsidR="00561B22" w:rsidRPr="00B522B6" w:rsidRDefault="00561B22" w:rsidP="00561B22">
      <w:pPr>
        <w:pStyle w:val="Prrafodelista"/>
        <w:widowControl/>
        <w:numPr>
          <w:ilvl w:val="0"/>
          <w:numId w:val="111"/>
        </w:numPr>
        <w:adjustRightInd w:val="0"/>
        <w:jc w:val="both"/>
        <w:rPr>
          <w:rFonts w:ascii="Arial" w:hAnsi="Arial" w:cs="Arial"/>
          <w:color w:val="000000"/>
          <w:sz w:val="24"/>
          <w:szCs w:val="24"/>
          <w:lang w:val="es-CO" w:eastAsia="es-CO"/>
        </w:rPr>
      </w:pPr>
      <w:r w:rsidRPr="00B522B6">
        <w:rPr>
          <w:rFonts w:ascii="Arial" w:hAnsi="Arial" w:cs="Arial"/>
          <w:sz w:val="24"/>
          <w:szCs w:val="24"/>
        </w:rPr>
        <w:t>Para las debilidades identificadas en auditoría internas de gestión, se han implementado planes de mejoramiento, que a la fecha se encuentran en ejecución.</w:t>
      </w:r>
    </w:p>
    <w:p w14:paraId="67B05668" w14:textId="77777777" w:rsidR="00561B22" w:rsidRPr="00B522B6" w:rsidRDefault="00561B22" w:rsidP="00561B22">
      <w:pPr>
        <w:pStyle w:val="Textoindependiente"/>
        <w:ind w:right="-50"/>
        <w:jc w:val="both"/>
        <w:rPr>
          <w:rFonts w:ascii="Arial" w:hAnsi="Arial" w:cs="Arial"/>
          <w:b/>
          <w:bCs/>
        </w:rPr>
      </w:pPr>
    </w:p>
    <w:p w14:paraId="72EFCCC0" w14:textId="77777777" w:rsidR="00561B22" w:rsidRPr="00EE6DEA" w:rsidRDefault="00561B22" w:rsidP="00561B22">
      <w:pPr>
        <w:jc w:val="both"/>
        <w:rPr>
          <w:rFonts w:ascii="Arial" w:hAnsi="Arial" w:cs="Arial"/>
          <w:b/>
          <w:bCs/>
          <w:sz w:val="24"/>
          <w:szCs w:val="24"/>
          <w:lang w:val="es-CO"/>
        </w:rPr>
      </w:pPr>
      <w:r w:rsidRPr="00EE6DEA">
        <w:rPr>
          <w:rFonts w:ascii="Arial" w:hAnsi="Arial" w:cs="Arial"/>
          <w:b/>
          <w:bCs/>
          <w:sz w:val="24"/>
          <w:szCs w:val="24"/>
          <w:lang w:val="es-CO"/>
        </w:rPr>
        <w:t xml:space="preserve">NOTA: LA ENTIDAD ENVIA LA MATRIZ DE AUTOEVALUACIÓN DEL SISTEMA DE CONTROL INTERNO CONTABLE CON </w:t>
      </w:r>
      <w:r w:rsidRPr="00EE6DEA">
        <w:rPr>
          <w:rFonts w:ascii="Arial" w:hAnsi="Arial" w:cs="Arial"/>
          <w:b/>
          <w:bCs/>
          <w:sz w:val="24"/>
          <w:szCs w:val="24"/>
          <w:u w:val="single"/>
          <w:lang w:val="es-CO"/>
        </w:rPr>
        <w:t>ACTIVIDADES DE CONTROL REALIZADAS EN FORMA PARCIAL</w:t>
      </w:r>
      <w:r w:rsidRPr="00EE6DEA">
        <w:rPr>
          <w:rFonts w:ascii="Arial" w:hAnsi="Arial" w:cs="Arial"/>
          <w:b/>
          <w:bCs/>
          <w:sz w:val="24"/>
          <w:szCs w:val="24"/>
          <w:lang w:val="es-CO"/>
        </w:rPr>
        <w:t>.</w:t>
      </w:r>
    </w:p>
    <w:p w14:paraId="748ED8BC" w14:textId="77777777" w:rsidR="00561B22" w:rsidRDefault="00561B22" w:rsidP="00561B22">
      <w:pPr>
        <w:ind w:left="142"/>
        <w:jc w:val="both"/>
        <w:rPr>
          <w:rFonts w:ascii="Arial" w:hAnsi="Arial" w:cs="Arial"/>
          <w:b/>
        </w:rPr>
      </w:pPr>
    </w:p>
    <w:p w14:paraId="271D8F39" w14:textId="77777777" w:rsidR="00561B22" w:rsidRPr="00CA0114" w:rsidRDefault="00561B22" w:rsidP="00561B22">
      <w:pPr>
        <w:jc w:val="both"/>
        <w:rPr>
          <w:rFonts w:ascii="Arial" w:hAnsi="Arial" w:cs="Arial"/>
          <w:b/>
          <w:sz w:val="28"/>
          <w:szCs w:val="28"/>
          <w:lang w:val="es-MX"/>
        </w:rPr>
      </w:pPr>
      <w:r w:rsidRPr="00CA0114">
        <w:rPr>
          <w:rFonts w:ascii="Arial" w:hAnsi="Arial" w:cs="Arial"/>
          <w:b/>
          <w:sz w:val="28"/>
          <w:szCs w:val="28"/>
          <w:lang w:val="es-MX"/>
        </w:rPr>
        <w:t>18.- DEPARTAMENTO ADMINISTRATIVO DE LA FUNCIÓN PÚBLICA - DAFP.</w:t>
      </w:r>
    </w:p>
    <w:p w14:paraId="340C38FA" w14:textId="77777777" w:rsidR="00561B22" w:rsidRDefault="00561B22" w:rsidP="00561B22">
      <w:pPr>
        <w:ind w:left="142"/>
        <w:jc w:val="both"/>
        <w:rPr>
          <w:rFonts w:ascii="Arial" w:hAnsi="Arial" w:cs="Arial"/>
          <w:b/>
        </w:rPr>
      </w:pPr>
    </w:p>
    <w:p w14:paraId="53F29C4C" w14:textId="77777777" w:rsidR="00561B22" w:rsidRPr="00CA0114" w:rsidRDefault="00561B22" w:rsidP="00561B22">
      <w:pPr>
        <w:pStyle w:val="Textoindependiente"/>
        <w:ind w:right="-50"/>
        <w:jc w:val="center"/>
        <w:rPr>
          <w:rFonts w:ascii="Arial" w:hAnsi="Arial" w:cs="Arial"/>
          <w:b/>
          <w:bCs/>
        </w:rPr>
      </w:pPr>
      <w:r w:rsidRPr="00CA0114">
        <w:rPr>
          <w:rFonts w:ascii="Arial" w:hAnsi="Arial" w:cs="Arial"/>
          <w:b/>
          <w:bCs/>
        </w:rPr>
        <w:t>INFORME DE LA AUTOCALIFICACIÓN DEL SISTEMA DE CONTROL INTERNO CONTABLE:</w:t>
      </w:r>
    </w:p>
    <w:p w14:paraId="1D62E268" w14:textId="77777777" w:rsidR="00561B22" w:rsidRPr="00CA0114"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A0114" w14:paraId="47412FDC" w14:textId="77777777" w:rsidTr="00F1223B">
        <w:tc>
          <w:tcPr>
            <w:tcW w:w="4981" w:type="dxa"/>
          </w:tcPr>
          <w:p w14:paraId="75947E9A"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AUTOCALIFICACIÓN</w:t>
            </w:r>
          </w:p>
        </w:tc>
        <w:tc>
          <w:tcPr>
            <w:tcW w:w="4981" w:type="dxa"/>
          </w:tcPr>
          <w:p w14:paraId="5CC9DD71" w14:textId="77777777" w:rsidR="00561B22" w:rsidRPr="00CA0114" w:rsidRDefault="00561B22" w:rsidP="00F1223B">
            <w:pPr>
              <w:jc w:val="center"/>
              <w:rPr>
                <w:rFonts w:ascii="Arial" w:hAnsi="Arial" w:cs="Arial"/>
                <w:b/>
                <w:sz w:val="22"/>
                <w:szCs w:val="22"/>
                <w:u w:val="single"/>
                <w:lang w:val="es-MX"/>
              </w:rPr>
            </w:pPr>
            <w:r w:rsidRPr="00CA0114">
              <w:rPr>
                <w:rFonts w:ascii="Arial" w:hAnsi="Arial" w:cs="Arial"/>
                <w:b/>
                <w:sz w:val="22"/>
                <w:szCs w:val="22"/>
                <w:u w:val="single"/>
                <w:lang w:val="es-MX"/>
              </w:rPr>
              <w:t>4.60</w:t>
            </w:r>
          </w:p>
        </w:tc>
      </w:tr>
    </w:tbl>
    <w:p w14:paraId="2AD5F5C5" w14:textId="77777777" w:rsidR="00561B22" w:rsidRPr="00CA0114" w:rsidRDefault="00561B22" w:rsidP="00561B22">
      <w:pPr>
        <w:pStyle w:val="Textoindependiente"/>
        <w:ind w:right="-50"/>
        <w:jc w:val="both"/>
        <w:rPr>
          <w:rFonts w:ascii="Arial" w:hAnsi="Arial" w:cs="Arial"/>
          <w:b/>
          <w:bCs/>
        </w:rPr>
      </w:pPr>
    </w:p>
    <w:p w14:paraId="6D426127" w14:textId="77777777" w:rsidR="00561B22" w:rsidRPr="00CA0114" w:rsidRDefault="00561B22" w:rsidP="00561B22">
      <w:pPr>
        <w:pStyle w:val="Textoindependiente"/>
        <w:ind w:right="-50"/>
        <w:jc w:val="both"/>
        <w:rPr>
          <w:rFonts w:ascii="Arial" w:hAnsi="Arial" w:cs="Arial"/>
          <w:b/>
          <w:bCs/>
        </w:rPr>
      </w:pPr>
      <w:r w:rsidRPr="00CA0114">
        <w:rPr>
          <w:rFonts w:ascii="Arial" w:hAnsi="Arial" w:cs="Arial"/>
          <w:b/>
          <w:bCs/>
        </w:rPr>
        <w:t>Del informe enviado retomamos lo siguiente:</w:t>
      </w:r>
    </w:p>
    <w:p w14:paraId="26960629" w14:textId="77777777" w:rsidR="00561B22" w:rsidRPr="00CA011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A0114" w14:paraId="054A325B" w14:textId="77777777" w:rsidTr="00F1223B">
        <w:tc>
          <w:tcPr>
            <w:tcW w:w="846" w:type="dxa"/>
          </w:tcPr>
          <w:p w14:paraId="6477296F" w14:textId="77777777" w:rsidR="00561B22" w:rsidRPr="00CA0114" w:rsidRDefault="00561B22" w:rsidP="00F1223B">
            <w:pPr>
              <w:ind w:right="-109"/>
              <w:jc w:val="center"/>
              <w:rPr>
                <w:rFonts w:ascii="Arial" w:hAnsi="Arial" w:cs="Arial"/>
                <w:b/>
                <w:sz w:val="22"/>
                <w:szCs w:val="22"/>
                <w:lang w:val="es-MX"/>
              </w:rPr>
            </w:pPr>
            <w:r w:rsidRPr="00CA0114">
              <w:rPr>
                <w:rFonts w:ascii="Arial" w:hAnsi="Arial" w:cs="Arial"/>
                <w:b/>
                <w:sz w:val="22"/>
                <w:szCs w:val="22"/>
                <w:lang w:val="es-MX"/>
              </w:rPr>
              <w:t>N°</w:t>
            </w:r>
          </w:p>
        </w:tc>
        <w:tc>
          <w:tcPr>
            <w:tcW w:w="9116" w:type="dxa"/>
          </w:tcPr>
          <w:p w14:paraId="4A7D7FA9"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DEBILIDADES</w:t>
            </w:r>
          </w:p>
          <w:p w14:paraId="4B97454B" w14:textId="77777777" w:rsidR="00561B22" w:rsidRPr="00CA0114" w:rsidRDefault="00561B22" w:rsidP="00F1223B">
            <w:pPr>
              <w:jc w:val="center"/>
              <w:rPr>
                <w:rFonts w:ascii="Arial" w:hAnsi="Arial" w:cs="Arial"/>
                <w:b/>
                <w:sz w:val="22"/>
                <w:szCs w:val="22"/>
                <w:lang w:val="es-MX"/>
              </w:rPr>
            </w:pPr>
          </w:p>
        </w:tc>
      </w:tr>
      <w:tr w:rsidR="00561B22" w:rsidRPr="00CA0114" w14:paraId="35EA1FCF" w14:textId="77777777" w:rsidTr="00F1223B">
        <w:tc>
          <w:tcPr>
            <w:tcW w:w="846" w:type="dxa"/>
          </w:tcPr>
          <w:p w14:paraId="0A7A73F3"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1</w:t>
            </w:r>
          </w:p>
        </w:tc>
        <w:tc>
          <w:tcPr>
            <w:tcW w:w="9116" w:type="dxa"/>
          </w:tcPr>
          <w:p w14:paraId="16BEEF2C"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Aunque se trabajó en la actualización de las políticas de operación del proceso de Gestión Financiera, las mismas no han sido formalizadas e incluidas en el SIPG</w:t>
            </w:r>
          </w:p>
        </w:tc>
      </w:tr>
      <w:tr w:rsidR="00561B22" w:rsidRPr="00CA0114" w14:paraId="2A2BA7A2" w14:textId="77777777" w:rsidTr="00F1223B">
        <w:tc>
          <w:tcPr>
            <w:tcW w:w="846" w:type="dxa"/>
          </w:tcPr>
          <w:p w14:paraId="71D32435"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2</w:t>
            </w:r>
          </w:p>
        </w:tc>
        <w:tc>
          <w:tcPr>
            <w:tcW w:w="9116" w:type="dxa"/>
          </w:tcPr>
          <w:p w14:paraId="4C21078E"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En el Sistema de Gestión Institucional SGI, únicamente se tiene registrado el hallazgo 537 de 2022 por materialización del riesgo doble pago realizado en los aportes de seguridad social de un servidor público, con una posible pérdida económica de la Entidad, el cual se encuentra en estado abierto. Se encuentra pendiente la ejecución de dos actividades propuestas. De otra parte, en el SGI no se refleja el histórico de los planes de mejoramiento.</w:t>
            </w:r>
          </w:p>
        </w:tc>
      </w:tr>
      <w:tr w:rsidR="00561B22" w:rsidRPr="00CA0114" w14:paraId="2E7FB4C1" w14:textId="77777777" w:rsidTr="00F1223B">
        <w:tc>
          <w:tcPr>
            <w:tcW w:w="846" w:type="dxa"/>
          </w:tcPr>
          <w:p w14:paraId="67CAAB8B"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lastRenderedPageBreak/>
              <w:t>3</w:t>
            </w:r>
          </w:p>
        </w:tc>
        <w:tc>
          <w:tcPr>
            <w:tcW w:w="9116" w:type="dxa"/>
          </w:tcPr>
          <w:p w14:paraId="6523EE74"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En la Guía de prestación de servicios Área de Almacén V6 de febrero de 2019, se establece el procedimiento a seguir en la gestión de los bienes de la Entidad; sin embargo, en la vigencia 2024 este procedimiento no había sido actualizado para conocimiento y aplicación de los servidores interesados. En el SIPG se observa actualización de la imagen institucional.</w:t>
            </w:r>
          </w:p>
        </w:tc>
      </w:tr>
      <w:tr w:rsidR="00561B22" w:rsidRPr="00CA0114" w14:paraId="71A06527" w14:textId="77777777" w:rsidTr="00F1223B">
        <w:tc>
          <w:tcPr>
            <w:tcW w:w="846" w:type="dxa"/>
          </w:tcPr>
          <w:p w14:paraId="74461711"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4</w:t>
            </w:r>
          </w:p>
        </w:tc>
        <w:tc>
          <w:tcPr>
            <w:tcW w:w="9116" w:type="dxa"/>
          </w:tcPr>
          <w:p w14:paraId="3FEFE7E7"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La política de operación Proceso de Tecnologías de la Información 5.10.4. Sobre conciliación del inventario de Bienes Intangibles, establece: La conciliación de inventario de software o bienes intangibles se debe realizar cada cuatro (4) meses entre la oficina de TIC y el Grupo de Gestión Administrativa Almacén. El Grupo de Gestión Administrativa Almacén, envía al coordinador del grupo de servicios de OTIC, el inventario generado desde el sistema de inventarios, el listado de bienes intangibles (controlables y no controlables) tres semanas antes de la reunión cuatrimestral de conciliación; sin embargo, se evidenció el incumplimiento de esta política en el Comité de sostenibilidad contable del. Igualmente, se observan algunas conciliaciones del almacén, sin las respectivas firmas</w:t>
            </w:r>
          </w:p>
        </w:tc>
      </w:tr>
      <w:tr w:rsidR="00561B22" w:rsidRPr="00CA0114" w14:paraId="42EC7F9F" w14:textId="77777777" w:rsidTr="00F1223B">
        <w:tc>
          <w:tcPr>
            <w:tcW w:w="846" w:type="dxa"/>
          </w:tcPr>
          <w:p w14:paraId="31557A03"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5</w:t>
            </w:r>
          </w:p>
        </w:tc>
        <w:tc>
          <w:tcPr>
            <w:tcW w:w="9116" w:type="dxa"/>
          </w:tcPr>
          <w:p w14:paraId="37368DD9" w14:textId="5E1F003F"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 xml:space="preserve">Aunque existen las directrices para la presentación oportuna de la información financiera, algunas áreas que reportan información al proceso contable, no lo hacen de manera oportuna. En circular interna 002 de </w:t>
            </w:r>
            <w:r w:rsidR="00D926CD" w:rsidRPr="00CA0114">
              <w:rPr>
                <w:rFonts w:ascii="Arial" w:hAnsi="Arial" w:cs="Arial"/>
                <w:sz w:val="22"/>
                <w:szCs w:val="22"/>
                <w:lang w:val="es-MX"/>
              </w:rPr>
              <w:t>2024 numeral</w:t>
            </w:r>
            <w:r w:rsidRPr="00CA0114">
              <w:rPr>
                <w:rFonts w:ascii="Arial" w:hAnsi="Arial" w:cs="Arial"/>
                <w:sz w:val="22"/>
                <w:szCs w:val="22"/>
                <w:lang w:val="es-MX"/>
              </w:rPr>
              <w:t xml:space="preserve"> 4.4 Reportes de Información Contable, se observa el cronograma de las fechas de entrega de información financiera.</w:t>
            </w:r>
          </w:p>
        </w:tc>
      </w:tr>
      <w:tr w:rsidR="00561B22" w:rsidRPr="00CA0114" w14:paraId="6B5E00DF" w14:textId="77777777" w:rsidTr="00F1223B">
        <w:tc>
          <w:tcPr>
            <w:tcW w:w="846" w:type="dxa"/>
          </w:tcPr>
          <w:p w14:paraId="05E8BCAC"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6</w:t>
            </w:r>
          </w:p>
        </w:tc>
        <w:tc>
          <w:tcPr>
            <w:tcW w:w="9116" w:type="dxa"/>
          </w:tcPr>
          <w:p w14:paraId="4C9AD804"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La política de operación estableció que se realizaran inventarios físicos, dos veces al año; sin embargo se adelantó un (1) proceso de verificación y actualización de los bienes activos y elementos de control a los servidores de la entidad.</w:t>
            </w:r>
          </w:p>
        </w:tc>
      </w:tr>
      <w:tr w:rsidR="00561B22" w:rsidRPr="00CA0114" w14:paraId="77866633" w14:textId="77777777" w:rsidTr="00F1223B">
        <w:tc>
          <w:tcPr>
            <w:tcW w:w="846" w:type="dxa"/>
          </w:tcPr>
          <w:p w14:paraId="105448AD"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7</w:t>
            </w:r>
          </w:p>
        </w:tc>
        <w:tc>
          <w:tcPr>
            <w:tcW w:w="9116" w:type="dxa"/>
          </w:tcPr>
          <w:p w14:paraId="0C74CA6D"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Para la vigencia 2024, se continuó con la aplicación de los indicadores: 1. PAC ejecutado y 2. Ejecución Financiera; estos indicadores son presupuestales; sin embargo, no se han definido indicadores para analizar e interpretar la información financiera. Aunque se observa el seguimiento mensual al PAC de manera general a través del SGI, estos no responden a la fórmula del indicador definido.</w:t>
            </w:r>
          </w:p>
        </w:tc>
      </w:tr>
      <w:tr w:rsidR="00561B22" w:rsidRPr="00CA0114" w14:paraId="7DBFADBC" w14:textId="77777777" w:rsidTr="00F1223B">
        <w:tc>
          <w:tcPr>
            <w:tcW w:w="846" w:type="dxa"/>
          </w:tcPr>
          <w:p w14:paraId="7A0BB1FA"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8</w:t>
            </w:r>
          </w:p>
        </w:tc>
        <w:tc>
          <w:tcPr>
            <w:tcW w:w="9116" w:type="dxa"/>
          </w:tcPr>
          <w:p w14:paraId="2DB7C2FA"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En el Informe de Rendición de Cuentas (julio 2023 - junio 2024), se presentó en el numeral 2.1. Planeación institucional y Gestión de los recursos financieros, reportando la ejecución presupuestal; sin embargo, no se evidencia la presentación de los estados financieros.</w:t>
            </w:r>
          </w:p>
        </w:tc>
      </w:tr>
      <w:tr w:rsidR="00561B22" w:rsidRPr="00CA0114" w14:paraId="1D7A4AA3" w14:textId="77777777" w:rsidTr="00F1223B">
        <w:tc>
          <w:tcPr>
            <w:tcW w:w="846" w:type="dxa"/>
          </w:tcPr>
          <w:p w14:paraId="3D78F8FD"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9</w:t>
            </w:r>
          </w:p>
        </w:tc>
        <w:tc>
          <w:tcPr>
            <w:tcW w:w="9116" w:type="dxa"/>
          </w:tcPr>
          <w:p w14:paraId="64F4C6C4"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Aunque el proceso contable cuenta con seis (6) riesgos, no se observó la identificación de riesgos de índole contable, acorde con lo establecido en la resolución 193 de 2016 (Procedimiento para la evaluación del control interno contable). En el informe de seguimiento a los riesgos de corrupción elaborado por la OCI, se analizaron los controles del riesgo del GGF dejando recomendaciones para la mejora.</w:t>
            </w:r>
          </w:p>
        </w:tc>
      </w:tr>
    </w:tbl>
    <w:p w14:paraId="778E053C" w14:textId="77777777" w:rsidR="00561B22" w:rsidRPr="00CA0114" w:rsidRDefault="00561B22" w:rsidP="00561B22">
      <w:pPr>
        <w:pStyle w:val="Textoindependiente"/>
        <w:ind w:right="-50"/>
        <w:jc w:val="both"/>
        <w:rPr>
          <w:rFonts w:ascii="Arial" w:hAnsi="Arial" w:cs="Arial"/>
          <w:b/>
          <w:bCs/>
        </w:rPr>
      </w:pPr>
    </w:p>
    <w:p w14:paraId="1E6BCD94" w14:textId="77777777" w:rsidR="00561B22" w:rsidRPr="00CA0114" w:rsidRDefault="00561B22" w:rsidP="00561B22">
      <w:pPr>
        <w:jc w:val="both"/>
        <w:rPr>
          <w:rFonts w:ascii="Arial" w:hAnsi="Arial" w:cs="Arial"/>
          <w:b/>
          <w:lang w:val="es-MX"/>
        </w:rPr>
      </w:pPr>
      <w:r w:rsidRPr="00CA0114">
        <w:rPr>
          <w:rFonts w:ascii="Arial" w:hAnsi="Arial" w:cs="Arial"/>
          <w:b/>
          <w:lang w:val="es-MX"/>
        </w:rPr>
        <w:t>Del citado informe retomamos las siguientes recomendaciones:</w:t>
      </w:r>
    </w:p>
    <w:p w14:paraId="28BA6721" w14:textId="77777777" w:rsidR="00561B22" w:rsidRPr="00CA011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A0114" w14:paraId="0597A0C9" w14:textId="77777777" w:rsidTr="00F1223B">
        <w:tc>
          <w:tcPr>
            <w:tcW w:w="846" w:type="dxa"/>
          </w:tcPr>
          <w:p w14:paraId="121337F4" w14:textId="77777777" w:rsidR="00561B22" w:rsidRPr="00CA0114" w:rsidRDefault="00561B22" w:rsidP="00F1223B">
            <w:pPr>
              <w:ind w:right="-109"/>
              <w:jc w:val="center"/>
              <w:rPr>
                <w:rFonts w:ascii="Arial" w:hAnsi="Arial" w:cs="Arial"/>
                <w:b/>
                <w:sz w:val="22"/>
                <w:szCs w:val="22"/>
                <w:lang w:val="es-MX"/>
              </w:rPr>
            </w:pPr>
            <w:r w:rsidRPr="00CA0114">
              <w:rPr>
                <w:rFonts w:ascii="Arial" w:hAnsi="Arial" w:cs="Arial"/>
                <w:b/>
                <w:sz w:val="22"/>
                <w:szCs w:val="22"/>
                <w:lang w:val="es-MX"/>
              </w:rPr>
              <w:t>N°</w:t>
            </w:r>
          </w:p>
        </w:tc>
        <w:tc>
          <w:tcPr>
            <w:tcW w:w="9116" w:type="dxa"/>
          </w:tcPr>
          <w:p w14:paraId="065652C0"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RECOMENDACIONES</w:t>
            </w:r>
          </w:p>
          <w:p w14:paraId="38B151B0" w14:textId="77777777" w:rsidR="00561B22" w:rsidRPr="00CA0114" w:rsidRDefault="00561B22" w:rsidP="00F1223B">
            <w:pPr>
              <w:jc w:val="center"/>
              <w:rPr>
                <w:rFonts w:ascii="Arial" w:hAnsi="Arial" w:cs="Arial"/>
                <w:b/>
                <w:sz w:val="22"/>
                <w:szCs w:val="22"/>
                <w:lang w:val="es-MX"/>
              </w:rPr>
            </w:pPr>
          </w:p>
        </w:tc>
      </w:tr>
      <w:tr w:rsidR="00561B22" w:rsidRPr="00CA0114" w14:paraId="2E9AE544" w14:textId="77777777" w:rsidTr="00F1223B">
        <w:tc>
          <w:tcPr>
            <w:tcW w:w="846" w:type="dxa"/>
          </w:tcPr>
          <w:p w14:paraId="24FFFC50"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1</w:t>
            </w:r>
          </w:p>
        </w:tc>
        <w:tc>
          <w:tcPr>
            <w:tcW w:w="9116" w:type="dxa"/>
          </w:tcPr>
          <w:p w14:paraId="0B7F52DF"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Es necesario actualizar y socializar las Políticas de Operación, acorde con la normatividad expedida por la Contaduría General de la Nación y el Manual de políticas contables para conocimiento y aplicación por parte de los servidores.</w:t>
            </w:r>
          </w:p>
        </w:tc>
      </w:tr>
      <w:tr w:rsidR="00561B22" w:rsidRPr="00CA0114" w14:paraId="320AF553" w14:textId="77777777" w:rsidTr="00F1223B">
        <w:tc>
          <w:tcPr>
            <w:tcW w:w="846" w:type="dxa"/>
          </w:tcPr>
          <w:p w14:paraId="075A3AA6"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2</w:t>
            </w:r>
          </w:p>
        </w:tc>
        <w:tc>
          <w:tcPr>
            <w:tcW w:w="9116" w:type="dxa"/>
          </w:tcPr>
          <w:p w14:paraId="2B8896B9"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Revisar el hallazgo 537 y dar cumplimiento a las actividades de mejora propuestas, cuyas fechas de ejecución ya se vencieron. Así mismo, gestionar con la Oficina Asesora de Planeación los reportes de históricos del plan de mejoramiento, los cuales no se pueden consultar en el SGI. (Reiterada)</w:t>
            </w:r>
          </w:p>
        </w:tc>
      </w:tr>
      <w:tr w:rsidR="00561B22" w:rsidRPr="00CA0114" w14:paraId="4E4E05CF" w14:textId="77777777" w:rsidTr="00F1223B">
        <w:tc>
          <w:tcPr>
            <w:tcW w:w="846" w:type="dxa"/>
          </w:tcPr>
          <w:p w14:paraId="69723AE1"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3</w:t>
            </w:r>
          </w:p>
        </w:tc>
        <w:tc>
          <w:tcPr>
            <w:tcW w:w="9116" w:type="dxa"/>
          </w:tcPr>
          <w:p w14:paraId="5E49BFC0"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 xml:space="preserve">Teniendo en cuenta que todas las áreas de la entidad que se relacionen con el proceso contable, como proveedores de información tienen el compromiso de suministrar los datos que se requieran, de manera oportuna y con las características necesarias, de modo que estos insumos sean procesados adecuadamente, es prioritario implementar estrategias que permitan generar en los servidores que rinden información al área contable y otras dependencias, la cultura de rendir la información requerida de manera oportuna y con </w:t>
            </w:r>
            <w:r w:rsidRPr="00CA0114">
              <w:rPr>
                <w:rFonts w:ascii="Arial" w:hAnsi="Arial" w:cs="Arial"/>
                <w:sz w:val="22"/>
                <w:szCs w:val="22"/>
                <w:lang w:val="es-MX"/>
              </w:rPr>
              <w:lastRenderedPageBreak/>
              <w:t>criterios de calidad.</w:t>
            </w:r>
          </w:p>
        </w:tc>
      </w:tr>
      <w:tr w:rsidR="00561B22" w:rsidRPr="00CA0114" w14:paraId="13FFB945" w14:textId="77777777" w:rsidTr="00F1223B">
        <w:tc>
          <w:tcPr>
            <w:tcW w:w="846" w:type="dxa"/>
          </w:tcPr>
          <w:p w14:paraId="2241C6F8"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lastRenderedPageBreak/>
              <w:t>4</w:t>
            </w:r>
          </w:p>
        </w:tc>
        <w:tc>
          <w:tcPr>
            <w:tcW w:w="9116" w:type="dxa"/>
          </w:tcPr>
          <w:p w14:paraId="507AD9BB" w14:textId="0D3AF4BA"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 xml:space="preserve">Nuevamente se sugiere revisar y actualizar la guía de almacén, con el fin de incluir los lineamientos para realizar periódicamente inventarios y cruces de información, así como el manejo de los bienes a través del aplicativo NEON con los lineamientos definidos. Así mismo, es importante realizar un informe detallado con los resultados del inventario físico que refleje las novedades encontradas y las conclusiones. Este informe debe ser presentado a la </w:t>
            </w:r>
            <w:r w:rsidR="00D926CD" w:rsidRPr="00CA0114">
              <w:rPr>
                <w:rFonts w:ascii="Arial" w:hAnsi="Arial" w:cs="Arial"/>
                <w:sz w:val="22"/>
                <w:szCs w:val="22"/>
                <w:lang w:val="es-MX"/>
              </w:rPr>
              <w:t>secretaria general</w:t>
            </w:r>
            <w:r w:rsidRPr="00CA0114">
              <w:rPr>
                <w:rFonts w:ascii="Arial" w:hAnsi="Arial" w:cs="Arial"/>
                <w:sz w:val="22"/>
                <w:szCs w:val="22"/>
                <w:lang w:val="es-MX"/>
              </w:rPr>
              <w:t>.</w:t>
            </w:r>
          </w:p>
        </w:tc>
      </w:tr>
      <w:tr w:rsidR="00561B22" w:rsidRPr="00CA0114" w14:paraId="0C7B3FA3" w14:textId="77777777" w:rsidTr="00F1223B">
        <w:tc>
          <w:tcPr>
            <w:tcW w:w="846" w:type="dxa"/>
          </w:tcPr>
          <w:p w14:paraId="547359D7"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5</w:t>
            </w:r>
          </w:p>
        </w:tc>
        <w:tc>
          <w:tcPr>
            <w:tcW w:w="9116" w:type="dxa"/>
          </w:tcPr>
          <w:p w14:paraId="684A7BC6"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Aunque se definieron los indicadores: PAC ejecutado y Ejecución Financiera, es importante definir indicadores para analizar e interpretar la realidad financiera de la entidad.</w:t>
            </w:r>
          </w:p>
        </w:tc>
      </w:tr>
      <w:tr w:rsidR="00561B22" w:rsidRPr="00CA0114" w14:paraId="6E6798FF" w14:textId="77777777" w:rsidTr="00F1223B">
        <w:tc>
          <w:tcPr>
            <w:tcW w:w="846" w:type="dxa"/>
          </w:tcPr>
          <w:p w14:paraId="6F45087C"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6</w:t>
            </w:r>
          </w:p>
        </w:tc>
        <w:tc>
          <w:tcPr>
            <w:tcW w:w="9116" w:type="dxa"/>
          </w:tcPr>
          <w:p w14:paraId="466366B2"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Es necesario volver a revisar los riesgos, identificando los de índole contable, acorde con lo establecido en la resolución 193 de 2016 (Procedimiento para la evaluación del control interno contable).</w:t>
            </w:r>
          </w:p>
        </w:tc>
      </w:tr>
      <w:tr w:rsidR="00561B22" w:rsidRPr="00CA0114" w14:paraId="22737607" w14:textId="77777777" w:rsidTr="00F1223B">
        <w:tc>
          <w:tcPr>
            <w:tcW w:w="846" w:type="dxa"/>
          </w:tcPr>
          <w:p w14:paraId="176562C7"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7</w:t>
            </w:r>
          </w:p>
        </w:tc>
        <w:tc>
          <w:tcPr>
            <w:tcW w:w="9116" w:type="dxa"/>
          </w:tcPr>
          <w:p w14:paraId="278B34C0" w14:textId="71F4F115"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 xml:space="preserve">Teniendo en cuenta que no se pudo evidenciar la </w:t>
            </w:r>
            <w:r w:rsidR="00D926CD" w:rsidRPr="00CA0114">
              <w:rPr>
                <w:rFonts w:ascii="Arial" w:hAnsi="Arial" w:cs="Arial"/>
                <w:sz w:val="22"/>
                <w:szCs w:val="22"/>
                <w:lang w:val="es-MX"/>
              </w:rPr>
              <w:t>socialización de</w:t>
            </w:r>
            <w:r w:rsidRPr="00CA0114">
              <w:rPr>
                <w:rFonts w:ascii="Arial" w:hAnsi="Arial" w:cs="Arial"/>
                <w:sz w:val="22"/>
                <w:szCs w:val="22"/>
                <w:lang w:val="es-MX"/>
              </w:rPr>
              <w:t xml:space="preserve"> los Estados Financieros del Departamento, en el informe de rendición de cuentas, ni en la audiencia de rendición, se recomienda Incluir los estados financieros, resaltando los logros alcanzados frente a los objetivos institucionales propuestos, con un enfoque en los beneficios obtenidos para los ciudadanos.</w:t>
            </w:r>
          </w:p>
        </w:tc>
      </w:tr>
      <w:tr w:rsidR="00561B22" w:rsidRPr="00CA0114" w14:paraId="75BD10D8" w14:textId="77777777" w:rsidTr="00F1223B">
        <w:tc>
          <w:tcPr>
            <w:tcW w:w="846" w:type="dxa"/>
          </w:tcPr>
          <w:p w14:paraId="4283C0EF"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8</w:t>
            </w:r>
          </w:p>
        </w:tc>
        <w:tc>
          <w:tcPr>
            <w:tcW w:w="9116" w:type="dxa"/>
          </w:tcPr>
          <w:p w14:paraId="538D7B39"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Es necesario evaluar la pertinencia de incluir en el PIC una capacitación de actualización tributaria para los profesionales contadores del Proceso Financiero.</w:t>
            </w:r>
          </w:p>
        </w:tc>
      </w:tr>
      <w:tr w:rsidR="00561B22" w:rsidRPr="00CA0114" w14:paraId="0FD275DB" w14:textId="77777777" w:rsidTr="00F1223B">
        <w:tc>
          <w:tcPr>
            <w:tcW w:w="846" w:type="dxa"/>
          </w:tcPr>
          <w:p w14:paraId="713C382F" w14:textId="77777777" w:rsidR="00561B22" w:rsidRPr="00CA0114" w:rsidRDefault="00561B22" w:rsidP="00F1223B">
            <w:pPr>
              <w:jc w:val="center"/>
              <w:rPr>
                <w:rFonts w:ascii="Arial" w:hAnsi="Arial" w:cs="Arial"/>
                <w:b/>
                <w:sz w:val="22"/>
                <w:szCs w:val="22"/>
                <w:lang w:val="es-MX"/>
              </w:rPr>
            </w:pPr>
            <w:r w:rsidRPr="00CA0114">
              <w:rPr>
                <w:rFonts w:ascii="Arial" w:hAnsi="Arial" w:cs="Arial"/>
                <w:b/>
                <w:sz w:val="22"/>
                <w:szCs w:val="22"/>
                <w:lang w:val="es-MX"/>
              </w:rPr>
              <w:t>9</w:t>
            </w:r>
          </w:p>
        </w:tc>
        <w:tc>
          <w:tcPr>
            <w:tcW w:w="9116" w:type="dxa"/>
          </w:tcPr>
          <w:p w14:paraId="2E445DE2" w14:textId="77777777" w:rsidR="00561B22" w:rsidRPr="00CA0114" w:rsidRDefault="00561B22" w:rsidP="00F1223B">
            <w:pPr>
              <w:jc w:val="both"/>
              <w:rPr>
                <w:rFonts w:ascii="Arial" w:hAnsi="Arial" w:cs="Arial"/>
                <w:sz w:val="22"/>
                <w:szCs w:val="22"/>
                <w:lang w:val="es-MX"/>
              </w:rPr>
            </w:pPr>
            <w:r w:rsidRPr="00CA0114">
              <w:rPr>
                <w:rFonts w:ascii="Arial" w:hAnsi="Arial" w:cs="Arial"/>
                <w:sz w:val="22"/>
                <w:szCs w:val="22"/>
                <w:lang w:val="es-MX"/>
              </w:rPr>
              <w:t>Se recomienda establecer un plan de mejoramiento con los resultados de este informe, para identificar las causas generadoras de las observaciones e implementar acciones correctivas efectivas.</w:t>
            </w:r>
          </w:p>
        </w:tc>
      </w:tr>
    </w:tbl>
    <w:p w14:paraId="1800025E" w14:textId="77777777" w:rsidR="00561B22" w:rsidRPr="00CA0114" w:rsidRDefault="00561B22" w:rsidP="00561B22">
      <w:pPr>
        <w:pStyle w:val="Textoindependiente"/>
        <w:ind w:right="-50"/>
        <w:jc w:val="both"/>
        <w:rPr>
          <w:rFonts w:ascii="Arial" w:hAnsi="Arial" w:cs="Arial"/>
          <w:b/>
          <w:bCs/>
          <w:sz w:val="28"/>
          <w:szCs w:val="28"/>
        </w:rPr>
      </w:pPr>
    </w:p>
    <w:p w14:paraId="53677F47" w14:textId="77777777" w:rsidR="00561B22" w:rsidRPr="00CA0114" w:rsidRDefault="00561B22" w:rsidP="00561B22">
      <w:pPr>
        <w:jc w:val="both"/>
        <w:rPr>
          <w:rFonts w:ascii="Arial" w:hAnsi="Arial" w:cs="Arial"/>
          <w:b/>
          <w:bCs/>
          <w:sz w:val="24"/>
          <w:szCs w:val="24"/>
          <w:lang w:val="es-CO"/>
        </w:rPr>
      </w:pPr>
      <w:r w:rsidRPr="00CA0114">
        <w:rPr>
          <w:rFonts w:ascii="Arial" w:hAnsi="Arial" w:cs="Arial"/>
          <w:b/>
          <w:bCs/>
          <w:sz w:val="24"/>
          <w:szCs w:val="24"/>
          <w:lang w:val="es-CO"/>
        </w:rPr>
        <w:t xml:space="preserve">NOTA: LA ENTIDAD ENVIA LA MATRIZ DE AUTOEVALUACIÓN DEL SISTEMA DE CONTROL INTERNO CONTABLE CON ACTIVIDADES DE CONTROL REALIZADAS </w:t>
      </w:r>
      <w:r w:rsidRPr="00CA0114">
        <w:rPr>
          <w:rFonts w:ascii="Arial" w:hAnsi="Arial" w:cs="Arial"/>
          <w:b/>
          <w:bCs/>
          <w:sz w:val="24"/>
          <w:szCs w:val="24"/>
          <w:u w:val="single"/>
          <w:lang w:val="es-CO"/>
        </w:rPr>
        <w:t>EN FORMA PARCIAL Y OTRAS SIMPLEMENTE INFORMAN QUE NO SE REALIZARON</w:t>
      </w:r>
      <w:r w:rsidRPr="00CA0114">
        <w:rPr>
          <w:rFonts w:ascii="Arial" w:hAnsi="Arial" w:cs="Arial"/>
          <w:b/>
          <w:bCs/>
          <w:sz w:val="24"/>
          <w:szCs w:val="24"/>
          <w:lang w:val="es-CO"/>
        </w:rPr>
        <w:t>.</w:t>
      </w:r>
    </w:p>
    <w:p w14:paraId="448AAA4C" w14:textId="77777777" w:rsidR="00561B22" w:rsidRPr="00CA0114" w:rsidRDefault="00561B22" w:rsidP="00561B22">
      <w:pPr>
        <w:jc w:val="both"/>
        <w:rPr>
          <w:rFonts w:ascii="Arial" w:hAnsi="Arial" w:cs="Arial"/>
          <w:b/>
          <w:sz w:val="28"/>
          <w:szCs w:val="28"/>
          <w:lang w:val="es-MX"/>
        </w:rPr>
      </w:pPr>
    </w:p>
    <w:p w14:paraId="16B407D8" w14:textId="77777777" w:rsidR="00561B22" w:rsidRPr="008713D9" w:rsidRDefault="00561B22" w:rsidP="00561B22">
      <w:pPr>
        <w:jc w:val="both"/>
        <w:rPr>
          <w:rFonts w:ascii="Arial" w:hAnsi="Arial" w:cs="Arial"/>
          <w:b/>
          <w:sz w:val="28"/>
          <w:szCs w:val="28"/>
          <w:lang w:val="es-MX"/>
        </w:rPr>
      </w:pPr>
      <w:r w:rsidRPr="008713D9">
        <w:rPr>
          <w:rFonts w:ascii="Arial" w:hAnsi="Arial" w:cs="Arial"/>
          <w:b/>
          <w:sz w:val="28"/>
          <w:szCs w:val="28"/>
          <w:lang w:val="es-MX"/>
        </w:rPr>
        <w:t>19.- DEFENSORÍA DEL PUEBLO.</w:t>
      </w:r>
    </w:p>
    <w:p w14:paraId="139DA1F8" w14:textId="77777777" w:rsidR="00561B22" w:rsidRDefault="00561B22" w:rsidP="00561B22">
      <w:pPr>
        <w:ind w:left="142"/>
        <w:jc w:val="both"/>
        <w:rPr>
          <w:rFonts w:ascii="Arial" w:hAnsi="Arial" w:cs="Arial"/>
          <w:b/>
        </w:rPr>
      </w:pPr>
    </w:p>
    <w:p w14:paraId="215B58EC" w14:textId="77777777" w:rsidR="00561B22" w:rsidRPr="008713D9" w:rsidRDefault="00561B22" w:rsidP="00561B22">
      <w:pPr>
        <w:pStyle w:val="Textoindependiente"/>
        <w:ind w:right="-50"/>
        <w:jc w:val="center"/>
        <w:rPr>
          <w:rFonts w:ascii="Arial" w:hAnsi="Arial" w:cs="Arial"/>
          <w:b/>
          <w:bCs/>
        </w:rPr>
      </w:pPr>
      <w:r w:rsidRPr="008713D9">
        <w:rPr>
          <w:rFonts w:ascii="Arial" w:hAnsi="Arial" w:cs="Arial"/>
          <w:b/>
          <w:bCs/>
        </w:rPr>
        <w:t>INFORME DE LA AUTOCALIFICACIÓN DEL SISTEMA DE CONTROL INTERNO CONTABLE:</w:t>
      </w:r>
    </w:p>
    <w:p w14:paraId="486F278E" w14:textId="77777777" w:rsidR="00561B22" w:rsidRDefault="00561B22" w:rsidP="00561B22">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8713D9" w14:paraId="56C77BED" w14:textId="77777777" w:rsidTr="00F1223B">
        <w:tc>
          <w:tcPr>
            <w:tcW w:w="4981" w:type="dxa"/>
          </w:tcPr>
          <w:p w14:paraId="6B4D59E9" w14:textId="77777777" w:rsidR="00561B22" w:rsidRPr="008713D9" w:rsidRDefault="00561B22" w:rsidP="00F1223B">
            <w:pPr>
              <w:jc w:val="center"/>
              <w:rPr>
                <w:rFonts w:ascii="Arial" w:hAnsi="Arial" w:cs="Arial"/>
                <w:b/>
                <w:sz w:val="22"/>
                <w:szCs w:val="22"/>
                <w:lang w:val="es-MX"/>
              </w:rPr>
            </w:pPr>
            <w:r w:rsidRPr="008713D9">
              <w:rPr>
                <w:rFonts w:ascii="Arial" w:hAnsi="Arial" w:cs="Arial"/>
                <w:b/>
                <w:sz w:val="22"/>
                <w:szCs w:val="22"/>
                <w:lang w:val="es-MX"/>
              </w:rPr>
              <w:t>AUTOCALIFICACIÓN</w:t>
            </w:r>
          </w:p>
        </w:tc>
        <w:tc>
          <w:tcPr>
            <w:tcW w:w="4981" w:type="dxa"/>
          </w:tcPr>
          <w:p w14:paraId="117F2BFE" w14:textId="77777777" w:rsidR="00561B22" w:rsidRPr="008713D9" w:rsidRDefault="00561B22" w:rsidP="00F1223B">
            <w:pPr>
              <w:jc w:val="center"/>
              <w:rPr>
                <w:rFonts w:ascii="Arial" w:hAnsi="Arial" w:cs="Arial"/>
                <w:b/>
                <w:sz w:val="22"/>
                <w:szCs w:val="22"/>
                <w:u w:val="single"/>
                <w:lang w:val="es-MX"/>
              </w:rPr>
            </w:pPr>
            <w:r w:rsidRPr="008713D9">
              <w:rPr>
                <w:rFonts w:ascii="Arial" w:hAnsi="Arial" w:cs="Arial"/>
                <w:b/>
                <w:sz w:val="22"/>
                <w:szCs w:val="22"/>
                <w:u w:val="single"/>
                <w:lang w:val="es-MX"/>
              </w:rPr>
              <w:t>4.88</w:t>
            </w:r>
          </w:p>
        </w:tc>
      </w:tr>
    </w:tbl>
    <w:p w14:paraId="3DEA05F8" w14:textId="77777777" w:rsidR="00561B22" w:rsidRPr="008713D9" w:rsidRDefault="00561B22" w:rsidP="00561B22">
      <w:pPr>
        <w:pStyle w:val="Textoindependiente"/>
        <w:ind w:right="-50"/>
        <w:jc w:val="both"/>
        <w:rPr>
          <w:rFonts w:ascii="Arial" w:hAnsi="Arial" w:cs="Arial"/>
          <w:b/>
          <w:bCs/>
        </w:rPr>
      </w:pPr>
    </w:p>
    <w:p w14:paraId="55F3D0E3" w14:textId="77777777" w:rsidR="00561B22" w:rsidRPr="008713D9" w:rsidRDefault="00561B22" w:rsidP="00561B22">
      <w:pPr>
        <w:pStyle w:val="Textoindependiente"/>
        <w:ind w:right="-50"/>
        <w:jc w:val="both"/>
        <w:rPr>
          <w:rFonts w:ascii="Arial" w:hAnsi="Arial" w:cs="Arial"/>
          <w:b/>
          <w:bCs/>
        </w:rPr>
      </w:pPr>
      <w:r w:rsidRPr="008713D9">
        <w:rPr>
          <w:rFonts w:ascii="Arial" w:hAnsi="Arial" w:cs="Arial"/>
          <w:b/>
          <w:bCs/>
        </w:rPr>
        <w:t>Del informe enviado retomamos lo siguiente:</w:t>
      </w:r>
    </w:p>
    <w:p w14:paraId="05A16D7C" w14:textId="77777777" w:rsidR="00561B22" w:rsidRPr="008713D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713D9" w14:paraId="24577D52" w14:textId="77777777" w:rsidTr="00F1223B">
        <w:tc>
          <w:tcPr>
            <w:tcW w:w="846" w:type="dxa"/>
          </w:tcPr>
          <w:p w14:paraId="1CF1D96F" w14:textId="77777777" w:rsidR="00561B22" w:rsidRPr="008713D9" w:rsidRDefault="00561B22" w:rsidP="00F1223B">
            <w:pPr>
              <w:ind w:right="-109"/>
              <w:jc w:val="center"/>
              <w:rPr>
                <w:rFonts w:ascii="Arial" w:hAnsi="Arial" w:cs="Arial"/>
                <w:b/>
                <w:sz w:val="22"/>
                <w:szCs w:val="22"/>
                <w:lang w:val="es-MX"/>
              </w:rPr>
            </w:pPr>
            <w:r w:rsidRPr="008713D9">
              <w:rPr>
                <w:rFonts w:ascii="Arial" w:hAnsi="Arial" w:cs="Arial"/>
                <w:b/>
                <w:sz w:val="22"/>
                <w:szCs w:val="22"/>
                <w:lang w:val="es-MX"/>
              </w:rPr>
              <w:t>N°</w:t>
            </w:r>
          </w:p>
        </w:tc>
        <w:tc>
          <w:tcPr>
            <w:tcW w:w="9116" w:type="dxa"/>
          </w:tcPr>
          <w:p w14:paraId="052F3153" w14:textId="77777777" w:rsidR="00561B22" w:rsidRDefault="00561B22" w:rsidP="00F1223B">
            <w:pPr>
              <w:jc w:val="center"/>
              <w:rPr>
                <w:rFonts w:ascii="Arial" w:hAnsi="Arial" w:cs="Arial"/>
                <w:b/>
                <w:sz w:val="22"/>
                <w:szCs w:val="22"/>
                <w:lang w:val="es-MX"/>
              </w:rPr>
            </w:pPr>
            <w:r w:rsidRPr="008713D9">
              <w:rPr>
                <w:rFonts w:ascii="Arial" w:hAnsi="Arial" w:cs="Arial"/>
                <w:b/>
                <w:sz w:val="22"/>
                <w:szCs w:val="22"/>
                <w:lang w:val="es-MX"/>
              </w:rPr>
              <w:t>DEBILIDADES</w:t>
            </w:r>
          </w:p>
          <w:p w14:paraId="7E83E0E4" w14:textId="77777777" w:rsidR="00561B22" w:rsidRPr="008713D9" w:rsidRDefault="00561B22" w:rsidP="00F1223B">
            <w:pPr>
              <w:jc w:val="center"/>
              <w:rPr>
                <w:rFonts w:ascii="Arial" w:hAnsi="Arial" w:cs="Arial"/>
                <w:b/>
                <w:sz w:val="22"/>
                <w:szCs w:val="22"/>
                <w:lang w:val="es-MX"/>
              </w:rPr>
            </w:pPr>
          </w:p>
        </w:tc>
      </w:tr>
      <w:tr w:rsidR="00561B22" w:rsidRPr="008713D9" w14:paraId="0C8BDDA7" w14:textId="77777777" w:rsidTr="00F1223B">
        <w:tc>
          <w:tcPr>
            <w:tcW w:w="846" w:type="dxa"/>
          </w:tcPr>
          <w:p w14:paraId="4B6F7B3F" w14:textId="77777777" w:rsidR="00561B22" w:rsidRPr="008713D9" w:rsidRDefault="00561B22" w:rsidP="00F1223B">
            <w:pPr>
              <w:jc w:val="center"/>
              <w:rPr>
                <w:rFonts w:ascii="Arial" w:hAnsi="Arial" w:cs="Arial"/>
                <w:b/>
                <w:sz w:val="22"/>
                <w:szCs w:val="22"/>
                <w:lang w:val="es-MX"/>
              </w:rPr>
            </w:pPr>
            <w:r w:rsidRPr="008713D9">
              <w:rPr>
                <w:rFonts w:ascii="Arial" w:hAnsi="Arial" w:cs="Arial"/>
                <w:b/>
                <w:sz w:val="22"/>
                <w:szCs w:val="22"/>
                <w:lang w:val="es-MX"/>
              </w:rPr>
              <w:t>1</w:t>
            </w:r>
          </w:p>
        </w:tc>
        <w:tc>
          <w:tcPr>
            <w:tcW w:w="9116" w:type="dxa"/>
          </w:tcPr>
          <w:p w14:paraId="0ED7EC2B" w14:textId="77777777" w:rsidR="00561B22" w:rsidRPr="008713D9" w:rsidRDefault="00561B22" w:rsidP="00F1223B">
            <w:pPr>
              <w:rPr>
                <w:rFonts w:ascii="Arial" w:hAnsi="Arial" w:cs="Arial"/>
                <w:sz w:val="22"/>
                <w:szCs w:val="22"/>
                <w:lang w:val="es-MX"/>
              </w:rPr>
            </w:pPr>
            <w:r w:rsidRPr="008713D9">
              <w:rPr>
                <w:rFonts w:ascii="Arial" w:hAnsi="Arial" w:cs="Arial"/>
                <w:sz w:val="22"/>
                <w:szCs w:val="22"/>
                <w:lang w:val="es-MX"/>
              </w:rPr>
              <w:t>Sistemas de información.</w:t>
            </w:r>
          </w:p>
        </w:tc>
      </w:tr>
      <w:tr w:rsidR="00561B22" w:rsidRPr="008713D9" w14:paraId="78A8BFD5" w14:textId="77777777" w:rsidTr="00F1223B">
        <w:tc>
          <w:tcPr>
            <w:tcW w:w="846" w:type="dxa"/>
          </w:tcPr>
          <w:p w14:paraId="6CC313B3" w14:textId="77777777" w:rsidR="00561B22" w:rsidRPr="008713D9" w:rsidRDefault="00561B22" w:rsidP="00F1223B">
            <w:pPr>
              <w:jc w:val="center"/>
              <w:rPr>
                <w:rFonts w:ascii="Arial" w:hAnsi="Arial" w:cs="Arial"/>
                <w:b/>
                <w:sz w:val="22"/>
                <w:szCs w:val="22"/>
                <w:lang w:val="es-MX"/>
              </w:rPr>
            </w:pPr>
            <w:r w:rsidRPr="008713D9">
              <w:rPr>
                <w:rFonts w:ascii="Arial" w:hAnsi="Arial" w:cs="Arial"/>
                <w:b/>
                <w:sz w:val="22"/>
                <w:szCs w:val="22"/>
                <w:lang w:val="es-MX"/>
              </w:rPr>
              <w:t>2</w:t>
            </w:r>
          </w:p>
        </w:tc>
        <w:tc>
          <w:tcPr>
            <w:tcW w:w="9116" w:type="dxa"/>
          </w:tcPr>
          <w:p w14:paraId="12D7B789" w14:textId="77777777" w:rsidR="00561B22" w:rsidRPr="008713D9" w:rsidRDefault="00561B22" w:rsidP="00F1223B">
            <w:pPr>
              <w:rPr>
                <w:rFonts w:ascii="Arial" w:hAnsi="Arial" w:cs="Arial"/>
                <w:sz w:val="22"/>
                <w:szCs w:val="22"/>
                <w:lang w:val="es-MX"/>
              </w:rPr>
            </w:pPr>
            <w:r w:rsidRPr="008713D9">
              <w:rPr>
                <w:rFonts w:ascii="Arial" w:hAnsi="Arial" w:cs="Arial"/>
                <w:sz w:val="22"/>
                <w:szCs w:val="22"/>
                <w:lang w:val="es-MX"/>
              </w:rPr>
              <w:t>Aumento en la planta de personal</w:t>
            </w:r>
          </w:p>
        </w:tc>
      </w:tr>
    </w:tbl>
    <w:p w14:paraId="7CD45000" w14:textId="77777777" w:rsidR="00561B22" w:rsidRPr="008713D9" w:rsidRDefault="00561B22" w:rsidP="00561B22">
      <w:pPr>
        <w:pStyle w:val="Textoindependiente"/>
        <w:ind w:right="-50"/>
        <w:jc w:val="both"/>
        <w:rPr>
          <w:rFonts w:ascii="Arial" w:hAnsi="Arial" w:cs="Arial"/>
          <w:b/>
          <w:bCs/>
        </w:rPr>
      </w:pPr>
    </w:p>
    <w:p w14:paraId="780E197E" w14:textId="77777777" w:rsidR="00561B22" w:rsidRPr="008713D9" w:rsidRDefault="00561B22" w:rsidP="00561B22">
      <w:pPr>
        <w:jc w:val="both"/>
        <w:rPr>
          <w:rFonts w:ascii="Arial" w:hAnsi="Arial" w:cs="Arial"/>
          <w:b/>
          <w:lang w:val="es-MX"/>
        </w:rPr>
      </w:pPr>
      <w:r w:rsidRPr="008713D9">
        <w:rPr>
          <w:rFonts w:ascii="Arial" w:hAnsi="Arial" w:cs="Arial"/>
          <w:b/>
          <w:lang w:val="es-MX"/>
        </w:rPr>
        <w:t>Del citado informe retomamos las siguientes recomendaciones:</w:t>
      </w:r>
    </w:p>
    <w:p w14:paraId="4FF4DC9A" w14:textId="77777777" w:rsidR="00561B22" w:rsidRPr="008713D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713D9" w14:paraId="291A74EF" w14:textId="77777777" w:rsidTr="00F1223B">
        <w:tc>
          <w:tcPr>
            <w:tcW w:w="846" w:type="dxa"/>
          </w:tcPr>
          <w:p w14:paraId="7FBFD416" w14:textId="77777777" w:rsidR="00561B22" w:rsidRPr="008713D9" w:rsidRDefault="00561B22" w:rsidP="00F1223B">
            <w:pPr>
              <w:ind w:right="-109"/>
              <w:jc w:val="center"/>
              <w:rPr>
                <w:rFonts w:ascii="Arial" w:hAnsi="Arial" w:cs="Arial"/>
                <w:b/>
                <w:sz w:val="22"/>
                <w:szCs w:val="22"/>
                <w:lang w:val="es-MX"/>
              </w:rPr>
            </w:pPr>
            <w:r w:rsidRPr="008713D9">
              <w:rPr>
                <w:rFonts w:ascii="Arial" w:hAnsi="Arial" w:cs="Arial"/>
                <w:b/>
                <w:sz w:val="22"/>
                <w:szCs w:val="22"/>
                <w:lang w:val="es-MX"/>
              </w:rPr>
              <w:t>N°</w:t>
            </w:r>
          </w:p>
        </w:tc>
        <w:tc>
          <w:tcPr>
            <w:tcW w:w="9116" w:type="dxa"/>
          </w:tcPr>
          <w:p w14:paraId="7D384F84" w14:textId="77777777" w:rsidR="00561B22" w:rsidRPr="008713D9" w:rsidRDefault="00561B22" w:rsidP="00F1223B">
            <w:pPr>
              <w:jc w:val="center"/>
              <w:rPr>
                <w:rFonts w:ascii="Arial" w:hAnsi="Arial" w:cs="Arial"/>
                <w:b/>
                <w:sz w:val="22"/>
                <w:szCs w:val="22"/>
                <w:lang w:val="es-MX"/>
              </w:rPr>
            </w:pPr>
            <w:r w:rsidRPr="008713D9">
              <w:rPr>
                <w:rFonts w:ascii="Arial" w:hAnsi="Arial" w:cs="Arial"/>
                <w:b/>
                <w:sz w:val="22"/>
                <w:szCs w:val="22"/>
                <w:lang w:val="es-MX"/>
              </w:rPr>
              <w:t>RECOMENDACIONES</w:t>
            </w:r>
          </w:p>
          <w:p w14:paraId="744F8126" w14:textId="77777777" w:rsidR="00561B22" w:rsidRPr="008713D9" w:rsidRDefault="00561B22" w:rsidP="00F1223B">
            <w:pPr>
              <w:jc w:val="center"/>
              <w:rPr>
                <w:rFonts w:ascii="Arial" w:hAnsi="Arial" w:cs="Arial"/>
                <w:b/>
                <w:sz w:val="22"/>
                <w:szCs w:val="22"/>
                <w:lang w:val="es-MX"/>
              </w:rPr>
            </w:pPr>
          </w:p>
        </w:tc>
      </w:tr>
      <w:tr w:rsidR="00561B22" w:rsidRPr="008713D9" w14:paraId="4C9AFA1E" w14:textId="77777777" w:rsidTr="00F1223B">
        <w:tc>
          <w:tcPr>
            <w:tcW w:w="846" w:type="dxa"/>
          </w:tcPr>
          <w:p w14:paraId="7704BE7A" w14:textId="77777777" w:rsidR="00561B22" w:rsidRPr="008713D9" w:rsidRDefault="00561B22" w:rsidP="00F1223B">
            <w:pPr>
              <w:jc w:val="center"/>
              <w:rPr>
                <w:rFonts w:ascii="Arial" w:hAnsi="Arial" w:cs="Arial"/>
                <w:b/>
                <w:sz w:val="22"/>
                <w:szCs w:val="22"/>
                <w:lang w:val="es-MX"/>
              </w:rPr>
            </w:pPr>
            <w:r w:rsidRPr="008713D9">
              <w:rPr>
                <w:rFonts w:ascii="Arial" w:hAnsi="Arial" w:cs="Arial"/>
                <w:b/>
                <w:sz w:val="22"/>
                <w:szCs w:val="22"/>
                <w:lang w:val="es-MX"/>
              </w:rPr>
              <w:t>1</w:t>
            </w:r>
          </w:p>
        </w:tc>
        <w:tc>
          <w:tcPr>
            <w:tcW w:w="9116" w:type="dxa"/>
          </w:tcPr>
          <w:p w14:paraId="0C0C3D5E" w14:textId="77777777" w:rsidR="00561B22" w:rsidRPr="008713D9" w:rsidRDefault="00561B22" w:rsidP="00F1223B">
            <w:pPr>
              <w:rPr>
                <w:rFonts w:ascii="Arial" w:hAnsi="Arial" w:cs="Arial"/>
                <w:sz w:val="22"/>
                <w:szCs w:val="22"/>
                <w:lang w:val="es-MX"/>
              </w:rPr>
            </w:pPr>
            <w:r w:rsidRPr="008713D9">
              <w:rPr>
                <w:rFonts w:ascii="Arial" w:hAnsi="Arial" w:cs="Arial"/>
                <w:sz w:val="22"/>
                <w:szCs w:val="22"/>
                <w:lang w:val="es-MX"/>
              </w:rPr>
              <w:t>Seguir las recomendaciones de la OCI</w:t>
            </w:r>
          </w:p>
        </w:tc>
      </w:tr>
      <w:tr w:rsidR="00561B22" w:rsidRPr="008713D9" w14:paraId="26704D14" w14:textId="77777777" w:rsidTr="00F1223B">
        <w:tc>
          <w:tcPr>
            <w:tcW w:w="846" w:type="dxa"/>
          </w:tcPr>
          <w:p w14:paraId="707A28DD" w14:textId="77777777" w:rsidR="00561B22" w:rsidRPr="008713D9" w:rsidRDefault="00561B22" w:rsidP="00F1223B">
            <w:pPr>
              <w:jc w:val="center"/>
              <w:rPr>
                <w:rFonts w:ascii="Arial" w:hAnsi="Arial" w:cs="Arial"/>
                <w:b/>
                <w:sz w:val="22"/>
                <w:szCs w:val="22"/>
                <w:lang w:val="es-MX"/>
              </w:rPr>
            </w:pPr>
            <w:r w:rsidRPr="008713D9">
              <w:rPr>
                <w:rFonts w:ascii="Arial" w:hAnsi="Arial" w:cs="Arial"/>
                <w:b/>
                <w:sz w:val="22"/>
                <w:szCs w:val="22"/>
                <w:lang w:val="es-MX"/>
              </w:rPr>
              <w:t>2</w:t>
            </w:r>
          </w:p>
        </w:tc>
        <w:tc>
          <w:tcPr>
            <w:tcW w:w="9116" w:type="dxa"/>
          </w:tcPr>
          <w:p w14:paraId="197E8991" w14:textId="77777777" w:rsidR="00561B22" w:rsidRPr="008713D9" w:rsidRDefault="00561B22" w:rsidP="00F1223B">
            <w:pPr>
              <w:jc w:val="both"/>
              <w:rPr>
                <w:rFonts w:ascii="Arial" w:hAnsi="Arial" w:cs="Arial"/>
                <w:sz w:val="22"/>
                <w:szCs w:val="22"/>
                <w:lang w:val="es-MX"/>
              </w:rPr>
            </w:pPr>
            <w:r w:rsidRPr="008713D9">
              <w:rPr>
                <w:rFonts w:ascii="Arial" w:hAnsi="Arial" w:cs="Arial"/>
                <w:sz w:val="22"/>
                <w:szCs w:val="22"/>
                <w:lang w:val="es-MX"/>
              </w:rPr>
              <w:t>Tener en cuenta las no conformidades y planes de mejora de las auditorías realizadas por la OCI y Contraloría General de la República.</w:t>
            </w:r>
          </w:p>
        </w:tc>
      </w:tr>
    </w:tbl>
    <w:p w14:paraId="3D49C418" w14:textId="77777777" w:rsidR="00561B22" w:rsidRPr="008713D9" w:rsidRDefault="00561B22" w:rsidP="00561B22">
      <w:pPr>
        <w:pStyle w:val="Textoindependiente"/>
        <w:ind w:right="-50"/>
        <w:jc w:val="both"/>
        <w:rPr>
          <w:rFonts w:ascii="Arial" w:hAnsi="Arial" w:cs="Arial"/>
          <w:b/>
          <w:bCs/>
        </w:rPr>
      </w:pPr>
    </w:p>
    <w:p w14:paraId="51F49FAA" w14:textId="77777777" w:rsidR="00561B22" w:rsidRPr="008713D9" w:rsidRDefault="00561B22" w:rsidP="00561B22">
      <w:pPr>
        <w:jc w:val="both"/>
        <w:rPr>
          <w:rFonts w:ascii="Arial" w:hAnsi="Arial" w:cs="Arial"/>
          <w:b/>
          <w:bCs/>
          <w:sz w:val="24"/>
          <w:szCs w:val="24"/>
          <w:lang w:val="es-CO"/>
        </w:rPr>
      </w:pPr>
      <w:r w:rsidRPr="008713D9">
        <w:rPr>
          <w:rFonts w:ascii="Arial" w:hAnsi="Arial" w:cs="Arial"/>
          <w:b/>
          <w:bCs/>
          <w:sz w:val="24"/>
          <w:szCs w:val="24"/>
          <w:lang w:val="es-CO"/>
        </w:rPr>
        <w:t xml:space="preserve">NOTA: LA ENTIDAD ENVIA LA MATRIZ DE AUTOEVALUACIÓN DEL SISTEMA DE CONTROL INTERNO CONTABLE CON </w:t>
      </w:r>
      <w:r w:rsidRPr="008713D9">
        <w:rPr>
          <w:rFonts w:ascii="Arial" w:hAnsi="Arial" w:cs="Arial"/>
          <w:b/>
          <w:bCs/>
          <w:sz w:val="24"/>
          <w:szCs w:val="24"/>
          <w:u w:val="single"/>
          <w:lang w:val="es-CO"/>
        </w:rPr>
        <w:t xml:space="preserve">ACTIVIDADES DE CONTROL REALIZADAS EN </w:t>
      </w:r>
      <w:r w:rsidRPr="008713D9">
        <w:rPr>
          <w:rFonts w:ascii="Arial" w:hAnsi="Arial" w:cs="Arial"/>
          <w:b/>
          <w:bCs/>
          <w:sz w:val="24"/>
          <w:szCs w:val="24"/>
          <w:u w:val="single"/>
          <w:lang w:val="es-CO"/>
        </w:rPr>
        <w:lastRenderedPageBreak/>
        <w:t>FORMA PARCIAL</w:t>
      </w:r>
      <w:r w:rsidRPr="008713D9">
        <w:rPr>
          <w:rFonts w:ascii="Arial" w:hAnsi="Arial" w:cs="Arial"/>
          <w:b/>
          <w:bCs/>
          <w:sz w:val="24"/>
          <w:szCs w:val="24"/>
          <w:lang w:val="es-CO"/>
        </w:rPr>
        <w:t>.</w:t>
      </w:r>
    </w:p>
    <w:p w14:paraId="309E1985" w14:textId="77777777" w:rsidR="00561B22" w:rsidRDefault="00561B22" w:rsidP="00561B22">
      <w:pPr>
        <w:ind w:left="142"/>
        <w:jc w:val="both"/>
        <w:rPr>
          <w:rFonts w:ascii="Arial" w:hAnsi="Arial" w:cs="Arial"/>
          <w:b/>
        </w:rPr>
      </w:pPr>
    </w:p>
    <w:p w14:paraId="3C45D836" w14:textId="77777777" w:rsidR="00561B22" w:rsidRPr="00303DA3" w:rsidRDefault="00561B22" w:rsidP="00561B22">
      <w:pPr>
        <w:ind w:right="49"/>
        <w:jc w:val="both"/>
        <w:rPr>
          <w:rFonts w:ascii="Arial" w:hAnsi="Arial" w:cs="Arial"/>
          <w:b/>
          <w:sz w:val="28"/>
          <w:szCs w:val="28"/>
          <w:lang w:val="es-MX"/>
        </w:rPr>
      </w:pPr>
      <w:r w:rsidRPr="00303DA3">
        <w:rPr>
          <w:rFonts w:ascii="Arial" w:hAnsi="Arial" w:cs="Arial"/>
          <w:b/>
          <w:sz w:val="28"/>
          <w:szCs w:val="28"/>
          <w:lang w:val="es-MX"/>
        </w:rPr>
        <w:t>20.- INSTITUTO DE HIDROLOGÍA METEOROLOGÍA Y ESTUDIOS AMBIENTALES - IDEAM.</w:t>
      </w:r>
    </w:p>
    <w:p w14:paraId="5E8461BD" w14:textId="77777777" w:rsidR="00561B22" w:rsidRDefault="00561B22" w:rsidP="00561B22">
      <w:pPr>
        <w:ind w:left="-284" w:right="-234"/>
        <w:jc w:val="both"/>
        <w:rPr>
          <w:rFonts w:ascii="Arial" w:hAnsi="Arial" w:cs="Arial"/>
          <w:b/>
          <w:sz w:val="24"/>
          <w:szCs w:val="24"/>
          <w:lang w:val="es-MX"/>
        </w:rPr>
      </w:pPr>
    </w:p>
    <w:p w14:paraId="17A66C80" w14:textId="77777777" w:rsidR="00561B22" w:rsidRPr="0030378D" w:rsidRDefault="00561B22" w:rsidP="00561B22">
      <w:pPr>
        <w:pStyle w:val="Textoindependiente"/>
        <w:ind w:right="-50"/>
        <w:jc w:val="center"/>
        <w:rPr>
          <w:rFonts w:ascii="Arial" w:hAnsi="Arial" w:cs="Arial"/>
          <w:b/>
          <w:bCs/>
        </w:rPr>
      </w:pPr>
      <w:r w:rsidRPr="0030378D">
        <w:rPr>
          <w:rFonts w:ascii="Arial" w:hAnsi="Arial" w:cs="Arial"/>
          <w:b/>
          <w:bCs/>
        </w:rPr>
        <w:t>INFORME DE LA AUTOCALIFICACIÓN DEL SISTEMA DE CONTROL INTERNO CONTABLE:</w:t>
      </w:r>
    </w:p>
    <w:p w14:paraId="669D1FFF" w14:textId="77777777" w:rsidR="00561B22" w:rsidRPr="003037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0378D" w14:paraId="5CC496F5" w14:textId="77777777" w:rsidTr="00F1223B">
        <w:tc>
          <w:tcPr>
            <w:tcW w:w="4981" w:type="dxa"/>
          </w:tcPr>
          <w:p w14:paraId="34E16E00"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AUTOCALIFICACIÓN</w:t>
            </w:r>
          </w:p>
        </w:tc>
        <w:tc>
          <w:tcPr>
            <w:tcW w:w="4981" w:type="dxa"/>
          </w:tcPr>
          <w:p w14:paraId="4745D336" w14:textId="77777777" w:rsidR="00561B22" w:rsidRPr="0030378D" w:rsidRDefault="00561B22" w:rsidP="00F1223B">
            <w:pPr>
              <w:jc w:val="center"/>
              <w:rPr>
                <w:rFonts w:ascii="Arial" w:hAnsi="Arial" w:cs="Arial"/>
                <w:b/>
                <w:sz w:val="22"/>
                <w:szCs w:val="22"/>
                <w:u w:val="single"/>
                <w:lang w:val="es-MX"/>
              </w:rPr>
            </w:pPr>
            <w:r w:rsidRPr="0030378D">
              <w:rPr>
                <w:rFonts w:ascii="Arial" w:hAnsi="Arial" w:cs="Arial"/>
                <w:b/>
                <w:sz w:val="22"/>
                <w:szCs w:val="22"/>
                <w:u w:val="single"/>
                <w:lang w:val="es-MX"/>
              </w:rPr>
              <w:t>4.36</w:t>
            </w:r>
          </w:p>
        </w:tc>
      </w:tr>
    </w:tbl>
    <w:p w14:paraId="7CE014C2" w14:textId="77777777" w:rsidR="00561B22" w:rsidRPr="0030378D" w:rsidRDefault="00561B22" w:rsidP="00561B22">
      <w:pPr>
        <w:pStyle w:val="Textoindependiente"/>
        <w:ind w:right="-50"/>
        <w:jc w:val="both"/>
        <w:rPr>
          <w:rFonts w:ascii="Arial" w:hAnsi="Arial" w:cs="Arial"/>
          <w:b/>
          <w:bCs/>
        </w:rPr>
      </w:pPr>
    </w:p>
    <w:p w14:paraId="3B895BED" w14:textId="77777777" w:rsidR="00561B22" w:rsidRPr="0030378D" w:rsidRDefault="00561B22" w:rsidP="00561B22">
      <w:pPr>
        <w:pStyle w:val="Textoindependiente"/>
        <w:ind w:right="-50"/>
        <w:jc w:val="both"/>
        <w:rPr>
          <w:rFonts w:ascii="Arial" w:hAnsi="Arial" w:cs="Arial"/>
          <w:b/>
          <w:bCs/>
        </w:rPr>
      </w:pPr>
      <w:r w:rsidRPr="0030378D">
        <w:rPr>
          <w:rFonts w:ascii="Arial" w:hAnsi="Arial" w:cs="Arial"/>
          <w:b/>
          <w:bCs/>
        </w:rPr>
        <w:t>Del informe enviado retomamos lo siguiente:</w:t>
      </w:r>
    </w:p>
    <w:p w14:paraId="1F9859E8" w14:textId="77777777" w:rsidR="00561B22" w:rsidRPr="003037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30378D" w14:paraId="42041EE9" w14:textId="77777777" w:rsidTr="00F1223B">
        <w:tc>
          <w:tcPr>
            <w:tcW w:w="846" w:type="dxa"/>
          </w:tcPr>
          <w:p w14:paraId="32BDE5B6" w14:textId="77777777" w:rsidR="00561B22" w:rsidRPr="0030378D" w:rsidRDefault="00561B22" w:rsidP="00F1223B">
            <w:pPr>
              <w:ind w:right="-109"/>
              <w:jc w:val="center"/>
              <w:rPr>
                <w:rFonts w:ascii="Arial" w:hAnsi="Arial" w:cs="Arial"/>
                <w:b/>
                <w:sz w:val="22"/>
                <w:szCs w:val="22"/>
                <w:lang w:val="es-MX"/>
              </w:rPr>
            </w:pPr>
            <w:r w:rsidRPr="0030378D">
              <w:rPr>
                <w:rFonts w:ascii="Arial" w:hAnsi="Arial" w:cs="Arial"/>
                <w:b/>
                <w:sz w:val="22"/>
                <w:szCs w:val="22"/>
                <w:lang w:val="es-MX"/>
              </w:rPr>
              <w:t>N°</w:t>
            </w:r>
          </w:p>
        </w:tc>
        <w:tc>
          <w:tcPr>
            <w:tcW w:w="9116" w:type="dxa"/>
          </w:tcPr>
          <w:p w14:paraId="3A223515"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DEBILIDADES</w:t>
            </w:r>
          </w:p>
          <w:p w14:paraId="4D5B48C9" w14:textId="77777777" w:rsidR="00561B22" w:rsidRPr="0030378D" w:rsidRDefault="00561B22" w:rsidP="00F1223B">
            <w:pPr>
              <w:jc w:val="center"/>
              <w:rPr>
                <w:rFonts w:ascii="Arial" w:hAnsi="Arial" w:cs="Arial"/>
                <w:b/>
                <w:sz w:val="22"/>
                <w:szCs w:val="22"/>
                <w:lang w:val="es-MX"/>
              </w:rPr>
            </w:pPr>
          </w:p>
        </w:tc>
      </w:tr>
      <w:tr w:rsidR="00561B22" w:rsidRPr="0030378D" w14:paraId="69819A9F" w14:textId="77777777" w:rsidTr="00F1223B">
        <w:tc>
          <w:tcPr>
            <w:tcW w:w="846" w:type="dxa"/>
          </w:tcPr>
          <w:p w14:paraId="3322ACF5"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1</w:t>
            </w:r>
          </w:p>
        </w:tc>
        <w:tc>
          <w:tcPr>
            <w:tcW w:w="9116" w:type="dxa"/>
          </w:tcPr>
          <w:p w14:paraId="54520473" w14:textId="77777777" w:rsidR="00561B22" w:rsidRPr="0030378D" w:rsidRDefault="00561B22" w:rsidP="00F1223B">
            <w:pPr>
              <w:rPr>
                <w:rFonts w:ascii="Arial" w:hAnsi="Arial" w:cs="Arial"/>
                <w:bCs/>
                <w:sz w:val="22"/>
                <w:szCs w:val="22"/>
                <w:lang w:val="es-MX"/>
              </w:rPr>
            </w:pPr>
            <w:r w:rsidRPr="0030378D">
              <w:rPr>
                <w:rFonts w:ascii="Arial" w:hAnsi="Arial" w:cs="Arial"/>
                <w:bCs/>
                <w:sz w:val="22"/>
                <w:szCs w:val="22"/>
                <w:lang w:val="es-MX"/>
              </w:rPr>
              <w:t>Existen debilidades en la socialización de políticas y procedimientos con todos los actores del proceso de Gestión Financiera.</w:t>
            </w:r>
          </w:p>
        </w:tc>
      </w:tr>
      <w:tr w:rsidR="00561B22" w:rsidRPr="0030378D" w14:paraId="5B1D79B6" w14:textId="77777777" w:rsidTr="00F1223B">
        <w:tc>
          <w:tcPr>
            <w:tcW w:w="846" w:type="dxa"/>
          </w:tcPr>
          <w:p w14:paraId="2C15C6B7"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2</w:t>
            </w:r>
          </w:p>
        </w:tc>
        <w:tc>
          <w:tcPr>
            <w:tcW w:w="9116" w:type="dxa"/>
          </w:tcPr>
          <w:p w14:paraId="5A75251C" w14:textId="77777777" w:rsidR="00561B22" w:rsidRPr="0030378D" w:rsidRDefault="00561B22" w:rsidP="00F1223B">
            <w:pPr>
              <w:rPr>
                <w:rFonts w:ascii="Arial" w:hAnsi="Arial" w:cs="Arial"/>
                <w:bCs/>
                <w:sz w:val="22"/>
                <w:szCs w:val="22"/>
                <w:lang w:val="es-MX"/>
              </w:rPr>
            </w:pPr>
            <w:r w:rsidRPr="0030378D">
              <w:rPr>
                <w:rFonts w:ascii="Arial" w:hAnsi="Arial" w:cs="Arial"/>
                <w:bCs/>
                <w:sz w:val="22"/>
                <w:szCs w:val="22"/>
                <w:lang w:val="es-MX"/>
              </w:rPr>
              <w:t>Se presentan debilidades en el control de la gestión para el recobro de incapacidades laborales</w:t>
            </w:r>
          </w:p>
        </w:tc>
      </w:tr>
      <w:tr w:rsidR="00561B22" w:rsidRPr="0030378D" w14:paraId="43C63BBD" w14:textId="77777777" w:rsidTr="00F1223B">
        <w:tc>
          <w:tcPr>
            <w:tcW w:w="846" w:type="dxa"/>
          </w:tcPr>
          <w:p w14:paraId="14D33374"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3</w:t>
            </w:r>
          </w:p>
        </w:tc>
        <w:tc>
          <w:tcPr>
            <w:tcW w:w="9116" w:type="dxa"/>
          </w:tcPr>
          <w:p w14:paraId="0569B80B" w14:textId="77777777" w:rsidR="00561B22" w:rsidRPr="0030378D" w:rsidRDefault="00561B22" w:rsidP="00F1223B">
            <w:pPr>
              <w:rPr>
                <w:rFonts w:ascii="Arial" w:hAnsi="Arial" w:cs="Arial"/>
                <w:bCs/>
                <w:sz w:val="22"/>
                <w:szCs w:val="22"/>
                <w:lang w:val="es-MX"/>
              </w:rPr>
            </w:pPr>
            <w:r w:rsidRPr="0030378D">
              <w:rPr>
                <w:rFonts w:ascii="Arial" w:hAnsi="Arial" w:cs="Arial"/>
                <w:bCs/>
                <w:sz w:val="22"/>
                <w:szCs w:val="22"/>
                <w:lang w:val="es-MX"/>
              </w:rPr>
              <w:t>Durante la vigencia se evidenciaron debilidades en el proceso de conciliación bancaria que constituyen la base de la conciliación de cuentas de los estados financieros.</w:t>
            </w:r>
          </w:p>
        </w:tc>
      </w:tr>
      <w:tr w:rsidR="00561B22" w:rsidRPr="0030378D" w14:paraId="3644A6BE" w14:textId="77777777" w:rsidTr="00F1223B">
        <w:tc>
          <w:tcPr>
            <w:tcW w:w="846" w:type="dxa"/>
          </w:tcPr>
          <w:p w14:paraId="26EE8EEA"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4</w:t>
            </w:r>
          </w:p>
        </w:tc>
        <w:tc>
          <w:tcPr>
            <w:tcW w:w="9116" w:type="dxa"/>
          </w:tcPr>
          <w:p w14:paraId="28ED64E6" w14:textId="77777777" w:rsidR="00561B22" w:rsidRPr="0030378D" w:rsidRDefault="00561B22" w:rsidP="00F1223B">
            <w:pPr>
              <w:rPr>
                <w:rFonts w:ascii="Arial" w:hAnsi="Arial" w:cs="Arial"/>
                <w:bCs/>
                <w:sz w:val="22"/>
                <w:szCs w:val="22"/>
                <w:lang w:val="es-MX"/>
              </w:rPr>
            </w:pPr>
            <w:r w:rsidRPr="0030378D">
              <w:rPr>
                <w:rFonts w:ascii="Arial" w:hAnsi="Arial" w:cs="Arial"/>
                <w:bCs/>
                <w:sz w:val="22"/>
                <w:szCs w:val="22"/>
                <w:lang w:val="es-MX"/>
              </w:rPr>
              <w:t>Se evidenciaron debilidades en la identificación de indicadores financieros</w:t>
            </w:r>
          </w:p>
        </w:tc>
      </w:tr>
    </w:tbl>
    <w:p w14:paraId="02BDA30A" w14:textId="77777777" w:rsidR="00561B22" w:rsidRPr="0030378D" w:rsidRDefault="00561B22" w:rsidP="00561B22">
      <w:pPr>
        <w:pStyle w:val="Textoindependiente"/>
        <w:ind w:right="-50"/>
        <w:jc w:val="both"/>
        <w:rPr>
          <w:rFonts w:ascii="Arial" w:hAnsi="Arial" w:cs="Arial"/>
          <w:b/>
          <w:bCs/>
        </w:rPr>
      </w:pPr>
    </w:p>
    <w:p w14:paraId="40246C35" w14:textId="77777777" w:rsidR="00561B22" w:rsidRPr="0030378D" w:rsidRDefault="00561B22" w:rsidP="00561B22">
      <w:pPr>
        <w:jc w:val="both"/>
        <w:rPr>
          <w:rFonts w:ascii="Arial" w:hAnsi="Arial" w:cs="Arial"/>
          <w:b/>
          <w:lang w:val="es-MX"/>
        </w:rPr>
      </w:pPr>
      <w:r w:rsidRPr="0030378D">
        <w:rPr>
          <w:rFonts w:ascii="Arial" w:hAnsi="Arial" w:cs="Arial"/>
          <w:b/>
          <w:lang w:val="es-MX"/>
        </w:rPr>
        <w:t>Del citado informe retomamos las siguientes recomendaciones:</w:t>
      </w:r>
    </w:p>
    <w:p w14:paraId="50580239" w14:textId="77777777" w:rsidR="00561B22" w:rsidRPr="003037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30378D" w14:paraId="17BA408F" w14:textId="77777777" w:rsidTr="00F1223B">
        <w:tc>
          <w:tcPr>
            <w:tcW w:w="846" w:type="dxa"/>
          </w:tcPr>
          <w:p w14:paraId="5B5A34CC" w14:textId="77777777" w:rsidR="00561B22" w:rsidRPr="0030378D" w:rsidRDefault="00561B22" w:rsidP="00F1223B">
            <w:pPr>
              <w:ind w:right="-109"/>
              <w:jc w:val="center"/>
              <w:rPr>
                <w:rFonts w:ascii="Arial" w:hAnsi="Arial" w:cs="Arial"/>
                <w:b/>
                <w:sz w:val="22"/>
                <w:szCs w:val="22"/>
                <w:lang w:val="es-MX"/>
              </w:rPr>
            </w:pPr>
            <w:r w:rsidRPr="0030378D">
              <w:rPr>
                <w:rFonts w:ascii="Arial" w:hAnsi="Arial" w:cs="Arial"/>
                <w:b/>
                <w:sz w:val="22"/>
                <w:szCs w:val="22"/>
                <w:lang w:val="es-MX"/>
              </w:rPr>
              <w:t>N°</w:t>
            </w:r>
          </w:p>
        </w:tc>
        <w:tc>
          <w:tcPr>
            <w:tcW w:w="9116" w:type="dxa"/>
          </w:tcPr>
          <w:p w14:paraId="2EA86C1F"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RECOMENDACIONES</w:t>
            </w:r>
          </w:p>
          <w:p w14:paraId="0E48BE53" w14:textId="77777777" w:rsidR="00561B22" w:rsidRPr="0030378D" w:rsidRDefault="00561B22" w:rsidP="00F1223B">
            <w:pPr>
              <w:jc w:val="center"/>
              <w:rPr>
                <w:rFonts w:ascii="Arial" w:hAnsi="Arial" w:cs="Arial"/>
                <w:b/>
                <w:sz w:val="22"/>
                <w:szCs w:val="22"/>
                <w:lang w:val="es-MX"/>
              </w:rPr>
            </w:pPr>
          </w:p>
        </w:tc>
      </w:tr>
      <w:tr w:rsidR="00561B22" w:rsidRPr="0030378D" w14:paraId="0A40B1CB" w14:textId="77777777" w:rsidTr="00F1223B">
        <w:tc>
          <w:tcPr>
            <w:tcW w:w="846" w:type="dxa"/>
          </w:tcPr>
          <w:p w14:paraId="5F4B6F96" w14:textId="77777777" w:rsidR="00561B22" w:rsidRPr="0030378D" w:rsidRDefault="00561B22" w:rsidP="00F1223B">
            <w:pPr>
              <w:jc w:val="center"/>
              <w:rPr>
                <w:rFonts w:ascii="Arial" w:hAnsi="Arial" w:cs="Arial"/>
                <w:b/>
                <w:sz w:val="22"/>
                <w:szCs w:val="22"/>
                <w:lang w:val="es-MX"/>
              </w:rPr>
            </w:pPr>
            <w:r w:rsidRPr="0030378D">
              <w:rPr>
                <w:rFonts w:ascii="Arial" w:hAnsi="Arial" w:cs="Arial"/>
                <w:b/>
                <w:sz w:val="22"/>
                <w:szCs w:val="22"/>
                <w:lang w:val="es-MX"/>
              </w:rPr>
              <w:t>1</w:t>
            </w:r>
          </w:p>
        </w:tc>
        <w:tc>
          <w:tcPr>
            <w:tcW w:w="9116" w:type="dxa"/>
          </w:tcPr>
          <w:p w14:paraId="6C04ABD3" w14:textId="77777777" w:rsidR="00561B22" w:rsidRPr="0030378D" w:rsidRDefault="00561B22" w:rsidP="00F1223B">
            <w:pPr>
              <w:jc w:val="both"/>
              <w:rPr>
                <w:rFonts w:ascii="Arial" w:hAnsi="Arial" w:cs="Arial"/>
                <w:bCs/>
                <w:sz w:val="22"/>
                <w:szCs w:val="22"/>
                <w:lang w:val="es-MX"/>
              </w:rPr>
            </w:pPr>
            <w:r w:rsidRPr="0030378D">
              <w:rPr>
                <w:rFonts w:ascii="Arial" w:hAnsi="Arial" w:cs="Arial"/>
                <w:bCs/>
                <w:sz w:val="22"/>
                <w:szCs w:val="22"/>
                <w:lang w:val="es-MX"/>
              </w:rPr>
              <w:t>La presente evaluación constituye un referente de control Institucional por lo que además de las recomendaciones realizadas en la vigencia 2024 por medio de auditorías, seguimientos, acompañamientos, entre otros escenarios de los roles de evaluación del riesgo, de fomento a la cultura de control y de asesoría y acompañamiento ; se recomienda la suscripción de un plan de mejoramiento que verse sobre los aspectos calificados “PARCIALMENTE” no evaluados en el curso de la vigencia 2024 tales como capacitación y socialización de políticas contables mediante la interacción de los Grupos de Presupuesto, Contabilidad y Tesorería  con las áreas originarias de la información contable donde se generan las observaciones, para que se decanten las acciones de mejora y así poder materializar como resultado el mejoramiento en los procesos de la Entidad.</w:t>
            </w:r>
          </w:p>
        </w:tc>
      </w:tr>
    </w:tbl>
    <w:p w14:paraId="6EF18133" w14:textId="77777777" w:rsidR="00561B22" w:rsidRPr="0030378D" w:rsidRDefault="00561B22" w:rsidP="00561B22">
      <w:pPr>
        <w:pStyle w:val="Textoindependiente"/>
        <w:ind w:right="-50"/>
        <w:jc w:val="both"/>
        <w:rPr>
          <w:rFonts w:ascii="Arial" w:hAnsi="Arial" w:cs="Arial"/>
          <w:b/>
          <w:bCs/>
        </w:rPr>
      </w:pPr>
    </w:p>
    <w:p w14:paraId="41F6742B" w14:textId="77777777" w:rsidR="00561B22" w:rsidRPr="0030378D" w:rsidRDefault="00561B22" w:rsidP="00561B22">
      <w:pPr>
        <w:jc w:val="both"/>
        <w:rPr>
          <w:rFonts w:ascii="Arial" w:hAnsi="Arial" w:cs="Arial"/>
          <w:b/>
          <w:bCs/>
          <w:sz w:val="24"/>
          <w:szCs w:val="24"/>
          <w:lang w:val="es-CO"/>
        </w:rPr>
      </w:pPr>
      <w:r w:rsidRPr="0030378D">
        <w:rPr>
          <w:rFonts w:ascii="Arial" w:hAnsi="Arial" w:cs="Arial"/>
          <w:b/>
          <w:bCs/>
          <w:sz w:val="24"/>
          <w:szCs w:val="24"/>
          <w:lang w:val="es-CO"/>
        </w:rPr>
        <w:t xml:space="preserve">NOTA: LA ENTIDAD ENVIA LA MATRIZ DE AUTOEVALUACIÓN DEL SISTEMA DE CONTROL INTERNO CONTABLE CON </w:t>
      </w:r>
      <w:r w:rsidRPr="0030378D">
        <w:rPr>
          <w:rFonts w:ascii="Arial" w:hAnsi="Arial" w:cs="Arial"/>
          <w:b/>
          <w:bCs/>
          <w:sz w:val="24"/>
          <w:szCs w:val="24"/>
          <w:u w:val="single"/>
          <w:lang w:val="es-CO"/>
        </w:rPr>
        <w:t>ACTIVIDADES DE CONTROL REALIZADAS EN FORMA PARCIAL</w:t>
      </w:r>
      <w:r w:rsidRPr="0030378D">
        <w:rPr>
          <w:rFonts w:ascii="Arial" w:hAnsi="Arial" w:cs="Arial"/>
          <w:b/>
          <w:bCs/>
          <w:sz w:val="24"/>
          <w:szCs w:val="24"/>
          <w:lang w:val="es-CO"/>
        </w:rPr>
        <w:t>.</w:t>
      </w:r>
    </w:p>
    <w:p w14:paraId="26D36C2A" w14:textId="77777777" w:rsidR="00561B22" w:rsidRPr="0030378D" w:rsidRDefault="00561B22" w:rsidP="00561B22">
      <w:pPr>
        <w:pStyle w:val="Textoindependiente"/>
        <w:ind w:right="-50"/>
        <w:jc w:val="both"/>
        <w:rPr>
          <w:rFonts w:ascii="Arial" w:hAnsi="Arial" w:cs="Arial"/>
          <w:b/>
          <w:bCs/>
          <w:sz w:val="28"/>
          <w:szCs w:val="28"/>
        </w:rPr>
      </w:pPr>
    </w:p>
    <w:p w14:paraId="17E9593B" w14:textId="77777777" w:rsidR="00561B22" w:rsidRPr="00E93A91" w:rsidRDefault="00561B22" w:rsidP="00561B22">
      <w:pPr>
        <w:jc w:val="both"/>
        <w:rPr>
          <w:rFonts w:ascii="Arial" w:hAnsi="Arial" w:cs="Arial"/>
          <w:b/>
          <w:sz w:val="28"/>
          <w:szCs w:val="28"/>
          <w:lang w:val="es-MX"/>
        </w:rPr>
      </w:pPr>
      <w:r w:rsidRPr="00E93A91">
        <w:rPr>
          <w:rFonts w:ascii="Arial" w:hAnsi="Arial" w:cs="Arial"/>
          <w:b/>
          <w:sz w:val="28"/>
          <w:szCs w:val="28"/>
          <w:lang w:val="es-MX"/>
        </w:rPr>
        <w:t>21.- MINISTERIO DEL INTERIOR.</w:t>
      </w:r>
    </w:p>
    <w:p w14:paraId="6E10FB55" w14:textId="77777777" w:rsidR="00561B22" w:rsidRDefault="00561B22" w:rsidP="00561B22">
      <w:pPr>
        <w:ind w:left="142"/>
        <w:jc w:val="both"/>
        <w:rPr>
          <w:rFonts w:ascii="Arial" w:hAnsi="Arial" w:cs="Arial"/>
          <w:b/>
        </w:rPr>
      </w:pPr>
    </w:p>
    <w:p w14:paraId="1C86CFFC" w14:textId="77777777" w:rsidR="00561B22" w:rsidRPr="00E93A91" w:rsidRDefault="00561B22" w:rsidP="00561B22">
      <w:pPr>
        <w:jc w:val="both"/>
        <w:rPr>
          <w:rFonts w:ascii="Arial" w:hAnsi="Arial" w:cs="Arial"/>
          <w:b/>
          <w:lang w:val="es-MX"/>
        </w:rPr>
      </w:pPr>
      <w:r w:rsidRPr="00E93A91">
        <w:rPr>
          <w:rFonts w:ascii="Arial" w:hAnsi="Arial" w:cs="Arial"/>
          <w:b/>
          <w:lang w:val="es-MX"/>
        </w:rPr>
        <w:t xml:space="preserve">INFORME DE LA AUTOCALIFICACIÓN DEL SISTEMA DE CONTROL INTERNO CONTABLE: </w:t>
      </w:r>
    </w:p>
    <w:p w14:paraId="7AE5C3CB" w14:textId="77777777" w:rsidR="00561B22" w:rsidRPr="00E93A9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E93A91" w14:paraId="0301C337" w14:textId="77777777" w:rsidTr="00F1223B">
        <w:tc>
          <w:tcPr>
            <w:tcW w:w="4981" w:type="dxa"/>
          </w:tcPr>
          <w:p w14:paraId="5B954D5D"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AUTOCALIFICACIÓN</w:t>
            </w:r>
          </w:p>
        </w:tc>
        <w:tc>
          <w:tcPr>
            <w:tcW w:w="4981" w:type="dxa"/>
          </w:tcPr>
          <w:p w14:paraId="09C5C420" w14:textId="77777777" w:rsidR="00561B22" w:rsidRPr="00E93A91" w:rsidRDefault="00561B22" w:rsidP="00F1223B">
            <w:pPr>
              <w:jc w:val="center"/>
              <w:rPr>
                <w:rFonts w:ascii="Arial" w:hAnsi="Arial" w:cs="Arial"/>
                <w:b/>
                <w:sz w:val="22"/>
                <w:szCs w:val="22"/>
                <w:u w:val="single"/>
                <w:lang w:val="es-MX"/>
              </w:rPr>
            </w:pPr>
            <w:r w:rsidRPr="00E93A91">
              <w:rPr>
                <w:rFonts w:ascii="Arial" w:hAnsi="Arial" w:cs="Arial"/>
                <w:b/>
                <w:sz w:val="22"/>
                <w:szCs w:val="22"/>
                <w:u w:val="single"/>
                <w:lang w:val="es-MX"/>
              </w:rPr>
              <w:t>4.85</w:t>
            </w:r>
          </w:p>
        </w:tc>
      </w:tr>
    </w:tbl>
    <w:p w14:paraId="75AAC24F" w14:textId="77777777" w:rsidR="00561B22" w:rsidRPr="00E93A9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E93A91" w14:paraId="35BB7349" w14:textId="77777777" w:rsidTr="00F1223B">
        <w:tc>
          <w:tcPr>
            <w:tcW w:w="846" w:type="dxa"/>
          </w:tcPr>
          <w:p w14:paraId="32ED4CC9" w14:textId="77777777" w:rsidR="00561B22" w:rsidRPr="00E93A91" w:rsidRDefault="00561B22" w:rsidP="00F1223B">
            <w:pPr>
              <w:ind w:right="-109"/>
              <w:jc w:val="center"/>
              <w:rPr>
                <w:rFonts w:ascii="Arial" w:hAnsi="Arial" w:cs="Arial"/>
                <w:b/>
                <w:sz w:val="22"/>
                <w:szCs w:val="22"/>
                <w:lang w:val="es-MX"/>
              </w:rPr>
            </w:pPr>
            <w:r w:rsidRPr="00E93A91">
              <w:rPr>
                <w:rFonts w:ascii="Arial" w:hAnsi="Arial" w:cs="Arial"/>
                <w:b/>
                <w:sz w:val="22"/>
                <w:szCs w:val="22"/>
                <w:lang w:val="es-MX"/>
              </w:rPr>
              <w:t>N°</w:t>
            </w:r>
          </w:p>
        </w:tc>
        <w:tc>
          <w:tcPr>
            <w:tcW w:w="9116" w:type="dxa"/>
          </w:tcPr>
          <w:p w14:paraId="54A77DC8"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DEBILIDADES</w:t>
            </w:r>
          </w:p>
          <w:p w14:paraId="3891356D" w14:textId="77777777" w:rsidR="00561B22" w:rsidRPr="00E93A91" w:rsidRDefault="00561B22" w:rsidP="00F1223B">
            <w:pPr>
              <w:jc w:val="center"/>
              <w:rPr>
                <w:rFonts w:ascii="Arial" w:hAnsi="Arial" w:cs="Arial"/>
                <w:b/>
                <w:sz w:val="22"/>
                <w:szCs w:val="22"/>
                <w:lang w:val="es-MX"/>
              </w:rPr>
            </w:pPr>
          </w:p>
        </w:tc>
      </w:tr>
      <w:tr w:rsidR="00561B22" w:rsidRPr="00E93A91" w14:paraId="3C51D591" w14:textId="77777777" w:rsidTr="00F1223B">
        <w:tc>
          <w:tcPr>
            <w:tcW w:w="846" w:type="dxa"/>
          </w:tcPr>
          <w:p w14:paraId="73428571"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1</w:t>
            </w:r>
          </w:p>
        </w:tc>
        <w:tc>
          <w:tcPr>
            <w:tcW w:w="9116" w:type="dxa"/>
          </w:tcPr>
          <w:p w14:paraId="5A063CA8"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 xml:space="preserve">Se evidencia debilidad en la identificación de riesgos de índole contable para detectar oportunamente las deficiencias, errores o inconsistencias al momento de generar información contable, y así mitigar el riesgo al Sistema de Control Interno Contable que </w:t>
            </w:r>
            <w:r w:rsidRPr="00E93A91">
              <w:rPr>
                <w:rFonts w:ascii="Arial" w:hAnsi="Arial" w:cs="Arial"/>
                <w:sz w:val="22"/>
                <w:szCs w:val="22"/>
                <w:lang w:val="es-MX"/>
              </w:rPr>
              <w:lastRenderedPageBreak/>
              <w:t>pueda afectar los Estados Financieros y no afecte la razonabilidad, utilidad y confiabilidad de la información generada por las operaciones financieras y económicas reconocidas a través del Sistema Financiero de la Nación SIIF Nación II.</w:t>
            </w:r>
          </w:p>
        </w:tc>
      </w:tr>
      <w:tr w:rsidR="00561B22" w:rsidRPr="00E93A91" w14:paraId="290CD942" w14:textId="77777777" w:rsidTr="00F1223B">
        <w:tc>
          <w:tcPr>
            <w:tcW w:w="846" w:type="dxa"/>
          </w:tcPr>
          <w:p w14:paraId="2A7B0208"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lastRenderedPageBreak/>
              <w:t>2</w:t>
            </w:r>
          </w:p>
        </w:tc>
        <w:tc>
          <w:tcPr>
            <w:tcW w:w="9116" w:type="dxa"/>
          </w:tcPr>
          <w:p w14:paraId="4C09A507"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Se adelantaron gestiones por parte de las dependencias generadoras de información, para legalizar los saldos reportados en las cuentas contables 1908-Recursos Entregados en Administración y 161501- Construcciones en curso, pero se mantienen saldos de vigencias anteriores.</w:t>
            </w:r>
          </w:p>
        </w:tc>
      </w:tr>
      <w:tr w:rsidR="00561B22" w:rsidRPr="00E93A91" w14:paraId="1BEBD5BC" w14:textId="77777777" w:rsidTr="00F1223B">
        <w:tc>
          <w:tcPr>
            <w:tcW w:w="846" w:type="dxa"/>
          </w:tcPr>
          <w:p w14:paraId="6CF7790A"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3</w:t>
            </w:r>
          </w:p>
        </w:tc>
        <w:tc>
          <w:tcPr>
            <w:tcW w:w="9116" w:type="dxa"/>
          </w:tcPr>
          <w:p w14:paraId="6CEB5A15"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Si bien el grupo de Gestión Financiera ha aunado esfuerzos para subsanar los hallazgos encontrados tanto por la Oficina de Control Interno como por la Contraloría General de la República, aún persisten debilidades en la conciliación de ajustes a realizar por la Dirección del Tesoro Nacional de la cuenta Única Nacional, y en ajustes de cuentas recíprocas con las entidades territoriales.</w:t>
            </w:r>
          </w:p>
        </w:tc>
      </w:tr>
      <w:tr w:rsidR="00561B22" w:rsidRPr="00E93A91" w14:paraId="14E37EFA" w14:textId="77777777" w:rsidTr="00F1223B">
        <w:tc>
          <w:tcPr>
            <w:tcW w:w="846" w:type="dxa"/>
          </w:tcPr>
          <w:p w14:paraId="41735BBF"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4</w:t>
            </w:r>
          </w:p>
        </w:tc>
        <w:tc>
          <w:tcPr>
            <w:tcW w:w="9116" w:type="dxa"/>
          </w:tcPr>
          <w:p w14:paraId="01938F0C"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El Grupo de Gestión financiera requiere reforzar el grupo con funcionarios de planta, toda vez que las funciones son desarrolladas por un número significativo de contratistas, situación que afecta la continuidad de los procesos por la alta rotación del personal.</w:t>
            </w:r>
          </w:p>
        </w:tc>
      </w:tr>
    </w:tbl>
    <w:p w14:paraId="768AF876" w14:textId="77777777" w:rsidR="00561B22" w:rsidRPr="00E93A91" w:rsidRDefault="00561B22" w:rsidP="00561B22">
      <w:pPr>
        <w:jc w:val="both"/>
        <w:rPr>
          <w:rFonts w:ascii="Arial" w:hAnsi="Arial" w:cs="Arial"/>
          <w:b/>
          <w:lang w:val="es-MX"/>
        </w:rPr>
      </w:pPr>
    </w:p>
    <w:p w14:paraId="4C6AC2B0" w14:textId="77777777" w:rsidR="00561B22" w:rsidRPr="00E93A91" w:rsidRDefault="00561B22" w:rsidP="00561B22">
      <w:pPr>
        <w:jc w:val="both"/>
        <w:rPr>
          <w:rFonts w:ascii="Arial" w:hAnsi="Arial" w:cs="Arial"/>
          <w:b/>
          <w:lang w:val="es-MX"/>
        </w:rPr>
      </w:pPr>
      <w:r w:rsidRPr="00E93A91">
        <w:rPr>
          <w:rFonts w:ascii="Arial" w:hAnsi="Arial" w:cs="Arial"/>
          <w:b/>
          <w:lang w:val="es-MX"/>
        </w:rPr>
        <w:t>Del citado informe retomamos las siguientes recomendaciones:</w:t>
      </w:r>
    </w:p>
    <w:p w14:paraId="36BBA6E4" w14:textId="77777777" w:rsidR="00561B22" w:rsidRPr="00E93A9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E93A91" w14:paraId="653671B2" w14:textId="77777777" w:rsidTr="00F1223B">
        <w:tc>
          <w:tcPr>
            <w:tcW w:w="846" w:type="dxa"/>
          </w:tcPr>
          <w:p w14:paraId="57FE4135" w14:textId="77777777" w:rsidR="00561B22" w:rsidRPr="00E93A91" w:rsidRDefault="00561B22" w:rsidP="00F1223B">
            <w:pPr>
              <w:ind w:right="-109"/>
              <w:jc w:val="center"/>
              <w:rPr>
                <w:rFonts w:ascii="Arial" w:hAnsi="Arial" w:cs="Arial"/>
                <w:b/>
                <w:sz w:val="22"/>
                <w:szCs w:val="22"/>
                <w:lang w:val="es-MX"/>
              </w:rPr>
            </w:pPr>
            <w:r w:rsidRPr="00E93A91">
              <w:rPr>
                <w:rFonts w:ascii="Arial" w:hAnsi="Arial" w:cs="Arial"/>
                <w:b/>
                <w:sz w:val="22"/>
                <w:szCs w:val="22"/>
                <w:lang w:val="es-MX"/>
              </w:rPr>
              <w:t>N°</w:t>
            </w:r>
          </w:p>
        </w:tc>
        <w:tc>
          <w:tcPr>
            <w:tcW w:w="9116" w:type="dxa"/>
          </w:tcPr>
          <w:p w14:paraId="501879ED"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RECOMENDACIONES</w:t>
            </w:r>
          </w:p>
          <w:p w14:paraId="560A539C" w14:textId="77777777" w:rsidR="00561B22" w:rsidRPr="00E93A91" w:rsidRDefault="00561B22" w:rsidP="00F1223B">
            <w:pPr>
              <w:jc w:val="center"/>
              <w:rPr>
                <w:rFonts w:ascii="Arial" w:hAnsi="Arial" w:cs="Arial"/>
                <w:b/>
                <w:sz w:val="22"/>
                <w:szCs w:val="22"/>
                <w:lang w:val="es-MX"/>
              </w:rPr>
            </w:pPr>
          </w:p>
        </w:tc>
      </w:tr>
      <w:tr w:rsidR="00561B22" w:rsidRPr="00E93A91" w14:paraId="17C82709" w14:textId="77777777" w:rsidTr="00F1223B">
        <w:tc>
          <w:tcPr>
            <w:tcW w:w="846" w:type="dxa"/>
          </w:tcPr>
          <w:p w14:paraId="74B49453"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1</w:t>
            </w:r>
          </w:p>
        </w:tc>
        <w:tc>
          <w:tcPr>
            <w:tcW w:w="9116" w:type="dxa"/>
          </w:tcPr>
          <w:p w14:paraId="4EAB2C1D"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Establecer en el mapa de riesgos aquellos de índole contable, conforme a los criterios observados en el anexo de la Resolución 193 de 2016 “Procedimiento para la Evaluación del Control Interno Contable”</w:t>
            </w:r>
          </w:p>
        </w:tc>
      </w:tr>
      <w:tr w:rsidR="00561B22" w:rsidRPr="00E93A91" w14:paraId="273A6FAE" w14:textId="77777777" w:rsidTr="00F1223B">
        <w:tc>
          <w:tcPr>
            <w:tcW w:w="846" w:type="dxa"/>
          </w:tcPr>
          <w:p w14:paraId="748E3738"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2</w:t>
            </w:r>
          </w:p>
        </w:tc>
        <w:tc>
          <w:tcPr>
            <w:tcW w:w="9116" w:type="dxa"/>
          </w:tcPr>
          <w:p w14:paraId="0EE94CF8"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Considerar el riesgo por el no fenecimiento de la cuenta, teniendo en cuenta los efectos que puede generar, en caso de recurrencia.</w:t>
            </w:r>
          </w:p>
        </w:tc>
      </w:tr>
      <w:tr w:rsidR="00561B22" w:rsidRPr="00E93A91" w14:paraId="214850B0" w14:textId="77777777" w:rsidTr="00F1223B">
        <w:tc>
          <w:tcPr>
            <w:tcW w:w="846" w:type="dxa"/>
          </w:tcPr>
          <w:p w14:paraId="07DB38C9"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3</w:t>
            </w:r>
          </w:p>
        </w:tc>
        <w:tc>
          <w:tcPr>
            <w:tcW w:w="9116" w:type="dxa"/>
          </w:tcPr>
          <w:p w14:paraId="001E30F1"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Definir indicadores financieros y de gestión dentro del proceso que midan la efectividad de los controles establecidos en el proceso contable.</w:t>
            </w:r>
          </w:p>
        </w:tc>
      </w:tr>
      <w:tr w:rsidR="00561B22" w:rsidRPr="00E93A91" w14:paraId="0F9E5A70" w14:textId="77777777" w:rsidTr="00F1223B">
        <w:tc>
          <w:tcPr>
            <w:tcW w:w="846" w:type="dxa"/>
          </w:tcPr>
          <w:p w14:paraId="6E4C402F"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4</w:t>
            </w:r>
          </w:p>
        </w:tc>
        <w:tc>
          <w:tcPr>
            <w:tcW w:w="9116" w:type="dxa"/>
          </w:tcPr>
          <w:p w14:paraId="7E4747E7"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Gestionar de manera oportuna las partidas conciliatorias observadas en el cierre de la vigencia 2024, particularmente las adelantadas con la Dirección de Crédito Público y del Tesoro Nacional.</w:t>
            </w:r>
          </w:p>
        </w:tc>
      </w:tr>
      <w:tr w:rsidR="00561B22" w:rsidRPr="00E93A91" w14:paraId="66CB835A" w14:textId="77777777" w:rsidTr="00F1223B">
        <w:tc>
          <w:tcPr>
            <w:tcW w:w="846" w:type="dxa"/>
          </w:tcPr>
          <w:p w14:paraId="4900355B"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5</w:t>
            </w:r>
          </w:p>
        </w:tc>
        <w:tc>
          <w:tcPr>
            <w:tcW w:w="9116" w:type="dxa"/>
          </w:tcPr>
          <w:p w14:paraId="280BC684"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Continuar con el proceso de seguimiento a los saldos registrados en las cuentas contables 190801- Recursos entregados en administración, las cuales fueron objeto de hallazgos por parte de la Contraloría.</w:t>
            </w:r>
          </w:p>
        </w:tc>
      </w:tr>
      <w:tr w:rsidR="00561B22" w:rsidRPr="00E93A91" w14:paraId="4552A0E8" w14:textId="77777777" w:rsidTr="00F1223B">
        <w:tc>
          <w:tcPr>
            <w:tcW w:w="846" w:type="dxa"/>
          </w:tcPr>
          <w:p w14:paraId="287B05E3"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6</w:t>
            </w:r>
          </w:p>
        </w:tc>
        <w:tc>
          <w:tcPr>
            <w:tcW w:w="9116" w:type="dxa"/>
          </w:tcPr>
          <w:p w14:paraId="129DA86A"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Optimizar las gestiones administrativas para la recuperación oportuna de las cuentas por cobrar dentro del tiempo razonable, acorde con las acciones realizadas por la Dirección Jurídica del Ministerio.</w:t>
            </w:r>
          </w:p>
        </w:tc>
      </w:tr>
      <w:tr w:rsidR="00561B22" w:rsidRPr="00E93A91" w14:paraId="438B696E" w14:textId="77777777" w:rsidTr="00F1223B">
        <w:tc>
          <w:tcPr>
            <w:tcW w:w="846" w:type="dxa"/>
          </w:tcPr>
          <w:p w14:paraId="0DF3B92E"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7</w:t>
            </w:r>
          </w:p>
        </w:tc>
        <w:tc>
          <w:tcPr>
            <w:tcW w:w="9116" w:type="dxa"/>
          </w:tcPr>
          <w:p w14:paraId="5A13C578" w14:textId="77777777" w:rsidR="00561B22" w:rsidRPr="00E93A91" w:rsidRDefault="00561B22" w:rsidP="00F1223B">
            <w:pPr>
              <w:jc w:val="both"/>
              <w:rPr>
                <w:rFonts w:ascii="Arial" w:hAnsi="Arial" w:cs="Arial"/>
                <w:sz w:val="22"/>
                <w:szCs w:val="22"/>
                <w:lang w:val="es-MX"/>
              </w:rPr>
            </w:pPr>
            <w:r w:rsidRPr="00E93A91">
              <w:rPr>
                <w:rFonts w:ascii="Arial" w:hAnsi="Arial" w:cs="Arial"/>
                <w:sz w:val="22"/>
                <w:szCs w:val="22"/>
                <w:lang w:val="es-MX"/>
              </w:rPr>
              <w:t>Reforzar la actividad de capacitación para los supervisores de contratos en la entidad, frente a la responsabilidad de legalizar oportunamente los recursos entregados en administración ante el Grupo de Gestión Financiera y Contable; toda vez que dichos recursos han sido objeto de pronunciamiento por parte de la Contraloría.</w:t>
            </w:r>
          </w:p>
        </w:tc>
      </w:tr>
      <w:tr w:rsidR="00561B22" w:rsidRPr="00E93A91" w14:paraId="35567BE1" w14:textId="77777777" w:rsidTr="00F1223B">
        <w:tc>
          <w:tcPr>
            <w:tcW w:w="846" w:type="dxa"/>
          </w:tcPr>
          <w:p w14:paraId="56587CD2"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8</w:t>
            </w:r>
          </w:p>
        </w:tc>
        <w:tc>
          <w:tcPr>
            <w:tcW w:w="9116" w:type="dxa"/>
            <w:shd w:val="clear" w:color="auto" w:fill="auto"/>
            <w:vAlign w:val="center"/>
          </w:tcPr>
          <w:p w14:paraId="1BB978A8" w14:textId="77777777" w:rsidR="00561B22" w:rsidRPr="00E93A91" w:rsidRDefault="00561B22" w:rsidP="00F1223B">
            <w:pPr>
              <w:shd w:val="clear" w:color="auto" w:fill="FFFFFF"/>
              <w:jc w:val="both"/>
              <w:rPr>
                <w:rFonts w:ascii="Arial" w:hAnsi="Arial" w:cs="Arial"/>
                <w:color w:val="000000"/>
                <w:sz w:val="22"/>
                <w:szCs w:val="22"/>
              </w:rPr>
            </w:pPr>
            <w:r w:rsidRPr="00E93A91">
              <w:rPr>
                <w:rFonts w:ascii="Arial" w:hAnsi="Arial" w:cs="Arial"/>
                <w:color w:val="000000"/>
                <w:sz w:val="22"/>
                <w:szCs w:val="22"/>
              </w:rPr>
              <w:t>Realizar la reformulación de los plazos y unidades de medida, así como el análisis de causas (causa/raíz), que permita mitigar y/o eliminar los hallazgos generados por la Contraloría.</w:t>
            </w:r>
          </w:p>
        </w:tc>
      </w:tr>
      <w:tr w:rsidR="00561B22" w:rsidRPr="00E93A91" w14:paraId="6E933F43" w14:textId="77777777" w:rsidTr="00F1223B">
        <w:tc>
          <w:tcPr>
            <w:tcW w:w="846" w:type="dxa"/>
          </w:tcPr>
          <w:p w14:paraId="51DB3F14"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9</w:t>
            </w:r>
          </w:p>
        </w:tc>
        <w:tc>
          <w:tcPr>
            <w:tcW w:w="9116" w:type="dxa"/>
            <w:shd w:val="clear" w:color="auto" w:fill="auto"/>
            <w:vAlign w:val="center"/>
          </w:tcPr>
          <w:p w14:paraId="630FC206" w14:textId="77777777" w:rsidR="00561B22" w:rsidRPr="00E93A91" w:rsidRDefault="00561B22" w:rsidP="00F1223B">
            <w:pPr>
              <w:shd w:val="clear" w:color="auto" w:fill="FFFFFF"/>
              <w:jc w:val="both"/>
              <w:rPr>
                <w:rFonts w:ascii="Arial" w:hAnsi="Arial" w:cs="Arial"/>
                <w:color w:val="000000"/>
                <w:sz w:val="22"/>
                <w:szCs w:val="22"/>
              </w:rPr>
            </w:pPr>
            <w:r w:rsidRPr="00E93A91">
              <w:rPr>
                <w:rFonts w:ascii="Arial" w:hAnsi="Arial" w:cs="Arial"/>
                <w:color w:val="000000"/>
                <w:sz w:val="22"/>
                <w:szCs w:val="22"/>
              </w:rPr>
              <w:t>Actualizar el manual de Políticas Contables de conformidad con lo estipulado en la Resolución No. 038 del 13 de febrero de 2024 'Por la cual se modifica el parágrafo 3 del artículo 6 de la Resolución No. 411 de 2023 y se derogan las Resoluciones 441 de 2019 y 193 de 2020".</w:t>
            </w:r>
          </w:p>
        </w:tc>
      </w:tr>
      <w:tr w:rsidR="00561B22" w:rsidRPr="00E93A91" w14:paraId="795E33E3" w14:textId="77777777" w:rsidTr="00F1223B">
        <w:tc>
          <w:tcPr>
            <w:tcW w:w="846" w:type="dxa"/>
          </w:tcPr>
          <w:p w14:paraId="21EEDA70"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10</w:t>
            </w:r>
          </w:p>
        </w:tc>
        <w:tc>
          <w:tcPr>
            <w:tcW w:w="9116" w:type="dxa"/>
            <w:shd w:val="clear" w:color="auto" w:fill="auto"/>
            <w:vAlign w:val="center"/>
          </w:tcPr>
          <w:p w14:paraId="633EC025" w14:textId="77777777" w:rsidR="00561B22" w:rsidRPr="00E93A91" w:rsidRDefault="00561B22" w:rsidP="00F1223B">
            <w:pPr>
              <w:shd w:val="clear" w:color="auto" w:fill="FFFFFF"/>
              <w:jc w:val="both"/>
              <w:rPr>
                <w:rFonts w:ascii="Arial" w:hAnsi="Arial" w:cs="Arial"/>
                <w:color w:val="000000"/>
                <w:sz w:val="22"/>
                <w:szCs w:val="22"/>
              </w:rPr>
            </w:pPr>
            <w:r w:rsidRPr="00E93A91">
              <w:rPr>
                <w:rFonts w:ascii="Arial" w:hAnsi="Arial" w:cs="Arial"/>
                <w:color w:val="000000"/>
                <w:sz w:val="22"/>
                <w:szCs w:val="22"/>
              </w:rPr>
              <w:t>Adelantar la actualización de los procedimientos, instructivos, formatos y/ o anexos asociados al Proceso de “Gestión Financiera” y adoptados en el Sistema Integrado de Gestión Institucional - SIGI, conforme a la nueva plantilla definida en el Proceso Estratégico “Planeación Direccionamiento Estratégico y Comunicaciones” así como, retirar del sistema los anexos y documentos que no están siendo utilizados.</w:t>
            </w:r>
          </w:p>
        </w:tc>
      </w:tr>
      <w:tr w:rsidR="00561B22" w:rsidRPr="00E93A91" w14:paraId="5FA02D6A" w14:textId="77777777" w:rsidTr="00F1223B">
        <w:tc>
          <w:tcPr>
            <w:tcW w:w="846" w:type="dxa"/>
          </w:tcPr>
          <w:p w14:paraId="2DF9939C"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t>11</w:t>
            </w:r>
          </w:p>
        </w:tc>
        <w:tc>
          <w:tcPr>
            <w:tcW w:w="9116" w:type="dxa"/>
            <w:shd w:val="clear" w:color="auto" w:fill="auto"/>
            <w:vAlign w:val="center"/>
          </w:tcPr>
          <w:p w14:paraId="5AA0A328" w14:textId="77777777" w:rsidR="00561B22" w:rsidRPr="00E93A91" w:rsidRDefault="00561B22" w:rsidP="00F1223B">
            <w:pPr>
              <w:shd w:val="clear" w:color="auto" w:fill="FFFFFF"/>
              <w:jc w:val="both"/>
              <w:rPr>
                <w:rFonts w:ascii="Arial" w:hAnsi="Arial" w:cs="Arial"/>
                <w:color w:val="000000"/>
                <w:sz w:val="22"/>
                <w:szCs w:val="22"/>
              </w:rPr>
            </w:pPr>
            <w:r w:rsidRPr="00E93A91">
              <w:rPr>
                <w:rFonts w:ascii="Arial" w:hAnsi="Arial" w:cs="Arial"/>
                <w:color w:val="000000"/>
                <w:sz w:val="22"/>
                <w:szCs w:val="22"/>
              </w:rPr>
              <w:t xml:space="preserve">Fortalecer las acciones encaminadas a socializar de forma masiva la información </w:t>
            </w:r>
            <w:r w:rsidRPr="00E93A91">
              <w:rPr>
                <w:rFonts w:ascii="Arial" w:hAnsi="Arial" w:cs="Arial"/>
                <w:color w:val="000000"/>
                <w:sz w:val="22"/>
                <w:szCs w:val="22"/>
              </w:rPr>
              <w:lastRenderedPageBreak/>
              <w:t>relacionada con el adecuado control de los bienes del Ministerio del Interior, con el objeto de minimizar las situaciones evidenciadas en las tomas físicas adelantada en la entidad.</w:t>
            </w:r>
          </w:p>
        </w:tc>
      </w:tr>
      <w:tr w:rsidR="00561B22" w:rsidRPr="00E93A91" w14:paraId="0A2661C5" w14:textId="77777777" w:rsidTr="00F1223B">
        <w:tc>
          <w:tcPr>
            <w:tcW w:w="846" w:type="dxa"/>
          </w:tcPr>
          <w:p w14:paraId="1EFB2D54" w14:textId="77777777" w:rsidR="00561B22" w:rsidRPr="00E93A91" w:rsidRDefault="00561B22" w:rsidP="00F1223B">
            <w:pPr>
              <w:jc w:val="center"/>
              <w:rPr>
                <w:rFonts w:ascii="Arial" w:hAnsi="Arial" w:cs="Arial"/>
                <w:b/>
                <w:sz w:val="22"/>
                <w:szCs w:val="22"/>
                <w:lang w:val="es-MX"/>
              </w:rPr>
            </w:pPr>
            <w:r w:rsidRPr="00E93A91">
              <w:rPr>
                <w:rFonts w:ascii="Arial" w:hAnsi="Arial" w:cs="Arial"/>
                <w:b/>
                <w:sz w:val="22"/>
                <w:szCs w:val="22"/>
                <w:lang w:val="es-MX"/>
              </w:rPr>
              <w:lastRenderedPageBreak/>
              <w:t>12</w:t>
            </w:r>
          </w:p>
        </w:tc>
        <w:tc>
          <w:tcPr>
            <w:tcW w:w="9116" w:type="dxa"/>
            <w:shd w:val="clear" w:color="auto" w:fill="auto"/>
            <w:vAlign w:val="center"/>
          </w:tcPr>
          <w:p w14:paraId="25069F9F" w14:textId="77777777" w:rsidR="00561B22" w:rsidRPr="00E93A91" w:rsidRDefault="00561B22" w:rsidP="00F1223B">
            <w:pPr>
              <w:jc w:val="both"/>
              <w:rPr>
                <w:rFonts w:ascii="Arial" w:hAnsi="Arial" w:cs="Arial"/>
                <w:color w:val="000000"/>
                <w:sz w:val="22"/>
                <w:szCs w:val="22"/>
              </w:rPr>
            </w:pPr>
            <w:r w:rsidRPr="00E93A91">
              <w:rPr>
                <w:rFonts w:ascii="Arial" w:hAnsi="Arial" w:cs="Arial"/>
                <w:color w:val="000000"/>
                <w:sz w:val="22"/>
                <w:szCs w:val="22"/>
              </w:rPr>
              <w:t>Incluir dentro del Plan Institucional de Capacitación, estrategias que fortalezcan las habilidades y competencias del personal involucrado en el proceso contable, en aras de propender por la generación de información contable razonable, fidedigna y útil para la toma de decisiones.</w:t>
            </w:r>
          </w:p>
        </w:tc>
      </w:tr>
    </w:tbl>
    <w:p w14:paraId="7D816F38" w14:textId="77777777" w:rsidR="00561B22" w:rsidRPr="00E93A91" w:rsidRDefault="00561B22" w:rsidP="00561B22">
      <w:pPr>
        <w:jc w:val="both"/>
        <w:rPr>
          <w:rFonts w:ascii="Arial" w:hAnsi="Arial" w:cs="Arial"/>
          <w:b/>
          <w:lang w:val="es-MX"/>
        </w:rPr>
      </w:pPr>
    </w:p>
    <w:p w14:paraId="6994C16F" w14:textId="77777777" w:rsidR="00561B22" w:rsidRPr="00E93A91" w:rsidRDefault="00561B22" w:rsidP="00561B22">
      <w:pPr>
        <w:jc w:val="both"/>
        <w:rPr>
          <w:rFonts w:ascii="Arial" w:hAnsi="Arial" w:cs="Arial"/>
          <w:b/>
          <w:sz w:val="24"/>
          <w:szCs w:val="24"/>
          <w:u w:val="single"/>
          <w:lang w:val="es-MX"/>
        </w:rPr>
      </w:pPr>
      <w:r w:rsidRPr="00E93A91">
        <w:rPr>
          <w:rFonts w:ascii="Arial" w:hAnsi="Arial" w:cs="Arial"/>
          <w:b/>
          <w:sz w:val="24"/>
          <w:szCs w:val="24"/>
          <w:lang w:val="es-MX"/>
        </w:rPr>
        <w:t>NOTA:</w:t>
      </w:r>
      <w:r w:rsidRPr="00E93A91">
        <w:rPr>
          <w:rFonts w:ascii="Arial" w:hAnsi="Arial" w:cs="Arial"/>
          <w:sz w:val="24"/>
          <w:szCs w:val="24"/>
          <w:lang w:val="es-MX"/>
        </w:rPr>
        <w:t xml:space="preserve"> LA ENTIDAD ENVÍA LA MATRIZ DE AUTOEVALUACIÓN DEL SISTEMA DE CONTROL INTERNO CONTABLE CON </w:t>
      </w:r>
      <w:r w:rsidRPr="00E93A91">
        <w:rPr>
          <w:rFonts w:ascii="Arial" w:hAnsi="Arial" w:cs="Arial"/>
          <w:b/>
          <w:sz w:val="24"/>
          <w:szCs w:val="24"/>
          <w:u w:val="single"/>
          <w:lang w:val="es-MX"/>
        </w:rPr>
        <w:t>ACTIVIDADES DE CONTROL REALIZADAS EN FORMA PARCIAL Y OTRAS SIMPLEMENTE INFORMAN QUE NO REALIZARON.</w:t>
      </w:r>
    </w:p>
    <w:p w14:paraId="0ACDB68A" w14:textId="77777777" w:rsidR="00561B22" w:rsidRDefault="00561B22" w:rsidP="00561B22">
      <w:pPr>
        <w:ind w:left="142"/>
        <w:jc w:val="both"/>
        <w:rPr>
          <w:rFonts w:ascii="Arial" w:hAnsi="Arial" w:cs="Arial"/>
          <w:b/>
          <w:sz w:val="24"/>
          <w:szCs w:val="24"/>
          <w:lang w:val="es-MX"/>
        </w:rPr>
      </w:pPr>
    </w:p>
    <w:p w14:paraId="10E07F3D" w14:textId="77777777" w:rsidR="00561B22" w:rsidRPr="00880842" w:rsidRDefault="00561B22" w:rsidP="00561B22">
      <w:pPr>
        <w:jc w:val="both"/>
        <w:rPr>
          <w:rFonts w:ascii="Arial" w:hAnsi="Arial" w:cs="Arial"/>
          <w:b/>
          <w:sz w:val="28"/>
          <w:szCs w:val="28"/>
          <w:lang w:val="es-MX"/>
        </w:rPr>
      </w:pPr>
      <w:bookmarkStart w:id="62" w:name="_Hlk196305462"/>
      <w:r w:rsidRPr="00880842">
        <w:rPr>
          <w:rFonts w:ascii="Arial" w:hAnsi="Arial" w:cs="Arial"/>
          <w:b/>
          <w:sz w:val="28"/>
          <w:szCs w:val="28"/>
          <w:lang w:val="es-MX"/>
        </w:rPr>
        <w:t>22.- DIRECCIÓN NACIONAL DE BOMBEROS DE COLOMBIA - DNBC.</w:t>
      </w:r>
    </w:p>
    <w:bookmarkEnd w:id="62"/>
    <w:p w14:paraId="0F7DF5FE" w14:textId="77777777" w:rsidR="00561B22" w:rsidRDefault="00561B22" w:rsidP="00561B22">
      <w:pPr>
        <w:ind w:left="142"/>
        <w:jc w:val="both"/>
        <w:rPr>
          <w:rFonts w:ascii="Arial" w:hAnsi="Arial" w:cs="Arial"/>
          <w:b/>
          <w:sz w:val="24"/>
          <w:szCs w:val="24"/>
          <w:lang w:val="es-MX"/>
        </w:rPr>
      </w:pPr>
    </w:p>
    <w:p w14:paraId="6E52D8E7" w14:textId="77777777" w:rsidR="00561B22" w:rsidRPr="00880842" w:rsidRDefault="00561B22" w:rsidP="00561B22">
      <w:pPr>
        <w:pStyle w:val="Textoindependiente"/>
        <w:ind w:right="-50"/>
        <w:jc w:val="center"/>
        <w:rPr>
          <w:rFonts w:ascii="Arial" w:hAnsi="Arial" w:cs="Arial"/>
          <w:b/>
          <w:bCs/>
        </w:rPr>
      </w:pPr>
      <w:r w:rsidRPr="00880842">
        <w:rPr>
          <w:rFonts w:ascii="Arial" w:hAnsi="Arial" w:cs="Arial"/>
          <w:b/>
          <w:bCs/>
        </w:rPr>
        <w:t>INFORME DE LA AUTOCALIFICACIÓN DEL SISTEMA DE CONTROL INTERNO CONTABLE:</w:t>
      </w:r>
    </w:p>
    <w:p w14:paraId="7B5808A1" w14:textId="77777777" w:rsidR="00561B22" w:rsidRPr="0088084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80842" w14:paraId="5C5BC78B" w14:textId="77777777" w:rsidTr="00F1223B">
        <w:tc>
          <w:tcPr>
            <w:tcW w:w="4981" w:type="dxa"/>
          </w:tcPr>
          <w:p w14:paraId="7B500C49"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AUTOCALIFICACIÓN</w:t>
            </w:r>
          </w:p>
        </w:tc>
        <w:tc>
          <w:tcPr>
            <w:tcW w:w="4981" w:type="dxa"/>
          </w:tcPr>
          <w:p w14:paraId="48F439D7" w14:textId="77777777" w:rsidR="00561B22" w:rsidRPr="00880842" w:rsidRDefault="00561B22" w:rsidP="00F1223B">
            <w:pPr>
              <w:jc w:val="center"/>
              <w:rPr>
                <w:rFonts w:ascii="Arial" w:hAnsi="Arial" w:cs="Arial"/>
                <w:b/>
                <w:sz w:val="22"/>
                <w:szCs w:val="22"/>
                <w:u w:val="single"/>
                <w:lang w:val="es-MX"/>
              </w:rPr>
            </w:pPr>
            <w:r w:rsidRPr="00880842">
              <w:rPr>
                <w:rFonts w:ascii="Arial" w:hAnsi="Arial" w:cs="Arial"/>
                <w:b/>
                <w:sz w:val="22"/>
                <w:szCs w:val="22"/>
                <w:u w:val="single"/>
                <w:lang w:val="es-MX"/>
              </w:rPr>
              <w:t>4.20</w:t>
            </w:r>
          </w:p>
        </w:tc>
      </w:tr>
    </w:tbl>
    <w:p w14:paraId="4803028D" w14:textId="77777777" w:rsidR="00561B22" w:rsidRPr="00880842" w:rsidRDefault="00561B22" w:rsidP="00561B22">
      <w:pPr>
        <w:pStyle w:val="Textoindependiente"/>
        <w:ind w:right="-50"/>
        <w:jc w:val="both"/>
        <w:rPr>
          <w:rFonts w:ascii="Arial" w:hAnsi="Arial" w:cs="Arial"/>
          <w:b/>
          <w:bCs/>
        </w:rPr>
      </w:pPr>
    </w:p>
    <w:p w14:paraId="3685BA02" w14:textId="77777777" w:rsidR="00561B22" w:rsidRPr="00880842" w:rsidRDefault="00561B22" w:rsidP="00561B22">
      <w:pPr>
        <w:pStyle w:val="Textoindependiente"/>
        <w:ind w:right="-50"/>
        <w:jc w:val="both"/>
        <w:rPr>
          <w:rFonts w:ascii="Arial" w:hAnsi="Arial" w:cs="Arial"/>
          <w:b/>
          <w:bCs/>
        </w:rPr>
      </w:pPr>
      <w:r w:rsidRPr="00880842">
        <w:rPr>
          <w:rFonts w:ascii="Arial" w:hAnsi="Arial" w:cs="Arial"/>
          <w:b/>
          <w:bCs/>
        </w:rPr>
        <w:t>Del informe enviado retomamos lo siguiente:</w:t>
      </w:r>
    </w:p>
    <w:p w14:paraId="433DAFF3" w14:textId="77777777" w:rsidR="00561B22" w:rsidRPr="0088084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80842" w14:paraId="535994A4" w14:textId="77777777" w:rsidTr="00F1223B">
        <w:tc>
          <w:tcPr>
            <w:tcW w:w="846" w:type="dxa"/>
          </w:tcPr>
          <w:p w14:paraId="3093D339" w14:textId="77777777" w:rsidR="00561B22" w:rsidRPr="00880842" w:rsidRDefault="00561B22" w:rsidP="00F1223B">
            <w:pPr>
              <w:ind w:right="-109"/>
              <w:jc w:val="center"/>
              <w:rPr>
                <w:rFonts w:ascii="Arial" w:hAnsi="Arial" w:cs="Arial"/>
                <w:b/>
                <w:sz w:val="22"/>
                <w:szCs w:val="22"/>
                <w:lang w:val="es-MX"/>
              </w:rPr>
            </w:pPr>
            <w:r w:rsidRPr="00880842">
              <w:rPr>
                <w:rFonts w:ascii="Arial" w:hAnsi="Arial" w:cs="Arial"/>
                <w:b/>
                <w:sz w:val="22"/>
                <w:szCs w:val="22"/>
                <w:lang w:val="es-MX"/>
              </w:rPr>
              <w:t>N°</w:t>
            </w:r>
          </w:p>
        </w:tc>
        <w:tc>
          <w:tcPr>
            <w:tcW w:w="9116" w:type="dxa"/>
          </w:tcPr>
          <w:p w14:paraId="321AF24C"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DEBILIDADES</w:t>
            </w:r>
          </w:p>
          <w:p w14:paraId="4ECE171D" w14:textId="77777777" w:rsidR="00561B22" w:rsidRPr="00880842" w:rsidRDefault="00561B22" w:rsidP="00F1223B">
            <w:pPr>
              <w:jc w:val="center"/>
              <w:rPr>
                <w:rFonts w:ascii="Arial" w:hAnsi="Arial" w:cs="Arial"/>
                <w:b/>
                <w:sz w:val="22"/>
                <w:szCs w:val="22"/>
                <w:lang w:val="es-MX"/>
              </w:rPr>
            </w:pPr>
          </w:p>
        </w:tc>
      </w:tr>
      <w:tr w:rsidR="00561B22" w:rsidRPr="00880842" w14:paraId="336A6225" w14:textId="77777777" w:rsidTr="00F1223B">
        <w:tc>
          <w:tcPr>
            <w:tcW w:w="846" w:type="dxa"/>
          </w:tcPr>
          <w:p w14:paraId="2EA84101"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1</w:t>
            </w:r>
          </w:p>
        </w:tc>
        <w:tc>
          <w:tcPr>
            <w:tcW w:w="9116" w:type="dxa"/>
          </w:tcPr>
          <w:p w14:paraId="07D28CA6"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La entidad no ha establecido un lineamiento para el Flujo de Información, ni los documentos idóneos por medio de los cuales se informa el área contable los hechos económicos.</w:t>
            </w:r>
          </w:p>
        </w:tc>
      </w:tr>
      <w:tr w:rsidR="00561B22" w:rsidRPr="00880842" w14:paraId="282CA59B" w14:textId="77777777" w:rsidTr="00F1223B">
        <w:tc>
          <w:tcPr>
            <w:tcW w:w="846" w:type="dxa"/>
          </w:tcPr>
          <w:p w14:paraId="1343F4DE"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2</w:t>
            </w:r>
          </w:p>
        </w:tc>
        <w:tc>
          <w:tcPr>
            <w:tcW w:w="9116" w:type="dxa"/>
          </w:tcPr>
          <w:p w14:paraId="3115B0CE"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El proceso de Gestión Jurídica al cierre de la vigencia 2024, entregaron parcialmente la información para ser incorporada a los Estados Financieros con relación a los litigios y demandas.</w:t>
            </w:r>
          </w:p>
        </w:tc>
      </w:tr>
      <w:tr w:rsidR="00561B22" w:rsidRPr="00880842" w14:paraId="1E31D6AB" w14:textId="77777777" w:rsidTr="00F1223B">
        <w:tc>
          <w:tcPr>
            <w:tcW w:w="846" w:type="dxa"/>
          </w:tcPr>
          <w:p w14:paraId="53D9EBD2"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3</w:t>
            </w:r>
          </w:p>
        </w:tc>
        <w:tc>
          <w:tcPr>
            <w:tcW w:w="9116" w:type="dxa"/>
          </w:tcPr>
          <w:p w14:paraId="6A38C030"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Incumplimiento de trece (13) acciones establecidas en el Plan de Mejoramiento Institucional.</w:t>
            </w:r>
          </w:p>
        </w:tc>
      </w:tr>
      <w:tr w:rsidR="00561B22" w:rsidRPr="00880842" w14:paraId="28CA4AE2" w14:textId="77777777" w:rsidTr="00F1223B">
        <w:tc>
          <w:tcPr>
            <w:tcW w:w="846" w:type="dxa"/>
          </w:tcPr>
          <w:p w14:paraId="790520CE"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4</w:t>
            </w:r>
          </w:p>
        </w:tc>
        <w:tc>
          <w:tcPr>
            <w:tcW w:w="9116" w:type="dxa"/>
          </w:tcPr>
          <w:p w14:paraId="54C87200"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La DNBC, no tiene establecida una directriz sobre la identificación individualizada de los bienes físicos.</w:t>
            </w:r>
          </w:p>
        </w:tc>
      </w:tr>
      <w:tr w:rsidR="00561B22" w:rsidRPr="00880842" w14:paraId="5B5AF9EF" w14:textId="77777777" w:rsidTr="00F1223B">
        <w:tc>
          <w:tcPr>
            <w:tcW w:w="846" w:type="dxa"/>
          </w:tcPr>
          <w:p w14:paraId="73A7949E"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5</w:t>
            </w:r>
          </w:p>
        </w:tc>
        <w:tc>
          <w:tcPr>
            <w:tcW w:w="9116" w:type="dxa"/>
          </w:tcPr>
          <w:p w14:paraId="7EFD6D67"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El rubro de viáticos y Comisiones de los meses de septiembre a diciembre de 2024 no fue conciliado.</w:t>
            </w:r>
          </w:p>
        </w:tc>
      </w:tr>
      <w:tr w:rsidR="00561B22" w:rsidRPr="00880842" w14:paraId="3496A0DB" w14:textId="77777777" w:rsidTr="00F1223B">
        <w:tc>
          <w:tcPr>
            <w:tcW w:w="846" w:type="dxa"/>
          </w:tcPr>
          <w:p w14:paraId="4C3326DB"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6</w:t>
            </w:r>
          </w:p>
        </w:tc>
        <w:tc>
          <w:tcPr>
            <w:tcW w:w="9116" w:type="dxa"/>
          </w:tcPr>
          <w:p w14:paraId="61668203"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El acta del Comité e sostenibilidad contable del cuarto trimestre de 2024, no se evidenció.</w:t>
            </w:r>
          </w:p>
        </w:tc>
      </w:tr>
      <w:tr w:rsidR="00561B22" w:rsidRPr="00880842" w14:paraId="49D63468" w14:textId="77777777" w:rsidTr="00F1223B">
        <w:tc>
          <w:tcPr>
            <w:tcW w:w="846" w:type="dxa"/>
          </w:tcPr>
          <w:p w14:paraId="11A5BD64"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7</w:t>
            </w:r>
          </w:p>
        </w:tc>
        <w:tc>
          <w:tcPr>
            <w:tcW w:w="9116" w:type="dxa"/>
          </w:tcPr>
          <w:p w14:paraId="1E5F51EA"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Falencias en la Constitución de las Reservas Presupuestales.</w:t>
            </w:r>
          </w:p>
        </w:tc>
      </w:tr>
      <w:tr w:rsidR="00561B22" w:rsidRPr="00880842" w14:paraId="37D94AEE" w14:textId="77777777" w:rsidTr="00F1223B">
        <w:tc>
          <w:tcPr>
            <w:tcW w:w="846" w:type="dxa"/>
          </w:tcPr>
          <w:p w14:paraId="39A54EAD"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8</w:t>
            </w:r>
          </w:p>
        </w:tc>
        <w:tc>
          <w:tcPr>
            <w:tcW w:w="9116" w:type="dxa"/>
          </w:tcPr>
          <w:p w14:paraId="15C814F9"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Las políticas contables no fueron actualizadas conforme lo señalaba las acciones de mejora del Plan de Mejoramiento CGR.</w:t>
            </w:r>
          </w:p>
        </w:tc>
      </w:tr>
      <w:tr w:rsidR="00561B22" w:rsidRPr="00880842" w14:paraId="2F87E361" w14:textId="77777777" w:rsidTr="00F1223B">
        <w:tc>
          <w:tcPr>
            <w:tcW w:w="846" w:type="dxa"/>
          </w:tcPr>
          <w:p w14:paraId="261C6853"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9</w:t>
            </w:r>
          </w:p>
        </w:tc>
        <w:tc>
          <w:tcPr>
            <w:tcW w:w="9116" w:type="dxa"/>
          </w:tcPr>
          <w:p w14:paraId="2ADB0628"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Para la vigencia 2024, no fue revisada la vida útil de los Bienes, la depreciación ni el respectivo deterioro de la Propiedad, Planta y Equipo.</w:t>
            </w:r>
          </w:p>
        </w:tc>
      </w:tr>
      <w:tr w:rsidR="00561B22" w:rsidRPr="00880842" w14:paraId="38E644C4" w14:textId="77777777" w:rsidTr="00F1223B">
        <w:tc>
          <w:tcPr>
            <w:tcW w:w="846" w:type="dxa"/>
          </w:tcPr>
          <w:p w14:paraId="0B2AD895"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10</w:t>
            </w:r>
          </w:p>
        </w:tc>
        <w:tc>
          <w:tcPr>
            <w:tcW w:w="9116" w:type="dxa"/>
          </w:tcPr>
          <w:p w14:paraId="05C38587"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No se evidencian las actas del Comité Directivo, donde el proceso de gestión Financiera presenta los estados financieros para la respectiva toma de decisiones.</w:t>
            </w:r>
          </w:p>
        </w:tc>
      </w:tr>
      <w:tr w:rsidR="00561B22" w:rsidRPr="00880842" w14:paraId="51C94F77" w14:textId="77777777" w:rsidTr="00F1223B">
        <w:tc>
          <w:tcPr>
            <w:tcW w:w="846" w:type="dxa"/>
          </w:tcPr>
          <w:p w14:paraId="74E8D9EF"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11</w:t>
            </w:r>
          </w:p>
        </w:tc>
        <w:tc>
          <w:tcPr>
            <w:tcW w:w="9116" w:type="dxa"/>
          </w:tcPr>
          <w:p w14:paraId="23FD91A6"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Las notas contables N°. 26,24 y 48, no están detalladas conforme quedó plasmada en las acciones de mejora del Plan de Mejoramiento Institucional de los hallazgos 1, 3 y 8 respectivamente.</w:t>
            </w:r>
          </w:p>
        </w:tc>
      </w:tr>
      <w:tr w:rsidR="00561B22" w:rsidRPr="00880842" w14:paraId="74FD273F" w14:textId="77777777" w:rsidTr="00F1223B">
        <w:tc>
          <w:tcPr>
            <w:tcW w:w="846" w:type="dxa"/>
          </w:tcPr>
          <w:p w14:paraId="32FA70FB"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12</w:t>
            </w:r>
          </w:p>
        </w:tc>
        <w:tc>
          <w:tcPr>
            <w:tcW w:w="9116" w:type="dxa"/>
          </w:tcPr>
          <w:p w14:paraId="4CCD2479"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La identificación y valoración de los riesgos del Proceso de Gestión Financiera en la vigencia 2024, no fueron actualizados.</w:t>
            </w:r>
          </w:p>
        </w:tc>
      </w:tr>
    </w:tbl>
    <w:p w14:paraId="2ED78E4E" w14:textId="77777777" w:rsidR="00561B22" w:rsidRPr="00880842" w:rsidRDefault="00561B22" w:rsidP="00561B22">
      <w:pPr>
        <w:pStyle w:val="Textoindependiente"/>
        <w:ind w:right="-50"/>
        <w:jc w:val="both"/>
        <w:rPr>
          <w:rFonts w:ascii="Arial" w:hAnsi="Arial" w:cs="Arial"/>
          <w:b/>
          <w:bCs/>
        </w:rPr>
      </w:pPr>
    </w:p>
    <w:p w14:paraId="1E7B07E7" w14:textId="77777777" w:rsidR="00561B22" w:rsidRPr="00880842" w:rsidRDefault="00561B22" w:rsidP="00561B22">
      <w:pPr>
        <w:jc w:val="both"/>
        <w:rPr>
          <w:rFonts w:ascii="Arial" w:hAnsi="Arial" w:cs="Arial"/>
          <w:b/>
          <w:lang w:val="es-MX"/>
        </w:rPr>
      </w:pPr>
      <w:r w:rsidRPr="00880842">
        <w:rPr>
          <w:rFonts w:ascii="Arial" w:hAnsi="Arial" w:cs="Arial"/>
          <w:b/>
          <w:lang w:val="es-MX"/>
        </w:rPr>
        <w:t>Del citado informe retomamos las siguientes recomendaciones:</w:t>
      </w:r>
    </w:p>
    <w:p w14:paraId="70EAD9EB" w14:textId="77777777" w:rsidR="00561B22" w:rsidRPr="0088084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80842" w14:paraId="196C66BE" w14:textId="77777777" w:rsidTr="00F1223B">
        <w:tc>
          <w:tcPr>
            <w:tcW w:w="846" w:type="dxa"/>
          </w:tcPr>
          <w:p w14:paraId="7CB704A1" w14:textId="77777777" w:rsidR="00561B22" w:rsidRPr="00880842" w:rsidRDefault="00561B22" w:rsidP="00F1223B">
            <w:pPr>
              <w:ind w:right="-109"/>
              <w:jc w:val="center"/>
              <w:rPr>
                <w:rFonts w:ascii="Arial" w:hAnsi="Arial" w:cs="Arial"/>
                <w:b/>
                <w:sz w:val="22"/>
                <w:szCs w:val="22"/>
                <w:lang w:val="es-MX"/>
              </w:rPr>
            </w:pPr>
            <w:r w:rsidRPr="00880842">
              <w:rPr>
                <w:rFonts w:ascii="Arial" w:hAnsi="Arial" w:cs="Arial"/>
                <w:b/>
                <w:sz w:val="22"/>
                <w:szCs w:val="22"/>
                <w:lang w:val="es-MX"/>
              </w:rPr>
              <w:t>N°</w:t>
            </w:r>
          </w:p>
        </w:tc>
        <w:tc>
          <w:tcPr>
            <w:tcW w:w="9116" w:type="dxa"/>
          </w:tcPr>
          <w:p w14:paraId="143982DC"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RECOMENDACIONES</w:t>
            </w:r>
          </w:p>
          <w:p w14:paraId="7D5DFAD3" w14:textId="77777777" w:rsidR="00561B22" w:rsidRPr="00880842" w:rsidRDefault="00561B22" w:rsidP="00F1223B">
            <w:pPr>
              <w:jc w:val="center"/>
              <w:rPr>
                <w:rFonts w:ascii="Arial" w:hAnsi="Arial" w:cs="Arial"/>
                <w:b/>
                <w:sz w:val="22"/>
                <w:szCs w:val="22"/>
                <w:lang w:val="es-MX"/>
              </w:rPr>
            </w:pPr>
          </w:p>
        </w:tc>
      </w:tr>
      <w:tr w:rsidR="00561B22" w:rsidRPr="00880842" w14:paraId="18B93CA8" w14:textId="77777777" w:rsidTr="00F1223B">
        <w:tc>
          <w:tcPr>
            <w:tcW w:w="846" w:type="dxa"/>
          </w:tcPr>
          <w:p w14:paraId="6EAE44B0"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1</w:t>
            </w:r>
          </w:p>
        </w:tc>
        <w:tc>
          <w:tcPr>
            <w:tcW w:w="9116" w:type="dxa"/>
          </w:tcPr>
          <w:p w14:paraId="2E8E0096"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Al constituir rezago presupuestal, de cada vigencia realizarlo por medio de un acto administrativo y con base en los documentos y soportes establecidos para tal fin.</w:t>
            </w:r>
          </w:p>
        </w:tc>
      </w:tr>
      <w:tr w:rsidR="00561B22" w:rsidRPr="00880842" w14:paraId="078A4931" w14:textId="77777777" w:rsidTr="00F1223B">
        <w:tc>
          <w:tcPr>
            <w:tcW w:w="846" w:type="dxa"/>
          </w:tcPr>
          <w:p w14:paraId="1558BB6C"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lastRenderedPageBreak/>
              <w:t>2</w:t>
            </w:r>
          </w:p>
        </w:tc>
        <w:tc>
          <w:tcPr>
            <w:tcW w:w="9116" w:type="dxa"/>
          </w:tcPr>
          <w:p w14:paraId="081ACF2B"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 xml:space="preserve">Justificar el caso fortuito y la fuerza mayor, en la justificación de las reservas presupuestales. </w:t>
            </w:r>
          </w:p>
        </w:tc>
      </w:tr>
      <w:tr w:rsidR="00561B22" w:rsidRPr="00880842" w14:paraId="48FD23BD" w14:textId="77777777" w:rsidTr="00F1223B">
        <w:tc>
          <w:tcPr>
            <w:tcW w:w="846" w:type="dxa"/>
          </w:tcPr>
          <w:p w14:paraId="5F26827D"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3</w:t>
            </w:r>
          </w:p>
        </w:tc>
        <w:tc>
          <w:tcPr>
            <w:tcW w:w="9116" w:type="dxa"/>
          </w:tcPr>
          <w:p w14:paraId="6368DD42"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Revisar de manera anual la Vida Útil y la Depreciación de la PPYE de la entidad.</w:t>
            </w:r>
          </w:p>
        </w:tc>
      </w:tr>
      <w:tr w:rsidR="00561B22" w:rsidRPr="00880842" w14:paraId="53C593F3" w14:textId="77777777" w:rsidTr="00F1223B">
        <w:tc>
          <w:tcPr>
            <w:tcW w:w="846" w:type="dxa"/>
          </w:tcPr>
          <w:p w14:paraId="3250DFAE"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4</w:t>
            </w:r>
          </w:p>
        </w:tc>
        <w:tc>
          <w:tcPr>
            <w:tcW w:w="9116" w:type="dxa"/>
          </w:tcPr>
          <w:p w14:paraId="63A1DDC4"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Detallar las notas contables dando cumplimiento a las acciones de mejora incluidas en el plan de mejoramiento suscrito con la CGR para la vigencia 2023.</w:t>
            </w:r>
          </w:p>
        </w:tc>
      </w:tr>
      <w:tr w:rsidR="00561B22" w:rsidRPr="00880842" w14:paraId="0DF13E48" w14:textId="77777777" w:rsidTr="00F1223B">
        <w:tc>
          <w:tcPr>
            <w:tcW w:w="846" w:type="dxa"/>
          </w:tcPr>
          <w:p w14:paraId="5DC9B2C2"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5</w:t>
            </w:r>
          </w:p>
        </w:tc>
        <w:tc>
          <w:tcPr>
            <w:tcW w:w="9116" w:type="dxa"/>
          </w:tcPr>
          <w:p w14:paraId="1DDBA262"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Incluir la política de flujos de información en el Manual de Políticas Contables.</w:t>
            </w:r>
          </w:p>
        </w:tc>
      </w:tr>
      <w:tr w:rsidR="00561B22" w:rsidRPr="00880842" w14:paraId="0FDC1050" w14:textId="77777777" w:rsidTr="00F1223B">
        <w:tc>
          <w:tcPr>
            <w:tcW w:w="846" w:type="dxa"/>
          </w:tcPr>
          <w:p w14:paraId="7AEEF7DD"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6</w:t>
            </w:r>
          </w:p>
        </w:tc>
        <w:tc>
          <w:tcPr>
            <w:tcW w:w="9116" w:type="dxa"/>
          </w:tcPr>
          <w:p w14:paraId="3CA7E3D4"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Actualizar los riesgos e incluir los riesgos de fraude.</w:t>
            </w:r>
          </w:p>
        </w:tc>
      </w:tr>
      <w:tr w:rsidR="00561B22" w:rsidRPr="00880842" w14:paraId="69FE91DF" w14:textId="77777777" w:rsidTr="00F1223B">
        <w:tc>
          <w:tcPr>
            <w:tcW w:w="846" w:type="dxa"/>
          </w:tcPr>
          <w:p w14:paraId="086A8DCE"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7</w:t>
            </w:r>
          </w:p>
        </w:tc>
        <w:tc>
          <w:tcPr>
            <w:tcW w:w="9116" w:type="dxa"/>
          </w:tcPr>
          <w:p w14:paraId="7ACEC8E9"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Incluir el Plan de Capacitación, capacitaciones para el personal del Proceso de Gestión Contable.</w:t>
            </w:r>
          </w:p>
        </w:tc>
      </w:tr>
      <w:tr w:rsidR="00561B22" w:rsidRPr="00880842" w14:paraId="316762FC" w14:textId="77777777" w:rsidTr="00F1223B">
        <w:tc>
          <w:tcPr>
            <w:tcW w:w="846" w:type="dxa"/>
          </w:tcPr>
          <w:p w14:paraId="662F0255"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8</w:t>
            </w:r>
          </w:p>
        </w:tc>
        <w:tc>
          <w:tcPr>
            <w:tcW w:w="9116" w:type="dxa"/>
          </w:tcPr>
          <w:p w14:paraId="34796D6B"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Dar cumplimiento a las acciones de mejora señaladas en el Plan de Mejoramiento CGR.</w:t>
            </w:r>
          </w:p>
        </w:tc>
      </w:tr>
      <w:tr w:rsidR="00561B22" w:rsidRPr="00880842" w14:paraId="647B733D" w14:textId="77777777" w:rsidTr="00F1223B">
        <w:tc>
          <w:tcPr>
            <w:tcW w:w="846" w:type="dxa"/>
          </w:tcPr>
          <w:p w14:paraId="664D3177"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9</w:t>
            </w:r>
          </w:p>
        </w:tc>
        <w:tc>
          <w:tcPr>
            <w:tcW w:w="9116" w:type="dxa"/>
          </w:tcPr>
          <w:p w14:paraId="3A6F8CDB"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Generar las actas de Comité Directivo, donde se evidencie la toma de decisiones con relación a los informes financieros.</w:t>
            </w:r>
          </w:p>
        </w:tc>
      </w:tr>
      <w:tr w:rsidR="00561B22" w:rsidRPr="00880842" w14:paraId="38404A0D" w14:textId="77777777" w:rsidTr="00F1223B">
        <w:tc>
          <w:tcPr>
            <w:tcW w:w="846" w:type="dxa"/>
          </w:tcPr>
          <w:p w14:paraId="6F00E883" w14:textId="77777777" w:rsidR="00561B22" w:rsidRPr="00880842" w:rsidRDefault="00561B22" w:rsidP="00F1223B">
            <w:pPr>
              <w:jc w:val="center"/>
              <w:rPr>
                <w:rFonts w:ascii="Arial" w:hAnsi="Arial" w:cs="Arial"/>
                <w:b/>
                <w:sz w:val="22"/>
                <w:szCs w:val="22"/>
                <w:lang w:val="es-MX"/>
              </w:rPr>
            </w:pPr>
            <w:r w:rsidRPr="00880842">
              <w:rPr>
                <w:rFonts w:ascii="Arial" w:hAnsi="Arial" w:cs="Arial"/>
                <w:b/>
                <w:sz w:val="22"/>
                <w:szCs w:val="22"/>
                <w:lang w:val="es-MX"/>
              </w:rPr>
              <w:t>10</w:t>
            </w:r>
          </w:p>
        </w:tc>
        <w:tc>
          <w:tcPr>
            <w:tcW w:w="9116" w:type="dxa"/>
          </w:tcPr>
          <w:p w14:paraId="10E4E560" w14:textId="77777777" w:rsidR="00561B22" w:rsidRPr="00880842" w:rsidRDefault="00561B22" w:rsidP="00F1223B">
            <w:pPr>
              <w:jc w:val="both"/>
              <w:rPr>
                <w:rFonts w:ascii="Arial" w:hAnsi="Arial" w:cs="Arial"/>
                <w:bCs/>
                <w:sz w:val="22"/>
                <w:szCs w:val="22"/>
                <w:lang w:val="es-MX"/>
              </w:rPr>
            </w:pPr>
            <w:r w:rsidRPr="00880842">
              <w:rPr>
                <w:rFonts w:ascii="Arial" w:hAnsi="Arial" w:cs="Arial"/>
                <w:bCs/>
                <w:sz w:val="22"/>
                <w:szCs w:val="22"/>
                <w:lang w:val="es-MX"/>
              </w:rPr>
              <w:t>Incluir en el Plan Anual de Capacitación, recursos para fortalecer las competencias de los funcionarios del Proceso Contable.</w:t>
            </w:r>
          </w:p>
        </w:tc>
      </w:tr>
    </w:tbl>
    <w:p w14:paraId="156594B7" w14:textId="77777777" w:rsidR="00561B22" w:rsidRDefault="00561B22" w:rsidP="00561B22">
      <w:pPr>
        <w:pStyle w:val="Textoindependiente"/>
        <w:ind w:right="-50"/>
        <w:jc w:val="both"/>
        <w:rPr>
          <w:b/>
          <w:bCs/>
          <w:sz w:val="28"/>
          <w:szCs w:val="28"/>
        </w:rPr>
      </w:pPr>
    </w:p>
    <w:p w14:paraId="7506E899" w14:textId="77777777" w:rsidR="00561B22" w:rsidRPr="00880842" w:rsidRDefault="00561B22" w:rsidP="00561B22">
      <w:pPr>
        <w:jc w:val="both"/>
        <w:rPr>
          <w:rFonts w:ascii="Arial" w:hAnsi="Arial" w:cs="Arial"/>
          <w:b/>
          <w:sz w:val="24"/>
          <w:szCs w:val="24"/>
          <w:lang w:val="es-CO"/>
        </w:rPr>
      </w:pPr>
      <w:r w:rsidRPr="00880842">
        <w:rPr>
          <w:rFonts w:ascii="Arial" w:hAnsi="Arial" w:cs="Arial"/>
          <w:b/>
          <w:bCs/>
          <w:sz w:val="24"/>
          <w:szCs w:val="24"/>
          <w:lang w:val="es-CO"/>
        </w:rPr>
        <w:t xml:space="preserve">NOTA: </w:t>
      </w:r>
      <w:r w:rsidRPr="00880842">
        <w:rPr>
          <w:rFonts w:ascii="Arial" w:hAnsi="Arial" w:cs="Arial"/>
          <w:bCs/>
          <w:sz w:val="24"/>
          <w:szCs w:val="24"/>
          <w:lang w:val="es-CO"/>
        </w:rPr>
        <w:t xml:space="preserve"> L</w:t>
      </w:r>
      <w:r w:rsidRPr="00880842">
        <w:rPr>
          <w:rFonts w:ascii="Arial" w:hAnsi="Arial" w:cs="Arial"/>
          <w:sz w:val="24"/>
          <w:szCs w:val="24"/>
          <w:lang w:val="es-CO"/>
        </w:rPr>
        <w:t xml:space="preserve">A ENTIDAD ENVÍA LA MATRIZ DE AUTOEVALUACIÓN DEL SISTEMA DE CONTROL INTERNO CONTABLE CON ACTIVIDADES DE CONTROL REALIZADAS </w:t>
      </w:r>
      <w:r w:rsidRPr="00880842">
        <w:rPr>
          <w:rFonts w:ascii="Arial" w:hAnsi="Arial" w:cs="Arial"/>
          <w:b/>
          <w:sz w:val="24"/>
          <w:szCs w:val="24"/>
          <w:u w:val="single"/>
          <w:lang w:val="es-CO"/>
        </w:rPr>
        <w:t>EN FORMA PARCIAL Y OTRAS SIMPLEMENTE INFORMAN QUE NO SE REALIZARON</w:t>
      </w:r>
      <w:r w:rsidRPr="00880842">
        <w:rPr>
          <w:rFonts w:ascii="Arial" w:hAnsi="Arial" w:cs="Arial"/>
          <w:b/>
          <w:sz w:val="24"/>
          <w:szCs w:val="24"/>
          <w:lang w:val="es-CO"/>
        </w:rPr>
        <w:t>.</w:t>
      </w:r>
    </w:p>
    <w:p w14:paraId="251637A9" w14:textId="77777777" w:rsidR="00561B22" w:rsidRDefault="00561B22" w:rsidP="00561B22">
      <w:pPr>
        <w:ind w:left="142"/>
        <w:jc w:val="both"/>
        <w:rPr>
          <w:rFonts w:ascii="Arial" w:hAnsi="Arial" w:cs="Arial"/>
          <w:b/>
          <w:sz w:val="24"/>
          <w:szCs w:val="24"/>
          <w:lang w:val="es-CO"/>
        </w:rPr>
      </w:pPr>
    </w:p>
    <w:p w14:paraId="60620E75" w14:textId="77777777" w:rsidR="00561B22" w:rsidRPr="009B73F4" w:rsidRDefault="00561B22" w:rsidP="00561B22">
      <w:pPr>
        <w:jc w:val="both"/>
        <w:rPr>
          <w:rFonts w:ascii="Arial" w:hAnsi="Arial" w:cs="Arial"/>
          <w:b/>
          <w:sz w:val="32"/>
          <w:szCs w:val="32"/>
          <w:lang w:val="es-MX"/>
        </w:rPr>
      </w:pPr>
      <w:bookmarkStart w:id="63" w:name="_Hlk196386643"/>
      <w:r>
        <w:rPr>
          <w:rFonts w:ascii="Arial" w:hAnsi="Arial" w:cs="Arial"/>
          <w:b/>
          <w:sz w:val="32"/>
          <w:szCs w:val="32"/>
          <w:lang w:val="es-MX"/>
        </w:rPr>
        <w:t>23.</w:t>
      </w:r>
      <w:r w:rsidRPr="009B73F4">
        <w:rPr>
          <w:rFonts w:ascii="Arial" w:hAnsi="Arial" w:cs="Arial"/>
          <w:b/>
          <w:sz w:val="32"/>
          <w:szCs w:val="32"/>
          <w:lang w:val="es-MX"/>
        </w:rPr>
        <w:t xml:space="preserve">- </w:t>
      </w:r>
      <w:r>
        <w:rPr>
          <w:rFonts w:ascii="Arial" w:hAnsi="Arial" w:cs="Arial"/>
          <w:b/>
          <w:sz w:val="32"/>
          <w:szCs w:val="32"/>
          <w:lang w:val="es-MX"/>
        </w:rPr>
        <w:t>INSTITUTO NACIONAL DE VÍAS - INVÍAS</w:t>
      </w:r>
      <w:r w:rsidRPr="009B73F4">
        <w:rPr>
          <w:rFonts w:ascii="Arial" w:hAnsi="Arial" w:cs="Arial"/>
          <w:b/>
          <w:sz w:val="32"/>
          <w:szCs w:val="32"/>
          <w:lang w:val="es-MX"/>
        </w:rPr>
        <w:t>.</w:t>
      </w:r>
    </w:p>
    <w:bookmarkEnd w:id="63"/>
    <w:p w14:paraId="2CD183F5" w14:textId="77777777" w:rsidR="00561B22" w:rsidRDefault="00561B22" w:rsidP="00561B22">
      <w:pPr>
        <w:ind w:left="142"/>
        <w:jc w:val="both"/>
        <w:rPr>
          <w:rFonts w:ascii="Arial" w:hAnsi="Arial" w:cs="Arial"/>
          <w:b/>
          <w:sz w:val="24"/>
          <w:szCs w:val="24"/>
          <w:lang w:val="es-MX"/>
        </w:rPr>
      </w:pPr>
    </w:p>
    <w:p w14:paraId="7CC02597" w14:textId="77777777" w:rsidR="00561B22" w:rsidRPr="00D13D12" w:rsidRDefault="00561B22" w:rsidP="00561B22">
      <w:pPr>
        <w:jc w:val="center"/>
        <w:rPr>
          <w:rFonts w:ascii="Arial" w:hAnsi="Arial" w:cs="Arial"/>
          <w:b/>
          <w:lang w:val="es-MX"/>
        </w:rPr>
      </w:pPr>
      <w:r w:rsidRPr="00D13D12">
        <w:rPr>
          <w:rFonts w:ascii="Arial" w:hAnsi="Arial" w:cs="Arial"/>
          <w:b/>
          <w:lang w:val="es-MX"/>
        </w:rPr>
        <w:t>INFORME DE LA AUTOCALIFICACIÓN DEL SISTEMA DE CONTROL INTERNO CONTABLE:</w:t>
      </w:r>
    </w:p>
    <w:p w14:paraId="726F1F05" w14:textId="77777777" w:rsidR="00561B22" w:rsidRPr="00D13D12" w:rsidRDefault="00561B22" w:rsidP="00561B22">
      <w:pPr>
        <w:jc w:val="center"/>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D13D12" w14:paraId="296660D8" w14:textId="77777777" w:rsidTr="00F1223B">
        <w:tc>
          <w:tcPr>
            <w:tcW w:w="4981" w:type="dxa"/>
          </w:tcPr>
          <w:p w14:paraId="2C05E4C0"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AUTOCALIFICACIÓN</w:t>
            </w:r>
          </w:p>
        </w:tc>
        <w:tc>
          <w:tcPr>
            <w:tcW w:w="4981" w:type="dxa"/>
          </w:tcPr>
          <w:p w14:paraId="79255CCF" w14:textId="77777777" w:rsidR="00561B22" w:rsidRPr="00D13D12" w:rsidRDefault="00561B22" w:rsidP="00F1223B">
            <w:pPr>
              <w:jc w:val="center"/>
              <w:rPr>
                <w:rFonts w:ascii="Arial" w:hAnsi="Arial" w:cs="Arial"/>
                <w:b/>
                <w:sz w:val="22"/>
                <w:szCs w:val="22"/>
                <w:u w:val="single"/>
                <w:lang w:val="es-MX"/>
              </w:rPr>
            </w:pPr>
            <w:r w:rsidRPr="00D13D12">
              <w:rPr>
                <w:rFonts w:ascii="Arial" w:hAnsi="Arial" w:cs="Arial"/>
                <w:b/>
                <w:sz w:val="22"/>
                <w:szCs w:val="22"/>
                <w:u w:val="single"/>
                <w:lang w:val="es-MX"/>
              </w:rPr>
              <w:t>4.32</w:t>
            </w:r>
          </w:p>
        </w:tc>
      </w:tr>
    </w:tbl>
    <w:p w14:paraId="579E0AD2" w14:textId="77777777" w:rsidR="00561B22" w:rsidRPr="00D13D12"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D13D12" w14:paraId="347681C7" w14:textId="77777777" w:rsidTr="00F1223B">
        <w:tc>
          <w:tcPr>
            <w:tcW w:w="846" w:type="dxa"/>
          </w:tcPr>
          <w:p w14:paraId="6511F7A6" w14:textId="77777777" w:rsidR="00561B22" w:rsidRPr="00D13D12" w:rsidRDefault="00561B22" w:rsidP="00F1223B">
            <w:pPr>
              <w:ind w:right="-109"/>
              <w:jc w:val="center"/>
              <w:rPr>
                <w:rFonts w:ascii="Arial" w:hAnsi="Arial" w:cs="Arial"/>
                <w:b/>
                <w:sz w:val="22"/>
                <w:szCs w:val="22"/>
                <w:lang w:val="es-MX"/>
              </w:rPr>
            </w:pPr>
            <w:r w:rsidRPr="00D13D12">
              <w:rPr>
                <w:rFonts w:ascii="Arial" w:hAnsi="Arial" w:cs="Arial"/>
                <w:b/>
                <w:sz w:val="22"/>
                <w:szCs w:val="22"/>
                <w:lang w:val="es-MX"/>
              </w:rPr>
              <w:t>N°</w:t>
            </w:r>
          </w:p>
        </w:tc>
        <w:tc>
          <w:tcPr>
            <w:tcW w:w="9116" w:type="dxa"/>
          </w:tcPr>
          <w:p w14:paraId="7D568194"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DEBILIDADES</w:t>
            </w:r>
          </w:p>
          <w:p w14:paraId="7AB608A4" w14:textId="77777777" w:rsidR="00561B22" w:rsidRPr="00D13D12" w:rsidRDefault="00561B22" w:rsidP="00F1223B">
            <w:pPr>
              <w:jc w:val="center"/>
              <w:rPr>
                <w:rFonts w:ascii="Arial" w:hAnsi="Arial" w:cs="Arial"/>
                <w:b/>
                <w:sz w:val="22"/>
                <w:szCs w:val="22"/>
                <w:lang w:val="es-MX"/>
              </w:rPr>
            </w:pPr>
          </w:p>
        </w:tc>
      </w:tr>
      <w:tr w:rsidR="00561B22" w:rsidRPr="00D13D12" w14:paraId="4929609E" w14:textId="77777777" w:rsidTr="00F1223B">
        <w:tc>
          <w:tcPr>
            <w:tcW w:w="846" w:type="dxa"/>
          </w:tcPr>
          <w:p w14:paraId="415D6F0F"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1</w:t>
            </w:r>
          </w:p>
        </w:tc>
        <w:tc>
          <w:tcPr>
            <w:tcW w:w="9116" w:type="dxa"/>
          </w:tcPr>
          <w:p w14:paraId="387A5C08"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 xml:space="preserve">Acuerdos de Nivel de Servicio desactualizados de conformidad con la nueva estructura del INVÍAS según Decreto 1292 de 2021. </w:t>
            </w:r>
          </w:p>
        </w:tc>
      </w:tr>
      <w:tr w:rsidR="00561B22" w:rsidRPr="00D13D12" w14:paraId="7DC1EE09" w14:textId="77777777" w:rsidTr="00F1223B">
        <w:tc>
          <w:tcPr>
            <w:tcW w:w="846" w:type="dxa"/>
          </w:tcPr>
          <w:p w14:paraId="536C72B3"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2</w:t>
            </w:r>
          </w:p>
        </w:tc>
        <w:tc>
          <w:tcPr>
            <w:tcW w:w="9116" w:type="dxa"/>
          </w:tcPr>
          <w:p w14:paraId="02792D0D"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Reporte de la información financiera y sus revelaciones con falta de oportunidad a la OCI, limitando el análisis y verificación de la información, para desarrollar la Evaluación del Control Interno Contable, la cual fue allegada a la Oficina de Control Interno a las 12:10 P.M. del 28-02-2025, fecha límite de presentación de esta evaluación.</w:t>
            </w:r>
          </w:p>
        </w:tc>
      </w:tr>
      <w:tr w:rsidR="00561B22" w:rsidRPr="00D13D12" w14:paraId="258EC976" w14:textId="77777777" w:rsidTr="00F1223B">
        <w:tc>
          <w:tcPr>
            <w:tcW w:w="846" w:type="dxa"/>
          </w:tcPr>
          <w:p w14:paraId="13D5D6D2"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3</w:t>
            </w:r>
          </w:p>
        </w:tc>
        <w:tc>
          <w:tcPr>
            <w:tcW w:w="9116" w:type="dxa"/>
          </w:tcPr>
          <w:p w14:paraId="0D9EF0F6"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Si bien se observan identificados 6 riesgos de gestión que incluyen actividades de control relacionadas con las etapas del proceso contable (reconocimiento, clasificación, medición, revelación, entre otras); no se advierte un informe o reporte de su análisis y medición periódica.</w:t>
            </w:r>
          </w:p>
        </w:tc>
      </w:tr>
      <w:tr w:rsidR="00561B22" w:rsidRPr="00D13D12" w14:paraId="25EFC724" w14:textId="77777777" w:rsidTr="00F1223B">
        <w:tc>
          <w:tcPr>
            <w:tcW w:w="846" w:type="dxa"/>
          </w:tcPr>
          <w:p w14:paraId="71D38144"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4</w:t>
            </w:r>
          </w:p>
        </w:tc>
        <w:tc>
          <w:tcPr>
            <w:tcW w:w="9116" w:type="dxa"/>
          </w:tcPr>
          <w:p w14:paraId="5A12FFE4"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No se advierte el desarrollo de Informes de monitoreo de los indicadores para analizar e interpretar la realidad financiera de la entidad; De los (22) indicadores publicados en el proceso de Gestión Financiera en el aplicativo de gestión Kawak, solo en dos (2) se advirtió algún análisis y medición periódica durante la vigencia 2024.</w:t>
            </w:r>
          </w:p>
        </w:tc>
      </w:tr>
      <w:tr w:rsidR="00561B22" w:rsidRPr="00D13D12" w14:paraId="6DFDAF2D" w14:textId="77777777" w:rsidTr="00F1223B">
        <w:tc>
          <w:tcPr>
            <w:tcW w:w="846" w:type="dxa"/>
          </w:tcPr>
          <w:p w14:paraId="7AB76679"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5</w:t>
            </w:r>
          </w:p>
        </w:tc>
        <w:tc>
          <w:tcPr>
            <w:tcW w:w="9116" w:type="dxa"/>
          </w:tcPr>
          <w:p w14:paraId="68E32B36"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No se cuenta con un sistema funcional de documentos electrónicos que de cumplimento a las directrices del Archivo General de la Nación - AGN; además no cuenta con TRD actualizadas; los soportes son almacenados en la nube y PCs individuales incumpliendo la Ley General de Archivo.</w:t>
            </w:r>
          </w:p>
        </w:tc>
      </w:tr>
      <w:tr w:rsidR="00561B22" w:rsidRPr="00D13D12" w14:paraId="69A3E904" w14:textId="77777777" w:rsidTr="00F1223B">
        <w:tc>
          <w:tcPr>
            <w:tcW w:w="846" w:type="dxa"/>
          </w:tcPr>
          <w:p w14:paraId="38363527"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6</w:t>
            </w:r>
          </w:p>
        </w:tc>
        <w:tc>
          <w:tcPr>
            <w:tcW w:w="9116" w:type="dxa"/>
          </w:tcPr>
          <w:p w14:paraId="12A1F0E9"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 xml:space="preserve">Falta de oportunidad en la verificación de los inventarios físicos y actualización del Manual de Almacén e Inventarios; generando incertidumbre en la identificación de los bienes físicos impactando su reconocimiento y su medición en el proceso contable.  </w:t>
            </w:r>
          </w:p>
        </w:tc>
      </w:tr>
    </w:tbl>
    <w:p w14:paraId="502F3E81" w14:textId="77777777" w:rsidR="00561B22" w:rsidRPr="00D13D12" w:rsidRDefault="00561B22" w:rsidP="00561B22">
      <w:pPr>
        <w:jc w:val="both"/>
        <w:rPr>
          <w:rFonts w:ascii="Arial" w:hAnsi="Arial" w:cs="Arial"/>
          <w:b/>
          <w:lang w:val="es-MX"/>
        </w:rPr>
      </w:pPr>
    </w:p>
    <w:p w14:paraId="3F7DC4F6" w14:textId="77777777" w:rsidR="00561B22" w:rsidRPr="00D13D12" w:rsidRDefault="00561B22" w:rsidP="00561B22">
      <w:pPr>
        <w:jc w:val="both"/>
        <w:rPr>
          <w:rFonts w:ascii="Arial" w:hAnsi="Arial" w:cs="Arial"/>
          <w:b/>
          <w:lang w:val="es-MX"/>
        </w:rPr>
      </w:pPr>
      <w:r w:rsidRPr="00D13D12">
        <w:rPr>
          <w:rFonts w:ascii="Arial" w:hAnsi="Arial" w:cs="Arial"/>
          <w:b/>
          <w:lang w:val="es-MX"/>
        </w:rPr>
        <w:t>Del citado informe retomamos las siguientes recomendaciones:</w:t>
      </w:r>
    </w:p>
    <w:p w14:paraId="56F9F2FF" w14:textId="77777777" w:rsidR="00561B22" w:rsidRPr="00D13D12"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D13D12" w14:paraId="5A772657" w14:textId="77777777" w:rsidTr="00F1223B">
        <w:tc>
          <w:tcPr>
            <w:tcW w:w="846" w:type="dxa"/>
          </w:tcPr>
          <w:p w14:paraId="4DEC147A" w14:textId="77777777" w:rsidR="00561B22" w:rsidRPr="00D13D12" w:rsidRDefault="00561B22" w:rsidP="00F1223B">
            <w:pPr>
              <w:ind w:right="-109"/>
              <w:jc w:val="center"/>
              <w:rPr>
                <w:rFonts w:ascii="Arial" w:hAnsi="Arial" w:cs="Arial"/>
                <w:b/>
                <w:sz w:val="22"/>
                <w:szCs w:val="22"/>
                <w:lang w:val="es-MX"/>
              </w:rPr>
            </w:pPr>
            <w:r w:rsidRPr="00D13D12">
              <w:rPr>
                <w:rFonts w:ascii="Arial" w:hAnsi="Arial" w:cs="Arial"/>
                <w:b/>
                <w:sz w:val="22"/>
                <w:szCs w:val="22"/>
                <w:lang w:val="es-MX"/>
              </w:rPr>
              <w:t>N°</w:t>
            </w:r>
          </w:p>
        </w:tc>
        <w:tc>
          <w:tcPr>
            <w:tcW w:w="9116" w:type="dxa"/>
          </w:tcPr>
          <w:p w14:paraId="74DA5F1D"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RECOMENDACIONES</w:t>
            </w:r>
          </w:p>
          <w:p w14:paraId="787FD0B8" w14:textId="77777777" w:rsidR="00561B22" w:rsidRPr="00D13D12" w:rsidRDefault="00561B22" w:rsidP="00F1223B">
            <w:pPr>
              <w:jc w:val="center"/>
              <w:rPr>
                <w:rFonts w:ascii="Arial" w:hAnsi="Arial" w:cs="Arial"/>
                <w:b/>
                <w:sz w:val="22"/>
                <w:szCs w:val="22"/>
                <w:lang w:val="es-MX"/>
              </w:rPr>
            </w:pPr>
          </w:p>
        </w:tc>
      </w:tr>
      <w:tr w:rsidR="00561B22" w:rsidRPr="00D13D12" w14:paraId="202A7DA6" w14:textId="77777777" w:rsidTr="00F1223B">
        <w:tc>
          <w:tcPr>
            <w:tcW w:w="846" w:type="dxa"/>
          </w:tcPr>
          <w:p w14:paraId="2806CF6B"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lastRenderedPageBreak/>
              <w:t>1</w:t>
            </w:r>
          </w:p>
        </w:tc>
        <w:tc>
          <w:tcPr>
            <w:tcW w:w="9116" w:type="dxa"/>
          </w:tcPr>
          <w:p w14:paraId="2850005B"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 xml:space="preserve">Revisar y actualizar los Acuerdos de Nivel de Servicio de conformidad con la nueva estructura según Decreto 1292 de 2021. </w:t>
            </w:r>
          </w:p>
        </w:tc>
      </w:tr>
      <w:tr w:rsidR="00561B22" w:rsidRPr="00D13D12" w14:paraId="03227E20" w14:textId="77777777" w:rsidTr="00F1223B">
        <w:tc>
          <w:tcPr>
            <w:tcW w:w="846" w:type="dxa"/>
          </w:tcPr>
          <w:p w14:paraId="192313F0"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2</w:t>
            </w:r>
          </w:p>
        </w:tc>
        <w:tc>
          <w:tcPr>
            <w:tcW w:w="9116" w:type="dxa"/>
          </w:tcPr>
          <w:p w14:paraId="71C08E5D"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Efectuar la toma física de inventarios de bienes periódicamente en las Direcciones Territoriales y realizar su confrontación con los registros contables.</w:t>
            </w:r>
          </w:p>
        </w:tc>
      </w:tr>
      <w:tr w:rsidR="00561B22" w:rsidRPr="00D13D12" w14:paraId="2C4E8709" w14:textId="77777777" w:rsidTr="00F1223B">
        <w:tc>
          <w:tcPr>
            <w:tcW w:w="846" w:type="dxa"/>
          </w:tcPr>
          <w:p w14:paraId="5D4D3A4F"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3</w:t>
            </w:r>
          </w:p>
        </w:tc>
        <w:tc>
          <w:tcPr>
            <w:tcW w:w="9116" w:type="dxa"/>
          </w:tcPr>
          <w:p w14:paraId="76C2DABD"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Desarrollar con oportunidad la medición de los indicadores establecidos en la Guía Para la Interpretación de la Información Contable del Invias.</w:t>
            </w:r>
          </w:p>
        </w:tc>
      </w:tr>
      <w:tr w:rsidR="00561B22" w:rsidRPr="00D13D12" w14:paraId="494E91CC" w14:textId="77777777" w:rsidTr="00F1223B">
        <w:tc>
          <w:tcPr>
            <w:tcW w:w="846" w:type="dxa"/>
          </w:tcPr>
          <w:p w14:paraId="5B9F4035"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4</w:t>
            </w:r>
          </w:p>
        </w:tc>
        <w:tc>
          <w:tcPr>
            <w:tcW w:w="9116" w:type="dxa"/>
          </w:tcPr>
          <w:p w14:paraId="076F063A"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Reportar la interpretación de los controles de los riesgos de gestión, fraude y corrupción, asociados a las etapas del proceso contable.</w:t>
            </w:r>
          </w:p>
        </w:tc>
      </w:tr>
      <w:tr w:rsidR="00561B22" w:rsidRPr="00D13D12" w14:paraId="5F9C564E" w14:textId="77777777" w:rsidTr="00F1223B">
        <w:tc>
          <w:tcPr>
            <w:tcW w:w="846" w:type="dxa"/>
          </w:tcPr>
          <w:p w14:paraId="663C17D3"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5</w:t>
            </w:r>
          </w:p>
        </w:tc>
        <w:tc>
          <w:tcPr>
            <w:tcW w:w="9116" w:type="dxa"/>
          </w:tcPr>
          <w:p w14:paraId="2A6AD5E4"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Identificar los riesgos fiscales asociados al proceso contable.</w:t>
            </w:r>
          </w:p>
        </w:tc>
      </w:tr>
      <w:tr w:rsidR="00561B22" w:rsidRPr="00D13D12" w14:paraId="0F7D9660" w14:textId="77777777" w:rsidTr="00F1223B">
        <w:tc>
          <w:tcPr>
            <w:tcW w:w="846" w:type="dxa"/>
          </w:tcPr>
          <w:p w14:paraId="0BA7DD4F"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6</w:t>
            </w:r>
          </w:p>
        </w:tc>
        <w:tc>
          <w:tcPr>
            <w:tcW w:w="9116" w:type="dxa"/>
          </w:tcPr>
          <w:p w14:paraId="41E1D38D"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Publicar los estados financieros de manera oportuna en la página web institucional conforme lo establece la Resolución 356 de 2022 de la CGN y el numeral 37 del artículo 38 de la Ley 1952 de 2019.</w:t>
            </w:r>
          </w:p>
        </w:tc>
      </w:tr>
      <w:tr w:rsidR="00561B22" w:rsidRPr="00D13D12" w14:paraId="1AED0649" w14:textId="77777777" w:rsidTr="00F1223B">
        <w:tc>
          <w:tcPr>
            <w:tcW w:w="846" w:type="dxa"/>
          </w:tcPr>
          <w:p w14:paraId="5FFEA5A8"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7</w:t>
            </w:r>
          </w:p>
        </w:tc>
        <w:tc>
          <w:tcPr>
            <w:tcW w:w="9116" w:type="dxa"/>
          </w:tcPr>
          <w:p w14:paraId="4726147E"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Formalizar el procedimiento de pagos diferentes a beneficiario final y traslado a pagaduría.</w:t>
            </w:r>
          </w:p>
        </w:tc>
      </w:tr>
      <w:tr w:rsidR="00561B22" w:rsidRPr="00D13D12" w14:paraId="346FC3B7" w14:textId="77777777" w:rsidTr="00F1223B">
        <w:tc>
          <w:tcPr>
            <w:tcW w:w="846" w:type="dxa"/>
          </w:tcPr>
          <w:p w14:paraId="1216D033" w14:textId="77777777" w:rsidR="00561B22" w:rsidRPr="00D13D12" w:rsidRDefault="00561B22" w:rsidP="00F1223B">
            <w:pPr>
              <w:jc w:val="center"/>
              <w:rPr>
                <w:rFonts w:ascii="Arial" w:hAnsi="Arial" w:cs="Arial"/>
                <w:b/>
                <w:sz w:val="22"/>
                <w:szCs w:val="22"/>
                <w:lang w:val="es-MX"/>
              </w:rPr>
            </w:pPr>
            <w:r w:rsidRPr="00D13D12">
              <w:rPr>
                <w:rFonts w:ascii="Arial" w:hAnsi="Arial" w:cs="Arial"/>
                <w:b/>
                <w:sz w:val="22"/>
                <w:szCs w:val="22"/>
                <w:lang w:val="es-MX"/>
              </w:rPr>
              <w:t>8</w:t>
            </w:r>
          </w:p>
        </w:tc>
        <w:tc>
          <w:tcPr>
            <w:tcW w:w="9116" w:type="dxa"/>
          </w:tcPr>
          <w:p w14:paraId="103DF86A" w14:textId="77777777" w:rsidR="00561B22" w:rsidRPr="00D13D12" w:rsidRDefault="00561B22" w:rsidP="00F1223B">
            <w:pPr>
              <w:jc w:val="both"/>
              <w:rPr>
                <w:rFonts w:ascii="Arial" w:hAnsi="Arial" w:cs="Arial"/>
                <w:sz w:val="22"/>
                <w:szCs w:val="22"/>
                <w:lang w:val="es-MX"/>
              </w:rPr>
            </w:pPr>
            <w:r w:rsidRPr="00D13D12">
              <w:rPr>
                <w:rFonts w:ascii="Arial" w:hAnsi="Arial" w:cs="Arial"/>
                <w:sz w:val="22"/>
                <w:szCs w:val="22"/>
                <w:lang w:val="es-MX"/>
              </w:rPr>
              <w:t xml:space="preserve">Aplicar los lineamientos establecidos por el Archivo General de la Nación - AGN relativo a la custodia y conservación de documentos físicos y electrónicos.  </w:t>
            </w:r>
          </w:p>
        </w:tc>
      </w:tr>
    </w:tbl>
    <w:p w14:paraId="3EB408B7" w14:textId="77777777" w:rsidR="00561B22" w:rsidRDefault="00561B22" w:rsidP="00561B22">
      <w:pPr>
        <w:jc w:val="both"/>
        <w:rPr>
          <w:rFonts w:ascii="Arial" w:hAnsi="Arial" w:cs="Arial"/>
          <w:b/>
          <w:sz w:val="28"/>
          <w:szCs w:val="28"/>
          <w:lang w:val="es-MX"/>
        </w:rPr>
      </w:pPr>
    </w:p>
    <w:p w14:paraId="1BBF2807" w14:textId="77777777" w:rsidR="00561B22" w:rsidRPr="00BD4776" w:rsidRDefault="00561B22" w:rsidP="00561B22">
      <w:pPr>
        <w:jc w:val="both"/>
        <w:rPr>
          <w:rFonts w:ascii="Arial" w:hAnsi="Arial" w:cs="Arial"/>
          <w:b/>
          <w:sz w:val="24"/>
          <w:szCs w:val="24"/>
          <w:u w:val="single"/>
          <w:lang w:val="es-MX"/>
        </w:rPr>
      </w:pPr>
      <w:r w:rsidRPr="00BD4776">
        <w:rPr>
          <w:rFonts w:ascii="Arial" w:hAnsi="Arial" w:cs="Arial"/>
          <w:b/>
          <w:sz w:val="24"/>
          <w:szCs w:val="24"/>
          <w:lang w:val="es-MX"/>
        </w:rPr>
        <w:t>NOTA</w:t>
      </w:r>
      <w:r w:rsidRPr="00BD4776">
        <w:rPr>
          <w:rFonts w:ascii="Arial" w:hAnsi="Arial" w:cs="Arial"/>
          <w:sz w:val="24"/>
          <w:szCs w:val="24"/>
          <w:lang w:val="es-MX"/>
        </w:rPr>
        <w:t xml:space="preserve">: LA ENTIDAD ENVÍA LA MATRIZ DE AUTOEVALUACIÓN DEL SISTEMA DE CONTROL INTERNO CONTABLE CON ACTIVIDADES DE CONTROL </w:t>
      </w:r>
      <w:r w:rsidRPr="00BD4776">
        <w:rPr>
          <w:rFonts w:ascii="Arial" w:hAnsi="Arial" w:cs="Arial"/>
          <w:b/>
          <w:sz w:val="24"/>
          <w:szCs w:val="24"/>
          <w:u w:val="single"/>
          <w:lang w:val="es-MX"/>
        </w:rPr>
        <w:t>REALIZADAS EN FORMA PARCIAL Y OTRAS SIMPLEMENTE INFORMAN QUE NO REALIZARON.</w:t>
      </w:r>
    </w:p>
    <w:p w14:paraId="0F6F5C54" w14:textId="77777777" w:rsidR="00561B22" w:rsidRDefault="00561B22" w:rsidP="00561B22">
      <w:pPr>
        <w:ind w:left="142"/>
        <w:jc w:val="both"/>
        <w:rPr>
          <w:rFonts w:ascii="Arial" w:hAnsi="Arial" w:cs="Arial"/>
          <w:b/>
          <w:sz w:val="24"/>
          <w:szCs w:val="24"/>
          <w:lang w:val="es-MX"/>
        </w:rPr>
      </w:pPr>
    </w:p>
    <w:p w14:paraId="3E35B671" w14:textId="77777777" w:rsidR="00561B22" w:rsidRPr="00B05C61" w:rsidRDefault="00561B22" w:rsidP="00561B22">
      <w:pPr>
        <w:jc w:val="both"/>
        <w:rPr>
          <w:rFonts w:ascii="Arial" w:hAnsi="Arial" w:cs="Arial"/>
          <w:b/>
          <w:sz w:val="28"/>
          <w:szCs w:val="28"/>
          <w:lang w:val="es-MX"/>
        </w:rPr>
      </w:pPr>
      <w:r w:rsidRPr="00B05C61">
        <w:rPr>
          <w:rFonts w:ascii="Arial" w:hAnsi="Arial" w:cs="Arial"/>
          <w:b/>
          <w:sz w:val="28"/>
          <w:szCs w:val="28"/>
          <w:lang w:val="es-MX"/>
        </w:rPr>
        <w:t>24.- ESCUELA TECNOLOGICA INSTITUTO TECNICO CENTRAL.</w:t>
      </w:r>
    </w:p>
    <w:p w14:paraId="2DA4E22C" w14:textId="77777777" w:rsidR="00561B22" w:rsidRDefault="00561B22" w:rsidP="00561B22">
      <w:pPr>
        <w:ind w:left="142"/>
        <w:jc w:val="both"/>
        <w:rPr>
          <w:rFonts w:ascii="Arial" w:hAnsi="Arial" w:cs="Arial"/>
          <w:b/>
          <w:sz w:val="24"/>
          <w:szCs w:val="24"/>
          <w:lang w:val="es-MX"/>
        </w:rPr>
      </w:pPr>
    </w:p>
    <w:p w14:paraId="298572A6" w14:textId="77777777" w:rsidR="00561B22" w:rsidRPr="00B05C61" w:rsidRDefault="00561B22" w:rsidP="00561B22">
      <w:pPr>
        <w:pStyle w:val="Textoindependiente"/>
        <w:ind w:right="-50"/>
        <w:jc w:val="center"/>
        <w:rPr>
          <w:rFonts w:ascii="Arial" w:hAnsi="Arial" w:cs="Arial"/>
          <w:b/>
          <w:bCs/>
        </w:rPr>
      </w:pPr>
      <w:r w:rsidRPr="00B05C61">
        <w:rPr>
          <w:rFonts w:ascii="Arial" w:hAnsi="Arial" w:cs="Arial"/>
          <w:b/>
          <w:bCs/>
        </w:rPr>
        <w:t>INFORME DE LA AUTOCALIFICACIÓN DEL SISTEMA DE CONTROL INTERNO CONTABLE:</w:t>
      </w:r>
    </w:p>
    <w:p w14:paraId="7F8C1AC6" w14:textId="77777777" w:rsidR="00561B22" w:rsidRPr="00B05C6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05C61" w14:paraId="3A658ED9" w14:textId="77777777" w:rsidTr="00F1223B">
        <w:tc>
          <w:tcPr>
            <w:tcW w:w="4981" w:type="dxa"/>
          </w:tcPr>
          <w:p w14:paraId="3CEC2148"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AUTOCALIFICACIÓN</w:t>
            </w:r>
          </w:p>
        </w:tc>
        <w:tc>
          <w:tcPr>
            <w:tcW w:w="4981" w:type="dxa"/>
          </w:tcPr>
          <w:p w14:paraId="49C58AAB" w14:textId="77777777" w:rsidR="00561B22" w:rsidRPr="00B05C61" w:rsidRDefault="00561B22" w:rsidP="00F1223B">
            <w:pPr>
              <w:jc w:val="center"/>
              <w:rPr>
                <w:rFonts w:ascii="Arial" w:hAnsi="Arial" w:cs="Arial"/>
                <w:b/>
                <w:sz w:val="22"/>
                <w:szCs w:val="22"/>
                <w:u w:val="single"/>
                <w:lang w:val="es-MX"/>
              </w:rPr>
            </w:pPr>
            <w:r w:rsidRPr="00B05C61">
              <w:rPr>
                <w:rFonts w:ascii="Arial" w:hAnsi="Arial" w:cs="Arial"/>
                <w:b/>
                <w:sz w:val="22"/>
                <w:szCs w:val="22"/>
                <w:u w:val="single"/>
                <w:lang w:val="es-MX"/>
              </w:rPr>
              <w:t>4.60</w:t>
            </w:r>
          </w:p>
        </w:tc>
      </w:tr>
    </w:tbl>
    <w:p w14:paraId="6525F4AB" w14:textId="77777777" w:rsidR="00561B22" w:rsidRPr="00B05C61" w:rsidRDefault="00561B22" w:rsidP="00561B22">
      <w:pPr>
        <w:pStyle w:val="Textoindependiente"/>
        <w:ind w:right="-50"/>
        <w:jc w:val="both"/>
        <w:rPr>
          <w:rFonts w:ascii="Arial" w:hAnsi="Arial" w:cs="Arial"/>
          <w:b/>
          <w:bCs/>
        </w:rPr>
      </w:pPr>
    </w:p>
    <w:p w14:paraId="7C283C27" w14:textId="77777777" w:rsidR="00561B22" w:rsidRPr="00B05C61" w:rsidRDefault="00561B22" w:rsidP="00561B22">
      <w:pPr>
        <w:pStyle w:val="Textoindependiente"/>
        <w:ind w:right="-50"/>
        <w:jc w:val="both"/>
        <w:rPr>
          <w:rFonts w:ascii="Arial" w:hAnsi="Arial" w:cs="Arial"/>
          <w:b/>
          <w:bCs/>
        </w:rPr>
      </w:pPr>
      <w:r w:rsidRPr="00B05C61">
        <w:rPr>
          <w:rFonts w:ascii="Arial" w:hAnsi="Arial" w:cs="Arial"/>
          <w:b/>
          <w:bCs/>
        </w:rPr>
        <w:t>Del informe enviado retomamos lo siguiente:</w:t>
      </w:r>
    </w:p>
    <w:p w14:paraId="2E98A3EC" w14:textId="77777777" w:rsidR="00561B22" w:rsidRPr="00B05C6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05C61" w14:paraId="13FBFD40" w14:textId="77777777" w:rsidTr="00F1223B">
        <w:trPr>
          <w:trHeight w:val="384"/>
        </w:trPr>
        <w:tc>
          <w:tcPr>
            <w:tcW w:w="846" w:type="dxa"/>
          </w:tcPr>
          <w:p w14:paraId="30D56309" w14:textId="77777777" w:rsidR="00561B22" w:rsidRPr="00B05C61" w:rsidRDefault="00561B22" w:rsidP="00F1223B">
            <w:pPr>
              <w:ind w:right="-109"/>
              <w:jc w:val="center"/>
              <w:rPr>
                <w:rFonts w:ascii="Arial" w:hAnsi="Arial" w:cs="Arial"/>
                <w:b/>
                <w:sz w:val="22"/>
                <w:szCs w:val="22"/>
                <w:lang w:val="es-MX"/>
              </w:rPr>
            </w:pPr>
            <w:r w:rsidRPr="00B05C61">
              <w:rPr>
                <w:rFonts w:ascii="Arial" w:hAnsi="Arial" w:cs="Arial"/>
                <w:b/>
                <w:sz w:val="22"/>
                <w:szCs w:val="22"/>
                <w:lang w:val="es-MX"/>
              </w:rPr>
              <w:t>N°</w:t>
            </w:r>
          </w:p>
        </w:tc>
        <w:tc>
          <w:tcPr>
            <w:tcW w:w="9116" w:type="dxa"/>
          </w:tcPr>
          <w:p w14:paraId="054522FF"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DEBILIDADES</w:t>
            </w:r>
          </w:p>
          <w:p w14:paraId="485C3221" w14:textId="77777777" w:rsidR="00561B22" w:rsidRPr="00B05C61" w:rsidRDefault="00561B22" w:rsidP="00F1223B">
            <w:pPr>
              <w:jc w:val="center"/>
              <w:rPr>
                <w:rFonts w:ascii="Arial" w:hAnsi="Arial" w:cs="Arial"/>
                <w:b/>
                <w:sz w:val="22"/>
                <w:szCs w:val="22"/>
                <w:lang w:val="es-MX"/>
              </w:rPr>
            </w:pPr>
          </w:p>
        </w:tc>
      </w:tr>
      <w:tr w:rsidR="00561B22" w:rsidRPr="00B05C61" w14:paraId="6665ACD0" w14:textId="77777777" w:rsidTr="00F1223B">
        <w:trPr>
          <w:trHeight w:val="305"/>
        </w:trPr>
        <w:tc>
          <w:tcPr>
            <w:tcW w:w="846" w:type="dxa"/>
          </w:tcPr>
          <w:p w14:paraId="452F2AE2"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1</w:t>
            </w:r>
          </w:p>
        </w:tc>
        <w:tc>
          <w:tcPr>
            <w:tcW w:w="9116" w:type="dxa"/>
          </w:tcPr>
          <w:p w14:paraId="3D8D0781" w14:textId="77777777" w:rsidR="00561B22" w:rsidRPr="00B05C61" w:rsidRDefault="00561B22" w:rsidP="00F1223B">
            <w:pPr>
              <w:jc w:val="both"/>
              <w:rPr>
                <w:rFonts w:ascii="Arial" w:hAnsi="Arial" w:cs="Arial"/>
                <w:sz w:val="22"/>
                <w:szCs w:val="22"/>
                <w:lang w:val="es-MX"/>
              </w:rPr>
            </w:pPr>
            <w:r w:rsidRPr="00B05C61">
              <w:rPr>
                <w:rFonts w:ascii="Arial" w:hAnsi="Arial" w:cs="Arial"/>
                <w:sz w:val="22"/>
                <w:szCs w:val="22"/>
                <w:lang w:val="es-CO"/>
              </w:rPr>
              <w:t>La socialización de políticas y procedimientos no se está realizando de forma oportuna.</w:t>
            </w:r>
          </w:p>
        </w:tc>
      </w:tr>
    </w:tbl>
    <w:p w14:paraId="65A3964E" w14:textId="77777777" w:rsidR="00561B22" w:rsidRDefault="00561B22" w:rsidP="00561B22">
      <w:pPr>
        <w:pStyle w:val="Textoindependiente"/>
        <w:ind w:right="-50"/>
        <w:jc w:val="both"/>
        <w:rPr>
          <w:rFonts w:ascii="Arial" w:hAnsi="Arial" w:cs="Arial"/>
          <w:b/>
          <w:bCs/>
        </w:rPr>
      </w:pPr>
    </w:p>
    <w:p w14:paraId="4FCA1A02" w14:textId="77777777" w:rsidR="00561B22" w:rsidRPr="00D13D12" w:rsidRDefault="00561B22" w:rsidP="00561B22">
      <w:pPr>
        <w:jc w:val="both"/>
        <w:rPr>
          <w:rFonts w:ascii="Arial" w:hAnsi="Arial" w:cs="Arial"/>
          <w:b/>
          <w:lang w:val="es-MX"/>
        </w:rPr>
      </w:pPr>
      <w:r w:rsidRPr="00D13D12">
        <w:rPr>
          <w:rFonts w:ascii="Arial" w:hAnsi="Arial" w:cs="Arial"/>
          <w:b/>
          <w:lang w:val="es-MX"/>
        </w:rPr>
        <w:t>Del citado informe retomamos las siguientes recomendaciones:</w:t>
      </w:r>
    </w:p>
    <w:p w14:paraId="1754993E" w14:textId="77777777" w:rsidR="00561B22" w:rsidRPr="00B05C6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05C61" w14:paraId="640EC665" w14:textId="77777777" w:rsidTr="00F1223B">
        <w:trPr>
          <w:trHeight w:val="437"/>
        </w:trPr>
        <w:tc>
          <w:tcPr>
            <w:tcW w:w="846" w:type="dxa"/>
          </w:tcPr>
          <w:p w14:paraId="2387A330" w14:textId="77777777" w:rsidR="00561B22" w:rsidRPr="00B05C61" w:rsidRDefault="00561B22" w:rsidP="00F1223B">
            <w:pPr>
              <w:ind w:right="-109"/>
              <w:jc w:val="center"/>
              <w:rPr>
                <w:rFonts w:ascii="Arial" w:hAnsi="Arial" w:cs="Arial"/>
                <w:b/>
                <w:sz w:val="22"/>
                <w:szCs w:val="22"/>
                <w:lang w:val="es-MX"/>
              </w:rPr>
            </w:pPr>
            <w:r w:rsidRPr="00B05C61">
              <w:rPr>
                <w:rFonts w:ascii="Arial" w:hAnsi="Arial" w:cs="Arial"/>
                <w:b/>
                <w:sz w:val="22"/>
                <w:szCs w:val="22"/>
                <w:lang w:val="es-MX"/>
              </w:rPr>
              <w:t>N°</w:t>
            </w:r>
          </w:p>
        </w:tc>
        <w:tc>
          <w:tcPr>
            <w:tcW w:w="9116" w:type="dxa"/>
          </w:tcPr>
          <w:p w14:paraId="258C1CBD"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RECOMENDACIONES</w:t>
            </w:r>
          </w:p>
          <w:p w14:paraId="0B375043" w14:textId="77777777" w:rsidR="00561B22" w:rsidRPr="00B05C61" w:rsidRDefault="00561B22" w:rsidP="00F1223B">
            <w:pPr>
              <w:jc w:val="center"/>
              <w:rPr>
                <w:rFonts w:ascii="Arial" w:hAnsi="Arial" w:cs="Arial"/>
                <w:b/>
                <w:sz w:val="22"/>
                <w:szCs w:val="22"/>
                <w:lang w:val="es-MX"/>
              </w:rPr>
            </w:pPr>
          </w:p>
        </w:tc>
      </w:tr>
      <w:tr w:rsidR="00561B22" w:rsidRPr="00B05C61" w14:paraId="0402849D" w14:textId="77777777" w:rsidTr="00F1223B">
        <w:tc>
          <w:tcPr>
            <w:tcW w:w="846" w:type="dxa"/>
          </w:tcPr>
          <w:p w14:paraId="25DE0967"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1</w:t>
            </w:r>
          </w:p>
        </w:tc>
        <w:tc>
          <w:tcPr>
            <w:tcW w:w="9116" w:type="dxa"/>
          </w:tcPr>
          <w:p w14:paraId="521B7FCC" w14:textId="77777777" w:rsidR="00561B22" w:rsidRPr="00B05C61" w:rsidRDefault="00561B22" w:rsidP="00F1223B">
            <w:pPr>
              <w:jc w:val="both"/>
              <w:rPr>
                <w:rFonts w:ascii="Arial" w:hAnsi="Arial" w:cs="Arial"/>
                <w:sz w:val="22"/>
                <w:szCs w:val="22"/>
                <w:lang w:val="es-MX"/>
              </w:rPr>
            </w:pPr>
            <w:r w:rsidRPr="00B05C61">
              <w:rPr>
                <w:rFonts w:ascii="Arial" w:hAnsi="Arial" w:cs="Arial"/>
                <w:sz w:val="22"/>
                <w:szCs w:val="22"/>
              </w:rPr>
              <w:t>Establecer políticas, lineamientos que permitan documentar el cierre integral a las operaciones contables de la ETITC.</w:t>
            </w:r>
          </w:p>
        </w:tc>
      </w:tr>
      <w:tr w:rsidR="00561B22" w:rsidRPr="00B05C61" w14:paraId="590DA270" w14:textId="77777777" w:rsidTr="00F1223B">
        <w:tc>
          <w:tcPr>
            <w:tcW w:w="846" w:type="dxa"/>
          </w:tcPr>
          <w:p w14:paraId="6FA623CB"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2</w:t>
            </w:r>
          </w:p>
        </w:tc>
        <w:tc>
          <w:tcPr>
            <w:tcW w:w="9116" w:type="dxa"/>
          </w:tcPr>
          <w:p w14:paraId="53B81BC1" w14:textId="77777777" w:rsidR="00561B22" w:rsidRPr="00B05C61" w:rsidRDefault="00561B22" w:rsidP="00F1223B">
            <w:pPr>
              <w:jc w:val="both"/>
              <w:rPr>
                <w:rFonts w:ascii="Arial" w:hAnsi="Arial" w:cs="Arial"/>
                <w:sz w:val="22"/>
                <w:szCs w:val="22"/>
                <w:lang w:val="es-MX"/>
              </w:rPr>
            </w:pPr>
            <w:r w:rsidRPr="00B05C61">
              <w:rPr>
                <w:rFonts w:ascii="Arial" w:hAnsi="Arial" w:cs="Arial"/>
                <w:sz w:val="22"/>
                <w:szCs w:val="22"/>
                <w:lang w:val="es-ES_tradnl"/>
              </w:rPr>
              <w:t>Generar mesas de trabajo en donde se verifique periódicamente la consistencia de los saldos que revelen diferencias en la diferentes cuentas y subcuentas.</w:t>
            </w:r>
          </w:p>
        </w:tc>
      </w:tr>
      <w:tr w:rsidR="00561B22" w:rsidRPr="00B05C61" w14:paraId="369428F1" w14:textId="77777777" w:rsidTr="00F1223B">
        <w:tc>
          <w:tcPr>
            <w:tcW w:w="846" w:type="dxa"/>
          </w:tcPr>
          <w:p w14:paraId="7B1D8F08"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3</w:t>
            </w:r>
          </w:p>
        </w:tc>
        <w:tc>
          <w:tcPr>
            <w:tcW w:w="9116" w:type="dxa"/>
          </w:tcPr>
          <w:p w14:paraId="380518C6" w14:textId="77777777" w:rsidR="00561B22" w:rsidRPr="00B05C61" w:rsidRDefault="00561B22" w:rsidP="00F1223B">
            <w:pPr>
              <w:jc w:val="both"/>
              <w:rPr>
                <w:rFonts w:ascii="Arial" w:hAnsi="Arial" w:cs="Arial"/>
                <w:sz w:val="22"/>
                <w:szCs w:val="22"/>
                <w:lang w:val="es-MX"/>
              </w:rPr>
            </w:pPr>
            <w:r w:rsidRPr="00B05C61">
              <w:rPr>
                <w:rFonts w:ascii="Arial" w:hAnsi="Arial" w:cs="Arial"/>
                <w:sz w:val="22"/>
                <w:szCs w:val="22"/>
                <w:lang w:val="es-ES_tradnl"/>
              </w:rPr>
              <w:t>Incluir en la rendición de cuentas la presentación de los estados financieros como insumo para la toma de decisiones de la Alta Dirección.</w:t>
            </w:r>
          </w:p>
        </w:tc>
      </w:tr>
      <w:tr w:rsidR="00561B22" w:rsidRPr="00B05C61" w14:paraId="47D44027" w14:textId="77777777" w:rsidTr="00F1223B">
        <w:tc>
          <w:tcPr>
            <w:tcW w:w="846" w:type="dxa"/>
          </w:tcPr>
          <w:p w14:paraId="6CF36430" w14:textId="77777777" w:rsidR="00561B22" w:rsidRPr="00B05C61" w:rsidRDefault="00561B22" w:rsidP="00F1223B">
            <w:pPr>
              <w:jc w:val="center"/>
              <w:rPr>
                <w:rFonts w:ascii="Arial" w:hAnsi="Arial" w:cs="Arial"/>
                <w:b/>
                <w:sz w:val="22"/>
                <w:szCs w:val="22"/>
                <w:lang w:val="es-MX"/>
              </w:rPr>
            </w:pPr>
            <w:r w:rsidRPr="00B05C61">
              <w:rPr>
                <w:rFonts w:ascii="Arial" w:hAnsi="Arial" w:cs="Arial"/>
                <w:b/>
                <w:sz w:val="22"/>
                <w:szCs w:val="22"/>
                <w:lang w:val="es-MX"/>
              </w:rPr>
              <w:t>4</w:t>
            </w:r>
          </w:p>
        </w:tc>
        <w:tc>
          <w:tcPr>
            <w:tcW w:w="9116" w:type="dxa"/>
          </w:tcPr>
          <w:p w14:paraId="50577FF2" w14:textId="77777777" w:rsidR="00561B22" w:rsidRPr="00B05C61" w:rsidRDefault="00561B22" w:rsidP="00F1223B">
            <w:pPr>
              <w:jc w:val="both"/>
              <w:rPr>
                <w:rFonts w:ascii="Arial" w:hAnsi="Arial" w:cs="Arial"/>
                <w:sz w:val="22"/>
                <w:szCs w:val="22"/>
                <w:lang w:val="es-MX"/>
              </w:rPr>
            </w:pPr>
            <w:r w:rsidRPr="00B05C61">
              <w:rPr>
                <w:rFonts w:ascii="Arial" w:hAnsi="Arial" w:cs="Arial"/>
                <w:sz w:val="22"/>
                <w:szCs w:val="22"/>
                <w:lang w:val="es-ES_tradnl"/>
              </w:rPr>
              <w:t>Establecer riesgos de índole contable identificando controles que permitan su mitigación, prevención y materialización.</w:t>
            </w:r>
          </w:p>
        </w:tc>
      </w:tr>
    </w:tbl>
    <w:p w14:paraId="34ADFED2" w14:textId="77777777" w:rsidR="00561B22" w:rsidRDefault="00561B22" w:rsidP="00561B22">
      <w:pPr>
        <w:pStyle w:val="Textoindependiente"/>
        <w:ind w:right="-50"/>
        <w:jc w:val="both"/>
        <w:rPr>
          <w:b/>
          <w:bCs/>
          <w:sz w:val="28"/>
          <w:szCs w:val="28"/>
        </w:rPr>
      </w:pPr>
    </w:p>
    <w:p w14:paraId="12159249" w14:textId="77777777" w:rsidR="00561B22" w:rsidRPr="00B05C61" w:rsidRDefault="00561B22" w:rsidP="00561B22">
      <w:pPr>
        <w:jc w:val="both"/>
        <w:rPr>
          <w:rFonts w:ascii="Arial" w:hAnsi="Arial" w:cs="Arial"/>
          <w:b/>
          <w:bCs/>
          <w:sz w:val="24"/>
          <w:szCs w:val="24"/>
          <w:lang w:val="es-CO"/>
        </w:rPr>
      </w:pPr>
      <w:r w:rsidRPr="00B05C61">
        <w:rPr>
          <w:rFonts w:ascii="Arial" w:hAnsi="Arial" w:cs="Arial"/>
          <w:b/>
          <w:bCs/>
          <w:sz w:val="24"/>
          <w:szCs w:val="24"/>
          <w:lang w:val="es-CO"/>
        </w:rPr>
        <w:t xml:space="preserve">NOTA: LA ENTIDAD ENVIA LA MATRIZ DE AUTOEVALUACIÓN DEL SISTEMA DE CONTROL INTERNO CONTABLE CON ACTIVIDADES DE CONTROL REALIZADAS </w:t>
      </w:r>
      <w:r w:rsidRPr="00B05C61">
        <w:rPr>
          <w:rFonts w:ascii="Arial" w:hAnsi="Arial" w:cs="Arial"/>
          <w:b/>
          <w:bCs/>
          <w:sz w:val="24"/>
          <w:szCs w:val="24"/>
          <w:u w:val="single"/>
          <w:lang w:val="es-CO"/>
        </w:rPr>
        <w:t>EN FORMA PARCIAL Y OTRAS SIMPLEMENTE INFORMAN QUE NO SE REALIZARON</w:t>
      </w:r>
      <w:r w:rsidRPr="00B05C61">
        <w:rPr>
          <w:rFonts w:ascii="Arial" w:hAnsi="Arial" w:cs="Arial"/>
          <w:b/>
          <w:bCs/>
          <w:sz w:val="24"/>
          <w:szCs w:val="24"/>
          <w:lang w:val="es-CO"/>
        </w:rPr>
        <w:t>.</w:t>
      </w:r>
    </w:p>
    <w:p w14:paraId="6099C5BF" w14:textId="77777777" w:rsidR="00561B22" w:rsidRPr="00B05C61" w:rsidRDefault="00561B22" w:rsidP="00561B22">
      <w:pPr>
        <w:ind w:left="720" w:hanging="720"/>
        <w:jc w:val="both"/>
        <w:rPr>
          <w:rFonts w:ascii="Arial" w:hAnsi="Arial" w:cs="Arial"/>
          <w:b/>
          <w:bCs/>
          <w:sz w:val="24"/>
          <w:szCs w:val="24"/>
          <w:lang w:val="es-CO"/>
        </w:rPr>
      </w:pPr>
    </w:p>
    <w:p w14:paraId="06441851" w14:textId="77777777" w:rsidR="00561B22" w:rsidRPr="00865AE6" w:rsidRDefault="00561B22" w:rsidP="00561B22">
      <w:pPr>
        <w:jc w:val="both"/>
        <w:rPr>
          <w:rFonts w:ascii="Arial" w:hAnsi="Arial" w:cs="Arial"/>
          <w:b/>
          <w:sz w:val="28"/>
          <w:szCs w:val="28"/>
          <w:lang w:val="es-MX"/>
        </w:rPr>
      </w:pPr>
      <w:r w:rsidRPr="00865AE6">
        <w:rPr>
          <w:rFonts w:ascii="Arial" w:hAnsi="Arial" w:cs="Arial"/>
          <w:b/>
          <w:sz w:val="28"/>
          <w:szCs w:val="28"/>
          <w:lang w:val="es-MX"/>
        </w:rPr>
        <w:lastRenderedPageBreak/>
        <w:t>25.- COMISIÓN NACIONAL DEL SERVICIO CIVIL - CNSC.</w:t>
      </w:r>
    </w:p>
    <w:p w14:paraId="7D658C6D" w14:textId="77777777" w:rsidR="00561B22" w:rsidRPr="007F0C28" w:rsidRDefault="00561B22" w:rsidP="00561B22">
      <w:pPr>
        <w:ind w:left="1411" w:right="1900"/>
        <w:jc w:val="center"/>
        <w:rPr>
          <w:b/>
          <w:color w:val="FF0000"/>
          <w:sz w:val="24"/>
          <w:lang w:val="es-MX"/>
        </w:rPr>
      </w:pPr>
    </w:p>
    <w:p w14:paraId="3BC929DC" w14:textId="77777777" w:rsidR="00561B22" w:rsidRPr="007F0C28" w:rsidRDefault="00561B22" w:rsidP="00561B22">
      <w:pPr>
        <w:pStyle w:val="Textoindependiente"/>
        <w:ind w:right="-50"/>
        <w:jc w:val="center"/>
        <w:rPr>
          <w:rFonts w:ascii="Arial" w:hAnsi="Arial" w:cs="Arial"/>
          <w:b/>
          <w:bCs/>
        </w:rPr>
      </w:pPr>
      <w:r w:rsidRPr="007F0C28">
        <w:rPr>
          <w:rFonts w:ascii="Arial" w:hAnsi="Arial" w:cs="Arial"/>
          <w:b/>
          <w:bCs/>
        </w:rPr>
        <w:t>INFORME DE LA AUTOCALIFICACIÓN DEL SISTEMA DE CONTROL INTERNO CONTABLE:</w:t>
      </w:r>
    </w:p>
    <w:p w14:paraId="2F57A4EE" w14:textId="77777777" w:rsidR="00561B22" w:rsidRPr="007F0C2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F0C28" w14:paraId="7F729526" w14:textId="77777777" w:rsidTr="00F1223B">
        <w:tc>
          <w:tcPr>
            <w:tcW w:w="4981" w:type="dxa"/>
          </w:tcPr>
          <w:p w14:paraId="505F074A"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AUTOCALIFICACIÓN</w:t>
            </w:r>
          </w:p>
        </w:tc>
        <w:tc>
          <w:tcPr>
            <w:tcW w:w="4981" w:type="dxa"/>
          </w:tcPr>
          <w:p w14:paraId="68A79100" w14:textId="77777777" w:rsidR="00561B22" w:rsidRPr="007F0C28" w:rsidRDefault="00561B22" w:rsidP="00F1223B">
            <w:pPr>
              <w:jc w:val="center"/>
              <w:rPr>
                <w:rFonts w:ascii="Arial" w:hAnsi="Arial" w:cs="Arial"/>
                <w:b/>
                <w:sz w:val="22"/>
                <w:szCs w:val="22"/>
                <w:u w:val="single"/>
                <w:lang w:val="es-MX"/>
              </w:rPr>
            </w:pPr>
            <w:r w:rsidRPr="007F0C28">
              <w:rPr>
                <w:rFonts w:ascii="Arial" w:hAnsi="Arial" w:cs="Arial"/>
                <w:b/>
                <w:sz w:val="22"/>
                <w:szCs w:val="22"/>
                <w:u w:val="single"/>
                <w:lang w:val="es-MX"/>
              </w:rPr>
              <w:t>4.89</w:t>
            </w:r>
          </w:p>
        </w:tc>
      </w:tr>
    </w:tbl>
    <w:p w14:paraId="69D0BF13" w14:textId="77777777" w:rsidR="00561B22" w:rsidRPr="007F0C28" w:rsidRDefault="00561B22" w:rsidP="00561B22">
      <w:pPr>
        <w:pStyle w:val="Textoindependiente"/>
        <w:ind w:right="-50"/>
        <w:jc w:val="both"/>
        <w:rPr>
          <w:rFonts w:ascii="Arial" w:hAnsi="Arial" w:cs="Arial"/>
          <w:b/>
          <w:bCs/>
        </w:rPr>
      </w:pPr>
    </w:p>
    <w:p w14:paraId="083F27E1" w14:textId="77777777" w:rsidR="00561B22" w:rsidRPr="007F0C28" w:rsidRDefault="00561B22" w:rsidP="00561B22">
      <w:pPr>
        <w:pStyle w:val="Textoindependiente"/>
        <w:ind w:right="-50"/>
        <w:jc w:val="both"/>
        <w:rPr>
          <w:rFonts w:ascii="Arial" w:hAnsi="Arial" w:cs="Arial"/>
          <w:b/>
          <w:bCs/>
        </w:rPr>
      </w:pPr>
      <w:r w:rsidRPr="007F0C28">
        <w:rPr>
          <w:rFonts w:ascii="Arial" w:hAnsi="Arial" w:cs="Arial"/>
          <w:b/>
          <w:bCs/>
        </w:rPr>
        <w:t>Del informe enviado retomamos lo siguiente:</w:t>
      </w:r>
    </w:p>
    <w:p w14:paraId="79E98C65" w14:textId="77777777" w:rsidR="00561B22" w:rsidRPr="007F0C2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7F0C28" w14:paraId="37D04727" w14:textId="77777777" w:rsidTr="00F1223B">
        <w:tc>
          <w:tcPr>
            <w:tcW w:w="846" w:type="dxa"/>
          </w:tcPr>
          <w:p w14:paraId="0FBBFE99" w14:textId="77777777" w:rsidR="00561B22" w:rsidRPr="007F0C28" w:rsidRDefault="00561B22" w:rsidP="00F1223B">
            <w:pPr>
              <w:ind w:right="-109"/>
              <w:jc w:val="center"/>
              <w:rPr>
                <w:rFonts w:ascii="Arial" w:hAnsi="Arial" w:cs="Arial"/>
                <w:b/>
                <w:sz w:val="22"/>
                <w:szCs w:val="22"/>
                <w:lang w:val="es-MX"/>
              </w:rPr>
            </w:pPr>
            <w:r w:rsidRPr="007F0C28">
              <w:rPr>
                <w:rFonts w:ascii="Arial" w:hAnsi="Arial" w:cs="Arial"/>
                <w:b/>
                <w:sz w:val="22"/>
                <w:szCs w:val="22"/>
                <w:lang w:val="es-MX"/>
              </w:rPr>
              <w:t>N°</w:t>
            </w:r>
          </w:p>
        </w:tc>
        <w:tc>
          <w:tcPr>
            <w:tcW w:w="9116" w:type="dxa"/>
          </w:tcPr>
          <w:p w14:paraId="3A22E975"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DEBILIDADES</w:t>
            </w:r>
          </w:p>
          <w:p w14:paraId="6862F7FB" w14:textId="77777777" w:rsidR="00561B22" w:rsidRPr="007F0C28" w:rsidRDefault="00561B22" w:rsidP="00F1223B">
            <w:pPr>
              <w:jc w:val="center"/>
              <w:rPr>
                <w:rFonts w:ascii="Arial" w:hAnsi="Arial" w:cs="Arial"/>
                <w:b/>
                <w:sz w:val="22"/>
                <w:szCs w:val="22"/>
                <w:lang w:val="es-MX"/>
              </w:rPr>
            </w:pPr>
          </w:p>
        </w:tc>
      </w:tr>
      <w:tr w:rsidR="00561B22" w:rsidRPr="007F0C28" w14:paraId="39553EE6" w14:textId="77777777" w:rsidTr="00F1223B">
        <w:tc>
          <w:tcPr>
            <w:tcW w:w="846" w:type="dxa"/>
          </w:tcPr>
          <w:p w14:paraId="4C467D62"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1</w:t>
            </w:r>
          </w:p>
        </w:tc>
        <w:tc>
          <w:tcPr>
            <w:tcW w:w="9116" w:type="dxa"/>
          </w:tcPr>
          <w:p w14:paraId="4744E6C0"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De acuerdo con la auditoría realizada por la CGR, se evidenciaron debilidades por parte de los responsables de la provisión de información financiera, también en la gestión de la cartera de la Entidad, situación que afecta la información financiera de la CNSC, lo que conlleva a posibles materializaciones de riesgos relacionados con la información financiera.</w:t>
            </w:r>
          </w:p>
        </w:tc>
      </w:tr>
      <w:tr w:rsidR="00561B22" w:rsidRPr="007F0C28" w14:paraId="21C67664" w14:textId="77777777" w:rsidTr="00F1223B">
        <w:tc>
          <w:tcPr>
            <w:tcW w:w="846" w:type="dxa"/>
          </w:tcPr>
          <w:p w14:paraId="165ACDA8"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2</w:t>
            </w:r>
          </w:p>
        </w:tc>
        <w:tc>
          <w:tcPr>
            <w:tcW w:w="9116" w:type="dxa"/>
          </w:tcPr>
          <w:p w14:paraId="3490602D"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No se encuentra evidencia de que los Estados financieros sean utilizados para la toma de decisiones.</w:t>
            </w:r>
          </w:p>
        </w:tc>
      </w:tr>
      <w:tr w:rsidR="00561B22" w:rsidRPr="007F0C28" w14:paraId="0D5B8FAD" w14:textId="77777777" w:rsidTr="00F1223B">
        <w:tc>
          <w:tcPr>
            <w:tcW w:w="846" w:type="dxa"/>
          </w:tcPr>
          <w:p w14:paraId="55B89E36"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3</w:t>
            </w:r>
          </w:p>
        </w:tc>
        <w:tc>
          <w:tcPr>
            <w:tcW w:w="9116" w:type="dxa"/>
          </w:tcPr>
          <w:p w14:paraId="269A6D30"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No se encuentran documentados los indicadores que se remiten a presidencia por parte de Gestión Financiera.</w:t>
            </w:r>
          </w:p>
        </w:tc>
      </w:tr>
      <w:tr w:rsidR="00561B22" w:rsidRPr="007F0C28" w14:paraId="1CD6A344" w14:textId="77777777" w:rsidTr="00F1223B">
        <w:tc>
          <w:tcPr>
            <w:tcW w:w="846" w:type="dxa"/>
          </w:tcPr>
          <w:p w14:paraId="0CA38D08"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4</w:t>
            </w:r>
          </w:p>
        </w:tc>
        <w:tc>
          <w:tcPr>
            <w:tcW w:w="9116" w:type="dxa"/>
          </w:tcPr>
          <w:p w14:paraId="796633AF"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Ausencia de procedimiento o instructivo de los casos en que aplica el deterioro.</w:t>
            </w:r>
          </w:p>
          <w:p w14:paraId="60D9C139" w14:textId="77777777" w:rsidR="00561B22" w:rsidRPr="007F0C28" w:rsidRDefault="00561B22" w:rsidP="00F1223B">
            <w:pPr>
              <w:jc w:val="both"/>
              <w:rPr>
                <w:rFonts w:ascii="Arial" w:hAnsi="Arial" w:cs="Arial"/>
                <w:bCs/>
                <w:sz w:val="22"/>
                <w:szCs w:val="22"/>
                <w:lang w:val="es-MX"/>
              </w:rPr>
            </w:pPr>
          </w:p>
        </w:tc>
      </w:tr>
    </w:tbl>
    <w:p w14:paraId="71422F55" w14:textId="77777777" w:rsidR="00561B22" w:rsidRPr="007F0C28" w:rsidRDefault="00561B22" w:rsidP="00561B22">
      <w:pPr>
        <w:pStyle w:val="Textoindependiente"/>
        <w:ind w:right="-50"/>
        <w:jc w:val="both"/>
        <w:rPr>
          <w:rFonts w:ascii="Arial" w:hAnsi="Arial" w:cs="Arial"/>
          <w:b/>
          <w:bCs/>
        </w:rPr>
      </w:pPr>
    </w:p>
    <w:p w14:paraId="131EC299" w14:textId="77777777" w:rsidR="00561B22" w:rsidRPr="007F0C28" w:rsidRDefault="00561B22" w:rsidP="00561B22">
      <w:pPr>
        <w:jc w:val="both"/>
        <w:rPr>
          <w:rFonts w:ascii="Arial" w:hAnsi="Arial" w:cs="Arial"/>
          <w:b/>
          <w:lang w:val="es-MX"/>
        </w:rPr>
      </w:pPr>
      <w:r w:rsidRPr="007F0C28">
        <w:rPr>
          <w:rFonts w:ascii="Arial" w:hAnsi="Arial" w:cs="Arial"/>
          <w:b/>
          <w:lang w:val="es-MX"/>
        </w:rPr>
        <w:t>Del citado informe retomamos las siguientes recomendaciones:</w:t>
      </w:r>
    </w:p>
    <w:p w14:paraId="1E1C1EA8" w14:textId="77777777" w:rsidR="00561B22" w:rsidRPr="007F0C2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7F0C28" w14:paraId="13B1D0A9" w14:textId="77777777" w:rsidTr="00F1223B">
        <w:tc>
          <w:tcPr>
            <w:tcW w:w="846" w:type="dxa"/>
          </w:tcPr>
          <w:p w14:paraId="37D0D9EA" w14:textId="77777777" w:rsidR="00561B22" w:rsidRPr="007F0C28" w:rsidRDefault="00561B22" w:rsidP="00F1223B">
            <w:pPr>
              <w:ind w:right="-109"/>
              <w:jc w:val="center"/>
              <w:rPr>
                <w:rFonts w:ascii="Arial" w:hAnsi="Arial" w:cs="Arial"/>
                <w:b/>
                <w:sz w:val="22"/>
                <w:szCs w:val="22"/>
                <w:lang w:val="es-MX"/>
              </w:rPr>
            </w:pPr>
            <w:r w:rsidRPr="007F0C28">
              <w:rPr>
                <w:rFonts w:ascii="Arial" w:hAnsi="Arial" w:cs="Arial"/>
                <w:b/>
                <w:sz w:val="22"/>
                <w:szCs w:val="22"/>
                <w:lang w:val="es-MX"/>
              </w:rPr>
              <w:t>N°</w:t>
            </w:r>
          </w:p>
        </w:tc>
        <w:tc>
          <w:tcPr>
            <w:tcW w:w="9116" w:type="dxa"/>
          </w:tcPr>
          <w:p w14:paraId="6244B967"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RECOMENDACIONES</w:t>
            </w:r>
          </w:p>
          <w:p w14:paraId="018984A1" w14:textId="77777777" w:rsidR="00561B22" w:rsidRPr="007F0C28" w:rsidRDefault="00561B22" w:rsidP="00F1223B">
            <w:pPr>
              <w:jc w:val="center"/>
              <w:rPr>
                <w:rFonts w:ascii="Arial" w:hAnsi="Arial" w:cs="Arial"/>
                <w:b/>
                <w:sz w:val="22"/>
                <w:szCs w:val="22"/>
                <w:lang w:val="es-MX"/>
              </w:rPr>
            </w:pPr>
          </w:p>
        </w:tc>
      </w:tr>
      <w:tr w:rsidR="00561B22" w:rsidRPr="007F0C28" w14:paraId="01C1AF19" w14:textId="77777777" w:rsidTr="00F1223B">
        <w:tc>
          <w:tcPr>
            <w:tcW w:w="846" w:type="dxa"/>
          </w:tcPr>
          <w:p w14:paraId="279E9167"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1</w:t>
            </w:r>
          </w:p>
        </w:tc>
        <w:tc>
          <w:tcPr>
            <w:tcW w:w="9116" w:type="dxa"/>
          </w:tcPr>
          <w:p w14:paraId="093CEFA1"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Verificar con el SIG, el registro de los indicadores presentados a la presidencia mensualmente.</w:t>
            </w:r>
          </w:p>
        </w:tc>
      </w:tr>
      <w:tr w:rsidR="00561B22" w:rsidRPr="007F0C28" w14:paraId="00D38B8B" w14:textId="77777777" w:rsidTr="00F1223B">
        <w:tc>
          <w:tcPr>
            <w:tcW w:w="846" w:type="dxa"/>
          </w:tcPr>
          <w:p w14:paraId="7E67055E"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2</w:t>
            </w:r>
          </w:p>
        </w:tc>
        <w:tc>
          <w:tcPr>
            <w:tcW w:w="9116" w:type="dxa"/>
          </w:tcPr>
          <w:p w14:paraId="5145E0F2"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Involucrar a todos los actores del proceso de gestión contable y sensibilizar sobre su responsabilidad de la información que producen.</w:t>
            </w:r>
          </w:p>
        </w:tc>
      </w:tr>
      <w:tr w:rsidR="00561B22" w:rsidRPr="007F0C28" w14:paraId="257A2925" w14:textId="77777777" w:rsidTr="00F1223B">
        <w:tc>
          <w:tcPr>
            <w:tcW w:w="846" w:type="dxa"/>
          </w:tcPr>
          <w:p w14:paraId="4E9D0EFD"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3</w:t>
            </w:r>
          </w:p>
        </w:tc>
        <w:tc>
          <w:tcPr>
            <w:tcW w:w="9116" w:type="dxa"/>
          </w:tcPr>
          <w:p w14:paraId="7A54E24A"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Desde los grupos de convocatoria gestionar conciliaciones de los actos administrativos que generan recaudo y cobro y del control de remitir la información a cartera oportunamente</w:t>
            </w:r>
          </w:p>
        </w:tc>
      </w:tr>
      <w:tr w:rsidR="00561B22" w:rsidRPr="007F0C28" w14:paraId="15B8956E" w14:textId="77777777" w:rsidTr="00F1223B">
        <w:tc>
          <w:tcPr>
            <w:tcW w:w="846" w:type="dxa"/>
          </w:tcPr>
          <w:p w14:paraId="5A893872" w14:textId="77777777" w:rsidR="00561B22" w:rsidRPr="007F0C28" w:rsidRDefault="00561B22" w:rsidP="00F1223B">
            <w:pPr>
              <w:jc w:val="center"/>
              <w:rPr>
                <w:rFonts w:ascii="Arial" w:hAnsi="Arial" w:cs="Arial"/>
                <w:b/>
                <w:sz w:val="22"/>
                <w:szCs w:val="22"/>
                <w:lang w:val="es-MX"/>
              </w:rPr>
            </w:pPr>
            <w:r w:rsidRPr="007F0C28">
              <w:rPr>
                <w:rFonts w:ascii="Arial" w:hAnsi="Arial" w:cs="Arial"/>
                <w:b/>
                <w:sz w:val="22"/>
                <w:szCs w:val="22"/>
                <w:lang w:val="es-MX"/>
              </w:rPr>
              <w:t>4</w:t>
            </w:r>
          </w:p>
        </w:tc>
        <w:tc>
          <w:tcPr>
            <w:tcW w:w="9116" w:type="dxa"/>
          </w:tcPr>
          <w:p w14:paraId="5D475C9B"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Verificar que los hallazgos y observaciones derivadas de auditorías internas y externas, correspondan a riesgos materializados y que se encuentren identificados en la matriz de riesgos de gestión de la CNSC</w:t>
            </w:r>
          </w:p>
        </w:tc>
      </w:tr>
      <w:tr w:rsidR="00561B22" w:rsidRPr="007F0C28" w14:paraId="76E065ED" w14:textId="77777777" w:rsidTr="00F1223B">
        <w:tc>
          <w:tcPr>
            <w:tcW w:w="846" w:type="dxa"/>
          </w:tcPr>
          <w:p w14:paraId="65495EBF" w14:textId="77777777" w:rsidR="00561B22" w:rsidRPr="007F0C28" w:rsidRDefault="00561B22" w:rsidP="00F1223B">
            <w:pPr>
              <w:jc w:val="center"/>
              <w:rPr>
                <w:rFonts w:ascii="Arial" w:hAnsi="Arial" w:cs="Arial"/>
                <w:b/>
                <w:sz w:val="22"/>
                <w:szCs w:val="22"/>
                <w:lang w:val="es-MX"/>
              </w:rPr>
            </w:pPr>
          </w:p>
        </w:tc>
        <w:tc>
          <w:tcPr>
            <w:tcW w:w="9116" w:type="dxa"/>
          </w:tcPr>
          <w:p w14:paraId="4AC4B1A8" w14:textId="77777777" w:rsidR="00561B22" w:rsidRPr="007F0C28" w:rsidRDefault="00561B22" w:rsidP="00F1223B">
            <w:pPr>
              <w:jc w:val="both"/>
              <w:rPr>
                <w:rFonts w:ascii="Arial" w:hAnsi="Arial" w:cs="Arial"/>
                <w:bCs/>
                <w:sz w:val="22"/>
                <w:szCs w:val="22"/>
                <w:lang w:val="es-MX"/>
              </w:rPr>
            </w:pPr>
            <w:r w:rsidRPr="007F0C28">
              <w:rPr>
                <w:rFonts w:ascii="Arial" w:hAnsi="Arial" w:cs="Arial"/>
                <w:bCs/>
                <w:sz w:val="22"/>
                <w:szCs w:val="22"/>
                <w:lang w:val="es-MX"/>
              </w:rPr>
              <w:t>Analizar la pertinencia de la creación de un procedimiento o instructivo para el registro de los casos en que aplica el (Párrafo incompleto)</w:t>
            </w:r>
          </w:p>
        </w:tc>
      </w:tr>
    </w:tbl>
    <w:p w14:paraId="19B32485" w14:textId="77777777" w:rsidR="00561B22" w:rsidRPr="007F0C28" w:rsidRDefault="00561B22" w:rsidP="00561B22">
      <w:pPr>
        <w:pStyle w:val="Textoindependiente"/>
        <w:ind w:right="-50"/>
        <w:jc w:val="both"/>
        <w:rPr>
          <w:rFonts w:ascii="Arial" w:hAnsi="Arial" w:cs="Arial"/>
          <w:b/>
          <w:bCs/>
          <w:lang w:val="es-MX"/>
        </w:rPr>
      </w:pPr>
    </w:p>
    <w:p w14:paraId="088CB9B1" w14:textId="77777777" w:rsidR="00561B22" w:rsidRPr="00E766E7" w:rsidRDefault="00561B22" w:rsidP="00561B22">
      <w:pPr>
        <w:jc w:val="both"/>
        <w:rPr>
          <w:rFonts w:ascii="Arial" w:hAnsi="Arial" w:cs="Arial"/>
          <w:b/>
          <w:bCs/>
          <w:sz w:val="24"/>
          <w:szCs w:val="24"/>
          <w:lang w:val="es-CO"/>
        </w:rPr>
      </w:pPr>
      <w:r w:rsidRPr="00E766E7">
        <w:rPr>
          <w:rFonts w:ascii="Arial" w:hAnsi="Arial" w:cs="Arial"/>
          <w:b/>
          <w:bCs/>
          <w:sz w:val="24"/>
          <w:szCs w:val="24"/>
          <w:lang w:val="es-CO"/>
        </w:rPr>
        <w:t xml:space="preserve">NOTA: LA ENTIDAD ENVIA LA MATRIZ DE AUTOEVALUACIÓN DEL SISTEMA DE CONTROL INTERNO CONTABLE CON </w:t>
      </w:r>
      <w:r w:rsidRPr="00E766E7">
        <w:rPr>
          <w:rFonts w:ascii="Arial" w:hAnsi="Arial" w:cs="Arial"/>
          <w:b/>
          <w:bCs/>
          <w:sz w:val="24"/>
          <w:szCs w:val="24"/>
          <w:u w:val="single"/>
          <w:lang w:val="es-CO"/>
        </w:rPr>
        <w:t>ACTIVIDADES DE CONTROL REALIZADAS EN FORMA PARCIAL</w:t>
      </w:r>
      <w:r w:rsidRPr="00E766E7">
        <w:rPr>
          <w:rFonts w:ascii="Arial" w:hAnsi="Arial" w:cs="Arial"/>
          <w:b/>
          <w:bCs/>
          <w:sz w:val="24"/>
          <w:szCs w:val="24"/>
          <w:lang w:val="es-CO"/>
        </w:rPr>
        <w:t>.</w:t>
      </w:r>
    </w:p>
    <w:p w14:paraId="19BC77B2" w14:textId="77777777" w:rsidR="00561B22" w:rsidRPr="00E766E7" w:rsidRDefault="00561B22" w:rsidP="00561B22">
      <w:pPr>
        <w:ind w:right="1900"/>
        <w:rPr>
          <w:rFonts w:ascii="Arial" w:hAnsi="Arial" w:cs="Arial"/>
          <w:b/>
          <w:bCs/>
          <w:color w:val="FF0000"/>
          <w:sz w:val="24"/>
        </w:rPr>
      </w:pPr>
    </w:p>
    <w:p w14:paraId="6E48AA93" w14:textId="77777777" w:rsidR="00561B22" w:rsidRPr="00E104FC" w:rsidRDefault="00561B22" w:rsidP="00561B22">
      <w:pPr>
        <w:jc w:val="both"/>
        <w:rPr>
          <w:rFonts w:ascii="Arial" w:hAnsi="Arial" w:cs="Arial"/>
          <w:b/>
          <w:sz w:val="28"/>
          <w:szCs w:val="28"/>
          <w:lang w:val="es-MX"/>
        </w:rPr>
      </w:pPr>
      <w:r w:rsidRPr="00E104FC">
        <w:rPr>
          <w:rFonts w:ascii="Arial" w:hAnsi="Arial" w:cs="Arial"/>
          <w:b/>
          <w:sz w:val="28"/>
          <w:szCs w:val="28"/>
          <w:lang w:val="es-MX"/>
        </w:rPr>
        <w:t>26.- AGENCIA NACIONAL INMOBILIARIA VIRGILIO BARCO.</w:t>
      </w:r>
    </w:p>
    <w:p w14:paraId="37E5259E" w14:textId="77777777" w:rsidR="00561B22" w:rsidRPr="00E850CF" w:rsidRDefault="00561B22" w:rsidP="00561B22">
      <w:pPr>
        <w:pStyle w:val="Textoindependiente"/>
        <w:ind w:right="-50"/>
        <w:jc w:val="center"/>
        <w:rPr>
          <w:rFonts w:ascii="Arial" w:hAnsi="Arial" w:cs="Arial"/>
          <w:b/>
          <w:bCs/>
        </w:rPr>
      </w:pPr>
      <w:r w:rsidRPr="00E850CF">
        <w:rPr>
          <w:rFonts w:ascii="Arial" w:hAnsi="Arial" w:cs="Arial"/>
          <w:b/>
          <w:bCs/>
        </w:rPr>
        <w:t>INFORME DE LA AUTOCALIFICACIÓN DEL SISTEMA DE CONTROL INTERNO CONTABLE:</w:t>
      </w:r>
    </w:p>
    <w:p w14:paraId="6CE0ED25" w14:textId="77777777" w:rsidR="00561B22" w:rsidRPr="00E850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850CF" w14:paraId="46B01E86" w14:textId="77777777" w:rsidTr="00F1223B">
        <w:tc>
          <w:tcPr>
            <w:tcW w:w="4981" w:type="dxa"/>
          </w:tcPr>
          <w:p w14:paraId="0BF6A0FA"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AUTOCALIFICACIÓN</w:t>
            </w:r>
          </w:p>
        </w:tc>
        <w:tc>
          <w:tcPr>
            <w:tcW w:w="4981" w:type="dxa"/>
          </w:tcPr>
          <w:p w14:paraId="0F8A461A" w14:textId="77777777" w:rsidR="00561B22" w:rsidRPr="00E850CF" w:rsidRDefault="00561B22" w:rsidP="00F1223B">
            <w:pPr>
              <w:jc w:val="center"/>
              <w:rPr>
                <w:rFonts w:ascii="Arial" w:hAnsi="Arial" w:cs="Arial"/>
                <w:b/>
                <w:sz w:val="22"/>
                <w:szCs w:val="22"/>
                <w:u w:val="single"/>
                <w:lang w:val="es-MX"/>
              </w:rPr>
            </w:pPr>
            <w:r w:rsidRPr="00E850CF">
              <w:rPr>
                <w:rFonts w:ascii="Arial" w:hAnsi="Arial" w:cs="Arial"/>
                <w:b/>
                <w:sz w:val="22"/>
                <w:szCs w:val="22"/>
                <w:u w:val="single"/>
                <w:lang w:val="es-MX"/>
              </w:rPr>
              <w:t>4.00</w:t>
            </w:r>
          </w:p>
        </w:tc>
      </w:tr>
    </w:tbl>
    <w:p w14:paraId="6D8FD4AB" w14:textId="77777777" w:rsidR="00561B22" w:rsidRPr="00E850CF" w:rsidRDefault="00561B22" w:rsidP="00561B22">
      <w:pPr>
        <w:pStyle w:val="Textoindependiente"/>
        <w:ind w:right="-50"/>
        <w:jc w:val="both"/>
        <w:rPr>
          <w:rFonts w:ascii="Arial" w:hAnsi="Arial" w:cs="Arial"/>
          <w:b/>
          <w:bCs/>
        </w:rPr>
      </w:pPr>
    </w:p>
    <w:p w14:paraId="41DE83BB" w14:textId="77777777" w:rsidR="00561B22" w:rsidRPr="00E850CF" w:rsidRDefault="00561B22" w:rsidP="00561B22">
      <w:pPr>
        <w:pStyle w:val="Textoindependiente"/>
        <w:ind w:right="-50"/>
        <w:jc w:val="both"/>
        <w:rPr>
          <w:rFonts w:ascii="Arial" w:hAnsi="Arial" w:cs="Arial"/>
          <w:b/>
          <w:bCs/>
        </w:rPr>
      </w:pPr>
      <w:r w:rsidRPr="00E850CF">
        <w:rPr>
          <w:rFonts w:ascii="Arial" w:hAnsi="Arial" w:cs="Arial"/>
          <w:b/>
          <w:bCs/>
        </w:rPr>
        <w:t>Del informe enviado retomamos lo siguiente:</w:t>
      </w:r>
    </w:p>
    <w:p w14:paraId="10706E16" w14:textId="77777777" w:rsidR="00561B22" w:rsidRPr="00E850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E850CF" w14:paraId="16CD598C" w14:textId="77777777" w:rsidTr="00F1223B">
        <w:tc>
          <w:tcPr>
            <w:tcW w:w="846" w:type="dxa"/>
          </w:tcPr>
          <w:p w14:paraId="443BEA9A" w14:textId="77777777" w:rsidR="00561B22" w:rsidRPr="00E850CF" w:rsidRDefault="00561B22" w:rsidP="00F1223B">
            <w:pPr>
              <w:ind w:right="-109"/>
              <w:jc w:val="center"/>
              <w:rPr>
                <w:rFonts w:ascii="Arial" w:hAnsi="Arial" w:cs="Arial"/>
                <w:b/>
                <w:sz w:val="22"/>
                <w:szCs w:val="22"/>
                <w:lang w:val="es-MX"/>
              </w:rPr>
            </w:pPr>
            <w:r w:rsidRPr="00E850CF">
              <w:rPr>
                <w:rFonts w:ascii="Arial" w:hAnsi="Arial" w:cs="Arial"/>
                <w:b/>
                <w:sz w:val="22"/>
                <w:szCs w:val="22"/>
                <w:lang w:val="es-MX"/>
              </w:rPr>
              <w:t>N°</w:t>
            </w:r>
          </w:p>
        </w:tc>
        <w:tc>
          <w:tcPr>
            <w:tcW w:w="9116" w:type="dxa"/>
          </w:tcPr>
          <w:p w14:paraId="49A40104"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DEBILIDADES</w:t>
            </w:r>
          </w:p>
          <w:p w14:paraId="33C7E5F3" w14:textId="77777777" w:rsidR="00561B22" w:rsidRPr="00E850CF" w:rsidRDefault="00561B22" w:rsidP="00F1223B">
            <w:pPr>
              <w:jc w:val="center"/>
              <w:rPr>
                <w:rFonts w:ascii="Arial" w:hAnsi="Arial" w:cs="Arial"/>
                <w:b/>
                <w:sz w:val="22"/>
                <w:szCs w:val="22"/>
                <w:lang w:val="es-MX"/>
              </w:rPr>
            </w:pPr>
          </w:p>
        </w:tc>
      </w:tr>
      <w:tr w:rsidR="00561B22" w:rsidRPr="00E850CF" w14:paraId="7DB6AA91" w14:textId="77777777" w:rsidTr="00F1223B">
        <w:tc>
          <w:tcPr>
            <w:tcW w:w="846" w:type="dxa"/>
          </w:tcPr>
          <w:p w14:paraId="5EF10129"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1</w:t>
            </w:r>
          </w:p>
        </w:tc>
        <w:tc>
          <w:tcPr>
            <w:tcW w:w="9116" w:type="dxa"/>
          </w:tcPr>
          <w:p w14:paraId="5EC66FAA" w14:textId="77777777" w:rsidR="00561B22" w:rsidRPr="00E850CF" w:rsidRDefault="00561B22" w:rsidP="00F1223B">
            <w:pPr>
              <w:jc w:val="both"/>
              <w:rPr>
                <w:rFonts w:ascii="Arial" w:hAnsi="Arial" w:cs="Arial"/>
                <w:b/>
                <w:sz w:val="22"/>
                <w:szCs w:val="22"/>
                <w:lang w:val="es-MX"/>
              </w:rPr>
            </w:pPr>
            <w:r w:rsidRPr="00E850CF">
              <w:rPr>
                <w:rFonts w:ascii="Arial" w:eastAsiaTheme="minorHAnsi" w:hAnsi="Arial" w:cs="Arial"/>
                <w:color w:val="000000"/>
                <w:sz w:val="22"/>
                <w:szCs w:val="22"/>
                <w:lang w:val="es-CO"/>
              </w:rPr>
              <w:t xml:space="preserve">La implementación de las políticas y procedimientos asociados con el manejo de los </w:t>
            </w:r>
            <w:r w:rsidRPr="00E850CF">
              <w:rPr>
                <w:rFonts w:ascii="Arial" w:eastAsiaTheme="minorHAnsi" w:hAnsi="Arial" w:cs="Arial"/>
                <w:color w:val="000000"/>
                <w:sz w:val="22"/>
                <w:szCs w:val="22"/>
                <w:lang w:val="es-CO"/>
              </w:rPr>
              <w:lastRenderedPageBreak/>
              <w:t>inventarios y el registro de la información contable de las cuentas de Propiedad Planta y Equipo, Amortización, Depreciación y Deterioro.</w:t>
            </w:r>
          </w:p>
        </w:tc>
      </w:tr>
    </w:tbl>
    <w:p w14:paraId="63BA6666" w14:textId="77777777" w:rsidR="00561B22" w:rsidRPr="00E850CF" w:rsidRDefault="00561B22" w:rsidP="00561B22">
      <w:pPr>
        <w:pStyle w:val="Textoindependiente"/>
        <w:ind w:right="-50"/>
        <w:jc w:val="both"/>
        <w:rPr>
          <w:rFonts w:ascii="Arial" w:hAnsi="Arial" w:cs="Arial"/>
          <w:b/>
          <w:bCs/>
        </w:rPr>
      </w:pPr>
    </w:p>
    <w:p w14:paraId="00F73C49" w14:textId="77777777" w:rsidR="00561B22" w:rsidRPr="00E850CF" w:rsidRDefault="00561B22" w:rsidP="00561B22">
      <w:pPr>
        <w:jc w:val="both"/>
        <w:rPr>
          <w:rFonts w:ascii="Arial" w:hAnsi="Arial" w:cs="Arial"/>
          <w:b/>
          <w:lang w:val="es-MX"/>
        </w:rPr>
      </w:pPr>
      <w:r w:rsidRPr="00E850CF">
        <w:rPr>
          <w:rFonts w:ascii="Arial" w:hAnsi="Arial" w:cs="Arial"/>
          <w:b/>
          <w:lang w:val="es-MX"/>
        </w:rPr>
        <w:t>Del citado informe retomamos las siguientes recomendaciones:</w:t>
      </w:r>
    </w:p>
    <w:p w14:paraId="27D07F35" w14:textId="77777777" w:rsidR="00561B22" w:rsidRPr="00E850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E850CF" w14:paraId="46B29D1E" w14:textId="77777777" w:rsidTr="00F1223B">
        <w:tc>
          <w:tcPr>
            <w:tcW w:w="846" w:type="dxa"/>
          </w:tcPr>
          <w:p w14:paraId="04ACE10F" w14:textId="77777777" w:rsidR="00561B22" w:rsidRPr="00E850CF" w:rsidRDefault="00561B22" w:rsidP="00F1223B">
            <w:pPr>
              <w:ind w:right="-109"/>
              <w:jc w:val="center"/>
              <w:rPr>
                <w:rFonts w:ascii="Arial" w:hAnsi="Arial" w:cs="Arial"/>
                <w:b/>
                <w:sz w:val="22"/>
                <w:szCs w:val="22"/>
                <w:lang w:val="es-MX"/>
              </w:rPr>
            </w:pPr>
            <w:r w:rsidRPr="00E850CF">
              <w:rPr>
                <w:rFonts w:ascii="Arial" w:hAnsi="Arial" w:cs="Arial"/>
                <w:b/>
                <w:sz w:val="22"/>
                <w:szCs w:val="22"/>
                <w:lang w:val="es-MX"/>
              </w:rPr>
              <w:t>N°</w:t>
            </w:r>
          </w:p>
        </w:tc>
        <w:tc>
          <w:tcPr>
            <w:tcW w:w="9116" w:type="dxa"/>
          </w:tcPr>
          <w:p w14:paraId="7742C264"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RECOMENDACIONES</w:t>
            </w:r>
          </w:p>
          <w:p w14:paraId="572878E4" w14:textId="77777777" w:rsidR="00561B22" w:rsidRPr="00E850CF" w:rsidRDefault="00561B22" w:rsidP="00F1223B">
            <w:pPr>
              <w:jc w:val="center"/>
              <w:rPr>
                <w:rFonts w:ascii="Arial" w:hAnsi="Arial" w:cs="Arial"/>
                <w:b/>
                <w:sz w:val="22"/>
                <w:szCs w:val="22"/>
                <w:lang w:val="es-MX"/>
              </w:rPr>
            </w:pPr>
          </w:p>
        </w:tc>
      </w:tr>
      <w:tr w:rsidR="00561B22" w:rsidRPr="00E850CF" w14:paraId="7ACAC427" w14:textId="77777777" w:rsidTr="00F1223B">
        <w:trPr>
          <w:trHeight w:val="368"/>
        </w:trPr>
        <w:tc>
          <w:tcPr>
            <w:tcW w:w="846" w:type="dxa"/>
          </w:tcPr>
          <w:p w14:paraId="4D425D04"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1</w:t>
            </w:r>
          </w:p>
        </w:tc>
        <w:tc>
          <w:tcPr>
            <w:tcW w:w="9116" w:type="dxa"/>
          </w:tcPr>
          <w:p w14:paraId="05F7497C" w14:textId="77777777" w:rsidR="00561B22" w:rsidRPr="00E850CF" w:rsidRDefault="00561B22" w:rsidP="00F1223B">
            <w:pPr>
              <w:widowControl/>
              <w:adjustRightInd w:val="0"/>
              <w:jc w:val="both"/>
              <w:rPr>
                <w:rFonts w:ascii="Arial" w:hAnsi="Arial" w:cs="Arial"/>
                <w:b/>
                <w:sz w:val="22"/>
                <w:szCs w:val="22"/>
                <w:lang w:val="es-MX"/>
              </w:rPr>
            </w:pPr>
            <w:r w:rsidRPr="00E850CF">
              <w:rPr>
                <w:rFonts w:ascii="Arial" w:eastAsiaTheme="minorHAnsi" w:hAnsi="Arial" w:cs="Arial"/>
                <w:color w:val="000000"/>
                <w:sz w:val="22"/>
                <w:szCs w:val="22"/>
                <w:lang w:val="es-CO"/>
              </w:rPr>
              <w:t>Garantizar la socialización a las áreas involucradas con el proceso financiero de la actualización documental, políticas y lineamientos generados para garantizar el registro oportuno de los hechos económicos de la entidad.</w:t>
            </w:r>
          </w:p>
        </w:tc>
      </w:tr>
      <w:tr w:rsidR="00561B22" w:rsidRPr="00E850CF" w14:paraId="3DE5A5BE" w14:textId="77777777" w:rsidTr="00F1223B">
        <w:tc>
          <w:tcPr>
            <w:tcW w:w="846" w:type="dxa"/>
          </w:tcPr>
          <w:p w14:paraId="4FD40F84"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2</w:t>
            </w:r>
          </w:p>
        </w:tc>
        <w:tc>
          <w:tcPr>
            <w:tcW w:w="9116" w:type="dxa"/>
          </w:tcPr>
          <w:p w14:paraId="156424D4" w14:textId="77777777" w:rsidR="00561B22" w:rsidRPr="00E850CF" w:rsidRDefault="00561B22" w:rsidP="00F1223B">
            <w:pPr>
              <w:rPr>
                <w:rFonts w:ascii="Arial" w:hAnsi="Arial" w:cs="Arial"/>
                <w:bCs/>
                <w:sz w:val="22"/>
                <w:szCs w:val="22"/>
                <w:lang w:val="es-MX"/>
              </w:rPr>
            </w:pPr>
            <w:r w:rsidRPr="00E850CF">
              <w:rPr>
                <w:rFonts w:ascii="Arial" w:hAnsi="Arial" w:cs="Arial"/>
                <w:bCs/>
                <w:sz w:val="22"/>
                <w:szCs w:val="22"/>
                <w:lang w:val="es-MX"/>
              </w:rPr>
              <w:t>Avanzar en la identificación de los riesgos contables, la formulación de las acciones de control y el monitoreo respectivo.</w:t>
            </w:r>
          </w:p>
        </w:tc>
      </w:tr>
      <w:tr w:rsidR="00561B22" w:rsidRPr="00E850CF" w14:paraId="6CBAFE64" w14:textId="77777777" w:rsidTr="00F1223B">
        <w:tc>
          <w:tcPr>
            <w:tcW w:w="846" w:type="dxa"/>
          </w:tcPr>
          <w:p w14:paraId="2E1443DD"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3</w:t>
            </w:r>
          </w:p>
        </w:tc>
        <w:tc>
          <w:tcPr>
            <w:tcW w:w="9116" w:type="dxa"/>
          </w:tcPr>
          <w:p w14:paraId="5A7C46F5" w14:textId="77777777" w:rsidR="00561B22" w:rsidRPr="00E850CF" w:rsidRDefault="00561B22" w:rsidP="00F1223B">
            <w:pPr>
              <w:jc w:val="both"/>
              <w:rPr>
                <w:rFonts w:ascii="Arial" w:hAnsi="Arial" w:cs="Arial"/>
                <w:bCs/>
                <w:sz w:val="22"/>
                <w:szCs w:val="22"/>
                <w:lang w:val="es-MX"/>
              </w:rPr>
            </w:pPr>
            <w:r w:rsidRPr="00E850CF">
              <w:rPr>
                <w:rFonts w:ascii="Arial" w:hAnsi="Arial" w:cs="Arial"/>
                <w:bCs/>
                <w:sz w:val="22"/>
                <w:szCs w:val="22"/>
                <w:lang w:val="es-MX"/>
              </w:rPr>
              <w:t>Disponer de los recursos necesarios para el control y depuración de la cuenta de Inventarios.</w:t>
            </w:r>
          </w:p>
        </w:tc>
      </w:tr>
      <w:tr w:rsidR="00561B22" w:rsidRPr="00E850CF" w14:paraId="252B149B" w14:textId="77777777" w:rsidTr="00F1223B">
        <w:tc>
          <w:tcPr>
            <w:tcW w:w="846" w:type="dxa"/>
          </w:tcPr>
          <w:p w14:paraId="5CBE36EA" w14:textId="77777777" w:rsidR="00561B22" w:rsidRPr="00E850CF" w:rsidRDefault="00561B22" w:rsidP="00F1223B">
            <w:pPr>
              <w:jc w:val="center"/>
              <w:rPr>
                <w:rFonts w:ascii="Arial" w:hAnsi="Arial" w:cs="Arial"/>
                <w:b/>
                <w:sz w:val="22"/>
                <w:szCs w:val="22"/>
                <w:lang w:val="es-MX"/>
              </w:rPr>
            </w:pPr>
            <w:r w:rsidRPr="00E850CF">
              <w:rPr>
                <w:rFonts w:ascii="Arial" w:hAnsi="Arial" w:cs="Arial"/>
                <w:b/>
                <w:sz w:val="22"/>
                <w:szCs w:val="22"/>
                <w:lang w:val="es-MX"/>
              </w:rPr>
              <w:t>4</w:t>
            </w:r>
          </w:p>
        </w:tc>
        <w:tc>
          <w:tcPr>
            <w:tcW w:w="9116" w:type="dxa"/>
          </w:tcPr>
          <w:p w14:paraId="084DA121" w14:textId="77777777" w:rsidR="00561B22" w:rsidRPr="00E850CF" w:rsidRDefault="00561B22" w:rsidP="00F1223B">
            <w:pPr>
              <w:jc w:val="both"/>
              <w:rPr>
                <w:rFonts w:ascii="Arial" w:hAnsi="Arial" w:cs="Arial"/>
                <w:bCs/>
                <w:sz w:val="22"/>
                <w:szCs w:val="22"/>
                <w:lang w:val="es-MX"/>
              </w:rPr>
            </w:pPr>
            <w:r w:rsidRPr="00E850CF">
              <w:rPr>
                <w:rFonts w:ascii="Arial" w:hAnsi="Arial" w:cs="Arial"/>
                <w:bCs/>
                <w:sz w:val="22"/>
                <w:szCs w:val="22"/>
                <w:lang w:val="es-MX"/>
              </w:rPr>
              <w:t>Mantener el proceso de actualización y socialización documental de los instrumentos generados en el proceso de gestión financiera.</w:t>
            </w:r>
          </w:p>
        </w:tc>
      </w:tr>
    </w:tbl>
    <w:p w14:paraId="00C238D5" w14:textId="77777777" w:rsidR="00561B22" w:rsidRPr="00E850CF" w:rsidRDefault="00561B22" w:rsidP="00561B22">
      <w:pPr>
        <w:pStyle w:val="Textoindependiente"/>
        <w:ind w:right="-50"/>
        <w:jc w:val="both"/>
        <w:rPr>
          <w:rFonts w:ascii="Arial" w:hAnsi="Arial" w:cs="Arial"/>
          <w:b/>
          <w:bCs/>
        </w:rPr>
      </w:pPr>
    </w:p>
    <w:p w14:paraId="360AF189" w14:textId="77777777" w:rsidR="00561B22" w:rsidRPr="00E850CF" w:rsidRDefault="00561B22" w:rsidP="00561B22">
      <w:pPr>
        <w:jc w:val="both"/>
        <w:rPr>
          <w:rFonts w:ascii="Arial" w:hAnsi="Arial" w:cs="Arial"/>
          <w:b/>
          <w:bCs/>
          <w:sz w:val="24"/>
          <w:szCs w:val="24"/>
          <w:lang w:val="es-CO"/>
        </w:rPr>
      </w:pPr>
      <w:r w:rsidRPr="00E850CF">
        <w:rPr>
          <w:rFonts w:ascii="Arial" w:hAnsi="Arial" w:cs="Arial"/>
          <w:b/>
          <w:bCs/>
          <w:sz w:val="24"/>
          <w:szCs w:val="24"/>
          <w:lang w:val="es-CO"/>
        </w:rPr>
        <w:t xml:space="preserve">NOTA: LA ENTIDAD ENVIA LA MATRIZ DE AUTOEVALUACIÓN DEL SISTEMA DE CONTROL INTERNO CONTABLE CON ACTIVIDADES DE CONTROL REALIZADAS </w:t>
      </w:r>
      <w:r w:rsidRPr="00E850CF">
        <w:rPr>
          <w:rFonts w:ascii="Arial" w:hAnsi="Arial" w:cs="Arial"/>
          <w:b/>
          <w:bCs/>
          <w:sz w:val="24"/>
          <w:szCs w:val="24"/>
          <w:u w:val="single"/>
          <w:lang w:val="es-CO"/>
        </w:rPr>
        <w:t>EN FORMA PARCIAL Y OTRAS SIMPLEMENTE INFORMAN QUE NO SE REALIZARON</w:t>
      </w:r>
      <w:r w:rsidRPr="00E850CF">
        <w:rPr>
          <w:rFonts w:ascii="Arial" w:hAnsi="Arial" w:cs="Arial"/>
          <w:b/>
          <w:bCs/>
          <w:sz w:val="24"/>
          <w:szCs w:val="24"/>
          <w:lang w:val="es-CO"/>
        </w:rPr>
        <w:t>.</w:t>
      </w:r>
    </w:p>
    <w:p w14:paraId="5CE0EA6A" w14:textId="77777777" w:rsidR="00561B22" w:rsidRDefault="00561B22" w:rsidP="00561B22">
      <w:pPr>
        <w:ind w:left="142"/>
        <w:jc w:val="both"/>
        <w:rPr>
          <w:rFonts w:ascii="Arial" w:hAnsi="Arial" w:cs="Arial"/>
          <w:b/>
          <w:sz w:val="24"/>
          <w:szCs w:val="24"/>
          <w:lang w:val="es-CO"/>
        </w:rPr>
      </w:pPr>
    </w:p>
    <w:p w14:paraId="3B8DBB0D" w14:textId="77777777" w:rsidR="00561B22" w:rsidRPr="00C946EE" w:rsidRDefault="00561B22" w:rsidP="00561B22">
      <w:pPr>
        <w:ind w:left="142" w:hanging="142"/>
        <w:jc w:val="both"/>
        <w:rPr>
          <w:rFonts w:ascii="Arial" w:hAnsi="Arial" w:cs="Arial"/>
          <w:b/>
          <w:sz w:val="28"/>
          <w:szCs w:val="28"/>
          <w:lang w:val="es-MX"/>
        </w:rPr>
      </w:pPr>
      <w:r w:rsidRPr="00C946EE">
        <w:rPr>
          <w:rFonts w:ascii="Arial" w:hAnsi="Arial" w:cs="Arial"/>
          <w:b/>
          <w:sz w:val="28"/>
          <w:szCs w:val="28"/>
          <w:lang w:val="es-MX"/>
        </w:rPr>
        <w:t>27.- INSTITUTO NACIONAL DE METROLOGÍA DE COLOMBIA - INMC.</w:t>
      </w:r>
    </w:p>
    <w:p w14:paraId="474DB3B2" w14:textId="77777777" w:rsidR="00561B22" w:rsidRDefault="00561B22" w:rsidP="00561B22">
      <w:pPr>
        <w:jc w:val="both"/>
        <w:rPr>
          <w:rFonts w:ascii="Arial" w:hAnsi="Arial" w:cs="Arial"/>
          <w:sz w:val="28"/>
          <w:szCs w:val="28"/>
          <w:lang w:val="es-MX"/>
        </w:rPr>
      </w:pPr>
    </w:p>
    <w:p w14:paraId="0AF38291" w14:textId="77777777" w:rsidR="00561B22" w:rsidRPr="009940E7" w:rsidRDefault="00561B22" w:rsidP="00561B22">
      <w:pPr>
        <w:pStyle w:val="Textoindependiente"/>
        <w:ind w:right="-50"/>
        <w:jc w:val="center"/>
        <w:rPr>
          <w:rFonts w:ascii="Arial" w:hAnsi="Arial" w:cs="Arial"/>
          <w:b/>
          <w:bCs/>
        </w:rPr>
      </w:pPr>
      <w:r w:rsidRPr="009940E7">
        <w:rPr>
          <w:rFonts w:ascii="Arial" w:hAnsi="Arial" w:cs="Arial"/>
          <w:b/>
          <w:bCs/>
        </w:rPr>
        <w:t>INFORME DE LA AUTOCALIFICACIÓN DEL SISTEMA DE CONTROL INTERNO CONTABLE:</w:t>
      </w:r>
    </w:p>
    <w:p w14:paraId="3AE4B26B" w14:textId="77777777" w:rsidR="00561B22" w:rsidRPr="009940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940E7" w14:paraId="4FFEE84A" w14:textId="77777777" w:rsidTr="00F1223B">
        <w:tc>
          <w:tcPr>
            <w:tcW w:w="4981" w:type="dxa"/>
          </w:tcPr>
          <w:p w14:paraId="729D801F"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AUTOCALIFICACIÓN</w:t>
            </w:r>
          </w:p>
        </w:tc>
        <w:tc>
          <w:tcPr>
            <w:tcW w:w="4981" w:type="dxa"/>
          </w:tcPr>
          <w:p w14:paraId="1F490985" w14:textId="77777777" w:rsidR="00561B22" w:rsidRPr="009940E7" w:rsidRDefault="00561B22" w:rsidP="00F1223B">
            <w:pPr>
              <w:jc w:val="center"/>
              <w:rPr>
                <w:rFonts w:ascii="Arial" w:hAnsi="Arial" w:cs="Arial"/>
                <w:b/>
                <w:sz w:val="22"/>
                <w:szCs w:val="22"/>
                <w:u w:val="single"/>
                <w:lang w:val="es-MX"/>
              </w:rPr>
            </w:pPr>
            <w:r w:rsidRPr="009940E7">
              <w:rPr>
                <w:rFonts w:ascii="Arial" w:hAnsi="Arial" w:cs="Arial"/>
                <w:b/>
                <w:sz w:val="22"/>
                <w:szCs w:val="22"/>
                <w:u w:val="single"/>
                <w:lang w:val="es-MX"/>
              </w:rPr>
              <w:t>4.37</w:t>
            </w:r>
          </w:p>
        </w:tc>
      </w:tr>
    </w:tbl>
    <w:p w14:paraId="012248D6" w14:textId="77777777" w:rsidR="00561B22" w:rsidRPr="009940E7" w:rsidRDefault="00561B22" w:rsidP="00561B22">
      <w:pPr>
        <w:pStyle w:val="Textoindependiente"/>
        <w:ind w:right="-50"/>
        <w:jc w:val="both"/>
        <w:rPr>
          <w:rFonts w:ascii="Arial" w:hAnsi="Arial" w:cs="Arial"/>
          <w:b/>
          <w:bCs/>
        </w:rPr>
      </w:pPr>
    </w:p>
    <w:p w14:paraId="1B50E714" w14:textId="77777777" w:rsidR="00561B22" w:rsidRPr="009940E7" w:rsidRDefault="00561B22" w:rsidP="00561B22">
      <w:pPr>
        <w:pStyle w:val="Textoindependiente"/>
        <w:ind w:right="-50"/>
        <w:jc w:val="both"/>
        <w:rPr>
          <w:rFonts w:ascii="Arial" w:hAnsi="Arial" w:cs="Arial"/>
          <w:b/>
          <w:bCs/>
        </w:rPr>
      </w:pPr>
      <w:r w:rsidRPr="009940E7">
        <w:rPr>
          <w:rFonts w:ascii="Arial" w:hAnsi="Arial" w:cs="Arial"/>
          <w:b/>
          <w:bCs/>
        </w:rPr>
        <w:t>Del informe enviado retomamos lo siguiente:</w:t>
      </w:r>
    </w:p>
    <w:p w14:paraId="09BD99A0" w14:textId="77777777" w:rsidR="00561B22" w:rsidRPr="009940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9940E7" w14:paraId="130BEAB6" w14:textId="77777777" w:rsidTr="00F1223B">
        <w:tc>
          <w:tcPr>
            <w:tcW w:w="846" w:type="dxa"/>
          </w:tcPr>
          <w:p w14:paraId="49BB464F" w14:textId="77777777" w:rsidR="00561B22" w:rsidRPr="009940E7" w:rsidRDefault="00561B22" w:rsidP="00F1223B">
            <w:pPr>
              <w:ind w:right="-109"/>
              <w:jc w:val="center"/>
              <w:rPr>
                <w:rFonts w:ascii="Arial" w:hAnsi="Arial" w:cs="Arial"/>
                <w:b/>
                <w:sz w:val="22"/>
                <w:szCs w:val="22"/>
                <w:lang w:val="es-MX"/>
              </w:rPr>
            </w:pPr>
            <w:r w:rsidRPr="009940E7">
              <w:rPr>
                <w:rFonts w:ascii="Arial" w:hAnsi="Arial" w:cs="Arial"/>
                <w:b/>
                <w:sz w:val="22"/>
                <w:szCs w:val="22"/>
                <w:lang w:val="es-MX"/>
              </w:rPr>
              <w:t>N°</w:t>
            </w:r>
          </w:p>
        </w:tc>
        <w:tc>
          <w:tcPr>
            <w:tcW w:w="9116" w:type="dxa"/>
          </w:tcPr>
          <w:p w14:paraId="30852937"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DEBILIDADES</w:t>
            </w:r>
          </w:p>
          <w:p w14:paraId="7F8B0356" w14:textId="77777777" w:rsidR="00561B22" w:rsidRPr="009940E7" w:rsidRDefault="00561B22" w:rsidP="00F1223B">
            <w:pPr>
              <w:jc w:val="center"/>
              <w:rPr>
                <w:rFonts w:ascii="Arial" w:hAnsi="Arial" w:cs="Arial"/>
                <w:b/>
                <w:sz w:val="22"/>
                <w:szCs w:val="22"/>
                <w:lang w:val="es-MX"/>
              </w:rPr>
            </w:pPr>
          </w:p>
        </w:tc>
      </w:tr>
      <w:tr w:rsidR="00561B22" w:rsidRPr="009940E7" w14:paraId="0EB4CF24" w14:textId="77777777" w:rsidTr="00F1223B">
        <w:tc>
          <w:tcPr>
            <w:tcW w:w="846" w:type="dxa"/>
          </w:tcPr>
          <w:p w14:paraId="4B381452"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1</w:t>
            </w:r>
          </w:p>
        </w:tc>
        <w:tc>
          <w:tcPr>
            <w:tcW w:w="9116" w:type="dxa"/>
          </w:tcPr>
          <w:p w14:paraId="41705D37" w14:textId="77777777" w:rsidR="00561B22" w:rsidRPr="009940E7" w:rsidRDefault="00561B22" w:rsidP="00F1223B">
            <w:pPr>
              <w:jc w:val="both"/>
              <w:rPr>
                <w:rFonts w:ascii="Arial" w:hAnsi="Arial" w:cs="Arial"/>
                <w:sz w:val="22"/>
                <w:szCs w:val="22"/>
                <w:lang w:val="es-MX"/>
              </w:rPr>
            </w:pPr>
            <w:r w:rsidRPr="009940E7">
              <w:rPr>
                <w:rFonts w:ascii="Arial" w:hAnsi="Arial" w:cs="Arial"/>
                <w:sz w:val="22"/>
                <w:szCs w:val="22"/>
                <w:lang w:val="es-MX"/>
              </w:rPr>
              <w:t>Se identificaron debilidades en el sistema de control interno contable, entre ellas, dificultades en la migración de la información detallada de Propiedades, Planta y Equipo e intangibles (licencias y software) al aplicativo adquirido para el registro, control y seguimiento de inventarios.</w:t>
            </w:r>
          </w:p>
        </w:tc>
      </w:tr>
      <w:tr w:rsidR="00561B22" w:rsidRPr="009940E7" w14:paraId="0A15BFDA" w14:textId="77777777" w:rsidTr="00F1223B">
        <w:tc>
          <w:tcPr>
            <w:tcW w:w="846" w:type="dxa"/>
          </w:tcPr>
          <w:p w14:paraId="497B487B"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2</w:t>
            </w:r>
          </w:p>
        </w:tc>
        <w:tc>
          <w:tcPr>
            <w:tcW w:w="9116" w:type="dxa"/>
          </w:tcPr>
          <w:p w14:paraId="19987D90" w14:textId="77777777" w:rsidR="00561B22" w:rsidRPr="009940E7" w:rsidRDefault="00561B22" w:rsidP="00F1223B">
            <w:pPr>
              <w:jc w:val="both"/>
              <w:rPr>
                <w:rFonts w:ascii="Arial" w:hAnsi="Arial" w:cs="Arial"/>
                <w:sz w:val="22"/>
                <w:szCs w:val="22"/>
                <w:lang w:val="es-MX"/>
              </w:rPr>
            </w:pPr>
            <w:r w:rsidRPr="009940E7">
              <w:rPr>
                <w:rFonts w:ascii="Arial" w:hAnsi="Arial" w:cs="Arial"/>
                <w:sz w:val="22"/>
                <w:szCs w:val="22"/>
                <w:lang w:val="es-MX"/>
              </w:rPr>
              <w:t>El personal involucrado en el proceso señaló que la insuficiencia de recurso humano en las áreas involucradas en el proceso contable ha limitado la posibilidad de realizar un análisis detallado de la información, concentrando los esfuerzos en actividades operativas.</w:t>
            </w:r>
          </w:p>
        </w:tc>
      </w:tr>
      <w:tr w:rsidR="00561B22" w:rsidRPr="009940E7" w14:paraId="40207874" w14:textId="77777777" w:rsidTr="00F1223B">
        <w:tc>
          <w:tcPr>
            <w:tcW w:w="846" w:type="dxa"/>
          </w:tcPr>
          <w:p w14:paraId="7F6DCD0E"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3</w:t>
            </w:r>
          </w:p>
        </w:tc>
        <w:tc>
          <w:tcPr>
            <w:tcW w:w="9116" w:type="dxa"/>
          </w:tcPr>
          <w:p w14:paraId="3260A180" w14:textId="77777777" w:rsidR="00561B22" w:rsidRPr="009940E7" w:rsidRDefault="00561B22" w:rsidP="00F1223B">
            <w:pPr>
              <w:tabs>
                <w:tab w:val="left" w:pos="3630"/>
              </w:tabs>
              <w:jc w:val="both"/>
              <w:rPr>
                <w:rFonts w:ascii="Arial" w:hAnsi="Arial" w:cs="Arial"/>
                <w:sz w:val="22"/>
                <w:szCs w:val="22"/>
                <w:lang w:val="es-MX"/>
              </w:rPr>
            </w:pPr>
            <w:r w:rsidRPr="009940E7">
              <w:rPr>
                <w:rFonts w:ascii="Arial" w:hAnsi="Arial" w:cs="Arial"/>
                <w:sz w:val="22"/>
                <w:szCs w:val="22"/>
                <w:lang w:val="es-MX"/>
              </w:rPr>
              <w:t>Manifestaron falencias en el conocimiento de la normativa tributaria internacional, aspecto relevante dado que la entidad adquiere bienes y servicios a proveedores del exterior, lo que resalta la necesidad de fortalecer la capacitación en este ámbito.</w:t>
            </w:r>
            <w:r w:rsidRPr="009940E7">
              <w:rPr>
                <w:rFonts w:ascii="Arial" w:hAnsi="Arial" w:cs="Arial"/>
                <w:sz w:val="22"/>
                <w:szCs w:val="22"/>
                <w:lang w:val="es-MX"/>
              </w:rPr>
              <w:tab/>
            </w:r>
          </w:p>
        </w:tc>
      </w:tr>
    </w:tbl>
    <w:p w14:paraId="38B9C286" w14:textId="77777777" w:rsidR="00561B22" w:rsidRPr="009940E7" w:rsidRDefault="00561B22" w:rsidP="00561B22">
      <w:pPr>
        <w:pStyle w:val="Textoindependiente"/>
        <w:ind w:right="-50"/>
        <w:jc w:val="both"/>
        <w:rPr>
          <w:rFonts w:ascii="Arial" w:hAnsi="Arial" w:cs="Arial"/>
          <w:b/>
          <w:bCs/>
        </w:rPr>
      </w:pPr>
    </w:p>
    <w:p w14:paraId="496853FD" w14:textId="77777777" w:rsidR="00561B22" w:rsidRPr="009940E7" w:rsidRDefault="00561B22" w:rsidP="00561B22">
      <w:pPr>
        <w:jc w:val="both"/>
        <w:rPr>
          <w:rFonts w:ascii="Arial" w:hAnsi="Arial" w:cs="Arial"/>
          <w:b/>
          <w:lang w:val="es-MX"/>
        </w:rPr>
      </w:pPr>
      <w:r w:rsidRPr="009940E7">
        <w:rPr>
          <w:rFonts w:ascii="Arial" w:hAnsi="Arial" w:cs="Arial"/>
          <w:b/>
          <w:lang w:val="es-MX"/>
        </w:rPr>
        <w:t>Del citado informe retomamos las siguientes recomendaciones:</w:t>
      </w:r>
    </w:p>
    <w:p w14:paraId="426AEB6C" w14:textId="77777777" w:rsidR="00561B22" w:rsidRPr="009940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9940E7" w14:paraId="51B8C7C5" w14:textId="77777777" w:rsidTr="00F1223B">
        <w:tc>
          <w:tcPr>
            <w:tcW w:w="846" w:type="dxa"/>
          </w:tcPr>
          <w:p w14:paraId="1AD67843" w14:textId="77777777" w:rsidR="00561B22" w:rsidRPr="009940E7" w:rsidRDefault="00561B22" w:rsidP="00F1223B">
            <w:pPr>
              <w:ind w:right="-109"/>
              <w:jc w:val="center"/>
              <w:rPr>
                <w:rFonts w:ascii="Arial" w:hAnsi="Arial" w:cs="Arial"/>
                <w:b/>
                <w:sz w:val="22"/>
                <w:szCs w:val="22"/>
                <w:lang w:val="es-MX"/>
              </w:rPr>
            </w:pPr>
            <w:r w:rsidRPr="009940E7">
              <w:rPr>
                <w:rFonts w:ascii="Arial" w:hAnsi="Arial" w:cs="Arial"/>
                <w:b/>
                <w:sz w:val="22"/>
                <w:szCs w:val="22"/>
                <w:lang w:val="es-MX"/>
              </w:rPr>
              <w:t>N°</w:t>
            </w:r>
          </w:p>
        </w:tc>
        <w:tc>
          <w:tcPr>
            <w:tcW w:w="9116" w:type="dxa"/>
          </w:tcPr>
          <w:p w14:paraId="30D056A4"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RECOMENDACIONES</w:t>
            </w:r>
          </w:p>
          <w:p w14:paraId="4398A32D" w14:textId="77777777" w:rsidR="00561B22" w:rsidRPr="009940E7" w:rsidRDefault="00561B22" w:rsidP="00F1223B">
            <w:pPr>
              <w:jc w:val="center"/>
              <w:rPr>
                <w:rFonts w:ascii="Arial" w:hAnsi="Arial" w:cs="Arial"/>
                <w:b/>
                <w:sz w:val="22"/>
                <w:szCs w:val="22"/>
                <w:lang w:val="es-MX"/>
              </w:rPr>
            </w:pPr>
          </w:p>
        </w:tc>
      </w:tr>
      <w:tr w:rsidR="00561B22" w:rsidRPr="009940E7" w14:paraId="0EB3C378" w14:textId="77777777" w:rsidTr="00F1223B">
        <w:tc>
          <w:tcPr>
            <w:tcW w:w="846" w:type="dxa"/>
          </w:tcPr>
          <w:p w14:paraId="38D4A2EA"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1</w:t>
            </w:r>
          </w:p>
        </w:tc>
        <w:tc>
          <w:tcPr>
            <w:tcW w:w="9116" w:type="dxa"/>
          </w:tcPr>
          <w:p w14:paraId="507AB663" w14:textId="77777777" w:rsidR="00561B22" w:rsidRPr="009940E7" w:rsidRDefault="00561B22" w:rsidP="00F1223B">
            <w:pPr>
              <w:rPr>
                <w:rFonts w:ascii="Arial" w:hAnsi="Arial" w:cs="Arial"/>
                <w:sz w:val="22"/>
                <w:szCs w:val="22"/>
                <w:lang w:val="es-MX"/>
              </w:rPr>
            </w:pPr>
            <w:r w:rsidRPr="009940E7">
              <w:rPr>
                <w:rFonts w:ascii="Arial" w:hAnsi="Arial" w:cs="Arial"/>
                <w:sz w:val="22"/>
                <w:szCs w:val="22"/>
                <w:lang w:val="es-MX"/>
              </w:rPr>
              <w:t>. Velar por el cumplimiento de los lineamientos normativos en todas las etapas del proceso contable.</w:t>
            </w:r>
          </w:p>
        </w:tc>
      </w:tr>
      <w:tr w:rsidR="00561B22" w:rsidRPr="009940E7" w14:paraId="1A1FF4A5" w14:textId="77777777" w:rsidTr="00F1223B">
        <w:tc>
          <w:tcPr>
            <w:tcW w:w="846" w:type="dxa"/>
          </w:tcPr>
          <w:p w14:paraId="215E7B5B"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2</w:t>
            </w:r>
          </w:p>
        </w:tc>
        <w:tc>
          <w:tcPr>
            <w:tcW w:w="9116" w:type="dxa"/>
          </w:tcPr>
          <w:p w14:paraId="40AF24B4" w14:textId="77777777" w:rsidR="00561B22" w:rsidRPr="009940E7" w:rsidRDefault="00561B22" w:rsidP="00F1223B">
            <w:pPr>
              <w:jc w:val="both"/>
              <w:rPr>
                <w:rFonts w:ascii="Arial" w:hAnsi="Arial" w:cs="Arial"/>
                <w:sz w:val="22"/>
                <w:szCs w:val="22"/>
                <w:lang w:val="es-MX"/>
              </w:rPr>
            </w:pPr>
            <w:r w:rsidRPr="009940E7">
              <w:rPr>
                <w:rFonts w:ascii="Arial" w:hAnsi="Arial" w:cs="Arial"/>
                <w:sz w:val="22"/>
                <w:szCs w:val="22"/>
                <w:lang w:val="es-MX"/>
              </w:rPr>
              <w:t>Fortalecer la socialización de procedimientos y manuales actualizados, asegurando que todas las áreas generadoras de información contable los conozcan y apliquen correctamente</w:t>
            </w:r>
          </w:p>
        </w:tc>
      </w:tr>
      <w:tr w:rsidR="00561B22" w:rsidRPr="009940E7" w14:paraId="6D6FEC0C" w14:textId="77777777" w:rsidTr="00F1223B">
        <w:tc>
          <w:tcPr>
            <w:tcW w:w="846" w:type="dxa"/>
          </w:tcPr>
          <w:p w14:paraId="56F91CF4"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t>3</w:t>
            </w:r>
          </w:p>
        </w:tc>
        <w:tc>
          <w:tcPr>
            <w:tcW w:w="9116" w:type="dxa"/>
          </w:tcPr>
          <w:p w14:paraId="2DD8B3A1" w14:textId="77777777" w:rsidR="00561B22" w:rsidRPr="009940E7" w:rsidRDefault="00561B22" w:rsidP="00F1223B">
            <w:pPr>
              <w:jc w:val="both"/>
              <w:rPr>
                <w:rFonts w:ascii="Arial" w:hAnsi="Arial" w:cs="Arial"/>
                <w:sz w:val="22"/>
                <w:szCs w:val="22"/>
                <w:lang w:val="es-MX"/>
              </w:rPr>
            </w:pPr>
            <w:r w:rsidRPr="009940E7">
              <w:rPr>
                <w:rFonts w:ascii="Arial" w:hAnsi="Arial" w:cs="Arial"/>
                <w:sz w:val="22"/>
                <w:szCs w:val="22"/>
                <w:lang w:val="es-MX"/>
              </w:rPr>
              <w:t xml:space="preserve">Fortalecer el conocimiento de la normatividad para el personal involucrado en el manejo y control de Propiedades, Planta y Equipo (PPYE), dado el porcentaje de participación de </w:t>
            </w:r>
            <w:r w:rsidRPr="009940E7">
              <w:rPr>
                <w:rFonts w:ascii="Arial" w:hAnsi="Arial" w:cs="Arial"/>
                <w:sz w:val="22"/>
                <w:szCs w:val="22"/>
                <w:lang w:val="es-MX"/>
              </w:rPr>
              <w:lastRenderedPageBreak/>
              <w:t>estas cuentas en los estados financieros de la entidad</w:t>
            </w:r>
          </w:p>
        </w:tc>
      </w:tr>
      <w:tr w:rsidR="00561B22" w:rsidRPr="009940E7" w14:paraId="59FFA878" w14:textId="77777777" w:rsidTr="00F1223B">
        <w:tc>
          <w:tcPr>
            <w:tcW w:w="846" w:type="dxa"/>
          </w:tcPr>
          <w:p w14:paraId="79BF69EA" w14:textId="77777777" w:rsidR="00561B22" w:rsidRPr="009940E7" w:rsidRDefault="00561B22" w:rsidP="00F1223B">
            <w:pPr>
              <w:jc w:val="center"/>
              <w:rPr>
                <w:rFonts w:ascii="Arial" w:hAnsi="Arial" w:cs="Arial"/>
                <w:b/>
                <w:sz w:val="22"/>
                <w:szCs w:val="22"/>
                <w:lang w:val="es-MX"/>
              </w:rPr>
            </w:pPr>
            <w:r w:rsidRPr="009940E7">
              <w:rPr>
                <w:rFonts w:ascii="Arial" w:hAnsi="Arial" w:cs="Arial"/>
                <w:b/>
                <w:sz w:val="22"/>
                <w:szCs w:val="22"/>
                <w:lang w:val="es-MX"/>
              </w:rPr>
              <w:lastRenderedPageBreak/>
              <w:t>4</w:t>
            </w:r>
          </w:p>
        </w:tc>
        <w:tc>
          <w:tcPr>
            <w:tcW w:w="9116" w:type="dxa"/>
          </w:tcPr>
          <w:p w14:paraId="3F4F2307" w14:textId="77777777" w:rsidR="00561B22" w:rsidRPr="009940E7" w:rsidRDefault="00561B22" w:rsidP="00F1223B">
            <w:pPr>
              <w:jc w:val="both"/>
              <w:rPr>
                <w:rFonts w:ascii="Arial" w:hAnsi="Arial" w:cs="Arial"/>
                <w:sz w:val="22"/>
                <w:szCs w:val="22"/>
                <w:lang w:val="es-MX"/>
              </w:rPr>
            </w:pPr>
            <w:r w:rsidRPr="009940E7">
              <w:rPr>
                <w:rFonts w:ascii="Arial" w:hAnsi="Arial" w:cs="Arial"/>
                <w:sz w:val="22"/>
                <w:szCs w:val="22"/>
                <w:lang w:val="es-MX"/>
              </w:rPr>
              <w:t xml:space="preserve">Realizar los ajustes contables a que haya lugar de acuerdo con lo identificado a través de la presente evaluación.  </w:t>
            </w:r>
          </w:p>
        </w:tc>
      </w:tr>
    </w:tbl>
    <w:p w14:paraId="3FEEF722" w14:textId="77777777" w:rsidR="00561B22" w:rsidRPr="009940E7" w:rsidRDefault="00561B22" w:rsidP="00561B22">
      <w:pPr>
        <w:pStyle w:val="Textoindependiente"/>
        <w:ind w:right="-50"/>
        <w:jc w:val="both"/>
        <w:rPr>
          <w:rFonts w:ascii="Arial" w:hAnsi="Arial" w:cs="Arial"/>
          <w:b/>
          <w:bCs/>
        </w:rPr>
      </w:pPr>
    </w:p>
    <w:p w14:paraId="4D8BB0A3" w14:textId="77777777" w:rsidR="00561B22" w:rsidRPr="009940E7" w:rsidRDefault="00561B22" w:rsidP="00561B22">
      <w:pPr>
        <w:jc w:val="both"/>
        <w:rPr>
          <w:rFonts w:ascii="Arial" w:hAnsi="Arial" w:cs="Arial"/>
          <w:b/>
          <w:bCs/>
          <w:sz w:val="24"/>
          <w:szCs w:val="24"/>
          <w:lang w:val="es-CO"/>
        </w:rPr>
      </w:pPr>
      <w:r w:rsidRPr="009940E7">
        <w:rPr>
          <w:rFonts w:ascii="Arial" w:hAnsi="Arial" w:cs="Arial"/>
          <w:b/>
          <w:bCs/>
          <w:sz w:val="24"/>
          <w:szCs w:val="24"/>
          <w:lang w:val="es-CO"/>
        </w:rPr>
        <w:t xml:space="preserve">NOTA: LA ENTIDAD ENVIA LA MATRIZ DE AUTOEVALUACIÓN DEL SISTEMA DE CONTROL INTERNO CONTABLE CON </w:t>
      </w:r>
      <w:r w:rsidRPr="009940E7">
        <w:rPr>
          <w:rFonts w:ascii="Arial" w:hAnsi="Arial" w:cs="Arial"/>
          <w:b/>
          <w:bCs/>
          <w:sz w:val="24"/>
          <w:szCs w:val="24"/>
          <w:u w:val="single"/>
          <w:lang w:val="es-CO"/>
        </w:rPr>
        <w:t>ACTIVIDADES DE CONTROL REALIZADAS EN FORMA PARCIAL</w:t>
      </w:r>
      <w:r w:rsidRPr="009940E7">
        <w:rPr>
          <w:rFonts w:ascii="Arial" w:hAnsi="Arial" w:cs="Arial"/>
          <w:b/>
          <w:bCs/>
          <w:sz w:val="24"/>
          <w:szCs w:val="24"/>
          <w:lang w:val="es-CO"/>
        </w:rPr>
        <w:t>.</w:t>
      </w:r>
    </w:p>
    <w:p w14:paraId="1BFA9811" w14:textId="77777777" w:rsidR="00A937B7" w:rsidRDefault="00A937B7" w:rsidP="00561B22">
      <w:pPr>
        <w:jc w:val="both"/>
        <w:rPr>
          <w:rFonts w:ascii="Arial" w:hAnsi="Arial" w:cs="Arial"/>
          <w:b/>
          <w:sz w:val="28"/>
          <w:szCs w:val="28"/>
          <w:lang w:val="es-MX"/>
        </w:rPr>
      </w:pPr>
    </w:p>
    <w:p w14:paraId="03043C87" w14:textId="2C60E33E" w:rsidR="00561B22" w:rsidRPr="00E5381D" w:rsidRDefault="00561B22" w:rsidP="00561B22">
      <w:pPr>
        <w:jc w:val="both"/>
        <w:rPr>
          <w:rFonts w:ascii="Arial" w:hAnsi="Arial" w:cs="Arial"/>
          <w:b/>
          <w:sz w:val="28"/>
          <w:szCs w:val="28"/>
          <w:lang w:val="es-MX"/>
        </w:rPr>
      </w:pPr>
      <w:r w:rsidRPr="00E5381D">
        <w:rPr>
          <w:rFonts w:ascii="Arial" w:hAnsi="Arial" w:cs="Arial"/>
          <w:b/>
          <w:sz w:val="28"/>
          <w:szCs w:val="28"/>
          <w:lang w:val="es-MX"/>
        </w:rPr>
        <w:t>28.- SUPERINTENDENCIA DE SOCIEDADES - SUPERSOCIEDADES.</w:t>
      </w:r>
    </w:p>
    <w:p w14:paraId="5492BC51" w14:textId="77777777" w:rsidR="00561B22" w:rsidRPr="00E5381D" w:rsidRDefault="00561B22" w:rsidP="00561B22">
      <w:pPr>
        <w:ind w:left="142"/>
        <w:jc w:val="both"/>
        <w:rPr>
          <w:rFonts w:ascii="Arial" w:hAnsi="Arial" w:cs="Arial"/>
          <w:b/>
          <w:lang w:val="es-MX"/>
        </w:rPr>
      </w:pPr>
    </w:p>
    <w:p w14:paraId="1C4F4EE4" w14:textId="77777777" w:rsidR="00561B22" w:rsidRPr="00E5381D" w:rsidRDefault="00561B22" w:rsidP="00561B22">
      <w:pPr>
        <w:pStyle w:val="Textoindependiente"/>
        <w:ind w:right="-50"/>
        <w:jc w:val="center"/>
        <w:rPr>
          <w:rFonts w:ascii="Arial" w:hAnsi="Arial" w:cs="Arial"/>
          <w:b/>
          <w:bCs/>
        </w:rPr>
      </w:pPr>
      <w:r w:rsidRPr="00E5381D">
        <w:rPr>
          <w:rFonts w:ascii="Arial" w:hAnsi="Arial" w:cs="Arial"/>
          <w:b/>
          <w:bCs/>
        </w:rPr>
        <w:t>INFORME DE LA AUTOCALIFICACIÓN DEL SISTEMA DE CONTROL INTERNO CONTABLE:</w:t>
      </w:r>
    </w:p>
    <w:p w14:paraId="299234AE" w14:textId="77777777" w:rsidR="00561B22" w:rsidRPr="00E5381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5381D" w14:paraId="33ACC223" w14:textId="77777777" w:rsidTr="00F1223B">
        <w:tc>
          <w:tcPr>
            <w:tcW w:w="4981" w:type="dxa"/>
          </w:tcPr>
          <w:p w14:paraId="68FBC55C" w14:textId="77777777" w:rsidR="00561B22" w:rsidRPr="00E5381D" w:rsidRDefault="00561B22" w:rsidP="00F1223B">
            <w:pPr>
              <w:jc w:val="center"/>
              <w:rPr>
                <w:rFonts w:ascii="Arial" w:hAnsi="Arial" w:cs="Arial"/>
                <w:b/>
                <w:sz w:val="22"/>
                <w:szCs w:val="22"/>
                <w:lang w:val="es-MX"/>
              </w:rPr>
            </w:pPr>
            <w:r w:rsidRPr="00E5381D">
              <w:rPr>
                <w:rFonts w:ascii="Arial" w:hAnsi="Arial" w:cs="Arial"/>
                <w:b/>
                <w:sz w:val="22"/>
                <w:szCs w:val="22"/>
                <w:lang w:val="es-MX"/>
              </w:rPr>
              <w:t>AUTOCALIFICACIÓN</w:t>
            </w:r>
          </w:p>
        </w:tc>
        <w:tc>
          <w:tcPr>
            <w:tcW w:w="4981" w:type="dxa"/>
          </w:tcPr>
          <w:p w14:paraId="1DCF4592" w14:textId="77777777" w:rsidR="00561B22" w:rsidRPr="00E5381D" w:rsidRDefault="00561B22" w:rsidP="00F1223B">
            <w:pPr>
              <w:jc w:val="center"/>
              <w:rPr>
                <w:rFonts w:ascii="Arial" w:hAnsi="Arial" w:cs="Arial"/>
                <w:b/>
                <w:sz w:val="22"/>
                <w:szCs w:val="22"/>
                <w:u w:val="single"/>
                <w:lang w:val="es-MX"/>
              </w:rPr>
            </w:pPr>
            <w:r w:rsidRPr="00E5381D">
              <w:rPr>
                <w:rFonts w:ascii="Arial" w:hAnsi="Arial" w:cs="Arial"/>
                <w:b/>
                <w:sz w:val="22"/>
                <w:szCs w:val="22"/>
                <w:u w:val="single"/>
                <w:lang w:val="es-MX"/>
              </w:rPr>
              <w:t>4.89</w:t>
            </w:r>
          </w:p>
        </w:tc>
      </w:tr>
    </w:tbl>
    <w:p w14:paraId="05A0993A" w14:textId="77777777" w:rsidR="00561B22" w:rsidRPr="00E5381D" w:rsidRDefault="00561B22" w:rsidP="00561B22">
      <w:pPr>
        <w:pStyle w:val="Textoindependiente"/>
        <w:ind w:right="-50"/>
        <w:jc w:val="both"/>
        <w:rPr>
          <w:rFonts w:ascii="Arial" w:hAnsi="Arial" w:cs="Arial"/>
          <w:b/>
          <w:bCs/>
        </w:rPr>
      </w:pPr>
    </w:p>
    <w:p w14:paraId="7D22F7BF" w14:textId="77777777" w:rsidR="00561B22" w:rsidRPr="00E5381D" w:rsidRDefault="00561B22" w:rsidP="00561B22">
      <w:pPr>
        <w:pStyle w:val="Textoindependiente"/>
        <w:ind w:right="-50"/>
        <w:jc w:val="both"/>
        <w:rPr>
          <w:rFonts w:ascii="Arial" w:hAnsi="Arial" w:cs="Arial"/>
          <w:b/>
          <w:bCs/>
        </w:rPr>
      </w:pPr>
      <w:r w:rsidRPr="00E5381D">
        <w:rPr>
          <w:rFonts w:ascii="Arial" w:hAnsi="Arial" w:cs="Arial"/>
          <w:b/>
          <w:bCs/>
        </w:rPr>
        <w:t>Del informe enviado retomamos lo siguiente:</w:t>
      </w:r>
    </w:p>
    <w:p w14:paraId="418744A3" w14:textId="77777777" w:rsidR="00561B22" w:rsidRPr="00E5381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E5381D" w14:paraId="4C2FE602" w14:textId="77777777" w:rsidTr="00F1223B">
        <w:tc>
          <w:tcPr>
            <w:tcW w:w="846" w:type="dxa"/>
          </w:tcPr>
          <w:p w14:paraId="7D60EA91" w14:textId="77777777" w:rsidR="00561B22" w:rsidRPr="00E5381D" w:rsidRDefault="00561B22" w:rsidP="00F1223B">
            <w:pPr>
              <w:ind w:right="-109"/>
              <w:jc w:val="center"/>
              <w:rPr>
                <w:rFonts w:ascii="Arial" w:hAnsi="Arial" w:cs="Arial"/>
                <w:b/>
                <w:sz w:val="22"/>
                <w:szCs w:val="22"/>
                <w:lang w:val="es-MX"/>
              </w:rPr>
            </w:pPr>
            <w:r w:rsidRPr="00E5381D">
              <w:rPr>
                <w:rFonts w:ascii="Arial" w:hAnsi="Arial" w:cs="Arial"/>
                <w:b/>
                <w:sz w:val="22"/>
                <w:szCs w:val="22"/>
                <w:lang w:val="es-MX"/>
              </w:rPr>
              <w:t>N°</w:t>
            </w:r>
          </w:p>
        </w:tc>
        <w:tc>
          <w:tcPr>
            <w:tcW w:w="9116" w:type="dxa"/>
          </w:tcPr>
          <w:p w14:paraId="0A13B637" w14:textId="77777777" w:rsidR="00561B22" w:rsidRPr="00E5381D" w:rsidRDefault="00561B22" w:rsidP="00F1223B">
            <w:pPr>
              <w:jc w:val="center"/>
              <w:rPr>
                <w:rFonts w:ascii="Arial" w:hAnsi="Arial" w:cs="Arial"/>
                <w:b/>
                <w:sz w:val="22"/>
                <w:szCs w:val="22"/>
                <w:lang w:val="es-MX"/>
              </w:rPr>
            </w:pPr>
            <w:r w:rsidRPr="00E5381D">
              <w:rPr>
                <w:rFonts w:ascii="Arial" w:hAnsi="Arial" w:cs="Arial"/>
                <w:b/>
                <w:sz w:val="22"/>
                <w:szCs w:val="22"/>
                <w:lang w:val="es-MX"/>
              </w:rPr>
              <w:t>DEBILIDADES</w:t>
            </w:r>
          </w:p>
          <w:p w14:paraId="31420112" w14:textId="77777777" w:rsidR="00561B22" w:rsidRPr="00E5381D" w:rsidRDefault="00561B22" w:rsidP="00F1223B">
            <w:pPr>
              <w:jc w:val="center"/>
              <w:rPr>
                <w:rFonts w:ascii="Arial" w:hAnsi="Arial" w:cs="Arial"/>
                <w:b/>
                <w:sz w:val="22"/>
                <w:szCs w:val="22"/>
                <w:lang w:val="es-MX"/>
              </w:rPr>
            </w:pPr>
          </w:p>
        </w:tc>
      </w:tr>
      <w:tr w:rsidR="00561B22" w:rsidRPr="00E5381D" w14:paraId="13F97960" w14:textId="77777777" w:rsidTr="00F1223B">
        <w:tc>
          <w:tcPr>
            <w:tcW w:w="846" w:type="dxa"/>
          </w:tcPr>
          <w:p w14:paraId="6497A5BA" w14:textId="77777777" w:rsidR="00561B22" w:rsidRPr="00E5381D" w:rsidRDefault="00561B22" w:rsidP="00F1223B">
            <w:pPr>
              <w:jc w:val="center"/>
              <w:rPr>
                <w:rFonts w:ascii="Arial" w:hAnsi="Arial" w:cs="Arial"/>
                <w:b/>
                <w:sz w:val="22"/>
                <w:szCs w:val="22"/>
                <w:lang w:val="es-MX"/>
              </w:rPr>
            </w:pPr>
            <w:r w:rsidRPr="00E5381D">
              <w:rPr>
                <w:rFonts w:ascii="Arial" w:hAnsi="Arial" w:cs="Arial"/>
                <w:b/>
                <w:sz w:val="22"/>
                <w:szCs w:val="22"/>
                <w:lang w:val="es-MX"/>
              </w:rPr>
              <w:t>1</w:t>
            </w:r>
          </w:p>
        </w:tc>
        <w:tc>
          <w:tcPr>
            <w:tcW w:w="9116" w:type="dxa"/>
          </w:tcPr>
          <w:p w14:paraId="28BDC9F5" w14:textId="77777777" w:rsidR="00561B22" w:rsidRPr="00E5381D" w:rsidRDefault="00561B22" w:rsidP="00F1223B">
            <w:pPr>
              <w:jc w:val="both"/>
              <w:rPr>
                <w:rFonts w:ascii="Arial" w:hAnsi="Arial" w:cs="Arial"/>
                <w:sz w:val="22"/>
                <w:szCs w:val="22"/>
                <w:lang w:val="es-MX"/>
              </w:rPr>
            </w:pPr>
            <w:r w:rsidRPr="00E5381D">
              <w:rPr>
                <w:rFonts w:ascii="Arial" w:hAnsi="Arial" w:cs="Arial"/>
                <w:sz w:val="22"/>
                <w:szCs w:val="22"/>
                <w:lang w:val="es-MX"/>
              </w:rPr>
              <w:t>Ausencia de los estados financieros en la última Audiencia de Rendición de Cuentas de la entidad.</w:t>
            </w:r>
          </w:p>
        </w:tc>
      </w:tr>
    </w:tbl>
    <w:p w14:paraId="64B20248" w14:textId="77777777" w:rsidR="00561B22" w:rsidRPr="00E5381D" w:rsidRDefault="00561B22" w:rsidP="00561B22">
      <w:pPr>
        <w:pStyle w:val="Textoindependiente"/>
        <w:ind w:right="-50"/>
        <w:jc w:val="both"/>
        <w:rPr>
          <w:rFonts w:ascii="Arial" w:hAnsi="Arial" w:cs="Arial"/>
          <w:b/>
          <w:bCs/>
        </w:rPr>
      </w:pPr>
    </w:p>
    <w:p w14:paraId="1C0E7D05" w14:textId="77777777" w:rsidR="00561B22" w:rsidRPr="00E5381D" w:rsidRDefault="00561B22" w:rsidP="00561B22">
      <w:pPr>
        <w:jc w:val="both"/>
        <w:rPr>
          <w:rFonts w:ascii="Arial" w:hAnsi="Arial" w:cs="Arial"/>
          <w:b/>
          <w:lang w:val="es-MX"/>
        </w:rPr>
      </w:pPr>
      <w:r w:rsidRPr="00E5381D">
        <w:rPr>
          <w:rFonts w:ascii="Arial" w:hAnsi="Arial" w:cs="Arial"/>
          <w:b/>
          <w:lang w:val="es-MX"/>
        </w:rPr>
        <w:t>Del citado informe retomamos las siguientes recomendaciones:</w:t>
      </w:r>
    </w:p>
    <w:p w14:paraId="72DEDBC4" w14:textId="77777777" w:rsidR="00561B22" w:rsidRPr="00E5381D"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846"/>
        <w:gridCol w:w="9116"/>
      </w:tblGrid>
      <w:tr w:rsidR="00561B22" w:rsidRPr="00E5381D" w14:paraId="09A8DB3D" w14:textId="77777777" w:rsidTr="00F1223B">
        <w:tc>
          <w:tcPr>
            <w:tcW w:w="846" w:type="dxa"/>
          </w:tcPr>
          <w:p w14:paraId="6AA1DBD2" w14:textId="77777777" w:rsidR="00561B22" w:rsidRPr="00E5381D" w:rsidRDefault="00561B22" w:rsidP="00F1223B">
            <w:pPr>
              <w:ind w:right="-109"/>
              <w:jc w:val="center"/>
              <w:rPr>
                <w:rFonts w:ascii="Arial" w:hAnsi="Arial" w:cs="Arial"/>
                <w:b/>
                <w:sz w:val="22"/>
                <w:szCs w:val="22"/>
                <w:lang w:val="es-MX"/>
              </w:rPr>
            </w:pPr>
            <w:r w:rsidRPr="00E5381D">
              <w:rPr>
                <w:rFonts w:ascii="Arial" w:hAnsi="Arial" w:cs="Arial"/>
                <w:b/>
                <w:sz w:val="22"/>
                <w:szCs w:val="22"/>
                <w:lang w:val="es-MX"/>
              </w:rPr>
              <w:t>N°</w:t>
            </w:r>
          </w:p>
        </w:tc>
        <w:tc>
          <w:tcPr>
            <w:tcW w:w="9116" w:type="dxa"/>
          </w:tcPr>
          <w:p w14:paraId="5E7AFD99" w14:textId="77777777" w:rsidR="00561B22" w:rsidRPr="00E5381D" w:rsidRDefault="00561B22" w:rsidP="00F1223B">
            <w:pPr>
              <w:jc w:val="center"/>
              <w:rPr>
                <w:rFonts w:ascii="Arial" w:hAnsi="Arial" w:cs="Arial"/>
                <w:b/>
                <w:sz w:val="22"/>
                <w:szCs w:val="22"/>
                <w:lang w:val="es-MX"/>
              </w:rPr>
            </w:pPr>
            <w:r w:rsidRPr="00E5381D">
              <w:rPr>
                <w:rFonts w:ascii="Arial" w:hAnsi="Arial" w:cs="Arial"/>
                <w:b/>
                <w:sz w:val="22"/>
                <w:szCs w:val="22"/>
                <w:lang w:val="es-MX"/>
              </w:rPr>
              <w:t>RECOMENDACIONES</w:t>
            </w:r>
          </w:p>
          <w:p w14:paraId="2F5FCF85" w14:textId="77777777" w:rsidR="00561B22" w:rsidRPr="00E5381D" w:rsidRDefault="00561B22" w:rsidP="00F1223B">
            <w:pPr>
              <w:jc w:val="center"/>
              <w:rPr>
                <w:rFonts w:ascii="Arial" w:hAnsi="Arial" w:cs="Arial"/>
                <w:b/>
                <w:sz w:val="22"/>
                <w:szCs w:val="22"/>
                <w:lang w:val="es-MX"/>
              </w:rPr>
            </w:pPr>
          </w:p>
        </w:tc>
      </w:tr>
      <w:tr w:rsidR="00561B22" w:rsidRPr="00E5381D" w14:paraId="6FABED00" w14:textId="77777777" w:rsidTr="00F1223B">
        <w:tc>
          <w:tcPr>
            <w:tcW w:w="846" w:type="dxa"/>
          </w:tcPr>
          <w:p w14:paraId="2DEF764C" w14:textId="77777777" w:rsidR="00561B22" w:rsidRPr="00E5381D" w:rsidRDefault="00561B22" w:rsidP="00F1223B">
            <w:pPr>
              <w:jc w:val="center"/>
              <w:rPr>
                <w:rFonts w:ascii="Arial" w:hAnsi="Arial" w:cs="Arial"/>
                <w:b/>
                <w:sz w:val="22"/>
                <w:szCs w:val="22"/>
                <w:lang w:val="es-MX"/>
              </w:rPr>
            </w:pPr>
            <w:r w:rsidRPr="00E5381D">
              <w:rPr>
                <w:rFonts w:ascii="Arial" w:hAnsi="Arial" w:cs="Arial"/>
                <w:b/>
                <w:sz w:val="22"/>
                <w:szCs w:val="22"/>
                <w:lang w:val="es-MX"/>
              </w:rPr>
              <w:t>1</w:t>
            </w:r>
          </w:p>
        </w:tc>
        <w:tc>
          <w:tcPr>
            <w:tcW w:w="9116" w:type="dxa"/>
          </w:tcPr>
          <w:p w14:paraId="569A11DB" w14:textId="49626CD8" w:rsidR="00561B22" w:rsidRPr="00E5381D" w:rsidRDefault="00561B22" w:rsidP="00F1223B">
            <w:pPr>
              <w:jc w:val="both"/>
              <w:rPr>
                <w:rFonts w:ascii="Arial" w:hAnsi="Arial" w:cs="Arial"/>
                <w:sz w:val="22"/>
                <w:szCs w:val="22"/>
                <w:lang w:val="es-MX"/>
              </w:rPr>
            </w:pPr>
            <w:r w:rsidRPr="00E5381D">
              <w:rPr>
                <w:rFonts w:ascii="Arial" w:hAnsi="Arial" w:cs="Arial"/>
                <w:sz w:val="22"/>
                <w:szCs w:val="22"/>
                <w:lang w:val="es-MX"/>
              </w:rPr>
              <w:t xml:space="preserve">Extender solicitud al </w:t>
            </w:r>
            <w:r w:rsidR="0008150C" w:rsidRPr="00E5381D">
              <w:rPr>
                <w:rFonts w:ascii="Arial" w:hAnsi="Arial" w:cs="Arial"/>
                <w:sz w:val="22"/>
                <w:szCs w:val="22"/>
                <w:lang w:val="es-MX"/>
              </w:rPr>
              <w:t>proceso o</w:t>
            </w:r>
            <w:r w:rsidRPr="00E5381D">
              <w:rPr>
                <w:rFonts w:ascii="Arial" w:hAnsi="Arial" w:cs="Arial"/>
                <w:sz w:val="22"/>
                <w:szCs w:val="22"/>
                <w:lang w:val="es-MX"/>
              </w:rPr>
              <w:t xml:space="preserve"> dependencia responsable de programar y ejecutar la audiencia pública de rendición de cuentas la necesidad de contar con un espacio en esta actividad para presentar la información financiera relevante de cada vigencia, con el fin de socializar a los interesados y la ciudadanía en general, datos importantes sobre la composición y manejo financiero de la entidad.</w:t>
            </w:r>
          </w:p>
        </w:tc>
      </w:tr>
    </w:tbl>
    <w:p w14:paraId="31B00F2A" w14:textId="77777777" w:rsidR="00561B22" w:rsidRPr="00E5381D" w:rsidRDefault="00561B22" w:rsidP="00561B22">
      <w:pPr>
        <w:pStyle w:val="Textoindependiente"/>
        <w:ind w:right="-50"/>
        <w:jc w:val="both"/>
        <w:rPr>
          <w:rFonts w:ascii="Arial" w:hAnsi="Arial" w:cs="Arial"/>
          <w:b/>
          <w:bCs/>
          <w:sz w:val="28"/>
          <w:szCs w:val="28"/>
        </w:rPr>
      </w:pPr>
    </w:p>
    <w:p w14:paraId="4A4282F7" w14:textId="77777777" w:rsidR="00561B22" w:rsidRPr="00E5381D" w:rsidRDefault="00561B22" w:rsidP="00561B22">
      <w:pPr>
        <w:jc w:val="both"/>
        <w:rPr>
          <w:rFonts w:ascii="Arial" w:hAnsi="Arial" w:cs="Arial"/>
          <w:b/>
          <w:bCs/>
          <w:sz w:val="24"/>
          <w:szCs w:val="24"/>
          <w:lang w:val="es-CO"/>
        </w:rPr>
      </w:pPr>
      <w:r w:rsidRPr="00E5381D">
        <w:rPr>
          <w:rFonts w:ascii="Arial" w:hAnsi="Arial" w:cs="Arial"/>
          <w:b/>
          <w:bCs/>
          <w:sz w:val="24"/>
          <w:szCs w:val="24"/>
          <w:lang w:val="es-CO"/>
        </w:rPr>
        <w:t xml:space="preserve">NOTA: LA ENTIDAD ENVIA LA MATRIZ DE AUTOEVALUACIÓN DEL SISTEMA DE CONTROL INTERNO CONTABLE CON </w:t>
      </w:r>
      <w:r w:rsidRPr="00E5381D">
        <w:rPr>
          <w:rFonts w:ascii="Arial" w:hAnsi="Arial" w:cs="Arial"/>
          <w:b/>
          <w:bCs/>
          <w:sz w:val="24"/>
          <w:szCs w:val="24"/>
          <w:u w:val="single"/>
          <w:lang w:val="es-CO"/>
        </w:rPr>
        <w:t>ACTIVIDADES DE CONTROL REALIZADAS EN FORMA PARCIAL</w:t>
      </w:r>
      <w:r w:rsidRPr="00E5381D">
        <w:rPr>
          <w:rFonts w:ascii="Arial" w:hAnsi="Arial" w:cs="Arial"/>
          <w:b/>
          <w:bCs/>
          <w:sz w:val="24"/>
          <w:szCs w:val="24"/>
          <w:lang w:val="es-CO"/>
        </w:rPr>
        <w:t>.</w:t>
      </w:r>
    </w:p>
    <w:p w14:paraId="74A72D39" w14:textId="77777777" w:rsidR="00561B22" w:rsidRPr="00E5381D" w:rsidRDefault="00561B22" w:rsidP="00561B22">
      <w:pPr>
        <w:pStyle w:val="Textoindependiente"/>
        <w:tabs>
          <w:tab w:val="left" w:pos="2055"/>
        </w:tabs>
        <w:spacing w:before="5"/>
        <w:rPr>
          <w:rFonts w:ascii="Arial" w:hAnsi="Arial" w:cs="Arial"/>
        </w:rPr>
      </w:pPr>
    </w:p>
    <w:p w14:paraId="4C7EC856" w14:textId="77777777" w:rsidR="00561B22" w:rsidRPr="00637F16" w:rsidRDefault="00561B22" w:rsidP="00561B22">
      <w:pPr>
        <w:jc w:val="both"/>
        <w:rPr>
          <w:rFonts w:ascii="Arial" w:hAnsi="Arial" w:cs="Arial"/>
          <w:b/>
          <w:sz w:val="28"/>
          <w:szCs w:val="28"/>
          <w:lang w:val="es-MX"/>
        </w:rPr>
      </w:pPr>
      <w:r w:rsidRPr="00637F16">
        <w:rPr>
          <w:rFonts w:ascii="Arial" w:hAnsi="Arial" w:cs="Arial"/>
          <w:b/>
          <w:sz w:val="28"/>
          <w:szCs w:val="28"/>
          <w:lang w:val="es-MX"/>
        </w:rPr>
        <w:t xml:space="preserve">29.- </w:t>
      </w:r>
      <w:r w:rsidRPr="00637F16">
        <w:rPr>
          <w:rFonts w:ascii="Arial" w:hAnsi="Arial" w:cs="Arial"/>
          <w:b/>
          <w:sz w:val="28"/>
          <w:szCs w:val="28"/>
        </w:rPr>
        <w:t>CORPORACIÓN DE ALTA TECNOLOGÍA PARA LA DEFENSA – CODALTEC.</w:t>
      </w:r>
    </w:p>
    <w:p w14:paraId="36D862FC" w14:textId="77777777" w:rsidR="00561B22" w:rsidRDefault="00561B22" w:rsidP="00561B22">
      <w:pPr>
        <w:ind w:left="142"/>
        <w:jc w:val="both"/>
        <w:rPr>
          <w:rFonts w:ascii="Arial" w:hAnsi="Arial" w:cs="Arial"/>
          <w:b/>
          <w:sz w:val="24"/>
          <w:szCs w:val="24"/>
          <w:lang w:val="es-MX"/>
        </w:rPr>
      </w:pPr>
    </w:p>
    <w:p w14:paraId="265A2BEC" w14:textId="77777777" w:rsidR="00561B22" w:rsidRPr="0077018E" w:rsidRDefault="00561B22" w:rsidP="00561B22">
      <w:pPr>
        <w:pStyle w:val="Textoindependiente"/>
        <w:ind w:right="-50"/>
        <w:jc w:val="center"/>
        <w:rPr>
          <w:rFonts w:ascii="Arial" w:hAnsi="Arial" w:cs="Arial"/>
          <w:b/>
          <w:bCs/>
        </w:rPr>
      </w:pPr>
      <w:r w:rsidRPr="0077018E">
        <w:rPr>
          <w:rFonts w:ascii="Arial" w:hAnsi="Arial" w:cs="Arial"/>
          <w:b/>
          <w:bCs/>
        </w:rPr>
        <w:t>INFORME DE LA AUTOCALIFICACIÓN DEL SISTEMA DE CONTROL INTERNO CONTABLE:</w:t>
      </w:r>
    </w:p>
    <w:p w14:paraId="6C53D66C" w14:textId="77777777" w:rsidR="00561B22" w:rsidRPr="0077018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7018E" w14:paraId="2C03A411" w14:textId="77777777" w:rsidTr="00F1223B">
        <w:tc>
          <w:tcPr>
            <w:tcW w:w="4981" w:type="dxa"/>
          </w:tcPr>
          <w:p w14:paraId="6755D755"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AUTOCALIFICACIÓN</w:t>
            </w:r>
          </w:p>
        </w:tc>
        <w:tc>
          <w:tcPr>
            <w:tcW w:w="4981" w:type="dxa"/>
          </w:tcPr>
          <w:p w14:paraId="6332B982" w14:textId="77777777" w:rsidR="00561B22" w:rsidRPr="0077018E" w:rsidRDefault="00561B22" w:rsidP="00F1223B">
            <w:pPr>
              <w:jc w:val="center"/>
              <w:rPr>
                <w:rFonts w:ascii="Arial" w:hAnsi="Arial" w:cs="Arial"/>
                <w:b/>
                <w:sz w:val="22"/>
                <w:szCs w:val="22"/>
                <w:u w:val="single"/>
                <w:lang w:val="es-MX"/>
              </w:rPr>
            </w:pPr>
            <w:r w:rsidRPr="0077018E">
              <w:rPr>
                <w:rFonts w:ascii="Arial" w:hAnsi="Arial" w:cs="Arial"/>
                <w:b/>
                <w:sz w:val="22"/>
                <w:szCs w:val="22"/>
                <w:u w:val="single"/>
                <w:lang w:val="es-MX"/>
              </w:rPr>
              <w:t>3.81</w:t>
            </w:r>
          </w:p>
        </w:tc>
      </w:tr>
    </w:tbl>
    <w:p w14:paraId="22B9F2F9" w14:textId="77777777" w:rsidR="00561B22" w:rsidRPr="0077018E" w:rsidRDefault="00561B22" w:rsidP="00561B22">
      <w:pPr>
        <w:pStyle w:val="Textoindependiente"/>
        <w:ind w:right="-50"/>
        <w:jc w:val="both"/>
        <w:rPr>
          <w:rFonts w:ascii="Arial" w:hAnsi="Arial" w:cs="Arial"/>
          <w:b/>
          <w:bCs/>
        </w:rPr>
      </w:pPr>
    </w:p>
    <w:p w14:paraId="52AB0948" w14:textId="77777777" w:rsidR="00561B22" w:rsidRPr="0077018E" w:rsidRDefault="00561B22" w:rsidP="00561B22">
      <w:pPr>
        <w:pStyle w:val="Textoindependiente"/>
        <w:ind w:right="-50"/>
        <w:jc w:val="both"/>
        <w:rPr>
          <w:rFonts w:ascii="Arial" w:hAnsi="Arial" w:cs="Arial"/>
          <w:b/>
          <w:bCs/>
        </w:rPr>
      </w:pPr>
      <w:r w:rsidRPr="0077018E">
        <w:rPr>
          <w:rFonts w:ascii="Arial" w:hAnsi="Arial" w:cs="Arial"/>
          <w:b/>
          <w:bCs/>
        </w:rPr>
        <w:t>Del informe enviado retomamos lo siguiente:</w:t>
      </w:r>
    </w:p>
    <w:p w14:paraId="068FEC4C" w14:textId="77777777" w:rsidR="00561B22" w:rsidRPr="0077018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77018E" w14:paraId="0D95241F" w14:textId="77777777" w:rsidTr="00F1223B">
        <w:tc>
          <w:tcPr>
            <w:tcW w:w="846" w:type="dxa"/>
          </w:tcPr>
          <w:p w14:paraId="5A68CA9E" w14:textId="77777777" w:rsidR="00561B22" w:rsidRPr="0077018E" w:rsidRDefault="00561B22" w:rsidP="00F1223B">
            <w:pPr>
              <w:ind w:right="-109"/>
              <w:jc w:val="center"/>
              <w:rPr>
                <w:rFonts w:ascii="Arial" w:hAnsi="Arial" w:cs="Arial"/>
                <w:b/>
                <w:sz w:val="22"/>
                <w:szCs w:val="22"/>
                <w:lang w:val="es-MX"/>
              </w:rPr>
            </w:pPr>
            <w:r w:rsidRPr="0077018E">
              <w:rPr>
                <w:rFonts w:ascii="Arial" w:hAnsi="Arial" w:cs="Arial"/>
                <w:b/>
                <w:sz w:val="22"/>
                <w:szCs w:val="22"/>
                <w:lang w:val="es-MX"/>
              </w:rPr>
              <w:t>N°</w:t>
            </w:r>
          </w:p>
        </w:tc>
        <w:tc>
          <w:tcPr>
            <w:tcW w:w="9116" w:type="dxa"/>
          </w:tcPr>
          <w:p w14:paraId="0131F348"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DEBILIDADES</w:t>
            </w:r>
          </w:p>
          <w:p w14:paraId="744EC980" w14:textId="77777777" w:rsidR="00561B22" w:rsidRPr="0077018E" w:rsidRDefault="00561B22" w:rsidP="00F1223B">
            <w:pPr>
              <w:jc w:val="center"/>
              <w:rPr>
                <w:rFonts w:ascii="Arial" w:hAnsi="Arial" w:cs="Arial"/>
                <w:b/>
                <w:sz w:val="22"/>
                <w:szCs w:val="22"/>
                <w:lang w:val="es-MX"/>
              </w:rPr>
            </w:pPr>
          </w:p>
        </w:tc>
      </w:tr>
      <w:tr w:rsidR="00561B22" w:rsidRPr="0077018E" w14:paraId="4E78D0FE" w14:textId="77777777" w:rsidTr="00F1223B">
        <w:tc>
          <w:tcPr>
            <w:tcW w:w="846" w:type="dxa"/>
          </w:tcPr>
          <w:p w14:paraId="2D977894"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1</w:t>
            </w:r>
          </w:p>
        </w:tc>
        <w:tc>
          <w:tcPr>
            <w:tcW w:w="9116" w:type="dxa"/>
          </w:tcPr>
          <w:p w14:paraId="26F98BE6"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Se denota como acción de mejora falta de control general de los registros contables realizados por otros procesos.</w:t>
            </w:r>
          </w:p>
        </w:tc>
      </w:tr>
      <w:tr w:rsidR="00561B22" w:rsidRPr="0077018E" w14:paraId="5AF9B732" w14:textId="77777777" w:rsidTr="00F1223B">
        <w:tc>
          <w:tcPr>
            <w:tcW w:w="846" w:type="dxa"/>
          </w:tcPr>
          <w:p w14:paraId="0BF68355"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2</w:t>
            </w:r>
          </w:p>
        </w:tc>
        <w:tc>
          <w:tcPr>
            <w:tcW w:w="9116" w:type="dxa"/>
          </w:tcPr>
          <w:p w14:paraId="0B190C4E"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 xml:space="preserve">El proceso financiero es responsable de realizar capacitación autónoma con el fin de mantener actualizado en las normas legales vigentes, adicionalmente realizar programación </w:t>
            </w:r>
            <w:r w:rsidRPr="0077018E">
              <w:rPr>
                <w:rFonts w:ascii="Arial" w:hAnsi="Arial" w:cs="Arial"/>
                <w:sz w:val="22"/>
                <w:szCs w:val="22"/>
              </w:rPr>
              <w:lastRenderedPageBreak/>
              <w:t>de capacitación para la coordinación de talento humano.</w:t>
            </w:r>
          </w:p>
        </w:tc>
      </w:tr>
      <w:tr w:rsidR="00561B22" w:rsidRPr="0077018E" w14:paraId="18107359" w14:textId="77777777" w:rsidTr="00F1223B">
        <w:tc>
          <w:tcPr>
            <w:tcW w:w="846" w:type="dxa"/>
          </w:tcPr>
          <w:p w14:paraId="38F5CF1C"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lastRenderedPageBreak/>
              <w:t>3</w:t>
            </w:r>
          </w:p>
        </w:tc>
        <w:tc>
          <w:tcPr>
            <w:tcW w:w="9116" w:type="dxa"/>
          </w:tcPr>
          <w:p w14:paraId="491725C3"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Administrar los riesgos financieros.</w:t>
            </w:r>
          </w:p>
        </w:tc>
      </w:tr>
      <w:tr w:rsidR="00561B22" w:rsidRPr="0077018E" w14:paraId="16CD71CC" w14:textId="77777777" w:rsidTr="00F1223B">
        <w:tc>
          <w:tcPr>
            <w:tcW w:w="846" w:type="dxa"/>
          </w:tcPr>
          <w:p w14:paraId="4A25D813"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4</w:t>
            </w:r>
          </w:p>
        </w:tc>
        <w:tc>
          <w:tcPr>
            <w:tcW w:w="9116" w:type="dxa"/>
          </w:tcPr>
          <w:p w14:paraId="28DF3A54"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Acoger los principios de autocontrol, autogestión y autoevaluación.</w:t>
            </w:r>
          </w:p>
        </w:tc>
      </w:tr>
      <w:tr w:rsidR="00561B22" w:rsidRPr="0077018E" w14:paraId="3227A291" w14:textId="77777777" w:rsidTr="00F1223B">
        <w:tc>
          <w:tcPr>
            <w:tcW w:w="846" w:type="dxa"/>
          </w:tcPr>
          <w:p w14:paraId="62936B4F"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5</w:t>
            </w:r>
          </w:p>
        </w:tc>
        <w:tc>
          <w:tcPr>
            <w:tcW w:w="9116" w:type="dxa"/>
          </w:tcPr>
          <w:p w14:paraId="4C88AB7C"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El proceso continúa con las debilidades de la vigencia anterior. Falta documentar los controles</w:t>
            </w:r>
          </w:p>
        </w:tc>
      </w:tr>
    </w:tbl>
    <w:p w14:paraId="35946B72" w14:textId="77777777" w:rsidR="00561B22" w:rsidRPr="0077018E" w:rsidRDefault="00561B22" w:rsidP="00561B22">
      <w:pPr>
        <w:pStyle w:val="Textoindependiente"/>
        <w:ind w:right="-50"/>
        <w:jc w:val="both"/>
        <w:rPr>
          <w:rFonts w:ascii="Arial" w:hAnsi="Arial" w:cs="Arial"/>
          <w:b/>
          <w:bCs/>
        </w:rPr>
      </w:pPr>
    </w:p>
    <w:p w14:paraId="19EAB4EE" w14:textId="77777777" w:rsidR="00561B22" w:rsidRPr="0077018E" w:rsidRDefault="00561B22" w:rsidP="00561B22">
      <w:pPr>
        <w:jc w:val="both"/>
        <w:rPr>
          <w:rFonts w:ascii="Arial" w:hAnsi="Arial" w:cs="Arial"/>
          <w:b/>
          <w:lang w:val="es-MX"/>
        </w:rPr>
      </w:pPr>
      <w:r w:rsidRPr="0077018E">
        <w:rPr>
          <w:rFonts w:ascii="Arial" w:hAnsi="Arial" w:cs="Arial"/>
          <w:b/>
          <w:lang w:val="es-MX"/>
        </w:rPr>
        <w:t>Del citado informe retomamos las siguientes recomendaciones:</w:t>
      </w:r>
    </w:p>
    <w:p w14:paraId="5C2BD0FF" w14:textId="77777777" w:rsidR="00561B22" w:rsidRPr="0077018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77018E" w14:paraId="655E4CE0" w14:textId="77777777" w:rsidTr="00F1223B">
        <w:tc>
          <w:tcPr>
            <w:tcW w:w="846" w:type="dxa"/>
          </w:tcPr>
          <w:p w14:paraId="17FDABDE" w14:textId="77777777" w:rsidR="00561B22" w:rsidRPr="0077018E" w:rsidRDefault="00561B22" w:rsidP="00F1223B">
            <w:pPr>
              <w:ind w:right="-109"/>
              <w:jc w:val="center"/>
              <w:rPr>
                <w:rFonts w:ascii="Arial" w:hAnsi="Arial" w:cs="Arial"/>
                <w:b/>
                <w:sz w:val="22"/>
                <w:szCs w:val="22"/>
                <w:lang w:val="es-MX"/>
              </w:rPr>
            </w:pPr>
            <w:r w:rsidRPr="0077018E">
              <w:rPr>
                <w:rFonts w:ascii="Arial" w:hAnsi="Arial" w:cs="Arial"/>
                <w:b/>
                <w:sz w:val="22"/>
                <w:szCs w:val="22"/>
                <w:lang w:val="es-MX"/>
              </w:rPr>
              <w:t>N°</w:t>
            </w:r>
          </w:p>
        </w:tc>
        <w:tc>
          <w:tcPr>
            <w:tcW w:w="9116" w:type="dxa"/>
          </w:tcPr>
          <w:p w14:paraId="79B72655"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RECOMENDACIONES</w:t>
            </w:r>
          </w:p>
          <w:p w14:paraId="02467E0C" w14:textId="77777777" w:rsidR="00561B22" w:rsidRPr="0077018E" w:rsidRDefault="00561B22" w:rsidP="00F1223B">
            <w:pPr>
              <w:jc w:val="center"/>
              <w:rPr>
                <w:rFonts w:ascii="Arial" w:hAnsi="Arial" w:cs="Arial"/>
                <w:b/>
                <w:sz w:val="22"/>
                <w:szCs w:val="22"/>
                <w:lang w:val="es-MX"/>
              </w:rPr>
            </w:pPr>
          </w:p>
        </w:tc>
      </w:tr>
      <w:tr w:rsidR="00561B22" w:rsidRPr="0077018E" w14:paraId="486DB449" w14:textId="77777777" w:rsidTr="00F1223B">
        <w:tc>
          <w:tcPr>
            <w:tcW w:w="846" w:type="dxa"/>
          </w:tcPr>
          <w:p w14:paraId="6DB82842"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1</w:t>
            </w:r>
          </w:p>
        </w:tc>
        <w:tc>
          <w:tcPr>
            <w:tcW w:w="9116" w:type="dxa"/>
          </w:tcPr>
          <w:p w14:paraId="4CED589F"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La presente evaluación es de control interno contable, las preguntas van encaminadas a la gestión contable únicamente, aunque estén relacionados los otros procesos. Por ejemplo</w:t>
            </w:r>
            <w:r>
              <w:rPr>
                <w:rFonts w:ascii="Arial" w:hAnsi="Arial" w:cs="Arial"/>
                <w:sz w:val="22"/>
                <w:szCs w:val="22"/>
              </w:rPr>
              <w:t>,</w:t>
            </w:r>
            <w:r w:rsidRPr="0077018E">
              <w:rPr>
                <w:rFonts w:ascii="Arial" w:hAnsi="Arial" w:cs="Arial"/>
                <w:sz w:val="22"/>
                <w:szCs w:val="22"/>
              </w:rPr>
              <w:t xml:space="preserve"> verificar el registro de la nómina, realizar cruce de información inventarios entre otros.</w:t>
            </w:r>
          </w:p>
        </w:tc>
      </w:tr>
      <w:tr w:rsidR="00561B22" w:rsidRPr="0077018E" w14:paraId="260D2F5A" w14:textId="77777777" w:rsidTr="00F1223B">
        <w:tc>
          <w:tcPr>
            <w:tcW w:w="846" w:type="dxa"/>
          </w:tcPr>
          <w:p w14:paraId="33AA3D45"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2</w:t>
            </w:r>
          </w:p>
        </w:tc>
        <w:tc>
          <w:tcPr>
            <w:tcW w:w="9116" w:type="dxa"/>
          </w:tcPr>
          <w:p w14:paraId="24FD575C"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Actualizar el Manual de procedimiento contable 2017</w:t>
            </w:r>
          </w:p>
        </w:tc>
      </w:tr>
      <w:tr w:rsidR="00561B22" w:rsidRPr="0077018E" w14:paraId="51FA728F" w14:textId="77777777" w:rsidTr="00F1223B">
        <w:tc>
          <w:tcPr>
            <w:tcW w:w="846" w:type="dxa"/>
          </w:tcPr>
          <w:p w14:paraId="62DE5BBF" w14:textId="77777777" w:rsidR="00561B22" w:rsidRPr="0077018E" w:rsidRDefault="00561B22" w:rsidP="00F1223B">
            <w:pPr>
              <w:jc w:val="center"/>
              <w:rPr>
                <w:rFonts w:ascii="Arial" w:hAnsi="Arial" w:cs="Arial"/>
                <w:b/>
                <w:sz w:val="22"/>
                <w:szCs w:val="22"/>
                <w:lang w:val="es-MX"/>
              </w:rPr>
            </w:pPr>
            <w:r w:rsidRPr="0077018E">
              <w:rPr>
                <w:rFonts w:ascii="Arial" w:hAnsi="Arial" w:cs="Arial"/>
                <w:b/>
                <w:sz w:val="22"/>
                <w:szCs w:val="22"/>
                <w:lang w:val="es-MX"/>
              </w:rPr>
              <w:t>3</w:t>
            </w:r>
          </w:p>
        </w:tc>
        <w:tc>
          <w:tcPr>
            <w:tcW w:w="9116" w:type="dxa"/>
          </w:tcPr>
          <w:p w14:paraId="0772963E" w14:textId="77777777" w:rsidR="00561B22" w:rsidRPr="0077018E" w:rsidRDefault="00561B22" w:rsidP="00F1223B">
            <w:pPr>
              <w:jc w:val="both"/>
              <w:rPr>
                <w:rFonts w:ascii="Arial" w:hAnsi="Arial" w:cs="Arial"/>
                <w:b/>
                <w:sz w:val="22"/>
                <w:szCs w:val="22"/>
                <w:lang w:val="es-MX"/>
              </w:rPr>
            </w:pPr>
            <w:r w:rsidRPr="0077018E">
              <w:rPr>
                <w:rFonts w:ascii="Arial" w:hAnsi="Arial" w:cs="Arial"/>
                <w:sz w:val="22"/>
                <w:szCs w:val="22"/>
              </w:rPr>
              <w:t>Administrar los riesgos financieros</w:t>
            </w:r>
          </w:p>
        </w:tc>
      </w:tr>
    </w:tbl>
    <w:p w14:paraId="1009ADF8" w14:textId="77777777" w:rsidR="00561B22" w:rsidRPr="0077018E" w:rsidRDefault="00561B22" w:rsidP="00561B22">
      <w:pPr>
        <w:pStyle w:val="Textoindependiente"/>
        <w:ind w:right="-50"/>
        <w:jc w:val="both"/>
        <w:rPr>
          <w:rFonts w:ascii="Arial" w:hAnsi="Arial" w:cs="Arial"/>
          <w:b/>
          <w:bCs/>
          <w:sz w:val="28"/>
          <w:szCs w:val="28"/>
        </w:rPr>
      </w:pPr>
    </w:p>
    <w:p w14:paraId="5E63CAA6" w14:textId="77777777" w:rsidR="00561B22" w:rsidRPr="0077018E" w:rsidRDefault="00561B22" w:rsidP="00561B22">
      <w:pPr>
        <w:jc w:val="both"/>
        <w:rPr>
          <w:rFonts w:ascii="Arial" w:hAnsi="Arial" w:cs="Arial"/>
          <w:b/>
          <w:bCs/>
          <w:sz w:val="24"/>
          <w:szCs w:val="24"/>
          <w:lang w:val="es-CO"/>
        </w:rPr>
      </w:pPr>
      <w:r w:rsidRPr="0077018E">
        <w:rPr>
          <w:rFonts w:ascii="Arial" w:hAnsi="Arial" w:cs="Arial"/>
          <w:b/>
          <w:bCs/>
          <w:sz w:val="24"/>
          <w:szCs w:val="24"/>
          <w:lang w:val="es-CO"/>
        </w:rPr>
        <w:t xml:space="preserve">NOTA: LA ENTIDAD ENVIA LA MATRIZ DE AUTOEVALUACIÓN DEL SISTEMA DE CONTROL INTERNO CONTABLE CON ACTIVIDADES DE CONTROL REALIZADAS </w:t>
      </w:r>
      <w:r w:rsidRPr="0077018E">
        <w:rPr>
          <w:rFonts w:ascii="Arial" w:hAnsi="Arial" w:cs="Arial"/>
          <w:b/>
          <w:bCs/>
          <w:sz w:val="24"/>
          <w:szCs w:val="24"/>
          <w:u w:val="single"/>
          <w:lang w:val="es-CO"/>
        </w:rPr>
        <w:t>EN FORMA PARCIAL Y OTRAS SIMPLEMENTE INFORMAN QUE NO SE REALIZARON</w:t>
      </w:r>
      <w:r w:rsidRPr="0077018E">
        <w:rPr>
          <w:rFonts w:ascii="Arial" w:hAnsi="Arial" w:cs="Arial"/>
          <w:b/>
          <w:bCs/>
          <w:sz w:val="24"/>
          <w:szCs w:val="24"/>
          <w:lang w:val="es-CO"/>
        </w:rPr>
        <w:t>.</w:t>
      </w:r>
    </w:p>
    <w:p w14:paraId="35622E0D" w14:textId="77777777" w:rsidR="00561B22" w:rsidRDefault="00561B22" w:rsidP="00561B22">
      <w:pPr>
        <w:ind w:left="142"/>
        <w:jc w:val="both"/>
        <w:rPr>
          <w:rFonts w:ascii="Arial" w:hAnsi="Arial" w:cs="Arial"/>
          <w:b/>
          <w:sz w:val="24"/>
          <w:szCs w:val="24"/>
          <w:lang w:val="es-CO"/>
        </w:rPr>
      </w:pPr>
    </w:p>
    <w:p w14:paraId="128D8A35" w14:textId="77777777" w:rsidR="00561B22" w:rsidRPr="00A02198" w:rsidRDefault="00561B22" w:rsidP="00561B22">
      <w:pPr>
        <w:jc w:val="both"/>
        <w:rPr>
          <w:rFonts w:ascii="Arial" w:hAnsi="Arial" w:cs="Arial"/>
          <w:b/>
          <w:sz w:val="28"/>
          <w:szCs w:val="28"/>
          <w:lang w:val="es-MX"/>
        </w:rPr>
      </w:pPr>
      <w:r w:rsidRPr="00A02198">
        <w:rPr>
          <w:rFonts w:ascii="Arial" w:hAnsi="Arial" w:cs="Arial"/>
          <w:b/>
          <w:sz w:val="28"/>
          <w:szCs w:val="28"/>
          <w:lang w:val="es-MX"/>
        </w:rPr>
        <w:t>30.- JURISDICCION ESPECIAL PARA LA PAZ - JEP.</w:t>
      </w:r>
    </w:p>
    <w:p w14:paraId="5AFBD2CB" w14:textId="77777777" w:rsidR="00561B22" w:rsidRDefault="00561B22" w:rsidP="00561B22">
      <w:pPr>
        <w:jc w:val="both"/>
        <w:rPr>
          <w:rFonts w:ascii="Arial" w:hAnsi="Arial" w:cs="Arial"/>
          <w:sz w:val="28"/>
          <w:szCs w:val="28"/>
          <w:lang w:val="es-MX"/>
        </w:rPr>
      </w:pPr>
    </w:p>
    <w:p w14:paraId="09D290CA" w14:textId="77777777" w:rsidR="00561B22" w:rsidRPr="0058399D" w:rsidRDefault="00561B22" w:rsidP="00561B22">
      <w:pPr>
        <w:pStyle w:val="Textoindependiente"/>
        <w:ind w:right="-50"/>
        <w:jc w:val="center"/>
        <w:rPr>
          <w:rFonts w:ascii="Arial" w:hAnsi="Arial" w:cs="Arial"/>
          <w:b/>
          <w:bCs/>
        </w:rPr>
      </w:pPr>
      <w:r w:rsidRPr="0058399D">
        <w:rPr>
          <w:rFonts w:ascii="Arial" w:hAnsi="Arial" w:cs="Arial"/>
          <w:b/>
          <w:bCs/>
        </w:rPr>
        <w:t>INFORME DE LA AUTOCALIFICACIÓN DEL SISTEMA DE CONTROL INTERNO CONTABLE:</w:t>
      </w:r>
    </w:p>
    <w:p w14:paraId="6E093D18" w14:textId="77777777" w:rsidR="00561B22" w:rsidRPr="0058399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8399D" w14:paraId="14D13803" w14:textId="77777777" w:rsidTr="00F1223B">
        <w:tc>
          <w:tcPr>
            <w:tcW w:w="4981" w:type="dxa"/>
          </w:tcPr>
          <w:p w14:paraId="7379A5E5" w14:textId="77777777" w:rsidR="00561B22" w:rsidRPr="0058399D" w:rsidRDefault="00561B22" w:rsidP="00F1223B">
            <w:pPr>
              <w:jc w:val="center"/>
              <w:rPr>
                <w:rFonts w:ascii="Arial" w:hAnsi="Arial" w:cs="Arial"/>
                <w:b/>
                <w:sz w:val="22"/>
                <w:szCs w:val="22"/>
                <w:lang w:val="es-MX"/>
              </w:rPr>
            </w:pPr>
            <w:r w:rsidRPr="0058399D">
              <w:rPr>
                <w:rFonts w:ascii="Arial" w:hAnsi="Arial" w:cs="Arial"/>
                <w:b/>
                <w:sz w:val="22"/>
                <w:szCs w:val="22"/>
                <w:lang w:val="es-MX"/>
              </w:rPr>
              <w:t>AUTOCALIFICACIÓN</w:t>
            </w:r>
          </w:p>
        </w:tc>
        <w:tc>
          <w:tcPr>
            <w:tcW w:w="4981" w:type="dxa"/>
          </w:tcPr>
          <w:p w14:paraId="1CDE3CDA" w14:textId="77777777" w:rsidR="00561B22" w:rsidRPr="0058399D" w:rsidRDefault="00561B22" w:rsidP="00F1223B">
            <w:pPr>
              <w:jc w:val="center"/>
              <w:rPr>
                <w:rFonts w:ascii="Arial" w:hAnsi="Arial" w:cs="Arial"/>
                <w:b/>
                <w:sz w:val="22"/>
                <w:szCs w:val="22"/>
                <w:u w:val="single"/>
                <w:lang w:val="es-MX"/>
              </w:rPr>
            </w:pPr>
            <w:r w:rsidRPr="0058399D">
              <w:rPr>
                <w:rFonts w:ascii="Arial" w:hAnsi="Arial" w:cs="Arial"/>
                <w:b/>
                <w:sz w:val="22"/>
                <w:szCs w:val="22"/>
                <w:u w:val="single"/>
                <w:lang w:val="es-MX"/>
              </w:rPr>
              <w:t>5.00</w:t>
            </w:r>
          </w:p>
        </w:tc>
      </w:tr>
    </w:tbl>
    <w:p w14:paraId="395E8323" w14:textId="77777777" w:rsidR="00561B22" w:rsidRPr="0058399D" w:rsidRDefault="00561B22" w:rsidP="00561B22">
      <w:pPr>
        <w:pStyle w:val="Textoindependiente"/>
        <w:ind w:right="-50"/>
        <w:jc w:val="both"/>
        <w:rPr>
          <w:rFonts w:ascii="Arial" w:hAnsi="Arial" w:cs="Arial"/>
          <w:b/>
          <w:bCs/>
        </w:rPr>
      </w:pPr>
    </w:p>
    <w:p w14:paraId="79D9AA75" w14:textId="77777777" w:rsidR="00561B22" w:rsidRPr="0058399D" w:rsidRDefault="00561B22" w:rsidP="00561B22">
      <w:pPr>
        <w:pStyle w:val="Textoindependiente"/>
        <w:ind w:right="-50"/>
        <w:jc w:val="both"/>
        <w:rPr>
          <w:rFonts w:ascii="Arial" w:hAnsi="Arial" w:cs="Arial"/>
          <w:b/>
          <w:bCs/>
        </w:rPr>
      </w:pPr>
      <w:r w:rsidRPr="0058399D">
        <w:rPr>
          <w:rFonts w:ascii="Arial" w:hAnsi="Arial" w:cs="Arial"/>
          <w:b/>
          <w:bCs/>
        </w:rPr>
        <w:t>Del informe enviado retomamos lo siguiente:</w:t>
      </w:r>
    </w:p>
    <w:p w14:paraId="2E6D350E" w14:textId="77777777" w:rsidR="00561B22" w:rsidRPr="0058399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58399D" w14:paraId="34C29E3C" w14:textId="77777777" w:rsidTr="00F1223B">
        <w:tc>
          <w:tcPr>
            <w:tcW w:w="846" w:type="dxa"/>
          </w:tcPr>
          <w:p w14:paraId="2E9918F4" w14:textId="77777777" w:rsidR="00561B22" w:rsidRPr="0058399D" w:rsidRDefault="00561B22" w:rsidP="00F1223B">
            <w:pPr>
              <w:ind w:right="-109"/>
              <w:jc w:val="center"/>
              <w:rPr>
                <w:rFonts w:ascii="Arial" w:hAnsi="Arial" w:cs="Arial"/>
                <w:b/>
                <w:sz w:val="22"/>
                <w:szCs w:val="22"/>
                <w:lang w:val="es-MX"/>
              </w:rPr>
            </w:pPr>
            <w:r w:rsidRPr="0058399D">
              <w:rPr>
                <w:rFonts w:ascii="Arial" w:hAnsi="Arial" w:cs="Arial"/>
                <w:b/>
                <w:sz w:val="22"/>
                <w:szCs w:val="22"/>
                <w:lang w:val="es-MX"/>
              </w:rPr>
              <w:t>N°</w:t>
            </w:r>
          </w:p>
        </w:tc>
        <w:tc>
          <w:tcPr>
            <w:tcW w:w="9116" w:type="dxa"/>
          </w:tcPr>
          <w:p w14:paraId="425F0B54" w14:textId="77777777" w:rsidR="00561B22" w:rsidRPr="0058399D" w:rsidRDefault="00561B22" w:rsidP="00F1223B">
            <w:pPr>
              <w:jc w:val="center"/>
              <w:rPr>
                <w:rFonts w:ascii="Arial" w:hAnsi="Arial" w:cs="Arial"/>
                <w:b/>
                <w:sz w:val="22"/>
                <w:szCs w:val="22"/>
                <w:lang w:val="es-MX"/>
              </w:rPr>
            </w:pPr>
            <w:r w:rsidRPr="0058399D">
              <w:rPr>
                <w:rFonts w:ascii="Arial" w:hAnsi="Arial" w:cs="Arial"/>
                <w:b/>
                <w:sz w:val="22"/>
                <w:szCs w:val="22"/>
                <w:lang w:val="es-MX"/>
              </w:rPr>
              <w:t>RECOMENDACIONES</w:t>
            </w:r>
          </w:p>
          <w:p w14:paraId="53426251" w14:textId="77777777" w:rsidR="00561B22" w:rsidRPr="0058399D" w:rsidRDefault="00561B22" w:rsidP="00F1223B">
            <w:pPr>
              <w:jc w:val="center"/>
              <w:rPr>
                <w:rFonts w:ascii="Arial" w:hAnsi="Arial" w:cs="Arial"/>
                <w:b/>
                <w:sz w:val="22"/>
                <w:szCs w:val="22"/>
                <w:lang w:val="es-MX"/>
              </w:rPr>
            </w:pPr>
          </w:p>
        </w:tc>
      </w:tr>
      <w:tr w:rsidR="00561B22" w:rsidRPr="0058399D" w14:paraId="73EC72C8" w14:textId="77777777" w:rsidTr="00F1223B">
        <w:tc>
          <w:tcPr>
            <w:tcW w:w="846" w:type="dxa"/>
          </w:tcPr>
          <w:p w14:paraId="293D3159" w14:textId="77777777" w:rsidR="00561B22" w:rsidRPr="0058399D" w:rsidRDefault="00561B22" w:rsidP="00F1223B">
            <w:pPr>
              <w:jc w:val="center"/>
              <w:rPr>
                <w:rFonts w:ascii="Arial" w:hAnsi="Arial" w:cs="Arial"/>
                <w:b/>
                <w:sz w:val="22"/>
                <w:szCs w:val="22"/>
                <w:lang w:val="es-MX"/>
              </w:rPr>
            </w:pPr>
            <w:r w:rsidRPr="0058399D">
              <w:rPr>
                <w:rFonts w:ascii="Arial" w:hAnsi="Arial" w:cs="Arial"/>
                <w:b/>
                <w:sz w:val="22"/>
                <w:szCs w:val="22"/>
                <w:lang w:val="es-MX"/>
              </w:rPr>
              <w:t>1</w:t>
            </w:r>
          </w:p>
        </w:tc>
        <w:tc>
          <w:tcPr>
            <w:tcW w:w="9116" w:type="dxa"/>
          </w:tcPr>
          <w:p w14:paraId="2B9AFD19" w14:textId="77777777" w:rsidR="00561B22" w:rsidRPr="0058399D" w:rsidRDefault="00561B22" w:rsidP="00F1223B">
            <w:pPr>
              <w:jc w:val="both"/>
              <w:rPr>
                <w:rFonts w:ascii="Arial" w:hAnsi="Arial" w:cs="Arial"/>
                <w:sz w:val="22"/>
                <w:szCs w:val="22"/>
                <w:lang w:val="es-MX"/>
              </w:rPr>
            </w:pPr>
            <w:r w:rsidRPr="0058399D">
              <w:rPr>
                <w:rFonts w:ascii="Arial" w:hAnsi="Arial" w:cs="Arial"/>
                <w:sz w:val="22"/>
                <w:szCs w:val="22"/>
                <w:lang w:val="es-ES_tradnl"/>
              </w:rPr>
              <w:t xml:space="preserve">Continuar aplicando el autocontrol que permita a la Entidad mejoras constantes en el proceso contable. </w:t>
            </w:r>
          </w:p>
        </w:tc>
      </w:tr>
      <w:tr w:rsidR="00561B22" w:rsidRPr="0058399D" w14:paraId="6A98DC40" w14:textId="77777777" w:rsidTr="00F1223B">
        <w:tc>
          <w:tcPr>
            <w:tcW w:w="846" w:type="dxa"/>
          </w:tcPr>
          <w:p w14:paraId="50FC6688" w14:textId="77777777" w:rsidR="00561B22" w:rsidRPr="0058399D" w:rsidRDefault="00561B22" w:rsidP="00F1223B">
            <w:pPr>
              <w:jc w:val="center"/>
              <w:rPr>
                <w:rFonts w:ascii="Arial" w:hAnsi="Arial" w:cs="Arial"/>
                <w:b/>
                <w:sz w:val="22"/>
                <w:szCs w:val="22"/>
                <w:lang w:val="es-MX"/>
              </w:rPr>
            </w:pPr>
            <w:r w:rsidRPr="0058399D">
              <w:rPr>
                <w:rFonts w:ascii="Arial" w:hAnsi="Arial" w:cs="Arial"/>
                <w:b/>
                <w:sz w:val="22"/>
                <w:szCs w:val="22"/>
                <w:lang w:val="es-MX"/>
              </w:rPr>
              <w:t>2</w:t>
            </w:r>
          </w:p>
        </w:tc>
        <w:tc>
          <w:tcPr>
            <w:tcW w:w="9116" w:type="dxa"/>
          </w:tcPr>
          <w:p w14:paraId="7DF63D41" w14:textId="77777777" w:rsidR="00561B22" w:rsidRPr="0058399D" w:rsidRDefault="00561B22" w:rsidP="00F1223B">
            <w:pPr>
              <w:jc w:val="both"/>
              <w:rPr>
                <w:rFonts w:ascii="Arial" w:hAnsi="Arial" w:cs="Arial"/>
                <w:sz w:val="22"/>
                <w:szCs w:val="22"/>
                <w:lang w:val="es-MX"/>
              </w:rPr>
            </w:pPr>
            <w:r w:rsidRPr="0058399D">
              <w:rPr>
                <w:rFonts w:ascii="Arial" w:hAnsi="Arial" w:cs="Arial"/>
                <w:sz w:val="22"/>
                <w:szCs w:val="22"/>
                <w:lang w:val="es-ES_tradnl"/>
              </w:rPr>
              <w:t>Continuar con la actualización permanente de los procesos y procedimientos documentados en el área contable</w:t>
            </w:r>
          </w:p>
        </w:tc>
      </w:tr>
      <w:tr w:rsidR="00561B22" w:rsidRPr="0058399D" w14:paraId="7544ACDF" w14:textId="77777777" w:rsidTr="00F1223B">
        <w:tc>
          <w:tcPr>
            <w:tcW w:w="846" w:type="dxa"/>
          </w:tcPr>
          <w:p w14:paraId="054663FD" w14:textId="77777777" w:rsidR="00561B22" w:rsidRPr="0058399D" w:rsidRDefault="00561B22" w:rsidP="00F1223B">
            <w:pPr>
              <w:jc w:val="center"/>
              <w:rPr>
                <w:rFonts w:ascii="Arial" w:hAnsi="Arial" w:cs="Arial"/>
                <w:b/>
                <w:sz w:val="22"/>
                <w:szCs w:val="22"/>
                <w:lang w:val="es-MX"/>
              </w:rPr>
            </w:pPr>
            <w:r w:rsidRPr="0058399D">
              <w:rPr>
                <w:rFonts w:ascii="Arial" w:hAnsi="Arial" w:cs="Arial"/>
                <w:b/>
                <w:sz w:val="22"/>
                <w:szCs w:val="22"/>
                <w:lang w:val="es-MX"/>
              </w:rPr>
              <w:t>3</w:t>
            </w:r>
          </w:p>
        </w:tc>
        <w:tc>
          <w:tcPr>
            <w:tcW w:w="9116" w:type="dxa"/>
          </w:tcPr>
          <w:p w14:paraId="78768120" w14:textId="77777777" w:rsidR="00561B22" w:rsidRPr="0058399D" w:rsidRDefault="00561B22" w:rsidP="00F1223B">
            <w:pPr>
              <w:jc w:val="both"/>
              <w:rPr>
                <w:rFonts w:ascii="Arial" w:hAnsi="Arial" w:cs="Arial"/>
                <w:sz w:val="22"/>
                <w:szCs w:val="22"/>
                <w:lang w:val="es-MX"/>
              </w:rPr>
            </w:pPr>
            <w:r w:rsidRPr="0058399D">
              <w:rPr>
                <w:rFonts w:ascii="Arial" w:hAnsi="Arial" w:cs="Arial"/>
                <w:sz w:val="22"/>
                <w:szCs w:val="22"/>
                <w:lang w:val="es-ES_tradnl"/>
              </w:rPr>
              <w:t>Continuar fortaleciendo el monitoreo a los riesgos identificados para el proceso de Gestión Financiera</w:t>
            </w:r>
          </w:p>
        </w:tc>
      </w:tr>
      <w:tr w:rsidR="00561B22" w:rsidRPr="0058399D" w14:paraId="7B885C73" w14:textId="77777777" w:rsidTr="00F1223B">
        <w:tc>
          <w:tcPr>
            <w:tcW w:w="846" w:type="dxa"/>
          </w:tcPr>
          <w:p w14:paraId="66A8D7C7" w14:textId="77777777" w:rsidR="00561B22" w:rsidRPr="0058399D" w:rsidRDefault="00561B22" w:rsidP="00F1223B">
            <w:pPr>
              <w:jc w:val="center"/>
              <w:rPr>
                <w:rFonts w:ascii="Arial" w:hAnsi="Arial" w:cs="Arial"/>
                <w:b/>
                <w:sz w:val="22"/>
                <w:szCs w:val="22"/>
                <w:lang w:val="es-MX"/>
              </w:rPr>
            </w:pPr>
            <w:r w:rsidRPr="0058399D">
              <w:rPr>
                <w:rFonts w:ascii="Arial" w:hAnsi="Arial" w:cs="Arial"/>
                <w:b/>
                <w:sz w:val="22"/>
                <w:szCs w:val="22"/>
                <w:lang w:val="es-MX"/>
              </w:rPr>
              <w:t>4</w:t>
            </w:r>
          </w:p>
        </w:tc>
        <w:tc>
          <w:tcPr>
            <w:tcW w:w="9116" w:type="dxa"/>
          </w:tcPr>
          <w:p w14:paraId="766AD55E" w14:textId="77777777" w:rsidR="00561B22" w:rsidRPr="0058399D" w:rsidRDefault="00561B22" w:rsidP="00F1223B">
            <w:pPr>
              <w:jc w:val="both"/>
              <w:rPr>
                <w:rFonts w:ascii="Arial" w:hAnsi="Arial" w:cs="Arial"/>
                <w:sz w:val="22"/>
                <w:szCs w:val="22"/>
                <w:lang w:val="es-MX"/>
              </w:rPr>
            </w:pPr>
            <w:r w:rsidRPr="0058399D">
              <w:rPr>
                <w:rFonts w:ascii="Arial" w:hAnsi="Arial" w:cs="Arial"/>
                <w:sz w:val="22"/>
                <w:szCs w:val="22"/>
                <w:lang w:val="es-ES_tradnl"/>
              </w:rPr>
              <w:t xml:space="preserve">Continuar fortaleciendo la retroalimentación entre las diferentes dependencias generadoras de hechos económicos que participan en el proceso contable y que por ende puedan impactar en los Estados Financieros.  </w:t>
            </w:r>
          </w:p>
        </w:tc>
      </w:tr>
    </w:tbl>
    <w:p w14:paraId="394F97CC" w14:textId="77777777" w:rsidR="00561B22" w:rsidRPr="0058399D" w:rsidRDefault="00561B22" w:rsidP="00561B22">
      <w:pPr>
        <w:pStyle w:val="Textoindependiente"/>
        <w:ind w:right="-50"/>
        <w:jc w:val="both"/>
        <w:rPr>
          <w:rFonts w:ascii="Arial" w:hAnsi="Arial" w:cs="Arial"/>
          <w:b/>
          <w:bCs/>
        </w:rPr>
      </w:pPr>
    </w:p>
    <w:p w14:paraId="3D7F35DD" w14:textId="77777777" w:rsidR="00561B22" w:rsidRPr="00BD6384" w:rsidRDefault="00561B22" w:rsidP="00561B22">
      <w:pPr>
        <w:jc w:val="both"/>
        <w:rPr>
          <w:rFonts w:ascii="Arial" w:hAnsi="Arial" w:cs="Arial"/>
          <w:b/>
          <w:sz w:val="28"/>
          <w:szCs w:val="28"/>
          <w:lang w:val="es-MX"/>
        </w:rPr>
      </w:pPr>
      <w:r w:rsidRPr="00BD6384">
        <w:rPr>
          <w:rFonts w:ascii="Arial" w:hAnsi="Arial" w:cs="Arial"/>
          <w:b/>
          <w:sz w:val="28"/>
          <w:szCs w:val="28"/>
          <w:lang w:val="es-MX"/>
        </w:rPr>
        <w:t>31.- INSTITUTO CARO Y CUERVO.</w:t>
      </w:r>
    </w:p>
    <w:p w14:paraId="5442476F" w14:textId="77777777" w:rsidR="00561B22" w:rsidRDefault="00561B22" w:rsidP="00561B22">
      <w:pPr>
        <w:ind w:left="142"/>
        <w:jc w:val="both"/>
        <w:rPr>
          <w:rFonts w:ascii="Arial" w:hAnsi="Arial" w:cs="Arial"/>
          <w:b/>
          <w:sz w:val="24"/>
          <w:szCs w:val="24"/>
          <w:lang w:val="es-CO"/>
        </w:rPr>
      </w:pPr>
    </w:p>
    <w:p w14:paraId="0DBB5999" w14:textId="77777777" w:rsidR="00561B22" w:rsidRPr="00C04FB1" w:rsidRDefault="00561B22" w:rsidP="00561B22">
      <w:pPr>
        <w:pStyle w:val="Textoindependiente"/>
        <w:ind w:right="-50"/>
        <w:jc w:val="center"/>
        <w:rPr>
          <w:rFonts w:ascii="Arial" w:hAnsi="Arial" w:cs="Arial"/>
          <w:b/>
          <w:bCs/>
        </w:rPr>
      </w:pPr>
      <w:r w:rsidRPr="00C04FB1">
        <w:rPr>
          <w:rFonts w:ascii="Arial" w:hAnsi="Arial" w:cs="Arial"/>
          <w:b/>
          <w:bCs/>
        </w:rPr>
        <w:t>INFORME DE LA AUTOCALIFICACIÓN DEL SISTEMA DE CONTROL INTERNO CONTABLE:</w:t>
      </w:r>
    </w:p>
    <w:p w14:paraId="6769081D" w14:textId="77777777" w:rsidR="00561B22" w:rsidRPr="00C04FB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04FB1" w14:paraId="78AA42C2" w14:textId="77777777" w:rsidTr="00F1223B">
        <w:tc>
          <w:tcPr>
            <w:tcW w:w="4981" w:type="dxa"/>
          </w:tcPr>
          <w:p w14:paraId="43692FF4"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AUTOCALIFICACIÓN</w:t>
            </w:r>
          </w:p>
        </w:tc>
        <w:tc>
          <w:tcPr>
            <w:tcW w:w="4981" w:type="dxa"/>
          </w:tcPr>
          <w:p w14:paraId="3561814D" w14:textId="77777777" w:rsidR="00561B22" w:rsidRPr="00C04FB1" w:rsidRDefault="00561B22" w:rsidP="00F1223B">
            <w:pPr>
              <w:jc w:val="center"/>
              <w:rPr>
                <w:rFonts w:ascii="Arial" w:hAnsi="Arial" w:cs="Arial"/>
                <w:b/>
                <w:sz w:val="22"/>
                <w:szCs w:val="22"/>
                <w:u w:val="single"/>
                <w:lang w:val="es-MX"/>
              </w:rPr>
            </w:pPr>
            <w:r w:rsidRPr="00C04FB1">
              <w:rPr>
                <w:rFonts w:ascii="Arial" w:hAnsi="Arial" w:cs="Arial"/>
                <w:b/>
                <w:sz w:val="22"/>
                <w:szCs w:val="22"/>
                <w:u w:val="single"/>
                <w:lang w:val="es-MX"/>
              </w:rPr>
              <w:t>4.57</w:t>
            </w:r>
          </w:p>
        </w:tc>
      </w:tr>
    </w:tbl>
    <w:p w14:paraId="36CFF9DF" w14:textId="77777777" w:rsidR="00561B22" w:rsidRPr="00C04FB1" w:rsidRDefault="00561B22" w:rsidP="00561B22">
      <w:pPr>
        <w:pStyle w:val="Textoindependiente"/>
        <w:ind w:right="-50"/>
        <w:jc w:val="both"/>
        <w:rPr>
          <w:rFonts w:ascii="Arial" w:hAnsi="Arial" w:cs="Arial"/>
          <w:b/>
          <w:bCs/>
        </w:rPr>
      </w:pPr>
    </w:p>
    <w:p w14:paraId="63B1C157" w14:textId="77777777" w:rsidR="00561B22" w:rsidRPr="00C04FB1" w:rsidRDefault="00561B22" w:rsidP="00561B22">
      <w:pPr>
        <w:pStyle w:val="Textoindependiente"/>
        <w:ind w:right="-50"/>
        <w:jc w:val="both"/>
        <w:rPr>
          <w:rFonts w:ascii="Arial" w:hAnsi="Arial" w:cs="Arial"/>
          <w:b/>
          <w:bCs/>
        </w:rPr>
      </w:pPr>
      <w:r w:rsidRPr="00C04FB1">
        <w:rPr>
          <w:rFonts w:ascii="Arial" w:hAnsi="Arial" w:cs="Arial"/>
          <w:b/>
          <w:bCs/>
        </w:rPr>
        <w:t>Del informe enviado retomamos lo siguiente:</w:t>
      </w:r>
    </w:p>
    <w:p w14:paraId="355324EF" w14:textId="77777777" w:rsidR="00561B22" w:rsidRPr="00C04FB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04FB1" w14:paraId="217F3E79" w14:textId="77777777" w:rsidTr="00F1223B">
        <w:tc>
          <w:tcPr>
            <w:tcW w:w="846" w:type="dxa"/>
          </w:tcPr>
          <w:p w14:paraId="51BCC81A" w14:textId="77777777" w:rsidR="00561B22" w:rsidRPr="00C04FB1" w:rsidRDefault="00561B22" w:rsidP="00F1223B">
            <w:pPr>
              <w:ind w:right="-109"/>
              <w:jc w:val="center"/>
              <w:rPr>
                <w:rFonts w:ascii="Arial" w:hAnsi="Arial" w:cs="Arial"/>
                <w:b/>
                <w:sz w:val="22"/>
                <w:szCs w:val="22"/>
                <w:lang w:val="es-MX"/>
              </w:rPr>
            </w:pPr>
            <w:r w:rsidRPr="00C04FB1">
              <w:rPr>
                <w:rFonts w:ascii="Arial" w:hAnsi="Arial" w:cs="Arial"/>
                <w:b/>
                <w:sz w:val="22"/>
                <w:szCs w:val="22"/>
                <w:lang w:val="es-MX"/>
              </w:rPr>
              <w:t>N°</w:t>
            </w:r>
          </w:p>
        </w:tc>
        <w:tc>
          <w:tcPr>
            <w:tcW w:w="9116" w:type="dxa"/>
          </w:tcPr>
          <w:p w14:paraId="52558122"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DEBILIDADES</w:t>
            </w:r>
          </w:p>
          <w:p w14:paraId="3547E093" w14:textId="77777777" w:rsidR="00561B22" w:rsidRPr="00C04FB1" w:rsidRDefault="00561B22" w:rsidP="00F1223B">
            <w:pPr>
              <w:jc w:val="center"/>
              <w:rPr>
                <w:rFonts w:ascii="Arial" w:hAnsi="Arial" w:cs="Arial"/>
                <w:b/>
                <w:sz w:val="22"/>
                <w:szCs w:val="22"/>
                <w:lang w:val="es-MX"/>
              </w:rPr>
            </w:pPr>
          </w:p>
        </w:tc>
      </w:tr>
      <w:tr w:rsidR="00561B22" w:rsidRPr="00C04FB1" w14:paraId="1CB45A50" w14:textId="77777777" w:rsidTr="00F1223B">
        <w:tc>
          <w:tcPr>
            <w:tcW w:w="846" w:type="dxa"/>
          </w:tcPr>
          <w:p w14:paraId="298C5DFB"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lastRenderedPageBreak/>
              <w:t>1</w:t>
            </w:r>
          </w:p>
        </w:tc>
        <w:tc>
          <w:tcPr>
            <w:tcW w:w="9116" w:type="dxa"/>
          </w:tcPr>
          <w:p w14:paraId="08FE3E9A"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Las políticas contables durante la vigencia 2024, responden al Manual versión 1.0 del año 2017.</w:t>
            </w:r>
          </w:p>
        </w:tc>
      </w:tr>
      <w:tr w:rsidR="00561B22" w:rsidRPr="00C04FB1" w14:paraId="59790196" w14:textId="77777777" w:rsidTr="00F1223B">
        <w:tc>
          <w:tcPr>
            <w:tcW w:w="846" w:type="dxa"/>
          </w:tcPr>
          <w:p w14:paraId="4DF963A9"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2</w:t>
            </w:r>
          </w:p>
        </w:tc>
        <w:tc>
          <w:tcPr>
            <w:tcW w:w="9116" w:type="dxa"/>
          </w:tcPr>
          <w:p w14:paraId="737137DD" w14:textId="77777777" w:rsidR="00561B22" w:rsidRPr="00C04FB1" w:rsidRDefault="00561B22" w:rsidP="00F1223B">
            <w:pPr>
              <w:jc w:val="both"/>
              <w:rPr>
                <w:rFonts w:ascii="Arial" w:hAnsi="Arial" w:cs="Arial"/>
                <w:sz w:val="22"/>
                <w:szCs w:val="22"/>
                <w:lang w:val="es-CO"/>
              </w:rPr>
            </w:pPr>
            <w:r w:rsidRPr="00C04FB1">
              <w:rPr>
                <w:rFonts w:ascii="Arial" w:hAnsi="Arial" w:cs="Arial"/>
                <w:sz w:val="22"/>
                <w:szCs w:val="22"/>
                <w:lang w:val="es-MX"/>
              </w:rPr>
              <w:t xml:space="preserve">Falta definir formatos articulados al SIG, para la revisión de saldos </w:t>
            </w:r>
            <w:r w:rsidRPr="00C04FB1">
              <w:rPr>
                <w:rFonts w:ascii="Arial" w:hAnsi="Arial" w:cs="Arial"/>
                <w:sz w:val="22"/>
                <w:szCs w:val="22"/>
                <w:lang w:val="es-CO"/>
              </w:rPr>
              <w:t>y conciliaciones de PPE, nómina entre otros.</w:t>
            </w:r>
          </w:p>
        </w:tc>
      </w:tr>
      <w:tr w:rsidR="00561B22" w:rsidRPr="00C04FB1" w14:paraId="7363725B" w14:textId="77777777" w:rsidTr="00F1223B">
        <w:tc>
          <w:tcPr>
            <w:tcW w:w="846" w:type="dxa"/>
          </w:tcPr>
          <w:p w14:paraId="123EAB57"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3</w:t>
            </w:r>
          </w:p>
        </w:tc>
        <w:tc>
          <w:tcPr>
            <w:tcW w:w="9116" w:type="dxa"/>
          </w:tcPr>
          <w:p w14:paraId="093FE5E7"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Baja gestión en el cumplimiento de actividades de Plan de Mejoramiento de la auditoría externa realizada por la CGR en el año 2012, asignadas al grupo de gestión financiera, impidiendo el cierre de la totalidad de hallazgos.</w:t>
            </w:r>
          </w:p>
        </w:tc>
      </w:tr>
      <w:tr w:rsidR="00561B22" w:rsidRPr="00C04FB1" w14:paraId="4871A42E" w14:textId="77777777" w:rsidTr="00F1223B">
        <w:tc>
          <w:tcPr>
            <w:tcW w:w="846" w:type="dxa"/>
          </w:tcPr>
          <w:p w14:paraId="49270A0A"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4</w:t>
            </w:r>
          </w:p>
        </w:tc>
        <w:tc>
          <w:tcPr>
            <w:tcW w:w="9116" w:type="dxa"/>
          </w:tcPr>
          <w:p w14:paraId="79B8FA92"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Ausencia de un procedimiento formal y documentado para el cierre anual e integral de la información generada por las dependencias que originan hechos económicos.</w:t>
            </w:r>
          </w:p>
        </w:tc>
      </w:tr>
      <w:tr w:rsidR="00561B22" w:rsidRPr="00C04FB1" w14:paraId="7E2A06D5" w14:textId="77777777" w:rsidTr="00F1223B">
        <w:tc>
          <w:tcPr>
            <w:tcW w:w="846" w:type="dxa"/>
          </w:tcPr>
          <w:p w14:paraId="4AB45D57"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5</w:t>
            </w:r>
          </w:p>
        </w:tc>
        <w:tc>
          <w:tcPr>
            <w:tcW w:w="9116" w:type="dxa"/>
          </w:tcPr>
          <w:p w14:paraId="046DAA47"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Identificación parcial de indicadores del proceso Contabilidad y Presupuesto y su impacto a nivel institucional.</w:t>
            </w:r>
          </w:p>
        </w:tc>
      </w:tr>
      <w:tr w:rsidR="00561B22" w:rsidRPr="00C04FB1" w14:paraId="15479012" w14:textId="77777777" w:rsidTr="00F1223B">
        <w:tc>
          <w:tcPr>
            <w:tcW w:w="846" w:type="dxa"/>
          </w:tcPr>
          <w:p w14:paraId="2D551D8E"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6</w:t>
            </w:r>
          </w:p>
        </w:tc>
        <w:tc>
          <w:tcPr>
            <w:tcW w:w="9116" w:type="dxa"/>
          </w:tcPr>
          <w:p w14:paraId="355B93F3"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Bajo nivel jerárquico de los cargos con perfil de Contador y Administrador de la Nómina, que no son coherentes con el alto grado de responsabilidades asignadas.</w:t>
            </w:r>
          </w:p>
        </w:tc>
      </w:tr>
    </w:tbl>
    <w:p w14:paraId="756EBE41" w14:textId="77777777" w:rsidR="00561B22" w:rsidRPr="00C04FB1" w:rsidRDefault="00561B22" w:rsidP="00561B22">
      <w:pPr>
        <w:pStyle w:val="Textoindependiente"/>
        <w:ind w:right="-50"/>
        <w:jc w:val="both"/>
        <w:rPr>
          <w:rFonts w:ascii="Arial" w:hAnsi="Arial" w:cs="Arial"/>
          <w:b/>
          <w:bCs/>
        </w:rPr>
      </w:pPr>
    </w:p>
    <w:p w14:paraId="3485BAE6" w14:textId="77777777" w:rsidR="00561B22" w:rsidRPr="00C04FB1" w:rsidRDefault="00561B22" w:rsidP="00561B22">
      <w:pPr>
        <w:jc w:val="both"/>
        <w:rPr>
          <w:rFonts w:ascii="Arial" w:hAnsi="Arial" w:cs="Arial"/>
          <w:b/>
          <w:lang w:val="es-MX"/>
        </w:rPr>
      </w:pPr>
      <w:r w:rsidRPr="00C04FB1">
        <w:rPr>
          <w:rFonts w:ascii="Arial" w:hAnsi="Arial" w:cs="Arial"/>
          <w:b/>
          <w:lang w:val="es-MX"/>
        </w:rPr>
        <w:t>Del citado informe retomamos las siguientes recomendaciones:</w:t>
      </w:r>
    </w:p>
    <w:p w14:paraId="095FE9FE" w14:textId="77777777" w:rsidR="00561B22" w:rsidRPr="00C04FB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04FB1" w14:paraId="3A849FA1" w14:textId="77777777" w:rsidTr="00F1223B">
        <w:tc>
          <w:tcPr>
            <w:tcW w:w="846" w:type="dxa"/>
          </w:tcPr>
          <w:p w14:paraId="3FA05FFC" w14:textId="77777777" w:rsidR="00561B22" w:rsidRPr="00C04FB1" w:rsidRDefault="00561B22" w:rsidP="00F1223B">
            <w:pPr>
              <w:ind w:right="-109"/>
              <w:jc w:val="center"/>
              <w:rPr>
                <w:rFonts w:ascii="Arial" w:hAnsi="Arial" w:cs="Arial"/>
                <w:b/>
                <w:sz w:val="22"/>
                <w:szCs w:val="22"/>
                <w:lang w:val="es-MX"/>
              </w:rPr>
            </w:pPr>
            <w:r w:rsidRPr="00C04FB1">
              <w:rPr>
                <w:rFonts w:ascii="Arial" w:hAnsi="Arial" w:cs="Arial"/>
                <w:b/>
                <w:sz w:val="22"/>
                <w:szCs w:val="22"/>
                <w:lang w:val="es-MX"/>
              </w:rPr>
              <w:t>N°</w:t>
            </w:r>
          </w:p>
        </w:tc>
        <w:tc>
          <w:tcPr>
            <w:tcW w:w="9116" w:type="dxa"/>
          </w:tcPr>
          <w:p w14:paraId="068F0E8F"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RECOMENDACIONES</w:t>
            </w:r>
          </w:p>
          <w:p w14:paraId="392E266B" w14:textId="77777777" w:rsidR="00561B22" w:rsidRPr="00C04FB1" w:rsidRDefault="00561B22" w:rsidP="00F1223B">
            <w:pPr>
              <w:jc w:val="center"/>
              <w:rPr>
                <w:rFonts w:ascii="Arial" w:hAnsi="Arial" w:cs="Arial"/>
                <w:b/>
                <w:sz w:val="22"/>
                <w:szCs w:val="22"/>
                <w:lang w:val="es-MX"/>
              </w:rPr>
            </w:pPr>
          </w:p>
        </w:tc>
      </w:tr>
      <w:tr w:rsidR="00561B22" w:rsidRPr="00C04FB1" w14:paraId="62DD70EC" w14:textId="77777777" w:rsidTr="00F1223B">
        <w:tc>
          <w:tcPr>
            <w:tcW w:w="846" w:type="dxa"/>
          </w:tcPr>
          <w:p w14:paraId="0CECA547"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1</w:t>
            </w:r>
          </w:p>
        </w:tc>
        <w:tc>
          <w:tcPr>
            <w:tcW w:w="9116" w:type="dxa"/>
          </w:tcPr>
          <w:p w14:paraId="6D8D5AB3"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Continuar la depuración y conciliación de las cuentas contables, haciendo seguimiento constante para garantizar la completitud y calidad de la información financiera, con especial énfasis en PPE, vida útil, indicios de deterioro y depreciación.</w:t>
            </w:r>
          </w:p>
        </w:tc>
      </w:tr>
      <w:tr w:rsidR="00561B22" w:rsidRPr="00C04FB1" w14:paraId="6A6F06CD" w14:textId="77777777" w:rsidTr="00F1223B">
        <w:tc>
          <w:tcPr>
            <w:tcW w:w="846" w:type="dxa"/>
          </w:tcPr>
          <w:p w14:paraId="6441FD27"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2</w:t>
            </w:r>
          </w:p>
        </w:tc>
        <w:tc>
          <w:tcPr>
            <w:tcW w:w="9116" w:type="dxa"/>
          </w:tcPr>
          <w:p w14:paraId="52999ED4"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Documentar e implementar un procedimiento de cierre integral que oriente la revisión y conciliación de los hechos económicos originados en las diferentes dependencias del ICC.</w:t>
            </w:r>
          </w:p>
        </w:tc>
      </w:tr>
      <w:tr w:rsidR="00561B22" w:rsidRPr="00C04FB1" w14:paraId="40649126" w14:textId="77777777" w:rsidTr="00F1223B">
        <w:tc>
          <w:tcPr>
            <w:tcW w:w="846" w:type="dxa"/>
          </w:tcPr>
          <w:p w14:paraId="4064D3DE"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3</w:t>
            </w:r>
          </w:p>
        </w:tc>
        <w:tc>
          <w:tcPr>
            <w:tcW w:w="9116" w:type="dxa"/>
          </w:tcPr>
          <w:p w14:paraId="7720CCFA"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Gestionar las bajas pendientes de los bienes devolutivos, materias primas y publicaciones, que, conforme a los conceptos técnicos, se debe proceder.</w:t>
            </w:r>
          </w:p>
        </w:tc>
      </w:tr>
      <w:tr w:rsidR="00561B22" w:rsidRPr="00C04FB1" w14:paraId="2B0BC995" w14:textId="77777777" w:rsidTr="00F1223B">
        <w:tc>
          <w:tcPr>
            <w:tcW w:w="846" w:type="dxa"/>
          </w:tcPr>
          <w:p w14:paraId="6D21423B"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4</w:t>
            </w:r>
          </w:p>
        </w:tc>
        <w:tc>
          <w:tcPr>
            <w:tcW w:w="9116" w:type="dxa"/>
          </w:tcPr>
          <w:p w14:paraId="2FF6D310"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 xml:space="preserve">Considerar aumentar el nivel de los cargos con perfil de Contador y Administrador de la Nómina, por el alto volumen de responsabilidades y lo trascendental de la información que esos cargos concentran. </w:t>
            </w:r>
          </w:p>
        </w:tc>
      </w:tr>
      <w:tr w:rsidR="00561B22" w:rsidRPr="00C04FB1" w14:paraId="6996A643" w14:textId="77777777" w:rsidTr="00F1223B">
        <w:tc>
          <w:tcPr>
            <w:tcW w:w="846" w:type="dxa"/>
          </w:tcPr>
          <w:p w14:paraId="7E411884"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5</w:t>
            </w:r>
          </w:p>
        </w:tc>
        <w:tc>
          <w:tcPr>
            <w:tcW w:w="9116" w:type="dxa"/>
          </w:tcPr>
          <w:p w14:paraId="2256736B"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Incluir en la Audiencia de Rendición de Cuentas la presentación y análisis de la información financiera del ICC del año 2024.</w:t>
            </w:r>
          </w:p>
        </w:tc>
      </w:tr>
      <w:tr w:rsidR="00561B22" w:rsidRPr="00C04FB1" w14:paraId="6C0052D3" w14:textId="77777777" w:rsidTr="00F1223B">
        <w:tc>
          <w:tcPr>
            <w:tcW w:w="846" w:type="dxa"/>
          </w:tcPr>
          <w:p w14:paraId="537542BD" w14:textId="77777777" w:rsidR="00561B22" w:rsidRPr="00C04FB1" w:rsidRDefault="00561B22" w:rsidP="00F1223B">
            <w:pPr>
              <w:jc w:val="center"/>
              <w:rPr>
                <w:rFonts w:ascii="Arial" w:hAnsi="Arial" w:cs="Arial"/>
                <w:b/>
                <w:sz w:val="22"/>
                <w:szCs w:val="22"/>
                <w:lang w:val="es-MX"/>
              </w:rPr>
            </w:pPr>
            <w:r w:rsidRPr="00C04FB1">
              <w:rPr>
                <w:rFonts w:ascii="Arial" w:hAnsi="Arial" w:cs="Arial"/>
                <w:b/>
                <w:sz w:val="22"/>
                <w:szCs w:val="22"/>
                <w:lang w:val="es-MX"/>
              </w:rPr>
              <w:t>6</w:t>
            </w:r>
          </w:p>
        </w:tc>
        <w:tc>
          <w:tcPr>
            <w:tcW w:w="9116" w:type="dxa"/>
          </w:tcPr>
          <w:p w14:paraId="548E23CD" w14:textId="77777777" w:rsidR="00561B22" w:rsidRPr="00C04FB1" w:rsidRDefault="00561B22" w:rsidP="00F1223B">
            <w:pPr>
              <w:jc w:val="both"/>
              <w:rPr>
                <w:rFonts w:ascii="Arial" w:hAnsi="Arial" w:cs="Arial"/>
                <w:sz w:val="22"/>
                <w:szCs w:val="22"/>
                <w:lang w:val="es-MX"/>
              </w:rPr>
            </w:pPr>
            <w:r w:rsidRPr="00C04FB1">
              <w:rPr>
                <w:rFonts w:ascii="Arial" w:hAnsi="Arial" w:cs="Arial"/>
                <w:sz w:val="22"/>
                <w:szCs w:val="22"/>
                <w:lang w:val="es-MX"/>
              </w:rPr>
              <w:t xml:space="preserve">Revisar y ajustar la segregación de las actividades 4 y 5 de la fase 1: Análisis y depuración de la información del procedimiento PRE-P-2 Gestión Contable, puesto que la responsabilidad de registrar y aprobar, recae en el mismo profesional. </w:t>
            </w:r>
          </w:p>
        </w:tc>
      </w:tr>
    </w:tbl>
    <w:p w14:paraId="6376634F" w14:textId="77777777" w:rsidR="00561B22" w:rsidRPr="00C04FB1" w:rsidRDefault="00561B22" w:rsidP="00561B22">
      <w:pPr>
        <w:pStyle w:val="Textoindependiente"/>
        <w:ind w:right="-50"/>
        <w:jc w:val="both"/>
        <w:rPr>
          <w:rFonts w:ascii="Arial" w:hAnsi="Arial" w:cs="Arial"/>
          <w:b/>
          <w:bCs/>
        </w:rPr>
      </w:pPr>
    </w:p>
    <w:p w14:paraId="4FCCB4E0" w14:textId="77777777" w:rsidR="00561B22" w:rsidRPr="00C04FB1" w:rsidRDefault="00561B22" w:rsidP="00561B22">
      <w:pPr>
        <w:jc w:val="both"/>
        <w:rPr>
          <w:rFonts w:ascii="Arial" w:hAnsi="Arial" w:cs="Arial"/>
          <w:b/>
          <w:bCs/>
          <w:sz w:val="24"/>
          <w:szCs w:val="24"/>
          <w:lang w:val="es-CO"/>
        </w:rPr>
      </w:pPr>
      <w:r w:rsidRPr="00C04FB1">
        <w:rPr>
          <w:rFonts w:ascii="Arial" w:hAnsi="Arial" w:cs="Arial"/>
          <w:b/>
          <w:bCs/>
          <w:sz w:val="24"/>
          <w:szCs w:val="24"/>
          <w:lang w:val="es-CO"/>
        </w:rPr>
        <w:t xml:space="preserve">NOTA: LA ENTIDAD ENVIA LA MATRIZ DE AUTOEVALUACIÓN DEL SISTEMA DE CONTROL INTERNO CONTABLE CON ACTIVIDADES DE CONTROL REALIZADAS </w:t>
      </w:r>
      <w:r w:rsidRPr="00C04FB1">
        <w:rPr>
          <w:rFonts w:ascii="Arial" w:hAnsi="Arial" w:cs="Arial"/>
          <w:b/>
          <w:bCs/>
          <w:sz w:val="24"/>
          <w:szCs w:val="24"/>
          <w:u w:val="single"/>
          <w:lang w:val="es-CO"/>
        </w:rPr>
        <w:t>EN FORMA PARCIAL Y OTRAS SIMPLEMENTE INFORMAN QUE NO SE REALIZARON</w:t>
      </w:r>
      <w:r w:rsidRPr="00C04FB1">
        <w:rPr>
          <w:rFonts w:ascii="Arial" w:hAnsi="Arial" w:cs="Arial"/>
          <w:b/>
          <w:bCs/>
          <w:sz w:val="24"/>
          <w:szCs w:val="24"/>
          <w:lang w:val="es-CO"/>
        </w:rPr>
        <w:t>.</w:t>
      </w:r>
    </w:p>
    <w:p w14:paraId="7B43D3C8" w14:textId="77777777" w:rsidR="00561B22" w:rsidRDefault="00561B22" w:rsidP="00561B22">
      <w:pPr>
        <w:ind w:left="142"/>
        <w:jc w:val="both"/>
        <w:rPr>
          <w:rFonts w:ascii="Arial" w:hAnsi="Arial" w:cs="Arial"/>
          <w:b/>
          <w:sz w:val="24"/>
          <w:szCs w:val="24"/>
          <w:lang w:val="es-CO"/>
        </w:rPr>
      </w:pPr>
    </w:p>
    <w:p w14:paraId="74209AC3" w14:textId="77777777" w:rsidR="00561B22" w:rsidRPr="009D3EDB" w:rsidRDefault="00561B22" w:rsidP="00561B22">
      <w:pPr>
        <w:jc w:val="both"/>
        <w:rPr>
          <w:rFonts w:ascii="Arial" w:hAnsi="Arial" w:cs="Arial"/>
          <w:b/>
          <w:sz w:val="28"/>
          <w:szCs w:val="28"/>
          <w:lang w:val="es-MX"/>
        </w:rPr>
      </w:pPr>
      <w:r w:rsidRPr="009D3EDB">
        <w:rPr>
          <w:rFonts w:ascii="Arial" w:hAnsi="Arial" w:cs="Arial"/>
          <w:b/>
          <w:sz w:val="28"/>
          <w:szCs w:val="28"/>
          <w:lang w:val="es-MX"/>
        </w:rPr>
        <w:t>32.- AUDITORÍA GENERAL DE LA REPÚBLICA.</w:t>
      </w:r>
    </w:p>
    <w:p w14:paraId="21DE1577" w14:textId="77777777" w:rsidR="00561B22" w:rsidRDefault="00561B22" w:rsidP="00561B22">
      <w:pPr>
        <w:ind w:left="142"/>
        <w:jc w:val="both"/>
        <w:rPr>
          <w:rFonts w:ascii="Arial" w:hAnsi="Arial" w:cs="Arial"/>
          <w:b/>
          <w:sz w:val="24"/>
          <w:szCs w:val="24"/>
          <w:lang w:val="es-MX"/>
        </w:rPr>
      </w:pPr>
    </w:p>
    <w:p w14:paraId="5FEA3BFD" w14:textId="77777777" w:rsidR="00561B22" w:rsidRPr="009D3EDB" w:rsidRDefault="00561B22" w:rsidP="00561B22">
      <w:pPr>
        <w:pStyle w:val="Textoindependiente"/>
        <w:ind w:right="-50"/>
        <w:jc w:val="center"/>
        <w:rPr>
          <w:rFonts w:ascii="Arial" w:hAnsi="Arial" w:cs="Arial"/>
          <w:b/>
          <w:bCs/>
        </w:rPr>
      </w:pPr>
      <w:r w:rsidRPr="009D3EDB">
        <w:rPr>
          <w:rFonts w:ascii="Arial" w:hAnsi="Arial" w:cs="Arial"/>
          <w:b/>
          <w:bCs/>
        </w:rPr>
        <w:t>INFORME DE LA AUTOCALIFICACIÓN DEL SISTEMA DE CONTROL INTERNO CONTABLE:</w:t>
      </w:r>
    </w:p>
    <w:p w14:paraId="380C36DF" w14:textId="77777777" w:rsidR="00561B22" w:rsidRPr="009D3ED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D3EDB" w14:paraId="7FB57480" w14:textId="77777777" w:rsidTr="00F1223B">
        <w:tc>
          <w:tcPr>
            <w:tcW w:w="4981" w:type="dxa"/>
          </w:tcPr>
          <w:p w14:paraId="47A1DA4F"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t>AUTOCALIFICACIÓN</w:t>
            </w:r>
          </w:p>
        </w:tc>
        <w:tc>
          <w:tcPr>
            <w:tcW w:w="4981" w:type="dxa"/>
          </w:tcPr>
          <w:p w14:paraId="2740E59D" w14:textId="77777777" w:rsidR="00561B22" w:rsidRPr="009D3EDB" w:rsidRDefault="00561B22" w:rsidP="00F1223B">
            <w:pPr>
              <w:jc w:val="center"/>
              <w:rPr>
                <w:rFonts w:ascii="Arial" w:hAnsi="Arial" w:cs="Arial"/>
                <w:b/>
                <w:sz w:val="22"/>
                <w:szCs w:val="22"/>
                <w:u w:val="single"/>
                <w:lang w:val="es-MX"/>
              </w:rPr>
            </w:pPr>
            <w:r w:rsidRPr="009D3EDB">
              <w:rPr>
                <w:rFonts w:ascii="Arial" w:hAnsi="Arial" w:cs="Arial"/>
                <w:b/>
                <w:sz w:val="22"/>
                <w:szCs w:val="22"/>
                <w:u w:val="single"/>
                <w:lang w:val="es-MX"/>
              </w:rPr>
              <w:t>5.0</w:t>
            </w:r>
          </w:p>
        </w:tc>
      </w:tr>
    </w:tbl>
    <w:p w14:paraId="026450C3" w14:textId="77777777" w:rsidR="00561B22" w:rsidRPr="009D3EDB" w:rsidRDefault="00561B22" w:rsidP="00561B22">
      <w:pPr>
        <w:pStyle w:val="Textoindependiente"/>
        <w:ind w:right="-50"/>
        <w:jc w:val="both"/>
        <w:rPr>
          <w:rFonts w:ascii="Arial" w:hAnsi="Arial" w:cs="Arial"/>
          <w:b/>
          <w:bCs/>
        </w:rPr>
      </w:pPr>
      <w:r w:rsidRPr="009D3EDB">
        <w:rPr>
          <w:rFonts w:ascii="Arial" w:hAnsi="Arial" w:cs="Arial"/>
          <w:b/>
          <w:bCs/>
        </w:rPr>
        <w:t>Del informe enviado retomamos lo siguiente:</w:t>
      </w:r>
    </w:p>
    <w:p w14:paraId="5D7B054E" w14:textId="77777777" w:rsidR="00561B22" w:rsidRPr="009D3ED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9D3EDB" w14:paraId="11B6D48B" w14:textId="77777777" w:rsidTr="00F1223B">
        <w:tc>
          <w:tcPr>
            <w:tcW w:w="846" w:type="dxa"/>
          </w:tcPr>
          <w:p w14:paraId="53877194" w14:textId="77777777" w:rsidR="00561B22" w:rsidRPr="009D3EDB" w:rsidRDefault="00561B22" w:rsidP="00F1223B">
            <w:pPr>
              <w:ind w:right="-109"/>
              <w:jc w:val="center"/>
              <w:rPr>
                <w:rFonts w:ascii="Arial" w:hAnsi="Arial" w:cs="Arial"/>
                <w:b/>
                <w:sz w:val="22"/>
                <w:szCs w:val="22"/>
                <w:lang w:val="es-MX"/>
              </w:rPr>
            </w:pPr>
            <w:r w:rsidRPr="009D3EDB">
              <w:rPr>
                <w:rFonts w:ascii="Arial" w:hAnsi="Arial" w:cs="Arial"/>
                <w:b/>
                <w:sz w:val="22"/>
                <w:szCs w:val="22"/>
                <w:lang w:val="es-MX"/>
              </w:rPr>
              <w:t>N°</w:t>
            </w:r>
          </w:p>
        </w:tc>
        <w:tc>
          <w:tcPr>
            <w:tcW w:w="9116" w:type="dxa"/>
          </w:tcPr>
          <w:p w14:paraId="0E1D2F5B"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t>DEBILIDADES</w:t>
            </w:r>
          </w:p>
          <w:p w14:paraId="10AE81D0" w14:textId="77777777" w:rsidR="00561B22" w:rsidRPr="009D3EDB" w:rsidRDefault="00561B22" w:rsidP="00F1223B">
            <w:pPr>
              <w:jc w:val="center"/>
              <w:rPr>
                <w:rFonts w:ascii="Arial" w:hAnsi="Arial" w:cs="Arial"/>
                <w:b/>
                <w:sz w:val="22"/>
                <w:szCs w:val="22"/>
                <w:lang w:val="es-MX"/>
              </w:rPr>
            </w:pPr>
          </w:p>
        </w:tc>
      </w:tr>
      <w:tr w:rsidR="00561B22" w:rsidRPr="009D3EDB" w14:paraId="1C5F2A1A" w14:textId="77777777" w:rsidTr="00F1223B">
        <w:tc>
          <w:tcPr>
            <w:tcW w:w="846" w:type="dxa"/>
          </w:tcPr>
          <w:p w14:paraId="2E049304"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t>1</w:t>
            </w:r>
          </w:p>
        </w:tc>
        <w:tc>
          <w:tcPr>
            <w:tcW w:w="9116" w:type="dxa"/>
          </w:tcPr>
          <w:p w14:paraId="0088D4FA" w14:textId="77777777" w:rsidR="00561B22" w:rsidRPr="009D3EDB" w:rsidRDefault="00561B22" w:rsidP="00F1223B">
            <w:pPr>
              <w:jc w:val="both"/>
              <w:rPr>
                <w:rFonts w:ascii="Arial" w:hAnsi="Arial" w:cs="Arial"/>
                <w:sz w:val="22"/>
                <w:szCs w:val="22"/>
                <w:lang w:val="es-MX"/>
              </w:rPr>
            </w:pPr>
            <w:r w:rsidRPr="009D3EDB">
              <w:rPr>
                <w:rFonts w:ascii="Arial" w:hAnsi="Arial" w:cs="Arial"/>
                <w:sz w:val="22"/>
                <w:szCs w:val="22"/>
                <w:lang w:val="es-MX"/>
              </w:rPr>
              <w:t>Si bien la Auditoría General de la República ha implementado un proceso adecuado y eficiente en cuanto al manejo de los recursos físicos y financieros, se ha identificado la necesidad de fortalecer el seguimiento y monitoreo continuo a los planos de mejoramiento establecidos.</w:t>
            </w:r>
          </w:p>
        </w:tc>
      </w:tr>
      <w:tr w:rsidR="00561B22" w:rsidRPr="009D3EDB" w14:paraId="41E033E1" w14:textId="77777777" w:rsidTr="00F1223B">
        <w:tc>
          <w:tcPr>
            <w:tcW w:w="846" w:type="dxa"/>
          </w:tcPr>
          <w:p w14:paraId="09DEF287"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lastRenderedPageBreak/>
              <w:t>2</w:t>
            </w:r>
          </w:p>
        </w:tc>
        <w:tc>
          <w:tcPr>
            <w:tcW w:w="9116" w:type="dxa"/>
          </w:tcPr>
          <w:p w14:paraId="490AE42B" w14:textId="77777777" w:rsidR="00561B22" w:rsidRPr="009D3EDB" w:rsidRDefault="00561B22" w:rsidP="00F1223B">
            <w:pPr>
              <w:jc w:val="both"/>
              <w:rPr>
                <w:rFonts w:ascii="Arial" w:hAnsi="Arial" w:cs="Arial"/>
                <w:sz w:val="22"/>
                <w:szCs w:val="22"/>
                <w:lang w:val="es-MX"/>
              </w:rPr>
            </w:pPr>
            <w:r w:rsidRPr="009D3EDB">
              <w:rPr>
                <w:rFonts w:ascii="Arial" w:hAnsi="Arial" w:cs="Arial"/>
                <w:sz w:val="22"/>
                <w:szCs w:val="22"/>
                <w:lang w:val="es-MX"/>
              </w:rPr>
              <w:t>Aunque los procedimientos en general son apropiados, la falta de un seguimiento sistemático podría ocasionar que algunas áreas con oportunidades de mejora no sean completamente optimizadas.</w:t>
            </w:r>
          </w:p>
        </w:tc>
      </w:tr>
      <w:tr w:rsidR="00561B22" w:rsidRPr="009D3EDB" w14:paraId="39FC3337" w14:textId="77777777" w:rsidTr="00F1223B">
        <w:tc>
          <w:tcPr>
            <w:tcW w:w="846" w:type="dxa"/>
          </w:tcPr>
          <w:p w14:paraId="51331042"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t>3</w:t>
            </w:r>
          </w:p>
        </w:tc>
        <w:tc>
          <w:tcPr>
            <w:tcW w:w="9116" w:type="dxa"/>
          </w:tcPr>
          <w:p w14:paraId="2F03A5CB" w14:textId="77777777" w:rsidR="00561B22" w:rsidRPr="009D3EDB" w:rsidRDefault="00561B22" w:rsidP="00F1223B">
            <w:pPr>
              <w:jc w:val="both"/>
              <w:rPr>
                <w:rFonts w:ascii="Arial" w:hAnsi="Arial" w:cs="Arial"/>
                <w:sz w:val="22"/>
                <w:szCs w:val="22"/>
                <w:lang w:val="es-MX"/>
              </w:rPr>
            </w:pPr>
            <w:r w:rsidRPr="009D3EDB">
              <w:rPr>
                <w:rFonts w:ascii="Arial" w:hAnsi="Arial" w:cs="Arial"/>
                <w:sz w:val="22"/>
                <w:szCs w:val="22"/>
                <w:lang w:val="es-MX"/>
              </w:rPr>
              <w:t>Se recomienda que se implemente un mecanismo de monitoreo más riguroso que permita verificar el cumplimiento de los planos de mejoramiento y garantizar la correcta implementación de las acciones.</w:t>
            </w:r>
          </w:p>
        </w:tc>
      </w:tr>
    </w:tbl>
    <w:p w14:paraId="1B458FFC" w14:textId="77777777" w:rsidR="00561B22" w:rsidRPr="009D3EDB" w:rsidRDefault="00561B22" w:rsidP="00561B22">
      <w:pPr>
        <w:pStyle w:val="Textoindependiente"/>
        <w:ind w:right="-50"/>
        <w:jc w:val="both"/>
        <w:rPr>
          <w:rFonts w:ascii="Arial" w:hAnsi="Arial" w:cs="Arial"/>
          <w:b/>
          <w:bCs/>
        </w:rPr>
      </w:pPr>
    </w:p>
    <w:p w14:paraId="56B18991" w14:textId="77777777" w:rsidR="00561B22" w:rsidRPr="009D3EDB" w:rsidRDefault="00561B22" w:rsidP="00561B22">
      <w:pPr>
        <w:jc w:val="both"/>
        <w:rPr>
          <w:rFonts w:ascii="Arial" w:hAnsi="Arial" w:cs="Arial"/>
          <w:b/>
          <w:lang w:val="es-MX"/>
        </w:rPr>
      </w:pPr>
      <w:r w:rsidRPr="009D3EDB">
        <w:rPr>
          <w:rFonts w:ascii="Arial" w:hAnsi="Arial" w:cs="Arial"/>
          <w:b/>
          <w:lang w:val="es-MX"/>
        </w:rPr>
        <w:t>Del citado informe retomamos las siguientes recomendaciones:</w:t>
      </w:r>
    </w:p>
    <w:p w14:paraId="73F76367" w14:textId="77777777" w:rsidR="00561B22" w:rsidRPr="009D3ED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9D3EDB" w14:paraId="6C473FD2" w14:textId="77777777" w:rsidTr="00F1223B">
        <w:tc>
          <w:tcPr>
            <w:tcW w:w="846" w:type="dxa"/>
          </w:tcPr>
          <w:p w14:paraId="74AD5D8D" w14:textId="77777777" w:rsidR="00561B22" w:rsidRPr="009D3EDB" w:rsidRDefault="00561B22" w:rsidP="00F1223B">
            <w:pPr>
              <w:ind w:right="-109"/>
              <w:jc w:val="center"/>
              <w:rPr>
                <w:rFonts w:ascii="Arial" w:hAnsi="Arial" w:cs="Arial"/>
                <w:b/>
                <w:sz w:val="22"/>
                <w:szCs w:val="22"/>
                <w:lang w:val="es-MX"/>
              </w:rPr>
            </w:pPr>
            <w:r w:rsidRPr="009D3EDB">
              <w:rPr>
                <w:rFonts w:ascii="Arial" w:hAnsi="Arial" w:cs="Arial"/>
                <w:b/>
                <w:sz w:val="22"/>
                <w:szCs w:val="22"/>
                <w:lang w:val="es-MX"/>
              </w:rPr>
              <w:t>N°</w:t>
            </w:r>
          </w:p>
        </w:tc>
        <w:tc>
          <w:tcPr>
            <w:tcW w:w="9116" w:type="dxa"/>
          </w:tcPr>
          <w:p w14:paraId="39EAE33C"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t>RECOMENDACIONES</w:t>
            </w:r>
          </w:p>
          <w:p w14:paraId="031C35C4" w14:textId="77777777" w:rsidR="00561B22" w:rsidRPr="009D3EDB" w:rsidRDefault="00561B22" w:rsidP="00F1223B">
            <w:pPr>
              <w:jc w:val="center"/>
              <w:rPr>
                <w:rFonts w:ascii="Arial" w:hAnsi="Arial" w:cs="Arial"/>
                <w:b/>
                <w:sz w:val="22"/>
                <w:szCs w:val="22"/>
                <w:lang w:val="es-MX"/>
              </w:rPr>
            </w:pPr>
          </w:p>
        </w:tc>
      </w:tr>
      <w:tr w:rsidR="00561B22" w:rsidRPr="009D3EDB" w14:paraId="66CF408F" w14:textId="77777777" w:rsidTr="00F1223B">
        <w:tc>
          <w:tcPr>
            <w:tcW w:w="846" w:type="dxa"/>
          </w:tcPr>
          <w:p w14:paraId="04684E29" w14:textId="77777777" w:rsidR="00561B22" w:rsidRPr="009D3EDB" w:rsidRDefault="00561B22" w:rsidP="00F1223B">
            <w:pPr>
              <w:jc w:val="center"/>
              <w:rPr>
                <w:rFonts w:ascii="Arial" w:hAnsi="Arial" w:cs="Arial"/>
                <w:b/>
                <w:sz w:val="22"/>
                <w:szCs w:val="22"/>
                <w:lang w:val="es-MX"/>
              </w:rPr>
            </w:pPr>
            <w:r w:rsidRPr="009D3EDB">
              <w:rPr>
                <w:rFonts w:ascii="Arial" w:hAnsi="Arial" w:cs="Arial"/>
                <w:b/>
                <w:sz w:val="22"/>
                <w:szCs w:val="22"/>
                <w:lang w:val="es-MX"/>
              </w:rPr>
              <w:t>1</w:t>
            </w:r>
          </w:p>
        </w:tc>
        <w:tc>
          <w:tcPr>
            <w:tcW w:w="9116" w:type="dxa"/>
          </w:tcPr>
          <w:p w14:paraId="308B3078" w14:textId="77777777" w:rsidR="00561B22" w:rsidRPr="009D3EDB" w:rsidRDefault="00561B22" w:rsidP="00F1223B">
            <w:pPr>
              <w:jc w:val="both"/>
              <w:rPr>
                <w:rFonts w:ascii="Arial" w:hAnsi="Arial" w:cs="Arial"/>
                <w:sz w:val="22"/>
                <w:szCs w:val="22"/>
                <w:lang w:val="es-MX"/>
              </w:rPr>
            </w:pPr>
            <w:r w:rsidRPr="009D3EDB">
              <w:rPr>
                <w:rFonts w:ascii="Arial" w:hAnsi="Arial" w:cs="Arial"/>
                <w:sz w:val="22"/>
                <w:szCs w:val="22"/>
                <w:lang w:val="es-MX"/>
              </w:rPr>
              <w:t>Se recomienda continuar con el programa de capacitaciones para los funcionarios, con especial énfasis en los profesionales encargados de la gestión de los recursos físicos y financieros. Estas capacitaciones deben enfocarse en actualizar y fortalecer los conocimientos sobre las normativas contables vigentes, así como en la correcta aplicación de los procedimientos establecidos. De esta manera, se garantizará que todos los procesos sean ejecutados de la manera más adecuada, eficiente y conforme a las mejores prácticas, lo que contribuirá a un control interno contable aún más robusto y a la correcta administración de los recursos públicos.</w:t>
            </w:r>
          </w:p>
        </w:tc>
      </w:tr>
    </w:tbl>
    <w:p w14:paraId="37ECAD67" w14:textId="77777777" w:rsidR="00561B22" w:rsidRDefault="00561B22" w:rsidP="00561B22">
      <w:pPr>
        <w:pStyle w:val="Textoindependiente"/>
        <w:ind w:right="-50"/>
        <w:jc w:val="both"/>
        <w:rPr>
          <w:b/>
          <w:bCs/>
          <w:sz w:val="28"/>
          <w:szCs w:val="28"/>
        </w:rPr>
      </w:pPr>
    </w:p>
    <w:p w14:paraId="0DC52123" w14:textId="77777777" w:rsidR="00561B22" w:rsidRPr="004C2BB8" w:rsidRDefault="00561B22" w:rsidP="00561B22">
      <w:pPr>
        <w:ind w:right="-93"/>
        <w:jc w:val="both"/>
        <w:rPr>
          <w:rFonts w:ascii="Arial" w:hAnsi="Arial" w:cs="Arial"/>
          <w:b/>
          <w:sz w:val="28"/>
          <w:szCs w:val="28"/>
          <w:lang w:val="es-MX"/>
        </w:rPr>
      </w:pPr>
      <w:r w:rsidRPr="004C2BB8">
        <w:rPr>
          <w:rFonts w:ascii="Arial" w:hAnsi="Arial" w:cs="Arial"/>
          <w:b/>
          <w:sz w:val="28"/>
          <w:szCs w:val="28"/>
          <w:lang w:val="es-MX"/>
        </w:rPr>
        <w:t xml:space="preserve">33.- </w:t>
      </w:r>
      <w:r w:rsidRPr="004C2BB8">
        <w:rPr>
          <w:rFonts w:ascii="Arial" w:hAnsi="Arial" w:cs="Arial"/>
          <w:b/>
          <w:sz w:val="28"/>
          <w:szCs w:val="28"/>
        </w:rPr>
        <w:t>INSTITUTO DE INVESTIGACIÓN DE RECURSOS BIOLÓGICOS - ALEXANDER VON HUMBOLDT.</w:t>
      </w:r>
    </w:p>
    <w:p w14:paraId="5E94F196" w14:textId="77777777" w:rsidR="00561B22" w:rsidRPr="004C2BB8" w:rsidRDefault="00561B22" w:rsidP="00561B22">
      <w:pPr>
        <w:pStyle w:val="Prrafodelista"/>
        <w:ind w:left="0"/>
        <w:rPr>
          <w:b/>
        </w:rPr>
      </w:pPr>
    </w:p>
    <w:p w14:paraId="1304F856" w14:textId="77777777" w:rsidR="00561B22" w:rsidRPr="004C2BB8" w:rsidRDefault="00561B22" w:rsidP="00561B22">
      <w:pPr>
        <w:pStyle w:val="Textoindependiente"/>
        <w:ind w:right="-50"/>
        <w:jc w:val="center"/>
        <w:rPr>
          <w:rFonts w:ascii="Arial" w:hAnsi="Arial" w:cs="Arial"/>
          <w:b/>
          <w:bCs/>
        </w:rPr>
      </w:pPr>
      <w:r w:rsidRPr="004C2BB8">
        <w:rPr>
          <w:rFonts w:ascii="Arial" w:hAnsi="Arial" w:cs="Arial"/>
          <w:b/>
          <w:bCs/>
        </w:rPr>
        <w:t>INFORME DE LA AUTOCALIFICACIÓN DEL SISTEMA DE CONTROL INTERNO CONTABLE:</w:t>
      </w:r>
    </w:p>
    <w:p w14:paraId="40B7C3D9" w14:textId="77777777" w:rsidR="00561B22" w:rsidRPr="004C2BB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C2BB8" w14:paraId="5DFBBE5F" w14:textId="77777777" w:rsidTr="00F1223B">
        <w:tc>
          <w:tcPr>
            <w:tcW w:w="4981" w:type="dxa"/>
          </w:tcPr>
          <w:p w14:paraId="64E1360B"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AUTOCALIFICACIÓN</w:t>
            </w:r>
          </w:p>
        </w:tc>
        <w:tc>
          <w:tcPr>
            <w:tcW w:w="4981" w:type="dxa"/>
          </w:tcPr>
          <w:p w14:paraId="2EE33883" w14:textId="77777777" w:rsidR="00561B22" w:rsidRPr="004C2BB8" w:rsidRDefault="00561B22" w:rsidP="00F1223B">
            <w:pPr>
              <w:jc w:val="center"/>
              <w:rPr>
                <w:rFonts w:ascii="Arial" w:hAnsi="Arial" w:cs="Arial"/>
                <w:b/>
                <w:sz w:val="22"/>
                <w:szCs w:val="22"/>
                <w:u w:val="single"/>
                <w:lang w:val="es-MX"/>
              </w:rPr>
            </w:pPr>
            <w:r w:rsidRPr="004C2BB8">
              <w:rPr>
                <w:rFonts w:ascii="Arial" w:hAnsi="Arial" w:cs="Arial"/>
                <w:b/>
                <w:sz w:val="22"/>
                <w:szCs w:val="22"/>
                <w:u w:val="single"/>
                <w:lang w:val="es-MX"/>
              </w:rPr>
              <w:t>4.48</w:t>
            </w:r>
          </w:p>
        </w:tc>
      </w:tr>
    </w:tbl>
    <w:p w14:paraId="1DC338FA" w14:textId="77777777" w:rsidR="00561B22" w:rsidRPr="004C2BB8" w:rsidRDefault="00561B22" w:rsidP="00561B22">
      <w:pPr>
        <w:pStyle w:val="Textoindependiente"/>
        <w:ind w:right="-50"/>
        <w:jc w:val="both"/>
        <w:rPr>
          <w:rFonts w:ascii="Arial" w:hAnsi="Arial" w:cs="Arial"/>
          <w:b/>
          <w:bCs/>
        </w:rPr>
      </w:pPr>
    </w:p>
    <w:p w14:paraId="656D88F6" w14:textId="77777777" w:rsidR="00561B22" w:rsidRPr="004C2BB8" w:rsidRDefault="00561B22" w:rsidP="00561B22">
      <w:pPr>
        <w:pStyle w:val="Textoindependiente"/>
        <w:ind w:right="-50"/>
        <w:jc w:val="both"/>
        <w:rPr>
          <w:rFonts w:ascii="Arial" w:hAnsi="Arial" w:cs="Arial"/>
          <w:b/>
          <w:bCs/>
        </w:rPr>
      </w:pPr>
      <w:r w:rsidRPr="004C2BB8">
        <w:rPr>
          <w:rFonts w:ascii="Arial" w:hAnsi="Arial" w:cs="Arial"/>
          <w:b/>
          <w:bCs/>
        </w:rPr>
        <w:t>Del informe enviado retomamos lo siguiente:</w:t>
      </w:r>
    </w:p>
    <w:p w14:paraId="362C43C6" w14:textId="77777777" w:rsidR="00561B22" w:rsidRPr="004C2BB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4C2BB8" w14:paraId="36A2A80A" w14:textId="77777777" w:rsidTr="00F1223B">
        <w:tc>
          <w:tcPr>
            <w:tcW w:w="846" w:type="dxa"/>
          </w:tcPr>
          <w:p w14:paraId="5B30C6D0" w14:textId="77777777" w:rsidR="00561B22" w:rsidRPr="004C2BB8" w:rsidRDefault="00561B22" w:rsidP="00F1223B">
            <w:pPr>
              <w:ind w:right="-109"/>
              <w:jc w:val="center"/>
              <w:rPr>
                <w:rFonts w:ascii="Arial" w:hAnsi="Arial" w:cs="Arial"/>
                <w:b/>
                <w:sz w:val="22"/>
                <w:szCs w:val="22"/>
                <w:lang w:val="es-MX"/>
              </w:rPr>
            </w:pPr>
            <w:r w:rsidRPr="004C2BB8">
              <w:rPr>
                <w:rFonts w:ascii="Arial" w:hAnsi="Arial" w:cs="Arial"/>
                <w:b/>
                <w:sz w:val="22"/>
                <w:szCs w:val="22"/>
                <w:lang w:val="es-MX"/>
              </w:rPr>
              <w:t>N°</w:t>
            </w:r>
          </w:p>
        </w:tc>
        <w:tc>
          <w:tcPr>
            <w:tcW w:w="9116" w:type="dxa"/>
          </w:tcPr>
          <w:p w14:paraId="79480921" w14:textId="77777777" w:rsidR="00561B22" w:rsidRDefault="00561B22" w:rsidP="00F1223B">
            <w:pPr>
              <w:jc w:val="center"/>
              <w:rPr>
                <w:rFonts w:ascii="Arial" w:hAnsi="Arial" w:cs="Arial"/>
                <w:b/>
                <w:sz w:val="22"/>
                <w:szCs w:val="22"/>
                <w:lang w:val="es-MX"/>
              </w:rPr>
            </w:pPr>
            <w:r w:rsidRPr="004C2BB8">
              <w:rPr>
                <w:rFonts w:ascii="Arial" w:hAnsi="Arial" w:cs="Arial"/>
                <w:b/>
                <w:sz w:val="22"/>
                <w:szCs w:val="22"/>
                <w:lang w:val="es-MX"/>
              </w:rPr>
              <w:t>DEBILIDADES</w:t>
            </w:r>
          </w:p>
          <w:p w14:paraId="5B932295" w14:textId="77777777" w:rsidR="00561B22" w:rsidRPr="004C2BB8" w:rsidRDefault="00561B22" w:rsidP="00F1223B">
            <w:pPr>
              <w:jc w:val="center"/>
              <w:rPr>
                <w:rFonts w:ascii="Arial" w:hAnsi="Arial" w:cs="Arial"/>
                <w:b/>
                <w:sz w:val="22"/>
                <w:szCs w:val="22"/>
                <w:lang w:val="es-MX"/>
              </w:rPr>
            </w:pPr>
          </w:p>
        </w:tc>
      </w:tr>
      <w:tr w:rsidR="00561B22" w:rsidRPr="004C2BB8" w14:paraId="1691BA3B" w14:textId="77777777" w:rsidTr="00F1223B">
        <w:tc>
          <w:tcPr>
            <w:tcW w:w="846" w:type="dxa"/>
          </w:tcPr>
          <w:p w14:paraId="19154F6B"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1</w:t>
            </w:r>
          </w:p>
        </w:tc>
        <w:tc>
          <w:tcPr>
            <w:tcW w:w="9116" w:type="dxa"/>
          </w:tcPr>
          <w:p w14:paraId="61946FCB" w14:textId="77777777" w:rsidR="00561B22" w:rsidRPr="004C2BB8" w:rsidRDefault="00561B22" w:rsidP="00F1223B">
            <w:pPr>
              <w:jc w:val="both"/>
              <w:rPr>
                <w:rFonts w:ascii="Arial" w:hAnsi="Arial" w:cs="Arial"/>
                <w:b/>
                <w:sz w:val="22"/>
                <w:szCs w:val="22"/>
                <w:lang w:val="es-MX"/>
              </w:rPr>
            </w:pPr>
            <w:r w:rsidRPr="004C2BB8">
              <w:rPr>
                <w:rFonts w:ascii="Arial" w:hAnsi="Arial" w:cs="Arial"/>
                <w:sz w:val="22"/>
                <w:szCs w:val="22"/>
              </w:rPr>
              <w:t>Se observan actividades de conciliación por parte de la Contabilidad y Tributaria, sin embargo, es importante fortalecer dicho procedimiento con las áreas que intervienen en la generación de la información contable y financiera, así como la depuración de partidas con antigüedad de más de 90 días: Cuentas por cobrar, cuentas por pagar, inventarios, amortizaciones de gastos pagados por anticipado, entre otros.</w:t>
            </w:r>
          </w:p>
        </w:tc>
      </w:tr>
      <w:tr w:rsidR="00561B22" w:rsidRPr="004C2BB8" w14:paraId="1AB511B9" w14:textId="77777777" w:rsidTr="00F1223B">
        <w:tc>
          <w:tcPr>
            <w:tcW w:w="846" w:type="dxa"/>
          </w:tcPr>
          <w:p w14:paraId="6FA22A18"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2</w:t>
            </w:r>
          </w:p>
        </w:tc>
        <w:tc>
          <w:tcPr>
            <w:tcW w:w="9116" w:type="dxa"/>
          </w:tcPr>
          <w:p w14:paraId="3B35D18E"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Frente a las revisiones que se efectúa al Manual de Políticas Contables de acuerdo a modificaciones del marco normativo por parte de la Contaduría General de la Nación, es necesario dejar documentado las socializaciones, mesas de trabajo y demás actividades que den fe de las revisiones periódicas a las normas que le aplican.</w:t>
            </w:r>
          </w:p>
        </w:tc>
      </w:tr>
      <w:tr w:rsidR="00561B22" w:rsidRPr="004C2BB8" w14:paraId="5FF074A6" w14:textId="77777777" w:rsidTr="00F1223B">
        <w:tc>
          <w:tcPr>
            <w:tcW w:w="846" w:type="dxa"/>
          </w:tcPr>
          <w:p w14:paraId="2F75B795"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3</w:t>
            </w:r>
          </w:p>
        </w:tc>
        <w:tc>
          <w:tcPr>
            <w:tcW w:w="9116" w:type="dxa"/>
          </w:tcPr>
          <w:p w14:paraId="52108CA5"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De acuerdo al marco normativo para entidades públicas es importante efectuar por lo menos una vez dentro del período de análisis de deterioro de los bienes del instituto, en caso de no presentar deterioro es importante dejar documentado dicha verificación.</w:t>
            </w:r>
          </w:p>
        </w:tc>
      </w:tr>
      <w:tr w:rsidR="00561B22" w:rsidRPr="004C2BB8" w14:paraId="656C07AF" w14:textId="77777777" w:rsidTr="00F1223B">
        <w:tc>
          <w:tcPr>
            <w:tcW w:w="846" w:type="dxa"/>
          </w:tcPr>
          <w:p w14:paraId="26B7F4EC"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4</w:t>
            </w:r>
          </w:p>
        </w:tc>
        <w:tc>
          <w:tcPr>
            <w:tcW w:w="9116" w:type="dxa"/>
          </w:tcPr>
          <w:p w14:paraId="7A3BDBCC"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Es oportuno implementar acciones que tiendan a cambiar los resultados negativos en la evaluación, que aporten a la mejora del Sistema de Control Interno Contable.</w:t>
            </w:r>
          </w:p>
        </w:tc>
      </w:tr>
      <w:tr w:rsidR="00561B22" w:rsidRPr="004C2BB8" w14:paraId="0693A6B6" w14:textId="77777777" w:rsidTr="00F1223B">
        <w:tc>
          <w:tcPr>
            <w:tcW w:w="846" w:type="dxa"/>
          </w:tcPr>
          <w:p w14:paraId="7C6FB809"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5</w:t>
            </w:r>
          </w:p>
        </w:tc>
        <w:tc>
          <w:tcPr>
            <w:tcW w:w="9116" w:type="dxa"/>
          </w:tcPr>
          <w:p w14:paraId="64F42DF3"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Frente a los planes de capacitación asociados al proceso contable es necesario que se articule con la Gerencia de Gestión Humana la inclusión de dichas capacitaciones para el proceso, dado que es un requerimiento de ley mantener al personal de esta área actualizado en los temas que le competen.</w:t>
            </w:r>
          </w:p>
        </w:tc>
      </w:tr>
    </w:tbl>
    <w:p w14:paraId="696F4904" w14:textId="77777777" w:rsidR="00561B22" w:rsidRPr="004C2BB8" w:rsidRDefault="00561B22" w:rsidP="00561B22">
      <w:pPr>
        <w:pStyle w:val="Textoindependiente"/>
        <w:ind w:right="-50"/>
        <w:jc w:val="both"/>
        <w:rPr>
          <w:rFonts w:ascii="Arial" w:hAnsi="Arial" w:cs="Arial"/>
          <w:b/>
          <w:bCs/>
        </w:rPr>
      </w:pPr>
    </w:p>
    <w:p w14:paraId="6D51016E" w14:textId="77777777" w:rsidR="00561B22" w:rsidRPr="004C2BB8" w:rsidRDefault="00561B22" w:rsidP="00561B22">
      <w:pPr>
        <w:jc w:val="both"/>
        <w:rPr>
          <w:rFonts w:ascii="Arial" w:hAnsi="Arial" w:cs="Arial"/>
          <w:b/>
          <w:lang w:val="es-MX"/>
        </w:rPr>
      </w:pPr>
      <w:r w:rsidRPr="004C2BB8">
        <w:rPr>
          <w:rFonts w:ascii="Arial" w:hAnsi="Arial" w:cs="Arial"/>
          <w:b/>
          <w:lang w:val="es-MX"/>
        </w:rPr>
        <w:t>Del citado informe retomamos las siguientes recomendaciones:</w:t>
      </w:r>
    </w:p>
    <w:p w14:paraId="57B0D724" w14:textId="77777777" w:rsidR="00561B22" w:rsidRPr="004C2BB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4C2BB8" w14:paraId="565EC919" w14:textId="77777777" w:rsidTr="00F1223B">
        <w:tc>
          <w:tcPr>
            <w:tcW w:w="846" w:type="dxa"/>
          </w:tcPr>
          <w:p w14:paraId="363A556C" w14:textId="77777777" w:rsidR="00561B22" w:rsidRPr="004C2BB8" w:rsidRDefault="00561B22" w:rsidP="00F1223B">
            <w:pPr>
              <w:ind w:right="-109"/>
              <w:jc w:val="center"/>
              <w:rPr>
                <w:rFonts w:ascii="Arial" w:hAnsi="Arial" w:cs="Arial"/>
                <w:b/>
                <w:sz w:val="22"/>
                <w:szCs w:val="22"/>
                <w:lang w:val="es-MX"/>
              </w:rPr>
            </w:pPr>
            <w:r w:rsidRPr="004C2BB8">
              <w:rPr>
                <w:rFonts w:ascii="Arial" w:hAnsi="Arial" w:cs="Arial"/>
                <w:b/>
                <w:sz w:val="22"/>
                <w:szCs w:val="22"/>
                <w:lang w:val="es-MX"/>
              </w:rPr>
              <w:t>N°</w:t>
            </w:r>
          </w:p>
        </w:tc>
        <w:tc>
          <w:tcPr>
            <w:tcW w:w="9116" w:type="dxa"/>
          </w:tcPr>
          <w:p w14:paraId="76EBE5CD"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RECOMENDACIONES</w:t>
            </w:r>
          </w:p>
          <w:p w14:paraId="52DBD3F2" w14:textId="77777777" w:rsidR="00561B22" w:rsidRPr="004C2BB8" w:rsidRDefault="00561B22" w:rsidP="00F1223B">
            <w:pPr>
              <w:jc w:val="center"/>
              <w:rPr>
                <w:rFonts w:ascii="Arial" w:hAnsi="Arial" w:cs="Arial"/>
                <w:b/>
                <w:sz w:val="22"/>
                <w:szCs w:val="22"/>
                <w:lang w:val="es-MX"/>
              </w:rPr>
            </w:pPr>
          </w:p>
        </w:tc>
      </w:tr>
      <w:tr w:rsidR="00561B22" w:rsidRPr="004C2BB8" w14:paraId="061B0722" w14:textId="77777777" w:rsidTr="00F1223B">
        <w:tc>
          <w:tcPr>
            <w:tcW w:w="846" w:type="dxa"/>
          </w:tcPr>
          <w:p w14:paraId="0D55AA4A"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1</w:t>
            </w:r>
          </w:p>
        </w:tc>
        <w:tc>
          <w:tcPr>
            <w:tcW w:w="9116" w:type="dxa"/>
          </w:tcPr>
          <w:p w14:paraId="2A728312" w14:textId="77777777" w:rsidR="00561B22" w:rsidRPr="004C2BB8" w:rsidRDefault="00561B22" w:rsidP="00F1223B">
            <w:pPr>
              <w:rPr>
                <w:rFonts w:ascii="Arial" w:hAnsi="Arial" w:cs="Arial"/>
                <w:b/>
                <w:sz w:val="22"/>
                <w:szCs w:val="22"/>
                <w:lang w:val="es-MX"/>
              </w:rPr>
            </w:pPr>
            <w:r w:rsidRPr="004C2BB8">
              <w:rPr>
                <w:rFonts w:ascii="Arial" w:hAnsi="Arial" w:cs="Arial"/>
                <w:sz w:val="22"/>
                <w:szCs w:val="22"/>
              </w:rPr>
              <w:t>Se recomienda que desde la Dirección Financiera y Administrativa – Gestión Contable se evalúe la aplicación de las oportunidades de mejora mencionadas en el presente informe.</w:t>
            </w:r>
          </w:p>
        </w:tc>
      </w:tr>
      <w:tr w:rsidR="00561B22" w:rsidRPr="004C2BB8" w14:paraId="01E9980E" w14:textId="77777777" w:rsidTr="00F1223B">
        <w:tc>
          <w:tcPr>
            <w:tcW w:w="846" w:type="dxa"/>
          </w:tcPr>
          <w:p w14:paraId="55ED62AA"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2</w:t>
            </w:r>
          </w:p>
        </w:tc>
        <w:tc>
          <w:tcPr>
            <w:tcW w:w="9116" w:type="dxa"/>
          </w:tcPr>
          <w:p w14:paraId="0EEF0042"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Se cuenta con conciliaciones de las partidas más representativas del balance como lo son: Cuentas por pagar, cuentas por cobrar, inventarios y conciliaciones bancarias, sin embargo, es necesario fortalecer dicho proceso con las áreas que se involucran y producen información contable y financiera, de tal forma que se evidencia depuración y conciliación efectiva. Esto teniendo en cuenta que se observan partidas con antigüedad de más de dos años para algunas subcuentas contables. Para el cierre de la vigencia 2024, se alcanzaron a depurar parte de estas, pero aún se mantienen partidas con este comportamiento de antigüedad.</w:t>
            </w:r>
          </w:p>
        </w:tc>
      </w:tr>
      <w:tr w:rsidR="00561B22" w:rsidRPr="004C2BB8" w14:paraId="3D0E697E" w14:textId="77777777" w:rsidTr="00F1223B">
        <w:tc>
          <w:tcPr>
            <w:tcW w:w="846" w:type="dxa"/>
          </w:tcPr>
          <w:p w14:paraId="797B0DC6"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3</w:t>
            </w:r>
          </w:p>
        </w:tc>
        <w:tc>
          <w:tcPr>
            <w:tcW w:w="9116" w:type="dxa"/>
          </w:tcPr>
          <w:p w14:paraId="00CC6A15"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Se deben efectuar revisiones periódicas a las modificaciones del marco normativo para el sector público emitidas por la Contaduría General de la Nación y dejar documentada dicha actividad.</w:t>
            </w:r>
          </w:p>
        </w:tc>
      </w:tr>
      <w:tr w:rsidR="00561B22" w:rsidRPr="004C2BB8" w14:paraId="14D70E6D" w14:textId="77777777" w:rsidTr="00F1223B">
        <w:tc>
          <w:tcPr>
            <w:tcW w:w="846" w:type="dxa"/>
          </w:tcPr>
          <w:p w14:paraId="6CF1D3A6"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4</w:t>
            </w:r>
          </w:p>
        </w:tc>
        <w:tc>
          <w:tcPr>
            <w:tcW w:w="9116" w:type="dxa"/>
          </w:tcPr>
          <w:p w14:paraId="14517A8C"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Se recomienda efectuar el seguimiento y monitoreo a los riesgos identificados de índole contable de acuerdo a las fechas establecidas y dejar documentado cada control determinado.</w:t>
            </w:r>
          </w:p>
        </w:tc>
      </w:tr>
      <w:tr w:rsidR="00561B22" w:rsidRPr="004C2BB8" w14:paraId="71905366" w14:textId="77777777" w:rsidTr="00F1223B">
        <w:tc>
          <w:tcPr>
            <w:tcW w:w="846" w:type="dxa"/>
          </w:tcPr>
          <w:p w14:paraId="19511C9A"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5</w:t>
            </w:r>
          </w:p>
        </w:tc>
        <w:tc>
          <w:tcPr>
            <w:tcW w:w="9116" w:type="dxa"/>
          </w:tcPr>
          <w:p w14:paraId="57C311D7" w14:textId="77777777" w:rsidR="00561B22" w:rsidRPr="004C2BB8" w:rsidRDefault="00561B22" w:rsidP="00F1223B">
            <w:pPr>
              <w:rPr>
                <w:rFonts w:ascii="Arial" w:hAnsi="Arial" w:cs="Arial"/>
                <w:sz w:val="22"/>
                <w:szCs w:val="22"/>
                <w:lang w:val="es-MX"/>
              </w:rPr>
            </w:pPr>
            <w:r w:rsidRPr="004C2BB8">
              <w:rPr>
                <w:rFonts w:ascii="Arial" w:hAnsi="Arial" w:cs="Arial"/>
                <w:sz w:val="22"/>
                <w:szCs w:val="22"/>
                <w:lang w:val="es-MX"/>
              </w:rPr>
              <w:t>Verificar por lo menos una vez al año, la medición posterior de los hechos económicos realizados y reconocidos en las cuentas contables, indiferente de su materialidad.</w:t>
            </w:r>
          </w:p>
        </w:tc>
      </w:tr>
      <w:tr w:rsidR="00561B22" w:rsidRPr="004C2BB8" w14:paraId="7D05ED8D" w14:textId="77777777" w:rsidTr="00F1223B">
        <w:tc>
          <w:tcPr>
            <w:tcW w:w="846" w:type="dxa"/>
          </w:tcPr>
          <w:p w14:paraId="48DC5848"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6</w:t>
            </w:r>
          </w:p>
        </w:tc>
        <w:tc>
          <w:tcPr>
            <w:tcW w:w="9116" w:type="dxa"/>
          </w:tcPr>
          <w:p w14:paraId="48338F1C"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Es importante crear instrumentos de seguimiento para los planes de mejoramiento de ejercicios de auditorías internas y externas que garanticen la implementación de las acciones oportunamente y que contribuyen al mejoramiento del Sistema de Control Interno Contable y que estos queden documentados como evidencia.</w:t>
            </w:r>
          </w:p>
        </w:tc>
      </w:tr>
      <w:tr w:rsidR="00561B22" w:rsidRPr="004C2BB8" w14:paraId="498C6F49" w14:textId="77777777" w:rsidTr="00F1223B">
        <w:tc>
          <w:tcPr>
            <w:tcW w:w="846" w:type="dxa"/>
          </w:tcPr>
          <w:p w14:paraId="677725E4" w14:textId="77777777" w:rsidR="00561B22" w:rsidRPr="004C2BB8" w:rsidRDefault="00561B22" w:rsidP="00F1223B">
            <w:pPr>
              <w:jc w:val="center"/>
              <w:rPr>
                <w:rFonts w:ascii="Arial" w:hAnsi="Arial" w:cs="Arial"/>
                <w:b/>
                <w:sz w:val="22"/>
                <w:szCs w:val="22"/>
                <w:lang w:val="es-MX"/>
              </w:rPr>
            </w:pPr>
            <w:r w:rsidRPr="004C2BB8">
              <w:rPr>
                <w:rFonts w:ascii="Arial" w:hAnsi="Arial" w:cs="Arial"/>
                <w:b/>
                <w:sz w:val="22"/>
                <w:szCs w:val="22"/>
                <w:lang w:val="es-MX"/>
              </w:rPr>
              <w:t>7</w:t>
            </w:r>
          </w:p>
        </w:tc>
        <w:tc>
          <w:tcPr>
            <w:tcW w:w="9116" w:type="dxa"/>
          </w:tcPr>
          <w:p w14:paraId="60F59CC7" w14:textId="77777777" w:rsidR="00561B22" w:rsidRPr="004C2BB8" w:rsidRDefault="00561B22" w:rsidP="00F1223B">
            <w:pPr>
              <w:jc w:val="both"/>
              <w:rPr>
                <w:rFonts w:ascii="Arial" w:hAnsi="Arial" w:cs="Arial"/>
                <w:sz w:val="22"/>
                <w:szCs w:val="22"/>
                <w:lang w:val="es-MX"/>
              </w:rPr>
            </w:pPr>
            <w:r w:rsidRPr="004C2BB8">
              <w:rPr>
                <w:rFonts w:ascii="Arial" w:hAnsi="Arial" w:cs="Arial"/>
                <w:sz w:val="22"/>
                <w:szCs w:val="22"/>
                <w:lang w:val="es-MX"/>
              </w:rPr>
              <w:t>Ha sido reiterativo en todas las evaluaciones del Sistema de Control Interno Contable la implementación de un plan de capacitación y su ejecución, por tanto, se insta al proceso contable coordinar con la Gerencia de Gestión Humana para la incorporación de dichos ejercicios.</w:t>
            </w:r>
          </w:p>
        </w:tc>
      </w:tr>
    </w:tbl>
    <w:p w14:paraId="2B961A10" w14:textId="77777777" w:rsidR="00561B22" w:rsidRPr="004C2BB8" w:rsidRDefault="00561B22" w:rsidP="00561B22">
      <w:pPr>
        <w:pStyle w:val="Textoindependiente"/>
        <w:ind w:right="-50"/>
        <w:jc w:val="both"/>
        <w:rPr>
          <w:rFonts w:ascii="Arial" w:hAnsi="Arial" w:cs="Arial"/>
          <w:b/>
          <w:bCs/>
          <w:sz w:val="28"/>
          <w:szCs w:val="28"/>
        </w:rPr>
      </w:pPr>
    </w:p>
    <w:p w14:paraId="3872A9C9" w14:textId="77777777" w:rsidR="00561B22" w:rsidRPr="004C2BB8" w:rsidRDefault="00561B22" w:rsidP="00561B22">
      <w:pPr>
        <w:jc w:val="both"/>
        <w:rPr>
          <w:rFonts w:ascii="Arial" w:hAnsi="Arial" w:cs="Arial"/>
          <w:b/>
          <w:bCs/>
          <w:sz w:val="24"/>
          <w:szCs w:val="24"/>
          <w:lang w:val="es-CO"/>
        </w:rPr>
      </w:pPr>
      <w:r w:rsidRPr="004C2BB8">
        <w:rPr>
          <w:rFonts w:ascii="Arial" w:hAnsi="Arial" w:cs="Arial"/>
          <w:b/>
          <w:bCs/>
          <w:sz w:val="24"/>
          <w:szCs w:val="24"/>
          <w:lang w:val="es-CO"/>
        </w:rPr>
        <w:t xml:space="preserve">NOTA: LA ENTIDAD ENVIA LA MATRIZ DE AUTOEVALUACIÓN DEL SISTEMA DE CONTROL INTERNO CONTABLE CON ACTIVIDADES DE CONTROL REALIZADAS </w:t>
      </w:r>
      <w:r w:rsidRPr="004C2BB8">
        <w:rPr>
          <w:rFonts w:ascii="Arial" w:hAnsi="Arial" w:cs="Arial"/>
          <w:b/>
          <w:bCs/>
          <w:sz w:val="24"/>
          <w:szCs w:val="24"/>
          <w:u w:val="single"/>
          <w:lang w:val="es-CO"/>
        </w:rPr>
        <w:t>EN FORMA PARCIAL Y OTRAS SIMPLEMENTE INFORMAN QUE NO SE REALIZARON</w:t>
      </w:r>
      <w:r w:rsidRPr="004C2BB8">
        <w:rPr>
          <w:rFonts w:ascii="Arial" w:hAnsi="Arial" w:cs="Arial"/>
          <w:b/>
          <w:bCs/>
          <w:sz w:val="24"/>
          <w:szCs w:val="24"/>
          <w:lang w:val="es-CO"/>
        </w:rPr>
        <w:t>.</w:t>
      </w:r>
    </w:p>
    <w:p w14:paraId="21E852EC" w14:textId="77777777" w:rsidR="00561B22" w:rsidRDefault="00561B22" w:rsidP="00561B22">
      <w:pPr>
        <w:jc w:val="both"/>
        <w:rPr>
          <w:rFonts w:ascii="Arial" w:hAnsi="Arial" w:cs="Arial"/>
          <w:b/>
          <w:sz w:val="28"/>
          <w:szCs w:val="28"/>
          <w:lang w:val="es-MX"/>
        </w:rPr>
      </w:pPr>
    </w:p>
    <w:p w14:paraId="68C1E579" w14:textId="77777777" w:rsidR="00561B22" w:rsidRPr="00A04924" w:rsidRDefault="00561B22" w:rsidP="00561B22">
      <w:pPr>
        <w:jc w:val="both"/>
        <w:rPr>
          <w:rFonts w:ascii="Arial" w:hAnsi="Arial" w:cs="Arial"/>
          <w:b/>
          <w:sz w:val="28"/>
          <w:szCs w:val="28"/>
          <w:lang w:val="es-MX"/>
        </w:rPr>
      </w:pPr>
      <w:r w:rsidRPr="00A04924">
        <w:rPr>
          <w:rFonts w:ascii="Arial" w:hAnsi="Arial" w:cs="Arial"/>
          <w:b/>
          <w:sz w:val="28"/>
          <w:szCs w:val="28"/>
          <w:lang w:val="es-MX"/>
        </w:rPr>
        <w:t>35.- CORPORACIÓN AUTÓNOMA REGIONAL DEL MAGDALENA - CORPAMAG.</w:t>
      </w:r>
    </w:p>
    <w:p w14:paraId="718D4692" w14:textId="77777777" w:rsidR="00561B22" w:rsidRPr="00A04924" w:rsidRDefault="00561B22" w:rsidP="00561B22">
      <w:pPr>
        <w:pStyle w:val="Textoindependiente"/>
        <w:ind w:right="-50"/>
        <w:jc w:val="both"/>
        <w:rPr>
          <w:rFonts w:ascii="Arial" w:hAnsi="Arial" w:cs="Arial"/>
          <w:b/>
          <w:bCs/>
          <w:sz w:val="28"/>
          <w:szCs w:val="28"/>
          <w:lang w:val="es-MX"/>
        </w:rPr>
      </w:pPr>
    </w:p>
    <w:p w14:paraId="53D9334B" w14:textId="77777777" w:rsidR="00561B22" w:rsidRPr="00A04924" w:rsidRDefault="00561B22" w:rsidP="00561B22">
      <w:pPr>
        <w:pStyle w:val="Textoindependiente"/>
        <w:ind w:right="-50"/>
        <w:jc w:val="center"/>
        <w:rPr>
          <w:rFonts w:ascii="Arial" w:hAnsi="Arial" w:cs="Arial"/>
          <w:b/>
          <w:bCs/>
        </w:rPr>
      </w:pPr>
      <w:r w:rsidRPr="00A04924">
        <w:rPr>
          <w:rFonts w:ascii="Arial" w:hAnsi="Arial" w:cs="Arial"/>
          <w:b/>
          <w:bCs/>
        </w:rPr>
        <w:t>INFORME DE LA AUTOCALIFICACIÓN DEL SISTEMA DE CONTROL INTERNO CONTABLE:</w:t>
      </w:r>
    </w:p>
    <w:p w14:paraId="4E919F95" w14:textId="77777777" w:rsidR="00561B22" w:rsidRPr="00A04924"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04924" w14:paraId="389EC616" w14:textId="77777777" w:rsidTr="00F1223B">
        <w:tc>
          <w:tcPr>
            <w:tcW w:w="4981" w:type="dxa"/>
          </w:tcPr>
          <w:p w14:paraId="43A40114"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AUTOCALIFICACIÓN</w:t>
            </w:r>
          </w:p>
        </w:tc>
        <w:tc>
          <w:tcPr>
            <w:tcW w:w="4981" w:type="dxa"/>
          </w:tcPr>
          <w:p w14:paraId="05CA2FF7" w14:textId="77777777" w:rsidR="00561B22" w:rsidRPr="00A04924" w:rsidRDefault="00561B22" w:rsidP="00F1223B">
            <w:pPr>
              <w:jc w:val="center"/>
              <w:rPr>
                <w:rFonts w:ascii="Arial" w:hAnsi="Arial" w:cs="Arial"/>
                <w:b/>
                <w:sz w:val="22"/>
                <w:szCs w:val="22"/>
                <w:u w:val="single"/>
                <w:lang w:val="es-MX"/>
              </w:rPr>
            </w:pPr>
            <w:r w:rsidRPr="00A04924">
              <w:rPr>
                <w:rFonts w:ascii="Arial" w:hAnsi="Arial" w:cs="Arial"/>
                <w:b/>
                <w:sz w:val="22"/>
                <w:szCs w:val="22"/>
                <w:u w:val="single"/>
                <w:lang w:val="es-MX"/>
              </w:rPr>
              <w:t>4.97</w:t>
            </w:r>
          </w:p>
        </w:tc>
      </w:tr>
    </w:tbl>
    <w:p w14:paraId="3E220C0A" w14:textId="77777777" w:rsidR="00561B22" w:rsidRPr="00A04924" w:rsidRDefault="00561B22" w:rsidP="00561B22">
      <w:pPr>
        <w:pStyle w:val="Textoindependiente"/>
        <w:ind w:right="-50"/>
        <w:jc w:val="both"/>
        <w:rPr>
          <w:rFonts w:ascii="Arial" w:hAnsi="Arial" w:cs="Arial"/>
          <w:b/>
          <w:bCs/>
        </w:rPr>
      </w:pPr>
    </w:p>
    <w:p w14:paraId="3B34B180" w14:textId="77777777" w:rsidR="00561B22" w:rsidRPr="00A04924" w:rsidRDefault="00561B22" w:rsidP="00561B22">
      <w:pPr>
        <w:pStyle w:val="Textoindependiente"/>
        <w:ind w:right="-50"/>
        <w:jc w:val="both"/>
        <w:rPr>
          <w:rFonts w:ascii="Arial" w:hAnsi="Arial" w:cs="Arial"/>
          <w:b/>
          <w:bCs/>
        </w:rPr>
      </w:pPr>
      <w:r w:rsidRPr="00A04924">
        <w:rPr>
          <w:rFonts w:ascii="Arial" w:hAnsi="Arial" w:cs="Arial"/>
          <w:b/>
          <w:bCs/>
        </w:rPr>
        <w:t>Del informe enviado retomamos lo siguiente:</w:t>
      </w:r>
    </w:p>
    <w:p w14:paraId="6F8A5B7B" w14:textId="77777777" w:rsidR="00561B22" w:rsidRPr="00A0492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A04924" w14:paraId="767EF7FB" w14:textId="77777777" w:rsidTr="00F1223B">
        <w:tc>
          <w:tcPr>
            <w:tcW w:w="846" w:type="dxa"/>
          </w:tcPr>
          <w:p w14:paraId="29E471AD" w14:textId="77777777" w:rsidR="00561B22" w:rsidRPr="00A04924" w:rsidRDefault="00561B22" w:rsidP="00F1223B">
            <w:pPr>
              <w:ind w:right="-109"/>
              <w:jc w:val="center"/>
              <w:rPr>
                <w:rFonts w:ascii="Arial" w:hAnsi="Arial" w:cs="Arial"/>
                <w:b/>
                <w:sz w:val="22"/>
                <w:szCs w:val="22"/>
                <w:lang w:val="es-MX"/>
              </w:rPr>
            </w:pPr>
            <w:r w:rsidRPr="00A04924">
              <w:rPr>
                <w:rFonts w:ascii="Arial" w:hAnsi="Arial" w:cs="Arial"/>
                <w:b/>
                <w:sz w:val="22"/>
                <w:szCs w:val="22"/>
                <w:lang w:val="es-MX"/>
              </w:rPr>
              <w:t>N°</w:t>
            </w:r>
          </w:p>
        </w:tc>
        <w:tc>
          <w:tcPr>
            <w:tcW w:w="9116" w:type="dxa"/>
          </w:tcPr>
          <w:p w14:paraId="3BE9B438"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DEBILIDADES</w:t>
            </w:r>
          </w:p>
          <w:p w14:paraId="0FB38EEE" w14:textId="77777777" w:rsidR="00561B22" w:rsidRPr="00A04924" w:rsidRDefault="00561B22" w:rsidP="00F1223B">
            <w:pPr>
              <w:jc w:val="center"/>
              <w:rPr>
                <w:rFonts w:ascii="Arial" w:hAnsi="Arial" w:cs="Arial"/>
                <w:b/>
                <w:sz w:val="22"/>
                <w:szCs w:val="22"/>
                <w:lang w:val="es-MX"/>
              </w:rPr>
            </w:pPr>
          </w:p>
        </w:tc>
      </w:tr>
      <w:tr w:rsidR="00561B22" w:rsidRPr="00A04924" w14:paraId="56246A50" w14:textId="77777777" w:rsidTr="00F1223B">
        <w:tc>
          <w:tcPr>
            <w:tcW w:w="846" w:type="dxa"/>
          </w:tcPr>
          <w:p w14:paraId="7FFC48DF"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1</w:t>
            </w:r>
          </w:p>
        </w:tc>
        <w:tc>
          <w:tcPr>
            <w:tcW w:w="9116" w:type="dxa"/>
          </w:tcPr>
          <w:p w14:paraId="0C849A69" w14:textId="77777777" w:rsidR="00561B22" w:rsidRPr="00A04924" w:rsidRDefault="00561B22" w:rsidP="00F1223B">
            <w:pPr>
              <w:rPr>
                <w:rFonts w:ascii="Arial" w:hAnsi="Arial" w:cs="Arial"/>
                <w:bCs/>
                <w:sz w:val="22"/>
                <w:szCs w:val="22"/>
                <w:lang w:val="es-MX"/>
              </w:rPr>
            </w:pPr>
            <w:r w:rsidRPr="00A04924">
              <w:rPr>
                <w:rFonts w:ascii="Arial" w:hAnsi="Arial" w:cs="Arial"/>
                <w:bCs/>
                <w:sz w:val="22"/>
                <w:szCs w:val="22"/>
                <w:lang w:val="es-MX"/>
              </w:rPr>
              <w:t>El proceso de ejecución contable depende de otros procesos para la obtención de información financiera, lo que podría generar retrasos o la necesidad de corregir datos en ciertos casos</w:t>
            </w:r>
          </w:p>
        </w:tc>
      </w:tr>
      <w:tr w:rsidR="00561B22" w:rsidRPr="00A04924" w14:paraId="59C8B33A" w14:textId="77777777" w:rsidTr="00F1223B">
        <w:tc>
          <w:tcPr>
            <w:tcW w:w="846" w:type="dxa"/>
          </w:tcPr>
          <w:p w14:paraId="4E0F536E"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2</w:t>
            </w:r>
          </w:p>
        </w:tc>
        <w:tc>
          <w:tcPr>
            <w:tcW w:w="9116" w:type="dxa"/>
          </w:tcPr>
          <w:p w14:paraId="3D009108" w14:textId="77777777" w:rsidR="00561B22" w:rsidRPr="00A04924" w:rsidRDefault="00561B22" w:rsidP="00F1223B">
            <w:pPr>
              <w:rPr>
                <w:rFonts w:ascii="Arial" w:hAnsi="Arial" w:cs="Arial"/>
                <w:bCs/>
                <w:sz w:val="22"/>
                <w:szCs w:val="22"/>
                <w:lang w:val="es-MX"/>
              </w:rPr>
            </w:pPr>
            <w:r w:rsidRPr="00A04924">
              <w:rPr>
                <w:rFonts w:ascii="Arial" w:hAnsi="Arial" w:cs="Arial"/>
                <w:bCs/>
                <w:sz w:val="22"/>
                <w:szCs w:val="22"/>
                <w:lang w:val="es-MX"/>
              </w:rPr>
              <w:t>Se identificaron debilidades en la gestión de la propiedad, planta y equipo.</w:t>
            </w:r>
          </w:p>
        </w:tc>
      </w:tr>
    </w:tbl>
    <w:p w14:paraId="03909150" w14:textId="77777777" w:rsidR="00561B22" w:rsidRPr="00A04924" w:rsidRDefault="00561B22" w:rsidP="00561B22">
      <w:pPr>
        <w:pStyle w:val="Textoindependiente"/>
        <w:ind w:right="-50"/>
        <w:jc w:val="both"/>
        <w:rPr>
          <w:rFonts w:ascii="Arial" w:hAnsi="Arial" w:cs="Arial"/>
          <w:b/>
          <w:bCs/>
        </w:rPr>
      </w:pPr>
    </w:p>
    <w:p w14:paraId="5C236A59" w14:textId="77777777" w:rsidR="00561B22" w:rsidRPr="00A04924" w:rsidRDefault="00561B22" w:rsidP="00561B22">
      <w:pPr>
        <w:jc w:val="both"/>
        <w:rPr>
          <w:rFonts w:ascii="Arial" w:hAnsi="Arial" w:cs="Arial"/>
          <w:b/>
          <w:lang w:val="es-MX"/>
        </w:rPr>
      </w:pPr>
      <w:r w:rsidRPr="00A04924">
        <w:rPr>
          <w:rFonts w:ascii="Arial" w:hAnsi="Arial" w:cs="Arial"/>
          <w:b/>
          <w:lang w:val="es-MX"/>
        </w:rPr>
        <w:lastRenderedPageBreak/>
        <w:t>Del citado informe retomamos las siguientes recomendaciones:</w:t>
      </w:r>
    </w:p>
    <w:p w14:paraId="55B3D2B0" w14:textId="77777777" w:rsidR="00561B22" w:rsidRPr="00A04924"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846"/>
        <w:gridCol w:w="9116"/>
      </w:tblGrid>
      <w:tr w:rsidR="00561B22" w:rsidRPr="00A04924" w14:paraId="1CE876A3" w14:textId="77777777" w:rsidTr="00F1223B">
        <w:tc>
          <w:tcPr>
            <w:tcW w:w="846" w:type="dxa"/>
          </w:tcPr>
          <w:p w14:paraId="6EA69B87" w14:textId="77777777" w:rsidR="00561B22" w:rsidRPr="00A04924" w:rsidRDefault="00561B22" w:rsidP="00F1223B">
            <w:pPr>
              <w:ind w:right="-109"/>
              <w:jc w:val="center"/>
              <w:rPr>
                <w:rFonts w:ascii="Arial" w:hAnsi="Arial" w:cs="Arial"/>
                <w:b/>
                <w:sz w:val="22"/>
                <w:szCs w:val="22"/>
                <w:lang w:val="es-MX"/>
              </w:rPr>
            </w:pPr>
            <w:r w:rsidRPr="00A04924">
              <w:rPr>
                <w:rFonts w:ascii="Arial" w:hAnsi="Arial" w:cs="Arial"/>
                <w:b/>
                <w:sz w:val="22"/>
                <w:szCs w:val="22"/>
                <w:lang w:val="es-MX"/>
              </w:rPr>
              <w:t>N°</w:t>
            </w:r>
          </w:p>
        </w:tc>
        <w:tc>
          <w:tcPr>
            <w:tcW w:w="9116" w:type="dxa"/>
          </w:tcPr>
          <w:p w14:paraId="08A971F9"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RECOMENDACIONES</w:t>
            </w:r>
          </w:p>
          <w:p w14:paraId="67860E88" w14:textId="77777777" w:rsidR="00561B22" w:rsidRPr="00A04924" w:rsidRDefault="00561B22" w:rsidP="00F1223B">
            <w:pPr>
              <w:jc w:val="center"/>
              <w:rPr>
                <w:rFonts w:ascii="Arial" w:hAnsi="Arial" w:cs="Arial"/>
                <w:b/>
                <w:sz w:val="22"/>
                <w:szCs w:val="22"/>
                <w:lang w:val="es-MX"/>
              </w:rPr>
            </w:pPr>
          </w:p>
        </w:tc>
      </w:tr>
      <w:tr w:rsidR="00561B22" w:rsidRPr="00A04924" w14:paraId="3EDD5F03" w14:textId="77777777" w:rsidTr="00F1223B">
        <w:tc>
          <w:tcPr>
            <w:tcW w:w="846" w:type="dxa"/>
          </w:tcPr>
          <w:p w14:paraId="1D1C0F07"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1</w:t>
            </w:r>
          </w:p>
        </w:tc>
        <w:tc>
          <w:tcPr>
            <w:tcW w:w="9116" w:type="dxa"/>
          </w:tcPr>
          <w:p w14:paraId="587941C7" w14:textId="77777777" w:rsidR="00561B22" w:rsidRPr="00A04924" w:rsidRDefault="00561B22" w:rsidP="00F1223B">
            <w:pPr>
              <w:rPr>
                <w:rFonts w:ascii="Arial" w:hAnsi="Arial" w:cs="Arial"/>
                <w:bCs/>
                <w:sz w:val="22"/>
                <w:szCs w:val="22"/>
                <w:lang w:val="es-MX"/>
              </w:rPr>
            </w:pPr>
            <w:r w:rsidRPr="00A04924">
              <w:rPr>
                <w:rFonts w:ascii="Arial" w:hAnsi="Arial" w:cs="Arial"/>
                <w:bCs/>
                <w:sz w:val="22"/>
                <w:szCs w:val="22"/>
                <w:lang w:val="es-MX"/>
              </w:rPr>
              <w:t>Seguir fortaleciendo, la articulación entre las áreas que proveen información financiera.</w:t>
            </w:r>
          </w:p>
        </w:tc>
      </w:tr>
      <w:tr w:rsidR="00561B22" w:rsidRPr="00A04924" w14:paraId="13B3B47A" w14:textId="77777777" w:rsidTr="00F1223B">
        <w:tc>
          <w:tcPr>
            <w:tcW w:w="846" w:type="dxa"/>
          </w:tcPr>
          <w:p w14:paraId="4D92C942" w14:textId="77777777" w:rsidR="00561B22" w:rsidRPr="00A04924" w:rsidRDefault="00561B22" w:rsidP="00F1223B">
            <w:pPr>
              <w:jc w:val="center"/>
              <w:rPr>
                <w:rFonts w:ascii="Arial" w:hAnsi="Arial" w:cs="Arial"/>
                <w:b/>
                <w:sz w:val="22"/>
                <w:szCs w:val="22"/>
                <w:lang w:val="es-MX"/>
              </w:rPr>
            </w:pPr>
            <w:r w:rsidRPr="00A04924">
              <w:rPr>
                <w:rFonts w:ascii="Arial" w:hAnsi="Arial" w:cs="Arial"/>
                <w:b/>
                <w:sz w:val="22"/>
                <w:szCs w:val="22"/>
                <w:lang w:val="es-MX"/>
              </w:rPr>
              <w:t>2</w:t>
            </w:r>
          </w:p>
        </w:tc>
        <w:tc>
          <w:tcPr>
            <w:tcW w:w="9116" w:type="dxa"/>
          </w:tcPr>
          <w:p w14:paraId="133FDAA5" w14:textId="77777777" w:rsidR="00561B22" w:rsidRPr="00A04924" w:rsidRDefault="00561B22" w:rsidP="00F1223B">
            <w:pPr>
              <w:rPr>
                <w:rFonts w:ascii="Arial" w:hAnsi="Arial" w:cs="Arial"/>
                <w:bCs/>
                <w:sz w:val="22"/>
                <w:szCs w:val="22"/>
                <w:lang w:val="es-MX"/>
              </w:rPr>
            </w:pPr>
            <w:r w:rsidRPr="00A04924">
              <w:rPr>
                <w:rFonts w:ascii="Arial" w:hAnsi="Arial" w:cs="Arial"/>
                <w:bCs/>
                <w:sz w:val="22"/>
                <w:szCs w:val="22"/>
                <w:lang w:val="es-MX"/>
              </w:rPr>
              <w:t>Fortalecer los controles internos sobre la propiedad, planta y equipo</w:t>
            </w:r>
          </w:p>
        </w:tc>
      </w:tr>
    </w:tbl>
    <w:p w14:paraId="701F5933" w14:textId="77777777" w:rsidR="00561B22" w:rsidRPr="00A04924" w:rsidRDefault="00561B22" w:rsidP="00561B22">
      <w:pPr>
        <w:pStyle w:val="Textoindependiente"/>
        <w:ind w:right="-50"/>
        <w:jc w:val="both"/>
        <w:rPr>
          <w:rFonts w:ascii="Arial" w:hAnsi="Arial" w:cs="Arial"/>
          <w:b/>
          <w:bCs/>
          <w:sz w:val="28"/>
          <w:szCs w:val="28"/>
        </w:rPr>
      </w:pPr>
    </w:p>
    <w:p w14:paraId="7DADF229" w14:textId="77777777" w:rsidR="00561B22" w:rsidRPr="00A04924" w:rsidRDefault="00561B22" w:rsidP="00561B22">
      <w:pPr>
        <w:jc w:val="both"/>
        <w:rPr>
          <w:rFonts w:ascii="Arial" w:hAnsi="Arial" w:cs="Arial"/>
          <w:b/>
          <w:bCs/>
          <w:sz w:val="24"/>
          <w:szCs w:val="24"/>
          <w:lang w:val="es-CO"/>
        </w:rPr>
      </w:pPr>
      <w:r w:rsidRPr="00A04924">
        <w:rPr>
          <w:rFonts w:ascii="Arial" w:hAnsi="Arial" w:cs="Arial"/>
          <w:b/>
          <w:bCs/>
          <w:sz w:val="24"/>
          <w:szCs w:val="24"/>
          <w:lang w:val="es-CO"/>
        </w:rPr>
        <w:t xml:space="preserve">NOTA: LA ENTIDAD ENVIA LA MATRIZ DE AUTOEVALUACIÓN DEL SISTEMA DE CONTROL INTERNO CONTABLE CON </w:t>
      </w:r>
      <w:r w:rsidRPr="00A04924">
        <w:rPr>
          <w:rFonts w:ascii="Arial" w:hAnsi="Arial" w:cs="Arial"/>
          <w:b/>
          <w:bCs/>
          <w:sz w:val="24"/>
          <w:szCs w:val="24"/>
          <w:u w:val="single"/>
          <w:lang w:val="es-CO"/>
        </w:rPr>
        <w:t>ACTIVIDADES DE CONTROL REALIZADAS EN FORMA PARCIAL</w:t>
      </w:r>
      <w:r w:rsidRPr="00A04924">
        <w:rPr>
          <w:rFonts w:ascii="Arial" w:hAnsi="Arial" w:cs="Arial"/>
          <w:b/>
          <w:bCs/>
          <w:sz w:val="24"/>
          <w:szCs w:val="24"/>
          <w:lang w:val="es-CO"/>
        </w:rPr>
        <w:t>.</w:t>
      </w:r>
    </w:p>
    <w:p w14:paraId="152FF9D2" w14:textId="77777777" w:rsidR="00561B22" w:rsidRDefault="00561B22" w:rsidP="00561B22">
      <w:pPr>
        <w:ind w:left="142"/>
        <w:jc w:val="both"/>
        <w:rPr>
          <w:rFonts w:ascii="Arial" w:hAnsi="Arial" w:cs="Arial"/>
          <w:b/>
          <w:sz w:val="24"/>
          <w:szCs w:val="24"/>
          <w:lang w:val="es-CO"/>
        </w:rPr>
      </w:pPr>
    </w:p>
    <w:p w14:paraId="6C8FA88E" w14:textId="77777777" w:rsidR="00561B22" w:rsidRPr="00377731" w:rsidRDefault="00561B22" w:rsidP="00561B22">
      <w:pPr>
        <w:jc w:val="both"/>
        <w:rPr>
          <w:rFonts w:ascii="Arial" w:hAnsi="Arial" w:cs="Arial"/>
          <w:b/>
          <w:sz w:val="28"/>
          <w:szCs w:val="28"/>
          <w:lang w:val="es-MX"/>
        </w:rPr>
      </w:pPr>
      <w:r w:rsidRPr="00377731">
        <w:rPr>
          <w:rFonts w:ascii="Arial" w:hAnsi="Arial" w:cs="Arial"/>
          <w:b/>
          <w:sz w:val="28"/>
          <w:szCs w:val="28"/>
          <w:lang w:val="es-MX"/>
        </w:rPr>
        <w:t>36.- U.A.E. AGENCIA NACIONAL DEL ESPECTRO – ANE.</w:t>
      </w:r>
    </w:p>
    <w:p w14:paraId="5E42436C" w14:textId="77777777" w:rsidR="00561B22" w:rsidRDefault="00561B22" w:rsidP="00561B22">
      <w:pPr>
        <w:ind w:left="-284" w:right="-234"/>
        <w:jc w:val="both"/>
        <w:rPr>
          <w:rFonts w:ascii="Arial" w:hAnsi="Arial" w:cs="Arial"/>
          <w:b/>
          <w:sz w:val="24"/>
          <w:szCs w:val="24"/>
          <w:lang w:val="es-MX"/>
        </w:rPr>
      </w:pPr>
    </w:p>
    <w:p w14:paraId="2F217F8B" w14:textId="77777777" w:rsidR="00561B22" w:rsidRPr="00F90C93" w:rsidRDefault="00561B22" w:rsidP="00561B22">
      <w:pPr>
        <w:pStyle w:val="Textoindependiente"/>
        <w:ind w:right="-50"/>
        <w:jc w:val="center"/>
        <w:rPr>
          <w:rFonts w:ascii="Arial" w:hAnsi="Arial" w:cs="Arial"/>
          <w:b/>
          <w:bCs/>
        </w:rPr>
      </w:pPr>
      <w:r w:rsidRPr="00F90C93">
        <w:rPr>
          <w:rFonts w:ascii="Arial" w:hAnsi="Arial" w:cs="Arial"/>
          <w:b/>
          <w:bCs/>
        </w:rPr>
        <w:t>INFORME DE LA AUTOCALIFICACIÓN DEL SISTEMA DE CONTROL INTERNO CONTABLE:</w:t>
      </w:r>
    </w:p>
    <w:p w14:paraId="3326D442" w14:textId="77777777" w:rsidR="00561B22" w:rsidRPr="00F90C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90C93" w14:paraId="3BFCBA30" w14:textId="77777777" w:rsidTr="00F1223B">
        <w:tc>
          <w:tcPr>
            <w:tcW w:w="4981" w:type="dxa"/>
          </w:tcPr>
          <w:p w14:paraId="73A9BCDE"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AUTOCALIFICACIÓN</w:t>
            </w:r>
          </w:p>
        </w:tc>
        <w:tc>
          <w:tcPr>
            <w:tcW w:w="4981" w:type="dxa"/>
          </w:tcPr>
          <w:p w14:paraId="51BF8922" w14:textId="77777777" w:rsidR="00561B22" w:rsidRPr="00F90C93" w:rsidRDefault="00561B22" w:rsidP="00F1223B">
            <w:pPr>
              <w:jc w:val="center"/>
              <w:rPr>
                <w:rFonts w:ascii="Arial" w:hAnsi="Arial" w:cs="Arial"/>
                <w:b/>
                <w:sz w:val="22"/>
                <w:szCs w:val="22"/>
                <w:u w:val="single"/>
                <w:lang w:val="es-MX"/>
              </w:rPr>
            </w:pPr>
            <w:r w:rsidRPr="00F90C93">
              <w:rPr>
                <w:rFonts w:ascii="Arial" w:hAnsi="Arial" w:cs="Arial"/>
                <w:b/>
                <w:sz w:val="22"/>
                <w:szCs w:val="22"/>
                <w:u w:val="single"/>
                <w:lang w:val="es-MX"/>
              </w:rPr>
              <w:t>4.66</w:t>
            </w:r>
          </w:p>
        </w:tc>
      </w:tr>
    </w:tbl>
    <w:p w14:paraId="697F9F4C" w14:textId="77777777" w:rsidR="00561B22" w:rsidRPr="00F90C93" w:rsidRDefault="00561B22" w:rsidP="00561B22">
      <w:pPr>
        <w:pStyle w:val="Textoindependiente"/>
        <w:ind w:right="-50"/>
        <w:jc w:val="both"/>
        <w:rPr>
          <w:rFonts w:ascii="Arial" w:hAnsi="Arial" w:cs="Arial"/>
          <w:b/>
          <w:bCs/>
        </w:rPr>
      </w:pPr>
    </w:p>
    <w:p w14:paraId="600F1AF9" w14:textId="77777777" w:rsidR="00561B22" w:rsidRPr="00F90C93" w:rsidRDefault="00561B22" w:rsidP="00561B22">
      <w:pPr>
        <w:pStyle w:val="Textoindependiente"/>
        <w:ind w:right="-50"/>
        <w:jc w:val="both"/>
        <w:rPr>
          <w:rFonts w:ascii="Arial" w:hAnsi="Arial" w:cs="Arial"/>
          <w:b/>
          <w:bCs/>
        </w:rPr>
      </w:pPr>
      <w:r w:rsidRPr="00F90C93">
        <w:rPr>
          <w:rFonts w:ascii="Arial" w:hAnsi="Arial" w:cs="Arial"/>
          <w:b/>
          <w:bCs/>
        </w:rPr>
        <w:t>Del informe enviado retomamos lo siguiente:</w:t>
      </w:r>
    </w:p>
    <w:p w14:paraId="3E8A9FAB" w14:textId="77777777" w:rsidR="00561B22" w:rsidRPr="00F90C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F90C93" w14:paraId="6E265859" w14:textId="77777777" w:rsidTr="00F1223B">
        <w:tc>
          <w:tcPr>
            <w:tcW w:w="846" w:type="dxa"/>
          </w:tcPr>
          <w:p w14:paraId="671C3B76" w14:textId="77777777" w:rsidR="00561B22" w:rsidRPr="00F90C93" w:rsidRDefault="00561B22" w:rsidP="00F1223B">
            <w:pPr>
              <w:ind w:right="-109"/>
              <w:jc w:val="center"/>
              <w:rPr>
                <w:rFonts w:ascii="Arial" w:hAnsi="Arial" w:cs="Arial"/>
                <w:b/>
                <w:sz w:val="22"/>
                <w:szCs w:val="22"/>
                <w:lang w:val="es-MX"/>
              </w:rPr>
            </w:pPr>
            <w:r w:rsidRPr="00F90C93">
              <w:rPr>
                <w:rFonts w:ascii="Arial" w:hAnsi="Arial" w:cs="Arial"/>
                <w:b/>
                <w:sz w:val="22"/>
                <w:szCs w:val="22"/>
                <w:lang w:val="es-MX"/>
              </w:rPr>
              <w:t>N°</w:t>
            </w:r>
          </w:p>
        </w:tc>
        <w:tc>
          <w:tcPr>
            <w:tcW w:w="9116" w:type="dxa"/>
          </w:tcPr>
          <w:p w14:paraId="4121FDA0"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DEBILIDADES</w:t>
            </w:r>
          </w:p>
          <w:p w14:paraId="500BC235" w14:textId="77777777" w:rsidR="00561B22" w:rsidRPr="00F90C93" w:rsidRDefault="00561B22" w:rsidP="00F1223B">
            <w:pPr>
              <w:jc w:val="center"/>
              <w:rPr>
                <w:rFonts w:ascii="Arial" w:hAnsi="Arial" w:cs="Arial"/>
                <w:b/>
                <w:sz w:val="22"/>
                <w:szCs w:val="22"/>
                <w:lang w:val="es-MX"/>
              </w:rPr>
            </w:pPr>
          </w:p>
        </w:tc>
      </w:tr>
      <w:tr w:rsidR="00561B22" w:rsidRPr="00F90C93" w14:paraId="454EB90D" w14:textId="77777777" w:rsidTr="00F1223B">
        <w:tc>
          <w:tcPr>
            <w:tcW w:w="846" w:type="dxa"/>
          </w:tcPr>
          <w:p w14:paraId="50183A27"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1</w:t>
            </w:r>
          </w:p>
        </w:tc>
        <w:tc>
          <w:tcPr>
            <w:tcW w:w="9116" w:type="dxa"/>
          </w:tcPr>
          <w:p w14:paraId="4C7BD2B1"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El numeral 9.6 GESTIÓN DE RIESGOS ASOCIADOS del Manual de Políticas Contables, debe ser fortalecido en cuanto a la lectura del contexto estratégico e identificación oportuna de los riesgos contables.</w:t>
            </w:r>
          </w:p>
        </w:tc>
      </w:tr>
      <w:tr w:rsidR="00561B22" w:rsidRPr="00F90C93" w14:paraId="21A106A8" w14:textId="77777777" w:rsidTr="00F1223B">
        <w:tc>
          <w:tcPr>
            <w:tcW w:w="846" w:type="dxa"/>
          </w:tcPr>
          <w:p w14:paraId="781DFF03"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2</w:t>
            </w:r>
          </w:p>
        </w:tc>
        <w:tc>
          <w:tcPr>
            <w:tcW w:w="9116" w:type="dxa"/>
          </w:tcPr>
          <w:p w14:paraId="31CD0762"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No se cuenta con indicadores para analizar o interpretar la calidad y confiabilidad de la información financiera</w:t>
            </w:r>
          </w:p>
        </w:tc>
      </w:tr>
      <w:tr w:rsidR="00561B22" w:rsidRPr="00F90C93" w14:paraId="1C944480" w14:textId="77777777" w:rsidTr="00F1223B">
        <w:tc>
          <w:tcPr>
            <w:tcW w:w="846" w:type="dxa"/>
          </w:tcPr>
          <w:p w14:paraId="39891C85"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3</w:t>
            </w:r>
          </w:p>
        </w:tc>
        <w:tc>
          <w:tcPr>
            <w:tcW w:w="9116" w:type="dxa"/>
          </w:tcPr>
          <w:p w14:paraId="5C17EAB7"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A la fecha no se ha formulado el plan de mejoramiento de la Auditoría interna de 2024.</w:t>
            </w:r>
          </w:p>
        </w:tc>
      </w:tr>
      <w:tr w:rsidR="00561B22" w:rsidRPr="00F90C93" w14:paraId="08F4BB04" w14:textId="77777777" w:rsidTr="00F1223B">
        <w:tc>
          <w:tcPr>
            <w:tcW w:w="846" w:type="dxa"/>
          </w:tcPr>
          <w:p w14:paraId="7F14AA0E"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4</w:t>
            </w:r>
          </w:p>
        </w:tc>
        <w:tc>
          <w:tcPr>
            <w:tcW w:w="9116" w:type="dxa"/>
          </w:tcPr>
          <w:p w14:paraId="56CCC6D5"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No se ha podido realizar el nombramiento de la contadora que ganó el concurso realizado por la CNSC,</w:t>
            </w:r>
          </w:p>
        </w:tc>
      </w:tr>
    </w:tbl>
    <w:p w14:paraId="2FB72F91" w14:textId="77777777" w:rsidR="00561B22" w:rsidRPr="00F90C93" w:rsidRDefault="00561B22" w:rsidP="00561B22">
      <w:pPr>
        <w:pStyle w:val="Textoindependiente"/>
        <w:ind w:right="-50"/>
        <w:jc w:val="both"/>
        <w:rPr>
          <w:rFonts w:ascii="Arial" w:hAnsi="Arial" w:cs="Arial"/>
          <w:b/>
          <w:bCs/>
        </w:rPr>
      </w:pPr>
    </w:p>
    <w:p w14:paraId="21A8A079" w14:textId="77777777" w:rsidR="00561B22" w:rsidRPr="00F90C93" w:rsidRDefault="00561B22" w:rsidP="00561B22">
      <w:pPr>
        <w:jc w:val="both"/>
        <w:rPr>
          <w:rFonts w:ascii="Arial" w:hAnsi="Arial" w:cs="Arial"/>
          <w:b/>
          <w:lang w:val="es-MX"/>
        </w:rPr>
      </w:pPr>
      <w:r w:rsidRPr="00F90C93">
        <w:rPr>
          <w:rFonts w:ascii="Arial" w:hAnsi="Arial" w:cs="Arial"/>
          <w:b/>
          <w:lang w:val="es-MX"/>
        </w:rPr>
        <w:t>Del citado informe retomamos las siguientes recomendaciones:</w:t>
      </w:r>
    </w:p>
    <w:p w14:paraId="5D2110C8" w14:textId="77777777" w:rsidR="00561B22" w:rsidRPr="00F90C93"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846"/>
        <w:gridCol w:w="9116"/>
      </w:tblGrid>
      <w:tr w:rsidR="00561B22" w:rsidRPr="00F90C93" w14:paraId="2BAF6901" w14:textId="77777777" w:rsidTr="00F1223B">
        <w:tc>
          <w:tcPr>
            <w:tcW w:w="846" w:type="dxa"/>
          </w:tcPr>
          <w:p w14:paraId="588DA5CA" w14:textId="77777777" w:rsidR="00561B22" w:rsidRPr="00F90C93" w:rsidRDefault="00561B22" w:rsidP="00F1223B">
            <w:pPr>
              <w:ind w:right="-109"/>
              <w:jc w:val="center"/>
              <w:rPr>
                <w:rFonts w:ascii="Arial" w:hAnsi="Arial" w:cs="Arial"/>
                <w:b/>
                <w:sz w:val="22"/>
                <w:szCs w:val="22"/>
                <w:lang w:val="es-MX"/>
              </w:rPr>
            </w:pPr>
            <w:r w:rsidRPr="00F90C93">
              <w:rPr>
                <w:rFonts w:ascii="Arial" w:hAnsi="Arial" w:cs="Arial"/>
                <w:b/>
                <w:sz w:val="22"/>
                <w:szCs w:val="22"/>
                <w:lang w:val="es-MX"/>
              </w:rPr>
              <w:t>N°</w:t>
            </w:r>
          </w:p>
        </w:tc>
        <w:tc>
          <w:tcPr>
            <w:tcW w:w="9116" w:type="dxa"/>
          </w:tcPr>
          <w:p w14:paraId="4D1E2E1E"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RECOMENDACIONES</w:t>
            </w:r>
          </w:p>
          <w:p w14:paraId="19DC18C8" w14:textId="77777777" w:rsidR="00561B22" w:rsidRPr="00F90C93" w:rsidRDefault="00561B22" w:rsidP="00F1223B">
            <w:pPr>
              <w:jc w:val="center"/>
              <w:rPr>
                <w:rFonts w:ascii="Arial" w:hAnsi="Arial" w:cs="Arial"/>
                <w:b/>
                <w:sz w:val="22"/>
                <w:szCs w:val="22"/>
                <w:lang w:val="es-MX"/>
              </w:rPr>
            </w:pPr>
          </w:p>
        </w:tc>
      </w:tr>
      <w:tr w:rsidR="00561B22" w:rsidRPr="00F90C93" w14:paraId="2D3B1D72" w14:textId="77777777" w:rsidTr="00F1223B">
        <w:tc>
          <w:tcPr>
            <w:tcW w:w="846" w:type="dxa"/>
          </w:tcPr>
          <w:p w14:paraId="035C159F"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1</w:t>
            </w:r>
          </w:p>
        </w:tc>
        <w:tc>
          <w:tcPr>
            <w:tcW w:w="9116" w:type="dxa"/>
          </w:tcPr>
          <w:p w14:paraId="7EB62875"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Continuar ejecutando las actividades de verificación y conciliación, con el fin de garantizar la adecuada identificación y medición de los hechos económicos.</w:t>
            </w:r>
          </w:p>
        </w:tc>
      </w:tr>
      <w:tr w:rsidR="00561B22" w:rsidRPr="00F90C93" w14:paraId="3D84A37F" w14:textId="77777777" w:rsidTr="00F1223B">
        <w:tc>
          <w:tcPr>
            <w:tcW w:w="846" w:type="dxa"/>
          </w:tcPr>
          <w:p w14:paraId="4FE56B84"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2</w:t>
            </w:r>
          </w:p>
        </w:tc>
        <w:tc>
          <w:tcPr>
            <w:tcW w:w="9116" w:type="dxa"/>
          </w:tcPr>
          <w:p w14:paraId="2F5A7D46"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Mantener la actualización permanente de las políticas y procedimientos</w:t>
            </w:r>
          </w:p>
        </w:tc>
      </w:tr>
      <w:tr w:rsidR="00561B22" w:rsidRPr="00F90C93" w14:paraId="02619717" w14:textId="77777777" w:rsidTr="00F1223B">
        <w:tc>
          <w:tcPr>
            <w:tcW w:w="846" w:type="dxa"/>
          </w:tcPr>
          <w:p w14:paraId="24811A67"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3</w:t>
            </w:r>
          </w:p>
        </w:tc>
        <w:tc>
          <w:tcPr>
            <w:tcW w:w="9116" w:type="dxa"/>
          </w:tcPr>
          <w:p w14:paraId="07DE9E0A"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 xml:space="preserve">Continuar, como hasta ahora, con el fortalecimiento de la estructura documental contable, la cual contribuye de manera integral a la verificación de la aplicación de los diferentes controles, esto con el fin de asegurar el reconocimiento de los hechos económicos. </w:t>
            </w:r>
          </w:p>
        </w:tc>
      </w:tr>
      <w:tr w:rsidR="00561B22" w:rsidRPr="00F90C93" w14:paraId="4ABABAC0" w14:textId="77777777" w:rsidTr="00F1223B">
        <w:tc>
          <w:tcPr>
            <w:tcW w:w="846" w:type="dxa"/>
          </w:tcPr>
          <w:p w14:paraId="74EDFC55"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4</w:t>
            </w:r>
          </w:p>
        </w:tc>
        <w:tc>
          <w:tcPr>
            <w:tcW w:w="9116" w:type="dxa"/>
          </w:tcPr>
          <w:p w14:paraId="68F644CF"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Fortalecer El numeral 9.6 GESTIÓN DE RIESGOS ASOCIADOS al ciclo contable y dirigirlo a la lectura del contexto estratégico e identificación oportuna de los riesgos contables.</w:t>
            </w:r>
          </w:p>
        </w:tc>
      </w:tr>
      <w:tr w:rsidR="00561B22" w:rsidRPr="00F90C93" w14:paraId="0BEDF657" w14:textId="77777777" w:rsidTr="00F1223B">
        <w:tc>
          <w:tcPr>
            <w:tcW w:w="846" w:type="dxa"/>
          </w:tcPr>
          <w:p w14:paraId="789B33C2"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5</w:t>
            </w:r>
          </w:p>
        </w:tc>
        <w:tc>
          <w:tcPr>
            <w:tcW w:w="9116" w:type="dxa"/>
          </w:tcPr>
          <w:p w14:paraId="751D9BC6"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Identificar riesgos asociados a la depreciación de la cuenta de propiedad planta y equipo.</w:t>
            </w:r>
          </w:p>
        </w:tc>
      </w:tr>
      <w:tr w:rsidR="00561B22" w:rsidRPr="00F90C93" w14:paraId="2E3E102E" w14:textId="77777777" w:rsidTr="00F1223B">
        <w:tc>
          <w:tcPr>
            <w:tcW w:w="846" w:type="dxa"/>
          </w:tcPr>
          <w:p w14:paraId="43102160"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6</w:t>
            </w:r>
          </w:p>
        </w:tc>
        <w:tc>
          <w:tcPr>
            <w:tcW w:w="9116" w:type="dxa"/>
          </w:tcPr>
          <w:p w14:paraId="5CDD3B70"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Contar con una batería integral de indicadores que permitan evidenciar lo que genera valor a la entidad, al ciudadano y al proceso, alineado con las políticas de la Contaduría General de la Nación.</w:t>
            </w:r>
          </w:p>
        </w:tc>
      </w:tr>
      <w:tr w:rsidR="00561B22" w:rsidRPr="00F90C93" w14:paraId="45FC6796" w14:textId="77777777" w:rsidTr="00F1223B">
        <w:tc>
          <w:tcPr>
            <w:tcW w:w="846" w:type="dxa"/>
          </w:tcPr>
          <w:p w14:paraId="1DFF7C0C"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7</w:t>
            </w:r>
          </w:p>
        </w:tc>
        <w:tc>
          <w:tcPr>
            <w:tcW w:w="9116" w:type="dxa"/>
          </w:tcPr>
          <w:p w14:paraId="6D4688D6"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Cumplir con todas las políticas establecidas en el Manual de Políticas Contables.</w:t>
            </w:r>
          </w:p>
        </w:tc>
      </w:tr>
      <w:tr w:rsidR="00561B22" w:rsidRPr="00F90C93" w14:paraId="025ABF96" w14:textId="77777777" w:rsidTr="00F1223B">
        <w:tc>
          <w:tcPr>
            <w:tcW w:w="846" w:type="dxa"/>
          </w:tcPr>
          <w:p w14:paraId="7F1ECA6B"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8</w:t>
            </w:r>
          </w:p>
        </w:tc>
        <w:tc>
          <w:tcPr>
            <w:tcW w:w="9116" w:type="dxa"/>
          </w:tcPr>
          <w:p w14:paraId="5B485E69"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Dentro del plan institucional de capacitación, considerar el desarrollo de competencias y actualización del personal involucrado.</w:t>
            </w:r>
          </w:p>
        </w:tc>
      </w:tr>
      <w:tr w:rsidR="00561B22" w:rsidRPr="00F90C93" w14:paraId="23D2E843" w14:textId="77777777" w:rsidTr="00F1223B">
        <w:tc>
          <w:tcPr>
            <w:tcW w:w="846" w:type="dxa"/>
          </w:tcPr>
          <w:p w14:paraId="6E747E02"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9</w:t>
            </w:r>
          </w:p>
        </w:tc>
        <w:tc>
          <w:tcPr>
            <w:tcW w:w="9116" w:type="dxa"/>
          </w:tcPr>
          <w:p w14:paraId="06130C7E"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 xml:space="preserve">En cuanto al plan de mejoramiento, es importante cumplir con los tiempos establecidos en el procedimiento para su formulación, con el fin de contribuir a la mejora continua de forma </w:t>
            </w:r>
            <w:r w:rsidRPr="00F90C93">
              <w:rPr>
                <w:rFonts w:ascii="Arial" w:hAnsi="Arial" w:cs="Arial"/>
                <w:bCs/>
                <w:sz w:val="22"/>
                <w:szCs w:val="22"/>
                <w:lang w:val="es-MX"/>
              </w:rPr>
              <w:lastRenderedPageBreak/>
              <w:t>oportuna.</w:t>
            </w:r>
          </w:p>
        </w:tc>
      </w:tr>
      <w:tr w:rsidR="00561B22" w:rsidRPr="00F90C93" w14:paraId="21C05998" w14:textId="77777777" w:rsidTr="00F1223B">
        <w:tc>
          <w:tcPr>
            <w:tcW w:w="846" w:type="dxa"/>
          </w:tcPr>
          <w:p w14:paraId="6D250570"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lastRenderedPageBreak/>
              <w:t>10</w:t>
            </w:r>
          </w:p>
        </w:tc>
        <w:tc>
          <w:tcPr>
            <w:tcW w:w="9116" w:type="dxa"/>
          </w:tcPr>
          <w:p w14:paraId="404E953F"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Revisar periódicamente los formatos y procedimientos y actualizarlos si a ello hay lugar, dejar acta de revisión.</w:t>
            </w:r>
          </w:p>
        </w:tc>
      </w:tr>
      <w:tr w:rsidR="00561B22" w:rsidRPr="00F90C93" w14:paraId="3742D53D" w14:textId="77777777" w:rsidTr="00F1223B">
        <w:tc>
          <w:tcPr>
            <w:tcW w:w="846" w:type="dxa"/>
          </w:tcPr>
          <w:p w14:paraId="6B39EF89"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11</w:t>
            </w:r>
          </w:p>
        </w:tc>
        <w:tc>
          <w:tcPr>
            <w:tcW w:w="9116" w:type="dxa"/>
          </w:tcPr>
          <w:p w14:paraId="28A75A60"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Trabajar en equipo con el proceso de gestión de bienes, con el fin de implementar las acciones sobre bajas y préstamos de inventarios,</w:t>
            </w:r>
          </w:p>
        </w:tc>
      </w:tr>
      <w:tr w:rsidR="00561B22" w:rsidRPr="00F90C93" w14:paraId="2875583C" w14:textId="77777777" w:rsidTr="00F1223B">
        <w:tc>
          <w:tcPr>
            <w:tcW w:w="846" w:type="dxa"/>
          </w:tcPr>
          <w:p w14:paraId="19FB6020" w14:textId="77777777" w:rsidR="00561B22" w:rsidRPr="00F90C93" w:rsidRDefault="00561B22" w:rsidP="00F1223B">
            <w:pPr>
              <w:jc w:val="center"/>
              <w:rPr>
                <w:rFonts w:ascii="Arial" w:hAnsi="Arial" w:cs="Arial"/>
                <w:b/>
                <w:sz w:val="22"/>
                <w:szCs w:val="22"/>
                <w:lang w:val="es-MX"/>
              </w:rPr>
            </w:pPr>
            <w:r w:rsidRPr="00F90C93">
              <w:rPr>
                <w:rFonts w:ascii="Arial" w:hAnsi="Arial" w:cs="Arial"/>
                <w:b/>
                <w:sz w:val="22"/>
                <w:szCs w:val="22"/>
                <w:lang w:val="es-MX"/>
              </w:rPr>
              <w:t>12</w:t>
            </w:r>
          </w:p>
        </w:tc>
        <w:tc>
          <w:tcPr>
            <w:tcW w:w="9116" w:type="dxa"/>
          </w:tcPr>
          <w:p w14:paraId="5BA372BB" w14:textId="77777777" w:rsidR="00561B22" w:rsidRPr="00F90C93" w:rsidRDefault="00561B22" w:rsidP="00F1223B">
            <w:pPr>
              <w:jc w:val="both"/>
              <w:rPr>
                <w:rFonts w:ascii="Arial" w:hAnsi="Arial" w:cs="Arial"/>
                <w:bCs/>
                <w:sz w:val="22"/>
                <w:szCs w:val="22"/>
                <w:lang w:val="es-MX"/>
              </w:rPr>
            </w:pPr>
            <w:r w:rsidRPr="00F90C93">
              <w:rPr>
                <w:rFonts w:ascii="Arial" w:hAnsi="Arial" w:cs="Arial"/>
                <w:bCs/>
                <w:sz w:val="22"/>
                <w:szCs w:val="22"/>
                <w:lang w:val="es-MX"/>
              </w:rPr>
              <w:t>Fortalecer las notas contables sobre propiedad, planta y equipo, y en general, con el fin de que sea fácilmente comprensible para todos.</w:t>
            </w:r>
          </w:p>
        </w:tc>
      </w:tr>
    </w:tbl>
    <w:p w14:paraId="1994FEB5" w14:textId="77777777" w:rsidR="00A937B7" w:rsidRDefault="00A937B7" w:rsidP="00561B22">
      <w:pPr>
        <w:jc w:val="both"/>
        <w:rPr>
          <w:rFonts w:ascii="Arial" w:hAnsi="Arial" w:cs="Arial"/>
          <w:b/>
          <w:bCs/>
          <w:sz w:val="24"/>
          <w:szCs w:val="24"/>
          <w:lang w:val="es-CO"/>
        </w:rPr>
      </w:pPr>
    </w:p>
    <w:p w14:paraId="38C6C9A4" w14:textId="77A89625" w:rsidR="00561B22" w:rsidRPr="00F90C93" w:rsidRDefault="00561B22" w:rsidP="00561B22">
      <w:pPr>
        <w:jc w:val="both"/>
        <w:rPr>
          <w:rFonts w:ascii="Arial" w:hAnsi="Arial" w:cs="Arial"/>
          <w:b/>
          <w:bCs/>
          <w:sz w:val="24"/>
          <w:szCs w:val="24"/>
          <w:lang w:val="es-CO"/>
        </w:rPr>
      </w:pPr>
      <w:r w:rsidRPr="00F90C93">
        <w:rPr>
          <w:rFonts w:ascii="Arial" w:hAnsi="Arial" w:cs="Arial"/>
          <w:b/>
          <w:bCs/>
          <w:sz w:val="24"/>
          <w:szCs w:val="24"/>
          <w:lang w:val="es-CO"/>
        </w:rPr>
        <w:t xml:space="preserve">NOTA: LA ENTIDAD ENVIA LA MATRIZ DE AUTOEVALUACIÓN DEL SISTEMA DE CONTROL INTERNO CONTABLE CON </w:t>
      </w:r>
      <w:r w:rsidRPr="00F90C93">
        <w:rPr>
          <w:rFonts w:ascii="Arial" w:hAnsi="Arial" w:cs="Arial"/>
          <w:b/>
          <w:bCs/>
          <w:sz w:val="24"/>
          <w:szCs w:val="24"/>
          <w:u w:val="single"/>
          <w:lang w:val="es-CO"/>
        </w:rPr>
        <w:t>ACTIVIDADES DE CONTROL REALIZADAS EN FORMA PARCIAL</w:t>
      </w:r>
      <w:r w:rsidRPr="00F90C93">
        <w:rPr>
          <w:rFonts w:ascii="Arial" w:hAnsi="Arial" w:cs="Arial"/>
          <w:b/>
          <w:bCs/>
          <w:sz w:val="24"/>
          <w:szCs w:val="24"/>
          <w:lang w:val="es-CO"/>
        </w:rPr>
        <w:t>.</w:t>
      </w:r>
    </w:p>
    <w:p w14:paraId="3D327C3C" w14:textId="77777777" w:rsidR="00561B22" w:rsidRPr="00F90C93" w:rsidRDefault="00561B22" w:rsidP="00561B22">
      <w:pPr>
        <w:jc w:val="both"/>
        <w:rPr>
          <w:rFonts w:ascii="Arial" w:hAnsi="Arial" w:cs="Arial"/>
          <w:b/>
          <w:bCs/>
          <w:sz w:val="24"/>
          <w:szCs w:val="24"/>
          <w:lang w:val="es-CO"/>
        </w:rPr>
      </w:pPr>
    </w:p>
    <w:p w14:paraId="54D4D39A" w14:textId="77777777" w:rsidR="00561B22" w:rsidRPr="00930E51" w:rsidRDefault="00561B22" w:rsidP="00561B22">
      <w:pPr>
        <w:jc w:val="both"/>
        <w:rPr>
          <w:rFonts w:ascii="Arial" w:hAnsi="Arial" w:cs="Arial"/>
          <w:b/>
          <w:sz w:val="32"/>
          <w:szCs w:val="32"/>
        </w:rPr>
      </w:pPr>
      <w:r w:rsidRPr="00930E51">
        <w:rPr>
          <w:rFonts w:ascii="Arial" w:hAnsi="Arial" w:cs="Arial"/>
          <w:b/>
          <w:sz w:val="28"/>
          <w:szCs w:val="28"/>
          <w:lang w:val="es-MX"/>
        </w:rPr>
        <w:t xml:space="preserve">37.- </w:t>
      </w:r>
      <w:r w:rsidRPr="00930E51">
        <w:rPr>
          <w:rFonts w:ascii="Arial" w:hAnsi="Arial" w:cs="Arial"/>
          <w:b/>
          <w:sz w:val="28"/>
          <w:szCs w:val="28"/>
        </w:rPr>
        <w:t>AGENCIA NACIONAL DE INFRAESTRUCTURA - ANI.</w:t>
      </w:r>
    </w:p>
    <w:p w14:paraId="03C69191" w14:textId="77777777" w:rsidR="00561B22" w:rsidRPr="00F90C93" w:rsidRDefault="00561B22" w:rsidP="00561B22">
      <w:pPr>
        <w:pStyle w:val="Textoindependiente"/>
        <w:tabs>
          <w:tab w:val="left" w:pos="2055"/>
        </w:tabs>
        <w:spacing w:before="5"/>
        <w:rPr>
          <w:rFonts w:ascii="Arial" w:hAnsi="Arial" w:cs="Arial"/>
          <w:sz w:val="17"/>
        </w:rPr>
      </w:pPr>
    </w:p>
    <w:p w14:paraId="73CB1A40" w14:textId="77777777" w:rsidR="00561B22" w:rsidRPr="00DC7A09" w:rsidRDefault="00561B22" w:rsidP="00561B22">
      <w:pPr>
        <w:pStyle w:val="Textoindependiente"/>
        <w:ind w:right="-50"/>
        <w:jc w:val="center"/>
        <w:rPr>
          <w:rFonts w:ascii="Arial" w:hAnsi="Arial" w:cs="Arial"/>
          <w:b/>
          <w:bCs/>
        </w:rPr>
      </w:pPr>
      <w:r w:rsidRPr="00DC7A09">
        <w:rPr>
          <w:rFonts w:ascii="Arial" w:hAnsi="Arial" w:cs="Arial"/>
          <w:b/>
          <w:bCs/>
        </w:rPr>
        <w:t>INFORME DE LA AUTOCALIFICACIÓN DEL SISTEMA DE CONTROL INTERNO CONTABLE:</w:t>
      </w:r>
    </w:p>
    <w:p w14:paraId="51BAFA64" w14:textId="77777777" w:rsidR="00561B22" w:rsidRPr="00DC7A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C7A09" w14:paraId="0E74E5E5" w14:textId="77777777" w:rsidTr="00F1223B">
        <w:tc>
          <w:tcPr>
            <w:tcW w:w="4981" w:type="dxa"/>
          </w:tcPr>
          <w:p w14:paraId="0D24B2F6"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AUTOCALIFICACIÓN</w:t>
            </w:r>
          </w:p>
        </w:tc>
        <w:tc>
          <w:tcPr>
            <w:tcW w:w="4981" w:type="dxa"/>
          </w:tcPr>
          <w:p w14:paraId="53F238AB" w14:textId="77777777" w:rsidR="00561B22" w:rsidRPr="00DC7A09" w:rsidRDefault="00561B22" w:rsidP="00F1223B">
            <w:pPr>
              <w:jc w:val="center"/>
              <w:rPr>
                <w:rFonts w:ascii="Arial" w:hAnsi="Arial" w:cs="Arial"/>
                <w:b/>
                <w:sz w:val="22"/>
                <w:szCs w:val="22"/>
                <w:u w:val="single"/>
                <w:lang w:val="es-MX"/>
              </w:rPr>
            </w:pPr>
            <w:r w:rsidRPr="00DC7A09">
              <w:rPr>
                <w:rFonts w:ascii="Arial" w:hAnsi="Arial" w:cs="Arial"/>
                <w:b/>
                <w:sz w:val="22"/>
                <w:szCs w:val="22"/>
                <w:u w:val="single"/>
                <w:lang w:val="es-MX"/>
              </w:rPr>
              <w:t>4.81</w:t>
            </w:r>
          </w:p>
        </w:tc>
      </w:tr>
    </w:tbl>
    <w:p w14:paraId="35A439A4" w14:textId="77777777" w:rsidR="00561B22" w:rsidRPr="00DC7A09" w:rsidRDefault="00561B22" w:rsidP="00561B22">
      <w:pPr>
        <w:pStyle w:val="Textoindependiente"/>
        <w:ind w:right="-50"/>
        <w:jc w:val="both"/>
        <w:rPr>
          <w:rFonts w:ascii="Arial" w:hAnsi="Arial" w:cs="Arial"/>
          <w:b/>
          <w:bCs/>
        </w:rPr>
      </w:pPr>
    </w:p>
    <w:p w14:paraId="78440BF0" w14:textId="77777777" w:rsidR="00561B22" w:rsidRPr="00DC7A09" w:rsidRDefault="00561B22" w:rsidP="00561B22">
      <w:pPr>
        <w:pStyle w:val="Textoindependiente"/>
        <w:ind w:right="-50"/>
        <w:jc w:val="both"/>
        <w:rPr>
          <w:rFonts w:ascii="Arial" w:hAnsi="Arial" w:cs="Arial"/>
          <w:b/>
          <w:bCs/>
        </w:rPr>
      </w:pPr>
      <w:r w:rsidRPr="00DC7A09">
        <w:rPr>
          <w:rFonts w:ascii="Arial" w:hAnsi="Arial" w:cs="Arial"/>
          <w:b/>
          <w:bCs/>
        </w:rPr>
        <w:t>Del informe enviado retomamos lo siguiente:</w:t>
      </w:r>
    </w:p>
    <w:p w14:paraId="658ADB57" w14:textId="77777777" w:rsidR="00561B22" w:rsidRPr="00DC7A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DC7A09" w14:paraId="7C329E9C" w14:textId="77777777" w:rsidTr="00F1223B">
        <w:tc>
          <w:tcPr>
            <w:tcW w:w="846" w:type="dxa"/>
          </w:tcPr>
          <w:p w14:paraId="1B0D7AD7" w14:textId="77777777" w:rsidR="00561B22" w:rsidRPr="00DC7A09" w:rsidRDefault="00561B22" w:rsidP="00F1223B">
            <w:pPr>
              <w:ind w:right="-109"/>
              <w:jc w:val="center"/>
              <w:rPr>
                <w:rFonts w:ascii="Arial" w:hAnsi="Arial" w:cs="Arial"/>
                <w:b/>
                <w:sz w:val="22"/>
                <w:szCs w:val="22"/>
                <w:lang w:val="es-MX"/>
              </w:rPr>
            </w:pPr>
            <w:r w:rsidRPr="00DC7A09">
              <w:rPr>
                <w:rFonts w:ascii="Arial" w:hAnsi="Arial" w:cs="Arial"/>
                <w:b/>
                <w:sz w:val="22"/>
                <w:szCs w:val="22"/>
                <w:lang w:val="es-MX"/>
              </w:rPr>
              <w:t>N°</w:t>
            </w:r>
          </w:p>
        </w:tc>
        <w:tc>
          <w:tcPr>
            <w:tcW w:w="9116" w:type="dxa"/>
          </w:tcPr>
          <w:p w14:paraId="6F2E4299"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DEBILIDADES</w:t>
            </w:r>
          </w:p>
          <w:p w14:paraId="5CBDE622" w14:textId="77777777" w:rsidR="00561B22" w:rsidRPr="00DC7A09" w:rsidRDefault="00561B22" w:rsidP="00F1223B">
            <w:pPr>
              <w:jc w:val="center"/>
              <w:rPr>
                <w:rFonts w:ascii="Arial" w:hAnsi="Arial" w:cs="Arial"/>
                <w:b/>
                <w:sz w:val="22"/>
                <w:szCs w:val="22"/>
                <w:lang w:val="es-MX"/>
              </w:rPr>
            </w:pPr>
          </w:p>
        </w:tc>
      </w:tr>
      <w:tr w:rsidR="00561B22" w:rsidRPr="00DC7A09" w14:paraId="66BA36E1" w14:textId="77777777" w:rsidTr="00F1223B">
        <w:tc>
          <w:tcPr>
            <w:tcW w:w="846" w:type="dxa"/>
          </w:tcPr>
          <w:p w14:paraId="3CFBB4F8"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1</w:t>
            </w:r>
          </w:p>
        </w:tc>
        <w:tc>
          <w:tcPr>
            <w:tcW w:w="9116" w:type="dxa"/>
          </w:tcPr>
          <w:p w14:paraId="1F5A4FF5"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Se observó debilidad para el cierre contable de la vigencia 2024, de la información contable a la Contaduría General de la Nación vía CHIP correspondiente al periodo octubre a diciembre de 2024, por lo cual la ANI solicitó prórroga a la CGN mediante memorando No. 20254010021861 del 23 de enero de 2025, sustentada en el alto volumen de información remitido al área contable por parte de los proveedores internos, cuyo análisis y registro se vio afectado por los tiempos empleados en la contratación de los colaboradores de la Agencia y adicionalmente por retrasos de entrega de información por parte de otras entidades; por lo tanto la CGN, con correo electrónico del 31 de enero de 2025 prorrogó el plazo a la Agencia hasta el 28/02/2025.</w:t>
            </w:r>
          </w:p>
        </w:tc>
      </w:tr>
      <w:tr w:rsidR="00561B22" w:rsidRPr="00DC7A09" w14:paraId="2D471BBE" w14:textId="77777777" w:rsidTr="00F1223B">
        <w:tc>
          <w:tcPr>
            <w:tcW w:w="846" w:type="dxa"/>
          </w:tcPr>
          <w:p w14:paraId="10D83D84"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2</w:t>
            </w:r>
          </w:p>
        </w:tc>
        <w:tc>
          <w:tcPr>
            <w:tcW w:w="9116" w:type="dxa"/>
          </w:tcPr>
          <w:p w14:paraId="52BCBA62"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En la herramienta de Excel para el control del envío de información al área contable se observó que algunas áreas entregan información de manera extemporánea, por lo que para el cierre de la vigencia 2023 y apertura de 2024 la CGR determinó hallazgo por diferencia en los modelos financieros en siete (7) proyectos, cuya causa se determinó en la entrega inoportuna de la información al área contable, es de anotar que la ANI ya suscribió plan de mejoramiento.</w:t>
            </w:r>
          </w:p>
        </w:tc>
      </w:tr>
      <w:tr w:rsidR="00561B22" w:rsidRPr="00DC7A09" w14:paraId="3D554D9E" w14:textId="77777777" w:rsidTr="00F1223B">
        <w:tc>
          <w:tcPr>
            <w:tcW w:w="846" w:type="dxa"/>
          </w:tcPr>
          <w:p w14:paraId="1C000F35"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3</w:t>
            </w:r>
          </w:p>
        </w:tc>
        <w:tc>
          <w:tcPr>
            <w:tcW w:w="9116" w:type="dxa"/>
          </w:tcPr>
          <w:p w14:paraId="49542D29"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Debilidad en la clasificación de algunas de las cuentas por cobrar por ingresos férreos, dado que la CGR en la auditoría realizada en la vigencia 2024 determinó un hallazgo, para lo cual la ANI ya suscribió plan de mejoramiento.</w:t>
            </w:r>
          </w:p>
        </w:tc>
      </w:tr>
      <w:tr w:rsidR="00561B22" w:rsidRPr="00DC7A09" w14:paraId="181886E7" w14:textId="77777777" w:rsidTr="00F1223B">
        <w:tc>
          <w:tcPr>
            <w:tcW w:w="846" w:type="dxa"/>
          </w:tcPr>
          <w:p w14:paraId="0C8F8A6E"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4</w:t>
            </w:r>
          </w:p>
        </w:tc>
        <w:tc>
          <w:tcPr>
            <w:tcW w:w="9116" w:type="dxa"/>
          </w:tcPr>
          <w:p w14:paraId="79BE643E"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En la auditoría financiera realizada por la CGR en la vigencia 2024, determinó debilidad en la metodología para el cálculo de la provisión contable de algunos procesos judiciales, trámites arbitrales y conciliaciones extrajudiciales en contra de la ANI, en las cuentas contables 2701 Litigios y demandas - 5368 Provisión litigios y demandas, cabe anotar que la ANI suscribió acciones de mejora para subsanar las causas del hallazgo.</w:t>
            </w:r>
          </w:p>
        </w:tc>
      </w:tr>
      <w:tr w:rsidR="00561B22" w:rsidRPr="00DC7A09" w14:paraId="6B726EA4" w14:textId="77777777" w:rsidTr="00F1223B">
        <w:tc>
          <w:tcPr>
            <w:tcW w:w="846" w:type="dxa"/>
          </w:tcPr>
          <w:p w14:paraId="7FFC0070"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5</w:t>
            </w:r>
          </w:p>
        </w:tc>
        <w:tc>
          <w:tcPr>
            <w:tcW w:w="9116" w:type="dxa"/>
          </w:tcPr>
          <w:p w14:paraId="01A9D58F"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Debilidad en la elaboración y revelación en las Notas a los Estados Financieros, dado que en la auditoría realizada por la CGR en la vigencia 2024, se determinaron tres (3) hallazgos relacionados la revelación sobre proyectos de concesión en las notas al cierre de la vigencia 2023, cabe anotar que la ANI ya estableció acciones de mejora para subsanar las causas.</w:t>
            </w:r>
          </w:p>
        </w:tc>
      </w:tr>
    </w:tbl>
    <w:p w14:paraId="200B836A" w14:textId="77777777" w:rsidR="00561B22" w:rsidRPr="00DC7A09" w:rsidRDefault="00561B22" w:rsidP="00561B22">
      <w:pPr>
        <w:pStyle w:val="Textoindependiente"/>
        <w:ind w:right="-50"/>
        <w:jc w:val="both"/>
        <w:rPr>
          <w:rFonts w:ascii="Arial" w:hAnsi="Arial" w:cs="Arial"/>
          <w:b/>
          <w:bCs/>
        </w:rPr>
      </w:pPr>
    </w:p>
    <w:p w14:paraId="74BD45DB" w14:textId="77777777" w:rsidR="00561B22" w:rsidRPr="00DC7A09" w:rsidRDefault="00561B22" w:rsidP="00561B22">
      <w:pPr>
        <w:jc w:val="both"/>
        <w:rPr>
          <w:rFonts w:ascii="Arial" w:hAnsi="Arial" w:cs="Arial"/>
          <w:b/>
          <w:lang w:val="es-MX"/>
        </w:rPr>
      </w:pPr>
      <w:r w:rsidRPr="00DC7A09">
        <w:rPr>
          <w:rFonts w:ascii="Arial" w:hAnsi="Arial" w:cs="Arial"/>
          <w:b/>
          <w:lang w:val="es-MX"/>
        </w:rPr>
        <w:t>Del citado informe retomamos las siguientes recomendaciones:</w:t>
      </w:r>
    </w:p>
    <w:p w14:paraId="1C2DE649" w14:textId="77777777" w:rsidR="00561B22" w:rsidRPr="00DC7A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DC7A09" w14:paraId="58070FA5" w14:textId="77777777" w:rsidTr="00F1223B">
        <w:tc>
          <w:tcPr>
            <w:tcW w:w="846" w:type="dxa"/>
          </w:tcPr>
          <w:p w14:paraId="27E83E96" w14:textId="77777777" w:rsidR="00561B22" w:rsidRPr="00DC7A09" w:rsidRDefault="00561B22" w:rsidP="00F1223B">
            <w:pPr>
              <w:ind w:right="-109"/>
              <w:jc w:val="center"/>
              <w:rPr>
                <w:rFonts w:ascii="Arial" w:hAnsi="Arial" w:cs="Arial"/>
                <w:b/>
                <w:sz w:val="22"/>
                <w:szCs w:val="22"/>
                <w:lang w:val="es-MX"/>
              </w:rPr>
            </w:pPr>
            <w:r w:rsidRPr="00DC7A09">
              <w:rPr>
                <w:rFonts w:ascii="Arial" w:hAnsi="Arial" w:cs="Arial"/>
                <w:b/>
                <w:sz w:val="22"/>
                <w:szCs w:val="22"/>
                <w:lang w:val="es-MX"/>
              </w:rPr>
              <w:lastRenderedPageBreak/>
              <w:t>N°</w:t>
            </w:r>
          </w:p>
        </w:tc>
        <w:tc>
          <w:tcPr>
            <w:tcW w:w="9116" w:type="dxa"/>
          </w:tcPr>
          <w:p w14:paraId="13B5BF96"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RECOMENDACIONES</w:t>
            </w:r>
          </w:p>
          <w:p w14:paraId="3E838EB8" w14:textId="77777777" w:rsidR="00561B22" w:rsidRPr="00DC7A09" w:rsidRDefault="00561B22" w:rsidP="00F1223B">
            <w:pPr>
              <w:jc w:val="center"/>
              <w:rPr>
                <w:rFonts w:ascii="Arial" w:hAnsi="Arial" w:cs="Arial"/>
                <w:b/>
                <w:sz w:val="22"/>
                <w:szCs w:val="22"/>
                <w:lang w:val="es-MX"/>
              </w:rPr>
            </w:pPr>
          </w:p>
        </w:tc>
      </w:tr>
      <w:tr w:rsidR="00561B22" w:rsidRPr="00DC7A09" w14:paraId="2D383419" w14:textId="77777777" w:rsidTr="00F1223B">
        <w:tc>
          <w:tcPr>
            <w:tcW w:w="846" w:type="dxa"/>
          </w:tcPr>
          <w:p w14:paraId="21F00EE0"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1</w:t>
            </w:r>
          </w:p>
        </w:tc>
        <w:tc>
          <w:tcPr>
            <w:tcW w:w="9116" w:type="dxa"/>
          </w:tcPr>
          <w:p w14:paraId="11776A5D"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Realizar una planeación que permita contar con los colaboradores necesarios para el cierre y apertura de cada vigencia, tanto para el área contable como en las áreas proveedoras de información contable, que permita la entrega oportuna de la información y se cuente con el tiempo necesario para el análisis y registro en la contabilidad de la ANI.</w:t>
            </w:r>
          </w:p>
        </w:tc>
      </w:tr>
      <w:tr w:rsidR="00561B22" w:rsidRPr="00DC7A09" w14:paraId="7CA1560E" w14:textId="77777777" w:rsidTr="00F1223B">
        <w:tc>
          <w:tcPr>
            <w:tcW w:w="846" w:type="dxa"/>
          </w:tcPr>
          <w:p w14:paraId="60337367"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2</w:t>
            </w:r>
          </w:p>
        </w:tc>
        <w:tc>
          <w:tcPr>
            <w:tcW w:w="9116" w:type="dxa"/>
          </w:tcPr>
          <w:p w14:paraId="30DF2BD5"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Revisar con cada una de las Vicepresidencias de la ANI  la Circular 20244010000954 del 27 de noviembre de 2024 sobre los lineamientos de entrega de información al área contable y de ser necesario ajustar las fechas de entrega, dado que en la vigencia 2024 se entregó información al área contable de manera extemporánea, cuya justificación fue por la demora en la entrega por algunas concesiones, sin embargo, es importante tener en cuenta que dichos ajustes, estén en concordancia con las directrices para los cierres mensuales, trimestrales y de vigencia emitidas por la CGN y el Ministerio de Hacienda.</w:t>
            </w:r>
          </w:p>
        </w:tc>
      </w:tr>
      <w:tr w:rsidR="00561B22" w:rsidRPr="00DC7A09" w14:paraId="26739A3E" w14:textId="77777777" w:rsidTr="00F1223B">
        <w:tc>
          <w:tcPr>
            <w:tcW w:w="846" w:type="dxa"/>
          </w:tcPr>
          <w:p w14:paraId="546F4275"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3</w:t>
            </w:r>
          </w:p>
        </w:tc>
        <w:tc>
          <w:tcPr>
            <w:tcW w:w="9116" w:type="dxa"/>
          </w:tcPr>
          <w:p w14:paraId="4B556795"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Continuar avanzando en las actividades establecidas en el plan de trabajo suscrito con la CGN para cumplir con la Res 602 de 2018 modificada con la Res.443 del 06 de12 diciembre de 2024 en la que CGN otorgó plazo a la ANI hasta diciembre de 2028 para identificar los activos y pasivos asociados a las concesiones, así como separar el valor de los terrenos de los proyectos concesionados antes del 2018.</w:t>
            </w:r>
          </w:p>
        </w:tc>
      </w:tr>
      <w:tr w:rsidR="00561B22" w:rsidRPr="00DC7A09" w14:paraId="526A4BE4" w14:textId="77777777" w:rsidTr="00F1223B">
        <w:tc>
          <w:tcPr>
            <w:tcW w:w="846" w:type="dxa"/>
          </w:tcPr>
          <w:p w14:paraId="3BF11191" w14:textId="77777777" w:rsidR="00561B22" w:rsidRPr="00DC7A09" w:rsidRDefault="00561B22" w:rsidP="00F1223B">
            <w:pPr>
              <w:jc w:val="center"/>
              <w:rPr>
                <w:rFonts w:ascii="Arial" w:hAnsi="Arial" w:cs="Arial"/>
                <w:b/>
                <w:sz w:val="22"/>
                <w:szCs w:val="22"/>
                <w:lang w:val="es-MX"/>
              </w:rPr>
            </w:pPr>
            <w:r w:rsidRPr="00DC7A09">
              <w:rPr>
                <w:rFonts w:ascii="Arial" w:hAnsi="Arial" w:cs="Arial"/>
                <w:b/>
                <w:sz w:val="22"/>
                <w:szCs w:val="22"/>
                <w:lang w:val="es-MX"/>
              </w:rPr>
              <w:t>4</w:t>
            </w:r>
          </w:p>
        </w:tc>
        <w:tc>
          <w:tcPr>
            <w:tcW w:w="9116" w:type="dxa"/>
          </w:tcPr>
          <w:p w14:paraId="2A3BC7BC" w14:textId="77777777" w:rsidR="00561B22" w:rsidRPr="00DC7A09" w:rsidRDefault="00561B22" w:rsidP="00F1223B">
            <w:pPr>
              <w:widowControl/>
              <w:autoSpaceDE/>
              <w:autoSpaceDN/>
              <w:jc w:val="both"/>
              <w:rPr>
                <w:rFonts w:ascii="Arial" w:hAnsi="Arial" w:cs="Arial"/>
                <w:sz w:val="22"/>
                <w:szCs w:val="22"/>
              </w:rPr>
            </w:pPr>
            <w:r w:rsidRPr="00DC7A09">
              <w:rPr>
                <w:rFonts w:ascii="Arial" w:hAnsi="Arial" w:cs="Arial"/>
                <w:sz w:val="22"/>
                <w:szCs w:val="22"/>
              </w:rPr>
              <w:t>Continuar con la realización de las acciones de mejora propuestas por la ANI para subsanar las causas de los hallazgos determinados por la CGR en la auditoría realizada en la vigencia 2024.</w:t>
            </w:r>
          </w:p>
        </w:tc>
      </w:tr>
    </w:tbl>
    <w:p w14:paraId="52EE4670" w14:textId="77777777" w:rsidR="00561B22" w:rsidRPr="00DC7A09" w:rsidRDefault="00561B22" w:rsidP="00561B22">
      <w:pPr>
        <w:pStyle w:val="Textoindependiente"/>
        <w:ind w:right="-50"/>
        <w:jc w:val="both"/>
        <w:rPr>
          <w:rFonts w:ascii="Arial" w:hAnsi="Arial" w:cs="Arial"/>
          <w:b/>
          <w:bCs/>
          <w:sz w:val="28"/>
          <w:szCs w:val="28"/>
        </w:rPr>
      </w:pPr>
    </w:p>
    <w:p w14:paraId="1A112403" w14:textId="77777777" w:rsidR="00561B22" w:rsidRPr="00DC7A09" w:rsidRDefault="00561B22" w:rsidP="00561B22">
      <w:pPr>
        <w:jc w:val="both"/>
        <w:rPr>
          <w:rFonts w:ascii="Arial" w:hAnsi="Arial" w:cs="Arial"/>
          <w:b/>
          <w:bCs/>
          <w:sz w:val="24"/>
          <w:szCs w:val="24"/>
          <w:lang w:val="es-CO"/>
        </w:rPr>
      </w:pPr>
      <w:r w:rsidRPr="00DC7A09">
        <w:rPr>
          <w:rFonts w:ascii="Arial" w:hAnsi="Arial" w:cs="Arial"/>
          <w:b/>
          <w:bCs/>
          <w:sz w:val="24"/>
          <w:szCs w:val="24"/>
          <w:lang w:val="es-CO"/>
        </w:rPr>
        <w:t xml:space="preserve">NOTA: LA ENTIDAD ENVIA LA MATRIZ DE AUTOEVALUACIÓN DEL SISTEMA DE CONTROL INTERNO CONTABLE CON </w:t>
      </w:r>
      <w:r w:rsidRPr="00DC7A09">
        <w:rPr>
          <w:rFonts w:ascii="Arial" w:hAnsi="Arial" w:cs="Arial"/>
          <w:b/>
          <w:bCs/>
          <w:sz w:val="24"/>
          <w:szCs w:val="24"/>
          <w:u w:val="single"/>
          <w:lang w:val="es-CO"/>
        </w:rPr>
        <w:t>ACTIVIDADES DE CONTROL REALIZADAS EN FORMA PARCIAL</w:t>
      </w:r>
      <w:r w:rsidRPr="00DC7A09">
        <w:rPr>
          <w:rFonts w:ascii="Arial" w:hAnsi="Arial" w:cs="Arial"/>
          <w:b/>
          <w:bCs/>
          <w:sz w:val="24"/>
          <w:szCs w:val="24"/>
          <w:lang w:val="es-CO"/>
        </w:rPr>
        <w:t>.</w:t>
      </w:r>
    </w:p>
    <w:p w14:paraId="1E9F3B18" w14:textId="77777777" w:rsidR="00561B22" w:rsidRDefault="00561B22" w:rsidP="00561B22">
      <w:pPr>
        <w:ind w:left="142"/>
        <w:jc w:val="both"/>
        <w:rPr>
          <w:rFonts w:ascii="Arial" w:hAnsi="Arial" w:cs="Arial"/>
          <w:b/>
          <w:sz w:val="24"/>
          <w:szCs w:val="24"/>
          <w:lang w:val="es-CO"/>
        </w:rPr>
      </w:pPr>
    </w:p>
    <w:p w14:paraId="5DAABD71" w14:textId="77777777" w:rsidR="00561B22" w:rsidRPr="004979B4" w:rsidRDefault="00561B22" w:rsidP="00561B22">
      <w:pPr>
        <w:jc w:val="both"/>
        <w:rPr>
          <w:rFonts w:ascii="Arial" w:hAnsi="Arial" w:cs="Arial"/>
          <w:b/>
          <w:sz w:val="28"/>
          <w:szCs w:val="28"/>
          <w:lang w:val="es-MX"/>
        </w:rPr>
      </w:pPr>
      <w:r w:rsidRPr="004979B4">
        <w:rPr>
          <w:rFonts w:ascii="Arial" w:hAnsi="Arial" w:cs="Arial"/>
          <w:b/>
          <w:sz w:val="28"/>
          <w:szCs w:val="28"/>
          <w:lang w:val="es-MX"/>
        </w:rPr>
        <w:t xml:space="preserve">38.- SUPERINTENDENCIA NACIONAL DE SALUD – SUPERSALUD. </w:t>
      </w:r>
    </w:p>
    <w:p w14:paraId="7A327AF4" w14:textId="77777777" w:rsidR="00561B22" w:rsidRDefault="00561B22" w:rsidP="00561B22">
      <w:pPr>
        <w:ind w:left="142"/>
        <w:jc w:val="both"/>
        <w:rPr>
          <w:rFonts w:ascii="Arial" w:hAnsi="Arial" w:cs="Arial"/>
          <w:b/>
          <w:sz w:val="24"/>
          <w:szCs w:val="24"/>
          <w:lang w:val="es-MX"/>
        </w:rPr>
      </w:pPr>
    </w:p>
    <w:p w14:paraId="7DA3D9D9" w14:textId="77777777" w:rsidR="00561B22" w:rsidRPr="00653602" w:rsidRDefault="00561B22" w:rsidP="00561B22">
      <w:pPr>
        <w:pStyle w:val="Textoindependiente"/>
        <w:ind w:right="-50"/>
        <w:jc w:val="center"/>
        <w:rPr>
          <w:rFonts w:ascii="Arial" w:hAnsi="Arial" w:cs="Arial"/>
          <w:b/>
          <w:bCs/>
        </w:rPr>
      </w:pPr>
      <w:r w:rsidRPr="00653602">
        <w:rPr>
          <w:rFonts w:ascii="Arial" w:hAnsi="Arial" w:cs="Arial"/>
          <w:b/>
          <w:bCs/>
        </w:rPr>
        <w:t>INFORME DE LA AUTOCALIFICACIÓN DEL SISTEMA DE CONTROL INTERNO CONTABLE:</w:t>
      </w:r>
    </w:p>
    <w:p w14:paraId="11E959BD" w14:textId="77777777" w:rsidR="00561B22" w:rsidRPr="006536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53602" w14:paraId="00932EDC" w14:textId="77777777" w:rsidTr="00F1223B">
        <w:tc>
          <w:tcPr>
            <w:tcW w:w="4981" w:type="dxa"/>
          </w:tcPr>
          <w:p w14:paraId="40245D89" w14:textId="77777777" w:rsidR="00561B22" w:rsidRPr="00653602" w:rsidRDefault="00561B22" w:rsidP="00F1223B">
            <w:pPr>
              <w:jc w:val="center"/>
              <w:rPr>
                <w:rFonts w:ascii="Arial" w:hAnsi="Arial" w:cs="Arial"/>
                <w:b/>
                <w:sz w:val="22"/>
                <w:szCs w:val="22"/>
                <w:lang w:val="es-MX"/>
              </w:rPr>
            </w:pPr>
            <w:r w:rsidRPr="00653602">
              <w:rPr>
                <w:rFonts w:ascii="Arial" w:hAnsi="Arial" w:cs="Arial"/>
                <w:b/>
                <w:sz w:val="22"/>
                <w:szCs w:val="22"/>
                <w:lang w:val="es-MX"/>
              </w:rPr>
              <w:t>AUTOCALIFICACIÓN</w:t>
            </w:r>
          </w:p>
        </w:tc>
        <w:tc>
          <w:tcPr>
            <w:tcW w:w="4981" w:type="dxa"/>
          </w:tcPr>
          <w:p w14:paraId="4E251B3F" w14:textId="77777777" w:rsidR="00561B22" w:rsidRPr="00653602" w:rsidRDefault="00561B22" w:rsidP="00F1223B">
            <w:pPr>
              <w:jc w:val="center"/>
              <w:rPr>
                <w:rFonts w:ascii="Arial" w:hAnsi="Arial" w:cs="Arial"/>
                <w:b/>
                <w:sz w:val="22"/>
                <w:szCs w:val="22"/>
                <w:u w:val="single"/>
                <w:lang w:val="es-MX"/>
              </w:rPr>
            </w:pPr>
            <w:r w:rsidRPr="00653602">
              <w:rPr>
                <w:rFonts w:ascii="Arial" w:hAnsi="Arial" w:cs="Arial"/>
                <w:b/>
                <w:sz w:val="22"/>
                <w:szCs w:val="22"/>
                <w:u w:val="single"/>
                <w:lang w:val="es-MX"/>
              </w:rPr>
              <w:t>4.95</w:t>
            </w:r>
          </w:p>
        </w:tc>
      </w:tr>
    </w:tbl>
    <w:p w14:paraId="297961C6" w14:textId="77777777" w:rsidR="00561B22" w:rsidRPr="00653602" w:rsidRDefault="00561B22" w:rsidP="00561B22">
      <w:pPr>
        <w:pStyle w:val="Textoindependiente"/>
        <w:ind w:right="-50"/>
        <w:jc w:val="both"/>
        <w:rPr>
          <w:rFonts w:ascii="Arial" w:hAnsi="Arial" w:cs="Arial"/>
          <w:b/>
          <w:bCs/>
        </w:rPr>
      </w:pPr>
    </w:p>
    <w:p w14:paraId="30A8B715" w14:textId="77777777" w:rsidR="00561B22" w:rsidRPr="00653602" w:rsidRDefault="00561B22" w:rsidP="00561B22">
      <w:pPr>
        <w:pStyle w:val="Textoindependiente"/>
        <w:ind w:right="-50"/>
        <w:jc w:val="both"/>
        <w:rPr>
          <w:rFonts w:ascii="Arial" w:hAnsi="Arial" w:cs="Arial"/>
          <w:b/>
          <w:bCs/>
        </w:rPr>
      </w:pPr>
      <w:r w:rsidRPr="00653602">
        <w:rPr>
          <w:rFonts w:ascii="Arial" w:hAnsi="Arial" w:cs="Arial"/>
          <w:b/>
          <w:bCs/>
        </w:rPr>
        <w:t>Del informe enviado retomamos lo siguiente:</w:t>
      </w:r>
    </w:p>
    <w:p w14:paraId="538470EA" w14:textId="77777777" w:rsidR="00561B22" w:rsidRPr="006536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653602" w14:paraId="51CA8411" w14:textId="77777777" w:rsidTr="00F1223B">
        <w:tc>
          <w:tcPr>
            <w:tcW w:w="846" w:type="dxa"/>
          </w:tcPr>
          <w:p w14:paraId="1AEC9FC2" w14:textId="77777777" w:rsidR="00561B22" w:rsidRPr="00653602" w:rsidRDefault="00561B22" w:rsidP="00F1223B">
            <w:pPr>
              <w:ind w:right="-109"/>
              <w:jc w:val="center"/>
              <w:rPr>
                <w:rFonts w:ascii="Arial" w:hAnsi="Arial" w:cs="Arial"/>
                <w:b/>
                <w:sz w:val="22"/>
                <w:szCs w:val="22"/>
                <w:lang w:val="es-MX"/>
              </w:rPr>
            </w:pPr>
            <w:r w:rsidRPr="00653602">
              <w:rPr>
                <w:rFonts w:ascii="Arial" w:hAnsi="Arial" w:cs="Arial"/>
                <w:b/>
                <w:sz w:val="22"/>
                <w:szCs w:val="22"/>
                <w:lang w:val="es-MX"/>
              </w:rPr>
              <w:t>N°</w:t>
            </w:r>
          </w:p>
        </w:tc>
        <w:tc>
          <w:tcPr>
            <w:tcW w:w="9116" w:type="dxa"/>
          </w:tcPr>
          <w:p w14:paraId="02B99013" w14:textId="77777777" w:rsidR="00561B22" w:rsidRPr="00653602" w:rsidRDefault="00561B22" w:rsidP="00F1223B">
            <w:pPr>
              <w:jc w:val="center"/>
              <w:rPr>
                <w:rFonts w:ascii="Arial" w:hAnsi="Arial" w:cs="Arial"/>
                <w:b/>
                <w:sz w:val="22"/>
                <w:szCs w:val="22"/>
                <w:lang w:val="es-MX"/>
              </w:rPr>
            </w:pPr>
            <w:r w:rsidRPr="00653602">
              <w:rPr>
                <w:rFonts w:ascii="Arial" w:hAnsi="Arial" w:cs="Arial"/>
                <w:b/>
                <w:sz w:val="22"/>
                <w:szCs w:val="22"/>
                <w:lang w:val="es-MX"/>
              </w:rPr>
              <w:t>DEBILIDADES</w:t>
            </w:r>
          </w:p>
          <w:p w14:paraId="23D8DE07" w14:textId="77777777" w:rsidR="00561B22" w:rsidRPr="00653602" w:rsidRDefault="00561B22" w:rsidP="00F1223B">
            <w:pPr>
              <w:jc w:val="center"/>
              <w:rPr>
                <w:rFonts w:ascii="Arial" w:hAnsi="Arial" w:cs="Arial"/>
                <w:b/>
                <w:sz w:val="22"/>
                <w:szCs w:val="22"/>
                <w:lang w:val="es-MX"/>
              </w:rPr>
            </w:pPr>
          </w:p>
        </w:tc>
      </w:tr>
      <w:tr w:rsidR="00561B22" w:rsidRPr="00653602" w14:paraId="49EEBF71" w14:textId="77777777" w:rsidTr="00F1223B">
        <w:tc>
          <w:tcPr>
            <w:tcW w:w="846" w:type="dxa"/>
          </w:tcPr>
          <w:p w14:paraId="613962A1" w14:textId="77777777" w:rsidR="00561B22" w:rsidRPr="00653602" w:rsidRDefault="00561B22" w:rsidP="00F1223B">
            <w:pPr>
              <w:jc w:val="center"/>
              <w:rPr>
                <w:rFonts w:ascii="Arial" w:hAnsi="Arial" w:cs="Arial"/>
                <w:b/>
                <w:sz w:val="22"/>
                <w:szCs w:val="22"/>
                <w:lang w:val="es-MX"/>
              </w:rPr>
            </w:pPr>
            <w:r w:rsidRPr="00653602">
              <w:rPr>
                <w:rFonts w:ascii="Arial" w:hAnsi="Arial" w:cs="Arial"/>
                <w:b/>
                <w:sz w:val="22"/>
                <w:szCs w:val="22"/>
                <w:lang w:val="es-MX"/>
              </w:rPr>
              <w:t>1</w:t>
            </w:r>
          </w:p>
        </w:tc>
        <w:tc>
          <w:tcPr>
            <w:tcW w:w="9116" w:type="dxa"/>
          </w:tcPr>
          <w:p w14:paraId="7189AE40" w14:textId="77777777" w:rsidR="00561B22" w:rsidRPr="00653602" w:rsidRDefault="00561B22" w:rsidP="00F1223B">
            <w:pPr>
              <w:jc w:val="both"/>
              <w:rPr>
                <w:rFonts w:ascii="Arial" w:hAnsi="Arial" w:cs="Arial"/>
                <w:sz w:val="22"/>
                <w:szCs w:val="22"/>
                <w:lang w:val="es-MX"/>
              </w:rPr>
            </w:pPr>
            <w:r w:rsidRPr="00653602">
              <w:rPr>
                <w:rFonts w:ascii="Arial" w:hAnsi="Arial" w:cs="Arial"/>
                <w:sz w:val="22"/>
                <w:szCs w:val="22"/>
                <w:lang w:val="es-MX"/>
              </w:rPr>
              <w:t>Si bien, desde el “Grupo de Contabilidad” adscrito a la Dirección Financiera, se ha creado la necesidad de capacitaciones que tenga relación con las actividades propia del área, también lo es que, para la vigencia 2024, el Plan Institucional de Capacitación - PIC, no se tuvo en cuenta reforzar la priorización en temas financieros, tributarios y contables que coadyuven con el desempeño y correcto desarrollo de las labores a cargo del área.</w:t>
            </w:r>
          </w:p>
        </w:tc>
      </w:tr>
    </w:tbl>
    <w:p w14:paraId="673324FF" w14:textId="77777777" w:rsidR="00561B22" w:rsidRPr="00653602" w:rsidRDefault="00561B22" w:rsidP="00561B22">
      <w:pPr>
        <w:pStyle w:val="Textoindependiente"/>
        <w:ind w:right="-50"/>
        <w:jc w:val="both"/>
        <w:rPr>
          <w:rFonts w:ascii="Arial" w:hAnsi="Arial" w:cs="Arial"/>
          <w:b/>
          <w:bCs/>
        </w:rPr>
      </w:pPr>
    </w:p>
    <w:p w14:paraId="301F2766" w14:textId="77777777" w:rsidR="00561B22" w:rsidRPr="00653602" w:rsidRDefault="00561B22" w:rsidP="00561B22">
      <w:pPr>
        <w:jc w:val="both"/>
        <w:rPr>
          <w:rFonts w:ascii="Arial" w:hAnsi="Arial" w:cs="Arial"/>
          <w:b/>
          <w:lang w:val="es-MX"/>
        </w:rPr>
      </w:pPr>
      <w:r w:rsidRPr="00653602">
        <w:rPr>
          <w:rFonts w:ascii="Arial" w:hAnsi="Arial" w:cs="Arial"/>
          <w:b/>
          <w:lang w:val="es-MX"/>
        </w:rPr>
        <w:t>Del citado informe retomamos las siguientes recomendaciones:</w:t>
      </w:r>
    </w:p>
    <w:p w14:paraId="363748F3" w14:textId="77777777" w:rsidR="00561B22" w:rsidRPr="006536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653602" w14:paraId="157A9A4F" w14:textId="77777777" w:rsidTr="00F1223B">
        <w:tc>
          <w:tcPr>
            <w:tcW w:w="846" w:type="dxa"/>
          </w:tcPr>
          <w:p w14:paraId="01F66467" w14:textId="77777777" w:rsidR="00561B22" w:rsidRPr="00653602" w:rsidRDefault="00561B22" w:rsidP="00F1223B">
            <w:pPr>
              <w:ind w:right="-109"/>
              <w:jc w:val="center"/>
              <w:rPr>
                <w:rFonts w:ascii="Arial" w:hAnsi="Arial" w:cs="Arial"/>
                <w:b/>
                <w:sz w:val="22"/>
                <w:szCs w:val="22"/>
                <w:lang w:val="es-MX"/>
              </w:rPr>
            </w:pPr>
            <w:r w:rsidRPr="00653602">
              <w:rPr>
                <w:rFonts w:ascii="Arial" w:hAnsi="Arial" w:cs="Arial"/>
                <w:b/>
                <w:sz w:val="22"/>
                <w:szCs w:val="22"/>
                <w:lang w:val="es-MX"/>
              </w:rPr>
              <w:t>N°</w:t>
            </w:r>
          </w:p>
        </w:tc>
        <w:tc>
          <w:tcPr>
            <w:tcW w:w="9116" w:type="dxa"/>
          </w:tcPr>
          <w:p w14:paraId="647679E4" w14:textId="77777777" w:rsidR="00561B22" w:rsidRPr="00653602" w:rsidRDefault="00561B22" w:rsidP="00F1223B">
            <w:pPr>
              <w:jc w:val="center"/>
              <w:rPr>
                <w:rFonts w:ascii="Arial" w:hAnsi="Arial" w:cs="Arial"/>
                <w:b/>
                <w:sz w:val="22"/>
                <w:szCs w:val="22"/>
                <w:lang w:val="es-MX"/>
              </w:rPr>
            </w:pPr>
            <w:r w:rsidRPr="00653602">
              <w:rPr>
                <w:rFonts w:ascii="Arial" w:hAnsi="Arial" w:cs="Arial"/>
                <w:b/>
                <w:sz w:val="22"/>
                <w:szCs w:val="22"/>
                <w:lang w:val="es-MX"/>
              </w:rPr>
              <w:t>RECOMENDACIONES</w:t>
            </w:r>
          </w:p>
          <w:p w14:paraId="302EFBB2" w14:textId="77777777" w:rsidR="00561B22" w:rsidRPr="00653602" w:rsidRDefault="00561B22" w:rsidP="00F1223B">
            <w:pPr>
              <w:jc w:val="center"/>
              <w:rPr>
                <w:rFonts w:ascii="Arial" w:hAnsi="Arial" w:cs="Arial"/>
                <w:b/>
                <w:sz w:val="22"/>
                <w:szCs w:val="22"/>
                <w:lang w:val="es-MX"/>
              </w:rPr>
            </w:pPr>
          </w:p>
        </w:tc>
      </w:tr>
      <w:tr w:rsidR="00561B22" w:rsidRPr="00653602" w14:paraId="2B180112" w14:textId="77777777" w:rsidTr="00F1223B">
        <w:tc>
          <w:tcPr>
            <w:tcW w:w="846" w:type="dxa"/>
          </w:tcPr>
          <w:p w14:paraId="1B7E767C" w14:textId="77777777" w:rsidR="00561B22" w:rsidRPr="00653602" w:rsidRDefault="00561B22" w:rsidP="00F1223B">
            <w:pPr>
              <w:jc w:val="center"/>
              <w:rPr>
                <w:rFonts w:ascii="Arial" w:hAnsi="Arial" w:cs="Arial"/>
                <w:b/>
                <w:sz w:val="22"/>
                <w:szCs w:val="22"/>
                <w:lang w:val="es-MX"/>
              </w:rPr>
            </w:pPr>
            <w:r w:rsidRPr="00653602">
              <w:rPr>
                <w:rFonts w:ascii="Arial" w:hAnsi="Arial" w:cs="Arial"/>
                <w:b/>
                <w:sz w:val="22"/>
                <w:szCs w:val="22"/>
                <w:lang w:val="es-MX"/>
              </w:rPr>
              <w:t>1</w:t>
            </w:r>
          </w:p>
        </w:tc>
        <w:tc>
          <w:tcPr>
            <w:tcW w:w="9116" w:type="dxa"/>
          </w:tcPr>
          <w:p w14:paraId="5D9425D9" w14:textId="77777777" w:rsidR="00561B22" w:rsidRPr="00653602" w:rsidRDefault="00561B22" w:rsidP="00F1223B">
            <w:pPr>
              <w:jc w:val="both"/>
              <w:rPr>
                <w:rFonts w:ascii="Arial" w:hAnsi="Arial" w:cs="Arial"/>
                <w:sz w:val="22"/>
                <w:szCs w:val="22"/>
                <w:lang w:val="es-MX"/>
              </w:rPr>
            </w:pPr>
            <w:r w:rsidRPr="00653602">
              <w:rPr>
                <w:rFonts w:ascii="Arial" w:hAnsi="Arial" w:cs="Arial"/>
                <w:sz w:val="22"/>
                <w:szCs w:val="22"/>
                <w:lang w:val="es-MX"/>
              </w:rPr>
              <w:t xml:space="preserve">El aplicativo SIIF Nación dispuesto por el “Ministerio de Hacienda y Crédito Público”, al no abarcar la totalidad de operaciones de control y registro financiero, como son: Nómina; Propiedad, Planta y Equipo; Cuentas por Cobrar, entre otras, el registro de las operaciones que se derivan es realizada a través de comprobantes manuales, al igual que la elaboración de registros manuales en la reclasificación de asientos contables automáticos, de acuerdo </w:t>
            </w:r>
            <w:r w:rsidRPr="00653602">
              <w:rPr>
                <w:rFonts w:ascii="Arial" w:hAnsi="Arial" w:cs="Arial"/>
                <w:sz w:val="22"/>
                <w:szCs w:val="22"/>
                <w:lang w:val="es-MX"/>
              </w:rPr>
              <w:lastRenderedPageBreak/>
              <w:t xml:space="preserve">con la realidad de la operación. En tal sentido, se reitera la recomendación de mantener actualizado y en constante monitoreo la actividad, con el objeto de mitigar situaciones que afecten la información contable de la Entidad, y que pueden conllevar a la materialización </w:t>
            </w:r>
          </w:p>
          <w:p w14:paraId="177CD585" w14:textId="77777777" w:rsidR="00561B22" w:rsidRPr="00653602" w:rsidRDefault="00561B22" w:rsidP="00F1223B">
            <w:pPr>
              <w:jc w:val="both"/>
              <w:rPr>
                <w:rFonts w:ascii="Arial" w:hAnsi="Arial" w:cs="Arial"/>
                <w:sz w:val="22"/>
                <w:szCs w:val="22"/>
                <w:lang w:val="es-MX"/>
              </w:rPr>
            </w:pPr>
            <w:r w:rsidRPr="00653602">
              <w:rPr>
                <w:rFonts w:ascii="Arial" w:hAnsi="Arial" w:cs="Arial"/>
                <w:sz w:val="22"/>
                <w:szCs w:val="22"/>
                <w:lang w:val="es-MX"/>
              </w:rPr>
              <w:t>de los riesgos asociados al proceso.</w:t>
            </w:r>
          </w:p>
        </w:tc>
      </w:tr>
      <w:tr w:rsidR="00561B22" w:rsidRPr="00653602" w14:paraId="7549ACE6" w14:textId="77777777" w:rsidTr="00F1223B">
        <w:tc>
          <w:tcPr>
            <w:tcW w:w="846" w:type="dxa"/>
          </w:tcPr>
          <w:p w14:paraId="52EDDA64" w14:textId="77777777" w:rsidR="00561B22" w:rsidRPr="00653602" w:rsidRDefault="00561B22" w:rsidP="00F1223B">
            <w:pPr>
              <w:jc w:val="center"/>
              <w:rPr>
                <w:rFonts w:ascii="Arial" w:hAnsi="Arial" w:cs="Arial"/>
                <w:b/>
                <w:sz w:val="22"/>
                <w:szCs w:val="22"/>
                <w:lang w:val="es-MX"/>
              </w:rPr>
            </w:pPr>
            <w:r w:rsidRPr="00653602">
              <w:rPr>
                <w:rFonts w:ascii="Arial" w:hAnsi="Arial" w:cs="Arial"/>
                <w:b/>
                <w:sz w:val="22"/>
                <w:szCs w:val="22"/>
                <w:lang w:val="es-MX"/>
              </w:rPr>
              <w:lastRenderedPageBreak/>
              <w:t>2</w:t>
            </w:r>
          </w:p>
        </w:tc>
        <w:tc>
          <w:tcPr>
            <w:tcW w:w="9116" w:type="dxa"/>
          </w:tcPr>
          <w:p w14:paraId="09E019C7" w14:textId="77777777" w:rsidR="00561B22" w:rsidRPr="00653602" w:rsidRDefault="00561B22" w:rsidP="00F1223B">
            <w:pPr>
              <w:jc w:val="both"/>
              <w:rPr>
                <w:rFonts w:ascii="Arial" w:hAnsi="Arial" w:cs="Arial"/>
                <w:sz w:val="22"/>
                <w:szCs w:val="22"/>
                <w:lang w:val="es-MX"/>
              </w:rPr>
            </w:pPr>
            <w:r w:rsidRPr="00653602">
              <w:rPr>
                <w:rFonts w:ascii="Arial" w:hAnsi="Arial" w:cs="Arial"/>
                <w:sz w:val="22"/>
                <w:szCs w:val="22"/>
                <w:lang w:val="es-MX"/>
              </w:rPr>
              <w:t>Resulta importante que, la Dirección de Talento Humano a través del “Plan Institucional de Capacitación – PIC”, tenga en cuenta las necesidades de la Dirección Financiera como líder del proceso “Gestión Financiera”, es especial, lo concerniente a las actividades del “Grupo de Contabilidad”, a fin de priorizar capacitaciones que sean afines con el rol que desempeñan dentro de la Entidad, y que las mismas apunten al fortalecimiento del conocimiento y habilidades del personal que hacen parte del área, apuntando siempre al mejoramiento continuo.</w:t>
            </w:r>
          </w:p>
        </w:tc>
      </w:tr>
    </w:tbl>
    <w:p w14:paraId="267AE9F1" w14:textId="77777777" w:rsidR="00561B22" w:rsidRPr="00653602" w:rsidRDefault="00561B22" w:rsidP="00561B22">
      <w:pPr>
        <w:pStyle w:val="Textoindependiente"/>
        <w:ind w:right="-50"/>
        <w:jc w:val="both"/>
        <w:rPr>
          <w:rFonts w:ascii="Arial" w:hAnsi="Arial" w:cs="Arial"/>
          <w:b/>
          <w:bCs/>
          <w:sz w:val="28"/>
          <w:szCs w:val="28"/>
        </w:rPr>
      </w:pPr>
    </w:p>
    <w:p w14:paraId="546D9C17" w14:textId="77777777" w:rsidR="00561B22" w:rsidRPr="00653602" w:rsidRDefault="00561B22" w:rsidP="00561B22">
      <w:pPr>
        <w:jc w:val="both"/>
        <w:rPr>
          <w:rFonts w:ascii="Arial" w:hAnsi="Arial" w:cs="Arial"/>
          <w:bCs/>
          <w:sz w:val="24"/>
          <w:szCs w:val="24"/>
          <w:lang w:val="es-CO"/>
        </w:rPr>
      </w:pPr>
      <w:r w:rsidRPr="00653602">
        <w:rPr>
          <w:rFonts w:ascii="Arial" w:hAnsi="Arial" w:cs="Arial"/>
          <w:b/>
          <w:bCs/>
          <w:sz w:val="24"/>
          <w:szCs w:val="24"/>
          <w:lang w:val="es-CO"/>
        </w:rPr>
        <w:t>NOTA</w:t>
      </w:r>
      <w:r w:rsidRPr="00653602">
        <w:rPr>
          <w:rFonts w:ascii="Arial" w:hAnsi="Arial" w:cs="Arial"/>
          <w:bCs/>
          <w:sz w:val="24"/>
          <w:szCs w:val="24"/>
          <w:lang w:val="es-CO"/>
        </w:rPr>
        <w:t xml:space="preserve">: LA ENTIDAD ENVÍA LA MATRIZ DE AUTOEVALUACIÓN DEL SISTEMA DE CONTROL INTERNO CONTABLE CON </w:t>
      </w:r>
      <w:r w:rsidRPr="00653602">
        <w:rPr>
          <w:rFonts w:ascii="Arial" w:hAnsi="Arial" w:cs="Arial"/>
          <w:b/>
          <w:bCs/>
          <w:sz w:val="24"/>
          <w:szCs w:val="24"/>
          <w:u w:val="single"/>
          <w:lang w:val="es-CO"/>
        </w:rPr>
        <w:t>ACTIVIDADES DE CONTROL REALIZADAS EN FORMA PARCIAL</w:t>
      </w:r>
      <w:r w:rsidRPr="00653602">
        <w:rPr>
          <w:rFonts w:ascii="Arial" w:hAnsi="Arial" w:cs="Arial"/>
          <w:bCs/>
          <w:sz w:val="24"/>
          <w:szCs w:val="24"/>
          <w:lang w:val="es-CO"/>
        </w:rPr>
        <w:t>.</w:t>
      </w:r>
    </w:p>
    <w:p w14:paraId="0C09FA85" w14:textId="77777777" w:rsidR="00561B22" w:rsidRDefault="00561B22" w:rsidP="00561B22">
      <w:pPr>
        <w:ind w:left="142"/>
        <w:jc w:val="both"/>
        <w:rPr>
          <w:rFonts w:ascii="Arial" w:hAnsi="Arial" w:cs="Arial"/>
          <w:b/>
          <w:sz w:val="24"/>
          <w:szCs w:val="24"/>
          <w:lang w:val="es-CO"/>
        </w:rPr>
      </w:pPr>
    </w:p>
    <w:p w14:paraId="75DC83D3" w14:textId="77777777" w:rsidR="00561B22" w:rsidRPr="00D71B6C" w:rsidRDefault="00561B22" w:rsidP="00561B22">
      <w:pPr>
        <w:jc w:val="both"/>
        <w:rPr>
          <w:rFonts w:ascii="Arial" w:hAnsi="Arial" w:cs="Arial"/>
          <w:b/>
          <w:sz w:val="28"/>
          <w:szCs w:val="28"/>
          <w:lang w:val="es-MX"/>
        </w:rPr>
      </w:pPr>
      <w:r w:rsidRPr="00D71B6C">
        <w:rPr>
          <w:rFonts w:ascii="Arial" w:hAnsi="Arial" w:cs="Arial"/>
          <w:b/>
          <w:sz w:val="28"/>
          <w:szCs w:val="28"/>
          <w:lang w:val="es-MX"/>
        </w:rPr>
        <w:t>39.- MINISTERIO DE IGUALDAD Y EQUIDAD.</w:t>
      </w:r>
    </w:p>
    <w:p w14:paraId="27BA28BE" w14:textId="77777777" w:rsidR="00561B22" w:rsidRDefault="00561B22" w:rsidP="00561B22">
      <w:pPr>
        <w:ind w:left="142"/>
        <w:jc w:val="both"/>
        <w:rPr>
          <w:rFonts w:ascii="Arial" w:hAnsi="Arial" w:cs="Arial"/>
          <w:b/>
          <w:sz w:val="24"/>
          <w:szCs w:val="24"/>
          <w:lang w:val="es-MX"/>
        </w:rPr>
      </w:pPr>
    </w:p>
    <w:p w14:paraId="2BB9DADD" w14:textId="77777777" w:rsidR="00561B22" w:rsidRDefault="00561B22" w:rsidP="00561B22">
      <w:pPr>
        <w:jc w:val="both"/>
        <w:rPr>
          <w:rFonts w:ascii="Arial" w:hAnsi="Arial" w:cs="Arial"/>
          <w:bCs/>
          <w:sz w:val="24"/>
          <w:szCs w:val="24"/>
          <w:lang w:val="es-MX"/>
        </w:rPr>
      </w:pPr>
      <w:r w:rsidRPr="00D71B6C">
        <w:rPr>
          <w:rFonts w:ascii="Arial" w:hAnsi="Arial" w:cs="Arial"/>
          <w:bCs/>
          <w:sz w:val="24"/>
          <w:szCs w:val="24"/>
          <w:lang w:val="es-MX"/>
        </w:rPr>
        <w:t>El Ministerio no presentó el informe sobre la autoevaluación del Sistema de Control Interno Contable a de diciembre de 2024.</w:t>
      </w:r>
    </w:p>
    <w:p w14:paraId="140E21F6" w14:textId="77777777" w:rsidR="00561B22" w:rsidRDefault="00561B22" w:rsidP="00561B22">
      <w:pPr>
        <w:jc w:val="both"/>
        <w:rPr>
          <w:rFonts w:ascii="Arial" w:hAnsi="Arial" w:cs="Arial"/>
          <w:bCs/>
          <w:sz w:val="24"/>
          <w:szCs w:val="24"/>
          <w:lang w:val="es-MX"/>
        </w:rPr>
      </w:pPr>
    </w:p>
    <w:p w14:paraId="7D398D64" w14:textId="77777777" w:rsidR="00561B22" w:rsidRPr="008D753E" w:rsidRDefault="00561B22" w:rsidP="00561B22">
      <w:pPr>
        <w:jc w:val="both"/>
        <w:rPr>
          <w:rFonts w:ascii="Arial" w:hAnsi="Arial" w:cs="Arial"/>
          <w:b/>
          <w:sz w:val="28"/>
          <w:szCs w:val="28"/>
          <w:lang w:val="es-MX"/>
        </w:rPr>
      </w:pPr>
      <w:r w:rsidRPr="008D753E">
        <w:rPr>
          <w:rFonts w:ascii="Arial" w:hAnsi="Arial" w:cs="Arial"/>
          <w:b/>
          <w:sz w:val="28"/>
          <w:szCs w:val="28"/>
          <w:lang w:val="es-MX"/>
        </w:rPr>
        <w:t>40.- MINISTERIO DE TRANSPORTE.</w:t>
      </w:r>
    </w:p>
    <w:p w14:paraId="23F229EB" w14:textId="77777777" w:rsidR="00561B22" w:rsidRDefault="00561B22" w:rsidP="00561B22">
      <w:pPr>
        <w:jc w:val="both"/>
        <w:rPr>
          <w:rFonts w:ascii="Arial" w:hAnsi="Arial" w:cs="Arial"/>
          <w:bCs/>
          <w:sz w:val="24"/>
          <w:szCs w:val="24"/>
          <w:lang w:val="es-MX"/>
        </w:rPr>
      </w:pPr>
    </w:p>
    <w:p w14:paraId="1C3EE820" w14:textId="77777777" w:rsidR="00561B22" w:rsidRPr="008D753E" w:rsidRDefault="00561B22" w:rsidP="00561B22">
      <w:pPr>
        <w:pStyle w:val="Textoindependiente"/>
        <w:ind w:right="-50"/>
        <w:jc w:val="center"/>
        <w:rPr>
          <w:rFonts w:ascii="Arial" w:hAnsi="Arial" w:cs="Arial"/>
          <w:b/>
          <w:bCs/>
        </w:rPr>
      </w:pPr>
      <w:r w:rsidRPr="008D753E">
        <w:rPr>
          <w:rFonts w:ascii="Arial" w:hAnsi="Arial" w:cs="Arial"/>
          <w:b/>
          <w:bCs/>
        </w:rPr>
        <w:t>INFORME DE LA AUTOCALIFICACIÓN DEL SISTEMA DE CONTROL INTERNO CONTABLE:</w:t>
      </w:r>
    </w:p>
    <w:p w14:paraId="345BDF9A" w14:textId="77777777" w:rsidR="00561B22" w:rsidRPr="008D753E"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648AF" w14:paraId="186CE16A" w14:textId="77777777" w:rsidTr="00F1223B">
        <w:tc>
          <w:tcPr>
            <w:tcW w:w="4981" w:type="dxa"/>
          </w:tcPr>
          <w:p w14:paraId="439DF7D4" w14:textId="77777777" w:rsidR="00561B22" w:rsidRPr="00E648AF" w:rsidRDefault="00561B22" w:rsidP="00F1223B">
            <w:pPr>
              <w:jc w:val="center"/>
              <w:rPr>
                <w:b/>
                <w:sz w:val="24"/>
                <w:szCs w:val="24"/>
                <w:lang w:val="es-MX"/>
              </w:rPr>
            </w:pPr>
            <w:r w:rsidRPr="00E648AF">
              <w:rPr>
                <w:b/>
                <w:sz w:val="24"/>
                <w:szCs w:val="24"/>
                <w:lang w:val="es-MX"/>
              </w:rPr>
              <w:t>AUTOCALIFICACIÓN</w:t>
            </w:r>
          </w:p>
        </w:tc>
        <w:tc>
          <w:tcPr>
            <w:tcW w:w="4981" w:type="dxa"/>
          </w:tcPr>
          <w:p w14:paraId="1E39548A" w14:textId="77777777" w:rsidR="00561B22" w:rsidRPr="00E648AF" w:rsidRDefault="00561B22" w:rsidP="00F1223B">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88</w:t>
            </w:r>
          </w:p>
        </w:tc>
      </w:tr>
    </w:tbl>
    <w:p w14:paraId="24106A97" w14:textId="77777777" w:rsidR="00561B22" w:rsidRDefault="00561B22" w:rsidP="00561B22">
      <w:pPr>
        <w:pStyle w:val="Textoindependiente"/>
        <w:ind w:right="-50"/>
        <w:jc w:val="both"/>
        <w:rPr>
          <w:b/>
          <w:bCs/>
          <w:sz w:val="28"/>
          <w:szCs w:val="28"/>
        </w:rPr>
      </w:pPr>
    </w:p>
    <w:p w14:paraId="24D5D67C" w14:textId="77777777" w:rsidR="00561B22" w:rsidRPr="008D753E" w:rsidRDefault="00561B22" w:rsidP="00561B22">
      <w:pPr>
        <w:pStyle w:val="Textoindependiente"/>
        <w:ind w:right="-50"/>
        <w:jc w:val="both"/>
        <w:rPr>
          <w:rFonts w:ascii="Arial" w:hAnsi="Arial" w:cs="Arial"/>
          <w:b/>
          <w:bCs/>
        </w:rPr>
      </w:pPr>
      <w:r w:rsidRPr="008D753E">
        <w:rPr>
          <w:rFonts w:ascii="Arial" w:hAnsi="Arial" w:cs="Arial"/>
          <w:b/>
          <w:bCs/>
        </w:rPr>
        <w:t>Del informe enviado retomamos lo siguiente:</w:t>
      </w:r>
    </w:p>
    <w:p w14:paraId="3A920C4B" w14:textId="77777777" w:rsidR="00561B22" w:rsidRPr="008D753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D753E" w14:paraId="544C5382" w14:textId="77777777" w:rsidTr="00F1223B">
        <w:tc>
          <w:tcPr>
            <w:tcW w:w="846" w:type="dxa"/>
          </w:tcPr>
          <w:p w14:paraId="0FEE6A66" w14:textId="77777777" w:rsidR="00561B22" w:rsidRPr="008D753E" w:rsidRDefault="00561B22" w:rsidP="00F1223B">
            <w:pPr>
              <w:ind w:right="-109"/>
              <w:jc w:val="center"/>
              <w:rPr>
                <w:rFonts w:ascii="Arial" w:hAnsi="Arial" w:cs="Arial"/>
                <w:b/>
                <w:sz w:val="22"/>
                <w:szCs w:val="22"/>
                <w:lang w:val="es-MX"/>
              </w:rPr>
            </w:pPr>
            <w:r w:rsidRPr="008D753E">
              <w:rPr>
                <w:rFonts w:ascii="Arial" w:hAnsi="Arial" w:cs="Arial"/>
                <w:b/>
                <w:sz w:val="22"/>
                <w:szCs w:val="22"/>
                <w:lang w:val="es-MX"/>
              </w:rPr>
              <w:t>N°</w:t>
            </w:r>
          </w:p>
        </w:tc>
        <w:tc>
          <w:tcPr>
            <w:tcW w:w="9116" w:type="dxa"/>
          </w:tcPr>
          <w:p w14:paraId="487473AA"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DEBILIDADES</w:t>
            </w:r>
          </w:p>
          <w:p w14:paraId="36862BD5" w14:textId="77777777" w:rsidR="00561B22" w:rsidRPr="008D753E" w:rsidRDefault="00561B22" w:rsidP="00F1223B">
            <w:pPr>
              <w:jc w:val="center"/>
              <w:rPr>
                <w:rFonts w:ascii="Arial" w:hAnsi="Arial" w:cs="Arial"/>
                <w:b/>
                <w:sz w:val="22"/>
                <w:szCs w:val="22"/>
                <w:lang w:val="es-MX"/>
              </w:rPr>
            </w:pPr>
          </w:p>
        </w:tc>
      </w:tr>
      <w:tr w:rsidR="00561B22" w:rsidRPr="008D753E" w14:paraId="04A5137B" w14:textId="77777777" w:rsidTr="00F1223B">
        <w:tc>
          <w:tcPr>
            <w:tcW w:w="846" w:type="dxa"/>
          </w:tcPr>
          <w:p w14:paraId="0F2C86DC"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1</w:t>
            </w:r>
          </w:p>
        </w:tc>
        <w:tc>
          <w:tcPr>
            <w:tcW w:w="9116" w:type="dxa"/>
          </w:tcPr>
          <w:p w14:paraId="3A3E573A" w14:textId="77777777" w:rsidR="00561B22" w:rsidRPr="008D753E" w:rsidRDefault="00561B22" w:rsidP="00F1223B">
            <w:pPr>
              <w:pStyle w:val="Textoindependiente"/>
              <w:ind w:right="-1"/>
              <w:jc w:val="both"/>
              <w:rPr>
                <w:rFonts w:ascii="Arial" w:hAnsi="Arial" w:cs="Arial"/>
                <w:sz w:val="22"/>
                <w:szCs w:val="22"/>
              </w:rPr>
            </w:pPr>
            <w:r w:rsidRPr="008D753E">
              <w:rPr>
                <w:rFonts w:ascii="Arial" w:hAnsi="Arial" w:cs="Arial"/>
                <w:sz w:val="22"/>
                <w:szCs w:val="22"/>
              </w:rPr>
              <w:t>Falta de compromiso por parte de las dependencias del Ministerio que deben reportar información financiera de manera oportuna y completa.</w:t>
            </w:r>
          </w:p>
        </w:tc>
      </w:tr>
      <w:tr w:rsidR="00561B22" w:rsidRPr="008D753E" w14:paraId="72BAEF45" w14:textId="77777777" w:rsidTr="00F1223B">
        <w:tc>
          <w:tcPr>
            <w:tcW w:w="846" w:type="dxa"/>
          </w:tcPr>
          <w:p w14:paraId="4BE90D21"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2</w:t>
            </w:r>
          </w:p>
        </w:tc>
        <w:tc>
          <w:tcPr>
            <w:tcW w:w="9116" w:type="dxa"/>
          </w:tcPr>
          <w:p w14:paraId="46A994B6" w14:textId="77777777" w:rsidR="00561B22" w:rsidRPr="008D753E" w:rsidRDefault="00561B22" w:rsidP="00F1223B">
            <w:pPr>
              <w:pStyle w:val="Textoindependiente"/>
              <w:ind w:right="-1"/>
              <w:jc w:val="both"/>
              <w:rPr>
                <w:rFonts w:ascii="Arial" w:hAnsi="Arial" w:cs="Arial"/>
                <w:sz w:val="22"/>
                <w:szCs w:val="22"/>
              </w:rPr>
            </w:pPr>
            <w:r w:rsidRPr="008D753E">
              <w:rPr>
                <w:rFonts w:ascii="Arial" w:hAnsi="Arial" w:cs="Arial"/>
                <w:sz w:val="22"/>
                <w:szCs w:val="22"/>
              </w:rPr>
              <w:t>Actualización del manual de política de operación de gestión con relación a los procesos.</w:t>
            </w:r>
          </w:p>
        </w:tc>
      </w:tr>
      <w:tr w:rsidR="00561B22" w:rsidRPr="008D753E" w14:paraId="66E045DF" w14:textId="77777777" w:rsidTr="00F1223B">
        <w:tc>
          <w:tcPr>
            <w:tcW w:w="846" w:type="dxa"/>
          </w:tcPr>
          <w:p w14:paraId="087A0C27"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3</w:t>
            </w:r>
          </w:p>
        </w:tc>
        <w:tc>
          <w:tcPr>
            <w:tcW w:w="9116" w:type="dxa"/>
          </w:tcPr>
          <w:p w14:paraId="4D30DECD" w14:textId="77777777" w:rsidR="00561B22" w:rsidRPr="008D753E" w:rsidRDefault="00561B22" w:rsidP="00F1223B">
            <w:pPr>
              <w:pStyle w:val="Textoindependiente"/>
              <w:ind w:right="-1"/>
              <w:jc w:val="both"/>
              <w:rPr>
                <w:rFonts w:ascii="Arial" w:hAnsi="Arial" w:cs="Arial"/>
                <w:sz w:val="22"/>
                <w:szCs w:val="22"/>
              </w:rPr>
            </w:pPr>
            <w:r w:rsidRPr="008D753E">
              <w:rPr>
                <w:rFonts w:ascii="Arial" w:hAnsi="Arial" w:cs="Arial"/>
                <w:sz w:val="22"/>
                <w:szCs w:val="22"/>
              </w:rPr>
              <w:t>De acuerdo al sistema de indicadores existentes se deben agregar indicadores que midan la gestión financiera de la entidad.</w:t>
            </w:r>
          </w:p>
        </w:tc>
      </w:tr>
      <w:tr w:rsidR="00561B22" w:rsidRPr="008D753E" w14:paraId="037189DE" w14:textId="77777777" w:rsidTr="00F1223B">
        <w:tc>
          <w:tcPr>
            <w:tcW w:w="846" w:type="dxa"/>
          </w:tcPr>
          <w:p w14:paraId="44E56F54"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4</w:t>
            </w:r>
          </w:p>
        </w:tc>
        <w:tc>
          <w:tcPr>
            <w:tcW w:w="9116" w:type="dxa"/>
          </w:tcPr>
          <w:p w14:paraId="30ECB1E6" w14:textId="77777777" w:rsidR="00561B22" w:rsidRPr="008D753E" w:rsidRDefault="00561B22" w:rsidP="00F1223B">
            <w:pPr>
              <w:pStyle w:val="Textoindependiente"/>
              <w:ind w:right="-1"/>
              <w:jc w:val="both"/>
              <w:rPr>
                <w:rFonts w:ascii="Arial" w:hAnsi="Arial" w:cs="Arial"/>
                <w:sz w:val="22"/>
                <w:szCs w:val="22"/>
              </w:rPr>
            </w:pPr>
            <w:r w:rsidRPr="008D753E">
              <w:rPr>
                <w:rFonts w:ascii="Arial" w:hAnsi="Arial" w:cs="Arial"/>
                <w:sz w:val="22"/>
                <w:szCs w:val="22"/>
              </w:rPr>
              <w:t>Recordar permanente a las áreas generadoras de información contable el envío oportuno de la información financiera y darle cumplimiento al calendario fijado por la Subdirección Administraría y Financiera.</w:t>
            </w:r>
          </w:p>
        </w:tc>
      </w:tr>
      <w:tr w:rsidR="00561B22" w:rsidRPr="008D753E" w14:paraId="6CB56403" w14:textId="77777777" w:rsidTr="00F1223B">
        <w:tc>
          <w:tcPr>
            <w:tcW w:w="846" w:type="dxa"/>
          </w:tcPr>
          <w:p w14:paraId="35C2BDCD"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5</w:t>
            </w:r>
          </w:p>
        </w:tc>
        <w:tc>
          <w:tcPr>
            <w:tcW w:w="9116" w:type="dxa"/>
          </w:tcPr>
          <w:p w14:paraId="0AF82523" w14:textId="77777777" w:rsidR="00561B22" w:rsidRPr="008D753E" w:rsidRDefault="00561B22" w:rsidP="00F1223B">
            <w:pPr>
              <w:pStyle w:val="Textoindependiente"/>
              <w:ind w:right="-1"/>
              <w:jc w:val="both"/>
              <w:rPr>
                <w:rFonts w:ascii="Arial" w:hAnsi="Arial" w:cs="Arial"/>
                <w:sz w:val="22"/>
                <w:szCs w:val="22"/>
              </w:rPr>
            </w:pPr>
            <w:r w:rsidRPr="008D753E">
              <w:rPr>
                <w:rFonts w:ascii="Arial" w:hAnsi="Arial" w:cs="Arial"/>
                <w:sz w:val="22"/>
                <w:szCs w:val="22"/>
              </w:rPr>
              <w:t>Insuficiente personal de planta para atender el cierre financiero de la vigencia, por cuanto algunas funciones son desempeñadas por personal contratado y que al finalizar el contrato dichas funciones deben ser asumidas por el personal de planta</w:t>
            </w:r>
          </w:p>
        </w:tc>
      </w:tr>
    </w:tbl>
    <w:p w14:paraId="05CABF0E" w14:textId="77777777" w:rsidR="00561B22" w:rsidRPr="008D753E" w:rsidRDefault="00561B22" w:rsidP="00561B22">
      <w:pPr>
        <w:pStyle w:val="Textoindependiente"/>
        <w:ind w:right="-50"/>
        <w:jc w:val="both"/>
        <w:rPr>
          <w:rFonts w:ascii="Arial" w:hAnsi="Arial" w:cs="Arial"/>
          <w:b/>
          <w:bCs/>
        </w:rPr>
      </w:pPr>
    </w:p>
    <w:p w14:paraId="4E102838" w14:textId="77777777" w:rsidR="00561B22" w:rsidRPr="008D753E" w:rsidRDefault="00561B22" w:rsidP="00561B22">
      <w:pPr>
        <w:jc w:val="both"/>
        <w:rPr>
          <w:rFonts w:ascii="Arial" w:hAnsi="Arial" w:cs="Arial"/>
          <w:b/>
          <w:lang w:val="es-MX"/>
        </w:rPr>
      </w:pPr>
      <w:r w:rsidRPr="008D753E">
        <w:rPr>
          <w:rFonts w:ascii="Arial" w:hAnsi="Arial" w:cs="Arial"/>
          <w:b/>
          <w:lang w:val="es-MX"/>
        </w:rPr>
        <w:t>Del citado informe retomamos las siguientes recomendaciones:</w:t>
      </w:r>
    </w:p>
    <w:p w14:paraId="5CE3C5A8" w14:textId="77777777" w:rsidR="00561B22" w:rsidRPr="008D753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8D753E" w14:paraId="3200207D" w14:textId="77777777" w:rsidTr="00F1223B">
        <w:tc>
          <w:tcPr>
            <w:tcW w:w="846" w:type="dxa"/>
          </w:tcPr>
          <w:p w14:paraId="2922ABA7" w14:textId="77777777" w:rsidR="00561B22" w:rsidRPr="008D753E" w:rsidRDefault="00561B22" w:rsidP="00F1223B">
            <w:pPr>
              <w:ind w:right="-109"/>
              <w:jc w:val="center"/>
              <w:rPr>
                <w:rFonts w:ascii="Arial" w:hAnsi="Arial" w:cs="Arial"/>
                <w:b/>
                <w:sz w:val="22"/>
                <w:szCs w:val="22"/>
                <w:lang w:val="es-MX"/>
              </w:rPr>
            </w:pPr>
            <w:r w:rsidRPr="008D753E">
              <w:rPr>
                <w:rFonts w:ascii="Arial" w:hAnsi="Arial" w:cs="Arial"/>
                <w:b/>
                <w:sz w:val="22"/>
                <w:szCs w:val="22"/>
                <w:lang w:val="es-MX"/>
              </w:rPr>
              <w:t>N°</w:t>
            </w:r>
          </w:p>
        </w:tc>
        <w:tc>
          <w:tcPr>
            <w:tcW w:w="9116" w:type="dxa"/>
          </w:tcPr>
          <w:p w14:paraId="321FF58B"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RECOMENDACIONES</w:t>
            </w:r>
          </w:p>
          <w:p w14:paraId="0F1BA11A" w14:textId="77777777" w:rsidR="00561B22" w:rsidRPr="008D753E" w:rsidRDefault="00561B22" w:rsidP="00F1223B">
            <w:pPr>
              <w:jc w:val="center"/>
              <w:rPr>
                <w:rFonts w:ascii="Arial" w:hAnsi="Arial" w:cs="Arial"/>
                <w:b/>
                <w:sz w:val="22"/>
                <w:szCs w:val="22"/>
                <w:lang w:val="es-MX"/>
              </w:rPr>
            </w:pPr>
          </w:p>
        </w:tc>
      </w:tr>
      <w:tr w:rsidR="00561B22" w:rsidRPr="008D753E" w14:paraId="53DA35CC" w14:textId="77777777" w:rsidTr="00F1223B">
        <w:tc>
          <w:tcPr>
            <w:tcW w:w="846" w:type="dxa"/>
          </w:tcPr>
          <w:p w14:paraId="49EB1E2C"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1</w:t>
            </w:r>
          </w:p>
        </w:tc>
        <w:tc>
          <w:tcPr>
            <w:tcW w:w="9116" w:type="dxa"/>
          </w:tcPr>
          <w:p w14:paraId="5BF151C1" w14:textId="77777777" w:rsidR="00561B22" w:rsidRPr="008D753E" w:rsidRDefault="00561B22" w:rsidP="00F1223B">
            <w:pPr>
              <w:pStyle w:val="Textoindependiente"/>
              <w:spacing w:line="242" w:lineRule="auto"/>
              <w:ind w:right="-1"/>
              <w:jc w:val="both"/>
              <w:rPr>
                <w:rFonts w:ascii="Arial" w:hAnsi="Arial" w:cs="Arial"/>
                <w:sz w:val="22"/>
                <w:szCs w:val="22"/>
              </w:rPr>
            </w:pPr>
            <w:r w:rsidRPr="008D753E">
              <w:rPr>
                <w:rFonts w:ascii="Arial" w:hAnsi="Arial" w:cs="Arial"/>
                <w:sz w:val="22"/>
                <w:szCs w:val="22"/>
              </w:rPr>
              <w:t>Mantener actualizado permanentemente el manual de política contable conforme a las nuevas directrices que emita la C.G.N. y la administración.</w:t>
            </w:r>
          </w:p>
        </w:tc>
      </w:tr>
      <w:tr w:rsidR="00561B22" w:rsidRPr="008D753E" w14:paraId="5DAEC225" w14:textId="77777777" w:rsidTr="00F1223B">
        <w:tc>
          <w:tcPr>
            <w:tcW w:w="846" w:type="dxa"/>
          </w:tcPr>
          <w:p w14:paraId="754EC765"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2</w:t>
            </w:r>
          </w:p>
        </w:tc>
        <w:tc>
          <w:tcPr>
            <w:tcW w:w="9116" w:type="dxa"/>
          </w:tcPr>
          <w:p w14:paraId="6A446A4B" w14:textId="77777777" w:rsidR="00561B22" w:rsidRPr="008D753E" w:rsidRDefault="00561B22" w:rsidP="00F1223B">
            <w:pPr>
              <w:pStyle w:val="Textoindependiente"/>
              <w:spacing w:line="242" w:lineRule="auto"/>
              <w:ind w:right="-1"/>
              <w:jc w:val="both"/>
              <w:rPr>
                <w:rFonts w:ascii="Arial" w:hAnsi="Arial" w:cs="Arial"/>
                <w:sz w:val="22"/>
                <w:szCs w:val="22"/>
              </w:rPr>
            </w:pPr>
            <w:r w:rsidRPr="008D753E">
              <w:rPr>
                <w:rFonts w:ascii="Arial" w:hAnsi="Arial" w:cs="Arial"/>
                <w:sz w:val="22"/>
                <w:szCs w:val="22"/>
              </w:rPr>
              <w:t xml:space="preserve">Realizar el cronograma interno de cierres contables mensual y trimestral y socializarlo con </w:t>
            </w:r>
            <w:r w:rsidRPr="008D753E">
              <w:rPr>
                <w:rFonts w:ascii="Arial" w:hAnsi="Arial" w:cs="Arial"/>
                <w:sz w:val="22"/>
                <w:szCs w:val="22"/>
              </w:rPr>
              <w:lastRenderedPageBreak/>
              <w:t>las áreas proveedoras de información financiera y velar por su cumplimiento.</w:t>
            </w:r>
          </w:p>
        </w:tc>
      </w:tr>
      <w:tr w:rsidR="00561B22" w:rsidRPr="008D753E" w14:paraId="56AD1825" w14:textId="77777777" w:rsidTr="00F1223B">
        <w:tc>
          <w:tcPr>
            <w:tcW w:w="846" w:type="dxa"/>
          </w:tcPr>
          <w:p w14:paraId="145AEBCC"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lastRenderedPageBreak/>
              <w:t>3</w:t>
            </w:r>
          </w:p>
        </w:tc>
        <w:tc>
          <w:tcPr>
            <w:tcW w:w="9116" w:type="dxa"/>
          </w:tcPr>
          <w:p w14:paraId="7F14A93A" w14:textId="77777777" w:rsidR="00561B22" w:rsidRPr="008D753E" w:rsidRDefault="00561B22" w:rsidP="00F1223B">
            <w:pPr>
              <w:pStyle w:val="Textoindependiente"/>
              <w:spacing w:line="242" w:lineRule="auto"/>
              <w:ind w:right="-1"/>
              <w:jc w:val="both"/>
              <w:rPr>
                <w:rFonts w:ascii="Arial" w:hAnsi="Arial" w:cs="Arial"/>
                <w:sz w:val="22"/>
                <w:szCs w:val="22"/>
              </w:rPr>
            </w:pPr>
            <w:r w:rsidRPr="008D753E">
              <w:rPr>
                <w:rFonts w:ascii="Arial" w:hAnsi="Arial" w:cs="Arial"/>
                <w:sz w:val="22"/>
                <w:szCs w:val="22"/>
              </w:rPr>
              <w:t>Realizar mesas de trabajos para conciliar las cifras que generan las dependencias y que son insumos de información financiera.</w:t>
            </w:r>
          </w:p>
        </w:tc>
      </w:tr>
      <w:tr w:rsidR="00561B22" w:rsidRPr="008D753E" w14:paraId="371B300A" w14:textId="77777777" w:rsidTr="00F1223B">
        <w:tc>
          <w:tcPr>
            <w:tcW w:w="846" w:type="dxa"/>
          </w:tcPr>
          <w:p w14:paraId="498429DE" w14:textId="77777777" w:rsidR="00561B22" w:rsidRPr="008D753E" w:rsidRDefault="00561B22" w:rsidP="00F1223B">
            <w:pPr>
              <w:jc w:val="center"/>
              <w:rPr>
                <w:rFonts w:ascii="Arial" w:hAnsi="Arial" w:cs="Arial"/>
                <w:b/>
                <w:sz w:val="22"/>
                <w:szCs w:val="22"/>
                <w:lang w:val="es-MX"/>
              </w:rPr>
            </w:pPr>
            <w:r w:rsidRPr="008D753E">
              <w:rPr>
                <w:rFonts w:ascii="Arial" w:hAnsi="Arial" w:cs="Arial"/>
                <w:b/>
                <w:sz w:val="22"/>
                <w:szCs w:val="22"/>
                <w:lang w:val="es-MX"/>
              </w:rPr>
              <w:t>4</w:t>
            </w:r>
          </w:p>
        </w:tc>
        <w:tc>
          <w:tcPr>
            <w:tcW w:w="9116" w:type="dxa"/>
          </w:tcPr>
          <w:p w14:paraId="6E470F19" w14:textId="77777777" w:rsidR="00561B22" w:rsidRPr="008D753E" w:rsidRDefault="00561B22" w:rsidP="00F1223B">
            <w:pPr>
              <w:pStyle w:val="Textoindependiente"/>
              <w:spacing w:line="242" w:lineRule="auto"/>
              <w:ind w:right="-1"/>
              <w:jc w:val="both"/>
              <w:rPr>
                <w:rFonts w:ascii="Arial" w:hAnsi="Arial" w:cs="Arial"/>
                <w:sz w:val="22"/>
                <w:szCs w:val="22"/>
              </w:rPr>
            </w:pPr>
            <w:r w:rsidRPr="008D753E">
              <w:rPr>
                <w:rFonts w:ascii="Arial" w:hAnsi="Arial" w:cs="Arial"/>
                <w:sz w:val="22"/>
                <w:szCs w:val="22"/>
              </w:rPr>
              <w:t>Continuar con el análisis y la depuración de las cifras de los estados financieros.</w:t>
            </w:r>
          </w:p>
        </w:tc>
      </w:tr>
    </w:tbl>
    <w:p w14:paraId="290EB026" w14:textId="77777777" w:rsidR="00561B22" w:rsidRPr="008D753E" w:rsidRDefault="00561B22" w:rsidP="00561B22">
      <w:pPr>
        <w:pStyle w:val="Textoindependiente"/>
        <w:ind w:right="-50"/>
        <w:jc w:val="both"/>
        <w:rPr>
          <w:rFonts w:ascii="Arial" w:hAnsi="Arial" w:cs="Arial"/>
          <w:b/>
          <w:bCs/>
        </w:rPr>
      </w:pPr>
    </w:p>
    <w:p w14:paraId="33886458" w14:textId="77777777" w:rsidR="00561B22" w:rsidRPr="008D753E" w:rsidRDefault="00561B22" w:rsidP="00561B22">
      <w:pPr>
        <w:jc w:val="both"/>
        <w:rPr>
          <w:rFonts w:ascii="Arial" w:hAnsi="Arial" w:cs="Arial"/>
          <w:b/>
          <w:bCs/>
          <w:sz w:val="24"/>
          <w:szCs w:val="24"/>
          <w:lang w:val="es-CO"/>
        </w:rPr>
      </w:pPr>
      <w:r w:rsidRPr="008D753E">
        <w:rPr>
          <w:rFonts w:ascii="Arial" w:hAnsi="Arial" w:cs="Arial"/>
          <w:b/>
          <w:bCs/>
          <w:sz w:val="24"/>
          <w:szCs w:val="24"/>
          <w:lang w:val="es-CO"/>
        </w:rPr>
        <w:t xml:space="preserve">NOTA: LA ENTIDAD ENVIA LA MATRIZ DE AUTOEVALUACIÓN DEL SISTEMA DE CONTROL INTERNO CONTABLE CON </w:t>
      </w:r>
      <w:r w:rsidRPr="008D753E">
        <w:rPr>
          <w:rFonts w:ascii="Arial" w:hAnsi="Arial" w:cs="Arial"/>
          <w:b/>
          <w:bCs/>
          <w:sz w:val="24"/>
          <w:szCs w:val="24"/>
          <w:u w:val="single"/>
          <w:lang w:val="es-CO"/>
        </w:rPr>
        <w:t>ACTIVIDADES DE CONTROL REALIZADAS EN FORMA PARCIAL</w:t>
      </w:r>
      <w:r w:rsidRPr="008D753E">
        <w:rPr>
          <w:rFonts w:ascii="Arial" w:hAnsi="Arial" w:cs="Arial"/>
          <w:b/>
          <w:bCs/>
          <w:sz w:val="24"/>
          <w:szCs w:val="24"/>
          <w:lang w:val="es-CO"/>
        </w:rPr>
        <w:t>.</w:t>
      </w:r>
    </w:p>
    <w:p w14:paraId="7AED6C41" w14:textId="77777777" w:rsidR="00A937B7" w:rsidRDefault="00A937B7" w:rsidP="00561B22">
      <w:pPr>
        <w:jc w:val="both"/>
        <w:rPr>
          <w:rFonts w:ascii="Arial" w:hAnsi="Arial" w:cs="Arial"/>
          <w:b/>
          <w:sz w:val="28"/>
          <w:szCs w:val="28"/>
          <w:lang w:val="es-MX"/>
        </w:rPr>
      </w:pPr>
    </w:p>
    <w:p w14:paraId="127E42D6" w14:textId="03FC2393" w:rsidR="00561B22" w:rsidRPr="001829D7" w:rsidRDefault="00561B22" w:rsidP="00561B22">
      <w:pPr>
        <w:jc w:val="both"/>
        <w:rPr>
          <w:rFonts w:ascii="Arial" w:hAnsi="Arial" w:cs="Arial"/>
          <w:b/>
          <w:sz w:val="28"/>
          <w:szCs w:val="28"/>
          <w:lang w:val="es-MX"/>
        </w:rPr>
      </w:pPr>
      <w:r w:rsidRPr="001829D7">
        <w:rPr>
          <w:rFonts w:ascii="Arial" w:hAnsi="Arial" w:cs="Arial"/>
          <w:b/>
          <w:sz w:val="28"/>
          <w:szCs w:val="28"/>
          <w:lang w:val="es-MX"/>
        </w:rPr>
        <w:t xml:space="preserve">41.- SERVICIOS POSTALES NACIONALES – 4 72. </w:t>
      </w:r>
    </w:p>
    <w:p w14:paraId="10D6CE6E" w14:textId="77777777" w:rsidR="00561B22" w:rsidRDefault="00561B22" w:rsidP="00561B22">
      <w:pPr>
        <w:pStyle w:val="Prrafodelista"/>
        <w:spacing w:before="92"/>
        <w:ind w:left="-142"/>
        <w:rPr>
          <w:b/>
          <w:sz w:val="24"/>
        </w:rPr>
      </w:pPr>
    </w:p>
    <w:p w14:paraId="1BBA1EC4" w14:textId="77777777" w:rsidR="00561B22" w:rsidRPr="001829D7" w:rsidRDefault="00561B22" w:rsidP="00561B22">
      <w:pPr>
        <w:pStyle w:val="Textoindependiente"/>
        <w:ind w:right="-50"/>
        <w:jc w:val="center"/>
        <w:rPr>
          <w:rFonts w:ascii="Arial" w:hAnsi="Arial" w:cs="Arial"/>
          <w:b/>
          <w:bCs/>
        </w:rPr>
      </w:pPr>
      <w:r w:rsidRPr="001829D7">
        <w:rPr>
          <w:rFonts w:ascii="Arial" w:hAnsi="Arial" w:cs="Arial"/>
          <w:b/>
          <w:bCs/>
        </w:rPr>
        <w:t>INFORME DE LA AUTOCALIFICACIÓN DEL SISTEMA DE CONTROL INTERNO CONTABLE:</w:t>
      </w:r>
    </w:p>
    <w:p w14:paraId="4E3AFFA6" w14:textId="77777777" w:rsidR="00561B22" w:rsidRPr="001829D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829D7" w14:paraId="41BF29DB" w14:textId="77777777" w:rsidTr="00F1223B">
        <w:tc>
          <w:tcPr>
            <w:tcW w:w="4981" w:type="dxa"/>
          </w:tcPr>
          <w:p w14:paraId="486E50DB" w14:textId="77777777" w:rsidR="00561B22" w:rsidRPr="001829D7" w:rsidRDefault="00561B22" w:rsidP="00F1223B">
            <w:pPr>
              <w:jc w:val="center"/>
              <w:rPr>
                <w:rFonts w:ascii="Arial" w:hAnsi="Arial" w:cs="Arial"/>
                <w:b/>
                <w:sz w:val="22"/>
                <w:szCs w:val="22"/>
                <w:lang w:val="es-MX"/>
              </w:rPr>
            </w:pPr>
            <w:r w:rsidRPr="001829D7">
              <w:rPr>
                <w:rFonts w:ascii="Arial" w:hAnsi="Arial" w:cs="Arial"/>
                <w:b/>
                <w:sz w:val="22"/>
                <w:szCs w:val="22"/>
                <w:lang w:val="es-MX"/>
              </w:rPr>
              <w:t>AUTOCALIFICACIÓN</w:t>
            </w:r>
          </w:p>
        </w:tc>
        <w:tc>
          <w:tcPr>
            <w:tcW w:w="4981" w:type="dxa"/>
          </w:tcPr>
          <w:p w14:paraId="4B20BB53" w14:textId="77777777" w:rsidR="00561B22" w:rsidRPr="001829D7" w:rsidRDefault="00561B22" w:rsidP="00F1223B">
            <w:pPr>
              <w:jc w:val="center"/>
              <w:rPr>
                <w:rFonts w:ascii="Arial" w:hAnsi="Arial" w:cs="Arial"/>
                <w:b/>
                <w:sz w:val="22"/>
                <w:szCs w:val="22"/>
                <w:u w:val="single"/>
                <w:lang w:val="es-MX"/>
              </w:rPr>
            </w:pPr>
            <w:r w:rsidRPr="001829D7">
              <w:rPr>
                <w:rFonts w:ascii="Arial" w:hAnsi="Arial" w:cs="Arial"/>
                <w:b/>
                <w:sz w:val="22"/>
                <w:szCs w:val="22"/>
                <w:u w:val="single"/>
                <w:lang w:val="es-MX"/>
              </w:rPr>
              <w:t>4.98</w:t>
            </w:r>
          </w:p>
        </w:tc>
      </w:tr>
    </w:tbl>
    <w:p w14:paraId="5DB59411" w14:textId="77777777" w:rsidR="00561B22" w:rsidRPr="001829D7" w:rsidRDefault="00561B22" w:rsidP="00561B22">
      <w:pPr>
        <w:pStyle w:val="Textoindependiente"/>
        <w:ind w:right="-50"/>
        <w:jc w:val="both"/>
        <w:rPr>
          <w:rFonts w:ascii="Arial" w:hAnsi="Arial" w:cs="Arial"/>
          <w:b/>
          <w:bCs/>
        </w:rPr>
      </w:pPr>
    </w:p>
    <w:p w14:paraId="19FE4464" w14:textId="77777777" w:rsidR="00561B22" w:rsidRPr="001829D7" w:rsidRDefault="00561B22" w:rsidP="00561B22">
      <w:pPr>
        <w:pStyle w:val="Textoindependiente"/>
        <w:ind w:right="-50"/>
        <w:jc w:val="both"/>
        <w:rPr>
          <w:rFonts w:ascii="Arial" w:hAnsi="Arial" w:cs="Arial"/>
          <w:b/>
          <w:bCs/>
        </w:rPr>
      </w:pPr>
      <w:r w:rsidRPr="001829D7">
        <w:rPr>
          <w:rFonts w:ascii="Arial" w:hAnsi="Arial" w:cs="Arial"/>
          <w:b/>
          <w:bCs/>
        </w:rPr>
        <w:t>Del informe enviado retomamos lo siguiente:</w:t>
      </w:r>
    </w:p>
    <w:p w14:paraId="4A927F9A" w14:textId="77777777" w:rsidR="00561B22" w:rsidRPr="001829D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1829D7" w14:paraId="33D7C9C7" w14:textId="77777777" w:rsidTr="00F1223B">
        <w:tc>
          <w:tcPr>
            <w:tcW w:w="846" w:type="dxa"/>
          </w:tcPr>
          <w:p w14:paraId="71361786" w14:textId="77777777" w:rsidR="00561B22" w:rsidRPr="001829D7" w:rsidRDefault="00561B22" w:rsidP="00F1223B">
            <w:pPr>
              <w:ind w:right="-109"/>
              <w:jc w:val="center"/>
              <w:rPr>
                <w:rFonts w:ascii="Arial" w:hAnsi="Arial" w:cs="Arial"/>
                <w:b/>
                <w:sz w:val="22"/>
                <w:szCs w:val="22"/>
                <w:lang w:val="es-MX"/>
              </w:rPr>
            </w:pPr>
            <w:r w:rsidRPr="001829D7">
              <w:rPr>
                <w:rFonts w:ascii="Arial" w:hAnsi="Arial" w:cs="Arial"/>
                <w:b/>
                <w:sz w:val="22"/>
                <w:szCs w:val="22"/>
                <w:lang w:val="es-MX"/>
              </w:rPr>
              <w:t>N°</w:t>
            </w:r>
          </w:p>
        </w:tc>
        <w:tc>
          <w:tcPr>
            <w:tcW w:w="9116" w:type="dxa"/>
          </w:tcPr>
          <w:p w14:paraId="4331750D" w14:textId="77777777" w:rsidR="00561B22" w:rsidRPr="001829D7" w:rsidRDefault="00561B22" w:rsidP="00F1223B">
            <w:pPr>
              <w:jc w:val="center"/>
              <w:rPr>
                <w:rFonts w:ascii="Arial" w:hAnsi="Arial" w:cs="Arial"/>
                <w:b/>
                <w:sz w:val="22"/>
                <w:szCs w:val="22"/>
                <w:lang w:val="es-MX"/>
              </w:rPr>
            </w:pPr>
            <w:r w:rsidRPr="001829D7">
              <w:rPr>
                <w:rFonts w:ascii="Arial" w:hAnsi="Arial" w:cs="Arial"/>
                <w:b/>
                <w:sz w:val="22"/>
                <w:szCs w:val="22"/>
                <w:lang w:val="es-MX"/>
              </w:rPr>
              <w:t>DEBILIDADES</w:t>
            </w:r>
          </w:p>
          <w:p w14:paraId="5B6459D9" w14:textId="77777777" w:rsidR="00561B22" w:rsidRPr="001829D7" w:rsidRDefault="00561B22" w:rsidP="00F1223B">
            <w:pPr>
              <w:jc w:val="center"/>
              <w:rPr>
                <w:rFonts w:ascii="Arial" w:hAnsi="Arial" w:cs="Arial"/>
                <w:b/>
                <w:sz w:val="22"/>
                <w:szCs w:val="22"/>
                <w:lang w:val="es-MX"/>
              </w:rPr>
            </w:pPr>
          </w:p>
        </w:tc>
      </w:tr>
      <w:tr w:rsidR="00561B22" w:rsidRPr="001829D7" w14:paraId="517689C6" w14:textId="77777777" w:rsidTr="00F1223B">
        <w:tc>
          <w:tcPr>
            <w:tcW w:w="846" w:type="dxa"/>
          </w:tcPr>
          <w:p w14:paraId="78649901" w14:textId="77777777" w:rsidR="00561B22" w:rsidRPr="001829D7" w:rsidRDefault="00561B22" w:rsidP="00F1223B">
            <w:pPr>
              <w:jc w:val="center"/>
              <w:rPr>
                <w:rFonts w:ascii="Arial" w:hAnsi="Arial" w:cs="Arial"/>
                <w:b/>
                <w:sz w:val="22"/>
                <w:szCs w:val="22"/>
                <w:lang w:val="es-MX"/>
              </w:rPr>
            </w:pPr>
            <w:r w:rsidRPr="001829D7">
              <w:rPr>
                <w:rFonts w:ascii="Arial" w:hAnsi="Arial" w:cs="Arial"/>
                <w:b/>
                <w:sz w:val="22"/>
                <w:szCs w:val="22"/>
                <w:lang w:val="es-MX"/>
              </w:rPr>
              <w:t>1</w:t>
            </w:r>
          </w:p>
        </w:tc>
        <w:tc>
          <w:tcPr>
            <w:tcW w:w="9116" w:type="dxa"/>
          </w:tcPr>
          <w:p w14:paraId="464EA0AB" w14:textId="77777777" w:rsidR="00561B22" w:rsidRPr="001829D7" w:rsidRDefault="00561B22" w:rsidP="00F1223B">
            <w:pPr>
              <w:jc w:val="both"/>
              <w:rPr>
                <w:rFonts w:ascii="Arial" w:hAnsi="Arial" w:cs="Arial"/>
                <w:sz w:val="22"/>
                <w:szCs w:val="22"/>
                <w:lang w:val="es-MX"/>
              </w:rPr>
            </w:pPr>
            <w:r w:rsidRPr="001829D7">
              <w:rPr>
                <w:rFonts w:ascii="Arial" w:hAnsi="Arial" w:cs="Arial"/>
                <w:sz w:val="22"/>
                <w:szCs w:val="22"/>
                <w:lang w:val="es-MX"/>
              </w:rPr>
              <w:t>Revisión y seguimiento de Plan Institucional de Capacitación, ya que, para la vigencia del 2024, no se realizó ninguna capacitación en temas específicos para la Jefatura Nacional de Contabilidad e Impuestos, toda vez que, las mismas son de vital importancia en el desarrollo de las actividades propias de la Jefatura.</w:t>
            </w:r>
          </w:p>
        </w:tc>
      </w:tr>
    </w:tbl>
    <w:p w14:paraId="4B905FF9" w14:textId="015F001D" w:rsidR="00561B22" w:rsidRDefault="00561B22" w:rsidP="00561B22">
      <w:pPr>
        <w:pStyle w:val="Textoindependiente"/>
        <w:ind w:right="-50"/>
        <w:jc w:val="both"/>
        <w:rPr>
          <w:rFonts w:ascii="Arial" w:hAnsi="Arial" w:cs="Arial"/>
          <w:b/>
          <w:bCs/>
        </w:rPr>
      </w:pPr>
    </w:p>
    <w:p w14:paraId="46C72B1B" w14:textId="77777777" w:rsidR="00A937B7" w:rsidRPr="008D753E" w:rsidRDefault="00A937B7" w:rsidP="00A937B7">
      <w:pPr>
        <w:jc w:val="both"/>
        <w:rPr>
          <w:rFonts w:ascii="Arial" w:hAnsi="Arial" w:cs="Arial"/>
          <w:b/>
          <w:lang w:val="es-MX"/>
        </w:rPr>
      </w:pPr>
      <w:r w:rsidRPr="008D753E">
        <w:rPr>
          <w:rFonts w:ascii="Arial" w:hAnsi="Arial" w:cs="Arial"/>
          <w:b/>
          <w:lang w:val="es-MX"/>
        </w:rPr>
        <w:t>Del citado informe retomamos las siguientes recomendaciones:</w:t>
      </w:r>
    </w:p>
    <w:p w14:paraId="34940DCF" w14:textId="77777777" w:rsidR="00A937B7" w:rsidRPr="00A937B7" w:rsidRDefault="00A937B7"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846"/>
        <w:gridCol w:w="9116"/>
      </w:tblGrid>
      <w:tr w:rsidR="00561B22" w:rsidRPr="001829D7" w14:paraId="6624B1F4" w14:textId="77777777" w:rsidTr="00F1223B">
        <w:tc>
          <w:tcPr>
            <w:tcW w:w="846" w:type="dxa"/>
          </w:tcPr>
          <w:p w14:paraId="7CBEB4A3" w14:textId="77777777" w:rsidR="00561B22" w:rsidRPr="001829D7" w:rsidRDefault="00561B22" w:rsidP="00F1223B">
            <w:pPr>
              <w:ind w:right="-109"/>
              <w:jc w:val="center"/>
              <w:rPr>
                <w:rFonts w:ascii="Arial" w:hAnsi="Arial" w:cs="Arial"/>
                <w:b/>
                <w:sz w:val="22"/>
                <w:szCs w:val="22"/>
                <w:lang w:val="es-MX"/>
              </w:rPr>
            </w:pPr>
            <w:r w:rsidRPr="001829D7">
              <w:rPr>
                <w:rFonts w:ascii="Arial" w:hAnsi="Arial" w:cs="Arial"/>
                <w:b/>
                <w:sz w:val="22"/>
                <w:szCs w:val="22"/>
                <w:lang w:val="es-MX"/>
              </w:rPr>
              <w:t>N°</w:t>
            </w:r>
          </w:p>
        </w:tc>
        <w:tc>
          <w:tcPr>
            <w:tcW w:w="9116" w:type="dxa"/>
          </w:tcPr>
          <w:p w14:paraId="3B24C19C" w14:textId="77777777" w:rsidR="00561B22" w:rsidRPr="001829D7" w:rsidRDefault="00561B22" w:rsidP="00F1223B">
            <w:pPr>
              <w:jc w:val="center"/>
              <w:rPr>
                <w:rFonts w:ascii="Arial" w:hAnsi="Arial" w:cs="Arial"/>
                <w:b/>
                <w:sz w:val="22"/>
                <w:szCs w:val="22"/>
                <w:lang w:val="es-MX"/>
              </w:rPr>
            </w:pPr>
            <w:r w:rsidRPr="001829D7">
              <w:rPr>
                <w:rFonts w:ascii="Arial" w:hAnsi="Arial" w:cs="Arial"/>
                <w:b/>
                <w:sz w:val="22"/>
                <w:szCs w:val="22"/>
                <w:lang w:val="es-MX"/>
              </w:rPr>
              <w:t>RECOMENDACIONES</w:t>
            </w:r>
          </w:p>
          <w:p w14:paraId="0C2442D6" w14:textId="77777777" w:rsidR="00561B22" w:rsidRPr="001829D7" w:rsidRDefault="00561B22" w:rsidP="00F1223B">
            <w:pPr>
              <w:jc w:val="center"/>
              <w:rPr>
                <w:rFonts w:ascii="Arial" w:hAnsi="Arial" w:cs="Arial"/>
                <w:b/>
                <w:sz w:val="22"/>
                <w:szCs w:val="22"/>
                <w:lang w:val="es-MX"/>
              </w:rPr>
            </w:pPr>
          </w:p>
        </w:tc>
      </w:tr>
      <w:tr w:rsidR="00561B22" w:rsidRPr="001829D7" w14:paraId="7DAD43CD" w14:textId="77777777" w:rsidTr="00F1223B">
        <w:tc>
          <w:tcPr>
            <w:tcW w:w="846" w:type="dxa"/>
          </w:tcPr>
          <w:p w14:paraId="28CBCFE8" w14:textId="77777777" w:rsidR="00561B22" w:rsidRPr="001829D7" w:rsidRDefault="00561B22" w:rsidP="00F1223B">
            <w:pPr>
              <w:jc w:val="center"/>
              <w:rPr>
                <w:rFonts w:ascii="Arial" w:hAnsi="Arial" w:cs="Arial"/>
                <w:b/>
                <w:sz w:val="22"/>
                <w:szCs w:val="22"/>
                <w:lang w:val="es-MX"/>
              </w:rPr>
            </w:pPr>
            <w:r w:rsidRPr="001829D7">
              <w:rPr>
                <w:rFonts w:ascii="Arial" w:hAnsi="Arial" w:cs="Arial"/>
                <w:b/>
                <w:sz w:val="22"/>
                <w:szCs w:val="22"/>
                <w:lang w:val="es-MX"/>
              </w:rPr>
              <w:t>1</w:t>
            </w:r>
          </w:p>
        </w:tc>
        <w:tc>
          <w:tcPr>
            <w:tcW w:w="9116" w:type="dxa"/>
          </w:tcPr>
          <w:p w14:paraId="2DF3D132" w14:textId="77777777" w:rsidR="00561B22" w:rsidRPr="001829D7" w:rsidRDefault="00561B22" w:rsidP="00F1223B">
            <w:pPr>
              <w:jc w:val="both"/>
              <w:rPr>
                <w:rFonts w:ascii="Arial" w:hAnsi="Arial" w:cs="Arial"/>
                <w:sz w:val="22"/>
                <w:szCs w:val="22"/>
                <w:lang w:val="es-MX"/>
              </w:rPr>
            </w:pPr>
            <w:r w:rsidRPr="001829D7">
              <w:rPr>
                <w:rFonts w:ascii="Arial" w:hAnsi="Arial" w:cs="Arial"/>
                <w:sz w:val="22"/>
                <w:szCs w:val="22"/>
                <w:lang w:val="es-MX"/>
              </w:rPr>
              <w:t>Se recomienda a la Dirección Estratégica del Talento Humano, realizar el seguimiento al plan anual de capacitaciones, el uso de los Formatos destinados al registro de resultados de las capacitaciones, en el uso adecuado de los mismos en lo referente a su diligenciamiento.</w:t>
            </w:r>
          </w:p>
        </w:tc>
      </w:tr>
      <w:tr w:rsidR="00561B22" w:rsidRPr="001829D7" w14:paraId="5F8C1931" w14:textId="77777777" w:rsidTr="00F1223B">
        <w:tc>
          <w:tcPr>
            <w:tcW w:w="846" w:type="dxa"/>
          </w:tcPr>
          <w:p w14:paraId="7B0F0B1A" w14:textId="77777777" w:rsidR="00561B22" w:rsidRPr="001829D7" w:rsidRDefault="00561B22" w:rsidP="00F1223B">
            <w:pPr>
              <w:jc w:val="center"/>
              <w:rPr>
                <w:rFonts w:ascii="Arial" w:hAnsi="Arial" w:cs="Arial"/>
                <w:b/>
                <w:sz w:val="22"/>
                <w:szCs w:val="22"/>
                <w:lang w:val="es-MX"/>
              </w:rPr>
            </w:pPr>
            <w:r w:rsidRPr="001829D7">
              <w:rPr>
                <w:rFonts w:ascii="Arial" w:hAnsi="Arial" w:cs="Arial"/>
                <w:b/>
                <w:sz w:val="22"/>
                <w:szCs w:val="22"/>
                <w:lang w:val="es-MX"/>
              </w:rPr>
              <w:t>2</w:t>
            </w:r>
          </w:p>
        </w:tc>
        <w:tc>
          <w:tcPr>
            <w:tcW w:w="9116" w:type="dxa"/>
          </w:tcPr>
          <w:p w14:paraId="0B29D990" w14:textId="77777777" w:rsidR="00561B22" w:rsidRPr="001829D7" w:rsidRDefault="00561B22" w:rsidP="00F1223B">
            <w:pPr>
              <w:jc w:val="both"/>
              <w:rPr>
                <w:rFonts w:ascii="Arial" w:hAnsi="Arial" w:cs="Arial"/>
                <w:sz w:val="22"/>
                <w:szCs w:val="22"/>
                <w:lang w:val="es-MX"/>
              </w:rPr>
            </w:pPr>
            <w:r w:rsidRPr="001829D7">
              <w:rPr>
                <w:rFonts w:ascii="Arial" w:hAnsi="Arial" w:cs="Arial"/>
                <w:sz w:val="22"/>
                <w:szCs w:val="22"/>
                <w:lang w:val="es-MX"/>
              </w:rPr>
              <w:t>Gestionar las capacitaciones en temas propios de la Jefatura Nacional de Contabilidad, en pro del mejoramiento continuo de la Jefatura.</w:t>
            </w:r>
          </w:p>
        </w:tc>
      </w:tr>
    </w:tbl>
    <w:p w14:paraId="1CAF4944" w14:textId="77777777" w:rsidR="00561B22" w:rsidRPr="001829D7" w:rsidRDefault="00561B22" w:rsidP="00561B22">
      <w:pPr>
        <w:jc w:val="both"/>
        <w:rPr>
          <w:rFonts w:ascii="Arial" w:hAnsi="Arial" w:cs="Arial"/>
          <w:b/>
          <w:bCs/>
          <w:lang w:val="es-CO"/>
        </w:rPr>
      </w:pPr>
    </w:p>
    <w:p w14:paraId="0B9A6EBA" w14:textId="77777777" w:rsidR="00561B22" w:rsidRPr="001829D7" w:rsidRDefault="00561B22" w:rsidP="00561B22">
      <w:pPr>
        <w:jc w:val="both"/>
        <w:rPr>
          <w:rFonts w:ascii="Arial" w:hAnsi="Arial" w:cs="Arial"/>
          <w:b/>
          <w:sz w:val="24"/>
          <w:szCs w:val="24"/>
          <w:lang w:val="es-CO"/>
        </w:rPr>
      </w:pPr>
      <w:r w:rsidRPr="001829D7">
        <w:rPr>
          <w:rFonts w:ascii="Arial" w:hAnsi="Arial" w:cs="Arial"/>
          <w:b/>
          <w:bCs/>
          <w:sz w:val="24"/>
          <w:szCs w:val="24"/>
          <w:lang w:val="es-CO"/>
        </w:rPr>
        <w:t xml:space="preserve">NOTA: </w:t>
      </w:r>
      <w:r w:rsidRPr="001829D7">
        <w:rPr>
          <w:rFonts w:ascii="Arial" w:hAnsi="Arial" w:cs="Arial"/>
          <w:b/>
          <w:sz w:val="24"/>
          <w:szCs w:val="24"/>
          <w:lang w:val="es-CO"/>
        </w:rPr>
        <w:t xml:space="preserve">LA ENTIDAD ENVÍA LA MATRIZ DE AUTOEVALUACIÓN DEL SISTEMA DE CONTROL INTERNO CONTABLE CON </w:t>
      </w:r>
      <w:r w:rsidRPr="001829D7">
        <w:rPr>
          <w:rFonts w:ascii="Arial" w:hAnsi="Arial" w:cs="Arial"/>
          <w:b/>
          <w:sz w:val="24"/>
          <w:szCs w:val="24"/>
          <w:u w:val="single"/>
          <w:lang w:val="es-CO"/>
        </w:rPr>
        <w:t>ACTIVIDADES DE CONTROL REALIZADAS EN FORMA PARCIAL</w:t>
      </w:r>
      <w:r w:rsidRPr="001829D7">
        <w:rPr>
          <w:rFonts w:ascii="Arial" w:hAnsi="Arial" w:cs="Arial"/>
          <w:b/>
          <w:sz w:val="24"/>
          <w:szCs w:val="24"/>
          <w:lang w:val="es-CO"/>
        </w:rPr>
        <w:t>.</w:t>
      </w:r>
    </w:p>
    <w:p w14:paraId="3E9691D0" w14:textId="77777777" w:rsidR="00561B22" w:rsidRDefault="00561B22" w:rsidP="00561B22">
      <w:pPr>
        <w:jc w:val="both"/>
        <w:rPr>
          <w:rFonts w:ascii="Arial" w:hAnsi="Arial" w:cs="Arial"/>
          <w:bCs/>
          <w:sz w:val="24"/>
          <w:szCs w:val="24"/>
          <w:lang w:val="es-CO"/>
        </w:rPr>
      </w:pPr>
    </w:p>
    <w:p w14:paraId="3164B3E7" w14:textId="77777777" w:rsidR="00561B22" w:rsidRPr="003C62AA" w:rsidRDefault="00561B22" w:rsidP="00561B22">
      <w:pPr>
        <w:jc w:val="both"/>
        <w:rPr>
          <w:rFonts w:ascii="Arial" w:hAnsi="Arial" w:cs="Arial"/>
          <w:b/>
          <w:sz w:val="32"/>
          <w:szCs w:val="32"/>
        </w:rPr>
      </w:pPr>
      <w:r w:rsidRPr="003C62AA">
        <w:rPr>
          <w:rFonts w:ascii="Arial" w:hAnsi="Arial" w:cs="Arial"/>
          <w:b/>
          <w:sz w:val="28"/>
          <w:szCs w:val="28"/>
          <w:lang w:val="es-MX"/>
        </w:rPr>
        <w:t xml:space="preserve">42.- </w:t>
      </w:r>
      <w:r w:rsidRPr="003C62AA">
        <w:rPr>
          <w:rFonts w:ascii="Arial" w:hAnsi="Arial" w:cs="Arial"/>
          <w:b/>
          <w:sz w:val="28"/>
          <w:szCs w:val="28"/>
        </w:rPr>
        <w:t>MINISTERIO DE AMBIENTE Y DESARROLLO SOSTENIBLE</w:t>
      </w:r>
      <w:r w:rsidRPr="003C62AA">
        <w:rPr>
          <w:rFonts w:ascii="Arial" w:hAnsi="Arial" w:cs="Arial"/>
          <w:b/>
          <w:sz w:val="32"/>
          <w:szCs w:val="32"/>
        </w:rPr>
        <w:t>.</w:t>
      </w:r>
    </w:p>
    <w:p w14:paraId="7F566880" w14:textId="77777777" w:rsidR="00561B22" w:rsidRDefault="00561B22" w:rsidP="00561B22">
      <w:pPr>
        <w:jc w:val="both"/>
        <w:rPr>
          <w:rFonts w:ascii="Arial" w:hAnsi="Arial" w:cs="Arial"/>
          <w:bCs/>
          <w:sz w:val="24"/>
          <w:szCs w:val="24"/>
        </w:rPr>
      </w:pPr>
    </w:p>
    <w:p w14:paraId="30F3F08F" w14:textId="77777777" w:rsidR="00561B22" w:rsidRPr="003C62AA" w:rsidRDefault="00561B22" w:rsidP="00561B22">
      <w:pPr>
        <w:pStyle w:val="Textoindependiente"/>
        <w:ind w:right="-50"/>
        <w:jc w:val="center"/>
        <w:rPr>
          <w:rFonts w:ascii="Arial" w:hAnsi="Arial" w:cs="Arial"/>
          <w:b/>
          <w:bCs/>
        </w:rPr>
      </w:pPr>
      <w:r w:rsidRPr="003C62AA">
        <w:rPr>
          <w:rFonts w:ascii="Arial" w:hAnsi="Arial" w:cs="Arial"/>
          <w:b/>
          <w:bCs/>
        </w:rPr>
        <w:t>INFORME DE LA AUTOCALIFICACIÓN DEL SISTEMA DE CONTROL INTERNO CONTABLE:</w:t>
      </w:r>
    </w:p>
    <w:p w14:paraId="196073BF" w14:textId="77777777" w:rsidR="00561B22" w:rsidRPr="003C62A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C62AA" w14:paraId="340A7799" w14:textId="77777777" w:rsidTr="00F1223B">
        <w:tc>
          <w:tcPr>
            <w:tcW w:w="4981" w:type="dxa"/>
          </w:tcPr>
          <w:p w14:paraId="2445190A"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AUTOCALIFICACIÓN</w:t>
            </w:r>
          </w:p>
        </w:tc>
        <w:tc>
          <w:tcPr>
            <w:tcW w:w="4981" w:type="dxa"/>
          </w:tcPr>
          <w:p w14:paraId="09DE6662" w14:textId="77777777" w:rsidR="00561B22" w:rsidRPr="003C62AA" w:rsidRDefault="00561B22" w:rsidP="00F1223B">
            <w:pPr>
              <w:jc w:val="center"/>
              <w:rPr>
                <w:rFonts w:ascii="Arial" w:hAnsi="Arial" w:cs="Arial"/>
                <w:b/>
                <w:sz w:val="22"/>
                <w:szCs w:val="22"/>
                <w:u w:val="single"/>
                <w:lang w:val="es-MX"/>
              </w:rPr>
            </w:pPr>
            <w:r w:rsidRPr="003C62AA">
              <w:rPr>
                <w:rFonts w:ascii="Arial" w:hAnsi="Arial" w:cs="Arial"/>
                <w:b/>
                <w:sz w:val="22"/>
                <w:szCs w:val="22"/>
                <w:u w:val="single"/>
                <w:lang w:val="es-MX"/>
              </w:rPr>
              <w:t>4.78</w:t>
            </w:r>
          </w:p>
        </w:tc>
      </w:tr>
    </w:tbl>
    <w:p w14:paraId="109AF2B0" w14:textId="77777777" w:rsidR="00561B22" w:rsidRPr="003C62AA" w:rsidRDefault="00561B22" w:rsidP="00561B22">
      <w:pPr>
        <w:pStyle w:val="Textoindependiente"/>
        <w:ind w:right="-50"/>
        <w:jc w:val="both"/>
        <w:rPr>
          <w:rFonts w:ascii="Arial" w:hAnsi="Arial" w:cs="Arial"/>
          <w:b/>
          <w:bCs/>
        </w:rPr>
      </w:pPr>
    </w:p>
    <w:p w14:paraId="235D1611" w14:textId="77777777" w:rsidR="00561B22" w:rsidRPr="003C62AA" w:rsidRDefault="00561B22" w:rsidP="00561B22">
      <w:pPr>
        <w:pStyle w:val="Textoindependiente"/>
        <w:ind w:right="-50"/>
        <w:jc w:val="both"/>
        <w:rPr>
          <w:rFonts w:ascii="Arial" w:hAnsi="Arial" w:cs="Arial"/>
          <w:b/>
          <w:bCs/>
        </w:rPr>
      </w:pPr>
      <w:r w:rsidRPr="003C62AA">
        <w:rPr>
          <w:rFonts w:ascii="Arial" w:hAnsi="Arial" w:cs="Arial"/>
          <w:b/>
          <w:bCs/>
        </w:rPr>
        <w:t>Del informe enviado retomamos lo siguiente:</w:t>
      </w:r>
    </w:p>
    <w:p w14:paraId="452452A2" w14:textId="77777777" w:rsidR="00561B22" w:rsidRPr="003C62A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3C62AA" w14:paraId="1804645C" w14:textId="77777777" w:rsidTr="00F1223B">
        <w:tc>
          <w:tcPr>
            <w:tcW w:w="846" w:type="dxa"/>
          </w:tcPr>
          <w:p w14:paraId="1D82DD22" w14:textId="77777777" w:rsidR="00561B22" w:rsidRPr="003C62AA" w:rsidRDefault="00561B22" w:rsidP="00F1223B">
            <w:pPr>
              <w:ind w:right="-109"/>
              <w:jc w:val="center"/>
              <w:rPr>
                <w:rFonts w:ascii="Arial" w:hAnsi="Arial" w:cs="Arial"/>
                <w:b/>
                <w:sz w:val="22"/>
                <w:szCs w:val="22"/>
                <w:lang w:val="es-MX"/>
              </w:rPr>
            </w:pPr>
            <w:r w:rsidRPr="003C62AA">
              <w:rPr>
                <w:rFonts w:ascii="Arial" w:hAnsi="Arial" w:cs="Arial"/>
                <w:b/>
                <w:sz w:val="22"/>
                <w:szCs w:val="22"/>
                <w:lang w:val="es-MX"/>
              </w:rPr>
              <w:t>N°</w:t>
            </w:r>
          </w:p>
        </w:tc>
        <w:tc>
          <w:tcPr>
            <w:tcW w:w="9116" w:type="dxa"/>
          </w:tcPr>
          <w:p w14:paraId="406A1162"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DEBILIDADES</w:t>
            </w:r>
          </w:p>
          <w:p w14:paraId="4029A0A3" w14:textId="77777777" w:rsidR="00561B22" w:rsidRPr="003C62AA" w:rsidRDefault="00561B22" w:rsidP="00F1223B">
            <w:pPr>
              <w:jc w:val="center"/>
              <w:rPr>
                <w:rFonts w:ascii="Arial" w:hAnsi="Arial" w:cs="Arial"/>
                <w:b/>
                <w:sz w:val="22"/>
                <w:szCs w:val="22"/>
                <w:lang w:val="es-MX"/>
              </w:rPr>
            </w:pPr>
          </w:p>
        </w:tc>
      </w:tr>
      <w:tr w:rsidR="00561B22" w:rsidRPr="003C62AA" w14:paraId="6094E7A6" w14:textId="77777777" w:rsidTr="00F1223B">
        <w:tc>
          <w:tcPr>
            <w:tcW w:w="846" w:type="dxa"/>
          </w:tcPr>
          <w:p w14:paraId="7B8ADA69"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1</w:t>
            </w:r>
          </w:p>
        </w:tc>
        <w:tc>
          <w:tcPr>
            <w:tcW w:w="9116" w:type="dxa"/>
          </w:tcPr>
          <w:p w14:paraId="18E9E8CE" w14:textId="77777777" w:rsidR="00561B22" w:rsidRPr="003C62AA" w:rsidRDefault="00561B22" w:rsidP="00F1223B">
            <w:pPr>
              <w:jc w:val="both"/>
              <w:rPr>
                <w:rFonts w:ascii="Arial" w:hAnsi="Arial" w:cs="Arial"/>
                <w:b/>
                <w:sz w:val="22"/>
                <w:szCs w:val="22"/>
                <w:lang w:val="es-MX"/>
              </w:rPr>
            </w:pPr>
            <w:r w:rsidRPr="003C62AA">
              <w:rPr>
                <w:rStyle w:val="Other"/>
                <w:sz w:val="22"/>
                <w:szCs w:val="22"/>
              </w:rPr>
              <w:t xml:space="preserve">Se observan debilidades en el manejo y control de los bienes y finalización en el proceso de </w:t>
            </w:r>
            <w:r w:rsidRPr="003C62AA">
              <w:rPr>
                <w:rStyle w:val="Other"/>
                <w:sz w:val="22"/>
                <w:szCs w:val="22"/>
              </w:rPr>
              <w:lastRenderedPageBreak/>
              <w:t xml:space="preserve">bajas. </w:t>
            </w:r>
          </w:p>
        </w:tc>
      </w:tr>
      <w:tr w:rsidR="00561B22" w:rsidRPr="003C62AA" w14:paraId="7EA3C340" w14:textId="77777777" w:rsidTr="00F1223B">
        <w:tc>
          <w:tcPr>
            <w:tcW w:w="846" w:type="dxa"/>
          </w:tcPr>
          <w:p w14:paraId="4B87A9B7"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lastRenderedPageBreak/>
              <w:t>2</w:t>
            </w:r>
          </w:p>
        </w:tc>
        <w:tc>
          <w:tcPr>
            <w:tcW w:w="9116" w:type="dxa"/>
          </w:tcPr>
          <w:p w14:paraId="2E86A63A" w14:textId="77777777" w:rsidR="00561B22" w:rsidRPr="003C62AA" w:rsidRDefault="00561B22" w:rsidP="00F1223B">
            <w:pPr>
              <w:jc w:val="both"/>
              <w:rPr>
                <w:rStyle w:val="Other"/>
                <w:sz w:val="22"/>
                <w:szCs w:val="22"/>
              </w:rPr>
            </w:pPr>
            <w:r w:rsidRPr="003C62AA">
              <w:rPr>
                <w:rStyle w:val="Other"/>
                <w:sz w:val="22"/>
                <w:szCs w:val="22"/>
              </w:rPr>
              <w:t>Materialización de riesgos en el proceso de Gestión Financiera.</w:t>
            </w:r>
          </w:p>
        </w:tc>
      </w:tr>
      <w:tr w:rsidR="00561B22" w:rsidRPr="003C62AA" w14:paraId="4BBDD57F" w14:textId="77777777" w:rsidTr="00F1223B">
        <w:tc>
          <w:tcPr>
            <w:tcW w:w="846" w:type="dxa"/>
          </w:tcPr>
          <w:p w14:paraId="6B8679B0"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3</w:t>
            </w:r>
          </w:p>
        </w:tc>
        <w:tc>
          <w:tcPr>
            <w:tcW w:w="9116" w:type="dxa"/>
          </w:tcPr>
          <w:p w14:paraId="20F7567E" w14:textId="77777777" w:rsidR="00561B22" w:rsidRPr="003C62AA" w:rsidRDefault="00561B22" w:rsidP="00F1223B">
            <w:pPr>
              <w:jc w:val="both"/>
              <w:rPr>
                <w:rFonts w:ascii="Arial" w:hAnsi="Arial" w:cs="Arial"/>
                <w:b/>
                <w:sz w:val="22"/>
                <w:szCs w:val="22"/>
                <w:lang w:val="es-MX"/>
              </w:rPr>
            </w:pPr>
            <w:r w:rsidRPr="003C62AA">
              <w:rPr>
                <w:rStyle w:val="Other"/>
                <w:sz w:val="22"/>
                <w:szCs w:val="22"/>
              </w:rPr>
              <w:t>Retrasos en la gestión del recobro de incapacidades.</w:t>
            </w:r>
          </w:p>
        </w:tc>
      </w:tr>
      <w:tr w:rsidR="00561B22" w:rsidRPr="003C62AA" w14:paraId="1E9DC1EF" w14:textId="77777777" w:rsidTr="00F1223B">
        <w:tc>
          <w:tcPr>
            <w:tcW w:w="846" w:type="dxa"/>
          </w:tcPr>
          <w:p w14:paraId="4CB44C0B"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4</w:t>
            </w:r>
          </w:p>
        </w:tc>
        <w:tc>
          <w:tcPr>
            <w:tcW w:w="9116" w:type="dxa"/>
          </w:tcPr>
          <w:p w14:paraId="3BD612D8" w14:textId="77777777" w:rsidR="00561B22" w:rsidRPr="003C62AA" w:rsidRDefault="00561B22" w:rsidP="00F1223B">
            <w:pPr>
              <w:jc w:val="both"/>
              <w:rPr>
                <w:rFonts w:ascii="Arial" w:hAnsi="Arial" w:cs="Arial"/>
                <w:b/>
                <w:sz w:val="22"/>
                <w:szCs w:val="22"/>
                <w:lang w:val="es-MX"/>
              </w:rPr>
            </w:pPr>
            <w:r w:rsidRPr="003C62AA">
              <w:rPr>
                <w:rStyle w:val="Other"/>
                <w:sz w:val="22"/>
                <w:szCs w:val="22"/>
              </w:rPr>
              <w:t xml:space="preserve">Debilidad en la formalidad y estructuración de los Grupos Internos de Trabajo, así como la distribución de las funciones de la cadena financiera. </w:t>
            </w:r>
          </w:p>
        </w:tc>
      </w:tr>
      <w:tr w:rsidR="00561B22" w:rsidRPr="003C62AA" w14:paraId="79AF2E20" w14:textId="77777777" w:rsidTr="00F1223B">
        <w:tc>
          <w:tcPr>
            <w:tcW w:w="846" w:type="dxa"/>
          </w:tcPr>
          <w:p w14:paraId="2525C305"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5</w:t>
            </w:r>
          </w:p>
        </w:tc>
        <w:tc>
          <w:tcPr>
            <w:tcW w:w="9116" w:type="dxa"/>
          </w:tcPr>
          <w:p w14:paraId="34B75E73" w14:textId="77777777" w:rsidR="00561B22" w:rsidRPr="003C62AA" w:rsidRDefault="00561B22" w:rsidP="00F1223B">
            <w:pPr>
              <w:jc w:val="both"/>
              <w:rPr>
                <w:rFonts w:ascii="Arial" w:hAnsi="Arial" w:cs="Arial"/>
                <w:b/>
                <w:sz w:val="22"/>
                <w:szCs w:val="22"/>
                <w:lang w:val="es-MX"/>
              </w:rPr>
            </w:pPr>
            <w:r w:rsidRPr="003C62AA">
              <w:rPr>
                <w:rStyle w:val="Other"/>
                <w:sz w:val="22"/>
                <w:szCs w:val="22"/>
              </w:rPr>
              <w:t>Debilidades en la publicación oportuna de los Estados Financieros.</w:t>
            </w:r>
          </w:p>
        </w:tc>
      </w:tr>
    </w:tbl>
    <w:p w14:paraId="50898559" w14:textId="77777777" w:rsidR="00561B22" w:rsidRPr="003C62AA" w:rsidRDefault="00561B22" w:rsidP="00561B22">
      <w:pPr>
        <w:pStyle w:val="Textoindependiente"/>
        <w:ind w:right="-50"/>
        <w:jc w:val="both"/>
        <w:rPr>
          <w:rFonts w:ascii="Arial" w:hAnsi="Arial" w:cs="Arial"/>
          <w:b/>
          <w:bCs/>
        </w:rPr>
      </w:pPr>
    </w:p>
    <w:p w14:paraId="46CD8DC2" w14:textId="77777777" w:rsidR="00561B22" w:rsidRPr="003C62AA" w:rsidRDefault="00561B22" w:rsidP="00561B22">
      <w:pPr>
        <w:jc w:val="both"/>
        <w:rPr>
          <w:rFonts w:ascii="Arial" w:hAnsi="Arial" w:cs="Arial"/>
          <w:b/>
          <w:lang w:val="es-MX"/>
        </w:rPr>
      </w:pPr>
      <w:r w:rsidRPr="003C62AA">
        <w:rPr>
          <w:rFonts w:ascii="Arial" w:hAnsi="Arial" w:cs="Arial"/>
          <w:b/>
          <w:lang w:val="es-MX"/>
        </w:rPr>
        <w:t>Del citado informe retomamos las siguientes recomendaciones:</w:t>
      </w:r>
    </w:p>
    <w:p w14:paraId="56C430EE" w14:textId="77777777" w:rsidR="00561B22" w:rsidRPr="003C62A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3C62AA" w14:paraId="4F7CC318" w14:textId="77777777" w:rsidTr="00F1223B">
        <w:tc>
          <w:tcPr>
            <w:tcW w:w="846" w:type="dxa"/>
          </w:tcPr>
          <w:p w14:paraId="3F95F20D" w14:textId="77777777" w:rsidR="00561B22" w:rsidRPr="003C62AA" w:rsidRDefault="00561B22" w:rsidP="00F1223B">
            <w:pPr>
              <w:ind w:right="-109"/>
              <w:jc w:val="center"/>
              <w:rPr>
                <w:rFonts w:ascii="Arial" w:hAnsi="Arial" w:cs="Arial"/>
                <w:b/>
                <w:sz w:val="22"/>
                <w:szCs w:val="22"/>
                <w:lang w:val="es-MX"/>
              </w:rPr>
            </w:pPr>
            <w:r w:rsidRPr="003C62AA">
              <w:rPr>
                <w:rFonts w:ascii="Arial" w:hAnsi="Arial" w:cs="Arial"/>
                <w:b/>
                <w:sz w:val="22"/>
                <w:szCs w:val="22"/>
                <w:lang w:val="es-MX"/>
              </w:rPr>
              <w:t>N°</w:t>
            </w:r>
          </w:p>
        </w:tc>
        <w:tc>
          <w:tcPr>
            <w:tcW w:w="9116" w:type="dxa"/>
          </w:tcPr>
          <w:p w14:paraId="7673C385"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RECOMENDACIONES</w:t>
            </w:r>
          </w:p>
          <w:p w14:paraId="5220CD9C" w14:textId="77777777" w:rsidR="00561B22" w:rsidRPr="003C62AA" w:rsidRDefault="00561B22" w:rsidP="00F1223B">
            <w:pPr>
              <w:jc w:val="center"/>
              <w:rPr>
                <w:rFonts w:ascii="Arial" w:hAnsi="Arial" w:cs="Arial"/>
                <w:b/>
                <w:sz w:val="22"/>
                <w:szCs w:val="22"/>
                <w:lang w:val="es-MX"/>
              </w:rPr>
            </w:pPr>
          </w:p>
        </w:tc>
      </w:tr>
      <w:tr w:rsidR="00561B22" w:rsidRPr="003C62AA" w14:paraId="16D53F57" w14:textId="77777777" w:rsidTr="00F1223B">
        <w:tc>
          <w:tcPr>
            <w:tcW w:w="846" w:type="dxa"/>
          </w:tcPr>
          <w:p w14:paraId="00555F5E"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1</w:t>
            </w:r>
          </w:p>
        </w:tc>
        <w:tc>
          <w:tcPr>
            <w:tcW w:w="9116" w:type="dxa"/>
          </w:tcPr>
          <w:p w14:paraId="66383EFC" w14:textId="77777777" w:rsidR="00561B22" w:rsidRPr="003C62AA" w:rsidRDefault="00561B22" w:rsidP="00F1223B">
            <w:pPr>
              <w:jc w:val="both"/>
              <w:rPr>
                <w:rFonts w:ascii="Arial" w:hAnsi="Arial" w:cs="Arial"/>
                <w:b/>
                <w:sz w:val="22"/>
                <w:szCs w:val="22"/>
                <w:lang w:val="es-MX"/>
              </w:rPr>
            </w:pPr>
            <w:r w:rsidRPr="003C62AA">
              <w:rPr>
                <w:rStyle w:val="Other"/>
                <w:sz w:val="22"/>
                <w:szCs w:val="22"/>
              </w:rPr>
              <w:t>Revisar y aplicar los lineamientos de accesibilidad, atendiendo los Criterios generales de publicación de información pública citados en el numeral 2.4.1 del Anexo No. 2 de la Resolución 1519 de 2020.</w:t>
            </w:r>
          </w:p>
        </w:tc>
      </w:tr>
      <w:tr w:rsidR="00561B22" w:rsidRPr="003C62AA" w14:paraId="1D958B2D" w14:textId="77777777" w:rsidTr="00F1223B">
        <w:tc>
          <w:tcPr>
            <w:tcW w:w="846" w:type="dxa"/>
          </w:tcPr>
          <w:p w14:paraId="0DEB9CCA"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2</w:t>
            </w:r>
          </w:p>
        </w:tc>
        <w:tc>
          <w:tcPr>
            <w:tcW w:w="9116" w:type="dxa"/>
          </w:tcPr>
          <w:p w14:paraId="22EA9CFE" w14:textId="77777777" w:rsidR="00561B22" w:rsidRPr="003C62AA" w:rsidRDefault="00561B22" w:rsidP="00F1223B">
            <w:pPr>
              <w:jc w:val="both"/>
              <w:rPr>
                <w:rFonts w:ascii="Arial" w:hAnsi="Arial" w:cs="Arial"/>
                <w:b/>
                <w:sz w:val="22"/>
                <w:szCs w:val="22"/>
                <w:lang w:val="es-MX"/>
              </w:rPr>
            </w:pPr>
            <w:r w:rsidRPr="003C62AA">
              <w:rPr>
                <w:rStyle w:val="Other"/>
                <w:sz w:val="22"/>
                <w:szCs w:val="22"/>
              </w:rPr>
              <w:t>Mayor interacción de las áreas en el proceso de reporte de información de inventarios de indicadores que analizar e interpretar la realidad de la cadena financiera en su totalidad.</w:t>
            </w:r>
          </w:p>
        </w:tc>
      </w:tr>
      <w:tr w:rsidR="00561B22" w:rsidRPr="003C62AA" w14:paraId="7BC1148F" w14:textId="77777777" w:rsidTr="00F1223B">
        <w:tc>
          <w:tcPr>
            <w:tcW w:w="846" w:type="dxa"/>
          </w:tcPr>
          <w:p w14:paraId="0D08FB18"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3</w:t>
            </w:r>
          </w:p>
        </w:tc>
        <w:tc>
          <w:tcPr>
            <w:tcW w:w="9116" w:type="dxa"/>
          </w:tcPr>
          <w:p w14:paraId="2C956E9C" w14:textId="77777777" w:rsidR="00561B22" w:rsidRPr="003C62AA" w:rsidRDefault="00561B22" w:rsidP="00F1223B">
            <w:pPr>
              <w:jc w:val="both"/>
              <w:rPr>
                <w:rFonts w:ascii="Arial" w:hAnsi="Arial" w:cs="Arial"/>
                <w:b/>
                <w:sz w:val="22"/>
                <w:szCs w:val="22"/>
                <w:lang w:val="es-MX"/>
              </w:rPr>
            </w:pPr>
            <w:r w:rsidRPr="003C62AA">
              <w:rPr>
                <w:rStyle w:val="Other"/>
                <w:sz w:val="22"/>
                <w:szCs w:val="22"/>
              </w:rPr>
              <w:t xml:space="preserve">Asignar puntos de control efectivos para garantizar el reporte al momento de la adquisición de bienes. </w:t>
            </w:r>
          </w:p>
        </w:tc>
      </w:tr>
      <w:tr w:rsidR="00561B22" w:rsidRPr="003C62AA" w14:paraId="00A48A67" w14:textId="77777777" w:rsidTr="00F1223B">
        <w:tc>
          <w:tcPr>
            <w:tcW w:w="846" w:type="dxa"/>
          </w:tcPr>
          <w:p w14:paraId="393EB380"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4</w:t>
            </w:r>
          </w:p>
        </w:tc>
        <w:tc>
          <w:tcPr>
            <w:tcW w:w="9116" w:type="dxa"/>
          </w:tcPr>
          <w:p w14:paraId="35791196" w14:textId="77777777" w:rsidR="00561B22" w:rsidRPr="003C62AA" w:rsidRDefault="00561B22" w:rsidP="00F1223B">
            <w:pPr>
              <w:jc w:val="both"/>
              <w:rPr>
                <w:rFonts w:ascii="Arial" w:hAnsi="Arial" w:cs="Arial"/>
                <w:b/>
                <w:sz w:val="22"/>
                <w:szCs w:val="22"/>
                <w:lang w:val="es-MX"/>
              </w:rPr>
            </w:pPr>
            <w:r w:rsidRPr="003C62AA">
              <w:rPr>
                <w:rStyle w:val="Other"/>
                <w:sz w:val="22"/>
                <w:szCs w:val="22"/>
              </w:rPr>
              <w:t>Establecer mecanismos de divulgación e interiorización de los riesgos y análisis de los puntos control con la finalidad que sean efectivos</w:t>
            </w:r>
          </w:p>
        </w:tc>
      </w:tr>
      <w:tr w:rsidR="00561B22" w:rsidRPr="003C62AA" w14:paraId="028F1E43" w14:textId="77777777" w:rsidTr="00F1223B">
        <w:tc>
          <w:tcPr>
            <w:tcW w:w="846" w:type="dxa"/>
          </w:tcPr>
          <w:p w14:paraId="435E3BE7"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5</w:t>
            </w:r>
          </w:p>
        </w:tc>
        <w:tc>
          <w:tcPr>
            <w:tcW w:w="9116" w:type="dxa"/>
          </w:tcPr>
          <w:p w14:paraId="112CE663" w14:textId="77777777" w:rsidR="00561B22" w:rsidRPr="003C62AA" w:rsidRDefault="00561B22" w:rsidP="00F1223B">
            <w:pPr>
              <w:jc w:val="both"/>
              <w:rPr>
                <w:rFonts w:ascii="Arial" w:hAnsi="Arial" w:cs="Arial"/>
                <w:b/>
                <w:sz w:val="22"/>
                <w:szCs w:val="22"/>
                <w:lang w:val="es-MX"/>
              </w:rPr>
            </w:pPr>
            <w:r w:rsidRPr="003C62AA">
              <w:rPr>
                <w:rStyle w:val="Other"/>
                <w:sz w:val="22"/>
                <w:szCs w:val="22"/>
              </w:rPr>
              <w:t>Generar una estrategia con la finalidad que las áreas reconozcan la importancia de los reportes que deben transmitir al área financiera para generar los respectivos registros de indicadores que analizar e interpretar la realidad de la cadena financiera en su totalidad.</w:t>
            </w:r>
          </w:p>
        </w:tc>
      </w:tr>
      <w:tr w:rsidR="00561B22" w:rsidRPr="003C62AA" w14:paraId="778C9242" w14:textId="77777777" w:rsidTr="00F1223B">
        <w:tc>
          <w:tcPr>
            <w:tcW w:w="846" w:type="dxa"/>
          </w:tcPr>
          <w:p w14:paraId="4788AFF4"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6</w:t>
            </w:r>
          </w:p>
        </w:tc>
        <w:tc>
          <w:tcPr>
            <w:tcW w:w="9116" w:type="dxa"/>
          </w:tcPr>
          <w:p w14:paraId="61D305A6" w14:textId="77777777" w:rsidR="00561B22" w:rsidRPr="003C62AA" w:rsidRDefault="00561B22" w:rsidP="00F1223B">
            <w:pPr>
              <w:jc w:val="both"/>
              <w:rPr>
                <w:rFonts w:ascii="Arial" w:hAnsi="Arial" w:cs="Arial"/>
                <w:b/>
                <w:sz w:val="22"/>
                <w:szCs w:val="22"/>
                <w:lang w:val="es-MX"/>
              </w:rPr>
            </w:pPr>
            <w:r w:rsidRPr="003C62AA">
              <w:rPr>
                <w:rStyle w:val="Other"/>
                <w:sz w:val="22"/>
                <w:szCs w:val="22"/>
              </w:rPr>
              <w:t>Cuando se presenten situaciones administrativas de encargos, licencias, vacaciones, vacancias temporales entre otras para el cargo del profesional que tiene la función de Contador, se adelanten las actuaciones administrativas necesarias para que no se surtan demoras o retrasos en la firma de los estados financieros</w:t>
            </w:r>
          </w:p>
        </w:tc>
      </w:tr>
      <w:tr w:rsidR="00561B22" w:rsidRPr="003C62AA" w14:paraId="1D747E75" w14:textId="77777777" w:rsidTr="00F1223B">
        <w:tc>
          <w:tcPr>
            <w:tcW w:w="846" w:type="dxa"/>
          </w:tcPr>
          <w:p w14:paraId="66D3EFD3" w14:textId="77777777" w:rsidR="00561B22" w:rsidRPr="003C62AA" w:rsidRDefault="00561B22" w:rsidP="00F1223B">
            <w:pPr>
              <w:jc w:val="center"/>
              <w:rPr>
                <w:rFonts w:ascii="Arial" w:hAnsi="Arial" w:cs="Arial"/>
                <w:b/>
                <w:sz w:val="22"/>
                <w:szCs w:val="22"/>
                <w:lang w:val="es-MX"/>
              </w:rPr>
            </w:pPr>
            <w:r w:rsidRPr="003C62AA">
              <w:rPr>
                <w:rFonts w:ascii="Arial" w:hAnsi="Arial" w:cs="Arial"/>
                <w:b/>
                <w:sz w:val="22"/>
                <w:szCs w:val="22"/>
                <w:lang w:val="es-MX"/>
              </w:rPr>
              <w:t>7</w:t>
            </w:r>
          </w:p>
        </w:tc>
        <w:tc>
          <w:tcPr>
            <w:tcW w:w="9116" w:type="dxa"/>
          </w:tcPr>
          <w:p w14:paraId="6BA4699C" w14:textId="77777777" w:rsidR="00561B22" w:rsidRPr="003C62AA" w:rsidRDefault="00561B22" w:rsidP="00F1223B">
            <w:pPr>
              <w:jc w:val="both"/>
              <w:rPr>
                <w:rFonts w:ascii="Arial" w:hAnsi="Arial" w:cs="Arial"/>
                <w:b/>
                <w:sz w:val="22"/>
                <w:szCs w:val="22"/>
                <w:lang w:val="es-MX"/>
              </w:rPr>
            </w:pPr>
            <w:r w:rsidRPr="003C62AA">
              <w:rPr>
                <w:rStyle w:val="Other"/>
                <w:sz w:val="22"/>
                <w:szCs w:val="22"/>
              </w:rPr>
              <w:t>De acuerdo a lo establecido en esta evaluación, se recomienda generar un sistema de indicadores que analizar e interpretar la realidad de la cadena financiera en su totalidad.</w:t>
            </w:r>
          </w:p>
        </w:tc>
      </w:tr>
    </w:tbl>
    <w:p w14:paraId="192420DA" w14:textId="77777777" w:rsidR="00561B22" w:rsidRPr="003C62AA" w:rsidRDefault="00561B22" w:rsidP="00561B22">
      <w:pPr>
        <w:pStyle w:val="Textoindependiente"/>
        <w:ind w:right="-50"/>
        <w:jc w:val="both"/>
        <w:rPr>
          <w:rFonts w:ascii="Arial" w:hAnsi="Arial" w:cs="Arial"/>
          <w:b/>
          <w:bCs/>
        </w:rPr>
      </w:pPr>
    </w:p>
    <w:p w14:paraId="1A0D1693" w14:textId="77777777" w:rsidR="00561B22" w:rsidRPr="003C62AA" w:rsidRDefault="00561B22" w:rsidP="00561B22">
      <w:pPr>
        <w:jc w:val="both"/>
        <w:rPr>
          <w:rFonts w:ascii="Arial" w:hAnsi="Arial" w:cs="Arial"/>
          <w:b/>
          <w:bCs/>
          <w:sz w:val="24"/>
          <w:szCs w:val="24"/>
          <w:lang w:val="es-CO"/>
        </w:rPr>
      </w:pPr>
      <w:r w:rsidRPr="003C62AA">
        <w:rPr>
          <w:rFonts w:ascii="Arial" w:hAnsi="Arial" w:cs="Arial"/>
          <w:b/>
          <w:bCs/>
          <w:sz w:val="24"/>
          <w:szCs w:val="24"/>
          <w:lang w:val="es-CO"/>
        </w:rPr>
        <w:t xml:space="preserve">NOTA: LA ENTIDAD ENVIA LA MATRIZ DE AUTOEVALUACIÓN DEL SISTEMA DE CONTROL INTERNO CONTABLE CON ACTIVIDADES DE CONTROL REALIZADAS </w:t>
      </w:r>
      <w:r w:rsidRPr="003C62AA">
        <w:rPr>
          <w:rFonts w:ascii="Arial" w:hAnsi="Arial" w:cs="Arial"/>
          <w:b/>
          <w:bCs/>
          <w:sz w:val="24"/>
          <w:szCs w:val="24"/>
          <w:u w:val="single"/>
          <w:lang w:val="es-CO"/>
        </w:rPr>
        <w:t>EN FORMA PARCIAL Y OTRAS SIMPLEMENTE INFORMAN QUE NO SE REALIZARON</w:t>
      </w:r>
      <w:r w:rsidRPr="003C62AA">
        <w:rPr>
          <w:rFonts w:ascii="Arial" w:hAnsi="Arial" w:cs="Arial"/>
          <w:b/>
          <w:bCs/>
          <w:sz w:val="24"/>
          <w:szCs w:val="24"/>
          <w:lang w:val="es-CO"/>
        </w:rPr>
        <w:t>.</w:t>
      </w:r>
    </w:p>
    <w:p w14:paraId="0327D4E8" w14:textId="77777777" w:rsidR="00561B22" w:rsidRDefault="00561B22" w:rsidP="00561B22">
      <w:pPr>
        <w:jc w:val="both"/>
        <w:rPr>
          <w:rFonts w:ascii="Arial" w:hAnsi="Arial" w:cs="Arial"/>
          <w:bCs/>
          <w:sz w:val="24"/>
          <w:szCs w:val="24"/>
          <w:lang w:val="es-CO"/>
        </w:rPr>
      </w:pPr>
    </w:p>
    <w:p w14:paraId="2A1F710B" w14:textId="77777777" w:rsidR="00561B22" w:rsidRPr="007731BC" w:rsidRDefault="00561B22" w:rsidP="00561B22">
      <w:pPr>
        <w:jc w:val="both"/>
        <w:rPr>
          <w:rFonts w:ascii="Arial" w:hAnsi="Arial" w:cs="Arial"/>
          <w:b/>
          <w:sz w:val="28"/>
          <w:szCs w:val="28"/>
          <w:lang w:val="es-MX"/>
        </w:rPr>
      </w:pPr>
      <w:r w:rsidRPr="007731BC">
        <w:rPr>
          <w:rFonts w:ascii="Arial" w:hAnsi="Arial" w:cs="Arial"/>
          <w:b/>
          <w:sz w:val="28"/>
          <w:szCs w:val="28"/>
          <w:lang w:val="es-MX"/>
        </w:rPr>
        <w:t>43.- CÁMARA DE REPRESENTANTES.</w:t>
      </w:r>
    </w:p>
    <w:p w14:paraId="134085A6" w14:textId="77777777" w:rsidR="00561B22" w:rsidRDefault="00561B22" w:rsidP="00561B22">
      <w:pPr>
        <w:pStyle w:val="Textoindependiente"/>
        <w:ind w:right="-50"/>
        <w:jc w:val="center"/>
        <w:rPr>
          <w:rFonts w:ascii="Arial" w:hAnsi="Arial" w:cs="Arial"/>
          <w:b/>
          <w:bCs/>
        </w:rPr>
      </w:pPr>
    </w:p>
    <w:p w14:paraId="2D53E2D5" w14:textId="77777777" w:rsidR="00561B22" w:rsidRPr="00BC2B82" w:rsidRDefault="00561B22" w:rsidP="00561B22">
      <w:pPr>
        <w:pStyle w:val="Textoindependiente"/>
        <w:ind w:right="-50"/>
        <w:jc w:val="center"/>
        <w:rPr>
          <w:rFonts w:ascii="Arial" w:hAnsi="Arial" w:cs="Arial"/>
          <w:b/>
          <w:bCs/>
        </w:rPr>
      </w:pPr>
      <w:r w:rsidRPr="00BC2B82">
        <w:rPr>
          <w:rFonts w:ascii="Arial" w:hAnsi="Arial" w:cs="Arial"/>
          <w:b/>
          <w:bCs/>
        </w:rPr>
        <w:t>INFORME DE LA AUTOCALIFICACIÓN DEL SISTEMA DE CONTROL INTERNO CONTABLE:</w:t>
      </w:r>
    </w:p>
    <w:p w14:paraId="0631E1B2" w14:textId="77777777" w:rsidR="00561B22" w:rsidRPr="00BC2B8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C2B82" w14:paraId="7388AE62" w14:textId="77777777" w:rsidTr="00F1223B">
        <w:tc>
          <w:tcPr>
            <w:tcW w:w="4981" w:type="dxa"/>
          </w:tcPr>
          <w:p w14:paraId="42AC14BF" w14:textId="77777777" w:rsidR="00561B22" w:rsidRPr="00BC2B82" w:rsidRDefault="00561B22" w:rsidP="00F1223B">
            <w:pPr>
              <w:jc w:val="center"/>
              <w:rPr>
                <w:rFonts w:ascii="Arial" w:hAnsi="Arial" w:cs="Arial"/>
                <w:b/>
                <w:sz w:val="22"/>
                <w:szCs w:val="22"/>
                <w:lang w:val="es-MX"/>
              </w:rPr>
            </w:pPr>
            <w:r w:rsidRPr="00BC2B82">
              <w:rPr>
                <w:rFonts w:ascii="Arial" w:hAnsi="Arial" w:cs="Arial"/>
                <w:b/>
                <w:sz w:val="22"/>
                <w:szCs w:val="22"/>
                <w:lang w:val="es-MX"/>
              </w:rPr>
              <w:t>AUTOCALIFICACIÓN</w:t>
            </w:r>
          </w:p>
        </w:tc>
        <w:tc>
          <w:tcPr>
            <w:tcW w:w="4981" w:type="dxa"/>
          </w:tcPr>
          <w:p w14:paraId="5EA4CE3C" w14:textId="77777777" w:rsidR="00561B22" w:rsidRPr="00BC2B82" w:rsidRDefault="00561B22" w:rsidP="00F1223B">
            <w:pPr>
              <w:jc w:val="center"/>
              <w:rPr>
                <w:rFonts w:ascii="Arial" w:hAnsi="Arial" w:cs="Arial"/>
                <w:b/>
                <w:sz w:val="22"/>
                <w:szCs w:val="22"/>
                <w:u w:val="single"/>
                <w:lang w:val="es-CO"/>
              </w:rPr>
            </w:pPr>
            <w:r w:rsidRPr="00BC2B82">
              <w:rPr>
                <w:rFonts w:ascii="Arial" w:hAnsi="Arial" w:cs="Arial"/>
                <w:b/>
                <w:sz w:val="22"/>
                <w:szCs w:val="22"/>
                <w:u w:val="single"/>
                <w:lang w:val="es-MX"/>
              </w:rPr>
              <w:t>5.00</w:t>
            </w:r>
          </w:p>
        </w:tc>
      </w:tr>
    </w:tbl>
    <w:p w14:paraId="5D96D698" w14:textId="77777777" w:rsidR="00561B22" w:rsidRPr="00BC2B82" w:rsidRDefault="00561B22" w:rsidP="00561B22">
      <w:pPr>
        <w:pStyle w:val="Textoindependiente"/>
        <w:ind w:right="-50"/>
        <w:jc w:val="both"/>
        <w:rPr>
          <w:rFonts w:ascii="Arial" w:hAnsi="Arial" w:cs="Arial"/>
          <w:b/>
          <w:bCs/>
        </w:rPr>
      </w:pPr>
    </w:p>
    <w:p w14:paraId="7EB35BC2" w14:textId="77777777" w:rsidR="00561B22" w:rsidRPr="00BC2B82" w:rsidRDefault="00561B22" w:rsidP="00561B22">
      <w:pPr>
        <w:pStyle w:val="Textoindependiente"/>
        <w:ind w:right="-50"/>
        <w:jc w:val="both"/>
        <w:rPr>
          <w:rFonts w:ascii="Arial" w:hAnsi="Arial" w:cs="Arial"/>
          <w:b/>
          <w:bCs/>
        </w:rPr>
      </w:pPr>
      <w:r w:rsidRPr="00BC2B82">
        <w:rPr>
          <w:rFonts w:ascii="Arial" w:hAnsi="Arial" w:cs="Arial"/>
          <w:b/>
          <w:bCs/>
        </w:rPr>
        <w:t>Del informe enviado retomamos lo siguiente:</w:t>
      </w:r>
    </w:p>
    <w:p w14:paraId="41D419D0" w14:textId="77777777" w:rsidR="00561B22" w:rsidRPr="00BC2B8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BC2B82" w14:paraId="63712607" w14:textId="77777777" w:rsidTr="00F1223B">
        <w:tc>
          <w:tcPr>
            <w:tcW w:w="846" w:type="dxa"/>
          </w:tcPr>
          <w:p w14:paraId="00EF0F9E" w14:textId="77777777" w:rsidR="00561B22" w:rsidRPr="00BC2B82" w:rsidRDefault="00561B22" w:rsidP="00F1223B">
            <w:pPr>
              <w:ind w:right="-109"/>
              <w:jc w:val="center"/>
              <w:rPr>
                <w:rFonts w:ascii="Arial" w:hAnsi="Arial" w:cs="Arial"/>
                <w:b/>
                <w:sz w:val="22"/>
                <w:szCs w:val="22"/>
                <w:lang w:val="es-MX"/>
              </w:rPr>
            </w:pPr>
            <w:r w:rsidRPr="00BC2B82">
              <w:rPr>
                <w:rFonts w:ascii="Arial" w:hAnsi="Arial" w:cs="Arial"/>
                <w:b/>
                <w:sz w:val="22"/>
                <w:szCs w:val="22"/>
                <w:lang w:val="es-MX"/>
              </w:rPr>
              <w:t>N°</w:t>
            </w:r>
          </w:p>
        </w:tc>
        <w:tc>
          <w:tcPr>
            <w:tcW w:w="9116" w:type="dxa"/>
          </w:tcPr>
          <w:p w14:paraId="6E36C5B6" w14:textId="77777777" w:rsidR="00561B22" w:rsidRPr="00BC2B82" w:rsidRDefault="00561B22" w:rsidP="00F1223B">
            <w:pPr>
              <w:jc w:val="center"/>
              <w:rPr>
                <w:rFonts w:ascii="Arial" w:hAnsi="Arial" w:cs="Arial"/>
                <w:b/>
                <w:sz w:val="22"/>
                <w:szCs w:val="22"/>
                <w:lang w:val="es-MX"/>
              </w:rPr>
            </w:pPr>
            <w:r w:rsidRPr="00BC2B82">
              <w:rPr>
                <w:rFonts w:ascii="Arial" w:hAnsi="Arial" w:cs="Arial"/>
                <w:b/>
                <w:sz w:val="22"/>
                <w:szCs w:val="22"/>
                <w:lang w:val="es-MX"/>
              </w:rPr>
              <w:t>RECOMENDACIONES</w:t>
            </w:r>
          </w:p>
          <w:p w14:paraId="464BC27E" w14:textId="77777777" w:rsidR="00561B22" w:rsidRPr="00BC2B82" w:rsidRDefault="00561B22" w:rsidP="00F1223B">
            <w:pPr>
              <w:jc w:val="center"/>
              <w:rPr>
                <w:rFonts w:ascii="Arial" w:hAnsi="Arial" w:cs="Arial"/>
                <w:b/>
                <w:sz w:val="22"/>
                <w:szCs w:val="22"/>
                <w:lang w:val="es-MX"/>
              </w:rPr>
            </w:pPr>
          </w:p>
        </w:tc>
      </w:tr>
      <w:tr w:rsidR="00561B22" w:rsidRPr="00BC2B82" w14:paraId="17ABC57E" w14:textId="77777777" w:rsidTr="00F1223B">
        <w:tc>
          <w:tcPr>
            <w:tcW w:w="846" w:type="dxa"/>
          </w:tcPr>
          <w:p w14:paraId="06CCB49C" w14:textId="77777777" w:rsidR="00561B22" w:rsidRPr="00BC2B82" w:rsidRDefault="00561B22" w:rsidP="00F1223B">
            <w:pPr>
              <w:jc w:val="center"/>
              <w:rPr>
                <w:rFonts w:ascii="Arial" w:hAnsi="Arial" w:cs="Arial"/>
                <w:b/>
                <w:sz w:val="22"/>
                <w:szCs w:val="22"/>
                <w:lang w:val="es-MX"/>
              </w:rPr>
            </w:pPr>
            <w:r w:rsidRPr="00BC2B82">
              <w:rPr>
                <w:rFonts w:ascii="Arial" w:hAnsi="Arial" w:cs="Arial"/>
                <w:b/>
                <w:sz w:val="22"/>
                <w:szCs w:val="22"/>
                <w:lang w:val="es-MX"/>
              </w:rPr>
              <w:t>1</w:t>
            </w:r>
          </w:p>
        </w:tc>
        <w:tc>
          <w:tcPr>
            <w:tcW w:w="9116" w:type="dxa"/>
          </w:tcPr>
          <w:p w14:paraId="763984E2" w14:textId="77777777" w:rsidR="00561B22" w:rsidRPr="00BC2B82" w:rsidRDefault="00561B22" w:rsidP="00F1223B">
            <w:pPr>
              <w:jc w:val="both"/>
              <w:rPr>
                <w:rFonts w:ascii="Arial" w:hAnsi="Arial" w:cs="Arial"/>
                <w:sz w:val="22"/>
                <w:szCs w:val="22"/>
                <w:lang w:val="es-MX"/>
              </w:rPr>
            </w:pPr>
            <w:r w:rsidRPr="00BC2B82">
              <w:rPr>
                <w:rFonts w:ascii="Arial" w:eastAsia="Times New Roman" w:hAnsi="Arial" w:cs="Arial"/>
                <w:sz w:val="22"/>
                <w:szCs w:val="22"/>
                <w:lang w:val="es-CO"/>
              </w:rPr>
              <w:t>Realizar las acciones de mejora para dar cumplimiento al plan de mejoramiento suscrito con la Contraloría General de la República.</w:t>
            </w:r>
          </w:p>
        </w:tc>
      </w:tr>
    </w:tbl>
    <w:p w14:paraId="33C44220" w14:textId="77777777" w:rsidR="00561B22" w:rsidRPr="00BC2B82" w:rsidRDefault="00561B22" w:rsidP="00561B22">
      <w:pPr>
        <w:jc w:val="both"/>
        <w:rPr>
          <w:rFonts w:ascii="Arial" w:hAnsi="Arial" w:cs="Arial"/>
        </w:rPr>
      </w:pPr>
    </w:p>
    <w:p w14:paraId="0B2986D1" w14:textId="77777777" w:rsidR="00561B22" w:rsidRPr="00FC4E91" w:rsidRDefault="00561B22" w:rsidP="00561B22">
      <w:pPr>
        <w:jc w:val="both"/>
        <w:rPr>
          <w:rFonts w:ascii="Arial" w:hAnsi="Arial" w:cs="Arial"/>
          <w:b/>
          <w:sz w:val="28"/>
          <w:szCs w:val="28"/>
          <w:lang w:val="es-MX"/>
        </w:rPr>
      </w:pPr>
      <w:r w:rsidRPr="00FC4E91">
        <w:rPr>
          <w:rFonts w:ascii="Arial" w:hAnsi="Arial" w:cs="Arial"/>
          <w:b/>
          <w:sz w:val="28"/>
          <w:szCs w:val="28"/>
          <w:lang w:val="es-MX"/>
        </w:rPr>
        <w:t>44.- UNIDAD DE INFORMACION Y ANALISIS FINANCIERO - UIAF.</w:t>
      </w:r>
    </w:p>
    <w:p w14:paraId="5325B473" w14:textId="77777777" w:rsidR="00561B22" w:rsidRPr="000C7351" w:rsidRDefault="00561B22" w:rsidP="00561B22">
      <w:pPr>
        <w:ind w:left="-284"/>
        <w:jc w:val="both"/>
        <w:rPr>
          <w:rFonts w:ascii="Arial" w:hAnsi="Arial" w:cs="Arial"/>
          <w:sz w:val="28"/>
          <w:szCs w:val="28"/>
          <w:lang w:val="es-MX"/>
        </w:rPr>
      </w:pPr>
    </w:p>
    <w:p w14:paraId="68888647" w14:textId="77777777" w:rsidR="00561B22" w:rsidRPr="000C7351" w:rsidRDefault="00561B22" w:rsidP="00561B22">
      <w:pPr>
        <w:pStyle w:val="Textoindependiente"/>
        <w:ind w:right="-50"/>
        <w:jc w:val="center"/>
        <w:rPr>
          <w:rFonts w:ascii="Arial" w:hAnsi="Arial" w:cs="Arial"/>
          <w:b/>
          <w:bCs/>
        </w:rPr>
      </w:pPr>
      <w:r w:rsidRPr="000C7351">
        <w:rPr>
          <w:rFonts w:ascii="Arial" w:hAnsi="Arial" w:cs="Arial"/>
          <w:b/>
          <w:bCs/>
        </w:rPr>
        <w:t>INFORME DE LA AUTOCALIFICACIÓN DEL SISTEMA DE CONTROL INTERNO CONTABLE:</w:t>
      </w:r>
    </w:p>
    <w:p w14:paraId="58943E37" w14:textId="77777777" w:rsidR="00561B22" w:rsidRPr="000C735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C7351" w14:paraId="139C580E" w14:textId="77777777" w:rsidTr="00F1223B">
        <w:tc>
          <w:tcPr>
            <w:tcW w:w="4981" w:type="dxa"/>
          </w:tcPr>
          <w:p w14:paraId="4A239773" w14:textId="77777777" w:rsidR="00561B22" w:rsidRPr="000C7351" w:rsidRDefault="00561B22" w:rsidP="00F1223B">
            <w:pPr>
              <w:jc w:val="center"/>
              <w:rPr>
                <w:rFonts w:ascii="Arial" w:hAnsi="Arial" w:cs="Arial"/>
                <w:b/>
                <w:sz w:val="22"/>
                <w:szCs w:val="22"/>
                <w:lang w:val="es-MX"/>
              </w:rPr>
            </w:pPr>
            <w:r w:rsidRPr="000C7351">
              <w:rPr>
                <w:rFonts w:ascii="Arial" w:hAnsi="Arial" w:cs="Arial"/>
                <w:b/>
                <w:sz w:val="22"/>
                <w:szCs w:val="22"/>
                <w:lang w:val="es-MX"/>
              </w:rPr>
              <w:lastRenderedPageBreak/>
              <w:t>AUTOCALIFICACIÓN</w:t>
            </w:r>
          </w:p>
        </w:tc>
        <w:tc>
          <w:tcPr>
            <w:tcW w:w="4981" w:type="dxa"/>
          </w:tcPr>
          <w:p w14:paraId="5275FDF4" w14:textId="77777777" w:rsidR="00561B22" w:rsidRPr="000C7351" w:rsidRDefault="00561B22" w:rsidP="00F1223B">
            <w:pPr>
              <w:jc w:val="center"/>
              <w:rPr>
                <w:rFonts w:ascii="Arial" w:hAnsi="Arial" w:cs="Arial"/>
                <w:b/>
                <w:sz w:val="22"/>
                <w:szCs w:val="22"/>
                <w:u w:val="single"/>
                <w:lang w:val="es-MX"/>
              </w:rPr>
            </w:pPr>
            <w:r w:rsidRPr="000C7351">
              <w:rPr>
                <w:rFonts w:ascii="Arial" w:hAnsi="Arial" w:cs="Arial"/>
                <w:b/>
                <w:sz w:val="22"/>
                <w:szCs w:val="22"/>
                <w:u w:val="single"/>
                <w:lang w:val="es-MX"/>
              </w:rPr>
              <w:t>4.68</w:t>
            </w:r>
          </w:p>
        </w:tc>
      </w:tr>
    </w:tbl>
    <w:p w14:paraId="6FEABF77" w14:textId="77777777" w:rsidR="00561B22" w:rsidRPr="000C7351" w:rsidRDefault="00561B22" w:rsidP="00561B22">
      <w:pPr>
        <w:pStyle w:val="Textoindependiente"/>
        <w:ind w:right="-50"/>
        <w:jc w:val="both"/>
        <w:rPr>
          <w:rFonts w:ascii="Arial" w:hAnsi="Arial" w:cs="Arial"/>
          <w:b/>
          <w:bCs/>
        </w:rPr>
      </w:pPr>
    </w:p>
    <w:p w14:paraId="1BC022C8" w14:textId="77777777" w:rsidR="00561B22" w:rsidRPr="000C7351" w:rsidRDefault="00561B22" w:rsidP="00561B22">
      <w:pPr>
        <w:pStyle w:val="Textoindependiente"/>
        <w:ind w:right="-50"/>
        <w:jc w:val="both"/>
        <w:rPr>
          <w:rFonts w:ascii="Arial" w:hAnsi="Arial" w:cs="Arial"/>
          <w:b/>
          <w:bCs/>
        </w:rPr>
      </w:pPr>
      <w:r w:rsidRPr="000C7351">
        <w:rPr>
          <w:rFonts w:ascii="Arial" w:hAnsi="Arial" w:cs="Arial"/>
          <w:b/>
          <w:bCs/>
        </w:rPr>
        <w:t>Del informe enviado retomamos lo siguiente:</w:t>
      </w:r>
    </w:p>
    <w:p w14:paraId="35031186" w14:textId="77777777" w:rsidR="00561B22" w:rsidRPr="000C735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0C7351" w14:paraId="1403DE8C" w14:textId="77777777" w:rsidTr="00F1223B">
        <w:tc>
          <w:tcPr>
            <w:tcW w:w="846" w:type="dxa"/>
          </w:tcPr>
          <w:p w14:paraId="51C4045D" w14:textId="77777777" w:rsidR="00561B22" w:rsidRPr="000C7351" w:rsidRDefault="00561B22" w:rsidP="00F1223B">
            <w:pPr>
              <w:ind w:right="-109"/>
              <w:jc w:val="center"/>
              <w:rPr>
                <w:rFonts w:ascii="Arial" w:hAnsi="Arial" w:cs="Arial"/>
                <w:b/>
                <w:sz w:val="22"/>
                <w:szCs w:val="22"/>
                <w:lang w:val="es-MX"/>
              </w:rPr>
            </w:pPr>
            <w:r w:rsidRPr="000C7351">
              <w:rPr>
                <w:rFonts w:ascii="Arial" w:hAnsi="Arial" w:cs="Arial"/>
                <w:b/>
                <w:sz w:val="22"/>
                <w:szCs w:val="22"/>
                <w:lang w:val="es-MX"/>
              </w:rPr>
              <w:t>N°</w:t>
            </w:r>
          </w:p>
        </w:tc>
        <w:tc>
          <w:tcPr>
            <w:tcW w:w="9116" w:type="dxa"/>
          </w:tcPr>
          <w:p w14:paraId="67E856F3" w14:textId="77777777" w:rsidR="00561B22" w:rsidRPr="000C7351" w:rsidRDefault="00561B22" w:rsidP="00F1223B">
            <w:pPr>
              <w:jc w:val="center"/>
              <w:rPr>
                <w:rFonts w:ascii="Arial" w:hAnsi="Arial" w:cs="Arial"/>
                <w:b/>
                <w:sz w:val="22"/>
                <w:szCs w:val="22"/>
                <w:lang w:val="es-MX"/>
              </w:rPr>
            </w:pPr>
            <w:r w:rsidRPr="000C7351">
              <w:rPr>
                <w:rFonts w:ascii="Arial" w:hAnsi="Arial" w:cs="Arial"/>
                <w:b/>
                <w:sz w:val="22"/>
                <w:szCs w:val="22"/>
                <w:lang w:val="es-MX"/>
              </w:rPr>
              <w:t>DEBILIDADES</w:t>
            </w:r>
          </w:p>
          <w:p w14:paraId="575C8915" w14:textId="77777777" w:rsidR="00561B22" w:rsidRPr="000C7351" w:rsidRDefault="00561B22" w:rsidP="00F1223B">
            <w:pPr>
              <w:jc w:val="center"/>
              <w:rPr>
                <w:rFonts w:ascii="Arial" w:hAnsi="Arial" w:cs="Arial"/>
                <w:b/>
                <w:sz w:val="22"/>
                <w:szCs w:val="22"/>
                <w:lang w:val="es-MX"/>
              </w:rPr>
            </w:pPr>
          </w:p>
        </w:tc>
      </w:tr>
      <w:tr w:rsidR="00561B22" w:rsidRPr="000C7351" w14:paraId="3662D895" w14:textId="77777777" w:rsidTr="00F1223B">
        <w:tc>
          <w:tcPr>
            <w:tcW w:w="846" w:type="dxa"/>
          </w:tcPr>
          <w:p w14:paraId="737D5442" w14:textId="77777777" w:rsidR="00561B22" w:rsidRPr="000C7351" w:rsidRDefault="00561B22" w:rsidP="00F1223B">
            <w:pPr>
              <w:jc w:val="center"/>
              <w:rPr>
                <w:rFonts w:ascii="Arial" w:hAnsi="Arial" w:cs="Arial"/>
                <w:b/>
                <w:sz w:val="22"/>
                <w:szCs w:val="22"/>
                <w:lang w:val="es-MX"/>
              </w:rPr>
            </w:pPr>
            <w:r w:rsidRPr="000C7351">
              <w:rPr>
                <w:rFonts w:ascii="Arial" w:hAnsi="Arial" w:cs="Arial"/>
                <w:b/>
                <w:sz w:val="22"/>
                <w:szCs w:val="22"/>
                <w:lang w:val="es-MX"/>
              </w:rPr>
              <w:t>1</w:t>
            </w:r>
          </w:p>
        </w:tc>
        <w:tc>
          <w:tcPr>
            <w:tcW w:w="9116" w:type="dxa"/>
          </w:tcPr>
          <w:p w14:paraId="2A16590C" w14:textId="0C2F3401" w:rsidR="00561B22" w:rsidRPr="000C7351" w:rsidRDefault="00561B22" w:rsidP="00F1223B">
            <w:pPr>
              <w:jc w:val="both"/>
              <w:rPr>
                <w:rFonts w:ascii="Arial" w:hAnsi="Arial" w:cs="Arial"/>
                <w:sz w:val="22"/>
                <w:szCs w:val="22"/>
                <w:lang w:val="es-MX"/>
              </w:rPr>
            </w:pPr>
            <w:r w:rsidRPr="000C7351">
              <w:rPr>
                <w:rFonts w:ascii="Arial" w:hAnsi="Arial" w:cs="Arial"/>
                <w:sz w:val="22"/>
                <w:szCs w:val="22"/>
                <w:lang w:val="es-CO"/>
              </w:rPr>
              <w:t xml:space="preserve">No se encuentran actualizados: el Procedimiento General </w:t>
            </w:r>
            <w:r w:rsidR="0008150C" w:rsidRPr="000C7351">
              <w:rPr>
                <w:rFonts w:ascii="Arial" w:hAnsi="Arial" w:cs="Arial"/>
                <w:sz w:val="22"/>
                <w:szCs w:val="22"/>
                <w:lang w:val="es-CO"/>
              </w:rPr>
              <w:t>Contable,</w:t>
            </w:r>
            <w:r w:rsidRPr="000C7351">
              <w:rPr>
                <w:rFonts w:ascii="Arial" w:hAnsi="Arial" w:cs="Arial"/>
                <w:sz w:val="22"/>
                <w:szCs w:val="22"/>
                <w:lang w:val="es-CO"/>
              </w:rPr>
              <w:t xml:space="preserve"> los riesgos respectivos que se puedan derivar al respecto</w:t>
            </w:r>
          </w:p>
        </w:tc>
      </w:tr>
    </w:tbl>
    <w:p w14:paraId="091BA0F4" w14:textId="77777777" w:rsidR="00561B22" w:rsidRPr="000C7351" w:rsidRDefault="00561B22" w:rsidP="00561B22">
      <w:pPr>
        <w:pStyle w:val="Textoindependiente"/>
        <w:ind w:right="-50"/>
        <w:jc w:val="both"/>
        <w:rPr>
          <w:rFonts w:ascii="Arial" w:hAnsi="Arial" w:cs="Arial"/>
          <w:b/>
          <w:bCs/>
        </w:rPr>
      </w:pPr>
    </w:p>
    <w:p w14:paraId="03FA556F" w14:textId="77777777" w:rsidR="00561B22" w:rsidRPr="000C7351" w:rsidRDefault="00561B22" w:rsidP="00561B22">
      <w:pPr>
        <w:jc w:val="both"/>
        <w:rPr>
          <w:rFonts w:ascii="Arial" w:hAnsi="Arial" w:cs="Arial"/>
          <w:b/>
          <w:lang w:val="es-MX"/>
        </w:rPr>
      </w:pPr>
      <w:r w:rsidRPr="000C7351">
        <w:rPr>
          <w:rFonts w:ascii="Arial" w:hAnsi="Arial" w:cs="Arial"/>
          <w:b/>
          <w:lang w:val="es-MX"/>
        </w:rPr>
        <w:t>Del citado informe retomamos las siguientes recomendaciones:</w:t>
      </w:r>
    </w:p>
    <w:p w14:paraId="35AC3DEB" w14:textId="77777777" w:rsidR="00561B22" w:rsidRPr="000C735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0C7351" w14:paraId="29C97331" w14:textId="77777777" w:rsidTr="00F1223B">
        <w:tc>
          <w:tcPr>
            <w:tcW w:w="846" w:type="dxa"/>
          </w:tcPr>
          <w:p w14:paraId="2BD03BDC" w14:textId="77777777" w:rsidR="00561B22" w:rsidRPr="000C7351" w:rsidRDefault="00561B22" w:rsidP="00F1223B">
            <w:pPr>
              <w:ind w:right="-109"/>
              <w:jc w:val="center"/>
              <w:rPr>
                <w:rFonts w:ascii="Arial" w:hAnsi="Arial" w:cs="Arial"/>
                <w:b/>
                <w:sz w:val="22"/>
                <w:szCs w:val="22"/>
                <w:lang w:val="es-MX"/>
              </w:rPr>
            </w:pPr>
            <w:r w:rsidRPr="000C7351">
              <w:rPr>
                <w:rFonts w:ascii="Arial" w:hAnsi="Arial" w:cs="Arial"/>
                <w:b/>
                <w:sz w:val="22"/>
                <w:szCs w:val="22"/>
                <w:lang w:val="es-MX"/>
              </w:rPr>
              <w:t>N°</w:t>
            </w:r>
          </w:p>
        </w:tc>
        <w:tc>
          <w:tcPr>
            <w:tcW w:w="9116" w:type="dxa"/>
          </w:tcPr>
          <w:p w14:paraId="6E953871" w14:textId="77777777" w:rsidR="00561B22" w:rsidRPr="000C7351" w:rsidRDefault="00561B22" w:rsidP="00F1223B">
            <w:pPr>
              <w:jc w:val="center"/>
              <w:rPr>
                <w:rFonts w:ascii="Arial" w:hAnsi="Arial" w:cs="Arial"/>
                <w:b/>
                <w:sz w:val="22"/>
                <w:szCs w:val="22"/>
                <w:lang w:val="es-MX"/>
              </w:rPr>
            </w:pPr>
            <w:r w:rsidRPr="000C7351">
              <w:rPr>
                <w:rFonts w:ascii="Arial" w:hAnsi="Arial" w:cs="Arial"/>
                <w:b/>
                <w:sz w:val="22"/>
                <w:szCs w:val="22"/>
                <w:lang w:val="es-MX"/>
              </w:rPr>
              <w:t>RECOMENDACIONES</w:t>
            </w:r>
          </w:p>
          <w:p w14:paraId="6DA338DD" w14:textId="77777777" w:rsidR="00561B22" w:rsidRPr="000C7351" w:rsidRDefault="00561B22" w:rsidP="00F1223B">
            <w:pPr>
              <w:jc w:val="center"/>
              <w:rPr>
                <w:rFonts w:ascii="Arial" w:hAnsi="Arial" w:cs="Arial"/>
                <w:b/>
                <w:sz w:val="22"/>
                <w:szCs w:val="22"/>
                <w:lang w:val="es-MX"/>
              </w:rPr>
            </w:pPr>
          </w:p>
        </w:tc>
      </w:tr>
      <w:tr w:rsidR="00561B22" w:rsidRPr="000C7351" w14:paraId="6DDDD502" w14:textId="77777777" w:rsidTr="00F1223B">
        <w:tc>
          <w:tcPr>
            <w:tcW w:w="846" w:type="dxa"/>
          </w:tcPr>
          <w:p w14:paraId="3054F0D9" w14:textId="77777777" w:rsidR="00561B22" w:rsidRPr="000C7351" w:rsidRDefault="00561B22" w:rsidP="00F1223B">
            <w:pPr>
              <w:jc w:val="center"/>
              <w:rPr>
                <w:rFonts w:ascii="Arial" w:hAnsi="Arial" w:cs="Arial"/>
                <w:b/>
                <w:sz w:val="22"/>
                <w:szCs w:val="22"/>
                <w:lang w:val="es-MX"/>
              </w:rPr>
            </w:pPr>
            <w:r w:rsidRPr="000C7351">
              <w:rPr>
                <w:rFonts w:ascii="Arial" w:hAnsi="Arial" w:cs="Arial"/>
                <w:b/>
                <w:sz w:val="22"/>
                <w:szCs w:val="22"/>
                <w:lang w:val="es-MX"/>
              </w:rPr>
              <w:t>1</w:t>
            </w:r>
          </w:p>
        </w:tc>
        <w:tc>
          <w:tcPr>
            <w:tcW w:w="9116" w:type="dxa"/>
          </w:tcPr>
          <w:p w14:paraId="45A88AB3" w14:textId="77777777" w:rsidR="00561B22" w:rsidRPr="000C7351" w:rsidRDefault="00561B22" w:rsidP="00F1223B">
            <w:pPr>
              <w:jc w:val="both"/>
              <w:rPr>
                <w:rFonts w:ascii="Arial" w:hAnsi="Arial" w:cs="Arial"/>
                <w:sz w:val="22"/>
                <w:szCs w:val="22"/>
                <w:lang w:val="es-MX"/>
              </w:rPr>
            </w:pPr>
            <w:r w:rsidRPr="000C7351">
              <w:rPr>
                <w:rFonts w:ascii="Arial" w:hAnsi="Arial" w:cs="Arial"/>
                <w:sz w:val="22"/>
                <w:szCs w:val="22"/>
                <w:lang w:val="es-CO"/>
              </w:rPr>
              <w:t>Se sugiere el estudio y análisis referente al tratamiento de los riesgos actualizando según la metodología aprobada por el DAF</w:t>
            </w:r>
          </w:p>
        </w:tc>
      </w:tr>
    </w:tbl>
    <w:p w14:paraId="7241A1B6" w14:textId="77777777" w:rsidR="00561B22" w:rsidRPr="000C7351" w:rsidRDefault="00561B22" w:rsidP="00561B22">
      <w:pPr>
        <w:pStyle w:val="Textoindependiente"/>
        <w:ind w:right="-50"/>
        <w:jc w:val="both"/>
        <w:rPr>
          <w:rFonts w:ascii="Arial" w:hAnsi="Arial" w:cs="Arial"/>
          <w:b/>
          <w:bCs/>
          <w:sz w:val="28"/>
          <w:szCs w:val="28"/>
        </w:rPr>
      </w:pPr>
    </w:p>
    <w:p w14:paraId="5AE5CA36" w14:textId="77777777" w:rsidR="00561B22" w:rsidRPr="000C7351" w:rsidRDefault="00561B22" w:rsidP="00561B22">
      <w:pPr>
        <w:jc w:val="both"/>
        <w:rPr>
          <w:rFonts w:ascii="Arial" w:hAnsi="Arial" w:cs="Arial"/>
          <w:b/>
          <w:bCs/>
          <w:sz w:val="24"/>
          <w:szCs w:val="24"/>
          <w:lang w:val="es-CO"/>
        </w:rPr>
      </w:pPr>
      <w:r w:rsidRPr="000C7351">
        <w:rPr>
          <w:rFonts w:ascii="Arial" w:hAnsi="Arial" w:cs="Arial"/>
          <w:b/>
          <w:bCs/>
          <w:sz w:val="24"/>
          <w:szCs w:val="24"/>
          <w:lang w:val="es-CO"/>
        </w:rPr>
        <w:t xml:space="preserve">NOTA: LA ENTIDAD ENVIA LA MATRIZ DE AUTOEVALUACIÓN DEL SISTEMA DE CONTROL INTERNO CONTABLE CON ACTIVIDADES DE CONTROL REALIZADAS </w:t>
      </w:r>
      <w:r w:rsidRPr="000C7351">
        <w:rPr>
          <w:rFonts w:ascii="Arial" w:hAnsi="Arial" w:cs="Arial"/>
          <w:b/>
          <w:bCs/>
          <w:sz w:val="24"/>
          <w:szCs w:val="24"/>
          <w:u w:val="single"/>
          <w:lang w:val="es-CO"/>
        </w:rPr>
        <w:t>EN FORMA PARCIAL Y OTRAS SIMPLEMENTE INFORMAN QUE NO SE REALIZARON</w:t>
      </w:r>
      <w:r w:rsidRPr="000C7351">
        <w:rPr>
          <w:rFonts w:ascii="Arial" w:hAnsi="Arial" w:cs="Arial"/>
          <w:b/>
          <w:bCs/>
          <w:sz w:val="24"/>
          <w:szCs w:val="24"/>
          <w:lang w:val="es-CO"/>
        </w:rPr>
        <w:t>.</w:t>
      </w:r>
    </w:p>
    <w:p w14:paraId="3C8B66A3" w14:textId="77777777" w:rsidR="00561B22" w:rsidRPr="000C7351" w:rsidRDefault="00561B22" w:rsidP="00561B22">
      <w:pPr>
        <w:ind w:left="720" w:hanging="720"/>
        <w:jc w:val="both"/>
        <w:rPr>
          <w:rFonts w:ascii="Arial" w:hAnsi="Arial" w:cs="Arial"/>
          <w:b/>
          <w:bCs/>
          <w:sz w:val="24"/>
          <w:szCs w:val="24"/>
          <w:lang w:val="es-CO"/>
        </w:rPr>
      </w:pPr>
    </w:p>
    <w:p w14:paraId="4AED6011" w14:textId="77777777" w:rsidR="00561B22" w:rsidRPr="009E3665" w:rsidRDefault="00561B22" w:rsidP="00561B22">
      <w:pPr>
        <w:jc w:val="both"/>
        <w:rPr>
          <w:rFonts w:ascii="Arial" w:hAnsi="Arial" w:cs="Arial"/>
          <w:b/>
          <w:sz w:val="32"/>
          <w:szCs w:val="32"/>
        </w:rPr>
      </w:pPr>
      <w:r w:rsidRPr="009E3665">
        <w:rPr>
          <w:rFonts w:ascii="Arial" w:hAnsi="Arial" w:cs="Arial"/>
          <w:b/>
          <w:sz w:val="28"/>
          <w:szCs w:val="28"/>
          <w:lang w:val="es-MX"/>
        </w:rPr>
        <w:t xml:space="preserve">46.- </w:t>
      </w:r>
      <w:r w:rsidRPr="009E3665">
        <w:rPr>
          <w:rFonts w:ascii="Arial" w:hAnsi="Arial" w:cs="Arial"/>
          <w:b/>
          <w:sz w:val="28"/>
          <w:szCs w:val="28"/>
        </w:rPr>
        <w:t>MINISTERIO DE TECNOLOGÍAS DE LA INFORMACIÓN Y LAS COMUNICACIONES – MINTIC.</w:t>
      </w:r>
    </w:p>
    <w:p w14:paraId="0F8B58C0" w14:textId="77777777" w:rsidR="00561B22" w:rsidRDefault="00561B22" w:rsidP="00561B22">
      <w:pPr>
        <w:rPr>
          <w:rFonts w:ascii="Arial" w:hAnsi="Arial" w:cs="Arial"/>
          <w:b/>
          <w:sz w:val="28"/>
          <w:szCs w:val="28"/>
        </w:rPr>
      </w:pPr>
    </w:p>
    <w:p w14:paraId="6FD878CA" w14:textId="77777777" w:rsidR="00561B22" w:rsidRPr="00DE759A" w:rsidRDefault="00561B22" w:rsidP="00561B22">
      <w:pPr>
        <w:pStyle w:val="Textoindependiente"/>
        <w:ind w:right="-50"/>
        <w:jc w:val="center"/>
        <w:rPr>
          <w:rFonts w:ascii="Arial" w:hAnsi="Arial" w:cs="Arial"/>
          <w:b/>
          <w:bCs/>
        </w:rPr>
      </w:pPr>
      <w:r w:rsidRPr="00DE759A">
        <w:rPr>
          <w:rFonts w:ascii="Arial" w:hAnsi="Arial" w:cs="Arial"/>
          <w:b/>
          <w:bCs/>
        </w:rPr>
        <w:t>INFORME DE LA AUTOCALIFICACIÓN DEL SISTEMA DE CONTROL INTERNO CONTABLE:</w:t>
      </w:r>
    </w:p>
    <w:p w14:paraId="5E9EE2AE" w14:textId="77777777" w:rsidR="00561B22" w:rsidRPr="00DE759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E759A" w14:paraId="45927735" w14:textId="77777777" w:rsidTr="00F1223B">
        <w:tc>
          <w:tcPr>
            <w:tcW w:w="4981" w:type="dxa"/>
          </w:tcPr>
          <w:p w14:paraId="106B0C73"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AUTOCALIFICACIÓN</w:t>
            </w:r>
          </w:p>
        </w:tc>
        <w:tc>
          <w:tcPr>
            <w:tcW w:w="4981" w:type="dxa"/>
          </w:tcPr>
          <w:p w14:paraId="75C94614" w14:textId="77777777" w:rsidR="00561B22" w:rsidRPr="00DE759A" w:rsidRDefault="00561B22" w:rsidP="00F1223B">
            <w:pPr>
              <w:jc w:val="center"/>
              <w:rPr>
                <w:rFonts w:ascii="Arial" w:hAnsi="Arial" w:cs="Arial"/>
                <w:b/>
                <w:sz w:val="22"/>
                <w:szCs w:val="22"/>
                <w:u w:val="single"/>
                <w:lang w:val="es-MX"/>
              </w:rPr>
            </w:pPr>
            <w:r w:rsidRPr="00DE759A">
              <w:rPr>
                <w:rFonts w:ascii="Arial" w:hAnsi="Arial" w:cs="Arial"/>
                <w:b/>
                <w:sz w:val="22"/>
                <w:szCs w:val="22"/>
                <w:u w:val="single"/>
                <w:lang w:val="es-MX"/>
              </w:rPr>
              <w:t>4.83</w:t>
            </w:r>
          </w:p>
        </w:tc>
      </w:tr>
    </w:tbl>
    <w:p w14:paraId="1EF41588" w14:textId="77777777" w:rsidR="00561B22" w:rsidRPr="00DE759A" w:rsidRDefault="00561B22" w:rsidP="00561B22">
      <w:pPr>
        <w:pStyle w:val="Textoindependiente"/>
        <w:ind w:right="-50"/>
        <w:jc w:val="both"/>
        <w:rPr>
          <w:rFonts w:ascii="Arial" w:hAnsi="Arial" w:cs="Arial"/>
          <w:b/>
          <w:bCs/>
        </w:rPr>
      </w:pPr>
    </w:p>
    <w:p w14:paraId="14EABDC1" w14:textId="77777777" w:rsidR="00561B22" w:rsidRPr="00DE759A" w:rsidRDefault="00561B22" w:rsidP="00561B22">
      <w:pPr>
        <w:pStyle w:val="Textoindependiente"/>
        <w:ind w:right="-50"/>
        <w:jc w:val="both"/>
        <w:rPr>
          <w:rFonts w:ascii="Arial" w:hAnsi="Arial" w:cs="Arial"/>
          <w:b/>
          <w:bCs/>
        </w:rPr>
      </w:pPr>
      <w:r w:rsidRPr="00DE759A">
        <w:rPr>
          <w:rFonts w:ascii="Arial" w:hAnsi="Arial" w:cs="Arial"/>
          <w:b/>
          <w:bCs/>
        </w:rPr>
        <w:t>Del informe enviado retomamos lo siguiente:</w:t>
      </w:r>
    </w:p>
    <w:p w14:paraId="0C7E4333" w14:textId="77777777" w:rsidR="00561B22" w:rsidRPr="00DE759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DE759A" w14:paraId="4BC5C068" w14:textId="77777777" w:rsidTr="00F1223B">
        <w:tc>
          <w:tcPr>
            <w:tcW w:w="846" w:type="dxa"/>
          </w:tcPr>
          <w:p w14:paraId="62E4A3D6" w14:textId="77777777" w:rsidR="00561B22" w:rsidRPr="00DE759A" w:rsidRDefault="00561B22" w:rsidP="00F1223B">
            <w:pPr>
              <w:ind w:right="-109"/>
              <w:jc w:val="center"/>
              <w:rPr>
                <w:rFonts w:ascii="Arial" w:hAnsi="Arial" w:cs="Arial"/>
                <w:b/>
                <w:sz w:val="22"/>
                <w:szCs w:val="22"/>
                <w:lang w:val="es-MX"/>
              </w:rPr>
            </w:pPr>
            <w:r w:rsidRPr="00DE759A">
              <w:rPr>
                <w:rFonts w:ascii="Arial" w:hAnsi="Arial" w:cs="Arial"/>
                <w:b/>
                <w:sz w:val="22"/>
                <w:szCs w:val="22"/>
                <w:lang w:val="es-MX"/>
              </w:rPr>
              <w:t>N°</w:t>
            </w:r>
          </w:p>
        </w:tc>
        <w:tc>
          <w:tcPr>
            <w:tcW w:w="9116" w:type="dxa"/>
          </w:tcPr>
          <w:p w14:paraId="786E3E4D"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DEBILIDADES</w:t>
            </w:r>
          </w:p>
          <w:p w14:paraId="38590FF3" w14:textId="77777777" w:rsidR="00561B22" w:rsidRPr="00DE759A" w:rsidRDefault="00561B22" w:rsidP="00F1223B">
            <w:pPr>
              <w:jc w:val="center"/>
              <w:rPr>
                <w:rFonts w:ascii="Arial" w:hAnsi="Arial" w:cs="Arial"/>
                <w:b/>
                <w:sz w:val="22"/>
                <w:szCs w:val="22"/>
                <w:lang w:val="es-MX"/>
              </w:rPr>
            </w:pPr>
          </w:p>
        </w:tc>
      </w:tr>
      <w:tr w:rsidR="00561B22" w:rsidRPr="00DE759A" w14:paraId="36CA1868" w14:textId="77777777" w:rsidTr="00F1223B">
        <w:tc>
          <w:tcPr>
            <w:tcW w:w="846" w:type="dxa"/>
          </w:tcPr>
          <w:p w14:paraId="7C733B88"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1</w:t>
            </w:r>
          </w:p>
        </w:tc>
        <w:tc>
          <w:tcPr>
            <w:tcW w:w="9116" w:type="dxa"/>
          </w:tcPr>
          <w:p w14:paraId="6BBFC3DE" w14:textId="77777777" w:rsidR="00561B22" w:rsidRPr="00DE759A" w:rsidRDefault="00561B22" w:rsidP="00F1223B">
            <w:pPr>
              <w:jc w:val="both"/>
              <w:rPr>
                <w:rFonts w:ascii="Arial" w:hAnsi="Arial" w:cs="Arial"/>
                <w:b/>
                <w:sz w:val="22"/>
                <w:szCs w:val="22"/>
                <w:lang w:val="es-MX"/>
              </w:rPr>
            </w:pPr>
            <w:r w:rsidRPr="00DE759A">
              <w:rPr>
                <w:rFonts w:ascii="Arial" w:eastAsia="Times New Roman" w:hAnsi="Arial" w:cs="Arial"/>
                <w:sz w:val="22"/>
                <w:szCs w:val="22"/>
              </w:rPr>
              <w:t xml:space="preserve">Demoras en la gestión de la disponibilidad e idoneidad del documento que respalda la actualización del valor en libros de la colección filatélica, para llevar a cabo el registro según los lineamientos establecidos para dichos bienes. </w:t>
            </w:r>
          </w:p>
        </w:tc>
      </w:tr>
      <w:tr w:rsidR="00561B22" w:rsidRPr="00DE759A" w14:paraId="5120176C" w14:textId="77777777" w:rsidTr="00F1223B">
        <w:tc>
          <w:tcPr>
            <w:tcW w:w="846" w:type="dxa"/>
          </w:tcPr>
          <w:p w14:paraId="021711E5"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2</w:t>
            </w:r>
          </w:p>
        </w:tc>
        <w:tc>
          <w:tcPr>
            <w:tcW w:w="9116" w:type="dxa"/>
          </w:tcPr>
          <w:p w14:paraId="4A1635F0" w14:textId="77777777" w:rsidR="00561B22" w:rsidRPr="00DE759A" w:rsidRDefault="00561B22" w:rsidP="00F1223B">
            <w:pPr>
              <w:jc w:val="both"/>
              <w:rPr>
                <w:rFonts w:ascii="Arial" w:hAnsi="Arial" w:cs="Arial"/>
                <w:b/>
                <w:sz w:val="22"/>
                <w:szCs w:val="22"/>
                <w:lang w:val="es-MX"/>
              </w:rPr>
            </w:pPr>
            <w:r w:rsidRPr="00DE759A">
              <w:rPr>
                <w:rFonts w:ascii="Arial" w:eastAsia="Times New Roman" w:hAnsi="Arial" w:cs="Arial"/>
                <w:sz w:val="22"/>
                <w:szCs w:val="22"/>
              </w:rPr>
              <w:t xml:space="preserve">Se identificaron debilidades por parte de las áreas con información contable a cargo, para el reporte oportuno de los insumos requeridos para reflejar lo respectivo en los estados financieros. </w:t>
            </w:r>
          </w:p>
        </w:tc>
      </w:tr>
      <w:tr w:rsidR="00561B22" w:rsidRPr="00DE759A" w14:paraId="558F98C5" w14:textId="77777777" w:rsidTr="00F1223B">
        <w:tc>
          <w:tcPr>
            <w:tcW w:w="846" w:type="dxa"/>
          </w:tcPr>
          <w:p w14:paraId="572F75E8"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3</w:t>
            </w:r>
          </w:p>
        </w:tc>
        <w:tc>
          <w:tcPr>
            <w:tcW w:w="9116" w:type="dxa"/>
          </w:tcPr>
          <w:p w14:paraId="52CB1FCB" w14:textId="77777777" w:rsidR="00561B22" w:rsidRPr="00DE759A" w:rsidRDefault="00561B22" w:rsidP="00F1223B">
            <w:pPr>
              <w:jc w:val="both"/>
              <w:rPr>
                <w:rFonts w:ascii="Arial" w:eastAsia="Times New Roman" w:hAnsi="Arial" w:cs="Arial"/>
                <w:sz w:val="22"/>
                <w:szCs w:val="22"/>
              </w:rPr>
            </w:pPr>
            <w:r w:rsidRPr="00DE759A">
              <w:rPr>
                <w:rFonts w:ascii="Arial" w:eastAsia="Times New Roman" w:hAnsi="Arial" w:cs="Arial"/>
                <w:sz w:val="22"/>
                <w:szCs w:val="22"/>
              </w:rPr>
              <w:t xml:space="preserve">No se incluyen el plan de capacitación institucional temas contables para los funcionarios y contratistas del área. </w:t>
            </w:r>
          </w:p>
        </w:tc>
      </w:tr>
    </w:tbl>
    <w:p w14:paraId="00E4983C" w14:textId="77777777" w:rsidR="00561B22" w:rsidRPr="00DE759A" w:rsidRDefault="00561B22" w:rsidP="00561B22">
      <w:pPr>
        <w:pStyle w:val="Textoindependiente"/>
        <w:ind w:right="-50"/>
        <w:jc w:val="both"/>
        <w:rPr>
          <w:rFonts w:ascii="Arial" w:hAnsi="Arial" w:cs="Arial"/>
          <w:b/>
          <w:bCs/>
        </w:rPr>
      </w:pPr>
    </w:p>
    <w:p w14:paraId="5CB0E107" w14:textId="77777777" w:rsidR="00561B22" w:rsidRPr="00DE759A" w:rsidRDefault="00561B22" w:rsidP="00561B22">
      <w:pPr>
        <w:jc w:val="both"/>
        <w:rPr>
          <w:rFonts w:ascii="Arial" w:hAnsi="Arial" w:cs="Arial"/>
          <w:b/>
          <w:lang w:val="es-MX"/>
        </w:rPr>
      </w:pPr>
      <w:r w:rsidRPr="00DE759A">
        <w:rPr>
          <w:rFonts w:ascii="Arial" w:hAnsi="Arial" w:cs="Arial"/>
          <w:b/>
          <w:lang w:val="es-MX"/>
        </w:rPr>
        <w:t>Del citado informe retomamos las siguientes recomendaciones:</w:t>
      </w:r>
    </w:p>
    <w:p w14:paraId="08B5C255" w14:textId="77777777" w:rsidR="00561B22" w:rsidRPr="00DE759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DE759A" w14:paraId="48B28246" w14:textId="77777777" w:rsidTr="00F1223B">
        <w:tc>
          <w:tcPr>
            <w:tcW w:w="846" w:type="dxa"/>
          </w:tcPr>
          <w:p w14:paraId="3FECEE54" w14:textId="77777777" w:rsidR="00561B22" w:rsidRPr="00DE759A" w:rsidRDefault="00561B22" w:rsidP="00F1223B">
            <w:pPr>
              <w:ind w:right="-109"/>
              <w:jc w:val="center"/>
              <w:rPr>
                <w:rFonts w:ascii="Arial" w:hAnsi="Arial" w:cs="Arial"/>
                <w:b/>
                <w:sz w:val="22"/>
                <w:szCs w:val="22"/>
                <w:lang w:val="es-MX"/>
              </w:rPr>
            </w:pPr>
            <w:r w:rsidRPr="00DE759A">
              <w:rPr>
                <w:rFonts w:ascii="Arial" w:hAnsi="Arial" w:cs="Arial"/>
                <w:b/>
                <w:sz w:val="22"/>
                <w:szCs w:val="22"/>
                <w:lang w:val="es-MX"/>
              </w:rPr>
              <w:t>N°</w:t>
            </w:r>
          </w:p>
        </w:tc>
        <w:tc>
          <w:tcPr>
            <w:tcW w:w="9116" w:type="dxa"/>
          </w:tcPr>
          <w:p w14:paraId="7F7FCFDF"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RECOMENDACIONES</w:t>
            </w:r>
          </w:p>
          <w:p w14:paraId="6556A987" w14:textId="77777777" w:rsidR="00561B22" w:rsidRPr="00DE759A" w:rsidRDefault="00561B22" w:rsidP="00F1223B">
            <w:pPr>
              <w:jc w:val="center"/>
              <w:rPr>
                <w:rFonts w:ascii="Arial" w:hAnsi="Arial" w:cs="Arial"/>
                <w:b/>
                <w:sz w:val="22"/>
                <w:szCs w:val="22"/>
                <w:lang w:val="es-MX"/>
              </w:rPr>
            </w:pPr>
          </w:p>
        </w:tc>
      </w:tr>
      <w:tr w:rsidR="00561B22" w:rsidRPr="00DE759A" w14:paraId="2F8B43BA" w14:textId="77777777" w:rsidTr="00F1223B">
        <w:tc>
          <w:tcPr>
            <w:tcW w:w="846" w:type="dxa"/>
          </w:tcPr>
          <w:p w14:paraId="033C964B"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1</w:t>
            </w:r>
          </w:p>
        </w:tc>
        <w:tc>
          <w:tcPr>
            <w:tcW w:w="9116" w:type="dxa"/>
          </w:tcPr>
          <w:p w14:paraId="465E6D13" w14:textId="77777777" w:rsidR="00561B22" w:rsidRPr="00DE759A" w:rsidRDefault="00561B22" w:rsidP="00F1223B">
            <w:pPr>
              <w:jc w:val="both"/>
              <w:rPr>
                <w:rFonts w:ascii="Arial" w:hAnsi="Arial" w:cs="Arial"/>
                <w:b/>
                <w:sz w:val="22"/>
                <w:szCs w:val="22"/>
                <w:lang w:val="es-MX"/>
              </w:rPr>
            </w:pPr>
            <w:r w:rsidRPr="00DE759A">
              <w:rPr>
                <w:rFonts w:ascii="Arial" w:eastAsia="Times New Roman" w:hAnsi="Arial" w:cs="Arial"/>
                <w:sz w:val="22"/>
                <w:szCs w:val="22"/>
              </w:rPr>
              <w:t xml:space="preserve">Reforzar el rol de segunda línea de defensa que ejerce la Dirección Financiera para la interacción y apoyo a los procesos de la entidad que son generadores de información. </w:t>
            </w:r>
          </w:p>
        </w:tc>
      </w:tr>
      <w:tr w:rsidR="00561B22" w:rsidRPr="00DE759A" w14:paraId="4A379D0C" w14:textId="77777777" w:rsidTr="00F1223B">
        <w:tc>
          <w:tcPr>
            <w:tcW w:w="846" w:type="dxa"/>
          </w:tcPr>
          <w:p w14:paraId="0CB20E8A" w14:textId="77777777" w:rsidR="00561B22" w:rsidRPr="00DE759A" w:rsidRDefault="00561B22" w:rsidP="00F1223B">
            <w:pPr>
              <w:jc w:val="center"/>
              <w:rPr>
                <w:rFonts w:ascii="Arial" w:hAnsi="Arial" w:cs="Arial"/>
                <w:b/>
                <w:sz w:val="22"/>
                <w:szCs w:val="22"/>
                <w:lang w:val="es-MX"/>
              </w:rPr>
            </w:pPr>
            <w:r w:rsidRPr="00DE759A">
              <w:rPr>
                <w:rFonts w:ascii="Arial" w:hAnsi="Arial" w:cs="Arial"/>
                <w:b/>
                <w:sz w:val="22"/>
                <w:szCs w:val="22"/>
                <w:lang w:val="es-MX"/>
              </w:rPr>
              <w:t>2</w:t>
            </w:r>
          </w:p>
        </w:tc>
        <w:tc>
          <w:tcPr>
            <w:tcW w:w="9116" w:type="dxa"/>
          </w:tcPr>
          <w:p w14:paraId="25E4810D" w14:textId="77777777" w:rsidR="00561B22" w:rsidRPr="00DE759A" w:rsidRDefault="00561B22" w:rsidP="00F1223B">
            <w:pPr>
              <w:jc w:val="both"/>
              <w:rPr>
                <w:rFonts w:ascii="Arial" w:eastAsia="Times New Roman" w:hAnsi="Arial" w:cs="Arial"/>
                <w:sz w:val="22"/>
                <w:szCs w:val="22"/>
              </w:rPr>
            </w:pPr>
            <w:r w:rsidRPr="00DE759A">
              <w:rPr>
                <w:rFonts w:ascii="Arial" w:eastAsia="Times New Roman" w:hAnsi="Arial" w:cs="Arial"/>
                <w:sz w:val="22"/>
                <w:szCs w:val="22"/>
              </w:rPr>
              <w:t xml:space="preserve">Solicitar la incorporación en el Plan Institucional de Capacitación PIC capacitaciones orientadas a fortalecer el conocimiento en temas relacionados con la gestión del riesgo contable, tributario y normas de contabilidad e información financiera, así como verificar que estas capacitaciones que se desarrollen apunten al mejoramiento de las competencias. </w:t>
            </w:r>
          </w:p>
        </w:tc>
      </w:tr>
    </w:tbl>
    <w:p w14:paraId="5290C095" w14:textId="77777777" w:rsidR="00561B22" w:rsidRPr="00DE759A" w:rsidRDefault="00561B22" w:rsidP="00561B22">
      <w:pPr>
        <w:pStyle w:val="Textoindependiente"/>
        <w:ind w:right="-50"/>
        <w:jc w:val="both"/>
        <w:rPr>
          <w:rFonts w:ascii="Arial" w:hAnsi="Arial" w:cs="Arial"/>
          <w:b/>
          <w:bCs/>
        </w:rPr>
      </w:pPr>
    </w:p>
    <w:p w14:paraId="1638EB33" w14:textId="77777777" w:rsidR="00561B22" w:rsidRPr="00DE759A" w:rsidRDefault="00561B22" w:rsidP="00561B22">
      <w:pPr>
        <w:jc w:val="both"/>
        <w:rPr>
          <w:rFonts w:ascii="Arial" w:hAnsi="Arial" w:cs="Arial"/>
          <w:b/>
          <w:bCs/>
          <w:sz w:val="24"/>
          <w:szCs w:val="24"/>
          <w:lang w:val="es-CO"/>
        </w:rPr>
      </w:pPr>
      <w:r w:rsidRPr="00DE759A">
        <w:rPr>
          <w:rFonts w:ascii="Arial" w:hAnsi="Arial" w:cs="Arial"/>
          <w:b/>
          <w:bCs/>
          <w:sz w:val="24"/>
          <w:szCs w:val="24"/>
          <w:lang w:val="es-CO"/>
        </w:rPr>
        <w:lastRenderedPageBreak/>
        <w:t xml:space="preserve">NOTA: LA ENTIDAD ENVIA LA MATRIZ DE AUTOEVALUACIÓN DEL SISTEMA DE CONTROL INTERNO CONTABLE CON </w:t>
      </w:r>
      <w:r w:rsidRPr="00DE759A">
        <w:rPr>
          <w:rFonts w:ascii="Arial" w:hAnsi="Arial" w:cs="Arial"/>
          <w:b/>
          <w:bCs/>
          <w:sz w:val="24"/>
          <w:szCs w:val="24"/>
          <w:u w:val="single"/>
          <w:lang w:val="es-CO"/>
        </w:rPr>
        <w:t>ACTIVIDADES DE CONTROL REALIZADAS EN FORMA PARCIAL</w:t>
      </w:r>
      <w:r w:rsidRPr="00DE759A">
        <w:rPr>
          <w:rFonts w:ascii="Arial" w:hAnsi="Arial" w:cs="Arial"/>
          <w:b/>
          <w:bCs/>
          <w:sz w:val="24"/>
          <w:szCs w:val="24"/>
          <w:lang w:val="es-CO"/>
        </w:rPr>
        <w:t>.</w:t>
      </w:r>
    </w:p>
    <w:p w14:paraId="20A3B98E" w14:textId="77777777" w:rsidR="00561B22" w:rsidRPr="00DE759A" w:rsidRDefault="00561B22" w:rsidP="00561B22">
      <w:pPr>
        <w:pStyle w:val="Textoindependiente"/>
        <w:ind w:right="-50"/>
        <w:jc w:val="both"/>
        <w:rPr>
          <w:rFonts w:ascii="Arial" w:hAnsi="Arial" w:cs="Arial"/>
          <w:b/>
          <w:bCs/>
          <w:sz w:val="28"/>
          <w:szCs w:val="28"/>
        </w:rPr>
      </w:pPr>
    </w:p>
    <w:p w14:paraId="44122EA3" w14:textId="77777777" w:rsidR="00561B22" w:rsidRPr="00AF0A22" w:rsidRDefault="00561B22" w:rsidP="00561B22">
      <w:pPr>
        <w:jc w:val="both"/>
        <w:rPr>
          <w:rFonts w:ascii="Arial" w:hAnsi="Arial" w:cs="Arial"/>
          <w:b/>
          <w:sz w:val="28"/>
          <w:szCs w:val="28"/>
          <w:lang w:val="es-MX"/>
        </w:rPr>
      </w:pPr>
      <w:r w:rsidRPr="00AF0A22">
        <w:rPr>
          <w:rFonts w:ascii="Arial" w:hAnsi="Arial" w:cs="Arial"/>
          <w:b/>
          <w:sz w:val="28"/>
          <w:szCs w:val="28"/>
          <w:lang w:val="es-MX"/>
        </w:rPr>
        <w:t>47.- INSTITUTO COLOMBIANO DE BIENESTAR FAMILIAR – ICBF.</w:t>
      </w:r>
    </w:p>
    <w:p w14:paraId="089409F2" w14:textId="77777777" w:rsidR="00561B22" w:rsidRPr="00785039" w:rsidRDefault="00561B22" w:rsidP="00561B22">
      <w:pPr>
        <w:rPr>
          <w:rFonts w:ascii="Arial" w:hAnsi="Arial" w:cs="Arial"/>
          <w:b/>
          <w:sz w:val="28"/>
          <w:szCs w:val="28"/>
          <w:lang w:val="es-MX"/>
        </w:rPr>
      </w:pPr>
    </w:p>
    <w:p w14:paraId="324E3D84" w14:textId="77777777" w:rsidR="00561B22" w:rsidRPr="00785039" w:rsidRDefault="00561B22" w:rsidP="00561B22">
      <w:pPr>
        <w:pStyle w:val="Textoindependiente"/>
        <w:ind w:right="-50"/>
        <w:jc w:val="center"/>
        <w:rPr>
          <w:rFonts w:ascii="Arial" w:hAnsi="Arial" w:cs="Arial"/>
          <w:b/>
          <w:bCs/>
        </w:rPr>
      </w:pPr>
      <w:r w:rsidRPr="00785039">
        <w:rPr>
          <w:rFonts w:ascii="Arial" w:hAnsi="Arial" w:cs="Arial"/>
          <w:b/>
          <w:bCs/>
        </w:rPr>
        <w:t>INFORME DE LA AUTOCALIFICACIÓN DEL SISTEMA DE CONTROL INTERNO CONTABLE:</w:t>
      </w:r>
    </w:p>
    <w:p w14:paraId="7E9AB80E" w14:textId="77777777" w:rsidR="00561B22" w:rsidRPr="0078503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85039" w14:paraId="2E6C76E0" w14:textId="77777777" w:rsidTr="00F1223B">
        <w:tc>
          <w:tcPr>
            <w:tcW w:w="4981" w:type="dxa"/>
          </w:tcPr>
          <w:p w14:paraId="1093FFC1"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AUTOCALIFICACIÓN</w:t>
            </w:r>
          </w:p>
        </w:tc>
        <w:tc>
          <w:tcPr>
            <w:tcW w:w="4981" w:type="dxa"/>
          </w:tcPr>
          <w:p w14:paraId="18C73C99" w14:textId="77777777" w:rsidR="00561B22" w:rsidRPr="00785039" w:rsidRDefault="00561B22" w:rsidP="00F1223B">
            <w:pPr>
              <w:jc w:val="center"/>
              <w:rPr>
                <w:rFonts w:ascii="Arial" w:hAnsi="Arial" w:cs="Arial"/>
                <w:b/>
                <w:sz w:val="22"/>
                <w:szCs w:val="22"/>
                <w:u w:val="single"/>
                <w:lang w:val="es-MX"/>
              </w:rPr>
            </w:pPr>
            <w:r w:rsidRPr="00785039">
              <w:rPr>
                <w:rFonts w:ascii="Arial" w:hAnsi="Arial" w:cs="Arial"/>
                <w:b/>
                <w:sz w:val="22"/>
                <w:szCs w:val="22"/>
                <w:u w:val="single"/>
                <w:lang w:val="es-MX"/>
              </w:rPr>
              <w:t>4.84</w:t>
            </w:r>
          </w:p>
        </w:tc>
      </w:tr>
    </w:tbl>
    <w:p w14:paraId="1219392F" w14:textId="77777777" w:rsidR="00561B22" w:rsidRPr="00785039" w:rsidRDefault="00561B22" w:rsidP="00561B22">
      <w:pPr>
        <w:pStyle w:val="Textoindependiente"/>
        <w:ind w:right="-50"/>
        <w:jc w:val="both"/>
        <w:rPr>
          <w:rFonts w:ascii="Arial" w:hAnsi="Arial" w:cs="Arial"/>
          <w:b/>
          <w:bCs/>
        </w:rPr>
      </w:pPr>
    </w:p>
    <w:p w14:paraId="6CB37053" w14:textId="77777777" w:rsidR="00561B22" w:rsidRPr="00785039" w:rsidRDefault="00561B22" w:rsidP="00561B22">
      <w:pPr>
        <w:pStyle w:val="Textoindependiente"/>
        <w:ind w:right="-50"/>
        <w:jc w:val="both"/>
        <w:rPr>
          <w:rFonts w:ascii="Arial" w:hAnsi="Arial" w:cs="Arial"/>
          <w:b/>
          <w:bCs/>
        </w:rPr>
      </w:pPr>
      <w:r w:rsidRPr="00785039">
        <w:rPr>
          <w:rFonts w:ascii="Arial" w:hAnsi="Arial" w:cs="Arial"/>
          <w:b/>
          <w:bCs/>
        </w:rPr>
        <w:t>Del informe enviado retomamos lo siguiente:</w:t>
      </w:r>
    </w:p>
    <w:p w14:paraId="3AE91F75" w14:textId="77777777" w:rsidR="00561B22" w:rsidRPr="0078503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785039" w14:paraId="794E8DD6" w14:textId="77777777" w:rsidTr="00F1223B">
        <w:tc>
          <w:tcPr>
            <w:tcW w:w="846" w:type="dxa"/>
          </w:tcPr>
          <w:p w14:paraId="1C68965C" w14:textId="77777777" w:rsidR="00561B22" w:rsidRPr="00785039" w:rsidRDefault="00561B22" w:rsidP="00F1223B">
            <w:pPr>
              <w:ind w:right="-109"/>
              <w:jc w:val="center"/>
              <w:rPr>
                <w:rFonts w:ascii="Arial" w:hAnsi="Arial" w:cs="Arial"/>
                <w:b/>
                <w:sz w:val="22"/>
                <w:szCs w:val="22"/>
                <w:lang w:val="es-MX"/>
              </w:rPr>
            </w:pPr>
            <w:r w:rsidRPr="00785039">
              <w:rPr>
                <w:rFonts w:ascii="Arial" w:hAnsi="Arial" w:cs="Arial"/>
                <w:b/>
                <w:sz w:val="22"/>
                <w:szCs w:val="22"/>
                <w:lang w:val="es-MX"/>
              </w:rPr>
              <w:t>N°</w:t>
            </w:r>
          </w:p>
        </w:tc>
        <w:tc>
          <w:tcPr>
            <w:tcW w:w="9116" w:type="dxa"/>
          </w:tcPr>
          <w:p w14:paraId="735D0C81"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DEBILIDADES</w:t>
            </w:r>
          </w:p>
          <w:p w14:paraId="53B59CD6" w14:textId="77777777" w:rsidR="00561B22" w:rsidRPr="00785039" w:rsidRDefault="00561B22" w:rsidP="00F1223B">
            <w:pPr>
              <w:jc w:val="center"/>
              <w:rPr>
                <w:rFonts w:ascii="Arial" w:hAnsi="Arial" w:cs="Arial"/>
                <w:b/>
                <w:sz w:val="22"/>
                <w:szCs w:val="22"/>
                <w:lang w:val="es-MX"/>
              </w:rPr>
            </w:pPr>
          </w:p>
        </w:tc>
      </w:tr>
      <w:tr w:rsidR="00561B22" w:rsidRPr="00785039" w14:paraId="5A30DF26" w14:textId="77777777" w:rsidTr="00F1223B">
        <w:tc>
          <w:tcPr>
            <w:tcW w:w="846" w:type="dxa"/>
          </w:tcPr>
          <w:p w14:paraId="55A4519D"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1</w:t>
            </w:r>
          </w:p>
        </w:tc>
        <w:tc>
          <w:tcPr>
            <w:tcW w:w="9116" w:type="dxa"/>
          </w:tcPr>
          <w:p w14:paraId="1BDBCC14"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 xml:space="preserve">Se identificaron sobrestimaciones y subestimaciones en el reconocimiento contable de bienes muebles e inmuebles, partidas conciliatorias sin depurar, control de los activos entregados a terceros y registro de gastos. </w:t>
            </w:r>
          </w:p>
        </w:tc>
      </w:tr>
      <w:tr w:rsidR="00561B22" w:rsidRPr="00785039" w14:paraId="5B8851B7" w14:textId="77777777" w:rsidTr="00F1223B">
        <w:tc>
          <w:tcPr>
            <w:tcW w:w="846" w:type="dxa"/>
          </w:tcPr>
          <w:p w14:paraId="1FEDA460"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2</w:t>
            </w:r>
          </w:p>
        </w:tc>
        <w:tc>
          <w:tcPr>
            <w:tcW w:w="9116" w:type="dxa"/>
          </w:tcPr>
          <w:p w14:paraId="7AC7BC1B"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Debilidades en la autoevaluación de los controles afectando la mitigación de la totalidad de los riesgos de índole contable identificados en la matriz.</w:t>
            </w:r>
          </w:p>
        </w:tc>
      </w:tr>
      <w:tr w:rsidR="00561B22" w:rsidRPr="00785039" w14:paraId="2C4E6485" w14:textId="77777777" w:rsidTr="00F1223B">
        <w:tc>
          <w:tcPr>
            <w:tcW w:w="846" w:type="dxa"/>
          </w:tcPr>
          <w:p w14:paraId="17B3C7B4"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3</w:t>
            </w:r>
          </w:p>
        </w:tc>
        <w:tc>
          <w:tcPr>
            <w:tcW w:w="9116" w:type="dxa"/>
          </w:tcPr>
          <w:p w14:paraId="6700FF48"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Existen debilidades en el seguimiento a la gestión de cartera y conciliaciones de ingresos, lo que genera riesgos de subestimación de ingresos y sobreestimación de cartera.</w:t>
            </w:r>
          </w:p>
        </w:tc>
      </w:tr>
      <w:tr w:rsidR="00561B22" w:rsidRPr="00785039" w14:paraId="66CC4678" w14:textId="77777777" w:rsidTr="00F1223B">
        <w:tc>
          <w:tcPr>
            <w:tcW w:w="846" w:type="dxa"/>
          </w:tcPr>
          <w:p w14:paraId="5673035A"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4</w:t>
            </w:r>
          </w:p>
        </w:tc>
        <w:tc>
          <w:tcPr>
            <w:tcW w:w="9116" w:type="dxa"/>
          </w:tcPr>
          <w:p w14:paraId="15548703"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Debilidades en la actualización y conciliación de los inventarios físicos con los registros contables.</w:t>
            </w:r>
          </w:p>
        </w:tc>
      </w:tr>
    </w:tbl>
    <w:p w14:paraId="45B85544" w14:textId="77777777" w:rsidR="00561B22" w:rsidRPr="00785039" w:rsidRDefault="00561B22" w:rsidP="00561B22">
      <w:pPr>
        <w:pStyle w:val="Textoindependiente"/>
        <w:ind w:right="-50"/>
        <w:jc w:val="both"/>
        <w:rPr>
          <w:rFonts w:ascii="Arial" w:hAnsi="Arial" w:cs="Arial"/>
          <w:b/>
          <w:bCs/>
        </w:rPr>
      </w:pPr>
    </w:p>
    <w:p w14:paraId="4BABEC37" w14:textId="77777777" w:rsidR="00561B22" w:rsidRPr="00785039" w:rsidRDefault="00561B22" w:rsidP="00561B22">
      <w:pPr>
        <w:jc w:val="both"/>
        <w:rPr>
          <w:rFonts w:ascii="Arial" w:hAnsi="Arial" w:cs="Arial"/>
          <w:b/>
          <w:lang w:val="es-MX"/>
        </w:rPr>
      </w:pPr>
      <w:r w:rsidRPr="00785039">
        <w:rPr>
          <w:rFonts w:ascii="Arial" w:hAnsi="Arial" w:cs="Arial"/>
          <w:b/>
          <w:lang w:val="es-MX"/>
        </w:rPr>
        <w:t>Del citado informe retomamos las siguientes recomendaciones:</w:t>
      </w:r>
    </w:p>
    <w:p w14:paraId="1D91E402" w14:textId="77777777" w:rsidR="00561B22" w:rsidRPr="00785039"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846"/>
        <w:gridCol w:w="9116"/>
      </w:tblGrid>
      <w:tr w:rsidR="00561B22" w:rsidRPr="00785039" w14:paraId="1B917E50" w14:textId="77777777" w:rsidTr="00F1223B">
        <w:tc>
          <w:tcPr>
            <w:tcW w:w="846" w:type="dxa"/>
          </w:tcPr>
          <w:p w14:paraId="00E4D508" w14:textId="77777777" w:rsidR="00561B22" w:rsidRPr="00785039" w:rsidRDefault="00561B22" w:rsidP="00F1223B">
            <w:pPr>
              <w:ind w:right="-109"/>
              <w:jc w:val="center"/>
              <w:rPr>
                <w:rFonts w:ascii="Arial" w:hAnsi="Arial" w:cs="Arial"/>
                <w:b/>
                <w:sz w:val="22"/>
                <w:szCs w:val="22"/>
                <w:lang w:val="es-MX"/>
              </w:rPr>
            </w:pPr>
            <w:r w:rsidRPr="00785039">
              <w:rPr>
                <w:rFonts w:ascii="Arial" w:hAnsi="Arial" w:cs="Arial"/>
                <w:b/>
                <w:sz w:val="22"/>
                <w:szCs w:val="22"/>
                <w:lang w:val="es-MX"/>
              </w:rPr>
              <w:t>N°</w:t>
            </w:r>
          </w:p>
        </w:tc>
        <w:tc>
          <w:tcPr>
            <w:tcW w:w="9116" w:type="dxa"/>
          </w:tcPr>
          <w:p w14:paraId="65CD3F23"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RECOMENDACIONES</w:t>
            </w:r>
          </w:p>
          <w:p w14:paraId="0DFC1A81" w14:textId="77777777" w:rsidR="00561B22" w:rsidRPr="00785039" w:rsidRDefault="00561B22" w:rsidP="00F1223B">
            <w:pPr>
              <w:jc w:val="center"/>
              <w:rPr>
                <w:rFonts w:ascii="Arial" w:hAnsi="Arial" w:cs="Arial"/>
                <w:b/>
                <w:sz w:val="22"/>
                <w:szCs w:val="22"/>
                <w:lang w:val="es-MX"/>
              </w:rPr>
            </w:pPr>
          </w:p>
        </w:tc>
      </w:tr>
      <w:tr w:rsidR="00561B22" w:rsidRPr="00785039" w14:paraId="201A320C" w14:textId="77777777" w:rsidTr="00F1223B">
        <w:tc>
          <w:tcPr>
            <w:tcW w:w="846" w:type="dxa"/>
          </w:tcPr>
          <w:p w14:paraId="37A7866D"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1</w:t>
            </w:r>
          </w:p>
        </w:tc>
        <w:tc>
          <w:tcPr>
            <w:tcW w:w="9116" w:type="dxa"/>
          </w:tcPr>
          <w:p w14:paraId="30DCC264"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Fortalecer las actualizaciones y validaciones correspondiente a dar cumplimiento a lo dispuesto en el procedimiento Almacén e Inventarios.</w:t>
            </w:r>
          </w:p>
        </w:tc>
      </w:tr>
      <w:tr w:rsidR="00561B22" w:rsidRPr="00785039" w14:paraId="6EED72ED" w14:textId="77777777" w:rsidTr="00F1223B">
        <w:tc>
          <w:tcPr>
            <w:tcW w:w="846" w:type="dxa"/>
          </w:tcPr>
          <w:p w14:paraId="27FEC749"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2</w:t>
            </w:r>
          </w:p>
        </w:tc>
        <w:tc>
          <w:tcPr>
            <w:tcW w:w="9116" w:type="dxa"/>
          </w:tcPr>
          <w:p w14:paraId="742FF596"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Continuar con la mejora continua de los procesos de conciliación y verificación de saldos contables, garantizando la consistencia entre la información registrada en los sistemas transversales.</w:t>
            </w:r>
          </w:p>
        </w:tc>
      </w:tr>
      <w:tr w:rsidR="00561B22" w:rsidRPr="00785039" w14:paraId="2FD8C202" w14:textId="77777777" w:rsidTr="00F1223B">
        <w:tc>
          <w:tcPr>
            <w:tcW w:w="846" w:type="dxa"/>
          </w:tcPr>
          <w:p w14:paraId="265EDC9E"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3</w:t>
            </w:r>
          </w:p>
        </w:tc>
        <w:tc>
          <w:tcPr>
            <w:tcW w:w="9116" w:type="dxa"/>
          </w:tcPr>
          <w:p w14:paraId="2042703E"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Revisar al cierre de cada período contable las estimaciones de vida útil determinada para cada activo de la Entidad según aplique, con el fin de identificar oportunamente cambios significativos en su ciclo, en cumplimiento de lo establecido en el Manual de Políticas Contables de Propiedades Planta y Equipo, Medición posterior - Revisión estimaciones.</w:t>
            </w:r>
          </w:p>
        </w:tc>
      </w:tr>
      <w:tr w:rsidR="00561B22" w:rsidRPr="00785039" w14:paraId="67F047BD" w14:textId="77777777" w:rsidTr="00F1223B">
        <w:tc>
          <w:tcPr>
            <w:tcW w:w="846" w:type="dxa"/>
          </w:tcPr>
          <w:p w14:paraId="29978525"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4</w:t>
            </w:r>
          </w:p>
        </w:tc>
        <w:tc>
          <w:tcPr>
            <w:tcW w:w="9116" w:type="dxa"/>
          </w:tcPr>
          <w:p w14:paraId="34DB9BAF"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Fortalecer la socialización de las directrices, guías o procedimientos definidos en el proceso contable de manera completa y a todos los procesos involucrados en generación de hechos económicos de manera que contribuya a mejorar la oportunidad y la calidad de la información suministrada para la elaboración de los estados financieros de la entidad; así mismo, generar espacios de capacitación para el personal del área contable de la entidad, dadas las dinámicas de actualización y cambios normativos constantes que se generan desde la Contaduría General de la Nación.</w:t>
            </w:r>
          </w:p>
        </w:tc>
      </w:tr>
      <w:tr w:rsidR="00561B22" w:rsidRPr="00785039" w14:paraId="2A006F7D" w14:textId="77777777" w:rsidTr="00F1223B">
        <w:tc>
          <w:tcPr>
            <w:tcW w:w="846" w:type="dxa"/>
          </w:tcPr>
          <w:p w14:paraId="07FCFC39" w14:textId="77777777" w:rsidR="00561B22" w:rsidRPr="00785039" w:rsidRDefault="00561B22" w:rsidP="00F1223B">
            <w:pPr>
              <w:jc w:val="center"/>
              <w:rPr>
                <w:rFonts w:ascii="Arial" w:hAnsi="Arial" w:cs="Arial"/>
                <w:b/>
                <w:sz w:val="22"/>
                <w:szCs w:val="22"/>
                <w:lang w:val="es-MX"/>
              </w:rPr>
            </w:pPr>
            <w:r w:rsidRPr="00785039">
              <w:rPr>
                <w:rFonts w:ascii="Arial" w:hAnsi="Arial" w:cs="Arial"/>
                <w:b/>
                <w:sz w:val="22"/>
                <w:szCs w:val="22"/>
                <w:lang w:val="es-MX"/>
              </w:rPr>
              <w:t>5</w:t>
            </w:r>
          </w:p>
        </w:tc>
        <w:tc>
          <w:tcPr>
            <w:tcW w:w="9116" w:type="dxa"/>
          </w:tcPr>
          <w:p w14:paraId="0F64D307" w14:textId="77777777" w:rsidR="00561B22" w:rsidRPr="00785039" w:rsidRDefault="00561B22" w:rsidP="00F1223B">
            <w:pPr>
              <w:jc w:val="both"/>
              <w:rPr>
                <w:rFonts w:ascii="Arial" w:hAnsi="Arial" w:cs="Arial"/>
                <w:sz w:val="22"/>
                <w:szCs w:val="22"/>
                <w:lang w:val="es-MX"/>
              </w:rPr>
            </w:pPr>
            <w:r w:rsidRPr="00785039">
              <w:rPr>
                <w:rFonts w:ascii="Arial" w:hAnsi="Arial" w:cs="Arial"/>
                <w:sz w:val="22"/>
                <w:szCs w:val="22"/>
                <w:lang w:val="es-MX"/>
              </w:rPr>
              <w:t>Incentivar la cultura de autocontrol y autoevaluación por parte de los ejecutores directos del proceso contable y de los proveedores de información.</w:t>
            </w:r>
          </w:p>
        </w:tc>
      </w:tr>
    </w:tbl>
    <w:p w14:paraId="6DC1CDDF" w14:textId="77777777" w:rsidR="00561B22" w:rsidRPr="00785039" w:rsidRDefault="00561B22" w:rsidP="00561B22">
      <w:pPr>
        <w:pStyle w:val="Textoindependiente"/>
        <w:ind w:right="-50"/>
        <w:jc w:val="both"/>
        <w:rPr>
          <w:rFonts w:ascii="Arial" w:hAnsi="Arial" w:cs="Arial"/>
          <w:b/>
          <w:bCs/>
        </w:rPr>
      </w:pPr>
    </w:p>
    <w:p w14:paraId="3F03DE72" w14:textId="77777777" w:rsidR="00561B22" w:rsidRPr="00785039" w:rsidRDefault="00561B22" w:rsidP="00561B22">
      <w:pPr>
        <w:jc w:val="both"/>
        <w:rPr>
          <w:rFonts w:ascii="Arial" w:hAnsi="Arial" w:cs="Arial"/>
          <w:b/>
          <w:bCs/>
          <w:sz w:val="24"/>
          <w:szCs w:val="24"/>
          <w:lang w:val="es-CO"/>
        </w:rPr>
      </w:pPr>
      <w:r w:rsidRPr="00785039">
        <w:rPr>
          <w:rFonts w:ascii="Arial" w:hAnsi="Arial" w:cs="Arial"/>
          <w:b/>
          <w:bCs/>
          <w:sz w:val="24"/>
          <w:szCs w:val="24"/>
          <w:lang w:val="es-CO"/>
        </w:rPr>
        <w:t xml:space="preserve">NOTA: LA ENTIDAD ENVÍA LA MATRIZ DE AUTOEVALUACIÓN DEL SISTEMA DE CONTROL INTERNO CONTABLE CON </w:t>
      </w:r>
      <w:r w:rsidRPr="00785039">
        <w:rPr>
          <w:rFonts w:ascii="Arial" w:hAnsi="Arial" w:cs="Arial"/>
          <w:b/>
          <w:bCs/>
          <w:sz w:val="24"/>
          <w:szCs w:val="24"/>
          <w:u w:val="single"/>
          <w:lang w:val="es-CO"/>
        </w:rPr>
        <w:t>ACTIVIDADES DE CONTROL REALIZADAS EN FORMA PARCIAL</w:t>
      </w:r>
      <w:r w:rsidRPr="00785039">
        <w:rPr>
          <w:rFonts w:ascii="Arial" w:hAnsi="Arial" w:cs="Arial"/>
          <w:b/>
          <w:bCs/>
          <w:sz w:val="24"/>
          <w:szCs w:val="24"/>
          <w:lang w:val="es-CO"/>
        </w:rPr>
        <w:t>.</w:t>
      </w:r>
    </w:p>
    <w:p w14:paraId="12798DC3" w14:textId="77777777" w:rsidR="00561B22" w:rsidRDefault="00561B22" w:rsidP="00561B22">
      <w:pPr>
        <w:jc w:val="both"/>
        <w:rPr>
          <w:rFonts w:ascii="Arial" w:hAnsi="Arial" w:cs="Arial"/>
          <w:b/>
          <w:bCs/>
          <w:sz w:val="24"/>
          <w:szCs w:val="24"/>
          <w:lang w:val="es-CO"/>
        </w:rPr>
      </w:pPr>
    </w:p>
    <w:p w14:paraId="5C403D37" w14:textId="77777777" w:rsidR="00561B22" w:rsidRPr="0046177D" w:rsidRDefault="00561B22" w:rsidP="00561B22">
      <w:pPr>
        <w:jc w:val="both"/>
        <w:rPr>
          <w:rFonts w:ascii="Arial" w:hAnsi="Arial" w:cs="Arial"/>
          <w:b/>
          <w:sz w:val="28"/>
          <w:szCs w:val="28"/>
          <w:lang w:val="es-MX"/>
        </w:rPr>
      </w:pPr>
      <w:r w:rsidRPr="0046177D">
        <w:rPr>
          <w:rFonts w:ascii="Arial" w:hAnsi="Arial" w:cs="Arial"/>
          <w:b/>
          <w:sz w:val="28"/>
          <w:szCs w:val="28"/>
          <w:lang w:val="es-MX"/>
        </w:rPr>
        <w:lastRenderedPageBreak/>
        <w:t>48.- SOCIEDAD DE TELEVISIÓN DE LAS ISLAS LTDA – TELEISLAS LTDA.</w:t>
      </w:r>
    </w:p>
    <w:p w14:paraId="27795CD8" w14:textId="77777777" w:rsidR="00561B22" w:rsidRDefault="00561B22" w:rsidP="00561B22">
      <w:pPr>
        <w:jc w:val="both"/>
        <w:rPr>
          <w:rFonts w:ascii="Arial" w:hAnsi="Arial" w:cs="Arial"/>
          <w:b/>
          <w:bCs/>
          <w:sz w:val="24"/>
          <w:szCs w:val="24"/>
          <w:lang w:val="es-MX"/>
        </w:rPr>
      </w:pPr>
    </w:p>
    <w:p w14:paraId="75EB9997" w14:textId="77777777" w:rsidR="00561B22" w:rsidRPr="0046177D" w:rsidRDefault="00561B22" w:rsidP="00561B22">
      <w:pPr>
        <w:pStyle w:val="Textoindependiente"/>
        <w:ind w:right="-50"/>
        <w:jc w:val="center"/>
        <w:rPr>
          <w:rFonts w:ascii="Arial" w:hAnsi="Arial" w:cs="Arial"/>
          <w:b/>
          <w:bCs/>
        </w:rPr>
      </w:pPr>
      <w:r w:rsidRPr="0046177D">
        <w:rPr>
          <w:rFonts w:ascii="Arial" w:hAnsi="Arial" w:cs="Arial"/>
          <w:b/>
          <w:bCs/>
        </w:rPr>
        <w:t>INFORME DE LA AUTOCALIFICACIÓN DEL SISTEMA DE CONTROL INTERNO CONTABLE:</w:t>
      </w:r>
    </w:p>
    <w:p w14:paraId="6A702EDD" w14:textId="77777777" w:rsidR="00561B22" w:rsidRPr="0046177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6177D" w14:paraId="089F5879" w14:textId="77777777" w:rsidTr="00F1223B">
        <w:tc>
          <w:tcPr>
            <w:tcW w:w="4981" w:type="dxa"/>
          </w:tcPr>
          <w:p w14:paraId="6CC2BB9C" w14:textId="77777777" w:rsidR="00561B22" w:rsidRPr="0046177D" w:rsidRDefault="00561B22" w:rsidP="00F1223B">
            <w:pPr>
              <w:jc w:val="center"/>
              <w:rPr>
                <w:rFonts w:ascii="Arial" w:hAnsi="Arial" w:cs="Arial"/>
                <w:b/>
                <w:sz w:val="22"/>
                <w:szCs w:val="22"/>
                <w:lang w:val="es-MX"/>
              </w:rPr>
            </w:pPr>
            <w:r w:rsidRPr="0046177D">
              <w:rPr>
                <w:rFonts w:ascii="Arial" w:hAnsi="Arial" w:cs="Arial"/>
                <w:b/>
                <w:sz w:val="22"/>
                <w:szCs w:val="22"/>
                <w:lang w:val="es-MX"/>
              </w:rPr>
              <w:t>AUTOCALIFICACIÓN</w:t>
            </w:r>
          </w:p>
        </w:tc>
        <w:tc>
          <w:tcPr>
            <w:tcW w:w="4981" w:type="dxa"/>
          </w:tcPr>
          <w:p w14:paraId="05A43C06" w14:textId="77777777" w:rsidR="00561B22" w:rsidRPr="0046177D" w:rsidRDefault="00561B22" w:rsidP="00F1223B">
            <w:pPr>
              <w:jc w:val="center"/>
              <w:rPr>
                <w:rFonts w:ascii="Arial" w:hAnsi="Arial" w:cs="Arial"/>
                <w:b/>
                <w:sz w:val="22"/>
                <w:szCs w:val="22"/>
                <w:u w:val="single"/>
                <w:lang w:val="es-MX"/>
              </w:rPr>
            </w:pPr>
            <w:r w:rsidRPr="0046177D">
              <w:rPr>
                <w:rFonts w:ascii="Arial" w:hAnsi="Arial" w:cs="Arial"/>
                <w:b/>
                <w:sz w:val="22"/>
                <w:szCs w:val="22"/>
                <w:u w:val="single"/>
                <w:lang w:val="es-MX"/>
              </w:rPr>
              <w:t>4.81</w:t>
            </w:r>
          </w:p>
        </w:tc>
      </w:tr>
    </w:tbl>
    <w:p w14:paraId="6411C676" w14:textId="77777777" w:rsidR="00561B22" w:rsidRPr="0046177D" w:rsidRDefault="00561B22" w:rsidP="00561B22">
      <w:pPr>
        <w:pStyle w:val="Textoindependiente"/>
        <w:ind w:right="-50"/>
        <w:jc w:val="both"/>
        <w:rPr>
          <w:rFonts w:ascii="Arial" w:hAnsi="Arial" w:cs="Arial"/>
          <w:b/>
          <w:bCs/>
        </w:rPr>
      </w:pPr>
    </w:p>
    <w:p w14:paraId="18F79907" w14:textId="77777777" w:rsidR="00561B22" w:rsidRPr="0046177D" w:rsidRDefault="00561B22" w:rsidP="00561B22">
      <w:pPr>
        <w:pStyle w:val="Textoindependiente"/>
        <w:ind w:right="-50"/>
        <w:jc w:val="both"/>
        <w:rPr>
          <w:rFonts w:ascii="Arial" w:hAnsi="Arial" w:cs="Arial"/>
          <w:b/>
          <w:bCs/>
        </w:rPr>
      </w:pPr>
      <w:r w:rsidRPr="0046177D">
        <w:rPr>
          <w:rFonts w:ascii="Arial" w:hAnsi="Arial" w:cs="Arial"/>
          <w:b/>
          <w:bCs/>
        </w:rPr>
        <w:t>Del informe enviado retomamos lo siguiente:</w:t>
      </w:r>
    </w:p>
    <w:p w14:paraId="6DB65431" w14:textId="77777777" w:rsidR="00561B22" w:rsidRPr="0046177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46177D" w14:paraId="4EE1E39C" w14:textId="77777777" w:rsidTr="00F1223B">
        <w:tc>
          <w:tcPr>
            <w:tcW w:w="846" w:type="dxa"/>
          </w:tcPr>
          <w:p w14:paraId="06C8D3EA" w14:textId="77777777" w:rsidR="00561B22" w:rsidRPr="0046177D" w:rsidRDefault="00561B22" w:rsidP="00F1223B">
            <w:pPr>
              <w:ind w:right="-109"/>
              <w:jc w:val="center"/>
              <w:rPr>
                <w:rFonts w:ascii="Arial" w:hAnsi="Arial" w:cs="Arial"/>
                <w:b/>
                <w:sz w:val="22"/>
                <w:szCs w:val="22"/>
                <w:lang w:val="es-MX"/>
              </w:rPr>
            </w:pPr>
            <w:r w:rsidRPr="0046177D">
              <w:rPr>
                <w:rFonts w:ascii="Arial" w:hAnsi="Arial" w:cs="Arial"/>
                <w:b/>
                <w:sz w:val="22"/>
                <w:szCs w:val="22"/>
                <w:lang w:val="es-MX"/>
              </w:rPr>
              <w:t>N°</w:t>
            </w:r>
          </w:p>
        </w:tc>
        <w:tc>
          <w:tcPr>
            <w:tcW w:w="9116" w:type="dxa"/>
          </w:tcPr>
          <w:p w14:paraId="61767213" w14:textId="77777777" w:rsidR="00561B22" w:rsidRPr="0046177D" w:rsidRDefault="00561B22" w:rsidP="00F1223B">
            <w:pPr>
              <w:jc w:val="center"/>
              <w:rPr>
                <w:rFonts w:ascii="Arial" w:hAnsi="Arial" w:cs="Arial"/>
                <w:b/>
                <w:sz w:val="22"/>
                <w:szCs w:val="22"/>
                <w:lang w:val="es-MX"/>
              </w:rPr>
            </w:pPr>
            <w:r w:rsidRPr="0046177D">
              <w:rPr>
                <w:rFonts w:ascii="Arial" w:hAnsi="Arial" w:cs="Arial"/>
                <w:b/>
                <w:sz w:val="22"/>
                <w:szCs w:val="22"/>
                <w:lang w:val="es-MX"/>
              </w:rPr>
              <w:t>DEBILIDADES</w:t>
            </w:r>
          </w:p>
          <w:p w14:paraId="18033A57" w14:textId="77777777" w:rsidR="00561B22" w:rsidRPr="0046177D" w:rsidRDefault="00561B22" w:rsidP="00F1223B">
            <w:pPr>
              <w:jc w:val="center"/>
              <w:rPr>
                <w:rFonts w:ascii="Arial" w:hAnsi="Arial" w:cs="Arial"/>
                <w:b/>
                <w:sz w:val="22"/>
                <w:szCs w:val="22"/>
                <w:lang w:val="es-MX"/>
              </w:rPr>
            </w:pPr>
          </w:p>
        </w:tc>
      </w:tr>
      <w:tr w:rsidR="00561B22" w:rsidRPr="0046177D" w14:paraId="7C5B8691" w14:textId="77777777" w:rsidTr="00F1223B">
        <w:tc>
          <w:tcPr>
            <w:tcW w:w="846" w:type="dxa"/>
          </w:tcPr>
          <w:p w14:paraId="4AE5C6DD" w14:textId="77777777" w:rsidR="00561B22" w:rsidRPr="0046177D" w:rsidRDefault="00561B22" w:rsidP="00F1223B">
            <w:pPr>
              <w:jc w:val="center"/>
              <w:rPr>
                <w:rFonts w:ascii="Arial" w:hAnsi="Arial" w:cs="Arial"/>
                <w:b/>
                <w:sz w:val="22"/>
                <w:szCs w:val="22"/>
                <w:lang w:val="es-MX"/>
              </w:rPr>
            </w:pPr>
            <w:r w:rsidRPr="0046177D">
              <w:rPr>
                <w:rFonts w:ascii="Arial" w:hAnsi="Arial" w:cs="Arial"/>
                <w:b/>
                <w:sz w:val="22"/>
                <w:szCs w:val="22"/>
                <w:lang w:val="es-MX"/>
              </w:rPr>
              <w:t>1</w:t>
            </w:r>
          </w:p>
        </w:tc>
        <w:tc>
          <w:tcPr>
            <w:tcW w:w="9116" w:type="dxa"/>
          </w:tcPr>
          <w:p w14:paraId="6C0AFB67" w14:textId="77777777" w:rsidR="00561B22" w:rsidRPr="0046177D" w:rsidRDefault="00561B22" w:rsidP="00F1223B">
            <w:pPr>
              <w:rPr>
                <w:rFonts w:ascii="Arial" w:hAnsi="Arial" w:cs="Arial"/>
                <w:sz w:val="22"/>
                <w:szCs w:val="22"/>
                <w:lang w:val="es-MX"/>
              </w:rPr>
            </w:pPr>
            <w:r w:rsidRPr="0046177D">
              <w:rPr>
                <w:rFonts w:ascii="Arial" w:hAnsi="Arial" w:cs="Arial"/>
                <w:sz w:val="22"/>
                <w:szCs w:val="22"/>
                <w:lang w:val="es-MX"/>
              </w:rPr>
              <w:t>El Manual de Políticas Contables se encuentra desactualizado</w:t>
            </w:r>
          </w:p>
        </w:tc>
      </w:tr>
    </w:tbl>
    <w:p w14:paraId="5E465518" w14:textId="77777777" w:rsidR="00561B22" w:rsidRPr="0046177D" w:rsidRDefault="00561B22" w:rsidP="00561B22">
      <w:pPr>
        <w:pStyle w:val="Textoindependiente"/>
        <w:ind w:right="-50"/>
        <w:jc w:val="both"/>
        <w:rPr>
          <w:rFonts w:ascii="Arial" w:hAnsi="Arial" w:cs="Arial"/>
          <w:b/>
          <w:bCs/>
        </w:rPr>
      </w:pPr>
    </w:p>
    <w:p w14:paraId="4B3B73A0" w14:textId="77777777" w:rsidR="00561B22" w:rsidRPr="0046177D" w:rsidRDefault="00561B22" w:rsidP="00561B22">
      <w:pPr>
        <w:jc w:val="both"/>
        <w:rPr>
          <w:rFonts w:ascii="Arial" w:hAnsi="Arial" w:cs="Arial"/>
          <w:b/>
          <w:lang w:val="es-MX"/>
        </w:rPr>
      </w:pPr>
      <w:r w:rsidRPr="0046177D">
        <w:rPr>
          <w:rFonts w:ascii="Arial" w:hAnsi="Arial" w:cs="Arial"/>
          <w:b/>
          <w:lang w:val="es-MX"/>
        </w:rPr>
        <w:t>Del citado informe retomamos las siguientes recomendaciones:</w:t>
      </w:r>
    </w:p>
    <w:p w14:paraId="42CFAF45" w14:textId="77777777" w:rsidR="00561B22" w:rsidRPr="0046177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46177D" w14:paraId="39CF3059" w14:textId="77777777" w:rsidTr="00F1223B">
        <w:tc>
          <w:tcPr>
            <w:tcW w:w="846" w:type="dxa"/>
          </w:tcPr>
          <w:p w14:paraId="3483C45B" w14:textId="77777777" w:rsidR="00561B22" w:rsidRPr="0046177D" w:rsidRDefault="00561B22" w:rsidP="00F1223B">
            <w:pPr>
              <w:ind w:right="-109"/>
              <w:jc w:val="center"/>
              <w:rPr>
                <w:rFonts w:ascii="Arial" w:hAnsi="Arial" w:cs="Arial"/>
                <w:b/>
                <w:sz w:val="22"/>
                <w:szCs w:val="22"/>
                <w:lang w:val="es-MX"/>
              </w:rPr>
            </w:pPr>
            <w:r w:rsidRPr="0046177D">
              <w:rPr>
                <w:rFonts w:ascii="Arial" w:hAnsi="Arial" w:cs="Arial"/>
                <w:b/>
                <w:sz w:val="22"/>
                <w:szCs w:val="22"/>
                <w:lang w:val="es-MX"/>
              </w:rPr>
              <w:t>N°</w:t>
            </w:r>
          </w:p>
        </w:tc>
        <w:tc>
          <w:tcPr>
            <w:tcW w:w="9116" w:type="dxa"/>
          </w:tcPr>
          <w:p w14:paraId="3E10AC2D" w14:textId="77777777" w:rsidR="00561B22" w:rsidRPr="0046177D" w:rsidRDefault="00561B22" w:rsidP="00F1223B">
            <w:pPr>
              <w:jc w:val="center"/>
              <w:rPr>
                <w:rFonts w:ascii="Arial" w:hAnsi="Arial" w:cs="Arial"/>
                <w:b/>
                <w:sz w:val="22"/>
                <w:szCs w:val="22"/>
                <w:lang w:val="es-MX"/>
              </w:rPr>
            </w:pPr>
            <w:r w:rsidRPr="0046177D">
              <w:rPr>
                <w:rFonts w:ascii="Arial" w:hAnsi="Arial" w:cs="Arial"/>
                <w:b/>
                <w:sz w:val="22"/>
                <w:szCs w:val="22"/>
                <w:lang w:val="es-MX"/>
              </w:rPr>
              <w:t>RECOMENDACIONES</w:t>
            </w:r>
          </w:p>
          <w:p w14:paraId="20AA2160" w14:textId="77777777" w:rsidR="00561B22" w:rsidRPr="0046177D" w:rsidRDefault="00561B22" w:rsidP="00F1223B">
            <w:pPr>
              <w:jc w:val="center"/>
              <w:rPr>
                <w:rFonts w:ascii="Arial" w:hAnsi="Arial" w:cs="Arial"/>
                <w:b/>
                <w:sz w:val="22"/>
                <w:szCs w:val="22"/>
                <w:lang w:val="es-MX"/>
              </w:rPr>
            </w:pPr>
          </w:p>
        </w:tc>
      </w:tr>
      <w:tr w:rsidR="00561B22" w:rsidRPr="0046177D" w14:paraId="65E22AD4" w14:textId="77777777" w:rsidTr="00F1223B">
        <w:tc>
          <w:tcPr>
            <w:tcW w:w="846" w:type="dxa"/>
          </w:tcPr>
          <w:p w14:paraId="5C7EA351" w14:textId="77777777" w:rsidR="00561B22" w:rsidRPr="0046177D" w:rsidRDefault="00561B22" w:rsidP="00F1223B">
            <w:pPr>
              <w:jc w:val="center"/>
              <w:rPr>
                <w:rFonts w:ascii="Arial" w:hAnsi="Arial" w:cs="Arial"/>
                <w:b/>
                <w:sz w:val="22"/>
                <w:szCs w:val="22"/>
                <w:lang w:val="es-MX"/>
              </w:rPr>
            </w:pPr>
            <w:r w:rsidRPr="0046177D">
              <w:rPr>
                <w:rFonts w:ascii="Arial" w:hAnsi="Arial" w:cs="Arial"/>
                <w:b/>
                <w:sz w:val="22"/>
                <w:szCs w:val="22"/>
                <w:lang w:val="es-MX"/>
              </w:rPr>
              <w:t>1</w:t>
            </w:r>
          </w:p>
        </w:tc>
        <w:tc>
          <w:tcPr>
            <w:tcW w:w="9116" w:type="dxa"/>
          </w:tcPr>
          <w:p w14:paraId="014C443B" w14:textId="77777777" w:rsidR="00561B22" w:rsidRPr="0046177D" w:rsidRDefault="00561B22" w:rsidP="00F1223B">
            <w:pPr>
              <w:rPr>
                <w:rFonts w:ascii="Arial" w:hAnsi="Arial" w:cs="Arial"/>
                <w:sz w:val="22"/>
                <w:szCs w:val="22"/>
                <w:lang w:val="es-MX"/>
              </w:rPr>
            </w:pPr>
            <w:r w:rsidRPr="0046177D">
              <w:rPr>
                <w:rFonts w:ascii="Arial" w:hAnsi="Arial" w:cs="Arial"/>
                <w:sz w:val="22"/>
                <w:szCs w:val="22"/>
                <w:lang w:val="es-MX"/>
              </w:rPr>
              <w:t>Es prioritario actualizar y socializar el Manual de Políticas Contables, acorde con la normatividad expedida por la Contaduría General de la Nación.</w:t>
            </w:r>
          </w:p>
        </w:tc>
      </w:tr>
      <w:tr w:rsidR="00561B22" w:rsidRPr="0046177D" w14:paraId="689D5405" w14:textId="77777777" w:rsidTr="00F1223B">
        <w:tc>
          <w:tcPr>
            <w:tcW w:w="846" w:type="dxa"/>
          </w:tcPr>
          <w:p w14:paraId="3091E4FA" w14:textId="77777777" w:rsidR="00561B22" w:rsidRPr="0046177D" w:rsidRDefault="00561B22" w:rsidP="00F1223B">
            <w:pPr>
              <w:jc w:val="center"/>
              <w:rPr>
                <w:rFonts w:ascii="Arial" w:hAnsi="Arial" w:cs="Arial"/>
                <w:b/>
                <w:sz w:val="22"/>
                <w:szCs w:val="22"/>
                <w:lang w:val="es-MX"/>
              </w:rPr>
            </w:pPr>
            <w:r w:rsidRPr="0046177D">
              <w:rPr>
                <w:rFonts w:ascii="Arial" w:hAnsi="Arial" w:cs="Arial"/>
                <w:b/>
                <w:sz w:val="22"/>
                <w:szCs w:val="22"/>
                <w:lang w:val="es-MX"/>
              </w:rPr>
              <w:t>2</w:t>
            </w:r>
          </w:p>
        </w:tc>
        <w:tc>
          <w:tcPr>
            <w:tcW w:w="9116" w:type="dxa"/>
          </w:tcPr>
          <w:p w14:paraId="680A2794" w14:textId="77777777" w:rsidR="00561B22" w:rsidRPr="0046177D" w:rsidRDefault="00561B22" w:rsidP="00F1223B">
            <w:pPr>
              <w:rPr>
                <w:rFonts w:ascii="Arial" w:hAnsi="Arial" w:cs="Arial"/>
                <w:sz w:val="22"/>
                <w:szCs w:val="22"/>
                <w:lang w:val="es-MX"/>
              </w:rPr>
            </w:pPr>
            <w:r w:rsidRPr="0046177D">
              <w:rPr>
                <w:rFonts w:ascii="Arial" w:hAnsi="Arial" w:cs="Arial"/>
                <w:sz w:val="22"/>
                <w:szCs w:val="22"/>
                <w:lang w:val="es-MX"/>
              </w:rPr>
              <w:t>La contratación, el apoyo humano en la dependencia financiera y el mejoramiento del espacio público para archivar los documentos expedidos en la dependencia financiera.</w:t>
            </w:r>
          </w:p>
        </w:tc>
      </w:tr>
    </w:tbl>
    <w:p w14:paraId="76AD3C4C" w14:textId="77777777" w:rsidR="00561B22" w:rsidRPr="0046177D" w:rsidRDefault="00561B22" w:rsidP="00561B22">
      <w:pPr>
        <w:pStyle w:val="Textoindependiente"/>
        <w:ind w:right="-50"/>
        <w:jc w:val="both"/>
        <w:rPr>
          <w:rFonts w:ascii="Arial" w:hAnsi="Arial" w:cs="Arial"/>
          <w:b/>
          <w:bCs/>
        </w:rPr>
      </w:pPr>
    </w:p>
    <w:p w14:paraId="6EEF32CE" w14:textId="77777777" w:rsidR="00561B22" w:rsidRPr="0046177D" w:rsidRDefault="00561B22" w:rsidP="00561B22">
      <w:pPr>
        <w:jc w:val="both"/>
        <w:rPr>
          <w:rFonts w:ascii="Arial" w:hAnsi="Arial" w:cs="Arial"/>
          <w:b/>
          <w:bCs/>
          <w:sz w:val="24"/>
          <w:szCs w:val="24"/>
          <w:lang w:val="es-CO"/>
        </w:rPr>
      </w:pPr>
      <w:r w:rsidRPr="0046177D">
        <w:rPr>
          <w:rFonts w:ascii="Arial" w:hAnsi="Arial" w:cs="Arial"/>
          <w:b/>
          <w:bCs/>
          <w:sz w:val="24"/>
          <w:szCs w:val="24"/>
          <w:lang w:val="es-CO"/>
        </w:rPr>
        <w:t xml:space="preserve">NOTA: LA ENTIDAD ENVIA LA MATRIZ DE AUTOEVALUACIÓN DEL SISTEMA DE CONTROL INTERNO CONTABLE CON </w:t>
      </w:r>
      <w:r w:rsidRPr="0046177D">
        <w:rPr>
          <w:rFonts w:ascii="Arial" w:hAnsi="Arial" w:cs="Arial"/>
          <w:b/>
          <w:bCs/>
          <w:sz w:val="24"/>
          <w:szCs w:val="24"/>
          <w:u w:val="single"/>
          <w:lang w:val="es-CO"/>
        </w:rPr>
        <w:t>ACTIVIDADES DE CONTROL REALIZADAS EN FORMA PARCIAL</w:t>
      </w:r>
      <w:r w:rsidRPr="0046177D">
        <w:rPr>
          <w:rFonts w:ascii="Arial" w:hAnsi="Arial" w:cs="Arial"/>
          <w:b/>
          <w:bCs/>
          <w:sz w:val="24"/>
          <w:szCs w:val="24"/>
          <w:lang w:val="es-CO"/>
        </w:rPr>
        <w:t>.</w:t>
      </w:r>
    </w:p>
    <w:p w14:paraId="697D0B22" w14:textId="77777777" w:rsidR="00561B22" w:rsidRDefault="00561B22" w:rsidP="00561B22">
      <w:pPr>
        <w:pStyle w:val="Textoindependiente"/>
        <w:ind w:right="-50"/>
        <w:jc w:val="both"/>
        <w:rPr>
          <w:b/>
          <w:bCs/>
          <w:sz w:val="28"/>
          <w:szCs w:val="28"/>
        </w:rPr>
      </w:pPr>
    </w:p>
    <w:p w14:paraId="7D2112C1" w14:textId="77777777" w:rsidR="00561B22" w:rsidRPr="00B35EB9" w:rsidRDefault="00561B22" w:rsidP="00561B22">
      <w:pPr>
        <w:jc w:val="both"/>
        <w:rPr>
          <w:rFonts w:ascii="Arial" w:hAnsi="Arial" w:cs="Arial"/>
          <w:b/>
          <w:sz w:val="28"/>
          <w:szCs w:val="28"/>
          <w:lang w:val="es-MX"/>
        </w:rPr>
      </w:pPr>
      <w:r w:rsidRPr="00B35EB9">
        <w:rPr>
          <w:rFonts w:ascii="Arial" w:hAnsi="Arial" w:cs="Arial"/>
          <w:b/>
          <w:sz w:val="28"/>
          <w:szCs w:val="28"/>
          <w:lang w:val="es-MX"/>
        </w:rPr>
        <w:t>49.- BANCO DE COMERCIO EXTERIOR DE COLOMBIA S.A. - BANCOLDEX.</w:t>
      </w:r>
    </w:p>
    <w:p w14:paraId="78D97C88" w14:textId="77777777" w:rsidR="00561B22" w:rsidRDefault="00561B22" w:rsidP="00561B22">
      <w:pPr>
        <w:jc w:val="both"/>
        <w:rPr>
          <w:rFonts w:ascii="Arial" w:hAnsi="Arial" w:cs="Arial"/>
          <w:b/>
          <w:bCs/>
          <w:sz w:val="24"/>
          <w:szCs w:val="24"/>
          <w:lang w:val="es-MX"/>
        </w:rPr>
      </w:pPr>
    </w:p>
    <w:p w14:paraId="4A8B6883" w14:textId="77777777" w:rsidR="00561B22" w:rsidRPr="0048017D" w:rsidRDefault="00561B22" w:rsidP="00561B22">
      <w:pPr>
        <w:jc w:val="center"/>
        <w:rPr>
          <w:rFonts w:ascii="Arial" w:hAnsi="Arial" w:cs="Arial"/>
          <w:b/>
          <w:lang w:val="es-MX"/>
        </w:rPr>
      </w:pPr>
      <w:r w:rsidRPr="0048017D">
        <w:rPr>
          <w:rFonts w:ascii="Arial" w:hAnsi="Arial" w:cs="Arial"/>
          <w:b/>
          <w:lang w:val="es-MX"/>
        </w:rPr>
        <w:t>INFORME DE LA AUTOCALIFICACIÓN DEL SISTEMA DE CONTROL INTERNO CONTABLE:</w:t>
      </w:r>
    </w:p>
    <w:p w14:paraId="61355436" w14:textId="77777777" w:rsidR="00561B22" w:rsidRPr="0048017D"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48017D" w14:paraId="7755AA2A" w14:textId="77777777" w:rsidTr="00F1223B">
        <w:tc>
          <w:tcPr>
            <w:tcW w:w="4981" w:type="dxa"/>
          </w:tcPr>
          <w:p w14:paraId="55EC87AA"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AUTOCALIFICACIÓN</w:t>
            </w:r>
          </w:p>
        </w:tc>
        <w:tc>
          <w:tcPr>
            <w:tcW w:w="4981" w:type="dxa"/>
          </w:tcPr>
          <w:p w14:paraId="6E1D5BBF" w14:textId="77777777" w:rsidR="00561B22" w:rsidRPr="0048017D" w:rsidRDefault="00561B22" w:rsidP="00F1223B">
            <w:pPr>
              <w:jc w:val="center"/>
              <w:rPr>
                <w:rFonts w:ascii="Arial" w:hAnsi="Arial" w:cs="Arial"/>
                <w:b/>
                <w:sz w:val="22"/>
                <w:szCs w:val="22"/>
                <w:u w:val="single"/>
                <w:lang w:val="es-MX"/>
              </w:rPr>
            </w:pPr>
            <w:r w:rsidRPr="0048017D">
              <w:rPr>
                <w:rFonts w:ascii="Arial" w:hAnsi="Arial" w:cs="Arial"/>
                <w:b/>
                <w:sz w:val="22"/>
                <w:szCs w:val="22"/>
                <w:u w:val="single"/>
                <w:lang w:val="es-MX"/>
              </w:rPr>
              <w:t>4.83</w:t>
            </w:r>
          </w:p>
        </w:tc>
      </w:tr>
    </w:tbl>
    <w:p w14:paraId="2C6E1029" w14:textId="77777777" w:rsidR="00561B22" w:rsidRPr="0048017D"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48017D" w14:paraId="19425F86" w14:textId="77777777" w:rsidTr="00F1223B">
        <w:tc>
          <w:tcPr>
            <w:tcW w:w="846" w:type="dxa"/>
          </w:tcPr>
          <w:p w14:paraId="156EB4F6" w14:textId="77777777" w:rsidR="00561B22" w:rsidRPr="0048017D" w:rsidRDefault="00561B22" w:rsidP="00F1223B">
            <w:pPr>
              <w:ind w:right="-109"/>
              <w:jc w:val="center"/>
              <w:rPr>
                <w:rFonts w:ascii="Arial" w:hAnsi="Arial" w:cs="Arial"/>
                <w:b/>
                <w:sz w:val="22"/>
                <w:szCs w:val="22"/>
                <w:lang w:val="es-MX"/>
              </w:rPr>
            </w:pPr>
            <w:r w:rsidRPr="0048017D">
              <w:rPr>
                <w:rFonts w:ascii="Arial" w:hAnsi="Arial" w:cs="Arial"/>
                <w:b/>
                <w:sz w:val="22"/>
                <w:szCs w:val="22"/>
                <w:lang w:val="es-MX"/>
              </w:rPr>
              <w:t>N°</w:t>
            </w:r>
          </w:p>
        </w:tc>
        <w:tc>
          <w:tcPr>
            <w:tcW w:w="9116" w:type="dxa"/>
          </w:tcPr>
          <w:p w14:paraId="53210075"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DEBILIDADES</w:t>
            </w:r>
          </w:p>
          <w:p w14:paraId="341B6019" w14:textId="77777777" w:rsidR="00561B22" w:rsidRPr="0048017D" w:rsidRDefault="00561B22" w:rsidP="00F1223B">
            <w:pPr>
              <w:jc w:val="center"/>
              <w:rPr>
                <w:rFonts w:ascii="Arial" w:hAnsi="Arial" w:cs="Arial"/>
                <w:b/>
                <w:sz w:val="22"/>
                <w:szCs w:val="22"/>
                <w:lang w:val="es-MX"/>
              </w:rPr>
            </w:pPr>
          </w:p>
        </w:tc>
      </w:tr>
      <w:tr w:rsidR="00561B22" w:rsidRPr="0048017D" w14:paraId="1F67C379" w14:textId="77777777" w:rsidTr="00F1223B">
        <w:tc>
          <w:tcPr>
            <w:tcW w:w="846" w:type="dxa"/>
          </w:tcPr>
          <w:p w14:paraId="22575340"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1</w:t>
            </w:r>
          </w:p>
        </w:tc>
        <w:tc>
          <w:tcPr>
            <w:tcW w:w="9116" w:type="dxa"/>
          </w:tcPr>
          <w:p w14:paraId="0B21813D" w14:textId="77777777" w:rsidR="00561B22" w:rsidRPr="0048017D" w:rsidRDefault="00561B22" w:rsidP="00F1223B">
            <w:pPr>
              <w:jc w:val="both"/>
              <w:rPr>
                <w:rFonts w:ascii="Arial" w:hAnsi="Arial" w:cs="Arial"/>
                <w:sz w:val="22"/>
                <w:szCs w:val="22"/>
                <w:lang w:val="es-MX"/>
              </w:rPr>
            </w:pPr>
            <w:r w:rsidRPr="0048017D">
              <w:rPr>
                <w:rFonts w:ascii="Arial" w:hAnsi="Arial" w:cs="Arial"/>
                <w:sz w:val="22"/>
                <w:szCs w:val="22"/>
                <w:lang w:val="es-MX"/>
              </w:rPr>
              <w:t>Respecto del soporte tecnológico del Proceso Contable, se considera necesario gestionar el desarrollo de mejoras en controles que aseguren restricciones de acciones en momentos determinados de la vigencia contable.</w:t>
            </w:r>
          </w:p>
        </w:tc>
      </w:tr>
    </w:tbl>
    <w:p w14:paraId="6AC2C947" w14:textId="77777777" w:rsidR="00561B22" w:rsidRPr="0048017D" w:rsidRDefault="00561B22" w:rsidP="00561B22">
      <w:pPr>
        <w:jc w:val="both"/>
        <w:rPr>
          <w:rFonts w:ascii="Arial" w:hAnsi="Arial" w:cs="Arial"/>
          <w:b/>
          <w:lang w:val="es-MX"/>
        </w:rPr>
      </w:pPr>
    </w:p>
    <w:p w14:paraId="4DB09E35" w14:textId="77777777" w:rsidR="00561B22" w:rsidRPr="0048017D" w:rsidRDefault="00561B22" w:rsidP="00561B22">
      <w:pPr>
        <w:jc w:val="both"/>
        <w:rPr>
          <w:rFonts w:ascii="Arial" w:hAnsi="Arial" w:cs="Arial"/>
          <w:b/>
          <w:lang w:val="es-MX"/>
        </w:rPr>
      </w:pPr>
      <w:r w:rsidRPr="0048017D">
        <w:rPr>
          <w:rFonts w:ascii="Arial" w:hAnsi="Arial" w:cs="Arial"/>
          <w:b/>
          <w:lang w:val="es-MX"/>
        </w:rPr>
        <w:t>Del citado informe retomamos las siguientes recomendaciones:</w:t>
      </w:r>
    </w:p>
    <w:p w14:paraId="0BB222EF" w14:textId="77777777" w:rsidR="00561B22" w:rsidRPr="0048017D"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48017D" w14:paraId="68D00A8D" w14:textId="77777777" w:rsidTr="00F1223B">
        <w:tc>
          <w:tcPr>
            <w:tcW w:w="846" w:type="dxa"/>
          </w:tcPr>
          <w:p w14:paraId="4BF2EFD5" w14:textId="77777777" w:rsidR="00561B22" w:rsidRPr="0048017D" w:rsidRDefault="00561B22" w:rsidP="00F1223B">
            <w:pPr>
              <w:ind w:right="-109"/>
              <w:jc w:val="center"/>
              <w:rPr>
                <w:rFonts w:ascii="Arial" w:hAnsi="Arial" w:cs="Arial"/>
                <w:b/>
                <w:sz w:val="22"/>
                <w:szCs w:val="22"/>
                <w:lang w:val="es-MX"/>
              </w:rPr>
            </w:pPr>
            <w:r w:rsidRPr="0048017D">
              <w:rPr>
                <w:rFonts w:ascii="Arial" w:hAnsi="Arial" w:cs="Arial"/>
                <w:b/>
                <w:sz w:val="22"/>
                <w:szCs w:val="22"/>
                <w:lang w:val="es-MX"/>
              </w:rPr>
              <w:t>N°</w:t>
            </w:r>
          </w:p>
        </w:tc>
        <w:tc>
          <w:tcPr>
            <w:tcW w:w="9116" w:type="dxa"/>
          </w:tcPr>
          <w:p w14:paraId="41E7A362"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RECOMENDACIONES</w:t>
            </w:r>
          </w:p>
          <w:p w14:paraId="6E73BABE" w14:textId="77777777" w:rsidR="00561B22" w:rsidRPr="0048017D" w:rsidRDefault="00561B22" w:rsidP="00F1223B">
            <w:pPr>
              <w:jc w:val="center"/>
              <w:rPr>
                <w:rFonts w:ascii="Arial" w:hAnsi="Arial" w:cs="Arial"/>
                <w:b/>
                <w:sz w:val="22"/>
                <w:szCs w:val="22"/>
                <w:lang w:val="es-MX"/>
              </w:rPr>
            </w:pPr>
          </w:p>
        </w:tc>
      </w:tr>
      <w:tr w:rsidR="00561B22" w:rsidRPr="0048017D" w14:paraId="22AEC5B1" w14:textId="77777777" w:rsidTr="00F1223B">
        <w:tc>
          <w:tcPr>
            <w:tcW w:w="846" w:type="dxa"/>
          </w:tcPr>
          <w:p w14:paraId="1031A30F"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1</w:t>
            </w:r>
          </w:p>
        </w:tc>
        <w:tc>
          <w:tcPr>
            <w:tcW w:w="9116" w:type="dxa"/>
          </w:tcPr>
          <w:p w14:paraId="5B493623" w14:textId="77777777" w:rsidR="00561B22" w:rsidRPr="0048017D" w:rsidRDefault="00561B22" w:rsidP="00F1223B">
            <w:pPr>
              <w:jc w:val="both"/>
              <w:rPr>
                <w:rFonts w:ascii="Arial" w:hAnsi="Arial" w:cs="Arial"/>
                <w:sz w:val="22"/>
                <w:szCs w:val="22"/>
                <w:lang w:val="es-MX"/>
              </w:rPr>
            </w:pPr>
            <w:r w:rsidRPr="0048017D">
              <w:rPr>
                <w:rFonts w:ascii="Arial" w:hAnsi="Arial" w:cs="Arial"/>
                <w:sz w:val="22"/>
                <w:szCs w:val="22"/>
                <w:lang w:val="es-MX"/>
              </w:rPr>
              <w:t xml:space="preserve">Abordar los ajustes necesarios en políticas y medición de los aspectos de la cartera que se verían impactados al entrar en vigor las NIIF plenas para las entidades financieras, como preparación a este eventual cambio regulatorio, considerando, entre otros, aspectos como: estandarización de los procesos de generación y análisis de información de cartera, medición de impacto de rebajas de tasas, reestructuraciones, deterioro y opcionalidades. </w:t>
            </w:r>
          </w:p>
        </w:tc>
      </w:tr>
      <w:tr w:rsidR="00561B22" w:rsidRPr="0048017D" w14:paraId="3B770555" w14:textId="77777777" w:rsidTr="00F1223B">
        <w:tc>
          <w:tcPr>
            <w:tcW w:w="846" w:type="dxa"/>
          </w:tcPr>
          <w:p w14:paraId="25E2DD23"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2</w:t>
            </w:r>
          </w:p>
        </w:tc>
        <w:tc>
          <w:tcPr>
            <w:tcW w:w="9116" w:type="dxa"/>
          </w:tcPr>
          <w:p w14:paraId="0B4A4649" w14:textId="77777777" w:rsidR="00561B22" w:rsidRPr="0048017D" w:rsidRDefault="00561B22" w:rsidP="00F1223B">
            <w:pPr>
              <w:jc w:val="both"/>
              <w:rPr>
                <w:rFonts w:ascii="Arial" w:hAnsi="Arial" w:cs="Arial"/>
                <w:sz w:val="22"/>
                <w:szCs w:val="22"/>
                <w:lang w:val="es-MX"/>
              </w:rPr>
            </w:pPr>
            <w:r w:rsidRPr="0048017D">
              <w:rPr>
                <w:rFonts w:ascii="Arial" w:hAnsi="Arial" w:cs="Arial"/>
                <w:sz w:val="22"/>
                <w:szCs w:val="22"/>
                <w:lang w:val="es-MX"/>
              </w:rPr>
              <w:t>Fortalecer la definición del gobierno, cronograma y responsables del aseguramiento de los datos del repositorio ODS, para facilitar el uso de la información como apoyo a la toma de decisiones como parte del proceso estratégico de Business Intelligence (BI).</w:t>
            </w:r>
          </w:p>
        </w:tc>
      </w:tr>
      <w:tr w:rsidR="00561B22" w:rsidRPr="0048017D" w14:paraId="215BDB51" w14:textId="77777777" w:rsidTr="00F1223B">
        <w:tc>
          <w:tcPr>
            <w:tcW w:w="846" w:type="dxa"/>
          </w:tcPr>
          <w:p w14:paraId="60146B2A"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t>3</w:t>
            </w:r>
          </w:p>
        </w:tc>
        <w:tc>
          <w:tcPr>
            <w:tcW w:w="9116" w:type="dxa"/>
          </w:tcPr>
          <w:p w14:paraId="0A600992" w14:textId="77777777" w:rsidR="00561B22" w:rsidRPr="0048017D" w:rsidRDefault="00561B22" w:rsidP="00F1223B">
            <w:pPr>
              <w:jc w:val="both"/>
              <w:rPr>
                <w:rFonts w:ascii="Arial" w:hAnsi="Arial" w:cs="Arial"/>
                <w:sz w:val="22"/>
                <w:szCs w:val="22"/>
                <w:lang w:val="es-MX"/>
              </w:rPr>
            </w:pPr>
            <w:r w:rsidRPr="0048017D">
              <w:rPr>
                <w:rFonts w:ascii="Arial" w:hAnsi="Arial" w:cs="Arial"/>
                <w:sz w:val="22"/>
                <w:szCs w:val="22"/>
                <w:lang w:val="es-MX"/>
              </w:rPr>
              <w:t xml:space="preserve">Robustecer la definición de las actividades de control, de tal manera que consideren en su caracterización los elementos señalados en el modelo COSO 2013, para que estos estén </w:t>
            </w:r>
            <w:r w:rsidRPr="0048017D">
              <w:rPr>
                <w:rFonts w:ascii="Arial" w:hAnsi="Arial" w:cs="Arial"/>
                <w:sz w:val="22"/>
                <w:szCs w:val="22"/>
                <w:lang w:val="es-MX"/>
              </w:rPr>
              <w:lastRenderedPageBreak/>
              <w:t>diseñados de forma adecuada y contribuyan de manera eficiente a la mitigación de los riesgos asociados, en línea con las instrucciones de la Circular Externa 008 de 2023 de la Superintendencia Financiera de Colombia (Sistema de Control Interno).</w:t>
            </w:r>
          </w:p>
        </w:tc>
      </w:tr>
      <w:tr w:rsidR="00561B22" w:rsidRPr="0048017D" w14:paraId="05DB200C" w14:textId="77777777" w:rsidTr="00F1223B">
        <w:tc>
          <w:tcPr>
            <w:tcW w:w="846" w:type="dxa"/>
          </w:tcPr>
          <w:p w14:paraId="5BF96B85" w14:textId="77777777" w:rsidR="00561B22" w:rsidRPr="0048017D" w:rsidRDefault="00561B22" w:rsidP="00F1223B">
            <w:pPr>
              <w:jc w:val="center"/>
              <w:rPr>
                <w:rFonts w:ascii="Arial" w:hAnsi="Arial" w:cs="Arial"/>
                <w:b/>
                <w:sz w:val="22"/>
                <w:szCs w:val="22"/>
                <w:lang w:val="es-MX"/>
              </w:rPr>
            </w:pPr>
            <w:r w:rsidRPr="0048017D">
              <w:rPr>
                <w:rFonts w:ascii="Arial" w:hAnsi="Arial" w:cs="Arial"/>
                <w:b/>
                <w:sz w:val="22"/>
                <w:szCs w:val="22"/>
                <w:lang w:val="es-MX"/>
              </w:rPr>
              <w:lastRenderedPageBreak/>
              <w:t>4</w:t>
            </w:r>
          </w:p>
        </w:tc>
        <w:tc>
          <w:tcPr>
            <w:tcW w:w="9116" w:type="dxa"/>
          </w:tcPr>
          <w:p w14:paraId="0A9EB6E5" w14:textId="77777777" w:rsidR="00561B22" w:rsidRPr="0048017D" w:rsidRDefault="00561B22" w:rsidP="00F1223B">
            <w:pPr>
              <w:jc w:val="both"/>
              <w:rPr>
                <w:rFonts w:ascii="Arial" w:hAnsi="Arial" w:cs="Arial"/>
                <w:sz w:val="22"/>
                <w:szCs w:val="22"/>
                <w:lang w:val="es-MX"/>
              </w:rPr>
            </w:pPr>
            <w:r w:rsidRPr="0048017D">
              <w:rPr>
                <w:rFonts w:ascii="Arial" w:hAnsi="Arial" w:cs="Arial"/>
                <w:sz w:val="22"/>
                <w:szCs w:val="22"/>
                <w:lang w:val="es-MX"/>
              </w:rPr>
              <w:t>Continuar fortaleciendo la actividad de depuración de partidas transitorias identificadas en las conciliaciones que se realizan para las cuentas de cartera.</w:t>
            </w:r>
          </w:p>
        </w:tc>
      </w:tr>
    </w:tbl>
    <w:p w14:paraId="42693052" w14:textId="77777777" w:rsidR="00561B22" w:rsidRPr="0048017D" w:rsidRDefault="00561B22" w:rsidP="00561B22">
      <w:pPr>
        <w:jc w:val="both"/>
        <w:rPr>
          <w:rFonts w:ascii="Arial" w:hAnsi="Arial" w:cs="Arial"/>
          <w:b/>
          <w:lang w:val="es-MX"/>
        </w:rPr>
      </w:pPr>
    </w:p>
    <w:p w14:paraId="586F89F6" w14:textId="77777777" w:rsidR="00561B22" w:rsidRPr="006A2168" w:rsidRDefault="00561B22" w:rsidP="00561B22">
      <w:pPr>
        <w:jc w:val="both"/>
        <w:rPr>
          <w:rFonts w:ascii="Arial" w:hAnsi="Arial" w:cs="Arial"/>
          <w:b/>
          <w:sz w:val="24"/>
          <w:szCs w:val="24"/>
          <w:lang w:val="es-MX"/>
        </w:rPr>
      </w:pPr>
      <w:r w:rsidRPr="006A2168">
        <w:rPr>
          <w:rFonts w:ascii="Arial" w:hAnsi="Arial" w:cs="Arial"/>
          <w:b/>
          <w:sz w:val="24"/>
          <w:szCs w:val="24"/>
          <w:lang w:val="es-MX"/>
        </w:rPr>
        <w:t xml:space="preserve">NOTA: LA ENTIDAD ENVÍA LA MATRIZ DE AUTOEVALUACIÓN DEL SISTEMA DE CONTROL INTERNO CONTABLE CON </w:t>
      </w:r>
      <w:r w:rsidRPr="006A2168">
        <w:rPr>
          <w:rFonts w:ascii="Arial" w:hAnsi="Arial" w:cs="Arial"/>
          <w:b/>
          <w:sz w:val="24"/>
          <w:szCs w:val="24"/>
          <w:u w:val="single"/>
          <w:lang w:val="es-MX"/>
        </w:rPr>
        <w:t>ACTIVIDADES DE CONTROL REALIZADAS EN FORMA PARCIAL</w:t>
      </w:r>
      <w:r w:rsidRPr="006A2168">
        <w:rPr>
          <w:rFonts w:ascii="Arial" w:hAnsi="Arial" w:cs="Arial"/>
          <w:b/>
          <w:sz w:val="24"/>
          <w:szCs w:val="24"/>
          <w:lang w:val="es-MX"/>
        </w:rPr>
        <w:t>.</w:t>
      </w:r>
    </w:p>
    <w:p w14:paraId="4A0C89D8" w14:textId="77777777" w:rsidR="00561B22" w:rsidRDefault="00561B22" w:rsidP="00561B22">
      <w:pPr>
        <w:jc w:val="both"/>
        <w:rPr>
          <w:rFonts w:ascii="Arial" w:hAnsi="Arial" w:cs="Arial"/>
          <w:b/>
          <w:sz w:val="28"/>
          <w:szCs w:val="28"/>
          <w:lang w:val="es-MX"/>
        </w:rPr>
      </w:pPr>
    </w:p>
    <w:p w14:paraId="5E10F763" w14:textId="77777777" w:rsidR="00561B22" w:rsidRPr="00582E6C" w:rsidRDefault="00561B22" w:rsidP="00561B22">
      <w:pPr>
        <w:jc w:val="both"/>
        <w:rPr>
          <w:rFonts w:ascii="Arial" w:hAnsi="Arial" w:cs="Arial"/>
          <w:b/>
          <w:sz w:val="28"/>
          <w:szCs w:val="28"/>
          <w:lang w:val="es-MX"/>
        </w:rPr>
      </w:pPr>
      <w:r w:rsidRPr="00582E6C">
        <w:rPr>
          <w:rFonts w:ascii="Arial" w:hAnsi="Arial" w:cs="Arial"/>
          <w:b/>
          <w:sz w:val="28"/>
          <w:szCs w:val="28"/>
          <w:lang w:val="es-MX"/>
        </w:rPr>
        <w:t>50.- CORPORACIÓN AUTÓNOMA REGIONAL DE CHIVOR – CORPOCHIVOR.</w:t>
      </w:r>
    </w:p>
    <w:p w14:paraId="4BEF7B96" w14:textId="77777777" w:rsidR="00561B22" w:rsidRDefault="00561B22" w:rsidP="00561B22">
      <w:pPr>
        <w:jc w:val="both"/>
        <w:rPr>
          <w:rFonts w:ascii="Arial" w:hAnsi="Arial" w:cs="Arial"/>
          <w:b/>
          <w:bCs/>
          <w:sz w:val="24"/>
          <w:szCs w:val="24"/>
          <w:lang w:val="es-MX"/>
        </w:rPr>
      </w:pPr>
    </w:p>
    <w:p w14:paraId="3D65158A" w14:textId="77777777" w:rsidR="00561B22" w:rsidRPr="003224EF" w:rsidRDefault="00561B22" w:rsidP="00561B22">
      <w:pPr>
        <w:pStyle w:val="Textoindependiente"/>
        <w:ind w:right="-50"/>
        <w:jc w:val="center"/>
        <w:rPr>
          <w:rFonts w:ascii="Arial" w:hAnsi="Arial" w:cs="Arial"/>
          <w:b/>
          <w:bCs/>
        </w:rPr>
      </w:pPr>
      <w:r w:rsidRPr="003224EF">
        <w:rPr>
          <w:rFonts w:ascii="Arial" w:hAnsi="Arial" w:cs="Arial"/>
          <w:b/>
          <w:bCs/>
        </w:rPr>
        <w:t>INFORME DE LA AUTOCALIFICACIÓN DEL SISTEMA DE CONTROL INTERNO CONTABLE:</w:t>
      </w:r>
    </w:p>
    <w:p w14:paraId="69F8261F" w14:textId="77777777" w:rsidR="00561B22" w:rsidRPr="003224E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224EF" w14:paraId="3BEFA8D5" w14:textId="77777777" w:rsidTr="00F1223B">
        <w:tc>
          <w:tcPr>
            <w:tcW w:w="4981" w:type="dxa"/>
          </w:tcPr>
          <w:p w14:paraId="6FDB6F0A" w14:textId="77777777" w:rsidR="00561B22" w:rsidRPr="003224EF" w:rsidRDefault="00561B22" w:rsidP="00F1223B">
            <w:pPr>
              <w:jc w:val="center"/>
              <w:rPr>
                <w:rFonts w:ascii="Arial" w:hAnsi="Arial" w:cs="Arial"/>
                <w:b/>
                <w:sz w:val="22"/>
                <w:szCs w:val="22"/>
                <w:lang w:val="es-MX"/>
              </w:rPr>
            </w:pPr>
            <w:r w:rsidRPr="003224EF">
              <w:rPr>
                <w:rFonts w:ascii="Arial" w:hAnsi="Arial" w:cs="Arial"/>
                <w:b/>
                <w:sz w:val="22"/>
                <w:szCs w:val="22"/>
                <w:lang w:val="es-MX"/>
              </w:rPr>
              <w:t>AUTOCALIFICACIÓN</w:t>
            </w:r>
          </w:p>
        </w:tc>
        <w:tc>
          <w:tcPr>
            <w:tcW w:w="4981" w:type="dxa"/>
          </w:tcPr>
          <w:p w14:paraId="503FD588" w14:textId="77777777" w:rsidR="00561B22" w:rsidRPr="003224EF" w:rsidRDefault="00561B22" w:rsidP="00F1223B">
            <w:pPr>
              <w:jc w:val="center"/>
              <w:rPr>
                <w:rFonts w:ascii="Arial" w:hAnsi="Arial" w:cs="Arial"/>
                <w:b/>
                <w:sz w:val="22"/>
                <w:szCs w:val="22"/>
                <w:u w:val="single"/>
                <w:lang w:val="es-MX"/>
              </w:rPr>
            </w:pPr>
            <w:r w:rsidRPr="003224EF">
              <w:rPr>
                <w:rFonts w:ascii="Arial" w:hAnsi="Arial" w:cs="Arial"/>
                <w:b/>
                <w:sz w:val="22"/>
                <w:szCs w:val="22"/>
                <w:u w:val="single"/>
                <w:lang w:val="es-MX"/>
              </w:rPr>
              <w:t>5.00</w:t>
            </w:r>
          </w:p>
        </w:tc>
      </w:tr>
    </w:tbl>
    <w:p w14:paraId="742CD8D4" w14:textId="77777777" w:rsidR="00561B22" w:rsidRPr="003224EF" w:rsidRDefault="00561B22" w:rsidP="00561B22">
      <w:pPr>
        <w:pStyle w:val="Textoindependiente"/>
        <w:ind w:right="-50"/>
        <w:jc w:val="both"/>
        <w:rPr>
          <w:rFonts w:ascii="Arial" w:hAnsi="Arial" w:cs="Arial"/>
          <w:b/>
          <w:bCs/>
        </w:rPr>
      </w:pPr>
    </w:p>
    <w:p w14:paraId="77873AF8" w14:textId="77777777" w:rsidR="00561B22" w:rsidRPr="003224EF" w:rsidRDefault="00561B22" w:rsidP="00561B22">
      <w:pPr>
        <w:pStyle w:val="Textoindependiente"/>
        <w:ind w:right="-50"/>
        <w:jc w:val="both"/>
        <w:rPr>
          <w:rFonts w:ascii="Arial" w:hAnsi="Arial" w:cs="Arial"/>
          <w:b/>
          <w:bCs/>
        </w:rPr>
      </w:pPr>
      <w:r w:rsidRPr="003224EF">
        <w:rPr>
          <w:rFonts w:ascii="Arial" w:hAnsi="Arial" w:cs="Arial"/>
          <w:b/>
          <w:bCs/>
        </w:rPr>
        <w:t>Del informe enviado retomamos lo siguiente:</w:t>
      </w:r>
    </w:p>
    <w:p w14:paraId="19EE22F9" w14:textId="77777777" w:rsidR="00561B22" w:rsidRPr="003224E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3224EF" w14:paraId="3886124D" w14:textId="77777777" w:rsidTr="00F1223B">
        <w:tc>
          <w:tcPr>
            <w:tcW w:w="988" w:type="dxa"/>
          </w:tcPr>
          <w:p w14:paraId="5FC06D11" w14:textId="77777777" w:rsidR="00561B22" w:rsidRPr="003224EF" w:rsidRDefault="00561B22" w:rsidP="00F1223B">
            <w:pPr>
              <w:ind w:right="-109"/>
              <w:jc w:val="center"/>
              <w:rPr>
                <w:rFonts w:ascii="Arial" w:hAnsi="Arial" w:cs="Arial"/>
                <w:b/>
                <w:sz w:val="22"/>
                <w:szCs w:val="22"/>
                <w:lang w:val="es-MX"/>
              </w:rPr>
            </w:pPr>
            <w:r w:rsidRPr="003224EF">
              <w:rPr>
                <w:rFonts w:ascii="Arial" w:hAnsi="Arial" w:cs="Arial"/>
                <w:b/>
                <w:sz w:val="22"/>
                <w:szCs w:val="22"/>
                <w:lang w:val="es-MX"/>
              </w:rPr>
              <w:t>N°</w:t>
            </w:r>
          </w:p>
        </w:tc>
        <w:tc>
          <w:tcPr>
            <w:tcW w:w="8974" w:type="dxa"/>
          </w:tcPr>
          <w:p w14:paraId="7425115F" w14:textId="77777777" w:rsidR="00561B22" w:rsidRPr="003224EF" w:rsidRDefault="00561B22" w:rsidP="00F1223B">
            <w:pPr>
              <w:jc w:val="center"/>
              <w:rPr>
                <w:rFonts w:ascii="Arial" w:hAnsi="Arial" w:cs="Arial"/>
                <w:b/>
                <w:sz w:val="22"/>
                <w:szCs w:val="22"/>
                <w:lang w:val="es-MX"/>
              </w:rPr>
            </w:pPr>
            <w:r w:rsidRPr="003224EF">
              <w:rPr>
                <w:rFonts w:ascii="Arial" w:hAnsi="Arial" w:cs="Arial"/>
                <w:b/>
                <w:sz w:val="22"/>
                <w:szCs w:val="22"/>
                <w:lang w:val="es-MX"/>
              </w:rPr>
              <w:t>DEBILIDADES</w:t>
            </w:r>
          </w:p>
          <w:p w14:paraId="4D184E71" w14:textId="77777777" w:rsidR="00561B22" w:rsidRPr="003224EF" w:rsidRDefault="00561B22" w:rsidP="00F1223B">
            <w:pPr>
              <w:jc w:val="center"/>
              <w:rPr>
                <w:rFonts w:ascii="Arial" w:hAnsi="Arial" w:cs="Arial"/>
                <w:b/>
                <w:sz w:val="22"/>
                <w:szCs w:val="22"/>
                <w:lang w:val="es-MX"/>
              </w:rPr>
            </w:pPr>
          </w:p>
        </w:tc>
      </w:tr>
      <w:tr w:rsidR="00561B22" w:rsidRPr="003224EF" w14:paraId="34C553FD" w14:textId="77777777" w:rsidTr="00F1223B">
        <w:tc>
          <w:tcPr>
            <w:tcW w:w="988" w:type="dxa"/>
          </w:tcPr>
          <w:p w14:paraId="0A78F83B" w14:textId="77777777" w:rsidR="00561B22" w:rsidRPr="003224EF" w:rsidRDefault="00561B22" w:rsidP="00F1223B">
            <w:pPr>
              <w:jc w:val="center"/>
              <w:rPr>
                <w:rFonts w:ascii="Arial" w:hAnsi="Arial" w:cs="Arial"/>
                <w:sz w:val="22"/>
                <w:szCs w:val="22"/>
                <w:lang w:val="es-MX"/>
              </w:rPr>
            </w:pPr>
            <w:r w:rsidRPr="003224EF">
              <w:rPr>
                <w:rFonts w:ascii="Arial" w:hAnsi="Arial" w:cs="Arial"/>
                <w:sz w:val="22"/>
                <w:szCs w:val="22"/>
                <w:lang w:val="es-MX"/>
              </w:rPr>
              <w:t>1</w:t>
            </w:r>
          </w:p>
        </w:tc>
        <w:tc>
          <w:tcPr>
            <w:tcW w:w="8974" w:type="dxa"/>
          </w:tcPr>
          <w:p w14:paraId="5DD7A442" w14:textId="77777777" w:rsidR="00561B22" w:rsidRPr="003224EF" w:rsidRDefault="00561B22" w:rsidP="00F1223B">
            <w:pPr>
              <w:jc w:val="both"/>
              <w:rPr>
                <w:rFonts w:ascii="Arial" w:hAnsi="Arial" w:cs="Arial"/>
                <w:sz w:val="22"/>
                <w:szCs w:val="22"/>
                <w:lang w:val="es-MX"/>
              </w:rPr>
            </w:pPr>
            <w:r w:rsidRPr="003224EF">
              <w:rPr>
                <w:rFonts w:ascii="Arial" w:hAnsi="Arial" w:cs="Arial"/>
                <w:sz w:val="22"/>
                <w:szCs w:val="22"/>
                <w:lang w:val="es-MX"/>
              </w:rPr>
              <w:t xml:space="preserve">La Corporación cuenta con un sistema de información con desarrollos limitados es necesario adelantar gestiones con celeridad frente a la actualización del sistema informativo ya que ayuda a recolectar, recuperar, procesar, almacenar y distribuir la información relevante para los procesos de la entidad.   </w:t>
            </w:r>
          </w:p>
        </w:tc>
      </w:tr>
    </w:tbl>
    <w:p w14:paraId="1133ECDA" w14:textId="77777777" w:rsidR="00561B22" w:rsidRPr="003224EF" w:rsidRDefault="00561B22" w:rsidP="00561B22">
      <w:pPr>
        <w:pStyle w:val="Textoindependiente"/>
        <w:ind w:right="-50"/>
        <w:jc w:val="both"/>
        <w:rPr>
          <w:rFonts w:ascii="Arial" w:hAnsi="Arial" w:cs="Arial"/>
          <w:b/>
          <w:bCs/>
        </w:rPr>
      </w:pPr>
    </w:p>
    <w:p w14:paraId="101215CE" w14:textId="77777777" w:rsidR="00561B22" w:rsidRPr="003224EF" w:rsidRDefault="00561B22" w:rsidP="00561B22">
      <w:pPr>
        <w:jc w:val="both"/>
        <w:rPr>
          <w:rFonts w:ascii="Arial" w:hAnsi="Arial" w:cs="Arial"/>
          <w:b/>
          <w:lang w:val="es-MX"/>
        </w:rPr>
      </w:pPr>
      <w:r w:rsidRPr="003224EF">
        <w:rPr>
          <w:rFonts w:ascii="Arial" w:hAnsi="Arial" w:cs="Arial"/>
          <w:b/>
          <w:lang w:val="es-MX"/>
        </w:rPr>
        <w:t>Del citado informe retomamos las siguientes recomendaciones:</w:t>
      </w:r>
    </w:p>
    <w:p w14:paraId="20DB3291" w14:textId="77777777" w:rsidR="00561B22" w:rsidRPr="003224E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3224EF" w14:paraId="74A5F952" w14:textId="77777777" w:rsidTr="00F1223B">
        <w:tc>
          <w:tcPr>
            <w:tcW w:w="988" w:type="dxa"/>
          </w:tcPr>
          <w:p w14:paraId="142F9708" w14:textId="77777777" w:rsidR="00561B22" w:rsidRPr="003224EF" w:rsidRDefault="00561B22" w:rsidP="00F1223B">
            <w:pPr>
              <w:ind w:right="-109"/>
              <w:jc w:val="center"/>
              <w:rPr>
                <w:rFonts w:ascii="Arial" w:hAnsi="Arial" w:cs="Arial"/>
                <w:b/>
                <w:sz w:val="22"/>
                <w:szCs w:val="22"/>
                <w:lang w:val="es-MX"/>
              </w:rPr>
            </w:pPr>
            <w:r w:rsidRPr="003224EF">
              <w:rPr>
                <w:rFonts w:ascii="Arial" w:hAnsi="Arial" w:cs="Arial"/>
                <w:b/>
                <w:sz w:val="22"/>
                <w:szCs w:val="22"/>
                <w:lang w:val="es-MX"/>
              </w:rPr>
              <w:t>N°</w:t>
            </w:r>
          </w:p>
        </w:tc>
        <w:tc>
          <w:tcPr>
            <w:tcW w:w="8974" w:type="dxa"/>
          </w:tcPr>
          <w:p w14:paraId="00C1C3C9" w14:textId="77777777" w:rsidR="00561B22" w:rsidRPr="003224EF" w:rsidRDefault="00561B22" w:rsidP="00F1223B">
            <w:pPr>
              <w:jc w:val="center"/>
              <w:rPr>
                <w:rFonts w:ascii="Arial" w:hAnsi="Arial" w:cs="Arial"/>
                <w:b/>
                <w:sz w:val="22"/>
                <w:szCs w:val="22"/>
                <w:lang w:val="es-MX"/>
              </w:rPr>
            </w:pPr>
            <w:r w:rsidRPr="003224EF">
              <w:rPr>
                <w:rFonts w:ascii="Arial" w:hAnsi="Arial" w:cs="Arial"/>
                <w:b/>
                <w:sz w:val="22"/>
                <w:szCs w:val="22"/>
                <w:lang w:val="es-MX"/>
              </w:rPr>
              <w:t>RECOMENDACIONES</w:t>
            </w:r>
          </w:p>
          <w:p w14:paraId="24809A23" w14:textId="77777777" w:rsidR="00561B22" w:rsidRPr="003224EF" w:rsidRDefault="00561B22" w:rsidP="00F1223B">
            <w:pPr>
              <w:jc w:val="center"/>
              <w:rPr>
                <w:rFonts w:ascii="Arial" w:hAnsi="Arial" w:cs="Arial"/>
                <w:b/>
                <w:sz w:val="22"/>
                <w:szCs w:val="22"/>
                <w:lang w:val="es-MX"/>
              </w:rPr>
            </w:pPr>
          </w:p>
        </w:tc>
      </w:tr>
      <w:tr w:rsidR="00561B22" w:rsidRPr="003224EF" w14:paraId="595E3FE3" w14:textId="77777777" w:rsidTr="00F1223B">
        <w:tc>
          <w:tcPr>
            <w:tcW w:w="988" w:type="dxa"/>
          </w:tcPr>
          <w:p w14:paraId="1E5AA482" w14:textId="77777777" w:rsidR="00561B22" w:rsidRPr="003224EF" w:rsidRDefault="00561B22" w:rsidP="00F1223B">
            <w:pPr>
              <w:jc w:val="center"/>
              <w:rPr>
                <w:rFonts w:ascii="Arial" w:hAnsi="Arial" w:cs="Arial"/>
                <w:b/>
                <w:sz w:val="22"/>
                <w:szCs w:val="22"/>
                <w:lang w:val="es-MX"/>
              </w:rPr>
            </w:pPr>
            <w:r w:rsidRPr="003224EF">
              <w:rPr>
                <w:rFonts w:ascii="Arial" w:hAnsi="Arial" w:cs="Arial"/>
                <w:b/>
                <w:sz w:val="22"/>
                <w:szCs w:val="22"/>
                <w:lang w:val="es-MX"/>
              </w:rPr>
              <w:t>1</w:t>
            </w:r>
          </w:p>
        </w:tc>
        <w:tc>
          <w:tcPr>
            <w:tcW w:w="8974" w:type="dxa"/>
          </w:tcPr>
          <w:p w14:paraId="1665C5B4" w14:textId="77777777" w:rsidR="00561B22" w:rsidRPr="003224EF" w:rsidRDefault="00561B22" w:rsidP="00F1223B">
            <w:pPr>
              <w:jc w:val="both"/>
              <w:rPr>
                <w:rFonts w:ascii="Arial" w:hAnsi="Arial" w:cs="Arial"/>
                <w:sz w:val="22"/>
                <w:szCs w:val="22"/>
                <w:lang w:val="es-MX"/>
              </w:rPr>
            </w:pPr>
            <w:r w:rsidRPr="003224EF">
              <w:rPr>
                <w:rFonts w:ascii="Arial" w:hAnsi="Arial" w:cs="Arial"/>
                <w:sz w:val="22"/>
                <w:szCs w:val="22"/>
                <w:lang w:val="es-MX"/>
              </w:rPr>
              <w:t xml:space="preserve">Fortalecer el proceso de capacitación al talento humano del área contable </w:t>
            </w:r>
          </w:p>
        </w:tc>
      </w:tr>
      <w:tr w:rsidR="00561B22" w:rsidRPr="003224EF" w14:paraId="74605668" w14:textId="77777777" w:rsidTr="00F1223B">
        <w:tc>
          <w:tcPr>
            <w:tcW w:w="988" w:type="dxa"/>
          </w:tcPr>
          <w:p w14:paraId="0FC5DBD5" w14:textId="77777777" w:rsidR="00561B22" w:rsidRPr="003224EF" w:rsidRDefault="00561B22" w:rsidP="00F1223B">
            <w:pPr>
              <w:jc w:val="center"/>
              <w:rPr>
                <w:rFonts w:ascii="Arial" w:hAnsi="Arial" w:cs="Arial"/>
                <w:b/>
                <w:sz w:val="22"/>
                <w:szCs w:val="22"/>
                <w:lang w:val="es-MX"/>
              </w:rPr>
            </w:pPr>
            <w:r w:rsidRPr="003224EF">
              <w:rPr>
                <w:rFonts w:ascii="Arial" w:hAnsi="Arial" w:cs="Arial"/>
                <w:b/>
                <w:sz w:val="22"/>
                <w:szCs w:val="22"/>
                <w:lang w:val="es-MX"/>
              </w:rPr>
              <w:t>2</w:t>
            </w:r>
          </w:p>
        </w:tc>
        <w:tc>
          <w:tcPr>
            <w:tcW w:w="8974" w:type="dxa"/>
          </w:tcPr>
          <w:p w14:paraId="348F313A" w14:textId="77777777" w:rsidR="00561B22" w:rsidRPr="003224EF" w:rsidRDefault="00561B22" w:rsidP="00F1223B">
            <w:pPr>
              <w:jc w:val="both"/>
              <w:rPr>
                <w:rFonts w:ascii="Arial" w:hAnsi="Arial" w:cs="Arial"/>
                <w:sz w:val="22"/>
                <w:szCs w:val="22"/>
                <w:lang w:val="es-MX"/>
              </w:rPr>
            </w:pPr>
            <w:r w:rsidRPr="003224EF">
              <w:rPr>
                <w:rFonts w:ascii="Arial" w:hAnsi="Arial" w:cs="Arial"/>
                <w:sz w:val="22"/>
                <w:szCs w:val="22"/>
                <w:lang w:val="es-MX"/>
              </w:rPr>
              <w:t>Fortalecer con la identificación de los riesgos en el área financiera con el objeto de diseñar los controles y evitar la materialización de los riesgos existentes en el componente contable.</w:t>
            </w:r>
          </w:p>
        </w:tc>
      </w:tr>
      <w:tr w:rsidR="00561B22" w:rsidRPr="003224EF" w14:paraId="7FD776D5" w14:textId="77777777" w:rsidTr="00F1223B">
        <w:tc>
          <w:tcPr>
            <w:tcW w:w="988" w:type="dxa"/>
          </w:tcPr>
          <w:p w14:paraId="2EDFD9E7" w14:textId="77777777" w:rsidR="00561B22" w:rsidRPr="003224EF" w:rsidRDefault="00561B22" w:rsidP="00F1223B">
            <w:pPr>
              <w:jc w:val="center"/>
              <w:rPr>
                <w:rFonts w:ascii="Arial" w:hAnsi="Arial" w:cs="Arial"/>
                <w:b/>
                <w:sz w:val="22"/>
                <w:szCs w:val="22"/>
                <w:lang w:val="es-MX"/>
              </w:rPr>
            </w:pPr>
            <w:r w:rsidRPr="003224EF">
              <w:rPr>
                <w:rFonts w:ascii="Arial" w:hAnsi="Arial" w:cs="Arial"/>
                <w:b/>
                <w:sz w:val="22"/>
                <w:szCs w:val="22"/>
                <w:lang w:val="es-MX"/>
              </w:rPr>
              <w:t>3</w:t>
            </w:r>
          </w:p>
        </w:tc>
        <w:tc>
          <w:tcPr>
            <w:tcW w:w="8974" w:type="dxa"/>
          </w:tcPr>
          <w:p w14:paraId="5CB75227" w14:textId="0F61BD2F" w:rsidR="00561B22" w:rsidRPr="003224EF" w:rsidRDefault="00561B22" w:rsidP="00F1223B">
            <w:pPr>
              <w:jc w:val="both"/>
              <w:rPr>
                <w:rFonts w:ascii="Arial" w:hAnsi="Arial" w:cs="Arial"/>
                <w:sz w:val="22"/>
                <w:szCs w:val="22"/>
                <w:lang w:val="es-MX"/>
              </w:rPr>
            </w:pPr>
            <w:r w:rsidRPr="003224EF">
              <w:rPr>
                <w:rFonts w:ascii="Arial" w:hAnsi="Arial" w:cs="Arial"/>
                <w:sz w:val="22"/>
                <w:szCs w:val="22"/>
                <w:lang w:val="es-MX"/>
              </w:rPr>
              <w:t xml:space="preserve">Avanzar en la implementación de acciones orientadas a </w:t>
            </w:r>
            <w:r w:rsidR="0008150C" w:rsidRPr="003224EF">
              <w:rPr>
                <w:rFonts w:ascii="Arial" w:hAnsi="Arial" w:cs="Arial"/>
                <w:sz w:val="22"/>
                <w:szCs w:val="22"/>
                <w:lang w:val="es-MX"/>
              </w:rPr>
              <w:t>mejorar el</w:t>
            </w:r>
            <w:r w:rsidRPr="003224EF">
              <w:rPr>
                <w:rFonts w:ascii="Arial" w:hAnsi="Arial" w:cs="Arial"/>
                <w:sz w:val="22"/>
                <w:szCs w:val="22"/>
                <w:lang w:val="es-MX"/>
              </w:rPr>
              <w:t xml:space="preserve"> flujo de información hacia el área contable.</w:t>
            </w:r>
          </w:p>
        </w:tc>
      </w:tr>
    </w:tbl>
    <w:p w14:paraId="07F6D353" w14:textId="77777777" w:rsidR="00561B22" w:rsidRPr="003224EF" w:rsidRDefault="00561B22" w:rsidP="00561B22">
      <w:pPr>
        <w:pStyle w:val="Textoindependiente"/>
        <w:ind w:right="-50"/>
        <w:jc w:val="both"/>
        <w:rPr>
          <w:rFonts w:ascii="Arial" w:hAnsi="Arial" w:cs="Arial"/>
          <w:b/>
          <w:bCs/>
        </w:rPr>
      </w:pPr>
    </w:p>
    <w:p w14:paraId="2315DA11" w14:textId="77777777" w:rsidR="00561B22" w:rsidRPr="00AB2A63" w:rsidRDefault="00561B22" w:rsidP="00561B22">
      <w:pPr>
        <w:jc w:val="both"/>
        <w:rPr>
          <w:rFonts w:ascii="Arial" w:hAnsi="Arial" w:cs="Arial"/>
          <w:b/>
          <w:sz w:val="28"/>
          <w:szCs w:val="28"/>
          <w:lang w:val="es-MX"/>
        </w:rPr>
      </w:pPr>
      <w:r w:rsidRPr="00AB2A63">
        <w:rPr>
          <w:rFonts w:ascii="Arial" w:hAnsi="Arial" w:cs="Arial"/>
          <w:b/>
          <w:sz w:val="28"/>
          <w:szCs w:val="28"/>
          <w:lang w:val="es-MX"/>
        </w:rPr>
        <w:t>51.- INSTITUTO GEOGRÁFICO AGUSTIN CODAZZI - IGAC.</w:t>
      </w:r>
    </w:p>
    <w:p w14:paraId="185B7986" w14:textId="77777777" w:rsidR="00561B22" w:rsidRDefault="00561B22" w:rsidP="00561B22">
      <w:pPr>
        <w:jc w:val="both"/>
        <w:rPr>
          <w:rFonts w:ascii="Arial" w:hAnsi="Arial" w:cs="Arial"/>
          <w:b/>
          <w:bCs/>
        </w:rPr>
      </w:pPr>
    </w:p>
    <w:p w14:paraId="0851B7C4" w14:textId="77777777" w:rsidR="00561B22" w:rsidRPr="000B5B5E" w:rsidRDefault="00561B22" w:rsidP="00561B22">
      <w:pPr>
        <w:pStyle w:val="Textoindependiente"/>
        <w:ind w:right="-50"/>
        <w:jc w:val="center"/>
        <w:rPr>
          <w:rFonts w:ascii="Arial" w:hAnsi="Arial" w:cs="Arial"/>
          <w:b/>
          <w:bCs/>
        </w:rPr>
      </w:pPr>
      <w:r w:rsidRPr="000B5B5E">
        <w:rPr>
          <w:rFonts w:ascii="Arial" w:hAnsi="Arial" w:cs="Arial"/>
          <w:b/>
          <w:bCs/>
        </w:rPr>
        <w:t>INFORME DE LA AUTOCALIFICACIÓN DEL SISTEMA DE CONTROL INTERNO CONTABLE:</w:t>
      </w:r>
    </w:p>
    <w:p w14:paraId="42038284" w14:textId="77777777" w:rsidR="00561B22" w:rsidRPr="000B5B5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B5B5E" w14:paraId="69EE41C9" w14:textId="77777777" w:rsidTr="00F1223B">
        <w:tc>
          <w:tcPr>
            <w:tcW w:w="4981" w:type="dxa"/>
          </w:tcPr>
          <w:p w14:paraId="1BB2D128"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AUTOCALIFICACIÓN</w:t>
            </w:r>
          </w:p>
        </w:tc>
        <w:tc>
          <w:tcPr>
            <w:tcW w:w="4981" w:type="dxa"/>
          </w:tcPr>
          <w:p w14:paraId="360E9EC8" w14:textId="77777777" w:rsidR="00561B22" w:rsidRPr="000B5B5E" w:rsidRDefault="00561B22" w:rsidP="00F1223B">
            <w:pPr>
              <w:jc w:val="center"/>
              <w:rPr>
                <w:rFonts w:ascii="Arial" w:hAnsi="Arial" w:cs="Arial"/>
                <w:b/>
                <w:sz w:val="22"/>
                <w:szCs w:val="22"/>
                <w:u w:val="single"/>
                <w:lang w:val="es-MX"/>
              </w:rPr>
            </w:pPr>
            <w:r w:rsidRPr="000B5B5E">
              <w:rPr>
                <w:rFonts w:ascii="Arial" w:hAnsi="Arial" w:cs="Arial"/>
                <w:b/>
                <w:sz w:val="22"/>
                <w:szCs w:val="22"/>
                <w:u w:val="single"/>
                <w:lang w:val="es-MX"/>
              </w:rPr>
              <w:t>4.55</w:t>
            </w:r>
          </w:p>
        </w:tc>
      </w:tr>
    </w:tbl>
    <w:p w14:paraId="745EA1C5" w14:textId="77777777" w:rsidR="00561B22" w:rsidRPr="000B5B5E" w:rsidRDefault="00561B22" w:rsidP="00561B22">
      <w:pPr>
        <w:pStyle w:val="Textoindependiente"/>
        <w:ind w:right="-50"/>
        <w:jc w:val="both"/>
        <w:rPr>
          <w:rFonts w:ascii="Arial" w:hAnsi="Arial" w:cs="Arial"/>
          <w:b/>
          <w:bCs/>
        </w:rPr>
      </w:pPr>
    </w:p>
    <w:p w14:paraId="6D70F607" w14:textId="77777777" w:rsidR="00561B22" w:rsidRPr="000B5B5E" w:rsidRDefault="00561B22" w:rsidP="00561B22">
      <w:pPr>
        <w:pStyle w:val="Textoindependiente"/>
        <w:ind w:right="-50"/>
        <w:jc w:val="both"/>
        <w:rPr>
          <w:rFonts w:ascii="Arial" w:hAnsi="Arial" w:cs="Arial"/>
          <w:b/>
          <w:bCs/>
        </w:rPr>
      </w:pPr>
      <w:r w:rsidRPr="000B5B5E">
        <w:rPr>
          <w:rFonts w:ascii="Arial" w:hAnsi="Arial" w:cs="Arial"/>
          <w:b/>
          <w:bCs/>
        </w:rPr>
        <w:t>Del informe enviado retomamos lo siguiente:</w:t>
      </w:r>
    </w:p>
    <w:p w14:paraId="219B674D" w14:textId="77777777" w:rsidR="00561B22" w:rsidRPr="000B5B5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0B5B5E" w14:paraId="09EEEADD" w14:textId="77777777" w:rsidTr="00F1223B">
        <w:tc>
          <w:tcPr>
            <w:tcW w:w="988" w:type="dxa"/>
          </w:tcPr>
          <w:p w14:paraId="61D6B915" w14:textId="77777777" w:rsidR="00561B22" w:rsidRPr="000B5B5E" w:rsidRDefault="00561B22" w:rsidP="00F1223B">
            <w:pPr>
              <w:ind w:right="-109"/>
              <w:jc w:val="center"/>
              <w:rPr>
                <w:rFonts w:ascii="Arial" w:hAnsi="Arial" w:cs="Arial"/>
                <w:b/>
                <w:sz w:val="22"/>
                <w:szCs w:val="22"/>
                <w:lang w:val="es-MX"/>
              </w:rPr>
            </w:pPr>
            <w:r w:rsidRPr="000B5B5E">
              <w:rPr>
                <w:rFonts w:ascii="Arial" w:hAnsi="Arial" w:cs="Arial"/>
                <w:b/>
                <w:sz w:val="22"/>
                <w:szCs w:val="22"/>
                <w:lang w:val="es-MX"/>
              </w:rPr>
              <w:t>N°</w:t>
            </w:r>
          </w:p>
        </w:tc>
        <w:tc>
          <w:tcPr>
            <w:tcW w:w="8974" w:type="dxa"/>
          </w:tcPr>
          <w:p w14:paraId="058738BE"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DEBILIDADES</w:t>
            </w:r>
          </w:p>
          <w:p w14:paraId="2F9889E5" w14:textId="77777777" w:rsidR="00561B22" w:rsidRPr="000B5B5E" w:rsidRDefault="00561B22" w:rsidP="00F1223B">
            <w:pPr>
              <w:jc w:val="center"/>
              <w:rPr>
                <w:rFonts w:ascii="Arial" w:hAnsi="Arial" w:cs="Arial"/>
                <w:b/>
                <w:sz w:val="22"/>
                <w:szCs w:val="22"/>
                <w:lang w:val="es-MX"/>
              </w:rPr>
            </w:pPr>
          </w:p>
        </w:tc>
      </w:tr>
      <w:tr w:rsidR="00561B22" w:rsidRPr="000B5B5E" w14:paraId="06648DC5" w14:textId="77777777" w:rsidTr="00F1223B">
        <w:tc>
          <w:tcPr>
            <w:tcW w:w="988" w:type="dxa"/>
          </w:tcPr>
          <w:p w14:paraId="2DB4DD81"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1</w:t>
            </w:r>
          </w:p>
        </w:tc>
        <w:tc>
          <w:tcPr>
            <w:tcW w:w="8974" w:type="dxa"/>
          </w:tcPr>
          <w:p w14:paraId="0EA260B4" w14:textId="77777777" w:rsidR="00561B22" w:rsidRPr="000B5B5E" w:rsidRDefault="00561B22" w:rsidP="00F1223B">
            <w:pPr>
              <w:jc w:val="both"/>
              <w:rPr>
                <w:rFonts w:ascii="Arial" w:hAnsi="Arial" w:cs="Arial"/>
                <w:bCs/>
                <w:sz w:val="22"/>
                <w:szCs w:val="22"/>
                <w:lang w:val="es-MX"/>
              </w:rPr>
            </w:pPr>
            <w:r w:rsidRPr="000B5B5E">
              <w:rPr>
                <w:rFonts w:ascii="Arial" w:hAnsi="Arial" w:cs="Arial"/>
                <w:bCs/>
                <w:sz w:val="22"/>
                <w:szCs w:val="22"/>
                <w:lang w:val="es-MX"/>
              </w:rPr>
              <w:t>Si bien es cierto se evidenció un avance significativo en la actualización de los procedimientos que atañen al GIT de contabilidad no fue posible la evaluación del procedimiento de cierre contable, toda vez que no se encuentra publicado a 27 de febrero de 2025 en el aplicativo institucional IGANET.</w:t>
            </w:r>
          </w:p>
        </w:tc>
      </w:tr>
      <w:tr w:rsidR="00561B22" w:rsidRPr="000B5B5E" w14:paraId="2EBF2E5F" w14:textId="77777777" w:rsidTr="00F1223B">
        <w:tc>
          <w:tcPr>
            <w:tcW w:w="988" w:type="dxa"/>
          </w:tcPr>
          <w:p w14:paraId="5A9F70C4"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2</w:t>
            </w:r>
          </w:p>
        </w:tc>
        <w:tc>
          <w:tcPr>
            <w:tcW w:w="8974" w:type="dxa"/>
          </w:tcPr>
          <w:p w14:paraId="31B603DE" w14:textId="77777777" w:rsidR="00561B22" w:rsidRPr="000B5B5E" w:rsidRDefault="00561B22" w:rsidP="00F1223B">
            <w:pPr>
              <w:jc w:val="both"/>
              <w:rPr>
                <w:rFonts w:ascii="Arial" w:hAnsi="Arial" w:cs="Arial"/>
                <w:bCs/>
                <w:sz w:val="22"/>
                <w:szCs w:val="22"/>
                <w:lang w:val="es-MX"/>
              </w:rPr>
            </w:pPr>
            <w:r w:rsidRPr="000B5B5E">
              <w:rPr>
                <w:rFonts w:ascii="Arial" w:hAnsi="Arial" w:cs="Arial"/>
                <w:bCs/>
                <w:sz w:val="22"/>
                <w:szCs w:val="22"/>
                <w:lang w:val="es-MX"/>
              </w:rPr>
              <w:t xml:space="preserve">No se revelan avances significativos en las conciliaciones de propiedad planta y equipo, </w:t>
            </w:r>
            <w:r w:rsidRPr="000B5B5E">
              <w:rPr>
                <w:rFonts w:ascii="Arial" w:hAnsi="Arial" w:cs="Arial"/>
                <w:bCs/>
                <w:sz w:val="22"/>
                <w:szCs w:val="22"/>
                <w:lang w:val="es-MX"/>
              </w:rPr>
              <w:lastRenderedPageBreak/>
              <w:t>deterioro y depreciación. No obstante, pese al cumplimiento de la presentación oportuna de las declaraciones, se pudo evidenciar que la declaración correspondiente a Rete fuente de diciembre de 2024 se presentó de manera extemporánea, con una corrección donde se calcularon sanciones e intereses.</w:t>
            </w:r>
          </w:p>
        </w:tc>
      </w:tr>
    </w:tbl>
    <w:p w14:paraId="7762BA5D" w14:textId="77777777" w:rsidR="00561B22" w:rsidRPr="000B5B5E" w:rsidRDefault="00561B22" w:rsidP="00561B22">
      <w:pPr>
        <w:pStyle w:val="Textoindependiente"/>
        <w:ind w:right="-50"/>
        <w:jc w:val="both"/>
        <w:rPr>
          <w:rFonts w:ascii="Arial" w:hAnsi="Arial" w:cs="Arial"/>
          <w:b/>
          <w:bCs/>
        </w:rPr>
      </w:pPr>
    </w:p>
    <w:p w14:paraId="21948968" w14:textId="77777777" w:rsidR="00561B22" w:rsidRPr="000B5B5E" w:rsidRDefault="00561B22" w:rsidP="00561B22">
      <w:pPr>
        <w:jc w:val="both"/>
        <w:rPr>
          <w:rFonts w:ascii="Arial" w:hAnsi="Arial" w:cs="Arial"/>
          <w:b/>
          <w:lang w:val="es-MX"/>
        </w:rPr>
      </w:pPr>
      <w:r w:rsidRPr="000B5B5E">
        <w:rPr>
          <w:rFonts w:ascii="Arial" w:hAnsi="Arial" w:cs="Arial"/>
          <w:b/>
          <w:lang w:val="es-MX"/>
        </w:rPr>
        <w:t>Del citado informe retomamos las siguientes recomendaciones:</w:t>
      </w:r>
    </w:p>
    <w:p w14:paraId="5A682BED" w14:textId="77777777" w:rsidR="00561B22" w:rsidRPr="000B5B5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0B5B5E" w14:paraId="2711A6B4" w14:textId="77777777" w:rsidTr="00F1223B">
        <w:tc>
          <w:tcPr>
            <w:tcW w:w="988" w:type="dxa"/>
          </w:tcPr>
          <w:p w14:paraId="696A186F" w14:textId="77777777" w:rsidR="00561B22" w:rsidRPr="000B5B5E" w:rsidRDefault="00561B22" w:rsidP="00F1223B">
            <w:pPr>
              <w:ind w:right="-109"/>
              <w:jc w:val="center"/>
              <w:rPr>
                <w:rFonts w:ascii="Arial" w:hAnsi="Arial" w:cs="Arial"/>
                <w:b/>
                <w:sz w:val="22"/>
                <w:szCs w:val="22"/>
                <w:lang w:val="es-MX"/>
              </w:rPr>
            </w:pPr>
            <w:r w:rsidRPr="000B5B5E">
              <w:rPr>
                <w:rFonts w:ascii="Arial" w:hAnsi="Arial" w:cs="Arial"/>
                <w:b/>
                <w:sz w:val="22"/>
                <w:szCs w:val="22"/>
                <w:lang w:val="es-MX"/>
              </w:rPr>
              <w:t>N°</w:t>
            </w:r>
          </w:p>
        </w:tc>
        <w:tc>
          <w:tcPr>
            <w:tcW w:w="8974" w:type="dxa"/>
          </w:tcPr>
          <w:p w14:paraId="26384566"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RECOMENDACIONES</w:t>
            </w:r>
          </w:p>
          <w:p w14:paraId="57CB232F" w14:textId="77777777" w:rsidR="00561B22" w:rsidRPr="000B5B5E" w:rsidRDefault="00561B22" w:rsidP="00F1223B">
            <w:pPr>
              <w:jc w:val="center"/>
              <w:rPr>
                <w:rFonts w:ascii="Arial" w:hAnsi="Arial" w:cs="Arial"/>
                <w:b/>
                <w:sz w:val="22"/>
                <w:szCs w:val="22"/>
                <w:lang w:val="es-MX"/>
              </w:rPr>
            </w:pPr>
          </w:p>
        </w:tc>
      </w:tr>
      <w:tr w:rsidR="00561B22" w:rsidRPr="000B5B5E" w14:paraId="301F3472" w14:textId="77777777" w:rsidTr="00F1223B">
        <w:tc>
          <w:tcPr>
            <w:tcW w:w="988" w:type="dxa"/>
          </w:tcPr>
          <w:p w14:paraId="6B351F0E"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1</w:t>
            </w:r>
          </w:p>
        </w:tc>
        <w:tc>
          <w:tcPr>
            <w:tcW w:w="8974" w:type="dxa"/>
          </w:tcPr>
          <w:p w14:paraId="6FF549DA" w14:textId="77777777" w:rsidR="00561B22" w:rsidRPr="000B5B5E" w:rsidRDefault="00561B22" w:rsidP="00F1223B">
            <w:pPr>
              <w:jc w:val="both"/>
              <w:rPr>
                <w:rFonts w:ascii="Arial" w:hAnsi="Arial" w:cs="Arial"/>
                <w:sz w:val="22"/>
                <w:szCs w:val="22"/>
              </w:rPr>
            </w:pPr>
            <w:r w:rsidRPr="000B5B5E">
              <w:rPr>
                <w:rFonts w:ascii="Arial" w:hAnsi="Arial" w:cs="Arial"/>
                <w:sz w:val="22"/>
                <w:szCs w:val="22"/>
              </w:rPr>
              <w:t>Se recomienda, evaluar con prioridad la implementación de una política, directriz, procedimiento, guía o lineamiento para la divulgación de los estados financieros.</w:t>
            </w:r>
          </w:p>
        </w:tc>
      </w:tr>
      <w:tr w:rsidR="00561B22" w:rsidRPr="000B5B5E" w14:paraId="710A326E" w14:textId="77777777" w:rsidTr="00F1223B">
        <w:tc>
          <w:tcPr>
            <w:tcW w:w="988" w:type="dxa"/>
          </w:tcPr>
          <w:p w14:paraId="382BC3D2"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2</w:t>
            </w:r>
          </w:p>
        </w:tc>
        <w:tc>
          <w:tcPr>
            <w:tcW w:w="8974" w:type="dxa"/>
          </w:tcPr>
          <w:p w14:paraId="020410EE" w14:textId="77777777" w:rsidR="00561B22" w:rsidRPr="000B5B5E" w:rsidRDefault="00561B22" w:rsidP="00F1223B">
            <w:pPr>
              <w:jc w:val="both"/>
              <w:rPr>
                <w:rFonts w:ascii="Arial" w:hAnsi="Arial" w:cs="Arial"/>
                <w:bCs/>
                <w:sz w:val="22"/>
                <w:szCs w:val="22"/>
                <w:lang w:val="es-MX"/>
              </w:rPr>
            </w:pPr>
            <w:r w:rsidRPr="000B5B5E">
              <w:rPr>
                <w:rFonts w:ascii="Arial" w:hAnsi="Arial" w:cs="Arial"/>
                <w:bCs/>
                <w:sz w:val="22"/>
                <w:szCs w:val="22"/>
                <w:lang w:val="es-MX"/>
              </w:rPr>
              <w:t>Se sugiere, que, durante los ejercicios de rendición de cuentas, se sincronice la presentación de información con el corte previsto para toda entidad, evitando la presentación de datos insuficientes que eventualmente no permitan la comparación entre periodos.</w:t>
            </w:r>
          </w:p>
        </w:tc>
      </w:tr>
      <w:tr w:rsidR="00561B22" w:rsidRPr="000B5B5E" w14:paraId="656BC59F" w14:textId="77777777" w:rsidTr="00F1223B">
        <w:tc>
          <w:tcPr>
            <w:tcW w:w="988" w:type="dxa"/>
          </w:tcPr>
          <w:p w14:paraId="2F3D9A1A" w14:textId="77777777" w:rsidR="00561B22" w:rsidRPr="000B5B5E" w:rsidRDefault="00561B22" w:rsidP="00F1223B">
            <w:pPr>
              <w:jc w:val="center"/>
              <w:rPr>
                <w:rFonts w:ascii="Arial" w:hAnsi="Arial" w:cs="Arial"/>
                <w:b/>
                <w:sz w:val="22"/>
                <w:szCs w:val="22"/>
                <w:lang w:val="es-MX"/>
              </w:rPr>
            </w:pPr>
            <w:r w:rsidRPr="000B5B5E">
              <w:rPr>
                <w:rFonts w:ascii="Arial" w:hAnsi="Arial" w:cs="Arial"/>
                <w:b/>
                <w:sz w:val="22"/>
                <w:szCs w:val="22"/>
                <w:lang w:val="es-MX"/>
              </w:rPr>
              <w:t>3</w:t>
            </w:r>
          </w:p>
        </w:tc>
        <w:tc>
          <w:tcPr>
            <w:tcW w:w="8974" w:type="dxa"/>
          </w:tcPr>
          <w:p w14:paraId="694DB6D4" w14:textId="77777777" w:rsidR="00561B22" w:rsidRPr="000B5B5E" w:rsidRDefault="00561B22" w:rsidP="00F1223B">
            <w:pPr>
              <w:jc w:val="both"/>
              <w:rPr>
                <w:rFonts w:ascii="Arial" w:hAnsi="Arial" w:cs="Arial"/>
                <w:bCs/>
                <w:sz w:val="22"/>
                <w:szCs w:val="22"/>
                <w:lang w:val="es-MX"/>
              </w:rPr>
            </w:pPr>
            <w:r w:rsidRPr="000B5B5E">
              <w:rPr>
                <w:rFonts w:ascii="Arial" w:hAnsi="Arial" w:cs="Arial"/>
                <w:bCs/>
                <w:sz w:val="22"/>
                <w:szCs w:val="22"/>
                <w:lang w:val="es-MX"/>
              </w:rPr>
              <w:t>Frente a la autoevaluación de los controles, se sugiere, fortalecer los ejercicios de autoanálisis al interior del GIT de Contabilidad, con el fin, de identificar posibles debilidades en la gestión de riesgos y controles derivados.</w:t>
            </w:r>
          </w:p>
        </w:tc>
      </w:tr>
    </w:tbl>
    <w:p w14:paraId="72894019" w14:textId="77777777" w:rsidR="00561B22" w:rsidRPr="000B5B5E" w:rsidRDefault="00561B22" w:rsidP="00561B22">
      <w:pPr>
        <w:pStyle w:val="Textoindependiente"/>
        <w:ind w:right="-50"/>
        <w:jc w:val="both"/>
        <w:rPr>
          <w:rFonts w:ascii="Arial" w:hAnsi="Arial" w:cs="Arial"/>
          <w:b/>
          <w:bCs/>
        </w:rPr>
      </w:pPr>
    </w:p>
    <w:p w14:paraId="166CE909" w14:textId="77777777" w:rsidR="00561B22" w:rsidRPr="000B5B5E" w:rsidRDefault="00561B22" w:rsidP="00561B22">
      <w:pPr>
        <w:jc w:val="both"/>
        <w:rPr>
          <w:rFonts w:ascii="Arial" w:hAnsi="Arial" w:cs="Arial"/>
          <w:b/>
          <w:bCs/>
          <w:sz w:val="24"/>
          <w:szCs w:val="24"/>
          <w:lang w:val="es-CO"/>
        </w:rPr>
      </w:pPr>
      <w:r w:rsidRPr="000B5B5E">
        <w:rPr>
          <w:rFonts w:ascii="Arial" w:hAnsi="Arial" w:cs="Arial"/>
          <w:b/>
          <w:bCs/>
          <w:sz w:val="24"/>
          <w:szCs w:val="24"/>
          <w:lang w:val="es-CO"/>
        </w:rPr>
        <w:t xml:space="preserve">NOTA: LA ENTIDAD ENVIA LA MATRIZ DE AUTOEVALUACIÓN DEL SISTEMA DE CONTROL INTERNO CONTABLE CON ACTIVIDADES DE CONTROL REALIZADAS </w:t>
      </w:r>
      <w:r w:rsidRPr="000B5B5E">
        <w:rPr>
          <w:rFonts w:ascii="Arial" w:hAnsi="Arial" w:cs="Arial"/>
          <w:b/>
          <w:bCs/>
          <w:sz w:val="24"/>
          <w:szCs w:val="24"/>
          <w:u w:val="single"/>
          <w:lang w:val="es-CO"/>
        </w:rPr>
        <w:t>EN FORMA PARCIAL Y OTRAS SIMPLEMENTE INFORMAN QUE NO SE REALIZARON</w:t>
      </w:r>
      <w:r w:rsidRPr="000B5B5E">
        <w:rPr>
          <w:rFonts w:ascii="Arial" w:hAnsi="Arial" w:cs="Arial"/>
          <w:b/>
          <w:bCs/>
          <w:sz w:val="24"/>
          <w:szCs w:val="24"/>
          <w:lang w:val="es-CO"/>
        </w:rPr>
        <w:t>.</w:t>
      </w:r>
    </w:p>
    <w:p w14:paraId="6B34ABC0" w14:textId="77777777" w:rsidR="00561B22" w:rsidRDefault="00561B22" w:rsidP="00561B22">
      <w:pPr>
        <w:jc w:val="both"/>
        <w:rPr>
          <w:rFonts w:ascii="Arial" w:hAnsi="Arial" w:cs="Arial"/>
          <w:b/>
          <w:bCs/>
        </w:rPr>
      </w:pPr>
    </w:p>
    <w:p w14:paraId="5EADC867" w14:textId="77777777" w:rsidR="00561B22" w:rsidRPr="00197447" w:rsidRDefault="00561B22" w:rsidP="00561B22">
      <w:pPr>
        <w:jc w:val="both"/>
        <w:rPr>
          <w:rFonts w:ascii="Arial" w:hAnsi="Arial" w:cs="Arial"/>
          <w:b/>
          <w:sz w:val="28"/>
          <w:szCs w:val="28"/>
          <w:lang w:val="es-MX"/>
        </w:rPr>
      </w:pPr>
      <w:r w:rsidRPr="00197447">
        <w:rPr>
          <w:rFonts w:ascii="Arial" w:hAnsi="Arial" w:cs="Arial"/>
          <w:b/>
          <w:sz w:val="28"/>
          <w:szCs w:val="28"/>
          <w:lang w:val="es-MX"/>
        </w:rPr>
        <w:t>52.- CLUB MILITAR DE OFICIALES.</w:t>
      </w:r>
    </w:p>
    <w:p w14:paraId="4BEE07BC" w14:textId="77777777" w:rsidR="00561B22" w:rsidRDefault="00561B22" w:rsidP="00561B22">
      <w:pPr>
        <w:jc w:val="both"/>
        <w:rPr>
          <w:rFonts w:ascii="Arial" w:hAnsi="Arial" w:cs="Arial"/>
          <w:b/>
          <w:bCs/>
        </w:rPr>
      </w:pPr>
    </w:p>
    <w:p w14:paraId="05AB9BDB" w14:textId="77777777" w:rsidR="00561B22" w:rsidRPr="00CD548D" w:rsidRDefault="00561B22" w:rsidP="00561B22">
      <w:pPr>
        <w:pStyle w:val="Textoindependiente"/>
        <w:ind w:right="-50"/>
        <w:jc w:val="center"/>
        <w:rPr>
          <w:rFonts w:ascii="Arial" w:hAnsi="Arial" w:cs="Arial"/>
          <w:b/>
          <w:bCs/>
        </w:rPr>
      </w:pPr>
      <w:r w:rsidRPr="00CD548D">
        <w:rPr>
          <w:rFonts w:ascii="Arial" w:hAnsi="Arial" w:cs="Arial"/>
          <w:b/>
          <w:bCs/>
        </w:rPr>
        <w:t>INFORME DE LA AUTOCALIFICACIÓN DEL SISTEMA DE CONTROL INTERNO CONTABLE:</w:t>
      </w:r>
    </w:p>
    <w:p w14:paraId="2386CAE5" w14:textId="77777777" w:rsidR="00561B22" w:rsidRPr="00CD54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D548D" w14:paraId="7A832F09" w14:textId="77777777" w:rsidTr="00F1223B">
        <w:tc>
          <w:tcPr>
            <w:tcW w:w="4981" w:type="dxa"/>
          </w:tcPr>
          <w:p w14:paraId="05227EB9"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AUTOCALIFICACIÓN</w:t>
            </w:r>
          </w:p>
        </w:tc>
        <w:tc>
          <w:tcPr>
            <w:tcW w:w="4981" w:type="dxa"/>
          </w:tcPr>
          <w:p w14:paraId="17643648" w14:textId="77777777" w:rsidR="00561B22" w:rsidRPr="00CD548D" w:rsidRDefault="00561B22" w:rsidP="00F1223B">
            <w:pPr>
              <w:jc w:val="center"/>
              <w:rPr>
                <w:rFonts w:ascii="Arial" w:hAnsi="Arial" w:cs="Arial"/>
                <w:b/>
                <w:sz w:val="22"/>
                <w:szCs w:val="22"/>
                <w:u w:val="single"/>
                <w:lang w:val="es-MX"/>
              </w:rPr>
            </w:pPr>
            <w:r w:rsidRPr="00CD548D">
              <w:rPr>
                <w:rFonts w:ascii="Arial" w:hAnsi="Arial" w:cs="Arial"/>
                <w:b/>
                <w:sz w:val="22"/>
                <w:szCs w:val="22"/>
                <w:u w:val="single"/>
                <w:lang w:val="es-MX"/>
              </w:rPr>
              <w:t>4.66</w:t>
            </w:r>
          </w:p>
        </w:tc>
      </w:tr>
    </w:tbl>
    <w:p w14:paraId="15B06608" w14:textId="77777777" w:rsidR="00561B22" w:rsidRPr="00CD548D" w:rsidRDefault="00561B22" w:rsidP="00561B22">
      <w:pPr>
        <w:pStyle w:val="Textoindependiente"/>
        <w:ind w:right="-50"/>
        <w:jc w:val="both"/>
        <w:rPr>
          <w:rFonts w:ascii="Arial" w:hAnsi="Arial" w:cs="Arial"/>
          <w:b/>
          <w:bCs/>
        </w:rPr>
      </w:pPr>
    </w:p>
    <w:p w14:paraId="2B46FAD4" w14:textId="77777777" w:rsidR="00561B22" w:rsidRPr="00CD548D" w:rsidRDefault="00561B22" w:rsidP="00561B22">
      <w:pPr>
        <w:pStyle w:val="Textoindependiente"/>
        <w:ind w:right="-50"/>
        <w:jc w:val="both"/>
        <w:rPr>
          <w:rFonts w:ascii="Arial" w:hAnsi="Arial" w:cs="Arial"/>
          <w:b/>
          <w:bCs/>
        </w:rPr>
      </w:pPr>
      <w:r w:rsidRPr="00CD548D">
        <w:rPr>
          <w:rFonts w:ascii="Arial" w:hAnsi="Arial" w:cs="Arial"/>
          <w:b/>
          <w:bCs/>
        </w:rPr>
        <w:t>Del informe enviado retomamos lo siguiente:</w:t>
      </w:r>
    </w:p>
    <w:p w14:paraId="5D115A26" w14:textId="77777777" w:rsidR="00561B22" w:rsidRPr="00CD54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CD548D" w14:paraId="5880656D" w14:textId="77777777" w:rsidTr="00F1223B">
        <w:tc>
          <w:tcPr>
            <w:tcW w:w="988" w:type="dxa"/>
          </w:tcPr>
          <w:p w14:paraId="7DBC5A6A" w14:textId="77777777" w:rsidR="00561B22" w:rsidRPr="00CD548D" w:rsidRDefault="00561B22" w:rsidP="00F1223B">
            <w:pPr>
              <w:ind w:right="-109"/>
              <w:jc w:val="center"/>
              <w:rPr>
                <w:rFonts w:ascii="Arial" w:hAnsi="Arial" w:cs="Arial"/>
                <w:b/>
                <w:sz w:val="22"/>
                <w:szCs w:val="22"/>
                <w:lang w:val="es-MX"/>
              </w:rPr>
            </w:pPr>
            <w:r w:rsidRPr="00CD548D">
              <w:rPr>
                <w:rFonts w:ascii="Arial" w:hAnsi="Arial" w:cs="Arial"/>
                <w:b/>
                <w:sz w:val="22"/>
                <w:szCs w:val="22"/>
                <w:lang w:val="es-MX"/>
              </w:rPr>
              <w:t>N°</w:t>
            </w:r>
          </w:p>
        </w:tc>
        <w:tc>
          <w:tcPr>
            <w:tcW w:w="8974" w:type="dxa"/>
          </w:tcPr>
          <w:p w14:paraId="3DE582F4"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DEBILIDADES</w:t>
            </w:r>
          </w:p>
          <w:p w14:paraId="28DD9A97" w14:textId="77777777" w:rsidR="00561B22" w:rsidRPr="00CD548D" w:rsidRDefault="00561B22" w:rsidP="00F1223B">
            <w:pPr>
              <w:jc w:val="center"/>
              <w:rPr>
                <w:rFonts w:ascii="Arial" w:hAnsi="Arial" w:cs="Arial"/>
                <w:b/>
                <w:sz w:val="22"/>
                <w:szCs w:val="22"/>
                <w:lang w:val="es-MX"/>
              </w:rPr>
            </w:pPr>
          </w:p>
        </w:tc>
      </w:tr>
      <w:tr w:rsidR="00561B22" w:rsidRPr="00CD548D" w14:paraId="14660769" w14:textId="77777777" w:rsidTr="00F1223B">
        <w:tc>
          <w:tcPr>
            <w:tcW w:w="988" w:type="dxa"/>
          </w:tcPr>
          <w:p w14:paraId="50BFE6E1"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1</w:t>
            </w:r>
          </w:p>
        </w:tc>
        <w:tc>
          <w:tcPr>
            <w:tcW w:w="8974" w:type="dxa"/>
          </w:tcPr>
          <w:p w14:paraId="6D092F3C" w14:textId="77777777" w:rsidR="00561B22" w:rsidRPr="00CD548D" w:rsidRDefault="00561B22" w:rsidP="00F1223B">
            <w:pPr>
              <w:jc w:val="both"/>
              <w:rPr>
                <w:rFonts w:ascii="Arial" w:hAnsi="Arial" w:cs="Arial"/>
                <w:bCs/>
                <w:sz w:val="22"/>
                <w:szCs w:val="22"/>
                <w:lang w:val="es-MX"/>
              </w:rPr>
            </w:pPr>
            <w:r w:rsidRPr="00CD548D">
              <w:rPr>
                <w:rFonts w:ascii="Arial" w:hAnsi="Arial" w:cs="Arial"/>
                <w:bCs/>
                <w:sz w:val="22"/>
                <w:szCs w:val="22"/>
                <w:lang w:val="es-MX"/>
              </w:rPr>
              <w:t>Debilidades en la oportunidad de conciliaciones bancarias e identificación de partidas conciliatorias.</w:t>
            </w:r>
          </w:p>
        </w:tc>
      </w:tr>
      <w:tr w:rsidR="00561B22" w:rsidRPr="00CD548D" w14:paraId="4491E089" w14:textId="77777777" w:rsidTr="00F1223B">
        <w:tc>
          <w:tcPr>
            <w:tcW w:w="988" w:type="dxa"/>
          </w:tcPr>
          <w:p w14:paraId="29370F4D"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2</w:t>
            </w:r>
          </w:p>
        </w:tc>
        <w:tc>
          <w:tcPr>
            <w:tcW w:w="8974" w:type="dxa"/>
          </w:tcPr>
          <w:p w14:paraId="4052D3BD" w14:textId="77777777" w:rsidR="00561B22" w:rsidRPr="00CD548D" w:rsidRDefault="00561B22" w:rsidP="00F1223B">
            <w:pPr>
              <w:jc w:val="both"/>
              <w:rPr>
                <w:rFonts w:ascii="Arial" w:hAnsi="Arial" w:cs="Arial"/>
                <w:bCs/>
                <w:sz w:val="22"/>
                <w:szCs w:val="22"/>
                <w:lang w:val="es-MX"/>
              </w:rPr>
            </w:pPr>
            <w:r w:rsidRPr="00CD548D">
              <w:rPr>
                <w:rFonts w:ascii="Arial" w:hAnsi="Arial" w:cs="Arial"/>
                <w:bCs/>
                <w:sz w:val="22"/>
                <w:szCs w:val="22"/>
                <w:lang w:val="es-MX"/>
              </w:rPr>
              <w:t>Pérdida de responsabilidad de la persona asignada de Control Interno Contable en el área financiera.</w:t>
            </w:r>
          </w:p>
        </w:tc>
      </w:tr>
      <w:tr w:rsidR="00561B22" w:rsidRPr="00CD548D" w14:paraId="2AA0E062" w14:textId="77777777" w:rsidTr="00F1223B">
        <w:tc>
          <w:tcPr>
            <w:tcW w:w="988" w:type="dxa"/>
          </w:tcPr>
          <w:p w14:paraId="2B5FD0AC"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3</w:t>
            </w:r>
          </w:p>
        </w:tc>
        <w:tc>
          <w:tcPr>
            <w:tcW w:w="8974" w:type="dxa"/>
          </w:tcPr>
          <w:p w14:paraId="15D5155A" w14:textId="77777777" w:rsidR="00561B22" w:rsidRPr="00CD548D" w:rsidRDefault="00561B22" w:rsidP="00F1223B">
            <w:pPr>
              <w:jc w:val="both"/>
              <w:rPr>
                <w:rFonts w:ascii="Arial" w:hAnsi="Arial" w:cs="Arial"/>
                <w:bCs/>
                <w:sz w:val="22"/>
                <w:szCs w:val="22"/>
                <w:lang w:val="es-MX"/>
              </w:rPr>
            </w:pPr>
            <w:r w:rsidRPr="00CD548D">
              <w:rPr>
                <w:rFonts w:ascii="Arial" w:hAnsi="Arial" w:cs="Arial"/>
                <w:bCs/>
                <w:sz w:val="22"/>
                <w:szCs w:val="22"/>
                <w:lang w:val="es-MX"/>
              </w:rPr>
              <w:t>Actualización de procedimientos del área contable de acuerdo a la actualidad de la dinámica de la entidad.</w:t>
            </w:r>
          </w:p>
        </w:tc>
      </w:tr>
    </w:tbl>
    <w:p w14:paraId="78CCDC66" w14:textId="77777777" w:rsidR="00561B22" w:rsidRPr="00CD548D" w:rsidRDefault="00561B22" w:rsidP="00561B22">
      <w:pPr>
        <w:pStyle w:val="Textoindependiente"/>
        <w:ind w:right="-50"/>
        <w:jc w:val="both"/>
        <w:rPr>
          <w:rFonts w:ascii="Arial" w:hAnsi="Arial" w:cs="Arial"/>
          <w:b/>
          <w:bCs/>
        </w:rPr>
      </w:pPr>
    </w:p>
    <w:p w14:paraId="66303C39" w14:textId="77777777" w:rsidR="00561B22" w:rsidRPr="00CD548D" w:rsidRDefault="00561B22" w:rsidP="00561B22">
      <w:pPr>
        <w:jc w:val="both"/>
        <w:rPr>
          <w:rFonts w:ascii="Arial" w:hAnsi="Arial" w:cs="Arial"/>
          <w:b/>
          <w:lang w:val="es-MX"/>
        </w:rPr>
      </w:pPr>
      <w:r w:rsidRPr="00CD548D">
        <w:rPr>
          <w:rFonts w:ascii="Arial" w:hAnsi="Arial" w:cs="Arial"/>
          <w:b/>
          <w:lang w:val="es-MX"/>
        </w:rPr>
        <w:t>Del citado informe retomamos las siguientes recomendaciones:</w:t>
      </w:r>
    </w:p>
    <w:p w14:paraId="63834A9F" w14:textId="77777777" w:rsidR="00561B22" w:rsidRPr="00CD54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CD548D" w14:paraId="211C0968" w14:textId="77777777" w:rsidTr="00F1223B">
        <w:tc>
          <w:tcPr>
            <w:tcW w:w="988" w:type="dxa"/>
          </w:tcPr>
          <w:p w14:paraId="3ED28F87" w14:textId="77777777" w:rsidR="00561B22" w:rsidRPr="00CD548D" w:rsidRDefault="00561B22" w:rsidP="00F1223B">
            <w:pPr>
              <w:ind w:right="-109"/>
              <w:jc w:val="center"/>
              <w:rPr>
                <w:rFonts w:ascii="Arial" w:hAnsi="Arial" w:cs="Arial"/>
                <w:b/>
                <w:sz w:val="22"/>
                <w:szCs w:val="22"/>
                <w:lang w:val="es-MX"/>
              </w:rPr>
            </w:pPr>
            <w:r w:rsidRPr="00CD548D">
              <w:rPr>
                <w:rFonts w:ascii="Arial" w:hAnsi="Arial" w:cs="Arial"/>
                <w:b/>
                <w:sz w:val="22"/>
                <w:szCs w:val="22"/>
                <w:lang w:val="es-MX"/>
              </w:rPr>
              <w:t>N°</w:t>
            </w:r>
          </w:p>
        </w:tc>
        <w:tc>
          <w:tcPr>
            <w:tcW w:w="8974" w:type="dxa"/>
          </w:tcPr>
          <w:p w14:paraId="2ED8F8BF"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RECOMENDACIONES</w:t>
            </w:r>
          </w:p>
          <w:p w14:paraId="54CB94E5" w14:textId="77777777" w:rsidR="00561B22" w:rsidRPr="00CD548D" w:rsidRDefault="00561B22" w:rsidP="00F1223B">
            <w:pPr>
              <w:jc w:val="center"/>
              <w:rPr>
                <w:rFonts w:ascii="Arial" w:hAnsi="Arial" w:cs="Arial"/>
                <w:b/>
                <w:sz w:val="22"/>
                <w:szCs w:val="22"/>
                <w:lang w:val="es-MX"/>
              </w:rPr>
            </w:pPr>
          </w:p>
        </w:tc>
      </w:tr>
      <w:tr w:rsidR="00561B22" w:rsidRPr="00CD548D" w14:paraId="3AFD6E21" w14:textId="77777777" w:rsidTr="00F1223B">
        <w:tc>
          <w:tcPr>
            <w:tcW w:w="988" w:type="dxa"/>
          </w:tcPr>
          <w:p w14:paraId="4BA1AA0E"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1</w:t>
            </w:r>
          </w:p>
        </w:tc>
        <w:tc>
          <w:tcPr>
            <w:tcW w:w="8974" w:type="dxa"/>
          </w:tcPr>
          <w:p w14:paraId="1405BBAC" w14:textId="77777777" w:rsidR="00561B22" w:rsidRPr="00CD548D" w:rsidRDefault="00561B22" w:rsidP="00F1223B">
            <w:pPr>
              <w:jc w:val="both"/>
              <w:rPr>
                <w:rFonts w:ascii="Arial" w:hAnsi="Arial" w:cs="Arial"/>
                <w:bCs/>
                <w:sz w:val="22"/>
                <w:szCs w:val="22"/>
                <w:lang w:val="es-MX"/>
              </w:rPr>
            </w:pPr>
            <w:r w:rsidRPr="00CD548D">
              <w:rPr>
                <w:rFonts w:ascii="Arial" w:hAnsi="Arial" w:cs="Arial"/>
                <w:bCs/>
                <w:sz w:val="22"/>
                <w:szCs w:val="22"/>
                <w:lang w:val="es-MX"/>
              </w:rPr>
              <w:t>Actualización de procedimientos del área.</w:t>
            </w:r>
          </w:p>
        </w:tc>
      </w:tr>
      <w:tr w:rsidR="00561B22" w:rsidRPr="00CD548D" w14:paraId="65741665" w14:textId="77777777" w:rsidTr="00F1223B">
        <w:tc>
          <w:tcPr>
            <w:tcW w:w="988" w:type="dxa"/>
          </w:tcPr>
          <w:p w14:paraId="2776CE1E"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2</w:t>
            </w:r>
          </w:p>
        </w:tc>
        <w:tc>
          <w:tcPr>
            <w:tcW w:w="8974" w:type="dxa"/>
          </w:tcPr>
          <w:p w14:paraId="13CE1E7B" w14:textId="77777777" w:rsidR="00561B22" w:rsidRPr="00CD548D" w:rsidRDefault="00561B22" w:rsidP="00F1223B">
            <w:pPr>
              <w:jc w:val="both"/>
              <w:rPr>
                <w:rFonts w:ascii="Arial" w:hAnsi="Arial" w:cs="Arial"/>
                <w:bCs/>
                <w:sz w:val="22"/>
                <w:szCs w:val="22"/>
                <w:lang w:val="es-MX"/>
              </w:rPr>
            </w:pPr>
            <w:r w:rsidRPr="00CD548D">
              <w:rPr>
                <w:rFonts w:ascii="Arial" w:hAnsi="Arial" w:cs="Arial"/>
                <w:bCs/>
                <w:sz w:val="22"/>
                <w:szCs w:val="22"/>
                <w:lang w:val="es-MX"/>
              </w:rPr>
              <w:t>Implementación de funcionario de control interno en el área.</w:t>
            </w:r>
          </w:p>
        </w:tc>
      </w:tr>
      <w:tr w:rsidR="00561B22" w:rsidRPr="00CD548D" w14:paraId="103FF2EE" w14:textId="77777777" w:rsidTr="00F1223B">
        <w:tc>
          <w:tcPr>
            <w:tcW w:w="988" w:type="dxa"/>
          </w:tcPr>
          <w:p w14:paraId="318C05FF" w14:textId="77777777" w:rsidR="00561B22" w:rsidRPr="00CD548D" w:rsidRDefault="00561B22" w:rsidP="00F1223B">
            <w:pPr>
              <w:jc w:val="center"/>
              <w:rPr>
                <w:rFonts w:ascii="Arial" w:hAnsi="Arial" w:cs="Arial"/>
                <w:b/>
                <w:sz w:val="22"/>
                <w:szCs w:val="22"/>
                <w:lang w:val="es-MX"/>
              </w:rPr>
            </w:pPr>
            <w:r w:rsidRPr="00CD548D">
              <w:rPr>
                <w:rFonts w:ascii="Arial" w:hAnsi="Arial" w:cs="Arial"/>
                <w:b/>
                <w:sz w:val="22"/>
                <w:szCs w:val="22"/>
                <w:lang w:val="es-MX"/>
              </w:rPr>
              <w:t>3</w:t>
            </w:r>
          </w:p>
        </w:tc>
        <w:tc>
          <w:tcPr>
            <w:tcW w:w="8974" w:type="dxa"/>
          </w:tcPr>
          <w:p w14:paraId="63CED14A" w14:textId="77777777" w:rsidR="00561B22" w:rsidRPr="00CD548D" w:rsidRDefault="00561B22" w:rsidP="00F1223B">
            <w:pPr>
              <w:jc w:val="both"/>
              <w:rPr>
                <w:rFonts w:ascii="Arial" w:hAnsi="Arial" w:cs="Arial"/>
                <w:bCs/>
                <w:sz w:val="22"/>
                <w:szCs w:val="22"/>
                <w:lang w:val="es-MX"/>
              </w:rPr>
            </w:pPr>
            <w:r w:rsidRPr="00CD548D">
              <w:rPr>
                <w:rFonts w:ascii="Arial" w:hAnsi="Arial" w:cs="Arial"/>
                <w:bCs/>
                <w:sz w:val="22"/>
                <w:szCs w:val="22"/>
                <w:lang w:val="es-MX"/>
              </w:rPr>
              <w:t>Afianzar los procesos de capacitación desde Talento Humano y generación de desarrollo de competencias en el área.</w:t>
            </w:r>
          </w:p>
        </w:tc>
      </w:tr>
    </w:tbl>
    <w:p w14:paraId="00574F49" w14:textId="77777777" w:rsidR="00561B22" w:rsidRPr="00CD548D" w:rsidRDefault="00561B22" w:rsidP="00561B22">
      <w:pPr>
        <w:jc w:val="both"/>
        <w:rPr>
          <w:rFonts w:ascii="Arial" w:hAnsi="Arial" w:cs="Arial"/>
          <w:b/>
          <w:bCs/>
          <w:lang w:val="es-CO"/>
        </w:rPr>
      </w:pPr>
    </w:p>
    <w:p w14:paraId="30894730" w14:textId="77777777" w:rsidR="00561B22" w:rsidRPr="00CD548D" w:rsidRDefault="00561B22" w:rsidP="00561B22">
      <w:pPr>
        <w:jc w:val="both"/>
        <w:rPr>
          <w:rFonts w:ascii="Arial" w:hAnsi="Arial" w:cs="Arial"/>
          <w:b/>
          <w:bCs/>
          <w:sz w:val="24"/>
          <w:szCs w:val="24"/>
          <w:lang w:val="es-CO"/>
        </w:rPr>
      </w:pPr>
      <w:r w:rsidRPr="00CD548D">
        <w:rPr>
          <w:rFonts w:ascii="Arial" w:hAnsi="Arial" w:cs="Arial"/>
          <w:b/>
          <w:bCs/>
          <w:sz w:val="24"/>
          <w:szCs w:val="24"/>
          <w:lang w:val="es-CO"/>
        </w:rPr>
        <w:t xml:space="preserve">NOTA: LA ENTIDAD ENVIA LA MATRIZ DE AUTOEVALUACIÓN DEL SISTEMA DE CONTROL INTERNO CONTABLE CON </w:t>
      </w:r>
      <w:r w:rsidRPr="00CD548D">
        <w:rPr>
          <w:rFonts w:ascii="Arial" w:hAnsi="Arial" w:cs="Arial"/>
          <w:b/>
          <w:bCs/>
          <w:sz w:val="24"/>
          <w:szCs w:val="24"/>
          <w:u w:val="single"/>
          <w:lang w:val="es-CO"/>
        </w:rPr>
        <w:t xml:space="preserve">ACTIVIDADES DE CONTROL REALIZADAS EN </w:t>
      </w:r>
      <w:r w:rsidRPr="00CD548D">
        <w:rPr>
          <w:rFonts w:ascii="Arial" w:hAnsi="Arial" w:cs="Arial"/>
          <w:b/>
          <w:bCs/>
          <w:sz w:val="24"/>
          <w:szCs w:val="24"/>
          <w:u w:val="single"/>
          <w:lang w:val="es-CO"/>
        </w:rPr>
        <w:lastRenderedPageBreak/>
        <w:t>FORMA PARCIAL</w:t>
      </w:r>
      <w:r w:rsidRPr="00CD548D">
        <w:rPr>
          <w:rFonts w:ascii="Arial" w:hAnsi="Arial" w:cs="Arial"/>
          <w:b/>
          <w:bCs/>
          <w:sz w:val="24"/>
          <w:szCs w:val="24"/>
          <w:lang w:val="es-CO"/>
        </w:rPr>
        <w:t>.</w:t>
      </w:r>
    </w:p>
    <w:p w14:paraId="1D7CC19A" w14:textId="77777777" w:rsidR="00561B22" w:rsidRPr="006908C8" w:rsidRDefault="00561B22" w:rsidP="00561B22">
      <w:pPr>
        <w:pStyle w:val="Ttulo1"/>
        <w:ind w:right="-50"/>
        <w:rPr>
          <w:sz w:val="28"/>
          <w:szCs w:val="28"/>
        </w:rPr>
      </w:pPr>
    </w:p>
    <w:p w14:paraId="561BE58B" w14:textId="77777777" w:rsidR="00561B22" w:rsidRPr="006908C8" w:rsidRDefault="00561B22" w:rsidP="00561B22">
      <w:pPr>
        <w:jc w:val="both"/>
        <w:rPr>
          <w:rFonts w:ascii="Arial" w:hAnsi="Arial" w:cs="Arial"/>
          <w:b/>
          <w:sz w:val="28"/>
          <w:szCs w:val="28"/>
          <w:lang w:val="es-MX"/>
        </w:rPr>
      </w:pPr>
      <w:r w:rsidRPr="006908C8">
        <w:rPr>
          <w:rFonts w:ascii="Arial" w:hAnsi="Arial" w:cs="Arial"/>
          <w:b/>
          <w:sz w:val="28"/>
          <w:szCs w:val="28"/>
          <w:lang w:val="es-MX"/>
        </w:rPr>
        <w:t>53.- CORPORACIÓN DE LA INDUSTRIA AERONAUTICA COLOMBIANA S.A. - CIAC.</w:t>
      </w:r>
    </w:p>
    <w:p w14:paraId="0741F2F8" w14:textId="77777777" w:rsidR="00561B22" w:rsidRDefault="00561B22" w:rsidP="00561B22">
      <w:pPr>
        <w:jc w:val="both"/>
        <w:rPr>
          <w:rFonts w:ascii="Arial" w:hAnsi="Arial" w:cs="Arial"/>
          <w:b/>
          <w:bCs/>
        </w:rPr>
      </w:pPr>
    </w:p>
    <w:p w14:paraId="0812D609" w14:textId="77777777" w:rsidR="00561B22" w:rsidRPr="00380CC8" w:rsidRDefault="00561B22" w:rsidP="00561B22">
      <w:pPr>
        <w:pStyle w:val="Textoindependiente"/>
        <w:ind w:right="-50"/>
        <w:jc w:val="center"/>
        <w:rPr>
          <w:rFonts w:ascii="Arial" w:hAnsi="Arial" w:cs="Arial"/>
          <w:b/>
          <w:bCs/>
        </w:rPr>
      </w:pPr>
      <w:r w:rsidRPr="00380CC8">
        <w:rPr>
          <w:rFonts w:ascii="Arial" w:hAnsi="Arial" w:cs="Arial"/>
          <w:b/>
          <w:bCs/>
        </w:rPr>
        <w:t>INFORME DE LA AUTOCALIFICACIÓN DEL SISTEMA DE CONTROL INTERNO CONTABLE:</w:t>
      </w:r>
    </w:p>
    <w:p w14:paraId="55A9C4C0" w14:textId="77777777" w:rsidR="00561B22" w:rsidRPr="00380CC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80CC8" w14:paraId="3077592F" w14:textId="77777777" w:rsidTr="00F1223B">
        <w:tc>
          <w:tcPr>
            <w:tcW w:w="4981" w:type="dxa"/>
          </w:tcPr>
          <w:p w14:paraId="6CEDDD67"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AUTOCALIFICACIÓN</w:t>
            </w:r>
          </w:p>
        </w:tc>
        <w:tc>
          <w:tcPr>
            <w:tcW w:w="4981" w:type="dxa"/>
          </w:tcPr>
          <w:p w14:paraId="7C53A895" w14:textId="77777777" w:rsidR="00561B22" w:rsidRPr="00380CC8" w:rsidRDefault="00561B22" w:rsidP="00F1223B">
            <w:pPr>
              <w:jc w:val="center"/>
              <w:rPr>
                <w:rFonts w:ascii="Arial" w:hAnsi="Arial" w:cs="Arial"/>
                <w:b/>
                <w:sz w:val="22"/>
                <w:szCs w:val="22"/>
                <w:u w:val="single"/>
                <w:lang w:val="es-MX"/>
              </w:rPr>
            </w:pPr>
            <w:r w:rsidRPr="00380CC8">
              <w:rPr>
                <w:rFonts w:ascii="Arial" w:hAnsi="Arial" w:cs="Arial"/>
                <w:b/>
                <w:sz w:val="22"/>
                <w:szCs w:val="22"/>
                <w:u w:val="single"/>
                <w:lang w:val="es-MX"/>
              </w:rPr>
              <w:t>4.91</w:t>
            </w:r>
          </w:p>
        </w:tc>
      </w:tr>
    </w:tbl>
    <w:p w14:paraId="6DA5400E" w14:textId="77777777" w:rsidR="00561B22" w:rsidRPr="00380CC8" w:rsidRDefault="00561B22" w:rsidP="00561B22">
      <w:pPr>
        <w:pStyle w:val="Textoindependiente"/>
        <w:ind w:right="-50"/>
        <w:jc w:val="both"/>
        <w:rPr>
          <w:rFonts w:ascii="Arial" w:hAnsi="Arial" w:cs="Arial"/>
          <w:b/>
          <w:bCs/>
        </w:rPr>
      </w:pPr>
      <w:r w:rsidRPr="00380CC8">
        <w:rPr>
          <w:rFonts w:ascii="Arial" w:hAnsi="Arial" w:cs="Arial"/>
          <w:b/>
          <w:bCs/>
        </w:rPr>
        <w:t>Del informe enviado retomamos lo siguiente:</w:t>
      </w:r>
    </w:p>
    <w:p w14:paraId="77974D12" w14:textId="77777777" w:rsidR="00561B22" w:rsidRPr="00380CC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380CC8" w14:paraId="1BEE59DD" w14:textId="77777777" w:rsidTr="00F1223B">
        <w:tc>
          <w:tcPr>
            <w:tcW w:w="988" w:type="dxa"/>
          </w:tcPr>
          <w:p w14:paraId="0274B2A4" w14:textId="77777777" w:rsidR="00561B22" w:rsidRPr="00380CC8" w:rsidRDefault="00561B22" w:rsidP="00F1223B">
            <w:pPr>
              <w:ind w:right="-109"/>
              <w:jc w:val="center"/>
              <w:rPr>
                <w:rFonts w:ascii="Arial" w:hAnsi="Arial" w:cs="Arial"/>
                <w:b/>
                <w:sz w:val="22"/>
                <w:szCs w:val="22"/>
                <w:lang w:val="es-MX"/>
              </w:rPr>
            </w:pPr>
            <w:r w:rsidRPr="00380CC8">
              <w:rPr>
                <w:rFonts w:ascii="Arial" w:hAnsi="Arial" w:cs="Arial"/>
                <w:b/>
                <w:sz w:val="22"/>
                <w:szCs w:val="22"/>
                <w:lang w:val="es-MX"/>
              </w:rPr>
              <w:t>N°</w:t>
            </w:r>
          </w:p>
        </w:tc>
        <w:tc>
          <w:tcPr>
            <w:tcW w:w="8974" w:type="dxa"/>
          </w:tcPr>
          <w:p w14:paraId="51F5DDDF"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DEBILIDADES</w:t>
            </w:r>
          </w:p>
          <w:p w14:paraId="604D98DE" w14:textId="77777777" w:rsidR="00561B22" w:rsidRPr="00380CC8" w:rsidRDefault="00561B22" w:rsidP="00F1223B">
            <w:pPr>
              <w:jc w:val="center"/>
              <w:rPr>
                <w:rFonts w:ascii="Arial" w:hAnsi="Arial" w:cs="Arial"/>
                <w:b/>
                <w:sz w:val="22"/>
                <w:szCs w:val="22"/>
                <w:lang w:val="es-MX"/>
              </w:rPr>
            </w:pPr>
          </w:p>
        </w:tc>
      </w:tr>
      <w:tr w:rsidR="00561B22" w:rsidRPr="00380CC8" w14:paraId="4ED7AD2A" w14:textId="77777777" w:rsidTr="00F1223B">
        <w:tc>
          <w:tcPr>
            <w:tcW w:w="988" w:type="dxa"/>
          </w:tcPr>
          <w:p w14:paraId="21FA2544"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1</w:t>
            </w:r>
          </w:p>
        </w:tc>
        <w:tc>
          <w:tcPr>
            <w:tcW w:w="8974" w:type="dxa"/>
          </w:tcPr>
          <w:p w14:paraId="14745B1A"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Se observaron oportunidades de mejora frente al registro de los responsables de elaboración, revisión y aprobación del deterioro de cartera; en el diseño del control para la conciliación del ingreso e incumplimiento de la política establecida en la creación de clientes relacionada con la asignación de un código en el Sistema ERP SAP</w:t>
            </w:r>
          </w:p>
        </w:tc>
      </w:tr>
      <w:tr w:rsidR="00561B22" w:rsidRPr="00380CC8" w14:paraId="39F5D167" w14:textId="77777777" w:rsidTr="00F1223B">
        <w:tc>
          <w:tcPr>
            <w:tcW w:w="988" w:type="dxa"/>
          </w:tcPr>
          <w:p w14:paraId="431B115B"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2</w:t>
            </w:r>
          </w:p>
        </w:tc>
        <w:tc>
          <w:tcPr>
            <w:tcW w:w="8974" w:type="dxa"/>
          </w:tcPr>
          <w:p w14:paraId="00759585"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No se evidencia en la Matriz institucional de gestión de riesgos, el registro al monitoreo de los controles que evidencie el seguimiento de su aplicación y/o de la materialización de riesgos para la implementación de acciones de mejora.</w:t>
            </w:r>
          </w:p>
        </w:tc>
      </w:tr>
      <w:tr w:rsidR="00561B22" w:rsidRPr="00380CC8" w14:paraId="0E528552" w14:textId="77777777" w:rsidTr="00F1223B">
        <w:tc>
          <w:tcPr>
            <w:tcW w:w="988" w:type="dxa"/>
          </w:tcPr>
          <w:p w14:paraId="266F3E34"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3</w:t>
            </w:r>
          </w:p>
        </w:tc>
        <w:tc>
          <w:tcPr>
            <w:tcW w:w="8974" w:type="dxa"/>
          </w:tcPr>
          <w:p w14:paraId="14B21168"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No se evidencia la aplicación de mecanismos de autoevaluaciones periódicas para determinar la eficacia de controles implementados en las actividades del proceso contable.</w:t>
            </w:r>
          </w:p>
        </w:tc>
      </w:tr>
      <w:tr w:rsidR="00561B22" w:rsidRPr="00380CC8" w14:paraId="317E13A5" w14:textId="77777777" w:rsidTr="00F1223B">
        <w:tc>
          <w:tcPr>
            <w:tcW w:w="988" w:type="dxa"/>
          </w:tcPr>
          <w:p w14:paraId="0ED159A8"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4</w:t>
            </w:r>
          </w:p>
        </w:tc>
        <w:tc>
          <w:tcPr>
            <w:tcW w:w="8974" w:type="dxa"/>
          </w:tcPr>
          <w:p w14:paraId="106944B8"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Se observó debilidad en la aplicación de controles relacionados con TI en el Sistema contable.</w:t>
            </w:r>
          </w:p>
        </w:tc>
      </w:tr>
    </w:tbl>
    <w:p w14:paraId="4CC481C0" w14:textId="77777777" w:rsidR="00561B22" w:rsidRPr="00380CC8" w:rsidRDefault="00561B22" w:rsidP="00561B22">
      <w:pPr>
        <w:pStyle w:val="Textoindependiente"/>
        <w:ind w:right="-50"/>
        <w:jc w:val="both"/>
        <w:rPr>
          <w:rFonts w:ascii="Arial" w:hAnsi="Arial" w:cs="Arial"/>
          <w:b/>
          <w:bCs/>
        </w:rPr>
      </w:pPr>
    </w:p>
    <w:p w14:paraId="29B2704D" w14:textId="77777777" w:rsidR="00561B22" w:rsidRPr="00380CC8" w:rsidRDefault="00561B22" w:rsidP="00561B22">
      <w:pPr>
        <w:jc w:val="both"/>
        <w:rPr>
          <w:rFonts w:ascii="Arial" w:hAnsi="Arial" w:cs="Arial"/>
          <w:b/>
          <w:lang w:val="es-MX"/>
        </w:rPr>
      </w:pPr>
      <w:r w:rsidRPr="00380CC8">
        <w:rPr>
          <w:rFonts w:ascii="Arial" w:hAnsi="Arial" w:cs="Arial"/>
          <w:b/>
          <w:lang w:val="es-MX"/>
        </w:rPr>
        <w:t>Del citado informe retomamos las siguientes recomendaciones:</w:t>
      </w:r>
    </w:p>
    <w:p w14:paraId="3D8B13BD" w14:textId="77777777" w:rsidR="00561B22" w:rsidRPr="00380CC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380CC8" w14:paraId="2F375425" w14:textId="77777777" w:rsidTr="00F1223B">
        <w:tc>
          <w:tcPr>
            <w:tcW w:w="988" w:type="dxa"/>
          </w:tcPr>
          <w:p w14:paraId="1B81045E" w14:textId="77777777" w:rsidR="00561B22" w:rsidRPr="00380CC8" w:rsidRDefault="00561B22" w:rsidP="00F1223B">
            <w:pPr>
              <w:ind w:right="-109"/>
              <w:jc w:val="center"/>
              <w:rPr>
                <w:rFonts w:ascii="Arial" w:hAnsi="Arial" w:cs="Arial"/>
                <w:b/>
                <w:sz w:val="22"/>
                <w:szCs w:val="22"/>
                <w:lang w:val="es-MX"/>
              </w:rPr>
            </w:pPr>
            <w:r w:rsidRPr="00380CC8">
              <w:rPr>
                <w:rFonts w:ascii="Arial" w:hAnsi="Arial" w:cs="Arial"/>
                <w:b/>
                <w:sz w:val="22"/>
                <w:szCs w:val="22"/>
                <w:lang w:val="es-MX"/>
              </w:rPr>
              <w:t>N°</w:t>
            </w:r>
          </w:p>
        </w:tc>
        <w:tc>
          <w:tcPr>
            <w:tcW w:w="8974" w:type="dxa"/>
          </w:tcPr>
          <w:p w14:paraId="3F91414C"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RECOMENDACIONES</w:t>
            </w:r>
          </w:p>
          <w:p w14:paraId="4282CE76" w14:textId="77777777" w:rsidR="00561B22" w:rsidRPr="00380CC8" w:rsidRDefault="00561B22" w:rsidP="00F1223B">
            <w:pPr>
              <w:jc w:val="center"/>
              <w:rPr>
                <w:rFonts w:ascii="Arial" w:hAnsi="Arial" w:cs="Arial"/>
                <w:b/>
                <w:sz w:val="22"/>
                <w:szCs w:val="22"/>
                <w:lang w:val="es-MX"/>
              </w:rPr>
            </w:pPr>
          </w:p>
        </w:tc>
      </w:tr>
      <w:tr w:rsidR="00561B22" w:rsidRPr="00380CC8" w14:paraId="3E66508C" w14:textId="77777777" w:rsidTr="00F1223B">
        <w:tc>
          <w:tcPr>
            <w:tcW w:w="988" w:type="dxa"/>
          </w:tcPr>
          <w:p w14:paraId="78A3C9A8"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1</w:t>
            </w:r>
          </w:p>
        </w:tc>
        <w:tc>
          <w:tcPr>
            <w:tcW w:w="8974" w:type="dxa"/>
          </w:tcPr>
          <w:p w14:paraId="3E7C3767"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Implementar las acciones que fortalezcan los controles de revisión y aprobación de los documentos que permitan evidenciar la trazabilidad, así como el diseño de controles de conciliación de ingresos y el cumplimiento de la política de creación de clientes.</w:t>
            </w:r>
          </w:p>
        </w:tc>
      </w:tr>
      <w:tr w:rsidR="00561B22" w:rsidRPr="00380CC8" w14:paraId="6AC98237" w14:textId="77777777" w:rsidTr="00F1223B">
        <w:tc>
          <w:tcPr>
            <w:tcW w:w="988" w:type="dxa"/>
          </w:tcPr>
          <w:p w14:paraId="762CD470"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2</w:t>
            </w:r>
          </w:p>
        </w:tc>
        <w:tc>
          <w:tcPr>
            <w:tcW w:w="8974" w:type="dxa"/>
          </w:tcPr>
          <w:p w14:paraId="30DEB4C4"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Realizar ejercicios de autoevaluación periódicas de los riesgos y de la aplicación de controles y registrar el seguimiento quedando evidencia de ello.</w:t>
            </w:r>
          </w:p>
        </w:tc>
      </w:tr>
      <w:tr w:rsidR="00561B22" w:rsidRPr="00380CC8" w14:paraId="4626BC39" w14:textId="77777777" w:rsidTr="00F1223B">
        <w:tc>
          <w:tcPr>
            <w:tcW w:w="988" w:type="dxa"/>
          </w:tcPr>
          <w:p w14:paraId="4F956EF7"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3</w:t>
            </w:r>
          </w:p>
        </w:tc>
        <w:tc>
          <w:tcPr>
            <w:tcW w:w="8974" w:type="dxa"/>
          </w:tcPr>
          <w:p w14:paraId="32CEE4A7" w14:textId="77777777" w:rsidR="00561B22" w:rsidRPr="00380CC8" w:rsidRDefault="00561B22" w:rsidP="00F1223B">
            <w:pPr>
              <w:jc w:val="both"/>
              <w:rPr>
                <w:rFonts w:ascii="Arial" w:hAnsi="Arial" w:cs="Arial"/>
                <w:sz w:val="22"/>
                <w:szCs w:val="22"/>
                <w:lang w:val="es-MX"/>
              </w:rPr>
            </w:pPr>
            <w:r w:rsidRPr="00380CC8">
              <w:rPr>
                <w:rFonts w:ascii="Arial" w:hAnsi="Arial" w:cs="Arial"/>
                <w:sz w:val="22"/>
                <w:szCs w:val="22"/>
                <w:lang w:val="es-MX"/>
              </w:rPr>
              <w:t>Implementar las acciones para fortalecer los controles relacionados con seguridad de la información en el Sistema de contabilidad.</w:t>
            </w:r>
          </w:p>
        </w:tc>
      </w:tr>
      <w:tr w:rsidR="00561B22" w:rsidRPr="00380CC8" w14:paraId="24CE9707" w14:textId="77777777" w:rsidTr="00F1223B">
        <w:tc>
          <w:tcPr>
            <w:tcW w:w="988" w:type="dxa"/>
          </w:tcPr>
          <w:p w14:paraId="570FC394"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4</w:t>
            </w:r>
          </w:p>
        </w:tc>
        <w:tc>
          <w:tcPr>
            <w:tcW w:w="8974" w:type="dxa"/>
          </w:tcPr>
          <w:p w14:paraId="12CEDBAF" w14:textId="77777777" w:rsidR="00561B22" w:rsidRPr="00380CC8" w:rsidRDefault="00561B22" w:rsidP="00F1223B">
            <w:pPr>
              <w:pStyle w:val="TableParagraph"/>
              <w:spacing w:line="246" w:lineRule="exact"/>
              <w:jc w:val="both"/>
              <w:rPr>
                <w:sz w:val="22"/>
                <w:szCs w:val="22"/>
                <w:lang w:val="es-MX"/>
              </w:rPr>
            </w:pPr>
            <w:r w:rsidRPr="00380CC8">
              <w:rPr>
                <w:sz w:val="22"/>
                <w:szCs w:val="22"/>
                <w:lang w:val="es-MX"/>
              </w:rPr>
              <w:t>Fortalecer la explicación de las notas contables para la cuenta 27 Provisiones en incluir la indicación acerca de las incertidumbres relativas al valor o a las fechas de salida de recursos, de acuerdo con la norma de revelaciones y las políticas contables de la Corporación, así como incluir información suficiente del saldo registrado en otras cuentas por cobrar.</w:t>
            </w:r>
            <w:r w:rsidRPr="00380CC8">
              <w:rPr>
                <w:spacing w:val="-4"/>
                <w:sz w:val="22"/>
                <w:szCs w:val="22"/>
              </w:rPr>
              <w:t xml:space="preserve"> </w:t>
            </w:r>
          </w:p>
        </w:tc>
      </w:tr>
      <w:tr w:rsidR="00561B22" w:rsidRPr="00380CC8" w14:paraId="5D2798D9" w14:textId="77777777" w:rsidTr="00F1223B">
        <w:tc>
          <w:tcPr>
            <w:tcW w:w="988" w:type="dxa"/>
          </w:tcPr>
          <w:p w14:paraId="2484A1D7"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5</w:t>
            </w:r>
          </w:p>
        </w:tc>
        <w:tc>
          <w:tcPr>
            <w:tcW w:w="8974" w:type="dxa"/>
          </w:tcPr>
          <w:p w14:paraId="0F4174B9" w14:textId="77777777" w:rsidR="00561B22" w:rsidRPr="00380CC8" w:rsidRDefault="00561B22" w:rsidP="00F1223B">
            <w:pPr>
              <w:pStyle w:val="TableParagraph"/>
              <w:spacing w:line="246" w:lineRule="exact"/>
              <w:jc w:val="both"/>
              <w:rPr>
                <w:sz w:val="22"/>
                <w:szCs w:val="22"/>
                <w:lang w:val="es-MX"/>
              </w:rPr>
            </w:pPr>
            <w:r w:rsidRPr="00380CC8">
              <w:rPr>
                <w:sz w:val="22"/>
                <w:szCs w:val="22"/>
                <w:lang w:val="es-MX"/>
              </w:rPr>
              <w:t>Corroborar la consistencia de la información entre las Notas y los Estados Financieros, para su presentación a los distintos usuarios.</w:t>
            </w:r>
          </w:p>
        </w:tc>
      </w:tr>
      <w:tr w:rsidR="00561B22" w:rsidRPr="00380CC8" w14:paraId="6CB6ED1E" w14:textId="77777777" w:rsidTr="00F1223B">
        <w:tc>
          <w:tcPr>
            <w:tcW w:w="988" w:type="dxa"/>
          </w:tcPr>
          <w:p w14:paraId="531FAD26" w14:textId="77777777" w:rsidR="00561B22" w:rsidRPr="00380CC8" w:rsidRDefault="00561B22" w:rsidP="00F1223B">
            <w:pPr>
              <w:jc w:val="center"/>
              <w:rPr>
                <w:rFonts w:ascii="Arial" w:hAnsi="Arial" w:cs="Arial"/>
                <w:b/>
                <w:sz w:val="22"/>
                <w:szCs w:val="22"/>
                <w:lang w:val="es-MX"/>
              </w:rPr>
            </w:pPr>
            <w:r w:rsidRPr="00380CC8">
              <w:rPr>
                <w:rFonts w:ascii="Arial" w:hAnsi="Arial" w:cs="Arial"/>
                <w:b/>
                <w:sz w:val="22"/>
                <w:szCs w:val="22"/>
                <w:lang w:val="es-MX"/>
              </w:rPr>
              <w:t>6</w:t>
            </w:r>
          </w:p>
        </w:tc>
        <w:tc>
          <w:tcPr>
            <w:tcW w:w="8974" w:type="dxa"/>
          </w:tcPr>
          <w:p w14:paraId="01426F5D" w14:textId="77777777" w:rsidR="00561B22" w:rsidRPr="00380CC8" w:rsidRDefault="00561B22" w:rsidP="00F1223B">
            <w:pPr>
              <w:pStyle w:val="TableParagraph"/>
              <w:spacing w:line="246" w:lineRule="exact"/>
              <w:jc w:val="both"/>
              <w:rPr>
                <w:sz w:val="22"/>
                <w:szCs w:val="22"/>
                <w:lang w:val="es-MX"/>
              </w:rPr>
            </w:pPr>
            <w:r w:rsidRPr="00380CC8">
              <w:rPr>
                <w:sz w:val="22"/>
                <w:szCs w:val="22"/>
                <w:lang w:val="es-MX"/>
              </w:rPr>
              <w:t>Seguir fortaleciendo los controles para la depuración y conciliación de la información financiera y contable con las áreas involucradas.</w:t>
            </w:r>
          </w:p>
        </w:tc>
      </w:tr>
    </w:tbl>
    <w:p w14:paraId="40B389CA" w14:textId="77777777" w:rsidR="00561B22" w:rsidRPr="00380CC8" w:rsidRDefault="00561B22" w:rsidP="00561B22">
      <w:pPr>
        <w:pStyle w:val="Textoindependiente"/>
        <w:ind w:right="-50"/>
        <w:jc w:val="both"/>
        <w:rPr>
          <w:rFonts w:ascii="Arial" w:hAnsi="Arial" w:cs="Arial"/>
          <w:b/>
          <w:bCs/>
        </w:rPr>
      </w:pPr>
    </w:p>
    <w:p w14:paraId="42B9F35C" w14:textId="77777777" w:rsidR="00561B22" w:rsidRPr="00380CC8" w:rsidRDefault="00561B22" w:rsidP="00561B22">
      <w:pPr>
        <w:jc w:val="both"/>
        <w:rPr>
          <w:rFonts w:ascii="Arial" w:hAnsi="Arial" w:cs="Arial"/>
          <w:b/>
          <w:bCs/>
          <w:sz w:val="24"/>
          <w:szCs w:val="24"/>
          <w:lang w:val="es-CO"/>
        </w:rPr>
      </w:pPr>
      <w:r w:rsidRPr="00380CC8">
        <w:rPr>
          <w:rFonts w:ascii="Arial" w:hAnsi="Arial" w:cs="Arial"/>
          <w:b/>
          <w:bCs/>
          <w:sz w:val="24"/>
          <w:szCs w:val="24"/>
          <w:lang w:val="es-CO"/>
        </w:rPr>
        <w:t xml:space="preserve">NOTA: LA ENTIDAD ENVIA LA MATRIZ DE AUTOEVALUACIÓN DEL SISTEMA DE CONTROL INTERNO CONTABLE CON ACTIVIDADES DE CONTROL REALIZADAS </w:t>
      </w:r>
      <w:r w:rsidRPr="00380CC8">
        <w:rPr>
          <w:rFonts w:ascii="Arial" w:hAnsi="Arial" w:cs="Arial"/>
          <w:b/>
          <w:bCs/>
          <w:sz w:val="24"/>
          <w:szCs w:val="24"/>
          <w:u w:val="single"/>
          <w:lang w:val="es-CO"/>
        </w:rPr>
        <w:t>EN FORMA PARCIAL Y OTRAS SIMPLEMENTE INFORMAN QUE NO SE REALIZARON</w:t>
      </w:r>
      <w:r w:rsidRPr="00380CC8">
        <w:rPr>
          <w:rFonts w:ascii="Arial" w:hAnsi="Arial" w:cs="Arial"/>
          <w:b/>
          <w:bCs/>
          <w:sz w:val="24"/>
          <w:szCs w:val="24"/>
          <w:lang w:val="es-CO"/>
        </w:rPr>
        <w:t>.</w:t>
      </w:r>
    </w:p>
    <w:p w14:paraId="72B9D641" w14:textId="77777777" w:rsidR="00561B22" w:rsidRDefault="00561B22" w:rsidP="00561B22">
      <w:pPr>
        <w:jc w:val="both"/>
        <w:rPr>
          <w:rFonts w:ascii="Arial" w:hAnsi="Arial" w:cs="Arial"/>
          <w:b/>
          <w:bCs/>
        </w:rPr>
      </w:pPr>
    </w:p>
    <w:p w14:paraId="5E5D608A" w14:textId="77777777" w:rsidR="00561B22" w:rsidRPr="00887898" w:rsidRDefault="00561B22" w:rsidP="00561B22">
      <w:pPr>
        <w:jc w:val="both"/>
        <w:rPr>
          <w:rFonts w:ascii="Arial" w:hAnsi="Arial" w:cs="Arial"/>
          <w:b/>
          <w:sz w:val="28"/>
          <w:szCs w:val="28"/>
          <w:lang w:val="es-MX"/>
        </w:rPr>
      </w:pPr>
      <w:r w:rsidRPr="00887898">
        <w:rPr>
          <w:rFonts w:ascii="Arial" w:hAnsi="Arial" w:cs="Arial"/>
          <w:b/>
          <w:sz w:val="28"/>
          <w:szCs w:val="28"/>
          <w:lang w:val="es-MX"/>
        </w:rPr>
        <w:t xml:space="preserve">54.- </w:t>
      </w:r>
      <w:r w:rsidRPr="00887898">
        <w:rPr>
          <w:rFonts w:ascii="Arial" w:hAnsi="Arial" w:cs="Arial"/>
          <w:b/>
          <w:sz w:val="28"/>
          <w:szCs w:val="28"/>
        </w:rPr>
        <w:t>FONDO NACIONAL AMBIENTAL - FONAM.</w:t>
      </w:r>
    </w:p>
    <w:p w14:paraId="3F4D81BF" w14:textId="77777777" w:rsidR="00561B22" w:rsidRDefault="00561B22" w:rsidP="00561B22">
      <w:pPr>
        <w:jc w:val="both"/>
        <w:rPr>
          <w:rFonts w:ascii="Arial" w:hAnsi="Arial" w:cs="Arial"/>
          <w:b/>
          <w:bCs/>
        </w:rPr>
      </w:pPr>
    </w:p>
    <w:p w14:paraId="1B7760A5" w14:textId="77777777" w:rsidR="00561B22" w:rsidRPr="00FF0C64" w:rsidRDefault="00561B22" w:rsidP="00561B22">
      <w:pPr>
        <w:pStyle w:val="Textoindependiente"/>
        <w:ind w:right="-50"/>
        <w:jc w:val="center"/>
        <w:rPr>
          <w:rFonts w:ascii="Arial" w:hAnsi="Arial" w:cs="Arial"/>
          <w:b/>
          <w:bCs/>
        </w:rPr>
      </w:pPr>
      <w:r w:rsidRPr="00FF0C64">
        <w:rPr>
          <w:rFonts w:ascii="Arial" w:hAnsi="Arial" w:cs="Arial"/>
          <w:b/>
          <w:bCs/>
        </w:rPr>
        <w:t>INFORME DE LA AUTOCALIFICACIÓN DEL SISTEMA DE CONTROL INTERNO CONTABLE:</w:t>
      </w:r>
    </w:p>
    <w:p w14:paraId="4DC34EC4" w14:textId="77777777" w:rsidR="00561B22" w:rsidRPr="00FF0C6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F0C64" w14:paraId="7E07FA56" w14:textId="77777777" w:rsidTr="00F1223B">
        <w:tc>
          <w:tcPr>
            <w:tcW w:w="4981" w:type="dxa"/>
          </w:tcPr>
          <w:p w14:paraId="58B19137"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AUTOCALIFICACIÓN</w:t>
            </w:r>
          </w:p>
        </w:tc>
        <w:tc>
          <w:tcPr>
            <w:tcW w:w="4981" w:type="dxa"/>
          </w:tcPr>
          <w:p w14:paraId="2F1CC6EB" w14:textId="77777777" w:rsidR="00561B22" w:rsidRPr="00FF0C64" w:rsidRDefault="00561B22" w:rsidP="00F1223B">
            <w:pPr>
              <w:jc w:val="center"/>
              <w:rPr>
                <w:rFonts w:ascii="Arial" w:hAnsi="Arial" w:cs="Arial"/>
                <w:b/>
                <w:sz w:val="22"/>
                <w:szCs w:val="22"/>
                <w:u w:val="single"/>
                <w:lang w:val="es-MX"/>
              </w:rPr>
            </w:pPr>
            <w:r w:rsidRPr="00FF0C64">
              <w:rPr>
                <w:rFonts w:ascii="Arial" w:hAnsi="Arial" w:cs="Arial"/>
                <w:b/>
                <w:sz w:val="22"/>
                <w:szCs w:val="22"/>
                <w:u w:val="single"/>
                <w:lang w:val="es-MX"/>
              </w:rPr>
              <w:t>4.88</w:t>
            </w:r>
          </w:p>
        </w:tc>
      </w:tr>
    </w:tbl>
    <w:p w14:paraId="131BB4B3" w14:textId="77777777" w:rsidR="00561B22" w:rsidRPr="00FF0C64" w:rsidRDefault="00561B22" w:rsidP="00561B22">
      <w:pPr>
        <w:pStyle w:val="Textoindependiente"/>
        <w:ind w:right="-50"/>
        <w:jc w:val="both"/>
        <w:rPr>
          <w:rFonts w:ascii="Arial" w:hAnsi="Arial" w:cs="Arial"/>
          <w:b/>
          <w:bCs/>
        </w:rPr>
      </w:pPr>
    </w:p>
    <w:p w14:paraId="28EFE975" w14:textId="77777777" w:rsidR="00561B22" w:rsidRPr="00FF0C64" w:rsidRDefault="00561B22" w:rsidP="00561B22">
      <w:pPr>
        <w:pStyle w:val="Textoindependiente"/>
        <w:ind w:right="-50"/>
        <w:jc w:val="both"/>
        <w:rPr>
          <w:rFonts w:ascii="Arial" w:hAnsi="Arial" w:cs="Arial"/>
          <w:b/>
          <w:bCs/>
        </w:rPr>
      </w:pPr>
      <w:r w:rsidRPr="00FF0C64">
        <w:rPr>
          <w:rFonts w:ascii="Arial" w:hAnsi="Arial" w:cs="Arial"/>
          <w:b/>
          <w:bCs/>
        </w:rPr>
        <w:t>Del informe enviado retomamos lo siguiente:</w:t>
      </w:r>
    </w:p>
    <w:p w14:paraId="16DBEA59" w14:textId="77777777" w:rsidR="00561B22" w:rsidRPr="00FF0C6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FF0C64" w14:paraId="22C521BE" w14:textId="77777777" w:rsidTr="00F1223B">
        <w:tc>
          <w:tcPr>
            <w:tcW w:w="988" w:type="dxa"/>
          </w:tcPr>
          <w:p w14:paraId="0DBA1EB1" w14:textId="77777777" w:rsidR="00561B22" w:rsidRPr="00FF0C64" w:rsidRDefault="00561B22" w:rsidP="00F1223B">
            <w:pPr>
              <w:ind w:right="-109"/>
              <w:jc w:val="center"/>
              <w:rPr>
                <w:rFonts w:ascii="Arial" w:hAnsi="Arial" w:cs="Arial"/>
                <w:b/>
                <w:sz w:val="22"/>
                <w:szCs w:val="22"/>
                <w:lang w:val="es-MX"/>
              </w:rPr>
            </w:pPr>
            <w:r w:rsidRPr="00FF0C64">
              <w:rPr>
                <w:rFonts w:ascii="Arial" w:hAnsi="Arial" w:cs="Arial"/>
                <w:b/>
                <w:sz w:val="22"/>
                <w:szCs w:val="22"/>
                <w:lang w:val="es-MX"/>
              </w:rPr>
              <w:t>N°</w:t>
            </w:r>
          </w:p>
        </w:tc>
        <w:tc>
          <w:tcPr>
            <w:tcW w:w="8974" w:type="dxa"/>
          </w:tcPr>
          <w:p w14:paraId="38383548"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DEBILIDADES</w:t>
            </w:r>
          </w:p>
          <w:p w14:paraId="5F60E1D9" w14:textId="77777777" w:rsidR="00561B22" w:rsidRPr="00FF0C64" w:rsidRDefault="00561B22" w:rsidP="00F1223B">
            <w:pPr>
              <w:jc w:val="center"/>
              <w:rPr>
                <w:rFonts w:ascii="Arial" w:hAnsi="Arial" w:cs="Arial"/>
                <w:b/>
                <w:sz w:val="22"/>
                <w:szCs w:val="22"/>
                <w:lang w:val="es-MX"/>
              </w:rPr>
            </w:pPr>
          </w:p>
        </w:tc>
      </w:tr>
      <w:tr w:rsidR="00561B22" w:rsidRPr="00FF0C64" w14:paraId="6B8E8688" w14:textId="77777777" w:rsidTr="00F1223B">
        <w:tc>
          <w:tcPr>
            <w:tcW w:w="988" w:type="dxa"/>
          </w:tcPr>
          <w:p w14:paraId="7FAC3CAD"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1</w:t>
            </w:r>
          </w:p>
        </w:tc>
        <w:tc>
          <w:tcPr>
            <w:tcW w:w="8974" w:type="dxa"/>
          </w:tcPr>
          <w:p w14:paraId="0DA0C411" w14:textId="77777777" w:rsidR="00561B22" w:rsidRPr="00FF0C64" w:rsidRDefault="00561B22" w:rsidP="00F1223B">
            <w:pPr>
              <w:jc w:val="both"/>
              <w:rPr>
                <w:rFonts w:ascii="Arial" w:hAnsi="Arial" w:cs="Arial"/>
                <w:b/>
                <w:sz w:val="22"/>
                <w:szCs w:val="22"/>
                <w:lang w:val="es-MX"/>
              </w:rPr>
            </w:pPr>
            <w:r w:rsidRPr="00FF0C64">
              <w:rPr>
                <w:rStyle w:val="Other"/>
                <w:sz w:val="22"/>
                <w:szCs w:val="22"/>
              </w:rPr>
              <w:t xml:space="preserve">En la matriz institucional del Ministerio se asocian los riesgos con los del proceso de Gestión Financiera, sin que se especifique FONAM. </w:t>
            </w:r>
          </w:p>
        </w:tc>
      </w:tr>
      <w:tr w:rsidR="00561B22" w:rsidRPr="00FF0C64" w14:paraId="2019A8B4" w14:textId="77777777" w:rsidTr="00F1223B">
        <w:tc>
          <w:tcPr>
            <w:tcW w:w="988" w:type="dxa"/>
          </w:tcPr>
          <w:p w14:paraId="55CBFEC0"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2</w:t>
            </w:r>
          </w:p>
        </w:tc>
        <w:tc>
          <w:tcPr>
            <w:tcW w:w="8974" w:type="dxa"/>
          </w:tcPr>
          <w:p w14:paraId="0DF8E298" w14:textId="77777777" w:rsidR="00561B22" w:rsidRPr="00FF0C64" w:rsidRDefault="00561B22" w:rsidP="00F1223B">
            <w:pPr>
              <w:rPr>
                <w:rFonts w:ascii="Arial" w:hAnsi="Arial" w:cs="Arial"/>
                <w:b/>
                <w:sz w:val="22"/>
                <w:szCs w:val="22"/>
                <w:lang w:val="es-MX"/>
              </w:rPr>
            </w:pPr>
            <w:r w:rsidRPr="00FF0C64">
              <w:rPr>
                <w:rStyle w:val="Other"/>
                <w:sz w:val="22"/>
                <w:szCs w:val="22"/>
              </w:rPr>
              <w:t>Debilidades en la publicación oportuna de los Estados Financieros.</w:t>
            </w:r>
          </w:p>
        </w:tc>
      </w:tr>
    </w:tbl>
    <w:p w14:paraId="1369BFCF" w14:textId="77777777" w:rsidR="00561B22" w:rsidRPr="00FF0C64" w:rsidRDefault="00561B22" w:rsidP="00561B22">
      <w:pPr>
        <w:jc w:val="both"/>
        <w:rPr>
          <w:rFonts w:ascii="Arial" w:hAnsi="Arial" w:cs="Arial"/>
          <w:b/>
          <w:lang w:val="es-MX"/>
        </w:rPr>
      </w:pPr>
    </w:p>
    <w:p w14:paraId="5AF02770" w14:textId="77777777" w:rsidR="00561B22" w:rsidRDefault="00561B22" w:rsidP="00561B22">
      <w:pPr>
        <w:jc w:val="both"/>
        <w:rPr>
          <w:rFonts w:ascii="Arial" w:hAnsi="Arial" w:cs="Arial"/>
          <w:b/>
          <w:lang w:val="es-MX"/>
        </w:rPr>
      </w:pPr>
      <w:r w:rsidRPr="00FF0C64">
        <w:rPr>
          <w:rFonts w:ascii="Arial" w:hAnsi="Arial" w:cs="Arial"/>
          <w:b/>
          <w:lang w:val="es-MX"/>
        </w:rPr>
        <w:t>Del citado informe retomamos las siguientes recomendaciones:</w:t>
      </w:r>
    </w:p>
    <w:p w14:paraId="4A25D937" w14:textId="77777777" w:rsidR="00561B22" w:rsidRPr="00FF0C64"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988"/>
        <w:gridCol w:w="8974"/>
      </w:tblGrid>
      <w:tr w:rsidR="00561B22" w:rsidRPr="00FF0C64" w14:paraId="0545A87B" w14:textId="77777777" w:rsidTr="00F1223B">
        <w:tc>
          <w:tcPr>
            <w:tcW w:w="988" w:type="dxa"/>
          </w:tcPr>
          <w:p w14:paraId="290AF18B" w14:textId="77777777" w:rsidR="00561B22" w:rsidRPr="00FF0C64" w:rsidRDefault="00561B22" w:rsidP="00F1223B">
            <w:pPr>
              <w:ind w:right="-109"/>
              <w:jc w:val="center"/>
              <w:rPr>
                <w:rFonts w:ascii="Arial" w:hAnsi="Arial" w:cs="Arial"/>
                <w:b/>
                <w:sz w:val="22"/>
                <w:szCs w:val="22"/>
                <w:lang w:val="es-MX"/>
              </w:rPr>
            </w:pPr>
            <w:r w:rsidRPr="00FF0C64">
              <w:rPr>
                <w:rFonts w:ascii="Arial" w:hAnsi="Arial" w:cs="Arial"/>
                <w:b/>
                <w:sz w:val="22"/>
                <w:szCs w:val="22"/>
                <w:lang w:val="es-MX"/>
              </w:rPr>
              <w:t>N°</w:t>
            </w:r>
          </w:p>
        </w:tc>
        <w:tc>
          <w:tcPr>
            <w:tcW w:w="8974" w:type="dxa"/>
          </w:tcPr>
          <w:p w14:paraId="23E11DD1"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RECOMENDACIONES</w:t>
            </w:r>
          </w:p>
          <w:p w14:paraId="0E4196DF" w14:textId="77777777" w:rsidR="00561B22" w:rsidRPr="00FF0C64" w:rsidRDefault="00561B22" w:rsidP="00F1223B">
            <w:pPr>
              <w:jc w:val="center"/>
              <w:rPr>
                <w:rFonts w:ascii="Arial" w:hAnsi="Arial" w:cs="Arial"/>
                <w:b/>
                <w:sz w:val="22"/>
                <w:szCs w:val="22"/>
                <w:lang w:val="es-MX"/>
              </w:rPr>
            </w:pPr>
          </w:p>
        </w:tc>
      </w:tr>
      <w:tr w:rsidR="00561B22" w:rsidRPr="00FF0C64" w14:paraId="3984127C" w14:textId="77777777" w:rsidTr="00F1223B">
        <w:tc>
          <w:tcPr>
            <w:tcW w:w="988" w:type="dxa"/>
          </w:tcPr>
          <w:p w14:paraId="5C5D2463"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1</w:t>
            </w:r>
          </w:p>
        </w:tc>
        <w:tc>
          <w:tcPr>
            <w:tcW w:w="8974" w:type="dxa"/>
          </w:tcPr>
          <w:p w14:paraId="7C49E285" w14:textId="77777777" w:rsidR="00561B22" w:rsidRPr="00FF0C64" w:rsidRDefault="00561B22" w:rsidP="00F1223B">
            <w:pPr>
              <w:jc w:val="both"/>
              <w:rPr>
                <w:rFonts w:ascii="Arial" w:hAnsi="Arial" w:cs="Arial"/>
                <w:b/>
                <w:sz w:val="22"/>
                <w:szCs w:val="22"/>
                <w:lang w:val="es-MX"/>
              </w:rPr>
            </w:pPr>
            <w:r w:rsidRPr="00FF0C64">
              <w:rPr>
                <w:rStyle w:val="Other"/>
                <w:sz w:val="22"/>
                <w:szCs w:val="22"/>
              </w:rPr>
              <w:t xml:space="preserve">Revisar y aplicar los lineamientos de accesibilidad, atendiendo los Criterios generales de publicación de información pública citados en el numeral 2.4.1 del Anexo No. 2 de la Resolución 1519 de 2020. </w:t>
            </w:r>
          </w:p>
        </w:tc>
      </w:tr>
      <w:tr w:rsidR="00561B22" w:rsidRPr="00FF0C64" w14:paraId="14ADF92B" w14:textId="77777777" w:rsidTr="00F1223B">
        <w:tc>
          <w:tcPr>
            <w:tcW w:w="988" w:type="dxa"/>
          </w:tcPr>
          <w:p w14:paraId="1AC5F6CA"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2</w:t>
            </w:r>
          </w:p>
        </w:tc>
        <w:tc>
          <w:tcPr>
            <w:tcW w:w="8974" w:type="dxa"/>
          </w:tcPr>
          <w:p w14:paraId="379971C2" w14:textId="77777777" w:rsidR="00561B22" w:rsidRPr="00FF0C64" w:rsidRDefault="00561B22" w:rsidP="00F1223B">
            <w:pPr>
              <w:jc w:val="both"/>
              <w:rPr>
                <w:rFonts w:ascii="Arial" w:hAnsi="Arial" w:cs="Arial"/>
                <w:b/>
                <w:sz w:val="22"/>
                <w:szCs w:val="22"/>
                <w:lang w:val="es-MX"/>
              </w:rPr>
            </w:pPr>
            <w:r w:rsidRPr="00FF0C64">
              <w:rPr>
                <w:rStyle w:val="Other"/>
                <w:sz w:val="22"/>
                <w:szCs w:val="22"/>
              </w:rPr>
              <w:t xml:space="preserve">Mayor interacción entre las subunidades, con la finalidad de conciliar la cuenta única nacional. - Establecer los riesgos y análisis de los puntos control con la finalidad que sean efectivos, para FONAM. </w:t>
            </w:r>
          </w:p>
        </w:tc>
      </w:tr>
      <w:tr w:rsidR="00561B22" w:rsidRPr="00FF0C64" w14:paraId="6B84C1D9" w14:textId="77777777" w:rsidTr="00F1223B">
        <w:tc>
          <w:tcPr>
            <w:tcW w:w="988" w:type="dxa"/>
          </w:tcPr>
          <w:p w14:paraId="713CAA5B"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3</w:t>
            </w:r>
          </w:p>
        </w:tc>
        <w:tc>
          <w:tcPr>
            <w:tcW w:w="8974" w:type="dxa"/>
          </w:tcPr>
          <w:p w14:paraId="3F6046B1" w14:textId="77777777" w:rsidR="00561B22" w:rsidRPr="00FF0C64" w:rsidRDefault="00561B22" w:rsidP="00F1223B">
            <w:pPr>
              <w:jc w:val="both"/>
              <w:rPr>
                <w:rStyle w:val="Other"/>
                <w:sz w:val="22"/>
                <w:szCs w:val="22"/>
              </w:rPr>
            </w:pPr>
            <w:r w:rsidRPr="00FF0C64">
              <w:rPr>
                <w:rStyle w:val="Other"/>
                <w:sz w:val="22"/>
                <w:szCs w:val="22"/>
              </w:rPr>
              <w:t>Establecer los riesgos y análisis de los puntos control con la finalidad que sean efectivos, para FONAM.</w:t>
            </w:r>
          </w:p>
        </w:tc>
      </w:tr>
      <w:tr w:rsidR="00561B22" w:rsidRPr="00FF0C64" w14:paraId="2B9FC0CB" w14:textId="77777777" w:rsidTr="00F1223B">
        <w:tc>
          <w:tcPr>
            <w:tcW w:w="988" w:type="dxa"/>
          </w:tcPr>
          <w:p w14:paraId="5F0DA1F5" w14:textId="77777777" w:rsidR="00561B22" w:rsidRPr="00FF0C64" w:rsidRDefault="00561B22" w:rsidP="00F1223B">
            <w:pPr>
              <w:jc w:val="center"/>
              <w:rPr>
                <w:rFonts w:ascii="Arial" w:hAnsi="Arial" w:cs="Arial"/>
                <w:b/>
                <w:sz w:val="22"/>
                <w:szCs w:val="22"/>
                <w:lang w:val="es-MX"/>
              </w:rPr>
            </w:pPr>
            <w:r w:rsidRPr="00FF0C64">
              <w:rPr>
                <w:rFonts w:ascii="Arial" w:hAnsi="Arial" w:cs="Arial"/>
                <w:b/>
                <w:sz w:val="22"/>
                <w:szCs w:val="22"/>
                <w:lang w:val="es-MX"/>
              </w:rPr>
              <w:t>4</w:t>
            </w:r>
          </w:p>
        </w:tc>
        <w:tc>
          <w:tcPr>
            <w:tcW w:w="8974" w:type="dxa"/>
          </w:tcPr>
          <w:p w14:paraId="290B2539" w14:textId="77777777" w:rsidR="00561B22" w:rsidRPr="00FF0C64" w:rsidRDefault="00561B22" w:rsidP="00F1223B">
            <w:pPr>
              <w:jc w:val="both"/>
              <w:rPr>
                <w:rFonts w:ascii="Arial" w:hAnsi="Arial" w:cs="Arial"/>
                <w:b/>
                <w:sz w:val="22"/>
                <w:szCs w:val="22"/>
                <w:lang w:val="es-MX"/>
              </w:rPr>
            </w:pPr>
            <w:r w:rsidRPr="00FF0C64">
              <w:rPr>
                <w:rStyle w:val="Other"/>
                <w:sz w:val="22"/>
                <w:szCs w:val="22"/>
              </w:rPr>
              <w:t>De acuerdo a lo establecido en esta evaluación, se recomienda generar un sistema de indicadores que analizar e interpretar la realidad de la cadena financiera en su totalidad.</w:t>
            </w:r>
          </w:p>
        </w:tc>
      </w:tr>
    </w:tbl>
    <w:p w14:paraId="2AB3F15B" w14:textId="77777777" w:rsidR="00561B22" w:rsidRPr="00FF0C64" w:rsidRDefault="00561B22" w:rsidP="00561B22">
      <w:pPr>
        <w:pStyle w:val="Textoindependiente"/>
        <w:ind w:right="-50"/>
        <w:jc w:val="both"/>
        <w:rPr>
          <w:rFonts w:ascii="Arial" w:hAnsi="Arial" w:cs="Arial"/>
          <w:b/>
          <w:bCs/>
        </w:rPr>
      </w:pPr>
    </w:p>
    <w:p w14:paraId="543F0015" w14:textId="77777777" w:rsidR="00561B22" w:rsidRPr="00FF0C64" w:rsidRDefault="00561B22" w:rsidP="00561B22">
      <w:pPr>
        <w:jc w:val="both"/>
        <w:rPr>
          <w:rFonts w:ascii="Arial" w:hAnsi="Arial" w:cs="Arial"/>
          <w:b/>
          <w:bCs/>
          <w:sz w:val="28"/>
          <w:szCs w:val="28"/>
          <w:lang w:val="es-CO"/>
        </w:rPr>
      </w:pPr>
      <w:r w:rsidRPr="00FF0C64">
        <w:rPr>
          <w:rFonts w:ascii="Arial" w:hAnsi="Arial" w:cs="Arial"/>
          <w:b/>
          <w:bCs/>
          <w:sz w:val="28"/>
          <w:szCs w:val="28"/>
          <w:lang w:val="es-CO"/>
        </w:rPr>
        <w:t xml:space="preserve">NOTA: LA ENTIDAD ENVIA LA MATRIZ DE AUTOEVALUACIÓN DEL SISTEMA DE CONTROL INTERNO CONTABLE CON </w:t>
      </w:r>
      <w:r w:rsidRPr="00FF0C64">
        <w:rPr>
          <w:rFonts w:ascii="Arial" w:hAnsi="Arial" w:cs="Arial"/>
          <w:b/>
          <w:bCs/>
          <w:sz w:val="28"/>
          <w:szCs w:val="28"/>
          <w:u w:val="single"/>
          <w:lang w:val="es-CO"/>
        </w:rPr>
        <w:t>ACTIVIDADES DE CONTROL REALIZADAS EN FORMA PARCIAL</w:t>
      </w:r>
      <w:r w:rsidRPr="00FF0C64">
        <w:rPr>
          <w:rFonts w:ascii="Arial" w:hAnsi="Arial" w:cs="Arial"/>
          <w:b/>
          <w:bCs/>
          <w:sz w:val="28"/>
          <w:szCs w:val="28"/>
          <w:lang w:val="es-CO"/>
        </w:rPr>
        <w:t>.</w:t>
      </w:r>
    </w:p>
    <w:p w14:paraId="0FF2FF2C" w14:textId="77777777" w:rsidR="00561B22" w:rsidRDefault="00561B22" w:rsidP="00561B22">
      <w:pPr>
        <w:jc w:val="both"/>
        <w:rPr>
          <w:rFonts w:ascii="Arial" w:hAnsi="Arial" w:cs="Arial"/>
          <w:b/>
          <w:bCs/>
          <w:sz w:val="28"/>
          <w:szCs w:val="28"/>
        </w:rPr>
      </w:pPr>
    </w:p>
    <w:p w14:paraId="7833F0C8" w14:textId="77777777" w:rsidR="00561B22" w:rsidRPr="002D1677" w:rsidRDefault="00561B22" w:rsidP="00561B22">
      <w:pPr>
        <w:jc w:val="both"/>
        <w:rPr>
          <w:rFonts w:ascii="Arial" w:hAnsi="Arial" w:cs="Arial"/>
          <w:b/>
          <w:sz w:val="28"/>
          <w:szCs w:val="28"/>
          <w:lang w:val="es-MX"/>
        </w:rPr>
      </w:pPr>
      <w:r w:rsidRPr="002D1677">
        <w:rPr>
          <w:rFonts w:ascii="Arial" w:hAnsi="Arial" w:cs="Arial"/>
          <w:b/>
          <w:sz w:val="28"/>
          <w:szCs w:val="28"/>
          <w:lang w:val="es-MX"/>
        </w:rPr>
        <w:t>55.- UNIVERSIDAD DEL PACÍFICO.</w:t>
      </w:r>
    </w:p>
    <w:p w14:paraId="7BA91287" w14:textId="77777777" w:rsidR="00561B22" w:rsidRDefault="00561B22" w:rsidP="00561B22">
      <w:pPr>
        <w:jc w:val="both"/>
        <w:rPr>
          <w:rFonts w:ascii="Arial" w:hAnsi="Arial" w:cs="Arial"/>
          <w:b/>
          <w:bCs/>
          <w:sz w:val="28"/>
          <w:szCs w:val="28"/>
        </w:rPr>
      </w:pPr>
    </w:p>
    <w:p w14:paraId="2038B836" w14:textId="77777777" w:rsidR="00561B22" w:rsidRPr="009A3669" w:rsidRDefault="00561B22" w:rsidP="00561B22">
      <w:pPr>
        <w:pStyle w:val="Textoindependiente"/>
        <w:ind w:right="49"/>
        <w:jc w:val="center"/>
        <w:rPr>
          <w:rFonts w:ascii="Arial" w:hAnsi="Arial" w:cs="Arial"/>
          <w:b/>
          <w:bCs/>
        </w:rPr>
      </w:pPr>
      <w:r w:rsidRPr="009A3669">
        <w:rPr>
          <w:rFonts w:ascii="Arial" w:hAnsi="Arial" w:cs="Arial"/>
          <w:b/>
          <w:bCs/>
        </w:rPr>
        <w:t>INFORME DE LA AUTOCALIFICACIÓN DEL SISTEMA DE CONTROL INTERNO CONTABLE:</w:t>
      </w:r>
    </w:p>
    <w:p w14:paraId="3AFFAA23" w14:textId="77777777" w:rsidR="00561B22" w:rsidRPr="009A366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A3669" w14:paraId="77639E33" w14:textId="77777777" w:rsidTr="00F1223B">
        <w:tc>
          <w:tcPr>
            <w:tcW w:w="4981" w:type="dxa"/>
          </w:tcPr>
          <w:p w14:paraId="7D2ED53B"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AUTOCALIFICACIÓN</w:t>
            </w:r>
          </w:p>
        </w:tc>
        <w:tc>
          <w:tcPr>
            <w:tcW w:w="4981" w:type="dxa"/>
          </w:tcPr>
          <w:p w14:paraId="08B73472" w14:textId="77777777" w:rsidR="00561B22" w:rsidRPr="009A3669" w:rsidRDefault="00561B22" w:rsidP="00F1223B">
            <w:pPr>
              <w:jc w:val="center"/>
              <w:rPr>
                <w:rFonts w:ascii="Arial" w:hAnsi="Arial" w:cs="Arial"/>
                <w:b/>
                <w:sz w:val="22"/>
                <w:szCs w:val="22"/>
                <w:u w:val="single"/>
                <w:lang w:val="es-MX"/>
              </w:rPr>
            </w:pPr>
            <w:r w:rsidRPr="009A3669">
              <w:rPr>
                <w:rFonts w:ascii="Arial" w:hAnsi="Arial" w:cs="Arial"/>
                <w:b/>
                <w:sz w:val="22"/>
                <w:szCs w:val="22"/>
                <w:u w:val="single"/>
                <w:lang w:val="es-MX"/>
              </w:rPr>
              <w:t>4.51</w:t>
            </w:r>
          </w:p>
        </w:tc>
      </w:tr>
    </w:tbl>
    <w:p w14:paraId="43B911D9" w14:textId="77777777" w:rsidR="00561B22" w:rsidRPr="009A3669" w:rsidRDefault="00561B22" w:rsidP="00561B22">
      <w:pPr>
        <w:pStyle w:val="Textoindependiente"/>
        <w:ind w:right="-50"/>
        <w:jc w:val="both"/>
        <w:rPr>
          <w:rFonts w:ascii="Arial" w:hAnsi="Arial" w:cs="Arial"/>
          <w:b/>
          <w:bCs/>
        </w:rPr>
      </w:pPr>
    </w:p>
    <w:p w14:paraId="2DEE8D79" w14:textId="77777777" w:rsidR="00561B22" w:rsidRPr="009A3669" w:rsidRDefault="00561B22" w:rsidP="00561B22">
      <w:pPr>
        <w:pStyle w:val="Textoindependiente"/>
        <w:ind w:right="-50"/>
        <w:jc w:val="both"/>
        <w:rPr>
          <w:rFonts w:ascii="Arial" w:hAnsi="Arial" w:cs="Arial"/>
          <w:b/>
          <w:bCs/>
        </w:rPr>
      </w:pPr>
      <w:r w:rsidRPr="009A3669">
        <w:rPr>
          <w:rFonts w:ascii="Arial" w:hAnsi="Arial" w:cs="Arial"/>
          <w:b/>
          <w:bCs/>
        </w:rPr>
        <w:t>Del informe enviado retomamos lo siguiente:</w:t>
      </w:r>
    </w:p>
    <w:p w14:paraId="33B6140E" w14:textId="77777777" w:rsidR="00561B22" w:rsidRPr="009A366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988"/>
        <w:gridCol w:w="8974"/>
      </w:tblGrid>
      <w:tr w:rsidR="00561B22" w:rsidRPr="009A3669" w14:paraId="7643D8FE" w14:textId="77777777" w:rsidTr="00F1223B">
        <w:tc>
          <w:tcPr>
            <w:tcW w:w="988" w:type="dxa"/>
          </w:tcPr>
          <w:p w14:paraId="6B2C204B" w14:textId="77777777" w:rsidR="00561B22" w:rsidRPr="009A3669" w:rsidRDefault="00561B22" w:rsidP="00F1223B">
            <w:pPr>
              <w:ind w:right="-109"/>
              <w:jc w:val="center"/>
              <w:rPr>
                <w:rFonts w:ascii="Arial" w:hAnsi="Arial" w:cs="Arial"/>
                <w:b/>
                <w:sz w:val="22"/>
                <w:szCs w:val="22"/>
                <w:lang w:val="es-MX"/>
              </w:rPr>
            </w:pPr>
            <w:r w:rsidRPr="009A3669">
              <w:rPr>
                <w:rFonts w:ascii="Arial" w:hAnsi="Arial" w:cs="Arial"/>
                <w:b/>
                <w:sz w:val="22"/>
                <w:szCs w:val="22"/>
                <w:lang w:val="es-MX"/>
              </w:rPr>
              <w:t>N°</w:t>
            </w:r>
          </w:p>
        </w:tc>
        <w:tc>
          <w:tcPr>
            <w:tcW w:w="8974" w:type="dxa"/>
          </w:tcPr>
          <w:p w14:paraId="16DFDAD4"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DEBILIDADES</w:t>
            </w:r>
          </w:p>
          <w:p w14:paraId="24DABAFA" w14:textId="77777777" w:rsidR="00561B22" w:rsidRPr="009A3669" w:rsidRDefault="00561B22" w:rsidP="00F1223B">
            <w:pPr>
              <w:jc w:val="center"/>
              <w:rPr>
                <w:rFonts w:ascii="Arial" w:hAnsi="Arial" w:cs="Arial"/>
                <w:b/>
                <w:sz w:val="22"/>
                <w:szCs w:val="22"/>
                <w:lang w:val="es-MX"/>
              </w:rPr>
            </w:pPr>
          </w:p>
        </w:tc>
      </w:tr>
      <w:tr w:rsidR="00561B22" w:rsidRPr="009A3669" w14:paraId="426E269D" w14:textId="77777777" w:rsidTr="00F1223B">
        <w:tc>
          <w:tcPr>
            <w:tcW w:w="988" w:type="dxa"/>
          </w:tcPr>
          <w:p w14:paraId="23E86FC0"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1</w:t>
            </w:r>
          </w:p>
        </w:tc>
        <w:tc>
          <w:tcPr>
            <w:tcW w:w="8974" w:type="dxa"/>
          </w:tcPr>
          <w:p w14:paraId="2713ECBF" w14:textId="77777777" w:rsidR="00561B22" w:rsidRPr="009A3669" w:rsidRDefault="00561B22" w:rsidP="00F1223B">
            <w:pPr>
              <w:jc w:val="both"/>
              <w:rPr>
                <w:rFonts w:ascii="Arial" w:hAnsi="Arial" w:cs="Arial"/>
                <w:sz w:val="22"/>
                <w:szCs w:val="22"/>
                <w:lang w:val="es-MX"/>
              </w:rPr>
            </w:pPr>
            <w:r w:rsidRPr="009A3669">
              <w:rPr>
                <w:rFonts w:ascii="Arial" w:hAnsi="Arial" w:cs="Arial"/>
                <w:sz w:val="22"/>
                <w:szCs w:val="22"/>
                <w:lang w:val="es-CO"/>
              </w:rPr>
              <w:t>No se realizan autoevaluaciones periódicas para determinar la eficacia de los controles implementados en cada una de las actividades del proceso contable.</w:t>
            </w:r>
          </w:p>
        </w:tc>
      </w:tr>
      <w:tr w:rsidR="00561B22" w:rsidRPr="009A3669" w14:paraId="4F967E31" w14:textId="77777777" w:rsidTr="00F1223B">
        <w:tc>
          <w:tcPr>
            <w:tcW w:w="988" w:type="dxa"/>
          </w:tcPr>
          <w:p w14:paraId="16CC3CF7"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2</w:t>
            </w:r>
          </w:p>
        </w:tc>
        <w:tc>
          <w:tcPr>
            <w:tcW w:w="8974" w:type="dxa"/>
          </w:tcPr>
          <w:p w14:paraId="344B80BC" w14:textId="77777777" w:rsidR="00561B22" w:rsidRPr="009A3669" w:rsidRDefault="00561B22" w:rsidP="00F1223B">
            <w:pPr>
              <w:rPr>
                <w:rFonts w:ascii="Arial" w:hAnsi="Arial" w:cs="Arial"/>
                <w:sz w:val="22"/>
                <w:szCs w:val="22"/>
                <w:lang w:val="es-MX"/>
              </w:rPr>
            </w:pPr>
            <w:r w:rsidRPr="009A3669">
              <w:rPr>
                <w:rFonts w:ascii="Arial" w:hAnsi="Arial" w:cs="Arial"/>
                <w:sz w:val="22"/>
                <w:szCs w:val="22"/>
                <w:lang w:val="es-CO"/>
              </w:rPr>
              <w:t>Las políticas contables no se socializan de manera periódica con el personal involucrado</w:t>
            </w:r>
          </w:p>
        </w:tc>
      </w:tr>
    </w:tbl>
    <w:p w14:paraId="5B740C18" w14:textId="77777777" w:rsidR="00561B22" w:rsidRPr="009A3669" w:rsidRDefault="00561B22" w:rsidP="00561B22">
      <w:pPr>
        <w:pStyle w:val="Textoindependiente"/>
        <w:ind w:right="-50"/>
        <w:jc w:val="both"/>
        <w:rPr>
          <w:rFonts w:ascii="Arial" w:hAnsi="Arial" w:cs="Arial"/>
          <w:b/>
          <w:bCs/>
        </w:rPr>
      </w:pPr>
    </w:p>
    <w:p w14:paraId="0E00DCF3" w14:textId="77777777" w:rsidR="00561B22" w:rsidRPr="009A3669" w:rsidRDefault="00561B22" w:rsidP="00561B22">
      <w:pPr>
        <w:jc w:val="both"/>
        <w:rPr>
          <w:rFonts w:ascii="Arial" w:hAnsi="Arial" w:cs="Arial"/>
          <w:b/>
          <w:lang w:val="es-MX"/>
        </w:rPr>
      </w:pPr>
      <w:r w:rsidRPr="009A3669">
        <w:rPr>
          <w:rFonts w:ascii="Arial" w:hAnsi="Arial" w:cs="Arial"/>
          <w:b/>
          <w:lang w:val="es-MX"/>
        </w:rPr>
        <w:t>Del citado informe retomamos las siguientes recomendaciones:</w:t>
      </w:r>
    </w:p>
    <w:p w14:paraId="5228FCCA" w14:textId="77777777" w:rsidR="00561B22" w:rsidRPr="009A3669"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988"/>
        <w:gridCol w:w="8974"/>
      </w:tblGrid>
      <w:tr w:rsidR="00561B22" w:rsidRPr="009A3669" w14:paraId="6CB0616D" w14:textId="77777777" w:rsidTr="00F1223B">
        <w:tc>
          <w:tcPr>
            <w:tcW w:w="988" w:type="dxa"/>
          </w:tcPr>
          <w:p w14:paraId="0976B92A" w14:textId="77777777" w:rsidR="00561B22" w:rsidRPr="009A3669" w:rsidRDefault="00561B22" w:rsidP="00F1223B">
            <w:pPr>
              <w:ind w:right="-109"/>
              <w:jc w:val="center"/>
              <w:rPr>
                <w:rFonts w:ascii="Arial" w:hAnsi="Arial" w:cs="Arial"/>
                <w:b/>
                <w:sz w:val="22"/>
                <w:szCs w:val="22"/>
                <w:lang w:val="es-MX"/>
              </w:rPr>
            </w:pPr>
            <w:r w:rsidRPr="009A3669">
              <w:rPr>
                <w:rFonts w:ascii="Arial" w:hAnsi="Arial" w:cs="Arial"/>
                <w:b/>
                <w:sz w:val="22"/>
                <w:szCs w:val="22"/>
                <w:lang w:val="es-MX"/>
              </w:rPr>
              <w:t>N°</w:t>
            </w:r>
          </w:p>
        </w:tc>
        <w:tc>
          <w:tcPr>
            <w:tcW w:w="8974" w:type="dxa"/>
          </w:tcPr>
          <w:p w14:paraId="2AAA2353"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RECOMENDACIONES</w:t>
            </w:r>
          </w:p>
          <w:p w14:paraId="5C1A014A" w14:textId="77777777" w:rsidR="00561B22" w:rsidRPr="009A3669" w:rsidRDefault="00561B22" w:rsidP="00F1223B">
            <w:pPr>
              <w:jc w:val="center"/>
              <w:rPr>
                <w:rFonts w:ascii="Arial" w:hAnsi="Arial" w:cs="Arial"/>
                <w:b/>
                <w:sz w:val="22"/>
                <w:szCs w:val="22"/>
                <w:lang w:val="es-MX"/>
              </w:rPr>
            </w:pPr>
          </w:p>
        </w:tc>
      </w:tr>
      <w:tr w:rsidR="00561B22" w:rsidRPr="009A3669" w14:paraId="513B8D69" w14:textId="77777777" w:rsidTr="00F1223B">
        <w:tc>
          <w:tcPr>
            <w:tcW w:w="988" w:type="dxa"/>
          </w:tcPr>
          <w:p w14:paraId="459681DE"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lastRenderedPageBreak/>
              <w:t>1</w:t>
            </w:r>
          </w:p>
        </w:tc>
        <w:tc>
          <w:tcPr>
            <w:tcW w:w="8974" w:type="dxa"/>
          </w:tcPr>
          <w:p w14:paraId="3A00F173" w14:textId="77777777" w:rsidR="00561B22" w:rsidRPr="009A3669" w:rsidRDefault="00561B22" w:rsidP="00F1223B">
            <w:pPr>
              <w:jc w:val="both"/>
              <w:rPr>
                <w:rFonts w:ascii="Arial" w:hAnsi="Arial" w:cs="Arial"/>
                <w:sz w:val="22"/>
                <w:szCs w:val="22"/>
                <w:lang w:val="es-MX"/>
              </w:rPr>
            </w:pPr>
            <w:r w:rsidRPr="009A3669">
              <w:rPr>
                <w:rFonts w:ascii="Arial" w:hAnsi="Arial" w:cs="Arial"/>
                <w:sz w:val="22"/>
                <w:szCs w:val="22"/>
                <w:lang w:val="es-CO"/>
              </w:rPr>
              <w:t>Realizar un tratamiento adecuado a los riesgos de índole contable y establecer controles que permitan mitigar los riesgos.</w:t>
            </w:r>
          </w:p>
        </w:tc>
      </w:tr>
      <w:tr w:rsidR="00561B22" w:rsidRPr="009A3669" w14:paraId="4E402F74" w14:textId="77777777" w:rsidTr="00F1223B">
        <w:tc>
          <w:tcPr>
            <w:tcW w:w="988" w:type="dxa"/>
          </w:tcPr>
          <w:p w14:paraId="74ACDDAB"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2</w:t>
            </w:r>
          </w:p>
        </w:tc>
        <w:tc>
          <w:tcPr>
            <w:tcW w:w="8974" w:type="dxa"/>
          </w:tcPr>
          <w:p w14:paraId="26C0D1DF" w14:textId="77777777" w:rsidR="00561B22" w:rsidRPr="009A3669" w:rsidRDefault="00561B22" w:rsidP="00F1223B">
            <w:pPr>
              <w:jc w:val="both"/>
              <w:rPr>
                <w:rFonts w:ascii="Arial" w:hAnsi="Arial" w:cs="Arial"/>
                <w:sz w:val="22"/>
                <w:szCs w:val="22"/>
                <w:lang w:val="es-CO"/>
              </w:rPr>
            </w:pPr>
            <w:r w:rsidRPr="009A3669">
              <w:rPr>
                <w:rFonts w:ascii="Arial" w:hAnsi="Arial" w:cs="Arial"/>
                <w:sz w:val="22"/>
                <w:szCs w:val="22"/>
                <w:lang w:val="es-CO"/>
              </w:rPr>
              <w:t xml:space="preserve">Realizar autoevaluaciones periódicas para determinar la eficacia de los controles implementados en cada una de las actividades del proceso contable. </w:t>
            </w:r>
          </w:p>
        </w:tc>
      </w:tr>
      <w:tr w:rsidR="00561B22" w:rsidRPr="009A3669" w14:paraId="69847E5E" w14:textId="77777777" w:rsidTr="00F1223B">
        <w:tc>
          <w:tcPr>
            <w:tcW w:w="988" w:type="dxa"/>
          </w:tcPr>
          <w:p w14:paraId="0F694E02" w14:textId="77777777" w:rsidR="00561B22" w:rsidRPr="009A3669" w:rsidRDefault="00561B22" w:rsidP="00F1223B">
            <w:pPr>
              <w:jc w:val="center"/>
              <w:rPr>
                <w:rFonts w:ascii="Arial" w:hAnsi="Arial" w:cs="Arial"/>
                <w:b/>
                <w:sz w:val="22"/>
                <w:szCs w:val="22"/>
                <w:lang w:val="es-MX"/>
              </w:rPr>
            </w:pPr>
            <w:r w:rsidRPr="009A3669">
              <w:rPr>
                <w:rFonts w:ascii="Arial" w:hAnsi="Arial" w:cs="Arial"/>
                <w:b/>
                <w:sz w:val="22"/>
                <w:szCs w:val="22"/>
                <w:lang w:val="es-MX"/>
              </w:rPr>
              <w:t>3</w:t>
            </w:r>
          </w:p>
        </w:tc>
        <w:tc>
          <w:tcPr>
            <w:tcW w:w="8974" w:type="dxa"/>
          </w:tcPr>
          <w:p w14:paraId="55E26689" w14:textId="77777777" w:rsidR="00561B22" w:rsidRPr="009A3669" w:rsidRDefault="00561B22" w:rsidP="00F1223B">
            <w:pPr>
              <w:jc w:val="both"/>
              <w:rPr>
                <w:rFonts w:ascii="Arial" w:hAnsi="Arial" w:cs="Arial"/>
                <w:sz w:val="22"/>
                <w:szCs w:val="22"/>
                <w:lang w:val="es-CO"/>
              </w:rPr>
            </w:pPr>
            <w:r w:rsidRPr="009A3669">
              <w:rPr>
                <w:rFonts w:ascii="Arial" w:hAnsi="Arial" w:cs="Arial"/>
                <w:sz w:val="22"/>
                <w:szCs w:val="22"/>
                <w:lang w:val="es-CO"/>
              </w:rPr>
              <w:t xml:space="preserve">Socializar las políticas contables de manera periódica con el personal involucrado. </w:t>
            </w:r>
          </w:p>
        </w:tc>
      </w:tr>
    </w:tbl>
    <w:p w14:paraId="1AF0CBDE" w14:textId="77777777" w:rsidR="00561B22" w:rsidRPr="009A3669" w:rsidRDefault="00561B22" w:rsidP="00561B22">
      <w:pPr>
        <w:jc w:val="both"/>
        <w:rPr>
          <w:rFonts w:ascii="Arial" w:hAnsi="Arial" w:cs="Arial"/>
          <w:bCs/>
          <w:lang w:val="es-CO"/>
        </w:rPr>
      </w:pPr>
    </w:p>
    <w:p w14:paraId="22C9D6D2" w14:textId="77777777" w:rsidR="00561B22" w:rsidRPr="009A3669" w:rsidRDefault="00561B22" w:rsidP="00561B22">
      <w:pPr>
        <w:jc w:val="both"/>
        <w:rPr>
          <w:rFonts w:ascii="Arial" w:hAnsi="Arial" w:cs="Arial"/>
          <w:b/>
          <w:bCs/>
          <w:sz w:val="24"/>
          <w:szCs w:val="24"/>
          <w:lang w:val="es-CO"/>
        </w:rPr>
      </w:pPr>
      <w:r w:rsidRPr="009A3669">
        <w:rPr>
          <w:rFonts w:ascii="Arial" w:hAnsi="Arial" w:cs="Arial"/>
          <w:b/>
          <w:bCs/>
          <w:sz w:val="24"/>
          <w:szCs w:val="24"/>
          <w:lang w:val="es-CO"/>
        </w:rPr>
        <w:t xml:space="preserve">NOTA: LA ENTIDAD ENVIA LA MATRIZ DE AUTOEVALUACIÓN DEL SISTEMA DE CONTROL INTERNO CONTABLE CON </w:t>
      </w:r>
      <w:r w:rsidRPr="009A3669">
        <w:rPr>
          <w:rFonts w:ascii="Arial" w:hAnsi="Arial" w:cs="Arial"/>
          <w:b/>
          <w:bCs/>
          <w:sz w:val="24"/>
          <w:szCs w:val="24"/>
          <w:u w:val="single"/>
          <w:lang w:val="es-CO"/>
        </w:rPr>
        <w:t>ACTIVIDADES DE CONTROL REALIZADAS EN FORMA PARCIAL</w:t>
      </w:r>
      <w:r w:rsidRPr="009A3669">
        <w:rPr>
          <w:rFonts w:ascii="Arial" w:hAnsi="Arial" w:cs="Arial"/>
          <w:b/>
          <w:bCs/>
          <w:sz w:val="24"/>
          <w:szCs w:val="24"/>
          <w:lang w:val="es-CO"/>
        </w:rPr>
        <w:t>.</w:t>
      </w:r>
    </w:p>
    <w:p w14:paraId="5A85F214" w14:textId="77777777" w:rsidR="00E613DE" w:rsidRDefault="00E613DE" w:rsidP="00561B22">
      <w:pPr>
        <w:jc w:val="both"/>
        <w:rPr>
          <w:rFonts w:ascii="Arial" w:hAnsi="Arial" w:cs="Arial"/>
          <w:b/>
          <w:sz w:val="28"/>
          <w:szCs w:val="28"/>
          <w:lang w:val="es-MX"/>
        </w:rPr>
      </w:pPr>
    </w:p>
    <w:p w14:paraId="34430198" w14:textId="4DE16253" w:rsidR="00561B22" w:rsidRPr="00FE0CA7" w:rsidRDefault="00561B22" w:rsidP="00561B22">
      <w:pPr>
        <w:jc w:val="both"/>
        <w:rPr>
          <w:rFonts w:ascii="Arial" w:hAnsi="Arial" w:cs="Arial"/>
          <w:b/>
          <w:sz w:val="28"/>
          <w:szCs w:val="28"/>
          <w:lang w:val="es-MX"/>
        </w:rPr>
      </w:pPr>
      <w:r w:rsidRPr="00FE0CA7">
        <w:rPr>
          <w:rFonts w:ascii="Arial" w:hAnsi="Arial" w:cs="Arial"/>
          <w:b/>
          <w:sz w:val="28"/>
          <w:szCs w:val="28"/>
          <w:lang w:val="es-MX"/>
        </w:rPr>
        <w:t>56.- CONSEJO PROFESIONAL NACIONAL DE TOPOGRAFIA.</w:t>
      </w:r>
    </w:p>
    <w:p w14:paraId="09A0ECC1" w14:textId="77777777" w:rsidR="00561B22" w:rsidRDefault="00561B22" w:rsidP="00561B22">
      <w:pPr>
        <w:jc w:val="both"/>
        <w:rPr>
          <w:rFonts w:ascii="Arial" w:hAnsi="Arial" w:cs="Arial"/>
          <w:b/>
          <w:bCs/>
          <w:sz w:val="28"/>
          <w:szCs w:val="28"/>
        </w:rPr>
      </w:pPr>
    </w:p>
    <w:p w14:paraId="7DA754FE" w14:textId="77777777" w:rsidR="00561B22" w:rsidRPr="00C52FDE" w:rsidRDefault="00561B22" w:rsidP="00561B22">
      <w:pPr>
        <w:pStyle w:val="Textoindependiente"/>
        <w:ind w:right="-50"/>
        <w:jc w:val="center"/>
        <w:rPr>
          <w:rFonts w:ascii="Arial" w:hAnsi="Arial" w:cs="Arial"/>
          <w:b/>
          <w:bCs/>
        </w:rPr>
      </w:pPr>
      <w:r w:rsidRPr="00C52FDE">
        <w:rPr>
          <w:rFonts w:ascii="Arial" w:hAnsi="Arial" w:cs="Arial"/>
          <w:b/>
          <w:bCs/>
        </w:rPr>
        <w:t>INFORME DE LA AUTOCALIFICACIÓN DEL SISTEMA DE CONTROL INTERNO CONTABLE:</w:t>
      </w:r>
    </w:p>
    <w:p w14:paraId="17748CE9" w14:textId="77777777" w:rsidR="00561B22" w:rsidRPr="00C52FD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52FDE" w14:paraId="0772A170" w14:textId="77777777" w:rsidTr="00F1223B">
        <w:tc>
          <w:tcPr>
            <w:tcW w:w="4981" w:type="dxa"/>
          </w:tcPr>
          <w:p w14:paraId="6D4E8B34"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AUTOCALIFICACIÓN</w:t>
            </w:r>
          </w:p>
        </w:tc>
        <w:tc>
          <w:tcPr>
            <w:tcW w:w="4981" w:type="dxa"/>
          </w:tcPr>
          <w:p w14:paraId="793F2B72" w14:textId="77777777" w:rsidR="00561B22" w:rsidRPr="00C52FDE" w:rsidRDefault="00561B22" w:rsidP="00F1223B">
            <w:pPr>
              <w:jc w:val="center"/>
              <w:rPr>
                <w:rFonts w:ascii="Arial" w:hAnsi="Arial" w:cs="Arial"/>
                <w:b/>
                <w:sz w:val="22"/>
                <w:szCs w:val="22"/>
                <w:u w:val="single"/>
                <w:lang w:val="es-MX"/>
              </w:rPr>
            </w:pPr>
            <w:r w:rsidRPr="00C52FDE">
              <w:rPr>
                <w:rFonts w:ascii="Arial" w:hAnsi="Arial" w:cs="Arial"/>
                <w:b/>
                <w:sz w:val="22"/>
                <w:szCs w:val="22"/>
                <w:u w:val="single"/>
                <w:lang w:val="es-MX"/>
              </w:rPr>
              <w:t>3.97</w:t>
            </w:r>
          </w:p>
        </w:tc>
      </w:tr>
    </w:tbl>
    <w:p w14:paraId="53A80440" w14:textId="77777777" w:rsidR="00561B22" w:rsidRPr="00C52FDE" w:rsidRDefault="00561B22" w:rsidP="00561B22">
      <w:pPr>
        <w:pStyle w:val="Textoindependiente"/>
        <w:ind w:right="-50"/>
        <w:jc w:val="both"/>
        <w:rPr>
          <w:rFonts w:ascii="Arial" w:hAnsi="Arial" w:cs="Arial"/>
          <w:b/>
          <w:bCs/>
        </w:rPr>
      </w:pPr>
    </w:p>
    <w:p w14:paraId="6FB7FEC9" w14:textId="77777777" w:rsidR="00561B22" w:rsidRPr="00C52FDE" w:rsidRDefault="00561B22" w:rsidP="00561B22">
      <w:pPr>
        <w:pStyle w:val="Textoindependiente"/>
        <w:ind w:right="-50"/>
        <w:jc w:val="both"/>
        <w:rPr>
          <w:rFonts w:ascii="Arial" w:hAnsi="Arial" w:cs="Arial"/>
          <w:b/>
          <w:bCs/>
        </w:rPr>
      </w:pPr>
      <w:r w:rsidRPr="00C52FDE">
        <w:rPr>
          <w:rFonts w:ascii="Arial" w:hAnsi="Arial" w:cs="Arial"/>
          <w:b/>
          <w:bCs/>
        </w:rPr>
        <w:t>Del informe enviado retomamos lo siguiente:</w:t>
      </w:r>
    </w:p>
    <w:p w14:paraId="00B668AC" w14:textId="77777777" w:rsidR="00561B22" w:rsidRPr="00C52FD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52FDE" w14:paraId="6984907E" w14:textId="77777777" w:rsidTr="00F1223B">
        <w:tc>
          <w:tcPr>
            <w:tcW w:w="846" w:type="dxa"/>
          </w:tcPr>
          <w:p w14:paraId="70DA4781" w14:textId="77777777" w:rsidR="00561B22" w:rsidRPr="00C52FDE" w:rsidRDefault="00561B22" w:rsidP="00F1223B">
            <w:pPr>
              <w:ind w:right="-109"/>
              <w:jc w:val="center"/>
              <w:rPr>
                <w:rFonts w:ascii="Arial" w:hAnsi="Arial" w:cs="Arial"/>
                <w:b/>
                <w:sz w:val="22"/>
                <w:szCs w:val="22"/>
                <w:lang w:val="es-MX"/>
              </w:rPr>
            </w:pPr>
            <w:r w:rsidRPr="00C52FDE">
              <w:rPr>
                <w:rFonts w:ascii="Arial" w:hAnsi="Arial" w:cs="Arial"/>
                <w:b/>
                <w:sz w:val="22"/>
                <w:szCs w:val="22"/>
                <w:lang w:val="es-MX"/>
              </w:rPr>
              <w:t>N°</w:t>
            </w:r>
          </w:p>
        </w:tc>
        <w:tc>
          <w:tcPr>
            <w:tcW w:w="9116" w:type="dxa"/>
          </w:tcPr>
          <w:p w14:paraId="00F60279"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DEBILIDADES</w:t>
            </w:r>
          </w:p>
          <w:p w14:paraId="78C99C78" w14:textId="77777777" w:rsidR="00561B22" w:rsidRPr="00C52FDE" w:rsidRDefault="00561B22" w:rsidP="00F1223B">
            <w:pPr>
              <w:jc w:val="center"/>
              <w:rPr>
                <w:rFonts w:ascii="Arial" w:hAnsi="Arial" w:cs="Arial"/>
                <w:b/>
                <w:sz w:val="22"/>
                <w:szCs w:val="22"/>
                <w:lang w:val="es-MX"/>
              </w:rPr>
            </w:pPr>
          </w:p>
        </w:tc>
      </w:tr>
      <w:tr w:rsidR="00561B22" w:rsidRPr="00C52FDE" w14:paraId="3AA626B0" w14:textId="77777777" w:rsidTr="00F1223B">
        <w:tc>
          <w:tcPr>
            <w:tcW w:w="846" w:type="dxa"/>
          </w:tcPr>
          <w:p w14:paraId="1DA8228B"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1</w:t>
            </w:r>
          </w:p>
        </w:tc>
        <w:tc>
          <w:tcPr>
            <w:tcW w:w="9116" w:type="dxa"/>
          </w:tcPr>
          <w:p w14:paraId="5641F022" w14:textId="77777777" w:rsidR="00561B22" w:rsidRPr="00C52FDE" w:rsidRDefault="00561B22" w:rsidP="00F1223B">
            <w:pPr>
              <w:jc w:val="both"/>
              <w:rPr>
                <w:rFonts w:ascii="Arial" w:hAnsi="Arial" w:cs="Arial"/>
                <w:sz w:val="22"/>
                <w:szCs w:val="22"/>
                <w:lang w:val="es-MX"/>
              </w:rPr>
            </w:pPr>
            <w:r w:rsidRPr="00C52FDE">
              <w:rPr>
                <w:rFonts w:ascii="Arial" w:hAnsi="Arial" w:cs="Arial"/>
                <w:sz w:val="22"/>
                <w:szCs w:val="22"/>
                <w:lang w:val="es-CO"/>
              </w:rPr>
              <w:t>Falta de documentación de indicadores financieros que den cuenta con lo revelado en los estados financieros</w:t>
            </w:r>
          </w:p>
        </w:tc>
      </w:tr>
      <w:tr w:rsidR="00561B22" w:rsidRPr="00C52FDE" w14:paraId="0667FABA" w14:textId="77777777" w:rsidTr="00F1223B">
        <w:tc>
          <w:tcPr>
            <w:tcW w:w="846" w:type="dxa"/>
          </w:tcPr>
          <w:p w14:paraId="1326FBB7"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2</w:t>
            </w:r>
          </w:p>
        </w:tc>
        <w:tc>
          <w:tcPr>
            <w:tcW w:w="9116" w:type="dxa"/>
          </w:tcPr>
          <w:p w14:paraId="599363C9" w14:textId="77777777" w:rsidR="00561B22" w:rsidRPr="00C52FDE" w:rsidRDefault="00561B22" w:rsidP="00F1223B">
            <w:pPr>
              <w:jc w:val="both"/>
              <w:rPr>
                <w:rFonts w:ascii="Arial" w:hAnsi="Arial" w:cs="Arial"/>
                <w:sz w:val="22"/>
                <w:szCs w:val="22"/>
                <w:lang w:val="es-MX"/>
              </w:rPr>
            </w:pPr>
            <w:r w:rsidRPr="00C52FDE">
              <w:rPr>
                <w:rFonts w:ascii="Arial" w:hAnsi="Arial" w:cs="Arial"/>
                <w:sz w:val="22"/>
                <w:szCs w:val="22"/>
                <w:lang w:val="es-CO"/>
              </w:rPr>
              <w:t>Es necesario fortalecer los procesos de socialización de los diferentes lineamientos del proceso contable a los diferentes usuarios</w:t>
            </w:r>
          </w:p>
        </w:tc>
      </w:tr>
      <w:tr w:rsidR="00561B22" w:rsidRPr="00C52FDE" w14:paraId="0A26384D" w14:textId="77777777" w:rsidTr="00F1223B">
        <w:tc>
          <w:tcPr>
            <w:tcW w:w="846" w:type="dxa"/>
          </w:tcPr>
          <w:p w14:paraId="5E0A69D7"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3</w:t>
            </w:r>
          </w:p>
        </w:tc>
        <w:tc>
          <w:tcPr>
            <w:tcW w:w="9116" w:type="dxa"/>
          </w:tcPr>
          <w:p w14:paraId="508B46C1" w14:textId="77777777" w:rsidR="00561B22" w:rsidRPr="00C52FDE" w:rsidRDefault="00561B22" w:rsidP="00F1223B">
            <w:pPr>
              <w:jc w:val="both"/>
              <w:rPr>
                <w:rFonts w:ascii="Arial" w:hAnsi="Arial" w:cs="Arial"/>
                <w:sz w:val="22"/>
                <w:szCs w:val="22"/>
                <w:lang w:val="es-MX"/>
              </w:rPr>
            </w:pPr>
            <w:r w:rsidRPr="00C52FDE">
              <w:rPr>
                <w:rFonts w:ascii="Arial" w:hAnsi="Arial" w:cs="Arial"/>
                <w:sz w:val="22"/>
                <w:szCs w:val="22"/>
                <w:lang w:val="es-CO"/>
              </w:rPr>
              <w:t>No se han realizado ejercicios de rendición de cuentas</w:t>
            </w:r>
          </w:p>
        </w:tc>
      </w:tr>
      <w:tr w:rsidR="00561B22" w:rsidRPr="00C52FDE" w14:paraId="62E90B33" w14:textId="77777777" w:rsidTr="00F1223B">
        <w:tc>
          <w:tcPr>
            <w:tcW w:w="846" w:type="dxa"/>
          </w:tcPr>
          <w:p w14:paraId="774AA1CF"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4</w:t>
            </w:r>
          </w:p>
        </w:tc>
        <w:tc>
          <w:tcPr>
            <w:tcW w:w="9116" w:type="dxa"/>
          </w:tcPr>
          <w:p w14:paraId="052E791D" w14:textId="77777777" w:rsidR="00561B22" w:rsidRPr="00C52FDE" w:rsidRDefault="00561B22" w:rsidP="00F1223B">
            <w:pPr>
              <w:jc w:val="both"/>
              <w:rPr>
                <w:rFonts w:ascii="Arial" w:hAnsi="Arial" w:cs="Arial"/>
                <w:sz w:val="22"/>
                <w:szCs w:val="22"/>
                <w:lang w:val="es-MX"/>
              </w:rPr>
            </w:pPr>
            <w:r w:rsidRPr="00C52FDE">
              <w:rPr>
                <w:rFonts w:ascii="Arial" w:hAnsi="Arial" w:cs="Arial"/>
                <w:sz w:val="22"/>
                <w:szCs w:val="22"/>
                <w:lang w:val="es-CO"/>
              </w:rPr>
              <w:t>Los planes de capacitación del personal contable presentan debilidades y debe documentarse</w:t>
            </w:r>
          </w:p>
        </w:tc>
      </w:tr>
    </w:tbl>
    <w:p w14:paraId="215F902D" w14:textId="77777777" w:rsidR="00561B22" w:rsidRPr="00C52FDE" w:rsidRDefault="00561B22" w:rsidP="00561B22">
      <w:pPr>
        <w:pStyle w:val="Textoindependiente"/>
        <w:ind w:right="-50"/>
        <w:jc w:val="both"/>
        <w:rPr>
          <w:rFonts w:ascii="Arial" w:hAnsi="Arial" w:cs="Arial"/>
          <w:b/>
          <w:bCs/>
        </w:rPr>
      </w:pPr>
    </w:p>
    <w:p w14:paraId="6A2AD05B" w14:textId="77777777" w:rsidR="00561B22" w:rsidRPr="00C52FDE" w:rsidRDefault="00561B22" w:rsidP="00561B22">
      <w:pPr>
        <w:jc w:val="both"/>
        <w:rPr>
          <w:rFonts w:ascii="Arial" w:hAnsi="Arial" w:cs="Arial"/>
          <w:b/>
          <w:lang w:val="es-MX"/>
        </w:rPr>
      </w:pPr>
      <w:r w:rsidRPr="00C52FDE">
        <w:rPr>
          <w:rFonts w:ascii="Arial" w:hAnsi="Arial" w:cs="Arial"/>
          <w:b/>
          <w:lang w:val="es-MX"/>
        </w:rPr>
        <w:t>Del citado informe retomamos las siguientes recomendaciones:</w:t>
      </w:r>
    </w:p>
    <w:p w14:paraId="0788343D" w14:textId="77777777" w:rsidR="00561B22" w:rsidRPr="00C52FD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C52FDE" w14:paraId="3B310D45" w14:textId="77777777" w:rsidTr="00F1223B">
        <w:tc>
          <w:tcPr>
            <w:tcW w:w="846" w:type="dxa"/>
          </w:tcPr>
          <w:p w14:paraId="0F48C155" w14:textId="77777777" w:rsidR="00561B22" w:rsidRPr="00C52FDE" w:rsidRDefault="00561B22" w:rsidP="00F1223B">
            <w:pPr>
              <w:ind w:right="-109"/>
              <w:jc w:val="center"/>
              <w:rPr>
                <w:rFonts w:ascii="Arial" w:hAnsi="Arial" w:cs="Arial"/>
                <w:b/>
                <w:sz w:val="22"/>
                <w:szCs w:val="22"/>
                <w:lang w:val="es-MX"/>
              </w:rPr>
            </w:pPr>
            <w:r w:rsidRPr="00C52FDE">
              <w:rPr>
                <w:rFonts w:ascii="Arial" w:hAnsi="Arial" w:cs="Arial"/>
                <w:b/>
                <w:sz w:val="22"/>
                <w:szCs w:val="22"/>
                <w:lang w:val="es-MX"/>
              </w:rPr>
              <w:t>N°</w:t>
            </w:r>
          </w:p>
        </w:tc>
        <w:tc>
          <w:tcPr>
            <w:tcW w:w="9116" w:type="dxa"/>
          </w:tcPr>
          <w:p w14:paraId="752DA40E"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RECOMENDACIONES</w:t>
            </w:r>
          </w:p>
          <w:p w14:paraId="72FBA68B" w14:textId="77777777" w:rsidR="00561B22" w:rsidRPr="00C52FDE" w:rsidRDefault="00561B22" w:rsidP="00F1223B">
            <w:pPr>
              <w:jc w:val="center"/>
              <w:rPr>
                <w:rFonts w:ascii="Arial" w:hAnsi="Arial" w:cs="Arial"/>
                <w:b/>
                <w:sz w:val="22"/>
                <w:szCs w:val="22"/>
                <w:lang w:val="es-MX"/>
              </w:rPr>
            </w:pPr>
          </w:p>
        </w:tc>
      </w:tr>
      <w:tr w:rsidR="00561B22" w:rsidRPr="00C52FDE" w14:paraId="1DCC9100" w14:textId="77777777" w:rsidTr="00F1223B">
        <w:tc>
          <w:tcPr>
            <w:tcW w:w="846" w:type="dxa"/>
          </w:tcPr>
          <w:p w14:paraId="63D6E3C2"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1</w:t>
            </w:r>
          </w:p>
        </w:tc>
        <w:tc>
          <w:tcPr>
            <w:tcW w:w="9116" w:type="dxa"/>
          </w:tcPr>
          <w:p w14:paraId="45EC858F" w14:textId="77777777" w:rsidR="00561B22" w:rsidRPr="00C52FDE" w:rsidRDefault="00561B22" w:rsidP="00F1223B">
            <w:pPr>
              <w:rPr>
                <w:rFonts w:ascii="Arial" w:hAnsi="Arial" w:cs="Arial"/>
                <w:sz w:val="22"/>
                <w:szCs w:val="22"/>
                <w:lang w:val="es-MX"/>
              </w:rPr>
            </w:pPr>
            <w:r w:rsidRPr="00C52FDE">
              <w:rPr>
                <w:rFonts w:ascii="Arial" w:hAnsi="Arial" w:cs="Arial"/>
                <w:sz w:val="22"/>
                <w:szCs w:val="22"/>
                <w:lang w:val="es-CO"/>
              </w:rPr>
              <w:t xml:space="preserve">Es importante avanzar en el monitoreo de riesgos del proceso contable, </w:t>
            </w:r>
          </w:p>
        </w:tc>
      </w:tr>
      <w:tr w:rsidR="00561B22" w:rsidRPr="00C52FDE" w14:paraId="52077275" w14:textId="77777777" w:rsidTr="00F1223B">
        <w:tc>
          <w:tcPr>
            <w:tcW w:w="846" w:type="dxa"/>
          </w:tcPr>
          <w:p w14:paraId="4BE35C81"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2</w:t>
            </w:r>
          </w:p>
        </w:tc>
        <w:tc>
          <w:tcPr>
            <w:tcW w:w="9116" w:type="dxa"/>
          </w:tcPr>
          <w:p w14:paraId="6C60A0D8" w14:textId="77777777" w:rsidR="00561B22" w:rsidRPr="00C52FDE" w:rsidRDefault="00561B22" w:rsidP="00F1223B">
            <w:pPr>
              <w:rPr>
                <w:rFonts w:ascii="Arial" w:hAnsi="Arial" w:cs="Arial"/>
                <w:sz w:val="22"/>
                <w:szCs w:val="22"/>
                <w:lang w:val="es-MX"/>
              </w:rPr>
            </w:pPr>
            <w:r w:rsidRPr="00C52FDE">
              <w:rPr>
                <w:rFonts w:ascii="Arial" w:hAnsi="Arial" w:cs="Arial"/>
                <w:sz w:val="22"/>
                <w:szCs w:val="22"/>
                <w:lang w:val="es-CO"/>
              </w:rPr>
              <w:t>Se recomienda establecer y documentar los procedimientos del ciclo contable debido a que son la operación de ese manual de políticas contables.</w:t>
            </w:r>
          </w:p>
        </w:tc>
      </w:tr>
      <w:tr w:rsidR="00561B22" w:rsidRPr="00C52FDE" w14:paraId="297603EA" w14:textId="77777777" w:rsidTr="00F1223B">
        <w:tc>
          <w:tcPr>
            <w:tcW w:w="846" w:type="dxa"/>
          </w:tcPr>
          <w:p w14:paraId="02BED33E"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3</w:t>
            </w:r>
          </w:p>
        </w:tc>
        <w:tc>
          <w:tcPr>
            <w:tcW w:w="9116" w:type="dxa"/>
          </w:tcPr>
          <w:p w14:paraId="6DBA91BD" w14:textId="77777777" w:rsidR="00561B22" w:rsidRPr="00C52FDE" w:rsidRDefault="00561B22" w:rsidP="00F1223B">
            <w:pPr>
              <w:rPr>
                <w:rFonts w:ascii="Arial" w:hAnsi="Arial" w:cs="Arial"/>
                <w:sz w:val="22"/>
                <w:szCs w:val="22"/>
                <w:lang w:val="es-MX"/>
              </w:rPr>
            </w:pPr>
            <w:r w:rsidRPr="00C52FDE">
              <w:rPr>
                <w:rFonts w:ascii="Arial" w:hAnsi="Arial" w:cs="Arial"/>
                <w:sz w:val="22"/>
                <w:szCs w:val="22"/>
                <w:lang w:val="es-CO"/>
              </w:rPr>
              <w:t>Se recomienda realizar ejercicios de rendición de cuentas que presente los estados financieros a los usuarios o interesados</w:t>
            </w:r>
          </w:p>
        </w:tc>
      </w:tr>
      <w:tr w:rsidR="00561B22" w:rsidRPr="00C52FDE" w14:paraId="0510CA4E" w14:textId="77777777" w:rsidTr="00F1223B">
        <w:tc>
          <w:tcPr>
            <w:tcW w:w="846" w:type="dxa"/>
          </w:tcPr>
          <w:p w14:paraId="2F80E2FA"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4</w:t>
            </w:r>
          </w:p>
        </w:tc>
        <w:tc>
          <w:tcPr>
            <w:tcW w:w="9116" w:type="dxa"/>
          </w:tcPr>
          <w:p w14:paraId="7E9068C8" w14:textId="77777777" w:rsidR="00561B22" w:rsidRPr="00C52FDE" w:rsidRDefault="00561B22" w:rsidP="00F1223B">
            <w:pPr>
              <w:rPr>
                <w:rFonts w:ascii="Arial" w:hAnsi="Arial" w:cs="Arial"/>
                <w:sz w:val="22"/>
                <w:szCs w:val="22"/>
                <w:lang w:val="es-MX"/>
              </w:rPr>
            </w:pPr>
            <w:r w:rsidRPr="00C52FDE">
              <w:rPr>
                <w:rFonts w:ascii="Arial" w:hAnsi="Arial" w:cs="Arial"/>
                <w:sz w:val="22"/>
                <w:szCs w:val="22"/>
                <w:lang w:val="es-CO"/>
              </w:rPr>
              <w:t>Fortalecer la socialización de las políticas contables,</w:t>
            </w:r>
          </w:p>
        </w:tc>
      </w:tr>
      <w:tr w:rsidR="00561B22" w:rsidRPr="00C52FDE" w14:paraId="5956C356" w14:textId="77777777" w:rsidTr="00F1223B">
        <w:tc>
          <w:tcPr>
            <w:tcW w:w="846" w:type="dxa"/>
          </w:tcPr>
          <w:p w14:paraId="702DB95F"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5</w:t>
            </w:r>
          </w:p>
        </w:tc>
        <w:tc>
          <w:tcPr>
            <w:tcW w:w="9116" w:type="dxa"/>
          </w:tcPr>
          <w:p w14:paraId="252D63B4" w14:textId="77777777" w:rsidR="00561B22" w:rsidRPr="00C52FDE" w:rsidRDefault="00561B22" w:rsidP="00F1223B">
            <w:pPr>
              <w:rPr>
                <w:rFonts w:ascii="Arial" w:hAnsi="Arial" w:cs="Arial"/>
                <w:sz w:val="22"/>
                <w:szCs w:val="22"/>
                <w:lang w:val="es-CO"/>
              </w:rPr>
            </w:pPr>
            <w:r w:rsidRPr="00C52FDE">
              <w:rPr>
                <w:rFonts w:ascii="Arial" w:hAnsi="Arial" w:cs="Arial"/>
                <w:sz w:val="22"/>
                <w:szCs w:val="22"/>
                <w:lang w:val="es-CO"/>
              </w:rPr>
              <w:t>Fortalecer el plan de capacitación para los responsables del proceso contable,</w:t>
            </w:r>
          </w:p>
        </w:tc>
      </w:tr>
      <w:tr w:rsidR="00561B22" w:rsidRPr="00C52FDE" w14:paraId="2611742D" w14:textId="77777777" w:rsidTr="00F1223B">
        <w:tc>
          <w:tcPr>
            <w:tcW w:w="846" w:type="dxa"/>
          </w:tcPr>
          <w:p w14:paraId="70909700" w14:textId="77777777" w:rsidR="00561B22" w:rsidRPr="00C52FDE" w:rsidRDefault="00561B22" w:rsidP="00F1223B">
            <w:pPr>
              <w:jc w:val="center"/>
              <w:rPr>
                <w:rFonts w:ascii="Arial" w:hAnsi="Arial" w:cs="Arial"/>
                <w:b/>
                <w:sz w:val="22"/>
                <w:szCs w:val="22"/>
                <w:lang w:val="es-MX"/>
              </w:rPr>
            </w:pPr>
            <w:r w:rsidRPr="00C52FDE">
              <w:rPr>
                <w:rFonts w:ascii="Arial" w:hAnsi="Arial" w:cs="Arial"/>
                <w:b/>
                <w:sz w:val="22"/>
                <w:szCs w:val="22"/>
                <w:lang w:val="es-MX"/>
              </w:rPr>
              <w:t>6</w:t>
            </w:r>
          </w:p>
        </w:tc>
        <w:tc>
          <w:tcPr>
            <w:tcW w:w="9116" w:type="dxa"/>
          </w:tcPr>
          <w:p w14:paraId="75FDD641" w14:textId="77777777" w:rsidR="00561B22" w:rsidRPr="00C52FDE" w:rsidRDefault="00561B22" w:rsidP="00F1223B">
            <w:pPr>
              <w:rPr>
                <w:rFonts w:ascii="Arial" w:hAnsi="Arial" w:cs="Arial"/>
                <w:sz w:val="22"/>
                <w:szCs w:val="22"/>
                <w:lang w:val="es-CO"/>
              </w:rPr>
            </w:pPr>
            <w:r w:rsidRPr="00C52FDE">
              <w:rPr>
                <w:rFonts w:ascii="Arial" w:hAnsi="Arial" w:cs="Arial"/>
                <w:sz w:val="22"/>
                <w:szCs w:val="22"/>
                <w:lang w:val="es-CO"/>
              </w:rPr>
              <w:t>Fortalecer revisiones periódicas del proceso contable por parte de otros niveles de verificación</w:t>
            </w:r>
          </w:p>
        </w:tc>
      </w:tr>
    </w:tbl>
    <w:p w14:paraId="06A29FDE" w14:textId="77777777" w:rsidR="00561B22" w:rsidRPr="00C52FDE" w:rsidRDefault="00561B22" w:rsidP="00561B22">
      <w:pPr>
        <w:pStyle w:val="Textoindependiente"/>
        <w:ind w:right="-50"/>
        <w:jc w:val="both"/>
        <w:rPr>
          <w:rFonts w:ascii="Arial" w:hAnsi="Arial" w:cs="Arial"/>
          <w:b/>
          <w:bCs/>
        </w:rPr>
      </w:pPr>
    </w:p>
    <w:p w14:paraId="27DBBFFF" w14:textId="77777777" w:rsidR="00561B22" w:rsidRPr="00C52FDE" w:rsidRDefault="00561B22" w:rsidP="00561B22">
      <w:pPr>
        <w:jc w:val="both"/>
        <w:rPr>
          <w:rFonts w:ascii="Arial" w:hAnsi="Arial" w:cs="Arial"/>
          <w:b/>
          <w:bCs/>
          <w:sz w:val="24"/>
          <w:szCs w:val="24"/>
          <w:lang w:val="es-CO"/>
        </w:rPr>
      </w:pPr>
      <w:r w:rsidRPr="00C52FDE">
        <w:rPr>
          <w:rFonts w:ascii="Arial" w:hAnsi="Arial" w:cs="Arial"/>
          <w:b/>
          <w:bCs/>
          <w:sz w:val="24"/>
          <w:szCs w:val="24"/>
          <w:lang w:val="es-CO"/>
        </w:rPr>
        <w:t xml:space="preserve">NOTA: LA ENTIDAD ENVIA LA MATRIZ DE AUTOEVALUACIÓN DEL SISTEMA DE CONTROL INTERNO CONTABLE CON ACTIVIDADES DE CONTROL REALIZADAS </w:t>
      </w:r>
      <w:r w:rsidRPr="00C52FDE">
        <w:rPr>
          <w:rFonts w:ascii="Arial" w:hAnsi="Arial" w:cs="Arial"/>
          <w:b/>
          <w:bCs/>
          <w:sz w:val="24"/>
          <w:szCs w:val="24"/>
          <w:u w:val="single"/>
          <w:lang w:val="es-CO"/>
        </w:rPr>
        <w:t>EN FORMA PARCIAL Y OTRAS SIMPLEMENTE INFORMAN QUE NO SE REALIZARON</w:t>
      </w:r>
      <w:r w:rsidRPr="00C52FDE">
        <w:rPr>
          <w:rFonts w:ascii="Arial" w:hAnsi="Arial" w:cs="Arial"/>
          <w:b/>
          <w:bCs/>
          <w:sz w:val="24"/>
          <w:szCs w:val="24"/>
          <w:lang w:val="es-CO"/>
        </w:rPr>
        <w:t>.</w:t>
      </w:r>
    </w:p>
    <w:p w14:paraId="346163E4" w14:textId="77777777" w:rsidR="00561B22" w:rsidRPr="00C52FDE" w:rsidRDefault="00561B22" w:rsidP="00561B22">
      <w:pPr>
        <w:ind w:left="720" w:hanging="720"/>
        <w:jc w:val="both"/>
        <w:rPr>
          <w:rFonts w:ascii="Arial" w:hAnsi="Arial" w:cs="Arial"/>
          <w:b/>
          <w:bCs/>
          <w:sz w:val="24"/>
          <w:szCs w:val="24"/>
          <w:lang w:val="es-CO"/>
        </w:rPr>
      </w:pPr>
    </w:p>
    <w:p w14:paraId="1741FBE5" w14:textId="77777777" w:rsidR="00561B22" w:rsidRPr="001C5023" w:rsidRDefault="00561B22" w:rsidP="00561B22">
      <w:pPr>
        <w:jc w:val="both"/>
        <w:rPr>
          <w:rFonts w:ascii="Arial" w:hAnsi="Arial" w:cs="Arial"/>
          <w:b/>
          <w:sz w:val="28"/>
          <w:szCs w:val="28"/>
          <w:lang w:val="es-MX"/>
        </w:rPr>
      </w:pPr>
      <w:r w:rsidRPr="001C5023">
        <w:rPr>
          <w:rFonts w:ascii="Arial" w:hAnsi="Arial" w:cs="Arial"/>
          <w:b/>
          <w:sz w:val="28"/>
          <w:szCs w:val="28"/>
          <w:lang w:val="es-MX"/>
        </w:rPr>
        <w:t xml:space="preserve">57.- </w:t>
      </w:r>
      <w:r w:rsidRPr="001C5023">
        <w:rPr>
          <w:rFonts w:ascii="Arial" w:hAnsi="Arial" w:cs="Arial"/>
          <w:b/>
          <w:sz w:val="28"/>
          <w:szCs w:val="28"/>
        </w:rPr>
        <w:t>EMPRESA COLOMBIANA DE PRODUCTOS VETERINARIOS – VECOL S.A.</w:t>
      </w:r>
    </w:p>
    <w:p w14:paraId="59694067" w14:textId="77777777" w:rsidR="00561B22" w:rsidRPr="00D21EAD" w:rsidRDefault="00561B22" w:rsidP="00561B22">
      <w:pPr>
        <w:jc w:val="both"/>
        <w:rPr>
          <w:rFonts w:ascii="Arial" w:hAnsi="Arial" w:cs="Arial"/>
          <w:b/>
          <w:bCs/>
        </w:rPr>
      </w:pPr>
    </w:p>
    <w:p w14:paraId="35D8A2CF" w14:textId="77777777" w:rsidR="00561B22" w:rsidRPr="00D21EAD" w:rsidRDefault="00561B22" w:rsidP="00561B22">
      <w:pPr>
        <w:pStyle w:val="Textoindependiente"/>
        <w:ind w:right="-50"/>
        <w:jc w:val="center"/>
        <w:rPr>
          <w:rFonts w:ascii="Arial" w:hAnsi="Arial" w:cs="Arial"/>
          <w:b/>
          <w:bCs/>
        </w:rPr>
      </w:pPr>
      <w:r w:rsidRPr="00D21EAD">
        <w:rPr>
          <w:rFonts w:ascii="Arial" w:hAnsi="Arial" w:cs="Arial"/>
          <w:b/>
          <w:bCs/>
        </w:rPr>
        <w:t>INFORME DE LA AUTOCALIFICACIÓN DEL SISTEMA DE CONTROL INTERNO CONTABLE:</w:t>
      </w:r>
    </w:p>
    <w:p w14:paraId="52EAAE8C" w14:textId="77777777" w:rsidR="00561B22" w:rsidRPr="00D21EA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21EAD" w14:paraId="02D4CC6A" w14:textId="77777777" w:rsidTr="00F1223B">
        <w:tc>
          <w:tcPr>
            <w:tcW w:w="4981" w:type="dxa"/>
          </w:tcPr>
          <w:p w14:paraId="1037186A" w14:textId="77777777" w:rsidR="00561B22" w:rsidRPr="00D21EAD" w:rsidRDefault="00561B22" w:rsidP="00F1223B">
            <w:pPr>
              <w:jc w:val="center"/>
              <w:rPr>
                <w:rFonts w:ascii="Arial" w:hAnsi="Arial" w:cs="Arial"/>
                <w:b/>
                <w:sz w:val="22"/>
                <w:szCs w:val="22"/>
                <w:lang w:val="es-MX"/>
              </w:rPr>
            </w:pPr>
            <w:r w:rsidRPr="00D21EAD">
              <w:rPr>
                <w:rFonts w:ascii="Arial" w:hAnsi="Arial" w:cs="Arial"/>
                <w:b/>
                <w:sz w:val="22"/>
                <w:szCs w:val="22"/>
                <w:lang w:val="es-MX"/>
              </w:rPr>
              <w:t>AUTOCALIFICACIÓN</w:t>
            </w:r>
          </w:p>
        </w:tc>
        <w:tc>
          <w:tcPr>
            <w:tcW w:w="4981" w:type="dxa"/>
          </w:tcPr>
          <w:p w14:paraId="2CB04F09" w14:textId="77777777" w:rsidR="00561B22" w:rsidRPr="00D21EAD" w:rsidRDefault="00561B22" w:rsidP="00F1223B">
            <w:pPr>
              <w:jc w:val="center"/>
              <w:rPr>
                <w:rFonts w:ascii="Arial" w:hAnsi="Arial" w:cs="Arial"/>
                <w:b/>
                <w:sz w:val="22"/>
                <w:szCs w:val="22"/>
                <w:u w:val="single"/>
                <w:lang w:val="es-MX"/>
              </w:rPr>
            </w:pPr>
            <w:r w:rsidRPr="00D21EAD">
              <w:rPr>
                <w:rFonts w:ascii="Arial" w:hAnsi="Arial" w:cs="Arial"/>
                <w:b/>
                <w:sz w:val="22"/>
                <w:szCs w:val="22"/>
                <w:u w:val="single"/>
                <w:lang w:val="es-MX"/>
              </w:rPr>
              <w:t>4.95</w:t>
            </w:r>
          </w:p>
        </w:tc>
      </w:tr>
    </w:tbl>
    <w:p w14:paraId="38B29E34" w14:textId="77777777" w:rsidR="00561B22" w:rsidRPr="00D21EAD" w:rsidRDefault="00561B22" w:rsidP="00561B22">
      <w:pPr>
        <w:pStyle w:val="Textoindependiente"/>
        <w:ind w:right="-50"/>
        <w:jc w:val="both"/>
        <w:rPr>
          <w:rFonts w:ascii="Arial" w:hAnsi="Arial" w:cs="Arial"/>
          <w:b/>
          <w:bCs/>
        </w:rPr>
      </w:pPr>
    </w:p>
    <w:p w14:paraId="376C045D" w14:textId="77777777" w:rsidR="00561B22" w:rsidRPr="00D21EAD" w:rsidRDefault="00561B22" w:rsidP="00561B22">
      <w:pPr>
        <w:pStyle w:val="Textoindependiente"/>
        <w:ind w:right="-50"/>
        <w:jc w:val="both"/>
        <w:rPr>
          <w:rFonts w:ascii="Arial" w:hAnsi="Arial" w:cs="Arial"/>
          <w:b/>
          <w:bCs/>
        </w:rPr>
      </w:pPr>
      <w:r w:rsidRPr="00D21EAD">
        <w:rPr>
          <w:rFonts w:ascii="Arial" w:hAnsi="Arial" w:cs="Arial"/>
          <w:b/>
          <w:bCs/>
        </w:rPr>
        <w:t>Del informe enviado retomamos lo siguiente:</w:t>
      </w:r>
    </w:p>
    <w:p w14:paraId="45F03B9A" w14:textId="77777777" w:rsidR="00561B22" w:rsidRPr="00D21EA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D21EAD" w14:paraId="334B475C" w14:textId="77777777" w:rsidTr="00F1223B">
        <w:tc>
          <w:tcPr>
            <w:tcW w:w="846" w:type="dxa"/>
          </w:tcPr>
          <w:p w14:paraId="2C2B584A" w14:textId="77777777" w:rsidR="00561B22" w:rsidRPr="00D21EAD" w:rsidRDefault="00561B22" w:rsidP="00F1223B">
            <w:pPr>
              <w:ind w:right="-109"/>
              <w:jc w:val="center"/>
              <w:rPr>
                <w:rFonts w:ascii="Arial" w:hAnsi="Arial" w:cs="Arial"/>
                <w:b/>
                <w:sz w:val="22"/>
                <w:szCs w:val="22"/>
                <w:lang w:val="es-MX"/>
              </w:rPr>
            </w:pPr>
            <w:r w:rsidRPr="00D21EAD">
              <w:rPr>
                <w:rFonts w:ascii="Arial" w:hAnsi="Arial" w:cs="Arial"/>
                <w:b/>
                <w:sz w:val="22"/>
                <w:szCs w:val="22"/>
                <w:lang w:val="es-MX"/>
              </w:rPr>
              <w:t>N°</w:t>
            </w:r>
          </w:p>
        </w:tc>
        <w:tc>
          <w:tcPr>
            <w:tcW w:w="9116" w:type="dxa"/>
          </w:tcPr>
          <w:p w14:paraId="15E6E474" w14:textId="77777777" w:rsidR="00561B22" w:rsidRPr="00D21EAD" w:rsidRDefault="00561B22" w:rsidP="00F1223B">
            <w:pPr>
              <w:jc w:val="center"/>
              <w:rPr>
                <w:rFonts w:ascii="Arial" w:hAnsi="Arial" w:cs="Arial"/>
                <w:b/>
                <w:sz w:val="22"/>
                <w:szCs w:val="22"/>
                <w:lang w:val="es-MX"/>
              </w:rPr>
            </w:pPr>
            <w:r w:rsidRPr="00D21EAD">
              <w:rPr>
                <w:rFonts w:ascii="Arial" w:hAnsi="Arial" w:cs="Arial"/>
                <w:b/>
                <w:sz w:val="22"/>
                <w:szCs w:val="22"/>
                <w:lang w:val="es-MX"/>
              </w:rPr>
              <w:t>DEBILIDADES</w:t>
            </w:r>
          </w:p>
          <w:p w14:paraId="55D6FA40" w14:textId="77777777" w:rsidR="00561B22" w:rsidRPr="00D21EAD" w:rsidRDefault="00561B22" w:rsidP="00F1223B">
            <w:pPr>
              <w:jc w:val="center"/>
              <w:rPr>
                <w:rFonts w:ascii="Arial" w:hAnsi="Arial" w:cs="Arial"/>
                <w:b/>
                <w:sz w:val="22"/>
                <w:szCs w:val="22"/>
                <w:lang w:val="es-MX"/>
              </w:rPr>
            </w:pPr>
          </w:p>
        </w:tc>
      </w:tr>
      <w:tr w:rsidR="00561B22" w:rsidRPr="00D21EAD" w14:paraId="3F025E9C" w14:textId="77777777" w:rsidTr="00F1223B">
        <w:tc>
          <w:tcPr>
            <w:tcW w:w="846" w:type="dxa"/>
          </w:tcPr>
          <w:p w14:paraId="69FD73A7" w14:textId="77777777" w:rsidR="00561B22" w:rsidRPr="00D21EAD" w:rsidRDefault="00561B22" w:rsidP="00F1223B">
            <w:pPr>
              <w:jc w:val="center"/>
              <w:rPr>
                <w:rFonts w:ascii="Arial" w:hAnsi="Arial" w:cs="Arial"/>
                <w:b/>
                <w:sz w:val="22"/>
                <w:szCs w:val="22"/>
                <w:lang w:val="es-MX"/>
              </w:rPr>
            </w:pPr>
            <w:r w:rsidRPr="00D21EAD">
              <w:rPr>
                <w:rFonts w:ascii="Arial" w:hAnsi="Arial" w:cs="Arial"/>
                <w:b/>
                <w:sz w:val="22"/>
                <w:szCs w:val="22"/>
                <w:lang w:val="es-MX"/>
              </w:rPr>
              <w:t>1</w:t>
            </w:r>
          </w:p>
        </w:tc>
        <w:tc>
          <w:tcPr>
            <w:tcW w:w="9116" w:type="dxa"/>
          </w:tcPr>
          <w:p w14:paraId="3B4AC8B3" w14:textId="77777777" w:rsidR="00561B22" w:rsidRPr="00D21EAD" w:rsidRDefault="00561B22" w:rsidP="00F1223B">
            <w:pPr>
              <w:jc w:val="both"/>
              <w:rPr>
                <w:rFonts w:ascii="Arial" w:hAnsi="Arial" w:cs="Arial"/>
                <w:sz w:val="22"/>
                <w:szCs w:val="22"/>
                <w:lang w:val="es-MX"/>
              </w:rPr>
            </w:pPr>
            <w:r w:rsidRPr="00D21EAD">
              <w:rPr>
                <w:rFonts w:ascii="Arial" w:hAnsi="Arial" w:cs="Arial"/>
                <w:sz w:val="22"/>
                <w:szCs w:val="22"/>
                <w:lang w:val="es-CO"/>
              </w:rPr>
              <w:t>Se evidenció las siguientes debilidades en la revisión realizada: - El área financiera ha presentado avances significativos en lo relacionado a la caracterización del proceso contable en cuanto a procedimientos Tobe, sin embargo, al cierre del 31 de diciembre de 2024 se encuentra pendiente la actualización de los siguientes procesos: (Administración de maestros financieros, estrategia de financiamiento, Cumplimiento con terceros)</w:t>
            </w:r>
          </w:p>
        </w:tc>
      </w:tr>
    </w:tbl>
    <w:p w14:paraId="58F44982" w14:textId="77777777" w:rsidR="00561B22" w:rsidRPr="00D21EAD" w:rsidRDefault="00561B22" w:rsidP="00561B22">
      <w:pPr>
        <w:pStyle w:val="Textoindependiente"/>
        <w:ind w:right="-50"/>
        <w:jc w:val="both"/>
        <w:rPr>
          <w:rFonts w:ascii="Arial" w:hAnsi="Arial" w:cs="Arial"/>
          <w:b/>
          <w:bCs/>
        </w:rPr>
      </w:pPr>
    </w:p>
    <w:p w14:paraId="2EB4DAF7" w14:textId="77777777" w:rsidR="00561B22" w:rsidRPr="00D21EAD" w:rsidRDefault="00561B22" w:rsidP="00561B22">
      <w:pPr>
        <w:jc w:val="both"/>
        <w:rPr>
          <w:rFonts w:ascii="Arial" w:hAnsi="Arial" w:cs="Arial"/>
          <w:b/>
          <w:lang w:val="es-MX"/>
        </w:rPr>
      </w:pPr>
      <w:r w:rsidRPr="00D21EAD">
        <w:rPr>
          <w:rFonts w:ascii="Arial" w:hAnsi="Arial" w:cs="Arial"/>
          <w:b/>
          <w:lang w:val="es-MX"/>
        </w:rPr>
        <w:t>Del citado informe retomamos las siguientes recomendaciones:</w:t>
      </w:r>
    </w:p>
    <w:p w14:paraId="6B410E4B" w14:textId="77777777" w:rsidR="00561B22" w:rsidRPr="00D21EA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D21EAD" w14:paraId="468DDF83" w14:textId="77777777" w:rsidTr="00F1223B">
        <w:tc>
          <w:tcPr>
            <w:tcW w:w="846" w:type="dxa"/>
          </w:tcPr>
          <w:p w14:paraId="39CE47E9" w14:textId="77777777" w:rsidR="00561B22" w:rsidRPr="00D21EAD" w:rsidRDefault="00561B22" w:rsidP="00F1223B">
            <w:pPr>
              <w:ind w:right="-109"/>
              <w:jc w:val="center"/>
              <w:rPr>
                <w:rFonts w:ascii="Arial" w:hAnsi="Arial" w:cs="Arial"/>
                <w:b/>
                <w:sz w:val="22"/>
                <w:szCs w:val="22"/>
                <w:lang w:val="es-MX"/>
              </w:rPr>
            </w:pPr>
            <w:r w:rsidRPr="00D21EAD">
              <w:rPr>
                <w:rFonts w:ascii="Arial" w:hAnsi="Arial" w:cs="Arial"/>
                <w:b/>
                <w:sz w:val="22"/>
                <w:szCs w:val="22"/>
                <w:lang w:val="es-MX"/>
              </w:rPr>
              <w:t>N°</w:t>
            </w:r>
          </w:p>
        </w:tc>
        <w:tc>
          <w:tcPr>
            <w:tcW w:w="9116" w:type="dxa"/>
          </w:tcPr>
          <w:p w14:paraId="39A98871" w14:textId="77777777" w:rsidR="00561B22" w:rsidRPr="00D21EAD" w:rsidRDefault="00561B22" w:rsidP="00F1223B">
            <w:pPr>
              <w:jc w:val="center"/>
              <w:rPr>
                <w:rFonts w:ascii="Arial" w:hAnsi="Arial" w:cs="Arial"/>
                <w:b/>
                <w:sz w:val="22"/>
                <w:szCs w:val="22"/>
                <w:lang w:val="es-MX"/>
              </w:rPr>
            </w:pPr>
            <w:r w:rsidRPr="00D21EAD">
              <w:rPr>
                <w:rFonts w:ascii="Arial" w:hAnsi="Arial" w:cs="Arial"/>
                <w:b/>
                <w:sz w:val="22"/>
                <w:szCs w:val="22"/>
                <w:lang w:val="es-MX"/>
              </w:rPr>
              <w:t>RECOMENDACIONES</w:t>
            </w:r>
          </w:p>
          <w:p w14:paraId="37E425E0" w14:textId="77777777" w:rsidR="00561B22" w:rsidRPr="00D21EAD" w:rsidRDefault="00561B22" w:rsidP="00F1223B">
            <w:pPr>
              <w:jc w:val="center"/>
              <w:rPr>
                <w:rFonts w:ascii="Arial" w:hAnsi="Arial" w:cs="Arial"/>
                <w:b/>
                <w:sz w:val="22"/>
                <w:szCs w:val="22"/>
                <w:lang w:val="es-MX"/>
              </w:rPr>
            </w:pPr>
          </w:p>
        </w:tc>
      </w:tr>
      <w:tr w:rsidR="00561B22" w:rsidRPr="00D21EAD" w14:paraId="31704999" w14:textId="77777777" w:rsidTr="00F1223B">
        <w:tc>
          <w:tcPr>
            <w:tcW w:w="846" w:type="dxa"/>
          </w:tcPr>
          <w:p w14:paraId="4BC475F6" w14:textId="77777777" w:rsidR="00561B22" w:rsidRPr="00D21EAD" w:rsidRDefault="00561B22" w:rsidP="00F1223B">
            <w:pPr>
              <w:jc w:val="center"/>
              <w:rPr>
                <w:rFonts w:ascii="Arial" w:hAnsi="Arial" w:cs="Arial"/>
                <w:b/>
                <w:sz w:val="22"/>
                <w:szCs w:val="22"/>
                <w:lang w:val="es-MX"/>
              </w:rPr>
            </w:pPr>
            <w:r w:rsidRPr="00D21EAD">
              <w:rPr>
                <w:rFonts w:ascii="Arial" w:hAnsi="Arial" w:cs="Arial"/>
                <w:b/>
                <w:sz w:val="22"/>
                <w:szCs w:val="22"/>
                <w:lang w:val="es-MX"/>
              </w:rPr>
              <w:t>1</w:t>
            </w:r>
          </w:p>
        </w:tc>
        <w:tc>
          <w:tcPr>
            <w:tcW w:w="9116" w:type="dxa"/>
          </w:tcPr>
          <w:p w14:paraId="4AEE423F" w14:textId="77777777" w:rsidR="00561B22" w:rsidRPr="00D21EAD" w:rsidRDefault="00561B22" w:rsidP="00F1223B">
            <w:pPr>
              <w:jc w:val="both"/>
              <w:rPr>
                <w:rFonts w:ascii="Arial" w:hAnsi="Arial" w:cs="Arial"/>
                <w:sz w:val="22"/>
                <w:szCs w:val="22"/>
                <w:lang w:val="es-MX"/>
              </w:rPr>
            </w:pPr>
            <w:r w:rsidRPr="00D21EAD">
              <w:rPr>
                <w:rFonts w:ascii="Arial" w:hAnsi="Arial" w:cs="Arial"/>
                <w:sz w:val="22"/>
                <w:szCs w:val="22"/>
                <w:lang w:val="es-CO"/>
              </w:rPr>
              <w:t>Las recomendaciones a tener en cuenta para el periodo 2025 son las siguientes: - Se debe realizar la validación de la correcta segregación de funciones en el aplicativo SAP de manera continua con las nuevas actualizaciones en los cargos y transacciones relacionadas al proceso financiero. - Actualizar de manera periódica la Matriz de Riesgos. - Actualización de la caracterización del proceso contable en cuanto a procedimientos ToBe, teniendo en cuenta la implementación de SAP y la actualización de actividades nuevas del proceso. - Se debe seguir realizando las actualizaciones frente a cambios normativos y tributarios en el vigente año con el objetivo de realizar las modificaciones que apliquen para Vecol (Cuentas reciprocas, cuentas nuevas, entre otros)</w:t>
            </w:r>
          </w:p>
        </w:tc>
      </w:tr>
    </w:tbl>
    <w:p w14:paraId="3BC43CD6" w14:textId="77777777" w:rsidR="00561B22" w:rsidRPr="00D21EAD" w:rsidRDefault="00561B22" w:rsidP="00561B22">
      <w:pPr>
        <w:pStyle w:val="Textoindependiente"/>
        <w:ind w:right="-50"/>
        <w:jc w:val="both"/>
        <w:rPr>
          <w:rFonts w:ascii="Arial" w:hAnsi="Arial" w:cs="Arial"/>
          <w:b/>
          <w:bCs/>
        </w:rPr>
      </w:pPr>
    </w:p>
    <w:p w14:paraId="725EB7CE" w14:textId="77777777" w:rsidR="00561B22" w:rsidRPr="00D21EAD" w:rsidRDefault="00561B22" w:rsidP="00561B22">
      <w:pPr>
        <w:jc w:val="both"/>
        <w:rPr>
          <w:rFonts w:ascii="Arial" w:hAnsi="Arial" w:cs="Arial"/>
          <w:b/>
          <w:bCs/>
          <w:sz w:val="24"/>
          <w:szCs w:val="24"/>
          <w:lang w:val="es-CO"/>
        </w:rPr>
      </w:pPr>
      <w:r w:rsidRPr="00D21EAD">
        <w:rPr>
          <w:rFonts w:ascii="Arial" w:hAnsi="Arial" w:cs="Arial"/>
          <w:b/>
          <w:bCs/>
          <w:sz w:val="24"/>
          <w:szCs w:val="24"/>
          <w:lang w:val="es-CO"/>
        </w:rPr>
        <w:t xml:space="preserve">NOTA: LA ENTIDAD ENVIA LA MATRIZ DE AUTOEVALUACIÓN DEL SISTEMA DE CONTROL INTERNO CONTABLE CON </w:t>
      </w:r>
      <w:r w:rsidRPr="00D21EAD">
        <w:rPr>
          <w:rFonts w:ascii="Arial" w:hAnsi="Arial" w:cs="Arial"/>
          <w:b/>
          <w:bCs/>
          <w:sz w:val="24"/>
          <w:szCs w:val="24"/>
          <w:u w:val="single"/>
          <w:lang w:val="es-CO"/>
        </w:rPr>
        <w:t>ACTIVIDADES DE CONTROL REALIZADAS EN FORMA PARCIAL</w:t>
      </w:r>
      <w:r w:rsidRPr="00D21EAD">
        <w:rPr>
          <w:rFonts w:ascii="Arial" w:hAnsi="Arial" w:cs="Arial"/>
          <w:b/>
          <w:bCs/>
          <w:sz w:val="24"/>
          <w:szCs w:val="24"/>
          <w:lang w:val="es-CO"/>
        </w:rPr>
        <w:t>.</w:t>
      </w:r>
    </w:p>
    <w:p w14:paraId="36BE406A" w14:textId="77777777" w:rsidR="00561B22" w:rsidRDefault="00561B22" w:rsidP="00561B22">
      <w:pPr>
        <w:jc w:val="both"/>
        <w:rPr>
          <w:rFonts w:ascii="Arial" w:hAnsi="Arial" w:cs="Arial"/>
          <w:b/>
          <w:bCs/>
          <w:sz w:val="28"/>
          <w:szCs w:val="28"/>
        </w:rPr>
      </w:pPr>
    </w:p>
    <w:p w14:paraId="3BB9EF9C" w14:textId="77777777" w:rsidR="00561B22" w:rsidRPr="002B7766" w:rsidRDefault="00561B22" w:rsidP="00561B22">
      <w:pPr>
        <w:jc w:val="both"/>
        <w:rPr>
          <w:rFonts w:ascii="Arial" w:hAnsi="Arial" w:cs="Arial"/>
          <w:b/>
          <w:sz w:val="28"/>
          <w:szCs w:val="28"/>
          <w:lang w:val="es-MX"/>
        </w:rPr>
      </w:pPr>
      <w:r w:rsidRPr="002B7766">
        <w:rPr>
          <w:rFonts w:ascii="Arial" w:hAnsi="Arial" w:cs="Arial"/>
          <w:b/>
          <w:sz w:val="28"/>
          <w:szCs w:val="28"/>
          <w:lang w:val="es-MX"/>
        </w:rPr>
        <w:t>58.- UNIVERSIDAD SURCOLOMBIANA – USCO.</w:t>
      </w:r>
    </w:p>
    <w:p w14:paraId="672A09FD" w14:textId="77777777" w:rsidR="00561B22" w:rsidRPr="002B7766" w:rsidRDefault="00561B22" w:rsidP="00561B22">
      <w:pPr>
        <w:jc w:val="both"/>
        <w:rPr>
          <w:rFonts w:ascii="Arial" w:hAnsi="Arial" w:cs="Arial"/>
          <w:b/>
          <w:bCs/>
          <w:sz w:val="28"/>
          <w:szCs w:val="28"/>
        </w:rPr>
      </w:pPr>
    </w:p>
    <w:p w14:paraId="52CE1257" w14:textId="77777777" w:rsidR="00561B22" w:rsidRPr="002B7766" w:rsidRDefault="00561B22" w:rsidP="00561B22">
      <w:pPr>
        <w:pStyle w:val="Textoindependiente"/>
        <w:ind w:right="-50"/>
        <w:jc w:val="center"/>
        <w:rPr>
          <w:rFonts w:ascii="Arial" w:hAnsi="Arial" w:cs="Arial"/>
          <w:b/>
          <w:bCs/>
        </w:rPr>
      </w:pPr>
      <w:r w:rsidRPr="002B7766">
        <w:rPr>
          <w:rFonts w:ascii="Arial" w:hAnsi="Arial" w:cs="Arial"/>
          <w:b/>
          <w:bCs/>
        </w:rPr>
        <w:t>INFORME DE LA AUTOCALIFICACIÓN DEL SISTEMA DE CONTROL INTERNO CONTABLE:</w:t>
      </w:r>
    </w:p>
    <w:p w14:paraId="46A26EDE" w14:textId="77777777" w:rsidR="00561B22" w:rsidRPr="002B77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B7766" w14:paraId="687A62AD" w14:textId="77777777" w:rsidTr="00F1223B">
        <w:tc>
          <w:tcPr>
            <w:tcW w:w="4981" w:type="dxa"/>
          </w:tcPr>
          <w:p w14:paraId="60841DA1" w14:textId="77777777" w:rsidR="00561B22" w:rsidRPr="002B7766" w:rsidRDefault="00561B22" w:rsidP="00F1223B">
            <w:pPr>
              <w:jc w:val="center"/>
              <w:rPr>
                <w:rFonts w:ascii="Arial" w:hAnsi="Arial" w:cs="Arial"/>
                <w:b/>
                <w:sz w:val="22"/>
                <w:szCs w:val="22"/>
                <w:lang w:val="es-MX"/>
              </w:rPr>
            </w:pPr>
            <w:r w:rsidRPr="002B7766">
              <w:rPr>
                <w:rFonts w:ascii="Arial" w:hAnsi="Arial" w:cs="Arial"/>
                <w:b/>
                <w:sz w:val="22"/>
                <w:szCs w:val="22"/>
                <w:lang w:val="es-MX"/>
              </w:rPr>
              <w:t>AUTOCALIFICACIÓN</w:t>
            </w:r>
          </w:p>
        </w:tc>
        <w:tc>
          <w:tcPr>
            <w:tcW w:w="4981" w:type="dxa"/>
          </w:tcPr>
          <w:p w14:paraId="4771814E" w14:textId="77777777" w:rsidR="00561B22" w:rsidRPr="002B7766" w:rsidRDefault="00561B22" w:rsidP="00F1223B">
            <w:pPr>
              <w:jc w:val="center"/>
              <w:rPr>
                <w:rFonts w:ascii="Arial" w:hAnsi="Arial" w:cs="Arial"/>
                <w:b/>
                <w:sz w:val="22"/>
                <w:szCs w:val="22"/>
                <w:u w:val="single"/>
                <w:lang w:val="es-MX"/>
              </w:rPr>
            </w:pPr>
            <w:r w:rsidRPr="002B7766">
              <w:rPr>
                <w:rFonts w:ascii="Arial" w:hAnsi="Arial" w:cs="Arial"/>
                <w:b/>
                <w:sz w:val="22"/>
                <w:szCs w:val="22"/>
                <w:u w:val="single"/>
                <w:lang w:val="es-MX"/>
              </w:rPr>
              <w:t>4.86</w:t>
            </w:r>
          </w:p>
        </w:tc>
      </w:tr>
    </w:tbl>
    <w:p w14:paraId="3A2882C8" w14:textId="77777777" w:rsidR="00561B22" w:rsidRPr="002B7766" w:rsidRDefault="00561B22" w:rsidP="00561B22">
      <w:pPr>
        <w:pStyle w:val="Textoindependiente"/>
        <w:ind w:right="-50"/>
        <w:jc w:val="both"/>
        <w:rPr>
          <w:rFonts w:ascii="Arial" w:hAnsi="Arial" w:cs="Arial"/>
          <w:b/>
          <w:bCs/>
        </w:rPr>
      </w:pPr>
    </w:p>
    <w:p w14:paraId="3F2DF6C4" w14:textId="77777777" w:rsidR="00561B22" w:rsidRPr="002B7766" w:rsidRDefault="00561B22" w:rsidP="00561B22">
      <w:pPr>
        <w:pStyle w:val="Textoindependiente"/>
        <w:ind w:right="-50"/>
        <w:jc w:val="both"/>
        <w:rPr>
          <w:rFonts w:ascii="Arial" w:hAnsi="Arial" w:cs="Arial"/>
          <w:b/>
          <w:bCs/>
        </w:rPr>
      </w:pPr>
      <w:r w:rsidRPr="002B7766">
        <w:rPr>
          <w:rFonts w:ascii="Arial" w:hAnsi="Arial" w:cs="Arial"/>
          <w:b/>
          <w:bCs/>
        </w:rPr>
        <w:t>Del informe enviado retomamos lo siguiente:</w:t>
      </w:r>
    </w:p>
    <w:p w14:paraId="61609B50" w14:textId="77777777" w:rsidR="00561B22" w:rsidRPr="002B77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2B7766" w14:paraId="65A4FFB6" w14:textId="77777777" w:rsidTr="00F1223B">
        <w:tc>
          <w:tcPr>
            <w:tcW w:w="846" w:type="dxa"/>
          </w:tcPr>
          <w:p w14:paraId="52332B4C" w14:textId="77777777" w:rsidR="00561B22" w:rsidRPr="002B7766" w:rsidRDefault="00561B22" w:rsidP="00F1223B">
            <w:pPr>
              <w:ind w:right="-109"/>
              <w:jc w:val="center"/>
              <w:rPr>
                <w:rFonts w:ascii="Arial" w:hAnsi="Arial" w:cs="Arial"/>
                <w:b/>
                <w:sz w:val="22"/>
                <w:szCs w:val="22"/>
                <w:lang w:val="es-MX"/>
              </w:rPr>
            </w:pPr>
            <w:r w:rsidRPr="002B7766">
              <w:rPr>
                <w:rFonts w:ascii="Arial" w:hAnsi="Arial" w:cs="Arial"/>
                <w:b/>
                <w:sz w:val="22"/>
                <w:szCs w:val="22"/>
                <w:lang w:val="es-MX"/>
              </w:rPr>
              <w:t>N°</w:t>
            </w:r>
          </w:p>
        </w:tc>
        <w:tc>
          <w:tcPr>
            <w:tcW w:w="9116" w:type="dxa"/>
          </w:tcPr>
          <w:p w14:paraId="1010D748" w14:textId="77777777" w:rsidR="00561B22" w:rsidRDefault="00561B22" w:rsidP="00F1223B">
            <w:pPr>
              <w:jc w:val="center"/>
              <w:rPr>
                <w:rFonts w:ascii="Arial" w:hAnsi="Arial" w:cs="Arial"/>
                <w:b/>
                <w:sz w:val="22"/>
                <w:szCs w:val="22"/>
                <w:lang w:val="es-MX"/>
              </w:rPr>
            </w:pPr>
            <w:r w:rsidRPr="002B7766">
              <w:rPr>
                <w:rFonts w:ascii="Arial" w:hAnsi="Arial" w:cs="Arial"/>
                <w:b/>
                <w:sz w:val="22"/>
                <w:szCs w:val="22"/>
                <w:lang w:val="es-MX"/>
              </w:rPr>
              <w:t>DEBILIDADES</w:t>
            </w:r>
          </w:p>
          <w:p w14:paraId="711FA25F" w14:textId="77777777" w:rsidR="00561B22" w:rsidRPr="002B7766" w:rsidRDefault="00561B22" w:rsidP="00F1223B">
            <w:pPr>
              <w:jc w:val="center"/>
              <w:rPr>
                <w:rFonts w:ascii="Arial" w:hAnsi="Arial" w:cs="Arial"/>
                <w:b/>
                <w:sz w:val="22"/>
                <w:szCs w:val="22"/>
                <w:lang w:val="es-MX"/>
              </w:rPr>
            </w:pPr>
          </w:p>
        </w:tc>
      </w:tr>
      <w:tr w:rsidR="00561B22" w:rsidRPr="002B7766" w14:paraId="247676ED" w14:textId="77777777" w:rsidTr="00F1223B">
        <w:tc>
          <w:tcPr>
            <w:tcW w:w="846" w:type="dxa"/>
          </w:tcPr>
          <w:p w14:paraId="05F2C3DC" w14:textId="77777777" w:rsidR="00561B22" w:rsidRPr="002B7766" w:rsidRDefault="00561B22" w:rsidP="00F1223B">
            <w:pPr>
              <w:jc w:val="center"/>
              <w:rPr>
                <w:rFonts w:ascii="Arial" w:hAnsi="Arial" w:cs="Arial"/>
                <w:b/>
                <w:sz w:val="22"/>
                <w:szCs w:val="22"/>
                <w:lang w:val="es-MX"/>
              </w:rPr>
            </w:pPr>
            <w:r w:rsidRPr="002B7766">
              <w:rPr>
                <w:rFonts w:ascii="Arial" w:hAnsi="Arial" w:cs="Arial"/>
                <w:b/>
                <w:sz w:val="22"/>
                <w:szCs w:val="22"/>
                <w:lang w:val="es-MX"/>
              </w:rPr>
              <w:t>1</w:t>
            </w:r>
          </w:p>
        </w:tc>
        <w:tc>
          <w:tcPr>
            <w:tcW w:w="9116" w:type="dxa"/>
          </w:tcPr>
          <w:p w14:paraId="4D508120" w14:textId="77777777" w:rsidR="00561B22" w:rsidRPr="002B7766" w:rsidRDefault="00561B22" w:rsidP="00F1223B">
            <w:pPr>
              <w:jc w:val="both"/>
              <w:rPr>
                <w:rFonts w:ascii="Arial" w:hAnsi="Arial" w:cs="Arial"/>
                <w:sz w:val="22"/>
                <w:szCs w:val="22"/>
                <w:lang w:val="es-MX"/>
              </w:rPr>
            </w:pPr>
            <w:r w:rsidRPr="002B7766">
              <w:rPr>
                <w:rFonts w:ascii="Arial" w:hAnsi="Arial" w:cs="Arial"/>
                <w:sz w:val="22"/>
                <w:szCs w:val="22"/>
                <w:lang w:val="es-MX"/>
              </w:rPr>
              <w:t>Se debe contemplar la mejora en los tiempos establecidos para cierres con el fin de dar cumplimiento oportuno a las necesidades y poder evolucionar en la automatización de procesos.</w:t>
            </w:r>
          </w:p>
        </w:tc>
      </w:tr>
    </w:tbl>
    <w:p w14:paraId="6FBD34D1" w14:textId="77777777" w:rsidR="00561B22" w:rsidRPr="002B7766" w:rsidRDefault="00561B22" w:rsidP="00561B22">
      <w:pPr>
        <w:pStyle w:val="Textoindependiente"/>
        <w:ind w:right="-50"/>
        <w:jc w:val="both"/>
        <w:rPr>
          <w:rFonts w:ascii="Arial" w:hAnsi="Arial" w:cs="Arial"/>
          <w:b/>
          <w:bCs/>
        </w:rPr>
      </w:pPr>
    </w:p>
    <w:p w14:paraId="48A02425" w14:textId="77777777" w:rsidR="00561B22" w:rsidRDefault="00561B22" w:rsidP="00561B22">
      <w:pPr>
        <w:jc w:val="both"/>
        <w:rPr>
          <w:rFonts w:ascii="Arial" w:hAnsi="Arial" w:cs="Arial"/>
          <w:b/>
          <w:lang w:val="es-MX"/>
        </w:rPr>
      </w:pPr>
      <w:r w:rsidRPr="002B7766">
        <w:rPr>
          <w:rFonts w:ascii="Arial" w:hAnsi="Arial" w:cs="Arial"/>
          <w:b/>
          <w:lang w:val="es-MX"/>
        </w:rPr>
        <w:t>Del citado informe retomamos las siguientes recomendaciones:</w:t>
      </w:r>
    </w:p>
    <w:p w14:paraId="429780C6" w14:textId="77777777" w:rsidR="00561B22" w:rsidRPr="002B7766"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2B7766" w14:paraId="139E6B62" w14:textId="77777777" w:rsidTr="00F1223B">
        <w:tc>
          <w:tcPr>
            <w:tcW w:w="846" w:type="dxa"/>
          </w:tcPr>
          <w:p w14:paraId="493403E5" w14:textId="77777777" w:rsidR="00561B22" w:rsidRPr="002B7766" w:rsidRDefault="00561B22" w:rsidP="00F1223B">
            <w:pPr>
              <w:ind w:right="-109"/>
              <w:jc w:val="center"/>
              <w:rPr>
                <w:rFonts w:ascii="Arial" w:hAnsi="Arial" w:cs="Arial"/>
                <w:b/>
                <w:sz w:val="22"/>
                <w:szCs w:val="22"/>
                <w:lang w:val="es-MX"/>
              </w:rPr>
            </w:pPr>
            <w:r w:rsidRPr="002B7766">
              <w:rPr>
                <w:rFonts w:ascii="Arial" w:hAnsi="Arial" w:cs="Arial"/>
                <w:b/>
                <w:sz w:val="22"/>
                <w:szCs w:val="22"/>
                <w:lang w:val="es-MX"/>
              </w:rPr>
              <w:t>N°</w:t>
            </w:r>
          </w:p>
        </w:tc>
        <w:tc>
          <w:tcPr>
            <w:tcW w:w="9116" w:type="dxa"/>
          </w:tcPr>
          <w:p w14:paraId="6B864B78" w14:textId="77777777" w:rsidR="00561B22" w:rsidRPr="002B7766" w:rsidRDefault="00561B22" w:rsidP="00F1223B">
            <w:pPr>
              <w:jc w:val="center"/>
              <w:rPr>
                <w:rFonts w:ascii="Arial" w:hAnsi="Arial" w:cs="Arial"/>
                <w:b/>
                <w:sz w:val="22"/>
                <w:szCs w:val="22"/>
                <w:lang w:val="es-MX"/>
              </w:rPr>
            </w:pPr>
            <w:r w:rsidRPr="002B7766">
              <w:rPr>
                <w:rFonts w:ascii="Arial" w:hAnsi="Arial" w:cs="Arial"/>
                <w:b/>
                <w:sz w:val="22"/>
                <w:szCs w:val="22"/>
                <w:lang w:val="es-MX"/>
              </w:rPr>
              <w:t>RECOMENDACIONES</w:t>
            </w:r>
          </w:p>
          <w:p w14:paraId="1A0A2E49" w14:textId="77777777" w:rsidR="00561B22" w:rsidRPr="002B7766" w:rsidRDefault="00561B22" w:rsidP="00F1223B">
            <w:pPr>
              <w:jc w:val="center"/>
              <w:rPr>
                <w:rFonts w:ascii="Arial" w:hAnsi="Arial" w:cs="Arial"/>
                <w:b/>
                <w:sz w:val="22"/>
                <w:szCs w:val="22"/>
                <w:lang w:val="es-MX"/>
              </w:rPr>
            </w:pPr>
          </w:p>
        </w:tc>
      </w:tr>
      <w:tr w:rsidR="00561B22" w:rsidRPr="002B7766" w14:paraId="0CE9E4A0" w14:textId="77777777" w:rsidTr="00F1223B">
        <w:tc>
          <w:tcPr>
            <w:tcW w:w="846" w:type="dxa"/>
          </w:tcPr>
          <w:p w14:paraId="3F8A3F4E" w14:textId="77777777" w:rsidR="00561B22" w:rsidRPr="002B7766" w:rsidRDefault="00561B22" w:rsidP="00F1223B">
            <w:pPr>
              <w:jc w:val="center"/>
              <w:rPr>
                <w:rFonts w:ascii="Arial" w:hAnsi="Arial" w:cs="Arial"/>
                <w:b/>
                <w:sz w:val="22"/>
                <w:szCs w:val="22"/>
                <w:lang w:val="es-MX"/>
              </w:rPr>
            </w:pPr>
            <w:r w:rsidRPr="002B7766">
              <w:rPr>
                <w:rFonts w:ascii="Arial" w:hAnsi="Arial" w:cs="Arial"/>
                <w:b/>
                <w:sz w:val="22"/>
                <w:szCs w:val="22"/>
                <w:lang w:val="es-MX"/>
              </w:rPr>
              <w:t>1</w:t>
            </w:r>
          </w:p>
        </w:tc>
        <w:tc>
          <w:tcPr>
            <w:tcW w:w="9116" w:type="dxa"/>
          </w:tcPr>
          <w:p w14:paraId="35AB6FB9" w14:textId="77777777" w:rsidR="00561B22" w:rsidRPr="002B7766" w:rsidRDefault="00561B22" w:rsidP="00F1223B">
            <w:pPr>
              <w:jc w:val="both"/>
              <w:rPr>
                <w:rFonts w:ascii="Arial" w:hAnsi="Arial" w:cs="Arial"/>
                <w:sz w:val="22"/>
                <w:szCs w:val="22"/>
                <w:lang w:val="es-MX"/>
              </w:rPr>
            </w:pPr>
            <w:r w:rsidRPr="002B7766">
              <w:rPr>
                <w:rFonts w:ascii="Arial" w:hAnsi="Arial" w:cs="Arial"/>
                <w:sz w:val="22"/>
                <w:szCs w:val="22"/>
                <w:lang w:val="es-MX"/>
              </w:rPr>
              <w:t xml:space="preserve">Generar mayores espacios y tiempos de socialización de cada una de las actualizaciones a nivel contablemente con el personal que está directamente relacionado al proceso, así </w:t>
            </w:r>
            <w:r w:rsidRPr="002B7766">
              <w:rPr>
                <w:rFonts w:ascii="Arial" w:hAnsi="Arial" w:cs="Arial"/>
                <w:sz w:val="22"/>
                <w:szCs w:val="22"/>
                <w:lang w:val="es-MX"/>
              </w:rPr>
              <w:lastRenderedPageBreak/>
              <w:t>conseguir alinear y consolidar la gestión.</w:t>
            </w:r>
          </w:p>
        </w:tc>
      </w:tr>
    </w:tbl>
    <w:p w14:paraId="03F48E7E" w14:textId="77777777" w:rsidR="00561B22" w:rsidRPr="002B7766" w:rsidRDefault="00561B22" w:rsidP="00561B22">
      <w:pPr>
        <w:pStyle w:val="Textoindependiente"/>
        <w:ind w:right="-50"/>
        <w:jc w:val="both"/>
        <w:rPr>
          <w:rFonts w:ascii="Arial" w:hAnsi="Arial" w:cs="Arial"/>
          <w:b/>
          <w:bCs/>
        </w:rPr>
      </w:pPr>
    </w:p>
    <w:p w14:paraId="580B2C5F" w14:textId="77777777" w:rsidR="00561B22" w:rsidRPr="002B7766" w:rsidRDefault="00561B22" w:rsidP="00561B22">
      <w:pPr>
        <w:jc w:val="both"/>
        <w:rPr>
          <w:rFonts w:ascii="Arial" w:hAnsi="Arial" w:cs="Arial"/>
          <w:b/>
          <w:bCs/>
          <w:sz w:val="24"/>
          <w:szCs w:val="24"/>
          <w:lang w:val="es-CO"/>
        </w:rPr>
      </w:pPr>
      <w:r w:rsidRPr="002B7766">
        <w:rPr>
          <w:rFonts w:ascii="Arial" w:hAnsi="Arial" w:cs="Arial"/>
          <w:b/>
          <w:bCs/>
          <w:sz w:val="24"/>
          <w:szCs w:val="24"/>
          <w:lang w:val="es-CO"/>
        </w:rPr>
        <w:t xml:space="preserve">NOTA: LA ENTIDAD ENVÍA LA MATRIZ DE AUTOEVALUACIÓN DEL SISTEMA DE CONTROL INTERNO CONTABLE CON ACTIVIDADES DE CONTROL REALIZADAS </w:t>
      </w:r>
      <w:r w:rsidRPr="002B7766">
        <w:rPr>
          <w:rFonts w:ascii="Arial" w:hAnsi="Arial" w:cs="Arial"/>
          <w:b/>
          <w:bCs/>
          <w:sz w:val="24"/>
          <w:szCs w:val="24"/>
          <w:u w:val="single"/>
          <w:lang w:val="es-CO"/>
        </w:rPr>
        <w:t>EN FORMA PARCIAL Y OTRAS SIMPLEMENTE INFORMAN QUE NO SE REALIZARON</w:t>
      </w:r>
      <w:r w:rsidRPr="002B7766">
        <w:rPr>
          <w:rFonts w:ascii="Arial" w:hAnsi="Arial" w:cs="Arial"/>
          <w:b/>
          <w:bCs/>
          <w:sz w:val="24"/>
          <w:szCs w:val="24"/>
          <w:lang w:val="es-CO"/>
        </w:rPr>
        <w:t>.</w:t>
      </w:r>
    </w:p>
    <w:p w14:paraId="3FB225FB" w14:textId="77777777" w:rsidR="00561B22" w:rsidRPr="002B7766" w:rsidRDefault="00561B22" w:rsidP="00561B22">
      <w:pPr>
        <w:ind w:left="720" w:hanging="720"/>
        <w:jc w:val="both"/>
        <w:rPr>
          <w:rFonts w:ascii="Arial" w:hAnsi="Arial" w:cs="Arial"/>
          <w:b/>
          <w:bCs/>
          <w:sz w:val="24"/>
          <w:szCs w:val="24"/>
          <w:lang w:val="es-CO"/>
        </w:rPr>
      </w:pPr>
    </w:p>
    <w:p w14:paraId="3067F67C" w14:textId="77777777" w:rsidR="00561B22" w:rsidRPr="007C0510" w:rsidRDefault="00561B22" w:rsidP="00561B22">
      <w:pPr>
        <w:jc w:val="both"/>
        <w:rPr>
          <w:rFonts w:ascii="Arial" w:hAnsi="Arial" w:cs="Arial"/>
          <w:b/>
          <w:sz w:val="32"/>
          <w:szCs w:val="32"/>
        </w:rPr>
      </w:pPr>
      <w:r w:rsidRPr="007C0510">
        <w:rPr>
          <w:rFonts w:ascii="Arial" w:hAnsi="Arial" w:cs="Arial"/>
          <w:b/>
          <w:sz w:val="28"/>
          <w:szCs w:val="28"/>
          <w:lang w:val="es-MX"/>
        </w:rPr>
        <w:t xml:space="preserve">59.- </w:t>
      </w:r>
      <w:r w:rsidRPr="007C0510">
        <w:rPr>
          <w:rFonts w:ascii="Arial" w:hAnsi="Arial" w:cs="Arial"/>
          <w:b/>
          <w:sz w:val="28"/>
          <w:szCs w:val="28"/>
        </w:rPr>
        <w:t>FONDO UNICO DE TECNOLOGÍAS DE LA INFORMACIÓN Y LAS COMUNICACIONES – FUTIC.</w:t>
      </w:r>
    </w:p>
    <w:p w14:paraId="1F67C6E5" w14:textId="77777777" w:rsidR="00561B22" w:rsidRPr="002715FE" w:rsidRDefault="00561B22" w:rsidP="00561B22">
      <w:pPr>
        <w:ind w:left="-142" w:right="-234"/>
        <w:jc w:val="both"/>
        <w:rPr>
          <w:rFonts w:ascii="Arial" w:eastAsia="Trebuchet MS" w:hAnsi="Arial" w:cs="Arial"/>
          <w:b/>
          <w:sz w:val="32"/>
          <w:szCs w:val="32"/>
          <w:u w:val="single"/>
          <w:lang w:eastAsia="es-CO"/>
        </w:rPr>
      </w:pPr>
    </w:p>
    <w:p w14:paraId="6B45FC7B" w14:textId="77777777" w:rsidR="00561B22" w:rsidRPr="00EC377E" w:rsidRDefault="00561B22" w:rsidP="00561B22">
      <w:pPr>
        <w:pStyle w:val="Textoindependiente"/>
        <w:ind w:right="-50"/>
        <w:jc w:val="center"/>
        <w:rPr>
          <w:rFonts w:ascii="Arial" w:hAnsi="Arial" w:cs="Arial"/>
          <w:b/>
          <w:bCs/>
        </w:rPr>
      </w:pPr>
      <w:r w:rsidRPr="00EC377E">
        <w:rPr>
          <w:rFonts w:ascii="Arial" w:hAnsi="Arial" w:cs="Arial"/>
          <w:b/>
          <w:bCs/>
        </w:rPr>
        <w:t>INFORME DE LA AUTOCALIFICACIÓN DEL SISTEMA DE CONTROL INTERNO CONTABLE:</w:t>
      </w:r>
    </w:p>
    <w:p w14:paraId="76F3EAD9" w14:textId="77777777" w:rsidR="00561B22" w:rsidRPr="00EC377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C377E" w14:paraId="5E89B867" w14:textId="77777777" w:rsidTr="00F1223B">
        <w:tc>
          <w:tcPr>
            <w:tcW w:w="4981" w:type="dxa"/>
          </w:tcPr>
          <w:p w14:paraId="068583E4"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AUTOCALIFICACIÓN</w:t>
            </w:r>
          </w:p>
        </w:tc>
        <w:tc>
          <w:tcPr>
            <w:tcW w:w="4981" w:type="dxa"/>
          </w:tcPr>
          <w:p w14:paraId="4B217B73" w14:textId="77777777" w:rsidR="00561B22" w:rsidRPr="00EC377E" w:rsidRDefault="00561B22" w:rsidP="00F1223B">
            <w:pPr>
              <w:jc w:val="center"/>
              <w:rPr>
                <w:rFonts w:ascii="Arial" w:hAnsi="Arial" w:cs="Arial"/>
                <w:b/>
                <w:sz w:val="22"/>
                <w:szCs w:val="22"/>
                <w:u w:val="single"/>
                <w:lang w:val="es-MX"/>
              </w:rPr>
            </w:pPr>
            <w:r w:rsidRPr="00EC377E">
              <w:rPr>
                <w:rFonts w:ascii="Arial" w:hAnsi="Arial" w:cs="Arial"/>
                <w:b/>
                <w:sz w:val="22"/>
                <w:szCs w:val="22"/>
                <w:u w:val="single"/>
                <w:lang w:val="es-MX"/>
              </w:rPr>
              <w:t>4.87</w:t>
            </w:r>
          </w:p>
        </w:tc>
      </w:tr>
    </w:tbl>
    <w:p w14:paraId="64742826" w14:textId="77777777" w:rsidR="00561B22" w:rsidRPr="00EC377E" w:rsidRDefault="00561B22" w:rsidP="00561B22">
      <w:pPr>
        <w:pStyle w:val="Textoindependiente"/>
        <w:ind w:right="-50"/>
        <w:jc w:val="both"/>
        <w:rPr>
          <w:rFonts w:ascii="Arial" w:hAnsi="Arial" w:cs="Arial"/>
          <w:b/>
          <w:bCs/>
        </w:rPr>
      </w:pPr>
    </w:p>
    <w:p w14:paraId="573526C0" w14:textId="77777777" w:rsidR="00561B22" w:rsidRPr="00EC377E" w:rsidRDefault="00561B22" w:rsidP="00561B22">
      <w:pPr>
        <w:pStyle w:val="Textoindependiente"/>
        <w:ind w:right="-50"/>
        <w:jc w:val="both"/>
        <w:rPr>
          <w:rFonts w:ascii="Arial" w:hAnsi="Arial" w:cs="Arial"/>
          <w:b/>
          <w:bCs/>
        </w:rPr>
      </w:pPr>
      <w:r w:rsidRPr="00EC377E">
        <w:rPr>
          <w:rFonts w:ascii="Arial" w:hAnsi="Arial" w:cs="Arial"/>
          <w:b/>
          <w:bCs/>
        </w:rPr>
        <w:t>Del informe enviado retomamos lo siguiente:</w:t>
      </w:r>
    </w:p>
    <w:p w14:paraId="2D1C71A3" w14:textId="77777777" w:rsidR="00561B22" w:rsidRPr="00EC377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846"/>
        <w:gridCol w:w="9116"/>
      </w:tblGrid>
      <w:tr w:rsidR="00561B22" w:rsidRPr="00EC377E" w14:paraId="70EEF5E6" w14:textId="77777777" w:rsidTr="00F1223B">
        <w:tc>
          <w:tcPr>
            <w:tcW w:w="846" w:type="dxa"/>
          </w:tcPr>
          <w:p w14:paraId="3740448B" w14:textId="77777777" w:rsidR="00561B22" w:rsidRPr="00EC377E" w:rsidRDefault="00561B22" w:rsidP="00F1223B">
            <w:pPr>
              <w:ind w:right="-109"/>
              <w:jc w:val="center"/>
              <w:rPr>
                <w:rFonts w:ascii="Arial" w:hAnsi="Arial" w:cs="Arial"/>
                <w:b/>
                <w:sz w:val="22"/>
                <w:szCs w:val="22"/>
                <w:lang w:val="es-MX"/>
              </w:rPr>
            </w:pPr>
            <w:r w:rsidRPr="00EC377E">
              <w:rPr>
                <w:rFonts w:ascii="Arial" w:hAnsi="Arial" w:cs="Arial"/>
                <w:b/>
                <w:sz w:val="22"/>
                <w:szCs w:val="22"/>
                <w:lang w:val="es-MX"/>
              </w:rPr>
              <w:t>N°</w:t>
            </w:r>
          </w:p>
        </w:tc>
        <w:tc>
          <w:tcPr>
            <w:tcW w:w="9116" w:type="dxa"/>
          </w:tcPr>
          <w:p w14:paraId="37926987"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DEBILIDADES</w:t>
            </w:r>
          </w:p>
          <w:p w14:paraId="06E74281" w14:textId="77777777" w:rsidR="00561B22" w:rsidRPr="00EC377E" w:rsidRDefault="00561B22" w:rsidP="00F1223B">
            <w:pPr>
              <w:jc w:val="center"/>
              <w:rPr>
                <w:rFonts w:ascii="Arial" w:hAnsi="Arial" w:cs="Arial"/>
                <w:b/>
                <w:sz w:val="22"/>
                <w:szCs w:val="22"/>
                <w:lang w:val="es-MX"/>
              </w:rPr>
            </w:pPr>
          </w:p>
        </w:tc>
      </w:tr>
      <w:tr w:rsidR="00561B22" w:rsidRPr="00EC377E" w14:paraId="22E53DA4" w14:textId="77777777" w:rsidTr="00F1223B">
        <w:tc>
          <w:tcPr>
            <w:tcW w:w="846" w:type="dxa"/>
          </w:tcPr>
          <w:p w14:paraId="1A5C6ABF"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1</w:t>
            </w:r>
          </w:p>
        </w:tc>
        <w:tc>
          <w:tcPr>
            <w:tcW w:w="9116" w:type="dxa"/>
          </w:tcPr>
          <w:p w14:paraId="6677F455" w14:textId="77777777" w:rsidR="00561B22" w:rsidRPr="00EC377E" w:rsidRDefault="00561B22" w:rsidP="00F1223B">
            <w:pPr>
              <w:rPr>
                <w:rFonts w:ascii="Arial" w:hAnsi="Arial" w:cs="Arial"/>
                <w:b/>
                <w:sz w:val="22"/>
                <w:szCs w:val="22"/>
                <w:lang w:val="es-MX"/>
              </w:rPr>
            </w:pPr>
            <w:r w:rsidRPr="00EC377E">
              <w:rPr>
                <w:rFonts w:ascii="Arial" w:eastAsia="Times New Roman" w:hAnsi="Arial" w:cs="Arial"/>
                <w:sz w:val="22"/>
                <w:szCs w:val="22"/>
              </w:rPr>
              <w:t xml:space="preserve">El FUTIC presentó debilidades en la legalización de convenios. </w:t>
            </w:r>
          </w:p>
        </w:tc>
      </w:tr>
      <w:tr w:rsidR="00561B22" w:rsidRPr="00EC377E" w14:paraId="20CF591B" w14:textId="77777777" w:rsidTr="00F1223B">
        <w:tc>
          <w:tcPr>
            <w:tcW w:w="846" w:type="dxa"/>
          </w:tcPr>
          <w:p w14:paraId="4F7A9179"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2</w:t>
            </w:r>
          </w:p>
        </w:tc>
        <w:tc>
          <w:tcPr>
            <w:tcW w:w="9116" w:type="dxa"/>
          </w:tcPr>
          <w:p w14:paraId="2C2BA114" w14:textId="77777777" w:rsidR="00561B22" w:rsidRPr="00EC377E" w:rsidRDefault="00561B22" w:rsidP="00F1223B">
            <w:pPr>
              <w:rPr>
                <w:rFonts w:ascii="Arial" w:hAnsi="Arial" w:cs="Arial"/>
                <w:b/>
                <w:sz w:val="22"/>
                <w:szCs w:val="22"/>
                <w:lang w:val="es-MX"/>
              </w:rPr>
            </w:pPr>
            <w:r w:rsidRPr="00EC377E">
              <w:rPr>
                <w:rFonts w:ascii="Arial" w:eastAsia="Times New Roman" w:hAnsi="Arial" w:cs="Arial"/>
                <w:sz w:val="22"/>
                <w:szCs w:val="22"/>
              </w:rPr>
              <w:t>No se incluyen el plan de capacitación institucional temas contables para los funcionarios y contratistas del área.</w:t>
            </w:r>
          </w:p>
        </w:tc>
      </w:tr>
    </w:tbl>
    <w:p w14:paraId="4D9A164F" w14:textId="77777777" w:rsidR="00561B22" w:rsidRPr="00EC377E" w:rsidRDefault="00561B22" w:rsidP="00561B22">
      <w:pPr>
        <w:pStyle w:val="Textoindependiente"/>
        <w:ind w:right="-50"/>
        <w:jc w:val="both"/>
        <w:rPr>
          <w:rFonts w:ascii="Arial" w:hAnsi="Arial" w:cs="Arial"/>
          <w:b/>
          <w:bCs/>
        </w:rPr>
      </w:pPr>
    </w:p>
    <w:p w14:paraId="2B56A2B3" w14:textId="77777777" w:rsidR="00561B22" w:rsidRDefault="00561B22" w:rsidP="00561B22">
      <w:pPr>
        <w:jc w:val="both"/>
        <w:rPr>
          <w:rFonts w:ascii="Arial" w:hAnsi="Arial" w:cs="Arial"/>
          <w:b/>
          <w:lang w:val="es-MX"/>
        </w:rPr>
      </w:pPr>
      <w:r w:rsidRPr="00EC377E">
        <w:rPr>
          <w:rFonts w:ascii="Arial" w:hAnsi="Arial" w:cs="Arial"/>
          <w:b/>
          <w:lang w:val="es-MX"/>
        </w:rPr>
        <w:t>Del citado informe retomamos las siguientes recomendaciones:</w:t>
      </w:r>
    </w:p>
    <w:p w14:paraId="35AC8A3D" w14:textId="77777777" w:rsidR="00561B22" w:rsidRPr="00EC377E"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846"/>
        <w:gridCol w:w="9116"/>
      </w:tblGrid>
      <w:tr w:rsidR="00561B22" w:rsidRPr="00EC377E" w14:paraId="2177978C" w14:textId="77777777" w:rsidTr="00F1223B">
        <w:tc>
          <w:tcPr>
            <w:tcW w:w="846" w:type="dxa"/>
          </w:tcPr>
          <w:p w14:paraId="37401E80" w14:textId="77777777" w:rsidR="00561B22" w:rsidRPr="00EC377E" w:rsidRDefault="00561B22" w:rsidP="00F1223B">
            <w:pPr>
              <w:ind w:right="-109"/>
              <w:jc w:val="center"/>
              <w:rPr>
                <w:rFonts w:ascii="Arial" w:hAnsi="Arial" w:cs="Arial"/>
                <w:b/>
                <w:sz w:val="22"/>
                <w:szCs w:val="22"/>
                <w:lang w:val="es-MX"/>
              </w:rPr>
            </w:pPr>
            <w:r w:rsidRPr="00EC377E">
              <w:rPr>
                <w:rFonts w:ascii="Arial" w:hAnsi="Arial" w:cs="Arial"/>
                <w:b/>
                <w:sz w:val="22"/>
                <w:szCs w:val="22"/>
                <w:lang w:val="es-MX"/>
              </w:rPr>
              <w:t>N°</w:t>
            </w:r>
          </w:p>
        </w:tc>
        <w:tc>
          <w:tcPr>
            <w:tcW w:w="9116" w:type="dxa"/>
          </w:tcPr>
          <w:p w14:paraId="31DEF442"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RECOMENDACIONES</w:t>
            </w:r>
          </w:p>
          <w:p w14:paraId="514D670F" w14:textId="77777777" w:rsidR="00561B22" w:rsidRPr="00EC377E" w:rsidRDefault="00561B22" w:rsidP="00F1223B">
            <w:pPr>
              <w:jc w:val="center"/>
              <w:rPr>
                <w:rFonts w:ascii="Arial" w:hAnsi="Arial" w:cs="Arial"/>
                <w:b/>
                <w:sz w:val="22"/>
                <w:szCs w:val="22"/>
                <w:lang w:val="es-MX"/>
              </w:rPr>
            </w:pPr>
          </w:p>
        </w:tc>
      </w:tr>
      <w:tr w:rsidR="00561B22" w:rsidRPr="00EC377E" w14:paraId="2D772528" w14:textId="77777777" w:rsidTr="00F1223B">
        <w:tc>
          <w:tcPr>
            <w:tcW w:w="846" w:type="dxa"/>
          </w:tcPr>
          <w:p w14:paraId="03FD9B52"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1</w:t>
            </w:r>
          </w:p>
        </w:tc>
        <w:tc>
          <w:tcPr>
            <w:tcW w:w="9116" w:type="dxa"/>
          </w:tcPr>
          <w:p w14:paraId="333C5AE0" w14:textId="77777777" w:rsidR="00561B22" w:rsidRPr="00EC377E" w:rsidRDefault="00561B22" w:rsidP="00F1223B">
            <w:pPr>
              <w:jc w:val="both"/>
              <w:rPr>
                <w:rFonts w:ascii="Arial" w:eastAsia="Times New Roman" w:hAnsi="Arial" w:cs="Arial"/>
                <w:sz w:val="22"/>
                <w:szCs w:val="22"/>
              </w:rPr>
            </w:pPr>
            <w:r w:rsidRPr="00EC377E">
              <w:rPr>
                <w:rFonts w:ascii="Arial" w:eastAsia="Times New Roman" w:hAnsi="Arial" w:cs="Arial"/>
                <w:sz w:val="22"/>
                <w:szCs w:val="22"/>
              </w:rPr>
              <w:t xml:space="preserve">Realizar seguimiento permanente en el tema de legalizaciones para la entrega oportuna de la información. </w:t>
            </w:r>
          </w:p>
        </w:tc>
      </w:tr>
      <w:tr w:rsidR="00561B22" w:rsidRPr="00EC377E" w14:paraId="4E41FB2B" w14:textId="77777777" w:rsidTr="00F1223B">
        <w:tc>
          <w:tcPr>
            <w:tcW w:w="846" w:type="dxa"/>
          </w:tcPr>
          <w:p w14:paraId="4ED94AF1" w14:textId="77777777" w:rsidR="00561B22" w:rsidRPr="00EC377E" w:rsidRDefault="00561B22" w:rsidP="00F1223B">
            <w:pPr>
              <w:jc w:val="center"/>
              <w:rPr>
                <w:rFonts w:ascii="Arial" w:hAnsi="Arial" w:cs="Arial"/>
                <w:b/>
                <w:sz w:val="22"/>
                <w:szCs w:val="22"/>
                <w:lang w:val="es-MX"/>
              </w:rPr>
            </w:pPr>
            <w:r w:rsidRPr="00EC377E">
              <w:rPr>
                <w:rFonts w:ascii="Arial" w:hAnsi="Arial" w:cs="Arial"/>
                <w:b/>
                <w:sz w:val="22"/>
                <w:szCs w:val="22"/>
                <w:lang w:val="es-MX"/>
              </w:rPr>
              <w:t>2</w:t>
            </w:r>
          </w:p>
        </w:tc>
        <w:tc>
          <w:tcPr>
            <w:tcW w:w="9116" w:type="dxa"/>
          </w:tcPr>
          <w:p w14:paraId="011CF079" w14:textId="77777777" w:rsidR="00561B22" w:rsidRPr="00EC377E" w:rsidRDefault="00561B22" w:rsidP="00F1223B">
            <w:pPr>
              <w:rPr>
                <w:rFonts w:ascii="Arial" w:hAnsi="Arial" w:cs="Arial"/>
                <w:b/>
                <w:sz w:val="22"/>
                <w:szCs w:val="22"/>
                <w:lang w:val="es-MX"/>
              </w:rPr>
            </w:pPr>
            <w:r w:rsidRPr="00EC377E">
              <w:rPr>
                <w:rFonts w:ascii="Arial" w:eastAsia="Times New Roman" w:hAnsi="Arial" w:cs="Arial"/>
                <w:sz w:val="22"/>
                <w:szCs w:val="22"/>
              </w:rPr>
              <w:t>Solicitar incluir en el plan de capacitación institucional capacitaciones en temas contables y tributarios a los funcionarios y contratistas.</w:t>
            </w:r>
          </w:p>
        </w:tc>
      </w:tr>
    </w:tbl>
    <w:p w14:paraId="544D76B7" w14:textId="77777777" w:rsidR="00561B22" w:rsidRPr="00EC377E" w:rsidRDefault="00561B22" w:rsidP="00561B22">
      <w:pPr>
        <w:pStyle w:val="Textoindependiente"/>
        <w:ind w:right="-50"/>
        <w:jc w:val="both"/>
        <w:rPr>
          <w:rFonts w:ascii="Arial" w:hAnsi="Arial" w:cs="Arial"/>
          <w:b/>
          <w:bCs/>
        </w:rPr>
      </w:pPr>
    </w:p>
    <w:p w14:paraId="3AD02478" w14:textId="77777777" w:rsidR="00561B22" w:rsidRPr="00EC377E" w:rsidRDefault="00561B22" w:rsidP="00561B22">
      <w:pPr>
        <w:jc w:val="both"/>
        <w:rPr>
          <w:rFonts w:ascii="Arial" w:hAnsi="Arial" w:cs="Arial"/>
          <w:b/>
          <w:bCs/>
          <w:sz w:val="24"/>
          <w:szCs w:val="24"/>
          <w:lang w:val="es-CO"/>
        </w:rPr>
      </w:pPr>
      <w:r w:rsidRPr="00EC377E">
        <w:rPr>
          <w:rFonts w:ascii="Arial" w:hAnsi="Arial" w:cs="Arial"/>
          <w:b/>
          <w:bCs/>
          <w:sz w:val="24"/>
          <w:szCs w:val="24"/>
          <w:lang w:val="es-CO"/>
        </w:rPr>
        <w:t xml:space="preserve">NOTA: LA ENTIDAD ENVIA LA MATRIZ DE AUTOEVALUACIÓN DEL SISTEMA DE CONTROL INTERNO CONTABLE CON </w:t>
      </w:r>
      <w:r w:rsidRPr="00EC377E">
        <w:rPr>
          <w:rFonts w:ascii="Arial" w:hAnsi="Arial" w:cs="Arial"/>
          <w:b/>
          <w:bCs/>
          <w:sz w:val="24"/>
          <w:szCs w:val="24"/>
          <w:u w:val="single"/>
          <w:lang w:val="es-CO"/>
        </w:rPr>
        <w:t>ACTIVIDADES DE CONTROL REALIZADAS EN FORMA PARCIAL</w:t>
      </w:r>
      <w:r w:rsidRPr="00EC377E">
        <w:rPr>
          <w:rFonts w:ascii="Arial" w:hAnsi="Arial" w:cs="Arial"/>
          <w:b/>
          <w:bCs/>
          <w:sz w:val="24"/>
          <w:szCs w:val="24"/>
          <w:lang w:val="es-CO"/>
        </w:rPr>
        <w:t>.</w:t>
      </w:r>
    </w:p>
    <w:p w14:paraId="5E13EF33" w14:textId="77777777" w:rsidR="00561B22" w:rsidRDefault="00561B22" w:rsidP="00561B22">
      <w:pPr>
        <w:jc w:val="both"/>
        <w:rPr>
          <w:rFonts w:ascii="Arial" w:hAnsi="Arial" w:cs="Arial"/>
          <w:b/>
          <w:bCs/>
          <w:sz w:val="24"/>
          <w:szCs w:val="24"/>
        </w:rPr>
      </w:pPr>
    </w:p>
    <w:p w14:paraId="3DCC6F0A" w14:textId="77777777" w:rsidR="00561B22" w:rsidRPr="004A6385" w:rsidRDefault="00561B22" w:rsidP="00561B22">
      <w:pPr>
        <w:jc w:val="both"/>
        <w:rPr>
          <w:rFonts w:ascii="Arial" w:hAnsi="Arial" w:cs="Arial"/>
          <w:b/>
          <w:sz w:val="28"/>
          <w:szCs w:val="28"/>
          <w:lang w:val="es-MX"/>
        </w:rPr>
      </w:pPr>
      <w:r w:rsidRPr="004A6385">
        <w:rPr>
          <w:rFonts w:ascii="Arial" w:hAnsi="Arial" w:cs="Arial"/>
          <w:b/>
          <w:sz w:val="28"/>
          <w:szCs w:val="28"/>
          <w:lang w:val="es-MX"/>
        </w:rPr>
        <w:t>60.- CAJA DE SUELDOS DE RETIRO DE LA POLICIA NACIONAL – CASUR.</w:t>
      </w:r>
    </w:p>
    <w:p w14:paraId="66CCA19B" w14:textId="77777777" w:rsidR="00561B22" w:rsidRPr="00B47AEA" w:rsidRDefault="00561B22" w:rsidP="00561B22">
      <w:pPr>
        <w:jc w:val="both"/>
        <w:rPr>
          <w:rFonts w:ascii="Arial" w:hAnsi="Arial" w:cs="Arial"/>
          <w:b/>
          <w:bCs/>
          <w:sz w:val="24"/>
          <w:szCs w:val="24"/>
          <w:lang w:val="es-MX"/>
        </w:rPr>
      </w:pPr>
    </w:p>
    <w:p w14:paraId="5360A261" w14:textId="77777777" w:rsidR="00561B22" w:rsidRPr="00B47AEA" w:rsidRDefault="00561B22" w:rsidP="00561B22">
      <w:pPr>
        <w:pStyle w:val="Textoindependiente"/>
        <w:ind w:right="-50"/>
        <w:jc w:val="center"/>
        <w:rPr>
          <w:rFonts w:ascii="Arial" w:hAnsi="Arial" w:cs="Arial"/>
          <w:b/>
          <w:bCs/>
        </w:rPr>
      </w:pPr>
      <w:r w:rsidRPr="00B47AEA">
        <w:rPr>
          <w:rFonts w:ascii="Arial" w:hAnsi="Arial" w:cs="Arial"/>
          <w:b/>
          <w:bCs/>
        </w:rPr>
        <w:t>INFORME DE LA AUTOCALIFICACIÓN DEL SISTEMA DE CONTROL INTERNO CONTABLE:</w:t>
      </w:r>
    </w:p>
    <w:p w14:paraId="3D4252BB" w14:textId="77777777" w:rsidR="00561B22" w:rsidRPr="00B47AE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47AEA" w14:paraId="48D29797" w14:textId="77777777" w:rsidTr="00F1223B">
        <w:tc>
          <w:tcPr>
            <w:tcW w:w="4981" w:type="dxa"/>
          </w:tcPr>
          <w:p w14:paraId="346CB490"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AUTOCALIFICACIÓN</w:t>
            </w:r>
          </w:p>
        </w:tc>
        <w:tc>
          <w:tcPr>
            <w:tcW w:w="4981" w:type="dxa"/>
          </w:tcPr>
          <w:p w14:paraId="4957CFFA" w14:textId="77777777" w:rsidR="00561B22" w:rsidRPr="00B47AEA" w:rsidRDefault="00561B22" w:rsidP="00F1223B">
            <w:pPr>
              <w:jc w:val="center"/>
              <w:rPr>
                <w:rFonts w:ascii="Arial" w:hAnsi="Arial" w:cs="Arial"/>
                <w:b/>
                <w:sz w:val="22"/>
                <w:szCs w:val="22"/>
                <w:u w:val="single"/>
                <w:lang w:val="es-MX"/>
              </w:rPr>
            </w:pPr>
            <w:r w:rsidRPr="00B47AEA">
              <w:rPr>
                <w:rFonts w:ascii="Arial" w:hAnsi="Arial" w:cs="Arial"/>
                <w:b/>
                <w:sz w:val="22"/>
                <w:szCs w:val="22"/>
                <w:u w:val="single"/>
                <w:lang w:val="es-MX"/>
              </w:rPr>
              <w:t>4.62</w:t>
            </w:r>
          </w:p>
        </w:tc>
      </w:tr>
    </w:tbl>
    <w:p w14:paraId="520E59AA" w14:textId="77777777" w:rsidR="00561B22" w:rsidRPr="00B47AEA" w:rsidRDefault="00561B22" w:rsidP="00561B22">
      <w:pPr>
        <w:pStyle w:val="Textoindependiente"/>
        <w:ind w:right="-50"/>
        <w:jc w:val="both"/>
        <w:rPr>
          <w:rFonts w:ascii="Arial" w:hAnsi="Arial" w:cs="Arial"/>
          <w:b/>
          <w:bCs/>
        </w:rPr>
      </w:pPr>
    </w:p>
    <w:p w14:paraId="0B92B87C" w14:textId="77777777" w:rsidR="00561B22" w:rsidRPr="00B47AEA" w:rsidRDefault="00561B22" w:rsidP="00561B22">
      <w:pPr>
        <w:pStyle w:val="Textoindependiente"/>
        <w:ind w:right="-50"/>
        <w:jc w:val="both"/>
        <w:rPr>
          <w:rFonts w:ascii="Arial" w:hAnsi="Arial" w:cs="Arial"/>
          <w:b/>
          <w:bCs/>
        </w:rPr>
      </w:pPr>
      <w:r w:rsidRPr="00B47AEA">
        <w:rPr>
          <w:rFonts w:ascii="Arial" w:hAnsi="Arial" w:cs="Arial"/>
          <w:b/>
          <w:bCs/>
        </w:rPr>
        <w:t>Del informe enviado retomamos lo siguiente:</w:t>
      </w:r>
    </w:p>
    <w:p w14:paraId="16BC2BD7" w14:textId="77777777" w:rsidR="00561B22" w:rsidRPr="00B47AE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47AEA" w14:paraId="2D9FCED1" w14:textId="77777777" w:rsidTr="00F1223B">
        <w:tc>
          <w:tcPr>
            <w:tcW w:w="562" w:type="dxa"/>
          </w:tcPr>
          <w:p w14:paraId="4BEA92D3" w14:textId="77777777" w:rsidR="00561B22" w:rsidRPr="00B47AEA" w:rsidRDefault="00561B22" w:rsidP="00F1223B">
            <w:pPr>
              <w:ind w:right="-109"/>
              <w:jc w:val="center"/>
              <w:rPr>
                <w:rFonts w:ascii="Arial" w:hAnsi="Arial" w:cs="Arial"/>
                <w:b/>
                <w:sz w:val="22"/>
                <w:szCs w:val="22"/>
                <w:lang w:val="es-MX"/>
              </w:rPr>
            </w:pPr>
            <w:r w:rsidRPr="00B47AEA">
              <w:rPr>
                <w:rFonts w:ascii="Arial" w:hAnsi="Arial" w:cs="Arial"/>
                <w:b/>
                <w:sz w:val="22"/>
                <w:szCs w:val="22"/>
                <w:lang w:val="es-MX"/>
              </w:rPr>
              <w:t>N°</w:t>
            </w:r>
          </w:p>
        </w:tc>
        <w:tc>
          <w:tcPr>
            <w:tcW w:w="9400" w:type="dxa"/>
          </w:tcPr>
          <w:p w14:paraId="010F7994"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DEBILIDADES</w:t>
            </w:r>
          </w:p>
          <w:p w14:paraId="49B7DCD6" w14:textId="77777777" w:rsidR="00561B22" w:rsidRPr="00B47AEA" w:rsidRDefault="00561B22" w:rsidP="00F1223B">
            <w:pPr>
              <w:jc w:val="center"/>
              <w:rPr>
                <w:rFonts w:ascii="Arial" w:hAnsi="Arial" w:cs="Arial"/>
                <w:b/>
                <w:sz w:val="22"/>
                <w:szCs w:val="22"/>
                <w:lang w:val="es-MX"/>
              </w:rPr>
            </w:pPr>
          </w:p>
        </w:tc>
      </w:tr>
      <w:tr w:rsidR="00561B22" w:rsidRPr="00B47AEA" w14:paraId="2CBC7B0F" w14:textId="77777777" w:rsidTr="00F1223B">
        <w:tc>
          <w:tcPr>
            <w:tcW w:w="562" w:type="dxa"/>
          </w:tcPr>
          <w:p w14:paraId="66CDFB65"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1</w:t>
            </w:r>
          </w:p>
        </w:tc>
        <w:tc>
          <w:tcPr>
            <w:tcW w:w="9400" w:type="dxa"/>
          </w:tcPr>
          <w:p w14:paraId="073238DF" w14:textId="77777777" w:rsidR="00561B22" w:rsidRPr="00B47AEA" w:rsidRDefault="00561B22" w:rsidP="00F1223B">
            <w:pPr>
              <w:jc w:val="both"/>
              <w:rPr>
                <w:rFonts w:ascii="Arial" w:hAnsi="Arial" w:cs="Arial"/>
                <w:sz w:val="22"/>
                <w:szCs w:val="22"/>
                <w:lang w:val="es-CO"/>
              </w:rPr>
            </w:pPr>
            <w:r w:rsidRPr="00B47AEA">
              <w:rPr>
                <w:rFonts w:ascii="Arial" w:hAnsi="Arial" w:cs="Arial"/>
                <w:sz w:val="22"/>
                <w:szCs w:val="22"/>
                <w:lang w:val="es-CO"/>
              </w:rPr>
              <w:t>El Proceso Gestión Financiera tiene identificados riesgos de gestión (5), corrupción (2), de seguridad de la información (4) y de conflicto de intereses (1), sin embargo; sólo un riesgo de gestión es exclusivo para el proceso contable, el cual se encuentra analizado, identificado, valorado y cuentan con plan de mitigación vigente. Sin embargo, se considera pertinente realizar un nuevo análisis y establecer si se hace necesaria su actualización y/o complementar con otros riesgos adicionales.</w:t>
            </w:r>
          </w:p>
        </w:tc>
      </w:tr>
      <w:tr w:rsidR="00561B22" w:rsidRPr="00B47AEA" w14:paraId="40A35069" w14:textId="77777777" w:rsidTr="00F1223B">
        <w:tc>
          <w:tcPr>
            <w:tcW w:w="562" w:type="dxa"/>
          </w:tcPr>
          <w:p w14:paraId="55C9C331"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lastRenderedPageBreak/>
              <w:t>2</w:t>
            </w:r>
          </w:p>
        </w:tc>
        <w:tc>
          <w:tcPr>
            <w:tcW w:w="9400" w:type="dxa"/>
          </w:tcPr>
          <w:p w14:paraId="38521959" w14:textId="77777777" w:rsidR="00561B22" w:rsidRPr="00B47AEA" w:rsidRDefault="00561B22" w:rsidP="00F1223B">
            <w:pPr>
              <w:jc w:val="both"/>
              <w:rPr>
                <w:rFonts w:ascii="Arial" w:hAnsi="Arial" w:cs="Arial"/>
                <w:sz w:val="22"/>
                <w:szCs w:val="22"/>
                <w:lang w:val="es-MX"/>
              </w:rPr>
            </w:pPr>
            <w:r w:rsidRPr="00B47AEA">
              <w:rPr>
                <w:rFonts w:ascii="Arial" w:hAnsi="Arial" w:cs="Arial"/>
                <w:sz w:val="22"/>
                <w:szCs w:val="22"/>
                <w:lang w:val="es-MX"/>
              </w:rPr>
              <w:t>El Proceso Gestión Financiera ha establecido indicadores; sin embargo, se observa que los mismos no tienen metas asociadas, por lo consiguiente, no es factible realizar el monitoreo, medición y evaluación que suministre información útil para la toma de decisiones. Adicionalmente el proceso contable no tiene indicadores vinculados a los resultados de su gestión.</w:t>
            </w:r>
          </w:p>
        </w:tc>
      </w:tr>
      <w:tr w:rsidR="00561B22" w:rsidRPr="00B47AEA" w14:paraId="2962F3E0" w14:textId="77777777" w:rsidTr="00F1223B">
        <w:tc>
          <w:tcPr>
            <w:tcW w:w="562" w:type="dxa"/>
          </w:tcPr>
          <w:p w14:paraId="5450A742"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3</w:t>
            </w:r>
          </w:p>
        </w:tc>
        <w:tc>
          <w:tcPr>
            <w:tcW w:w="9400" w:type="dxa"/>
          </w:tcPr>
          <w:p w14:paraId="352D6405" w14:textId="77777777" w:rsidR="00561B22" w:rsidRPr="00B47AEA" w:rsidRDefault="00561B22" w:rsidP="00F1223B">
            <w:pPr>
              <w:jc w:val="both"/>
              <w:rPr>
                <w:rFonts w:ascii="Arial" w:hAnsi="Arial" w:cs="Arial"/>
                <w:sz w:val="22"/>
                <w:szCs w:val="22"/>
                <w:lang w:val="es-MX"/>
              </w:rPr>
            </w:pPr>
            <w:r w:rsidRPr="00B47AEA">
              <w:rPr>
                <w:rFonts w:ascii="Arial" w:hAnsi="Arial" w:cs="Arial"/>
                <w:sz w:val="22"/>
                <w:szCs w:val="22"/>
                <w:lang w:val="es-MX"/>
              </w:rPr>
              <w:t>El Plan Institucional de Capacitación vigencia 2024 no contempló el desarrollo de competencias y actualización dirigido al personal involucrado en el proceso contable. Sin embargo; es preciso indicar que no se cuenta con evidencia que soporte que el Grupo de Contabilidad haya identificado necesidades de capacitación.</w:t>
            </w:r>
          </w:p>
        </w:tc>
      </w:tr>
      <w:tr w:rsidR="00561B22" w:rsidRPr="00B47AEA" w14:paraId="41FD20B6" w14:textId="77777777" w:rsidTr="00F1223B">
        <w:tc>
          <w:tcPr>
            <w:tcW w:w="562" w:type="dxa"/>
          </w:tcPr>
          <w:p w14:paraId="5432ACF8"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4</w:t>
            </w:r>
          </w:p>
        </w:tc>
        <w:tc>
          <w:tcPr>
            <w:tcW w:w="9400" w:type="dxa"/>
          </w:tcPr>
          <w:p w14:paraId="372282B5" w14:textId="77777777" w:rsidR="00561B22" w:rsidRPr="00B47AEA" w:rsidRDefault="00561B22" w:rsidP="00F1223B">
            <w:pPr>
              <w:jc w:val="both"/>
              <w:rPr>
                <w:rFonts w:ascii="Arial" w:hAnsi="Arial" w:cs="Arial"/>
                <w:sz w:val="22"/>
                <w:szCs w:val="22"/>
                <w:lang w:val="es-MX"/>
              </w:rPr>
            </w:pPr>
            <w:r w:rsidRPr="00B47AEA">
              <w:rPr>
                <w:rFonts w:ascii="Arial" w:hAnsi="Arial" w:cs="Arial"/>
                <w:sz w:val="22"/>
                <w:szCs w:val="22"/>
                <w:lang w:val="es-MX"/>
              </w:rPr>
              <w:t>La desactualización de los Manuales, Procedimientos, Instructivos y demás documentos a través de los cuales se emiten lineamientos para el desarrollo del proceso contable de la Entidad genera riesgos en relación con la suficiencia, aplicación y periodicidad de los controles definidos.</w:t>
            </w:r>
          </w:p>
        </w:tc>
      </w:tr>
      <w:tr w:rsidR="00561B22" w:rsidRPr="00B47AEA" w14:paraId="57970A78" w14:textId="77777777" w:rsidTr="00F1223B">
        <w:tc>
          <w:tcPr>
            <w:tcW w:w="562" w:type="dxa"/>
          </w:tcPr>
          <w:p w14:paraId="26DCC07C"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5</w:t>
            </w:r>
          </w:p>
        </w:tc>
        <w:tc>
          <w:tcPr>
            <w:tcW w:w="9400" w:type="dxa"/>
          </w:tcPr>
          <w:p w14:paraId="7DD10AC4" w14:textId="77777777" w:rsidR="00561B22" w:rsidRPr="00B47AEA" w:rsidRDefault="00561B22" w:rsidP="00F1223B">
            <w:pPr>
              <w:jc w:val="both"/>
              <w:rPr>
                <w:rFonts w:ascii="Arial" w:hAnsi="Arial" w:cs="Arial"/>
                <w:sz w:val="22"/>
                <w:szCs w:val="22"/>
                <w:lang w:val="es-MX"/>
              </w:rPr>
            </w:pPr>
            <w:r w:rsidRPr="00B47AEA">
              <w:rPr>
                <w:rFonts w:ascii="Arial" w:hAnsi="Arial" w:cs="Arial"/>
                <w:sz w:val="22"/>
                <w:szCs w:val="22"/>
                <w:lang w:val="es-CO"/>
              </w:rPr>
              <w:t xml:space="preserve">El Grupo de Cuentas, Cartera y Crédito no tiene definido el control derivado de una adecuada desagregación de funciones, generando riesgos de control sobre la gestión del proceso adelantado por este y las implicaciones que puede tener sobre la coherencia y revelación de la información financiera de la Entidad.  </w:t>
            </w:r>
          </w:p>
        </w:tc>
      </w:tr>
    </w:tbl>
    <w:p w14:paraId="587994CE" w14:textId="77777777" w:rsidR="00561B22" w:rsidRPr="00B47AEA" w:rsidRDefault="00561B22" w:rsidP="00561B22">
      <w:pPr>
        <w:pStyle w:val="Textoindependiente"/>
        <w:ind w:right="-50"/>
        <w:jc w:val="both"/>
        <w:rPr>
          <w:rFonts w:ascii="Arial" w:hAnsi="Arial" w:cs="Arial"/>
          <w:b/>
          <w:bCs/>
        </w:rPr>
      </w:pPr>
    </w:p>
    <w:p w14:paraId="4B4E7C4D" w14:textId="77777777" w:rsidR="00561B22" w:rsidRPr="00B47AEA" w:rsidRDefault="00561B22" w:rsidP="00561B22">
      <w:pPr>
        <w:jc w:val="both"/>
        <w:rPr>
          <w:rFonts w:ascii="Arial" w:hAnsi="Arial" w:cs="Arial"/>
          <w:b/>
          <w:lang w:val="es-MX"/>
        </w:rPr>
      </w:pPr>
      <w:r w:rsidRPr="00B47AEA">
        <w:rPr>
          <w:rFonts w:ascii="Arial" w:hAnsi="Arial" w:cs="Arial"/>
          <w:b/>
          <w:lang w:val="es-MX"/>
        </w:rPr>
        <w:t>Del citado informe retomamos las siguientes recomendaciones:</w:t>
      </w:r>
    </w:p>
    <w:p w14:paraId="1D036B2B" w14:textId="77777777" w:rsidR="00561B22" w:rsidRPr="00B47AE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47AEA" w14:paraId="792B1EC7" w14:textId="77777777" w:rsidTr="00F1223B">
        <w:tc>
          <w:tcPr>
            <w:tcW w:w="562" w:type="dxa"/>
          </w:tcPr>
          <w:p w14:paraId="27331841" w14:textId="77777777" w:rsidR="00561B22" w:rsidRPr="00B47AEA" w:rsidRDefault="00561B22" w:rsidP="00F1223B">
            <w:pPr>
              <w:ind w:right="-109"/>
              <w:jc w:val="center"/>
              <w:rPr>
                <w:rFonts w:ascii="Arial" w:hAnsi="Arial" w:cs="Arial"/>
                <w:b/>
                <w:sz w:val="22"/>
                <w:szCs w:val="22"/>
                <w:lang w:val="es-MX"/>
              </w:rPr>
            </w:pPr>
            <w:r w:rsidRPr="00B47AEA">
              <w:rPr>
                <w:rFonts w:ascii="Arial" w:hAnsi="Arial" w:cs="Arial"/>
                <w:b/>
                <w:sz w:val="22"/>
                <w:szCs w:val="22"/>
                <w:lang w:val="es-MX"/>
              </w:rPr>
              <w:t>N°</w:t>
            </w:r>
          </w:p>
        </w:tc>
        <w:tc>
          <w:tcPr>
            <w:tcW w:w="9400" w:type="dxa"/>
          </w:tcPr>
          <w:p w14:paraId="6E3641F6"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RECOMENDACIONES</w:t>
            </w:r>
          </w:p>
          <w:p w14:paraId="328D7E18" w14:textId="77777777" w:rsidR="00561B22" w:rsidRPr="00B47AEA" w:rsidRDefault="00561B22" w:rsidP="00F1223B">
            <w:pPr>
              <w:jc w:val="center"/>
              <w:rPr>
                <w:rFonts w:ascii="Arial" w:hAnsi="Arial" w:cs="Arial"/>
                <w:b/>
                <w:sz w:val="22"/>
                <w:szCs w:val="22"/>
                <w:lang w:val="es-MX"/>
              </w:rPr>
            </w:pPr>
          </w:p>
        </w:tc>
      </w:tr>
      <w:tr w:rsidR="00561B22" w:rsidRPr="00B47AEA" w14:paraId="5B8C0862" w14:textId="77777777" w:rsidTr="00F1223B">
        <w:tc>
          <w:tcPr>
            <w:tcW w:w="562" w:type="dxa"/>
          </w:tcPr>
          <w:p w14:paraId="0648C41D" w14:textId="77777777" w:rsidR="00561B22" w:rsidRPr="00B47AEA" w:rsidRDefault="00561B22" w:rsidP="00F1223B">
            <w:pPr>
              <w:jc w:val="center"/>
              <w:rPr>
                <w:rFonts w:ascii="Arial" w:hAnsi="Arial" w:cs="Arial"/>
                <w:b/>
                <w:sz w:val="22"/>
                <w:szCs w:val="22"/>
                <w:lang w:val="es-MX"/>
              </w:rPr>
            </w:pPr>
            <w:r w:rsidRPr="00B47AEA">
              <w:rPr>
                <w:rFonts w:ascii="Arial" w:hAnsi="Arial" w:cs="Arial"/>
                <w:b/>
                <w:sz w:val="22"/>
                <w:szCs w:val="22"/>
                <w:lang w:val="es-MX"/>
              </w:rPr>
              <w:t>1</w:t>
            </w:r>
          </w:p>
        </w:tc>
        <w:tc>
          <w:tcPr>
            <w:tcW w:w="9400" w:type="dxa"/>
          </w:tcPr>
          <w:p w14:paraId="30983DEA" w14:textId="77777777" w:rsidR="00561B22" w:rsidRPr="00B47AEA" w:rsidRDefault="00561B22" w:rsidP="00F1223B">
            <w:pPr>
              <w:jc w:val="both"/>
              <w:rPr>
                <w:rFonts w:ascii="Arial" w:hAnsi="Arial" w:cs="Arial"/>
                <w:sz w:val="22"/>
                <w:szCs w:val="22"/>
                <w:lang w:val="es-MX"/>
              </w:rPr>
            </w:pPr>
            <w:r w:rsidRPr="00B47AEA">
              <w:rPr>
                <w:rFonts w:ascii="Arial" w:hAnsi="Arial" w:cs="Arial"/>
                <w:sz w:val="22"/>
                <w:szCs w:val="22"/>
                <w:lang w:val="es-CO"/>
              </w:rPr>
              <w:t>Establecer mecanismos a través de los cuales se realice la socialización oportuna y completa de los lineamientos internos y externos en relación con los procedimientos y mecanismos de recopilación, validación y verificación de la información contable y financiera de la Entidad.</w:t>
            </w:r>
          </w:p>
        </w:tc>
      </w:tr>
    </w:tbl>
    <w:p w14:paraId="262A714B" w14:textId="77777777" w:rsidR="00561B22" w:rsidRPr="00B47AEA" w:rsidRDefault="00561B22" w:rsidP="00561B22">
      <w:pPr>
        <w:pStyle w:val="Textoindependiente"/>
        <w:ind w:right="-50"/>
        <w:jc w:val="both"/>
        <w:rPr>
          <w:rFonts w:ascii="Arial" w:hAnsi="Arial" w:cs="Arial"/>
          <w:b/>
          <w:bCs/>
        </w:rPr>
      </w:pPr>
    </w:p>
    <w:p w14:paraId="45490DFB" w14:textId="77777777" w:rsidR="00561B22" w:rsidRPr="00B47AEA" w:rsidRDefault="00561B22" w:rsidP="00561B22">
      <w:pPr>
        <w:jc w:val="both"/>
        <w:rPr>
          <w:rFonts w:ascii="Arial" w:hAnsi="Arial" w:cs="Arial"/>
          <w:b/>
          <w:bCs/>
          <w:sz w:val="24"/>
          <w:szCs w:val="24"/>
          <w:lang w:val="es-CO"/>
        </w:rPr>
      </w:pPr>
      <w:r w:rsidRPr="00B47AEA">
        <w:rPr>
          <w:rFonts w:ascii="Arial" w:hAnsi="Arial" w:cs="Arial"/>
          <w:b/>
          <w:bCs/>
          <w:sz w:val="24"/>
          <w:szCs w:val="24"/>
          <w:lang w:val="es-CO"/>
        </w:rPr>
        <w:t xml:space="preserve">NOTA: LA ENTIDAD ENVIA LA MATRIZ DE AUTOEVALUACIÓN DEL SISTEMA DE CONTROL INTERNO CONTABLE CON ACTIVIDADES DE CONTROL REALIZADAS </w:t>
      </w:r>
      <w:r w:rsidRPr="00B47AEA">
        <w:rPr>
          <w:rFonts w:ascii="Arial" w:hAnsi="Arial" w:cs="Arial"/>
          <w:b/>
          <w:bCs/>
          <w:sz w:val="24"/>
          <w:szCs w:val="24"/>
          <w:u w:val="single"/>
          <w:lang w:val="es-CO"/>
        </w:rPr>
        <w:t>EN FORMA PARCIAL Y OTRAS SIMPLEMENTE INFORMAN QUE NO SE REALIZARON</w:t>
      </w:r>
      <w:r w:rsidRPr="00B47AEA">
        <w:rPr>
          <w:rFonts w:ascii="Arial" w:hAnsi="Arial" w:cs="Arial"/>
          <w:b/>
          <w:bCs/>
          <w:sz w:val="24"/>
          <w:szCs w:val="24"/>
          <w:lang w:val="es-CO"/>
        </w:rPr>
        <w:t>.</w:t>
      </w:r>
    </w:p>
    <w:p w14:paraId="1EAA37D1" w14:textId="77777777" w:rsidR="00561B22" w:rsidRDefault="00561B22" w:rsidP="00561B22">
      <w:pPr>
        <w:pStyle w:val="Ttulo6"/>
        <w:tabs>
          <w:tab w:val="left" w:pos="8505"/>
        </w:tabs>
        <w:spacing w:before="0"/>
        <w:ind w:left="0" w:right="-234" w:firstLine="0"/>
        <w:jc w:val="both"/>
        <w:rPr>
          <w:rFonts w:ascii="Arial" w:hAnsi="Arial" w:cs="Arial"/>
          <w:b/>
          <w:color w:val="auto"/>
          <w:sz w:val="28"/>
          <w:szCs w:val="28"/>
          <w:lang w:val="es-MX"/>
        </w:rPr>
      </w:pPr>
    </w:p>
    <w:p w14:paraId="032C1A68" w14:textId="77777777" w:rsidR="00561B22" w:rsidRPr="00E34504" w:rsidRDefault="00561B22" w:rsidP="00561B22">
      <w:pPr>
        <w:pStyle w:val="Ttulo6"/>
        <w:tabs>
          <w:tab w:val="left" w:pos="8505"/>
        </w:tabs>
        <w:spacing w:before="0"/>
        <w:ind w:left="0" w:right="49" w:firstLine="0"/>
        <w:jc w:val="both"/>
        <w:rPr>
          <w:rFonts w:ascii="Arial" w:hAnsi="Arial" w:cs="Arial"/>
          <w:b/>
          <w:i w:val="0"/>
          <w:iCs w:val="0"/>
          <w:color w:val="auto"/>
          <w:spacing w:val="-2"/>
          <w:sz w:val="28"/>
          <w:szCs w:val="28"/>
        </w:rPr>
      </w:pPr>
      <w:r w:rsidRPr="00E34504">
        <w:rPr>
          <w:rFonts w:ascii="Arial" w:hAnsi="Arial" w:cs="Arial"/>
          <w:b/>
          <w:i w:val="0"/>
          <w:iCs w:val="0"/>
          <w:color w:val="auto"/>
          <w:sz w:val="28"/>
          <w:szCs w:val="28"/>
          <w:lang w:val="es-MX"/>
        </w:rPr>
        <w:t xml:space="preserve">61.- </w:t>
      </w:r>
      <w:r w:rsidRPr="00E34504">
        <w:rPr>
          <w:rFonts w:ascii="Arial" w:hAnsi="Arial" w:cs="Arial"/>
          <w:b/>
          <w:i w:val="0"/>
          <w:iCs w:val="0"/>
          <w:color w:val="auto"/>
          <w:sz w:val="28"/>
          <w:szCs w:val="28"/>
        </w:rPr>
        <w:t xml:space="preserve">UNIDAD NACIONAL PARA LA GESTIÓN DEL RIESGO DE DESASTRES - </w:t>
      </w:r>
      <w:r w:rsidRPr="00E34504">
        <w:rPr>
          <w:rFonts w:ascii="Arial" w:hAnsi="Arial" w:cs="Arial"/>
          <w:b/>
          <w:i w:val="0"/>
          <w:iCs w:val="0"/>
          <w:color w:val="auto"/>
          <w:spacing w:val="-2"/>
          <w:sz w:val="28"/>
          <w:szCs w:val="28"/>
        </w:rPr>
        <w:t>UNGRD.</w:t>
      </w:r>
    </w:p>
    <w:p w14:paraId="4DFDB437" w14:textId="77777777" w:rsidR="00561B22" w:rsidRDefault="00561B22" w:rsidP="00561B22">
      <w:pPr>
        <w:pStyle w:val="Ttulo1"/>
        <w:spacing w:before="0"/>
        <w:ind w:right="-50"/>
        <w:jc w:val="left"/>
        <w:rPr>
          <w:sz w:val="24"/>
          <w:szCs w:val="24"/>
        </w:rPr>
      </w:pPr>
    </w:p>
    <w:p w14:paraId="18F770CF" w14:textId="77777777" w:rsidR="00561B22" w:rsidRPr="00E34504" w:rsidRDefault="00561B22" w:rsidP="00561B22">
      <w:pPr>
        <w:pStyle w:val="Textoindependiente"/>
        <w:ind w:right="-50"/>
        <w:jc w:val="center"/>
        <w:rPr>
          <w:rFonts w:ascii="Arial" w:hAnsi="Arial" w:cs="Arial"/>
          <w:b/>
          <w:bCs/>
        </w:rPr>
      </w:pPr>
      <w:r w:rsidRPr="00E34504">
        <w:rPr>
          <w:rFonts w:ascii="Arial" w:hAnsi="Arial" w:cs="Arial"/>
          <w:b/>
          <w:bCs/>
        </w:rPr>
        <w:t>INFORME DE LA AUTOCALIFICACIÓN DEL SISTEMA DE CONTROL INTERNO CONTABLE:</w:t>
      </w:r>
    </w:p>
    <w:p w14:paraId="67AF82F9" w14:textId="77777777" w:rsidR="00561B22" w:rsidRPr="00E3450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34504" w14:paraId="4E9A6626" w14:textId="77777777" w:rsidTr="00F1223B">
        <w:tc>
          <w:tcPr>
            <w:tcW w:w="4981" w:type="dxa"/>
          </w:tcPr>
          <w:p w14:paraId="53407920"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AUTOCALIFICACIÓN</w:t>
            </w:r>
          </w:p>
        </w:tc>
        <w:tc>
          <w:tcPr>
            <w:tcW w:w="4981" w:type="dxa"/>
          </w:tcPr>
          <w:p w14:paraId="6B73A554" w14:textId="77777777" w:rsidR="00561B22" w:rsidRPr="00E34504" w:rsidRDefault="00561B22" w:rsidP="00F1223B">
            <w:pPr>
              <w:jc w:val="center"/>
              <w:rPr>
                <w:rFonts w:ascii="Arial" w:hAnsi="Arial" w:cs="Arial"/>
                <w:b/>
                <w:sz w:val="22"/>
                <w:szCs w:val="22"/>
                <w:u w:val="single"/>
                <w:lang w:val="es-MX"/>
              </w:rPr>
            </w:pPr>
            <w:r w:rsidRPr="00E34504">
              <w:rPr>
                <w:rFonts w:ascii="Arial" w:hAnsi="Arial" w:cs="Arial"/>
                <w:b/>
                <w:sz w:val="22"/>
                <w:szCs w:val="22"/>
                <w:u w:val="single"/>
                <w:lang w:val="es-MX"/>
              </w:rPr>
              <w:t>4.98</w:t>
            </w:r>
          </w:p>
        </w:tc>
      </w:tr>
    </w:tbl>
    <w:p w14:paraId="144DA988" w14:textId="77777777" w:rsidR="00561B22" w:rsidRPr="00E34504" w:rsidRDefault="00561B22" w:rsidP="00561B22">
      <w:pPr>
        <w:pStyle w:val="Textoindependiente"/>
        <w:ind w:right="-50"/>
        <w:jc w:val="both"/>
        <w:rPr>
          <w:rFonts w:ascii="Arial" w:hAnsi="Arial" w:cs="Arial"/>
          <w:b/>
          <w:bCs/>
        </w:rPr>
      </w:pPr>
    </w:p>
    <w:p w14:paraId="026D8533" w14:textId="77777777" w:rsidR="00561B22" w:rsidRPr="00E34504" w:rsidRDefault="00561B22" w:rsidP="00561B22">
      <w:pPr>
        <w:pStyle w:val="Textoindependiente"/>
        <w:ind w:right="-50"/>
        <w:jc w:val="both"/>
        <w:rPr>
          <w:rFonts w:ascii="Arial" w:hAnsi="Arial" w:cs="Arial"/>
          <w:b/>
          <w:bCs/>
        </w:rPr>
      </w:pPr>
      <w:r w:rsidRPr="00E34504">
        <w:rPr>
          <w:rFonts w:ascii="Arial" w:hAnsi="Arial" w:cs="Arial"/>
          <w:b/>
          <w:bCs/>
        </w:rPr>
        <w:t>Del informe enviado retomamos lo siguiente:</w:t>
      </w:r>
    </w:p>
    <w:p w14:paraId="3E9BB13F" w14:textId="77777777" w:rsidR="00561B22" w:rsidRPr="00E3450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4504" w14:paraId="2E9BF648" w14:textId="77777777" w:rsidTr="00F1223B">
        <w:tc>
          <w:tcPr>
            <w:tcW w:w="562" w:type="dxa"/>
          </w:tcPr>
          <w:p w14:paraId="75EB8ECF" w14:textId="77777777" w:rsidR="00561B22" w:rsidRPr="00E34504" w:rsidRDefault="00561B22" w:rsidP="00F1223B">
            <w:pPr>
              <w:ind w:right="-109"/>
              <w:jc w:val="center"/>
              <w:rPr>
                <w:rFonts w:ascii="Arial" w:hAnsi="Arial" w:cs="Arial"/>
                <w:b/>
                <w:sz w:val="22"/>
                <w:szCs w:val="22"/>
                <w:lang w:val="es-MX"/>
              </w:rPr>
            </w:pPr>
            <w:r w:rsidRPr="00E34504">
              <w:rPr>
                <w:rFonts w:ascii="Arial" w:hAnsi="Arial" w:cs="Arial"/>
                <w:b/>
                <w:sz w:val="22"/>
                <w:szCs w:val="22"/>
                <w:lang w:val="es-MX"/>
              </w:rPr>
              <w:t>N°</w:t>
            </w:r>
          </w:p>
        </w:tc>
        <w:tc>
          <w:tcPr>
            <w:tcW w:w="9400" w:type="dxa"/>
          </w:tcPr>
          <w:p w14:paraId="68D292A2"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DEBILIDADES</w:t>
            </w:r>
          </w:p>
          <w:p w14:paraId="71503F5E" w14:textId="77777777" w:rsidR="00561B22" w:rsidRPr="00E34504" w:rsidRDefault="00561B22" w:rsidP="00F1223B">
            <w:pPr>
              <w:jc w:val="center"/>
              <w:rPr>
                <w:rFonts w:ascii="Arial" w:hAnsi="Arial" w:cs="Arial"/>
                <w:b/>
                <w:sz w:val="22"/>
                <w:szCs w:val="22"/>
                <w:lang w:val="es-MX"/>
              </w:rPr>
            </w:pPr>
          </w:p>
        </w:tc>
      </w:tr>
      <w:tr w:rsidR="00561B22" w:rsidRPr="00E34504" w14:paraId="2C8965D4" w14:textId="77777777" w:rsidTr="00F1223B">
        <w:tc>
          <w:tcPr>
            <w:tcW w:w="562" w:type="dxa"/>
          </w:tcPr>
          <w:p w14:paraId="3043E8D2"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1</w:t>
            </w:r>
          </w:p>
        </w:tc>
        <w:tc>
          <w:tcPr>
            <w:tcW w:w="9400" w:type="dxa"/>
          </w:tcPr>
          <w:p w14:paraId="384790C3"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El equipo de la cadena presupuestal no cuenta con el personal idóneo para los cargos, ya que no son contadores. Además, las áreas misionales no gestionan de manera efectiva la entrega de información contable, lo que limita el acceso del grupo contable del GAFC a datos clave. </w:t>
            </w:r>
          </w:p>
        </w:tc>
      </w:tr>
      <w:tr w:rsidR="00561B22" w:rsidRPr="00E34504" w14:paraId="11E34185" w14:textId="77777777" w:rsidTr="00F1223B">
        <w:tc>
          <w:tcPr>
            <w:tcW w:w="562" w:type="dxa"/>
          </w:tcPr>
          <w:p w14:paraId="2E143974"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2</w:t>
            </w:r>
          </w:p>
        </w:tc>
        <w:tc>
          <w:tcPr>
            <w:tcW w:w="9400" w:type="dxa"/>
          </w:tcPr>
          <w:p w14:paraId="58ECDCE6"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Por otro lado, no se dispone de indicadores que permitan interpretar y analizar la realidad financiera, lo que dificulta la identificación de necesidades y el ajuste del proceso contable. Esto afecta la fiabilidad de la información utilizada para reportar el proceso contable de la UNGRD. </w:t>
            </w:r>
          </w:p>
        </w:tc>
      </w:tr>
      <w:tr w:rsidR="00561B22" w:rsidRPr="00E34504" w14:paraId="433891BA" w14:textId="77777777" w:rsidTr="00F1223B">
        <w:tc>
          <w:tcPr>
            <w:tcW w:w="562" w:type="dxa"/>
          </w:tcPr>
          <w:p w14:paraId="56553640"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3</w:t>
            </w:r>
          </w:p>
        </w:tc>
        <w:tc>
          <w:tcPr>
            <w:tcW w:w="9400" w:type="dxa"/>
          </w:tcPr>
          <w:p w14:paraId="1E0F122A"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Asimismo, los estados financieros no se consideran con la debida importancia en la toma de decisiones para la gestión de la entidad.</w:t>
            </w:r>
          </w:p>
        </w:tc>
      </w:tr>
      <w:tr w:rsidR="00561B22" w:rsidRPr="00E34504" w14:paraId="5FD45FAD" w14:textId="77777777" w:rsidTr="00F1223B">
        <w:tc>
          <w:tcPr>
            <w:tcW w:w="562" w:type="dxa"/>
          </w:tcPr>
          <w:p w14:paraId="6C3B5672"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4</w:t>
            </w:r>
          </w:p>
        </w:tc>
        <w:tc>
          <w:tcPr>
            <w:tcW w:w="9400" w:type="dxa"/>
          </w:tcPr>
          <w:p w14:paraId="3B70575D" w14:textId="77777777" w:rsidR="00561B22" w:rsidRPr="00E34504" w:rsidRDefault="00561B22" w:rsidP="00F1223B">
            <w:pPr>
              <w:widowControl/>
              <w:autoSpaceDE/>
              <w:autoSpaceDN/>
              <w:jc w:val="both"/>
              <w:rPr>
                <w:rFonts w:ascii="Arial" w:hAnsi="Arial" w:cs="Arial"/>
                <w:sz w:val="22"/>
                <w:szCs w:val="22"/>
              </w:rPr>
            </w:pPr>
            <w:r w:rsidRPr="00E34504">
              <w:rPr>
                <w:rFonts w:ascii="Arial" w:hAnsi="Arial" w:cs="Arial"/>
                <w:sz w:val="22"/>
                <w:szCs w:val="22"/>
              </w:rPr>
              <w:t>Los hechos económicos no se registran de manera oportuna.</w:t>
            </w:r>
          </w:p>
        </w:tc>
      </w:tr>
    </w:tbl>
    <w:p w14:paraId="71676854" w14:textId="77777777" w:rsidR="00561B22" w:rsidRPr="00E34504" w:rsidRDefault="00561B22" w:rsidP="00561B22">
      <w:pPr>
        <w:pStyle w:val="Textoindependiente"/>
        <w:ind w:right="-50"/>
        <w:jc w:val="both"/>
        <w:rPr>
          <w:rFonts w:ascii="Arial" w:hAnsi="Arial" w:cs="Arial"/>
          <w:b/>
          <w:bCs/>
        </w:rPr>
      </w:pPr>
    </w:p>
    <w:p w14:paraId="271A61B8" w14:textId="77777777" w:rsidR="00561B22" w:rsidRPr="00E34504" w:rsidRDefault="00561B22" w:rsidP="00561B22">
      <w:pPr>
        <w:jc w:val="both"/>
        <w:rPr>
          <w:rFonts w:ascii="Arial" w:hAnsi="Arial" w:cs="Arial"/>
          <w:b/>
          <w:lang w:val="es-MX"/>
        </w:rPr>
      </w:pPr>
      <w:r w:rsidRPr="00E34504">
        <w:rPr>
          <w:rFonts w:ascii="Arial" w:hAnsi="Arial" w:cs="Arial"/>
          <w:b/>
          <w:lang w:val="es-MX"/>
        </w:rPr>
        <w:lastRenderedPageBreak/>
        <w:t>Del citado informe retomamos las siguientes recomendaciones:</w:t>
      </w:r>
    </w:p>
    <w:p w14:paraId="3A23856B" w14:textId="77777777" w:rsidR="00561B22" w:rsidRPr="00E3450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4504" w14:paraId="5E02F0D8" w14:textId="77777777" w:rsidTr="00F1223B">
        <w:tc>
          <w:tcPr>
            <w:tcW w:w="562" w:type="dxa"/>
          </w:tcPr>
          <w:p w14:paraId="7FC22ED6" w14:textId="77777777" w:rsidR="00561B22" w:rsidRPr="00E34504" w:rsidRDefault="00561B22" w:rsidP="00F1223B">
            <w:pPr>
              <w:ind w:right="-109"/>
              <w:jc w:val="center"/>
              <w:rPr>
                <w:rFonts w:ascii="Arial" w:hAnsi="Arial" w:cs="Arial"/>
                <w:b/>
                <w:sz w:val="22"/>
                <w:szCs w:val="22"/>
                <w:lang w:val="es-MX"/>
              </w:rPr>
            </w:pPr>
            <w:r w:rsidRPr="00E34504">
              <w:rPr>
                <w:rFonts w:ascii="Arial" w:hAnsi="Arial" w:cs="Arial"/>
                <w:b/>
                <w:sz w:val="22"/>
                <w:szCs w:val="22"/>
                <w:lang w:val="es-MX"/>
              </w:rPr>
              <w:t>N°</w:t>
            </w:r>
          </w:p>
        </w:tc>
        <w:tc>
          <w:tcPr>
            <w:tcW w:w="9400" w:type="dxa"/>
          </w:tcPr>
          <w:p w14:paraId="578BC732"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RECOMENDACIONES</w:t>
            </w:r>
          </w:p>
          <w:p w14:paraId="2865A1F5" w14:textId="77777777" w:rsidR="00561B22" w:rsidRPr="00E34504" w:rsidRDefault="00561B22" w:rsidP="00F1223B">
            <w:pPr>
              <w:jc w:val="center"/>
              <w:rPr>
                <w:rFonts w:ascii="Arial" w:hAnsi="Arial" w:cs="Arial"/>
                <w:b/>
                <w:sz w:val="22"/>
                <w:szCs w:val="22"/>
                <w:lang w:val="es-MX"/>
              </w:rPr>
            </w:pPr>
          </w:p>
        </w:tc>
      </w:tr>
      <w:tr w:rsidR="00561B22" w:rsidRPr="00E34504" w14:paraId="1BB8025A" w14:textId="77777777" w:rsidTr="00F1223B">
        <w:tc>
          <w:tcPr>
            <w:tcW w:w="562" w:type="dxa"/>
          </w:tcPr>
          <w:p w14:paraId="31DE7B31"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1</w:t>
            </w:r>
          </w:p>
        </w:tc>
        <w:tc>
          <w:tcPr>
            <w:tcW w:w="9400" w:type="dxa"/>
          </w:tcPr>
          <w:p w14:paraId="3F28CFC8"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Se recomienda al proceso contable establecer indicadores que permitan la identificación y mitigación de riesgos contables, así como el análisis adecuado de la información financiera. </w:t>
            </w:r>
          </w:p>
        </w:tc>
      </w:tr>
      <w:tr w:rsidR="00561B22" w:rsidRPr="00E34504" w14:paraId="163866A4" w14:textId="77777777" w:rsidTr="00F1223B">
        <w:tc>
          <w:tcPr>
            <w:tcW w:w="562" w:type="dxa"/>
          </w:tcPr>
          <w:p w14:paraId="7D3EF03D"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2</w:t>
            </w:r>
          </w:p>
        </w:tc>
        <w:tc>
          <w:tcPr>
            <w:tcW w:w="9400" w:type="dxa"/>
          </w:tcPr>
          <w:p w14:paraId="7293412E"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Durante la rendición de cuentas de la entidad y en las sesiones del Comité Institucional de Coordinación de Control Interno, se sugiere presentar los Estados Financieros conforme a la normatividad vigente, con el fin de facilitar la toma de decisiones para la gestión de la entidad. </w:t>
            </w:r>
          </w:p>
        </w:tc>
      </w:tr>
      <w:tr w:rsidR="00561B22" w:rsidRPr="00E34504" w14:paraId="3468F541" w14:textId="77777777" w:rsidTr="00F1223B">
        <w:tc>
          <w:tcPr>
            <w:tcW w:w="562" w:type="dxa"/>
          </w:tcPr>
          <w:p w14:paraId="0CC66ED5"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3</w:t>
            </w:r>
          </w:p>
        </w:tc>
        <w:tc>
          <w:tcPr>
            <w:tcW w:w="9400" w:type="dxa"/>
          </w:tcPr>
          <w:p w14:paraId="33969F45"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Se recomienda realizar capacitaciones sobre cierre y legalización de cajas menores, apertura de cajas menores, constitución de reservas presupuestales, devolución de recursos al tesoro y reintegro de recursos a la UNGRD. </w:t>
            </w:r>
          </w:p>
        </w:tc>
      </w:tr>
      <w:tr w:rsidR="00561B22" w:rsidRPr="00E34504" w14:paraId="7E5CE2C7" w14:textId="77777777" w:rsidTr="00F1223B">
        <w:tc>
          <w:tcPr>
            <w:tcW w:w="562" w:type="dxa"/>
          </w:tcPr>
          <w:p w14:paraId="39959AA0"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4</w:t>
            </w:r>
          </w:p>
        </w:tc>
        <w:tc>
          <w:tcPr>
            <w:tcW w:w="9400" w:type="dxa"/>
          </w:tcPr>
          <w:p w14:paraId="3B59C810"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Es fundamental socializar con todas las áreas involucradas en la generación de hechos económicos las directrices, procedimientos, instrucciones y lineamientos definidos en el proceso contable, con el objetivo de mejorar la oportunidad y calidad de la información utilizada en la elaboración de los Estados Financieros de la entidad. </w:t>
            </w:r>
          </w:p>
        </w:tc>
      </w:tr>
      <w:tr w:rsidR="00561B22" w:rsidRPr="00E34504" w14:paraId="4F3FBC8D" w14:textId="77777777" w:rsidTr="00F1223B">
        <w:tc>
          <w:tcPr>
            <w:tcW w:w="562" w:type="dxa"/>
          </w:tcPr>
          <w:p w14:paraId="4C74EBBF"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5</w:t>
            </w:r>
          </w:p>
        </w:tc>
        <w:tc>
          <w:tcPr>
            <w:tcW w:w="9400" w:type="dxa"/>
          </w:tcPr>
          <w:p w14:paraId="3C84D72D" w14:textId="77777777" w:rsidR="00561B22" w:rsidRPr="00E34504" w:rsidRDefault="00561B22" w:rsidP="00F1223B">
            <w:pPr>
              <w:widowControl/>
              <w:autoSpaceDE/>
              <w:autoSpaceDN/>
              <w:jc w:val="both"/>
              <w:rPr>
                <w:rFonts w:ascii="Arial" w:hAnsi="Arial" w:cs="Arial"/>
                <w:b/>
                <w:sz w:val="22"/>
                <w:szCs w:val="22"/>
                <w:lang w:val="es-CO"/>
              </w:rPr>
            </w:pPr>
            <w:r w:rsidRPr="00E34504">
              <w:rPr>
                <w:rFonts w:ascii="Arial" w:hAnsi="Arial" w:cs="Arial"/>
                <w:sz w:val="22"/>
                <w:szCs w:val="22"/>
              </w:rPr>
              <w:t xml:space="preserve">Se sugiere conformar un equipo idóneo para los cargos de la cadena presupuestal, asegurando que estos sean desempeñados por contadores. </w:t>
            </w:r>
          </w:p>
        </w:tc>
      </w:tr>
      <w:tr w:rsidR="00561B22" w:rsidRPr="00E34504" w14:paraId="333C64E2" w14:textId="77777777" w:rsidTr="00F1223B">
        <w:tc>
          <w:tcPr>
            <w:tcW w:w="562" w:type="dxa"/>
          </w:tcPr>
          <w:p w14:paraId="5B3159F1" w14:textId="77777777" w:rsidR="00561B22" w:rsidRPr="00E34504" w:rsidRDefault="00561B22" w:rsidP="00F1223B">
            <w:pPr>
              <w:jc w:val="center"/>
              <w:rPr>
                <w:rFonts w:ascii="Arial" w:hAnsi="Arial" w:cs="Arial"/>
                <w:b/>
                <w:sz w:val="22"/>
                <w:szCs w:val="22"/>
                <w:lang w:val="es-MX"/>
              </w:rPr>
            </w:pPr>
            <w:r w:rsidRPr="00E34504">
              <w:rPr>
                <w:rFonts w:ascii="Arial" w:hAnsi="Arial" w:cs="Arial"/>
                <w:b/>
                <w:sz w:val="22"/>
                <w:szCs w:val="22"/>
                <w:lang w:val="es-MX"/>
              </w:rPr>
              <w:t>6</w:t>
            </w:r>
          </w:p>
        </w:tc>
        <w:tc>
          <w:tcPr>
            <w:tcW w:w="9400" w:type="dxa"/>
          </w:tcPr>
          <w:p w14:paraId="0F5461E6" w14:textId="77777777" w:rsidR="00561B22" w:rsidRPr="00E34504" w:rsidRDefault="00561B22" w:rsidP="00F1223B">
            <w:pPr>
              <w:widowControl/>
              <w:autoSpaceDE/>
              <w:autoSpaceDN/>
              <w:jc w:val="both"/>
              <w:rPr>
                <w:rFonts w:ascii="Arial" w:hAnsi="Arial" w:cs="Arial"/>
                <w:sz w:val="22"/>
                <w:szCs w:val="22"/>
              </w:rPr>
            </w:pPr>
            <w:r w:rsidRPr="00E34504">
              <w:rPr>
                <w:rFonts w:ascii="Arial" w:hAnsi="Arial" w:cs="Arial"/>
                <w:sz w:val="22"/>
                <w:szCs w:val="22"/>
              </w:rPr>
              <w:t>Se recomienda establecer una relación más efectiva con las áreas misionales para optimizar la entrega de información.</w:t>
            </w:r>
          </w:p>
        </w:tc>
      </w:tr>
    </w:tbl>
    <w:p w14:paraId="2EF71203" w14:textId="77777777" w:rsidR="00561B22" w:rsidRPr="00E34504" w:rsidRDefault="00561B22" w:rsidP="00561B22">
      <w:pPr>
        <w:pStyle w:val="Textoindependiente"/>
        <w:ind w:right="-50"/>
        <w:jc w:val="both"/>
        <w:rPr>
          <w:rFonts w:ascii="Arial" w:hAnsi="Arial" w:cs="Arial"/>
          <w:b/>
          <w:bCs/>
        </w:rPr>
      </w:pPr>
    </w:p>
    <w:p w14:paraId="577AC3BF" w14:textId="77777777" w:rsidR="00561B22" w:rsidRPr="00E34504" w:rsidRDefault="00561B22" w:rsidP="00561B22">
      <w:pPr>
        <w:jc w:val="both"/>
        <w:rPr>
          <w:rFonts w:ascii="Arial" w:hAnsi="Arial" w:cs="Arial"/>
          <w:b/>
          <w:bCs/>
          <w:sz w:val="24"/>
          <w:szCs w:val="24"/>
          <w:lang w:val="es-CO"/>
        </w:rPr>
      </w:pPr>
      <w:r w:rsidRPr="00E34504">
        <w:rPr>
          <w:rFonts w:ascii="Arial" w:hAnsi="Arial" w:cs="Arial"/>
          <w:b/>
          <w:bCs/>
          <w:sz w:val="24"/>
          <w:szCs w:val="24"/>
          <w:lang w:val="es-CO"/>
        </w:rPr>
        <w:t xml:space="preserve">NOTA: LA ENTIDAD ENVIA LA MATRIZ DE AUTOEVALUACIÓN DEL SISTEMA DE CONTROL INTERNO CONTABLE CON ACTIVIDADES DE CONTROL REALIZADAS </w:t>
      </w:r>
      <w:r w:rsidRPr="00E34504">
        <w:rPr>
          <w:rFonts w:ascii="Arial" w:hAnsi="Arial" w:cs="Arial"/>
          <w:b/>
          <w:bCs/>
          <w:sz w:val="24"/>
          <w:szCs w:val="24"/>
          <w:u w:val="single"/>
          <w:lang w:val="es-CO"/>
        </w:rPr>
        <w:t>EN FORMA PARCIAL Y OTRAS SIMPLEMENTE INFORMAN QUE NO SE REALIZARON</w:t>
      </w:r>
      <w:r w:rsidRPr="00E34504">
        <w:rPr>
          <w:rFonts w:ascii="Arial" w:hAnsi="Arial" w:cs="Arial"/>
          <w:b/>
          <w:bCs/>
          <w:sz w:val="24"/>
          <w:szCs w:val="24"/>
          <w:lang w:val="es-CO"/>
        </w:rPr>
        <w:t>.</w:t>
      </w:r>
    </w:p>
    <w:p w14:paraId="1BB45B3E" w14:textId="77777777" w:rsidR="00561B22" w:rsidRPr="00E34504" w:rsidRDefault="00561B22" w:rsidP="00561B22">
      <w:pPr>
        <w:pStyle w:val="Ttulo1"/>
        <w:spacing w:before="0"/>
        <w:ind w:right="-50"/>
        <w:jc w:val="left"/>
        <w:rPr>
          <w:sz w:val="24"/>
          <w:szCs w:val="24"/>
          <w:lang w:val="es-CO"/>
        </w:rPr>
      </w:pPr>
    </w:p>
    <w:p w14:paraId="711D1FBB" w14:textId="77777777" w:rsidR="00561B22" w:rsidRPr="00360CCC" w:rsidRDefault="00561B22" w:rsidP="00561B22">
      <w:pPr>
        <w:jc w:val="both"/>
        <w:rPr>
          <w:rFonts w:ascii="Arial" w:hAnsi="Arial" w:cs="Arial"/>
          <w:b/>
          <w:sz w:val="28"/>
          <w:szCs w:val="28"/>
        </w:rPr>
      </w:pPr>
      <w:r w:rsidRPr="00360CCC">
        <w:rPr>
          <w:rFonts w:ascii="Arial" w:hAnsi="Arial" w:cs="Arial"/>
          <w:b/>
          <w:sz w:val="28"/>
          <w:szCs w:val="28"/>
          <w:lang w:val="es-MX"/>
        </w:rPr>
        <w:t xml:space="preserve">62.- </w:t>
      </w:r>
      <w:r w:rsidRPr="00360CCC">
        <w:rPr>
          <w:rFonts w:ascii="Arial" w:hAnsi="Arial" w:cs="Arial"/>
          <w:b/>
          <w:sz w:val="28"/>
          <w:szCs w:val="28"/>
        </w:rPr>
        <w:t>SOCIEDAD HOTELERA TEQUENDAMA S.A.</w:t>
      </w:r>
    </w:p>
    <w:p w14:paraId="05572A58" w14:textId="77777777" w:rsidR="00561B22" w:rsidRPr="00360CCC" w:rsidRDefault="00561B22" w:rsidP="00561B22">
      <w:pPr>
        <w:pStyle w:val="Ttulo1"/>
        <w:spacing w:before="0"/>
        <w:ind w:right="-50"/>
        <w:jc w:val="left"/>
        <w:rPr>
          <w:sz w:val="24"/>
          <w:szCs w:val="24"/>
        </w:rPr>
      </w:pPr>
    </w:p>
    <w:p w14:paraId="7C002A89" w14:textId="77777777" w:rsidR="00561B22" w:rsidRPr="00360CCC" w:rsidRDefault="00561B22" w:rsidP="00561B22">
      <w:pPr>
        <w:pStyle w:val="Textoindependiente"/>
        <w:ind w:right="-50"/>
        <w:jc w:val="both"/>
        <w:rPr>
          <w:rFonts w:ascii="Arial" w:hAnsi="Arial" w:cs="Arial"/>
          <w:b/>
          <w:bCs/>
        </w:rPr>
      </w:pPr>
      <w:r w:rsidRPr="00360CCC">
        <w:rPr>
          <w:rFonts w:ascii="Arial" w:hAnsi="Arial" w:cs="Arial"/>
          <w:b/>
          <w:bCs/>
        </w:rPr>
        <w:t>INFORME DE LA AUTOCALIFICACIÓN DEL SISTEMA DE CONTROL INTERNO CONTABLE:</w:t>
      </w:r>
    </w:p>
    <w:p w14:paraId="2D6CCF4B" w14:textId="77777777" w:rsidR="00561B22" w:rsidRPr="00360C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60CCC" w14:paraId="2209C7A5" w14:textId="77777777" w:rsidTr="00F1223B">
        <w:tc>
          <w:tcPr>
            <w:tcW w:w="4981" w:type="dxa"/>
          </w:tcPr>
          <w:p w14:paraId="42593E19"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AUTOCALIFICACIÓN</w:t>
            </w:r>
          </w:p>
        </w:tc>
        <w:tc>
          <w:tcPr>
            <w:tcW w:w="4981" w:type="dxa"/>
          </w:tcPr>
          <w:p w14:paraId="74B0145A" w14:textId="77777777" w:rsidR="00561B22" w:rsidRPr="00360CCC" w:rsidRDefault="00561B22" w:rsidP="00F1223B">
            <w:pPr>
              <w:jc w:val="center"/>
              <w:rPr>
                <w:rFonts w:ascii="Arial" w:hAnsi="Arial" w:cs="Arial"/>
                <w:b/>
                <w:sz w:val="22"/>
                <w:szCs w:val="22"/>
                <w:u w:val="single"/>
                <w:lang w:val="es-MX"/>
              </w:rPr>
            </w:pPr>
            <w:r w:rsidRPr="00360CCC">
              <w:rPr>
                <w:rFonts w:ascii="Arial" w:hAnsi="Arial" w:cs="Arial"/>
                <w:b/>
                <w:sz w:val="22"/>
                <w:szCs w:val="22"/>
                <w:u w:val="single"/>
                <w:lang w:val="es-MX"/>
              </w:rPr>
              <w:t>4.71</w:t>
            </w:r>
          </w:p>
        </w:tc>
      </w:tr>
    </w:tbl>
    <w:p w14:paraId="6C3CBDA9" w14:textId="77777777" w:rsidR="00561B22" w:rsidRPr="00360CCC" w:rsidRDefault="00561B22" w:rsidP="00561B22">
      <w:pPr>
        <w:pStyle w:val="Textoindependiente"/>
        <w:ind w:right="-50"/>
        <w:jc w:val="both"/>
        <w:rPr>
          <w:rFonts w:ascii="Arial" w:hAnsi="Arial" w:cs="Arial"/>
          <w:b/>
          <w:bCs/>
        </w:rPr>
      </w:pPr>
    </w:p>
    <w:p w14:paraId="7144E97D" w14:textId="77777777" w:rsidR="00561B22" w:rsidRPr="00360CCC" w:rsidRDefault="00561B22" w:rsidP="00561B22">
      <w:pPr>
        <w:pStyle w:val="Textoindependiente"/>
        <w:ind w:right="-50"/>
        <w:jc w:val="both"/>
        <w:rPr>
          <w:rFonts w:ascii="Arial" w:hAnsi="Arial" w:cs="Arial"/>
          <w:b/>
          <w:bCs/>
        </w:rPr>
      </w:pPr>
      <w:r w:rsidRPr="00360CCC">
        <w:rPr>
          <w:rFonts w:ascii="Arial" w:hAnsi="Arial" w:cs="Arial"/>
          <w:b/>
          <w:bCs/>
        </w:rPr>
        <w:t>Del informe enviado retomamos lo siguiente:</w:t>
      </w:r>
    </w:p>
    <w:p w14:paraId="7BBE4C3B" w14:textId="77777777" w:rsidR="00561B22" w:rsidRPr="00360C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60CCC" w14:paraId="406E3F9A" w14:textId="77777777" w:rsidTr="00F1223B">
        <w:tc>
          <w:tcPr>
            <w:tcW w:w="562" w:type="dxa"/>
          </w:tcPr>
          <w:p w14:paraId="4E7F5BF5" w14:textId="77777777" w:rsidR="00561B22" w:rsidRPr="00360CCC" w:rsidRDefault="00561B22" w:rsidP="00F1223B">
            <w:pPr>
              <w:ind w:right="-109"/>
              <w:jc w:val="center"/>
              <w:rPr>
                <w:rFonts w:ascii="Arial" w:hAnsi="Arial" w:cs="Arial"/>
                <w:b/>
                <w:sz w:val="22"/>
                <w:szCs w:val="22"/>
                <w:lang w:val="es-MX"/>
              </w:rPr>
            </w:pPr>
            <w:r w:rsidRPr="00360CCC">
              <w:rPr>
                <w:rFonts w:ascii="Arial" w:hAnsi="Arial" w:cs="Arial"/>
                <w:b/>
                <w:sz w:val="22"/>
                <w:szCs w:val="22"/>
                <w:lang w:val="es-MX"/>
              </w:rPr>
              <w:t>N°</w:t>
            </w:r>
          </w:p>
        </w:tc>
        <w:tc>
          <w:tcPr>
            <w:tcW w:w="9400" w:type="dxa"/>
          </w:tcPr>
          <w:p w14:paraId="06F7AED5"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DEBILIDADES</w:t>
            </w:r>
          </w:p>
          <w:p w14:paraId="66FAD946" w14:textId="77777777" w:rsidR="00561B22" w:rsidRPr="00360CCC" w:rsidRDefault="00561B22" w:rsidP="00F1223B">
            <w:pPr>
              <w:jc w:val="center"/>
              <w:rPr>
                <w:rFonts w:ascii="Arial" w:hAnsi="Arial" w:cs="Arial"/>
                <w:b/>
                <w:sz w:val="22"/>
                <w:szCs w:val="22"/>
                <w:lang w:val="es-MX"/>
              </w:rPr>
            </w:pPr>
          </w:p>
        </w:tc>
      </w:tr>
      <w:tr w:rsidR="00561B22" w:rsidRPr="00360CCC" w14:paraId="36B1D543" w14:textId="77777777" w:rsidTr="00F1223B">
        <w:tc>
          <w:tcPr>
            <w:tcW w:w="562" w:type="dxa"/>
          </w:tcPr>
          <w:p w14:paraId="608AC35F"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1</w:t>
            </w:r>
          </w:p>
        </w:tc>
        <w:tc>
          <w:tcPr>
            <w:tcW w:w="9400" w:type="dxa"/>
            <w:vAlign w:val="center"/>
          </w:tcPr>
          <w:p w14:paraId="4675F7D7"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Fortalecer la política del registro contable de costos y gastos de las Unidades Estratégicas de Negocio. </w:t>
            </w:r>
          </w:p>
        </w:tc>
      </w:tr>
      <w:tr w:rsidR="00561B22" w:rsidRPr="00360CCC" w14:paraId="015012D7" w14:textId="77777777" w:rsidTr="00F1223B">
        <w:tc>
          <w:tcPr>
            <w:tcW w:w="562" w:type="dxa"/>
          </w:tcPr>
          <w:p w14:paraId="5F4F433B"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2</w:t>
            </w:r>
          </w:p>
        </w:tc>
        <w:tc>
          <w:tcPr>
            <w:tcW w:w="9400" w:type="dxa"/>
          </w:tcPr>
          <w:p w14:paraId="7ED30ABE"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Robustecer las líneas de defensa descritas por el MIPG apropiadas y encaminadas a la contribución de los paradigmas corporativos (Estrategias emergentes, entornos colaborativos, metodologías ágiles, organización ambidiestra y liderazgo en red.). </w:t>
            </w:r>
          </w:p>
        </w:tc>
      </w:tr>
      <w:tr w:rsidR="00561B22" w:rsidRPr="00360CCC" w14:paraId="17B47275" w14:textId="77777777" w:rsidTr="00F1223B">
        <w:tc>
          <w:tcPr>
            <w:tcW w:w="562" w:type="dxa"/>
          </w:tcPr>
          <w:p w14:paraId="77EF604C"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3</w:t>
            </w:r>
          </w:p>
        </w:tc>
        <w:tc>
          <w:tcPr>
            <w:tcW w:w="9400" w:type="dxa"/>
          </w:tcPr>
          <w:p w14:paraId="354E4B88"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Fortalecer el cumplimiento con las directrices de la directiva de cierre fiscal. </w:t>
            </w:r>
          </w:p>
        </w:tc>
      </w:tr>
      <w:tr w:rsidR="00561B22" w:rsidRPr="00360CCC" w14:paraId="2B2141BF" w14:textId="77777777" w:rsidTr="00F1223B">
        <w:tc>
          <w:tcPr>
            <w:tcW w:w="562" w:type="dxa"/>
          </w:tcPr>
          <w:p w14:paraId="0097A203"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4</w:t>
            </w:r>
          </w:p>
        </w:tc>
        <w:tc>
          <w:tcPr>
            <w:tcW w:w="9400" w:type="dxa"/>
          </w:tcPr>
          <w:p w14:paraId="542F06B5"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Fortalecer el proceso de validación de las conciliaciones de las cuentas contables con el fin de contar en tiempo real dicha información, avalada por el contador y/o jefe financiero.</w:t>
            </w:r>
          </w:p>
        </w:tc>
      </w:tr>
    </w:tbl>
    <w:p w14:paraId="35E40239" w14:textId="77777777" w:rsidR="00561B22" w:rsidRPr="00360CCC" w:rsidRDefault="00561B22" w:rsidP="00561B22">
      <w:pPr>
        <w:pStyle w:val="Textoindependiente"/>
        <w:ind w:right="-50"/>
        <w:jc w:val="both"/>
        <w:rPr>
          <w:rFonts w:ascii="Arial" w:hAnsi="Arial" w:cs="Arial"/>
          <w:b/>
          <w:bCs/>
        </w:rPr>
      </w:pPr>
    </w:p>
    <w:p w14:paraId="07360347" w14:textId="77777777" w:rsidR="00561B22" w:rsidRPr="00360CCC" w:rsidRDefault="00561B22" w:rsidP="00561B22">
      <w:pPr>
        <w:jc w:val="both"/>
        <w:rPr>
          <w:rFonts w:ascii="Arial" w:hAnsi="Arial" w:cs="Arial"/>
          <w:b/>
          <w:lang w:val="es-MX"/>
        </w:rPr>
      </w:pPr>
      <w:r w:rsidRPr="00360CCC">
        <w:rPr>
          <w:rFonts w:ascii="Arial" w:hAnsi="Arial" w:cs="Arial"/>
          <w:b/>
          <w:lang w:val="es-MX"/>
        </w:rPr>
        <w:t>Del citado informe retomamos las siguientes recomendaciones:</w:t>
      </w:r>
    </w:p>
    <w:p w14:paraId="3E28619B" w14:textId="77777777" w:rsidR="00561B22" w:rsidRPr="00360C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60CCC" w14:paraId="26A5EAAC" w14:textId="77777777" w:rsidTr="00F1223B">
        <w:tc>
          <w:tcPr>
            <w:tcW w:w="562" w:type="dxa"/>
          </w:tcPr>
          <w:p w14:paraId="2E355499" w14:textId="77777777" w:rsidR="00561B22" w:rsidRPr="00360CCC" w:rsidRDefault="00561B22" w:rsidP="00F1223B">
            <w:pPr>
              <w:ind w:right="-109"/>
              <w:jc w:val="center"/>
              <w:rPr>
                <w:rFonts w:ascii="Arial" w:hAnsi="Arial" w:cs="Arial"/>
                <w:b/>
                <w:sz w:val="22"/>
                <w:szCs w:val="22"/>
                <w:lang w:val="es-MX"/>
              </w:rPr>
            </w:pPr>
            <w:r w:rsidRPr="00360CCC">
              <w:rPr>
                <w:rFonts w:ascii="Arial" w:hAnsi="Arial" w:cs="Arial"/>
                <w:b/>
                <w:sz w:val="22"/>
                <w:szCs w:val="22"/>
                <w:lang w:val="es-MX"/>
              </w:rPr>
              <w:t>N°</w:t>
            </w:r>
          </w:p>
        </w:tc>
        <w:tc>
          <w:tcPr>
            <w:tcW w:w="9400" w:type="dxa"/>
          </w:tcPr>
          <w:p w14:paraId="4EFB2A87"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RECOMENDACIONES</w:t>
            </w:r>
          </w:p>
          <w:p w14:paraId="149B58AF" w14:textId="77777777" w:rsidR="00561B22" w:rsidRPr="00360CCC" w:rsidRDefault="00561B22" w:rsidP="00F1223B">
            <w:pPr>
              <w:jc w:val="center"/>
              <w:rPr>
                <w:rFonts w:ascii="Arial" w:hAnsi="Arial" w:cs="Arial"/>
                <w:b/>
                <w:sz w:val="22"/>
                <w:szCs w:val="22"/>
                <w:lang w:val="es-MX"/>
              </w:rPr>
            </w:pPr>
          </w:p>
        </w:tc>
      </w:tr>
      <w:tr w:rsidR="00561B22" w:rsidRPr="00360CCC" w14:paraId="0F6F5C11" w14:textId="77777777" w:rsidTr="00F1223B">
        <w:tc>
          <w:tcPr>
            <w:tcW w:w="562" w:type="dxa"/>
          </w:tcPr>
          <w:p w14:paraId="46288BB2"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1</w:t>
            </w:r>
          </w:p>
        </w:tc>
        <w:tc>
          <w:tcPr>
            <w:tcW w:w="9400" w:type="dxa"/>
          </w:tcPr>
          <w:p w14:paraId="1C8402E2"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Se recomienda fortalecer la política del registro contable de costos y gastos de las Unidades Estratégicas de Negocio.  </w:t>
            </w:r>
          </w:p>
        </w:tc>
      </w:tr>
      <w:tr w:rsidR="00561B22" w:rsidRPr="00360CCC" w14:paraId="26F6421A" w14:textId="77777777" w:rsidTr="00F1223B">
        <w:tc>
          <w:tcPr>
            <w:tcW w:w="562" w:type="dxa"/>
          </w:tcPr>
          <w:p w14:paraId="3E2BA1FC"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2</w:t>
            </w:r>
          </w:p>
        </w:tc>
        <w:tc>
          <w:tcPr>
            <w:tcW w:w="9400" w:type="dxa"/>
          </w:tcPr>
          <w:p w14:paraId="2AF22806"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Se recomienda fortalecer la gestión de riesgos en la Sociedad a todos los niveles encaminado </w:t>
            </w:r>
            <w:r w:rsidRPr="00360CCC">
              <w:rPr>
                <w:rFonts w:ascii="Arial" w:eastAsia="Times New Roman" w:hAnsi="Arial" w:cs="Arial"/>
                <w:sz w:val="22"/>
                <w:szCs w:val="22"/>
              </w:rPr>
              <w:lastRenderedPageBreak/>
              <w:t>como una herramienta estratégica que contribuya al logro de objetivos institucionales.</w:t>
            </w:r>
          </w:p>
        </w:tc>
      </w:tr>
      <w:tr w:rsidR="00561B22" w:rsidRPr="00360CCC" w14:paraId="14D2CBAF" w14:textId="77777777" w:rsidTr="00F1223B">
        <w:tc>
          <w:tcPr>
            <w:tcW w:w="562" w:type="dxa"/>
          </w:tcPr>
          <w:p w14:paraId="5052A3B4"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lastRenderedPageBreak/>
              <w:t>3</w:t>
            </w:r>
          </w:p>
        </w:tc>
        <w:tc>
          <w:tcPr>
            <w:tcW w:w="9400" w:type="dxa"/>
          </w:tcPr>
          <w:p w14:paraId="0D5F1C71"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Se recomienda robustecer las líneas de defensa descritas por el MIPG apropiadas y encaminadas a la contribución de los paradigmas corporativos (Estrategias emergentes, entornos colaborativos, metodologías agiles, organización ambidiestra, liderazgo en red.) </w:t>
            </w:r>
          </w:p>
        </w:tc>
      </w:tr>
      <w:tr w:rsidR="00561B22" w:rsidRPr="00360CCC" w14:paraId="7F95D49A" w14:textId="77777777" w:rsidTr="00F1223B">
        <w:tc>
          <w:tcPr>
            <w:tcW w:w="562" w:type="dxa"/>
          </w:tcPr>
          <w:p w14:paraId="75DCA7A0"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4</w:t>
            </w:r>
          </w:p>
        </w:tc>
        <w:tc>
          <w:tcPr>
            <w:tcW w:w="9400" w:type="dxa"/>
          </w:tcPr>
          <w:p w14:paraId="2D17A807"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Se recomienda actualizar el planteamiento de los riesgos y fortalecer las acciones asociadas a los controles de riesgos de corrupción, respecto al flujo de la información financiera que se lleva a través de los distintos sistemas que generan dicha información. </w:t>
            </w:r>
          </w:p>
        </w:tc>
      </w:tr>
      <w:tr w:rsidR="00561B22" w:rsidRPr="00360CCC" w14:paraId="1A976D82" w14:textId="77777777" w:rsidTr="00F1223B">
        <w:tc>
          <w:tcPr>
            <w:tcW w:w="562" w:type="dxa"/>
          </w:tcPr>
          <w:p w14:paraId="320A23C3"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5</w:t>
            </w:r>
          </w:p>
        </w:tc>
        <w:tc>
          <w:tcPr>
            <w:tcW w:w="9400" w:type="dxa"/>
          </w:tcPr>
          <w:p w14:paraId="4A0AC795"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 xml:space="preserve">Se recomienda verificar estrategias para aumentar la utilidad neta de la compañía, así como aumentar el valor del activo de la sociedad. </w:t>
            </w:r>
          </w:p>
        </w:tc>
      </w:tr>
      <w:tr w:rsidR="00561B22" w:rsidRPr="00360CCC" w14:paraId="0D70696D" w14:textId="77777777" w:rsidTr="00F1223B">
        <w:tc>
          <w:tcPr>
            <w:tcW w:w="562" w:type="dxa"/>
          </w:tcPr>
          <w:p w14:paraId="3E50C78E"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6</w:t>
            </w:r>
          </w:p>
        </w:tc>
        <w:tc>
          <w:tcPr>
            <w:tcW w:w="9400" w:type="dxa"/>
          </w:tcPr>
          <w:p w14:paraId="3C045652"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Realizar seguimiento al Plan de Mejoramiento Institucional.</w:t>
            </w:r>
          </w:p>
        </w:tc>
      </w:tr>
      <w:tr w:rsidR="00561B22" w:rsidRPr="00360CCC" w14:paraId="405880D5" w14:textId="77777777" w:rsidTr="00F1223B">
        <w:tc>
          <w:tcPr>
            <w:tcW w:w="562" w:type="dxa"/>
          </w:tcPr>
          <w:p w14:paraId="2C8921B6"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7</w:t>
            </w:r>
          </w:p>
        </w:tc>
        <w:tc>
          <w:tcPr>
            <w:tcW w:w="9400" w:type="dxa"/>
          </w:tcPr>
          <w:p w14:paraId="23DF15EA"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Es importante socializar los procedimientos a todo el personal del departamento financiero y dependencias involucradas a raíz de la llegada de nuevos negocios.</w:t>
            </w:r>
          </w:p>
        </w:tc>
      </w:tr>
      <w:tr w:rsidR="00561B22" w:rsidRPr="00360CCC" w14:paraId="50327108" w14:textId="77777777" w:rsidTr="00F1223B">
        <w:tc>
          <w:tcPr>
            <w:tcW w:w="562" w:type="dxa"/>
          </w:tcPr>
          <w:p w14:paraId="1E534884" w14:textId="77777777" w:rsidR="00561B22" w:rsidRPr="00360CCC" w:rsidRDefault="00561B22" w:rsidP="00F1223B">
            <w:pPr>
              <w:jc w:val="center"/>
              <w:rPr>
                <w:rFonts w:ascii="Arial" w:hAnsi="Arial" w:cs="Arial"/>
                <w:b/>
                <w:sz w:val="22"/>
                <w:szCs w:val="22"/>
                <w:lang w:val="es-MX"/>
              </w:rPr>
            </w:pPr>
            <w:r w:rsidRPr="00360CCC">
              <w:rPr>
                <w:rFonts w:ascii="Arial" w:hAnsi="Arial" w:cs="Arial"/>
                <w:b/>
                <w:sz w:val="22"/>
                <w:szCs w:val="22"/>
                <w:lang w:val="es-MX"/>
              </w:rPr>
              <w:t>8</w:t>
            </w:r>
          </w:p>
        </w:tc>
        <w:tc>
          <w:tcPr>
            <w:tcW w:w="9400" w:type="dxa"/>
          </w:tcPr>
          <w:p w14:paraId="7C11C152" w14:textId="77777777" w:rsidR="00561B22" w:rsidRPr="00360CCC" w:rsidRDefault="00561B22" w:rsidP="00F1223B">
            <w:pPr>
              <w:jc w:val="both"/>
              <w:rPr>
                <w:rFonts w:ascii="Arial" w:hAnsi="Arial" w:cs="Arial"/>
                <w:b/>
                <w:sz w:val="22"/>
                <w:szCs w:val="22"/>
                <w:lang w:val="es-MX"/>
              </w:rPr>
            </w:pPr>
            <w:r w:rsidRPr="00360CCC">
              <w:rPr>
                <w:rFonts w:ascii="Arial" w:eastAsia="Times New Roman" w:hAnsi="Arial" w:cs="Arial"/>
                <w:sz w:val="22"/>
                <w:szCs w:val="22"/>
              </w:rPr>
              <w:t>Se recomienda fortalecer los controles en los pagos realizados por la sociedad.</w:t>
            </w:r>
          </w:p>
        </w:tc>
      </w:tr>
    </w:tbl>
    <w:p w14:paraId="3A271EB1" w14:textId="77777777" w:rsidR="00561B22" w:rsidRPr="00360CCC" w:rsidRDefault="00561B22" w:rsidP="00561B22">
      <w:pPr>
        <w:pStyle w:val="Textoindependiente"/>
        <w:ind w:right="-50"/>
        <w:jc w:val="both"/>
        <w:rPr>
          <w:rFonts w:ascii="Arial" w:hAnsi="Arial" w:cs="Arial"/>
          <w:b/>
          <w:bCs/>
        </w:rPr>
      </w:pPr>
    </w:p>
    <w:p w14:paraId="09D13D87" w14:textId="77777777" w:rsidR="00561B22" w:rsidRPr="00360CCC" w:rsidRDefault="00561B22" w:rsidP="00561B22">
      <w:pPr>
        <w:jc w:val="both"/>
        <w:rPr>
          <w:rFonts w:ascii="Arial" w:hAnsi="Arial" w:cs="Arial"/>
          <w:b/>
          <w:bCs/>
          <w:sz w:val="24"/>
          <w:szCs w:val="24"/>
          <w:lang w:val="es-CO"/>
        </w:rPr>
      </w:pPr>
      <w:r w:rsidRPr="00360CCC">
        <w:rPr>
          <w:rFonts w:ascii="Arial" w:hAnsi="Arial" w:cs="Arial"/>
          <w:b/>
          <w:bCs/>
          <w:sz w:val="24"/>
          <w:szCs w:val="24"/>
          <w:lang w:val="es-CO"/>
        </w:rPr>
        <w:t xml:space="preserve">NOTA: LA ENTIDAD ENVIA LA MATRIZ DE AUTOEVALUACIÓN DEL SISTEMA DE CONTROL INTERNO CONTABLE CON ACTIVIDADES DE CONTROL REALIZADAS </w:t>
      </w:r>
      <w:r w:rsidRPr="00360CCC">
        <w:rPr>
          <w:rFonts w:ascii="Arial" w:hAnsi="Arial" w:cs="Arial"/>
          <w:b/>
          <w:bCs/>
          <w:sz w:val="24"/>
          <w:szCs w:val="24"/>
          <w:u w:val="single"/>
          <w:lang w:val="es-CO"/>
        </w:rPr>
        <w:t>EN FORMA PARCIAL Y OTRAS SIMPLEMENTE INFORMAN QUE NO SE REALIZARON</w:t>
      </w:r>
      <w:r w:rsidRPr="00360CCC">
        <w:rPr>
          <w:rFonts w:ascii="Arial" w:hAnsi="Arial" w:cs="Arial"/>
          <w:b/>
          <w:bCs/>
          <w:sz w:val="24"/>
          <w:szCs w:val="24"/>
          <w:lang w:val="es-CO"/>
        </w:rPr>
        <w:t>.</w:t>
      </w:r>
    </w:p>
    <w:p w14:paraId="3B3213A0" w14:textId="77777777" w:rsidR="00561B22" w:rsidRPr="00360CCC" w:rsidRDefault="00561B22" w:rsidP="00561B22">
      <w:pPr>
        <w:ind w:right="1900"/>
        <w:rPr>
          <w:rFonts w:ascii="Arial" w:hAnsi="Arial" w:cs="Arial"/>
          <w:b/>
          <w:color w:val="FF0000"/>
          <w:sz w:val="24"/>
          <w:lang w:val="es-CO"/>
        </w:rPr>
      </w:pPr>
    </w:p>
    <w:p w14:paraId="0B27A1B7" w14:textId="77777777" w:rsidR="00561B22" w:rsidRPr="006E15FA" w:rsidRDefault="00561B22" w:rsidP="00561B22">
      <w:pPr>
        <w:rPr>
          <w:rFonts w:ascii="Arial" w:hAnsi="Arial" w:cs="Arial"/>
          <w:b/>
          <w:sz w:val="28"/>
          <w:szCs w:val="28"/>
          <w:lang w:val="es-MX"/>
        </w:rPr>
      </w:pPr>
      <w:r w:rsidRPr="006E15FA">
        <w:rPr>
          <w:rFonts w:ascii="Arial" w:hAnsi="Arial" w:cs="Arial"/>
          <w:b/>
          <w:sz w:val="28"/>
          <w:szCs w:val="28"/>
        </w:rPr>
        <w:t>63.- AGENCIA DE RENOVACIÓN DE TERRITORIO - ART.</w:t>
      </w:r>
    </w:p>
    <w:p w14:paraId="0A73B2FD" w14:textId="77777777" w:rsidR="00561B22" w:rsidRDefault="00561B22" w:rsidP="00561B22">
      <w:pPr>
        <w:pStyle w:val="Ttulo1"/>
        <w:spacing w:before="0"/>
        <w:ind w:right="-50"/>
        <w:jc w:val="left"/>
        <w:rPr>
          <w:sz w:val="24"/>
          <w:szCs w:val="24"/>
          <w:lang w:val="es-CO"/>
        </w:rPr>
      </w:pPr>
    </w:p>
    <w:p w14:paraId="13A64EA8" w14:textId="77777777" w:rsidR="00561B22" w:rsidRPr="00EA5A0F" w:rsidRDefault="00561B22" w:rsidP="00561B22">
      <w:pPr>
        <w:jc w:val="center"/>
        <w:rPr>
          <w:rFonts w:ascii="Arial" w:hAnsi="Arial" w:cs="Arial"/>
          <w:b/>
          <w:lang w:val="es-MX"/>
        </w:rPr>
      </w:pPr>
      <w:r w:rsidRPr="00EA5A0F">
        <w:rPr>
          <w:rFonts w:ascii="Arial" w:hAnsi="Arial" w:cs="Arial"/>
          <w:b/>
          <w:lang w:val="es-MX"/>
        </w:rPr>
        <w:t>INFORME DE LA AUTOCALIFICACIÓN DEL SISTEMA DE CONTROL INTERNO CONTABLE:</w:t>
      </w:r>
    </w:p>
    <w:p w14:paraId="6E244617" w14:textId="77777777" w:rsidR="00561B22" w:rsidRPr="00EA5A0F"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EA5A0F" w14:paraId="7AA4C60E" w14:textId="77777777" w:rsidTr="00F1223B">
        <w:tc>
          <w:tcPr>
            <w:tcW w:w="4981" w:type="dxa"/>
          </w:tcPr>
          <w:p w14:paraId="00A1D001"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AUTOCALIFICACIÓN</w:t>
            </w:r>
          </w:p>
        </w:tc>
        <w:tc>
          <w:tcPr>
            <w:tcW w:w="4981" w:type="dxa"/>
          </w:tcPr>
          <w:p w14:paraId="5AB55C5A" w14:textId="77777777" w:rsidR="00561B22" w:rsidRPr="00EA5A0F" w:rsidRDefault="00561B22" w:rsidP="00F1223B">
            <w:pPr>
              <w:jc w:val="center"/>
              <w:rPr>
                <w:rFonts w:ascii="Arial" w:hAnsi="Arial" w:cs="Arial"/>
                <w:b/>
                <w:sz w:val="22"/>
                <w:szCs w:val="22"/>
                <w:u w:val="single"/>
                <w:lang w:val="es-MX"/>
              </w:rPr>
            </w:pPr>
            <w:r w:rsidRPr="00EA5A0F">
              <w:rPr>
                <w:rFonts w:ascii="Arial" w:hAnsi="Arial" w:cs="Arial"/>
                <w:b/>
                <w:sz w:val="22"/>
                <w:szCs w:val="22"/>
                <w:u w:val="single"/>
                <w:lang w:val="es-MX"/>
              </w:rPr>
              <w:t>4.93</w:t>
            </w:r>
          </w:p>
        </w:tc>
      </w:tr>
    </w:tbl>
    <w:p w14:paraId="1E4EF8D4" w14:textId="77777777" w:rsidR="00561B22" w:rsidRPr="00EA5A0F"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EA5A0F" w14:paraId="305E4A4D" w14:textId="77777777" w:rsidTr="00F1223B">
        <w:tc>
          <w:tcPr>
            <w:tcW w:w="562" w:type="dxa"/>
          </w:tcPr>
          <w:p w14:paraId="56ACACAA" w14:textId="77777777" w:rsidR="00561B22" w:rsidRPr="00EA5A0F" w:rsidRDefault="00561B22" w:rsidP="00F1223B">
            <w:pPr>
              <w:ind w:right="-109"/>
              <w:jc w:val="center"/>
              <w:rPr>
                <w:rFonts w:ascii="Arial" w:hAnsi="Arial" w:cs="Arial"/>
                <w:b/>
                <w:sz w:val="22"/>
                <w:szCs w:val="22"/>
                <w:lang w:val="es-MX"/>
              </w:rPr>
            </w:pPr>
            <w:r w:rsidRPr="00EA5A0F">
              <w:rPr>
                <w:rFonts w:ascii="Arial" w:hAnsi="Arial" w:cs="Arial"/>
                <w:b/>
                <w:sz w:val="22"/>
                <w:szCs w:val="22"/>
                <w:lang w:val="es-MX"/>
              </w:rPr>
              <w:t>N°</w:t>
            </w:r>
          </w:p>
        </w:tc>
        <w:tc>
          <w:tcPr>
            <w:tcW w:w="9400" w:type="dxa"/>
          </w:tcPr>
          <w:p w14:paraId="3968D2D2"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DEBILIDADES</w:t>
            </w:r>
          </w:p>
          <w:p w14:paraId="056C8CB2" w14:textId="77777777" w:rsidR="00561B22" w:rsidRPr="00EA5A0F" w:rsidRDefault="00561B22" w:rsidP="00F1223B">
            <w:pPr>
              <w:jc w:val="center"/>
              <w:rPr>
                <w:rFonts w:ascii="Arial" w:hAnsi="Arial" w:cs="Arial"/>
                <w:b/>
                <w:sz w:val="22"/>
                <w:szCs w:val="22"/>
                <w:lang w:val="es-MX"/>
              </w:rPr>
            </w:pPr>
          </w:p>
        </w:tc>
      </w:tr>
      <w:tr w:rsidR="00561B22" w:rsidRPr="00EA5A0F" w14:paraId="1803BEA1" w14:textId="77777777" w:rsidTr="00F1223B">
        <w:tc>
          <w:tcPr>
            <w:tcW w:w="562" w:type="dxa"/>
          </w:tcPr>
          <w:p w14:paraId="2C554A4F"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1</w:t>
            </w:r>
          </w:p>
        </w:tc>
        <w:tc>
          <w:tcPr>
            <w:tcW w:w="9400" w:type="dxa"/>
          </w:tcPr>
          <w:p w14:paraId="5F108679" w14:textId="77777777" w:rsidR="00561B22" w:rsidRPr="00EA5A0F" w:rsidRDefault="00561B22" w:rsidP="00F1223B">
            <w:pPr>
              <w:jc w:val="both"/>
              <w:rPr>
                <w:rFonts w:ascii="Arial" w:hAnsi="Arial" w:cs="Arial"/>
                <w:sz w:val="22"/>
                <w:szCs w:val="22"/>
                <w:lang w:val="es-MX"/>
              </w:rPr>
            </w:pPr>
            <w:r w:rsidRPr="00EA5A0F">
              <w:rPr>
                <w:rFonts w:ascii="Arial" w:hAnsi="Arial" w:cs="Arial"/>
                <w:sz w:val="22"/>
                <w:szCs w:val="22"/>
                <w:lang w:val="es-MX"/>
              </w:rPr>
              <w:t>Se observaron debilidades relacionadas con la presentación de EEFF en la rendición de cuentas de la entidad, así como el acompañamiento de las cifras de los EEFF con notas explicativas o indicadores, que se configuran como las oportunidades de mejora del proceso.</w:t>
            </w:r>
          </w:p>
        </w:tc>
      </w:tr>
    </w:tbl>
    <w:p w14:paraId="62B4E4D4" w14:textId="77777777" w:rsidR="00561B22" w:rsidRPr="00EA5A0F" w:rsidRDefault="00561B22" w:rsidP="00561B22">
      <w:pPr>
        <w:jc w:val="both"/>
        <w:rPr>
          <w:rFonts w:ascii="Arial" w:hAnsi="Arial" w:cs="Arial"/>
          <w:b/>
          <w:lang w:val="es-MX"/>
        </w:rPr>
      </w:pPr>
    </w:p>
    <w:p w14:paraId="50BB77A6" w14:textId="77777777" w:rsidR="00561B22" w:rsidRPr="00EA5A0F" w:rsidRDefault="00561B22" w:rsidP="00561B22">
      <w:pPr>
        <w:jc w:val="both"/>
        <w:rPr>
          <w:rFonts w:ascii="Arial" w:hAnsi="Arial" w:cs="Arial"/>
          <w:b/>
          <w:lang w:val="es-MX"/>
        </w:rPr>
      </w:pPr>
      <w:r w:rsidRPr="00EA5A0F">
        <w:rPr>
          <w:rFonts w:ascii="Arial" w:hAnsi="Arial" w:cs="Arial"/>
          <w:b/>
          <w:lang w:val="es-MX"/>
        </w:rPr>
        <w:t>Del citado informe retomamos las siguientes recomendaciones:</w:t>
      </w:r>
    </w:p>
    <w:p w14:paraId="42EA04F4" w14:textId="77777777" w:rsidR="00561B22" w:rsidRPr="00EA5A0F"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EA5A0F" w14:paraId="08A8D7C4" w14:textId="77777777" w:rsidTr="00F1223B">
        <w:tc>
          <w:tcPr>
            <w:tcW w:w="562" w:type="dxa"/>
          </w:tcPr>
          <w:p w14:paraId="26CCE2D4" w14:textId="77777777" w:rsidR="00561B22" w:rsidRPr="00EA5A0F" w:rsidRDefault="00561B22" w:rsidP="00F1223B">
            <w:pPr>
              <w:ind w:right="-109"/>
              <w:jc w:val="center"/>
              <w:rPr>
                <w:rFonts w:ascii="Arial" w:hAnsi="Arial" w:cs="Arial"/>
                <w:b/>
                <w:sz w:val="22"/>
                <w:szCs w:val="22"/>
                <w:lang w:val="es-MX"/>
              </w:rPr>
            </w:pPr>
            <w:r w:rsidRPr="00EA5A0F">
              <w:rPr>
                <w:rFonts w:ascii="Arial" w:hAnsi="Arial" w:cs="Arial"/>
                <w:b/>
                <w:sz w:val="22"/>
                <w:szCs w:val="22"/>
                <w:lang w:val="es-MX"/>
              </w:rPr>
              <w:t>N°</w:t>
            </w:r>
          </w:p>
        </w:tc>
        <w:tc>
          <w:tcPr>
            <w:tcW w:w="9400" w:type="dxa"/>
          </w:tcPr>
          <w:p w14:paraId="1D269EDB"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RECOMENDACIONES</w:t>
            </w:r>
          </w:p>
          <w:p w14:paraId="6DA9081B" w14:textId="77777777" w:rsidR="00561B22" w:rsidRPr="00EA5A0F" w:rsidRDefault="00561B22" w:rsidP="00F1223B">
            <w:pPr>
              <w:jc w:val="center"/>
              <w:rPr>
                <w:rFonts w:ascii="Arial" w:hAnsi="Arial" w:cs="Arial"/>
                <w:b/>
                <w:sz w:val="22"/>
                <w:szCs w:val="22"/>
                <w:lang w:val="es-MX"/>
              </w:rPr>
            </w:pPr>
          </w:p>
        </w:tc>
      </w:tr>
      <w:tr w:rsidR="00561B22" w:rsidRPr="00EA5A0F" w14:paraId="43C00EFF" w14:textId="77777777" w:rsidTr="00F1223B">
        <w:tc>
          <w:tcPr>
            <w:tcW w:w="562" w:type="dxa"/>
          </w:tcPr>
          <w:p w14:paraId="506A39AB"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1</w:t>
            </w:r>
          </w:p>
        </w:tc>
        <w:tc>
          <w:tcPr>
            <w:tcW w:w="9400" w:type="dxa"/>
          </w:tcPr>
          <w:p w14:paraId="16332932" w14:textId="77777777" w:rsidR="00561B22" w:rsidRPr="00EA5A0F" w:rsidRDefault="00561B22" w:rsidP="00F1223B">
            <w:pPr>
              <w:jc w:val="both"/>
              <w:rPr>
                <w:rFonts w:ascii="Arial" w:hAnsi="Arial" w:cs="Arial"/>
                <w:sz w:val="22"/>
                <w:szCs w:val="22"/>
                <w:lang w:val="es-MX"/>
              </w:rPr>
            </w:pPr>
            <w:r w:rsidRPr="00EA5A0F">
              <w:rPr>
                <w:rFonts w:ascii="Arial" w:hAnsi="Arial" w:cs="Arial"/>
                <w:sz w:val="22"/>
                <w:szCs w:val="22"/>
                <w:lang w:val="es-MX"/>
              </w:rPr>
              <w:t xml:space="preserve">Continuar aplicando el autocontrol que permita a la Entidad mejoras constantes en el proceso contable. </w:t>
            </w:r>
          </w:p>
        </w:tc>
      </w:tr>
      <w:tr w:rsidR="00561B22" w:rsidRPr="00EA5A0F" w14:paraId="4361D81F" w14:textId="77777777" w:rsidTr="00F1223B">
        <w:tc>
          <w:tcPr>
            <w:tcW w:w="562" w:type="dxa"/>
          </w:tcPr>
          <w:p w14:paraId="3A0C3071"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2</w:t>
            </w:r>
          </w:p>
        </w:tc>
        <w:tc>
          <w:tcPr>
            <w:tcW w:w="9400" w:type="dxa"/>
          </w:tcPr>
          <w:p w14:paraId="00AB36CC" w14:textId="77777777" w:rsidR="00561B22" w:rsidRPr="00EA5A0F" w:rsidRDefault="00561B22" w:rsidP="00F1223B">
            <w:pPr>
              <w:jc w:val="both"/>
              <w:rPr>
                <w:rFonts w:ascii="Arial" w:hAnsi="Arial" w:cs="Arial"/>
                <w:sz w:val="22"/>
                <w:szCs w:val="22"/>
                <w:lang w:val="es-MX"/>
              </w:rPr>
            </w:pPr>
            <w:r w:rsidRPr="00EA5A0F">
              <w:rPr>
                <w:rFonts w:ascii="Arial" w:hAnsi="Arial" w:cs="Arial"/>
                <w:sz w:val="22"/>
                <w:szCs w:val="22"/>
                <w:lang w:val="es-MX"/>
              </w:rPr>
              <w:t xml:space="preserve">Continuar fortaleciendo la retroalimentación entre las diferentes dependencias generadoras de hechos económicos que participan en el proceso contable y que por ende puedan impactar en los Estados Financieros.  </w:t>
            </w:r>
          </w:p>
        </w:tc>
      </w:tr>
      <w:tr w:rsidR="00561B22" w:rsidRPr="00EA5A0F" w14:paraId="46A1BAB8" w14:textId="77777777" w:rsidTr="00F1223B">
        <w:tc>
          <w:tcPr>
            <w:tcW w:w="562" w:type="dxa"/>
          </w:tcPr>
          <w:p w14:paraId="1BACF6F4" w14:textId="77777777" w:rsidR="00561B22" w:rsidRPr="00EA5A0F" w:rsidRDefault="00561B22" w:rsidP="00F1223B">
            <w:pPr>
              <w:jc w:val="center"/>
              <w:rPr>
                <w:rFonts w:ascii="Arial" w:hAnsi="Arial" w:cs="Arial"/>
                <w:b/>
                <w:sz w:val="22"/>
                <w:szCs w:val="22"/>
                <w:lang w:val="es-MX"/>
              </w:rPr>
            </w:pPr>
            <w:r w:rsidRPr="00EA5A0F">
              <w:rPr>
                <w:rFonts w:ascii="Arial" w:hAnsi="Arial" w:cs="Arial"/>
                <w:b/>
                <w:sz w:val="22"/>
                <w:szCs w:val="22"/>
                <w:lang w:val="es-MX"/>
              </w:rPr>
              <w:t>3</w:t>
            </w:r>
          </w:p>
        </w:tc>
        <w:tc>
          <w:tcPr>
            <w:tcW w:w="9400" w:type="dxa"/>
          </w:tcPr>
          <w:p w14:paraId="558ABDD7" w14:textId="77777777" w:rsidR="00561B22" w:rsidRPr="00EA5A0F" w:rsidRDefault="00561B22" w:rsidP="00F1223B">
            <w:pPr>
              <w:jc w:val="both"/>
              <w:rPr>
                <w:rFonts w:ascii="Arial" w:hAnsi="Arial" w:cs="Arial"/>
                <w:sz w:val="22"/>
                <w:szCs w:val="22"/>
                <w:lang w:val="es-MX"/>
              </w:rPr>
            </w:pPr>
            <w:r w:rsidRPr="00EA5A0F">
              <w:rPr>
                <w:rFonts w:ascii="Arial" w:hAnsi="Arial" w:cs="Arial"/>
                <w:sz w:val="22"/>
                <w:szCs w:val="22"/>
                <w:lang w:val="es-MX"/>
              </w:rPr>
              <w:t xml:space="preserve">Se recomienda presentar las cifras de los EEFF en la rendición de cuentas de la Entidad, así como acompañar de notas explicativas los EEFF de manera que faciliten la comprensión de la información a la ciudadanía en general.  </w:t>
            </w:r>
          </w:p>
        </w:tc>
      </w:tr>
    </w:tbl>
    <w:p w14:paraId="458507F9" w14:textId="77777777" w:rsidR="00561B22" w:rsidRDefault="00561B22" w:rsidP="00561B22">
      <w:pPr>
        <w:jc w:val="both"/>
        <w:rPr>
          <w:rFonts w:ascii="Arial" w:hAnsi="Arial" w:cs="Arial"/>
          <w:b/>
          <w:sz w:val="28"/>
          <w:szCs w:val="28"/>
          <w:lang w:val="es-MX"/>
        </w:rPr>
      </w:pPr>
    </w:p>
    <w:p w14:paraId="1B8FC136" w14:textId="77777777" w:rsidR="00561B22" w:rsidRPr="00D56470" w:rsidRDefault="00561B22" w:rsidP="00561B22">
      <w:pPr>
        <w:jc w:val="both"/>
        <w:rPr>
          <w:rFonts w:ascii="Arial" w:hAnsi="Arial" w:cs="Arial"/>
          <w:b/>
          <w:sz w:val="24"/>
          <w:szCs w:val="24"/>
          <w:u w:val="single"/>
          <w:lang w:val="es-MX"/>
        </w:rPr>
      </w:pPr>
      <w:r w:rsidRPr="00D56470">
        <w:rPr>
          <w:rFonts w:ascii="Arial" w:hAnsi="Arial" w:cs="Arial"/>
          <w:b/>
          <w:sz w:val="24"/>
          <w:szCs w:val="24"/>
          <w:lang w:val="es-MX"/>
        </w:rPr>
        <w:t xml:space="preserve">NOTA: LA ENTIDAD ENVÍA LA MATRIZ DE AUTOEVALUACIÓN DEL SISTEMA DE CONTROL INTERNO CONTABLE CON </w:t>
      </w:r>
      <w:r w:rsidRPr="00D56470">
        <w:rPr>
          <w:rFonts w:ascii="Arial" w:hAnsi="Arial" w:cs="Arial"/>
          <w:b/>
          <w:sz w:val="24"/>
          <w:szCs w:val="24"/>
          <w:u w:val="single"/>
          <w:lang w:val="es-MX"/>
        </w:rPr>
        <w:t>ACTIVIDADES DE CONTROL REALIZADAS EN FORMA PARCIAL.</w:t>
      </w:r>
    </w:p>
    <w:p w14:paraId="74F401B7" w14:textId="77777777" w:rsidR="00561B22" w:rsidRPr="00360CCC" w:rsidRDefault="00561B22" w:rsidP="00561B22">
      <w:pPr>
        <w:pStyle w:val="Ttulo1"/>
        <w:spacing w:before="0"/>
        <w:ind w:right="-50"/>
        <w:jc w:val="left"/>
        <w:rPr>
          <w:sz w:val="24"/>
          <w:szCs w:val="24"/>
          <w:lang w:val="es-CO"/>
        </w:rPr>
      </w:pPr>
    </w:p>
    <w:p w14:paraId="4FF2C629" w14:textId="77777777" w:rsidR="00561B22" w:rsidRPr="00B05BB9" w:rsidRDefault="00561B22" w:rsidP="00561B22">
      <w:pPr>
        <w:ind w:right="49"/>
        <w:jc w:val="both"/>
        <w:rPr>
          <w:rFonts w:ascii="Arial" w:hAnsi="Arial" w:cs="Arial"/>
          <w:b/>
          <w:sz w:val="28"/>
          <w:szCs w:val="28"/>
        </w:rPr>
      </w:pPr>
      <w:r w:rsidRPr="00B05BB9">
        <w:rPr>
          <w:rFonts w:ascii="Arial" w:hAnsi="Arial" w:cs="Arial"/>
          <w:b/>
          <w:sz w:val="28"/>
          <w:szCs w:val="28"/>
          <w:lang w:val="es-MX"/>
        </w:rPr>
        <w:t xml:space="preserve">64.- </w:t>
      </w:r>
      <w:r w:rsidRPr="00B05BB9">
        <w:rPr>
          <w:rFonts w:ascii="Arial" w:hAnsi="Arial" w:cs="Arial"/>
          <w:b/>
          <w:sz w:val="28"/>
          <w:szCs w:val="28"/>
        </w:rPr>
        <w:t>AGENCIA PRESIDENCIAL DE COOPERACIÓN INTERNACIONAL DE COLOMBIA APC - COLOMBIA.</w:t>
      </w:r>
    </w:p>
    <w:p w14:paraId="2FA8F653" w14:textId="77777777" w:rsidR="00561B22" w:rsidRDefault="00561B22" w:rsidP="00561B22">
      <w:pPr>
        <w:pStyle w:val="Ttulo1"/>
        <w:spacing w:before="93"/>
        <w:ind w:right="-50"/>
        <w:jc w:val="left"/>
        <w:rPr>
          <w:sz w:val="24"/>
          <w:szCs w:val="24"/>
          <w:lang w:val="es-CO"/>
        </w:rPr>
      </w:pPr>
    </w:p>
    <w:p w14:paraId="7FFEA969" w14:textId="77777777" w:rsidR="00561B22" w:rsidRPr="00B05BB9" w:rsidRDefault="00561B22" w:rsidP="00561B22">
      <w:pPr>
        <w:pStyle w:val="Textoindependiente"/>
        <w:ind w:right="-50"/>
        <w:jc w:val="center"/>
        <w:rPr>
          <w:rFonts w:ascii="Arial" w:hAnsi="Arial" w:cs="Arial"/>
          <w:b/>
          <w:bCs/>
        </w:rPr>
      </w:pPr>
      <w:r w:rsidRPr="00B05BB9">
        <w:rPr>
          <w:rFonts w:ascii="Arial" w:hAnsi="Arial" w:cs="Arial"/>
          <w:b/>
          <w:bCs/>
        </w:rPr>
        <w:lastRenderedPageBreak/>
        <w:t>INFORME DE LA AUTOCALIFICACIÓN DEL SISTEMA DE CONTROL INTERNO CONTABLE:</w:t>
      </w:r>
    </w:p>
    <w:p w14:paraId="67B62A7C" w14:textId="77777777" w:rsidR="00561B22" w:rsidRPr="00B05BB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05BB9" w14:paraId="4FC90CF7" w14:textId="77777777" w:rsidTr="00F1223B">
        <w:tc>
          <w:tcPr>
            <w:tcW w:w="4981" w:type="dxa"/>
          </w:tcPr>
          <w:p w14:paraId="5288D54D" w14:textId="77777777" w:rsidR="00561B22" w:rsidRPr="00B05BB9" w:rsidRDefault="00561B22" w:rsidP="00F1223B">
            <w:pPr>
              <w:jc w:val="center"/>
              <w:rPr>
                <w:rFonts w:ascii="Arial" w:hAnsi="Arial" w:cs="Arial"/>
                <w:b/>
                <w:sz w:val="22"/>
                <w:szCs w:val="22"/>
                <w:lang w:val="es-MX"/>
              </w:rPr>
            </w:pPr>
            <w:r w:rsidRPr="00B05BB9">
              <w:rPr>
                <w:rFonts w:ascii="Arial" w:hAnsi="Arial" w:cs="Arial"/>
                <w:b/>
                <w:sz w:val="22"/>
                <w:szCs w:val="22"/>
                <w:lang w:val="es-MX"/>
              </w:rPr>
              <w:t>AUTOCALIFICACIÓN</w:t>
            </w:r>
          </w:p>
        </w:tc>
        <w:tc>
          <w:tcPr>
            <w:tcW w:w="4981" w:type="dxa"/>
          </w:tcPr>
          <w:p w14:paraId="666BC748" w14:textId="77777777" w:rsidR="00561B22" w:rsidRPr="00B05BB9" w:rsidRDefault="00561B22" w:rsidP="00F1223B">
            <w:pPr>
              <w:jc w:val="center"/>
              <w:rPr>
                <w:rFonts w:ascii="Arial" w:hAnsi="Arial" w:cs="Arial"/>
                <w:b/>
                <w:sz w:val="22"/>
                <w:szCs w:val="22"/>
                <w:u w:val="single"/>
                <w:lang w:val="es-MX"/>
              </w:rPr>
            </w:pPr>
            <w:r w:rsidRPr="00B05BB9">
              <w:rPr>
                <w:rFonts w:ascii="Arial" w:hAnsi="Arial" w:cs="Arial"/>
                <w:b/>
                <w:sz w:val="22"/>
                <w:szCs w:val="22"/>
                <w:u w:val="single"/>
                <w:lang w:val="es-MX"/>
              </w:rPr>
              <w:t>4.86</w:t>
            </w:r>
          </w:p>
        </w:tc>
      </w:tr>
    </w:tbl>
    <w:p w14:paraId="6F034A93" w14:textId="77777777" w:rsidR="00561B22" w:rsidRPr="00B05BB9" w:rsidRDefault="00561B22" w:rsidP="00561B22">
      <w:pPr>
        <w:pStyle w:val="Textoindependiente"/>
        <w:ind w:right="-50"/>
        <w:jc w:val="both"/>
        <w:rPr>
          <w:rFonts w:ascii="Arial" w:hAnsi="Arial" w:cs="Arial"/>
          <w:b/>
          <w:bCs/>
        </w:rPr>
      </w:pPr>
    </w:p>
    <w:p w14:paraId="6C50EA5A" w14:textId="77777777" w:rsidR="00561B22" w:rsidRPr="00B05BB9" w:rsidRDefault="00561B22" w:rsidP="00561B22">
      <w:pPr>
        <w:pStyle w:val="Textoindependiente"/>
        <w:ind w:right="-50"/>
        <w:jc w:val="both"/>
        <w:rPr>
          <w:rFonts w:ascii="Arial" w:hAnsi="Arial" w:cs="Arial"/>
          <w:b/>
          <w:bCs/>
        </w:rPr>
      </w:pPr>
      <w:r w:rsidRPr="00B05BB9">
        <w:rPr>
          <w:rFonts w:ascii="Arial" w:hAnsi="Arial" w:cs="Arial"/>
          <w:b/>
          <w:bCs/>
        </w:rPr>
        <w:t>Del informe enviado retomamos lo siguiente:</w:t>
      </w:r>
    </w:p>
    <w:p w14:paraId="773B6FC2" w14:textId="77777777" w:rsidR="00561B22" w:rsidRPr="00B05BB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05BB9" w14:paraId="7E5E3C06" w14:textId="77777777" w:rsidTr="00F1223B">
        <w:tc>
          <w:tcPr>
            <w:tcW w:w="562" w:type="dxa"/>
          </w:tcPr>
          <w:p w14:paraId="3E3B696D" w14:textId="77777777" w:rsidR="00561B22" w:rsidRPr="00B05BB9" w:rsidRDefault="00561B22" w:rsidP="00F1223B">
            <w:pPr>
              <w:ind w:right="-109"/>
              <w:jc w:val="center"/>
              <w:rPr>
                <w:rFonts w:ascii="Arial" w:hAnsi="Arial" w:cs="Arial"/>
                <w:b/>
                <w:sz w:val="22"/>
                <w:szCs w:val="22"/>
                <w:lang w:val="es-MX"/>
              </w:rPr>
            </w:pPr>
            <w:r w:rsidRPr="00B05BB9">
              <w:rPr>
                <w:rFonts w:ascii="Arial" w:hAnsi="Arial" w:cs="Arial"/>
                <w:b/>
                <w:sz w:val="22"/>
                <w:szCs w:val="22"/>
                <w:lang w:val="es-MX"/>
              </w:rPr>
              <w:t>N°</w:t>
            </w:r>
          </w:p>
        </w:tc>
        <w:tc>
          <w:tcPr>
            <w:tcW w:w="9400" w:type="dxa"/>
          </w:tcPr>
          <w:p w14:paraId="08484F7F" w14:textId="77777777" w:rsidR="00561B22" w:rsidRPr="00B05BB9" w:rsidRDefault="00561B22" w:rsidP="00F1223B">
            <w:pPr>
              <w:jc w:val="center"/>
              <w:rPr>
                <w:rFonts w:ascii="Arial" w:hAnsi="Arial" w:cs="Arial"/>
                <w:b/>
                <w:sz w:val="22"/>
                <w:szCs w:val="22"/>
                <w:lang w:val="es-MX"/>
              </w:rPr>
            </w:pPr>
            <w:r w:rsidRPr="00B05BB9">
              <w:rPr>
                <w:rFonts w:ascii="Arial" w:hAnsi="Arial" w:cs="Arial"/>
                <w:b/>
                <w:sz w:val="22"/>
                <w:szCs w:val="22"/>
                <w:lang w:val="es-MX"/>
              </w:rPr>
              <w:t>DEBILIDADES</w:t>
            </w:r>
          </w:p>
          <w:p w14:paraId="591E66E5" w14:textId="77777777" w:rsidR="00561B22" w:rsidRPr="00B05BB9" w:rsidRDefault="00561B22" w:rsidP="00F1223B">
            <w:pPr>
              <w:jc w:val="center"/>
              <w:rPr>
                <w:rFonts w:ascii="Arial" w:hAnsi="Arial" w:cs="Arial"/>
                <w:b/>
                <w:sz w:val="22"/>
                <w:szCs w:val="22"/>
                <w:lang w:val="es-MX"/>
              </w:rPr>
            </w:pPr>
          </w:p>
        </w:tc>
      </w:tr>
      <w:tr w:rsidR="00561B22" w:rsidRPr="00B05BB9" w14:paraId="501CE09C" w14:textId="77777777" w:rsidTr="00F1223B">
        <w:tc>
          <w:tcPr>
            <w:tcW w:w="562" w:type="dxa"/>
          </w:tcPr>
          <w:p w14:paraId="0031B469" w14:textId="77777777" w:rsidR="00561B22" w:rsidRPr="00B05BB9" w:rsidRDefault="00561B22" w:rsidP="00F1223B">
            <w:pPr>
              <w:jc w:val="center"/>
              <w:rPr>
                <w:rFonts w:ascii="Arial" w:hAnsi="Arial" w:cs="Arial"/>
                <w:b/>
                <w:sz w:val="22"/>
                <w:szCs w:val="22"/>
                <w:lang w:val="es-MX"/>
              </w:rPr>
            </w:pPr>
            <w:r w:rsidRPr="00B05BB9">
              <w:rPr>
                <w:rFonts w:ascii="Arial" w:hAnsi="Arial" w:cs="Arial"/>
                <w:b/>
                <w:sz w:val="22"/>
                <w:szCs w:val="22"/>
                <w:lang w:val="es-MX"/>
              </w:rPr>
              <w:t>1</w:t>
            </w:r>
          </w:p>
        </w:tc>
        <w:tc>
          <w:tcPr>
            <w:tcW w:w="9400" w:type="dxa"/>
          </w:tcPr>
          <w:p w14:paraId="0DE2C7EF" w14:textId="77777777" w:rsidR="00561B22" w:rsidRPr="00B05BB9" w:rsidRDefault="00561B22" w:rsidP="00F1223B">
            <w:pPr>
              <w:rPr>
                <w:rFonts w:ascii="Arial" w:hAnsi="Arial" w:cs="Arial"/>
                <w:b/>
                <w:sz w:val="22"/>
                <w:szCs w:val="22"/>
                <w:lang w:val="es-MX"/>
              </w:rPr>
            </w:pPr>
            <w:r w:rsidRPr="00B05BB9">
              <w:rPr>
                <w:rFonts w:ascii="Arial" w:hAnsi="Arial" w:cs="Arial"/>
                <w:b/>
                <w:sz w:val="22"/>
                <w:szCs w:val="22"/>
                <w:lang w:val="es-MX"/>
              </w:rPr>
              <w:t>Se requiere capacitación permanente.</w:t>
            </w:r>
          </w:p>
        </w:tc>
      </w:tr>
    </w:tbl>
    <w:p w14:paraId="7EE19F22" w14:textId="77777777" w:rsidR="00561B22" w:rsidRPr="00B05BB9" w:rsidRDefault="00561B22" w:rsidP="00561B22">
      <w:pPr>
        <w:jc w:val="both"/>
        <w:rPr>
          <w:rFonts w:ascii="Arial" w:hAnsi="Arial" w:cs="Arial"/>
          <w:b/>
          <w:lang w:val="es-MX"/>
        </w:rPr>
      </w:pPr>
      <w:r w:rsidRPr="00B05BB9">
        <w:rPr>
          <w:rFonts w:ascii="Arial" w:hAnsi="Arial" w:cs="Arial"/>
          <w:b/>
          <w:lang w:val="es-MX"/>
        </w:rPr>
        <w:t>Del citado informe retomamos las siguientes recomendaciones:</w:t>
      </w:r>
    </w:p>
    <w:p w14:paraId="30A2E54C" w14:textId="77777777" w:rsidR="00561B22" w:rsidRPr="00B05BB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05BB9" w14:paraId="45595DCD" w14:textId="77777777" w:rsidTr="00F1223B">
        <w:tc>
          <w:tcPr>
            <w:tcW w:w="562" w:type="dxa"/>
          </w:tcPr>
          <w:p w14:paraId="74435784" w14:textId="77777777" w:rsidR="00561B22" w:rsidRPr="00B05BB9" w:rsidRDefault="00561B22" w:rsidP="00F1223B">
            <w:pPr>
              <w:ind w:right="-109"/>
              <w:jc w:val="center"/>
              <w:rPr>
                <w:rFonts w:ascii="Arial" w:hAnsi="Arial" w:cs="Arial"/>
                <w:b/>
                <w:sz w:val="22"/>
                <w:szCs w:val="22"/>
                <w:lang w:val="es-MX"/>
              </w:rPr>
            </w:pPr>
            <w:r w:rsidRPr="00B05BB9">
              <w:rPr>
                <w:rFonts w:ascii="Arial" w:hAnsi="Arial" w:cs="Arial"/>
                <w:b/>
                <w:sz w:val="22"/>
                <w:szCs w:val="22"/>
                <w:lang w:val="es-MX"/>
              </w:rPr>
              <w:t>N°</w:t>
            </w:r>
          </w:p>
        </w:tc>
        <w:tc>
          <w:tcPr>
            <w:tcW w:w="9400" w:type="dxa"/>
          </w:tcPr>
          <w:p w14:paraId="56816B06" w14:textId="77777777" w:rsidR="00561B22" w:rsidRPr="00B05BB9" w:rsidRDefault="00561B22" w:rsidP="00F1223B">
            <w:pPr>
              <w:jc w:val="center"/>
              <w:rPr>
                <w:rFonts w:ascii="Arial" w:hAnsi="Arial" w:cs="Arial"/>
                <w:b/>
                <w:sz w:val="22"/>
                <w:szCs w:val="22"/>
                <w:lang w:val="es-MX"/>
              </w:rPr>
            </w:pPr>
            <w:r w:rsidRPr="00B05BB9">
              <w:rPr>
                <w:rFonts w:ascii="Arial" w:hAnsi="Arial" w:cs="Arial"/>
                <w:b/>
                <w:sz w:val="22"/>
                <w:szCs w:val="22"/>
                <w:lang w:val="es-MX"/>
              </w:rPr>
              <w:t>RECOMENDACIONES</w:t>
            </w:r>
          </w:p>
          <w:p w14:paraId="3DF399A0" w14:textId="77777777" w:rsidR="00561B22" w:rsidRPr="00B05BB9" w:rsidRDefault="00561B22" w:rsidP="00F1223B">
            <w:pPr>
              <w:jc w:val="center"/>
              <w:rPr>
                <w:rFonts w:ascii="Arial" w:hAnsi="Arial" w:cs="Arial"/>
                <w:b/>
                <w:sz w:val="22"/>
                <w:szCs w:val="22"/>
                <w:lang w:val="es-MX"/>
              </w:rPr>
            </w:pPr>
          </w:p>
        </w:tc>
      </w:tr>
      <w:tr w:rsidR="00561B22" w:rsidRPr="00B05BB9" w14:paraId="37179237" w14:textId="77777777" w:rsidTr="00F1223B">
        <w:tc>
          <w:tcPr>
            <w:tcW w:w="562" w:type="dxa"/>
          </w:tcPr>
          <w:p w14:paraId="107050AD" w14:textId="77777777" w:rsidR="00561B22" w:rsidRPr="00B05BB9" w:rsidRDefault="00561B22" w:rsidP="00F1223B">
            <w:pPr>
              <w:jc w:val="center"/>
              <w:rPr>
                <w:rFonts w:ascii="Arial" w:hAnsi="Arial" w:cs="Arial"/>
                <w:b/>
                <w:sz w:val="22"/>
                <w:szCs w:val="22"/>
                <w:lang w:val="es-MX"/>
              </w:rPr>
            </w:pPr>
            <w:r w:rsidRPr="00B05BB9">
              <w:rPr>
                <w:rFonts w:ascii="Arial" w:hAnsi="Arial" w:cs="Arial"/>
                <w:b/>
                <w:sz w:val="22"/>
                <w:szCs w:val="22"/>
                <w:lang w:val="es-MX"/>
              </w:rPr>
              <w:t>1</w:t>
            </w:r>
          </w:p>
        </w:tc>
        <w:tc>
          <w:tcPr>
            <w:tcW w:w="9400" w:type="dxa"/>
          </w:tcPr>
          <w:p w14:paraId="3FD3B019" w14:textId="77777777" w:rsidR="00561B22" w:rsidRPr="00B05BB9" w:rsidRDefault="00561B22" w:rsidP="00F1223B">
            <w:pPr>
              <w:rPr>
                <w:rFonts w:ascii="Arial" w:hAnsi="Arial" w:cs="Arial"/>
                <w:b/>
                <w:sz w:val="22"/>
                <w:szCs w:val="22"/>
                <w:lang w:val="es-MX"/>
              </w:rPr>
            </w:pPr>
            <w:r w:rsidRPr="00B05BB9">
              <w:rPr>
                <w:rFonts w:ascii="Arial" w:hAnsi="Arial" w:cs="Arial"/>
                <w:b/>
                <w:sz w:val="22"/>
                <w:szCs w:val="22"/>
                <w:lang w:val="es-MX"/>
              </w:rPr>
              <w:t>Revisar y aplicar permanentemente las políticas contables.</w:t>
            </w:r>
          </w:p>
        </w:tc>
      </w:tr>
    </w:tbl>
    <w:p w14:paraId="1E51075F" w14:textId="77777777" w:rsidR="00561B22" w:rsidRPr="00B05BB9" w:rsidRDefault="00561B22" w:rsidP="00561B22">
      <w:pPr>
        <w:pStyle w:val="Textoindependiente"/>
        <w:ind w:right="-50"/>
        <w:jc w:val="both"/>
        <w:rPr>
          <w:rFonts w:ascii="Arial" w:hAnsi="Arial" w:cs="Arial"/>
          <w:b/>
          <w:bCs/>
        </w:rPr>
      </w:pPr>
    </w:p>
    <w:p w14:paraId="2594949D" w14:textId="77777777" w:rsidR="00561B22" w:rsidRPr="00B05BB9" w:rsidRDefault="00561B22" w:rsidP="00561B22">
      <w:pPr>
        <w:jc w:val="both"/>
        <w:rPr>
          <w:rFonts w:ascii="Arial" w:hAnsi="Arial" w:cs="Arial"/>
          <w:b/>
          <w:bCs/>
          <w:sz w:val="24"/>
          <w:szCs w:val="24"/>
          <w:lang w:val="es-CO"/>
        </w:rPr>
      </w:pPr>
      <w:r w:rsidRPr="00B05BB9">
        <w:rPr>
          <w:rFonts w:ascii="Arial" w:hAnsi="Arial" w:cs="Arial"/>
          <w:b/>
          <w:bCs/>
          <w:sz w:val="24"/>
          <w:szCs w:val="24"/>
          <w:lang w:val="es-CO"/>
        </w:rPr>
        <w:t xml:space="preserve">NOTA: LA ENTIDAD ENVIA LA MATRIZ DE AUTOEVALUACIÓN DEL SISTEMA DE CONTROL INTERNO CONTABLE CON </w:t>
      </w:r>
      <w:r w:rsidRPr="00B05BB9">
        <w:rPr>
          <w:rFonts w:ascii="Arial" w:hAnsi="Arial" w:cs="Arial"/>
          <w:b/>
          <w:bCs/>
          <w:sz w:val="24"/>
          <w:szCs w:val="24"/>
          <w:u w:val="single"/>
          <w:lang w:val="es-CO"/>
        </w:rPr>
        <w:t>ACTIVIDADES DE CONTROL REALIZADAS EN FORMA PARCIAL</w:t>
      </w:r>
      <w:r w:rsidRPr="00B05BB9">
        <w:rPr>
          <w:rFonts w:ascii="Arial" w:hAnsi="Arial" w:cs="Arial"/>
          <w:b/>
          <w:bCs/>
          <w:sz w:val="24"/>
          <w:szCs w:val="24"/>
          <w:lang w:val="es-CO"/>
        </w:rPr>
        <w:t>.</w:t>
      </w:r>
    </w:p>
    <w:p w14:paraId="5016215A" w14:textId="77777777" w:rsidR="00561B22" w:rsidRPr="00B05BB9" w:rsidRDefault="00561B22" w:rsidP="00561B22">
      <w:pPr>
        <w:pStyle w:val="Textoindependiente"/>
        <w:ind w:right="-50"/>
        <w:jc w:val="both"/>
        <w:rPr>
          <w:rFonts w:ascii="Arial" w:hAnsi="Arial" w:cs="Arial"/>
          <w:b/>
          <w:bCs/>
          <w:sz w:val="28"/>
          <w:szCs w:val="28"/>
        </w:rPr>
      </w:pPr>
    </w:p>
    <w:p w14:paraId="7C0A5D1F" w14:textId="77777777" w:rsidR="00561B22" w:rsidRDefault="00561B22" w:rsidP="00561B22">
      <w:pPr>
        <w:jc w:val="both"/>
        <w:rPr>
          <w:rFonts w:ascii="Arial" w:hAnsi="Arial" w:cs="Arial"/>
          <w:b/>
          <w:sz w:val="28"/>
          <w:szCs w:val="28"/>
          <w:lang w:val="es-MX"/>
        </w:rPr>
      </w:pPr>
      <w:r w:rsidRPr="00153C58">
        <w:rPr>
          <w:rFonts w:ascii="Arial" w:hAnsi="Arial" w:cs="Arial"/>
          <w:b/>
          <w:sz w:val="28"/>
          <w:szCs w:val="28"/>
          <w:lang w:val="es-MX"/>
        </w:rPr>
        <w:t>65.- RAMA JUDICIAL - CONSEJO SUPERIOR DE LA JUDICATURA.</w:t>
      </w:r>
    </w:p>
    <w:p w14:paraId="34A36FE4" w14:textId="77777777" w:rsidR="00561B22" w:rsidRDefault="00561B22" w:rsidP="00561B22">
      <w:pPr>
        <w:jc w:val="both"/>
        <w:rPr>
          <w:rFonts w:ascii="Arial" w:hAnsi="Arial" w:cs="Arial"/>
          <w:b/>
          <w:sz w:val="28"/>
          <w:szCs w:val="28"/>
          <w:lang w:val="es-MX"/>
        </w:rPr>
      </w:pPr>
    </w:p>
    <w:p w14:paraId="7D083A97" w14:textId="77777777" w:rsidR="00561B22" w:rsidRPr="00153C58" w:rsidRDefault="00561B22" w:rsidP="00561B22">
      <w:pPr>
        <w:pStyle w:val="Textoindependiente"/>
        <w:ind w:right="-50"/>
        <w:jc w:val="center"/>
        <w:rPr>
          <w:rFonts w:ascii="Arial" w:hAnsi="Arial" w:cs="Arial"/>
          <w:b/>
          <w:bCs/>
        </w:rPr>
      </w:pPr>
      <w:r w:rsidRPr="00153C58">
        <w:rPr>
          <w:rFonts w:ascii="Arial" w:hAnsi="Arial" w:cs="Arial"/>
          <w:b/>
          <w:bCs/>
        </w:rPr>
        <w:t>INFORME DE LA AUTOCALIFICACIÓN DEL SISTEMA DE CONTROL INTERNO CONTABLE:</w:t>
      </w:r>
    </w:p>
    <w:p w14:paraId="3FBCBEF9" w14:textId="77777777" w:rsidR="00561B22" w:rsidRPr="00153C5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53C58" w14:paraId="331016EA" w14:textId="77777777" w:rsidTr="00F1223B">
        <w:tc>
          <w:tcPr>
            <w:tcW w:w="4981" w:type="dxa"/>
          </w:tcPr>
          <w:p w14:paraId="46F723B5"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AUTOCALIFICACIÓN</w:t>
            </w:r>
          </w:p>
        </w:tc>
        <w:tc>
          <w:tcPr>
            <w:tcW w:w="4981" w:type="dxa"/>
          </w:tcPr>
          <w:p w14:paraId="1221BB03" w14:textId="77777777" w:rsidR="00561B22" w:rsidRPr="00153C58" w:rsidRDefault="00561B22" w:rsidP="00F1223B">
            <w:pPr>
              <w:jc w:val="center"/>
              <w:rPr>
                <w:rFonts w:ascii="Arial" w:hAnsi="Arial" w:cs="Arial"/>
                <w:b/>
                <w:sz w:val="22"/>
                <w:szCs w:val="22"/>
                <w:u w:val="single"/>
                <w:lang w:val="es-MX"/>
              </w:rPr>
            </w:pPr>
            <w:r w:rsidRPr="00153C58">
              <w:rPr>
                <w:rFonts w:ascii="Arial" w:hAnsi="Arial" w:cs="Arial"/>
                <w:b/>
                <w:sz w:val="22"/>
                <w:szCs w:val="22"/>
                <w:u w:val="single"/>
                <w:lang w:val="es-MX"/>
              </w:rPr>
              <w:t>4.90</w:t>
            </w:r>
          </w:p>
        </w:tc>
      </w:tr>
    </w:tbl>
    <w:p w14:paraId="0B4BEB06" w14:textId="77777777" w:rsidR="00561B22" w:rsidRPr="00153C58" w:rsidRDefault="00561B22" w:rsidP="00561B22">
      <w:pPr>
        <w:pStyle w:val="Textoindependiente"/>
        <w:ind w:right="-50"/>
        <w:jc w:val="both"/>
        <w:rPr>
          <w:rFonts w:ascii="Arial" w:hAnsi="Arial" w:cs="Arial"/>
          <w:b/>
          <w:bCs/>
        </w:rPr>
      </w:pPr>
    </w:p>
    <w:p w14:paraId="7A83FAC0" w14:textId="77777777" w:rsidR="00561B22" w:rsidRPr="00153C58" w:rsidRDefault="00561B22" w:rsidP="00561B22">
      <w:pPr>
        <w:pStyle w:val="Textoindependiente"/>
        <w:ind w:right="-50"/>
        <w:jc w:val="both"/>
        <w:rPr>
          <w:rFonts w:ascii="Arial" w:hAnsi="Arial" w:cs="Arial"/>
          <w:b/>
          <w:bCs/>
        </w:rPr>
      </w:pPr>
      <w:r w:rsidRPr="00153C58">
        <w:rPr>
          <w:rFonts w:ascii="Arial" w:hAnsi="Arial" w:cs="Arial"/>
          <w:b/>
          <w:bCs/>
        </w:rPr>
        <w:t>Del informe enviado retomamos lo siguiente:</w:t>
      </w:r>
    </w:p>
    <w:p w14:paraId="34379315" w14:textId="77777777" w:rsidR="00561B22" w:rsidRPr="00153C5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53C58" w14:paraId="501C7A52" w14:textId="77777777" w:rsidTr="00F1223B">
        <w:tc>
          <w:tcPr>
            <w:tcW w:w="562" w:type="dxa"/>
          </w:tcPr>
          <w:p w14:paraId="531265DE" w14:textId="77777777" w:rsidR="00561B22" w:rsidRPr="00153C58" w:rsidRDefault="00561B22" w:rsidP="00F1223B">
            <w:pPr>
              <w:ind w:right="-109"/>
              <w:jc w:val="center"/>
              <w:rPr>
                <w:rFonts w:ascii="Arial" w:hAnsi="Arial" w:cs="Arial"/>
                <w:b/>
                <w:sz w:val="22"/>
                <w:szCs w:val="22"/>
                <w:lang w:val="es-MX"/>
              </w:rPr>
            </w:pPr>
            <w:r w:rsidRPr="00153C58">
              <w:rPr>
                <w:rFonts w:ascii="Arial" w:hAnsi="Arial" w:cs="Arial"/>
                <w:b/>
                <w:sz w:val="22"/>
                <w:szCs w:val="22"/>
                <w:lang w:val="es-MX"/>
              </w:rPr>
              <w:t>N°</w:t>
            </w:r>
          </w:p>
        </w:tc>
        <w:tc>
          <w:tcPr>
            <w:tcW w:w="9400" w:type="dxa"/>
          </w:tcPr>
          <w:p w14:paraId="03DADC4E"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DEBILIDADES</w:t>
            </w:r>
          </w:p>
          <w:p w14:paraId="7E4249F7" w14:textId="77777777" w:rsidR="00561B22" w:rsidRPr="00153C58" w:rsidRDefault="00561B22" w:rsidP="00F1223B">
            <w:pPr>
              <w:jc w:val="center"/>
              <w:rPr>
                <w:rFonts w:ascii="Arial" w:hAnsi="Arial" w:cs="Arial"/>
                <w:b/>
                <w:sz w:val="22"/>
                <w:szCs w:val="22"/>
                <w:lang w:val="es-MX"/>
              </w:rPr>
            </w:pPr>
          </w:p>
        </w:tc>
      </w:tr>
      <w:tr w:rsidR="00561B22" w:rsidRPr="00153C58" w14:paraId="3F9288E1" w14:textId="77777777" w:rsidTr="00F1223B">
        <w:tc>
          <w:tcPr>
            <w:tcW w:w="562" w:type="dxa"/>
          </w:tcPr>
          <w:p w14:paraId="6F8D83B6"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1</w:t>
            </w:r>
          </w:p>
        </w:tc>
        <w:tc>
          <w:tcPr>
            <w:tcW w:w="9400" w:type="dxa"/>
          </w:tcPr>
          <w:p w14:paraId="2302DAD9"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Durante la vigencia 2024, no se realizaron las sesiones ordinarias mínimas establecidas para el Comité Técnico de Sostenibilidad Contable, en la DEAJ y las DSAJ Bogotá y Quibdó.</w:t>
            </w:r>
          </w:p>
        </w:tc>
      </w:tr>
      <w:tr w:rsidR="00561B22" w:rsidRPr="00153C58" w14:paraId="0BD3D9F3" w14:textId="77777777" w:rsidTr="00F1223B">
        <w:tc>
          <w:tcPr>
            <w:tcW w:w="562" w:type="dxa"/>
          </w:tcPr>
          <w:p w14:paraId="7399F59A"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2</w:t>
            </w:r>
          </w:p>
        </w:tc>
        <w:tc>
          <w:tcPr>
            <w:tcW w:w="9400" w:type="dxa"/>
          </w:tcPr>
          <w:p w14:paraId="74701B4A"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En la caja menor de Bogotá se presentó un incumplimiento a las directrices impartidas por SIIF Nación en la Circular Externa 040 de noviembre 14 de 2024, respecto a la fecha límite para la legalización presupuestal definitiva de cajas menores establecida hasta el 27 de diciembre de 2024, y por ello se elaboró el comprobante contable manual No. 40099 del 8 de enero de 2025, a fin de ajustar el saldo contable respectivo.</w:t>
            </w:r>
          </w:p>
        </w:tc>
      </w:tr>
      <w:tr w:rsidR="00561B22" w:rsidRPr="00153C58" w14:paraId="212F9313" w14:textId="77777777" w:rsidTr="00F1223B">
        <w:tc>
          <w:tcPr>
            <w:tcW w:w="562" w:type="dxa"/>
          </w:tcPr>
          <w:p w14:paraId="595D00B0"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3</w:t>
            </w:r>
          </w:p>
        </w:tc>
        <w:tc>
          <w:tcPr>
            <w:tcW w:w="9400" w:type="dxa"/>
          </w:tcPr>
          <w:p w14:paraId="5FF04FBB"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La DSAJ Villavicencio no presenta evidencia de la comprobación de los indicios de deterioro registrados en el deterioro acumulado de propiedad, planta y equipo, de acuerdo con la periodicidad establecida en el Manual de Políticas Contables Vigente.</w:t>
            </w:r>
          </w:p>
        </w:tc>
      </w:tr>
      <w:tr w:rsidR="00561B22" w:rsidRPr="00153C58" w14:paraId="75290A47" w14:textId="77777777" w:rsidTr="00F1223B">
        <w:tc>
          <w:tcPr>
            <w:tcW w:w="562" w:type="dxa"/>
          </w:tcPr>
          <w:p w14:paraId="392A0716"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4</w:t>
            </w:r>
          </w:p>
        </w:tc>
        <w:tc>
          <w:tcPr>
            <w:tcW w:w="9400" w:type="dxa"/>
          </w:tcPr>
          <w:p w14:paraId="1C5E9FE6"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Las cuentas bancarias registradas en el SIIF Nación II, con corte a 31 de diciembre de 2024, se encuentran conciliadas. No obstante, se identifican diferencias correspondientes a partidas conciliatorias de las vigencias 2017 a 2024, en la DEAJ y en las Direcciones Seccionales de Ibagué, Bogotá, Cartagena, Cundinamarca, Manizales, Pereira, Riohacha, Tunja y Villavicencio. Aunque estos valores no tienen una materialidad representativa, su depuración hace parte de un mejor control interno contable.</w:t>
            </w:r>
          </w:p>
        </w:tc>
      </w:tr>
      <w:tr w:rsidR="00561B22" w:rsidRPr="00153C58" w14:paraId="05ED1E13" w14:textId="77777777" w:rsidTr="00F1223B">
        <w:tc>
          <w:tcPr>
            <w:tcW w:w="562" w:type="dxa"/>
          </w:tcPr>
          <w:p w14:paraId="427C29D3"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5</w:t>
            </w:r>
          </w:p>
        </w:tc>
        <w:tc>
          <w:tcPr>
            <w:tcW w:w="9400" w:type="dxa"/>
          </w:tcPr>
          <w:p w14:paraId="305D4A03"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Al comparar las cifras reflejadas en las conciliaciones de incapacidades entre los saldos reportados por Recursos Humanos y Contabilidad, se encontró una diferencia total por valor de $1.323.950.793, presentada en las Direcciones Seccionales de Bogotá, Cundinamarca y Amazonas, Santa Marta, Barranquilla, Villavicencio y Cúcuta; equivalente a un 8% respecto del total de la cartera por $16.565.533.182.</w:t>
            </w:r>
          </w:p>
        </w:tc>
      </w:tr>
      <w:tr w:rsidR="00561B22" w:rsidRPr="00153C58" w14:paraId="309098A1" w14:textId="77777777" w:rsidTr="00F1223B">
        <w:tc>
          <w:tcPr>
            <w:tcW w:w="562" w:type="dxa"/>
          </w:tcPr>
          <w:p w14:paraId="74A76F3A"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lastRenderedPageBreak/>
              <w:t>6</w:t>
            </w:r>
          </w:p>
        </w:tc>
        <w:tc>
          <w:tcPr>
            <w:tcW w:w="9400" w:type="dxa"/>
          </w:tcPr>
          <w:p w14:paraId="56630A57"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Mayores valores pagados en GCC: se evidencian partidas conciliatorias justificadas por valor de menos $4.778.225, correspondientes a la DEAJ y las Seccionales de Bogotá, Cali, Cúcuta, Cundinamarca, Manizales, Medellín, Neiva y Santa Marta, que no se encuentran registradas en SIIF, debido a los ingresos del DTN, recaudos pendientes por aplicar en GCC, y un caso específico en la DSAJ Sincelejo por valor de menos $2.443.201.</w:t>
            </w:r>
          </w:p>
        </w:tc>
      </w:tr>
      <w:tr w:rsidR="00561B22" w:rsidRPr="00153C58" w14:paraId="52871ABC" w14:textId="77777777" w:rsidTr="00F1223B">
        <w:tc>
          <w:tcPr>
            <w:tcW w:w="562" w:type="dxa"/>
          </w:tcPr>
          <w:p w14:paraId="363C16FB"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7</w:t>
            </w:r>
          </w:p>
        </w:tc>
        <w:tc>
          <w:tcPr>
            <w:tcW w:w="9400" w:type="dxa"/>
          </w:tcPr>
          <w:p w14:paraId="3A4A6164"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En el Deterioro de Cartera de Incapacidades, al corroborar las cifras presentadas en el informe de clasificación de la cartera por edades al cierre del 4 trimestre de 2024, con el saldo registrado en SIIF Nación II, se estableció una diferencia por valor negativo de $91.513.910, equivalente al 0,55% del total de la cartera de incapacidades, originada en la omisión de registro del deterioro de la DSAJ Cundinamarca por menos $91.502.200 y menor valor registrado en el deterioro de la DSAJ Tunja por valor de menos $11.710.</w:t>
            </w:r>
          </w:p>
        </w:tc>
      </w:tr>
      <w:tr w:rsidR="00561B22" w:rsidRPr="00153C58" w14:paraId="1756D7EC" w14:textId="77777777" w:rsidTr="00F1223B">
        <w:tc>
          <w:tcPr>
            <w:tcW w:w="562" w:type="dxa"/>
          </w:tcPr>
          <w:p w14:paraId="24197D3C"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8</w:t>
            </w:r>
          </w:p>
        </w:tc>
        <w:tc>
          <w:tcPr>
            <w:tcW w:w="9400" w:type="dxa"/>
          </w:tcPr>
          <w:p w14:paraId="00E61F99"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La DSAJ Cúcuta no remitió evidencia del inventario de Bodegas y DSAJ Ibagué manifestó no contar con personal para realizarlo. Adicionalmente, excepto las DSAJ Montería, Riohacha, Valledupar, Villavicencio y parcialmente Armenia, Bucaramanga y Pereira, las demás Direcciones Seccionales y DEAJ no remitieron a esta Unidad constancias de la realización o la solicitud de inventarios individuales de bienes en uso, con lo cual no puede establecerse el cumplimiento de lo dispuesto en la Circular DEAJC24 41.</w:t>
            </w:r>
          </w:p>
        </w:tc>
      </w:tr>
      <w:tr w:rsidR="00561B22" w:rsidRPr="00153C58" w14:paraId="44D6E34E" w14:textId="77777777" w:rsidTr="00F1223B">
        <w:tc>
          <w:tcPr>
            <w:tcW w:w="562" w:type="dxa"/>
          </w:tcPr>
          <w:p w14:paraId="79A63A12"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9</w:t>
            </w:r>
          </w:p>
        </w:tc>
        <w:tc>
          <w:tcPr>
            <w:tcW w:w="9400" w:type="dxa"/>
          </w:tcPr>
          <w:p w14:paraId="790EB8DD"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Si bien para la vigencia 2024 se implementó el Anexo de Licencias y Software a nivel nacional, se observa un error en la formulación para el cálculo del saldo en libros de SIIF ya que en las DSAJ Manizales y Pereira se transcribió el valor de la amortización con saldo negativo, alterando el saldo total en libros.</w:t>
            </w:r>
          </w:p>
        </w:tc>
      </w:tr>
    </w:tbl>
    <w:p w14:paraId="02DB0C45" w14:textId="77777777" w:rsidR="00561B22" w:rsidRPr="00153C58" w:rsidRDefault="00561B22" w:rsidP="00561B22">
      <w:pPr>
        <w:pStyle w:val="Textoindependiente"/>
        <w:ind w:right="-50"/>
        <w:jc w:val="both"/>
        <w:rPr>
          <w:rFonts w:ascii="Arial" w:hAnsi="Arial" w:cs="Arial"/>
          <w:b/>
          <w:bCs/>
        </w:rPr>
      </w:pPr>
    </w:p>
    <w:p w14:paraId="287259E2" w14:textId="77777777" w:rsidR="00561B22" w:rsidRPr="00153C58" w:rsidRDefault="00561B22" w:rsidP="00561B22">
      <w:pPr>
        <w:jc w:val="both"/>
        <w:rPr>
          <w:rFonts w:ascii="Arial" w:hAnsi="Arial" w:cs="Arial"/>
          <w:b/>
          <w:lang w:val="es-MX"/>
        </w:rPr>
      </w:pPr>
      <w:r w:rsidRPr="00153C58">
        <w:rPr>
          <w:rFonts w:ascii="Arial" w:hAnsi="Arial" w:cs="Arial"/>
          <w:b/>
          <w:lang w:val="es-MX"/>
        </w:rPr>
        <w:t>Del citado informe retomamos las siguientes recomendaciones:</w:t>
      </w:r>
    </w:p>
    <w:p w14:paraId="45EEEA07" w14:textId="77777777" w:rsidR="00561B22" w:rsidRPr="00153C5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53C58" w14:paraId="7914BA7D" w14:textId="77777777" w:rsidTr="00F1223B">
        <w:tc>
          <w:tcPr>
            <w:tcW w:w="562" w:type="dxa"/>
          </w:tcPr>
          <w:p w14:paraId="7994DE7D" w14:textId="77777777" w:rsidR="00561B22" w:rsidRPr="00153C58" w:rsidRDefault="00561B22" w:rsidP="00F1223B">
            <w:pPr>
              <w:ind w:right="-109"/>
              <w:jc w:val="center"/>
              <w:rPr>
                <w:rFonts w:ascii="Arial" w:hAnsi="Arial" w:cs="Arial"/>
                <w:b/>
                <w:sz w:val="22"/>
                <w:szCs w:val="22"/>
                <w:lang w:val="es-MX"/>
              </w:rPr>
            </w:pPr>
            <w:r w:rsidRPr="00153C58">
              <w:rPr>
                <w:rFonts w:ascii="Arial" w:hAnsi="Arial" w:cs="Arial"/>
                <w:b/>
                <w:sz w:val="22"/>
                <w:szCs w:val="22"/>
                <w:lang w:val="es-MX"/>
              </w:rPr>
              <w:t>N°</w:t>
            </w:r>
          </w:p>
        </w:tc>
        <w:tc>
          <w:tcPr>
            <w:tcW w:w="9400" w:type="dxa"/>
          </w:tcPr>
          <w:p w14:paraId="5F285A58"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RECOMENDACIONES</w:t>
            </w:r>
          </w:p>
          <w:p w14:paraId="2A1EC267" w14:textId="77777777" w:rsidR="00561B22" w:rsidRPr="00153C58" w:rsidRDefault="00561B22" w:rsidP="00F1223B">
            <w:pPr>
              <w:jc w:val="center"/>
              <w:rPr>
                <w:rFonts w:ascii="Arial" w:hAnsi="Arial" w:cs="Arial"/>
                <w:b/>
                <w:sz w:val="22"/>
                <w:szCs w:val="22"/>
                <w:lang w:val="es-MX"/>
              </w:rPr>
            </w:pPr>
          </w:p>
        </w:tc>
      </w:tr>
      <w:tr w:rsidR="00561B22" w:rsidRPr="00153C58" w14:paraId="71A8D409" w14:textId="77777777" w:rsidTr="00F1223B">
        <w:tc>
          <w:tcPr>
            <w:tcW w:w="562" w:type="dxa"/>
          </w:tcPr>
          <w:p w14:paraId="2B433BC8"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1</w:t>
            </w:r>
          </w:p>
        </w:tc>
        <w:tc>
          <w:tcPr>
            <w:tcW w:w="9400" w:type="dxa"/>
          </w:tcPr>
          <w:p w14:paraId="4D593090" w14:textId="77777777" w:rsidR="00561B22" w:rsidRPr="00153C58" w:rsidRDefault="00561B22" w:rsidP="00F1223B">
            <w:pPr>
              <w:widowControl/>
              <w:autoSpaceDE/>
              <w:autoSpaceDN/>
              <w:spacing w:after="160"/>
              <w:contextualSpacing/>
              <w:jc w:val="both"/>
              <w:rPr>
                <w:rFonts w:ascii="Arial" w:hAnsi="Arial" w:cs="Arial"/>
                <w:sz w:val="22"/>
                <w:szCs w:val="22"/>
                <w:lang w:val="es-MX"/>
              </w:rPr>
            </w:pPr>
            <w:r w:rsidRPr="00153C58">
              <w:rPr>
                <w:rFonts w:ascii="Arial" w:hAnsi="Arial" w:cs="Arial"/>
                <w:sz w:val="22"/>
                <w:szCs w:val="22"/>
                <w:lang w:val="es-MX"/>
              </w:rPr>
              <w:t>Propender porque se dé cumplimiento a las sesiones mínimas establecidas para el Comité Técnico de Sostenibilidad Contable, ya que es dicha instancia la que oportunamente puede tomar decisión sobre aspectos críticos o materiales en relación con la mejor revelación de la información contable y la razonabilidad de la realidad financiera.</w:t>
            </w:r>
          </w:p>
        </w:tc>
      </w:tr>
      <w:tr w:rsidR="00561B22" w:rsidRPr="00153C58" w14:paraId="2CF19EEF" w14:textId="77777777" w:rsidTr="00F1223B">
        <w:tc>
          <w:tcPr>
            <w:tcW w:w="562" w:type="dxa"/>
          </w:tcPr>
          <w:p w14:paraId="74DB414C"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2</w:t>
            </w:r>
          </w:p>
        </w:tc>
        <w:tc>
          <w:tcPr>
            <w:tcW w:w="9400" w:type="dxa"/>
          </w:tcPr>
          <w:p w14:paraId="1A64ED55"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Analizar la pertinencia de la constitución de cajas menores, es decir, si los recursos son realmente necesarios, ya que en la vigencia 2024 para la DSAJ Bogotá y la Coordinación de Leticia, pese al recurso disponible los gastos fueron mínimos. Adicionalmente, existen gastos recurrentes en la caja menor de los Tribunales de Bogotá, que pueden ser tramitados a través de cadena presupuestal de órdenes de pago y no exclusivamente por caja menor.</w:t>
            </w:r>
          </w:p>
        </w:tc>
      </w:tr>
      <w:tr w:rsidR="00561B22" w:rsidRPr="00153C58" w14:paraId="1A0F3CC7" w14:textId="77777777" w:rsidTr="00F1223B">
        <w:tc>
          <w:tcPr>
            <w:tcW w:w="562" w:type="dxa"/>
          </w:tcPr>
          <w:p w14:paraId="4C6B147C"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3</w:t>
            </w:r>
          </w:p>
        </w:tc>
        <w:tc>
          <w:tcPr>
            <w:tcW w:w="9400" w:type="dxa"/>
          </w:tcPr>
          <w:p w14:paraId="42FDB4D6"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Implementar un control a la legalización presupuestal de cajas menores a fin de evitar que se materialicen riesgos como el identificado en la DSAJ Bogotá en la vigencia 2024.</w:t>
            </w:r>
          </w:p>
        </w:tc>
      </w:tr>
      <w:tr w:rsidR="00561B22" w:rsidRPr="00153C58" w14:paraId="26A28E9E" w14:textId="77777777" w:rsidTr="00F1223B">
        <w:tc>
          <w:tcPr>
            <w:tcW w:w="562" w:type="dxa"/>
          </w:tcPr>
          <w:p w14:paraId="559B5943"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4</w:t>
            </w:r>
          </w:p>
        </w:tc>
        <w:tc>
          <w:tcPr>
            <w:tcW w:w="9400" w:type="dxa"/>
          </w:tcPr>
          <w:p w14:paraId="43BC374E"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Respecto a la DSAJ Villavicencio, realizar previo al cierre contable de la vigencia 2025, la comprobación de los indicios de deterioro del registro acumulado de la cuenta contable 169505 Edificaciones.</w:t>
            </w:r>
          </w:p>
        </w:tc>
      </w:tr>
      <w:tr w:rsidR="00561B22" w:rsidRPr="00153C58" w14:paraId="0F0B7708" w14:textId="77777777" w:rsidTr="00F1223B">
        <w:tc>
          <w:tcPr>
            <w:tcW w:w="562" w:type="dxa"/>
          </w:tcPr>
          <w:p w14:paraId="454610B9"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5</w:t>
            </w:r>
          </w:p>
        </w:tc>
        <w:tc>
          <w:tcPr>
            <w:tcW w:w="9400" w:type="dxa"/>
          </w:tcPr>
          <w:p w14:paraId="2BFC746E"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Continuar la depuración de las partidas conciliatorias identificadas de las vigencias 2016 a 2023 en cuentas bancarias de la DEAJ y las DSAJ Ibagué, Manizales y   Santa Marta.</w:t>
            </w:r>
          </w:p>
        </w:tc>
      </w:tr>
      <w:tr w:rsidR="00561B22" w:rsidRPr="00153C58" w14:paraId="1E7E2D1B" w14:textId="77777777" w:rsidTr="00F1223B">
        <w:tc>
          <w:tcPr>
            <w:tcW w:w="562" w:type="dxa"/>
          </w:tcPr>
          <w:p w14:paraId="45E223EE"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6</w:t>
            </w:r>
          </w:p>
        </w:tc>
        <w:tc>
          <w:tcPr>
            <w:tcW w:w="9400" w:type="dxa"/>
          </w:tcPr>
          <w:p w14:paraId="0F8939E1"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Llevar a cabo la depuración de las partidas conciliatorias identificadas en las conciliaciones de incapacidades de saldos reportados entre Recursos Humanos y Contabilidad en las Direcciones Seccionales de Bogotá, Cundinamarca y Amazonas, Santa Marta, Barranquilla, Villavicencio y Cúcuta.</w:t>
            </w:r>
          </w:p>
        </w:tc>
      </w:tr>
      <w:tr w:rsidR="00561B22" w:rsidRPr="00153C58" w14:paraId="5069B78D" w14:textId="77777777" w:rsidTr="00F1223B">
        <w:tc>
          <w:tcPr>
            <w:tcW w:w="562" w:type="dxa"/>
          </w:tcPr>
          <w:p w14:paraId="69951968"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7</w:t>
            </w:r>
          </w:p>
        </w:tc>
        <w:tc>
          <w:tcPr>
            <w:tcW w:w="9400" w:type="dxa"/>
          </w:tcPr>
          <w:p w14:paraId="17FC9841"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Adelantar seguimiento a los ingresos que no han sido reflejados en GCC por valor de menos $7.221.426, y definir estrategias para optimizar el proceso de reclasificación de recaudos. Particularmente en lo que corresponde a DEAJ y las Seccionales de Bogotá, Cali, Cúcuta, Cundinamarca, Manizales, Medellín, Neiva y Santa Marta y Sincelejo.</w:t>
            </w:r>
          </w:p>
        </w:tc>
      </w:tr>
      <w:tr w:rsidR="00561B22" w:rsidRPr="00153C58" w14:paraId="62D4F82F" w14:textId="77777777" w:rsidTr="00F1223B">
        <w:tc>
          <w:tcPr>
            <w:tcW w:w="562" w:type="dxa"/>
          </w:tcPr>
          <w:p w14:paraId="02B37012"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8</w:t>
            </w:r>
          </w:p>
        </w:tc>
        <w:tc>
          <w:tcPr>
            <w:tcW w:w="9400" w:type="dxa"/>
          </w:tcPr>
          <w:p w14:paraId="38DF1FD5"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 xml:space="preserve">Efectuar en la vigencia 2025 los inventarios individualizados de bienes en bodega y uso, a fin de garantizar la certeza de las cifras reveladas en los estados financieros de la entidad. Esta </w:t>
            </w:r>
            <w:r w:rsidRPr="00153C58">
              <w:rPr>
                <w:rFonts w:ascii="Arial" w:hAnsi="Arial" w:cs="Arial"/>
                <w:sz w:val="22"/>
                <w:szCs w:val="22"/>
                <w:lang w:val="es-MX"/>
              </w:rPr>
              <w:lastRenderedPageBreak/>
              <w:t>actividad es responsabilidad de la División de Almacén de Inventarios y las áreas de almacén de cada Dirección Seccional.</w:t>
            </w:r>
          </w:p>
        </w:tc>
      </w:tr>
      <w:tr w:rsidR="00561B22" w:rsidRPr="00153C58" w14:paraId="159015BD" w14:textId="77777777" w:rsidTr="00F1223B">
        <w:tc>
          <w:tcPr>
            <w:tcW w:w="562" w:type="dxa"/>
          </w:tcPr>
          <w:p w14:paraId="1F4210B2"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lastRenderedPageBreak/>
              <w:t>9</w:t>
            </w:r>
          </w:p>
        </w:tc>
        <w:tc>
          <w:tcPr>
            <w:tcW w:w="9400" w:type="dxa"/>
          </w:tcPr>
          <w:p w14:paraId="44874C8A"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Revisar y en caso de requerirse ajustar el Anexo de Licencias y Software o instaurar un punto de control para que no se presenten errores por juego de signos en sus cálculos.</w:t>
            </w:r>
          </w:p>
        </w:tc>
      </w:tr>
      <w:tr w:rsidR="00561B22" w:rsidRPr="00153C58" w14:paraId="3DAFF0F0" w14:textId="77777777" w:rsidTr="00F1223B">
        <w:tc>
          <w:tcPr>
            <w:tcW w:w="562" w:type="dxa"/>
          </w:tcPr>
          <w:p w14:paraId="539EB1B3"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10</w:t>
            </w:r>
          </w:p>
        </w:tc>
        <w:tc>
          <w:tcPr>
            <w:tcW w:w="9400" w:type="dxa"/>
          </w:tcPr>
          <w:p w14:paraId="0A140928"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Registrar en el SIIF Nación II el Deterioro de Cartera de Incapacidades de la DSAJ Cundinamarca, no registrado al cierre del 4 trimestre de 2024, por menos $91.502.200; así como el menor valor registrado en el deterioro de la DSAJ Tunja por valor de menos $11.710.</w:t>
            </w:r>
          </w:p>
        </w:tc>
      </w:tr>
      <w:tr w:rsidR="00561B22" w:rsidRPr="00153C58" w14:paraId="49A357CC" w14:textId="77777777" w:rsidTr="00F1223B">
        <w:tc>
          <w:tcPr>
            <w:tcW w:w="562" w:type="dxa"/>
          </w:tcPr>
          <w:p w14:paraId="21BB03E0"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11</w:t>
            </w:r>
          </w:p>
        </w:tc>
        <w:tc>
          <w:tcPr>
            <w:tcW w:w="9400" w:type="dxa"/>
          </w:tcPr>
          <w:p w14:paraId="1E90764E" w14:textId="77777777" w:rsidR="00561B22" w:rsidRPr="00153C58" w:rsidRDefault="00561B22" w:rsidP="00F1223B">
            <w:pPr>
              <w:rPr>
                <w:rFonts w:ascii="Arial" w:hAnsi="Arial" w:cs="Arial"/>
                <w:sz w:val="22"/>
                <w:szCs w:val="22"/>
                <w:lang w:val="es-MX"/>
              </w:rPr>
            </w:pPr>
            <w:r w:rsidRPr="00153C58">
              <w:rPr>
                <w:rFonts w:ascii="Arial" w:hAnsi="Arial" w:cs="Arial"/>
                <w:sz w:val="22"/>
                <w:szCs w:val="22"/>
                <w:lang w:val="es-MX"/>
              </w:rPr>
              <w:t>En relación con la administración de riesgos de la gestión contable, es conveniente que:</w:t>
            </w:r>
          </w:p>
          <w:p w14:paraId="27173E38" w14:textId="77777777" w:rsidR="00561B22" w:rsidRPr="00153C58" w:rsidRDefault="00561B22" w:rsidP="00F1223B">
            <w:pPr>
              <w:rPr>
                <w:rFonts w:ascii="Arial" w:hAnsi="Arial" w:cs="Arial"/>
                <w:sz w:val="22"/>
                <w:szCs w:val="22"/>
                <w:lang w:val="es-MX"/>
              </w:rPr>
            </w:pPr>
            <w:r w:rsidRPr="00153C58">
              <w:rPr>
                <w:rFonts w:ascii="Arial" w:hAnsi="Arial" w:cs="Arial"/>
                <w:sz w:val="22"/>
                <w:szCs w:val="22"/>
                <w:lang w:val="es-MX"/>
              </w:rPr>
              <w:tab/>
            </w:r>
          </w:p>
          <w:p w14:paraId="41BAA071" w14:textId="77777777" w:rsidR="00561B22" w:rsidRPr="00153C58" w:rsidRDefault="00561B22" w:rsidP="00561B22">
            <w:pPr>
              <w:pStyle w:val="Prrafodelista"/>
              <w:numPr>
                <w:ilvl w:val="0"/>
                <w:numId w:val="112"/>
              </w:numPr>
              <w:spacing w:before="1"/>
              <w:ind w:left="317" w:hanging="284"/>
              <w:jc w:val="both"/>
              <w:rPr>
                <w:rFonts w:ascii="Arial" w:hAnsi="Arial" w:cs="Arial"/>
                <w:sz w:val="22"/>
                <w:szCs w:val="22"/>
                <w:lang w:val="es-MX"/>
              </w:rPr>
            </w:pPr>
            <w:r w:rsidRPr="00153C58">
              <w:rPr>
                <w:rFonts w:ascii="Arial" w:hAnsi="Arial" w:cs="Arial"/>
                <w:sz w:val="22"/>
                <w:szCs w:val="22"/>
                <w:lang w:val="es-MX"/>
              </w:rPr>
              <w:t>De forma inequívoca se pueda establecer la fecha anual de revisión y ajuste del Mapa de Riesgos.</w:t>
            </w:r>
          </w:p>
          <w:p w14:paraId="2FA9EE70" w14:textId="77777777" w:rsidR="00561B22" w:rsidRPr="00153C58" w:rsidRDefault="00561B22" w:rsidP="00F1223B">
            <w:pPr>
              <w:pStyle w:val="Prrafodelista"/>
              <w:ind w:left="317" w:hanging="284"/>
              <w:rPr>
                <w:rFonts w:ascii="Arial" w:hAnsi="Arial" w:cs="Arial"/>
                <w:sz w:val="22"/>
                <w:szCs w:val="22"/>
                <w:lang w:val="es-MX"/>
              </w:rPr>
            </w:pPr>
          </w:p>
          <w:p w14:paraId="252CFAEF" w14:textId="77777777" w:rsidR="00561B22" w:rsidRPr="00153C58" w:rsidRDefault="00561B22" w:rsidP="00561B22">
            <w:pPr>
              <w:pStyle w:val="Prrafodelista"/>
              <w:numPr>
                <w:ilvl w:val="0"/>
                <w:numId w:val="112"/>
              </w:numPr>
              <w:spacing w:before="1"/>
              <w:ind w:left="317" w:hanging="284"/>
              <w:jc w:val="both"/>
              <w:rPr>
                <w:rFonts w:ascii="Arial" w:hAnsi="Arial" w:cs="Arial"/>
                <w:sz w:val="22"/>
                <w:szCs w:val="22"/>
                <w:lang w:val="es-MX"/>
              </w:rPr>
            </w:pPr>
            <w:r w:rsidRPr="00153C58">
              <w:rPr>
                <w:rFonts w:ascii="Arial" w:hAnsi="Arial" w:cs="Arial"/>
                <w:sz w:val="22"/>
                <w:szCs w:val="22"/>
                <w:lang w:val="es-MX"/>
              </w:rPr>
              <w:t>En una próxima revisión de la administración y monitoreo se considere que conceptualmente un control se define como la medida que permite reducir o mitigar el riesgo, sin embargo, en la matriz de riesgos actual, el riesgo residual es idéntico al inherente, es decir, no tiene efecto la aplicación de los controles para reducir o la probabilidad o el impacto del riesgo “Emitir o presentar en forma errada o tardía los Balances de la entidad”.</w:t>
            </w:r>
          </w:p>
        </w:tc>
      </w:tr>
      <w:tr w:rsidR="00561B22" w:rsidRPr="00153C58" w14:paraId="61375728" w14:textId="77777777" w:rsidTr="00F1223B">
        <w:tc>
          <w:tcPr>
            <w:tcW w:w="562" w:type="dxa"/>
          </w:tcPr>
          <w:p w14:paraId="1A6C1710"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12</w:t>
            </w:r>
          </w:p>
        </w:tc>
        <w:tc>
          <w:tcPr>
            <w:tcW w:w="9400" w:type="dxa"/>
          </w:tcPr>
          <w:p w14:paraId="3FBD6E25"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Para la vigencia 2025 llevar a cabo nuevamente actividades como el encuentro financiero nacional. Este tipo de ejercicios permite que los equipos financieros del Nivel Central y las Direcciones Seccionales aborden temáticas relacionadas con el cierre y apertura de la vigencia fiscal, las políticas contables, cambios sobrevinientes en relación con conceptos de la Contaduría o acciones de mejora por auditorías internas o externas, mejores prácticas para el registro, monitoreo, control contable y presupuestal, fomentando así, una mejor articulación institucional en temas de carácter financiero.</w:t>
            </w:r>
          </w:p>
        </w:tc>
      </w:tr>
      <w:tr w:rsidR="00561B22" w:rsidRPr="00153C58" w14:paraId="628508DA" w14:textId="77777777" w:rsidTr="00F1223B">
        <w:tc>
          <w:tcPr>
            <w:tcW w:w="562" w:type="dxa"/>
          </w:tcPr>
          <w:p w14:paraId="231791F1" w14:textId="77777777" w:rsidR="00561B22" w:rsidRPr="00153C58" w:rsidRDefault="00561B22" w:rsidP="00F1223B">
            <w:pPr>
              <w:jc w:val="center"/>
              <w:rPr>
                <w:rFonts w:ascii="Arial" w:hAnsi="Arial" w:cs="Arial"/>
                <w:b/>
                <w:sz w:val="22"/>
                <w:szCs w:val="22"/>
                <w:lang w:val="es-MX"/>
              </w:rPr>
            </w:pPr>
            <w:r w:rsidRPr="00153C58">
              <w:rPr>
                <w:rFonts w:ascii="Arial" w:hAnsi="Arial" w:cs="Arial"/>
                <w:b/>
                <w:sz w:val="22"/>
                <w:szCs w:val="22"/>
                <w:lang w:val="es-MX"/>
              </w:rPr>
              <w:t>13</w:t>
            </w:r>
          </w:p>
        </w:tc>
        <w:tc>
          <w:tcPr>
            <w:tcW w:w="9400" w:type="dxa"/>
          </w:tcPr>
          <w:p w14:paraId="5A46A06B" w14:textId="77777777" w:rsidR="00561B22" w:rsidRPr="00153C58" w:rsidRDefault="00561B22" w:rsidP="00F1223B">
            <w:pPr>
              <w:jc w:val="both"/>
              <w:rPr>
                <w:rFonts w:ascii="Arial" w:hAnsi="Arial" w:cs="Arial"/>
                <w:sz w:val="22"/>
                <w:szCs w:val="22"/>
                <w:lang w:val="es-MX"/>
              </w:rPr>
            </w:pPr>
            <w:r w:rsidRPr="00153C58">
              <w:rPr>
                <w:rFonts w:ascii="Arial" w:hAnsi="Arial" w:cs="Arial"/>
                <w:sz w:val="22"/>
                <w:szCs w:val="22"/>
                <w:lang w:val="es-MX"/>
              </w:rPr>
              <w:t>Propender por automatizar actividades tales como el control y cruce de información correspondiente al pasivo contingente litigioso, sentencias y demás temas que, por su naturaleza voluminosa, en lo posible deberían tener herramientas más apropiadas para el manejo de las bases de datos e identificación de diferencias entre las fuentes de información. Lo cual daría mayor celeridad y garantía a la conciliación conjunta de datos, redundando en la fiabilidad de la revelación contable.</w:t>
            </w:r>
          </w:p>
        </w:tc>
      </w:tr>
    </w:tbl>
    <w:p w14:paraId="24B18730" w14:textId="77777777" w:rsidR="00561B22" w:rsidRPr="00153C58" w:rsidRDefault="00561B22" w:rsidP="00561B22">
      <w:pPr>
        <w:pStyle w:val="Textoindependiente"/>
        <w:ind w:right="-50"/>
        <w:jc w:val="both"/>
        <w:rPr>
          <w:rFonts w:ascii="Arial" w:hAnsi="Arial" w:cs="Arial"/>
          <w:b/>
          <w:bCs/>
          <w:sz w:val="28"/>
          <w:szCs w:val="28"/>
        </w:rPr>
      </w:pPr>
    </w:p>
    <w:p w14:paraId="499BF6CE" w14:textId="77777777" w:rsidR="00561B22" w:rsidRPr="00153C58" w:rsidRDefault="00561B22" w:rsidP="00561B22">
      <w:pPr>
        <w:jc w:val="both"/>
        <w:rPr>
          <w:rFonts w:ascii="Arial" w:hAnsi="Arial" w:cs="Arial"/>
          <w:b/>
          <w:bCs/>
          <w:sz w:val="24"/>
          <w:szCs w:val="24"/>
          <w:lang w:val="es-CO"/>
        </w:rPr>
      </w:pPr>
      <w:r w:rsidRPr="00153C58">
        <w:rPr>
          <w:rFonts w:ascii="Arial" w:hAnsi="Arial" w:cs="Arial"/>
          <w:b/>
          <w:bCs/>
          <w:sz w:val="24"/>
          <w:szCs w:val="24"/>
          <w:lang w:val="es-CO"/>
        </w:rPr>
        <w:t xml:space="preserve">NOTA: LA ENTIDAD ENVIA LA MATRIZ DE AUTOEVALUACIÓN DEL SISTEMA DE CONTROL INTERNO CONTABLE CON </w:t>
      </w:r>
      <w:r w:rsidRPr="00153C58">
        <w:rPr>
          <w:rFonts w:ascii="Arial" w:hAnsi="Arial" w:cs="Arial"/>
          <w:b/>
          <w:bCs/>
          <w:sz w:val="24"/>
          <w:szCs w:val="24"/>
          <w:u w:val="single"/>
          <w:lang w:val="es-CO"/>
        </w:rPr>
        <w:t>ACTIVIDADES DE CONTROL REALIZADAS EN FORMA PARCIAL</w:t>
      </w:r>
      <w:r w:rsidRPr="00153C58">
        <w:rPr>
          <w:rFonts w:ascii="Arial" w:hAnsi="Arial" w:cs="Arial"/>
          <w:b/>
          <w:bCs/>
          <w:sz w:val="24"/>
          <w:szCs w:val="24"/>
          <w:lang w:val="es-CO"/>
        </w:rPr>
        <w:t>.</w:t>
      </w:r>
    </w:p>
    <w:p w14:paraId="7F5829C7" w14:textId="77777777" w:rsidR="00561B22" w:rsidRPr="00153C58" w:rsidRDefault="00561B22" w:rsidP="00561B22">
      <w:pPr>
        <w:pStyle w:val="Textoindependiente"/>
        <w:ind w:right="-50"/>
        <w:jc w:val="both"/>
        <w:rPr>
          <w:rFonts w:ascii="Arial" w:hAnsi="Arial" w:cs="Arial"/>
          <w:b/>
          <w:bCs/>
          <w:sz w:val="28"/>
          <w:szCs w:val="28"/>
        </w:rPr>
      </w:pPr>
    </w:p>
    <w:p w14:paraId="7447BB8A" w14:textId="77777777" w:rsidR="00561B22" w:rsidRPr="002E16DE" w:rsidRDefault="00561B22" w:rsidP="00561B22">
      <w:pPr>
        <w:ind w:right="-234"/>
        <w:jc w:val="both"/>
        <w:rPr>
          <w:rFonts w:ascii="Arial" w:hAnsi="Arial" w:cs="Arial"/>
          <w:b/>
          <w:sz w:val="28"/>
          <w:szCs w:val="28"/>
          <w:lang w:val="es-MX"/>
        </w:rPr>
      </w:pPr>
      <w:r w:rsidRPr="002E16DE">
        <w:rPr>
          <w:rFonts w:ascii="Arial" w:hAnsi="Arial" w:cs="Arial"/>
          <w:b/>
          <w:sz w:val="28"/>
          <w:szCs w:val="28"/>
          <w:lang w:val="es-MX"/>
        </w:rPr>
        <w:t xml:space="preserve">66.- SUPERINTENDENCIA DE SUBSIDIO FAMILIAR - SUPERSUBSIDIO. </w:t>
      </w:r>
    </w:p>
    <w:p w14:paraId="7EF28DE5" w14:textId="77777777" w:rsidR="00561B22" w:rsidRDefault="00561B22" w:rsidP="00561B22">
      <w:pPr>
        <w:jc w:val="both"/>
        <w:rPr>
          <w:rFonts w:ascii="Arial" w:hAnsi="Arial" w:cs="Arial"/>
          <w:b/>
          <w:sz w:val="28"/>
          <w:szCs w:val="28"/>
          <w:lang w:val="es-MX"/>
        </w:rPr>
      </w:pPr>
    </w:p>
    <w:p w14:paraId="3A3A98A1" w14:textId="77777777" w:rsidR="00561B22" w:rsidRPr="00630083" w:rsidRDefault="00561B22" w:rsidP="00561B22">
      <w:pPr>
        <w:pStyle w:val="Textoindependiente"/>
        <w:ind w:right="-50"/>
        <w:jc w:val="center"/>
        <w:rPr>
          <w:rFonts w:ascii="Arial" w:hAnsi="Arial" w:cs="Arial"/>
          <w:b/>
          <w:bCs/>
        </w:rPr>
      </w:pPr>
      <w:r w:rsidRPr="00630083">
        <w:rPr>
          <w:rFonts w:ascii="Arial" w:hAnsi="Arial" w:cs="Arial"/>
          <w:b/>
          <w:bCs/>
        </w:rPr>
        <w:t>INFORME DE LA AUTOCALIFICACIÓN DEL SISTEMA DE CONTROL INTERNO CONTABLE:</w:t>
      </w:r>
    </w:p>
    <w:p w14:paraId="74FE3DDD" w14:textId="77777777" w:rsidR="00561B22" w:rsidRPr="0063008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30083" w14:paraId="1D9A1678" w14:textId="77777777" w:rsidTr="00F1223B">
        <w:tc>
          <w:tcPr>
            <w:tcW w:w="4981" w:type="dxa"/>
          </w:tcPr>
          <w:p w14:paraId="58983E45" w14:textId="77777777" w:rsidR="00561B22" w:rsidRPr="00630083" w:rsidRDefault="00561B22" w:rsidP="00F1223B">
            <w:pPr>
              <w:jc w:val="center"/>
              <w:rPr>
                <w:rFonts w:ascii="Arial" w:hAnsi="Arial" w:cs="Arial"/>
                <w:b/>
                <w:sz w:val="22"/>
                <w:szCs w:val="22"/>
                <w:lang w:val="es-MX"/>
              </w:rPr>
            </w:pPr>
            <w:r w:rsidRPr="00630083">
              <w:rPr>
                <w:rFonts w:ascii="Arial" w:hAnsi="Arial" w:cs="Arial"/>
                <w:b/>
                <w:sz w:val="22"/>
                <w:szCs w:val="22"/>
                <w:lang w:val="es-MX"/>
              </w:rPr>
              <w:t>AUTOCALIFICACIÓN</w:t>
            </w:r>
          </w:p>
        </w:tc>
        <w:tc>
          <w:tcPr>
            <w:tcW w:w="4981" w:type="dxa"/>
          </w:tcPr>
          <w:p w14:paraId="6399C7FD" w14:textId="77777777" w:rsidR="00561B22" w:rsidRPr="00630083" w:rsidRDefault="00561B22" w:rsidP="00F1223B">
            <w:pPr>
              <w:jc w:val="center"/>
              <w:rPr>
                <w:rFonts w:ascii="Arial" w:hAnsi="Arial" w:cs="Arial"/>
                <w:b/>
                <w:sz w:val="22"/>
                <w:szCs w:val="22"/>
                <w:u w:val="single"/>
                <w:lang w:val="es-MX"/>
              </w:rPr>
            </w:pPr>
            <w:r w:rsidRPr="00630083">
              <w:rPr>
                <w:rFonts w:ascii="Arial" w:hAnsi="Arial" w:cs="Arial"/>
                <w:b/>
                <w:sz w:val="22"/>
                <w:szCs w:val="22"/>
                <w:u w:val="single"/>
                <w:lang w:val="es-MX"/>
              </w:rPr>
              <w:t>4.87</w:t>
            </w:r>
          </w:p>
        </w:tc>
      </w:tr>
    </w:tbl>
    <w:p w14:paraId="3B5CC01A" w14:textId="77777777" w:rsidR="00561B22" w:rsidRPr="00630083" w:rsidRDefault="00561B22" w:rsidP="00561B22">
      <w:pPr>
        <w:pStyle w:val="Textoindependiente"/>
        <w:ind w:right="-50"/>
        <w:jc w:val="both"/>
        <w:rPr>
          <w:rFonts w:ascii="Arial" w:hAnsi="Arial" w:cs="Arial"/>
          <w:b/>
          <w:bCs/>
        </w:rPr>
      </w:pPr>
    </w:p>
    <w:p w14:paraId="70427C5C" w14:textId="77777777" w:rsidR="00561B22" w:rsidRPr="00630083" w:rsidRDefault="00561B22" w:rsidP="00561B22">
      <w:pPr>
        <w:pStyle w:val="Textoindependiente"/>
        <w:ind w:right="-50"/>
        <w:jc w:val="both"/>
        <w:rPr>
          <w:rFonts w:ascii="Arial" w:hAnsi="Arial" w:cs="Arial"/>
          <w:b/>
          <w:bCs/>
        </w:rPr>
      </w:pPr>
      <w:r w:rsidRPr="00630083">
        <w:rPr>
          <w:rFonts w:ascii="Arial" w:hAnsi="Arial" w:cs="Arial"/>
          <w:b/>
          <w:bCs/>
        </w:rPr>
        <w:t>Del informe enviado retomamos lo siguiente:</w:t>
      </w:r>
    </w:p>
    <w:p w14:paraId="41A9CA3C" w14:textId="77777777" w:rsidR="00561B22" w:rsidRPr="0063008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30083" w14:paraId="28BB8671" w14:textId="77777777" w:rsidTr="00F1223B">
        <w:tc>
          <w:tcPr>
            <w:tcW w:w="562" w:type="dxa"/>
          </w:tcPr>
          <w:p w14:paraId="29C04088" w14:textId="77777777" w:rsidR="00561B22" w:rsidRPr="00630083" w:rsidRDefault="00561B22" w:rsidP="00F1223B">
            <w:pPr>
              <w:ind w:right="-109"/>
              <w:jc w:val="center"/>
              <w:rPr>
                <w:rFonts w:ascii="Arial" w:hAnsi="Arial" w:cs="Arial"/>
                <w:b/>
                <w:sz w:val="22"/>
                <w:szCs w:val="22"/>
                <w:lang w:val="es-MX"/>
              </w:rPr>
            </w:pPr>
            <w:r w:rsidRPr="00630083">
              <w:rPr>
                <w:rFonts w:ascii="Arial" w:hAnsi="Arial" w:cs="Arial"/>
                <w:b/>
                <w:sz w:val="22"/>
                <w:szCs w:val="22"/>
                <w:lang w:val="es-MX"/>
              </w:rPr>
              <w:t>N°</w:t>
            </w:r>
          </w:p>
        </w:tc>
        <w:tc>
          <w:tcPr>
            <w:tcW w:w="9400" w:type="dxa"/>
          </w:tcPr>
          <w:p w14:paraId="4F7867FD" w14:textId="77777777" w:rsidR="00561B22" w:rsidRPr="00630083" w:rsidRDefault="00561B22" w:rsidP="00F1223B">
            <w:pPr>
              <w:jc w:val="center"/>
              <w:rPr>
                <w:rFonts w:ascii="Arial" w:hAnsi="Arial" w:cs="Arial"/>
                <w:b/>
                <w:sz w:val="22"/>
                <w:szCs w:val="22"/>
                <w:lang w:val="es-MX"/>
              </w:rPr>
            </w:pPr>
            <w:r w:rsidRPr="00630083">
              <w:rPr>
                <w:rFonts w:ascii="Arial" w:hAnsi="Arial" w:cs="Arial"/>
                <w:b/>
                <w:sz w:val="22"/>
                <w:szCs w:val="22"/>
                <w:lang w:val="es-MX"/>
              </w:rPr>
              <w:t>DEBILIDADES</w:t>
            </w:r>
          </w:p>
          <w:p w14:paraId="593A32CB" w14:textId="77777777" w:rsidR="00561B22" w:rsidRPr="00630083" w:rsidRDefault="00561B22" w:rsidP="00F1223B">
            <w:pPr>
              <w:jc w:val="center"/>
              <w:rPr>
                <w:rFonts w:ascii="Arial" w:hAnsi="Arial" w:cs="Arial"/>
                <w:b/>
                <w:sz w:val="22"/>
                <w:szCs w:val="22"/>
                <w:lang w:val="es-MX"/>
              </w:rPr>
            </w:pPr>
          </w:p>
        </w:tc>
      </w:tr>
      <w:tr w:rsidR="00561B22" w:rsidRPr="00630083" w14:paraId="7F91275F" w14:textId="77777777" w:rsidTr="00F1223B">
        <w:tc>
          <w:tcPr>
            <w:tcW w:w="562" w:type="dxa"/>
          </w:tcPr>
          <w:p w14:paraId="3D2157B8" w14:textId="77777777" w:rsidR="00561B22" w:rsidRPr="00630083" w:rsidRDefault="00561B22" w:rsidP="00F1223B">
            <w:pPr>
              <w:jc w:val="center"/>
              <w:rPr>
                <w:rFonts w:ascii="Arial" w:hAnsi="Arial" w:cs="Arial"/>
                <w:b/>
                <w:sz w:val="22"/>
                <w:szCs w:val="22"/>
                <w:lang w:val="es-MX"/>
              </w:rPr>
            </w:pPr>
            <w:r w:rsidRPr="00630083">
              <w:rPr>
                <w:rFonts w:ascii="Arial" w:hAnsi="Arial" w:cs="Arial"/>
                <w:b/>
                <w:sz w:val="22"/>
                <w:szCs w:val="22"/>
                <w:lang w:val="es-MX"/>
              </w:rPr>
              <w:t>1</w:t>
            </w:r>
          </w:p>
        </w:tc>
        <w:tc>
          <w:tcPr>
            <w:tcW w:w="9400" w:type="dxa"/>
          </w:tcPr>
          <w:p w14:paraId="432F104D" w14:textId="77777777" w:rsidR="00561B22" w:rsidRPr="00630083" w:rsidRDefault="00561B22" w:rsidP="00F1223B">
            <w:pPr>
              <w:jc w:val="both"/>
              <w:rPr>
                <w:rFonts w:ascii="Arial" w:hAnsi="Arial" w:cs="Arial"/>
                <w:sz w:val="22"/>
                <w:szCs w:val="22"/>
                <w:lang w:val="es-MX"/>
              </w:rPr>
            </w:pPr>
            <w:r w:rsidRPr="00630083">
              <w:rPr>
                <w:rFonts w:ascii="Arial" w:hAnsi="Arial" w:cs="Arial"/>
                <w:sz w:val="22"/>
                <w:szCs w:val="22"/>
              </w:rPr>
              <w:t xml:space="preserve">A pesar de que se evidencian mejoras, se carece de integración en los sistemas auxiliares tales como el módulo de propiedad, plata y equipo e inventarios y el módulo de nómina, ya que el SIIF Nación no cuenta con estas herramientas y respecto a estos temas, la actualización de los registros contables es de forma manual.  </w:t>
            </w:r>
          </w:p>
        </w:tc>
      </w:tr>
    </w:tbl>
    <w:p w14:paraId="7EA059B3" w14:textId="77777777" w:rsidR="00561B22" w:rsidRPr="00630083" w:rsidRDefault="00561B22" w:rsidP="00561B22">
      <w:pPr>
        <w:pStyle w:val="Textoindependiente"/>
        <w:ind w:right="-50"/>
        <w:jc w:val="both"/>
        <w:rPr>
          <w:rFonts w:ascii="Arial" w:hAnsi="Arial" w:cs="Arial"/>
          <w:b/>
          <w:bCs/>
        </w:rPr>
      </w:pPr>
    </w:p>
    <w:p w14:paraId="689E2156" w14:textId="77777777" w:rsidR="00561B22" w:rsidRPr="00630083" w:rsidRDefault="00561B22" w:rsidP="00561B22">
      <w:pPr>
        <w:jc w:val="both"/>
        <w:rPr>
          <w:rFonts w:ascii="Arial" w:hAnsi="Arial" w:cs="Arial"/>
          <w:b/>
          <w:lang w:val="es-MX"/>
        </w:rPr>
      </w:pPr>
      <w:r w:rsidRPr="00630083">
        <w:rPr>
          <w:rFonts w:ascii="Arial" w:hAnsi="Arial" w:cs="Arial"/>
          <w:b/>
          <w:lang w:val="es-MX"/>
        </w:rPr>
        <w:t>Del citado informe retomamos las siguientes recomendaciones:</w:t>
      </w:r>
    </w:p>
    <w:p w14:paraId="1571BD15" w14:textId="77777777" w:rsidR="00561B22" w:rsidRPr="0063008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30083" w14:paraId="324D539A" w14:textId="77777777" w:rsidTr="00F1223B">
        <w:tc>
          <w:tcPr>
            <w:tcW w:w="562" w:type="dxa"/>
          </w:tcPr>
          <w:p w14:paraId="476F8421" w14:textId="77777777" w:rsidR="00561B22" w:rsidRPr="00630083" w:rsidRDefault="00561B22" w:rsidP="00F1223B">
            <w:pPr>
              <w:ind w:right="-109"/>
              <w:jc w:val="center"/>
              <w:rPr>
                <w:rFonts w:ascii="Arial" w:hAnsi="Arial" w:cs="Arial"/>
                <w:b/>
                <w:sz w:val="22"/>
                <w:szCs w:val="22"/>
                <w:lang w:val="es-MX"/>
              </w:rPr>
            </w:pPr>
            <w:r w:rsidRPr="00630083">
              <w:rPr>
                <w:rFonts w:ascii="Arial" w:hAnsi="Arial" w:cs="Arial"/>
                <w:b/>
                <w:sz w:val="22"/>
                <w:szCs w:val="22"/>
                <w:lang w:val="es-MX"/>
              </w:rPr>
              <w:t>N°</w:t>
            </w:r>
          </w:p>
        </w:tc>
        <w:tc>
          <w:tcPr>
            <w:tcW w:w="9400" w:type="dxa"/>
          </w:tcPr>
          <w:p w14:paraId="1C2CB3FE" w14:textId="77777777" w:rsidR="00561B22" w:rsidRPr="00630083" w:rsidRDefault="00561B22" w:rsidP="00F1223B">
            <w:pPr>
              <w:jc w:val="center"/>
              <w:rPr>
                <w:rFonts w:ascii="Arial" w:hAnsi="Arial" w:cs="Arial"/>
                <w:b/>
                <w:sz w:val="22"/>
                <w:szCs w:val="22"/>
                <w:lang w:val="es-MX"/>
              </w:rPr>
            </w:pPr>
            <w:r w:rsidRPr="00630083">
              <w:rPr>
                <w:rFonts w:ascii="Arial" w:hAnsi="Arial" w:cs="Arial"/>
                <w:b/>
                <w:sz w:val="22"/>
                <w:szCs w:val="22"/>
                <w:lang w:val="es-MX"/>
              </w:rPr>
              <w:t>RECOMENDACIONES</w:t>
            </w:r>
          </w:p>
          <w:p w14:paraId="7A01CE1E" w14:textId="77777777" w:rsidR="00561B22" w:rsidRPr="00630083" w:rsidRDefault="00561B22" w:rsidP="00F1223B">
            <w:pPr>
              <w:jc w:val="center"/>
              <w:rPr>
                <w:rFonts w:ascii="Arial" w:hAnsi="Arial" w:cs="Arial"/>
                <w:b/>
                <w:sz w:val="22"/>
                <w:szCs w:val="22"/>
                <w:lang w:val="es-MX"/>
              </w:rPr>
            </w:pPr>
          </w:p>
        </w:tc>
      </w:tr>
      <w:tr w:rsidR="00561B22" w:rsidRPr="00630083" w14:paraId="44EA5AF1" w14:textId="77777777" w:rsidTr="00F1223B">
        <w:tc>
          <w:tcPr>
            <w:tcW w:w="562" w:type="dxa"/>
          </w:tcPr>
          <w:p w14:paraId="5B8D1AC7" w14:textId="77777777" w:rsidR="00561B22" w:rsidRPr="00630083" w:rsidRDefault="00561B22" w:rsidP="00F1223B">
            <w:pPr>
              <w:jc w:val="center"/>
              <w:rPr>
                <w:rFonts w:ascii="Arial" w:hAnsi="Arial" w:cs="Arial"/>
                <w:b/>
                <w:sz w:val="22"/>
                <w:szCs w:val="22"/>
                <w:lang w:val="es-MX"/>
              </w:rPr>
            </w:pPr>
            <w:r w:rsidRPr="00630083">
              <w:rPr>
                <w:rFonts w:ascii="Arial" w:hAnsi="Arial" w:cs="Arial"/>
                <w:b/>
                <w:sz w:val="22"/>
                <w:szCs w:val="22"/>
                <w:lang w:val="es-MX"/>
              </w:rPr>
              <w:t>1</w:t>
            </w:r>
          </w:p>
        </w:tc>
        <w:tc>
          <w:tcPr>
            <w:tcW w:w="9400" w:type="dxa"/>
          </w:tcPr>
          <w:p w14:paraId="4F492A58" w14:textId="77777777" w:rsidR="00561B22" w:rsidRPr="00630083" w:rsidRDefault="00561B22" w:rsidP="00F1223B">
            <w:pPr>
              <w:jc w:val="both"/>
              <w:rPr>
                <w:rFonts w:ascii="Arial" w:hAnsi="Arial" w:cs="Arial"/>
                <w:sz w:val="22"/>
                <w:szCs w:val="22"/>
                <w:lang w:val="es-MX"/>
              </w:rPr>
            </w:pPr>
            <w:r w:rsidRPr="00630083">
              <w:rPr>
                <w:rFonts w:ascii="Arial" w:hAnsi="Arial" w:cs="Arial"/>
                <w:sz w:val="22"/>
                <w:szCs w:val="22"/>
              </w:rPr>
              <w:t xml:space="preserve">Continuar con la aplicación y monitoreo de los controles internos existentes acorde a la normatividad vigente, y crear los que sean necesarios para mitigar los riesgos propios del proceso.   </w:t>
            </w:r>
          </w:p>
        </w:tc>
      </w:tr>
    </w:tbl>
    <w:p w14:paraId="6DAFBBBF" w14:textId="77777777" w:rsidR="00561B22" w:rsidRPr="00630083" w:rsidRDefault="00561B22" w:rsidP="00561B22">
      <w:pPr>
        <w:pStyle w:val="Textoindependiente"/>
        <w:ind w:right="-50"/>
        <w:jc w:val="both"/>
        <w:rPr>
          <w:rFonts w:ascii="Arial" w:hAnsi="Arial" w:cs="Arial"/>
          <w:b/>
          <w:bCs/>
        </w:rPr>
      </w:pPr>
    </w:p>
    <w:p w14:paraId="09C27352" w14:textId="77777777" w:rsidR="00561B22" w:rsidRPr="00630083" w:rsidRDefault="00561B22" w:rsidP="00561B22">
      <w:pPr>
        <w:jc w:val="both"/>
        <w:rPr>
          <w:rFonts w:ascii="Arial" w:hAnsi="Arial" w:cs="Arial"/>
          <w:b/>
          <w:bCs/>
          <w:sz w:val="24"/>
          <w:szCs w:val="24"/>
          <w:lang w:val="es-CO"/>
        </w:rPr>
      </w:pPr>
      <w:r w:rsidRPr="00630083">
        <w:rPr>
          <w:rFonts w:ascii="Arial" w:hAnsi="Arial" w:cs="Arial"/>
          <w:b/>
          <w:bCs/>
          <w:sz w:val="24"/>
          <w:szCs w:val="24"/>
          <w:lang w:val="es-CO"/>
        </w:rPr>
        <w:t xml:space="preserve">NOTA: LA ENTIDAD ENVIA LA MATRIZ DE AUTOEVALUACIÓN DEL SISTEMA DE CONTROL INTERNO CONTABLE CON ACTIVIDADES DE CONTROL REALIZADAS </w:t>
      </w:r>
      <w:r w:rsidRPr="00630083">
        <w:rPr>
          <w:rFonts w:ascii="Arial" w:hAnsi="Arial" w:cs="Arial"/>
          <w:b/>
          <w:bCs/>
          <w:sz w:val="24"/>
          <w:szCs w:val="24"/>
          <w:u w:val="single"/>
          <w:lang w:val="es-CO"/>
        </w:rPr>
        <w:t>EN FORMA PARCIAL Y OTRAS SIMPLEMENTE INFORMAN QUE NO SE REALIZARON</w:t>
      </w:r>
      <w:r w:rsidRPr="00630083">
        <w:rPr>
          <w:rFonts w:ascii="Arial" w:hAnsi="Arial" w:cs="Arial"/>
          <w:b/>
          <w:bCs/>
          <w:sz w:val="24"/>
          <w:szCs w:val="24"/>
          <w:lang w:val="es-CO"/>
        </w:rPr>
        <w:t>.</w:t>
      </w:r>
    </w:p>
    <w:p w14:paraId="03CEB7AE" w14:textId="77777777" w:rsidR="00561B22" w:rsidRPr="0067097C" w:rsidRDefault="00561B22" w:rsidP="00561B22">
      <w:pPr>
        <w:ind w:left="720" w:hanging="720"/>
        <w:jc w:val="both"/>
        <w:rPr>
          <w:b/>
          <w:bCs/>
          <w:sz w:val="24"/>
          <w:szCs w:val="24"/>
          <w:lang w:val="es-CO"/>
        </w:rPr>
      </w:pPr>
    </w:p>
    <w:p w14:paraId="2C694C1A" w14:textId="77777777" w:rsidR="00561B22" w:rsidRPr="000558E7" w:rsidRDefault="00561B22" w:rsidP="00561B22">
      <w:pPr>
        <w:jc w:val="both"/>
        <w:rPr>
          <w:rFonts w:ascii="Arial" w:hAnsi="Arial" w:cs="Arial"/>
          <w:b/>
          <w:sz w:val="28"/>
          <w:szCs w:val="28"/>
          <w:lang w:val="es-MX"/>
        </w:rPr>
      </w:pPr>
      <w:r w:rsidRPr="000558E7">
        <w:rPr>
          <w:rFonts w:ascii="Arial" w:hAnsi="Arial" w:cs="Arial"/>
          <w:b/>
          <w:sz w:val="28"/>
          <w:szCs w:val="28"/>
          <w:lang w:val="es-MX"/>
        </w:rPr>
        <w:t>67.- CONSEJO NACIONAL ELECTORAL - CNE.</w:t>
      </w:r>
    </w:p>
    <w:p w14:paraId="5E995CA2" w14:textId="77777777" w:rsidR="00561B22" w:rsidRDefault="00561B22" w:rsidP="00561B22">
      <w:pPr>
        <w:jc w:val="both"/>
        <w:rPr>
          <w:rFonts w:ascii="Arial" w:hAnsi="Arial" w:cs="Arial"/>
          <w:b/>
          <w:sz w:val="28"/>
          <w:szCs w:val="28"/>
          <w:lang w:val="es-MX"/>
        </w:rPr>
      </w:pPr>
    </w:p>
    <w:p w14:paraId="3C838EDD" w14:textId="77777777" w:rsidR="00561B22" w:rsidRPr="000558E7" w:rsidRDefault="00561B22" w:rsidP="00561B22">
      <w:pPr>
        <w:pStyle w:val="Textoindependiente"/>
        <w:ind w:right="-50"/>
        <w:jc w:val="center"/>
        <w:rPr>
          <w:rFonts w:ascii="Arial" w:hAnsi="Arial" w:cs="Arial"/>
          <w:b/>
          <w:bCs/>
        </w:rPr>
      </w:pPr>
      <w:r w:rsidRPr="000558E7">
        <w:rPr>
          <w:rFonts w:ascii="Arial" w:hAnsi="Arial" w:cs="Arial"/>
          <w:b/>
          <w:bCs/>
        </w:rPr>
        <w:t>INFORME DE LA AUTOCALIFICACIÓN DEL SISTEMA DE CONTROL INTERNO CONTABLE:</w:t>
      </w:r>
    </w:p>
    <w:p w14:paraId="1E0C9039" w14:textId="77777777" w:rsidR="00561B22" w:rsidRPr="000558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558E7" w14:paraId="3C2DC7E7" w14:textId="77777777" w:rsidTr="00F1223B">
        <w:tc>
          <w:tcPr>
            <w:tcW w:w="4981" w:type="dxa"/>
          </w:tcPr>
          <w:p w14:paraId="6305AFAD"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AUTOCALIFICACIÓN</w:t>
            </w:r>
          </w:p>
        </w:tc>
        <w:tc>
          <w:tcPr>
            <w:tcW w:w="4981" w:type="dxa"/>
          </w:tcPr>
          <w:p w14:paraId="6C3158EF" w14:textId="77777777" w:rsidR="00561B22" w:rsidRPr="000558E7" w:rsidRDefault="00561B22" w:rsidP="00F1223B">
            <w:pPr>
              <w:jc w:val="center"/>
              <w:rPr>
                <w:rFonts w:ascii="Arial" w:hAnsi="Arial" w:cs="Arial"/>
                <w:b/>
                <w:sz w:val="22"/>
                <w:szCs w:val="22"/>
                <w:u w:val="single"/>
                <w:lang w:val="es-MX"/>
              </w:rPr>
            </w:pPr>
            <w:r w:rsidRPr="000558E7">
              <w:rPr>
                <w:rFonts w:ascii="Arial" w:hAnsi="Arial" w:cs="Arial"/>
                <w:b/>
                <w:sz w:val="22"/>
                <w:szCs w:val="22"/>
                <w:u w:val="single"/>
                <w:lang w:val="es-MX"/>
              </w:rPr>
              <w:t>4.08</w:t>
            </w:r>
          </w:p>
        </w:tc>
      </w:tr>
    </w:tbl>
    <w:p w14:paraId="435AC528" w14:textId="77777777" w:rsidR="00561B22" w:rsidRPr="000558E7" w:rsidRDefault="00561B22" w:rsidP="00561B22">
      <w:pPr>
        <w:pStyle w:val="Textoindependiente"/>
        <w:ind w:right="-50"/>
        <w:jc w:val="both"/>
        <w:rPr>
          <w:rFonts w:ascii="Arial" w:hAnsi="Arial" w:cs="Arial"/>
          <w:b/>
          <w:bCs/>
        </w:rPr>
      </w:pPr>
    </w:p>
    <w:p w14:paraId="0C4A5A03" w14:textId="77777777" w:rsidR="00561B22" w:rsidRPr="000558E7" w:rsidRDefault="00561B22" w:rsidP="00561B22">
      <w:pPr>
        <w:pStyle w:val="Textoindependiente"/>
        <w:ind w:right="-50"/>
        <w:jc w:val="both"/>
        <w:rPr>
          <w:rFonts w:ascii="Arial" w:hAnsi="Arial" w:cs="Arial"/>
          <w:b/>
          <w:bCs/>
        </w:rPr>
      </w:pPr>
      <w:r w:rsidRPr="000558E7">
        <w:rPr>
          <w:rFonts w:ascii="Arial" w:hAnsi="Arial" w:cs="Arial"/>
          <w:b/>
          <w:bCs/>
        </w:rPr>
        <w:t>Del informe enviado retomamos lo siguiente:</w:t>
      </w:r>
    </w:p>
    <w:p w14:paraId="1B6BEDB3" w14:textId="77777777" w:rsidR="00561B22" w:rsidRPr="000558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558E7" w14:paraId="274FB223" w14:textId="77777777" w:rsidTr="00F1223B">
        <w:tc>
          <w:tcPr>
            <w:tcW w:w="562" w:type="dxa"/>
          </w:tcPr>
          <w:p w14:paraId="168A9FE1" w14:textId="77777777" w:rsidR="00561B22" w:rsidRPr="000558E7" w:rsidRDefault="00561B22" w:rsidP="00F1223B">
            <w:pPr>
              <w:ind w:right="-109"/>
              <w:jc w:val="center"/>
              <w:rPr>
                <w:rFonts w:ascii="Arial" w:hAnsi="Arial" w:cs="Arial"/>
                <w:b/>
                <w:sz w:val="22"/>
                <w:szCs w:val="22"/>
                <w:lang w:val="es-MX"/>
              </w:rPr>
            </w:pPr>
            <w:r w:rsidRPr="000558E7">
              <w:rPr>
                <w:rFonts w:ascii="Arial" w:hAnsi="Arial" w:cs="Arial"/>
                <w:b/>
                <w:sz w:val="22"/>
                <w:szCs w:val="22"/>
                <w:lang w:val="es-MX"/>
              </w:rPr>
              <w:t>N°</w:t>
            </w:r>
          </w:p>
        </w:tc>
        <w:tc>
          <w:tcPr>
            <w:tcW w:w="9400" w:type="dxa"/>
          </w:tcPr>
          <w:p w14:paraId="5F2448E3"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DEBILIDADES</w:t>
            </w:r>
          </w:p>
          <w:p w14:paraId="0E0D179E" w14:textId="77777777" w:rsidR="00561B22" w:rsidRPr="000558E7" w:rsidRDefault="00561B22" w:rsidP="00F1223B">
            <w:pPr>
              <w:jc w:val="center"/>
              <w:rPr>
                <w:rFonts w:ascii="Arial" w:hAnsi="Arial" w:cs="Arial"/>
                <w:b/>
                <w:sz w:val="22"/>
                <w:szCs w:val="22"/>
                <w:lang w:val="es-MX"/>
              </w:rPr>
            </w:pPr>
          </w:p>
        </w:tc>
      </w:tr>
      <w:tr w:rsidR="00561B22" w:rsidRPr="000558E7" w14:paraId="12622C9E" w14:textId="77777777" w:rsidTr="00F1223B">
        <w:tc>
          <w:tcPr>
            <w:tcW w:w="562" w:type="dxa"/>
          </w:tcPr>
          <w:p w14:paraId="3771A2DC"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1</w:t>
            </w:r>
          </w:p>
        </w:tc>
        <w:tc>
          <w:tcPr>
            <w:tcW w:w="9400" w:type="dxa"/>
          </w:tcPr>
          <w:p w14:paraId="1D81A9F7" w14:textId="77777777" w:rsidR="00561B22" w:rsidRPr="000558E7" w:rsidRDefault="00561B22" w:rsidP="00F1223B">
            <w:pPr>
              <w:jc w:val="both"/>
              <w:rPr>
                <w:rFonts w:ascii="Arial" w:hAnsi="Arial" w:cs="Arial"/>
                <w:sz w:val="22"/>
                <w:szCs w:val="22"/>
                <w:lang w:val="es-MX"/>
              </w:rPr>
            </w:pPr>
            <w:r w:rsidRPr="000558E7">
              <w:rPr>
                <w:rFonts w:ascii="Arial" w:hAnsi="Arial" w:cs="Arial"/>
                <w:sz w:val="22"/>
                <w:szCs w:val="22"/>
                <w:lang w:val="es-MX"/>
              </w:rPr>
              <w:t xml:space="preserve">No se ha implementado el proceso y los procedimientos contables, ni administrativos que permitan mayor agilidad en los registros de los hechos económicos.                                                                                                                                   </w:t>
            </w:r>
          </w:p>
        </w:tc>
      </w:tr>
      <w:tr w:rsidR="00561B22" w:rsidRPr="000558E7" w14:paraId="6618CD0A" w14:textId="77777777" w:rsidTr="00F1223B">
        <w:tc>
          <w:tcPr>
            <w:tcW w:w="562" w:type="dxa"/>
          </w:tcPr>
          <w:p w14:paraId="5B56729A"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2</w:t>
            </w:r>
          </w:p>
        </w:tc>
        <w:tc>
          <w:tcPr>
            <w:tcW w:w="9400" w:type="dxa"/>
          </w:tcPr>
          <w:p w14:paraId="1E77698B" w14:textId="77777777" w:rsidR="00561B22" w:rsidRPr="000558E7" w:rsidRDefault="00561B22" w:rsidP="00F1223B">
            <w:pPr>
              <w:jc w:val="both"/>
              <w:rPr>
                <w:rFonts w:ascii="Arial" w:hAnsi="Arial" w:cs="Arial"/>
                <w:sz w:val="22"/>
                <w:szCs w:val="22"/>
                <w:lang w:val="es-MX"/>
              </w:rPr>
            </w:pPr>
            <w:r w:rsidRPr="000558E7">
              <w:rPr>
                <w:rFonts w:ascii="Arial" w:hAnsi="Arial" w:cs="Arial"/>
                <w:sz w:val="22"/>
                <w:szCs w:val="22"/>
                <w:lang w:val="es-MX"/>
              </w:rPr>
              <w:t xml:space="preserve">Falta de programas de capacitación al personal que intervienen en el proceso contable.   </w:t>
            </w:r>
          </w:p>
        </w:tc>
      </w:tr>
    </w:tbl>
    <w:p w14:paraId="607EE6C7" w14:textId="77777777" w:rsidR="00561B22" w:rsidRPr="000558E7" w:rsidRDefault="00561B22" w:rsidP="00561B22">
      <w:pPr>
        <w:pStyle w:val="Textoindependiente"/>
        <w:ind w:right="-50"/>
        <w:jc w:val="both"/>
        <w:rPr>
          <w:rFonts w:ascii="Arial" w:hAnsi="Arial" w:cs="Arial"/>
          <w:b/>
          <w:bCs/>
        </w:rPr>
      </w:pPr>
    </w:p>
    <w:p w14:paraId="7F683A94" w14:textId="77777777" w:rsidR="00561B22" w:rsidRPr="000558E7" w:rsidRDefault="00561B22" w:rsidP="00561B22">
      <w:pPr>
        <w:jc w:val="both"/>
        <w:rPr>
          <w:rFonts w:ascii="Arial" w:hAnsi="Arial" w:cs="Arial"/>
          <w:b/>
          <w:lang w:val="es-MX"/>
        </w:rPr>
      </w:pPr>
      <w:r w:rsidRPr="000558E7">
        <w:rPr>
          <w:rFonts w:ascii="Arial" w:hAnsi="Arial" w:cs="Arial"/>
          <w:b/>
          <w:lang w:val="es-MX"/>
        </w:rPr>
        <w:t>Del citado informe retomamos las siguientes recomendaciones:</w:t>
      </w:r>
    </w:p>
    <w:p w14:paraId="5C9C3B3F" w14:textId="77777777" w:rsidR="00561B22" w:rsidRPr="000558E7"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0558E7" w14:paraId="33120FAA" w14:textId="77777777" w:rsidTr="00F1223B">
        <w:tc>
          <w:tcPr>
            <w:tcW w:w="562" w:type="dxa"/>
          </w:tcPr>
          <w:p w14:paraId="7099C6E9" w14:textId="77777777" w:rsidR="00561B22" w:rsidRPr="000558E7" w:rsidRDefault="00561B22" w:rsidP="00F1223B">
            <w:pPr>
              <w:ind w:right="-109"/>
              <w:jc w:val="center"/>
              <w:rPr>
                <w:rFonts w:ascii="Arial" w:hAnsi="Arial" w:cs="Arial"/>
                <w:b/>
                <w:sz w:val="22"/>
                <w:szCs w:val="22"/>
                <w:lang w:val="es-MX"/>
              </w:rPr>
            </w:pPr>
            <w:r w:rsidRPr="000558E7">
              <w:rPr>
                <w:rFonts w:ascii="Arial" w:hAnsi="Arial" w:cs="Arial"/>
                <w:b/>
                <w:sz w:val="22"/>
                <w:szCs w:val="22"/>
                <w:lang w:val="es-MX"/>
              </w:rPr>
              <w:t>N°</w:t>
            </w:r>
          </w:p>
        </w:tc>
        <w:tc>
          <w:tcPr>
            <w:tcW w:w="9400" w:type="dxa"/>
          </w:tcPr>
          <w:p w14:paraId="5670CF7B"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RECOMENDACIONES</w:t>
            </w:r>
          </w:p>
          <w:p w14:paraId="40D47ED2" w14:textId="77777777" w:rsidR="00561B22" w:rsidRPr="000558E7" w:rsidRDefault="00561B22" w:rsidP="00F1223B">
            <w:pPr>
              <w:jc w:val="center"/>
              <w:rPr>
                <w:rFonts w:ascii="Arial" w:hAnsi="Arial" w:cs="Arial"/>
                <w:b/>
                <w:sz w:val="22"/>
                <w:szCs w:val="22"/>
                <w:lang w:val="es-MX"/>
              </w:rPr>
            </w:pPr>
          </w:p>
        </w:tc>
      </w:tr>
      <w:tr w:rsidR="00561B22" w:rsidRPr="000558E7" w14:paraId="72E51554" w14:textId="77777777" w:rsidTr="00F1223B">
        <w:tc>
          <w:tcPr>
            <w:tcW w:w="562" w:type="dxa"/>
          </w:tcPr>
          <w:p w14:paraId="56EFAA46"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1</w:t>
            </w:r>
          </w:p>
        </w:tc>
        <w:tc>
          <w:tcPr>
            <w:tcW w:w="9400" w:type="dxa"/>
          </w:tcPr>
          <w:p w14:paraId="43641E24" w14:textId="77777777" w:rsidR="00561B22" w:rsidRPr="000558E7" w:rsidRDefault="00561B22" w:rsidP="00F1223B">
            <w:pPr>
              <w:rPr>
                <w:rFonts w:ascii="Arial" w:hAnsi="Arial" w:cs="Arial"/>
                <w:sz w:val="22"/>
                <w:szCs w:val="22"/>
                <w:lang w:val="es-MX"/>
              </w:rPr>
            </w:pPr>
            <w:r w:rsidRPr="000558E7">
              <w:rPr>
                <w:rFonts w:ascii="Arial" w:hAnsi="Arial" w:cs="Arial"/>
                <w:sz w:val="22"/>
                <w:szCs w:val="22"/>
                <w:lang w:val="es-MX"/>
              </w:rPr>
              <w:t xml:space="preserve">Formalizar los procesos y procedimientos contables.                 </w:t>
            </w:r>
          </w:p>
        </w:tc>
      </w:tr>
      <w:tr w:rsidR="00561B22" w:rsidRPr="000558E7" w14:paraId="5D3421C1" w14:textId="77777777" w:rsidTr="00F1223B">
        <w:tc>
          <w:tcPr>
            <w:tcW w:w="562" w:type="dxa"/>
          </w:tcPr>
          <w:p w14:paraId="597037F1"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2</w:t>
            </w:r>
          </w:p>
        </w:tc>
        <w:tc>
          <w:tcPr>
            <w:tcW w:w="9400" w:type="dxa"/>
          </w:tcPr>
          <w:p w14:paraId="411EFF47" w14:textId="77777777" w:rsidR="00561B22" w:rsidRPr="000558E7" w:rsidRDefault="00561B22" w:rsidP="00F1223B">
            <w:pPr>
              <w:jc w:val="both"/>
              <w:rPr>
                <w:rFonts w:ascii="Arial" w:hAnsi="Arial" w:cs="Arial"/>
                <w:sz w:val="22"/>
                <w:szCs w:val="22"/>
                <w:lang w:val="es-MX"/>
              </w:rPr>
            </w:pPr>
            <w:r w:rsidRPr="000558E7">
              <w:rPr>
                <w:rFonts w:ascii="Arial" w:hAnsi="Arial" w:cs="Arial"/>
                <w:sz w:val="22"/>
                <w:szCs w:val="22"/>
                <w:lang w:val="es-MX"/>
              </w:rPr>
              <w:t xml:space="preserve">La Dirección de Gestión Corporativa debe realizar un requerimiento a Gestión Humana, con el fin de Establecer dentro del Plan Institucional un cronograma de capacitaciones para el personal involucrado en el proceso contable, como: (Actualización, aplicación y conceptualización en temas de Normatividad legal vigente.)  </w:t>
            </w:r>
          </w:p>
        </w:tc>
      </w:tr>
      <w:tr w:rsidR="00561B22" w:rsidRPr="000558E7" w14:paraId="10AF21CF" w14:textId="77777777" w:rsidTr="00F1223B">
        <w:tc>
          <w:tcPr>
            <w:tcW w:w="562" w:type="dxa"/>
          </w:tcPr>
          <w:p w14:paraId="33FFD696"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3</w:t>
            </w:r>
          </w:p>
        </w:tc>
        <w:tc>
          <w:tcPr>
            <w:tcW w:w="9400" w:type="dxa"/>
          </w:tcPr>
          <w:p w14:paraId="78D7FA6D" w14:textId="77777777" w:rsidR="00561B22" w:rsidRPr="000558E7" w:rsidRDefault="00561B22" w:rsidP="00F1223B">
            <w:pPr>
              <w:rPr>
                <w:rFonts w:ascii="Arial" w:hAnsi="Arial" w:cs="Arial"/>
                <w:sz w:val="22"/>
                <w:szCs w:val="22"/>
                <w:lang w:val="es-MX"/>
              </w:rPr>
            </w:pPr>
            <w:r w:rsidRPr="000558E7">
              <w:rPr>
                <w:rFonts w:ascii="Arial" w:hAnsi="Arial" w:cs="Arial"/>
                <w:sz w:val="22"/>
                <w:szCs w:val="22"/>
                <w:lang w:val="es-MX"/>
              </w:rPr>
              <w:t>Elaboración de actas de las socializaciones al personal involucrado en el proceso.</w:t>
            </w:r>
          </w:p>
        </w:tc>
      </w:tr>
      <w:tr w:rsidR="00561B22" w:rsidRPr="000558E7" w14:paraId="51158446" w14:textId="77777777" w:rsidTr="00F1223B">
        <w:tc>
          <w:tcPr>
            <w:tcW w:w="562" w:type="dxa"/>
          </w:tcPr>
          <w:p w14:paraId="29B0BF91"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4</w:t>
            </w:r>
          </w:p>
        </w:tc>
        <w:tc>
          <w:tcPr>
            <w:tcW w:w="9400" w:type="dxa"/>
          </w:tcPr>
          <w:p w14:paraId="7CB1EE72" w14:textId="77777777" w:rsidR="00561B22" w:rsidRPr="000558E7" w:rsidRDefault="00561B22" w:rsidP="00F1223B">
            <w:pPr>
              <w:jc w:val="both"/>
              <w:rPr>
                <w:rFonts w:ascii="Arial" w:hAnsi="Arial" w:cs="Arial"/>
                <w:sz w:val="22"/>
                <w:szCs w:val="22"/>
                <w:lang w:val="es-MX"/>
              </w:rPr>
            </w:pPr>
            <w:r w:rsidRPr="000558E7">
              <w:rPr>
                <w:rFonts w:ascii="Arial" w:hAnsi="Arial" w:cs="Arial"/>
                <w:sz w:val="22"/>
                <w:szCs w:val="22"/>
                <w:lang w:val="es-MX"/>
              </w:rPr>
              <w:t>Conformar el comité de sostenibilidad contable para el saneamiento de las cuentas contables que lo ameriten.</w:t>
            </w:r>
          </w:p>
        </w:tc>
      </w:tr>
      <w:tr w:rsidR="00561B22" w:rsidRPr="000558E7" w14:paraId="66F61BB4" w14:textId="77777777" w:rsidTr="00F1223B">
        <w:tc>
          <w:tcPr>
            <w:tcW w:w="562" w:type="dxa"/>
          </w:tcPr>
          <w:p w14:paraId="41804AD2" w14:textId="77777777" w:rsidR="00561B22" w:rsidRPr="000558E7" w:rsidRDefault="00561B22" w:rsidP="00F1223B">
            <w:pPr>
              <w:jc w:val="center"/>
              <w:rPr>
                <w:rFonts w:ascii="Arial" w:hAnsi="Arial" w:cs="Arial"/>
                <w:b/>
                <w:sz w:val="22"/>
                <w:szCs w:val="22"/>
                <w:lang w:val="es-MX"/>
              </w:rPr>
            </w:pPr>
            <w:r w:rsidRPr="000558E7">
              <w:rPr>
                <w:rFonts w:ascii="Arial" w:hAnsi="Arial" w:cs="Arial"/>
                <w:b/>
                <w:sz w:val="22"/>
                <w:szCs w:val="22"/>
                <w:lang w:val="es-MX"/>
              </w:rPr>
              <w:t>5</w:t>
            </w:r>
          </w:p>
        </w:tc>
        <w:tc>
          <w:tcPr>
            <w:tcW w:w="9400" w:type="dxa"/>
          </w:tcPr>
          <w:p w14:paraId="71C32883" w14:textId="77777777" w:rsidR="00561B22" w:rsidRPr="000558E7" w:rsidRDefault="00561B22" w:rsidP="00F1223B">
            <w:pPr>
              <w:jc w:val="both"/>
              <w:rPr>
                <w:rFonts w:ascii="Arial" w:hAnsi="Arial" w:cs="Arial"/>
                <w:sz w:val="22"/>
                <w:szCs w:val="22"/>
                <w:lang w:val="es-MX"/>
              </w:rPr>
            </w:pPr>
            <w:r w:rsidRPr="000558E7">
              <w:rPr>
                <w:rFonts w:ascii="Arial" w:hAnsi="Arial" w:cs="Arial"/>
                <w:sz w:val="22"/>
                <w:szCs w:val="22"/>
                <w:lang w:val="es-MX"/>
              </w:rPr>
              <w:t xml:space="preserve">Establecer riesgos adecuados al proceso contable para realizar los análisis e informar apropiadamente la situación, resultados y directrices en la gestión de la empresa.  </w:t>
            </w:r>
          </w:p>
        </w:tc>
      </w:tr>
    </w:tbl>
    <w:p w14:paraId="0A91BACF" w14:textId="77777777" w:rsidR="00561B22" w:rsidRPr="000558E7" w:rsidRDefault="00561B22" w:rsidP="00561B22">
      <w:pPr>
        <w:pStyle w:val="Textoindependiente"/>
        <w:ind w:right="-50"/>
        <w:jc w:val="both"/>
        <w:rPr>
          <w:rFonts w:ascii="Arial" w:hAnsi="Arial" w:cs="Arial"/>
          <w:b/>
          <w:bCs/>
        </w:rPr>
      </w:pPr>
    </w:p>
    <w:p w14:paraId="13B858B1" w14:textId="77777777" w:rsidR="00561B22" w:rsidRPr="000558E7" w:rsidRDefault="00561B22" w:rsidP="00561B22">
      <w:pPr>
        <w:jc w:val="both"/>
        <w:rPr>
          <w:rFonts w:ascii="Arial" w:hAnsi="Arial" w:cs="Arial"/>
          <w:b/>
          <w:bCs/>
          <w:sz w:val="24"/>
          <w:szCs w:val="24"/>
          <w:lang w:val="es-CO"/>
        </w:rPr>
      </w:pPr>
      <w:r w:rsidRPr="000558E7">
        <w:rPr>
          <w:rFonts w:ascii="Arial" w:hAnsi="Arial" w:cs="Arial"/>
          <w:b/>
          <w:bCs/>
          <w:sz w:val="24"/>
          <w:szCs w:val="24"/>
          <w:lang w:val="es-CO"/>
        </w:rPr>
        <w:t xml:space="preserve">NOTA: LA ENTIDAD ENVIA LA MATRIZ DE AUTOEVALUACIÓN DEL SISTEMA DE CONTROL INTERNO CONTABLE CON ACTIVIDADES DE CONTROL REALIZADAS </w:t>
      </w:r>
      <w:r w:rsidRPr="000558E7">
        <w:rPr>
          <w:rFonts w:ascii="Arial" w:hAnsi="Arial" w:cs="Arial"/>
          <w:b/>
          <w:bCs/>
          <w:sz w:val="24"/>
          <w:szCs w:val="24"/>
          <w:u w:val="single"/>
          <w:lang w:val="es-CO"/>
        </w:rPr>
        <w:t>EN FORMA PARCIAL Y OTRAS SIMPLEMENTE INFORMAN QUE NO SE REALIZARON</w:t>
      </w:r>
      <w:r w:rsidRPr="000558E7">
        <w:rPr>
          <w:rFonts w:ascii="Arial" w:hAnsi="Arial" w:cs="Arial"/>
          <w:b/>
          <w:bCs/>
          <w:sz w:val="24"/>
          <w:szCs w:val="24"/>
          <w:lang w:val="es-CO"/>
        </w:rPr>
        <w:t>.</w:t>
      </w:r>
    </w:p>
    <w:p w14:paraId="222F2856" w14:textId="77777777" w:rsidR="00561B22" w:rsidRPr="000558E7" w:rsidRDefault="00561B22" w:rsidP="00561B22">
      <w:pPr>
        <w:ind w:left="720" w:hanging="720"/>
        <w:jc w:val="both"/>
        <w:rPr>
          <w:rFonts w:ascii="Arial" w:hAnsi="Arial" w:cs="Arial"/>
          <w:b/>
          <w:bCs/>
          <w:sz w:val="24"/>
          <w:szCs w:val="24"/>
          <w:lang w:val="es-CO"/>
        </w:rPr>
      </w:pPr>
    </w:p>
    <w:p w14:paraId="062B4144" w14:textId="77777777" w:rsidR="00561B22" w:rsidRPr="00090E75" w:rsidRDefault="00561B22" w:rsidP="00561B22">
      <w:pPr>
        <w:jc w:val="both"/>
        <w:rPr>
          <w:rFonts w:ascii="Arial" w:hAnsi="Arial" w:cs="Arial"/>
          <w:b/>
          <w:sz w:val="28"/>
          <w:szCs w:val="28"/>
          <w:lang w:val="es-MX"/>
        </w:rPr>
      </w:pPr>
      <w:r w:rsidRPr="00090E75">
        <w:rPr>
          <w:rFonts w:ascii="Arial" w:hAnsi="Arial" w:cs="Arial"/>
          <w:b/>
          <w:sz w:val="28"/>
          <w:szCs w:val="28"/>
          <w:lang w:val="es-MX"/>
        </w:rPr>
        <w:t xml:space="preserve">68.- PROCURADURÍA GENERAL DE LA NACIÓN. </w:t>
      </w:r>
    </w:p>
    <w:p w14:paraId="44736EE5" w14:textId="77777777" w:rsidR="00561B22" w:rsidRDefault="00561B22" w:rsidP="00561B22">
      <w:pPr>
        <w:pStyle w:val="Textoindependiente"/>
        <w:tabs>
          <w:tab w:val="left" w:pos="2055"/>
        </w:tabs>
        <w:spacing w:before="5"/>
        <w:rPr>
          <w:sz w:val="17"/>
        </w:rPr>
      </w:pPr>
    </w:p>
    <w:p w14:paraId="1B7232F1" w14:textId="77777777" w:rsidR="00561B22" w:rsidRPr="00090E75" w:rsidRDefault="00561B22" w:rsidP="00561B22">
      <w:pPr>
        <w:pStyle w:val="Textoindependiente"/>
        <w:ind w:right="-50"/>
        <w:jc w:val="center"/>
        <w:rPr>
          <w:rFonts w:ascii="Arial" w:hAnsi="Arial" w:cs="Arial"/>
          <w:b/>
          <w:bCs/>
        </w:rPr>
      </w:pPr>
      <w:r w:rsidRPr="00090E75">
        <w:rPr>
          <w:rFonts w:ascii="Arial" w:hAnsi="Arial" w:cs="Arial"/>
          <w:b/>
          <w:bCs/>
        </w:rPr>
        <w:t>INFORME DE LA AUTOCALIFICACIÓN DEL SISTEMA DE CONTROL INTERNO CONTABLE:</w:t>
      </w:r>
    </w:p>
    <w:p w14:paraId="071902AC" w14:textId="77777777" w:rsidR="00561B22" w:rsidRPr="00090E7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90E75" w14:paraId="08F48F6C" w14:textId="77777777" w:rsidTr="00F1223B">
        <w:tc>
          <w:tcPr>
            <w:tcW w:w="4981" w:type="dxa"/>
          </w:tcPr>
          <w:p w14:paraId="65884006"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AUTOCALIFICACIÓN</w:t>
            </w:r>
          </w:p>
        </w:tc>
        <w:tc>
          <w:tcPr>
            <w:tcW w:w="4981" w:type="dxa"/>
          </w:tcPr>
          <w:p w14:paraId="370D0138" w14:textId="77777777" w:rsidR="00561B22" w:rsidRPr="00090E75" w:rsidRDefault="00561B22" w:rsidP="00F1223B">
            <w:pPr>
              <w:jc w:val="center"/>
              <w:rPr>
                <w:rFonts w:ascii="Arial" w:hAnsi="Arial" w:cs="Arial"/>
                <w:b/>
                <w:sz w:val="22"/>
                <w:szCs w:val="22"/>
                <w:u w:val="single"/>
                <w:lang w:val="es-MX"/>
              </w:rPr>
            </w:pPr>
            <w:r w:rsidRPr="00090E75">
              <w:rPr>
                <w:rFonts w:ascii="Arial" w:hAnsi="Arial" w:cs="Arial"/>
                <w:b/>
                <w:sz w:val="22"/>
                <w:szCs w:val="22"/>
                <w:u w:val="single"/>
                <w:lang w:val="es-MX"/>
              </w:rPr>
              <w:t>4.95</w:t>
            </w:r>
          </w:p>
        </w:tc>
      </w:tr>
    </w:tbl>
    <w:p w14:paraId="292EE00D" w14:textId="77777777" w:rsidR="00561B22" w:rsidRPr="00090E75" w:rsidRDefault="00561B22" w:rsidP="00561B22">
      <w:pPr>
        <w:pStyle w:val="Textoindependiente"/>
        <w:ind w:right="-50"/>
        <w:jc w:val="both"/>
        <w:rPr>
          <w:rFonts w:ascii="Arial" w:hAnsi="Arial" w:cs="Arial"/>
          <w:b/>
          <w:bCs/>
        </w:rPr>
      </w:pPr>
    </w:p>
    <w:p w14:paraId="065626F2" w14:textId="77777777" w:rsidR="00561B22" w:rsidRPr="00090E75" w:rsidRDefault="00561B22" w:rsidP="00561B22">
      <w:pPr>
        <w:pStyle w:val="Textoindependiente"/>
        <w:ind w:right="-50"/>
        <w:jc w:val="both"/>
        <w:rPr>
          <w:rFonts w:ascii="Arial" w:hAnsi="Arial" w:cs="Arial"/>
          <w:b/>
          <w:bCs/>
        </w:rPr>
      </w:pPr>
      <w:r w:rsidRPr="00090E75">
        <w:rPr>
          <w:rFonts w:ascii="Arial" w:hAnsi="Arial" w:cs="Arial"/>
          <w:b/>
          <w:bCs/>
        </w:rPr>
        <w:t>Del informe enviado retomamos lo siguiente:</w:t>
      </w:r>
    </w:p>
    <w:p w14:paraId="3220CBAF" w14:textId="77777777" w:rsidR="00561B22" w:rsidRPr="00090E7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90E75" w14:paraId="27C75C56" w14:textId="77777777" w:rsidTr="00F1223B">
        <w:tc>
          <w:tcPr>
            <w:tcW w:w="562" w:type="dxa"/>
          </w:tcPr>
          <w:p w14:paraId="2F32D423" w14:textId="77777777" w:rsidR="00561B22" w:rsidRPr="00090E75" w:rsidRDefault="00561B22" w:rsidP="00F1223B">
            <w:pPr>
              <w:ind w:right="-109"/>
              <w:jc w:val="center"/>
              <w:rPr>
                <w:rFonts w:ascii="Arial" w:hAnsi="Arial" w:cs="Arial"/>
                <w:b/>
                <w:sz w:val="22"/>
                <w:szCs w:val="22"/>
                <w:lang w:val="es-MX"/>
              </w:rPr>
            </w:pPr>
            <w:r w:rsidRPr="00090E75">
              <w:rPr>
                <w:rFonts w:ascii="Arial" w:hAnsi="Arial" w:cs="Arial"/>
                <w:b/>
                <w:sz w:val="22"/>
                <w:szCs w:val="22"/>
                <w:lang w:val="es-MX"/>
              </w:rPr>
              <w:t>N°</w:t>
            </w:r>
          </w:p>
        </w:tc>
        <w:tc>
          <w:tcPr>
            <w:tcW w:w="9400" w:type="dxa"/>
          </w:tcPr>
          <w:p w14:paraId="4C011B34"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DEBILIDADES</w:t>
            </w:r>
          </w:p>
          <w:p w14:paraId="617D8795" w14:textId="77777777" w:rsidR="00561B22" w:rsidRPr="00090E75" w:rsidRDefault="00561B22" w:rsidP="00F1223B">
            <w:pPr>
              <w:jc w:val="center"/>
              <w:rPr>
                <w:rFonts w:ascii="Arial" w:hAnsi="Arial" w:cs="Arial"/>
                <w:b/>
                <w:sz w:val="22"/>
                <w:szCs w:val="22"/>
                <w:lang w:val="es-MX"/>
              </w:rPr>
            </w:pPr>
          </w:p>
        </w:tc>
      </w:tr>
      <w:tr w:rsidR="00561B22" w:rsidRPr="00090E75" w14:paraId="6AAEF826" w14:textId="77777777" w:rsidTr="00F1223B">
        <w:tc>
          <w:tcPr>
            <w:tcW w:w="562" w:type="dxa"/>
          </w:tcPr>
          <w:p w14:paraId="262E16BA"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1</w:t>
            </w:r>
          </w:p>
        </w:tc>
        <w:tc>
          <w:tcPr>
            <w:tcW w:w="9400" w:type="dxa"/>
          </w:tcPr>
          <w:p w14:paraId="512A9BFC"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En materia del Plan Institucional de Capacitación para el personal involucrado en el proceso contable, se evidenció un cumplimiento parcial, toda vez que se solicitaron cuatro (4) capacitaciones para fortalecer las competencias del personal involucrado en el proceso contable, a saber: Ofimática, Plataforma para el análisis de datos como Power BI, Office Microsoft 365 y temas tributarios; al respecto, se precisa que frente a la solicitud impetrada por la Jefe de División Financiera solo se realizó la capacitación en Power BI y asistió un funcionario adscrito del proceso financiero. Lo señalado en el párrafo anterior, puede generar en el personal involucrado en el proceso contable, debilidades en temas que son claves para el desarrollo de su gestión, un ejemplo de ello es no estar actualizado en temas tributarios.</w:t>
            </w:r>
          </w:p>
        </w:tc>
      </w:tr>
      <w:tr w:rsidR="00561B22" w:rsidRPr="00090E75" w14:paraId="13AB615F" w14:textId="77777777" w:rsidTr="00F1223B">
        <w:tc>
          <w:tcPr>
            <w:tcW w:w="562" w:type="dxa"/>
          </w:tcPr>
          <w:p w14:paraId="5572AF55"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2</w:t>
            </w:r>
          </w:p>
        </w:tc>
        <w:tc>
          <w:tcPr>
            <w:tcW w:w="9400" w:type="dxa"/>
          </w:tcPr>
          <w:p w14:paraId="2BBD2E71"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la desactualización en herramientas tecnológicas puede obrar en detrimento de la eficiencia y eficacia en el desarrollo de las actividades propias del proceso contable.</w:t>
            </w:r>
          </w:p>
        </w:tc>
      </w:tr>
      <w:tr w:rsidR="00561B22" w:rsidRPr="00090E75" w14:paraId="66216629" w14:textId="77777777" w:rsidTr="00F1223B">
        <w:tc>
          <w:tcPr>
            <w:tcW w:w="562" w:type="dxa"/>
          </w:tcPr>
          <w:p w14:paraId="30C33575"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3</w:t>
            </w:r>
          </w:p>
        </w:tc>
        <w:tc>
          <w:tcPr>
            <w:tcW w:w="9400" w:type="dxa"/>
          </w:tcPr>
          <w:p w14:paraId="4BE688F8"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En materia de criterios de medición posterior, en la guía. “Proveedores de Información Contable” se establece los proveedores de información encargados de aplicar dichos criterios en cada uno de los elementos de los estados financieros que les aplica; no obstante, en lo referente a las cuentas por cobrar por concepto de incapacidades, no se evidencia un documento (Procedimiento, guía, instructivo, entre otros) que registre la metodología y los responsables de calcular el deterioro de este tipo de cuentas, generando debilidades que pueden afectar la realidad de las condiciones de cartera en términos de las cuantías consignadas en los gastos anuales y en el activo, situación que, eventualmente pueda generar impactos en el patrimonio, producto de la corrección de errores de años anteriores, una vez se tomen decisiones de baja de las cuentas por cobrar.</w:t>
            </w:r>
          </w:p>
        </w:tc>
      </w:tr>
    </w:tbl>
    <w:p w14:paraId="2A592B75" w14:textId="77777777" w:rsidR="00561B22" w:rsidRPr="00090E75" w:rsidRDefault="00561B22" w:rsidP="00561B22">
      <w:pPr>
        <w:pStyle w:val="Textoindependiente"/>
        <w:ind w:right="-50"/>
        <w:jc w:val="both"/>
        <w:rPr>
          <w:rFonts w:ascii="Arial" w:hAnsi="Arial" w:cs="Arial"/>
          <w:b/>
          <w:bCs/>
        </w:rPr>
      </w:pPr>
    </w:p>
    <w:p w14:paraId="39E4E4F2" w14:textId="77777777" w:rsidR="00561B22" w:rsidRPr="00090E75" w:rsidRDefault="00561B22" w:rsidP="00561B22">
      <w:pPr>
        <w:jc w:val="both"/>
        <w:rPr>
          <w:rFonts w:ascii="Arial" w:hAnsi="Arial" w:cs="Arial"/>
          <w:b/>
          <w:lang w:val="es-MX"/>
        </w:rPr>
      </w:pPr>
      <w:r w:rsidRPr="00090E75">
        <w:rPr>
          <w:rFonts w:ascii="Arial" w:hAnsi="Arial" w:cs="Arial"/>
          <w:b/>
          <w:lang w:val="es-MX"/>
        </w:rPr>
        <w:t>Del citado informe retomamos las siguientes recomendaciones:</w:t>
      </w:r>
    </w:p>
    <w:p w14:paraId="1D2FEFA8" w14:textId="77777777" w:rsidR="00561B22" w:rsidRPr="00090E7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90E75" w14:paraId="35C5C5EF" w14:textId="77777777" w:rsidTr="00F1223B">
        <w:tc>
          <w:tcPr>
            <w:tcW w:w="562" w:type="dxa"/>
          </w:tcPr>
          <w:p w14:paraId="5309CE68" w14:textId="77777777" w:rsidR="00561B22" w:rsidRPr="00090E75" w:rsidRDefault="00561B22" w:rsidP="00F1223B">
            <w:pPr>
              <w:ind w:right="-109"/>
              <w:jc w:val="center"/>
              <w:rPr>
                <w:rFonts w:ascii="Arial" w:hAnsi="Arial" w:cs="Arial"/>
                <w:b/>
                <w:sz w:val="22"/>
                <w:szCs w:val="22"/>
                <w:lang w:val="es-MX"/>
              </w:rPr>
            </w:pPr>
            <w:r w:rsidRPr="00090E75">
              <w:rPr>
                <w:rFonts w:ascii="Arial" w:hAnsi="Arial" w:cs="Arial"/>
                <w:b/>
                <w:sz w:val="22"/>
                <w:szCs w:val="22"/>
                <w:lang w:val="es-MX"/>
              </w:rPr>
              <w:t>N°</w:t>
            </w:r>
          </w:p>
        </w:tc>
        <w:tc>
          <w:tcPr>
            <w:tcW w:w="9400" w:type="dxa"/>
          </w:tcPr>
          <w:p w14:paraId="3A404579"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RECOMENDACIONES</w:t>
            </w:r>
          </w:p>
          <w:p w14:paraId="4EB5F6B1" w14:textId="77777777" w:rsidR="00561B22" w:rsidRPr="00090E75" w:rsidRDefault="00561B22" w:rsidP="00F1223B">
            <w:pPr>
              <w:jc w:val="center"/>
              <w:rPr>
                <w:rFonts w:ascii="Arial" w:hAnsi="Arial" w:cs="Arial"/>
                <w:b/>
                <w:sz w:val="22"/>
                <w:szCs w:val="22"/>
                <w:lang w:val="es-MX"/>
              </w:rPr>
            </w:pPr>
          </w:p>
        </w:tc>
      </w:tr>
      <w:tr w:rsidR="00561B22" w:rsidRPr="00090E75" w14:paraId="1E42A778" w14:textId="77777777" w:rsidTr="00F1223B">
        <w:tc>
          <w:tcPr>
            <w:tcW w:w="562" w:type="dxa"/>
          </w:tcPr>
          <w:p w14:paraId="7F472F4C"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1</w:t>
            </w:r>
          </w:p>
        </w:tc>
        <w:tc>
          <w:tcPr>
            <w:tcW w:w="9400" w:type="dxa"/>
          </w:tcPr>
          <w:p w14:paraId="68EE6FC4"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Continuar sensibilizando a los proveedores de información contable sobre la importancia de dar cumplimiento a la regulación expedida por la Contaduría General de la Nación en materia de control interno contable, incorporada en el anexo la Resolución 193 de 2016; donde en el numeral 3.2.9.2 contempla la responsabilidad de quienes ejecutan procesos diferentes al contable y en el 3.2.2 la visión sistémica de la contabilidad y el compromiso institucional.</w:t>
            </w:r>
          </w:p>
        </w:tc>
      </w:tr>
      <w:tr w:rsidR="00561B22" w:rsidRPr="00090E75" w14:paraId="130E3A1B" w14:textId="77777777" w:rsidTr="00F1223B">
        <w:tc>
          <w:tcPr>
            <w:tcW w:w="562" w:type="dxa"/>
          </w:tcPr>
          <w:p w14:paraId="7E1F6455"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2</w:t>
            </w:r>
          </w:p>
        </w:tc>
        <w:tc>
          <w:tcPr>
            <w:tcW w:w="9400" w:type="dxa"/>
          </w:tcPr>
          <w:p w14:paraId="1559047F"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Implementar mecanismos de autocontrol que eviten que los gastos e ingresos de la vigencia (Resultado del ejercicio), se vean afectados por datos de vigencias anteriores.</w:t>
            </w:r>
          </w:p>
        </w:tc>
      </w:tr>
      <w:tr w:rsidR="00561B22" w:rsidRPr="00090E75" w14:paraId="32C9AE0E" w14:textId="77777777" w:rsidTr="00F1223B">
        <w:tc>
          <w:tcPr>
            <w:tcW w:w="562" w:type="dxa"/>
          </w:tcPr>
          <w:p w14:paraId="23D7D99A"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3</w:t>
            </w:r>
          </w:p>
        </w:tc>
        <w:tc>
          <w:tcPr>
            <w:tcW w:w="9400" w:type="dxa"/>
          </w:tcPr>
          <w:p w14:paraId="2AC3C0D6"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Reiterar ante el Instituto de Estudios el Ministerio Público la solicitud de las capacitaciones requeridas para fortalecer las competencias del personal involucrado en el proceso contable, especialmente las referentes a actualizaciones tributarias y la actualización y formación en las nuevas tecnologías, como Plataformas para el análisis de datos POWER BI.</w:t>
            </w:r>
          </w:p>
        </w:tc>
      </w:tr>
      <w:tr w:rsidR="00561B22" w:rsidRPr="00090E75" w14:paraId="36CF545A" w14:textId="77777777" w:rsidTr="00F1223B">
        <w:tc>
          <w:tcPr>
            <w:tcW w:w="562" w:type="dxa"/>
          </w:tcPr>
          <w:p w14:paraId="7E272088"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4</w:t>
            </w:r>
          </w:p>
        </w:tc>
        <w:tc>
          <w:tcPr>
            <w:tcW w:w="9400" w:type="dxa"/>
          </w:tcPr>
          <w:p w14:paraId="3E17EC41"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En materia de cuentas por cobrar por concepto de incapacidades, se recomienda que la División Financiera coordine con líder del proceso de Talento Humano para que gestione, con la asesoría de la Oficina Jurídica, la elaboración del documento (Procedimiento, guía, instructivo, entre otros) que registre la metodología y los responsables de calcular el deterioro de este tipo de cuentas, a fin de evitar que se afecte la realidad de esta cartera, en términos de las cuantías consignadas en los gastos anuales y en el activo.</w:t>
            </w:r>
          </w:p>
        </w:tc>
      </w:tr>
      <w:tr w:rsidR="00561B22" w:rsidRPr="00090E75" w14:paraId="419C3F4D" w14:textId="77777777" w:rsidTr="00F1223B">
        <w:tc>
          <w:tcPr>
            <w:tcW w:w="562" w:type="dxa"/>
          </w:tcPr>
          <w:p w14:paraId="4AE3D943" w14:textId="77777777" w:rsidR="00561B22" w:rsidRPr="00090E75" w:rsidRDefault="00561B22" w:rsidP="00F1223B">
            <w:pPr>
              <w:jc w:val="center"/>
              <w:rPr>
                <w:rFonts w:ascii="Arial" w:hAnsi="Arial" w:cs="Arial"/>
                <w:b/>
                <w:sz w:val="22"/>
                <w:szCs w:val="22"/>
                <w:lang w:val="es-MX"/>
              </w:rPr>
            </w:pPr>
            <w:r w:rsidRPr="00090E75">
              <w:rPr>
                <w:rFonts w:ascii="Arial" w:hAnsi="Arial" w:cs="Arial"/>
                <w:b/>
                <w:sz w:val="22"/>
                <w:szCs w:val="22"/>
                <w:lang w:val="es-MX"/>
              </w:rPr>
              <w:t>5</w:t>
            </w:r>
          </w:p>
        </w:tc>
        <w:tc>
          <w:tcPr>
            <w:tcW w:w="9400" w:type="dxa"/>
          </w:tcPr>
          <w:p w14:paraId="2212ADA4" w14:textId="77777777" w:rsidR="00561B22" w:rsidRPr="00090E75" w:rsidRDefault="00561B22" w:rsidP="00F1223B">
            <w:pPr>
              <w:jc w:val="both"/>
              <w:rPr>
                <w:rFonts w:ascii="Arial" w:hAnsi="Arial" w:cs="Arial"/>
                <w:sz w:val="22"/>
                <w:szCs w:val="22"/>
                <w:lang w:val="es-MX"/>
              </w:rPr>
            </w:pPr>
            <w:r w:rsidRPr="00090E75">
              <w:rPr>
                <w:rFonts w:ascii="Arial" w:hAnsi="Arial" w:cs="Arial"/>
                <w:sz w:val="22"/>
                <w:szCs w:val="22"/>
                <w:lang w:val="es-MX"/>
              </w:rPr>
              <w:t>En relación con las diferencias mostradas en el reporte de Operaciones Recíprocas, por parte de la División Financiera –Grupo de Contabilidad, adelantar las acciones a que haya lugar ante las entidades correlativas y, si es del caso, elevar consulta ante la Contaduría General de la Nación CGN para establecer un protocolo que permita subsanar aquellas diferencias catalogados como: “Criterio contable y normatividad vigente” e “Inconsistencias en reporte y registros contables</w:t>
            </w:r>
          </w:p>
        </w:tc>
      </w:tr>
    </w:tbl>
    <w:p w14:paraId="223534D5" w14:textId="77777777" w:rsidR="00561B22" w:rsidRPr="00090E75" w:rsidRDefault="00561B22" w:rsidP="00561B22">
      <w:pPr>
        <w:ind w:left="720" w:hanging="720"/>
        <w:jc w:val="both"/>
        <w:rPr>
          <w:rFonts w:ascii="Arial" w:hAnsi="Arial" w:cs="Arial"/>
          <w:b/>
          <w:bCs/>
          <w:lang w:val="es-CO"/>
        </w:rPr>
      </w:pPr>
    </w:p>
    <w:p w14:paraId="6E388A45" w14:textId="77777777" w:rsidR="00561B22" w:rsidRPr="00090E75" w:rsidRDefault="00561B22" w:rsidP="00561B22">
      <w:pPr>
        <w:jc w:val="both"/>
        <w:rPr>
          <w:rFonts w:ascii="Arial" w:hAnsi="Arial" w:cs="Arial"/>
          <w:b/>
          <w:bCs/>
          <w:sz w:val="24"/>
          <w:szCs w:val="24"/>
          <w:lang w:val="es-CO"/>
        </w:rPr>
      </w:pPr>
      <w:r w:rsidRPr="00090E75">
        <w:rPr>
          <w:rFonts w:ascii="Arial" w:hAnsi="Arial" w:cs="Arial"/>
          <w:b/>
          <w:bCs/>
          <w:sz w:val="24"/>
          <w:szCs w:val="24"/>
          <w:lang w:val="es-CO"/>
        </w:rPr>
        <w:t xml:space="preserve">NOTA: LA ENTIDAD ENVIA LA MATRIZ DE AUTOEVALUACIÓN DEL SISTEMA DE CONTROL INTERNO CONTABLE CON </w:t>
      </w:r>
      <w:r w:rsidRPr="00090E75">
        <w:rPr>
          <w:rFonts w:ascii="Arial" w:hAnsi="Arial" w:cs="Arial"/>
          <w:b/>
          <w:bCs/>
          <w:sz w:val="24"/>
          <w:szCs w:val="24"/>
          <w:u w:val="single"/>
          <w:lang w:val="es-CO"/>
        </w:rPr>
        <w:t>ACTIVIDADES DE CONTROL REALIZADAS EN FORMA PARCIAL</w:t>
      </w:r>
      <w:r w:rsidRPr="00090E75">
        <w:rPr>
          <w:rFonts w:ascii="Arial" w:hAnsi="Arial" w:cs="Arial"/>
          <w:b/>
          <w:bCs/>
          <w:sz w:val="24"/>
          <w:szCs w:val="24"/>
          <w:lang w:val="es-CO"/>
        </w:rPr>
        <w:t>.</w:t>
      </w:r>
    </w:p>
    <w:p w14:paraId="0A1D706E" w14:textId="77777777" w:rsidR="00561B22" w:rsidRDefault="00561B22" w:rsidP="00561B22">
      <w:pPr>
        <w:pStyle w:val="Textoindependiente"/>
        <w:tabs>
          <w:tab w:val="left" w:pos="2055"/>
        </w:tabs>
        <w:spacing w:before="5"/>
        <w:rPr>
          <w:sz w:val="17"/>
        </w:rPr>
      </w:pPr>
    </w:p>
    <w:p w14:paraId="266EED13" w14:textId="77777777" w:rsidR="00561B22" w:rsidRPr="00397280" w:rsidRDefault="00561B22" w:rsidP="00561B22">
      <w:pPr>
        <w:jc w:val="both"/>
        <w:rPr>
          <w:rFonts w:ascii="Arial" w:hAnsi="Arial" w:cs="Arial"/>
          <w:b/>
          <w:sz w:val="28"/>
          <w:szCs w:val="28"/>
          <w:lang w:val="es-MX"/>
        </w:rPr>
      </w:pPr>
      <w:r w:rsidRPr="00397280">
        <w:rPr>
          <w:rFonts w:ascii="Arial" w:hAnsi="Arial" w:cs="Arial"/>
          <w:b/>
          <w:sz w:val="28"/>
          <w:szCs w:val="28"/>
          <w:lang w:val="es-MX"/>
        </w:rPr>
        <w:t>69.- CORPORACIÓN AUTÓNOMA REGIONAL DEL ALTO MAGDALENA - CAM.</w:t>
      </w:r>
    </w:p>
    <w:p w14:paraId="0889C5D3" w14:textId="77777777" w:rsidR="00561B22" w:rsidRDefault="00561B22" w:rsidP="00561B22">
      <w:pPr>
        <w:pStyle w:val="Textoindependiente"/>
        <w:tabs>
          <w:tab w:val="left" w:pos="2055"/>
        </w:tabs>
        <w:spacing w:before="5"/>
        <w:rPr>
          <w:sz w:val="17"/>
        </w:rPr>
      </w:pPr>
    </w:p>
    <w:p w14:paraId="2876F3EA" w14:textId="77777777" w:rsidR="00561B22" w:rsidRPr="00C56524" w:rsidRDefault="00561B22" w:rsidP="00561B22">
      <w:pPr>
        <w:pStyle w:val="Textoindependiente"/>
        <w:ind w:right="-50"/>
        <w:jc w:val="center"/>
        <w:rPr>
          <w:rFonts w:ascii="Arial" w:hAnsi="Arial" w:cs="Arial"/>
          <w:b/>
          <w:bCs/>
        </w:rPr>
      </w:pPr>
      <w:r w:rsidRPr="00C56524">
        <w:rPr>
          <w:rFonts w:ascii="Arial" w:hAnsi="Arial" w:cs="Arial"/>
          <w:b/>
          <w:bCs/>
        </w:rPr>
        <w:t>INFORME DE LA AUTOCALIFICACIÓN DEL SISTEMA DE CONTROL INTERNO CONTABLE:</w:t>
      </w:r>
    </w:p>
    <w:p w14:paraId="76781DB0" w14:textId="77777777" w:rsidR="00561B22" w:rsidRPr="00C5652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56524" w14:paraId="5825563D" w14:textId="77777777" w:rsidTr="00F1223B">
        <w:tc>
          <w:tcPr>
            <w:tcW w:w="4981" w:type="dxa"/>
          </w:tcPr>
          <w:p w14:paraId="7917E64A" w14:textId="77777777" w:rsidR="00561B22" w:rsidRPr="00C56524" w:rsidRDefault="00561B22" w:rsidP="00F1223B">
            <w:pPr>
              <w:jc w:val="center"/>
              <w:rPr>
                <w:rFonts w:ascii="Arial" w:hAnsi="Arial" w:cs="Arial"/>
                <w:b/>
                <w:sz w:val="22"/>
                <w:szCs w:val="22"/>
                <w:lang w:val="es-MX"/>
              </w:rPr>
            </w:pPr>
            <w:r w:rsidRPr="00C56524">
              <w:rPr>
                <w:rFonts w:ascii="Arial" w:hAnsi="Arial" w:cs="Arial"/>
                <w:b/>
                <w:sz w:val="22"/>
                <w:szCs w:val="22"/>
                <w:lang w:val="es-MX"/>
              </w:rPr>
              <w:t>AUTOCALIFICACIÓN</w:t>
            </w:r>
          </w:p>
        </w:tc>
        <w:tc>
          <w:tcPr>
            <w:tcW w:w="4981" w:type="dxa"/>
          </w:tcPr>
          <w:p w14:paraId="24EAA0BE" w14:textId="77777777" w:rsidR="00561B22" w:rsidRPr="00C56524" w:rsidRDefault="00561B22" w:rsidP="00F1223B">
            <w:pPr>
              <w:jc w:val="center"/>
              <w:rPr>
                <w:rFonts w:ascii="Arial" w:hAnsi="Arial" w:cs="Arial"/>
                <w:b/>
                <w:sz w:val="22"/>
                <w:szCs w:val="22"/>
                <w:u w:val="single"/>
                <w:lang w:val="es-MX"/>
              </w:rPr>
            </w:pPr>
            <w:r w:rsidRPr="00C56524">
              <w:rPr>
                <w:rFonts w:ascii="Arial" w:hAnsi="Arial" w:cs="Arial"/>
                <w:b/>
                <w:sz w:val="22"/>
                <w:szCs w:val="22"/>
                <w:u w:val="single"/>
                <w:lang w:val="es-MX"/>
              </w:rPr>
              <w:t>5.00</w:t>
            </w:r>
          </w:p>
        </w:tc>
      </w:tr>
    </w:tbl>
    <w:p w14:paraId="2B6A4B5C" w14:textId="77777777" w:rsidR="00561B22" w:rsidRPr="00C56524" w:rsidRDefault="00561B22" w:rsidP="00561B22">
      <w:pPr>
        <w:pStyle w:val="Textoindependiente"/>
        <w:ind w:right="-50"/>
        <w:jc w:val="both"/>
        <w:rPr>
          <w:rFonts w:ascii="Arial" w:hAnsi="Arial" w:cs="Arial"/>
          <w:b/>
          <w:bCs/>
        </w:rPr>
      </w:pPr>
    </w:p>
    <w:p w14:paraId="27D9E329" w14:textId="77777777" w:rsidR="00561B22" w:rsidRPr="00C56524" w:rsidRDefault="00561B22" w:rsidP="00561B22">
      <w:pPr>
        <w:pStyle w:val="Textoindependiente"/>
        <w:ind w:right="-50"/>
        <w:jc w:val="both"/>
        <w:rPr>
          <w:rFonts w:ascii="Arial" w:hAnsi="Arial" w:cs="Arial"/>
          <w:b/>
          <w:bCs/>
        </w:rPr>
      </w:pPr>
      <w:r w:rsidRPr="00C56524">
        <w:rPr>
          <w:rFonts w:ascii="Arial" w:hAnsi="Arial" w:cs="Arial"/>
          <w:b/>
          <w:bCs/>
        </w:rPr>
        <w:t>Del informe enviado retomamos lo siguiente:</w:t>
      </w:r>
    </w:p>
    <w:p w14:paraId="6CEC7475" w14:textId="77777777" w:rsidR="00561B22" w:rsidRPr="00C5652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56524" w14:paraId="63D72DCC" w14:textId="77777777" w:rsidTr="00F1223B">
        <w:tc>
          <w:tcPr>
            <w:tcW w:w="562" w:type="dxa"/>
          </w:tcPr>
          <w:p w14:paraId="463CA12B" w14:textId="77777777" w:rsidR="00561B22" w:rsidRPr="00C56524" w:rsidRDefault="00561B22" w:rsidP="00F1223B">
            <w:pPr>
              <w:ind w:right="-109"/>
              <w:jc w:val="center"/>
              <w:rPr>
                <w:rFonts w:ascii="Arial" w:hAnsi="Arial" w:cs="Arial"/>
                <w:b/>
                <w:sz w:val="22"/>
                <w:szCs w:val="22"/>
                <w:lang w:val="es-MX"/>
              </w:rPr>
            </w:pPr>
            <w:r w:rsidRPr="00C56524">
              <w:rPr>
                <w:rFonts w:ascii="Arial" w:hAnsi="Arial" w:cs="Arial"/>
                <w:b/>
                <w:sz w:val="22"/>
                <w:szCs w:val="22"/>
                <w:lang w:val="es-MX"/>
              </w:rPr>
              <w:t>N°</w:t>
            </w:r>
          </w:p>
        </w:tc>
        <w:tc>
          <w:tcPr>
            <w:tcW w:w="9400" w:type="dxa"/>
          </w:tcPr>
          <w:p w14:paraId="1EFFC16B" w14:textId="77777777" w:rsidR="00561B22" w:rsidRPr="00C56524" w:rsidRDefault="00561B22" w:rsidP="00F1223B">
            <w:pPr>
              <w:jc w:val="center"/>
              <w:rPr>
                <w:rFonts w:ascii="Arial" w:hAnsi="Arial" w:cs="Arial"/>
                <w:b/>
                <w:sz w:val="22"/>
                <w:szCs w:val="22"/>
                <w:lang w:val="es-MX"/>
              </w:rPr>
            </w:pPr>
            <w:r w:rsidRPr="00C56524">
              <w:rPr>
                <w:rFonts w:ascii="Arial" w:hAnsi="Arial" w:cs="Arial"/>
                <w:b/>
                <w:sz w:val="22"/>
                <w:szCs w:val="22"/>
                <w:lang w:val="es-MX"/>
              </w:rPr>
              <w:t>DEBILIDADES</w:t>
            </w:r>
          </w:p>
          <w:p w14:paraId="54ABF4B2" w14:textId="77777777" w:rsidR="00561B22" w:rsidRPr="00C56524" w:rsidRDefault="00561B22" w:rsidP="00F1223B">
            <w:pPr>
              <w:jc w:val="center"/>
              <w:rPr>
                <w:rFonts w:ascii="Arial" w:hAnsi="Arial" w:cs="Arial"/>
                <w:b/>
                <w:sz w:val="22"/>
                <w:szCs w:val="22"/>
                <w:lang w:val="es-MX"/>
              </w:rPr>
            </w:pPr>
          </w:p>
        </w:tc>
      </w:tr>
      <w:tr w:rsidR="00561B22" w:rsidRPr="00C56524" w14:paraId="0806A10C" w14:textId="77777777" w:rsidTr="00F1223B">
        <w:tc>
          <w:tcPr>
            <w:tcW w:w="562" w:type="dxa"/>
          </w:tcPr>
          <w:p w14:paraId="5104E2D8" w14:textId="77777777" w:rsidR="00561B22" w:rsidRPr="00C56524" w:rsidRDefault="00561B22" w:rsidP="00F1223B">
            <w:pPr>
              <w:jc w:val="center"/>
              <w:rPr>
                <w:rFonts w:ascii="Arial" w:hAnsi="Arial" w:cs="Arial"/>
                <w:b/>
                <w:sz w:val="22"/>
                <w:szCs w:val="22"/>
                <w:lang w:val="es-MX"/>
              </w:rPr>
            </w:pPr>
            <w:r w:rsidRPr="00C56524">
              <w:rPr>
                <w:rFonts w:ascii="Arial" w:hAnsi="Arial" w:cs="Arial"/>
                <w:b/>
                <w:sz w:val="22"/>
                <w:szCs w:val="22"/>
                <w:lang w:val="es-MX"/>
              </w:rPr>
              <w:t>1</w:t>
            </w:r>
          </w:p>
        </w:tc>
        <w:tc>
          <w:tcPr>
            <w:tcW w:w="9400" w:type="dxa"/>
          </w:tcPr>
          <w:p w14:paraId="437F5C59" w14:textId="77777777" w:rsidR="00561B22" w:rsidRPr="00C56524" w:rsidRDefault="00561B22" w:rsidP="00F1223B">
            <w:pPr>
              <w:rPr>
                <w:rFonts w:ascii="Arial" w:hAnsi="Arial" w:cs="Arial"/>
                <w:sz w:val="22"/>
                <w:szCs w:val="22"/>
                <w:lang w:val="es-MX"/>
              </w:rPr>
            </w:pPr>
            <w:r w:rsidRPr="00C56524">
              <w:rPr>
                <w:rFonts w:ascii="Arial" w:hAnsi="Arial" w:cs="Arial"/>
                <w:sz w:val="22"/>
                <w:szCs w:val="22"/>
                <w:lang w:val="es-MX"/>
              </w:rPr>
              <w:t>Debilidad en el flujo de información entre dependencias.</w:t>
            </w:r>
          </w:p>
        </w:tc>
      </w:tr>
    </w:tbl>
    <w:p w14:paraId="015CED41" w14:textId="77777777" w:rsidR="00561B22" w:rsidRPr="00C56524" w:rsidRDefault="00561B22" w:rsidP="00561B22">
      <w:pPr>
        <w:pStyle w:val="Textoindependiente"/>
        <w:ind w:right="-50"/>
        <w:jc w:val="both"/>
        <w:rPr>
          <w:rFonts w:ascii="Arial" w:hAnsi="Arial" w:cs="Arial"/>
          <w:b/>
          <w:bCs/>
        </w:rPr>
      </w:pPr>
    </w:p>
    <w:p w14:paraId="65068A50" w14:textId="77777777" w:rsidR="00561B22" w:rsidRDefault="00561B22" w:rsidP="00561B22">
      <w:pPr>
        <w:jc w:val="both"/>
        <w:rPr>
          <w:rFonts w:ascii="Arial" w:hAnsi="Arial" w:cs="Arial"/>
          <w:b/>
          <w:lang w:val="es-MX"/>
        </w:rPr>
      </w:pPr>
      <w:r w:rsidRPr="00C56524">
        <w:rPr>
          <w:rFonts w:ascii="Arial" w:hAnsi="Arial" w:cs="Arial"/>
          <w:b/>
          <w:lang w:val="es-MX"/>
        </w:rPr>
        <w:t>Del citado informe retomamos las siguientes recomendaciones:</w:t>
      </w:r>
    </w:p>
    <w:p w14:paraId="46F505A4" w14:textId="77777777" w:rsidR="00561B22" w:rsidRPr="00C56524"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C56524" w14:paraId="3643680B" w14:textId="77777777" w:rsidTr="00F1223B">
        <w:tc>
          <w:tcPr>
            <w:tcW w:w="562" w:type="dxa"/>
          </w:tcPr>
          <w:p w14:paraId="40E63D12" w14:textId="77777777" w:rsidR="00561B22" w:rsidRPr="00C56524" w:rsidRDefault="00561B22" w:rsidP="00F1223B">
            <w:pPr>
              <w:ind w:right="-109"/>
              <w:jc w:val="center"/>
              <w:rPr>
                <w:rFonts w:ascii="Arial" w:hAnsi="Arial" w:cs="Arial"/>
                <w:b/>
                <w:sz w:val="22"/>
                <w:szCs w:val="22"/>
                <w:lang w:val="es-MX"/>
              </w:rPr>
            </w:pPr>
            <w:r w:rsidRPr="00C56524">
              <w:rPr>
                <w:rFonts w:ascii="Arial" w:hAnsi="Arial" w:cs="Arial"/>
                <w:b/>
                <w:sz w:val="22"/>
                <w:szCs w:val="22"/>
                <w:lang w:val="es-MX"/>
              </w:rPr>
              <w:t>N°</w:t>
            </w:r>
          </w:p>
        </w:tc>
        <w:tc>
          <w:tcPr>
            <w:tcW w:w="9400" w:type="dxa"/>
          </w:tcPr>
          <w:p w14:paraId="5BC1A2DF" w14:textId="77777777" w:rsidR="00561B22" w:rsidRPr="00C56524" w:rsidRDefault="00561B22" w:rsidP="00F1223B">
            <w:pPr>
              <w:jc w:val="center"/>
              <w:rPr>
                <w:rFonts w:ascii="Arial" w:hAnsi="Arial" w:cs="Arial"/>
                <w:b/>
                <w:sz w:val="22"/>
                <w:szCs w:val="22"/>
                <w:lang w:val="es-MX"/>
              </w:rPr>
            </w:pPr>
            <w:r w:rsidRPr="00C56524">
              <w:rPr>
                <w:rFonts w:ascii="Arial" w:hAnsi="Arial" w:cs="Arial"/>
                <w:b/>
                <w:sz w:val="22"/>
                <w:szCs w:val="22"/>
                <w:lang w:val="es-MX"/>
              </w:rPr>
              <w:t>RECOMENDACIONES</w:t>
            </w:r>
          </w:p>
          <w:p w14:paraId="2E921BDB" w14:textId="77777777" w:rsidR="00561B22" w:rsidRPr="00C56524" w:rsidRDefault="00561B22" w:rsidP="00F1223B">
            <w:pPr>
              <w:jc w:val="center"/>
              <w:rPr>
                <w:rFonts w:ascii="Arial" w:hAnsi="Arial" w:cs="Arial"/>
                <w:b/>
                <w:sz w:val="22"/>
                <w:szCs w:val="22"/>
                <w:lang w:val="es-MX"/>
              </w:rPr>
            </w:pPr>
          </w:p>
        </w:tc>
      </w:tr>
      <w:tr w:rsidR="00561B22" w:rsidRPr="00C56524" w14:paraId="1F278DEB" w14:textId="77777777" w:rsidTr="00F1223B">
        <w:tc>
          <w:tcPr>
            <w:tcW w:w="562" w:type="dxa"/>
          </w:tcPr>
          <w:p w14:paraId="52FB2C69" w14:textId="77777777" w:rsidR="00561B22" w:rsidRPr="00C56524" w:rsidRDefault="00561B22" w:rsidP="00F1223B">
            <w:pPr>
              <w:jc w:val="center"/>
              <w:rPr>
                <w:rFonts w:ascii="Arial" w:hAnsi="Arial" w:cs="Arial"/>
                <w:b/>
                <w:sz w:val="22"/>
                <w:szCs w:val="22"/>
                <w:lang w:val="es-MX"/>
              </w:rPr>
            </w:pPr>
            <w:r w:rsidRPr="00C56524">
              <w:rPr>
                <w:rFonts w:ascii="Arial" w:hAnsi="Arial" w:cs="Arial"/>
                <w:b/>
                <w:sz w:val="22"/>
                <w:szCs w:val="22"/>
                <w:lang w:val="es-MX"/>
              </w:rPr>
              <w:t>1</w:t>
            </w:r>
          </w:p>
        </w:tc>
        <w:tc>
          <w:tcPr>
            <w:tcW w:w="9400" w:type="dxa"/>
          </w:tcPr>
          <w:p w14:paraId="08E39DC0" w14:textId="77777777" w:rsidR="00561B22" w:rsidRPr="00C56524" w:rsidRDefault="00561B22" w:rsidP="00F1223B">
            <w:pPr>
              <w:rPr>
                <w:rFonts w:ascii="Arial" w:hAnsi="Arial" w:cs="Arial"/>
                <w:sz w:val="22"/>
                <w:szCs w:val="22"/>
                <w:lang w:val="es-MX"/>
              </w:rPr>
            </w:pPr>
            <w:r w:rsidRPr="00C56524">
              <w:rPr>
                <w:rFonts w:ascii="Arial" w:hAnsi="Arial" w:cs="Arial"/>
                <w:sz w:val="22"/>
                <w:szCs w:val="22"/>
                <w:lang w:val="es-MX"/>
              </w:rPr>
              <w:t>Seguimiento a los mecanismos para disminuir el monto de las consignaciones no identificadas.</w:t>
            </w:r>
          </w:p>
        </w:tc>
      </w:tr>
    </w:tbl>
    <w:p w14:paraId="4B7C2891" w14:textId="77777777" w:rsidR="00561B22" w:rsidRPr="00C56524" w:rsidRDefault="00561B22" w:rsidP="00561B22">
      <w:pPr>
        <w:pStyle w:val="Textoindependiente"/>
        <w:ind w:right="-50"/>
        <w:jc w:val="both"/>
        <w:rPr>
          <w:rFonts w:ascii="Arial" w:hAnsi="Arial" w:cs="Arial"/>
          <w:b/>
          <w:bCs/>
        </w:rPr>
      </w:pPr>
    </w:p>
    <w:p w14:paraId="752D255A" w14:textId="77777777" w:rsidR="00561B22" w:rsidRPr="00413CBA" w:rsidRDefault="00561B22" w:rsidP="00561B22">
      <w:pPr>
        <w:jc w:val="both"/>
        <w:rPr>
          <w:rFonts w:ascii="Arial" w:hAnsi="Arial" w:cs="Arial"/>
          <w:b/>
          <w:sz w:val="28"/>
          <w:szCs w:val="28"/>
          <w:lang w:val="es-MX"/>
        </w:rPr>
      </w:pPr>
      <w:r w:rsidRPr="00413CBA">
        <w:rPr>
          <w:rFonts w:ascii="Arial" w:hAnsi="Arial" w:cs="Arial"/>
          <w:b/>
          <w:sz w:val="28"/>
          <w:szCs w:val="28"/>
          <w:lang w:val="es-MX"/>
        </w:rPr>
        <w:t>70.- INSTITUTO NACIONAL PARA CIEGOS - INCI.</w:t>
      </w:r>
    </w:p>
    <w:p w14:paraId="5FFEF65D" w14:textId="77777777" w:rsidR="00561B22" w:rsidRPr="00C56524" w:rsidRDefault="00561B22" w:rsidP="00561B22">
      <w:pPr>
        <w:pStyle w:val="Textoindependiente"/>
        <w:tabs>
          <w:tab w:val="left" w:pos="2055"/>
        </w:tabs>
        <w:spacing w:before="5"/>
        <w:rPr>
          <w:rFonts w:ascii="Arial" w:hAnsi="Arial" w:cs="Arial"/>
        </w:rPr>
      </w:pPr>
    </w:p>
    <w:p w14:paraId="533E339D" w14:textId="77777777" w:rsidR="00561B22" w:rsidRPr="00663020" w:rsidRDefault="00561B22" w:rsidP="00561B22">
      <w:pPr>
        <w:pStyle w:val="Textoindependiente"/>
        <w:ind w:right="-50"/>
        <w:jc w:val="center"/>
        <w:rPr>
          <w:rFonts w:ascii="Arial" w:hAnsi="Arial" w:cs="Arial"/>
          <w:b/>
          <w:bCs/>
        </w:rPr>
      </w:pPr>
      <w:r w:rsidRPr="00663020">
        <w:rPr>
          <w:rFonts w:ascii="Arial" w:hAnsi="Arial" w:cs="Arial"/>
          <w:b/>
          <w:bCs/>
        </w:rPr>
        <w:t>INFORME DE LA AUTOCALIFICACIÓN DEL SISTEMA DE CONTROL INTERNO CONTABLE:</w:t>
      </w:r>
    </w:p>
    <w:p w14:paraId="144EE21C" w14:textId="77777777" w:rsidR="00561B22" w:rsidRPr="006630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63020" w14:paraId="008AA35E" w14:textId="77777777" w:rsidTr="00F1223B">
        <w:tc>
          <w:tcPr>
            <w:tcW w:w="4981" w:type="dxa"/>
          </w:tcPr>
          <w:p w14:paraId="3144F802"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AUTOCALIFICACIÓN</w:t>
            </w:r>
          </w:p>
        </w:tc>
        <w:tc>
          <w:tcPr>
            <w:tcW w:w="4981" w:type="dxa"/>
          </w:tcPr>
          <w:p w14:paraId="3DEB222B" w14:textId="77777777" w:rsidR="00561B22" w:rsidRPr="00663020" w:rsidRDefault="00561B22" w:rsidP="00F1223B">
            <w:pPr>
              <w:jc w:val="center"/>
              <w:rPr>
                <w:rFonts w:ascii="Arial" w:hAnsi="Arial" w:cs="Arial"/>
                <w:b/>
                <w:sz w:val="22"/>
                <w:szCs w:val="22"/>
                <w:u w:val="single"/>
                <w:lang w:val="es-MX"/>
              </w:rPr>
            </w:pPr>
            <w:r w:rsidRPr="00663020">
              <w:rPr>
                <w:rFonts w:ascii="Arial" w:hAnsi="Arial" w:cs="Arial"/>
                <w:b/>
                <w:sz w:val="22"/>
                <w:szCs w:val="22"/>
                <w:u w:val="single"/>
                <w:lang w:val="es-MX"/>
              </w:rPr>
              <w:t>4.82</w:t>
            </w:r>
          </w:p>
        </w:tc>
      </w:tr>
    </w:tbl>
    <w:p w14:paraId="61A9F529" w14:textId="77777777" w:rsidR="00561B22" w:rsidRPr="00663020" w:rsidRDefault="00561B22" w:rsidP="00561B22">
      <w:pPr>
        <w:pStyle w:val="Textoindependiente"/>
        <w:ind w:right="-50"/>
        <w:jc w:val="both"/>
        <w:rPr>
          <w:rFonts w:ascii="Arial" w:hAnsi="Arial" w:cs="Arial"/>
          <w:b/>
          <w:bCs/>
        </w:rPr>
      </w:pPr>
    </w:p>
    <w:p w14:paraId="502EFF96" w14:textId="77777777" w:rsidR="00561B22" w:rsidRPr="00663020" w:rsidRDefault="00561B22" w:rsidP="00561B22">
      <w:pPr>
        <w:pStyle w:val="Textoindependiente"/>
        <w:ind w:right="-50"/>
        <w:jc w:val="both"/>
        <w:rPr>
          <w:rFonts w:ascii="Arial" w:hAnsi="Arial" w:cs="Arial"/>
          <w:b/>
          <w:bCs/>
        </w:rPr>
      </w:pPr>
      <w:r w:rsidRPr="00663020">
        <w:rPr>
          <w:rFonts w:ascii="Arial" w:hAnsi="Arial" w:cs="Arial"/>
          <w:b/>
          <w:bCs/>
        </w:rPr>
        <w:t>Del informe enviado retomamos lo siguiente:</w:t>
      </w:r>
    </w:p>
    <w:p w14:paraId="360FECB1" w14:textId="77777777" w:rsidR="00561B22" w:rsidRPr="006630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63020" w14:paraId="0FC8F7B3" w14:textId="77777777" w:rsidTr="00F1223B">
        <w:tc>
          <w:tcPr>
            <w:tcW w:w="562" w:type="dxa"/>
          </w:tcPr>
          <w:p w14:paraId="1BF81BEB" w14:textId="77777777" w:rsidR="00561B22" w:rsidRPr="00663020" w:rsidRDefault="00561B22" w:rsidP="00F1223B">
            <w:pPr>
              <w:ind w:right="-109"/>
              <w:jc w:val="center"/>
              <w:rPr>
                <w:rFonts w:ascii="Arial" w:hAnsi="Arial" w:cs="Arial"/>
                <w:b/>
                <w:sz w:val="22"/>
                <w:szCs w:val="22"/>
                <w:lang w:val="es-MX"/>
              </w:rPr>
            </w:pPr>
            <w:r w:rsidRPr="00663020">
              <w:rPr>
                <w:rFonts w:ascii="Arial" w:hAnsi="Arial" w:cs="Arial"/>
                <w:b/>
                <w:sz w:val="22"/>
                <w:szCs w:val="22"/>
                <w:lang w:val="es-MX"/>
              </w:rPr>
              <w:t>N°</w:t>
            </w:r>
          </w:p>
        </w:tc>
        <w:tc>
          <w:tcPr>
            <w:tcW w:w="9400" w:type="dxa"/>
          </w:tcPr>
          <w:p w14:paraId="1853C324"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DEBILIDADES</w:t>
            </w:r>
          </w:p>
          <w:p w14:paraId="6071FB77" w14:textId="77777777" w:rsidR="00561B22" w:rsidRPr="00663020" w:rsidRDefault="00561B22" w:rsidP="00F1223B">
            <w:pPr>
              <w:jc w:val="center"/>
              <w:rPr>
                <w:rFonts w:ascii="Arial" w:hAnsi="Arial" w:cs="Arial"/>
                <w:b/>
                <w:sz w:val="22"/>
                <w:szCs w:val="22"/>
                <w:lang w:val="es-MX"/>
              </w:rPr>
            </w:pPr>
          </w:p>
        </w:tc>
      </w:tr>
      <w:tr w:rsidR="00561B22" w:rsidRPr="00663020" w14:paraId="5B60C74C" w14:textId="77777777" w:rsidTr="00F1223B">
        <w:tc>
          <w:tcPr>
            <w:tcW w:w="562" w:type="dxa"/>
          </w:tcPr>
          <w:p w14:paraId="2BD33DFC"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1</w:t>
            </w:r>
          </w:p>
        </w:tc>
        <w:tc>
          <w:tcPr>
            <w:tcW w:w="9400" w:type="dxa"/>
          </w:tcPr>
          <w:p w14:paraId="61FDA99D" w14:textId="77777777" w:rsidR="00561B22" w:rsidRPr="00663020" w:rsidRDefault="00561B22" w:rsidP="00F1223B">
            <w:pPr>
              <w:jc w:val="both"/>
              <w:rPr>
                <w:rFonts w:ascii="Arial" w:hAnsi="Arial" w:cs="Arial"/>
                <w:sz w:val="22"/>
                <w:szCs w:val="22"/>
                <w:lang w:val="es-MX"/>
              </w:rPr>
            </w:pPr>
            <w:r w:rsidRPr="00663020">
              <w:rPr>
                <w:rFonts w:ascii="Arial" w:hAnsi="Arial" w:cs="Arial"/>
                <w:sz w:val="22"/>
                <w:szCs w:val="22"/>
                <w:lang w:val="es-MX"/>
              </w:rPr>
              <w:t>No se incluye dentro del PIC, capacitaciones que apunten al mejoramiento de habilidades y competencias específicas del proceso contable.</w:t>
            </w:r>
          </w:p>
        </w:tc>
      </w:tr>
    </w:tbl>
    <w:p w14:paraId="2ACA9197" w14:textId="77777777" w:rsidR="00561B22" w:rsidRDefault="00561B22" w:rsidP="00561B22">
      <w:pPr>
        <w:pStyle w:val="Textoindependiente"/>
        <w:ind w:right="-50"/>
        <w:jc w:val="both"/>
        <w:rPr>
          <w:rFonts w:ascii="Arial" w:hAnsi="Arial" w:cs="Arial"/>
          <w:b/>
          <w:bCs/>
        </w:rPr>
      </w:pPr>
    </w:p>
    <w:p w14:paraId="384025AC" w14:textId="77777777" w:rsidR="00561B22" w:rsidRDefault="00561B22" w:rsidP="00561B22">
      <w:pPr>
        <w:jc w:val="both"/>
        <w:rPr>
          <w:rFonts w:ascii="Arial" w:eastAsia="Arial" w:hAnsi="Arial" w:cs="Arial"/>
          <w:b/>
          <w:sz w:val="28"/>
          <w:szCs w:val="28"/>
          <w:lang w:val="es-MX"/>
        </w:rPr>
      </w:pPr>
      <w:r>
        <w:rPr>
          <w:b/>
          <w:sz w:val="28"/>
          <w:szCs w:val="28"/>
          <w:lang w:val="es-MX"/>
        </w:rPr>
        <w:t>Del citado informe retomamos las siguientes recomendaciones:</w:t>
      </w:r>
    </w:p>
    <w:p w14:paraId="0FF20CD5" w14:textId="77777777" w:rsidR="00561B22" w:rsidRPr="006630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63020" w14:paraId="181A5E53" w14:textId="77777777" w:rsidTr="00F1223B">
        <w:tc>
          <w:tcPr>
            <w:tcW w:w="562" w:type="dxa"/>
          </w:tcPr>
          <w:p w14:paraId="53E2F695" w14:textId="77777777" w:rsidR="00561B22" w:rsidRPr="00663020" w:rsidRDefault="00561B22" w:rsidP="00F1223B">
            <w:pPr>
              <w:ind w:right="-109"/>
              <w:jc w:val="center"/>
              <w:rPr>
                <w:rFonts w:ascii="Arial" w:hAnsi="Arial" w:cs="Arial"/>
                <w:b/>
                <w:sz w:val="22"/>
                <w:szCs w:val="22"/>
                <w:lang w:val="es-MX"/>
              </w:rPr>
            </w:pPr>
            <w:r w:rsidRPr="00663020">
              <w:rPr>
                <w:rFonts w:ascii="Arial" w:hAnsi="Arial" w:cs="Arial"/>
                <w:b/>
                <w:sz w:val="22"/>
                <w:szCs w:val="22"/>
                <w:lang w:val="es-MX"/>
              </w:rPr>
              <w:t>N°</w:t>
            </w:r>
          </w:p>
        </w:tc>
        <w:tc>
          <w:tcPr>
            <w:tcW w:w="9400" w:type="dxa"/>
          </w:tcPr>
          <w:p w14:paraId="451A9C9A"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RECOMENDACIONES</w:t>
            </w:r>
          </w:p>
          <w:p w14:paraId="28F69E0F" w14:textId="77777777" w:rsidR="00561B22" w:rsidRPr="00663020" w:rsidRDefault="00561B22" w:rsidP="00F1223B">
            <w:pPr>
              <w:jc w:val="center"/>
              <w:rPr>
                <w:rFonts w:ascii="Arial" w:hAnsi="Arial" w:cs="Arial"/>
                <w:b/>
                <w:sz w:val="22"/>
                <w:szCs w:val="22"/>
                <w:lang w:val="es-MX"/>
              </w:rPr>
            </w:pPr>
          </w:p>
        </w:tc>
      </w:tr>
      <w:tr w:rsidR="00561B22" w:rsidRPr="00663020" w14:paraId="38F7AED4" w14:textId="77777777" w:rsidTr="00F1223B">
        <w:tc>
          <w:tcPr>
            <w:tcW w:w="562" w:type="dxa"/>
          </w:tcPr>
          <w:p w14:paraId="46A14475"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1</w:t>
            </w:r>
          </w:p>
        </w:tc>
        <w:tc>
          <w:tcPr>
            <w:tcW w:w="9400" w:type="dxa"/>
          </w:tcPr>
          <w:p w14:paraId="33CC2016" w14:textId="77777777" w:rsidR="00561B22" w:rsidRPr="00663020" w:rsidRDefault="00561B22" w:rsidP="00F1223B">
            <w:pPr>
              <w:jc w:val="both"/>
              <w:rPr>
                <w:rFonts w:ascii="Arial" w:hAnsi="Arial" w:cs="Arial"/>
                <w:sz w:val="22"/>
                <w:szCs w:val="22"/>
                <w:lang w:val="es-MX"/>
              </w:rPr>
            </w:pPr>
            <w:r w:rsidRPr="00663020">
              <w:rPr>
                <w:rFonts w:ascii="Arial" w:hAnsi="Arial" w:cs="Arial"/>
                <w:sz w:val="22"/>
                <w:szCs w:val="22"/>
                <w:lang w:val="es-MX"/>
              </w:rPr>
              <w:t>Realizar una revisión y actualización integral de los documentos del proceso (Manual, procedimientos, lineamientos, formatos, etc.), garantizando su cumplimiento normativo y su alineación con la realidad institucional.</w:t>
            </w:r>
          </w:p>
        </w:tc>
      </w:tr>
      <w:tr w:rsidR="00561B22" w:rsidRPr="00663020" w14:paraId="1B9D5283" w14:textId="77777777" w:rsidTr="00F1223B">
        <w:tc>
          <w:tcPr>
            <w:tcW w:w="562" w:type="dxa"/>
          </w:tcPr>
          <w:p w14:paraId="10FAD5C2"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2</w:t>
            </w:r>
          </w:p>
        </w:tc>
        <w:tc>
          <w:tcPr>
            <w:tcW w:w="9400" w:type="dxa"/>
          </w:tcPr>
          <w:p w14:paraId="01E725AF" w14:textId="77777777" w:rsidR="00561B22" w:rsidRPr="00663020" w:rsidRDefault="00561B22" w:rsidP="00F1223B">
            <w:pPr>
              <w:jc w:val="both"/>
              <w:rPr>
                <w:rFonts w:ascii="Arial" w:hAnsi="Arial" w:cs="Arial"/>
                <w:sz w:val="22"/>
                <w:szCs w:val="22"/>
                <w:lang w:val="es-MX"/>
              </w:rPr>
            </w:pPr>
            <w:r w:rsidRPr="00663020">
              <w:rPr>
                <w:rFonts w:ascii="Arial" w:hAnsi="Arial" w:cs="Arial"/>
                <w:sz w:val="22"/>
                <w:szCs w:val="22"/>
                <w:lang w:val="es-MX"/>
              </w:rPr>
              <w:t>Definir lineamientos claros para la individualización de bienes físicos y establecer un procedimiento sistemático para su verificación.</w:t>
            </w:r>
          </w:p>
        </w:tc>
      </w:tr>
      <w:tr w:rsidR="00561B22" w:rsidRPr="00663020" w14:paraId="79FB7312" w14:textId="77777777" w:rsidTr="00F1223B">
        <w:tc>
          <w:tcPr>
            <w:tcW w:w="562" w:type="dxa"/>
          </w:tcPr>
          <w:p w14:paraId="7D733E4F" w14:textId="77777777" w:rsidR="00561B22" w:rsidRPr="00663020" w:rsidRDefault="00561B22" w:rsidP="00F1223B">
            <w:pPr>
              <w:jc w:val="center"/>
              <w:rPr>
                <w:rFonts w:ascii="Arial" w:hAnsi="Arial" w:cs="Arial"/>
                <w:b/>
                <w:sz w:val="22"/>
                <w:szCs w:val="22"/>
                <w:lang w:val="es-MX"/>
              </w:rPr>
            </w:pPr>
            <w:r w:rsidRPr="00663020">
              <w:rPr>
                <w:rFonts w:ascii="Arial" w:hAnsi="Arial" w:cs="Arial"/>
                <w:b/>
                <w:sz w:val="22"/>
                <w:szCs w:val="22"/>
                <w:lang w:val="es-MX"/>
              </w:rPr>
              <w:t>3</w:t>
            </w:r>
          </w:p>
        </w:tc>
        <w:tc>
          <w:tcPr>
            <w:tcW w:w="9400" w:type="dxa"/>
          </w:tcPr>
          <w:p w14:paraId="492A61EC" w14:textId="4CA74AD9" w:rsidR="00561B22" w:rsidRPr="00663020" w:rsidRDefault="00561B22" w:rsidP="00F1223B">
            <w:pPr>
              <w:jc w:val="both"/>
              <w:rPr>
                <w:rFonts w:ascii="Arial" w:hAnsi="Arial" w:cs="Arial"/>
                <w:sz w:val="22"/>
                <w:szCs w:val="22"/>
                <w:lang w:val="es-MX"/>
              </w:rPr>
            </w:pPr>
            <w:r w:rsidRPr="00663020">
              <w:rPr>
                <w:rFonts w:ascii="Arial" w:hAnsi="Arial" w:cs="Arial"/>
                <w:sz w:val="22"/>
                <w:szCs w:val="22"/>
                <w:lang w:val="es-MX"/>
              </w:rPr>
              <w:t xml:space="preserve">Incluir en el PIC programas de capacitación enfocados </w:t>
            </w:r>
            <w:r w:rsidR="0008150C" w:rsidRPr="00663020">
              <w:rPr>
                <w:rFonts w:ascii="Arial" w:hAnsi="Arial" w:cs="Arial"/>
                <w:sz w:val="22"/>
                <w:szCs w:val="22"/>
                <w:lang w:val="es-MX"/>
              </w:rPr>
              <w:t>en</w:t>
            </w:r>
            <w:r w:rsidRPr="00663020">
              <w:rPr>
                <w:rFonts w:ascii="Arial" w:hAnsi="Arial" w:cs="Arial"/>
                <w:sz w:val="22"/>
                <w:szCs w:val="22"/>
                <w:lang w:val="es-MX"/>
              </w:rPr>
              <w:t xml:space="preserve"> el desarrollo de habilidades y competencias específicas del personal vinculado al proceso contable, fortaleciendo su desempeño y actualización profesional.</w:t>
            </w:r>
          </w:p>
        </w:tc>
      </w:tr>
    </w:tbl>
    <w:p w14:paraId="3E7A7FA9" w14:textId="77777777" w:rsidR="00561B22" w:rsidRPr="00663020" w:rsidRDefault="00561B22" w:rsidP="00561B22">
      <w:pPr>
        <w:pStyle w:val="Textoindependiente"/>
        <w:ind w:right="-50"/>
        <w:jc w:val="both"/>
        <w:rPr>
          <w:rFonts w:ascii="Arial" w:hAnsi="Arial" w:cs="Arial"/>
          <w:b/>
          <w:bCs/>
        </w:rPr>
      </w:pPr>
    </w:p>
    <w:p w14:paraId="7C8055A0" w14:textId="77777777" w:rsidR="00561B22" w:rsidRPr="00663020" w:rsidRDefault="00561B22" w:rsidP="00561B22">
      <w:pPr>
        <w:jc w:val="both"/>
        <w:rPr>
          <w:rFonts w:ascii="Arial" w:hAnsi="Arial" w:cs="Arial"/>
          <w:b/>
          <w:bCs/>
          <w:sz w:val="24"/>
          <w:szCs w:val="24"/>
          <w:lang w:val="es-CO"/>
        </w:rPr>
      </w:pPr>
      <w:r w:rsidRPr="00663020">
        <w:rPr>
          <w:rFonts w:ascii="Arial" w:hAnsi="Arial" w:cs="Arial"/>
          <w:b/>
          <w:bCs/>
          <w:sz w:val="24"/>
          <w:szCs w:val="24"/>
          <w:lang w:val="es-CO"/>
        </w:rPr>
        <w:lastRenderedPageBreak/>
        <w:t xml:space="preserve">NOTA: LA ENTIDAD ENVIA LA MATRIZ DE AUTOEVALUACIÓN DEL SISTEMA DE CONTROL INTERNO CONTABLE CON </w:t>
      </w:r>
      <w:r w:rsidRPr="00663020">
        <w:rPr>
          <w:rFonts w:ascii="Arial" w:hAnsi="Arial" w:cs="Arial"/>
          <w:b/>
          <w:bCs/>
          <w:sz w:val="24"/>
          <w:szCs w:val="24"/>
          <w:u w:val="single"/>
          <w:lang w:val="es-CO"/>
        </w:rPr>
        <w:t>ACTIVIDADES DE CONTROL REALIZADAS EN FORMA PARCIAL</w:t>
      </w:r>
      <w:r w:rsidRPr="00663020">
        <w:rPr>
          <w:rFonts w:ascii="Arial" w:hAnsi="Arial" w:cs="Arial"/>
          <w:b/>
          <w:bCs/>
          <w:sz w:val="24"/>
          <w:szCs w:val="24"/>
          <w:lang w:val="es-CO"/>
        </w:rPr>
        <w:t>.</w:t>
      </w:r>
    </w:p>
    <w:p w14:paraId="6261D628" w14:textId="77777777" w:rsidR="00561B22" w:rsidRPr="00663020" w:rsidRDefault="00561B22" w:rsidP="00561B22">
      <w:pPr>
        <w:pStyle w:val="Textoindependiente"/>
        <w:ind w:right="-50"/>
        <w:jc w:val="both"/>
        <w:rPr>
          <w:rFonts w:ascii="Arial" w:hAnsi="Arial" w:cs="Arial"/>
          <w:b/>
          <w:bCs/>
          <w:sz w:val="28"/>
          <w:szCs w:val="28"/>
        </w:rPr>
      </w:pPr>
    </w:p>
    <w:p w14:paraId="5E61A042" w14:textId="77777777" w:rsidR="00561B22" w:rsidRPr="00F50856" w:rsidRDefault="00561B22" w:rsidP="00561B22">
      <w:pPr>
        <w:jc w:val="both"/>
        <w:rPr>
          <w:rFonts w:ascii="Arial" w:hAnsi="Arial" w:cs="Arial"/>
          <w:b/>
          <w:sz w:val="28"/>
          <w:szCs w:val="28"/>
          <w:lang w:val="es-MX"/>
        </w:rPr>
      </w:pPr>
      <w:r w:rsidRPr="00F50856">
        <w:rPr>
          <w:rFonts w:ascii="Arial" w:hAnsi="Arial" w:cs="Arial"/>
          <w:b/>
          <w:sz w:val="28"/>
          <w:szCs w:val="28"/>
          <w:lang w:val="es-MX"/>
        </w:rPr>
        <w:t>71.- UNIVERSIDAD MILITAR NUEVA GRANADA</w:t>
      </w:r>
      <w:r>
        <w:rPr>
          <w:rFonts w:ascii="Arial" w:hAnsi="Arial" w:cs="Arial"/>
          <w:b/>
          <w:sz w:val="28"/>
          <w:szCs w:val="28"/>
          <w:lang w:val="es-MX"/>
        </w:rPr>
        <w:t>.</w:t>
      </w:r>
    </w:p>
    <w:p w14:paraId="624DFB1C" w14:textId="77777777" w:rsidR="00561B22" w:rsidRPr="00663020" w:rsidRDefault="00561B22" w:rsidP="00561B22">
      <w:pPr>
        <w:jc w:val="both"/>
        <w:rPr>
          <w:rFonts w:ascii="Arial" w:hAnsi="Arial" w:cs="Arial"/>
          <w:b/>
          <w:lang w:val="es-MX"/>
        </w:rPr>
      </w:pPr>
    </w:p>
    <w:p w14:paraId="64A75A07" w14:textId="77777777" w:rsidR="00561B22" w:rsidRPr="00E34510" w:rsidRDefault="00561B22" w:rsidP="00561B22">
      <w:pPr>
        <w:pStyle w:val="Textoindependiente"/>
        <w:ind w:right="-50"/>
        <w:jc w:val="center"/>
        <w:rPr>
          <w:rFonts w:ascii="Arial" w:hAnsi="Arial" w:cs="Arial"/>
          <w:b/>
          <w:bCs/>
        </w:rPr>
      </w:pPr>
      <w:r w:rsidRPr="00E34510">
        <w:rPr>
          <w:rFonts w:ascii="Arial" w:hAnsi="Arial" w:cs="Arial"/>
          <w:b/>
          <w:bCs/>
        </w:rPr>
        <w:t>INFORME DE LA AUTOCALIFICACIÓN DEL SISTEMA DE CONTROL INTERNO CONTABLE:</w:t>
      </w:r>
    </w:p>
    <w:p w14:paraId="0335BE3A" w14:textId="77777777" w:rsidR="00561B22" w:rsidRPr="00E3451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34510" w14:paraId="779612E9" w14:textId="77777777" w:rsidTr="00F1223B">
        <w:tc>
          <w:tcPr>
            <w:tcW w:w="4981" w:type="dxa"/>
          </w:tcPr>
          <w:p w14:paraId="3FCF57F7"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AUTOCALIFICACIÓN</w:t>
            </w:r>
          </w:p>
        </w:tc>
        <w:tc>
          <w:tcPr>
            <w:tcW w:w="4981" w:type="dxa"/>
          </w:tcPr>
          <w:p w14:paraId="106E6E9C" w14:textId="77777777" w:rsidR="00561B22" w:rsidRPr="00E34510" w:rsidRDefault="00561B22" w:rsidP="00F1223B">
            <w:pPr>
              <w:jc w:val="center"/>
              <w:rPr>
                <w:rFonts w:ascii="Arial" w:hAnsi="Arial" w:cs="Arial"/>
                <w:b/>
                <w:sz w:val="22"/>
                <w:szCs w:val="22"/>
                <w:u w:val="single"/>
                <w:lang w:val="es-MX"/>
              </w:rPr>
            </w:pPr>
            <w:r w:rsidRPr="00E34510">
              <w:rPr>
                <w:rFonts w:ascii="Arial" w:hAnsi="Arial" w:cs="Arial"/>
                <w:b/>
                <w:sz w:val="22"/>
                <w:szCs w:val="22"/>
                <w:u w:val="single"/>
                <w:lang w:val="es-MX"/>
              </w:rPr>
              <w:t>4.96</w:t>
            </w:r>
          </w:p>
        </w:tc>
      </w:tr>
    </w:tbl>
    <w:p w14:paraId="53607658" w14:textId="77777777" w:rsidR="00561B22" w:rsidRPr="00E34510" w:rsidRDefault="00561B22" w:rsidP="00561B22">
      <w:pPr>
        <w:pStyle w:val="Textoindependiente"/>
        <w:ind w:right="-50"/>
        <w:jc w:val="both"/>
        <w:rPr>
          <w:rFonts w:ascii="Arial" w:hAnsi="Arial" w:cs="Arial"/>
          <w:b/>
          <w:bCs/>
        </w:rPr>
      </w:pPr>
    </w:p>
    <w:p w14:paraId="36A8F7FE" w14:textId="77777777" w:rsidR="00561B22" w:rsidRPr="00E34510" w:rsidRDefault="00561B22" w:rsidP="00561B22">
      <w:pPr>
        <w:pStyle w:val="Textoindependiente"/>
        <w:ind w:right="-50"/>
        <w:jc w:val="both"/>
        <w:rPr>
          <w:rFonts w:ascii="Arial" w:hAnsi="Arial" w:cs="Arial"/>
          <w:b/>
          <w:bCs/>
        </w:rPr>
      </w:pPr>
      <w:r w:rsidRPr="00E34510">
        <w:rPr>
          <w:rFonts w:ascii="Arial" w:hAnsi="Arial" w:cs="Arial"/>
          <w:b/>
          <w:bCs/>
        </w:rPr>
        <w:t>Del informe enviado retomamos lo siguiente:</w:t>
      </w:r>
    </w:p>
    <w:p w14:paraId="0B3EA5F1" w14:textId="77777777" w:rsidR="00561B22" w:rsidRPr="00E3451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4510" w14:paraId="35F1076F" w14:textId="77777777" w:rsidTr="00F1223B">
        <w:tc>
          <w:tcPr>
            <w:tcW w:w="562" w:type="dxa"/>
          </w:tcPr>
          <w:p w14:paraId="7D70B9C8" w14:textId="77777777" w:rsidR="00561B22" w:rsidRPr="00E34510" w:rsidRDefault="00561B22" w:rsidP="00F1223B">
            <w:pPr>
              <w:ind w:right="-109"/>
              <w:jc w:val="center"/>
              <w:rPr>
                <w:rFonts w:ascii="Arial" w:hAnsi="Arial" w:cs="Arial"/>
                <w:b/>
                <w:sz w:val="22"/>
                <w:szCs w:val="22"/>
                <w:lang w:val="es-MX"/>
              </w:rPr>
            </w:pPr>
            <w:r w:rsidRPr="00E34510">
              <w:rPr>
                <w:rFonts w:ascii="Arial" w:hAnsi="Arial" w:cs="Arial"/>
                <w:b/>
                <w:sz w:val="22"/>
                <w:szCs w:val="22"/>
                <w:lang w:val="es-MX"/>
              </w:rPr>
              <w:t>N°</w:t>
            </w:r>
          </w:p>
        </w:tc>
        <w:tc>
          <w:tcPr>
            <w:tcW w:w="9400" w:type="dxa"/>
          </w:tcPr>
          <w:p w14:paraId="68942670"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DEBILIDADES</w:t>
            </w:r>
          </w:p>
          <w:p w14:paraId="16938F66" w14:textId="77777777" w:rsidR="00561B22" w:rsidRPr="00E34510" w:rsidRDefault="00561B22" w:rsidP="00F1223B">
            <w:pPr>
              <w:jc w:val="center"/>
              <w:rPr>
                <w:rFonts w:ascii="Arial" w:hAnsi="Arial" w:cs="Arial"/>
                <w:b/>
                <w:sz w:val="22"/>
                <w:szCs w:val="22"/>
                <w:lang w:val="es-MX"/>
              </w:rPr>
            </w:pPr>
          </w:p>
        </w:tc>
      </w:tr>
      <w:tr w:rsidR="00561B22" w:rsidRPr="00E34510" w14:paraId="083419F1" w14:textId="77777777" w:rsidTr="00F1223B">
        <w:tc>
          <w:tcPr>
            <w:tcW w:w="562" w:type="dxa"/>
          </w:tcPr>
          <w:p w14:paraId="7AB6FCD2"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1</w:t>
            </w:r>
          </w:p>
        </w:tc>
        <w:tc>
          <w:tcPr>
            <w:tcW w:w="9400" w:type="dxa"/>
          </w:tcPr>
          <w:p w14:paraId="590DF9C7" w14:textId="77777777" w:rsidR="00561B22" w:rsidRPr="00E34510" w:rsidRDefault="00561B22" w:rsidP="00F1223B">
            <w:pPr>
              <w:jc w:val="both"/>
              <w:rPr>
                <w:rFonts w:ascii="Arial" w:hAnsi="Arial" w:cs="Arial"/>
                <w:sz w:val="22"/>
                <w:szCs w:val="22"/>
                <w:lang w:val="es-MX"/>
              </w:rPr>
            </w:pPr>
            <w:r w:rsidRPr="00E34510">
              <w:rPr>
                <w:rFonts w:ascii="Arial" w:hAnsi="Arial" w:cs="Arial"/>
                <w:sz w:val="22"/>
                <w:szCs w:val="22"/>
                <w:lang w:val="es-MX"/>
              </w:rPr>
              <w:t>No existe un sistema integrado de información que permita la trazabilidad de esta, en cuanto al tema de bienes e inventarios</w:t>
            </w:r>
          </w:p>
        </w:tc>
      </w:tr>
    </w:tbl>
    <w:p w14:paraId="51D3F370" w14:textId="77777777" w:rsidR="00561B22" w:rsidRPr="00E3451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4510" w14:paraId="3EB68277" w14:textId="77777777" w:rsidTr="00F1223B">
        <w:tc>
          <w:tcPr>
            <w:tcW w:w="562" w:type="dxa"/>
          </w:tcPr>
          <w:p w14:paraId="4B2EF511" w14:textId="77777777" w:rsidR="00561B22" w:rsidRPr="00E34510" w:rsidRDefault="00561B22" w:rsidP="00F1223B">
            <w:pPr>
              <w:ind w:right="-109"/>
              <w:jc w:val="center"/>
              <w:rPr>
                <w:rFonts w:ascii="Arial" w:hAnsi="Arial" w:cs="Arial"/>
                <w:b/>
                <w:sz w:val="22"/>
                <w:szCs w:val="22"/>
                <w:lang w:val="es-MX"/>
              </w:rPr>
            </w:pPr>
            <w:r w:rsidRPr="00E34510">
              <w:rPr>
                <w:rFonts w:ascii="Arial" w:hAnsi="Arial" w:cs="Arial"/>
                <w:b/>
                <w:sz w:val="22"/>
                <w:szCs w:val="22"/>
                <w:lang w:val="es-MX"/>
              </w:rPr>
              <w:t>N°</w:t>
            </w:r>
          </w:p>
        </w:tc>
        <w:tc>
          <w:tcPr>
            <w:tcW w:w="9400" w:type="dxa"/>
          </w:tcPr>
          <w:p w14:paraId="637C5DCC"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RECOMENDACIONES</w:t>
            </w:r>
          </w:p>
          <w:p w14:paraId="35274608" w14:textId="77777777" w:rsidR="00561B22" w:rsidRPr="00E34510" w:rsidRDefault="00561B22" w:rsidP="00F1223B">
            <w:pPr>
              <w:jc w:val="center"/>
              <w:rPr>
                <w:rFonts w:ascii="Arial" w:hAnsi="Arial" w:cs="Arial"/>
                <w:b/>
                <w:sz w:val="22"/>
                <w:szCs w:val="22"/>
                <w:lang w:val="es-MX"/>
              </w:rPr>
            </w:pPr>
          </w:p>
        </w:tc>
      </w:tr>
      <w:tr w:rsidR="00561B22" w:rsidRPr="00E34510" w14:paraId="12C41E38" w14:textId="77777777" w:rsidTr="00F1223B">
        <w:tc>
          <w:tcPr>
            <w:tcW w:w="562" w:type="dxa"/>
          </w:tcPr>
          <w:p w14:paraId="7AB7D5BC"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1</w:t>
            </w:r>
          </w:p>
        </w:tc>
        <w:tc>
          <w:tcPr>
            <w:tcW w:w="9400" w:type="dxa"/>
          </w:tcPr>
          <w:p w14:paraId="798F8A93" w14:textId="77777777" w:rsidR="00561B22" w:rsidRPr="00E34510" w:rsidRDefault="00561B22" w:rsidP="00F1223B">
            <w:pPr>
              <w:jc w:val="both"/>
              <w:rPr>
                <w:rFonts w:ascii="Arial" w:hAnsi="Arial" w:cs="Arial"/>
                <w:sz w:val="22"/>
                <w:szCs w:val="22"/>
                <w:lang w:val="es-MX"/>
              </w:rPr>
            </w:pPr>
            <w:r w:rsidRPr="00E34510">
              <w:rPr>
                <w:rFonts w:ascii="Arial" w:hAnsi="Arial" w:cs="Arial"/>
                <w:sz w:val="22"/>
                <w:szCs w:val="22"/>
                <w:lang w:val="es-MX"/>
              </w:rPr>
              <w:t>Al implementar el nuevo sistema este debe cumplir con todos los parámetros Legales, contables y de gestión, con el fin de tener exactitud de la información.</w:t>
            </w:r>
          </w:p>
        </w:tc>
      </w:tr>
      <w:tr w:rsidR="00561B22" w:rsidRPr="00E34510" w14:paraId="7C3AEEB2" w14:textId="77777777" w:rsidTr="00F1223B">
        <w:tc>
          <w:tcPr>
            <w:tcW w:w="562" w:type="dxa"/>
          </w:tcPr>
          <w:p w14:paraId="08C804B7"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2</w:t>
            </w:r>
          </w:p>
        </w:tc>
        <w:tc>
          <w:tcPr>
            <w:tcW w:w="9400" w:type="dxa"/>
          </w:tcPr>
          <w:p w14:paraId="7C69A70F" w14:textId="77777777" w:rsidR="00561B22" w:rsidRPr="00E34510" w:rsidRDefault="00561B22" w:rsidP="00F1223B">
            <w:pPr>
              <w:jc w:val="both"/>
              <w:rPr>
                <w:rFonts w:ascii="Arial" w:hAnsi="Arial" w:cs="Arial"/>
                <w:sz w:val="22"/>
                <w:szCs w:val="22"/>
                <w:lang w:val="es-MX"/>
              </w:rPr>
            </w:pPr>
            <w:r w:rsidRPr="00E34510">
              <w:rPr>
                <w:rFonts w:ascii="Arial" w:hAnsi="Arial" w:cs="Arial"/>
                <w:sz w:val="22"/>
                <w:szCs w:val="22"/>
                <w:lang w:val="es-MX"/>
              </w:rPr>
              <w:t>Que se concluya el proceso de saneamiento de propiedad, planta y equipo y las cuentas objetos de observación por parte de la CGN.</w:t>
            </w:r>
          </w:p>
        </w:tc>
      </w:tr>
      <w:tr w:rsidR="00561B22" w:rsidRPr="00E34510" w14:paraId="26AD7DA6" w14:textId="77777777" w:rsidTr="00F1223B">
        <w:tc>
          <w:tcPr>
            <w:tcW w:w="562" w:type="dxa"/>
          </w:tcPr>
          <w:p w14:paraId="7BE4136E" w14:textId="77777777" w:rsidR="00561B22" w:rsidRPr="00E34510" w:rsidRDefault="00561B22" w:rsidP="00F1223B">
            <w:pPr>
              <w:jc w:val="center"/>
              <w:rPr>
                <w:rFonts w:ascii="Arial" w:hAnsi="Arial" w:cs="Arial"/>
                <w:b/>
                <w:sz w:val="22"/>
                <w:szCs w:val="22"/>
                <w:lang w:val="es-MX"/>
              </w:rPr>
            </w:pPr>
            <w:r w:rsidRPr="00E34510">
              <w:rPr>
                <w:rFonts w:ascii="Arial" w:hAnsi="Arial" w:cs="Arial"/>
                <w:b/>
                <w:sz w:val="22"/>
                <w:szCs w:val="22"/>
                <w:lang w:val="es-MX"/>
              </w:rPr>
              <w:t>3</w:t>
            </w:r>
          </w:p>
        </w:tc>
        <w:tc>
          <w:tcPr>
            <w:tcW w:w="9400" w:type="dxa"/>
          </w:tcPr>
          <w:p w14:paraId="77CA4B09" w14:textId="77777777" w:rsidR="00561B22" w:rsidRPr="00E34510" w:rsidRDefault="00561B22" w:rsidP="00F1223B">
            <w:pPr>
              <w:jc w:val="both"/>
              <w:rPr>
                <w:rFonts w:ascii="Arial" w:hAnsi="Arial" w:cs="Arial"/>
                <w:sz w:val="22"/>
                <w:szCs w:val="22"/>
                <w:lang w:val="es-MX"/>
              </w:rPr>
            </w:pPr>
            <w:r w:rsidRPr="00E34510">
              <w:rPr>
                <w:rFonts w:ascii="Arial" w:hAnsi="Arial" w:cs="Arial"/>
                <w:sz w:val="22"/>
                <w:szCs w:val="22"/>
                <w:lang w:val="es-MX"/>
              </w:rPr>
              <w:t>Se recomienda dar cumplimiento a la periodicidad en la que se debe reunir el Comité Técnico de Sostenibilidad del Sistema Contable, dado que en la vigencia 2024, según se indica, no se realizaron sesiones</w:t>
            </w:r>
          </w:p>
        </w:tc>
      </w:tr>
    </w:tbl>
    <w:p w14:paraId="68BA1A00" w14:textId="77777777" w:rsidR="00561B22" w:rsidRPr="00E34510" w:rsidRDefault="00561B22" w:rsidP="00561B22">
      <w:pPr>
        <w:ind w:left="720" w:hanging="720"/>
        <w:jc w:val="both"/>
        <w:rPr>
          <w:rFonts w:ascii="Arial" w:hAnsi="Arial" w:cs="Arial"/>
          <w:b/>
          <w:bCs/>
          <w:lang w:val="es-CO"/>
        </w:rPr>
      </w:pPr>
    </w:p>
    <w:p w14:paraId="468463E4" w14:textId="77777777" w:rsidR="00561B22" w:rsidRPr="00E34510" w:rsidRDefault="00561B22" w:rsidP="00561B22">
      <w:pPr>
        <w:jc w:val="both"/>
        <w:rPr>
          <w:rFonts w:ascii="Arial" w:hAnsi="Arial" w:cs="Arial"/>
          <w:b/>
          <w:bCs/>
          <w:sz w:val="24"/>
          <w:szCs w:val="24"/>
          <w:lang w:val="es-CO"/>
        </w:rPr>
      </w:pPr>
      <w:r w:rsidRPr="00E34510">
        <w:rPr>
          <w:rFonts w:ascii="Arial" w:hAnsi="Arial" w:cs="Arial"/>
          <w:b/>
          <w:bCs/>
          <w:sz w:val="24"/>
          <w:szCs w:val="24"/>
          <w:lang w:val="es-CO"/>
        </w:rPr>
        <w:t xml:space="preserve">NOTA: LA ENTIDAD ENVIA LA MATRIZ DE AUTOEVALUACIÓN DEL SISTEMA DE CONTROL INTERNO CONTABLE CON </w:t>
      </w:r>
      <w:r w:rsidRPr="00E34510">
        <w:rPr>
          <w:rFonts w:ascii="Arial" w:hAnsi="Arial" w:cs="Arial"/>
          <w:b/>
          <w:bCs/>
          <w:sz w:val="24"/>
          <w:szCs w:val="24"/>
          <w:u w:val="single"/>
          <w:lang w:val="es-CO"/>
        </w:rPr>
        <w:t>ACTIVIDADES DE CONTROL REALIZADAS EN FORMA PARCIAL</w:t>
      </w:r>
      <w:r w:rsidRPr="00E34510">
        <w:rPr>
          <w:rFonts w:ascii="Arial" w:hAnsi="Arial" w:cs="Arial"/>
          <w:b/>
          <w:bCs/>
          <w:sz w:val="24"/>
          <w:szCs w:val="24"/>
          <w:lang w:val="es-CO"/>
        </w:rPr>
        <w:t>.</w:t>
      </w:r>
    </w:p>
    <w:p w14:paraId="5FF8FF43" w14:textId="77777777" w:rsidR="00561B22" w:rsidRPr="00E34510" w:rsidRDefault="00561B22" w:rsidP="00561B22">
      <w:pPr>
        <w:pStyle w:val="Ttulo1"/>
        <w:spacing w:before="93"/>
        <w:ind w:right="-50"/>
        <w:jc w:val="left"/>
        <w:rPr>
          <w:sz w:val="24"/>
          <w:szCs w:val="24"/>
          <w:lang w:val="es-CO"/>
        </w:rPr>
      </w:pPr>
    </w:p>
    <w:p w14:paraId="6E659A95" w14:textId="77777777" w:rsidR="00561B22" w:rsidRDefault="00561B22" w:rsidP="00561B22">
      <w:pPr>
        <w:jc w:val="both"/>
        <w:rPr>
          <w:rFonts w:ascii="Arial" w:hAnsi="Arial" w:cs="Arial"/>
          <w:b/>
          <w:sz w:val="28"/>
          <w:szCs w:val="28"/>
          <w:lang w:val="es-MX"/>
        </w:rPr>
      </w:pPr>
      <w:r w:rsidRPr="006C2E3D">
        <w:rPr>
          <w:rFonts w:ascii="Arial" w:hAnsi="Arial" w:cs="Arial"/>
          <w:b/>
          <w:sz w:val="28"/>
          <w:szCs w:val="28"/>
          <w:lang w:val="es-MX"/>
        </w:rPr>
        <w:t>73.- INSTITUTO NACIONAL PARA SORDOS - INSOR.</w:t>
      </w:r>
    </w:p>
    <w:p w14:paraId="4AE83FE3" w14:textId="77777777" w:rsidR="00561B22" w:rsidRDefault="00561B22" w:rsidP="00561B22">
      <w:pPr>
        <w:jc w:val="both"/>
        <w:rPr>
          <w:rFonts w:ascii="Arial" w:hAnsi="Arial" w:cs="Arial"/>
          <w:b/>
          <w:sz w:val="28"/>
          <w:szCs w:val="28"/>
          <w:lang w:val="es-MX"/>
        </w:rPr>
      </w:pPr>
    </w:p>
    <w:p w14:paraId="4AE7C7BF" w14:textId="77777777" w:rsidR="00561B22" w:rsidRPr="006C2E3D" w:rsidRDefault="00561B22" w:rsidP="00561B22">
      <w:pPr>
        <w:jc w:val="center"/>
        <w:rPr>
          <w:rFonts w:ascii="Arial" w:hAnsi="Arial" w:cs="Arial"/>
          <w:b/>
          <w:bCs/>
        </w:rPr>
      </w:pPr>
      <w:r w:rsidRPr="006C2E3D">
        <w:rPr>
          <w:rFonts w:ascii="Arial" w:hAnsi="Arial" w:cs="Arial"/>
          <w:b/>
          <w:bCs/>
        </w:rPr>
        <w:t>INFORME DE LA AUTOCALIFICACIÓN DEL SISTEMA DE CONTROL INTERNO CONTABLE:</w:t>
      </w:r>
    </w:p>
    <w:p w14:paraId="38E6D3E3" w14:textId="77777777" w:rsidR="00561B22" w:rsidRPr="006C2E3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C2E3D" w14:paraId="6117DB1C" w14:textId="77777777" w:rsidTr="00F1223B">
        <w:tc>
          <w:tcPr>
            <w:tcW w:w="4981" w:type="dxa"/>
          </w:tcPr>
          <w:p w14:paraId="0A5B7BB7"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AUTOCALIFICACIÓN</w:t>
            </w:r>
          </w:p>
        </w:tc>
        <w:tc>
          <w:tcPr>
            <w:tcW w:w="4981" w:type="dxa"/>
          </w:tcPr>
          <w:p w14:paraId="72A5E38F" w14:textId="77777777" w:rsidR="00561B22" w:rsidRPr="006C2E3D" w:rsidRDefault="00561B22" w:rsidP="00F1223B">
            <w:pPr>
              <w:jc w:val="center"/>
              <w:rPr>
                <w:rFonts w:ascii="Arial" w:hAnsi="Arial" w:cs="Arial"/>
                <w:b/>
                <w:sz w:val="22"/>
                <w:szCs w:val="22"/>
                <w:u w:val="single"/>
                <w:lang w:val="es-MX"/>
              </w:rPr>
            </w:pPr>
            <w:r w:rsidRPr="006C2E3D">
              <w:rPr>
                <w:rFonts w:ascii="Arial" w:hAnsi="Arial" w:cs="Arial"/>
                <w:b/>
                <w:sz w:val="22"/>
                <w:szCs w:val="22"/>
                <w:u w:val="single"/>
                <w:lang w:val="es-MX"/>
              </w:rPr>
              <w:t>4.93</w:t>
            </w:r>
          </w:p>
        </w:tc>
      </w:tr>
    </w:tbl>
    <w:p w14:paraId="6B3DAC3E" w14:textId="77777777" w:rsidR="00561B22" w:rsidRPr="006C2E3D" w:rsidRDefault="00561B22" w:rsidP="00561B22">
      <w:pPr>
        <w:pStyle w:val="Textoindependiente"/>
        <w:ind w:right="-50"/>
        <w:jc w:val="both"/>
        <w:rPr>
          <w:rFonts w:ascii="Arial" w:hAnsi="Arial" w:cs="Arial"/>
          <w:b/>
          <w:bCs/>
        </w:rPr>
      </w:pPr>
    </w:p>
    <w:p w14:paraId="3805B604" w14:textId="77777777" w:rsidR="00561B22" w:rsidRPr="006C2E3D" w:rsidRDefault="00561B22" w:rsidP="00561B22">
      <w:pPr>
        <w:pStyle w:val="Textoindependiente"/>
        <w:ind w:right="-50"/>
        <w:jc w:val="both"/>
        <w:rPr>
          <w:rFonts w:ascii="Arial" w:hAnsi="Arial" w:cs="Arial"/>
          <w:b/>
          <w:bCs/>
        </w:rPr>
      </w:pPr>
      <w:r w:rsidRPr="006C2E3D">
        <w:rPr>
          <w:rFonts w:ascii="Arial" w:hAnsi="Arial" w:cs="Arial"/>
          <w:b/>
          <w:bCs/>
        </w:rPr>
        <w:t>Del informe enviado retomamos lo siguiente:</w:t>
      </w:r>
    </w:p>
    <w:p w14:paraId="4E249C15" w14:textId="77777777" w:rsidR="00561B22" w:rsidRPr="006C2E3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C2E3D" w14:paraId="34001EEF" w14:textId="77777777" w:rsidTr="00F1223B">
        <w:tc>
          <w:tcPr>
            <w:tcW w:w="562" w:type="dxa"/>
          </w:tcPr>
          <w:p w14:paraId="6D84A94B" w14:textId="77777777" w:rsidR="00561B22" w:rsidRPr="006C2E3D" w:rsidRDefault="00561B22" w:rsidP="00F1223B">
            <w:pPr>
              <w:ind w:right="-109"/>
              <w:jc w:val="center"/>
              <w:rPr>
                <w:rFonts w:ascii="Arial" w:hAnsi="Arial" w:cs="Arial"/>
                <w:b/>
                <w:sz w:val="22"/>
                <w:szCs w:val="22"/>
                <w:lang w:val="es-MX"/>
              </w:rPr>
            </w:pPr>
            <w:r w:rsidRPr="006C2E3D">
              <w:rPr>
                <w:rFonts w:ascii="Arial" w:hAnsi="Arial" w:cs="Arial"/>
                <w:b/>
                <w:sz w:val="22"/>
                <w:szCs w:val="22"/>
                <w:lang w:val="es-MX"/>
              </w:rPr>
              <w:t>N°</w:t>
            </w:r>
          </w:p>
        </w:tc>
        <w:tc>
          <w:tcPr>
            <w:tcW w:w="9400" w:type="dxa"/>
          </w:tcPr>
          <w:p w14:paraId="155F9005"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DEBILIDADES</w:t>
            </w:r>
          </w:p>
          <w:p w14:paraId="0E24C757" w14:textId="77777777" w:rsidR="00561B22" w:rsidRPr="006C2E3D" w:rsidRDefault="00561B22" w:rsidP="00F1223B">
            <w:pPr>
              <w:jc w:val="center"/>
              <w:rPr>
                <w:rFonts w:ascii="Arial" w:hAnsi="Arial" w:cs="Arial"/>
                <w:b/>
                <w:sz w:val="22"/>
                <w:szCs w:val="22"/>
                <w:lang w:val="es-MX"/>
              </w:rPr>
            </w:pPr>
          </w:p>
        </w:tc>
      </w:tr>
      <w:tr w:rsidR="00561B22" w:rsidRPr="006C2E3D" w14:paraId="73B859DA" w14:textId="77777777" w:rsidTr="00F1223B">
        <w:tc>
          <w:tcPr>
            <w:tcW w:w="562" w:type="dxa"/>
          </w:tcPr>
          <w:p w14:paraId="03AF97DC"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1</w:t>
            </w:r>
          </w:p>
        </w:tc>
        <w:tc>
          <w:tcPr>
            <w:tcW w:w="9400" w:type="dxa"/>
          </w:tcPr>
          <w:p w14:paraId="02618F05"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Durante la vigencia 2024, se observó debilidad en la elaboración de las conciliaciones bancarias, ya que se evidenció que no se realizó la conciliación bancaria a la totalidad de las cuentas bancarias.</w:t>
            </w:r>
          </w:p>
        </w:tc>
      </w:tr>
      <w:tr w:rsidR="00561B22" w:rsidRPr="006C2E3D" w14:paraId="5C7C2993" w14:textId="77777777" w:rsidTr="00F1223B">
        <w:tc>
          <w:tcPr>
            <w:tcW w:w="562" w:type="dxa"/>
          </w:tcPr>
          <w:p w14:paraId="025BF264"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2</w:t>
            </w:r>
          </w:p>
        </w:tc>
        <w:tc>
          <w:tcPr>
            <w:tcW w:w="9400" w:type="dxa"/>
          </w:tcPr>
          <w:p w14:paraId="1C6EA9FE"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El Proceso de Gestión Contable PRGF03 no tiene el flujograma.</w:t>
            </w:r>
          </w:p>
        </w:tc>
      </w:tr>
      <w:tr w:rsidR="00561B22" w:rsidRPr="006C2E3D" w14:paraId="1D687604" w14:textId="77777777" w:rsidTr="00F1223B">
        <w:tc>
          <w:tcPr>
            <w:tcW w:w="562" w:type="dxa"/>
          </w:tcPr>
          <w:p w14:paraId="2253D501"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3</w:t>
            </w:r>
          </w:p>
        </w:tc>
        <w:tc>
          <w:tcPr>
            <w:tcW w:w="9400" w:type="dxa"/>
          </w:tcPr>
          <w:p w14:paraId="051F50B9"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De acuerdo con lo seguimientos realizados por control interno se identificó que no se ha realizado la depuración de la base de bienes devolutivos del INSOR.</w:t>
            </w:r>
          </w:p>
        </w:tc>
      </w:tr>
      <w:tr w:rsidR="00561B22" w:rsidRPr="006C2E3D" w14:paraId="5D5580F8" w14:textId="77777777" w:rsidTr="00F1223B">
        <w:tc>
          <w:tcPr>
            <w:tcW w:w="562" w:type="dxa"/>
          </w:tcPr>
          <w:p w14:paraId="4B8442C1"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4</w:t>
            </w:r>
          </w:p>
        </w:tc>
        <w:tc>
          <w:tcPr>
            <w:tcW w:w="9400" w:type="dxa"/>
          </w:tcPr>
          <w:p w14:paraId="2C01D502"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Se evidenció la publicación extemporánea de los estados financieros del I y II trimestre de 2024.</w:t>
            </w:r>
          </w:p>
        </w:tc>
      </w:tr>
      <w:tr w:rsidR="00561B22" w:rsidRPr="006C2E3D" w14:paraId="61099796" w14:textId="77777777" w:rsidTr="00F1223B">
        <w:tc>
          <w:tcPr>
            <w:tcW w:w="562" w:type="dxa"/>
          </w:tcPr>
          <w:p w14:paraId="3441A2BB"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5</w:t>
            </w:r>
          </w:p>
        </w:tc>
        <w:tc>
          <w:tcPr>
            <w:tcW w:w="9400" w:type="dxa"/>
          </w:tcPr>
          <w:p w14:paraId="550CA458"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 xml:space="preserve">Se evidenció que el numeral 4.14. Presentación de Estados Financieros, literal b. Juego completo de estados financieros, falta actualizar el manual debido a que la RESOLUCIÓN No. </w:t>
            </w:r>
            <w:r w:rsidRPr="006C2E3D">
              <w:rPr>
                <w:rFonts w:ascii="Arial" w:hAnsi="Arial" w:cs="Arial"/>
                <w:sz w:val="22"/>
                <w:szCs w:val="22"/>
                <w:lang w:val="es-MX"/>
              </w:rPr>
              <w:lastRenderedPageBreak/>
              <w:t>283 del 11 de octubre de 2022, la cual suspendió indefinidamente la realización del estado financiero flujos de efectivo.</w:t>
            </w:r>
          </w:p>
        </w:tc>
      </w:tr>
    </w:tbl>
    <w:p w14:paraId="48094A9B" w14:textId="77777777" w:rsidR="00561B22" w:rsidRPr="006C2E3D" w:rsidRDefault="00561B22" w:rsidP="00561B22">
      <w:pPr>
        <w:pStyle w:val="Textoindependiente"/>
        <w:ind w:right="-50"/>
        <w:jc w:val="both"/>
        <w:rPr>
          <w:rFonts w:ascii="Arial" w:hAnsi="Arial" w:cs="Arial"/>
          <w:b/>
          <w:bCs/>
        </w:rPr>
      </w:pPr>
    </w:p>
    <w:p w14:paraId="277FF27A" w14:textId="77777777" w:rsidR="00561B22" w:rsidRPr="006C2E3D" w:rsidRDefault="00561B22" w:rsidP="00561B22">
      <w:pPr>
        <w:jc w:val="both"/>
        <w:rPr>
          <w:rFonts w:ascii="Arial" w:hAnsi="Arial" w:cs="Arial"/>
          <w:b/>
          <w:lang w:val="es-MX"/>
        </w:rPr>
      </w:pPr>
      <w:r w:rsidRPr="006C2E3D">
        <w:rPr>
          <w:rFonts w:ascii="Arial" w:hAnsi="Arial" w:cs="Arial"/>
          <w:b/>
          <w:lang w:val="es-MX"/>
        </w:rPr>
        <w:t>Del citado informe retomamos las siguientes recomendaciones:</w:t>
      </w:r>
    </w:p>
    <w:p w14:paraId="728607D0" w14:textId="77777777" w:rsidR="00561B22" w:rsidRPr="006C2E3D"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6C2E3D" w14:paraId="7FD7EFC4" w14:textId="77777777" w:rsidTr="00F1223B">
        <w:tc>
          <w:tcPr>
            <w:tcW w:w="562" w:type="dxa"/>
          </w:tcPr>
          <w:p w14:paraId="1AE69A12" w14:textId="77777777" w:rsidR="00561B22" w:rsidRPr="006C2E3D" w:rsidRDefault="00561B22" w:rsidP="00F1223B">
            <w:pPr>
              <w:ind w:right="-109"/>
              <w:jc w:val="center"/>
              <w:rPr>
                <w:rFonts w:ascii="Arial" w:hAnsi="Arial" w:cs="Arial"/>
                <w:b/>
                <w:sz w:val="22"/>
                <w:szCs w:val="22"/>
                <w:lang w:val="es-MX"/>
              </w:rPr>
            </w:pPr>
            <w:r w:rsidRPr="006C2E3D">
              <w:rPr>
                <w:rFonts w:ascii="Arial" w:hAnsi="Arial" w:cs="Arial"/>
                <w:b/>
                <w:sz w:val="22"/>
                <w:szCs w:val="22"/>
                <w:lang w:val="es-MX"/>
              </w:rPr>
              <w:t>N°</w:t>
            </w:r>
          </w:p>
        </w:tc>
        <w:tc>
          <w:tcPr>
            <w:tcW w:w="9400" w:type="dxa"/>
          </w:tcPr>
          <w:p w14:paraId="1BB16069"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RECOMENDACIONES</w:t>
            </w:r>
          </w:p>
          <w:p w14:paraId="7ECC54A3" w14:textId="77777777" w:rsidR="00561B22" w:rsidRPr="006C2E3D" w:rsidRDefault="00561B22" w:rsidP="00F1223B">
            <w:pPr>
              <w:jc w:val="center"/>
              <w:rPr>
                <w:rFonts w:ascii="Arial" w:hAnsi="Arial" w:cs="Arial"/>
                <w:b/>
                <w:sz w:val="22"/>
                <w:szCs w:val="22"/>
                <w:lang w:val="es-MX"/>
              </w:rPr>
            </w:pPr>
          </w:p>
        </w:tc>
      </w:tr>
      <w:tr w:rsidR="00561B22" w:rsidRPr="006C2E3D" w14:paraId="2EEBEFFE" w14:textId="77777777" w:rsidTr="00F1223B">
        <w:tc>
          <w:tcPr>
            <w:tcW w:w="562" w:type="dxa"/>
          </w:tcPr>
          <w:p w14:paraId="1A162A77"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1</w:t>
            </w:r>
          </w:p>
        </w:tc>
        <w:tc>
          <w:tcPr>
            <w:tcW w:w="9400" w:type="dxa"/>
          </w:tcPr>
          <w:p w14:paraId="5F67DF3C"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 xml:space="preserve">Se recomienda ejercer mayor control en la revisión de las conciliaciones bancarias, de tal forma que se verifique que la conciliación contenga el extracto bancario, el soporte de la conciliación y el reporte de auxiliar de movimiento de bancos, adicionalmente, revisar que todas las cuentas bancarias se encuentren conciliadas al cierre de cada mes. </w:t>
            </w:r>
          </w:p>
        </w:tc>
      </w:tr>
      <w:tr w:rsidR="00561B22" w:rsidRPr="006C2E3D" w14:paraId="07E62293" w14:textId="77777777" w:rsidTr="00F1223B">
        <w:tc>
          <w:tcPr>
            <w:tcW w:w="562" w:type="dxa"/>
          </w:tcPr>
          <w:p w14:paraId="2C62AC08"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2</w:t>
            </w:r>
          </w:p>
        </w:tc>
        <w:tc>
          <w:tcPr>
            <w:tcW w:w="9400" w:type="dxa"/>
          </w:tcPr>
          <w:p w14:paraId="606E70B1"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Se recomienda realizar e incluir el flujograma en el Procedimiento Gestión Contable PRGF03.</w:t>
            </w:r>
          </w:p>
        </w:tc>
      </w:tr>
      <w:tr w:rsidR="00561B22" w:rsidRPr="006C2E3D" w14:paraId="6348BE2F" w14:textId="77777777" w:rsidTr="00F1223B">
        <w:tc>
          <w:tcPr>
            <w:tcW w:w="562" w:type="dxa"/>
          </w:tcPr>
          <w:p w14:paraId="22C926F0"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3</w:t>
            </w:r>
          </w:p>
        </w:tc>
        <w:tc>
          <w:tcPr>
            <w:tcW w:w="9400" w:type="dxa"/>
          </w:tcPr>
          <w:p w14:paraId="19E78E3F"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Se recomienda efectuar el proceso de baja de bienes, de tal forma que se depure la base de bienes del INSOR.</w:t>
            </w:r>
          </w:p>
        </w:tc>
      </w:tr>
      <w:tr w:rsidR="00561B22" w:rsidRPr="006C2E3D" w14:paraId="370C81C2" w14:textId="77777777" w:rsidTr="00F1223B">
        <w:tc>
          <w:tcPr>
            <w:tcW w:w="562" w:type="dxa"/>
          </w:tcPr>
          <w:p w14:paraId="78B4ECDC"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4</w:t>
            </w:r>
          </w:p>
        </w:tc>
        <w:tc>
          <w:tcPr>
            <w:tcW w:w="9400" w:type="dxa"/>
          </w:tcPr>
          <w:p w14:paraId="4FEFA151"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Se recomienda establecer un cronograma con fecha de cada una de las actividades y diligenciarlo, esto con el fin de incluir un control que sirva como evidencia para controlar el cumplimiento de las diferentes etapas del flujo de información contable</w:t>
            </w:r>
          </w:p>
        </w:tc>
      </w:tr>
      <w:tr w:rsidR="00561B22" w:rsidRPr="006C2E3D" w14:paraId="68CC1347" w14:textId="77777777" w:rsidTr="00F1223B">
        <w:tc>
          <w:tcPr>
            <w:tcW w:w="562" w:type="dxa"/>
          </w:tcPr>
          <w:p w14:paraId="75DAC770"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5</w:t>
            </w:r>
          </w:p>
        </w:tc>
        <w:tc>
          <w:tcPr>
            <w:tcW w:w="9400" w:type="dxa"/>
          </w:tcPr>
          <w:p w14:paraId="65221D54"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Con el fin de contribuir con la calidad de la información contable se recomienda documentar e implementar un procedimiento de depuración contable.</w:t>
            </w:r>
          </w:p>
        </w:tc>
      </w:tr>
      <w:tr w:rsidR="00561B22" w:rsidRPr="006C2E3D" w14:paraId="7C1D989B" w14:textId="77777777" w:rsidTr="00F1223B">
        <w:tc>
          <w:tcPr>
            <w:tcW w:w="562" w:type="dxa"/>
          </w:tcPr>
          <w:p w14:paraId="780C7CFB" w14:textId="77777777" w:rsidR="00561B22" w:rsidRPr="006C2E3D" w:rsidRDefault="00561B22" w:rsidP="00F1223B">
            <w:pPr>
              <w:jc w:val="center"/>
              <w:rPr>
                <w:rFonts w:ascii="Arial" w:hAnsi="Arial" w:cs="Arial"/>
                <w:b/>
                <w:sz w:val="22"/>
                <w:szCs w:val="22"/>
                <w:lang w:val="es-MX"/>
              </w:rPr>
            </w:pPr>
            <w:r w:rsidRPr="006C2E3D">
              <w:rPr>
                <w:rFonts w:ascii="Arial" w:hAnsi="Arial" w:cs="Arial"/>
                <w:b/>
                <w:sz w:val="22"/>
                <w:szCs w:val="22"/>
                <w:lang w:val="es-MX"/>
              </w:rPr>
              <w:t>6</w:t>
            </w:r>
          </w:p>
        </w:tc>
        <w:tc>
          <w:tcPr>
            <w:tcW w:w="9400" w:type="dxa"/>
          </w:tcPr>
          <w:p w14:paraId="1223A27F" w14:textId="77777777" w:rsidR="00561B22" w:rsidRPr="006C2E3D" w:rsidRDefault="00561B22" w:rsidP="00F1223B">
            <w:pPr>
              <w:jc w:val="both"/>
              <w:rPr>
                <w:rFonts w:ascii="Arial" w:hAnsi="Arial" w:cs="Arial"/>
                <w:sz w:val="22"/>
                <w:szCs w:val="22"/>
                <w:lang w:val="es-MX"/>
              </w:rPr>
            </w:pPr>
            <w:r w:rsidRPr="006C2E3D">
              <w:rPr>
                <w:rFonts w:ascii="Arial" w:hAnsi="Arial" w:cs="Arial"/>
                <w:sz w:val="22"/>
                <w:szCs w:val="22"/>
                <w:lang w:val="es-MX"/>
              </w:rPr>
              <w:t>Para mejorar el desarrollo del plan de capacitación institucional, se recomienda generar programas de capacitación que contribuyan con el proceso de actualización permanente al personal involucrado en el proceso contable</w:t>
            </w:r>
          </w:p>
        </w:tc>
      </w:tr>
    </w:tbl>
    <w:p w14:paraId="16747489" w14:textId="77777777" w:rsidR="00561B22" w:rsidRPr="006C2E3D" w:rsidRDefault="00561B22" w:rsidP="00561B22">
      <w:pPr>
        <w:pStyle w:val="Textoindependiente"/>
        <w:ind w:right="-50"/>
        <w:jc w:val="both"/>
        <w:rPr>
          <w:rFonts w:ascii="Arial" w:hAnsi="Arial" w:cs="Arial"/>
          <w:b/>
          <w:bCs/>
          <w:sz w:val="28"/>
          <w:szCs w:val="28"/>
        </w:rPr>
      </w:pPr>
    </w:p>
    <w:p w14:paraId="0CA779EC" w14:textId="77777777" w:rsidR="00561B22" w:rsidRPr="006C2E3D" w:rsidRDefault="00561B22" w:rsidP="00561B22">
      <w:pPr>
        <w:jc w:val="both"/>
        <w:rPr>
          <w:rFonts w:ascii="Arial" w:hAnsi="Arial" w:cs="Arial"/>
          <w:b/>
          <w:bCs/>
          <w:sz w:val="24"/>
          <w:szCs w:val="24"/>
          <w:lang w:val="es-CO"/>
        </w:rPr>
      </w:pPr>
      <w:r w:rsidRPr="006C2E3D">
        <w:rPr>
          <w:rFonts w:ascii="Arial" w:hAnsi="Arial" w:cs="Arial"/>
          <w:b/>
          <w:bCs/>
          <w:sz w:val="24"/>
          <w:szCs w:val="24"/>
          <w:lang w:val="es-CO"/>
        </w:rPr>
        <w:t xml:space="preserve">NOTA: LA ENTIDAD ENVIA LA MATRIZ DE AUTOEVALUACIÓN DEL SISTEMA DE CONTROL INTERNO CONTABLE CON </w:t>
      </w:r>
      <w:r w:rsidRPr="006C2E3D">
        <w:rPr>
          <w:rFonts w:ascii="Arial" w:hAnsi="Arial" w:cs="Arial"/>
          <w:b/>
          <w:bCs/>
          <w:sz w:val="24"/>
          <w:szCs w:val="24"/>
          <w:u w:val="single"/>
          <w:lang w:val="es-CO"/>
        </w:rPr>
        <w:t>ACTIVIDADES DE CONTROL REALIZADAS EN FORMA PARCIAL</w:t>
      </w:r>
      <w:r w:rsidRPr="006C2E3D">
        <w:rPr>
          <w:rFonts w:ascii="Arial" w:hAnsi="Arial" w:cs="Arial"/>
          <w:b/>
          <w:bCs/>
          <w:sz w:val="24"/>
          <w:szCs w:val="24"/>
          <w:lang w:val="es-CO"/>
        </w:rPr>
        <w:t>.</w:t>
      </w:r>
    </w:p>
    <w:p w14:paraId="0FFD1786" w14:textId="77777777" w:rsidR="00561B22" w:rsidRDefault="00561B22" w:rsidP="00561B22">
      <w:pPr>
        <w:jc w:val="both"/>
        <w:rPr>
          <w:rFonts w:ascii="Arial" w:hAnsi="Arial" w:cs="Arial"/>
          <w:b/>
          <w:bCs/>
          <w:sz w:val="24"/>
          <w:szCs w:val="24"/>
          <w:lang w:val="es-CO"/>
        </w:rPr>
      </w:pPr>
    </w:p>
    <w:p w14:paraId="7B7C1969" w14:textId="77777777" w:rsidR="00561B22" w:rsidRPr="001B2347" w:rsidRDefault="00561B22" w:rsidP="00561B22">
      <w:pPr>
        <w:jc w:val="both"/>
        <w:rPr>
          <w:rFonts w:ascii="Arial" w:hAnsi="Arial" w:cs="Arial"/>
          <w:b/>
          <w:sz w:val="28"/>
          <w:szCs w:val="28"/>
          <w:lang w:val="es-MX"/>
        </w:rPr>
      </w:pPr>
      <w:r w:rsidRPr="001B2347">
        <w:rPr>
          <w:rFonts w:ascii="Arial" w:hAnsi="Arial" w:cs="Arial"/>
          <w:b/>
          <w:sz w:val="28"/>
          <w:szCs w:val="28"/>
          <w:lang w:val="es-MX"/>
        </w:rPr>
        <w:t>74.- MINISTERIO DE AGRICULTURA Y DESARROLLO RURAL.</w:t>
      </w:r>
    </w:p>
    <w:p w14:paraId="62E7D803" w14:textId="77777777" w:rsidR="00561B22" w:rsidRDefault="00561B22" w:rsidP="00561B22">
      <w:pPr>
        <w:jc w:val="both"/>
        <w:rPr>
          <w:rFonts w:ascii="Arial" w:hAnsi="Arial" w:cs="Arial"/>
          <w:b/>
          <w:bCs/>
          <w:sz w:val="24"/>
          <w:szCs w:val="24"/>
          <w:lang w:val="es-CO"/>
        </w:rPr>
      </w:pPr>
    </w:p>
    <w:p w14:paraId="7356E97E" w14:textId="77777777" w:rsidR="00561B22" w:rsidRPr="001B2347" w:rsidRDefault="00561B22" w:rsidP="00561B22">
      <w:pPr>
        <w:pStyle w:val="Textoindependiente"/>
        <w:ind w:right="-50"/>
        <w:jc w:val="center"/>
        <w:rPr>
          <w:rFonts w:ascii="Arial" w:hAnsi="Arial" w:cs="Arial"/>
          <w:b/>
          <w:bCs/>
        </w:rPr>
      </w:pPr>
      <w:r w:rsidRPr="001B2347">
        <w:rPr>
          <w:rFonts w:ascii="Arial" w:hAnsi="Arial" w:cs="Arial"/>
          <w:b/>
          <w:bCs/>
        </w:rPr>
        <w:t>INFORME DE LA AUTOCALIFICACIÓN DEL SISTEMA DE CONTROL INTERNO CONTABLE:</w:t>
      </w:r>
    </w:p>
    <w:p w14:paraId="68487105" w14:textId="77777777" w:rsidR="00561B22" w:rsidRPr="001B234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B2347" w14:paraId="174E36DB" w14:textId="77777777" w:rsidTr="00F1223B">
        <w:tc>
          <w:tcPr>
            <w:tcW w:w="4981" w:type="dxa"/>
          </w:tcPr>
          <w:p w14:paraId="3E24BC89"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AUTOCALIFICACIÓN</w:t>
            </w:r>
          </w:p>
        </w:tc>
        <w:tc>
          <w:tcPr>
            <w:tcW w:w="4981" w:type="dxa"/>
          </w:tcPr>
          <w:p w14:paraId="2261A6F1" w14:textId="77777777" w:rsidR="00561B22" w:rsidRPr="001B2347" w:rsidRDefault="00561B22" w:rsidP="00F1223B">
            <w:pPr>
              <w:jc w:val="center"/>
              <w:rPr>
                <w:rFonts w:ascii="Arial" w:hAnsi="Arial" w:cs="Arial"/>
                <w:b/>
                <w:sz w:val="22"/>
                <w:szCs w:val="22"/>
                <w:u w:val="single"/>
                <w:lang w:val="es-MX"/>
              </w:rPr>
            </w:pPr>
            <w:r w:rsidRPr="001B2347">
              <w:rPr>
                <w:rFonts w:ascii="Arial" w:hAnsi="Arial" w:cs="Arial"/>
                <w:b/>
                <w:sz w:val="22"/>
                <w:szCs w:val="22"/>
                <w:u w:val="single"/>
                <w:lang w:val="es-MX"/>
              </w:rPr>
              <w:t>4.96</w:t>
            </w:r>
          </w:p>
        </w:tc>
      </w:tr>
    </w:tbl>
    <w:p w14:paraId="2E9B3817" w14:textId="77777777" w:rsidR="00561B22" w:rsidRPr="001B2347" w:rsidRDefault="00561B22" w:rsidP="00561B22">
      <w:pPr>
        <w:pStyle w:val="Textoindependiente"/>
        <w:ind w:right="-50"/>
        <w:jc w:val="both"/>
        <w:rPr>
          <w:rFonts w:ascii="Arial" w:hAnsi="Arial" w:cs="Arial"/>
          <w:b/>
          <w:bCs/>
        </w:rPr>
      </w:pPr>
    </w:p>
    <w:p w14:paraId="13C39D9B" w14:textId="77777777" w:rsidR="00561B22" w:rsidRPr="001B2347" w:rsidRDefault="00561B22" w:rsidP="00561B22">
      <w:pPr>
        <w:pStyle w:val="Textoindependiente"/>
        <w:ind w:right="-50"/>
        <w:jc w:val="both"/>
        <w:rPr>
          <w:rFonts w:ascii="Arial" w:hAnsi="Arial" w:cs="Arial"/>
          <w:b/>
          <w:bCs/>
        </w:rPr>
      </w:pPr>
      <w:r w:rsidRPr="001B2347">
        <w:rPr>
          <w:rFonts w:ascii="Arial" w:hAnsi="Arial" w:cs="Arial"/>
          <w:b/>
          <w:bCs/>
        </w:rPr>
        <w:t>Del informe enviado retomamos lo siguiente:</w:t>
      </w:r>
    </w:p>
    <w:p w14:paraId="5281EF37" w14:textId="77777777" w:rsidR="00561B22" w:rsidRPr="001B234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B2347" w14:paraId="3EE4AF87" w14:textId="77777777" w:rsidTr="00F1223B">
        <w:tc>
          <w:tcPr>
            <w:tcW w:w="562" w:type="dxa"/>
          </w:tcPr>
          <w:p w14:paraId="5DC2FBC0" w14:textId="77777777" w:rsidR="00561B22" w:rsidRPr="001B2347" w:rsidRDefault="00561B22" w:rsidP="00F1223B">
            <w:pPr>
              <w:ind w:right="-109"/>
              <w:jc w:val="center"/>
              <w:rPr>
                <w:rFonts w:ascii="Arial" w:hAnsi="Arial" w:cs="Arial"/>
                <w:b/>
                <w:sz w:val="22"/>
                <w:szCs w:val="22"/>
                <w:lang w:val="es-MX"/>
              </w:rPr>
            </w:pPr>
            <w:r w:rsidRPr="001B2347">
              <w:rPr>
                <w:rFonts w:ascii="Arial" w:hAnsi="Arial" w:cs="Arial"/>
                <w:b/>
                <w:sz w:val="22"/>
                <w:szCs w:val="22"/>
                <w:lang w:val="es-MX"/>
              </w:rPr>
              <w:t>N°</w:t>
            </w:r>
          </w:p>
        </w:tc>
        <w:tc>
          <w:tcPr>
            <w:tcW w:w="9400" w:type="dxa"/>
          </w:tcPr>
          <w:p w14:paraId="1C40EEBC"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DEBILIDADES</w:t>
            </w:r>
          </w:p>
          <w:p w14:paraId="0213710D" w14:textId="77777777" w:rsidR="00561B22" w:rsidRPr="001B2347" w:rsidRDefault="00561B22" w:rsidP="00F1223B">
            <w:pPr>
              <w:jc w:val="center"/>
              <w:rPr>
                <w:rFonts w:ascii="Arial" w:hAnsi="Arial" w:cs="Arial"/>
                <w:b/>
                <w:sz w:val="22"/>
                <w:szCs w:val="22"/>
                <w:lang w:val="es-MX"/>
              </w:rPr>
            </w:pPr>
          </w:p>
        </w:tc>
      </w:tr>
      <w:tr w:rsidR="00561B22" w:rsidRPr="001B2347" w14:paraId="3584B1F5" w14:textId="77777777" w:rsidTr="00F1223B">
        <w:tc>
          <w:tcPr>
            <w:tcW w:w="562" w:type="dxa"/>
          </w:tcPr>
          <w:p w14:paraId="662EA389"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1</w:t>
            </w:r>
          </w:p>
        </w:tc>
        <w:tc>
          <w:tcPr>
            <w:tcW w:w="9400" w:type="dxa"/>
          </w:tcPr>
          <w:p w14:paraId="2644B947" w14:textId="77777777" w:rsidR="00561B22" w:rsidRPr="001B2347" w:rsidRDefault="00561B22" w:rsidP="00F1223B">
            <w:pPr>
              <w:jc w:val="both"/>
              <w:rPr>
                <w:rFonts w:ascii="Arial" w:hAnsi="Arial" w:cs="Arial"/>
                <w:sz w:val="22"/>
                <w:szCs w:val="22"/>
                <w:lang w:val="es-MX"/>
              </w:rPr>
            </w:pPr>
            <w:r w:rsidRPr="001B2347">
              <w:rPr>
                <w:rFonts w:ascii="Arial" w:hAnsi="Arial" w:cs="Arial"/>
                <w:sz w:val="22"/>
                <w:szCs w:val="22"/>
                <w:lang w:val="es-MX"/>
              </w:rPr>
              <w:t xml:space="preserve">Fortalecer la dinámica de depuración y conciliación de las cuentas, para el mejoramiento y sostenibilidad de la calidad de la información, específicamente con las cuentas relacionadas con los hallazgos y acciones definidas en el plan de mejoramiento suscrito con la Contraloría General de la República y las recomendaciones incluidas en los informes de evaluación y seguimiento del proceso gestión financiera grupo de contabilidad de la vigencia 2024 y anteriores, realizadas por la Oficina de Control Interno.  </w:t>
            </w:r>
          </w:p>
        </w:tc>
      </w:tr>
    </w:tbl>
    <w:p w14:paraId="3EABE3B0" w14:textId="77777777" w:rsidR="00561B22" w:rsidRDefault="00561B22" w:rsidP="00561B22">
      <w:pPr>
        <w:pStyle w:val="Textoindependiente"/>
        <w:ind w:right="-50"/>
        <w:jc w:val="both"/>
        <w:rPr>
          <w:rFonts w:ascii="Arial" w:hAnsi="Arial" w:cs="Arial"/>
          <w:b/>
          <w:bCs/>
        </w:rPr>
      </w:pPr>
    </w:p>
    <w:p w14:paraId="634AAF0D" w14:textId="77777777" w:rsidR="00561B22" w:rsidRDefault="00561B22" w:rsidP="00561B22">
      <w:pPr>
        <w:jc w:val="both"/>
        <w:rPr>
          <w:rFonts w:ascii="Arial" w:eastAsia="Arial" w:hAnsi="Arial" w:cs="Arial"/>
          <w:b/>
          <w:sz w:val="28"/>
          <w:szCs w:val="28"/>
          <w:lang w:val="es-MX"/>
        </w:rPr>
      </w:pPr>
      <w:r>
        <w:rPr>
          <w:b/>
          <w:sz w:val="28"/>
          <w:szCs w:val="28"/>
          <w:lang w:val="es-MX"/>
        </w:rPr>
        <w:t>Del citado informe retomamos las siguientes recomendaciones:</w:t>
      </w:r>
    </w:p>
    <w:p w14:paraId="432A76F0" w14:textId="77777777" w:rsidR="00561B22" w:rsidRPr="001B234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B2347" w14:paraId="5065BE63" w14:textId="77777777" w:rsidTr="00F1223B">
        <w:tc>
          <w:tcPr>
            <w:tcW w:w="562" w:type="dxa"/>
          </w:tcPr>
          <w:p w14:paraId="4F21C0A2" w14:textId="77777777" w:rsidR="00561B22" w:rsidRPr="001B2347" w:rsidRDefault="00561B22" w:rsidP="00F1223B">
            <w:pPr>
              <w:ind w:right="-109"/>
              <w:jc w:val="center"/>
              <w:rPr>
                <w:rFonts w:ascii="Arial" w:hAnsi="Arial" w:cs="Arial"/>
                <w:b/>
                <w:sz w:val="22"/>
                <w:szCs w:val="22"/>
                <w:lang w:val="es-MX"/>
              </w:rPr>
            </w:pPr>
            <w:r w:rsidRPr="001B2347">
              <w:rPr>
                <w:rFonts w:ascii="Arial" w:hAnsi="Arial" w:cs="Arial"/>
                <w:b/>
                <w:sz w:val="22"/>
                <w:szCs w:val="22"/>
                <w:lang w:val="es-MX"/>
              </w:rPr>
              <w:t>N°</w:t>
            </w:r>
          </w:p>
        </w:tc>
        <w:tc>
          <w:tcPr>
            <w:tcW w:w="9400" w:type="dxa"/>
          </w:tcPr>
          <w:p w14:paraId="5CE7F2D2"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RECOMENDACIONES</w:t>
            </w:r>
          </w:p>
          <w:p w14:paraId="495B58AD" w14:textId="77777777" w:rsidR="00561B22" w:rsidRPr="001B2347" w:rsidRDefault="00561B22" w:rsidP="00F1223B">
            <w:pPr>
              <w:jc w:val="center"/>
              <w:rPr>
                <w:rFonts w:ascii="Arial" w:hAnsi="Arial" w:cs="Arial"/>
                <w:b/>
                <w:sz w:val="22"/>
                <w:szCs w:val="22"/>
                <w:lang w:val="es-MX"/>
              </w:rPr>
            </w:pPr>
          </w:p>
        </w:tc>
      </w:tr>
      <w:tr w:rsidR="00561B22" w:rsidRPr="001B2347" w14:paraId="4302343A" w14:textId="77777777" w:rsidTr="00F1223B">
        <w:tc>
          <w:tcPr>
            <w:tcW w:w="562" w:type="dxa"/>
          </w:tcPr>
          <w:p w14:paraId="6A45B820"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1</w:t>
            </w:r>
          </w:p>
        </w:tc>
        <w:tc>
          <w:tcPr>
            <w:tcW w:w="9400" w:type="dxa"/>
          </w:tcPr>
          <w:p w14:paraId="0FB58D80" w14:textId="77777777" w:rsidR="00561B22" w:rsidRPr="001B2347" w:rsidRDefault="00561B22" w:rsidP="00F1223B">
            <w:pPr>
              <w:jc w:val="both"/>
              <w:rPr>
                <w:rFonts w:ascii="Arial" w:hAnsi="Arial" w:cs="Arial"/>
                <w:sz w:val="22"/>
                <w:szCs w:val="22"/>
                <w:lang w:val="es-MX"/>
              </w:rPr>
            </w:pPr>
            <w:r w:rsidRPr="001B2347">
              <w:rPr>
                <w:rFonts w:ascii="Arial" w:hAnsi="Arial" w:cs="Arial"/>
                <w:sz w:val="22"/>
                <w:szCs w:val="22"/>
                <w:lang w:val="es-MX"/>
              </w:rPr>
              <w:t xml:space="preserve">Continuar con la gestión de seguimiento, control y estado de los derechos a favor del Ministerio de las cuentas de Orden Deudoras, y establecer si estas acreencias a un son susceptibles de derechos a favor del MinAgricultura en coordinación con la OAJ. </w:t>
            </w:r>
          </w:p>
        </w:tc>
      </w:tr>
      <w:tr w:rsidR="00561B22" w:rsidRPr="001B2347" w14:paraId="15CEA6D1" w14:textId="77777777" w:rsidTr="00F1223B">
        <w:tc>
          <w:tcPr>
            <w:tcW w:w="562" w:type="dxa"/>
          </w:tcPr>
          <w:p w14:paraId="469A6EE9"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lastRenderedPageBreak/>
              <w:t>2</w:t>
            </w:r>
          </w:p>
        </w:tc>
        <w:tc>
          <w:tcPr>
            <w:tcW w:w="9400" w:type="dxa"/>
          </w:tcPr>
          <w:p w14:paraId="2D9DB251" w14:textId="77777777" w:rsidR="00561B22" w:rsidRPr="001B2347" w:rsidRDefault="00561B22" w:rsidP="00F1223B">
            <w:pPr>
              <w:jc w:val="both"/>
              <w:rPr>
                <w:rFonts w:ascii="Arial" w:hAnsi="Arial" w:cs="Arial"/>
                <w:sz w:val="22"/>
                <w:szCs w:val="22"/>
                <w:lang w:val="es-MX"/>
              </w:rPr>
            </w:pPr>
            <w:r w:rsidRPr="001B2347">
              <w:rPr>
                <w:rFonts w:ascii="Arial" w:hAnsi="Arial" w:cs="Arial"/>
                <w:sz w:val="22"/>
                <w:szCs w:val="22"/>
                <w:lang w:val="es-MX"/>
              </w:rPr>
              <w:t>Continuar con la política de cierre integral de todas las operaciones y cuentas susceptibles de conciliación de los estados financieros del Ministerio, antes del cierre definitivo del periodo, por cuanto se evidenciaron diferencias en las cuentas de orden de Litigios y Mecanismos Alternativos de Solución de Conflictos, referente a procesos judiciales a favor y en contra, provisión del MinAgricultura a diciembre 31 de 2023 y del periodo 1 de enero al 31 de agosto de 2024.</w:t>
            </w:r>
          </w:p>
        </w:tc>
      </w:tr>
      <w:tr w:rsidR="00561B22" w:rsidRPr="001B2347" w14:paraId="2F25BEB7" w14:textId="77777777" w:rsidTr="00F1223B">
        <w:tc>
          <w:tcPr>
            <w:tcW w:w="562" w:type="dxa"/>
          </w:tcPr>
          <w:p w14:paraId="33E26E27"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3</w:t>
            </w:r>
          </w:p>
        </w:tc>
        <w:tc>
          <w:tcPr>
            <w:tcW w:w="9400" w:type="dxa"/>
          </w:tcPr>
          <w:p w14:paraId="10A899EC" w14:textId="77777777" w:rsidR="00561B22" w:rsidRPr="001B2347" w:rsidRDefault="00561B22" w:rsidP="00F1223B">
            <w:pPr>
              <w:jc w:val="both"/>
              <w:rPr>
                <w:rFonts w:ascii="Arial" w:hAnsi="Arial" w:cs="Arial"/>
                <w:sz w:val="22"/>
                <w:szCs w:val="22"/>
                <w:lang w:val="es-MX"/>
              </w:rPr>
            </w:pPr>
            <w:r w:rsidRPr="001B2347">
              <w:rPr>
                <w:rFonts w:ascii="Arial" w:hAnsi="Arial" w:cs="Arial"/>
                <w:sz w:val="22"/>
                <w:szCs w:val="22"/>
                <w:lang w:val="es-MX"/>
              </w:rPr>
              <w:t>Establecer mesas de trabajo con las coordinaciones de contabilidad, entidades liquidadas cobro persuasivo y atención de procesos judiciales y jurisdicción Coactiva a fin de establecer acciones frente a los altos saldos registrados en los estados financieros del Ministerio de otras cuentas por cobrar, cuotas partes pensionales, doble mesada pensional y otras acreencias a favor del ministerio.</w:t>
            </w:r>
          </w:p>
        </w:tc>
      </w:tr>
      <w:tr w:rsidR="00561B22" w:rsidRPr="001B2347" w14:paraId="68C01CF5" w14:textId="77777777" w:rsidTr="00F1223B">
        <w:tc>
          <w:tcPr>
            <w:tcW w:w="562" w:type="dxa"/>
          </w:tcPr>
          <w:p w14:paraId="56122D00" w14:textId="77777777" w:rsidR="00561B22" w:rsidRPr="001B2347" w:rsidRDefault="00561B22" w:rsidP="00F1223B">
            <w:pPr>
              <w:jc w:val="center"/>
              <w:rPr>
                <w:rFonts w:ascii="Arial" w:hAnsi="Arial" w:cs="Arial"/>
                <w:b/>
                <w:sz w:val="22"/>
                <w:szCs w:val="22"/>
                <w:lang w:val="es-MX"/>
              </w:rPr>
            </w:pPr>
            <w:r w:rsidRPr="001B2347">
              <w:rPr>
                <w:rFonts w:ascii="Arial" w:hAnsi="Arial" w:cs="Arial"/>
                <w:b/>
                <w:sz w:val="22"/>
                <w:szCs w:val="22"/>
                <w:lang w:val="es-MX"/>
              </w:rPr>
              <w:t>4</w:t>
            </w:r>
          </w:p>
        </w:tc>
        <w:tc>
          <w:tcPr>
            <w:tcW w:w="9400" w:type="dxa"/>
          </w:tcPr>
          <w:p w14:paraId="12552D86" w14:textId="77777777" w:rsidR="00561B22" w:rsidRPr="001B2347" w:rsidRDefault="00561B22" w:rsidP="00F1223B">
            <w:pPr>
              <w:jc w:val="both"/>
              <w:rPr>
                <w:rFonts w:ascii="Arial" w:hAnsi="Arial" w:cs="Arial"/>
                <w:sz w:val="22"/>
                <w:szCs w:val="22"/>
                <w:lang w:val="es-MX"/>
              </w:rPr>
            </w:pPr>
            <w:r w:rsidRPr="001B2347">
              <w:rPr>
                <w:rFonts w:ascii="Arial" w:hAnsi="Arial" w:cs="Arial"/>
                <w:sz w:val="22"/>
                <w:szCs w:val="22"/>
                <w:lang w:val="es-MX"/>
              </w:rPr>
              <w:t>Continuar con el proceso de circularización de las conciliaciones realizadas a la cuenta 190801001, denominada recursos entregados en administración, con base a los saldos identificados en el SIIF Nación e informes de supervisión de las vigencias anteriores al año 2023.</w:t>
            </w:r>
          </w:p>
        </w:tc>
      </w:tr>
    </w:tbl>
    <w:p w14:paraId="2D23D472" w14:textId="77777777" w:rsidR="00561B22" w:rsidRPr="001B2347" w:rsidRDefault="00561B22" w:rsidP="00561B22">
      <w:pPr>
        <w:pStyle w:val="Textoindependiente"/>
        <w:ind w:right="-50"/>
        <w:jc w:val="both"/>
        <w:rPr>
          <w:rFonts w:ascii="Arial" w:hAnsi="Arial" w:cs="Arial"/>
          <w:b/>
          <w:bCs/>
        </w:rPr>
      </w:pPr>
    </w:p>
    <w:p w14:paraId="5299F367" w14:textId="77777777" w:rsidR="00561B22" w:rsidRPr="001B2347" w:rsidRDefault="00561B22" w:rsidP="00561B22">
      <w:pPr>
        <w:jc w:val="both"/>
        <w:rPr>
          <w:rFonts w:ascii="Arial" w:hAnsi="Arial" w:cs="Arial"/>
          <w:b/>
          <w:bCs/>
          <w:sz w:val="24"/>
          <w:szCs w:val="24"/>
          <w:lang w:val="es-CO"/>
        </w:rPr>
      </w:pPr>
      <w:r w:rsidRPr="001B2347">
        <w:rPr>
          <w:rFonts w:ascii="Arial" w:hAnsi="Arial" w:cs="Arial"/>
          <w:b/>
          <w:bCs/>
          <w:sz w:val="24"/>
          <w:szCs w:val="24"/>
          <w:lang w:val="es-CO"/>
        </w:rPr>
        <w:t xml:space="preserve">NOTA: LA ENTIDAD ENVÍA LA MATRIZ DE AUTOEVALUACIÓN DEL SISTEMA DE CONTROL INTERNO CONTABLE CON </w:t>
      </w:r>
      <w:r w:rsidRPr="001B2347">
        <w:rPr>
          <w:rFonts w:ascii="Arial" w:hAnsi="Arial" w:cs="Arial"/>
          <w:b/>
          <w:bCs/>
          <w:sz w:val="24"/>
          <w:szCs w:val="24"/>
          <w:u w:val="single"/>
          <w:lang w:val="es-CO"/>
        </w:rPr>
        <w:t>ACTIVIDADES DE CONTROL REALIZADAS EN FORMA PARCIAL</w:t>
      </w:r>
      <w:r w:rsidRPr="001B2347">
        <w:rPr>
          <w:rFonts w:ascii="Arial" w:hAnsi="Arial" w:cs="Arial"/>
          <w:b/>
          <w:bCs/>
          <w:sz w:val="24"/>
          <w:szCs w:val="24"/>
          <w:lang w:val="es-CO"/>
        </w:rPr>
        <w:t>.</w:t>
      </w:r>
    </w:p>
    <w:p w14:paraId="771B9606" w14:textId="77777777" w:rsidR="00561B22" w:rsidRPr="001B2347" w:rsidRDefault="00561B22" w:rsidP="00561B22">
      <w:pPr>
        <w:jc w:val="both"/>
        <w:rPr>
          <w:rFonts w:ascii="Arial" w:hAnsi="Arial" w:cs="Arial"/>
          <w:sz w:val="28"/>
          <w:szCs w:val="28"/>
        </w:rPr>
      </w:pPr>
    </w:p>
    <w:p w14:paraId="78575BB0" w14:textId="77777777" w:rsidR="00561B22" w:rsidRPr="001D0D31" w:rsidRDefault="00561B22" w:rsidP="00561B22">
      <w:pPr>
        <w:jc w:val="both"/>
        <w:rPr>
          <w:rFonts w:ascii="Arial" w:hAnsi="Arial" w:cs="Arial"/>
          <w:b/>
          <w:sz w:val="28"/>
          <w:szCs w:val="28"/>
          <w:lang w:val="es-MX"/>
        </w:rPr>
      </w:pPr>
      <w:r w:rsidRPr="001D0D31">
        <w:rPr>
          <w:rFonts w:ascii="Arial" w:hAnsi="Arial" w:cs="Arial"/>
          <w:b/>
          <w:sz w:val="28"/>
          <w:szCs w:val="28"/>
          <w:lang w:val="es-MX"/>
        </w:rPr>
        <w:t>75.- DEPARTAMENTO NACIONAL DE PLANEACION – DNP.</w:t>
      </w:r>
    </w:p>
    <w:p w14:paraId="4A65645A" w14:textId="77777777" w:rsidR="00561B22" w:rsidRDefault="00561B22" w:rsidP="00561B22">
      <w:pPr>
        <w:jc w:val="both"/>
        <w:rPr>
          <w:rFonts w:ascii="Arial" w:hAnsi="Arial" w:cs="Arial"/>
          <w:b/>
          <w:bCs/>
          <w:sz w:val="24"/>
          <w:szCs w:val="24"/>
          <w:lang w:val="es-CO"/>
        </w:rPr>
      </w:pPr>
    </w:p>
    <w:p w14:paraId="2EC79C73" w14:textId="77777777" w:rsidR="00561B22" w:rsidRPr="00036E0E" w:rsidRDefault="00561B22" w:rsidP="00561B22">
      <w:pPr>
        <w:pStyle w:val="Textoindependiente"/>
        <w:ind w:right="-50"/>
        <w:jc w:val="center"/>
        <w:rPr>
          <w:rFonts w:ascii="Arial" w:hAnsi="Arial" w:cs="Arial"/>
          <w:b/>
          <w:bCs/>
        </w:rPr>
      </w:pPr>
      <w:r w:rsidRPr="00036E0E">
        <w:rPr>
          <w:rFonts w:ascii="Arial" w:hAnsi="Arial" w:cs="Arial"/>
          <w:b/>
          <w:bCs/>
        </w:rPr>
        <w:t>INFORME DE LA AUTOCALIFICACIÓN DEL SISTEMA DE CONTROL INTERNO CONTABLE:</w:t>
      </w:r>
    </w:p>
    <w:p w14:paraId="3AC9B3C1" w14:textId="77777777" w:rsidR="00561B22" w:rsidRPr="00036E0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36E0E" w14:paraId="36757E2D" w14:textId="77777777" w:rsidTr="00F1223B">
        <w:tc>
          <w:tcPr>
            <w:tcW w:w="4981" w:type="dxa"/>
          </w:tcPr>
          <w:p w14:paraId="6701D3FE"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AUTOCALIFICACIÓN</w:t>
            </w:r>
          </w:p>
        </w:tc>
        <w:tc>
          <w:tcPr>
            <w:tcW w:w="4981" w:type="dxa"/>
          </w:tcPr>
          <w:p w14:paraId="4C2EB228" w14:textId="77777777" w:rsidR="00561B22" w:rsidRPr="00036E0E" w:rsidRDefault="00561B22" w:rsidP="00F1223B">
            <w:pPr>
              <w:jc w:val="center"/>
              <w:rPr>
                <w:rFonts w:ascii="Arial" w:hAnsi="Arial" w:cs="Arial"/>
                <w:b/>
                <w:sz w:val="22"/>
                <w:szCs w:val="22"/>
                <w:u w:val="single"/>
                <w:lang w:val="es-MX"/>
              </w:rPr>
            </w:pPr>
            <w:r w:rsidRPr="00036E0E">
              <w:rPr>
                <w:rFonts w:ascii="Arial" w:hAnsi="Arial" w:cs="Arial"/>
                <w:b/>
                <w:sz w:val="22"/>
                <w:szCs w:val="22"/>
                <w:u w:val="single"/>
                <w:lang w:val="es-MX"/>
              </w:rPr>
              <w:t>4.64</w:t>
            </w:r>
          </w:p>
        </w:tc>
      </w:tr>
    </w:tbl>
    <w:p w14:paraId="54764F6D" w14:textId="77777777" w:rsidR="00561B22" w:rsidRPr="00036E0E" w:rsidRDefault="00561B22" w:rsidP="00561B22">
      <w:pPr>
        <w:pStyle w:val="Textoindependiente"/>
        <w:ind w:right="-50"/>
        <w:jc w:val="both"/>
        <w:rPr>
          <w:rFonts w:ascii="Arial" w:hAnsi="Arial" w:cs="Arial"/>
          <w:b/>
          <w:bCs/>
        </w:rPr>
      </w:pPr>
    </w:p>
    <w:p w14:paraId="59D1E296" w14:textId="77777777" w:rsidR="00561B22" w:rsidRPr="00036E0E" w:rsidRDefault="00561B22" w:rsidP="00561B22">
      <w:pPr>
        <w:pStyle w:val="Textoindependiente"/>
        <w:ind w:right="-50"/>
        <w:jc w:val="both"/>
        <w:rPr>
          <w:rFonts w:ascii="Arial" w:hAnsi="Arial" w:cs="Arial"/>
          <w:b/>
          <w:bCs/>
        </w:rPr>
      </w:pPr>
      <w:r w:rsidRPr="00036E0E">
        <w:rPr>
          <w:rFonts w:ascii="Arial" w:hAnsi="Arial" w:cs="Arial"/>
          <w:b/>
          <w:bCs/>
        </w:rPr>
        <w:t>Del informe enviado retomamos lo siguiente:</w:t>
      </w:r>
    </w:p>
    <w:p w14:paraId="63EE7419" w14:textId="77777777" w:rsidR="00561B22" w:rsidRPr="00036E0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36E0E" w14:paraId="0FE15C95" w14:textId="77777777" w:rsidTr="00F1223B">
        <w:tc>
          <w:tcPr>
            <w:tcW w:w="562" w:type="dxa"/>
          </w:tcPr>
          <w:p w14:paraId="4DE8DA98" w14:textId="77777777" w:rsidR="00561B22" w:rsidRPr="00036E0E" w:rsidRDefault="00561B22" w:rsidP="00F1223B">
            <w:pPr>
              <w:ind w:right="-109"/>
              <w:jc w:val="center"/>
              <w:rPr>
                <w:rFonts w:ascii="Arial" w:hAnsi="Arial" w:cs="Arial"/>
                <w:b/>
                <w:sz w:val="22"/>
                <w:szCs w:val="22"/>
                <w:lang w:val="es-MX"/>
              </w:rPr>
            </w:pPr>
            <w:r w:rsidRPr="00036E0E">
              <w:rPr>
                <w:rFonts w:ascii="Arial" w:hAnsi="Arial" w:cs="Arial"/>
                <w:b/>
                <w:sz w:val="22"/>
                <w:szCs w:val="22"/>
                <w:lang w:val="es-MX"/>
              </w:rPr>
              <w:t>N°</w:t>
            </w:r>
          </w:p>
        </w:tc>
        <w:tc>
          <w:tcPr>
            <w:tcW w:w="9400" w:type="dxa"/>
          </w:tcPr>
          <w:p w14:paraId="7916C831"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DEBILIDADES</w:t>
            </w:r>
          </w:p>
          <w:p w14:paraId="7A0AEADF" w14:textId="77777777" w:rsidR="00561B22" w:rsidRPr="00036E0E" w:rsidRDefault="00561B22" w:rsidP="00F1223B">
            <w:pPr>
              <w:jc w:val="center"/>
              <w:rPr>
                <w:rFonts w:ascii="Arial" w:hAnsi="Arial" w:cs="Arial"/>
                <w:b/>
                <w:sz w:val="22"/>
                <w:szCs w:val="22"/>
                <w:lang w:val="es-MX"/>
              </w:rPr>
            </w:pPr>
          </w:p>
        </w:tc>
      </w:tr>
      <w:tr w:rsidR="00561B22" w:rsidRPr="00036E0E" w14:paraId="6D55328C" w14:textId="77777777" w:rsidTr="00F1223B">
        <w:tc>
          <w:tcPr>
            <w:tcW w:w="562" w:type="dxa"/>
          </w:tcPr>
          <w:p w14:paraId="53A98570"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1</w:t>
            </w:r>
          </w:p>
        </w:tc>
        <w:tc>
          <w:tcPr>
            <w:tcW w:w="9400" w:type="dxa"/>
          </w:tcPr>
          <w:p w14:paraId="2970F434"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 xml:space="preserve">En la disposición de los soportes en el SGD ORFEO de las conciliaciones y el informe de pago realizado por los administradores de recursos requerido por la DIAN, así mismo, en la oportunidad en la elaboración de las conciliaciones. </w:t>
            </w:r>
          </w:p>
        </w:tc>
      </w:tr>
      <w:tr w:rsidR="00561B22" w:rsidRPr="00036E0E" w14:paraId="7F93C30C" w14:textId="77777777" w:rsidTr="00F1223B">
        <w:tc>
          <w:tcPr>
            <w:tcW w:w="562" w:type="dxa"/>
          </w:tcPr>
          <w:p w14:paraId="788125E2"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2</w:t>
            </w:r>
          </w:p>
        </w:tc>
        <w:tc>
          <w:tcPr>
            <w:tcW w:w="9400" w:type="dxa"/>
          </w:tcPr>
          <w:p w14:paraId="0D974737"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 xml:space="preserve">Elaboración de informes contables de acuerdo con la serie 382 Conciliaciones contables y 370 Estados Financieros. </w:t>
            </w:r>
          </w:p>
        </w:tc>
      </w:tr>
      <w:tr w:rsidR="00561B22" w:rsidRPr="00036E0E" w14:paraId="31FBA379" w14:textId="77777777" w:rsidTr="00F1223B">
        <w:tc>
          <w:tcPr>
            <w:tcW w:w="562" w:type="dxa"/>
          </w:tcPr>
          <w:p w14:paraId="62AE9ACB"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3</w:t>
            </w:r>
          </w:p>
        </w:tc>
        <w:tc>
          <w:tcPr>
            <w:tcW w:w="9400" w:type="dxa"/>
          </w:tcPr>
          <w:p w14:paraId="5F754C44"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 xml:space="preserve">Publicación de la Circular de cierre de vigencia, en el micrositio de comunicaciones internas y no en el Botón de Transparencia, conforme lo requiere la Ley de Transparencia y acceso a la Información Pública y Lucha Contra la Corrupción. </w:t>
            </w:r>
          </w:p>
        </w:tc>
      </w:tr>
      <w:tr w:rsidR="00561B22" w:rsidRPr="00036E0E" w14:paraId="2B8C3C01" w14:textId="77777777" w:rsidTr="00F1223B">
        <w:tc>
          <w:tcPr>
            <w:tcW w:w="562" w:type="dxa"/>
          </w:tcPr>
          <w:p w14:paraId="1DBB1979"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4</w:t>
            </w:r>
          </w:p>
        </w:tc>
        <w:tc>
          <w:tcPr>
            <w:tcW w:w="9400" w:type="dxa"/>
          </w:tcPr>
          <w:p w14:paraId="2DCCF97F"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Falta de publicación mensual de los estados contables y de las notas contables en el mes de junio de la vigencia 2024 conforme a lo establecido en el Manual de Políticas Contables del DNP y el procedimiento Análisis, elaboración y Presentación de estados.</w:t>
            </w:r>
          </w:p>
        </w:tc>
      </w:tr>
      <w:tr w:rsidR="00561B22" w:rsidRPr="00036E0E" w14:paraId="189B757D" w14:textId="77777777" w:rsidTr="00F1223B">
        <w:tc>
          <w:tcPr>
            <w:tcW w:w="562" w:type="dxa"/>
          </w:tcPr>
          <w:p w14:paraId="3DE6B50D"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5</w:t>
            </w:r>
          </w:p>
        </w:tc>
        <w:tc>
          <w:tcPr>
            <w:tcW w:w="9400" w:type="dxa"/>
          </w:tcPr>
          <w:p w14:paraId="56BC8086" w14:textId="77777777" w:rsidR="00561B22" w:rsidRPr="00036E0E" w:rsidRDefault="00561B22" w:rsidP="00F1223B">
            <w:pPr>
              <w:jc w:val="both"/>
              <w:rPr>
                <w:rFonts w:ascii="Arial" w:hAnsi="Arial" w:cs="Arial"/>
                <w:sz w:val="22"/>
                <w:szCs w:val="22"/>
              </w:rPr>
            </w:pPr>
            <w:r w:rsidRPr="00036E0E">
              <w:rPr>
                <w:rFonts w:ascii="Arial" w:hAnsi="Arial" w:cs="Arial"/>
                <w:sz w:val="22"/>
                <w:szCs w:val="22"/>
              </w:rPr>
              <w:t>Desactualización de los responsables de la actividad 1. Elaborar circular del procedimiento Cierre de vigencia, de acuerdo con el Decreto 1893 de 2021.</w:t>
            </w:r>
          </w:p>
        </w:tc>
      </w:tr>
    </w:tbl>
    <w:p w14:paraId="1EF709F7" w14:textId="77777777" w:rsidR="00561B22" w:rsidRDefault="00561B22" w:rsidP="00561B22">
      <w:pPr>
        <w:pStyle w:val="Textoindependiente"/>
        <w:ind w:right="-50"/>
        <w:jc w:val="both"/>
        <w:rPr>
          <w:rFonts w:ascii="Arial" w:hAnsi="Arial" w:cs="Arial"/>
          <w:b/>
          <w:bCs/>
        </w:rPr>
      </w:pPr>
    </w:p>
    <w:p w14:paraId="0645FC23" w14:textId="77777777" w:rsidR="00561B22" w:rsidRPr="00036E0E" w:rsidRDefault="00561B22" w:rsidP="00561B22">
      <w:pPr>
        <w:jc w:val="both"/>
        <w:rPr>
          <w:rFonts w:ascii="Arial" w:hAnsi="Arial" w:cs="Arial"/>
          <w:b/>
          <w:lang w:val="es-MX"/>
        </w:rPr>
      </w:pPr>
      <w:r w:rsidRPr="00036E0E">
        <w:rPr>
          <w:rFonts w:ascii="Arial" w:hAnsi="Arial" w:cs="Arial"/>
          <w:b/>
          <w:lang w:val="es-MX"/>
        </w:rPr>
        <w:t>Del citado informe retomamos las siguientes recomendaciones:</w:t>
      </w:r>
    </w:p>
    <w:p w14:paraId="45E66F0E" w14:textId="77777777" w:rsidR="00561B2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36E0E" w14:paraId="29FD1B51" w14:textId="77777777" w:rsidTr="00F1223B">
        <w:tc>
          <w:tcPr>
            <w:tcW w:w="562" w:type="dxa"/>
          </w:tcPr>
          <w:p w14:paraId="343F4999" w14:textId="77777777" w:rsidR="00561B22" w:rsidRPr="00036E0E" w:rsidRDefault="00561B22" w:rsidP="00F1223B">
            <w:pPr>
              <w:ind w:right="-109"/>
              <w:jc w:val="center"/>
              <w:rPr>
                <w:rFonts w:ascii="Arial" w:hAnsi="Arial" w:cs="Arial"/>
                <w:b/>
                <w:sz w:val="22"/>
                <w:szCs w:val="22"/>
                <w:lang w:val="es-MX"/>
              </w:rPr>
            </w:pPr>
            <w:r w:rsidRPr="00036E0E">
              <w:rPr>
                <w:rFonts w:ascii="Arial" w:hAnsi="Arial" w:cs="Arial"/>
                <w:b/>
                <w:sz w:val="22"/>
                <w:szCs w:val="22"/>
                <w:lang w:val="es-MX"/>
              </w:rPr>
              <w:t>N°</w:t>
            </w:r>
          </w:p>
        </w:tc>
        <w:tc>
          <w:tcPr>
            <w:tcW w:w="9400" w:type="dxa"/>
          </w:tcPr>
          <w:p w14:paraId="7AF7406E"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RECOMENDACIONES</w:t>
            </w:r>
          </w:p>
          <w:p w14:paraId="7A6FB198" w14:textId="77777777" w:rsidR="00561B22" w:rsidRPr="00036E0E" w:rsidRDefault="00561B22" w:rsidP="00F1223B">
            <w:pPr>
              <w:jc w:val="center"/>
              <w:rPr>
                <w:rFonts w:ascii="Arial" w:hAnsi="Arial" w:cs="Arial"/>
                <w:b/>
                <w:sz w:val="22"/>
                <w:szCs w:val="22"/>
                <w:lang w:val="es-MX"/>
              </w:rPr>
            </w:pPr>
          </w:p>
        </w:tc>
      </w:tr>
      <w:tr w:rsidR="00561B22" w:rsidRPr="00036E0E" w14:paraId="62CA3E67" w14:textId="77777777" w:rsidTr="00F1223B">
        <w:tc>
          <w:tcPr>
            <w:tcW w:w="562" w:type="dxa"/>
          </w:tcPr>
          <w:p w14:paraId="6E0DB915"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1</w:t>
            </w:r>
          </w:p>
        </w:tc>
        <w:tc>
          <w:tcPr>
            <w:tcW w:w="9400" w:type="dxa"/>
          </w:tcPr>
          <w:p w14:paraId="1F823F7C"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Fomentar la participación de los colaboradores en las capacitaciones contables y financieras del PIC 2024 para fortalecer las competencias necesarias y contribuir al cumplimiento eficiente de los objetivos institucionales.</w:t>
            </w:r>
          </w:p>
        </w:tc>
      </w:tr>
      <w:tr w:rsidR="00561B22" w:rsidRPr="00036E0E" w14:paraId="1CB1B851" w14:textId="77777777" w:rsidTr="00F1223B">
        <w:tc>
          <w:tcPr>
            <w:tcW w:w="562" w:type="dxa"/>
          </w:tcPr>
          <w:p w14:paraId="03C8E4C4"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lastRenderedPageBreak/>
              <w:t>2</w:t>
            </w:r>
          </w:p>
        </w:tc>
        <w:tc>
          <w:tcPr>
            <w:tcW w:w="9400" w:type="dxa"/>
          </w:tcPr>
          <w:p w14:paraId="4CFCE388"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 xml:space="preserve">Evaluar la pertinencia de identificar riesgos de fraude y soborno inherentes a los procedimientos auditados, en línea con la norma ISO 37001:2016, para fortalecer la prevención y mitigación de estos riesgos. </w:t>
            </w:r>
          </w:p>
        </w:tc>
      </w:tr>
      <w:tr w:rsidR="00561B22" w:rsidRPr="00036E0E" w14:paraId="21F94F42" w14:textId="77777777" w:rsidTr="00F1223B">
        <w:tc>
          <w:tcPr>
            <w:tcW w:w="562" w:type="dxa"/>
          </w:tcPr>
          <w:p w14:paraId="68F8C215"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3</w:t>
            </w:r>
          </w:p>
        </w:tc>
        <w:tc>
          <w:tcPr>
            <w:tcW w:w="9400" w:type="dxa"/>
          </w:tcPr>
          <w:p w14:paraId="2A3A847C"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 xml:space="preserve">Formular e implementar indicadores de desempeño que midan la eficiencia, efectividad e impacto del proceso, promoviendo la mejora continua y la toma de decisiones basada en evidencia. </w:t>
            </w:r>
          </w:p>
        </w:tc>
      </w:tr>
      <w:tr w:rsidR="00561B22" w:rsidRPr="00036E0E" w14:paraId="1A4C6CFD" w14:textId="77777777" w:rsidTr="00F1223B">
        <w:tc>
          <w:tcPr>
            <w:tcW w:w="562" w:type="dxa"/>
          </w:tcPr>
          <w:p w14:paraId="74625204"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4</w:t>
            </w:r>
          </w:p>
        </w:tc>
        <w:tc>
          <w:tcPr>
            <w:tcW w:w="9400" w:type="dxa"/>
          </w:tcPr>
          <w:p w14:paraId="7AF168BF" w14:textId="77777777" w:rsidR="00561B22" w:rsidRPr="00036E0E" w:rsidRDefault="00561B22" w:rsidP="00F1223B">
            <w:pPr>
              <w:jc w:val="both"/>
              <w:rPr>
                <w:rFonts w:ascii="Arial" w:hAnsi="Arial" w:cs="Arial"/>
                <w:b/>
                <w:sz w:val="22"/>
                <w:szCs w:val="22"/>
                <w:lang w:val="es-MX"/>
              </w:rPr>
            </w:pPr>
            <w:r w:rsidRPr="00036E0E">
              <w:rPr>
                <w:rFonts w:ascii="Arial" w:hAnsi="Arial" w:cs="Arial"/>
                <w:sz w:val="22"/>
                <w:szCs w:val="22"/>
              </w:rPr>
              <w:t xml:space="preserve">Revisar las descripciones de los riesgos 133 y 134 teniendo en cuenta que no cumplen con las directrices relacionadas con la descripción de los riesgos de acuerdo con la Guía para la Administración del Riesgo y el diseño de controles en entidades públicas del DAFP Versión 6. </w:t>
            </w:r>
            <w:r w:rsidRPr="00036E0E">
              <w:rPr>
                <w:rFonts w:ascii="Arial" w:hAnsi="Arial" w:cs="Arial"/>
                <w:sz w:val="22"/>
                <w:szCs w:val="22"/>
                <w:lang w:val="es-MX"/>
              </w:rPr>
              <w:t>Verificar</w:t>
            </w:r>
            <w:r w:rsidRPr="00036E0E">
              <w:rPr>
                <w:rFonts w:ascii="Arial" w:hAnsi="Arial" w:cs="Arial"/>
                <w:sz w:val="22"/>
                <w:szCs w:val="22"/>
              </w:rPr>
              <w:t xml:space="preserve"> la aplicación de los controles 133.1 y 134.1 en lo concerniente a la disposición de las conciliaciones contables en los expedientes correspondientes y de acuerdo con la periodicidad definida.</w:t>
            </w:r>
          </w:p>
        </w:tc>
      </w:tr>
      <w:tr w:rsidR="00561B22" w:rsidRPr="00036E0E" w14:paraId="5BCB320A" w14:textId="77777777" w:rsidTr="00F1223B">
        <w:tc>
          <w:tcPr>
            <w:tcW w:w="562" w:type="dxa"/>
          </w:tcPr>
          <w:p w14:paraId="00FDD44C" w14:textId="77777777" w:rsidR="00561B22" w:rsidRPr="00036E0E" w:rsidRDefault="00561B22" w:rsidP="00F1223B">
            <w:pPr>
              <w:jc w:val="center"/>
              <w:rPr>
                <w:rFonts w:ascii="Arial" w:hAnsi="Arial" w:cs="Arial"/>
                <w:b/>
                <w:sz w:val="22"/>
                <w:szCs w:val="22"/>
                <w:lang w:val="es-MX"/>
              </w:rPr>
            </w:pPr>
            <w:r w:rsidRPr="00036E0E">
              <w:rPr>
                <w:rFonts w:ascii="Arial" w:hAnsi="Arial" w:cs="Arial"/>
                <w:b/>
                <w:sz w:val="22"/>
                <w:szCs w:val="22"/>
                <w:lang w:val="es-MX"/>
              </w:rPr>
              <w:t>5</w:t>
            </w:r>
          </w:p>
        </w:tc>
        <w:tc>
          <w:tcPr>
            <w:tcW w:w="9400" w:type="dxa"/>
          </w:tcPr>
          <w:p w14:paraId="24C6056F" w14:textId="77777777" w:rsidR="00561B22" w:rsidRPr="00036E0E" w:rsidRDefault="00561B22" w:rsidP="00F1223B">
            <w:pPr>
              <w:jc w:val="both"/>
              <w:rPr>
                <w:rFonts w:ascii="Arial" w:hAnsi="Arial" w:cs="Arial"/>
                <w:sz w:val="22"/>
                <w:szCs w:val="22"/>
              </w:rPr>
            </w:pPr>
            <w:r w:rsidRPr="00036E0E">
              <w:rPr>
                <w:rFonts w:ascii="Arial" w:hAnsi="Arial" w:cs="Arial"/>
                <w:sz w:val="22"/>
                <w:szCs w:val="22"/>
              </w:rPr>
              <w:t>Así mismo, lo correspondiente a la periodicidad de aplicación del control para el seguimiento a la ejecución presupuestal con las dependencias, teniendo en cuenta que el atributo del control es anual y se realiza de manera mensual.</w:t>
            </w:r>
          </w:p>
        </w:tc>
      </w:tr>
    </w:tbl>
    <w:p w14:paraId="1D4B9040" w14:textId="77777777" w:rsidR="00561B22" w:rsidRDefault="00561B22" w:rsidP="00561B22">
      <w:pPr>
        <w:pStyle w:val="Textoindependiente"/>
        <w:ind w:right="-50"/>
        <w:jc w:val="both"/>
        <w:rPr>
          <w:b/>
          <w:bCs/>
          <w:sz w:val="28"/>
          <w:szCs w:val="28"/>
        </w:rPr>
      </w:pPr>
    </w:p>
    <w:p w14:paraId="76E9A48A" w14:textId="77777777" w:rsidR="00561B22" w:rsidRPr="00036E0E" w:rsidRDefault="00561B22" w:rsidP="00561B22">
      <w:pPr>
        <w:jc w:val="both"/>
        <w:rPr>
          <w:rFonts w:ascii="Arial" w:hAnsi="Arial" w:cs="Arial"/>
          <w:b/>
          <w:bCs/>
          <w:sz w:val="24"/>
          <w:szCs w:val="24"/>
          <w:lang w:val="es-CO"/>
        </w:rPr>
      </w:pPr>
      <w:r w:rsidRPr="00036E0E">
        <w:rPr>
          <w:rFonts w:ascii="Arial" w:hAnsi="Arial" w:cs="Arial"/>
          <w:b/>
          <w:bCs/>
          <w:sz w:val="24"/>
          <w:szCs w:val="24"/>
          <w:lang w:val="es-CO"/>
        </w:rPr>
        <w:t xml:space="preserve">NOTA: LA ENTIDAD ENVIA LA MATRIZ DE AUTOEVALUACIÓN DEL SISTEMA DE CONTROL INTERNO CONTABLE CON </w:t>
      </w:r>
      <w:r w:rsidRPr="00036E0E">
        <w:rPr>
          <w:rFonts w:ascii="Arial" w:hAnsi="Arial" w:cs="Arial"/>
          <w:b/>
          <w:bCs/>
          <w:sz w:val="24"/>
          <w:szCs w:val="24"/>
          <w:u w:val="single"/>
          <w:lang w:val="es-CO"/>
        </w:rPr>
        <w:t>ACTIVIDADES DE CONTROL REALIZADAS EN FORMA PARCIAL</w:t>
      </w:r>
      <w:r w:rsidRPr="00036E0E">
        <w:rPr>
          <w:rFonts w:ascii="Arial" w:hAnsi="Arial" w:cs="Arial"/>
          <w:b/>
          <w:bCs/>
          <w:sz w:val="24"/>
          <w:szCs w:val="24"/>
          <w:lang w:val="es-CO"/>
        </w:rPr>
        <w:t>.</w:t>
      </w:r>
    </w:p>
    <w:p w14:paraId="7C5A324C" w14:textId="77777777" w:rsidR="00561B22" w:rsidRPr="00036E0E" w:rsidRDefault="00561B22" w:rsidP="00561B22">
      <w:pPr>
        <w:pStyle w:val="Textoindependiente"/>
        <w:ind w:right="-50"/>
        <w:jc w:val="both"/>
        <w:rPr>
          <w:rFonts w:ascii="Arial" w:hAnsi="Arial" w:cs="Arial"/>
          <w:b/>
          <w:bCs/>
          <w:sz w:val="28"/>
          <w:szCs w:val="28"/>
        </w:rPr>
      </w:pPr>
    </w:p>
    <w:p w14:paraId="2B488AAB" w14:textId="77777777" w:rsidR="00561B22" w:rsidRPr="00A9382A" w:rsidRDefault="00561B22" w:rsidP="00561B22">
      <w:pPr>
        <w:jc w:val="both"/>
        <w:rPr>
          <w:rFonts w:ascii="Arial" w:hAnsi="Arial" w:cs="Arial"/>
          <w:b/>
          <w:sz w:val="28"/>
          <w:szCs w:val="28"/>
        </w:rPr>
      </w:pPr>
      <w:r w:rsidRPr="00A9382A">
        <w:rPr>
          <w:rFonts w:ascii="Arial" w:hAnsi="Arial" w:cs="Arial"/>
          <w:b/>
          <w:sz w:val="28"/>
          <w:szCs w:val="28"/>
          <w:lang w:val="es-MX"/>
        </w:rPr>
        <w:t xml:space="preserve">76.- </w:t>
      </w:r>
      <w:r w:rsidRPr="00A9382A">
        <w:rPr>
          <w:rFonts w:ascii="Arial" w:hAnsi="Arial" w:cs="Arial"/>
          <w:b/>
          <w:sz w:val="28"/>
          <w:szCs w:val="28"/>
        </w:rPr>
        <w:t>CORPORACIÓN AUTÓNOMA REGIONAL DE LOS VALLES DEL SINÚ Y SAN JORGE – CVS.</w:t>
      </w:r>
    </w:p>
    <w:p w14:paraId="18FC7BBE" w14:textId="77777777" w:rsidR="00561B22" w:rsidRDefault="00561B22" w:rsidP="00561B22">
      <w:pPr>
        <w:jc w:val="both"/>
        <w:rPr>
          <w:rFonts w:ascii="Arial" w:hAnsi="Arial" w:cs="Arial"/>
          <w:b/>
          <w:sz w:val="28"/>
          <w:szCs w:val="28"/>
          <w:lang w:val="es-MX"/>
        </w:rPr>
      </w:pPr>
    </w:p>
    <w:p w14:paraId="2923F5A7" w14:textId="77777777" w:rsidR="00561B22" w:rsidRPr="00A9382A" w:rsidRDefault="00561B22" w:rsidP="00561B22">
      <w:pPr>
        <w:pStyle w:val="Textoindependiente"/>
        <w:ind w:right="-50"/>
        <w:jc w:val="center"/>
        <w:rPr>
          <w:rFonts w:ascii="Arial" w:hAnsi="Arial" w:cs="Arial"/>
          <w:b/>
          <w:bCs/>
        </w:rPr>
      </w:pPr>
      <w:r w:rsidRPr="00A9382A">
        <w:rPr>
          <w:rFonts w:ascii="Arial" w:hAnsi="Arial" w:cs="Arial"/>
          <w:b/>
          <w:bCs/>
        </w:rPr>
        <w:t>INFORME DE LA AUTOCALIFICACIÓN DEL SISTEMA DE CONTROL INTERNO CONTABLE:</w:t>
      </w:r>
    </w:p>
    <w:p w14:paraId="6393C209" w14:textId="77777777" w:rsidR="00561B22" w:rsidRPr="00A9382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9382A" w14:paraId="5D309DFA" w14:textId="77777777" w:rsidTr="00F1223B">
        <w:tc>
          <w:tcPr>
            <w:tcW w:w="4981" w:type="dxa"/>
          </w:tcPr>
          <w:p w14:paraId="3687C037" w14:textId="77777777" w:rsidR="00561B22" w:rsidRPr="00A9382A" w:rsidRDefault="00561B22" w:rsidP="00F1223B">
            <w:pPr>
              <w:jc w:val="center"/>
              <w:rPr>
                <w:rFonts w:ascii="Arial" w:hAnsi="Arial" w:cs="Arial"/>
                <w:b/>
                <w:sz w:val="22"/>
                <w:szCs w:val="22"/>
                <w:lang w:val="es-MX"/>
              </w:rPr>
            </w:pPr>
            <w:r w:rsidRPr="00A9382A">
              <w:rPr>
                <w:rFonts w:ascii="Arial" w:hAnsi="Arial" w:cs="Arial"/>
                <w:b/>
                <w:sz w:val="22"/>
                <w:szCs w:val="22"/>
                <w:lang w:val="es-MX"/>
              </w:rPr>
              <w:t>AUTOCALIFICACIÓN</w:t>
            </w:r>
          </w:p>
        </w:tc>
        <w:tc>
          <w:tcPr>
            <w:tcW w:w="4981" w:type="dxa"/>
          </w:tcPr>
          <w:p w14:paraId="10E5DBDE" w14:textId="77777777" w:rsidR="00561B22" w:rsidRPr="00A9382A" w:rsidRDefault="00561B22" w:rsidP="00F1223B">
            <w:pPr>
              <w:jc w:val="center"/>
              <w:rPr>
                <w:rFonts w:ascii="Arial" w:hAnsi="Arial" w:cs="Arial"/>
                <w:b/>
                <w:sz w:val="22"/>
                <w:szCs w:val="22"/>
                <w:u w:val="single"/>
                <w:lang w:val="es-MX"/>
              </w:rPr>
            </w:pPr>
            <w:r w:rsidRPr="00A9382A">
              <w:rPr>
                <w:rFonts w:ascii="Arial" w:hAnsi="Arial" w:cs="Arial"/>
                <w:b/>
                <w:sz w:val="22"/>
                <w:szCs w:val="22"/>
                <w:u w:val="single"/>
                <w:lang w:val="es-MX"/>
              </w:rPr>
              <w:t>5.00</w:t>
            </w:r>
          </w:p>
        </w:tc>
      </w:tr>
    </w:tbl>
    <w:p w14:paraId="2D2960DB" w14:textId="77777777" w:rsidR="00561B22" w:rsidRPr="00A9382A" w:rsidRDefault="00561B22" w:rsidP="00561B22">
      <w:pPr>
        <w:pStyle w:val="Textoindependiente"/>
        <w:ind w:right="-50"/>
        <w:jc w:val="both"/>
        <w:rPr>
          <w:rFonts w:ascii="Arial" w:hAnsi="Arial" w:cs="Arial"/>
          <w:b/>
          <w:bCs/>
        </w:rPr>
      </w:pPr>
    </w:p>
    <w:p w14:paraId="27756DA7" w14:textId="77777777" w:rsidR="00561B22" w:rsidRPr="00A9382A" w:rsidRDefault="00561B22" w:rsidP="00561B22">
      <w:pPr>
        <w:pStyle w:val="Textoindependiente"/>
        <w:ind w:right="-50"/>
        <w:jc w:val="both"/>
        <w:rPr>
          <w:rFonts w:ascii="Arial" w:hAnsi="Arial" w:cs="Arial"/>
          <w:b/>
          <w:bCs/>
        </w:rPr>
      </w:pPr>
      <w:r w:rsidRPr="00A9382A">
        <w:rPr>
          <w:rFonts w:ascii="Arial" w:hAnsi="Arial" w:cs="Arial"/>
          <w:b/>
          <w:bCs/>
        </w:rPr>
        <w:t>Del informe enviado retomamos lo siguiente:</w:t>
      </w:r>
    </w:p>
    <w:p w14:paraId="5EFC6D11" w14:textId="77777777" w:rsidR="00561B22" w:rsidRPr="00A9382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9382A" w14:paraId="164B2895" w14:textId="77777777" w:rsidTr="00F1223B">
        <w:tc>
          <w:tcPr>
            <w:tcW w:w="562" w:type="dxa"/>
          </w:tcPr>
          <w:p w14:paraId="14F1175F" w14:textId="77777777" w:rsidR="00561B22" w:rsidRPr="00A9382A" w:rsidRDefault="00561B22" w:rsidP="00F1223B">
            <w:pPr>
              <w:ind w:right="-109"/>
              <w:jc w:val="center"/>
              <w:rPr>
                <w:rFonts w:ascii="Arial" w:hAnsi="Arial" w:cs="Arial"/>
                <w:b/>
                <w:sz w:val="22"/>
                <w:szCs w:val="22"/>
                <w:lang w:val="es-MX"/>
              </w:rPr>
            </w:pPr>
            <w:r w:rsidRPr="00A9382A">
              <w:rPr>
                <w:rFonts w:ascii="Arial" w:hAnsi="Arial" w:cs="Arial"/>
                <w:b/>
                <w:sz w:val="22"/>
                <w:szCs w:val="22"/>
                <w:lang w:val="es-MX"/>
              </w:rPr>
              <w:t>N°</w:t>
            </w:r>
          </w:p>
        </w:tc>
        <w:tc>
          <w:tcPr>
            <w:tcW w:w="9400" w:type="dxa"/>
          </w:tcPr>
          <w:p w14:paraId="001A4419" w14:textId="77777777" w:rsidR="00561B22" w:rsidRPr="00A9382A" w:rsidRDefault="00561B22" w:rsidP="00F1223B">
            <w:pPr>
              <w:jc w:val="center"/>
              <w:rPr>
                <w:rFonts w:ascii="Arial" w:hAnsi="Arial" w:cs="Arial"/>
                <w:b/>
                <w:sz w:val="22"/>
                <w:szCs w:val="22"/>
                <w:lang w:val="es-MX"/>
              </w:rPr>
            </w:pPr>
            <w:r w:rsidRPr="00A9382A">
              <w:rPr>
                <w:rFonts w:ascii="Arial" w:hAnsi="Arial" w:cs="Arial"/>
                <w:b/>
                <w:sz w:val="22"/>
                <w:szCs w:val="22"/>
                <w:lang w:val="es-MX"/>
              </w:rPr>
              <w:t>RECOMENDACIONES</w:t>
            </w:r>
          </w:p>
          <w:p w14:paraId="0AB3297C" w14:textId="77777777" w:rsidR="00561B22" w:rsidRPr="00A9382A" w:rsidRDefault="00561B22" w:rsidP="00F1223B">
            <w:pPr>
              <w:jc w:val="center"/>
              <w:rPr>
                <w:rFonts w:ascii="Arial" w:hAnsi="Arial" w:cs="Arial"/>
                <w:b/>
                <w:sz w:val="22"/>
                <w:szCs w:val="22"/>
                <w:lang w:val="es-MX"/>
              </w:rPr>
            </w:pPr>
          </w:p>
        </w:tc>
      </w:tr>
      <w:tr w:rsidR="00561B22" w:rsidRPr="00A9382A" w14:paraId="1C021B8E" w14:textId="77777777" w:rsidTr="00F1223B">
        <w:tc>
          <w:tcPr>
            <w:tcW w:w="562" w:type="dxa"/>
          </w:tcPr>
          <w:p w14:paraId="5C609643" w14:textId="77777777" w:rsidR="00561B22" w:rsidRPr="00A9382A" w:rsidRDefault="00561B22" w:rsidP="00F1223B">
            <w:pPr>
              <w:jc w:val="center"/>
              <w:rPr>
                <w:rFonts w:ascii="Arial" w:hAnsi="Arial" w:cs="Arial"/>
                <w:b/>
                <w:sz w:val="22"/>
                <w:szCs w:val="22"/>
                <w:lang w:val="es-MX"/>
              </w:rPr>
            </w:pPr>
            <w:r w:rsidRPr="00A9382A">
              <w:rPr>
                <w:rFonts w:ascii="Arial" w:hAnsi="Arial" w:cs="Arial"/>
                <w:b/>
                <w:sz w:val="22"/>
                <w:szCs w:val="22"/>
                <w:lang w:val="es-MX"/>
              </w:rPr>
              <w:t>1</w:t>
            </w:r>
          </w:p>
        </w:tc>
        <w:tc>
          <w:tcPr>
            <w:tcW w:w="9400" w:type="dxa"/>
          </w:tcPr>
          <w:p w14:paraId="00717780" w14:textId="77777777" w:rsidR="00561B22" w:rsidRPr="00A9382A" w:rsidRDefault="00561B22" w:rsidP="00F1223B">
            <w:pPr>
              <w:pStyle w:val="TableParagraph"/>
              <w:spacing w:line="259" w:lineRule="auto"/>
              <w:ind w:left="28" w:right="136"/>
              <w:jc w:val="both"/>
              <w:rPr>
                <w:b/>
                <w:sz w:val="22"/>
                <w:szCs w:val="22"/>
                <w:lang w:val="es-MX"/>
              </w:rPr>
            </w:pPr>
            <w:r w:rsidRPr="00A9382A">
              <w:rPr>
                <w:sz w:val="22"/>
                <w:szCs w:val="22"/>
              </w:rPr>
              <w:t>Seguir monitoreando los riesgos para minimizar su materialización. Identificar nuevas</w:t>
            </w:r>
            <w:r w:rsidRPr="00A9382A">
              <w:rPr>
                <w:spacing w:val="-1"/>
                <w:sz w:val="22"/>
                <w:szCs w:val="22"/>
              </w:rPr>
              <w:t xml:space="preserve"> </w:t>
            </w:r>
            <w:r w:rsidRPr="00A9382A">
              <w:rPr>
                <w:sz w:val="22"/>
                <w:szCs w:val="22"/>
              </w:rPr>
              <w:t>oportunidades</w:t>
            </w:r>
            <w:r w:rsidRPr="00A9382A">
              <w:rPr>
                <w:spacing w:val="-1"/>
                <w:sz w:val="22"/>
                <w:szCs w:val="22"/>
              </w:rPr>
              <w:t xml:space="preserve"> </w:t>
            </w:r>
            <w:r w:rsidRPr="00A9382A">
              <w:rPr>
                <w:sz w:val="22"/>
                <w:szCs w:val="22"/>
              </w:rPr>
              <w:t>de</w:t>
            </w:r>
            <w:r w:rsidRPr="00A9382A">
              <w:rPr>
                <w:spacing w:val="-1"/>
                <w:sz w:val="22"/>
                <w:szCs w:val="22"/>
              </w:rPr>
              <w:t xml:space="preserve"> </w:t>
            </w:r>
            <w:r w:rsidRPr="00A9382A">
              <w:rPr>
                <w:sz w:val="22"/>
                <w:szCs w:val="22"/>
              </w:rPr>
              <w:t>mejora</w:t>
            </w:r>
            <w:r w:rsidRPr="00A9382A">
              <w:rPr>
                <w:spacing w:val="-1"/>
                <w:sz w:val="22"/>
                <w:szCs w:val="22"/>
              </w:rPr>
              <w:t xml:space="preserve"> </w:t>
            </w:r>
            <w:r w:rsidRPr="00A9382A">
              <w:rPr>
                <w:sz w:val="22"/>
                <w:szCs w:val="22"/>
              </w:rPr>
              <w:t>en</w:t>
            </w:r>
            <w:r w:rsidRPr="00A9382A">
              <w:rPr>
                <w:spacing w:val="-3"/>
                <w:sz w:val="22"/>
                <w:szCs w:val="22"/>
              </w:rPr>
              <w:t xml:space="preserve"> </w:t>
            </w:r>
            <w:r w:rsidRPr="00A9382A">
              <w:rPr>
                <w:sz w:val="22"/>
                <w:szCs w:val="22"/>
              </w:rPr>
              <w:t>la</w:t>
            </w:r>
            <w:r w:rsidRPr="00A9382A">
              <w:rPr>
                <w:spacing w:val="-1"/>
                <w:sz w:val="22"/>
                <w:szCs w:val="22"/>
              </w:rPr>
              <w:t xml:space="preserve"> </w:t>
            </w:r>
            <w:r w:rsidRPr="00A9382A">
              <w:rPr>
                <w:sz w:val="22"/>
                <w:szCs w:val="22"/>
              </w:rPr>
              <w:t>matriz que</w:t>
            </w:r>
            <w:r w:rsidRPr="00A9382A">
              <w:rPr>
                <w:spacing w:val="-1"/>
                <w:sz w:val="22"/>
                <w:szCs w:val="22"/>
              </w:rPr>
              <w:t xml:space="preserve"> </w:t>
            </w:r>
            <w:r w:rsidRPr="00A9382A">
              <w:rPr>
                <w:sz w:val="22"/>
                <w:szCs w:val="22"/>
              </w:rPr>
              <w:t>impliquen</w:t>
            </w:r>
            <w:r w:rsidRPr="00A9382A">
              <w:rPr>
                <w:spacing w:val="-3"/>
                <w:sz w:val="22"/>
                <w:szCs w:val="22"/>
              </w:rPr>
              <w:t xml:space="preserve"> </w:t>
            </w:r>
            <w:r w:rsidRPr="00A9382A">
              <w:rPr>
                <w:sz w:val="22"/>
                <w:szCs w:val="22"/>
              </w:rPr>
              <w:t>situaciones</w:t>
            </w:r>
            <w:r w:rsidRPr="00A9382A">
              <w:rPr>
                <w:spacing w:val="-1"/>
                <w:sz w:val="22"/>
                <w:szCs w:val="22"/>
              </w:rPr>
              <w:t xml:space="preserve"> </w:t>
            </w:r>
            <w:r w:rsidRPr="00A9382A">
              <w:rPr>
                <w:sz w:val="22"/>
                <w:szCs w:val="22"/>
              </w:rPr>
              <w:t>de</w:t>
            </w:r>
            <w:r w:rsidRPr="00A9382A">
              <w:rPr>
                <w:spacing w:val="-1"/>
                <w:sz w:val="22"/>
                <w:szCs w:val="22"/>
              </w:rPr>
              <w:t xml:space="preserve"> </w:t>
            </w:r>
            <w:r w:rsidRPr="00A9382A">
              <w:rPr>
                <w:sz w:val="22"/>
                <w:szCs w:val="22"/>
              </w:rPr>
              <w:t xml:space="preserve">ventaja al interior de la entidad. </w:t>
            </w:r>
          </w:p>
        </w:tc>
      </w:tr>
      <w:tr w:rsidR="00561B22" w:rsidRPr="00A9382A" w14:paraId="65F864C7" w14:textId="77777777" w:rsidTr="00F1223B">
        <w:tc>
          <w:tcPr>
            <w:tcW w:w="562" w:type="dxa"/>
          </w:tcPr>
          <w:p w14:paraId="17E7D6F4" w14:textId="77777777" w:rsidR="00561B22" w:rsidRPr="00A9382A" w:rsidRDefault="00561B22" w:rsidP="00F1223B">
            <w:pPr>
              <w:jc w:val="center"/>
              <w:rPr>
                <w:rFonts w:ascii="Arial" w:hAnsi="Arial" w:cs="Arial"/>
                <w:b/>
                <w:sz w:val="22"/>
                <w:szCs w:val="22"/>
                <w:lang w:val="es-MX"/>
              </w:rPr>
            </w:pPr>
            <w:r w:rsidRPr="00A9382A">
              <w:rPr>
                <w:rFonts w:ascii="Arial" w:hAnsi="Arial" w:cs="Arial"/>
                <w:b/>
                <w:sz w:val="22"/>
                <w:szCs w:val="22"/>
                <w:lang w:val="es-MX"/>
              </w:rPr>
              <w:t>2</w:t>
            </w:r>
          </w:p>
        </w:tc>
        <w:tc>
          <w:tcPr>
            <w:tcW w:w="9400" w:type="dxa"/>
          </w:tcPr>
          <w:p w14:paraId="342E0EBE" w14:textId="77777777" w:rsidR="00561B22" w:rsidRPr="00A9382A" w:rsidRDefault="00561B22" w:rsidP="00F1223B">
            <w:pPr>
              <w:pStyle w:val="TableParagraph"/>
              <w:spacing w:line="259" w:lineRule="auto"/>
              <w:ind w:left="28" w:right="136"/>
              <w:jc w:val="both"/>
              <w:rPr>
                <w:sz w:val="22"/>
                <w:szCs w:val="22"/>
              </w:rPr>
            </w:pPr>
            <w:r w:rsidRPr="00A9382A">
              <w:rPr>
                <w:sz w:val="22"/>
                <w:szCs w:val="22"/>
              </w:rPr>
              <w:t>Fortalecer la Oficina de Control Interno en cuento al número</w:t>
            </w:r>
            <w:r w:rsidRPr="00A9382A">
              <w:rPr>
                <w:spacing w:val="-2"/>
                <w:sz w:val="22"/>
                <w:szCs w:val="22"/>
              </w:rPr>
              <w:t xml:space="preserve"> </w:t>
            </w:r>
            <w:r w:rsidRPr="00A9382A">
              <w:rPr>
                <w:sz w:val="22"/>
                <w:szCs w:val="22"/>
              </w:rPr>
              <w:t>y</w:t>
            </w:r>
            <w:r w:rsidRPr="00A9382A">
              <w:rPr>
                <w:spacing w:val="-3"/>
                <w:sz w:val="22"/>
                <w:szCs w:val="22"/>
              </w:rPr>
              <w:t xml:space="preserve"> </w:t>
            </w:r>
            <w:r w:rsidRPr="00A9382A">
              <w:rPr>
                <w:sz w:val="22"/>
                <w:szCs w:val="22"/>
              </w:rPr>
              <w:t>especialidad</w:t>
            </w:r>
            <w:r w:rsidRPr="00A9382A">
              <w:rPr>
                <w:spacing w:val="-4"/>
                <w:sz w:val="22"/>
                <w:szCs w:val="22"/>
              </w:rPr>
              <w:t xml:space="preserve"> </w:t>
            </w:r>
            <w:r w:rsidRPr="00A9382A">
              <w:rPr>
                <w:sz w:val="22"/>
                <w:szCs w:val="22"/>
              </w:rPr>
              <w:t>del</w:t>
            </w:r>
            <w:r w:rsidRPr="00A9382A">
              <w:rPr>
                <w:spacing w:val="-4"/>
                <w:sz w:val="22"/>
                <w:szCs w:val="22"/>
              </w:rPr>
              <w:t xml:space="preserve"> </w:t>
            </w:r>
            <w:r w:rsidRPr="00A9382A">
              <w:rPr>
                <w:sz w:val="22"/>
                <w:szCs w:val="22"/>
              </w:rPr>
              <w:t>personal</w:t>
            </w:r>
            <w:r w:rsidRPr="00A9382A">
              <w:rPr>
                <w:spacing w:val="-5"/>
                <w:sz w:val="22"/>
                <w:szCs w:val="22"/>
              </w:rPr>
              <w:t xml:space="preserve"> </w:t>
            </w:r>
            <w:r w:rsidRPr="00A9382A">
              <w:rPr>
                <w:sz w:val="22"/>
                <w:szCs w:val="22"/>
              </w:rPr>
              <w:t>que</w:t>
            </w:r>
            <w:r w:rsidRPr="00A9382A">
              <w:rPr>
                <w:spacing w:val="-2"/>
                <w:sz w:val="22"/>
                <w:szCs w:val="22"/>
              </w:rPr>
              <w:t xml:space="preserve"> </w:t>
            </w:r>
            <w:r w:rsidRPr="00A9382A">
              <w:rPr>
                <w:sz w:val="22"/>
                <w:szCs w:val="22"/>
              </w:rPr>
              <w:t>permita</w:t>
            </w:r>
            <w:r w:rsidRPr="00A9382A">
              <w:rPr>
                <w:spacing w:val="-3"/>
                <w:sz w:val="22"/>
                <w:szCs w:val="22"/>
              </w:rPr>
              <w:t xml:space="preserve"> </w:t>
            </w:r>
            <w:r w:rsidRPr="00A9382A">
              <w:rPr>
                <w:sz w:val="22"/>
                <w:szCs w:val="22"/>
              </w:rPr>
              <w:t>realizar</w:t>
            </w:r>
            <w:r w:rsidRPr="00A9382A">
              <w:rPr>
                <w:spacing w:val="-4"/>
                <w:sz w:val="22"/>
                <w:szCs w:val="22"/>
              </w:rPr>
              <w:t xml:space="preserve"> </w:t>
            </w:r>
            <w:r w:rsidRPr="00A9382A">
              <w:rPr>
                <w:sz w:val="22"/>
                <w:szCs w:val="22"/>
              </w:rPr>
              <w:t>seguimientos</w:t>
            </w:r>
            <w:r w:rsidRPr="00A9382A">
              <w:rPr>
                <w:spacing w:val="-2"/>
                <w:sz w:val="22"/>
                <w:szCs w:val="22"/>
              </w:rPr>
              <w:t xml:space="preserve"> </w:t>
            </w:r>
            <w:r w:rsidRPr="00A9382A">
              <w:rPr>
                <w:spacing w:val="-5"/>
                <w:sz w:val="22"/>
                <w:szCs w:val="22"/>
              </w:rPr>
              <w:t xml:space="preserve">mas </w:t>
            </w:r>
            <w:proofErr w:type="gramStart"/>
            <w:r w:rsidRPr="00A9382A">
              <w:rPr>
                <w:spacing w:val="-5"/>
                <w:sz w:val="22"/>
                <w:szCs w:val="22"/>
              </w:rPr>
              <w:t>…(</w:t>
            </w:r>
            <w:proofErr w:type="gramEnd"/>
            <w:r w:rsidRPr="00A9382A">
              <w:rPr>
                <w:spacing w:val="-5"/>
                <w:sz w:val="22"/>
                <w:szCs w:val="22"/>
              </w:rPr>
              <w:t>Falta texto).</w:t>
            </w:r>
          </w:p>
        </w:tc>
      </w:tr>
    </w:tbl>
    <w:p w14:paraId="053F0F02" w14:textId="77777777" w:rsidR="00561B22" w:rsidRPr="00A9382A" w:rsidRDefault="00561B22" w:rsidP="00561B22">
      <w:pPr>
        <w:jc w:val="both"/>
        <w:rPr>
          <w:rFonts w:ascii="Arial" w:hAnsi="Arial" w:cs="Arial"/>
          <w:b/>
          <w:lang w:val="es-MX"/>
        </w:rPr>
      </w:pPr>
    </w:p>
    <w:p w14:paraId="5F2F8050" w14:textId="77777777" w:rsidR="00561B22" w:rsidRPr="00BA5B7E" w:rsidRDefault="00561B22" w:rsidP="00561B22">
      <w:pPr>
        <w:jc w:val="both"/>
        <w:rPr>
          <w:rFonts w:ascii="Arial" w:hAnsi="Arial" w:cs="Arial"/>
          <w:b/>
          <w:sz w:val="28"/>
          <w:szCs w:val="28"/>
          <w:lang w:val="es-MX"/>
        </w:rPr>
      </w:pPr>
      <w:r w:rsidRPr="00BA5B7E">
        <w:rPr>
          <w:rFonts w:ascii="Arial" w:hAnsi="Arial" w:cs="Arial"/>
          <w:b/>
          <w:sz w:val="28"/>
          <w:szCs w:val="28"/>
          <w:lang w:val="es-MX"/>
        </w:rPr>
        <w:t xml:space="preserve">77.- FONDO PARA LA REHABILITACIÓN INVERSIÓN SOCIAL Y LUCHA CONTRA EL CRIMEN ORGANIZADO – FRISCO – S.A.E. </w:t>
      </w:r>
    </w:p>
    <w:p w14:paraId="3C5A6CEE" w14:textId="77777777" w:rsidR="00561B22" w:rsidRDefault="00561B22" w:rsidP="00561B22">
      <w:pPr>
        <w:pStyle w:val="Textoindependiente"/>
        <w:ind w:right="-50"/>
        <w:jc w:val="both"/>
        <w:rPr>
          <w:b/>
        </w:rPr>
      </w:pPr>
    </w:p>
    <w:p w14:paraId="7411C791" w14:textId="77777777" w:rsidR="00561B22" w:rsidRPr="00EC2B63" w:rsidRDefault="00561B22" w:rsidP="00561B22">
      <w:pPr>
        <w:pStyle w:val="Textoindependiente"/>
        <w:ind w:right="-50"/>
        <w:jc w:val="center"/>
        <w:rPr>
          <w:rFonts w:ascii="Arial" w:hAnsi="Arial" w:cs="Arial"/>
          <w:b/>
          <w:bCs/>
        </w:rPr>
      </w:pPr>
      <w:r w:rsidRPr="00EC2B63">
        <w:rPr>
          <w:rFonts w:ascii="Arial" w:hAnsi="Arial" w:cs="Arial"/>
          <w:b/>
          <w:bCs/>
        </w:rPr>
        <w:t>INFORME DE LA AUTOCALIFICACIÓN DEL SISTEMA DE CONTROL INTERNO CONTABLE:</w:t>
      </w:r>
    </w:p>
    <w:p w14:paraId="6921EF19" w14:textId="77777777" w:rsidR="00561B22" w:rsidRPr="00EC2B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C2B63" w14:paraId="60894D3E" w14:textId="77777777" w:rsidTr="00F1223B">
        <w:tc>
          <w:tcPr>
            <w:tcW w:w="4981" w:type="dxa"/>
          </w:tcPr>
          <w:p w14:paraId="55DE81CD"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AUTOCALIFICACIÓN</w:t>
            </w:r>
          </w:p>
        </w:tc>
        <w:tc>
          <w:tcPr>
            <w:tcW w:w="4981" w:type="dxa"/>
          </w:tcPr>
          <w:p w14:paraId="542668A4" w14:textId="77777777" w:rsidR="00561B22" w:rsidRPr="00EC2B63" w:rsidRDefault="00561B22" w:rsidP="00F1223B">
            <w:pPr>
              <w:jc w:val="both"/>
              <w:rPr>
                <w:rFonts w:ascii="Arial" w:hAnsi="Arial" w:cs="Arial"/>
                <w:b/>
                <w:sz w:val="22"/>
                <w:szCs w:val="22"/>
                <w:u w:val="single"/>
                <w:lang w:val="es-MX"/>
              </w:rPr>
            </w:pPr>
            <w:r w:rsidRPr="00EC2B63">
              <w:rPr>
                <w:rFonts w:ascii="Arial" w:hAnsi="Arial" w:cs="Arial"/>
                <w:b/>
                <w:sz w:val="22"/>
                <w:szCs w:val="22"/>
                <w:u w:val="single"/>
                <w:lang w:val="es-MX"/>
              </w:rPr>
              <w:t>3.03</w:t>
            </w:r>
          </w:p>
        </w:tc>
      </w:tr>
    </w:tbl>
    <w:p w14:paraId="0E65326C" w14:textId="77777777" w:rsidR="00561B22" w:rsidRPr="00EC2B63" w:rsidRDefault="00561B22" w:rsidP="00561B22">
      <w:pPr>
        <w:pStyle w:val="Textoindependiente"/>
        <w:ind w:right="-50"/>
        <w:jc w:val="both"/>
        <w:rPr>
          <w:rFonts w:ascii="Arial" w:hAnsi="Arial" w:cs="Arial"/>
          <w:b/>
          <w:bCs/>
        </w:rPr>
      </w:pPr>
    </w:p>
    <w:p w14:paraId="5B4C061D" w14:textId="77777777" w:rsidR="00561B22" w:rsidRPr="00EC2B63" w:rsidRDefault="00561B22" w:rsidP="00561B22">
      <w:pPr>
        <w:pStyle w:val="Textoindependiente"/>
        <w:ind w:right="-50"/>
        <w:jc w:val="both"/>
        <w:rPr>
          <w:rFonts w:ascii="Arial" w:hAnsi="Arial" w:cs="Arial"/>
          <w:b/>
          <w:bCs/>
        </w:rPr>
      </w:pPr>
      <w:r w:rsidRPr="00EC2B63">
        <w:rPr>
          <w:rFonts w:ascii="Arial" w:hAnsi="Arial" w:cs="Arial"/>
          <w:b/>
          <w:bCs/>
        </w:rPr>
        <w:t>Del informe enviado retomamos lo siguiente:</w:t>
      </w:r>
    </w:p>
    <w:p w14:paraId="0E937F2C" w14:textId="77777777" w:rsidR="00561B22" w:rsidRPr="00EC2B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C2B63" w14:paraId="32A661BB" w14:textId="77777777" w:rsidTr="00F1223B">
        <w:tc>
          <w:tcPr>
            <w:tcW w:w="562" w:type="dxa"/>
          </w:tcPr>
          <w:p w14:paraId="4B827F65" w14:textId="77777777" w:rsidR="00561B22" w:rsidRPr="00EC2B63" w:rsidRDefault="00561B22" w:rsidP="00F1223B">
            <w:pPr>
              <w:ind w:right="-109"/>
              <w:jc w:val="both"/>
              <w:rPr>
                <w:rFonts w:ascii="Arial" w:hAnsi="Arial" w:cs="Arial"/>
                <w:b/>
                <w:sz w:val="22"/>
                <w:szCs w:val="22"/>
                <w:lang w:val="es-MX"/>
              </w:rPr>
            </w:pPr>
            <w:r w:rsidRPr="00EC2B63">
              <w:rPr>
                <w:rFonts w:ascii="Arial" w:hAnsi="Arial" w:cs="Arial"/>
                <w:b/>
                <w:sz w:val="22"/>
                <w:szCs w:val="22"/>
                <w:lang w:val="es-MX"/>
              </w:rPr>
              <w:t>N°</w:t>
            </w:r>
          </w:p>
        </w:tc>
        <w:tc>
          <w:tcPr>
            <w:tcW w:w="9400" w:type="dxa"/>
          </w:tcPr>
          <w:p w14:paraId="685E194F" w14:textId="77777777" w:rsidR="00561B22" w:rsidRPr="00EC2B63" w:rsidRDefault="00561B22" w:rsidP="00F1223B">
            <w:pPr>
              <w:jc w:val="center"/>
              <w:rPr>
                <w:rFonts w:ascii="Arial" w:hAnsi="Arial" w:cs="Arial"/>
                <w:b/>
                <w:sz w:val="22"/>
                <w:szCs w:val="22"/>
                <w:lang w:val="es-MX"/>
              </w:rPr>
            </w:pPr>
            <w:r w:rsidRPr="00EC2B63">
              <w:rPr>
                <w:rFonts w:ascii="Arial" w:hAnsi="Arial" w:cs="Arial"/>
                <w:b/>
                <w:sz w:val="22"/>
                <w:szCs w:val="22"/>
                <w:lang w:val="es-MX"/>
              </w:rPr>
              <w:t>DEBILIDADES</w:t>
            </w:r>
          </w:p>
          <w:p w14:paraId="7CFDE0CF" w14:textId="77777777" w:rsidR="00561B22" w:rsidRPr="00EC2B63" w:rsidRDefault="00561B22" w:rsidP="00F1223B">
            <w:pPr>
              <w:jc w:val="both"/>
              <w:rPr>
                <w:rFonts w:ascii="Arial" w:hAnsi="Arial" w:cs="Arial"/>
                <w:b/>
                <w:sz w:val="22"/>
                <w:szCs w:val="22"/>
                <w:lang w:val="es-MX"/>
              </w:rPr>
            </w:pPr>
          </w:p>
        </w:tc>
      </w:tr>
      <w:tr w:rsidR="00561B22" w:rsidRPr="00EC2B63" w14:paraId="757C2874" w14:textId="77777777" w:rsidTr="00F1223B">
        <w:tc>
          <w:tcPr>
            <w:tcW w:w="562" w:type="dxa"/>
          </w:tcPr>
          <w:p w14:paraId="34001894"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1</w:t>
            </w:r>
          </w:p>
        </w:tc>
        <w:tc>
          <w:tcPr>
            <w:tcW w:w="9400" w:type="dxa"/>
          </w:tcPr>
          <w:p w14:paraId="02BBB0D9"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 xml:space="preserve">La Entidad cuenta con el Manual de Políticas y Procedimientos Contables para FRISCO, así </w:t>
            </w:r>
            <w:r w:rsidRPr="00EC2B63">
              <w:rPr>
                <w:rFonts w:ascii="Arial" w:hAnsi="Arial" w:cs="Arial"/>
                <w:bCs/>
                <w:sz w:val="22"/>
                <w:szCs w:val="22"/>
                <w:lang w:val="es-MX"/>
              </w:rPr>
              <w:lastRenderedPageBreak/>
              <w:t>como con instructivos, manuales y procedimientos en los cuales está documentación el manejo y flujo de la información hacia el área contable. Sin embargo, varios de estos documentos se encuentran desactualizados.</w:t>
            </w:r>
          </w:p>
        </w:tc>
      </w:tr>
      <w:tr w:rsidR="00561B22" w:rsidRPr="00EC2B63" w14:paraId="1842B5B8" w14:textId="77777777" w:rsidTr="00F1223B">
        <w:tc>
          <w:tcPr>
            <w:tcW w:w="562" w:type="dxa"/>
          </w:tcPr>
          <w:p w14:paraId="3728F01E"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lastRenderedPageBreak/>
              <w:t>2</w:t>
            </w:r>
          </w:p>
        </w:tc>
        <w:tc>
          <w:tcPr>
            <w:tcW w:w="9400" w:type="dxa"/>
          </w:tcPr>
          <w:p w14:paraId="389070C3"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Se evidenciaron Entidades Financieras cuentas bancarias inactivas y directivos que han sido retirados de la Entidad y aún figuran como vigentes en entidades bancarias para la autorización de transacciones financieras.</w:t>
            </w:r>
          </w:p>
        </w:tc>
      </w:tr>
      <w:tr w:rsidR="00561B22" w:rsidRPr="00EC2B63" w14:paraId="5A6AC5EB" w14:textId="77777777" w:rsidTr="00F1223B">
        <w:tc>
          <w:tcPr>
            <w:tcW w:w="562" w:type="dxa"/>
          </w:tcPr>
          <w:p w14:paraId="52421541"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3</w:t>
            </w:r>
          </w:p>
        </w:tc>
        <w:tc>
          <w:tcPr>
            <w:tcW w:w="9400" w:type="dxa"/>
          </w:tcPr>
          <w:p w14:paraId="4C364E68"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Se cuentan con indicadores en el Plan de Acción Institucional que miden la ejecución presupuestal. No obstante, la Dirección Financiera en presentación de resultados de la Evaluación de Sistema de Control Interno manifiesta que no se tienen interesados para los análisis indicadores.</w:t>
            </w:r>
          </w:p>
        </w:tc>
      </w:tr>
      <w:tr w:rsidR="00561B22" w:rsidRPr="00EC2B63" w14:paraId="67E59084" w14:textId="77777777" w:rsidTr="00F1223B">
        <w:tc>
          <w:tcPr>
            <w:tcW w:w="562" w:type="dxa"/>
          </w:tcPr>
          <w:p w14:paraId="4D37B5EA"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4</w:t>
            </w:r>
          </w:p>
        </w:tc>
        <w:tc>
          <w:tcPr>
            <w:tcW w:w="9400" w:type="dxa"/>
          </w:tcPr>
          <w:p w14:paraId="6D4AC146"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La conciliación custodia de divisas, joyas y obras de arte se encontraba a septiembre de 2024.</w:t>
            </w:r>
          </w:p>
        </w:tc>
      </w:tr>
      <w:tr w:rsidR="00561B22" w:rsidRPr="00EC2B63" w14:paraId="0CBF858B" w14:textId="77777777" w:rsidTr="00F1223B">
        <w:tc>
          <w:tcPr>
            <w:tcW w:w="562" w:type="dxa"/>
          </w:tcPr>
          <w:p w14:paraId="6CE5FBFB" w14:textId="77777777" w:rsidR="00561B22" w:rsidRPr="00EC2B63" w:rsidRDefault="00561B22" w:rsidP="00F1223B">
            <w:pPr>
              <w:jc w:val="both"/>
              <w:rPr>
                <w:rFonts w:ascii="Arial" w:hAnsi="Arial" w:cs="Arial"/>
                <w:b/>
                <w:sz w:val="22"/>
                <w:szCs w:val="22"/>
              </w:rPr>
            </w:pPr>
            <w:r w:rsidRPr="00EC2B63">
              <w:rPr>
                <w:rFonts w:ascii="Arial" w:hAnsi="Arial" w:cs="Arial"/>
                <w:b/>
                <w:sz w:val="22"/>
                <w:szCs w:val="22"/>
              </w:rPr>
              <w:t>5</w:t>
            </w:r>
          </w:p>
        </w:tc>
        <w:tc>
          <w:tcPr>
            <w:tcW w:w="9400" w:type="dxa"/>
          </w:tcPr>
          <w:p w14:paraId="4E00B8D4"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De acuerdo con la información suministrada a la Oficina de Control Interno, no se encontró suficiente evidencia de capacitación con los temas relacionados con el área contable.</w:t>
            </w:r>
          </w:p>
        </w:tc>
      </w:tr>
    </w:tbl>
    <w:p w14:paraId="4E7ED8BF" w14:textId="77777777" w:rsidR="00E613DE" w:rsidRDefault="00E613DE" w:rsidP="00561B22">
      <w:pPr>
        <w:jc w:val="both"/>
        <w:rPr>
          <w:rFonts w:ascii="Arial" w:hAnsi="Arial" w:cs="Arial"/>
          <w:b/>
          <w:lang w:val="es-MX"/>
        </w:rPr>
      </w:pPr>
    </w:p>
    <w:p w14:paraId="2A72E7E2" w14:textId="5FA4C0A1" w:rsidR="00561B22" w:rsidRPr="00EC2B63" w:rsidRDefault="00561B22" w:rsidP="00561B22">
      <w:pPr>
        <w:jc w:val="both"/>
        <w:rPr>
          <w:rFonts w:ascii="Arial" w:hAnsi="Arial" w:cs="Arial"/>
          <w:b/>
          <w:lang w:val="es-MX"/>
        </w:rPr>
      </w:pPr>
      <w:r w:rsidRPr="00EC2B63">
        <w:rPr>
          <w:rFonts w:ascii="Arial" w:hAnsi="Arial" w:cs="Arial"/>
          <w:b/>
          <w:lang w:val="es-MX"/>
        </w:rPr>
        <w:t>Del citado informe retomamos las siguientes recomendaciones:</w:t>
      </w:r>
    </w:p>
    <w:p w14:paraId="1536A065" w14:textId="77777777" w:rsidR="00561B22" w:rsidRPr="00EC2B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C2B63" w14:paraId="7AC491D9" w14:textId="77777777" w:rsidTr="00F1223B">
        <w:tc>
          <w:tcPr>
            <w:tcW w:w="562" w:type="dxa"/>
          </w:tcPr>
          <w:p w14:paraId="6BB40D9E" w14:textId="77777777" w:rsidR="00561B22" w:rsidRPr="00EC2B63" w:rsidRDefault="00561B22" w:rsidP="00F1223B">
            <w:pPr>
              <w:ind w:right="-109"/>
              <w:jc w:val="both"/>
              <w:rPr>
                <w:rFonts w:ascii="Arial" w:hAnsi="Arial" w:cs="Arial"/>
                <w:b/>
                <w:sz w:val="22"/>
                <w:szCs w:val="22"/>
                <w:lang w:val="es-MX"/>
              </w:rPr>
            </w:pPr>
            <w:r w:rsidRPr="00EC2B63">
              <w:rPr>
                <w:rFonts w:ascii="Arial" w:hAnsi="Arial" w:cs="Arial"/>
                <w:b/>
                <w:sz w:val="22"/>
                <w:szCs w:val="22"/>
                <w:lang w:val="es-MX"/>
              </w:rPr>
              <w:t>N°</w:t>
            </w:r>
          </w:p>
        </w:tc>
        <w:tc>
          <w:tcPr>
            <w:tcW w:w="9400" w:type="dxa"/>
          </w:tcPr>
          <w:p w14:paraId="757B58D0" w14:textId="77777777" w:rsidR="00561B22" w:rsidRPr="00EC2B63" w:rsidRDefault="00561B22" w:rsidP="00F1223B">
            <w:pPr>
              <w:jc w:val="center"/>
              <w:rPr>
                <w:rFonts w:ascii="Arial" w:hAnsi="Arial" w:cs="Arial"/>
                <w:b/>
                <w:sz w:val="22"/>
                <w:szCs w:val="22"/>
                <w:lang w:val="es-MX"/>
              </w:rPr>
            </w:pPr>
            <w:r w:rsidRPr="00EC2B63">
              <w:rPr>
                <w:rFonts w:ascii="Arial" w:hAnsi="Arial" w:cs="Arial"/>
                <w:b/>
                <w:sz w:val="22"/>
                <w:szCs w:val="22"/>
                <w:lang w:val="es-MX"/>
              </w:rPr>
              <w:t>RECOMENDACIONES</w:t>
            </w:r>
          </w:p>
          <w:p w14:paraId="180B0B7E" w14:textId="77777777" w:rsidR="00561B22" w:rsidRPr="00EC2B63" w:rsidRDefault="00561B22" w:rsidP="00F1223B">
            <w:pPr>
              <w:jc w:val="both"/>
              <w:rPr>
                <w:rFonts w:ascii="Arial" w:hAnsi="Arial" w:cs="Arial"/>
                <w:b/>
                <w:sz w:val="22"/>
                <w:szCs w:val="22"/>
                <w:lang w:val="es-MX"/>
              </w:rPr>
            </w:pPr>
          </w:p>
        </w:tc>
      </w:tr>
      <w:tr w:rsidR="00561B22" w:rsidRPr="00EC2B63" w14:paraId="1711DA1B" w14:textId="77777777" w:rsidTr="00F1223B">
        <w:tc>
          <w:tcPr>
            <w:tcW w:w="562" w:type="dxa"/>
          </w:tcPr>
          <w:p w14:paraId="621C310F"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1</w:t>
            </w:r>
          </w:p>
        </w:tc>
        <w:tc>
          <w:tcPr>
            <w:tcW w:w="9400" w:type="dxa"/>
          </w:tcPr>
          <w:p w14:paraId="6E92F6C5"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Revisar y actualizar el Manual y Procedimientos Contables del Fondo FRISCO, en conformidad con el marco normativo vigente, con el objetivo de garantizar que la información financiera cumpla con las características fundamentales de relevancia y representación fiel en los Estados Financieros.</w:t>
            </w:r>
          </w:p>
        </w:tc>
      </w:tr>
      <w:tr w:rsidR="00561B22" w:rsidRPr="00EC2B63" w14:paraId="6DF00012" w14:textId="77777777" w:rsidTr="00F1223B">
        <w:tc>
          <w:tcPr>
            <w:tcW w:w="562" w:type="dxa"/>
          </w:tcPr>
          <w:p w14:paraId="22E8FF13"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2</w:t>
            </w:r>
          </w:p>
        </w:tc>
        <w:tc>
          <w:tcPr>
            <w:tcW w:w="9400" w:type="dxa"/>
          </w:tcPr>
          <w:p w14:paraId="5F8E3765"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Realizar sesiones periódicas de socialización con el equipo de trabajo de la Dirección Financiera, enfocadas en los procedimientos, políticas, lineamientos y actualizaciones normativas relacionadas con el área contable.</w:t>
            </w:r>
          </w:p>
        </w:tc>
      </w:tr>
      <w:tr w:rsidR="00561B22" w:rsidRPr="00EC2B63" w14:paraId="5253085F" w14:textId="77777777" w:rsidTr="00F1223B">
        <w:tc>
          <w:tcPr>
            <w:tcW w:w="562" w:type="dxa"/>
          </w:tcPr>
          <w:p w14:paraId="2B3F9F56"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3</w:t>
            </w:r>
          </w:p>
        </w:tc>
        <w:tc>
          <w:tcPr>
            <w:tcW w:w="9400" w:type="dxa"/>
          </w:tcPr>
          <w:p w14:paraId="42D07631"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Evaluar la construcción de indicadores asociados a los Estados Financieros del FRISCO para la toma de decisiones y análisis de la información financiera de la Entidad.</w:t>
            </w:r>
          </w:p>
        </w:tc>
      </w:tr>
      <w:tr w:rsidR="00561B22" w:rsidRPr="00EC2B63" w14:paraId="2A464623" w14:textId="77777777" w:rsidTr="00F1223B">
        <w:tc>
          <w:tcPr>
            <w:tcW w:w="562" w:type="dxa"/>
          </w:tcPr>
          <w:p w14:paraId="567504CB"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4</w:t>
            </w:r>
          </w:p>
        </w:tc>
        <w:tc>
          <w:tcPr>
            <w:tcW w:w="9400" w:type="dxa"/>
          </w:tcPr>
          <w:p w14:paraId="6245C93E"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Continuar con la actualizar las tablas de retención documental de la entidad, de conformidad con la normatividad establecida por el Archivo General de la Nación y MinTic con relación a la documentación digital.</w:t>
            </w:r>
          </w:p>
        </w:tc>
      </w:tr>
      <w:tr w:rsidR="00561B22" w:rsidRPr="00EC2B63" w14:paraId="5FFC0047" w14:textId="77777777" w:rsidTr="00F1223B">
        <w:tc>
          <w:tcPr>
            <w:tcW w:w="562" w:type="dxa"/>
          </w:tcPr>
          <w:p w14:paraId="64FD74CB"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5</w:t>
            </w:r>
          </w:p>
        </w:tc>
        <w:tc>
          <w:tcPr>
            <w:tcW w:w="9400" w:type="dxa"/>
          </w:tcPr>
          <w:p w14:paraId="6A7685E8"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Planificar las actividades a realizar durante el año fiscal mediante un cronograma detallado que incluya el cumplimiento normativo, con fechas y responsables asignados. Además, se deben contemplar actividades de control y seguimiento que respalden el trabajo del equipo, asegurando una distribución equitativa de las cargas de trabajo y garantizando el cumplimiento de las tareas necesarias para la presentación oportuna de la información financiera.</w:t>
            </w:r>
          </w:p>
        </w:tc>
      </w:tr>
      <w:tr w:rsidR="00561B22" w:rsidRPr="00EC2B63" w14:paraId="06B9DDA5" w14:textId="77777777" w:rsidTr="00F1223B">
        <w:tc>
          <w:tcPr>
            <w:tcW w:w="562" w:type="dxa"/>
          </w:tcPr>
          <w:p w14:paraId="61A38C51"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6</w:t>
            </w:r>
          </w:p>
        </w:tc>
        <w:tc>
          <w:tcPr>
            <w:tcW w:w="9400" w:type="dxa"/>
          </w:tcPr>
          <w:p w14:paraId="5A4AE82D"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Teniendo en cuenta que la Entidad tiene conformado el Comité de Sostenibilidad Contable, se recomienda dejar evidencia de las decisiones tomadas conforme a las funciones establecidas en la Resolución 00374 del 05 de abril de 2018.</w:t>
            </w:r>
          </w:p>
        </w:tc>
      </w:tr>
      <w:tr w:rsidR="00561B22" w:rsidRPr="00EC2B63" w14:paraId="466175A5" w14:textId="77777777" w:rsidTr="00F1223B">
        <w:tc>
          <w:tcPr>
            <w:tcW w:w="562" w:type="dxa"/>
          </w:tcPr>
          <w:p w14:paraId="2378A782" w14:textId="77777777" w:rsidR="00561B22" w:rsidRPr="00EC2B63" w:rsidRDefault="00561B22" w:rsidP="00F1223B">
            <w:pPr>
              <w:jc w:val="both"/>
              <w:rPr>
                <w:rFonts w:ascii="Arial" w:hAnsi="Arial" w:cs="Arial"/>
                <w:b/>
                <w:sz w:val="22"/>
                <w:szCs w:val="22"/>
                <w:lang w:val="es-MX"/>
              </w:rPr>
            </w:pPr>
            <w:r w:rsidRPr="00EC2B63">
              <w:rPr>
                <w:rFonts w:ascii="Arial" w:hAnsi="Arial" w:cs="Arial"/>
                <w:b/>
                <w:sz w:val="22"/>
                <w:szCs w:val="22"/>
                <w:lang w:val="es-MX"/>
              </w:rPr>
              <w:t>7</w:t>
            </w:r>
          </w:p>
        </w:tc>
        <w:tc>
          <w:tcPr>
            <w:tcW w:w="9400" w:type="dxa"/>
          </w:tcPr>
          <w:p w14:paraId="66BEF247" w14:textId="77777777" w:rsidR="00561B22" w:rsidRPr="00EC2B63" w:rsidRDefault="00561B22" w:rsidP="00F1223B">
            <w:pPr>
              <w:jc w:val="both"/>
              <w:rPr>
                <w:rFonts w:ascii="Arial" w:hAnsi="Arial" w:cs="Arial"/>
                <w:bCs/>
                <w:sz w:val="22"/>
                <w:szCs w:val="22"/>
                <w:lang w:val="es-MX"/>
              </w:rPr>
            </w:pPr>
            <w:r w:rsidRPr="00EC2B63">
              <w:rPr>
                <w:rFonts w:ascii="Arial" w:hAnsi="Arial" w:cs="Arial"/>
                <w:bCs/>
                <w:sz w:val="22"/>
                <w:szCs w:val="22"/>
                <w:lang w:val="es-MX"/>
              </w:rPr>
              <w:t>Elaborar un plan de mejoramiento que permita identificar y corregir las causas subyacentes de las situaciones observadas en la presente evaluación.</w:t>
            </w:r>
          </w:p>
        </w:tc>
      </w:tr>
    </w:tbl>
    <w:p w14:paraId="23EB0B57" w14:textId="77777777" w:rsidR="00561B22" w:rsidRPr="00EC2B63" w:rsidRDefault="00561B22" w:rsidP="00561B22">
      <w:pPr>
        <w:pStyle w:val="Textoindependiente"/>
        <w:ind w:right="-50"/>
        <w:jc w:val="both"/>
        <w:rPr>
          <w:rFonts w:ascii="Arial" w:hAnsi="Arial" w:cs="Arial"/>
          <w:b/>
          <w:bCs/>
        </w:rPr>
      </w:pPr>
    </w:p>
    <w:p w14:paraId="0B1EDEA0" w14:textId="77777777" w:rsidR="00561B22" w:rsidRPr="00EC2B63" w:rsidRDefault="00561B22" w:rsidP="00561B22">
      <w:pPr>
        <w:jc w:val="both"/>
        <w:rPr>
          <w:rFonts w:ascii="Arial" w:hAnsi="Arial" w:cs="Arial"/>
          <w:b/>
          <w:sz w:val="24"/>
          <w:szCs w:val="24"/>
          <w:lang w:val="es-CO"/>
        </w:rPr>
      </w:pPr>
      <w:r w:rsidRPr="00EC2B63">
        <w:rPr>
          <w:rFonts w:ascii="Arial" w:hAnsi="Arial" w:cs="Arial"/>
          <w:b/>
          <w:bCs/>
          <w:sz w:val="24"/>
          <w:szCs w:val="24"/>
          <w:lang w:val="es-CO"/>
        </w:rPr>
        <w:t xml:space="preserve">NOTA: </w:t>
      </w:r>
      <w:r w:rsidRPr="00EC2B63">
        <w:rPr>
          <w:rFonts w:ascii="Arial" w:hAnsi="Arial" w:cs="Arial"/>
          <w:b/>
          <w:sz w:val="24"/>
          <w:szCs w:val="24"/>
          <w:lang w:val="es-CO"/>
        </w:rPr>
        <w:t xml:space="preserve">LA ENTIDAD ENVÍA LA MATRIZ DE AUTOEVALUACIÓN DEL SISTEMA DE CONTROL INTERNO CONTABLE CON ACTIVIDADES DE CONTROL REALIZADAS </w:t>
      </w:r>
      <w:r w:rsidRPr="00EC2B63">
        <w:rPr>
          <w:rFonts w:ascii="Arial" w:hAnsi="Arial" w:cs="Arial"/>
          <w:b/>
          <w:sz w:val="24"/>
          <w:szCs w:val="24"/>
          <w:u w:val="single"/>
          <w:lang w:val="es-CO"/>
        </w:rPr>
        <w:t>EN FORMA PARCIAL Y OTRAS SIMPLEMENTE INFORMAN QUE NO SE REALIZARON</w:t>
      </w:r>
      <w:r w:rsidRPr="00EC2B63">
        <w:rPr>
          <w:rFonts w:ascii="Arial" w:hAnsi="Arial" w:cs="Arial"/>
          <w:b/>
          <w:sz w:val="24"/>
          <w:szCs w:val="24"/>
          <w:lang w:val="es-CO"/>
        </w:rPr>
        <w:t>.</w:t>
      </w:r>
    </w:p>
    <w:p w14:paraId="3A4F67AF" w14:textId="77777777" w:rsidR="00561B22" w:rsidRDefault="00561B22" w:rsidP="00561B22">
      <w:pPr>
        <w:jc w:val="both"/>
        <w:rPr>
          <w:rFonts w:ascii="Arial" w:hAnsi="Arial" w:cs="Arial"/>
          <w:b/>
          <w:bCs/>
          <w:sz w:val="24"/>
          <w:szCs w:val="24"/>
          <w:lang w:val="es-CO"/>
        </w:rPr>
      </w:pPr>
    </w:p>
    <w:p w14:paraId="134969F6" w14:textId="77777777" w:rsidR="00561B22" w:rsidRPr="009736E9" w:rsidRDefault="00561B22" w:rsidP="00561B22">
      <w:pPr>
        <w:jc w:val="both"/>
        <w:rPr>
          <w:rFonts w:ascii="Arial" w:hAnsi="Arial" w:cs="Arial"/>
          <w:b/>
          <w:sz w:val="28"/>
          <w:szCs w:val="28"/>
          <w:lang w:val="es-MX"/>
        </w:rPr>
      </w:pPr>
      <w:r w:rsidRPr="009736E9">
        <w:rPr>
          <w:rFonts w:ascii="Arial" w:hAnsi="Arial" w:cs="Arial"/>
          <w:b/>
          <w:sz w:val="28"/>
          <w:szCs w:val="28"/>
          <w:lang w:val="es-MX"/>
        </w:rPr>
        <w:t>78.- SOCIEDAD DE ACTIVOS ESPECIALES – S.A.E. S.A.S.</w:t>
      </w:r>
    </w:p>
    <w:p w14:paraId="0272BD7D" w14:textId="77777777" w:rsidR="00561B22" w:rsidRPr="009736E9" w:rsidRDefault="00561B22" w:rsidP="00561B22">
      <w:pPr>
        <w:jc w:val="both"/>
        <w:rPr>
          <w:rFonts w:ascii="Arial" w:hAnsi="Arial" w:cs="Arial"/>
          <w:b/>
          <w:sz w:val="28"/>
          <w:szCs w:val="28"/>
          <w:lang w:val="es-MX"/>
        </w:rPr>
      </w:pPr>
    </w:p>
    <w:p w14:paraId="06DC23F4" w14:textId="77777777" w:rsidR="00561B22" w:rsidRPr="009736E9" w:rsidRDefault="00561B22" w:rsidP="00561B22">
      <w:pPr>
        <w:pStyle w:val="Textoindependiente"/>
        <w:ind w:right="-50"/>
        <w:jc w:val="center"/>
        <w:rPr>
          <w:rFonts w:ascii="Arial" w:hAnsi="Arial" w:cs="Arial"/>
          <w:b/>
          <w:bCs/>
        </w:rPr>
      </w:pPr>
      <w:r w:rsidRPr="009736E9">
        <w:rPr>
          <w:rFonts w:ascii="Arial" w:hAnsi="Arial" w:cs="Arial"/>
          <w:b/>
          <w:bCs/>
        </w:rPr>
        <w:t>INFORME DE LA AUTOCALIFICACIÓN DEL SISTEMA DE CONTROL INTERNO CONTABLE:</w:t>
      </w:r>
    </w:p>
    <w:p w14:paraId="465BFC51" w14:textId="77777777" w:rsidR="00561B22" w:rsidRPr="009736E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736E9" w14:paraId="594EB1AD" w14:textId="77777777" w:rsidTr="00F1223B">
        <w:tc>
          <w:tcPr>
            <w:tcW w:w="4981" w:type="dxa"/>
          </w:tcPr>
          <w:p w14:paraId="51EB947E"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AUTOCALIFICACIÓN</w:t>
            </w:r>
          </w:p>
        </w:tc>
        <w:tc>
          <w:tcPr>
            <w:tcW w:w="4981" w:type="dxa"/>
          </w:tcPr>
          <w:p w14:paraId="55AC97F7" w14:textId="77777777" w:rsidR="00561B22" w:rsidRPr="009736E9" w:rsidRDefault="00561B22" w:rsidP="00F1223B">
            <w:pPr>
              <w:jc w:val="center"/>
              <w:rPr>
                <w:rFonts w:ascii="Arial" w:hAnsi="Arial" w:cs="Arial"/>
                <w:b/>
                <w:sz w:val="22"/>
                <w:szCs w:val="22"/>
                <w:u w:val="single"/>
                <w:lang w:val="es-MX"/>
              </w:rPr>
            </w:pPr>
            <w:r w:rsidRPr="009736E9">
              <w:rPr>
                <w:rFonts w:ascii="Arial" w:hAnsi="Arial" w:cs="Arial"/>
                <w:b/>
                <w:sz w:val="22"/>
                <w:szCs w:val="22"/>
                <w:u w:val="single"/>
                <w:lang w:val="es-MX"/>
              </w:rPr>
              <w:t>3.01</w:t>
            </w:r>
          </w:p>
        </w:tc>
      </w:tr>
    </w:tbl>
    <w:p w14:paraId="3B03169C" w14:textId="77777777" w:rsidR="00561B22" w:rsidRPr="009736E9" w:rsidRDefault="00561B22" w:rsidP="00561B22">
      <w:pPr>
        <w:pStyle w:val="Textoindependiente"/>
        <w:ind w:right="-50"/>
        <w:jc w:val="both"/>
        <w:rPr>
          <w:rFonts w:ascii="Arial" w:hAnsi="Arial" w:cs="Arial"/>
          <w:b/>
          <w:bCs/>
        </w:rPr>
      </w:pPr>
    </w:p>
    <w:p w14:paraId="00873392" w14:textId="77777777" w:rsidR="00561B22" w:rsidRPr="009736E9" w:rsidRDefault="00561B22" w:rsidP="00561B22">
      <w:pPr>
        <w:pStyle w:val="Textoindependiente"/>
        <w:ind w:right="-50"/>
        <w:jc w:val="both"/>
        <w:rPr>
          <w:rFonts w:ascii="Arial" w:hAnsi="Arial" w:cs="Arial"/>
          <w:b/>
          <w:bCs/>
        </w:rPr>
      </w:pPr>
      <w:r w:rsidRPr="009736E9">
        <w:rPr>
          <w:rFonts w:ascii="Arial" w:hAnsi="Arial" w:cs="Arial"/>
          <w:b/>
          <w:bCs/>
        </w:rPr>
        <w:lastRenderedPageBreak/>
        <w:t>Del informe enviado retomamos lo siguiente:</w:t>
      </w:r>
    </w:p>
    <w:p w14:paraId="5DD213CC" w14:textId="77777777" w:rsidR="00561B22" w:rsidRPr="009736E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736E9" w14:paraId="11CD83BB" w14:textId="77777777" w:rsidTr="00F1223B">
        <w:tc>
          <w:tcPr>
            <w:tcW w:w="562" w:type="dxa"/>
          </w:tcPr>
          <w:p w14:paraId="5F4E55F2" w14:textId="77777777" w:rsidR="00561B22" w:rsidRPr="009736E9" w:rsidRDefault="00561B22" w:rsidP="00F1223B">
            <w:pPr>
              <w:ind w:right="-109"/>
              <w:jc w:val="center"/>
              <w:rPr>
                <w:rFonts w:ascii="Arial" w:hAnsi="Arial" w:cs="Arial"/>
                <w:b/>
                <w:sz w:val="22"/>
                <w:szCs w:val="22"/>
                <w:lang w:val="es-MX"/>
              </w:rPr>
            </w:pPr>
            <w:r w:rsidRPr="009736E9">
              <w:rPr>
                <w:rFonts w:ascii="Arial" w:hAnsi="Arial" w:cs="Arial"/>
                <w:b/>
                <w:sz w:val="22"/>
                <w:szCs w:val="22"/>
                <w:lang w:val="es-MX"/>
              </w:rPr>
              <w:t>N°</w:t>
            </w:r>
          </w:p>
        </w:tc>
        <w:tc>
          <w:tcPr>
            <w:tcW w:w="9400" w:type="dxa"/>
          </w:tcPr>
          <w:p w14:paraId="5B440C3D"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DEBILIDADES</w:t>
            </w:r>
          </w:p>
          <w:p w14:paraId="5C966C81" w14:textId="77777777" w:rsidR="00561B22" w:rsidRPr="009736E9" w:rsidRDefault="00561B22" w:rsidP="00F1223B">
            <w:pPr>
              <w:jc w:val="center"/>
              <w:rPr>
                <w:rFonts w:ascii="Arial" w:hAnsi="Arial" w:cs="Arial"/>
                <w:b/>
                <w:sz w:val="22"/>
                <w:szCs w:val="22"/>
                <w:lang w:val="es-MX"/>
              </w:rPr>
            </w:pPr>
          </w:p>
        </w:tc>
      </w:tr>
      <w:tr w:rsidR="00561B22" w:rsidRPr="009736E9" w14:paraId="5A7994D7" w14:textId="77777777" w:rsidTr="00F1223B">
        <w:tc>
          <w:tcPr>
            <w:tcW w:w="562" w:type="dxa"/>
          </w:tcPr>
          <w:p w14:paraId="144361DF"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1</w:t>
            </w:r>
          </w:p>
        </w:tc>
        <w:tc>
          <w:tcPr>
            <w:tcW w:w="9400" w:type="dxa"/>
          </w:tcPr>
          <w:p w14:paraId="780E5FAE" w14:textId="77777777" w:rsidR="00561B22" w:rsidRPr="009736E9" w:rsidRDefault="00561B22" w:rsidP="00F1223B">
            <w:pPr>
              <w:rPr>
                <w:rFonts w:ascii="Arial" w:hAnsi="Arial" w:cs="Arial"/>
                <w:bCs/>
                <w:sz w:val="22"/>
                <w:szCs w:val="22"/>
                <w:lang w:val="es-MX"/>
              </w:rPr>
            </w:pPr>
            <w:r w:rsidRPr="009736E9">
              <w:rPr>
                <w:rFonts w:ascii="Arial" w:hAnsi="Arial" w:cs="Arial"/>
                <w:bCs/>
                <w:sz w:val="22"/>
                <w:szCs w:val="22"/>
                <w:lang w:val="es-MX"/>
              </w:rPr>
              <w:t>El “Manual de Políticas y Procedimientos” se encuentra desactualizado.</w:t>
            </w:r>
          </w:p>
        </w:tc>
      </w:tr>
      <w:tr w:rsidR="00561B22" w:rsidRPr="009736E9" w14:paraId="20B83B32" w14:textId="77777777" w:rsidTr="00F1223B">
        <w:tc>
          <w:tcPr>
            <w:tcW w:w="562" w:type="dxa"/>
          </w:tcPr>
          <w:p w14:paraId="054FD50D"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2</w:t>
            </w:r>
          </w:p>
        </w:tc>
        <w:tc>
          <w:tcPr>
            <w:tcW w:w="9400" w:type="dxa"/>
          </w:tcPr>
          <w:p w14:paraId="62ACF823" w14:textId="77777777" w:rsidR="00561B22" w:rsidRPr="009736E9" w:rsidRDefault="00561B22" w:rsidP="00F1223B">
            <w:pPr>
              <w:rPr>
                <w:rFonts w:ascii="Arial" w:hAnsi="Arial" w:cs="Arial"/>
                <w:bCs/>
                <w:sz w:val="22"/>
                <w:szCs w:val="22"/>
                <w:lang w:val="es-MX"/>
              </w:rPr>
            </w:pPr>
            <w:r w:rsidRPr="009736E9">
              <w:rPr>
                <w:rFonts w:ascii="Arial" w:hAnsi="Arial" w:cs="Arial"/>
                <w:bCs/>
                <w:sz w:val="22"/>
                <w:szCs w:val="22"/>
                <w:lang w:val="es-MX"/>
              </w:rPr>
              <w:t>No se han definido procedimientos ni lineamientos internos que garanticen el cumplimiento de los planes de mejoramiento de la CGR y otras auditorías.</w:t>
            </w:r>
          </w:p>
        </w:tc>
      </w:tr>
      <w:tr w:rsidR="00561B22" w:rsidRPr="009736E9" w14:paraId="61139B2A" w14:textId="77777777" w:rsidTr="00F1223B">
        <w:tc>
          <w:tcPr>
            <w:tcW w:w="562" w:type="dxa"/>
          </w:tcPr>
          <w:p w14:paraId="56C3B6E4"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3</w:t>
            </w:r>
          </w:p>
        </w:tc>
        <w:tc>
          <w:tcPr>
            <w:tcW w:w="9400" w:type="dxa"/>
          </w:tcPr>
          <w:p w14:paraId="2D4C3ED7" w14:textId="77777777" w:rsidR="00561B22" w:rsidRPr="009736E9" w:rsidRDefault="00561B22" w:rsidP="00F1223B">
            <w:pPr>
              <w:rPr>
                <w:rFonts w:ascii="Arial" w:hAnsi="Arial" w:cs="Arial"/>
                <w:bCs/>
                <w:sz w:val="22"/>
                <w:szCs w:val="22"/>
                <w:lang w:val="es-MX"/>
              </w:rPr>
            </w:pPr>
            <w:r w:rsidRPr="009736E9">
              <w:rPr>
                <w:rFonts w:ascii="Arial" w:hAnsi="Arial" w:cs="Arial"/>
                <w:bCs/>
                <w:sz w:val="22"/>
                <w:szCs w:val="22"/>
                <w:lang w:val="es-MX"/>
              </w:rPr>
              <w:t>La política de administración de bienes está desactualizada.</w:t>
            </w:r>
          </w:p>
        </w:tc>
      </w:tr>
      <w:tr w:rsidR="00561B22" w:rsidRPr="009736E9" w14:paraId="2C8BBC0C" w14:textId="77777777" w:rsidTr="00F1223B">
        <w:tc>
          <w:tcPr>
            <w:tcW w:w="562" w:type="dxa"/>
          </w:tcPr>
          <w:p w14:paraId="48348B06"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4</w:t>
            </w:r>
          </w:p>
        </w:tc>
        <w:tc>
          <w:tcPr>
            <w:tcW w:w="9400" w:type="dxa"/>
          </w:tcPr>
          <w:p w14:paraId="22C64D2F" w14:textId="77777777" w:rsidR="00561B22" w:rsidRPr="009736E9" w:rsidRDefault="00561B22" w:rsidP="00F1223B">
            <w:pPr>
              <w:rPr>
                <w:rFonts w:ascii="Arial" w:hAnsi="Arial" w:cs="Arial"/>
                <w:bCs/>
                <w:sz w:val="22"/>
                <w:szCs w:val="22"/>
                <w:lang w:val="es-MX"/>
              </w:rPr>
            </w:pPr>
            <w:r w:rsidRPr="009736E9">
              <w:rPr>
                <w:rFonts w:ascii="Arial" w:hAnsi="Arial" w:cs="Arial"/>
                <w:bCs/>
                <w:sz w:val="22"/>
                <w:szCs w:val="22"/>
                <w:lang w:val="es-MX"/>
              </w:rPr>
              <w:t>El reporte de información financiera se presenta de manera tardía.</w:t>
            </w:r>
          </w:p>
        </w:tc>
      </w:tr>
      <w:tr w:rsidR="00561B22" w:rsidRPr="009736E9" w14:paraId="0767C586" w14:textId="77777777" w:rsidTr="00F1223B">
        <w:tc>
          <w:tcPr>
            <w:tcW w:w="562" w:type="dxa"/>
          </w:tcPr>
          <w:p w14:paraId="07B9E624"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5</w:t>
            </w:r>
          </w:p>
        </w:tc>
        <w:tc>
          <w:tcPr>
            <w:tcW w:w="9400" w:type="dxa"/>
          </w:tcPr>
          <w:p w14:paraId="01BE9506" w14:textId="77777777" w:rsidR="00561B22" w:rsidRPr="009736E9" w:rsidRDefault="00561B22" w:rsidP="00F1223B">
            <w:pPr>
              <w:rPr>
                <w:rFonts w:ascii="Arial" w:hAnsi="Arial" w:cs="Arial"/>
                <w:bCs/>
                <w:sz w:val="22"/>
                <w:szCs w:val="22"/>
                <w:lang w:val="es-MX"/>
              </w:rPr>
            </w:pPr>
            <w:r w:rsidRPr="009736E9">
              <w:rPr>
                <w:rFonts w:ascii="Arial" w:hAnsi="Arial" w:cs="Arial"/>
                <w:bCs/>
                <w:sz w:val="22"/>
                <w:szCs w:val="22"/>
                <w:lang w:val="es-MX"/>
              </w:rPr>
              <w:t>Los procesos de análisis y depuración de las cuentas contables carecen de documentos de soporte y procedimientos establecidos.</w:t>
            </w:r>
          </w:p>
        </w:tc>
      </w:tr>
      <w:tr w:rsidR="00561B22" w:rsidRPr="009736E9" w14:paraId="1F2AAA9B" w14:textId="77777777" w:rsidTr="00F1223B">
        <w:tc>
          <w:tcPr>
            <w:tcW w:w="562" w:type="dxa"/>
          </w:tcPr>
          <w:p w14:paraId="33115DF4"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6</w:t>
            </w:r>
          </w:p>
        </w:tc>
        <w:tc>
          <w:tcPr>
            <w:tcW w:w="9400" w:type="dxa"/>
          </w:tcPr>
          <w:p w14:paraId="3C4E33EC" w14:textId="77777777" w:rsidR="00561B22" w:rsidRPr="009736E9" w:rsidRDefault="00561B22" w:rsidP="00F1223B">
            <w:pPr>
              <w:rPr>
                <w:rFonts w:ascii="Arial" w:hAnsi="Arial" w:cs="Arial"/>
                <w:bCs/>
                <w:sz w:val="22"/>
                <w:szCs w:val="22"/>
                <w:lang w:val="es-MX"/>
              </w:rPr>
            </w:pPr>
            <w:r w:rsidRPr="009736E9">
              <w:rPr>
                <w:rFonts w:ascii="Arial" w:hAnsi="Arial" w:cs="Arial"/>
                <w:bCs/>
                <w:sz w:val="22"/>
                <w:szCs w:val="22"/>
                <w:lang w:val="es-MX"/>
              </w:rPr>
              <w:t>Los indicadores financieros elaborados y analizados deben responder a las necesidades financieras y al cumplimiento de los objetivos estratégicos de la Entidad.</w:t>
            </w:r>
          </w:p>
        </w:tc>
      </w:tr>
    </w:tbl>
    <w:p w14:paraId="42DFD194" w14:textId="77777777" w:rsidR="00561B22" w:rsidRDefault="00561B22" w:rsidP="00561B22">
      <w:pPr>
        <w:pStyle w:val="Textoindependiente"/>
        <w:ind w:right="-50"/>
        <w:jc w:val="both"/>
        <w:rPr>
          <w:rFonts w:ascii="Arial" w:hAnsi="Arial" w:cs="Arial"/>
          <w:b/>
          <w:bCs/>
        </w:rPr>
      </w:pPr>
    </w:p>
    <w:p w14:paraId="1F77E95E" w14:textId="77777777" w:rsidR="00561B22" w:rsidRPr="00FB34C0" w:rsidRDefault="00561B22" w:rsidP="00561B22">
      <w:pPr>
        <w:jc w:val="both"/>
        <w:rPr>
          <w:rFonts w:ascii="Arial" w:eastAsia="Arial" w:hAnsi="Arial" w:cs="Arial"/>
          <w:b/>
          <w:sz w:val="24"/>
          <w:szCs w:val="24"/>
          <w:lang w:val="es-MX"/>
        </w:rPr>
      </w:pPr>
      <w:r w:rsidRPr="00FB34C0">
        <w:rPr>
          <w:rFonts w:ascii="Arial" w:hAnsi="Arial" w:cs="Arial"/>
          <w:b/>
          <w:sz w:val="24"/>
          <w:szCs w:val="24"/>
          <w:lang w:val="es-MX"/>
        </w:rPr>
        <w:t>Del citado informe retomamos las siguientes recomendaciones:</w:t>
      </w:r>
    </w:p>
    <w:p w14:paraId="56408361" w14:textId="77777777" w:rsidR="00561B22" w:rsidRPr="009736E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736E9" w14:paraId="477A0889" w14:textId="77777777" w:rsidTr="00F1223B">
        <w:tc>
          <w:tcPr>
            <w:tcW w:w="562" w:type="dxa"/>
          </w:tcPr>
          <w:p w14:paraId="03FCFDFA" w14:textId="77777777" w:rsidR="00561B22" w:rsidRPr="009736E9" w:rsidRDefault="00561B22" w:rsidP="00F1223B">
            <w:pPr>
              <w:ind w:right="-109"/>
              <w:jc w:val="center"/>
              <w:rPr>
                <w:rFonts w:ascii="Arial" w:hAnsi="Arial" w:cs="Arial"/>
                <w:b/>
                <w:sz w:val="22"/>
                <w:szCs w:val="22"/>
                <w:lang w:val="es-MX"/>
              </w:rPr>
            </w:pPr>
            <w:r w:rsidRPr="009736E9">
              <w:rPr>
                <w:rFonts w:ascii="Arial" w:hAnsi="Arial" w:cs="Arial"/>
                <w:b/>
                <w:sz w:val="22"/>
                <w:szCs w:val="22"/>
                <w:lang w:val="es-MX"/>
              </w:rPr>
              <w:t>N°</w:t>
            </w:r>
          </w:p>
        </w:tc>
        <w:tc>
          <w:tcPr>
            <w:tcW w:w="9400" w:type="dxa"/>
          </w:tcPr>
          <w:p w14:paraId="1BA81C37"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RECOMENDACIONES</w:t>
            </w:r>
          </w:p>
          <w:p w14:paraId="1B4F2CE5" w14:textId="77777777" w:rsidR="00561B22" w:rsidRPr="009736E9" w:rsidRDefault="00561B22" w:rsidP="00F1223B">
            <w:pPr>
              <w:jc w:val="center"/>
              <w:rPr>
                <w:rFonts w:ascii="Arial" w:hAnsi="Arial" w:cs="Arial"/>
                <w:b/>
                <w:sz w:val="22"/>
                <w:szCs w:val="22"/>
                <w:lang w:val="es-MX"/>
              </w:rPr>
            </w:pPr>
          </w:p>
        </w:tc>
      </w:tr>
      <w:tr w:rsidR="00561B22" w:rsidRPr="009736E9" w14:paraId="7752BC3A" w14:textId="77777777" w:rsidTr="00F1223B">
        <w:tc>
          <w:tcPr>
            <w:tcW w:w="562" w:type="dxa"/>
          </w:tcPr>
          <w:p w14:paraId="2FA64437"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1</w:t>
            </w:r>
          </w:p>
        </w:tc>
        <w:tc>
          <w:tcPr>
            <w:tcW w:w="9400" w:type="dxa"/>
          </w:tcPr>
          <w:p w14:paraId="1893C0A8" w14:textId="77777777" w:rsidR="00561B22" w:rsidRPr="009736E9" w:rsidRDefault="00561B22" w:rsidP="00F1223B">
            <w:pPr>
              <w:jc w:val="both"/>
              <w:rPr>
                <w:rFonts w:ascii="Arial" w:hAnsi="Arial" w:cs="Arial"/>
                <w:bCs/>
                <w:sz w:val="22"/>
                <w:szCs w:val="22"/>
                <w:lang w:val="es-MX"/>
              </w:rPr>
            </w:pPr>
            <w:r w:rsidRPr="009736E9">
              <w:rPr>
                <w:rFonts w:ascii="Arial" w:hAnsi="Arial" w:cs="Arial"/>
                <w:bCs/>
                <w:sz w:val="22"/>
                <w:szCs w:val="22"/>
                <w:lang w:val="es-MX"/>
              </w:rPr>
              <w:t>Se recomienda actualizar periódicamente el “Manual de Políticas y Procedimientos”, incorporando las actualizaciones de cuentas, políticas y/o conceptos emitidos por la CGR, entre otros.</w:t>
            </w:r>
          </w:p>
        </w:tc>
      </w:tr>
      <w:tr w:rsidR="00561B22" w:rsidRPr="009736E9" w14:paraId="5FA1D929" w14:textId="77777777" w:rsidTr="00F1223B">
        <w:tc>
          <w:tcPr>
            <w:tcW w:w="562" w:type="dxa"/>
          </w:tcPr>
          <w:p w14:paraId="3C0BFD0C"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2</w:t>
            </w:r>
          </w:p>
        </w:tc>
        <w:tc>
          <w:tcPr>
            <w:tcW w:w="9400" w:type="dxa"/>
          </w:tcPr>
          <w:p w14:paraId="32F7987E" w14:textId="77777777" w:rsidR="00561B22" w:rsidRPr="009736E9" w:rsidRDefault="00561B22" w:rsidP="00F1223B">
            <w:pPr>
              <w:jc w:val="both"/>
              <w:rPr>
                <w:rFonts w:ascii="Arial" w:hAnsi="Arial" w:cs="Arial"/>
                <w:bCs/>
                <w:sz w:val="22"/>
                <w:szCs w:val="22"/>
                <w:lang w:val="es-MX"/>
              </w:rPr>
            </w:pPr>
            <w:r w:rsidRPr="009736E9">
              <w:rPr>
                <w:rFonts w:ascii="Arial" w:hAnsi="Arial" w:cs="Arial"/>
                <w:bCs/>
                <w:sz w:val="22"/>
                <w:szCs w:val="22"/>
                <w:lang w:val="es-MX"/>
              </w:rPr>
              <w:t>Se recomienda a la Dirección Financiera definir procedimientos o lineamientos que establezcan controles preventivos para asegurar el cumplimiento de los planes de mejoramiento de la CGR y otras auditorías. Se propone implementar una “Matriz de Vencimiento de la Cuenta Fiscal” para anticiparse a las fechas de vencimiento de pagos y obligaciones fiscales, evitando sanciones.</w:t>
            </w:r>
          </w:p>
        </w:tc>
      </w:tr>
      <w:tr w:rsidR="00561B22" w:rsidRPr="009736E9" w14:paraId="54D60E17" w14:textId="77777777" w:rsidTr="00F1223B">
        <w:tc>
          <w:tcPr>
            <w:tcW w:w="562" w:type="dxa"/>
          </w:tcPr>
          <w:p w14:paraId="5F14ED5C"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3</w:t>
            </w:r>
          </w:p>
        </w:tc>
        <w:tc>
          <w:tcPr>
            <w:tcW w:w="9400" w:type="dxa"/>
          </w:tcPr>
          <w:p w14:paraId="40E2B8BD" w14:textId="77777777" w:rsidR="00561B22" w:rsidRPr="009736E9" w:rsidRDefault="00561B22" w:rsidP="00F1223B">
            <w:pPr>
              <w:jc w:val="both"/>
              <w:rPr>
                <w:rFonts w:ascii="Arial" w:hAnsi="Arial" w:cs="Arial"/>
                <w:bCs/>
                <w:sz w:val="22"/>
                <w:szCs w:val="22"/>
                <w:lang w:val="es-MX"/>
              </w:rPr>
            </w:pPr>
            <w:r w:rsidRPr="009736E9">
              <w:rPr>
                <w:rFonts w:ascii="Arial" w:hAnsi="Arial" w:cs="Arial"/>
                <w:bCs/>
                <w:sz w:val="22"/>
                <w:szCs w:val="22"/>
                <w:lang w:val="es-MX"/>
              </w:rPr>
              <w:t>Se recomienda continuar y finalizar el proceso de actualización de la política de administración de bienes, fortaleciendo el control preventivo mediante conciliaciones que cuenten con un formato oficializado, incluyendo saldos, soportes y las firmas de ambas áreas.</w:t>
            </w:r>
          </w:p>
        </w:tc>
      </w:tr>
      <w:tr w:rsidR="00561B22" w:rsidRPr="009736E9" w14:paraId="0D876C0F" w14:textId="77777777" w:rsidTr="00F1223B">
        <w:tc>
          <w:tcPr>
            <w:tcW w:w="562" w:type="dxa"/>
          </w:tcPr>
          <w:p w14:paraId="32E7639F"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4</w:t>
            </w:r>
          </w:p>
        </w:tc>
        <w:tc>
          <w:tcPr>
            <w:tcW w:w="9400" w:type="dxa"/>
          </w:tcPr>
          <w:p w14:paraId="71E58760" w14:textId="77777777" w:rsidR="00561B22" w:rsidRPr="009736E9" w:rsidRDefault="00561B22" w:rsidP="00F1223B">
            <w:pPr>
              <w:jc w:val="both"/>
              <w:rPr>
                <w:rFonts w:ascii="Arial" w:hAnsi="Arial" w:cs="Arial"/>
                <w:bCs/>
                <w:sz w:val="22"/>
                <w:szCs w:val="22"/>
                <w:lang w:val="es-MX"/>
              </w:rPr>
            </w:pPr>
            <w:r w:rsidRPr="009736E9">
              <w:rPr>
                <w:rFonts w:ascii="Arial" w:hAnsi="Arial" w:cs="Arial"/>
                <w:bCs/>
                <w:sz w:val="22"/>
                <w:szCs w:val="22"/>
                <w:lang w:val="es-MX"/>
              </w:rPr>
              <w:t>Se recomienda a la Dirección Financiera planificar las actividades del año fiscal mediante un cronograma detallado que incluya cumplimiento normativo, fechas y responsables asignados. Además, se deben contemplar actividades de control y seguimiento que respalden el trabajo del equipo, asegurando una distribución equitativa de las cargas de trabajo y el cumplimiento de las tareas necesarias para la presentación oportuna de la información financiera.</w:t>
            </w:r>
          </w:p>
        </w:tc>
      </w:tr>
      <w:tr w:rsidR="00561B22" w:rsidRPr="009736E9" w14:paraId="39418C84" w14:textId="77777777" w:rsidTr="00F1223B">
        <w:tc>
          <w:tcPr>
            <w:tcW w:w="562" w:type="dxa"/>
          </w:tcPr>
          <w:p w14:paraId="1F492A6E"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5</w:t>
            </w:r>
          </w:p>
        </w:tc>
        <w:tc>
          <w:tcPr>
            <w:tcW w:w="9400" w:type="dxa"/>
          </w:tcPr>
          <w:p w14:paraId="54ED9387" w14:textId="77777777" w:rsidR="00561B22" w:rsidRPr="009736E9" w:rsidRDefault="00561B22" w:rsidP="00F1223B">
            <w:pPr>
              <w:jc w:val="both"/>
              <w:rPr>
                <w:rFonts w:ascii="Arial" w:hAnsi="Arial" w:cs="Arial"/>
                <w:bCs/>
                <w:sz w:val="22"/>
                <w:szCs w:val="22"/>
                <w:lang w:val="es-MX"/>
              </w:rPr>
            </w:pPr>
            <w:r w:rsidRPr="009736E9">
              <w:rPr>
                <w:rFonts w:ascii="Arial" w:hAnsi="Arial" w:cs="Arial"/>
                <w:bCs/>
                <w:sz w:val="22"/>
                <w:szCs w:val="22"/>
                <w:lang w:val="es-MX"/>
              </w:rPr>
              <w:t>Se recomienda a la Entidad fortalecer y documentar los procesos de análisis y depuración de las cuentas contables, asegurando la calidad de la información financiera presentada. Los controles, especialmente las conciliaciones, deben ser oportunos, adecuados y útiles para la toma de decisiones financieras y administrativas sobre los activos, pasivos, gastos e ingresos de la Entidad.</w:t>
            </w:r>
          </w:p>
        </w:tc>
      </w:tr>
      <w:tr w:rsidR="00561B22" w:rsidRPr="009736E9" w14:paraId="2CB0C408" w14:textId="77777777" w:rsidTr="00F1223B">
        <w:tc>
          <w:tcPr>
            <w:tcW w:w="562" w:type="dxa"/>
          </w:tcPr>
          <w:p w14:paraId="22B88211" w14:textId="77777777" w:rsidR="00561B22" w:rsidRPr="009736E9" w:rsidRDefault="00561B22" w:rsidP="00F1223B">
            <w:pPr>
              <w:jc w:val="center"/>
              <w:rPr>
                <w:rFonts w:ascii="Arial" w:hAnsi="Arial" w:cs="Arial"/>
                <w:b/>
                <w:sz w:val="22"/>
                <w:szCs w:val="22"/>
                <w:lang w:val="es-MX"/>
              </w:rPr>
            </w:pPr>
            <w:r w:rsidRPr="009736E9">
              <w:rPr>
                <w:rFonts w:ascii="Arial" w:hAnsi="Arial" w:cs="Arial"/>
                <w:b/>
                <w:sz w:val="22"/>
                <w:szCs w:val="22"/>
                <w:lang w:val="es-MX"/>
              </w:rPr>
              <w:t>6</w:t>
            </w:r>
          </w:p>
        </w:tc>
        <w:tc>
          <w:tcPr>
            <w:tcW w:w="9400" w:type="dxa"/>
          </w:tcPr>
          <w:p w14:paraId="1B627F0D" w14:textId="77777777" w:rsidR="00561B22" w:rsidRPr="009736E9" w:rsidRDefault="00561B22" w:rsidP="00F1223B">
            <w:pPr>
              <w:jc w:val="both"/>
              <w:rPr>
                <w:rFonts w:ascii="Arial" w:hAnsi="Arial" w:cs="Arial"/>
                <w:bCs/>
                <w:sz w:val="22"/>
                <w:szCs w:val="22"/>
                <w:lang w:val="es-MX"/>
              </w:rPr>
            </w:pPr>
            <w:r w:rsidRPr="009736E9">
              <w:rPr>
                <w:rFonts w:ascii="Arial" w:hAnsi="Arial" w:cs="Arial"/>
                <w:bCs/>
                <w:sz w:val="22"/>
                <w:szCs w:val="22"/>
                <w:lang w:val="es-MX"/>
              </w:rPr>
              <w:t>Se recomienda evaluar si los indicadores diseñados para medir la situación financiera cumplen con las necesidades de la Entidad y los objetivos estratégicos, ya que el saldo de los impuestos diferidos es una cuenta relevante dentro del activo y actualmente no está reflejada en los indicadores.</w:t>
            </w:r>
          </w:p>
        </w:tc>
      </w:tr>
    </w:tbl>
    <w:p w14:paraId="145D2420" w14:textId="77777777" w:rsidR="00561B22" w:rsidRPr="009736E9" w:rsidRDefault="00561B22" w:rsidP="00561B22">
      <w:pPr>
        <w:pStyle w:val="Textoindependiente"/>
        <w:ind w:right="-50"/>
        <w:jc w:val="both"/>
        <w:rPr>
          <w:rFonts w:ascii="Arial" w:hAnsi="Arial" w:cs="Arial"/>
          <w:b/>
          <w:bCs/>
          <w:sz w:val="28"/>
          <w:szCs w:val="28"/>
        </w:rPr>
      </w:pPr>
    </w:p>
    <w:p w14:paraId="543FA276" w14:textId="77777777" w:rsidR="00561B22" w:rsidRPr="009736E9" w:rsidRDefault="00561B22" w:rsidP="00561B22">
      <w:pPr>
        <w:jc w:val="both"/>
        <w:rPr>
          <w:rFonts w:ascii="Arial" w:hAnsi="Arial" w:cs="Arial"/>
          <w:b/>
          <w:sz w:val="24"/>
          <w:szCs w:val="24"/>
          <w:lang w:val="es-CO"/>
        </w:rPr>
      </w:pPr>
      <w:r w:rsidRPr="009736E9">
        <w:rPr>
          <w:rFonts w:ascii="Arial" w:hAnsi="Arial" w:cs="Arial"/>
          <w:b/>
          <w:bCs/>
          <w:sz w:val="24"/>
          <w:szCs w:val="24"/>
          <w:lang w:val="es-CO"/>
        </w:rPr>
        <w:t xml:space="preserve">NOTA: </w:t>
      </w:r>
      <w:r w:rsidRPr="009736E9">
        <w:rPr>
          <w:rFonts w:ascii="Arial" w:hAnsi="Arial" w:cs="Arial"/>
          <w:b/>
          <w:sz w:val="24"/>
          <w:szCs w:val="24"/>
          <w:lang w:val="es-CO"/>
        </w:rPr>
        <w:t xml:space="preserve">LA ENTIDAD ENVÍA LA MATRIZ DE AUTOEVALUACIÓN DEL SISTEMA DE CONTROL INTERNO CONTABLE CON ACTIVIDADES DE CONTROL REALIZADAS </w:t>
      </w:r>
      <w:r w:rsidRPr="009736E9">
        <w:rPr>
          <w:rFonts w:ascii="Arial" w:hAnsi="Arial" w:cs="Arial"/>
          <w:b/>
          <w:sz w:val="24"/>
          <w:szCs w:val="24"/>
          <w:u w:val="single"/>
          <w:lang w:val="es-CO"/>
        </w:rPr>
        <w:t>EN FORMA PARCIAL Y OTRAS SIMPLEMENTE INFORMAN QUE NO SE REALIZARON</w:t>
      </w:r>
      <w:r w:rsidRPr="009736E9">
        <w:rPr>
          <w:rFonts w:ascii="Arial" w:hAnsi="Arial" w:cs="Arial"/>
          <w:b/>
          <w:sz w:val="24"/>
          <w:szCs w:val="24"/>
          <w:lang w:val="es-CO"/>
        </w:rPr>
        <w:t>.</w:t>
      </w:r>
    </w:p>
    <w:p w14:paraId="2848639B" w14:textId="77777777" w:rsidR="00561B22" w:rsidRPr="009736E9" w:rsidRDefault="00561B22" w:rsidP="00561B22">
      <w:pPr>
        <w:ind w:left="720" w:hanging="720"/>
        <w:jc w:val="both"/>
        <w:rPr>
          <w:rFonts w:ascii="Arial" w:hAnsi="Arial" w:cs="Arial"/>
          <w:b/>
          <w:bCs/>
          <w:sz w:val="24"/>
          <w:szCs w:val="24"/>
          <w:lang w:val="es-CO"/>
        </w:rPr>
      </w:pPr>
    </w:p>
    <w:p w14:paraId="7C2209DF" w14:textId="77777777" w:rsidR="00561B22" w:rsidRPr="00BE7952" w:rsidRDefault="00561B22" w:rsidP="00561B22">
      <w:pPr>
        <w:jc w:val="both"/>
        <w:rPr>
          <w:rFonts w:ascii="Arial" w:hAnsi="Arial" w:cs="Arial"/>
          <w:b/>
          <w:sz w:val="28"/>
          <w:szCs w:val="28"/>
          <w:lang w:val="es-MX"/>
        </w:rPr>
      </w:pPr>
      <w:bookmarkStart w:id="64" w:name="_Hlk198037417"/>
      <w:r w:rsidRPr="00BE7952">
        <w:rPr>
          <w:rFonts w:ascii="Arial" w:hAnsi="Arial" w:cs="Arial"/>
          <w:b/>
          <w:sz w:val="28"/>
          <w:szCs w:val="28"/>
          <w:lang w:val="es-MX"/>
        </w:rPr>
        <w:t>79.- MINISTERIO DEL DEPORTE.</w:t>
      </w:r>
    </w:p>
    <w:bookmarkEnd w:id="64"/>
    <w:p w14:paraId="40E1A4AD" w14:textId="77777777" w:rsidR="00561B22" w:rsidRDefault="00561B22" w:rsidP="00561B22">
      <w:pPr>
        <w:jc w:val="both"/>
        <w:rPr>
          <w:b/>
          <w:sz w:val="28"/>
          <w:szCs w:val="28"/>
          <w:lang w:val="es-MX"/>
        </w:rPr>
      </w:pPr>
    </w:p>
    <w:p w14:paraId="2B7753A5" w14:textId="77777777" w:rsidR="00561B22" w:rsidRPr="00BE7952" w:rsidRDefault="00561B22" w:rsidP="00561B22">
      <w:pPr>
        <w:pStyle w:val="Textoindependiente"/>
        <w:ind w:right="-50"/>
        <w:jc w:val="both"/>
        <w:rPr>
          <w:rFonts w:ascii="Arial" w:hAnsi="Arial" w:cs="Arial"/>
          <w:b/>
          <w:bCs/>
        </w:rPr>
      </w:pPr>
      <w:r w:rsidRPr="00BE7952">
        <w:rPr>
          <w:rFonts w:ascii="Arial" w:hAnsi="Arial" w:cs="Arial"/>
          <w:b/>
          <w:bCs/>
        </w:rPr>
        <w:t>INFORME DE LA AUTOCALIFICACIÓN DEL SISTEMA DE CONTROL INTERNO CONTABLE:</w:t>
      </w:r>
    </w:p>
    <w:p w14:paraId="1BD0AFC5" w14:textId="77777777" w:rsidR="00561B22" w:rsidRPr="00BE795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E7952" w14:paraId="613313B3" w14:textId="77777777" w:rsidTr="00F1223B">
        <w:tc>
          <w:tcPr>
            <w:tcW w:w="4981" w:type="dxa"/>
          </w:tcPr>
          <w:p w14:paraId="2FF3CF57"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AUTOCALIFICACIÓN</w:t>
            </w:r>
          </w:p>
        </w:tc>
        <w:tc>
          <w:tcPr>
            <w:tcW w:w="4981" w:type="dxa"/>
          </w:tcPr>
          <w:p w14:paraId="37660DFA" w14:textId="77777777" w:rsidR="00561B22" w:rsidRPr="00BE7952" w:rsidRDefault="00561B22" w:rsidP="00F1223B">
            <w:pPr>
              <w:jc w:val="center"/>
              <w:rPr>
                <w:rFonts w:ascii="Arial" w:hAnsi="Arial" w:cs="Arial"/>
                <w:b/>
                <w:sz w:val="22"/>
                <w:szCs w:val="22"/>
                <w:u w:val="single"/>
                <w:lang w:val="es-MX"/>
              </w:rPr>
            </w:pPr>
            <w:r w:rsidRPr="00BE7952">
              <w:rPr>
                <w:rFonts w:ascii="Arial" w:hAnsi="Arial" w:cs="Arial"/>
                <w:b/>
                <w:sz w:val="22"/>
                <w:szCs w:val="22"/>
                <w:u w:val="single"/>
                <w:lang w:val="es-MX"/>
              </w:rPr>
              <w:t>4.69</w:t>
            </w:r>
          </w:p>
        </w:tc>
      </w:tr>
    </w:tbl>
    <w:p w14:paraId="7F8798BC" w14:textId="77777777" w:rsidR="00561B22" w:rsidRPr="00BE7952" w:rsidRDefault="00561B22" w:rsidP="00561B22">
      <w:pPr>
        <w:pStyle w:val="Textoindependiente"/>
        <w:ind w:right="-50"/>
        <w:jc w:val="both"/>
        <w:rPr>
          <w:rFonts w:ascii="Arial" w:hAnsi="Arial" w:cs="Arial"/>
          <w:b/>
          <w:bCs/>
        </w:rPr>
      </w:pPr>
    </w:p>
    <w:p w14:paraId="0FFB54EB" w14:textId="77777777" w:rsidR="00561B22" w:rsidRPr="00BE7952" w:rsidRDefault="00561B22" w:rsidP="00561B22">
      <w:pPr>
        <w:pStyle w:val="Textoindependiente"/>
        <w:ind w:right="-50"/>
        <w:jc w:val="both"/>
        <w:rPr>
          <w:rFonts w:ascii="Arial" w:hAnsi="Arial" w:cs="Arial"/>
          <w:b/>
          <w:bCs/>
        </w:rPr>
      </w:pPr>
      <w:r w:rsidRPr="00BE7952">
        <w:rPr>
          <w:rFonts w:ascii="Arial" w:hAnsi="Arial" w:cs="Arial"/>
          <w:b/>
          <w:bCs/>
        </w:rPr>
        <w:t>Del informe enviado retomamos lo siguiente:</w:t>
      </w:r>
    </w:p>
    <w:p w14:paraId="37F56F26" w14:textId="77777777" w:rsidR="00561B22" w:rsidRPr="00BE795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E7952" w14:paraId="49707A55" w14:textId="77777777" w:rsidTr="00F1223B">
        <w:tc>
          <w:tcPr>
            <w:tcW w:w="562" w:type="dxa"/>
          </w:tcPr>
          <w:p w14:paraId="5DB5CBFC" w14:textId="77777777" w:rsidR="00561B22" w:rsidRPr="00BE7952" w:rsidRDefault="00561B22" w:rsidP="00F1223B">
            <w:pPr>
              <w:ind w:right="-109"/>
              <w:jc w:val="center"/>
              <w:rPr>
                <w:rFonts w:ascii="Arial" w:hAnsi="Arial" w:cs="Arial"/>
                <w:b/>
                <w:sz w:val="22"/>
                <w:szCs w:val="22"/>
                <w:lang w:val="es-MX"/>
              </w:rPr>
            </w:pPr>
            <w:r w:rsidRPr="00BE7952">
              <w:rPr>
                <w:rFonts w:ascii="Arial" w:hAnsi="Arial" w:cs="Arial"/>
                <w:b/>
                <w:sz w:val="22"/>
                <w:szCs w:val="22"/>
                <w:lang w:val="es-MX"/>
              </w:rPr>
              <w:t>N°</w:t>
            </w:r>
          </w:p>
        </w:tc>
        <w:tc>
          <w:tcPr>
            <w:tcW w:w="9400" w:type="dxa"/>
          </w:tcPr>
          <w:p w14:paraId="225F71D1"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DEBILIDADES</w:t>
            </w:r>
          </w:p>
          <w:p w14:paraId="429E2EA6" w14:textId="77777777" w:rsidR="00561B22" w:rsidRPr="00BE7952" w:rsidRDefault="00561B22" w:rsidP="00F1223B">
            <w:pPr>
              <w:jc w:val="center"/>
              <w:rPr>
                <w:rFonts w:ascii="Arial" w:hAnsi="Arial" w:cs="Arial"/>
                <w:b/>
                <w:sz w:val="22"/>
                <w:szCs w:val="22"/>
                <w:lang w:val="es-MX"/>
              </w:rPr>
            </w:pPr>
          </w:p>
        </w:tc>
      </w:tr>
      <w:tr w:rsidR="00561B22" w:rsidRPr="00BE7952" w14:paraId="0805EFFA" w14:textId="77777777" w:rsidTr="00F1223B">
        <w:tc>
          <w:tcPr>
            <w:tcW w:w="562" w:type="dxa"/>
          </w:tcPr>
          <w:p w14:paraId="7B11FB86"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1</w:t>
            </w:r>
          </w:p>
        </w:tc>
        <w:tc>
          <w:tcPr>
            <w:tcW w:w="9400" w:type="dxa"/>
          </w:tcPr>
          <w:p w14:paraId="7BEB2C0D" w14:textId="77777777" w:rsidR="00561B22" w:rsidRPr="00BE7952" w:rsidRDefault="00561B22" w:rsidP="00F1223B">
            <w:pPr>
              <w:widowControl/>
              <w:autoSpaceDE/>
              <w:autoSpaceDN/>
              <w:spacing w:after="200"/>
              <w:contextualSpacing/>
              <w:jc w:val="both"/>
              <w:rPr>
                <w:rFonts w:ascii="Arial" w:hAnsi="Arial" w:cs="Arial"/>
                <w:sz w:val="22"/>
                <w:szCs w:val="22"/>
                <w:lang w:val="es-MX"/>
              </w:rPr>
            </w:pPr>
            <w:r w:rsidRPr="00BE7952">
              <w:rPr>
                <w:rFonts w:ascii="Arial" w:hAnsi="Arial" w:cs="Arial"/>
                <w:sz w:val="22"/>
                <w:szCs w:val="22"/>
                <w:lang w:val="es-MX"/>
              </w:rPr>
              <w:t>No ha sido publicada la actualización de las políticas contables números 001 a la 006 en la página Web institucional.</w:t>
            </w:r>
          </w:p>
        </w:tc>
      </w:tr>
      <w:tr w:rsidR="00561B22" w:rsidRPr="00BE7952" w14:paraId="46BDDAF5" w14:textId="77777777" w:rsidTr="00F1223B">
        <w:tc>
          <w:tcPr>
            <w:tcW w:w="562" w:type="dxa"/>
          </w:tcPr>
          <w:p w14:paraId="66D40A08"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2</w:t>
            </w:r>
          </w:p>
        </w:tc>
        <w:tc>
          <w:tcPr>
            <w:tcW w:w="9400" w:type="dxa"/>
          </w:tcPr>
          <w:p w14:paraId="6F91C84B" w14:textId="77777777" w:rsidR="00561B22" w:rsidRPr="00BE7952" w:rsidRDefault="00561B22" w:rsidP="00F1223B">
            <w:pPr>
              <w:widowControl/>
              <w:autoSpaceDE/>
              <w:autoSpaceDN/>
              <w:spacing w:after="200"/>
              <w:contextualSpacing/>
              <w:jc w:val="both"/>
              <w:rPr>
                <w:rFonts w:ascii="Arial" w:hAnsi="Arial" w:cs="Arial"/>
                <w:sz w:val="22"/>
                <w:szCs w:val="22"/>
                <w:lang w:val="es-MX"/>
              </w:rPr>
            </w:pPr>
            <w:r w:rsidRPr="00BE7952">
              <w:rPr>
                <w:rFonts w:ascii="Arial" w:hAnsi="Arial" w:cs="Arial"/>
                <w:sz w:val="22"/>
                <w:szCs w:val="22"/>
                <w:lang w:val="es-MX"/>
              </w:rPr>
              <w:t>No se evidenciaron actas suscritas frente a la toma física de inventario a corte 31-dic-2024, y no se evidenció la realización de inventario del 16.11% de los bienes.</w:t>
            </w:r>
          </w:p>
        </w:tc>
      </w:tr>
      <w:tr w:rsidR="00561B22" w:rsidRPr="00BE7952" w14:paraId="35781C80" w14:textId="77777777" w:rsidTr="00F1223B">
        <w:tc>
          <w:tcPr>
            <w:tcW w:w="562" w:type="dxa"/>
          </w:tcPr>
          <w:p w14:paraId="7C85D0A0"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3</w:t>
            </w:r>
          </w:p>
        </w:tc>
        <w:tc>
          <w:tcPr>
            <w:tcW w:w="9400" w:type="dxa"/>
          </w:tcPr>
          <w:p w14:paraId="34A19258" w14:textId="77777777" w:rsidR="00561B22" w:rsidRPr="00BE7952" w:rsidRDefault="00561B22" w:rsidP="00F1223B">
            <w:pPr>
              <w:widowControl/>
              <w:autoSpaceDE/>
              <w:autoSpaceDN/>
              <w:spacing w:after="200"/>
              <w:contextualSpacing/>
              <w:jc w:val="both"/>
              <w:rPr>
                <w:rFonts w:ascii="Arial" w:hAnsi="Arial" w:cs="Arial"/>
                <w:sz w:val="22"/>
                <w:szCs w:val="22"/>
                <w:lang w:val="es-MX"/>
              </w:rPr>
            </w:pPr>
            <w:r w:rsidRPr="00BE7952">
              <w:rPr>
                <w:rFonts w:ascii="Arial" w:hAnsi="Arial" w:cs="Arial"/>
                <w:sz w:val="22"/>
                <w:szCs w:val="22"/>
                <w:lang w:val="es-MX"/>
              </w:rPr>
              <w:t>No fue posible verificar la totalidad de información mediante la técnica de muestreo, debido a que la contratación del personal que apoya las actividades de evaluación no fue oportuna para la presente vigencia.</w:t>
            </w:r>
          </w:p>
        </w:tc>
      </w:tr>
      <w:tr w:rsidR="00561B22" w:rsidRPr="00BE7952" w14:paraId="3730AE2A" w14:textId="77777777" w:rsidTr="00F1223B">
        <w:tc>
          <w:tcPr>
            <w:tcW w:w="562" w:type="dxa"/>
          </w:tcPr>
          <w:p w14:paraId="5BEA2EDE"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4</w:t>
            </w:r>
          </w:p>
        </w:tc>
        <w:tc>
          <w:tcPr>
            <w:tcW w:w="9400" w:type="dxa"/>
          </w:tcPr>
          <w:p w14:paraId="4214E8B8" w14:textId="77777777" w:rsidR="00561B22" w:rsidRPr="00BE7952" w:rsidRDefault="00561B22" w:rsidP="00F1223B">
            <w:pPr>
              <w:widowControl/>
              <w:autoSpaceDE/>
              <w:autoSpaceDN/>
              <w:spacing w:after="200"/>
              <w:contextualSpacing/>
              <w:jc w:val="both"/>
              <w:rPr>
                <w:rFonts w:ascii="Arial" w:hAnsi="Arial" w:cs="Arial"/>
                <w:sz w:val="22"/>
                <w:szCs w:val="22"/>
                <w:lang w:val="es-MX"/>
              </w:rPr>
            </w:pPr>
            <w:r w:rsidRPr="00BE7952">
              <w:rPr>
                <w:rFonts w:ascii="Arial" w:hAnsi="Arial" w:cs="Arial"/>
                <w:sz w:val="22"/>
                <w:szCs w:val="22"/>
                <w:lang w:val="es-MX"/>
              </w:rPr>
              <w:t>Se observó que los reportes del aplicativo que administra los inventarios: No tiene identificada la procedencia, no contiene un encabezado, no presenta las fechas de corte ni de generación de la información, no presenta el total de la suma las cifras, no refleja el usuario que registro la información, como tampoco el usuario que lo genera.</w:t>
            </w:r>
          </w:p>
        </w:tc>
      </w:tr>
      <w:tr w:rsidR="00561B22" w:rsidRPr="00BE7952" w14:paraId="78973960" w14:textId="77777777" w:rsidTr="00F1223B">
        <w:tc>
          <w:tcPr>
            <w:tcW w:w="562" w:type="dxa"/>
          </w:tcPr>
          <w:p w14:paraId="61965A7F"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5</w:t>
            </w:r>
          </w:p>
        </w:tc>
        <w:tc>
          <w:tcPr>
            <w:tcW w:w="9400" w:type="dxa"/>
          </w:tcPr>
          <w:p w14:paraId="601AA0C9" w14:textId="77777777" w:rsidR="00561B22" w:rsidRPr="00BE7952" w:rsidRDefault="00561B22" w:rsidP="00F1223B">
            <w:pPr>
              <w:widowControl/>
              <w:autoSpaceDE/>
              <w:autoSpaceDN/>
              <w:spacing w:after="200"/>
              <w:contextualSpacing/>
              <w:jc w:val="both"/>
              <w:rPr>
                <w:rFonts w:ascii="Arial" w:hAnsi="Arial" w:cs="Arial"/>
                <w:sz w:val="22"/>
                <w:szCs w:val="22"/>
                <w:lang w:val="es-MX"/>
              </w:rPr>
            </w:pPr>
            <w:r w:rsidRPr="00BE7952">
              <w:rPr>
                <w:rFonts w:ascii="Arial" w:hAnsi="Arial" w:cs="Arial"/>
                <w:sz w:val="22"/>
                <w:szCs w:val="22"/>
                <w:lang w:val="es-MX"/>
              </w:rPr>
              <w:t>A la fecha de elaboración de la evaluación del Control Interno Contable del año 2024, no se evidenció el juego completo de los Estados Financieros, aspecto que impidió realizar la conclusión frente a la revelación de la información contable.</w:t>
            </w:r>
          </w:p>
        </w:tc>
      </w:tr>
      <w:tr w:rsidR="00561B22" w:rsidRPr="00BE7952" w14:paraId="21408FE6" w14:textId="77777777" w:rsidTr="00F1223B">
        <w:tc>
          <w:tcPr>
            <w:tcW w:w="562" w:type="dxa"/>
          </w:tcPr>
          <w:p w14:paraId="5C810977"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6</w:t>
            </w:r>
          </w:p>
        </w:tc>
        <w:tc>
          <w:tcPr>
            <w:tcW w:w="9400" w:type="dxa"/>
          </w:tcPr>
          <w:p w14:paraId="5D550228" w14:textId="77777777" w:rsidR="00561B22" w:rsidRPr="00BE7952" w:rsidRDefault="00561B22" w:rsidP="00F1223B">
            <w:pPr>
              <w:widowControl/>
              <w:autoSpaceDE/>
              <w:autoSpaceDN/>
              <w:spacing w:after="200"/>
              <w:contextualSpacing/>
              <w:jc w:val="both"/>
              <w:rPr>
                <w:rFonts w:ascii="Arial" w:hAnsi="Arial" w:cs="Arial"/>
                <w:sz w:val="22"/>
                <w:szCs w:val="22"/>
                <w:lang w:val="es-MX"/>
              </w:rPr>
            </w:pPr>
            <w:r w:rsidRPr="00BE7952">
              <w:rPr>
                <w:rFonts w:ascii="Arial" w:hAnsi="Arial" w:cs="Arial"/>
                <w:sz w:val="22"/>
                <w:szCs w:val="22"/>
                <w:lang w:val="es-MX"/>
              </w:rPr>
              <w:t>En la audiencia de rendición de cuentas efectuada en la vigencia 2024, no se presentaron reportes de estados financieros.</w:t>
            </w:r>
          </w:p>
        </w:tc>
      </w:tr>
      <w:tr w:rsidR="00561B22" w:rsidRPr="00BE7952" w14:paraId="1A40F8C4" w14:textId="77777777" w:rsidTr="00F1223B">
        <w:tc>
          <w:tcPr>
            <w:tcW w:w="562" w:type="dxa"/>
          </w:tcPr>
          <w:p w14:paraId="44DD3C74"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7</w:t>
            </w:r>
          </w:p>
        </w:tc>
        <w:tc>
          <w:tcPr>
            <w:tcW w:w="9400" w:type="dxa"/>
          </w:tcPr>
          <w:p w14:paraId="7664F612" w14:textId="77777777" w:rsidR="00561B22" w:rsidRPr="00BE7952" w:rsidRDefault="00561B22" w:rsidP="00F1223B">
            <w:pPr>
              <w:widowControl/>
              <w:autoSpaceDE/>
              <w:autoSpaceDN/>
              <w:spacing w:after="200" w:line="276" w:lineRule="auto"/>
              <w:contextualSpacing/>
              <w:jc w:val="both"/>
              <w:rPr>
                <w:rFonts w:ascii="Arial" w:hAnsi="Arial" w:cs="Arial"/>
                <w:sz w:val="22"/>
                <w:szCs w:val="22"/>
                <w:lang w:val="es-MX"/>
              </w:rPr>
            </w:pPr>
            <w:r w:rsidRPr="00BE7952">
              <w:rPr>
                <w:rFonts w:ascii="Arial" w:hAnsi="Arial" w:cs="Arial"/>
                <w:sz w:val="22"/>
                <w:szCs w:val="22"/>
                <w:lang w:val="es-MX"/>
              </w:rPr>
              <w:t>Se evidenció que el informe de Plan Institucional de Capacitación del año 2024, no incluyó la realización de capacitación al proceso financiero, pese a que en la propuesta se observó la inclusión de la temática: Gestión financiera y presupuestal (Manejo contable, actualización tributaria, presupuesto).</w:t>
            </w:r>
          </w:p>
        </w:tc>
      </w:tr>
      <w:tr w:rsidR="00561B22" w:rsidRPr="00BE7952" w14:paraId="32032851" w14:textId="77777777" w:rsidTr="00F1223B">
        <w:tc>
          <w:tcPr>
            <w:tcW w:w="562" w:type="dxa"/>
          </w:tcPr>
          <w:p w14:paraId="49944427"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8</w:t>
            </w:r>
          </w:p>
        </w:tc>
        <w:tc>
          <w:tcPr>
            <w:tcW w:w="9400" w:type="dxa"/>
          </w:tcPr>
          <w:p w14:paraId="58077AE9" w14:textId="77777777" w:rsidR="00561B22" w:rsidRPr="00BE7952" w:rsidRDefault="00561B22" w:rsidP="00F1223B">
            <w:pPr>
              <w:widowControl/>
              <w:autoSpaceDE/>
              <w:autoSpaceDN/>
              <w:spacing w:after="200"/>
              <w:contextualSpacing/>
              <w:rPr>
                <w:rFonts w:ascii="Arial" w:hAnsi="Arial" w:cs="Arial"/>
                <w:sz w:val="22"/>
                <w:szCs w:val="22"/>
                <w:lang w:val="es-MX"/>
              </w:rPr>
            </w:pPr>
            <w:r w:rsidRPr="00BE7952">
              <w:rPr>
                <w:rFonts w:ascii="Arial" w:hAnsi="Arial" w:cs="Arial"/>
                <w:sz w:val="22"/>
                <w:szCs w:val="22"/>
              </w:rPr>
              <w:t>El plazo para reporte del Control Interno Contable y la finalización de actividades del proceso contable son simultaneas, dicho aspecto dificulta realizar la verificación en conjunto frente a la totalidad de revelaciones.</w:t>
            </w:r>
          </w:p>
        </w:tc>
      </w:tr>
    </w:tbl>
    <w:p w14:paraId="3E2E85F1" w14:textId="77777777" w:rsidR="00561B22" w:rsidRPr="00BE7952" w:rsidRDefault="00561B22" w:rsidP="00561B22">
      <w:pPr>
        <w:pStyle w:val="Textoindependiente"/>
        <w:ind w:right="-50"/>
        <w:jc w:val="both"/>
        <w:rPr>
          <w:rFonts w:ascii="Arial" w:hAnsi="Arial" w:cs="Arial"/>
          <w:b/>
          <w:bCs/>
        </w:rPr>
      </w:pPr>
    </w:p>
    <w:p w14:paraId="19D53237" w14:textId="77777777" w:rsidR="00561B22" w:rsidRPr="00BE7952" w:rsidRDefault="00561B22" w:rsidP="00561B22">
      <w:pPr>
        <w:jc w:val="both"/>
        <w:rPr>
          <w:rFonts w:ascii="Arial" w:hAnsi="Arial" w:cs="Arial"/>
          <w:b/>
          <w:lang w:val="es-MX"/>
        </w:rPr>
      </w:pPr>
      <w:r w:rsidRPr="00BE7952">
        <w:rPr>
          <w:rFonts w:ascii="Arial" w:hAnsi="Arial" w:cs="Arial"/>
          <w:b/>
          <w:lang w:val="es-MX"/>
        </w:rPr>
        <w:t>Del citado informe retomamos las siguientes recomendaciones:</w:t>
      </w:r>
    </w:p>
    <w:p w14:paraId="22F41C48" w14:textId="77777777" w:rsidR="00561B22" w:rsidRPr="00BE7952" w:rsidRDefault="00561B22" w:rsidP="00561B22">
      <w:pPr>
        <w:pStyle w:val="Textoindependiente"/>
        <w:ind w:right="-50"/>
        <w:jc w:val="both"/>
        <w:rPr>
          <w:rFonts w:ascii="Arial" w:hAnsi="Arial" w:cs="Arial"/>
          <w:b/>
          <w:bCs/>
        </w:rPr>
      </w:pPr>
    </w:p>
    <w:tbl>
      <w:tblPr>
        <w:tblStyle w:val="Tablaconcuadrcula"/>
        <w:tblW w:w="0" w:type="auto"/>
        <w:tblInd w:w="-5" w:type="dxa"/>
        <w:tblLook w:val="04A0" w:firstRow="1" w:lastRow="0" w:firstColumn="1" w:lastColumn="0" w:noHBand="0" w:noVBand="1"/>
      </w:tblPr>
      <w:tblGrid>
        <w:gridCol w:w="567"/>
        <w:gridCol w:w="9400"/>
      </w:tblGrid>
      <w:tr w:rsidR="00561B22" w:rsidRPr="00BE7952" w14:paraId="4AB40D47" w14:textId="77777777" w:rsidTr="00F1223B">
        <w:tc>
          <w:tcPr>
            <w:tcW w:w="567" w:type="dxa"/>
          </w:tcPr>
          <w:p w14:paraId="09EDC7C2" w14:textId="77777777" w:rsidR="00561B22" w:rsidRPr="00BE7952" w:rsidRDefault="00561B22" w:rsidP="00F1223B">
            <w:pPr>
              <w:ind w:right="-109"/>
              <w:jc w:val="center"/>
              <w:rPr>
                <w:rFonts w:ascii="Arial" w:hAnsi="Arial" w:cs="Arial"/>
                <w:b/>
                <w:sz w:val="22"/>
                <w:szCs w:val="22"/>
                <w:lang w:val="es-MX"/>
              </w:rPr>
            </w:pPr>
            <w:r w:rsidRPr="00BE7952">
              <w:rPr>
                <w:rFonts w:ascii="Arial" w:hAnsi="Arial" w:cs="Arial"/>
                <w:b/>
                <w:sz w:val="22"/>
                <w:szCs w:val="22"/>
                <w:lang w:val="es-MX"/>
              </w:rPr>
              <w:t>N°</w:t>
            </w:r>
          </w:p>
        </w:tc>
        <w:tc>
          <w:tcPr>
            <w:tcW w:w="9400" w:type="dxa"/>
          </w:tcPr>
          <w:p w14:paraId="0215098A"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RECOMENDACIONES</w:t>
            </w:r>
          </w:p>
          <w:p w14:paraId="7C1B9F1D" w14:textId="77777777" w:rsidR="00561B22" w:rsidRPr="00BE7952" w:rsidRDefault="00561B22" w:rsidP="00F1223B">
            <w:pPr>
              <w:jc w:val="center"/>
              <w:rPr>
                <w:rFonts w:ascii="Arial" w:hAnsi="Arial" w:cs="Arial"/>
                <w:b/>
                <w:sz w:val="22"/>
                <w:szCs w:val="22"/>
                <w:lang w:val="es-MX"/>
              </w:rPr>
            </w:pPr>
          </w:p>
        </w:tc>
      </w:tr>
      <w:tr w:rsidR="00561B22" w:rsidRPr="00BE7952" w14:paraId="6A535D7B" w14:textId="77777777" w:rsidTr="00F1223B">
        <w:tc>
          <w:tcPr>
            <w:tcW w:w="567" w:type="dxa"/>
          </w:tcPr>
          <w:p w14:paraId="786E435E"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1</w:t>
            </w:r>
          </w:p>
        </w:tc>
        <w:tc>
          <w:tcPr>
            <w:tcW w:w="9400" w:type="dxa"/>
          </w:tcPr>
          <w:p w14:paraId="391B608A"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Realizar la publicación de la actualización de las políticas contables 001 a 006 en la página Web institucional.</w:t>
            </w:r>
          </w:p>
        </w:tc>
      </w:tr>
      <w:tr w:rsidR="00561B22" w:rsidRPr="00BE7952" w14:paraId="2387EF14" w14:textId="77777777" w:rsidTr="00F1223B">
        <w:tc>
          <w:tcPr>
            <w:tcW w:w="567" w:type="dxa"/>
          </w:tcPr>
          <w:p w14:paraId="1B361F3D"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2</w:t>
            </w:r>
          </w:p>
        </w:tc>
        <w:tc>
          <w:tcPr>
            <w:tcW w:w="9400" w:type="dxa"/>
          </w:tcPr>
          <w:p w14:paraId="06591BB0"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Se sugiere formular el lineamiento que permita identificar controles internos frente a la responsabilidad de los procesos para el reporte de información al GIT Gestión Contable, en el que se establezcan los plazos para envío de información oportuna relacionada con las actividades del proceso, para fortalecer el registro de hechos económicos, con indicación frente a los soportes idóneos que sustentan los mismos, generando el conocimiento explícito y tácito, y evitar la fuga del conocimiento.</w:t>
            </w:r>
          </w:p>
        </w:tc>
      </w:tr>
      <w:tr w:rsidR="00561B22" w:rsidRPr="00BE7952" w14:paraId="737669EF" w14:textId="77777777" w:rsidTr="00F1223B">
        <w:tc>
          <w:tcPr>
            <w:tcW w:w="567" w:type="dxa"/>
          </w:tcPr>
          <w:p w14:paraId="30EB9853"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3</w:t>
            </w:r>
          </w:p>
        </w:tc>
        <w:tc>
          <w:tcPr>
            <w:tcW w:w="9400" w:type="dxa"/>
          </w:tcPr>
          <w:p w14:paraId="593F7B9F"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Aplicar el instrumento de evaluación del control interno contable, con el propósito de autoevaluar y autocontrolar las actividades, en pro del mejoramiento continuo del proceso contable.</w:t>
            </w:r>
          </w:p>
        </w:tc>
      </w:tr>
      <w:tr w:rsidR="00561B22" w:rsidRPr="00BE7952" w14:paraId="65D31EB3" w14:textId="77777777" w:rsidTr="00F1223B">
        <w:tc>
          <w:tcPr>
            <w:tcW w:w="567" w:type="dxa"/>
          </w:tcPr>
          <w:p w14:paraId="20CAFA99"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4</w:t>
            </w:r>
          </w:p>
        </w:tc>
        <w:tc>
          <w:tcPr>
            <w:tcW w:w="9400" w:type="dxa"/>
          </w:tcPr>
          <w:p w14:paraId="25FC9454"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Generar autoevaluaciones que permitan la mejora continua de la ejecución de actividades por parte del personal involucrado el proceso contable.</w:t>
            </w:r>
          </w:p>
        </w:tc>
      </w:tr>
      <w:tr w:rsidR="00561B22" w:rsidRPr="00BE7952" w14:paraId="060ECEC8" w14:textId="77777777" w:rsidTr="00F1223B">
        <w:tc>
          <w:tcPr>
            <w:tcW w:w="567" w:type="dxa"/>
          </w:tcPr>
          <w:p w14:paraId="6F4D9E1A"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5</w:t>
            </w:r>
          </w:p>
        </w:tc>
        <w:tc>
          <w:tcPr>
            <w:tcW w:w="9400" w:type="dxa"/>
          </w:tcPr>
          <w:p w14:paraId="0FB74CED"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Fortalecer la oportunidad en la legalización de comisiones y viáticos, evitando cúmulo de información, en especial para el último trimestre de cada vigencia.</w:t>
            </w:r>
          </w:p>
        </w:tc>
      </w:tr>
      <w:tr w:rsidR="00561B22" w:rsidRPr="00BE7952" w14:paraId="7CD7287E" w14:textId="77777777" w:rsidTr="00F1223B">
        <w:tc>
          <w:tcPr>
            <w:tcW w:w="567" w:type="dxa"/>
          </w:tcPr>
          <w:p w14:paraId="011F885B"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6</w:t>
            </w:r>
          </w:p>
        </w:tc>
        <w:tc>
          <w:tcPr>
            <w:tcW w:w="9400" w:type="dxa"/>
          </w:tcPr>
          <w:p w14:paraId="31BEB94A"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 xml:space="preserve">Atender los lineamientos internos generados para el cumplimiento de lo establecido en las </w:t>
            </w:r>
            <w:r w:rsidRPr="00BE7952">
              <w:rPr>
                <w:rFonts w:ascii="Arial" w:hAnsi="Arial" w:cs="Arial"/>
                <w:sz w:val="22"/>
                <w:szCs w:val="22"/>
                <w:lang w:val="es-MX"/>
              </w:rPr>
              <w:lastRenderedPageBreak/>
              <w:t>políticas, manuales, instructivos y procedimientos internos relativos al proceso contable.</w:t>
            </w:r>
          </w:p>
        </w:tc>
      </w:tr>
      <w:tr w:rsidR="00561B22" w:rsidRPr="00BE7952" w14:paraId="3898E5BD" w14:textId="77777777" w:rsidTr="00F1223B">
        <w:tc>
          <w:tcPr>
            <w:tcW w:w="567" w:type="dxa"/>
          </w:tcPr>
          <w:p w14:paraId="65396298"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lastRenderedPageBreak/>
              <w:t>7</w:t>
            </w:r>
          </w:p>
        </w:tc>
        <w:tc>
          <w:tcPr>
            <w:tcW w:w="9400" w:type="dxa"/>
          </w:tcPr>
          <w:p w14:paraId="65884A57"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Realizar la depuración periódica frente a los saldos existentes en las operaciones recíprocas.</w:t>
            </w:r>
          </w:p>
        </w:tc>
      </w:tr>
      <w:tr w:rsidR="00561B22" w:rsidRPr="00BE7952" w14:paraId="6DDB2E37" w14:textId="77777777" w:rsidTr="00F1223B">
        <w:tc>
          <w:tcPr>
            <w:tcW w:w="567" w:type="dxa"/>
          </w:tcPr>
          <w:p w14:paraId="5CB26058"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8</w:t>
            </w:r>
          </w:p>
        </w:tc>
        <w:tc>
          <w:tcPr>
            <w:tcW w:w="9400" w:type="dxa"/>
          </w:tcPr>
          <w:p w14:paraId="42270442"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Revisar la funcionalidad del aplicativo de apoyo para la administración de inventarios, realizando las mejoras que lo ameriten, para que la información sea generada bajo los atributos contables.</w:t>
            </w:r>
          </w:p>
        </w:tc>
      </w:tr>
      <w:tr w:rsidR="00561B22" w:rsidRPr="00BE7952" w14:paraId="775A32B0" w14:textId="77777777" w:rsidTr="00F1223B">
        <w:tc>
          <w:tcPr>
            <w:tcW w:w="567" w:type="dxa"/>
          </w:tcPr>
          <w:p w14:paraId="0C88F6CF"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9</w:t>
            </w:r>
          </w:p>
        </w:tc>
        <w:tc>
          <w:tcPr>
            <w:tcW w:w="9400" w:type="dxa"/>
          </w:tcPr>
          <w:p w14:paraId="7D711C5E"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Incluir los resultados de los estados financieros en la audiencia de rendición de cuentas del Ministerio del Deporte.</w:t>
            </w:r>
          </w:p>
        </w:tc>
      </w:tr>
      <w:tr w:rsidR="00561B22" w:rsidRPr="00BE7952" w14:paraId="423710A2" w14:textId="77777777" w:rsidTr="00F1223B">
        <w:tc>
          <w:tcPr>
            <w:tcW w:w="567" w:type="dxa"/>
          </w:tcPr>
          <w:p w14:paraId="5A57838B"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10</w:t>
            </w:r>
          </w:p>
        </w:tc>
        <w:tc>
          <w:tcPr>
            <w:tcW w:w="9400" w:type="dxa"/>
          </w:tcPr>
          <w:p w14:paraId="6A5E6434"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Documentar la evidencia de la ejecución y cruce de inventarios a cierre de vigencia, con la elaboración de actas suscritas por los responsables de los inventarios.</w:t>
            </w:r>
          </w:p>
        </w:tc>
      </w:tr>
      <w:tr w:rsidR="00561B22" w:rsidRPr="00BE7952" w14:paraId="75CB1FEF" w14:textId="77777777" w:rsidTr="00F1223B">
        <w:tc>
          <w:tcPr>
            <w:tcW w:w="567" w:type="dxa"/>
          </w:tcPr>
          <w:p w14:paraId="5585E659" w14:textId="77777777" w:rsidR="00561B22" w:rsidRPr="00BE7952" w:rsidRDefault="00561B22" w:rsidP="00F1223B">
            <w:pPr>
              <w:jc w:val="center"/>
              <w:rPr>
                <w:rFonts w:ascii="Arial" w:hAnsi="Arial" w:cs="Arial"/>
                <w:b/>
                <w:sz w:val="22"/>
                <w:szCs w:val="22"/>
                <w:lang w:val="es-MX"/>
              </w:rPr>
            </w:pPr>
            <w:r w:rsidRPr="00BE7952">
              <w:rPr>
                <w:rFonts w:ascii="Arial" w:hAnsi="Arial" w:cs="Arial"/>
                <w:b/>
                <w:sz w:val="22"/>
                <w:szCs w:val="22"/>
                <w:lang w:val="es-MX"/>
              </w:rPr>
              <w:t>11</w:t>
            </w:r>
          </w:p>
        </w:tc>
        <w:tc>
          <w:tcPr>
            <w:tcW w:w="9400" w:type="dxa"/>
          </w:tcPr>
          <w:p w14:paraId="0CE2D9D3" w14:textId="77777777" w:rsidR="00561B22" w:rsidRPr="00BE7952" w:rsidRDefault="00561B22" w:rsidP="00F1223B">
            <w:pPr>
              <w:jc w:val="both"/>
              <w:rPr>
                <w:rFonts w:ascii="Arial" w:hAnsi="Arial" w:cs="Arial"/>
                <w:sz w:val="22"/>
                <w:szCs w:val="22"/>
                <w:lang w:val="es-MX"/>
              </w:rPr>
            </w:pPr>
            <w:r w:rsidRPr="00BE7952">
              <w:rPr>
                <w:rFonts w:ascii="Arial" w:hAnsi="Arial" w:cs="Arial"/>
                <w:sz w:val="22"/>
                <w:szCs w:val="22"/>
                <w:lang w:val="es-MX"/>
              </w:rPr>
              <w:t>Reforzar los temas de capacitación a nivel institucional, abarcando los procesos del MinDeporte y con base en las habilidades y competencias.</w:t>
            </w:r>
          </w:p>
        </w:tc>
      </w:tr>
    </w:tbl>
    <w:p w14:paraId="0C94FB14" w14:textId="77777777" w:rsidR="00561B22" w:rsidRPr="00BE7952" w:rsidRDefault="00561B22" w:rsidP="00561B22">
      <w:pPr>
        <w:jc w:val="both"/>
        <w:rPr>
          <w:rFonts w:ascii="Arial" w:hAnsi="Arial" w:cs="Arial"/>
          <w:b/>
          <w:bCs/>
          <w:sz w:val="24"/>
          <w:szCs w:val="24"/>
          <w:lang w:val="es-CO"/>
        </w:rPr>
      </w:pPr>
    </w:p>
    <w:p w14:paraId="4A70ED6E" w14:textId="77777777" w:rsidR="00561B22" w:rsidRPr="00BE7952" w:rsidRDefault="00561B22" w:rsidP="00561B22">
      <w:pPr>
        <w:jc w:val="both"/>
        <w:rPr>
          <w:rFonts w:ascii="Arial" w:hAnsi="Arial" w:cs="Arial"/>
          <w:b/>
          <w:bCs/>
          <w:sz w:val="24"/>
          <w:szCs w:val="24"/>
          <w:lang w:val="es-CO"/>
        </w:rPr>
      </w:pPr>
      <w:r w:rsidRPr="00BE7952">
        <w:rPr>
          <w:rFonts w:ascii="Arial" w:hAnsi="Arial" w:cs="Arial"/>
          <w:b/>
          <w:bCs/>
          <w:sz w:val="24"/>
          <w:szCs w:val="24"/>
          <w:lang w:val="es-CO"/>
        </w:rPr>
        <w:t xml:space="preserve">NOTA: LA ENTIDAD ENVIA LA MATRIZ DE AUTOEVALUACIÓN DEL SISTEMA DE CONTROL INTERNO CONTABLE CON ACTIVIDADES DE CONTROL REALIZADAS </w:t>
      </w:r>
      <w:r w:rsidRPr="00BE7952">
        <w:rPr>
          <w:rFonts w:ascii="Arial" w:hAnsi="Arial" w:cs="Arial"/>
          <w:b/>
          <w:bCs/>
          <w:sz w:val="24"/>
          <w:szCs w:val="24"/>
          <w:u w:val="single"/>
          <w:lang w:val="es-CO"/>
        </w:rPr>
        <w:t>EN FORMA PARCIAL Y OTRAS SIMPLEMENTE INFORMAN QUE NO SE REALIZARON</w:t>
      </w:r>
      <w:r w:rsidRPr="00BE7952">
        <w:rPr>
          <w:rFonts w:ascii="Arial" w:hAnsi="Arial" w:cs="Arial"/>
          <w:b/>
          <w:bCs/>
          <w:sz w:val="24"/>
          <w:szCs w:val="24"/>
          <w:lang w:val="es-CO"/>
        </w:rPr>
        <w:t>.</w:t>
      </w:r>
    </w:p>
    <w:p w14:paraId="69517385" w14:textId="77777777" w:rsidR="00561B22" w:rsidRDefault="00561B22" w:rsidP="00561B22">
      <w:pPr>
        <w:pStyle w:val="Ttulo1"/>
        <w:ind w:right="-50"/>
        <w:rPr>
          <w:sz w:val="28"/>
          <w:szCs w:val="28"/>
        </w:rPr>
      </w:pPr>
    </w:p>
    <w:p w14:paraId="74C997FE" w14:textId="77777777" w:rsidR="00561B22" w:rsidRDefault="00561B22" w:rsidP="00561B22">
      <w:pPr>
        <w:ind w:right="49"/>
        <w:jc w:val="both"/>
        <w:rPr>
          <w:rFonts w:ascii="Arial" w:hAnsi="Arial" w:cs="Arial"/>
          <w:b/>
          <w:sz w:val="28"/>
          <w:szCs w:val="28"/>
        </w:rPr>
      </w:pPr>
      <w:r w:rsidRPr="005D52AA">
        <w:rPr>
          <w:rFonts w:ascii="Arial" w:hAnsi="Arial" w:cs="Arial"/>
          <w:b/>
          <w:sz w:val="28"/>
          <w:szCs w:val="28"/>
        </w:rPr>
        <w:t xml:space="preserve">80.- UNIDAD ADMINISTRATIVA ESPECIAL DE ALIMENTACIÓN ESCOLAR - ALIMENTOS PARA APRENDER. </w:t>
      </w:r>
    </w:p>
    <w:p w14:paraId="74D8F3F1" w14:textId="77777777" w:rsidR="00561B22" w:rsidRDefault="00561B22" w:rsidP="00561B22">
      <w:pPr>
        <w:jc w:val="both"/>
        <w:rPr>
          <w:rFonts w:ascii="Arial" w:hAnsi="Arial" w:cs="Arial"/>
          <w:b/>
          <w:bCs/>
          <w:sz w:val="24"/>
          <w:szCs w:val="24"/>
        </w:rPr>
      </w:pPr>
    </w:p>
    <w:p w14:paraId="42134A61" w14:textId="77777777" w:rsidR="00561B22" w:rsidRPr="00AD582D" w:rsidRDefault="00561B22" w:rsidP="00561B22">
      <w:pPr>
        <w:pStyle w:val="Textoindependiente"/>
        <w:ind w:right="-50"/>
        <w:jc w:val="center"/>
        <w:rPr>
          <w:rFonts w:ascii="Arial" w:hAnsi="Arial" w:cs="Arial"/>
          <w:b/>
          <w:bCs/>
        </w:rPr>
      </w:pPr>
      <w:r w:rsidRPr="00AD582D">
        <w:rPr>
          <w:rFonts w:ascii="Arial" w:hAnsi="Arial" w:cs="Arial"/>
          <w:b/>
          <w:bCs/>
        </w:rPr>
        <w:t>INFORME DE LA AUTOCALIFICACIÓN DEL SISTEMA DE CONTROL INTERNO CONTABLE:</w:t>
      </w:r>
    </w:p>
    <w:p w14:paraId="79193F61" w14:textId="77777777" w:rsidR="00561B22" w:rsidRPr="00AD582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D582D" w14:paraId="567D2552" w14:textId="77777777" w:rsidTr="00F1223B">
        <w:tc>
          <w:tcPr>
            <w:tcW w:w="4981" w:type="dxa"/>
          </w:tcPr>
          <w:p w14:paraId="58A16BC4" w14:textId="77777777" w:rsidR="00561B22" w:rsidRPr="00AD582D" w:rsidRDefault="00561B22" w:rsidP="00F1223B">
            <w:pPr>
              <w:jc w:val="center"/>
              <w:rPr>
                <w:rFonts w:ascii="Arial" w:hAnsi="Arial" w:cs="Arial"/>
                <w:b/>
                <w:sz w:val="22"/>
                <w:szCs w:val="22"/>
                <w:lang w:val="es-MX"/>
              </w:rPr>
            </w:pPr>
            <w:r w:rsidRPr="00AD582D">
              <w:rPr>
                <w:rFonts w:ascii="Arial" w:hAnsi="Arial" w:cs="Arial"/>
                <w:b/>
                <w:sz w:val="22"/>
                <w:szCs w:val="22"/>
                <w:lang w:val="es-MX"/>
              </w:rPr>
              <w:t>AUTOCALIFICACIÓN</w:t>
            </w:r>
          </w:p>
        </w:tc>
        <w:tc>
          <w:tcPr>
            <w:tcW w:w="4981" w:type="dxa"/>
          </w:tcPr>
          <w:p w14:paraId="43B01E09" w14:textId="77777777" w:rsidR="00561B22" w:rsidRPr="00AD582D" w:rsidRDefault="00561B22" w:rsidP="00F1223B">
            <w:pPr>
              <w:jc w:val="center"/>
              <w:rPr>
                <w:rFonts w:ascii="Arial" w:hAnsi="Arial" w:cs="Arial"/>
                <w:b/>
                <w:sz w:val="22"/>
                <w:szCs w:val="22"/>
                <w:u w:val="single"/>
                <w:lang w:val="es-MX"/>
              </w:rPr>
            </w:pPr>
            <w:r w:rsidRPr="00AD582D">
              <w:rPr>
                <w:rFonts w:ascii="Arial" w:hAnsi="Arial" w:cs="Arial"/>
                <w:b/>
                <w:sz w:val="22"/>
                <w:szCs w:val="22"/>
                <w:u w:val="single"/>
                <w:lang w:val="es-MX"/>
              </w:rPr>
              <w:t>NO INFORMAN</w:t>
            </w:r>
          </w:p>
        </w:tc>
      </w:tr>
    </w:tbl>
    <w:p w14:paraId="1A0DA3C4" w14:textId="77777777" w:rsidR="00561B22" w:rsidRPr="00AD582D" w:rsidRDefault="00561B22" w:rsidP="00561B22">
      <w:pPr>
        <w:pStyle w:val="Textoindependiente"/>
        <w:ind w:right="-50"/>
        <w:jc w:val="both"/>
        <w:rPr>
          <w:rFonts w:ascii="Arial" w:hAnsi="Arial" w:cs="Arial"/>
          <w:b/>
          <w:bCs/>
        </w:rPr>
      </w:pPr>
    </w:p>
    <w:p w14:paraId="18505C0A" w14:textId="77777777" w:rsidR="00561B22" w:rsidRPr="00AD582D" w:rsidRDefault="00561B22" w:rsidP="00561B22">
      <w:pPr>
        <w:pStyle w:val="Textoindependiente"/>
        <w:ind w:right="-50"/>
        <w:jc w:val="both"/>
        <w:rPr>
          <w:rFonts w:ascii="Arial" w:hAnsi="Arial" w:cs="Arial"/>
          <w:b/>
          <w:bCs/>
        </w:rPr>
      </w:pPr>
      <w:r w:rsidRPr="00AD582D">
        <w:rPr>
          <w:rFonts w:ascii="Arial" w:hAnsi="Arial" w:cs="Arial"/>
          <w:b/>
          <w:bCs/>
        </w:rPr>
        <w:t>Del informe enviado retomamos lo siguiente:</w:t>
      </w:r>
    </w:p>
    <w:p w14:paraId="5DE7AA32" w14:textId="77777777" w:rsidR="00561B22" w:rsidRPr="00AD582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D582D" w14:paraId="61EDFB2B" w14:textId="77777777" w:rsidTr="00F1223B">
        <w:tc>
          <w:tcPr>
            <w:tcW w:w="562" w:type="dxa"/>
          </w:tcPr>
          <w:p w14:paraId="1B7933B5" w14:textId="77777777" w:rsidR="00561B22" w:rsidRPr="00AD582D" w:rsidRDefault="00561B22" w:rsidP="00F1223B">
            <w:pPr>
              <w:ind w:right="-109"/>
              <w:jc w:val="center"/>
              <w:rPr>
                <w:rFonts w:ascii="Arial" w:hAnsi="Arial" w:cs="Arial"/>
                <w:b/>
                <w:sz w:val="22"/>
                <w:szCs w:val="22"/>
                <w:lang w:val="es-MX"/>
              </w:rPr>
            </w:pPr>
            <w:r w:rsidRPr="00AD582D">
              <w:rPr>
                <w:rFonts w:ascii="Arial" w:hAnsi="Arial" w:cs="Arial"/>
                <w:b/>
                <w:sz w:val="22"/>
                <w:szCs w:val="22"/>
                <w:lang w:val="es-MX"/>
              </w:rPr>
              <w:t>N°</w:t>
            </w:r>
          </w:p>
        </w:tc>
        <w:tc>
          <w:tcPr>
            <w:tcW w:w="9400" w:type="dxa"/>
          </w:tcPr>
          <w:p w14:paraId="13C15DAE" w14:textId="77777777" w:rsidR="00561B22" w:rsidRPr="00AD582D" w:rsidRDefault="00561B22" w:rsidP="00F1223B">
            <w:pPr>
              <w:jc w:val="center"/>
              <w:rPr>
                <w:rFonts w:ascii="Arial" w:hAnsi="Arial" w:cs="Arial"/>
                <w:b/>
                <w:sz w:val="22"/>
                <w:szCs w:val="22"/>
                <w:lang w:val="es-MX"/>
              </w:rPr>
            </w:pPr>
            <w:r w:rsidRPr="00AD582D">
              <w:rPr>
                <w:rFonts w:ascii="Arial" w:hAnsi="Arial" w:cs="Arial"/>
                <w:b/>
                <w:sz w:val="22"/>
                <w:szCs w:val="22"/>
                <w:lang w:val="es-MX"/>
              </w:rPr>
              <w:t>DEBILIDADES</w:t>
            </w:r>
          </w:p>
          <w:p w14:paraId="7C339527" w14:textId="77777777" w:rsidR="00561B22" w:rsidRPr="00AD582D" w:rsidRDefault="00561B22" w:rsidP="00F1223B">
            <w:pPr>
              <w:jc w:val="center"/>
              <w:rPr>
                <w:rFonts w:ascii="Arial" w:hAnsi="Arial" w:cs="Arial"/>
                <w:b/>
                <w:sz w:val="22"/>
                <w:szCs w:val="22"/>
                <w:lang w:val="es-MX"/>
              </w:rPr>
            </w:pPr>
          </w:p>
        </w:tc>
      </w:tr>
      <w:tr w:rsidR="00561B22" w:rsidRPr="00AD582D" w14:paraId="65604137" w14:textId="77777777" w:rsidTr="00F1223B">
        <w:tc>
          <w:tcPr>
            <w:tcW w:w="562" w:type="dxa"/>
          </w:tcPr>
          <w:p w14:paraId="01C98029" w14:textId="77777777" w:rsidR="00561B22" w:rsidRPr="00AD582D" w:rsidRDefault="00561B22" w:rsidP="00F1223B">
            <w:pPr>
              <w:jc w:val="center"/>
              <w:rPr>
                <w:rFonts w:ascii="Arial" w:hAnsi="Arial" w:cs="Arial"/>
                <w:b/>
                <w:sz w:val="22"/>
                <w:szCs w:val="22"/>
                <w:lang w:val="es-MX"/>
              </w:rPr>
            </w:pPr>
            <w:r w:rsidRPr="00AD582D">
              <w:rPr>
                <w:rFonts w:ascii="Arial" w:hAnsi="Arial" w:cs="Arial"/>
                <w:b/>
                <w:sz w:val="22"/>
                <w:szCs w:val="22"/>
                <w:lang w:val="es-MX"/>
              </w:rPr>
              <w:t>1</w:t>
            </w:r>
          </w:p>
        </w:tc>
        <w:tc>
          <w:tcPr>
            <w:tcW w:w="9400" w:type="dxa"/>
          </w:tcPr>
          <w:p w14:paraId="2A4648B6" w14:textId="77777777" w:rsidR="00561B22" w:rsidRPr="00AD582D" w:rsidRDefault="00561B22" w:rsidP="00F1223B">
            <w:pPr>
              <w:jc w:val="both"/>
              <w:rPr>
                <w:rFonts w:ascii="Arial" w:hAnsi="Arial" w:cs="Arial"/>
                <w:sz w:val="22"/>
                <w:szCs w:val="22"/>
                <w:lang w:val="es-MX"/>
              </w:rPr>
            </w:pPr>
            <w:r w:rsidRPr="00AD582D">
              <w:rPr>
                <w:rFonts w:ascii="Arial" w:hAnsi="Arial" w:cs="Arial"/>
                <w:sz w:val="22"/>
                <w:szCs w:val="22"/>
                <w:lang w:val="es-CO"/>
              </w:rPr>
              <w:t>Se observan oportunidades de mejora en: la publicación en la intranet de las circulares del área contable, en la verificación de la aplicación de la totalidad de las políticas contables, en la individualización de los bienes físicos, en la adopción de un procedimiento relacionado con la solicitud de información para la elaboración de los estados financieros y fortalecer los puntos de control</w:t>
            </w:r>
          </w:p>
        </w:tc>
      </w:tr>
    </w:tbl>
    <w:p w14:paraId="38B2B652" w14:textId="77777777" w:rsidR="00561B22" w:rsidRPr="00AD582D" w:rsidRDefault="00561B22" w:rsidP="00561B22">
      <w:pPr>
        <w:pStyle w:val="Textoindependiente"/>
        <w:ind w:right="-50"/>
        <w:jc w:val="both"/>
        <w:rPr>
          <w:rFonts w:ascii="Arial" w:hAnsi="Arial" w:cs="Arial"/>
          <w:b/>
          <w:bCs/>
        </w:rPr>
      </w:pPr>
    </w:p>
    <w:p w14:paraId="3B092B60" w14:textId="77777777" w:rsidR="00561B22" w:rsidRPr="00AD582D" w:rsidRDefault="00561B22" w:rsidP="00561B22">
      <w:pPr>
        <w:jc w:val="both"/>
        <w:rPr>
          <w:rFonts w:ascii="Arial" w:hAnsi="Arial" w:cs="Arial"/>
          <w:b/>
          <w:lang w:val="es-MX"/>
        </w:rPr>
      </w:pPr>
      <w:r w:rsidRPr="00AD582D">
        <w:rPr>
          <w:rFonts w:ascii="Arial" w:hAnsi="Arial" w:cs="Arial"/>
          <w:b/>
          <w:lang w:val="es-MX"/>
        </w:rPr>
        <w:t>Del citado informe retomamos las siguientes recomendaciones:</w:t>
      </w:r>
    </w:p>
    <w:p w14:paraId="69D1D591" w14:textId="77777777" w:rsidR="00561B22" w:rsidRPr="00AD582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D582D" w14:paraId="4EEA53D8" w14:textId="77777777" w:rsidTr="00F1223B">
        <w:tc>
          <w:tcPr>
            <w:tcW w:w="562" w:type="dxa"/>
          </w:tcPr>
          <w:p w14:paraId="31FB17C2" w14:textId="77777777" w:rsidR="00561B22" w:rsidRPr="00AD582D" w:rsidRDefault="00561B22" w:rsidP="00F1223B">
            <w:pPr>
              <w:ind w:right="-109"/>
              <w:jc w:val="center"/>
              <w:rPr>
                <w:rFonts w:ascii="Arial" w:hAnsi="Arial" w:cs="Arial"/>
                <w:b/>
                <w:sz w:val="22"/>
                <w:szCs w:val="22"/>
                <w:lang w:val="es-MX"/>
              </w:rPr>
            </w:pPr>
            <w:r w:rsidRPr="00AD582D">
              <w:rPr>
                <w:rFonts w:ascii="Arial" w:hAnsi="Arial" w:cs="Arial"/>
                <w:b/>
                <w:sz w:val="22"/>
                <w:szCs w:val="22"/>
                <w:lang w:val="es-MX"/>
              </w:rPr>
              <w:t>N°</w:t>
            </w:r>
          </w:p>
        </w:tc>
        <w:tc>
          <w:tcPr>
            <w:tcW w:w="9400" w:type="dxa"/>
          </w:tcPr>
          <w:p w14:paraId="08CB3F87" w14:textId="77777777" w:rsidR="00561B22" w:rsidRPr="00AD582D" w:rsidRDefault="00561B22" w:rsidP="00F1223B">
            <w:pPr>
              <w:jc w:val="center"/>
              <w:rPr>
                <w:rFonts w:ascii="Arial" w:hAnsi="Arial" w:cs="Arial"/>
                <w:b/>
                <w:sz w:val="22"/>
                <w:szCs w:val="22"/>
                <w:lang w:val="es-MX"/>
              </w:rPr>
            </w:pPr>
            <w:r w:rsidRPr="00AD582D">
              <w:rPr>
                <w:rFonts w:ascii="Arial" w:hAnsi="Arial" w:cs="Arial"/>
                <w:b/>
                <w:sz w:val="22"/>
                <w:szCs w:val="22"/>
                <w:lang w:val="es-MX"/>
              </w:rPr>
              <w:t>RECOMENDACIONES</w:t>
            </w:r>
          </w:p>
          <w:p w14:paraId="7850CD8B" w14:textId="77777777" w:rsidR="00561B22" w:rsidRPr="00AD582D" w:rsidRDefault="00561B22" w:rsidP="00F1223B">
            <w:pPr>
              <w:jc w:val="center"/>
              <w:rPr>
                <w:rFonts w:ascii="Arial" w:hAnsi="Arial" w:cs="Arial"/>
                <w:b/>
                <w:sz w:val="22"/>
                <w:szCs w:val="22"/>
                <w:lang w:val="es-MX"/>
              </w:rPr>
            </w:pPr>
          </w:p>
        </w:tc>
      </w:tr>
      <w:tr w:rsidR="00561B22" w:rsidRPr="00AD582D" w14:paraId="58B5B29D" w14:textId="77777777" w:rsidTr="00F1223B">
        <w:tc>
          <w:tcPr>
            <w:tcW w:w="562" w:type="dxa"/>
          </w:tcPr>
          <w:p w14:paraId="0E9F532C" w14:textId="77777777" w:rsidR="00561B22" w:rsidRPr="00AD582D" w:rsidRDefault="00561B22" w:rsidP="00F1223B">
            <w:pPr>
              <w:jc w:val="center"/>
              <w:rPr>
                <w:rFonts w:ascii="Arial" w:hAnsi="Arial" w:cs="Arial"/>
                <w:b/>
                <w:sz w:val="22"/>
                <w:szCs w:val="22"/>
                <w:lang w:val="es-MX"/>
              </w:rPr>
            </w:pPr>
            <w:r w:rsidRPr="00AD582D">
              <w:rPr>
                <w:rFonts w:ascii="Arial" w:hAnsi="Arial" w:cs="Arial"/>
                <w:b/>
                <w:sz w:val="22"/>
                <w:szCs w:val="22"/>
                <w:lang w:val="es-MX"/>
              </w:rPr>
              <w:t>1</w:t>
            </w:r>
          </w:p>
        </w:tc>
        <w:tc>
          <w:tcPr>
            <w:tcW w:w="9400" w:type="dxa"/>
          </w:tcPr>
          <w:p w14:paraId="11468053" w14:textId="77777777" w:rsidR="00561B22" w:rsidRPr="00AD582D" w:rsidRDefault="00561B22" w:rsidP="00F1223B">
            <w:pPr>
              <w:jc w:val="both"/>
              <w:rPr>
                <w:rFonts w:ascii="Arial" w:hAnsi="Arial" w:cs="Arial"/>
                <w:b/>
                <w:sz w:val="22"/>
                <w:szCs w:val="22"/>
                <w:lang w:val="es-MX"/>
              </w:rPr>
            </w:pPr>
            <w:r w:rsidRPr="00AD582D">
              <w:rPr>
                <w:rFonts w:ascii="Arial" w:eastAsia="Calibri" w:hAnsi="Arial" w:cs="Arial"/>
                <w:kern w:val="2"/>
                <w:sz w:val="22"/>
                <w:szCs w:val="22"/>
                <w:lang w:val="es-CO"/>
                <w14:ligatures w14:val="standardContextual"/>
              </w:rPr>
              <w:t>Se recomienda: la revisión del manual de políticas contables para verificar la aplicación de estas y retirar aquellas que no contribuyen, publicar en la intranet las circulares relativas a temas contables, se debe continuar avanzando en la identificación individual de los bienes de la entidad, para el cierre integral de la información producida (emitir estados financieros, efectuar registros, análisis, ajustes, seguimiento y depuraciones de cuentas), identificar los proveedores de información, generar un flujograma para el proceso contable. Finalmente, generar un valor agregado trabajando una herramienta para medir, analizar y evaluar la gestión del área</w:t>
            </w:r>
          </w:p>
        </w:tc>
      </w:tr>
    </w:tbl>
    <w:p w14:paraId="4D920F4B" w14:textId="77777777" w:rsidR="00561B22" w:rsidRPr="00AD582D" w:rsidRDefault="00561B22" w:rsidP="00561B22">
      <w:pPr>
        <w:jc w:val="both"/>
        <w:rPr>
          <w:rFonts w:ascii="Arial" w:hAnsi="Arial" w:cs="Arial"/>
          <w:b/>
          <w:bCs/>
          <w:lang w:val="es-CO"/>
        </w:rPr>
      </w:pPr>
    </w:p>
    <w:p w14:paraId="77619D6A" w14:textId="77777777" w:rsidR="00561B22" w:rsidRPr="00AD582D" w:rsidRDefault="00561B22" w:rsidP="00561B22">
      <w:pPr>
        <w:jc w:val="both"/>
        <w:rPr>
          <w:rFonts w:ascii="Arial" w:hAnsi="Arial" w:cs="Arial"/>
          <w:b/>
          <w:bCs/>
          <w:sz w:val="24"/>
          <w:szCs w:val="24"/>
          <w:lang w:val="es-CO"/>
        </w:rPr>
      </w:pPr>
      <w:r w:rsidRPr="00AD582D">
        <w:rPr>
          <w:rFonts w:ascii="Arial" w:hAnsi="Arial" w:cs="Arial"/>
          <w:b/>
          <w:bCs/>
          <w:sz w:val="24"/>
          <w:szCs w:val="24"/>
          <w:lang w:val="es-CO"/>
        </w:rPr>
        <w:t xml:space="preserve">NOTA: LA ENTIDAD ENVIA LA MATRIZ DE AUTOEVALUACIÓN DEL SISTEMA DE CONTROL INTERNO CONTABLE CON </w:t>
      </w:r>
      <w:r w:rsidRPr="00AD582D">
        <w:rPr>
          <w:rFonts w:ascii="Arial" w:hAnsi="Arial" w:cs="Arial"/>
          <w:b/>
          <w:bCs/>
          <w:sz w:val="24"/>
          <w:szCs w:val="24"/>
          <w:u w:val="single"/>
          <w:lang w:val="es-CO"/>
        </w:rPr>
        <w:t>ACTIVIDADES DE CONTROL REALIZADAS EN FORMA PARCIAL</w:t>
      </w:r>
      <w:r w:rsidRPr="00AD582D">
        <w:rPr>
          <w:rFonts w:ascii="Arial" w:hAnsi="Arial" w:cs="Arial"/>
          <w:b/>
          <w:bCs/>
          <w:sz w:val="24"/>
          <w:szCs w:val="24"/>
          <w:lang w:val="es-CO"/>
        </w:rPr>
        <w:t>.</w:t>
      </w:r>
    </w:p>
    <w:p w14:paraId="76E0DE4C" w14:textId="77777777" w:rsidR="00561B22" w:rsidRPr="00AD582D" w:rsidRDefault="00561B22" w:rsidP="00561B22">
      <w:pPr>
        <w:jc w:val="both"/>
        <w:rPr>
          <w:rFonts w:ascii="Arial" w:hAnsi="Arial" w:cs="Arial"/>
          <w:b/>
          <w:bCs/>
          <w:sz w:val="28"/>
          <w:szCs w:val="28"/>
          <w:lang w:val="es-CO"/>
        </w:rPr>
      </w:pPr>
    </w:p>
    <w:p w14:paraId="2BBCEDF1" w14:textId="77777777" w:rsidR="00561B22" w:rsidRPr="00314C74" w:rsidRDefault="00561B22" w:rsidP="00561B22">
      <w:pPr>
        <w:jc w:val="both"/>
        <w:rPr>
          <w:rFonts w:ascii="Arial" w:hAnsi="Arial" w:cs="Arial"/>
          <w:b/>
          <w:sz w:val="28"/>
          <w:szCs w:val="28"/>
          <w:lang w:val="es-MX"/>
        </w:rPr>
      </w:pPr>
      <w:r w:rsidRPr="00314C74">
        <w:rPr>
          <w:rFonts w:ascii="Arial" w:hAnsi="Arial" w:cs="Arial"/>
          <w:b/>
          <w:sz w:val="28"/>
          <w:szCs w:val="28"/>
          <w:lang w:val="es-MX"/>
        </w:rPr>
        <w:lastRenderedPageBreak/>
        <w:t>81.- CORPORACIÓN AUTÓNOMA REGIONAL DE LA FRONTERA NORORIENTAL - CORPONOR.</w:t>
      </w:r>
    </w:p>
    <w:p w14:paraId="0A00F26C" w14:textId="77777777" w:rsidR="00561B22" w:rsidRPr="00314C74" w:rsidRDefault="00561B22" w:rsidP="00561B22">
      <w:pPr>
        <w:jc w:val="both"/>
        <w:rPr>
          <w:rFonts w:ascii="Arial" w:hAnsi="Arial" w:cs="Arial"/>
          <w:b/>
          <w:sz w:val="28"/>
          <w:szCs w:val="28"/>
          <w:lang w:val="es-MX"/>
        </w:rPr>
      </w:pPr>
    </w:p>
    <w:p w14:paraId="6160D1BB" w14:textId="77777777" w:rsidR="00561B22" w:rsidRPr="00314C74" w:rsidRDefault="00561B22" w:rsidP="00561B22">
      <w:pPr>
        <w:pStyle w:val="Textoindependiente"/>
        <w:ind w:right="-50"/>
        <w:jc w:val="center"/>
        <w:rPr>
          <w:rFonts w:ascii="Arial" w:hAnsi="Arial" w:cs="Arial"/>
          <w:b/>
          <w:bCs/>
        </w:rPr>
      </w:pPr>
      <w:r w:rsidRPr="00314C74">
        <w:rPr>
          <w:rFonts w:ascii="Arial" w:hAnsi="Arial" w:cs="Arial"/>
          <w:b/>
          <w:bCs/>
        </w:rPr>
        <w:t>INFORME DE LA AUTOCALIFICACIÓN DEL SISTEMA DE CONTROL INTERNO CONTABLE:</w:t>
      </w:r>
    </w:p>
    <w:p w14:paraId="5A5ACB1F" w14:textId="77777777" w:rsidR="00561B22" w:rsidRPr="00314C7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14C74" w14:paraId="50910701" w14:textId="77777777" w:rsidTr="00F1223B">
        <w:tc>
          <w:tcPr>
            <w:tcW w:w="4981" w:type="dxa"/>
          </w:tcPr>
          <w:p w14:paraId="682F5C72"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AUTOCALIFICACIÓN</w:t>
            </w:r>
          </w:p>
        </w:tc>
        <w:tc>
          <w:tcPr>
            <w:tcW w:w="4981" w:type="dxa"/>
          </w:tcPr>
          <w:p w14:paraId="7BFA68BD" w14:textId="77777777" w:rsidR="00561B22" w:rsidRPr="00314C74" w:rsidRDefault="00561B22" w:rsidP="00F1223B">
            <w:pPr>
              <w:jc w:val="center"/>
              <w:rPr>
                <w:rFonts w:ascii="Arial" w:hAnsi="Arial" w:cs="Arial"/>
                <w:b/>
                <w:sz w:val="22"/>
                <w:szCs w:val="22"/>
                <w:u w:val="single"/>
                <w:lang w:val="es-MX"/>
              </w:rPr>
            </w:pPr>
            <w:r w:rsidRPr="00314C74">
              <w:rPr>
                <w:rFonts w:ascii="Arial" w:hAnsi="Arial" w:cs="Arial"/>
                <w:b/>
                <w:sz w:val="22"/>
                <w:szCs w:val="22"/>
                <w:u w:val="single"/>
                <w:lang w:val="es-MX"/>
              </w:rPr>
              <w:t>4.97</w:t>
            </w:r>
          </w:p>
        </w:tc>
      </w:tr>
    </w:tbl>
    <w:p w14:paraId="66C6A460" w14:textId="77777777" w:rsidR="00561B22" w:rsidRPr="00314C74" w:rsidRDefault="00561B22" w:rsidP="00561B22">
      <w:pPr>
        <w:pStyle w:val="Textoindependiente"/>
        <w:ind w:right="-50"/>
        <w:jc w:val="both"/>
        <w:rPr>
          <w:rFonts w:ascii="Arial" w:hAnsi="Arial" w:cs="Arial"/>
          <w:b/>
          <w:bCs/>
        </w:rPr>
      </w:pPr>
    </w:p>
    <w:p w14:paraId="6D9CF01B" w14:textId="77777777" w:rsidR="00561B22" w:rsidRPr="00314C74" w:rsidRDefault="00561B22" w:rsidP="00561B22">
      <w:pPr>
        <w:pStyle w:val="Textoindependiente"/>
        <w:ind w:right="-50"/>
        <w:jc w:val="both"/>
        <w:rPr>
          <w:rFonts w:ascii="Arial" w:hAnsi="Arial" w:cs="Arial"/>
          <w:b/>
          <w:bCs/>
        </w:rPr>
      </w:pPr>
      <w:r w:rsidRPr="00314C74">
        <w:rPr>
          <w:rFonts w:ascii="Arial" w:hAnsi="Arial" w:cs="Arial"/>
          <w:b/>
          <w:bCs/>
        </w:rPr>
        <w:t>Del informe enviado retomamos lo siguiente:</w:t>
      </w:r>
    </w:p>
    <w:p w14:paraId="38B437F7" w14:textId="77777777" w:rsidR="00561B22" w:rsidRPr="00314C7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14C74" w14:paraId="56DD647F" w14:textId="77777777" w:rsidTr="00F1223B">
        <w:tc>
          <w:tcPr>
            <w:tcW w:w="562" w:type="dxa"/>
          </w:tcPr>
          <w:p w14:paraId="74D3D7D1" w14:textId="77777777" w:rsidR="00561B22" w:rsidRPr="00314C74" w:rsidRDefault="00561B22" w:rsidP="00F1223B">
            <w:pPr>
              <w:ind w:right="-109"/>
              <w:jc w:val="center"/>
              <w:rPr>
                <w:rFonts w:ascii="Arial" w:hAnsi="Arial" w:cs="Arial"/>
                <w:b/>
                <w:sz w:val="22"/>
                <w:szCs w:val="22"/>
                <w:lang w:val="es-MX"/>
              </w:rPr>
            </w:pPr>
            <w:r w:rsidRPr="00314C74">
              <w:rPr>
                <w:rFonts w:ascii="Arial" w:hAnsi="Arial" w:cs="Arial"/>
                <w:b/>
                <w:sz w:val="22"/>
                <w:szCs w:val="22"/>
                <w:lang w:val="es-MX"/>
              </w:rPr>
              <w:t>N°</w:t>
            </w:r>
          </w:p>
        </w:tc>
        <w:tc>
          <w:tcPr>
            <w:tcW w:w="9400" w:type="dxa"/>
          </w:tcPr>
          <w:p w14:paraId="7E0B6C00"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DEBILIDADES</w:t>
            </w:r>
          </w:p>
          <w:p w14:paraId="173B3E9A" w14:textId="77777777" w:rsidR="00561B22" w:rsidRPr="00314C74" w:rsidRDefault="00561B22" w:rsidP="00F1223B">
            <w:pPr>
              <w:jc w:val="center"/>
              <w:rPr>
                <w:rFonts w:ascii="Arial" w:hAnsi="Arial" w:cs="Arial"/>
                <w:b/>
                <w:sz w:val="22"/>
                <w:szCs w:val="22"/>
                <w:lang w:val="es-MX"/>
              </w:rPr>
            </w:pPr>
          </w:p>
        </w:tc>
      </w:tr>
      <w:tr w:rsidR="00561B22" w:rsidRPr="00314C74" w14:paraId="44D09D29" w14:textId="77777777" w:rsidTr="00F1223B">
        <w:tc>
          <w:tcPr>
            <w:tcW w:w="562" w:type="dxa"/>
          </w:tcPr>
          <w:p w14:paraId="06655214"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1</w:t>
            </w:r>
          </w:p>
        </w:tc>
        <w:tc>
          <w:tcPr>
            <w:tcW w:w="9400" w:type="dxa"/>
          </w:tcPr>
          <w:p w14:paraId="780A78FE" w14:textId="77777777" w:rsidR="00561B22" w:rsidRPr="00314C74" w:rsidRDefault="00561B22" w:rsidP="00F1223B">
            <w:pPr>
              <w:jc w:val="both"/>
              <w:rPr>
                <w:rFonts w:ascii="Arial" w:hAnsi="Arial" w:cs="Arial"/>
                <w:bCs/>
                <w:sz w:val="22"/>
                <w:szCs w:val="22"/>
                <w:lang w:val="es-MX"/>
              </w:rPr>
            </w:pPr>
            <w:r w:rsidRPr="00314C74">
              <w:rPr>
                <w:rFonts w:ascii="Arial" w:hAnsi="Arial" w:cs="Arial"/>
                <w:bCs/>
                <w:sz w:val="22"/>
                <w:szCs w:val="22"/>
                <w:lang w:val="es-MX"/>
              </w:rPr>
              <w:t>Fallas en la implementación y seguimiento a los controles en la liquidación y facturación oportuna por concepto de tasa por usos de Agua.</w:t>
            </w:r>
          </w:p>
        </w:tc>
      </w:tr>
    </w:tbl>
    <w:p w14:paraId="122A1586" w14:textId="77777777" w:rsidR="00561B22" w:rsidRPr="00314C74" w:rsidRDefault="00561B22" w:rsidP="00561B22">
      <w:pPr>
        <w:pStyle w:val="Textoindependiente"/>
        <w:ind w:right="-50"/>
        <w:jc w:val="both"/>
        <w:rPr>
          <w:rFonts w:ascii="Arial" w:hAnsi="Arial" w:cs="Arial"/>
          <w:b/>
          <w:bCs/>
        </w:rPr>
      </w:pPr>
    </w:p>
    <w:p w14:paraId="7388712C" w14:textId="77777777" w:rsidR="00561B22" w:rsidRPr="00314C74" w:rsidRDefault="00561B22" w:rsidP="00561B22">
      <w:pPr>
        <w:jc w:val="both"/>
        <w:rPr>
          <w:rFonts w:ascii="Arial" w:hAnsi="Arial" w:cs="Arial"/>
          <w:b/>
          <w:lang w:val="es-MX"/>
        </w:rPr>
      </w:pPr>
      <w:r w:rsidRPr="00314C74">
        <w:rPr>
          <w:rFonts w:ascii="Arial" w:hAnsi="Arial" w:cs="Arial"/>
          <w:b/>
          <w:lang w:val="es-MX"/>
        </w:rPr>
        <w:t>Del citado informe retomamos las siguientes recomendaciones:</w:t>
      </w:r>
    </w:p>
    <w:p w14:paraId="546A875D" w14:textId="77777777" w:rsidR="00561B22" w:rsidRPr="00314C74"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314C74" w14:paraId="6718F63A" w14:textId="77777777" w:rsidTr="00F1223B">
        <w:tc>
          <w:tcPr>
            <w:tcW w:w="562" w:type="dxa"/>
          </w:tcPr>
          <w:p w14:paraId="15D7E7A9" w14:textId="77777777" w:rsidR="00561B22" w:rsidRPr="00314C74" w:rsidRDefault="00561B22" w:rsidP="00F1223B">
            <w:pPr>
              <w:ind w:right="-109"/>
              <w:jc w:val="center"/>
              <w:rPr>
                <w:rFonts w:ascii="Arial" w:hAnsi="Arial" w:cs="Arial"/>
                <w:b/>
                <w:sz w:val="22"/>
                <w:szCs w:val="22"/>
                <w:lang w:val="es-MX"/>
              </w:rPr>
            </w:pPr>
            <w:r w:rsidRPr="00314C74">
              <w:rPr>
                <w:rFonts w:ascii="Arial" w:hAnsi="Arial" w:cs="Arial"/>
                <w:b/>
                <w:sz w:val="22"/>
                <w:szCs w:val="22"/>
                <w:lang w:val="es-MX"/>
              </w:rPr>
              <w:t>N°</w:t>
            </w:r>
          </w:p>
        </w:tc>
        <w:tc>
          <w:tcPr>
            <w:tcW w:w="9400" w:type="dxa"/>
          </w:tcPr>
          <w:p w14:paraId="16DEEEF3"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RECOMENDACIONES</w:t>
            </w:r>
          </w:p>
          <w:p w14:paraId="0181AEBB" w14:textId="77777777" w:rsidR="00561B22" w:rsidRPr="00314C74" w:rsidRDefault="00561B22" w:rsidP="00F1223B">
            <w:pPr>
              <w:jc w:val="center"/>
              <w:rPr>
                <w:rFonts w:ascii="Arial" w:hAnsi="Arial" w:cs="Arial"/>
                <w:b/>
                <w:sz w:val="22"/>
                <w:szCs w:val="22"/>
                <w:lang w:val="es-MX"/>
              </w:rPr>
            </w:pPr>
          </w:p>
        </w:tc>
      </w:tr>
      <w:tr w:rsidR="00561B22" w:rsidRPr="00314C74" w14:paraId="42173F51" w14:textId="77777777" w:rsidTr="00F1223B">
        <w:tc>
          <w:tcPr>
            <w:tcW w:w="562" w:type="dxa"/>
          </w:tcPr>
          <w:p w14:paraId="43AAF50D"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1</w:t>
            </w:r>
          </w:p>
        </w:tc>
        <w:tc>
          <w:tcPr>
            <w:tcW w:w="9400" w:type="dxa"/>
          </w:tcPr>
          <w:p w14:paraId="1087BAD5" w14:textId="77777777" w:rsidR="00561B22" w:rsidRPr="00314C74" w:rsidRDefault="00561B22" w:rsidP="00F1223B">
            <w:pPr>
              <w:jc w:val="both"/>
              <w:rPr>
                <w:rFonts w:ascii="Arial" w:hAnsi="Arial" w:cs="Arial"/>
                <w:bCs/>
                <w:sz w:val="22"/>
                <w:szCs w:val="22"/>
                <w:lang w:val="es-MX"/>
              </w:rPr>
            </w:pPr>
            <w:r w:rsidRPr="00314C74">
              <w:rPr>
                <w:rFonts w:ascii="Arial" w:hAnsi="Arial" w:cs="Arial"/>
                <w:bCs/>
                <w:sz w:val="22"/>
                <w:szCs w:val="22"/>
                <w:lang w:val="es-MX"/>
              </w:rPr>
              <w:t>Realizar el autocontrol del proceso Administración de Recursos financieros en cada uno de sus procedimientos como mecanismo de control que permita detectar desviaciones y efectuar correctivos que vayan encauzados a la mejora continua del proceso.</w:t>
            </w:r>
          </w:p>
        </w:tc>
      </w:tr>
      <w:tr w:rsidR="00561B22" w:rsidRPr="00314C74" w14:paraId="43D5BF03" w14:textId="77777777" w:rsidTr="00F1223B">
        <w:tc>
          <w:tcPr>
            <w:tcW w:w="562" w:type="dxa"/>
          </w:tcPr>
          <w:p w14:paraId="10E4DA46"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2</w:t>
            </w:r>
          </w:p>
        </w:tc>
        <w:tc>
          <w:tcPr>
            <w:tcW w:w="9400" w:type="dxa"/>
          </w:tcPr>
          <w:p w14:paraId="36966CB9" w14:textId="77777777" w:rsidR="00561B22" w:rsidRPr="00314C74" w:rsidRDefault="00561B22" w:rsidP="00F1223B">
            <w:pPr>
              <w:jc w:val="both"/>
              <w:rPr>
                <w:rFonts w:ascii="Arial" w:hAnsi="Arial" w:cs="Arial"/>
                <w:bCs/>
                <w:sz w:val="22"/>
                <w:szCs w:val="22"/>
                <w:lang w:val="es-MX"/>
              </w:rPr>
            </w:pPr>
            <w:r w:rsidRPr="00314C74">
              <w:rPr>
                <w:rFonts w:ascii="Arial" w:hAnsi="Arial" w:cs="Arial"/>
                <w:bCs/>
                <w:sz w:val="22"/>
                <w:szCs w:val="22"/>
                <w:lang w:val="es-MX"/>
              </w:rPr>
              <w:t>Cumplir con las acciones de mejora establecidas en los planes de mejoramiento celebrados con la oficina de control interno.</w:t>
            </w:r>
          </w:p>
        </w:tc>
      </w:tr>
      <w:tr w:rsidR="00561B22" w:rsidRPr="00314C74" w14:paraId="28349B85" w14:textId="77777777" w:rsidTr="00F1223B">
        <w:tc>
          <w:tcPr>
            <w:tcW w:w="562" w:type="dxa"/>
          </w:tcPr>
          <w:p w14:paraId="7A0DACB4" w14:textId="77777777" w:rsidR="00561B22" w:rsidRPr="00314C74" w:rsidRDefault="00561B22" w:rsidP="00F1223B">
            <w:pPr>
              <w:jc w:val="center"/>
              <w:rPr>
                <w:rFonts w:ascii="Arial" w:hAnsi="Arial" w:cs="Arial"/>
                <w:b/>
                <w:sz w:val="22"/>
                <w:szCs w:val="22"/>
                <w:lang w:val="es-MX"/>
              </w:rPr>
            </w:pPr>
            <w:r w:rsidRPr="00314C74">
              <w:rPr>
                <w:rFonts w:ascii="Arial" w:hAnsi="Arial" w:cs="Arial"/>
                <w:b/>
                <w:sz w:val="22"/>
                <w:szCs w:val="22"/>
                <w:lang w:val="es-MX"/>
              </w:rPr>
              <w:t>3</w:t>
            </w:r>
          </w:p>
        </w:tc>
        <w:tc>
          <w:tcPr>
            <w:tcW w:w="9400" w:type="dxa"/>
          </w:tcPr>
          <w:p w14:paraId="79A774B1" w14:textId="77777777" w:rsidR="00561B22" w:rsidRPr="00314C74" w:rsidRDefault="00561B22" w:rsidP="00F1223B">
            <w:pPr>
              <w:jc w:val="both"/>
              <w:rPr>
                <w:rFonts w:ascii="Arial" w:hAnsi="Arial" w:cs="Arial"/>
                <w:bCs/>
                <w:sz w:val="22"/>
                <w:szCs w:val="22"/>
                <w:lang w:val="es-MX"/>
              </w:rPr>
            </w:pPr>
            <w:r w:rsidRPr="00314C74">
              <w:rPr>
                <w:rFonts w:ascii="Arial" w:hAnsi="Arial" w:cs="Arial"/>
                <w:bCs/>
                <w:sz w:val="22"/>
                <w:szCs w:val="22"/>
                <w:lang w:val="es-MX"/>
              </w:rPr>
              <w:t>Cumplir con los compromisos pactados en las actas de Comité de Saneamiento Contable</w:t>
            </w:r>
          </w:p>
        </w:tc>
      </w:tr>
    </w:tbl>
    <w:p w14:paraId="053F027B" w14:textId="77777777" w:rsidR="00561B22" w:rsidRPr="00314C74" w:rsidRDefault="00561B22" w:rsidP="00561B22">
      <w:pPr>
        <w:pStyle w:val="Textoindependiente"/>
        <w:ind w:right="-50"/>
        <w:jc w:val="both"/>
        <w:rPr>
          <w:rFonts w:ascii="Arial" w:hAnsi="Arial" w:cs="Arial"/>
          <w:b/>
          <w:bCs/>
          <w:sz w:val="28"/>
          <w:szCs w:val="28"/>
        </w:rPr>
      </w:pPr>
    </w:p>
    <w:p w14:paraId="5D4ECEE5" w14:textId="77777777" w:rsidR="00561B22" w:rsidRPr="00314C74" w:rsidRDefault="00561B22" w:rsidP="00561B22">
      <w:pPr>
        <w:jc w:val="both"/>
        <w:rPr>
          <w:rFonts w:ascii="Arial" w:hAnsi="Arial" w:cs="Arial"/>
          <w:b/>
          <w:bCs/>
          <w:sz w:val="24"/>
          <w:szCs w:val="24"/>
          <w:lang w:val="es-CO"/>
        </w:rPr>
      </w:pPr>
      <w:r w:rsidRPr="00314C74">
        <w:rPr>
          <w:rFonts w:ascii="Arial" w:hAnsi="Arial" w:cs="Arial"/>
          <w:b/>
          <w:bCs/>
          <w:sz w:val="24"/>
          <w:szCs w:val="24"/>
          <w:lang w:val="es-CO"/>
        </w:rPr>
        <w:t xml:space="preserve">NOTA: LA ENTIDAD ENVÍA LA MATRIZ DE AUTOEVALUACIÓN DEL SISTEMA DE CONTROL INTERNO CONTABLE CON </w:t>
      </w:r>
      <w:r w:rsidRPr="00314C74">
        <w:rPr>
          <w:rFonts w:ascii="Arial" w:hAnsi="Arial" w:cs="Arial"/>
          <w:b/>
          <w:bCs/>
          <w:sz w:val="24"/>
          <w:szCs w:val="24"/>
          <w:u w:val="single"/>
          <w:lang w:val="es-CO"/>
        </w:rPr>
        <w:t>ACTIVIDADES DE CONTROL REALIZADAS EN FORMA PARCIAL</w:t>
      </w:r>
      <w:r w:rsidRPr="00314C74">
        <w:rPr>
          <w:rFonts w:ascii="Arial" w:hAnsi="Arial" w:cs="Arial"/>
          <w:b/>
          <w:bCs/>
          <w:sz w:val="24"/>
          <w:szCs w:val="24"/>
          <w:lang w:val="es-CO"/>
        </w:rPr>
        <w:t>.</w:t>
      </w:r>
    </w:p>
    <w:p w14:paraId="33641975" w14:textId="77777777" w:rsidR="00561B22" w:rsidRDefault="00561B22" w:rsidP="00561B22">
      <w:pPr>
        <w:jc w:val="both"/>
        <w:rPr>
          <w:rFonts w:ascii="Arial" w:hAnsi="Arial" w:cs="Arial"/>
          <w:b/>
          <w:bCs/>
          <w:sz w:val="24"/>
          <w:szCs w:val="24"/>
          <w:lang w:val="es-CO"/>
        </w:rPr>
      </w:pPr>
    </w:p>
    <w:p w14:paraId="2231776C" w14:textId="77777777" w:rsidR="00561B22" w:rsidRPr="00301730" w:rsidRDefault="00561B22" w:rsidP="00561B22">
      <w:pPr>
        <w:jc w:val="both"/>
        <w:rPr>
          <w:rFonts w:ascii="Arial" w:hAnsi="Arial" w:cs="Arial"/>
          <w:b/>
          <w:sz w:val="28"/>
          <w:szCs w:val="28"/>
          <w:lang w:val="es-MX"/>
        </w:rPr>
      </w:pPr>
      <w:r w:rsidRPr="00301730">
        <w:rPr>
          <w:rFonts w:ascii="Arial" w:hAnsi="Arial" w:cs="Arial"/>
          <w:b/>
          <w:sz w:val="28"/>
          <w:szCs w:val="28"/>
          <w:lang w:val="es-MX"/>
        </w:rPr>
        <w:t>82.- UNIDAD DE PLANIFICACIÓN DE TIERRAS RURALES, ADECUACIÓN DE TIERRAS Y USOS AGROPECUARIOS – UPRA.</w:t>
      </w:r>
    </w:p>
    <w:p w14:paraId="5EBF1C82" w14:textId="77777777" w:rsidR="00561B22" w:rsidRDefault="00561B22" w:rsidP="00561B22">
      <w:pPr>
        <w:jc w:val="both"/>
        <w:rPr>
          <w:rFonts w:ascii="Arial" w:hAnsi="Arial" w:cs="Arial"/>
          <w:b/>
          <w:bCs/>
          <w:sz w:val="24"/>
          <w:szCs w:val="24"/>
          <w:lang w:val="es-MX"/>
        </w:rPr>
      </w:pPr>
    </w:p>
    <w:p w14:paraId="64B5A2DB" w14:textId="77777777" w:rsidR="00561B22" w:rsidRPr="00301730" w:rsidRDefault="00561B22" w:rsidP="00561B22">
      <w:pPr>
        <w:pStyle w:val="Textoindependiente"/>
        <w:ind w:right="-50"/>
        <w:jc w:val="center"/>
        <w:rPr>
          <w:rFonts w:ascii="Arial" w:hAnsi="Arial" w:cs="Arial"/>
          <w:b/>
          <w:bCs/>
        </w:rPr>
      </w:pPr>
      <w:r w:rsidRPr="00301730">
        <w:rPr>
          <w:rFonts w:ascii="Arial" w:hAnsi="Arial" w:cs="Arial"/>
          <w:b/>
          <w:bCs/>
        </w:rPr>
        <w:t>INFORME DE LA AUTOCALIFICACIÓN DEL SISTEMA DE CONTROL INTERNO CONTABLE:</w:t>
      </w:r>
    </w:p>
    <w:p w14:paraId="2735A086" w14:textId="77777777" w:rsidR="00561B22" w:rsidRPr="00301730"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01730" w14:paraId="4F6BEFFE" w14:textId="77777777" w:rsidTr="00F1223B">
        <w:tc>
          <w:tcPr>
            <w:tcW w:w="4981" w:type="dxa"/>
          </w:tcPr>
          <w:p w14:paraId="4F5BFCE9"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AUTOCALIFICACIÓN</w:t>
            </w:r>
          </w:p>
        </w:tc>
        <w:tc>
          <w:tcPr>
            <w:tcW w:w="4981" w:type="dxa"/>
          </w:tcPr>
          <w:p w14:paraId="17025462" w14:textId="77777777" w:rsidR="00561B22" w:rsidRPr="00301730" w:rsidRDefault="00561B22" w:rsidP="00F1223B">
            <w:pPr>
              <w:jc w:val="center"/>
              <w:rPr>
                <w:rFonts w:ascii="Arial" w:hAnsi="Arial" w:cs="Arial"/>
                <w:b/>
                <w:sz w:val="22"/>
                <w:szCs w:val="22"/>
                <w:u w:val="single"/>
                <w:lang w:val="es-MX"/>
              </w:rPr>
            </w:pPr>
            <w:r w:rsidRPr="00301730">
              <w:rPr>
                <w:rFonts w:ascii="Arial" w:hAnsi="Arial" w:cs="Arial"/>
                <w:b/>
                <w:sz w:val="22"/>
                <w:szCs w:val="22"/>
                <w:u w:val="single"/>
                <w:lang w:val="es-MX"/>
              </w:rPr>
              <w:t>4.71</w:t>
            </w:r>
          </w:p>
        </w:tc>
      </w:tr>
    </w:tbl>
    <w:p w14:paraId="7AE2CC8B" w14:textId="77777777" w:rsidR="00561B22" w:rsidRPr="00301730" w:rsidRDefault="00561B22" w:rsidP="00561B22">
      <w:pPr>
        <w:pStyle w:val="Textoindependiente"/>
        <w:ind w:right="-50"/>
        <w:jc w:val="both"/>
        <w:rPr>
          <w:rFonts w:ascii="Arial" w:hAnsi="Arial" w:cs="Arial"/>
          <w:b/>
          <w:bCs/>
        </w:rPr>
      </w:pPr>
    </w:p>
    <w:p w14:paraId="69CDF890" w14:textId="77777777" w:rsidR="00561B22" w:rsidRPr="00301730" w:rsidRDefault="00561B22" w:rsidP="00561B22">
      <w:pPr>
        <w:pStyle w:val="Textoindependiente"/>
        <w:ind w:right="-50"/>
        <w:jc w:val="both"/>
        <w:rPr>
          <w:rFonts w:ascii="Arial" w:hAnsi="Arial" w:cs="Arial"/>
          <w:b/>
          <w:bCs/>
        </w:rPr>
      </w:pPr>
      <w:r w:rsidRPr="00301730">
        <w:rPr>
          <w:rFonts w:ascii="Arial" w:hAnsi="Arial" w:cs="Arial"/>
          <w:b/>
          <w:bCs/>
        </w:rPr>
        <w:t>Del informe enviado retomamos lo siguiente:</w:t>
      </w:r>
    </w:p>
    <w:p w14:paraId="1DC5A71F" w14:textId="77777777" w:rsidR="00561B22" w:rsidRPr="0030173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01730" w14:paraId="4C62AFE5" w14:textId="77777777" w:rsidTr="00F1223B">
        <w:tc>
          <w:tcPr>
            <w:tcW w:w="562" w:type="dxa"/>
          </w:tcPr>
          <w:p w14:paraId="42A91EF0" w14:textId="77777777" w:rsidR="00561B22" w:rsidRPr="00301730" w:rsidRDefault="00561B22" w:rsidP="00F1223B">
            <w:pPr>
              <w:ind w:right="-109"/>
              <w:jc w:val="center"/>
              <w:rPr>
                <w:rFonts w:ascii="Arial" w:hAnsi="Arial" w:cs="Arial"/>
                <w:b/>
                <w:sz w:val="22"/>
                <w:szCs w:val="22"/>
                <w:lang w:val="es-MX"/>
              </w:rPr>
            </w:pPr>
            <w:r w:rsidRPr="00301730">
              <w:rPr>
                <w:rFonts w:ascii="Arial" w:hAnsi="Arial" w:cs="Arial"/>
                <w:b/>
                <w:sz w:val="22"/>
                <w:szCs w:val="22"/>
                <w:lang w:val="es-MX"/>
              </w:rPr>
              <w:t>N°</w:t>
            </w:r>
          </w:p>
        </w:tc>
        <w:tc>
          <w:tcPr>
            <w:tcW w:w="9400" w:type="dxa"/>
          </w:tcPr>
          <w:p w14:paraId="6D14AC62"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DEBILIDADES</w:t>
            </w:r>
          </w:p>
          <w:p w14:paraId="4D262B94" w14:textId="77777777" w:rsidR="00561B22" w:rsidRPr="00301730" w:rsidRDefault="00561B22" w:rsidP="00F1223B">
            <w:pPr>
              <w:jc w:val="center"/>
              <w:rPr>
                <w:rFonts w:ascii="Arial" w:hAnsi="Arial" w:cs="Arial"/>
                <w:b/>
                <w:sz w:val="22"/>
                <w:szCs w:val="22"/>
                <w:lang w:val="es-MX"/>
              </w:rPr>
            </w:pPr>
          </w:p>
        </w:tc>
      </w:tr>
      <w:tr w:rsidR="00561B22" w:rsidRPr="00301730" w14:paraId="14FB6DC6" w14:textId="77777777" w:rsidTr="00F1223B">
        <w:tc>
          <w:tcPr>
            <w:tcW w:w="562" w:type="dxa"/>
          </w:tcPr>
          <w:p w14:paraId="0102C9F3"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1</w:t>
            </w:r>
          </w:p>
        </w:tc>
        <w:tc>
          <w:tcPr>
            <w:tcW w:w="9400" w:type="dxa"/>
          </w:tcPr>
          <w:p w14:paraId="630A1603"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 xml:space="preserve">Falta de inclusión de temas de actualización y sostenimiento contable en el cronograma del PIC de la Entidad en la vigencia 2024. </w:t>
            </w:r>
          </w:p>
        </w:tc>
      </w:tr>
      <w:tr w:rsidR="00561B22" w:rsidRPr="00301730" w14:paraId="617C99CE" w14:textId="77777777" w:rsidTr="00F1223B">
        <w:tc>
          <w:tcPr>
            <w:tcW w:w="562" w:type="dxa"/>
          </w:tcPr>
          <w:p w14:paraId="0CAF0D77"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2</w:t>
            </w:r>
          </w:p>
        </w:tc>
        <w:tc>
          <w:tcPr>
            <w:tcW w:w="9400" w:type="dxa"/>
          </w:tcPr>
          <w:p w14:paraId="32A43B1D"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A pesar de la actualización de los riesgos y controles durante la vigencia 2024, se observaron ocho controles que si bien están funcionando requieren continuar con las mejoras en el diseño descrito en el Mapa de Riesgos asociado al proceso para minimizar la posibilidad de materialización.</w:t>
            </w:r>
          </w:p>
        </w:tc>
      </w:tr>
      <w:tr w:rsidR="00561B22" w:rsidRPr="00301730" w14:paraId="50B3BDFF" w14:textId="77777777" w:rsidTr="00F1223B">
        <w:tc>
          <w:tcPr>
            <w:tcW w:w="562" w:type="dxa"/>
          </w:tcPr>
          <w:p w14:paraId="04255E9D"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3</w:t>
            </w:r>
          </w:p>
        </w:tc>
        <w:tc>
          <w:tcPr>
            <w:tcW w:w="9400" w:type="dxa"/>
          </w:tcPr>
          <w:p w14:paraId="28AB5A4B"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Nuevamente se observó que no se dio cumplimiento con la aplicación completa de la Plantilla para el reporte uniforme de las notas a la CGN en cumplimiento de la resolución 441 de 2019 numeral 2. Lo anterior, en lo relacionado con la NOTA 7., debido a que en esta nota No se muestra la antigüedad de las cuentas por cobrar.</w:t>
            </w:r>
          </w:p>
        </w:tc>
      </w:tr>
    </w:tbl>
    <w:p w14:paraId="1A8CB5CF" w14:textId="77777777" w:rsidR="00561B22" w:rsidRPr="00301730" w:rsidRDefault="00561B22" w:rsidP="00561B22">
      <w:pPr>
        <w:pStyle w:val="Textoindependiente"/>
        <w:ind w:right="-50"/>
        <w:jc w:val="both"/>
        <w:rPr>
          <w:rFonts w:ascii="Arial" w:hAnsi="Arial" w:cs="Arial"/>
          <w:b/>
          <w:bCs/>
        </w:rPr>
      </w:pPr>
    </w:p>
    <w:p w14:paraId="23277555" w14:textId="77777777" w:rsidR="00561B22" w:rsidRPr="00301730" w:rsidRDefault="00561B22" w:rsidP="00561B22">
      <w:pPr>
        <w:jc w:val="both"/>
        <w:rPr>
          <w:rFonts w:ascii="Arial" w:hAnsi="Arial" w:cs="Arial"/>
          <w:b/>
          <w:lang w:val="es-MX"/>
        </w:rPr>
      </w:pPr>
      <w:r w:rsidRPr="00301730">
        <w:rPr>
          <w:rFonts w:ascii="Arial" w:hAnsi="Arial" w:cs="Arial"/>
          <w:b/>
          <w:lang w:val="es-MX"/>
        </w:rPr>
        <w:t>Del citado informe retomamos las siguientes recomendaciones:</w:t>
      </w:r>
    </w:p>
    <w:p w14:paraId="3BCCFB05" w14:textId="77777777" w:rsidR="00561B22" w:rsidRPr="0030173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01730" w14:paraId="1FAD7D99" w14:textId="77777777" w:rsidTr="00F1223B">
        <w:tc>
          <w:tcPr>
            <w:tcW w:w="562" w:type="dxa"/>
          </w:tcPr>
          <w:p w14:paraId="41C6D10C" w14:textId="77777777" w:rsidR="00561B22" w:rsidRPr="00301730" w:rsidRDefault="00561B22" w:rsidP="00F1223B">
            <w:pPr>
              <w:ind w:right="-109"/>
              <w:jc w:val="center"/>
              <w:rPr>
                <w:rFonts w:ascii="Arial" w:hAnsi="Arial" w:cs="Arial"/>
                <w:b/>
                <w:sz w:val="22"/>
                <w:szCs w:val="22"/>
                <w:lang w:val="es-MX"/>
              </w:rPr>
            </w:pPr>
            <w:r w:rsidRPr="00301730">
              <w:rPr>
                <w:rFonts w:ascii="Arial" w:hAnsi="Arial" w:cs="Arial"/>
                <w:b/>
                <w:sz w:val="22"/>
                <w:szCs w:val="22"/>
                <w:lang w:val="es-MX"/>
              </w:rPr>
              <w:t>N°</w:t>
            </w:r>
          </w:p>
        </w:tc>
        <w:tc>
          <w:tcPr>
            <w:tcW w:w="9400" w:type="dxa"/>
          </w:tcPr>
          <w:p w14:paraId="034E9839"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RECOMENDACIONES</w:t>
            </w:r>
          </w:p>
          <w:p w14:paraId="79327488" w14:textId="77777777" w:rsidR="00561B22" w:rsidRPr="00301730" w:rsidRDefault="00561B22" w:rsidP="00F1223B">
            <w:pPr>
              <w:jc w:val="center"/>
              <w:rPr>
                <w:rFonts w:ascii="Arial" w:hAnsi="Arial" w:cs="Arial"/>
                <w:b/>
                <w:sz w:val="22"/>
                <w:szCs w:val="22"/>
                <w:lang w:val="es-MX"/>
              </w:rPr>
            </w:pPr>
          </w:p>
        </w:tc>
      </w:tr>
      <w:tr w:rsidR="00561B22" w:rsidRPr="00301730" w14:paraId="40589847" w14:textId="77777777" w:rsidTr="00F1223B">
        <w:tc>
          <w:tcPr>
            <w:tcW w:w="562" w:type="dxa"/>
          </w:tcPr>
          <w:p w14:paraId="5DB80842"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1</w:t>
            </w:r>
          </w:p>
        </w:tc>
        <w:tc>
          <w:tcPr>
            <w:tcW w:w="9400" w:type="dxa"/>
          </w:tcPr>
          <w:p w14:paraId="7821B639"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 xml:space="preserve">Continuar con la mejora continua de los procedimientos, manuales, controles, tablas de retención documental y riesgos que se tienen establecidos en relación con el área contable, con el fin de identificar las principales causas que para mejorar la efectividad de los controles de índole contable en el proceso. </w:t>
            </w:r>
          </w:p>
        </w:tc>
      </w:tr>
      <w:tr w:rsidR="00561B22" w:rsidRPr="00301730" w14:paraId="12026D08" w14:textId="77777777" w:rsidTr="00F1223B">
        <w:tc>
          <w:tcPr>
            <w:tcW w:w="562" w:type="dxa"/>
          </w:tcPr>
          <w:p w14:paraId="21D6A11B"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2</w:t>
            </w:r>
          </w:p>
        </w:tc>
        <w:tc>
          <w:tcPr>
            <w:tcW w:w="9400" w:type="dxa"/>
          </w:tcPr>
          <w:p w14:paraId="41EF3CF5"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Existe oportunidad de mejora en cuanto al análisis para identificación de riesgos fiscales en el proceso de gestión financiera.</w:t>
            </w:r>
          </w:p>
        </w:tc>
      </w:tr>
      <w:tr w:rsidR="00561B22" w:rsidRPr="00301730" w14:paraId="772D779E" w14:textId="77777777" w:rsidTr="00F1223B">
        <w:tc>
          <w:tcPr>
            <w:tcW w:w="562" w:type="dxa"/>
          </w:tcPr>
          <w:p w14:paraId="021D8036"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3</w:t>
            </w:r>
          </w:p>
        </w:tc>
        <w:tc>
          <w:tcPr>
            <w:tcW w:w="9400" w:type="dxa"/>
          </w:tcPr>
          <w:p w14:paraId="40CC42DA"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Fortalecer articulación con el proceso Administración de Bienes y Servicios.</w:t>
            </w:r>
          </w:p>
        </w:tc>
      </w:tr>
      <w:tr w:rsidR="00561B22" w:rsidRPr="00301730" w14:paraId="4DAE76E0" w14:textId="77777777" w:rsidTr="00F1223B">
        <w:tc>
          <w:tcPr>
            <w:tcW w:w="562" w:type="dxa"/>
          </w:tcPr>
          <w:p w14:paraId="2652D1C0" w14:textId="77777777" w:rsidR="00561B22" w:rsidRPr="00301730" w:rsidRDefault="00561B22" w:rsidP="00F1223B">
            <w:pPr>
              <w:jc w:val="center"/>
              <w:rPr>
                <w:rFonts w:ascii="Arial" w:hAnsi="Arial" w:cs="Arial"/>
                <w:b/>
                <w:sz w:val="22"/>
                <w:szCs w:val="22"/>
                <w:lang w:val="es-MX"/>
              </w:rPr>
            </w:pPr>
            <w:r w:rsidRPr="00301730">
              <w:rPr>
                <w:rFonts w:ascii="Arial" w:hAnsi="Arial" w:cs="Arial"/>
                <w:b/>
                <w:sz w:val="22"/>
                <w:szCs w:val="22"/>
                <w:lang w:val="es-MX"/>
              </w:rPr>
              <w:t>4</w:t>
            </w:r>
          </w:p>
        </w:tc>
        <w:tc>
          <w:tcPr>
            <w:tcW w:w="9400" w:type="dxa"/>
          </w:tcPr>
          <w:p w14:paraId="52457536" w14:textId="77777777" w:rsidR="00561B22" w:rsidRPr="00301730" w:rsidRDefault="00561B22" w:rsidP="00F1223B">
            <w:pPr>
              <w:jc w:val="both"/>
              <w:rPr>
                <w:rFonts w:ascii="Arial" w:hAnsi="Arial" w:cs="Arial"/>
                <w:bCs/>
                <w:sz w:val="22"/>
                <w:szCs w:val="22"/>
                <w:lang w:val="es-MX"/>
              </w:rPr>
            </w:pPr>
            <w:r w:rsidRPr="00301730">
              <w:rPr>
                <w:rFonts w:ascii="Arial" w:hAnsi="Arial" w:cs="Arial"/>
                <w:bCs/>
                <w:sz w:val="22"/>
                <w:szCs w:val="22"/>
                <w:lang w:val="es-MX"/>
              </w:rPr>
              <w:t>Coordinar con la Asesoría de TI la automatización de procesos contables y almacén, así como el establecimiento de controles automáticos que minimicen los posibles errores en el proceso contable.</w:t>
            </w:r>
          </w:p>
        </w:tc>
      </w:tr>
    </w:tbl>
    <w:p w14:paraId="39135C8C" w14:textId="77777777" w:rsidR="00561B22" w:rsidRPr="00301730" w:rsidRDefault="00561B22" w:rsidP="00561B22">
      <w:pPr>
        <w:pStyle w:val="Textoindependiente"/>
        <w:ind w:right="-50"/>
        <w:jc w:val="both"/>
        <w:rPr>
          <w:rFonts w:ascii="Arial" w:hAnsi="Arial" w:cs="Arial"/>
          <w:b/>
          <w:bCs/>
          <w:sz w:val="28"/>
          <w:szCs w:val="28"/>
        </w:rPr>
      </w:pPr>
    </w:p>
    <w:p w14:paraId="36D2334A" w14:textId="77777777" w:rsidR="00561B22" w:rsidRPr="00301730" w:rsidRDefault="00561B22" w:rsidP="00561B22">
      <w:pPr>
        <w:jc w:val="both"/>
        <w:rPr>
          <w:rFonts w:ascii="Arial" w:hAnsi="Arial" w:cs="Arial"/>
          <w:b/>
          <w:bCs/>
          <w:sz w:val="24"/>
          <w:szCs w:val="24"/>
          <w:lang w:val="es-CO"/>
        </w:rPr>
      </w:pPr>
      <w:r w:rsidRPr="00301730">
        <w:rPr>
          <w:rFonts w:ascii="Arial" w:hAnsi="Arial" w:cs="Arial"/>
          <w:b/>
          <w:bCs/>
          <w:sz w:val="24"/>
          <w:szCs w:val="24"/>
          <w:lang w:val="es-CO"/>
        </w:rPr>
        <w:t xml:space="preserve">NOTA: LA ENTIDAD ENVÍA LA MATRIZ DE AUTOEVALUACIÓN DEL SISTEMA DE CONTROL INTERNO CONTABLE CON ACTIVIDADES DE CONTROL REALIZADAS </w:t>
      </w:r>
      <w:r w:rsidRPr="00301730">
        <w:rPr>
          <w:rFonts w:ascii="Arial" w:hAnsi="Arial" w:cs="Arial"/>
          <w:b/>
          <w:bCs/>
          <w:sz w:val="24"/>
          <w:szCs w:val="24"/>
          <w:u w:val="single"/>
          <w:lang w:val="es-CO"/>
        </w:rPr>
        <w:t>EN FORMA PARCIAL Y OTRAS SIMPLEMENTE INFORMAN QUE NO SE REALIZARON</w:t>
      </w:r>
      <w:r w:rsidRPr="00301730">
        <w:rPr>
          <w:rFonts w:ascii="Arial" w:hAnsi="Arial" w:cs="Arial"/>
          <w:b/>
          <w:bCs/>
          <w:sz w:val="24"/>
          <w:szCs w:val="24"/>
          <w:lang w:val="es-CO"/>
        </w:rPr>
        <w:t>.</w:t>
      </w:r>
    </w:p>
    <w:p w14:paraId="39065BD9" w14:textId="77777777" w:rsidR="00561B22" w:rsidRDefault="00561B22" w:rsidP="00561B22">
      <w:pPr>
        <w:jc w:val="both"/>
        <w:rPr>
          <w:rFonts w:ascii="Arial" w:hAnsi="Arial" w:cs="Arial"/>
          <w:b/>
          <w:bCs/>
          <w:sz w:val="24"/>
          <w:szCs w:val="24"/>
          <w:lang w:val="es-CO"/>
        </w:rPr>
      </w:pPr>
    </w:p>
    <w:p w14:paraId="43FE75FD" w14:textId="77777777" w:rsidR="00561B22" w:rsidRPr="00CD2086" w:rsidRDefault="00561B22" w:rsidP="00561B22">
      <w:pPr>
        <w:jc w:val="both"/>
        <w:rPr>
          <w:rFonts w:ascii="Arial" w:hAnsi="Arial" w:cs="Arial"/>
          <w:b/>
          <w:sz w:val="28"/>
          <w:szCs w:val="28"/>
          <w:lang w:val="es-MX"/>
        </w:rPr>
      </w:pPr>
      <w:r w:rsidRPr="00CD2086">
        <w:rPr>
          <w:rFonts w:ascii="Arial" w:hAnsi="Arial" w:cs="Arial"/>
          <w:b/>
          <w:sz w:val="28"/>
          <w:szCs w:val="28"/>
          <w:lang w:val="es-MX"/>
        </w:rPr>
        <w:t>83.- TRIBUNAL NACIONAL DE ÉTICA MÉDICA.</w:t>
      </w:r>
    </w:p>
    <w:p w14:paraId="140142CE" w14:textId="77777777" w:rsidR="00561B22" w:rsidRDefault="00561B22" w:rsidP="00561B22">
      <w:pPr>
        <w:jc w:val="both"/>
        <w:rPr>
          <w:rFonts w:ascii="Arial" w:hAnsi="Arial" w:cs="Arial"/>
          <w:b/>
          <w:bCs/>
          <w:sz w:val="24"/>
          <w:szCs w:val="24"/>
          <w:lang w:val="es-MX"/>
        </w:rPr>
      </w:pPr>
    </w:p>
    <w:p w14:paraId="0F6C8ECA" w14:textId="77777777" w:rsidR="00561B22" w:rsidRPr="00301730" w:rsidRDefault="00561B22" w:rsidP="00561B22">
      <w:pPr>
        <w:pStyle w:val="Textoindependiente"/>
        <w:ind w:right="-50"/>
        <w:jc w:val="center"/>
        <w:rPr>
          <w:rFonts w:ascii="Arial" w:hAnsi="Arial" w:cs="Arial"/>
          <w:b/>
          <w:bCs/>
        </w:rPr>
      </w:pPr>
      <w:r w:rsidRPr="00301730">
        <w:rPr>
          <w:rFonts w:ascii="Arial" w:hAnsi="Arial" w:cs="Arial"/>
          <w:b/>
          <w:bCs/>
        </w:rPr>
        <w:t>INFORME DE LA AUTOCALIFICACIÓN DEL SISTEMA DE CONTROL INTERNO CONTABLE:</w:t>
      </w:r>
    </w:p>
    <w:p w14:paraId="52AE8677" w14:textId="77777777" w:rsidR="00561B22" w:rsidRPr="00301730" w:rsidRDefault="00561B22" w:rsidP="00561B22">
      <w:pPr>
        <w:pStyle w:val="Textoindependiente"/>
        <w:ind w:right="-50"/>
        <w:jc w:val="center"/>
        <w:rPr>
          <w:rFonts w:ascii="Arial" w:hAnsi="Arial" w:cs="Arial"/>
          <w:b/>
          <w:bCs/>
        </w:rPr>
      </w:pPr>
    </w:p>
    <w:p w14:paraId="0C696E15" w14:textId="77777777" w:rsidR="00561B22" w:rsidRPr="00301730" w:rsidRDefault="00561B22" w:rsidP="00561B22">
      <w:pPr>
        <w:jc w:val="both"/>
        <w:rPr>
          <w:rFonts w:ascii="Arial" w:hAnsi="Arial" w:cs="Arial"/>
          <w:b/>
          <w:bCs/>
          <w:sz w:val="24"/>
          <w:szCs w:val="24"/>
          <w:lang w:val="es-CO"/>
        </w:rPr>
      </w:pPr>
      <w:r w:rsidRPr="00301730">
        <w:rPr>
          <w:rFonts w:ascii="Arial" w:hAnsi="Arial" w:cs="Arial"/>
          <w:b/>
          <w:bCs/>
          <w:sz w:val="24"/>
          <w:szCs w:val="24"/>
          <w:lang w:val="es-CO"/>
        </w:rPr>
        <w:t xml:space="preserve">NOTA: LA ENTIDAD ENVÍA LA MATRIZ DE AUTOEVALUACIÓN DEL SISTEMA DE CONTROL INTERNO CONTABLE CON ACTIVIDADES DE CONTROL REALIZADAS </w:t>
      </w:r>
      <w:r w:rsidRPr="00301730">
        <w:rPr>
          <w:rFonts w:ascii="Arial" w:hAnsi="Arial" w:cs="Arial"/>
          <w:b/>
          <w:bCs/>
          <w:sz w:val="24"/>
          <w:szCs w:val="24"/>
          <w:u w:val="single"/>
          <w:lang w:val="es-CO"/>
        </w:rPr>
        <w:t>EN FORMA PARCIAL Y OTRAS SIMPLEMENTE INFORMAN QUE NO SE REALIZARON</w:t>
      </w:r>
      <w:r w:rsidRPr="00301730">
        <w:rPr>
          <w:rFonts w:ascii="Arial" w:hAnsi="Arial" w:cs="Arial"/>
          <w:b/>
          <w:bCs/>
          <w:sz w:val="24"/>
          <w:szCs w:val="24"/>
          <w:lang w:val="es-CO"/>
        </w:rPr>
        <w:t>.</w:t>
      </w:r>
    </w:p>
    <w:p w14:paraId="43B0CFDB" w14:textId="77777777" w:rsidR="00561B22" w:rsidRDefault="00561B22" w:rsidP="00561B22">
      <w:pPr>
        <w:jc w:val="both"/>
        <w:rPr>
          <w:rFonts w:ascii="Arial" w:hAnsi="Arial" w:cs="Arial"/>
          <w:b/>
          <w:bCs/>
          <w:sz w:val="24"/>
          <w:szCs w:val="24"/>
          <w:lang w:val="es-CO"/>
        </w:rPr>
      </w:pPr>
    </w:p>
    <w:p w14:paraId="7122CF2F" w14:textId="77777777" w:rsidR="00561B22" w:rsidRPr="00494AFB" w:rsidRDefault="00561B22" w:rsidP="00561B22">
      <w:pPr>
        <w:jc w:val="both"/>
        <w:rPr>
          <w:rFonts w:ascii="Arial" w:hAnsi="Arial" w:cs="Arial"/>
          <w:b/>
          <w:sz w:val="28"/>
          <w:szCs w:val="28"/>
          <w:lang w:val="es-MX"/>
        </w:rPr>
      </w:pPr>
      <w:r w:rsidRPr="00494AFB">
        <w:rPr>
          <w:rFonts w:ascii="Arial" w:hAnsi="Arial" w:cs="Arial"/>
          <w:b/>
          <w:sz w:val="28"/>
          <w:szCs w:val="28"/>
          <w:lang w:val="es-MX"/>
        </w:rPr>
        <w:t>84.- ARTESANÍAS DE COLOMBIA S.A.</w:t>
      </w:r>
    </w:p>
    <w:p w14:paraId="5F733AFA" w14:textId="77777777" w:rsidR="00561B22" w:rsidRDefault="00561B22" w:rsidP="00561B22">
      <w:pPr>
        <w:jc w:val="both"/>
        <w:rPr>
          <w:rFonts w:ascii="Arial" w:hAnsi="Arial" w:cs="Arial"/>
          <w:b/>
          <w:bCs/>
          <w:sz w:val="24"/>
          <w:szCs w:val="24"/>
          <w:lang w:val="es-MX"/>
        </w:rPr>
      </w:pPr>
    </w:p>
    <w:p w14:paraId="62AA813A" w14:textId="77777777" w:rsidR="00561B22" w:rsidRPr="00494AFB" w:rsidRDefault="00561B22" w:rsidP="00561B22">
      <w:pPr>
        <w:pStyle w:val="Textoindependiente"/>
        <w:ind w:right="-50"/>
        <w:jc w:val="both"/>
        <w:rPr>
          <w:rFonts w:ascii="Arial" w:hAnsi="Arial" w:cs="Arial"/>
          <w:b/>
          <w:bCs/>
        </w:rPr>
      </w:pPr>
      <w:r w:rsidRPr="00494AFB">
        <w:rPr>
          <w:rFonts w:ascii="Arial" w:hAnsi="Arial" w:cs="Arial"/>
          <w:b/>
          <w:bCs/>
        </w:rPr>
        <w:t>INFORME DE LA AUTOCALIFICACIÓN DEL SISTEMA DE CONTROL INTERNO CONTABLE:</w:t>
      </w:r>
    </w:p>
    <w:p w14:paraId="422C8A4D" w14:textId="77777777" w:rsidR="00561B22" w:rsidRDefault="00561B22" w:rsidP="00561B22">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494AFB" w14:paraId="4D181838" w14:textId="77777777" w:rsidTr="00F1223B">
        <w:tc>
          <w:tcPr>
            <w:tcW w:w="4981" w:type="dxa"/>
          </w:tcPr>
          <w:p w14:paraId="41C28BF5" w14:textId="77777777" w:rsidR="00561B22" w:rsidRPr="00494AFB" w:rsidRDefault="00561B22" w:rsidP="00F1223B">
            <w:pPr>
              <w:jc w:val="center"/>
              <w:rPr>
                <w:rFonts w:ascii="Arial" w:hAnsi="Arial" w:cs="Arial"/>
                <w:b/>
                <w:sz w:val="22"/>
                <w:szCs w:val="22"/>
                <w:lang w:val="es-MX"/>
              </w:rPr>
            </w:pPr>
            <w:r w:rsidRPr="00494AFB">
              <w:rPr>
                <w:rFonts w:ascii="Arial" w:hAnsi="Arial" w:cs="Arial"/>
                <w:b/>
                <w:sz w:val="22"/>
                <w:szCs w:val="22"/>
                <w:lang w:val="es-MX"/>
              </w:rPr>
              <w:t>AUTOCALIFICACIÓN</w:t>
            </w:r>
          </w:p>
        </w:tc>
        <w:tc>
          <w:tcPr>
            <w:tcW w:w="4981" w:type="dxa"/>
          </w:tcPr>
          <w:p w14:paraId="5F8003A1" w14:textId="77777777" w:rsidR="00561B22" w:rsidRPr="00494AFB" w:rsidRDefault="00561B22" w:rsidP="00F1223B">
            <w:pPr>
              <w:jc w:val="center"/>
              <w:rPr>
                <w:rFonts w:ascii="Arial" w:hAnsi="Arial" w:cs="Arial"/>
                <w:b/>
                <w:sz w:val="22"/>
                <w:szCs w:val="22"/>
                <w:u w:val="single"/>
                <w:lang w:val="es-MX"/>
              </w:rPr>
            </w:pPr>
            <w:r w:rsidRPr="00494AFB">
              <w:rPr>
                <w:rFonts w:ascii="Arial" w:hAnsi="Arial" w:cs="Arial"/>
                <w:b/>
                <w:sz w:val="22"/>
                <w:szCs w:val="22"/>
                <w:u w:val="single"/>
                <w:lang w:val="es-MX"/>
              </w:rPr>
              <w:t>4.79</w:t>
            </w:r>
          </w:p>
        </w:tc>
      </w:tr>
    </w:tbl>
    <w:p w14:paraId="3066094A" w14:textId="77777777" w:rsidR="00561B22" w:rsidRPr="00494AFB" w:rsidRDefault="00561B22" w:rsidP="00561B22">
      <w:pPr>
        <w:pStyle w:val="Textoindependiente"/>
        <w:ind w:right="-50"/>
        <w:jc w:val="both"/>
        <w:rPr>
          <w:rFonts w:ascii="Arial" w:hAnsi="Arial" w:cs="Arial"/>
          <w:b/>
          <w:bCs/>
        </w:rPr>
      </w:pPr>
    </w:p>
    <w:p w14:paraId="557F39C4" w14:textId="77777777" w:rsidR="00561B22" w:rsidRPr="00494AFB" w:rsidRDefault="00561B22" w:rsidP="00561B22">
      <w:pPr>
        <w:pStyle w:val="Textoindependiente"/>
        <w:ind w:right="-50"/>
        <w:jc w:val="both"/>
        <w:rPr>
          <w:rFonts w:ascii="Arial" w:hAnsi="Arial" w:cs="Arial"/>
          <w:b/>
          <w:bCs/>
        </w:rPr>
      </w:pPr>
      <w:r w:rsidRPr="00494AFB">
        <w:rPr>
          <w:rFonts w:ascii="Arial" w:hAnsi="Arial" w:cs="Arial"/>
          <w:b/>
          <w:bCs/>
        </w:rPr>
        <w:t>Del informe enviado retomamos lo siguiente:</w:t>
      </w:r>
    </w:p>
    <w:p w14:paraId="0CD804E6" w14:textId="77777777" w:rsidR="00561B22" w:rsidRPr="00494AF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94AFB" w14:paraId="31E4AA39" w14:textId="77777777" w:rsidTr="00F1223B">
        <w:tc>
          <w:tcPr>
            <w:tcW w:w="562" w:type="dxa"/>
          </w:tcPr>
          <w:p w14:paraId="5640A639" w14:textId="77777777" w:rsidR="00561B22" w:rsidRPr="00494AFB" w:rsidRDefault="00561B22" w:rsidP="00F1223B">
            <w:pPr>
              <w:ind w:right="-109"/>
              <w:jc w:val="center"/>
              <w:rPr>
                <w:rFonts w:ascii="Arial" w:hAnsi="Arial" w:cs="Arial"/>
                <w:b/>
                <w:sz w:val="22"/>
                <w:szCs w:val="22"/>
                <w:lang w:val="es-MX"/>
              </w:rPr>
            </w:pPr>
            <w:r w:rsidRPr="00494AFB">
              <w:rPr>
                <w:rFonts w:ascii="Arial" w:hAnsi="Arial" w:cs="Arial"/>
                <w:b/>
                <w:sz w:val="22"/>
                <w:szCs w:val="22"/>
                <w:lang w:val="es-MX"/>
              </w:rPr>
              <w:t>N°</w:t>
            </w:r>
          </w:p>
        </w:tc>
        <w:tc>
          <w:tcPr>
            <w:tcW w:w="9400" w:type="dxa"/>
          </w:tcPr>
          <w:p w14:paraId="0935BB2B" w14:textId="77777777" w:rsidR="00561B22" w:rsidRPr="00494AFB" w:rsidRDefault="00561B22" w:rsidP="00F1223B">
            <w:pPr>
              <w:jc w:val="center"/>
              <w:rPr>
                <w:rFonts w:ascii="Arial" w:hAnsi="Arial" w:cs="Arial"/>
                <w:b/>
                <w:sz w:val="22"/>
                <w:szCs w:val="22"/>
                <w:lang w:val="es-MX"/>
              </w:rPr>
            </w:pPr>
            <w:r w:rsidRPr="00494AFB">
              <w:rPr>
                <w:rFonts w:ascii="Arial" w:hAnsi="Arial" w:cs="Arial"/>
                <w:b/>
                <w:sz w:val="22"/>
                <w:szCs w:val="22"/>
                <w:lang w:val="es-MX"/>
              </w:rPr>
              <w:t>DEBILIDADES</w:t>
            </w:r>
          </w:p>
          <w:p w14:paraId="6D5A07A8" w14:textId="77777777" w:rsidR="00561B22" w:rsidRPr="00494AFB" w:rsidRDefault="00561B22" w:rsidP="00F1223B">
            <w:pPr>
              <w:jc w:val="center"/>
              <w:rPr>
                <w:rFonts w:ascii="Arial" w:hAnsi="Arial" w:cs="Arial"/>
                <w:b/>
                <w:sz w:val="22"/>
                <w:szCs w:val="22"/>
                <w:lang w:val="es-MX"/>
              </w:rPr>
            </w:pPr>
          </w:p>
        </w:tc>
      </w:tr>
      <w:tr w:rsidR="00561B22" w:rsidRPr="00494AFB" w14:paraId="40491EDB" w14:textId="77777777" w:rsidTr="00F1223B">
        <w:tc>
          <w:tcPr>
            <w:tcW w:w="562" w:type="dxa"/>
          </w:tcPr>
          <w:p w14:paraId="2C631FA7" w14:textId="77777777" w:rsidR="00561B22" w:rsidRPr="00494AFB" w:rsidRDefault="00561B22" w:rsidP="00F1223B">
            <w:pPr>
              <w:jc w:val="center"/>
              <w:rPr>
                <w:rFonts w:ascii="Arial" w:hAnsi="Arial" w:cs="Arial"/>
                <w:b/>
                <w:sz w:val="22"/>
                <w:szCs w:val="22"/>
                <w:lang w:val="es-MX"/>
              </w:rPr>
            </w:pPr>
            <w:r w:rsidRPr="00494AFB">
              <w:rPr>
                <w:rFonts w:ascii="Arial" w:hAnsi="Arial" w:cs="Arial"/>
                <w:b/>
                <w:sz w:val="22"/>
                <w:szCs w:val="22"/>
                <w:lang w:val="es-MX"/>
              </w:rPr>
              <w:t>1</w:t>
            </w:r>
          </w:p>
        </w:tc>
        <w:tc>
          <w:tcPr>
            <w:tcW w:w="9400" w:type="dxa"/>
          </w:tcPr>
          <w:p w14:paraId="71C2266D" w14:textId="77777777" w:rsidR="00561B22" w:rsidRPr="00494AFB" w:rsidRDefault="00561B22" w:rsidP="00F1223B">
            <w:pPr>
              <w:rPr>
                <w:rFonts w:ascii="Arial" w:hAnsi="Arial" w:cs="Arial"/>
                <w:sz w:val="22"/>
                <w:szCs w:val="22"/>
                <w:lang w:val="es-MX"/>
              </w:rPr>
            </w:pPr>
            <w:r w:rsidRPr="00494AFB">
              <w:rPr>
                <w:rFonts w:ascii="Arial" w:hAnsi="Arial" w:cs="Arial"/>
                <w:sz w:val="22"/>
                <w:szCs w:val="22"/>
                <w:lang w:val="es-MX"/>
              </w:rPr>
              <w:t>Fortalecer Socializaciones</w:t>
            </w:r>
          </w:p>
        </w:tc>
      </w:tr>
    </w:tbl>
    <w:p w14:paraId="503189C1" w14:textId="77777777" w:rsidR="00561B22" w:rsidRPr="00494AFB" w:rsidRDefault="00561B22" w:rsidP="00561B22">
      <w:pPr>
        <w:pStyle w:val="Textoindependiente"/>
        <w:ind w:right="-50"/>
        <w:jc w:val="both"/>
        <w:rPr>
          <w:rFonts w:ascii="Arial" w:hAnsi="Arial" w:cs="Arial"/>
          <w:b/>
          <w:bCs/>
        </w:rPr>
      </w:pPr>
    </w:p>
    <w:p w14:paraId="177E94EC" w14:textId="77777777" w:rsidR="00561B22" w:rsidRPr="00494AFB" w:rsidRDefault="00561B22" w:rsidP="00561B22">
      <w:pPr>
        <w:jc w:val="both"/>
        <w:rPr>
          <w:rFonts w:ascii="Arial" w:hAnsi="Arial" w:cs="Arial"/>
          <w:b/>
          <w:lang w:val="es-MX"/>
        </w:rPr>
      </w:pPr>
      <w:r w:rsidRPr="00494AFB">
        <w:rPr>
          <w:rFonts w:ascii="Arial" w:hAnsi="Arial" w:cs="Arial"/>
          <w:b/>
          <w:lang w:val="es-MX"/>
        </w:rPr>
        <w:t>Del citado informe retomamos las siguientes recomendaciones:</w:t>
      </w:r>
    </w:p>
    <w:p w14:paraId="6E23D31C" w14:textId="77777777" w:rsidR="00561B22" w:rsidRPr="00494AFB"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94AFB" w14:paraId="6B163F1A" w14:textId="77777777" w:rsidTr="00F1223B">
        <w:tc>
          <w:tcPr>
            <w:tcW w:w="562" w:type="dxa"/>
          </w:tcPr>
          <w:p w14:paraId="6F66CDE8" w14:textId="77777777" w:rsidR="00561B22" w:rsidRPr="00494AFB" w:rsidRDefault="00561B22" w:rsidP="00F1223B">
            <w:pPr>
              <w:ind w:right="-109"/>
              <w:jc w:val="center"/>
              <w:rPr>
                <w:rFonts w:ascii="Arial" w:hAnsi="Arial" w:cs="Arial"/>
                <w:b/>
                <w:sz w:val="22"/>
                <w:szCs w:val="22"/>
                <w:lang w:val="es-MX"/>
              </w:rPr>
            </w:pPr>
            <w:r w:rsidRPr="00494AFB">
              <w:rPr>
                <w:rFonts w:ascii="Arial" w:hAnsi="Arial" w:cs="Arial"/>
                <w:b/>
                <w:sz w:val="22"/>
                <w:szCs w:val="22"/>
                <w:lang w:val="es-MX"/>
              </w:rPr>
              <w:t>N°</w:t>
            </w:r>
          </w:p>
        </w:tc>
        <w:tc>
          <w:tcPr>
            <w:tcW w:w="9400" w:type="dxa"/>
          </w:tcPr>
          <w:p w14:paraId="55F63D7C" w14:textId="77777777" w:rsidR="00561B22" w:rsidRPr="00494AFB" w:rsidRDefault="00561B22" w:rsidP="00F1223B">
            <w:pPr>
              <w:jc w:val="center"/>
              <w:rPr>
                <w:rFonts w:ascii="Arial" w:hAnsi="Arial" w:cs="Arial"/>
                <w:b/>
                <w:sz w:val="22"/>
                <w:szCs w:val="22"/>
                <w:lang w:val="es-MX"/>
              </w:rPr>
            </w:pPr>
            <w:r w:rsidRPr="00494AFB">
              <w:rPr>
                <w:rFonts w:ascii="Arial" w:hAnsi="Arial" w:cs="Arial"/>
                <w:b/>
                <w:sz w:val="22"/>
                <w:szCs w:val="22"/>
                <w:lang w:val="es-MX"/>
              </w:rPr>
              <w:t>RECOMENDACIONES</w:t>
            </w:r>
          </w:p>
          <w:p w14:paraId="62A18FCB" w14:textId="77777777" w:rsidR="00561B22" w:rsidRPr="00494AFB" w:rsidRDefault="00561B22" w:rsidP="00F1223B">
            <w:pPr>
              <w:jc w:val="center"/>
              <w:rPr>
                <w:rFonts w:ascii="Arial" w:hAnsi="Arial" w:cs="Arial"/>
                <w:b/>
                <w:sz w:val="22"/>
                <w:szCs w:val="22"/>
                <w:lang w:val="es-MX"/>
              </w:rPr>
            </w:pPr>
          </w:p>
        </w:tc>
      </w:tr>
      <w:tr w:rsidR="00561B22" w:rsidRPr="00494AFB" w14:paraId="1465A80B" w14:textId="77777777" w:rsidTr="00F1223B">
        <w:tc>
          <w:tcPr>
            <w:tcW w:w="562" w:type="dxa"/>
          </w:tcPr>
          <w:p w14:paraId="4F7FB8E9" w14:textId="77777777" w:rsidR="00561B22" w:rsidRPr="00494AFB" w:rsidRDefault="00561B22" w:rsidP="00F1223B">
            <w:pPr>
              <w:jc w:val="center"/>
              <w:rPr>
                <w:rFonts w:ascii="Arial" w:hAnsi="Arial" w:cs="Arial"/>
                <w:b/>
                <w:sz w:val="22"/>
                <w:szCs w:val="22"/>
                <w:lang w:val="es-MX"/>
              </w:rPr>
            </w:pPr>
            <w:r w:rsidRPr="00494AFB">
              <w:rPr>
                <w:rFonts w:ascii="Arial" w:hAnsi="Arial" w:cs="Arial"/>
                <w:b/>
                <w:sz w:val="22"/>
                <w:szCs w:val="22"/>
                <w:lang w:val="es-MX"/>
              </w:rPr>
              <w:t>1</w:t>
            </w:r>
          </w:p>
        </w:tc>
        <w:tc>
          <w:tcPr>
            <w:tcW w:w="9400" w:type="dxa"/>
          </w:tcPr>
          <w:p w14:paraId="71E5B535" w14:textId="77777777" w:rsidR="00561B22" w:rsidRPr="00494AFB" w:rsidRDefault="00561B22" w:rsidP="00F1223B">
            <w:pPr>
              <w:rPr>
                <w:rFonts w:ascii="Arial" w:hAnsi="Arial" w:cs="Arial"/>
                <w:sz w:val="22"/>
                <w:szCs w:val="22"/>
                <w:lang w:val="es-MX"/>
              </w:rPr>
            </w:pPr>
            <w:r w:rsidRPr="00494AFB">
              <w:rPr>
                <w:rFonts w:ascii="Arial" w:hAnsi="Arial" w:cs="Arial"/>
                <w:sz w:val="22"/>
                <w:szCs w:val="22"/>
                <w:lang w:val="es-MX"/>
              </w:rPr>
              <w:t>Se recomienda fortalecer las socializaciones</w:t>
            </w:r>
          </w:p>
        </w:tc>
      </w:tr>
      <w:tr w:rsidR="00561B22" w:rsidRPr="00494AFB" w14:paraId="779493B3" w14:textId="77777777" w:rsidTr="00F1223B">
        <w:tc>
          <w:tcPr>
            <w:tcW w:w="562" w:type="dxa"/>
          </w:tcPr>
          <w:p w14:paraId="1AEC7628" w14:textId="77777777" w:rsidR="00561B22" w:rsidRPr="00494AFB" w:rsidRDefault="00561B22" w:rsidP="00F1223B">
            <w:pPr>
              <w:jc w:val="center"/>
              <w:rPr>
                <w:rFonts w:ascii="Arial" w:hAnsi="Arial" w:cs="Arial"/>
                <w:b/>
                <w:sz w:val="22"/>
                <w:szCs w:val="22"/>
                <w:lang w:val="es-MX"/>
              </w:rPr>
            </w:pPr>
            <w:r w:rsidRPr="00494AFB">
              <w:rPr>
                <w:rFonts w:ascii="Arial" w:hAnsi="Arial" w:cs="Arial"/>
                <w:b/>
                <w:sz w:val="22"/>
                <w:szCs w:val="22"/>
                <w:lang w:val="es-MX"/>
              </w:rPr>
              <w:t>2</w:t>
            </w:r>
          </w:p>
        </w:tc>
        <w:tc>
          <w:tcPr>
            <w:tcW w:w="9400" w:type="dxa"/>
          </w:tcPr>
          <w:p w14:paraId="7C7D8CEE" w14:textId="77777777" w:rsidR="00561B22" w:rsidRPr="00494AFB" w:rsidRDefault="00561B22" w:rsidP="00F1223B">
            <w:pPr>
              <w:rPr>
                <w:rFonts w:ascii="Arial" w:hAnsi="Arial" w:cs="Arial"/>
                <w:sz w:val="22"/>
                <w:szCs w:val="22"/>
                <w:lang w:val="es-MX"/>
              </w:rPr>
            </w:pPr>
            <w:r w:rsidRPr="00494AFB">
              <w:rPr>
                <w:rFonts w:ascii="Arial" w:hAnsi="Arial" w:cs="Arial"/>
                <w:sz w:val="22"/>
                <w:szCs w:val="22"/>
                <w:lang w:val="es-MX"/>
              </w:rPr>
              <w:t>Culminar la actualización, publicación y socialización de los procedimientos</w:t>
            </w:r>
          </w:p>
        </w:tc>
      </w:tr>
    </w:tbl>
    <w:p w14:paraId="19F32301" w14:textId="77777777" w:rsidR="00561B22" w:rsidRPr="00494AFB" w:rsidRDefault="00561B22" w:rsidP="00561B22">
      <w:pPr>
        <w:pStyle w:val="Textoindependiente"/>
        <w:ind w:right="-50"/>
        <w:jc w:val="both"/>
        <w:rPr>
          <w:rFonts w:ascii="Arial" w:hAnsi="Arial" w:cs="Arial"/>
          <w:b/>
          <w:bCs/>
        </w:rPr>
      </w:pPr>
    </w:p>
    <w:p w14:paraId="1F92A346" w14:textId="77777777" w:rsidR="00561B22" w:rsidRPr="00494AFB" w:rsidRDefault="00561B22" w:rsidP="00561B22">
      <w:pPr>
        <w:jc w:val="both"/>
        <w:rPr>
          <w:rFonts w:ascii="Arial" w:hAnsi="Arial" w:cs="Arial"/>
          <w:b/>
          <w:bCs/>
          <w:sz w:val="24"/>
          <w:szCs w:val="24"/>
          <w:lang w:val="es-CO"/>
        </w:rPr>
      </w:pPr>
      <w:r w:rsidRPr="00494AFB">
        <w:rPr>
          <w:rFonts w:ascii="Arial" w:hAnsi="Arial" w:cs="Arial"/>
          <w:b/>
          <w:bCs/>
          <w:sz w:val="24"/>
          <w:szCs w:val="24"/>
          <w:lang w:val="es-CO"/>
        </w:rPr>
        <w:t xml:space="preserve">NOTA: LA ENTIDAD ENVIA LA MATRIZ DE AUTOEVALUACIÓN DEL SISTEMA DE CONTROL INTERNO CONTABLE CON </w:t>
      </w:r>
      <w:r w:rsidRPr="00494AFB">
        <w:rPr>
          <w:rFonts w:ascii="Arial" w:hAnsi="Arial" w:cs="Arial"/>
          <w:b/>
          <w:bCs/>
          <w:sz w:val="24"/>
          <w:szCs w:val="24"/>
          <w:u w:val="single"/>
          <w:lang w:val="es-CO"/>
        </w:rPr>
        <w:t>ACTIVIDADES DE CONTROL REALIZADAS EN FORMA PARCIAL</w:t>
      </w:r>
      <w:r w:rsidRPr="00494AFB">
        <w:rPr>
          <w:rFonts w:ascii="Arial" w:hAnsi="Arial" w:cs="Arial"/>
          <w:b/>
          <w:bCs/>
          <w:sz w:val="24"/>
          <w:szCs w:val="24"/>
          <w:lang w:val="es-CO"/>
        </w:rPr>
        <w:t>.</w:t>
      </w:r>
    </w:p>
    <w:p w14:paraId="578E79F6" w14:textId="77777777" w:rsidR="00561B22" w:rsidRPr="00494AFB" w:rsidRDefault="00561B22" w:rsidP="00561B22">
      <w:pPr>
        <w:pStyle w:val="Textoindependiente"/>
        <w:ind w:right="-50"/>
        <w:jc w:val="both"/>
        <w:rPr>
          <w:rFonts w:ascii="Arial" w:hAnsi="Arial" w:cs="Arial"/>
          <w:b/>
          <w:bCs/>
          <w:sz w:val="28"/>
          <w:szCs w:val="28"/>
          <w:lang w:val="es-CO"/>
        </w:rPr>
      </w:pPr>
    </w:p>
    <w:p w14:paraId="0FE9C1CA" w14:textId="77777777" w:rsidR="00561B22" w:rsidRPr="00B85419" w:rsidRDefault="00561B22" w:rsidP="00561B22">
      <w:pPr>
        <w:jc w:val="both"/>
        <w:rPr>
          <w:rFonts w:ascii="Arial" w:hAnsi="Arial" w:cs="Arial"/>
          <w:b/>
          <w:sz w:val="28"/>
          <w:szCs w:val="28"/>
          <w:lang w:val="es-MX"/>
        </w:rPr>
      </w:pPr>
      <w:r w:rsidRPr="00B85419">
        <w:rPr>
          <w:rFonts w:ascii="Arial" w:hAnsi="Arial" w:cs="Arial"/>
          <w:b/>
          <w:sz w:val="28"/>
          <w:szCs w:val="28"/>
          <w:lang w:val="es-MX"/>
        </w:rPr>
        <w:t>85.- CONTADURÍA GENERAL DE LA NACIÓN.</w:t>
      </w:r>
    </w:p>
    <w:p w14:paraId="15BC19AF" w14:textId="77777777" w:rsidR="00561B22" w:rsidRDefault="00561B22" w:rsidP="00561B22">
      <w:pPr>
        <w:jc w:val="both"/>
        <w:rPr>
          <w:rFonts w:ascii="Arial" w:hAnsi="Arial" w:cs="Arial"/>
          <w:b/>
          <w:bCs/>
          <w:sz w:val="24"/>
          <w:szCs w:val="24"/>
          <w:lang w:val="es-MX"/>
        </w:rPr>
      </w:pPr>
    </w:p>
    <w:p w14:paraId="6C3203FF" w14:textId="77777777" w:rsidR="00561B22" w:rsidRPr="005E5357" w:rsidRDefault="00561B22" w:rsidP="00561B22">
      <w:pPr>
        <w:pStyle w:val="Textoindependiente"/>
        <w:ind w:right="-50"/>
        <w:jc w:val="center"/>
        <w:rPr>
          <w:rFonts w:ascii="Arial" w:hAnsi="Arial" w:cs="Arial"/>
          <w:b/>
          <w:bCs/>
        </w:rPr>
      </w:pPr>
      <w:r w:rsidRPr="005E5357">
        <w:rPr>
          <w:rFonts w:ascii="Arial" w:hAnsi="Arial" w:cs="Arial"/>
          <w:b/>
          <w:bCs/>
        </w:rPr>
        <w:t>INFORME DE LA AUTOCALIFICACIÓN DEL SISTEMA DE CONTROL INTERNO CONTABLE:</w:t>
      </w:r>
    </w:p>
    <w:p w14:paraId="55D03B08" w14:textId="77777777" w:rsidR="00561B22" w:rsidRPr="005E5357"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5E5357" w14:paraId="407115E8" w14:textId="77777777" w:rsidTr="00F1223B">
        <w:tc>
          <w:tcPr>
            <w:tcW w:w="4981" w:type="dxa"/>
          </w:tcPr>
          <w:p w14:paraId="3075833D" w14:textId="77777777" w:rsidR="00561B22" w:rsidRPr="005E5357" w:rsidRDefault="00561B22" w:rsidP="00F1223B">
            <w:pPr>
              <w:jc w:val="center"/>
              <w:rPr>
                <w:rFonts w:ascii="Arial" w:hAnsi="Arial" w:cs="Arial"/>
                <w:b/>
                <w:sz w:val="22"/>
                <w:szCs w:val="22"/>
                <w:lang w:val="es-MX"/>
              </w:rPr>
            </w:pPr>
            <w:r w:rsidRPr="005E5357">
              <w:rPr>
                <w:rFonts w:ascii="Arial" w:hAnsi="Arial" w:cs="Arial"/>
                <w:b/>
                <w:sz w:val="22"/>
                <w:szCs w:val="22"/>
                <w:lang w:val="es-MX"/>
              </w:rPr>
              <w:t>AUTOCALIFICACIÓN</w:t>
            </w:r>
          </w:p>
        </w:tc>
        <w:tc>
          <w:tcPr>
            <w:tcW w:w="4981" w:type="dxa"/>
          </w:tcPr>
          <w:p w14:paraId="27389321" w14:textId="77777777" w:rsidR="00561B22" w:rsidRPr="005E5357" w:rsidRDefault="00561B22" w:rsidP="00F1223B">
            <w:pPr>
              <w:jc w:val="center"/>
              <w:rPr>
                <w:rFonts w:ascii="Arial" w:hAnsi="Arial" w:cs="Arial"/>
                <w:b/>
                <w:sz w:val="22"/>
                <w:szCs w:val="22"/>
                <w:u w:val="single"/>
                <w:lang w:val="es-MX"/>
              </w:rPr>
            </w:pPr>
            <w:r w:rsidRPr="005E5357">
              <w:rPr>
                <w:rFonts w:ascii="Arial" w:hAnsi="Arial" w:cs="Arial"/>
                <w:b/>
                <w:sz w:val="22"/>
                <w:szCs w:val="22"/>
                <w:u w:val="single"/>
                <w:lang w:val="es-MX"/>
              </w:rPr>
              <w:t>4.87</w:t>
            </w:r>
          </w:p>
        </w:tc>
      </w:tr>
    </w:tbl>
    <w:p w14:paraId="4D62329B" w14:textId="77777777" w:rsidR="00561B22" w:rsidRPr="005E5357" w:rsidRDefault="00561B22" w:rsidP="00561B22">
      <w:pPr>
        <w:pStyle w:val="Textoindependiente"/>
        <w:ind w:right="-50"/>
        <w:jc w:val="both"/>
        <w:rPr>
          <w:rFonts w:ascii="Arial" w:hAnsi="Arial" w:cs="Arial"/>
          <w:b/>
          <w:bCs/>
        </w:rPr>
      </w:pPr>
    </w:p>
    <w:p w14:paraId="4B3C4F88" w14:textId="77777777" w:rsidR="00561B22" w:rsidRPr="005E5357" w:rsidRDefault="00561B22" w:rsidP="00561B22">
      <w:pPr>
        <w:pStyle w:val="Textoindependiente"/>
        <w:ind w:right="-50"/>
        <w:jc w:val="both"/>
        <w:rPr>
          <w:rFonts w:ascii="Arial" w:hAnsi="Arial" w:cs="Arial"/>
          <w:b/>
          <w:bCs/>
        </w:rPr>
      </w:pPr>
      <w:r w:rsidRPr="005E5357">
        <w:rPr>
          <w:rFonts w:ascii="Arial" w:hAnsi="Arial" w:cs="Arial"/>
          <w:b/>
          <w:bCs/>
        </w:rPr>
        <w:t>Del informe enviado retomamos lo siguiente:</w:t>
      </w:r>
    </w:p>
    <w:p w14:paraId="63C3EB79" w14:textId="77777777" w:rsidR="00561B22" w:rsidRPr="005E535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E5357" w14:paraId="4246087B" w14:textId="77777777" w:rsidTr="00F1223B">
        <w:tc>
          <w:tcPr>
            <w:tcW w:w="562" w:type="dxa"/>
          </w:tcPr>
          <w:p w14:paraId="6E2D5D57" w14:textId="77777777" w:rsidR="00561B22" w:rsidRPr="005E5357" w:rsidRDefault="00561B22" w:rsidP="00F1223B">
            <w:pPr>
              <w:ind w:right="-109"/>
              <w:jc w:val="center"/>
              <w:rPr>
                <w:rFonts w:ascii="Arial" w:hAnsi="Arial" w:cs="Arial"/>
                <w:b/>
                <w:sz w:val="22"/>
                <w:szCs w:val="22"/>
                <w:lang w:val="es-MX"/>
              </w:rPr>
            </w:pPr>
            <w:r w:rsidRPr="005E5357">
              <w:rPr>
                <w:rFonts w:ascii="Arial" w:hAnsi="Arial" w:cs="Arial"/>
                <w:b/>
                <w:sz w:val="22"/>
                <w:szCs w:val="22"/>
                <w:lang w:val="es-MX"/>
              </w:rPr>
              <w:t>N°</w:t>
            </w:r>
          </w:p>
        </w:tc>
        <w:tc>
          <w:tcPr>
            <w:tcW w:w="9400" w:type="dxa"/>
          </w:tcPr>
          <w:p w14:paraId="5D62D162" w14:textId="77777777" w:rsidR="00561B22" w:rsidRPr="005E5357" w:rsidRDefault="00561B22" w:rsidP="00F1223B">
            <w:pPr>
              <w:jc w:val="center"/>
              <w:rPr>
                <w:rFonts w:ascii="Arial" w:hAnsi="Arial" w:cs="Arial"/>
                <w:b/>
                <w:sz w:val="22"/>
                <w:szCs w:val="22"/>
                <w:lang w:val="es-MX"/>
              </w:rPr>
            </w:pPr>
            <w:r w:rsidRPr="005E5357">
              <w:rPr>
                <w:rFonts w:ascii="Arial" w:hAnsi="Arial" w:cs="Arial"/>
                <w:b/>
                <w:sz w:val="22"/>
                <w:szCs w:val="22"/>
                <w:lang w:val="es-MX"/>
              </w:rPr>
              <w:t>DEBILIDADES</w:t>
            </w:r>
          </w:p>
          <w:p w14:paraId="33078354" w14:textId="77777777" w:rsidR="00561B22" w:rsidRPr="005E5357" w:rsidRDefault="00561B22" w:rsidP="00F1223B">
            <w:pPr>
              <w:jc w:val="center"/>
              <w:rPr>
                <w:rFonts w:ascii="Arial" w:hAnsi="Arial" w:cs="Arial"/>
                <w:b/>
                <w:sz w:val="22"/>
                <w:szCs w:val="22"/>
                <w:lang w:val="es-MX"/>
              </w:rPr>
            </w:pPr>
          </w:p>
        </w:tc>
      </w:tr>
      <w:tr w:rsidR="00561B22" w:rsidRPr="005E5357" w14:paraId="5CC42B6B" w14:textId="77777777" w:rsidTr="00F1223B">
        <w:tc>
          <w:tcPr>
            <w:tcW w:w="562" w:type="dxa"/>
          </w:tcPr>
          <w:p w14:paraId="13C01DCB" w14:textId="77777777" w:rsidR="00561B22" w:rsidRPr="005E5357" w:rsidRDefault="00561B22" w:rsidP="00F1223B">
            <w:pPr>
              <w:jc w:val="center"/>
              <w:rPr>
                <w:rFonts w:ascii="Arial" w:hAnsi="Arial" w:cs="Arial"/>
                <w:b/>
                <w:sz w:val="22"/>
                <w:szCs w:val="22"/>
                <w:lang w:val="es-MX"/>
              </w:rPr>
            </w:pPr>
            <w:r w:rsidRPr="005E5357">
              <w:rPr>
                <w:rFonts w:ascii="Arial" w:hAnsi="Arial" w:cs="Arial"/>
                <w:b/>
                <w:sz w:val="22"/>
                <w:szCs w:val="22"/>
                <w:lang w:val="es-MX"/>
              </w:rPr>
              <w:t>1</w:t>
            </w:r>
          </w:p>
        </w:tc>
        <w:tc>
          <w:tcPr>
            <w:tcW w:w="9400" w:type="dxa"/>
          </w:tcPr>
          <w:p w14:paraId="4C43B6AF" w14:textId="77777777" w:rsidR="00561B22" w:rsidRPr="005E5357" w:rsidRDefault="00561B22" w:rsidP="00F1223B">
            <w:pPr>
              <w:jc w:val="both"/>
              <w:rPr>
                <w:rFonts w:ascii="Arial" w:hAnsi="Arial" w:cs="Arial"/>
                <w:sz w:val="22"/>
                <w:szCs w:val="22"/>
                <w:lang w:val="es-MX"/>
              </w:rPr>
            </w:pPr>
            <w:r w:rsidRPr="005E5357">
              <w:rPr>
                <w:rFonts w:ascii="Arial" w:hAnsi="Arial" w:cs="Arial"/>
                <w:sz w:val="22"/>
                <w:szCs w:val="22"/>
                <w:lang w:val="es-MX"/>
              </w:rPr>
              <w:t>El área de Contabilidad debe realizar reprocesamientos manuales debido a los errores detectados en los reportes generados por el aplicativo SOA. Esta situación evidencia la necesidad de una adecuada parametrización del sistema, así como su armonización con la política contable para Propiedad, Planta y Equipo, conforme a lo establecido en el Manual de Políticas Contables de la Entidad.</w:t>
            </w:r>
          </w:p>
        </w:tc>
      </w:tr>
    </w:tbl>
    <w:p w14:paraId="6CC28B86" w14:textId="77777777" w:rsidR="00561B22" w:rsidRPr="005E5357" w:rsidRDefault="00561B22" w:rsidP="00561B22">
      <w:pPr>
        <w:pStyle w:val="Textoindependiente"/>
        <w:ind w:right="-50"/>
        <w:jc w:val="both"/>
        <w:rPr>
          <w:rFonts w:ascii="Arial" w:hAnsi="Arial" w:cs="Arial"/>
          <w:b/>
          <w:bCs/>
        </w:rPr>
      </w:pPr>
    </w:p>
    <w:p w14:paraId="7E6F83D8" w14:textId="77777777" w:rsidR="00561B22" w:rsidRPr="005E5357" w:rsidRDefault="00561B22" w:rsidP="00561B22">
      <w:pPr>
        <w:jc w:val="both"/>
        <w:rPr>
          <w:rFonts w:ascii="Arial" w:hAnsi="Arial" w:cs="Arial"/>
          <w:b/>
          <w:lang w:val="es-MX"/>
        </w:rPr>
      </w:pPr>
      <w:r w:rsidRPr="005E5357">
        <w:rPr>
          <w:rFonts w:ascii="Arial" w:hAnsi="Arial" w:cs="Arial"/>
          <w:b/>
          <w:lang w:val="es-MX"/>
        </w:rPr>
        <w:t>Del citado informe retomamos las siguientes recomendaciones:</w:t>
      </w:r>
    </w:p>
    <w:p w14:paraId="1721F287" w14:textId="77777777" w:rsidR="00561B22" w:rsidRPr="005E535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E5357" w14:paraId="454F0ED3" w14:textId="77777777" w:rsidTr="00F1223B">
        <w:tc>
          <w:tcPr>
            <w:tcW w:w="562" w:type="dxa"/>
          </w:tcPr>
          <w:p w14:paraId="0C61DEAB" w14:textId="77777777" w:rsidR="00561B22" w:rsidRPr="005E5357" w:rsidRDefault="00561B22" w:rsidP="00F1223B">
            <w:pPr>
              <w:ind w:right="-109"/>
              <w:jc w:val="center"/>
              <w:rPr>
                <w:rFonts w:ascii="Arial" w:hAnsi="Arial" w:cs="Arial"/>
                <w:b/>
                <w:sz w:val="22"/>
                <w:szCs w:val="22"/>
                <w:lang w:val="es-MX"/>
              </w:rPr>
            </w:pPr>
            <w:r w:rsidRPr="005E5357">
              <w:rPr>
                <w:rFonts w:ascii="Arial" w:hAnsi="Arial" w:cs="Arial"/>
                <w:b/>
                <w:sz w:val="22"/>
                <w:szCs w:val="22"/>
                <w:lang w:val="es-MX"/>
              </w:rPr>
              <w:t>N°</w:t>
            </w:r>
          </w:p>
        </w:tc>
        <w:tc>
          <w:tcPr>
            <w:tcW w:w="9400" w:type="dxa"/>
          </w:tcPr>
          <w:p w14:paraId="21A7ED63" w14:textId="77777777" w:rsidR="00561B22" w:rsidRPr="005E5357" w:rsidRDefault="00561B22" w:rsidP="00F1223B">
            <w:pPr>
              <w:jc w:val="center"/>
              <w:rPr>
                <w:rFonts w:ascii="Arial" w:hAnsi="Arial" w:cs="Arial"/>
                <w:b/>
                <w:sz w:val="22"/>
                <w:szCs w:val="22"/>
                <w:lang w:val="es-MX"/>
              </w:rPr>
            </w:pPr>
            <w:r w:rsidRPr="005E5357">
              <w:rPr>
                <w:rFonts w:ascii="Arial" w:hAnsi="Arial" w:cs="Arial"/>
                <w:b/>
                <w:sz w:val="22"/>
                <w:szCs w:val="22"/>
                <w:lang w:val="es-MX"/>
              </w:rPr>
              <w:t>RECOMENDACIONES</w:t>
            </w:r>
          </w:p>
          <w:p w14:paraId="424AA956" w14:textId="77777777" w:rsidR="00561B22" w:rsidRPr="005E5357" w:rsidRDefault="00561B22" w:rsidP="00F1223B">
            <w:pPr>
              <w:jc w:val="center"/>
              <w:rPr>
                <w:rFonts w:ascii="Arial" w:hAnsi="Arial" w:cs="Arial"/>
                <w:b/>
                <w:sz w:val="22"/>
                <w:szCs w:val="22"/>
                <w:lang w:val="es-MX"/>
              </w:rPr>
            </w:pPr>
          </w:p>
        </w:tc>
      </w:tr>
      <w:tr w:rsidR="00561B22" w:rsidRPr="005E5357" w14:paraId="470BC9E6" w14:textId="77777777" w:rsidTr="00F1223B">
        <w:tc>
          <w:tcPr>
            <w:tcW w:w="562" w:type="dxa"/>
          </w:tcPr>
          <w:p w14:paraId="04F8928B" w14:textId="77777777" w:rsidR="00561B22" w:rsidRPr="005E5357" w:rsidRDefault="00561B22" w:rsidP="00F1223B">
            <w:pPr>
              <w:jc w:val="center"/>
              <w:rPr>
                <w:rFonts w:ascii="Arial" w:hAnsi="Arial" w:cs="Arial"/>
                <w:b/>
                <w:sz w:val="22"/>
                <w:szCs w:val="22"/>
                <w:lang w:val="es-MX"/>
              </w:rPr>
            </w:pPr>
            <w:r w:rsidRPr="005E5357">
              <w:rPr>
                <w:rFonts w:ascii="Arial" w:hAnsi="Arial" w:cs="Arial"/>
                <w:b/>
                <w:sz w:val="22"/>
                <w:szCs w:val="22"/>
                <w:lang w:val="es-MX"/>
              </w:rPr>
              <w:t>1</w:t>
            </w:r>
          </w:p>
        </w:tc>
        <w:tc>
          <w:tcPr>
            <w:tcW w:w="9400" w:type="dxa"/>
          </w:tcPr>
          <w:p w14:paraId="4F1A8276" w14:textId="77777777" w:rsidR="00561B22" w:rsidRPr="005E5357" w:rsidRDefault="00561B22" w:rsidP="00F1223B">
            <w:pPr>
              <w:jc w:val="both"/>
              <w:rPr>
                <w:rFonts w:ascii="Arial" w:hAnsi="Arial" w:cs="Arial"/>
                <w:sz w:val="22"/>
                <w:szCs w:val="22"/>
                <w:lang w:val="es-MX"/>
              </w:rPr>
            </w:pPr>
            <w:r w:rsidRPr="005E5357">
              <w:rPr>
                <w:rFonts w:ascii="Arial" w:hAnsi="Arial" w:cs="Arial"/>
                <w:sz w:val="22"/>
                <w:szCs w:val="22"/>
                <w:lang w:val="es-MX"/>
              </w:rPr>
              <w:t>Con el ánimo de continuar con la mejora continua, el GIT de Control Interno considera pertinente fortalecer el proceso de capacitación del aplicativo SOA al personal de planta y dejar la dependencia con el proveedor.</w:t>
            </w:r>
          </w:p>
        </w:tc>
      </w:tr>
      <w:tr w:rsidR="00561B22" w:rsidRPr="005E5357" w14:paraId="1D52849A" w14:textId="77777777" w:rsidTr="00F1223B">
        <w:tc>
          <w:tcPr>
            <w:tcW w:w="562" w:type="dxa"/>
          </w:tcPr>
          <w:p w14:paraId="2A4D5F03" w14:textId="77777777" w:rsidR="00561B22" w:rsidRPr="005E5357" w:rsidRDefault="00561B22" w:rsidP="00F1223B">
            <w:pPr>
              <w:jc w:val="center"/>
              <w:rPr>
                <w:rFonts w:ascii="Arial" w:hAnsi="Arial" w:cs="Arial"/>
                <w:b/>
                <w:sz w:val="22"/>
                <w:szCs w:val="22"/>
                <w:lang w:val="es-MX"/>
              </w:rPr>
            </w:pPr>
            <w:r w:rsidRPr="005E5357">
              <w:rPr>
                <w:rFonts w:ascii="Arial" w:hAnsi="Arial" w:cs="Arial"/>
                <w:b/>
                <w:sz w:val="22"/>
                <w:szCs w:val="22"/>
                <w:lang w:val="es-MX"/>
              </w:rPr>
              <w:t>2</w:t>
            </w:r>
          </w:p>
        </w:tc>
        <w:tc>
          <w:tcPr>
            <w:tcW w:w="9400" w:type="dxa"/>
          </w:tcPr>
          <w:p w14:paraId="7542C37D" w14:textId="77777777" w:rsidR="00561B22" w:rsidRPr="005E5357" w:rsidRDefault="00561B22" w:rsidP="00F1223B">
            <w:pPr>
              <w:jc w:val="both"/>
              <w:rPr>
                <w:rFonts w:ascii="Arial" w:hAnsi="Arial" w:cs="Arial"/>
                <w:sz w:val="22"/>
                <w:szCs w:val="22"/>
                <w:lang w:val="es-MX"/>
              </w:rPr>
            </w:pPr>
            <w:r w:rsidRPr="005E5357">
              <w:rPr>
                <w:rFonts w:ascii="Arial" w:hAnsi="Arial" w:cs="Arial"/>
                <w:sz w:val="22"/>
                <w:szCs w:val="22"/>
                <w:lang w:val="es-MX"/>
              </w:rPr>
              <w:t>Actualizar la Matriz de Riesgo teniendo en cuenta los factores internos y externos que pueden afectar al proceso incluyendo el control para garantizar que no se vulneren los controles de acceso al aplicativo SOA.</w:t>
            </w:r>
          </w:p>
        </w:tc>
      </w:tr>
    </w:tbl>
    <w:p w14:paraId="01B5DAE5" w14:textId="77777777" w:rsidR="00561B22" w:rsidRPr="005E5357" w:rsidRDefault="00561B22" w:rsidP="00561B22">
      <w:pPr>
        <w:pStyle w:val="Textoindependiente"/>
        <w:ind w:right="-50"/>
        <w:jc w:val="both"/>
        <w:rPr>
          <w:rFonts w:ascii="Arial" w:hAnsi="Arial" w:cs="Arial"/>
          <w:b/>
          <w:bCs/>
          <w:sz w:val="28"/>
          <w:szCs w:val="28"/>
        </w:rPr>
      </w:pPr>
    </w:p>
    <w:p w14:paraId="389B3997" w14:textId="77777777" w:rsidR="00561B22" w:rsidRPr="005E5357" w:rsidRDefault="00561B22" w:rsidP="00561B22">
      <w:pPr>
        <w:jc w:val="both"/>
        <w:rPr>
          <w:rFonts w:ascii="Arial" w:hAnsi="Arial" w:cs="Arial"/>
          <w:b/>
          <w:bCs/>
          <w:sz w:val="24"/>
          <w:szCs w:val="24"/>
          <w:lang w:val="es-CO"/>
        </w:rPr>
      </w:pPr>
      <w:r w:rsidRPr="005E5357">
        <w:rPr>
          <w:rFonts w:ascii="Arial" w:hAnsi="Arial" w:cs="Arial"/>
          <w:b/>
          <w:bCs/>
          <w:sz w:val="24"/>
          <w:szCs w:val="24"/>
          <w:lang w:val="es-CO"/>
        </w:rPr>
        <w:t xml:space="preserve">NOTA: LA ENTIDAD ENVIA LA MATRIZ DE AUTOEVALUACIÓN DEL SISTEMA DE CONTROL INTERNO CONTABLE CON </w:t>
      </w:r>
      <w:r w:rsidRPr="005E5357">
        <w:rPr>
          <w:rFonts w:ascii="Arial" w:hAnsi="Arial" w:cs="Arial"/>
          <w:b/>
          <w:bCs/>
          <w:sz w:val="24"/>
          <w:szCs w:val="24"/>
          <w:u w:val="single"/>
          <w:lang w:val="es-CO"/>
        </w:rPr>
        <w:t>ACTIVIDADES DE CONTROL REALIZADAS EN FORMA PARCIAL</w:t>
      </w:r>
      <w:r w:rsidRPr="005E5357">
        <w:rPr>
          <w:rFonts w:ascii="Arial" w:hAnsi="Arial" w:cs="Arial"/>
          <w:b/>
          <w:bCs/>
          <w:sz w:val="24"/>
          <w:szCs w:val="24"/>
          <w:lang w:val="es-CO"/>
        </w:rPr>
        <w:t>.</w:t>
      </w:r>
    </w:p>
    <w:p w14:paraId="35FD2AC1" w14:textId="77777777" w:rsidR="00561B22" w:rsidRPr="005E5357" w:rsidRDefault="00561B22" w:rsidP="00561B22">
      <w:pPr>
        <w:pStyle w:val="Textoindependiente"/>
        <w:ind w:right="-50"/>
        <w:jc w:val="both"/>
        <w:rPr>
          <w:rFonts w:ascii="Arial" w:hAnsi="Arial" w:cs="Arial"/>
          <w:b/>
          <w:bCs/>
          <w:sz w:val="28"/>
          <w:szCs w:val="28"/>
        </w:rPr>
      </w:pPr>
    </w:p>
    <w:p w14:paraId="4C5DF0E0" w14:textId="77777777" w:rsidR="00561B22" w:rsidRPr="005C4572" w:rsidRDefault="00561B22" w:rsidP="00561B22">
      <w:pPr>
        <w:pStyle w:val="Textoindependiente"/>
        <w:ind w:right="-50"/>
        <w:jc w:val="center"/>
        <w:rPr>
          <w:rFonts w:ascii="Arial" w:hAnsi="Arial" w:cs="Arial"/>
          <w:b/>
          <w:bCs/>
        </w:rPr>
      </w:pPr>
      <w:r w:rsidRPr="005C4572">
        <w:rPr>
          <w:rFonts w:ascii="Arial" w:hAnsi="Arial" w:cs="Arial"/>
          <w:b/>
          <w:bCs/>
        </w:rPr>
        <w:t>INFORME DE LA AUTOCALIFICACIÓN DEL SISTEMA DE CONTROL INTERNO CONTABLE:</w:t>
      </w:r>
    </w:p>
    <w:p w14:paraId="4AEE9525" w14:textId="77777777" w:rsidR="00561B22" w:rsidRPr="005C4572"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C4572" w14:paraId="2D48DB40" w14:textId="77777777" w:rsidTr="00F1223B">
        <w:tc>
          <w:tcPr>
            <w:tcW w:w="4981" w:type="dxa"/>
          </w:tcPr>
          <w:p w14:paraId="3DDC8921"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AUTOCALIFICACIÓN</w:t>
            </w:r>
          </w:p>
        </w:tc>
        <w:tc>
          <w:tcPr>
            <w:tcW w:w="4981" w:type="dxa"/>
          </w:tcPr>
          <w:p w14:paraId="508584EA" w14:textId="77777777" w:rsidR="00561B22" w:rsidRPr="005C4572" w:rsidRDefault="00561B22" w:rsidP="00F1223B">
            <w:pPr>
              <w:jc w:val="center"/>
              <w:rPr>
                <w:rFonts w:ascii="Arial" w:hAnsi="Arial" w:cs="Arial"/>
                <w:b/>
                <w:sz w:val="22"/>
                <w:szCs w:val="22"/>
                <w:u w:val="single"/>
                <w:lang w:val="es-MX"/>
              </w:rPr>
            </w:pPr>
            <w:r w:rsidRPr="005C4572">
              <w:rPr>
                <w:rFonts w:ascii="Arial" w:hAnsi="Arial" w:cs="Arial"/>
                <w:b/>
                <w:sz w:val="22"/>
                <w:szCs w:val="22"/>
                <w:u w:val="single"/>
                <w:lang w:val="es-MX"/>
              </w:rPr>
              <w:t>4.37</w:t>
            </w:r>
          </w:p>
        </w:tc>
      </w:tr>
    </w:tbl>
    <w:p w14:paraId="5F1002B6" w14:textId="77777777" w:rsidR="00561B22" w:rsidRPr="005C4572" w:rsidRDefault="00561B22" w:rsidP="00561B22">
      <w:pPr>
        <w:pStyle w:val="Textoindependiente"/>
        <w:ind w:right="-50"/>
        <w:jc w:val="both"/>
        <w:rPr>
          <w:rFonts w:ascii="Arial" w:hAnsi="Arial" w:cs="Arial"/>
          <w:b/>
          <w:bCs/>
        </w:rPr>
      </w:pPr>
    </w:p>
    <w:p w14:paraId="0444DF81" w14:textId="77777777" w:rsidR="00561B22" w:rsidRPr="005C4572" w:rsidRDefault="00561B22" w:rsidP="00561B22">
      <w:pPr>
        <w:pStyle w:val="Textoindependiente"/>
        <w:ind w:right="-50"/>
        <w:jc w:val="both"/>
        <w:rPr>
          <w:rFonts w:ascii="Arial" w:hAnsi="Arial" w:cs="Arial"/>
          <w:b/>
          <w:bCs/>
        </w:rPr>
      </w:pPr>
      <w:r w:rsidRPr="005C4572">
        <w:rPr>
          <w:rFonts w:ascii="Arial" w:hAnsi="Arial" w:cs="Arial"/>
          <w:b/>
          <w:bCs/>
        </w:rPr>
        <w:t>Del informe enviado retomamos lo siguiente:</w:t>
      </w:r>
    </w:p>
    <w:p w14:paraId="613F141B" w14:textId="77777777" w:rsidR="00561B22" w:rsidRPr="005C457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C4572" w14:paraId="283EFFE6" w14:textId="77777777" w:rsidTr="00F1223B">
        <w:tc>
          <w:tcPr>
            <w:tcW w:w="562" w:type="dxa"/>
          </w:tcPr>
          <w:p w14:paraId="4BF32B25" w14:textId="77777777" w:rsidR="00561B22" w:rsidRPr="005C4572" w:rsidRDefault="00561B22" w:rsidP="00F1223B">
            <w:pPr>
              <w:ind w:right="-109"/>
              <w:jc w:val="center"/>
              <w:rPr>
                <w:rFonts w:ascii="Arial" w:hAnsi="Arial" w:cs="Arial"/>
                <w:b/>
                <w:sz w:val="22"/>
                <w:szCs w:val="22"/>
                <w:lang w:val="es-MX"/>
              </w:rPr>
            </w:pPr>
            <w:r w:rsidRPr="005C4572">
              <w:rPr>
                <w:rFonts w:ascii="Arial" w:hAnsi="Arial" w:cs="Arial"/>
                <w:b/>
                <w:sz w:val="22"/>
                <w:szCs w:val="22"/>
                <w:lang w:val="es-MX"/>
              </w:rPr>
              <w:t>N°</w:t>
            </w:r>
          </w:p>
        </w:tc>
        <w:tc>
          <w:tcPr>
            <w:tcW w:w="9400" w:type="dxa"/>
          </w:tcPr>
          <w:p w14:paraId="4ACB1464"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DEBILIDADES</w:t>
            </w:r>
          </w:p>
          <w:p w14:paraId="6BDA1405" w14:textId="77777777" w:rsidR="00561B22" w:rsidRPr="005C4572" w:rsidRDefault="00561B22" w:rsidP="00F1223B">
            <w:pPr>
              <w:jc w:val="center"/>
              <w:rPr>
                <w:rFonts w:ascii="Arial" w:hAnsi="Arial" w:cs="Arial"/>
                <w:b/>
                <w:sz w:val="22"/>
                <w:szCs w:val="22"/>
                <w:lang w:val="es-MX"/>
              </w:rPr>
            </w:pPr>
          </w:p>
        </w:tc>
      </w:tr>
      <w:tr w:rsidR="00561B22" w:rsidRPr="005C4572" w14:paraId="3145FC8C" w14:textId="77777777" w:rsidTr="00F1223B">
        <w:tc>
          <w:tcPr>
            <w:tcW w:w="562" w:type="dxa"/>
          </w:tcPr>
          <w:p w14:paraId="13EBEC9B"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1</w:t>
            </w:r>
          </w:p>
        </w:tc>
        <w:tc>
          <w:tcPr>
            <w:tcW w:w="9400" w:type="dxa"/>
          </w:tcPr>
          <w:p w14:paraId="5CE0A5D0" w14:textId="77777777" w:rsidR="00561B22" w:rsidRPr="005C4572" w:rsidRDefault="00561B22" w:rsidP="00F1223B">
            <w:pPr>
              <w:jc w:val="both"/>
              <w:rPr>
                <w:rFonts w:ascii="Arial" w:hAnsi="Arial" w:cs="Arial"/>
                <w:sz w:val="22"/>
                <w:szCs w:val="22"/>
                <w:lang w:val="es-MX"/>
              </w:rPr>
            </w:pPr>
            <w:r w:rsidRPr="005C4572">
              <w:rPr>
                <w:rFonts w:ascii="Arial" w:hAnsi="Arial" w:cs="Arial"/>
                <w:sz w:val="22"/>
                <w:szCs w:val="22"/>
                <w:lang w:val="es-MX"/>
              </w:rPr>
              <w:t>La Oficina de Control Interno evidencio en el ejercicio auditor de la vigencia 2024 debilidades en las Seccionales así: Auditoria Seccional Meta 11jun al 15jul2024; auditoria Seccional Bolívar 15jul al 15ago2024; auditoria Seccional Córdoba 16ago al 16sep2024; auditoria seccional Nariño 13sep al 15oct2024, y auditoria oficina Arauca 15nov al 17dic2024, debilidades en la oportuna  causación de la facturación y reembolso de recursos de caja menor, en propiedad planta y equipo evidencio Activos sin ser utilizados por la Seccional sin trámite de traspaso a Seccional o dependencia que genere la necesidad y activos fuera de servicio sin trámite de baja ni mantenimiento ni traspaso.</w:t>
            </w:r>
          </w:p>
        </w:tc>
      </w:tr>
      <w:tr w:rsidR="00561B22" w:rsidRPr="005C4572" w14:paraId="6E62343C" w14:textId="77777777" w:rsidTr="00F1223B">
        <w:tc>
          <w:tcPr>
            <w:tcW w:w="562" w:type="dxa"/>
          </w:tcPr>
          <w:p w14:paraId="64F6547C"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2</w:t>
            </w:r>
          </w:p>
        </w:tc>
        <w:tc>
          <w:tcPr>
            <w:tcW w:w="9400" w:type="dxa"/>
          </w:tcPr>
          <w:p w14:paraId="5913F9C7" w14:textId="77777777" w:rsidR="00561B22" w:rsidRPr="005C4572" w:rsidRDefault="00561B22" w:rsidP="00F1223B">
            <w:pPr>
              <w:jc w:val="both"/>
              <w:rPr>
                <w:rFonts w:ascii="Arial" w:hAnsi="Arial" w:cs="Arial"/>
                <w:sz w:val="22"/>
                <w:szCs w:val="22"/>
                <w:lang w:val="es-MX"/>
              </w:rPr>
            </w:pPr>
            <w:r w:rsidRPr="005C4572">
              <w:rPr>
                <w:rFonts w:ascii="Arial" w:hAnsi="Arial" w:cs="Arial"/>
                <w:sz w:val="22"/>
                <w:szCs w:val="22"/>
                <w:lang w:val="es-MX"/>
              </w:rPr>
              <w:t xml:space="preserve">el tratamiento aplicado a la Propiedad, Planta y Equipo no se ajusta al numeral 4.9, "Vidas útiles", del Manual de Políticas Contables de la Defensa Civil Colombiana, en cuanto a la </w:t>
            </w:r>
            <w:r w:rsidRPr="005C4572">
              <w:rPr>
                <w:rFonts w:ascii="Arial" w:hAnsi="Arial" w:cs="Arial"/>
                <w:sz w:val="22"/>
                <w:szCs w:val="22"/>
                <w:lang w:val="es-MX"/>
              </w:rPr>
              <w:lastRenderedPageBreak/>
              <w:t>revisión de las vidas útiles</w:t>
            </w:r>
          </w:p>
        </w:tc>
      </w:tr>
      <w:tr w:rsidR="00561B22" w:rsidRPr="005C4572" w14:paraId="580734D7" w14:textId="77777777" w:rsidTr="00F1223B">
        <w:tc>
          <w:tcPr>
            <w:tcW w:w="562" w:type="dxa"/>
          </w:tcPr>
          <w:p w14:paraId="487AE60C"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lastRenderedPageBreak/>
              <w:t>3</w:t>
            </w:r>
          </w:p>
        </w:tc>
        <w:tc>
          <w:tcPr>
            <w:tcW w:w="9400" w:type="dxa"/>
          </w:tcPr>
          <w:p w14:paraId="2DD824C4" w14:textId="77777777" w:rsidR="00561B22" w:rsidRPr="005C4572" w:rsidRDefault="00561B22" w:rsidP="00F1223B">
            <w:pPr>
              <w:jc w:val="both"/>
              <w:rPr>
                <w:rFonts w:ascii="Arial" w:hAnsi="Arial" w:cs="Arial"/>
                <w:sz w:val="22"/>
                <w:szCs w:val="22"/>
                <w:lang w:val="es-MX"/>
              </w:rPr>
            </w:pPr>
            <w:r w:rsidRPr="005C4572">
              <w:rPr>
                <w:rFonts w:ascii="Arial" w:hAnsi="Arial" w:cs="Arial"/>
                <w:sz w:val="22"/>
                <w:szCs w:val="22"/>
                <w:lang w:val="es-MX"/>
              </w:rPr>
              <w:t>En una revisión realizada in situ los días 6 y 7 de febrero de 2025, se evidenció que la bodega de almacenamiento DIGER no cumple con el numeral 9 del procedimiento de almacén GLO-PD-003, relativo a la señalización.</w:t>
            </w:r>
          </w:p>
        </w:tc>
      </w:tr>
    </w:tbl>
    <w:p w14:paraId="2782FA71" w14:textId="77777777" w:rsidR="00561B22" w:rsidRPr="005C4572" w:rsidRDefault="00561B22" w:rsidP="00561B22">
      <w:pPr>
        <w:pStyle w:val="Textoindependiente"/>
        <w:ind w:right="-50"/>
        <w:jc w:val="both"/>
        <w:rPr>
          <w:rFonts w:ascii="Arial" w:hAnsi="Arial" w:cs="Arial"/>
          <w:b/>
          <w:bCs/>
        </w:rPr>
      </w:pPr>
    </w:p>
    <w:p w14:paraId="66CE8ED3" w14:textId="77777777" w:rsidR="00561B22" w:rsidRPr="005C4572" w:rsidRDefault="00561B22" w:rsidP="00561B22">
      <w:pPr>
        <w:jc w:val="both"/>
        <w:rPr>
          <w:rFonts w:ascii="Arial" w:hAnsi="Arial" w:cs="Arial"/>
          <w:b/>
          <w:lang w:val="es-MX"/>
        </w:rPr>
      </w:pPr>
      <w:r w:rsidRPr="005C4572">
        <w:rPr>
          <w:rFonts w:ascii="Arial" w:hAnsi="Arial" w:cs="Arial"/>
          <w:b/>
          <w:lang w:val="es-MX"/>
        </w:rPr>
        <w:t>Del citado informe retomamos las siguientes recomendaciones:</w:t>
      </w:r>
    </w:p>
    <w:p w14:paraId="1D4A2353" w14:textId="77777777" w:rsidR="00561B22" w:rsidRPr="005C4572"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5C4572" w14:paraId="6708B625" w14:textId="77777777" w:rsidTr="00F1223B">
        <w:tc>
          <w:tcPr>
            <w:tcW w:w="562" w:type="dxa"/>
          </w:tcPr>
          <w:p w14:paraId="4039E57E" w14:textId="77777777" w:rsidR="00561B22" w:rsidRPr="005C4572" w:rsidRDefault="00561B22" w:rsidP="00F1223B">
            <w:pPr>
              <w:ind w:right="-109"/>
              <w:jc w:val="center"/>
              <w:rPr>
                <w:rFonts w:ascii="Arial" w:hAnsi="Arial" w:cs="Arial"/>
                <w:b/>
                <w:sz w:val="22"/>
                <w:szCs w:val="22"/>
                <w:lang w:val="es-MX"/>
              </w:rPr>
            </w:pPr>
            <w:r w:rsidRPr="005C4572">
              <w:rPr>
                <w:rFonts w:ascii="Arial" w:hAnsi="Arial" w:cs="Arial"/>
                <w:b/>
                <w:sz w:val="22"/>
                <w:szCs w:val="22"/>
                <w:lang w:val="es-MX"/>
              </w:rPr>
              <w:t>N°</w:t>
            </w:r>
          </w:p>
        </w:tc>
        <w:tc>
          <w:tcPr>
            <w:tcW w:w="9400" w:type="dxa"/>
          </w:tcPr>
          <w:p w14:paraId="0825F169"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RECOMENDACIONES</w:t>
            </w:r>
          </w:p>
          <w:p w14:paraId="32AB0C6E" w14:textId="77777777" w:rsidR="00561B22" w:rsidRPr="005C4572" w:rsidRDefault="00561B22" w:rsidP="00F1223B">
            <w:pPr>
              <w:jc w:val="center"/>
              <w:rPr>
                <w:rFonts w:ascii="Arial" w:hAnsi="Arial" w:cs="Arial"/>
                <w:b/>
                <w:sz w:val="22"/>
                <w:szCs w:val="22"/>
                <w:lang w:val="es-MX"/>
              </w:rPr>
            </w:pPr>
          </w:p>
        </w:tc>
      </w:tr>
      <w:tr w:rsidR="00561B22" w:rsidRPr="005C4572" w14:paraId="0B82085E" w14:textId="77777777" w:rsidTr="00F1223B">
        <w:tc>
          <w:tcPr>
            <w:tcW w:w="562" w:type="dxa"/>
          </w:tcPr>
          <w:p w14:paraId="54408FA5"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1</w:t>
            </w:r>
          </w:p>
        </w:tc>
        <w:tc>
          <w:tcPr>
            <w:tcW w:w="9400" w:type="dxa"/>
          </w:tcPr>
          <w:p w14:paraId="4BD37D7D" w14:textId="77777777" w:rsidR="00561B22" w:rsidRPr="005C4572" w:rsidRDefault="00561B22" w:rsidP="00F1223B">
            <w:pPr>
              <w:jc w:val="both"/>
              <w:rPr>
                <w:rFonts w:ascii="Arial" w:hAnsi="Arial" w:cs="Arial"/>
                <w:sz w:val="22"/>
                <w:szCs w:val="22"/>
                <w:lang w:val="es-MX"/>
              </w:rPr>
            </w:pPr>
            <w:r w:rsidRPr="005C4572">
              <w:rPr>
                <w:rFonts w:ascii="Arial" w:hAnsi="Arial" w:cs="Arial"/>
                <w:sz w:val="22"/>
                <w:szCs w:val="22"/>
                <w:lang w:val="es-MX"/>
              </w:rPr>
              <w:t>La Oficina de Control Interno recomienda a la Alta Dirección, en conjunto con las áreas involucradas, continuar fortaleciendo el control interno contable mediante el diseño e implementación de acciones correctivas que permitan subsanar las debilidades identificadas en el informe de control interno contable correspondiente a la vigencia 2024</w:t>
            </w:r>
          </w:p>
        </w:tc>
      </w:tr>
      <w:tr w:rsidR="00561B22" w:rsidRPr="005C4572" w14:paraId="6A577E39" w14:textId="77777777" w:rsidTr="00F1223B">
        <w:tc>
          <w:tcPr>
            <w:tcW w:w="562" w:type="dxa"/>
          </w:tcPr>
          <w:p w14:paraId="1687BD77"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2</w:t>
            </w:r>
          </w:p>
        </w:tc>
        <w:tc>
          <w:tcPr>
            <w:tcW w:w="9400" w:type="dxa"/>
          </w:tcPr>
          <w:p w14:paraId="707C445C" w14:textId="77777777" w:rsidR="00561B22" w:rsidRPr="005C4572" w:rsidRDefault="00561B22" w:rsidP="00F1223B">
            <w:pPr>
              <w:jc w:val="both"/>
              <w:rPr>
                <w:rFonts w:ascii="Arial" w:hAnsi="Arial" w:cs="Arial"/>
                <w:sz w:val="22"/>
                <w:szCs w:val="22"/>
                <w:lang w:val="es-MX"/>
              </w:rPr>
            </w:pPr>
            <w:r w:rsidRPr="005C4572">
              <w:rPr>
                <w:rFonts w:ascii="Arial" w:hAnsi="Arial" w:cs="Arial"/>
                <w:sz w:val="22"/>
                <w:szCs w:val="22"/>
                <w:lang w:val="es-MX"/>
              </w:rPr>
              <w:t>Publicación de estados financieros con las notas explicativas en la página web de la entidad.</w:t>
            </w:r>
          </w:p>
        </w:tc>
      </w:tr>
      <w:tr w:rsidR="00561B22" w:rsidRPr="005C4572" w14:paraId="57909B3D" w14:textId="77777777" w:rsidTr="00F1223B">
        <w:tc>
          <w:tcPr>
            <w:tcW w:w="562" w:type="dxa"/>
          </w:tcPr>
          <w:p w14:paraId="399233D6" w14:textId="77777777" w:rsidR="00561B22" w:rsidRPr="005C4572" w:rsidRDefault="00561B22" w:rsidP="00F1223B">
            <w:pPr>
              <w:jc w:val="center"/>
              <w:rPr>
                <w:rFonts w:ascii="Arial" w:hAnsi="Arial" w:cs="Arial"/>
                <w:b/>
                <w:sz w:val="22"/>
                <w:szCs w:val="22"/>
                <w:lang w:val="es-MX"/>
              </w:rPr>
            </w:pPr>
            <w:r w:rsidRPr="005C4572">
              <w:rPr>
                <w:rFonts w:ascii="Arial" w:hAnsi="Arial" w:cs="Arial"/>
                <w:b/>
                <w:sz w:val="22"/>
                <w:szCs w:val="22"/>
                <w:lang w:val="es-MX"/>
              </w:rPr>
              <w:t>3</w:t>
            </w:r>
          </w:p>
        </w:tc>
        <w:tc>
          <w:tcPr>
            <w:tcW w:w="9400" w:type="dxa"/>
          </w:tcPr>
          <w:p w14:paraId="38DB7E7F" w14:textId="77777777" w:rsidR="00561B22" w:rsidRPr="005C4572" w:rsidRDefault="00561B22" w:rsidP="00F1223B">
            <w:pPr>
              <w:jc w:val="both"/>
              <w:rPr>
                <w:rFonts w:ascii="Arial" w:hAnsi="Arial" w:cs="Arial"/>
                <w:sz w:val="22"/>
                <w:szCs w:val="22"/>
                <w:lang w:val="es-MX"/>
              </w:rPr>
            </w:pPr>
            <w:r w:rsidRPr="005C4572">
              <w:rPr>
                <w:rFonts w:ascii="Arial" w:hAnsi="Arial" w:cs="Arial"/>
                <w:sz w:val="22"/>
                <w:szCs w:val="22"/>
                <w:lang w:val="es-MX"/>
              </w:rPr>
              <w:t>Presentar en el ejercicio de rendición de cuentas los estados financieros con las notas explicativas y el dictamen de la revisoría fiscal.</w:t>
            </w:r>
          </w:p>
        </w:tc>
      </w:tr>
    </w:tbl>
    <w:p w14:paraId="61A0497A" w14:textId="77777777" w:rsidR="00561B22" w:rsidRPr="005C4572" w:rsidRDefault="00561B22" w:rsidP="00561B22">
      <w:pPr>
        <w:jc w:val="both"/>
        <w:rPr>
          <w:rFonts w:ascii="Arial" w:hAnsi="Arial" w:cs="Arial"/>
          <w:b/>
          <w:bCs/>
          <w:lang w:val="es-CO"/>
        </w:rPr>
      </w:pPr>
    </w:p>
    <w:p w14:paraId="5D2FB0C0" w14:textId="77777777" w:rsidR="00561B22" w:rsidRPr="005C4572" w:rsidRDefault="00561B22" w:rsidP="00561B22">
      <w:pPr>
        <w:jc w:val="both"/>
        <w:rPr>
          <w:rFonts w:ascii="Arial" w:hAnsi="Arial" w:cs="Arial"/>
          <w:b/>
          <w:bCs/>
          <w:sz w:val="24"/>
          <w:szCs w:val="24"/>
          <w:lang w:val="es-CO"/>
        </w:rPr>
      </w:pPr>
      <w:r w:rsidRPr="005C4572">
        <w:rPr>
          <w:rFonts w:ascii="Arial" w:hAnsi="Arial" w:cs="Arial"/>
          <w:b/>
          <w:bCs/>
          <w:sz w:val="24"/>
          <w:szCs w:val="24"/>
          <w:lang w:val="es-CO"/>
        </w:rPr>
        <w:t xml:space="preserve">NOTA: LA ENTIDAD ENVIA LA MATRIZ DE AUTOEVALUACIÓN DEL SISTEMA DE CONTROL INTERNO CONTABLE CON </w:t>
      </w:r>
      <w:r w:rsidRPr="005C4572">
        <w:rPr>
          <w:rFonts w:ascii="Arial" w:hAnsi="Arial" w:cs="Arial"/>
          <w:b/>
          <w:bCs/>
          <w:sz w:val="24"/>
          <w:szCs w:val="24"/>
          <w:u w:val="single"/>
          <w:lang w:val="es-CO"/>
        </w:rPr>
        <w:t>ACTIVIDADES DE CONTROL REALIZADAS EN FORMA PARCIAL</w:t>
      </w:r>
      <w:r w:rsidRPr="005C4572">
        <w:rPr>
          <w:rFonts w:ascii="Arial" w:hAnsi="Arial" w:cs="Arial"/>
          <w:b/>
          <w:bCs/>
          <w:sz w:val="24"/>
          <w:szCs w:val="24"/>
          <w:lang w:val="es-CO"/>
        </w:rPr>
        <w:t>.</w:t>
      </w:r>
    </w:p>
    <w:p w14:paraId="099C9104" w14:textId="77777777" w:rsidR="00561B22" w:rsidRPr="005C4572" w:rsidRDefault="00561B22" w:rsidP="00561B22">
      <w:pPr>
        <w:jc w:val="both"/>
        <w:rPr>
          <w:rFonts w:ascii="Arial" w:hAnsi="Arial" w:cs="Arial"/>
          <w:b/>
          <w:bCs/>
          <w:sz w:val="24"/>
          <w:szCs w:val="24"/>
          <w:lang w:val="es-CO"/>
        </w:rPr>
      </w:pPr>
    </w:p>
    <w:p w14:paraId="56740312" w14:textId="77777777" w:rsidR="00561B22" w:rsidRPr="00DB0D22" w:rsidRDefault="00561B22" w:rsidP="00561B22">
      <w:pPr>
        <w:ind w:right="49"/>
        <w:jc w:val="both"/>
        <w:rPr>
          <w:rFonts w:ascii="Arial" w:hAnsi="Arial" w:cs="Arial"/>
          <w:b/>
          <w:sz w:val="28"/>
          <w:szCs w:val="28"/>
          <w:lang w:val="es-MX"/>
        </w:rPr>
      </w:pPr>
      <w:r w:rsidRPr="00DB0D22">
        <w:rPr>
          <w:rFonts w:ascii="Arial" w:hAnsi="Arial" w:cs="Arial"/>
          <w:b/>
          <w:sz w:val="28"/>
          <w:szCs w:val="28"/>
          <w:lang w:val="es-MX"/>
        </w:rPr>
        <w:t>87.- CORPORACIÓN DE CIENCIA Y TECNOLOGÍA PARA EL DESARROLLO DE LA INDUSTRIA NAVAL, MARÍTIMA Y FLUVIAL - COTECMAR.</w:t>
      </w:r>
    </w:p>
    <w:p w14:paraId="3BA6A15B" w14:textId="77777777" w:rsidR="00561B22" w:rsidRDefault="00561B22" w:rsidP="00561B22">
      <w:pPr>
        <w:jc w:val="both"/>
        <w:rPr>
          <w:rFonts w:ascii="Arial" w:hAnsi="Arial" w:cs="Arial"/>
          <w:b/>
          <w:bCs/>
          <w:sz w:val="24"/>
          <w:szCs w:val="24"/>
          <w:lang w:val="es-MX"/>
        </w:rPr>
      </w:pPr>
    </w:p>
    <w:p w14:paraId="0288F568" w14:textId="77777777" w:rsidR="00561B22" w:rsidRPr="00E3172E" w:rsidRDefault="00561B22" w:rsidP="00561B22">
      <w:pPr>
        <w:pStyle w:val="Textoindependiente"/>
        <w:ind w:right="-50"/>
        <w:jc w:val="center"/>
        <w:rPr>
          <w:rFonts w:ascii="Arial" w:hAnsi="Arial" w:cs="Arial"/>
          <w:b/>
          <w:bCs/>
        </w:rPr>
      </w:pPr>
      <w:r w:rsidRPr="00E3172E">
        <w:rPr>
          <w:rFonts w:ascii="Arial" w:hAnsi="Arial" w:cs="Arial"/>
          <w:b/>
          <w:bCs/>
        </w:rPr>
        <w:t>INFORME DE LA AUTOCALIFICACIÓN DEL SISTEMA DE CONTROL INTERNO CONTABLE:</w:t>
      </w:r>
    </w:p>
    <w:p w14:paraId="5B3B45FC" w14:textId="77777777" w:rsidR="00561B22" w:rsidRPr="00E317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3172E" w14:paraId="0433DBA2" w14:textId="77777777" w:rsidTr="00F1223B">
        <w:tc>
          <w:tcPr>
            <w:tcW w:w="4981" w:type="dxa"/>
          </w:tcPr>
          <w:p w14:paraId="0BF8BF07" w14:textId="77777777" w:rsidR="00561B22" w:rsidRPr="00E3172E" w:rsidRDefault="00561B22" w:rsidP="00F1223B">
            <w:pPr>
              <w:jc w:val="center"/>
              <w:rPr>
                <w:rFonts w:ascii="Arial" w:hAnsi="Arial" w:cs="Arial"/>
                <w:b/>
                <w:sz w:val="22"/>
                <w:szCs w:val="22"/>
                <w:lang w:val="es-MX"/>
              </w:rPr>
            </w:pPr>
            <w:r w:rsidRPr="00E3172E">
              <w:rPr>
                <w:rFonts w:ascii="Arial" w:hAnsi="Arial" w:cs="Arial"/>
                <w:b/>
                <w:sz w:val="22"/>
                <w:szCs w:val="22"/>
                <w:lang w:val="es-MX"/>
              </w:rPr>
              <w:t>AUTOCALIFICACIÓN</w:t>
            </w:r>
          </w:p>
        </w:tc>
        <w:tc>
          <w:tcPr>
            <w:tcW w:w="4981" w:type="dxa"/>
          </w:tcPr>
          <w:p w14:paraId="60C517ED" w14:textId="77777777" w:rsidR="00561B22" w:rsidRPr="00E3172E" w:rsidRDefault="00561B22" w:rsidP="00F1223B">
            <w:pPr>
              <w:jc w:val="center"/>
              <w:rPr>
                <w:rFonts w:ascii="Arial" w:hAnsi="Arial" w:cs="Arial"/>
                <w:b/>
                <w:sz w:val="22"/>
                <w:szCs w:val="22"/>
                <w:u w:val="single"/>
                <w:lang w:val="es-MX"/>
              </w:rPr>
            </w:pPr>
            <w:r w:rsidRPr="00E3172E">
              <w:rPr>
                <w:rFonts w:ascii="Arial" w:hAnsi="Arial" w:cs="Arial"/>
                <w:b/>
                <w:sz w:val="22"/>
                <w:szCs w:val="22"/>
                <w:u w:val="single"/>
                <w:lang w:val="es-MX"/>
              </w:rPr>
              <w:t>4.97</w:t>
            </w:r>
          </w:p>
        </w:tc>
      </w:tr>
    </w:tbl>
    <w:p w14:paraId="547D84FB" w14:textId="77777777" w:rsidR="00561B22" w:rsidRPr="00E3172E" w:rsidRDefault="00561B22" w:rsidP="00561B22">
      <w:pPr>
        <w:pStyle w:val="Textoindependiente"/>
        <w:ind w:right="-50"/>
        <w:jc w:val="both"/>
        <w:rPr>
          <w:rFonts w:ascii="Arial" w:hAnsi="Arial" w:cs="Arial"/>
          <w:b/>
          <w:bCs/>
        </w:rPr>
      </w:pPr>
    </w:p>
    <w:p w14:paraId="6E6374B0" w14:textId="77777777" w:rsidR="00561B22" w:rsidRPr="00E3172E" w:rsidRDefault="00561B22" w:rsidP="00561B22">
      <w:pPr>
        <w:pStyle w:val="Textoindependiente"/>
        <w:ind w:right="-50"/>
        <w:jc w:val="both"/>
        <w:rPr>
          <w:rFonts w:ascii="Arial" w:hAnsi="Arial" w:cs="Arial"/>
          <w:b/>
          <w:bCs/>
        </w:rPr>
      </w:pPr>
      <w:r w:rsidRPr="00E3172E">
        <w:rPr>
          <w:rFonts w:ascii="Arial" w:hAnsi="Arial" w:cs="Arial"/>
          <w:b/>
          <w:bCs/>
        </w:rPr>
        <w:t>Del informe enviado retomamos lo siguiente:</w:t>
      </w:r>
    </w:p>
    <w:p w14:paraId="7880662A" w14:textId="77777777" w:rsidR="00561B22" w:rsidRPr="00E317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172E" w14:paraId="432FC274" w14:textId="77777777" w:rsidTr="00F1223B">
        <w:tc>
          <w:tcPr>
            <w:tcW w:w="562" w:type="dxa"/>
          </w:tcPr>
          <w:p w14:paraId="70DC5E8D" w14:textId="77777777" w:rsidR="00561B22" w:rsidRPr="00E3172E" w:rsidRDefault="00561B22" w:rsidP="00F1223B">
            <w:pPr>
              <w:ind w:right="-109"/>
              <w:jc w:val="center"/>
              <w:rPr>
                <w:rFonts w:ascii="Arial" w:hAnsi="Arial" w:cs="Arial"/>
                <w:b/>
                <w:sz w:val="22"/>
                <w:szCs w:val="22"/>
                <w:lang w:val="es-MX"/>
              </w:rPr>
            </w:pPr>
            <w:r w:rsidRPr="00E3172E">
              <w:rPr>
                <w:rFonts w:ascii="Arial" w:hAnsi="Arial" w:cs="Arial"/>
                <w:b/>
                <w:sz w:val="22"/>
                <w:szCs w:val="22"/>
                <w:lang w:val="es-MX"/>
              </w:rPr>
              <w:t>N°</w:t>
            </w:r>
          </w:p>
        </w:tc>
        <w:tc>
          <w:tcPr>
            <w:tcW w:w="9400" w:type="dxa"/>
          </w:tcPr>
          <w:p w14:paraId="51244CD2" w14:textId="77777777" w:rsidR="00561B22" w:rsidRPr="00E3172E" w:rsidRDefault="00561B22" w:rsidP="00F1223B">
            <w:pPr>
              <w:jc w:val="center"/>
              <w:rPr>
                <w:rFonts w:ascii="Arial" w:hAnsi="Arial" w:cs="Arial"/>
                <w:b/>
                <w:sz w:val="22"/>
                <w:szCs w:val="22"/>
                <w:lang w:val="es-MX"/>
              </w:rPr>
            </w:pPr>
            <w:r w:rsidRPr="00E3172E">
              <w:rPr>
                <w:rFonts w:ascii="Arial" w:hAnsi="Arial" w:cs="Arial"/>
                <w:b/>
                <w:sz w:val="22"/>
                <w:szCs w:val="22"/>
                <w:lang w:val="es-MX"/>
              </w:rPr>
              <w:t>DEBILIDADES</w:t>
            </w:r>
          </w:p>
          <w:p w14:paraId="78A3E908" w14:textId="77777777" w:rsidR="00561B22" w:rsidRPr="00E3172E" w:rsidRDefault="00561B22" w:rsidP="00F1223B">
            <w:pPr>
              <w:jc w:val="center"/>
              <w:rPr>
                <w:rFonts w:ascii="Arial" w:hAnsi="Arial" w:cs="Arial"/>
                <w:b/>
                <w:sz w:val="22"/>
                <w:szCs w:val="22"/>
                <w:lang w:val="es-MX"/>
              </w:rPr>
            </w:pPr>
          </w:p>
        </w:tc>
      </w:tr>
      <w:tr w:rsidR="00561B22" w:rsidRPr="00E3172E" w14:paraId="0433BDB5" w14:textId="77777777" w:rsidTr="00F1223B">
        <w:tc>
          <w:tcPr>
            <w:tcW w:w="562" w:type="dxa"/>
          </w:tcPr>
          <w:p w14:paraId="1A43C15F" w14:textId="77777777" w:rsidR="00561B22" w:rsidRPr="00E3172E" w:rsidRDefault="00561B22" w:rsidP="00F1223B">
            <w:pPr>
              <w:jc w:val="center"/>
              <w:rPr>
                <w:rFonts w:ascii="Arial" w:hAnsi="Arial" w:cs="Arial"/>
                <w:b/>
                <w:sz w:val="22"/>
                <w:szCs w:val="22"/>
                <w:lang w:val="es-MX"/>
              </w:rPr>
            </w:pPr>
            <w:r w:rsidRPr="00E3172E">
              <w:rPr>
                <w:rFonts w:ascii="Arial" w:hAnsi="Arial" w:cs="Arial"/>
                <w:b/>
                <w:sz w:val="22"/>
                <w:szCs w:val="22"/>
                <w:lang w:val="es-MX"/>
              </w:rPr>
              <w:t>1</w:t>
            </w:r>
          </w:p>
        </w:tc>
        <w:tc>
          <w:tcPr>
            <w:tcW w:w="9400" w:type="dxa"/>
          </w:tcPr>
          <w:p w14:paraId="345E1C33" w14:textId="77777777" w:rsidR="00561B22" w:rsidRPr="00E3172E" w:rsidRDefault="00561B22" w:rsidP="00F1223B">
            <w:pPr>
              <w:jc w:val="both"/>
              <w:rPr>
                <w:rFonts w:ascii="Arial" w:hAnsi="Arial" w:cs="Arial"/>
                <w:sz w:val="22"/>
                <w:szCs w:val="22"/>
                <w:lang w:val="es-MX"/>
              </w:rPr>
            </w:pPr>
            <w:r w:rsidRPr="00E3172E">
              <w:rPr>
                <w:rFonts w:ascii="Arial" w:hAnsi="Arial" w:cs="Arial"/>
                <w:sz w:val="22"/>
                <w:szCs w:val="22"/>
                <w:lang w:val="es-MX"/>
              </w:rPr>
              <w:t xml:space="preserve">Se estructuró un plan de organización para el archivo documental de la Corporación, cuyo periodo de implementación se encuentra en desarrollo; los avances en esta materia comprenden: La elaboración de una guía de Implementación para las tablas de retención documental, que fue socializada al personal involucrado en el proceso financiero, en aras de establecer una reglamentación, organización y adecuada transferencia  al archivo central de la documentación física actual y de periodos anteriores y/o almacenamiento de archivas digitales teniendo en cuenta, que la obligatoriedad de incursionar en facturación electrónica disminuyó considerablemente el archivo documental físico. </w:t>
            </w:r>
          </w:p>
          <w:p w14:paraId="196C9D55" w14:textId="77777777" w:rsidR="00561B22" w:rsidRPr="00E3172E" w:rsidRDefault="00561B22" w:rsidP="00F1223B">
            <w:pPr>
              <w:jc w:val="both"/>
              <w:rPr>
                <w:rFonts w:ascii="Arial" w:hAnsi="Arial" w:cs="Arial"/>
                <w:sz w:val="22"/>
                <w:szCs w:val="22"/>
                <w:lang w:val="es-MX"/>
              </w:rPr>
            </w:pPr>
          </w:p>
          <w:p w14:paraId="76DC8052" w14:textId="77777777" w:rsidR="00561B22" w:rsidRPr="00E3172E" w:rsidRDefault="00561B22" w:rsidP="00F1223B">
            <w:pPr>
              <w:jc w:val="both"/>
              <w:rPr>
                <w:rFonts w:ascii="Arial" w:hAnsi="Arial" w:cs="Arial"/>
                <w:sz w:val="22"/>
                <w:szCs w:val="22"/>
                <w:lang w:val="es-MX"/>
              </w:rPr>
            </w:pPr>
            <w:r w:rsidRPr="00E3172E">
              <w:rPr>
                <w:rFonts w:ascii="Arial" w:hAnsi="Arial" w:cs="Arial"/>
                <w:sz w:val="22"/>
                <w:szCs w:val="22"/>
                <w:lang w:val="es-MX"/>
              </w:rPr>
              <w:t>Se evidencian dificultades para la ubicación de la documentación de años anteriores a la Implementación del sistema de facturación electrónica lo que dificulta la tarea de soporte y construcción de pruebas documentales físicas.</w:t>
            </w:r>
          </w:p>
        </w:tc>
      </w:tr>
    </w:tbl>
    <w:p w14:paraId="50017C3B" w14:textId="77777777" w:rsidR="00561B22" w:rsidRPr="00E3172E" w:rsidRDefault="00561B22" w:rsidP="00561B22">
      <w:pPr>
        <w:pStyle w:val="Textoindependiente"/>
        <w:ind w:right="-50"/>
        <w:jc w:val="both"/>
        <w:rPr>
          <w:rFonts w:ascii="Arial" w:hAnsi="Arial" w:cs="Arial"/>
          <w:b/>
          <w:bCs/>
        </w:rPr>
      </w:pPr>
    </w:p>
    <w:p w14:paraId="6407B51B" w14:textId="77777777" w:rsidR="00561B22" w:rsidRPr="00E3172E" w:rsidRDefault="00561B22" w:rsidP="00561B22">
      <w:pPr>
        <w:jc w:val="both"/>
        <w:rPr>
          <w:rFonts w:ascii="Arial" w:hAnsi="Arial" w:cs="Arial"/>
          <w:b/>
          <w:lang w:val="es-MX"/>
        </w:rPr>
      </w:pPr>
      <w:r w:rsidRPr="00E3172E">
        <w:rPr>
          <w:rFonts w:ascii="Arial" w:hAnsi="Arial" w:cs="Arial"/>
          <w:b/>
          <w:lang w:val="es-MX"/>
        </w:rPr>
        <w:t>Del citado informe retomamos las siguientes recomendaciones:</w:t>
      </w:r>
    </w:p>
    <w:p w14:paraId="16BBA633" w14:textId="77777777" w:rsidR="00561B22" w:rsidRPr="00E317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172E" w14:paraId="3F8F1A02" w14:textId="77777777" w:rsidTr="00F1223B">
        <w:tc>
          <w:tcPr>
            <w:tcW w:w="562" w:type="dxa"/>
          </w:tcPr>
          <w:p w14:paraId="37E3C0C1" w14:textId="77777777" w:rsidR="00561B22" w:rsidRPr="00E3172E" w:rsidRDefault="00561B22" w:rsidP="00F1223B">
            <w:pPr>
              <w:ind w:right="-109"/>
              <w:jc w:val="center"/>
              <w:rPr>
                <w:rFonts w:ascii="Arial" w:hAnsi="Arial" w:cs="Arial"/>
                <w:b/>
                <w:sz w:val="22"/>
                <w:szCs w:val="22"/>
                <w:lang w:val="es-MX"/>
              </w:rPr>
            </w:pPr>
            <w:r w:rsidRPr="00E3172E">
              <w:rPr>
                <w:rFonts w:ascii="Arial" w:hAnsi="Arial" w:cs="Arial"/>
                <w:b/>
                <w:sz w:val="22"/>
                <w:szCs w:val="22"/>
                <w:lang w:val="es-MX"/>
              </w:rPr>
              <w:t>N°</w:t>
            </w:r>
          </w:p>
        </w:tc>
        <w:tc>
          <w:tcPr>
            <w:tcW w:w="9400" w:type="dxa"/>
          </w:tcPr>
          <w:p w14:paraId="376677DE" w14:textId="77777777" w:rsidR="00561B22" w:rsidRPr="00E3172E" w:rsidRDefault="00561B22" w:rsidP="00F1223B">
            <w:pPr>
              <w:jc w:val="center"/>
              <w:rPr>
                <w:rFonts w:ascii="Arial" w:hAnsi="Arial" w:cs="Arial"/>
                <w:b/>
                <w:sz w:val="22"/>
                <w:szCs w:val="22"/>
                <w:lang w:val="es-MX"/>
              </w:rPr>
            </w:pPr>
            <w:r w:rsidRPr="00E3172E">
              <w:rPr>
                <w:rFonts w:ascii="Arial" w:hAnsi="Arial" w:cs="Arial"/>
                <w:b/>
                <w:sz w:val="22"/>
                <w:szCs w:val="22"/>
                <w:lang w:val="es-MX"/>
              </w:rPr>
              <w:t>RECOMENDACIONES</w:t>
            </w:r>
          </w:p>
          <w:p w14:paraId="71114BA0" w14:textId="77777777" w:rsidR="00561B22" w:rsidRPr="00E3172E" w:rsidRDefault="00561B22" w:rsidP="00F1223B">
            <w:pPr>
              <w:jc w:val="center"/>
              <w:rPr>
                <w:rFonts w:ascii="Arial" w:hAnsi="Arial" w:cs="Arial"/>
                <w:b/>
                <w:sz w:val="22"/>
                <w:szCs w:val="22"/>
                <w:lang w:val="es-MX"/>
              </w:rPr>
            </w:pPr>
          </w:p>
        </w:tc>
      </w:tr>
      <w:tr w:rsidR="00561B22" w:rsidRPr="00E3172E" w14:paraId="34AA6F60" w14:textId="77777777" w:rsidTr="00F1223B">
        <w:tc>
          <w:tcPr>
            <w:tcW w:w="562" w:type="dxa"/>
          </w:tcPr>
          <w:p w14:paraId="6FE59351" w14:textId="77777777" w:rsidR="00561B22" w:rsidRPr="00E3172E" w:rsidRDefault="00561B22" w:rsidP="00F1223B">
            <w:pPr>
              <w:jc w:val="center"/>
              <w:rPr>
                <w:rFonts w:ascii="Arial" w:hAnsi="Arial" w:cs="Arial"/>
                <w:b/>
                <w:sz w:val="22"/>
                <w:szCs w:val="22"/>
                <w:lang w:val="es-MX"/>
              </w:rPr>
            </w:pPr>
            <w:r w:rsidRPr="00E3172E">
              <w:rPr>
                <w:rFonts w:ascii="Arial" w:hAnsi="Arial" w:cs="Arial"/>
                <w:b/>
                <w:sz w:val="22"/>
                <w:szCs w:val="22"/>
                <w:lang w:val="es-MX"/>
              </w:rPr>
              <w:t>1</w:t>
            </w:r>
          </w:p>
        </w:tc>
        <w:tc>
          <w:tcPr>
            <w:tcW w:w="9400" w:type="dxa"/>
          </w:tcPr>
          <w:p w14:paraId="55518D66" w14:textId="77777777" w:rsidR="00561B22" w:rsidRPr="00E3172E" w:rsidRDefault="00561B22" w:rsidP="00F1223B">
            <w:pPr>
              <w:rPr>
                <w:rFonts w:ascii="Arial" w:hAnsi="Arial" w:cs="Arial"/>
                <w:sz w:val="22"/>
                <w:szCs w:val="22"/>
                <w:lang w:val="es-MX"/>
              </w:rPr>
            </w:pPr>
            <w:r w:rsidRPr="00E3172E">
              <w:rPr>
                <w:rFonts w:ascii="Arial" w:hAnsi="Arial" w:cs="Arial"/>
                <w:sz w:val="22"/>
                <w:szCs w:val="22"/>
                <w:lang w:val="es-MX"/>
              </w:rPr>
              <w:t xml:space="preserve">El archivo documental requiere de atención especial para propender por su conservación en el tiempo que regula la legislación colombiana y como valor de la prueba y respaldo de las </w:t>
            </w:r>
            <w:r w:rsidRPr="00E3172E">
              <w:rPr>
                <w:rFonts w:ascii="Arial" w:hAnsi="Arial" w:cs="Arial"/>
                <w:sz w:val="22"/>
                <w:szCs w:val="22"/>
                <w:lang w:val="es-MX"/>
              </w:rPr>
              <w:lastRenderedPageBreak/>
              <w:t>cifras contenidas en los Estados Financieros de la Corporación.</w:t>
            </w:r>
          </w:p>
        </w:tc>
      </w:tr>
      <w:tr w:rsidR="00561B22" w:rsidRPr="00E3172E" w14:paraId="488C63CB" w14:textId="77777777" w:rsidTr="00F1223B">
        <w:tc>
          <w:tcPr>
            <w:tcW w:w="562" w:type="dxa"/>
          </w:tcPr>
          <w:p w14:paraId="097F903E" w14:textId="77777777" w:rsidR="00561B22" w:rsidRPr="00E3172E" w:rsidRDefault="00561B22" w:rsidP="00F1223B">
            <w:pPr>
              <w:jc w:val="center"/>
              <w:rPr>
                <w:rFonts w:ascii="Arial" w:hAnsi="Arial" w:cs="Arial"/>
                <w:b/>
                <w:sz w:val="22"/>
                <w:szCs w:val="22"/>
                <w:lang w:val="es-MX"/>
              </w:rPr>
            </w:pPr>
            <w:r w:rsidRPr="00E3172E">
              <w:rPr>
                <w:rFonts w:ascii="Arial" w:hAnsi="Arial" w:cs="Arial"/>
                <w:b/>
                <w:sz w:val="22"/>
                <w:szCs w:val="22"/>
                <w:lang w:val="es-MX"/>
              </w:rPr>
              <w:lastRenderedPageBreak/>
              <w:t>2</w:t>
            </w:r>
          </w:p>
        </w:tc>
        <w:tc>
          <w:tcPr>
            <w:tcW w:w="9400" w:type="dxa"/>
          </w:tcPr>
          <w:p w14:paraId="7DCD503E" w14:textId="77777777" w:rsidR="00561B22" w:rsidRPr="00E3172E" w:rsidRDefault="00561B22" w:rsidP="00F1223B">
            <w:pPr>
              <w:jc w:val="both"/>
              <w:rPr>
                <w:rFonts w:ascii="Arial" w:hAnsi="Arial" w:cs="Arial"/>
                <w:sz w:val="22"/>
                <w:szCs w:val="22"/>
                <w:lang w:val="es-MX"/>
              </w:rPr>
            </w:pPr>
            <w:r w:rsidRPr="00E3172E">
              <w:rPr>
                <w:rFonts w:ascii="Arial" w:hAnsi="Arial" w:cs="Arial"/>
                <w:sz w:val="22"/>
                <w:szCs w:val="22"/>
                <w:lang w:val="es-MX"/>
              </w:rPr>
              <w:t xml:space="preserve"> Se debe continuar con las gestiones y la habilitación de espacios completos que permitan la centralización, conservación y consulta eficiente de la gestión documental corporativa; en línea con el Nuevo Sistema Integrado de Gestión Documental, liderado por la Oficina de HSEQ y bajo la supervisión y directrices de la Vicepresidencia Ejecutiva.</w:t>
            </w:r>
          </w:p>
        </w:tc>
      </w:tr>
    </w:tbl>
    <w:p w14:paraId="4CDD3398" w14:textId="77777777" w:rsidR="00561B22" w:rsidRPr="00E3172E" w:rsidRDefault="00561B22" w:rsidP="00561B22">
      <w:pPr>
        <w:pStyle w:val="Textoindependiente"/>
        <w:ind w:right="-50"/>
        <w:jc w:val="both"/>
        <w:rPr>
          <w:rFonts w:ascii="Arial" w:hAnsi="Arial" w:cs="Arial"/>
          <w:b/>
          <w:bCs/>
        </w:rPr>
      </w:pPr>
    </w:p>
    <w:p w14:paraId="5D1127AF" w14:textId="77777777" w:rsidR="00561B22" w:rsidRPr="00E3172E" w:rsidRDefault="00561B22" w:rsidP="00561B22">
      <w:pPr>
        <w:jc w:val="both"/>
        <w:rPr>
          <w:rFonts w:ascii="Arial" w:hAnsi="Arial" w:cs="Arial"/>
          <w:b/>
          <w:bCs/>
          <w:sz w:val="24"/>
          <w:szCs w:val="24"/>
          <w:lang w:val="es-CO"/>
        </w:rPr>
      </w:pPr>
      <w:r w:rsidRPr="00E3172E">
        <w:rPr>
          <w:rFonts w:ascii="Arial" w:hAnsi="Arial" w:cs="Arial"/>
          <w:b/>
          <w:bCs/>
          <w:sz w:val="24"/>
          <w:szCs w:val="24"/>
          <w:lang w:val="es-CO"/>
        </w:rPr>
        <w:t xml:space="preserve">NOTA: LA ENTIDAD ENVIA LA MATRIZ DE AUTOEVALUACIÓN DEL SISTEMA DE CONTROL INTERNO CONTABLE CON </w:t>
      </w:r>
      <w:r w:rsidRPr="00E3172E">
        <w:rPr>
          <w:rFonts w:ascii="Arial" w:hAnsi="Arial" w:cs="Arial"/>
          <w:b/>
          <w:bCs/>
          <w:sz w:val="24"/>
          <w:szCs w:val="24"/>
          <w:u w:val="single"/>
          <w:lang w:val="es-CO"/>
        </w:rPr>
        <w:t>ACTIVIDADES DE CONTROL REALIZADAS EN FORMA PARCIAL</w:t>
      </w:r>
      <w:r w:rsidRPr="00E3172E">
        <w:rPr>
          <w:rFonts w:ascii="Arial" w:hAnsi="Arial" w:cs="Arial"/>
          <w:b/>
          <w:bCs/>
          <w:sz w:val="24"/>
          <w:szCs w:val="24"/>
          <w:lang w:val="es-CO"/>
        </w:rPr>
        <w:t>.</w:t>
      </w:r>
    </w:p>
    <w:p w14:paraId="133CCC70" w14:textId="77777777" w:rsidR="00E613DE" w:rsidRDefault="00E613DE" w:rsidP="00561B22">
      <w:pPr>
        <w:jc w:val="both"/>
        <w:rPr>
          <w:rFonts w:ascii="Arial" w:hAnsi="Arial" w:cs="Arial"/>
          <w:b/>
          <w:sz w:val="28"/>
          <w:szCs w:val="28"/>
          <w:lang w:val="es-MX"/>
        </w:rPr>
      </w:pPr>
    </w:p>
    <w:p w14:paraId="762C39C4" w14:textId="734E05AE" w:rsidR="00561B22" w:rsidRDefault="00561B22" w:rsidP="00561B22">
      <w:pPr>
        <w:jc w:val="both"/>
        <w:rPr>
          <w:rFonts w:ascii="Arial" w:hAnsi="Arial" w:cs="Arial"/>
          <w:b/>
          <w:sz w:val="28"/>
          <w:szCs w:val="28"/>
          <w:lang w:val="es-MX"/>
        </w:rPr>
      </w:pPr>
      <w:r w:rsidRPr="003F5AE9">
        <w:rPr>
          <w:rFonts w:ascii="Arial" w:hAnsi="Arial" w:cs="Arial"/>
          <w:b/>
          <w:sz w:val="28"/>
          <w:szCs w:val="28"/>
          <w:lang w:val="es-MX"/>
        </w:rPr>
        <w:t>88.- SENADO DE LA REPÚBLICA.</w:t>
      </w:r>
    </w:p>
    <w:p w14:paraId="19B10233" w14:textId="77777777" w:rsidR="00561B22" w:rsidRDefault="00561B22" w:rsidP="00561B22">
      <w:pPr>
        <w:jc w:val="both"/>
        <w:rPr>
          <w:rFonts w:ascii="Arial" w:hAnsi="Arial" w:cs="Arial"/>
          <w:b/>
          <w:sz w:val="28"/>
          <w:szCs w:val="28"/>
          <w:lang w:val="es-MX"/>
        </w:rPr>
      </w:pPr>
    </w:p>
    <w:p w14:paraId="36AE2AE1" w14:textId="77777777" w:rsidR="00561B22" w:rsidRPr="0096762C" w:rsidRDefault="00561B22" w:rsidP="00561B22">
      <w:pPr>
        <w:pStyle w:val="Textoindependiente"/>
        <w:ind w:right="-50"/>
        <w:jc w:val="center"/>
        <w:rPr>
          <w:rFonts w:ascii="Arial" w:hAnsi="Arial" w:cs="Arial"/>
          <w:b/>
          <w:bCs/>
        </w:rPr>
      </w:pPr>
      <w:r w:rsidRPr="0096762C">
        <w:rPr>
          <w:rFonts w:ascii="Arial" w:hAnsi="Arial" w:cs="Arial"/>
          <w:b/>
          <w:bCs/>
        </w:rPr>
        <w:t>INFORME DE LA AUTOCALIFICACIÓN DEL SISTEMA DE CONTROL INTERNO CONTABLE:</w:t>
      </w:r>
    </w:p>
    <w:p w14:paraId="52AFD719" w14:textId="77777777" w:rsidR="00561B22" w:rsidRPr="0096762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6762C" w14:paraId="3EE6B705" w14:textId="77777777" w:rsidTr="00F1223B">
        <w:tc>
          <w:tcPr>
            <w:tcW w:w="4981" w:type="dxa"/>
          </w:tcPr>
          <w:p w14:paraId="3EDBC05C"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AUTOCALIFICACIÓN</w:t>
            </w:r>
          </w:p>
        </w:tc>
        <w:tc>
          <w:tcPr>
            <w:tcW w:w="4981" w:type="dxa"/>
          </w:tcPr>
          <w:p w14:paraId="0F6F60F1" w14:textId="77777777" w:rsidR="00561B22" w:rsidRPr="0096762C" w:rsidRDefault="00561B22" w:rsidP="00F1223B">
            <w:pPr>
              <w:jc w:val="center"/>
              <w:rPr>
                <w:rFonts w:ascii="Arial" w:hAnsi="Arial" w:cs="Arial"/>
                <w:b/>
                <w:sz w:val="22"/>
                <w:szCs w:val="22"/>
                <w:u w:val="single"/>
                <w:lang w:val="es-MX"/>
              </w:rPr>
            </w:pPr>
            <w:r w:rsidRPr="0096762C">
              <w:rPr>
                <w:rFonts w:ascii="Arial" w:hAnsi="Arial" w:cs="Arial"/>
                <w:b/>
                <w:sz w:val="22"/>
                <w:szCs w:val="22"/>
                <w:u w:val="single"/>
                <w:lang w:val="es-MX"/>
              </w:rPr>
              <w:t>4.75</w:t>
            </w:r>
          </w:p>
        </w:tc>
      </w:tr>
    </w:tbl>
    <w:p w14:paraId="340820DF" w14:textId="77777777" w:rsidR="00561B22" w:rsidRPr="0096762C" w:rsidRDefault="00561B22" w:rsidP="00561B22">
      <w:pPr>
        <w:pStyle w:val="Textoindependiente"/>
        <w:ind w:right="-50"/>
        <w:jc w:val="both"/>
        <w:rPr>
          <w:rFonts w:ascii="Arial" w:hAnsi="Arial" w:cs="Arial"/>
          <w:b/>
          <w:bCs/>
        </w:rPr>
      </w:pPr>
    </w:p>
    <w:p w14:paraId="36E1CDA0" w14:textId="77777777" w:rsidR="00561B22" w:rsidRPr="0096762C" w:rsidRDefault="00561B22" w:rsidP="00561B22">
      <w:pPr>
        <w:pStyle w:val="Textoindependiente"/>
        <w:ind w:right="-50"/>
        <w:jc w:val="both"/>
        <w:rPr>
          <w:rFonts w:ascii="Arial" w:hAnsi="Arial" w:cs="Arial"/>
          <w:b/>
          <w:bCs/>
        </w:rPr>
      </w:pPr>
      <w:r w:rsidRPr="0096762C">
        <w:rPr>
          <w:rFonts w:ascii="Arial" w:hAnsi="Arial" w:cs="Arial"/>
          <w:b/>
          <w:bCs/>
        </w:rPr>
        <w:t>Del informe enviado retomamos lo siguiente:</w:t>
      </w:r>
    </w:p>
    <w:p w14:paraId="0F9A38F6" w14:textId="77777777" w:rsidR="00561B22" w:rsidRPr="0096762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6762C" w14:paraId="4AE3E5D4" w14:textId="77777777" w:rsidTr="00F1223B">
        <w:tc>
          <w:tcPr>
            <w:tcW w:w="562" w:type="dxa"/>
          </w:tcPr>
          <w:p w14:paraId="2A87F3EF" w14:textId="77777777" w:rsidR="00561B22" w:rsidRPr="0096762C" w:rsidRDefault="00561B22" w:rsidP="00F1223B">
            <w:pPr>
              <w:ind w:right="-109"/>
              <w:jc w:val="center"/>
              <w:rPr>
                <w:rFonts w:ascii="Arial" w:hAnsi="Arial" w:cs="Arial"/>
                <w:b/>
                <w:sz w:val="22"/>
                <w:szCs w:val="22"/>
                <w:lang w:val="es-MX"/>
              </w:rPr>
            </w:pPr>
            <w:r w:rsidRPr="0096762C">
              <w:rPr>
                <w:rFonts w:ascii="Arial" w:hAnsi="Arial" w:cs="Arial"/>
                <w:b/>
                <w:sz w:val="22"/>
                <w:szCs w:val="22"/>
                <w:lang w:val="es-MX"/>
              </w:rPr>
              <w:t>N°</w:t>
            </w:r>
          </w:p>
        </w:tc>
        <w:tc>
          <w:tcPr>
            <w:tcW w:w="9400" w:type="dxa"/>
          </w:tcPr>
          <w:p w14:paraId="3CA5E500"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DEBILIDADES</w:t>
            </w:r>
          </w:p>
          <w:p w14:paraId="434F0E49" w14:textId="77777777" w:rsidR="00561B22" w:rsidRPr="0096762C" w:rsidRDefault="00561B22" w:rsidP="00F1223B">
            <w:pPr>
              <w:jc w:val="center"/>
              <w:rPr>
                <w:rFonts w:ascii="Arial" w:hAnsi="Arial" w:cs="Arial"/>
                <w:b/>
                <w:sz w:val="22"/>
                <w:szCs w:val="22"/>
                <w:lang w:val="es-MX"/>
              </w:rPr>
            </w:pPr>
          </w:p>
        </w:tc>
      </w:tr>
      <w:tr w:rsidR="00561B22" w:rsidRPr="0096762C" w14:paraId="007F5C34" w14:textId="77777777" w:rsidTr="00F1223B">
        <w:tc>
          <w:tcPr>
            <w:tcW w:w="562" w:type="dxa"/>
          </w:tcPr>
          <w:p w14:paraId="23F4D1A8"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1</w:t>
            </w:r>
          </w:p>
        </w:tc>
        <w:tc>
          <w:tcPr>
            <w:tcW w:w="9400" w:type="dxa"/>
          </w:tcPr>
          <w:p w14:paraId="021BD321" w14:textId="77777777" w:rsidR="00561B22" w:rsidRPr="0096762C" w:rsidRDefault="00561B22" w:rsidP="00F1223B">
            <w:pPr>
              <w:jc w:val="both"/>
              <w:rPr>
                <w:rFonts w:ascii="Arial" w:hAnsi="Arial" w:cs="Arial"/>
                <w:sz w:val="22"/>
                <w:szCs w:val="22"/>
                <w:lang w:val="es-MX"/>
              </w:rPr>
            </w:pPr>
            <w:r w:rsidRPr="0096762C">
              <w:rPr>
                <w:rFonts w:ascii="Arial" w:hAnsi="Arial" w:cs="Arial"/>
                <w:sz w:val="22"/>
                <w:szCs w:val="22"/>
                <w:lang w:val="es-MX"/>
              </w:rPr>
              <w:t>Falta de Talento Humano para el desarrollo de las actividades de las áreas entre otras por la alta rotación de personal, ocasionando fuga de conocimiento.</w:t>
            </w:r>
          </w:p>
        </w:tc>
      </w:tr>
      <w:tr w:rsidR="00561B22" w:rsidRPr="0096762C" w14:paraId="1E87BB4C" w14:textId="77777777" w:rsidTr="00F1223B">
        <w:tc>
          <w:tcPr>
            <w:tcW w:w="562" w:type="dxa"/>
          </w:tcPr>
          <w:p w14:paraId="3100E7BF"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2</w:t>
            </w:r>
          </w:p>
        </w:tc>
        <w:tc>
          <w:tcPr>
            <w:tcW w:w="9400" w:type="dxa"/>
          </w:tcPr>
          <w:p w14:paraId="0AC76559" w14:textId="77777777" w:rsidR="00561B22" w:rsidRPr="0096762C" w:rsidRDefault="00561B22" w:rsidP="00F1223B">
            <w:pPr>
              <w:jc w:val="both"/>
              <w:rPr>
                <w:rFonts w:ascii="Arial" w:hAnsi="Arial" w:cs="Arial"/>
                <w:sz w:val="22"/>
                <w:szCs w:val="22"/>
                <w:lang w:val="es-MX"/>
              </w:rPr>
            </w:pPr>
            <w:r w:rsidRPr="0096762C">
              <w:rPr>
                <w:rFonts w:ascii="Arial" w:hAnsi="Arial" w:cs="Arial"/>
                <w:sz w:val="22"/>
                <w:szCs w:val="22"/>
                <w:lang w:val="es-MX"/>
              </w:rPr>
              <w:t>Escasez en competencias del Talento Humano, en las diferentes dependencias para atender la carga laboral contable. No realizar conciliaciones contables permanente y oportunamente con las diferentes dependencias generadoras de información contable de la entidad.</w:t>
            </w:r>
          </w:p>
        </w:tc>
      </w:tr>
      <w:tr w:rsidR="00561B22" w:rsidRPr="0096762C" w14:paraId="7AD2A2EC" w14:textId="77777777" w:rsidTr="00F1223B">
        <w:tc>
          <w:tcPr>
            <w:tcW w:w="562" w:type="dxa"/>
          </w:tcPr>
          <w:p w14:paraId="58291807"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3</w:t>
            </w:r>
          </w:p>
        </w:tc>
        <w:tc>
          <w:tcPr>
            <w:tcW w:w="9400" w:type="dxa"/>
          </w:tcPr>
          <w:p w14:paraId="3B8BBCB1" w14:textId="77777777" w:rsidR="00561B22" w:rsidRPr="0096762C" w:rsidRDefault="00561B22" w:rsidP="00F1223B">
            <w:pPr>
              <w:jc w:val="both"/>
              <w:rPr>
                <w:rFonts w:ascii="Arial" w:hAnsi="Arial" w:cs="Arial"/>
                <w:sz w:val="22"/>
                <w:szCs w:val="22"/>
                <w:lang w:val="es-MX"/>
              </w:rPr>
            </w:pPr>
            <w:r w:rsidRPr="0096762C">
              <w:rPr>
                <w:rFonts w:ascii="Arial" w:hAnsi="Arial" w:cs="Arial"/>
                <w:sz w:val="22"/>
                <w:szCs w:val="22"/>
                <w:lang w:val="es-MX"/>
              </w:rPr>
              <w:t>Se cuenta con un equipo competente; sin embargo; se requiere reforzar el sentido de compromiso y pertenencia, para fomentar una mayor disposición del talento humano.</w:t>
            </w:r>
          </w:p>
        </w:tc>
      </w:tr>
      <w:tr w:rsidR="00561B22" w:rsidRPr="0096762C" w14:paraId="4ECB0F4F" w14:textId="77777777" w:rsidTr="00F1223B">
        <w:tc>
          <w:tcPr>
            <w:tcW w:w="562" w:type="dxa"/>
          </w:tcPr>
          <w:p w14:paraId="7DC122A7"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4</w:t>
            </w:r>
          </w:p>
        </w:tc>
        <w:tc>
          <w:tcPr>
            <w:tcW w:w="9400" w:type="dxa"/>
          </w:tcPr>
          <w:p w14:paraId="755B68A9" w14:textId="77777777" w:rsidR="00561B22" w:rsidRPr="0096762C" w:rsidRDefault="00561B22" w:rsidP="00F1223B">
            <w:pPr>
              <w:jc w:val="both"/>
              <w:rPr>
                <w:rFonts w:ascii="Arial" w:hAnsi="Arial" w:cs="Arial"/>
                <w:sz w:val="22"/>
                <w:szCs w:val="22"/>
                <w:lang w:val="es-MX"/>
              </w:rPr>
            </w:pPr>
            <w:r w:rsidRPr="0096762C">
              <w:rPr>
                <w:rFonts w:ascii="Arial" w:hAnsi="Arial" w:cs="Arial"/>
                <w:sz w:val="22"/>
                <w:szCs w:val="22"/>
                <w:lang w:val="es-MX"/>
              </w:rPr>
              <w:t>En ocasiones los diferentes procesos no logran interiorizar la importancia del reporte de la información contable, de manera oportuna y completa para que los Estados Financieros reflejen la realidad de los hechos económicos de la Entidad Se cuenta con un software especializado en el Sector Salud (Dinámica Gerencial), que no cumple con las necesidades y expectativas del Senado de la República para el manejo de la cuenta de Propiedad Planta y Equipo, que es la cuenta más significativa de los …. (Párrafo incompleto).</w:t>
            </w:r>
          </w:p>
        </w:tc>
      </w:tr>
    </w:tbl>
    <w:p w14:paraId="5F172389" w14:textId="77777777" w:rsidR="00561B22" w:rsidRPr="0096762C" w:rsidRDefault="00561B22" w:rsidP="00561B22">
      <w:pPr>
        <w:pStyle w:val="Textoindependiente"/>
        <w:ind w:right="-50"/>
        <w:jc w:val="both"/>
        <w:rPr>
          <w:rFonts w:ascii="Arial" w:hAnsi="Arial" w:cs="Arial"/>
          <w:b/>
          <w:bCs/>
        </w:rPr>
      </w:pPr>
    </w:p>
    <w:p w14:paraId="15BB36CF" w14:textId="77777777" w:rsidR="00561B22" w:rsidRPr="0096762C" w:rsidRDefault="00561B22" w:rsidP="00561B22">
      <w:pPr>
        <w:jc w:val="both"/>
        <w:rPr>
          <w:rFonts w:ascii="Arial" w:hAnsi="Arial" w:cs="Arial"/>
          <w:b/>
          <w:lang w:val="es-MX"/>
        </w:rPr>
      </w:pPr>
      <w:r w:rsidRPr="0096762C">
        <w:rPr>
          <w:rFonts w:ascii="Arial" w:hAnsi="Arial" w:cs="Arial"/>
          <w:b/>
          <w:lang w:val="es-MX"/>
        </w:rPr>
        <w:t>Del citado informe retomamos las siguientes recomendaciones:</w:t>
      </w:r>
    </w:p>
    <w:p w14:paraId="4A32563A" w14:textId="77777777" w:rsidR="00561B22" w:rsidRPr="0096762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6762C" w14:paraId="30A7A0B9" w14:textId="77777777" w:rsidTr="00F1223B">
        <w:tc>
          <w:tcPr>
            <w:tcW w:w="562" w:type="dxa"/>
          </w:tcPr>
          <w:p w14:paraId="0822BD4D" w14:textId="77777777" w:rsidR="00561B22" w:rsidRPr="0096762C" w:rsidRDefault="00561B22" w:rsidP="00F1223B">
            <w:pPr>
              <w:ind w:right="-109"/>
              <w:jc w:val="center"/>
              <w:rPr>
                <w:rFonts w:ascii="Arial" w:hAnsi="Arial" w:cs="Arial"/>
                <w:b/>
                <w:sz w:val="22"/>
                <w:szCs w:val="22"/>
                <w:lang w:val="es-MX"/>
              </w:rPr>
            </w:pPr>
            <w:r w:rsidRPr="0096762C">
              <w:rPr>
                <w:rFonts w:ascii="Arial" w:hAnsi="Arial" w:cs="Arial"/>
                <w:b/>
                <w:sz w:val="22"/>
                <w:szCs w:val="22"/>
                <w:lang w:val="es-MX"/>
              </w:rPr>
              <w:t>N°</w:t>
            </w:r>
          </w:p>
        </w:tc>
        <w:tc>
          <w:tcPr>
            <w:tcW w:w="9400" w:type="dxa"/>
          </w:tcPr>
          <w:p w14:paraId="37C4D85D"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RECOMENDACIONES</w:t>
            </w:r>
          </w:p>
          <w:p w14:paraId="15AD33C4" w14:textId="77777777" w:rsidR="00561B22" w:rsidRPr="0096762C" w:rsidRDefault="00561B22" w:rsidP="00F1223B">
            <w:pPr>
              <w:jc w:val="center"/>
              <w:rPr>
                <w:rFonts w:ascii="Arial" w:hAnsi="Arial" w:cs="Arial"/>
                <w:b/>
                <w:sz w:val="22"/>
                <w:szCs w:val="22"/>
                <w:lang w:val="es-MX"/>
              </w:rPr>
            </w:pPr>
          </w:p>
        </w:tc>
      </w:tr>
      <w:tr w:rsidR="00561B22" w:rsidRPr="0096762C" w14:paraId="41F29F0F" w14:textId="77777777" w:rsidTr="00F1223B">
        <w:tc>
          <w:tcPr>
            <w:tcW w:w="562" w:type="dxa"/>
          </w:tcPr>
          <w:p w14:paraId="29CDADBA"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1</w:t>
            </w:r>
          </w:p>
        </w:tc>
        <w:tc>
          <w:tcPr>
            <w:tcW w:w="9400" w:type="dxa"/>
          </w:tcPr>
          <w:p w14:paraId="528E8E36" w14:textId="77777777" w:rsidR="00561B22" w:rsidRPr="0096762C" w:rsidRDefault="00561B22" w:rsidP="00F1223B">
            <w:pPr>
              <w:rPr>
                <w:rFonts w:ascii="Arial" w:hAnsi="Arial" w:cs="Arial"/>
                <w:sz w:val="22"/>
                <w:szCs w:val="22"/>
                <w:lang w:val="es-MX"/>
              </w:rPr>
            </w:pPr>
            <w:r w:rsidRPr="0096762C">
              <w:rPr>
                <w:rFonts w:ascii="Arial" w:hAnsi="Arial" w:cs="Arial"/>
                <w:sz w:val="22"/>
                <w:szCs w:val="22"/>
                <w:lang w:val="es-MX"/>
              </w:rPr>
              <w:t>Desarrollar e implementar estrategias sólidas con el fin de disminuir la rotación de personal en todas las áreas, con el propósito de preservar el conocimiento institucional y mitigar la posibilidad de reproceso.</w:t>
            </w:r>
          </w:p>
        </w:tc>
      </w:tr>
      <w:tr w:rsidR="00561B22" w:rsidRPr="0096762C" w14:paraId="4A12F8C2" w14:textId="77777777" w:rsidTr="00F1223B">
        <w:tc>
          <w:tcPr>
            <w:tcW w:w="562" w:type="dxa"/>
          </w:tcPr>
          <w:p w14:paraId="13CCDC71"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2</w:t>
            </w:r>
          </w:p>
        </w:tc>
        <w:tc>
          <w:tcPr>
            <w:tcW w:w="9400" w:type="dxa"/>
          </w:tcPr>
          <w:p w14:paraId="3531944C" w14:textId="77777777" w:rsidR="00561B22" w:rsidRPr="0096762C" w:rsidRDefault="00561B22" w:rsidP="00F1223B">
            <w:pPr>
              <w:rPr>
                <w:rFonts w:ascii="Arial" w:hAnsi="Arial" w:cs="Arial"/>
                <w:sz w:val="22"/>
                <w:szCs w:val="22"/>
                <w:lang w:val="es-MX"/>
              </w:rPr>
            </w:pPr>
            <w:r w:rsidRPr="0096762C">
              <w:rPr>
                <w:rFonts w:ascii="Arial" w:hAnsi="Arial" w:cs="Arial"/>
                <w:sz w:val="22"/>
                <w:szCs w:val="22"/>
                <w:lang w:val="es-MX"/>
              </w:rPr>
              <w:t>Asegurar la ejecución precisa y oportuna de las conciliaciones contables, conforme a los lineamientos y procedimientos detallados en los instructivos y manuales de la entidad</w:t>
            </w:r>
          </w:p>
        </w:tc>
      </w:tr>
      <w:tr w:rsidR="00561B22" w:rsidRPr="0096762C" w14:paraId="38E2C353" w14:textId="77777777" w:rsidTr="00F1223B">
        <w:tc>
          <w:tcPr>
            <w:tcW w:w="562" w:type="dxa"/>
          </w:tcPr>
          <w:p w14:paraId="54DDF973"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3</w:t>
            </w:r>
          </w:p>
        </w:tc>
        <w:tc>
          <w:tcPr>
            <w:tcW w:w="9400" w:type="dxa"/>
          </w:tcPr>
          <w:p w14:paraId="62B79BD9" w14:textId="77777777" w:rsidR="00561B22" w:rsidRPr="0096762C" w:rsidRDefault="00561B22" w:rsidP="00F1223B">
            <w:pPr>
              <w:rPr>
                <w:rFonts w:ascii="Arial" w:hAnsi="Arial" w:cs="Arial"/>
                <w:sz w:val="22"/>
                <w:szCs w:val="22"/>
                <w:lang w:val="es-MX"/>
              </w:rPr>
            </w:pPr>
            <w:r w:rsidRPr="0096762C">
              <w:rPr>
                <w:rFonts w:ascii="Arial" w:hAnsi="Arial" w:cs="Arial"/>
                <w:sz w:val="22"/>
                <w:szCs w:val="22"/>
                <w:lang w:val="es-MX"/>
              </w:rPr>
              <w:t>Garantizar la utilización de todas las herramientas de información en cada una de las áreas de la entidad, promoviendo una articulación eficiente para optimizar la comunicación y el flujo de datos entre las diferentes dependencias</w:t>
            </w:r>
          </w:p>
        </w:tc>
      </w:tr>
      <w:tr w:rsidR="00561B22" w:rsidRPr="0096762C" w14:paraId="78338AB5" w14:textId="77777777" w:rsidTr="00F1223B">
        <w:tc>
          <w:tcPr>
            <w:tcW w:w="562" w:type="dxa"/>
          </w:tcPr>
          <w:p w14:paraId="6E6C2BC7"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4</w:t>
            </w:r>
          </w:p>
        </w:tc>
        <w:tc>
          <w:tcPr>
            <w:tcW w:w="9400" w:type="dxa"/>
          </w:tcPr>
          <w:p w14:paraId="46D86F53" w14:textId="77777777" w:rsidR="00561B22" w:rsidRPr="0096762C" w:rsidRDefault="00561B22" w:rsidP="00F1223B">
            <w:pPr>
              <w:rPr>
                <w:rFonts w:ascii="Arial" w:hAnsi="Arial" w:cs="Arial"/>
                <w:sz w:val="22"/>
                <w:szCs w:val="22"/>
                <w:lang w:val="es-MX"/>
              </w:rPr>
            </w:pPr>
            <w:r w:rsidRPr="0096762C">
              <w:rPr>
                <w:rFonts w:ascii="Arial" w:hAnsi="Arial" w:cs="Arial"/>
                <w:sz w:val="22"/>
                <w:szCs w:val="22"/>
                <w:lang w:val="es-MX"/>
              </w:rPr>
              <w:t>Asegurar que el área competente elabore y revele periódicamente notas detalladas en los estados contables, con el propósito de mejorar la comprensión de los hechos económicos y proporcionar una visión más clara y transparente de la situación financiera de la entidad.</w:t>
            </w:r>
          </w:p>
        </w:tc>
      </w:tr>
      <w:tr w:rsidR="00561B22" w:rsidRPr="0096762C" w14:paraId="2A790AE7" w14:textId="77777777" w:rsidTr="00F1223B">
        <w:tc>
          <w:tcPr>
            <w:tcW w:w="562" w:type="dxa"/>
          </w:tcPr>
          <w:p w14:paraId="6C5D2D80" w14:textId="77777777" w:rsidR="00561B22" w:rsidRPr="0096762C" w:rsidRDefault="00561B22" w:rsidP="00F1223B">
            <w:pPr>
              <w:jc w:val="center"/>
              <w:rPr>
                <w:rFonts w:ascii="Arial" w:hAnsi="Arial" w:cs="Arial"/>
                <w:b/>
                <w:sz w:val="22"/>
                <w:szCs w:val="22"/>
                <w:lang w:val="es-MX"/>
              </w:rPr>
            </w:pPr>
            <w:r w:rsidRPr="0096762C">
              <w:rPr>
                <w:rFonts w:ascii="Arial" w:hAnsi="Arial" w:cs="Arial"/>
                <w:b/>
                <w:sz w:val="22"/>
                <w:szCs w:val="22"/>
                <w:lang w:val="es-MX"/>
              </w:rPr>
              <w:t>5</w:t>
            </w:r>
          </w:p>
        </w:tc>
        <w:tc>
          <w:tcPr>
            <w:tcW w:w="9400" w:type="dxa"/>
          </w:tcPr>
          <w:p w14:paraId="4DA76922" w14:textId="77777777" w:rsidR="00561B22" w:rsidRPr="0096762C" w:rsidRDefault="00561B22" w:rsidP="00F1223B">
            <w:pPr>
              <w:rPr>
                <w:rFonts w:ascii="Arial" w:hAnsi="Arial" w:cs="Arial"/>
                <w:sz w:val="22"/>
                <w:szCs w:val="22"/>
                <w:lang w:val="es-MX"/>
              </w:rPr>
            </w:pPr>
            <w:r w:rsidRPr="0096762C">
              <w:rPr>
                <w:rFonts w:ascii="Arial" w:hAnsi="Arial" w:cs="Arial"/>
                <w:sz w:val="22"/>
                <w:szCs w:val="22"/>
                <w:lang w:val="es-MX"/>
              </w:rPr>
              <w:t xml:space="preserve">Reforzar la participación en las capacitaciones para los funcionarios y contratistas que apoyan el proceso contable, con el objetivo de potenciar sus habilidades, conocimientos y </w:t>
            </w:r>
            <w:r w:rsidRPr="0096762C">
              <w:rPr>
                <w:rFonts w:ascii="Arial" w:hAnsi="Arial" w:cs="Arial"/>
                <w:sz w:val="22"/>
                <w:szCs w:val="22"/>
                <w:lang w:val="es-MX"/>
              </w:rPr>
              <w:lastRenderedPageBreak/>
              <w:t>competencias en este ámbito crucial para … (Párrafo incompleto).</w:t>
            </w:r>
          </w:p>
        </w:tc>
      </w:tr>
    </w:tbl>
    <w:p w14:paraId="00A419B0" w14:textId="77777777" w:rsidR="00561B22" w:rsidRPr="0096762C" w:rsidRDefault="00561B22" w:rsidP="00561B22">
      <w:pPr>
        <w:jc w:val="both"/>
        <w:rPr>
          <w:rFonts w:ascii="Arial" w:hAnsi="Arial" w:cs="Arial"/>
          <w:b/>
          <w:bCs/>
          <w:sz w:val="24"/>
          <w:szCs w:val="24"/>
          <w:lang w:val="es-CO"/>
        </w:rPr>
      </w:pPr>
    </w:p>
    <w:p w14:paraId="327A1947" w14:textId="77777777" w:rsidR="00561B22" w:rsidRPr="0096762C" w:rsidRDefault="00561B22" w:rsidP="00561B22">
      <w:pPr>
        <w:jc w:val="both"/>
        <w:rPr>
          <w:rFonts w:ascii="Arial" w:hAnsi="Arial" w:cs="Arial"/>
          <w:b/>
          <w:bCs/>
          <w:sz w:val="24"/>
          <w:szCs w:val="24"/>
          <w:lang w:val="es-CO"/>
        </w:rPr>
      </w:pPr>
      <w:r w:rsidRPr="0096762C">
        <w:rPr>
          <w:rFonts w:ascii="Arial" w:hAnsi="Arial" w:cs="Arial"/>
          <w:b/>
          <w:bCs/>
          <w:sz w:val="24"/>
          <w:szCs w:val="24"/>
          <w:lang w:val="es-CO"/>
        </w:rPr>
        <w:t xml:space="preserve">NOTA: LA ENTIDAD ENVIA LA MATRIZ DE AUTOEVALUACIÓN DEL SISTEMA DE CONTROL INTERNO CONTABLE CON </w:t>
      </w:r>
      <w:r w:rsidRPr="0096762C">
        <w:rPr>
          <w:rFonts w:ascii="Arial" w:hAnsi="Arial" w:cs="Arial"/>
          <w:b/>
          <w:bCs/>
          <w:sz w:val="24"/>
          <w:szCs w:val="24"/>
          <w:u w:val="single"/>
          <w:lang w:val="es-CO"/>
        </w:rPr>
        <w:t>ACTIVIDADES DE CONTROL REALIZADAS EN FORMA PARCIAL</w:t>
      </w:r>
      <w:r w:rsidRPr="0096762C">
        <w:rPr>
          <w:rFonts w:ascii="Arial" w:hAnsi="Arial" w:cs="Arial"/>
          <w:b/>
          <w:bCs/>
          <w:sz w:val="24"/>
          <w:szCs w:val="24"/>
          <w:lang w:val="es-CO"/>
        </w:rPr>
        <w:t>.</w:t>
      </w:r>
    </w:p>
    <w:p w14:paraId="1128964F" w14:textId="77777777" w:rsidR="00561B22" w:rsidRPr="0096762C" w:rsidRDefault="00561B22" w:rsidP="00561B22">
      <w:pPr>
        <w:jc w:val="both"/>
        <w:rPr>
          <w:rFonts w:ascii="Arial" w:hAnsi="Arial" w:cs="Arial"/>
          <w:b/>
          <w:bCs/>
          <w:sz w:val="24"/>
          <w:szCs w:val="24"/>
          <w:lang w:val="es-CO"/>
        </w:rPr>
      </w:pPr>
    </w:p>
    <w:p w14:paraId="5D1B07B0" w14:textId="77777777" w:rsidR="00561B22" w:rsidRPr="00C23C0F" w:rsidRDefault="00561B22" w:rsidP="00561B22">
      <w:pPr>
        <w:jc w:val="both"/>
        <w:rPr>
          <w:rFonts w:ascii="Arial" w:hAnsi="Arial" w:cs="Arial"/>
          <w:b/>
          <w:sz w:val="28"/>
          <w:szCs w:val="28"/>
          <w:lang w:val="es-MX"/>
        </w:rPr>
      </w:pPr>
      <w:r w:rsidRPr="00C23C0F">
        <w:rPr>
          <w:rFonts w:ascii="Arial" w:hAnsi="Arial" w:cs="Arial"/>
          <w:b/>
          <w:sz w:val="28"/>
          <w:szCs w:val="28"/>
          <w:lang w:val="es-MX"/>
        </w:rPr>
        <w:t>89.- CORPORACIÓN AGENCIA NACIONAL DE GOBIERNO DIGITAL - AND.</w:t>
      </w:r>
    </w:p>
    <w:p w14:paraId="7102C8DC" w14:textId="77777777" w:rsidR="00561B22" w:rsidRDefault="00561B22" w:rsidP="00561B22">
      <w:pPr>
        <w:jc w:val="both"/>
        <w:rPr>
          <w:rFonts w:ascii="Arial" w:hAnsi="Arial" w:cs="Arial"/>
          <w:b/>
          <w:sz w:val="28"/>
          <w:szCs w:val="28"/>
          <w:lang w:val="es-MX"/>
        </w:rPr>
      </w:pPr>
    </w:p>
    <w:p w14:paraId="12E080E2" w14:textId="77777777" w:rsidR="00561B22" w:rsidRPr="00933FBC" w:rsidRDefault="00561B22" w:rsidP="00561B22">
      <w:pPr>
        <w:jc w:val="center"/>
        <w:rPr>
          <w:rFonts w:ascii="Arial" w:hAnsi="Arial" w:cs="Arial"/>
          <w:b/>
          <w:lang w:val="es-MX"/>
        </w:rPr>
      </w:pPr>
      <w:r w:rsidRPr="00933FBC">
        <w:rPr>
          <w:rFonts w:ascii="Arial" w:hAnsi="Arial" w:cs="Arial"/>
          <w:b/>
          <w:lang w:val="es-MX"/>
        </w:rPr>
        <w:t>INFORME DE LA AUTOCALIFICACIÓN DEL SISTEMA DE CONTROL INTERNO CONTABLE:</w:t>
      </w:r>
    </w:p>
    <w:p w14:paraId="49BD1360" w14:textId="77777777" w:rsidR="00561B22" w:rsidRPr="00933FBC" w:rsidRDefault="00561B22" w:rsidP="00561B22">
      <w:pPr>
        <w:jc w:val="both"/>
        <w:rPr>
          <w:rFonts w:ascii="Arial" w:hAnsi="Arial" w:cs="Arial"/>
          <w:b/>
          <w:lang w:val="es-MX"/>
        </w:rPr>
      </w:pPr>
    </w:p>
    <w:p w14:paraId="759D2955" w14:textId="77777777" w:rsidR="00561B22" w:rsidRPr="00933FBC" w:rsidRDefault="00561B22" w:rsidP="00561B22">
      <w:pPr>
        <w:jc w:val="both"/>
        <w:rPr>
          <w:rFonts w:ascii="Arial" w:hAnsi="Arial" w:cs="Arial"/>
          <w:b/>
          <w:lang w:val="es-MX"/>
        </w:rPr>
      </w:pPr>
      <w:r w:rsidRPr="00933FBC">
        <w:rPr>
          <w:rFonts w:ascii="Arial" w:hAnsi="Arial" w:cs="Arial"/>
          <w:b/>
          <w:lang w:val="es-MX"/>
        </w:rPr>
        <w:t xml:space="preserve">NOTA: </w:t>
      </w:r>
      <w:r w:rsidRPr="00933FBC">
        <w:rPr>
          <w:rFonts w:ascii="Arial" w:hAnsi="Arial" w:cs="Arial"/>
          <w:lang w:val="es-MX"/>
        </w:rPr>
        <w:t>La entidad no envía la auto calificación del informe del Sistema de Control Interno Contable a 31 de diciembre de 2023 en el formato.</w:t>
      </w:r>
    </w:p>
    <w:p w14:paraId="29478B74" w14:textId="77777777" w:rsidR="00561B22" w:rsidRPr="00933FBC"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933FBC" w14:paraId="1CB4539C" w14:textId="77777777" w:rsidTr="00F1223B">
        <w:tc>
          <w:tcPr>
            <w:tcW w:w="562" w:type="dxa"/>
          </w:tcPr>
          <w:p w14:paraId="38BDB86F" w14:textId="77777777" w:rsidR="00561B22" w:rsidRPr="00933FBC" w:rsidRDefault="00561B22" w:rsidP="00F1223B">
            <w:pPr>
              <w:ind w:right="-109"/>
              <w:jc w:val="center"/>
              <w:rPr>
                <w:rFonts w:ascii="Arial" w:hAnsi="Arial" w:cs="Arial"/>
                <w:b/>
                <w:sz w:val="22"/>
                <w:szCs w:val="22"/>
                <w:lang w:val="es-MX"/>
              </w:rPr>
            </w:pPr>
            <w:r w:rsidRPr="00933FBC">
              <w:rPr>
                <w:rFonts w:ascii="Arial" w:hAnsi="Arial" w:cs="Arial"/>
                <w:b/>
                <w:sz w:val="22"/>
                <w:szCs w:val="22"/>
                <w:lang w:val="es-MX"/>
              </w:rPr>
              <w:t>N°</w:t>
            </w:r>
          </w:p>
        </w:tc>
        <w:tc>
          <w:tcPr>
            <w:tcW w:w="9400" w:type="dxa"/>
          </w:tcPr>
          <w:p w14:paraId="61594540" w14:textId="77777777" w:rsidR="00561B22" w:rsidRPr="00933FBC" w:rsidRDefault="00561B22" w:rsidP="00F1223B">
            <w:pPr>
              <w:jc w:val="center"/>
              <w:rPr>
                <w:rFonts w:ascii="Arial" w:hAnsi="Arial" w:cs="Arial"/>
                <w:b/>
                <w:sz w:val="22"/>
                <w:szCs w:val="22"/>
                <w:lang w:val="es-MX"/>
              </w:rPr>
            </w:pPr>
            <w:r w:rsidRPr="00933FBC">
              <w:rPr>
                <w:rFonts w:ascii="Arial" w:hAnsi="Arial" w:cs="Arial"/>
                <w:b/>
                <w:sz w:val="22"/>
                <w:szCs w:val="22"/>
                <w:lang w:val="es-MX"/>
              </w:rPr>
              <w:t>DEBILIDADES</w:t>
            </w:r>
          </w:p>
          <w:p w14:paraId="38C29AAB" w14:textId="77777777" w:rsidR="00561B22" w:rsidRPr="00933FBC" w:rsidRDefault="00561B22" w:rsidP="00F1223B">
            <w:pPr>
              <w:jc w:val="center"/>
              <w:rPr>
                <w:rFonts w:ascii="Arial" w:hAnsi="Arial" w:cs="Arial"/>
                <w:b/>
                <w:sz w:val="22"/>
                <w:szCs w:val="22"/>
                <w:lang w:val="es-MX"/>
              </w:rPr>
            </w:pPr>
          </w:p>
        </w:tc>
      </w:tr>
      <w:tr w:rsidR="00561B22" w:rsidRPr="00933FBC" w14:paraId="2DEBB582" w14:textId="77777777" w:rsidTr="00F1223B">
        <w:tc>
          <w:tcPr>
            <w:tcW w:w="562" w:type="dxa"/>
          </w:tcPr>
          <w:p w14:paraId="4CF85812" w14:textId="77777777" w:rsidR="00561B22" w:rsidRPr="00933FBC" w:rsidRDefault="00561B22" w:rsidP="00F1223B">
            <w:pPr>
              <w:jc w:val="both"/>
              <w:rPr>
                <w:rFonts w:ascii="Arial" w:hAnsi="Arial" w:cs="Arial"/>
                <w:sz w:val="22"/>
                <w:szCs w:val="22"/>
                <w:lang w:val="es-MX"/>
              </w:rPr>
            </w:pPr>
            <w:r w:rsidRPr="00933FBC">
              <w:rPr>
                <w:rFonts w:ascii="Arial" w:hAnsi="Arial" w:cs="Arial"/>
                <w:sz w:val="22"/>
                <w:szCs w:val="22"/>
                <w:lang w:val="es-MX"/>
              </w:rPr>
              <w:t>1</w:t>
            </w:r>
          </w:p>
        </w:tc>
        <w:tc>
          <w:tcPr>
            <w:tcW w:w="9400" w:type="dxa"/>
          </w:tcPr>
          <w:p w14:paraId="6E57808E" w14:textId="77777777" w:rsidR="00561B22" w:rsidRPr="00933FBC" w:rsidRDefault="00561B22" w:rsidP="00F1223B">
            <w:pPr>
              <w:jc w:val="both"/>
              <w:rPr>
                <w:rFonts w:ascii="Arial" w:hAnsi="Arial" w:cs="Arial"/>
                <w:sz w:val="22"/>
                <w:szCs w:val="22"/>
                <w:lang w:val="es-MX"/>
              </w:rPr>
            </w:pPr>
            <w:r w:rsidRPr="00933FBC">
              <w:rPr>
                <w:rFonts w:ascii="Arial" w:hAnsi="Arial" w:cs="Arial"/>
                <w:sz w:val="22"/>
                <w:szCs w:val="22"/>
              </w:rPr>
              <w:t>Por ser una entidad pequeña y con pocos años de constitución, se hace necesario mantener una revisión constante en temas de aprobaciones, esto teniendo en cuenta que por falta de personal no se puede llevar a cabo una correcta segregación de funciones</w:t>
            </w:r>
          </w:p>
        </w:tc>
      </w:tr>
    </w:tbl>
    <w:p w14:paraId="469F01AF" w14:textId="77777777" w:rsidR="00561B22" w:rsidRPr="00933FBC" w:rsidRDefault="00561B22" w:rsidP="00561B22">
      <w:pPr>
        <w:jc w:val="both"/>
        <w:rPr>
          <w:rFonts w:ascii="Arial" w:hAnsi="Arial" w:cs="Arial"/>
          <w:b/>
          <w:lang w:val="es-MX"/>
        </w:rPr>
      </w:pPr>
    </w:p>
    <w:p w14:paraId="5D107F06" w14:textId="77777777" w:rsidR="00561B22" w:rsidRPr="00933FBC" w:rsidRDefault="00561B22" w:rsidP="00561B22">
      <w:pPr>
        <w:jc w:val="both"/>
        <w:rPr>
          <w:rFonts w:ascii="Arial" w:hAnsi="Arial" w:cs="Arial"/>
          <w:b/>
          <w:lang w:val="es-MX"/>
        </w:rPr>
      </w:pPr>
      <w:r w:rsidRPr="00933FBC">
        <w:rPr>
          <w:rFonts w:ascii="Arial" w:hAnsi="Arial" w:cs="Arial"/>
          <w:b/>
          <w:lang w:val="es-MX"/>
        </w:rPr>
        <w:t>Del citado informe retomamos las siguientes recomendaciones:</w:t>
      </w:r>
    </w:p>
    <w:p w14:paraId="5CE5EAF6" w14:textId="77777777" w:rsidR="00561B22" w:rsidRPr="00933FBC"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933FBC" w14:paraId="1015B5C4" w14:textId="77777777" w:rsidTr="00F1223B">
        <w:tc>
          <w:tcPr>
            <w:tcW w:w="562" w:type="dxa"/>
          </w:tcPr>
          <w:p w14:paraId="7B73BAC7" w14:textId="77777777" w:rsidR="00561B22" w:rsidRPr="00933FBC" w:rsidRDefault="00561B22" w:rsidP="00F1223B">
            <w:pPr>
              <w:ind w:right="-109"/>
              <w:jc w:val="center"/>
              <w:rPr>
                <w:rFonts w:ascii="Arial" w:hAnsi="Arial" w:cs="Arial"/>
                <w:b/>
                <w:sz w:val="22"/>
                <w:szCs w:val="22"/>
                <w:lang w:val="es-MX"/>
              </w:rPr>
            </w:pPr>
            <w:r w:rsidRPr="00933FBC">
              <w:rPr>
                <w:rFonts w:ascii="Arial" w:hAnsi="Arial" w:cs="Arial"/>
                <w:b/>
                <w:sz w:val="22"/>
                <w:szCs w:val="22"/>
                <w:lang w:val="es-MX"/>
              </w:rPr>
              <w:t>N°</w:t>
            </w:r>
          </w:p>
        </w:tc>
        <w:tc>
          <w:tcPr>
            <w:tcW w:w="9400" w:type="dxa"/>
          </w:tcPr>
          <w:p w14:paraId="21D15536" w14:textId="77777777" w:rsidR="00561B22" w:rsidRPr="00933FBC" w:rsidRDefault="00561B22" w:rsidP="00F1223B">
            <w:pPr>
              <w:jc w:val="center"/>
              <w:rPr>
                <w:rFonts w:ascii="Arial" w:hAnsi="Arial" w:cs="Arial"/>
                <w:b/>
                <w:sz w:val="22"/>
                <w:szCs w:val="22"/>
                <w:lang w:val="es-MX"/>
              </w:rPr>
            </w:pPr>
            <w:r w:rsidRPr="00933FBC">
              <w:rPr>
                <w:rFonts w:ascii="Arial" w:hAnsi="Arial" w:cs="Arial"/>
                <w:b/>
                <w:sz w:val="22"/>
                <w:szCs w:val="22"/>
                <w:lang w:val="es-MX"/>
              </w:rPr>
              <w:t>RECOMENDACIONES</w:t>
            </w:r>
          </w:p>
          <w:p w14:paraId="76BEC843" w14:textId="77777777" w:rsidR="00561B22" w:rsidRPr="00933FBC" w:rsidRDefault="00561B22" w:rsidP="00F1223B">
            <w:pPr>
              <w:jc w:val="center"/>
              <w:rPr>
                <w:rFonts w:ascii="Arial" w:hAnsi="Arial" w:cs="Arial"/>
                <w:b/>
                <w:sz w:val="22"/>
                <w:szCs w:val="22"/>
                <w:lang w:val="es-MX"/>
              </w:rPr>
            </w:pPr>
          </w:p>
        </w:tc>
      </w:tr>
      <w:tr w:rsidR="00561B22" w:rsidRPr="00933FBC" w14:paraId="31059CD1" w14:textId="77777777" w:rsidTr="00F1223B">
        <w:tc>
          <w:tcPr>
            <w:tcW w:w="562" w:type="dxa"/>
          </w:tcPr>
          <w:p w14:paraId="2BEAEAC2" w14:textId="77777777" w:rsidR="00561B22" w:rsidRPr="00933FBC" w:rsidRDefault="00561B22" w:rsidP="00F1223B">
            <w:pPr>
              <w:jc w:val="both"/>
              <w:rPr>
                <w:rFonts w:ascii="Arial" w:hAnsi="Arial" w:cs="Arial"/>
                <w:sz w:val="22"/>
                <w:szCs w:val="22"/>
                <w:lang w:val="es-MX"/>
              </w:rPr>
            </w:pPr>
            <w:r w:rsidRPr="00933FBC">
              <w:rPr>
                <w:rFonts w:ascii="Arial" w:hAnsi="Arial" w:cs="Arial"/>
                <w:sz w:val="22"/>
                <w:szCs w:val="22"/>
                <w:lang w:val="es-MX"/>
              </w:rPr>
              <w:t>1</w:t>
            </w:r>
          </w:p>
        </w:tc>
        <w:tc>
          <w:tcPr>
            <w:tcW w:w="9400" w:type="dxa"/>
          </w:tcPr>
          <w:p w14:paraId="6E3CE40C" w14:textId="77777777" w:rsidR="00561B22" w:rsidRPr="00933FBC" w:rsidRDefault="00561B22" w:rsidP="00F1223B">
            <w:pPr>
              <w:jc w:val="both"/>
              <w:rPr>
                <w:rFonts w:ascii="Arial" w:hAnsi="Arial" w:cs="Arial"/>
                <w:sz w:val="22"/>
                <w:szCs w:val="22"/>
                <w:lang w:val="es-MX"/>
              </w:rPr>
            </w:pPr>
            <w:r w:rsidRPr="00933FBC">
              <w:rPr>
                <w:rFonts w:ascii="Arial" w:hAnsi="Arial" w:cs="Arial"/>
                <w:sz w:val="22"/>
                <w:szCs w:val="22"/>
              </w:rPr>
              <w:t>Incluir en el plan de capacitaciones, temas correspondientes al proceso contable que fortalezcan los conocimientos y habilidades del personal involucrado.</w:t>
            </w:r>
          </w:p>
        </w:tc>
      </w:tr>
    </w:tbl>
    <w:p w14:paraId="3F5DCC87" w14:textId="77777777" w:rsidR="00561B22" w:rsidRDefault="00561B22" w:rsidP="00561B22">
      <w:pPr>
        <w:jc w:val="both"/>
        <w:rPr>
          <w:rFonts w:ascii="Arial" w:hAnsi="Arial" w:cs="Arial"/>
          <w:b/>
          <w:sz w:val="28"/>
          <w:szCs w:val="28"/>
          <w:lang w:val="es-MX"/>
        </w:rPr>
      </w:pPr>
    </w:p>
    <w:p w14:paraId="0C7C1F47" w14:textId="77777777" w:rsidR="00561B22" w:rsidRPr="005B0947" w:rsidRDefault="00561B22" w:rsidP="00561B22">
      <w:pPr>
        <w:spacing w:after="160" w:line="259" w:lineRule="auto"/>
        <w:jc w:val="both"/>
        <w:rPr>
          <w:rFonts w:ascii="Arial" w:hAnsi="Arial" w:cs="Arial"/>
          <w:b/>
          <w:bCs/>
          <w:sz w:val="28"/>
          <w:szCs w:val="28"/>
          <w:lang w:val="es-CO"/>
        </w:rPr>
      </w:pPr>
      <w:r w:rsidRPr="005B0947">
        <w:rPr>
          <w:rFonts w:ascii="Arial" w:hAnsi="Arial" w:cs="Arial"/>
          <w:b/>
          <w:bCs/>
          <w:sz w:val="24"/>
          <w:szCs w:val="24"/>
          <w:lang w:val="es-CO"/>
        </w:rPr>
        <w:t xml:space="preserve">NOTA: LA ENTIDAD ENVIA LA MATRIZ DE AUTOEVALUACIÓN DEL SISTEMA DE CONTROL INTERNO CONTABLE CON ACTIVIDADES DE CONTROL REALIZADAS </w:t>
      </w:r>
      <w:r w:rsidRPr="005B0947">
        <w:rPr>
          <w:rFonts w:ascii="Arial" w:hAnsi="Arial" w:cs="Arial"/>
          <w:b/>
          <w:bCs/>
          <w:sz w:val="24"/>
          <w:szCs w:val="24"/>
          <w:u w:val="single"/>
          <w:lang w:val="es-CO"/>
        </w:rPr>
        <w:t>EN FORMA PARCIA</w:t>
      </w:r>
      <w:r>
        <w:rPr>
          <w:rFonts w:ascii="Arial" w:hAnsi="Arial" w:cs="Arial"/>
          <w:b/>
          <w:bCs/>
          <w:sz w:val="24"/>
          <w:szCs w:val="24"/>
          <w:u w:val="single"/>
          <w:lang w:val="es-CO"/>
        </w:rPr>
        <w:t>L.</w:t>
      </w:r>
    </w:p>
    <w:p w14:paraId="10C89E2B" w14:textId="77777777" w:rsidR="00561B22" w:rsidRPr="00C858F5" w:rsidRDefault="00561B22" w:rsidP="00561B22">
      <w:pPr>
        <w:ind w:right="-142"/>
        <w:jc w:val="both"/>
        <w:rPr>
          <w:rFonts w:ascii="Arial" w:hAnsi="Arial" w:cs="Arial"/>
          <w:b/>
          <w:sz w:val="28"/>
          <w:szCs w:val="28"/>
          <w:lang w:val="es-MX"/>
        </w:rPr>
      </w:pPr>
      <w:r w:rsidRPr="00C858F5">
        <w:rPr>
          <w:rFonts w:ascii="Arial" w:hAnsi="Arial" w:cs="Arial"/>
          <w:b/>
          <w:sz w:val="28"/>
          <w:szCs w:val="28"/>
          <w:lang w:val="es-MX"/>
        </w:rPr>
        <w:t xml:space="preserve">90.- </w:t>
      </w:r>
      <w:r w:rsidRPr="00C858F5">
        <w:rPr>
          <w:rFonts w:ascii="Arial" w:hAnsi="Arial" w:cs="Arial"/>
          <w:b/>
          <w:sz w:val="28"/>
          <w:szCs w:val="28"/>
        </w:rPr>
        <w:t>GRAN CENTRAL DE ABASTOS DEL CARIBE S.A. - GRANABASTOS S.A.</w:t>
      </w:r>
    </w:p>
    <w:p w14:paraId="7B689403" w14:textId="77777777" w:rsidR="00561B22" w:rsidRDefault="00561B22" w:rsidP="00561B22">
      <w:pPr>
        <w:jc w:val="both"/>
        <w:rPr>
          <w:rFonts w:ascii="Arial" w:hAnsi="Arial" w:cs="Arial"/>
          <w:b/>
          <w:sz w:val="28"/>
          <w:szCs w:val="28"/>
          <w:lang w:val="es-MX"/>
        </w:rPr>
      </w:pPr>
    </w:p>
    <w:p w14:paraId="7603205C" w14:textId="77777777" w:rsidR="00561B22" w:rsidRPr="00184ADA" w:rsidRDefault="00561B22" w:rsidP="00561B22">
      <w:pPr>
        <w:pStyle w:val="Textoindependiente"/>
        <w:ind w:right="-50"/>
        <w:jc w:val="center"/>
        <w:rPr>
          <w:rFonts w:ascii="Arial" w:hAnsi="Arial" w:cs="Arial"/>
          <w:b/>
          <w:bCs/>
        </w:rPr>
      </w:pPr>
      <w:r w:rsidRPr="00184ADA">
        <w:rPr>
          <w:rFonts w:ascii="Arial" w:hAnsi="Arial" w:cs="Arial"/>
          <w:b/>
          <w:bCs/>
        </w:rPr>
        <w:t>INFORME DE LA AUTOCALIFICACIÓN DEL SISTEMA DE CONTROL INTERNO CONTABLE:</w:t>
      </w:r>
    </w:p>
    <w:p w14:paraId="70FD7190" w14:textId="77777777" w:rsidR="00561B22" w:rsidRPr="00184AD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84ADA" w14:paraId="6067CAFA" w14:textId="77777777" w:rsidTr="00F1223B">
        <w:tc>
          <w:tcPr>
            <w:tcW w:w="4981" w:type="dxa"/>
          </w:tcPr>
          <w:p w14:paraId="45FAA32A" w14:textId="77777777" w:rsidR="00561B22" w:rsidRPr="00184ADA" w:rsidRDefault="00561B22" w:rsidP="00F1223B">
            <w:pPr>
              <w:jc w:val="center"/>
              <w:rPr>
                <w:rFonts w:ascii="Arial" w:hAnsi="Arial" w:cs="Arial"/>
                <w:b/>
                <w:sz w:val="22"/>
                <w:szCs w:val="22"/>
                <w:lang w:val="es-MX"/>
              </w:rPr>
            </w:pPr>
            <w:r w:rsidRPr="00184ADA">
              <w:rPr>
                <w:rFonts w:ascii="Arial" w:hAnsi="Arial" w:cs="Arial"/>
                <w:b/>
                <w:sz w:val="22"/>
                <w:szCs w:val="22"/>
                <w:lang w:val="es-MX"/>
              </w:rPr>
              <w:t>AUTOCALIFICACIÓN</w:t>
            </w:r>
          </w:p>
        </w:tc>
        <w:tc>
          <w:tcPr>
            <w:tcW w:w="4981" w:type="dxa"/>
          </w:tcPr>
          <w:p w14:paraId="3B5253DB" w14:textId="77777777" w:rsidR="00561B22" w:rsidRPr="00184ADA" w:rsidRDefault="00561B22" w:rsidP="00F1223B">
            <w:pPr>
              <w:jc w:val="center"/>
              <w:rPr>
                <w:rFonts w:ascii="Arial" w:hAnsi="Arial" w:cs="Arial"/>
                <w:b/>
                <w:sz w:val="22"/>
                <w:szCs w:val="22"/>
                <w:u w:val="single"/>
                <w:lang w:val="es-MX"/>
              </w:rPr>
            </w:pPr>
            <w:r w:rsidRPr="00184ADA">
              <w:rPr>
                <w:rFonts w:ascii="Arial" w:hAnsi="Arial" w:cs="Arial"/>
                <w:b/>
                <w:sz w:val="22"/>
                <w:szCs w:val="22"/>
                <w:u w:val="single"/>
                <w:lang w:val="es-MX"/>
              </w:rPr>
              <w:t>4.94</w:t>
            </w:r>
          </w:p>
        </w:tc>
      </w:tr>
    </w:tbl>
    <w:p w14:paraId="08E2D189" w14:textId="77777777" w:rsidR="00561B22" w:rsidRPr="00184ADA" w:rsidRDefault="00561B22" w:rsidP="00561B22">
      <w:pPr>
        <w:pStyle w:val="Textoindependiente"/>
        <w:ind w:right="-50"/>
        <w:jc w:val="both"/>
        <w:rPr>
          <w:rFonts w:ascii="Arial" w:hAnsi="Arial" w:cs="Arial"/>
          <w:b/>
          <w:bCs/>
        </w:rPr>
      </w:pPr>
    </w:p>
    <w:p w14:paraId="008D19CA" w14:textId="77777777" w:rsidR="00561B22" w:rsidRPr="00184ADA" w:rsidRDefault="00561B22" w:rsidP="00561B22">
      <w:pPr>
        <w:pStyle w:val="Textoindependiente"/>
        <w:ind w:right="-50"/>
        <w:jc w:val="both"/>
        <w:rPr>
          <w:rFonts w:ascii="Arial" w:hAnsi="Arial" w:cs="Arial"/>
          <w:b/>
          <w:bCs/>
        </w:rPr>
      </w:pPr>
      <w:r w:rsidRPr="00184ADA">
        <w:rPr>
          <w:rFonts w:ascii="Arial" w:hAnsi="Arial" w:cs="Arial"/>
          <w:b/>
          <w:bCs/>
        </w:rPr>
        <w:t>Del informe enviado retomamos lo siguiente:</w:t>
      </w:r>
    </w:p>
    <w:p w14:paraId="40230385" w14:textId="77777777" w:rsidR="00561B22" w:rsidRPr="00184AD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84ADA" w14:paraId="366753A8" w14:textId="77777777" w:rsidTr="00F1223B">
        <w:tc>
          <w:tcPr>
            <w:tcW w:w="562" w:type="dxa"/>
          </w:tcPr>
          <w:p w14:paraId="1A4AD472" w14:textId="77777777" w:rsidR="00561B22" w:rsidRPr="00184ADA" w:rsidRDefault="00561B22" w:rsidP="00F1223B">
            <w:pPr>
              <w:ind w:right="-109"/>
              <w:jc w:val="center"/>
              <w:rPr>
                <w:rFonts w:ascii="Arial" w:hAnsi="Arial" w:cs="Arial"/>
                <w:b/>
                <w:sz w:val="22"/>
                <w:szCs w:val="22"/>
                <w:lang w:val="es-MX"/>
              </w:rPr>
            </w:pPr>
            <w:r w:rsidRPr="00184ADA">
              <w:rPr>
                <w:rFonts w:ascii="Arial" w:hAnsi="Arial" w:cs="Arial"/>
                <w:b/>
                <w:sz w:val="22"/>
                <w:szCs w:val="22"/>
                <w:lang w:val="es-MX"/>
              </w:rPr>
              <w:t>N°</w:t>
            </w:r>
          </w:p>
        </w:tc>
        <w:tc>
          <w:tcPr>
            <w:tcW w:w="9400" w:type="dxa"/>
          </w:tcPr>
          <w:p w14:paraId="43C4D129" w14:textId="77777777" w:rsidR="00561B22" w:rsidRPr="00184ADA" w:rsidRDefault="00561B22" w:rsidP="00F1223B">
            <w:pPr>
              <w:jc w:val="center"/>
              <w:rPr>
                <w:rFonts w:ascii="Arial" w:hAnsi="Arial" w:cs="Arial"/>
                <w:b/>
                <w:sz w:val="22"/>
                <w:szCs w:val="22"/>
                <w:lang w:val="es-MX"/>
              </w:rPr>
            </w:pPr>
            <w:r w:rsidRPr="00184ADA">
              <w:rPr>
                <w:rFonts w:ascii="Arial" w:hAnsi="Arial" w:cs="Arial"/>
                <w:b/>
                <w:sz w:val="22"/>
                <w:szCs w:val="22"/>
                <w:lang w:val="es-MX"/>
              </w:rPr>
              <w:t>DEBILIDADES</w:t>
            </w:r>
          </w:p>
          <w:p w14:paraId="7098F120" w14:textId="77777777" w:rsidR="00561B22" w:rsidRPr="00184ADA" w:rsidRDefault="00561B22" w:rsidP="00F1223B">
            <w:pPr>
              <w:jc w:val="center"/>
              <w:rPr>
                <w:rFonts w:ascii="Arial" w:hAnsi="Arial" w:cs="Arial"/>
                <w:b/>
                <w:sz w:val="22"/>
                <w:szCs w:val="22"/>
                <w:lang w:val="es-MX"/>
              </w:rPr>
            </w:pPr>
          </w:p>
        </w:tc>
      </w:tr>
      <w:tr w:rsidR="00561B22" w:rsidRPr="00184ADA" w14:paraId="434ECD88" w14:textId="77777777" w:rsidTr="00F1223B">
        <w:tc>
          <w:tcPr>
            <w:tcW w:w="562" w:type="dxa"/>
          </w:tcPr>
          <w:p w14:paraId="350137C3" w14:textId="77777777" w:rsidR="00561B22" w:rsidRPr="00184ADA" w:rsidRDefault="00561B22" w:rsidP="00F1223B">
            <w:pPr>
              <w:jc w:val="center"/>
              <w:rPr>
                <w:rFonts w:ascii="Arial" w:hAnsi="Arial" w:cs="Arial"/>
                <w:b/>
                <w:sz w:val="22"/>
                <w:szCs w:val="22"/>
                <w:lang w:val="es-MX"/>
              </w:rPr>
            </w:pPr>
            <w:r w:rsidRPr="00184ADA">
              <w:rPr>
                <w:rFonts w:ascii="Arial" w:hAnsi="Arial" w:cs="Arial"/>
                <w:b/>
                <w:sz w:val="22"/>
                <w:szCs w:val="22"/>
                <w:lang w:val="es-MX"/>
              </w:rPr>
              <w:t>1</w:t>
            </w:r>
          </w:p>
        </w:tc>
        <w:tc>
          <w:tcPr>
            <w:tcW w:w="9400" w:type="dxa"/>
          </w:tcPr>
          <w:p w14:paraId="0AC5049E" w14:textId="77777777" w:rsidR="00561B22" w:rsidRPr="00184ADA" w:rsidRDefault="00561B22" w:rsidP="00F1223B">
            <w:pPr>
              <w:widowControl/>
              <w:autoSpaceDE/>
              <w:autoSpaceDN/>
              <w:jc w:val="both"/>
              <w:rPr>
                <w:rFonts w:ascii="Arial" w:eastAsia="Times New Roman" w:hAnsi="Arial" w:cs="Arial"/>
                <w:sz w:val="22"/>
                <w:szCs w:val="22"/>
                <w:lang w:val="es-CO"/>
              </w:rPr>
            </w:pPr>
            <w:r w:rsidRPr="00184ADA">
              <w:rPr>
                <w:rFonts w:ascii="Arial" w:hAnsi="Arial" w:cs="Arial"/>
                <w:sz w:val="22"/>
                <w:szCs w:val="22"/>
              </w:rPr>
              <w:t xml:space="preserve">Se evidencia falta de formalización del manual de políticas contables, si bien se cuenta con ellas no fue posible encontrar el original firmado por la gerencia anterior en la puesta en marcha de la misma. </w:t>
            </w:r>
          </w:p>
        </w:tc>
      </w:tr>
    </w:tbl>
    <w:p w14:paraId="412FB3B9" w14:textId="77777777" w:rsidR="00561B22" w:rsidRPr="00184ADA" w:rsidRDefault="00561B22" w:rsidP="00561B22">
      <w:pPr>
        <w:pStyle w:val="Textoindependiente"/>
        <w:ind w:right="-50"/>
        <w:jc w:val="both"/>
        <w:rPr>
          <w:rFonts w:ascii="Arial" w:hAnsi="Arial" w:cs="Arial"/>
          <w:b/>
          <w:bCs/>
        </w:rPr>
      </w:pPr>
    </w:p>
    <w:p w14:paraId="5E0E8776" w14:textId="77777777" w:rsidR="00561B22" w:rsidRPr="00184ADA" w:rsidRDefault="00561B22" w:rsidP="00561B22">
      <w:pPr>
        <w:jc w:val="both"/>
        <w:rPr>
          <w:rFonts w:ascii="Arial" w:hAnsi="Arial" w:cs="Arial"/>
          <w:b/>
          <w:lang w:val="es-MX"/>
        </w:rPr>
      </w:pPr>
      <w:r w:rsidRPr="00184ADA">
        <w:rPr>
          <w:rFonts w:ascii="Arial" w:hAnsi="Arial" w:cs="Arial"/>
          <w:b/>
          <w:lang w:val="es-MX"/>
        </w:rPr>
        <w:t>Del citado informe retomamos las siguientes recomendaciones:</w:t>
      </w:r>
    </w:p>
    <w:p w14:paraId="6E6FB01A" w14:textId="77777777" w:rsidR="00561B22" w:rsidRPr="00184AD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84ADA" w14:paraId="355EFB35" w14:textId="77777777" w:rsidTr="00F1223B">
        <w:tc>
          <w:tcPr>
            <w:tcW w:w="562" w:type="dxa"/>
          </w:tcPr>
          <w:p w14:paraId="4DC3C769" w14:textId="77777777" w:rsidR="00561B22" w:rsidRPr="00184ADA" w:rsidRDefault="00561B22" w:rsidP="00F1223B">
            <w:pPr>
              <w:ind w:right="-109"/>
              <w:jc w:val="center"/>
              <w:rPr>
                <w:rFonts w:ascii="Arial" w:hAnsi="Arial" w:cs="Arial"/>
                <w:b/>
                <w:sz w:val="22"/>
                <w:szCs w:val="22"/>
                <w:lang w:val="es-MX"/>
              </w:rPr>
            </w:pPr>
            <w:r w:rsidRPr="00184ADA">
              <w:rPr>
                <w:rFonts w:ascii="Arial" w:hAnsi="Arial" w:cs="Arial"/>
                <w:b/>
                <w:sz w:val="22"/>
                <w:szCs w:val="22"/>
                <w:lang w:val="es-MX"/>
              </w:rPr>
              <w:t>N°</w:t>
            </w:r>
          </w:p>
        </w:tc>
        <w:tc>
          <w:tcPr>
            <w:tcW w:w="9400" w:type="dxa"/>
          </w:tcPr>
          <w:p w14:paraId="6AC5EB9F" w14:textId="77777777" w:rsidR="00561B22" w:rsidRPr="00184ADA" w:rsidRDefault="00561B22" w:rsidP="00F1223B">
            <w:pPr>
              <w:jc w:val="center"/>
              <w:rPr>
                <w:rFonts w:ascii="Arial" w:hAnsi="Arial" w:cs="Arial"/>
                <w:b/>
                <w:sz w:val="22"/>
                <w:szCs w:val="22"/>
                <w:lang w:val="es-MX"/>
              </w:rPr>
            </w:pPr>
            <w:r w:rsidRPr="00184ADA">
              <w:rPr>
                <w:rFonts w:ascii="Arial" w:hAnsi="Arial" w:cs="Arial"/>
                <w:b/>
                <w:sz w:val="22"/>
                <w:szCs w:val="22"/>
                <w:lang w:val="es-MX"/>
              </w:rPr>
              <w:t>RECOMENDACIONES</w:t>
            </w:r>
          </w:p>
          <w:p w14:paraId="45ED22DB" w14:textId="77777777" w:rsidR="00561B22" w:rsidRPr="00184ADA" w:rsidRDefault="00561B22" w:rsidP="00F1223B">
            <w:pPr>
              <w:jc w:val="center"/>
              <w:rPr>
                <w:rFonts w:ascii="Arial" w:hAnsi="Arial" w:cs="Arial"/>
                <w:b/>
                <w:sz w:val="22"/>
                <w:szCs w:val="22"/>
                <w:lang w:val="es-MX"/>
              </w:rPr>
            </w:pPr>
          </w:p>
        </w:tc>
      </w:tr>
      <w:tr w:rsidR="00561B22" w:rsidRPr="00184ADA" w14:paraId="17C76B05" w14:textId="77777777" w:rsidTr="00F1223B">
        <w:tc>
          <w:tcPr>
            <w:tcW w:w="562" w:type="dxa"/>
          </w:tcPr>
          <w:p w14:paraId="17D7FD51" w14:textId="77777777" w:rsidR="00561B22" w:rsidRPr="00184ADA" w:rsidRDefault="00561B22" w:rsidP="00F1223B">
            <w:pPr>
              <w:jc w:val="center"/>
              <w:rPr>
                <w:rFonts w:ascii="Arial" w:hAnsi="Arial" w:cs="Arial"/>
                <w:b/>
                <w:sz w:val="22"/>
                <w:szCs w:val="22"/>
                <w:lang w:val="es-MX"/>
              </w:rPr>
            </w:pPr>
            <w:r w:rsidRPr="00184ADA">
              <w:rPr>
                <w:rFonts w:ascii="Arial" w:hAnsi="Arial" w:cs="Arial"/>
                <w:b/>
                <w:sz w:val="22"/>
                <w:szCs w:val="22"/>
                <w:lang w:val="es-MX"/>
              </w:rPr>
              <w:t>1</w:t>
            </w:r>
          </w:p>
        </w:tc>
        <w:tc>
          <w:tcPr>
            <w:tcW w:w="9400" w:type="dxa"/>
          </w:tcPr>
          <w:p w14:paraId="541DD6D4" w14:textId="77777777" w:rsidR="00561B22" w:rsidRPr="00184ADA" w:rsidRDefault="00561B22" w:rsidP="00F1223B">
            <w:pPr>
              <w:widowControl/>
              <w:autoSpaceDE/>
              <w:autoSpaceDN/>
              <w:jc w:val="both"/>
              <w:rPr>
                <w:rFonts w:ascii="Arial" w:eastAsia="Times New Roman" w:hAnsi="Arial" w:cs="Arial"/>
                <w:sz w:val="22"/>
                <w:szCs w:val="22"/>
                <w:lang w:val="es-CO"/>
              </w:rPr>
            </w:pPr>
            <w:r w:rsidRPr="00184ADA">
              <w:rPr>
                <w:rFonts w:ascii="Arial" w:hAnsi="Arial" w:cs="Arial"/>
                <w:sz w:val="22"/>
                <w:szCs w:val="22"/>
              </w:rPr>
              <w:t xml:space="preserve">Revisar y actualizar de manera periódica el Manual de Políticas Contables.  </w:t>
            </w:r>
          </w:p>
        </w:tc>
      </w:tr>
      <w:tr w:rsidR="00561B22" w:rsidRPr="00184ADA" w14:paraId="49755A33" w14:textId="77777777" w:rsidTr="00F1223B">
        <w:tc>
          <w:tcPr>
            <w:tcW w:w="562" w:type="dxa"/>
          </w:tcPr>
          <w:p w14:paraId="586156C9" w14:textId="77777777" w:rsidR="00561B22" w:rsidRPr="00184ADA" w:rsidRDefault="00561B22" w:rsidP="00F1223B">
            <w:pPr>
              <w:jc w:val="center"/>
              <w:rPr>
                <w:rFonts w:ascii="Arial" w:hAnsi="Arial" w:cs="Arial"/>
                <w:b/>
                <w:sz w:val="22"/>
                <w:szCs w:val="22"/>
                <w:lang w:val="es-MX"/>
              </w:rPr>
            </w:pPr>
            <w:r w:rsidRPr="00184ADA">
              <w:rPr>
                <w:rFonts w:ascii="Arial" w:hAnsi="Arial" w:cs="Arial"/>
                <w:b/>
                <w:sz w:val="22"/>
                <w:szCs w:val="22"/>
                <w:lang w:val="es-MX"/>
              </w:rPr>
              <w:lastRenderedPageBreak/>
              <w:t>2</w:t>
            </w:r>
          </w:p>
        </w:tc>
        <w:tc>
          <w:tcPr>
            <w:tcW w:w="9400" w:type="dxa"/>
          </w:tcPr>
          <w:p w14:paraId="294B5129" w14:textId="77777777" w:rsidR="00561B22" w:rsidRPr="00184ADA" w:rsidRDefault="00561B22" w:rsidP="00F1223B">
            <w:pPr>
              <w:widowControl/>
              <w:autoSpaceDE/>
              <w:autoSpaceDN/>
              <w:jc w:val="both"/>
              <w:rPr>
                <w:rFonts w:ascii="Arial" w:hAnsi="Arial" w:cs="Arial"/>
                <w:sz w:val="22"/>
                <w:szCs w:val="22"/>
              </w:rPr>
            </w:pPr>
            <w:r w:rsidRPr="00184ADA">
              <w:rPr>
                <w:rFonts w:ascii="Arial" w:hAnsi="Arial" w:cs="Arial"/>
                <w:sz w:val="22"/>
                <w:szCs w:val="22"/>
              </w:rPr>
              <w:t>Formalizar el Manual de Políticas Contables definir la metodología para identificar, clasificar, valorar los riesgos del proceso contable.</w:t>
            </w:r>
          </w:p>
        </w:tc>
      </w:tr>
    </w:tbl>
    <w:p w14:paraId="36123B3B" w14:textId="77777777" w:rsidR="00561B22" w:rsidRPr="00184ADA" w:rsidRDefault="00561B22" w:rsidP="00561B22">
      <w:pPr>
        <w:pStyle w:val="Textoindependiente"/>
        <w:ind w:right="-50"/>
        <w:jc w:val="both"/>
        <w:rPr>
          <w:rFonts w:ascii="Arial" w:hAnsi="Arial" w:cs="Arial"/>
          <w:b/>
          <w:bCs/>
          <w:sz w:val="28"/>
          <w:szCs w:val="28"/>
        </w:rPr>
      </w:pPr>
    </w:p>
    <w:p w14:paraId="74772511" w14:textId="77777777" w:rsidR="00561B22" w:rsidRPr="00184ADA" w:rsidRDefault="00561B22" w:rsidP="00561B22">
      <w:pPr>
        <w:jc w:val="both"/>
        <w:rPr>
          <w:rFonts w:ascii="Arial" w:hAnsi="Arial" w:cs="Arial"/>
          <w:b/>
          <w:bCs/>
          <w:sz w:val="24"/>
          <w:szCs w:val="24"/>
          <w:lang w:val="es-CO"/>
        </w:rPr>
      </w:pPr>
      <w:r w:rsidRPr="00184ADA">
        <w:rPr>
          <w:rFonts w:ascii="Arial" w:hAnsi="Arial" w:cs="Arial"/>
          <w:b/>
          <w:bCs/>
          <w:sz w:val="24"/>
          <w:szCs w:val="24"/>
          <w:lang w:val="es-CO"/>
        </w:rPr>
        <w:t xml:space="preserve">NOTA: LA ENTIDAD ENVIA LA MATRIZ DE AUTOEVALUACIÓN DEL SISTEMA DE CONTROL INTERNO CONTABLE CON </w:t>
      </w:r>
      <w:r w:rsidRPr="00184ADA">
        <w:rPr>
          <w:rFonts w:ascii="Arial" w:hAnsi="Arial" w:cs="Arial"/>
          <w:b/>
          <w:bCs/>
          <w:sz w:val="24"/>
          <w:szCs w:val="24"/>
          <w:u w:val="single"/>
          <w:lang w:val="es-CO"/>
        </w:rPr>
        <w:t>ACTIVIDADES DE CONTROL REALIZADAS EN FORMA PARCIAL</w:t>
      </w:r>
      <w:r w:rsidRPr="00184ADA">
        <w:rPr>
          <w:rFonts w:ascii="Arial" w:hAnsi="Arial" w:cs="Arial"/>
          <w:b/>
          <w:bCs/>
          <w:sz w:val="24"/>
          <w:szCs w:val="24"/>
          <w:lang w:val="es-CO"/>
        </w:rPr>
        <w:t>.</w:t>
      </w:r>
    </w:p>
    <w:p w14:paraId="19D5E6D4" w14:textId="77777777" w:rsidR="00561B22" w:rsidRPr="00184ADA" w:rsidRDefault="00561B22" w:rsidP="00561B22">
      <w:pPr>
        <w:jc w:val="both"/>
        <w:rPr>
          <w:rFonts w:ascii="Arial" w:hAnsi="Arial" w:cs="Arial"/>
          <w:b/>
          <w:sz w:val="28"/>
          <w:szCs w:val="28"/>
          <w:lang w:val="es-CO"/>
        </w:rPr>
      </w:pPr>
    </w:p>
    <w:p w14:paraId="3E050AFD" w14:textId="77777777" w:rsidR="00561B22" w:rsidRDefault="00561B22" w:rsidP="00561B22">
      <w:pPr>
        <w:jc w:val="both"/>
        <w:rPr>
          <w:rFonts w:ascii="Arial" w:hAnsi="Arial" w:cs="Arial"/>
          <w:b/>
          <w:spacing w:val="-2"/>
          <w:sz w:val="28"/>
          <w:szCs w:val="28"/>
        </w:rPr>
      </w:pPr>
      <w:r>
        <w:rPr>
          <w:rFonts w:ascii="Arial" w:hAnsi="Arial" w:cs="Arial"/>
          <w:b/>
          <w:sz w:val="28"/>
          <w:szCs w:val="28"/>
        </w:rPr>
        <w:t xml:space="preserve">91.- </w:t>
      </w:r>
      <w:r w:rsidRPr="00643A94">
        <w:rPr>
          <w:rFonts w:ascii="Arial" w:hAnsi="Arial" w:cs="Arial"/>
          <w:b/>
          <w:sz w:val="28"/>
          <w:szCs w:val="28"/>
        </w:rPr>
        <w:t xml:space="preserve">CORPORACIÓN AUTÓNOMA REGIONAL DEL CENTRO DE ANTIOQUIA </w:t>
      </w:r>
      <w:r w:rsidRPr="00643A94">
        <w:rPr>
          <w:rFonts w:ascii="Arial" w:hAnsi="Arial" w:cs="Arial"/>
          <w:b/>
          <w:spacing w:val="-2"/>
          <w:sz w:val="28"/>
          <w:szCs w:val="28"/>
        </w:rPr>
        <w:t>- CORANTIOQUIA.</w:t>
      </w:r>
    </w:p>
    <w:p w14:paraId="628359AF" w14:textId="77777777" w:rsidR="00561B22" w:rsidRDefault="00561B22" w:rsidP="00561B22">
      <w:pPr>
        <w:jc w:val="both"/>
        <w:rPr>
          <w:rFonts w:ascii="Arial" w:hAnsi="Arial" w:cs="Arial"/>
          <w:b/>
          <w:spacing w:val="-2"/>
          <w:sz w:val="28"/>
          <w:szCs w:val="28"/>
        </w:rPr>
      </w:pPr>
    </w:p>
    <w:p w14:paraId="64147D3E" w14:textId="77777777" w:rsidR="00561B22" w:rsidRPr="00643A94" w:rsidRDefault="00561B22" w:rsidP="00561B22">
      <w:pPr>
        <w:pStyle w:val="Textoindependiente"/>
        <w:ind w:right="-50"/>
        <w:jc w:val="center"/>
        <w:rPr>
          <w:rFonts w:ascii="Arial" w:hAnsi="Arial" w:cs="Arial"/>
          <w:b/>
          <w:bCs/>
        </w:rPr>
      </w:pPr>
      <w:r w:rsidRPr="00643A94">
        <w:rPr>
          <w:rFonts w:ascii="Arial" w:hAnsi="Arial" w:cs="Arial"/>
          <w:b/>
          <w:bCs/>
        </w:rPr>
        <w:t>INFORME DE LA AUTOCALIFICACIÓN DEL SISTEMA DE CONTROL INTERNO CONTABLE:</w:t>
      </w:r>
    </w:p>
    <w:tbl>
      <w:tblPr>
        <w:tblStyle w:val="Tablaconcuadrcula"/>
        <w:tblW w:w="0" w:type="auto"/>
        <w:tblLook w:val="04A0" w:firstRow="1" w:lastRow="0" w:firstColumn="1" w:lastColumn="0" w:noHBand="0" w:noVBand="1"/>
      </w:tblPr>
      <w:tblGrid>
        <w:gridCol w:w="4981"/>
        <w:gridCol w:w="4981"/>
      </w:tblGrid>
      <w:tr w:rsidR="00561B22" w:rsidRPr="00643A94" w14:paraId="58632E0A" w14:textId="77777777" w:rsidTr="00F1223B">
        <w:tc>
          <w:tcPr>
            <w:tcW w:w="4981" w:type="dxa"/>
          </w:tcPr>
          <w:p w14:paraId="0115983B" w14:textId="77777777" w:rsidR="00561B22" w:rsidRPr="00643A94" w:rsidRDefault="00561B22" w:rsidP="00F1223B">
            <w:pPr>
              <w:jc w:val="center"/>
              <w:rPr>
                <w:rFonts w:ascii="Arial" w:hAnsi="Arial" w:cs="Arial"/>
                <w:b/>
                <w:sz w:val="24"/>
                <w:szCs w:val="24"/>
                <w:lang w:val="es-MX"/>
              </w:rPr>
            </w:pPr>
            <w:r w:rsidRPr="00643A94">
              <w:rPr>
                <w:rFonts w:ascii="Arial" w:hAnsi="Arial" w:cs="Arial"/>
                <w:b/>
                <w:sz w:val="24"/>
                <w:szCs w:val="24"/>
                <w:lang w:val="es-MX"/>
              </w:rPr>
              <w:t>AUTOCALIFICACIÓN</w:t>
            </w:r>
          </w:p>
        </w:tc>
        <w:tc>
          <w:tcPr>
            <w:tcW w:w="4981" w:type="dxa"/>
          </w:tcPr>
          <w:p w14:paraId="347DC7B5" w14:textId="77777777" w:rsidR="00561B22" w:rsidRPr="00643A94" w:rsidRDefault="00561B22" w:rsidP="00F1223B">
            <w:pPr>
              <w:jc w:val="center"/>
              <w:rPr>
                <w:rFonts w:ascii="Arial" w:hAnsi="Arial" w:cs="Arial"/>
                <w:b/>
                <w:sz w:val="24"/>
                <w:szCs w:val="24"/>
                <w:u w:val="single"/>
                <w:lang w:val="es-MX"/>
              </w:rPr>
            </w:pPr>
            <w:r w:rsidRPr="00643A94">
              <w:rPr>
                <w:rFonts w:ascii="Arial" w:hAnsi="Arial" w:cs="Arial"/>
                <w:b/>
                <w:sz w:val="24"/>
                <w:szCs w:val="24"/>
                <w:u w:val="single"/>
                <w:lang w:val="es-MX"/>
              </w:rPr>
              <w:t>4.93</w:t>
            </w:r>
          </w:p>
        </w:tc>
      </w:tr>
    </w:tbl>
    <w:p w14:paraId="6FEA1F51" w14:textId="77777777" w:rsidR="00561B22" w:rsidRPr="00643A94" w:rsidRDefault="00561B22" w:rsidP="00561B22">
      <w:pPr>
        <w:pStyle w:val="Textoindependiente"/>
        <w:ind w:right="-50"/>
        <w:jc w:val="both"/>
        <w:rPr>
          <w:rFonts w:ascii="Arial" w:hAnsi="Arial" w:cs="Arial"/>
          <w:b/>
          <w:bCs/>
          <w:sz w:val="28"/>
          <w:szCs w:val="28"/>
        </w:rPr>
      </w:pPr>
    </w:p>
    <w:p w14:paraId="03C05B51" w14:textId="77777777" w:rsidR="00561B22" w:rsidRPr="00643A94" w:rsidRDefault="00561B22" w:rsidP="00561B22">
      <w:pPr>
        <w:pStyle w:val="Textoindependiente"/>
        <w:ind w:right="-50"/>
        <w:jc w:val="both"/>
        <w:rPr>
          <w:rFonts w:ascii="Arial" w:hAnsi="Arial" w:cs="Arial"/>
          <w:b/>
          <w:bCs/>
          <w:sz w:val="28"/>
          <w:szCs w:val="28"/>
        </w:rPr>
      </w:pPr>
      <w:r w:rsidRPr="00643A94">
        <w:rPr>
          <w:rFonts w:ascii="Arial" w:hAnsi="Arial" w:cs="Arial"/>
          <w:b/>
          <w:bCs/>
          <w:sz w:val="28"/>
          <w:szCs w:val="28"/>
        </w:rPr>
        <w:t>Del informe enviado retomamos lo siguiente:</w:t>
      </w:r>
    </w:p>
    <w:p w14:paraId="057BF3B1" w14:textId="77777777" w:rsidR="00561B22" w:rsidRPr="00643A94"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643A94" w14:paraId="0FF89D0F" w14:textId="77777777" w:rsidTr="00F1223B">
        <w:tc>
          <w:tcPr>
            <w:tcW w:w="562" w:type="dxa"/>
          </w:tcPr>
          <w:p w14:paraId="7F4088CA" w14:textId="77777777" w:rsidR="00561B22" w:rsidRPr="00643A94" w:rsidRDefault="00561B22" w:rsidP="00F1223B">
            <w:pPr>
              <w:ind w:right="-109"/>
              <w:jc w:val="center"/>
              <w:rPr>
                <w:rFonts w:ascii="Arial" w:hAnsi="Arial" w:cs="Arial"/>
                <w:b/>
                <w:lang w:val="es-MX"/>
              </w:rPr>
            </w:pPr>
            <w:r w:rsidRPr="00643A94">
              <w:rPr>
                <w:rFonts w:ascii="Arial" w:hAnsi="Arial" w:cs="Arial"/>
                <w:b/>
                <w:lang w:val="es-MX"/>
              </w:rPr>
              <w:t>N°</w:t>
            </w:r>
          </w:p>
        </w:tc>
        <w:tc>
          <w:tcPr>
            <w:tcW w:w="9400" w:type="dxa"/>
          </w:tcPr>
          <w:p w14:paraId="69CCB620" w14:textId="77777777" w:rsidR="00561B22" w:rsidRPr="00643A94" w:rsidRDefault="00561B22" w:rsidP="00F1223B">
            <w:pPr>
              <w:jc w:val="center"/>
              <w:rPr>
                <w:rFonts w:ascii="Arial" w:hAnsi="Arial" w:cs="Arial"/>
                <w:b/>
                <w:sz w:val="24"/>
                <w:szCs w:val="24"/>
                <w:lang w:val="es-MX"/>
              </w:rPr>
            </w:pPr>
            <w:r w:rsidRPr="00643A94">
              <w:rPr>
                <w:rFonts w:ascii="Arial" w:hAnsi="Arial" w:cs="Arial"/>
                <w:b/>
                <w:sz w:val="24"/>
                <w:szCs w:val="24"/>
                <w:lang w:val="es-MX"/>
              </w:rPr>
              <w:t>DEBILIDADES</w:t>
            </w:r>
          </w:p>
          <w:p w14:paraId="6D73D67E" w14:textId="77777777" w:rsidR="00561B22" w:rsidRPr="00643A94" w:rsidRDefault="00561B22" w:rsidP="00F1223B">
            <w:pPr>
              <w:jc w:val="center"/>
              <w:rPr>
                <w:rFonts w:ascii="Arial" w:hAnsi="Arial" w:cs="Arial"/>
                <w:b/>
                <w:lang w:val="es-MX"/>
              </w:rPr>
            </w:pPr>
          </w:p>
        </w:tc>
      </w:tr>
      <w:tr w:rsidR="00561B22" w:rsidRPr="00643A94" w14:paraId="75717392" w14:textId="77777777" w:rsidTr="00F1223B">
        <w:tc>
          <w:tcPr>
            <w:tcW w:w="562" w:type="dxa"/>
          </w:tcPr>
          <w:p w14:paraId="4FADF089" w14:textId="77777777" w:rsidR="00561B22" w:rsidRPr="00643A94" w:rsidRDefault="00561B22" w:rsidP="00F1223B">
            <w:pPr>
              <w:jc w:val="center"/>
              <w:rPr>
                <w:rFonts w:ascii="Arial" w:hAnsi="Arial" w:cs="Arial"/>
                <w:b/>
                <w:lang w:val="es-MX"/>
              </w:rPr>
            </w:pPr>
            <w:r w:rsidRPr="00643A94">
              <w:rPr>
                <w:rFonts w:ascii="Arial" w:hAnsi="Arial" w:cs="Arial"/>
                <w:b/>
                <w:lang w:val="es-MX"/>
              </w:rPr>
              <w:t>1</w:t>
            </w:r>
          </w:p>
        </w:tc>
        <w:tc>
          <w:tcPr>
            <w:tcW w:w="9400" w:type="dxa"/>
          </w:tcPr>
          <w:p w14:paraId="5EF1986D" w14:textId="77777777" w:rsidR="00561B22" w:rsidRPr="00643A94" w:rsidRDefault="00561B22" w:rsidP="00F1223B">
            <w:pPr>
              <w:jc w:val="both"/>
              <w:rPr>
                <w:rFonts w:ascii="Arial" w:hAnsi="Arial" w:cs="Arial"/>
                <w:b/>
                <w:lang w:val="es-MX"/>
              </w:rPr>
            </w:pPr>
            <w:r w:rsidRPr="00643A94">
              <w:rPr>
                <w:rFonts w:ascii="Arial" w:hAnsi="Arial" w:cs="Arial"/>
              </w:rPr>
              <w:t>Falta de personal.</w:t>
            </w:r>
          </w:p>
        </w:tc>
      </w:tr>
      <w:tr w:rsidR="00561B22" w:rsidRPr="00643A94" w14:paraId="51CE81A3" w14:textId="77777777" w:rsidTr="00F1223B">
        <w:tc>
          <w:tcPr>
            <w:tcW w:w="562" w:type="dxa"/>
          </w:tcPr>
          <w:p w14:paraId="1C6BB069" w14:textId="77777777" w:rsidR="00561B22" w:rsidRPr="00643A94" w:rsidRDefault="00561B22" w:rsidP="00F1223B">
            <w:pPr>
              <w:jc w:val="center"/>
              <w:rPr>
                <w:rFonts w:ascii="Arial" w:hAnsi="Arial" w:cs="Arial"/>
                <w:b/>
                <w:lang w:val="es-MX"/>
              </w:rPr>
            </w:pPr>
            <w:r w:rsidRPr="00643A94">
              <w:rPr>
                <w:rFonts w:ascii="Arial" w:hAnsi="Arial" w:cs="Arial"/>
                <w:b/>
                <w:lang w:val="es-MX"/>
              </w:rPr>
              <w:t>2</w:t>
            </w:r>
          </w:p>
        </w:tc>
        <w:tc>
          <w:tcPr>
            <w:tcW w:w="9400" w:type="dxa"/>
          </w:tcPr>
          <w:p w14:paraId="6A5B7619" w14:textId="77777777" w:rsidR="00561B22" w:rsidRPr="00643A94" w:rsidRDefault="00561B22" w:rsidP="00F1223B">
            <w:pPr>
              <w:jc w:val="both"/>
              <w:rPr>
                <w:rFonts w:ascii="Arial" w:hAnsi="Arial" w:cs="Arial"/>
                <w:b/>
                <w:lang w:val="es-MX"/>
              </w:rPr>
            </w:pPr>
            <w:r w:rsidRPr="00643A94">
              <w:rPr>
                <w:rFonts w:ascii="Arial" w:hAnsi="Arial" w:cs="Arial"/>
              </w:rPr>
              <w:t>Exceso en carga de trabajo: La información financiera que se requiere, debe ser confiable y oportuna, para la toma de decisiones, pero la sobre carga con procesos adicionales ajenos al grupo interno de trabajo, no permiten la dedicación requerida en los procesos del grupo.</w:t>
            </w:r>
          </w:p>
        </w:tc>
      </w:tr>
      <w:tr w:rsidR="00561B22" w:rsidRPr="00643A94" w14:paraId="2842BB35" w14:textId="77777777" w:rsidTr="00F1223B">
        <w:tc>
          <w:tcPr>
            <w:tcW w:w="562" w:type="dxa"/>
          </w:tcPr>
          <w:p w14:paraId="7A501AE9" w14:textId="77777777" w:rsidR="00561B22" w:rsidRPr="00643A94" w:rsidRDefault="00561B22" w:rsidP="00F1223B">
            <w:pPr>
              <w:jc w:val="center"/>
              <w:rPr>
                <w:rFonts w:ascii="Arial" w:hAnsi="Arial" w:cs="Arial"/>
                <w:b/>
                <w:lang w:val="es-MX"/>
              </w:rPr>
            </w:pPr>
            <w:r w:rsidRPr="00643A94">
              <w:rPr>
                <w:rFonts w:ascii="Arial" w:hAnsi="Arial" w:cs="Arial"/>
                <w:b/>
                <w:lang w:val="es-MX"/>
              </w:rPr>
              <w:t>3</w:t>
            </w:r>
          </w:p>
        </w:tc>
        <w:tc>
          <w:tcPr>
            <w:tcW w:w="9400" w:type="dxa"/>
          </w:tcPr>
          <w:p w14:paraId="6E254E88" w14:textId="77777777" w:rsidR="00561B22" w:rsidRPr="00643A94" w:rsidRDefault="00561B22" w:rsidP="00F1223B">
            <w:pPr>
              <w:jc w:val="both"/>
              <w:rPr>
                <w:rFonts w:ascii="Arial" w:hAnsi="Arial" w:cs="Arial"/>
                <w:b/>
                <w:lang w:val="es-MX"/>
              </w:rPr>
            </w:pPr>
            <w:r w:rsidRPr="00643A94">
              <w:rPr>
                <w:rFonts w:ascii="Arial" w:hAnsi="Arial" w:cs="Arial"/>
              </w:rPr>
              <w:t>Es preciso capacitar al personal del proceso contable en temas de índole financiero.</w:t>
            </w:r>
          </w:p>
        </w:tc>
      </w:tr>
      <w:tr w:rsidR="00561B22" w:rsidRPr="00643A94" w14:paraId="71162545" w14:textId="77777777" w:rsidTr="00F1223B">
        <w:tc>
          <w:tcPr>
            <w:tcW w:w="562" w:type="dxa"/>
          </w:tcPr>
          <w:p w14:paraId="2314A737" w14:textId="77777777" w:rsidR="00561B22" w:rsidRPr="00643A94" w:rsidRDefault="00561B22" w:rsidP="00F1223B">
            <w:pPr>
              <w:jc w:val="center"/>
              <w:rPr>
                <w:rFonts w:ascii="Arial" w:hAnsi="Arial" w:cs="Arial"/>
                <w:b/>
                <w:lang w:val="es-MX"/>
              </w:rPr>
            </w:pPr>
            <w:r w:rsidRPr="00643A94">
              <w:rPr>
                <w:rFonts w:ascii="Arial" w:hAnsi="Arial" w:cs="Arial"/>
                <w:b/>
                <w:lang w:val="es-MX"/>
              </w:rPr>
              <w:t>4</w:t>
            </w:r>
          </w:p>
        </w:tc>
        <w:tc>
          <w:tcPr>
            <w:tcW w:w="9400" w:type="dxa"/>
          </w:tcPr>
          <w:p w14:paraId="6A5F9CFA" w14:textId="77777777" w:rsidR="00561B22" w:rsidRPr="00643A94" w:rsidRDefault="00561B22" w:rsidP="00F1223B">
            <w:pPr>
              <w:jc w:val="both"/>
              <w:rPr>
                <w:rFonts w:ascii="Arial" w:hAnsi="Arial" w:cs="Arial"/>
                <w:b/>
                <w:lang w:val="es-MX"/>
              </w:rPr>
            </w:pPr>
            <w:r w:rsidRPr="00643A94">
              <w:rPr>
                <w:rFonts w:ascii="Arial" w:hAnsi="Arial" w:cs="Arial"/>
              </w:rPr>
              <w:t>Al revisar la plataforma institucional MEGATESO, se encuentra caracterizado el proceso de Gestión Financiera; sin embargo, los formatos y procedimientos se encuentran desactualizados.</w:t>
            </w:r>
          </w:p>
        </w:tc>
      </w:tr>
      <w:tr w:rsidR="00561B22" w:rsidRPr="00643A94" w14:paraId="5FDC00E0" w14:textId="77777777" w:rsidTr="00F1223B">
        <w:tc>
          <w:tcPr>
            <w:tcW w:w="562" w:type="dxa"/>
          </w:tcPr>
          <w:p w14:paraId="79A0AAF8" w14:textId="77777777" w:rsidR="00561B22" w:rsidRPr="00643A94" w:rsidRDefault="00561B22" w:rsidP="00F1223B">
            <w:pPr>
              <w:jc w:val="center"/>
              <w:rPr>
                <w:rFonts w:ascii="Arial" w:hAnsi="Arial" w:cs="Arial"/>
                <w:b/>
                <w:lang w:val="es-MX"/>
              </w:rPr>
            </w:pPr>
            <w:r w:rsidRPr="00643A94">
              <w:rPr>
                <w:rFonts w:ascii="Arial" w:hAnsi="Arial" w:cs="Arial"/>
                <w:b/>
                <w:lang w:val="es-MX"/>
              </w:rPr>
              <w:t>5</w:t>
            </w:r>
          </w:p>
        </w:tc>
        <w:tc>
          <w:tcPr>
            <w:tcW w:w="9400" w:type="dxa"/>
          </w:tcPr>
          <w:p w14:paraId="23CBE34F" w14:textId="77777777" w:rsidR="00561B22" w:rsidRPr="00643A94" w:rsidRDefault="00561B22" w:rsidP="00F1223B">
            <w:pPr>
              <w:jc w:val="both"/>
              <w:rPr>
                <w:rFonts w:ascii="Arial" w:hAnsi="Arial" w:cs="Arial"/>
                <w:b/>
                <w:lang w:val="es-MX"/>
              </w:rPr>
            </w:pPr>
            <w:r w:rsidRPr="00643A94">
              <w:rPr>
                <w:rFonts w:ascii="Arial" w:hAnsi="Arial" w:cs="Arial"/>
              </w:rPr>
              <w:t>Demoras o incumplimientos en la entrega oportuna de la información financiera al Grupo Interno de Trabajo de Contabilidad y Costos por parte de los diferentes Grupos Internos o procesos, incumpliendo el cronograma establecido en la Política contable numeral 6.7.34, ocasionando con ello retrasos o posibles incumplimientos ante la Contaduría General de la Nación para la presentación y publicación de los Estados Financieros al cierre de cada período contable o de la vigencia</w:t>
            </w:r>
          </w:p>
        </w:tc>
      </w:tr>
    </w:tbl>
    <w:p w14:paraId="161A6D8A" w14:textId="77777777" w:rsidR="00561B22" w:rsidRPr="00643A94" w:rsidRDefault="00561B22" w:rsidP="00561B22">
      <w:pPr>
        <w:pStyle w:val="Textoindependiente"/>
        <w:ind w:right="-50"/>
        <w:jc w:val="both"/>
        <w:rPr>
          <w:rFonts w:ascii="Arial" w:hAnsi="Arial" w:cs="Arial"/>
          <w:b/>
          <w:bCs/>
          <w:sz w:val="20"/>
          <w:szCs w:val="20"/>
        </w:rPr>
      </w:pPr>
    </w:p>
    <w:p w14:paraId="0EE90AA6" w14:textId="77777777" w:rsidR="00561B22" w:rsidRPr="00643A94" w:rsidRDefault="00561B22" w:rsidP="00561B22">
      <w:pPr>
        <w:jc w:val="both"/>
        <w:rPr>
          <w:rFonts w:ascii="Arial" w:hAnsi="Arial" w:cs="Arial"/>
          <w:b/>
          <w:sz w:val="28"/>
          <w:szCs w:val="28"/>
          <w:lang w:val="es-MX"/>
        </w:rPr>
      </w:pPr>
      <w:r w:rsidRPr="00643A94">
        <w:rPr>
          <w:rFonts w:ascii="Arial" w:hAnsi="Arial" w:cs="Arial"/>
          <w:b/>
          <w:sz w:val="28"/>
          <w:szCs w:val="28"/>
          <w:lang w:val="es-MX"/>
        </w:rPr>
        <w:t>Del citado informe retomamos las siguientes recomendaciones:</w:t>
      </w:r>
    </w:p>
    <w:p w14:paraId="1D4A28AC" w14:textId="77777777" w:rsidR="00561B22" w:rsidRPr="00643A94" w:rsidRDefault="00561B22" w:rsidP="00561B22">
      <w:pPr>
        <w:pStyle w:val="Textoindependiente"/>
        <w:ind w:right="-50"/>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562"/>
        <w:gridCol w:w="9400"/>
      </w:tblGrid>
      <w:tr w:rsidR="00561B22" w:rsidRPr="00643A94" w14:paraId="3A9A7568" w14:textId="77777777" w:rsidTr="00F1223B">
        <w:tc>
          <w:tcPr>
            <w:tcW w:w="562" w:type="dxa"/>
          </w:tcPr>
          <w:p w14:paraId="410701F6" w14:textId="77777777" w:rsidR="00561B22" w:rsidRPr="00643A94" w:rsidRDefault="00561B22" w:rsidP="00F1223B">
            <w:pPr>
              <w:ind w:right="-109"/>
              <w:jc w:val="center"/>
              <w:rPr>
                <w:rFonts w:ascii="Arial" w:hAnsi="Arial" w:cs="Arial"/>
                <w:b/>
                <w:lang w:val="es-MX"/>
              </w:rPr>
            </w:pPr>
            <w:r w:rsidRPr="00643A94">
              <w:rPr>
                <w:rFonts w:ascii="Arial" w:hAnsi="Arial" w:cs="Arial"/>
                <w:b/>
                <w:lang w:val="es-MX"/>
              </w:rPr>
              <w:t>N°</w:t>
            </w:r>
          </w:p>
        </w:tc>
        <w:tc>
          <w:tcPr>
            <w:tcW w:w="9400" w:type="dxa"/>
          </w:tcPr>
          <w:p w14:paraId="44E30C0A" w14:textId="77777777" w:rsidR="00561B22" w:rsidRPr="00643A94" w:rsidRDefault="00561B22" w:rsidP="00F1223B">
            <w:pPr>
              <w:jc w:val="center"/>
              <w:rPr>
                <w:rFonts w:ascii="Arial" w:hAnsi="Arial" w:cs="Arial"/>
                <w:b/>
                <w:lang w:val="es-MX"/>
              </w:rPr>
            </w:pPr>
            <w:r w:rsidRPr="00643A94">
              <w:rPr>
                <w:rFonts w:ascii="Arial" w:hAnsi="Arial" w:cs="Arial"/>
                <w:b/>
                <w:lang w:val="es-MX"/>
              </w:rPr>
              <w:t>RECOMENDACIONES</w:t>
            </w:r>
          </w:p>
          <w:p w14:paraId="5551B505" w14:textId="77777777" w:rsidR="00561B22" w:rsidRPr="00643A94" w:rsidRDefault="00561B22" w:rsidP="00F1223B">
            <w:pPr>
              <w:jc w:val="center"/>
              <w:rPr>
                <w:rFonts w:ascii="Arial" w:hAnsi="Arial" w:cs="Arial"/>
                <w:b/>
                <w:lang w:val="es-MX"/>
              </w:rPr>
            </w:pPr>
          </w:p>
        </w:tc>
      </w:tr>
      <w:tr w:rsidR="00561B22" w:rsidRPr="00643A94" w14:paraId="43E81945" w14:textId="77777777" w:rsidTr="00F1223B">
        <w:tc>
          <w:tcPr>
            <w:tcW w:w="562" w:type="dxa"/>
          </w:tcPr>
          <w:p w14:paraId="5296E288" w14:textId="77777777" w:rsidR="00561B22" w:rsidRPr="00643A94" w:rsidRDefault="00561B22" w:rsidP="00F1223B">
            <w:pPr>
              <w:jc w:val="center"/>
              <w:rPr>
                <w:rFonts w:ascii="Arial" w:hAnsi="Arial" w:cs="Arial"/>
                <w:b/>
                <w:lang w:val="es-MX"/>
              </w:rPr>
            </w:pPr>
            <w:r w:rsidRPr="00643A94">
              <w:rPr>
                <w:rFonts w:ascii="Arial" w:hAnsi="Arial" w:cs="Arial"/>
                <w:b/>
                <w:lang w:val="es-MX"/>
              </w:rPr>
              <w:t>1</w:t>
            </w:r>
          </w:p>
        </w:tc>
        <w:tc>
          <w:tcPr>
            <w:tcW w:w="9400" w:type="dxa"/>
          </w:tcPr>
          <w:p w14:paraId="017D6DC0" w14:textId="77777777" w:rsidR="00561B22" w:rsidRPr="00643A94" w:rsidRDefault="00561B22" w:rsidP="00F1223B">
            <w:pPr>
              <w:jc w:val="both"/>
              <w:rPr>
                <w:rFonts w:ascii="Arial" w:hAnsi="Arial" w:cs="Arial"/>
                <w:b/>
                <w:lang w:val="es-MX"/>
              </w:rPr>
            </w:pPr>
            <w:r w:rsidRPr="00643A94">
              <w:rPr>
                <w:rFonts w:ascii="Arial" w:hAnsi="Arial" w:cs="Arial"/>
              </w:rPr>
              <w:t>Evaluar la posibilidad de realizar un análisis de cargas laborales, con el fin de identificar posibles sobrecargas en los diferentes puestos de trabajo, que afectan el proceso Financiero, en cuanto a exceso de funciones labores o falta de personal.</w:t>
            </w:r>
          </w:p>
        </w:tc>
      </w:tr>
      <w:tr w:rsidR="00561B22" w:rsidRPr="00643A94" w14:paraId="6D7E2601" w14:textId="77777777" w:rsidTr="00F1223B">
        <w:tc>
          <w:tcPr>
            <w:tcW w:w="562" w:type="dxa"/>
          </w:tcPr>
          <w:p w14:paraId="3A1E4096" w14:textId="77777777" w:rsidR="00561B22" w:rsidRPr="00643A94" w:rsidRDefault="00561B22" w:rsidP="00F1223B">
            <w:pPr>
              <w:jc w:val="center"/>
              <w:rPr>
                <w:rFonts w:ascii="Arial" w:hAnsi="Arial" w:cs="Arial"/>
                <w:b/>
                <w:lang w:val="es-MX"/>
              </w:rPr>
            </w:pPr>
            <w:r w:rsidRPr="00643A94">
              <w:rPr>
                <w:rFonts w:ascii="Arial" w:hAnsi="Arial" w:cs="Arial"/>
                <w:b/>
                <w:lang w:val="es-MX"/>
              </w:rPr>
              <w:t>2</w:t>
            </w:r>
          </w:p>
        </w:tc>
        <w:tc>
          <w:tcPr>
            <w:tcW w:w="9400" w:type="dxa"/>
          </w:tcPr>
          <w:p w14:paraId="35A09B9A" w14:textId="77777777" w:rsidR="00561B22" w:rsidRPr="00643A94" w:rsidRDefault="00561B22" w:rsidP="00F1223B">
            <w:pPr>
              <w:jc w:val="both"/>
              <w:rPr>
                <w:rFonts w:ascii="Arial" w:hAnsi="Arial" w:cs="Arial"/>
                <w:b/>
                <w:lang w:val="es-MX"/>
              </w:rPr>
            </w:pPr>
            <w:r w:rsidRPr="00643A94">
              <w:rPr>
                <w:rFonts w:ascii="Arial" w:hAnsi="Arial" w:cs="Arial"/>
              </w:rPr>
              <w:t>Se recomienda realizar la actualización de los procedimientos tanto en los formatos establecidos en el Sistema de Gestión Integral como en lo más sustancial que es la actualización del proceso Financiero (Actividades) para que se brinde uniformidad en la manera de trabajar, se establezcan las reglas y pautas sobre cómo deben ejecutarse ciertos procesos, se identifiquen omisiones de tareas, se propongan mejoras en los procedimientos, se agilice el flujo correcto del trabajo con base en la estandarización de procesos, todo ello encaminado hacia resultados óptimos en las tareas y mantener estándares de calidad y eficiencia, acorde con la realidad actual y de los cambios normativos al interior de la Corporación y del entorno; al igual que, socializarlos con los grupos de interés y especialmente con los funcionarios del proceso contable.</w:t>
            </w:r>
          </w:p>
        </w:tc>
      </w:tr>
      <w:tr w:rsidR="00561B22" w:rsidRPr="00643A94" w14:paraId="3432F5A1" w14:textId="77777777" w:rsidTr="00F1223B">
        <w:tc>
          <w:tcPr>
            <w:tcW w:w="562" w:type="dxa"/>
          </w:tcPr>
          <w:p w14:paraId="1B84E402" w14:textId="77777777" w:rsidR="00561B22" w:rsidRPr="00643A94" w:rsidRDefault="00561B22" w:rsidP="00F1223B">
            <w:pPr>
              <w:jc w:val="center"/>
              <w:rPr>
                <w:rFonts w:ascii="Arial" w:hAnsi="Arial" w:cs="Arial"/>
                <w:b/>
                <w:lang w:val="es-MX"/>
              </w:rPr>
            </w:pPr>
            <w:r w:rsidRPr="00643A94">
              <w:rPr>
                <w:rFonts w:ascii="Arial" w:hAnsi="Arial" w:cs="Arial"/>
                <w:b/>
                <w:lang w:val="es-MX"/>
              </w:rPr>
              <w:t>3</w:t>
            </w:r>
          </w:p>
        </w:tc>
        <w:tc>
          <w:tcPr>
            <w:tcW w:w="9400" w:type="dxa"/>
          </w:tcPr>
          <w:p w14:paraId="542BED14" w14:textId="77777777" w:rsidR="00561B22" w:rsidRPr="00643A94" w:rsidRDefault="00561B22" w:rsidP="00F1223B">
            <w:pPr>
              <w:jc w:val="both"/>
              <w:rPr>
                <w:rFonts w:ascii="Arial" w:hAnsi="Arial" w:cs="Arial"/>
                <w:b/>
                <w:lang w:val="es-MX"/>
              </w:rPr>
            </w:pPr>
            <w:r w:rsidRPr="00643A94">
              <w:rPr>
                <w:rFonts w:ascii="Arial" w:hAnsi="Arial" w:cs="Arial"/>
              </w:rPr>
              <w:t>Generar espacios de capacitación para el personal del Grupo Interno de Trabajo de Contabilidad y Costos, dadas las dinámicas de actualización y cambios normativos constantes que se gestan desde la Contaduría General de la Nación, lo cual redundaría en beneficio de todo el personal que tiene responsabilidades a nivel contable y sus resultados se verán reflejados en la calidad de la información generada por la Corporación.</w:t>
            </w:r>
          </w:p>
        </w:tc>
      </w:tr>
      <w:tr w:rsidR="00561B22" w:rsidRPr="00643A94" w14:paraId="1394C7A9" w14:textId="77777777" w:rsidTr="00F1223B">
        <w:tc>
          <w:tcPr>
            <w:tcW w:w="562" w:type="dxa"/>
          </w:tcPr>
          <w:p w14:paraId="2205E167" w14:textId="77777777" w:rsidR="00561B22" w:rsidRPr="00643A94" w:rsidRDefault="00561B22" w:rsidP="00F1223B">
            <w:pPr>
              <w:jc w:val="center"/>
              <w:rPr>
                <w:rFonts w:ascii="Arial" w:hAnsi="Arial" w:cs="Arial"/>
                <w:b/>
                <w:lang w:val="es-MX"/>
              </w:rPr>
            </w:pPr>
            <w:r w:rsidRPr="00643A94">
              <w:rPr>
                <w:rFonts w:ascii="Arial" w:hAnsi="Arial" w:cs="Arial"/>
                <w:b/>
                <w:lang w:val="es-MX"/>
              </w:rPr>
              <w:t>4</w:t>
            </w:r>
          </w:p>
        </w:tc>
        <w:tc>
          <w:tcPr>
            <w:tcW w:w="9400" w:type="dxa"/>
          </w:tcPr>
          <w:p w14:paraId="56A503EF" w14:textId="77777777" w:rsidR="00561B22" w:rsidRPr="00643A94" w:rsidRDefault="00561B22" w:rsidP="00F1223B">
            <w:pPr>
              <w:jc w:val="both"/>
              <w:rPr>
                <w:rFonts w:ascii="Arial" w:hAnsi="Arial" w:cs="Arial"/>
                <w:b/>
                <w:lang w:val="es-MX"/>
              </w:rPr>
            </w:pPr>
            <w:r w:rsidRPr="00643A94">
              <w:rPr>
                <w:rFonts w:ascii="Arial" w:hAnsi="Arial" w:cs="Arial"/>
              </w:rPr>
              <w:t xml:space="preserve">Elaborar soporte documental (Acta de reunión o grupo primario) de las socializaciones de los </w:t>
            </w:r>
            <w:r w:rsidRPr="00643A94">
              <w:rPr>
                <w:rFonts w:ascii="Arial" w:hAnsi="Arial" w:cs="Arial"/>
              </w:rPr>
              <w:lastRenderedPageBreak/>
              <w:t>procedimientos, directrices, lineamientos, entre otros.</w:t>
            </w:r>
          </w:p>
        </w:tc>
      </w:tr>
      <w:tr w:rsidR="00561B22" w:rsidRPr="00643A94" w14:paraId="0E58E425" w14:textId="77777777" w:rsidTr="00F1223B">
        <w:tc>
          <w:tcPr>
            <w:tcW w:w="562" w:type="dxa"/>
          </w:tcPr>
          <w:p w14:paraId="4DBC5E15" w14:textId="77777777" w:rsidR="00561B22" w:rsidRPr="00643A94" w:rsidRDefault="00561B22" w:rsidP="00F1223B">
            <w:pPr>
              <w:jc w:val="center"/>
              <w:rPr>
                <w:rFonts w:ascii="Arial" w:hAnsi="Arial" w:cs="Arial"/>
                <w:b/>
                <w:lang w:val="es-MX"/>
              </w:rPr>
            </w:pPr>
            <w:r w:rsidRPr="00643A94">
              <w:rPr>
                <w:rFonts w:ascii="Arial" w:hAnsi="Arial" w:cs="Arial"/>
                <w:b/>
                <w:lang w:val="es-MX"/>
              </w:rPr>
              <w:lastRenderedPageBreak/>
              <w:t>5</w:t>
            </w:r>
          </w:p>
        </w:tc>
        <w:tc>
          <w:tcPr>
            <w:tcW w:w="9400" w:type="dxa"/>
          </w:tcPr>
          <w:p w14:paraId="4E72349A" w14:textId="77777777" w:rsidR="00561B22" w:rsidRPr="00643A94" w:rsidRDefault="00561B22" w:rsidP="00F1223B">
            <w:pPr>
              <w:jc w:val="both"/>
              <w:rPr>
                <w:rFonts w:ascii="Arial" w:hAnsi="Arial" w:cs="Arial"/>
                <w:b/>
                <w:lang w:val="es-MX"/>
              </w:rPr>
            </w:pPr>
            <w:r w:rsidRPr="00643A94">
              <w:rPr>
                <w:rFonts w:ascii="Arial" w:hAnsi="Arial" w:cs="Arial"/>
              </w:rPr>
              <w:t>Socializar con los funcionarios y contratistas del proceso contable la Matriz de Riesgos y sus controles.</w:t>
            </w:r>
          </w:p>
        </w:tc>
      </w:tr>
      <w:tr w:rsidR="00561B22" w:rsidRPr="00643A94" w14:paraId="7E821E34" w14:textId="77777777" w:rsidTr="00F1223B">
        <w:tc>
          <w:tcPr>
            <w:tcW w:w="562" w:type="dxa"/>
          </w:tcPr>
          <w:p w14:paraId="03351E03" w14:textId="77777777" w:rsidR="00561B22" w:rsidRPr="00643A94" w:rsidRDefault="00561B22" w:rsidP="00F1223B">
            <w:pPr>
              <w:jc w:val="center"/>
              <w:rPr>
                <w:rFonts w:ascii="Arial" w:hAnsi="Arial" w:cs="Arial"/>
                <w:b/>
                <w:lang w:val="es-MX"/>
              </w:rPr>
            </w:pPr>
            <w:r w:rsidRPr="00643A94">
              <w:rPr>
                <w:rFonts w:ascii="Arial" w:hAnsi="Arial" w:cs="Arial"/>
                <w:b/>
                <w:lang w:val="es-MX"/>
              </w:rPr>
              <w:t>6</w:t>
            </w:r>
          </w:p>
        </w:tc>
        <w:tc>
          <w:tcPr>
            <w:tcW w:w="9400" w:type="dxa"/>
          </w:tcPr>
          <w:p w14:paraId="27CCFFE8" w14:textId="77777777" w:rsidR="00561B22" w:rsidRPr="00643A94" w:rsidRDefault="00561B22" w:rsidP="00F1223B">
            <w:pPr>
              <w:jc w:val="both"/>
              <w:rPr>
                <w:rFonts w:ascii="Arial" w:hAnsi="Arial" w:cs="Arial"/>
                <w:b/>
                <w:lang w:val="es-MX"/>
              </w:rPr>
            </w:pPr>
            <w:r w:rsidRPr="00643A94">
              <w:rPr>
                <w:rFonts w:ascii="Arial" w:hAnsi="Arial" w:cs="Arial"/>
              </w:rPr>
              <w:t>Socializar nuevamente con los demás Grupos Internos de Trabajo, el cronograma de cierres de procesos, estipulado en la Política Contable, numeral 6.7.34 Cierres Contables.</w:t>
            </w:r>
          </w:p>
        </w:tc>
      </w:tr>
      <w:tr w:rsidR="00561B22" w:rsidRPr="00643A94" w14:paraId="6FAF9705" w14:textId="77777777" w:rsidTr="00F1223B">
        <w:tc>
          <w:tcPr>
            <w:tcW w:w="562" w:type="dxa"/>
          </w:tcPr>
          <w:p w14:paraId="60CDA733" w14:textId="77777777" w:rsidR="00561B22" w:rsidRPr="00643A94" w:rsidRDefault="00561B22" w:rsidP="00F1223B">
            <w:pPr>
              <w:jc w:val="center"/>
              <w:rPr>
                <w:rFonts w:ascii="Arial" w:hAnsi="Arial" w:cs="Arial"/>
                <w:b/>
                <w:lang w:val="es-MX"/>
              </w:rPr>
            </w:pPr>
            <w:r w:rsidRPr="00643A94">
              <w:rPr>
                <w:rFonts w:ascii="Arial" w:hAnsi="Arial" w:cs="Arial"/>
                <w:b/>
                <w:lang w:val="es-MX"/>
              </w:rPr>
              <w:t>7</w:t>
            </w:r>
          </w:p>
        </w:tc>
        <w:tc>
          <w:tcPr>
            <w:tcW w:w="9400" w:type="dxa"/>
          </w:tcPr>
          <w:p w14:paraId="4C944889" w14:textId="77777777" w:rsidR="00561B22" w:rsidRPr="00643A94" w:rsidRDefault="00561B22" w:rsidP="00F1223B">
            <w:pPr>
              <w:jc w:val="both"/>
              <w:rPr>
                <w:rFonts w:ascii="Arial" w:hAnsi="Arial" w:cs="Arial"/>
                <w:b/>
                <w:lang w:val="es-MX"/>
              </w:rPr>
            </w:pPr>
            <w:r w:rsidRPr="00643A94">
              <w:rPr>
                <w:rFonts w:ascii="Arial" w:hAnsi="Arial" w:cs="Arial"/>
              </w:rPr>
              <w:t>Involucrar a todo el equipo de trabajo del GIT de Contabilidad y Costos en la actualización de los procedimientos, para que dé una vez el grupo quede actualizado y con el conocimiento total del proceso.</w:t>
            </w:r>
          </w:p>
        </w:tc>
      </w:tr>
    </w:tbl>
    <w:p w14:paraId="3E418032" w14:textId="77777777" w:rsidR="00561B22" w:rsidRPr="00643A94" w:rsidRDefault="00561B22" w:rsidP="00561B22">
      <w:pPr>
        <w:pStyle w:val="Textoindependiente"/>
        <w:ind w:right="-50"/>
        <w:jc w:val="both"/>
        <w:rPr>
          <w:rFonts w:ascii="Arial" w:hAnsi="Arial" w:cs="Arial"/>
          <w:b/>
          <w:bCs/>
          <w:sz w:val="28"/>
          <w:szCs w:val="28"/>
        </w:rPr>
      </w:pPr>
    </w:p>
    <w:p w14:paraId="71DFCEDC" w14:textId="77777777" w:rsidR="00561B22" w:rsidRPr="00643A94" w:rsidRDefault="00561B22" w:rsidP="00561B22">
      <w:pPr>
        <w:jc w:val="both"/>
        <w:rPr>
          <w:rFonts w:ascii="Arial" w:hAnsi="Arial" w:cs="Arial"/>
          <w:b/>
          <w:bCs/>
          <w:sz w:val="24"/>
          <w:szCs w:val="24"/>
          <w:lang w:val="es-CO"/>
        </w:rPr>
      </w:pPr>
      <w:r w:rsidRPr="00643A94">
        <w:rPr>
          <w:rFonts w:ascii="Arial" w:hAnsi="Arial" w:cs="Arial"/>
          <w:b/>
          <w:bCs/>
          <w:sz w:val="24"/>
          <w:szCs w:val="24"/>
          <w:lang w:val="es-CO"/>
        </w:rPr>
        <w:t xml:space="preserve">NOTA: LA ENTIDAD ENVIA LA MATRIZ DE AUTOEVALUACIÓN DEL SISTEMA DE CONTROL INTERNO CONTABLE CON </w:t>
      </w:r>
      <w:r w:rsidRPr="00643A94">
        <w:rPr>
          <w:rFonts w:ascii="Arial" w:hAnsi="Arial" w:cs="Arial"/>
          <w:b/>
          <w:bCs/>
          <w:sz w:val="24"/>
          <w:szCs w:val="24"/>
          <w:u w:val="single"/>
          <w:lang w:val="es-CO"/>
        </w:rPr>
        <w:t>ACTIVIDADES DE CONTROL REALIZADAS EN FORMA PARCIAL</w:t>
      </w:r>
      <w:r w:rsidRPr="00643A94">
        <w:rPr>
          <w:rFonts w:ascii="Arial" w:hAnsi="Arial" w:cs="Arial"/>
          <w:b/>
          <w:bCs/>
          <w:sz w:val="24"/>
          <w:szCs w:val="24"/>
          <w:lang w:val="es-CO"/>
        </w:rPr>
        <w:t>.</w:t>
      </w:r>
    </w:p>
    <w:p w14:paraId="320FBFD0" w14:textId="77777777" w:rsidR="00561B22" w:rsidRDefault="00561B22" w:rsidP="00561B22">
      <w:pPr>
        <w:jc w:val="both"/>
        <w:rPr>
          <w:b/>
          <w:bCs/>
          <w:sz w:val="24"/>
          <w:szCs w:val="24"/>
          <w:lang w:val="es-CO"/>
        </w:rPr>
      </w:pPr>
    </w:p>
    <w:p w14:paraId="213E6C00" w14:textId="77777777" w:rsidR="00561B22" w:rsidRPr="002E4014" w:rsidRDefault="00561B22" w:rsidP="00561B22">
      <w:pPr>
        <w:pStyle w:val="Prrafodelista"/>
        <w:ind w:left="0"/>
        <w:rPr>
          <w:rFonts w:ascii="Arial" w:hAnsi="Arial" w:cs="Arial"/>
          <w:b/>
          <w:sz w:val="28"/>
          <w:szCs w:val="28"/>
          <w:lang w:val="es-MX"/>
        </w:rPr>
      </w:pPr>
      <w:r w:rsidRPr="002E4014">
        <w:rPr>
          <w:rFonts w:ascii="Arial" w:hAnsi="Arial" w:cs="Arial"/>
          <w:b/>
          <w:sz w:val="28"/>
          <w:szCs w:val="28"/>
          <w:lang w:val="es-MX"/>
        </w:rPr>
        <w:t xml:space="preserve">92.- E.S.P. CENTRALES ELECTRICAS DE NARIÑO S.A. – CEDENAR. </w:t>
      </w:r>
    </w:p>
    <w:p w14:paraId="72C202E1" w14:textId="77777777" w:rsidR="00561B22" w:rsidRPr="002E4014" w:rsidRDefault="00561B22" w:rsidP="00561B22">
      <w:pPr>
        <w:pStyle w:val="Textoindependiente"/>
        <w:ind w:right="-50"/>
        <w:jc w:val="center"/>
        <w:rPr>
          <w:rFonts w:ascii="Arial" w:hAnsi="Arial" w:cs="Arial"/>
          <w:b/>
          <w:bCs/>
        </w:rPr>
      </w:pPr>
      <w:r w:rsidRPr="002E4014">
        <w:rPr>
          <w:rFonts w:ascii="Arial" w:hAnsi="Arial" w:cs="Arial"/>
          <w:b/>
          <w:bCs/>
        </w:rPr>
        <w:t>INFORME DE LA AUTOCALIFICACIÓN DEL SISTEMA DE CONTROL INTERNO CONTABLE:</w:t>
      </w:r>
    </w:p>
    <w:p w14:paraId="17F56B80" w14:textId="77777777" w:rsidR="00561B22" w:rsidRPr="002E401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E4014" w14:paraId="174335C3" w14:textId="77777777" w:rsidTr="00F1223B">
        <w:tc>
          <w:tcPr>
            <w:tcW w:w="4981" w:type="dxa"/>
          </w:tcPr>
          <w:p w14:paraId="3D29C76C"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AUTOCALIFICACIÓN</w:t>
            </w:r>
          </w:p>
        </w:tc>
        <w:tc>
          <w:tcPr>
            <w:tcW w:w="4981" w:type="dxa"/>
          </w:tcPr>
          <w:p w14:paraId="06D43D60" w14:textId="77777777" w:rsidR="00561B22" w:rsidRPr="002E4014" w:rsidRDefault="00561B22" w:rsidP="00F1223B">
            <w:pPr>
              <w:jc w:val="center"/>
              <w:rPr>
                <w:rFonts w:ascii="Arial" w:hAnsi="Arial" w:cs="Arial"/>
                <w:b/>
                <w:sz w:val="22"/>
                <w:szCs w:val="22"/>
                <w:u w:val="single"/>
                <w:lang w:val="es-MX"/>
              </w:rPr>
            </w:pPr>
            <w:r w:rsidRPr="002E4014">
              <w:rPr>
                <w:rFonts w:ascii="Arial" w:hAnsi="Arial" w:cs="Arial"/>
                <w:b/>
                <w:sz w:val="22"/>
                <w:szCs w:val="22"/>
                <w:u w:val="single"/>
                <w:lang w:val="es-MX"/>
              </w:rPr>
              <w:t>4.93</w:t>
            </w:r>
          </w:p>
        </w:tc>
      </w:tr>
    </w:tbl>
    <w:p w14:paraId="087241ED" w14:textId="77777777" w:rsidR="00561B22" w:rsidRPr="002E4014" w:rsidRDefault="00561B22" w:rsidP="00561B22">
      <w:pPr>
        <w:pStyle w:val="Textoindependiente"/>
        <w:ind w:right="-50"/>
        <w:jc w:val="both"/>
        <w:rPr>
          <w:rFonts w:ascii="Arial" w:hAnsi="Arial" w:cs="Arial"/>
          <w:b/>
          <w:bCs/>
        </w:rPr>
      </w:pPr>
    </w:p>
    <w:p w14:paraId="2257CA89" w14:textId="77777777" w:rsidR="00561B22" w:rsidRPr="002E4014" w:rsidRDefault="00561B22" w:rsidP="00561B22">
      <w:pPr>
        <w:pStyle w:val="Textoindependiente"/>
        <w:ind w:right="-50"/>
        <w:jc w:val="both"/>
        <w:rPr>
          <w:rFonts w:ascii="Arial" w:hAnsi="Arial" w:cs="Arial"/>
          <w:b/>
          <w:bCs/>
        </w:rPr>
      </w:pPr>
      <w:r w:rsidRPr="002E4014">
        <w:rPr>
          <w:rFonts w:ascii="Arial" w:hAnsi="Arial" w:cs="Arial"/>
          <w:b/>
          <w:bCs/>
        </w:rPr>
        <w:t>Del informe enviado retomamos lo siguiente:</w:t>
      </w:r>
    </w:p>
    <w:p w14:paraId="1D01AE68" w14:textId="77777777" w:rsidR="00561B22" w:rsidRPr="002E401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E4014" w14:paraId="122AAFB6" w14:textId="77777777" w:rsidTr="00F1223B">
        <w:tc>
          <w:tcPr>
            <w:tcW w:w="562" w:type="dxa"/>
          </w:tcPr>
          <w:p w14:paraId="648C8DF1" w14:textId="77777777" w:rsidR="00561B22" w:rsidRPr="002E4014" w:rsidRDefault="00561B22" w:rsidP="00F1223B">
            <w:pPr>
              <w:ind w:right="-109"/>
              <w:jc w:val="center"/>
              <w:rPr>
                <w:rFonts w:ascii="Arial" w:hAnsi="Arial" w:cs="Arial"/>
                <w:b/>
                <w:sz w:val="22"/>
                <w:szCs w:val="22"/>
                <w:lang w:val="es-MX"/>
              </w:rPr>
            </w:pPr>
            <w:r w:rsidRPr="002E4014">
              <w:rPr>
                <w:rFonts w:ascii="Arial" w:hAnsi="Arial" w:cs="Arial"/>
                <w:b/>
                <w:sz w:val="22"/>
                <w:szCs w:val="22"/>
                <w:lang w:val="es-MX"/>
              </w:rPr>
              <w:t>N°</w:t>
            </w:r>
          </w:p>
        </w:tc>
        <w:tc>
          <w:tcPr>
            <w:tcW w:w="9400" w:type="dxa"/>
          </w:tcPr>
          <w:p w14:paraId="7F2E3F4C"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DEBILIDADES</w:t>
            </w:r>
          </w:p>
          <w:p w14:paraId="2C3F4444" w14:textId="77777777" w:rsidR="00561B22" w:rsidRPr="002E4014" w:rsidRDefault="00561B22" w:rsidP="00F1223B">
            <w:pPr>
              <w:jc w:val="center"/>
              <w:rPr>
                <w:rFonts w:ascii="Arial" w:hAnsi="Arial" w:cs="Arial"/>
                <w:b/>
                <w:sz w:val="22"/>
                <w:szCs w:val="22"/>
                <w:lang w:val="es-MX"/>
              </w:rPr>
            </w:pPr>
          </w:p>
        </w:tc>
      </w:tr>
      <w:tr w:rsidR="00561B22" w:rsidRPr="002E4014" w14:paraId="196A842B" w14:textId="77777777" w:rsidTr="00F1223B">
        <w:tc>
          <w:tcPr>
            <w:tcW w:w="562" w:type="dxa"/>
          </w:tcPr>
          <w:p w14:paraId="0AA385C7"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1</w:t>
            </w:r>
          </w:p>
        </w:tc>
        <w:tc>
          <w:tcPr>
            <w:tcW w:w="9400" w:type="dxa"/>
          </w:tcPr>
          <w:p w14:paraId="3E4FE0A9"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Diferencias que se generan en la conciliación con el Sistema Comercial en cartera, e ingresos.</w:t>
            </w:r>
          </w:p>
        </w:tc>
      </w:tr>
      <w:tr w:rsidR="00561B22" w:rsidRPr="002E4014" w14:paraId="3CFAF53D" w14:textId="77777777" w:rsidTr="00F1223B">
        <w:tc>
          <w:tcPr>
            <w:tcW w:w="562" w:type="dxa"/>
          </w:tcPr>
          <w:p w14:paraId="265D381E"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2</w:t>
            </w:r>
          </w:p>
        </w:tc>
        <w:tc>
          <w:tcPr>
            <w:tcW w:w="9400" w:type="dxa"/>
          </w:tcPr>
          <w:p w14:paraId="613EB036"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No se cuenta con un reporte adecuado para el deterioro de la cartera comercial.</w:t>
            </w:r>
          </w:p>
        </w:tc>
      </w:tr>
      <w:tr w:rsidR="00561B22" w:rsidRPr="002E4014" w14:paraId="3D58C06B" w14:textId="77777777" w:rsidTr="00F1223B">
        <w:tc>
          <w:tcPr>
            <w:tcW w:w="562" w:type="dxa"/>
          </w:tcPr>
          <w:p w14:paraId="029EF50A"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3</w:t>
            </w:r>
          </w:p>
        </w:tc>
        <w:tc>
          <w:tcPr>
            <w:tcW w:w="9400" w:type="dxa"/>
          </w:tcPr>
          <w:p w14:paraId="272B25E0"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Falta de comunicación de otras áreas de la empresa, que afectan los procesos contables y tributarios</w:t>
            </w:r>
          </w:p>
        </w:tc>
      </w:tr>
      <w:tr w:rsidR="00561B22" w:rsidRPr="002E4014" w14:paraId="012241E3" w14:textId="77777777" w:rsidTr="00F1223B">
        <w:tc>
          <w:tcPr>
            <w:tcW w:w="562" w:type="dxa"/>
          </w:tcPr>
          <w:p w14:paraId="10DAA2A3"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4</w:t>
            </w:r>
          </w:p>
        </w:tc>
        <w:tc>
          <w:tcPr>
            <w:tcW w:w="9400" w:type="dxa"/>
          </w:tcPr>
          <w:p w14:paraId="2E9E11EB"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Falta de coordinación en algunas áreas que suministran información al área contable, generando algunos retrasos en su entrega, a pesar de contar con un cronograma establecido por la Subgerencia Administrativa y Financiera.</w:t>
            </w:r>
          </w:p>
        </w:tc>
      </w:tr>
      <w:tr w:rsidR="00561B22" w:rsidRPr="002E4014" w14:paraId="0C900818" w14:textId="77777777" w:rsidTr="00F1223B">
        <w:tc>
          <w:tcPr>
            <w:tcW w:w="562" w:type="dxa"/>
          </w:tcPr>
          <w:p w14:paraId="1A4648F4"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5</w:t>
            </w:r>
          </w:p>
        </w:tc>
        <w:tc>
          <w:tcPr>
            <w:tcW w:w="9400" w:type="dxa"/>
          </w:tcPr>
          <w:p w14:paraId="156987EB" w14:textId="77777777" w:rsidR="00561B22" w:rsidRPr="002E4014" w:rsidRDefault="00561B22" w:rsidP="00F1223B">
            <w:pPr>
              <w:jc w:val="both"/>
              <w:rPr>
                <w:rFonts w:ascii="Arial" w:hAnsi="Arial" w:cs="Arial"/>
                <w:sz w:val="22"/>
                <w:szCs w:val="22"/>
              </w:rPr>
            </w:pPr>
            <w:r w:rsidRPr="002E4014">
              <w:rPr>
                <w:rFonts w:ascii="Arial" w:hAnsi="Arial" w:cs="Arial"/>
                <w:sz w:val="22"/>
                <w:szCs w:val="22"/>
              </w:rPr>
              <w:t xml:space="preserve">Materialización del riesgo: Probabilidad de multa y sanciones por no implementar adecuadamente requisitos legales y/o entidades de fiscalización y control. CEDENAR </w:t>
            </w:r>
            <w:r w:rsidRPr="002E4014">
              <w:rPr>
                <w:rFonts w:ascii="Arial" w:hAnsi="Arial" w:cs="Arial"/>
                <w:iCs/>
                <w:sz w:val="22"/>
                <w:szCs w:val="22"/>
              </w:rPr>
              <w:t>S.A.E.S.P radicó ante la DIAN, la solicitud de devolución del saldo de la Declaración de Renta y Complementarios año gravable 2023 por $29.216.912, la DIAN mediante Auto Comisorio para verificación y cruce de información de la declaración rechazó inicialmente costos y deducciones por $47.832.537 sobre los cuales la Empresa pudo desvirtuar dentro de los términos establecidos $46.702.266. La empresa toma la decisión administrativa de aceptar el rechazo de $1.130.270 basado en i) el costo de oportunidad entre contar con los recursos dentro de los 15 días siguientes que, aliviarían la mínima disponibilidad de caja para atender sus obligaciones corrientes y, $2.306.731 en intereses de financiación en los cuales debería incurrir la empresa para compensar mediante sobregiros y créditos bancarios los saldos que le serían devueltos; ii) el extenso tiempo mayor a un año previsto en los artículos 706, 707, 710 y 720 del Estatuto Tributario para resolver los argumentos jurídicos que motivan las actuaciones y acciones contencioso administrativas a favor de CEDENAR S.A. ESP que generan gastos de representación legal de abogados expertos en materia tributaria y los riesgos de pérdida de reducción del porcentaje de sanción por corrección voluntaria, el incremento de la sanción y la causación de intereses moratorios. Situaciones que generaron la necesidad de aceptar corregir la declaración tributaria y acogerse a la sanción de corrección por $39.560 producto de la disminución del saldo a favor que, compensa las erogaciones que hubiese tenido que realizar CEDENAR S.A. ESP para obtener una mejoría de liquidez y las que implica un proceso jurídico de naturaleza tributaria.</w:t>
            </w:r>
          </w:p>
        </w:tc>
      </w:tr>
    </w:tbl>
    <w:p w14:paraId="0C934804" w14:textId="77777777" w:rsidR="00561B22" w:rsidRPr="002E4014" w:rsidRDefault="00561B22" w:rsidP="00561B22">
      <w:pPr>
        <w:pStyle w:val="Textoindependiente"/>
        <w:ind w:right="-50"/>
        <w:jc w:val="both"/>
        <w:rPr>
          <w:rFonts w:ascii="Arial" w:hAnsi="Arial" w:cs="Arial"/>
          <w:b/>
          <w:bCs/>
        </w:rPr>
      </w:pPr>
    </w:p>
    <w:p w14:paraId="093E81A2" w14:textId="77777777" w:rsidR="00561B22" w:rsidRPr="002E4014" w:rsidRDefault="00561B22" w:rsidP="00561B22">
      <w:pPr>
        <w:jc w:val="both"/>
        <w:rPr>
          <w:rFonts w:ascii="Arial" w:hAnsi="Arial" w:cs="Arial"/>
          <w:b/>
          <w:lang w:val="es-MX"/>
        </w:rPr>
      </w:pPr>
      <w:r w:rsidRPr="002E4014">
        <w:rPr>
          <w:rFonts w:ascii="Arial" w:hAnsi="Arial" w:cs="Arial"/>
          <w:b/>
          <w:lang w:val="es-MX"/>
        </w:rPr>
        <w:t>Del citado informe retomamos las siguientes recomendaciones:</w:t>
      </w:r>
    </w:p>
    <w:p w14:paraId="3DFFDA36" w14:textId="77777777" w:rsidR="00561B22" w:rsidRPr="002E401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E4014" w14:paraId="58A97EED" w14:textId="77777777" w:rsidTr="00F1223B">
        <w:tc>
          <w:tcPr>
            <w:tcW w:w="562" w:type="dxa"/>
          </w:tcPr>
          <w:p w14:paraId="1B632E36" w14:textId="77777777" w:rsidR="00561B22" w:rsidRPr="002E4014" w:rsidRDefault="00561B22" w:rsidP="00F1223B">
            <w:pPr>
              <w:ind w:right="-109"/>
              <w:jc w:val="center"/>
              <w:rPr>
                <w:rFonts w:ascii="Arial" w:hAnsi="Arial" w:cs="Arial"/>
                <w:b/>
                <w:sz w:val="22"/>
                <w:szCs w:val="22"/>
                <w:lang w:val="es-MX"/>
              </w:rPr>
            </w:pPr>
            <w:r w:rsidRPr="002E4014">
              <w:rPr>
                <w:rFonts w:ascii="Arial" w:hAnsi="Arial" w:cs="Arial"/>
                <w:b/>
                <w:sz w:val="22"/>
                <w:szCs w:val="22"/>
                <w:lang w:val="es-MX"/>
              </w:rPr>
              <w:t>N°</w:t>
            </w:r>
          </w:p>
        </w:tc>
        <w:tc>
          <w:tcPr>
            <w:tcW w:w="9400" w:type="dxa"/>
          </w:tcPr>
          <w:p w14:paraId="46F08EA8"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RECOMENDACIONES</w:t>
            </w:r>
          </w:p>
          <w:p w14:paraId="159D8FFC" w14:textId="77777777" w:rsidR="00561B22" w:rsidRPr="002E4014" w:rsidRDefault="00561B22" w:rsidP="00F1223B">
            <w:pPr>
              <w:jc w:val="center"/>
              <w:rPr>
                <w:rFonts w:ascii="Arial" w:hAnsi="Arial" w:cs="Arial"/>
                <w:b/>
                <w:sz w:val="22"/>
                <w:szCs w:val="22"/>
                <w:lang w:val="es-MX"/>
              </w:rPr>
            </w:pPr>
          </w:p>
        </w:tc>
      </w:tr>
      <w:tr w:rsidR="00561B22" w:rsidRPr="002E4014" w14:paraId="2F6E664A" w14:textId="77777777" w:rsidTr="00F1223B">
        <w:tc>
          <w:tcPr>
            <w:tcW w:w="562" w:type="dxa"/>
          </w:tcPr>
          <w:p w14:paraId="797735C4"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lastRenderedPageBreak/>
              <w:t>1</w:t>
            </w:r>
          </w:p>
        </w:tc>
        <w:tc>
          <w:tcPr>
            <w:tcW w:w="9400" w:type="dxa"/>
          </w:tcPr>
          <w:p w14:paraId="6D56A114"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Es recomendable implementar un proceso de conciliación más riguroso y frecuente entre el Sistema Comercial y el área de cartera e ingresos, con el fin de identificar y corregir de manera oportuna las diferencias que puedan surgir. Además, se sugiere fortalecer la capacitación del personal encargado de la conciliación, así como revisar y ajustar los procedimientos internos para asegurar una mayor alineación entre los sistemas y minimizar los riesgos de inconsistencias en los registros.</w:t>
            </w:r>
          </w:p>
        </w:tc>
      </w:tr>
      <w:tr w:rsidR="00561B22" w:rsidRPr="002E4014" w14:paraId="698517D0" w14:textId="77777777" w:rsidTr="00F1223B">
        <w:tc>
          <w:tcPr>
            <w:tcW w:w="562" w:type="dxa"/>
          </w:tcPr>
          <w:p w14:paraId="3956FF9F"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2</w:t>
            </w:r>
          </w:p>
        </w:tc>
        <w:tc>
          <w:tcPr>
            <w:tcW w:w="9400" w:type="dxa"/>
          </w:tcPr>
          <w:p w14:paraId="59994F53"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Continuar con los procesos de capacitación al personal del área financiera, con el objetivo de fortalecer el conocimiento y promover la mejora continua en este proceso.</w:t>
            </w:r>
          </w:p>
        </w:tc>
      </w:tr>
      <w:tr w:rsidR="00561B22" w:rsidRPr="002E4014" w14:paraId="557EC527" w14:textId="77777777" w:rsidTr="00F1223B">
        <w:tc>
          <w:tcPr>
            <w:tcW w:w="562" w:type="dxa"/>
          </w:tcPr>
          <w:p w14:paraId="31EF7FA6"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3</w:t>
            </w:r>
          </w:p>
        </w:tc>
        <w:tc>
          <w:tcPr>
            <w:tcW w:w="9400" w:type="dxa"/>
          </w:tcPr>
          <w:p w14:paraId="4C00CB29"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Fortalecer el manejo y la utilización de las causas de cargo en el área comercial, específicamente en cartera, para prevenir inconsistencias en el sistema comercial durante los ajustes.</w:t>
            </w:r>
          </w:p>
        </w:tc>
      </w:tr>
      <w:tr w:rsidR="00561B22" w:rsidRPr="002E4014" w14:paraId="7E58D458" w14:textId="77777777" w:rsidTr="00F1223B">
        <w:tc>
          <w:tcPr>
            <w:tcW w:w="562" w:type="dxa"/>
          </w:tcPr>
          <w:p w14:paraId="7B5E3A2A"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4</w:t>
            </w:r>
          </w:p>
        </w:tc>
        <w:tc>
          <w:tcPr>
            <w:tcW w:w="9400" w:type="dxa"/>
          </w:tcPr>
          <w:p w14:paraId="68EA44A8" w14:textId="77777777" w:rsidR="00561B22" w:rsidRPr="002E4014" w:rsidRDefault="00561B22" w:rsidP="00F1223B">
            <w:pPr>
              <w:jc w:val="both"/>
              <w:rPr>
                <w:rFonts w:ascii="Arial" w:hAnsi="Arial" w:cs="Arial"/>
                <w:sz w:val="22"/>
                <w:szCs w:val="22"/>
                <w:lang w:val="es-MX"/>
              </w:rPr>
            </w:pPr>
            <w:r w:rsidRPr="002E4014">
              <w:rPr>
                <w:rFonts w:ascii="Arial" w:hAnsi="Arial" w:cs="Arial"/>
                <w:sz w:val="22"/>
                <w:szCs w:val="22"/>
              </w:rPr>
              <w:t>Mejorar la coordinación entre las áreas que suministran información al área contable, ya que, a pesar de contar con un cronograma establecido por la Subgerencia Administrativa y Financiera, se presentan retrasos en la entrega de la información.</w:t>
            </w:r>
          </w:p>
        </w:tc>
      </w:tr>
      <w:tr w:rsidR="00561B22" w:rsidRPr="002E4014" w14:paraId="7B145EA2" w14:textId="77777777" w:rsidTr="00F1223B">
        <w:tc>
          <w:tcPr>
            <w:tcW w:w="562" w:type="dxa"/>
          </w:tcPr>
          <w:p w14:paraId="30D722B7" w14:textId="77777777" w:rsidR="00561B22" w:rsidRPr="002E4014" w:rsidRDefault="00561B22" w:rsidP="00F1223B">
            <w:pPr>
              <w:jc w:val="center"/>
              <w:rPr>
                <w:rFonts w:ascii="Arial" w:hAnsi="Arial" w:cs="Arial"/>
                <w:b/>
                <w:sz w:val="22"/>
                <w:szCs w:val="22"/>
                <w:lang w:val="es-MX"/>
              </w:rPr>
            </w:pPr>
            <w:r w:rsidRPr="002E4014">
              <w:rPr>
                <w:rFonts w:ascii="Arial" w:hAnsi="Arial" w:cs="Arial"/>
                <w:b/>
                <w:sz w:val="22"/>
                <w:szCs w:val="22"/>
                <w:lang w:val="es-MX"/>
              </w:rPr>
              <w:t>5</w:t>
            </w:r>
          </w:p>
        </w:tc>
        <w:tc>
          <w:tcPr>
            <w:tcW w:w="9400" w:type="dxa"/>
          </w:tcPr>
          <w:p w14:paraId="485B8BF0" w14:textId="77777777" w:rsidR="00561B22" w:rsidRPr="002E4014" w:rsidRDefault="00561B22" w:rsidP="00F1223B">
            <w:pPr>
              <w:jc w:val="both"/>
              <w:rPr>
                <w:rFonts w:ascii="Arial" w:hAnsi="Arial" w:cs="Arial"/>
                <w:sz w:val="22"/>
                <w:szCs w:val="22"/>
              </w:rPr>
            </w:pPr>
            <w:r w:rsidRPr="002E4014">
              <w:rPr>
                <w:rFonts w:ascii="Arial" w:hAnsi="Arial" w:cs="Arial"/>
                <w:sz w:val="22"/>
                <w:szCs w:val="22"/>
              </w:rPr>
              <w:t>Es recomendable que CEDENAR S.A. E.S.P. implemente un sistema más riguroso de seguimiento y control para asegurar el cumplimiento adecuado de los requisitos legales y de las entidades de fiscalización y control, con el fin de evitar la materialización de riesgos asociados a multas y sanciones. Además, se sugiere fortalecer los procesos internos de revisión y validación de la información tributaria antes de su presentación, con el objetivo de reducir la probabilidad de rechazos y minimizar las decisiones administrativas que puedan generar gastos adicionales, intereses moratorios o pérdidas de oportunidades para la empresa.</w:t>
            </w:r>
          </w:p>
        </w:tc>
      </w:tr>
    </w:tbl>
    <w:p w14:paraId="577F74FF" w14:textId="77777777" w:rsidR="00561B22" w:rsidRPr="002E4014" w:rsidRDefault="00561B22" w:rsidP="00561B22">
      <w:pPr>
        <w:pStyle w:val="Textoindependiente"/>
        <w:ind w:right="-50"/>
        <w:jc w:val="both"/>
        <w:rPr>
          <w:rFonts w:ascii="Arial" w:hAnsi="Arial" w:cs="Arial"/>
          <w:b/>
          <w:bCs/>
        </w:rPr>
      </w:pPr>
    </w:p>
    <w:p w14:paraId="4FB83620" w14:textId="77777777" w:rsidR="00561B22" w:rsidRPr="002E4014" w:rsidRDefault="00561B22" w:rsidP="00561B22">
      <w:pPr>
        <w:jc w:val="both"/>
        <w:rPr>
          <w:rFonts w:ascii="Arial" w:hAnsi="Arial" w:cs="Arial"/>
          <w:b/>
          <w:bCs/>
          <w:sz w:val="24"/>
          <w:szCs w:val="24"/>
          <w:lang w:val="es-CO"/>
        </w:rPr>
      </w:pPr>
      <w:r w:rsidRPr="002E4014">
        <w:rPr>
          <w:rFonts w:ascii="Arial" w:hAnsi="Arial" w:cs="Arial"/>
          <w:b/>
          <w:bCs/>
          <w:sz w:val="24"/>
          <w:szCs w:val="24"/>
          <w:lang w:val="es-CO"/>
        </w:rPr>
        <w:t xml:space="preserve">NOTA: LA ENTIDAD ENVIA LA MATRIZ DE AUTOEVALUACIÓN DEL SISTEMA DE CONTROL INTERNO CONTABLE CON </w:t>
      </w:r>
      <w:r w:rsidRPr="002E4014">
        <w:rPr>
          <w:rFonts w:ascii="Arial" w:hAnsi="Arial" w:cs="Arial"/>
          <w:b/>
          <w:bCs/>
          <w:sz w:val="24"/>
          <w:szCs w:val="24"/>
          <w:u w:val="single"/>
          <w:lang w:val="es-CO"/>
        </w:rPr>
        <w:t>ACTIVIDADES DE CONTROL REALIZADAS EN FORMA PARCIAL</w:t>
      </w:r>
      <w:r w:rsidRPr="002E4014">
        <w:rPr>
          <w:rFonts w:ascii="Arial" w:hAnsi="Arial" w:cs="Arial"/>
          <w:b/>
          <w:bCs/>
          <w:sz w:val="24"/>
          <w:szCs w:val="24"/>
          <w:lang w:val="es-CO"/>
        </w:rPr>
        <w:t>.</w:t>
      </w:r>
    </w:p>
    <w:p w14:paraId="69013B25" w14:textId="77777777" w:rsidR="00561B22" w:rsidRDefault="00561B22" w:rsidP="00561B22">
      <w:pPr>
        <w:jc w:val="both"/>
        <w:rPr>
          <w:rFonts w:ascii="Arial" w:hAnsi="Arial" w:cs="Arial"/>
          <w:b/>
          <w:sz w:val="28"/>
          <w:szCs w:val="28"/>
          <w:lang w:val="es-CO"/>
        </w:rPr>
      </w:pPr>
    </w:p>
    <w:p w14:paraId="6F46EC41" w14:textId="77777777" w:rsidR="00561B22" w:rsidRPr="00FC29F1" w:rsidRDefault="00561B22" w:rsidP="00561B22">
      <w:pPr>
        <w:jc w:val="both"/>
        <w:rPr>
          <w:rFonts w:ascii="Arial" w:hAnsi="Arial" w:cs="Arial"/>
          <w:b/>
          <w:sz w:val="32"/>
          <w:szCs w:val="32"/>
        </w:rPr>
      </w:pPr>
      <w:r w:rsidRPr="00FC29F1">
        <w:rPr>
          <w:rFonts w:ascii="Arial" w:hAnsi="Arial" w:cs="Arial"/>
          <w:b/>
          <w:sz w:val="28"/>
          <w:szCs w:val="28"/>
          <w:lang w:val="es-MX"/>
        </w:rPr>
        <w:t>93.- CENTRALES ELECTRICAS DEL CAUCA S.A. E.S.P. – CEDELCA.</w:t>
      </w:r>
    </w:p>
    <w:p w14:paraId="0EE27672" w14:textId="77777777" w:rsidR="00561B22" w:rsidRDefault="00561B22" w:rsidP="00561B22">
      <w:pPr>
        <w:jc w:val="both"/>
        <w:rPr>
          <w:rFonts w:ascii="Arial" w:hAnsi="Arial" w:cs="Arial"/>
          <w:b/>
          <w:sz w:val="28"/>
          <w:szCs w:val="28"/>
        </w:rPr>
      </w:pPr>
    </w:p>
    <w:p w14:paraId="20E6BE92" w14:textId="77777777" w:rsidR="00561B22" w:rsidRPr="00FC29F1" w:rsidRDefault="00561B22" w:rsidP="00561B22">
      <w:pPr>
        <w:pStyle w:val="Textoindependiente"/>
        <w:ind w:right="-50"/>
        <w:jc w:val="center"/>
        <w:rPr>
          <w:rFonts w:ascii="Arial" w:hAnsi="Arial" w:cs="Arial"/>
          <w:b/>
          <w:bCs/>
        </w:rPr>
      </w:pPr>
      <w:r w:rsidRPr="00FC29F1">
        <w:rPr>
          <w:rFonts w:ascii="Arial" w:hAnsi="Arial" w:cs="Arial"/>
          <w:b/>
          <w:bCs/>
        </w:rPr>
        <w:t>INFORME DE LA AUTOCALIFICACIÓN DEL SISTEMA DE CONTROL INTERNO CONTABLE:</w:t>
      </w:r>
    </w:p>
    <w:p w14:paraId="4F29A1A2" w14:textId="77777777" w:rsidR="00561B22" w:rsidRPr="00FC29F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C29F1" w14:paraId="26D22371" w14:textId="77777777" w:rsidTr="00F1223B">
        <w:tc>
          <w:tcPr>
            <w:tcW w:w="4981" w:type="dxa"/>
          </w:tcPr>
          <w:p w14:paraId="0B2A9F58" w14:textId="77777777" w:rsidR="00561B22" w:rsidRPr="00FC29F1" w:rsidRDefault="00561B22" w:rsidP="00F1223B">
            <w:pPr>
              <w:jc w:val="center"/>
              <w:rPr>
                <w:rFonts w:ascii="Arial" w:hAnsi="Arial" w:cs="Arial"/>
                <w:b/>
                <w:sz w:val="22"/>
                <w:szCs w:val="22"/>
                <w:lang w:val="es-MX"/>
              </w:rPr>
            </w:pPr>
            <w:r w:rsidRPr="00FC29F1">
              <w:rPr>
                <w:rFonts w:ascii="Arial" w:hAnsi="Arial" w:cs="Arial"/>
                <w:b/>
                <w:sz w:val="22"/>
                <w:szCs w:val="22"/>
                <w:lang w:val="es-MX"/>
              </w:rPr>
              <w:t>AUTOCALIFICACIÓN</w:t>
            </w:r>
          </w:p>
        </w:tc>
        <w:tc>
          <w:tcPr>
            <w:tcW w:w="4981" w:type="dxa"/>
          </w:tcPr>
          <w:p w14:paraId="7D2F9E20" w14:textId="77777777" w:rsidR="00561B22" w:rsidRPr="00FC29F1" w:rsidRDefault="00561B22" w:rsidP="00F1223B">
            <w:pPr>
              <w:jc w:val="center"/>
              <w:rPr>
                <w:rFonts w:ascii="Arial" w:hAnsi="Arial" w:cs="Arial"/>
                <w:b/>
                <w:sz w:val="22"/>
                <w:szCs w:val="22"/>
                <w:u w:val="single"/>
                <w:lang w:val="es-MX"/>
              </w:rPr>
            </w:pPr>
            <w:r w:rsidRPr="00FC29F1">
              <w:rPr>
                <w:rFonts w:ascii="Arial" w:hAnsi="Arial" w:cs="Arial"/>
                <w:b/>
                <w:sz w:val="22"/>
                <w:szCs w:val="22"/>
                <w:u w:val="single"/>
                <w:lang w:val="es-MX"/>
              </w:rPr>
              <w:t>4.96</w:t>
            </w:r>
          </w:p>
        </w:tc>
      </w:tr>
    </w:tbl>
    <w:p w14:paraId="66A67C97" w14:textId="77777777" w:rsidR="00561B22" w:rsidRPr="00FC29F1" w:rsidRDefault="00561B22" w:rsidP="00561B22">
      <w:pPr>
        <w:pStyle w:val="Textoindependiente"/>
        <w:ind w:right="-50"/>
        <w:jc w:val="both"/>
        <w:rPr>
          <w:rFonts w:ascii="Arial" w:hAnsi="Arial" w:cs="Arial"/>
          <w:b/>
          <w:bCs/>
        </w:rPr>
      </w:pPr>
    </w:p>
    <w:p w14:paraId="1C06A531" w14:textId="77777777" w:rsidR="00561B22" w:rsidRPr="00FC29F1" w:rsidRDefault="00561B22" w:rsidP="00561B22">
      <w:pPr>
        <w:pStyle w:val="Textoindependiente"/>
        <w:ind w:right="-50"/>
        <w:jc w:val="both"/>
        <w:rPr>
          <w:rFonts w:ascii="Arial" w:hAnsi="Arial" w:cs="Arial"/>
          <w:b/>
          <w:bCs/>
        </w:rPr>
      </w:pPr>
      <w:r w:rsidRPr="00FC29F1">
        <w:rPr>
          <w:rFonts w:ascii="Arial" w:hAnsi="Arial" w:cs="Arial"/>
          <w:b/>
          <w:bCs/>
        </w:rPr>
        <w:t>Del informe enviado retomamos lo siguiente:</w:t>
      </w:r>
    </w:p>
    <w:p w14:paraId="45FC17B3" w14:textId="77777777" w:rsidR="00561B22" w:rsidRPr="00FC29F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C29F1" w14:paraId="73E49E95" w14:textId="77777777" w:rsidTr="00F1223B">
        <w:tc>
          <w:tcPr>
            <w:tcW w:w="562" w:type="dxa"/>
          </w:tcPr>
          <w:p w14:paraId="73261221" w14:textId="77777777" w:rsidR="00561B22" w:rsidRPr="00FC29F1" w:rsidRDefault="00561B22" w:rsidP="00F1223B">
            <w:pPr>
              <w:ind w:right="-109"/>
              <w:jc w:val="center"/>
              <w:rPr>
                <w:rFonts w:ascii="Arial" w:hAnsi="Arial" w:cs="Arial"/>
                <w:b/>
                <w:sz w:val="22"/>
                <w:szCs w:val="22"/>
                <w:lang w:val="es-MX"/>
              </w:rPr>
            </w:pPr>
            <w:r w:rsidRPr="00FC29F1">
              <w:rPr>
                <w:rFonts w:ascii="Arial" w:hAnsi="Arial" w:cs="Arial"/>
                <w:b/>
                <w:sz w:val="22"/>
                <w:szCs w:val="22"/>
                <w:lang w:val="es-MX"/>
              </w:rPr>
              <w:t>N°</w:t>
            </w:r>
          </w:p>
        </w:tc>
        <w:tc>
          <w:tcPr>
            <w:tcW w:w="9400" w:type="dxa"/>
          </w:tcPr>
          <w:p w14:paraId="16926F9B" w14:textId="77777777" w:rsidR="00561B22" w:rsidRPr="00FC29F1" w:rsidRDefault="00561B22" w:rsidP="00F1223B">
            <w:pPr>
              <w:jc w:val="center"/>
              <w:rPr>
                <w:rFonts w:ascii="Arial" w:hAnsi="Arial" w:cs="Arial"/>
                <w:b/>
                <w:sz w:val="22"/>
                <w:szCs w:val="22"/>
                <w:lang w:val="es-MX"/>
              </w:rPr>
            </w:pPr>
            <w:r w:rsidRPr="00FC29F1">
              <w:rPr>
                <w:rFonts w:ascii="Arial" w:hAnsi="Arial" w:cs="Arial"/>
                <w:b/>
                <w:sz w:val="22"/>
                <w:szCs w:val="22"/>
                <w:lang w:val="es-MX"/>
              </w:rPr>
              <w:t>DEBILIDADES</w:t>
            </w:r>
          </w:p>
          <w:p w14:paraId="0AD04B47" w14:textId="77777777" w:rsidR="00561B22" w:rsidRPr="00FC29F1" w:rsidRDefault="00561B22" w:rsidP="00F1223B">
            <w:pPr>
              <w:jc w:val="center"/>
              <w:rPr>
                <w:rFonts w:ascii="Arial" w:hAnsi="Arial" w:cs="Arial"/>
                <w:b/>
                <w:sz w:val="22"/>
                <w:szCs w:val="22"/>
                <w:lang w:val="es-MX"/>
              </w:rPr>
            </w:pPr>
          </w:p>
        </w:tc>
      </w:tr>
      <w:tr w:rsidR="00561B22" w:rsidRPr="00FC29F1" w14:paraId="3402B954" w14:textId="77777777" w:rsidTr="00F1223B">
        <w:tc>
          <w:tcPr>
            <w:tcW w:w="562" w:type="dxa"/>
          </w:tcPr>
          <w:p w14:paraId="24A4B863" w14:textId="77777777" w:rsidR="00561B22" w:rsidRPr="00FC29F1" w:rsidRDefault="00561B22" w:rsidP="00F1223B">
            <w:pPr>
              <w:jc w:val="center"/>
              <w:rPr>
                <w:rFonts w:ascii="Arial" w:hAnsi="Arial" w:cs="Arial"/>
                <w:b/>
                <w:sz w:val="22"/>
                <w:szCs w:val="22"/>
                <w:lang w:val="es-MX"/>
              </w:rPr>
            </w:pPr>
            <w:r w:rsidRPr="00FC29F1">
              <w:rPr>
                <w:rFonts w:ascii="Arial" w:hAnsi="Arial" w:cs="Arial"/>
                <w:b/>
                <w:sz w:val="22"/>
                <w:szCs w:val="22"/>
                <w:lang w:val="es-MX"/>
              </w:rPr>
              <w:t>1</w:t>
            </w:r>
          </w:p>
        </w:tc>
        <w:tc>
          <w:tcPr>
            <w:tcW w:w="9400" w:type="dxa"/>
            <w:vAlign w:val="center"/>
          </w:tcPr>
          <w:p w14:paraId="5E4263FD" w14:textId="77777777" w:rsidR="00561B22" w:rsidRPr="00FC29F1" w:rsidRDefault="00561B22" w:rsidP="00F1223B">
            <w:pPr>
              <w:jc w:val="both"/>
              <w:rPr>
                <w:rFonts w:ascii="Arial" w:hAnsi="Arial" w:cs="Arial"/>
                <w:b/>
                <w:sz w:val="22"/>
                <w:szCs w:val="22"/>
                <w:lang w:val="es-MX"/>
              </w:rPr>
            </w:pPr>
            <w:r w:rsidRPr="00FC29F1">
              <w:rPr>
                <w:rFonts w:ascii="Arial" w:hAnsi="Arial" w:cs="Arial"/>
                <w:sz w:val="22"/>
                <w:szCs w:val="22"/>
              </w:rPr>
              <w:t>Se evidencia que no se cuenta con procedimientos y/o formatos estandarizados en el Sistema de Gestión Integral, que permitan articular la información producida por los subprocesos Talento Humano, Tesorería y el proceso de Técnica Operativa, para realizar las respectivas conciliaciones entre estas oficinas y la Unidad de Contabilidad.</w:t>
            </w:r>
          </w:p>
        </w:tc>
      </w:tr>
    </w:tbl>
    <w:p w14:paraId="678C8BE0" w14:textId="77777777" w:rsidR="00561B22" w:rsidRPr="00FC29F1" w:rsidRDefault="00561B22" w:rsidP="00561B22">
      <w:pPr>
        <w:pStyle w:val="Textoindependiente"/>
        <w:ind w:right="-50"/>
        <w:jc w:val="both"/>
        <w:rPr>
          <w:rFonts w:ascii="Arial" w:hAnsi="Arial" w:cs="Arial"/>
          <w:b/>
          <w:bCs/>
        </w:rPr>
      </w:pPr>
    </w:p>
    <w:p w14:paraId="15DF11B4" w14:textId="77777777" w:rsidR="00561B22" w:rsidRPr="00FC29F1" w:rsidRDefault="00561B22" w:rsidP="00561B22">
      <w:pPr>
        <w:jc w:val="both"/>
        <w:rPr>
          <w:rFonts w:ascii="Arial" w:hAnsi="Arial" w:cs="Arial"/>
          <w:b/>
          <w:lang w:val="es-MX"/>
        </w:rPr>
      </w:pPr>
      <w:r w:rsidRPr="00FC29F1">
        <w:rPr>
          <w:rFonts w:ascii="Arial" w:hAnsi="Arial" w:cs="Arial"/>
          <w:b/>
          <w:lang w:val="es-MX"/>
        </w:rPr>
        <w:t>Del citado informe retomamos las siguientes recomendaciones:</w:t>
      </w:r>
    </w:p>
    <w:p w14:paraId="29B6ED80" w14:textId="77777777" w:rsidR="00561B22" w:rsidRPr="00FC29F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C29F1" w14:paraId="03A0E99F" w14:textId="77777777" w:rsidTr="00F1223B">
        <w:tc>
          <w:tcPr>
            <w:tcW w:w="562" w:type="dxa"/>
          </w:tcPr>
          <w:p w14:paraId="69C2096F" w14:textId="77777777" w:rsidR="00561B22" w:rsidRPr="00FC29F1" w:rsidRDefault="00561B22" w:rsidP="00F1223B">
            <w:pPr>
              <w:ind w:right="-109"/>
              <w:jc w:val="center"/>
              <w:rPr>
                <w:rFonts w:ascii="Arial" w:hAnsi="Arial" w:cs="Arial"/>
                <w:b/>
                <w:sz w:val="22"/>
                <w:szCs w:val="22"/>
                <w:lang w:val="es-MX"/>
              </w:rPr>
            </w:pPr>
            <w:r w:rsidRPr="00FC29F1">
              <w:rPr>
                <w:rFonts w:ascii="Arial" w:hAnsi="Arial" w:cs="Arial"/>
                <w:b/>
                <w:sz w:val="22"/>
                <w:szCs w:val="22"/>
                <w:lang w:val="es-MX"/>
              </w:rPr>
              <w:t>N°</w:t>
            </w:r>
          </w:p>
        </w:tc>
        <w:tc>
          <w:tcPr>
            <w:tcW w:w="9400" w:type="dxa"/>
          </w:tcPr>
          <w:p w14:paraId="53F0E188" w14:textId="77777777" w:rsidR="00561B22" w:rsidRPr="00FC29F1" w:rsidRDefault="00561B22" w:rsidP="00F1223B">
            <w:pPr>
              <w:jc w:val="center"/>
              <w:rPr>
                <w:rFonts w:ascii="Arial" w:hAnsi="Arial" w:cs="Arial"/>
                <w:b/>
                <w:sz w:val="22"/>
                <w:szCs w:val="22"/>
                <w:lang w:val="es-MX"/>
              </w:rPr>
            </w:pPr>
            <w:r w:rsidRPr="00FC29F1">
              <w:rPr>
                <w:rFonts w:ascii="Arial" w:hAnsi="Arial" w:cs="Arial"/>
                <w:b/>
                <w:sz w:val="22"/>
                <w:szCs w:val="22"/>
                <w:lang w:val="es-MX"/>
              </w:rPr>
              <w:t>RECOMENDACIONES</w:t>
            </w:r>
          </w:p>
          <w:p w14:paraId="5B09020F" w14:textId="77777777" w:rsidR="00561B22" w:rsidRPr="00FC29F1" w:rsidRDefault="00561B22" w:rsidP="00F1223B">
            <w:pPr>
              <w:jc w:val="center"/>
              <w:rPr>
                <w:rFonts w:ascii="Arial" w:hAnsi="Arial" w:cs="Arial"/>
                <w:b/>
                <w:sz w:val="22"/>
                <w:szCs w:val="22"/>
                <w:lang w:val="es-MX"/>
              </w:rPr>
            </w:pPr>
          </w:p>
        </w:tc>
      </w:tr>
      <w:tr w:rsidR="00561B22" w:rsidRPr="00FC29F1" w14:paraId="02368879" w14:textId="77777777" w:rsidTr="00F1223B">
        <w:tc>
          <w:tcPr>
            <w:tcW w:w="562" w:type="dxa"/>
          </w:tcPr>
          <w:p w14:paraId="4F2F2904" w14:textId="77777777" w:rsidR="00561B22" w:rsidRPr="00FC29F1" w:rsidRDefault="00561B22" w:rsidP="00F1223B">
            <w:pPr>
              <w:jc w:val="center"/>
              <w:rPr>
                <w:rFonts w:ascii="Arial" w:hAnsi="Arial" w:cs="Arial"/>
                <w:b/>
                <w:sz w:val="22"/>
                <w:szCs w:val="22"/>
                <w:lang w:val="es-MX"/>
              </w:rPr>
            </w:pPr>
            <w:r w:rsidRPr="00FC29F1">
              <w:rPr>
                <w:rFonts w:ascii="Arial" w:hAnsi="Arial" w:cs="Arial"/>
                <w:b/>
                <w:sz w:val="22"/>
                <w:szCs w:val="22"/>
                <w:lang w:val="es-MX"/>
              </w:rPr>
              <w:t>1</w:t>
            </w:r>
          </w:p>
        </w:tc>
        <w:tc>
          <w:tcPr>
            <w:tcW w:w="9400" w:type="dxa"/>
          </w:tcPr>
          <w:p w14:paraId="5F455764" w14:textId="77777777" w:rsidR="00561B22" w:rsidRPr="00FC29F1" w:rsidRDefault="00561B22" w:rsidP="00F1223B">
            <w:pPr>
              <w:jc w:val="both"/>
              <w:rPr>
                <w:rFonts w:ascii="Arial" w:hAnsi="Arial" w:cs="Arial"/>
                <w:b/>
                <w:sz w:val="22"/>
                <w:szCs w:val="22"/>
                <w:lang w:val="es-MX"/>
              </w:rPr>
            </w:pPr>
            <w:r w:rsidRPr="00FC29F1">
              <w:rPr>
                <w:rFonts w:ascii="Arial" w:hAnsi="Arial" w:cs="Arial"/>
                <w:sz w:val="22"/>
                <w:szCs w:val="22"/>
              </w:rPr>
              <w:t>Se recomienda establecer formatos estandarizados y debidamente codificados para el proceso de conciliación de los diferentes procesos que se articulan con la Unidad de Contabilidad.</w:t>
            </w:r>
          </w:p>
        </w:tc>
      </w:tr>
    </w:tbl>
    <w:p w14:paraId="011E4814" w14:textId="77777777" w:rsidR="00561B22" w:rsidRPr="00FC29F1" w:rsidRDefault="00561B22" w:rsidP="00561B22">
      <w:pPr>
        <w:pStyle w:val="Textoindependiente"/>
        <w:ind w:right="-50"/>
        <w:jc w:val="both"/>
        <w:rPr>
          <w:rFonts w:ascii="Arial" w:hAnsi="Arial" w:cs="Arial"/>
          <w:b/>
          <w:bCs/>
          <w:sz w:val="28"/>
          <w:szCs w:val="28"/>
        </w:rPr>
      </w:pPr>
    </w:p>
    <w:p w14:paraId="01BFCAA3" w14:textId="77777777" w:rsidR="00561B22" w:rsidRPr="00FC29F1" w:rsidRDefault="00561B22" w:rsidP="00561B22">
      <w:pPr>
        <w:jc w:val="both"/>
        <w:rPr>
          <w:rFonts w:ascii="Arial" w:hAnsi="Arial" w:cs="Arial"/>
          <w:b/>
          <w:bCs/>
          <w:sz w:val="24"/>
          <w:szCs w:val="24"/>
          <w:lang w:val="es-CO"/>
        </w:rPr>
      </w:pPr>
      <w:r w:rsidRPr="00FC29F1">
        <w:rPr>
          <w:rFonts w:ascii="Arial" w:hAnsi="Arial" w:cs="Arial"/>
          <w:b/>
          <w:bCs/>
          <w:sz w:val="24"/>
          <w:szCs w:val="24"/>
          <w:lang w:val="es-CO"/>
        </w:rPr>
        <w:t xml:space="preserve">NOTA: LA ENTIDAD ENVIA LA MATRIZ DE AUTOEVALUACIÓN DEL SISTEMA DE CONTROL INTERNO CONTABLE CON </w:t>
      </w:r>
      <w:r w:rsidRPr="00FC29F1">
        <w:rPr>
          <w:rFonts w:ascii="Arial" w:hAnsi="Arial" w:cs="Arial"/>
          <w:b/>
          <w:bCs/>
          <w:sz w:val="24"/>
          <w:szCs w:val="24"/>
          <w:u w:val="single"/>
          <w:lang w:val="es-CO"/>
        </w:rPr>
        <w:t xml:space="preserve">ACTIVIDADES DE CONTROL REALIZADAS EN </w:t>
      </w:r>
      <w:r w:rsidRPr="00FC29F1">
        <w:rPr>
          <w:rFonts w:ascii="Arial" w:hAnsi="Arial" w:cs="Arial"/>
          <w:b/>
          <w:bCs/>
          <w:sz w:val="24"/>
          <w:szCs w:val="24"/>
          <w:u w:val="single"/>
          <w:lang w:val="es-CO"/>
        </w:rPr>
        <w:lastRenderedPageBreak/>
        <w:t>FORMA PARCIAL</w:t>
      </w:r>
      <w:r w:rsidRPr="00FC29F1">
        <w:rPr>
          <w:rFonts w:ascii="Arial" w:hAnsi="Arial" w:cs="Arial"/>
          <w:b/>
          <w:bCs/>
          <w:sz w:val="24"/>
          <w:szCs w:val="24"/>
          <w:lang w:val="es-CO"/>
        </w:rPr>
        <w:t>.</w:t>
      </w:r>
    </w:p>
    <w:p w14:paraId="35CD8F80" w14:textId="77777777" w:rsidR="00561B22" w:rsidRPr="00FC29F1" w:rsidRDefault="00561B22" w:rsidP="00561B22">
      <w:pPr>
        <w:pStyle w:val="Textoindependiente"/>
        <w:ind w:right="-50"/>
        <w:jc w:val="both"/>
        <w:rPr>
          <w:rFonts w:ascii="Arial" w:hAnsi="Arial" w:cs="Arial"/>
          <w:b/>
          <w:bCs/>
          <w:sz w:val="28"/>
          <w:szCs w:val="28"/>
        </w:rPr>
      </w:pPr>
    </w:p>
    <w:p w14:paraId="2A06E260" w14:textId="77777777" w:rsidR="00561B22" w:rsidRPr="00903AF7" w:rsidRDefault="00561B22" w:rsidP="00561B22">
      <w:pPr>
        <w:jc w:val="both"/>
        <w:rPr>
          <w:rFonts w:ascii="Arial" w:hAnsi="Arial" w:cs="Arial"/>
          <w:b/>
          <w:sz w:val="28"/>
          <w:szCs w:val="28"/>
          <w:lang w:val="es-MX"/>
        </w:rPr>
      </w:pPr>
      <w:r w:rsidRPr="00903AF7">
        <w:rPr>
          <w:rFonts w:ascii="Arial" w:hAnsi="Arial" w:cs="Arial"/>
          <w:b/>
          <w:sz w:val="28"/>
          <w:szCs w:val="28"/>
          <w:lang w:val="es-MX"/>
        </w:rPr>
        <w:t>94.- CORPORACIÓN AUTÓNOMA REGIONAL DE RISARALDA - CARDER.</w:t>
      </w:r>
    </w:p>
    <w:p w14:paraId="65273465" w14:textId="77777777" w:rsidR="00561B22" w:rsidRDefault="00561B22" w:rsidP="00561B22">
      <w:pPr>
        <w:jc w:val="both"/>
        <w:rPr>
          <w:rFonts w:ascii="Arial" w:hAnsi="Arial" w:cs="Arial"/>
          <w:b/>
          <w:sz w:val="28"/>
          <w:szCs w:val="28"/>
          <w:lang w:val="es-MX"/>
        </w:rPr>
      </w:pPr>
    </w:p>
    <w:p w14:paraId="2C11F763" w14:textId="77777777" w:rsidR="00561B22" w:rsidRPr="00903AF7" w:rsidRDefault="00561B22" w:rsidP="00561B22">
      <w:pPr>
        <w:pStyle w:val="Textoindependiente"/>
        <w:ind w:right="-50"/>
        <w:jc w:val="center"/>
        <w:rPr>
          <w:rFonts w:ascii="Arial" w:hAnsi="Arial" w:cs="Arial"/>
          <w:b/>
          <w:bCs/>
        </w:rPr>
      </w:pPr>
      <w:r w:rsidRPr="00903AF7">
        <w:rPr>
          <w:rFonts w:ascii="Arial" w:hAnsi="Arial" w:cs="Arial"/>
          <w:b/>
          <w:bCs/>
        </w:rPr>
        <w:t>INFORME DE LA AUTOCALIFICACIÓN DEL SISTEMA DE CONTROL INTERNO CONTABLE:</w:t>
      </w:r>
    </w:p>
    <w:p w14:paraId="484C4BA2" w14:textId="77777777" w:rsidR="00561B22" w:rsidRPr="00903AF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03AF7" w14:paraId="46E3ED46" w14:textId="77777777" w:rsidTr="00F1223B">
        <w:tc>
          <w:tcPr>
            <w:tcW w:w="4981" w:type="dxa"/>
          </w:tcPr>
          <w:p w14:paraId="31FE684F"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AUTOCALIFICACIÓN</w:t>
            </w:r>
          </w:p>
        </w:tc>
        <w:tc>
          <w:tcPr>
            <w:tcW w:w="4981" w:type="dxa"/>
          </w:tcPr>
          <w:p w14:paraId="07F46C1B" w14:textId="77777777" w:rsidR="00561B22" w:rsidRPr="00903AF7" w:rsidRDefault="00561B22" w:rsidP="00F1223B">
            <w:pPr>
              <w:jc w:val="center"/>
              <w:rPr>
                <w:rFonts w:ascii="Arial" w:hAnsi="Arial" w:cs="Arial"/>
                <w:b/>
                <w:sz w:val="22"/>
                <w:szCs w:val="22"/>
                <w:u w:val="single"/>
                <w:lang w:val="es-MX"/>
              </w:rPr>
            </w:pPr>
            <w:r w:rsidRPr="00903AF7">
              <w:rPr>
                <w:rFonts w:ascii="Arial" w:hAnsi="Arial" w:cs="Arial"/>
                <w:b/>
                <w:sz w:val="22"/>
                <w:szCs w:val="22"/>
                <w:u w:val="single"/>
                <w:lang w:val="es-MX"/>
              </w:rPr>
              <w:t>4.84</w:t>
            </w:r>
          </w:p>
        </w:tc>
      </w:tr>
    </w:tbl>
    <w:p w14:paraId="31126960" w14:textId="77777777" w:rsidR="00561B22" w:rsidRPr="00903AF7" w:rsidRDefault="00561B22" w:rsidP="00561B22">
      <w:pPr>
        <w:pStyle w:val="Textoindependiente"/>
        <w:ind w:right="-50"/>
        <w:jc w:val="both"/>
        <w:rPr>
          <w:rFonts w:ascii="Arial" w:hAnsi="Arial" w:cs="Arial"/>
          <w:b/>
          <w:bCs/>
        </w:rPr>
      </w:pPr>
    </w:p>
    <w:p w14:paraId="2A6164A3" w14:textId="77777777" w:rsidR="00561B22" w:rsidRPr="00903AF7" w:rsidRDefault="00561B22" w:rsidP="00561B22">
      <w:pPr>
        <w:pStyle w:val="Textoindependiente"/>
        <w:ind w:right="-50"/>
        <w:jc w:val="both"/>
        <w:rPr>
          <w:rFonts w:ascii="Arial" w:hAnsi="Arial" w:cs="Arial"/>
          <w:b/>
          <w:bCs/>
        </w:rPr>
      </w:pPr>
      <w:r w:rsidRPr="00903AF7">
        <w:rPr>
          <w:rFonts w:ascii="Arial" w:hAnsi="Arial" w:cs="Arial"/>
          <w:b/>
          <w:bCs/>
        </w:rPr>
        <w:t>Del informe enviado retomamos lo siguiente:</w:t>
      </w:r>
    </w:p>
    <w:p w14:paraId="755E961B" w14:textId="77777777" w:rsidR="00561B22" w:rsidRPr="00903AF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03AF7" w14:paraId="063C00C7" w14:textId="77777777" w:rsidTr="00F1223B">
        <w:tc>
          <w:tcPr>
            <w:tcW w:w="562" w:type="dxa"/>
          </w:tcPr>
          <w:p w14:paraId="48B1824B" w14:textId="77777777" w:rsidR="00561B22" w:rsidRPr="00903AF7" w:rsidRDefault="00561B22" w:rsidP="00F1223B">
            <w:pPr>
              <w:ind w:right="-109"/>
              <w:jc w:val="center"/>
              <w:rPr>
                <w:rFonts w:ascii="Arial" w:hAnsi="Arial" w:cs="Arial"/>
                <w:b/>
                <w:sz w:val="22"/>
                <w:szCs w:val="22"/>
                <w:lang w:val="es-MX"/>
              </w:rPr>
            </w:pPr>
            <w:r w:rsidRPr="00903AF7">
              <w:rPr>
                <w:rFonts w:ascii="Arial" w:hAnsi="Arial" w:cs="Arial"/>
                <w:b/>
                <w:sz w:val="22"/>
                <w:szCs w:val="22"/>
                <w:lang w:val="es-MX"/>
              </w:rPr>
              <w:t>N°</w:t>
            </w:r>
          </w:p>
        </w:tc>
        <w:tc>
          <w:tcPr>
            <w:tcW w:w="9400" w:type="dxa"/>
          </w:tcPr>
          <w:p w14:paraId="5CE05415"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DEBILIDADES</w:t>
            </w:r>
          </w:p>
          <w:p w14:paraId="2506857E" w14:textId="77777777" w:rsidR="00561B22" w:rsidRPr="00903AF7" w:rsidRDefault="00561B22" w:rsidP="00F1223B">
            <w:pPr>
              <w:jc w:val="center"/>
              <w:rPr>
                <w:rFonts w:ascii="Arial" w:hAnsi="Arial" w:cs="Arial"/>
                <w:b/>
                <w:sz w:val="22"/>
                <w:szCs w:val="22"/>
                <w:lang w:val="es-MX"/>
              </w:rPr>
            </w:pPr>
          </w:p>
        </w:tc>
      </w:tr>
      <w:tr w:rsidR="00561B22" w:rsidRPr="00903AF7" w14:paraId="1781A2A2" w14:textId="77777777" w:rsidTr="00F1223B">
        <w:tc>
          <w:tcPr>
            <w:tcW w:w="562" w:type="dxa"/>
          </w:tcPr>
          <w:p w14:paraId="46F68924"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1</w:t>
            </w:r>
          </w:p>
        </w:tc>
        <w:tc>
          <w:tcPr>
            <w:tcW w:w="9400" w:type="dxa"/>
          </w:tcPr>
          <w:p w14:paraId="7AF8026A" w14:textId="77777777" w:rsidR="00561B22" w:rsidRPr="00903AF7" w:rsidRDefault="00561B22" w:rsidP="00F1223B">
            <w:pPr>
              <w:widowControl/>
              <w:autoSpaceDE/>
              <w:autoSpaceDN/>
              <w:rPr>
                <w:rFonts w:ascii="Arial" w:eastAsia="Times New Roman" w:hAnsi="Arial" w:cs="Arial"/>
                <w:sz w:val="22"/>
                <w:szCs w:val="22"/>
                <w:lang w:val="es-CO"/>
              </w:rPr>
            </w:pPr>
            <w:r w:rsidRPr="00903AF7">
              <w:rPr>
                <w:rFonts w:ascii="Arial" w:hAnsi="Arial" w:cs="Arial"/>
                <w:sz w:val="22"/>
                <w:szCs w:val="22"/>
              </w:rPr>
              <w:t xml:space="preserve">Entrega inoportuna de las fuentes de información que alimentan el proceso de contabilidad y los estados financieros.  </w:t>
            </w:r>
          </w:p>
        </w:tc>
      </w:tr>
      <w:tr w:rsidR="00561B22" w:rsidRPr="00903AF7" w14:paraId="213F0EF5" w14:textId="77777777" w:rsidTr="00F1223B">
        <w:tc>
          <w:tcPr>
            <w:tcW w:w="562" w:type="dxa"/>
          </w:tcPr>
          <w:p w14:paraId="6348D9B8"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2</w:t>
            </w:r>
          </w:p>
        </w:tc>
        <w:tc>
          <w:tcPr>
            <w:tcW w:w="9400" w:type="dxa"/>
          </w:tcPr>
          <w:p w14:paraId="7CD562DF" w14:textId="77777777" w:rsidR="00561B22" w:rsidRPr="00903AF7" w:rsidRDefault="00561B22" w:rsidP="00F1223B">
            <w:pPr>
              <w:rPr>
                <w:rFonts w:ascii="Arial" w:hAnsi="Arial" w:cs="Arial"/>
                <w:b/>
                <w:sz w:val="22"/>
                <w:szCs w:val="22"/>
                <w:lang w:val="es-MX"/>
              </w:rPr>
            </w:pPr>
            <w:r w:rsidRPr="00903AF7">
              <w:rPr>
                <w:rFonts w:ascii="Arial" w:hAnsi="Arial" w:cs="Arial"/>
                <w:sz w:val="22"/>
                <w:szCs w:val="22"/>
              </w:rPr>
              <w:t>Se sigue trabajando con herramientas manuales.</w:t>
            </w:r>
          </w:p>
        </w:tc>
      </w:tr>
    </w:tbl>
    <w:p w14:paraId="0B2D8FEB" w14:textId="77777777" w:rsidR="00561B22" w:rsidRPr="00903AF7" w:rsidRDefault="00561B22" w:rsidP="00561B22">
      <w:pPr>
        <w:pStyle w:val="Textoindependiente"/>
        <w:ind w:right="-50"/>
        <w:jc w:val="both"/>
        <w:rPr>
          <w:rFonts w:ascii="Arial" w:hAnsi="Arial" w:cs="Arial"/>
          <w:b/>
          <w:bCs/>
        </w:rPr>
      </w:pPr>
    </w:p>
    <w:p w14:paraId="6DF6E5B6" w14:textId="77777777" w:rsidR="00561B22" w:rsidRPr="00903AF7" w:rsidRDefault="00561B22" w:rsidP="00561B22">
      <w:pPr>
        <w:jc w:val="both"/>
        <w:rPr>
          <w:rFonts w:ascii="Arial" w:hAnsi="Arial" w:cs="Arial"/>
          <w:b/>
          <w:lang w:val="es-MX"/>
        </w:rPr>
      </w:pPr>
      <w:r w:rsidRPr="00903AF7">
        <w:rPr>
          <w:rFonts w:ascii="Arial" w:hAnsi="Arial" w:cs="Arial"/>
          <w:b/>
          <w:lang w:val="es-MX"/>
        </w:rPr>
        <w:t>Del citado informe retomamos las siguientes recomendaciones:</w:t>
      </w:r>
    </w:p>
    <w:p w14:paraId="33D771ED" w14:textId="77777777" w:rsidR="00561B22" w:rsidRPr="00903AF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03AF7" w14:paraId="0D943406" w14:textId="77777777" w:rsidTr="00F1223B">
        <w:tc>
          <w:tcPr>
            <w:tcW w:w="562" w:type="dxa"/>
          </w:tcPr>
          <w:p w14:paraId="6B3A5FD8" w14:textId="77777777" w:rsidR="00561B22" w:rsidRPr="00903AF7" w:rsidRDefault="00561B22" w:rsidP="00F1223B">
            <w:pPr>
              <w:ind w:right="-109"/>
              <w:jc w:val="center"/>
              <w:rPr>
                <w:rFonts w:ascii="Arial" w:hAnsi="Arial" w:cs="Arial"/>
                <w:b/>
                <w:sz w:val="22"/>
                <w:szCs w:val="22"/>
                <w:lang w:val="es-MX"/>
              </w:rPr>
            </w:pPr>
            <w:r w:rsidRPr="00903AF7">
              <w:rPr>
                <w:rFonts w:ascii="Arial" w:hAnsi="Arial" w:cs="Arial"/>
                <w:b/>
                <w:sz w:val="22"/>
                <w:szCs w:val="22"/>
                <w:lang w:val="es-MX"/>
              </w:rPr>
              <w:t>N°</w:t>
            </w:r>
          </w:p>
        </w:tc>
        <w:tc>
          <w:tcPr>
            <w:tcW w:w="9400" w:type="dxa"/>
          </w:tcPr>
          <w:p w14:paraId="397BDE00"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RECOMENDACIONES</w:t>
            </w:r>
          </w:p>
          <w:p w14:paraId="60007BA4" w14:textId="77777777" w:rsidR="00561B22" w:rsidRPr="00903AF7" w:rsidRDefault="00561B22" w:rsidP="00F1223B">
            <w:pPr>
              <w:jc w:val="center"/>
              <w:rPr>
                <w:rFonts w:ascii="Arial" w:hAnsi="Arial" w:cs="Arial"/>
                <w:b/>
                <w:sz w:val="22"/>
                <w:szCs w:val="22"/>
                <w:lang w:val="es-MX"/>
              </w:rPr>
            </w:pPr>
          </w:p>
        </w:tc>
      </w:tr>
      <w:tr w:rsidR="00561B22" w:rsidRPr="00903AF7" w14:paraId="4F5D1190" w14:textId="77777777" w:rsidTr="00F1223B">
        <w:tc>
          <w:tcPr>
            <w:tcW w:w="562" w:type="dxa"/>
          </w:tcPr>
          <w:p w14:paraId="099C7DCF"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1</w:t>
            </w:r>
          </w:p>
        </w:tc>
        <w:tc>
          <w:tcPr>
            <w:tcW w:w="9400" w:type="dxa"/>
          </w:tcPr>
          <w:p w14:paraId="53932772" w14:textId="77777777" w:rsidR="00561B22" w:rsidRPr="00903AF7" w:rsidRDefault="00561B22" w:rsidP="00F1223B">
            <w:pPr>
              <w:widowControl/>
              <w:autoSpaceDE/>
              <w:autoSpaceDN/>
              <w:jc w:val="both"/>
              <w:rPr>
                <w:rFonts w:ascii="Arial" w:eastAsia="Times New Roman" w:hAnsi="Arial" w:cs="Arial"/>
                <w:sz w:val="22"/>
                <w:szCs w:val="22"/>
                <w:lang w:val="es-CO"/>
              </w:rPr>
            </w:pPr>
            <w:r w:rsidRPr="00903AF7">
              <w:rPr>
                <w:rFonts w:ascii="Arial" w:hAnsi="Arial" w:cs="Arial"/>
                <w:sz w:val="22"/>
                <w:szCs w:val="22"/>
              </w:rPr>
              <w:t xml:space="preserve">Promover el autocontrol de las fuentes de información, la adquisición de conciencia y entendimiento de la responsabilidad en el reporte oportuno de los hechos económicos a contabilidad para el reconocimiento en los estados financieros. </w:t>
            </w:r>
          </w:p>
        </w:tc>
      </w:tr>
      <w:tr w:rsidR="00561B22" w:rsidRPr="00903AF7" w14:paraId="50802F59" w14:textId="77777777" w:rsidTr="00F1223B">
        <w:tc>
          <w:tcPr>
            <w:tcW w:w="562" w:type="dxa"/>
          </w:tcPr>
          <w:p w14:paraId="4077904A"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2</w:t>
            </w:r>
          </w:p>
        </w:tc>
        <w:tc>
          <w:tcPr>
            <w:tcW w:w="9400" w:type="dxa"/>
          </w:tcPr>
          <w:p w14:paraId="45E72B98" w14:textId="77777777" w:rsidR="00561B22" w:rsidRPr="00903AF7" w:rsidRDefault="00561B22" w:rsidP="00F1223B">
            <w:pPr>
              <w:jc w:val="both"/>
              <w:rPr>
                <w:rFonts w:ascii="Arial" w:hAnsi="Arial" w:cs="Arial"/>
                <w:b/>
                <w:sz w:val="22"/>
                <w:szCs w:val="22"/>
                <w:lang w:val="es-MX"/>
              </w:rPr>
            </w:pPr>
            <w:r w:rsidRPr="00903AF7">
              <w:rPr>
                <w:rFonts w:ascii="Arial" w:hAnsi="Arial" w:cs="Arial"/>
                <w:sz w:val="22"/>
                <w:szCs w:val="22"/>
              </w:rPr>
              <w:t xml:space="preserve">Fortalecer las herramientas tecnológicas para minimizar el trabajo manual y generación de información en tiempo real. </w:t>
            </w:r>
          </w:p>
        </w:tc>
      </w:tr>
      <w:tr w:rsidR="00561B22" w:rsidRPr="00903AF7" w14:paraId="3B9D56AD" w14:textId="77777777" w:rsidTr="00F1223B">
        <w:tc>
          <w:tcPr>
            <w:tcW w:w="562" w:type="dxa"/>
          </w:tcPr>
          <w:p w14:paraId="60A54DF6" w14:textId="77777777" w:rsidR="00561B22" w:rsidRPr="00903AF7" w:rsidRDefault="00561B22" w:rsidP="00F1223B">
            <w:pPr>
              <w:jc w:val="center"/>
              <w:rPr>
                <w:rFonts w:ascii="Arial" w:hAnsi="Arial" w:cs="Arial"/>
                <w:b/>
                <w:sz w:val="22"/>
                <w:szCs w:val="22"/>
                <w:lang w:val="es-MX"/>
              </w:rPr>
            </w:pPr>
            <w:r w:rsidRPr="00903AF7">
              <w:rPr>
                <w:rFonts w:ascii="Arial" w:hAnsi="Arial" w:cs="Arial"/>
                <w:b/>
                <w:sz w:val="22"/>
                <w:szCs w:val="22"/>
                <w:lang w:val="es-MX"/>
              </w:rPr>
              <w:t>3</w:t>
            </w:r>
          </w:p>
        </w:tc>
        <w:tc>
          <w:tcPr>
            <w:tcW w:w="9400" w:type="dxa"/>
          </w:tcPr>
          <w:p w14:paraId="40ACAE09" w14:textId="77777777" w:rsidR="00561B22" w:rsidRPr="00903AF7" w:rsidRDefault="00561B22" w:rsidP="00F1223B">
            <w:pPr>
              <w:rPr>
                <w:rFonts w:ascii="Arial" w:hAnsi="Arial" w:cs="Arial"/>
                <w:b/>
                <w:sz w:val="22"/>
                <w:szCs w:val="22"/>
                <w:lang w:val="es-MX"/>
              </w:rPr>
            </w:pPr>
            <w:r w:rsidRPr="00903AF7">
              <w:rPr>
                <w:rFonts w:ascii="Arial" w:hAnsi="Arial" w:cs="Arial"/>
                <w:sz w:val="22"/>
                <w:szCs w:val="22"/>
              </w:rPr>
              <w:t>Trabajo permanente para el entendimiento del proceso y las responsabilidades por parte del equipo de trabajo y del líder del proceso.</w:t>
            </w:r>
          </w:p>
        </w:tc>
      </w:tr>
    </w:tbl>
    <w:p w14:paraId="1E1308A9" w14:textId="77777777" w:rsidR="00561B22" w:rsidRPr="00903AF7" w:rsidRDefault="00561B22" w:rsidP="00561B22">
      <w:pPr>
        <w:pStyle w:val="Textoindependiente"/>
        <w:ind w:right="-50"/>
        <w:jc w:val="both"/>
        <w:rPr>
          <w:rFonts w:ascii="Arial" w:hAnsi="Arial" w:cs="Arial"/>
          <w:b/>
          <w:bCs/>
        </w:rPr>
      </w:pPr>
    </w:p>
    <w:p w14:paraId="5B3FFEC1" w14:textId="77777777" w:rsidR="00561B22" w:rsidRPr="00903AF7" w:rsidRDefault="00561B22" w:rsidP="00561B22">
      <w:pPr>
        <w:jc w:val="both"/>
        <w:rPr>
          <w:rFonts w:ascii="Arial" w:hAnsi="Arial" w:cs="Arial"/>
          <w:b/>
          <w:bCs/>
          <w:sz w:val="24"/>
          <w:szCs w:val="24"/>
          <w:lang w:val="es-CO"/>
        </w:rPr>
      </w:pPr>
      <w:r w:rsidRPr="00903AF7">
        <w:rPr>
          <w:rFonts w:ascii="Arial" w:hAnsi="Arial" w:cs="Arial"/>
          <w:b/>
          <w:bCs/>
          <w:sz w:val="24"/>
          <w:szCs w:val="24"/>
          <w:lang w:val="es-CO"/>
        </w:rPr>
        <w:t xml:space="preserve">NOTA: LA ENTIDAD ENVIA LA MATRIZ DE AUTOEVALUACIÓN DEL SISTEMA DE CONTROL INTERNO CONTABLE CON </w:t>
      </w:r>
      <w:r w:rsidRPr="00903AF7">
        <w:rPr>
          <w:rFonts w:ascii="Arial" w:hAnsi="Arial" w:cs="Arial"/>
          <w:b/>
          <w:bCs/>
          <w:sz w:val="24"/>
          <w:szCs w:val="24"/>
          <w:u w:val="single"/>
          <w:lang w:val="es-CO"/>
        </w:rPr>
        <w:t>ACTIVIDADES DE CONTROL REALIZADAS EN FORMA PARCIAL</w:t>
      </w:r>
      <w:r w:rsidRPr="00903AF7">
        <w:rPr>
          <w:rFonts w:ascii="Arial" w:hAnsi="Arial" w:cs="Arial"/>
          <w:b/>
          <w:bCs/>
          <w:sz w:val="24"/>
          <w:szCs w:val="24"/>
          <w:lang w:val="es-CO"/>
        </w:rPr>
        <w:t>.</w:t>
      </w:r>
    </w:p>
    <w:p w14:paraId="411D1744" w14:textId="77777777" w:rsidR="00561B22" w:rsidRPr="00903AF7" w:rsidRDefault="00561B22" w:rsidP="00561B22">
      <w:pPr>
        <w:pStyle w:val="Textoindependiente"/>
        <w:ind w:right="-50"/>
        <w:jc w:val="both"/>
        <w:rPr>
          <w:rFonts w:ascii="Arial" w:hAnsi="Arial" w:cs="Arial"/>
          <w:b/>
          <w:bCs/>
          <w:sz w:val="28"/>
          <w:szCs w:val="28"/>
        </w:rPr>
      </w:pPr>
    </w:p>
    <w:p w14:paraId="14126DCA" w14:textId="77777777" w:rsidR="00561B22" w:rsidRPr="004C6BD4" w:rsidRDefault="00561B22" w:rsidP="00561B22">
      <w:pPr>
        <w:jc w:val="both"/>
        <w:rPr>
          <w:rFonts w:ascii="Arial" w:hAnsi="Arial" w:cs="Arial"/>
          <w:b/>
          <w:sz w:val="32"/>
          <w:szCs w:val="32"/>
        </w:rPr>
      </w:pPr>
      <w:r w:rsidRPr="004C6BD4">
        <w:rPr>
          <w:rFonts w:ascii="Arial" w:hAnsi="Arial" w:cs="Arial"/>
          <w:b/>
          <w:sz w:val="28"/>
          <w:szCs w:val="28"/>
          <w:lang w:val="es-MX"/>
        </w:rPr>
        <w:t xml:space="preserve">95.- </w:t>
      </w:r>
      <w:r w:rsidRPr="004C6BD4">
        <w:rPr>
          <w:rFonts w:ascii="Arial" w:hAnsi="Arial" w:cs="Arial"/>
          <w:b/>
          <w:sz w:val="28"/>
          <w:szCs w:val="28"/>
        </w:rPr>
        <w:t>ELECTRIFICADORA DEL CAQUETÁ S.A. E.S.P. – ELECTROCAQUETÁ.</w:t>
      </w:r>
    </w:p>
    <w:p w14:paraId="220A88F2" w14:textId="77777777" w:rsidR="00561B22" w:rsidRPr="00903AF7" w:rsidRDefault="00561B22" w:rsidP="00561B22">
      <w:pPr>
        <w:jc w:val="both"/>
        <w:rPr>
          <w:rFonts w:ascii="Arial" w:hAnsi="Arial" w:cs="Arial"/>
          <w:b/>
          <w:sz w:val="28"/>
          <w:szCs w:val="28"/>
        </w:rPr>
      </w:pPr>
    </w:p>
    <w:p w14:paraId="093465FD" w14:textId="77777777" w:rsidR="00561B22" w:rsidRPr="004C6BD4" w:rsidRDefault="00561B22" w:rsidP="00561B22">
      <w:pPr>
        <w:pStyle w:val="Textoindependiente"/>
        <w:ind w:right="-50"/>
        <w:jc w:val="center"/>
        <w:rPr>
          <w:rFonts w:ascii="Arial" w:hAnsi="Arial" w:cs="Arial"/>
          <w:b/>
          <w:bCs/>
        </w:rPr>
      </w:pPr>
      <w:r w:rsidRPr="004C6BD4">
        <w:rPr>
          <w:rFonts w:ascii="Arial" w:hAnsi="Arial" w:cs="Arial"/>
          <w:b/>
          <w:bCs/>
        </w:rPr>
        <w:t>INFORME DE LA AUTOCALIFICACIÓN DEL SISTEMA DE CONTROL INTERNO CONTABLE:</w:t>
      </w:r>
    </w:p>
    <w:p w14:paraId="3A39459F" w14:textId="77777777" w:rsidR="00561B22" w:rsidRPr="004C6BD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C6BD4" w14:paraId="7C4173CF" w14:textId="77777777" w:rsidTr="00F1223B">
        <w:tc>
          <w:tcPr>
            <w:tcW w:w="4981" w:type="dxa"/>
          </w:tcPr>
          <w:p w14:paraId="4230ACC5"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AUTOCALIFICACIÓN</w:t>
            </w:r>
          </w:p>
        </w:tc>
        <w:tc>
          <w:tcPr>
            <w:tcW w:w="4981" w:type="dxa"/>
          </w:tcPr>
          <w:p w14:paraId="6060CA65" w14:textId="77777777" w:rsidR="00561B22" w:rsidRPr="004C6BD4" w:rsidRDefault="00561B22" w:rsidP="00F1223B">
            <w:pPr>
              <w:jc w:val="center"/>
              <w:rPr>
                <w:rFonts w:ascii="Arial" w:hAnsi="Arial" w:cs="Arial"/>
                <w:b/>
                <w:sz w:val="22"/>
                <w:szCs w:val="22"/>
                <w:u w:val="single"/>
                <w:lang w:val="es-MX"/>
              </w:rPr>
            </w:pPr>
            <w:r w:rsidRPr="004C6BD4">
              <w:rPr>
                <w:rFonts w:ascii="Arial" w:hAnsi="Arial" w:cs="Arial"/>
                <w:b/>
                <w:sz w:val="22"/>
                <w:szCs w:val="22"/>
                <w:u w:val="single"/>
                <w:lang w:val="es-MX"/>
              </w:rPr>
              <w:t>4.96</w:t>
            </w:r>
          </w:p>
        </w:tc>
      </w:tr>
    </w:tbl>
    <w:p w14:paraId="7604B459" w14:textId="77777777" w:rsidR="00561B22" w:rsidRPr="004C6BD4" w:rsidRDefault="00561B22" w:rsidP="00561B22">
      <w:pPr>
        <w:pStyle w:val="Textoindependiente"/>
        <w:ind w:right="-50"/>
        <w:jc w:val="both"/>
        <w:rPr>
          <w:rFonts w:ascii="Arial" w:hAnsi="Arial" w:cs="Arial"/>
          <w:b/>
          <w:bCs/>
        </w:rPr>
      </w:pPr>
    </w:p>
    <w:p w14:paraId="2D87A6C1" w14:textId="77777777" w:rsidR="00561B22" w:rsidRPr="004C6BD4" w:rsidRDefault="00561B22" w:rsidP="00561B22">
      <w:pPr>
        <w:pStyle w:val="Textoindependiente"/>
        <w:ind w:right="-50"/>
        <w:jc w:val="both"/>
        <w:rPr>
          <w:rFonts w:ascii="Arial" w:hAnsi="Arial" w:cs="Arial"/>
          <w:b/>
          <w:bCs/>
        </w:rPr>
      </w:pPr>
      <w:r w:rsidRPr="004C6BD4">
        <w:rPr>
          <w:rFonts w:ascii="Arial" w:hAnsi="Arial" w:cs="Arial"/>
          <w:b/>
          <w:bCs/>
        </w:rPr>
        <w:t>Del informe enviado retomamos lo siguiente:</w:t>
      </w:r>
    </w:p>
    <w:p w14:paraId="48150DA8" w14:textId="77777777" w:rsidR="00561B22" w:rsidRPr="004C6BD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C6BD4" w14:paraId="204A19E8" w14:textId="77777777" w:rsidTr="00F1223B">
        <w:tc>
          <w:tcPr>
            <w:tcW w:w="562" w:type="dxa"/>
          </w:tcPr>
          <w:p w14:paraId="6AB9D42C" w14:textId="77777777" w:rsidR="00561B22" w:rsidRPr="004C6BD4" w:rsidRDefault="00561B22" w:rsidP="00F1223B">
            <w:pPr>
              <w:ind w:right="-109"/>
              <w:jc w:val="center"/>
              <w:rPr>
                <w:rFonts w:ascii="Arial" w:hAnsi="Arial" w:cs="Arial"/>
                <w:b/>
                <w:sz w:val="22"/>
                <w:szCs w:val="22"/>
                <w:lang w:val="es-MX"/>
              </w:rPr>
            </w:pPr>
            <w:r w:rsidRPr="004C6BD4">
              <w:rPr>
                <w:rFonts w:ascii="Arial" w:hAnsi="Arial" w:cs="Arial"/>
                <w:b/>
                <w:sz w:val="22"/>
                <w:szCs w:val="22"/>
                <w:lang w:val="es-MX"/>
              </w:rPr>
              <w:t>N°</w:t>
            </w:r>
          </w:p>
        </w:tc>
        <w:tc>
          <w:tcPr>
            <w:tcW w:w="9400" w:type="dxa"/>
          </w:tcPr>
          <w:p w14:paraId="760D9CA2"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DEBILIDADES</w:t>
            </w:r>
          </w:p>
          <w:p w14:paraId="033EEE56" w14:textId="77777777" w:rsidR="00561B22" w:rsidRPr="004C6BD4" w:rsidRDefault="00561B22" w:rsidP="00F1223B">
            <w:pPr>
              <w:jc w:val="center"/>
              <w:rPr>
                <w:rFonts w:ascii="Arial" w:hAnsi="Arial" w:cs="Arial"/>
                <w:b/>
                <w:sz w:val="22"/>
                <w:szCs w:val="22"/>
                <w:lang w:val="es-MX"/>
              </w:rPr>
            </w:pPr>
          </w:p>
        </w:tc>
      </w:tr>
      <w:tr w:rsidR="00561B22" w:rsidRPr="004C6BD4" w14:paraId="3520D72E" w14:textId="77777777" w:rsidTr="00F1223B">
        <w:tc>
          <w:tcPr>
            <w:tcW w:w="562" w:type="dxa"/>
          </w:tcPr>
          <w:p w14:paraId="55D0A9C1"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1</w:t>
            </w:r>
          </w:p>
        </w:tc>
        <w:tc>
          <w:tcPr>
            <w:tcW w:w="9400" w:type="dxa"/>
          </w:tcPr>
          <w:p w14:paraId="410D451A" w14:textId="77777777" w:rsidR="00561B22" w:rsidRPr="004C6BD4" w:rsidRDefault="00561B22" w:rsidP="00F1223B">
            <w:pPr>
              <w:widowControl/>
              <w:autoSpaceDE/>
              <w:autoSpaceDN/>
              <w:jc w:val="both"/>
              <w:rPr>
                <w:rFonts w:ascii="Arial" w:hAnsi="Arial" w:cs="Arial"/>
                <w:b/>
                <w:sz w:val="22"/>
                <w:szCs w:val="22"/>
                <w:lang w:val="es-CO"/>
              </w:rPr>
            </w:pPr>
            <w:r w:rsidRPr="004C6BD4">
              <w:rPr>
                <w:rFonts w:ascii="Arial" w:hAnsi="Arial" w:cs="Arial"/>
                <w:color w:val="000000"/>
                <w:sz w:val="22"/>
                <w:szCs w:val="22"/>
              </w:rPr>
              <w:t>A pesar de contar con procedimientos e instructivos en el Sistema Integrado de Gestión que garantizan un cierre integral de la información producida en las áreas que generan hechos económicos, es primordial reiterarles a las otras dependencias la importancia de suministrar la información a tiempo para realizar los informes y un cierre exitoso.</w:t>
            </w:r>
          </w:p>
        </w:tc>
      </w:tr>
      <w:tr w:rsidR="00561B22" w:rsidRPr="004C6BD4" w14:paraId="4A2227AE" w14:textId="77777777" w:rsidTr="00F1223B">
        <w:tc>
          <w:tcPr>
            <w:tcW w:w="562" w:type="dxa"/>
          </w:tcPr>
          <w:p w14:paraId="47EBC64B"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2</w:t>
            </w:r>
          </w:p>
        </w:tc>
        <w:tc>
          <w:tcPr>
            <w:tcW w:w="9400" w:type="dxa"/>
          </w:tcPr>
          <w:p w14:paraId="3B230922" w14:textId="77777777" w:rsidR="00561B22" w:rsidRPr="004C6BD4" w:rsidRDefault="00561B22" w:rsidP="00F1223B">
            <w:pPr>
              <w:widowControl/>
              <w:autoSpaceDE/>
              <w:autoSpaceDN/>
              <w:jc w:val="both"/>
              <w:rPr>
                <w:rFonts w:ascii="Arial" w:eastAsia="Times New Roman" w:hAnsi="Arial" w:cs="Arial"/>
                <w:color w:val="000000"/>
                <w:sz w:val="22"/>
                <w:szCs w:val="22"/>
                <w:lang w:val="es-CO"/>
              </w:rPr>
            </w:pPr>
            <w:r w:rsidRPr="004C6BD4">
              <w:rPr>
                <w:rFonts w:ascii="Arial" w:hAnsi="Arial" w:cs="Arial"/>
                <w:color w:val="000000"/>
                <w:sz w:val="22"/>
                <w:szCs w:val="22"/>
              </w:rPr>
              <w:t>En cuanto a lineamientos para realizar periódicamente el cruce de información falta integración sistematizada de la totalidad de los procesos o áreas que confluyen en la contabilidad.</w:t>
            </w:r>
          </w:p>
        </w:tc>
      </w:tr>
    </w:tbl>
    <w:p w14:paraId="1B591F3F" w14:textId="77777777" w:rsidR="00561B22" w:rsidRPr="004C6BD4" w:rsidRDefault="00561B22" w:rsidP="00561B22">
      <w:pPr>
        <w:pStyle w:val="Textoindependiente"/>
        <w:ind w:right="-50"/>
        <w:jc w:val="both"/>
        <w:rPr>
          <w:rFonts w:ascii="Arial" w:hAnsi="Arial" w:cs="Arial"/>
          <w:b/>
          <w:bCs/>
        </w:rPr>
      </w:pPr>
    </w:p>
    <w:p w14:paraId="45106FFB" w14:textId="77777777" w:rsidR="00561B22" w:rsidRPr="004C6BD4" w:rsidRDefault="00561B22" w:rsidP="00561B22">
      <w:pPr>
        <w:jc w:val="both"/>
        <w:rPr>
          <w:rFonts w:ascii="Arial" w:hAnsi="Arial" w:cs="Arial"/>
          <w:b/>
          <w:lang w:val="es-MX"/>
        </w:rPr>
      </w:pPr>
      <w:r w:rsidRPr="004C6BD4">
        <w:rPr>
          <w:rFonts w:ascii="Arial" w:hAnsi="Arial" w:cs="Arial"/>
          <w:b/>
          <w:lang w:val="es-MX"/>
        </w:rPr>
        <w:t>Del citado informe retomamos las siguientes recomendaciones:</w:t>
      </w:r>
    </w:p>
    <w:p w14:paraId="22A4BD96" w14:textId="77777777" w:rsidR="00561B22" w:rsidRPr="004C6BD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C6BD4" w14:paraId="3D9A0058" w14:textId="77777777" w:rsidTr="00F1223B">
        <w:tc>
          <w:tcPr>
            <w:tcW w:w="562" w:type="dxa"/>
          </w:tcPr>
          <w:p w14:paraId="2509EF52" w14:textId="77777777" w:rsidR="00561B22" w:rsidRPr="004C6BD4" w:rsidRDefault="00561B22" w:rsidP="00F1223B">
            <w:pPr>
              <w:ind w:right="-109"/>
              <w:jc w:val="center"/>
              <w:rPr>
                <w:rFonts w:ascii="Arial" w:hAnsi="Arial" w:cs="Arial"/>
                <w:b/>
                <w:sz w:val="22"/>
                <w:szCs w:val="22"/>
                <w:lang w:val="es-MX"/>
              </w:rPr>
            </w:pPr>
            <w:r w:rsidRPr="004C6BD4">
              <w:rPr>
                <w:rFonts w:ascii="Arial" w:hAnsi="Arial" w:cs="Arial"/>
                <w:b/>
                <w:sz w:val="22"/>
                <w:szCs w:val="22"/>
                <w:lang w:val="es-MX"/>
              </w:rPr>
              <w:t>N°</w:t>
            </w:r>
          </w:p>
        </w:tc>
        <w:tc>
          <w:tcPr>
            <w:tcW w:w="9400" w:type="dxa"/>
          </w:tcPr>
          <w:p w14:paraId="092EEFBD"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RECOMENDACIONES</w:t>
            </w:r>
          </w:p>
          <w:p w14:paraId="68AFDC0E" w14:textId="77777777" w:rsidR="00561B22" w:rsidRPr="004C6BD4" w:rsidRDefault="00561B22" w:rsidP="00F1223B">
            <w:pPr>
              <w:jc w:val="center"/>
              <w:rPr>
                <w:rFonts w:ascii="Arial" w:hAnsi="Arial" w:cs="Arial"/>
                <w:b/>
                <w:sz w:val="22"/>
                <w:szCs w:val="22"/>
                <w:lang w:val="es-MX"/>
              </w:rPr>
            </w:pPr>
          </w:p>
        </w:tc>
      </w:tr>
      <w:tr w:rsidR="00561B22" w:rsidRPr="004C6BD4" w14:paraId="58A278A9" w14:textId="77777777" w:rsidTr="00F1223B">
        <w:tc>
          <w:tcPr>
            <w:tcW w:w="562" w:type="dxa"/>
          </w:tcPr>
          <w:p w14:paraId="580C0217"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1</w:t>
            </w:r>
          </w:p>
        </w:tc>
        <w:tc>
          <w:tcPr>
            <w:tcW w:w="9400" w:type="dxa"/>
          </w:tcPr>
          <w:p w14:paraId="5FB90931" w14:textId="77777777" w:rsidR="00561B22" w:rsidRPr="004C6BD4" w:rsidRDefault="00561B22" w:rsidP="00F1223B">
            <w:pPr>
              <w:widowControl/>
              <w:autoSpaceDE/>
              <w:autoSpaceDN/>
              <w:jc w:val="both"/>
              <w:rPr>
                <w:rFonts w:ascii="Arial" w:hAnsi="Arial" w:cs="Arial"/>
                <w:b/>
                <w:sz w:val="22"/>
                <w:szCs w:val="22"/>
                <w:lang w:val="es-CO"/>
              </w:rPr>
            </w:pPr>
            <w:r w:rsidRPr="004C6BD4">
              <w:rPr>
                <w:rFonts w:ascii="Arial" w:hAnsi="Arial" w:cs="Arial"/>
                <w:color w:val="000000"/>
                <w:sz w:val="22"/>
                <w:szCs w:val="22"/>
              </w:rPr>
              <w:t xml:space="preserve">Es esencial que los funcionarios responsables del proceso contable se mantengan al día y apliquen de forma estricta las normativas que rigen este procedimiento. De esta forma, es necesario fortalecer la cultura de autocontrol entre los profesionales implicados, con el propósito de asegurar la integridad de la información y promover una mejora continua en la eficiencia del proceso contable. </w:t>
            </w:r>
          </w:p>
        </w:tc>
      </w:tr>
      <w:tr w:rsidR="00561B22" w:rsidRPr="004C6BD4" w14:paraId="50422247" w14:textId="77777777" w:rsidTr="00F1223B">
        <w:tc>
          <w:tcPr>
            <w:tcW w:w="562" w:type="dxa"/>
          </w:tcPr>
          <w:p w14:paraId="6BFBDFC1" w14:textId="77777777" w:rsidR="00561B22" w:rsidRPr="004C6BD4" w:rsidRDefault="00561B22" w:rsidP="00F1223B">
            <w:pPr>
              <w:jc w:val="center"/>
              <w:rPr>
                <w:rFonts w:ascii="Arial" w:hAnsi="Arial" w:cs="Arial"/>
                <w:b/>
                <w:sz w:val="22"/>
                <w:szCs w:val="22"/>
                <w:lang w:val="es-MX"/>
              </w:rPr>
            </w:pPr>
            <w:r w:rsidRPr="004C6BD4">
              <w:rPr>
                <w:rFonts w:ascii="Arial" w:hAnsi="Arial" w:cs="Arial"/>
                <w:b/>
                <w:sz w:val="22"/>
                <w:szCs w:val="22"/>
                <w:lang w:val="es-MX"/>
              </w:rPr>
              <w:t>2</w:t>
            </w:r>
          </w:p>
        </w:tc>
        <w:tc>
          <w:tcPr>
            <w:tcW w:w="9400" w:type="dxa"/>
          </w:tcPr>
          <w:p w14:paraId="38C3F2B0" w14:textId="77777777" w:rsidR="00561B22" w:rsidRPr="004C6BD4" w:rsidRDefault="00561B22" w:rsidP="00F1223B">
            <w:pPr>
              <w:widowControl/>
              <w:autoSpaceDE/>
              <w:autoSpaceDN/>
              <w:jc w:val="both"/>
              <w:rPr>
                <w:rFonts w:ascii="Arial" w:eastAsia="Times New Roman" w:hAnsi="Arial" w:cs="Arial"/>
                <w:color w:val="000000"/>
                <w:sz w:val="22"/>
                <w:szCs w:val="22"/>
                <w:lang w:val="es-CO"/>
              </w:rPr>
            </w:pPr>
            <w:r w:rsidRPr="004C6BD4">
              <w:rPr>
                <w:rFonts w:ascii="Arial" w:hAnsi="Arial" w:cs="Arial"/>
                <w:color w:val="000000"/>
                <w:sz w:val="22"/>
                <w:szCs w:val="22"/>
              </w:rPr>
              <w:t>De igual manera, se debe continuar aplicando los procedimientos, manuales, instructivos, formatos y documentos de apoyo implementados en el SIG, con la finalidad de garantizar la efectividad de los mismos y asegurar que se mantenga la calidad en todas las etapas del proceso contable, contribuyendo de esta forma con la transparencia, la precisión y la eficiencia, lo cuales son elementos clave para un sistema contable sólido y confiable.</w:t>
            </w:r>
          </w:p>
        </w:tc>
      </w:tr>
    </w:tbl>
    <w:p w14:paraId="1429DD8E" w14:textId="77777777" w:rsidR="00561B22" w:rsidRPr="004C6BD4" w:rsidRDefault="00561B22" w:rsidP="00561B22">
      <w:pPr>
        <w:pStyle w:val="Textoindependiente"/>
        <w:ind w:right="-50"/>
        <w:jc w:val="both"/>
        <w:rPr>
          <w:rFonts w:ascii="Arial" w:hAnsi="Arial" w:cs="Arial"/>
          <w:b/>
          <w:bCs/>
        </w:rPr>
      </w:pPr>
    </w:p>
    <w:p w14:paraId="2525494F" w14:textId="77777777" w:rsidR="00561B22" w:rsidRPr="004C6BD4" w:rsidRDefault="00561B22" w:rsidP="00561B22">
      <w:pPr>
        <w:jc w:val="both"/>
        <w:rPr>
          <w:rFonts w:ascii="Arial" w:hAnsi="Arial" w:cs="Arial"/>
          <w:b/>
          <w:bCs/>
          <w:sz w:val="24"/>
          <w:szCs w:val="24"/>
          <w:lang w:val="es-CO"/>
        </w:rPr>
      </w:pPr>
      <w:r w:rsidRPr="004C6BD4">
        <w:rPr>
          <w:rFonts w:ascii="Arial" w:hAnsi="Arial" w:cs="Arial"/>
          <w:b/>
          <w:bCs/>
          <w:sz w:val="24"/>
          <w:szCs w:val="24"/>
          <w:lang w:val="es-CO"/>
        </w:rPr>
        <w:t xml:space="preserve">NOTA: LA ENTIDAD ENVIA LA MATRIZ DE AUTOEVALUACIÓN DEL SISTEMA DE CONTROL INTERNO CONTABLE CON </w:t>
      </w:r>
      <w:r w:rsidRPr="004C6BD4">
        <w:rPr>
          <w:rFonts w:ascii="Arial" w:hAnsi="Arial" w:cs="Arial"/>
          <w:b/>
          <w:bCs/>
          <w:sz w:val="24"/>
          <w:szCs w:val="24"/>
          <w:u w:val="single"/>
          <w:lang w:val="es-CO"/>
        </w:rPr>
        <w:t>ACTIVIDADES DE CONTROL REALIZADAS EN FORMA PARCIAL</w:t>
      </w:r>
      <w:r w:rsidRPr="004C6BD4">
        <w:rPr>
          <w:rFonts w:ascii="Arial" w:hAnsi="Arial" w:cs="Arial"/>
          <w:b/>
          <w:bCs/>
          <w:sz w:val="24"/>
          <w:szCs w:val="24"/>
          <w:lang w:val="es-CO"/>
        </w:rPr>
        <w:t>.</w:t>
      </w:r>
    </w:p>
    <w:p w14:paraId="227A226F" w14:textId="77777777" w:rsidR="00561B22" w:rsidRDefault="00561B22" w:rsidP="00561B22">
      <w:pPr>
        <w:pStyle w:val="Textoindependiente"/>
        <w:ind w:right="-50"/>
        <w:jc w:val="both"/>
        <w:rPr>
          <w:b/>
          <w:bCs/>
          <w:sz w:val="28"/>
          <w:szCs w:val="28"/>
        </w:rPr>
      </w:pPr>
    </w:p>
    <w:p w14:paraId="4287C1C8" w14:textId="77777777" w:rsidR="00561B22" w:rsidRPr="00BC49C7" w:rsidRDefault="00561B22" w:rsidP="00561B22">
      <w:pPr>
        <w:ind w:right="49"/>
        <w:jc w:val="both"/>
        <w:rPr>
          <w:rFonts w:ascii="Arial" w:hAnsi="Arial" w:cs="Arial"/>
          <w:b/>
          <w:sz w:val="28"/>
          <w:szCs w:val="28"/>
          <w:lang w:val="es-MX"/>
        </w:rPr>
      </w:pPr>
      <w:r w:rsidRPr="00BC49C7">
        <w:rPr>
          <w:rFonts w:ascii="Arial" w:hAnsi="Arial" w:cs="Arial"/>
          <w:b/>
          <w:sz w:val="28"/>
          <w:szCs w:val="28"/>
          <w:lang w:val="es-MX"/>
        </w:rPr>
        <w:t xml:space="preserve">96.- </w:t>
      </w:r>
      <w:r w:rsidRPr="00BC49C7">
        <w:rPr>
          <w:rFonts w:ascii="Arial" w:hAnsi="Arial" w:cs="Arial"/>
          <w:b/>
          <w:sz w:val="28"/>
          <w:szCs w:val="28"/>
        </w:rPr>
        <w:t>CORPORACIÓN NACIONAL PARA LA RECONSTRUCCIÒN DE LA CUENCA DEL RIO PAEZ Y ZONAS ALEDAÑAS - NASA KIWE.</w:t>
      </w:r>
    </w:p>
    <w:p w14:paraId="6D21FE1B" w14:textId="77777777" w:rsidR="00561B22" w:rsidRPr="00BC49C7" w:rsidRDefault="00561B22" w:rsidP="00561B22">
      <w:pPr>
        <w:pStyle w:val="Textoindependiente"/>
        <w:tabs>
          <w:tab w:val="left" w:pos="2055"/>
        </w:tabs>
        <w:spacing w:before="5"/>
        <w:rPr>
          <w:rFonts w:ascii="Arial" w:hAnsi="Arial" w:cs="Arial"/>
          <w:sz w:val="17"/>
          <w:lang w:val="es-MX"/>
        </w:rPr>
      </w:pPr>
    </w:p>
    <w:p w14:paraId="4C1E3397" w14:textId="77777777" w:rsidR="00561B22" w:rsidRPr="00BC49C7" w:rsidRDefault="00561B22" w:rsidP="00561B22">
      <w:pPr>
        <w:pStyle w:val="Textoindependiente"/>
        <w:ind w:right="-50"/>
        <w:jc w:val="center"/>
        <w:rPr>
          <w:rFonts w:ascii="Arial" w:hAnsi="Arial" w:cs="Arial"/>
          <w:b/>
          <w:bCs/>
        </w:rPr>
      </w:pPr>
      <w:r w:rsidRPr="00BC49C7">
        <w:rPr>
          <w:rFonts w:ascii="Arial" w:hAnsi="Arial" w:cs="Arial"/>
          <w:b/>
          <w:bCs/>
        </w:rPr>
        <w:t>INFORME DE LA AUTOCALIFICACIÓN DEL SISTEMA DE CONTROL INTERNO CONTABLE:</w:t>
      </w:r>
    </w:p>
    <w:p w14:paraId="3DAE0358" w14:textId="77777777" w:rsidR="00561B22" w:rsidRPr="00BC49C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C49C7" w14:paraId="022B388B" w14:textId="77777777" w:rsidTr="00F1223B">
        <w:tc>
          <w:tcPr>
            <w:tcW w:w="4981" w:type="dxa"/>
          </w:tcPr>
          <w:p w14:paraId="57C3187D"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AUTOCALIFICACIÓN</w:t>
            </w:r>
          </w:p>
        </w:tc>
        <w:tc>
          <w:tcPr>
            <w:tcW w:w="4981" w:type="dxa"/>
          </w:tcPr>
          <w:p w14:paraId="728F6539" w14:textId="77777777" w:rsidR="00561B22" w:rsidRPr="00BC49C7" w:rsidRDefault="00561B22" w:rsidP="00F1223B">
            <w:pPr>
              <w:jc w:val="center"/>
              <w:rPr>
                <w:rFonts w:ascii="Arial" w:hAnsi="Arial" w:cs="Arial"/>
                <w:b/>
                <w:sz w:val="22"/>
                <w:szCs w:val="22"/>
                <w:u w:val="single"/>
                <w:lang w:val="es-MX"/>
              </w:rPr>
            </w:pPr>
            <w:r w:rsidRPr="00BC49C7">
              <w:rPr>
                <w:rFonts w:ascii="Arial" w:hAnsi="Arial" w:cs="Arial"/>
                <w:b/>
                <w:sz w:val="22"/>
                <w:szCs w:val="22"/>
                <w:u w:val="single"/>
                <w:lang w:val="es-MX"/>
              </w:rPr>
              <w:t>4.71</w:t>
            </w:r>
          </w:p>
        </w:tc>
      </w:tr>
    </w:tbl>
    <w:p w14:paraId="4F24D149" w14:textId="77777777" w:rsidR="00561B22" w:rsidRPr="00BC49C7" w:rsidRDefault="00561B22" w:rsidP="00561B22">
      <w:pPr>
        <w:pStyle w:val="Textoindependiente"/>
        <w:ind w:right="-50"/>
        <w:jc w:val="both"/>
        <w:rPr>
          <w:rFonts w:ascii="Arial" w:hAnsi="Arial" w:cs="Arial"/>
          <w:b/>
          <w:bCs/>
        </w:rPr>
      </w:pPr>
    </w:p>
    <w:p w14:paraId="527DBE7A" w14:textId="77777777" w:rsidR="00561B22" w:rsidRPr="00BC49C7" w:rsidRDefault="00561B22" w:rsidP="00561B22">
      <w:pPr>
        <w:pStyle w:val="Textoindependiente"/>
        <w:ind w:right="-50"/>
        <w:jc w:val="both"/>
        <w:rPr>
          <w:rFonts w:ascii="Arial" w:hAnsi="Arial" w:cs="Arial"/>
          <w:b/>
          <w:bCs/>
        </w:rPr>
      </w:pPr>
      <w:r w:rsidRPr="00BC49C7">
        <w:rPr>
          <w:rFonts w:ascii="Arial" w:hAnsi="Arial" w:cs="Arial"/>
          <w:b/>
          <w:bCs/>
        </w:rPr>
        <w:t>Del informe enviado retomamos lo siguiente:</w:t>
      </w:r>
    </w:p>
    <w:p w14:paraId="3D0140D0" w14:textId="77777777" w:rsidR="00561B22" w:rsidRPr="00BC49C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C49C7" w14:paraId="5BC91F4F" w14:textId="77777777" w:rsidTr="00F1223B">
        <w:tc>
          <w:tcPr>
            <w:tcW w:w="562" w:type="dxa"/>
          </w:tcPr>
          <w:p w14:paraId="74203404" w14:textId="77777777" w:rsidR="00561B22" w:rsidRPr="00BC49C7" w:rsidRDefault="00561B22" w:rsidP="00F1223B">
            <w:pPr>
              <w:ind w:right="-109"/>
              <w:jc w:val="center"/>
              <w:rPr>
                <w:rFonts w:ascii="Arial" w:hAnsi="Arial" w:cs="Arial"/>
                <w:b/>
                <w:sz w:val="22"/>
                <w:szCs w:val="22"/>
                <w:lang w:val="es-MX"/>
              </w:rPr>
            </w:pPr>
            <w:r w:rsidRPr="00BC49C7">
              <w:rPr>
                <w:rFonts w:ascii="Arial" w:hAnsi="Arial" w:cs="Arial"/>
                <w:b/>
                <w:sz w:val="22"/>
                <w:szCs w:val="22"/>
                <w:lang w:val="es-MX"/>
              </w:rPr>
              <w:t>N°</w:t>
            </w:r>
          </w:p>
        </w:tc>
        <w:tc>
          <w:tcPr>
            <w:tcW w:w="9400" w:type="dxa"/>
          </w:tcPr>
          <w:p w14:paraId="12787019"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DEBILIDADES</w:t>
            </w:r>
          </w:p>
          <w:p w14:paraId="31711F43" w14:textId="77777777" w:rsidR="00561B22" w:rsidRPr="00BC49C7" w:rsidRDefault="00561B22" w:rsidP="00F1223B">
            <w:pPr>
              <w:jc w:val="center"/>
              <w:rPr>
                <w:rFonts w:ascii="Arial" w:hAnsi="Arial" w:cs="Arial"/>
                <w:b/>
                <w:sz w:val="22"/>
                <w:szCs w:val="22"/>
                <w:lang w:val="es-MX"/>
              </w:rPr>
            </w:pPr>
          </w:p>
        </w:tc>
      </w:tr>
      <w:tr w:rsidR="00561B22" w:rsidRPr="00BC49C7" w14:paraId="60540A35" w14:textId="77777777" w:rsidTr="00F1223B">
        <w:tc>
          <w:tcPr>
            <w:tcW w:w="562" w:type="dxa"/>
          </w:tcPr>
          <w:p w14:paraId="4DC30EF6"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1</w:t>
            </w:r>
          </w:p>
        </w:tc>
        <w:tc>
          <w:tcPr>
            <w:tcW w:w="9400" w:type="dxa"/>
          </w:tcPr>
          <w:p w14:paraId="4F21D779" w14:textId="77777777" w:rsidR="00561B22" w:rsidRPr="00BC49C7" w:rsidRDefault="00561B22" w:rsidP="00F1223B">
            <w:pPr>
              <w:pStyle w:val="ecxmsonormal"/>
              <w:shd w:val="clear" w:color="auto" w:fill="FFFFFF"/>
              <w:tabs>
                <w:tab w:val="left" w:pos="284"/>
              </w:tabs>
              <w:spacing w:after="0"/>
              <w:ind w:right="75"/>
              <w:jc w:val="both"/>
              <w:rPr>
                <w:rFonts w:ascii="Arial" w:hAnsi="Arial" w:cs="Arial"/>
                <w:sz w:val="22"/>
                <w:szCs w:val="22"/>
              </w:rPr>
            </w:pPr>
            <w:r w:rsidRPr="00BC49C7">
              <w:rPr>
                <w:rFonts w:ascii="Arial" w:hAnsi="Arial" w:cs="Arial"/>
                <w:sz w:val="22"/>
                <w:szCs w:val="22"/>
              </w:rPr>
              <w:t>En la vigencia 2024 no se revisó el Manual de Políticas Contables, versión 1, del 31/12/2017, con el fin de verificar que cumple con la normatividad vigente aplicable a la entidad, para garantizar que la información documentada asociada al proceso se mantiene actualizada de acuerdo con las nuevas realidades del proceso contable.</w:t>
            </w:r>
          </w:p>
        </w:tc>
      </w:tr>
      <w:tr w:rsidR="00561B22" w:rsidRPr="00BC49C7" w14:paraId="19B06B86" w14:textId="77777777" w:rsidTr="00F1223B">
        <w:tc>
          <w:tcPr>
            <w:tcW w:w="562" w:type="dxa"/>
          </w:tcPr>
          <w:p w14:paraId="13187783"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2</w:t>
            </w:r>
          </w:p>
        </w:tc>
        <w:tc>
          <w:tcPr>
            <w:tcW w:w="9400" w:type="dxa"/>
          </w:tcPr>
          <w:p w14:paraId="2CAD916A" w14:textId="77777777" w:rsidR="00561B22" w:rsidRPr="00BC49C7" w:rsidRDefault="00561B22" w:rsidP="00F1223B">
            <w:pPr>
              <w:pStyle w:val="ecxmsonormal"/>
              <w:shd w:val="clear" w:color="auto" w:fill="FFFFFF"/>
              <w:tabs>
                <w:tab w:val="left" w:pos="284"/>
              </w:tabs>
              <w:spacing w:after="0"/>
              <w:ind w:right="75"/>
              <w:jc w:val="both"/>
              <w:rPr>
                <w:rFonts w:ascii="Arial" w:hAnsi="Arial" w:cs="Arial"/>
                <w:sz w:val="22"/>
                <w:szCs w:val="22"/>
              </w:rPr>
            </w:pPr>
            <w:r w:rsidRPr="00BC49C7">
              <w:rPr>
                <w:rFonts w:ascii="Arial" w:hAnsi="Arial" w:cs="Arial"/>
                <w:sz w:val="22"/>
                <w:szCs w:val="22"/>
              </w:rPr>
              <w:t>El proceso de Gestión Financiera cuenta con 3 indicadores de gestión, sin embargo, no cuenta con un indicador de gestión contable por lo tanto es necesario considerar la creación de uno o más.</w:t>
            </w:r>
          </w:p>
        </w:tc>
      </w:tr>
    </w:tbl>
    <w:p w14:paraId="2019A941" w14:textId="77777777" w:rsidR="00561B22" w:rsidRPr="00BC49C7" w:rsidRDefault="00561B22" w:rsidP="00561B22">
      <w:pPr>
        <w:pStyle w:val="Textoindependiente"/>
        <w:ind w:right="-50"/>
        <w:jc w:val="both"/>
        <w:rPr>
          <w:rFonts w:ascii="Arial" w:hAnsi="Arial" w:cs="Arial"/>
          <w:b/>
          <w:bCs/>
        </w:rPr>
      </w:pPr>
    </w:p>
    <w:p w14:paraId="137EF796" w14:textId="77777777" w:rsidR="00561B22" w:rsidRPr="00BC49C7" w:rsidRDefault="00561B22" w:rsidP="00561B22">
      <w:pPr>
        <w:jc w:val="both"/>
        <w:rPr>
          <w:rFonts w:ascii="Arial" w:hAnsi="Arial" w:cs="Arial"/>
          <w:b/>
          <w:lang w:val="es-MX"/>
        </w:rPr>
      </w:pPr>
      <w:r w:rsidRPr="00BC49C7">
        <w:rPr>
          <w:rFonts w:ascii="Arial" w:hAnsi="Arial" w:cs="Arial"/>
          <w:b/>
          <w:lang w:val="es-MX"/>
        </w:rPr>
        <w:t>Del citado informe retomamos las siguientes recomendaciones:</w:t>
      </w:r>
    </w:p>
    <w:p w14:paraId="08ECE839" w14:textId="77777777" w:rsidR="00561B22" w:rsidRPr="00BC49C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C49C7" w14:paraId="5431DF7A" w14:textId="77777777" w:rsidTr="00F1223B">
        <w:tc>
          <w:tcPr>
            <w:tcW w:w="562" w:type="dxa"/>
          </w:tcPr>
          <w:p w14:paraId="03958510" w14:textId="77777777" w:rsidR="00561B22" w:rsidRPr="00BC49C7" w:rsidRDefault="00561B22" w:rsidP="00F1223B">
            <w:pPr>
              <w:ind w:right="-109"/>
              <w:jc w:val="center"/>
              <w:rPr>
                <w:rFonts w:ascii="Arial" w:hAnsi="Arial" w:cs="Arial"/>
                <w:b/>
                <w:sz w:val="22"/>
                <w:szCs w:val="22"/>
                <w:lang w:val="es-MX"/>
              </w:rPr>
            </w:pPr>
            <w:r w:rsidRPr="00BC49C7">
              <w:rPr>
                <w:rFonts w:ascii="Arial" w:hAnsi="Arial" w:cs="Arial"/>
                <w:b/>
                <w:sz w:val="22"/>
                <w:szCs w:val="22"/>
                <w:lang w:val="es-MX"/>
              </w:rPr>
              <w:t>N°</w:t>
            </w:r>
          </w:p>
        </w:tc>
        <w:tc>
          <w:tcPr>
            <w:tcW w:w="9400" w:type="dxa"/>
          </w:tcPr>
          <w:p w14:paraId="1A1E6CB0"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RECOMENDACIONES</w:t>
            </w:r>
          </w:p>
          <w:p w14:paraId="1C3C666B" w14:textId="77777777" w:rsidR="00561B22" w:rsidRPr="00BC49C7" w:rsidRDefault="00561B22" w:rsidP="00F1223B">
            <w:pPr>
              <w:jc w:val="center"/>
              <w:rPr>
                <w:rFonts w:ascii="Arial" w:hAnsi="Arial" w:cs="Arial"/>
                <w:b/>
                <w:sz w:val="22"/>
                <w:szCs w:val="22"/>
                <w:lang w:val="es-MX"/>
              </w:rPr>
            </w:pPr>
          </w:p>
        </w:tc>
      </w:tr>
      <w:tr w:rsidR="00561B22" w:rsidRPr="00BC49C7" w14:paraId="76A71084" w14:textId="77777777" w:rsidTr="00F1223B">
        <w:tc>
          <w:tcPr>
            <w:tcW w:w="562" w:type="dxa"/>
          </w:tcPr>
          <w:p w14:paraId="18572589"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1</w:t>
            </w:r>
          </w:p>
        </w:tc>
        <w:tc>
          <w:tcPr>
            <w:tcW w:w="9400" w:type="dxa"/>
          </w:tcPr>
          <w:p w14:paraId="6247C6EB" w14:textId="77777777" w:rsidR="00561B22" w:rsidRPr="00BC49C7" w:rsidRDefault="00561B22" w:rsidP="00F1223B">
            <w:pPr>
              <w:pStyle w:val="ecxmsonormal"/>
              <w:shd w:val="clear" w:color="auto" w:fill="FFFFFF"/>
              <w:tabs>
                <w:tab w:val="left" w:pos="284"/>
              </w:tabs>
              <w:spacing w:after="0"/>
              <w:ind w:right="75"/>
              <w:jc w:val="both"/>
              <w:rPr>
                <w:rFonts w:ascii="Arial" w:hAnsi="Arial" w:cs="Arial"/>
                <w:sz w:val="22"/>
                <w:szCs w:val="22"/>
              </w:rPr>
            </w:pPr>
            <w:r w:rsidRPr="00BC49C7">
              <w:rPr>
                <w:rFonts w:ascii="Arial" w:hAnsi="Arial" w:cs="Arial"/>
                <w:sz w:val="22"/>
                <w:szCs w:val="22"/>
              </w:rPr>
              <w:t xml:space="preserve">Solicitar al proceso de Talento y Bienestar Humano, la inclusión en el Plan Institucional de Capacitación 2025, actividades específicas del proceso Contable.   </w:t>
            </w:r>
          </w:p>
        </w:tc>
      </w:tr>
      <w:tr w:rsidR="00561B22" w:rsidRPr="00BC49C7" w14:paraId="7A33A65D" w14:textId="77777777" w:rsidTr="00F1223B">
        <w:tc>
          <w:tcPr>
            <w:tcW w:w="562" w:type="dxa"/>
          </w:tcPr>
          <w:p w14:paraId="02318E6B"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2</w:t>
            </w:r>
          </w:p>
        </w:tc>
        <w:tc>
          <w:tcPr>
            <w:tcW w:w="9400" w:type="dxa"/>
          </w:tcPr>
          <w:p w14:paraId="42315917" w14:textId="77777777" w:rsidR="00561B22" w:rsidRPr="00BC49C7" w:rsidRDefault="00561B22" w:rsidP="00F1223B">
            <w:pPr>
              <w:pStyle w:val="ecxmsonormal"/>
              <w:shd w:val="clear" w:color="auto" w:fill="FFFFFF"/>
              <w:tabs>
                <w:tab w:val="left" w:pos="284"/>
              </w:tabs>
              <w:spacing w:after="0"/>
              <w:ind w:right="75"/>
              <w:jc w:val="both"/>
              <w:rPr>
                <w:rFonts w:ascii="Arial" w:hAnsi="Arial" w:cs="Arial"/>
                <w:sz w:val="22"/>
                <w:szCs w:val="22"/>
              </w:rPr>
            </w:pPr>
            <w:r w:rsidRPr="00BC49C7">
              <w:rPr>
                <w:rFonts w:ascii="Arial" w:hAnsi="Arial" w:cs="Arial"/>
                <w:sz w:val="22"/>
                <w:szCs w:val="22"/>
              </w:rPr>
              <w:t>Reportar la información relacionada con Indicadores de Gestión, Mapa de Riesgos de Gestión, entre otros, al proceso de Fortalecimiento de la Gestión Institucional en los tiempos establecidos con el fin de garantizar evaluación del desempeño del proceso y la adecuada toma de decisiones.</w:t>
            </w:r>
          </w:p>
        </w:tc>
      </w:tr>
      <w:tr w:rsidR="00561B22" w:rsidRPr="00BC49C7" w14:paraId="655CCBBE" w14:textId="77777777" w:rsidTr="00F1223B">
        <w:tc>
          <w:tcPr>
            <w:tcW w:w="562" w:type="dxa"/>
          </w:tcPr>
          <w:p w14:paraId="2A823AEB" w14:textId="77777777" w:rsidR="00561B22" w:rsidRPr="00BC49C7" w:rsidRDefault="00561B22" w:rsidP="00F1223B">
            <w:pPr>
              <w:jc w:val="center"/>
              <w:rPr>
                <w:rFonts w:ascii="Arial" w:hAnsi="Arial" w:cs="Arial"/>
                <w:b/>
                <w:sz w:val="22"/>
                <w:szCs w:val="22"/>
                <w:lang w:val="es-MX"/>
              </w:rPr>
            </w:pPr>
            <w:r w:rsidRPr="00BC49C7">
              <w:rPr>
                <w:rFonts w:ascii="Arial" w:hAnsi="Arial" w:cs="Arial"/>
                <w:b/>
                <w:sz w:val="22"/>
                <w:szCs w:val="22"/>
                <w:lang w:val="es-MX"/>
              </w:rPr>
              <w:t>3</w:t>
            </w:r>
          </w:p>
        </w:tc>
        <w:tc>
          <w:tcPr>
            <w:tcW w:w="9400" w:type="dxa"/>
          </w:tcPr>
          <w:p w14:paraId="611B0A08" w14:textId="77777777" w:rsidR="00561B22" w:rsidRPr="00BC49C7" w:rsidRDefault="00561B22" w:rsidP="00F1223B">
            <w:pPr>
              <w:ind w:right="75"/>
              <w:jc w:val="both"/>
              <w:rPr>
                <w:rFonts w:ascii="Arial" w:hAnsi="Arial" w:cs="Arial"/>
                <w:b/>
                <w:sz w:val="22"/>
                <w:szCs w:val="22"/>
                <w:lang w:val="es-MX"/>
              </w:rPr>
            </w:pPr>
            <w:r w:rsidRPr="00BC49C7">
              <w:rPr>
                <w:rFonts w:ascii="Arial" w:hAnsi="Arial" w:cs="Arial"/>
                <w:sz w:val="22"/>
                <w:szCs w:val="22"/>
              </w:rPr>
              <w:t>Validar con el área administrativa las gestiones que haya realizado para verificar el estado de la cuenta por cobrar de incapacidades y así poder ajustar los registros contables a que haya lugar dependiendo del informe que emita esta área con los cobros que se hagan a las EPS.</w:t>
            </w:r>
          </w:p>
        </w:tc>
      </w:tr>
    </w:tbl>
    <w:p w14:paraId="34011503" w14:textId="77777777" w:rsidR="00561B22" w:rsidRPr="00BC49C7" w:rsidRDefault="00561B22" w:rsidP="00561B22">
      <w:pPr>
        <w:pStyle w:val="Textoindependiente"/>
        <w:ind w:right="-50"/>
        <w:jc w:val="both"/>
        <w:rPr>
          <w:rFonts w:ascii="Arial" w:hAnsi="Arial" w:cs="Arial"/>
          <w:b/>
          <w:bCs/>
          <w:sz w:val="28"/>
          <w:szCs w:val="28"/>
        </w:rPr>
      </w:pPr>
    </w:p>
    <w:p w14:paraId="288FD787" w14:textId="77777777" w:rsidR="00561B22" w:rsidRPr="00BC49C7" w:rsidRDefault="00561B22" w:rsidP="00561B22">
      <w:pPr>
        <w:jc w:val="both"/>
        <w:rPr>
          <w:rFonts w:ascii="Arial" w:hAnsi="Arial" w:cs="Arial"/>
          <w:b/>
          <w:bCs/>
          <w:sz w:val="24"/>
          <w:szCs w:val="24"/>
          <w:lang w:val="es-CO"/>
        </w:rPr>
      </w:pPr>
      <w:r w:rsidRPr="00BC49C7">
        <w:rPr>
          <w:rFonts w:ascii="Arial" w:hAnsi="Arial" w:cs="Arial"/>
          <w:b/>
          <w:bCs/>
          <w:sz w:val="24"/>
          <w:szCs w:val="24"/>
          <w:lang w:val="es-CO"/>
        </w:rPr>
        <w:lastRenderedPageBreak/>
        <w:t xml:space="preserve">NOTA: LA ENTIDAD ENVIA LA MATRIZ DE AUTOEVALUACIÓN DEL SISTEMA DE CONTROL INTERNO CONTABLE CON ACTIVIDADES DE CONTROL REALIZADAS </w:t>
      </w:r>
      <w:r w:rsidRPr="00BC49C7">
        <w:rPr>
          <w:rFonts w:ascii="Arial" w:hAnsi="Arial" w:cs="Arial"/>
          <w:b/>
          <w:bCs/>
          <w:sz w:val="24"/>
          <w:szCs w:val="24"/>
          <w:u w:val="single"/>
          <w:lang w:val="es-CO"/>
        </w:rPr>
        <w:t>EN FORMA PARCIAL Y OTRAS SIMPLEMENTE INFORMAN QUE NO SE REALIZARON</w:t>
      </w:r>
      <w:r w:rsidRPr="00BC49C7">
        <w:rPr>
          <w:rFonts w:ascii="Arial" w:hAnsi="Arial" w:cs="Arial"/>
          <w:b/>
          <w:bCs/>
          <w:sz w:val="24"/>
          <w:szCs w:val="24"/>
          <w:lang w:val="es-CO"/>
        </w:rPr>
        <w:t>.</w:t>
      </w:r>
    </w:p>
    <w:p w14:paraId="314C1BCD" w14:textId="77777777" w:rsidR="00561B22" w:rsidRDefault="00561B22" w:rsidP="00561B22">
      <w:pPr>
        <w:pStyle w:val="Textoindependiente"/>
        <w:ind w:right="-50"/>
        <w:jc w:val="both"/>
        <w:rPr>
          <w:rFonts w:ascii="Arial" w:hAnsi="Arial" w:cs="Arial"/>
          <w:b/>
          <w:bCs/>
          <w:sz w:val="28"/>
          <w:szCs w:val="28"/>
          <w:lang w:val="es-CO"/>
        </w:rPr>
      </w:pPr>
    </w:p>
    <w:p w14:paraId="4FD3656F" w14:textId="77777777" w:rsidR="00561B22" w:rsidRPr="0070051F" w:rsidRDefault="00561B22" w:rsidP="00561B22">
      <w:pPr>
        <w:ind w:right="49"/>
        <w:jc w:val="both"/>
        <w:rPr>
          <w:rFonts w:ascii="Arial" w:hAnsi="Arial" w:cs="Arial"/>
          <w:b/>
          <w:sz w:val="28"/>
          <w:szCs w:val="28"/>
          <w:lang w:val="es-MX"/>
        </w:rPr>
      </w:pPr>
      <w:r w:rsidRPr="0070051F">
        <w:rPr>
          <w:rFonts w:ascii="Arial" w:hAnsi="Arial" w:cs="Arial"/>
          <w:b/>
          <w:sz w:val="28"/>
          <w:szCs w:val="28"/>
          <w:lang w:val="es-MX"/>
        </w:rPr>
        <w:t xml:space="preserve">97.- </w:t>
      </w:r>
      <w:r w:rsidRPr="0070051F">
        <w:rPr>
          <w:rFonts w:ascii="Arial" w:hAnsi="Arial" w:cs="Arial"/>
          <w:b/>
          <w:sz w:val="28"/>
          <w:szCs w:val="28"/>
        </w:rPr>
        <w:t xml:space="preserve">EMPRESA DE ENERGÍA DEL ARCHIPIELAGO DE SAN ANDRÉS, PROVIDENCIA Y SANTA CATALINA S.A.E.S.P. - EEDAS S.A.E.S.P. </w:t>
      </w:r>
    </w:p>
    <w:p w14:paraId="7BE7249E" w14:textId="77777777" w:rsidR="00561B22" w:rsidRDefault="00561B22" w:rsidP="00561B22">
      <w:pPr>
        <w:ind w:left="-284" w:right="49"/>
        <w:jc w:val="both"/>
        <w:rPr>
          <w:rFonts w:ascii="Arial" w:hAnsi="Arial" w:cs="Arial"/>
          <w:b/>
          <w:spacing w:val="-3"/>
          <w:sz w:val="24"/>
          <w:szCs w:val="24"/>
          <w:lang w:val="es-MX"/>
        </w:rPr>
      </w:pPr>
    </w:p>
    <w:p w14:paraId="6D74C4AC" w14:textId="77777777" w:rsidR="00561B22" w:rsidRPr="00696FD6" w:rsidRDefault="00561B22" w:rsidP="00561B22">
      <w:pPr>
        <w:pStyle w:val="Textoindependiente"/>
        <w:ind w:right="-50"/>
        <w:jc w:val="center"/>
        <w:rPr>
          <w:rFonts w:ascii="Arial" w:hAnsi="Arial" w:cs="Arial"/>
          <w:b/>
          <w:bCs/>
          <w:sz w:val="28"/>
          <w:szCs w:val="28"/>
        </w:rPr>
      </w:pPr>
      <w:r w:rsidRPr="00696FD6">
        <w:rPr>
          <w:rFonts w:ascii="Arial" w:hAnsi="Arial" w:cs="Arial"/>
          <w:b/>
          <w:bCs/>
          <w:sz w:val="28"/>
          <w:szCs w:val="28"/>
        </w:rPr>
        <w:t>INFORME DE LA AUTOCALIFICACIÓN DEL SISTEMA DE CONTROL INTERNO CONTABLE:</w:t>
      </w:r>
    </w:p>
    <w:p w14:paraId="33A9DD51" w14:textId="77777777" w:rsidR="00561B22" w:rsidRPr="00696FD6"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696FD6" w14:paraId="64D43B71" w14:textId="77777777" w:rsidTr="00F1223B">
        <w:tc>
          <w:tcPr>
            <w:tcW w:w="4981" w:type="dxa"/>
          </w:tcPr>
          <w:p w14:paraId="169C3662" w14:textId="77777777" w:rsidR="00561B22" w:rsidRPr="00696FD6" w:rsidRDefault="00561B22" w:rsidP="00F1223B">
            <w:pPr>
              <w:jc w:val="center"/>
              <w:rPr>
                <w:rFonts w:ascii="Arial" w:hAnsi="Arial" w:cs="Arial"/>
                <w:b/>
                <w:sz w:val="24"/>
                <w:szCs w:val="24"/>
                <w:lang w:val="es-MX"/>
              </w:rPr>
            </w:pPr>
            <w:r w:rsidRPr="00696FD6">
              <w:rPr>
                <w:rFonts w:ascii="Arial" w:hAnsi="Arial" w:cs="Arial"/>
                <w:b/>
                <w:sz w:val="24"/>
                <w:szCs w:val="24"/>
                <w:lang w:val="es-MX"/>
              </w:rPr>
              <w:t>AUTOCALIFICACIÓN</w:t>
            </w:r>
          </w:p>
        </w:tc>
        <w:tc>
          <w:tcPr>
            <w:tcW w:w="4981" w:type="dxa"/>
          </w:tcPr>
          <w:p w14:paraId="01DF0BCC" w14:textId="77777777" w:rsidR="00561B22" w:rsidRPr="00696FD6" w:rsidRDefault="00561B22" w:rsidP="00F1223B">
            <w:pPr>
              <w:jc w:val="center"/>
              <w:rPr>
                <w:rFonts w:ascii="Arial" w:hAnsi="Arial" w:cs="Arial"/>
                <w:b/>
                <w:sz w:val="24"/>
                <w:szCs w:val="24"/>
                <w:u w:val="single"/>
                <w:lang w:val="es-MX"/>
              </w:rPr>
            </w:pPr>
            <w:r w:rsidRPr="00696FD6">
              <w:rPr>
                <w:rFonts w:ascii="Arial" w:hAnsi="Arial" w:cs="Arial"/>
                <w:b/>
                <w:sz w:val="24"/>
                <w:szCs w:val="24"/>
                <w:u w:val="single"/>
                <w:lang w:val="es-MX"/>
              </w:rPr>
              <w:t>5.00</w:t>
            </w:r>
          </w:p>
        </w:tc>
      </w:tr>
    </w:tbl>
    <w:p w14:paraId="3CF94FF2" w14:textId="77777777" w:rsidR="00561B22" w:rsidRPr="00696FD6" w:rsidRDefault="00561B22" w:rsidP="00561B22">
      <w:pPr>
        <w:pStyle w:val="Textoindependiente"/>
        <w:ind w:right="-50"/>
        <w:jc w:val="both"/>
        <w:rPr>
          <w:rFonts w:ascii="Arial" w:hAnsi="Arial" w:cs="Arial"/>
          <w:b/>
          <w:bCs/>
          <w:sz w:val="28"/>
          <w:szCs w:val="28"/>
        </w:rPr>
      </w:pPr>
    </w:p>
    <w:p w14:paraId="437CC4FD" w14:textId="77777777" w:rsidR="00561B22" w:rsidRPr="00696FD6" w:rsidRDefault="00561B22" w:rsidP="00561B22">
      <w:pPr>
        <w:pStyle w:val="Textoindependiente"/>
        <w:ind w:right="-50"/>
        <w:jc w:val="both"/>
        <w:rPr>
          <w:rFonts w:ascii="Arial" w:hAnsi="Arial" w:cs="Arial"/>
          <w:b/>
          <w:bCs/>
          <w:sz w:val="28"/>
          <w:szCs w:val="28"/>
        </w:rPr>
      </w:pPr>
      <w:r w:rsidRPr="00696FD6">
        <w:rPr>
          <w:rFonts w:ascii="Arial" w:hAnsi="Arial" w:cs="Arial"/>
          <w:b/>
          <w:bCs/>
          <w:sz w:val="28"/>
          <w:szCs w:val="28"/>
        </w:rPr>
        <w:t>Del informe enviado retomamos lo siguiente:</w:t>
      </w:r>
    </w:p>
    <w:p w14:paraId="249E0217" w14:textId="77777777" w:rsidR="00561B22" w:rsidRPr="00696FD6"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696FD6" w14:paraId="7EADEB5E" w14:textId="77777777" w:rsidTr="00F1223B">
        <w:tc>
          <w:tcPr>
            <w:tcW w:w="562" w:type="dxa"/>
          </w:tcPr>
          <w:p w14:paraId="5CC30093" w14:textId="77777777" w:rsidR="00561B22" w:rsidRPr="00696FD6" w:rsidRDefault="00561B22" w:rsidP="00F1223B">
            <w:pPr>
              <w:ind w:right="-109"/>
              <w:jc w:val="center"/>
              <w:rPr>
                <w:rFonts w:ascii="Arial" w:hAnsi="Arial" w:cs="Arial"/>
                <w:b/>
                <w:lang w:val="es-MX"/>
              </w:rPr>
            </w:pPr>
            <w:r w:rsidRPr="00696FD6">
              <w:rPr>
                <w:rFonts w:ascii="Arial" w:hAnsi="Arial" w:cs="Arial"/>
                <w:b/>
                <w:lang w:val="es-MX"/>
              </w:rPr>
              <w:t>N°</w:t>
            </w:r>
          </w:p>
        </w:tc>
        <w:tc>
          <w:tcPr>
            <w:tcW w:w="9400" w:type="dxa"/>
          </w:tcPr>
          <w:p w14:paraId="3FF9E789" w14:textId="77777777" w:rsidR="00561B22" w:rsidRPr="00696FD6" w:rsidRDefault="00561B22" w:rsidP="00F1223B">
            <w:pPr>
              <w:jc w:val="center"/>
              <w:rPr>
                <w:rFonts w:ascii="Arial" w:hAnsi="Arial" w:cs="Arial"/>
                <w:b/>
                <w:sz w:val="24"/>
                <w:szCs w:val="24"/>
                <w:lang w:val="es-MX"/>
              </w:rPr>
            </w:pPr>
            <w:r w:rsidRPr="00696FD6">
              <w:rPr>
                <w:rFonts w:ascii="Arial" w:hAnsi="Arial" w:cs="Arial"/>
                <w:b/>
                <w:sz w:val="24"/>
                <w:szCs w:val="24"/>
                <w:lang w:val="es-MX"/>
              </w:rPr>
              <w:t>DEBILIDADES</w:t>
            </w:r>
          </w:p>
          <w:p w14:paraId="71344E54" w14:textId="77777777" w:rsidR="00561B22" w:rsidRPr="00696FD6" w:rsidRDefault="00561B22" w:rsidP="00F1223B">
            <w:pPr>
              <w:jc w:val="center"/>
              <w:rPr>
                <w:rFonts w:ascii="Arial" w:hAnsi="Arial" w:cs="Arial"/>
                <w:b/>
                <w:lang w:val="es-MX"/>
              </w:rPr>
            </w:pPr>
          </w:p>
        </w:tc>
      </w:tr>
      <w:tr w:rsidR="00561B22" w:rsidRPr="00696FD6" w14:paraId="1F164162" w14:textId="77777777" w:rsidTr="00F1223B">
        <w:tc>
          <w:tcPr>
            <w:tcW w:w="562" w:type="dxa"/>
          </w:tcPr>
          <w:p w14:paraId="712B62EA" w14:textId="77777777" w:rsidR="00561B22" w:rsidRPr="00696FD6" w:rsidRDefault="00561B22" w:rsidP="00F1223B">
            <w:pPr>
              <w:jc w:val="center"/>
              <w:rPr>
                <w:rFonts w:ascii="Arial" w:hAnsi="Arial" w:cs="Arial"/>
                <w:b/>
                <w:lang w:val="es-MX"/>
              </w:rPr>
            </w:pPr>
            <w:r w:rsidRPr="00696FD6">
              <w:rPr>
                <w:rFonts w:ascii="Arial" w:hAnsi="Arial" w:cs="Arial"/>
                <w:b/>
                <w:lang w:val="es-MX"/>
              </w:rPr>
              <w:t>1</w:t>
            </w:r>
          </w:p>
        </w:tc>
        <w:tc>
          <w:tcPr>
            <w:tcW w:w="9400" w:type="dxa"/>
          </w:tcPr>
          <w:p w14:paraId="287EAF42" w14:textId="77777777" w:rsidR="00561B22" w:rsidRPr="00696FD6" w:rsidRDefault="00561B22" w:rsidP="00F1223B">
            <w:pPr>
              <w:rPr>
                <w:rFonts w:ascii="Arial" w:hAnsi="Arial" w:cs="Arial"/>
                <w:b/>
                <w:lang w:val="es-MX"/>
              </w:rPr>
            </w:pPr>
            <w:r w:rsidRPr="00696FD6">
              <w:rPr>
                <w:rFonts w:ascii="Arial" w:hAnsi="Arial" w:cs="Arial"/>
              </w:rPr>
              <w:t>El</w:t>
            </w:r>
            <w:r w:rsidRPr="00696FD6">
              <w:rPr>
                <w:rFonts w:ascii="Arial" w:hAnsi="Arial" w:cs="Arial"/>
                <w:spacing w:val="7"/>
              </w:rPr>
              <w:t xml:space="preserve"> </w:t>
            </w:r>
            <w:r w:rsidRPr="00696FD6">
              <w:rPr>
                <w:rFonts w:ascii="Arial" w:hAnsi="Arial" w:cs="Arial"/>
                <w:spacing w:val="-1"/>
              </w:rPr>
              <w:t>control</w:t>
            </w:r>
            <w:r w:rsidRPr="00696FD6">
              <w:rPr>
                <w:rFonts w:ascii="Arial" w:hAnsi="Arial" w:cs="Arial"/>
                <w:spacing w:val="7"/>
              </w:rPr>
              <w:t xml:space="preserve"> </w:t>
            </w:r>
            <w:r w:rsidRPr="00696FD6">
              <w:rPr>
                <w:rFonts w:ascii="Arial" w:hAnsi="Arial" w:cs="Arial"/>
                <w:spacing w:val="-1"/>
              </w:rPr>
              <w:t>interno</w:t>
            </w:r>
            <w:r w:rsidRPr="00696FD6">
              <w:rPr>
                <w:rFonts w:ascii="Arial" w:hAnsi="Arial" w:cs="Arial"/>
                <w:spacing w:val="8"/>
              </w:rPr>
              <w:t xml:space="preserve"> </w:t>
            </w:r>
            <w:r w:rsidRPr="00696FD6">
              <w:rPr>
                <w:rFonts w:ascii="Arial" w:hAnsi="Arial" w:cs="Arial"/>
              </w:rPr>
              <w:t>está</w:t>
            </w:r>
            <w:r w:rsidRPr="00696FD6">
              <w:rPr>
                <w:rFonts w:ascii="Arial" w:hAnsi="Arial" w:cs="Arial"/>
                <w:spacing w:val="8"/>
              </w:rPr>
              <w:t xml:space="preserve"> </w:t>
            </w:r>
            <w:r w:rsidRPr="00696FD6">
              <w:rPr>
                <w:rFonts w:ascii="Arial" w:hAnsi="Arial" w:cs="Arial"/>
              </w:rPr>
              <w:t>a</w:t>
            </w:r>
            <w:r w:rsidRPr="00696FD6">
              <w:rPr>
                <w:rFonts w:ascii="Arial" w:hAnsi="Arial" w:cs="Arial"/>
                <w:spacing w:val="9"/>
              </w:rPr>
              <w:t xml:space="preserve"> </w:t>
            </w:r>
            <w:r w:rsidRPr="00696FD6">
              <w:rPr>
                <w:rFonts w:ascii="Arial" w:hAnsi="Arial" w:cs="Arial"/>
                <w:spacing w:val="-1"/>
              </w:rPr>
              <w:t>cargo</w:t>
            </w:r>
            <w:r w:rsidRPr="00696FD6">
              <w:rPr>
                <w:rFonts w:ascii="Arial" w:hAnsi="Arial" w:cs="Arial"/>
                <w:spacing w:val="8"/>
              </w:rPr>
              <w:t xml:space="preserve"> </w:t>
            </w:r>
            <w:r w:rsidRPr="00696FD6">
              <w:rPr>
                <w:rFonts w:ascii="Arial" w:hAnsi="Arial" w:cs="Arial"/>
              </w:rPr>
              <w:t>del</w:t>
            </w:r>
            <w:r w:rsidRPr="00696FD6">
              <w:rPr>
                <w:rFonts w:ascii="Arial" w:hAnsi="Arial" w:cs="Arial"/>
                <w:spacing w:val="7"/>
              </w:rPr>
              <w:t xml:space="preserve"> </w:t>
            </w:r>
            <w:r w:rsidRPr="00696FD6">
              <w:rPr>
                <w:rFonts w:ascii="Arial" w:hAnsi="Arial" w:cs="Arial"/>
                <w:spacing w:val="-1"/>
              </w:rPr>
              <w:t>gerente</w:t>
            </w:r>
            <w:r w:rsidRPr="00696FD6">
              <w:rPr>
                <w:rFonts w:ascii="Arial" w:hAnsi="Arial" w:cs="Arial"/>
                <w:spacing w:val="8"/>
              </w:rPr>
              <w:t xml:space="preserve"> </w:t>
            </w:r>
            <w:r w:rsidRPr="00696FD6">
              <w:rPr>
                <w:rFonts w:ascii="Arial" w:hAnsi="Arial" w:cs="Arial"/>
              </w:rPr>
              <w:t>y</w:t>
            </w:r>
            <w:r w:rsidRPr="00696FD6">
              <w:rPr>
                <w:rFonts w:ascii="Arial" w:hAnsi="Arial" w:cs="Arial"/>
                <w:spacing w:val="43"/>
                <w:w w:val="102"/>
              </w:rPr>
              <w:t xml:space="preserve"> </w:t>
            </w:r>
            <w:r w:rsidRPr="00696FD6">
              <w:rPr>
                <w:rFonts w:ascii="Arial" w:hAnsi="Arial" w:cs="Arial"/>
                <w:spacing w:val="-1"/>
              </w:rPr>
              <w:t>los</w:t>
            </w:r>
            <w:r w:rsidRPr="00696FD6">
              <w:rPr>
                <w:rFonts w:ascii="Arial" w:hAnsi="Arial" w:cs="Arial"/>
                <w:spacing w:val="16"/>
              </w:rPr>
              <w:t xml:space="preserve"> </w:t>
            </w:r>
            <w:r w:rsidRPr="00696FD6">
              <w:rPr>
                <w:rFonts w:ascii="Arial" w:hAnsi="Arial" w:cs="Arial"/>
              </w:rPr>
              <w:t>cambios</w:t>
            </w:r>
            <w:r w:rsidRPr="00696FD6">
              <w:rPr>
                <w:rFonts w:ascii="Arial" w:hAnsi="Arial" w:cs="Arial"/>
                <w:spacing w:val="16"/>
              </w:rPr>
              <w:t xml:space="preserve"> </w:t>
            </w:r>
            <w:r w:rsidRPr="00696FD6">
              <w:rPr>
                <w:rFonts w:ascii="Arial" w:hAnsi="Arial" w:cs="Arial"/>
              </w:rPr>
              <w:t>normativos.</w:t>
            </w:r>
          </w:p>
        </w:tc>
      </w:tr>
    </w:tbl>
    <w:p w14:paraId="33D70E3D" w14:textId="77777777" w:rsidR="00561B22" w:rsidRPr="00696FD6" w:rsidRDefault="00561B22" w:rsidP="00561B22">
      <w:pPr>
        <w:pStyle w:val="Textoindependiente"/>
        <w:ind w:right="-50"/>
        <w:jc w:val="both"/>
        <w:rPr>
          <w:rFonts w:ascii="Arial" w:hAnsi="Arial" w:cs="Arial"/>
          <w:b/>
          <w:bCs/>
          <w:sz w:val="28"/>
          <w:szCs w:val="28"/>
        </w:rPr>
      </w:pPr>
    </w:p>
    <w:p w14:paraId="5C4A187E" w14:textId="77777777" w:rsidR="00561B22" w:rsidRPr="00696FD6" w:rsidRDefault="00561B22" w:rsidP="00561B22">
      <w:pPr>
        <w:jc w:val="both"/>
        <w:rPr>
          <w:rFonts w:ascii="Arial" w:hAnsi="Arial" w:cs="Arial"/>
          <w:b/>
          <w:sz w:val="28"/>
          <w:szCs w:val="28"/>
          <w:lang w:val="es-MX"/>
        </w:rPr>
      </w:pPr>
      <w:r w:rsidRPr="00696FD6">
        <w:rPr>
          <w:rFonts w:ascii="Arial" w:hAnsi="Arial" w:cs="Arial"/>
          <w:b/>
          <w:sz w:val="28"/>
          <w:szCs w:val="28"/>
          <w:lang w:val="es-MX"/>
        </w:rPr>
        <w:t>Del citado informe retomamos las siguientes recomendaciones:</w:t>
      </w:r>
    </w:p>
    <w:p w14:paraId="219A8DEA" w14:textId="77777777" w:rsidR="00561B22" w:rsidRPr="00696FD6"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696FD6" w14:paraId="44982764" w14:textId="77777777" w:rsidTr="00F1223B">
        <w:tc>
          <w:tcPr>
            <w:tcW w:w="562" w:type="dxa"/>
          </w:tcPr>
          <w:p w14:paraId="41431250" w14:textId="77777777" w:rsidR="00561B22" w:rsidRPr="00696FD6" w:rsidRDefault="00561B22" w:rsidP="00F1223B">
            <w:pPr>
              <w:ind w:right="-109"/>
              <w:jc w:val="center"/>
              <w:rPr>
                <w:rFonts w:ascii="Arial" w:hAnsi="Arial" w:cs="Arial"/>
                <w:b/>
                <w:lang w:val="es-MX"/>
              </w:rPr>
            </w:pPr>
            <w:r w:rsidRPr="00696FD6">
              <w:rPr>
                <w:rFonts w:ascii="Arial" w:hAnsi="Arial" w:cs="Arial"/>
                <w:b/>
                <w:lang w:val="es-MX"/>
              </w:rPr>
              <w:t>N°</w:t>
            </w:r>
          </w:p>
        </w:tc>
        <w:tc>
          <w:tcPr>
            <w:tcW w:w="9400" w:type="dxa"/>
          </w:tcPr>
          <w:p w14:paraId="45226BC4" w14:textId="77777777" w:rsidR="00561B22" w:rsidRPr="00696FD6" w:rsidRDefault="00561B22" w:rsidP="00F1223B">
            <w:pPr>
              <w:jc w:val="center"/>
              <w:rPr>
                <w:rFonts w:ascii="Arial" w:hAnsi="Arial" w:cs="Arial"/>
                <w:b/>
                <w:sz w:val="24"/>
                <w:szCs w:val="24"/>
                <w:lang w:val="es-MX"/>
              </w:rPr>
            </w:pPr>
            <w:r w:rsidRPr="00696FD6">
              <w:rPr>
                <w:rFonts w:ascii="Arial" w:hAnsi="Arial" w:cs="Arial"/>
                <w:b/>
                <w:sz w:val="24"/>
                <w:szCs w:val="24"/>
                <w:lang w:val="es-MX"/>
              </w:rPr>
              <w:t>RECOMENDACIONES</w:t>
            </w:r>
          </w:p>
          <w:p w14:paraId="548D1CD6" w14:textId="77777777" w:rsidR="00561B22" w:rsidRPr="00696FD6" w:rsidRDefault="00561B22" w:rsidP="00F1223B">
            <w:pPr>
              <w:jc w:val="center"/>
              <w:rPr>
                <w:rFonts w:ascii="Arial" w:hAnsi="Arial" w:cs="Arial"/>
                <w:b/>
                <w:lang w:val="es-MX"/>
              </w:rPr>
            </w:pPr>
          </w:p>
        </w:tc>
      </w:tr>
      <w:tr w:rsidR="00561B22" w:rsidRPr="00696FD6" w14:paraId="2347344C" w14:textId="77777777" w:rsidTr="00F1223B">
        <w:tc>
          <w:tcPr>
            <w:tcW w:w="562" w:type="dxa"/>
          </w:tcPr>
          <w:p w14:paraId="1C2C0584" w14:textId="77777777" w:rsidR="00561B22" w:rsidRPr="00696FD6" w:rsidRDefault="00561B22" w:rsidP="00F1223B">
            <w:pPr>
              <w:jc w:val="center"/>
              <w:rPr>
                <w:rFonts w:ascii="Arial" w:hAnsi="Arial" w:cs="Arial"/>
                <w:b/>
                <w:lang w:val="es-MX"/>
              </w:rPr>
            </w:pPr>
            <w:r w:rsidRPr="00696FD6">
              <w:rPr>
                <w:rFonts w:ascii="Arial" w:hAnsi="Arial" w:cs="Arial"/>
                <w:b/>
                <w:lang w:val="es-MX"/>
              </w:rPr>
              <w:t>1</w:t>
            </w:r>
          </w:p>
        </w:tc>
        <w:tc>
          <w:tcPr>
            <w:tcW w:w="9400" w:type="dxa"/>
          </w:tcPr>
          <w:p w14:paraId="5FDC58CA" w14:textId="77777777" w:rsidR="00561B22" w:rsidRPr="00696FD6" w:rsidRDefault="00561B22" w:rsidP="00F1223B">
            <w:pPr>
              <w:rPr>
                <w:rFonts w:ascii="Arial" w:hAnsi="Arial" w:cs="Arial"/>
                <w:lang w:val="es-MX"/>
              </w:rPr>
            </w:pPr>
            <w:r w:rsidRPr="00696FD6">
              <w:rPr>
                <w:rFonts w:ascii="Arial" w:hAnsi="Arial" w:cs="Arial"/>
                <w:lang w:val="es-MX"/>
              </w:rPr>
              <w:t>Seguir fortaleciendo el Sistema de Control Interno.</w:t>
            </w:r>
          </w:p>
        </w:tc>
      </w:tr>
    </w:tbl>
    <w:p w14:paraId="7DAE0532" w14:textId="77777777" w:rsidR="00561B22" w:rsidRPr="00696FD6" w:rsidRDefault="00561B22" w:rsidP="00561B22">
      <w:pPr>
        <w:pStyle w:val="Textoindependiente"/>
        <w:ind w:right="-50"/>
        <w:jc w:val="both"/>
        <w:rPr>
          <w:rFonts w:ascii="Arial" w:hAnsi="Arial" w:cs="Arial"/>
          <w:b/>
          <w:bCs/>
          <w:sz w:val="28"/>
          <w:szCs w:val="28"/>
        </w:rPr>
      </w:pPr>
    </w:p>
    <w:p w14:paraId="180A5B35" w14:textId="77777777" w:rsidR="00561B22" w:rsidRDefault="00561B22" w:rsidP="00561B22">
      <w:pPr>
        <w:jc w:val="both"/>
        <w:rPr>
          <w:rFonts w:ascii="Arial" w:hAnsi="Arial" w:cs="Arial"/>
          <w:b/>
          <w:sz w:val="28"/>
          <w:szCs w:val="28"/>
          <w:lang w:val="es-MX"/>
        </w:rPr>
      </w:pPr>
      <w:r>
        <w:rPr>
          <w:rFonts w:ascii="Arial" w:hAnsi="Arial" w:cs="Arial"/>
          <w:b/>
          <w:sz w:val="28"/>
          <w:szCs w:val="28"/>
          <w:lang w:val="es-MX"/>
        </w:rPr>
        <w:t xml:space="preserve">98.- </w:t>
      </w:r>
      <w:r>
        <w:rPr>
          <w:rFonts w:ascii="Arial" w:hAnsi="Arial" w:cs="Arial"/>
          <w:b/>
          <w:sz w:val="28"/>
          <w:szCs w:val="28"/>
        </w:rPr>
        <w:t>CORPORACIÓN AUTÓNOMA REGIONAL DEL QUINDIO – CRQ</w:t>
      </w:r>
      <w:r>
        <w:rPr>
          <w:rFonts w:ascii="Arial" w:hAnsi="Arial" w:cs="Arial"/>
          <w:b/>
          <w:sz w:val="28"/>
          <w:szCs w:val="28"/>
          <w:lang w:val="es-MX"/>
        </w:rPr>
        <w:t>.</w:t>
      </w:r>
    </w:p>
    <w:p w14:paraId="6059C676" w14:textId="77777777" w:rsidR="00561B22" w:rsidRDefault="00561B22" w:rsidP="00561B22">
      <w:pPr>
        <w:pStyle w:val="Textoindependiente"/>
        <w:ind w:right="-50"/>
        <w:jc w:val="both"/>
        <w:rPr>
          <w:rFonts w:ascii="Arial" w:hAnsi="Arial" w:cs="Arial"/>
          <w:b/>
          <w:bCs/>
          <w:sz w:val="28"/>
          <w:szCs w:val="28"/>
          <w:lang w:val="es-MX"/>
        </w:rPr>
      </w:pPr>
    </w:p>
    <w:p w14:paraId="6F1F7E45" w14:textId="77777777" w:rsidR="00561B22" w:rsidRPr="008023CC" w:rsidRDefault="00561B22" w:rsidP="00561B22">
      <w:pPr>
        <w:pStyle w:val="Textoindependiente"/>
        <w:ind w:right="-50"/>
        <w:jc w:val="center"/>
        <w:rPr>
          <w:rFonts w:ascii="Arial" w:hAnsi="Arial" w:cs="Arial"/>
          <w:b/>
          <w:bCs/>
        </w:rPr>
      </w:pPr>
      <w:r w:rsidRPr="008023CC">
        <w:rPr>
          <w:rFonts w:ascii="Arial" w:hAnsi="Arial" w:cs="Arial"/>
          <w:b/>
          <w:bCs/>
        </w:rPr>
        <w:t>INFORME DE LA AUTOCALIFICACIÓN DEL SISTEMA DE CONTROL INTERNO CONTABLE:</w:t>
      </w:r>
    </w:p>
    <w:p w14:paraId="263C225E" w14:textId="77777777" w:rsidR="00561B22" w:rsidRPr="008023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023CC" w14:paraId="36A26DC7" w14:textId="77777777" w:rsidTr="00F1223B">
        <w:tc>
          <w:tcPr>
            <w:tcW w:w="4981" w:type="dxa"/>
          </w:tcPr>
          <w:p w14:paraId="6BFF2904" w14:textId="77777777" w:rsidR="00561B22" w:rsidRPr="008023CC" w:rsidRDefault="00561B22" w:rsidP="00F1223B">
            <w:pPr>
              <w:jc w:val="center"/>
              <w:rPr>
                <w:rFonts w:ascii="Arial" w:hAnsi="Arial" w:cs="Arial"/>
                <w:b/>
                <w:sz w:val="22"/>
                <w:szCs w:val="22"/>
                <w:lang w:val="es-MX"/>
              </w:rPr>
            </w:pPr>
            <w:r w:rsidRPr="008023CC">
              <w:rPr>
                <w:rFonts w:ascii="Arial" w:hAnsi="Arial" w:cs="Arial"/>
                <w:b/>
                <w:sz w:val="22"/>
                <w:szCs w:val="22"/>
                <w:lang w:val="es-MX"/>
              </w:rPr>
              <w:t>AUTOCALIFICACIÓN</w:t>
            </w:r>
          </w:p>
        </w:tc>
        <w:tc>
          <w:tcPr>
            <w:tcW w:w="4981" w:type="dxa"/>
          </w:tcPr>
          <w:p w14:paraId="36D5797C" w14:textId="77777777" w:rsidR="00561B22" w:rsidRPr="008023CC" w:rsidRDefault="00561B22" w:rsidP="00F1223B">
            <w:pPr>
              <w:jc w:val="center"/>
              <w:rPr>
                <w:rFonts w:ascii="Arial" w:hAnsi="Arial" w:cs="Arial"/>
                <w:b/>
                <w:sz w:val="22"/>
                <w:szCs w:val="22"/>
                <w:u w:val="single"/>
                <w:lang w:val="es-MX"/>
              </w:rPr>
            </w:pPr>
            <w:r w:rsidRPr="008023CC">
              <w:rPr>
                <w:rFonts w:ascii="Arial" w:hAnsi="Arial" w:cs="Arial"/>
                <w:b/>
                <w:sz w:val="22"/>
                <w:szCs w:val="22"/>
                <w:u w:val="single"/>
                <w:lang w:val="es-MX"/>
              </w:rPr>
              <w:t>5.00</w:t>
            </w:r>
          </w:p>
        </w:tc>
      </w:tr>
    </w:tbl>
    <w:p w14:paraId="105A3C12" w14:textId="77777777" w:rsidR="00561B22" w:rsidRPr="008023CC" w:rsidRDefault="00561B22" w:rsidP="00561B22">
      <w:pPr>
        <w:pStyle w:val="Textoindependiente"/>
        <w:ind w:right="-50"/>
        <w:jc w:val="both"/>
        <w:rPr>
          <w:rFonts w:ascii="Arial" w:hAnsi="Arial" w:cs="Arial"/>
          <w:b/>
          <w:bCs/>
        </w:rPr>
      </w:pPr>
    </w:p>
    <w:p w14:paraId="70BF2AAB" w14:textId="77777777" w:rsidR="00561B22" w:rsidRPr="008023CC" w:rsidRDefault="00561B22" w:rsidP="00561B22">
      <w:pPr>
        <w:pStyle w:val="Textoindependiente"/>
        <w:ind w:right="-50"/>
        <w:jc w:val="both"/>
        <w:rPr>
          <w:rFonts w:ascii="Arial" w:hAnsi="Arial" w:cs="Arial"/>
          <w:b/>
          <w:bCs/>
        </w:rPr>
      </w:pPr>
      <w:r w:rsidRPr="008023CC">
        <w:rPr>
          <w:rFonts w:ascii="Arial" w:hAnsi="Arial" w:cs="Arial"/>
          <w:b/>
          <w:bCs/>
        </w:rPr>
        <w:t>Del informe enviado retomamos lo siguiente:</w:t>
      </w:r>
    </w:p>
    <w:p w14:paraId="70D4E1CC" w14:textId="77777777" w:rsidR="00561B22" w:rsidRPr="008023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023CC" w14:paraId="60F0FFC4" w14:textId="77777777" w:rsidTr="00F1223B">
        <w:tc>
          <w:tcPr>
            <w:tcW w:w="562" w:type="dxa"/>
          </w:tcPr>
          <w:p w14:paraId="31E73CBB" w14:textId="77777777" w:rsidR="00561B22" w:rsidRPr="008023CC" w:rsidRDefault="00561B22" w:rsidP="00F1223B">
            <w:pPr>
              <w:ind w:right="-109"/>
              <w:jc w:val="center"/>
              <w:rPr>
                <w:rFonts w:ascii="Arial" w:hAnsi="Arial" w:cs="Arial"/>
                <w:b/>
                <w:sz w:val="22"/>
                <w:szCs w:val="22"/>
                <w:lang w:val="es-MX"/>
              </w:rPr>
            </w:pPr>
            <w:r w:rsidRPr="008023CC">
              <w:rPr>
                <w:rFonts w:ascii="Arial" w:hAnsi="Arial" w:cs="Arial"/>
                <w:b/>
                <w:sz w:val="22"/>
                <w:szCs w:val="22"/>
                <w:lang w:val="es-MX"/>
              </w:rPr>
              <w:t>N°</w:t>
            </w:r>
          </w:p>
        </w:tc>
        <w:tc>
          <w:tcPr>
            <w:tcW w:w="9400" w:type="dxa"/>
          </w:tcPr>
          <w:p w14:paraId="0F11A1E3" w14:textId="77777777" w:rsidR="00561B22" w:rsidRPr="008023CC" w:rsidRDefault="00561B22" w:rsidP="00F1223B">
            <w:pPr>
              <w:jc w:val="center"/>
              <w:rPr>
                <w:rFonts w:ascii="Arial" w:hAnsi="Arial" w:cs="Arial"/>
                <w:b/>
                <w:sz w:val="22"/>
                <w:szCs w:val="22"/>
                <w:lang w:val="es-MX"/>
              </w:rPr>
            </w:pPr>
            <w:r w:rsidRPr="008023CC">
              <w:rPr>
                <w:rFonts w:ascii="Arial" w:hAnsi="Arial" w:cs="Arial"/>
                <w:b/>
                <w:sz w:val="22"/>
                <w:szCs w:val="22"/>
                <w:lang w:val="es-MX"/>
              </w:rPr>
              <w:t>RECOMENDACIONES</w:t>
            </w:r>
          </w:p>
          <w:p w14:paraId="327C2DAC" w14:textId="77777777" w:rsidR="00561B22" w:rsidRPr="008023CC" w:rsidRDefault="00561B22" w:rsidP="00F1223B">
            <w:pPr>
              <w:jc w:val="center"/>
              <w:rPr>
                <w:rFonts w:ascii="Arial" w:hAnsi="Arial" w:cs="Arial"/>
                <w:b/>
                <w:sz w:val="22"/>
                <w:szCs w:val="22"/>
                <w:lang w:val="es-MX"/>
              </w:rPr>
            </w:pPr>
          </w:p>
        </w:tc>
      </w:tr>
      <w:tr w:rsidR="00561B22" w:rsidRPr="008023CC" w14:paraId="7CB6E3A8" w14:textId="77777777" w:rsidTr="00F1223B">
        <w:tc>
          <w:tcPr>
            <w:tcW w:w="562" w:type="dxa"/>
          </w:tcPr>
          <w:p w14:paraId="1890EBB4" w14:textId="77777777" w:rsidR="00561B22" w:rsidRPr="008023CC" w:rsidRDefault="00561B22" w:rsidP="00F1223B">
            <w:pPr>
              <w:jc w:val="center"/>
              <w:rPr>
                <w:rFonts w:ascii="Arial" w:hAnsi="Arial" w:cs="Arial"/>
                <w:b/>
                <w:sz w:val="22"/>
                <w:szCs w:val="22"/>
                <w:lang w:val="es-MX"/>
              </w:rPr>
            </w:pPr>
            <w:r w:rsidRPr="008023CC">
              <w:rPr>
                <w:rFonts w:ascii="Arial" w:hAnsi="Arial" w:cs="Arial"/>
                <w:b/>
                <w:sz w:val="22"/>
                <w:szCs w:val="22"/>
                <w:lang w:val="es-MX"/>
              </w:rPr>
              <w:t>1</w:t>
            </w:r>
          </w:p>
        </w:tc>
        <w:tc>
          <w:tcPr>
            <w:tcW w:w="9400" w:type="dxa"/>
          </w:tcPr>
          <w:p w14:paraId="0AAF28A4" w14:textId="77777777" w:rsidR="00561B22" w:rsidRPr="008023CC" w:rsidRDefault="00561B22" w:rsidP="00F1223B">
            <w:pPr>
              <w:jc w:val="both"/>
              <w:rPr>
                <w:rFonts w:ascii="Arial" w:hAnsi="Arial" w:cs="Arial"/>
                <w:b/>
                <w:sz w:val="22"/>
                <w:szCs w:val="22"/>
                <w:lang w:val="es-MX"/>
              </w:rPr>
            </w:pPr>
            <w:r w:rsidRPr="008023CC">
              <w:rPr>
                <w:rFonts w:ascii="Arial" w:hAnsi="Arial" w:cs="Arial"/>
                <w:color w:val="000000"/>
                <w:sz w:val="22"/>
                <w:szCs w:val="22"/>
              </w:rPr>
              <w:t>Continuar con los controles y seguimientos del proceso contable que se tiene actualmente.</w:t>
            </w:r>
          </w:p>
        </w:tc>
      </w:tr>
      <w:tr w:rsidR="00561B22" w:rsidRPr="008023CC" w14:paraId="73093E81" w14:textId="77777777" w:rsidTr="00F1223B">
        <w:tc>
          <w:tcPr>
            <w:tcW w:w="562" w:type="dxa"/>
          </w:tcPr>
          <w:p w14:paraId="0F489A32" w14:textId="77777777" w:rsidR="00561B22" w:rsidRPr="008023CC" w:rsidRDefault="00561B22" w:rsidP="00F1223B">
            <w:pPr>
              <w:jc w:val="center"/>
              <w:rPr>
                <w:rFonts w:ascii="Arial" w:hAnsi="Arial" w:cs="Arial"/>
                <w:b/>
                <w:sz w:val="22"/>
                <w:szCs w:val="22"/>
                <w:lang w:val="es-MX"/>
              </w:rPr>
            </w:pPr>
            <w:r w:rsidRPr="008023CC">
              <w:rPr>
                <w:rFonts w:ascii="Arial" w:hAnsi="Arial" w:cs="Arial"/>
                <w:b/>
                <w:sz w:val="22"/>
                <w:szCs w:val="22"/>
                <w:lang w:val="es-MX"/>
              </w:rPr>
              <w:t>2</w:t>
            </w:r>
          </w:p>
        </w:tc>
        <w:tc>
          <w:tcPr>
            <w:tcW w:w="9400" w:type="dxa"/>
          </w:tcPr>
          <w:p w14:paraId="6F5034DF" w14:textId="77777777" w:rsidR="00561B22" w:rsidRPr="008023CC" w:rsidRDefault="00561B22" w:rsidP="00F1223B">
            <w:pPr>
              <w:jc w:val="both"/>
              <w:rPr>
                <w:rFonts w:ascii="Arial" w:hAnsi="Arial" w:cs="Arial"/>
                <w:color w:val="000000"/>
                <w:sz w:val="22"/>
                <w:szCs w:val="22"/>
              </w:rPr>
            </w:pPr>
            <w:r w:rsidRPr="008023CC">
              <w:rPr>
                <w:rFonts w:ascii="Arial" w:hAnsi="Arial" w:cs="Arial"/>
                <w:color w:val="000000"/>
                <w:sz w:val="22"/>
                <w:szCs w:val="22"/>
              </w:rPr>
              <w:t>Fortalecer la articulación de todas las áreas responsables en elaborar la información contable de la entidad.</w:t>
            </w:r>
          </w:p>
        </w:tc>
      </w:tr>
    </w:tbl>
    <w:p w14:paraId="44AFBF7E" w14:textId="77777777" w:rsidR="00561B22" w:rsidRPr="008023CC" w:rsidRDefault="00561B22" w:rsidP="00561B22">
      <w:pPr>
        <w:pStyle w:val="Textoindependiente"/>
        <w:ind w:right="-50"/>
        <w:jc w:val="both"/>
        <w:rPr>
          <w:rFonts w:ascii="Arial" w:hAnsi="Arial" w:cs="Arial"/>
          <w:b/>
          <w:bCs/>
          <w:sz w:val="28"/>
          <w:szCs w:val="28"/>
        </w:rPr>
      </w:pPr>
    </w:p>
    <w:p w14:paraId="25521C84" w14:textId="77777777" w:rsidR="00561B22" w:rsidRPr="008023CC" w:rsidRDefault="00561B22" w:rsidP="00561B22">
      <w:pPr>
        <w:jc w:val="both"/>
        <w:rPr>
          <w:rFonts w:ascii="Arial" w:hAnsi="Arial" w:cs="Arial"/>
          <w:sz w:val="24"/>
          <w:szCs w:val="24"/>
          <w:lang w:val="es-MX"/>
        </w:rPr>
      </w:pPr>
      <w:r w:rsidRPr="008023CC">
        <w:rPr>
          <w:rFonts w:ascii="Arial" w:hAnsi="Arial" w:cs="Arial"/>
          <w:b/>
          <w:sz w:val="24"/>
          <w:szCs w:val="24"/>
          <w:lang w:val="es-MX"/>
        </w:rPr>
        <w:t xml:space="preserve">NOTA: </w:t>
      </w:r>
      <w:r w:rsidRPr="008023CC">
        <w:rPr>
          <w:rFonts w:ascii="Arial" w:hAnsi="Arial" w:cs="Arial"/>
          <w:sz w:val="24"/>
          <w:szCs w:val="24"/>
          <w:lang w:val="es-MX"/>
        </w:rPr>
        <w:t>El informe no está debidamente firmado por el jefe de control interno.</w:t>
      </w:r>
    </w:p>
    <w:p w14:paraId="5A1CC254" w14:textId="77777777" w:rsidR="00561B22" w:rsidRPr="008023CC" w:rsidRDefault="00561B22" w:rsidP="00561B22">
      <w:pPr>
        <w:pStyle w:val="Textoindependiente"/>
        <w:ind w:right="-50"/>
        <w:jc w:val="both"/>
        <w:rPr>
          <w:rFonts w:ascii="Arial" w:hAnsi="Arial" w:cs="Arial"/>
          <w:b/>
          <w:bCs/>
        </w:rPr>
      </w:pPr>
    </w:p>
    <w:p w14:paraId="1C57EA35" w14:textId="77777777" w:rsidR="00561B22" w:rsidRPr="007202CB" w:rsidRDefault="00561B22" w:rsidP="00561B22">
      <w:pPr>
        <w:jc w:val="both"/>
        <w:rPr>
          <w:rFonts w:ascii="Arial" w:hAnsi="Arial" w:cs="Arial"/>
          <w:b/>
          <w:sz w:val="28"/>
          <w:szCs w:val="28"/>
          <w:lang w:val="es-MX"/>
        </w:rPr>
      </w:pPr>
      <w:r w:rsidRPr="007202CB">
        <w:rPr>
          <w:rFonts w:ascii="Arial" w:hAnsi="Arial" w:cs="Arial"/>
          <w:b/>
          <w:sz w:val="28"/>
          <w:szCs w:val="28"/>
          <w:lang w:val="es-MX"/>
        </w:rPr>
        <w:t>99.- DEPARTAMENTO ADMINISTRATIVO PARA LA PROSPERIDAD SOCIAL - DPS.</w:t>
      </w:r>
    </w:p>
    <w:p w14:paraId="73C0B6FC" w14:textId="77777777" w:rsidR="00561B22" w:rsidRDefault="00561B22" w:rsidP="00561B22">
      <w:pPr>
        <w:pStyle w:val="Textoindependiente"/>
        <w:ind w:right="-50"/>
        <w:jc w:val="both"/>
        <w:rPr>
          <w:rFonts w:ascii="Arial" w:hAnsi="Arial" w:cs="Arial"/>
          <w:b/>
          <w:bCs/>
          <w:sz w:val="28"/>
          <w:szCs w:val="28"/>
          <w:lang w:val="es-MX"/>
        </w:rPr>
      </w:pPr>
    </w:p>
    <w:p w14:paraId="4338E98B" w14:textId="77777777" w:rsidR="00561B22" w:rsidRPr="007202CB" w:rsidRDefault="00561B22" w:rsidP="00561B22">
      <w:pPr>
        <w:pStyle w:val="Textoindependiente"/>
        <w:jc w:val="center"/>
        <w:rPr>
          <w:rFonts w:ascii="Arial" w:hAnsi="Arial" w:cs="Arial"/>
          <w:b/>
          <w:bCs/>
        </w:rPr>
      </w:pPr>
      <w:r w:rsidRPr="007202CB">
        <w:rPr>
          <w:rFonts w:ascii="Arial" w:hAnsi="Arial" w:cs="Arial"/>
          <w:b/>
          <w:bCs/>
        </w:rPr>
        <w:t>INFORME DE LA AUTOCALIFICACIÓN DEL SISTEMA DE CONTROL INTERNO CONTABLE:</w:t>
      </w:r>
    </w:p>
    <w:p w14:paraId="7964470B" w14:textId="77777777" w:rsidR="00561B22" w:rsidRPr="007202CB" w:rsidRDefault="00561B22" w:rsidP="00561B22">
      <w:pPr>
        <w:pStyle w:val="Textoindependiente"/>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202CB" w14:paraId="31426AC5" w14:textId="77777777" w:rsidTr="00F1223B">
        <w:tc>
          <w:tcPr>
            <w:tcW w:w="4981" w:type="dxa"/>
          </w:tcPr>
          <w:p w14:paraId="17067120"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AUTOCALIFICACIÓN</w:t>
            </w:r>
          </w:p>
        </w:tc>
        <w:tc>
          <w:tcPr>
            <w:tcW w:w="4981" w:type="dxa"/>
          </w:tcPr>
          <w:p w14:paraId="6D2EA37A" w14:textId="77777777" w:rsidR="00561B22" w:rsidRPr="007202CB" w:rsidRDefault="00561B22" w:rsidP="00F1223B">
            <w:pPr>
              <w:jc w:val="center"/>
              <w:rPr>
                <w:rFonts w:ascii="Arial" w:hAnsi="Arial" w:cs="Arial"/>
                <w:b/>
                <w:sz w:val="22"/>
                <w:szCs w:val="22"/>
                <w:u w:val="single"/>
                <w:lang w:val="es-MX"/>
              </w:rPr>
            </w:pPr>
            <w:r w:rsidRPr="007202CB">
              <w:rPr>
                <w:rFonts w:ascii="Arial" w:hAnsi="Arial" w:cs="Arial"/>
                <w:b/>
                <w:sz w:val="22"/>
                <w:szCs w:val="22"/>
                <w:u w:val="single"/>
                <w:lang w:val="es-MX"/>
              </w:rPr>
              <w:t>5.00</w:t>
            </w:r>
          </w:p>
        </w:tc>
      </w:tr>
    </w:tbl>
    <w:p w14:paraId="5C06CD53" w14:textId="77777777" w:rsidR="00561B22" w:rsidRPr="007202CB" w:rsidRDefault="00561B22" w:rsidP="00561B22">
      <w:pPr>
        <w:pStyle w:val="Textoindependiente"/>
        <w:jc w:val="both"/>
        <w:rPr>
          <w:rFonts w:ascii="Arial" w:hAnsi="Arial" w:cs="Arial"/>
          <w:b/>
          <w:bCs/>
        </w:rPr>
      </w:pPr>
    </w:p>
    <w:p w14:paraId="0BFFC71E" w14:textId="77777777" w:rsidR="00561B22" w:rsidRPr="007202CB" w:rsidRDefault="00561B22" w:rsidP="00561B22">
      <w:pPr>
        <w:pStyle w:val="Textoindependiente"/>
        <w:jc w:val="both"/>
        <w:rPr>
          <w:rFonts w:ascii="Arial" w:hAnsi="Arial" w:cs="Arial"/>
          <w:b/>
          <w:bCs/>
        </w:rPr>
      </w:pPr>
      <w:r w:rsidRPr="007202CB">
        <w:rPr>
          <w:rFonts w:ascii="Arial" w:hAnsi="Arial" w:cs="Arial"/>
          <w:b/>
          <w:bCs/>
        </w:rPr>
        <w:lastRenderedPageBreak/>
        <w:t>Del informe enviado retomamos lo siguiente:</w:t>
      </w:r>
    </w:p>
    <w:p w14:paraId="6E8674D4" w14:textId="77777777" w:rsidR="00561B22" w:rsidRPr="007202CB"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202CB" w14:paraId="60F26201" w14:textId="77777777" w:rsidTr="00F1223B">
        <w:tc>
          <w:tcPr>
            <w:tcW w:w="562" w:type="dxa"/>
          </w:tcPr>
          <w:p w14:paraId="373CEC4A"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N°</w:t>
            </w:r>
          </w:p>
        </w:tc>
        <w:tc>
          <w:tcPr>
            <w:tcW w:w="9400" w:type="dxa"/>
          </w:tcPr>
          <w:p w14:paraId="3741B5B7"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DEBILIDADES</w:t>
            </w:r>
          </w:p>
          <w:p w14:paraId="6EE4F75B" w14:textId="77777777" w:rsidR="00561B22" w:rsidRPr="007202CB" w:rsidRDefault="00561B22" w:rsidP="00F1223B">
            <w:pPr>
              <w:jc w:val="center"/>
              <w:rPr>
                <w:rFonts w:ascii="Arial" w:hAnsi="Arial" w:cs="Arial"/>
                <w:b/>
                <w:sz w:val="22"/>
                <w:szCs w:val="22"/>
                <w:lang w:val="es-MX"/>
              </w:rPr>
            </w:pPr>
          </w:p>
        </w:tc>
      </w:tr>
      <w:tr w:rsidR="00561B22" w:rsidRPr="007202CB" w14:paraId="4AB6990D" w14:textId="77777777" w:rsidTr="00F1223B">
        <w:tc>
          <w:tcPr>
            <w:tcW w:w="562" w:type="dxa"/>
          </w:tcPr>
          <w:p w14:paraId="4DA6BB9F"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1</w:t>
            </w:r>
          </w:p>
        </w:tc>
        <w:tc>
          <w:tcPr>
            <w:tcW w:w="9400" w:type="dxa"/>
          </w:tcPr>
          <w:p w14:paraId="107894E3" w14:textId="77777777" w:rsidR="00561B22" w:rsidRPr="007202CB" w:rsidRDefault="00561B22" w:rsidP="00F1223B">
            <w:pPr>
              <w:jc w:val="both"/>
              <w:rPr>
                <w:rFonts w:ascii="Arial" w:hAnsi="Arial" w:cs="Arial"/>
                <w:bCs/>
                <w:sz w:val="22"/>
                <w:szCs w:val="22"/>
                <w:lang w:val="es-MX"/>
              </w:rPr>
            </w:pPr>
            <w:r w:rsidRPr="007202CB">
              <w:rPr>
                <w:rFonts w:ascii="Arial" w:hAnsi="Arial" w:cs="Arial"/>
                <w:bCs/>
                <w:sz w:val="22"/>
                <w:szCs w:val="22"/>
                <w:lang w:val="es-MX"/>
              </w:rPr>
              <w:t>Debilidades en la gestión en términos de oportunidad en la entrega por parte de las dependencias proveedoras de información al proceso de gestión financiera y contable.</w:t>
            </w:r>
          </w:p>
          <w:p w14:paraId="7CF47EEF" w14:textId="77777777" w:rsidR="00561B22" w:rsidRPr="007202CB" w:rsidRDefault="00561B22" w:rsidP="00F1223B">
            <w:pPr>
              <w:jc w:val="both"/>
              <w:rPr>
                <w:rFonts w:ascii="Arial" w:hAnsi="Arial" w:cs="Arial"/>
                <w:bCs/>
                <w:sz w:val="22"/>
                <w:szCs w:val="22"/>
                <w:lang w:val="es-MX"/>
              </w:rPr>
            </w:pPr>
          </w:p>
        </w:tc>
      </w:tr>
      <w:tr w:rsidR="00561B22" w:rsidRPr="007202CB" w14:paraId="7619EFFD" w14:textId="77777777" w:rsidTr="00F1223B">
        <w:tc>
          <w:tcPr>
            <w:tcW w:w="562" w:type="dxa"/>
          </w:tcPr>
          <w:p w14:paraId="5A1A55DF"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2</w:t>
            </w:r>
          </w:p>
        </w:tc>
        <w:tc>
          <w:tcPr>
            <w:tcW w:w="9400" w:type="dxa"/>
          </w:tcPr>
          <w:p w14:paraId="3F5D3729" w14:textId="77777777" w:rsidR="00561B22" w:rsidRPr="007202CB" w:rsidRDefault="00561B22" w:rsidP="00F1223B">
            <w:pPr>
              <w:jc w:val="both"/>
              <w:rPr>
                <w:rFonts w:ascii="Arial" w:hAnsi="Arial" w:cs="Arial"/>
                <w:bCs/>
                <w:sz w:val="22"/>
                <w:szCs w:val="22"/>
                <w:lang w:val="es-MX"/>
              </w:rPr>
            </w:pPr>
            <w:r w:rsidRPr="007202CB">
              <w:rPr>
                <w:rFonts w:ascii="Arial" w:hAnsi="Arial" w:cs="Arial"/>
                <w:bCs/>
                <w:sz w:val="22"/>
                <w:szCs w:val="22"/>
                <w:lang w:val="es-MX"/>
              </w:rPr>
              <w:t>Debilidades en el monitoreo y seguimiento realizados por la segunda línea institucional que permita seguir fortaleciendo el proceso de gestión financiera y contable.</w:t>
            </w:r>
          </w:p>
        </w:tc>
      </w:tr>
    </w:tbl>
    <w:p w14:paraId="5C18C3C8" w14:textId="77777777" w:rsidR="00561B22" w:rsidRPr="007202CB" w:rsidRDefault="00561B22" w:rsidP="00561B22">
      <w:pPr>
        <w:pStyle w:val="Textoindependiente"/>
        <w:jc w:val="both"/>
        <w:rPr>
          <w:rFonts w:ascii="Arial" w:hAnsi="Arial" w:cs="Arial"/>
          <w:b/>
          <w:bCs/>
        </w:rPr>
      </w:pPr>
    </w:p>
    <w:p w14:paraId="3D1BA7B3" w14:textId="77777777" w:rsidR="00561B22" w:rsidRPr="007202CB" w:rsidRDefault="00561B22" w:rsidP="00561B22">
      <w:pPr>
        <w:jc w:val="both"/>
        <w:rPr>
          <w:rFonts w:ascii="Arial" w:hAnsi="Arial" w:cs="Arial"/>
          <w:b/>
          <w:lang w:val="es-MX"/>
        </w:rPr>
      </w:pPr>
      <w:r w:rsidRPr="007202CB">
        <w:rPr>
          <w:rFonts w:ascii="Arial" w:hAnsi="Arial" w:cs="Arial"/>
          <w:b/>
          <w:lang w:val="es-MX"/>
        </w:rPr>
        <w:t>Del citado informe retomamos las siguientes recomendaciones:</w:t>
      </w:r>
    </w:p>
    <w:p w14:paraId="68FD41E9" w14:textId="77777777" w:rsidR="00561B22" w:rsidRPr="007202CB"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7202CB" w14:paraId="6A2CDDE6" w14:textId="77777777" w:rsidTr="00F1223B">
        <w:tc>
          <w:tcPr>
            <w:tcW w:w="562" w:type="dxa"/>
          </w:tcPr>
          <w:p w14:paraId="56D67736"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N°</w:t>
            </w:r>
          </w:p>
        </w:tc>
        <w:tc>
          <w:tcPr>
            <w:tcW w:w="9400" w:type="dxa"/>
          </w:tcPr>
          <w:p w14:paraId="7CA83E36"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RECOMENDACIONES</w:t>
            </w:r>
          </w:p>
          <w:p w14:paraId="5D679786" w14:textId="77777777" w:rsidR="00561B22" w:rsidRPr="007202CB" w:rsidRDefault="00561B22" w:rsidP="00F1223B">
            <w:pPr>
              <w:jc w:val="center"/>
              <w:rPr>
                <w:rFonts w:ascii="Arial" w:hAnsi="Arial" w:cs="Arial"/>
                <w:b/>
                <w:sz w:val="22"/>
                <w:szCs w:val="22"/>
                <w:lang w:val="es-MX"/>
              </w:rPr>
            </w:pPr>
          </w:p>
        </w:tc>
      </w:tr>
      <w:tr w:rsidR="00561B22" w:rsidRPr="007202CB" w14:paraId="3C314A5A" w14:textId="77777777" w:rsidTr="00F1223B">
        <w:tc>
          <w:tcPr>
            <w:tcW w:w="562" w:type="dxa"/>
          </w:tcPr>
          <w:p w14:paraId="5649A1D0"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1</w:t>
            </w:r>
          </w:p>
        </w:tc>
        <w:tc>
          <w:tcPr>
            <w:tcW w:w="9400" w:type="dxa"/>
          </w:tcPr>
          <w:p w14:paraId="61D1798F" w14:textId="77777777" w:rsidR="00561B22" w:rsidRPr="007202CB" w:rsidRDefault="00561B22" w:rsidP="00F1223B">
            <w:pPr>
              <w:jc w:val="both"/>
              <w:rPr>
                <w:rFonts w:ascii="Arial" w:hAnsi="Arial" w:cs="Arial"/>
                <w:bCs/>
                <w:sz w:val="22"/>
                <w:szCs w:val="22"/>
                <w:lang w:val="es-MX"/>
              </w:rPr>
            </w:pPr>
            <w:r w:rsidRPr="007202CB">
              <w:rPr>
                <w:rFonts w:ascii="Arial" w:hAnsi="Arial" w:cs="Arial"/>
                <w:bCs/>
                <w:sz w:val="22"/>
                <w:szCs w:val="22"/>
                <w:lang w:val="es-MX"/>
              </w:rPr>
              <w:t>Fortalecer las acciones de tipo contable y financiero por parte de las áreas proveedoras de información de los c, frente a los riesgos existentes y potenciales en el proceso de índole contable, a través de la mejora continua para no permitir que estos se materialicen y se presenten situaciones que puedan afectar el proceso y el logro de los objetivos institucionales.</w:t>
            </w:r>
          </w:p>
        </w:tc>
      </w:tr>
      <w:tr w:rsidR="00561B22" w:rsidRPr="007202CB" w14:paraId="6213F03F" w14:textId="77777777" w:rsidTr="00F1223B">
        <w:tc>
          <w:tcPr>
            <w:tcW w:w="562" w:type="dxa"/>
          </w:tcPr>
          <w:p w14:paraId="49FE2BA5"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2</w:t>
            </w:r>
          </w:p>
        </w:tc>
        <w:tc>
          <w:tcPr>
            <w:tcW w:w="9400" w:type="dxa"/>
          </w:tcPr>
          <w:p w14:paraId="36DD47B0" w14:textId="77777777" w:rsidR="00561B22" w:rsidRPr="007202CB" w:rsidRDefault="00561B22" w:rsidP="00F1223B">
            <w:pPr>
              <w:jc w:val="both"/>
              <w:rPr>
                <w:rFonts w:ascii="Arial" w:hAnsi="Arial" w:cs="Arial"/>
                <w:bCs/>
                <w:sz w:val="22"/>
                <w:szCs w:val="22"/>
                <w:lang w:val="es-MX"/>
              </w:rPr>
            </w:pPr>
            <w:r w:rsidRPr="007202CB">
              <w:rPr>
                <w:rFonts w:ascii="Arial" w:hAnsi="Arial" w:cs="Arial"/>
                <w:bCs/>
                <w:sz w:val="22"/>
                <w:szCs w:val="22"/>
                <w:lang w:val="es-MX"/>
              </w:rPr>
              <w:t>Incluir en el PIC en la inducción y reinducción de la entidad, temáticas relacionadas con el proceso financiero y contables resaltando la importancia y su incidencia le en el cumplimiento de los objetivos de la entidad.</w:t>
            </w:r>
          </w:p>
        </w:tc>
      </w:tr>
      <w:tr w:rsidR="00561B22" w:rsidRPr="007202CB" w14:paraId="20A3F3EE" w14:textId="77777777" w:rsidTr="00F1223B">
        <w:tc>
          <w:tcPr>
            <w:tcW w:w="562" w:type="dxa"/>
          </w:tcPr>
          <w:p w14:paraId="31F47B67" w14:textId="77777777" w:rsidR="00561B22" w:rsidRPr="007202CB" w:rsidRDefault="00561B22" w:rsidP="00F1223B">
            <w:pPr>
              <w:jc w:val="center"/>
              <w:rPr>
                <w:rFonts w:ascii="Arial" w:hAnsi="Arial" w:cs="Arial"/>
                <w:b/>
                <w:sz w:val="22"/>
                <w:szCs w:val="22"/>
                <w:lang w:val="es-MX"/>
              </w:rPr>
            </w:pPr>
            <w:r w:rsidRPr="007202CB">
              <w:rPr>
                <w:rFonts w:ascii="Arial" w:hAnsi="Arial" w:cs="Arial"/>
                <w:b/>
                <w:sz w:val="22"/>
                <w:szCs w:val="22"/>
                <w:lang w:val="es-MX"/>
              </w:rPr>
              <w:t>3</w:t>
            </w:r>
          </w:p>
        </w:tc>
        <w:tc>
          <w:tcPr>
            <w:tcW w:w="9400" w:type="dxa"/>
          </w:tcPr>
          <w:p w14:paraId="0B2EE215" w14:textId="77777777" w:rsidR="00561B22" w:rsidRPr="007202CB" w:rsidRDefault="00561B22" w:rsidP="00F1223B">
            <w:pPr>
              <w:pStyle w:val="Textoindependiente3"/>
              <w:suppressAutoHyphens/>
              <w:spacing w:after="0" w:line="235" w:lineRule="exact"/>
              <w:jc w:val="both"/>
              <w:rPr>
                <w:rFonts w:ascii="Arial" w:hAnsi="Arial" w:cs="Arial"/>
                <w:b/>
                <w:sz w:val="22"/>
                <w:szCs w:val="22"/>
              </w:rPr>
            </w:pPr>
            <w:r w:rsidRPr="007202CB">
              <w:rPr>
                <w:rFonts w:ascii="Arial" w:hAnsi="Arial" w:cs="Arial"/>
                <w:sz w:val="22"/>
                <w:szCs w:val="22"/>
              </w:rPr>
              <w:t>Continuar con las acciones permanentes de seguimiento y control frente al proceso de gestión financiero y contable.</w:t>
            </w:r>
          </w:p>
        </w:tc>
      </w:tr>
    </w:tbl>
    <w:p w14:paraId="4CD1C30F" w14:textId="77777777" w:rsidR="00561B22" w:rsidRDefault="00561B22" w:rsidP="00561B22">
      <w:pPr>
        <w:pStyle w:val="Textoindependiente"/>
        <w:ind w:right="-50"/>
        <w:jc w:val="both"/>
        <w:rPr>
          <w:rFonts w:ascii="Arial" w:hAnsi="Arial" w:cs="Arial"/>
          <w:b/>
          <w:bCs/>
        </w:rPr>
      </w:pPr>
    </w:p>
    <w:p w14:paraId="2634E8DF" w14:textId="77777777" w:rsidR="00561B22" w:rsidRPr="00044A63" w:rsidRDefault="00561B22" w:rsidP="00561B22">
      <w:pPr>
        <w:jc w:val="both"/>
        <w:rPr>
          <w:rFonts w:ascii="Arial" w:hAnsi="Arial" w:cs="Arial"/>
          <w:b/>
          <w:sz w:val="28"/>
          <w:szCs w:val="28"/>
          <w:lang w:val="es-MX"/>
        </w:rPr>
      </w:pPr>
      <w:r w:rsidRPr="00044A63">
        <w:rPr>
          <w:rFonts w:ascii="Arial" w:hAnsi="Arial" w:cs="Arial"/>
          <w:b/>
          <w:sz w:val="28"/>
          <w:szCs w:val="28"/>
          <w:lang w:val="es-MX"/>
        </w:rPr>
        <w:t xml:space="preserve">100.- </w:t>
      </w:r>
      <w:r w:rsidRPr="00044A63">
        <w:rPr>
          <w:rFonts w:ascii="Arial" w:hAnsi="Arial" w:cs="Arial"/>
          <w:b/>
          <w:sz w:val="28"/>
          <w:szCs w:val="28"/>
          <w:lang w:val="es-CO"/>
        </w:rPr>
        <w:t>CORPORACIÓN AUTÓNOMA REGIONAL DEL TOLIMA – CORTOLIMA.</w:t>
      </w:r>
    </w:p>
    <w:p w14:paraId="56D6855B" w14:textId="77777777" w:rsidR="00561B22" w:rsidRDefault="00561B22" w:rsidP="00561B22">
      <w:pPr>
        <w:pStyle w:val="Textoindependiente"/>
        <w:ind w:right="-50"/>
        <w:jc w:val="both"/>
        <w:rPr>
          <w:rFonts w:ascii="Arial" w:hAnsi="Arial" w:cs="Arial"/>
          <w:b/>
          <w:bCs/>
          <w:lang w:val="es-MX"/>
        </w:rPr>
      </w:pPr>
    </w:p>
    <w:p w14:paraId="7EC6E5CC" w14:textId="77777777" w:rsidR="00561B22" w:rsidRPr="00F83749" w:rsidRDefault="00561B22" w:rsidP="00561B22">
      <w:pPr>
        <w:pStyle w:val="Textoindependiente"/>
        <w:jc w:val="center"/>
        <w:rPr>
          <w:rFonts w:ascii="Arial" w:hAnsi="Arial" w:cs="Arial"/>
          <w:b/>
          <w:bCs/>
        </w:rPr>
      </w:pPr>
      <w:r w:rsidRPr="00F83749">
        <w:rPr>
          <w:rFonts w:ascii="Arial" w:hAnsi="Arial" w:cs="Arial"/>
          <w:b/>
          <w:bCs/>
        </w:rPr>
        <w:t>INFORME DE LA AUTOCALIFICACIÓN DEL SISTEMA DE CONTROL INTERNO CONTABLE:</w:t>
      </w:r>
    </w:p>
    <w:p w14:paraId="2F6AB8F9" w14:textId="77777777" w:rsidR="00561B22" w:rsidRPr="00F8374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83749" w14:paraId="0DECBA13" w14:textId="77777777" w:rsidTr="00F1223B">
        <w:tc>
          <w:tcPr>
            <w:tcW w:w="4981" w:type="dxa"/>
          </w:tcPr>
          <w:p w14:paraId="2C46F7A8"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AUTOCALIFICACIÓN</w:t>
            </w:r>
          </w:p>
        </w:tc>
        <w:tc>
          <w:tcPr>
            <w:tcW w:w="4981" w:type="dxa"/>
          </w:tcPr>
          <w:p w14:paraId="3997C1A5" w14:textId="77777777" w:rsidR="00561B22" w:rsidRPr="00F83749" w:rsidRDefault="00561B22" w:rsidP="00F1223B">
            <w:pPr>
              <w:jc w:val="center"/>
              <w:rPr>
                <w:rFonts w:ascii="Arial" w:hAnsi="Arial" w:cs="Arial"/>
                <w:b/>
                <w:sz w:val="22"/>
                <w:szCs w:val="22"/>
                <w:u w:val="single"/>
                <w:lang w:val="es-MX"/>
              </w:rPr>
            </w:pPr>
            <w:r w:rsidRPr="00F83749">
              <w:rPr>
                <w:rFonts w:ascii="Arial" w:hAnsi="Arial" w:cs="Arial"/>
                <w:b/>
                <w:sz w:val="22"/>
                <w:szCs w:val="22"/>
                <w:u w:val="single"/>
                <w:lang w:val="es-MX"/>
              </w:rPr>
              <w:t>4.96</w:t>
            </w:r>
          </w:p>
        </w:tc>
      </w:tr>
    </w:tbl>
    <w:p w14:paraId="4DAB2A4B" w14:textId="77777777" w:rsidR="00561B22" w:rsidRPr="00F83749" w:rsidRDefault="00561B22" w:rsidP="00561B22">
      <w:pPr>
        <w:pStyle w:val="Textoindependiente"/>
        <w:jc w:val="both"/>
        <w:rPr>
          <w:rFonts w:ascii="Arial" w:hAnsi="Arial" w:cs="Arial"/>
          <w:b/>
          <w:bCs/>
        </w:rPr>
      </w:pPr>
    </w:p>
    <w:p w14:paraId="3A824C59" w14:textId="77777777" w:rsidR="00561B22" w:rsidRPr="00F83749" w:rsidRDefault="00561B22" w:rsidP="00561B22">
      <w:pPr>
        <w:pStyle w:val="Textoindependiente"/>
        <w:jc w:val="both"/>
        <w:rPr>
          <w:rFonts w:ascii="Arial" w:hAnsi="Arial" w:cs="Arial"/>
          <w:b/>
          <w:bCs/>
        </w:rPr>
      </w:pPr>
      <w:r w:rsidRPr="00F83749">
        <w:rPr>
          <w:rFonts w:ascii="Arial" w:hAnsi="Arial" w:cs="Arial"/>
          <w:b/>
          <w:bCs/>
        </w:rPr>
        <w:t>Del informe enviado retomamos lo siguiente:</w:t>
      </w:r>
    </w:p>
    <w:p w14:paraId="33B7C8A7" w14:textId="77777777" w:rsidR="00561B22" w:rsidRPr="00F8374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83749" w14:paraId="50802847" w14:textId="77777777" w:rsidTr="00F1223B">
        <w:tc>
          <w:tcPr>
            <w:tcW w:w="562" w:type="dxa"/>
          </w:tcPr>
          <w:p w14:paraId="2C996BBC"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N°</w:t>
            </w:r>
          </w:p>
        </w:tc>
        <w:tc>
          <w:tcPr>
            <w:tcW w:w="9400" w:type="dxa"/>
          </w:tcPr>
          <w:p w14:paraId="14C6E690"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DEBILIDADES</w:t>
            </w:r>
          </w:p>
          <w:p w14:paraId="2D87DEEE" w14:textId="77777777" w:rsidR="00561B22" w:rsidRPr="00F83749" w:rsidRDefault="00561B22" w:rsidP="00F1223B">
            <w:pPr>
              <w:jc w:val="center"/>
              <w:rPr>
                <w:rFonts w:ascii="Arial" w:hAnsi="Arial" w:cs="Arial"/>
                <w:b/>
                <w:sz w:val="22"/>
                <w:szCs w:val="22"/>
                <w:lang w:val="es-MX"/>
              </w:rPr>
            </w:pPr>
          </w:p>
        </w:tc>
      </w:tr>
      <w:tr w:rsidR="00561B22" w:rsidRPr="00F83749" w14:paraId="2A24C1A2" w14:textId="77777777" w:rsidTr="00F1223B">
        <w:tc>
          <w:tcPr>
            <w:tcW w:w="562" w:type="dxa"/>
          </w:tcPr>
          <w:p w14:paraId="5F960122"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1</w:t>
            </w:r>
          </w:p>
        </w:tc>
        <w:tc>
          <w:tcPr>
            <w:tcW w:w="9400" w:type="dxa"/>
          </w:tcPr>
          <w:p w14:paraId="18B67149" w14:textId="77777777" w:rsidR="00561B22" w:rsidRPr="00F83749" w:rsidRDefault="00561B22" w:rsidP="00F1223B">
            <w:pPr>
              <w:rPr>
                <w:rFonts w:ascii="Arial" w:hAnsi="Arial" w:cs="Arial"/>
                <w:sz w:val="22"/>
                <w:szCs w:val="22"/>
                <w:lang w:val="es-MX"/>
              </w:rPr>
            </w:pPr>
            <w:r w:rsidRPr="00F83749">
              <w:rPr>
                <w:rFonts w:ascii="Arial" w:hAnsi="Arial" w:cs="Arial"/>
                <w:sz w:val="22"/>
                <w:szCs w:val="22"/>
              </w:rPr>
              <w:t>Fortalecer el monitoreo con la actualización del mapa de riesgos</w:t>
            </w:r>
          </w:p>
        </w:tc>
      </w:tr>
    </w:tbl>
    <w:p w14:paraId="5F251B99" w14:textId="77777777" w:rsidR="00561B22" w:rsidRPr="00F83749" w:rsidRDefault="00561B22" w:rsidP="00561B22">
      <w:pPr>
        <w:pStyle w:val="Textoindependiente"/>
        <w:jc w:val="both"/>
        <w:rPr>
          <w:rFonts w:ascii="Arial" w:hAnsi="Arial" w:cs="Arial"/>
          <w:b/>
          <w:bCs/>
        </w:rPr>
      </w:pPr>
    </w:p>
    <w:p w14:paraId="2DA09BD1" w14:textId="77777777" w:rsidR="00561B22" w:rsidRPr="00F83749" w:rsidRDefault="00561B22" w:rsidP="00561B22">
      <w:pPr>
        <w:jc w:val="both"/>
        <w:rPr>
          <w:rFonts w:ascii="Arial" w:hAnsi="Arial" w:cs="Arial"/>
          <w:b/>
          <w:lang w:val="es-MX"/>
        </w:rPr>
      </w:pPr>
      <w:r w:rsidRPr="00F83749">
        <w:rPr>
          <w:rFonts w:ascii="Arial" w:hAnsi="Arial" w:cs="Arial"/>
          <w:b/>
          <w:lang w:val="es-MX"/>
        </w:rPr>
        <w:t>Del citado informe retomamos las siguientes recomendaciones:</w:t>
      </w:r>
    </w:p>
    <w:p w14:paraId="05867599" w14:textId="77777777" w:rsidR="00561B22" w:rsidRPr="00F8374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83749" w14:paraId="0FA95842" w14:textId="77777777" w:rsidTr="00F1223B">
        <w:tc>
          <w:tcPr>
            <w:tcW w:w="562" w:type="dxa"/>
          </w:tcPr>
          <w:p w14:paraId="125A2BCD"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N°</w:t>
            </w:r>
          </w:p>
        </w:tc>
        <w:tc>
          <w:tcPr>
            <w:tcW w:w="9400" w:type="dxa"/>
          </w:tcPr>
          <w:p w14:paraId="284F1A4F"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RECOMENDACIONES</w:t>
            </w:r>
          </w:p>
          <w:p w14:paraId="7DB1236F" w14:textId="77777777" w:rsidR="00561B22" w:rsidRPr="00F83749" w:rsidRDefault="00561B22" w:rsidP="00F1223B">
            <w:pPr>
              <w:jc w:val="center"/>
              <w:rPr>
                <w:rFonts w:ascii="Arial" w:hAnsi="Arial" w:cs="Arial"/>
                <w:b/>
                <w:sz w:val="22"/>
                <w:szCs w:val="22"/>
                <w:lang w:val="es-MX"/>
              </w:rPr>
            </w:pPr>
          </w:p>
        </w:tc>
      </w:tr>
      <w:tr w:rsidR="00561B22" w:rsidRPr="00F83749" w14:paraId="352DF3B9" w14:textId="77777777" w:rsidTr="00F1223B">
        <w:tc>
          <w:tcPr>
            <w:tcW w:w="562" w:type="dxa"/>
          </w:tcPr>
          <w:p w14:paraId="6EAB8410" w14:textId="77777777" w:rsidR="00561B22" w:rsidRPr="00F83749" w:rsidRDefault="00561B22" w:rsidP="00F1223B">
            <w:pPr>
              <w:jc w:val="center"/>
              <w:rPr>
                <w:rFonts w:ascii="Arial" w:hAnsi="Arial" w:cs="Arial"/>
                <w:b/>
                <w:sz w:val="22"/>
                <w:szCs w:val="22"/>
                <w:lang w:val="es-MX"/>
              </w:rPr>
            </w:pPr>
            <w:r w:rsidRPr="00F83749">
              <w:rPr>
                <w:rFonts w:ascii="Arial" w:hAnsi="Arial" w:cs="Arial"/>
                <w:b/>
                <w:sz w:val="22"/>
                <w:szCs w:val="22"/>
                <w:lang w:val="es-MX"/>
              </w:rPr>
              <w:t>1</w:t>
            </w:r>
          </w:p>
        </w:tc>
        <w:tc>
          <w:tcPr>
            <w:tcW w:w="9400" w:type="dxa"/>
          </w:tcPr>
          <w:p w14:paraId="44F63A78" w14:textId="77777777" w:rsidR="00561B22" w:rsidRPr="00F83749" w:rsidRDefault="00561B22" w:rsidP="00F1223B">
            <w:pPr>
              <w:rPr>
                <w:rFonts w:ascii="Arial" w:hAnsi="Arial" w:cs="Arial"/>
                <w:sz w:val="22"/>
                <w:szCs w:val="22"/>
                <w:lang w:val="es-MX"/>
              </w:rPr>
            </w:pPr>
            <w:r w:rsidRPr="00F83749">
              <w:rPr>
                <w:rFonts w:ascii="Arial" w:hAnsi="Arial" w:cs="Arial"/>
                <w:sz w:val="22"/>
                <w:szCs w:val="22"/>
              </w:rPr>
              <w:t>Se debe actualizar el mapa de riesgo del proceso</w:t>
            </w:r>
          </w:p>
        </w:tc>
      </w:tr>
    </w:tbl>
    <w:p w14:paraId="3EEBC9C9" w14:textId="77777777" w:rsidR="00561B22" w:rsidRPr="00F83749" w:rsidRDefault="00561B22" w:rsidP="00561B22">
      <w:pPr>
        <w:pStyle w:val="Textoindependiente"/>
        <w:jc w:val="both"/>
        <w:rPr>
          <w:rFonts w:ascii="Arial" w:hAnsi="Arial" w:cs="Arial"/>
          <w:b/>
          <w:bCs/>
        </w:rPr>
      </w:pPr>
    </w:p>
    <w:p w14:paraId="76A90C18" w14:textId="77777777" w:rsidR="00561B22" w:rsidRPr="00F83749" w:rsidRDefault="00561B22" w:rsidP="00561B22">
      <w:pPr>
        <w:jc w:val="both"/>
        <w:rPr>
          <w:rFonts w:ascii="Arial" w:hAnsi="Arial" w:cs="Arial"/>
          <w:b/>
          <w:bCs/>
          <w:sz w:val="24"/>
          <w:szCs w:val="24"/>
          <w:lang w:val="es-CO"/>
        </w:rPr>
      </w:pPr>
      <w:r w:rsidRPr="00F83749">
        <w:rPr>
          <w:rFonts w:ascii="Arial" w:hAnsi="Arial" w:cs="Arial"/>
          <w:b/>
          <w:bCs/>
          <w:sz w:val="24"/>
          <w:szCs w:val="24"/>
          <w:lang w:val="es-CO"/>
        </w:rPr>
        <w:t xml:space="preserve">NOTA: LA ENTIDAD ENVIA LA MATRIZ DE AUTOEVALUACIÓN DEL SISTEMA DE CONTROL INTERNO CONTABLE CON </w:t>
      </w:r>
      <w:r w:rsidRPr="00F83749">
        <w:rPr>
          <w:rFonts w:ascii="Arial" w:hAnsi="Arial" w:cs="Arial"/>
          <w:b/>
          <w:bCs/>
          <w:sz w:val="24"/>
          <w:szCs w:val="24"/>
          <w:u w:val="single"/>
          <w:lang w:val="es-CO"/>
        </w:rPr>
        <w:t>ACTIVIDADES DE CONTROL REALIZADAS EN FORMA PARCIAL</w:t>
      </w:r>
      <w:r w:rsidRPr="00F83749">
        <w:rPr>
          <w:rFonts w:ascii="Arial" w:hAnsi="Arial" w:cs="Arial"/>
          <w:b/>
          <w:bCs/>
          <w:sz w:val="24"/>
          <w:szCs w:val="24"/>
          <w:lang w:val="es-CO"/>
        </w:rPr>
        <w:t>.</w:t>
      </w:r>
    </w:p>
    <w:p w14:paraId="4E41DA05" w14:textId="77777777" w:rsidR="00561B22" w:rsidRDefault="00561B22" w:rsidP="00561B22">
      <w:pPr>
        <w:jc w:val="both"/>
        <w:rPr>
          <w:rFonts w:ascii="Arial" w:hAnsi="Arial" w:cs="Arial"/>
          <w:b/>
          <w:bCs/>
          <w:sz w:val="24"/>
          <w:szCs w:val="24"/>
          <w:lang w:val="es-CO"/>
        </w:rPr>
      </w:pPr>
    </w:p>
    <w:p w14:paraId="4F55E1D5" w14:textId="77777777" w:rsidR="00561B22" w:rsidRPr="009C2AF4" w:rsidRDefault="00561B22" w:rsidP="00561B22">
      <w:pPr>
        <w:pStyle w:val="Prrafodelista"/>
        <w:spacing w:before="92"/>
        <w:ind w:left="0"/>
        <w:jc w:val="both"/>
        <w:rPr>
          <w:rFonts w:ascii="Arial" w:hAnsi="Arial" w:cs="Arial"/>
          <w:b/>
          <w:sz w:val="28"/>
          <w:szCs w:val="28"/>
          <w:lang w:val="es-MX"/>
        </w:rPr>
      </w:pPr>
      <w:r w:rsidRPr="009C2AF4">
        <w:rPr>
          <w:rFonts w:ascii="Arial" w:hAnsi="Arial" w:cs="Arial"/>
          <w:b/>
          <w:sz w:val="28"/>
          <w:szCs w:val="28"/>
          <w:lang w:val="es-MX"/>
        </w:rPr>
        <w:t xml:space="preserve">101.- CORPORACIÓN AUTÓNOMA REGIONAL DE CALDAS – CORPOCALDAS. </w:t>
      </w:r>
    </w:p>
    <w:p w14:paraId="2CC5976D" w14:textId="77777777" w:rsidR="00561B22" w:rsidRDefault="00561B22" w:rsidP="00561B22">
      <w:pPr>
        <w:jc w:val="both"/>
        <w:rPr>
          <w:rFonts w:ascii="Arial" w:hAnsi="Arial" w:cs="Arial"/>
          <w:b/>
          <w:bCs/>
          <w:sz w:val="24"/>
          <w:szCs w:val="24"/>
          <w:lang w:val="es-MX"/>
        </w:rPr>
      </w:pPr>
    </w:p>
    <w:p w14:paraId="334EEB6B" w14:textId="77777777" w:rsidR="00561B22" w:rsidRPr="009C2AF4" w:rsidRDefault="00561B22" w:rsidP="00561B22">
      <w:pPr>
        <w:pStyle w:val="Textoindependiente"/>
        <w:jc w:val="center"/>
        <w:rPr>
          <w:rFonts w:ascii="Arial" w:hAnsi="Arial" w:cs="Arial"/>
          <w:b/>
          <w:bCs/>
        </w:rPr>
      </w:pPr>
      <w:r w:rsidRPr="009C2AF4">
        <w:rPr>
          <w:rFonts w:ascii="Arial" w:hAnsi="Arial" w:cs="Arial"/>
          <w:b/>
          <w:bCs/>
        </w:rPr>
        <w:t>INFORME DE LA AUTOCALIFICACIÓN DEL SISTEMA DE CONTROL INTERNO CONTABLE:</w:t>
      </w:r>
    </w:p>
    <w:p w14:paraId="75AA31E6" w14:textId="77777777" w:rsidR="00561B22" w:rsidRPr="009C2AF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C2AF4" w14:paraId="1EF5793E" w14:textId="77777777" w:rsidTr="00F1223B">
        <w:tc>
          <w:tcPr>
            <w:tcW w:w="4981" w:type="dxa"/>
          </w:tcPr>
          <w:p w14:paraId="1D493014"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lastRenderedPageBreak/>
              <w:t>AUTOCALIFICACIÓN</w:t>
            </w:r>
          </w:p>
        </w:tc>
        <w:tc>
          <w:tcPr>
            <w:tcW w:w="4981" w:type="dxa"/>
          </w:tcPr>
          <w:p w14:paraId="1BC63BEB" w14:textId="77777777" w:rsidR="00561B22" w:rsidRPr="009C2AF4" w:rsidRDefault="00561B22" w:rsidP="00F1223B">
            <w:pPr>
              <w:jc w:val="center"/>
              <w:rPr>
                <w:rFonts w:ascii="Arial" w:hAnsi="Arial" w:cs="Arial"/>
                <w:b/>
                <w:sz w:val="22"/>
                <w:szCs w:val="22"/>
                <w:u w:val="single"/>
                <w:lang w:val="es-MX"/>
              </w:rPr>
            </w:pPr>
            <w:r w:rsidRPr="009C2AF4">
              <w:rPr>
                <w:rFonts w:ascii="Arial" w:hAnsi="Arial" w:cs="Arial"/>
                <w:b/>
                <w:sz w:val="22"/>
                <w:szCs w:val="22"/>
                <w:u w:val="single"/>
                <w:lang w:val="es-MX"/>
              </w:rPr>
              <w:t>5.00</w:t>
            </w:r>
          </w:p>
        </w:tc>
      </w:tr>
    </w:tbl>
    <w:p w14:paraId="4A391551" w14:textId="77777777" w:rsidR="00561B22" w:rsidRPr="009C2AF4" w:rsidRDefault="00561B22" w:rsidP="00561B22">
      <w:pPr>
        <w:pStyle w:val="Textoindependiente"/>
        <w:jc w:val="both"/>
        <w:rPr>
          <w:rFonts w:ascii="Arial" w:hAnsi="Arial" w:cs="Arial"/>
          <w:b/>
          <w:bCs/>
        </w:rPr>
      </w:pPr>
    </w:p>
    <w:p w14:paraId="0AF39D72" w14:textId="77777777" w:rsidR="00561B22" w:rsidRPr="009C2AF4" w:rsidRDefault="00561B22" w:rsidP="00561B22">
      <w:pPr>
        <w:pStyle w:val="Textoindependiente"/>
        <w:jc w:val="both"/>
        <w:rPr>
          <w:rFonts w:ascii="Arial" w:hAnsi="Arial" w:cs="Arial"/>
          <w:b/>
          <w:bCs/>
        </w:rPr>
      </w:pPr>
      <w:r w:rsidRPr="009C2AF4">
        <w:rPr>
          <w:rFonts w:ascii="Arial" w:hAnsi="Arial" w:cs="Arial"/>
          <w:b/>
          <w:bCs/>
        </w:rPr>
        <w:t>Del informe enviado retomamos lo siguiente:</w:t>
      </w:r>
    </w:p>
    <w:p w14:paraId="3EEBC9CC" w14:textId="77777777" w:rsidR="00561B22" w:rsidRPr="009C2AF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C2AF4" w14:paraId="22F569DC" w14:textId="77777777" w:rsidTr="00F1223B">
        <w:tc>
          <w:tcPr>
            <w:tcW w:w="562" w:type="dxa"/>
          </w:tcPr>
          <w:p w14:paraId="76A97777"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N°</w:t>
            </w:r>
          </w:p>
        </w:tc>
        <w:tc>
          <w:tcPr>
            <w:tcW w:w="9400" w:type="dxa"/>
          </w:tcPr>
          <w:p w14:paraId="5E5900B2"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DEBILIDADES</w:t>
            </w:r>
          </w:p>
          <w:p w14:paraId="177C9F3B" w14:textId="77777777" w:rsidR="00561B22" w:rsidRPr="009C2AF4" w:rsidRDefault="00561B22" w:rsidP="00F1223B">
            <w:pPr>
              <w:jc w:val="center"/>
              <w:rPr>
                <w:rFonts w:ascii="Arial" w:hAnsi="Arial" w:cs="Arial"/>
                <w:b/>
                <w:sz w:val="22"/>
                <w:szCs w:val="22"/>
                <w:lang w:val="es-MX"/>
              </w:rPr>
            </w:pPr>
          </w:p>
        </w:tc>
      </w:tr>
      <w:tr w:rsidR="00561B22" w:rsidRPr="009C2AF4" w14:paraId="1B11A4C9" w14:textId="77777777" w:rsidTr="00F1223B">
        <w:tc>
          <w:tcPr>
            <w:tcW w:w="562" w:type="dxa"/>
          </w:tcPr>
          <w:p w14:paraId="3BEAE514"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1</w:t>
            </w:r>
          </w:p>
        </w:tc>
        <w:tc>
          <w:tcPr>
            <w:tcW w:w="9400" w:type="dxa"/>
          </w:tcPr>
          <w:p w14:paraId="3D630708" w14:textId="77777777" w:rsidR="00561B22" w:rsidRPr="009C2AF4" w:rsidRDefault="00561B22" w:rsidP="00F1223B">
            <w:pPr>
              <w:jc w:val="both"/>
              <w:rPr>
                <w:rFonts w:ascii="Arial" w:hAnsi="Arial" w:cs="Arial"/>
                <w:bCs/>
                <w:sz w:val="22"/>
                <w:szCs w:val="22"/>
                <w:lang w:val="es-MX"/>
              </w:rPr>
            </w:pPr>
            <w:r w:rsidRPr="009C2AF4">
              <w:rPr>
                <w:rFonts w:ascii="Arial" w:hAnsi="Arial" w:cs="Arial"/>
                <w:bCs/>
                <w:sz w:val="22"/>
                <w:szCs w:val="22"/>
                <w:lang w:val="es-MX"/>
              </w:rPr>
              <w:t xml:space="preserve">Se deben fortalecer los mecanismos de comunicación entre las diferentes áreas de la entidad. </w:t>
            </w:r>
          </w:p>
        </w:tc>
      </w:tr>
      <w:tr w:rsidR="00561B22" w:rsidRPr="009C2AF4" w14:paraId="605DED9C" w14:textId="77777777" w:rsidTr="00F1223B">
        <w:tc>
          <w:tcPr>
            <w:tcW w:w="562" w:type="dxa"/>
          </w:tcPr>
          <w:p w14:paraId="0EEB758F"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2</w:t>
            </w:r>
          </w:p>
        </w:tc>
        <w:tc>
          <w:tcPr>
            <w:tcW w:w="9400" w:type="dxa"/>
          </w:tcPr>
          <w:p w14:paraId="7A09ADD0" w14:textId="77777777" w:rsidR="00561B22" w:rsidRPr="009C2AF4" w:rsidRDefault="00561B22" w:rsidP="00F1223B">
            <w:pPr>
              <w:jc w:val="both"/>
              <w:rPr>
                <w:rFonts w:ascii="Arial" w:hAnsi="Arial" w:cs="Arial"/>
                <w:bCs/>
                <w:sz w:val="22"/>
                <w:szCs w:val="22"/>
                <w:lang w:val="es-MX"/>
              </w:rPr>
            </w:pPr>
            <w:r w:rsidRPr="009C2AF4">
              <w:rPr>
                <w:rFonts w:ascii="Arial" w:hAnsi="Arial" w:cs="Arial"/>
                <w:bCs/>
                <w:sz w:val="22"/>
                <w:szCs w:val="22"/>
                <w:lang w:val="es-MX"/>
              </w:rPr>
              <w:t>Se debe estar en constante actualización de los procedimientos del área.</w:t>
            </w:r>
          </w:p>
        </w:tc>
      </w:tr>
    </w:tbl>
    <w:p w14:paraId="0E716CFD" w14:textId="77777777" w:rsidR="00561B22" w:rsidRPr="009C2AF4" w:rsidRDefault="00561B22" w:rsidP="00561B22">
      <w:pPr>
        <w:pStyle w:val="Textoindependiente"/>
        <w:jc w:val="both"/>
        <w:rPr>
          <w:rFonts w:ascii="Arial" w:hAnsi="Arial" w:cs="Arial"/>
          <w:b/>
          <w:bCs/>
        </w:rPr>
      </w:pPr>
    </w:p>
    <w:p w14:paraId="306EEE4B" w14:textId="77777777" w:rsidR="00561B22" w:rsidRPr="009C2AF4" w:rsidRDefault="00561B22" w:rsidP="00561B22">
      <w:pPr>
        <w:jc w:val="both"/>
        <w:rPr>
          <w:rFonts w:ascii="Arial" w:hAnsi="Arial" w:cs="Arial"/>
          <w:b/>
          <w:lang w:val="es-MX"/>
        </w:rPr>
      </w:pPr>
      <w:r w:rsidRPr="009C2AF4">
        <w:rPr>
          <w:rFonts w:ascii="Arial" w:hAnsi="Arial" w:cs="Arial"/>
          <w:b/>
          <w:lang w:val="es-MX"/>
        </w:rPr>
        <w:t>Del citado informe retomamos las siguientes recomendaciones:</w:t>
      </w:r>
    </w:p>
    <w:p w14:paraId="2AB8788E" w14:textId="77777777" w:rsidR="00561B22" w:rsidRPr="009C2AF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C2AF4" w14:paraId="675CEB8E" w14:textId="77777777" w:rsidTr="00F1223B">
        <w:tc>
          <w:tcPr>
            <w:tcW w:w="562" w:type="dxa"/>
          </w:tcPr>
          <w:p w14:paraId="01F5BA1A"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N°</w:t>
            </w:r>
          </w:p>
        </w:tc>
        <w:tc>
          <w:tcPr>
            <w:tcW w:w="9400" w:type="dxa"/>
          </w:tcPr>
          <w:p w14:paraId="4AF13B1B"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RECOMENDACIONES</w:t>
            </w:r>
          </w:p>
          <w:p w14:paraId="2375557A" w14:textId="77777777" w:rsidR="00561B22" w:rsidRPr="009C2AF4" w:rsidRDefault="00561B22" w:rsidP="00F1223B">
            <w:pPr>
              <w:jc w:val="center"/>
              <w:rPr>
                <w:rFonts w:ascii="Arial" w:hAnsi="Arial" w:cs="Arial"/>
                <w:b/>
                <w:sz w:val="22"/>
                <w:szCs w:val="22"/>
                <w:lang w:val="es-MX"/>
              </w:rPr>
            </w:pPr>
          </w:p>
        </w:tc>
      </w:tr>
      <w:tr w:rsidR="00561B22" w:rsidRPr="009C2AF4" w14:paraId="7D5AA3AD" w14:textId="77777777" w:rsidTr="00F1223B">
        <w:tc>
          <w:tcPr>
            <w:tcW w:w="562" w:type="dxa"/>
          </w:tcPr>
          <w:p w14:paraId="72C5964D" w14:textId="77777777" w:rsidR="00561B22" w:rsidRPr="009C2AF4" w:rsidRDefault="00561B22" w:rsidP="00F1223B">
            <w:pPr>
              <w:jc w:val="center"/>
              <w:rPr>
                <w:rFonts w:ascii="Arial" w:hAnsi="Arial" w:cs="Arial"/>
                <w:b/>
                <w:sz w:val="22"/>
                <w:szCs w:val="22"/>
                <w:lang w:val="es-MX"/>
              </w:rPr>
            </w:pPr>
            <w:r w:rsidRPr="009C2AF4">
              <w:rPr>
                <w:rFonts w:ascii="Arial" w:hAnsi="Arial" w:cs="Arial"/>
                <w:b/>
                <w:sz w:val="22"/>
                <w:szCs w:val="22"/>
                <w:lang w:val="es-MX"/>
              </w:rPr>
              <w:t>1</w:t>
            </w:r>
          </w:p>
        </w:tc>
        <w:tc>
          <w:tcPr>
            <w:tcW w:w="9400" w:type="dxa"/>
          </w:tcPr>
          <w:p w14:paraId="21240182" w14:textId="77777777" w:rsidR="00561B22" w:rsidRPr="009C2AF4" w:rsidRDefault="00561B22" w:rsidP="00F1223B">
            <w:pPr>
              <w:jc w:val="both"/>
              <w:rPr>
                <w:rFonts w:ascii="Arial" w:hAnsi="Arial" w:cs="Arial"/>
                <w:bCs/>
                <w:sz w:val="22"/>
                <w:szCs w:val="22"/>
                <w:lang w:val="es-MX"/>
              </w:rPr>
            </w:pPr>
            <w:r w:rsidRPr="009C2AF4">
              <w:rPr>
                <w:rFonts w:ascii="Arial" w:hAnsi="Arial" w:cs="Arial"/>
                <w:bCs/>
                <w:sz w:val="22"/>
                <w:szCs w:val="22"/>
                <w:lang w:val="es-MX"/>
              </w:rPr>
              <w:t>La entidad debe proporcionar tiempos y recursos necesarios para que el subproceso pueda asistir a diferentes tipos de capacitación sin que se generen traumatismos por ausencia del personal.</w:t>
            </w:r>
          </w:p>
        </w:tc>
      </w:tr>
    </w:tbl>
    <w:p w14:paraId="194620AE" w14:textId="77777777" w:rsidR="00561B22" w:rsidRPr="009C2AF4" w:rsidRDefault="00561B22" w:rsidP="00561B22">
      <w:pPr>
        <w:pStyle w:val="Textoindependiente"/>
        <w:jc w:val="both"/>
        <w:rPr>
          <w:rFonts w:ascii="Arial" w:hAnsi="Arial" w:cs="Arial"/>
          <w:b/>
          <w:bCs/>
        </w:rPr>
      </w:pPr>
    </w:p>
    <w:p w14:paraId="32607E5D" w14:textId="77777777" w:rsidR="00561B22" w:rsidRPr="00E27FA5" w:rsidRDefault="00561B22" w:rsidP="00561B22">
      <w:pPr>
        <w:jc w:val="both"/>
        <w:rPr>
          <w:rFonts w:ascii="Arial" w:hAnsi="Arial" w:cs="Arial"/>
          <w:b/>
          <w:sz w:val="28"/>
          <w:szCs w:val="28"/>
          <w:lang w:val="es-MX"/>
        </w:rPr>
      </w:pPr>
      <w:r w:rsidRPr="00E27FA5">
        <w:rPr>
          <w:rFonts w:ascii="Arial" w:hAnsi="Arial" w:cs="Arial"/>
          <w:b/>
          <w:sz w:val="28"/>
          <w:szCs w:val="28"/>
          <w:lang w:val="es-MX"/>
        </w:rPr>
        <w:t xml:space="preserve">102.- </w:t>
      </w:r>
      <w:r w:rsidRPr="00E27FA5">
        <w:rPr>
          <w:rFonts w:ascii="Arial" w:hAnsi="Arial" w:cs="Arial"/>
          <w:b/>
          <w:sz w:val="28"/>
          <w:szCs w:val="28"/>
          <w:lang w:val="es-CO"/>
        </w:rPr>
        <w:t xml:space="preserve">CORPORACIÓN SALUD U.N. </w:t>
      </w:r>
    </w:p>
    <w:p w14:paraId="3ADC96BE" w14:textId="77777777" w:rsidR="00561B22" w:rsidRDefault="00561B22" w:rsidP="00561B22">
      <w:pPr>
        <w:jc w:val="both"/>
        <w:rPr>
          <w:rFonts w:ascii="Arial" w:hAnsi="Arial" w:cs="Arial"/>
          <w:b/>
          <w:bCs/>
          <w:sz w:val="24"/>
          <w:szCs w:val="24"/>
        </w:rPr>
      </w:pPr>
    </w:p>
    <w:p w14:paraId="3B8FD283" w14:textId="77777777" w:rsidR="00561B22" w:rsidRPr="00807094" w:rsidRDefault="00561B22" w:rsidP="00561B22">
      <w:pPr>
        <w:pStyle w:val="Textoindependiente"/>
        <w:jc w:val="center"/>
        <w:rPr>
          <w:rFonts w:ascii="Arial" w:hAnsi="Arial" w:cs="Arial"/>
          <w:b/>
          <w:bCs/>
        </w:rPr>
      </w:pPr>
      <w:r w:rsidRPr="00807094">
        <w:rPr>
          <w:rFonts w:ascii="Arial" w:hAnsi="Arial" w:cs="Arial"/>
          <w:b/>
          <w:bCs/>
        </w:rPr>
        <w:t>INFORME DE LA AUTOCALIFICACIÓN DEL SISTEMA DE CONTROL INTERNO CONTABLE:</w:t>
      </w:r>
    </w:p>
    <w:p w14:paraId="178BBD1D" w14:textId="77777777" w:rsidR="00561B22" w:rsidRPr="0080709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07094" w14:paraId="71B9403D" w14:textId="77777777" w:rsidTr="00F1223B">
        <w:tc>
          <w:tcPr>
            <w:tcW w:w="4981" w:type="dxa"/>
          </w:tcPr>
          <w:p w14:paraId="66E2CCFC"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AUTOCALIFICACIÓN</w:t>
            </w:r>
          </w:p>
        </w:tc>
        <w:tc>
          <w:tcPr>
            <w:tcW w:w="4981" w:type="dxa"/>
          </w:tcPr>
          <w:p w14:paraId="25DEDC61" w14:textId="77777777" w:rsidR="00561B22" w:rsidRPr="00807094" w:rsidRDefault="00561B22" w:rsidP="00F1223B">
            <w:pPr>
              <w:jc w:val="center"/>
              <w:rPr>
                <w:rFonts w:ascii="Arial" w:hAnsi="Arial" w:cs="Arial"/>
                <w:b/>
                <w:sz w:val="22"/>
                <w:szCs w:val="22"/>
                <w:u w:val="single"/>
                <w:lang w:val="es-MX"/>
              </w:rPr>
            </w:pPr>
            <w:r w:rsidRPr="00807094">
              <w:rPr>
                <w:rFonts w:ascii="Arial" w:hAnsi="Arial" w:cs="Arial"/>
                <w:b/>
                <w:sz w:val="22"/>
                <w:szCs w:val="22"/>
                <w:u w:val="single"/>
                <w:lang w:val="es-MX"/>
              </w:rPr>
              <w:t>5.00</w:t>
            </w:r>
          </w:p>
        </w:tc>
      </w:tr>
    </w:tbl>
    <w:p w14:paraId="6AE25D8B" w14:textId="77777777" w:rsidR="00561B22" w:rsidRPr="00807094" w:rsidRDefault="00561B22" w:rsidP="00561B22">
      <w:pPr>
        <w:pStyle w:val="Textoindependiente"/>
        <w:jc w:val="both"/>
        <w:rPr>
          <w:rFonts w:ascii="Arial" w:hAnsi="Arial" w:cs="Arial"/>
          <w:b/>
          <w:bCs/>
        </w:rPr>
      </w:pPr>
    </w:p>
    <w:p w14:paraId="092B813B" w14:textId="77777777" w:rsidR="00561B22" w:rsidRPr="00807094" w:rsidRDefault="00561B22" w:rsidP="00561B22">
      <w:pPr>
        <w:pStyle w:val="Textoindependiente"/>
        <w:jc w:val="both"/>
        <w:rPr>
          <w:rFonts w:ascii="Arial" w:hAnsi="Arial" w:cs="Arial"/>
          <w:b/>
          <w:bCs/>
        </w:rPr>
      </w:pPr>
      <w:r w:rsidRPr="00807094">
        <w:rPr>
          <w:rFonts w:ascii="Arial" w:hAnsi="Arial" w:cs="Arial"/>
          <w:b/>
          <w:bCs/>
        </w:rPr>
        <w:t>Del informe enviado retomamos lo siguiente:</w:t>
      </w:r>
    </w:p>
    <w:p w14:paraId="65095EEA" w14:textId="77777777" w:rsidR="00561B22" w:rsidRPr="0080709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07094" w14:paraId="140BEEA5" w14:textId="77777777" w:rsidTr="00F1223B">
        <w:tc>
          <w:tcPr>
            <w:tcW w:w="562" w:type="dxa"/>
          </w:tcPr>
          <w:p w14:paraId="338B36D6"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N°</w:t>
            </w:r>
          </w:p>
        </w:tc>
        <w:tc>
          <w:tcPr>
            <w:tcW w:w="9400" w:type="dxa"/>
          </w:tcPr>
          <w:p w14:paraId="7EC384EF"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DEBILIDADES</w:t>
            </w:r>
          </w:p>
          <w:p w14:paraId="2DCFB2D2" w14:textId="77777777" w:rsidR="00561B22" w:rsidRPr="00807094" w:rsidRDefault="00561B22" w:rsidP="00F1223B">
            <w:pPr>
              <w:jc w:val="center"/>
              <w:rPr>
                <w:rFonts w:ascii="Arial" w:hAnsi="Arial" w:cs="Arial"/>
                <w:b/>
                <w:sz w:val="22"/>
                <w:szCs w:val="22"/>
                <w:lang w:val="es-MX"/>
              </w:rPr>
            </w:pPr>
          </w:p>
        </w:tc>
      </w:tr>
      <w:tr w:rsidR="00561B22" w:rsidRPr="00807094" w14:paraId="20ED8BC0" w14:textId="77777777" w:rsidTr="00F1223B">
        <w:tc>
          <w:tcPr>
            <w:tcW w:w="562" w:type="dxa"/>
          </w:tcPr>
          <w:p w14:paraId="28CEE6F1"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1</w:t>
            </w:r>
          </w:p>
        </w:tc>
        <w:tc>
          <w:tcPr>
            <w:tcW w:w="9400" w:type="dxa"/>
          </w:tcPr>
          <w:p w14:paraId="247E6B77" w14:textId="77777777" w:rsidR="00561B22" w:rsidRPr="00807094" w:rsidRDefault="00561B22" w:rsidP="00F1223B">
            <w:pPr>
              <w:jc w:val="both"/>
              <w:rPr>
                <w:rFonts w:ascii="Arial" w:hAnsi="Arial" w:cs="Arial"/>
                <w:bCs/>
                <w:sz w:val="22"/>
                <w:szCs w:val="22"/>
                <w:lang w:val="es-MX"/>
              </w:rPr>
            </w:pPr>
            <w:r w:rsidRPr="00807094">
              <w:rPr>
                <w:rFonts w:ascii="Arial" w:hAnsi="Arial" w:cs="Arial"/>
                <w:bCs/>
                <w:sz w:val="22"/>
                <w:szCs w:val="22"/>
                <w:lang w:val="es-MX"/>
              </w:rPr>
              <w:t>Se tiene un plan de capacitación que se actualiza anualmente dependiendo de las necesidades de cada temática.</w:t>
            </w:r>
          </w:p>
        </w:tc>
      </w:tr>
    </w:tbl>
    <w:p w14:paraId="5416FE38" w14:textId="77777777" w:rsidR="00561B22" w:rsidRPr="00807094" w:rsidRDefault="00561B22" w:rsidP="00561B22">
      <w:pPr>
        <w:pStyle w:val="Textoindependiente"/>
        <w:jc w:val="both"/>
        <w:rPr>
          <w:rFonts w:ascii="Arial" w:hAnsi="Arial" w:cs="Arial"/>
          <w:b/>
          <w:bCs/>
        </w:rPr>
      </w:pPr>
    </w:p>
    <w:p w14:paraId="11239066" w14:textId="77777777" w:rsidR="00561B22" w:rsidRPr="00807094" w:rsidRDefault="00561B22" w:rsidP="00561B22">
      <w:pPr>
        <w:jc w:val="both"/>
        <w:rPr>
          <w:rFonts w:ascii="Arial" w:hAnsi="Arial" w:cs="Arial"/>
          <w:b/>
          <w:lang w:val="es-MX"/>
        </w:rPr>
      </w:pPr>
      <w:r w:rsidRPr="00807094">
        <w:rPr>
          <w:rFonts w:ascii="Arial" w:hAnsi="Arial" w:cs="Arial"/>
          <w:b/>
          <w:lang w:val="es-MX"/>
        </w:rPr>
        <w:t>Del citado informe retomamos las siguientes recomendaciones:</w:t>
      </w:r>
    </w:p>
    <w:p w14:paraId="1C675BAB" w14:textId="77777777" w:rsidR="00561B22" w:rsidRPr="00807094"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807094" w14:paraId="305E7244" w14:textId="77777777" w:rsidTr="00F1223B">
        <w:tc>
          <w:tcPr>
            <w:tcW w:w="562" w:type="dxa"/>
          </w:tcPr>
          <w:p w14:paraId="443474F4"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N°</w:t>
            </w:r>
          </w:p>
        </w:tc>
        <w:tc>
          <w:tcPr>
            <w:tcW w:w="9400" w:type="dxa"/>
          </w:tcPr>
          <w:p w14:paraId="2B779992"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RECOMENDACIONES</w:t>
            </w:r>
          </w:p>
          <w:p w14:paraId="264B4338" w14:textId="77777777" w:rsidR="00561B22" w:rsidRPr="00807094" w:rsidRDefault="00561B22" w:rsidP="00F1223B">
            <w:pPr>
              <w:jc w:val="center"/>
              <w:rPr>
                <w:rFonts w:ascii="Arial" w:hAnsi="Arial" w:cs="Arial"/>
                <w:b/>
                <w:sz w:val="22"/>
                <w:szCs w:val="22"/>
                <w:lang w:val="es-MX"/>
              </w:rPr>
            </w:pPr>
          </w:p>
        </w:tc>
      </w:tr>
      <w:tr w:rsidR="00561B22" w:rsidRPr="00807094" w14:paraId="5565DF07" w14:textId="77777777" w:rsidTr="00F1223B">
        <w:tc>
          <w:tcPr>
            <w:tcW w:w="562" w:type="dxa"/>
          </w:tcPr>
          <w:p w14:paraId="32527A03" w14:textId="77777777" w:rsidR="00561B22" w:rsidRPr="00807094" w:rsidRDefault="00561B22" w:rsidP="00F1223B">
            <w:pPr>
              <w:jc w:val="center"/>
              <w:rPr>
                <w:rFonts w:ascii="Arial" w:hAnsi="Arial" w:cs="Arial"/>
                <w:b/>
                <w:sz w:val="22"/>
                <w:szCs w:val="22"/>
                <w:lang w:val="es-MX"/>
              </w:rPr>
            </w:pPr>
            <w:r w:rsidRPr="00807094">
              <w:rPr>
                <w:rFonts w:ascii="Arial" w:hAnsi="Arial" w:cs="Arial"/>
                <w:b/>
                <w:sz w:val="22"/>
                <w:szCs w:val="22"/>
                <w:lang w:val="es-MX"/>
              </w:rPr>
              <w:t>1</w:t>
            </w:r>
          </w:p>
        </w:tc>
        <w:tc>
          <w:tcPr>
            <w:tcW w:w="9400" w:type="dxa"/>
          </w:tcPr>
          <w:p w14:paraId="211FA0BB" w14:textId="77777777" w:rsidR="00561B22" w:rsidRPr="00807094" w:rsidRDefault="00561B22" w:rsidP="00F1223B">
            <w:pPr>
              <w:jc w:val="both"/>
              <w:rPr>
                <w:rFonts w:ascii="Arial" w:hAnsi="Arial" w:cs="Arial"/>
                <w:bCs/>
                <w:sz w:val="22"/>
                <w:szCs w:val="22"/>
                <w:lang w:val="es-MX"/>
              </w:rPr>
            </w:pPr>
            <w:r w:rsidRPr="00807094">
              <w:rPr>
                <w:rFonts w:ascii="Arial" w:hAnsi="Arial" w:cs="Arial"/>
                <w:bCs/>
                <w:sz w:val="22"/>
                <w:szCs w:val="22"/>
                <w:lang w:val="es-MX"/>
              </w:rPr>
              <w:t>Trabajar en conjunto con el proceso de Talento Humano, Gestión de la información y la Dirección General para crear un plan institucional de capacitaciones para el personal del área Contable y la mejora del software de información.</w:t>
            </w:r>
          </w:p>
        </w:tc>
      </w:tr>
    </w:tbl>
    <w:p w14:paraId="4029F91E" w14:textId="77777777" w:rsidR="00561B22" w:rsidRPr="00807094" w:rsidRDefault="00561B22" w:rsidP="00561B22">
      <w:pPr>
        <w:pStyle w:val="Textoindependiente"/>
        <w:jc w:val="both"/>
        <w:rPr>
          <w:rFonts w:ascii="Arial" w:hAnsi="Arial" w:cs="Arial"/>
          <w:b/>
          <w:bCs/>
        </w:rPr>
      </w:pPr>
    </w:p>
    <w:p w14:paraId="2546CB1E" w14:textId="77777777" w:rsidR="00561B22" w:rsidRPr="009E7DEC" w:rsidRDefault="00561B22" w:rsidP="00561B22">
      <w:pPr>
        <w:jc w:val="both"/>
        <w:rPr>
          <w:rFonts w:ascii="Arial" w:hAnsi="Arial" w:cs="Arial"/>
          <w:b/>
          <w:sz w:val="28"/>
          <w:szCs w:val="28"/>
          <w:lang w:val="es-MX"/>
        </w:rPr>
      </w:pPr>
      <w:r w:rsidRPr="009E7DEC">
        <w:rPr>
          <w:rFonts w:ascii="Arial" w:hAnsi="Arial" w:cs="Arial"/>
          <w:b/>
          <w:sz w:val="28"/>
          <w:szCs w:val="28"/>
          <w:lang w:val="es-MX"/>
        </w:rPr>
        <w:t>103.- INSTITUTO AMAZÓNICO DE INVESTIGACIONES CIENTIFICAS - SINCHI.</w:t>
      </w:r>
    </w:p>
    <w:p w14:paraId="27EB01DC" w14:textId="77777777" w:rsidR="00561B22" w:rsidRPr="009E7DEC" w:rsidRDefault="00561B22" w:rsidP="00561B22">
      <w:pPr>
        <w:pStyle w:val="Textoindependiente"/>
        <w:ind w:right="-50"/>
        <w:jc w:val="both"/>
        <w:rPr>
          <w:rFonts w:ascii="Arial" w:hAnsi="Arial" w:cs="Arial"/>
          <w:b/>
          <w:sz w:val="28"/>
          <w:szCs w:val="28"/>
        </w:rPr>
      </w:pPr>
    </w:p>
    <w:p w14:paraId="7DB32517" w14:textId="77777777" w:rsidR="00561B22" w:rsidRPr="009E7DEC" w:rsidRDefault="00561B22" w:rsidP="00561B22">
      <w:pPr>
        <w:pStyle w:val="Textoindependiente"/>
        <w:ind w:right="-50"/>
        <w:jc w:val="center"/>
        <w:rPr>
          <w:rFonts w:ascii="Arial" w:hAnsi="Arial" w:cs="Arial"/>
          <w:b/>
          <w:bCs/>
        </w:rPr>
      </w:pPr>
      <w:r w:rsidRPr="009E7DEC">
        <w:rPr>
          <w:rFonts w:ascii="Arial" w:hAnsi="Arial" w:cs="Arial"/>
          <w:b/>
          <w:bCs/>
        </w:rPr>
        <w:t>INFORME DE LA AUTOCALIFICACIÓN DEL SISTEMA DE CONTROL INTERNO CONTABLE:</w:t>
      </w:r>
    </w:p>
    <w:p w14:paraId="5CA2F131" w14:textId="77777777" w:rsidR="00561B22" w:rsidRPr="009E7DE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E7DEC" w14:paraId="7087D42F" w14:textId="77777777" w:rsidTr="00F1223B">
        <w:tc>
          <w:tcPr>
            <w:tcW w:w="4981" w:type="dxa"/>
          </w:tcPr>
          <w:p w14:paraId="720BDF28"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AUTOCALIFICACIÓN</w:t>
            </w:r>
          </w:p>
        </w:tc>
        <w:tc>
          <w:tcPr>
            <w:tcW w:w="4981" w:type="dxa"/>
          </w:tcPr>
          <w:p w14:paraId="4C7CF31F" w14:textId="77777777" w:rsidR="00561B22" w:rsidRPr="009E7DEC" w:rsidRDefault="00561B22" w:rsidP="00F1223B">
            <w:pPr>
              <w:jc w:val="center"/>
              <w:rPr>
                <w:rFonts w:ascii="Arial" w:hAnsi="Arial" w:cs="Arial"/>
                <w:b/>
                <w:sz w:val="22"/>
                <w:szCs w:val="22"/>
                <w:u w:val="single"/>
                <w:lang w:val="es-MX"/>
              </w:rPr>
            </w:pPr>
            <w:r w:rsidRPr="009E7DEC">
              <w:rPr>
                <w:rFonts w:ascii="Arial" w:hAnsi="Arial" w:cs="Arial"/>
                <w:b/>
                <w:sz w:val="22"/>
                <w:szCs w:val="22"/>
                <w:u w:val="single"/>
                <w:lang w:val="es-MX"/>
              </w:rPr>
              <w:t>4.95</w:t>
            </w:r>
          </w:p>
        </w:tc>
      </w:tr>
    </w:tbl>
    <w:p w14:paraId="25E40CCE" w14:textId="77777777" w:rsidR="00561B22" w:rsidRPr="009E7DEC" w:rsidRDefault="00561B22" w:rsidP="00561B22">
      <w:pPr>
        <w:pStyle w:val="Textoindependiente"/>
        <w:ind w:right="-50"/>
        <w:jc w:val="both"/>
        <w:rPr>
          <w:rFonts w:ascii="Arial" w:hAnsi="Arial" w:cs="Arial"/>
          <w:b/>
          <w:bCs/>
        </w:rPr>
      </w:pPr>
    </w:p>
    <w:p w14:paraId="38CC0CE2" w14:textId="77777777" w:rsidR="00561B22" w:rsidRPr="009E7DEC" w:rsidRDefault="00561B22" w:rsidP="00561B22">
      <w:pPr>
        <w:pStyle w:val="Textoindependiente"/>
        <w:ind w:right="-50"/>
        <w:jc w:val="both"/>
        <w:rPr>
          <w:rFonts w:ascii="Arial" w:hAnsi="Arial" w:cs="Arial"/>
          <w:b/>
          <w:bCs/>
        </w:rPr>
      </w:pPr>
      <w:r w:rsidRPr="009E7DEC">
        <w:rPr>
          <w:rFonts w:ascii="Arial" w:hAnsi="Arial" w:cs="Arial"/>
          <w:b/>
          <w:bCs/>
        </w:rPr>
        <w:t>Del informe enviado retomamos lo siguiente:</w:t>
      </w:r>
    </w:p>
    <w:p w14:paraId="07170FF9" w14:textId="77777777" w:rsidR="00561B22" w:rsidRPr="009E7DE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E7DEC" w14:paraId="6284F6E5" w14:textId="77777777" w:rsidTr="00F1223B">
        <w:tc>
          <w:tcPr>
            <w:tcW w:w="562" w:type="dxa"/>
          </w:tcPr>
          <w:p w14:paraId="1ACC7D14" w14:textId="77777777" w:rsidR="00561B22" w:rsidRPr="009E7DEC" w:rsidRDefault="00561B22" w:rsidP="00F1223B">
            <w:pPr>
              <w:ind w:right="-109"/>
              <w:jc w:val="center"/>
              <w:rPr>
                <w:rFonts w:ascii="Arial" w:hAnsi="Arial" w:cs="Arial"/>
                <w:b/>
                <w:sz w:val="22"/>
                <w:szCs w:val="22"/>
                <w:lang w:val="es-MX"/>
              </w:rPr>
            </w:pPr>
            <w:r w:rsidRPr="009E7DEC">
              <w:rPr>
                <w:rFonts w:ascii="Arial" w:hAnsi="Arial" w:cs="Arial"/>
                <w:b/>
                <w:sz w:val="22"/>
                <w:szCs w:val="22"/>
                <w:lang w:val="es-MX"/>
              </w:rPr>
              <w:t>N°</w:t>
            </w:r>
          </w:p>
        </w:tc>
        <w:tc>
          <w:tcPr>
            <w:tcW w:w="9400" w:type="dxa"/>
          </w:tcPr>
          <w:p w14:paraId="31E735E4"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DEBILIDADES</w:t>
            </w:r>
          </w:p>
          <w:p w14:paraId="0E0B4C90" w14:textId="77777777" w:rsidR="00561B22" w:rsidRPr="009E7DEC" w:rsidRDefault="00561B22" w:rsidP="00F1223B">
            <w:pPr>
              <w:jc w:val="center"/>
              <w:rPr>
                <w:rFonts w:ascii="Arial" w:hAnsi="Arial" w:cs="Arial"/>
                <w:b/>
                <w:sz w:val="22"/>
                <w:szCs w:val="22"/>
                <w:lang w:val="es-MX"/>
              </w:rPr>
            </w:pPr>
          </w:p>
        </w:tc>
      </w:tr>
      <w:tr w:rsidR="00561B22" w:rsidRPr="009E7DEC" w14:paraId="153D6241" w14:textId="77777777" w:rsidTr="00F1223B">
        <w:tc>
          <w:tcPr>
            <w:tcW w:w="562" w:type="dxa"/>
          </w:tcPr>
          <w:p w14:paraId="22008D14"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1</w:t>
            </w:r>
          </w:p>
        </w:tc>
        <w:tc>
          <w:tcPr>
            <w:tcW w:w="9400" w:type="dxa"/>
          </w:tcPr>
          <w:p w14:paraId="0A310299" w14:textId="77777777" w:rsidR="00561B22" w:rsidRPr="009E7DEC" w:rsidRDefault="00561B22" w:rsidP="00F1223B">
            <w:pPr>
              <w:jc w:val="both"/>
              <w:rPr>
                <w:rFonts w:ascii="Arial" w:hAnsi="Arial" w:cs="Arial"/>
                <w:sz w:val="22"/>
                <w:szCs w:val="22"/>
                <w:lang w:val="es-MX"/>
              </w:rPr>
            </w:pPr>
            <w:r w:rsidRPr="009E7DEC">
              <w:rPr>
                <w:rFonts w:ascii="Arial" w:hAnsi="Arial" w:cs="Arial"/>
                <w:sz w:val="22"/>
                <w:szCs w:val="22"/>
                <w:lang w:val="es-CO"/>
              </w:rPr>
              <w:t>Son susceptibles de mejora la identificación, valoración y gestión de riesgos contables y la construcción de indicadores acordes con la Guía de la CGN y la realidad institucional</w:t>
            </w:r>
          </w:p>
        </w:tc>
      </w:tr>
    </w:tbl>
    <w:p w14:paraId="6EEF13B4" w14:textId="77777777" w:rsidR="00561B22" w:rsidRPr="009E7DEC" w:rsidRDefault="00561B22" w:rsidP="00561B22">
      <w:pPr>
        <w:pStyle w:val="Textoindependiente"/>
        <w:ind w:right="-50"/>
        <w:jc w:val="both"/>
        <w:rPr>
          <w:rFonts w:ascii="Arial" w:hAnsi="Arial" w:cs="Arial"/>
          <w:b/>
          <w:bCs/>
        </w:rPr>
      </w:pPr>
    </w:p>
    <w:p w14:paraId="64D3D427" w14:textId="77777777" w:rsidR="00561B22" w:rsidRPr="009E7DEC" w:rsidRDefault="00561B22" w:rsidP="00561B22">
      <w:pPr>
        <w:jc w:val="both"/>
        <w:rPr>
          <w:rFonts w:ascii="Arial" w:hAnsi="Arial" w:cs="Arial"/>
          <w:b/>
          <w:lang w:val="es-MX"/>
        </w:rPr>
      </w:pPr>
      <w:r w:rsidRPr="009E7DEC">
        <w:rPr>
          <w:rFonts w:ascii="Arial" w:hAnsi="Arial" w:cs="Arial"/>
          <w:b/>
          <w:lang w:val="es-MX"/>
        </w:rPr>
        <w:t>Del citado informe retomamos las siguientes recomendaciones:</w:t>
      </w:r>
    </w:p>
    <w:p w14:paraId="2D7ECE6F" w14:textId="77777777" w:rsidR="00561B22" w:rsidRPr="009E7DEC"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9E7DEC" w14:paraId="2216D67F" w14:textId="77777777" w:rsidTr="00F1223B">
        <w:tc>
          <w:tcPr>
            <w:tcW w:w="562" w:type="dxa"/>
          </w:tcPr>
          <w:p w14:paraId="74C2523C" w14:textId="77777777" w:rsidR="00561B22" w:rsidRPr="009E7DEC" w:rsidRDefault="00561B22" w:rsidP="00F1223B">
            <w:pPr>
              <w:ind w:right="-109"/>
              <w:jc w:val="center"/>
              <w:rPr>
                <w:rFonts w:ascii="Arial" w:hAnsi="Arial" w:cs="Arial"/>
                <w:b/>
                <w:sz w:val="22"/>
                <w:szCs w:val="22"/>
                <w:lang w:val="es-MX"/>
              </w:rPr>
            </w:pPr>
            <w:r w:rsidRPr="009E7DEC">
              <w:rPr>
                <w:rFonts w:ascii="Arial" w:hAnsi="Arial" w:cs="Arial"/>
                <w:b/>
                <w:sz w:val="22"/>
                <w:szCs w:val="22"/>
                <w:lang w:val="es-MX"/>
              </w:rPr>
              <w:t>N°</w:t>
            </w:r>
          </w:p>
        </w:tc>
        <w:tc>
          <w:tcPr>
            <w:tcW w:w="9400" w:type="dxa"/>
          </w:tcPr>
          <w:p w14:paraId="5DD9C6CD"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RECOMENDACIONES</w:t>
            </w:r>
          </w:p>
          <w:p w14:paraId="06AC7BD2" w14:textId="77777777" w:rsidR="00561B22" w:rsidRPr="009E7DEC" w:rsidRDefault="00561B22" w:rsidP="00F1223B">
            <w:pPr>
              <w:jc w:val="center"/>
              <w:rPr>
                <w:rFonts w:ascii="Arial" w:hAnsi="Arial" w:cs="Arial"/>
                <w:b/>
                <w:sz w:val="22"/>
                <w:szCs w:val="22"/>
                <w:lang w:val="es-MX"/>
              </w:rPr>
            </w:pPr>
          </w:p>
        </w:tc>
      </w:tr>
      <w:tr w:rsidR="00561B22" w:rsidRPr="009E7DEC" w14:paraId="1F16C5DF" w14:textId="77777777" w:rsidTr="00F1223B">
        <w:tc>
          <w:tcPr>
            <w:tcW w:w="562" w:type="dxa"/>
          </w:tcPr>
          <w:p w14:paraId="612F8A3F"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1</w:t>
            </w:r>
          </w:p>
        </w:tc>
        <w:tc>
          <w:tcPr>
            <w:tcW w:w="9400" w:type="dxa"/>
          </w:tcPr>
          <w:p w14:paraId="77D770FE" w14:textId="77777777" w:rsidR="00561B22" w:rsidRPr="009E7DEC" w:rsidRDefault="00561B22" w:rsidP="00F1223B">
            <w:pPr>
              <w:jc w:val="both"/>
              <w:rPr>
                <w:rFonts w:ascii="Arial" w:hAnsi="Arial" w:cs="Arial"/>
                <w:sz w:val="22"/>
                <w:szCs w:val="22"/>
                <w:lang w:val="es-MX"/>
              </w:rPr>
            </w:pPr>
            <w:r w:rsidRPr="009E7DEC">
              <w:rPr>
                <w:rFonts w:ascii="Arial" w:hAnsi="Arial" w:cs="Arial"/>
                <w:sz w:val="22"/>
                <w:szCs w:val="22"/>
                <w:lang w:val="es-CO"/>
              </w:rPr>
              <w:t>Actualizar los procedimientos operativos como resultado de la adquisición de un nuevo software contable.</w:t>
            </w:r>
          </w:p>
        </w:tc>
      </w:tr>
      <w:tr w:rsidR="00561B22" w:rsidRPr="009E7DEC" w14:paraId="70494678" w14:textId="77777777" w:rsidTr="00F1223B">
        <w:tc>
          <w:tcPr>
            <w:tcW w:w="562" w:type="dxa"/>
          </w:tcPr>
          <w:p w14:paraId="47B1D0C1"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2</w:t>
            </w:r>
          </w:p>
        </w:tc>
        <w:tc>
          <w:tcPr>
            <w:tcW w:w="9400" w:type="dxa"/>
          </w:tcPr>
          <w:p w14:paraId="0BA266AA" w14:textId="77777777" w:rsidR="00561B22" w:rsidRPr="009E7DEC" w:rsidRDefault="00561B22" w:rsidP="00F1223B">
            <w:pPr>
              <w:rPr>
                <w:rFonts w:ascii="Arial" w:hAnsi="Arial" w:cs="Arial"/>
                <w:sz w:val="22"/>
                <w:szCs w:val="22"/>
                <w:lang w:val="es-MX"/>
              </w:rPr>
            </w:pPr>
            <w:r w:rsidRPr="009E7DEC">
              <w:rPr>
                <w:rFonts w:ascii="Arial" w:hAnsi="Arial" w:cs="Arial"/>
                <w:sz w:val="22"/>
                <w:szCs w:val="22"/>
                <w:lang w:val="es-CO"/>
              </w:rPr>
              <w:t>Fortalecer los lineamientos de cierres mensuales que faciliten la gestión contable</w:t>
            </w:r>
          </w:p>
        </w:tc>
      </w:tr>
      <w:tr w:rsidR="00561B22" w:rsidRPr="009E7DEC" w14:paraId="4F0D4230" w14:textId="77777777" w:rsidTr="00F1223B">
        <w:tc>
          <w:tcPr>
            <w:tcW w:w="562" w:type="dxa"/>
          </w:tcPr>
          <w:p w14:paraId="46216B12" w14:textId="77777777" w:rsidR="00561B22" w:rsidRPr="009E7DEC" w:rsidRDefault="00561B22" w:rsidP="00F1223B">
            <w:pPr>
              <w:jc w:val="center"/>
              <w:rPr>
                <w:rFonts w:ascii="Arial" w:hAnsi="Arial" w:cs="Arial"/>
                <w:b/>
                <w:sz w:val="22"/>
                <w:szCs w:val="22"/>
                <w:lang w:val="es-MX"/>
              </w:rPr>
            </w:pPr>
            <w:r w:rsidRPr="009E7DEC">
              <w:rPr>
                <w:rFonts w:ascii="Arial" w:hAnsi="Arial" w:cs="Arial"/>
                <w:b/>
                <w:sz w:val="22"/>
                <w:szCs w:val="22"/>
                <w:lang w:val="es-MX"/>
              </w:rPr>
              <w:t>3</w:t>
            </w:r>
          </w:p>
        </w:tc>
        <w:tc>
          <w:tcPr>
            <w:tcW w:w="9400" w:type="dxa"/>
          </w:tcPr>
          <w:p w14:paraId="0B156696" w14:textId="77777777" w:rsidR="00561B22" w:rsidRPr="009E7DEC" w:rsidRDefault="00561B22" w:rsidP="00F1223B">
            <w:pPr>
              <w:rPr>
                <w:rFonts w:ascii="Arial" w:hAnsi="Arial" w:cs="Arial"/>
                <w:sz w:val="22"/>
                <w:szCs w:val="22"/>
                <w:lang w:val="es-MX"/>
              </w:rPr>
            </w:pPr>
            <w:r w:rsidRPr="009E7DEC">
              <w:rPr>
                <w:rFonts w:ascii="Arial" w:hAnsi="Arial" w:cs="Arial"/>
                <w:sz w:val="22"/>
                <w:szCs w:val="22"/>
                <w:lang w:val="es-CO"/>
              </w:rPr>
              <w:t>Continuar con la mejora continua del proceso contables para fortalecer las debilidades detectadas.</w:t>
            </w:r>
          </w:p>
        </w:tc>
      </w:tr>
    </w:tbl>
    <w:p w14:paraId="4AB10008" w14:textId="77777777" w:rsidR="00561B22" w:rsidRPr="009E7DEC" w:rsidRDefault="00561B22" w:rsidP="00561B22">
      <w:pPr>
        <w:pStyle w:val="Textoindependiente"/>
        <w:ind w:right="-50"/>
        <w:jc w:val="both"/>
        <w:rPr>
          <w:rFonts w:ascii="Arial" w:hAnsi="Arial" w:cs="Arial"/>
          <w:b/>
          <w:bCs/>
        </w:rPr>
      </w:pPr>
    </w:p>
    <w:p w14:paraId="035B0F86" w14:textId="77777777" w:rsidR="00561B22" w:rsidRPr="009E7DEC" w:rsidRDefault="00561B22" w:rsidP="00561B22">
      <w:pPr>
        <w:jc w:val="both"/>
        <w:rPr>
          <w:rFonts w:ascii="Arial" w:hAnsi="Arial" w:cs="Arial"/>
          <w:b/>
          <w:bCs/>
          <w:sz w:val="24"/>
          <w:szCs w:val="24"/>
          <w:lang w:val="es-CO"/>
        </w:rPr>
      </w:pPr>
      <w:r w:rsidRPr="009E7DEC">
        <w:rPr>
          <w:rFonts w:ascii="Arial" w:hAnsi="Arial" w:cs="Arial"/>
          <w:b/>
          <w:bCs/>
          <w:sz w:val="24"/>
          <w:szCs w:val="24"/>
          <w:lang w:val="es-CO"/>
        </w:rPr>
        <w:t xml:space="preserve">NOTA: LA ENTIDAD ENVIA LA MATRIZ DE AUTOEVALUACIÓN DEL SISTEMA DE CONTROL INTERNO CONTABLE CON </w:t>
      </w:r>
      <w:r w:rsidRPr="009E7DEC">
        <w:rPr>
          <w:rFonts w:ascii="Arial" w:hAnsi="Arial" w:cs="Arial"/>
          <w:b/>
          <w:bCs/>
          <w:sz w:val="24"/>
          <w:szCs w:val="24"/>
          <w:u w:val="single"/>
          <w:lang w:val="es-CO"/>
        </w:rPr>
        <w:t>ACTIVIDADES DE CONTROL REALIZADAS EN FORMA PARCIAL</w:t>
      </w:r>
      <w:r w:rsidRPr="009E7DEC">
        <w:rPr>
          <w:rFonts w:ascii="Arial" w:hAnsi="Arial" w:cs="Arial"/>
          <w:b/>
          <w:bCs/>
          <w:sz w:val="24"/>
          <w:szCs w:val="24"/>
          <w:lang w:val="es-CO"/>
        </w:rPr>
        <w:t>.</w:t>
      </w:r>
    </w:p>
    <w:p w14:paraId="576F2846" w14:textId="77777777" w:rsidR="00561B22" w:rsidRPr="009E7DEC" w:rsidRDefault="00561B22" w:rsidP="00561B22">
      <w:pPr>
        <w:pStyle w:val="Textoindependiente"/>
        <w:ind w:right="-50"/>
        <w:jc w:val="both"/>
        <w:rPr>
          <w:rFonts w:ascii="Arial" w:hAnsi="Arial" w:cs="Arial"/>
          <w:b/>
          <w:bCs/>
          <w:sz w:val="28"/>
          <w:szCs w:val="28"/>
        </w:rPr>
      </w:pPr>
    </w:p>
    <w:p w14:paraId="5E68DFCB" w14:textId="77777777" w:rsidR="00561B22" w:rsidRPr="00600854" w:rsidRDefault="00561B22" w:rsidP="00561B22">
      <w:pPr>
        <w:jc w:val="both"/>
        <w:rPr>
          <w:rFonts w:ascii="Arial" w:hAnsi="Arial" w:cs="Arial"/>
          <w:b/>
          <w:sz w:val="28"/>
          <w:szCs w:val="28"/>
          <w:lang w:val="es-MX"/>
        </w:rPr>
      </w:pPr>
      <w:r w:rsidRPr="00600854">
        <w:rPr>
          <w:rFonts w:ascii="Arial" w:hAnsi="Arial" w:cs="Arial"/>
          <w:b/>
          <w:sz w:val="28"/>
          <w:szCs w:val="28"/>
          <w:lang w:val="es-MX"/>
        </w:rPr>
        <w:t xml:space="preserve">104.- CANAL REGIONAL DE TELEVISIÓN DEL CARIBE LTDA. – TELECARIBE. </w:t>
      </w:r>
    </w:p>
    <w:p w14:paraId="785E4AD4" w14:textId="77777777" w:rsidR="00561B22" w:rsidRDefault="00561B22" w:rsidP="00561B22">
      <w:pPr>
        <w:pStyle w:val="Textoindependiente"/>
        <w:ind w:right="-50"/>
        <w:jc w:val="both"/>
        <w:rPr>
          <w:rFonts w:ascii="Arial" w:hAnsi="Arial" w:cs="Arial"/>
          <w:b/>
          <w:sz w:val="28"/>
          <w:szCs w:val="28"/>
          <w:lang w:val="es-MX"/>
        </w:rPr>
      </w:pPr>
    </w:p>
    <w:p w14:paraId="5469B049" w14:textId="77777777" w:rsidR="00561B22" w:rsidRPr="00600854" w:rsidRDefault="00561B22" w:rsidP="00561B22">
      <w:pPr>
        <w:pStyle w:val="Textoindependiente"/>
        <w:ind w:right="-50"/>
        <w:jc w:val="center"/>
        <w:rPr>
          <w:rFonts w:ascii="Arial" w:hAnsi="Arial" w:cs="Arial"/>
          <w:b/>
          <w:bCs/>
        </w:rPr>
      </w:pPr>
      <w:r w:rsidRPr="00600854">
        <w:rPr>
          <w:rFonts w:ascii="Arial" w:hAnsi="Arial" w:cs="Arial"/>
          <w:b/>
          <w:bCs/>
        </w:rPr>
        <w:t>INFORME DE LA AUTOCALIFICACIÓN DEL SISTEMA DE CONTROL INTERNO CONTABLE:</w:t>
      </w:r>
    </w:p>
    <w:p w14:paraId="759CB15D" w14:textId="77777777" w:rsidR="00561B22" w:rsidRPr="0060085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00854" w14:paraId="71E8E6CE" w14:textId="77777777" w:rsidTr="00F1223B">
        <w:tc>
          <w:tcPr>
            <w:tcW w:w="4981" w:type="dxa"/>
          </w:tcPr>
          <w:p w14:paraId="174D3C9E" w14:textId="77777777" w:rsidR="00561B22" w:rsidRPr="00600854" w:rsidRDefault="00561B22" w:rsidP="00F1223B">
            <w:pPr>
              <w:jc w:val="center"/>
              <w:rPr>
                <w:rFonts w:ascii="Arial" w:hAnsi="Arial" w:cs="Arial"/>
                <w:b/>
                <w:sz w:val="22"/>
                <w:szCs w:val="22"/>
                <w:lang w:val="es-MX"/>
              </w:rPr>
            </w:pPr>
            <w:r w:rsidRPr="00600854">
              <w:rPr>
                <w:rFonts w:ascii="Arial" w:hAnsi="Arial" w:cs="Arial"/>
                <w:b/>
                <w:sz w:val="22"/>
                <w:szCs w:val="22"/>
                <w:lang w:val="es-MX"/>
              </w:rPr>
              <w:t>AUTOCALIFICACIÓN</w:t>
            </w:r>
          </w:p>
        </w:tc>
        <w:tc>
          <w:tcPr>
            <w:tcW w:w="4981" w:type="dxa"/>
          </w:tcPr>
          <w:p w14:paraId="091B2862" w14:textId="77777777" w:rsidR="00561B22" w:rsidRPr="00600854" w:rsidRDefault="00561B22" w:rsidP="00F1223B">
            <w:pPr>
              <w:jc w:val="center"/>
              <w:rPr>
                <w:rFonts w:ascii="Arial" w:hAnsi="Arial" w:cs="Arial"/>
                <w:b/>
                <w:sz w:val="22"/>
                <w:szCs w:val="22"/>
                <w:u w:val="single"/>
                <w:lang w:val="es-MX"/>
              </w:rPr>
            </w:pPr>
            <w:r w:rsidRPr="00600854">
              <w:rPr>
                <w:rFonts w:ascii="Arial" w:hAnsi="Arial" w:cs="Arial"/>
                <w:b/>
                <w:sz w:val="22"/>
                <w:szCs w:val="22"/>
                <w:u w:val="single"/>
                <w:lang w:val="es-MX"/>
              </w:rPr>
              <w:t>4.90</w:t>
            </w:r>
          </w:p>
        </w:tc>
      </w:tr>
    </w:tbl>
    <w:p w14:paraId="0EEB5750" w14:textId="77777777" w:rsidR="00561B22" w:rsidRPr="00600854" w:rsidRDefault="00561B22" w:rsidP="00561B22">
      <w:pPr>
        <w:pStyle w:val="Textoindependiente"/>
        <w:ind w:right="-50"/>
        <w:jc w:val="both"/>
        <w:rPr>
          <w:rFonts w:ascii="Arial" w:hAnsi="Arial" w:cs="Arial"/>
          <w:b/>
          <w:bCs/>
        </w:rPr>
      </w:pPr>
    </w:p>
    <w:p w14:paraId="75814FE2" w14:textId="77777777" w:rsidR="00561B22" w:rsidRPr="00600854" w:rsidRDefault="00561B22" w:rsidP="00561B22">
      <w:pPr>
        <w:pStyle w:val="Textoindependiente"/>
        <w:ind w:right="-50"/>
        <w:jc w:val="both"/>
        <w:rPr>
          <w:rFonts w:ascii="Arial" w:hAnsi="Arial" w:cs="Arial"/>
          <w:b/>
          <w:bCs/>
        </w:rPr>
      </w:pPr>
      <w:r w:rsidRPr="00600854">
        <w:rPr>
          <w:rFonts w:ascii="Arial" w:hAnsi="Arial" w:cs="Arial"/>
          <w:b/>
          <w:bCs/>
        </w:rPr>
        <w:t>Del informe enviado retomamos lo siguiente:</w:t>
      </w:r>
    </w:p>
    <w:p w14:paraId="7CE2774D" w14:textId="77777777" w:rsidR="00561B22" w:rsidRPr="0060085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00854" w14:paraId="50C5CE3A" w14:textId="77777777" w:rsidTr="00F1223B">
        <w:tc>
          <w:tcPr>
            <w:tcW w:w="562" w:type="dxa"/>
          </w:tcPr>
          <w:p w14:paraId="1707BBE3" w14:textId="77777777" w:rsidR="00561B22" w:rsidRPr="00600854" w:rsidRDefault="00561B22" w:rsidP="00F1223B">
            <w:pPr>
              <w:ind w:right="-109"/>
              <w:jc w:val="center"/>
              <w:rPr>
                <w:rFonts w:ascii="Arial" w:hAnsi="Arial" w:cs="Arial"/>
                <w:b/>
                <w:sz w:val="22"/>
                <w:szCs w:val="22"/>
                <w:lang w:val="es-MX"/>
              </w:rPr>
            </w:pPr>
            <w:r w:rsidRPr="00600854">
              <w:rPr>
                <w:rFonts w:ascii="Arial" w:hAnsi="Arial" w:cs="Arial"/>
                <w:b/>
                <w:sz w:val="22"/>
                <w:szCs w:val="22"/>
                <w:lang w:val="es-MX"/>
              </w:rPr>
              <w:t>N°</w:t>
            </w:r>
          </w:p>
        </w:tc>
        <w:tc>
          <w:tcPr>
            <w:tcW w:w="9400" w:type="dxa"/>
          </w:tcPr>
          <w:p w14:paraId="1EBFB122" w14:textId="77777777" w:rsidR="00561B22" w:rsidRPr="00600854" w:rsidRDefault="00561B22" w:rsidP="00F1223B">
            <w:pPr>
              <w:jc w:val="center"/>
              <w:rPr>
                <w:rFonts w:ascii="Arial" w:hAnsi="Arial" w:cs="Arial"/>
                <w:b/>
                <w:sz w:val="22"/>
                <w:szCs w:val="22"/>
                <w:lang w:val="es-MX"/>
              </w:rPr>
            </w:pPr>
            <w:r w:rsidRPr="00600854">
              <w:rPr>
                <w:rFonts w:ascii="Arial" w:hAnsi="Arial" w:cs="Arial"/>
                <w:b/>
                <w:sz w:val="22"/>
                <w:szCs w:val="22"/>
                <w:lang w:val="es-MX"/>
              </w:rPr>
              <w:t>DEBILIDADES</w:t>
            </w:r>
          </w:p>
          <w:p w14:paraId="3AFB2BA3" w14:textId="77777777" w:rsidR="00561B22" w:rsidRPr="00600854" w:rsidRDefault="00561B22" w:rsidP="00F1223B">
            <w:pPr>
              <w:jc w:val="center"/>
              <w:rPr>
                <w:rFonts w:ascii="Arial" w:hAnsi="Arial" w:cs="Arial"/>
                <w:b/>
                <w:sz w:val="22"/>
                <w:szCs w:val="22"/>
                <w:lang w:val="es-MX"/>
              </w:rPr>
            </w:pPr>
          </w:p>
        </w:tc>
      </w:tr>
      <w:tr w:rsidR="00561B22" w:rsidRPr="00600854" w14:paraId="32840965" w14:textId="77777777" w:rsidTr="00F1223B">
        <w:tc>
          <w:tcPr>
            <w:tcW w:w="562" w:type="dxa"/>
          </w:tcPr>
          <w:p w14:paraId="4F8561E2" w14:textId="77777777" w:rsidR="00561B22" w:rsidRPr="00600854" w:rsidRDefault="00561B22" w:rsidP="00F1223B">
            <w:pPr>
              <w:jc w:val="both"/>
              <w:rPr>
                <w:rFonts w:ascii="Arial" w:hAnsi="Arial" w:cs="Arial"/>
                <w:bCs/>
                <w:sz w:val="22"/>
                <w:szCs w:val="22"/>
                <w:lang w:val="es-MX"/>
              </w:rPr>
            </w:pPr>
            <w:r w:rsidRPr="00600854">
              <w:rPr>
                <w:rFonts w:ascii="Arial" w:hAnsi="Arial" w:cs="Arial"/>
                <w:bCs/>
                <w:sz w:val="22"/>
                <w:szCs w:val="22"/>
                <w:lang w:val="es-MX"/>
              </w:rPr>
              <w:t>1</w:t>
            </w:r>
          </w:p>
        </w:tc>
        <w:tc>
          <w:tcPr>
            <w:tcW w:w="9400" w:type="dxa"/>
          </w:tcPr>
          <w:p w14:paraId="4B08FAA3" w14:textId="77777777" w:rsidR="00561B22" w:rsidRPr="00600854" w:rsidRDefault="00561B22" w:rsidP="00F1223B">
            <w:pPr>
              <w:jc w:val="both"/>
              <w:rPr>
                <w:rFonts w:ascii="Arial" w:hAnsi="Arial" w:cs="Arial"/>
                <w:bCs/>
                <w:sz w:val="22"/>
                <w:szCs w:val="22"/>
                <w:lang w:val="es-MX"/>
              </w:rPr>
            </w:pPr>
            <w:r w:rsidRPr="00600854">
              <w:rPr>
                <w:rFonts w:ascii="Arial" w:hAnsi="Arial" w:cs="Arial"/>
                <w:bCs/>
                <w:sz w:val="22"/>
                <w:szCs w:val="22"/>
                <w:lang w:val="es-MX"/>
              </w:rPr>
              <w:t>Personal insuficiente para las actividades del proceso contable, desactualización de los procedimientos, y mapas de riesgos, alta rotación de la jefatura Financiera, lo que no permite la continuidad de algunos procesos contables y la mejora de los mismos.</w:t>
            </w:r>
          </w:p>
        </w:tc>
      </w:tr>
    </w:tbl>
    <w:p w14:paraId="0E693ACA" w14:textId="77777777" w:rsidR="00561B22" w:rsidRPr="00600854" w:rsidRDefault="00561B22" w:rsidP="00561B22">
      <w:pPr>
        <w:pStyle w:val="Textoindependiente"/>
        <w:ind w:right="-50"/>
        <w:jc w:val="both"/>
        <w:rPr>
          <w:rFonts w:ascii="Arial" w:hAnsi="Arial" w:cs="Arial"/>
          <w:bCs/>
        </w:rPr>
      </w:pPr>
    </w:p>
    <w:p w14:paraId="76011BB7" w14:textId="77777777" w:rsidR="00561B22" w:rsidRPr="00600854" w:rsidRDefault="00561B22" w:rsidP="00561B22">
      <w:pPr>
        <w:jc w:val="both"/>
        <w:rPr>
          <w:rFonts w:ascii="Arial" w:hAnsi="Arial" w:cs="Arial"/>
          <w:b/>
          <w:lang w:val="es-MX"/>
        </w:rPr>
      </w:pPr>
      <w:r w:rsidRPr="00600854">
        <w:rPr>
          <w:rFonts w:ascii="Arial" w:hAnsi="Arial" w:cs="Arial"/>
          <w:b/>
          <w:lang w:val="es-MX"/>
        </w:rPr>
        <w:t>Del citado informe retomamos las siguientes recomendaciones:</w:t>
      </w:r>
    </w:p>
    <w:p w14:paraId="23912E7F" w14:textId="77777777" w:rsidR="00561B22" w:rsidRPr="00600854" w:rsidRDefault="00561B22" w:rsidP="00561B22">
      <w:pPr>
        <w:pStyle w:val="Textoindependiente"/>
        <w:ind w:right="-50"/>
        <w:jc w:val="both"/>
        <w:rPr>
          <w:rFonts w:ascii="Arial" w:hAnsi="Arial" w:cs="Arial"/>
          <w:bCs/>
        </w:rPr>
      </w:pPr>
    </w:p>
    <w:tbl>
      <w:tblPr>
        <w:tblStyle w:val="Tablaconcuadrcula"/>
        <w:tblW w:w="0" w:type="auto"/>
        <w:tblLook w:val="04A0" w:firstRow="1" w:lastRow="0" w:firstColumn="1" w:lastColumn="0" w:noHBand="0" w:noVBand="1"/>
      </w:tblPr>
      <w:tblGrid>
        <w:gridCol w:w="562"/>
        <w:gridCol w:w="9400"/>
      </w:tblGrid>
      <w:tr w:rsidR="00561B22" w:rsidRPr="00600854" w14:paraId="4301B0D4" w14:textId="77777777" w:rsidTr="00F1223B">
        <w:tc>
          <w:tcPr>
            <w:tcW w:w="562" w:type="dxa"/>
          </w:tcPr>
          <w:p w14:paraId="13B19116" w14:textId="77777777" w:rsidR="00561B22" w:rsidRPr="00600854" w:rsidRDefault="00561B22" w:rsidP="00F1223B">
            <w:pPr>
              <w:ind w:right="-109"/>
              <w:jc w:val="both"/>
              <w:rPr>
                <w:rFonts w:ascii="Arial" w:hAnsi="Arial" w:cs="Arial"/>
                <w:bCs/>
                <w:sz w:val="22"/>
                <w:szCs w:val="22"/>
                <w:lang w:val="es-MX"/>
              </w:rPr>
            </w:pPr>
            <w:r w:rsidRPr="00600854">
              <w:rPr>
                <w:rFonts w:ascii="Arial" w:hAnsi="Arial" w:cs="Arial"/>
                <w:bCs/>
                <w:sz w:val="22"/>
                <w:szCs w:val="22"/>
                <w:lang w:val="es-MX"/>
              </w:rPr>
              <w:t>N°</w:t>
            </w:r>
          </w:p>
        </w:tc>
        <w:tc>
          <w:tcPr>
            <w:tcW w:w="9400" w:type="dxa"/>
          </w:tcPr>
          <w:p w14:paraId="1E17AF64" w14:textId="77777777" w:rsidR="00561B22" w:rsidRPr="00600854" w:rsidRDefault="00561B22" w:rsidP="00F1223B">
            <w:pPr>
              <w:jc w:val="center"/>
              <w:rPr>
                <w:rFonts w:ascii="Arial" w:hAnsi="Arial" w:cs="Arial"/>
                <w:b/>
                <w:sz w:val="22"/>
                <w:szCs w:val="22"/>
                <w:lang w:val="es-MX"/>
              </w:rPr>
            </w:pPr>
            <w:r w:rsidRPr="00600854">
              <w:rPr>
                <w:rFonts w:ascii="Arial" w:hAnsi="Arial" w:cs="Arial"/>
                <w:b/>
                <w:sz w:val="22"/>
                <w:szCs w:val="22"/>
                <w:lang w:val="es-MX"/>
              </w:rPr>
              <w:t>RECOMENDACIONES</w:t>
            </w:r>
          </w:p>
          <w:p w14:paraId="0DB0643A" w14:textId="77777777" w:rsidR="00561B22" w:rsidRPr="00600854" w:rsidRDefault="00561B22" w:rsidP="00F1223B">
            <w:pPr>
              <w:jc w:val="both"/>
              <w:rPr>
                <w:rFonts w:ascii="Arial" w:hAnsi="Arial" w:cs="Arial"/>
                <w:bCs/>
                <w:sz w:val="22"/>
                <w:szCs w:val="22"/>
                <w:lang w:val="es-MX"/>
              </w:rPr>
            </w:pPr>
          </w:p>
        </w:tc>
      </w:tr>
      <w:tr w:rsidR="00561B22" w:rsidRPr="00600854" w14:paraId="5512F173" w14:textId="77777777" w:rsidTr="00F1223B">
        <w:tc>
          <w:tcPr>
            <w:tcW w:w="562" w:type="dxa"/>
          </w:tcPr>
          <w:p w14:paraId="32E991DA" w14:textId="77777777" w:rsidR="00561B22" w:rsidRPr="00600854" w:rsidRDefault="00561B22" w:rsidP="00F1223B">
            <w:pPr>
              <w:jc w:val="both"/>
              <w:rPr>
                <w:rFonts w:ascii="Arial" w:hAnsi="Arial" w:cs="Arial"/>
                <w:bCs/>
                <w:sz w:val="22"/>
                <w:szCs w:val="22"/>
                <w:lang w:val="es-MX"/>
              </w:rPr>
            </w:pPr>
            <w:r w:rsidRPr="00600854">
              <w:rPr>
                <w:rFonts w:ascii="Arial" w:hAnsi="Arial" w:cs="Arial"/>
                <w:bCs/>
                <w:sz w:val="22"/>
                <w:szCs w:val="22"/>
                <w:lang w:val="es-MX"/>
              </w:rPr>
              <w:t>1</w:t>
            </w:r>
          </w:p>
        </w:tc>
        <w:tc>
          <w:tcPr>
            <w:tcW w:w="9400" w:type="dxa"/>
          </w:tcPr>
          <w:p w14:paraId="458D340F" w14:textId="77777777" w:rsidR="00561B22" w:rsidRPr="00600854" w:rsidRDefault="00561B22" w:rsidP="00F1223B">
            <w:pPr>
              <w:jc w:val="both"/>
              <w:rPr>
                <w:rFonts w:ascii="Arial" w:hAnsi="Arial" w:cs="Arial"/>
                <w:bCs/>
                <w:sz w:val="22"/>
                <w:szCs w:val="22"/>
                <w:lang w:val="es-MX"/>
              </w:rPr>
            </w:pPr>
            <w:r w:rsidRPr="00600854">
              <w:rPr>
                <w:rFonts w:ascii="Arial" w:hAnsi="Arial" w:cs="Arial"/>
                <w:bCs/>
                <w:sz w:val="22"/>
                <w:szCs w:val="22"/>
                <w:lang w:val="es-MX"/>
              </w:rPr>
              <w:t>Actualización de los manuales de procedimientos, mapas de riesgos, controles existentes, completar la actualización de módulo de activos fijos.</w:t>
            </w:r>
          </w:p>
        </w:tc>
      </w:tr>
    </w:tbl>
    <w:p w14:paraId="52C5A5FD" w14:textId="77777777" w:rsidR="00561B22" w:rsidRPr="00600854" w:rsidRDefault="00561B22" w:rsidP="00561B22">
      <w:pPr>
        <w:pStyle w:val="Textoindependiente"/>
        <w:ind w:right="-50"/>
        <w:jc w:val="both"/>
        <w:rPr>
          <w:rFonts w:ascii="Arial" w:hAnsi="Arial" w:cs="Arial"/>
          <w:b/>
          <w:bCs/>
          <w:sz w:val="28"/>
          <w:szCs w:val="28"/>
        </w:rPr>
      </w:pPr>
    </w:p>
    <w:p w14:paraId="037DB341" w14:textId="77777777" w:rsidR="00561B22" w:rsidRPr="00600854" w:rsidRDefault="00561B22" w:rsidP="00561B22">
      <w:pPr>
        <w:jc w:val="both"/>
        <w:rPr>
          <w:rFonts w:ascii="Arial" w:hAnsi="Arial" w:cs="Arial"/>
          <w:b/>
          <w:bCs/>
          <w:sz w:val="24"/>
          <w:szCs w:val="24"/>
          <w:lang w:val="es-CO"/>
        </w:rPr>
      </w:pPr>
      <w:r w:rsidRPr="00600854">
        <w:rPr>
          <w:rFonts w:ascii="Arial" w:hAnsi="Arial" w:cs="Arial"/>
          <w:b/>
          <w:bCs/>
          <w:sz w:val="24"/>
          <w:szCs w:val="24"/>
          <w:lang w:val="es-CO"/>
        </w:rPr>
        <w:t xml:space="preserve">NOTA: </w:t>
      </w:r>
      <w:r w:rsidRPr="00600854">
        <w:rPr>
          <w:rFonts w:ascii="Arial" w:hAnsi="Arial" w:cs="Arial"/>
          <w:sz w:val="24"/>
          <w:szCs w:val="24"/>
          <w:lang w:val="es-CO"/>
        </w:rPr>
        <w:t>LA ENTIDAD ENVÍA LA MATRIZ DE AUTOEVALUACIÓN DEL SISTEMA DE CONTROL INTERNO CONTABLE CON</w:t>
      </w:r>
      <w:r w:rsidRPr="00600854">
        <w:rPr>
          <w:rFonts w:ascii="Arial" w:hAnsi="Arial" w:cs="Arial"/>
          <w:b/>
          <w:bCs/>
          <w:sz w:val="24"/>
          <w:szCs w:val="24"/>
          <w:lang w:val="es-CO"/>
        </w:rPr>
        <w:t xml:space="preserve"> </w:t>
      </w:r>
      <w:r w:rsidRPr="00600854">
        <w:rPr>
          <w:rFonts w:ascii="Arial" w:hAnsi="Arial" w:cs="Arial"/>
          <w:b/>
          <w:bCs/>
          <w:sz w:val="24"/>
          <w:szCs w:val="24"/>
          <w:u w:val="single"/>
          <w:lang w:val="es-CO"/>
        </w:rPr>
        <w:t>ACTIVIDADES DE CONTROL REALIZADAS EN FORMA PARCIAL</w:t>
      </w:r>
      <w:r w:rsidRPr="00600854">
        <w:rPr>
          <w:rFonts w:ascii="Arial" w:hAnsi="Arial" w:cs="Arial"/>
          <w:b/>
          <w:bCs/>
          <w:sz w:val="24"/>
          <w:szCs w:val="24"/>
          <w:lang w:val="es-CO"/>
        </w:rPr>
        <w:t>.</w:t>
      </w:r>
    </w:p>
    <w:p w14:paraId="08527E03" w14:textId="77777777" w:rsidR="00561B22" w:rsidRPr="00600854" w:rsidRDefault="00561B22" w:rsidP="00561B22">
      <w:pPr>
        <w:pStyle w:val="Textoindependiente"/>
        <w:ind w:right="-50"/>
        <w:jc w:val="both"/>
        <w:rPr>
          <w:rFonts w:ascii="Arial" w:hAnsi="Arial" w:cs="Arial"/>
          <w:b/>
          <w:sz w:val="28"/>
          <w:szCs w:val="28"/>
          <w:lang w:val="es-CO"/>
        </w:rPr>
      </w:pPr>
    </w:p>
    <w:p w14:paraId="5FB8F1CF" w14:textId="77777777" w:rsidR="00561B22" w:rsidRDefault="00561B22" w:rsidP="00561B22">
      <w:pPr>
        <w:jc w:val="both"/>
        <w:rPr>
          <w:rFonts w:ascii="Arial" w:eastAsia="Calibri" w:hAnsi="Arial" w:cs="Arial"/>
          <w:b/>
          <w:sz w:val="28"/>
          <w:szCs w:val="28"/>
          <w:lang w:val="es-CO"/>
        </w:rPr>
      </w:pPr>
      <w:r w:rsidRPr="00273463">
        <w:rPr>
          <w:rFonts w:ascii="Arial" w:hAnsi="Arial" w:cs="Arial"/>
          <w:b/>
          <w:sz w:val="28"/>
          <w:szCs w:val="28"/>
          <w:lang w:val="es-MX"/>
        </w:rPr>
        <w:t xml:space="preserve">105.- </w:t>
      </w:r>
      <w:r w:rsidRPr="00273463">
        <w:rPr>
          <w:rFonts w:ascii="Arial" w:eastAsia="Calibri" w:hAnsi="Arial" w:cs="Arial"/>
          <w:b/>
          <w:sz w:val="28"/>
          <w:szCs w:val="28"/>
          <w:lang w:val="es-CO"/>
        </w:rPr>
        <w:t>SOCIEDAD DE TELEVISIÓN DE CALDAS, RISARALDA Y QUINDÍO LTDA. - TELECAFÉ LTDA.</w:t>
      </w:r>
    </w:p>
    <w:p w14:paraId="55217F4B" w14:textId="77777777" w:rsidR="00561B22" w:rsidRDefault="00561B22" w:rsidP="00561B22">
      <w:pPr>
        <w:jc w:val="both"/>
        <w:rPr>
          <w:rFonts w:ascii="Arial" w:hAnsi="Arial" w:cs="Arial"/>
          <w:b/>
          <w:bCs/>
          <w:sz w:val="24"/>
          <w:szCs w:val="24"/>
          <w:lang w:val="es-CO"/>
        </w:rPr>
      </w:pPr>
    </w:p>
    <w:p w14:paraId="011D4C12" w14:textId="77777777" w:rsidR="00561B22" w:rsidRPr="008711F0" w:rsidRDefault="00561B22" w:rsidP="00561B22">
      <w:pPr>
        <w:pStyle w:val="Textoindependiente"/>
        <w:jc w:val="center"/>
        <w:rPr>
          <w:rFonts w:ascii="Arial" w:hAnsi="Arial" w:cs="Arial"/>
          <w:b/>
          <w:bCs/>
        </w:rPr>
      </w:pPr>
      <w:r w:rsidRPr="008711F0">
        <w:rPr>
          <w:rFonts w:ascii="Arial" w:hAnsi="Arial" w:cs="Arial"/>
          <w:b/>
          <w:bCs/>
        </w:rPr>
        <w:t>INFORME DE LA AUTOCALIFICACIÓN DEL SISTEMA DE CONTROL INTERNO CONTABLE:</w:t>
      </w:r>
    </w:p>
    <w:p w14:paraId="5BFC10A0" w14:textId="77777777" w:rsidR="00561B22" w:rsidRPr="008711F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711F0" w14:paraId="61D14981" w14:textId="77777777" w:rsidTr="00F1223B">
        <w:tc>
          <w:tcPr>
            <w:tcW w:w="4981" w:type="dxa"/>
          </w:tcPr>
          <w:p w14:paraId="7016ABE8"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AUTOCALIFICACIÓN</w:t>
            </w:r>
          </w:p>
        </w:tc>
        <w:tc>
          <w:tcPr>
            <w:tcW w:w="4981" w:type="dxa"/>
          </w:tcPr>
          <w:p w14:paraId="30CDCA29" w14:textId="77777777" w:rsidR="00561B22" w:rsidRPr="008711F0" w:rsidRDefault="00561B22" w:rsidP="00F1223B">
            <w:pPr>
              <w:jc w:val="center"/>
              <w:rPr>
                <w:rFonts w:ascii="Arial" w:hAnsi="Arial" w:cs="Arial"/>
                <w:b/>
                <w:sz w:val="22"/>
                <w:szCs w:val="22"/>
                <w:u w:val="single"/>
                <w:lang w:val="es-MX"/>
              </w:rPr>
            </w:pPr>
            <w:r w:rsidRPr="008711F0">
              <w:rPr>
                <w:rFonts w:ascii="Arial" w:hAnsi="Arial" w:cs="Arial"/>
                <w:b/>
                <w:sz w:val="22"/>
                <w:szCs w:val="22"/>
                <w:u w:val="single"/>
                <w:lang w:val="es-MX"/>
              </w:rPr>
              <w:t>4.65</w:t>
            </w:r>
          </w:p>
        </w:tc>
      </w:tr>
    </w:tbl>
    <w:p w14:paraId="34FDC610" w14:textId="77777777" w:rsidR="00561B22" w:rsidRPr="008711F0" w:rsidRDefault="00561B22" w:rsidP="00561B22">
      <w:pPr>
        <w:pStyle w:val="Textoindependiente"/>
        <w:jc w:val="both"/>
        <w:rPr>
          <w:rFonts w:ascii="Arial" w:hAnsi="Arial" w:cs="Arial"/>
          <w:b/>
          <w:bCs/>
        </w:rPr>
      </w:pPr>
    </w:p>
    <w:p w14:paraId="06A41262" w14:textId="77777777" w:rsidR="00561B22" w:rsidRPr="008711F0" w:rsidRDefault="00561B22" w:rsidP="00561B22">
      <w:pPr>
        <w:pStyle w:val="Textoindependiente"/>
        <w:jc w:val="both"/>
        <w:rPr>
          <w:rFonts w:ascii="Arial" w:hAnsi="Arial" w:cs="Arial"/>
          <w:b/>
          <w:bCs/>
        </w:rPr>
      </w:pPr>
      <w:r w:rsidRPr="008711F0">
        <w:rPr>
          <w:rFonts w:ascii="Arial" w:hAnsi="Arial" w:cs="Arial"/>
          <w:b/>
          <w:bCs/>
        </w:rPr>
        <w:t>Del informe enviado retomamos lo siguiente:</w:t>
      </w:r>
    </w:p>
    <w:p w14:paraId="5F61E06A" w14:textId="77777777" w:rsidR="00561B22" w:rsidRPr="008711F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711F0" w14:paraId="11FBBABE" w14:textId="77777777" w:rsidTr="00F1223B">
        <w:tc>
          <w:tcPr>
            <w:tcW w:w="562" w:type="dxa"/>
          </w:tcPr>
          <w:p w14:paraId="48EB1FCB"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N°</w:t>
            </w:r>
          </w:p>
        </w:tc>
        <w:tc>
          <w:tcPr>
            <w:tcW w:w="9400" w:type="dxa"/>
          </w:tcPr>
          <w:p w14:paraId="7F2F8E0D"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DEBILIDADES</w:t>
            </w:r>
          </w:p>
          <w:p w14:paraId="5E698AB9" w14:textId="77777777" w:rsidR="00561B22" w:rsidRPr="008711F0" w:rsidRDefault="00561B22" w:rsidP="00F1223B">
            <w:pPr>
              <w:jc w:val="center"/>
              <w:rPr>
                <w:rFonts w:ascii="Arial" w:hAnsi="Arial" w:cs="Arial"/>
                <w:b/>
                <w:sz w:val="22"/>
                <w:szCs w:val="22"/>
                <w:lang w:val="es-MX"/>
              </w:rPr>
            </w:pPr>
          </w:p>
        </w:tc>
      </w:tr>
      <w:tr w:rsidR="00561B22" w:rsidRPr="008711F0" w14:paraId="1914F440" w14:textId="77777777" w:rsidTr="00F1223B">
        <w:tc>
          <w:tcPr>
            <w:tcW w:w="562" w:type="dxa"/>
          </w:tcPr>
          <w:p w14:paraId="0137D535"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1</w:t>
            </w:r>
          </w:p>
        </w:tc>
        <w:tc>
          <w:tcPr>
            <w:tcW w:w="9400" w:type="dxa"/>
          </w:tcPr>
          <w:p w14:paraId="55FAFEFC" w14:textId="77777777" w:rsidR="00561B22" w:rsidRPr="008711F0" w:rsidRDefault="00561B22" w:rsidP="00F1223B">
            <w:pPr>
              <w:jc w:val="both"/>
              <w:rPr>
                <w:rFonts w:ascii="Arial" w:hAnsi="Arial" w:cs="Arial"/>
                <w:bCs/>
                <w:sz w:val="22"/>
                <w:szCs w:val="22"/>
                <w:lang w:val="es-MX"/>
              </w:rPr>
            </w:pPr>
            <w:r w:rsidRPr="008711F0">
              <w:rPr>
                <w:rFonts w:ascii="Arial" w:hAnsi="Arial" w:cs="Arial"/>
                <w:bCs/>
                <w:sz w:val="22"/>
                <w:szCs w:val="22"/>
                <w:lang w:val="es-CO"/>
              </w:rPr>
              <w:t>Durante la vigencia 2024 se detectaron debilidades en la identificación valoración y tratamiento de riesgos especialmente en los temas de aseguramiento de la propiedad planta y equipo debido entre otros a la deficiente información entregada en los procesos de empalme de administraciones la alta rotación de personal en el área financiera</w:t>
            </w:r>
          </w:p>
        </w:tc>
      </w:tr>
    </w:tbl>
    <w:p w14:paraId="53EAED00" w14:textId="77777777" w:rsidR="00561B22" w:rsidRPr="008711F0" w:rsidRDefault="00561B22" w:rsidP="00561B22">
      <w:pPr>
        <w:pStyle w:val="Textoindependiente"/>
        <w:jc w:val="both"/>
        <w:rPr>
          <w:rFonts w:ascii="Arial" w:hAnsi="Arial" w:cs="Arial"/>
          <w:b/>
          <w:bCs/>
        </w:rPr>
      </w:pPr>
    </w:p>
    <w:p w14:paraId="76930A37" w14:textId="77777777" w:rsidR="00561B22" w:rsidRPr="008711F0" w:rsidRDefault="00561B22" w:rsidP="00561B22">
      <w:pPr>
        <w:jc w:val="both"/>
        <w:rPr>
          <w:rFonts w:ascii="Arial" w:hAnsi="Arial" w:cs="Arial"/>
          <w:b/>
          <w:lang w:val="es-MX"/>
        </w:rPr>
      </w:pPr>
      <w:r w:rsidRPr="008711F0">
        <w:rPr>
          <w:rFonts w:ascii="Arial" w:hAnsi="Arial" w:cs="Arial"/>
          <w:b/>
          <w:lang w:val="es-MX"/>
        </w:rPr>
        <w:t>Del citado informe retomamos las siguientes recomendaciones:</w:t>
      </w:r>
    </w:p>
    <w:p w14:paraId="01FBCB6F" w14:textId="77777777" w:rsidR="00561B22" w:rsidRPr="008711F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711F0" w14:paraId="798B4D8E" w14:textId="77777777" w:rsidTr="00F1223B">
        <w:tc>
          <w:tcPr>
            <w:tcW w:w="562" w:type="dxa"/>
          </w:tcPr>
          <w:p w14:paraId="33B800B8"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N°</w:t>
            </w:r>
          </w:p>
        </w:tc>
        <w:tc>
          <w:tcPr>
            <w:tcW w:w="9400" w:type="dxa"/>
          </w:tcPr>
          <w:p w14:paraId="350070CF"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RECOMENDACIONES</w:t>
            </w:r>
          </w:p>
          <w:p w14:paraId="6CF47722" w14:textId="77777777" w:rsidR="00561B22" w:rsidRPr="008711F0" w:rsidRDefault="00561B22" w:rsidP="00F1223B">
            <w:pPr>
              <w:jc w:val="center"/>
              <w:rPr>
                <w:rFonts w:ascii="Arial" w:hAnsi="Arial" w:cs="Arial"/>
                <w:b/>
                <w:sz w:val="22"/>
                <w:szCs w:val="22"/>
                <w:lang w:val="es-MX"/>
              </w:rPr>
            </w:pPr>
          </w:p>
        </w:tc>
      </w:tr>
      <w:tr w:rsidR="00561B22" w:rsidRPr="008711F0" w14:paraId="7BA706FC" w14:textId="77777777" w:rsidTr="00F1223B">
        <w:tc>
          <w:tcPr>
            <w:tcW w:w="562" w:type="dxa"/>
          </w:tcPr>
          <w:p w14:paraId="702B4AAD" w14:textId="77777777" w:rsidR="00561B22" w:rsidRPr="008711F0" w:rsidRDefault="00561B22" w:rsidP="00F1223B">
            <w:pPr>
              <w:jc w:val="center"/>
              <w:rPr>
                <w:rFonts w:ascii="Arial" w:hAnsi="Arial" w:cs="Arial"/>
                <w:b/>
                <w:sz w:val="22"/>
                <w:szCs w:val="22"/>
                <w:lang w:val="es-MX"/>
              </w:rPr>
            </w:pPr>
            <w:r w:rsidRPr="008711F0">
              <w:rPr>
                <w:rFonts w:ascii="Arial" w:hAnsi="Arial" w:cs="Arial"/>
                <w:b/>
                <w:sz w:val="22"/>
                <w:szCs w:val="22"/>
                <w:lang w:val="es-MX"/>
              </w:rPr>
              <w:t>1</w:t>
            </w:r>
          </w:p>
        </w:tc>
        <w:tc>
          <w:tcPr>
            <w:tcW w:w="9400" w:type="dxa"/>
          </w:tcPr>
          <w:p w14:paraId="47DCC60F" w14:textId="77777777" w:rsidR="00561B22" w:rsidRPr="008711F0" w:rsidRDefault="00561B22" w:rsidP="00F1223B">
            <w:pPr>
              <w:jc w:val="both"/>
              <w:rPr>
                <w:rFonts w:ascii="Arial" w:hAnsi="Arial" w:cs="Arial"/>
                <w:bCs/>
                <w:sz w:val="22"/>
                <w:szCs w:val="22"/>
                <w:lang w:val="es-MX"/>
              </w:rPr>
            </w:pPr>
            <w:r w:rsidRPr="008711F0">
              <w:rPr>
                <w:rFonts w:ascii="Arial" w:hAnsi="Arial" w:cs="Arial"/>
                <w:bCs/>
                <w:sz w:val="22"/>
                <w:szCs w:val="22"/>
                <w:lang w:val="es-CO"/>
              </w:rPr>
              <w:t>La identificación y valoración de riesgos en todos los procedimientos pues de esta situación se desprende la proyección de controles y el seguimiento a la efectividad de los mismos</w:t>
            </w:r>
          </w:p>
        </w:tc>
      </w:tr>
    </w:tbl>
    <w:p w14:paraId="51C3F412" w14:textId="77777777" w:rsidR="00561B22" w:rsidRPr="008711F0" w:rsidRDefault="00561B22" w:rsidP="00561B22">
      <w:pPr>
        <w:pStyle w:val="Textoindependiente"/>
        <w:jc w:val="both"/>
        <w:rPr>
          <w:rFonts w:ascii="Arial" w:hAnsi="Arial" w:cs="Arial"/>
          <w:b/>
          <w:bCs/>
          <w:sz w:val="28"/>
          <w:szCs w:val="28"/>
        </w:rPr>
      </w:pPr>
    </w:p>
    <w:p w14:paraId="65774090" w14:textId="77777777" w:rsidR="00561B22" w:rsidRPr="008711F0" w:rsidRDefault="00561B22" w:rsidP="00561B22">
      <w:pPr>
        <w:jc w:val="both"/>
        <w:rPr>
          <w:rFonts w:ascii="Arial" w:hAnsi="Arial" w:cs="Arial"/>
          <w:b/>
          <w:bCs/>
          <w:sz w:val="24"/>
          <w:szCs w:val="24"/>
          <w:lang w:val="es-CO"/>
        </w:rPr>
      </w:pPr>
      <w:r w:rsidRPr="008711F0">
        <w:rPr>
          <w:rFonts w:ascii="Arial" w:hAnsi="Arial" w:cs="Arial"/>
          <w:b/>
          <w:bCs/>
          <w:sz w:val="24"/>
          <w:szCs w:val="24"/>
          <w:lang w:val="es-CO"/>
        </w:rPr>
        <w:t xml:space="preserve">NOTA: LA ENTIDAD ENVIA LA MATRIZ DE AUTOEVALUACIÓN DEL SISTEMA DE CONTROL INTERNO CONTABLE CON </w:t>
      </w:r>
      <w:r w:rsidRPr="008711F0">
        <w:rPr>
          <w:rFonts w:ascii="Arial" w:hAnsi="Arial" w:cs="Arial"/>
          <w:b/>
          <w:bCs/>
          <w:sz w:val="24"/>
          <w:szCs w:val="24"/>
          <w:u w:val="single"/>
          <w:lang w:val="es-CO"/>
        </w:rPr>
        <w:t>ACTIVIDADES DE CONTROL REALIZADAS EN FORMA PARCIAL</w:t>
      </w:r>
      <w:r w:rsidRPr="008711F0">
        <w:rPr>
          <w:rFonts w:ascii="Arial" w:hAnsi="Arial" w:cs="Arial"/>
          <w:b/>
          <w:bCs/>
          <w:sz w:val="24"/>
          <w:szCs w:val="24"/>
          <w:lang w:val="es-CO"/>
        </w:rPr>
        <w:t>.</w:t>
      </w:r>
    </w:p>
    <w:p w14:paraId="2AF4AEFA" w14:textId="77777777" w:rsidR="00561B22" w:rsidRDefault="00561B22" w:rsidP="00561B22">
      <w:pPr>
        <w:jc w:val="both"/>
        <w:rPr>
          <w:rFonts w:ascii="Arial" w:hAnsi="Arial" w:cs="Arial"/>
          <w:b/>
          <w:bCs/>
          <w:sz w:val="24"/>
          <w:szCs w:val="24"/>
          <w:lang w:val="es-CO"/>
        </w:rPr>
      </w:pPr>
    </w:p>
    <w:p w14:paraId="07E97E6C" w14:textId="77777777" w:rsidR="00561B22" w:rsidRPr="00895972" w:rsidRDefault="00561B22" w:rsidP="00561B22">
      <w:pPr>
        <w:jc w:val="both"/>
        <w:rPr>
          <w:rFonts w:ascii="Arial" w:hAnsi="Arial" w:cs="Arial"/>
          <w:b/>
          <w:sz w:val="28"/>
          <w:szCs w:val="28"/>
          <w:lang w:val="es-MX"/>
        </w:rPr>
      </w:pPr>
      <w:bookmarkStart w:id="65" w:name="_Hlk198903783"/>
      <w:r w:rsidRPr="00895972">
        <w:rPr>
          <w:rFonts w:ascii="Arial" w:hAnsi="Arial" w:cs="Arial"/>
          <w:b/>
          <w:sz w:val="28"/>
          <w:szCs w:val="28"/>
          <w:lang w:val="es-MX"/>
        </w:rPr>
        <w:t>106.- UNIDAD DE PLANEACIÓN DE INFRAESTRUCTURA DE TRANSPORTE - UPIT.</w:t>
      </w:r>
    </w:p>
    <w:bookmarkEnd w:id="65"/>
    <w:p w14:paraId="23A3A14B" w14:textId="77777777" w:rsidR="00561B22" w:rsidRDefault="00561B22" w:rsidP="00561B22">
      <w:pPr>
        <w:jc w:val="both"/>
        <w:rPr>
          <w:rFonts w:ascii="Arial" w:hAnsi="Arial" w:cs="Arial"/>
          <w:b/>
          <w:bCs/>
          <w:sz w:val="24"/>
          <w:szCs w:val="24"/>
          <w:lang w:val="es-MX"/>
        </w:rPr>
      </w:pPr>
    </w:p>
    <w:p w14:paraId="576F8C97" w14:textId="77777777" w:rsidR="00561B22" w:rsidRPr="00895972" w:rsidRDefault="00561B22" w:rsidP="00561B22">
      <w:pPr>
        <w:pStyle w:val="Textoindependiente"/>
        <w:jc w:val="center"/>
        <w:rPr>
          <w:rFonts w:ascii="Arial" w:hAnsi="Arial" w:cs="Arial"/>
          <w:b/>
          <w:bCs/>
        </w:rPr>
      </w:pPr>
      <w:r w:rsidRPr="00895972">
        <w:rPr>
          <w:rFonts w:ascii="Arial" w:hAnsi="Arial" w:cs="Arial"/>
          <w:b/>
          <w:bCs/>
        </w:rPr>
        <w:t>INFORME DE LA AUTOCALIFICACIÓN DEL SISTEMA DE CONTROL INTERNO CONTABLE:</w:t>
      </w:r>
    </w:p>
    <w:p w14:paraId="6D716E98" w14:textId="77777777" w:rsidR="00561B22" w:rsidRPr="00895972"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95972" w14:paraId="6DEFCDA1" w14:textId="77777777" w:rsidTr="00F1223B">
        <w:tc>
          <w:tcPr>
            <w:tcW w:w="4981" w:type="dxa"/>
          </w:tcPr>
          <w:p w14:paraId="33ACB315"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AUTOCALIFICACIÓN</w:t>
            </w:r>
          </w:p>
        </w:tc>
        <w:tc>
          <w:tcPr>
            <w:tcW w:w="4981" w:type="dxa"/>
          </w:tcPr>
          <w:p w14:paraId="035EFBD5" w14:textId="77777777" w:rsidR="00561B22" w:rsidRPr="00895972" w:rsidRDefault="00561B22" w:rsidP="00F1223B">
            <w:pPr>
              <w:jc w:val="center"/>
              <w:rPr>
                <w:rFonts w:ascii="Arial" w:hAnsi="Arial" w:cs="Arial"/>
                <w:b/>
                <w:sz w:val="22"/>
                <w:szCs w:val="22"/>
                <w:u w:val="single"/>
                <w:lang w:val="es-MX"/>
              </w:rPr>
            </w:pPr>
            <w:r w:rsidRPr="00895972">
              <w:rPr>
                <w:rFonts w:ascii="Arial" w:hAnsi="Arial" w:cs="Arial"/>
                <w:b/>
                <w:sz w:val="22"/>
                <w:szCs w:val="22"/>
                <w:u w:val="single"/>
                <w:lang w:val="es-MX"/>
              </w:rPr>
              <w:t>4.78</w:t>
            </w:r>
          </w:p>
        </w:tc>
      </w:tr>
    </w:tbl>
    <w:p w14:paraId="23B07C9F" w14:textId="77777777" w:rsidR="00561B22" w:rsidRPr="00895972" w:rsidRDefault="00561B22" w:rsidP="00561B22">
      <w:pPr>
        <w:pStyle w:val="Textoindependiente"/>
        <w:jc w:val="both"/>
        <w:rPr>
          <w:rFonts w:ascii="Arial" w:hAnsi="Arial" w:cs="Arial"/>
          <w:b/>
          <w:bCs/>
        </w:rPr>
      </w:pPr>
    </w:p>
    <w:p w14:paraId="44A99F3A" w14:textId="77777777" w:rsidR="00561B22" w:rsidRPr="00895972" w:rsidRDefault="00561B22" w:rsidP="00561B22">
      <w:pPr>
        <w:jc w:val="both"/>
        <w:rPr>
          <w:rFonts w:ascii="Arial" w:hAnsi="Arial" w:cs="Arial"/>
          <w:b/>
          <w:lang w:val="es-MX"/>
        </w:rPr>
      </w:pPr>
      <w:r w:rsidRPr="00895972">
        <w:rPr>
          <w:rFonts w:ascii="Arial" w:hAnsi="Arial" w:cs="Arial"/>
          <w:b/>
          <w:lang w:val="es-MX"/>
        </w:rPr>
        <w:t>Del citado informe retomamos las siguientes recomendaciones:</w:t>
      </w:r>
    </w:p>
    <w:p w14:paraId="3A4E4824" w14:textId="77777777" w:rsidR="00561B22" w:rsidRPr="00895972"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895972" w14:paraId="46D9E195" w14:textId="77777777" w:rsidTr="00F1223B">
        <w:tc>
          <w:tcPr>
            <w:tcW w:w="562" w:type="dxa"/>
          </w:tcPr>
          <w:p w14:paraId="68325F46"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N°</w:t>
            </w:r>
          </w:p>
        </w:tc>
        <w:tc>
          <w:tcPr>
            <w:tcW w:w="9400" w:type="dxa"/>
          </w:tcPr>
          <w:p w14:paraId="6F7DE43B"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RECOMENDACIONES</w:t>
            </w:r>
          </w:p>
          <w:p w14:paraId="4BA9A98A" w14:textId="77777777" w:rsidR="00561B22" w:rsidRPr="00895972" w:rsidRDefault="00561B22" w:rsidP="00F1223B">
            <w:pPr>
              <w:jc w:val="center"/>
              <w:rPr>
                <w:rFonts w:ascii="Arial" w:hAnsi="Arial" w:cs="Arial"/>
                <w:b/>
                <w:sz w:val="22"/>
                <w:szCs w:val="22"/>
                <w:lang w:val="es-MX"/>
              </w:rPr>
            </w:pPr>
          </w:p>
        </w:tc>
      </w:tr>
      <w:tr w:rsidR="00561B22" w:rsidRPr="00895972" w14:paraId="017CC5A6" w14:textId="77777777" w:rsidTr="00F1223B">
        <w:tc>
          <w:tcPr>
            <w:tcW w:w="562" w:type="dxa"/>
          </w:tcPr>
          <w:p w14:paraId="2FAFF1CA"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1</w:t>
            </w:r>
          </w:p>
        </w:tc>
        <w:tc>
          <w:tcPr>
            <w:tcW w:w="9400" w:type="dxa"/>
          </w:tcPr>
          <w:p w14:paraId="0BDB9200" w14:textId="77777777" w:rsidR="00561B22" w:rsidRPr="00895972" w:rsidRDefault="00561B22" w:rsidP="00F1223B">
            <w:pPr>
              <w:widowControl/>
              <w:autoSpaceDE/>
              <w:autoSpaceDN/>
              <w:spacing w:line="259" w:lineRule="auto"/>
              <w:contextualSpacing/>
              <w:jc w:val="both"/>
              <w:rPr>
                <w:rFonts w:ascii="Arial" w:hAnsi="Arial" w:cs="Arial"/>
                <w:b/>
                <w:sz w:val="22"/>
                <w:szCs w:val="22"/>
              </w:rPr>
            </w:pPr>
            <w:r w:rsidRPr="00895972">
              <w:rPr>
                <w:rFonts w:ascii="Arial" w:hAnsi="Arial" w:cs="Arial"/>
                <w:iCs/>
                <w:sz w:val="22"/>
                <w:szCs w:val="22"/>
              </w:rPr>
              <w:t xml:space="preserve">Se recomienda que en las Revelaciones se desagregue el total de las cuentas, como se recomendó en el informe de Auditoría AI-02-2024 del GIT Financiero. </w:t>
            </w:r>
          </w:p>
        </w:tc>
      </w:tr>
      <w:tr w:rsidR="00561B22" w:rsidRPr="00895972" w14:paraId="1CB07097" w14:textId="77777777" w:rsidTr="00F1223B">
        <w:tc>
          <w:tcPr>
            <w:tcW w:w="562" w:type="dxa"/>
          </w:tcPr>
          <w:p w14:paraId="2AB714E6"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2</w:t>
            </w:r>
          </w:p>
        </w:tc>
        <w:tc>
          <w:tcPr>
            <w:tcW w:w="9400" w:type="dxa"/>
          </w:tcPr>
          <w:p w14:paraId="4CA979BF" w14:textId="77777777" w:rsidR="00561B22" w:rsidRPr="00895972" w:rsidRDefault="00561B22" w:rsidP="00F1223B">
            <w:pPr>
              <w:widowControl/>
              <w:autoSpaceDE/>
              <w:autoSpaceDN/>
              <w:spacing w:line="259" w:lineRule="auto"/>
              <w:contextualSpacing/>
              <w:jc w:val="both"/>
              <w:rPr>
                <w:rFonts w:ascii="Arial" w:hAnsi="Arial" w:cs="Arial"/>
                <w:b/>
                <w:sz w:val="22"/>
                <w:szCs w:val="22"/>
              </w:rPr>
            </w:pPr>
            <w:r w:rsidRPr="00895972">
              <w:rPr>
                <w:rFonts w:ascii="Arial" w:hAnsi="Arial" w:cs="Arial"/>
                <w:iCs/>
                <w:sz w:val="22"/>
                <w:szCs w:val="22"/>
              </w:rPr>
              <w:t>Se recomienda incluir en los procedimientos existentes, una política de operación sobre el uso de las tipologías de la Contaduría General de la Nación.</w:t>
            </w:r>
          </w:p>
        </w:tc>
      </w:tr>
      <w:tr w:rsidR="00561B22" w:rsidRPr="00895972" w14:paraId="2C91C611" w14:textId="77777777" w:rsidTr="00F1223B">
        <w:tc>
          <w:tcPr>
            <w:tcW w:w="562" w:type="dxa"/>
          </w:tcPr>
          <w:p w14:paraId="37DC04B5"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3</w:t>
            </w:r>
          </w:p>
        </w:tc>
        <w:tc>
          <w:tcPr>
            <w:tcW w:w="9400" w:type="dxa"/>
          </w:tcPr>
          <w:p w14:paraId="0EAD61E8" w14:textId="77777777" w:rsidR="00561B22" w:rsidRPr="00895972" w:rsidRDefault="00561B22" w:rsidP="00F1223B">
            <w:pPr>
              <w:widowControl/>
              <w:autoSpaceDE/>
              <w:autoSpaceDN/>
              <w:spacing w:line="259" w:lineRule="auto"/>
              <w:contextualSpacing/>
              <w:jc w:val="both"/>
              <w:rPr>
                <w:rFonts w:ascii="Arial" w:hAnsi="Arial" w:cs="Arial"/>
                <w:b/>
                <w:sz w:val="22"/>
                <w:szCs w:val="22"/>
              </w:rPr>
            </w:pPr>
            <w:r w:rsidRPr="00895972">
              <w:rPr>
                <w:rFonts w:ascii="Arial" w:hAnsi="Arial" w:cs="Arial"/>
                <w:iCs/>
                <w:sz w:val="22"/>
                <w:szCs w:val="22"/>
              </w:rPr>
              <w:t xml:space="preserve">En atención a la mejora continua del proceso de Gestión Financiera, se recomienda documentar en los procedimientos ya existentes, los controles que se implementan en el proceso contable día a día. </w:t>
            </w:r>
          </w:p>
        </w:tc>
      </w:tr>
      <w:tr w:rsidR="00561B22" w:rsidRPr="00895972" w14:paraId="17FFB23B" w14:textId="77777777" w:rsidTr="00F1223B">
        <w:tc>
          <w:tcPr>
            <w:tcW w:w="562" w:type="dxa"/>
          </w:tcPr>
          <w:p w14:paraId="6F684A46"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4</w:t>
            </w:r>
          </w:p>
        </w:tc>
        <w:tc>
          <w:tcPr>
            <w:tcW w:w="9400" w:type="dxa"/>
          </w:tcPr>
          <w:p w14:paraId="0EF63FF1" w14:textId="77777777" w:rsidR="00561B22" w:rsidRPr="00895972" w:rsidRDefault="00561B22" w:rsidP="00F1223B">
            <w:pPr>
              <w:widowControl/>
              <w:autoSpaceDE/>
              <w:autoSpaceDN/>
              <w:spacing w:line="259" w:lineRule="auto"/>
              <w:contextualSpacing/>
              <w:jc w:val="both"/>
              <w:rPr>
                <w:rFonts w:ascii="Arial" w:hAnsi="Arial" w:cs="Arial"/>
                <w:b/>
                <w:sz w:val="22"/>
                <w:szCs w:val="22"/>
              </w:rPr>
            </w:pPr>
            <w:r w:rsidRPr="00895972">
              <w:rPr>
                <w:rFonts w:ascii="Arial" w:hAnsi="Arial" w:cs="Arial"/>
                <w:iCs/>
                <w:sz w:val="22"/>
                <w:szCs w:val="22"/>
              </w:rPr>
              <w:t xml:space="preserve">Avanzar y culminar con la caracterización de los procedimientos asociados al Proceso de Administrativa, específicamente los relacionados con la gestión de los bienes de la entidad. </w:t>
            </w:r>
          </w:p>
        </w:tc>
      </w:tr>
      <w:tr w:rsidR="00561B22" w:rsidRPr="00895972" w14:paraId="796EB2DE" w14:textId="77777777" w:rsidTr="00F1223B">
        <w:tc>
          <w:tcPr>
            <w:tcW w:w="562" w:type="dxa"/>
          </w:tcPr>
          <w:p w14:paraId="47654552"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5</w:t>
            </w:r>
          </w:p>
        </w:tc>
        <w:tc>
          <w:tcPr>
            <w:tcW w:w="9400" w:type="dxa"/>
          </w:tcPr>
          <w:p w14:paraId="132123FF" w14:textId="77777777" w:rsidR="00561B22" w:rsidRPr="00895972" w:rsidRDefault="00561B22" w:rsidP="00F1223B">
            <w:pPr>
              <w:widowControl/>
              <w:autoSpaceDE/>
              <w:autoSpaceDN/>
              <w:spacing w:line="259" w:lineRule="auto"/>
              <w:contextualSpacing/>
              <w:jc w:val="both"/>
              <w:rPr>
                <w:rFonts w:ascii="Arial" w:hAnsi="Arial" w:cs="Arial"/>
                <w:b/>
                <w:sz w:val="22"/>
                <w:szCs w:val="22"/>
              </w:rPr>
            </w:pPr>
            <w:r w:rsidRPr="00895972">
              <w:rPr>
                <w:rFonts w:ascii="Arial" w:hAnsi="Arial" w:cs="Arial"/>
                <w:iCs/>
                <w:sz w:val="22"/>
                <w:szCs w:val="22"/>
              </w:rPr>
              <w:t>En los procesos de inducción y reinducción se recomienda incluir una presentación sobre la importancia del proceso contable en el cumplimiento de los objetivos institucionales y misionales de la UPIT.</w:t>
            </w:r>
          </w:p>
        </w:tc>
      </w:tr>
      <w:tr w:rsidR="00561B22" w:rsidRPr="00895972" w14:paraId="57C52917" w14:textId="77777777" w:rsidTr="00F1223B">
        <w:tc>
          <w:tcPr>
            <w:tcW w:w="562" w:type="dxa"/>
          </w:tcPr>
          <w:p w14:paraId="26D0E88F"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6</w:t>
            </w:r>
          </w:p>
        </w:tc>
        <w:tc>
          <w:tcPr>
            <w:tcW w:w="9400" w:type="dxa"/>
          </w:tcPr>
          <w:p w14:paraId="37767DCE" w14:textId="77777777" w:rsidR="00561B22" w:rsidRPr="00895972" w:rsidRDefault="00561B22" w:rsidP="00F1223B">
            <w:pPr>
              <w:widowControl/>
              <w:autoSpaceDE/>
              <w:autoSpaceDN/>
              <w:spacing w:line="259" w:lineRule="auto"/>
              <w:contextualSpacing/>
              <w:jc w:val="both"/>
              <w:rPr>
                <w:rFonts w:ascii="Arial" w:hAnsi="Arial" w:cs="Arial"/>
                <w:iCs/>
                <w:sz w:val="22"/>
                <w:szCs w:val="22"/>
              </w:rPr>
            </w:pPr>
            <w:r w:rsidRPr="00895972">
              <w:rPr>
                <w:rFonts w:ascii="Arial" w:hAnsi="Arial" w:cs="Arial"/>
                <w:iCs/>
                <w:sz w:val="22"/>
                <w:szCs w:val="22"/>
              </w:rPr>
              <w:t>Fortalecer la identificación de los riesgos fiscales conforme los lineamientos del Departamento Administrativo de la Función Pública.</w:t>
            </w:r>
          </w:p>
        </w:tc>
      </w:tr>
      <w:tr w:rsidR="00561B22" w:rsidRPr="00895972" w14:paraId="3370100E" w14:textId="77777777" w:rsidTr="00F1223B">
        <w:tc>
          <w:tcPr>
            <w:tcW w:w="562" w:type="dxa"/>
          </w:tcPr>
          <w:p w14:paraId="41C64EB7"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7</w:t>
            </w:r>
          </w:p>
        </w:tc>
        <w:tc>
          <w:tcPr>
            <w:tcW w:w="9400" w:type="dxa"/>
          </w:tcPr>
          <w:p w14:paraId="6FC6A9E1" w14:textId="77777777" w:rsidR="00561B22" w:rsidRPr="00895972" w:rsidRDefault="00561B22" w:rsidP="00F1223B">
            <w:pPr>
              <w:widowControl/>
              <w:autoSpaceDE/>
              <w:autoSpaceDN/>
              <w:spacing w:line="259" w:lineRule="auto"/>
              <w:contextualSpacing/>
              <w:jc w:val="both"/>
              <w:rPr>
                <w:rFonts w:ascii="Arial" w:hAnsi="Arial" w:cs="Arial"/>
                <w:iCs/>
                <w:sz w:val="22"/>
                <w:szCs w:val="22"/>
              </w:rPr>
            </w:pPr>
            <w:r w:rsidRPr="00895972">
              <w:rPr>
                <w:rFonts w:ascii="Arial" w:hAnsi="Arial" w:cs="Arial"/>
                <w:iCs/>
                <w:sz w:val="22"/>
                <w:szCs w:val="22"/>
              </w:rPr>
              <w:t>Se recomienda la estructuración o caracterización de un proceso y/o procedimiento de mejora en la entidad, que brinde los lineamientos para la formulación, registro, seguimiento y evaluación de las acciones correctivas, preventivas, de mejora, derivadas de autoevaluaciones, hallazgos de auditorías internas, entre otras.</w:t>
            </w:r>
          </w:p>
        </w:tc>
      </w:tr>
    </w:tbl>
    <w:p w14:paraId="6D24B18A" w14:textId="77777777" w:rsidR="00561B22" w:rsidRPr="00895972" w:rsidRDefault="00561B22" w:rsidP="00561B22">
      <w:pPr>
        <w:pStyle w:val="Textoindependiente"/>
        <w:jc w:val="both"/>
        <w:rPr>
          <w:rFonts w:ascii="Arial" w:hAnsi="Arial" w:cs="Arial"/>
          <w:b/>
          <w:bCs/>
        </w:rPr>
      </w:pPr>
    </w:p>
    <w:p w14:paraId="33BBEDC6" w14:textId="77777777" w:rsidR="00561B22" w:rsidRPr="00895972" w:rsidRDefault="00561B22" w:rsidP="00561B22">
      <w:pPr>
        <w:jc w:val="both"/>
        <w:rPr>
          <w:rFonts w:ascii="Arial" w:hAnsi="Arial" w:cs="Arial"/>
          <w:b/>
          <w:lang w:val="es-MX"/>
        </w:rPr>
      </w:pPr>
      <w:r w:rsidRPr="00895972">
        <w:rPr>
          <w:rFonts w:ascii="Arial" w:hAnsi="Arial" w:cs="Arial"/>
          <w:b/>
          <w:lang w:val="es-MX"/>
        </w:rPr>
        <w:lastRenderedPageBreak/>
        <w:t>Del citado informe retomamos las siguientes conclusiones:</w:t>
      </w:r>
    </w:p>
    <w:p w14:paraId="4B9D9B79" w14:textId="77777777" w:rsidR="00561B22" w:rsidRPr="00895972"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895972" w14:paraId="56620C3D" w14:textId="77777777" w:rsidTr="00F1223B">
        <w:tc>
          <w:tcPr>
            <w:tcW w:w="562" w:type="dxa"/>
          </w:tcPr>
          <w:p w14:paraId="786242ED"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N°</w:t>
            </w:r>
          </w:p>
        </w:tc>
        <w:tc>
          <w:tcPr>
            <w:tcW w:w="9400" w:type="dxa"/>
          </w:tcPr>
          <w:p w14:paraId="6CAE735C"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CONCLUSIONES</w:t>
            </w:r>
          </w:p>
          <w:p w14:paraId="7B8C7499" w14:textId="77777777" w:rsidR="00561B22" w:rsidRPr="00895972" w:rsidRDefault="00561B22" w:rsidP="00F1223B">
            <w:pPr>
              <w:jc w:val="center"/>
              <w:rPr>
                <w:rFonts w:ascii="Arial" w:hAnsi="Arial" w:cs="Arial"/>
                <w:b/>
                <w:sz w:val="22"/>
                <w:szCs w:val="22"/>
                <w:lang w:val="es-MX"/>
              </w:rPr>
            </w:pPr>
          </w:p>
        </w:tc>
      </w:tr>
      <w:tr w:rsidR="00561B22" w:rsidRPr="00895972" w14:paraId="32DED76A" w14:textId="77777777" w:rsidTr="00F1223B">
        <w:tc>
          <w:tcPr>
            <w:tcW w:w="562" w:type="dxa"/>
          </w:tcPr>
          <w:p w14:paraId="0A7C6757" w14:textId="77777777" w:rsidR="00561B22" w:rsidRPr="00895972" w:rsidRDefault="00561B22" w:rsidP="00F1223B">
            <w:pPr>
              <w:jc w:val="center"/>
              <w:rPr>
                <w:rFonts w:ascii="Arial" w:hAnsi="Arial" w:cs="Arial"/>
                <w:b/>
                <w:sz w:val="22"/>
                <w:szCs w:val="22"/>
                <w:lang w:val="es-MX"/>
              </w:rPr>
            </w:pPr>
            <w:r w:rsidRPr="00895972">
              <w:rPr>
                <w:rFonts w:ascii="Arial" w:hAnsi="Arial" w:cs="Arial"/>
                <w:b/>
                <w:sz w:val="22"/>
                <w:szCs w:val="22"/>
                <w:lang w:val="es-MX"/>
              </w:rPr>
              <w:t>1</w:t>
            </w:r>
          </w:p>
        </w:tc>
        <w:tc>
          <w:tcPr>
            <w:tcW w:w="9400" w:type="dxa"/>
          </w:tcPr>
          <w:p w14:paraId="61952CA6" w14:textId="77777777" w:rsidR="00561B22" w:rsidRPr="00895972" w:rsidRDefault="00561B22" w:rsidP="00F1223B">
            <w:pPr>
              <w:jc w:val="both"/>
              <w:rPr>
                <w:rFonts w:ascii="Arial" w:hAnsi="Arial" w:cs="Arial"/>
                <w:iCs/>
                <w:sz w:val="22"/>
                <w:szCs w:val="22"/>
              </w:rPr>
            </w:pPr>
            <w:r w:rsidRPr="00895972">
              <w:rPr>
                <w:rFonts w:ascii="Arial" w:hAnsi="Arial" w:cs="Arial"/>
                <w:iCs/>
                <w:sz w:val="22"/>
                <w:szCs w:val="22"/>
              </w:rPr>
              <w:t xml:space="preserve">La Asesoría de Control Interno realizó evaluación del Sistema de Control Interno Contable de la UPIT durante la vigencia 2024, obteniendo una calificación </w:t>
            </w:r>
            <w:r w:rsidRPr="00895972">
              <w:rPr>
                <w:rFonts w:ascii="Arial" w:hAnsi="Arial" w:cs="Arial"/>
                <w:color w:val="000000" w:themeColor="text1"/>
                <w:sz w:val="22"/>
                <w:szCs w:val="22"/>
              </w:rPr>
              <w:t xml:space="preserve">de </w:t>
            </w:r>
            <w:r w:rsidRPr="00895972">
              <w:rPr>
                <w:rFonts w:ascii="Arial" w:hAnsi="Arial" w:cs="Arial"/>
                <w:b/>
                <w:bCs/>
                <w:color w:val="000000" w:themeColor="text1"/>
                <w:sz w:val="22"/>
                <w:szCs w:val="22"/>
              </w:rPr>
              <w:t>4.78</w:t>
            </w:r>
            <w:r w:rsidRPr="00895972">
              <w:rPr>
                <w:rFonts w:ascii="Arial" w:hAnsi="Arial" w:cs="Arial"/>
                <w:color w:val="000000" w:themeColor="text1"/>
                <w:sz w:val="22"/>
                <w:szCs w:val="22"/>
              </w:rPr>
              <w:t xml:space="preserve"> que, de acuerdo con la escala de calificación establecida por la Contaduría General de la Nación, ubica a la entidad en un </w:t>
            </w:r>
            <w:r w:rsidRPr="00895972">
              <w:rPr>
                <w:rFonts w:ascii="Arial" w:hAnsi="Arial" w:cs="Arial"/>
                <w:b/>
                <w:bCs/>
                <w:color w:val="000000" w:themeColor="text1"/>
                <w:sz w:val="22"/>
                <w:szCs w:val="22"/>
              </w:rPr>
              <w:t>nivel Eficiente</w:t>
            </w:r>
            <w:r w:rsidRPr="00895972">
              <w:rPr>
                <w:rFonts w:ascii="Arial" w:hAnsi="Arial" w:cs="Arial"/>
                <w:iCs/>
                <w:sz w:val="22"/>
                <w:szCs w:val="22"/>
              </w:rPr>
              <w:t>. Se evidenció</w:t>
            </w:r>
            <w:r w:rsidRPr="00895972">
              <w:rPr>
                <w:rFonts w:ascii="Arial" w:hAnsi="Arial" w:cs="Arial"/>
                <w:sz w:val="22"/>
                <w:szCs w:val="22"/>
              </w:rPr>
              <w:t xml:space="preserve"> una avance y mejora en la estructuración del proceso financiero, toda vez que cuenta con documentos disponibles en el Banco de Documento del Sistema Integrado de Gestión de la UPIT, mediante los cuales </w:t>
            </w:r>
            <w:r w:rsidRPr="00895972">
              <w:rPr>
                <w:rFonts w:ascii="Arial" w:hAnsi="Arial" w:cs="Arial"/>
                <w:iCs/>
                <w:sz w:val="22"/>
                <w:szCs w:val="22"/>
              </w:rPr>
              <w:t>se consideran los lineamientos, normatividad y controles en materia contable y presupuestal para el reconocimiento, medición, revelación y presentación de los hechos económicos. Así mismo, se detectan oportunidades de mejora respecto de las notas a los estados financieros y el fortalecimiento de la identificación de los riesgos fiscales en la entidad. Para los demás temas examinados en la evaluación se sugiere tener en cuenta las recomendaciones realizadas en este informe las cuales son de carácter preventivo y lo que buscan es el fortalecimiento y mejoramiento institucional de los procesos.</w:t>
            </w:r>
          </w:p>
        </w:tc>
      </w:tr>
    </w:tbl>
    <w:p w14:paraId="29FAC1B2" w14:textId="77777777" w:rsidR="00561B22" w:rsidRPr="00895972" w:rsidRDefault="00561B22" w:rsidP="00561B22">
      <w:pPr>
        <w:pStyle w:val="Textoindependiente"/>
        <w:jc w:val="both"/>
        <w:rPr>
          <w:rFonts w:ascii="Arial" w:hAnsi="Arial" w:cs="Arial"/>
          <w:b/>
          <w:bCs/>
          <w:sz w:val="28"/>
          <w:szCs w:val="28"/>
        </w:rPr>
      </w:pPr>
    </w:p>
    <w:p w14:paraId="13E58862" w14:textId="77777777" w:rsidR="00561B22" w:rsidRPr="00895972" w:rsidRDefault="00561B22" w:rsidP="00561B22">
      <w:pPr>
        <w:jc w:val="both"/>
        <w:rPr>
          <w:rFonts w:ascii="Arial" w:hAnsi="Arial" w:cs="Arial"/>
          <w:b/>
          <w:bCs/>
          <w:sz w:val="24"/>
          <w:szCs w:val="24"/>
          <w:lang w:val="es-CO"/>
        </w:rPr>
      </w:pPr>
      <w:r w:rsidRPr="00895972">
        <w:rPr>
          <w:rFonts w:ascii="Arial" w:hAnsi="Arial" w:cs="Arial"/>
          <w:b/>
          <w:bCs/>
          <w:sz w:val="24"/>
          <w:szCs w:val="24"/>
          <w:lang w:val="es-CO"/>
        </w:rPr>
        <w:t xml:space="preserve">NOTA: LA ENTIDAD ENVIA LA MATRIZ DE AUTOEVALUACIÓN DEL SISTEMA DE CONTROL INTERNO CONTABLE CON </w:t>
      </w:r>
      <w:r w:rsidRPr="00895972">
        <w:rPr>
          <w:rFonts w:ascii="Arial" w:hAnsi="Arial" w:cs="Arial"/>
          <w:b/>
          <w:bCs/>
          <w:sz w:val="24"/>
          <w:szCs w:val="24"/>
          <w:u w:val="single"/>
          <w:lang w:val="es-CO"/>
        </w:rPr>
        <w:t>ACTIVIDADES DE CONTROL REALIZADAS EN FORMA PARCIAL</w:t>
      </w:r>
      <w:r w:rsidRPr="00895972">
        <w:rPr>
          <w:rFonts w:ascii="Arial" w:hAnsi="Arial" w:cs="Arial"/>
          <w:b/>
          <w:bCs/>
          <w:sz w:val="24"/>
          <w:szCs w:val="24"/>
          <w:lang w:val="es-CO"/>
        </w:rPr>
        <w:t>.</w:t>
      </w:r>
    </w:p>
    <w:p w14:paraId="67ADCC59" w14:textId="77777777" w:rsidR="00561B22" w:rsidRPr="0067097C" w:rsidRDefault="00561B22" w:rsidP="00561B22">
      <w:pPr>
        <w:jc w:val="both"/>
        <w:rPr>
          <w:b/>
          <w:bCs/>
          <w:sz w:val="24"/>
          <w:szCs w:val="24"/>
          <w:lang w:val="es-CO"/>
        </w:rPr>
      </w:pPr>
    </w:p>
    <w:p w14:paraId="11856DBE" w14:textId="77777777" w:rsidR="00561B22" w:rsidRPr="003052B6" w:rsidRDefault="00561B22" w:rsidP="00561B22">
      <w:pPr>
        <w:jc w:val="both"/>
        <w:rPr>
          <w:rFonts w:ascii="Arial" w:hAnsi="Arial" w:cs="Arial"/>
          <w:b/>
          <w:sz w:val="32"/>
          <w:szCs w:val="32"/>
        </w:rPr>
      </w:pPr>
      <w:r w:rsidRPr="003052B6">
        <w:rPr>
          <w:rFonts w:ascii="Arial" w:hAnsi="Arial" w:cs="Arial"/>
          <w:b/>
          <w:sz w:val="28"/>
          <w:szCs w:val="28"/>
          <w:lang w:val="es-MX"/>
        </w:rPr>
        <w:t>107.- CORPORACIÓN AUTÓNOMA REGIONAL DE SUCRE - CARSUCRE.</w:t>
      </w:r>
    </w:p>
    <w:p w14:paraId="46CFCBB8" w14:textId="77777777" w:rsidR="00561B22" w:rsidRDefault="00561B22" w:rsidP="00561B22">
      <w:pPr>
        <w:jc w:val="both"/>
        <w:rPr>
          <w:rFonts w:ascii="Arial" w:hAnsi="Arial" w:cs="Arial"/>
          <w:b/>
          <w:bCs/>
          <w:sz w:val="24"/>
          <w:szCs w:val="24"/>
        </w:rPr>
      </w:pPr>
    </w:p>
    <w:p w14:paraId="2CC72670" w14:textId="77777777" w:rsidR="00561B22" w:rsidRPr="003052B6" w:rsidRDefault="00561B22" w:rsidP="00561B22">
      <w:pPr>
        <w:pStyle w:val="Textoindependiente"/>
        <w:ind w:right="-50"/>
        <w:jc w:val="center"/>
        <w:rPr>
          <w:rFonts w:ascii="Arial" w:hAnsi="Arial" w:cs="Arial"/>
          <w:b/>
          <w:bCs/>
        </w:rPr>
      </w:pPr>
      <w:r w:rsidRPr="003052B6">
        <w:rPr>
          <w:rFonts w:ascii="Arial" w:hAnsi="Arial" w:cs="Arial"/>
          <w:b/>
          <w:bCs/>
        </w:rPr>
        <w:t>INFORME DE LA AUTOCALIFICACIÓN DEL SISTEMA DE CONTROL INTERNO CONTABLE:</w:t>
      </w:r>
    </w:p>
    <w:p w14:paraId="6F1A734C" w14:textId="77777777" w:rsidR="00561B22" w:rsidRPr="003052B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052B6" w14:paraId="36EA5D9C" w14:textId="77777777" w:rsidTr="00F1223B">
        <w:tc>
          <w:tcPr>
            <w:tcW w:w="4981" w:type="dxa"/>
          </w:tcPr>
          <w:p w14:paraId="64C617EE" w14:textId="77777777" w:rsidR="00561B22" w:rsidRPr="003052B6" w:rsidRDefault="00561B22" w:rsidP="00F1223B">
            <w:pPr>
              <w:jc w:val="center"/>
              <w:rPr>
                <w:rFonts w:ascii="Arial" w:hAnsi="Arial" w:cs="Arial"/>
                <w:b/>
                <w:sz w:val="22"/>
                <w:szCs w:val="22"/>
                <w:lang w:val="es-MX"/>
              </w:rPr>
            </w:pPr>
            <w:r w:rsidRPr="003052B6">
              <w:rPr>
                <w:rFonts w:ascii="Arial" w:hAnsi="Arial" w:cs="Arial"/>
                <w:b/>
                <w:sz w:val="22"/>
                <w:szCs w:val="22"/>
                <w:lang w:val="es-MX"/>
              </w:rPr>
              <w:t>AUTOCALIFICACIÓN</w:t>
            </w:r>
          </w:p>
        </w:tc>
        <w:tc>
          <w:tcPr>
            <w:tcW w:w="4981" w:type="dxa"/>
          </w:tcPr>
          <w:p w14:paraId="1E90DFE7" w14:textId="77777777" w:rsidR="00561B22" w:rsidRPr="003052B6" w:rsidRDefault="00561B22" w:rsidP="00F1223B">
            <w:pPr>
              <w:jc w:val="center"/>
              <w:rPr>
                <w:rFonts w:ascii="Arial" w:hAnsi="Arial" w:cs="Arial"/>
                <w:b/>
                <w:sz w:val="22"/>
                <w:szCs w:val="22"/>
                <w:u w:val="single"/>
                <w:lang w:val="es-MX"/>
              </w:rPr>
            </w:pPr>
            <w:r w:rsidRPr="003052B6">
              <w:rPr>
                <w:rFonts w:ascii="Arial" w:hAnsi="Arial" w:cs="Arial"/>
                <w:b/>
                <w:sz w:val="22"/>
                <w:szCs w:val="22"/>
                <w:u w:val="single"/>
                <w:lang w:val="es-MX"/>
              </w:rPr>
              <w:t>4.93</w:t>
            </w:r>
          </w:p>
        </w:tc>
      </w:tr>
    </w:tbl>
    <w:p w14:paraId="58160874" w14:textId="77777777" w:rsidR="00561B22" w:rsidRPr="003052B6" w:rsidRDefault="00561B22" w:rsidP="00561B22">
      <w:pPr>
        <w:pStyle w:val="Textoindependiente"/>
        <w:ind w:right="-50"/>
        <w:jc w:val="both"/>
        <w:rPr>
          <w:rFonts w:ascii="Arial" w:hAnsi="Arial" w:cs="Arial"/>
          <w:b/>
          <w:bCs/>
        </w:rPr>
      </w:pPr>
    </w:p>
    <w:p w14:paraId="604F41B9" w14:textId="77777777" w:rsidR="00561B22" w:rsidRPr="003052B6" w:rsidRDefault="00561B22" w:rsidP="00561B22">
      <w:pPr>
        <w:pStyle w:val="Textoindependiente"/>
        <w:ind w:right="-50"/>
        <w:jc w:val="both"/>
        <w:rPr>
          <w:rFonts w:ascii="Arial" w:hAnsi="Arial" w:cs="Arial"/>
          <w:b/>
          <w:bCs/>
        </w:rPr>
      </w:pPr>
      <w:r w:rsidRPr="003052B6">
        <w:rPr>
          <w:rFonts w:ascii="Arial" w:hAnsi="Arial" w:cs="Arial"/>
          <w:b/>
          <w:bCs/>
        </w:rPr>
        <w:t>Del informe enviado retomamos lo siguiente:</w:t>
      </w:r>
    </w:p>
    <w:p w14:paraId="5B995283" w14:textId="77777777" w:rsidR="00561B22" w:rsidRPr="003052B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052B6" w14:paraId="1B3C5A3C" w14:textId="77777777" w:rsidTr="00F1223B">
        <w:tc>
          <w:tcPr>
            <w:tcW w:w="562" w:type="dxa"/>
          </w:tcPr>
          <w:p w14:paraId="23FF528B" w14:textId="77777777" w:rsidR="00561B22" w:rsidRPr="003052B6" w:rsidRDefault="00561B22" w:rsidP="00F1223B">
            <w:pPr>
              <w:ind w:right="-109"/>
              <w:jc w:val="center"/>
              <w:rPr>
                <w:rFonts w:ascii="Arial" w:hAnsi="Arial" w:cs="Arial"/>
                <w:b/>
                <w:sz w:val="22"/>
                <w:szCs w:val="22"/>
                <w:lang w:val="es-MX"/>
              </w:rPr>
            </w:pPr>
            <w:r w:rsidRPr="003052B6">
              <w:rPr>
                <w:rFonts w:ascii="Arial" w:hAnsi="Arial" w:cs="Arial"/>
                <w:b/>
                <w:sz w:val="22"/>
                <w:szCs w:val="22"/>
                <w:lang w:val="es-MX"/>
              </w:rPr>
              <w:t>N°</w:t>
            </w:r>
          </w:p>
        </w:tc>
        <w:tc>
          <w:tcPr>
            <w:tcW w:w="9400" w:type="dxa"/>
          </w:tcPr>
          <w:p w14:paraId="150E6801" w14:textId="77777777" w:rsidR="00561B22" w:rsidRPr="003052B6" w:rsidRDefault="00561B22" w:rsidP="00F1223B">
            <w:pPr>
              <w:jc w:val="center"/>
              <w:rPr>
                <w:rFonts w:ascii="Arial" w:hAnsi="Arial" w:cs="Arial"/>
                <w:b/>
                <w:sz w:val="22"/>
                <w:szCs w:val="22"/>
                <w:lang w:val="es-MX"/>
              </w:rPr>
            </w:pPr>
            <w:r w:rsidRPr="003052B6">
              <w:rPr>
                <w:rFonts w:ascii="Arial" w:hAnsi="Arial" w:cs="Arial"/>
                <w:b/>
                <w:sz w:val="22"/>
                <w:szCs w:val="22"/>
                <w:lang w:val="es-MX"/>
              </w:rPr>
              <w:t>DEBILIDADES</w:t>
            </w:r>
          </w:p>
          <w:p w14:paraId="64B8A91B" w14:textId="77777777" w:rsidR="00561B22" w:rsidRPr="003052B6" w:rsidRDefault="00561B22" w:rsidP="00F1223B">
            <w:pPr>
              <w:jc w:val="center"/>
              <w:rPr>
                <w:rFonts w:ascii="Arial" w:hAnsi="Arial" w:cs="Arial"/>
                <w:b/>
                <w:sz w:val="22"/>
                <w:szCs w:val="22"/>
                <w:lang w:val="es-MX"/>
              </w:rPr>
            </w:pPr>
          </w:p>
        </w:tc>
      </w:tr>
      <w:tr w:rsidR="00561B22" w:rsidRPr="003052B6" w14:paraId="757F8B17" w14:textId="77777777" w:rsidTr="00F1223B">
        <w:tc>
          <w:tcPr>
            <w:tcW w:w="562" w:type="dxa"/>
          </w:tcPr>
          <w:p w14:paraId="755E7913" w14:textId="77777777" w:rsidR="00561B22" w:rsidRPr="003052B6" w:rsidRDefault="00561B22" w:rsidP="00F1223B">
            <w:pPr>
              <w:jc w:val="center"/>
              <w:rPr>
                <w:rFonts w:ascii="Arial" w:hAnsi="Arial" w:cs="Arial"/>
                <w:b/>
                <w:sz w:val="22"/>
                <w:szCs w:val="22"/>
                <w:lang w:val="es-MX"/>
              </w:rPr>
            </w:pPr>
            <w:r w:rsidRPr="003052B6">
              <w:rPr>
                <w:rFonts w:ascii="Arial" w:hAnsi="Arial" w:cs="Arial"/>
                <w:b/>
                <w:sz w:val="22"/>
                <w:szCs w:val="22"/>
                <w:lang w:val="es-MX"/>
              </w:rPr>
              <w:t>1</w:t>
            </w:r>
          </w:p>
        </w:tc>
        <w:tc>
          <w:tcPr>
            <w:tcW w:w="9400" w:type="dxa"/>
          </w:tcPr>
          <w:p w14:paraId="4457C078" w14:textId="77777777" w:rsidR="00561B22" w:rsidRPr="003052B6" w:rsidRDefault="00561B22" w:rsidP="00F1223B">
            <w:pPr>
              <w:jc w:val="both"/>
              <w:rPr>
                <w:rFonts w:ascii="Arial" w:hAnsi="Arial" w:cs="Arial"/>
                <w:b/>
                <w:sz w:val="22"/>
                <w:szCs w:val="22"/>
                <w:lang w:val="es-MX"/>
              </w:rPr>
            </w:pPr>
            <w:r w:rsidRPr="003052B6">
              <w:rPr>
                <w:rFonts w:ascii="Arial" w:hAnsi="Arial" w:cs="Arial"/>
                <w:b/>
                <w:sz w:val="22"/>
                <w:szCs w:val="22"/>
                <w:lang w:val="es-MX"/>
              </w:rPr>
              <w:t>Se evidencia debilidades en la gestión de administración del riesgo de índole contable, toda vez que, aunque se encuentren identificados en el mapa de riesgos institucional, se debe llevar a cabo la actualización para los procedimientos del área financiera y contable.</w:t>
            </w:r>
          </w:p>
        </w:tc>
      </w:tr>
      <w:tr w:rsidR="00561B22" w:rsidRPr="003052B6" w14:paraId="65C3A2C9" w14:textId="77777777" w:rsidTr="00F1223B">
        <w:tc>
          <w:tcPr>
            <w:tcW w:w="562" w:type="dxa"/>
          </w:tcPr>
          <w:p w14:paraId="3907E6D8" w14:textId="77777777" w:rsidR="00561B22" w:rsidRPr="003052B6" w:rsidRDefault="00561B22" w:rsidP="00F1223B">
            <w:pPr>
              <w:jc w:val="center"/>
              <w:rPr>
                <w:rFonts w:ascii="Arial" w:hAnsi="Arial" w:cs="Arial"/>
                <w:b/>
                <w:sz w:val="22"/>
                <w:szCs w:val="22"/>
                <w:lang w:val="es-MX"/>
              </w:rPr>
            </w:pPr>
            <w:r w:rsidRPr="003052B6">
              <w:rPr>
                <w:rFonts w:ascii="Arial" w:hAnsi="Arial" w:cs="Arial"/>
                <w:b/>
                <w:sz w:val="22"/>
                <w:szCs w:val="22"/>
                <w:lang w:val="es-MX"/>
              </w:rPr>
              <w:t>2</w:t>
            </w:r>
          </w:p>
        </w:tc>
        <w:tc>
          <w:tcPr>
            <w:tcW w:w="9400" w:type="dxa"/>
          </w:tcPr>
          <w:p w14:paraId="7F2FBF1C" w14:textId="77777777" w:rsidR="00561B22" w:rsidRPr="003052B6" w:rsidRDefault="00561B22" w:rsidP="00F1223B">
            <w:pPr>
              <w:jc w:val="both"/>
              <w:rPr>
                <w:rFonts w:ascii="Arial" w:hAnsi="Arial" w:cs="Arial"/>
                <w:b/>
                <w:sz w:val="22"/>
                <w:szCs w:val="22"/>
                <w:lang w:val="es-MX"/>
              </w:rPr>
            </w:pPr>
            <w:r w:rsidRPr="003052B6">
              <w:rPr>
                <w:rFonts w:ascii="Arial" w:hAnsi="Arial" w:cs="Arial"/>
                <w:b/>
                <w:sz w:val="22"/>
                <w:szCs w:val="22"/>
                <w:lang w:val="es-MX"/>
              </w:rPr>
              <w:t>Se debe mantener una comunicación interna entre las dependencias y procesos para la oportunidad en el flujo de información requerida desde el proceso contable.</w:t>
            </w:r>
          </w:p>
        </w:tc>
      </w:tr>
    </w:tbl>
    <w:p w14:paraId="1D48DE8D" w14:textId="77777777" w:rsidR="00561B22" w:rsidRPr="003052B6" w:rsidRDefault="00561B22" w:rsidP="00561B22">
      <w:pPr>
        <w:pStyle w:val="Textoindependiente"/>
        <w:ind w:right="-50"/>
        <w:jc w:val="both"/>
        <w:rPr>
          <w:rFonts w:ascii="Arial" w:hAnsi="Arial" w:cs="Arial"/>
          <w:b/>
          <w:bCs/>
        </w:rPr>
      </w:pPr>
    </w:p>
    <w:p w14:paraId="0F8E7F6C" w14:textId="77777777" w:rsidR="00561B22" w:rsidRPr="003052B6" w:rsidRDefault="00561B22" w:rsidP="00561B22">
      <w:pPr>
        <w:jc w:val="both"/>
        <w:rPr>
          <w:rFonts w:ascii="Arial" w:hAnsi="Arial" w:cs="Arial"/>
          <w:b/>
          <w:lang w:val="es-MX"/>
        </w:rPr>
      </w:pPr>
      <w:r w:rsidRPr="003052B6">
        <w:rPr>
          <w:rFonts w:ascii="Arial" w:hAnsi="Arial" w:cs="Arial"/>
          <w:b/>
          <w:lang w:val="es-MX"/>
        </w:rPr>
        <w:t>Del citado informe retomamos las siguientes recomendaciones:</w:t>
      </w:r>
    </w:p>
    <w:p w14:paraId="68BB0E8D" w14:textId="77777777" w:rsidR="00561B22" w:rsidRPr="003052B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052B6" w14:paraId="103657B3" w14:textId="77777777" w:rsidTr="00F1223B">
        <w:tc>
          <w:tcPr>
            <w:tcW w:w="562" w:type="dxa"/>
          </w:tcPr>
          <w:p w14:paraId="6B2A1987" w14:textId="77777777" w:rsidR="00561B22" w:rsidRPr="003052B6" w:rsidRDefault="00561B22" w:rsidP="00F1223B">
            <w:pPr>
              <w:ind w:right="-109"/>
              <w:jc w:val="center"/>
              <w:rPr>
                <w:rFonts w:ascii="Arial" w:hAnsi="Arial" w:cs="Arial"/>
                <w:b/>
                <w:sz w:val="22"/>
                <w:szCs w:val="22"/>
                <w:lang w:val="es-MX"/>
              </w:rPr>
            </w:pPr>
            <w:r w:rsidRPr="003052B6">
              <w:rPr>
                <w:rFonts w:ascii="Arial" w:hAnsi="Arial" w:cs="Arial"/>
                <w:b/>
                <w:sz w:val="22"/>
                <w:szCs w:val="22"/>
                <w:lang w:val="es-MX"/>
              </w:rPr>
              <w:t>N°</w:t>
            </w:r>
          </w:p>
        </w:tc>
        <w:tc>
          <w:tcPr>
            <w:tcW w:w="9400" w:type="dxa"/>
          </w:tcPr>
          <w:p w14:paraId="492235DF" w14:textId="77777777" w:rsidR="00561B22" w:rsidRPr="003052B6" w:rsidRDefault="00561B22" w:rsidP="00F1223B">
            <w:pPr>
              <w:jc w:val="center"/>
              <w:rPr>
                <w:rFonts w:ascii="Arial" w:hAnsi="Arial" w:cs="Arial"/>
                <w:b/>
                <w:sz w:val="22"/>
                <w:szCs w:val="22"/>
                <w:lang w:val="es-MX"/>
              </w:rPr>
            </w:pPr>
            <w:r w:rsidRPr="003052B6">
              <w:rPr>
                <w:rFonts w:ascii="Arial" w:hAnsi="Arial" w:cs="Arial"/>
                <w:b/>
                <w:sz w:val="22"/>
                <w:szCs w:val="22"/>
                <w:lang w:val="es-MX"/>
              </w:rPr>
              <w:t>RECOMENDACIONES</w:t>
            </w:r>
          </w:p>
          <w:p w14:paraId="40798028" w14:textId="77777777" w:rsidR="00561B22" w:rsidRPr="003052B6" w:rsidRDefault="00561B22" w:rsidP="00F1223B">
            <w:pPr>
              <w:jc w:val="center"/>
              <w:rPr>
                <w:rFonts w:ascii="Arial" w:hAnsi="Arial" w:cs="Arial"/>
                <w:b/>
                <w:sz w:val="22"/>
                <w:szCs w:val="22"/>
                <w:lang w:val="es-MX"/>
              </w:rPr>
            </w:pPr>
          </w:p>
        </w:tc>
      </w:tr>
      <w:tr w:rsidR="00561B22" w:rsidRPr="003052B6" w14:paraId="48E55BA1" w14:textId="77777777" w:rsidTr="00F1223B">
        <w:tc>
          <w:tcPr>
            <w:tcW w:w="562" w:type="dxa"/>
          </w:tcPr>
          <w:p w14:paraId="0FCF275A" w14:textId="77777777" w:rsidR="00561B22" w:rsidRPr="003052B6" w:rsidRDefault="00561B22" w:rsidP="00F1223B">
            <w:pPr>
              <w:jc w:val="center"/>
              <w:rPr>
                <w:rFonts w:ascii="Arial" w:hAnsi="Arial" w:cs="Arial"/>
                <w:b/>
                <w:sz w:val="22"/>
                <w:szCs w:val="22"/>
                <w:lang w:val="es-MX"/>
              </w:rPr>
            </w:pPr>
            <w:r w:rsidRPr="003052B6">
              <w:rPr>
                <w:rFonts w:ascii="Arial" w:hAnsi="Arial" w:cs="Arial"/>
                <w:b/>
                <w:sz w:val="22"/>
                <w:szCs w:val="22"/>
                <w:lang w:val="es-MX"/>
              </w:rPr>
              <w:t>1</w:t>
            </w:r>
          </w:p>
        </w:tc>
        <w:tc>
          <w:tcPr>
            <w:tcW w:w="9400" w:type="dxa"/>
          </w:tcPr>
          <w:p w14:paraId="19255973" w14:textId="77777777" w:rsidR="00561B22" w:rsidRPr="003052B6" w:rsidRDefault="00561B22" w:rsidP="00F1223B">
            <w:pPr>
              <w:jc w:val="both"/>
              <w:rPr>
                <w:rFonts w:ascii="Arial" w:hAnsi="Arial" w:cs="Arial"/>
                <w:b/>
                <w:sz w:val="22"/>
                <w:szCs w:val="22"/>
                <w:lang w:val="es-MX"/>
              </w:rPr>
            </w:pPr>
            <w:r w:rsidRPr="003052B6">
              <w:rPr>
                <w:rFonts w:ascii="Arial" w:hAnsi="Arial" w:cs="Arial"/>
                <w:b/>
                <w:sz w:val="22"/>
                <w:szCs w:val="22"/>
                <w:lang w:val="es-MX"/>
              </w:rPr>
              <w:t>Continuar el proceso de sensibilización y articulación de todas las dependencias a través del sistema de control interno contable.</w:t>
            </w:r>
          </w:p>
        </w:tc>
      </w:tr>
    </w:tbl>
    <w:p w14:paraId="21F91AF0" w14:textId="77777777" w:rsidR="00561B22" w:rsidRPr="003052B6" w:rsidRDefault="00561B22" w:rsidP="00561B22">
      <w:pPr>
        <w:pStyle w:val="Textoindependiente"/>
        <w:ind w:right="-50"/>
        <w:jc w:val="both"/>
        <w:rPr>
          <w:rFonts w:ascii="Arial" w:hAnsi="Arial" w:cs="Arial"/>
          <w:b/>
          <w:bCs/>
          <w:sz w:val="28"/>
          <w:szCs w:val="28"/>
        </w:rPr>
      </w:pPr>
    </w:p>
    <w:p w14:paraId="6C8B2ECB" w14:textId="77777777" w:rsidR="00561B22" w:rsidRPr="003052B6" w:rsidRDefault="00561B22" w:rsidP="00561B22">
      <w:pPr>
        <w:jc w:val="both"/>
        <w:rPr>
          <w:rFonts w:ascii="Arial" w:hAnsi="Arial" w:cs="Arial"/>
          <w:b/>
          <w:bCs/>
          <w:sz w:val="24"/>
          <w:szCs w:val="24"/>
          <w:lang w:val="es-CO"/>
        </w:rPr>
      </w:pPr>
      <w:r w:rsidRPr="003052B6">
        <w:rPr>
          <w:rFonts w:ascii="Arial" w:hAnsi="Arial" w:cs="Arial"/>
          <w:b/>
          <w:bCs/>
          <w:sz w:val="24"/>
          <w:szCs w:val="24"/>
          <w:lang w:val="es-CO"/>
        </w:rPr>
        <w:t xml:space="preserve">NOTA: LA ENTIDAD ENVIA LA MATRIZ DE AUTOEVALUACIÓN DEL SISTEMA DE CONTROL INTERNO CONTABLE CON ACTIVIDADES DE CONTROL REALIZADAS </w:t>
      </w:r>
      <w:r w:rsidRPr="003052B6">
        <w:rPr>
          <w:rFonts w:ascii="Arial" w:hAnsi="Arial" w:cs="Arial"/>
          <w:b/>
          <w:bCs/>
          <w:sz w:val="24"/>
          <w:szCs w:val="24"/>
          <w:u w:val="single"/>
          <w:lang w:val="es-CO"/>
        </w:rPr>
        <w:t>EN FORMA PARCIAL Y OTRAS SIMPLEMENTE INFORMAN QUE NO SE REALIZARON</w:t>
      </w:r>
      <w:r w:rsidRPr="003052B6">
        <w:rPr>
          <w:rFonts w:ascii="Arial" w:hAnsi="Arial" w:cs="Arial"/>
          <w:b/>
          <w:bCs/>
          <w:sz w:val="24"/>
          <w:szCs w:val="24"/>
          <w:lang w:val="es-CO"/>
        </w:rPr>
        <w:t>.</w:t>
      </w:r>
    </w:p>
    <w:p w14:paraId="328F1822" w14:textId="77777777" w:rsidR="00561B22" w:rsidRDefault="00561B22" w:rsidP="00561B22">
      <w:pPr>
        <w:jc w:val="both"/>
        <w:rPr>
          <w:rFonts w:ascii="Arial" w:hAnsi="Arial" w:cs="Arial"/>
          <w:b/>
          <w:bCs/>
          <w:sz w:val="24"/>
          <w:szCs w:val="24"/>
          <w:lang w:val="es-CO"/>
        </w:rPr>
      </w:pPr>
    </w:p>
    <w:p w14:paraId="369DA9E4" w14:textId="77777777" w:rsidR="00561B22" w:rsidRPr="005C4213" w:rsidRDefault="00561B22" w:rsidP="00561B22">
      <w:pPr>
        <w:jc w:val="both"/>
        <w:rPr>
          <w:rFonts w:ascii="Arial" w:hAnsi="Arial" w:cs="Arial"/>
          <w:b/>
          <w:sz w:val="28"/>
          <w:szCs w:val="28"/>
          <w:lang w:val="es-MX"/>
        </w:rPr>
      </w:pPr>
      <w:r w:rsidRPr="005C4213">
        <w:rPr>
          <w:rFonts w:ascii="Arial" w:hAnsi="Arial" w:cs="Arial"/>
          <w:b/>
          <w:sz w:val="28"/>
          <w:szCs w:val="28"/>
          <w:lang w:val="es-MX"/>
        </w:rPr>
        <w:lastRenderedPageBreak/>
        <w:t>108.- OLEODUCTO DE COLOMBIA S.A.</w:t>
      </w:r>
    </w:p>
    <w:p w14:paraId="598B6BFD" w14:textId="77777777" w:rsidR="00561B22" w:rsidRDefault="00561B22" w:rsidP="00561B22">
      <w:pPr>
        <w:jc w:val="both"/>
        <w:rPr>
          <w:rFonts w:ascii="Arial" w:hAnsi="Arial" w:cs="Arial"/>
          <w:b/>
          <w:bCs/>
          <w:sz w:val="24"/>
          <w:szCs w:val="24"/>
          <w:lang w:val="es-MX"/>
        </w:rPr>
      </w:pPr>
    </w:p>
    <w:p w14:paraId="54BAB2C8" w14:textId="77777777" w:rsidR="00561B22" w:rsidRPr="005C4213" w:rsidRDefault="00561B22" w:rsidP="00561B22">
      <w:pPr>
        <w:pStyle w:val="Textoindependiente"/>
        <w:jc w:val="center"/>
        <w:rPr>
          <w:rFonts w:ascii="Arial" w:hAnsi="Arial" w:cs="Arial"/>
          <w:b/>
          <w:bCs/>
        </w:rPr>
      </w:pPr>
      <w:r w:rsidRPr="005C4213">
        <w:rPr>
          <w:rFonts w:ascii="Arial" w:hAnsi="Arial" w:cs="Arial"/>
          <w:b/>
          <w:bCs/>
        </w:rPr>
        <w:t>INFORME DE LA AUTOCALIFICACIÓN DEL SISTEMA DE CONTROL INTERNO CONTABLE:</w:t>
      </w:r>
    </w:p>
    <w:p w14:paraId="196995C0" w14:textId="77777777" w:rsidR="00561B22" w:rsidRPr="005C4213"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C4213" w14:paraId="26A2766B" w14:textId="77777777" w:rsidTr="00F1223B">
        <w:tc>
          <w:tcPr>
            <w:tcW w:w="4981" w:type="dxa"/>
          </w:tcPr>
          <w:p w14:paraId="02A29A3B"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AUTOCALIFICACIÓN</w:t>
            </w:r>
          </w:p>
        </w:tc>
        <w:tc>
          <w:tcPr>
            <w:tcW w:w="4981" w:type="dxa"/>
          </w:tcPr>
          <w:p w14:paraId="330374BE" w14:textId="77777777" w:rsidR="00561B22" w:rsidRPr="005C4213" w:rsidRDefault="00561B22" w:rsidP="00F1223B">
            <w:pPr>
              <w:jc w:val="center"/>
              <w:rPr>
                <w:rFonts w:ascii="Arial" w:hAnsi="Arial" w:cs="Arial"/>
                <w:b/>
                <w:sz w:val="22"/>
                <w:szCs w:val="22"/>
                <w:u w:val="single"/>
                <w:lang w:val="es-MX"/>
              </w:rPr>
            </w:pPr>
            <w:r w:rsidRPr="005C4213">
              <w:rPr>
                <w:rFonts w:ascii="Arial" w:hAnsi="Arial" w:cs="Arial"/>
                <w:b/>
                <w:sz w:val="22"/>
                <w:szCs w:val="22"/>
                <w:u w:val="single"/>
                <w:lang w:val="es-MX"/>
              </w:rPr>
              <w:t>5.00</w:t>
            </w:r>
          </w:p>
        </w:tc>
      </w:tr>
    </w:tbl>
    <w:p w14:paraId="41A5A5BC" w14:textId="77777777" w:rsidR="00561B22" w:rsidRPr="005C4213" w:rsidRDefault="00561B22" w:rsidP="00561B22">
      <w:pPr>
        <w:pStyle w:val="Textoindependiente"/>
        <w:jc w:val="both"/>
        <w:rPr>
          <w:rFonts w:ascii="Arial" w:hAnsi="Arial" w:cs="Arial"/>
          <w:b/>
          <w:bCs/>
        </w:rPr>
      </w:pPr>
    </w:p>
    <w:p w14:paraId="0AD4065A" w14:textId="77777777" w:rsidR="00561B22" w:rsidRPr="005C4213" w:rsidRDefault="00561B22" w:rsidP="00561B22">
      <w:pPr>
        <w:pStyle w:val="Textoindependiente"/>
        <w:jc w:val="both"/>
        <w:rPr>
          <w:rFonts w:ascii="Arial" w:hAnsi="Arial" w:cs="Arial"/>
          <w:b/>
          <w:bCs/>
        </w:rPr>
      </w:pPr>
      <w:r w:rsidRPr="005C4213">
        <w:rPr>
          <w:rFonts w:ascii="Arial" w:hAnsi="Arial" w:cs="Arial"/>
          <w:b/>
          <w:bCs/>
        </w:rPr>
        <w:t>Del informe enviado retomamos lo siguiente:</w:t>
      </w:r>
    </w:p>
    <w:p w14:paraId="03045123" w14:textId="77777777" w:rsidR="00561B22" w:rsidRPr="005C4213"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C4213" w14:paraId="3F3B062E" w14:textId="77777777" w:rsidTr="00F1223B">
        <w:tc>
          <w:tcPr>
            <w:tcW w:w="562" w:type="dxa"/>
          </w:tcPr>
          <w:p w14:paraId="57A96628"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N°</w:t>
            </w:r>
          </w:p>
        </w:tc>
        <w:tc>
          <w:tcPr>
            <w:tcW w:w="9400" w:type="dxa"/>
          </w:tcPr>
          <w:p w14:paraId="18C10073"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DEBILIDADES</w:t>
            </w:r>
          </w:p>
        </w:tc>
      </w:tr>
      <w:tr w:rsidR="00561B22" w:rsidRPr="005C4213" w14:paraId="4D098DEA" w14:textId="77777777" w:rsidTr="00F1223B">
        <w:tc>
          <w:tcPr>
            <w:tcW w:w="562" w:type="dxa"/>
          </w:tcPr>
          <w:p w14:paraId="5668FAB6"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1</w:t>
            </w:r>
          </w:p>
        </w:tc>
        <w:tc>
          <w:tcPr>
            <w:tcW w:w="9400" w:type="dxa"/>
          </w:tcPr>
          <w:p w14:paraId="1466F674" w14:textId="77777777" w:rsidR="00561B22" w:rsidRPr="005C4213" w:rsidRDefault="00561B22" w:rsidP="00F1223B">
            <w:pPr>
              <w:jc w:val="both"/>
              <w:rPr>
                <w:rFonts w:ascii="Arial" w:hAnsi="Arial" w:cs="Arial"/>
                <w:bCs/>
                <w:sz w:val="22"/>
                <w:szCs w:val="22"/>
                <w:lang w:val="es-MX"/>
              </w:rPr>
            </w:pPr>
            <w:r w:rsidRPr="005C4213">
              <w:rPr>
                <w:rFonts w:ascii="Arial" w:hAnsi="Arial" w:cs="Arial"/>
                <w:bCs/>
                <w:sz w:val="22"/>
                <w:szCs w:val="22"/>
                <w:lang w:val="es-CO"/>
              </w:rPr>
              <w:t xml:space="preserve">El monitoreo permanente al proceso financiero y contable, a los riesgos y los controles del mismo por parte del equipo ha permitido que no se generen deficiencias de control en las diferentes auditorías realizadas por Entes de Control   </w:t>
            </w:r>
          </w:p>
        </w:tc>
      </w:tr>
    </w:tbl>
    <w:p w14:paraId="029638AE" w14:textId="77777777" w:rsidR="00561B22" w:rsidRPr="005C4213" w:rsidRDefault="00561B22" w:rsidP="00561B22">
      <w:pPr>
        <w:pStyle w:val="Textoindependiente"/>
        <w:jc w:val="both"/>
        <w:rPr>
          <w:rFonts w:ascii="Arial" w:hAnsi="Arial" w:cs="Arial"/>
          <w:b/>
          <w:bCs/>
        </w:rPr>
      </w:pPr>
    </w:p>
    <w:p w14:paraId="5809298D" w14:textId="77777777" w:rsidR="00561B22" w:rsidRPr="005C4213" w:rsidRDefault="00561B22" w:rsidP="00561B22">
      <w:pPr>
        <w:jc w:val="both"/>
        <w:rPr>
          <w:rFonts w:ascii="Arial" w:hAnsi="Arial" w:cs="Arial"/>
          <w:b/>
          <w:lang w:val="es-MX"/>
        </w:rPr>
      </w:pPr>
      <w:r w:rsidRPr="005C4213">
        <w:rPr>
          <w:rFonts w:ascii="Arial" w:hAnsi="Arial" w:cs="Arial"/>
          <w:b/>
          <w:lang w:val="es-MX"/>
        </w:rPr>
        <w:t>Del citado informe retomamos las siguientes recomendaciones:</w:t>
      </w:r>
    </w:p>
    <w:p w14:paraId="728BE4DB" w14:textId="77777777" w:rsidR="00561B22" w:rsidRPr="005C4213"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5C4213" w14:paraId="00AFFB64" w14:textId="77777777" w:rsidTr="00F1223B">
        <w:tc>
          <w:tcPr>
            <w:tcW w:w="562" w:type="dxa"/>
          </w:tcPr>
          <w:p w14:paraId="7BD7A635"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N°</w:t>
            </w:r>
          </w:p>
        </w:tc>
        <w:tc>
          <w:tcPr>
            <w:tcW w:w="9400" w:type="dxa"/>
          </w:tcPr>
          <w:p w14:paraId="1B103AD0"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RECOMENDACIONES</w:t>
            </w:r>
          </w:p>
          <w:p w14:paraId="58AD0545" w14:textId="77777777" w:rsidR="00561B22" w:rsidRPr="005C4213" w:rsidRDefault="00561B22" w:rsidP="00F1223B">
            <w:pPr>
              <w:jc w:val="center"/>
              <w:rPr>
                <w:rFonts w:ascii="Arial" w:hAnsi="Arial" w:cs="Arial"/>
                <w:b/>
                <w:sz w:val="22"/>
                <w:szCs w:val="22"/>
                <w:lang w:val="es-MX"/>
              </w:rPr>
            </w:pPr>
          </w:p>
        </w:tc>
      </w:tr>
      <w:tr w:rsidR="00561B22" w:rsidRPr="005C4213" w14:paraId="2E634F08" w14:textId="77777777" w:rsidTr="00F1223B">
        <w:tc>
          <w:tcPr>
            <w:tcW w:w="562" w:type="dxa"/>
          </w:tcPr>
          <w:p w14:paraId="7A4BDE34" w14:textId="77777777" w:rsidR="00561B22" w:rsidRPr="005C4213" w:rsidRDefault="00561B22" w:rsidP="00F1223B">
            <w:pPr>
              <w:jc w:val="center"/>
              <w:rPr>
                <w:rFonts w:ascii="Arial" w:hAnsi="Arial" w:cs="Arial"/>
                <w:b/>
                <w:sz w:val="22"/>
                <w:szCs w:val="22"/>
                <w:lang w:val="es-MX"/>
              </w:rPr>
            </w:pPr>
            <w:r w:rsidRPr="005C4213">
              <w:rPr>
                <w:rFonts w:ascii="Arial" w:hAnsi="Arial" w:cs="Arial"/>
                <w:b/>
                <w:sz w:val="22"/>
                <w:szCs w:val="22"/>
                <w:lang w:val="es-MX"/>
              </w:rPr>
              <w:t>1</w:t>
            </w:r>
          </w:p>
        </w:tc>
        <w:tc>
          <w:tcPr>
            <w:tcW w:w="9400" w:type="dxa"/>
          </w:tcPr>
          <w:p w14:paraId="4B98578B" w14:textId="77777777" w:rsidR="00561B22" w:rsidRPr="005C4213" w:rsidRDefault="00561B22" w:rsidP="00F1223B">
            <w:pPr>
              <w:jc w:val="both"/>
              <w:rPr>
                <w:rFonts w:ascii="Arial" w:hAnsi="Arial" w:cs="Arial"/>
                <w:bCs/>
                <w:sz w:val="22"/>
                <w:szCs w:val="22"/>
                <w:lang w:val="es-MX"/>
              </w:rPr>
            </w:pPr>
            <w:r w:rsidRPr="005C4213">
              <w:rPr>
                <w:rFonts w:ascii="Arial" w:hAnsi="Arial" w:cs="Arial"/>
                <w:bCs/>
                <w:sz w:val="22"/>
                <w:szCs w:val="22"/>
                <w:lang w:val="es-CO"/>
              </w:rPr>
              <w:t xml:space="preserve">Mantener el monitoreo de los controles de las actividades de la gestión contable    </w:t>
            </w:r>
          </w:p>
        </w:tc>
      </w:tr>
    </w:tbl>
    <w:p w14:paraId="32DBB016" w14:textId="77777777" w:rsidR="00561B22" w:rsidRPr="005C4213" w:rsidRDefault="00561B22" w:rsidP="00561B22">
      <w:pPr>
        <w:pStyle w:val="Textoindependiente"/>
        <w:jc w:val="both"/>
        <w:rPr>
          <w:rFonts w:ascii="Arial" w:hAnsi="Arial" w:cs="Arial"/>
          <w:b/>
          <w:bCs/>
          <w:sz w:val="28"/>
          <w:szCs w:val="28"/>
        </w:rPr>
      </w:pPr>
    </w:p>
    <w:p w14:paraId="30FF0F17" w14:textId="77777777" w:rsidR="00561B22" w:rsidRPr="00AF645D" w:rsidRDefault="00561B22" w:rsidP="00561B22">
      <w:pPr>
        <w:jc w:val="both"/>
        <w:rPr>
          <w:rFonts w:ascii="Arial" w:hAnsi="Arial" w:cs="Arial"/>
          <w:b/>
          <w:sz w:val="28"/>
          <w:szCs w:val="28"/>
          <w:lang w:val="es-MX"/>
        </w:rPr>
      </w:pPr>
      <w:bookmarkStart w:id="66" w:name="_Hlk199158985"/>
      <w:r w:rsidRPr="00AF645D">
        <w:rPr>
          <w:rFonts w:ascii="Arial" w:hAnsi="Arial" w:cs="Arial"/>
          <w:b/>
          <w:sz w:val="28"/>
          <w:szCs w:val="28"/>
          <w:lang w:val="es-MX"/>
        </w:rPr>
        <w:t xml:space="preserve">109.- INSTITUTO TOLIMENSE DE FORMACIÓN TÉCNICA PROFESIONAL – ITFIP. </w:t>
      </w:r>
    </w:p>
    <w:bookmarkEnd w:id="66"/>
    <w:p w14:paraId="43F2A9B1" w14:textId="77777777" w:rsidR="00561B22" w:rsidRDefault="00561B22" w:rsidP="00561B22">
      <w:pPr>
        <w:jc w:val="both"/>
        <w:rPr>
          <w:rFonts w:ascii="Arial" w:hAnsi="Arial" w:cs="Arial"/>
          <w:b/>
          <w:bCs/>
          <w:sz w:val="24"/>
          <w:szCs w:val="24"/>
          <w:lang w:val="es-MX"/>
        </w:rPr>
      </w:pPr>
    </w:p>
    <w:p w14:paraId="4F64B7F4" w14:textId="77777777" w:rsidR="00561B22" w:rsidRPr="00AF645D" w:rsidRDefault="00561B22" w:rsidP="00561B22">
      <w:pPr>
        <w:pStyle w:val="Textoindependiente"/>
        <w:ind w:right="-50"/>
        <w:jc w:val="center"/>
        <w:rPr>
          <w:rFonts w:ascii="Arial" w:hAnsi="Arial" w:cs="Arial"/>
          <w:b/>
          <w:bCs/>
        </w:rPr>
      </w:pPr>
      <w:r w:rsidRPr="00AF645D">
        <w:rPr>
          <w:rFonts w:ascii="Arial" w:hAnsi="Arial" w:cs="Arial"/>
          <w:b/>
          <w:bCs/>
        </w:rPr>
        <w:t>INFORME DE LA AUTOCALIFICACIÓN DEL SISTEMA DE CONTROL INTERNO CONTABLE:</w:t>
      </w:r>
    </w:p>
    <w:p w14:paraId="65F1DE82" w14:textId="77777777" w:rsidR="00561B22" w:rsidRPr="00AF645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F645D" w14:paraId="04D6AC26" w14:textId="77777777" w:rsidTr="00F1223B">
        <w:tc>
          <w:tcPr>
            <w:tcW w:w="4981" w:type="dxa"/>
          </w:tcPr>
          <w:p w14:paraId="0AF21D63" w14:textId="77777777" w:rsidR="00561B22" w:rsidRPr="00AF645D" w:rsidRDefault="00561B22" w:rsidP="00F1223B">
            <w:pPr>
              <w:jc w:val="center"/>
              <w:rPr>
                <w:rFonts w:ascii="Arial" w:hAnsi="Arial" w:cs="Arial"/>
                <w:b/>
                <w:sz w:val="22"/>
                <w:szCs w:val="22"/>
                <w:lang w:val="es-MX"/>
              </w:rPr>
            </w:pPr>
            <w:r w:rsidRPr="00AF645D">
              <w:rPr>
                <w:rFonts w:ascii="Arial" w:hAnsi="Arial" w:cs="Arial"/>
                <w:b/>
                <w:sz w:val="22"/>
                <w:szCs w:val="22"/>
                <w:lang w:val="es-MX"/>
              </w:rPr>
              <w:t>AUTOCALIFICACIÓN</w:t>
            </w:r>
          </w:p>
        </w:tc>
        <w:tc>
          <w:tcPr>
            <w:tcW w:w="4981" w:type="dxa"/>
          </w:tcPr>
          <w:p w14:paraId="055E119F" w14:textId="77777777" w:rsidR="00561B22" w:rsidRPr="00AF645D" w:rsidRDefault="00561B22" w:rsidP="00F1223B">
            <w:pPr>
              <w:jc w:val="center"/>
              <w:rPr>
                <w:rFonts w:ascii="Arial" w:hAnsi="Arial" w:cs="Arial"/>
                <w:b/>
                <w:sz w:val="22"/>
                <w:szCs w:val="22"/>
                <w:u w:val="single"/>
                <w:lang w:val="es-MX"/>
              </w:rPr>
            </w:pPr>
            <w:r w:rsidRPr="00AF645D">
              <w:rPr>
                <w:rFonts w:ascii="Arial" w:hAnsi="Arial" w:cs="Arial"/>
                <w:b/>
                <w:sz w:val="22"/>
                <w:szCs w:val="22"/>
                <w:u w:val="single"/>
                <w:lang w:val="es-MX"/>
              </w:rPr>
              <w:t>4.98</w:t>
            </w:r>
          </w:p>
        </w:tc>
      </w:tr>
    </w:tbl>
    <w:p w14:paraId="3A96E7CD" w14:textId="77777777" w:rsidR="00561B22" w:rsidRPr="00AF645D" w:rsidRDefault="00561B22" w:rsidP="00561B22">
      <w:pPr>
        <w:pStyle w:val="Textoindependiente"/>
        <w:ind w:right="-50"/>
        <w:jc w:val="both"/>
        <w:rPr>
          <w:rFonts w:ascii="Arial" w:hAnsi="Arial" w:cs="Arial"/>
          <w:b/>
          <w:bCs/>
        </w:rPr>
      </w:pPr>
    </w:p>
    <w:p w14:paraId="4A476D94" w14:textId="77777777" w:rsidR="00561B22" w:rsidRPr="00AF645D" w:rsidRDefault="00561B22" w:rsidP="00561B22">
      <w:pPr>
        <w:pStyle w:val="Textoindependiente"/>
        <w:ind w:right="-50"/>
        <w:jc w:val="both"/>
        <w:rPr>
          <w:rFonts w:ascii="Arial" w:hAnsi="Arial" w:cs="Arial"/>
          <w:b/>
          <w:bCs/>
        </w:rPr>
      </w:pPr>
      <w:r w:rsidRPr="00AF645D">
        <w:rPr>
          <w:rFonts w:ascii="Arial" w:hAnsi="Arial" w:cs="Arial"/>
          <w:b/>
          <w:bCs/>
        </w:rPr>
        <w:t>Del informe enviado retomamos lo siguiente:</w:t>
      </w:r>
    </w:p>
    <w:p w14:paraId="314392E5" w14:textId="77777777" w:rsidR="00561B22" w:rsidRPr="00AF645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F645D" w14:paraId="3A0ED5CA" w14:textId="77777777" w:rsidTr="00F1223B">
        <w:tc>
          <w:tcPr>
            <w:tcW w:w="562" w:type="dxa"/>
          </w:tcPr>
          <w:p w14:paraId="086723A7" w14:textId="77777777" w:rsidR="00561B22" w:rsidRPr="00AF645D" w:rsidRDefault="00561B22" w:rsidP="00F1223B">
            <w:pPr>
              <w:ind w:right="-109"/>
              <w:jc w:val="center"/>
              <w:rPr>
                <w:rFonts w:ascii="Arial" w:hAnsi="Arial" w:cs="Arial"/>
                <w:b/>
                <w:sz w:val="22"/>
                <w:szCs w:val="22"/>
                <w:lang w:val="es-MX"/>
              </w:rPr>
            </w:pPr>
            <w:r w:rsidRPr="00AF645D">
              <w:rPr>
                <w:rFonts w:ascii="Arial" w:hAnsi="Arial" w:cs="Arial"/>
                <w:b/>
                <w:sz w:val="22"/>
                <w:szCs w:val="22"/>
                <w:lang w:val="es-MX"/>
              </w:rPr>
              <w:t>N°</w:t>
            </w:r>
          </w:p>
        </w:tc>
        <w:tc>
          <w:tcPr>
            <w:tcW w:w="9400" w:type="dxa"/>
          </w:tcPr>
          <w:p w14:paraId="77CF6394" w14:textId="77777777" w:rsidR="00561B22" w:rsidRPr="00AF645D" w:rsidRDefault="00561B22" w:rsidP="00F1223B">
            <w:pPr>
              <w:jc w:val="center"/>
              <w:rPr>
                <w:rFonts w:ascii="Arial" w:hAnsi="Arial" w:cs="Arial"/>
                <w:b/>
                <w:sz w:val="22"/>
                <w:szCs w:val="22"/>
                <w:lang w:val="es-MX"/>
              </w:rPr>
            </w:pPr>
            <w:r w:rsidRPr="00AF645D">
              <w:rPr>
                <w:rFonts w:ascii="Arial" w:hAnsi="Arial" w:cs="Arial"/>
                <w:b/>
                <w:sz w:val="22"/>
                <w:szCs w:val="22"/>
                <w:lang w:val="es-MX"/>
              </w:rPr>
              <w:t>DEBILIDADES</w:t>
            </w:r>
          </w:p>
          <w:p w14:paraId="6A2C2185" w14:textId="77777777" w:rsidR="00561B22" w:rsidRPr="00AF645D" w:rsidRDefault="00561B22" w:rsidP="00F1223B">
            <w:pPr>
              <w:jc w:val="center"/>
              <w:rPr>
                <w:rFonts w:ascii="Arial" w:hAnsi="Arial" w:cs="Arial"/>
                <w:b/>
                <w:sz w:val="22"/>
                <w:szCs w:val="22"/>
                <w:lang w:val="es-MX"/>
              </w:rPr>
            </w:pPr>
          </w:p>
        </w:tc>
      </w:tr>
      <w:tr w:rsidR="00561B22" w:rsidRPr="00AF645D" w14:paraId="3EA3E265" w14:textId="77777777" w:rsidTr="00F1223B">
        <w:tc>
          <w:tcPr>
            <w:tcW w:w="562" w:type="dxa"/>
          </w:tcPr>
          <w:p w14:paraId="662C847E" w14:textId="77777777" w:rsidR="00561B22" w:rsidRPr="00AF645D" w:rsidRDefault="00561B22" w:rsidP="00F1223B">
            <w:pPr>
              <w:jc w:val="center"/>
              <w:rPr>
                <w:rFonts w:ascii="Arial" w:hAnsi="Arial" w:cs="Arial"/>
                <w:b/>
                <w:sz w:val="22"/>
                <w:szCs w:val="22"/>
                <w:lang w:val="es-MX"/>
              </w:rPr>
            </w:pPr>
            <w:r w:rsidRPr="00AF645D">
              <w:rPr>
                <w:rFonts w:ascii="Arial" w:hAnsi="Arial" w:cs="Arial"/>
                <w:b/>
                <w:sz w:val="22"/>
                <w:szCs w:val="22"/>
                <w:lang w:val="es-MX"/>
              </w:rPr>
              <w:t>1</w:t>
            </w:r>
          </w:p>
        </w:tc>
        <w:tc>
          <w:tcPr>
            <w:tcW w:w="9400" w:type="dxa"/>
          </w:tcPr>
          <w:p w14:paraId="54E3B502" w14:textId="77777777" w:rsidR="00561B22" w:rsidRPr="00AF645D" w:rsidRDefault="00561B22" w:rsidP="00F1223B">
            <w:pPr>
              <w:rPr>
                <w:rFonts w:ascii="Arial" w:hAnsi="Arial" w:cs="Arial"/>
                <w:bCs/>
                <w:sz w:val="22"/>
                <w:szCs w:val="22"/>
                <w:lang w:val="es-MX"/>
              </w:rPr>
            </w:pPr>
            <w:r w:rsidRPr="00AF645D">
              <w:rPr>
                <w:rFonts w:ascii="Arial" w:hAnsi="Arial" w:cs="Arial"/>
                <w:bCs/>
                <w:sz w:val="22"/>
                <w:szCs w:val="22"/>
                <w:lang w:val="es-MX"/>
              </w:rPr>
              <w:t>Algunas veces se presentan problemas de conectividad y lentitud en el aplicativo SIIF lo que genera demora en la gestión Financiera.</w:t>
            </w:r>
          </w:p>
        </w:tc>
      </w:tr>
    </w:tbl>
    <w:p w14:paraId="30312046" w14:textId="77777777" w:rsidR="00561B22" w:rsidRPr="00AF645D" w:rsidRDefault="00561B22" w:rsidP="00561B22">
      <w:pPr>
        <w:pStyle w:val="Textoindependiente"/>
        <w:ind w:right="-50"/>
        <w:jc w:val="both"/>
        <w:rPr>
          <w:rFonts w:ascii="Arial" w:hAnsi="Arial" w:cs="Arial"/>
          <w:b/>
          <w:bCs/>
        </w:rPr>
      </w:pPr>
    </w:p>
    <w:p w14:paraId="67AFE043" w14:textId="77777777" w:rsidR="00561B22" w:rsidRPr="00AF645D" w:rsidRDefault="00561B22" w:rsidP="00561B22">
      <w:pPr>
        <w:jc w:val="both"/>
        <w:rPr>
          <w:rFonts w:ascii="Arial" w:hAnsi="Arial" w:cs="Arial"/>
          <w:b/>
          <w:lang w:val="es-MX"/>
        </w:rPr>
      </w:pPr>
      <w:r w:rsidRPr="00AF645D">
        <w:rPr>
          <w:rFonts w:ascii="Arial" w:hAnsi="Arial" w:cs="Arial"/>
          <w:b/>
          <w:lang w:val="es-MX"/>
        </w:rPr>
        <w:t>Del citado informe retomamos las siguientes recomendaciones:</w:t>
      </w:r>
    </w:p>
    <w:p w14:paraId="613B6B71" w14:textId="77777777" w:rsidR="00561B22" w:rsidRPr="00AF645D"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AF645D" w14:paraId="581E4F9B" w14:textId="77777777" w:rsidTr="00F1223B">
        <w:tc>
          <w:tcPr>
            <w:tcW w:w="562" w:type="dxa"/>
          </w:tcPr>
          <w:p w14:paraId="3F95A69E" w14:textId="77777777" w:rsidR="00561B22" w:rsidRPr="00AF645D" w:rsidRDefault="00561B22" w:rsidP="00F1223B">
            <w:pPr>
              <w:ind w:right="-109"/>
              <w:jc w:val="center"/>
              <w:rPr>
                <w:rFonts w:ascii="Arial" w:hAnsi="Arial" w:cs="Arial"/>
                <w:b/>
                <w:sz w:val="22"/>
                <w:szCs w:val="22"/>
                <w:lang w:val="es-MX"/>
              </w:rPr>
            </w:pPr>
            <w:r w:rsidRPr="00AF645D">
              <w:rPr>
                <w:rFonts w:ascii="Arial" w:hAnsi="Arial" w:cs="Arial"/>
                <w:b/>
                <w:sz w:val="22"/>
                <w:szCs w:val="22"/>
                <w:lang w:val="es-MX"/>
              </w:rPr>
              <w:t>N°</w:t>
            </w:r>
          </w:p>
        </w:tc>
        <w:tc>
          <w:tcPr>
            <w:tcW w:w="9400" w:type="dxa"/>
          </w:tcPr>
          <w:p w14:paraId="6B25C9B2" w14:textId="77777777" w:rsidR="00561B22" w:rsidRPr="00AF645D" w:rsidRDefault="00561B22" w:rsidP="00F1223B">
            <w:pPr>
              <w:jc w:val="center"/>
              <w:rPr>
                <w:rFonts w:ascii="Arial" w:hAnsi="Arial" w:cs="Arial"/>
                <w:b/>
                <w:sz w:val="22"/>
                <w:szCs w:val="22"/>
                <w:lang w:val="es-MX"/>
              </w:rPr>
            </w:pPr>
            <w:r w:rsidRPr="00AF645D">
              <w:rPr>
                <w:rFonts w:ascii="Arial" w:hAnsi="Arial" w:cs="Arial"/>
                <w:b/>
                <w:sz w:val="22"/>
                <w:szCs w:val="22"/>
                <w:lang w:val="es-MX"/>
              </w:rPr>
              <w:t>RECOMENDACIONES</w:t>
            </w:r>
          </w:p>
          <w:p w14:paraId="23B7AAC0" w14:textId="77777777" w:rsidR="00561B22" w:rsidRPr="00AF645D" w:rsidRDefault="00561B22" w:rsidP="00F1223B">
            <w:pPr>
              <w:jc w:val="center"/>
              <w:rPr>
                <w:rFonts w:ascii="Arial" w:hAnsi="Arial" w:cs="Arial"/>
                <w:b/>
                <w:sz w:val="22"/>
                <w:szCs w:val="22"/>
                <w:lang w:val="es-MX"/>
              </w:rPr>
            </w:pPr>
          </w:p>
        </w:tc>
      </w:tr>
      <w:tr w:rsidR="00561B22" w:rsidRPr="00AF645D" w14:paraId="36ECEAE3" w14:textId="77777777" w:rsidTr="00F1223B">
        <w:tc>
          <w:tcPr>
            <w:tcW w:w="562" w:type="dxa"/>
          </w:tcPr>
          <w:p w14:paraId="1DE0CE91" w14:textId="77777777" w:rsidR="00561B22" w:rsidRPr="00AF645D" w:rsidRDefault="00561B22" w:rsidP="00F1223B">
            <w:pPr>
              <w:jc w:val="center"/>
              <w:rPr>
                <w:rFonts w:ascii="Arial" w:hAnsi="Arial" w:cs="Arial"/>
                <w:b/>
                <w:sz w:val="22"/>
                <w:szCs w:val="22"/>
                <w:lang w:val="es-MX"/>
              </w:rPr>
            </w:pPr>
            <w:r w:rsidRPr="00AF645D">
              <w:rPr>
                <w:rFonts w:ascii="Arial" w:hAnsi="Arial" w:cs="Arial"/>
                <w:b/>
                <w:sz w:val="22"/>
                <w:szCs w:val="22"/>
                <w:lang w:val="es-MX"/>
              </w:rPr>
              <w:t>1</w:t>
            </w:r>
          </w:p>
        </w:tc>
        <w:tc>
          <w:tcPr>
            <w:tcW w:w="9400" w:type="dxa"/>
          </w:tcPr>
          <w:p w14:paraId="546161AC" w14:textId="77777777" w:rsidR="00561B22" w:rsidRPr="00AF645D" w:rsidRDefault="00561B22" w:rsidP="00F1223B">
            <w:pPr>
              <w:jc w:val="both"/>
              <w:rPr>
                <w:rFonts w:ascii="Arial" w:hAnsi="Arial" w:cs="Arial"/>
                <w:bCs/>
                <w:sz w:val="22"/>
                <w:szCs w:val="22"/>
                <w:lang w:val="es-MX"/>
              </w:rPr>
            </w:pPr>
            <w:r w:rsidRPr="00AF645D">
              <w:rPr>
                <w:rFonts w:ascii="Arial" w:hAnsi="Arial" w:cs="Arial"/>
                <w:bCs/>
                <w:sz w:val="22"/>
                <w:szCs w:val="22"/>
                <w:lang w:val="es-MX"/>
              </w:rPr>
              <w:t>Continuar con las capacitaciones al personal del área Contable en temas tributarios, recursos de regalías y actualizaciones en la normatividad vigente en el área contable.</w:t>
            </w:r>
          </w:p>
        </w:tc>
      </w:tr>
    </w:tbl>
    <w:p w14:paraId="39FBD36B" w14:textId="77777777" w:rsidR="00561B22" w:rsidRPr="00AF645D" w:rsidRDefault="00561B22" w:rsidP="00561B22">
      <w:pPr>
        <w:pStyle w:val="Textoindependiente"/>
        <w:ind w:right="-50"/>
        <w:jc w:val="both"/>
        <w:rPr>
          <w:rFonts w:ascii="Arial" w:hAnsi="Arial" w:cs="Arial"/>
          <w:b/>
          <w:bCs/>
          <w:sz w:val="28"/>
          <w:szCs w:val="28"/>
        </w:rPr>
      </w:pPr>
    </w:p>
    <w:p w14:paraId="0CEA7841" w14:textId="77777777" w:rsidR="00561B22" w:rsidRPr="00AF645D" w:rsidRDefault="00561B22" w:rsidP="00561B22">
      <w:pPr>
        <w:jc w:val="both"/>
        <w:rPr>
          <w:rFonts w:ascii="Arial" w:hAnsi="Arial" w:cs="Arial"/>
          <w:b/>
          <w:bCs/>
          <w:sz w:val="24"/>
          <w:szCs w:val="24"/>
          <w:lang w:val="es-CO"/>
        </w:rPr>
      </w:pPr>
      <w:r w:rsidRPr="00AF645D">
        <w:rPr>
          <w:rFonts w:ascii="Arial" w:hAnsi="Arial" w:cs="Arial"/>
          <w:b/>
          <w:bCs/>
          <w:sz w:val="24"/>
          <w:szCs w:val="24"/>
          <w:lang w:val="es-CO"/>
        </w:rPr>
        <w:t xml:space="preserve">NOTA: LA ENTIDAD ENVÍA LA MATRIZ DE AUTOEVALUACIÓN DEL SISTEMA DE CONTROL INTERNO CONTABLE CON ACTIVIDADES DE CONTROL QUE </w:t>
      </w:r>
      <w:r w:rsidRPr="00AF645D">
        <w:rPr>
          <w:rFonts w:ascii="Arial" w:hAnsi="Arial" w:cs="Arial"/>
          <w:b/>
          <w:bCs/>
          <w:sz w:val="24"/>
          <w:szCs w:val="24"/>
          <w:u w:val="single"/>
          <w:lang w:val="es-CO"/>
        </w:rPr>
        <w:t>NO SE REALIZARON</w:t>
      </w:r>
      <w:r w:rsidRPr="00AF645D">
        <w:rPr>
          <w:rFonts w:ascii="Arial" w:hAnsi="Arial" w:cs="Arial"/>
          <w:b/>
          <w:bCs/>
          <w:sz w:val="24"/>
          <w:szCs w:val="24"/>
          <w:lang w:val="es-CO"/>
        </w:rPr>
        <w:t>.</w:t>
      </w:r>
    </w:p>
    <w:p w14:paraId="1A141AED" w14:textId="77777777" w:rsidR="00561B22" w:rsidRDefault="00561B22" w:rsidP="00561B22">
      <w:pPr>
        <w:jc w:val="both"/>
        <w:rPr>
          <w:rFonts w:ascii="Arial" w:hAnsi="Arial" w:cs="Arial"/>
          <w:b/>
          <w:bCs/>
          <w:sz w:val="24"/>
          <w:szCs w:val="24"/>
          <w:lang w:val="es-CO"/>
        </w:rPr>
      </w:pPr>
    </w:p>
    <w:p w14:paraId="1059AA40" w14:textId="77777777" w:rsidR="00561B22" w:rsidRPr="000F1709" w:rsidRDefault="00561B22" w:rsidP="00561B22">
      <w:pPr>
        <w:jc w:val="both"/>
        <w:rPr>
          <w:rFonts w:ascii="Arial" w:hAnsi="Arial" w:cs="Arial"/>
          <w:b/>
          <w:sz w:val="32"/>
          <w:szCs w:val="32"/>
        </w:rPr>
      </w:pPr>
      <w:r w:rsidRPr="000F1709">
        <w:rPr>
          <w:rFonts w:ascii="Arial" w:hAnsi="Arial" w:cs="Arial"/>
          <w:b/>
          <w:sz w:val="28"/>
          <w:szCs w:val="28"/>
          <w:lang w:val="es-MX"/>
        </w:rPr>
        <w:t xml:space="preserve">110.- </w:t>
      </w:r>
      <w:r w:rsidRPr="000F1709">
        <w:rPr>
          <w:rFonts w:ascii="Arial" w:hAnsi="Arial" w:cs="Arial"/>
          <w:b/>
          <w:sz w:val="28"/>
          <w:szCs w:val="28"/>
        </w:rPr>
        <w:t>E.S.P GESTIÓN ENERGETICA S.A. - GENSA S.A</w:t>
      </w:r>
      <w:r w:rsidRPr="000F1709">
        <w:rPr>
          <w:rFonts w:ascii="Arial" w:hAnsi="Arial" w:cs="Arial"/>
          <w:b/>
          <w:sz w:val="28"/>
          <w:szCs w:val="28"/>
          <w:lang w:val="es-MX"/>
        </w:rPr>
        <w:t>.</w:t>
      </w:r>
    </w:p>
    <w:p w14:paraId="5AE51CE9" w14:textId="77777777" w:rsidR="00561B22" w:rsidRDefault="00561B22" w:rsidP="00561B22">
      <w:pPr>
        <w:jc w:val="both"/>
        <w:rPr>
          <w:rFonts w:ascii="Arial" w:hAnsi="Arial" w:cs="Arial"/>
          <w:b/>
          <w:bCs/>
          <w:sz w:val="24"/>
          <w:szCs w:val="24"/>
          <w:lang w:val="es-CO"/>
        </w:rPr>
      </w:pPr>
    </w:p>
    <w:p w14:paraId="2292F14F" w14:textId="77777777" w:rsidR="00561B22" w:rsidRPr="000F1709" w:rsidRDefault="00561B22" w:rsidP="00561B22">
      <w:pPr>
        <w:pStyle w:val="Textoindependiente"/>
        <w:ind w:right="-50"/>
        <w:jc w:val="both"/>
        <w:rPr>
          <w:rFonts w:ascii="Arial" w:hAnsi="Arial" w:cs="Arial"/>
          <w:b/>
          <w:bCs/>
        </w:rPr>
      </w:pPr>
      <w:r w:rsidRPr="000F1709">
        <w:rPr>
          <w:rFonts w:ascii="Arial" w:hAnsi="Arial" w:cs="Arial"/>
          <w:b/>
          <w:bCs/>
        </w:rPr>
        <w:t>INFORME DE LA AUTOCALIFICACIÓN DEL SISTEMA DE CONTROL INTERNO CONTABLE:</w:t>
      </w:r>
    </w:p>
    <w:p w14:paraId="7A40354B" w14:textId="77777777" w:rsidR="00561B22" w:rsidRPr="000F17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F1709" w14:paraId="2F75C8FE" w14:textId="77777777" w:rsidTr="00F1223B">
        <w:tc>
          <w:tcPr>
            <w:tcW w:w="4981" w:type="dxa"/>
          </w:tcPr>
          <w:p w14:paraId="0C497709" w14:textId="77777777" w:rsidR="00561B22" w:rsidRPr="000F1709" w:rsidRDefault="00561B22" w:rsidP="00F1223B">
            <w:pPr>
              <w:jc w:val="center"/>
              <w:rPr>
                <w:rFonts w:ascii="Arial" w:hAnsi="Arial" w:cs="Arial"/>
                <w:b/>
                <w:sz w:val="22"/>
                <w:szCs w:val="22"/>
                <w:lang w:val="es-MX"/>
              </w:rPr>
            </w:pPr>
            <w:r w:rsidRPr="000F1709">
              <w:rPr>
                <w:rFonts w:ascii="Arial" w:hAnsi="Arial" w:cs="Arial"/>
                <w:b/>
                <w:sz w:val="22"/>
                <w:szCs w:val="22"/>
                <w:lang w:val="es-MX"/>
              </w:rPr>
              <w:t>AUTOCALIFICACIÓN</w:t>
            </w:r>
          </w:p>
        </w:tc>
        <w:tc>
          <w:tcPr>
            <w:tcW w:w="4981" w:type="dxa"/>
          </w:tcPr>
          <w:p w14:paraId="79684040" w14:textId="77777777" w:rsidR="00561B22" w:rsidRPr="000F1709" w:rsidRDefault="00561B22" w:rsidP="00F1223B">
            <w:pPr>
              <w:jc w:val="center"/>
              <w:rPr>
                <w:rFonts w:ascii="Arial" w:hAnsi="Arial" w:cs="Arial"/>
                <w:b/>
                <w:sz w:val="22"/>
                <w:szCs w:val="22"/>
                <w:u w:val="single"/>
                <w:lang w:val="es-MX"/>
              </w:rPr>
            </w:pPr>
            <w:r w:rsidRPr="000F1709">
              <w:rPr>
                <w:rFonts w:ascii="Arial" w:hAnsi="Arial" w:cs="Arial"/>
                <w:b/>
                <w:sz w:val="22"/>
                <w:szCs w:val="22"/>
                <w:u w:val="single"/>
                <w:lang w:val="es-MX"/>
              </w:rPr>
              <w:t>4.97</w:t>
            </w:r>
          </w:p>
        </w:tc>
      </w:tr>
    </w:tbl>
    <w:p w14:paraId="54AC87EC" w14:textId="77777777" w:rsidR="00561B22" w:rsidRPr="000F1709" w:rsidRDefault="00561B22" w:rsidP="00561B22">
      <w:pPr>
        <w:pStyle w:val="Textoindependiente"/>
        <w:ind w:right="-50"/>
        <w:jc w:val="both"/>
        <w:rPr>
          <w:rFonts w:ascii="Arial" w:hAnsi="Arial" w:cs="Arial"/>
          <w:b/>
          <w:bCs/>
        </w:rPr>
      </w:pPr>
    </w:p>
    <w:p w14:paraId="79E745CB" w14:textId="77777777" w:rsidR="00561B22" w:rsidRPr="000F1709" w:rsidRDefault="00561B22" w:rsidP="00561B22">
      <w:pPr>
        <w:pStyle w:val="Textoindependiente"/>
        <w:ind w:right="-50"/>
        <w:jc w:val="both"/>
        <w:rPr>
          <w:rFonts w:ascii="Arial" w:hAnsi="Arial" w:cs="Arial"/>
          <w:b/>
          <w:bCs/>
        </w:rPr>
      </w:pPr>
      <w:r w:rsidRPr="000F1709">
        <w:rPr>
          <w:rFonts w:ascii="Arial" w:hAnsi="Arial" w:cs="Arial"/>
          <w:b/>
          <w:bCs/>
        </w:rPr>
        <w:lastRenderedPageBreak/>
        <w:t>Del informe enviado retomamos lo siguiente:</w:t>
      </w:r>
    </w:p>
    <w:p w14:paraId="386D6D84" w14:textId="77777777" w:rsidR="00561B22" w:rsidRPr="000F17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F1709" w14:paraId="4CBC1846" w14:textId="77777777" w:rsidTr="00F1223B">
        <w:tc>
          <w:tcPr>
            <w:tcW w:w="562" w:type="dxa"/>
          </w:tcPr>
          <w:p w14:paraId="590F22AA" w14:textId="77777777" w:rsidR="00561B22" w:rsidRPr="000F1709" w:rsidRDefault="00561B22" w:rsidP="00F1223B">
            <w:pPr>
              <w:ind w:right="-109"/>
              <w:jc w:val="center"/>
              <w:rPr>
                <w:rFonts w:ascii="Arial" w:hAnsi="Arial" w:cs="Arial"/>
                <w:b/>
                <w:sz w:val="22"/>
                <w:szCs w:val="22"/>
                <w:lang w:val="es-MX"/>
              </w:rPr>
            </w:pPr>
            <w:r w:rsidRPr="000F1709">
              <w:rPr>
                <w:rFonts w:ascii="Arial" w:hAnsi="Arial" w:cs="Arial"/>
                <w:b/>
                <w:sz w:val="22"/>
                <w:szCs w:val="22"/>
                <w:lang w:val="es-MX"/>
              </w:rPr>
              <w:t>N°</w:t>
            </w:r>
          </w:p>
        </w:tc>
        <w:tc>
          <w:tcPr>
            <w:tcW w:w="9400" w:type="dxa"/>
          </w:tcPr>
          <w:p w14:paraId="34B1B910" w14:textId="77777777" w:rsidR="00561B22" w:rsidRPr="000F1709" w:rsidRDefault="00561B22" w:rsidP="00F1223B">
            <w:pPr>
              <w:jc w:val="center"/>
              <w:rPr>
                <w:rFonts w:ascii="Arial" w:hAnsi="Arial" w:cs="Arial"/>
                <w:b/>
                <w:sz w:val="22"/>
                <w:szCs w:val="22"/>
                <w:lang w:val="es-MX"/>
              </w:rPr>
            </w:pPr>
            <w:r w:rsidRPr="000F1709">
              <w:rPr>
                <w:rFonts w:ascii="Arial" w:hAnsi="Arial" w:cs="Arial"/>
                <w:b/>
                <w:sz w:val="22"/>
                <w:szCs w:val="22"/>
                <w:lang w:val="es-MX"/>
              </w:rPr>
              <w:t>DEBILIDADES</w:t>
            </w:r>
          </w:p>
          <w:p w14:paraId="21156478" w14:textId="77777777" w:rsidR="00561B22" w:rsidRPr="000F1709" w:rsidRDefault="00561B22" w:rsidP="00F1223B">
            <w:pPr>
              <w:jc w:val="center"/>
              <w:rPr>
                <w:rFonts w:ascii="Arial" w:hAnsi="Arial" w:cs="Arial"/>
                <w:b/>
                <w:sz w:val="22"/>
                <w:szCs w:val="22"/>
                <w:lang w:val="es-MX"/>
              </w:rPr>
            </w:pPr>
          </w:p>
        </w:tc>
      </w:tr>
      <w:tr w:rsidR="00561B22" w:rsidRPr="000F1709" w14:paraId="3D720456" w14:textId="77777777" w:rsidTr="00F1223B">
        <w:tc>
          <w:tcPr>
            <w:tcW w:w="562" w:type="dxa"/>
          </w:tcPr>
          <w:p w14:paraId="66FC169C" w14:textId="77777777" w:rsidR="00561B22" w:rsidRPr="000F1709" w:rsidRDefault="00561B22" w:rsidP="00F1223B">
            <w:pPr>
              <w:jc w:val="center"/>
              <w:rPr>
                <w:rFonts w:ascii="Arial" w:hAnsi="Arial" w:cs="Arial"/>
                <w:b/>
                <w:sz w:val="22"/>
                <w:szCs w:val="22"/>
                <w:lang w:val="es-MX"/>
              </w:rPr>
            </w:pPr>
            <w:r w:rsidRPr="000F1709">
              <w:rPr>
                <w:rFonts w:ascii="Arial" w:hAnsi="Arial" w:cs="Arial"/>
                <w:b/>
                <w:sz w:val="22"/>
                <w:szCs w:val="22"/>
                <w:lang w:val="es-MX"/>
              </w:rPr>
              <w:t>1</w:t>
            </w:r>
          </w:p>
        </w:tc>
        <w:tc>
          <w:tcPr>
            <w:tcW w:w="9400" w:type="dxa"/>
          </w:tcPr>
          <w:p w14:paraId="6FFC4F10" w14:textId="77777777" w:rsidR="00561B22" w:rsidRPr="000F1709" w:rsidRDefault="00561B22" w:rsidP="00F1223B">
            <w:pPr>
              <w:widowControl/>
              <w:autoSpaceDE/>
              <w:autoSpaceDN/>
              <w:rPr>
                <w:rFonts w:ascii="Arial" w:eastAsia="Times New Roman" w:hAnsi="Arial" w:cs="Arial"/>
                <w:sz w:val="22"/>
                <w:szCs w:val="22"/>
                <w:lang w:val="es-CO"/>
              </w:rPr>
            </w:pPr>
            <w:r w:rsidRPr="000F1709">
              <w:rPr>
                <w:rFonts w:ascii="Arial" w:hAnsi="Arial" w:cs="Arial"/>
                <w:sz w:val="22"/>
                <w:szCs w:val="22"/>
              </w:rPr>
              <w:t>Falta de recursos para mitigar las falencias evidenciadas.</w:t>
            </w:r>
          </w:p>
        </w:tc>
      </w:tr>
    </w:tbl>
    <w:p w14:paraId="5A1D23E4" w14:textId="77777777" w:rsidR="00561B22" w:rsidRPr="000F1709" w:rsidRDefault="00561B22" w:rsidP="00561B22">
      <w:pPr>
        <w:pStyle w:val="Textoindependiente"/>
        <w:ind w:right="-50"/>
        <w:jc w:val="both"/>
        <w:rPr>
          <w:rFonts w:ascii="Arial" w:hAnsi="Arial" w:cs="Arial"/>
          <w:b/>
          <w:bCs/>
        </w:rPr>
      </w:pPr>
    </w:p>
    <w:p w14:paraId="2AF6DB10" w14:textId="77777777" w:rsidR="00561B22" w:rsidRPr="000F1709" w:rsidRDefault="00561B22" w:rsidP="00561B22">
      <w:pPr>
        <w:jc w:val="both"/>
        <w:rPr>
          <w:rFonts w:ascii="Arial" w:hAnsi="Arial" w:cs="Arial"/>
          <w:b/>
          <w:lang w:val="es-MX"/>
        </w:rPr>
      </w:pPr>
      <w:r w:rsidRPr="000F1709">
        <w:rPr>
          <w:rFonts w:ascii="Arial" w:hAnsi="Arial" w:cs="Arial"/>
          <w:b/>
          <w:lang w:val="es-MX"/>
        </w:rPr>
        <w:t>Del citado informe retomamos las siguientes recomendaciones:</w:t>
      </w:r>
    </w:p>
    <w:p w14:paraId="5B3ECA9B" w14:textId="77777777" w:rsidR="00561B22" w:rsidRPr="000F1709"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0F1709" w14:paraId="4E32C81D" w14:textId="77777777" w:rsidTr="00F1223B">
        <w:tc>
          <w:tcPr>
            <w:tcW w:w="562" w:type="dxa"/>
          </w:tcPr>
          <w:p w14:paraId="12EF7554" w14:textId="77777777" w:rsidR="00561B22" w:rsidRPr="000F1709" w:rsidRDefault="00561B22" w:rsidP="00F1223B">
            <w:pPr>
              <w:ind w:right="-109"/>
              <w:jc w:val="center"/>
              <w:rPr>
                <w:rFonts w:ascii="Arial" w:hAnsi="Arial" w:cs="Arial"/>
                <w:b/>
                <w:sz w:val="22"/>
                <w:szCs w:val="22"/>
                <w:lang w:val="es-MX"/>
              </w:rPr>
            </w:pPr>
            <w:r w:rsidRPr="000F1709">
              <w:rPr>
                <w:rFonts w:ascii="Arial" w:hAnsi="Arial" w:cs="Arial"/>
                <w:b/>
                <w:sz w:val="22"/>
                <w:szCs w:val="22"/>
                <w:lang w:val="es-MX"/>
              </w:rPr>
              <w:t>N°</w:t>
            </w:r>
          </w:p>
        </w:tc>
        <w:tc>
          <w:tcPr>
            <w:tcW w:w="9400" w:type="dxa"/>
          </w:tcPr>
          <w:p w14:paraId="0774C2E7" w14:textId="77777777" w:rsidR="00561B22" w:rsidRPr="000F1709" w:rsidRDefault="00561B22" w:rsidP="00F1223B">
            <w:pPr>
              <w:jc w:val="center"/>
              <w:rPr>
                <w:rFonts w:ascii="Arial" w:hAnsi="Arial" w:cs="Arial"/>
                <w:b/>
                <w:sz w:val="22"/>
                <w:szCs w:val="22"/>
                <w:lang w:val="es-MX"/>
              </w:rPr>
            </w:pPr>
            <w:r w:rsidRPr="000F1709">
              <w:rPr>
                <w:rFonts w:ascii="Arial" w:hAnsi="Arial" w:cs="Arial"/>
                <w:b/>
                <w:sz w:val="22"/>
                <w:szCs w:val="22"/>
                <w:lang w:val="es-MX"/>
              </w:rPr>
              <w:t>RECOMENDACIONES</w:t>
            </w:r>
          </w:p>
          <w:p w14:paraId="2565D1EA" w14:textId="77777777" w:rsidR="00561B22" w:rsidRPr="000F1709" w:rsidRDefault="00561B22" w:rsidP="00F1223B">
            <w:pPr>
              <w:jc w:val="center"/>
              <w:rPr>
                <w:rFonts w:ascii="Arial" w:hAnsi="Arial" w:cs="Arial"/>
                <w:b/>
                <w:sz w:val="22"/>
                <w:szCs w:val="22"/>
                <w:lang w:val="es-MX"/>
              </w:rPr>
            </w:pPr>
          </w:p>
        </w:tc>
      </w:tr>
      <w:tr w:rsidR="00561B22" w:rsidRPr="000F1709" w14:paraId="750E3041" w14:textId="77777777" w:rsidTr="00F1223B">
        <w:tc>
          <w:tcPr>
            <w:tcW w:w="562" w:type="dxa"/>
          </w:tcPr>
          <w:p w14:paraId="0D33CCAA" w14:textId="77777777" w:rsidR="00561B22" w:rsidRPr="000F1709" w:rsidRDefault="00561B22" w:rsidP="00F1223B">
            <w:pPr>
              <w:jc w:val="center"/>
              <w:rPr>
                <w:rFonts w:ascii="Arial" w:hAnsi="Arial" w:cs="Arial"/>
                <w:b/>
                <w:sz w:val="22"/>
                <w:szCs w:val="22"/>
                <w:lang w:val="es-MX"/>
              </w:rPr>
            </w:pPr>
            <w:r w:rsidRPr="000F1709">
              <w:rPr>
                <w:rFonts w:ascii="Arial" w:hAnsi="Arial" w:cs="Arial"/>
                <w:b/>
                <w:sz w:val="22"/>
                <w:szCs w:val="22"/>
                <w:lang w:val="es-MX"/>
              </w:rPr>
              <w:t>1</w:t>
            </w:r>
          </w:p>
        </w:tc>
        <w:tc>
          <w:tcPr>
            <w:tcW w:w="9400" w:type="dxa"/>
          </w:tcPr>
          <w:p w14:paraId="173F5E37" w14:textId="77777777" w:rsidR="00561B22" w:rsidRPr="000F1709" w:rsidRDefault="00561B22" w:rsidP="00F1223B">
            <w:pPr>
              <w:widowControl/>
              <w:autoSpaceDE/>
              <w:autoSpaceDN/>
              <w:rPr>
                <w:rFonts w:ascii="Arial" w:eastAsia="Times New Roman" w:hAnsi="Arial" w:cs="Arial"/>
                <w:sz w:val="22"/>
                <w:szCs w:val="22"/>
                <w:lang w:val="es-CO"/>
              </w:rPr>
            </w:pPr>
            <w:r w:rsidRPr="000F1709">
              <w:rPr>
                <w:rFonts w:ascii="Arial" w:hAnsi="Arial" w:cs="Arial"/>
                <w:sz w:val="22"/>
                <w:szCs w:val="22"/>
              </w:rPr>
              <w:t>Que la alta gerencia gestione recursos o instrumentos para mitigar las debilidades.</w:t>
            </w:r>
          </w:p>
        </w:tc>
      </w:tr>
    </w:tbl>
    <w:p w14:paraId="3C5E2A5F" w14:textId="77777777" w:rsidR="00561B22" w:rsidRPr="000F1709" w:rsidRDefault="00561B22" w:rsidP="00561B22">
      <w:pPr>
        <w:pStyle w:val="Textoindependiente"/>
        <w:ind w:right="-50"/>
        <w:jc w:val="both"/>
        <w:rPr>
          <w:rFonts w:ascii="Arial" w:hAnsi="Arial" w:cs="Arial"/>
          <w:b/>
          <w:bCs/>
          <w:sz w:val="28"/>
          <w:szCs w:val="28"/>
        </w:rPr>
      </w:pPr>
    </w:p>
    <w:p w14:paraId="038C42A0" w14:textId="77777777" w:rsidR="00561B22" w:rsidRPr="000F1709" w:rsidRDefault="00561B22" w:rsidP="00561B22">
      <w:pPr>
        <w:jc w:val="both"/>
        <w:rPr>
          <w:rFonts w:ascii="Arial" w:hAnsi="Arial" w:cs="Arial"/>
          <w:b/>
          <w:bCs/>
          <w:sz w:val="24"/>
          <w:szCs w:val="24"/>
          <w:lang w:val="es-CO"/>
        </w:rPr>
      </w:pPr>
      <w:r w:rsidRPr="000F1709">
        <w:rPr>
          <w:rFonts w:ascii="Arial" w:hAnsi="Arial" w:cs="Arial"/>
          <w:b/>
          <w:bCs/>
          <w:sz w:val="24"/>
          <w:szCs w:val="24"/>
          <w:lang w:val="es-CO"/>
        </w:rPr>
        <w:t xml:space="preserve">NOTA: LA ENTIDAD ENVIA LA MATRIZ DE AUTOEVALUACIÓN DEL SISTEMA DE CONTROL INTERNO CONTABLE CON </w:t>
      </w:r>
      <w:r w:rsidRPr="000F1709">
        <w:rPr>
          <w:rFonts w:ascii="Arial" w:hAnsi="Arial" w:cs="Arial"/>
          <w:b/>
          <w:bCs/>
          <w:sz w:val="24"/>
          <w:szCs w:val="24"/>
          <w:u w:val="single"/>
          <w:lang w:val="es-CO"/>
        </w:rPr>
        <w:t>ACTIVIDADES DE CONTROL REALIZADAS EN FORMA PARCIAL</w:t>
      </w:r>
      <w:r w:rsidRPr="000F1709">
        <w:rPr>
          <w:rFonts w:ascii="Arial" w:hAnsi="Arial" w:cs="Arial"/>
          <w:b/>
          <w:bCs/>
          <w:sz w:val="24"/>
          <w:szCs w:val="24"/>
          <w:lang w:val="es-CO"/>
        </w:rPr>
        <w:t>.</w:t>
      </w:r>
    </w:p>
    <w:p w14:paraId="36E4ABDF" w14:textId="77777777" w:rsidR="00561B22" w:rsidRPr="000F1709" w:rsidRDefault="00561B22" w:rsidP="00561B22">
      <w:pPr>
        <w:pStyle w:val="Textoindependiente"/>
        <w:ind w:right="-50"/>
        <w:jc w:val="both"/>
        <w:rPr>
          <w:rFonts w:ascii="Arial" w:hAnsi="Arial" w:cs="Arial"/>
          <w:b/>
          <w:bCs/>
          <w:sz w:val="28"/>
          <w:szCs w:val="28"/>
        </w:rPr>
      </w:pPr>
    </w:p>
    <w:p w14:paraId="7DA2693E" w14:textId="77777777" w:rsidR="00561B22" w:rsidRPr="007169F9" w:rsidRDefault="00561B22" w:rsidP="00561B22">
      <w:pPr>
        <w:jc w:val="both"/>
        <w:rPr>
          <w:rFonts w:ascii="Arial" w:hAnsi="Arial" w:cs="Arial"/>
          <w:b/>
          <w:sz w:val="28"/>
          <w:szCs w:val="28"/>
          <w:lang w:val="es-MX"/>
        </w:rPr>
      </w:pPr>
      <w:r w:rsidRPr="007169F9">
        <w:rPr>
          <w:rFonts w:ascii="Arial" w:hAnsi="Arial" w:cs="Arial"/>
          <w:b/>
          <w:sz w:val="28"/>
          <w:szCs w:val="28"/>
          <w:lang w:val="es-MX"/>
        </w:rPr>
        <w:t xml:space="preserve">111.- FINANCIERA DE DESARROLLO NACIONAL – FDN. </w:t>
      </w:r>
    </w:p>
    <w:p w14:paraId="5AAC6A8E" w14:textId="77777777" w:rsidR="00561B22" w:rsidRDefault="00561B22" w:rsidP="00561B22">
      <w:pPr>
        <w:jc w:val="both"/>
        <w:rPr>
          <w:rFonts w:ascii="Arial" w:hAnsi="Arial" w:cs="Arial"/>
          <w:b/>
          <w:bCs/>
          <w:sz w:val="24"/>
          <w:szCs w:val="24"/>
          <w:lang w:val="es-MX"/>
        </w:rPr>
      </w:pPr>
    </w:p>
    <w:p w14:paraId="2380AD51" w14:textId="77777777" w:rsidR="00561B22" w:rsidRPr="00435545" w:rsidRDefault="00561B22" w:rsidP="00561B22">
      <w:pPr>
        <w:pStyle w:val="Textoindependiente"/>
        <w:ind w:right="-50"/>
        <w:jc w:val="center"/>
        <w:rPr>
          <w:rFonts w:ascii="Arial" w:hAnsi="Arial" w:cs="Arial"/>
          <w:b/>
          <w:bCs/>
        </w:rPr>
      </w:pPr>
      <w:r w:rsidRPr="00435545">
        <w:rPr>
          <w:rFonts w:ascii="Arial" w:hAnsi="Arial" w:cs="Arial"/>
          <w:b/>
          <w:bCs/>
        </w:rPr>
        <w:t>INFORME DE LA AUTOCALIFICACIÓN DEL SISTEMA DE CONTROL INTERNO CONTABLE:</w:t>
      </w:r>
    </w:p>
    <w:p w14:paraId="1A85CD33" w14:textId="77777777" w:rsidR="00561B22" w:rsidRPr="0043554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35545" w14:paraId="2529A265" w14:textId="77777777" w:rsidTr="00F1223B">
        <w:tc>
          <w:tcPr>
            <w:tcW w:w="4981" w:type="dxa"/>
          </w:tcPr>
          <w:p w14:paraId="1A1DF007"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AUTOCALIFICACIÓN</w:t>
            </w:r>
          </w:p>
        </w:tc>
        <w:tc>
          <w:tcPr>
            <w:tcW w:w="4981" w:type="dxa"/>
          </w:tcPr>
          <w:p w14:paraId="098DEF7F" w14:textId="77777777" w:rsidR="00561B22" w:rsidRPr="00435545" w:rsidRDefault="00561B22" w:rsidP="00F1223B">
            <w:pPr>
              <w:jc w:val="center"/>
              <w:rPr>
                <w:rFonts w:ascii="Arial" w:hAnsi="Arial" w:cs="Arial"/>
                <w:b/>
                <w:sz w:val="22"/>
                <w:szCs w:val="22"/>
                <w:u w:val="single"/>
                <w:lang w:val="es-MX"/>
              </w:rPr>
            </w:pPr>
            <w:r w:rsidRPr="00435545">
              <w:rPr>
                <w:rFonts w:ascii="Arial" w:hAnsi="Arial" w:cs="Arial"/>
                <w:b/>
                <w:sz w:val="22"/>
                <w:szCs w:val="22"/>
                <w:u w:val="single"/>
                <w:lang w:val="es-MX"/>
              </w:rPr>
              <w:t>4.94</w:t>
            </w:r>
          </w:p>
        </w:tc>
      </w:tr>
    </w:tbl>
    <w:p w14:paraId="4947CC91" w14:textId="77777777" w:rsidR="00561B22" w:rsidRPr="00435545" w:rsidRDefault="00561B22" w:rsidP="00561B22">
      <w:pPr>
        <w:pStyle w:val="Textoindependiente"/>
        <w:ind w:right="-50"/>
        <w:jc w:val="both"/>
        <w:rPr>
          <w:rFonts w:ascii="Arial" w:hAnsi="Arial" w:cs="Arial"/>
          <w:b/>
          <w:bCs/>
        </w:rPr>
      </w:pPr>
    </w:p>
    <w:p w14:paraId="627FA247" w14:textId="77777777" w:rsidR="00561B22" w:rsidRPr="00435545" w:rsidRDefault="00561B22" w:rsidP="00561B22">
      <w:pPr>
        <w:pStyle w:val="Textoindependiente"/>
        <w:ind w:right="-50"/>
        <w:jc w:val="both"/>
        <w:rPr>
          <w:rFonts w:ascii="Arial" w:hAnsi="Arial" w:cs="Arial"/>
          <w:b/>
          <w:bCs/>
        </w:rPr>
      </w:pPr>
      <w:r w:rsidRPr="00435545">
        <w:rPr>
          <w:rFonts w:ascii="Arial" w:hAnsi="Arial" w:cs="Arial"/>
          <w:b/>
          <w:bCs/>
        </w:rPr>
        <w:t>Del informe enviado retomamos lo siguiente:</w:t>
      </w:r>
    </w:p>
    <w:p w14:paraId="55816232" w14:textId="77777777" w:rsidR="00561B22" w:rsidRPr="0043554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35545" w14:paraId="1505A6FD" w14:textId="77777777" w:rsidTr="00F1223B">
        <w:tc>
          <w:tcPr>
            <w:tcW w:w="562" w:type="dxa"/>
          </w:tcPr>
          <w:p w14:paraId="5FA10149" w14:textId="77777777" w:rsidR="00561B22" w:rsidRPr="00435545" w:rsidRDefault="00561B22" w:rsidP="00F1223B">
            <w:pPr>
              <w:ind w:right="-109"/>
              <w:jc w:val="center"/>
              <w:rPr>
                <w:rFonts w:ascii="Arial" w:hAnsi="Arial" w:cs="Arial"/>
                <w:b/>
                <w:sz w:val="22"/>
                <w:szCs w:val="22"/>
                <w:lang w:val="es-MX"/>
              </w:rPr>
            </w:pPr>
            <w:r w:rsidRPr="00435545">
              <w:rPr>
                <w:rFonts w:ascii="Arial" w:hAnsi="Arial" w:cs="Arial"/>
                <w:b/>
                <w:sz w:val="22"/>
                <w:szCs w:val="22"/>
                <w:lang w:val="es-MX"/>
              </w:rPr>
              <w:t>N°</w:t>
            </w:r>
          </w:p>
        </w:tc>
        <w:tc>
          <w:tcPr>
            <w:tcW w:w="9400" w:type="dxa"/>
          </w:tcPr>
          <w:p w14:paraId="3EBB47A7"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DEBILIDADES</w:t>
            </w:r>
          </w:p>
          <w:p w14:paraId="31B8AE5B" w14:textId="77777777" w:rsidR="00561B22" w:rsidRPr="00435545" w:rsidRDefault="00561B22" w:rsidP="00F1223B">
            <w:pPr>
              <w:jc w:val="center"/>
              <w:rPr>
                <w:rFonts w:ascii="Arial" w:hAnsi="Arial" w:cs="Arial"/>
                <w:b/>
                <w:sz w:val="22"/>
                <w:szCs w:val="22"/>
                <w:lang w:val="es-MX"/>
              </w:rPr>
            </w:pPr>
          </w:p>
        </w:tc>
      </w:tr>
      <w:tr w:rsidR="00561B22" w:rsidRPr="00435545" w14:paraId="623999DA" w14:textId="77777777" w:rsidTr="00F1223B">
        <w:tc>
          <w:tcPr>
            <w:tcW w:w="562" w:type="dxa"/>
          </w:tcPr>
          <w:p w14:paraId="14E3E7CB"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1</w:t>
            </w:r>
          </w:p>
        </w:tc>
        <w:tc>
          <w:tcPr>
            <w:tcW w:w="9400" w:type="dxa"/>
          </w:tcPr>
          <w:p w14:paraId="06400CD9" w14:textId="77777777" w:rsidR="00561B22" w:rsidRPr="00435545" w:rsidRDefault="00561B22" w:rsidP="00F1223B">
            <w:pPr>
              <w:jc w:val="both"/>
              <w:rPr>
                <w:rFonts w:ascii="Arial" w:hAnsi="Arial" w:cs="Arial"/>
                <w:bCs/>
                <w:sz w:val="22"/>
                <w:szCs w:val="22"/>
                <w:lang w:val="es-MX"/>
              </w:rPr>
            </w:pPr>
            <w:r w:rsidRPr="00435545">
              <w:rPr>
                <w:rFonts w:ascii="Arial" w:hAnsi="Arial" w:cs="Arial"/>
                <w:bCs/>
                <w:sz w:val="22"/>
                <w:szCs w:val="22"/>
                <w:lang w:val="es-MX"/>
              </w:rPr>
              <w:t>Se identificó que la FDN debe continuar fortaleciendo el ambiente de control mediante la evaluación periódica de los controles en conjunto con la Dirección de Riesgo Operacional. Si bien la matriz de riesgos y controles ha sido actualizada conforme a las evaluaciones realizadas por la Auditoría Interna, el proveedor "GAIRA", es necesario continuar trabajando para asegurar que estos controles se mantengan permanentemente actualizados y alineados con la evolución del entorno de riesgo de la FDN.</w:t>
            </w:r>
          </w:p>
        </w:tc>
      </w:tr>
    </w:tbl>
    <w:p w14:paraId="56D022CD" w14:textId="77777777" w:rsidR="00561B22" w:rsidRPr="00435545" w:rsidRDefault="00561B22" w:rsidP="00561B22">
      <w:pPr>
        <w:pStyle w:val="Textoindependiente"/>
        <w:ind w:right="-50"/>
        <w:jc w:val="both"/>
        <w:rPr>
          <w:rFonts w:ascii="Arial" w:hAnsi="Arial" w:cs="Arial"/>
          <w:b/>
          <w:bCs/>
        </w:rPr>
      </w:pPr>
    </w:p>
    <w:p w14:paraId="09D3EDD0" w14:textId="77777777" w:rsidR="00561B22" w:rsidRPr="00435545" w:rsidRDefault="00561B22" w:rsidP="00561B22">
      <w:pPr>
        <w:jc w:val="both"/>
        <w:rPr>
          <w:rFonts w:ascii="Arial" w:hAnsi="Arial" w:cs="Arial"/>
          <w:b/>
          <w:lang w:val="es-MX"/>
        </w:rPr>
      </w:pPr>
      <w:r w:rsidRPr="00435545">
        <w:rPr>
          <w:rFonts w:ascii="Arial" w:hAnsi="Arial" w:cs="Arial"/>
          <w:b/>
          <w:lang w:val="es-MX"/>
        </w:rPr>
        <w:t>Del citado informe retomamos las siguientes recomendaciones:</w:t>
      </w:r>
    </w:p>
    <w:p w14:paraId="22570826" w14:textId="77777777" w:rsidR="00561B22" w:rsidRPr="0043554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35545" w14:paraId="2E75B533" w14:textId="77777777" w:rsidTr="00F1223B">
        <w:tc>
          <w:tcPr>
            <w:tcW w:w="562" w:type="dxa"/>
          </w:tcPr>
          <w:p w14:paraId="7FE06D7F" w14:textId="77777777" w:rsidR="00561B22" w:rsidRPr="00435545" w:rsidRDefault="00561B22" w:rsidP="00F1223B">
            <w:pPr>
              <w:ind w:right="-109"/>
              <w:jc w:val="center"/>
              <w:rPr>
                <w:rFonts w:ascii="Arial" w:hAnsi="Arial" w:cs="Arial"/>
                <w:b/>
                <w:sz w:val="22"/>
                <w:szCs w:val="22"/>
                <w:lang w:val="es-MX"/>
              </w:rPr>
            </w:pPr>
            <w:r w:rsidRPr="00435545">
              <w:rPr>
                <w:rFonts w:ascii="Arial" w:hAnsi="Arial" w:cs="Arial"/>
                <w:b/>
                <w:sz w:val="22"/>
                <w:szCs w:val="22"/>
                <w:lang w:val="es-MX"/>
              </w:rPr>
              <w:t>N°</w:t>
            </w:r>
          </w:p>
        </w:tc>
        <w:tc>
          <w:tcPr>
            <w:tcW w:w="9400" w:type="dxa"/>
          </w:tcPr>
          <w:p w14:paraId="5FD59D37"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RECOMENDACIONES</w:t>
            </w:r>
          </w:p>
          <w:p w14:paraId="20FD3F64" w14:textId="77777777" w:rsidR="00561B22" w:rsidRPr="00435545" w:rsidRDefault="00561B22" w:rsidP="00F1223B">
            <w:pPr>
              <w:jc w:val="center"/>
              <w:rPr>
                <w:rFonts w:ascii="Arial" w:hAnsi="Arial" w:cs="Arial"/>
                <w:b/>
                <w:sz w:val="22"/>
                <w:szCs w:val="22"/>
                <w:lang w:val="es-MX"/>
              </w:rPr>
            </w:pPr>
          </w:p>
        </w:tc>
      </w:tr>
      <w:tr w:rsidR="00561B22" w:rsidRPr="00435545" w14:paraId="2AC7D6B2" w14:textId="77777777" w:rsidTr="00F1223B">
        <w:tc>
          <w:tcPr>
            <w:tcW w:w="562" w:type="dxa"/>
          </w:tcPr>
          <w:p w14:paraId="74B51F25"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1</w:t>
            </w:r>
          </w:p>
        </w:tc>
        <w:tc>
          <w:tcPr>
            <w:tcW w:w="9400" w:type="dxa"/>
          </w:tcPr>
          <w:p w14:paraId="6378C26E" w14:textId="77777777" w:rsidR="00561B22" w:rsidRPr="00435545" w:rsidRDefault="00561B22" w:rsidP="00F1223B">
            <w:pPr>
              <w:jc w:val="both"/>
              <w:rPr>
                <w:rFonts w:ascii="Arial" w:hAnsi="Arial" w:cs="Arial"/>
                <w:bCs/>
                <w:sz w:val="22"/>
                <w:szCs w:val="22"/>
                <w:lang w:val="es-MX"/>
              </w:rPr>
            </w:pPr>
            <w:r w:rsidRPr="00435545">
              <w:rPr>
                <w:rFonts w:ascii="Arial" w:hAnsi="Arial" w:cs="Arial"/>
                <w:bCs/>
                <w:sz w:val="22"/>
                <w:szCs w:val="22"/>
                <w:lang w:val="es-MX"/>
              </w:rPr>
              <w:t>Monitoreo continuo de observaciones y recomendaciones emitidas por los entes de control.</w:t>
            </w:r>
          </w:p>
        </w:tc>
      </w:tr>
      <w:tr w:rsidR="00561B22" w:rsidRPr="00435545" w14:paraId="57D04542" w14:textId="77777777" w:rsidTr="00F1223B">
        <w:tc>
          <w:tcPr>
            <w:tcW w:w="562" w:type="dxa"/>
          </w:tcPr>
          <w:p w14:paraId="4F84313F"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2</w:t>
            </w:r>
          </w:p>
        </w:tc>
        <w:tc>
          <w:tcPr>
            <w:tcW w:w="9400" w:type="dxa"/>
          </w:tcPr>
          <w:p w14:paraId="1D621BC6" w14:textId="77777777" w:rsidR="00561B22" w:rsidRPr="00435545" w:rsidRDefault="00561B22" w:rsidP="00F1223B">
            <w:pPr>
              <w:jc w:val="both"/>
              <w:rPr>
                <w:rFonts w:ascii="Arial" w:hAnsi="Arial" w:cs="Arial"/>
                <w:bCs/>
                <w:sz w:val="22"/>
                <w:szCs w:val="22"/>
                <w:lang w:val="es-MX"/>
              </w:rPr>
            </w:pPr>
            <w:r w:rsidRPr="00435545">
              <w:rPr>
                <w:rFonts w:ascii="Arial" w:hAnsi="Arial" w:cs="Arial"/>
                <w:bCs/>
                <w:sz w:val="22"/>
                <w:szCs w:val="22"/>
                <w:lang w:val="es-MX"/>
              </w:rPr>
              <w:t>Si bien el proceso cuenta con una adecuada segregación de funciones, es recomendable seguir fortaleciendo los controles internos mediante la actualización periódica de procedimientos y la realización de pruebas de efectividad sobre los controles clave.</w:t>
            </w:r>
          </w:p>
        </w:tc>
      </w:tr>
      <w:tr w:rsidR="00561B22" w:rsidRPr="00435545" w14:paraId="3F22F1A0" w14:textId="77777777" w:rsidTr="00F1223B">
        <w:tc>
          <w:tcPr>
            <w:tcW w:w="562" w:type="dxa"/>
          </w:tcPr>
          <w:p w14:paraId="6BFDD602"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3</w:t>
            </w:r>
          </w:p>
        </w:tc>
        <w:tc>
          <w:tcPr>
            <w:tcW w:w="9400" w:type="dxa"/>
          </w:tcPr>
          <w:p w14:paraId="0407ED30" w14:textId="77777777" w:rsidR="00561B22" w:rsidRPr="00435545" w:rsidRDefault="00561B22" w:rsidP="00F1223B">
            <w:pPr>
              <w:jc w:val="both"/>
              <w:rPr>
                <w:rFonts w:ascii="Arial" w:hAnsi="Arial" w:cs="Arial"/>
                <w:bCs/>
                <w:sz w:val="22"/>
                <w:szCs w:val="22"/>
                <w:lang w:val="es-MX"/>
              </w:rPr>
            </w:pPr>
            <w:r w:rsidRPr="00435545">
              <w:rPr>
                <w:rFonts w:ascii="Arial" w:hAnsi="Arial" w:cs="Arial"/>
                <w:bCs/>
                <w:sz w:val="22"/>
                <w:szCs w:val="22"/>
                <w:lang w:val="es-MX"/>
              </w:rPr>
              <w:t>Capacitación continua del equipo contable: Desarrollar programas de formación en normativa contable y gestión de riesgos para el personal del área, con el objetivo de reforzar su capacidad para identificar y mitigar riesgos de manera proactiva.</w:t>
            </w:r>
          </w:p>
        </w:tc>
      </w:tr>
      <w:tr w:rsidR="00561B22" w:rsidRPr="00435545" w14:paraId="0B359FEC" w14:textId="77777777" w:rsidTr="00F1223B">
        <w:tc>
          <w:tcPr>
            <w:tcW w:w="562" w:type="dxa"/>
          </w:tcPr>
          <w:p w14:paraId="3A9C60E4" w14:textId="77777777" w:rsidR="00561B22" w:rsidRPr="00435545" w:rsidRDefault="00561B22" w:rsidP="00F1223B">
            <w:pPr>
              <w:jc w:val="center"/>
              <w:rPr>
                <w:rFonts w:ascii="Arial" w:hAnsi="Arial" w:cs="Arial"/>
                <w:b/>
                <w:sz w:val="22"/>
                <w:szCs w:val="22"/>
                <w:lang w:val="es-MX"/>
              </w:rPr>
            </w:pPr>
            <w:r w:rsidRPr="00435545">
              <w:rPr>
                <w:rFonts w:ascii="Arial" w:hAnsi="Arial" w:cs="Arial"/>
                <w:b/>
                <w:sz w:val="22"/>
                <w:szCs w:val="22"/>
                <w:lang w:val="es-MX"/>
              </w:rPr>
              <w:t>4</w:t>
            </w:r>
          </w:p>
        </w:tc>
        <w:tc>
          <w:tcPr>
            <w:tcW w:w="9400" w:type="dxa"/>
          </w:tcPr>
          <w:p w14:paraId="1C3DD589" w14:textId="77777777" w:rsidR="00561B22" w:rsidRPr="00435545" w:rsidRDefault="00561B22" w:rsidP="00F1223B">
            <w:pPr>
              <w:jc w:val="both"/>
              <w:rPr>
                <w:rFonts w:ascii="Arial" w:hAnsi="Arial" w:cs="Arial"/>
                <w:bCs/>
                <w:sz w:val="22"/>
                <w:szCs w:val="22"/>
                <w:lang w:val="es-MX"/>
              </w:rPr>
            </w:pPr>
            <w:r w:rsidRPr="00435545">
              <w:rPr>
                <w:rFonts w:ascii="Arial" w:hAnsi="Arial" w:cs="Arial"/>
                <w:bCs/>
                <w:sz w:val="22"/>
                <w:szCs w:val="22"/>
                <w:lang w:val="es-MX"/>
              </w:rPr>
              <w:t>Automatización y optimización de procesos: Evaluar oportunidades para mejorar la eficiencia del control contable mediante herramientas tecnológicas que permitan un monitoreo más ágil y preciso de las operaciones, reduciendo riesgos asociados a errores manuales.</w:t>
            </w:r>
          </w:p>
        </w:tc>
      </w:tr>
    </w:tbl>
    <w:p w14:paraId="2344C839" w14:textId="77777777" w:rsidR="00561B22" w:rsidRPr="00435545" w:rsidRDefault="00561B22" w:rsidP="00561B22">
      <w:pPr>
        <w:pStyle w:val="Textoindependiente"/>
        <w:ind w:right="-50"/>
        <w:jc w:val="both"/>
        <w:rPr>
          <w:rFonts w:ascii="Arial" w:hAnsi="Arial" w:cs="Arial"/>
          <w:b/>
          <w:bCs/>
          <w:sz w:val="28"/>
          <w:szCs w:val="28"/>
        </w:rPr>
      </w:pPr>
    </w:p>
    <w:p w14:paraId="20C201FC" w14:textId="77777777" w:rsidR="00561B22" w:rsidRPr="00435545" w:rsidRDefault="00561B22" w:rsidP="00561B22">
      <w:pPr>
        <w:jc w:val="both"/>
        <w:rPr>
          <w:rFonts w:ascii="Arial" w:hAnsi="Arial" w:cs="Arial"/>
          <w:b/>
          <w:bCs/>
          <w:sz w:val="24"/>
          <w:szCs w:val="24"/>
          <w:lang w:val="es-CO"/>
        </w:rPr>
      </w:pPr>
      <w:r w:rsidRPr="00435545">
        <w:rPr>
          <w:rFonts w:ascii="Arial" w:hAnsi="Arial" w:cs="Arial"/>
          <w:b/>
          <w:bCs/>
          <w:sz w:val="24"/>
          <w:szCs w:val="24"/>
          <w:lang w:val="es-CO"/>
        </w:rPr>
        <w:t xml:space="preserve">NOTA: LA ENTIDAD ENVÍA LA MATRIZ DE AUTOEVALUACIÓN DEL SISTEMA DE CONTROL INTERNO CONTABLE CON </w:t>
      </w:r>
      <w:r w:rsidRPr="00435545">
        <w:rPr>
          <w:rFonts w:ascii="Arial" w:hAnsi="Arial" w:cs="Arial"/>
          <w:b/>
          <w:bCs/>
          <w:sz w:val="24"/>
          <w:szCs w:val="24"/>
          <w:u w:val="single"/>
          <w:lang w:val="es-CO"/>
        </w:rPr>
        <w:t xml:space="preserve">ACTIVIDADES DE CONTROL REALIZADAS EN </w:t>
      </w:r>
      <w:r w:rsidRPr="00435545">
        <w:rPr>
          <w:rFonts w:ascii="Arial" w:hAnsi="Arial" w:cs="Arial"/>
          <w:b/>
          <w:bCs/>
          <w:sz w:val="24"/>
          <w:szCs w:val="24"/>
          <w:u w:val="single"/>
          <w:lang w:val="es-CO"/>
        </w:rPr>
        <w:lastRenderedPageBreak/>
        <w:t>FORMA PARCIAL</w:t>
      </w:r>
      <w:r w:rsidRPr="00435545">
        <w:rPr>
          <w:rFonts w:ascii="Arial" w:hAnsi="Arial" w:cs="Arial"/>
          <w:b/>
          <w:bCs/>
          <w:sz w:val="24"/>
          <w:szCs w:val="24"/>
          <w:lang w:val="es-CO"/>
        </w:rPr>
        <w:t>.</w:t>
      </w:r>
    </w:p>
    <w:p w14:paraId="4DD2DAC4" w14:textId="77777777" w:rsidR="00561B22" w:rsidRDefault="00561B22" w:rsidP="00561B22">
      <w:pPr>
        <w:jc w:val="both"/>
        <w:rPr>
          <w:rFonts w:ascii="Arial" w:hAnsi="Arial" w:cs="Arial"/>
          <w:b/>
          <w:bCs/>
          <w:sz w:val="24"/>
          <w:szCs w:val="24"/>
          <w:lang w:val="es-CO"/>
        </w:rPr>
      </w:pPr>
    </w:p>
    <w:p w14:paraId="2D1F7037" w14:textId="77777777" w:rsidR="00561B22" w:rsidRPr="00847292" w:rsidRDefault="00561B22" w:rsidP="00561B22">
      <w:pPr>
        <w:jc w:val="both"/>
        <w:rPr>
          <w:rFonts w:ascii="Arial" w:hAnsi="Arial" w:cs="Arial"/>
          <w:b/>
          <w:sz w:val="28"/>
          <w:szCs w:val="28"/>
          <w:lang w:val="es-MX"/>
        </w:rPr>
      </w:pPr>
      <w:r w:rsidRPr="00847292">
        <w:rPr>
          <w:rFonts w:ascii="Arial" w:hAnsi="Arial" w:cs="Arial"/>
          <w:b/>
          <w:sz w:val="28"/>
          <w:szCs w:val="28"/>
          <w:lang w:val="es-MX"/>
        </w:rPr>
        <w:t xml:space="preserve">112.- </w:t>
      </w:r>
      <w:r w:rsidRPr="00847292">
        <w:rPr>
          <w:rFonts w:ascii="Arial" w:hAnsi="Arial" w:cs="Arial"/>
          <w:b/>
          <w:sz w:val="28"/>
          <w:szCs w:val="28"/>
        </w:rPr>
        <w:t>FONDO ROTATORIO DE LA POLICÍA NACIONAL</w:t>
      </w:r>
      <w:r w:rsidRPr="00847292">
        <w:rPr>
          <w:rFonts w:ascii="Arial" w:hAnsi="Arial" w:cs="Arial"/>
          <w:b/>
          <w:sz w:val="28"/>
          <w:szCs w:val="28"/>
          <w:lang w:val="es-MX"/>
        </w:rPr>
        <w:t>.</w:t>
      </w:r>
    </w:p>
    <w:p w14:paraId="2A20ADBF" w14:textId="77777777" w:rsidR="00561B22" w:rsidRDefault="00561B22" w:rsidP="00561B22">
      <w:pPr>
        <w:jc w:val="both"/>
        <w:rPr>
          <w:rFonts w:ascii="Arial" w:hAnsi="Arial" w:cs="Arial"/>
          <w:b/>
          <w:bCs/>
          <w:sz w:val="24"/>
          <w:szCs w:val="24"/>
          <w:lang w:val="es-MX"/>
        </w:rPr>
      </w:pPr>
    </w:p>
    <w:p w14:paraId="42B641F7" w14:textId="77777777" w:rsidR="00561B22" w:rsidRPr="00847292" w:rsidRDefault="00561B22" w:rsidP="00561B22">
      <w:pPr>
        <w:pStyle w:val="Textoindependiente"/>
        <w:ind w:right="-50"/>
        <w:jc w:val="center"/>
        <w:rPr>
          <w:rFonts w:ascii="Arial" w:hAnsi="Arial" w:cs="Arial"/>
          <w:b/>
          <w:bCs/>
        </w:rPr>
      </w:pPr>
      <w:r w:rsidRPr="00847292">
        <w:rPr>
          <w:rFonts w:ascii="Arial" w:hAnsi="Arial" w:cs="Arial"/>
          <w:b/>
          <w:bCs/>
        </w:rPr>
        <w:t>INFORME DE LA AUTOCALIFICACIÓN DEL SISTEMA DE CONTROL INTERNO CONTABLE:</w:t>
      </w:r>
    </w:p>
    <w:p w14:paraId="650D88CE" w14:textId="77777777" w:rsidR="00561B22" w:rsidRPr="0084729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47292" w14:paraId="282C36FB" w14:textId="77777777" w:rsidTr="00F1223B">
        <w:tc>
          <w:tcPr>
            <w:tcW w:w="4981" w:type="dxa"/>
          </w:tcPr>
          <w:p w14:paraId="53462C23"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AUTOCALIFICACIÓN</w:t>
            </w:r>
          </w:p>
        </w:tc>
        <w:tc>
          <w:tcPr>
            <w:tcW w:w="4981" w:type="dxa"/>
          </w:tcPr>
          <w:p w14:paraId="46182ABC" w14:textId="77777777" w:rsidR="00561B22" w:rsidRPr="00847292" w:rsidRDefault="00561B22" w:rsidP="00F1223B">
            <w:pPr>
              <w:jc w:val="center"/>
              <w:rPr>
                <w:rFonts w:ascii="Arial" w:hAnsi="Arial" w:cs="Arial"/>
                <w:b/>
                <w:sz w:val="22"/>
                <w:szCs w:val="22"/>
                <w:u w:val="single"/>
                <w:lang w:val="es-MX"/>
              </w:rPr>
            </w:pPr>
            <w:r w:rsidRPr="00847292">
              <w:rPr>
                <w:rFonts w:ascii="Arial" w:hAnsi="Arial" w:cs="Arial"/>
                <w:b/>
                <w:sz w:val="22"/>
                <w:szCs w:val="22"/>
                <w:u w:val="single"/>
                <w:lang w:val="es-MX"/>
              </w:rPr>
              <w:t>4.13</w:t>
            </w:r>
          </w:p>
        </w:tc>
      </w:tr>
    </w:tbl>
    <w:p w14:paraId="4345F601" w14:textId="77777777" w:rsidR="00561B22" w:rsidRPr="00847292" w:rsidRDefault="00561B22" w:rsidP="00561B22">
      <w:pPr>
        <w:pStyle w:val="Textoindependiente"/>
        <w:ind w:right="-50"/>
        <w:jc w:val="both"/>
        <w:rPr>
          <w:rFonts w:ascii="Arial" w:hAnsi="Arial" w:cs="Arial"/>
          <w:b/>
          <w:bCs/>
        </w:rPr>
      </w:pPr>
    </w:p>
    <w:p w14:paraId="6DFB4E64" w14:textId="77777777" w:rsidR="00561B22" w:rsidRPr="00847292" w:rsidRDefault="00561B22" w:rsidP="00561B22">
      <w:pPr>
        <w:pStyle w:val="Textoindependiente"/>
        <w:ind w:right="-50"/>
        <w:jc w:val="both"/>
        <w:rPr>
          <w:rFonts w:ascii="Arial" w:hAnsi="Arial" w:cs="Arial"/>
          <w:b/>
          <w:bCs/>
        </w:rPr>
      </w:pPr>
      <w:r w:rsidRPr="00847292">
        <w:rPr>
          <w:rFonts w:ascii="Arial" w:hAnsi="Arial" w:cs="Arial"/>
          <w:b/>
          <w:bCs/>
        </w:rPr>
        <w:t>Del informe enviado retomamos lo siguiente:</w:t>
      </w:r>
    </w:p>
    <w:p w14:paraId="5CFB3DD9" w14:textId="77777777" w:rsidR="00561B22" w:rsidRPr="0084729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47292" w14:paraId="5A9B8616" w14:textId="77777777" w:rsidTr="00F1223B">
        <w:tc>
          <w:tcPr>
            <w:tcW w:w="562" w:type="dxa"/>
          </w:tcPr>
          <w:p w14:paraId="2D80A0D9" w14:textId="77777777" w:rsidR="00561B22" w:rsidRPr="00847292" w:rsidRDefault="00561B22" w:rsidP="00F1223B">
            <w:pPr>
              <w:ind w:right="-109"/>
              <w:jc w:val="center"/>
              <w:rPr>
                <w:rFonts w:ascii="Arial" w:hAnsi="Arial" w:cs="Arial"/>
                <w:b/>
                <w:sz w:val="22"/>
                <w:szCs w:val="22"/>
                <w:lang w:val="es-MX"/>
              </w:rPr>
            </w:pPr>
            <w:r w:rsidRPr="00847292">
              <w:rPr>
                <w:rFonts w:ascii="Arial" w:hAnsi="Arial" w:cs="Arial"/>
                <w:b/>
                <w:sz w:val="22"/>
                <w:szCs w:val="22"/>
                <w:lang w:val="es-MX"/>
              </w:rPr>
              <w:t>N°</w:t>
            </w:r>
          </w:p>
        </w:tc>
        <w:tc>
          <w:tcPr>
            <w:tcW w:w="9400" w:type="dxa"/>
          </w:tcPr>
          <w:p w14:paraId="3AA777B4"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DEBILIDADES</w:t>
            </w:r>
          </w:p>
          <w:p w14:paraId="45A80A2F" w14:textId="77777777" w:rsidR="00561B22" w:rsidRPr="00847292" w:rsidRDefault="00561B22" w:rsidP="00F1223B">
            <w:pPr>
              <w:jc w:val="center"/>
              <w:rPr>
                <w:rFonts w:ascii="Arial" w:hAnsi="Arial" w:cs="Arial"/>
                <w:b/>
                <w:sz w:val="22"/>
                <w:szCs w:val="22"/>
                <w:lang w:val="es-MX"/>
              </w:rPr>
            </w:pPr>
          </w:p>
        </w:tc>
      </w:tr>
      <w:tr w:rsidR="00561B22" w:rsidRPr="00847292" w14:paraId="23343BF1" w14:textId="77777777" w:rsidTr="00F1223B">
        <w:tc>
          <w:tcPr>
            <w:tcW w:w="562" w:type="dxa"/>
          </w:tcPr>
          <w:p w14:paraId="1B73F21B"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1</w:t>
            </w:r>
          </w:p>
        </w:tc>
        <w:tc>
          <w:tcPr>
            <w:tcW w:w="9400" w:type="dxa"/>
          </w:tcPr>
          <w:p w14:paraId="4A1BAFCE"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Derechos sin identificar o reconocer en las cuentas por cobrar. </w:t>
            </w:r>
          </w:p>
        </w:tc>
      </w:tr>
      <w:tr w:rsidR="00561B22" w:rsidRPr="00847292" w14:paraId="284F1366" w14:textId="77777777" w:rsidTr="00F1223B">
        <w:tc>
          <w:tcPr>
            <w:tcW w:w="562" w:type="dxa"/>
          </w:tcPr>
          <w:p w14:paraId="25EC58AE"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2</w:t>
            </w:r>
          </w:p>
        </w:tc>
        <w:tc>
          <w:tcPr>
            <w:tcW w:w="9400" w:type="dxa"/>
          </w:tcPr>
          <w:p w14:paraId="7712D3AA" w14:textId="77777777" w:rsidR="00561B22" w:rsidRPr="00847292" w:rsidRDefault="00561B22" w:rsidP="00F1223B">
            <w:pPr>
              <w:jc w:val="both"/>
              <w:rPr>
                <w:rFonts w:ascii="Arial" w:eastAsia="Times New Roman" w:hAnsi="Arial" w:cs="Arial"/>
                <w:sz w:val="22"/>
                <w:szCs w:val="22"/>
              </w:rPr>
            </w:pPr>
            <w:r w:rsidRPr="00847292">
              <w:rPr>
                <w:rFonts w:ascii="Arial" w:eastAsia="Times New Roman" w:hAnsi="Arial" w:cs="Arial"/>
                <w:sz w:val="22"/>
                <w:szCs w:val="22"/>
              </w:rPr>
              <w:t xml:space="preserve">En toma de inventarios existen diferencias pendientes por conciliar. </w:t>
            </w:r>
          </w:p>
        </w:tc>
      </w:tr>
      <w:tr w:rsidR="00561B22" w:rsidRPr="00847292" w14:paraId="2BD32FA3" w14:textId="77777777" w:rsidTr="00F1223B">
        <w:tc>
          <w:tcPr>
            <w:tcW w:w="562" w:type="dxa"/>
          </w:tcPr>
          <w:p w14:paraId="7CA80698"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3</w:t>
            </w:r>
          </w:p>
        </w:tc>
        <w:tc>
          <w:tcPr>
            <w:tcW w:w="9400" w:type="dxa"/>
          </w:tcPr>
          <w:p w14:paraId="5511ED8D"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Debilidades en la definición y uso de criterios para la medición posterior de los hechos económicos. </w:t>
            </w:r>
          </w:p>
        </w:tc>
      </w:tr>
      <w:tr w:rsidR="00561B22" w:rsidRPr="00847292" w14:paraId="1FDC6A88" w14:textId="77777777" w:rsidTr="00F1223B">
        <w:tc>
          <w:tcPr>
            <w:tcW w:w="562" w:type="dxa"/>
          </w:tcPr>
          <w:p w14:paraId="5FD74BE4"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4</w:t>
            </w:r>
          </w:p>
        </w:tc>
        <w:tc>
          <w:tcPr>
            <w:tcW w:w="9400" w:type="dxa"/>
          </w:tcPr>
          <w:p w14:paraId="61875533"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Debilidades en la elaboración y presentación oportuna de los estados financieros. </w:t>
            </w:r>
          </w:p>
        </w:tc>
      </w:tr>
      <w:tr w:rsidR="00561B22" w:rsidRPr="00847292" w14:paraId="0DE136A7" w14:textId="77777777" w:rsidTr="00F1223B">
        <w:tc>
          <w:tcPr>
            <w:tcW w:w="562" w:type="dxa"/>
          </w:tcPr>
          <w:p w14:paraId="65EFB78C"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5</w:t>
            </w:r>
          </w:p>
        </w:tc>
        <w:tc>
          <w:tcPr>
            <w:tcW w:w="9400" w:type="dxa"/>
          </w:tcPr>
          <w:p w14:paraId="38617563"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Deficiencias en el monitoreo a la efectividad de los controles en la mitigación de los riesgos y de las acciones para abordar los riesgos.</w:t>
            </w:r>
          </w:p>
        </w:tc>
      </w:tr>
      <w:tr w:rsidR="00561B22" w:rsidRPr="00847292" w14:paraId="6CBE8F70" w14:textId="77777777" w:rsidTr="00F1223B">
        <w:tc>
          <w:tcPr>
            <w:tcW w:w="562" w:type="dxa"/>
          </w:tcPr>
          <w:p w14:paraId="13FA566C"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6</w:t>
            </w:r>
          </w:p>
        </w:tc>
        <w:tc>
          <w:tcPr>
            <w:tcW w:w="9400" w:type="dxa"/>
          </w:tcPr>
          <w:p w14:paraId="05D23817"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Habilidades y competencias del personal del área contable sin fortalecer.</w:t>
            </w:r>
          </w:p>
        </w:tc>
      </w:tr>
    </w:tbl>
    <w:p w14:paraId="6591A7A8" w14:textId="77777777" w:rsidR="00561B22" w:rsidRPr="00847292" w:rsidRDefault="00561B22" w:rsidP="00561B22">
      <w:pPr>
        <w:pStyle w:val="Textoindependiente"/>
        <w:ind w:right="-50"/>
        <w:jc w:val="both"/>
        <w:rPr>
          <w:rFonts w:ascii="Arial" w:hAnsi="Arial" w:cs="Arial"/>
          <w:b/>
          <w:bCs/>
        </w:rPr>
      </w:pPr>
    </w:p>
    <w:p w14:paraId="1FD9CE7F" w14:textId="77777777" w:rsidR="00561B22" w:rsidRPr="00847292" w:rsidRDefault="00561B22" w:rsidP="00561B22">
      <w:pPr>
        <w:jc w:val="both"/>
        <w:rPr>
          <w:rFonts w:ascii="Arial" w:hAnsi="Arial" w:cs="Arial"/>
          <w:b/>
          <w:lang w:val="es-MX"/>
        </w:rPr>
      </w:pPr>
      <w:r w:rsidRPr="00847292">
        <w:rPr>
          <w:rFonts w:ascii="Arial" w:hAnsi="Arial" w:cs="Arial"/>
          <w:b/>
          <w:lang w:val="es-MX"/>
        </w:rPr>
        <w:t>Del citado informe retomamos las siguientes recomendaciones:</w:t>
      </w:r>
    </w:p>
    <w:p w14:paraId="01D39849" w14:textId="77777777" w:rsidR="00561B22" w:rsidRPr="0084729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47292" w14:paraId="4921B303" w14:textId="77777777" w:rsidTr="00F1223B">
        <w:tc>
          <w:tcPr>
            <w:tcW w:w="562" w:type="dxa"/>
          </w:tcPr>
          <w:p w14:paraId="2D85DA33" w14:textId="77777777" w:rsidR="00561B22" w:rsidRPr="00847292" w:rsidRDefault="00561B22" w:rsidP="00F1223B">
            <w:pPr>
              <w:ind w:right="-109"/>
              <w:jc w:val="center"/>
              <w:rPr>
                <w:rFonts w:ascii="Arial" w:hAnsi="Arial" w:cs="Arial"/>
                <w:b/>
                <w:sz w:val="22"/>
                <w:szCs w:val="22"/>
                <w:lang w:val="es-MX"/>
              </w:rPr>
            </w:pPr>
            <w:r w:rsidRPr="00847292">
              <w:rPr>
                <w:rFonts w:ascii="Arial" w:hAnsi="Arial" w:cs="Arial"/>
                <w:b/>
                <w:sz w:val="22"/>
                <w:szCs w:val="22"/>
                <w:lang w:val="es-MX"/>
              </w:rPr>
              <w:t>N°</w:t>
            </w:r>
          </w:p>
        </w:tc>
        <w:tc>
          <w:tcPr>
            <w:tcW w:w="9400" w:type="dxa"/>
          </w:tcPr>
          <w:p w14:paraId="03109A6B"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RECOMENDACIONES</w:t>
            </w:r>
          </w:p>
          <w:p w14:paraId="2F00B4B8" w14:textId="77777777" w:rsidR="00561B22" w:rsidRPr="00847292" w:rsidRDefault="00561B22" w:rsidP="00F1223B">
            <w:pPr>
              <w:jc w:val="center"/>
              <w:rPr>
                <w:rFonts w:ascii="Arial" w:hAnsi="Arial" w:cs="Arial"/>
                <w:b/>
                <w:sz w:val="22"/>
                <w:szCs w:val="22"/>
                <w:lang w:val="es-MX"/>
              </w:rPr>
            </w:pPr>
          </w:p>
        </w:tc>
      </w:tr>
      <w:tr w:rsidR="00561B22" w:rsidRPr="00847292" w14:paraId="0780F329" w14:textId="77777777" w:rsidTr="00F1223B">
        <w:tc>
          <w:tcPr>
            <w:tcW w:w="562" w:type="dxa"/>
          </w:tcPr>
          <w:p w14:paraId="2CDD6577"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1</w:t>
            </w:r>
          </w:p>
        </w:tc>
        <w:tc>
          <w:tcPr>
            <w:tcW w:w="9400" w:type="dxa"/>
            <w:vAlign w:val="bottom"/>
          </w:tcPr>
          <w:p w14:paraId="448A44DF"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Realizar mesas de trabajo con áreas involucradas en el manejo de la cartera o cuentas por cobrar de la entidad, hasta lograr que las partidas de las cuales no se conoce su origen y/o el derecho que genera (n) a la entidad, con el fin de reflejar en los estados financieros su realidad económica. </w:t>
            </w:r>
          </w:p>
        </w:tc>
      </w:tr>
      <w:tr w:rsidR="00561B22" w:rsidRPr="00847292" w14:paraId="17229887" w14:textId="77777777" w:rsidTr="00F1223B">
        <w:tc>
          <w:tcPr>
            <w:tcW w:w="562" w:type="dxa"/>
          </w:tcPr>
          <w:p w14:paraId="78FD1EB1"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2</w:t>
            </w:r>
          </w:p>
        </w:tc>
        <w:tc>
          <w:tcPr>
            <w:tcW w:w="9400" w:type="dxa"/>
          </w:tcPr>
          <w:p w14:paraId="218F725A"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Incluir dentro de las políticas definidas, la claridad respecto de la periodicidad con que deben ser realizadas las mediciones posteriores a cada uno de los grupos contables que aplique, con el fin de evitar errores que afecten la realidad de los hechos económicos de la entidad. Así mismo fortalecer los controles que en la actualidad se ejecutan dejando clara evidencia de su uso y documentándolos en las políticas contables de la entidad. </w:t>
            </w:r>
          </w:p>
        </w:tc>
      </w:tr>
      <w:tr w:rsidR="00561B22" w:rsidRPr="00847292" w14:paraId="2C01BA00" w14:textId="77777777" w:rsidTr="00F1223B">
        <w:tc>
          <w:tcPr>
            <w:tcW w:w="562" w:type="dxa"/>
          </w:tcPr>
          <w:p w14:paraId="25421E81"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3</w:t>
            </w:r>
          </w:p>
        </w:tc>
        <w:tc>
          <w:tcPr>
            <w:tcW w:w="9400" w:type="dxa"/>
          </w:tcPr>
          <w:p w14:paraId="7498FBD3"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Recopilar los resultados de análisis de incumplimientos en la entrega oportuna de la información financiera al área contable por parte de las diferentes dependencias, para presentarlos en el comité o instancia correspondiente (Alta Dirección y/o Cuerpo Directivo) y obtener su respaldo para establecer los correctivos que permitan a la entidad anticiparse a incumplimientos, o a la necesidad de solicitar de nuevo prórrogas ante la Contaduría General de la Nación para la presentación y publicación de los estados financieros al cierre de cada período contable o de la vigencia </w:t>
            </w:r>
          </w:p>
        </w:tc>
      </w:tr>
      <w:tr w:rsidR="00561B22" w:rsidRPr="00847292" w14:paraId="7D1826EC" w14:textId="77777777" w:rsidTr="00F1223B">
        <w:tc>
          <w:tcPr>
            <w:tcW w:w="562" w:type="dxa"/>
          </w:tcPr>
          <w:p w14:paraId="59495EA7"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4</w:t>
            </w:r>
          </w:p>
        </w:tc>
        <w:tc>
          <w:tcPr>
            <w:tcW w:w="9400" w:type="dxa"/>
          </w:tcPr>
          <w:p w14:paraId="6EC0FF89"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Diseñar indicadores que permitan identificar con eficiencia fortalezas y debilidad que afecten el proceso contable e identificar su punto de inflexión.</w:t>
            </w:r>
          </w:p>
        </w:tc>
      </w:tr>
      <w:tr w:rsidR="00561B22" w:rsidRPr="00847292" w14:paraId="7CA3F946" w14:textId="77777777" w:rsidTr="00F1223B">
        <w:tc>
          <w:tcPr>
            <w:tcW w:w="562" w:type="dxa"/>
          </w:tcPr>
          <w:p w14:paraId="229A2B31"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5</w:t>
            </w:r>
          </w:p>
        </w:tc>
        <w:tc>
          <w:tcPr>
            <w:tcW w:w="9400" w:type="dxa"/>
          </w:tcPr>
          <w:p w14:paraId="0F77A93B"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 xml:space="preserve">Verificar la consistencia de las cifras reportadas en los estados financieros con las que arrojan los saldos y/o movimientos de los libros de contabilidad al mismo corte, antes de su entrega y presentación a los usuarios y ciudadanía en general. </w:t>
            </w:r>
          </w:p>
        </w:tc>
      </w:tr>
      <w:tr w:rsidR="00561B22" w:rsidRPr="00847292" w14:paraId="1E1FFC5F" w14:textId="77777777" w:rsidTr="00F1223B">
        <w:tc>
          <w:tcPr>
            <w:tcW w:w="562" w:type="dxa"/>
          </w:tcPr>
          <w:p w14:paraId="399EDF27" w14:textId="77777777" w:rsidR="00561B22" w:rsidRPr="00847292" w:rsidRDefault="00561B22" w:rsidP="00F1223B">
            <w:pPr>
              <w:jc w:val="center"/>
              <w:rPr>
                <w:rFonts w:ascii="Arial" w:hAnsi="Arial" w:cs="Arial"/>
                <w:b/>
                <w:sz w:val="22"/>
                <w:szCs w:val="22"/>
                <w:lang w:val="es-MX"/>
              </w:rPr>
            </w:pPr>
            <w:r w:rsidRPr="00847292">
              <w:rPr>
                <w:rFonts w:ascii="Arial" w:hAnsi="Arial" w:cs="Arial"/>
                <w:b/>
                <w:sz w:val="22"/>
                <w:szCs w:val="22"/>
                <w:lang w:val="es-MX"/>
              </w:rPr>
              <w:t>6</w:t>
            </w:r>
          </w:p>
        </w:tc>
        <w:tc>
          <w:tcPr>
            <w:tcW w:w="9400" w:type="dxa"/>
          </w:tcPr>
          <w:p w14:paraId="1EE3A43A" w14:textId="77777777" w:rsidR="00561B22" w:rsidRPr="00847292" w:rsidRDefault="00561B22" w:rsidP="00F1223B">
            <w:pPr>
              <w:jc w:val="both"/>
              <w:rPr>
                <w:rFonts w:ascii="Arial" w:hAnsi="Arial" w:cs="Arial"/>
                <w:b/>
                <w:sz w:val="22"/>
                <w:szCs w:val="22"/>
                <w:lang w:val="es-MX"/>
              </w:rPr>
            </w:pPr>
            <w:r w:rsidRPr="00847292">
              <w:rPr>
                <w:rFonts w:ascii="Arial" w:eastAsia="Times New Roman" w:hAnsi="Arial" w:cs="Arial"/>
                <w:sz w:val="22"/>
                <w:szCs w:val="22"/>
              </w:rPr>
              <w:t>Realizar el seguimiento o monitoreo trimestral a los controles y/o acciones con las que se determinó dar tratamiento a los riesgos de índole contable identificados</w:t>
            </w:r>
          </w:p>
        </w:tc>
      </w:tr>
    </w:tbl>
    <w:p w14:paraId="4C217DEF" w14:textId="77777777" w:rsidR="00561B22" w:rsidRPr="00847292" w:rsidRDefault="00561B22" w:rsidP="00561B22">
      <w:pPr>
        <w:pStyle w:val="Textoindependiente"/>
        <w:ind w:right="-50"/>
        <w:jc w:val="both"/>
        <w:rPr>
          <w:rFonts w:ascii="Arial" w:hAnsi="Arial" w:cs="Arial"/>
          <w:b/>
          <w:bCs/>
        </w:rPr>
      </w:pPr>
    </w:p>
    <w:p w14:paraId="3BE92738" w14:textId="77777777" w:rsidR="00561B22" w:rsidRPr="00847292" w:rsidRDefault="00561B22" w:rsidP="00561B22">
      <w:pPr>
        <w:jc w:val="both"/>
        <w:rPr>
          <w:rFonts w:ascii="Arial" w:hAnsi="Arial" w:cs="Arial"/>
          <w:b/>
          <w:bCs/>
          <w:sz w:val="24"/>
          <w:szCs w:val="24"/>
          <w:lang w:val="es-CO"/>
        </w:rPr>
      </w:pPr>
      <w:r w:rsidRPr="00847292">
        <w:rPr>
          <w:rFonts w:ascii="Arial" w:hAnsi="Arial" w:cs="Arial"/>
          <w:b/>
          <w:bCs/>
          <w:sz w:val="24"/>
          <w:szCs w:val="24"/>
          <w:lang w:val="es-CO"/>
        </w:rPr>
        <w:t xml:space="preserve">NOTA: LA ENTIDAD ENVIA LA MATRIZ DE AUTOEVALUACIÓN DEL SISTEMA DE CONTROL INTERNO CONTABLE CON ACTIVIDADES DE CONTROL REALIZADAS </w:t>
      </w:r>
      <w:r w:rsidRPr="00847292">
        <w:rPr>
          <w:rFonts w:ascii="Arial" w:hAnsi="Arial" w:cs="Arial"/>
          <w:b/>
          <w:bCs/>
          <w:sz w:val="24"/>
          <w:szCs w:val="24"/>
          <w:u w:val="single"/>
          <w:lang w:val="es-CO"/>
        </w:rPr>
        <w:t xml:space="preserve">EN </w:t>
      </w:r>
      <w:r w:rsidRPr="00847292">
        <w:rPr>
          <w:rFonts w:ascii="Arial" w:hAnsi="Arial" w:cs="Arial"/>
          <w:b/>
          <w:bCs/>
          <w:sz w:val="24"/>
          <w:szCs w:val="24"/>
          <w:u w:val="single"/>
          <w:lang w:val="es-CO"/>
        </w:rPr>
        <w:lastRenderedPageBreak/>
        <w:t>FORMA PARCIAL Y OTRAS SIMPLEMENTE INFORMAN QUE NO SE REALIZARON</w:t>
      </w:r>
      <w:r w:rsidRPr="00847292">
        <w:rPr>
          <w:rFonts w:ascii="Arial" w:hAnsi="Arial" w:cs="Arial"/>
          <w:b/>
          <w:bCs/>
          <w:sz w:val="24"/>
          <w:szCs w:val="24"/>
          <w:lang w:val="es-CO"/>
        </w:rPr>
        <w:t>.</w:t>
      </w:r>
    </w:p>
    <w:p w14:paraId="7A9270AC" w14:textId="77777777" w:rsidR="00561B22" w:rsidRPr="00847292" w:rsidRDefault="00561B22" w:rsidP="00561B22">
      <w:pPr>
        <w:jc w:val="both"/>
        <w:rPr>
          <w:rFonts w:ascii="Arial" w:hAnsi="Arial" w:cs="Arial"/>
          <w:b/>
          <w:bCs/>
          <w:sz w:val="24"/>
          <w:szCs w:val="24"/>
          <w:lang w:val="es-CO"/>
        </w:rPr>
      </w:pPr>
    </w:p>
    <w:p w14:paraId="5EF974D0" w14:textId="77777777" w:rsidR="00561B22" w:rsidRPr="00BA44B6" w:rsidRDefault="00561B22" w:rsidP="00561B22">
      <w:pPr>
        <w:jc w:val="both"/>
        <w:rPr>
          <w:rFonts w:ascii="Arial" w:hAnsi="Arial" w:cs="Arial"/>
          <w:b/>
          <w:sz w:val="28"/>
          <w:szCs w:val="28"/>
          <w:lang w:val="es-MX"/>
        </w:rPr>
      </w:pPr>
      <w:r w:rsidRPr="00BA44B6">
        <w:rPr>
          <w:rFonts w:ascii="Arial" w:hAnsi="Arial" w:cs="Arial"/>
          <w:b/>
          <w:sz w:val="28"/>
          <w:szCs w:val="28"/>
          <w:lang w:val="es-MX"/>
        </w:rPr>
        <w:t>113.- REGISTRADURÍA NACIONAL DEL ESTADO CIVIL.</w:t>
      </w:r>
    </w:p>
    <w:p w14:paraId="230332FF" w14:textId="77777777" w:rsidR="00561B22" w:rsidRDefault="00561B22" w:rsidP="00561B22">
      <w:pPr>
        <w:pStyle w:val="Prrafodelista"/>
        <w:ind w:left="0"/>
        <w:rPr>
          <w:b/>
          <w:sz w:val="24"/>
        </w:rPr>
      </w:pPr>
    </w:p>
    <w:p w14:paraId="4CC81589" w14:textId="77777777" w:rsidR="00561B22" w:rsidRPr="00BA44B6" w:rsidRDefault="00561B22" w:rsidP="00561B22">
      <w:pPr>
        <w:pStyle w:val="Textoindependiente"/>
        <w:jc w:val="center"/>
        <w:rPr>
          <w:rFonts w:ascii="Arial" w:hAnsi="Arial" w:cs="Arial"/>
          <w:b/>
          <w:bCs/>
        </w:rPr>
      </w:pPr>
      <w:r w:rsidRPr="00BA44B6">
        <w:rPr>
          <w:rFonts w:ascii="Arial" w:hAnsi="Arial" w:cs="Arial"/>
          <w:b/>
          <w:bCs/>
        </w:rPr>
        <w:t>INFORME DE LA AUTOCALIFICACIÓN DEL SISTEMA DE CONTROL INTERNO CONTABLE:</w:t>
      </w:r>
    </w:p>
    <w:p w14:paraId="32EF0BC0" w14:textId="77777777" w:rsidR="00561B22" w:rsidRPr="00BA44B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A44B6" w14:paraId="17D46163" w14:textId="77777777" w:rsidTr="00F1223B">
        <w:tc>
          <w:tcPr>
            <w:tcW w:w="4981" w:type="dxa"/>
          </w:tcPr>
          <w:p w14:paraId="17A29C92"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AUTOCALIFICACIÓN</w:t>
            </w:r>
          </w:p>
        </w:tc>
        <w:tc>
          <w:tcPr>
            <w:tcW w:w="4981" w:type="dxa"/>
          </w:tcPr>
          <w:p w14:paraId="545D3C05" w14:textId="77777777" w:rsidR="00561B22" w:rsidRPr="00BA44B6" w:rsidRDefault="00561B22" w:rsidP="00F1223B">
            <w:pPr>
              <w:jc w:val="center"/>
              <w:rPr>
                <w:rFonts w:ascii="Arial" w:hAnsi="Arial" w:cs="Arial"/>
                <w:b/>
                <w:sz w:val="22"/>
                <w:szCs w:val="22"/>
                <w:u w:val="single"/>
                <w:lang w:val="es-MX"/>
              </w:rPr>
            </w:pPr>
            <w:r w:rsidRPr="00BA44B6">
              <w:rPr>
                <w:rFonts w:ascii="Arial" w:hAnsi="Arial" w:cs="Arial"/>
                <w:b/>
                <w:sz w:val="22"/>
                <w:szCs w:val="22"/>
                <w:u w:val="single"/>
                <w:lang w:val="es-MX"/>
              </w:rPr>
              <w:t>4.88</w:t>
            </w:r>
          </w:p>
        </w:tc>
      </w:tr>
    </w:tbl>
    <w:p w14:paraId="49A8D713" w14:textId="77777777" w:rsidR="00561B22" w:rsidRPr="00BA44B6" w:rsidRDefault="00561B22" w:rsidP="00561B22">
      <w:pPr>
        <w:pStyle w:val="Textoindependiente"/>
        <w:jc w:val="both"/>
        <w:rPr>
          <w:rFonts w:ascii="Arial" w:hAnsi="Arial" w:cs="Arial"/>
          <w:b/>
          <w:bCs/>
        </w:rPr>
      </w:pPr>
    </w:p>
    <w:p w14:paraId="6D4FD203" w14:textId="77777777" w:rsidR="00561B22" w:rsidRPr="00BA44B6" w:rsidRDefault="00561B22" w:rsidP="00561B22">
      <w:pPr>
        <w:pStyle w:val="Textoindependiente"/>
        <w:jc w:val="both"/>
        <w:rPr>
          <w:rFonts w:ascii="Arial" w:hAnsi="Arial" w:cs="Arial"/>
          <w:b/>
          <w:bCs/>
        </w:rPr>
      </w:pPr>
      <w:r w:rsidRPr="00BA44B6">
        <w:rPr>
          <w:rFonts w:ascii="Arial" w:hAnsi="Arial" w:cs="Arial"/>
          <w:b/>
          <w:bCs/>
        </w:rPr>
        <w:t>Del informe enviado retomamos lo siguiente:</w:t>
      </w:r>
    </w:p>
    <w:p w14:paraId="2A389C53" w14:textId="77777777" w:rsidR="00561B22" w:rsidRPr="00BA44B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A44B6" w14:paraId="628A2BC5" w14:textId="77777777" w:rsidTr="00F1223B">
        <w:tc>
          <w:tcPr>
            <w:tcW w:w="562" w:type="dxa"/>
          </w:tcPr>
          <w:p w14:paraId="58D1F0E5"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N°</w:t>
            </w:r>
          </w:p>
        </w:tc>
        <w:tc>
          <w:tcPr>
            <w:tcW w:w="9400" w:type="dxa"/>
          </w:tcPr>
          <w:p w14:paraId="09136BBE"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DEBILIDADES</w:t>
            </w:r>
          </w:p>
          <w:p w14:paraId="491916BD" w14:textId="77777777" w:rsidR="00561B22" w:rsidRPr="00BA44B6" w:rsidRDefault="00561B22" w:rsidP="00F1223B">
            <w:pPr>
              <w:jc w:val="center"/>
              <w:rPr>
                <w:rFonts w:ascii="Arial" w:hAnsi="Arial" w:cs="Arial"/>
                <w:b/>
                <w:sz w:val="22"/>
                <w:szCs w:val="22"/>
                <w:lang w:val="es-MX"/>
              </w:rPr>
            </w:pPr>
          </w:p>
        </w:tc>
      </w:tr>
      <w:tr w:rsidR="00561B22" w:rsidRPr="00BA44B6" w14:paraId="73A5638B" w14:textId="77777777" w:rsidTr="00F1223B">
        <w:tc>
          <w:tcPr>
            <w:tcW w:w="562" w:type="dxa"/>
          </w:tcPr>
          <w:p w14:paraId="69BE1FF9"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1</w:t>
            </w:r>
          </w:p>
        </w:tc>
        <w:tc>
          <w:tcPr>
            <w:tcW w:w="9400" w:type="dxa"/>
          </w:tcPr>
          <w:p w14:paraId="3DDD7384" w14:textId="77777777" w:rsidR="00561B22" w:rsidRPr="00BA44B6" w:rsidRDefault="00561B22" w:rsidP="00F1223B">
            <w:pPr>
              <w:widowControl/>
              <w:autoSpaceDE/>
              <w:autoSpaceDN/>
              <w:jc w:val="both"/>
              <w:rPr>
                <w:rFonts w:ascii="Arial" w:hAnsi="Arial" w:cs="Arial"/>
                <w:sz w:val="22"/>
                <w:szCs w:val="22"/>
              </w:rPr>
            </w:pPr>
            <w:r w:rsidRPr="00BA44B6">
              <w:rPr>
                <w:rFonts w:ascii="Arial" w:hAnsi="Arial" w:cs="Arial"/>
                <w:sz w:val="22"/>
                <w:szCs w:val="22"/>
              </w:rPr>
              <w:t>Realizada la evaluación a los principales factores, actividades y situaciones de la RNEC acontecidos en el 2024, existe como limitación el hecho de encontrarse en proceso al momento de la verificación los Estados Financieros y sus Notas con corte a 31 de diciembre de 2024, vale la pena aclarar que se encuentran en términos para la transmisión a través del CHIP (28 de febrero de 2025).</w:t>
            </w:r>
          </w:p>
        </w:tc>
      </w:tr>
      <w:tr w:rsidR="00561B22" w:rsidRPr="00BA44B6" w14:paraId="4EB9F15F" w14:textId="77777777" w:rsidTr="00F1223B">
        <w:tc>
          <w:tcPr>
            <w:tcW w:w="562" w:type="dxa"/>
          </w:tcPr>
          <w:p w14:paraId="2AE8CE79"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2</w:t>
            </w:r>
          </w:p>
        </w:tc>
        <w:tc>
          <w:tcPr>
            <w:tcW w:w="9400" w:type="dxa"/>
          </w:tcPr>
          <w:p w14:paraId="4045BEEA" w14:textId="77777777" w:rsidR="00561B22" w:rsidRPr="00BA44B6" w:rsidRDefault="00561B22" w:rsidP="00F1223B">
            <w:pPr>
              <w:widowControl/>
              <w:autoSpaceDE/>
              <w:autoSpaceDN/>
              <w:jc w:val="both"/>
              <w:rPr>
                <w:rFonts w:ascii="Arial" w:eastAsia="Calibri" w:hAnsi="Arial" w:cs="Arial"/>
                <w:sz w:val="22"/>
                <w:szCs w:val="22"/>
                <w:lang w:eastAsia="es-ES"/>
              </w:rPr>
            </w:pPr>
            <w:r w:rsidRPr="00BA44B6">
              <w:rPr>
                <w:rFonts w:ascii="Arial" w:eastAsia="Calibri" w:hAnsi="Arial" w:cs="Arial"/>
                <w:sz w:val="22"/>
                <w:szCs w:val="22"/>
                <w:lang w:eastAsia="es-ES"/>
              </w:rPr>
              <w:t>No se han efectuado los avalúos de los inmuebles y por ende los ajustes por valorización (No realizan Avalúos desde 2017), lo que genera incertidumbre en las cuentas de propiedad planta y equipo y por contrapartida en el patrimonio de la entidad. Así mismo, se evidencia partidas pendientes por depurar en las cuentas de Propiedad, Planta y Equipo, igualmente en la Depreciación Acumulada.</w:t>
            </w:r>
          </w:p>
        </w:tc>
      </w:tr>
    </w:tbl>
    <w:p w14:paraId="4E6DA599" w14:textId="77777777" w:rsidR="00561B22" w:rsidRPr="00BA44B6" w:rsidRDefault="00561B22" w:rsidP="00561B22">
      <w:pPr>
        <w:pStyle w:val="Textoindependiente"/>
        <w:jc w:val="both"/>
        <w:rPr>
          <w:rFonts w:ascii="Arial" w:hAnsi="Arial" w:cs="Arial"/>
          <w:b/>
          <w:bCs/>
        </w:rPr>
      </w:pPr>
    </w:p>
    <w:p w14:paraId="5F76C17C" w14:textId="77777777" w:rsidR="00561B22" w:rsidRPr="00BA44B6" w:rsidRDefault="00561B22" w:rsidP="00561B22">
      <w:pPr>
        <w:jc w:val="both"/>
        <w:rPr>
          <w:rFonts w:ascii="Arial" w:hAnsi="Arial" w:cs="Arial"/>
          <w:b/>
          <w:lang w:val="es-MX"/>
        </w:rPr>
      </w:pPr>
      <w:r w:rsidRPr="00BA44B6">
        <w:rPr>
          <w:rFonts w:ascii="Arial" w:hAnsi="Arial" w:cs="Arial"/>
          <w:b/>
          <w:lang w:val="es-MX"/>
        </w:rPr>
        <w:t>Del citado informe retomamos las siguientes recomendaciones:</w:t>
      </w:r>
    </w:p>
    <w:p w14:paraId="69E9A941" w14:textId="77777777" w:rsidR="00561B22" w:rsidRPr="00BA44B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A44B6" w14:paraId="6B71A0AA" w14:textId="77777777" w:rsidTr="00F1223B">
        <w:tc>
          <w:tcPr>
            <w:tcW w:w="562" w:type="dxa"/>
          </w:tcPr>
          <w:p w14:paraId="440F2271"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N°</w:t>
            </w:r>
          </w:p>
        </w:tc>
        <w:tc>
          <w:tcPr>
            <w:tcW w:w="9400" w:type="dxa"/>
          </w:tcPr>
          <w:p w14:paraId="13A91E3F"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RECOMENDACIONES</w:t>
            </w:r>
          </w:p>
          <w:p w14:paraId="59FA1E84" w14:textId="77777777" w:rsidR="00561B22" w:rsidRPr="00BA44B6" w:rsidRDefault="00561B22" w:rsidP="00F1223B">
            <w:pPr>
              <w:jc w:val="center"/>
              <w:rPr>
                <w:rFonts w:ascii="Arial" w:hAnsi="Arial" w:cs="Arial"/>
                <w:b/>
                <w:sz w:val="22"/>
                <w:szCs w:val="22"/>
                <w:lang w:val="es-MX"/>
              </w:rPr>
            </w:pPr>
          </w:p>
        </w:tc>
      </w:tr>
      <w:tr w:rsidR="00561B22" w:rsidRPr="00BA44B6" w14:paraId="58CA3DA0" w14:textId="77777777" w:rsidTr="00F1223B">
        <w:tc>
          <w:tcPr>
            <w:tcW w:w="562" w:type="dxa"/>
          </w:tcPr>
          <w:p w14:paraId="012D9D7C"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1</w:t>
            </w:r>
          </w:p>
        </w:tc>
        <w:tc>
          <w:tcPr>
            <w:tcW w:w="9400" w:type="dxa"/>
          </w:tcPr>
          <w:p w14:paraId="4DFF5E1C" w14:textId="77777777" w:rsidR="00561B22" w:rsidRPr="00BA44B6" w:rsidRDefault="00561B22" w:rsidP="00F1223B">
            <w:pPr>
              <w:jc w:val="both"/>
              <w:rPr>
                <w:rFonts w:ascii="Arial" w:eastAsia="Times New Roman" w:hAnsi="Arial" w:cs="Arial"/>
                <w:sz w:val="22"/>
                <w:szCs w:val="22"/>
                <w:lang w:eastAsia="es-ES"/>
              </w:rPr>
            </w:pPr>
            <w:r w:rsidRPr="00BA44B6">
              <w:rPr>
                <w:rFonts w:ascii="Arial" w:eastAsia="Times New Roman" w:hAnsi="Arial" w:cs="Arial"/>
                <w:sz w:val="22"/>
                <w:szCs w:val="22"/>
                <w:lang w:eastAsia="es-ES"/>
              </w:rPr>
              <w:t>Priorizar las gestiones necesarias a fin de depurar las partidas de la Propiedad, Planta y Equipo de la RNEC las cuales deben ser aprobadas en las sesiones de Comité Técnico de Sostenibilidad Contable a fin de presentar información que refleje la realidad económica de la RNEC, así como los avalúos de los inmuebles y por ende los ajustes por valorización lo que genera incertidumbre en las cuentas de propiedad planta y equipo y por contrapartida en el patrimonio de la entidad.</w:t>
            </w:r>
          </w:p>
        </w:tc>
      </w:tr>
      <w:tr w:rsidR="00561B22" w:rsidRPr="00BA44B6" w14:paraId="4CF5665C" w14:textId="77777777" w:rsidTr="00F1223B">
        <w:tc>
          <w:tcPr>
            <w:tcW w:w="562" w:type="dxa"/>
          </w:tcPr>
          <w:p w14:paraId="61AB062E" w14:textId="77777777" w:rsidR="00561B22" w:rsidRPr="00BA44B6" w:rsidRDefault="00561B22" w:rsidP="00F1223B">
            <w:pPr>
              <w:jc w:val="center"/>
              <w:rPr>
                <w:rFonts w:ascii="Arial" w:hAnsi="Arial" w:cs="Arial"/>
                <w:b/>
                <w:sz w:val="22"/>
                <w:szCs w:val="22"/>
                <w:lang w:val="es-MX"/>
              </w:rPr>
            </w:pPr>
            <w:r w:rsidRPr="00BA44B6">
              <w:rPr>
                <w:rFonts w:ascii="Arial" w:hAnsi="Arial" w:cs="Arial"/>
                <w:b/>
                <w:sz w:val="22"/>
                <w:szCs w:val="22"/>
                <w:lang w:val="es-MX"/>
              </w:rPr>
              <w:t>2</w:t>
            </w:r>
          </w:p>
        </w:tc>
        <w:tc>
          <w:tcPr>
            <w:tcW w:w="9400" w:type="dxa"/>
          </w:tcPr>
          <w:p w14:paraId="7918F17E" w14:textId="77777777" w:rsidR="00561B22" w:rsidRPr="00BA44B6" w:rsidRDefault="00561B22" w:rsidP="00F1223B">
            <w:pPr>
              <w:widowControl/>
              <w:autoSpaceDE/>
              <w:autoSpaceDN/>
              <w:jc w:val="both"/>
              <w:rPr>
                <w:rFonts w:ascii="Arial" w:eastAsia="Times New Roman" w:hAnsi="Arial" w:cs="Arial"/>
                <w:sz w:val="22"/>
                <w:szCs w:val="22"/>
                <w:lang w:eastAsia="es-ES"/>
              </w:rPr>
            </w:pPr>
            <w:r w:rsidRPr="00BA44B6">
              <w:rPr>
                <w:rFonts w:ascii="Arial" w:eastAsia="Times New Roman" w:hAnsi="Arial" w:cs="Arial"/>
                <w:sz w:val="22"/>
                <w:szCs w:val="22"/>
                <w:lang w:eastAsia="es-ES"/>
              </w:rPr>
              <w:t>Agilizar la socialización del Manual de Políticas Contables, con todos los servidores de la entidad, ya que es importante que lo conozcan, porque es la guía para el reconocimiento, medición, presentación y revelación de los hechos económicos de la Registraduría Nacional del Estado Civil, de tal forma que conduzcan a garantizar la producción de información confiable, relevante y comprensible según lo establecido en el marco normativo para entidades de gobierno en cuanto a principios, normas técnicas y procedimientos.</w:t>
            </w:r>
          </w:p>
        </w:tc>
      </w:tr>
    </w:tbl>
    <w:p w14:paraId="7D64AD5C" w14:textId="77777777" w:rsidR="00561B22" w:rsidRPr="00BA44B6" w:rsidRDefault="00561B22" w:rsidP="00561B22">
      <w:pPr>
        <w:jc w:val="both"/>
        <w:rPr>
          <w:rFonts w:ascii="Arial" w:hAnsi="Arial" w:cs="Arial"/>
          <w:b/>
          <w:bCs/>
          <w:sz w:val="24"/>
          <w:szCs w:val="24"/>
          <w:lang w:val="es-CO"/>
        </w:rPr>
      </w:pPr>
    </w:p>
    <w:p w14:paraId="1A5BAFBD" w14:textId="77777777" w:rsidR="00561B22" w:rsidRPr="00BA44B6" w:rsidRDefault="00561B22" w:rsidP="00561B22">
      <w:pPr>
        <w:jc w:val="both"/>
        <w:rPr>
          <w:rFonts w:ascii="Arial" w:hAnsi="Arial" w:cs="Arial"/>
          <w:b/>
          <w:bCs/>
          <w:sz w:val="24"/>
          <w:szCs w:val="24"/>
          <w:lang w:val="es-CO"/>
        </w:rPr>
      </w:pPr>
      <w:r w:rsidRPr="00BA44B6">
        <w:rPr>
          <w:rFonts w:ascii="Arial" w:hAnsi="Arial" w:cs="Arial"/>
          <w:b/>
          <w:bCs/>
          <w:sz w:val="24"/>
          <w:szCs w:val="24"/>
          <w:lang w:val="es-CO"/>
        </w:rPr>
        <w:t xml:space="preserve">NOTA: LA ENTIDAD ENVIA LA MATRIZ DE AUTOEVALUACIÓN DEL SISTEMA DE CONTROL INTERNO CONTABLE CON </w:t>
      </w:r>
      <w:r w:rsidRPr="00BA44B6">
        <w:rPr>
          <w:rFonts w:ascii="Arial" w:hAnsi="Arial" w:cs="Arial"/>
          <w:b/>
          <w:bCs/>
          <w:sz w:val="24"/>
          <w:szCs w:val="24"/>
          <w:u w:val="single"/>
          <w:lang w:val="es-CO"/>
        </w:rPr>
        <w:t>ACTIVIDADES DE CONTROL REALIZADAS EN FORMA PARCIAL</w:t>
      </w:r>
      <w:r w:rsidRPr="00BA44B6">
        <w:rPr>
          <w:rFonts w:ascii="Arial" w:hAnsi="Arial" w:cs="Arial"/>
          <w:b/>
          <w:bCs/>
          <w:sz w:val="24"/>
          <w:szCs w:val="24"/>
          <w:lang w:val="es-CO"/>
        </w:rPr>
        <w:t>.</w:t>
      </w:r>
    </w:p>
    <w:p w14:paraId="4A71AF50" w14:textId="77777777" w:rsidR="00561B22" w:rsidRDefault="00561B22" w:rsidP="00561B22">
      <w:pPr>
        <w:jc w:val="both"/>
        <w:rPr>
          <w:rFonts w:ascii="Arial" w:hAnsi="Arial" w:cs="Arial"/>
          <w:b/>
          <w:bCs/>
          <w:sz w:val="24"/>
          <w:szCs w:val="24"/>
          <w:lang w:val="es-MX"/>
        </w:rPr>
      </w:pPr>
    </w:p>
    <w:p w14:paraId="065F7F1C" w14:textId="77777777" w:rsidR="00561B22" w:rsidRPr="005A30C0" w:rsidRDefault="00561B22" w:rsidP="00561B22">
      <w:pPr>
        <w:jc w:val="both"/>
        <w:rPr>
          <w:rFonts w:ascii="Arial" w:hAnsi="Arial" w:cs="Arial"/>
          <w:b/>
          <w:sz w:val="28"/>
          <w:szCs w:val="28"/>
          <w:lang w:val="es-MX"/>
        </w:rPr>
      </w:pPr>
      <w:r w:rsidRPr="005A30C0">
        <w:rPr>
          <w:rFonts w:ascii="Arial" w:hAnsi="Arial" w:cs="Arial"/>
          <w:b/>
          <w:sz w:val="28"/>
          <w:szCs w:val="28"/>
          <w:lang w:val="es-MX"/>
        </w:rPr>
        <w:t>114.- CAJA PROMOTORA DE VIVIENDA MILITAR Y DE POLICÍA – CAJA HONOR.</w:t>
      </w:r>
    </w:p>
    <w:p w14:paraId="189C0FFE" w14:textId="77777777" w:rsidR="00561B22" w:rsidRDefault="00561B22" w:rsidP="00561B22">
      <w:pPr>
        <w:jc w:val="both"/>
        <w:rPr>
          <w:b/>
          <w:sz w:val="28"/>
          <w:szCs w:val="28"/>
          <w:lang w:val="es-MX"/>
        </w:rPr>
      </w:pPr>
    </w:p>
    <w:p w14:paraId="361E4D4E" w14:textId="77777777" w:rsidR="00561B22" w:rsidRPr="005A30C0" w:rsidRDefault="00561B22" w:rsidP="00561B22">
      <w:pPr>
        <w:pStyle w:val="Textoindependiente"/>
        <w:ind w:right="-50"/>
        <w:jc w:val="center"/>
        <w:rPr>
          <w:rFonts w:ascii="Arial" w:hAnsi="Arial" w:cs="Arial"/>
          <w:b/>
          <w:bCs/>
        </w:rPr>
      </w:pPr>
      <w:r w:rsidRPr="005A30C0">
        <w:rPr>
          <w:rFonts w:ascii="Arial" w:hAnsi="Arial" w:cs="Arial"/>
          <w:b/>
          <w:bCs/>
        </w:rPr>
        <w:t>INFORME DE LA AUTOCALIFICACIÓN DEL SISTEMA DE CONTROL INTERNO CONTABLE:</w:t>
      </w:r>
    </w:p>
    <w:p w14:paraId="43886E7F" w14:textId="77777777" w:rsidR="00561B22" w:rsidRPr="005A30C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A30C0" w14:paraId="7A237B83" w14:textId="77777777" w:rsidTr="00F1223B">
        <w:tc>
          <w:tcPr>
            <w:tcW w:w="4981" w:type="dxa"/>
          </w:tcPr>
          <w:p w14:paraId="6403CAB6" w14:textId="77777777" w:rsidR="00561B22" w:rsidRPr="005A30C0" w:rsidRDefault="00561B22" w:rsidP="00F1223B">
            <w:pPr>
              <w:jc w:val="center"/>
              <w:rPr>
                <w:rFonts w:ascii="Arial" w:hAnsi="Arial" w:cs="Arial"/>
                <w:b/>
                <w:sz w:val="22"/>
                <w:szCs w:val="22"/>
                <w:lang w:val="es-MX"/>
              </w:rPr>
            </w:pPr>
            <w:r w:rsidRPr="005A30C0">
              <w:rPr>
                <w:rFonts w:ascii="Arial" w:hAnsi="Arial" w:cs="Arial"/>
                <w:b/>
                <w:sz w:val="22"/>
                <w:szCs w:val="22"/>
                <w:lang w:val="es-MX"/>
              </w:rPr>
              <w:t>AUTOCALIFICACIÓN</w:t>
            </w:r>
          </w:p>
        </w:tc>
        <w:tc>
          <w:tcPr>
            <w:tcW w:w="4981" w:type="dxa"/>
          </w:tcPr>
          <w:p w14:paraId="00849A63" w14:textId="77777777" w:rsidR="00561B22" w:rsidRPr="005A30C0" w:rsidRDefault="00561B22" w:rsidP="00F1223B">
            <w:pPr>
              <w:jc w:val="center"/>
              <w:rPr>
                <w:rFonts w:ascii="Arial" w:hAnsi="Arial" w:cs="Arial"/>
                <w:b/>
                <w:sz w:val="22"/>
                <w:szCs w:val="22"/>
                <w:u w:val="single"/>
                <w:lang w:val="es-MX"/>
              </w:rPr>
            </w:pPr>
            <w:r w:rsidRPr="005A30C0">
              <w:rPr>
                <w:rFonts w:ascii="Arial" w:hAnsi="Arial" w:cs="Arial"/>
                <w:b/>
                <w:sz w:val="22"/>
                <w:szCs w:val="22"/>
                <w:u w:val="single"/>
                <w:lang w:val="es-MX"/>
              </w:rPr>
              <w:t>5.00</w:t>
            </w:r>
          </w:p>
        </w:tc>
      </w:tr>
    </w:tbl>
    <w:p w14:paraId="3E464F98" w14:textId="77777777" w:rsidR="00561B22" w:rsidRPr="005A30C0" w:rsidRDefault="00561B22" w:rsidP="00561B22">
      <w:pPr>
        <w:pStyle w:val="Textoindependiente"/>
        <w:ind w:right="-50"/>
        <w:jc w:val="both"/>
        <w:rPr>
          <w:rFonts w:ascii="Arial" w:hAnsi="Arial" w:cs="Arial"/>
          <w:b/>
          <w:bCs/>
        </w:rPr>
      </w:pPr>
    </w:p>
    <w:p w14:paraId="2A685B1A" w14:textId="77777777" w:rsidR="00561B22" w:rsidRPr="005A30C0" w:rsidRDefault="00561B22" w:rsidP="00561B22">
      <w:pPr>
        <w:pStyle w:val="Textoindependiente"/>
        <w:ind w:right="-50"/>
        <w:jc w:val="both"/>
        <w:rPr>
          <w:rFonts w:ascii="Arial" w:hAnsi="Arial" w:cs="Arial"/>
          <w:b/>
          <w:bCs/>
        </w:rPr>
      </w:pPr>
      <w:r w:rsidRPr="005A30C0">
        <w:rPr>
          <w:rFonts w:ascii="Arial" w:hAnsi="Arial" w:cs="Arial"/>
          <w:b/>
          <w:bCs/>
        </w:rPr>
        <w:t>Del informe enviado retomamos lo siguiente:</w:t>
      </w:r>
    </w:p>
    <w:p w14:paraId="007BC8F8" w14:textId="77777777" w:rsidR="00561B22" w:rsidRPr="005A30C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A30C0" w14:paraId="46249848" w14:textId="77777777" w:rsidTr="00F1223B">
        <w:tc>
          <w:tcPr>
            <w:tcW w:w="562" w:type="dxa"/>
          </w:tcPr>
          <w:p w14:paraId="27D98160" w14:textId="77777777" w:rsidR="00561B22" w:rsidRPr="005A30C0" w:rsidRDefault="00561B22" w:rsidP="00F1223B">
            <w:pPr>
              <w:ind w:right="-109"/>
              <w:jc w:val="center"/>
              <w:rPr>
                <w:rFonts w:ascii="Arial" w:hAnsi="Arial" w:cs="Arial"/>
                <w:b/>
                <w:sz w:val="22"/>
                <w:szCs w:val="22"/>
                <w:lang w:val="es-MX"/>
              </w:rPr>
            </w:pPr>
            <w:r w:rsidRPr="005A30C0">
              <w:rPr>
                <w:rFonts w:ascii="Arial" w:hAnsi="Arial" w:cs="Arial"/>
                <w:b/>
                <w:sz w:val="22"/>
                <w:szCs w:val="22"/>
                <w:lang w:val="es-MX"/>
              </w:rPr>
              <w:t>N°</w:t>
            </w:r>
          </w:p>
        </w:tc>
        <w:tc>
          <w:tcPr>
            <w:tcW w:w="9400" w:type="dxa"/>
          </w:tcPr>
          <w:p w14:paraId="5E450AF4" w14:textId="77777777" w:rsidR="00561B22" w:rsidRPr="005A30C0" w:rsidRDefault="00561B22" w:rsidP="00F1223B">
            <w:pPr>
              <w:jc w:val="center"/>
              <w:rPr>
                <w:rFonts w:ascii="Arial" w:hAnsi="Arial" w:cs="Arial"/>
                <w:b/>
                <w:sz w:val="22"/>
                <w:szCs w:val="22"/>
                <w:lang w:val="es-MX"/>
              </w:rPr>
            </w:pPr>
            <w:r w:rsidRPr="005A30C0">
              <w:rPr>
                <w:rFonts w:ascii="Arial" w:hAnsi="Arial" w:cs="Arial"/>
                <w:b/>
                <w:sz w:val="22"/>
                <w:szCs w:val="22"/>
                <w:lang w:val="es-MX"/>
              </w:rPr>
              <w:t>RECOMENDACIONES</w:t>
            </w:r>
          </w:p>
          <w:p w14:paraId="19C21822" w14:textId="77777777" w:rsidR="00561B22" w:rsidRPr="005A30C0" w:rsidRDefault="00561B22" w:rsidP="00F1223B">
            <w:pPr>
              <w:jc w:val="center"/>
              <w:rPr>
                <w:rFonts w:ascii="Arial" w:hAnsi="Arial" w:cs="Arial"/>
                <w:b/>
                <w:sz w:val="22"/>
                <w:szCs w:val="22"/>
                <w:lang w:val="es-MX"/>
              </w:rPr>
            </w:pPr>
          </w:p>
        </w:tc>
      </w:tr>
      <w:tr w:rsidR="00561B22" w:rsidRPr="005A30C0" w14:paraId="57FEF618" w14:textId="77777777" w:rsidTr="00F1223B">
        <w:tc>
          <w:tcPr>
            <w:tcW w:w="562" w:type="dxa"/>
          </w:tcPr>
          <w:p w14:paraId="04F2EA63" w14:textId="77777777" w:rsidR="00561B22" w:rsidRPr="005A30C0" w:rsidRDefault="00561B22" w:rsidP="00F1223B">
            <w:pPr>
              <w:jc w:val="center"/>
              <w:rPr>
                <w:rFonts w:ascii="Arial" w:hAnsi="Arial" w:cs="Arial"/>
                <w:b/>
                <w:sz w:val="22"/>
                <w:szCs w:val="22"/>
                <w:lang w:val="es-MX"/>
              </w:rPr>
            </w:pPr>
            <w:r w:rsidRPr="005A30C0">
              <w:rPr>
                <w:rFonts w:ascii="Arial" w:hAnsi="Arial" w:cs="Arial"/>
                <w:b/>
                <w:sz w:val="22"/>
                <w:szCs w:val="22"/>
                <w:lang w:val="es-MX"/>
              </w:rPr>
              <w:t>1</w:t>
            </w:r>
          </w:p>
        </w:tc>
        <w:tc>
          <w:tcPr>
            <w:tcW w:w="9400" w:type="dxa"/>
          </w:tcPr>
          <w:p w14:paraId="76167E7A" w14:textId="77777777" w:rsidR="00561B22" w:rsidRPr="005A30C0" w:rsidRDefault="00561B22" w:rsidP="00F1223B">
            <w:pPr>
              <w:jc w:val="both"/>
              <w:rPr>
                <w:rFonts w:ascii="Arial" w:hAnsi="Arial" w:cs="Arial"/>
                <w:sz w:val="22"/>
                <w:szCs w:val="22"/>
                <w:lang w:val="es-MX"/>
              </w:rPr>
            </w:pPr>
            <w:r w:rsidRPr="005A30C0">
              <w:rPr>
                <w:rFonts w:ascii="Arial" w:hAnsi="Arial" w:cs="Arial"/>
                <w:sz w:val="22"/>
                <w:szCs w:val="22"/>
                <w:lang w:val="es-MX"/>
              </w:rPr>
              <w:t>Se debe continuar con el fortalecimiento permanente en todos los procesos frente a la inducción de personal y a las capacitaciones, con el fin de minimizar rotación de personal, preservando la curva de aprendizaje.</w:t>
            </w:r>
          </w:p>
        </w:tc>
      </w:tr>
      <w:tr w:rsidR="00561B22" w:rsidRPr="005A30C0" w14:paraId="4D0B7C01" w14:textId="77777777" w:rsidTr="00F1223B">
        <w:tc>
          <w:tcPr>
            <w:tcW w:w="562" w:type="dxa"/>
          </w:tcPr>
          <w:p w14:paraId="6B33E696" w14:textId="77777777" w:rsidR="00561B22" w:rsidRPr="005A30C0" w:rsidRDefault="00561B22" w:rsidP="00F1223B">
            <w:pPr>
              <w:jc w:val="center"/>
              <w:rPr>
                <w:rFonts w:ascii="Arial" w:hAnsi="Arial" w:cs="Arial"/>
                <w:b/>
                <w:sz w:val="22"/>
                <w:szCs w:val="22"/>
                <w:lang w:val="es-MX"/>
              </w:rPr>
            </w:pPr>
            <w:r w:rsidRPr="005A30C0">
              <w:rPr>
                <w:rFonts w:ascii="Arial" w:hAnsi="Arial" w:cs="Arial"/>
                <w:b/>
                <w:sz w:val="22"/>
                <w:szCs w:val="22"/>
                <w:lang w:val="es-MX"/>
              </w:rPr>
              <w:t>2</w:t>
            </w:r>
          </w:p>
        </w:tc>
        <w:tc>
          <w:tcPr>
            <w:tcW w:w="9400" w:type="dxa"/>
          </w:tcPr>
          <w:p w14:paraId="4121E999" w14:textId="77777777" w:rsidR="00561B22" w:rsidRPr="005A30C0" w:rsidRDefault="00561B22" w:rsidP="00F1223B">
            <w:pPr>
              <w:jc w:val="both"/>
              <w:rPr>
                <w:rFonts w:ascii="Arial" w:hAnsi="Arial" w:cs="Arial"/>
                <w:sz w:val="22"/>
                <w:szCs w:val="22"/>
                <w:lang w:val="es-MX"/>
              </w:rPr>
            </w:pPr>
            <w:r w:rsidRPr="005A30C0">
              <w:rPr>
                <w:rFonts w:ascii="Arial" w:hAnsi="Arial" w:cs="Arial"/>
                <w:sz w:val="22"/>
                <w:szCs w:val="22"/>
                <w:lang w:val="es-MX"/>
              </w:rPr>
              <w:t>Capacitaciones en inteligencia artificial y apoyo en herramientas ofimáticas, con el fin de mejorar las actividades y la automatización de las mismas.</w:t>
            </w:r>
          </w:p>
        </w:tc>
      </w:tr>
    </w:tbl>
    <w:p w14:paraId="57BA0E3B" w14:textId="77777777" w:rsidR="00787CE8" w:rsidRDefault="00787CE8" w:rsidP="00561B22">
      <w:pPr>
        <w:jc w:val="both"/>
        <w:rPr>
          <w:rFonts w:ascii="Arial" w:hAnsi="Arial" w:cs="Arial"/>
          <w:b/>
          <w:sz w:val="28"/>
          <w:szCs w:val="28"/>
          <w:lang w:val="es-MX"/>
        </w:rPr>
      </w:pPr>
    </w:p>
    <w:p w14:paraId="4CA12202" w14:textId="123A0AB9" w:rsidR="00561B22" w:rsidRPr="003A3768" w:rsidRDefault="00561B22" w:rsidP="00561B22">
      <w:pPr>
        <w:jc w:val="both"/>
        <w:rPr>
          <w:rFonts w:ascii="Arial" w:hAnsi="Arial" w:cs="Arial"/>
          <w:b/>
          <w:lang w:val="es-MX"/>
        </w:rPr>
      </w:pPr>
      <w:r w:rsidRPr="003A3768">
        <w:rPr>
          <w:rFonts w:ascii="Arial" w:hAnsi="Arial" w:cs="Arial"/>
          <w:b/>
          <w:sz w:val="28"/>
          <w:szCs w:val="28"/>
          <w:lang w:val="es-MX"/>
        </w:rPr>
        <w:t>115.- SERVICIO AÉREO A TERRITORIOS NACIONALES S.A.- SATENA S.A</w:t>
      </w:r>
    </w:p>
    <w:p w14:paraId="5CA272ED" w14:textId="77777777" w:rsidR="00561B22" w:rsidRDefault="00561B22" w:rsidP="00561B22">
      <w:pPr>
        <w:jc w:val="both"/>
        <w:rPr>
          <w:rFonts w:ascii="Arial" w:hAnsi="Arial" w:cs="Arial"/>
          <w:b/>
          <w:bCs/>
          <w:lang w:val="es-MX"/>
        </w:rPr>
      </w:pPr>
    </w:p>
    <w:p w14:paraId="5F1FE3E2" w14:textId="77777777" w:rsidR="00561B22" w:rsidRPr="003A3768" w:rsidRDefault="00561B22" w:rsidP="00561B22">
      <w:pPr>
        <w:pStyle w:val="Textoindependiente"/>
        <w:ind w:right="-50"/>
        <w:jc w:val="center"/>
        <w:rPr>
          <w:rFonts w:ascii="Arial" w:hAnsi="Arial" w:cs="Arial"/>
          <w:b/>
          <w:bCs/>
        </w:rPr>
      </w:pPr>
      <w:r w:rsidRPr="003A3768">
        <w:rPr>
          <w:rFonts w:ascii="Arial" w:hAnsi="Arial" w:cs="Arial"/>
          <w:b/>
          <w:bCs/>
        </w:rPr>
        <w:t>INFORME DE LA AUTOCALIFICACIÓN DEL SISTEMA DE CONTROL INTERNO CONTABLE:</w:t>
      </w:r>
    </w:p>
    <w:p w14:paraId="6576439E" w14:textId="77777777" w:rsidR="00561B22" w:rsidRPr="003A376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A3768" w14:paraId="3111E646" w14:textId="77777777" w:rsidTr="00F1223B">
        <w:tc>
          <w:tcPr>
            <w:tcW w:w="4981" w:type="dxa"/>
          </w:tcPr>
          <w:p w14:paraId="050D0188"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AUTOCALIFICACIÓN</w:t>
            </w:r>
          </w:p>
        </w:tc>
        <w:tc>
          <w:tcPr>
            <w:tcW w:w="4981" w:type="dxa"/>
          </w:tcPr>
          <w:p w14:paraId="5F007EEB" w14:textId="77777777" w:rsidR="00561B22" w:rsidRPr="003A3768" w:rsidRDefault="00561B22" w:rsidP="00F1223B">
            <w:pPr>
              <w:jc w:val="center"/>
              <w:rPr>
                <w:rFonts w:ascii="Arial" w:hAnsi="Arial" w:cs="Arial"/>
                <w:b/>
                <w:sz w:val="22"/>
                <w:szCs w:val="22"/>
                <w:u w:val="single"/>
                <w:lang w:val="es-MX"/>
              </w:rPr>
            </w:pPr>
            <w:r w:rsidRPr="003A3768">
              <w:rPr>
                <w:rFonts w:ascii="Arial" w:hAnsi="Arial" w:cs="Arial"/>
                <w:b/>
                <w:sz w:val="22"/>
                <w:szCs w:val="22"/>
                <w:u w:val="single"/>
                <w:lang w:val="es-MX"/>
              </w:rPr>
              <w:t>4.79</w:t>
            </w:r>
          </w:p>
        </w:tc>
      </w:tr>
    </w:tbl>
    <w:p w14:paraId="16BBCA4C" w14:textId="77777777" w:rsidR="00561B22" w:rsidRPr="003A3768" w:rsidRDefault="00561B22" w:rsidP="00561B22">
      <w:pPr>
        <w:pStyle w:val="Textoindependiente"/>
        <w:ind w:right="-50"/>
        <w:jc w:val="both"/>
        <w:rPr>
          <w:rFonts w:ascii="Arial" w:hAnsi="Arial" w:cs="Arial"/>
          <w:b/>
          <w:bCs/>
        </w:rPr>
      </w:pPr>
    </w:p>
    <w:p w14:paraId="3D4C884C" w14:textId="77777777" w:rsidR="00561B22" w:rsidRPr="003A3768" w:rsidRDefault="00561B22" w:rsidP="00561B22">
      <w:pPr>
        <w:pStyle w:val="Textoindependiente"/>
        <w:ind w:right="-50"/>
        <w:jc w:val="both"/>
        <w:rPr>
          <w:rFonts w:ascii="Arial" w:hAnsi="Arial" w:cs="Arial"/>
          <w:b/>
          <w:bCs/>
        </w:rPr>
      </w:pPr>
      <w:r w:rsidRPr="003A3768">
        <w:rPr>
          <w:rFonts w:ascii="Arial" w:hAnsi="Arial" w:cs="Arial"/>
          <w:b/>
          <w:bCs/>
        </w:rPr>
        <w:t>Del informe enviado retomamos lo siguiente:</w:t>
      </w:r>
    </w:p>
    <w:p w14:paraId="3C159869" w14:textId="77777777" w:rsidR="00561B22" w:rsidRPr="003A376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A3768" w14:paraId="121F4462" w14:textId="77777777" w:rsidTr="00F1223B">
        <w:tc>
          <w:tcPr>
            <w:tcW w:w="562" w:type="dxa"/>
          </w:tcPr>
          <w:p w14:paraId="2384D4F4" w14:textId="77777777" w:rsidR="00561B22" w:rsidRPr="003A3768" w:rsidRDefault="00561B22" w:rsidP="00F1223B">
            <w:pPr>
              <w:ind w:right="-109"/>
              <w:jc w:val="center"/>
              <w:rPr>
                <w:rFonts w:ascii="Arial" w:hAnsi="Arial" w:cs="Arial"/>
                <w:b/>
                <w:sz w:val="22"/>
                <w:szCs w:val="22"/>
                <w:lang w:val="es-MX"/>
              </w:rPr>
            </w:pPr>
            <w:r w:rsidRPr="003A3768">
              <w:rPr>
                <w:rFonts w:ascii="Arial" w:hAnsi="Arial" w:cs="Arial"/>
                <w:b/>
                <w:sz w:val="22"/>
                <w:szCs w:val="22"/>
                <w:lang w:val="es-MX"/>
              </w:rPr>
              <w:t>N°</w:t>
            </w:r>
          </w:p>
        </w:tc>
        <w:tc>
          <w:tcPr>
            <w:tcW w:w="9400" w:type="dxa"/>
          </w:tcPr>
          <w:p w14:paraId="39EA6231"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DEBILIDADES</w:t>
            </w:r>
          </w:p>
          <w:p w14:paraId="6FC5CB90" w14:textId="77777777" w:rsidR="00561B22" w:rsidRPr="003A3768" w:rsidRDefault="00561B22" w:rsidP="00F1223B">
            <w:pPr>
              <w:jc w:val="center"/>
              <w:rPr>
                <w:rFonts w:ascii="Arial" w:hAnsi="Arial" w:cs="Arial"/>
                <w:b/>
                <w:sz w:val="22"/>
                <w:szCs w:val="22"/>
                <w:lang w:val="es-MX"/>
              </w:rPr>
            </w:pPr>
          </w:p>
        </w:tc>
      </w:tr>
      <w:tr w:rsidR="00561B22" w:rsidRPr="003A3768" w14:paraId="03E41E1D" w14:textId="77777777" w:rsidTr="00F1223B">
        <w:tc>
          <w:tcPr>
            <w:tcW w:w="562" w:type="dxa"/>
          </w:tcPr>
          <w:p w14:paraId="548F1AD3"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1</w:t>
            </w:r>
          </w:p>
        </w:tc>
        <w:tc>
          <w:tcPr>
            <w:tcW w:w="9400" w:type="dxa"/>
          </w:tcPr>
          <w:p w14:paraId="1104E579" w14:textId="77777777" w:rsidR="00561B22" w:rsidRPr="003A3768" w:rsidRDefault="00561B22" w:rsidP="00F1223B">
            <w:pPr>
              <w:rPr>
                <w:rFonts w:ascii="Arial" w:hAnsi="Arial" w:cs="Arial"/>
                <w:sz w:val="22"/>
                <w:szCs w:val="22"/>
                <w:lang w:val="es-MX"/>
              </w:rPr>
            </w:pPr>
            <w:r w:rsidRPr="003A3768">
              <w:rPr>
                <w:rFonts w:ascii="Arial" w:hAnsi="Arial" w:cs="Arial"/>
                <w:sz w:val="22"/>
                <w:szCs w:val="22"/>
                <w:lang w:val="es-MX"/>
              </w:rPr>
              <w:t>No se cuenta con riesgos de índole contable.</w:t>
            </w:r>
          </w:p>
        </w:tc>
      </w:tr>
      <w:tr w:rsidR="00561B22" w:rsidRPr="003A3768" w14:paraId="225813D8" w14:textId="77777777" w:rsidTr="00F1223B">
        <w:tc>
          <w:tcPr>
            <w:tcW w:w="562" w:type="dxa"/>
          </w:tcPr>
          <w:p w14:paraId="6163F921"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2</w:t>
            </w:r>
          </w:p>
        </w:tc>
        <w:tc>
          <w:tcPr>
            <w:tcW w:w="9400" w:type="dxa"/>
          </w:tcPr>
          <w:p w14:paraId="5359427A" w14:textId="77777777" w:rsidR="00561B22" w:rsidRPr="003A3768" w:rsidRDefault="00561B22" w:rsidP="00F1223B">
            <w:pPr>
              <w:rPr>
                <w:rFonts w:ascii="Arial" w:hAnsi="Arial" w:cs="Arial"/>
                <w:sz w:val="22"/>
                <w:szCs w:val="22"/>
                <w:lang w:val="es-MX"/>
              </w:rPr>
            </w:pPr>
            <w:r w:rsidRPr="003A3768">
              <w:rPr>
                <w:rFonts w:ascii="Arial" w:hAnsi="Arial" w:cs="Arial"/>
                <w:sz w:val="22"/>
                <w:szCs w:val="22"/>
                <w:lang w:val="es-MX"/>
              </w:rPr>
              <w:t>La oferta de capacitación para el Área Contable de la Dirección Financiera fue de un curso para cuatro personas.</w:t>
            </w:r>
          </w:p>
        </w:tc>
      </w:tr>
    </w:tbl>
    <w:p w14:paraId="27FE10EC" w14:textId="77777777" w:rsidR="00561B22" w:rsidRPr="003A3768" w:rsidRDefault="00561B22" w:rsidP="00561B22">
      <w:pPr>
        <w:pStyle w:val="Textoindependiente"/>
        <w:ind w:right="-50"/>
        <w:jc w:val="both"/>
        <w:rPr>
          <w:rFonts w:ascii="Arial" w:hAnsi="Arial" w:cs="Arial"/>
          <w:b/>
          <w:bCs/>
        </w:rPr>
      </w:pPr>
    </w:p>
    <w:p w14:paraId="58DC0433" w14:textId="77777777" w:rsidR="00561B22" w:rsidRPr="003A3768" w:rsidRDefault="00561B22" w:rsidP="00561B22">
      <w:pPr>
        <w:jc w:val="both"/>
        <w:rPr>
          <w:rFonts w:ascii="Arial" w:hAnsi="Arial" w:cs="Arial"/>
          <w:b/>
          <w:lang w:val="es-MX"/>
        </w:rPr>
      </w:pPr>
      <w:r w:rsidRPr="003A3768">
        <w:rPr>
          <w:rFonts w:ascii="Arial" w:hAnsi="Arial" w:cs="Arial"/>
          <w:b/>
          <w:lang w:val="es-MX"/>
        </w:rPr>
        <w:t>Del citado informe retomamos las siguientes recomendaciones:</w:t>
      </w:r>
    </w:p>
    <w:p w14:paraId="0B9A09E6" w14:textId="77777777" w:rsidR="00561B22" w:rsidRPr="003A376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A3768" w14:paraId="758F294D" w14:textId="77777777" w:rsidTr="00F1223B">
        <w:tc>
          <w:tcPr>
            <w:tcW w:w="562" w:type="dxa"/>
          </w:tcPr>
          <w:p w14:paraId="2F7A6937" w14:textId="77777777" w:rsidR="00561B22" w:rsidRPr="003A3768" w:rsidRDefault="00561B22" w:rsidP="00F1223B">
            <w:pPr>
              <w:ind w:right="-109"/>
              <w:jc w:val="center"/>
              <w:rPr>
                <w:rFonts w:ascii="Arial" w:hAnsi="Arial" w:cs="Arial"/>
                <w:b/>
                <w:sz w:val="22"/>
                <w:szCs w:val="22"/>
                <w:lang w:val="es-MX"/>
              </w:rPr>
            </w:pPr>
            <w:r w:rsidRPr="003A3768">
              <w:rPr>
                <w:rFonts w:ascii="Arial" w:hAnsi="Arial" w:cs="Arial"/>
                <w:b/>
                <w:sz w:val="22"/>
                <w:szCs w:val="22"/>
                <w:lang w:val="es-MX"/>
              </w:rPr>
              <w:t>N°</w:t>
            </w:r>
          </w:p>
        </w:tc>
        <w:tc>
          <w:tcPr>
            <w:tcW w:w="9400" w:type="dxa"/>
          </w:tcPr>
          <w:p w14:paraId="0623205A"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RECOMENDACIONES</w:t>
            </w:r>
          </w:p>
          <w:p w14:paraId="0C9CC71C" w14:textId="77777777" w:rsidR="00561B22" w:rsidRPr="003A3768" w:rsidRDefault="00561B22" w:rsidP="00F1223B">
            <w:pPr>
              <w:jc w:val="center"/>
              <w:rPr>
                <w:rFonts w:ascii="Arial" w:hAnsi="Arial" w:cs="Arial"/>
                <w:b/>
                <w:sz w:val="22"/>
                <w:szCs w:val="22"/>
                <w:lang w:val="es-MX"/>
              </w:rPr>
            </w:pPr>
          </w:p>
        </w:tc>
      </w:tr>
      <w:tr w:rsidR="00561B22" w:rsidRPr="003A3768" w14:paraId="1D962AF9" w14:textId="77777777" w:rsidTr="00F1223B">
        <w:tc>
          <w:tcPr>
            <w:tcW w:w="562" w:type="dxa"/>
          </w:tcPr>
          <w:p w14:paraId="10306EA7"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1</w:t>
            </w:r>
          </w:p>
        </w:tc>
        <w:tc>
          <w:tcPr>
            <w:tcW w:w="9400" w:type="dxa"/>
          </w:tcPr>
          <w:p w14:paraId="2D11C3ED" w14:textId="77777777" w:rsidR="00561B22" w:rsidRPr="003A3768" w:rsidRDefault="00561B22" w:rsidP="00F1223B">
            <w:pPr>
              <w:rPr>
                <w:rFonts w:ascii="Arial" w:hAnsi="Arial" w:cs="Arial"/>
                <w:sz w:val="22"/>
                <w:szCs w:val="22"/>
                <w:lang w:val="es-MX"/>
              </w:rPr>
            </w:pPr>
            <w:r w:rsidRPr="003A3768">
              <w:rPr>
                <w:rFonts w:ascii="Arial" w:hAnsi="Arial" w:cs="Arial"/>
                <w:sz w:val="22"/>
                <w:szCs w:val="22"/>
                <w:lang w:val="es-MX"/>
              </w:rPr>
              <w:t>Proyectar con sus respectivas causas, controles, impacto y probabilidad riesgos de índole contable.</w:t>
            </w:r>
          </w:p>
        </w:tc>
      </w:tr>
      <w:tr w:rsidR="00561B22" w:rsidRPr="003A3768" w14:paraId="6EA21951" w14:textId="77777777" w:rsidTr="00F1223B">
        <w:tc>
          <w:tcPr>
            <w:tcW w:w="562" w:type="dxa"/>
          </w:tcPr>
          <w:p w14:paraId="24FB5E10"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2</w:t>
            </w:r>
          </w:p>
        </w:tc>
        <w:tc>
          <w:tcPr>
            <w:tcW w:w="9400" w:type="dxa"/>
          </w:tcPr>
          <w:p w14:paraId="5A5449DA" w14:textId="77777777" w:rsidR="00561B22" w:rsidRPr="003A3768" w:rsidRDefault="00561B22" w:rsidP="00F1223B">
            <w:pPr>
              <w:rPr>
                <w:rFonts w:ascii="Arial" w:hAnsi="Arial" w:cs="Arial"/>
                <w:sz w:val="22"/>
                <w:szCs w:val="22"/>
                <w:lang w:val="es-MX"/>
              </w:rPr>
            </w:pPr>
            <w:r w:rsidRPr="003A3768">
              <w:rPr>
                <w:rFonts w:ascii="Arial" w:hAnsi="Arial" w:cs="Arial"/>
                <w:sz w:val="22"/>
                <w:szCs w:val="22"/>
                <w:lang w:val="es-MX"/>
              </w:rPr>
              <w:t>Mejorar la oferta de capacitación para el Área Contable de la Dirección Financiera.</w:t>
            </w:r>
          </w:p>
        </w:tc>
      </w:tr>
      <w:tr w:rsidR="00561B22" w:rsidRPr="003A3768" w14:paraId="696F1EE1" w14:textId="77777777" w:rsidTr="00F1223B">
        <w:tc>
          <w:tcPr>
            <w:tcW w:w="562" w:type="dxa"/>
          </w:tcPr>
          <w:p w14:paraId="5BB2328F" w14:textId="77777777" w:rsidR="00561B22" w:rsidRPr="003A3768" w:rsidRDefault="00561B22" w:rsidP="00F1223B">
            <w:pPr>
              <w:jc w:val="center"/>
              <w:rPr>
                <w:rFonts w:ascii="Arial" w:hAnsi="Arial" w:cs="Arial"/>
                <w:b/>
                <w:sz w:val="22"/>
                <w:szCs w:val="22"/>
                <w:lang w:val="es-MX"/>
              </w:rPr>
            </w:pPr>
            <w:r w:rsidRPr="003A3768">
              <w:rPr>
                <w:rFonts w:ascii="Arial" w:hAnsi="Arial" w:cs="Arial"/>
                <w:b/>
                <w:sz w:val="22"/>
                <w:szCs w:val="22"/>
                <w:lang w:val="es-MX"/>
              </w:rPr>
              <w:t>3</w:t>
            </w:r>
          </w:p>
        </w:tc>
        <w:tc>
          <w:tcPr>
            <w:tcW w:w="9400" w:type="dxa"/>
          </w:tcPr>
          <w:p w14:paraId="5E4A74C9" w14:textId="77777777" w:rsidR="00561B22" w:rsidRPr="003A3768" w:rsidRDefault="00561B22" w:rsidP="00F1223B">
            <w:pPr>
              <w:rPr>
                <w:rFonts w:ascii="Arial" w:hAnsi="Arial" w:cs="Arial"/>
                <w:sz w:val="22"/>
                <w:szCs w:val="22"/>
                <w:lang w:val="es-MX"/>
              </w:rPr>
            </w:pPr>
            <w:r w:rsidRPr="003A3768">
              <w:rPr>
                <w:rFonts w:ascii="Arial" w:hAnsi="Arial" w:cs="Arial"/>
                <w:sz w:val="22"/>
                <w:szCs w:val="22"/>
                <w:lang w:val="es-MX"/>
              </w:rPr>
              <w:t>Mantener una constante depuración y conciliación de las cuentas contables de la Compañía.</w:t>
            </w:r>
          </w:p>
        </w:tc>
      </w:tr>
    </w:tbl>
    <w:p w14:paraId="6700921A" w14:textId="77777777" w:rsidR="00561B22" w:rsidRPr="003A3768" w:rsidRDefault="00561B22" w:rsidP="00561B22">
      <w:pPr>
        <w:pStyle w:val="Textoindependiente"/>
        <w:ind w:right="-50"/>
        <w:jc w:val="both"/>
        <w:rPr>
          <w:rFonts w:ascii="Arial" w:hAnsi="Arial" w:cs="Arial"/>
          <w:b/>
          <w:bCs/>
        </w:rPr>
      </w:pPr>
    </w:p>
    <w:p w14:paraId="1BF1CCA9" w14:textId="77777777" w:rsidR="00561B22" w:rsidRPr="003A3768" w:rsidRDefault="00561B22" w:rsidP="00561B22">
      <w:pPr>
        <w:jc w:val="both"/>
        <w:rPr>
          <w:rFonts w:ascii="Arial" w:hAnsi="Arial" w:cs="Arial"/>
          <w:b/>
          <w:bCs/>
          <w:sz w:val="24"/>
          <w:szCs w:val="24"/>
          <w:lang w:val="es-CO"/>
        </w:rPr>
      </w:pPr>
      <w:r w:rsidRPr="003A3768">
        <w:rPr>
          <w:rFonts w:ascii="Arial" w:hAnsi="Arial" w:cs="Arial"/>
          <w:b/>
          <w:bCs/>
          <w:sz w:val="24"/>
          <w:szCs w:val="24"/>
          <w:lang w:val="es-CO"/>
        </w:rPr>
        <w:t xml:space="preserve">NOTA: LA ENTIDAD ENVIA LA MATRIZ DE AUTOEVALUACIÓN DEL SISTEMA DE CONTROL INTERNO CONTABLE CON </w:t>
      </w:r>
      <w:r w:rsidRPr="003A3768">
        <w:rPr>
          <w:rFonts w:ascii="Arial" w:hAnsi="Arial" w:cs="Arial"/>
          <w:b/>
          <w:bCs/>
          <w:sz w:val="24"/>
          <w:szCs w:val="24"/>
          <w:u w:val="single"/>
          <w:lang w:val="es-CO"/>
        </w:rPr>
        <w:t>ACTIVIDADES DE CONTROL REALIZADAS EN FORMA PARCIAL</w:t>
      </w:r>
      <w:r w:rsidRPr="003A3768">
        <w:rPr>
          <w:rFonts w:ascii="Arial" w:hAnsi="Arial" w:cs="Arial"/>
          <w:b/>
          <w:bCs/>
          <w:sz w:val="24"/>
          <w:szCs w:val="24"/>
          <w:lang w:val="es-CO"/>
        </w:rPr>
        <w:t>.</w:t>
      </w:r>
    </w:p>
    <w:p w14:paraId="26452160" w14:textId="77777777" w:rsidR="00561B22" w:rsidRPr="003A3768" w:rsidRDefault="00561B22" w:rsidP="00561B22">
      <w:pPr>
        <w:jc w:val="both"/>
        <w:rPr>
          <w:rFonts w:ascii="Arial" w:hAnsi="Arial" w:cs="Arial"/>
          <w:sz w:val="28"/>
          <w:szCs w:val="28"/>
        </w:rPr>
      </w:pPr>
    </w:p>
    <w:p w14:paraId="451E1945" w14:textId="77777777" w:rsidR="00561B22" w:rsidRDefault="00561B22" w:rsidP="00561B22">
      <w:pPr>
        <w:jc w:val="both"/>
        <w:rPr>
          <w:rFonts w:ascii="Arial" w:hAnsi="Arial" w:cs="Arial"/>
          <w:b/>
          <w:sz w:val="28"/>
          <w:szCs w:val="28"/>
          <w:lang w:val="es-MX"/>
        </w:rPr>
      </w:pPr>
      <w:r w:rsidRPr="00253163">
        <w:rPr>
          <w:rFonts w:ascii="Arial" w:hAnsi="Arial" w:cs="Arial"/>
          <w:b/>
          <w:sz w:val="28"/>
          <w:szCs w:val="28"/>
          <w:lang w:val="es-MX"/>
        </w:rPr>
        <w:t>116.- ESCUELA SUPERIOR DE ADMINISTRACIÓN PÚBLICA - ESAP.</w:t>
      </w:r>
    </w:p>
    <w:p w14:paraId="2EBC4B27" w14:textId="77777777" w:rsidR="00561B22" w:rsidRPr="00253163" w:rsidRDefault="00561B22" w:rsidP="00561B22">
      <w:pPr>
        <w:jc w:val="both"/>
        <w:rPr>
          <w:rFonts w:ascii="Arial" w:hAnsi="Arial" w:cs="Arial"/>
          <w:b/>
          <w:sz w:val="28"/>
          <w:szCs w:val="28"/>
          <w:lang w:val="es-MX"/>
        </w:rPr>
      </w:pPr>
    </w:p>
    <w:p w14:paraId="089BDDE7" w14:textId="77777777" w:rsidR="00561B22" w:rsidRPr="00253163" w:rsidRDefault="00561B22" w:rsidP="00561B22">
      <w:pPr>
        <w:pStyle w:val="Textoindependiente"/>
        <w:ind w:right="-50"/>
        <w:jc w:val="center"/>
        <w:rPr>
          <w:rFonts w:ascii="Arial" w:hAnsi="Arial" w:cs="Arial"/>
          <w:b/>
          <w:bCs/>
        </w:rPr>
      </w:pPr>
      <w:r w:rsidRPr="00253163">
        <w:rPr>
          <w:rFonts w:ascii="Arial" w:hAnsi="Arial" w:cs="Arial"/>
          <w:b/>
          <w:bCs/>
        </w:rPr>
        <w:t>INFORME DE LA AUTOCALIFICACIÓN DEL SISTEMA DE CONTROL INTERNO CONTABLE:</w:t>
      </w:r>
    </w:p>
    <w:p w14:paraId="5E9CAC60" w14:textId="77777777" w:rsidR="00561B22" w:rsidRPr="002531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53163" w14:paraId="1CA5583D" w14:textId="77777777" w:rsidTr="00F1223B">
        <w:tc>
          <w:tcPr>
            <w:tcW w:w="4981" w:type="dxa"/>
          </w:tcPr>
          <w:p w14:paraId="3B8DC753"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AUTOCALIFICACIÓN</w:t>
            </w:r>
          </w:p>
        </w:tc>
        <w:tc>
          <w:tcPr>
            <w:tcW w:w="4981" w:type="dxa"/>
          </w:tcPr>
          <w:p w14:paraId="49249CEF" w14:textId="77777777" w:rsidR="00561B22" w:rsidRPr="00253163" w:rsidRDefault="00561B22" w:rsidP="00F1223B">
            <w:pPr>
              <w:jc w:val="center"/>
              <w:rPr>
                <w:rFonts w:ascii="Arial" w:hAnsi="Arial" w:cs="Arial"/>
                <w:b/>
                <w:sz w:val="22"/>
                <w:szCs w:val="22"/>
                <w:u w:val="single"/>
                <w:lang w:val="es-MX"/>
              </w:rPr>
            </w:pPr>
            <w:r w:rsidRPr="00253163">
              <w:rPr>
                <w:rFonts w:ascii="Arial" w:hAnsi="Arial" w:cs="Arial"/>
                <w:b/>
                <w:sz w:val="22"/>
                <w:szCs w:val="22"/>
                <w:u w:val="single"/>
                <w:lang w:val="es-MX"/>
              </w:rPr>
              <w:t>4.98</w:t>
            </w:r>
          </w:p>
        </w:tc>
      </w:tr>
    </w:tbl>
    <w:p w14:paraId="0E36E6B8" w14:textId="77777777" w:rsidR="00561B22" w:rsidRPr="00253163" w:rsidRDefault="00561B22" w:rsidP="00561B22">
      <w:pPr>
        <w:pStyle w:val="Textoindependiente"/>
        <w:ind w:right="-50"/>
        <w:jc w:val="both"/>
        <w:rPr>
          <w:rFonts w:ascii="Arial" w:hAnsi="Arial" w:cs="Arial"/>
          <w:b/>
          <w:bCs/>
        </w:rPr>
      </w:pPr>
    </w:p>
    <w:p w14:paraId="6B3DCA0D" w14:textId="77777777" w:rsidR="00561B22" w:rsidRPr="00253163" w:rsidRDefault="00561B22" w:rsidP="00561B22">
      <w:pPr>
        <w:pStyle w:val="Textoindependiente"/>
        <w:ind w:right="-50"/>
        <w:jc w:val="both"/>
        <w:rPr>
          <w:rFonts w:ascii="Arial" w:hAnsi="Arial" w:cs="Arial"/>
          <w:b/>
          <w:bCs/>
        </w:rPr>
      </w:pPr>
      <w:r w:rsidRPr="00253163">
        <w:rPr>
          <w:rFonts w:ascii="Arial" w:hAnsi="Arial" w:cs="Arial"/>
          <w:b/>
          <w:bCs/>
        </w:rPr>
        <w:t>Del informe enviado retomamos lo siguiente:</w:t>
      </w:r>
    </w:p>
    <w:p w14:paraId="3C7D512E" w14:textId="77777777" w:rsidR="00561B22" w:rsidRPr="002531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53163" w14:paraId="73D43EF0" w14:textId="77777777" w:rsidTr="00F1223B">
        <w:tc>
          <w:tcPr>
            <w:tcW w:w="562" w:type="dxa"/>
          </w:tcPr>
          <w:p w14:paraId="2EA02050" w14:textId="77777777" w:rsidR="00561B22" w:rsidRPr="00253163" w:rsidRDefault="00561B22" w:rsidP="00F1223B">
            <w:pPr>
              <w:ind w:right="-109"/>
              <w:jc w:val="center"/>
              <w:rPr>
                <w:rFonts w:ascii="Arial" w:hAnsi="Arial" w:cs="Arial"/>
                <w:b/>
                <w:sz w:val="22"/>
                <w:szCs w:val="22"/>
                <w:lang w:val="es-MX"/>
              </w:rPr>
            </w:pPr>
            <w:r w:rsidRPr="00253163">
              <w:rPr>
                <w:rFonts w:ascii="Arial" w:hAnsi="Arial" w:cs="Arial"/>
                <w:b/>
                <w:sz w:val="22"/>
                <w:szCs w:val="22"/>
                <w:lang w:val="es-MX"/>
              </w:rPr>
              <w:t>N°</w:t>
            </w:r>
          </w:p>
        </w:tc>
        <w:tc>
          <w:tcPr>
            <w:tcW w:w="9400" w:type="dxa"/>
          </w:tcPr>
          <w:p w14:paraId="5004654B"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DEBILIDADES</w:t>
            </w:r>
          </w:p>
          <w:p w14:paraId="53AECBFB" w14:textId="77777777" w:rsidR="00561B22" w:rsidRPr="00253163" w:rsidRDefault="00561B22" w:rsidP="00F1223B">
            <w:pPr>
              <w:jc w:val="center"/>
              <w:rPr>
                <w:rFonts w:ascii="Arial" w:hAnsi="Arial" w:cs="Arial"/>
                <w:b/>
                <w:sz w:val="22"/>
                <w:szCs w:val="22"/>
                <w:lang w:val="es-MX"/>
              </w:rPr>
            </w:pPr>
          </w:p>
        </w:tc>
      </w:tr>
      <w:tr w:rsidR="00561B22" w:rsidRPr="00253163" w14:paraId="3AF521B8" w14:textId="77777777" w:rsidTr="00F1223B">
        <w:tc>
          <w:tcPr>
            <w:tcW w:w="562" w:type="dxa"/>
          </w:tcPr>
          <w:p w14:paraId="307F6677"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1</w:t>
            </w:r>
          </w:p>
        </w:tc>
        <w:tc>
          <w:tcPr>
            <w:tcW w:w="9400" w:type="dxa"/>
          </w:tcPr>
          <w:p w14:paraId="228A9EA7" w14:textId="77777777" w:rsidR="00561B22" w:rsidRPr="00253163" w:rsidRDefault="00561B22" w:rsidP="00F1223B">
            <w:pPr>
              <w:jc w:val="both"/>
              <w:rPr>
                <w:rFonts w:ascii="Arial" w:hAnsi="Arial" w:cs="Arial"/>
                <w:sz w:val="22"/>
                <w:szCs w:val="22"/>
                <w:lang w:val="es-MX"/>
              </w:rPr>
            </w:pPr>
            <w:r w:rsidRPr="00253163">
              <w:rPr>
                <w:rFonts w:ascii="Arial" w:hAnsi="Arial" w:cs="Arial"/>
                <w:sz w:val="22"/>
                <w:szCs w:val="22"/>
                <w:lang w:val="es-MX"/>
              </w:rPr>
              <w:t>El sistema integrado de información financiera SIIF Nación II, no integra todos los procesos de la entidad.</w:t>
            </w:r>
          </w:p>
        </w:tc>
      </w:tr>
    </w:tbl>
    <w:p w14:paraId="691B5A65" w14:textId="77777777" w:rsidR="00561B22" w:rsidRPr="00253163" w:rsidRDefault="00561B22" w:rsidP="00561B22">
      <w:pPr>
        <w:pStyle w:val="Textoindependiente"/>
        <w:ind w:right="-50"/>
        <w:jc w:val="both"/>
        <w:rPr>
          <w:rFonts w:ascii="Arial" w:hAnsi="Arial" w:cs="Arial"/>
          <w:b/>
          <w:bCs/>
        </w:rPr>
      </w:pPr>
    </w:p>
    <w:p w14:paraId="5967CAA1" w14:textId="77777777" w:rsidR="00561B22" w:rsidRPr="00253163" w:rsidRDefault="00561B22" w:rsidP="00561B22">
      <w:pPr>
        <w:jc w:val="both"/>
        <w:rPr>
          <w:rFonts w:ascii="Arial" w:hAnsi="Arial" w:cs="Arial"/>
          <w:b/>
          <w:lang w:val="es-MX"/>
        </w:rPr>
      </w:pPr>
      <w:r w:rsidRPr="00253163">
        <w:rPr>
          <w:rFonts w:ascii="Arial" w:hAnsi="Arial" w:cs="Arial"/>
          <w:b/>
          <w:lang w:val="es-MX"/>
        </w:rPr>
        <w:t>Del citado informe retomamos las siguientes recomendaciones:</w:t>
      </w:r>
    </w:p>
    <w:p w14:paraId="7DD55894" w14:textId="77777777" w:rsidR="00561B22" w:rsidRPr="002531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53163" w14:paraId="7CC34AB2" w14:textId="77777777" w:rsidTr="00F1223B">
        <w:tc>
          <w:tcPr>
            <w:tcW w:w="562" w:type="dxa"/>
          </w:tcPr>
          <w:p w14:paraId="7CB41AA6" w14:textId="77777777" w:rsidR="00561B22" w:rsidRPr="00253163" w:rsidRDefault="00561B22" w:rsidP="00F1223B">
            <w:pPr>
              <w:ind w:right="-109"/>
              <w:jc w:val="center"/>
              <w:rPr>
                <w:rFonts w:ascii="Arial" w:hAnsi="Arial" w:cs="Arial"/>
                <w:b/>
                <w:sz w:val="22"/>
                <w:szCs w:val="22"/>
                <w:lang w:val="es-MX"/>
              </w:rPr>
            </w:pPr>
            <w:r w:rsidRPr="00253163">
              <w:rPr>
                <w:rFonts w:ascii="Arial" w:hAnsi="Arial" w:cs="Arial"/>
                <w:b/>
                <w:sz w:val="22"/>
                <w:szCs w:val="22"/>
                <w:lang w:val="es-MX"/>
              </w:rPr>
              <w:t>N°</w:t>
            </w:r>
          </w:p>
        </w:tc>
        <w:tc>
          <w:tcPr>
            <w:tcW w:w="9400" w:type="dxa"/>
          </w:tcPr>
          <w:p w14:paraId="246F604C" w14:textId="77777777" w:rsidR="00561B22" w:rsidRPr="00253163" w:rsidRDefault="00561B22" w:rsidP="00F1223B">
            <w:pPr>
              <w:tabs>
                <w:tab w:val="center" w:pos="4592"/>
                <w:tab w:val="left" w:pos="6486"/>
              </w:tabs>
              <w:rPr>
                <w:rFonts w:ascii="Arial" w:hAnsi="Arial" w:cs="Arial"/>
                <w:b/>
                <w:sz w:val="22"/>
                <w:szCs w:val="22"/>
                <w:lang w:val="es-MX"/>
              </w:rPr>
            </w:pPr>
            <w:r w:rsidRPr="00253163">
              <w:rPr>
                <w:rFonts w:ascii="Arial" w:hAnsi="Arial" w:cs="Arial"/>
                <w:b/>
                <w:sz w:val="22"/>
                <w:szCs w:val="22"/>
                <w:lang w:val="es-MX"/>
              </w:rPr>
              <w:tab/>
              <w:t>RECOMENDACIONES</w:t>
            </w:r>
            <w:r w:rsidRPr="00253163">
              <w:rPr>
                <w:rFonts w:ascii="Arial" w:hAnsi="Arial" w:cs="Arial"/>
                <w:b/>
                <w:sz w:val="22"/>
                <w:szCs w:val="22"/>
                <w:lang w:val="es-MX"/>
              </w:rPr>
              <w:tab/>
            </w:r>
          </w:p>
          <w:p w14:paraId="5FCDFF2D" w14:textId="77777777" w:rsidR="00561B22" w:rsidRPr="00253163" w:rsidRDefault="00561B22" w:rsidP="00F1223B">
            <w:pPr>
              <w:jc w:val="center"/>
              <w:rPr>
                <w:rFonts w:ascii="Arial" w:hAnsi="Arial" w:cs="Arial"/>
                <w:b/>
                <w:sz w:val="22"/>
                <w:szCs w:val="22"/>
                <w:lang w:val="es-MX"/>
              </w:rPr>
            </w:pPr>
          </w:p>
        </w:tc>
      </w:tr>
      <w:tr w:rsidR="00561B22" w:rsidRPr="00253163" w14:paraId="7F829D74" w14:textId="77777777" w:rsidTr="00F1223B">
        <w:tc>
          <w:tcPr>
            <w:tcW w:w="562" w:type="dxa"/>
          </w:tcPr>
          <w:p w14:paraId="6B157756"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1</w:t>
            </w:r>
          </w:p>
        </w:tc>
        <w:tc>
          <w:tcPr>
            <w:tcW w:w="9400" w:type="dxa"/>
          </w:tcPr>
          <w:p w14:paraId="31901501" w14:textId="77777777" w:rsidR="00561B22" w:rsidRPr="00253163" w:rsidRDefault="00561B22" w:rsidP="00F1223B">
            <w:pPr>
              <w:jc w:val="both"/>
              <w:rPr>
                <w:rFonts w:ascii="Arial" w:hAnsi="Arial" w:cs="Arial"/>
                <w:sz w:val="22"/>
                <w:szCs w:val="22"/>
                <w:lang w:val="es-MX"/>
              </w:rPr>
            </w:pPr>
            <w:r w:rsidRPr="00253163">
              <w:rPr>
                <w:rFonts w:ascii="Arial" w:hAnsi="Arial" w:cs="Arial"/>
                <w:sz w:val="22"/>
                <w:szCs w:val="22"/>
                <w:lang w:val="es-MX"/>
              </w:rPr>
              <w:t>Impulsar la implementación de campañas de sensibilización del autocontrol y de las herramientas como las políticas para su buen uso y mitigación de los riesgos.</w:t>
            </w:r>
          </w:p>
        </w:tc>
      </w:tr>
      <w:tr w:rsidR="00561B22" w:rsidRPr="00253163" w14:paraId="0A9F577B" w14:textId="77777777" w:rsidTr="00F1223B">
        <w:tc>
          <w:tcPr>
            <w:tcW w:w="562" w:type="dxa"/>
          </w:tcPr>
          <w:p w14:paraId="50DF6007"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2</w:t>
            </w:r>
          </w:p>
        </w:tc>
        <w:tc>
          <w:tcPr>
            <w:tcW w:w="9400" w:type="dxa"/>
          </w:tcPr>
          <w:p w14:paraId="2473D42C" w14:textId="77777777" w:rsidR="00561B22" w:rsidRPr="00253163" w:rsidRDefault="00561B22" w:rsidP="00F1223B">
            <w:pPr>
              <w:jc w:val="both"/>
              <w:rPr>
                <w:rFonts w:ascii="Arial" w:hAnsi="Arial" w:cs="Arial"/>
                <w:sz w:val="22"/>
                <w:szCs w:val="22"/>
                <w:lang w:val="es-MX"/>
              </w:rPr>
            </w:pPr>
            <w:r w:rsidRPr="00253163">
              <w:rPr>
                <w:rFonts w:ascii="Arial" w:hAnsi="Arial" w:cs="Arial"/>
                <w:sz w:val="22"/>
                <w:szCs w:val="22"/>
                <w:lang w:val="es-MX"/>
              </w:rPr>
              <w:t>Es necesario implementar mecanismos más efectivos de monitoreo de los riesgos de corrupción, promoviendo una cultura organizacional basada en la ética y la transparencia. Igualmente, la identificación y administración de los riesgos fiscales de la ESAP.</w:t>
            </w:r>
          </w:p>
        </w:tc>
      </w:tr>
      <w:tr w:rsidR="00561B22" w:rsidRPr="00253163" w14:paraId="68857E99" w14:textId="77777777" w:rsidTr="00F1223B">
        <w:tc>
          <w:tcPr>
            <w:tcW w:w="562" w:type="dxa"/>
          </w:tcPr>
          <w:p w14:paraId="1DEBC5B4"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3</w:t>
            </w:r>
          </w:p>
        </w:tc>
        <w:tc>
          <w:tcPr>
            <w:tcW w:w="9400" w:type="dxa"/>
          </w:tcPr>
          <w:p w14:paraId="790C50D2" w14:textId="77777777" w:rsidR="00561B22" w:rsidRPr="00253163" w:rsidRDefault="00561B22" w:rsidP="00F1223B">
            <w:pPr>
              <w:jc w:val="both"/>
              <w:rPr>
                <w:rFonts w:ascii="Arial" w:hAnsi="Arial" w:cs="Arial"/>
                <w:sz w:val="22"/>
                <w:szCs w:val="22"/>
                <w:lang w:val="es-MX"/>
              </w:rPr>
            </w:pPr>
            <w:r w:rsidRPr="00253163">
              <w:rPr>
                <w:rFonts w:ascii="Arial" w:hAnsi="Arial" w:cs="Arial"/>
                <w:sz w:val="22"/>
                <w:szCs w:val="22"/>
                <w:lang w:val="es-MX"/>
              </w:rPr>
              <w:t>Asegurar el análisis oportuno de los riesgos por parte de la alta dirección, para lo cual, es fundamental que esta utilice de manera más efectiva los informes de riesgos consolidados, garantizando una toma de decisiones informada y oportuna frente a la materialización de riesgos. Se recomienda crear un procedimiento para el reporte de materialización de riesgos de los procesos para que la segunda línea de defensa pueda hacer el seguimiento para la mitigación del riesgo.</w:t>
            </w:r>
          </w:p>
        </w:tc>
      </w:tr>
      <w:tr w:rsidR="00561B22" w:rsidRPr="00253163" w14:paraId="56326530" w14:textId="77777777" w:rsidTr="00F1223B">
        <w:tc>
          <w:tcPr>
            <w:tcW w:w="562" w:type="dxa"/>
          </w:tcPr>
          <w:p w14:paraId="6456AC97" w14:textId="77777777" w:rsidR="00561B22" w:rsidRPr="00253163" w:rsidRDefault="00561B22" w:rsidP="00F1223B">
            <w:pPr>
              <w:jc w:val="center"/>
              <w:rPr>
                <w:rFonts w:ascii="Arial" w:hAnsi="Arial" w:cs="Arial"/>
                <w:b/>
                <w:sz w:val="22"/>
                <w:szCs w:val="22"/>
                <w:lang w:val="es-MX"/>
              </w:rPr>
            </w:pPr>
            <w:r w:rsidRPr="00253163">
              <w:rPr>
                <w:rFonts w:ascii="Arial" w:hAnsi="Arial" w:cs="Arial"/>
                <w:b/>
                <w:sz w:val="22"/>
                <w:szCs w:val="22"/>
                <w:lang w:val="es-MX"/>
              </w:rPr>
              <w:t>4</w:t>
            </w:r>
          </w:p>
        </w:tc>
        <w:tc>
          <w:tcPr>
            <w:tcW w:w="9400" w:type="dxa"/>
          </w:tcPr>
          <w:p w14:paraId="6C28041B" w14:textId="77777777" w:rsidR="00561B22" w:rsidRPr="00253163" w:rsidRDefault="00561B22" w:rsidP="00F1223B">
            <w:pPr>
              <w:jc w:val="both"/>
              <w:rPr>
                <w:rFonts w:ascii="Arial" w:hAnsi="Arial" w:cs="Arial"/>
                <w:sz w:val="22"/>
                <w:szCs w:val="22"/>
                <w:lang w:val="es-MX"/>
              </w:rPr>
            </w:pPr>
            <w:r w:rsidRPr="00253163">
              <w:rPr>
                <w:rFonts w:ascii="Arial" w:hAnsi="Arial" w:cs="Arial"/>
                <w:sz w:val="22"/>
                <w:szCs w:val="22"/>
                <w:lang w:val="es-MX"/>
              </w:rPr>
              <w:t>Continuar fortaleciendo la cultura del control interno desarrollando estrategias de sensibilización y formación dirigidas a todos los niveles organizacionales, promoviendo una mayor apropiación del SCI y su integración con la gestión institucional.</w:t>
            </w:r>
          </w:p>
        </w:tc>
      </w:tr>
    </w:tbl>
    <w:p w14:paraId="6660B322" w14:textId="77777777" w:rsidR="00561B22" w:rsidRPr="00253163" w:rsidRDefault="00561B22" w:rsidP="00561B22">
      <w:pPr>
        <w:jc w:val="both"/>
        <w:rPr>
          <w:rFonts w:ascii="Arial" w:hAnsi="Arial" w:cs="Arial"/>
          <w:b/>
          <w:bCs/>
          <w:sz w:val="24"/>
          <w:szCs w:val="24"/>
          <w:lang w:val="es-CO"/>
        </w:rPr>
      </w:pPr>
    </w:p>
    <w:p w14:paraId="26C5113F" w14:textId="77777777" w:rsidR="00561B22" w:rsidRPr="00253163" w:rsidRDefault="00561B22" w:rsidP="00561B22">
      <w:pPr>
        <w:jc w:val="both"/>
        <w:rPr>
          <w:rFonts w:ascii="Arial" w:hAnsi="Arial" w:cs="Arial"/>
          <w:b/>
          <w:bCs/>
          <w:sz w:val="24"/>
          <w:szCs w:val="24"/>
          <w:lang w:val="es-CO"/>
        </w:rPr>
      </w:pPr>
      <w:r w:rsidRPr="00253163">
        <w:rPr>
          <w:rFonts w:ascii="Arial" w:hAnsi="Arial" w:cs="Arial"/>
          <w:b/>
          <w:bCs/>
          <w:sz w:val="24"/>
          <w:szCs w:val="24"/>
          <w:lang w:val="es-CO"/>
        </w:rPr>
        <w:t xml:space="preserve">NOTA: LA ENTIDAD ENVIA LA MATRIZ DE AUTOEVALUACIÓN DEL SISTEMA DE CONTROL INTERNO CONTABLE CON </w:t>
      </w:r>
      <w:r w:rsidRPr="00253163">
        <w:rPr>
          <w:rFonts w:ascii="Arial" w:hAnsi="Arial" w:cs="Arial"/>
          <w:b/>
          <w:bCs/>
          <w:sz w:val="24"/>
          <w:szCs w:val="24"/>
          <w:u w:val="single"/>
          <w:lang w:val="es-CO"/>
        </w:rPr>
        <w:t>ACTIVIDADES DE CONTROL REALIZADAS EN FORMA PARCIAL</w:t>
      </w:r>
      <w:r w:rsidRPr="00253163">
        <w:rPr>
          <w:rFonts w:ascii="Arial" w:hAnsi="Arial" w:cs="Arial"/>
          <w:b/>
          <w:bCs/>
          <w:sz w:val="24"/>
          <w:szCs w:val="24"/>
          <w:lang w:val="es-CO"/>
        </w:rPr>
        <w:t>.</w:t>
      </w:r>
    </w:p>
    <w:p w14:paraId="713354F5" w14:textId="77777777" w:rsidR="00561B22" w:rsidRDefault="00561B22" w:rsidP="00561B22">
      <w:pPr>
        <w:jc w:val="both"/>
        <w:rPr>
          <w:rFonts w:ascii="Arial" w:hAnsi="Arial" w:cs="Arial"/>
          <w:b/>
          <w:bCs/>
          <w:sz w:val="28"/>
          <w:szCs w:val="28"/>
          <w:lang w:val="es-MX"/>
        </w:rPr>
      </w:pPr>
    </w:p>
    <w:p w14:paraId="594F2840" w14:textId="77777777" w:rsidR="00561B22" w:rsidRPr="009F3F1A" w:rsidRDefault="00561B22" w:rsidP="00561B22">
      <w:pPr>
        <w:jc w:val="both"/>
        <w:rPr>
          <w:rFonts w:ascii="Arial" w:hAnsi="Arial" w:cs="Arial"/>
          <w:b/>
          <w:sz w:val="28"/>
          <w:szCs w:val="28"/>
          <w:lang w:val="es-MX"/>
        </w:rPr>
      </w:pPr>
      <w:r w:rsidRPr="009F3F1A">
        <w:rPr>
          <w:rFonts w:ascii="Arial" w:hAnsi="Arial" w:cs="Arial"/>
          <w:b/>
          <w:sz w:val="28"/>
          <w:szCs w:val="28"/>
        </w:rPr>
        <w:t>117.- FONDO ROTATORIO DE LA POLICÍA NACIONAL</w:t>
      </w:r>
      <w:r w:rsidRPr="009F3F1A">
        <w:rPr>
          <w:rFonts w:ascii="Arial" w:hAnsi="Arial" w:cs="Arial"/>
          <w:b/>
          <w:sz w:val="28"/>
          <w:szCs w:val="28"/>
          <w:lang w:val="es-MX"/>
        </w:rPr>
        <w:t xml:space="preserve">. </w:t>
      </w:r>
    </w:p>
    <w:p w14:paraId="4CC7F2CB" w14:textId="77777777" w:rsidR="00561B22" w:rsidRDefault="00561B22" w:rsidP="00561B22">
      <w:pPr>
        <w:jc w:val="both"/>
        <w:rPr>
          <w:rFonts w:ascii="Arial" w:hAnsi="Arial" w:cs="Arial"/>
          <w:b/>
          <w:bCs/>
          <w:sz w:val="28"/>
          <w:szCs w:val="28"/>
          <w:lang w:val="es-MX"/>
        </w:rPr>
      </w:pPr>
    </w:p>
    <w:p w14:paraId="2DBA43E4" w14:textId="77777777" w:rsidR="00561B22" w:rsidRPr="009F3F1A" w:rsidRDefault="00561B22" w:rsidP="00561B22">
      <w:pPr>
        <w:pStyle w:val="Textoindependiente"/>
        <w:ind w:right="-50"/>
        <w:jc w:val="center"/>
        <w:rPr>
          <w:rFonts w:ascii="Arial" w:hAnsi="Arial" w:cs="Arial"/>
          <w:b/>
          <w:bCs/>
        </w:rPr>
      </w:pPr>
      <w:r w:rsidRPr="009F3F1A">
        <w:rPr>
          <w:rFonts w:ascii="Arial" w:hAnsi="Arial" w:cs="Arial"/>
          <w:b/>
          <w:bCs/>
        </w:rPr>
        <w:t>INFORME DE LA AUTOCALIFICACIÓN DEL SISTEMA DE CONTROL INTERNO CONTABLE:</w:t>
      </w:r>
    </w:p>
    <w:p w14:paraId="5DCB5C1D" w14:textId="77777777" w:rsidR="00561B22" w:rsidRPr="009F3F1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F3F1A" w14:paraId="307E7F28" w14:textId="77777777" w:rsidTr="00F1223B">
        <w:tc>
          <w:tcPr>
            <w:tcW w:w="4981" w:type="dxa"/>
          </w:tcPr>
          <w:p w14:paraId="5D99C004"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AUTOCALIFICACIÓN</w:t>
            </w:r>
          </w:p>
        </w:tc>
        <w:tc>
          <w:tcPr>
            <w:tcW w:w="4981" w:type="dxa"/>
          </w:tcPr>
          <w:p w14:paraId="6E68407A" w14:textId="77777777" w:rsidR="00561B22" w:rsidRPr="009F3F1A" w:rsidRDefault="00561B22" w:rsidP="00F1223B">
            <w:pPr>
              <w:jc w:val="center"/>
              <w:rPr>
                <w:rFonts w:ascii="Arial" w:hAnsi="Arial" w:cs="Arial"/>
                <w:b/>
                <w:sz w:val="22"/>
                <w:szCs w:val="22"/>
                <w:u w:val="single"/>
                <w:lang w:val="es-MX"/>
              </w:rPr>
            </w:pPr>
            <w:r w:rsidRPr="009F3F1A">
              <w:rPr>
                <w:rFonts w:ascii="Arial" w:hAnsi="Arial" w:cs="Arial"/>
                <w:b/>
                <w:sz w:val="22"/>
                <w:szCs w:val="22"/>
                <w:u w:val="single"/>
                <w:lang w:val="es-MX"/>
              </w:rPr>
              <w:t>4.73</w:t>
            </w:r>
          </w:p>
        </w:tc>
      </w:tr>
    </w:tbl>
    <w:p w14:paraId="7FE0FEAA" w14:textId="77777777" w:rsidR="00561B22" w:rsidRPr="009F3F1A" w:rsidRDefault="00561B22" w:rsidP="00561B22">
      <w:pPr>
        <w:pStyle w:val="Textoindependiente"/>
        <w:ind w:right="-50"/>
        <w:jc w:val="both"/>
        <w:rPr>
          <w:rFonts w:ascii="Arial" w:hAnsi="Arial" w:cs="Arial"/>
          <w:b/>
          <w:bCs/>
        </w:rPr>
      </w:pPr>
    </w:p>
    <w:p w14:paraId="7596B77E" w14:textId="77777777" w:rsidR="00561B22" w:rsidRPr="009F3F1A" w:rsidRDefault="00561B22" w:rsidP="00561B22">
      <w:pPr>
        <w:pStyle w:val="Textoindependiente"/>
        <w:ind w:right="-50"/>
        <w:jc w:val="both"/>
        <w:rPr>
          <w:rFonts w:ascii="Arial" w:hAnsi="Arial" w:cs="Arial"/>
          <w:b/>
          <w:bCs/>
        </w:rPr>
      </w:pPr>
      <w:r w:rsidRPr="009F3F1A">
        <w:rPr>
          <w:rFonts w:ascii="Arial" w:hAnsi="Arial" w:cs="Arial"/>
          <w:b/>
          <w:bCs/>
        </w:rPr>
        <w:t>Del informe enviado retomamos lo siguiente:</w:t>
      </w:r>
    </w:p>
    <w:p w14:paraId="320A40CE" w14:textId="77777777" w:rsidR="00561B22" w:rsidRPr="009F3F1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F3F1A" w14:paraId="7982CA42" w14:textId="77777777" w:rsidTr="00F1223B">
        <w:tc>
          <w:tcPr>
            <w:tcW w:w="562" w:type="dxa"/>
          </w:tcPr>
          <w:p w14:paraId="4E64E531" w14:textId="77777777" w:rsidR="00561B22" w:rsidRPr="009F3F1A" w:rsidRDefault="00561B22" w:rsidP="00F1223B">
            <w:pPr>
              <w:ind w:right="-109"/>
              <w:jc w:val="center"/>
              <w:rPr>
                <w:rFonts w:ascii="Arial" w:hAnsi="Arial" w:cs="Arial"/>
                <w:b/>
                <w:sz w:val="22"/>
                <w:szCs w:val="22"/>
                <w:lang w:val="es-MX"/>
              </w:rPr>
            </w:pPr>
            <w:r w:rsidRPr="009F3F1A">
              <w:rPr>
                <w:rFonts w:ascii="Arial" w:hAnsi="Arial" w:cs="Arial"/>
                <w:b/>
                <w:sz w:val="22"/>
                <w:szCs w:val="22"/>
                <w:lang w:val="es-MX"/>
              </w:rPr>
              <w:t>N°</w:t>
            </w:r>
          </w:p>
        </w:tc>
        <w:tc>
          <w:tcPr>
            <w:tcW w:w="9400" w:type="dxa"/>
          </w:tcPr>
          <w:p w14:paraId="0FB97826"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DEBILIDADES</w:t>
            </w:r>
          </w:p>
          <w:p w14:paraId="5942FA22" w14:textId="77777777" w:rsidR="00561B22" w:rsidRPr="009F3F1A" w:rsidRDefault="00561B22" w:rsidP="00F1223B">
            <w:pPr>
              <w:jc w:val="center"/>
              <w:rPr>
                <w:rFonts w:ascii="Arial" w:hAnsi="Arial" w:cs="Arial"/>
                <w:b/>
                <w:sz w:val="22"/>
                <w:szCs w:val="22"/>
                <w:lang w:val="es-MX"/>
              </w:rPr>
            </w:pPr>
          </w:p>
        </w:tc>
      </w:tr>
      <w:tr w:rsidR="00561B22" w:rsidRPr="009F3F1A" w14:paraId="6A8C98DA" w14:textId="77777777" w:rsidTr="00F1223B">
        <w:tc>
          <w:tcPr>
            <w:tcW w:w="562" w:type="dxa"/>
          </w:tcPr>
          <w:p w14:paraId="29963300"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1</w:t>
            </w:r>
          </w:p>
        </w:tc>
        <w:tc>
          <w:tcPr>
            <w:tcW w:w="9400" w:type="dxa"/>
          </w:tcPr>
          <w:p w14:paraId="022F4592" w14:textId="77777777" w:rsidR="00561B22" w:rsidRPr="009F3F1A" w:rsidRDefault="00561B22" w:rsidP="00F1223B">
            <w:pPr>
              <w:jc w:val="both"/>
              <w:rPr>
                <w:rFonts w:ascii="Arial" w:hAnsi="Arial" w:cs="Arial"/>
                <w:sz w:val="22"/>
                <w:szCs w:val="22"/>
                <w:lang w:val="es-MX"/>
              </w:rPr>
            </w:pPr>
            <w:r w:rsidRPr="009F3F1A">
              <w:rPr>
                <w:rFonts w:ascii="Arial" w:hAnsi="Arial" w:cs="Arial"/>
                <w:sz w:val="22"/>
                <w:szCs w:val="22"/>
                <w:lang w:val="es-MX"/>
              </w:rPr>
              <w:t>Falta el procedimiento, para lo establecido en la política de propiedad planta y equipo.</w:t>
            </w:r>
          </w:p>
        </w:tc>
      </w:tr>
      <w:tr w:rsidR="00561B22" w:rsidRPr="009F3F1A" w14:paraId="3E191D35" w14:textId="77777777" w:rsidTr="00F1223B">
        <w:tc>
          <w:tcPr>
            <w:tcW w:w="562" w:type="dxa"/>
          </w:tcPr>
          <w:p w14:paraId="2ED0C07C"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2</w:t>
            </w:r>
          </w:p>
        </w:tc>
        <w:tc>
          <w:tcPr>
            <w:tcW w:w="9400" w:type="dxa"/>
          </w:tcPr>
          <w:p w14:paraId="197524FF" w14:textId="77777777" w:rsidR="00561B22" w:rsidRPr="009F3F1A" w:rsidRDefault="00561B22" w:rsidP="00F1223B">
            <w:pPr>
              <w:jc w:val="both"/>
              <w:rPr>
                <w:rFonts w:ascii="Arial" w:hAnsi="Arial" w:cs="Arial"/>
                <w:sz w:val="22"/>
                <w:szCs w:val="22"/>
                <w:lang w:val="es-MX"/>
              </w:rPr>
            </w:pPr>
            <w:r w:rsidRPr="009F3F1A">
              <w:rPr>
                <w:rFonts w:ascii="Arial" w:hAnsi="Arial" w:cs="Arial"/>
                <w:sz w:val="22"/>
                <w:szCs w:val="22"/>
                <w:lang w:val="es-MX"/>
              </w:rPr>
              <w:t>Requiere fortalecerse la aplicación de las políticas contables, a fin de que se mejore la elaboración de notas a los estados financieros para que la información se presente por parte de las áreas con los soportes pertinentes que respalden los registros financieros.</w:t>
            </w:r>
          </w:p>
        </w:tc>
      </w:tr>
      <w:tr w:rsidR="00561B22" w:rsidRPr="009F3F1A" w14:paraId="39CDDE51" w14:textId="77777777" w:rsidTr="00F1223B">
        <w:tc>
          <w:tcPr>
            <w:tcW w:w="562" w:type="dxa"/>
          </w:tcPr>
          <w:p w14:paraId="64825A89"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3</w:t>
            </w:r>
          </w:p>
        </w:tc>
        <w:tc>
          <w:tcPr>
            <w:tcW w:w="9400" w:type="dxa"/>
          </w:tcPr>
          <w:p w14:paraId="77D82344" w14:textId="77777777" w:rsidR="00561B22" w:rsidRPr="009F3F1A" w:rsidRDefault="00561B22" w:rsidP="00F1223B">
            <w:pPr>
              <w:jc w:val="both"/>
              <w:rPr>
                <w:rFonts w:ascii="Arial" w:hAnsi="Arial" w:cs="Arial"/>
                <w:sz w:val="22"/>
                <w:szCs w:val="22"/>
                <w:lang w:val="es-MX"/>
              </w:rPr>
            </w:pPr>
            <w:r w:rsidRPr="009F3F1A">
              <w:rPr>
                <w:rFonts w:ascii="Arial" w:hAnsi="Arial" w:cs="Arial"/>
                <w:sz w:val="22"/>
                <w:szCs w:val="22"/>
                <w:lang w:val="es-MX"/>
              </w:rPr>
              <w:t>Se debe cumplir el flujo de información en su totalidad.</w:t>
            </w:r>
          </w:p>
        </w:tc>
      </w:tr>
      <w:tr w:rsidR="00561B22" w:rsidRPr="009F3F1A" w14:paraId="20B65312" w14:textId="77777777" w:rsidTr="00F1223B">
        <w:tc>
          <w:tcPr>
            <w:tcW w:w="562" w:type="dxa"/>
          </w:tcPr>
          <w:p w14:paraId="29D69195"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4</w:t>
            </w:r>
          </w:p>
        </w:tc>
        <w:tc>
          <w:tcPr>
            <w:tcW w:w="9400" w:type="dxa"/>
          </w:tcPr>
          <w:p w14:paraId="279BD7E6" w14:textId="77777777" w:rsidR="00561B22" w:rsidRPr="009F3F1A" w:rsidRDefault="00561B22" w:rsidP="00F1223B">
            <w:pPr>
              <w:jc w:val="both"/>
              <w:rPr>
                <w:rFonts w:ascii="Arial" w:hAnsi="Arial" w:cs="Arial"/>
                <w:sz w:val="22"/>
                <w:szCs w:val="22"/>
                <w:lang w:val="es-MX"/>
              </w:rPr>
            </w:pPr>
            <w:r w:rsidRPr="009F3F1A">
              <w:rPr>
                <w:rFonts w:ascii="Arial" w:hAnsi="Arial" w:cs="Arial"/>
                <w:sz w:val="22"/>
                <w:szCs w:val="22"/>
                <w:lang w:val="es-MX"/>
              </w:rPr>
              <w:t>El proceso de manejo de bodegas virtuales se debe fortalecer para la razonabilidad de los costos.</w:t>
            </w:r>
          </w:p>
        </w:tc>
      </w:tr>
      <w:tr w:rsidR="00561B22" w:rsidRPr="009F3F1A" w14:paraId="36E95D0A" w14:textId="77777777" w:rsidTr="00F1223B">
        <w:tc>
          <w:tcPr>
            <w:tcW w:w="562" w:type="dxa"/>
          </w:tcPr>
          <w:p w14:paraId="0D9D9C14"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5</w:t>
            </w:r>
          </w:p>
        </w:tc>
        <w:tc>
          <w:tcPr>
            <w:tcW w:w="9400" w:type="dxa"/>
          </w:tcPr>
          <w:p w14:paraId="72796A21" w14:textId="77777777" w:rsidR="00561B22" w:rsidRPr="009F3F1A" w:rsidRDefault="00561B22" w:rsidP="00F1223B">
            <w:pPr>
              <w:jc w:val="both"/>
              <w:rPr>
                <w:rFonts w:ascii="Arial" w:hAnsi="Arial" w:cs="Arial"/>
                <w:sz w:val="22"/>
                <w:szCs w:val="22"/>
                <w:lang w:val="es-MX"/>
              </w:rPr>
            </w:pPr>
            <w:r w:rsidRPr="009F3F1A">
              <w:rPr>
                <w:rFonts w:ascii="Arial" w:hAnsi="Arial" w:cs="Arial"/>
                <w:sz w:val="22"/>
                <w:szCs w:val="22"/>
                <w:lang w:val="es-MX"/>
              </w:rPr>
              <w:t>Se requiere fortalecer cartera, ya que, en talento humano, se encuentra la gestión de cartera de lo que corresponde a educación y vivienda.</w:t>
            </w:r>
          </w:p>
        </w:tc>
      </w:tr>
      <w:tr w:rsidR="00561B22" w:rsidRPr="009F3F1A" w14:paraId="3D55CDAF" w14:textId="77777777" w:rsidTr="00F1223B">
        <w:tc>
          <w:tcPr>
            <w:tcW w:w="562" w:type="dxa"/>
          </w:tcPr>
          <w:p w14:paraId="31A31596"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6</w:t>
            </w:r>
          </w:p>
        </w:tc>
        <w:tc>
          <w:tcPr>
            <w:tcW w:w="9400" w:type="dxa"/>
          </w:tcPr>
          <w:p w14:paraId="587FE3DF" w14:textId="77777777" w:rsidR="00561B22" w:rsidRPr="009F3F1A" w:rsidRDefault="00561B22" w:rsidP="00F1223B">
            <w:pPr>
              <w:jc w:val="both"/>
              <w:rPr>
                <w:rFonts w:ascii="Arial" w:hAnsi="Arial" w:cs="Arial"/>
                <w:sz w:val="22"/>
                <w:szCs w:val="22"/>
                <w:lang w:val="es-MX"/>
              </w:rPr>
            </w:pPr>
            <w:r w:rsidRPr="009F3F1A">
              <w:rPr>
                <w:rFonts w:ascii="Arial" w:hAnsi="Arial" w:cs="Arial"/>
                <w:sz w:val="22"/>
                <w:szCs w:val="22"/>
                <w:lang w:val="es-MX"/>
              </w:rPr>
              <w:t>Desde 2014 no se ha realizado valorización de la edificación.</w:t>
            </w:r>
          </w:p>
        </w:tc>
      </w:tr>
    </w:tbl>
    <w:p w14:paraId="1FC08D17" w14:textId="77777777" w:rsidR="00561B22" w:rsidRPr="009F3F1A" w:rsidRDefault="00561B22" w:rsidP="00561B22">
      <w:pPr>
        <w:pStyle w:val="Textoindependiente"/>
        <w:ind w:right="-50"/>
        <w:jc w:val="both"/>
        <w:rPr>
          <w:rFonts w:ascii="Arial" w:hAnsi="Arial" w:cs="Arial"/>
          <w:b/>
          <w:bCs/>
        </w:rPr>
      </w:pPr>
    </w:p>
    <w:p w14:paraId="38F16F04" w14:textId="77777777" w:rsidR="00561B22" w:rsidRPr="009F3F1A" w:rsidRDefault="00561B22" w:rsidP="00561B22">
      <w:pPr>
        <w:jc w:val="both"/>
        <w:rPr>
          <w:rFonts w:ascii="Arial" w:hAnsi="Arial" w:cs="Arial"/>
          <w:b/>
          <w:lang w:val="es-MX"/>
        </w:rPr>
      </w:pPr>
      <w:r w:rsidRPr="009F3F1A">
        <w:rPr>
          <w:rFonts w:ascii="Arial" w:hAnsi="Arial" w:cs="Arial"/>
          <w:b/>
          <w:lang w:val="es-MX"/>
        </w:rPr>
        <w:t>Del citado informe retomamos las siguientes recomendaciones:</w:t>
      </w:r>
    </w:p>
    <w:p w14:paraId="213CC71E" w14:textId="77777777" w:rsidR="00561B22" w:rsidRPr="009F3F1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F3F1A" w14:paraId="7683A00F" w14:textId="77777777" w:rsidTr="00F1223B">
        <w:tc>
          <w:tcPr>
            <w:tcW w:w="562" w:type="dxa"/>
          </w:tcPr>
          <w:p w14:paraId="33AF9B7F" w14:textId="77777777" w:rsidR="00561B22" w:rsidRPr="009F3F1A" w:rsidRDefault="00561B22" w:rsidP="00F1223B">
            <w:pPr>
              <w:ind w:right="-109"/>
              <w:jc w:val="center"/>
              <w:rPr>
                <w:rFonts w:ascii="Arial" w:hAnsi="Arial" w:cs="Arial"/>
                <w:b/>
                <w:sz w:val="22"/>
                <w:szCs w:val="22"/>
                <w:lang w:val="es-MX"/>
              </w:rPr>
            </w:pPr>
            <w:r w:rsidRPr="009F3F1A">
              <w:rPr>
                <w:rFonts w:ascii="Arial" w:hAnsi="Arial" w:cs="Arial"/>
                <w:b/>
                <w:sz w:val="22"/>
                <w:szCs w:val="22"/>
                <w:lang w:val="es-MX"/>
              </w:rPr>
              <w:t>N°</w:t>
            </w:r>
          </w:p>
        </w:tc>
        <w:tc>
          <w:tcPr>
            <w:tcW w:w="9400" w:type="dxa"/>
          </w:tcPr>
          <w:p w14:paraId="72ED298E"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RECOMENDACIONES</w:t>
            </w:r>
          </w:p>
          <w:p w14:paraId="0F60254C" w14:textId="77777777" w:rsidR="00561B22" w:rsidRPr="009F3F1A" w:rsidRDefault="00561B22" w:rsidP="00F1223B">
            <w:pPr>
              <w:jc w:val="center"/>
              <w:rPr>
                <w:rFonts w:ascii="Arial" w:hAnsi="Arial" w:cs="Arial"/>
                <w:b/>
                <w:sz w:val="22"/>
                <w:szCs w:val="22"/>
                <w:lang w:val="es-MX"/>
              </w:rPr>
            </w:pPr>
          </w:p>
        </w:tc>
      </w:tr>
      <w:tr w:rsidR="00561B22" w:rsidRPr="009F3F1A" w14:paraId="3A9C14A8" w14:textId="77777777" w:rsidTr="00F1223B">
        <w:tc>
          <w:tcPr>
            <w:tcW w:w="562" w:type="dxa"/>
          </w:tcPr>
          <w:p w14:paraId="32A05C48"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1</w:t>
            </w:r>
          </w:p>
        </w:tc>
        <w:tc>
          <w:tcPr>
            <w:tcW w:w="9400" w:type="dxa"/>
          </w:tcPr>
          <w:p w14:paraId="4D01014F" w14:textId="77777777" w:rsidR="00561B22" w:rsidRPr="009F3F1A" w:rsidRDefault="00561B22" w:rsidP="00F1223B">
            <w:pPr>
              <w:rPr>
                <w:rFonts w:ascii="Arial" w:hAnsi="Arial" w:cs="Arial"/>
                <w:sz w:val="22"/>
                <w:szCs w:val="22"/>
                <w:lang w:val="es-MX"/>
              </w:rPr>
            </w:pPr>
            <w:r w:rsidRPr="009F3F1A">
              <w:rPr>
                <w:rFonts w:ascii="Arial" w:hAnsi="Arial" w:cs="Arial"/>
                <w:sz w:val="22"/>
                <w:szCs w:val="22"/>
                <w:lang w:val="es-MX"/>
              </w:rPr>
              <w:t>Fortalecer la aplicación de las políticas contables, a fin de que se mejore la elaboración de notas a los estados financieros.</w:t>
            </w:r>
          </w:p>
        </w:tc>
      </w:tr>
      <w:tr w:rsidR="00561B22" w:rsidRPr="009F3F1A" w14:paraId="3FDD128F" w14:textId="77777777" w:rsidTr="00F1223B">
        <w:tc>
          <w:tcPr>
            <w:tcW w:w="562" w:type="dxa"/>
          </w:tcPr>
          <w:p w14:paraId="10D14C86"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lastRenderedPageBreak/>
              <w:t>2</w:t>
            </w:r>
          </w:p>
        </w:tc>
        <w:tc>
          <w:tcPr>
            <w:tcW w:w="9400" w:type="dxa"/>
          </w:tcPr>
          <w:p w14:paraId="48715BD7" w14:textId="77777777" w:rsidR="00561B22" w:rsidRPr="009F3F1A" w:rsidRDefault="00561B22" w:rsidP="00F1223B">
            <w:pPr>
              <w:rPr>
                <w:rFonts w:ascii="Arial" w:hAnsi="Arial" w:cs="Arial"/>
                <w:sz w:val="22"/>
                <w:szCs w:val="22"/>
                <w:lang w:val="es-MX"/>
              </w:rPr>
            </w:pPr>
            <w:r w:rsidRPr="009F3F1A">
              <w:rPr>
                <w:rFonts w:ascii="Arial" w:hAnsi="Arial" w:cs="Arial"/>
                <w:sz w:val="22"/>
                <w:szCs w:val="22"/>
                <w:lang w:val="es-MX"/>
              </w:rPr>
              <w:t>Realizar monitoreo de los riesgos financieros.</w:t>
            </w:r>
          </w:p>
        </w:tc>
      </w:tr>
      <w:tr w:rsidR="00561B22" w:rsidRPr="009F3F1A" w14:paraId="5D75C965" w14:textId="77777777" w:rsidTr="00F1223B">
        <w:tc>
          <w:tcPr>
            <w:tcW w:w="562" w:type="dxa"/>
          </w:tcPr>
          <w:p w14:paraId="1F1DCE6B"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3</w:t>
            </w:r>
          </w:p>
        </w:tc>
        <w:tc>
          <w:tcPr>
            <w:tcW w:w="9400" w:type="dxa"/>
          </w:tcPr>
          <w:p w14:paraId="5584A9E0" w14:textId="77777777" w:rsidR="00561B22" w:rsidRPr="009F3F1A" w:rsidRDefault="00561B22" w:rsidP="00F1223B">
            <w:pPr>
              <w:rPr>
                <w:rFonts w:ascii="Arial" w:hAnsi="Arial" w:cs="Arial"/>
                <w:sz w:val="22"/>
                <w:szCs w:val="22"/>
                <w:lang w:val="es-MX"/>
              </w:rPr>
            </w:pPr>
            <w:r w:rsidRPr="009F3F1A">
              <w:rPr>
                <w:rFonts w:ascii="Arial" w:hAnsi="Arial" w:cs="Arial"/>
                <w:sz w:val="22"/>
                <w:szCs w:val="22"/>
                <w:lang w:val="es-MX"/>
              </w:rPr>
              <w:t>El proceso de manejo de bodegas virtuales se debe fortalecer para la razonabilidad de los costos.</w:t>
            </w:r>
          </w:p>
        </w:tc>
      </w:tr>
      <w:tr w:rsidR="00561B22" w:rsidRPr="009F3F1A" w14:paraId="3959C239" w14:textId="77777777" w:rsidTr="00F1223B">
        <w:tc>
          <w:tcPr>
            <w:tcW w:w="562" w:type="dxa"/>
          </w:tcPr>
          <w:p w14:paraId="0ABC0B6D" w14:textId="77777777" w:rsidR="00561B22" w:rsidRPr="009F3F1A" w:rsidRDefault="00561B22" w:rsidP="00F1223B">
            <w:pPr>
              <w:jc w:val="center"/>
              <w:rPr>
                <w:rFonts w:ascii="Arial" w:hAnsi="Arial" w:cs="Arial"/>
                <w:b/>
                <w:sz w:val="22"/>
                <w:szCs w:val="22"/>
                <w:lang w:val="es-MX"/>
              </w:rPr>
            </w:pPr>
            <w:r w:rsidRPr="009F3F1A">
              <w:rPr>
                <w:rFonts w:ascii="Arial" w:hAnsi="Arial" w:cs="Arial"/>
                <w:b/>
                <w:sz w:val="22"/>
                <w:szCs w:val="22"/>
                <w:lang w:val="es-MX"/>
              </w:rPr>
              <w:t>4</w:t>
            </w:r>
          </w:p>
        </w:tc>
        <w:tc>
          <w:tcPr>
            <w:tcW w:w="9400" w:type="dxa"/>
          </w:tcPr>
          <w:p w14:paraId="6B0EFF01" w14:textId="77777777" w:rsidR="00561B22" w:rsidRPr="009F3F1A" w:rsidRDefault="00561B22" w:rsidP="00F1223B">
            <w:pPr>
              <w:rPr>
                <w:rFonts w:ascii="Arial" w:hAnsi="Arial" w:cs="Arial"/>
                <w:sz w:val="22"/>
                <w:szCs w:val="22"/>
                <w:lang w:val="es-MX"/>
              </w:rPr>
            </w:pPr>
            <w:r w:rsidRPr="009F3F1A">
              <w:rPr>
                <w:rFonts w:ascii="Arial" w:hAnsi="Arial" w:cs="Arial"/>
                <w:sz w:val="22"/>
                <w:szCs w:val="22"/>
                <w:lang w:val="es-MX"/>
              </w:rPr>
              <w:t>Fortalecer el Plan de capacitación para el personal involucrado en el proceso contable.</w:t>
            </w:r>
          </w:p>
        </w:tc>
      </w:tr>
    </w:tbl>
    <w:p w14:paraId="437CDE19" w14:textId="77777777" w:rsidR="00561B22" w:rsidRPr="009F3F1A" w:rsidRDefault="00561B22" w:rsidP="00561B22">
      <w:pPr>
        <w:pStyle w:val="Textoindependiente"/>
        <w:ind w:right="-50"/>
        <w:jc w:val="both"/>
        <w:rPr>
          <w:rFonts w:ascii="Arial" w:hAnsi="Arial" w:cs="Arial"/>
          <w:b/>
          <w:bCs/>
          <w:sz w:val="28"/>
          <w:szCs w:val="28"/>
        </w:rPr>
      </w:pPr>
    </w:p>
    <w:p w14:paraId="2861334F" w14:textId="77777777" w:rsidR="00561B22" w:rsidRPr="009F3F1A" w:rsidRDefault="00561B22" w:rsidP="00561B22">
      <w:pPr>
        <w:jc w:val="both"/>
        <w:rPr>
          <w:rFonts w:ascii="Arial" w:hAnsi="Arial" w:cs="Arial"/>
          <w:b/>
          <w:bCs/>
          <w:sz w:val="24"/>
          <w:szCs w:val="24"/>
          <w:lang w:val="es-CO"/>
        </w:rPr>
      </w:pPr>
      <w:r w:rsidRPr="009F3F1A">
        <w:rPr>
          <w:rFonts w:ascii="Arial" w:hAnsi="Arial" w:cs="Arial"/>
          <w:b/>
          <w:bCs/>
          <w:sz w:val="24"/>
          <w:szCs w:val="24"/>
          <w:lang w:val="es-CO"/>
        </w:rPr>
        <w:t xml:space="preserve">NOTA: LA ENTIDAD ENVIA LA MATRIZ DE AUTOEVALUACIÓN DEL SISTEMA DE CONTROL INTERNO CONTABLE CON </w:t>
      </w:r>
      <w:r w:rsidRPr="009F3F1A">
        <w:rPr>
          <w:rFonts w:ascii="Arial" w:hAnsi="Arial" w:cs="Arial"/>
          <w:b/>
          <w:bCs/>
          <w:sz w:val="24"/>
          <w:szCs w:val="24"/>
          <w:u w:val="single"/>
          <w:lang w:val="es-CO"/>
        </w:rPr>
        <w:t>ACTIVIDADES DE CONTROL REALIZADAS EN FORMA PARCIAL</w:t>
      </w:r>
      <w:r w:rsidRPr="009F3F1A">
        <w:rPr>
          <w:rFonts w:ascii="Arial" w:hAnsi="Arial" w:cs="Arial"/>
          <w:b/>
          <w:bCs/>
          <w:sz w:val="24"/>
          <w:szCs w:val="24"/>
          <w:lang w:val="es-CO"/>
        </w:rPr>
        <w:t>.</w:t>
      </w:r>
    </w:p>
    <w:p w14:paraId="33FA2974" w14:textId="77777777" w:rsidR="00561B22" w:rsidRDefault="00561B22" w:rsidP="00561B22">
      <w:pPr>
        <w:pStyle w:val="Textoindependiente"/>
        <w:ind w:right="-50"/>
        <w:jc w:val="both"/>
        <w:rPr>
          <w:b/>
          <w:bCs/>
          <w:sz w:val="28"/>
          <w:szCs w:val="28"/>
        </w:rPr>
      </w:pPr>
    </w:p>
    <w:p w14:paraId="068B46C9" w14:textId="77777777" w:rsidR="00561B22" w:rsidRPr="008D40EA" w:rsidRDefault="00561B22" w:rsidP="00561B22">
      <w:pPr>
        <w:pStyle w:val="Textoindependiente"/>
        <w:ind w:right="-50"/>
        <w:jc w:val="both"/>
        <w:rPr>
          <w:rFonts w:ascii="Arial" w:hAnsi="Arial" w:cs="Arial"/>
          <w:noProof/>
          <w:sz w:val="28"/>
          <w:szCs w:val="28"/>
        </w:rPr>
      </w:pPr>
      <w:r w:rsidRPr="008D40EA">
        <w:rPr>
          <w:rFonts w:ascii="Arial" w:hAnsi="Arial" w:cs="Arial"/>
          <w:b/>
          <w:sz w:val="28"/>
          <w:szCs w:val="28"/>
          <w:lang w:val="es-MX"/>
        </w:rPr>
        <w:t>118.- CORPORACIÓN PARA EL DESARROLLO SOSTENIBLES DEL ARCHIPIELAGO DE SAN ANDRÉS, PROVIDENCIA Y SANTA CATALINA - CORALINA.</w:t>
      </w:r>
    </w:p>
    <w:p w14:paraId="28273B2D" w14:textId="77777777" w:rsidR="00561B22" w:rsidRDefault="00561B22" w:rsidP="00561B22">
      <w:pPr>
        <w:jc w:val="center"/>
        <w:rPr>
          <w:rFonts w:ascii="Arial" w:hAnsi="Arial" w:cs="Arial"/>
          <w:b/>
          <w:bCs/>
          <w:sz w:val="28"/>
          <w:szCs w:val="28"/>
          <w:lang w:val="es-MX"/>
        </w:rPr>
      </w:pPr>
    </w:p>
    <w:p w14:paraId="041602FF" w14:textId="77777777" w:rsidR="00561B22" w:rsidRPr="00800BCA" w:rsidRDefault="00561B22" w:rsidP="00561B22">
      <w:pPr>
        <w:pStyle w:val="Textoindependiente"/>
        <w:ind w:right="-50"/>
        <w:jc w:val="center"/>
        <w:rPr>
          <w:rFonts w:ascii="Arial" w:hAnsi="Arial" w:cs="Arial"/>
          <w:b/>
          <w:bCs/>
        </w:rPr>
      </w:pPr>
      <w:r w:rsidRPr="00800BCA">
        <w:rPr>
          <w:rFonts w:ascii="Arial" w:hAnsi="Arial" w:cs="Arial"/>
          <w:b/>
          <w:bCs/>
        </w:rPr>
        <w:t>INFORME DE LA AUTOCALIFICACIÓN DEL SISTEMA DE CONTROL INTERNO CONTABLE:</w:t>
      </w:r>
    </w:p>
    <w:p w14:paraId="5B7D955A" w14:textId="77777777" w:rsidR="00561B22" w:rsidRPr="00800BCA"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00BCA" w14:paraId="5E056038" w14:textId="77777777" w:rsidTr="00F1223B">
        <w:tc>
          <w:tcPr>
            <w:tcW w:w="4981" w:type="dxa"/>
          </w:tcPr>
          <w:p w14:paraId="7BD777AE" w14:textId="77777777" w:rsidR="00561B22" w:rsidRPr="00800BCA" w:rsidRDefault="00561B22" w:rsidP="00F1223B">
            <w:pPr>
              <w:jc w:val="center"/>
              <w:rPr>
                <w:rFonts w:ascii="Arial" w:hAnsi="Arial" w:cs="Arial"/>
                <w:b/>
                <w:sz w:val="22"/>
                <w:szCs w:val="22"/>
                <w:lang w:val="es-MX"/>
              </w:rPr>
            </w:pPr>
            <w:r w:rsidRPr="00800BCA">
              <w:rPr>
                <w:rFonts w:ascii="Arial" w:hAnsi="Arial" w:cs="Arial"/>
                <w:b/>
                <w:sz w:val="22"/>
                <w:szCs w:val="22"/>
                <w:lang w:val="es-MX"/>
              </w:rPr>
              <w:t>AUTOCALIFICACIÓN</w:t>
            </w:r>
          </w:p>
        </w:tc>
        <w:tc>
          <w:tcPr>
            <w:tcW w:w="4981" w:type="dxa"/>
          </w:tcPr>
          <w:p w14:paraId="14175430" w14:textId="77777777" w:rsidR="00561B22" w:rsidRPr="00800BCA" w:rsidRDefault="00561B22" w:rsidP="00F1223B">
            <w:pPr>
              <w:jc w:val="center"/>
              <w:rPr>
                <w:rFonts w:ascii="Arial" w:hAnsi="Arial" w:cs="Arial"/>
                <w:b/>
                <w:sz w:val="22"/>
                <w:szCs w:val="22"/>
                <w:u w:val="single"/>
                <w:lang w:val="es-MX"/>
              </w:rPr>
            </w:pPr>
            <w:r w:rsidRPr="00800BCA">
              <w:rPr>
                <w:rFonts w:ascii="Arial" w:hAnsi="Arial" w:cs="Arial"/>
                <w:b/>
                <w:sz w:val="22"/>
                <w:szCs w:val="22"/>
                <w:u w:val="single"/>
                <w:lang w:val="es-MX"/>
              </w:rPr>
              <w:t>4.91</w:t>
            </w:r>
          </w:p>
        </w:tc>
      </w:tr>
    </w:tbl>
    <w:p w14:paraId="0F4939AF" w14:textId="77777777" w:rsidR="00561B22" w:rsidRPr="00800BCA" w:rsidRDefault="00561B22" w:rsidP="00561B22">
      <w:pPr>
        <w:pStyle w:val="Textoindependiente"/>
        <w:ind w:right="-50"/>
        <w:jc w:val="both"/>
        <w:rPr>
          <w:rFonts w:ascii="Arial" w:hAnsi="Arial" w:cs="Arial"/>
          <w:b/>
          <w:bCs/>
        </w:rPr>
      </w:pPr>
    </w:p>
    <w:p w14:paraId="0736B34A" w14:textId="77777777" w:rsidR="00561B22" w:rsidRPr="00800BCA" w:rsidRDefault="00561B22" w:rsidP="00561B22">
      <w:pPr>
        <w:pStyle w:val="Textoindependiente"/>
        <w:ind w:right="-50"/>
        <w:jc w:val="both"/>
        <w:rPr>
          <w:rFonts w:ascii="Arial" w:hAnsi="Arial" w:cs="Arial"/>
          <w:b/>
          <w:bCs/>
        </w:rPr>
      </w:pPr>
      <w:r w:rsidRPr="00800BCA">
        <w:rPr>
          <w:rFonts w:ascii="Arial" w:hAnsi="Arial" w:cs="Arial"/>
          <w:b/>
          <w:bCs/>
        </w:rPr>
        <w:t>Del informe enviado retomamos lo siguiente:</w:t>
      </w:r>
    </w:p>
    <w:p w14:paraId="5888C0A6" w14:textId="77777777" w:rsidR="00561B22" w:rsidRPr="00800BC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00BCA" w14:paraId="27A7A386" w14:textId="77777777" w:rsidTr="00F1223B">
        <w:tc>
          <w:tcPr>
            <w:tcW w:w="562" w:type="dxa"/>
          </w:tcPr>
          <w:p w14:paraId="115384F0" w14:textId="77777777" w:rsidR="00561B22" w:rsidRPr="00800BCA" w:rsidRDefault="00561B22" w:rsidP="00F1223B">
            <w:pPr>
              <w:ind w:right="-109"/>
              <w:jc w:val="center"/>
              <w:rPr>
                <w:rFonts w:ascii="Arial" w:hAnsi="Arial" w:cs="Arial"/>
                <w:b/>
                <w:sz w:val="22"/>
                <w:szCs w:val="22"/>
                <w:lang w:val="es-MX"/>
              </w:rPr>
            </w:pPr>
            <w:r w:rsidRPr="00800BCA">
              <w:rPr>
                <w:rFonts w:ascii="Arial" w:hAnsi="Arial" w:cs="Arial"/>
                <w:b/>
                <w:sz w:val="22"/>
                <w:szCs w:val="22"/>
                <w:lang w:val="es-MX"/>
              </w:rPr>
              <w:t>N°</w:t>
            </w:r>
          </w:p>
        </w:tc>
        <w:tc>
          <w:tcPr>
            <w:tcW w:w="9400" w:type="dxa"/>
          </w:tcPr>
          <w:p w14:paraId="4C1F9C7D" w14:textId="77777777" w:rsidR="00561B22" w:rsidRPr="00800BCA" w:rsidRDefault="00561B22" w:rsidP="00F1223B">
            <w:pPr>
              <w:jc w:val="center"/>
              <w:rPr>
                <w:rFonts w:ascii="Arial" w:hAnsi="Arial" w:cs="Arial"/>
                <w:b/>
                <w:sz w:val="22"/>
                <w:szCs w:val="22"/>
                <w:lang w:val="es-MX"/>
              </w:rPr>
            </w:pPr>
            <w:r w:rsidRPr="00800BCA">
              <w:rPr>
                <w:rFonts w:ascii="Arial" w:hAnsi="Arial" w:cs="Arial"/>
                <w:b/>
                <w:sz w:val="22"/>
                <w:szCs w:val="22"/>
                <w:lang w:val="es-MX"/>
              </w:rPr>
              <w:t>DEBILIDADES</w:t>
            </w:r>
          </w:p>
          <w:p w14:paraId="73C3552D" w14:textId="77777777" w:rsidR="00561B22" w:rsidRPr="00800BCA" w:rsidRDefault="00561B22" w:rsidP="00F1223B">
            <w:pPr>
              <w:jc w:val="center"/>
              <w:rPr>
                <w:rFonts w:ascii="Arial" w:hAnsi="Arial" w:cs="Arial"/>
                <w:b/>
                <w:sz w:val="22"/>
                <w:szCs w:val="22"/>
                <w:lang w:val="es-MX"/>
              </w:rPr>
            </w:pPr>
          </w:p>
        </w:tc>
      </w:tr>
      <w:tr w:rsidR="00561B22" w:rsidRPr="00800BCA" w14:paraId="5D1D1C19" w14:textId="77777777" w:rsidTr="00F1223B">
        <w:tc>
          <w:tcPr>
            <w:tcW w:w="562" w:type="dxa"/>
          </w:tcPr>
          <w:p w14:paraId="65390F0A" w14:textId="77777777" w:rsidR="00561B22" w:rsidRPr="00800BCA" w:rsidRDefault="00561B22" w:rsidP="00F1223B">
            <w:pPr>
              <w:jc w:val="center"/>
              <w:rPr>
                <w:rFonts w:ascii="Arial" w:hAnsi="Arial" w:cs="Arial"/>
                <w:b/>
                <w:sz w:val="22"/>
                <w:szCs w:val="22"/>
                <w:lang w:val="es-MX"/>
              </w:rPr>
            </w:pPr>
            <w:r w:rsidRPr="00800BCA">
              <w:rPr>
                <w:rFonts w:ascii="Arial" w:hAnsi="Arial" w:cs="Arial"/>
                <w:b/>
                <w:sz w:val="22"/>
                <w:szCs w:val="22"/>
                <w:lang w:val="es-MX"/>
              </w:rPr>
              <w:t>1</w:t>
            </w:r>
          </w:p>
        </w:tc>
        <w:tc>
          <w:tcPr>
            <w:tcW w:w="9400" w:type="dxa"/>
          </w:tcPr>
          <w:p w14:paraId="5902D7C9" w14:textId="77777777" w:rsidR="00561B22" w:rsidRPr="00800BCA" w:rsidRDefault="00561B22" w:rsidP="00F1223B">
            <w:pPr>
              <w:jc w:val="both"/>
              <w:rPr>
                <w:rFonts w:ascii="Arial" w:hAnsi="Arial" w:cs="Arial"/>
                <w:sz w:val="22"/>
                <w:szCs w:val="22"/>
                <w:lang w:val="es-MX"/>
              </w:rPr>
            </w:pPr>
            <w:r w:rsidRPr="00800BCA">
              <w:rPr>
                <w:rFonts w:ascii="Arial" w:hAnsi="Arial" w:cs="Arial"/>
                <w:sz w:val="22"/>
                <w:szCs w:val="22"/>
                <w:lang w:val="es-MX"/>
              </w:rPr>
              <w:t xml:space="preserve">No se cuenta con personal suficiente de apoyo el cual tiene que ser contratado por prestación de servicios   </w:t>
            </w:r>
          </w:p>
        </w:tc>
      </w:tr>
    </w:tbl>
    <w:p w14:paraId="40CBE25E" w14:textId="77777777" w:rsidR="00561B22" w:rsidRPr="00800BC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00BCA" w14:paraId="6355A775" w14:textId="77777777" w:rsidTr="00F1223B">
        <w:tc>
          <w:tcPr>
            <w:tcW w:w="562" w:type="dxa"/>
          </w:tcPr>
          <w:p w14:paraId="68B81094" w14:textId="77777777" w:rsidR="00561B22" w:rsidRPr="00800BCA" w:rsidRDefault="00561B22" w:rsidP="00F1223B">
            <w:pPr>
              <w:ind w:right="-109"/>
              <w:jc w:val="center"/>
              <w:rPr>
                <w:rFonts w:ascii="Arial" w:hAnsi="Arial" w:cs="Arial"/>
                <w:b/>
                <w:sz w:val="22"/>
                <w:szCs w:val="22"/>
                <w:lang w:val="es-MX"/>
              </w:rPr>
            </w:pPr>
            <w:r w:rsidRPr="00800BCA">
              <w:rPr>
                <w:rFonts w:ascii="Arial" w:hAnsi="Arial" w:cs="Arial"/>
                <w:b/>
                <w:sz w:val="22"/>
                <w:szCs w:val="22"/>
                <w:lang w:val="es-MX"/>
              </w:rPr>
              <w:t>N°</w:t>
            </w:r>
          </w:p>
        </w:tc>
        <w:tc>
          <w:tcPr>
            <w:tcW w:w="9400" w:type="dxa"/>
          </w:tcPr>
          <w:p w14:paraId="7860F533" w14:textId="77777777" w:rsidR="00561B22" w:rsidRPr="00800BCA" w:rsidRDefault="00561B22" w:rsidP="00F1223B">
            <w:pPr>
              <w:jc w:val="center"/>
              <w:rPr>
                <w:rFonts w:ascii="Arial" w:hAnsi="Arial" w:cs="Arial"/>
                <w:b/>
                <w:sz w:val="22"/>
                <w:szCs w:val="22"/>
                <w:lang w:val="es-MX"/>
              </w:rPr>
            </w:pPr>
            <w:r w:rsidRPr="00800BCA">
              <w:rPr>
                <w:rFonts w:ascii="Arial" w:hAnsi="Arial" w:cs="Arial"/>
                <w:b/>
                <w:sz w:val="22"/>
                <w:szCs w:val="22"/>
                <w:lang w:val="es-MX"/>
              </w:rPr>
              <w:t>RECOMENDACIONES</w:t>
            </w:r>
          </w:p>
          <w:p w14:paraId="3AAB93E6" w14:textId="77777777" w:rsidR="00561B22" w:rsidRPr="00800BCA" w:rsidRDefault="00561B22" w:rsidP="00F1223B">
            <w:pPr>
              <w:jc w:val="center"/>
              <w:rPr>
                <w:rFonts w:ascii="Arial" w:hAnsi="Arial" w:cs="Arial"/>
                <w:b/>
                <w:sz w:val="22"/>
                <w:szCs w:val="22"/>
                <w:lang w:val="es-MX"/>
              </w:rPr>
            </w:pPr>
          </w:p>
        </w:tc>
      </w:tr>
      <w:tr w:rsidR="00561B22" w:rsidRPr="00800BCA" w14:paraId="0CC8EFC0" w14:textId="77777777" w:rsidTr="00F1223B">
        <w:tc>
          <w:tcPr>
            <w:tcW w:w="562" w:type="dxa"/>
          </w:tcPr>
          <w:p w14:paraId="68062997" w14:textId="77777777" w:rsidR="00561B22" w:rsidRPr="00800BCA" w:rsidRDefault="00561B22" w:rsidP="00F1223B">
            <w:pPr>
              <w:jc w:val="center"/>
              <w:rPr>
                <w:rFonts w:ascii="Arial" w:hAnsi="Arial" w:cs="Arial"/>
                <w:b/>
                <w:sz w:val="22"/>
                <w:szCs w:val="22"/>
                <w:lang w:val="es-MX"/>
              </w:rPr>
            </w:pPr>
            <w:r w:rsidRPr="00800BCA">
              <w:rPr>
                <w:rFonts w:ascii="Arial" w:hAnsi="Arial" w:cs="Arial"/>
                <w:b/>
                <w:sz w:val="22"/>
                <w:szCs w:val="22"/>
                <w:lang w:val="es-MX"/>
              </w:rPr>
              <w:t>1</w:t>
            </w:r>
          </w:p>
        </w:tc>
        <w:tc>
          <w:tcPr>
            <w:tcW w:w="9400" w:type="dxa"/>
          </w:tcPr>
          <w:p w14:paraId="4F7669E2" w14:textId="77777777" w:rsidR="00561B22" w:rsidRPr="00800BCA" w:rsidRDefault="00561B22" w:rsidP="00F1223B">
            <w:pPr>
              <w:jc w:val="both"/>
              <w:rPr>
                <w:rFonts w:ascii="Arial" w:hAnsi="Arial" w:cs="Arial"/>
                <w:sz w:val="22"/>
                <w:szCs w:val="22"/>
                <w:lang w:val="es-MX"/>
              </w:rPr>
            </w:pPr>
            <w:r w:rsidRPr="00800BCA">
              <w:rPr>
                <w:rFonts w:ascii="Arial" w:hAnsi="Arial" w:cs="Arial"/>
                <w:sz w:val="22"/>
                <w:szCs w:val="22"/>
                <w:lang w:val="es-MX"/>
              </w:rPr>
              <w:t xml:space="preserve">Mantener la oficina de Control Interno fortalecida con personal de apoyo, para que los procesos de auditorías interna y de gestión fluyan con más propiedad.   </w:t>
            </w:r>
          </w:p>
        </w:tc>
      </w:tr>
    </w:tbl>
    <w:p w14:paraId="13A25AC4" w14:textId="77777777" w:rsidR="00561B22" w:rsidRPr="00800BCA" w:rsidRDefault="00561B22" w:rsidP="00561B22">
      <w:pPr>
        <w:pStyle w:val="Textoindependiente"/>
        <w:ind w:right="-50"/>
        <w:jc w:val="both"/>
        <w:rPr>
          <w:rFonts w:ascii="Arial" w:hAnsi="Arial" w:cs="Arial"/>
          <w:b/>
          <w:bCs/>
        </w:rPr>
      </w:pPr>
    </w:p>
    <w:p w14:paraId="5680C5A7" w14:textId="77777777" w:rsidR="00561B22" w:rsidRPr="00800BCA" w:rsidRDefault="00561B22" w:rsidP="00561B22">
      <w:pPr>
        <w:jc w:val="both"/>
        <w:rPr>
          <w:rFonts w:ascii="Arial" w:hAnsi="Arial" w:cs="Arial"/>
          <w:b/>
          <w:bCs/>
          <w:sz w:val="24"/>
          <w:szCs w:val="24"/>
          <w:lang w:val="es-CO"/>
        </w:rPr>
      </w:pPr>
      <w:r w:rsidRPr="00800BCA">
        <w:rPr>
          <w:rFonts w:ascii="Arial" w:hAnsi="Arial" w:cs="Arial"/>
          <w:b/>
          <w:bCs/>
          <w:sz w:val="24"/>
          <w:szCs w:val="24"/>
          <w:lang w:val="es-CO"/>
        </w:rPr>
        <w:t xml:space="preserve">NOTA: LA ENTIDAD ENVIA LA MATRIZ DE AUTOEVALUACIÓN DEL SISTEMA DE CONTROL INTERNO CONTABLE CON </w:t>
      </w:r>
      <w:r w:rsidRPr="00800BCA">
        <w:rPr>
          <w:rFonts w:ascii="Arial" w:hAnsi="Arial" w:cs="Arial"/>
          <w:b/>
          <w:bCs/>
          <w:sz w:val="24"/>
          <w:szCs w:val="24"/>
          <w:u w:val="single"/>
          <w:lang w:val="es-CO"/>
        </w:rPr>
        <w:t>ACTIVIDADES DE CONTROL REALIZADAS EN FORMA PARCIAL</w:t>
      </w:r>
      <w:r w:rsidRPr="00800BCA">
        <w:rPr>
          <w:rFonts w:ascii="Arial" w:hAnsi="Arial" w:cs="Arial"/>
          <w:b/>
          <w:bCs/>
          <w:sz w:val="24"/>
          <w:szCs w:val="24"/>
          <w:lang w:val="es-CO"/>
        </w:rPr>
        <w:t>.</w:t>
      </w:r>
    </w:p>
    <w:p w14:paraId="252B7734" w14:textId="77777777" w:rsidR="00561B22" w:rsidRDefault="00561B22" w:rsidP="00561B22">
      <w:pPr>
        <w:jc w:val="both"/>
        <w:rPr>
          <w:rFonts w:ascii="Arial" w:hAnsi="Arial" w:cs="Arial"/>
          <w:b/>
          <w:bCs/>
          <w:sz w:val="28"/>
          <w:szCs w:val="28"/>
          <w:lang w:val="es-MX"/>
        </w:rPr>
      </w:pPr>
    </w:p>
    <w:p w14:paraId="0F88D013" w14:textId="77777777" w:rsidR="00561B22" w:rsidRPr="00F43DED" w:rsidRDefault="00561B22" w:rsidP="00561B22">
      <w:pPr>
        <w:jc w:val="both"/>
        <w:rPr>
          <w:rFonts w:ascii="Arial" w:hAnsi="Arial" w:cs="Arial"/>
          <w:b/>
          <w:sz w:val="28"/>
          <w:szCs w:val="28"/>
          <w:lang w:val="es-MX"/>
        </w:rPr>
      </w:pPr>
      <w:r w:rsidRPr="00F43DED">
        <w:rPr>
          <w:rFonts w:ascii="Arial" w:hAnsi="Arial" w:cs="Arial"/>
          <w:b/>
          <w:sz w:val="28"/>
          <w:szCs w:val="28"/>
          <w:lang w:val="es-MX"/>
        </w:rPr>
        <w:t>119.- SANATORIO DE AGUA DE DIOS E.S.E.</w:t>
      </w:r>
    </w:p>
    <w:p w14:paraId="0EA315A3" w14:textId="77777777" w:rsidR="00561B22" w:rsidRDefault="00561B22" w:rsidP="00561B22">
      <w:pPr>
        <w:jc w:val="both"/>
        <w:rPr>
          <w:rFonts w:ascii="Arial" w:hAnsi="Arial" w:cs="Arial"/>
          <w:b/>
          <w:bCs/>
          <w:sz w:val="28"/>
          <w:szCs w:val="28"/>
          <w:lang w:val="es-MX"/>
        </w:rPr>
      </w:pPr>
    </w:p>
    <w:p w14:paraId="2181D28D" w14:textId="77777777" w:rsidR="00561B22" w:rsidRPr="00871D8B" w:rsidRDefault="00561B22" w:rsidP="00561B22">
      <w:pPr>
        <w:pStyle w:val="Textoindependiente"/>
        <w:ind w:right="-50"/>
        <w:jc w:val="center"/>
        <w:rPr>
          <w:rFonts w:ascii="Arial" w:hAnsi="Arial" w:cs="Arial"/>
          <w:b/>
          <w:bCs/>
        </w:rPr>
      </w:pPr>
      <w:r w:rsidRPr="00871D8B">
        <w:rPr>
          <w:rFonts w:ascii="Arial" w:hAnsi="Arial" w:cs="Arial"/>
          <w:b/>
          <w:bCs/>
        </w:rPr>
        <w:t>INFORME DE LA AUTOCALIFICACIÓN DEL SISTEMA DE CONTROL INTERNO CONTABLE:</w:t>
      </w:r>
    </w:p>
    <w:p w14:paraId="0C7737E1" w14:textId="77777777" w:rsidR="00561B22" w:rsidRPr="00871D8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71D8B" w14:paraId="2A2EF13A" w14:textId="77777777" w:rsidTr="00F1223B">
        <w:tc>
          <w:tcPr>
            <w:tcW w:w="4981" w:type="dxa"/>
          </w:tcPr>
          <w:p w14:paraId="54A75F3F"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AUTOCALIFICACIÓN</w:t>
            </w:r>
          </w:p>
        </w:tc>
        <w:tc>
          <w:tcPr>
            <w:tcW w:w="4981" w:type="dxa"/>
          </w:tcPr>
          <w:p w14:paraId="33FDC9AE" w14:textId="77777777" w:rsidR="00561B22" w:rsidRPr="00871D8B" w:rsidRDefault="00561B22" w:rsidP="00F1223B">
            <w:pPr>
              <w:jc w:val="center"/>
              <w:rPr>
                <w:rFonts w:ascii="Arial" w:hAnsi="Arial" w:cs="Arial"/>
                <w:b/>
                <w:sz w:val="22"/>
                <w:szCs w:val="22"/>
                <w:u w:val="single"/>
                <w:lang w:val="es-MX"/>
              </w:rPr>
            </w:pPr>
            <w:r w:rsidRPr="00871D8B">
              <w:rPr>
                <w:rFonts w:ascii="Arial" w:hAnsi="Arial" w:cs="Arial"/>
                <w:b/>
                <w:sz w:val="22"/>
                <w:szCs w:val="22"/>
                <w:u w:val="single"/>
                <w:lang w:val="es-MX"/>
              </w:rPr>
              <w:t>4.96</w:t>
            </w:r>
          </w:p>
        </w:tc>
      </w:tr>
    </w:tbl>
    <w:p w14:paraId="65E90FD1" w14:textId="77777777" w:rsidR="00561B22" w:rsidRPr="00871D8B" w:rsidRDefault="00561B22" w:rsidP="00561B22">
      <w:pPr>
        <w:pStyle w:val="Textoindependiente"/>
        <w:ind w:right="-50"/>
        <w:jc w:val="both"/>
        <w:rPr>
          <w:rFonts w:ascii="Arial" w:hAnsi="Arial" w:cs="Arial"/>
          <w:b/>
          <w:bCs/>
        </w:rPr>
      </w:pPr>
    </w:p>
    <w:p w14:paraId="3910A549" w14:textId="77777777" w:rsidR="00561B22" w:rsidRPr="00871D8B" w:rsidRDefault="00561B22" w:rsidP="00561B22">
      <w:pPr>
        <w:pStyle w:val="Textoindependiente"/>
        <w:ind w:right="-50"/>
        <w:jc w:val="both"/>
        <w:rPr>
          <w:rFonts w:ascii="Arial" w:hAnsi="Arial" w:cs="Arial"/>
          <w:b/>
          <w:bCs/>
        </w:rPr>
      </w:pPr>
      <w:r w:rsidRPr="00871D8B">
        <w:rPr>
          <w:rFonts w:ascii="Arial" w:hAnsi="Arial" w:cs="Arial"/>
          <w:b/>
          <w:bCs/>
        </w:rPr>
        <w:t>Del informe enviado retomamos lo siguiente:</w:t>
      </w:r>
    </w:p>
    <w:p w14:paraId="4EA1AB9F" w14:textId="77777777" w:rsidR="00561B22" w:rsidRPr="00871D8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71D8B" w14:paraId="2E4F9D52" w14:textId="77777777" w:rsidTr="00F1223B">
        <w:tc>
          <w:tcPr>
            <w:tcW w:w="562" w:type="dxa"/>
          </w:tcPr>
          <w:p w14:paraId="2B41E541" w14:textId="77777777" w:rsidR="00561B22" w:rsidRPr="00871D8B" w:rsidRDefault="00561B22" w:rsidP="00F1223B">
            <w:pPr>
              <w:ind w:right="-109"/>
              <w:jc w:val="center"/>
              <w:rPr>
                <w:rFonts w:ascii="Arial" w:hAnsi="Arial" w:cs="Arial"/>
                <w:b/>
                <w:sz w:val="22"/>
                <w:szCs w:val="22"/>
                <w:lang w:val="es-MX"/>
              </w:rPr>
            </w:pPr>
            <w:r w:rsidRPr="00871D8B">
              <w:rPr>
                <w:rFonts w:ascii="Arial" w:hAnsi="Arial" w:cs="Arial"/>
                <w:b/>
                <w:sz w:val="22"/>
                <w:szCs w:val="22"/>
                <w:lang w:val="es-MX"/>
              </w:rPr>
              <w:t>N°</w:t>
            </w:r>
          </w:p>
        </w:tc>
        <w:tc>
          <w:tcPr>
            <w:tcW w:w="9400" w:type="dxa"/>
          </w:tcPr>
          <w:p w14:paraId="1A04B712"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DEBILIDADES</w:t>
            </w:r>
          </w:p>
          <w:p w14:paraId="41EFF9D1" w14:textId="77777777" w:rsidR="00561B22" w:rsidRPr="00871D8B" w:rsidRDefault="00561B22" w:rsidP="00F1223B">
            <w:pPr>
              <w:jc w:val="center"/>
              <w:rPr>
                <w:rFonts w:ascii="Arial" w:hAnsi="Arial" w:cs="Arial"/>
                <w:b/>
                <w:sz w:val="22"/>
                <w:szCs w:val="22"/>
                <w:lang w:val="es-MX"/>
              </w:rPr>
            </w:pPr>
          </w:p>
        </w:tc>
      </w:tr>
      <w:tr w:rsidR="00561B22" w:rsidRPr="00871D8B" w14:paraId="0D2A161B" w14:textId="77777777" w:rsidTr="00F1223B">
        <w:tc>
          <w:tcPr>
            <w:tcW w:w="562" w:type="dxa"/>
          </w:tcPr>
          <w:p w14:paraId="3F5316D3"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1</w:t>
            </w:r>
          </w:p>
        </w:tc>
        <w:tc>
          <w:tcPr>
            <w:tcW w:w="9400" w:type="dxa"/>
          </w:tcPr>
          <w:p w14:paraId="719F73CB" w14:textId="77777777" w:rsidR="00561B22" w:rsidRPr="00871D8B" w:rsidRDefault="00561B22" w:rsidP="00F1223B">
            <w:pPr>
              <w:rPr>
                <w:rFonts w:ascii="Arial" w:hAnsi="Arial" w:cs="Arial"/>
                <w:sz w:val="22"/>
                <w:szCs w:val="22"/>
                <w:lang w:val="es-MX"/>
              </w:rPr>
            </w:pPr>
            <w:r w:rsidRPr="00871D8B">
              <w:rPr>
                <w:rFonts w:ascii="Arial" w:hAnsi="Arial" w:cs="Arial"/>
                <w:sz w:val="22"/>
                <w:szCs w:val="22"/>
                <w:lang w:val="es-MX"/>
              </w:rPr>
              <w:t>El Sistema de Información Contable Software PANACEA, aun presenta debilidades en su integralidad, puesto que, no se encuentra en línea con los procesos de costos, presupuestos y subsidios, con este último se generan las interfases correspondientes</w:t>
            </w:r>
          </w:p>
        </w:tc>
      </w:tr>
      <w:tr w:rsidR="00561B22" w:rsidRPr="00871D8B" w14:paraId="58DF4810" w14:textId="77777777" w:rsidTr="00F1223B">
        <w:tc>
          <w:tcPr>
            <w:tcW w:w="562" w:type="dxa"/>
          </w:tcPr>
          <w:p w14:paraId="229EB7E4"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2</w:t>
            </w:r>
          </w:p>
        </w:tc>
        <w:tc>
          <w:tcPr>
            <w:tcW w:w="9400" w:type="dxa"/>
          </w:tcPr>
          <w:p w14:paraId="3E017481" w14:textId="77777777" w:rsidR="00561B22" w:rsidRPr="00871D8B" w:rsidRDefault="00561B22" w:rsidP="00F1223B">
            <w:pPr>
              <w:rPr>
                <w:rFonts w:ascii="Arial" w:hAnsi="Arial" w:cs="Arial"/>
                <w:sz w:val="22"/>
                <w:szCs w:val="22"/>
                <w:lang w:val="es-MX"/>
              </w:rPr>
            </w:pPr>
            <w:r w:rsidRPr="00871D8B">
              <w:rPr>
                <w:rFonts w:ascii="Arial" w:hAnsi="Arial" w:cs="Arial"/>
                <w:sz w:val="22"/>
                <w:szCs w:val="22"/>
                <w:lang w:val="es-MX"/>
              </w:rPr>
              <w:t xml:space="preserve">El Sistema de Información Software PANACEA, No genera estados financieros ni CGN requeridos para reportar la información contable a los entes de control, por lo que se requiere transcribir y consolidar en Excel del balance de prueba que se exporta mensualmente del </w:t>
            </w:r>
            <w:r w:rsidRPr="00871D8B">
              <w:rPr>
                <w:rFonts w:ascii="Arial" w:hAnsi="Arial" w:cs="Arial"/>
                <w:sz w:val="22"/>
                <w:szCs w:val="22"/>
                <w:lang w:val="es-MX"/>
              </w:rPr>
              <w:lastRenderedPageBreak/>
              <w:t>aplicativo PANACEA</w:t>
            </w:r>
          </w:p>
        </w:tc>
      </w:tr>
      <w:tr w:rsidR="00561B22" w:rsidRPr="00871D8B" w14:paraId="512DFC52" w14:textId="77777777" w:rsidTr="00F1223B">
        <w:tc>
          <w:tcPr>
            <w:tcW w:w="562" w:type="dxa"/>
          </w:tcPr>
          <w:p w14:paraId="08DC676E"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lastRenderedPageBreak/>
              <w:t>3</w:t>
            </w:r>
          </w:p>
        </w:tc>
        <w:tc>
          <w:tcPr>
            <w:tcW w:w="9400" w:type="dxa"/>
          </w:tcPr>
          <w:p w14:paraId="0A78A3BB" w14:textId="77777777" w:rsidR="00561B22" w:rsidRPr="00871D8B" w:rsidRDefault="00561B22" w:rsidP="00F1223B">
            <w:pPr>
              <w:jc w:val="both"/>
              <w:rPr>
                <w:rFonts w:ascii="Arial" w:hAnsi="Arial" w:cs="Arial"/>
                <w:sz w:val="22"/>
                <w:szCs w:val="22"/>
                <w:lang w:val="es-MX"/>
              </w:rPr>
            </w:pPr>
            <w:r w:rsidRPr="00871D8B">
              <w:rPr>
                <w:rFonts w:ascii="Arial" w:hAnsi="Arial" w:cs="Arial"/>
                <w:sz w:val="22"/>
                <w:szCs w:val="22"/>
                <w:lang w:val="es-MX"/>
              </w:rPr>
              <w:t xml:space="preserve">El módulo de cuentas por pagar del aplicativo PANACEA, no genera el reporte cuentas por pagar por Edades que es de vital importancia para elaborar el FT004 que se reporta trimestralmente a los entes de control.  </w:t>
            </w:r>
          </w:p>
        </w:tc>
      </w:tr>
    </w:tbl>
    <w:p w14:paraId="6C35C940" w14:textId="77777777" w:rsidR="00561B22" w:rsidRPr="00871D8B" w:rsidRDefault="00561B22" w:rsidP="00561B22">
      <w:pPr>
        <w:pStyle w:val="Textoindependiente"/>
        <w:ind w:right="-50"/>
        <w:jc w:val="both"/>
        <w:rPr>
          <w:rFonts w:ascii="Arial" w:hAnsi="Arial" w:cs="Arial"/>
          <w:b/>
          <w:bCs/>
        </w:rPr>
      </w:pPr>
    </w:p>
    <w:p w14:paraId="667698EE" w14:textId="77777777" w:rsidR="00561B22" w:rsidRPr="00871D8B" w:rsidRDefault="00561B22" w:rsidP="00561B22">
      <w:pPr>
        <w:jc w:val="both"/>
        <w:rPr>
          <w:rFonts w:ascii="Arial" w:hAnsi="Arial" w:cs="Arial"/>
          <w:b/>
          <w:lang w:val="es-MX"/>
        </w:rPr>
      </w:pPr>
      <w:r w:rsidRPr="00871D8B">
        <w:rPr>
          <w:rFonts w:ascii="Arial" w:hAnsi="Arial" w:cs="Arial"/>
          <w:b/>
          <w:lang w:val="es-MX"/>
        </w:rPr>
        <w:t>Del citado informe retomamos las siguientes recomendaciones:</w:t>
      </w:r>
    </w:p>
    <w:p w14:paraId="6ED5C5E3" w14:textId="77777777" w:rsidR="00561B22" w:rsidRPr="00871D8B"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871D8B" w14:paraId="30AE8793" w14:textId="77777777" w:rsidTr="00F1223B">
        <w:tc>
          <w:tcPr>
            <w:tcW w:w="562" w:type="dxa"/>
          </w:tcPr>
          <w:p w14:paraId="1A159718" w14:textId="77777777" w:rsidR="00561B22" w:rsidRPr="00871D8B" w:rsidRDefault="00561B22" w:rsidP="00F1223B">
            <w:pPr>
              <w:ind w:right="-109"/>
              <w:jc w:val="center"/>
              <w:rPr>
                <w:rFonts w:ascii="Arial" w:hAnsi="Arial" w:cs="Arial"/>
                <w:b/>
                <w:sz w:val="22"/>
                <w:szCs w:val="22"/>
                <w:lang w:val="es-MX"/>
              </w:rPr>
            </w:pPr>
            <w:r w:rsidRPr="00871D8B">
              <w:rPr>
                <w:rFonts w:ascii="Arial" w:hAnsi="Arial" w:cs="Arial"/>
                <w:b/>
                <w:sz w:val="22"/>
                <w:szCs w:val="22"/>
                <w:lang w:val="es-MX"/>
              </w:rPr>
              <w:t>N°</w:t>
            </w:r>
          </w:p>
        </w:tc>
        <w:tc>
          <w:tcPr>
            <w:tcW w:w="9400" w:type="dxa"/>
          </w:tcPr>
          <w:p w14:paraId="4952307C"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RECOMENDACIONES</w:t>
            </w:r>
          </w:p>
          <w:p w14:paraId="711AEACC" w14:textId="77777777" w:rsidR="00561B22" w:rsidRPr="00871D8B" w:rsidRDefault="00561B22" w:rsidP="00F1223B">
            <w:pPr>
              <w:jc w:val="center"/>
              <w:rPr>
                <w:rFonts w:ascii="Arial" w:hAnsi="Arial" w:cs="Arial"/>
                <w:b/>
                <w:sz w:val="22"/>
                <w:szCs w:val="22"/>
                <w:lang w:val="es-MX"/>
              </w:rPr>
            </w:pPr>
          </w:p>
        </w:tc>
      </w:tr>
      <w:tr w:rsidR="00561B22" w:rsidRPr="00871D8B" w14:paraId="68FDC895" w14:textId="77777777" w:rsidTr="00F1223B">
        <w:tc>
          <w:tcPr>
            <w:tcW w:w="562" w:type="dxa"/>
          </w:tcPr>
          <w:p w14:paraId="3293E8CC"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1</w:t>
            </w:r>
          </w:p>
        </w:tc>
        <w:tc>
          <w:tcPr>
            <w:tcW w:w="9400" w:type="dxa"/>
          </w:tcPr>
          <w:p w14:paraId="6F569E24" w14:textId="77777777" w:rsidR="00561B22" w:rsidRPr="00871D8B" w:rsidRDefault="00561B22" w:rsidP="00F1223B">
            <w:pPr>
              <w:jc w:val="both"/>
              <w:rPr>
                <w:rFonts w:ascii="Arial" w:hAnsi="Arial" w:cs="Arial"/>
                <w:sz w:val="22"/>
                <w:szCs w:val="22"/>
                <w:lang w:val="es-MX"/>
              </w:rPr>
            </w:pPr>
            <w:r w:rsidRPr="00871D8B">
              <w:rPr>
                <w:rFonts w:ascii="Arial" w:hAnsi="Arial" w:cs="Arial"/>
                <w:sz w:val="22"/>
                <w:szCs w:val="22"/>
                <w:lang w:val="es-MX"/>
              </w:rPr>
              <w:t>Actualizar el Manual de Política Contables y socializarlo con el personal y las áreas involucradas en los diferentes procesos que tengan que ver con el proceso contable de acuerdo con el Marco Normativo para Empresas que no Cotizan en el Mercado de Valores, y que no Captan ni Administran Ahorro del Publico.</w:t>
            </w:r>
          </w:p>
        </w:tc>
      </w:tr>
      <w:tr w:rsidR="00561B22" w:rsidRPr="00871D8B" w14:paraId="0DD596C0" w14:textId="77777777" w:rsidTr="00F1223B">
        <w:tc>
          <w:tcPr>
            <w:tcW w:w="562" w:type="dxa"/>
          </w:tcPr>
          <w:p w14:paraId="6B04DF8E" w14:textId="77777777" w:rsidR="00561B22" w:rsidRPr="00871D8B" w:rsidRDefault="00561B22" w:rsidP="00F1223B">
            <w:pPr>
              <w:jc w:val="center"/>
              <w:rPr>
                <w:rFonts w:ascii="Arial" w:hAnsi="Arial" w:cs="Arial"/>
                <w:b/>
                <w:sz w:val="22"/>
                <w:szCs w:val="22"/>
                <w:lang w:val="es-MX"/>
              </w:rPr>
            </w:pPr>
            <w:r w:rsidRPr="00871D8B">
              <w:rPr>
                <w:rFonts w:ascii="Arial" w:hAnsi="Arial" w:cs="Arial"/>
                <w:b/>
                <w:sz w:val="22"/>
                <w:szCs w:val="22"/>
                <w:lang w:val="es-MX"/>
              </w:rPr>
              <w:t>2</w:t>
            </w:r>
          </w:p>
        </w:tc>
        <w:tc>
          <w:tcPr>
            <w:tcW w:w="9400" w:type="dxa"/>
          </w:tcPr>
          <w:p w14:paraId="35014C36" w14:textId="77777777" w:rsidR="00561B22" w:rsidRPr="00871D8B" w:rsidRDefault="00561B22" w:rsidP="00F1223B">
            <w:pPr>
              <w:jc w:val="both"/>
              <w:rPr>
                <w:rFonts w:ascii="Arial" w:hAnsi="Arial" w:cs="Arial"/>
                <w:sz w:val="22"/>
                <w:szCs w:val="22"/>
                <w:lang w:val="es-MX"/>
              </w:rPr>
            </w:pPr>
            <w:r w:rsidRPr="00871D8B">
              <w:rPr>
                <w:rFonts w:ascii="Arial" w:hAnsi="Arial" w:cs="Arial"/>
                <w:sz w:val="22"/>
                <w:szCs w:val="22"/>
                <w:lang w:val="es-MX"/>
              </w:rPr>
              <w:t xml:space="preserve">Expedir un acto administrativo con la formulación de la actualización de las Políticas Contables y su correcta aplicación en los diferentes procesos administrativos, operativos y misionales de la Entidad.  </w:t>
            </w:r>
          </w:p>
        </w:tc>
      </w:tr>
    </w:tbl>
    <w:p w14:paraId="56050323" w14:textId="77777777" w:rsidR="00561B22" w:rsidRPr="00871D8B" w:rsidRDefault="00561B22" w:rsidP="00561B22">
      <w:pPr>
        <w:jc w:val="both"/>
        <w:rPr>
          <w:rFonts w:ascii="Arial" w:hAnsi="Arial" w:cs="Arial"/>
          <w:b/>
          <w:bCs/>
          <w:sz w:val="24"/>
          <w:szCs w:val="24"/>
          <w:lang w:val="es-CO"/>
        </w:rPr>
      </w:pPr>
    </w:p>
    <w:p w14:paraId="1956492F" w14:textId="77777777" w:rsidR="00561B22" w:rsidRPr="00871D8B" w:rsidRDefault="00561B22" w:rsidP="00561B22">
      <w:pPr>
        <w:jc w:val="both"/>
        <w:rPr>
          <w:rFonts w:ascii="Arial" w:hAnsi="Arial" w:cs="Arial"/>
          <w:b/>
          <w:bCs/>
          <w:sz w:val="24"/>
          <w:szCs w:val="24"/>
          <w:lang w:val="es-CO"/>
        </w:rPr>
      </w:pPr>
      <w:r w:rsidRPr="00871D8B">
        <w:rPr>
          <w:rFonts w:ascii="Arial" w:hAnsi="Arial" w:cs="Arial"/>
          <w:b/>
          <w:bCs/>
          <w:sz w:val="24"/>
          <w:szCs w:val="24"/>
          <w:lang w:val="es-CO"/>
        </w:rPr>
        <w:t xml:space="preserve">NOTA: LA ENTIDAD ENVIA LA MATRIZ DE AUTOEVALUACIÓN DEL SISTEMA DE CONTROL INTERNO CONTABLE CON </w:t>
      </w:r>
      <w:r w:rsidRPr="00871D8B">
        <w:rPr>
          <w:rFonts w:ascii="Arial" w:hAnsi="Arial" w:cs="Arial"/>
          <w:b/>
          <w:bCs/>
          <w:sz w:val="24"/>
          <w:szCs w:val="24"/>
          <w:u w:val="single"/>
          <w:lang w:val="es-CO"/>
        </w:rPr>
        <w:t>ACTIVIDADES DE CONTROL REALIZADAS EN FORMA PARCIAL</w:t>
      </w:r>
      <w:r w:rsidRPr="00871D8B">
        <w:rPr>
          <w:rFonts w:ascii="Arial" w:hAnsi="Arial" w:cs="Arial"/>
          <w:b/>
          <w:bCs/>
          <w:sz w:val="24"/>
          <w:szCs w:val="24"/>
          <w:lang w:val="es-CO"/>
        </w:rPr>
        <w:t>.</w:t>
      </w:r>
    </w:p>
    <w:p w14:paraId="1E424008" w14:textId="77777777" w:rsidR="00561B22" w:rsidRPr="00871D8B" w:rsidRDefault="00561B22" w:rsidP="00561B22">
      <w:pPr>
        <w:pStyle w:val="Textoindependiente"/>
        <w:ind w:right="-50"/>
        <w:jc w:val="both"/>
        <w:rPr>
          <w:rFonts w:ascii="Arial" w:hAnsi="Arial" w:cs="Arial"/>
          <w:b/>
          <w:bCs/>
          <w:sz w:val="28"/>
          <w:szCs w:val="28"/>
        </w:rPr>
      </w:pPr>
    </w:p>
    <w:p w14:paraId="6E9F2FF8" w14:textId="77777777" w:rsidR="00561B22" w:rsidRPr="00D70744" w:rsidRDefault="00561B22" w:rsidP="00561B22">
      <w:pPr>
        <w:jc w:val="both"/>
        <w:rPr>
          <w:rFonts w:ascii="Arial" w:hAnsi="Arial" w:cs="Arial"/>
          <w:b/>
          <w:sz w:val="28"/>
          <w:szCs w:val="28"/>
          <w:lang w:val="es-MX"/>
        </w:rPr>
      </w:pPr>
      <w:r w:rsidRPr="00D70744">
        <w:rPr>
          <w:rFonts w:ascii="Arial" w:hAnsi="Arial" w:cs="Arial"/>
          <w:b/>
          <w:sz w:val="28"/>
          <w:szCs w:val="28"/>
          <w:lang w:val="es-MX"/>
        </w:rPr>
        <w:t>120.- CORPORACIÓN AUTÓNOMA REGIONAL DEL CAUCA - CRC.</w:t>
      </w:r>
    </w:p>
    <w:p w14:paraId="6C003EB8" w14:textId="77777777" w:rsidR="00561B22" w:rsidRDefault="00561B22" w:rsidP="00561B22">
      <w:pPr>
        <w:pStyle w:val="Textoindependiente"/>
        <w:tabs>
          <w:tab w:val="left" w:pos="2055"/>
        </w:tabs>
        <w:spacing w:before="5"/>
        <w:rPr>
          <w:rFonts w:ascii="Arial" w:hAnsi="Arial" w:cs="Arial"/>
          <w:sz w:val="17"/>
        </w:rPr>
      </w:pPr>
    </w:p>
    <w:p w14:paraId="6072FBF9" w14:textId="77777777" w:rsidR="00561B22" w:rsidRPr="00D70744" w:rsidRDefault="00561B22" w:rsidP="00561B22">
      <w:pPr>
        <w:pStyle w:val="Textoindependiente"/>
        <w:ind w:right="-50"/>
        <w:jc w:val="center"/>
        <w:rPr>
          <w:rFonts w:ascii="Arial" w:hAnsi="Arial" w:cs="Arial"/>
          <w:b/>
          <w:bCs/>
        </w:rPr>
      </w:pPr>
      <w:r w:rsidRPr="00D70744">
        <w:rPr>
          <w:rFonts w:ascii="Arial" w:hAnsi="Arial" w:cs="Arial"/>
          <w:b/>
          <w:bCs/>
        </w:rPr>
        <w:t>INFORME DE LA AUTOCALIFICACIÓN DEL SISTEMA DE CONTROL INTERNO CONTABLE:</w:t>
      </w:r>
    </w:p>
    <w:p w14:paraId="36396549" w14:textId="77777777" w:rsidR="00561B22" w:rsidRPr="00D7074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70744" w14:paraId="6C657A86" w14:textId="77777777" w:rsidTr="00F1223B">
        <w:tc>
          <w:tcPr>
            <w:tcW w:w="4981" w:type="dxa"/>
          </w:tcPr>
          <w:p w14:paraId="52EF7597" w14:textId="77777777" w:rsidR="00561B22" w:rsidRPr="00D70744" w:rsidRDefault="00561B22" w:rsidP="00F1223B">
            <w:pPr>
              <w:jc w:val="center"/>
              <w:rPr>
                <w:rFonts w:ascii="Arial" w:hAnsi="Arial" w:cs="Arial"/>
                <w:b/>
                <w:sz w:val="22"/>
                <w:szCs w:val="22"/>
                <w:lang w:val="es-MX"/>
              </w:rPr>
            </w:pPr>
            <w:r w:rsidRPr="00D70744">
              <w:rPr>
                <w:rFonts w:ascii="Arial" w:hAnsi="Arial" w:cs="Arial"/>
                <w:b/>
                <w:sz w:val="22"/>
                <w:szCs w:val="22"/>
                <w:lang w:val="es-MX"/>
              </w:rPr>
              <w:t>AUTOCALIFICACIÓN</w:t>
            </w:r>
          </w:p>
        </w:tc>
        <w:tc>
          <w:tcPr>
            <w:tcW w:w="4981" w:type="dxa"/>
          </w:tcPr>
          <w:p w14:paraId="477EF40D" w14:textId="77777777" w:rsidR="00561B22" w:rsidRPr="00D70744" w:rsidRDefault="00561B22" w:rsidP="00F1223B">
            <w:pPr>
              <w:jc w:val="center"/>
              <w:rPr>
                <w:rFonts w:ascii="Arial" w:hAnsi="Arial" w:cs="Arial"/>
                <w:b/>
                <w:sz w:val="22"/>
                <w:szCs w:val="22"/>
                <w:u w:val="single"/>
                <w:lang w:val="es-MX"/>
              </w:rPr>
            </w:pPr>
            <w:r w:rsidRPr="00D70744">
              <w:rPr>
                <w:rFonts w:ascii="Arial" w:hAnsi="Arial" w:cs="Arial"/>
                <w:b/>
                <w:sz w:val="22"/>
                <w:szCs w:val="22"/>
                <w:u w:val="single"/>
                <w:lang w:val="es-MX"/>
              </w:rPr>
              <w:t>4.91</w:t>
            </w:r>
          </w:p>
        </w:tc>
      </w:tr>
    </w:tbl>
    <w:p w14:paraId="0C1A64CA" w14:textId="77777777" w:rsidR="00561B22" w:rsidRPr="00D70744" w:rsidRDefault="00561B22" w:rsidP="00561B22">
      <w:pPr>
        <w:pStyle w:val="Textoindependiente"/>
        <w:ind w:right="-50"/>
        <w:jc w:val="both"/>
        <w:rPr>
          <w:rFonts w:ascii="Arial" w:hAnsi="Arial" w:cs="Arial"/>
          <w:b/>
          <w:bCs/>
        </w:rPr>
      </w:pPr>
    </w:p>
    <w:p w14:paraId="6B994178" w14:textId="77777777" w:rsidR="00561B22" w:rsidRPr="00D70744" w:rsidRDefault="00561B22" w:rsidP="00561B22">
      <w:pPr>
        <w:pStyle w:val="Textoindependiente"/>
        <w:ind w:right="-50"/>
        <w:jc w:val="both"/>
        <w:rPr>
          <w:rFonts w:ascii="Arial" w:hAnsi="Arial" w:cs="Arial"/>
          <w:b/>
          <w:bCs/>
        </w:rPr>
      </w:pPr>
      <w:r w:rsidRPr="00D70744">
        <w:rPr>
          <w:rFonts w:ascii="Arial" w:hAnsi="Arial" w:cs="Arial"/>
          <w:b/>
          <w:bCs/>
        </w:rPr>
        <w:t>Del informe enviado retomamos lo siguiente:</w:t>
      </w:r>
    </w:p>
    <w:p w14:paraId="71717940" w14:textId="77777777" w:rsidR="00561B22" w:rsidRPr="00D7074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70744" w14:paraId="2068FD32" w14:textId="77777777" w:rsidTr="00F1223B">
        <w:tc>
          <w:tcPr>
            <w:tcW w:w="562" w:type="dxa"/>
          </w:tcPr>
          <w:p w14:paraId="29457261" w14:textId="77777777" w:rsidR="00561B22" w:rsidRPr="00D70744" w:rsidRDefault="00561B22" w:rsidP="00F1223B">
            <w:pPr>
              <w:ind w:right="-109"/>
              <w:jc w:val="center"/>
              <w:rPr>
                <w:rFonts w:ascii="Arial" w:hAnsi="Arial" w:cs="Arial"/>
                <w:b/>
                <w:sz w:val="22"/>
                <w:szCs w:val="22"/>
                <w:lang w:val="es-MX"/>
              </w:rPr>
            </w:pPr>
            <w:r w:rsidRPr="00D70744">
              <w:rPr>
                <w:rFonts w:ascii="Arial" w:hAnsi="Arial" w:cs="Arial"/>
                <w:b/>
                <w:sz w:val="22"/>
                <w:szCs w:val="22"/>
                <w:lang w:val="es-MX"/>
              </w:rPr>
              <w:t>N°</w:t>
            </w:r>
          </w:p>
        </w:tc>
        <w:tc>
          <w:tcPr>
            <w:tcW w:w="9400" w:type="dxa"/>
          </w:tcPr>
          <w:p w14:paraId="6841BCE4" w14:textId="77777777" w:rsidR="00561B22" w:rsidRPr="00D70744" w:rsidRDefault="00561B22" w:rsidP="00F1223B">
            <w:pPr>
              <w:jc w:val="center"/>
              <w:rPr>
                <w:rFonts w:ascii="Arial" w:hAnsi="Arial" w:cs="Arial"/>
                <w:b/>
                <w:sz w:val="22"/>
                <w:szCs w:val="22"/>
                <w:lang w:val="es-MX"/>
              </w:rPr>
            </w:pPr>
            <w:r w:rsidRPr="00D70744">
              <w:rPr>
                <w:rFonts w:ascii="Arial" w:hAnsi="Arial" w:cs="Arial"/>
                <w:b/>
                <w:sz w:val="22"/>
                <w:szCs w:val="22"/>
                <w:lang w:val="es-MX"/>
              </w:rPr>
              <w:t>DEBILIDADES</w:t>
            </w:r>
          </w:p>
          <w:p w14:paraId="3CF865DF" w14:textId="77777777" w:rsidR="00561B22" w:rsidRPr="00D70744" w:rsidRDefault="00561B22" w:rsidP="00F1223B">
            <w:pPr>
              <w:jc w:val="center"/>
              <w:rPr>
                <w:rFonts w:ascii="Arial" w:hAnsi="Arial" w:cs="Arial"/>
                <w:b/>
                <w:sz w:val="22"/>
                <w:szCs w:val="22"/>
                <w:lang w:val="es-MX"/>
              </w:rPr>
            </w:pPr>
          </w:p>
        </w:tc>
      </w:tr>
      <w:tr w:rsidR="00561B22" w:rsidRPr="00D70744" w14:paraId="16310CCF" w14:textId="77777777" w:rsidTr="00F1223B">
        <w:tc>
          <w:tcPr>
            <w:tcW w:w="562" w:type="dxa"/>
          </w:tcPr>
          <w:p w14:paraId="76C63131" w14:textId="77777777" w:rsidR="00561B22" w:rsidRPr="00D70744" w:rsidRDefault="00561B22" w:rsidP="00F1223B">
            <w:pPr>
              <w:jc w:val="center"/>
              <w:rPr>
                <w:rFonts w:ascii="Arial" w:hAnsi="Arial" w:cs="Arial"/>
                <w:b/>
                <w:sz w:val="22"/>
                <w:szCs w:val="22"/>
                <w:lang w:val="es-MX"/>
              </w:rPr>
            </w:pPr>
            <w:r w:rsidRPr="00D70744">
              <w:rPr>
                <w:rFonts w:ascii="Arial" w:hAnsi="Arial" w:cs="Arial"/>
                <w:b/>
                <w:sz w:val="22"/>
                <w:szCs w:val="22"/>
                <w:lang w:val="es-MX"/>
              </w:rPr>
              <w:t>1</w:t>
            </w:r>
          </w:p>
        </w:tc>
        <w:tc>
          <w:tcPr>
            <w:tcW w:w="9400" w:type="dxa"/>
          </w:tcPr>
          <w:p w14:paraId="2C5A1053" w14:textId="77777777" w:rsidR="00561B22" w:rsidRPr="00D70744" w:rsidRDefault="00561B22" w:rsidP="00F1223B">
            <w:pPr>
              <w:jc w:val="both"/>
              <w:rPr>
                <w:rFonts w:ascii="Arial" w:hAnsi="Arial" w:cs="Arial"/>
                <w:sz w:val="22"/>
                <w:szCs w:val="22"/>
                <w:lang w:val="es-MX"/>
              </w:rPr>
            </w:pPr>
            <w:r w:rsidRPr="00D70744">
              <w:rPr>
                <w:rFonts w:ascii="Arial" w:hAnsi="Arial" w:cs="Arial"/>
                <w:sz w:val="22"/>
                <w:szCs w:val="22"/>
                <w:lang w:val="es-MX"/>
              </w:rPr>
              <w:t xml:space="preserve">Actualmente, el cálculo del deterioro de la cartera se realiza de manera manual, a pesar de que el software contable dispone de una herramienta automatizada para este propósito. </w:t>
            </w:r>
          </w:p>
        </w:tc>
      </w:tr>
      <w:tr w:rsidR="00561B22" w:rsidRPr="00D70744" w14:paraId="315409F3" w14:textId="77777777" w:rsidTr="00F1223B">
        <w:tc>
          <w:tcPr>
            <w:tcW w:w="562" w:type="dxa"/>
          </w:tcPr>
          <w:p w14:paraId="72C50DB4" w14:textId="77777777" w:rsidR="00561B22" w:rsidRPr="00D70744" w:rsidRDefault="00561B22" w:rsidP="00F1223B">
            <w:pPr>
              <w:jc w:val="center"/>
              <w:rPr>
                <w:rFonts w:ascii="Arial" w:hAnsi="Arial" w:cs="Arial"/>
                <w:b/>
                <w:sz w:val="22"/>
                <w:szCs w:val="22"/>
                <w:lang w:val="es-MX"/>
              </w:rPr>
            </w:pPr>
            <w:r w:rsidRPr="00D70744">
              <w:rPr>
                <w:rFonts w:ascii="Arial" w:hAnsi="Arial" w:cs="Arial"/>
                <w:b/>
                <w:sz w:val="22"/>
                <w:szCs w:val="22"/>
                <w:lang w:val="es-MX"/>
              </w:rPr>
              <w:t>2</w:t>
            </w:r>
          </w:p>
        </w:tc>
        <w:tc>
          <w:tcPr>
            <w:tcW w:w="9400" w:type="dxa"/>
          </w:tcPr>
          <w:p w14:paraId="0CABAE8D" w14:textId="77777777" w:rsidR="00561B22" w:rsidRPr="00D70744" w:rsidRDefault="00561B22" w:rsidP="00F1223B">
            <w:pPr>
              <w:jc w:val="both"/>
              <w:rPr>
                <w:rFonts w:ascii="Arial" w:hAnsi="Arial" w:cs="Arial"/>
                <w:sz w:val="22"/>
                <w:szCs w:val="22"/>
                <w:lang w:val="es-MX"/>
              </w:rPr>
            </w:pPr>
            <w:r w:rsidRPr="00D70744">
              <w:rPr>
                <w:rFonts w:ascii="Arial" w:hAnsi="Arial" w:cs="Arial"/>
                <w:sz w:val="22"/>
                <w:szCs w:val="22"/>
                <w:lang w:val="es-MX"/>
              </w:rPr>
              <w:t>La entidad carece de un instructivo específico que regule el flujo de información entre las diferentes dependencias, lo que puede generar ineficiencias y falta de coordinación en los procesos internos.</w:t>
            </w:r>
          </w:p>
        </w:tc>
      </w:tr>
    </w:tbl>
    <w:p w14:paraId="000E87FF" w14:textId="77777777" w:rsidR="00561B22" w:rsidRPr="00D70744" w:rsidRDefault="00561B22" w:rsidP="00561B22">
      <w:pPr>
        <w:pStyle w:val="Textoindependiente"/>
        <w:ind w:right="-50"/>
        <w:jc w:val="both"/>
        <w:rPr>
          <w:rFonts w:ascii="Arial" w:hAnsi="Arial" w:cs="Arial"/>
          <w:b/>
          <w:bCs/>
        </w:rPr>
      </w:pPr>
    </w:p>
    <w:p w14:paraId="4883F783" w14:textId="77777777" w:rsidR="00561B22" w:rsidRPr="00D70744" w:rsidRDefault="00561B22" w:rsidP="00561B22">
      <w:pPr>
        <w:jc w:val="both"/>
        <w:rPr>
          <w:rFonts w:ascii="Arial" w:hAnsi="Arial" w:cs="Arial"/>
          <w:b/>
          <w:lang w:val="es-MX"/>
        </w:rPr>
      </w:pPr>
      <w:r w:rsidRPr="00D70744">
        <w:rPr>
          <w:rFonts w:ascii="Arial" w:hAnsi="Arial" w:cs="Arial"/>
          <w:b/>
          <w:lang w:val="es-MX"/>
        </w:rPr>
        <w:t>Del citado informe retomamos las siguientes recomendaciones:</w:t>
      </w:r>
    </w:p>
    <w:p w14:paraId="09BB2713" w14:textId="77777777" w:rsidR="00561B22" w:rsidRPr="00D70744"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D70744" w14:paraId="434C4E81" w14:textId="77777777" w:rsidTr="00F1223B">
        <w:tc>
          <w:tcPr>
            <w:tcW w:w="562" w:type="dxa"/>
          </w:tcPr>
          <w:p w14:paraId="6BD6B3C7" w14:textId="77777777" w:rsidR="00561B22" w:rsidRPr="00D70744" w:rsidRDefault="00561B22" w:rsidP="00F1223B">
            <w:pPr>
              <w:ind w:right="-109"/>
              <w:jc w:val="center"/>
              <w:rPr>
                <w:rFonts w:ascii="Arial" w:hAnsi="Arial" w:cs="Arial"/>
                <w:b/>
                <w:sz w:val="22"/>
                <w:szCs w:val="22"/>
                <w:lang w:val="es-MX"/>
              </w:rPr>
            </w:pPr>
            <w:r w:rsidRPr="00D70744">
              <w:rPr>
                <w:rFonts w:ascii="Arial" w:hAnsi="Arial" w:cs="Arial"/>
                <w:b/>
                <w:sz w:val="22"/>
                <w:szCs w:val="22"/>
                <w:lang w:val="es-MX"/>
              </w:rPr>
              <w:t>N°</w:t>
            </w:r>
          </w:p>
        </w:tc>
        <w:tc>
          <w:tcPr>
            <w:tcW w:w="9400" w:type="dxa"/>
          </w:tcPr>
          <w:p w14:paraId="26BBDC1F" w14:textId="77777777" w:rsidR="00561B22" w:rsidRPr="00D70744" w:rsidRDefault="00561B22" w:rsidP="00F1223B">
            <w:pPr>
              <w:jc w:val="center"/>
              <w:rPr>
                <w:rFonts w:ascii="Arial" w:hAnsi="Arial" w:cs="Arial"/>
                <w:b/>
                <w:sz w:val="22"/>
                <w:szCs w:val="22"/>
                <w:lang w:val="es-MX"/>
              </w:rPr>
            </w:pPr>
            <w:r w:rsidRPr="00D70744">
              <w:rPr>
                <w:rFonts w:ascii="Arial" w:hAnsi="Arial" w:cs="Arial"/>
                <w:b/>
                <w:sz w:val="22"/>
                <w:szCs w:val="22"/>
                <w:lang w:val="es-MX"/>
              </w:rPr>
              <w:t>RECOMENDACIONES</w:t>
            </w:r>
          </w:p>
          <w:p w14:paraId="0FF84A6F" w14:textId="77777777" w:rsidR="00561B22" w:rsidRPr="00D70744" w:rsidRDefault="00561B22" w:rsidP="00F1223B">
            <w:pPr>
              <w:jc w:val="center"/>
              <w:rPr>
                <w:rFonts w:ascii="Arial" w:hAnsi="Arial" w:cs="Arial"/>
                <w:b/>
                <w:sz w:val="22"/>
                <w:szCs w:val="22"/>
                <w:lang w:val="es-MX"/>
              </w:rPr>
            </w:pPr>
          </w:p>
        </w:tc>
      </w:tr>
      <w:tr w:rsidR="00561B22" w:rsidRPr="00D70744" w14:paraId="338C680B" w14:textId="77777777" w:rsidTr="00F1223B">
        <w:tc>
          <w:tcPr>
            <w:tcW w:w="562" w:type="dxa"/>
          </w:tcPr>
          <w:p w14:paraId="616C7DF5" w14:textId="77777777" w:rsidR="00561B22" w:rsidRPr="00D70744" w:rsidRDefault="00561B22" w:rsidP="00F1223B">
            <w:pPr>
              <w:jc w:val="center"/>
              <w:rPr>
                <w:rFonts w:ascii="Arial" w:hAnsi="Arial" w:cs="Arial"/>
                <w:b/>
                <w:sz w:val="22"/>
                <w:szCs w:val="22"/>
                <w:lang w:val="es-MX"/>
              </w:rPr>
            </w:pPr>
            <w:r w:rsidRPr="00D70744">
              <w:rPr>
                <w:rFonts w:ascii="Arial" w:hAnsi="Arial" w:cs="Arial"/>
                <w:b/>
                <w:sz w:val="22"/>
                <w:szCs w:val="22"/>
                <w:lang w:val="es-MX"/>
              </w:rPr>
              <w:t>1</w:t>
            </w:r>
          </w:p>
        </w:tc>
        <w:tc>
          <w:tcPr>
            <w:tcW w:w="9400" w:type="dxa"/>
          </w:tcPr>
          <w:p w14:paraId="1A290AB4" w14:textId="77777777" w:rsidR="00561B22" w:rsidRPr="00D70744" w:rsidRDefault="00561B22" w:rsidP="00F1223B">
            <w:pPr>
              <w:jc w:val="both"/>
              <w:rPr>
                <w:rFonts w:ascii="Arial" w:hAnsi="Arial" w:cs="Arial"/>
                <w:sz w:val="22"/>
                <w:szCs w:val="22"/>
                <w:lang w:val="es-MX"/>
              </w:rPr>
            </w:pPr>
            <w:r w:rsidRPr="00D70744">
              <w:rPr>
                <w:rFonts w:ascii="Arial" w:hAnsi="Arial" w:cs="Arial"/>
                <w:sz w:val="22"/>
                <w:szCs w:val="22"/>
                <w:lang w:val="es-MX"/>
              </w:rPr>
              <w:t>Continuar con el avance en la legalización de los predios de los asentamientos en poder de terceros desde la época de reconstrucción de Popayán, es crucial para garantizar la seguridad jurídica de estos activos. Aunque actualmente se controlen a través de cuentas de orden, la regularización de la tenencia de estos terrenos proporcionaría una base sólida para su gestión y desarrollo futuro. Esto implicaría realizar un seguimiento diligente de los procesos legales necesarios, como la identificación de propietarios legítimos, la obtención de títulos de propiedad o la negociación de acuerdos de compra.</w:t>
            </w:r>
            <w:r w:rsidRPr="00D70744">
              <w:rPr>
                <w:rFonts w:ascii="Arial" w:hAnsi="Arial" w:cs="Arial"/>
                <w:sz w:val="22"/>
                <w:szCs w:val="22"/>
              </w:rPr>
              <w:t xml:space="preserve"> </w:t>
            </w:r>
            <w:r w:rsidRPr="00D70744">
              <w:rPr>
                <w:rFonts w:ascii="Arial" w:hAnsi="Arial" w:cs="Arial"/>
                <w:sz w:val="22"/>
                <w:szCs w:val="22"/>
                <w:lang w:val="es-MX"/>
              </w:rPr>
              <w:t xml:space="preserve">Al resolver esta situación, se mitigaría el riesgo asociado a la incertidumbre legal y se crearían oportunidades para la inversión y el desarrollo sostenible en la región.   </w:t>
            </w:r>
          </w:p>
        </w:tc>
      </w:tr>
    </w:tbl>
    <w:p w14:paraId="2C8040DE" w14:textId="77777777" w:rsidR="00561B22" w:rsidRPr="00D70744" w:rsidRDefault="00561B22" w:rsidP="00561B22">
      <w:pPr>
        <w:pStyle w:val="Textoindependiente"/>
        <w:ind w:right="-50"/>
        <w:jc w:val="both"/>
        <w:rPr>
          <w:rFonts w:ascii="Arial" w:hAnsi="Arial" w:cs="Arial"/>
          <w:b/>
          <w:bCs/>
        </w:rPr>
      </w:pPr>
    </w:p>
    <w:p w14:paraId="4F455A71" w14:textId="77777777" w:rsidR="00561B22" w:rsidRDefault="00561B22" w:rsidP="00561B22">
      <w:pPr>
        <w:jc w:val="both"/>
        <w:rPr>
          <w:rFonts w:ascii="Arial" w:hAnsi="Arial" w:cs="Arial"/>
          <w:b/>
          <w:bCs/>
          <w:sz w:val="24"/>
          <w:szCs w:val="24"/>
          <w:lang w:val="es-CO"/>
        </w:rPr>
      </w:pPr>
      <w:r w:rsidRPr="00D70744">
        <w:rPr>
          <w:rFonts w:ascii="Arial" w:hAnsi="Arial" w:cs="Arial"/>
          <w:b/>
          <w:bCs/>
          <w:sz w:val="24"/>
          <w:szCs w:val="24"/>
          <w:lang w:val="es-CO"/>
        </w:rPr>
        <w:lastRenderedPageBreak/>
        <w:t xml:space="preserve">NOTA: LA ENTIDAD ENVIA LA MATRIZ DE AUTOEVALUACIÓN DEL SISTEMA DE CONTROL INTERNO CONTABLE CON </w:t>
      </w:r>
      <w:r w:rsidRPr="00D70744">
        <w:rPr>
          <w:rFonts w:ascii="Arial" w:hAnsi="Arial" w:cs="Arial"/>
          <w:b/>
          <w:bCs/>
          <w:sz w:val="24"/>
          <w:szCs w:val="24"/>
          <w:u w:val="single"/>
          <w:lang w:val="es-CO"/>
        </w:rPr>
        <w:t>ACTIVIDADES DE CONTROL REALIZADAS EN FORMA PARCIAL</w:t>
      </w:r>
      <w:r w:rsidRPr="00D70744">
        <w:rPr>
          <w:rFonts w:ascii="Arial" w:hAnsi="Arial" w:cs="Arial"/>
          <w:b/>
          <w:bCs/>
          <w:sz w:val="24"/>
          <w:szCs w:val="24"/>
          <w:lang w:val="es-CO"/>
        </w:rPr>
        <w:t>.</w:t>
      </w:r>
    </w:p>
    <w:p w14:paraId="32AB7A11" w14:textId="77777777" w:rsidR="00561B22" w:rsidRDefault="00561B22" w:rsidP="00561B22">
      <w:pPr>
        <w:jc w:val="both"/>
        <w:rPr>
          <w:rFonts w:ascii="Arial" w:hAnsi="Arial" w:cs="Arial"/>
          <w:b/>
          <w:bCs/>
          <w:sz w:val="24"/>
          <w:szCs w:val="24"/>
          <w:lang w:val="es-CO"/>
        </w:rPr>
      </w:pPr>
    </w:p>
    <w:p w14:paraId="7776AFEB" w14:textId="77777777" w:rsidR="00561B22" w:rsidRPr="00E5293C" w:rsidRDefault="00561B22" w:rsidP="00561B22">
      <w:pPr>
        <w:jc w:val="both"/>
        <w:rPr>
          <w:rFonts w:ascii="Arial" w:hAnsi="Arial" w:cs="Arial"/>
          <w:b/>
          <w:sz w:val="28"/>
          <w:szCs w:val="28"/>
          <w:lang w:val="es-MX"/>
        </w:rPr>
      </w:pPr>
      <w:r w:rsidRPr="00E5293C">
        <w:rPr>
          <w:rFonts w:ascii="Arial" w:hAnsi="Arial" w:cs="Arial"/>
          <w:b/>
          <w:sz w:val="28"/>
          <w:szCs w:val="28"/>
          <w:lang w:val="es-MX"/>
        </w:rPr>
        <w:t xml:space="preserve">121.- INSTITUTO NACIONAL DE FORMACIÓN TÉCNICA PROFESIONAL DE SAN JUAN DEL CESAR LA GUAJIRA – INFOTEP. </w:t>
      </w:r>
    </w:p>
    <w:p w14:paraId="1F47D118" w14:textId="77777777" w:rsidR="00561B22" w:rsidRDefault="00561B22" w:rsidP="00561B22">
      <w:pPr>
        <w:jc w:val="both"/>
        <w:rPr>
          <w:rFonts w:ascii="Arial" w:hAnsi="Arial" w:cs="Arial"/>
          <w:b/>
          <w:sz w:val="28"/>
          <w:szCs w:val="28"/>
          <w:lang w:val="es-MX"/>
        </w:rPr>
      </w:pPr>
    </w:p>
    <w:p w14:paraId="212D4FFA" w14:textId="77777777" w:rsidR="00561B22" w:rsidRPr="00E5293C" w:rsidRDefault="00561B22" w:rsidP="00561B22">
      <w:pPr>
        <w:pStyle w:val="Textoindependiente"/>
        <w:ind w:right="-50"/>
        <w:jc w:val="center"/>
        <w:rPr>
          <w:rFonts w:ascii="Arial" w:hAnsi="Arial" w:cs="Arial"/>
          <w:b/>
          <w:bCs/>
        </w:rPr>
      </w:pPr>
      <w:r w:rsidRPr="00E5293C">
        <w:rPr>
          <w:rFonts w:ascii="Arial" w:hAnsi="Arial" w:cs="Arial"/>
          <w:b/>
          <w:bCs/>
        </w:rPr>
        <w:t>INFORME DE LA AUTOCALIFICACIÓN DEL SISTEMA DE CONTROL INTERNO CONTABLE:</w:t>
      </w:r>
    </w:p>
    <w:p w14:paraId="6261DD85" w14:textId="77777777" w:rsidR="00561B22" w:rsidRPr="00E5293C"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E5293C" w14:paraId="3682DEB2" w14:textId="77777777" w:rsidTr="00F1223B">
        <w:tc>
          <w:tcPr>
            <w:tcW w:w="4981" w:type="dxa"/>
          </w:tcPr>
          <w:p w14:paraId="5F7C1DE4" w14:textId="77777777" w:rsidR="00561B22" w:rsidRPr="00E5293C" w:rsidRDefault="00561B22" w:rsidP="00F1223B">
            <w:pPr>
              <w:jc w:val="center"/>
              <w:rPr>
                <w:rFonts w:ascii="Arial" w:hAnsi="Arial" w:cs="Arial"/>
                <w:b/>
                <w:sz w:val="24"/>
                <w:szCs w:val="24"/>
                <w:lang w:val="es-MX"/>
              </w:rPr>
            </w:pPr>
            <w:r w:rsidRPr="00E5293C">
              <w:rPr>
                <w:rFonts w:ascii="Arial" w:hAnsi="Arial" w:cs="Arial"/>
                <w:b/>
                <w:sz w:val="24"/>
                <w:szCs w:val="24"/>
                <w:lang w:val="es-MX"/>
              </w:rPr>
              <w:t>AUTOCALIFICACIÓN</w:t>
            </w:r>
          </w:p>
        </w:tc>
        <w:tc>
          <w:tcPr>
            <w:tcW w:w="4981" w:type="dxa"/>
          </w:tcPr>
          <w:p w14:paraId="3793A738" w14:textId="77777777" w:rsidR="00561B22" w:rsidRPr="00E5293C" w:rsidRDefault="00561B22" w:rsidP="00F1223B">
            <w:pPr>
              <w:jc w:val="center"/>
              <w:rPr>
                <w:rFonts w:ascii="Arial" w:hAnsi="Arial" w:cs="Arial"/>
                <w:b/>
                <w:sz w:val="24"/>
                <w:szCs w:val="24"/>
                <w:u w:val="single"/>
                <w:lang w:val="es-MX"/>
              </w:rPr>
            </w:pPr>
            <w:r w:rsidRPr="00E5293C">
              <w:rPr>
                <w:rFonts w:ascii="Arial" w:hAnsi="Arial" w:cs="Arial"/>
                <w:b/>
                <w:sz w:val="24"/>
                <w:szCs w:val="24"/>
                <w:u w:val="single"/>
                <w:lang w:val="es-MX"/>
              </w:rPr>
              <w:t>4.71</w:t>
            </w:r>
          </w:p>
        </w:tc>
      </w:tr>
    </w:tbl>
    <w:p w14:paraId="55A613DA" w14:textId="77777777" w:rsidR="00561B22" w:rsidRPr="00E5293C" w:rsidRDefault="00561B22" w:rsidP="00561B22">
      <w:pPr>
        <w:pStyle w:val="Textoindependiente"/>
        <w:ind w:right="-50"/>
        <w:jc w:val="both"/>
        <w:rPr>
          <w:rFonts w:ascii="Arial" w:hAnsi="Arial" w:cs="Arial"/>
          <w:b/>
          <w:bCs/>
          <w:sz w:val="28"/>
          <w:szCs w:val="28"/>
        </w:rPr>
      </w:pPr>
    </w:p>
    <w:p w14:paraId="5F546D15" w14:textId="77777777" w:rsidR="00561B22" w:rsidRPr="00E5293C" w:rsidRDefault="00561B22" w:rsidP="00561B22">
      <w:pPr>
        <w:pStyle w:val="Textoindependiente"/>
        <w:ind w:right="-50"/>
        <w:jc w:val="both"/>
        <w:rPr>
          <w:rFonts w:ascii="Arial" w:hAnsi="Arial" w:cs="Arial"/>
          <w:b/>
          <w:bCs/>
          <w:sz w:val="28"/>
          <w:szCs w:val="28"/>
        </w:rPr>
      </w:pPr>
      <w:r w:rsidRPr="00E5293C">
        <w:rPr>
          <w:rFonts w:ascii="Arial" w:hAnsi="Arial" w:cs="Arial"/>
          <w:b/>
          <w:bCs/>
          <w:sz w:val="28"/>
          <w:szCs w:val="28"/>
        </w:rPr>
        <w:t>Del informe enviado retomamos lo siguiente:</w:t>
      </w:r>
    </w:p>
    <w:p w14:paraId="44E9A521" w14:textId="77777777" w:rsidR="00561B22" w:rsidRPr="00E5293C"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E5293C" w14:paraId="4A903E07" w14:textId="77777777" w:rsidTr="00F1223B">
        <w:tc>
          <w:tcPr>
            <w:tcW w:w="562" w:type="dxa"/>
          </w:tcPr>
          <w:p w14:paraId="5270CF69" w14:textId="77777777" w:rsidR="00561B22" w:rsidRPr="00E5293C" w:rsidRDefault="00561B22" w:rsidP="00F1223B">
            <w:pPr>
              <w:ind w:right="-109"/>
              <w:jc w:val="center"/>
              <w:rPr>
                <w:rFonts w:ascii="Arial" w:hAnsi="Arial" w:cs="Arial"/>
                <w:b/>
                <w:lang w:val="es-MX"/>
              </w:rPr>
            </w:pPr>
            <w:r w:rsidRPr="00E5293C">
              <w:rPr>
                <w:rFonts w:ascii="Arial" w:hAnsi="Arial" w:cs="Arial"/>
                <w:b/>
                <w:lang w:val="es-MX"/>
              </w:rPr>
              <w:t>N°</w:t>
            </w:r>
          </w:p>
        </w:tc>
        <w:tc>
          <w:tcPr>
            <w:tcW w:w="9400" w:type="dxa"/>
          </w:tcPr>
          <w:p w14:paraId="4CD1C29D" w14:textId="77777777" w:rsidR="00561B22" w:rsidRPr="00E5293C" w:rsidRDefault="00561B22" w:rsidP="00F1223B">
            <w:pPr>
              <w:jc w:val="center"/>
              <w:rPr>
                <w:rFonts w:ascii="Arial" w:hAnsi="Arial" w:cs="Arial"/>
                <w:b/>
                <w:sz w:val="24"/>
                <w:szCs w:val="24"/>
                <w:lang w:val="es-MX"/>
              </w:rPr>
            </w:pPr>
            <w:r w:rsidRPr="00E5293C">
              <w:rPr>
                <w:rFonts w:ascii="Arial" w:hAnsi="Arial" w:cs="Arial"/>
                <w:b/>
                <w:sz w:val="24"/>
                <w:szCs w:val="24"/>
                <w:lang w:val="es-MX"/>
              </w:rPr>
              <w:t>DEBILIDADES</w:t>
            </w:r>
          </w:p>
          <w:p w14:paraId="2623E837" w14:textId="77777777" w:rsidR="00561B22" w:rsidRPr="00E5293C" w:rsidRDefault="00561B22" w:rsidP="00F1223B">
            <w:pPr>
              <w:jc w:val="center"/>
              <w:rPr>
                <w:rFonts w:ascii="Arial" w:hAnsi="Arial" w:cs="Arial"/>
                <w:b/>
                <w:lang w:val="es-MX"/>
              </w:rPr>
            </w:pPr>
          </w:p>
        </w:tc>
      </w:tr>
      <w:tr w:rsidR="00561B22" w:rsidRPr="00E5293C" w14:paraId="187FDF42" w14:textId="77777777" w:rsidTr="00F1223B">
        <w:tc>
          <w:tcPr>
            <w:tcW w:w="562" w:type="dxa"/>
          </w:tcPr>
          <w:p w14:paraId="1AA8674A" w14:textId="77777777" w:rsidR="00561B22" w:rsidRPr="00E5293C" w:rsidRDefault="00561B22" w:rsidP="00F1223B">
            <w:pPr>
              <w:jc w:val="center"/>
              <w:rPr>
                <w:rFonts w:ascii="Arial" w:hAnsi="Arial" w:cs="Arial"/>
                <w:b/>
                <w:lang w:val="es-MX"/>
              </w:rPr>
            </w:pPr>
            <w:r w:rsidRPr="00E5293C">
              <w:rPr>
                <w:rFonts w:ascii="Arial" w:hAnsi="Arial" w:cs="Arial"/>
                <w:b/>
                <w:lang w:val="es-MX"/>
              </w:rPr>
              <w:t>1</w:t>
            </w:r>
          </w:p>
        </w:tc>
        <w:tc>
          <w:tcPr>
            <w:tcW w:w="9400" w:type="dxa"/>
          </w:tcPr>
          <w:p w14:paraId="498F4611" w14:textId="77777777" w:rsidR="00561B22" w:rsidRPr="00E5293C" w:rsidRDefault="00561B22" w:rsidP="00F1223B">
            <w:pPr>
              <w:rPr>
                <w:rFonts w:ascii="Arial" w:hAnsi="Arial" w:cs="Arial"/>
                <w:bCs/>
                <w:lang w:val="es-MX"/>
              </w:rPr>
            </w:pPr>
            <w:r w:rsidRPr="00E5293C">
              <w:rPr>
                <w:rFonts w:ascii="Arial" w:hAnsi="Arial" w:cs="Arial"/>
                <w:bCs/>
                <w:lang w:val="es-MX"/>
              </w:rPr>
              <w:t>Hoy hay el adecuado flujo de información contable entre las diferentes áreas que intervienen en la gestión contable.</w:t>
            </w:r>
          </w:p>
        </w:tc>
      </w:tr>
    </w:tbl>
    <w:p w14:paraId="7CA49BB9" w14:textId="77777777" w:rsidR="00561B22" w:rsidRPr="00E5293C" w:rsidRDefault="00561B22" w:rsidP="00561B22">
      <w:pPr>
        <w:pStyle w:val="Textoindependiente"/>
        <w:ind w:right="-50"/>
        <w:jc w:val="both"/>
        <w:rPr>
          <w:rFonts w:ascii="Arial" w:hAnsi="Arial" w:cs="Arial"/>
          <w:b/>
          <w:bCs/>
          <w:sz w:val="28"/>
          <w:szCs w:val="28"/>
        </w:rPr>
      </w:pPr>
    </w:p>
    <w:p w14:paraId="51F7039D" w14:textId="77777777" w:rsidR="00561B22" w:rsidRPr="00E5293C" w:rsidRDefault="00561B22" w:rsidP="00561B22">
      <w:pPr>
        <w:jc w:val="both"/>
        <w:rPr>
          <w:rFonts w:ascii="Arial" w:hAnsi="Arial" w:cs="Arial"/>
          <w:b/>
          <w:sz w:val="28"/>
          <w:szCs w:val="28"/>
          <w:lang w:val="es-MX"/>
        </w:rPr>
      </w:pPr>
      <w:r w:rsidRPr="00E5293C">
        <w:rPr>
          <w:rFonts w:ascii="Arial" w:hAnsi="Arial" w:cs="Arial"/>
          <w:b/>
          <w:sz w:val="28"/>
          <w:szCs w:val="28"/>
          <w:lang w:val="es-MX"/>
        </w:rPr>
        <w:t>Del citado informe retomamos las siguientes recomendaciones:</w:t>
      </w:r>
    </w:p>
    <w:p w14:paraId="0C527E2C" w14:textId="77777777" w:rsidR="00561B22" w:rsidRPr="00E5293C"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E5293C" w14:paraId="76A9F791" w14:textId="77777777" w:rsidTr="00F1223B">
        <w:tc>
          <w:tcPr>
            <w:tcW w:w="562" w:type="dxa"/>
          </w:tcPr>
          <w:p w14:paraId="53BF132F" w14:textId="77777777" w:rsidR="00561B22" w:rsidRPr="00E5293C" w:rsidRDefault="00561B22" w:rsidP="00F1223B">
            <w:pPr>
              <w:ind w:right="-109"/>
              <w:jc w:val="center"/>
              <w:rPr>
                <w:rFonts w:ascii="Arial" w:hAnsi="Arial" w:cs="Arial"/>
                <w:b/>
                <w:lang w:val="es-MX"/>
              </w:rPr>
            </w:pPr>
            <w:r w:rsidRPr="00E5293C">
              <w:rPr>
                <w:rFonts w:ascii="Arial" w:hAnsi="Arial" w:cs="Arial"/>
                <w:b/>
                <w:lang w:val="es-MX"/>
              </w:rPr>
              <w:t>N°</w:t>
            </w:r>
          </w:p>
        </w:tc>
        <w:tc>
          <w:tcPr>
            <w:tcW w:w="9400" w:type="dxa"/>
          </w:tcPr>
          <w:p w14:paraId="644FCA90" w14:textId="77777777" w:rsidR="00561B22" w:rsidRPr="00E5293C" w:rsidRDefault="00561B22" w:rsidP="00F1223B">
            <w:pPr>
              <w:jc w:val="center"/>
              <w:rPr>
                <w:rFonts w:ascii="Arial" w:hAnsi="Arial" w:cs="Arial"/>
                <w:b/>
                <w:sz w:val="24"/>
                <w:szCs w:val="24"/>
                <w:lang w:val="es-MX"/>
              </w:rPr>
            </w:pPr>
            <w:r w:rsidRPr="00E5293C">
              <w:rPr>
                <w:rFonts w:ascii="Arial" w:hAnsi="Arial" w:cs="Arial"/>
                <w:b/>
                <w:sz w:val="24"/>
                <w:szCs w:val="24"/>
                <w:lang w:val="es-MX"/>
              </w:rPr>
              <w:t>RECOMENDACIONES</w:t>
            </w:r>
          </w:p>
          <w:p w14:paraId="641AE401" w14:textId="77777777" w:rsidR="00561B22" w:rsidRPr="00E5293C" w:rsidRDefault="00561B22" w:rsidP="00F1223B">
            <w:pPr>
              <w:jc w:val="center"/>
              <w:rPr>
                <w:rFonts w:ascii="Arial" w:hAnsi="Arial" w:cs="Arial"/>
                <w:b/>
                <w:lang w:val="es-MX"/>
              </w:rPr>
            </w:pPr>
          </w:p>
        </w:tc>
      </w:tr>
      <w:tr w:rsidR="00561B22" w:rsidRPr="00E5293C" w14:paraId="40DCA023" w14:textId="77777777" w:rsidTr="00F1223B">
        <w:tc>
          <w:tcPr>
            <w:tcW w:w="562" w:type="dxa"/>
          </w:tcPr>
          <w:p w14:paraId="718B6385" w14:textId="77777777" w:rsidR="00561B22" w:rsidRPr="00E5293C" w:rsidRDefault="00561B22" w:rsidP="00F1223B">
            <w:pPr>
              <w:jc w:val="center"/>
              <w:rPr>
                <w:rFonts w:ascii="Arial" w:hAnsi="Arial" w:cs="Arial"/>
                <w:b/>
                <w:lang w:val="es-MX"/>
              </w:rPr>
            </w:pPr>
            <w:r w:rsidRPr="00E5293C">
              <w:rPr>
                <w:rFonts w:ascii="Arial" w:hAnsi="Arial" w:cs="Arial"/>
                <w:b/>
                <w:lang w:val="es-MX"/>
              </w:rPr>
              <w:t>1</w:t>
            </w:r>
          </w:p>
        </w:tc>
        <w:tc>
          <w:tcPr>
            <w:tcW w:w="9400" w:type="dxa"/>
          </w:tcPr>
          <w:p w14:paraId="0B75CA40" w14:textId="77777777" w:rsidR="00561B22" w:rsidRPr="00E5293C" w:rsidRDefault="00561B22" w:rsidP="00F1223B">
            <w:pPr>
              <w:jc w:val="both"/>
              <w:rPr>
                <w:rFonts w:ascii="Arial" w:hAnsi="Arial" w:cs="Arial"/>
                <w:bCs/>
                <w:lang w:val="es-MX"/>
              </w:rPr>
            </w:pPr>
            <w:r w:rsidRPr="00E5293C">
              <w:rPr>
                <w:rFonts w:ascii="Arial" w:hAnsi="Arial" w:cs="Arial"/>
                <w:bCs/>
                <w:lang w:val="es-MX"/>
              </w:rPr>
              <w:t>Los procesos como almacén, compras y mantenimiento donde se refleja el inventario de bienes muebles e inmuebles deben estar de manera individual para que en contabilidad se refleje su estado real.</w:t>
            </w:r>
          </w:p>
        </w:tc>
      </w:tr>
    </w:tbl>
    <w:p w14:paraId="6AF842F7" w14:textId="77777777" w:rsidR="00561B22" w:rsidRPr="00E5293C" w:rsidRDefault="00561B22" w:rsidP="00561B22">
      <w:pPr>
        <w:pStyle w:val="Textoindependiente"/>
        <w:ind w:right="-50"/>
        <w:jc w:val="both"/>
        <w:rPr>
          <w:rFonts w:ascii="Arial" w:hAnsi="Arial" w:cs="Arial"/>
          <w:b/>
          <w:bCs/>
          <w:sz w:val="28"/>
          <w:szCs w:val="28"/>
        </w:rPr>
      </w:pPr>
    </w:p>
    <w:p w14:paraId="512DFF48" w14:textId="77777777" w:rsidR="00561B22" w:rsidRPr="00E5293C" w:rsidRDefault="00561B22" w:rsidP="00561B22">
      <w:pPr>
        <w:jc w:val="both"/>
        <w:rPr>
          <w:rFonts w:ascii="Arial" w:hAnsi="Arial" w:cs="Arial"/>
          <w:b/>
          <w:bCs/>
          <w:sz w:val="24"/>
          <w:szCs w:val="24"/>
          <w:lang w:val="es-CO"/>
        </w:rPr>
      </w:pPr>
      <w:r w:rsidRPr="00E5293C">
        <w:rPr>
          <w:rFonts w:ascii="Arial" w:hAnsi="Arial" w:cs="Arial"/>
          <w:b/>
          <w:bCs/>
          <w:sz w:val="24"/>
          <w:szCs w:val="24"/>
          <w:lang w:val="es-CO"/>
        </w:rPr>
        <w:t xml:space="preserve">NOTA: </w:t>
      </w:r>
      <w:r w:rsidRPr="00E5293C">
        <w:rPr>
          <w:rFonts w:ascii="Arial" w:hAnsi="Arial" w:cs="Arial"/>
          <w:b/>
          <w:sz w:val="24"/>
          <w:szCs w:val="24"/>
          <w:lang w:val="es-CO"/>
        </w:rPr>
        <w:t>LA ENTIDAD ENVÍA LA MATRIZ DE AUTOEVALUACIÓN DEL SISTEMA DE CONTROL INTERNO CONTABLE CON ACTIVIDADES DE CONTROL REALIZADAS</w:t>
      </w:r>
      <w:r w:rsidRPr="00E5293C">
        <w:rPr>
          <w:rFonts w:ascii="Arial" w:hAnsi="Arial" w:cs="Arial"/>
          <w:b/>
          <w:bCs/>
          <w:sz w:val="24"/>
          <w:szCs w:val="24"/>
          <w:lang w:val="es-CO"/>
        </w:rPr>
        <w:t xml:space="preserve"> </w:t>
      </w:r>
      <w:r w:rsidRPr="00E5293C">
        <w:rPr>
          <w:rFonts w:ascii="Arial" w:hAnsi="Arial" w:cs="Arial"/>
          <w:b/>
          <w:bCs/>
          <w:sz w:val="24"/>
          <w:szCs w:val="24"/>
          <w:u w:val="single"/>
          <w:lang w:val="es-CO"/>
        </w:rPr>
        <w:t>EN FORMA PARCIAL Y OTRAS SIMPLEMENTE INFORMAN QUE NO SE REALIZARON</w:t>
      </w:r>
      <w:r w:rsidRPr="00E5293C">
        <w:rPr>
          <w:rFonts w:ascii="Arial" w:hAnsi="Arial" w:cs="Arial"/>
          <w:b/>
          <w:bCs/>
          <w:sz w:val="24"/>
          <w:szCs w:val="24"/>
          <w:lang w:val="es-CO"/>
        </w:rPr>
        <w:t>.</w:t>
      </w:r>
    </w:p>
    <w:p w14:paraId="6CA7493E" w14:textId="77777777" w:rsidR="00561B22" w:rsidRPr="00E5293C" w:rsidRDefault="00561B22" w:rsidP="00561B22">
      <w:pPr>
        <w:ind w:left="720" w:hanging="720"/>
        <w:jc w:val="both"/>
        <w:rPr>
          <w:rFonts w:ascii="Arial" w:hAnsi="Arial" w:cs="Arial"/>
          <w:b/>
          <w:bCs/>
          <w:sz w:val="24"/>
          <w:szCs w:val="24"/>
          <w:lang w:val="es-CO"/>
        </w:rPr>
      </w:pPr>
    </w:p>
    <w:p w14:paraId="68B1B26D" w14:textId="77777777" w:rsidR="00561B22" w:rsidRPr="00414F60" w:rsidRDefault="00561B22" w:rsidP="00561B22">
      <w:pPr>
        <w:jc w:val="both"/>
        <w:rPr>
          <w:rFonts w:ascii="Arial" w:hAnsi="Arial" w:cs="Arial"/>
          <w:b/>
          <w:sz w:val="28"/>
          <w:szCs w:val="28"/>
          <w:lang w:val="es-MX"/>
        </w:rPr>
      </w:pPr>
      <w:r w:rsidRPr="00414F60">
        <w:rPr>
          <w:rFonts w:ascii="Arial" w:hAnsi="Arial" w:cs="Arial"/>
          <w:b/>
          <w:sz w:val="28"/>
          <w:szCs w:val="28"/>
          <w:lang w:val="es-MX"/>
        </w:rPr>
        <w:t xml:space="preserve">122.- UNIDAD NACIONAL DE PROTECCIÓN – UNP. </w:t>
      </w:r>
    </w:p>
    <w:p w14:paraId="0416F6D0" w14:textId="77777777" w:rsidR="00561B22" w:rsidRPr="00E5293C" w:rsidRDefault="00561B22" w:rsidP="00561B22">
      <w:pPr>
        <w:jc w:val="both"/>
        <w:rPr>
          <w:rFonts w:ascii="Arial" w:hAnsi="Arial" w:cs="Arial"/>
          <w:b/>
          <w:sz w:val="28"/>
          <w:szCs w:val="28"/>
          <w:lang w:val="es-MX"/>
        </w:rPr>
      </w:pPr>
    </w:p>
    <w:p w14:paraId="00073CAB" w14:textId="77777777" w:rsidR="00561B22" w:rsidRPr="00BA5D95" w:rsidRDefault="00561B22" w:rsidP="00561B22">
      <w:pPr>
        <w:pStyle w:val="Textoindependiente"/>
        <w:ind w:right="-50"/>
        <w:jc w:val="center"/>
        <w:rPr>
          <w:rFonts w:ascii="Arial" w:hAnsi="Arial" w:cs="Arial"/>
          <w:b/>
          <w:bCs/>
        </w:rPr>
      </w:pPr>
      <w:r w:rsidRPr="00BA5D95">
        <w:rPr>
          <w:rFonts w:ascii="Arial" w:hAnsi="Arial" w:cs="Arial"/>
          <w:b/>
          <w:bCs/>
        </w:rPr>
        <w:t>INFORME DE LA AUTOCALIFICACIÓN DEL SISTEMA DE CONTROL INTERNO CONTABLE:</w:t>
      </w:r>
    </w:p>
    <w:p w14:paraId="30AF1AF4" w14:textId="77777777" w:rsidR="00561B22" w:rsidRPr="00BA5D95"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A5D95" w14:paraId="06F31D7C" w14:textId="77777777" w:rsidTr="00F1223B">
        <w:tc>
          <w:tcPr>
            <w:tcW w:w="4981" w:type="dxa"/>
          </w:tcPr>
          <w:p w14:paraId="48A9CA46"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AUTOCALIFICACIÓN</w:t>
            </w:r>
          </w:p>
        </w:tc>
        <w:tc>
          <w:tcPr>
            <w:tcW w:w="4981" w:type="dxa"/>
          </w:tcPr>
          <w:p w14:paraId="34C1B96B" w14:textId="77777777" w:rsidR="00561B22" w:rsidRPr="00BA5D95" w:rsidRDefault="00561B22" w:rsidP="00F1223B">
            <w:pPr>
              <w:jc w:val="center"/>
              <w:rPr>
                <w:rFonts w:ascii="Arial" w:hAnsi="Arial" w:cs="Arial"/>
                <w:b/>
                <w:sz w:val="22"/>
                <w:szCs w:val="22"/>
                <w:u w:val="single"/>
                <w:lang w:val="es-MX"/>
              </w:rPr>
            </w:pPr>
            <w:r w:rsidRPr="00BA5D95">
              <w:rPr>
                <w:rFonts w:ascii="Arial" w:hAnsi="Arial" w:cs="Arial"/>
                <w:b/>
                <w:sz w:val="22"/>
                <w:szCs w:val="22"/>
                <w:u w:val="single"/>
                <w:lang w:val="es-MX"/>
              </w:rPr>
              <w:t>4.91</w:t>
            </w:r>
          </w:p>
        </w:tc>
      </w:tr>
    </w:tbl>
    <w:p w14:paraId="37BEC8D5" w14:textId="77777777" w:rsidR="00561B22" w:rsidRPr="00BA5D95" w:rsidRDefault="00561B22" w:rsidP="00561B22">
      <w:pPr>
        <w:pStyle w:val="Textoindependiente"/>
        <w:ind w:right="-50"/>
        <w:jc w:val="both"/>
        <w:rPr>
          <w:rFonts w:ascii="Arial" w:hAnsi="Arial" w:cs="Arial"/>
          <w:b/>
          <w:bCs/>
        </w:rPr>
      </w:pPr>
    </w:p>
    <w:p w14:paraId="2D2B625B" w14:textId="77777777" w:rsidR="00561B22" w:rsidRPr="00BA5D95" w:rsidRDefault="00561B22" w:rsidP="00561B22">
      <w:pPr>
        <w:pStyle w:val="Textoindependiente"/>
        <w:ind w:right="-50"/>
        <w:jc w:val="both"/>
        <w:rPr>
          <w:rFonts w:ascii="Arial" w:hAnsi="Arial" w:cs="Arial"/>
          <w:b/>
          <w:bCs/>
        </w:rPr>
      </w:pPr>
      <w:r w:rsidRPr="00BA5D95">
        <w:rPr>
          <w:rFonts w:ascii="Arial" w:hAnsi="Arial" w:cs="Arial"/>
          <w:b/>
          <w:bCs/>
        </w:rPr>
        <w:t>Del informe enviado retomamos lo siguiente:</w:t>
      </w:r>
    </w:p>
    <w:p w14:paraId="746901C4" w14:textId="77777777" w:rsidR="00561B22" w:rsidRPr="00BA5D9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A5D95" w14:paraId="04EC2C5D" w14:textId="77777777" w:rsidTr="00F1223B">
        <w:tc>
          <w:tcPr>
            <w:tcW w:w="562" w:type="dxa"/>
          </w:tcPr>
          <w:p w14:paraId="7B75ABB1" w14:textId="77777777" w:rsidR="00561B22" w:rsidRPr="00BA5D95" w:rsidRDefault="00561B22" w:rsidP="00F1223B">
            <w:pPr>
              <w:ind w:right="-109"/>
              <w:jc w:val="center"/>
              <w:rPr>
                <w:rFonts w:ascii="Arial" w:hAnsi="Arial" w:cs="Arial"/>
                <w:b/>
                <w:sz w:val="22"/>
                <w:szCs w:val="22"/>
                <w:lang w:val="es-MX"/>
              </w:rPr>
            </w:pPr>
            <w:r w:rsidRPr="00BA5D95">
              <w:rPr>
                <w:rFonts w:ascii="Arial" w:hAnsi="Arial" w:cs="Arial"/>
                <w:b/>
                <w:sz w:val="22"/>
                <w:szCs w:val="22"/>
                <w:lang w:val="es-MX"/>
              </w:rPr>
              <w:t>N°</w:t>
            </w:r>
          </w:p>
        </w:tc>
        <w:tc>
          <w:tcPr>
            <w:tcW w:w="9400" w:type="dxa"/>
          </w:tcPr>
          <w:p w14:paraId="6C48B04A"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DEBILIDADES</w:t>
            </w:r>
          </w:p>
          <w:p w14:paraId="3BA004FD" w14:textId="77777777" w:rsidR="00561B22" w:rsidRPr="00BA5D95" w:rsidRDefault="00561B22" w:rsidP="00F1223B">
            <w:pPr>
              <w:jc w:val="center"/>
              <w:rPr>
                <w:rFonts w:ascii="Arial" w:hAnsi="Arial" w:cs="Arial"/>
                <w:b/>
                <w:sz w:val="22"/>
                <w:szCs w:val="22"/>
                <w:lang w:val="es-MX"/>
              </w:rPr>
            </w:pPr>
          </w:p>
        </w:tc>
      </w:tr>
      <w:tr w:rsidR="00561B22" w:rsidRPr="00BA5D95" w14:paraId="7848B39A" w14:textId="77777777" w:rsidTr="00F1223B">
        <w:tc>
          <w:tcPr>
            <w:tcW w:w="562" w:type="dxa"/>
          </w:tcPr>
          <w:p w14:paraId="736EA614"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1</w:t>
            </w:r>
          </w:p>
        </w:tc>
        <w:tc>
          <w:tcPr>
            <w:tcW w:w="9400" w:type="dxa"/>
          </w:tcPr>
          <w:p w14:paraId="76E6333D" w14:textId="77777777" w:rsidR="00561B22" w:rsidRPr="00BA5D95" w:rsidRDefault="00561B22" w:rsidP="00F1223B">
            <w:pPr>
              <w:jc w:val="both"/>
              <w:rPr>
                <w:rFonts w:ascii="Arial" w:hAnsi="Arial" w:cs="Arial"/>
                <w:bCs/>
                <w:sz w:val="22"/>
                <w:szCs w:val="22"/>
                <w:lang w:val="es-MX"/>
              </w:rPr>
            </w:pPr>
            <w:r w:rsidRPr="00BA5D95">
              <w:rPr>
                <w:rFonts w:ascii="Arial" w:hAnsi="Arial" w:cs="Arial"/>
                <w:bCs/>
                <w:sz w:val="22"/>
                <w:szCs w:val="22"/>
                <w:lang w:val="es-MX"/>
              </w:rPr>
              <w:t>El área contable no deja actas de seguimiento o retroalimentaciones de la información brindada dentro del equipo interno de trabajo.</w:t>
            </w:r>
          </w:p>
        </w:tc>
      </w:tr>
      <w:tr w:rsidR="00561B22" w:rsidRPr="00BA5D95" w14:paraId="6833FC7B" w14:textId="77777777" w:rsidTr="00F1223B">
        <w:tc>
          <w:tcPr>
            <w:tcW w:w="562" w:type="dxa"/>
          </w:tcPr>
          <w:p w14:paraId="181F124F"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2</w:t>
            </w:r>
          </w:p>
        </w:tc>
        <w:tc>
          <w:tcPr>
            <w:tcW w:w="9400" w:type="dxa"/>
          </w:tcPr>
          <w:p w14:paraId="7B0E21CF" w14:textId="77777777" w:rsidR="00561B22" w:rsidRPr="00BA5D95" w:rsidRDefault="00561B22" w:rsidP="00F1223B">
            <w:pPr>
              <w:jc w:val="both"/>
              <w:rPr>
                <w:rFonts w:ascii="Arial" w:hAnsi="Arial" w:cs="Arial"/>
                <w:bCs/>
                <w:sz w:val="22"/>
                <w:szCs w:val="22"/>
                <w:lang w:val="es-MX"/>
              </w:rPr>
            </w:pPr>
            <w:r w:rsidRPr="00BA5D95">
              <w:rPr>
                <w:rFonts w:ascii="Arial" w:hAnsi="Arial" w:cs="Arial"/>
                <w:bCs/>
                <w:sz w:val="22"/>
                <w:szCs w:val="22"/>
                <w:lang w:val="es-MX"/>
              </w:rPr>
              <w:t>No se han realizado las capacitaciones establecidas en el plan anual de capacitaciones al personal del área contable.</w:t>
            </w:r>
          </w:p>
        </w:tc>
      </w:tr>
      <w:tr w:rsidR="00561B22" w:rsidRPr="00BA5D95" w14:paraId="4B69FF98" w14:textId="77777777" w:rsidTr="00F1223B">
        <w:tc>
          <w:tcPr>
            <w:tcW w:w="562" w:type="dxa"/>
          </w:tcPr>
          <w:p w14:paraId="2D69E54F"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3</w:t>
            </w:r>
          </w:p>
        </w:tc>
        <w:tc>
          <w:tcPr>
            <w:tcW w:w="9400" w:type="dxa"/>
          </w:tcPr>
          <w:p w14:paraId="528ECD62" w14:textId="77777777" w:rsidR="00561B22" w:rsidRPr="00BA5D95" w:rsidRDefault="00561B22" w:rsidP="00F1223B">
            <w:pPr>
              <w:jc w:val="both"/>
              <w:rPr>
                <w:rFonts w:ascii="Arial" w:hAnsi="Arial" w:cs="Arial"/>
                <w:bCs/>
                <w:sz w:val="22"/>
                <w:szCs w:val="22"/>
                <w:lang w:val="es-MX"/>
              </w:rPr>
            </w:pPr>
            <w:r w:rsidRPr="00BA5D95">
              <w:rPr>
                <w:rFonts w:ascii="Arial" w:hAnsi="Arial" w:cs="Arial"/>
                <w:bCs/>
                <w:sz w:val="22"/>
                <w:szCs w:val="22"/>
                <w:lang w:val="es-MX"/>
              </w:rPr>
              <w:t>No hay una nube con todos los documentos digitalizados, todo se tiene solo físico.</w:t>
            </w:r>
          </w:p>
        </w:tc>
      </w:tr>
    </w:tbl>
    <w:p w14:paraId="3C7F3FA3" w14:textId="77777777" w:rsidR="00561B22" w:rsidRPr="00BA5D95" w:rsidRDefault="00561B22" w:rsidP="00561B22">
      <w:pPr>
        <w:pStyle w:val="Textoindependiente"/>
        <w:ind w:right="-50"/>
        <w:jc w:val="both"/>
        <w:rPr>
          <w:rFonts w:ascii="Arial" w:hAnsi="Arial" w:cs="Arial"/>
          <w:b/>
          <w:bCs/>
        </w:rPr>
      </w:pPr>
    </w:p>
    <w:p w14:paraId="78B92CC0" w14:textId="77777777" w:rsidR="00561B22" w:rsidRPr="00BA5D95" w:rsidRDefault="00561B22" w:rsidP="00561B22">
      <w:pPr>
        <w:jc w:val="both"/>
        <w:rPr>
          <w:rFonts w:ascii="Arial" w:hAnsi="Arial" w:cs="Arial"/>
          <w:b/>
          <w:lang w:val="es-MX"/>
        </w:rPr>
      </w:pPr>
      <w:r w:rsidRPr="00BA5D95">
        <w:rPr>
          <w:rFonts w:ascii="Arial" w:hAnsi="Arial" w:cs="Arial"/>
          <w:b/>
          <w:lang w:val="es-MX"/>
        </w:rPr>
        <w:t>Del citado informe retomamos las siguientes recomendaciones:</w:t>
      </w:r>
    </w:p>
    <w:p w14:paraId="72F6A819" w14:textId="77777777" w:rsidR="00561B22" w:rsidRPr="00BA5D95"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BA5D95" w14:paraId="62717EC3" w14:textId="77777777" w:rsidTr="00F1223B">
        <w:tc>
          <w:tcPr>
            <w:tcW w:w="562" w:type="dxa"/>
          </w:tcPr>
          <w:p w14:paraId="7B9BCC14" w14:textId="77777777" w:rsidR="00561B22" w:rsidRPr="00BA5D95" w:rsidRDefault="00561B22" w:rsidP="00F1223B">
            <w:pPr>
              <w:ind w:right="-109"/>
              <w:jc w:val="center"/>
              <w:rPr>
                <w:rFonts w:ascii="Arial" w:hAnsi="Arial" w:cs="Arial"/>
                <w:b/>
                <w:sz w:val="22"/>
                <w:szCs w:val="22"/>
                <w:lang w:val="es-MX"/>
              </w:rPr>
            </w:pPr>
            <w:r w:rsidRPr="00BA5D95">
              <w:rPr>
                <w:rFonts w:ascii="Arial" w:hAnsi="Arial" w:cs="Arial"/>
                <w:b/>
                <w:sz w:val="22"/>
                <w:szCs w:val="22"/>
                <w:lang w:val="es-MX"/>
              </w:rPr>
              <w:t>N°</w:t>
            </w:r>
          </w:p>
        </w:tc>
        <w:tc>
          <w:tcPr>
            <w:tcW w:w="9400" w:type="dxa"/>
          </w:tcPr>
          <w:p w14:paraId="13594324" w14:textId="17C0E206" w:rsidR="00561B22" w:rsidRPr="00BA5D95" w:rsidRDefault="00561B22" w:rsidP="00787CE8">
            <w:pPr>
              <w:jc w:val="center"/>
              <w:rPr>
                <w:rFonts w:ascii="Arial" w:hAnsi="Arial" w:cs="Arial"/>
                <w:b/>
                <w:sz w:val="22"/>
                <w:szCs w:val="22"/>
                <w:lang w:val="es-MX"/>
              </w:rPr>
            </w:pPr>
            <w:r w:rsidRPr="00BA5D95">
              <w:rPr>
                <w:rFonts w:ascii="Arial" w:hAnsi="Arial" w:cs="Arial"/>
                <w:b/>
                <w:sz w:val="22"/>
                <w:szCs w:val="22"/>
                <w:lang w:val="es-MX"/>
              </w:rPr>
              <w:t>RECOMENDACIONES</w:t>
            </w:r>
          </w:p>
        </w:tc>
      </w:tr>
      <w:tr w:rsidR="00561B22" w:rsidRPr="00BA5D95" w14:paraId="1918F28A" w14:textId="77777777" w:rsidTr="00F1223B">
        <w:tc>
          <w:tcPr>
            <w:tcW w:w="562" w:type="dxa"/>
          </w:tcPr>
          <w:p w14:paraId="3718F201"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lastRenderedPageBreak/>
              <w:t>1</w:t>
            </w:r>
          </w:p>
        </w:tc>
        <w:tc>
          <w:tcPr>
            <w:tcW w:w="9400" w:type="dxa"/>
          </w:tcPr>
          <w:p w14:paraId="5308F12B" w14:textId="77777777" w:rsidR="00561B22" w:rsidRPr="00BA5D95" w:rsidRDefault="00561B22" w:rsidP="00F1223B">
            <w:pPr>
              <w:jc w:val="both"/>
              <w:rPr>
                <w:rFonts w:ascii="Arial" w:hAnsi="Arial" w:cs="Arial"/>
                <w:bCs/>
                <w:sz w:val="22"/>
                <w:szCs w:val="22"/>
                <w:lang w:val="es-MX"/>
              </w:rPr>
            </w:pPr>
            <w:r w:rsidRPr="00BA5D95">
              <w:rPr>
                <w:rFonts w:ascii="Arial" w:hAnsi="Arial" w:cs="Arial"/>
                <w:bCs/>
                <w:sz w:val="22"/>
                <w:szCs w:val="22"/>
                <w:lang w:val="es-MX"/>
              </w:rPr>
              <w:t>Dejar actas de todas las reuniones del equipo enfocadas a retroalimentaciones o trabajos realizados que requieran evidencia.</w:t>
            </w:r>
          </w:p>
        </w:tc>
      </w:tr>
      <w:tr w:rsidR="00561B22" w:rsidRPr="00BA5D95" w14:paraId="29C4AC8B" w14:textId="77777777" w:rsidTr="00F1223B">
        <w:tc>
          <w:tcPr>
            <w:tcW w:w="562" w:type="dxa"/>
          </w:tcPr>
          <w:p w14:paraId="6D1D4B88"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2</w:t>
            </w:r>
          </w:p>
        </w:tc>
        <w:tc>
          <w:tcPr>
            <w:tcW w:w="9400" w:type="dxa"/>
          </w:tcPr>
          <w:p w14:paraId="17E7917A" w14:textId="77777777" w:rsidR="00561B22" w:rsidRPr="00BA5D95" w:rsidRDefault="00561B22" w:rsidP="00F1223B">
            <w:pPr>
              <w:jc w:val="both"/>
              <w:rPr>
                <w:rFonts w:ascii="Arial" w:hAnsi="Arial" w:cs="Arial"/>
                <w:bCs/>
                <w:sz w:val="22"/>
                <w:szCs w:val="22"/>
                <w:lang w:val="es-MX"/>
              </w:rPr>
            </w:pPr>
            <w:r w:rsidRPr="00BA5D95">
              <w:rPr>
                <w:rFonts w:ascii="Arial" w:hAnsi="Arial" w:cs="Arial"/>
                <w:bCs/>
                <w:sz w:val="22"/>
                <w:szCs w:val="22"/>
                <w:lang w:val="es-MX"/>
              </w:rPr>
              <w:t>Realizar las capacitaciones solicitadas por el proceso contable de acuerdo a lo señalado en el plan anual de capacitaciones, en donde se incluya entre otros temas las diferentes normativas, prácticas y procesos contables aplicados al sector público.</w:t>
            </w:r>
          </w:p>
        </w:tc>
      </w:tr>
      <w:tr w:rsidR="00561B22" w:rsidRPr="00BA5D95" w14:paraId="1FEF91CD" w14:textId="77777777" w:rsidTr="00F1223B">
        <w:tc>
          <w:tcPr>
            <w:tcW w:w="562" w:type="dxa"/>
          </w:tcPr>
          <w:p w14:paraId="791C2550" w14:textId="77777777" w:rsidR="00561B22" w:rsidRPr="00BA5D95" w:rsidRDefault="00561B22" w:rsidP="00F1223B">
            <w:pPr>
              <w:jc w:val="center"/>
              <w:rPr>
                <w:rFonts w:ascii="Arial" w:hAnsi="Arial" w:cs="Arial"/>
                <w:b/>
                <w:sz w:val="22"/>
                <w:szCs w:val="22"/>
                <w:lang w:val="es-MX"/>
              </w:rPr>
            </w:pPr>
            <w:r w:rsidRPr="00BA5D95">
              <w:rPr>
                <w:rFonts w:ascii="Arial" w:hAnsi="Arial" w:cs="Arial"/>
                <w:b/>
                <w:sz w:val="22"/>
                <w:szCs w:val="22"/>
                <w:lang w:val="es-MX"/>
              </w:rPr>
              <w:t>3</w:t>
            </w:r>
          </w:p>
        </w:tc>
        <w:tc>
          <w:tcPr>
            <w:tcW w:w="9400" w:type="dxa"/>
          </w:tcPr>
          <w:p w14:paraId="47D05F94" w14:textId="77777777" w:rsidR="00561B22" w:rsidRPr="00BA5D95" w:rsidRDefault="00561B22" w:rsidP="00F1223B">
            <w:pPr>
              <w:jc w:val="both"/>
              <w:rPr>
                <w:rFonts w:ascii="Arial" w:hAnsi="Arial" w:cs="Arial"/>
                <w:bCs/>
                <w:sz w:val="22"/>
                <w:szCs w:val="22"/>
                <w:lang w:val="es-MX"/>
              </w:rPr>
            </w:pPr>
            <w:r w:rsidRPr="00BA5D95">
              <w:rPr>
                <w:rFonts w:ascii="Arial" w:hAnsi="Arial" w:cs="Arial"/>
                <w:bCs/>
                <w:sz w:val="22"/>
                <w:szCs w:val="22"/>
                <w:lang w:val="es-MX"/>
              </w:rPr>
              <w:t>Digitalizar todos los hechos económicos de la entidad, con el fin de preservar la información para consultas futuras, pues no se está exento a pérdidas de información, bien sea por catástrofes naturales o por traslados de la misma documentación.</w:t>
            </w:r>
          </w:p>
        </w:tc>
      </w:tr>
    </w:tbl>
    <w:p w14:paraId="44B92191" w14:textId="77777777" w:rsidR="00561B22" w:rsidRPr="00BA5D95" w:rsidRDefault="00561B22" w:rsidP="00561B22">
      <w:pPr>
        <w:jc w:val="both"/>
        <w:rPr>
          <w:rFonts w:ascii="Arial" w:hAnsi="Arial" w:cs="Arial"/>
          <w:b/>
          <w:bCs/>
          <w:lang w:val="es-CO"/>
        </w:rPr>
      </w:pPr>
    </w:p>
    <w:p w14:paraId="0D498515" w14:textId="77777777" w:rsidR="00561B22" w:rsidRPr="00BA5D95" w:rsidRDefault="00561B22" w:rsidP="00561B22">
      <w:pPr>
        <w:jc w:val="both"/>
        <w:rPr>
          <w:rFonts w:ascii="Arial" w:hAnsi="Arial" w:cs="Arial"/>
          <w:b/>
          <w:bCs/>
          <w:sz w:val="24"/>
          <w:szCs w:val="24"/>
          <w:lang w:val="es-CO"/>
        </w:rPr>
      </w:pPr>
      <w:r w:rsidRPr="00BA5D95">
        <w:rPr>
          <w:rFonts w:ascii="Arial" w:hAnsi="Arial" w:cs="Arial"/>
          <w:b/>
          <w:bCs/>
          <w:sz w:val="24"/>
          <w:szCs w:val="24"/>
          <w:lang w:val="es-CO"/>
        </w:rPr>
        <w:t xml:space="preserve">NOTA: </w:t>
      </w:r>
      <w:r w:rsidRPr="00BA5D95">
        <w:rPr>
          <w:rFonts w:ascii="Arial" w:hAnsi="Arial" w:cs="Arial"/>
          <w:b/>
          <w:sz w:val="24"/>
          <w:szCs w:val="24"/>
          <w:lang w:val="es-CO"/>
        </w:rPr>
        <w:t xml:space="preserve">LA ENTIDAD ENVÍA LA MATRIZ DE AUTOEVALUACIÓN DEL SISTEMA DE CONTROL INTERNO CONTABLE CON ACTIVIDADES DE CONTROL QUE </w:t>
      </w:r>
      <w:r w:rsidRPr="00BA5D95">
        <w:rPr>
          <w:rFonts w:ascii="Arial" w:hAnsi="Arial" w:cs="Arial"/>
          <w:b/>
          <w:bCs/>
          <w:sz w:val="24"/>
          <w:szCs w:val="24"/>
          <w:u w:val="single"/>
          <w:lang w:val="es-CO"/>
        </w:rPr>
        <w:t>NO SE REALIZARON</w:t>
      </w:r>
      <w:r w:rsidRPr="00BA5D95">
        <w:rPr>
          <w:rFonts w:ascii="Arial" w:hAnsi="Arial" w:cs="Arial"/>
          <w:b/>
          <w:bCs/>
          <w:sz w:val="24"/>
          <w:szCs w:val="24"/>
          <w:lang w:val="es-CO"/>
        </w:rPr>
        <w:t>.</w:t>
      </w:r>
    </w:p>
    <w:p w14:paraId="58831C18" w14:textId="77777777" w:rsidR="00561B22" w:rsidRPr="00BA5D95" w:rsidRDefault="00561B22" w:rsidP="00561B22">
      <w:pPr>
        <w:jc w:val="both"/>
        <w:rPr>
          <w:rFonts w:ascii="Arial" w:hAnsi="Arial" w:cs="Arial"/>
          <w:b/>
          <w:bCs/>
          <w:sz w:val="24"/>
          <w:szCs w:val="24"/>
          <w:lang w:val="es-CO"/>
        </w:rPr>
      </w:pPr>
    </w:p>
    <w:p w14:paraId="38D997AA" w14:textId="77777777" w:rsidR="00561B22" w:rsidRPr="0090278D" w:rsidRDefault="00561B22" w:rsidP="00561B22">
      <w:pPr>
        <w:jc w:val="both"/>
        <w:rPr>
          <w:rFonts w:ascii="Arial" w:hAnsi="Arial" w:cs="Arial"/>
          <w:b/>
          <w:sz w:val="28"/>
          <w:szCs w:val="28"/>
          <w:lang w:val="es-MX"/>
        </w:rPr>
      </w:pPr>
      <w:r w:rsidRPr="0090278D">
        <w:rPr>
          <w:rFonts w:ascii="Arial" w:hAnsi="Arial" w:cs="Arial"/>
          <w:b/>
          <w:sz w:val="28"/>
          <w:szCs w:val="28"/>
          <w:lang w:val="es-MX"/>
        </w:rPr>
        <w:t>123.- HOSPITAL MILITAR CENTRAL.</w:t>
      </w:r>
    </w:p>
    <w:p w14:paraId="0E9C3186" w14:textId="77777777" w:rsidR="00561B22" w:rsidRDefault="00561B22" w:rsidP="00561B22">
      <w:pPr>
        <w:jc w:val="both"/>
        <w:rPr>
          <w:rFonts w:ascii="Arial" w:hAnsi="Arial" w:cs="Arial"/>
          <w:b/>
          <w:bCs/>
          <w:sz w:val="24"/>
          <w:szCs w:val="24"/>
          <w:lang w:val="es-CO"/>
        </w:rPr>
      </w:pPr>
    </w:p>
    <w:p w14:paraId="19249036" w14:textId="77777777" w:rsidR="00561B22" w:rsidRPr="00DE1C06" w:rsidRDefault="00561B22" w:rsidP="00561B22">
      <w:pPr>
        <w:pStyle w:val="Textoindependiente"/>
        <w:ind w:right="-50"/>
        <w:jc w:val="center"/>
        <w:rPr>
          <w:rFonts w:ascii="Arial" w:hAnsi="Arial" w:cs="Arial"/>
          <w:b/>
          <w:bCs/>
        </w:rPr>
      </w:pPr>
      <w:r w:rsidRPr="00DE1C06">
        <w:rPr>
          <w:rFonts w:ascii="Arial" w:hAnsi="Arial" w:cs="Arial"/>
          <w:b/>
          <w:bCs/>
        </w:rPr>
        <w:t>INFORME DE LA AUTOCALIFICACIÓN DEL SISTEMA DE CONTROL INTERNO CONTABLE:</w:t>
      </w:r>
    </w:p>
    <w:p w14:paraId="2ABD39BD" w14:textId="77777777" w:rsidR="00561B22" w:rsidRPr="00DE1C0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E1C06" w14:paraId="22BDA601" w14:textId="77777777" w:rsidTr="00F1223B">
        <w:tc>
          <w:tcPr>
            <w:tcW w:w="4981" w:type="dxa"/>
          </w:tcPr>
          <w:p w14:paraId="385CE47F"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AUTOCALIFICACIÓN</w:t>
            </w:r>
          </w:p>
        </w:tc>
        <w:tc>
          <w:tcPr>
            <w:tcW w:w="4981" w:type="dxa"/>
          </w:tcPr>
          <w:p w14:paraId="5EB6B7FF" w14:textId="77777777" w:rsidR="00561B22" w:rsidRPr="00DE1C06" w:rsidRDefault="00561B22" w:rsidP="00F1223B">
            <w:pPr>
              <w:jc w:val="center"/>
              <w:rPr>
                <w:rFonts w:ascii="Arial" w:hAnsi="Arial" w:cs="Arial"/>
                <w:b/>
                <w:sz w:val="22"/>
                <w:szCs w:val="22"/>
                <w:u w:val="single"/>
                <w:lang w:val="es-MX"/>
              </w:rPr>
            </w:pPr>
            <w:r w:rsidRPr="00DE1C06">
              <w:rPr>
                <w:rFonts w:ascii="Arial" w:hAnsi="Arial" w:cs="Arial"/>
                <w:b/>
                <w:sz w:val="22"/>
                <w:szCs w:val="22"/>
                <w:u w:val="single"/>
                <w:lang w:val="es-MX"/>
              </w:rPr>
              <w:t>4.66</w:t>
            </w:r>
          </w:p>
        </w:tc>
      </w:tr>
    </w:tbl>
    <w:p w14:paraId="60962B36" w14:textId="77777777" w:rsidR="00561B22" w:rsidRPr="00DE1C06" w:rsidRDefault="00561B22" w:rsidP="00561B22">
      <w:pPr>
        <w:pStyle w:val="Textoindependiente"/>
        <w:ind w:right="-50"/>
        <w:jc w:val="both"/>
        <w:rPr>
          <w:rFonts w:ascii="Arial" w:hAnsi="Arial" w:cs="Arial"/>
          <w:b/>
          <w:bCs/>
        </w:rPr>
      </w:pPr>
    </w:p>
    <w:p w14:paraId="7C048EF4" w14:textId="77777777" w:rsidR="00561B22" w:rsidRPr="00DE1C06" w:rsidRDefault="00561B22" w:rsidP="00561B22">
      <w:pPr>
        <w:pStyle w:val="Textoindependiente"/>
        <w:ind w:right="-50"/>
        <w:jc w:val="both"/>
        <w:rPr>
          <w:rFonts w:ascii="Arial" w:hAnsi="Arial" w:cs="Arial"/>
          <w:b/>
          <w:bCs/>
        </w:rPr>
      </w:pPr>
      <w:r w:rsidRPr="00DE1C06">
        <w:rPr>
          <w:rFonts w:ascii="Arial" w:hAnsi="Arial" w:cs="Arial"/>
          <w:b/>
          <w:bCs/>
        </w:rPr>
        <w:t>Del informe enviado retomamos lo siguiente:</w:t>
      </w:r>
    </w:p>
    <w:p w14:paraId="55ED2CC3" w14:textId="77777777" w:rsidR="00561B22" w:rsidRPr="00DE1C0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E1C06" w14:paraId="4ACD0399" w14:textId="77777777" w:rsidTr="00F1223B">
        <w:tc>
          <w:tcPr>
            <w:tcW w:w="562" w:type="dxa"/>
          </w:tcPr>
          <w:p w14:paraId="06DB1414" w14:textId="77777777" w:rsidR="00561B22" w:rsidRPr="00DE1C06" w:rsidRDefault="00561B22" w:rsidP="00F1223B">
            <w:pPr>
              <w:ind w:right="-109"/>
              <w:jc w:val="center"/>
              <w:rPr>
                <w:rFonts w:ascii="Arial" w:hAnsi="Arial" w:cs="Arial"/>
                <w:b/>
                <w:sz w:val="22"/>
                <w:szCs w:val="22"/>
                <w:lang w:val="es-MX"/>
              </w:rPr>
            </w:pPr>
            <w:r w:rsidRPr="00DE1C06">
              <w:rPr>
                <w:rFonts w:ascii="Arial" w:hAnsi="Arial" w:cs="Arial"/>
                <w:b/>
                <w:sz w:val="22"/>
                <w:szCs w:val="22"/>
                <w:lang w:val="es-MX"/>
              </w:rPr>
              <w:t>N°</w:t>
            </w:r>
          </w:p>
        </w:tc>
        <w:tc>
          <w:tcPr>
            <w:tcW w:w="9400" w:type="dxa"/>
          </w:tcPr>
          <w:p w14:paraId="1D9DF193"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DEBILIDADES</w:t>
            </w:r>
          </w:p>
          <w:p w14:paraId="4F49519E" w14:textId="77777777" w:rsidR="00561B22" w:rsidRPr="00DE1C06" w:rsidRDefault="00561B22" w:rsidP="00F1223B">
            <w:pPr>
              <w:jc w:val="center"/>
              <w:rPr>
                <w:rFonts w:ascii="Arial" w:hAnsi="Arial" w:cs="Arial"/>
                <w:b/>
                <w:sz w:val="22"/>
                <w:szCs w:val="22"/>
                <w:lang w:val="es-MX"/>
              </w:rPr>
            </w:pPr>
          </w:p>
        </w:tc>
      </w:tr>
      <w:tr w:rsidR="00561B22" w:rsidRPr="00DE1C06" w14:paraId="3960E25C" w14:textId="77777777" w:rsidTr="00F1223B">
        <w:tc>
          <w:tcPr>
            <w:tcW w:w="562" w:type="dxa"/>
          </w:tcPr>
          <w:p w14:paraId="360FDF52"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1</w:t>
            </w:r>
          </w:p>
        </w:tc>
        <w:tc>
          <w:tcPr>
            <w:tcW w:w="9400" w:type="dxa"/>
          </w:tcPr>
          <w:p w14:paraId="19F7255B" w14:textId="77777777" w:rsidR="00561B22" w:rsidRPr="00DE1C06" w:rsidRDefault="00561B22" w:rsidP="00F1223B">
            <w:pPr>
              <w:jc w:val="both"/>
              <w:rPr>
                <w:rFonts w:ascii="Arial" w:hAnsi="Arial" w:cs="Arial"/>
                <w:bCs/>
                <w:sz w:val="22"/>
                <w:szCs w:val="22"/>
                <w:lang w:val="es-MX"/>
              </w:rPr>
            </w:pPr>
            <w:r w:rsidRPr="00DE1C06">
              <w:rPr>
                <w:rFonts w:ascii="Arial" w:hAnsi="Arial" w:cs="Arial"/>
                <w:bCs/>
                <w:sz w:val="22"/>
                <w:szCs w:val="22"/>
                <w:lang w:val="es-MX"/>
              </w:rPr>
              <w:t>Se presentan oportunidades de mejora en el reconocimiento oportuno de bajas de inventario.</w:t>
            </w:r>
          </w:p>
        </w:tc>
      </w:tr>
      <w:tr w:rsidR="00561B22" w:rsidRPr="00DE1C06" w14:paraId="0F9751DF" w14:textId="77777777" w:rsidTr="00F1223B">
        <w:tc>
          <w:tcPr>
            <w:tcW w:w="562" w:type="dxa"/>
          </w:tcPr>
          <w:p w14:paraId="54D8B624"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2</w:t>
            </w:r>
          </w:p>
        </w:tc>
        <w:tc>
          <w:tcPr>
            <w:tcW w:w="9400" w:type="dxa"/>
          </w:tcPr>
          <w:p w14:paraId="18D0714D" w14:textId="77777777" w:rsidR="00561B22" w:rsidRPr="00DE1C06" w:rsidRDefault="00561B22" w:rsidP="00F1223B">
            <w:pPr>
              <w:jc w:val="both"/>
              <w:rPr>
                <w:rFonts w:ascii="Arial" w:hAnsi="Arial" w:cs="Arial"/>
                <w:bCs/>
                <w:sz w:val="22"/>
                <w:szCs w:val="22"/>
                <w:lang w:val="es-MX"/>
              </w:rPr>
            </w:pPr>
            <w:r w:rsidRPr="00DE1C06">
              <w:rPr>
                <w:rFonts w:ascii="Arial" w:hAnsi="Arial" w:cs="Arial"/>
                <w:bCs/>
                <w:sz w:val="22"/>
                <w:szCs w:val="22"/>
                <w:lang w:val="es-MX"/>
              </w:rPr>
              <w:t>La coordinación del retiro y/o traslado del personal que tiene responsabilidad fiscal en el manejo de inventarios.</w:t>
            </w:r>
          </w:p>
        </w:tc>
      </w:tr>
      <w:tr w:rsidR="00561B22" w:rsidRPr="00DE1C06" w14:paraId="5D978BEB" w14:textId="77777777" w:rsidTr="00F1223B">
        <w:tc>
          <w:tcPr>
            <w:tcW w:w="562" w:type="dxa"/>
          </w:tcPr>
          <w:p w14:paraId="3B2C82A6"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3</w:t>
            </w:r>
          </w:p>
        </w:tc>
        <w:tc>
          <w:tcPr>
            <w:tcW w:w="9400" w:type="dxa"/>
          </w:tcPr>
          <w:p w14:paraId="359CDB58" w14:textId="77777777" w:rsidR="00561B22" w:rsidRPr="00DE1C06" w:rsidRDefault="00561B22" w:rsidP="00F1223B">
            <w:pPr>
              <w:jc w:val="both"/>
              <w:rPr>
                <w:rFonts w:ascii="Arial" w:hAnsi="Arial" w:cs="Arial"/>
                <w:bCs/>
                <w:sz w:val="22"/>
                <w:szCs w:val="22"/>
                <w:lang w:val="es-MX"/>
              </w:rPr>
            </w:pPr>
            <w:r w:rsidRPr="00DE1C06">
              <w:rPr>
                <w:rFonts w:ascii="Arial" w:hAnsi="Arial" w:cs="Arial"/>
                <w:bCs/>
                <w:sz w:val="22"/>
                <w:szCs w:val="22"/>
                <w:lang w:val="es-MX"/>
              </w:rPr>
              <w:t>Oportunidad en la legalización de recursos ejecutados con recursos de caja menor.</w:t>
            </w:r>
          </w:p>
        </w:tc>
      </w:tr>
      <w:tr w:rsidR="00561B22" w:rsidRPr="00DE1C06" w14:paraId="08DC0CC5" w14:textId="77777777" w:rsidTr="00F1223B">
        <w:tc>
          <w:tcPr>
            <w:tcW w:w="562" w:type="dxa"/>
          </w:tcPr>
          <w:p w14:paraId="19DFA51E"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4</w:t>
            </w:r>
          </w:p>
        </w:tc>
        <w:tc>
          <w:tcPr>
            <w:tcW w:w="9400" w:type="dxa"/>
          </w:tcPr>
          <w:p w14:paraId="33CE3535" w14:textId="77777777" w:rsidR="00561B22" w:rsidRPr="00DE1C06" w:rsidRDefault="00561B22" w:rsidP="00F1223B">
            <w:pPr>
              <w:jc w:val="both"/>
              <w:rPr>
                <w:rFonts w:ascii="Arial" w:hAnsi="Arial" w:cs="Arial"/>
                <w:bCs/>
                <w:sz w:val="22"/>
                <w:szCs w:val="22"/>
                <w:lang w:val="es-MX"/>
              </w:rPr>
            </w:pPr>
            <w:r w:rsidRPr="00DE1C06">
              <w:rPr>
                <w:rFonts w:ascii="Arial" w:hAnsi="Arial" w:cs="Arial"/>
                <w:bCs/>
                <w:sz w:val="22"/>
                <w:szCs w:val="22"/>
                <w:lang w:val="es-MX"/>
              </w:rPr>
              <w:t>Especificación de designación de responsabilidades en la gestión financiera a partir del acto administrativo que le asigna funciones a las personas involucradas en el proceso contable.</w:t>
            </w:r>
          </w:p>
        </w:tc>
      </w:tr>
    </w:tbl>
    <w:p w14:paraId="7CE2A539" w14:textId="77777777" w:rsidR="00561B22" w:rsidRPr="00DE1C06" w:rsidRDefault="00561B22" w:rsidP="00561B22">
      <w:pPr>
        <w:pStyle w:val="Textoindependiente"/>
        <w:ind w:right="-50"/>
        <w:jc w:val="both"/>
        <w:rPr>
          <w:rFonts w:ascii="Arial" w:hAnsi="Arial" w:cs="Arial"/>
          <w:b/>
          <w:bCs/>
        </w:rPr>
      </w:pPr>
    </w:p>
    <w:p w14:paraId="1DE97CBC" w14:textId="77777777" w:rsidR="00561B22" w:rsidRPr="00DE1C06" w:rsidRDefault="00561B22" w:rsidP="00561B22">
      <w:pPr>
        <w:jc w:val="both"/>
        <w:rPr>
          <w:rFonts w:ascii="Arial" w:hAnsi="Arial" w:cs="Arial"/>
          <w:b/>
          <w:lang w:val="es-MX"/>
        </w:rPr>
      </w:pPr>
      <w:r w:rsidRPr="00DE1C06">
        <w:rPr>
          <w:rFonts w:ascii="Arial" w:hAnsi="Arial" w:cs="Arial"/>
          <w:b/>
          <w:lang w:val="es-MX"/>
        </w:rPr>
        <w:t>Del citado informe retomamos las siguientes recomendaciones:</w:t>
      </w:r>
    </w:p>
    <w:p w14:paraId="21630A0C" w14:textId="77777777" w:rsidR="00561B22" w:rsidRPr="00DE1C0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E1C06" w14:paraId="108A364B" w14:textId="77777777" w:rsidTr="00F1223B">
        <w:tc>
          <w:tcPr>
            <w:tcW w:w="562" w:type="dxa"/>
          </w:tcPr>
          <w:p w14:paraId="6F85285A" w14:textId="77777777" w:rsidR="00561B22" w:rsidRPr="00DE1C06" w:rsidRDefault="00561B22" w:rsidP="00F1223B">
            <w:pPr>
              <w:ind w:right="-109"/>
              <w:jc w:val="center"/>
              <w:rPr>
                <w:rFonts w:ascii="Arial" w:hAnsi="Arial" w:cs="Arial"/>
                <w:b/>
                <w:sz w:val="22"/>
                <w:szCs w:val="22"/>
                <w:lang w:val="es-MX"/>
              </w:rPr>
            </w:pPr>
            <w:r w:rsidRPr="00DE1C06">
              <w:rPr>
                <w:rFonts w:ascii="Arial" w:hAnsi="Arial" w:cs="Arial"/>
                <w:b/>
                <w:sz w:val="22"/>
                <w:szCs w:val="22"/>
                <w:lang w:val="es-MX"/>
              </w:rPr>
              <w:t>N°</w:t>
            </w:r>
          </w:p>
        </w:tc>
        <w:tc>
          <w:tcPr>
            <w:tcW w:w="9400" w:type="dxa"/>
          </w:tcPr>
          <w:p w14:paraId="6269F529"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RECOMENDACIONES</w:t>
            </w:r>
          </w:p>
          <w:p w14:paraId="15EF1876" w14:textId="77777777" w:rsidR="00561B22" w:rsidRPr="00DE1C06" w:rsidRDefault="00561B22" w:rsidP="00F1223B">
            <w:pPr>
              <w:jc w:val="center"/>
              <w:rPr>
                <w:rFonts w:ascii="Arial" w:hAnsi="Arial" w:cs="Arial"/>
                <w:b/>
                <w:sz w:val="22"/>
                <w:szCs w:val="22"/>
                <w:lang w:val="es-MX"/>
              </w:rPr>
            </w:pPr>
          </w:p>
        </w:tc>
      </w:tr>
      <w:tr w:rsidR="00561B22" w:rsidRPr="00DE1C06" w14:paraId="322D5AF4" w14:textId="77777777" w:rsidTr="00F1223B">
        <w:tc>
          <w:tcPr>
            <w:tcW w:w="562" w:type="dxa"/>
          </w:tcPr>
          <w:p w14:paraId="2151A367" w14:textId="77777777" w:rsidR="00561B22" w:rsidRPr="00DE1C06" w:rsidRDefault="00561B22" w:rsidP="00F1223B">
            <w:pPr>
              <w:jc w:val="center"/>
              <w:rPr>
                <w:rFonts w:ascii="Arial" w:hAnsi="Arial" w:cs="Arial"/>
                <w:b/>
                <w:sz w:val="22"/>
                <w:szCs w:val="22"/>
                <w:lang w:val="es-MX"/>
              </w:rPr>
            </w:pPr>
            <w:r w:rsidRPr="00DE1C06">
              <w:rPr>
                <w:rFonts w:ascii="Arial" w:hAnsi="Arial" w:cs="Arial"/>
                <w:b/>
                <w:sz w:val="22"/>
                <w:szCs w:val="22"/>
                <w:lang w:val="es-MX"/>
              </w:rPr>
              <w:t>1</w:t>
            </w:r>
          </w:p>
        </w:tc>
        <w:tc>
          <w:tcPr>
            <w:tcW w:w="9400" w:type="dxa"/>
          </w:tcPr>
          <w:p w14:paraId="53F67D2F" w14:textId="77777777" w:rsidR="00561B22" w:rsidRPr="00DE1C06" w:rsidRDefault="00561B22" w:rsidP="00F1223B">
            <w:pPr>
              <w:jc w:val="both"/>
              <w:rPr>
                <w:rFonts w:ascii="Arial" w:hAnsi="Arial" w:cs="Arial"/>
                <w:bCs/>
                <w:sz w:val="22"/>
                <w:szCs w:val="22"/>
                <w:lang w:val="es-MX"/>
              </w:rPr>
            </w:pPr>
            <w:r w:rsidRPr="00DE1C06">
              <w:rPr>
                <w:rFonts w:ascii="Arial" w:hAnsi="Arial" w:cs="Arial"/>
                <w:bCs/>
                <w:sz w:val="22"/>
                <w:szCs w:val="22"/>
                <w:lang w:val="es-MX"/>
              </w:rPr>
              <w:t>La presente evaluación constituye un referente de control Institucional por lo que además de las recomendaciones realizadas en la vigencia 2024, por medio de auditorías, seguimientos, acompañamientos, entre otros escenarios de los roles de evaluación del riesgo, de fomento a la cultura de control y de asesoría y acompañamiento, se recomienda  fortalecer la interacción de la Unidad Financiera con las áreas originarias de la información contable donde se pueden generar  observaciones, con el fin de establecer medidas preventivas y acciones de mejora orientadas a contribuir al mejoramiento en los procesos de la Entidad.</w:t>
            </w:r>
          </w:p>
        </w:tc>
      </w:tr>
    </w:tbl>
    <w:p w14:paraId="1107052E" w14:textId="77777777" w:rsidR="00561B22" w:rsidRPr="00DE1C06" w:rsidRDefault="00561B22" w:rsidP="00561B22">
      <w:pPr>
        <w:pStyle w:val="Textoindependiente"/>
        <w:ind w:right="-50"/>
        <w:jc w:val="both"/>
        <w:rPr>
          <w:rFonts w:ascii="Arial" w:hAnsi="Arial" w:cs="Arial"/>
          <w:b/>
          <w:bCs/>
        </w:rPr>
      </w:pPr>
    </w:p>
    <w:p w14:paraId="555E7493" w14:textId="77777777" w:rsidR="00561B22" w:rsidRDefault="00561B22" w:rsidP="00561B22">
      <w:pPr>
        <w:jc w:val="both"/>
        <w:rPr>
          <w:b/>
          <w:bCs/>
          <w:sz w:val="24"/>
          <w:szCs w:val="24"/>
          <w:lang w:val="es-CO"/>
        </w:rPr>
      </w:pPr>
      <w:r w:rsidRPr="00DE1C06">
        <w:rPr>
          <w:rFonts w:ascii="Arial" w:hAnsi="Arial" w:cs="Arial"/>
          <w:b/>
          <w:bCs/>
          <w:sz w:val="24"/>
          <w:szCs w:val="24"/>
          <w:lang w:val="es-CO"/>
        </w:rPr>
        <w:t xml:space="preserve">NOTA: </w:t>
      </w:r>
      <w:r w:rsidRPr="00DE1C06">
        <w:rPr>
          <w:rFonts w:ascii="Arial" w:hAnsi="Arial" w:cs="Arial"/>
          <w:b/>
          <w:sz w:val="24"/>
          <w:szCs w:val="24"/>
          <w:lang w:val="es-CO"/>
        </w:rPr>
        <w:t>LA ENTIDAD ENVÍA LA MATRIZ DE AUTOEVALUACIÓN DEL SISTEMA DE CONTROL INTERNO CONTABLE CON</w:t>
      </w:r>
      <w:r w:rsidRPr="00DE1C06">
        <w:rPr>
          <w:rFonts w:ascii="Arial" w:hAnsi="Arial" w:cs="Arial"/>
          <w:b/>
          <w:bCs/>
          <w:sz w:val="24"/>
          <w:szCs w:val="24"/>
          <w:lang w:val="es-CO"/>
        </w:rPr>
        <w:t xml:space="preserve"> </w:t>
      </w:r>
      <w:r w:rsidRPr="00DE1C06">
        <w:rPr>
          <w:rFonts w:ascii="Arial" w:hAnsi="Arial" w:cs="Arial"/>
          <w:b/>
          <w:bCs/>
          <w:sz w:val="24"/>
          <w:szCs w:val="24"/>
          <w:u w:val="single"/>
          <w:lang w:val="es-CO"/>
        </w:rPr>
        <w:t>ACTIVIDADES DE CONTROL REALIZADAS EN FORMA PARCIAL</w:t>
      </w:r>
      <w:r w:rsidRPr="00AB1A67">
        <w:rPr>
          <w:b/>
          <w:bCs/>
          <w:sz w:val="24"/>
          <w:szCs w:val="24"/>
          <w:lang w:val="es-CO"/>
        </w:rPr>
        <w:t>.</w:t>
      </w:r>
    </w:p>
    <w:p w14:paraId="23AB1474" w14:textId="77777777" w:rsidR="00561B22" w:rsidRDefault="00561B22" w:rsidP="00561B22">
      <w:pPr>
        <w:jc w:val="both"/>
        <w:rPr>
          <w:b/>
          <w:bCs/>
          <w:sz w:val="24"/>
          <w:szCs w:val="24"/>
          <w:lang w:val="es-CO"/>
        </w:rPr>
      </w:pPr>
    </w:p>
    <w:p w14:paraId="753C72F0" w14:textId="77777777" w:rsidR="00561B22" w:rsidRPr="009172F7" w:rsidRDefault="00561B22" w:rsidP="00561B22">
      <w:pPr>
        <w:jc w:val="both"/>
        <w:rPr>
          <w:rFonts w:ascii="Arial" w:hAnsi="Arial" w:cs="Arial"/>
          <w:b/>
          <w:bCs/>
          <w:sz w:val="28"/>
          <w:szCs w:val="28"/>
          <w:lang w:val="es-CO"/>
        </w:rPr>
      </w:pPr>
      <w:r w:rsidRPr="009172F7">
        <w:rPr>
          <w:rFonts w:ascii="Arial" w:hAnsi="Arial" w:cs="Arial"/>
          <w:b/>
          <w:sz w:val="28"/>
          <w:szCs w:val="28"/>
        </w:rPr>
        <w:t>124.- U.A.E. AGENCIA NACIONAL DE CONTRATACIÓN PÚBLICA - COLOMBIA COMPRA EFICIENTE</w:t>
      </w:r>
      <w:r w:rsidRPr="009172F7">
        <w:rPr>
          <w:rFonts w:ascii="Arial" w:hAnsi="Arial" w:cs="Arial"/>
          <w:b/>
          <w:sz w:val="28"/>
          <w:szCs w:val="28"/>
          <w:lang w:val="es-MX"/>
        </w:rPr>
        <w:t>.</w:t>
      </w:r>
    </w:p>
    <w:p w14:paraId="2B12685C" w14:textId="77777777" w:rsidR="00561B22" w:rsidRDefault="00561B22" w:rsidP="00561B22">
      <w:pPr>
        <w:jc w:val="both"/>
        <w:rPr>
          <w:rFonts w:ascii="Arial" w:hAnsi="Arial" w:cs="Arial"/>
          <w:b/>
          <w:bCs/>
          <w:sz w:val="28"/>
          <w:szCs w:val="28"/>
          <w:lang w:val="es-CO"/>
        </w:rPr>
      </w:pPr>
    </w:p>
    <w:p w14:paraId="7C3A5EF8" w14:textId="77777777" w:rsidR="00561B22" w:rsidRPr="009172F7" w:rsidRDefault="00561B22" w:rsidP="00561B22">
      <w:pPr>
        <w:pStyle w:val="Textoindependiente"/>
        <w:ind w:right="-50"/>
        <w:jc w:val="center"/>
        <w:rPr>
          <w:rFonts w:ascii="Arial" w:hAnsi="Arial" w:cs="Arial"/>
          <w:b/>
          <w:bCs/>
        </w:rPr>
      </w:pPr>
      <w:r w:rsidRPr="009172F7">
        <w:rPr>
          <w:rFonts w:ascii="Arial" w:hAnsi="Arial" w:cs="Arial"/>
          <w:b/>
          <w:bCs/>
        </w:rPr>
        <w:t>INFORME DE LA AUTOCALIFICACIÓN DEL SISTEMA DE CONTROL INTERNO CONTABLE:</w:t>
      </w:r>
    </w:p>
    <w:p w14:paraId="665A5038" w14:textId="77777777" w:rsidR="00561B22" w:rsidRPr="009172F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172F7" w14:paraId="7C90B0A9" w14:textId="77777777" w:rsidTr="00F1223B">
        <w:tc>
          <w:tcPr>
            <w:tcW w:w="4981" w:type="dxa"/>
          </w:tcPr>
          <w:p w14:paraId="31C46590"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AUTOCALIFICACIÓN</w:t>
            </w:r>
          </w:p>
        </w:tc>
        <w:tc>
          <w:tcPr>
            <w:tcW w:w="4981" w:type="dxa"/>
          </w:tcPr>
          <w:p w14:paraId="56790A65" w14:textId="77777777" w:rsidR="00561B22" w:rsidRPr="009172F7" w:rsidRDefault="00561B22" w:rsidP="00F1223B">
            <w:pPr>
              <w:jc w:val="center"/>
              <w:rPr>
                <w:rFonts w:ascii="Arial" w:hAnsi="Arial" w:cs="Arial"/>
                <w:b/>
                <w:sz w:val="22"/>
                <w:szCs w:val="22"/>
                <w:u w:val="single"/>
                <w:lang w:val="es-MX"/>
              </w:rPr>
            </w:pPr>
            <w:r w:rsidRPr="009172F7">
              <w:rPr>
                <w:rFonts w:ascii="Arial" w:hAnsi="Arial" w:cs="Arial"/>
                <w:b/>
                <w:sz w:val="22"/>
                <w:szCs w:val="22"/>
                <w:u w:val="single"/>
                <w:lang w:val="es-MX"/>
              </w:rPr>
              <w:t>4.43</w:t>
            </w:r>
          </w:p>
        </w:tc>
      </w:tr>
    </w:tbl>
    <w:p w14:paraId="55D639C8" w14:textId="77777777" w:rsidR="00561B22" w:rsidRPr="009172F7" w:rsidRDefault="00561B22" w:rsidP="00561B22">
      <w:pPr>
        <w:pStyle w:val="Textoindependiente"/>
        <w:ind w:right="-50"/>
        <w:jc w:val="both"/>
        <w:rPr>
          <w:rFonts w:ascii="Arial" w:hAnsi="Arial" w:cs="Arial"/>
          <w:b/>
          <w:bCs/>
        </w:rPr>
      </w:pPr>
    </w:p>
    <w:p w14:paraId="16738733" w14:textId="77777777" w:rsidR="00561B22" w:rsidRPr="009172F7" w:rsidRDefault="00561B22" w:rsidP="00561B22">
      <w:pPr>
        <w:pStyle w:val="Textoindependiente"/>
        <w:ind w:right="-50"/>
        <w:jc w:val="both"/>
        <w:rPr>
          <w:rFonts w:ascii="Arial" w:hAnsi="Arial" w:cs="Arial"/>
          <w:b/>
          <w:bCs/>
        </w:rPr>
      </w:pPr>
      <w:r w:rsidRPr="009172F7">
        <w:rPr>
          <w:rFonts w:ascii="Arial" w:hAnsi="Arial" w:cs="Arial"/>
          <w:b/>
          <w:bCs/>
        </w:rPr>
        <w:t>Del informe enviado retomamos lo siguiente:</w:t>
      </w:r>
    </w:p>
    <w:p w14:paraId="69166553" w14:textId="77777777" w:rsidR="00561B22" w:rsidRPr="009172F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172F7" w14:paraId="338A9DF4" w14:textId="77777777" w:rsidTr="00F1223B">
        <w:tc>
          <w:tcPr>
            <w:tcW w:w="562" w:type="dxa"/>
          </w:tcPr>
          <w:p w14:paraId="1B3A0B07" w14:textId="77777777" w:rsidR="00561B22" w:rsidRPr="009172F7" w:rsidRDefault="00561B22" w:rsidP="00F1223B">
            <w:pPr>
              <w:ind w:right="-109"/>
              <w:jc w:val="center"/>
              <w:rPr>
                <w:rFonts w:ascii="Arial" w:hAnsi="Arial" w:cs="Arial"/>
                <w:b/>
                <w:sz w:val="22"/>
                <w:szCs w:val="22"/>
                <w:lang w:val="es-MX"/>
              </w:rPr>
            </w:pPr>
            <w:r w:rsidRPr="009172F7">
              <w:rPr>
                <w:rFonts w:ascii="Arial" w:hAnsi="Arial" w:cs="Arial"/>
                <w:b/>
                <w:sz w:val="22"/>
                <w:szCs w:val="22"/>
                <w:lang w:val="es-MX"/>
              </w:rPr>
              <w:t>N°</w:t>
            </w:r>
          </w:p>
        </w:tc>
        <w:tc>
          <w:tcPr>
            <w:tcW w:w="9400" w:type="dxa"/>
          </w:tcPr>
          <w:p w14:paraId="1CC5D846"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DEBILIDADES</w:t>
            </w:r>
          </w:p>
          <w:p w14:paraId="6D06A8E7" w14:textId="77777777" w:rsidR="00561B22" w:rsidRPr="009172F7" w:rsidRDefault="00561B22" w:rsidP="00F1223B">
            <w:pPr>
              <w:jc w:val="center"/>
              <w:rPr>
                <w:rFonts w:ascii="Arial" w:hAnsi="Arial" w:cs="Arial"/>
                <w:b/>
                <w:sz w:val="22"/>
                <w:szCs w:val="22"/>
                <w:lang w:val="es-MX"/>
              </w:rPr>
            </w:pPr>
          </w:p>
        </w:tc>
      </w:tr>
      <w:tr w:rsidR="00561B22" w:rsidRPr="009172F7" w14:paraId="7E465FE2" w14:textId="77777777" w:rsidTr="00F1223B">
        <w:tc>
          <w:tcPr>
            <w:tcW w:w="562" w:type="dxa"/>
          </w:tcPr>
          <w:p w14:paraId="67DA732E"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1</w:t>
            </w:r>
          </w:p>
        </w:tc>
        <w:tc>
          <w:tcPr>
            <w:tcW w:w="9400" w:type="dxa"/>
          </w:tcPr>
          <w:p w14:paraId="428187DF"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Al cierre de este informe de Evaluación de Control Interno Contable, se observó que el suministro de la información solicitada por la Oficina de Control Interno a las áreas que participan en el proceso contable de la ANCP-CCE fue insuficiente e inoportuna. </w:t>
            </w:r>
          </w:p>
        </w:tc>
      </w:tr>
      <w:tr w:rsidR="00561B22" w:rsidRPr="009172F7" w14:paraId="06682654" w14:textId="77777777" w:rsidTr="00F1223B">
        <w:tc>
          <w:tcPr>
            <w:tcW w:w="562" w:type="dxa"/>
          </w:tcPr>
          <w:p w14:paraId="6CD95430"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2</w:t>
            </w:r>
          </w:p>
        </w:tc>
        <w:tc>
          <w:tcPr>
            <w:tcW w:w="9400" w:type="dxa"/>
          </w:tcPr>
          <w:p w14:paraId="687FB5A3"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Esta situación limitó la posibilidad de realizar un seguimiento más efectivo y no permitió obtener una visión clara y precisa de la situación contable real de la entidad durante la vigencia 2024. </w:t>
            </w:r>
          </w:p>
        </w:tc>
      </w:tr>
      <w:tr w:rsidR="00561B22" w:rsidRPr="009172F7" w14:paraId="3C78E5CB" w14:textId="77777777" w:rsidTr="00F1223B">
        <w:tc>
          <w:tcPr>
            <w:tcW w:w="562" w:type="dxa"/>
          </w:tcPr>
          <w:p w14:paraId="64931E82"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3</w:t>
            </w:r>
          </w:p>
        </w:tc>
        <w:tc>
          <w:tcPr>
            <w:tcW w:w="9400" w:type="dxa"/>
          </w:tcPr>
          <w:p w14:paraId="7B0651B1"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Además, se identificó que la integridad, oportunidad y accesibilidad de la información fueron deficientes, considerando que, conforme al Marco Normativo del Régimen de Contabilidad Pública en Colombia.  </w:t>
            </w:r>
          </w:p>
        </w:tc>
      </w:tr>
      <w:tr w:rsidR="00561B22" w:rsidRPr="009172F7" w14:paraId="668C7003" w14:textId="77777777" w:rsidTr="00F1223B">
        <w:tc>
          <w:tcPr>
            <w:tcW w:w="562" w:type="dxa"/>
          </w:tcPr>
          <w:p w14:paraId="05146535"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4</w:t>
            </w:r>
          </w:p>
        </w:tc>
        <w:tc>
          <w:tcPr>
            <w:tcW w:w="9400" w:type="dxa"/>
          </w:tcPr>
          <w:p w14:paraId="7A7B482A"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Las situaciones administrativas que se presenten en la entidad, no pueden ser óbice para la disponibilidad, accesibilidad, integridad, oportunidad en la presentación y atención a los requerimientos de información, aunado a que la información al estar actualizándose en tiempo real en el Sistema Contable y Financiero utilizado por la entidad propicia menos reprocesos, que bien afecta la elaboración y consolidación de la información para la respectiva evaluación y seguimiento de Control Interno </w:t>
            </w:r>
          </w:p>
        </w:tc>
      </w:tr>
    </w:tbl>
    <w:p w14:paraId="34B20D90" w14:textId="77777777" w:rsidR="00561B22" w:rsidRPr="009172F7" w:rsidRDefault="00561B22" w:rsidP="00561B22">
      <w:pPr>
        <w:pStyle w:val="Textoindependiente"/>
        <w:ind w:right="-50"/>
        <w:jc w:val="both"/>
        <w:rPr>
          <w:rFonts w:ascii="Arial" w:hAnsi="Arial" w:cs="Arial"/>
          <w:b/>
          <w:bCs/>
        </w:rPr>
      </w:pPr>
    </w:p>
    <w:p w14:paraId="2DBF2B6D" w14:textId="77777777" w:rsidR="00561B22" w:rsidRPr="009172F7" w:rsidRDefault="00561B22" w:rsidP="00561B22">
      <w:pPr>
        <w:pStyle w:val="Textoindependiente"/>
        <w:ind w:right="-50"/>
        <w:jc w:val="both"/>
        <w:rPr>
          <w:rFonts w:ascii="Arial" w:hAnsi="Arial" w:cs="Arial"/>
          <w:b/>
          <w:lang w:val="es-MX"/>
        </w:rPr>
      </w:pPr>
      <w:r w:rsidRPr="009172F7">
        <w:rPr>
          <w:rFonts w:ascii="Arial" w:hAnsi="Arial" w:cs="Arial"/>
          <w:b/>
          <w:lang w:val="es-MX"/>
        </w:rPr>
        <w:t>Del citado informe retomamos las siguientes recomendaciones:</w:t>
      </w:r>
    </w:p>
    <w:p w14:paraId="19F1AD79" w14:textId="77777777" w:rsidR="00561B22" w:rsidRPr="009172F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172F7" w14:paraId="3A5ABDC7" w14:textId="77777777" w:rsidTr="00F1223B">
        <w:tc>
          <w:tcPr>
            <w:tcW w:w="562" w:type="dxa"/>
          </w:tcPr>
          <w:p w14:paraId="6798A943" w14:textId="77777777" w:rsidR="00561B22" w:rsidRPr="009172F7" w:rsidRDefault="00561B22" w:rsidP="00F1223B">
            <w:pPr>
              <w:ind w:right="-109"/>
              <w:jc w:val="center"/>
              <w:rPr>
                <w:rFonts w:ascii="Arial" w:hAnsi="Arial" w:cs="Arial"/>
                <w:b/>
                <w:sz w:val="22"/>
                <w:szCs w:val="22"/>
                <w:lang w:val="es-MX"/>
              </w:rPr>
            </w:pPr>
            <w:r w:rsidRPr="009172F7">
              <w:rPr>
                <w:rFonts w:ascii="Arial" w:hAnsi="Arial" w:cs="Arial"/>
                <w:b/>
                <w:sz w:val="22"/>
                <w:szCs w:val="22"/>
                <w:lang w:val="es-MX"/>
              </w:rPr>
              <w:t>N°</w:t>
            </w:r>
          </w:p>
        </w:tc>
        <w:tc>
          <w:tcPr>
            <w:tcW w:w="9400" w:type="dxa"/>
          </w:tcPr>
          <w:p w14:paraId="66A252EB"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RECOMENDACIONES</w:t>
            </w:r>
          </w:p>
          <w:p w14:paraId="7C53EA91" w14:textId="77777777" w:rsidR="00561B22" w:rsidRPr="009172F7" w:rsidRDefault="00561B22" w:rsidP="00F1223B">
            <w:pPr>
              <w:jc w:val="center"/>
              <w:rPr>
                <w:rFonts w:ascii="Arial" w:hAnsi="Arial" w:cs="Arial"/>
                <w:b/>
                <w:sz w:val="22"/>
                <w:szCs w:val="22"/>
                <w:lang w:val="es-MX"/>
              </w:rPr>
            </w:pPr>
          </w:p>
        </w:tc>
      </w:tr>
      <w:tr w:rsidR="00561B22" w:rsidRPr="009172F7" w14:paraId="2CCFE052" w14:textId="77777777" w:rsidTr="00F1223B">
        <w:tc>
          <w:tcPr>
            <w:tcW w:w="562" w:type="dxa"/>
          </w:tcPr>
          <w:p w14:paraId="462F53EF"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1</w:t>
            </w:r>
          </w:p>
        </w:tc>
        <w:tc>
          <w:tcPr>
            <w:tcW w:w="9400" w:type="dxa"/>
          </w:tcPr>
          <w:p w14:paraId="20B3CD18"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Realizar una revisión para actualizar de ser necesario los riesgos de índole contable con el propósito de identificarlos y mitigarlos. </w:t>
            </w:r>
          </w:p>
        </w:tc>
      </w:tr>
      <w:tr w:rsidR="00561B22" w:rsidRPr="009172F7" w14:paraId="126A8EFB" w14:textId="77777777" w:rsidTr="00F1223B">
        <w:tc>
          <w:tcPr>
            <w:tcW w:w="562" w:type="dxa"/>
          </w:tcPr>
          <w:p w14:paraId="3DDD7205"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2</w:t>
            </w:r>
          </w:p>
        </w:tc>
        <w:tc>
          <w:tcPr>
            <w:tcW w:w="9400" w:type="dxa"/>
          </w:tcPr>
          <w:p w14:paraId="736C078D"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Parametrización del reporte de matriz de riesgos en la Sute Visión Empresarial.</w:t>
            </w:r>
          </w:p>
        </w:tc>
      </w:tr>
      <w:tr w:rsidR="00561B22" w:rsidRPr="009172F7" w14:paraId="0F3475D4" w14:textId="77777777" w:rsidTr="00F1223B">
        <w:tc>
          <w:tcPr>
            <w:tcW w:w="562" w:type="dxa"/>
          </w:tcPr>
          <w:p w14:paraId="1CFBF63F"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3</w:t>
            </w:r>
          </w:p>
        </w:tc>
        <w:tc>
          <w:tcPr>
            <w:tcW w:w="9400" w:type="dxa"/>
          </w:tcPr>
          <w:p w14:paraId="0922982C"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Verificar el impacto de las capacitaciones influyen en el mejoramiento de competencias y habilidades del proceso contable. </w:t>
            </w:r>
          </w:p>
        </w:tc>
      </w:tr>
      <w:tr w:rsidR="00561B22" w:rsidRPr="009172F7" w14:paraId="32E8F801" w14:textId="77777777" w:rsidTr="00F1223B">
        <w:tc>
          <w:tcPr>
            <w:tcW w:w="562" w:type="dxa"/>
          </w:tcPr>
          <w:p w14:paraId="6A98EF13"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4</w:t>
            </w:r>
          </w:p>
        </w:tc>
        <w:tc>
          <w:tcPr>
            <w:tcW w:w="9400" w:type="dxa"/>
          </w:tcPr>
          <w:p w14:paraId="08189A6D"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MX"/>
              </w:rPr>
              <w:t>S</w:t>
            </w:r>
            <w:r w:rsidRPr="009172F7">
              <w:rPr>
                <w:rFonts w:ascii="Arial" w:eastAsia="Times New Roman" w:hAnsi="Arial" w:cs="Arial"/>
                <w:sz w:val="22"/>
                <w:szCs w:val="22"/>
                <w:lang w:val="es-CO"/>
              </w:rPr>
              <w:t xml:space="preserve">uministrar la información de manera oportuna, veraz y verificable a Control Interno para la realización del informe de evaluación de Control Interno Contable. </w:t>
            </w:r>
          </w:p>
        </w:tc>
      </w:tr>
      <w:tr w:rsidR="00561B22" w:rsidRPr="009172F7" w14:paraId="265122A9" w14:textId="77777777" w:rsidTr="00F1223B">
        <w:tc>
          <w:tcPr>
            <w:tcW w:w="562" w:type="dxa"/>
          </w:tcPr>
          <w:p w14:paraId="2E7EFEE1" w14:textId="77777777" w:rsidR="00561B22" w:rsidRPr="009172F7" w:rsidRDefault="00561B22" w:rsidP="00F1223B">
            <w:pPr>
              <w:jc w:val="center"/>
              <w:rPr>
                <w:rFonts w:ascii="Arial" w:hAnsi="Arial" w:cs="Arial"/>
                <w:b/>
                <w:sz w:val="22"/>
                <w:szCs w:val="22"/>
                <w:lang w:val="es-MX"/>
              </w:rPr>
            </w:pPr>
          </w:p>
        </w:tc>
        <w:tc>
          <w:tcPr>
            <w:tcW w:w="9400" w:type="dxa"/>
          </w:tcPr>
          <w:p w14:paraId="5904C046" w14:textId="77777777" w:rsidR="00561B22" w:rsidRPr="009172F7" w:rsidRDefault="00561B22" w:rsidP="00F1223B">
            <w:pPr>
              <w:widowControl/>
              <w:autoSpaceDE/>
              <w:autoSpaceDN/>
              <w:contextualSpacing/>
              <w:jc w:val="both"/>
              <w:rPr>
                <w:rFonts w:ascii="Arial" w:eastAsia="Times New Roman" w:hAnsi="Arial" w:cs="Arial"/>
                <w:sz w:val="22"/>
                <w:szCs w:val="22"/>
                <w:lang w:val="es-MX"/>
              </w:rPr>
            </w:pPr>
            <w:r w:rsidRPr="009172F7">
              <w:rPr>
                <w:rFonts w:ascii="Arial" w:eastAsia="Times New Roman" w:hAnsi="Arial" w:cs="Arial"/>
                <w:sz w:val="22"/>
                <w:szCs w:val="22"/>
                <w:lang w:val="es-CO"/>
              </w:rPr>
              <w:t>Continuar garantizando que la gestión contable se mantenga alineada con los estándares y principios requeridos teniendo muy presente la oportunidad de la entrega de la información.</w:t>
            </w:r>
          </w:p>
        </w:tc>
      </w:tr>
      <w:tr w:rsidR="00561B22" w:rsidRPr="009172F7" w14:paraId="4F1F36C5" w14:textId="77777777" w:rsidTr="00F1223B">
        <w:tc>
          <w:tcPr>
            <w:tcW w:w="562" w:type="dxa"/>
          </w:tcPr>
          <w:p w14:paraId="11AB7015" w14:textId="77777777" w:rsidR="00561B22" w:rsidRPr="009172F7" w:rsidRDefault="00561B22" w:rsidP="00F1223B">
            <w:pPr>
              <w:jc w:val="center"/>
              <w:rPr>
                <w:rFonts w:ascii="Arial" w:hAnsi="Arial" w:cs="Arial"/>
                <w:b/>
                <w:sz w:val="22"/>
                <w:szCs w:val="22"/>
                <w:lang w:val="es-MX"/>
              </w:rPr>
            </w:pPr>
            <w:r w:rsidRPr="009172F7">
              <w:rPr>
                <w:rFonts w:ascii="Arial" w:hAnsi="Arial" w:cs="Arial"/>
                <w:b/>
                <w:sz w:val="22"/>
                <w:szCs w:val="22"/>
                <w:lang w:val="es-MX"/>
              </w:rPr>
              <w:t>5</w:t>
            </w:r>
          </w:p>
        </w:tc>
        <w:tc>
          <w:tcPr>
            <w:tcW w:w="9400" w:type="dxa"/>
          </w:tcPr>
          <w:p w14:paraId="78F7A26D"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 xml:space="preserve">Actualizar el Manual de Políticas Contables a la normatividad actual emitida por la CGN a fin de fortalecer los controles internos y mejorar la calidad de la información financiera en la entidad. </w:t>
            </w:r>
          </w:p>
        </w:tc>
      </w:tr>
      <w:tr w:rsidR="00561B22" w:rsidRPr="009172F7" w14:paraId="73D1759C" w14:textId="77777777" w:rsidTr="00F1223B">
        <w:tc>
          <w:tcPr>
            <w:tcW w:w="562" w:type="dxa"/>
          </w:tcPr>
          <w:p w14:paraId="7B84F11D" w14:textId="77777777" w:rsidR="00561B22" w:rsidRPr="009172F7" w:rsidRDefault="00561B22" w:rsidP="00F1223B">
            <w:pPr>
              <w:jc w:val="center"/>
              <w:rPr>
                <w:rFonts w:ascii="Arial" w:hAnsi="Arial" w:cs="Arial"/>
                <w:b/>
                <w:sz w:val="22"/>
                <w:szCs w:val="22"/>
                <w:lang w:val="es-MX"/>
              </w:rPr>
            </w:pPr>
          </w:p>
        </w:tc>
        <w:tc>
          <w:tcPr>
            <w:tcW w:w="9400" w:type="dxa"/>
          </w:tcPr>
          <w:p w14:paraId="3622E5AA" w14:textId="77777777" w:rsidR="00561B22" w:rsidRPr="009172F7" w:rsidRDefault="00561B22" w:rsidP="00F1223B">
            <w:pPr>
              <w:widowControl/>
              <w:autoSpaceDE/>
              <w:autoSpaceDN/>
              <w:contextualSpacing/>
              <w:jc w:val="both"/>
              <w:rPr>
                <w:rFonts w:ascii="Arial" w:eastAsia="Times New Roman" w:hAnsi="Arial" w:cs="Arial"/>
                <w:sz w:val="22"/>
                <w:szCs w:val="22"/>
                <w:lang w:val="es-CO"/>
              </w:rPr>
            </w:pPr>
            <w:r w:rsidRPr="009172F7">
              <w:rPr>
                <w:rFonts w:ascii="Arial" w:eastAsia="Times New Roman" w:hAnsi="Arial" w:cs="Arial"/>
                <w:sz w:val="22"/>
                <w:szCs w:val="22"/>
                <w:lang w:val="es-CO"/>
              </w:rPr>
              <w:t>Propiciar empoderamiento dentro del proceso financiero y contable una mayor sinergia laboral entre los sujetos auditados en el marco del trabajo en equipo a fin de evitar reprocesos.</w:t>
            </w:r>
          </w:p>
        </w:tc>
      </w:tr>
    </w:tbl>
    <w:p w14:paraId="4599CD1E" w14:textId="77777777" w:rsidR="00561B22" w:rsidRPr="009172F7" w:rsidRDefault="00561B22" w:rsidP="00561B22">
      <w:pPr>
        <w:pStyle w:val="Textoindependiente"/>
        <w:ind w:right="-50"/>
        <w:jc w:val="both"/>
        <w:rPr>
          <w:rFonts w:ascii="Arial" w:hAnsi="Arial" w:cs="Arial"/>
          <w:b/>
          <w:bCs/>
        </w:rPr>
      </w:pPr>
    </w:p>
    <w:p w14:paraId="385EE405" w14:textId="77777777" w:rsidR="00561B22" w:rsidRPr="009172F7" w:rsidRDefault="00561B22" w:rsidP="00561B22">
      <w:pPr>
        <w:jc w:val="both"/>
        <w:rPr>
          <w:rFonts w:ascii="Arial" w:hAnsi="Arial" w:cs="Arial"/>
          <w:b/>
          <w:bCs/>
          <w:sz w:val="24"/>
          <w:szCs w:val="24"/>
          <w:lang w:val="es-CO"/>
        </w:rPr>
      </w:pPr>
      <w:r w:rsidRPr="009172F7">
        <w:rPr>
          <w:rFonts w:ascii="Arial" w:hAnsi="Arial" w:cs="Arial"/>
          <w:b/>
          <w:bCs/>
          <w:sz w:val="24"/>
          <w:szCs w:val="24"/>
          <w:lang w:val="es-CO"/>
        </w:rPr>
        <w:t xml:space="preserve">NOTA: LA ENTIDAD ENVIA LA MATRIZ DE AUTOEVALUACIÓN DEL SISTEMA DE CONTROL INTERNO CONTABLE CON ACTIVIDADES DE CONTROL REALIZADAS </w:t>
      </w:r>
      <w:r w:rsidRPr="009172F7">
        <w:rPr>
          <w:rFonts w:ascii="Arial" w:hAnsi="Arial" w:cs="Arial"/>
          <w:b/>
          <w:bCs/>
          <w:sz w:val="24"/>
          <w:szCs w:val="24"/>
          <w:u w:val="single"/>
          <w:lang w:val="es-CO"/>
        </w:rPr>
        <w:t>EN FORMA PARCIAL Y OTRAS SIMPLEMENTE INFORMAN QUE NO SE REALIZARON</w:t>
      </w:r>
      <w:r w:rsidRPr="009172F7">
        <w:rPr>
          <w:rFonts w:ascii="Arial" w:hAnsi="Arial" w:cs="Arial"/>
          <w:b/>
          <w:bCs/>
          <w:sz w:val="24"/>
          <w:szCs w:val="24"/>
          <w:lang w:val="es-CO"/>
        </w:rPr>
        <w:t>.</w:t>
      </w:r>
    </w:p>
    <w:p w14:paraId="2B5E71C7" w14:textId="77777777" w:rsidR="00561B22" w:rsidRPr="009172F7" w:rsidRDefault="00561B22" w:rsidP="00561B22">
      <w:pPr>
        <w:pStyle w:val="Textoindependiente"/>
        <w:tabs>
          <w:tab w:val="left" w:pos="2055"/>
        </w:tabs>
        <w:spacing w:before="5"/>
        <w:rPr>
          <w:rFonts w:ascii="Arial" w:hAnsi="Arial" w:cs="Arial"/>
          <w:sz w:val="17"/>
        </w:rPr>
      </w:pPr>
    </w:p>
    <w:p w14:paraId="613FB097" w14:textId="77777777" w:rsidR="00561B22" w:rsidRDefault="00561B22" w:rsidP="00561B22">
      <w:pPr>
        <w:ind w:right="49"/>
        <w:jc w:val="both"/>
        <w:rPr>
          <w:rFonts w:ascii="Arial" w:hAnsi="Arial" w:cs="Arial"/>
          <w:b/>
          <w:sz w:val="28"/>
          <w:szCs w:val="28"/>
        </w:rPr>
      </w:pPr>
      <w:r w:rsidRPr="00B35356">
        <w:rPr>
          <w:rFonts w:ascii="Arial" w:hAnsi="Arial" w:cs="Arial"/>
          <w:b/>
          <w:sz w:val="28"/>
          <w:szCs w:val="28"/>
        </w:rPr>
        <w:t>125.- CORPORACIÓN AUTÓNOMA REGIONAL DE SANTANDER – CAS.</w:t>
      </w:r>
    </w:p>
    <w:p w14:paraId="63666DC4" w14:textId="77777777" w:rsidR="00561B22" w:rsidRDefault="00561B22" w:rsidP="00561B22">
      <w:pPr>
        <w:jc w:val="both"/>
        <w:rPr>
          <w:rFonts w:ascii="Arial" w:hAnsi="Arial" w:cs="Arial"/>
          <w:b/>
          <w:bCs/>
          <w:sz w:val="28"/>
          <w:szCs w:val="28"/>
          <w:lang w:val="es-CO"/>
        </w:rPr>
      </w:pPr>
    </w:p>
    <w:p w14:paraId="6B8DDB08" w14:textId="77777777" w:rsidR="00561B22" w:rsidRPr="00183D89" w:rsidRDefault="00561B22" w:rsidP="00561B22">
      <w:pPr>
        <w:pStyle w:val="Textoindependiente"/>
        <w:ind w:right="-50"/>
        <w:jc w:val="center"/>
        <w:rPr>
          <w:rFonts w:ascii="Arial" w:hAnsi="Arial" w:cs="Arial"/>
          <w:b/>
          <w:bCs/>
        </w:rPr>
      </w:pPr>
      <w:r w:rsidRPr="00183D89">
        <w:rPr>
          <w:rFonts w:ascii="Arial" w:hAnsi="Arial" w:cs="Arial"/>
          <w:b/>
          <w:bCs/>
        </w:rPr>
        <w:t>INFORME DE LA AUTOCALIFICACIÓN DEL SISTEMA DE CONTROL INTERNO CONTABLE:</w:t>
      </w:r>
    </w:p>
    <w:p w14:paraId="3C18B226" w14:textId="77777777" w:rsidR="00561B22" w:rsidRPr="00183D8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83D89" w14:paraId="4570FEBD" w14:textId="77777777" w:rsidTr="00F1223B">
        <w:tc>
          <w:tcPr>
            <w:tcW w:w="4981" w:type="dxa"/>
          </w:tcPr>
          <w:p w14:paraId="1A77398B"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AUTOCALIFICACIÓN</w:t>
            </w:r>
          </w:p>
        </w:tc>
        <w:tc>
          <w:tcPr>
            <w:tcW w:w="4981" w:type="dxa"/>
          </w:tcPr>
          <w:p w14:paraId="6AE745E3" w14:textId="77777777" w:rsidR="00561B22" w:rsidRPr="00183D89" w:rsidRDefault="00561B22" w:rsidP="00F1223B">
            <w:pPr>
              <w:jc w:val="center"/>
              <w:rPr>
                <w:rFonts w:ascii="Arial" w:hAnsi="Arial" w:cs="Arial"/>
                <w:b/>
                <w:sz w:val="22"/>
                <w:szCs w:val="22"/>
                <w:u w:val="single"/>
                <w:lang w:val="es-MX"/>
              </w:rPr>
            </w:pPr>
            <w:r w:rsidRPr="00183D89">
              <w:rPr>
                <w:rFonts w:ascii="Arial" w:hAnsi="Arial" w:cs="Arial"/>
                <w:b/>
                <w:sz w:val="22"/>
                <w:szCs w:val="22"/>
                <w:u w:val="single"/>
                <w:lang w:val="es-MX"/>
              </w:rPr>
              <w:t>5.00</w:t>
            </w:r>
          </w:p>
        </w:tc>
      </w:tr>
    </w:tbl>
    <w:p w14:paraId="1AE97A72" w14:textId="77777777" w:rsidR="00561B22" w:rsidRPr="00183D89" w:rsidRDefault="00561B22" w:rsidP="00561B22">
      <w:pPr>
        <w:pStyle w:val="Textoindependiente"/>
        <w:ind w:right="-50"/>
        <w:jc w:val="both"/>
        <w:rPr>
          <w:rFonts w:ascii="Arial" w:hAnsi="Arial" w:cs="Arial"/>
          <w:b/>
          <w:bCs/>
        </w:rPr>
      </w:pPr>
    </w:p>
    <w:p w14:paraId="0A0B1C78" w14:textId="77777777" w:rsidR="00561B22" w:rsidRPr="00183D89" w:rsidRDefault="00561B22" w:rsidP="00561B22">
      <w:pPr>
        <w:pStyle w:val="Textoindependiente"/>
        <w:ind w:right="-50"/>
        <w:jc w:val="both"/>
        <w:rPr>
          <w:rFonts w:ascii="Arial" w:hAnsi="Arial" w:cs="Arial"/>
          <w:b/>
          <w:bCs/>
        </w:rPr>
      </w:pPr>
      <w:r w:rsidRPr="00183D89">
        <w:rPr>
          <w:rFonts w:ascii="Arial" w:hAnsi="Arial" w:cs="Arial"/>
          <w:b/>
          <w:bCs/>
        </w:rPr>
        <w:lastRenderedPageBreak/>
        <w:t>Del informe enviado retomamos lo siguiente:</w:t>
      </w:r>
    </w:p>
    <w:p w14:paraId="674FCBC8" w14:textId="77777777" w:rsidR="00561B22" w:rsidRPr="00183D8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83D89" w14:paraId="6CC1A6FC" w14:textId="77777777" w:rsidTr="00F1223B">
        <w:tc>
          <w:tcPr>
            <w:tcW w:w="562" w:type="dxa"/>
          </w:tcPr>
          <w:p w14:paraId="7B49AD97" w14:textId="77777777" w:rsidR="00561B22" w:rsidRPr="00183D89" w:rsidRDefault="00561B22" w:rsidP="00F1223B">
            <w:pPr>
              <w:ind w:right="-109"/>
              <w:jc w:val="center"/>
              <w:rPr>
                <w:rFonts w:ascii="Arial" w:hAnsi="Arial" w:cs="Arial"/>
                <w:b/>
                <w:sz w:val="22"/>
                <w:szCs w:val="22"/>
                <w:lang w:val="es-MX"/>
              </w:rPr>
            </w:pPr>
            <w:r w:rsidRPr="00183D89">
              <w:rPr>
                <w:rFonts w:ascii="Arial" w:hAnsi="Arial" w:cs="Arial"/>
                <w:b/>
                <w:sz w:val="22"/>
                <w:szCs w:val="22"/>
                <w:lang w:val="es-MX"/>
              </w:rPr>
              <w:t>N°</w:t>
            </w:r>
          </w:p>
        </w:tc>
        <w:tc>
          <w:tcPr>
            <w:tcW w:w="9400" w:type="dxa"/>
          </w:tcPr>
          <w:p w14:paraId="5495764F"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DEBILIDADES</w:t>
            </w:r>
          </w:p>
          <w:p w14:paraId="04E8A9AB" w14:textId="77777777" w:rsidR="00561B22" w:rsidRPr="00183D89" w:rsidRDefault="00561B22" w:rsidP="00F1223B">
            <w:pPr>
              <w:jc w:val="center"/>
              <w:rPr>
                <w:rFonts w:ascii="Arial" w:hAnsi="Arial" w:cs="Arial"/>
                <w:b/>
                <w:sz w:val="22"/>
                <w:szCs w:val="22"/>
                <w:lang w:val="es-MX"/>
              </w:rPr>
            </w:pPr>
          </w:p>
        </w:tc>
      </w:tr>
      <w:tr w:rsidR="00561B22" w:rsidRPr="00183D89" w14:paraId="193D9ED0" w14:textId="77777777" w:rsidTr="00F1223B">
        <w:tc>
          <w:tcPr>
            <w:tcW w:w="562" w:type="dxa"/>
          </w:tcPr>
          <w:p w14:paraId="5C3015A5"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1</w:t>
            </w:r>
          </w:p>
        </w:tc>
        <w:tc>
          <w:tcPr>
            <w:tcW w:w="9400" w:type="dxa"/>
          </w:tcPr>
          <w:p w14:paraId="3BBB3DC6" w14:textId="77777777" w:rsidR="00561B22" w:rsidRPr="00183D89" w:rsidRDefault="00561B22" w:rsidP="00F1223B">
            <w:pPr>
              <w:rPr>
                <w:rFonts w:ascii="Arial" w:hAnsi="Arial" w:cs="Arial"/>
                <w:bCs/>
                <w:sz w:val="22"/>
                <w:szCs w:val="22"/>
                <w:lang w:val="es-MX"/>
              </w:rPr>
            </w:pPr>
            <w:r w:rsidRPr="00183D89">
              <w:rPr>
                <w:rFonts w:ascii="Arial" w:hAnsi="Arial" w:cs="Arial"/>
                <w:bCs/>
                <w:sz w:val="22"/>
                <w:szCs w:val="22"/>
                <w:lang w:val="es-MX"/>
              </w:rPr>
              <w:t>La rotación del personal contratista adscrito al área contable.</w:t>
            </w:r>
          </w:p>
        </w:tc>
      </w:tr>
      <w:tr w:rsidR="00561B22" w:rsidRPr="00183D89" w14:paraId="0ECBD243" w14:textId="77777777" w:rsidTr="00F1223B">
        <w:tc>
          <w:tcPr>
            <w:tcW w:w="562" w:type="dxa"/>
          </w:tcPr>
          <w:p w14:paraId="6C0248C8"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2</w:t>
            </w:r>
          </w:p>
        </w:tc>
        <w:tc>
          <w:tcPr>
            <w:tcW w:w="9400" w:type="dxa"/>
          </w:tcPr>
          <w:p w14:paraId="2EAF1BD7" w14:textId="77777777" w:rsidR="00561B22" w:rsidRPr="00183D89" w:rsidRDefault="00561B22" w:rsidP="00F1223B">
            <w:pPr>
              <w:rPr>
                <w:rFonts w:ascii="Arial" w:hAnsi="Arial" w:cs="Arial"/>
                <w:bCs/>
                <w:sz w:val="22"/>
                <w:szCs w:val="22"/>
                <w:lang w:val="es-MX"/>
              </w:rPr>
            </w:pPr>
            <w:r w:rsidRPr="00183D89">
              <w:rPr>
                <w:rFonts w:ascii="Arial" w:hAnsi="Arial" w:cs="Arial"/>
                <w:bCs/>
                <w:sz w:val="22"/>
                <w:szCs w:val="22"/>
                <w:lang w:val="es-MX"/>
              </w:rPr>
              <w:t>La falta de apoyo por parte de las demás áreas en los reportes oportunos al área contable.</w:t>
            </w:r>
          </w:p>
        </w:tc>
      </w:tr>
      <w:tr w:rsidR="00561B22" w:rsidRPr="00183D89" w14:paraId="20EE4896" w14:textId="77777777" w:rsidTr="00F1223B">
        <w:tc>
          <w:tcPr>
            <w:tcW w:w="562" w:type="dxa"/>
          </w:tcPr>
          <w:p w14:paraId="3C4E0EEF"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3</w:t>
            </w:r>
          </w:p>
        </w:tc>
        <w:tc>
          <w:tcPr>
            <w:tcW w:w="9400" w:type="dxa"/>
          </w:tcPr>
          <w:p w14:paraId="199FC250" w14:textId="77777777" w:rsidR="00561B22" w:rsidRPr="00183D89" w:rsidRDefault="00561B22" w:rsidP="00F1223B">
            <w:pPr>
              <w:rPr>
                <w:rFonts w:ascii="Arial" w:hAnsi="Arial" w:cs="Arial"/>
                <w:bCs/>
                <w:sz w:val="22"/>
                <w:szCs w:val="22"/>
                <w:lang w:val="es-MX"/>
              </w:rPr>
            </w:pPr>
            <w:r w:rsidRPr="00183D89">
              <w:rPr>
                <w:rFonts w:ascii="Arial" w:hAnsi="Arial" w:cs="Arial"/>
                <w:bCs/>
                <w:sz w:val="22"/>
                <w:szCs w:val="22"/>
                <w:lang w:val="es-MX"/>
              </w:rPr>
              <w:t>Falta proyectar reforma a la planta de personal ya que el área contable sólo cuenta con un funcionario que es el jefe de la oficina, por tanto, en épocas de cierre contable no se tiene apoyo profesional idóneo para la realización de actividades propias de la oficina.</w:t>
            </w:r>
          </w:p>
        </w:tc>
      </w:tr>
    </w:tbl>
    <w:p w14:paraId="70636DF1" w14:textId="77777777" w:rsidR="00561B22" w:rsidRPr="00183D89" w:rsidRDefault="00561B22" w:rsidP="00561B22">
      <w:pPr>
        <w:pStyle w:val="Textoindependiente"/>
        <w:ind w:right="-50"/>
        <w:jc w:val="both"/>
        <w:rPr>
          <w:rFonts w:ascii="Arial" w:hAnsi="Arial" w:cs="Arial"/>
          <w:b/>
          <w:bCs/>
        </w:rPr>
      </w:pPr>
    </w:p>
    <w:p w14:paraId="317DB362" w14:textId="77777777" w:rsidR="00561B22" w:rsidRPr="00183D89" w:rsidRDefault="00561B22" w:rsidP="00561B22">
      <w:pPr>
        <w:jc w:val="both"/>
        <w:rPr>
          <w:rFonts w:ascii="Arial" w:hAnsi="Arial" w:cs="Arial"/>
          <w:b/>
          <w:lang w:val="es-MX"/>
        </w:rPr>
      </w:pPr>
      <w:r w:rsidRPr="00183D89">
        <w:rPr>
          <w:rFonts w:ascii="Arial" w:hAnsi="Arial" w:cs="Arial"/>
          <w:b/>
          <w:lang w:val="es-MX"/>
        </w:rPr>
        <w:t>Del citado informe retomamos las siguientes recomendaciones:</w:t>
      </w:r>
    </w:p>
    <w:p w14:paraId="3E5781C1" w14:textId="77777777" w:rsidR="00561B22" w:rsidRPr="00183D8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83D89" w14:paraId="0C69CDA2" w14:textId="77777777" w:rsidTr="00F1223B">
        <w:tc>
          <w:tcPr>
            <w:tcW w:w="562" w:type="dxa"/>
          </w:tcPr>
          <w:p w14:paraId="3E19AA12" w14:textId="77777777" w:rsidR="00561B22" w:rsidRPr="00183D89" w:rsidRDefault="00561B22" w:rsidP="00F1223B">
            <w:pPr>
              <w:ind w:right="-109"/>
              <w:jc w:val="center"/>
              <w:rPr>
                <w:rFonts w:ascii="Arial" w:hAnsi="Arial" w:cs="Arial"/>
                <w:b/>
                <w:sz w:val="22"/>
                <w:szCs w:val="22"/>
                <w:lang w:val="es-MX"/>
              </w:rPr>
            </w:pPr>
            <w:r w:rsidRPr="00183D89">
              <w:rPr>
                <w:rFonts w:ascii="Arial" w:hAnsi="Arial" w:cs="Arial"/>
                <w:b/>
                <w:sz w:val="22"/>
                <w:szCs w:val="22"/>
                <w:lang w:val="es-MX"/>
              </w:rPr>
              <w:t>N°</w:t>
            </w:r>
          </w:p>
        </w:tc>
        <w:tc>
          <w:tcPr>
            <w:tcW w:w="9400" w:type="dxa"/>
          </w:tcPr>
          <w:p w14:paraId="799E5006"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RECOMENDACIONES</w:t>
            </w:r>
          </w:p>
          <w:p w14:paraId="4970EE11" w14:textId="77777777" w:rsidR="00561B22" w:rsidRPr="00183D89" w:rsidRDefault="00561B22" w:rsidP="00F1223B">
            <w:pPr>
              <w:jc w:val="center"/>
              <w:rPr>
                <w:rFonts w:ascii="Arial" w:hAnsi="Arial" w:cs="Arial"/>
                <w:b/>
                <w:sz w:val="22"/>
                <w:szCs w:val="22"/>
                <w:lang w:val="es-MX"/>
              </w:rPr>
            </w:pPr>
          </w:p>
        </w:tc>
      </w:tr>
      <w:tr w:rsidR="00561B22" w:rsidRPr="00183D89" w14:paraId="563180BF" w14:textId="77777777" w:rsidTr="00F1223B">
        <w:tc>
          <w:tcPr>
            <w:tcW w:w="562" w:type="dxa"/>
          </w:tcPr>
          <w:p w14:paraId="52026FF4"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1</w:t>
            </w:r>
          </w:p>
        </w:tc>
        <w:tc>
          <w:tcPr>
            <w:tcW w:w="9400" w:type="dxa"/>
          </w:tcPr>
          <w:p w14:paraId="428DD502" w14:textId="77777777" w:rsidR="00561B22" w:rsidRPr="00183D89" w:rsidRDefault="00561B22" w:rsidP="00F1223B">
            <w:pPr>
              <w:jc w:val="both"/>
              <w:rPr>
                <w:rFonts w:ascii="Arial" w:hAnsi="Arial" w:cs="Arial"/>
                <w:b/>
                <w:sz w:val="22"/>
                <w:szCs w:val="22"/>
                <w:lang w:val="es-MX"/>
              </w:rPr>
            </w:pPr>
            <w:r w:rsidRPr="00183D89">
              <w:rPr>
                <w:rFonts w:ascii="Arial" w:eastAsia="Times New Roman" w:hAnsi="Arial" w:cs="Arial"/>
                <w:sz w:val="22"/>
                <w:szCs w:val="22"/>
              </w:rPr>
              <w:t xml:space="preserve">Dar continuidad al seguimiento para la implementación de la facturación electrónica de las tasas de evaluación y seguimiento ambiental.  </w:t>
            </w:r>
          </w:p>
        </w:tc>
      </w:tr>
      <w:tr w:rsidR="00561B22" w:rsidRPr="00183D89" w14:paraId="1370A6FC" w14:textId="77777777" w:rsidTr="00F1223B">
        <w:tc>
          <w:tcPr>
            <w:tcW w:w="562" w:type="dxa"/>
          </w:tcPr>
          <w:p w14:paraId="4425031E"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2</w:t>
            </w:r>
          </w:p>
        </w:tc>
        <w:tc>
          <w:tcPr>
            <w:tcW w:w="9400" w:type="dxa"/>
          </w:tcPr>
          <w:p w14:paraId="5AF566AB" w14:textId="77777777" w:rsidR="00561B22" w:rsidRPr="00183D89" w:rsidRDefault="00561B22" w:rsidP="00F1223B">
            <w:pPr>
              <w:jc w:val="both"/>
              <w:rPr>
                <w:rFonts w:ascii="Arial" w:hAnsi="Arial" w:cs="Arial"/>
                <w:b/>
                <w:sz w:val="22"/>
                <w:szCs w:val="22"/>
                <w:lang w:val="es-MX"/>
              </w:rPr>
            </w:pPr>
            <w:r w:rsidRPr="00183D89">
              <w:rPr>
                <w:rFonts w:ascii="Arial" w:eastAsia="Times New Roman" w:hAnsi="Arial" w:cs="Arial"/>
                <w:sz w:val="22"/>
                <w:szCs w:val="22"/>
              </w:rPr>
              <w:t xml:space="preserve">Continuar con la implementación del módulo de radicación de cuentas. </w:t>
            </w:r>
          </w:p>
        </w:tc>
      </w:tr>
      <w:tr w:rsidR="00561B22" w:rsidRPr="00183D89" w14:paraId="0EC3C75A" w14:textId="77777777" w:rsidTr="00F1223B">
        <w:tc>
          <w:tcPr>
            <w:tcW w:w="562" w:type="dxa"/>
          </w:tcPr>
          <w:p w14:paraId="63C2C47F"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3</w:t>
            </w:r>
          </w:p>
        </w:tc>
        <w:tc>
          <w:tcPr>
            <w:tcW w:w="9400" w:type="dxa"/>
          </w:tcPr>
          <w:p w14:paraId="41F929C2" w14:textId="77777777" w:rsidR="00561B22" w:rsidRPr="00183D89" w:rsidRDefault="00561B22" w:rsidP="00F1223B">
            <w:pPr>
              <w:jc w:val="both"/>
              <w:rPr>
                <w:rFonts w:ascii="Arial" w:hAnsi="Arial" w:cs="Arial"/>
                <w:b/>
                <w:sz w:val="22"/>
                <w:szCs w:val="22"/>
                <w:lang w:val="es-MX"/>
              </w:rPr>
            </w:pPr>
            <w:r w:rsidRPr="00183D89">
              <w:rPr>
                <w:rFonts w:ascii="Arial" w:eastAsia="Times New Roman" w:hAnsi="Arial" w:cs="Arial"/>
                <w:sz w:val="22"/>
                <w:szCs w:val="22"/>
              </w:rPr>
              <w:t xml:space="preserve">Recomendar a la dirección el soporte de profesionales de apoyo idóneos en el área contable para el desarrollo de las actividades de cierre de vigencia. </w:t>
            </w:r>
          </w:p>
        </w:tc>
      </w:tr>
      <w:tr w:rsidR="00561B22" w:rsidRPr="00183D89" w14:paraId="36A4EF37" w14:textId="77777777" w:rsidTr="00F1223B">
        <w:tc>
          <w:tcPr>
            <w:tcW w:w="562" w:type="dxa"/>
          </w:tcPr>
          <w:p w14:paraId="07C3934D" w14:textId="77777777" w:rsidR="00561B22" w:rsidRPr="00183D89" w:rsidRDefault="00561B22" w:rsidP="00F1223B">
            <w:pPr>
              <w:jc w:val="center"/>
              <w:rPr>
                <w:rFonts w:ascii="Arial" w:hAnsi="Arial" w:cs="Arial"/>
                <w:b/>
                <w:sz w:val="22"/>
                <w:szCs w:val="22"/>
                <w:lang w:val="es-MX"/>
              </w:rPr>
            </w:pPr>
            <w:r w:rsidRPr="00183D89">
              <w:rPr>
                <w:rFonts w:ascii="Arial" w:hAnsi="Arial" w:cs="Arial"/>
                <w:b/>
                <w:sz w:val="22"/>
                <w:szCs w:val="22"/>
                <w:lang w:val="es-MX"/>
              </w:rPr>
              <w:t>4</w:t>
            </w:r>
          </w:p>
        </w:tc>
        <w:tc>
          <w:tcPr>
            <w:tcW w:w="9400" w:type="dxa"/>
          </w:tcPr>
          <w:p w14:paraId="74F6AF03" w14:textId="77777777" w:rsidR="00561B22" w:rsidRPr="00183D89" w:rsidRDefault="00561B22" w:rsidP="00F1223B">
            <w:pPr>
              <w:jc w:val="both"/>
              <w:rPr>
                <w:rFonts w:ascii="Arial" w:hAnsi="Arial" w:cs="Arial"/>
                <w:b/>
                <w:sz w:val="22"/>
                <w:szCs w:val="22"/>
                <w:lang w:val="es-MX"/>
              </w:rPr>
            </w:pPr>
            <w:r w:rsidRPr="00183D89">
              <w:rPr>
                <w:rFonts w:ascii="Arial" w:eastAsia="Times New Roman" w:hAnsi="Arial" w:cs="Arial"/>
                <w:sz w:val="22"/>
                <w:szCs w:val="22"/>
              </w:rPr>
              <w:t>Dar continuidad al plan de mejoramiento de la Contraloría General de la República.</w:t>
            </w:r>
          </w:p>
        </w:tc>
      </w:tr>
    </w:tbl>
    <w:p w14:paraId="7079E4D3" w14:textId="77777777" w:rsidR="00561B22" w:rsidRPr="00183D89" w:rsidRDefault="00561B22" w:rsidP="00561B22">
      <w:pPr>
        <w:pStyle w:val="Textoindependiente"/>
        <w:ind w:right="-50"/>
        <w:jc w:val="both"/>
        <w:rPr>
          <w:rFonts w:ascii="Arial" w:hAnsi="Arial" w:cs="Arial"/>
          <w:b/>
          <w:bCs/>
        </w:rPr>
      </w:pPr>
    </w:p>
    <w:p w14:paraId="0F4C564F" w14:textId="77777777" w:rsidR="00561B22" w:rsidRPr="00F508F9" w:rsidRDefault="00561B22" w:rsidP="00561B22">
      <w:pPr>
        <w:ind w:right="49"/>
        <w:jc w:val="both"/>
        <w:rPr>
          <w:rFonts w:ascii="Arial" w:hAnsi="Arial" w:cs="Arial"/>
          <w:b/>
          <w:sz w:val="28"/>
          <w:szCs w:val="28"/>
          <w:lang w:val="es-MX"/>
        </w:rPr>
      </w:pPr>
      <w:r w:rsidRPr="00F508F9">
        <w:rPr>
          <w:rFonts w:ascii="Arial" w:hAnsi="Arial" w:cs="Arial"/>
          <w:b/>
          <w:sz w:val="28"/>
          <w:szCs w:val="28"/>
          <w:lang w:val="es-MX"/>
        </w:rPr>
        <w:t xml:space="preserve">126.- </w:t>
      </w:r>
      <w:r w:rsidRPr="00F508F9">
        <w:rPr>
          <w:rFonts w:ascii="Arial" w:hAnsi="Arial" w:cs="Arial"/>
          <w:b/>
          <w:sz w:val="28"/>
          <w:szCs w:val="28"/>
        </w:rPr>
        <w:t>ADMINISTRADORA DE LOS RECURSOS DEL SISTEMA DE SEGURIDAD SOCIAL EN SALUD ADRES – UNIDAD DE RECURSOS ADMINISTRADOS – URA</w:t>
      </w:r>
      <w:r w:rsidRPr="00F508F9">
        <w:rPr>
          <w:rFonts w:ascii="Arial" w:hAnsi="Arial" w:cs="Arial"/>
          <w:b/>
          <w:sz w:val="28"/>
          <w:szCs w:val="28"/>
          <w:lang w:val="es-MX"/>
        </w:rPr>
        <w:t>.</w:t>
      </w:r>
    </w:p>
    <w:p w14:paraId="7E97DEA6" w14:textId="77777777" w:rsidR="00561B22" w:rsidRPr="00183D89" w:rsidRDefault="00561B22" w:rsidP="00561B22">
      <w:pPr>
        <w:jc w:val="both"/>
        <w:rPr>
          <w:rFonts w:ascii="Arial" w:hAnsi="Arial" w:cs="Arial"/>
          <w:b/>
          <w:bCs/>
          <w:lang w:val="es-CO"/>
        </w:rPr>
      </w:pPr>
    </w:p>
    <w:p w14:paraId="23459139" w14:textId="77777777" w:rsidR="00561B22" w:rsidRPr="00C15B3D" w:rsidRDefault="00561B22" w:rsidP="00561B22">
      <w:pPr>
        <w:jc w:val="center"/>
        <w:rPr>
          <w:rFonts w:ascii="Arial" w:hAnsi="Arial" w:cs="Arial"/>
          <w:b/>
          <w:bCs/>
        </w:rPr>
      </w:pPr>
      <w:r w:rsidRPr="00C15B3D">
        <w:rPr>
          <w:rFonts w:ascii="Arial" w:hAnsi="Arial" w:cs="Arial"/>
          <w:b/>
          <w:bCs/>
        </w:rPr>
        <w:t>INFORME DE LA AUTOCALIFICACIÓN DEL SISTEMA DE CONTROL INTERNO CONTABLE:</w:t>
      </w:r>
    </w:p>
    <w:p w14:paraId="3EE1088E" w14:textId="77777777" w:rsidR="00561B22" w:rsidRPr="00C15B3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15B3D" w14:paraId="60E65B00" w14:textId="77777777" w:rsidTr="00F1223B">
        <w:tc>
          <w:tcPr>
            <w:tcW w:w="4981" w:type="dxa"/>
          </w:tcPr>
          <w:p w14:paraId="5A12090D"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AUTOCALIFICACIÓN</w:t>
            </w:r>
          </w:p>
        </w:tc>
        <w:tc>
          <w:tcPr>
            <w:tcW w:w="4981" w:type="dxa"/>
          </w:tcPr>
          <w:p w14:paraId="00F20CEC" w14:textId="77777777" w:rsidR="00561B22" w:rsidRPr="00C15B3D" w:rsidRDefault="00561B22" w:rsidP="00F1223B">
            <w:pPr>
              <w:jc w:val="center"/>
              <w:rPr>
                <w:rFonts w:ascii="Arial" w:hAnsi="Arial" w:cs="Arial"/>
                <w:b/>
                <w:sz w:val="22"/>
                <w:szCs w:val="22"/>
                <w:u w:val="single"/>
                <w:lang w:val="es-MX"/>
              </w:rPr>
            </w:pPr>
            <w:r w:rsidRPr="00C15B3D">
              <w:rPr>
                <w:rFonts w:ascii="Arial" w:hAnsi="Arial" w:cs="Arial"/>
                <w:b/>
                <w:sz w:val="22"/>
                <w:szCs w:val="22"/>
                <w:u w:val="single"/>
                <w:lang w:val="es-MX"/>
              </w:rPr>
              <w:t>4.93</w:t>
            </w:r>
          </w:p>
        </w:tc>
      </w:tr>
    </w:tbl>
    <w:p w14:paraId="003E01B8" w14:textId="77777777" w:rsidR="00561B22" w:rsidRPr="00C15B3D" w:rsidRDefault="00561B22" w:rsidP="00561B22">
      <w:pPr>
        <w:pStyle w:val="Textoindependiente"/>
        <w:ind w:right="-50"/>
        <w:jc w:val="both"/>
        <w:rPr>
          <w:rFonts w:ascii="Arial" w:hAnsi="Arial" w:cs="Arial"/>
          <w:b/>
          <w:bCs/>
        </w:rPr>
      </w:pPr>
    </w:p>
    <w:p w14:paraId="65D4B24E" w14:textId="77777777" w:rsidR="00561B22" w:rsidRPr="00C15B3D" w:rsidRDefault="00561B22" w:rsidP="00561B22">
      <w:pPr>
        <w:pStyle w:val="Textoindependiente"/>
        <w:ind w:right="-50"/>
        <w:jc w:val="both"/>
        <w:rPr>
          <w:rFonts w:ascii="Arial" w:hAnsi="Arial" w:cs="Arial"/>
          <w:b/>
          <w:bCs/>
        </w:rPr>
      </w:pPr>
      <w:r w:rsidRPr="00C15B3D">
        <w:rPr>
          <w:rFonts w:ascii="Arial" w:hAnsi="Arial" w:cs="Arial"/>
          <w:b/>
          <w:bCs/>
        </w:rPr>
        <w:t>Del informe enviado retomamos lo siguiente:</w:t>
      </w:r>
    </w:p>
    <w:p w14:paraId="2BC93899" w14:textId="77777777" w:rsidR="00561B22" w:rsidRPr="00C15B3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15B3D" w14:paraId="2803CC37" w14:textId="77777777" w:rsidTr="00F1223B">
        <w:trPr>
          <w:trHeight w:val="679"/>
        </w:trPr>
        <w:tc>
          <w:tcPr>
            <w:tcW w:w="562" w:type="dxa"/>
          </w:tcPr>
          <w:p w14:paraId="618D1AC6" w14:textId="77777777" w:rsidR="00561B22" w:rsidRPr="00C15B3D" w:rsidRDefault="00561B22" w:rsidP="00F1223B">
            <w:pPr>
              <w:ind w:right="-109"/>
              <w:jc w:val="center"/>
              <w:rPr>
                <w:rFonts w:ascii="Arial" w:hAnsi="Arial" w:cs="Arial"/>
                <w:b/>
                <w:sz w:val="22"/>
                <w:szCs w:val="22"/>
                <w:lang w:val="es-MX"/>
              </w:rPr>
            </w:pPr>
            <w:r w:rsidRPr="00C15B3D">
              <w:rPr>
                <w:rFonts w:ascii="Arial" w:hAnsi="Arial" w:cs="Arial"/>
                <w:b/>
                <w:sz w:val="22"/>
                <w:szCs w:val="22"/>
                <w:lang w:val="es-MX"/>
              </w:rPr>
              <w:t>N°</w:t>
            </w:r>
          </w:p>
        </w:tc>
        <w:tc>
          <w:tcPr>
            <w:tcW w:w="9400" w:type="dxa"/>
          </w:tcPr>
          <w:p w14:paraId="7D490BEC"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DEBILIDADES</w:t>
            </w:r>
          </w:p>
          <w:p w14:paraId="765B4F72" w14:textId="77777777" w:rsidR="00561B22" w:rsidRPr="00C15B3D" w:rsidRDefault="00561B22" w:rsidP="00F1223B">
            <w:pPr>
              <w:jc w:val="center"/>
              <w:rPr>
                <w:rFonts w:ascii="Arial" w:hAnsi="Arial" w:cs="Arial"/>
                <w:b/>
                <w:sz w:val="22"/>
                <w:szCs w:val="22"/>
                <w:lang w:val="es-MX"/>
              </w:rPr>
            </w:pPr>
          </w:p>
        </w:tc>
      </w:tr>
      <w:tr w:rsidR="00561B22" w:rsidRPr="00C15B3D" w14:paraId="61CB0A4F" w14:textId="77777777" w:rsidTr="00F1223B">
        <w:tc>
          <w:tcPr>
            <w:tcW w:w="562" w:type="dxa"/>
          </w:tcPr>
          <w:p w14:paraId="34BE20F0"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1</w:t>
            </w:r>
          </w:p>
        </w:tc>
        <w:tc>
          <w:tcPr>
            <w:tcW w:w="9400" w:type="dxa"/>
          </w:tcPr>
          <w:p w14:paraId="7D02718C" w14:textId="77777777" w:rsidR="00561B22" w:rsidRPr="00C15B3D" w:rsidRDefault="00561B22" w:rsidP="00F1223B">
            <w:pPr>
              <w:jc w:val="both"/>
              <w:rPr>
                <w:rFonts w:ascii="Arial" w:hAnsi="Arial" w:cs="Arial"/>
                <w:b/>
                <w:sz w:val="22"/>
                <w:szCs w:val="22"/>
                <w:lang w:val="es-MX"/>
              </w:rPr>
            </w:pPr>
            <w:r w:rsidRPr="00C15B3D">
              <w:rPr>
                <w:rFonts w:ascii="Arial" w:hAnsi="Arial" w:cs="Arial"/>
                <w:color w:val="202529"/>
                <w:sz w:val="22"/>
                <w:szCs w:val="22"/>
              </w:rPr>
              <w:t>La Unidad de Recursos Administrados tiene mapa de riesgos y controles del proceso</w:t>
            </w:r>
            <w:r w:rsidRPr="00C15B3D">
              <w:rPr>
                <w:rFonts w:ascii="Arial" w:hAnsi="Arial" w:cs="Arial"/>
                <w:color w:val="202529"/>
                <w:spacing w:val="40"/>
                <w:sz w:val="22"/>
                <w:szCs w:val="22"/>
              </w:rPr>
              <w:t xml:space="preserve"> </w:t>
            </w:r>
            <w:r w:rsidRPr="00C15B3D">
              <w:rPr>
                <w:rFonts w:ascii="Arial" w:hAnsi="Arial" w:cs="Arial"/>
                <w:color w:val="202529"/>
                <w:sz w:val="22"/>
                <w:szCs w:val="22"/>
              </w:rPr>
              <w:t>actualizado,</w:t>
            </w:r>
            <w:r w:rsidRPr="00C15B3D">
              <w:rPr>
                <w:rFonts w:ascii="Arial" w:hAnsi="Arial" w:cs="Arial"/>
                <w:color w:val="202529"/>
                <w:spacing w:val="3"/>
                <w:sz w:val="22"/>
                <w:szCs w:val="22"/>
              </w:rPr>
              <w:t xml:space="preserve"> </w:t>
            </w:r>
            <w:r w:rsidRPr="00C15B3D">
              <w:rPr>
                <w:rFonts w:ascii="Arial" w:hAnsi="Arial" w:cs="Arial"/>
                <w:color w:val="202529"/>
                <w:sz w:val="22"/>
                <w:szCs w:val="22"/>
              </w:rPr>
              <w:t>no</w:t>
            </w:r>
            <w:r w:rsidRPr="00C15B3D">
              <w:rPr>
                <w:rFonts w:ascii="Arial" w:hAnsi="Arial" w:cs="Arial"/>
                <w:color w:val="202529"/>
                <w:spacing w:val="4"/>
                <w:sz w:val="22"/>
                <w:szCs w:val="22"/>
              </w:rPr>
              <w:t xml:space="preserve"> </w:t>
            </w:r>
            <w:r w:rsidRPr="00C15B3D">
              <w:rPr>
                <w:rFonts w:ascii="Arial" w:hAnsi="Arial" w:cs="Arial"/>
                <w:color w:val="202529"/>
                <w:sz w:val="22"/>
                <w:szCs w:val="22"/>
              </w:rPr>
              <w:t>obstante,</w:t>
            </w:r>
            <w:r w:rsidRPr="00C15B3D">
              <w:rPr>
                <w:rFonts w:ascii="Arial" w:hAnsi="Arial" w:cs="Arial"/>
                <w:color w:val="202529"/>
                <w:spacing w:val="4"/>
                <w:sz w:val="22"/>
                <w:szCs w:val="22"/>
              </w:rPr>
              <w:t xml:space="preserve"> </w:t>
            </w:r>
            <w:r w:rsidRPr="00C15B3D">
              <w:rPr>
                <w:rFonts w:ascii="Arial" w:hAnsi="Arial" w:cs="Arial"/>
                <w:color w:val="202529"/>
                <w:sz w:val="22"/>
                <w:szCs w:val="22"/>
              </w:rPr>
              <w:t>se</w:t>
            </w:r>
            <w:r w:rsidRPr="00C15B3D">
              <w:rPr>
                <w:rFonts w:ascii="Arial" w:hAnsi="Arial" w:cs="Arial"/>
                <w:color w:val="202529"/>
                <w:spacing w:val="3"/>
                <w:sz w:val="22"/>
                <w:szCs w:val="22"/>
              </w:rPr>
              <w:t xml:space="preserve"> </w:t>
            </w:r>
            <w:r w:rsidRPr="00C15B3D">
              <w:rPr>
                <w:rFonts w:ascii="Arial" w:hAnsi="Arial" w:cs="Arial"/>
                <w:color w:val="202529"/>
                <w:sz w:val="22"/>
                <w:szCs w:val="22"/>
              </w:rPr>
              <w:t>debe</w:t>
            </w:r>
            <w:r w:rsidRPr="00C15B3D">
              <w:rPr>
                <w:rFonts w:ascii="Arial" w:hAnsi="Arial" w:cs="Arial"/>
                <w:color w:val="202529"/>
                <w:spacing w:val="4"/>
                <w:sz w:val="22"/>
                <w:szCs w:val="22"/>
              </w:rPr>
              <w:t xml:space="preserve"> </w:t>
            </w:r>
            <w:r w:rsidRPr="00C15B3D">
              <w:rPr>
                <w:rFonts w:ascii="Arial" w:hAnsi="Arial" w:cs="Arial"/>
                <w:color w:val="202529"/>
                <w:sz w:val="22"/>
                <w:szCs w:val="22"/>
              </w:rPr>
              <w:t>complementar</w:t>
            </w:r>
            <w:r w:rsidRPr="00C15B3D">
              <w:rPr>
                <w:rFonts w:ascii="Arial" w:hAnsi="Arial" w:cs="Arial"/>
                <w:color w:val="202529"/>
                <w:spacing w:val="4"/>
                <w:sz w:val="22"/>
                <w:szCs w:val="22"/>
              </w:rPr>
              <w:t xml:space="preserve"> </w:t>
            </w:r>
            <w:r w:rsidRPr="00C15B3D">
              <w:rPr>
                <w:rFonts w:ascii="Arial" w:hAnsi="Arial" w:cs="Arial"/>
                <w:color w:val="202529"/>
                <w:sz w:val="22"/>
                <w:szCs w:val="22"/>
              </w:rPr>
              <w:t>con</w:t>
            </w:r>
            <w:r w:rsidRPr="00C15B3D">
              <w:rPr>
                <w:rFonts w:ascii="Arial" w:hAnsi="Arial" w:cs="Arial"/>
                <w:color w:val="202529"/>
                <w:spacing w:val="3"/>
                <w:sz w:val="22"/>
                <w:szCs w:val="22"/>
              </w:rPr>
              <w:t xml:space="preserve"> </w:t>
            </w:r>
            <w:r w:rsidRPr="00C15B3D">
              <w:rPr>
                <w:rFonts w:ascii="Arial" w:hAnsi="Arial" w:cs="Arial"/>
                <w:color w:val="202529"/>
                <w:sz w:val="22"/>
                <w:szCs w:val="22"/>
              </w:rPr>
              <w:t>otros</w:t>
            </w:r>
            <w:r w:rsidRPr="00C15B3D">
              <w:rPr>
                <w:rFonts w:ascii="Arial" w:hAnsi="Arial" w:cs="Arial"/>
                <w:color w:val="202529"/>
                <w:spacing w:val="4"/>
                <w:sz w:val="22"/>
                <w:szCs w:val="22"/>
              </w:rPr>
              <w:t xml:space="preserve"> </w:t>
            </w:r>
            <w:r w:rsidRPr="00C15B3D">
              <w:rPr>
                <w:rFonts w:ascii="Arial" w:hAnsi="Arial" w:cs="Arial"/>
                <w:color w:val="202529"/>
                <w:sz w:val="22"/>
                <w:szCs w:val="22"/>
              </w:rPr>
              <w:t>riesgos</w:t>
            </w:r>
            <w:r w:rsidRPr="00C15B3D">
              <w:rPr>
                <w:rFonts w:ascii="Arial" w:hAnsi="Arial" w:cs="Arial"/>
                <w:color w:val="202529"/>
                <w:spacing w:val="4"/>
                <w:sz w:val="22"/>
                <w:szCs w:val="22"/>
              </w:rPr>
              <w:t xml:space="preserve"> </w:t>
            </w:r>
            <w:r w:rsidRPr="00C15B3D">
              <w:rPr>
                <w:rFonts w:ascii="Arial" w:hAnsi="Arial" w:cs="Arial"/>
                <w:color w:val="202529"/>
                <w:sz w:val="22"/>
                <w:szCs w:val="22"/>
              </w:rPr>
              <w:t>de</w:t>
            </w:r>
            <w:r w:rsidRPr="00C15B3D">
              <w:rPr>
                <w:rFonts w:ascii="Arial" w:hAnsi="Arial" w:cs="Arial"/>
                <w:color w:val="202529"/>
                <w:spacing w:val="3"/>
                <w:sz w:val="22"/>
                <w:szCs w:val="22"/>
              </w:rPr>
              <w:t xml:space="preserve"> </w:t>
            </w:r>
            <w:r w:rsidRPr="00C15B3D">
              <w:rPr>
                <w:rFonts w:ascii="Arial" w:hAnsi="Arial" w:cs="Arial"/>
                <w:color w:val="202529"/>
                <w:sz w:val="22"/>
                <w:szCs w:val="22"/>
              </w:rPr>
              <w:t>índole</w:t>
            </w:r>
            <w:r w:rsidRPr="00C15B3D">
              <w:rPr>
                <w:rFonts w:ascii="Arial" w:hAnsi="Arial" w:cs="Arial"/>
                <w:color w:val="202529"/>
                <w:spacing w:val="4"/>
                <w:sz w:val="22"/>
                <w:szCs w:val="22"/>
              </w:rPr>
              <w:t xml:space="preserve"> </w:t>
            </w:r>
            <w:r w:rsidRPr="00C15B3D">
              <w:rPr>
                <w:rFonts w:ascii="Arial" w:hAnsi="Arial" w:cs="Arial"/>
                <w:color w:val="202529"/>
                <w:spacing w:val="-2"/>
                <w:sz w:val="22"/>
                <w:szCs w:val="22"/>
              </w:rPr>
              <w:t>contable.</w:t>
            </w:r>
          </w:p>
        </w:tc>
      </w:tr>
    </w:tbl>
    <w:p w14:paraId="45575BAE" w14:textId="77777777" w:rsidR="00561B22" w:rsidRPr="00C15B3D" w:rsidRDefault="00561B22" w:rsidP="00561B22">
      <w:pPr>
        <w:pStyle w:val="Textoindependiente"/>
        <w:ind w:right="-50"/>
        <w:jc w:val="both"/>
        <w:rPr>
          <w:rFonts w:ascii="Arial" w:hAnsi="Arial" w:cs="Arial"/>
          <w:b/>
          <w:bCs/>
        </w:rPr>
      </w:pPr>
    </w:p>
    <w:p w14:paraId="4364FA07" w14:textId="77777777" w:rsidR="00561B22" w:rsidRPr="00C15B3D" w:rsidRDefault="00561B22" w:rsidP="00561B22">
      <w:pPr>
        <w:jc w:val="both"/>
        <w:rPr>
          <w:rFonts w:ascii="Arial" w:hAnsi="Arial" w:cs="Arial"/>
          <w:b/>
          <w:lang w:val="es-MX"/>
        </w:rPr>
      </w:pPr>
      <w:r w:rsidRPr="00C15B3D">
        <w:rPr>
          <w:rFonts w:ascii="Arial" w:hAnsi="Arial" w:cs="Arial"/>
          <w:b/>
          <w:lang w:val="es-MX"/>
        </w:rPr>
        <w:t>Del citado informe retomamos las siguientes recomendaciones:</w:t>
      </w:r>
    </w:p>
    <w:p w14:paraId="13D8B3E4" w14:textId="77777777" w:rsidR="00561B22" w:rsidRPr="00C15B3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15B3D" w14:paraId="6602AA6F" w14:textId="77777777" w:rsidTr="00F1223B">
        <w:tc>
          <w:tcPr>
            <w:tcW w:w="562" w:type="dxa"/>
          </w:tcPr>
          <w:p w14:paraId="7B79E108" w14:textId="77777777" w:rsidR="00561B22" w:rsidRPr="00C15B3D" w:rsidRDefault="00561B22" w:rsidP="00F1223B">
            <w:pPr>
              <w:ind w:right="-109"/>
              <w:jc w:val="center"/>
              <w:rPr>
                <w:rFonts w:ascii="Arial" w:hAnsi="Arial" w:cs="Arial"/>
                <w:b/>
                <w:sz w:val="22"/>
                <w:szCs w:val="22"/>
                <w:lang w:val="es-MX"/>
              </w:rPr>
            </w:pPr>
            <w:r w:rsidRPr="00C15B3D">
              <w:rPr>
                <w:rFonts w:ascii="Arial" w:hAnsi="Arial" w:cs="Arial"/>
                <w:b/>
                <w:sz w:val="22"/>
                <w:szCs w:val="22"/>
                <w:lang w:val="es-MX"/>
              </w:rPr>
              <w:t>N°</w:t>
            </w:r>
          </w:p>
        </w:tc>
        <w:tc>
          <w:tcPr>
            <w:tcW w:w="9400" w:type="dxa"/>
          </w:tcPr>
          <w:p w14:paraId="0DBADA62"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RECOMENDACIONES</w:t>
            </w:r>
          </w:p>
          <w:p w14:paraId="5458996C" w14:textId="77777777" w:rsidR="00561B22" w:rsidRPr="00C15B3D" w:rsidRDefault="00561B22" w:rsidP="00F1223B">
            <w:pPr>
              <w:jc w:val="center"/>
              <w:rPr>
                <w:rFonts w:ascii="Arial" w:hAnsi="Arial" w:cs="Arial"/>
                <w:b/>
                <w:sz w:val="22"/>
                <w:szCs w:val="22"/>
                <w:lang w:val="es-MX"/>
              </w:rPr>
            </w:pPr>
          </w:p>
        </w:tc>
      </w:tr>
      <w:tr w:rsidR="00561B22" w:rsidRPr="00C15B3D" w14:paraId="2D91DB6E" w14:textId="77777777" w:rsidTr="00F1223B">
        <w:tc>
          <w:tcPr>
            <w:tcW w:w="562" w:type="dxa"/>
          </w:tcPr>
          <w:p w14:paraId="0F515B3D"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1</w:t>
            </w:r>
          </w:p>
        </w:tc>
        <w:tc>
          <w:tcPr>
            <w:tcW w:w="9400" w:type="dxa"/>
          </w:tcPr>
          <w:p w14:paraId="3F25F0C0" w14:textId="77777777" w:rsidR="00561B22" w:rsidRPr="00C15B3D" w:rsidRDefault="00561B22" w:rsidP="00F1223B">
            <w:pPr>
              <w:jc w:val="both"/>
              <w:rPr>
                <w:rFonts w:ascii="Arial" w:hAnsi="Arial" w:cs="Arial"/>
                <w:b/>
                <w:sz w:val="22"/>
                <w:szCs w:val="22"/>
                <w:lang w:val="es-MX"/>
              </w:rPr>
            </w:pPr>
            <w:r w:rsidRPr="00C15B3D">
              <w:rPr>
                <w:rFonts w:ascii="Arial" w:hAnsi="Arial" w:cs="Arial"/>
                <w:color w:val="202529"/>
                <w:sz w:val="22"/>
                <w:szCs w:val="22"/>
              </w:rPr>
              <w:t>Continuar con la implementación y puesta en producción de la nueva aplicación del ERP,</w:t>
            </w:r>
            <w:r w:rsidRPr="00C15B3D">
              <w:rPr>
                <w:rFonts w:ascii="Arial" w:hAnsi="Arial" w:cs="Arial"/>
                <w:color w:val="202529"/>
                <w:spacing w:val="40"/>
                <w:sz w:val="22"/>
                <w:szCs w:val="22"/>
              </w:rPr>
              <w:t xml:space="preserve"> </w:t>
            </w:r>
            <w:r w:rsidRPr="00C15B3D">
              <w:rPr>
                <w:rFonts w:ascii="Arial" w:hAnsi="Arial" w:cs="Arial"/>
                <w:color w:val="202529"/>
                <w:sz w:val="22"/>
                <w:szCs w:val="22"/>
              </w:rPr>
              <w:t>sistema de información predictiva con inteligencia artificial, que contribuirá a la</w:t>
            </w:r>
            <w:r w:rsidRPr="00C15B3D">
              <w:rPr>
                <w:rFonts w:ascii="Arial" w:hAnsi="Arial" w:cs="Arial"/>
                <w:color w:val="202529"/>
                <w:spacing w:val="40"/>
                <w:sz w:val="22"/>
                <w:szCs w:val="22"/>
              </w:rPr>
              <w:t xml:space="preserve"> </w:t>
            </w:r>
            <w:r w:rsidRPr="00C15B3D">
              <w:rPr>
                <w:rFonts w:ascii="Arial" w:hAnsi="Arial" w:cs="Arial"/>
                <w:color w:val="202529"/>
                <w:sz w:val="22"/>
                <w:szCs w:val="22"/>
              </w:rPr>
              <w:t xml:space="preserve">modernización digital de la Adres. </w:t>
            </w:r>
          </w:p>
        </w:tc>
      </w:tr>
      <w:tr w:rsidR="00561B22" w:rsidRPr="00C15B3D" w14:paraId="5AC2C196" w14:textId="77777777" w:rsidTr="00F1223B">
        <w:tc>
          <w:tcPr>
            <w:tcW w:w="562" w:type="dxa"/>
          </w:tcPr>
          <w:p w14:paraId="4F9BD118"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2</w:t>
            </w:r>
          </w:p>
        </w:tc>
        <w:tc>
          <w:tcPr>
            <w:tcW w:w="9400" w:type="dxa"/>
          </w:tcPr>
          <w:p w14:paraId="27B16029" w14:textId="77777777" w:rsidR="00561B22" w:rsidRPr="00C15B3D" w:rsidRDefault="00561B22" w:rsidP="00F1223B">
            <w:pPr>
              <w:jc w:val="both"/>
              <w:rPr>
                <w:rFonts w:ascii="Arial" w:hAnsi="Arial" w:cs="Arial"/>
                <w:b/>
                <w:sz w:val="22"/>
                <w:szCs w:val="22"/>
                <w:lang w:val="es-MX"/>
              </w:rPr>
            </w:pPr>
            <w:r w:rsidRPr="00C15B3D">
              <w:rPr>
                <w:rFonts w:ascii="Arial" w:hAnsi="Arial" w:cs="Arial"/>
                <w:color w:val="202529"/>
                <w:sz w:val="22"/>
                <w:szCs w:val="22"/>
              </w:rPr>
              <w:t>Se sugiere que en el mapa de riesgos del proceso</w:t>
            </w:r>
            <w:r w:rsidRPr="00C15B3D">
              <w:rPr>
                <w:rFonts w:ascii="Arial" w:hAnsi="Arial" w:cs="Arial"/>
                <w:color w:val="202529"/>
                <w:spacing w:val="40"/>
                <w:sz w:val="22"/>
                <w:szCs w:val="22"/>
              </w:rPr>
              <w:t xml:space="preserve"> </w:t>
            </w:r>
            <w:r w:rsidRPr="00C15B3D">
              <w:rPr>
                <w:rFonts w:ascii="Arial" w:hAnsi="Arial" w:cs="Arial"/>
                <w:color w:val="202529"/>
                <w:sz w:val="22"/>
                <w:szCs w:val="22"/>
              </w:rPr>
              <w:t>contable se identifique otros riesgos de índole contable, aplicando la metodología de</w:t>
            </w:r>
            <w:r w:rsidRPr="00C15B3D">
              <w:rPr>
                <w:rFonts w:ascii="Arial" w:hAnsi="Arial" w:cs="Arial"/>
                <w:color w:val="202529"/>
                <w:spacing w:val="40"/>
                <w:sz w:val="22"/>
                <w:szCs w:val="22"/>
              </w:rPr>
              <w:t xml:space="preserve"> </w:t>
            </w:r>
            <w:r w:rsidRPr="00C15B3D">
              <w:rPr>
                <w:rFonts w:ascii="Arial" w:hAnsi="Arial" w:cs="Arial"/>
                <w:color w:val="202529"/>
                <w:sz w:val="22"/>
                <w:szCs w:val="22"/>
              </w:rPr>
              <w:t xml:space="preserve">administración de riesgos versión 6 de la Función Pública. </w:t>
            </w:r>
          </w:p>
        </w:tc>
      </w:tr>
      <w:tr w:rsidR="00561B22" w:rsidRPr="00C15B3D" w14:paraId="3BFC9665" w14:textId="77777777" w:rsidTr="00F1223B">
        <w:tc>
          <w:tcPr>
            <w:tcW w:w="562" w:type="dxa"/>
          </w:tcPr>
          <w:p w14:paraId="7C897646" w14:textId="77777777" w:rsidR="00561B22" w:rsidRPr="00C15B3D" w:rsidRDefault="00561B22" w:rsidP="00F1223B">
            <w:pPr>
              <w:jc w:val="center"/>
              <w:rPr>
                <w:rFonts w:ascii="Arial" w:hAnsi="Arial" w:cs="Arial"/>
                <w:b/>
                <w:sz w:val="22"/>
                <w:szCs w:val="22"/>
                <w:lang w:val="es-MX"/>
              </w:rPr>
            </w:pPr>
            <w:r w:rsidRPr="00C15B3D">
              <w:rPr>
                <w:rFonts w:ascii="Arial" w:hAnsi="Arial" w:cs="Arial"/>
                <w:b/>
                <w:sz w:val="22"/>
                <w:szCs w:val="22"/>
                <w:lang w:val="es-MX"/>
              </w:rPr>
              <w:t>3</w:t>
            </w:r>
          </w:p>
        </w:tc>
        <w:tc>
          <w:tcPr>
            <w:tcW w:w="9400" w:type="dxa"/>
          </w:tcPr>
          <w:p w14:paraId="408B5304" w14:textId="77777777" w:rsidR="00561B22" w:rsidRPr="00C15B3D" w:rsidRDefault="00561B22" w:rsidP="00F1223B">
            <w:pPr>
              <w:jc w:val="both"/>
              <w:rPr>
                <w:rFonts w:ascii="Arial" w:hAnsi="Arial" w:cs="Arial"/>
                <w:b/>
                <w:sz w:val="22"/>
                <w:szCs w:val="22"/>
                <w:lang w:val="es-MX"/>
              </w:rPr>
            </w:pPr>
            <w:r w:rsidRPr="00C15B3D">
              <w:rPr>
                <w:rFonts w:ascii="Arial" w:hAnsi="Arial" w:cs="Arial"/>
                <w:color w:val="202529"/>
                <w:sz w:val="22"/>
                <w:szCs w:val="22"/>
              </w:rPr>
              <w:t>Se recomienda que la Adres</w:t>
            </w:r>
            <w:r w:rsidRPr="00C15B3D">
              <w:rPr>
                <w:rFonts w:ascii="Arial" w:hAnsi="Arial" w:cs="Arial"/>
                <w:color w:val="202529"/>
                <w:spacing w:val="40"/>
                <w:sz w:val="22"/>
                <w:szCs w:val="22"/>
              </w:rPr>
              <w:t xml:space="preserve"> </w:t>
            </w:r>
            <w:r w:rsidRPr="00C15B3D">
              <w:rPr>
                <w:rFonts w:ascii="Arial" w:hAnsi="Arial" w:cs="Arial"/>
                <w:color w:val="202529"/>
                <w:sz w:val="22"/>
                <w:szCs w:val="22"/>
              </w:rPr>
              <w:t>continúe realizando las mesas técnicas internas, tendientes a la resolución y depuración</w:t>
            </w:r>
            <w:r w:rsidRPr="00C15B3D">
              <w:rPr>
                <w:rFonts w:ascii="Arial" w:hAnsi="Arial" w:cs="Arial"/>
                <w:color w:val="202529"/>
                <w:spacing w:val="40"/>
                <w:sz w:val="22"/>
                <w:szCs w:val="22"/>
              </w:rPr>
              <w:t xml:space="preserve"> </w:t>
            </w:r>
            <w:r w:rsidRPr="00C15B3D">
              <w:rPr>
                <w:rFonts w:ascii="Arial" w:hAnsi="Arial" w:cs="Arial"/>
                <w:color w:val="202529"/>
                <w:sz w:val="22"/>
                <w:szCs w:val="22"/>
              </w:rPr>
              <w:t>de</w:t>
            </w:r>
            <w:r w:rsidRPr="00C15B3D">
              <w:rPr>
                <w:rFonts w:ascii="Arial" w:hAnsi="Arial" w:cs="Arial"/>
                <w:color w:val="202529"/>
                <w:spacing w:val="11"/>
                <w:sz w:val="22"/>
                <w:szCs w:val="22"/>
              </w:rPr>
              <w:t xml:space="preserve"> </w:t>
            </w:r>
            <w:r w:rsidRPr="00C15B3D">
              <w:rPr>
                <w:rFonts w:ascii="Arial" w:hAnsi="Arial" w:cs="Arial"/>
                <w:color w:val="202529"/>
                <w:sz w:val="22"/>
                <w:szCs w:val="22"/>
              </w:rPr>
              <w:t>las</w:t>
            </w:r>
            <w:r w:rsidRPr="00C15B3D">
              <w:rPr>
                <w:rFonts w:ascii="Arial" w:hAnsi="Arial" w:cs="Arial"/>
                <w:color w:val="202529"/>
                <w:spacing w:val="11"/>
                <w:sz w:val="22"/>
                <w:szCs w:val="22"/>
              </w:rPr>
              <w:t xml:space="preserve"> </w:t>
            </w:r>
            <w:r w:rsidRPr="00C15B3D">
              <w:rPr>
                <w:rFonts w:ascii="Arial" w:hAnsi="Arial" w:cs="Arial"/>
                <w:color w:val="202529"/>
                <w:sz w:val="22"/>
                <w:szCs w:val="22"/>
              </w:rPr>
              <w:t>cuentas</w:t>
            </w:r>
            <w:r w:rsidRPr="00C15B3D">
              <w:rPr>
                <w:rFonts w:ascii="Arial" w:hAnsi="Arial" w:cs="Arial"/>
                <w:color w:val="202529"/>
                <w:spacing w:val="11"/>
                <w:sz w:val="22"/>
                <w:szCs w:val="22"/>
              </w:rPr>
              <w:t xml:space="preserve"> </w:t>
            </w:r>
            <w:r w:rsidRPr="00C15B3D">
              <w:rPr>
                <w:rFonts w:ascii="Arial" w:hAnsi="Arial" w:cs="Arial"/>
                <w:color w:val="202529"/>
                <w:sz w:val="22"/>
                <w:szCs w:val="22"/>
              </w:rPr>
              <w:t>por</w:t>
            </w:r>
            <w:r w:rsidRPr="00C15B3D">
              <w:rPr>
                <w:rFonts w:ascii="Arial" w:hAnsi="Arial" w:cs="Arial"/>
                <w:color w:val="202529"/>
                <w:spacing w:val="11"/>
                <w:sz w:val="22"/>
                <w:szCs w:val="22"/>
              </w:rPr>
              <w:t xml:space="preserve"> </w:t>
            </w:r>
            <w:r w:rsidRPr="00C15B3D">
              <w:rPr>
                <w:rFonts w:ascii="Arial" w:hAnsi="Arial" w:cs="Arial"/>
                <w:color w:val="202529"/>
                <w:sz w:val="22"/>
                <w:szCs w:val="22"/>
              </w:rPr>
              <w:t>cobrar</w:t>
            </w:r>
            <w:r w:rsidRPr="00C15B3D">
              <w:rPr>
                <w:rFonts w:ascii="Arial" w:hAnsi="Arial" w:cs="Arial"/>
                <w:color w:val="202529"/>
                <w:spacing w:val="11"/>
                <w:sz w:val="22"/>
                <w:szCs w:val="22"/>
              </w:rPr>
              <w:t xml:space="preserve"> </w:t>
            </w:r>
            <w:r w:rsidRPr="00C15B3D">
              <w:rPr>
                <w:rFonts w:ascii="Arial" w:hAnsi="Arial" w:cs="Arial"/>
                <w:color w:val="202529"/>
                <w:sz w:val="22"/>
                <w:szCs w:val="22"/>
              </w:rPr>
              <w:t>y</w:t>
            </w:r>
            <w:r w:rsidRPr="00C15B3D">
              <w:rPr>
                <w:rFonts w:ascii="Arial" w:hAnsi="Arial" w:cs="Arial"/>
                <w:color w:val="202529"/>
                <w:spacing w:val="11"/>
                <w:sz w:val="22"/>
                <w:szCs w:val="22"/>
              </w:rPr>
              <w:t xml:space="preserve"> </w:t>
            </w:r>
            <w:r w:rsidRPr="00C15B3D">
              <w:rPr>
                <w:rFonts w:ascii="Arial" w:hAnsi="Arial" w:cs="Arial"/>
                <w:color w:val="202529"/>
                <w:sz w:val="22"/>
                <w:szCs w:val="22"/>
              </w:rPr>
              <w:t>por</w:t>
            </w:r>
            <w:r w:rsidRPr="00C15B3D">
              <w:rPr>
                <w:rFonts w:ascii="Arial" w:hAnsi="Arial" w:cs="Arial"/>
                <w:color w:val="202529"/>
                <w:spacing w:val="11"/>
                <w:sz w:val="22"/>
                <w:szCs w:val="22"/>
              </w:rPr>
              <w:t xml:space="preserve"> </w:t>
            </w:r>
            <w:r w:rsidRPr="00C15B3D">
              <w:rPr>
                <w:rFonts w:ascii="Arial" w:hAnsi="Arial" w:cs="Arial"/>
                <w:color w:val="202529"/>
                <w:sz w:val="22"/>
                <w:szCs w:val="22"/>
              </w:rPr>
              <w:t>pagar</w:t>
            </w:r>
            <w:r w:rsidRPr="00C15B3D">
              <w:rPr>
                <w:rFonts w:ascii="Arial" w:hAnsi="Arial" w:cs="Arial"/>
                <w:color w:val="202529"/>
                <w:spacing w:val="11"/>
                <w:sz w:val="22"/>
                <w:szCs w:val="22"/>
              </w:rPr>
              <w:t xml:space="preserve"> </w:t>
            </w:r>
            <w:r w:rsidRPr="00C15B3D">
              <w:rPr>
                <w:rFonts w:ascii="Arial" w:hAnsi="Arial" w:cs="Arial"/>
                <w:color w:val="202529"/>
                <w:sz w:val="22"/>
                <w:szCs w:val="22"/>
              </w:rPr>
              <w:t>a</w:t>
            </w:r>
            <w:r w:rsidRPr="00C15B3D">
              <w:rPr>
                <w:rFonts w:ascii="Arial" w:hAnsi="Arial" w:cs="Arial"/>
                <w:color w:val="202529"/>
                <w:spacing w:val="11"/>
                <w:sz w:val="22"/>
                <w:szCs w:val="22"/>
              </w:rPr>
              <w:t xml:space="preserve"> </w:t>
            </w:r>
            <w:r w:rsidRPr="00C15B3D">
              <w:rPr>
                <w:rFonts w:ascii="Arial" w:hAnsi="Arial" w:cs="Arial"/>
                <w:color w:val="202529"/>
                <w:sz w:val="22"/>
                <w:szCs w:val="22"/>
              </w:rPr>
              <w:t>las</w:t>
            </w:r>
            <w:r w:rsidRPr="00C15B3D">
              <w:rPr>
                <w:rFonts w:ascii="Arial" w:hAnsi="Arial" w:cs="Arial"/>
                <w:color w:val="202529"/>
                <w:spacing w:val="11"/>
                <w:sz w:val="22"/>
                <w:szCs w:val="22"/>
              </w:rPr>
              <w:t xml:space="preserve"> </w:t>
            </w:r>
            <w:r w:rsidRPr="00C15B3D">
              <w:rPr>
                <w:rFonts w:ascii="Arial" w:hAnsi="Arial" w:cs="Arial"/>
                <w:color w:val="202529"/>
                <w:sz w:val="22"/>
                <w:szCs w:val="22"/>
              </w:rPr>
              <w:t>EPS</w:t>
            </w:r>
            <w:r w:rsidRPr="00C15B3D">
              <w:rPr>
                <w:rFonts w:ascii="Arial" w:hAnsi="Arial" w:cs="Arial"/>
                <w:color w:val="202529"/>
                <w:spacing w:val="11"/>
                <w:sz w:val="22"/>
                <w:szCs w:val="22"/>
              </w:rPr>
              <w:t xml:space="preserve"> </w:t>
            </w:r>
            <w:r w:rsidRPr="00C15B3D">
              <w:rPr>
                <w:rFonts w:ascii="Arial" w:hAnsi="Arial" w:cs="Arial"/>
                <w:color w:val="202529"/>
                <w:sz w:val="22"/>
                <w:szCs w:val="22"/>
              </w:rPr>
              <w:t>en</w:t>
            </w:r>
            <w:r w:rsidRPr="00C15B3D">
              <w:rPr>
                <w:rFonts w:ascii="Arial" w:hAnsi="Arial" w:cs="Arial"/>
                <w:color w:val="202529"/>
                <w:spacing w:val="11"/>
                <w:sz w:val="22"/>
                <w:szCs w:val="22"/>
              </w:rPr>
              <w:t xml:space="preserve"> </w:t>
            </w:r>
            <w:r w:rsidRPr="00C15B3D">
              <w:rPr>
                <w:rFonts w:ascii="Arial" w:hAnsi="Arial" w:cs="Arial"/>
                <w:color w:val="202529"/>
                <w:sz w:val="22"/>
                <w:szCs w:val="22"/>
              </w:rPr>
              <w:t>liquidación</w:t>
            </w:r>
            <w:r w:rsidRPr="00C15B3D">
              <w:rPr>
                <w:rFonts w:ascii="Arial" w:hAnsi="Arial" w:cs="Arial"/>
                <w:color w:val="202529"/>
                <w:spacing w:val="11"/>
                <w:sz w:val="22"/>
                <w:szCs w:val="22"/>
              </w:rPr>
              <w:t xml:space="preserve"> </w:t>
            </w:r>
            <w:r w:rsidRPr="00C15B3D">
              <w:rPr>
                <w:rFonts w:ascii="Arial" w:hAnsi="Arial" w:cs="Arial"/>
                <w:color w:val="202529"/>
                <w:sz w:val="22"/>
                <w:szCs w:val="22"/>
              </w:rPr>
              <w:t>o</w:t>
            </w:r>
            <w:r w:rsidRPr="00C15B3D">
              <w:rPr>
                <w:rFonts w:ascii="Arial" w:hAnsi="Arial" w:cs="Arial"/>
                <w:color w:val="202529"/>
                <w:spacing w:val="11"/>
                <w:sz w:val="22"/>
                <w:szCs w:val="22"/>
              </w:rPr>
              <w:t xml:space="preserve"> </w:t>
            </w:r>
            <w:r w:rsidRPr="00C15B3D">
              <w:rPr>
                <w:rFonts w:ascii="Arial" w:hAnsi="Arial" w:cs="Arial"/>
                <w:color w:val="202529"/>
                <w:sz w:val="22"/>
                <w:szCs w:val="22"/>
              </w:rPr>
              <w:t>liquidadas,</w:t>
            </w:r>
            <w:r w:rsidRPr="00C15B3D">
              <w:rPr>
                <w:rFonts w:ascii="Arial" w:hAnsi="Arial" w:cs="Arial"/>
                <w:color w:val="202529"/>
                <w:spacing w:val="11"/>
                <w:sz w:val="22"/>
                <w:szCs w:val="22"/>
              </w:rPr>
              <w:t xml:space="preserve"> </w:t>
            </w:r>
            <w:r w:rsidRPr="00C15B3D">
              <w:rPr>
                <w:rFonts w:ascii="Arial" w:hAnsi="Arial" w:cs="Arial"/>
                <w:color w:val="202529"/>
                <w:sz w:val="22"/>
                <w:szCs w:val="22"/>
              </w:rPr>
              <w:t>que</w:t>
            </w:r>
            <w:r w:rsidRPr="00C15B3D">
              <w:rPr>
                <w:rFonts w:ascii="Arial" w:hAnsi="Arial" w:cs="Arial"/>
                <w:color w:val="202529"/>
                <w:spacing w:val="40"/>
                <w:sz w:val="22"/>
                <w:szCs w:val="22"/>
              </w:rPr>
              <w:t xml:space="preserve"> </w:t>
            </w:r>
            <w:r w:rsidRPr="00C15B3D">
              <w:rPr>
                <w:rFonts w:ascii="Arial" w:hAnsi="Arial" w:cs="Arial"/>
                <w:color w:val="202529"/>
                <w:sz w:val="22"/>
                <w:szCs w:val="22"/>
              </w:rPr>
              <w:t>reportan saldos en los Estados Financieros de la URA</w:t>
            </w:r>
            <w:r w:rsidRPr="00C15B3D">
              <w:rPr>
                <w:rFonts w:ascii="Arial" w:hAnsi="Arial" w:cs="Arial"/>
                <w:color w:val="202529"/>
                <w:spacing w:val="-5"/>
                <w:sz w:val="22"/>
                <w:szCs w:val="22"/>
              </w:rPr>
              <w:t xml:space="preserve"> </w:t>
            </w:r>
            <w:r w:rsidRPr="00C15B3D">
              <w:rPr>
                <w:rFonts w:ascii="Arial" w:hAnsi="Arial" w:cs="Arial"/>
                <w:color w:val="202529"/>
                <w:sz w:val="22"/>
                <w:szCs w:val="22"/>
              </w:rPr>
              <w:t>al cierre de diciembre 31 de 2024.</w:t>
            </w:r>
          </w:p>
        </w:tc>
      </w:tr>
    </w:tbl>
    <w:p w14:paraId="642287A4" w14:textId="77777777" w:rsidR="00561B22" w:rsidRPr="00C15B3D" w:rsidRDefault="00561B22" w:rsidP="00561B22">
      <w:pPr>
        <w:pStyle w:val="Textoindependiente"/>
        <w:ind w:right="-50"/>
        <w:jc w:val="both"/>
        <w:rPr>
          <w:rFonts w:ascii="Arial" w:hAnsi="Arial" w:cs="Arial"/>
          <w:b/>
          <w:bCs/>
        </w:rPr>
      </w:pPr>
    </w:p>
    <w:p w14:paraId="1BBA8E73" w14:textId="77777777" w:rsidR="00561B22" w:rsidRPr="00C15B3D" w:rsidRDefault="00561B22" w:rsidP="00561B22">
      <w:pPr>
        <w:jc w:val="both"/>
        <w:rPr>
          <w:rFonts w:ascii="Arial" w:hAnsi="Arial" w:cs="Arial"/>
          <w:b/>
          <w:bCs/>
          <w:sz w:val="24"/>
          <w:szCs w:val="24"/>
          <w:lang w:val="es-CO"/>
        </w:rPr>
      </w:pPr>
      <w:r w:rsidRPr="00C15B3D">
        <w:rPr>
          <w:rFonts w:ascii="Arial" w:hAnsi="Arial" w:cs="Arial"/>
          <w:b/>
          <w:bCs/>
          <w:sz w:val="24"/>
          <w:szCs w:val="24"/>
          <w:lang w:val="es-CO"/>
        </w:rPr>
        <w:t xml:space="preserve">NOTA: LA ENTIDAD ENVIA LA MATRIZ DE AUTOEVALUACIÓN DEL SISTEMA DE CONTROL INTERNO CONTABLE CON </w:t>
      </w:r>
      <w:r w:rsidRPr="00C15B3D">
        <w:rPr>
          <w:rFonts w:ascii="Arial" w:hAnsi="Arial" w:cs="Arial"/>
          <w:b/>
          <w:bCs/>
          <w:sz w:val="24"/>
          <w:szCs w:val="24"/>
          <w:u w:val="single"/>
          <w:lang w:val="es-CO"/>
        </w:rPr>
        <w:t>ACTIVIDADES DE CONTROL REALIZADAS EN FORMA PARCIAL</w:t>
      </w:r>
      <w:r w:rsidRPr="00C15B3D">
        <w:rPr>
          <w:rFonts w:ascii="Arial" w:hAnsi="Arial" w:cs="Arial"/>
          <w:b/>
          <w:bCs/>
          <w:sz w:val="24"/>
          <w:szCs w:val="24"/>
          <w:lang w:val="es-CO"/>
        </w:rPr>
        <w:t>.</w:t>
      </w:r>
    </w:p>
    <w:p w14:paraId="5EF78C85" w14:textId="77777777" w:rsidR="00561B22" w:rsidRPr="00C15B3D" w:rsidRDefault="00561B22" w:rsidP="00561B22">
      <w:pPr>
        <w:pStyle w:val="Textoindependiente"/>
        <w:tabs>
          <w:tab w:val="left" w:pos="2055"/>
        </w:tabs>
        <w:spacing w:before="5"/>
        <w:rPr>
          <w:rFonts w:ascii="Arial" w:hAnsi="Arial" w:cs="Arial"/>
        </w:rPr>
      </w:pPr>
    </w:p>
    <w:p w14:paraId="59D6B3BD" w14:textId="77777777" w:rsidR="00561B22" w:rsidRPr="00323151" w:rsidRDefault="00561B22" w:rsidP="00561B22">
      <w:pPr>
        <w:jc w:val="both"/>
        <w:rPr>
          <w:rFonts w:ascii="Arial" w:hAnsi="Arial" w:cs="Arial"/>
          <w:b/>
          <w:sz w:val="28"/>
          <w:szCs w:val="28"/>
          <w:lang w:val="es-MX"/>
        </w:rPr>
      </w:pPr>
      <w:r w:rsidRPr="00323151">
        <w:rPr>
          <w:rFonts w:ascii="Arial" w:hAnsi="Arial" w:cs="Arial"/>
          <w:b/>
          <w:sz w:val="28"/>
          <w:szCs w:val="28"/>
          <w:lang w:val="es-MX"/>
        </w:rPr>
        <w:t>128.- SUPERINTENDENCIA DE TRANSPORTE.</w:t>
      </w:r>
    </w:p>
    <w:p w14:paraId="1CBA494E" w14:textId="77777777" w:rsidR="00561B22" w:rsidRDefault="00561B22" w:rsidP="00561B22">
      <w:pPr>
        <w:pStyle w:val="Textoindependiente"/>
        <w:tabs>
          <w:tab w:val="left" w:pos="2055"/>
        </w:tabs>
        <w:spacing w:before="5"/>
        <w:rPr>
          <w:rFonts w:ascii="Arial" w:hAnsi="Arial" w:cs="Arial"/>
        </w:rPr>
      </w:pPr>
    </w:p>
    <w:p w14:paraId="319B018A" w14:textId="77777777" w:rsidR="00561B22" w:rsidRPr="00323151" w:rsidRDefault="00561B22" w:rsidP="00561B22">
      <w:pPr>
        <w:pStyle w:val="Textoindependiente"/>
        <w:jc w:val="center"/>
        <w:rPr>
          <w:rFonts w:ascii="Arial" w:hAnsi="Arial" w:cs="Arial"/>
          <w:b/>
          <w:bCs/>
        </w:rPr>
      </w:pPr>
      <w:r w:rsidRPr="00323151">
        <w:rPr>
          <w:rFonts w:ascii="Arial" w:hAnsi="Arial" w:cs="Arial"/>
          <w:b/>
          <w:bCs/>
        </w:rPr>
        <w:t>INFORME DE LA AUTOCALIFICACIÓN DEL SISTEMA DE CONTROL INTERNO CONTABLE:</w:t>
      </w:r>
    </w:p>
    <w:p w14:paraId="2296DA8F" w14:textId="77777777" w:rsidR="00561B22" w:rsidRPr="0032315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23151" w14:paraId="00CDB048" w14:textId="77777777" w:rsidTr="00F1223B">
        <w:tc>
          <w:tcPr>
            <w:tcW w:w="4981" w:type="dxa"/>
          </w:tcPr>
          <w:p w14:paraId="104B681C"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AUTOCALIFICACIÓN</w:t>
            </w:r>
          </w:p>
        </w:tc>
        <w:tc>
          <w:tcPr>
            <w:tcW w:w="4981" w:type="dxa"/>
          </w:tcPr>
          <w:p w14:paraId="37E5AA94" w14:textId="77777777" w:rsidR="00561B22" w:rsidRPr="00323151" w:rsidRDefault="00561B22" w:rsidP="00F1223B">
            <w:pPr>
              <w:jc w:val="center"/>
              <w:rPr>
                <w:rFonts w:ascii="Arial" w:hAnsi="Arial" w:cs="Arial"/>
                <w:b/>
                <w:sz w:val="22"/>
                <w:szCs w:val="22"/>
                <w:u w:val="single"/>
                <w:lang w:val="es-MX"/>
              </w:rPr>
            </w:pPr>
            <w:r w:rsidRPr="00323151">
              <w:rPr>
                <w:rFonts w:ascii="Arial" w:hAnsi="Arial" w:cs="Arial"/>
                <w:b/>
                <w:sz w:val="22"/>
                <w:szCs w:val="22"/>
                <w:u w:val="single"/>
                <w:lang w:val="es-MX"/>
              </w:rPr>
              <w:t>4.07</w:t>
            </w:r>
          </w:p>
        </w:tc>
      </w:tr>
    </w:tbl>
    <w:p w14:paraId="6DF07CB1" w14:textId="77777777" w:rsidR="00561B22" w:rsidRPr="00323151" w:rsidRDefault="00561B22" w:rsidP="00561B22">
      <w:pPr>
        <w:pStyle w:val="Textoindependiente"/>
        <w:jc w:val="both"/>
        <w:rPr>
          <w:rFonts w:ascii="Arial" w:hAnsi="Arial" w:cs="Arial"/>
          <w:b/>
          <w:bCs/>
        </w:rPr>
      </w:pPr>
    </w:p>
    <w:p w14:paraId="3DEC7788" w14:textId="77777777" w:rsidR="00561B22" w:rsidRPr="00323151" w:rsidRDefault="00561B22" w:rsidP="00561B22">
      <w:pPr>
        <w:pStyle w:val="Textoindependiente"/>
        <w:jc w:val="both"/>
        <w:rPr>
          <w:rFonts w:ascii="Arial" w:hAnsi="Arial" w:cs="Arial"/>
          <w:b/>
          <w:bCs/>
        </w:rPr>
      </w:pPr>
      <w:r w:rsidRPr="00323151">
        <w:rPr>
          <w:rFonts w:ascii="Arial" w:hAnsi="Arial" w:cs="Arial"/>
          <w:b/>
          <w:bCs/>
        </w:rPr>
        <w:t>Del informe enviado retomamos lo siguiente:</w:t>
      </w:r>
    </w:p>
    <w:p w14:paraId="33B26AB5" w14:textId="77777777" w:rsidR="00561B22" w:rsidRPr="0032315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23151" w14:paraId="7538A24E" w14:textId="77777777" w:rsidTr="00F1223B">
        <w:tc>
          <w:tcPr>
            <w:tcW w:w="562" w:type="dxa"/>
          </w:tcPr>
          <w:p w14:paraId="5EB47479"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N°</w:t>
            </w:r>
          </w:p>
        </w:tc>
        <w:tc>
          <w:tcPr>
            <w:tcW w:w="9400" w:type="dxa"/>
          </w:tcPr>
          <w:p w14:paraId="4BE5342D"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DEBILIDADES</w:t>
            </w:r>
          </w:p>
          <w:p w14:paraId="330F839B" w14:textId="77777777" w:rsidR="00561B22" w:rsidRPr="00323151" w:rsidRDefault="00561B22" w:rsidP="00F1223B">
            <w:pPr>
              <w:jc w:val="center"/>
              <w:rPr>
                <w:rFonts w:ascii="Arial" w:hAnsi="Arial" w:cs="Arial"/>
                <w:b/>
                <w:sz w:val="22"/>
                <w:szCs w:val="22"/>
                <w:lang w:val="es-MX"/>
              </w:rPr>
            </w:pPr>
          </w:p>
        </w:tc>
      </w:tr>
      <w:tr w:rsidR="00561B22" w:rsidRPr="00323151" w14:paraId="39234B6B" w14:textId="77777777" w:rsidTr="00F1223B">
        <w:tc>
          <w:tcPr>
            <w:tcW w:w="562" w:type="dxa"/>
          </w:tcPr>
          <w:p w14:paraId="18B771BD"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1</w:t>
            </w:r>
          </w:p>
        </w:tc>
        <w:tc>
          <w:tcPr>
            <w:tcW w:w="9400" w:type="dxa"/>
          </w:tcPr>
          <w:p w14:paraId="50932C9C" w14:textId="77777777" w:rsidR="00561B22" w:rsidRPr="00323151" w:rsidRDefault="00561B22" w:rsidP="00F1223B">
            <w:pPr>
              <w:jc w:val="both"/>
              <w:rPr>
                <w:rFonts w:ascii="Arial" w:hAnsi="Arial" w:cs="Arial"/>
                <w:bCs/>
                <w:sz w:val="22"/>
                <w:szCs w:val="22"/>
                <w:lang w:val="es-MX"/>
              </w:rPr>
            </w:pPr>
            <w:r w:rsidRPr="00323151">
              <w:rPr>
                <w:rFonts w:ascii="Arial" w:hAnsi="Arial" w:cs="Arial"/>
                <w:bCs/>
                <w:sz w:val="22"/>
                <w:szCs w:val="22"/>
                <w:lang w:val="es-MX"/>
              </w:rPr>
              <w:t>La actualización y divulgación oportuna de los estados financieros. con retrasos en la publicación que afectan la transparencia y la toma de decisiones. ejemplo la publicación extemporánea de los EF en página web de la ST, del último semestre de la vigencia 2024.</w:t>
            </w:r>
          </w:p>
        </w:tc>
      </w:tr>
      <w:tr w:rsidR="00561B22" w:rsidRPr="00323151" w14:paraId="20980CBC" w14:textId="77777777" w:rsidTr="00F1223B">
        <w:tc>
          <w:tcPr>
            <w:tcW w:w="562" w:type="dxa"/>
          </w:tcPr>
          <w:p w14:paraId="1A110D2F"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2</w:t>
            </w:r>
          </w:p>
        </w:tc>
        <w:tc>
          <w:tcPr>
            <w:tcW w:w="9400" w:type="dxa"/>
          </w:tcPr>
          <w:p w14:paraId="1B33783A"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En cuanto al flujo de información contable. algunos documentos clave carecen de fechas de elaboración y no están adoptados en el sistema de gestión. lo que dificulta la trazabilidad y verificación de la información, por ejemplo, en el caso de los Estados Financieros publicados durante la vigencia 2024. </w:t>
            </w:r>
          </w:p>
        </w:tc>
      </w:tr>
      <w:tr w:rsidR="00561B22" w:rsidRPr="00323151" w14:paraId="363A3622" w14:textId="77777777" w:rsidTr="00F1223B">
        <w:tc>
          <w:tcPr>
            <w:tcW w:w="562" w:type="dxa"/>
          </w:tcPr>
          <w:p w14:paraId="042D3C9A"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3</w:t>
            </w:r>
          </w:p>
        </w:tc>
        <w:tc>
          <w:tcPr>
            <w:tcW w:w="9400" w:type="dxa"/>
          </w:tcPr>
          <w:p w14:paraId="567A8B2E"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La segregación de funciones también presenta inconsistencias, ya que en algunas actividades la responsabilidad no está claramente definida, lo que puede generar conflictos de interés y riesgos de fraude, como el caso de las conciliaciones con otras dependencias, ya que el profesional que revisa también aprueba; además no se identifica para los profesionales que elaboran el cargo y la dependencia a la que pertenecen. </w:t>
            </w:r>
          </w:p>
        </w:tc>
      </w:tr>
      <w:tr w:rsidR="00561B22" w:rsidRPr="00323151" w14:paraId="761A936D" w14:textId="77777777" w:rsidTr="00F1223B">
        <w:tc>
          <w:tcPr>
            <w:tcW w:w="562" w:type="dxa"/>
          </w:tcPr>
          <w:p w14:paraId="723B88B2"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4</w:t>
            </w:r>
          </w:p>
        </w:tc>
        <w:tc>
          <w:tcPr>
            <w:tcW w:w="9400" w:type="dxa"/>
          </w:tcPr>
          <w:p w14:paraId="70F80667"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Falta procedimiento adecuado para las conciliaciones que realiza el proceso gestión financiera con otras dependencias, incluyendo segregación de funciones y soportes idóneos que permitan identificar la trazabilidad de la información. </w:t>
            </w:r>
          </w:p>
        </w:tc>
      </w:tr>
      <w:tr w:rsidR="00561B22" w:rsidRPr="00323151" w14:paraId="7BA235F6" w14:textId="77777777" w:rsidTr="00F1223B">
        <w:tc>
          <w:tcPr>
            <w:tcW w:w="562" w:type="dxa"/>
          </w:tcPr>
          <w:p w14:paraId="7496C018"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5</w:t>
            </w:r>
          </w:p>
        </w:tc>
        <w:tc>
          <w:tcPr>
            <w:tcW w:w="9400" w:type="dxa"/>
          </w:tcPr>
          <w:p w14:paraId="56545087"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Falta de personal para apoyar en las actividades propias del proceso financiero para mejorar los procesos de autocontrol. </w:t>
            </w:r>
          </w:p>
        </w:tc>
      </w:tr>
      <w:tr w:rsidR="00561B22" w:rsidRPr="00323151" w14:paraId="5B6BB1FC" w14:textId="77777777" w:rsidTr="00F1223B">
        <w:tc>
          <w:tcPr>
            <w:tcW w:w="562" w:type="dxa"/>
          </w:tcPr>
          <w:p w14:paraId="18FD264A"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6</w:t>
            </w:r>
          </w:p>
        </w:tc>
        <w:tc>
          <w:tcPr>
            <w:tcW w:w="9400" w:type="dxa"/>
          </w:tcPr>
          <w:p w14:paraId="42B2AB8A"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Aunque las políticas contables están documentadas en el sistema Daruma, su socialización con el personal no es completamente efectiva, lo que puede afectar su correcta aplicación. </w:t>
            </w:r>
          </w:p>
        </w:tc>
      </w:tr>
      <w:tr w:rsidR="00561B22" w:rsidRPr="00323151" w14:paraId="69C71445" w14:textId="77777777" w:rsidTr="00F1223B">
        <w:tc>
          <w:tcPr>
            <w:tcW w:w="562" w:type="dxa"/>
          </w:tcPr>
          <w:p w14:paraId="4D97FD1E"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7</w:t>
            </w:r>
          </w:p>
        </w:tc>
        <w:tc>
          <w:tcPr>
            <w:tcW w:w="9400" w:type="dxa"/>
          </w:tcPr>
          <w:p w14:paraId="5AD6494E" w14:textId="77777777" w:rsidR="00561B22" w:rsidRPr="00323151" w:rsidRDefault="00561B22" w:rsidP="00F1223B">
            <w:pPr>
              <w:jc w:val="both"/>
              <w:rPr>
                <w:rFonts w:ascii="Arial" w:hAnsi="Arial" w:cs="Arial"/>
                <w:bCs/>
                <w:sz w:val="22"/>
                <w:szCs w:val="22"/>
                <w:lang w:val="es-MX"/>
              </w:rPr>
            </w:pPr>
            <w:r w:rsidRPr="00323151">
              <w:rPr>
                <w:rFonts w:ascii="Arial" w:hAnsi="Arial" w:cs="Arial"/>
                <w:bCs/>
                <w:sz w:val="22"/>
                <w:szCs w:val="22"/>
                <w:lang w:val="es-CO"/>
              </w:rPr>
              <w:t>Aunque se realizan autoevaluaciones de riesgos, la eficacia de los controles implementados no siempre es óptima, y persisten hallazgos internos y externos en estado abierto por falta de efectividad de las acciones correctivas.</w:t>
            </w:r>
          </w:p>
        </w:tc>
      </w:tr>
      <w:tr w:rsidR="00561B22" w:rsidRPr="00323151" w14:paraId="6947FD44" w14:textId="77777777" w:rsidTr="00F1223B">
        <w:tc>
          <w:tcPr>
            <w:tcW w:w="562" w:type="dxa"/>
          </w:tcPr>
          <w:p w14:paraId="15617A3A"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8</w:t>
            </w:r>
          </w:p>
        </w:tc>
        <w:tc>
          <w:tcPr>
            <w:tcW w:w="9400" w:type="dxa"/>
          </w:tcPr>
          <w:p w14:paraId="579AD0C5"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No incluir en la transmisión de rendición de cuentas información de estados financieros para toma de decisiones y limitarlo solo al informe.  </w:t>
            </w:r>
          </w:p>
        </w:tc>
      </w:tr>
    </w:tbl>
    <w:p w14:paraId="09CC0288" w14:textId="77777777" w:rsidR="00561B22" w:rsidRPr="00323151" w:rsidRDefault="00561B22" w:rsidP="00561B22">
      <w:pPr>
        <w:pStyle w:val="Textoindependiente"/>
        <w:jc w:val="both"/>
        <w:rPr>
          <w:rFonts w:ascii="Arial" w:hAnsi="Arial" w:cs="Arial"/>
          <w:b/>
          <w:bCs/>
        </w:rPr>
      </w:pPr>
    </w:p>
    <w:p w14:paraId="7289D34D" w14:textId="77777777" w:rsidR="00561B22" w:rsidRPr="00323151" w:rsidRDefault="00561B22" w:rsidP="00561B22">
      <w:pPr>
        <w:jc w:val="both"/>
        <w:rPr>
          <w:rFonts w:ascii="Arial" w:hAnsi="Arial" w:cs="Arial"/>
          <w:b/>
          <w:lang w:val="es-MX"/>
        </w:rPr>
      </w:pPr>
      <w:r w:rsidRPr="00323151">
        <w:rPr>
          <w:rFonts w:ascii="Arial" w:hAnsi="Arial" w:cs="Arial"/>
          <w:b/>
          <w:lang w:val="es-MX"/>
        </w:rPr>
        <w:t>Del citado informe retomamos las siguientes recomendaciones:</w:t>
      </w:r>
    </w:p>
    <w:p w14:paraId="2C7C1E25" w14:textId="77777777" w:rsidR="00561B22" w:rsidRPr="0032315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23151" w14:paraId="4D582FEA" w14:textId="77777777" w:rsidTr="00F1223B">
        <w:tc>
          <w:tcPr>
            <w:tcW w:w="562" w:type="dxa"/>
          </w:tcPr>
          <w:p w14:paraId="309D3DF2"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N°</w:t>
            </w:r>
          </w:p>
        </w:tc>
        <w:tc>
          <w:tcPr>
            <w:tcW w:w="9400" w:type="dxa"/>
          </w:tcPr>
          <w:p w14:paraId="1B5E31DA"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RECOMENDACIONES</w:t>
            </w:r>
          </w:p>
          <w:p w14:paraId="07AB2FDF" w14:textId="77777777" w:rsidR="00561B22" w:rsidRPr="00323151" w:rsidRDefault="00561B22" w:rsidP="00F1223B">
            <w:pPr>
              <w:jc w:val="center"/>
              <w:rPr>
                <w:rFonts w:ascii="Arial" w:hAnsi="Arial" w:cs="Arial"/>
                <w:b/>
                <w:sz w:val="22"/>
                <w:szCs w:val="22"/>
                <w:lang w:val="es-MX"/>
              </w:rPr>
            </w:pPr>
          </w:p>
        </w:tc>
      </w:tr>
      <w:tr w:rsidR="00561B22" w:rsidRPr="00323151" w14:paraId="205446C9" w14:textId="77777777" w:rsidTr="00F1223B">
        <w:tc>
          <w:tcPr>
            <w:tcW w:w="562" w:type="dxa"/>
          </w:tcPr>
          <w:p w14:paraId="4B32FCCC"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1</w:t>
            </w:r>
          </w:p>
        </w:tc>
        <w:tc>
          <w:tcPr>
            <w:tcW w:w="9400" w:type="dxa"/>
          </w:tcPr>
          <w:p w14:paraId="7E190150"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Fortalecer la socialización y capacitación del personal en relación con las políticas y procedimientos contables, asegurando su correcta aplicación. </w:t>
            </w:r>
          </w:p>
        </w:tc>
      </w:tr>
      <w:tr w:rsidR="00561B22" w:rsidRPr="00323151" w14:paraId="0929141A" w14:textId="77777777" w:rsidTr="00F1223B">
        <w:tc>
          <w:tcPr>
            <w:tcW w:w="562" w:type="dxa"/>
          </w:tcPr>
          <w:p w14:paraId="5C2C5613"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2</w:t>
            </w:r>
          </w:p>
        </w:tc>
        <w:tc>
          <w:tcPr>
            <w:tcW w:w="9400" w:type="dxa"/>
          </w:tcPr>
          <w:p w14:paraId="2BEEF490"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Mejorar la trazabilidad y respaldo documental de las conciliaciones contables propias del proceso gestión financiera y de aquellas con otras dependencias, garantizando su adecuada segregación de funciones para evitar riesgos de control. </w:t>
            </w:r>
          </w:p>
        </w:tc>
      </w:tr>
      <w:tr w:rsidR="00561B22" w:rsidRPr="00323151" w14:paraId="3A0E33A2" w14:textId="77777777" w:rsidTr="00F1223B">
        <w:tc>
          <w:tcPr>
            <w:tcW w:w="562" w:type="dxa"/>
          </w:tcPr>
          <w:p w14:paraId="07F4F07B"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3</w:t>
            </w:r>
          </w:p>
        </w:tc>
        <w:tc>
          <w:tcPr>
            <w:tcW w:w="9400" w:type="dxa"/>
          </w:tcPr>
          <w:p w14:paraId="5ABA59A7"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Establecer un mecanismo formal y periódico de revisión y actualización del catálogo de cuentas. normas para el reconocimiento. Medición, revelación y presentación de los hechos </w:t>
            </w:r>
            <w:r w:rsidRPr="00323151">
              <w:rPr>
                <w:rFonts w:ascii="Arial" w:hAnsi="Arial" w:cs="Arial"/>
                <w:bCs/>
                <w:sz w:val="22"/>
                <w:szCs w:val="22"/>
                <w:lang w:val="es-CO"/>
              </w:rPr>
              <w:lastRenderedPageBreak/>
              <w:t xml:space="preserve">económicos, asegurando su alineación con el marco normativo para entidades de gobierno de la CGN. </w:t>
            </w:r>
          </w:p>
        </w:tc>
      </w:tr>
      <w:tr w:rsidR="00561B22" w:rsidRPr="00323151" w14:paraId="71F40211" w14:textId="77777777" w:rsidTr="00F1223B">
        <w:tc>
          <w:tcPr>
            <w:tcW w:w="562" w:type="dxa"/>
          </w:tcPr>
          <w:p w14:paraId="4DDFB122"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lastRenderedPageBreak/>
              <w:t>4</w:t>
            </w:r>
          </w:p>
        </w:tc>
        <w:tc>
          <w:tcPr>
            <w:tcW w:w="9400" w:type="dxa"/>
          </w:tcPr>
          <w:p w14:paraId="199B32AE"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Implementar estrategias adicionales para la verificación del cumplimiento de los procedimientos contables. con el fin de asegurar que los registros financieros cuenten con los soportes documentales adecuados. </w:t>
            </w:r>
          </w:p>
        </w:tc>
      </w:tr>
      <w:tr w:rsidR="00561B22" w:rsidRPr="00323151" w14:paraId="4238DDD2" w14:textId="77777777" w:rsidTr="00F1223B">
        <w:tc>
          <w:tcPr>
            <w:tcW w:w="562" w:type="dxa"/>
          </w:tcPr>
          <w:p w14:paraId="3900439B"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5</w:t>
            </w:r>
          </w:p>
        </w:tc>
        <w:tc>
          <w:tcPr>
            <w:tcW w:w="9400" w:type="dxa"/>
          </w:tcPr>
          <w:p w14:paraId="5A2E6DD8"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Fortalecer la periodicidad y trazabilidad del proceso de análisis. depuración y seguimiento de cuentas. asegurando la documentación de soportes en el sistema de gestión. </w:t>
            </w:r>
          </w:p>
        </w:tc>
      </w:tr>
      <w:tr w:rsidR="00561B22" w:rsidRPr="00323151" w14:paraId="63B45C01" w14:textId="77777777" w:rsidTr="00F1223B">
        <w:tc>
          <w:tcPr>
            <w:tcW w:w="562" w:type="dxa"/>
          </w:tcPr>
          <w:p w14:paraId="1AA29FC7"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6</w:t>
            </w:r>
          </w:p>
        </w:tc>
        <w:tc>
          <w:tcPr>
            <w:tcW w:w="9400" w:type="dxa"/>
          </w:tcPr>
          <w:p w14:paraId="6BD84AA4"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Definir con claridad la periodicidad y los mecanismos de revisión de la vida útil de los activos y de los procesos de depreciación. amortización y deterioro.</w:t>
            </w:r>
          </w:p>
        </w:tc>
      </w:tr>
      <w:tr w:rsidR="00561B22" w:rsidRPr="00323151" w14:paraId="384A6CA5" w14:textId="77777777" w:rsidTr="00F1223B">
        <w:tc>
          <w:tcPr>
            <w:tcW w:w="562" w:type="dxa"/>
          </w:tcPr>
          <w:p w14:paraId="193A77E5"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7</w:t>
            </w:r>
          </w:p>
        </w:tc>
        <w:tc>
          <w:tcPr>
            <w:tcW w:w="9400" w:type="dxa"/>
          </w:tcPr>
          <w:p w14:paraId="73164463"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 xml:space="preserve">Garantizar la conservación adecuada de los documentos soporte de los registros contables, estableciendo directrices claras para su custodia y acceso. </w:t>
            </w:r>
          </w:p>
        </w:tc>
      </w:tr>
      <w:tr w:rsidR="00561B22" w:rsidRPr="00323151" w14:paraId="6BD78070" w14:textId="77777777" w:rsidTr="00F1223B">
        <w:tc>
          <w:tcPr>
            <w:tcW w:w="562" w:type="dxa"/>
          </w:tcPr>
          <w:p w14:paraId="1A36D853"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8</w:t>
            </w:r>
          </w:p>
        </w:tc>
        <w:tc>
          <w:tcPr>
            <w:tcW w:w="9400" w:type="dxa"/>
          </w:tcPr>
          <w:p w14:paraId="4515AE96"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Además, se recomienda tener presente respecto a la política de control interno que se evalúa en formulario FURAG midiendo la gestión y desempeño institucional, es importante tener presente la publicación mensual de los estados financieros de cada vigencia, igualmente es necesario tener presente lo concerniente al balance general y al estado de la actividad financiera, económica, social y ambiental de entidad.</w:t>
            </w:r>
          </w:p>
        </w:tc>
      </w:tr>
      <w:tr w:rsidR="00561B22" w:rsidRPr="00323151" w14:paraId="2230BC3D" w14:textId="77777777" w:rsidTr="00F1223B">
        <w:tc>
          <w:tcPr>
            <w:tcW w:w="562" w:type="dxa"/>
          </w:tcPr>
          <w:p w14:paraId="4567419F"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9</w:t>
            </w:r>
          </w:p>
        </w:tc>
        <w:tc>
          <w:tcPr>
            <w:tcW w:w="9400" w:type="dxa"/>
          </w:tcPr>
          <w:p w14:paraId="254D5132"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Fortalecer la socialización de los procedimientos con el personal involucrado, asegurando que todos comprendan y apliquen correctamente los lineamientos. Para mejorar la socialización y asegurar una correcta aplicación de los procedimientos, se recomienda implementar estrategias complementarias, tales como: sesiones informativas periódicas, capacitaciones dirigidas a los equipos involucrados, espacios de retroalimentación y resolución de dudas. Estas acciones contribuirán a fortalecer el conocimiento del personal y garantizar una aplicación efectiva de los lineamientos contables establecidos.</w:t>
            </w:r>
          </w:p>
        </w:tc>
      </w:tr>
      <w:tr w:rsidR="00561B22" w:rsidRPr="00323151" w14:paraId="04FC34E6" w14:textId="77777777" w:rsidTr="00F1223B">
        <w:tc>
          <w:tcPr>
            <w:tcW w:w="562" w:type="dxa"/>
          </w:tcPr>
          <w:p w14:paraId="42B2382B"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10</w:t>
            </w:r>
          </w:p>
        </w:tc>
        <w:tc>
          <w:tcPr>
            <w:tcW w:w="9400" w:type="dxa"/>
          </w:tcPr>
          <w:p w14:paraId="4A219273"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Garantizar la trazabilidad de todos los bienes físicos, asegurando que cada uno cuente con su registro individualizado y evidencias verificables en los sistemas de gestión</w:t>
            </w:r>
          </w:p>
        </w:tc>
      </w:tr>
      <w:tr w:rsidR="00561B22" w:rsidRPr="00323151" w14:paraId="07B04347" w14:textId="77777777" w:rsidTr="00F1223B">
        <w:tc>
          <w:tcPr>
            <w:tcW w:w="562" w:type="dxa"/>
          </w:tcPr>
          <w:p w14:paraId="5A861D57"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11</w:t>
            </w:r>
          </w:p>
        </w:tc>
        <w:tc>
          <w:tcPr>
            <w:tcW w:w="9400" w:type="dxa"/>
          </w:tcPr>
          <w:p w14:paraId="66207EE0"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Si bien el proceso financiero incluye ciertas actividades de verificación, es necesario establecer un procedimiento formal y estructurado que: Defina la periodicidad de las verificaciones, asigne responsabilidades específicas para su supervisión, actúe como una medida de autocontrol para garantizar la mejora continua del proceso</w:t>
            </w:r>
          </w:p>
        </w:tc>
      </w:tr>
      <w:tr w:rsidR="00561B22" w:rsidRPr="00323151" w14:paraId="623DAA8A" w14:textId="77777777" w:rsidTr="00F1223B">
        <w:tc>
          <w:tcPr>
            <w:tcW w:w="562" w:type="dxa"/>
          </w:tcPr>
          <w:p w14:paraId="10119D7D" w14:textId="77777777" w:rsidR="00561B22" w:rsidRPr="00323151" w:rsidRDefault="00561B22" w:rsidP="00F1223B">
            <w:pPr>
              <w:jc w:val="center"/>
              <w:rPr>
                <w:rFonts w:ascii="Arial" w:hAnsi="Arial" w:cs="Arial"/>
                <w:b/>
                <w:sz w:val="22"/>
                <w:szCs w:val="22"/>
                <w:lang w:val="es-MX"/>
              </w:rPr>
            </w:pPr>
            <w:r w:rsidRPr="00323151">
              <w:rPr>
                <w:rFonts w:ascii="Arial" w:hAnsi="Arial" w:cs="Arial"/>
                <w:b/>
                <w:sz w:val="22"/>
                <w:szCs w:val="22"/>
                <w:lang w:val="es-MX"/>
              </w:rPr>
              <w:t>12</w:t>
            </w:r>
          </w:p>
        </w:tc>
        <w:tc>
          <w:tcPr>
            <w:tcW w:w="9400" w:type="dxa"/>
          </w:tcPr>
          <w:p w14:paraId="0ED37BB6" w14:textId="77777777" w:rsidR="00561B22" w:rsidRPr="00323151" w:rsidRDefault="00561B22" w:rsidP="00F1223B">
            <w:pPr>
              <w:jc w:val="both"/>
              <w:rPr>
                <w:rFonts w:ascii="Arial" w:hAnsi="Arial" w:cs="Arial"/>
                <w:bCs/>
                <w:sz w:val="22"/>
                <w:szCs w:val="22"/>
                <w:lang w:val="es-CO"/>
              </w:rPr>
            </w:pPr>
            <w:r w:rsidRPr="00323151">
              <w:rPr>
                <w:rFonts w:ascii="Arial" w:hAnsi="Arial" w:cs="Arial"/>
                <w:bCs/>
                <w:sz w:val="22"/>
                <w:szCs w:val="22"/>
                <w:lang w:val="es-CO"/>
              </w:rPr>
              <w:t>Se sugiere la implementación de un cronograma estructurado que asegure la realización periódica y sistemática del análisis y depuración de cuentas, con el fin de optimizar la calidad y sostenibilidad de la información contable</w:t>
            </w:r>
          </w:p>
        </w:tc>
      </w:tr>
    </w:tbl>
    <w:p w14:paraId="72C45D86" w14:textId="77777777" w:rsidR="00561B22" w:rsidRPr="00323151" w:rsidRDefault="00561B22" w:rsidP="00561B22">
      <w:pPr>
        <w:pStyle w:val="Textoindependiente"/>
        <w:jc w:val="both"/>
        <w:rPr>
          <w:rFonts w:ascii="Arial" w:hAnsi="Arial" w:cs="Arial"/>
          <w:b/>
          <w:bCs/>
        </w:rPr>
      </w:pPr>
    </w:p>
    <w:p w14:paraId="7244E55F" w14:textId="77777777" w:rsidR="00561B22" w:rsidRPr="00323151" w:rsidRDefault="00561B22" w:rsidP="00561B22">
      <w:pPr>
        <w:jc w:val="both"/>
        <w:rPr>
          <w:rFonts w:ascii="Arial" w:hAnsi="Arial" w:cs="Arial"/>
          <w:b/>
          <w:bCs/>
          <w:sz w:val="24"/>
          <w:szCs w:val="24"/>
          <w:lang w:val="es-CO"/>
        </w:rPr>
      </w:pPr>
      <w:r w:rsidRPr="00323151">
        <w:rPr>
          <w:rFonts w:ascii="Arial" w:hAnsi="Arial" w:cs="Arial"/>
          <w:b/>
          <w:bCs/>
          <w:sz w:val="24"/>
          <w:szCs w:val="24"/>
          <w:lang w:val="es-CO"/>
        </w:rPr>
        <w:t xml:space="preserve">NOTA: LA ENTIDAD ENVIA LA MATRIZ DE AUTOEVALUACIÓN DEL SISTEMA DE CONTROL INTERNO CONTABLE CON </w:t>
      </w:r>
      <w:r w:rsidRPr="00323151">
        <w:rPr>
          <w:rFonts w:ascii="Arial" w:hAnsi="Arial" w:cs="Arial"/>
          <w:b/>
          <w:bCs/>
          <w:sz w:val="24"/>
          <w:szCs w:val="24"/>
          <w:u w:val="single"/>
          <w:lang w:val="es-CO"/>
        </w:rPr>
        <w:t>ACTIVIDADES DE CONTROL REALIZADAS EN FORMA PARCIAL</w:t>
      </w:r>
      <w:r w:rsidRPr="00323151">
        <w:rPr>
          <w:rFonts w:ascii="Arial" w:hAnsi="Arial" w:cs="Arial"/>
          <w:b/>
          <w:bCs/>
          <w:sz w:val="24"/>
          <w:szCs w:val="24"/>
          <w:lang w:val="es-CO"/>
        </w:rPr>
        <w:t>.</w:t>
      </w:r>
    </w:p>
    <w:p w14:paraId="58206BEA" w14:textId="77777777" w:rsidR="00561B22" w:rsidRPr="00323151" w:rsidRDefault="00561B22" w:rsidP="00561B22">
      <w:pPr>
        <w:pStyle w:val="Textoindependiente"/>
        <w:tabs>
          <w:tab w:val="left" w:pos="2055"/>
        </w:tabs>
        <w:spacing w:before="5"/>
        <w:rPr>
          <w:rFonts w:ascii="Arial" w:hAnsi="Arial" w:cs="Arial"/>
        </w:rPr>
      </w:pPr>
    </w:p>
    <w:p w14:paraId="6ED8DA54" w14:textId="77777777" w:rsidR="00561B22" w:rsidRPr="00274B44" w:rsidRDefault="00561B22" w:rsidP="00561B22">
      <w:pPr>
        <w:jc w:val="both"/>
        <w:rPr>
          <w:rFonts w:ascii="Arial" w:hAnsi="Arial" w:cs="Arial"/>
          <w:b/>
          <w:sz w:val="28"/>
          <w:szCs w:val="28"/>
          <w:lang w:val="es-MX"/>
        </w:rPr>
      </w:pPr>
      <w:r w:rsidRPr="00274B44">
        <w:rPr>
          <w:rFonts w:ascii="Arial" w:hAnsi="Arial" w:cs="Arial"/>
          <w:b/>
          <w:sz w:val="28"/>
          <w:szCs w:val="28"/>
          <w:lang w:val="es-MX"/>
        </w:rPr>
        <w:t xml:space="preserve">129.- </w:t>
      </w:r>
      <w:r w:rsidRPr="00274B44">
        <w:rPr>
          <w:rFonts w:ascii="Arial" w:hAnsi="Arial" w:cs="Arial"/>
          <w:b/>
          <w:sz w:val="28"/>
          <w:szCs w:val="28"/>
        </w:rPr>
        <w:t>UNIDAD DE SERVICIOS PENITENCIARIOS Y CARCELARIOS – USPEC</w:t>
      </w:r>
      <w:r w:rsidRPr="00274B44">
        <w:rPr>
          <w:rFonts w:ascii="Arial" w:hAnsi="Arial" w:cs="Arial"/>
          <w:b/>
          <w:sz w:val="28"/>
          <w:szCs w:val="28"/>
          <w:lang w:val="es-MX"/>
        </w:rPr>
        <w:t>.</w:t>
      </w:r>
    </w:p>
    <w:p w14:paraId="103CBF0E" w14:textId="77777777" w:rsidR="00561B22" w:rsidRPr="00323151" w:rsidRDefault="00561B22" w:rsidP="00561B22">
      <w:pPr>
        <w:pStyle w:val="Textoindependiente"/>
        <w:tabs>
          <w:tab w:val="left" w:pos="2055"/>
        </w:tabs>
        <w:spacing w:before="5"/>
        <w:rPr>
          <w:rFonts w:ascii="Arial" w:hAnsi="Arial" w:cs="Arial"/>
        </w:rPr>
      </w:pPr>
    </w:p>
    <w:p w14:paraId="057A3D5A" w14:textId="77777777" w:rsidR="00561B22" w:rsidRPr="00274B44" w:rsidRDefault="00561B22" w:rsidP="00561B22">
      <w:pPr>
        <w:pStyle w:val="Textoindependiente"/>
        <w:ind w:right="-50"/>
        <w:jc w:val="center"/>
        <w:rPr>
          <w:rFonts w:ascii="Arial" w:hAnsi="Arial" w:cs="Arial"/>
          <w:b/>
          <w:bCs/>
        </w:rPr>
      </w:pPr>
      <w:r w:rsidRPr="00274B44">
        <w:rPr>
          <w:rFonts w:ascii="Arial" w:hAnsi="Arial" w:cs="Arial"/>
          <w:b/>
          <w:bCs/>
        </w:rPr>
        <w:t>INFORME DE LA AUTOCALIFICACIÓN DEL SISTEMA DE CONTROL INTERNO CONTABLE:</w:t>
      </w:r>
    </w:p>
    <w:p w14:paraId="3D906130" w14:textId="77777777" w:rsidR="00561B22" w:rsidRPr="00274B44"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74B44" w14:paraId="3FD2DF28" w14:textId="77777777" w:rsidTr="00F1223B">
        <w:tc>
          <w:tcPr>
            <w:tcW w:w="4981" w:type="dxa"/>
          </w:tcPr>
          <w:p w14:paraId="66ED50D1"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AUTOCALIFICACIÓN</w:t>
            </w:r>
          </w:p>
        </w:tc>
        <w:tc>
          <w:tcPr>
            <w:tcW w:w="4981" w:type="dxa"/>
          </w:tcPr>
          <w:p w14:paraId="39424EB9" w14:textId="77777777" w:rsidR="00561B22" w:rsidRPr="00274B44" w:rsidRDefault="00561B22" w:rsidP="00F1223B">
            <w:pPr>
              <w:jc w:val="center"/>
              <w:rPr>
                <w:rFonts w:ascii="Arial" w:hAnsi="Arial" w:cs="Arial"/>
                <w:b/>
                <w:sz w:val="22"/>
                <w:szCs w:val="22"/>
                <w:u w:val="single"/>
                <w:lang w:val="es-MX"/>
              </w:rPr>
            </w:pPr>
            <w:r w:rsidRPr="00274B44">
              <w:rPr>
                <w:rFonts w:ascii="Arial" w:hAnsi="Arial" w:cs="Arial"/>
                <w:b/>
                <w:sz w:val="22"/>
                <w:szCs w:val="22"/>
                <w:u w:val="single"/>
                <w:lang w:val="es-MX"/>
              </w:rPr>
              <w:t>3.13</w:t>
            </w:r>
          </w:p>
        </w:tc>
      </w:tr>
    </w:tbl>
    <w:p w14:paraId="17C7D41B" w14:textId="77777777" w:rsidR="00561B22" w:rsidRPr="00274B44" w:rsidRDefault="00561B22" w:rsidP="00561B22">
      <w:pPr>
        <w:pStyle w:val="Textoindependiente"/>
        <w:ind w:right="-50"/>
        <w:jc w:val="both"/>
        <w:rPr>
          <w:rFonts w:ascii="Arial" w:hAnsi="Arial" w:cs="Arial"/>
          <w:b/>
          <w:bCs/>
        </w:rPr>
      </w:pPr>
    </w:p>
    <w:p w14:paraId="6820C9BA" w14:textId="77777777" w:rsidR="00561B22" w:rsidRPr="00274B44" w:rsidRDefault="00561B22" w:rsidP="00561B22">
      <w:pPr>
        <w:pStyle w:val="Textoindependiente"/>
        <w:ind w:right="-50"/>
        <w:jc w:val="both"/>
        <w:rPr>
          <w:rFonts w:ascii="Arial" w:hAnsi="Arial" w:cs="Arial"/>
          <w:b/>
          <w:bCs/>
        </w:rPr>
      </w:pPr>
      <w:r w:rsidRPr="00274B44">
        <w:rPr>
          <w:rFonts w:ascii="Arial" w:hAnsi="Arial" w:cs="Arial"/>
          <w:b/>
          <w:bCs/>
        </w:rPr>
        <w:t>Del informe enviado retomamos lo siguiente:</w:t>
      </w:r>
    </w:p>
    <w:p w14:paraId="4CE7CE12" w14:textId="77777777" w:rsidR="00561B22" w:rsidRPr="00274B4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74B44" w14:paraId="6A18955B" w14:textId="77777777" w:rsidTr="00F1223B">
        <w:tc>
          <w:tcPr>
            <w:tcW w:w="562" w:type="dxa"/>
          </w:tcPr>
          <w:p w14:paraId="73D958C9" w14:textId="77777777" w:rsidR="00561B22" w:rsidRPr="00274B44" w:rsidRDefault="00561B22" w:rsidP="00F1223B">
            <w:pPr>
              <w:ind w:right="-109"/>
              <w:jc w:val="center"/>
              <w:rPr>
                <w:rFonts w:ascii="Arial" w:hAnsi="Arial" w:cs="Arial"/>
                <w:b/>
                <w:sz w:val="22"/>
                <w:szCs w:val="22"/>
                <w:lang w:val="es-MX"/>
              </w:rPr>
            </w:pPr>
            <w:r w:rsidRPr="00274B44">
              <w:rPr>
                <w:rFonts w:ascii="Arial" w:hAnsi="Arial" w:cs="Arial"/>
                <w:b/>
                <w:sz w:val="22"/>
                <w:szCs w:val="22"/>
                <w:lang w:val="es-MX"/>
              </w:rPr>
              <w:t>N°</w:t>
            </w:r>
          </w:p>
        </w:tc>
        <w:tc>
          <w:tcPr>
            <w:tcW w:w="9400" w:type="dxa"/>
          </w:tcPr>
          <w:p w14:paraId="74300576"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DEBILIDADES</w:t>
            </w:r>
          </w:p>
          <w:p w14:paraId="714E762D" w14:textId="77777777" w:rsidR="00561B22" w:rsidRPr="00274B44" w:rsidRDefault="00561B22" w:rsidP="00F1223B">
            <w:pPr>
              <w:jc w:val="center"/>
              <w:rPr>
                <w:rFonts w:ascii="Arial" w:hAnsi="Arial" w:cs="Arial"/>
                <w:b/>
                <w:sz w:val="22"/>
                <w:szCs w:val="22"/>
                <w:lang w:val="es-MX"/>
              </w:rPr>
            </w:pPr>
          </w:p>
        </w:tc>
      </w:tr>
      <w:tr w:rsidR="00561B22" w:rsidRPr="00274B44" w14:paraId="78D5C8C7" w14:textId="77777777" w:rsidTr="00F1223B">
        <w:tc>
          <w:tcPr>
            <w:tcW w:w="562" w:type="dxa"/>
          </w:tcPr>
          <w:p w14:paraId="4C26AB62"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1</w:t>
            </w:r>
          </w:p>
        </w:tc>
        <w:tc>
          <w:tcPr>
            <w:tcW w:w="9400" w:type="dxa"/>
          </w:tcPr>
          <w:p w14:paraId="0289BAF4"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Debilidades en el control interno contable por parte del Comité de sostenibilidad contable al no funcionar como un órgano asesor para el proceso contable, en cuanto a la permanente depuración y cumplimiento en la periodicidad y seguimiento de acuerdo con lo aprobado en las reuniones tal como sé que establece en la normativa.</w:t>
            </w:r>
          </w:p>
        </w:tc>
      </w:tr>
      <w:tr w:rsidR="00561B22" w:rsidRPr="00274B44" w14:paraId="5CC16E43" w14:textId="77777777" w:rsidTr="00F1223B">
        <w:tc>
          <w:tcPr>
            <w:tcW w:w="562" w:type="dxa"/>
          </w:tcPr>
          <w:p w14:paraId="3C846598"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lastRenderedPageBreak/>
              <w:t>2</w:t>
            </w:r>
          </w:p>
        </w:tc>
        <w:tc>
          <w:tcPr>
            <w:tcW w:w="9400" w:type="dxa"/>
          </w:tcPr>
          <w:p w14:paraId="3E3A46F8"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Deficiencia en la revisión de manera periódica de las cuentas reciprocas con otras entidades, a fin de conciliar la información.</w:t>
            </w:r>
          </w:p>
        </w:tc>
      </w:tr>
      <w:tr w:rsidR="00561B22" w:rsidRPr="00274B44" w14:paraId="4158D355" w14:textId="77777777" w:rsidTr="00F1223B">
        <w:tc>
          <w:tcPr>
            <w:tcW w:w="562" w:type="dxa"/>
          </w:tcPr>
          <w:p w14:paraId="03AFD5D6"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3</w:t>
            </w:r>
          </w:p>
        </w:tc>
        <w:tc>
          <w:tcPr>
            <w:tcW w:w="9400" w:type="dxa"/>
          </w:tcPr>
          <w:p w14:paraId="0BAB2FE3"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Si bien es cierto que la Entidad cuenta con el Manual de Políticas Contables, no se encuentran actualizadas de acuerdo con la normatividad expedida por la Contaduría General de la Nación.</w:t>
            </w:r>
          </w:p>
        </w:tc>
      </w:tr>
      <w:tr w:rsidR="00561B22" w:rsidRPr="00274B44" w14:paraId="7D7B9103" w14:textId="77777777" w:rsidTr="00F1223B">
        <w:tc>
          <w:tcPr>
            <w:tcW w:w="562" w:type="dxa"/>
          </w:tcPr>
          <w:p w14:paraId="07B042BE"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4</w:t>
            </w:r>
          </w:p>
        </w:tc>
        <w:tc>
          <w:tcPr>
            <w:tcW w:w="9400" w:type="dxa"/>
          </w:tcPr>
          <w:p w14:paraId="0FFD24DB"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A pesar que existen las directrices para la presentación oportuna de la información financiera, algunas áreas que reportan información al proceso contable, no lo hacen de manera oportuna.</w:t>
            </w:r>
          </w:p>
        </w:tc>
      </w:tr>
      <w:tr w:rsidR="00561B22" w:rsidRPr="00274B44" w14:paraId="06AE9AF4" w14:textId="77777777" w:rsidTr="00F1223B">
        <w:tc>
          <w:tcPr>
            <w:tcW w:w="562" w:type="dxa"/>
          </w:tcPr>
          <w:p w14:paraId="08772DC8"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5</w:t>
            </w:r>
          </w:p>
        </w:tc>
        <w:tc>
          <w:tcPr>
            <w:tcW w:w="9400" w:type="dxa"/>
          </w:tcPr>
          <w:p w14:paraId="5F2417B6"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Falta de documentación que refleje la operatividad contable y la articulación con las áreas entorno a los soportes adecuados, controles de la operación, periodicidad de entrega y responsables.</w:t>
            </w:r>
          </w:p>
        </w:tc>
      </w:tr>
      <w:tr w:rsidR="00561B22" w:rsidRPr="00274B44" w14:paraId="1BDDD0F8" w14:textId="77777777" w:rsidTr="00F1223B">
        <w:tc>
          <w:tcPr>
            <w:tcW w:w="562" w:type="dxa"/>
          </w:tcPr>
          <w:p w14:paraId="737B4373"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6</w:t>
            </w:r>
          </w:p>
        </w:tc>
        <w:tc>
          <w:tcPr>
            <w:tcW w:w="9400" w:type="dxa"/>
          </w:tcPr>
          <w:p w14:paraId="5AD7978D"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Inoportunidad en las conciliaciones, falta de controles que conducen a la falta de legalización de los anticipos entregados a los contratistas como Enterritorio, Fondo Nacional de Salud.</w:t>
            </w:r>
          </w:p>
        </w:tc>
      </w:tr>
      <w:tr w:rsidR="00561B22" w:rsidRPr="00274B44" w14:paraId="7FA99C1F" w14:textId="77777777" w:rsidTr="00F1223B">
        <w:tc>
          <w:tcPr>
            <w:tcW w:w="562" w:type="dxa"/>
          </w:tcPr>
          <w:p w14:paraId="27A67E48"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7</w:t>
            </w:r>
          </w:p>
        </w:tc>
        <w:tc>
          <w:tcPr>
            <w:tcW w:w="9400" w:type="dxa"/>
          </w:tcPr>
          <w:p w14:paraId="39474EDF"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Inadecuado reflejo de las provisiones de los procesos judiciales. Inoportunidad en la entrega y legalización de activos al INPEC.</w:t>
            </w:r>
          </w:p>
        </w:tc>
      </w:tr>
      <w:tr w:rsidR="00561B22" w:rsidRPr="00274B44" w14:paraId="6739C52C" w14:textId="77777777" w:rsidTr="00F1223B">
        <w:tc>
          <w:tcPr>
            <w:tcW w:w="562" w:type="dxa"/>
          </w:tcPr>
          <w:p w14:paraId="28D74CAC"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8</w:t>
            </w:r>
          </w:p>
        </w:tc>
        <w:tc>
          <w:tcPr>
            <w:tcW w:w="9400" w:type="dxa"/>
          </w:tcPr>
          <w:p w14:paraId="66A51C41"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Debilidad en la solicitud y realización de capacitaciones que contribuyan al fortalecimiento y mejoramiento de competencias y habilidades</w:t>
            </w:r>
          </w:p>
        </w:tc>
      </w:tr>
      <w:tr w:rsidR="00561B22" w:rsidRPr="00274B44" w14:paraId="4F77E187" w14:textId="77777777" w:rsidTr="00F1223B">
        <w:tc>
          <w:tcPr>
            <w:tcW w:w="562" w:type="dxa"/>
          </w:tcPr>
          <w:p w14:paraId="2E4E27D7"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9</w:t>
            </w:r>
          </w:p>
        </w:tc>
        <w:tc>
          <w:tcPr>
            <w:tcW w:w="9400" w:type="dxa"/>
          </w:tcPr>
          <w:p w14:paraId="075B2A71"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El proceso financiero no cuenta con un sistema de indicadores que permita analizar e interpretar la realidad financiera en la Entidad</w:t>
            </w:r>
          </w:p>
        </w:tc>
      </w:tr>
      <w:tr w:rsidR="00561B22" w:rsidRPr="00274B44" w14:paraId="3966A220" w14:textId="77777777" w:rsidTr="00F1223B">
        <w:tc>
          <w:tcPr>
            <w:tcW w:w="562" w:type="dxa"/>
          </w:tcPr>
          <w:p w14:paraId="4513E5E3"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10</w:t>
            </w:r>
          </w:p>
        </w:tc>
        <w:tc>
          <w:tcPr>
            <w:tcW w:w="9400" w:type="dxa"/>
          </w:tcPr>
          <w:p w14:paraId="27671A3F"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En cuanto a la rendición de cuentas se debe fortalecer e incluir al proceso financiero para que los EEFF se presenten a las partes interesadas y permitan demostrar la ejecución por parte de la Dirección</w:t>
            </w:r>
          </w:p>
        </w:tc>
      </w:tr>
    </w:tbl>
    <w:p w14:paraId="31668B27" w14:textId="77777777" w:rsidR="00561B22" w:rsidRPr="00274B44" w:rsidRDefault="00561B22" w:rsidP="00561B22">
      <w:pPr>
        <w:pStyle w:val="Textoindependiente"/>
        <w:ind w:right="-50"/>
        <w:jc w:val="both"/>
        <w:rPr>
          <w:rFonts w:ascii="Arial" w:hAnsi="Arial" w:cs="Arial"/>
          <w:b/>
          <w:bCs/>
        </w:rPr>
      </w:pPr>
    </w:p>
    <w:p w14:paraId="45F535BA" w14:textId="77777777" w:rsidR="00561B22" w:rsidRPr="00274B44" w:rsidRDefault="00561B22" w:rsidP="00561B22">
      <w:pPr>
        <w:jc w:val="both"/>
        <w:rPr>
          <w:rFonts w:ascii="Arial" w:hAnsi="Arial" w:cs="Arial"/>
          <w:b/>
          <w:lang w:val="es-MX"/>
        </w:rPr>
      </w:pPr>
      <w:r w:rsidRPr="00274B44">
        <w:rPr>
          <w:rFonts w:ascii="Arial" w:hAnsi="Arial" w:cs="Arial"/>
          <w:b/>
          <w:lang w:val="es-MX"/>
        </w:rPr>
        <w:t>Del citado informe retomamos las siguientes recomendaciones:</w:t>
      </w:r>
    </w:p>
    <w:p w14:paraId="6B1B0340" w14:textId="77777777" w:rsidR="00561B22" w:rsidRPr="00274B4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74B44" w14:paraId="53DE42F6" w14:textId="77777777" w:rsidTr="00F1223B">
        <w:tc>
          <w:tcPr>
            <w:tcW w:w="562" w:type="dxa"/>
          </w:tcPr>
          <w:p w14:paraId="0658908F" w14:textId="77777777" w:rsidR="00561B22" w:rsidRPr="00274B44" w:rsidRDefault="00561B22" w:rsidP="00F1223B">
            <w:pPr>
              <w:ind w:right="-109"/>
              <w:jc w:val="center"/>
              <w:rPr>
                <w:rFonts w:ascii="Arial" w:hAnsi="Arial" w:cs="Arial"/>
                <w:b/>
                <w:sz w:val="22"/>
                <w:szCs w:val="22"/>
                <w:lang w:val="es-MX"/>
              </w:rPr>
            </w:pPr>
            <w:r w:rsidRPr="00274B44">
              <w:rPr>
                <w:rFonts w:ascii="Arial" w:hAnsi="Arial" w:cs="Arial"/>
                <w:b/>
                <w:sz w:val="22"/>
                <w:szCs w:val="22"/>
                <w:lang w:val="es-MX"/>
              </w:rPr>
              <w:t>N°</w:t>
            </w:r>
          </w:p>
        </w:tc>
        <w:tc>
          <w:tcPr>
            <w:tcW w:w="9400" w:type="dxa"/>
          </w:tcPr>
          <w:p w14:paraId="0EAE7D6B"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RECOMENDACIONES</w:t>
            </w:r>
          </w:p>
          <w:p w14:paraId="570E1F94" w14:textId="77777777" w:rsidR="00561B22" w:rsidRPr="00274B44" w:rsidRDefault="00561B22" w:rsidP="00F1223B">
            <w:pPr>
              <w:jc w:val="center"/>
              <w:rPr>
                <w:rFonts w:ascii="Arial" w:hAnsi="Arial" w:cs="Arial"/>
                <w:b/>
                <w:sz w:val="22"/>
                <w:szCs w:val="22"/>
                <w:lang w:val="es-MX"/>
              </w:rPr>
            </w:pPr>
          </w:p>
        </w:tc>
      </w:tr>
      <w:tr w:rsidR="00561B22" w:rsidRPr="00274B44" w14:paraId="1526D3F3" w14:textId="77777777" w:rsidTr="00F1223B">
        <w:tc>
          <w:tcPr>
            <w:tcW w:w="562" w:type="dxa"/>
          </w:tcPr>
          <w:p w14:paraId="10BBBB2D"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1</w:t>
            </w:r>
          </w:p>
        </w:tc>
        <w:tc>
          <w:tcPr>
            <w:tcW w:w="9400" w:type="dxa"/>
          </w:tcPr>
          <w:p w14:paraId="0D085EBB"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Se recomienda que el personal del área financiera se capacite de manera permanente para el cumplimiento de la normatividad conforme al marco normativo para entidades de gobierno.</w:t>
            </w:r>
          </w:p>
        </w:tc>
      </w:tr>
      <w:tr w:rsidR="00561B22" w:rsidRPr="00274B44" w14:paraId="3568B1A1" w14:textId="77777777" w:rsidTr="00F1223B">
        <w:tc>
          <w:tcPr>
            <w:tcW w:w="562" w:type="dxa"/>
          </w:tcPr>
          <w:p w14:paraId="0D9DC49B"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2</w:t>
            </w:r>
          </w:p>
        </w:tc>
        <w:tc>
          <w:tcPr>
            <w:tcW w:w="9400" w:type="dxa"/>
          </w:tcPr>
          <w:p w14:paraId="788C320A"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Se recomienda realizar un plan de mejoramiento con los resultados de este informe, para identificar las causas e implementar acciones correctivas efectivas.</w:t>
            </w:r>
          </w:p>
        </w:tc>
      </w:tr>
      <w:tr w:rsidR="00561B22" w:rsidRPr="00274B44" w14:paraId="6E90BBC1" w14:textId="77777777" w:rsidTr="00F1223B">
        <w:tc>
          <w:tcPr>
            <w:tcW w:w="562" w:type="dxa"/>
          </w:tcPr>
          <w:p w14:paraId="0C733B0B"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3</w:t>
            </w:r>
          </w:p>
        </w:tc>
        <w:tc>
          <w:tcPr>
            <w:tcW w:w="9400" w:type="dxa"/>
          </w:tcPr>
          <w:p w14:paraId="3BACC866"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Se recomienda que tanto las políticas contables como los diferentes manuales y procedimientos, sean revisados periódicamente y actualizados conforme a la última normatividad aplicable</w:t>
            </w:r>
          </w:p>
        </w:tc>
      </w:tr>
      <w:tr w:rsidR="00561B22" w:rsidRPr="00274B44" w14:paraId="7A0BD11C" w14:textId="77777777" w:rsidTr="00F1223B">
        <w:tc>
          <w:tcPr>
            <w:tcW w:w="562" w:type="dxa"/>
          </w:tcPr>
          <w:p w14:paraId="417FDEFD"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4</w:t>
            </w:r>
          </w:p>
        </w:tc>
        <w:tc>
          <w:tcPr>
            <w:tcW w:w="9400" w:type="dxa"/>
          </w:tcPr>
          <w:p w14:paraId="619A5DC2"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Se recomienda que las capacitaciones referentes en materia tributaria y contable sean de calidad, con el fin de que la entidad esté a la vanguardia con las últimas modificaciones tributarias y contables</w:t>
            </w:r>
          </w:p>
        </w:tc>
      </w:tr>
      <w:tr w:rsidR="00561B22" w:rsidRPr="00274B44" w14:paraId="636D2947" w14:textId="77777777" w:rsidTr="00F1223B">
        <w:tc>
          <w:tcPr>
            <w:tcW w:w="562" w:type="dxa"/>
          </w:tcPr>
          <w:p w14:paraId="3262261E"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5</w:t>
            </w:r>
          </w:p>
        </w:tc>
        <w:tc>
          <w:tcPr>
            <w:tcW w:w="9400" w:type="dxa"/>
          </w:tcPr>
          <w:p w14:paraId="7A5D2BFB"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De acuerdo con lo consultado al Ministerio de Hacienda (SIIF) ellos indican que se puede realizar la solicitud para la inclusión de terceros en las cuentas que se requieran y ellos consultan con la Contaduría General de la Nación para identificar la viabilidad de la parametrización</w:t>
            </w:r>
          </w:p>
        </w:tc>
      </w:tr>
      <w:tr w:rsidR="00561B22" w:rsidRPr="00274B44" w14:paraId="3F11DDFB" w14:textId="77777777" w:rsidTr="00F1223B">
        <w:tc>
          <w:tcPr>
            <w:tcW w:w="562" w:type="dxa"/>
          </w:tcPr>
          <w:p w14:paraId="6DD5749D"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6</w:t>
            </w:r>
          </w:p>
        </w:tc>
        <w:tc>
          <w:tcPr>
            <w:tcW w:w="9400" w:type="dxa"/>
          </w:tcPr>
          <w:p w14:paraId="30E7937D"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Implementar un sistema de indicadores financieros que permita analizar y reflejar la realidad económica de la Entidad</w:t>
            </w:r>
          </w:p>
        </w:tc>
      </w:tr>
      <w:tr w:rsidR="00561B22" w:rsidRPr="00274B44" w14:paraId="52EA96EF" w14:textId="77777777" w:rsidTr="00F1223B">
        <w:tc>
          <w:tcPr>
            <w:tcW w:w="562" w:type="dxa"/>
          </w:tcPr>
          <w:p w14:paraId="2B7DA92C" w14:textId="77777777" w:rsidR="00561B22" w:rsidRPr="00274B44" w:rsidRDefault="00561B22" w:rsidP="00F1223B">
            <w:pPr>
              <w:jc w:val="center"/>
              <w:rPr>
                <w:rFonts w:ascii="Arial" w:hAnsi="Arial" w:cs="Arial"/>
                <w:b/>
                <w:sz w:val="22"/>
                <w:szCs w:val="22"/>
                <w:lang w:val="es-MX"/>
              </w:rPr>
            </w:pPr>
            <w:r w:rsidRPr="00274B44">
              <w:rPr>
                <w:rFonts w:ascii="Arial" w:hAnsi="Arial" w:cs="Arial"/>
                <w:b/>
                <w:sz w:val="22"/>
                <w:szCs w:val="22"/>
                <w:lang w:val="es-MX"/>
              </w:rPr>
              <w:t>7</w:t>
            </w:r>
          </w:p>
        </w:tc>
        <w:tc>
          <w:tcPr>
            <w:tcW w:w="9400" w:type="dxa"/>
          </w:tcPr>
          <w:p w14:paraId="0ECFBF4D" w14:textId="77777777" w:rsidR="00561B22" w:rsidRPr="00274B44" w:rsidRDefault="00561B22" w:rsidP="00F1223B">
            <w:pPr>
              <w:jc w:val="both"/>
              <w:rPr>
                <w:rFonts w:ascii="Arial" w:hAnsi="Arial" w:cs="Arial"/>
                <w:sz w:val="22"/>
                <w:szCs w:val="22"/>
                <w:lang w:val="es-MX"/>
              </w:rPr>
            </w:pPr>
            <w:r w:rsidRPr="00274B44">
              <w:rPr>
                <w:rFonts w:ascii="Arial" w:hAnsi="Arial" w:cs="Arial"/>
                <w:sz w:val="22"/>
                <w:szCs w:val="22"/>
                <w:lang w:val="es-MX"/>
              </w:rPr>
              <w:t xml:space="preserve">Realizar y documentar las capacitaciones que se generan al personal que ingresa al proceso contable en la Entidad, frente al manual de políticas contable y las demás establecidas por la Entidad.  </w:t>
            </w:r>
          </w:p>
        </w:tc>
      </w:tr>
    </w:tbl>
    <w:p w14:paraId="0CAD1DE1" w14:textId="77777777" w:rsidR="00561B22" w:rsidRPr="00274B44" w:rsidRDefault="00561B22" w:rsidP="00561B22">
      <w:pPr>
        <w:pStyle w:val="Textoindependiente"/>
        <w:ind w:right="-50"/>
        <w:jc w:val="both"/>
        <w:rPr>
          <w:rFonts w:ascii="Arial" w:hAnsi="Arial" w:cs="Arial"/>
          <w:b/>
          <w:bCs/>
          <w:sz w:val="28"/>
          <w:szCs w:val="28"/>
        </w:rPr>
      </w:pPr>
    </w:p>
    <w:p w14:paraId="685FE60D" w14:textId="77777777" w:rsidR="00561B22" w:rsidRPr="00274B44" w:rsidRDefault="00561B22" w:rsidP="00561B22">
      <w:pPr>
        <w:jc w:val="both"/>
        <w:rPr>
          <w:rFonts w:ascii="Arial" w:hAnsi="Arial" w:cs="Arial"/>
          <w:b/>
          <w:bCs/>
          <w:sz w:val="24"/>
          <w:szCs w:val="24"/>
          <w:lang w:val="es-CO"/>
        </w:rPr>
      </w:pPr>
      <w:r w:rsidRPr="00274B44">
        <w:rPr>
          <w:rFonts w:ascii="Arial" w:hAnsi="Arial" w:cs="Arial"/>
          <w:b/>
          <w:bCs/>
          <w:sz w:val="24"/>
          <w:szCs w:val="24"/>
          <w:lang w:val="es-CO"/>
        </w:rPr>
        <w:t xml:space="preserve">NOTA: LA ENTIDAD ENVIA LA MATRIZ DE AUTOEVALUACIÓN DEL SISTEMA DE CONTROL INTERNO CONTABLE CON ACTIVIDADES DE CONTROL REALIZADAS </w:t>
      </w:r>
      <w:r w:rsidRPr="00274B44">
        <w:rPr>
          <w:rFonts w:ascii="Arial" w:hAnsi="Arial" w:cs="Arial"/>
          <w:b/>
          <w:bCs/>
          <w:sz w:val="24"/>
          <w:szCs w:val="24"/>
          <w:u w:val="single"/>
          <w:lang w:val="es-CO"/>
        </w:rPr>
        <w:t>EN FORMA PARCIAL Y OTRAS SIMPLEMENTE INFORMAN QUE NO SE REALIZARON</w:t>
      </w:r>
      <w:r w:rsidRPr="00274B44">
        <w:rPr>
          <w:rFonts w:ascii="Arial" w:hAnsi="Arial" w:cs="Arial"/>
          <w:b/>
          <w:bCs/>
          <w:sz w:val="24"/>
          <w:szCs w:val="24"/>
          <w:lang w:val="es-CO"/>
        </w:rPr>
        <w:t>.</w:t>
      </w:r>
    </w:p>
    <w:p w14:paraId="42096C18" w14:textId="77777777" w:rsidR="00561B22" w:rsidRDefault="00561B22" w:rsidP="00561B22">
      <w:pPr>
        <w:pStyle w:val="Ttulo1"/>
        <w:spacing w:before="0"/>
        <w:ind w:right="-50"/>
        <w:jc w:val="left"/>
        <w:rPr>
          <w:sz w:val="28"/>
          <w:szCs w:val="28"/>
        </w:rPr>
      </w:pPr>
    </w:p>
    <w:p w14:paraId="7E84B9B8" w14:textId="77777777" w:rsidR="00561B22" w:rsidRPr="002850F8" w:rsidRDefault="00561B22" w:rsidP="00561B22">
      <w:pPr>
        <w:jc w:val="both"/>
        <w:rPr>
          <w:rFonts w:ascii="Arial" w:hAnsi="Arial" w:cs="Arial"/>
          <w:b/>
          <w:sz w:val="28"/>
          <w:szCs w:val="28"/>
          <w:lang w:val="es-MX"/>
        </w:rPr>
      </w:pPr>
      <w:r w:rsidRPr="002850F8">
        <w:rPr>
          <w:rFonts w:ascii="Arial" w:hAnsi="Arial" w:cs="Arial"/>
          <w:b/>
          <w:sz w:val="28"/>
          <w:szCs w:val="28"/>
          <w:lang w:val="es-MX"/>
        </w:rPr>
        <w:t>130.- U.A.E. JUNTA CENTRAL DE CONTADORES.</w:t>
      </w:r>
    </w:p>
    <w:p w14:paraId="44D5C25A" w14:textId="77777777" w:rsidR="00561B22" w:rsidRDefault="00561B22" w:rsidP="00561B22">
      <w:pPr>
        <w:pStyle w:val="Textoindependiente"/>
        <w:ind w:right="-50"/>
        <w:jc w:val="center"/>
        <w:rPr>
          <w:b/>
          <w:bCs/>
          <w:sz w:val="28"/>
          <w:szCs w:val="28"/>
        </w:rPr>
      </w:pPr>
    </w:p>
    <w:p w14:paraId="578DCFEF" w14:textId="77777777" w:rsidR="00561B22" w:rsidRPr="002850F8" w:rsidRDefault="00561B22" w:rsidP="00561B22">
      <w:pPr>
        <w:pStyle w:val="Textoindependiente"/>
        <w:ind w:right="-50"/>
        <w:jc w:val="center"/>
        <w:rPr>
          <w:rFonts w:ascii="Arial" w:hAnsi="Arial" w:cs="Arial"/>
          <w:b/>
          <w:bCs/>
        </w:rPr>
      </w:pPr>
      <w:r w:rsidRPr="002850F8">
        <w:rPr>
          <w:rFonts w:ascii="Arial" w:hAnsi="Arial" w:cs="Arial"/>
          <w:b/>
          <w:bCs/>
        </w:rPr>
        <w:lastRenderedPageBreak/>
        <w:t>INFORME DE LA AUTOCALIFICACIÓN DEL SISTEMA DE CONTROL INTERNO CONTABLE:</w:t>
      </w:r>
    </w:p>
    <w:p w14:paraId="766EEA79" w14:textId="77777777" w:rsidR="00561B22" w:rsidRPr="002850F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850F8" w14:paraId="229ED277" w14:textId="77777777" w:rsidTr="00F1223B">
        <w:tc>
          <w:tcPr>
            <w:tcW w:w="4981" w:type="dxa"/>
          </w:tcPr>
          <w:p w14:paraId="18261E51" w14:textId="77777777" w:rsidR="00561B22" w:rsidRPr="002850F8" w:rsidRDefault="00561B22" w:rsidP="00F1223B">
            <w:pPr>
              <w:jc w:val="center"/>
              <w:rPr>
                <w:rFonts w:ascii="Arial" w:hAnsi="Arial" w:cs="Arial"/>
                <w:b/>
                <w:sz w:val="22"/>
                <w:szCs w:val="22"/>
                <w:lang w:val="es-MX"/>
              </w:rPr>
            </w:pPr>
            <w:r w:rsidRPr="002850F8">
              <w:rPr>
                <w:rFonts w:ascii="Arial" w:hAnsi="Arial" w:cs="Arial"/>
                <w:b/>
                <w:sz w:val="22"/>
                <w:szCs w:val="22"/>
                <w:lang w:val="es-MX"/>
              </w:rPr>
              <w:t>AUTOCALIFICACIÓN</w:t>
            </w:r>
          </w:p>
        </w:tc>
        <w:tc>
          <w:tcPr>
            <w:tcW w:w="4981" w:type="dxa"/>
          </w:tcPr>
          <w:p w14:paraId="0965D4BB" w14:textId="77777777" w:rsidR="00561B22" w:rsidRPr="002850F8" w:rsidRDefault="00561B22" w:rsidP="00F1223B">
            <w:pPr>
              <w:jc w:val="center"/>
              <w:rPr>
                <w:rFonts w:ascii="Arial" w:hAnsi="Arial" w:cs="Arial"/>
                <w:b/>
                <w:sz w:val="22"/>
                <w:szCs w:val="22"/>
                <w:u w:val="single"/>
                <w:lang w:val="es-MX"/>
              </w:rPr>
            </w:pPr>
            <w:r w:rsidRPr="002850F8">
              <w:rPr>
                <w:rFonts w:ascii="Arial" w:hAnsi="Arial" w:cs="Arial"/>
                <w:b/>
                <w:sz w:val="22"/>
                <w:szCs w:val="22"/>
                <w:u w:val="single"/>
                <w:lang w:val="es-MX"/>
              </w:rPr>
              <w:t>4.11</w:t>
            </w:r>
          </w:p>
        </w:tc>
      </w:tr>
    </w:tbl>
    <w:p w14:paraId="41FCF27A" w14:textId="77777777" w:rsidR="00561B22" w:rsidRPr="002850F8" w:rsidRDefault="00561B22" w:rsidP="00561B22">
      <w:pPr>
        <w:pStyle w:val="Textoindependiente"/>
        <w:ind w:right="-50"/>
        <w:jc w:val="both"/>
        <w:rPr>
          <w:rFonts w:ascii="Arial" w:hAnsi="Arial" w:cs="Arial"/>
          <w:b/>
          <w:bCs/>
        </w:rPr>
      </w:pPr>
    </w:p>
    <w:p w14:paraId="1FEF0498" w14:textId="77777777" w:rsidR="00561B22" w:rsidRPr="002850F8" w:rsidRDefault="00561B22" w:rsidP="00561B22">
      <w:pPr>
        <w:pStyle w:val="Textoindependiente"/>
        <w:ind w:right="-50"/>
        <w:jc w:val="both"/>
        <w:rPr>
          <w:rFonts w:ascii="Arial" w:hAnsi="Arial" w:cs="Arial"/>
          <w:b/>
          <w:bCs/>
        </w:rPr>
      </w:pPr>
      <w:r w:rsidRPr="002850F8">
        <w:rPr>
          <w:rFonts w:ascii="Arial" w:hAnsi="Arial" w:cs="Arial"/>
          <w:b/>
          <w:bCs/>
        </w:rPr>
        <w:t>Del informe enviado retomamos lo siguiente:</w:t>
      </w:r>
    </w:p>
    <w:p w14:paraId="2F8FFFA1" w14:textId="77777777" w:rsidR="00561B22" w:rsidRPr="002850F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850F8" w14:paraId="348CC2E7" w14:textId="77777777" w:rsidTr="00F1223B">
        <w:tc>
          <w:tcPr>
            <w:tcW w:w="562" w:type="dxa"/>
          </w:tcPr>
          <w:p w14:paraId="424E971C" w14:textId="77777777" w:rsidR="00561B22" w:rsidRPr="002850F8" w:rsidRDefault="00561B22" w:rsidP="00F1223B">
            <w:pPr>
              <w:ind w:right="-109"/>
              <w:jc w:val="center"/>
              <w:rPr>
                <w:rFonts w:ascii="Arial" w:hAnsi="Arial" w:cs="Arial"/>
                <w:b/>
                <w:sz w:val="22"/>
                <w:szCs w:val="22"/>
                <w:lang w:val="es-MX"/>
              </w:rPr>
            </w:pPr>
            <w:r w:rsidRPr="002850F8">
              <w:rPr>
                <w:rFonts w:ascii="Arial" w:hAnsi="Arial" w:cs="Arial"/>
                <w:b/>
                <w:sz w:val="22"/>
                <w:szCs w:val="22"/>
                <w:lang w:val="es-MX"/>
              </w:rPr>
              <w:t>N°</w:t>
            </w:r>
          </w:p>
        </w:tc>
        <w:tc>
          <w:tcPr>
            <w:tcW w:w="9400" w:type="dxa"/>
          </w:tcPr>
          <w:p w14:paraId="5C07DBEC" w14:textId="77777777" w:rsidR="00561B22" w:rsidRPr="002850F8" w:rsidRDefault="00561B22" w:rsidP="00F1223B">
            <w:pPr>
              <w:jc w:val="center"/>
              <w:rPr>
                <w:rFonts w:ascii="Arial" w:hAnsi="Arial" w:cs="Arial"/>
                <w:b/>
                <w:sz w:val="22"/>
                <w:szCs w:val="22"/>
                <w:lang w:val="es-MX"/>
              </w:rPr>
            </w:pPr>
            <w:r w:rsidRPr="002850F8">
              <w:rPr>
                <w:rFonts w:ascii="Arial" w:hAnsi="Arial" w:cs="Arial"/>
                <w:b/>
                <w:sz w:val="22"/>
                <w:szCs w:val="22"/>
                <w:lang w:val="es-MX"/>
              </w:rPr>
              <w:t>DEBILIDADES</w:t>
            </w:r>
          </w:p>
        </w:tc>
      </w:tr>
      <w:tr w:rsidR="00561B22" w:rsidRPr="002850F8" w14:paraId="459D9A89" w14:textId="77777777" w:rsidTr="00F1223B">
        <w:tc>
          <w:tcPr>
            <w:tcW w:w="562" w:type="dxa"/>
          </w:tcPr>
          <w:p w14:paraId="171DED6A" w14:textId="77777777" w:rsidR="00561B22" w:rsidRPr="002850F8" w:rsidRDefault="00561B22" w:rsidP="00F1223B">
            <w:pPr>
              <w:jc w:val="center"/>
              <w:rPr>
                <w:rFonts w:ascii="Arial" w:hAnsi="Arial" w:cs="Arial"/>
                <w:b/>
                <w:sz w:val="22"/>
                <w:szCs w:val="22"/>
                <w:lang w:val="es-MX"/>
              </w:rPr>
            </w:pPr>
            <w:r w:rsidRPr="002850F8">
              <w:rPr>
                <w:rFonts w:ascii="Arial" w:hAnsi="Arial" w:cs="Arial"/>
                <w:b/>
                <w:sz w:val="22"/>
                <w:szCs w:val="22"/>
                <w:lang w:val="es-MX"/>
              </w:rPr>
              <w:t>1</w:t>
            </w:r>
          </w:p>
        </w:tc>
        <w:tc>
          <w:tcPr>
            <w:tcW w:w="9400" w:type="dxa"/>
          </w:tcPr>
          <w:p w14:paraId="7229B8A6" w14:textId="77777777" w:rsidR="00561B22" w:rsidRPr="002850F8" w:rsidRDefault="00561B22" w:rsidP="00F1223B">
            <w:pPr>
              <w:jc w:val="both"/>
              <w:rPr>
                <w:rFonts w:ascii="Arial" w:hAnsi="Arial" w:cs="Arial"/>
                <w:sz w:val="22"/>
                <w:szCs w:val="22"/>
                <w:lang w:val="es-MX"/>
              </w:rPr>
            </w:pPr>
            <w:r w:rsidRPr="002850F8">
              <w:rPr>
                <w:rFonts w:ascii="Arial" w:hAnsi="Arial" w:cs="Arial"/>
                <w:sz w:val="22"/>
                <w:szCs w:val="22"/>
                <w:lang w:val="es-CO"/>
              </w:rPr>
              <w:t>Rotación del profesional o del apoyo a cargo del proceso contable, que afectan la revisión y análisis de cuentas con mayor profundidad.</w:t>
            </w:r>
          </w:p>
        </w:tc>
      </w:tr>
    </w:tbl>
    <w:p w14:paraId="4A3E58B4" w14:textId="77777777" w:rsidR="00561B22" w:rsidRPr="002850F8" w:rsidRDefault="00561B22" w:rsidP="00561B22">
      <w:pPr>
        <w:jc w:val="both"/>
        <w:rPr>
          <w:rFonts w:ascii="Arial" w:hAnsi="Arial" w:cs="Arial"/>
          <w:b/>
          <w:lang w:val="es-MX"/>
        </w:rPr>
      </w:pPr>
    </w:p>
    <w:p w14:paraId="54DDD08C" w14:textId="77777777" w:rsidR="00561B22" w:rsidRPr="002850F8" w:rsidRDefault="00561B22" w:rsidP="00561B22">
      <w:pPr>
        <w:jc w:val="both"/>
        <w:rPr>
          <w:rFonts w:ascii="Arial" w:hAnsi="Arial" w:cs="Arial"/>
          <w:b/>
          <w:lang w:val="es-MX"/>
        </w:rPr>
      </w:pPr>
      <w:r w:rsidRPr="002850F8">
        <w:rPr>
          <w:rFonts w:ascii="Arial" w:hAnsi="Arial" w:cs="Arial"/>
          <w:b/>
          <w:lang w:val="es-MX"/>
        </w:rPr>
        <w:t>Del citado informe retomamos las siguientes recomendaciones:</w:t>
      </w:r>
    </w:p>
    <w:p w14:paraId="5C967EEC" w14:textId="77777777" w:rsidR="00561B22" w:rsidRPr="002850F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850F8" w14:paraId="0166FD23" w14:textId="77777777" w:rsidTr="00F1223B">
        <w:tc>
          <w:tcPr>
            <w:tcW w:w="562" w:type="dxa"/>
          </w:tcPr>
          <w:p w14:paraId="14900B70" w14:textId="77777777" w:rsidR="00561B22" w:rsidRPr="002850F8" w:rsidRDefault="00561B22" w:rsidP="00F1223B">
            <w:pPr>
              <w:ind w:right="-109"/>
              <w:jc w:val="center"/>
              <w:rPr>
                <w:rFonts w:ascii="Arial" w:hAnsi="Arial" w:cs="Arial"/>
                <w:b/>
                <w:sz w:val="22"/>
                <w:szCs w:val="22"/>
                <w:lang w:val="es-MX"/>
              </w:rPr>
            </w:pPr>
            <w:r w:rsidRPr="002850F8">
              <w:rPr>
                <w:rFonts w:ascii="Arial" w:hAnsi="Arial" w:cs="Arial"/>
                <w:b/>
                <w:sz w:val="22"/>
                <w:szCs w:val="22"/>
                <w:lang w:val="es-MX"/>
              </w:rPr>
              <w:t>N°</w:t>
            </w:r>
          </w:p>
        </w:tc>
        <w:tc>
          <w:tcPr>
            <w:tcW w:w="9400" w:type="dxa"/>
          </w:tcPr>
          <w:p w14:paraId="75138A25" w14:textId="77777777" w:rsidR="00561B22" w:rsidRPr="002850F8" w:rsidRDefault="00561B22" w:rsidP="00F1223B">
            <w:pPr>
              <w:jc w:val="center"/>
              <w:rPr>
                <w:rFonts w:ascii="Arial" w:hAnsi="Arial" w:cs="Arial"/>
                <w:b/>
                <w:sz w:val="22"/>
                <w:szCs w:val="22"/>
                <w:lang w:val="es-MX"/>
              </w:rPr>
            </w:pPr>
            <w:r w:rsidRPr="002850F8">
              <w:rPr>
                <w:rFonts w:ascii="Arial" w:hAnsi="Arial" w:cs="Arial"/>
                <w:b/>
                <w:sz w:val="22"/>
                <w:szCs w:val="22"/>
                <w:lang w:val="es-MX"/>
              </w:rPr>
              <w:t>RECOMENDACIONES</w:t>
            </w:r>
          </w:p>
          <w:p w14:paraId="09A7B211" w14:textId="77777777" w:rsidR="00561B22" w:rsidRPr="002850F8" w:rsidRDefault="00561B22" w:rsidP="00F1223B">
            <w:pPr>
              <w:jc w:val="center"/>
              <w:rPr>
                <w:rFonts w:ascii="Arial" w:hAnsi="Arial" w:cs="Arial"/>
                <w:b/>
                <w:sz w:val="22"/>
                <w:szCs w:val="22"/>
                <w:lang w:val="es-MX"/>
              </w:rPr>
            </w:pPr>
          </w:p>
        </w:tc>
      </w:tr>
      <w:tr w:rsidR="00561B22" w:rsidRPr="002850F8" w14:paraId="05E0C40D" w14:textId="77777777" w:rsidTr="00F1223B">
        <w:tc>
          <w:tcPr>
            <w:tcW w:w="562" w:type="dxa"/>
          </w:tcPr>
          <w:p w14:paraId="6709DBB7" w14:textId="77777777" w:rsidR="00561B22" w:rsidRPr="002850F8" w:rsidRDefault="00561B22" w:rsidP="00F1223B">
            <w:pPr>
              <w:jc w:val="center"/>
              <w:rPr>
                <w:rFonts w:ascii="Arial" w:hAnsi="Arial" w:cs="Arial"/>
                <w:b/>
                <w:sz w:val="22"/>
                <w:szCs w:val="22"/>
                <w:lang w:val="es-MX"/>
              </w:rPr>
            </w:pPr>
            <w:r w:rsidRPr="002850F8">
              <w:rPr>
                <w:rFonts w:ascii="Arial" w:hAnsi="Arial" w:cs="Arial"/>
                <w:b/>
                <w:sz w:val="22"/>
                <w:szCs w:val="22"/>
                <w:lang w:val="es-MX"/>
              </w:rPr>
              <w:t>1</w:t>
            </w:r>
          </w:p>
        </w:tc>
        <w:tc>
          <w:tcPr>
            <w:tcW w:w="9400" w:type="dxa"/>
          </w:tcPr>
          <w:p w14:paraId="003ED793" w14:textId="77777777" w:rsidR="00561B22" w:rsidRPr="002850F8" w:rsidRDefault="00561B22" w:rsidP="00F1223B">
            <w:pPr>
              <w:jc w:val="both"/>
              <w:rPr>
                <w:rFonts w:ascii="Arial" w:hAnsi="Arial" w:cs="Arial"/>
                <w:sz w:val="22"/>
                <w:szCs w:val="22"/>
                <w:lang w:val="es-MX"/>
              </w:rPr>
            </w:pPr>
            <w:r w:rsidRPr="002850F8">
              <w:rPr>
                <w:rFonts w:ascii="Arial" w:hAnsi="Arial" w:cs="Arial"/>
                <w:sz w:val="22"/>
                <w:szCs w:val="22"/>
                <w:lang w:val="es-CO"/>
              </w:rPr>
              <w:t xml:space="preserve">Ajustar las políticas contables y las políticas de operación contable, de la entidad, con base en las últimas actualizaciones al marco normativo aplicable para entidades de gobierno, expedido por la CGN. </w:t>
            </w:r>
          </w:p>
        </w:tc>
      </w:tr>
      <w:tr w:rsidR="00561B22" w:rsidRPr="002850F8" w14:paraId="6050FDEC" w14:textId="77777777" w:rsidTr="00F1223B">
        <w:tc>
          <w:tcPr>
            <w:tcW w:w="562" w:type="dxa"/>
          </w:tcPr>
          <w:p w14:paraId="1ACDC932" w14:textId="77777777" w:rsidR="00561B22" w:rsidRPr="002850F8" w:rsidRDefault="00561B22" w:rsidP="00F1223B">
            <w:pPr>
              <w:jc w:val="center"/>
              <w:rPr>
                <w:rFonts w:ascii="Arial" w:hAnsi="Arial" w:cs="Arial"/>
                <w:b/>
                <w:sz w:val="22"/>
                <w:szCs w:val="22"/>
                <w:lang w:val="es-MX"/>
              </w:rPr>
            </w:pPr>
            <w:r w:rsidRPr="002850F8">
              <w:rPr>
                <w:rFonts w:ascii="Arial" w:hAnsi="Arial" w:cs="Arial"/>
                <w:b/>
                <w:sz w:val="22"/>
                <w:szCs w:val="22"/>
                <w:lang w:val="es-MX"/>
              </w:rPr>
              <w:t>2</w:t>
            </w:r>
          </w:p>
        </w:tc>
        <w:tc>
          <w:tcPr>
            <w:tcW w:w="9400" w:type="dxa"/>
          </w:tcPr>
          <w:p w14:paraId="63AC33ED" w14:textId="77777777" w:rsidR="00561B22" w:rsidRPr="002850F8" w:rsidRDefault="00561B22" w:rsidP="00F1223B">
            <w:pPr>
              <w:jc w:val="both"/>
              <w:rPr>
                <w:rFonts w:ascii="Arial" w:hAnsi="Arial" w:cs="Arial"/>
                <w:sz w:val="22"/>
                <w:szCs w:val="22"/>
                <w:lang w:val="es-MX"/>
              </w:rPr>
            </w:pPr>
            <w:r w:rsidRPr="002850F8">
              <w:rPr>
                <w:rFonts w:ascii="Arial" w:hAnsi="Arial" w:cs="Arial"/>
                <w:sz w:val="22"/>
                <w:szCs w:val="22"/>
                <w:lang w:val="es-CO"/>
              </w:rPr>
              <w:t>Atender las jornadas de capacitación que realice la CGN, con el fin de fortalecer los conocimientos en los últimos cambios normativos en materia contable.</w:t>
            </w:r>
          </w:p>
        </w:tc>
      </w:tr>
    </w:tbl>
    <w:p w14:paraId="1E2A41C5" w14:textId="77777777" w:rsidR="00561B22" w:rsidRPr="002850F8" w:rsidRDefault="00561B22" w:rsidP="00561B22">
      <w:pPr>
        <w:pStyle w:val="Textoindependiente"/>
        <w:ind w:right="-50"/>
        <w:jc w:val="both"/>
        <w:rPr>
          <w:rFonts w:ascii="Arial" w:hAnsi="Arial" w:cs="Arial"/>
          <w:b/>
          <w:bCs/>
        </w:rPr>
      </w:pPr>
    </w:p>
    <w:p w14:paraId="5629DFC8" w14:textId="77777777" w:rsidR="00561B22" w:rsidRPr="002850F8" w:rsidRDefault="00561B22" w:rsidP="00561B22">
      <w:pPr>
        <w:jc w:val="both"/>
        <w:rPr>
          <w:rFonts w:ascii="Arial" w:hAnsi="Arial" w:cs="Arial"/>
          <w:b/>
          <w:bCs/>
          <w:sz w:val="24"/>
          <w:szCs w:val="24"/>
          <w:lang w:val="es-CO"/>
        </w:rPr>
      </w:pPr>
      <w:r w:rsidRPr="002850F8">
        <w:rPr>
          <w:rFonts w:ascii="Arial" w:hAnsi="Arial" w:cs="Arial"/>
          <w:b/>
          <w:bCs/>
          <w:sz w:val="24"/>
          <w:szCs w:val="24"/>
          <w:lang w:val="es-CO"/>
        </w:rPr>
        <w:t xml:space="preserve">NOTA: LA ENTIDAD ENVIA LA MATRIZ DE AUTOEVALUACIÓN DEL SISTEMA DE CONTROL INTERNO CONTABLE CON ACTIVIDADES DE CONTROL REALIZADAS </w:t>
      </w:r>
      <w:r w:rsidRPr="002850F8">
        <w:rPr>
          <w:rFonts w:ascii="Arial" w:hAnsi="Arial" w:cs="Arial"/>
          <w:b/>
          <w:bCs/>
          <w:sz w:val="24"/>
          <w:szCs w:val="24"/>
          <w:u w:val="single"/>
          <w:lang w:val="es-CO"/>
        </w:rPr>
        <w:t>EN FORMA PARCIAL Y OTRAS SIMPLEMENTE INFORMAN QUE NO SE REALIZARON</w:t>
      </w:r>
      <w:r w:rsidRPr="002850F8">
        <w:rPr>
          <w:rFonts w:ascii="Arial" w:hAnsi="Arial" w:cs="Arial"/>
          <w:b/>
          <w:bCs/>
          <w:sz w:val="24"/>
          <w:szCs w:val="24"/>
          <w:lang w:val="es-CO"/>
        </w:rPr>
        <w:t>.</w:t>
      </w:r>
    </w:p>
    <w:p w14:paraId="1F7AE4DC" w14:textId="77777777" w:rsidR="00561B22" w:rsidRPr="002850F8" w:rsidRDefault="00561B22" w:rsidP="00561B22">
      <w:pPr>
        <w:pStyle w:val="Ttulo1"/>
        <w:spacing w:before="0"/>
        <w:ind w:right="-50"/>
        <w:jc w:val="left"/>
        <w:rPr>
          <w:sz w:val="28"/>
          <w:szCs w:val="28"/>
        </w:rPr>
      </w:pPr>
    </w:p>
    <w:p w14:paraId="48AA804C" w14:textId="77777777" w:rsidR="00561B22" w:rsidRPr="00A931FC" w:rsidRDefault="00561B22" w:rsidP="00561B22">
      <w:pPr>
        <w:jc w:val="both"/>
        <w:rPr>
          <w:rFonts w:ascii="Arial" w:hAnsi="Arial" w:cs="Arial"/>
          <w:b/>
          <w:sz w:val="28"/>
          <w:szCs w:val="28"/>
          <w:lang w:val="es-MX"/>
        </w:rPr>
      </w:pPr>
      <w:r w:rsidRPr="00A931FC">
        <w:rPr>
          <w:rFonts w:ascii="Arial" w:hAnsi="Arial" w:cs="Arial"/>
          <w:b/>
          <w:sz w:val="28"/>
          <w:szCs w:val="28"/>
          <w:lang w:val="es-MX"/>
        </w:rPr>
        <w:t>131.- UNIVERSIDAD PEDAGOGICA Y TECNOLOGICA DE COLOMBIA - UPTC.</w:t>
      </w:r>
    </w:p>
    <w:p w14:paraId="5008BC2D" w14:textId="77777777" w:rsidR="00561B22" w:rsidRDefault="00561B22" w:rsidP="00561B22">
      <w:pPr>
        <w:pStyle w:val="Ttulo1"/>
        <w:spacing w:before="0"/>
        <w:ind w:right="-50"/>
        <w:jc w:val="left"/>
        <w:rPr>
          <w:sz w:val="28"/>
          <w:szCs w:val="28"/>
        </w:rPr>
      </w:pPr>
    </w:p>
    <w:p w14:paraId="7A27D8A5" w14:textId="77777777" w:rsidR="00561B22" w:rsidRPr="00AF39A5" w:rsidRDefault="00561B22" w:rsidP="00561B22">
      <w:pPr>
        <w:pStyle w:val="Textoindependiente"/>
        <w:ind w:right="-50"/>
        <w:jc w:val="center"/>
        <w:rPr>
          <w:rFonts w:ascii="Arial" w:hAnsi="Arial" w:cs="Arial"/>
          <w:b/>
          <w:bCs/>
        </w:rPr>
      </w:pPr>
      <w:r w:rsidRPr="00AF39A5">
        <w:rPr>
          <w:rFonts w:ascii="Arial" w:hAnsi="Arial" w:cs="Arial"/>
          <w:b/>
          <w:bCs/>
        </w:rPr>
        <w:t>INFORME DE LA AUTOCALIFICACIÓN DEL SISTEMA DE CONTROL INTERNO CONTABLE:</w:t>
      </w:r>
    </w:p>
    <w:p w14:paraId="65AF2B06" w14:textId="77777777" w:rsidR="00561B22" w:rsidRPr="00AF39A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F39A5" w14:paraId="08F35B10" w14:textId="77777777" w:rsidTr="00F1223B">
        <w:tc>
          <w:tcPr>
            <w:tcW w:w="4981" w:type="dxa"/>
          </w:tcPr>
          <w:p w14:paraId="0C127367"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AUTOCALIFICACIÓN</w:t>
            </w:r>
          </w:p>
        </w:tc>
        <w:tc>
          <w:tcPr>
            <w:tcW w:w="4981" w:type="dxa"/>
          </w:tcPr>
          <w:p w14:paraId="3AE1F150" w14:textId="77777777" w:rsidR="00561B22" w:rsidRPr="00AF39A5" w:rsidRDefault="00561B22" w:rsidP="00F1223B">
            <w:pPr>
              <w:jc w:val="center"/>
              <w:rPr>
                <w:rFonts w:ascii="Arial" w:hAnsi="Arial" w:cs="Arial"/>
                <w:b/>
                <w:sz w:val="22"/>
                <w:szCs w:val="22"/>
                <w:u w:val="single"/>
                <w:lang w:val="es-MX"/>
              </w:rPr>
            </w:pPr>
            <w:r w:rsidRPr="00AF39A5">
              <w:rPr>
                <w:rFonts w:ascii="Arial" w:hAnsi="Arial" w:cs="Arial"/>
                <w:b/>
                <w:sz w:val="22"/>
                <w:szCs w:val="22"/>
                <w:u w:val="single"/>
                <w:lang w:val="es-MX"/>
              </w:rPr>
              <w:t>5.00</w:t>
            </w:r>
          </w:p>
        </w:tc>
      </w:tr>
    </w:tbl>
    <w:p w14:paraId="7AF935D9" w14:textId="77777777" w:rsidR="00561B22" w:rsidRPr="00AF39A5" w:rsidRDefault="00561B22" w:rsidP="00561B22">
      <w:pPr>
        <w:pStyle w:val="Textoindependiente"/>
        <w:ind w:right="-50"/>
        <w:jc w:val="both"/>
        <w:rPr>
          <w:rFonts w:ascii="Arial" w:hAnsi="Arial" w:cs="Arial"/>
          <w:b/>
          <w:bCs/>
        </w:rPr>
      </w:pPr>
    </w:p>
    <w:p w14:paraId="4593B926" w14:textId="77777777" w:rsidR="00561B22" w:rsidRPr="00AF39A5" w:rsidRDefault="00561B22" w:rsidP="00561B22">
      <w:pPr>
        <w:pStyle w:val="Textoindependiente"/>
        <w:ind w:right="-50"/>
        <w:jc w:val="both"/>
        <w:rPr>
          <w:rFonts w:ascii="Arial" w:hAnsi="Arial" w:cs="Arial"/>
          <w:b/>
          <w:bCs/>
        </w:rPr>
      </w:pPr>
      <w:r w:rsidRPr="00AF39A5">
        <w:rPr>
          <w:rFonts w:ascii="Arial" w:hAnsi="Arial" w:cs="Arial"/>
          <w:b/>
          <w:bCs/>
        </w:rPr>
        <w:t>Del informe enviado retomamos lo siguiente:</w:t>
      </w:r>
    </w:p>
    <w:p w14:paraId="4F32AF42" w14:textId="77777777" w:rsidR="00561B22" w:rsidRPr="00AF39A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F39A5" w14:paraId="11A2CACD" w14:textId="77777777" w:rsidTr="00F1223B">
        <w:tc>
          <w:tcPr>
            <w:tcW w:w="562" w:type="dxa"/>
          </w:tcPr>
          <w:p w14:paraId="667A699D" w14:textId="77777777" w:rsidR="00561B22" w:rsidRPr="00AF39A5" w:rsidRDefault="00561B22" w:rsidP="00F1223B">
            <w:pPr>
              <w:ind w:right="-109"/>
              <w:jc w:val="center"/>
              <w:rPr>
                <w:rFonts w:ascii="Arial" w:hAnsi="Arial" w:cs="Arial"/>
                <w:b/>
                <w:sz w:val="22"/>
                <w:szCs w:val="22"/>
                <w:lang w:val="es-MX"/>
              </w:rPr>
            </w:pPr>
            <w:r w:rsidRPr="00AF39A5">
              <w:rPr>
                <w:rFonts w:ascii="Arial" w:hAnsi="Arial" w:cs="Arial"/>
                <w:b/>
                <w:sz w:val="22"/>
                <w:szCs w:val="22"/>
                <w:lang w:val="es-MX"/>
              </w:rPr>
              <w:t>N°</w:t>
            </w:r>
          </w:p>
        </w:tc>
        <w:tc>
          <w:tcPr>
            <w:tcW w:w="9400" w:type="dxa"/>
          </w:tcPr>
          <w:p w14:paraId="0132A8CB"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DEBILIDADES</w:t>
            </w:r>
          </w:p>
          <w:p w14:paraId="0F8237C9" w14:textId="77777777" w:rsidR="00561B22" w:rsidRPr="00AF39A5" w:rsidRDefault="00561B22" w:rsidP="00F1223B">
            <w:pPr>
              <w:jc w:val="center"/>
              <w:rPr>
                <w:rFonts w:ascii="Arial" w:hAnsi="Arial" w:cs="Arial"/>
                <w:b/>
                <w:sz w:val="22"/>
                <w:szCs w:val="22"/>
                <w:lang w:val="es-MX"/>
              </w:rPr>
            </w:pPr>
          </w:p>
        </w:tc>
      </w:tr>
      <w:tr w:rsidR="00561B22" w:rsidRPr="00AF39A5" w14:paraId="5B10ADFF" w14:textId="77777777" w:rsidTr="00F1223B">
        <w:tc>
          <w:tcPr>
            <w:tcW w:w="562" w:type="dxa"/>
          </w:tcPr>
          <w:p w14:paraId="2D4AE2F8"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1</w:t>
            </w:r>
          </w:p>
        </w:tc>
        <w:tc>
          <w:tcPr>
            <w:tcW w:w="9400" w:type="dxa"/>
          </w:tcPr>
          <w:p w14:paraId="2CF200AD"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Insuficiente gestión para la recuperación de cuentas por cobrar de vigencias anteriores.</w:t>
            </w:r>
          </w:p>
        </w:tc>
      </w:tr>
      <w:tr w:rsidR="00561B22" w:rsidRPr="00AF39A5" w14:paraId="3D12D229" w14:textId="77777777" w:rsidTr="00F1223B">
        <w:tc>
          <w:tcPr>
            <w:tcW w:w="562" w:type="dxa"/>
          </w:tcPr>
          <w:p w14:paraId="29EFFA39"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2</w:t>
            </w:r>
          </w:p>
        </w:tc>
        <w:tc>
          <w:tcPr>
            <w:tcW w:w="9400" w:type="dxa"/>
          </w:tcPr>
          <w:p w14:paraId="765F321F"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Las notas a los estados financieros no son concretas ni suficientes para explicar la dinámica de algunas cuentas.</w:t>
            </w:r>
          </w:p>
        </w:tc>
      </w:tr>
      <w:tr w:rsidR="00561B22" w:rsidRPr="00AF39A5" w14:paraId="31B6F21E" w14:textId="77777777" w:rsidTr="00F1223B">
        <w:tc>
          <w:tcPr>
            <w:tcW w:w="562" w:type="dxa"/>
          </w:tcPr>
          <w:p w14:paraId="16155553"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3</w:t>
            </w:r>
          </w:p>
        </w:tc>
        <w:tc>
          <w:tcPr>
            <w:tcW w:w="9400" w:type="dxa"/>
          </w:tcPr>
          <w:p w14:paraId="4B77103E"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Diferencias en los registros de la provisión contable de los procesos judiciales, generando subestimación en los saldos.</w:t>
            </w:r>
          </w:p>
        </w:tc>
      </w:tr>
      <w:tr w:rsidR="00561B22" w:rsidRPr="00AF39A5" w14:paraId="1F5E4356" w14:textId="77777777" w:rsidTr="00F1223B">
        <w:tc>
          <w:tcPr>
            <w:tcW w:w="562" w:type="dxa"/>
          </w:tcPr>
          <w:p w14:paraId="52732956"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4</w:t>
            </w:r>
          </w:p>
        </w:tc>
        <w:tc>
          <w:tcPr>
            <w:tcW w:w="9400" w:type="dxa"/>
          </w:tcPr>
          <w:p w14:paraId="2705AA2D"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La Universidad se encuentra actualizando el procedimiento para realizar el control de los recursos de los convenios, presenta actualizados sus registros contables, pero aún falta ajustar la actualización de los informes por parte de los supervisores o coordinadores encargados de los mismos.</w:t>
            </w:r>
          </w:p>
        </w:tc>
      </w:tr>
    </w:tbl>
    <w:p w14:paraId="7E49FC8D" w14:textId="77777777" w:rsidR="00561B22" w:rsidRPr="00AF39A5" w:rsidRDefault="00561B22" w:rsidP="00561B22">
      <w:pPr>
        <w:pStyle w:val="Textoindependiente"/>
        <w:ind w:right="-50"/>
        <w:jc w:val="both"/>
        <w:rPr>
          <w:rFonts w:ascii="Arial" w:hAnsi="Arial" w:cs="Arial"/>
          <w:b/>
          <w:bCs/>
        </w:rPr>
      </w:pPr>
    </w:p>
    <w:p w14:paraId="776AA3E8" w14:textId="77777777" w:rsidR="00561B22" w:rsidRPr="00AF39A5" w:rsidRDefault="00561B22" w:rsidP="00561B22">
      <w:pPr>
        <w:jc w:val="both"/>
        <w:rPr>
          <w:rFonts w:ascii="Arial" w:hAnsi="Arial" w:cs="Arial"/>
          <w:b/>
          <w:lang w:val="es-MX"/>
        </w:rPr>
      </w:pPr>
      <w:r w:rsidRPr="00AF39A5">
        <w:rPr>
          <w:rFonts w:ascii="Arial" w:hAnsi="Arial" w:cs="Arial"/>
          <w:b/>
          <w:lang w:val="es-MX"/>
        </w:rPr>
        <w:t>Del citado informe retomamos las siguientes recomendaciones:</w:t>
      </w:r>
    </w:p>
    <w:p w14:paraId="511EF0B1" w14:textId="77777777" w:rsidR="00561B22" w:rsidRPr="00AF39A5"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AF39A5" w14:paraId="6821AE13" w14:textId="77777777" w:rsidTr="00F1223B">
        <w:tc>
          <w:tcPr>
            <w:tcW w:w="562" w:type="dxa"/>
          </w:tcPr>
          <w:p w14:paraId="2B04A86B" w14:textId="77777777" w:rsidR="00561B22" w:rsidRPr="00AF39A5" w:rsidRDefault="00561B22" w:rsidP="00F1223B">
            <w:pPr>
              <w:ind w:right="-109"/>
              <w:jc w:val="center"/>
              <w:rPr>
                <w:rFonts w:ascii="Arial" w:hAnsi="Arial" w:cs="Arial"/>
                <w:b/>
                <w:sz w:val="22"/>
                <w:szCs w:val="22"/>
                <w:lang w:val="es-MX"/>
              </w:rPr>
            </w:pPr>
            <w:r w:rsidRPr="00AF39A5">
              <w:rPr>
                <w:rFonts w:ascii="Arial" w:hAnsi="Arial" w:cs="Arial"/>
                <w:b/>
                <w:sz w:val="22"/>
                <w:szCs w:val="22"/>
                <w:lang w:val="es-MX"/>
              </w:rPr>
              <w:t>N°</w:t>
            </w:r>
          </w:p>
        </w:tc>
        <w:tc>
          <w:tcPr>
            <w:tcW w:w="9400" w:type="dxa"/>
          </w:tcPr>
          <w:p w14:paraId="6CBDDCD9"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RECOMENDACIONES</w:t>
            </w:r>
          </w:p>
          <w:p w14:paraId="4ACE51B7" w14:textId="77777777" w:rsidR="00561B22" w:rsidRPr="00AF39A5" w:rsidRDefault="00561B22" w:rsidP="00F1223B">
            <w:pPr>
              <w:jc w:val="center"/>
              <w:rPr>
                <w:rFonts w:ascii="Arial" w:hAnsi="Arial" w:cs="Arial"/>
                <w:b/>
                <w:sz w:val="22"/>
                <w:szCs w:val="22"/>
                <w:lang w:val="es-MX"/>
              </w:rPr>
            </w:pPr>
          </w:p>
        </w:tc>
      </w:tr>
      <w:tr w:rsidR="00561B22" w:rsidRPr="00AF39A5" w14:paraId="70A5DE15" w14:textId="77777777" w:rsidTr="00F1223B">
        <w:tc>
          <w:tcPr>
            <w:tcW w:w="562" w:type="dxa"/>
          </w:tcPr>
          <w:p w14:paraId="6F1FEB83"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1</w:t>
            </w:r>
          </w:p>
        </w:tc>
        <w:tc>
          <w:tcPr>
            <w:tcW w:w="9400" w:type="dxa"/>
          </w:tcPr>
          <w:p w14:paraId="369AEDE9"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 xml:space="preserve">Desarrollar de manera permanente el proceso de capacitación a todos los funcionarios que intervienen en el proceso contable, en el tema de convergencia al nuevo marco normativo expedido por la Contaduría General de la Nación, especialmente Normas Internacionales de </w:t>
            </w:r>
            <w:r w:rsidRPr="00AF39A5">
              <w:rPr>
                <w:rFonts w:ascii="Arial" w:hAnsi="Arial" w:cs="Arial"/>
                <w:sz w:val="22"/>
                <w:szCs w:val="22"/>
                <w:lang w:val="es-CO"/>
              </w:rPr>
              <w:lastRenderedPageBreak/>
              <w:t xml:space="preserve">Contabilidad del Sector Público (NICSP) y procedimiento de Control Interno Contable (Resolución 193 de 2016). </w:t>
            </w:r>
          </w:p>
        </w:tc>
      </w:tr>
      <w:tr w:rsidR="00561B22" w:rsidRPr="00AF39A5" w14:paraId="160FB063" w14:textId="77777777" w:rsidTr="00F1223B">
        <w:tc>
          <w:tcPr>
            <w:tcW w:w="562" w:type="dxa"/>
          </w:tcPr>
          <w:p w14:paraId="2645AEB0"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lastRenderedPageBreak/>
              <w:t>2</w:t>
            </w:r>
          </w:p>
        </w:tc>
        <w:tc>
          <w:tcPr>
            <w:tcW w:w="9400" w:type="dxa"/>
          </w:tcPr>
          <w:p w14:paraId="5A4B4E82"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 xml:space="preserve">Realizar conciliaciones de manera periódica como lo establecen los procedimientos entre las áreas de contabilidad, almacén, jurídica, extensión universitaria (convenios), para mantener la información contable ajustada a la realidad económica de la Universidad. </w:t>
            </w:r>
          </w:p>
        </w:tc>
      </w:tr>
      <w:tr w:rsidR="00561B22" w:rsidRPr="00AF39A5" w14:paraId="4A2E89C6" w14:textId="77777777" w:rsidTr="00F1223B">
        <w:tc>
          <w:tcPr>
            <w:tcW w:w="562" w:type="dxa"/>
          </w:tcPr>
          <w:p w14:paraId="72EE93AA"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3</w:t>
            </w:r>
          </w:p>
        </w:tc>
        <w:tc>
          <w:tcPr>
            <w:tcW w:w="9400" w:type="dxa"/>
          </w:tcPr>
          <w:p w14:paraId="45A3C875"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Seguir implementando medidas para evitar el pago de intereses de mora y reconexiones de servicios públicos en la Universidad, dando aplicación a la Circular No. 024-2022 “Uso racional de los servicios públicos y responsabilidad por concepto de pago de mora en los mismos”</w:t>
            </w:r>
          </w:p>
          <w:p w14:paraId="374E1954"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Continuar gestionando la recuperación de cartera.</w:t>
            </w:r>
          </w:p>
        </w:tc>
      </w:tr>
      <w:tr w:rsidR="00561B22" w:rsidRPr="00AF39A5" w14:paraId="11DC6A58" w14:textId="77777777" w:rsidTr="00F1223B">
        <w:tc>
          <w:tcPr>
            <w:tcW w:w="562" w:type="dxa"/>
          </w:tcPr>
          <w:p w14:paraId="76685E19"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4</w:t>
            </w:r>
          </w:p>
        </w:tc>
        <w:tc>
          <w:tcPr>
            <w:tcW w:w="9400" w:type="dxa"/>
          </w:tcPr>
          <w:p w14:paraId="1CEED7E0"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 xml:space="preserve">Ajustar la actualización de los informes por parte de los supervisores o coordinadores encargados de los convenios. </w:t>
            </w:r>
          </w:p>
        </w:tc>
      </w:tr>
      <w:tr w:rsidR="00561B22" w:rsidRPr="00AF39A5" w14:paraId="60C7473E" w14:textId="77777777" w:rsidTr="00F1223B">
        <w:tc>
          <w:tcPr>
            <w:tcW w:w="562" w:type="dxa"/>
          </w:tcPr>
          <w:p w14:paraId="4FE86DC3"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5</w:t>
            </w:r>
          </w:p>
        </w:tc>
        <w:tc>
          <w:tcPr>
            <w:tcW w:w="9400" w:type="dxa"/>
          </w:tcPr>
          <w:p w14:paraId="22C7A9BC"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Adelantar el proceso de recobro por las incapacidades.</w:t>
            </w:r>
          </w:p>
        </w:tc>
      </w:tr>
      <w:tr w:rsidR="00561B22" w:rsidRPr="00AF39A5" w14:paraId="4BD49A29" w14:textId="77777777" w:rsidTr="00F1223B">
        <w:tc>
          <w:tcPr>
            <w:tcW w:w="562" w:type="dxa"/>
          </w:tcPr>
          <w:p w14:paraId="58050D55" w14:textId="77777777" w:rsidR="00561B22" w:rsidRPr="00AF39A5" w:rsidRDefault="00561B22" w:rsidP="00F1223B">
            <w:pPr>
              <w:jc w:val="center"/>
              <w:rPr>
                <w:rFonts w:ascii="Arial" w:hAnsi="Arial" w:cs="Arial"/>
                <w:b/>
                <w:sz w:val="22"/>
                <w:szCs w:val="22"/>
                <w:lang w:val="es-MX"/>
              </w:rPr>
            </w:pPr>
            <w:r w:rsidRPr="00AF39A5">
              <w:rPr>
                <w:rFonts w:ascii="Arial" w:hAnsi="Arial" w:cs="Arial"/>
                <w:b/>
                <w:sz w:val="22"/>
                <w:szCs w:val="22"/>
                <w:lang w:val="es-MX"/>
              </w:rPr>
              <w:t>6</w:t>
            </w:r>
          </w:p>
        </w:tc>
        <w:tc>
          <w:tcPr>
            <w:tcW w:w="9400" w:type="dxa"/>
          </w:tcPr>
          <w:p w14:paraId="54DD60BA" w14:textId="77777777" w:rsidR="00561B22" w:rsidRPr="00AF39A5" w:rsidRDefault="00561B22" w:rsidP="00F1223B">
            <w:pPr>
              <w:jc w:val="both"/>
              <w:rPr>
                <w:rFonts w:ascii="Arial" w:hAnsi="Arial" w:cs="Arial"/>
                <w:sz w:val="22"/>
                <w:szCs w:val="22"/>
                <w:lang w:val="es-CO"/>
              </w:rPr>
            </w:pPr>
            <w:r w:rsidRPr="00AF39A5">
              <w:rPr>
                <w:rFonts w:ascii="Arial" w:hAnsi="Arial" w:cs="Arial"/>
                <w:sz w:val="22"/>
                <w:szCs w:val="22"/>
                <w:lang w:val="es-CO"/>
              </w:rPr>
              <w:t>Realiza la facturación electrónica por los conceptos de arrendamiento.</w:t>
            </w:r>
          </w:p>
        </w:tc>
      </w:tr>
    </w:tbl>
    <w:p w14:paraId="362AE186" w14:textId="77777777" w:rsidR="00561B22" w:rsidRPr="00AF39A5" w:rsidRDefault="00561B22" w:rsidP="00561B22">
      <w:pPr>
        <w:pStyle w:val="Ttulo1"/>
        <w:spacing w:before="93"/>
        <w:ind w:right="-50"/>
        <w:rPr>
          <w:sz w:val="22"/>
          <w:szCs w:val="22"/>
        </w:rPr>
      </w:pPr>
    </w:p>
    <w:p w14:paraId="261AA839" w14:textId="77777777" w:rsidR="00561B22" w:rsidRDefault="00561B22" w:rsidP="00561B22">
      <w:pPr>
        <w:jc w:val="both"/>
        <w:rPr>
          <w:rFonts w:ascii="Arial" w:hAnsi="Arial" w:cs="Arial"/>
          <w:b/>
          <w:sz w:val="28"/>
          <w:szCs w:val="28"/>
          <w:lang w:val="es-MX"/>
        </w:rPr>
      </w:pPr>
      <w:r w:rsidRPr="009F5F24">
        <w:rPr>
          <w:rFonts w:ascii="Arial" w:hAnsi="Arial" w:cs="Arial"/>
          <w:b/>
          <w:sz w:val="28"/>
          <w:szCs w:val="28"/>
          <w:lang w:val="es-MX"/>
        </w:rPr>
        <w:t xml:space="preserve">132.- </w:t>
      </w:r>
      <w:r w:rsidRPr="009F5F24">
        <w:rPr>
          <w:rFonts w:ascii="Arial" w:hAnsi="Arial" w:cs="Arial"/>
          <w:b/>
          <w:sz w:val="28"/>
          <w:szCs w:val="28"/>
        </w:rPr>
        <w:t>ADMINISTRADORA DE LOS RECURSOS DEL SISTEMA GENERAL DE SEGURIDAD SOCIAL EN SALUD ADRES – UNIDAD DE GESTIÓN GENERAL - UGG</w:t>
      </w:r>
      <w:r w:rsidRPr="009F5F24">
        <w:rPr>
          <w:rFonts w:ascii="Arial" w:hAnsi="Arial" w:cs="Arial"/>
          <w:b/>
          <w:sz w:val="28"/>
          <w:szCs w:val="28"/>
          <w:lang w:val="es-MX"/>
        </w:rPr>
        <w:t>.</w:t>
      </w:r>
    </w:p>
    <w:p w14:paraId="67B464AD" w14:textId="77777777" w:rsidR="00561B22" w:rsidRDefault="00561B22" w:rsidP="00561B22">
      <w:pPr>
        <w:jc w:val="both"/>
        <w:rPr>
          <w:rFonts w:ascii="Arial" w:hAnsi="Arial" w:cs="Arial"/>
          <w:b/>
          <w:sz w:val="28"/>
          <w:szCs w:val="28"/>
          <w:lang w:val="es-MX"/>
        </w:rPr>
      </w:pPr>
    </w:p>
    <w:p w14:paraId="0E87361D" w14:textId="77777777" w:rsidR="00561B22" w:rsidRPr="00E6402B" w:rsidRDefault="00561B22" w:rsidP="00561B22">
      <w:pPr>
        <w:pStyle w:val="Textoindependiente"/>
        <w:ind w:right="-50"/>
        <w:jc w:val="center"/>
        <w:rPr>
          <w:rFonts w:ascii="Arial" w:hAnsi="Arial" w:cs="Arial"/>
          <w:b/>
          <w:bCs/>
        </w:rPr>
      </w:pPr>
      <w:r w:rsidRPr="00E6402B">
        <w:rPr>
          <w:rFonts w:ascii="Arial" w:hAnsi="Arial" w:cs="Arial"/>
          <w:b/>
          <w:bCs/>
        </w:rPr>
        <w:t>INFORME DE LA AUTOCALIFICACIÓN DEL SISTEMA DE CONTROL INTERNO CONTABLE:</w:t>
      </w:r>
    </w:p>
    <w:p w14:paraId="7433B446" w14:textId="77777777" w:rsidR="00561B22" w:rsidRPr="00E6402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6402B" w14:paraId="0054B163" w14:textId="77777777" w:rsidTr="00F1223B">
        <w:tc>
          <w:tcPr>
            <w:tcW w:w="4981" w:type="dxa"/>
          </w:tcPr>
          <w:p w14:paraId="7E97D50A"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AUTOCALIFICACIÓN</w:t>
            </w:r>
          </w:p>
        </w:tc>
        <w:tc>
          <w:tcPr>
            <w:tcW w:w="4981" w:type="dxa"/>
          </w:tcPr>
          <w:p w14:paraId="21D4EB54" w14:textId="77777777" w:rsidR="00561B22" w:rsidRPr="00E6402B" w:rsidRDefault="00561B22" w:rsidP="00F1223B">
            <w:pPr>
              <w:jc w:val="center"/>
              <w:rPr>
                <w:rFonts w:ascii="Arial" w:hAnsi="Arial" w:cs="Arial"/>
                <w:b/>
                <w:sz w:val="22"/>
                <w:szCs w:val="22"/>
                <w:u w:val="single"/>
                <w:lang w:val="es-MX"/>
              </w:rPr>
            </w:pPr>
            <w:r w:rsidRPr="00E6402B">
              <w:rPr>
                <w:rFonts w:ascii="Arial" w:hAnsi="Arial" w:cs="Arial"/>
                <w:b/>
                <w:sz w:val="22"/>
                <w:szCs w:val="22"/>
                <w:u w:val="single"/>
                <w:lang w:val="es-MX"/>
              </w:rPr>
              <w:t>4.94</w:t>
            </w:r>
          </w:p>
        </w:tc>
      </w:tr>
    </w:tbl>
    <w:p w14:paraId="4C25DB76" w14:textId="77777777" w:rsidR="00561B22" w:rsidRPr="00E6402B" w:rsidRDefault="00561B22" w:rsidP="00561B22">
      <w:pPr>
        <w:pStyle w:val="Textoindependiente"/>
        <w:ind w:right="-50"/>
        <w:jc w:val="both"/>
        <w:rPr>
          <w:rFonts w:ascii="Arial" w:hAnsi="Arial" w:cs="Arial"/>
          <w:b/>
          <w:bCs/>
        </w:rPr>
      </w:pPr>
    </w:p>
    <w:p w14:paraId="6361160F" w14:textId="77777777" w:rsidR="00561B22" w:rsidRPr="00E6402B" w:rsidRDefault="00561B22" w:rsidP="00561B22">
      <w:pPr>
        <w:pStyle w:val="Textoindependiente"/>
        <w:ind w:right="-50"/>
        <w:jc w:val="both"/>
        <w:rPr>
          <w:rFonts w:ascii="Arial" w:hAnsi="Arial" w:cs="Arial"/>
          <w:b/>
          <w:bCs/>
        </w:rPr>
      </w:pPr>
      <w:r w:rsidRPr="00E6402B">
        <w:rPr>
          <w:rFonts w:ascii="Arial" w:hAnsi="Arial" w:cs="Arial"/>
          <w:b/>
          <w:bCs/>
        </w:rPr>
        <w:t>Del informe enviado retomamos lo siguiente:</w:t>
      </w:r>
    </w:p>
    <w:p w14:paraId="1E981DA9" w14:textId="77777777" w:rsidR="00561B22" w:rsidRPr="00E6402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6402B" w14:paraId="7D859A79" w14:textId="77777777" w:rsidTr="00F1223B">
        <w:tc>
          <w:tcPr>
            <w:tcW w:w="562" w:type="dxa"/>
          </w:tcPr>
          <w:p w14:paraId="4CB69890" w14:textId="77777777" w:rsidR="00561B22" w:rsidRPr="00E6402B" w:rsidRDefault="00561B22" w:rsidP="00F1223B">
            <w:pPr>
              <w:ind w:right="-109"/>
              <w:jc w:val="center"/>
              <w:rPr>
                <w:rFonts w:ascii="Arial" w:hAnsi="Arial" w:cs="Arial"/>
                <w:b/>
                <w:sz w:val="22"/>
                <w:szCs w:val="22"/>
                <w:lang w:val="es-MX"/>
              </w:rPr>
            </w:pPr>
            <w:r w:rsidRPr="00E6402B">
              <w:rPr>
                <w:rFonts w:ascii="Arial" w:hAnsi="Arial" w:cs="Arial"/>
                <w:b/>
                <w:sz w:val="22"/>
                <w:szCs w:val="22"/>
                <w:lang w:val="es-MX"/>
              </w:rPr>
              <w:t>N°</w:t>
            </w:r>
          </w:p>
        </w:tc>
        <w:tc>
          <w:tcPr>
            <w:tcW w:w="9400" w:type="dxa"/>
          </w:tcPr>
          <w:p w14:paraId="1407A0AF"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DEBILIDADES</w:t>
            </w:r>
          </w:p>
          <w:p w14:paraId="03AC2149" w14:textId="77777777" w:rsidR="00561B22" w:rsidRPr="00E6402B" w:rsidRDefault="00561B22" w:rsidP="00F1223B">
            <w:pPr>
              <w:jc w:val="center"/>
              <w:rPr>
                <w:rFonts w:ascii="Arial" w:hAnsi="Arial" w:cs="Arial"/>
                <w:b/>
                <w:sz w:val="22"/>
                <w:szCs w:val="22"/>
                <w:lang w:val="es-MX"/>
              </w:rPr>
            </w:pPr>
          </w:p>
        </w:tc>
      </w:tr>
      <w:tr w:rsidR="00561B22" w:rsidRPr="00E6402B" w14:paraId="36D136D0" w14:textId="77777777" w:rsidTr="00F1223B">
        <w:tc>
          <w:tcPr>
            <w:tcW w:w="562" w:type="dxa"/>
          </w:tcPr>
          <w:p w14:paraId="09841390"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1</w:t>
            </w:r>
          </w:p>
        </w:tc>
        <w:tc>
          <w:tcPr>
            <w:tcW w:w="9400" w:type="dxa"/>
          </w:tcPr>
          <w:p w14:paraId="2AEF3BAD"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La Unidad de Gestión General aplicó el Manual de Políticas Contables de la ADRES. Sin embargo, se debe continuar trabajando en los planes de mejoramiento según las fechas definidas.</w:t>
            </w:r>
          </w:p>
        </w:tc>
      </w:tr>
      <w:tr w:rsidR="00561B22" w:rsidRPr="00E6402B" w14:paraId="0BBD7B15" w14:textId="77777777" w:rsidTr="00F1223B">
        <w:tc>
          <w:tcPr>
            <w:tcW w:w="562" w:type="dxa"/>
          </w:tcPr>
          <w:p w14:paraId="133090AC"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2</w:t>
            </w:r>
          </w:p>
        </w:tc>
        <w:tc>
          <w:tcPr>
            <w:tcW w:w="9400" w:type="dxa"/>
          </w:tcPr>
          <w:p w14:paraId="492AD86C"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El inventario lo administra el Grupo de Administración y Gestión Documental, se definió el procedimiento del manejo y control de activos intangibles con DGTIC, por ser un insumo del manejo contable, el cual se debe socializar con todas las dependencias de la entidad.</w:t>
            </w:r>
          </w:p>
        </w:tc>
      </w:tr>
      <w:tr w:rsidR="00561B22" w:rsidRPr="00E6402B" w14:paraId="5C8788D3" w14:textId="77777777" w:rsidTr="00F1223B">
        <w:tc>
          <w:tcPr>
            <w:tcW w:w="562" w:type="dxa"/>
          </w:tcPr>
          <w:p w14:paraId="7F2791EB"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3</w:t>
            </w:r>
          </w:p>
        </w:tc>
        <w:tc>
          <w:tcPr>
            <w:tcW w:w="9400" w:type="dxa"/>
          </w:tcPr>
          <w:p w14:paraId="2C15D48A"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Aun cuando la Unidad de Gestión General – UGG tiene mapa de riesgos y controles del proceso actualizado, se debe seguir fortaleciendo con otros riesgos y controles del proceso actualizado, se debe seguir fortaleciendo con otros riesgos de índole contable.</w:t>
            </w:r>
          </w:p>
        </w:tc>
      </w:tr>
      <w:tr w:rsidR="00561B22" w:rsidRPr="00E6402B" w14:paraId="09E356F3" w14:textId="77777777" w:rsidTr="00F1223B">
        <w:tc>
          <w:tcPr>
            <w:tcW w:w="562" w:type="dxa"/>
          </w:tcPr>
          <w:p w14:paraId="5698E68F"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4</w:t>
            </w:r>
          </w:p>
        </w:tc>
        <w:tc>
          <w:tcPr>
            <w:tcW w:w="9400" w:type="dxa"/>
          </w:tcPr>
          <w:p w14:paraId="42D1E8F8"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Se debe continuar con la socialización de los procesos, procedimientos, políticas en el proceso contable entre los funcionarios que hacen parte de la UGG y disponer de las evidencias.</w:t>
            </w:r>
          </w:p>
        </w:tc>
      </w:tr>
      <w:tr w:rsidR="00561B22" w:rsidRPr="00E6402B" w14:paraId="49BF7D13" w14:textId="77777777" w:rsidTr="00F1223B">
        <w:tc>
          <w:tcPr>
            <w:tcW w:w="562" w:type="dxa"/>
          </w:tcPr>
          <w:p w14:paraId="718B6E7C"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5</w:t>
            </w:r>
          </w:p>
        </w:tc>
        <w:tc>
          <w:tcPr>
            <w:tcW w:w="9400" w:type="dxa"/>
          </w:tcPr>
          <w:p w14:paraId="0D1A6C75"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Igualmente se debe continuar con la revisión de las cuentas contables de incapacidades y licencias para la depuración de partidas pendientes.</w:t>
            </w:r>
          </w:p>
        </w:tc>
      </w:tr>
    </w:tbl>
    <w:p w14:paraId="522E210F" w14:textId="77777777" w:rsidR="00561B22" w:rsidRPr="00E6402B" w:rsidRDefault="00561B22" w:rsidP="00561B22">
      <w:pPr>
        <w:pStyle w:val="Textoindependiente"/>
        <w:ind w:right="-50"/>
        <w:jc w:val="both"/>
        <w:rPr>
          <w:rFonts w:ascii="Arial" w:hAnsi="Arial" w:cs="Arial"/>
          <w:b/>
          <w:bCs/>
        </w:rPr>
      </w:pPr>
    </w:p>
    <w:p w14:paraId="4EB73083" w14:textId="77777777" w:rsidR="00561B22" w:rsidRPr="00E6402B" w:rsidRDefault="00561B22" w:rsidP="00561B22">
      <w:pPr>
        <w:jc w:val="both"/>
        <w:rPr>
          <w:rFonts w:ascii="Arial" w:hAnsi="Arial" w:cs="Arial"/>
          <w:b/>
          <w:lang w:val="es-MX"/>
        </w:rPr>
      </w:pPr>
      <w:r w:rsidRPr="00E6402B">
        <w:rPr>
          <w:rFonts w:ascii="Arial" w:hAnsi="Arial" w:cs="Arial"/>
          <w:b/>
          <w:lang w:val="es-MX"/>
        </w:rPr>
        <w:t>Del citado informe retomamos las siguientes recomendaciones:</w:t>
      </w:r>
    </w:p>
    <w:p w14:paraId="64CCF94A" w14:textId="77777777" w:rsidR="00561B22" w:rsidRPr="00E6402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6402B" w14:paraId="1D5568C5" w14:textId="77777777" w:rsidTr="00F1223B">
        <w:tc>
          <w:tcPr>
            <w:tcW w:w="562" w:type="dxa"/>
          </w:tcPr>
          <w:p w14:paraId="268474B6" w14:textId="77777777" w:rsidR="00561B22" w:rsidRPr="00E6402B" w:rsidRDefault="00561B22" w:rsidP="00F1223B">
            <w:pPr>
              <w:ind w:right="-109"/>
              <w:jc w:val="center"/>
              <w:rPr>
                <w:rFonts w:ascii="Arial" w:hAnsi="Arial" w:cs="Arial"/>
                <w:b/>
                <w:sz w:val="22"/>
                <w:szCs w:val="22"/>
                <w:lang w:val="es-MX"/>
              </w:rPr>
            </w:pPr>
            <w:r w:rsidRPr="00E6402B">
              <w:rPr>
                <w:rFonts w:ascii="Arial" w:hAnsi="Arial" w:cs="Arial"/>
                <w:b/>
                <w:sz w:val="22"/>
                <w:szCs w:val="22"/>
                <w:lang w:val="es-MX"/>
              </w:rPr>
              <w:t>N°</w:t>
            </w:r>
          </w:p>
        </w:tc>
        <w:tc>
          <w:tcPr>
            <w:tcW w:w="9400" w:type="dxa"/>
          </w:tcPr>
          <w:p w14:paraId="427E2204"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RECOMENDACIONES</w:t>
            </w:r>
          </w:p>
          <w:p w14:paraId="7BEBBA42" w14:textId="77777777" w:rsidR="00561B22" w:rsidRPr="00E6402B" w:rsidRDefault="00561B22" w:rsidP="00F1223B">
            <w:pPr>
              <w:jc w:val="center"/>
              <w:rPr>
                <w:rFonts w:ascii="Arial" w:hAnsi="Arial" w:cs="Arial"/>
                <w:b/>
                <w:sz w:val="22"/>
                <w:szCs w:val="22"/>
                <w:lang w:val="es-MX"/>
              </w:rPr>
            </w:pPr>
          </w:p>
        </w:tc>
      </w:tr>
      <w:tr w:rsidR="00561B22" w:rsidRPr="00E6402B" w14:paraId="6EBA665A" w14:textId="77777777" w:rsidTr="00F1223B">
        <w:tc>
          <w:tcPr>
            <w:tcW w:w="562" w:type="dxa"/>
          </w:tcPr>
          <w:p w14:paraId="70A10B88"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1</w:t>
            </w:r>
          </w:p>
        </w:tc>
        <w:tc>
          <w:tcPr>
            <w:tcW w:w="9400" w:type="dxa"/>
          </w:tcPr>
          <w:p w14:paraId="6D44428F"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Continuar con el fortalecimiento del procedimiento del manejo y control de activos intangibles por parte de la DAF con DGTIC, realizando la socialización con las dependencias.</w:t>
            </w:r>
          </w:p>
        </w:tc>
      </w:tr>
      <w:tr w:rsidR="00561B22" w:rsidRPr="00E6402B" w14:paraId="6C768154" w14:textId="77777777" w:rsidTr="00F1223B">
        <w:tc>
          <w:tcPr>
            <w:tcW w:w="562" w:type="dxa"/>
          </w:tcPr>
          <w:p w14:paraId="7FF57504"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2</w:t>
            </w:r>
          </w:p>
        </w:tc>
        <w:tc>
          <w:tcPr>
            <w:tcW w:w="9400" w:type="dxa"/>
          </w:tcPr>
          <w:p w14:paraId="06971112"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La Unidad de Gestión General debe continuar trabajando en los planes de mejoramiento según las fechas establecidas en el aplicativo EUREKA.</w:t>
            </w:r>
          </w:p>
        </w:tc>
      </w:tr>
      <w:tr w:rsidR="00561B22" w:rsidRPr="00E6402B" w14:paraId="69510A91" w14:textId="77777777" w:rsidTr="00F1223B">
        <w:tc>
          <w:tcPr>
            <w:tcW w:w="562" w:type="dxa"/>
          </w:tcPr>
          <w:p w14:paraId="194C70A6"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3</w:t>
            </w:r>
          </w:p>
        </w:tc>
        <w:tc>
          <w:tcPr>
            <w:tcW w:w="9400" w:type="dxa"/>
          </w:tcPr>
          <w:p w14:paraId="248A50F8"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 xml:space="preserve">Se sugiere que en el mapa de riesgos del proceso contable se continúe con la identificación de otros riesgos de índole contable, aplicando la guía metodológica de administración de riesgos </w:t>
            </w:r>
            <w:r w:rsidRPr="00E6402B">
              <w:rPr>
                <w:rFonts w:ascii="Arial" w:hAnsi="Arial" w:cs="Arial"/>
                <w:sz w:val="22"/>
                <w:szCs w:val="22"/>
                <w:lang w:val="es-MX"/>
              </w:rPr>
              <w:lastRenderedPageBreak/>
              <w:t>versión 6 de la Función Pública.</w:t>
            </w:r>
          </w:p>
        </w:tc>
      </w:tr>
      <w:tr w:rsidR="00561B22" w:rsidRPr="00E6402B" w14:paraId="420F2DEC" w14:textId="77777777" w:rsidTr="00F1223B">
        <w:tc>
          <w:tcPr>
            <w:tcW w:w="562" w:type="dxa"/>
          </w:tcPr>
          <w:p w14:paraId="650F39A9"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lastRenderedPageBreak/>
              <w:t>4</w:t>
            </w:r>
          </w:p>
        </w:tc>
        <w:tc>
          <w:tcPr>
            <w:tcW w:w="9400" w:type="dxa"/>
          </w:tcPr>
          <w:p w14:paraId="1423F232" w14:textId="1D3A9C0A"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 xml:space="preserve">Se recomienda continuar con las capacitaciones para todos los funcionarios que hacen parte del proceso contable de la </w:t>
            </w:r>
            <w:r w:rsidR="0008150C" w:rsidRPr="00E6402B">
              <w:rPr>
                <w:rFonts w:ascii="Arial" w:hAnsi="Arial" w:cs="Arial"/>
                <w:sz w:val="22"/>
                <w:szCs w:val="22"/>
                <w:lang w:val="es-MX"/>
              </w:rPr>
              <w:t>UGG y</w:t>
            </w:r>
            <w:r w:rsidRPr="00E6402B">
              <w:rPr>
                <w:rFonts w:ascii="Arial" w:hAnsi="Arial" w:cs="Arial"/>
                <w:sz w:val="22"/>
                <w:szCs w:val="22"/>
                <w:lang w:val="es-MX"/>
              </w:rPr>
              <w:t xml:space="preserve"> dejar los soportes de su realización.</w:t>
            </w:r>
          </w:p>
        </w:tc>
      </w:tr>
      <w:tr w:rsidR="00561B22" w:rsidRPr="00E6402B" w14:paraId="0AF95748" w14:textId="77777777" w:rsidTr="00F1223B">
        <w:tc>
          <w:tcPr>
            <w:tcW w:w="562" w:type="dxa"/>
          </w:tcPr>
          <w:p w14:paraId="5B6194B1" w14:textId="77777777" w:rsidR="00561B22" w:rsidRPr="00E6402B" w:rsidRDefault="00561B22" w:rsidP="00F1223B">
            <w:pPr>
              <w:jc w:val="center"/>
              <w:rPr>
                <w:rFonts w:ascii="Arial" w:hAnsi="Arial" w:cs="Arial"/>
                <w:b/>
                <w:sz w:val="22"/>
                <w:szCs w:val="22"/>
                <w:lang w:val="es-MX"/>
              </w:rPr>
            </w:pPr>
            <w:r w:rsidRPr="00E6402B">
              <w:rPr>
                <w:rFonts w:ascii="Arial" w:hAnsi="Arial" w:cs="Arial"/>
                <w:b/>
                <w:sz w:val="22"/>
                <w:szCs w:val="22"/>
                <w:lang w:val="es-MX"/>
              </w:rPr>
              <w:t>5</w:t>
            </w:r>
          </w:p>
        </w:tc>
        <w:tc>
          <w:tcPr>
            <w:tcW w:w="9400" w:type="dxa"/>
          </w:tcPr>
          <w:p w14:paraId="499241F6" w14:textId="77777777" w:rsidR="00561B22" w:rsidRPr="00E6402B" w:rsidRDefault="00561B22" w:rsidP="00F1223B">
            <w:pPr>
              <w:jc w:val="both"/>
              <w:rPr>
                <w:rFonts w:ascii="Arial" w:hAnsi="Arial" w:cs="Arial"/>
                <w:sz w:val="22"/>
                <w:szCs w:val="22"/>
                <w:lang w:val="es-MX"/>
              </w:rPr>
            </w:pPr>
            <w:r w:rsidRPr="00E6402B">
              <w:rPr>
                <w:rFonts w:ascii="Arial" w:hAnsi="Arial" w:cs="Arial"/>
                <w:sz w:val="22"/>
                <w:szCs w:val="22"/>
                <w:lang w:val="es-MX"/>
              </w:rPr>
              <w:t>Se debe continuar con la depuración de las partidas contables de incapacidades y licencias hasta su depuración, con el fin de realizar el deterioro o llevar al retiro de esas partidas de los estados financieros de la UGG, a través de Comité de Sostenibilidad Contable.</w:t>
            </w:r>
          </w:p>
        </w:tc>
      </w:tr>
    </w:tbl>
    <w:p w14:paraId="1A9621A0" w14:textId="77777777" w:rsidR="00561B22" w:rsidRPr="00E6402B" w:rsidRDefault="00561B22" w:rsidP="00561B22">
      <w:pPr>
        <w:jc w:val="both"/>
        <w:rPr>
          <w:rFonts w:ascii="Arial" w:hAnsi="Arial" w:cs="Arial"/>
          <w:b/>
          <w:bCs/>
          <w:sz w:val="24"/>
          <w:szCs w:val="24"/>
          <w:lang w:val="es-CO"/>
        </w:rPr>
      </w:pPr>
      <w:r w:rsidRPr="00E6402B">
        <w:rPr>
          <w:rFonts w:ascii="Arial" w:hAnsi="Arial" w:cs="Arial"/>
          <w:b/>
          <w:bCs/>
          <w:sz w:val="24"/>
          <w:szCs w:val="24"/>
          <w:lang w:val="es-CO"/>
        </w:rPr>
        <w:t xml:space="preserve">NOTA: LA ENTIDAD ENVIA LA MATRIZ DE AUTOEVALUACIÓN DEL SISTEMA DE CONTROL INTERNO CONTABLE CON </w:t>
      </w:r>
      <w:r w:rsidRPr="00E6402B">
        <w:rPr>
          <w:rFonts w:ascii="Arial" w:hAnsi="Arial" w:cs="Arial"/>
          <w:b/>
          <w:bCs/>
          <w:sz w:val="24"/>
          <w:szCs w:val="24"/>
          <w:u w:val="single"/>
          <w:lang w:val="es-CO"/>
        </w:rPr>
        <w:t>ACTIVIDADES DE CONTROL REALIZADAS EN FORMA PARCIAL</w:t>
      </w:r>
      <w:r w:rsidRPr="00E6402B">
        <w:rPr>
          <w:rFonts w:ascii="Arial" w:hAnsi="Arial" w:cs="Arial"/>
          <w:b/>
          <w:bCs/>
          <w:sz w:val="24"/>
          <w:szCs w:val="24"/>
          <w:lang w:val="es-CO"/>
        </w:rPr>
        <w:t>.</w:t>
      </w:r>
    </w:p>
    <w:p w14:paraId="0C94C102" w14:textId="77777777" w:rsidR="00561B22" w:rsidRPr="00E6402B" w:rsidRDefault="00561B22" w:rsidP="00561B22">
      <w:pPr>
        <w:jc w:val="both"/>
        <w:rPr>
          <w:rFonts w:ascii="Arial" w:hAnsi="Arial" w:cs="Arial"/>
          <w:b/>
          <w:sz w:val="28"/>
          <w:szCs w:val="28"/>
          <w:lang w:val="es-CO"/>
        </w:rPr>
      </w:pPr>
    </w:p>
    <w:p w14:paraId="41BD20F3" w14:textId="77777777" w:rsidR="00561B22" w:rsidRPr="00E72CAC" w:rsidRDefault="00561B22" w:rsidP="00561B22">
      <w:pPr>
        <w:pStyle w:val="Ttulo1"/>
        <w:spacing w:before="0"/>
        <w:ind w:right="-50"/>
        <w:jc w:val="left"/>
        <w:rPr>
          <w:sz w:val="28"/>
          <w:szCs w:val="28"/>
          <w:lang w:val="es-CO"/>
        </w:rPr>
      </w:pPr>
      <w:r w:rsidRPr="00E72CAC">
        <w:rPr>
          <w:sz w:val="28"/>
          <w:szCs w:val="28"/>
          <w:lang w:val="es-MX"/>
        </w:rPr>
        <w:t>133.- FONDO ADAPTACIÓN.</w:t>
      </w:r>
    </w:p>
    <w:p w14:paraId="0FA5DF19" w14:textId="77777777" w:rsidR="00561B22" w:rsidRPr="00E6402B" w:rsidRDefault="00561B22" w:rsidP="00561B22">
      <w:pPr>
        <w:pStyle w:val="Ttulo1"/>
        <w:spacing w:before="93"/>
        <w:ind w:right="-50"/>
        <w:jc w:val="left"/>
        <w:rPr>
          <w:sz w:val="22"/>
          <w:szCs w:val="22"/>
          <w:lang w:val="es-MX"/>
        </w:rPr>
      </w:pPr>
    </w:p>
    <w:p w14:paraId="696C8D3C" w14:textId="77777777" w:rsidR="00561B22" w:rsidRPr="00E72CAC" w:rsidRDefault="00561B22" w:rsidP="00561B22">
      <w:pPr>
        <w:pStyle w:val="Textoindependiente"/>
        <w:ind w:right="-50"/>
        <w:jc w:val="center"/>
        <w:rPr>
          <w:rFonts w:ascii="Arial" w:hAnsi="Arial" w:cs="Arial"/>
          <w:b/>
          <w:bCs/>
        </w:rPr>
      </w:pPr>
      <w:r w:rsidRPr="00E72CAC">
        <w:rPr>
          <w:rFonts w:ascii="Arial" w:hAnsi="Arial" w:cs="Arial"/>
          <w:b/>
          <w:bCs/>
        </w:rPr>
        <w:t>INFORME DE LA AUTOCALIFICACIÓN DEL SISTEMA DE CONTROL INTERNO CONTABLE:</w:t>
      </w:r>
    </w:p>
    <w:p w14:paraId="047317C2" w14:textId="77777777" w:rsidR="00561B22" w:rsidRPr="00E72CA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72CAC" w14:paraId="6516AA0B" w14:textId="77777777" w:rsidTr="00F1223B">
        <w:tc>
          <w:tcPr>
            <w:tcW w:w="4981" w:type="dxa"/>
          </w:tcPr>
          <w:p w14:paraId="4E63229A"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AUTOCALIFICACIÓN</w:t>
            </w:r>
          </w:p>
        </w:tc>
        <w:tc>
          <w:tcPr>
            <w:tcW w:w="4981" w:type="dxa"/>
          </w:tcPr>
          <w:p w14:paraId="4C333F78" w14:textId="77777777" w:rsidR="00561B22" w:rsidRPr="00E72CAC" w:rsidRDefault="00561B22" w:rsidP="00F1223B">
            <w:pPr>
              <w:jc w:val="center"/>
              <w:rPr>
                <w:rFonts w:ascii="Arial" w:hAnsi="Arial" w:cs="Arial"/>
                <w:b/>
                <w:sz w:val="22"/>
                <w:szCs w:val="22"/>
                <w:u w:val="single"/>
                <w:lang w:val="es-MX"/>
              </w:rPr>
            </w:pPr>
            <w:r w:rsidRPr="00E72CAC">
              <w:rPr>
                <w:rFonts w:ascii="Arial" w:hAnsi="Arial" w:cs="Arial"/>
                <w:b/>
                <w:sz w:val="22"/>
                <w:szCs w:val="22"/>
                <w:u w:val="single"/>
                <w:lang w:val="es-MX"/>
              </w:rPr>
              <w:t>4.61</w:t>
            </w:r>
          </w:p>
        </w:tc>
      </w:tr>
    </w:tbl>
    <w:p w14:paraId="318664D4" w14:textId="77777777" w:rsidR="00561B22" w:rsidRPr="00E72CAC" w:rsidRDefault="00561B22" w:rsidP="00561B22">
      <w:pPr>
        <w:pStyle w:val="Textoindependiente"/>
        <w:ind w:right="-50"/>
        <w:jc w:val="both"/>
        <w:rPr>
          <w:rFonts w:ascii="Arial" w:hAnsi="Arial" w:cs="Arial"/>
          <w:b/>
          <w:bCs/>
        </w:rPr>
      </w:pPr>
    </w:p>
    <w:p w14:paraId="0BD6E406" w14:textId="77777777" w:rsidR="00561B22" w:rsidRPr="00E72CAC" w:rsidRDefault="00561B22" w:rsidP="00561B22">
      <w:pPr>
        <w:pStyle w:val="Textoindependiente"/>
        <w:ind w:right="-50"/>
        <w:jc w:val="both"/>
        <w:rPr>
          <w:rFonts w:ascii="Arial" w:hAnsi="Arial" w:cs="Arial"/>
          <w:b/>
          <w:bCs/>
        </w:rPr>
      </w:pPr>
      <w:r w:rsidRPr="00E72CAC">
        <w:rPr>
          <w:rFonts w:ascii="Arial" w:hAnsi="Arial" w:cs="Arial"/>
          <w:b/>
          <w:bCs/>
        </w:rPr>
        <w:t>Del informe enviado retomamos lo siguiente:</w:t>
      </w:r>
    </w:p>
    <w:p w14:paraId="4DF666D6" w14:textId="77777777" w:rsidR="00561B22" w:rsidRPr="00E72CA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72CAC" w14:paraId="5A75E9BD" w14:textId="77777777" w:rsidTr="00F1223B">
        <w:tc>
          <w:tcPr>
            <w:tcW w:w="562" w:type="dxa"/>
          </w:tcPr>
          <w:p w14:paraId="00D4037A" w14:textId="77777777" w:rsidR="00561B22" w:rsidRPr="00E72CAC" w:rsidRDefault="00561B22" w:rsidP="00F1223B">
            <w:pPr>
              <w:ind w:right="-109"/>
              <w:jc w:val="center"/>
              <w:rPr>
                <w:rFonts w:ascii="Arial" w:hAnsi="Arial" w:cs="Arial"/>
                <w:b/>
                <w:sz w:val="22"/>
                <w:szCs w:val="22"/>
                <w:lang w:val="es-MX"/>
              </w:rPr>
            </w:pPr>
            <w:r w:rsidRPr="00E72CAC">
              <w:rPr>
                <w:rFonts w:ascii="Arial" w:hAnsi="Arial" w:cs="Arial"/>
                <w:b/>
                <w:sz w:val="22"/>
                <w:szCs w:val="22"/>
                <w:lang w:val="es-MX"/>
              </w:rPr>
              <w:t>N°</w:t>
            </w:r>
          </w:p>
        </w:tc>
        <w:tc>
          <w:tcPr>
            <w:tcW w:w="9400" w:type="dxa"/>
          </w:tcPr>
          <w:p w14:paraId="609609BA"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DEBILIDADES</w:t>
            </w:r>
          </w:p>
          <w:p w14:paraId="77001D6E" w14:textId="77777777" w:rsidR="00561B22" w:rsidRPr="00E72CAC" w:rsidRDefault="00561B22" w:rsidP="00F1223B">
            <w:pPr>
              <w:jc w:val="center"/>
              <w:rPr>
                <w:rFonts w:ascii="Arial" w:hAnsi="Arial" w:cs="Arial"/>
                <w:b/>
                <w:sz w:val="22"/>
                <w:szCs w:val="22"/>
                <w:lang w:val="es-MX"/>
              </w:rPr>
            </w:pPr>
          </w:p>
        </w:tc>
      </w:tr>
      <w:tr w:rsidR="00561B22" w:rsidRPr="00E72CAC" w14:paraId="3F4DE519" w14:textId="77777777" w:rsidTr="00F1223B">
        <w:tc>
          <w:tcPr>
            <w:tcW w:w="562" w:type="dxa"/>
          </w:tcPr>
          <w:p w14:paraId="7894DD56"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1</w:t>
            </w:r>
          </w:p>
        </w:tc>
        <w:tc>
          <w:tcPr>
            <w:tcW w:w="9400" w:type="dxa"/>
          </w:tcPr>
          <w:p w14:paraId="01FC18BE"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Se presentan debilidades en la elaboración de las conciliaciones de las cuentas contables, en aspectos relacionados con la información y la fecha del periodo conciliable.</w:t>
            </w:r>
          </w:p>
        </w:tc>
      </w:tr>
      <w:tr w:rsidR="00561B22" w:rsidRPr="00E72CAC" w14:paraId="608BAC04" w14:textId="77777777" w:rsidTr="00F1223B">
        <w:tc>
          <w:tcPr>
            <w:tcW w:w="562" w:type="dxa"/>
          </w:tcPr>
          <w:p w14:paraId="2A5AD324"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2</w:t>
            </w:r>
          </w:p>
        </w:tc>
        <w:tc>
          <w:tcPr>
            <w:tcW w:w="9400" w:type="dxa"/>
          </w:tcPr>
          <w:p w14:paraId="7962DB80"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En el sistema de indicadores que permitan medir de forma adecuada la gestión del proceso contable, toda vez que los indicadores formulados miden eficacia y no la efectividad del proceso.</w:t>
            </w:r>
          </w:p>
        </w:tc>
      </w:tr>
      <w:tr w:rsidR="00561B22" w:rsidRPr="00E72CAC" w14:paraId="14650A28" w14:textId="77777777" w:rsidTr="00F1223B">
        <w:tc>
          <w:tcPr>
            <w:tcW w:w="562" w:type="dxa"/>
          </w:tcPr>
          <w:p w14:paraId="695312A8"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3</w:t>
            </w:r>
          </w:p>
        </w:tc>
        <w:tc>
          <w:tcPr>
            <w:tcW w:w="9400" w:type="dxa"/>
          </w:tcPr>
          <w:p w14:paraId="32FFA4E1"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En la oportunidad para realizar algunos registros contables, especialmente los relacionados con la cuenta 1.5.05 Construcciones, se evidenció registro de obras entregadas en periodos anteriores.</w:t>
            </w:r>
          </w:p>
        </w:tc>
      </w:tr>
      <w:tr w:rsidR="00561B22" w:rsidRPr="00E72CAC" w14:paraId="7363ED47" w14:textId="77777777" w:rsidTr="00F1223B">
        <w:tc>
          <w:tcPr>
            <w:tcW w:w="562" w:type="dxa"/>
          </w:tcPr>
          <w:p w14:paraId="03435FC6"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4</w:t>
            </w:r>
          </w:p>
        </w:tc>
        <w:tc>
          <w:tcPr>
            <w:tcW w:w="9400" w:type="dxa"/>
          </w:tcPr>
          <w:p w14:paraId="4ABDEE18"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En la información contenida en el acta de toma física de inventarios no permite la validación de propiedad, planta y equipo, ya que se encuentra mezclada con los bienes de consumo controlado.</w:t>
            </w:r>
          </w:p>
        </w:tc>
      </w:tr>
      <w:tr w:rsidR="00561B22" w:rsidRPr="00E72CAC" w14:paraId="14E6379B" w14:textId="77777777" w:rsidTr="00F1223B">
        <w:tc>
          <w:tcPr>
            <w:tcW w:w="562" w:type="dxa"/>
          </w:tcPr>
          <w:p w14:paraId="5B92B67A"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5</w:t>
            </w:r>
          </w:p>
        </w:tc>
        <w:tc>
          <w:tcPr>
            <w:tcW w:w="9400" w:type="dxa"/>
          </w:tcPr>
          <w:p w14:paraId="266F3F90"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Debilidad en las conciliaciones de Operaciones Recíprocas, se evidenció actas sin firma, falta de circularización.</w:t>
            </w:r>
          </w:p>
        </w:tc>
      </w:tr>
      <w:tr w:rsidR="00561B22" w:rsidRPr="00E72CAC" w14:paraId="00917439" w14:textId="77777777" w:rsidTr="00F1223B">
        <w:tc>
          <w:tcPr>
            <w:tcW w:w="562" w:type="dxa"/>
          </w:tcPr>
          <w:p w14:paraId="5EEFE2F0"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6</w:t>
            </w:r>
          </w:p>
        </w:tc>
        <w:tc>
          <w:tcPr>
            <w:tcW w:w="9400" w:type="dxa"/>
          </w:tcPr>
          <w:p w14:paraId="33E202C8"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El manual para manejo de bienes es de fecha 2019, se recomienda actualizarlo con la nueva normatividad.</w:t>
            </w:r>
          </w:p>
        </w:tc>
      </w:tr>
    </w:tbl>
    <w:p w14:paraId="67245FB5" w14:textId="77777777" w:rsidR="00561B22" w:rsidRPr="00E72CAC" w:rsidRDefault="00561B22" w:rsidP="00561B22">
      <w:pPr>
        <w:pStyle w:val="Textoindependiente"/>
        <w:ind w:right="-50"/>
        <w:jc w:val="both"/>
        <w:rPr>
          <w:rFonts w:ascii="Arial" w:hAnsi="Arial" w:cs="Arial"/>
          <w:b/>
          <w:bCs/>
        </w:rPr>
      </w:pPr>
    </w:p>
    <w:p w14:paraId="79789B03" w14:textId="77777777" w:rsidR="00561B22" w:rsidRPr="00E72CAC" w:rsidRDefault="00561B22" w:rsidP="00561B22">
      <w:pPr>
        <w:jc w:val="both"/>
        <w:rPr>
          <w:rFonts w:ascii="Arial" w:hAnsi="Arial" w:cs="Arial"/>
          <w:b/>
          <w:lang w:val="es-MX"/>
        </w:rPr>
      </w:pPr>
      <w:r w:rsidRPr="00E72CAC">
        <w:rPr>
          <w:rFonts w:ascii="Arial" w:hAnsi="Arial" w:cs="Arial"/>
          <w:b/>
          <w:lang w:val="es-MX"/>
        </w:rPr>
        <w:t>Del citado informe retomamos las siguientes recomendaciones:</w:t>
      </w:r>
    </w:p>
    <w:p w14:paraId="22DFBBDA" w14:textId="77777777" w:rsidR="00561B22" w:rsidRPr="00E72CAC"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E72CAC" w14:paraId="60521165" w14:textId="77777777" w:rsidTr="00F1223B">
        <w:tc>
          <w:tcPr>
            <w:tcW w:w="562" w:type="dxa"/>
          </w:tcPr>
          <w:p w14:paraId="7C36541D" w14:textId="77777777" w:rsidR="00561B22" w:rsidRPr="00E72CAC" w:rsidRDefault="00561B22" w:rsidP="00F1223B">
            <w:pPr>
              <w:ind w:right="-109"/>
              <w:jc w:val="center"/>
              <w:rPr>
                <w:rFonts w:ascii="Arial" w:hAnsi="Arial" w:cs="Arial"/>
                <w:b/>
                <w:sz w:val="22"/>
                <w:szCs w:val="22"/>
                <w:lang w:val="es-MX"/>
              </w:rPr>
            </w:pPr>
            <w:r w:rsidRPr="00E72CAC">
              <w:rPr>
                <w:rFonts w:ascii="Arial" w:hAnsi="Arial" w:cs="Arial"/>
                <w:b/>
                <w:sz w:val="22"/>
                <w:szCs w:val="22"/>
                <w:lang w:val="es-MX"/>
              </w:rPr>
              <w:t>N°</w:t>
            </w:r>
          </w:p>
        </w:tc>
        <w:tc>
          <w:tcPr>
            <w:tcW w:w="9400" w:type="dxa"/>
          </w:tcPr>
          <w:p w14:paraId="4B45C609"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RECOMENDACIONES</w:t>
            </w:r>
          </w:p>
          <w:p w14:paraId="4ECB1784" w14:textId="77777777" w:rsidR="00561B22" w:rsidRPr="00E72CAC" w:rsidRDefault="00561B22" w:rsidP="00F1223B">
            <w:pPr>
              <w:jc w:val="center"/>
              <w:rPr>
                <w:rFonts w:ascii="Arial" w:hAnsi="Arial" w:cs="Arial"/>
                <w:b/>
                <w:sz w:val="22"/>
                <w:szCs w:val="22"/>
                <w:lang w:val="es-MX"/>
              </w:rPr>
            </w:pPr>
          </w:p>
        </w:tc>
      </w:tr>
      <w:tr w:rsidR="00561B22" w:rsidRPr="00E72CAC" w14:paraId="2F90EB54" w14:textId="77777777" w:rsidTr="00F1223B">
        <w:tc>
          <w:tcPr>
            <w:tcW w:w="562" w:type="dxa"/>
          </w:tcPr>
          <w:p w14:paraId="477245DA"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1</w:t>
            </w:r>
          </w:p>
        </w:tc>
        <w:tc>
          <w:tcPr>
            <w:tcW w:w="9400" w:type="dxa"/>
          </w:tcPr>
          <w:p w14:paraId="05EEA732"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Revisar la efectividad de los controles establecidos en la elaboración de las conciliaciones de información, dado que se siguen presentando inconsistencias en la elaboración de estas, en aspectos relacionados con la información registrada en ellas, tales como las fechas del periodo conciliable y registrar el detalle de las diferencias cuando aplique.</w:t>
            </w:r>
          </w:p>
        </w:tc>
      </w:tr>
      <w:tr w:rsidR="00561B22" w:rsidRPr="00E72CAC" w14:paraId="01FB128D" w14:textId="77777777" w:rsidTr="00F1223B">
        <w:tc>
          <w:tcPr>
            <w:tcW w:w="562" w:type="dxa"/>
          </w:tcPr>
          <w:p w14:paraId="65A0B7E6"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2</w:t>
            </w:r>
          </w:p>
        </w:tc>
        <w:tc>
          <w:tcPr>
            <w:tcW w:w="9400" w:type="dxa"/>
          </w:tcPr>
          <w:p w14:paraId="61BBF035"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Diseñar indicadores que permita medir la efectividad de la gestión del proceso contable.</w:t>
            </w:r>
          </w:p>
        </w:tc>
      </w:tr>
      <w:tr w:rsidR="00561B22" w:rsidRPr="00E72CAC" w14:paraId="1155098A" w14:textId="77777777" w:rsidTr="00F1223B">
        <w:tc>
          <w:tcPr>
            <w:tcW w:w="562" w:type="dxa"/>
          </w:tcPr>
          <w:p w14:paraId="180350EA"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3</w:t>
            </w:r>
          </w:p>
        </w:tc>
        <w:tc>
          <w:tcPr>
            <w:tcW w:w="9400" w:type="dxa"/>
          </w:tcPr>
          <w:p w14:paraId="5243E27F"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Fortalecer la información revelada en las notas a los estados financieros que permitan una fácil comprensión por parte de los usuarios de la información.</w:t>
            </w:r>
          </w:p>
        </w:tc>
      </w:tr>
      <w:tr w:rsidR="00561B22" w:rsidRPr="00E72CAC" w14:paraId="4DB42C2F" w14:textId="77777777" w:rsidTr="00F1223B">
        <w:tc>
          <w:tcPr>
            <w:tcW w:w="562" w:type="dxa"/>
          </w:tcPr>
          <w:p w14:paraId="065BC017"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4</w:t>
            </w:r>
          </w:p>
        </w:tc>
        <w:tc>
          <w:tcPr>
            <w:tcW w:w="9400" w:type="dxa"/>
          </w:tcPr>
          <w:p w14:paraId="08E4D460"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Actualizar la matriz de riesgos asociados al proceso contable, realizar una nueva valoración de los riesgos que se han materializado, formular controles adicionales que permitan disminuir la probabilidad de materialización, formular un plan de contingencia frente a la materialización.</w:t>
            </w:r>
          </w:p>
        </w:tc>
      </w:tr>
      <w:tr w:rsidR="00561B22" w:rsidRPr="00E72CAC" w14:paraId="10689F9F" w14:textId="77777777" w:rsidTr="00F1223B">
        <w:tc>
          <w:tcPr>
            <w:tcW w:w="562" w:type="dxa"/>
          </w:tcPr>
          <w:p w14:paraId="140FE197"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5</w:t>
            </w:r>
          </w:p>
        </w:tc>
        <w:tc>
          <w:tcPr>
            <w:tcW w:w="9400" w:type="dxa"/>
          </w:tcPr>
          <w:p w14:paraId="404E2184"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 xml:space="preserve">Formular acciones para garantizar el registro oportuno de la información financiera relacionada </w:t>
            </w:r>
            <w:r w:rsidRPr="00E72CAC">
              <w:rPr>
                <w:rFonts w:ascii="Arial" w:hAnsi="Arial" w:cs="Arial"/>
                <w:bCs/>
                <w:sz w:val="22"/>
                <w:szCs w:val="22"/>
                <w:lang w:val="es-MX"/>
              </w:rPr>
              <w:lastRenderedPageBreak/>
              <w:t>con la cuenta 1.5.05 Construcciones.</w:t>
            </w:r>
          </w:p>
        </w:tc>
      </w:tr>
      <w:tr w:rsidR="00561B22" w:rsidRPr="00E72CAC" w14:paraId="6DDF5FCB" w14:textId="77777777" w:rsidTr="00F1223B">
        <w:tc>
          <w:tcPr>
            <w:tcW w:w="562" w:type="dxa"/>
          </w:tcPr>
          <w:p w14:paraId="18C04200"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lastRenderedPageBreak/>
              <w:t>6</w:t>
            </w:r>
          </w:p>
        </w:tc>
        <w:tc>
          <w:tcPr>
            <w:tcW w:w="9400" w:type="dxa"/>
          </w:tcPr>
          <w:p w14:paraId="22B0A60F"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Formular acciones de mejora para depurar la información de activos fijos ya que se evidencia saldo en la cuenta 1.6.37 Propiedad, planta y equipo no explotado.</w:t>
            </w:r>
          </w:p>
        </w:tc>
      </w:tr>
      <w:tr w:rsidR="00561B22" w:rsidRPr="00E72CAC" w14:paraId="54707B82" w14:textId="77777777" w:rsidTr="00F1223B">
        <w:tc>
          <w:tcPr>
            <w:tcW w:w="562" w:type="dxa"/>
          </w:tcPr>
          <w:p w14:paraId="2D6AE07D" w14:textId="77777777" w:rsidR="00561B22" w:rsidRPr="00E72CAC" w:rsidRDefault="00561B22" w:rsidP="00F1223B">
            <w:pPr>
              <w:jc w:val="center"/>
              <w:rPr>
                <w:rFonts w:ascii="Arial" w:hAnsi="Arial" w:cs="Arial"/>
                <w:b/>
                <w:sz w:val="22"/>
                <w:szCs w:val="22"/>
                <w:lang w:val="es-MX"/>
              </w:rPr>
            </w:pPr>
            <w:r w:rsidRPr="00E72CAC">
              <w:rPr>
                <w:rFonts w:ascii="Arial" w:hAnsi="Arial" w:cs="Arial"/>
                <w:b/>
                <w:sz w:val="22"/>
                <w:szCs w:val="22"/>
                <w:lang w:val="es-MX"/>
              </w:rPr>
              <w:t>7</w:t>
            </w:r>
          </w:p>
        </w:tc>
        <w:tc>
          <w:tcPr>
            <w:tcW w:w="9400" w:type="dxa"/>
          </w:tcPr>
          <w:p w14:paraId="7832EB0E" w14:textId="77777777" w:rsidR="00561B22" w:rsidRPr="00E72CAC" w:rsidRDefault="00561B22" w:rsidP="00F1223B">
            <w:pPr>
              <w:jc w:val="both"/>
              <w:rPr>
                <w:rFonts w:ascii="Arial" w:hAnsi="Arial" w:cs="Arial"/>
                <w:bCs/>
                <w:sz w:val="22"/>
                <w:szCs w:val="22"/>
                <w:lang w:val="es-MX"/>
              </w:rPr>
            </w:pPr>
            <w:r w:rsidRPr="00E72CAC">
              <w:rPr>
                <w:rFonts w:ascii="Arial" w:hAnsi="Arial" w:cs="Arial"/>
                <w:bCs/>
                <w:sz w:val="22"/>
                <w:szCs w:val="22"/>
                <w:lang w:val="es-MX"/>
              </w:rPr>
              <w:t>Continuar con el proceso de Sostenibilidad Contable, donde se evalué los aspectos que pueden afectar la razonabilidad en la presentación de los estados financieros.</w:t>
            </w:r>
          </w:p>
        </w:tc>
      </w:tr>
    </w:tbl>
    <w:p w14:paraId="7A3F1B24" w14:textId="77777777" w:rsidR="00561B22" w:rsidRPr="00E72CAC" w:rsidRDefault="00561B22" w:rsidP="00561B22">
      <w:pPr>
        <w:pStyle w:val="Textoindependiente"/>
        <w:ind w:right="-50"/>
        <w:jc w:val="both"/>
        <w:rPr>
          <w:rFonts w:ascii="Arial" w:hAnsi="Arial" w:cs="Arial"/>
          <w:b/>
          <w:bCs/>
          <w:sz w:val="28"/>
          <w:szCs w:val="28"/>
        </w:rPr>
      </w:pPr>
    </w:p>
    <w:p w14:paraId="62012A03" w14:textId="77777777" w:rsidR="00561B22" w:rsidRPr="00E72CAC" w:rsidRDefault="00561B22" w:rsidP="00561B22">
      <w:pPr>
        <w:jc w:val="both"/>
        <w:rPr>
          <w:rFonts w:ascii="Arial" w:hAnsi="Arial" w:cs="Arial"/>
          <w:b/>
          <w:bCs/>
          <w:sz w:val="24"/>
          <w:szCs w:val="24"/>
          <w:lang w:val="es-CO"/>
        </w:rPr>
      </w:pPr>
      <w:r w:rsidRPr="00E72CAC">
        <w:rPr>
          <w:rFonts w:ascii="Arial" w:hAnsi="Arial" w:cs="Arial"/>
          <w:b/>
          <w:bCs/>
          <w:sz w:val="24"/>
          <w:szCs w:val="24"/>
          <w:lang w:val="es-CO"/>
        </w:rPr>
        <w:t xml:space="preserve">NOTA: LA ENTIDAD ENVIA LA MATRIZ DE AUTOEVALUACIÓN DEL SISTEMA DE CONTROL INTERNO CONTABLE CON </w:t>
      </w:r>
      <w:r w:rsidRPr="00E72CAC">
        <w:rPr>
          <w:rFonts w:ascii="Arial" w:hAnsi="Arial" w:cs="Arial"/>
          <w:b/>
          <w:bCs/>
          <w:sz w:val="24"/>
          <w:szCs w:val="24"/>
          <w:u w:val="single"/>
          <w:lang w:val="es-CO"/>
        </w:rPr>
        <w:t>ACTIVIDADES DE CONTROL REALIZADAS EN FORMA PARCIAL</w:t>
      </w:r>
      <w:r w:rsidRPr="00E72CAC">
        <w:rPr>
          <w:rFonts w:ascii="Arial" w:hAnsi="Arial" w:cs="Arial"/>
          <w:b/>
          <w:bCs/>
          <w:sz w:val="24"/>
          <w:szCs w:val="24"/>
          <w:lang w:val="es-CO"/>
        </w:rPr>
        <w:t>.</w:t>
      </w:r>
    </w:p>
    <w:p w14:paraId="61B5B1B2" w14:textId="77777777" w:rsidR="00561B22" w:rsidRDefault="00561B22" w:rsidP="00561B22">
      <w:pPr>
        <w:pStyle w:val="Ttulo1"/>
        <w:spacing w:before="93"/>
        <w:ind w:right="-50"/>
        <w:jc w:val="left"/>
        <w:rPr>
          <w:sz w:val="28"/>
          <w:szCs w:val="28"/>
          <w:lang w:val="es-CO"/>
        </w:rPr>
      </w:pPr>
    </w:p>
    <w:p w14:paraId="126ED621" w14:textId="77777777" w:rsidR="00561B22" w:rsidRPr="00125C7F" w:rsidRDefault="00561B22" w:rsidP="00561B22">
      <w:pPr>
        <w:jc w:val="both"/>
        <w:rPr>
          <w:rFonts w:ascii="Arial" w:hAnsi="Arial" w:cs="Arial"/>
          <w:b/>
          <w:sz w:val="28"/>
          <w:szCs w:val="28"/>
          <w:lang w:val="es-MX"/>
        </w:rPr>
      </w:pPr>
      <w:r w:rsidRPr="00125C7F">
        <w:rPr>
          <w:rFonts w:ascii="Arial" w:hAnsi="Arial" w:cs="Arial"/>
          <w:b/>
          <w:sz w:val="28"/>
          <w:szCs w:val="28"/>
          <w:lang w:val="es-MX"/>
        </w:rPr>
        <w:t xml:space="preserve">134.- FONDO MIXTO PARA EL DESARROLLO INTEGRAL DE LAS REGIONES DE COLOMBIA – FOMCOLOMBIA. </w:t>
      </w:r>
    </w:p>
    <w:p w14:paraId="41196902" w14:textId="77777777" w:rsidR="00561B22" w:rsidRDefault="00561B22" w:rsidP="00561B22">
      <w:pPr>
        <w:pStyle w:val="Textoindependiente"/>
        <w:ind w:right="-50"/>
        <w:jc w:val="both"/>
        <w:rPr>
          <w:b/>
          <w:bCs/>
          <w:sz w:val="28"/>
          <w:szCs w:val="28"/>
        </w:rPr>
      </w:pPr>
    </w:p>
    <w:p w14:paraId="06DE5456" w14:textId="77777777" w:rsidR="00561B22" w:rsidRPr="006F7854" w:rsidRDefault="00561B22" w:rsidP="00561B22">
      <w:pPr>
        <w:pStyle w:val="Textoindependiente"/>
        <w:ind w:right="-50"/>
        <w:jc w:val="center"/>
        <w:rPr>
          <w:rFonts w:ascii="Arial" w:hAnsi="Arial" w:cs="Arial"/>
          <w:b/>
          <w:bCs/>
        </w:rPr>
      </w:pPr>
      <w:r w:rsidRPr="006F7854">
        <w:rPr>
          <w:rFonts w:ascii="Arial" w:hAnsi="Arial" w:cs="Arial"/>
          <w:b/>
          <w:bCs/>
        </w:rPr>
        <w:t>INFORME DE LA AUTOCALIFICACIÓN DEL SISTEMA DE CONTROL INTERNO CONTABLE:</w:t>
      </w:r>
    </w:p>
    <w:p w14:paraId="1A561C38" w14:textId="77777777" w:rsidR="00561B22" w:rsidRPr="006F785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F7854" w14:paraId="0659C554" w14:textId="77777777" w:rsidTr="00F1223B">
        <w:tc>
          <w:tcPr>
            <w:tcW w:w="4981" w:type="dxa"/>
          </w:tcPr>
          <w:p w14:paraId="748553ED" w14:textId="77777777" w:rsidR="00561B22" w:rsidRPr="006F7854" w:rsidRDefault="00561B22" w:rsidP="00F1223B">
            <w:pPr>
              <w:jc w:val="center"/>
              <w:rPr>
                <w:rFonts w:ascii="Arial" w:hAnsi="Arial" w:cs="Arial"/>
                <w:b/>
                <w:sz w:val="22"/>
                <w:szCs w:val="22"/>
                <w:lang w:val="es-MX"/>
              </w:rPr>
            </w:pPr>
            <w:r w:rsidRPr="006F7854">
              <w:rPr>
                <w:rFonts w:ascii="Arial" w:hAnsi="Arial" w:cs="Arial"/>
                <w:b/>
                <w:sz w:val="22"/>
                <w:szCs w:val="22"/>
                <w:lang w:val="es-MX"/>
              </w:rPr>
              <w:t>AUTOCALIFICACIÓN</w:t>
            </w:r>
          </w:p>
        </w:tc>
        <w:tc>
          <w:tcPr>
            <w:tcW w:w="4981" w:type="dxa"/>
          </w:tcPr>
          <w:p w14:paraId="39F1A528" w14:textId="77777777" w:rsidR="00561B22" w:rsidRPr="006F7854" w:rsidRDefault="00561B22" w:rsidP="00F1223B">
            <w:pPr>
              <w:jc w:val="center"/>
              <w:rPr>
                <w:rFonts w:ascii="Arial" w:hAnsi="Arial" w:cs="Arial"/>
                <w:b/>
                <w:sz w:val="22"/>
                <w:szCs w:val="22"/>
                <w:u w:val="single"/>
                <w:lang w:val="es-MX"/>
              </w:rPr>
            </w:pPr>
            <w:r w:rsidRPr="006F7854">
              <w:rPr>
                <w:rFonts w:ascii="Arial" w:hAnsi="Arial" w:cs="Arial"/>
                <w:b/>
                <w:sz w:val="22"/>
                <w:szCs w:val="22"/>
                <w:u w:val="single"/>
                <w:lang w:val="es-MX"/>
              </w:rPr>
              <w:t>4.91</w:t>
            </w:r>
          </w:p>
        </w:tc>
      </w:tr>
    </w:tbl>
    <w:p w14:paraId="3CF3DA2B" w14:textId="77777777" w:rsidR="00561B22" w:rsidRPr="006F7854" w:rsidRDefault="00561B22" w:rsidP="00561B22">
      <w:pPr>
        <w:pStyle w:val="Textoindependiente"/>
        <w:ind w:right="-50"/>
        <w:jc w:val="both"/>
        <w:rPr>
          <w:rFonts w:ascii="Arial" w:hAnsi="Arial" w:cs="Arial"/>
          <w:b/>
          <w:bCs/>
        </w:rPr>
      </w:pPr>
    </w:p>
    <w:p w14:paraId="7205755D" w14:textId="77777777" w:rsidR="00561B22" w:rsidRPr="006F7854" w:rsidRDefault="00561B22" w:rsidP="00561B22">
      <w:pPr>
        <w:pStyle w:val="Textoindependiente"/>
        <w:ind w:right="-50"/>
        <w:jc w:val="both"/>
        <w:rPr>
          <w:rFonts w:ascii="Arial" w:hAnsi="Arial" w:cs="Arial"/>
          <w:b/>
          <w:bCs/>
        </w:rPr>
      </w:pPr>
      <w:r w:rsidRPr="006F7854">
        <w:rPr>
          <w:rFonts w:ascii="Arial" w:hAnsi="Arial" w:cs="Arial"/>
          <w:b/>
          <w:bCs/>
        </w:rPr>
        <w:t>Del informe enviado retomamos lo siguiente:</w:t>
      </w:r>
    </w:p>
    <w:p w14:paraId="56747781" w14:textId="77777777" w:rsidR="00561B22" w:rsidRPr="006F785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F7854" w14:paraId="2C3C29C2" w14:textId="77777777" w:rsidTr="00F1223B">
        <w:tc>
          <w:tcPr>
            <w:tcW w:w="562" w:type="dxa"/>
          </w:tcPr>
          <w:p w14:paraId="4D19807B" w14:textId="77777777" w:rsidR="00561B22" w:rsidRPr="006F7854" w:rsidRDefault="00561B22" w:rsidP="00F1223B">
            <w:pPr>
              <w:ind w:right="-109"/>
              <w:jc w:val="center"/>
              <w:rPr>
                <w:rFonts w:ascii="Arial" w:hAnsi="Arial" w:cs="Arial"/>
                <w:b/>
                <w:sz w:val="22"/>
                <w:szCs w:val="22"/>
                <w:lang w:val="es-MX"/>
              </w:rPr>
            </w:pPr>
            <w:r w:rsidRPr="006F7854">
              <w:rPr>
                <w:rFonts w:ascii="Arial" w:hAnsi="Arial" w:cs="Arial"/>
                <w:b/>
                <w:sz w:val="22"/>
                <w:szCs w:val="22"/>
                <w:lang w:val="es-MX"/>
              </w:rPr>
              <w:t>N°</w:t>
            </w:r>
          </w:p>
        </w:tc>
        <w:tc>
          <w:tcPr>
            <w:tcW w:w="9400" w:type="dxa"/>
          </w:tcPr>
          <w:p w14:paraId="6662C8BF" w14:textId="77777777" w:rsidR="00561B22" w:rsidRPr="006F7854" w:rsidRDefault="00561B22" w:rsidP="00F1223B">
            <w:pPr>
              <w:jc w:val="center"/>
              <w:rPr>
                <w:rFonts w:ascii="Arial" w:hAnsi="Arial" w:cs="Arial"/>
                <w:b/>
                <w:sz w:val="22"/>
                <w:szCs w:val="22"/>
                <w:lang w:val="es-MX"/>
              </w:rPr>
            </w:pPr>
            <w:r w:rsidRPr="006F7854">
              <w:rPr>
                <w:rFonts w:ascii="Arial" w:hAnsi="Arial" w:cs="Arial"/>
                <w:b/>
                <w:sz w:val="22"/>
                <w:szCs w:val="22"/>
                <w:lang w:val="es-MX"/>
              </w:rPr>
              <w:t>DEBILIDADES</w:t>
            </w:r>
          </w:p>
          <w:p w14:paraId="76BC2DF6" w14:textId="77777777" w:rsidR="00561B22" w:rsidRPr="006F7854" w:rsidRDefault="00561B22" w:rsidP="00F1223B">
            <w:pPr>
              <w:jc w:val="center"/>
              <w:rPr>
                <w:rFonts w:ascii="Arial" w:hAnsi="Arial" w:cs="Arial"/>
                <w:b/>
                <w:sz w:val="22"/>
                <w:szCs w:val="22"/>
                <w:lang w:val="es-MX"/>
              </w:rPr>
            </w:pPr>
          </w:p>
        </w:tc>
      </w:tr>
      <w:tr w:rsidR="00561B22" w:rsidRPr="006F7854" w14:paraId="5C58C9C7" w14:textId="77777777" w:rsidTr="00F1223B">
        <w:tc>
          <w:tcPr>
            <w:tcW w:w="562" w:type="dxa"/>
          </w:tcPr>
          <w:p w14:paraId="1B1AC6D4" w14:textId="77777777" w:rsidR="00561B22" w:rsidRPr="006F7854" w:rsidRDefault="00561B22" w:rsidP="00F1223B">
            <w:pPr>
              <w:jc w:val="center"/>
              <w:rPr>
                <w:rFonts w:ascii="Arial" w:hAnsi="Arial" w:cs="Arial"/>
                <w:b/>
                <w:sz w:val="22"/>
                <w:szCs w:val="22"/>
                <w:lang w:val="es-MX"/>
              </w:rPr>
            </w:pPr>
            <w:r w:rsidRPr="006F7854">
              <w:rPr>
                <w:rFonts w:ascii="Arial" w:hAnsi="Arial" w:cs="Arial"/>
                <w:b/>
                <w:sz w:val="22"/>
                <w:szCs w:val="22"/>
                <w:lang w:val="es-MX"/>
              </w:rPr>
              <w:t>1</w:t>
            </w:r>
          </w:p>
        </w:tc>
        <w:tc>
          <w:tcPr>
            <w:tcW w:w="9400" w:type="dxa"/>
          </w:tcPr>
          <w:p w14:paraId="6D4A7433" w14:textId="77777777" w:rsidR="00561B22" w:rsidRPr="006F7854" w:rsidRDefault="00561B22" w:rsidP="00F1223B">
            <w:pPr>
              <w:jc w:val="both"/>
              <w:rPr>
                <w:rFonts w:ascii="Arial" w:hAnsi="Arial" w:cs="Arial"/>
                <w:bCs/>
                <w:sz w:val="22"/>
                <w:szCs w:val="22"/>
                <w:lang w:val="es-MX"/>
              </w:rPr>
            </w:pPr>
            <w:r w:rsidRPr="006F7854">
              <w:rPr>
                <w:rFonts w:ascii="Arial" w:hAnsi="Arial" w:cs="Arial"/>
                <w:bCs/>
                <w:sz w:val="22"/>
                <w:szCs w:val="22"/>
                <w:lang w:val="es-MX"/>
              </w:rPr>
              <w:t>El cierre contable se realiza dentro del límite de tiempo establecido se debe seguir profundizando sobre las políticas contables para el Fondo Mixto en cuanto a el manejo financiero como ejecutor de este.</w:t>
            </w:r>
          </w:p>
        </w:tc>
      </w:tr>
    </w:tbl>
    <w:p w14:paraId="5541BDDE" w14:textId="77777777" w:rsidR="00561B22" w:rsidRPr="006F7854" w:rsidRDefault="00561B22" w:rsidP="00561B22">
      <w:pPr>
        <w:pStyle w:val="Textoindependiente"/>
        <w:ind w:right="-50"/>
        <w:jc w:val="both"/>
        <w:rPr>
          <w:rFonts w:ascii="Arial" w:hAnsi="Arial" w:cs="Arial"/>
          <w:b/>
          <w:bCs/>
        </w:rPr>
      </w:pPr>
    </w:p>
    <w:p w14:paraId="561DE109" w14:textId="77777777" w:rsidR="00561B22" w:rsidRPr="006F7854" w:rsidRDefault="00561B22" w:rsidP="00561B22">
      <w:pPr>
        <w:jc w:val="both"/>
        <w:rPr>
          <w:rFonts w:ascii="Arial" w:hAnsi="Arial" w:cs="Arial"/>
          <w:b/>
          <w:lang w:val="es-MX"/>
        </w:rPr>
      </w:pPr>
      <w:r w:rsidRPr="006F7854">
        <w:rPr>
          <w:rFonts w:ascii="Arial" w:hAnsi="Arial" w:cs="Arial"/>
          <w:b/>
          <w:lang w:val="es-MX"/>
        </w:rPr>
        <w:t>Del citado informe retomamos las siguientes recomendaciones:</w:t>
      </w:r>
    </w:p>
    <w:p w14:paraId="534F0BFB" w14:textId="77777777" w:rsidR="00561B22" w:rsidRPr="006F785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F7854" w14:paraId="399A8ED3" w14:textId="77777777" w:rsidTr="00F1223B">
        <w:tc>
          <w:tcPr>
            <w:tcW w:w="562" w:type="dxa"/>
          </w:tcPr>
          <w:p w14:paraId="1A8B83BD" w14:textId="77777777" w:rsidR="00561B22" w:rsidRPr="006F7854" w:rsidRDefault="00561B22" w:rsidP="00F1223B">
            <w:pPr>
              <w:ind w:right="-109"/>
              <w:jc w:val="center"/>
              <w:rPr>
                <w:rFonts w:ascii="Arial" w:hAnsi="Arial" w:cs="Arial"/>
                <w:b/>
                <w:sz w:val="22"/>
                <w:szCs w:val="22"/>
                <w:lang w:val="es-MX"/>
              </w:rPr>
            </w:pPr>
            <w:r w:rsidRPr="006F7854">
              <w:rPr>
                <w:rFonts w:ascii="Arial" w:hAnsi="Arial" w:cs="Arial"/>
                <w:b/>
                <w:sz w:val="22"/>
                <w:szCs w:val="22"/>
                <w:lang w:val="es-MX"/>
              </w:rPr>
              <w:t>N°</w:t>
            </w:r>
          </w:p>
        </w:tc>
        <w:tc>
          <w:tcPr>
            <w:tcW w:w="9400" w:type="dxa"/>
          </w:tcPr>
          <w:p w14:paraId="75499E2F" w14:textId="77777777" w:rsidR="00561B22" w:rsidRPr="006F7854" w:rsidRDefault="00561B22" w:rsidP="00F1223B">
            <w:pPr>
              <w:jc w:val="center"/>
              <w:rPr>
                <w:rFonts w:ascii="Arial" w:hAnsi="Arial" w:cs="Arial"/>
                <w:b/>
                <w:sz w:val="22"/>
                <w:szCs w:val="22"/>
                <w:lang w:val="es-MX"/>
              </w:rPr>
            </w:pPr>
            <w:r w:rsidRPr="006F7854">
              <w:rPr>
                <w:rFonts w:ascii="Arial" w:hAnsi="Arial" w:cs="Arial"/>
                <w:b/>
                <w:sz w:val="22"/>
                <w:szCs w:val="22"/>
                <w:lang w:val="es-MX"/>
              </w:rPr>
              <w:t>RECOMENDACIONES</w:t>
            </w:r>
          </w:p>
          <w:p w14:paraId="24465794" w14:textId="77777777" w:rsidR="00561B22" w:rsidRPr="006F7854" w:rsidRDefault="00561B22" w:rsidP="00F1223B">
            <w:pPr>
              <w:jc w:val="center"/>
              <w:rPr>
                <w:rFonts w:ascii="Arial" w:hAnsi="Arial" w:cs="Arial"/>
                <w:b/>
                <w:sz w:val="22"/>
                <w:szCs w:val="22"/>
                <w:lang w:val="es-MX"/>
              </w:rPr>
            </w:pPr>
          </w:p>
        </w:tc>
      </w:tr>
      <w:tr w:rsidR="00561B22" w:rsidRPr="006F7854" w14:paraId="2849CB2D" w14:textId="77777777" w:rsidTr="00F1223B">
        <w:tc>
          <w:tcPr>
            <w:tcW w:w="562" w:type="dxa"/>
          </w:tcPr>
          <w:p w14:paraId="7966081F" w14:textId="77777777" w:rsidR="00561B22" w:rsidRPr="006F7854" w:rsidRDefault="00561B22" w:rsidP="00F1223B">
            <w:pPr>
              <w:jc w:val="center"/>
              <w:rPr>
                <w:rFonts w:ascii="Arial" w:hAnsi="Arial" w:cs="Arial"/>
                <w:b/>
                <w:sz w:val="22"/>
                <w:szCs w:val="22"/>
                <w:lang w:val="es-MX"/>
              </w:rPr>
            </w:pPr>
            <w:r w:rsidRPr="006F7854">
              <w:rPr>
                <w:rFonts w:ascii="Arial" w:hAnsi="Arial" w:cs="Arial"/>
                <w:b/>
                <w:sz w:val="22"/>
                <w:szCs w:val="22"/>
                <w:lang w:val="es-MX"/>
              </w:rPr>
              <w:t>1</w:t>
            </w:r>
          </w:p>
        </w:tc>
        <w:tc>
          <w:tcPr>
            <w:tcW w:w="9400" w:type="dxa"/>
          </w:tcPr>
          <w:p w14:paraId="5A527470" w14:textId="77777777" w:rsidR="00561B22" w:rsidRPr="006F7854" w:rsidRDefault="00561B22" w:rsidP="00F1223B">
            <w:pPr>
              <w:jc w:val="both"/>
              <w:rPr>
                <w:rFonts w:ascii="Arial" w:hAnsi="Arial" w:cs="Arial"/>
                <w:bCs/>
                <w:sz w:val="22"/>
                <w:szCs w:val="22"/>
                <w:lang w:val="es-MX"/>
              </w:rPr>
            </w:pPr>
            <w:r w:rsidRPr="006F7854">
              <w:rPr>
                <w:rFonts w:ascii="Arial" w:hAnsi="Arial" w:cs="Arial"/>
                <w:bCs/>
                <w:sz w:val="22"/>
                <w:szCs w:val="22"/>
                <w:lang w:val="es-MX"/>
              </w:rPr>
              <w:t>Se recomienda fortalecer los controles que aseguren la oportunidad y calidad de la información financiera, contable y presupuestal al igual que las demás dependencias con el propósito de verificar la consistencia de la totalidad de las cuentas y/o información reflejada en los estados financieros, de igual manera se recomienda tener en cuenta los límites de tiempo para llevar a cabo los cierres contables terminar la estructuración y dar aplicación de las políticas contables de forma definitiva y también seguir en constante estudio acerca del manejo financiero del mismo.</w:t>
            </w:r>
          </w:p>
        </w:tc>
      </w:tr>
    </w:tbl>
    <w:p w14:paraId="320432B3" w14:textId="77777777" w:rsidR="00561B22" w:rsidRPr="006F7854" w:rsidRDefault="00561B22" w:rsidP="00561B22">
      <w:pPr>
        <w:pStyle w:val="Textoindependiente"/>
        <w:ind w:right="-50"/>
        <w:jc w:val="both"/>
        <w:rPr>
          <w:rFonts w:ascii="Arial" w:hAnsi="Arial" w:cs="Arial"/>
          <w:b/>
          <w:bCs/>
          <w:sz w:val="28"/>
          <w:szCs w:val="28"/>
        </w:rPr>
      </w:pPr>
    </w:p>
    <w:p w14:paraId="6619BD17" w14:textId="77777777" w:rsidR="00561B22" w:rsidRPr="006F7854" w:rsidRDefault="00561B22" w:rsidP="00561B22">
      <w:pPr>
        <w:jc w:val="both"/>
        <w:rPr>
          <w:rFonts w:ascii="Arial" w:hAnsi="Arial" w:cs="Arial"/>
          <w:b/>
          <w:bCs/>
          <w:sz w:val="24"/>
          <w:szCs w:val="24"/>
          <w:lang w:val="es-CO"/>
        </w:rPr>
      </w:pPr>
      <w:r w:rsidRPr="006F7854">
        <w:rPr>
          <w:rFonts w:ascii="Arial" w:hAnsi="Arial" w:cs="Arial"/>
          <w:b/>
          <w:bCs/>
          <w:sz w:val="24"/>
          <w:szCs w:val="24"/>
          <w:lang w:val="es-CO"/>
        </w:rPr>
        <w:t xml:space="preserve">NOTA: LA ENTIDAD ENVÍA LA MATRIZ DE AUTOEVALUACIÓN DEL SISTEMA DE CONTROL INTERNO CONTABLE CON </w:t>
      </w:r>
      <w:r w:rsidRPr="006F7854">
        <w:rPr>
          <w:rFonts w:ascii="Arial" w:hAnsi="Arial" w:cs="Arial"/>
          <w:b/>
          <w:bCs/>
          <w:sz w:val="24"/>
          <w:szCs w:val="24"/>
          <w:u w:val="single"/>
          <w:lang w:val="es-CO"/>
        </w:rPr>
        <w:t>ACTIVIDADES DE CONTROL REALIZADAS EN FORMA PARCIAL</w:t>
      </w:r>
      <w:r w:rsidRPr="006F7854">
        <w:rPr>
          <w:rFonts w:ascii="Arial" w:hAnsi="Arial" w:cs="Arial"/>
          <w:b/>
          <w:bCs/>
          <w:sz w:val="24"/>
          <w:szCs w:val="24"/>
          <w:lang w:val="es-CO"/>
        </w:rPr>
        <w:t>.</w:t>
      </w:r>
    </w:p>
    <w:p w14:paraId="047800D0" w14:textId="77777777" w:rsidR="00561B22" w:rsidRDefault="00561B22" w:rsidP="00561B22">
      <w:pPr>
        <w:pStyle w:val="Ttulo1"/>
        <w:spacing w:before="0"/>
        <w:ind w:right="-50"/>
        <w:jc w:val="left"/>
        <w:rPr>
          <w:sz w:val="28"/>
          <w:szCs w:val="28"/>
          <w:lang w:val="es-CO"/>
        </w:rPr>
      </w:pPr>
    </w:p>
    <w:p w14:paraId="0AC3DCCB" w14:textId="77777777" w:rsidR="00561B22" w:rsidRPr="00E773CF" w:rsidRDefault="00561B22" w:rsidP="00561B22">
      <w:pPr>
        <w:jc w:val="both"/>
        <w:rPr>
          <w:rFonts w:ascii="Arial" w:hAnsi="Arial" w:cs="Arial"/>
          <w:b/>
          <w:sz w:val="28"/>
          <w:szCs w:val="28"/>
          <w:lang w:val="es-MX"/>
        </w:rPr>
      </w:pPr>
      <w:bookmarkStart w:id="67" w:name="_Hlk200104767"/>
      <w:r w:rsidRPr="00E773CF">
        <w:rPr>
          <w:rFonts w:ascii="Arial" w:hAnsi="Arial" w:cs="Arial"/>
          <w:b/>
          <w:sz w:val="28"/>
          <w:szCs w:val="28"/>
          <w:lang w:val="es-MX"/>
        </w:rPr>
        <w:t xml:space="preserve">135.- </w:t>
      </w:r>
      <w:r w:rsidRPr="00E773CF">
        <w:rPr>
          <w:rFonts w:ascii="Arial" w:hAnsi="Arial" w:cs="Arial"/>
          <w:b/>
          <w:sz w:val="28"/>
          <w:szCs w:val="28"/>
        </w:rPr>
        <w:t>PATRIMONIO AUTÓNOMO EMERGENCIA ECONÓMICA – FOGAFIN.</w:t>
      </w:r>
    </w:p>
    <w:bookmarkEnd w:id="67"/>
    <w:p w14:paraId="16FA1830" w14:textId="77777777" w:rsidR="00561B22" w:rsidRPr="00E773CF" w:rsidRDefault="00561B22" w:rsidP="00561B22">
      <w:pPr>
        <w:pStyle w:val="Ttulo1"/>
        <w:spacing w:before="0"/>
        <w:ind w:right="-50"/>
        <w:jc w:val="left"/>
        <w:rPr>
          <w:sz w:val="28"/>
          <w:szCs w:val="28"/>
          <w:lang w:val="es-MX"/>
        </w:rPr>
      </w:pPr>
    </w:p>
    <w:p w14:paraId="137EA502" w14:textId="77777777" w:rsidR="00561B22" w:rsidRPr="00E773CF" w:rsidRDefault="00561B22" w:rsidP="00561B22">
      <w:pPr>
        <w:pStyle w:val="Textoindependiente"/>
        <w:ind w:right="-50"/>
        <w:jc w:val="center"/>
        <w:rPr>
          <w:rFonts w:ascii="Arial" w:hAnsi="Arial" w:cs="Arial"/>
          <w:b/>
          <w:bCs/>
        </w:rPr>
      </w:pPr>
      <w:r w:rsidRPr="00E773CF">
        <w:rPr>
          <w:rFonts w:ascii="Arial" w:hAnsi="Arial" w:cs="Arial"/>
          <w:b/>
          <w:bCs/>
        </w:rPr>
        <w:t>INFORME DE LA AUTOCALIFICACIÓN DEL SISTEMA DE CONTROL INTERNO CONTABLE:</w:t>
      </w:r>
    </w:p>
    <w:p w14:paraId="7C8D00B6" w14:textId="77777777" w:rsidR="00561B22" w:rsidRPr="00E773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773CF" w14:paraId="49F24B75" w14:textId="77777777" w:rsidTr="00F1223B">
        <w:tc>
          <w:tcPr>
            <w:tcW w:w="4981" w:type="dxa"/>
          </w:tcPr>
          <w:p w14:paraId="48612ECB" w14:textId="77777777" w:rsidR="00561B22" w:rsidRPr="00E773CF" w:rsidRDefault="00561B22" w:rsidP="00F1223B">
            <w:pPr>
              <w:jc w:val="center"/>
              <w:rPr>
                <w:rFonts w:ascii="Arial" w:hAnsi="Arial" w:cs="Arial"/>
                <w:b/>
                <w:sz w:val="22"/>
                <w:szCs w:val="22"/>
                <w:lang w:val="es-MX"/>
              </w:rPr>
            </w:pPr>
            <w:r w:rsidRPr="00E773CF">
              <w:rPr>
                <w:rFonts w:ascii="Arial" w:hAnsi="Arial" w:cs="Arial"/>
                <w:b/>
                <w:sz w:val="22"/>
                <w:szCs w:val="22"/>
                <w:lang w:val="es-MX"/>
              </w:rPr>
              <w:t>AUTOCALIFICACIÓN</w:t>
            </w:r>
          </w:p>
        </w:tc>
        <w:tc>
          <w:tcPr>
            <w:tcW w:w="4981" w:type="dxa"/>
          </w:tcPr>
          <w:p w14:paraId="534CF225" w14:textId="77777777" w:rsidR="00561B22" w:rsidRPr="00E773CF" w:rsidRDefault="00561B22" w:rsidP="00F1223B">
            <w:pPr>
              <w:jc w:val="center"/>
              <w:rPr>
                <w:rFonts w:ascii="Arial" w:hAnsi="Arial" w:cs="Arial"/>
                <w:b/>
                <w:sz w:val="22"/>
                <w:szCs w:val="22"/>
                <w:u w:val="single"/>
                <w:lang w:val="es-MX"/>
              </w:rPr>
            </w:pPr>
            <w:r w:rsidRPr="00E773CF">
              <w:rPr>
                <w:rFonts w:ascii="Arial" w:hAnsi="Arial" w:cs="Arial"/>
                <w:b/>
                <w:sz w:val="22"/>
                <w:szCs w:val="22"/>
                <w:u w:val="single"/>
                <w:lang w:val="es-MX"/>
              </w:rPr>
              <w:t>5.00</w:t>
            </w:r>
          </w:p>
        </w:tc>
      </w:tr>
    </w:tbl>
    <w:p w14:paraId="6F45B56C" w14:textId="77777777" w:rsidR="00561B22" w:rsidRPr="00E773CF" w:rsidRDefault="00561B22" w:rsidP="00561B22">
      <w:pPr>
        <w:pStyle w:val="Textoindependiente"/>
        <w:ind w:right="-50"/>
        <w:jc w:val="both"/>
        <w:rPr>
          <w:rFonts w:ascii="Arial" w:hAnsi="Arial" w:cs="Arial"/>
          <w:b/>
          <w:bCs/>
        </w:rPr>
      </w:pPr>
    </w:p>
    <w:p w14:paraId="604DDBFB" w14:textId="77777777" w:rsidR="00561B22" w:rsidRPr="00E773CF" w:rsidRDefault="00561B22" w:rsidP="00561B22">
      <w:pPr>
        <w:pStyle w:val="Textoindependiente"/>
        <w:ind w:right="-50"/>
        <w:jc w:val="both"/>
        <w:rPr>
          <w:rFonts w:ascii="Arial" w:hAnsi="Arial" w:cs="Arial"/>
          <w:b/>
          <w:bCs/>
        </w:rPr>
      </w:pPr>
      <w:r w:rsidRPr="00E773CF">
        <w:rPr>
          <w:rFonts w:ascii="Arial" w:hAnsi="Arial" w:cs="Arial"/>
          <w:b/>
          <w:bCs/>
        </w:rPr>
        <w:t>Del informe enviado retomamos lo siguiente:</w:t>
      </w:r>
    </w:p>
    <w:p w14:paraId="25FD0DD1" w14:textId="77777777" w:rsidR="00561B22" w:rsidRPr="00E773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773CF" w14:paraId="766D01D7" w14:textId="77777777" w:rsidTr="00F1223B">
        <w:tc>
          <w:tcPr>
            <w:tcW w:w="562" w:type="dxa"/>
          </w:tcPr>
          <w:p w14:paraId="7807D866" w14:textId="77777777" w:rsidR="00561B22" w:rsidRPr="00E773CF" w:rsidRDefault="00561B22" w:rsidP="00F1223B">
            <w:pPr>
              <w:ind w:right="-109"/>
              <w:jc w:val="center"/>
              <w:rPr>
                <w:rFonts w:ascii="Arial" w:hAnsi="Arial" w:cs="Arial"/>
                <w:b/>
                <w:sz w:val="22"/>
                <w:szCs w:val="22"/>
                <w:lang w:val="es-MX"/>
              </w:rPr>
            </w:pPr>
            <w:r w:rsidRPr="00E773CF">
              <w:rPr>
                <w:rFonts w:ascii="Arial" w:hAnsi="Arial" w:cs="Arial"/>
                <w:b/>
                <w:sz w:val="22"/>
                <w:szCs w:val="22"/>
                <w:lang w:val="es-MX"/>
              </w:rPr>
              <w:lastRenderedPageBreak/>
              <w:t>N°</w:t>
            </w:r>
          </w:p>
        </w:tc>
        <w:tc>
          <w:tcPr>
            <w:tcW w:w="9400" w:type="dxa"/>
          </w:tcPr>
          <w:p w14:paraId="6005BA36" w14:textId="77777777" w:rsidR="00561B22" w:rsidRPr="00E773CF" w:rsidRDefault="00561B22" w:rsidP="00F1223B">
            <w:pPr>
              <w:jc w:val="center"/>
              <w:rPr>
                <w:rFonts w:ascii="Arial" w:hAnsi="Arial" w:cs="Arial"/>
                <w:b/>
                <w:sz w:val="22"/>
                <w:szCs w:val="22"/>
                <w:lang w:val="es-MX"/>
              </w:rPr>
            </w:pPr>
            <w:r w:rsidRPr="00E773CF">
              <w:rPr>
                <w:rFonts w:ascii="Arial" w:hAnsi="Arial" w:cs="Arial"/>
                <w:b/>
                <w:sz w:val="22"/>
                <w:szCs w:val="22"/>
                <w:lang w:val="es-MX"/>
              </w:rPr>
              <w:t>OPORTUNIDADES DE MEJORA</w:t>
            </w:r>
          </w:p>
          <w:p w14:paraId="56C59EE1" w14:textId="77777777" w:rsidR="00561B22" w:rsidRPr="00E773CF" w:rsidRDefault="00561B22" w:rsidP="00F1223B">
            <w:pPr>
              <w:jc w:val="center"/>
              <w:rPr>
                <w:rFonts w:ascii="Arial" w:hAnsi="Arial" w:cs="Arial"/>
                <w:b/>
                <w:sz w:val="22"/>
                <w:szCs w:val="22"/>
                <w:lang w:val="es-MX"/>
              </w:rPr>
            </w:pPr>
          </w:p>
        </w:tc>
      </w:tr>
      <w:tr w:rsidR="00561B22" w:rsidRPr="00E773CF" w14:paraId="0A8F7D25" w14:textId="77777777" w:rsidTr="00F1223B">
        <w:tc>
          <w:tcPr>
            <w:tcW w:w="562" w:type="dxa"/>
          </w:tcPr>
          <w:p w14:paraId="4EEC88B8" w14:textId="77777777" w:rsidR="00561B22" w:rsidRPr="00E773CF" w:rsidRDefault="00561B22" w:rsidP="00F1223B">
            <w:pPr>
              <w:jc w:val="center"/>
              <w:rPr>
                <w:rFonts w:ascii="Arial" w:hAnsi="Arial" w:cs="Arial"/>
                <w:b/>
                <w:sz w:val="22"/>
                <w:szCs w:val="22"/>
                <w:lang w:val="es-MX"/>
              </w:rPr>
            </w:pPr>
            <w:r w:rsidRPr="00E773CF">
              <w:rPr>
                <w:rFonts w:ascii="Arial" w:hAnsi="Arial" w:cs="Arial"/>
                <w:b/>
                <w:sz w:val="22"/>
                <w:szCs w:val="22"/>
                <w:lang w:val="es-MX"/>
              </w:rPr>
              <w:t>1</w:t>
            </w:r>
          </w:p>
        </w:tc>
        <w:tc>
          <w:tcPr>
            <w:tcW w:w="9400" w:type="dxa"/>
          </w:tcPr>
          <w:p w14:paraId="6345DF2C" w14:textId="77777777" w:rsidR="00561B22" w:rsidRPr="00E773CF" w:rsidRDefault="00561B22" w:rsidP="00F1223B">
            <w:pPr>
              <w:widowControl/>
              <w:adjustRightInd w:val="0"/>
              <w:jc w:val="both"/>
              <w:rPr>
                <w:rFonts w:ascii="Arial" w:eastAsia="Batang" w:hAnsi="Arial" w:cs="Arial"/>
                <w:sz w:val="22"/>
                <w:szCs w:val="22"/>
              </w:rPr>
            </w:pPr>
            <w:r w:rsidRPr="00E773CF">
              <w:rPr>
                <w:rFonts w:ascii="Arial" w:eastAsia="Batang" w:hAnsi="Arial" w:cs="Arial"/>
                <w:sz w:val="22"/>
                <w:szCs w:val="22"/>
              </w:rPr>
              <w:t>En consideración al evento de riesgo ocurrido en enero 2024, referente a la corrección de la declaración de retención en la fuente correspondiente al mes de diciembre de 2023, como consecuencia de hechos que afectaron los ingresos de ese año, los cuales se conocieron después de la fecha de vencimiento de la declaración.  Es importante seguir llevando a cabo revisiones continuas y detalladas de los controles asociados a la gestión de riesgos contables, con el objetivo de continuar identificando posibles vulnerabilidades, asegurando la aplicación de medidas correctivas de manera oportuna. Estas revisiones periódicas permitirán no solo minimizar la probabilidad de que los riesgos se materialicen, sino también mejorar la capacidad de respuesta ante situaciones imprevistas.</w:t>
            </w:r>
          </w:p>
        </w:tc>
      </w:tr>
    </w:tbl>
    <w:p w14:paraId="3DC0A5F8" w14:textId="77777777" w:rsidR="00561B22" w:rsidRPr="00E773CF" w:rsidRDefault="00561B22" w:rsidP="00561B22">
      <w:pPr>
        <w:pStyle w:val="Textoindependiente"/>
        <w:ind w:right="-50"/>
        <w:jc w:val="both"/>
        <w:rPr>
          <w:rFonts w:ascii="Arial" w:hAnsi="Arial" w:cs="Arial"/>
          <w:b/>
          <w:bCs/>
        </w:rPr>
      </w:pPr>
    </w:p>
    <w:p w14:paraId="22ABF768" w14:textId="77777777" w:rsidR="00561B22" w:rsidRPr="00E773CF" w:rsidRDefault="00561B22" w:rsidP="00561B22">
      <w:pPr>
        <w:jc w:val="both"/>
        <w:rPr>
          <w:rFonts w:ascii="Arial" w:hAnsi="Arial" w:cs="Arial"/>
          <w:b/>
          <w:lang w:val="es-MX"/>
        </w:rPr>
      </w:pPr>
      <w:r w:rsidRPr="00E773CF">
        <w:rPr>
          <w:rFonts w:ascii="Arial" w:hAnsi="Arial" w:cs="Arial"/>
          <w:b/>
          <w:lang w:val="es-MX"/>
        </w:rPr>
        <w:t>Del citado informe retomamos las siguientes recomendaciones:</w:t>
      </w:r>
    </w:p>
    <w:p w14:paraId="3A3F223B" w14:textId="77777777" w:rsidR="00561B22" w:rsidRPr="00E773CF"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E773CF" w14:paraId="3D0DDA2E" w14:textId="77777777" w:rsidTr="00F1223B">
        <w:tc>
          <w:tcPr>
            <w:tcW w:w="562" w:type="dxa"/>
          </w:tcPr>
          <w:p w14:paraId="2310F5EC" w14:textId="77777777" w:rsidR="00561B22" w:rsidRPr="00E773CF" w:rsidRDefault="00561B22" w:rsidP="00F1223B">
            <w:pPr>
              <w:ind w:right="-109"/>
              <w:jc w:val="center"/>
              <w:rPr>
                <w:rFonts w:ascii="Arial" w:hAnsi="Arial" w:cs="Arial"/>
                <w:b/>
                <w:sz w:val="22"/>
                <w:szCs w:val="22"/>
                <w:lang w:val="es-MX"/>
              </w:rPr>
            </w:pPr>
            <w:r w:rsidRPr="00E773CF">
              <w:rPr>
                <w:rFonts w:ascii="Arial" w:hAnsi="Arial" w:cs="Arial"/>
                <w:b/>
                <w:sz w:val="22"/>
                <w:szCs w:val="22"/>
                <w:lang w:val="es-MX"/>
              </w:rPr>
              <w:t>N°</w:t>
            </w:r>
          </w:p>
        </w:tc>
        <w:tc>
          <w:tcPr>
            <w:tcW w:w="9400" w:type="dxa"/>
          </w:tcPr>
          <w:p w14:paraId="5CB712F5" w14:textId="77777777" w:rsidR="00561B22" w:rsidRPr="00E773CF" w:rsidRDefault="00561B22" w:rsidP="00F1223B">
            <w:pPr>
              <w:jc w:val="center"/>
              <w:rPr>
                <w:rFonts w:ascii="Arial" w:hAnsi="Arial" w:cs="Arial"/>
                <w:b/>
                <w:sz w:val="22"/>
                <w:szCs w:val="22"/>
                <w:lang w:val="es-MX"/>
              </w:rPr>
            </w:pPr>
            <w:r w:rsidRPr="00E773CF">
              <w:rPr>
                <w:rFonts w:ascii="Arial" w:hAnsi="Arial" w:cs="Arial"/>
                <w:b/>
                <w:sz w:val="22"/>
                <w:szCs w:val="22"/>
                <w:lang w:val="es-MX"/>
              </w:rPr>
              <w:t>RECOMENDACIONES</w:t>
            </w:r>
          </w:p>
          <w:p w14:paraId="765F31FE" w14:textId="77777777" w:rsidR="00561B22" w:rsidRPr="00E773CF" w:rsidRDefault="00561B22" w:rsidP="00F1223B">
            <w:pPr>
              <w:jc w:val="center"/>
              <w:rPr>
                <w:rFonts w:ascii="Arial" w:hAnsi="Arial" w:cs="Arial"/>
                <w:b/>
                <w:sz w:val="22"/>
                <w:szCs w:val="22"/>
                <w:lang w:val="es-MX"/>
              </w:rPr>
            </w:pPr>
          </w:p>
        </w:tc>
      </w:tr>
      <w:tr w:rsidR="00561B22" w:rsidRPr="00E773CF" w14:paraId="7D307FF3" w14:textId="77777777" w:rsidTr="00F1223B">
        <w:tc>
          <w:tcPr>
            <w:tcW w:w="562" w:type="dxa"/>
          </w:tcPr>
          <w:p w14:paraId="5777E8C2" w14:textId="77777777" w:rsidR="00561B22" w:rsidRPr="00E773CF" w:rsidRDefault="00561B22" w:rsidP="00F1223B">
            <w:pPr>
              <w:jc w:val="center"/>
              <w:rPr>
                <w:rFonts w:ascii="Arial" w:hAnsi="Arial" w:cs="Arial"/>
                <w:b/>
                <w:sz w:val="22"/>
                <w:szCs w:val="22"/>
                <w:lang w:val="es-MX"/>
              </w:rPr>
            </w:pPr>
            <w:r w:rsidRPr="00E773CF">
              <w:rPr>
                <w:rFonts w:ascii="Arial" w:hAnsi="Arial" w:cs="Arial"/>
                <w:b/>
                <w:sz w:val="22"/>
                <w:szCs w:val="22"/>
                <w:lang w:val="es-MX"/>
              </w:rPr>
              <w:t>1</w:t>
            </w:r>
          </w:p>
        </w:tc>
        <w:tc>
          <w:tcPr>
            <w:tcW w:w="9400" w:type="dxa"/>
          </w:tcPr>
          <w:p w14:paraId="2E293059" w14:textId="77777777" w:rsidR="00561B22" w:rsidRPr="00E773CF" w:rsidRDefault="00561B22" w:rsidP="00F1223B">
            <w:pPr>
              <w:widowControl/>
              <w:adjustRightInd w:val="0"/>
              <w:jc w:val="both"/>
              <w:rPr>
                <w:rFonts w:ascii="Arial" w:eastAsia="Batang" w:hAnsi="Arial" w:cs="Arial"/>
                <w:sz w:val="22"/>
                <w:szCs w:val="22"/>
              </w:rPr>
            </w:pPr>
            <w:r w:rsidRPr="00E773CF">
              <w:rPr>
                <w:rFonts w:ascii="Arial" w:eastAsia="Batang" w:hAnsi="Arial" w:cs="Arial"/>
                <w:sz w:val="22"/>
                <w:szCs w:val="22"/>
              </w:rPr>
              <w:t>Continuar realizando capacitaciones periódicas a los proveedores de información contable, con el objetivo de asegurar su comprensión y aplicación de las políticas y procedimientos establecidos. Esto contribuye a mantener la consistencia en la información contable proporcionada, reduciendo la posibilidad de errores o discrepancias y mejorando la calidad de los datos que se utilizan en la toma de decisiones.</w:t>
            </w:r>
          </w:p>
        </w:tc>
      </w:tr>
      <w:tr w:rsidR="00561B22" w:rsidRPr="00E773CF" w14:paraId="4F580545" w14:textId="77777777" w:rsidTr="00F1223B">
        <w:tc>
          <w:tcPr>
            <w:tcW w:w="562" w:type="dxa"/>
          </w:tcPr>
          <w:p w14:paraId="48A98144" w14:textId="77777777" w:rsidR="00561B22" w:rsidRPr="00E773CF" w:rsidRDefault="00561B22" w:rsidP="00F1223B">
            <w:pPr>
              <w:jc w:val="center"/>
              <w:rPr>
                <w:rFonts w:ascii="Arial" w:hAnsi="Arial" w:cs="Arial"/>
                <w:b/>
                <w:sz w:val="22"/>
                <w:szCs w:val="22"/>
                <w:lang w:val="es-MX"/>
              </w:rPr>
            </w:pPr>
            <w:r w:rsidRPr="00E773CF">
              <w:rPr>
                <w:rFonts w:ascii="Arial" w:hAnsi="Arial" w:cs="Arial"/>
                <w:b/>
                <w:sz w:val="22"/>
                <w:szCs w:val="22"/>
                <w:lang w:val="es-MX"/>
              </w:rPr>
              <w:t>2</w:t>
            </w:r>
          </w:p>
        </w:tc>
        <w:tc>
          <w:tcPr>
            <w:tcW w:w="9400" w:type="dxa"/>
          </w:tcPr>
          <w:p w14:paraId="29D0EE70" w14:textId="77777777" w:rsidR="00561B22" w:rsidRPr="00E773CF" w:rsidRDefault="00561B22" w:rsidP="00F1223B">
            <w:pPr>
              <w:widowControl/>
              <w:adjustRightInd w:val="0"/>
              <w:jc w:val="both"/>
              <w:rPr>
                <w:rFonts w:ascii="Arial" w:eastAsia="Batang" w:hAnsi="Arial" w:cs="Arial"/>
                <w:sz w:val="22"/>
                <w:szCs w:val="22"/>
              </w:rPr>
            </w:pPr>
            <w:r w:rsidRPr="00E773CF">
              <w:rPr>
                <w:rFonts w:ascii="Arial" w:eastAsia="Batang" w:hAnsi="Arial" w:cs="Arial"/>
                <w:sz w:val="22"/>
                <w:szCs w:val="22"/>
              </w:rPr>
              <w:t>Seguir avanzando en la revisión de la implementación de una estructura contable, que facilite la generación de información financiera compatible con informes de sostenibilidad, alineada con la estrategia transversal que el Fondo está desarrollando en el área de sostenibilidad.</w:t>
            </w:r>
          </w:p>
        </w:tc>
      </w:tr>
    </w:tbl>
    <w:p w14:paraId="7ECF05F3" w14:textId="77777777" w:rsidR="00561B22" w:rsidRDefault="00561B22" w:rsidP="00561B22">
      <w:pPr>
        <w:pStyle w:val="Textoindependiente"/>
        <w:ind w:right="-50"/>
        <w:jc w:val="both"/>
        <w:rPr>
          <w:b/>
          <w:bCs/>
          <w:sz w:val="28"/>
          <w:szCs w:val="28"/>
        </w:rPr>
      </w:pPr>
    </w:p>
    <w:p w14:paraId="67242BF8" w14:textId="77777777" w:rsidR="00561B22" w:rsidRDefault="00561B22" w:rsidP="00561B22">
      <w:pPr>
        <w:jc w:val="both"/>
        <w:rPr>
          <w:rFonts w:ascii="Arial" w:hAnsi="Arial" w:cs="Arial"/>
          <w:b/>
          <w:sz w:val="28"/>
          <w:szCs w:val="28"/>
          <w:lang w:val="es-MX"/>
        </w:rPr>
      </w:pPr>
      <w:r w:rsidRPr="00942103">
        <w:rPr>
          <w:rFonts w:ascii="Arial" w:hAnsi="Arial" w:cs="Arial"/>
          <w:b/>
          <w:sz w:val="28"/>
          <w:szCs w:val="28"/>
          <w:lang w:val="es-MX"/>
        </w:rPr>
        <w:t>136.- LA PREVISORA S.A. – COMPAÑÍA DE SEGUROS S.A.</w:t>
      </w:r>
    </w:p>
    <w:p w14:paraId="71B7AA20" w14:textId="77777777" w:rsidR="00561B22" w:rsidRDefault="00561B22" w:rsidP="00561B22">
      <w:pPr>
        <w:jc w:val="both"/>
        <w:rPr>
          <w:rFonts w:ascii="Arial" w:hAnsi="Arial" w:cs="Arial"/>
          <w:b/>
          <w:sz w:val="28"/>
          <w:szCs w:val="28"/>
          <w:lang w:val="es-MX"/>
        </w:rPr>
      </w:pPr>
    </w:p>
    <w:p w14:paraId="2E067015" w14:textId="77777777" w:rsidR="00561B22" w:rsidRPr="00E7774B" w:rsidRDefault="00561B22" w:rsidP="00561B22">
      <w:pPr>
        <w:pStyle w:val="Textoindependiente"/>
        <w:ind w:right="-50"/>
        <w:jc w:val="center"/>
        <w:rPr>
          <w:rFonts w:ascii="Arial" w:hAnsi="Arial" w:cs="Arial"/>
          <w:b/>
          <w:bCs/>
        </w:rPr>
      </w:pPr>
      <w:r w:rsidRPr="00E7774B">
        <w:rPr>
          <w:rFonts w:ascii="Arial" w:hAnsi="Arial" w:cs="Arial"/>
          <w:b/>
          <w:bCs/>
        </w:rPr>
        <w:t>INFORME DE LA AUTOCALIFICACIÓN DEL SISTEMA DE CONTROL INTERNO CONTABLE:</w:t>
      </w:r>
    </w:p>
    <w:p w14:paraId="4806A32E" w14:textId="77777777" w:rsidR="00561B22" w:rsidRPr="00E7774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7774B" w14:paraId="1A6907B1" w14:textId="77777777" w:rsidTr="00F1223B">
        <w:tc>
          <w:tcPr>
            <w:tcW w:w="4981" w:type="dxa"/>
          </w:tcPr>
          <w:p w14:paraId="41AEF57A"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AUTOCALIFICACIÓN</w:t>
            </w:r>
          </w:p>
        </w:tc>
        <w:tc>
          <w:tcPr>
            <w:tcW w:w="4981" w:type="dxa"/>
          </w:tcPr>
          <w:p w14:paraId="700C1405" w14:textId="77777777" w:rsidR="00561B22" w:rsidRPr="00E7774B" w:rsidRDefault="00561B22" w:rsidP="00F1223B">
            <w:pPr>
              <w:jc w:val="center"/>
              <w:rPr>
                <w:rFonts w:ascii="Arial" w:hAnsi="Arial" w:cs="Arial"/>
                <w:b/>
                <w:sz w:val="22"/>
                <w:szCs w:val="22"/>
                <w:u w:val="single"/>
                <w:lang w:val="es-MX"/>
              </w:rPr>
            </w:pPr>
            <w:r w:rsidRPr="00E7774B">
              <w:rPr>
                <w:rFonts w:ascii="Arial" w:hAnsi="Arial" w:cs="Arial"/>
                <w:b/>
                <w:sz w:val="22"/>
                <w:szCs w:val="22"/>
                <w:u w:val="single"/>
                <w:lang w:val="es-MX"/>
              </w:rPr>
              <w:t>4.97</w:t>
            </w:r>
          </w:p>
        </w:tc>
      </w:tr>
    </w:tbl>
    <w:p w14:paraId="4A58DF27" w14:textId="77777777" w:rsidR="00561B22" w:rsidRPr="00E7774B" w:rsidRDefault="00561B22" w:rsidP="00561B22">
      <w:pPr>
        <w:pStyle w:val="Textoindependiente"/>
        <w:ind w:right="-50"/>
        <w:jc w:val="both"/>
        <w:rPr>
          <w:rFonts w:ascii="Arial" w:hAnsi="Arial" w:cs="Arial"/>
          <w:b/>
          <w:bCs/>
        </w:rPr>
      </w:pPr>
    </w:p>
    <w:p w14:paraId="4E75AA71" w14:textId="77777777" w:rsidR="00561B22" w:rsidRPr="00E7774B" w:rsidRDefault="00561B22" w:rsidP="00561B22">
      <w:pPr>
        <w:pStyle w:val="Textoindependiente"/>
        <w:ind w:right="-50"/>
        <w:jc w:val="both"/>
        <w:rPr>
          <w:rFonts w:ascii="Arial" w:hAnsi="Arial" w:cs="Arial"/>
          <w:b/>
          <w:bCs/>
        </w:rPr>
      </w:pPr>
      <w:r w:rsidRPr="00E7774B">
        <w:rPr>
          <w:rFonts w:ascii="Arial" w:hAnsi="Arial" w:cs="Arial"/>
          <w:b/>
          <w:bCs/>
        </w:rPr>
        <w:t>Del informe enviado retomamos lo siguiente:</w:t>
      </w:r>
    </w:p>
    <w:p w14:paraId="131891A3" w14:textId="77777777" w:rsidR="00561B22" w:rsidRPr="00E7774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7774B" w14:paraId="1A4B260D" w14:textId="77777777" w:rsidTr="00F1223B">
        <w:tc>
          <w:tcPr>
            <w:tcW w:w="562" w:type="dxa"/>
          </w:tcPr>
          <w:p w14:paraId="3097D2DD" w14:textId="77777777" w:rsidR="00561B22" w:rsidRPr="00E7774B" w:rsidRDefault="00561B22" w:rsidP="00F1223B">
            <w:pPr>
              <w:ind w:right="-109"/>
              <w:jc w:val="center"/>
              <w:rPr>
                <w:rFonts w:ascii="Arial" w:hAnsi="Arial" w:cs="Arial"/>
                <w:b/>
                <w:sz w:val="22"/>
                <w:szCs w:val="22"/>
                <w:lang w:val="es-MX"/>
              </w:rPr>
            </w:pPr>
            <w:r w:rsidRPr="00E7774B">
              <w:rPr>
                <w:rFonts w:ascii="Arial" w:hAnsi="Arial" w:cs="Arial"/>
                <w:b/>
                <w:sz w:val="22"/>
                <w:szCs w:val="22"/>
                <w:lang w:val="es-MX"/>
              </w:rPr>
              <w:t>N°</w:t>
            </w:r>
          </w:p>
        </w:tc>
        <w:tc>
          <w:tcPr>
            <w:tcW w:w="9400" w:type="dxa"/>
          </w:tcPr>
          <w:p w14:paraId="4B81280C"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DEBILIDADES</w:t>
            </w:r>
          </w:p>
          <w:p w14:paraId="34EA444E" w14:textId="77777777" w:rsidR="00561B22" w:rsidRPr="00E7774B" w:rsidRDefault="00561B22" w:rsidP="00F1223B">
            <w:pPr>
              <w:jc w:val="center"/>
              <w:rPr>
                <w:rFonts w:ascii="Arial" w:hAnsi="Arial" w:cs="Arial"/>
                <w:b/>
                <w:sz w:val="22"/>
                <w:szCs w:val="22"/>
                <w:lang w:val="es-MX"/>
              </w:rPr>
            </w:pPr>
          </w:p>
        </w:tc>
      </w:tr>
      <w:tr w:rsidR="00561B22" w:rsidRPr="00E7774B" w14:paraId="5752B930" w14:textId="77777777" w:rsidTr="00F1223B">
        <w:tc>
          <w:tcPr>
            <w:tcW w:w="562" w:type="dxa"/>
          </w:tcPr>
          <w:p w14:paraId="4FFF7FA9"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1</w:t>
            </w:r>
          </w:p>
        </w:tc>
        <w:tc>
          <w:tcPr>
            <w:tcW w:w="9400" w:type="dxa"/>
          </w:tcPr>
          <w:p w14:paraId="17D1666A" w14:textId="77777777" w:rsidR="00561B22" w:rsidRPr="00E7774B" w:rsidRDefault="00561B22" w:rsidP="00F1223B">
            <w:pPr>
              <w:jc w:val="both"/>
              <w:rPr>
                <w:rFonts w:ascii="Arial" w:hAnsi="Arial" w:cs="Arial"/>
                <w:sz w:val="22"/>
                <w:szCs w:val="22"/>
                <w:lang w:val="es-MX"/>
              </w:rPr>
            </w:pPr>
            <w:r w:rsidRPr="00E7774B">
              <w:rPr>
                <w:rFonts w:ascii="Arial" w:hAnsi="Arial" w:cs="Arial"/>
                <w:sz w:val="22"/>
                <w:szCs w:val="22"/>
                <w:lang w:val="es-MX"/>
              </w:rPr>
              <w:t>Al efectuar los procedimientos de auditoría conducentes a contar con evidencia suficiente para dar respuestas a las preguntas del cuestionario, se identificó que existe un cumplimiento parcial en el componente de registro en la pregunta N° 17.2, toda vez que se identificó lo siguiente: Al cierre de diciembre de 2024, existían 12 paquetes contables que aún estaban pendientes de ser alojados para su disposición final en el SharePoint por parte del personal del CAD en cada Sucursal, luego de su recepción por parte del profesional designado.</w:t>
            </w:r>
          </w:p>
        </w:tc>
      </w:tr>
    </w:tbl>
    <w:p w14:paraId="1B97479F" w14:textId="77777777" w:rsidR="00561B22" w:rsidRPr="00E7774B" w:rsidRDefault="00561B22" w:rsidP="00561B22">
      <w:pPr>
        <w:pStyle w:val="Textoindependiente"/>
        <w:ind w:right="-50"/>
        <w:jc w:val="both"/>
        <w:rPr>
          <w:rFonts w:ascii="Arial" w:hAnsi="Arial" w:cs="Arial"/>
          <w:b/>
          <w:bCs/>
        </w:rPr>
      </w:pPr>
    </w:p>
    <w:p w14:paraId="15A368CB" w14:textId="77777777" w:rsidR="00561B22" w:rsidRPr="00E7774B" w:rsidRDefault="00561B22" w:rsidP="00561B22">
      <w:pPr>
        <w:jc w:val="both"/>
        <w:rPr>
          <w:rFonts w:ascii="Arial" w:hAnsi="Arial" w:cs="Arial"/>
          <w:b/>
          <w:lang w:val="es-MX"/>
        </w:rPr>
      </w:pPr>
      <w:r w:rsidRPr="00E7774B">
        <w:rPr>
          <w:rFonts w:ascii="Arial" w:hAnsi="Arial" w:cs="Arial"/>
          <w:b/>
          <w:lang w:val="es-MX"/>
        </w:rPr>
        <w:t>Del citado informe retomamos las siguientes recomendaciones:</w:t>
      </w:r>
    </w:p>
    <w:p w14:paraId="38F7F8E8" w14:textId="77777777" w:rsidR="00561B22" w:rsidRPr="00E7774B"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E7774B" w14:paraId="58A68E51" w14:textId="77777777" w:rsidTr="00F1223B">
        <w:tc>
          <w:tcPr>
            <w:tcW w:w="562" w:type="dxa"/>
          </w:tcPr>
          <w:p w14:paraId="1C14A8DC" w14:textId="77777777" w:rsidR="00561B22" w:rsidRPr="00E7774B" w:rsidRDefault="00561B22" w:rsidP="00F1223B">
            <w:pPr>
              <w:ind w:right="-109"/>
              <w:jc w:val="center"/>
              <w:rPr>
                <w:rFonts w:ascii="Arial" w:hAnsi="Arial" w:cs="Arial"/>
                <w:b/>
                <w:sz w:val="22"/>
                <w:szCs w:val="22"/>
                <w:lang w:val="es-MX"/>
              </w:rPr>
            </w:pPr>
            <w:r w:rsidRPr="00E7774B">
              <w:rPr>
                <w:rFonts w:ascii="Arial" w:hAnsi="Arial" w:cs="Arial"/>
                <w:b/>
                <w:sz w:val="22"/>
                <w:szCs w:val="22"/>
                <w:lang w:val="es-MX"/>
              </w:rPr>
              <w:t>N°</w:t>
            </w:r>
          </w:p>
        </w:tc>
        <w:tc>
          <w:tcPr>
            <w:tcW w:w="9400" w:type="dxa"/>
          </w:tcPr>
          <w:p w14:paraId="5F9ECBD3"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RECOMENDACIONES</w:t>
            </w:r>
          </w:p>
          <w:p w14:paraId="69FE3790" w14:textId="77777777" w:rsidR="00561B22" w:rsidRPr="00E7774B" w:rsidRDefault="00561B22" w:rsidP="00F1223B">
            <w:pPr>
              <w:jc w:val="center"/>
              <w:rPr>
                <w:rFonts w:ascii="Arial" w:hAnsi="Arial" w:cs="Arial"/>
                <w:b/>
                <w:sz w:val="22"/>
                <w:szCs w:val="22"/>
                <w:lang w:val="es-MX"/>
              </w:rPr>
            </w:pPr>
          </w:p>
        </w:tc>
      </w:tr>
      <w:tr w:rsidR="00561B22" w:rsidRPr="00E7774B" w14:paraId="769425EE" w14:textId="77777777" w:rsidTr="00F1223B">
        <w:tc>
          <w:tcPr>
            <w:tcW w:w="562" w:type="dxa"/>
          </w:tcPr>
          <w:p w14:paraId="08AE8EB3"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1</w:t>
            </w:r>
          </w:p>
        </w:tc>
        <w:tc>
          <w:tcPr>
            <w:tcW w:w="9400" w:type="dxa"/>
          </w:tcPr>
          <w:p w14:paraId="2BA51144" w14:textId="77777777" w:rsidR="00561B22" w:rsidRPr="00E7774B" w:rsidRDefault="00561B22" w:rsidP="00F1223B">
            <w:pPr>
              <w:jc w:val="both"/>
              <w:rPr>
                <w:rFonts w:ascii="Arial" w:hAnsi="Arial" w:cs="Arial"/>
                <w:sz w:val="22"/>
                <w:szCs w:val="22"/>
                <w:lang w:val="es-MX"/>
              </w:rPr>
            </w:pPr>
            <w:r w:rsidRPr="00E7774B">
              <w:rPr>
                <w:rFonts w:ascii="Arial" w:hAnsi="Arial" w:cs="Arial"/>
                <w:sz w:val="22"/>
                <w:szCs w:val="22"/>
                <w:lang w:val="es-MX"/>
              </w:rPr>
              <w:t xml:space="preserve">Paquetes Contables. </w:t>
            </w:r>
          </w:p>
        </w:tc>
      </w:tr>
      <w:tr w:rsidR="00561B22" w:rsidRPr="00E7774B" w14:paraId="36FD2989" w14:textId="77777777" w:rsidTr="00F1223B">
        <w:tc>
          <w:tcPr>
            <w:tcW w:w="562" w:type="dxa"/>
          </w:tcPr>
          <w:p w14:paraId="2C801F90"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2</w:t>
            </w:r>
          </w:p>
        </w:tc>
        <w:tc>
          <w:tcPr>
            <w:tcW w:w="9400" w:type="dxa"/>
          </w:tcPr>
          <w:p w14:paraId="4A4793C8" w14:textId="77777777" w:rsidR="00561B22" w:rsidRPr="00E7774B" w:rsidRDefault="00561B22" w:rsidP="00F1223B">
            <w:pPr>
              <w:jc w:val="both"/>
              <w:rPr>
                <w:rFonts w:ascii="Arial" w:hAnsi="Arial" w:cs="Arial"/>
                <w:sz w:val="22"/>
                <w:szCs w:val="22"/>
                <w:lang w:val="es-MX"/>
              </w:rPr>
            </w:pPr>
            <w:r w:rsidRPr="00E7774B">
              <w:rPr>
                <w:rFonts w:ascii="Arial" w:hAnsi="Arial" w:cs="Arial"/>
                <w:sz w:val="22"/>
                <w:szCs w:val="22"/>
                <w:lang w:val="es-MX"/>
              </w:rPr>
              <w:t>Proporcionar capacitación al personal del CAD donde se aborde el uso adecuado de SharePoint y resalte la importancia de la carga oportuna de documentos contables.</w:t>
            </w:r>
          </w:p>
        </w:tc>
      </w:tr>
      <w:tr w:rsidR="00561B22" w:rsidRPr="00E7774B" w14:paraId="5738D7E4" w14:textId="77777777" w:rsidTr="00F1223B">
        <w:tc>
          <w:tcPr>
            <w:tcW w:w="562" w:type="dxa"/>
          </w:tcPr>
          <w:p w14:paraId="292F4A5B"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3</w:t>
            </w:r>
          </w:p>
        </w:tc>
        <w:tc>
          <w:tcPr>
            <w:tcW w:w="9400" w:type="dxa"/>
          </w:tcPr>
          <w:p w14:paraId="164459E1" w14:textId="77777777" w:rsidR="00561B22" w:rsidRPr="00E7774B" w:rsidRDefault="00561B22" w:rsidP="00F1223B">
            <w:pPr>
              <w:jc w:val="both"/>
              <w:rPr>
                <w:rFonts w:ascii="Arial" w:hAnsi="Arial" w:cs="Arial"/>
                <w:sz w:val="22"/>
                <w:szCs w:val="22"/>
                <w:lang w:val="es-MX"/>
              </w:rPr>
            </w:pPr>
            <w:r w:rsidRPr="00E7774B">
              <w:rPr>
                <w:rFonts w:ascii="Arial" w:hAnsi="Arial" w:cs="Arial"/>
                <w:sz w:val="22"/>
                <w:szCs w:val="22"/>
                <w:lang w:val="es-MX"/>
              </w:rPr>
              <w:t xml:space="preserve">Proporcionar un acompañamiento continuo a los nuevos integrantes del CAD durante todo el proceso de adaptación, asegurando que cuenten con el apoyo necesario hasta completar su </w:t>
            </w:r>
            <w:r w:rsidRPr="00E7774B">
              <w:rPr>
                <w:rFonts w:ascii="Arial" w:hAnsi="Arial" w:cs="Arial"/>
                <w:sz w:val="22"/>
                <w:szCs w:val="22"/>
                <w:lang w:val="es-MX"/>
              </w:rPr>
              <w:lastRenderedPageBreak/>
              <w:t>curva de aprendizaje.</w:t>
            </w:r>
          </w:p>
        </w:tc>
      </w:tr>
      <w:tr w:rsidR="00561B22" w:rsidRPr="00E7774B" w14:paraId="73FBF4BF" w14:textId="77777777" w:rsidTr="00F1223B">
        <w:tc>
          <w:tcPr>
            <w:tcW w:w="562" w:type="dxa"/>
          </w:tcPr>
          <w:p w14:paraId="3ABF26C9"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lastRenderedPageBreak/>
              <w:t>4</w:t>
            </w:r>
          </w:p>
        </w:tc>
        <w:tc>
          <w:tcPr>
            <w:tcW w:w="9400" w:type="dxa"/>
          </w:tcPr>
          <w:p w14:paraId="523FC882" w14:textId="77777777" w:rsidR="00561B22" w:rsidRPr="00E7774B" w:rsidRDefault="00561B22" w:rsidP="00F1223B">
            <w:pPr>
              <w:jc w:val="both"/>
              <w:rPr>
                <w:rFonts w:ascii="Arial" w:hAnsi="Arial" w:cs="Arial"/>
                <w:sz w:val="22"/>
                <w:szCs w:val="22"/>
                <w:lang w:val="es-MX"/>
              </w:rPr>
            </w:pPr>
            <w:r w:rsidRPr="00E7774B">
              <w:rPr>
                <w:rFonts w:ascii="Arial" w:hAnsi="Arial" w:cs="Arial"/>
                <w:sz w:val="22"/>
                <w:szCs w:val="22"/>
                <w:lang w:val="es-MX"/>
              </w:rPr>
              <w:t>Reforzar el seguimiento de la carga de paquetes contables por parte del área de Recursos Físicos hacia el CAD. En caso de presentarse cualquier novedad, estas deben ser reportadas de inmediato para garantizar una pronta solución. Gestión de riesgos.</w:t>
            </w:r>
          </w:p>
        </w:tc>
      </w:tr>
      <w:tr w:rsidR="00561B22" w:rsidRPr="00E7774B" w14:paraId="6ABD8E4B" w14:textId="77777777" w:rsidTr="00F1223B">
        <w:tc>
          <w:tcPr>
            <w:tcW w:w="562" w:type="dxa"/>
          </w:tcPr>
          <w:p w14:paraId="23E93534" w14:textId="77777777" w:rsidR="00561B22" w:rsidRPr="00E7774B" w:rsidRDefault="00561B22" w:rsidP="00F1223B">
            <w:pPr>
              <w:jc w:val="center"/>
              <w:rPr>
                <w:rFonts w:ascii="Arial" w:hAnsi="Arial" w:cs="Arial"/>
                <w:b/>
                <w:sz w:val="22"/>
                <w:szCs w:val="22"/>
                <w:lang w:val="es-MX"/>
              </w:rPr>
            </w:pPr>
            <w:r w:rsidRPr="00E7774B">
              <w:rPr>
                <w:rFonts w:ascii="Arial" w:hAnsi="Arial" w:cs="Arial"/>
                <w:b/>
                <w:sz w:val="22"/>
                <w:szCs w:val="22"/>
                <w:lang w:val="es-MX"/>
              </w:rPr>
              <w:t>5</w:t>
            </w:r>
          </w:p>
        </w:tc>
        <w:tc>
          <w:tcPr>
            <w:tcW w:w="9400" w:type="dxa"/>
          </w:tcPr>
          <w:p w14:paraId="44AAE26F" w14:textId="77777777" w:rsidR="00561B22" w:rsidRPr="00E7774B" w:rsidRDefault="00561B22" w:rsidP="00F1223B">
            <w:pPr>
              <w:jc w:val="both"/>
              <w:rPr>
                <w:rFonts w:ascii="Arial" w:hAnsi="Arial" w:cs="Arial"/>
                <w:sz w:val="22"/>
                <w:szCs w:val="22"/>
                <w:lang w:val="es-MX"/>
              </w:rPr>
            </w:pPr>
            <w:r w:rsidRPr="00E7774B">
              <w:rPr>
                <w:rFonts w:ascii="Arial" w:hAnsi="Arial" w:cs="Arial"/>
                <w:sz w:val="22"/>
                <w:szCs w:val="22"/>
                <w:lang w:val="es-MX"/>
              </w:rPr>
              <w:t>Evaluar la composición de la matriz de riesgos y controles con el fin de hacer una revisión integral que permita lograr la optimización de los controles diseñados y una tendencia a la automatización del proceso contable.</w:t>
            </w:r>
          </w:p>
        </w:tc>
      </w:tr>
    </w:tbl>
    <w:p w14:paraId="0508C883" w14:textId="77777777" w:rsidR="00561B22" w:rsidRPr="00E7774B" w:rsidRDefault="00561B22" w:rsidP="00561B22">
      <w:pPr>
        <w:pStyle w:val="Textoindependiente"/>
        <w:ind w:right="-50"/>
        <w:jc w:val="both"/>
        <w:rPr>
          <w:rFonts w:ascii="Arial" w:hAnsi="Arial" w:cs="Arial"/>
          <w:b/>
          <w:bCs/>
          <w:sz w:val="28"/>
          <w:szCs w:val="28"/>
        </w:rPr>
      </w:pPr>
    </w:p>
    <w:p w14:paraId="3D010755" w14:textId="77777777" w:rsidR="00561B22" w:rsidRPr="00E7774B" w:rsidRDefault="00561B22" w:rsidP="00561B22">
      <w:pPr>
        <w:jc w:val="both"/>
        <w:rPr>
          <w:rFonts w:ascii="Arial" w:hAnsi="Arial" w:cs="Arial"/>
          <w:b/>
          <w:bCs/>
          <w:sz w:val="24"/>
          <w:szCs w:val="24"/>
          <w:lang w:val="es-CO"/>
        </w:rPr>
      </w:pPr>
      <w:r w:rsidRPr="00E7774B">
        <w:rPr>
          <w:rFonts w:ascii="Arial" w:hAnsi="Arial" w:cs="Arial"/>
          <w:b/>
          <w:bCs/>
          <w:sz w:val="24"/>
          <w:szCs w:val="24"/>
          <w:lang w:val="es-CO"/>
        </w:rPr>
        <w:t xml:space="preserve">NOTA: LA ENTIDAD ENVÍA LA MATRIZ DE AUTOEVALUACIÓN DEL SISTEMA DE CONTROL INTERNO CONTABLE CON </w:t>
      </w:r>
      <w:r w:rsidRPr="00E7774B">
        <w:rPr>
          <w:rFonts w:ascii="Arial" w:hAnsi="Arial" w:cs="Arial"/>
          <w:b/>
          <w:bCs/>
          <w:sz w:val="24"/>
          <w:szCs w:val="24"/>
          <w:u w:val="single"/>
          <w:lang w:val="es-CO"/>
        </w:rPr>
        <w:t>ACTIVIDADES DE CONTROL REALIZADAS EN FORMA PARCIAL</w:t>
      </w:r>
      <w:r w:rsidRPr="00E7774B">
        <w:rPr>
          <w:rFonts w:ascii="Arial" w:hAnsi="Arial" w:cs="Arial"/>
          <w:b/>
          <w:bCs/>
          <w:sz w:val="24"/>
          <w:szCs w:val="24"/>
          <w:lang w:val="es-CO"/>
        </w:rPr>
        <w:t>.</w:t>
      </w:r>
    </w:p>
    <w:p w14:paraId="6B831521" w14:textId="77777777" w:rsidR="00561B22" w:rsidRPr="00E7774B" w:rsidRDefault="00561B22" w:rsidP="00561B22">
      <w:pPr>
        <w:pStyle w:val="Textoindependiente"/>
        <w:ind w:right="-50"/>
        <w:jc w:val="both"/>
        <w:rPr>
          <w:rFonts w:ascii="Arial" w:hAnsi="Arial" w:cs="Arial"/>
          <w:b/>
          <w:bCs/>
          <w:sz w:val="28"/>
          <w:szCs w:val="28"/>
        </w:rPr>
      </w:pPr>
    </w:p>
    <w:p w14:paraId="1ECE773F" w14:textId="77777777" w:rsidR="00561B22" w:rsidRPr="00E604F3" w:rsidRDefault="00561B22" w:rsidP="00561B22">
      <w:pPr>
        <w:jc w:val="both"/>
        <w:rPr>
          <w:rFonts w:ascii="Arial" w:hAnsi="Arial" w:cs="Arial"/>
          <w:b/>
          <w:sz w:val="28"/>
          <w:szCs w:val="28"/>
          <w:lang w:val="es-MX"/>
        </w:rPr>
      </w:pPr>
      <w:r w:rsidRPr="00E604F3">
        <w:rPr>
          <w:rFonts w:ascii="Arial" w:hAnsi="Arial" w:cs="Arial"/>
          <w:b/>
          <w:sz w:val="28"/>
          <w:szCs w:val="28"/>
          <w:lang w:val="es-MX"/>
        </w:rPr>
        <w:t>137.- RED UNIVERSITARIA - REDU.</w:t>
      </w:r>
    </w:p>
    <w:p w14:paraId="71C160DC" w14:textId="77777777" w:rsidR="00561B22" w:rsidRPr="00E604F3" w:rsidRDefault="00561B22" w:rsidP="00561B22">
      <w:pPr>
        <w:pStyle w:val="Prrafodelista"/>
        <w:spacing w:before="92"/>
        <w:ind w:left="-142"/>
        <w:rPr>
          <w:rFonts w:ascii="Arial" w:hAnsi="Arial" w:cs="Arial"/>
          <w:b/>
          <w:sz w:val="24"/>
        </w:rPr>
      </w:pPr>
    </w:p>
    <w:p w14:paraId="22ADC1DF" w14:textId="77777777" w:rsidR="00561B22" w:rsidRPr="001F062E" w:rsidRDefault="00561B22" w:rsidP="00561B22">
      <w:pPr>
        <w:pStyle w:val="Textoindependiente"/>
        <w:jc w:val="center"/>
        <w:rPr>
          <w:rFonts w:ascii="Arial" w:hAnsi="Arial" w:cs="Arial"/>
          <w:b/>
          <w:bCs/>
        </w:rPr>
      </w:pPr>
      <w:r w:rsidRPr="001F062E">
        <w:rPr>
          <w:rFonts w:ascii="Arial" w:hAnsi="Arial" w:cs="Arial"/>
          <w:b/>
          <w:bCs/>
        </w:rPr>
        <w:t>INFORME DE LA AUTOCALIFICACIÓN DEL SISTEMA DE CONTROL INTERNO CONTABLE:</w:t>
      </w:r>
    </w:p>
    <w:p w14:paraId="7EF35BDA" w14:textId="77777777" w:rsidR="00561B22" w:rsidRPr="001F062E"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F062E" w14:paraId="4C3B2461" w14:textId="77777777" w:rsidTr="00F1223B">
        <w:tc>
          <w:tcPr>
            <w:tcW w:w="4981" w:type="dxa"/>
          </w:tcPr>
          <w:p w14:paraId="5917C436"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AUTOCALIFICACIÓN</w:t>
            </w:r>
          </w:p>
        </w:tc>
        <w:tc>
          <w:tcPr>
            <w:tcW w:w="4981" w:type="dxa"/>
          </w:tcPr>
          <w:p w14:paraId="7FCF3BEE" w14:textId="77777777" w:rsidR="00561B22" w:rsidRPr="001F062E" w:rsidRDefault="00561B22" w:rsidP="00F1223B">
            <w:pPr>
              <w:jc w:val="center"/>
              <w:rPr>
                <w:rFonts w:ascii="Arial" w:hAnsi="Arial" w:cs="Arial"/>
                <w:b/>
                <w:sz w:val="22"/>
                <w:szCs w:val="22"/>
                <w:u w:val="single"/>
                <w:lang w:val="es-MX"/>
              </w:rPr>
            </w:pPr>
            <w:r w:rsidRPr="001F062E">
              <w:rPr>
                <w:rFonts w:ascii="Arial" w:hAnsi="Arial" w:cs="Arial"/>
                <w:b/>
                <w:sz w:val="22"/>
                <w:szCs w:val="22"/>
                <w:u w:val="single"/>
                <w:lang w:val="es-MX"/>
              </w:rPr>
              <w:t>5.00</w:t>
            </w:r>
          </w:p>
        </w:tc>
      </w:tr>
    </w:tbl>
    <w:p w14:paraId="13EF6E17" w14:textId="77777777" w:rsidR="00561B22" w:rsidRPr="001F062E" w:rsidRDefault="00561B22" w:rsidP="00561B22">
      <w:pPr>
        <w:pStyle w:val="Textoindependiente"/>
        <w:jc w:val="both"/>
        <w:rPr>
          <w:rFonts w:ascii="Arial" w:hAnsi="Arial" w:cs="Arial"/>
          <w:b/>
          <w:bCs/>
        </w:rPr>
      </w:pPr>
    </w:p>
    <w:p w14:paraId="635F1B74" w14:textId="77777777" w:rsidR="00561B22" w:rsidRPr="001F062E" w:rsidRDefault="00561B22" w:rsidP="00561B22">
      <w:pPr>
        <w:pStyle w:val="Textoindependiente"/>
        <w:jc w:val="both"/>
        <w:rPr>
          <w:rFonts w:ascii="Arial" w:hAnsi="Arial" w:cs="Arial"/>
          <w:b/>
          <w:bCs/>
        </w:rPr>
      </w:pPr>
      <w:r w:rsidRPr="001F062E">
        <w:rPr>
          <w:rFonts w:ascii="Arial" w:hAnsi="Arial" w:cs="Arial"/>
          <w:b/>
          <w:bCs/>
        </w:rPr>
        <w:t>Del informe enviado retomamos lo siguiente:</w:t>
      </w:r>
    </w:p>
    <w:p w14:paraId="52AD2CB2" w14:textId="77777777" w:rsidR="00561B22" w:rsidRPr="001F062E"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F062E" w14:paraId="4A9FD6D0" w14:textId="77777777" w:rsidTr="00F1223B">
        <w:tc>
          <w:tcPr>
            <w:tcW w:w="562" w:type="dxa"/>
          </w:tcPr>
          <w:p w14:paraId="589896A8"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N°</w:t>
            </w:r>
          </w:p>
        </w:tc>
        <w:tc>
          <w:tcPr>
            <w:tcW w:w="9400" w:type="dxa"/>
          </w:tcPr>
          <w:p w14:paraId="70D89DBE"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DEBILIDADES</w:t>
            </w:r>
          </w:p>
          <w:p w14:paraId="412885BF" w14:textId="77777777" w:rsidR="00561B22" w:rsidRPr="001F062E" w:rsidRDefault="00561B22" w:rsidP="00F1223B">
            <w:pPr>
              <w:jc w:val="center"/>
              <w:rPr>
                <w:rFonts w:ascii="Arial" w:hAnsi="Arial" w:cs="Arial"/>
                <w:b/>
                <w:sz w:val="22"/>
                <w:szCs w:val="22"/>
                <w:lang w:val="es-MX"/>
              </w:rPr>
            </w:pPr>
          </w:p>
        </w:tc>
      </w:tr>
      <w:tr w:rsidR="00561B22" w:rsidRPr="001F062E" w14:paraId="312C20E0" w14:textId="77777777" w:rsidTr="00F1223B">
        <w:tc>
          <w:tcPr>
            <w:tcW w:w="562" w:type="dxa"/>
          </w:tcPr>
          <w:p w14:paraId="7100CF03"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1</w:t>
            </w:r>
          </w:p>
        </w:tc>
        <w:tc>
          <w:tcPr>
            <w:tcW w:w="9400" w:type="dxa"/>
          </w:tcPr>
          <w:p w14:paraId="4712A40B"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 xml:space="preserve">La evaluación periódica del ambiente de control podría beneficiarse de la implementación de mecanismos formales adicionales para medir su efectividad, como encuestas de clima organizacional o auditorías internas focalizadas. </w:t>
            </w:r>
          </w:p>
        </w:tc>
      </w:tr>
      <w:tr w:rsidR="00561B22" w:rsidRPr="001F062E" w14:paraId="5AC9520F" w14:textId="77777777" w:rsidTr="00F1223B">
        <w:tc>
          <w:tcPr>
            <w:tcW w:w="562" w:type="dxa"/>
          </w:tcPr>
          <w:p w14:paraId="04F5F3EA"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2</w:t>
            </w:r>
          </w:p>
        </w:tc>
        <w:tc>
          <w:tcPr>
            <w:tcW w:w="9400" w:type="dxa"/>
          </w:tcPr>
          <w:p w14:paraId="6A9B16DF"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En cuanto a la difusión del Código de Ética, aunque se promueven valores éticos dentro de la institución, aún existe la oportunidad de reforzar su socialización y aplicación práctica a todos los niveles.</w:t>
            </w:r>
          </w:p>
        </w:tc>
      </w:tr>
      <w:tr w:rsidR="00561B22" w:rsidRPr="001F062E" w14:paraId="47877305" w14:textId="77777777" w:rsidTr="00F1223B">
        <w:tc>
          <w:tcPr>
            <w:tcW w:w="562" w:type="dxa"/>
          </w:tcPr>
          <w:p w14:paraId="785DFC9C"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3</w:t>
            </w:r>
          </w:p>
        </w:tc>
        <w:tc>
          <w:tcPr>
            <w:tcW w:w="9400" w:type="dxa"/>
          </w:tcPr>
          <w:p w14:paraId="48B0F3D8"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Además, en la gestión del cambio y la cultura de control, sería útil evaluar si los colaboradores perciben el ambiente de control como un facilitador en su trabajo o si aún lo ven principalmente como una exigencia normativa, lo cual podría afectar su percepción y compromiso</w:t>
            </w:r>
          </w:p>
        </w:tc>
      </w:tr>
    </w:tbl>
    <w:p w14:paraId="32546095" w14:textId="77777777" w:rsidR="00561B22" w:rsidRPr="001F062E" w:rsidRDefault="00561B22" w:rsidP="00561B22">
      <w:pPr>
        <w:pStyle w:val="Textoindependiente"/>
        <w:jc w:val="both"/>
        <w:rPr>
          <w:rFonts w:ascii="Arial" w:hAnsi="Arial" w:cs="Arial"/>
          <w:b/>
          <w:bCs/>
        </w:rPr>
      </w:pPr>
    </w:p>
    <w:p w14:paraId="6A09FED5" w14:textId="77777777" w:rsidR="00561B22" w:rsidRPr="001F062E" w:rsidRDefault="00561B22" w:rsidP="00561B22">
      <w:pPr>
        <w:jc w:val="both"/>
        <w:rPr>
          <w:rFonts w:ascii="Arial" w:hAnsi="Arial" w:cs="Arial"/>
          <w:b/>
          <w:lang w:val="es-MX"/>
        </w:rPr>
      </w:pPr>
      <w:r w:rsidRPr="001F062E">
        <w:rPr>
          <w:rFonts w:ascii="Arial" w:hAnsi="Arial" w:cs="Arial"/>
          <w:b/>
          <w:lang w:val="es-MX"/>
        </w:rPr>
        <w:t>Del citado informe retomamos las siguientes recomendaciones:</w:t>
      </w:r>
    </w:p>
    <w:p w14:paraId="1C820EE4" w14:textId="77777777" w:rsidR="00561B22" w:rsidRPr="001F062E"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1F062E" w14:paraId="40CC387F" w14:textId="77777777" w:rsidTr="00F1223B">
        <w:tc>
          <w:tcPr>
            <w:tcW w:w="562" w:type="dxa"/>
          </w:tcPr>
          <w:p w14:paraId="44820EAE"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N°</w:t>
            </w:r>
          </w:p>
        </w:tc>
        <w:tc>
          <w:tcPr>
            <w:tcW w:w="9400" w:type="dxa"/>
          </w:tcPr>
          <w:p w14:paraId="4C79F87C"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RECOMENDACIONES</w:t>
            </w:r>
          </w:p>
          <w:p w14:paraId="7E3E8DA0" w14:textId="77777777" w:rsidR="00561B22" w:rsidRPr="001F062E" w:rsidRDefault="00561B22" w:rsidP="00F1223B">
            <w:pPr>
              <w:jc w:val="center"/>
              <w:rPr>
                <w:rFonts w:ascii="Arial" w:hAnsi="Arial" w:cs="Arial"/>
                <w:b/>
                <w:sz w:val="22"/>
                <w:szCs w:val="22"/>
                <w:lang w:val="es-MX"/>
              </w:rPr>
            </w:pPr>
          </w:p>
        </w:tc>
      </w:tr>
      <w:tr w:rsidR="00561B22" w:rsidRPr="001F062E" w14:paraId="44117A62" w14:textId="77777777" w:rsidTr="00F1223B">
        <w:tc>
          <w:tcPr>
            <w:tcW w:w="562" w:type="dxa"/>
          </w:tcPr>
          <w:p w14:paraId="75A04643"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1</w:t>
            </w:r>
          </w:p>
        </w:tc>
        <w:tc>
          <w:tcPr>
            <w:tcW w:w="9400" w:type="dxa"/>
          </w:tcPr>
          <w:p w14:paraId="20B46849"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El Sistema de Control Interno de REDU se ha consolidado, garantizando eficiencia y transparencia en la gestión.</w:t>
            </w:r>
          </w:p>
        </w:tc>
      </w:tr>
      <w:tr w:rsidR="00561B22" w:rsidRPr="001F062E" w14:paraId="374CB696" w14:textId="77777777" w:rsidTr="00F1223B">
        <w:tc>
          <w:tcPr>
            <w:tcW w:w="562" w:type="dxa"/>
          </w:tcPr>
          <w:p w14:paraId="6D90CE7A"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2</w:t>
            </w:r>
          </w:p>
        </w:tc>
        <w:tc>
          <w:tcPr>
            <w:tcW w:w="9400" w:type="dxa"/>
          </w:tcPr>
          <w:p w14:paraId="674E0618"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Existe un ambiente de control estable, con procesos definidos y compromiso institucional con la ética y la mejora continua</w:t>
            </w:r>
          </w:p>
        </w:tc>
      </w:tr>
      <w:tr w:rsidR="00561B22" w:rsidRPr="001F062E" w14:paraId="1B9D3202" w14:textId="77777777" w:rsidTr="00F1223B">
        <w:tc>
          <w:tcPr>
            <w:tcW w:w="562" w:type="dxa"/>
          </w:tcPr>
          <w:p w14:paraId="1505799A"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3</w:t>
            </w:r>
          </w:p>
        </w:tc>
        <w:tc>
          <w:tcPr>
            <w:tcW w:w="9400" w:type="dxa"/>
          </w:tcPr>
          <w:p w14:paraId="0E16CC02"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La gestión de riesgos está en operación, pero requiere ajustes en la valoración de riesgos fiscales y contractuales.</w:t>
            </w:r>
          </w:p>
        </w:tc>
      </w:tr>
      <w:tr w:rsidR="00561B22" w:rsidRPr="001F062E" w14:paraId="0CE293A0" w14:textId="77777777" w:rsidTr="00F1223B">
        <w:tc>
          <w:tcPr>
            <w:tcW w:w="562" w:type="dxa"/>
          </w:tcPr>
          <w:p w14:paraId="789442ED"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4</w:t>
            </w:r>
          </w:p>
        </w:tc>
        <w:tc>
          <w:tcPr>
            <w:tcW w:w="9400" w:type="dxa"/>
          </w:tcPr>
          <w:p w14:paraId="6AD873E2"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Las actividades de control son efectivas, con mecanismos de supervisión y auditoría, aunque es necesario fortalecer el rol del Comité Técnico de Riesgos</w:t>
            </w:r>
          </w:p>
        </w:tc>
      </w:tr>
      <w:tr w:rsidR="00561B22" w:rsidRPr="001F062E" w14:paraId="72F5E04F" w14:textId="77777777" w:rsidTr="00F1223B">
        <w:tc>
          <w:tcPr>
            <w:tcW w:w="562" w:type="dxa"/>
          </w:tcPr>
          <w:p w14:paraId="6B46119A"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5</w:t>
            </w:r>
          </w:p>
        </w:tc>
        <w:tc>
          <w:tcPr>
            <w:tcW w:w="9400" w:type="dxa"/>
          </w:tcPr>
          <w:p w14:paraId="7A1E2EC9"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La comunicación y los sistemas de información son adecuados, pero requieren mayor interoperabilidad.</w:t>
            </w:r>
          </w:p>
        </w:tc>
      </w:tr>
      <w:tr w:rsidR="00561B22" w:rsidRPr="001F062E" w14:paraId="63F1957B" w14:textId="77777777" w:rsidTr="00F1223B">
        <w:tc>
          <w:tcPr>
            <w:tcW w:w="562" w:type="dxa"/>
          </w:tcPr>
          <w:p w14:paraId="5DAB2A50" w14:textId="77777777" w:rsidR="00561B22" w:rsidRPr="001F062E" w:rsidRDefault="00561B22" w:rsidP="00F1223B">
            <w:pPr>
              <w:jc w:val="center"/>
              <w:rPr>
                <w:rFonts w:ascii="Arial" w:hAnsi="Arial" w:cs="Arial"/>
                <w:b/>
                <w:sz w:val="22"/>
                <w:szCs w:val="22"/>
                <w:lang w:val="es-MX"/>
              </w:rPr>
            </w:pPr>
            <w:r w:rsidRPr="001F062E">
              <w:rPr>
                <w:rFonts w:ascii="Arial" w:hAnsi="Arial" w:cs="Arial"/>
                <w:b/>
                <w:sz w:val="22"/>
                <w:szCs w:val="22"/>
                <w:lang w:val="es-MX"/>
              </w:rPr>
              <w:t>6</w:t>
            </w:r>
          </w:p>
        </w:tc>
        <w:tc>
          <w:tcPr>
            <w:tcW w:w="9400" w:type="dxa"/>
          </w:tcPr>
          <w:p w14:paraId="0A832365" w14:textId="77777777" w:rsidR="00561B22" w:rsidRPr="001F062E" w:rsidRDefault="00561B22" w:rsidP="00F1223B">
            <w:pPr>
              <w:jc w:val="both"/>
              <w:rPr>
                <w:rFonts w:ascii="Arial" w:hAnsi="Arial" w:cs="Arial"/>
                <w:bCs/>
                <w:sz w:val="22"/>
                <w:szCs w:val="22"/>
                <w:lang w:val="es-MX"/>
              </w:rPr>
            </w:pPr>
            <w:r w:rsidRPr="001F062E">
              <w:rPr>
                <w:rFonts w:ascii="Arial" w:hAnsi="Arial" w:cs="Arial"/>
                <w:bCs/>
                <w:sz w:val="22"/>
                <w:szCs w:val="22"/>
                <w:lang w:val="es-MX"/>
              </w:rPr>
              <w:t>El monitoreo y evaluación son constantes, con oportunidades de mejora en la gestión contractual y la articulación normativa.</w:t>
            </w:r>
          </w:p>
        </w:tc>
      </w:tr>
    </w:tbl>
    <w:p w14:paraId="46008DF0" w14:textId="77777777" w:rsidR="00561B22" w:rsidRDefault="00561B22" w:rsidP="00561B22">
      <w:pPr>
        <w:pStyle w:val="Textoindependiente"/>
        <w:jc w:val="both"/>
        <w:rPr>
          <w:b/>
          <w:bCs/>
          <w:sz w:val="28"/>
          <w:szCs w:val="28"/>
        </w:rPr>
      </w:pPr>
    </w:p>
    <w:p w14:paraId="1E520C80" w14:textId="77777777" w:rsidR="00561B22" w:rsidRPr="002F1295" w:rsidRDefault="00561B22" w:rsidP="00561B22">
      <w:pPr>
        <w:ind w:right="49"/>
        <w:jc w:val="both"/>
        <w:rPr>
          <w:rFonts w:ascii="Arial" w:hAnsi="Arial" w:cs="Arial"/>
          <w:b/>
          <w:sz w:val="28"/>
          <w:szCs w:val="28"/>
          <w:lang w:val="es-MX"/>
        </w:rPr>
      </w:pPr>
      <w:r w:rsidRPr="002F1295">
        <w:rPr>
          <w:rFonts w:ascii="Arial" w:hAnsi="Arial" w:cs="Arial"/>
          <w:b/>
          <w:sz w:val="28"/>
          <w:szCs w:val="28"/>
          <w:lang w:val="es-MX"/>
        </w:rPr>
        <w:t xml:space="preserve">138.- INSTITUTO NACIONAL DE FORMACIÓN TÉCNICA PROFESIONAL DE </w:t>
      </w:r>
      <w:r w:rsidRPr="002F1295">
        <w:rPr>
          <w:rFonts w:ascii="Arial" w:hAnsi="Arial" w:cs="Arial"/>
          <w:b/>
          <w:sz w:val="28"/>
          <w:szCs w:val="28"/>
          <w:lang w:val="es-MX"/>
        </w:rPr>
        <w:lastRenderedPageBreak/>
        <w:t>SAN ANDRÉS, PROVIDENCIA Y SANTA CATALINA – INFOTEP.</w:t>
      </w:r>
    </w:p>
    <w:p w14:paraId="4CB65BF2" w14:textId="77777777" w:rsidR="00561B22" w:rsidRPr="0014663D" w:rsidRDefault="00561B22" w:rsidP="00561B22">
      <w:pPr>
        <w:pStyle w:val="Textoindependiente"/>
        <w:ind w:right="-50"/>
        <w:jc w:val="both"/>
        <w:rPr>
          <w:rFonts w:ascii="Arial" w:hAnsi="Arial" w:cs="Arial"/>
          <w:bCs/>
          <w:sz w:val="24"/>
          <w:szCs w:val="24"/>
          <w:lang w:val="es-MX"/>
        </w:rPr>
      </w:pPr>
    </w:p>
    <w:p w14:paraId="0AF23DC4" w14:textId="77777777" w:rsidR="00561B22" w:rsidRPr="00454F48" w:rsidRDefault="00561B22" w:rsidP="00561B22">
      <w:pPr>
        <w:pStyle w:val="Textoindependiente"/>
        <w:jc w:val="center"/>
        <w:rPr>
          <w:rFonts w:ascii="Arial" w:hAnsi="Arial" w:cs="Arial"/>
          <w:b/>
          <w:bCs/>
        </w:rPr>
      </w:pPr>
      <w:r w:rsidRPr="00454F48">
        <w:rPr>
          <w:rFonts w:ascii="Arial" w:hAnsi="Arial" w:cs="Arial"/>
          <w:b/>
          <w:bCs/>
        </w:rPr>
        <w:t>INFORME DE LA AUTOCALIFICACIÓN DEL SISTEMA DE CONTROL INTERNO CONTABLE:</w:t>
      </w:r>
    </w:p>
    <w:p w14:paraId="0A383C6F" w14:textId="77777777" w:rsidR="00561B22" w:rsidRPr="00454F48" w:rsidRDefault="00561B22" w:rsidP="00561B22">
      <w:pPr>
        <w:pStyle w:val="Textoindependiente"/>
        <w:ind w:right="-50"/>
        <w:jc w:val="both"/>
        <w:rPr>
          <w:rFonts w:ascii="Arial" w:hAnsi="Arial" w:cs="Arial"/>
        </w:rPr>
      </w:pPr>
    </w:p>
    <w:tbl>
      <w:tblPr>
        <w:tblStyle w:val="Tablaconcuadrcula"/>
        <w:tblW w:w="0" w:type="auto"/>
        <w:tblLook w:val="04A0" w:firstRow="1" w:lastRow="0" w:firstColumn="1" w:lastColumn="0" w:noHBand="0" w:noVBand="1"/>
      </w:tblPr>
      <w:tblGrid>
        <w:gridCol w:w="4981"/>
        <w:gridCol w:w="4981"/>
      </w:tblGrid>
      <w:tr w:rsidR="00561B22" w:rsidRPr="00454F48" w14:paraId="714B7806" w14:textId="77777777" w:rsidTr="00F1223B">
        <w:tc>
          <w:tcPr>
            <w:tcW w:w="4981" w:type="dxa"/>
          </w:tcPr>
          <w:p w14:paraId="2A731297"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AUTOCALIFICACIÓN</w:t>
            </w:r>
          </w:p>
        </w:tc>
        <w:tc>
          <w:tcPr>
            <w:tcW w:w="4981" w:type="dxa"/>
          </w:tcPr>
          <w:p w14:paraId="1B9D0166" w14:textId="77777777" w:rsidR="00561B22" w:rsidRPr="00454F48" w:rsidRDefault="00561B22" w:rsidP="00F1223B">
            <w:pPr>
              <w:jc w:val="center"/>
              <w:rPr>
                <w:rFonts w:ascii="Arial" w:hAnsi="Arial" w:cs="Arial"/>
                <w:b/>
                <w:sz w:val="22"/>
                <w:szCs w:val="22"/>
                <w:u w:val="single"/>
                <w:lang w:val="es-MX"/>
              </w:rPr>
            </w:pPr>
            <w:r w:rsidRPr="00454F48">
              <w:rPr>
                <w:rFonts w:ascii="Arial" w:hAnsi="Arial" w:cs="Arial"/>
                <w:b/>
                <w:sz w:val="22"/>
                <w:szCs w:val="22"/>
                <w:u w:val="single"/>
                <w:lang w:val="es-MX"/>
              </w:rPr>
              <w:t>4.95</w:t>
            </w:r>
          </w:p>
        </w:tc>
      </w:tr>
    </w:tbl>
    <w:p w14:paraId="77487370" w14:textId="77777777" w:rsidR="00561B22" w:rsidRPr="00454F48" w:rsidRDefault="00561B22" w:rsidP="00561B22">
      <w:pPr>
        <w:pStyle w:val="Textoindependiente"/>
        <w:ind w:right="-50"/>
        <w:jc w:val="both"/>
        <w:rPr>
          <w:rFonts w:ascii="Arial" w:hAnsi="Arial" w:cs="Arial"/>
          <w:b/>
          <w:bCs/>
        </w:rPr>
      </w:pPr>
    </w:p>
    <w:p w14:paraId="31819A3B" w14:textId="77777777" w:rsidR="00561B22" w:rsidRPr="00454F48" w:rsidRDefault="00561B22" w:rsidP="00561B22">
      <w:pPr>
        <w:pStyle w:val="Textoindependiente"/>
        <w:ind w:right="-50"/>
        <w:jc w:val="both"/>
        <w:rPr>
          <w:rFonts w:ascii="Arial" w:hAnsi="Arial" w:cs="Arial"/>
        </w:rPr>
      </w:pPr>
      <w:r w:rsidRPr="00454F48">
        <w:rPr>
          <w:rFonts w:ascii="Arial" w:hAnsi="Arial" w:cs="Arial"/>
          <w:b/>
          <w:bCs/>
        </w:rPr>
        <w:t xml:space="preserve">NOTA: </w:t>
      </w:r>
      <w:r w:rsidRPr="00454F48">
        <w:rPr>
          <w:rFonts w:ascii="Arial" w:hAnsi="Arial" w:cs="Arial"/>
        </w:rPr>
        <w:t xml:space="preserve">La entidad remite el Informe de Control Interno Contable 2024, con un resultado de evaluación de </w:t>
      </w:r>
      <w:r w:rsidRPr="00454F48">
        <w:rPr>
          <w:rFonts w:ascii="Arial" w:hAnsi="Arial" w:cs="Arial"/>
          <w:b/>
          <w:bCs/>
        </w:rPr>
        <w:t>4,87</w:t>
      </w:r>
      <w:r w:rsidRPr="00454F48">
        <w:rPr>
          <w:rFonts w:ascii="Arial" w:hAnsi="Arial" w:cs="Arial"/>
        </w:rPr>
        <w:t>, calificación que no coincide con la anterior reportada.</w:t>
      </w:r>
    </w:p>
    <w:p w14:paraId="54069DBA" w14:textId="77777777" w:rsidR="00561B22" w:rsidRPr="00454F48" w:rsidRDefault="00561B22" w:rsidP="00561B22">
      <w:pPr>
        <w:pStyle w:val="Textoindependiente"/>
        <w:ind w:right="-50"/>
        <w:jc w:val="both"/>
        <w:rPr>
          <w:rFonts w:ascii="Arial" w:hAnsi="Arial" w:cs="Arial"/>
          <w:b/>
          <w:bCs/>
        </w:rPr>
      </w:pPr>
    </w:p>
    <w:p w14:paraId="1CDDCFAD" w14:textId="77777777" w:rsidR="00561B22" w:rsidRPr="00454F48" w:rsidRDefault="00561B22" w:rsidP="00561B22">
      <w:pPr>
        <w:pStyle w:val="Textoindependiente"/>
        <w:ind w:right="-50"/>
        <w:jc w:val="both"/>
        <w:rPr>
          <w:rFonts w:ascii="Arial" w:hAnsi="Arial" w:cs="Arial"/>
          <w:b/>
          <w:bCs/>
        </w:rPr>
      </w:pPr>
      <w:r w:rsidRPr="00454F48">
        <w:rPr>
          <w:rFonts w:ascii="Arial" w:hAnsi="Arial" w:cs="Arial"/>
          <w:b/>
          <w:bCs/>
        </w:rPr>
        <w:t>Del informe enviado retomamos lo siguiente:</w:t>
      </w:r>
    </w:p>
    <w:p w14:paraId="0474D0EE" w14:textId="77777777" w:rsidR="00561B22" w:rsidRPr="00454F4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54F48" w14:paraId="4C804EA7" w14:textId="77777777" w:rsidTr="00F1223B">
        <w:tc>
          <w:tcPr>
            <w:tcW w:w="562" w:type="dxa"/>
          </w:tcPr>
          <w:p w14:paraId="107FECF7" w14:textId="77777777" w:rsidR="00561B22" w:rsidRPr="00454F48" w:rsidRDefault="00561B22" w:rsidP="00F1223B">
            <w:pPr>
              <w:ind w:right="-109"/>
              <w:jc w:val="center"/>
              <w:rPr>
                <w:rFonts w:ascii="Arial" w:hAnsi="Arial" w:cs="Arial"/>
                <w:b/>
                <w:sz w:val="22"/>
                <w:szCs w:val="22"/>
                <w:lang w:val="es-MX"/>
              </w:rPr>
            </w:pPr>
            <w:r w:rsidRPr="00454F48">
              <w:rPr>
                <w:rFonts w:ascii="Arial" w:hAnsi="Arial" w:cs="Arial"/>
                <w:b/>
                <w:sz w:val="22"/>
                <w:szCs w:val="22"/>
                <w:lang w:val="es-MX"/>
              </w:rPr>
              <w:t>N°</w:t>
            </w:r>
          </w:p>
        </w:tc>
        <w:tc>
          <w:tcPr>
            <w:tcW w:w="9400" w:type="dxa"/>
          </w:tcPr>
          <w:p w14:paraId="16B2838B"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DEBILIDADES</w:t>
            </w:r>
          </w:p>
          <w:p w14:paraId="596D2DBB" w14:textId="77777777" w:rsidR="00561B22" w:rsidRPr="00454F48" w:rsidRDefault="00561B22" w:rsidP="00F1223B">
            <w:pPr>
              <w:jc w:val="center"/>
              <w:rPr>
                <w:rFonts w:ascii="Arial" w:hAnsi="Arial" w:cs="Arial"/>
                <w:b/>
                <w:sz w:val="22"/>
                <w:szCs w:val="22"/>
                <w:lang w:val="es-MX"/>
              </w:rPr>
            </w:pPr>
          </w:p>
        </w:tc>
      </w:tr>
      <w:tr w:rsidR="00561B22" w:rsidRPr="00454F48" w14:paraId="574682C0" w14:textId="77777777" w:rsidTr="00F1223B">
        <w:tc>
          <w:tcPr>
            <w:tcW w:w="562" w:type="dxa"/>
          </w:tcPr>
          <w:p w14:paraId="71562FD6"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1</w:t>
            </w:r>
          </w:p>
        </w:tc>
        <w:tc>
          <w:tcPr>
            <w:tcW w:w="9400" w:type="dxa"/>
          </w:tcPr>
          <w:p w14:paraId="12761669"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 xml:space="preserve">De acuerdo a la evaluación de control interno contable se identificó que los canales de comunicación entre las áreas funcionales y el Grupo Contabilidad en algunos casos requieren adopción de controles que garanticen el reporte de información – Las Políticas y los procedimientos contables debe ser objeto de socialización permanente. </w:t>
            </w:r>
          </w:p>
        </w:tc>
      </w:tr>
      <w:tr w:rsidR="00561B22" w:rsidRPr="00454F48" w14:paraId="004EF0E4" w14:textId="77777777" w:rsidTr="00F1223B">
        <w:tc>
          <w:tcPr>
            <w:tcW w:w="562" w:type="dxa"/>
          </w:tcPr>
          <w:p w14:paraId="4712D9F7"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2</w:t>
            </w:r>
          </w:p>
        </w:tc>
        <w:tc>
          <w:tcPr>
            <w:tcW w:w="9400" w:type="dxa"/>
          </w:tcPr>
          <w:p w14:paraId="3940A6E2"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Las Políticas y los procedimientos contables adoptados debe ser objeto de revisión y actualización periódica.</w:t>
            </w:r>
          </w:p>
        </w:tc>
      </w:tr>
      <w:tr w:rsidR="00561B22" w:rsidRPr="00454F48" w14:paraId="273BA6B8" w14:textId="77777777" w:rsidTr="00F1223B">
        <w:tc>
          <w:tcPr>
            <w:tcW w:w="562" w:type="dxa"/>
          </w:tcPr>
          <w:p w14:paraId="6F7C0490"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3</w:t>
            </w:r>
          </w:p>
        </w:tc>
        <w:tc>
          <w:tcPr>
            <w:tcW w:w="9400" w:type="dxa"/>
          </w:tcPr>
          <w:p w14:paraId="03C7E8D3"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No se evidenciaron guías o instructivos de la forma como circula la información financiera y contable- y procedimientos del proceso contable - solo se rigen por las normas de la CGN -de tipo general - y no son ajustadas a las necesidades propias.</w:t>
            </w:r>
          </w:p>
        </w:tc>
      </w:tr>
      <w:tr w:rsidR="00561B22" w:rsidRPr="00454F48" w14:paraId="6A08A84F" w14:textId="77777777" w:rsidTr="00F1223B">
        <w:tc>
          <w:tcPr>
            <w:tcW w:w="562" w:type="dxa"/>
          </w:tcPr>
          <w:p w14:paraId="36779FEF"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4</w:t>
            </w:r>
          </w:p>
        </w:tc>
        <w:tc>
          <w:tcPr>
            <w:tcW w:w="9400" w:type="dxa"/>
          </w:tcPr>
          <w:p w14:paraId="263F6B6B"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Debe activarse el comité sostenibilidad contable- como órgano o proceso a través del cual se revise, evalué y verifique que la completitud entre los registros contables y se hagan recomendaciones.</w:t>
            </w:r>
          </w:p>
        </w:tc>
      </w:tr>
    </w:tbl>
    <w:p w14:paraId="692DC0A1" w14:textId="77777777" w:rsidR="00561B22" w:rsidRPr="00454F48" w:rsidRDefault="00561B22" w:rsidP="00561B22">
      <w:pPr>
        <w:pStyle w:val="Textoindependiente"/>
        <w:ind w:right="-50"/>
        <w:jc w:val="both"/>
        <w:rPr>
          <w:rFonts w:ascii="Arial" w:hAnsi="Arial" w:cs="Arial"/>
          <w:b/>
          <w:bCs/>
        </w:rPr>
      </w:pPr>
    </w:p>
    <w:p w14:paraId="1B43C9D7" w14:textId="77777777" w:rsidR="00561B22" w:rsidRPr="00454F48" w:rsidRDefault="00561B22" w:rsidP="00561B22">
      <w:pPr>
        <w:jc w:val="both"/>
        <w:rPr>
          <w:rFonts w:ascii="Arial" w:hAnsi="Arial" w:cs="Arial"/>
          <w:b/>
          <w:lang w:val="es-MX"/>
        </w:rPr>
      </w:pPr>
      <w:r w:rsidRPr="00454F48">
        <w:rPr>
          <w:rFonts w:ascii="Arial" w:hAnsi="Arial" w:cs="Arial"/>
          <w:b/>
          <w:lang w:val="es-MX"/>
        </w:rPr>
        <w:t>Del citado informe retomamos las siguientes recomendaciones:</w:t>
      </w:r>
    </w:p>
    <w:p w14:paraId="12A2FF6C" w14:textId="77777777" w:rsidR="00561B22" w:rsidRPr="00454F48"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454F48" w14:paraId="5BAD3E8D" w14:textId="77777777" w:rsidTr="00F1223B">
        <w:tc>
          <w:tcPr>
            <w:tcW w:w="562" w:type="dxa"/>
          </w:tcPr>
          <w:p w14:paraId="122D7C33" w14:textId="77777777" w:rsidR="00561B22" w:rsidRPr="00454F48" w:rsidRDefault="00561B22" w:rsidP="00F1223B">
            <w:pPr>
              <w:ind w:right="-109"/>
              <w:jc w:val="center"/>
              <w:rPr>
                <w:rFonts w:ascii="Arial" w:hAnsi="Arial" w:cs="Arial"/>
                <w:b/>
                <w:sz w:val="22"/>
                <w:szCs w:val="22"/>
                <w:lang w:val="es-MX"/>
              </w:rPr>
            </w:pPr>
            <w:r w:rsidRPr="00454F48">
              <w:rPr>
                <w:rFonts w:ascii="Arial" w:hAnsi="Arial" w:cs="Arial"/>
                <w:b/>
                <w:sz w:val="22"/>
                <w:szCs w:val="22"/>
                <w:lang w:val="es-MX"/>
              </w:rPr>
              <w:t>N°</w:t>
            </w:r>
          </w:p>
        </w:tc>
        <w:tc>
          <w:tcPr>
            <w:tcW w:w="9400" w:type="dxa"/>
          </w:tcPr>
          <w:p w14:paraId="76025936"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RECOMENDACIONES</w:t>
            </w:r>
          </w:p>
          <w:p w14:paraId="53255EA8" w14:textId="77777777" w:rsidR="00561B22" w:rsidRPr="00454F48" w:rsidRDefault="00561B22" w:rsidP="00F1223B">
            <w:pPr>
              <w:jc w:val="center"/>
              <w:rPr>
                <w:rFonts w:ascii="Arial" w:hAnsi="Arial" w:cs="Arial"/>
                <w:b/>
                <w:sz w:val="22"/>
                <w:szCs w:val="22"/>
                <w:lang w:val="es-MX"/>
              </w:rPr>
            </w:pPr>
          </w:p>
        </w:tc>
      </w:tr>
      <w:tr w:rsidR="00561B22" w:rsidRPr="00454F48" w14:paraId="65C443CE" w14:textId="77777777" w:rsidTr="00F1223B">
        <w:tc>
          <w:tcPr>
            <w:tcW w:w="562" w:type="dxa"/>
          </w:tcPr>
          <w:p w14:paraId="20459A2A"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1</w:t>
            </w:r>
          </w:p>
        </w:tc>
        <w:tc>
          <w:tcPr>
            <w:tcW w:w="9400" w:type="dxa"/>
          </w:tcPr>
          <w:p w14:paraId="29380929"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 xml:space="preserve">Capacitar conforme las necesidades identificadas a los integrantes del Grupo de Contabilidad. </w:t>
            </w:r>
          </w:p>
        </w:tc>
      </w:tr>
      <w:tr w:rsidR="00561B22" w:rsidRPr="00454F48" w14:paraId="4F2DBE79" w14:textId="77777777" w:rsidTr="00F1223B">
        <w:tc>
          <w:tcPr>
            <w:tcW w:w="562" w:type="dxa"/>
          </w:tcPr>
          <w:p w14:paraId="356A34D7"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2</w:t>
            </w:r>
          </w:p>
        </w:tc>
        <w:tc>
          <w:tcPr>
            <w:tcW w:w="9400" w:type="dxa"/>
          </w:tcPr>
          <w:p w14:paraId="4679F160"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Fortalecer los canales de comunicación para mejorar el flujo de información entre las áreas funcionales y el Grupo Contabilidad.</w:t>
            </w:r>
          </w:p>
        </w:tc>
      </w:tr>
      <w:tr w:rsidR="00561B22" w:rsidRPr="00454F48" w14:paraId="0EC725C3" w14:textId="77777777" w:rsidTr="00F1223B">
        <w:tc>
          <w:tcPr>
            <w:tcW w:w="562" w:type="dxa"/>
          </w:tcPr>
          <w:p w14:paraId="28F1168E"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3</w:t>
            </w:r>
          </w:p>
        </w:tc>
        <w:tc>
          <w:tcPr>
            <w:tcW w:w="9400" w:type="dxa"/>
          </w:tcPr>
          <w:p w14:paraId="43FAFCF5"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Dar continuidad a las actividades de depuración y saneamiento contable, esfuerzos que le permitirán al INFOTEP- presentar estados financieros integridad y de alta confiabilidad para la toma de decisiones.</w:t>
            </w:r>
          </w:p>
        </w:tc>
      </w:tr>
      <w:tr w:rsidR="00561B22" w:rsidRPr="00454F48" w14:paraId="1D1AD3F3" w14:textId="77777777" w:rsidTr="00F1223B">
        <w:tc>
          <w:tcPr>
            <w:tcW w:w="562" w:type="dxa"/>
          </w:tcPr>
          <w:p w14:paraId="09006CC1"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4</w:t>
            </w:r>
          </w:p>
        </w:tc>
        <w:tc>
          <w:tcPr>
            <w:tcW w:w="9400" w:type="dxa"/>
          </w:tcPr>
          <w:p w14:paraId="7058E374"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Activar el comité de sostenibilidad contable para la realización de autoevaluaciones periódicas que permitan determinar la eficacia de los controles implementados en cada una de las actividades del proceso contable, o el diseño de nuevos controles.</w:t>
            </w:r>
          </w:p>
        </w:tc>
      </w:tr>
      <w:tr w:rsidR="00561B22" w:rsidRPr="00454F48" w14:paraId="25D8159D" w14:textId="77777777" w:rsidTr="00F1223B">
        <w:tc>
          <w:tcPr>
            <w:tcW w:w="562" w:type="dxa"/>
          </w:tcPr>
          <w:p w14:paraId="2941E007"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5</w:t>
            </w:r>
          </w:p>
        </w:tc>
        <w:tc>
          <w:tcPr>
            <w:tcW w:w="9400" w:type="dxa"/>
          </w:tcPr>
          <w:p w14:paraId="5F3C42B5"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Reforzar la documentación que soporta la conciliación de los saldos de cuentas por cobrar - conforme el proceso de matrícula cero, conforme el proceso de matrículas admisiones y registro, el proceso de recaudo y la conciliación contable de saldo por terceros como es el ICETEX, y los fondos respectivos. - Teniendo en cuenta - los procesos de matrícula Cero - que vienen generando saldos por cobrar y partidas pendientes de conciliar.</w:t>
            </w:r>
          </w:p>
        </w:tc>
      </w:tr>
      <w:tr w:rsidR="00561B22" w:rsidRPr="00454F48" w14:paraId="0951F9B4" w14:textId="77777777" w:rsidTr="00F1223B">
        <w:tc>
          <w:tcPr>
            <w:tcW w:w="562" w:type="dxa"/>
          </w:tcPr>
          <w:p w14:paraId="6DC1E52D"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6</w:t>
            </w:r>
          </w:p>
        </w:tc>
        <w:tc>
          <w:tcPr>
            <w:tcW w:w="9400" w:type="dxa"/>
          </w:tcPr>
          <w:p w14:paraId="4281D194"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Identificar los riesgos del proceso contable y financiero en la matriz de riesgo.</w:t>
            </w:r>
          </w:p>
        </w:tc>
      </w:tr>
      <w:tr w:rsidR="00561B22" w:rsidRPr="00454F48" w14:paraId="4BE6686A" w14:textId="77777777" w:rsidTr="00F1223B">
        <w:tc>
          <w:tcPr>
            <w:tcW w:w="562" w:type="dxa"/>
          </w:tcPr>
          <w:p w14:paraId="28E52730" w14:textId="77777777" w:rsidR="00561B22" w:rsidRPr="00454F48" w:rsidRDefault="00561B22" w:rsidP="00F1223B">
            <w:pPr>
              <w:jc w:val="center"/>
              <w:rPr>
                <w:rFonts w:ascii="Arial" w:hAnsi="Arial" w:cs="Arial"/>
                <w:b/>
                <w:sz w:val="22"/>
                <w:szCs w:val="22"/>
                <w:lang w:val="es-MX"/>
              </w:rPr>
            </w:pPr>
            <w:r w:rsidRPr="00454F48">
              <w:rPr>
                <w:rFonts w:ascii="Arial" w:hAnsi="Arial" w:cs="Arial"/>
                <w:b/>
                <w:sz w:val="22"/>
                <w:szCs w:val="22"/>
                <w:lang w:val="es-MX"/>
              </w:rPr>
              <w:t>7</w:t>
            </w:r>
          </w:p>
        </w:tc>
        <w:tc>
          <w:tcPr>
            <w:tcW w:w="9400" w:type="dxa"/>
          </w:tcPr>
          <w:p w14:paraId="7A1D2A23" w14:textId="77777777" w:rsidR="00561B22" w:rsidRPr="00454F48" w:rsidRDefault="00561B22" w:rsidP="00F1223B">
            <w:pPr>
              <w:jc w:val="both"/>
              <w:rPr>
                <w:rFonts w:ascii="Arial" w:hAnsi="Arial" w:cs="Arial"/>
                <w:bCs/>
                <w:sz w:val="22"/>
                <w:szCs w:val="22"/>
                <w:lang w:val="es-MX"/>
              </w:rPr>
            </w:pPr>
            <w:r w:rsidRPr="00454F48">
              <w:rPr>
                <w:rFonts w:ascii="Arial" w:hAnsi="Arial" w:cs="Arial"/>
                <w:bCs/>
                <w:sz w:val="22"/>
                <w:szCs w:val="22"/>
                <w:lang w:val="es-MX"/>
              </w:rPr>
              <w:t>Unificar en un solo instrumento todos los informes de ley del Área Financiera, contable y presupuestal, con el fin de evitar incumplimientos en los reportes a entidades de control y/o regulación.</w:t>
            </w:r>
          </w:p>
        </w:tc>
      </w:tr>
    </w:tbl>
    <w:p w14:paraId="61409355" w14:textId="77777777" w:rsidR="00561B22" w:rsidRPr="00454F48" w:rsidRDefault="00561B22" w:rsidP="00561B22">
      <w:pPr>
        <w:pStyle w:val="Textoindependiente"/>
        <w:ind w:right="-50"/>
        <w:jc w:val="both"/>
        <w:rPr>
          <w:rFonts w:ascii="Arial" w:hAnsi="Arial" w:cs="Arial"/>
          <w:b/>
          <w:bCs/>
          <w:sz w:val="28"/>
          <w:szCs w:val="28"/>
        </w:rPr>
      </w:pPr>
    </w:p>
    <w:p w14:paraId="05610225" w14:textId="77777777" w:rsidR="00561B22" w:rsidRPr="00454F48" w:rsidRDefault="00561B22" w:rsidP="00561B22">
      <w:pPr>
        <w:jc w:val="both"/>
        <w:rPr>
          <w:rFonts w:ascii="Arial" w:hAnsi="Arial" w:cs="Arial"/>
          <w:b/>
          <w:bCs/>
          <w:sz w:val="24"/>
          <w:szCs w:val="24"/>
          <w:lang w:val="es-CO"/>
        </w:rPr>
      </w:pPr>
      <w:r w:rsidRPr="00454F48">
        <w:rPr>
          <w:rFonts w:ascii="Arial" w:hAnsi="Arial" w:cs="Arial"/>
          <w:b/>
          <w:bCs/>
          <w:sz w:val="24"/>
          <w:szCs w:val="24"/>
          <w:lang w:val="es-CO"/>
        </w:rPr>
        <w:t xml:space="preserve">NOTA: LA ENTIDAD ENVÍA LA MATRIZ DE AUTOEVALUACIÓN DEL SISTEMA DE CONTROL INTERNO CONTABLE CON </w:t>
      </w:r>
      <w:r w:rsidRPr="00454F48">
        <w:rPr>
          <w:rFonts w:ascii="Arial" w:hAnsi="Arial" w:cs="Arial"/>
          <w:b/>
          <w:bCs/>
          <w:sz w:val="24"/>
          <w:szCs w:val="24"/>
          <w:u w:val="single"/>
          <w:lang w:val="es-CO"/>
        </w:rPr>
        <w:t xml:space="preserve">ACTIVIDADES DE CONTROL REALIZADAS EN </w:t>
      </w:r>
      <w:r w:rsidRPr="00454F48">
        <w:rPr>
          <w:rFonts w:ascii="Arial" w:hAnsi="Arial" w:cs="Arial"/>
          <w:b/>
          <w:bCs/>
          <w:sz w:val="24"/>
          <w:szCs w:val="24"/>
          <w:u w:val="single"/>
          <w:lang w:val="es-CO"/>
        </w:rPr>
        <w:lastRenderedPageBreak/>
        <w:t>FORMA PARCIAL</w:t>
      </w:r>
      <w:r w:rsidRPr="00454F48">
        <w:rPr>
          <w:rFonts w:ascii="Arial" w:hAnsi="Arial" w:cs="Arial"/>
          <w:b/>
          <w:bCs/>
          <w:sz w:val="24"/>
          <w:szCs w:val="24"/>
          <w:lang w:val="es-CO"/>
        </w:rPr>
        <w:t>.</w:t>
      </w:r>
    </w:p>
    <w:p w14:paraId="759BE5E2" w14:textId="77777777" w:rsidR="00561B22" w:rsidRPr="00753E7D" w:rsidRDefault="00561B22" w:rsidP="00561B22">
      <w:pPr>
        <w:pStyle w:val="Textoindependiente"/>
        <w:ind w:right="-50"/>
        <w:jc w:val="both"/>
        <w:rPr>
          <w:b/>
          <w:bCs/>
          <w:sz w:val="28"/>
          <w:szCs w:val="28"/>
        </w:rPr>
      </w:pPr>
    </w:p>
    <w:p w14:paraId="78CF01E3" w14:textId="77777777" w:rsidR="00561B22" w:rsidRDefault="00561B22" w:rsidP="00561B22">
      <w:pPr>
        <w:jc w:val="both"/>
        <w:rPr>
          <w:rFonts w:ascii="Arial" w:hAnsi="Arial" w:cs="Arial"/>
          <w:b/>
          <w:sz w:val="28"/>
          <w:szCs w:val="28"/>
        </w:rPr>
      </w:pPr>
      <w:r w:rsidRPr="006D107F">
        <w:rPr>
          <w:rFonts w:ascii="Arial" w:hAnsi="Arial" w:cs="Arial"/>
          <w:b/>
          <w:sz w:val="28"/>
          <w:szCs w:val="28"/>
          <w:lang w:val="es-MX"/>
        </w:rPr>
        <w:t xml:space="preserve">139.- </w:t>
      </w:r>
      <w:r w:rsidRPr="006D107F">
        <w:rPr>
          <w:rFonts w:ascii="Arial" w:hAnsi="Arial" w:cs="Arial"/>
          <w:b/>
          <w:sz w:val="28"/>
          <w:szCs w:val="28"/>
        </w:rPr>
        <w:t>FONDO DE GARANTÍAS DE INSTITUCIONES FINANCIERAS – FOGAFIN.</w:t>
      </w:r>
    </w:p>
    <w:p w14:paraId="38886C28" w14:textId="77777777" w:rsidR="00561B22" w:rsidRDefault="00561B22" w:rsidP="00561B22">
      <w:pPr>
        <w:pStyle w:val="Textoindependiente"/>
        <w:ind w:right="-50"/>
        <w:jc w:val="center"/>
        <w:rPr>
          <w:rFonts w:ascii="Arial" w:hAnsi="Arial" w:cs="Arial"/>
          <w:b/>
          <w:bCs/>
        </w:rPr>
      </w:pPr>
    </w:p>
    <w:p w14:paraId="64AA1CC3" w14:textId="77777777" w:rsidR="00561B22" w:rsidRPr="00CA6133" w:rsidRDefault="00561B22" w:rsidP="00561B22">
      <w:pPr>
        <w:pStyle w:val="Textoindependiente"/>
        <w:ind w:right="-50"/>
        <w:jc w:val="center"/>
        <w:rPr>
          <w:rFonts w:ascii="Arial" w:hAnsi="Arial" w:cs="Arial"/>
          <w:b/>
          <w:bCs/>
        </w:rPr>
      </w:pPr>
      <w:r w:rsidRPr="00CA6133">
        <w:rPr>
          <w:rFonts w:ascii="Arial" w:hAnsi="Arial" w:cs="Arial"/>
          <w:b/>
          <w:bCs/>
        </w:rPr>
        <w:t>INFORME DE LA AUTOCALIFICACIÓN DEL SISTEMA DE CONTROL INTERNO CONTABLE:</w:t>
      </w:r>
    </w:p>
    <w:p w14:paraId="6D1E43B2" w14:textId="77777777" w:rsidR="00561B22" w:rsidRPr="00CA613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A6133" w14:paraId="47224274" w14:textId="77777777" w:rsidTr="00F1223B">
        <w:tc>
          <w:tcPr>
            <w:tcW w:w="4981" w:type="dxa"/>
          </w:tcPr>
          <w:p w14:paraId="3D180238"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AUTOCALIFICACIÓN</w:t>
            </w:r>
          </w:p>
        </w:tc>
        <w:tc>
          <w:tcPr>
            <w:tcW w:w="4981" w:type="dxa"/>
          </w:tcPr>
          <w:p w14:paraId="5D19F03D" w14:textId="77777777" w:rsidR="00561B22" w:rsidRPr="00CA6133" w:rsidRDefault="00561B22" w:rsidP="00F1223B">
            <w:pPr>
              <w:jc w:val="center"/>
              <w:rPr>
                <w:rFonts w:ascii="Arial" w:hAnsi="Arial" w:cs="Arial"/>
                <w:b/>
                <w:sz w:val="22"/>
                <w:szCs w:val="22"/>
                <w:u w:val="single"/>
                <w:lang w:val="es-MX"/>
              </w:rPr>
            </w:pPr>
            <w:r w:rsidRPr="00CA6133">
              <w:rPr>
                <w:rFonts w:ascii="Arial" w:hAnsi="Arial" w:cs="Arial"/>
                <w:b/>
                <w:sz w:val="22"/>
                <w:szCs w:val="22"/>
                <w:u w:val="single"/>
                <w:lang w:val="es-MX"/>
              </w:rPr>
              <w:t>5.00</w:t>
            </w:r>
          </w:p>
        </w:tc>
      </w:tr>
    </w:tbl>
    <w:p w14:paraId="085C445F" w14:textId="77777777" w:rsidR="00561B22" w:rsidRPr="00CA6133" w:rsidRDefault="00561B22" w:rsidP="00561B22">
      <w:pPr>
        <w:pStyle w:val="Textoindependiente"/>
        <w:ind w:right="-50"/>
        <w:jc w:val="both"/>
        <w:rPr>
          <w:rFonts w:ascii="Arial" w:hAnsi="Arial" w:cs="Arial"/>
          <w:b/>
          <w:bCs/>
        </w:rPr>
      </w:pPr>
    </w:p>
    <w:p w14:paraId="56B79706" w14:textId="77777777" w:rsidR="00561B22" w:rsidRPr="00CA6133" w:rsidRDefault="00561B22" w:rsidP="00561B22">
      <w:pPr>
        <w:pStyle w:val="Textoindependiente"/>
        <w:ind w:right="-50"/>
        <w:jc w:val="both"/>
        <w:rPr>
          <w:rFonts w:ascii="Arial" w:hAnsi="Arial" w:cs="Arial"/>
          <w:b/>
          <w:bCs/>
        </w:rPr>
      </w:pPr>
      <w:r w:rsidRPr="00CA6133">
        <w:rPr>
          <w:rFonts w:ascii="Arial" w:hAnsi="Arial" w:cs="Arial"/>
          <w:b/>
          <w:bCs/>
        </w:rPr>
        <w:t>Del informe enviado retomamos lo siguiente:</w:t>
      </w:r>
    </w:p>
    <w:p w14:paraId="5C29A8F4" w14:textId="77777777" w:rsidR="00561B22" w:rsidRPr="00CA613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A6133" w14:paraId="47A75B6A" w14:textId="77777777" w:rsidTr="00F1223B">
        <w:tc>
          <w:tcPr>
            <w:tcW w:w="562" w:type="dxa"/>
          </w:tcPr>
          <w:p w14:paraId="4543886F" w14:textId="77777777" w:rsidR="00561B22" w:rsidRPr="00CA6133" w:rsidRDefault="00561B22" w:rsidP="00F1223B">
            <w:pPr>
              <w:ind w:right="-109"/>
              <w:jc w:val="center"/>
              <w:rPr>
                <w:rFonts w:ascii="Arial" w:hAnsi="Arial" w:cs="Arial"/>
                <w:b/>
                <w:sz w:val="22"/>
                <w:szCs w:val="22"/>
                <w:lang w:val="es-MX"/>
              </w:rPr>
            </w:pPr>
            <w:r w:rsidRPr="00CA6133">
              <w:rPr>
                <w:rFonts w:ascii="Arial" w:hAnsi="Arial" w:cs="Arial"/>
                <w:b/>
                <w:sz w:val="22"/>
                <w:szCs w:val="22"/>
                <w:lang w:val="es-MX"/>
              </w:rPr>
              <w:t>N°</w:t>
            </w:r>
          </w:p>
        </w:tc>
        <w:tc>
          <w:tcPr>
            <w:tcW w:w="9400" w:type="dxa"/>
          </w:tcPr>
          <w:p w14:paraId="4AD5E476"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OPORTUNIDADES DE MEJORA</w:t>
            </w:r>
          </w:p>
          <w:p w14:paraId="0AAA706A" w14:textId="77777777" w:rsidR="00561B22" w:rsidRPr="00CA6133" w:rsidRDefault="00561B22" w:rsidP="00F1223B">
            <w:pPr>
              <w:jc w:val="center"/>
              <w:rPr>
                <w:rFonts w:ascii="Arial" w:hAnsi="Arial" w:cs="Arial"/>
                <w:b/>
                <w:sz w:val="22"/>
                <w:szCs w:val="22"/>
                <w:lang w:val="es-MX"/>
              </w:rPr>
            </w:pPr>
          </w:p>
        </w:tc>
      </w:tr>
      <w:tr w:rsidR="00561B22" w:rsidRPr="00CA6133" w14:paraId="324050E9" w14:textId="77777777" w:rsidTr="00F1223B">
        <w:tc>
          <w:tcPr>
            <w:tcW w:w="562" w:type="dxa"/>
          </w:tcPr>
          <w:p w14:paraId="7A6AC13A"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1</w:t>
            </w:r>
          </w:p>
        </w:tc>
        <w:tc>
          <w:tcPr>
            <w:tcW w:w="9400" w:type="dxa"/>
          </w:tcPr>
          <w:p w14:paraId="6C83D876" w14:textId="77777777" w:rsidR="00561B22" w:rsidRPr="00CA6133" w:rsidRDefault="00561B22" w:rsidP="00F1223B">
            <w:pPr>
              <w:widowControl/>
              <w:adjustRightInd w:val="0"/>
              <w:jc w:val="both"/>
              <w:rPr>
                <w:rFonts w:ascii="Arial" w:eastAsia="Batang" w:hAnsi="Arial" w:cs="Arial"/>
                <w:sz w:val="22"/>
                <w:szCs w:val="22"/>
              </w:rPr>
            </w:pPr>
            <w:r w:rsidRPr="00CA6133">
              <w:rPr>
                <w:rFonts w:ascii="Arial" w:eastAsia="Batang" w:hAnsi="Arial" w:cs="Arial"/>
                <w:sz w:val="22"/>
                <w:szCs w:val="22"/>
              </w:rPr>
              <w:t xml:space="preserve">En consideración al evento de riesgo ocurrido en enero 2024, referente a la corrección de la declaración de retención en la fuente correspondiente al mes de diciembre de 2023, como consecuencia de hechos que afectaron los ingresos de ese año, los cuales se conocieron después de la fecha de vencimiento de la declaración.  </w:t>
            </w:r>
          </w:p>
          <w:p w14:paraId="19141397" w14:textId="77777777" w:rsidR="00561B22" w:rsidRPr="00CA6133" w:rsidRDefault="00561B22" w:rsidP="00F1223B">
            <w:pPr>
              <w:rPr>
                <w:rFonts w:ascii="Arial" w:hAnsi="Arial" w:cs="Arial"/>
                <w:b/>
                <w:sz w:val="22"/>
                <w:szCs w:val="22"/>
                <w:lang w:val="es-MX"/>
              </w:rPr>
            </w:pPr>
          </w:p>
        </w:tc>
      </w:tr>
      <w:tr w:rsidR="00561B22" w:rsidRPr="00CA6133" w14:paraId="18B206A9" w14:textId="77777777" w:rsidTr="00F1223B">
        <w:tc>
          <w:tcPr>
            <w:tcW w:w="562" w:type="dxa"/>
          </w:tcPr>
          <w:p w14:paraId="686CD84E"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2</w:t>
            </w:r>
          </w:p>
        </w:tc>
        <w:tc>
          <w:tcPr>
            <w:tcW w:w="9400" w:type="dxa"/>
          </w:tcPr>
          <w:p w14:paraId="32B30420" w14:textId="77777777" w:rsidR="00561B22" w:rsidRPr="00CA6133" w:rsidRDefault="00561B22" w:rsidP="00F1223B">
            <w:pPr>
              <w:jc w:val="both"/>
              <w:rPr>
                <w:rFonts w:ascii="Arial" w:hAnsi="Arial" w:cs="Arial"/>
                <w:b/>
                <w:sz w:val="22"/>
                <w:szCs w:val="22"/>
                <w:lang w:val="es-MX"/>
              </w:rPr>
            </w:pPr>
            <w:r w:rsidRPr="00CA6133">
              <w:rPr>
                <w:rFonts w:ascii="Arial" w:eastAsia="Batang" w:hAnsi="Arial" w:cs="Arial"/>
                <w:sz w:val="22"/>
                <w:szCs w:val="22"/>
              </w:rPr>
              <w:t>Es importante seguir llevando a cabo revisiones continuas y detalladas de los controles asociados a la gestión de riesgos contables, con el objetivo de continuar identificando posibles vulnerabilidades, asegurando la aplicación de medidas correctivas de manera oportuna. Estas revisiones periódicas permitirán no solo minimizar la probabilidad de que los riesgos se materialicen, sino también mejorar la capacidad de respuesta ante situaciones imprevistas.</w:t>
            </w:r>
          </w:p>
        </w:tc>
      </w:tr>
    </w:tbl>
    <w:p w14:paraId="00B63C5E" w14:textId="77777777" w:rsidR="00561B22" w:rsidRPr="00CA6133" w:rsidRDefault="00561B22" w:rsidP="00561B22">
      <w:pPr>
        <w:pStyle w:val="Textoindependiente"/>
        <w:ind w:right="-50"/>
        <w:jc w:val="both"/>
        <w:rPr>
          <w:rFonts w:ascii="Arial" w:hAnsi="Arial" w:cs="Arial"/>
          <w:b/>
          <w:bCs/>
        </w:rPr>
      </w:pPr>
    </w:p>
    <w:p w14:paraId="6A3693C0" w14:textId="77777777" w:rsidR="00561B22" w:rsidRPr="00CA6133" w:rsidRDefault="00561B22" w:rsidP="00561B22">
      <w:pPr>
        <w:jc w:val="both"/>
        <w:rPr>
          <w:rFonts w:ascii="Arial" w:hAnsi="Arial" w:cs="Arial"/>
          <w:b/>
          <w:lang w:val="es-MX"/>
        </w:rPr>
      </w:pPr>
      <w:r w:rsidRPr="00CA6133">
        <w:rPr>
          <w:rFonts w:ascii="Arial" w:hAnsi="Arial" w:cs="Arial"/>
          <w:b/>
          <w:lang w:val="es-MX"/>
        </w:rPr>
        <w:t>Del citado informe retomamos las siguientes recomendaciones:</w:t>
      </w:r>
    </w:p>
    <w:p w14:paraId="4ACF1008" w14:textId="77777777" w:rsidR="00561B22" w:rsidRPr="00CA6133"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CA6133" w14:paraId="0125607F" w14:textId="77777777" w:rsidTr="00F1223B">
        <w:tc>
          <w:tcPr>
            <w:tcW w:w="562" w:type="dxa"/>
          </w:tcPr>
          <w:p w14:paraId="04A6DBB3" w14:textId="77777777" w:rsidR="00561B22" w:rsidRPr="00CA6133" w:rsidRDefault="00561B22" w:rsidP="00F1223B">
            <w:pPr>
              <w:ind w:right="-109"/>
              <w:jc w:val="center"/>
              <w:rPr>
                <w:rFonts w:ascii="Arial" w:hAnsi="Arial" w:cs="Arial"/>
                <w:b/>
                <w:sz w:val="22"/>
                <w:szCs w:val="22"/>
                <w:lang w:val="es-MX"/>
              </w:rPr>
            </w:pPr>
            <w:r w:rsidRPr="00CA6133">
              <w:rPr>
                <w:rFonts w:ascii="Arial" w:hAnsi="Arial" w:cs="Arial"/>
                <w:b/>
                <w:sz w:val="22"/>
                <w:szCs w:val="22"/>
                <w:lang w:val="es-MX"/>
              </w:rPr>
              <w:t>N°</w:t>
            </w:r>
          </w:p>
        </w:tc>
        <w:tc>
          <w:tcPr>
            <w:tcW w:w="9400" w:type="dxa"/>
          </w:tcPr>
          <w:p w14:paraId="10471EDF"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RECOMENDACIONES</w:t>
            </w:r>
          </w:p>
          <w:p w14:paraId="1378175F" w14:textId="77777777" w:rsidR="00561B22" w:rsidRPr="00CA6133" w:rsidRDefault="00561B22" w:rsidP="00F1223B">
            <w:pPr>
              <w:jc w:val="center"/>
              <w:rPr>
                <w:rFonts w:ascii="Arial" w:hAnsi="Arial" w:cs="Arial"/>
                <w:b/>
                <w:sz w:val="22"/>
                <w:szCs w:val="22"/>
                <w:lang w:val="es-MX"/>
              </w:rPr>
            </w:pPr>
          </w:p>
        </w:tc>
      </w:tr>
      <w:tr w:rsidR="00561B22" w:rsidRPr="00CA6133" w14:paraId="5B92503C" w14:textId="77777777" w:rsidTr="00F1223B">
        <w:tc>
          <w:tcPr>
            <w:tcW w:w="562" w:type="dxa"/>
          </w:tcPr>
          <w:p w14:paraId="11F39878"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1</w:t>
            </w:r>
          </w:p>
        </w:tc>
        <w:tc>
          <w:tcPr>
            <w:tcW w:w="9400" w:type="dxa"/>
          </w:tcPr>
          <w:p w14:paraId="492CED24" w14:textId="77777777" w:rsidR="00561B22" w:rsidRPr="00CA6133" w:rsidRDefault="00561B22" w:rsidP="00F1223B">
            <w:pPr>
              <w:widowControl/>
              <w:adjustRightInd w:val="0"/>
              <w:jc w:val="both"/>
              <w:rPr>
                <w:rFonts w:ascii="Arial" w:eastAsia="Batang" w:hAnsi="Arial" w:cs="Arial"/>
                <w:sz w:val="22"/>
                <w:szCs w:val="22"/>
              </w:rPr>
            </w:pPr>
            <w:r w:rsidRPr="00CA6133">
              <w:rPr>
                <w:rFonts w:ascii="Arial" w:eastAsia="Batang" w:hAnsi="Arial" w:cs="Arial"/>
                <w:sz w:val="22"/>
                <w:szCs w:val="22"/>
              </w:rPr>
              <w:t>Continuar realizando capacitaciones periódicas a los proveedores de información contable, con el objetivo de asegurar su comprensión y aplicación de las políticas y procedimientos establecidos. Esto contribuye a mantener la consistencia en la información contable proporcionada, reduciendo la posibilidad de errores o discrepancias y mejorando la calidad de los datos que se utilizan en la toma de decisiones.</w:t>
            </w:r>
          </w:p>
        </w:tc>
      </w:tr>
      <w:tr w:rsidR="00561B22" w:rsidRPr="00CA6133" w14:paraId="147EA35B" w14:textId="77777777" w:rsidTr="00F1223B">
        <w:tc>
          <w:tcPr>
            <w:tcW w:w="562" w:type="dxa"/>
          </w:tcPr>
          <w:p w14:paraId="171D0157" w14:textId="77777777" w:rsidR="00561B22" w:rsidRPr="00CA6133" w:rsidRDefault="00561B22" w:rsidP="00F1223B">
            <w:pPr>
              <w:jc w:val="center"/>
              <w:rPr>
                <w:rFonts w:ascii="Arial" w:hAnsi="Arial" w:cs="Arial"/>
                <w:b/>
                <w:sz w:val="22"/>
                <w:szCs w:val="22"/>
                <w:lang w:val="es-MX"/>
              </w:rPr>
            </w:pPr>
            <w:r w:rsidRPr="00CA6133">
              <w:rPr>
                <w:rFonts w:ascii="Arial" w:hAnsi="Arial" w:cs="Arial"/>
                <w:b/>
                <w:sz w:val="22"/>
                <w:szCs w:val="22"/>
                <w:lang w:val="es-MX"/>
              </w:rPr>
              <w:t>2</w:t>
            </w:r>
          </w:p>
        </w:tc>
        <w:tc>
          <w:tcPr>
            <w:tcW w:w="9400" w:type="dxa"/>
          </w:tcPr>
          <w:p w14:paraId="4EC91D87" w14:textId="77777777" w:rsidR="00561B22" w:rsidRPr="00CA6133" w:rsidRDefault="00561B22" w:rsidP="00F1223B">
            <w:pPr>
              <w:widowControl/>
              <w:adjustRightInd w:val="0"/>
              <w:jc w:val="both"/>
              <w:rPr>
                <w:rFonts w:ascii="Arial" w:eastAsia="Batang" w:hAnsi="Arial" w:cs="Arial"/>
                <w:sz w:val="22"/>
                <w:szCs w:val="22"/>
              </w:rPr>
            </w:pPr>
            <w:r w:rsidRPr="00CA6133">
              <w:rPr>
                <w:rFonts w:ascii="Arial" w:eastAsia="Batang" w:hAnsi="Arial" w:cs="Arial"/>
                <w:sz w:val="22"/>
                <w:szCs w:val="22"/>
              </w:rPr>
              <w:t>Seguir avanzando en la revisión de la implementación de una estructura contable, que facilite la generación de información financiera compatible con informes de sostenibilidad, alineada con la estrategia transversal que el Fondo está desarrollando en el área de sostenibilidad.</w:t>
            </w:r>
          </w:p>
        </w:tc>
      </w:tr>
    </w:tbl>
    <w:p w14:paraId="594D8F55" w14:textId="77777777" w:rsidR="00561B22" w:rsidRDefault="00561B22" w:rsidP="00561B22">
      <w:pPr>
        <w:jc w:val="both"/>
        <w:rPr>
          <w:rFonts w:ascii="Arial" w:hAnsi="Arial" w:cs="Arial"/>
          <w:b/>
          <w:sz w:val="28"/>
          <w:szCs w:val="28"/>
          <w:lang w:val="es-MX"/>
        </w:rPr>
      </w:pPr>
    </w:p>
    <w:p w14:paraId="0F808F57" w14:textId="77777777" w:rsidR="00561B22" w:rsidRPr="00D50410" w:rsidRDefault="00561B22" w:rsidP="00561B22">
      <w:pPr>
        <w:jc w:val="both"/>
        <w:rPr>
          <w:rFonts w:ascii="Arial" w:hAnsi="Arial" w:cs="Arial"/>
          <w:b/>
          <w:sz w:val="28"/>
          <w:szCs w:val="28"/>
          <w:lang w:val="es-MX"/>
        </w:rPr>
      </w:pPr>
      <w:r w:rsidRPr="00D50410">
        <w:rPr>
          <w:rFonts w:ascii="Arial" w:hAnsi="Arial" w:cs="Arial"/>
          <w:b/>
          <w:sz w:val="28"/>
          <w:szCs w:val="28"/>
          <w:lang w:val="es-MX"/>
        </w:rPr>
        <w:t>140.- FINANCIERA DE DESARROLLO TERRITORIAL – FINDETER.</w:t>
      </w:r>
    </w:p>
    <w:p w14:paraId="5207BFD1" w14:textId="77777777" w:rsidR="00561B22" w:rsidRDefault="00561B22" w:rsidP="00561B22">
      <w:pPr>
        <w:ind w:right="-234"/>
        <w:jc w:val="both"/>
        <w:rPr>
          <w:rFonts w:ascii="Arial" w:hAnsi="Arial" w:cs="Arial"/>
          <w:b/>
          <w:sz w:val="24"/>
          <w:szCs w:val="24"/>
          <w:lang w:val="es-MX"/>
        </w:rPr>
      </w:pPr>
    </w:p>
    <w:p w14:paraId="0E568C25" w14:textId="77777777" w:rsidR="00561B22" w:rsidRPr="001E06BD" w:rsidRDefault="00561B22" w:rsidP="00561B22">
      <w:pPr>
        <w:pStyle w:val="Textoindependiente"/>
        <w:jc w:val="center"/>
        <w:rPr>
          <w:rFonts w:ascii="Arial" w:hAnsi="Arial" w:cs="Arial"/>
          <w:b/>
          <w:bCs/>
        </w:rPr>
      </w:pPr>
      <w:r w:rsidRPr="001E06BD">
        <w:rPr>
          <w:rFonts w:ascii="Arial" w:hAnsi="Arial" w:cs="Arial"/>
          <w:b/>
          <w:bCs/>
        </w:rPr>
        <w:t>INFORME DE LA AUTOCALIFICACIÓN DEL SISTEMA DE CONTROL INTERNO CONTABLE:</w:t>
      </w:r>
    </w:p>
    <w:p w14:paraId="294B2B67" w14:textId="77777777" w:rsidR="00561B22" w:rsidRPr="001E06BD"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E06BD" w14:paraId="5AF246CC" w14:textId="77777777" w:rsidTr="00F1223B">
        <w:tc>
          <w:tcPr>
            <w:tcW w:w="4981" w:type="dxa"/>
          </w:tcPr>
          <w:p w14:paraId="43CCDE97"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t>AUTOCALIFICACIÓN</w:t>
            </w:r>
          </w:p>
        </w:tc>
        <w:tc>
          <w:tcPr>
            <w:tcW w:w="4981" w:type="dxa"/>
          </w:tcPr>
          <w:p w14:paraId="25842E55" w14:textId="77777777" w:rsidR="00561B22" w:rsidRPr="001E06BD" w:rsidRDefault="00561B22" w:rsidP="00F1223B">
            <w:pPr>
              <w:jc w:val="center"/>
              <w:rPr>
                <w:rFonts w:ascii="Arial" w:hAnsi="Arial" w:cs="Arial"/>
                <w:b/>
                <w:sz w:val="22"/>
                <w:szCs w:val="22"/>
                <w:u w:val="single"/>
                <w:lang w:val="es-MX"/>
              </w:rPr>
            </w:pPr>
            <w:r w:rsidRPr="001E06BD">
              <w:rPr>
                <w:rFonts w:ascii="Arial" w:hAnsi="Arial" w:cs="Arial"/>
                <w:b/>
                <w:sz w:val="22"/>
                <w:szCs w:val="22"/>
                <w:u w:val="single"/>
                <w:lang w:val="es-MX"/>
              </w:rPr>
              <w:t>4.95</w:t>
            </w:r>
          </w:p>
        </w:tc>
      </w:tr>
    </w:tbl>
    <w:p w14:paraId="1B92EABC" w14:textId="77777777" w:rsidR="00561B22" w:rsidRPr="001E06BD" w:rsidRDefault="00561B22" w:rsidP="00561B22">
      <w:pPr>
        <w:pStyle w:val="Textoindependiente"/>
        <w:jc w:val="both"/>
        <w:rPr>
          <w:rFonts w:ascii="Arial" w:hAnsi="Arial" w:cs="Arial"/>
          <w:b/>
          <w:bCs/>
        </w:rPr>
      </w:pPr>
    </w:p>
    <w:p w14:paraId="6E43F3FA" w14:textId="77777777" w:rsidR="00561B22" w:rsidRPr="001E06BD" w:rsidRDefault="00561B22" w:rsidP="00561B22">
      <w:pPr>
        <w:pStyle w:val="Textoindependiente"/>
        <w:jc w:val="both"/>
        <w:rPr>
          <w:rFonts w:ascii="Arial" w:hAnsi="Arial" w:cs="Arial"/>
          <w:b/>
          <w:bCs/>
        </w:rPr>
      </w:pPr>
      <w:r w:rsidRPr="001E06BD">
        <w:rPr>
          <w:rFonts w:ascii="Arial" w:hAnsi="Arial" w:cs="Arial"/>
          <w:b/>
          <w:bCs/>
        </w:rPr>
        <w:t>Del informe enviado retomamos lo siguiente:</w:t>
      </w:r>
    </w:p>
    <w:p w14:paraId="3FF3BB2D" w14:textId="77777777" w:rsidR="00561B22" w:rsidRPr="001E06BD"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E06BD" w14:paraId="42F333C7" w14:textId="77777777" w:rsidTr="00F1223B">
        <w:tc>
          <w:tcPr>
            <w:tcW w:w="562" w:type="dxa"/>
          </w:tcPr>
          <w:p w14:paraId="046082D8"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t>N°</w:t>
            </w:r>
          </w:p>
        </w:tc>
        <w:tc>
          <w:tcPr>
            <w:tcW w:w="9400" w:type="dxa"/>
          </w:tcPr>
          <w:p w14:paraId="0588559D"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t>DEBILIDADES</w:t>
            </w:r>
          </w:p>
          <w:p w14:paraId="5A4923E7" w14:textId="77777777" w:rsidR="00561B22" w:rsidRPr="001E06BD" w:rsidRDefault="00561B22" w:rsidP="00F1223B">
            <w:pPr>
              <w:jc w:val="center"/>
              <w:rPr>
                <w:rFonts w:ascii="Arial" w:hAnsi="Arial" w:cs="Arial"/>
                <w:b/>
                <w:sz w:val="22"/>
                <w:szCs w:val="22"/>
                <w:lang w:val="es-MX"/>
              </w:rPr>
            </w:pPr>
          </w:p>
        </w:tc>
      </w:tr>
      <w:tr w:rsidR="00561B22" w:rsidRPr="001E06BD" w14:paraId="2053B2FA" w14:textId="77777777" w:rsidTr="00F1223B">
        <w:tc>
          <w:tcPr>
            <w:tcW w:w="562" w:type="dxa"/>
          </w:tcPr>
          <w:p w14:paraId="0716317D"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t>1</w:t>
            </w:r>
          </w:p>
        </w:tc>
        <w:tc>
          <w:tcPr>
            <w:tcW w:w="9400" w:type="dxa"/>
          </w:tcPr>
          <w:p w14:paraId="797533DE" w14:textId="77777777" w:rsidR="00561B22" w:rsidRPr="001E06BD" w:rsidRDefault="00561B22" w:rsidP="00F1223B">
            <w:pPr>
              <w:jc w:val="both"/>
              <w:rPr>
                <w:rFonts w:ascii="Arial" w:hAnsi="Arial" w:cs="Arial"/>
                <w:bCs/>
                <w:sz w:val="22"/>
                <w:szCs w:val="22"/>
                <w:lang w:val="es-MX"/>
              </w:rPr>
            </w:pPr>
            <w:r w:rsidRPr="001E06BD">
              <w:rPr>
                <w:rFonts w:ascii="Arial" w:hAnsi="Arial" w:cs="Arial"/>
                <w:bCs/>
                <w:sz w:val="22"/>
                <w:szCs w:val="22"/>
                <w:lang w:val="es-MX"/>
              </w:rPr>
              <w:t>Desactualización sobre la medición de los indicadores del proceso de gestión de contabilidad.</w:t>
            </w:r>
          </w:p>
        </w:tc>
      </w:tr>
    </w:tbl>
    <w:p w14:paraId="4605E6E1" w14:textId="77777777" w:rsidR="00561B22" w:rsidRPr="001E06BD" w:rsidRDefault="00561B22" w:rsidP="00561B22">
      <w:pPr>
        <w:pStyle w:val="Textoindependiente"/>
        <w:jc w:val="both"/>
        <w:rPr>
          <w:rFonts w:ascii="Arial" w:hAnsi="Arial" w:cs="Arial"/>
          <w:b/>
          <w:bCs/>
        </w:rPr>
      </w:pPr>
    </w:p>
    <w:p w14:paraId="6B771935" w14:textId="77777777" w:rsidR="00561B22" w:rsidRPr="001E06BD" w:rsidRDefault="00561B22" w:rsidP="00561B22">
      <w:pPr>
        <w:jc w:val="both"/>
        <w:rPr>
          <w:rFonts w:ascii="Arial" w:hAnsi="Arial" w:cs="Arial"/>
          <w:b/>
          <w:lang w:val="es-MX"/>
        </w:rPr>
      </w:pPr>
      <w:r w:rsidRPr="001E06BD">
        <w:rPr>
          <w:rFonts w:ascii="Arial" w:hAnsi="Arial" w:cs="Arial"/>
          <w:b/>
          <w:lang w:val="es-MX"/>
        </w:rPr>
        <w:t>Del citado informe retomamos las siguientes recomendaciones:</w:t>
      </w:r>
    </w:p>
    <w:p w14:paraId="530EED6E" w14:textId="77777777" w:rsidR="00561B22" w:rsidRPr="001E06BD"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1E06BD" w14:paraId="59C4FA2D" w14:textId="77777777" w:rsidTr="00F1223B">
        <w:tc>
          <w:tcPr>
            <w:tcW w:w="562" w:type="dxa"/>
          </w:tcPr>
          <w:p w14:paraId="7EB77371"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lastRenderedPageBreak/>
              <w:t>N°</w:t>
            </w:r>
          </w:p>
        </w:tc>
        <w:tc>
          <w:tcPr>
            <w:tcW w:w="9400" w:type="dxa"/>
          </w:tcPr>
          <w:p w14:paraId="5ED4B820"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t>RECOMENDACIONES</w:t>
            </w:r>
          </w:p>
          <w:p w14:paraId="21A88A0E" w14:textId="77777777" w:rsidR="00561B22" w:rsidRPr="001E06BD" w:rsidRDefault="00561B22" w:rsidP="00F1223B">
            <w:pPr>
              <w:jc w:val="center"/>
              <w:rPr>
                <w:rFonts w:ascii="Arial" w:hAnsi="Arial" w:cs="Arial"/>
                <w:b/>
                <w:sz w:val="22"/>
                <w:szCs w:val="22"/>
                <w:lang w:val="es-MX"/>
              </w:rPr>
            </w:pPr>
          </w:p>
        </w:tc>
      </w:tr>
      <w:tr w:rsidR="00561B22" w:rsidRPr="001E06BD" w14:paraId="514AF3D7" w14:textId="77777777" w:rsidTr="00F1223B">
        <w:tc>
          <w:tcPr>
            <w:tcW w:w="562" w:type="dxa"/>
          </w:tcPr>
          <w:p w14:paraId="74BE67F0" w14:textId="77777777" w:rsidR="00561B22" w:rsidRPr="001E06BD" w:rsidRDefault="00561B22" w:rsidP="00F1223B">
            <w:pPr>
              <w:jc w:val="center"/>
              <w:rPr>
                <w:rFonts w:ascii="Arial" w:hAnsi="Arial" w:cs="Arial"/>
                <w:b/>
                <w:sz w:val="22"/>
                <w:szCs w:val="22"/>
                <w:lang w:val="es-MX"/>
              </w:rPr>
            </w:pPr>
            <w:r w:rsidRPr="001E06BD">
              <w:rPr>
                <w:rFonts w:ascii="Arial" w:hAnsi="Arial" w:cs="Arial"/>
                <w:b/>
                <w:sz w:val="22"/>
                <w:szCs w:val="22"/>
                <w:lang w:val="es-MX"/>
              </w:rPr>
              <w:t>1</w:t>
            </w:r>
          </w:p>
        </w:tc>
        <w:tc>
          <w:tcPr>
            <w:tcW w:w="9400" w:type="dxa"/>
          </w:tcPr>
          <w:p w14:paraId="47A648FD" w14:textId="77777777" w:rsidR="00561B22" w:rsidRPr="001E06BD" w:rsidRDefault="00561B22" w:rsidP="00F1223B">
            <w:pPr>
              <w:jc w:val="both"/>
              <w:rPr>
                <w:rFonts w:ascii="Arial" w:hAnsi="Arial" w:cs="Arial"/>
                <w:bCs/>
                <w:sz w:val="22"/>
                <w:szCs w:val="22"/>
                <w:lang w:val="es-MX"/>
              </w:rPr>
            </w:pPr>
            <w:r w:rsidRPr="001E06BD">
              <w:rPr>
                <w:rFonts w:ascii="Arial" w:hAnsi="Arial" w:cs="Arial"/>
                <w:bCs/>
                <w:sz w:val="22"/>
                <w:szCs w:val="22"/>
                <w:lang w:val="es-MX"/>
              </w:rPr>
              <w:t>Analizar los procedimientos sobre la actualización de los indicadores del proceso, asegurando la oportuna medición de los mismos.</w:t>
            </w:r>
          </w:p>
        </w:tc>
      </w:tr>
    </w:tbl>
    <w:p w14:paraId="43796874" w14:textId="77777777" w:rsidR="00561B22" w:rsidRPr="001E06BD" w:rsidRDefault="00561B22" w:rsidP="00561B22">
      <w:pPr>
        <w:pStyle w:val="Textoindependiente"/>
        <w:rPr>
          <w:rFonts w:ascii="Arial" w:hAnsi="Arial" w:cs="Arial"/>
          <w:b/>
          <w:bCs/>
          <w:lang w:val="es-CO"/>
        </w:rPr>
      </w:pPr>
    </w:p>
    <w:p w14:paraId="23A912D1" w14:textId="77777777" w:rsidR="00561B22" w:rsidRPr="001E06BD" w:rsidRDefault="00561B22" w:rsidP="00561B22">
      <w:pPr>
        <w:pStyle w:val="Textoindependiente"/>
        <w:jc w:val="both"/>
        <w:rPr>
          <w:rFonts w:ascii="Arial" w:hAnsi="Arial" w:cs="Arial"/>
          <w:b/>
          <w:bCs/>
          <w:sz w:val="24"/>
          <w:szCs w:val="24"/>
          <w:lang w:val="es-CO"/>
        </w:rPr>
      </w:pPr>
      <w:r w:rsidRPr="001E06BD">
        <w:rPr>
          <w:rFonts w:ascii="Arial" w:hAnsi="Arial" w:cs="Arial"/>
          <w:b/>
          <w:bCs/>
          <w:sz w:val="24"/>
          <w:szCs w:val="24"/>
          <w:lang w:val="es-CO"/>
        </w:rPr>
        <w:t xml:space="preserve">NOTA: LA ENTIDAD ENVIA LA MATRIZ DE AUTOEVALUACIÓN DEL SISTEMA DE CONTROL INTERNO CONTABLE CON </w:t>
      </w:r>
      <w:r w:rsidRPr="001E06BD">
        <w:rPr>
          <w:rFonts w:ascii="Arial" w:hAnsi="Arial" w:cs="Arial"/>
          <w:b/>
          <w:bCs/>
          <w:sz w:val="24"/>
          <w:szCs w:val="24"/>
          <w:u w:val="single"/>
          <w:lang w:val="es-CO"/>
        </w:rPr>
        <w:t>ACTIVIDADES DE CONTROL REALIZADAS EN FORMA PARCIAL</w:t>
      </w:r>
      <w:r w:rsidRPr="001E06BD">
        <w:rPr>
          <w:rFonts w:ascii="Arial" w:hAnsi="Arial" w:cs="Arial"/>
          <w:b/>
          <w:bCs/>
          <w:sz w:val="24"/>
          <w:szCs w:val="24"/>
          <w:lang w:val="es-CO"/>
        </w:rPr>
        <w:t>.</w:t>
      </w:r>
    </w:p>
    <w:p w14:paraId="2843AC40" w14:textId="77777777" w:rsidR="00561B22" w:rsidRPr="001E06BD" w:rsidRDefault="00561B22" w:rsidP="00561B22">
      <w:pPr>
        <w:pStyle w:val="Textoindependiente"/>
        <w:tabs>
          <w:tab w:val="left" w:pos="2055"/>
        </w:tabs>
        <w:spacing w:before="5"/>
        <w:rPr>
          <w:rFonts w:ascii="Arial" w:hAnsi="Arial" w:cs="Arial"/>
          <w:b/>
          <w:bCs/>
          <w:sz w:val="24"/>
          <w:szCs w:val="24"/>
          <w:lang w:val="es-CO"/>
        </w:rPr>
      </w:pPr>
    </w:p>
    <w:p w14:paraId="4733E24D" w14:textId="77777777" w:rsidR="00561B22" w:rsidRPr="00A402E9" w:rsidRDefault="00561B22" w:rsidP="00561B22">
      <w:pPr>
        <w:jc w:val="both"/>
        <w:rPr>
          <w:rFonts w:ascii="Arial" w:hAnsi="Arial" w:cs="Arial"/>
          <w:b/>
          <w:sz w:val="28"/>
          <w:szCs w:val="28"/>
          <w:lang w:val="es-MX"/>
        </w:rPr>
      </w:pPr>
      <w:r w:rsidRPr="00A402E9">
        <w:rPr>
          <w:rFonts w:ascii="Arial" w:hAnsi="Arial" w:cs="Arial"/>
          <w:b/>
          <w:sz w:val="28"/>
          <w:szCs w:val="28"/>
          <w:lang w:val="es-MX"/>
        </w:rPr>
        <w:t xml:space="preserve">145.- </w:t>
      </w:r>
      <w:r w:rsidRPr="00A402E9">
        <w:rPr>
          <w:rFonts w:ascii="Arial" w:hAnsi="Arial" w:cs="Arial"/>
          <w:b/>
          <w:sz w:val="28"/>
          <w:szCs w:val="28"/>
        </w:rPr>
        <w:t>ECOPETROL S.A.</w:t>
      </w:r>
    </w:p>
    <w:p w14:paraId="2C7D6FA7" w14:textId="77777777" w:rsidR="00561B22" w:rsidRPr="001E06BD" w:rsidRDefault="00561B22" w:rsidP="00561B22">
      <w:pPr>
        <w:jc w:val="both"/>
        <w:rPr>
          <w:rFonts w:ascii="Arial" w:hAnsi="Arial" w:cs="Arial"/>
          <w:b/>
          <w:bCs/>
          <w:sz w:val="24"/>
          <w:szCs w:val="24"/>
        </w:rPr>
      </w:pPr>
    </w:p>
    <w:p w14:paraId="63311EAD" w14:textId="77777777" w:rsidR="00561B22" w:rsidRPr="00C46A2D" w:rsidRDefault="00561B22" w:rsidP="00561B22">
      <w:pPr>
        <w:pStyle w:val="Textoindependiente"/>
        <w:ind w:right="-50"/>
        <w:jc w:val="center"/>
        <w:rPr>
          <w:rFonts w:ascii="Arial" w:hAnsi="Arial" w:cs="Arial"/>
          <w:b/>
          <w:bCs/>
        </w:rPr>
      </w:pPr>
      <w:r w:rsidRPr="00C46A2D">
        <w:rPr>
          <w:rFonts w:ascii="Arial" w:hAnsi="Arial" w:cs="Arial"/>
          <w:b/>
          <w:bCs/>
        </w:rPr>
        <w:t>INFORME DE LA AUTOCALIFICACIÓN DEL SISTEMA DE CONTROL INTERNO CONTABLE:</w:t>
      </w:r>
    </w:p>
    <w:p w14:paraId="6E72B7D9" w14:textId="77777777" w:rsidR="00561B22" w:rsidRPr="00C46A2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46A2D" w14:paraId="15D1A920" w14:textId="77777777" w:rsidTr="00F1223B">
        <w:tc>
          <w:tcPr>
            <w:tcW w:w="4981" w:type="dxa"/>
          </w:tcPr>
          <w:p w14:paraId="4203FA57"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AUTOCALIFICACIÓN</w:t>
            </w:r>
          </w:p>
        </w:tc>
        <w:tc>
          <w:tcPr>
            <w:tcW w:w="4981" w:type="dxa"/>
          </w:tcPr>
          <w:p w14:paraId="2DA7B4D9" w14:textId="77777777" w:rsidR="00561B22" w:rsidRPr="00C46A2D" w:rsidRDefault="00561B22" w:rsidP="00F1223B">
            <w:pPr>
              <w:jc w:val="center"/>
              <w:rPr>
                <w:rFonts w:ascii="Arial" w:hAnsi="Arial" w:cs="Arial"/>
                <w:b/>
                <w:sz w:val="22"/>
                <w:szCs w:val="22"/>
                <w:u w:val="single"/>
                <w:lang w:val="es-MX"/>
              </w:rPr>
            </w:pPr>
            <w:r w:rsidRPr="00C46A2D">
              <w:rPr>
                <w:rFonts w:ascii="Arial" w:hAnsi="Arial" w:cs="Arial"/>
                <w:b/>
                <w:sz w:val="22"/>
                <w:szCs w:val="22"/>
                <w:u w:val="single"/>
                <w:lang w:val="es-MX"/>
              </w:rPr>
              <w:t>4.89</w:t>
            </w:r>
          </w:p>
        </w:tc>
      </w:tr>
    </w:tbl>
    <w:p w14:paraId="2751DE42" w14:textId="77777777" w:rsidR="00561B22" w:rsidRPr="00C46A2D" w:rsidRDefault="00561B22" w:rsidP="00561B22">
      <w:pPr>
        <w:pStyle w:val="Textoindependiente"/>
        <w:ind w:right="-50"/>
        <w:jc w:val="both"/>
        <w:rPr>
          <w:rFonts w:ascii="Arial" w:hAnsi="Arial" w:cs="Arial"/>
          <w:b/>
          <w:bCs/>
        </w:rPr>
      </w:pPr>
    </w:p>
    <w:p w14:paraId="0AC85535" w14:textId="77777777" w:rsidR="00561B22" w:rsidRPr="00C46A2D" w:rsidRDefault="00561B22" w:rsidP="00561B22">
      <w:pPr>
        <w:pStyle w:val="Textoindependiente"/>
        <w:ind w:right="-50"/>
        <w:jc w:val="both"/>
        <w:rPr>
          <w:rFonts w:ascii="Arial" w:hAnsi="Arial" w:cs="Arial"/>
          <w:b/>
          <w:bCs/>
        </w:rPr>
      </w:pPr>
      <w:r w:rsidRPr="00C46A2D">
        <w:rPr>
          <w:rFonts w:ascii="Arial" w:hAnsi="Arial" w:cs="Arial"/>
          <w:b/>
          <w:bCs/>
        </w:rPr>
        <w:t>Del informe enviado retomamos lo siguiente:</w:t>
      </w:r>
    </w:p>
    <w:p w14:paraId="427993D1" w14:textId="77777777" w:rsidR="00561B22" w:rsidRPr="00C46A2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46A2D" w14:paraId="4556E2BD" w14:textId="77777777" w:rsidTr="00F1223B">
        <w:tc>
          <w:tcPr>
            <w:tcW w:w="562" w:type="dxa"/>
          </w:tcPr>
          <w:p w14:paraId="4D28904B" w14:textId="77777777" w:rsidR="00561B22" w:rsidRPr="00C46A2D" w:rsidRDefault="00561B22" w:rsidP="00F1223B">
            <w:pPr>
              <w:ind w:right="-109"/>
              <w:jc w:val="center"/>
              <w:rPr>
                <w:rFonts w:ascii="Arial" w:hAnsi="Arial" w:cs="Arial"/>
                <w:b/>
                <w:sz w:val="22"/>
                <w:szCs w:val="22"/>
                <w:lang w:val="es-MX"/>
              </w:rPr>
            </w:pPr>
            <w:r w:rsidRPr="00C46A2D">
              <w:rPr>
                <w:rFonts w:ascii="Arial" w:hAnsi="Arial" w:cs="Arial"/>
                <w:b/>
                <w:sz w:val="22"/>
                <w:szCs w:val="22"/>
                <w:lang w:val="es-MX"/>
              </w:rPr>
              <w:t>N°</w:t>
            </w:r>
          </w:p>
        </w:tc>
        <w:tc>
          <w:tcPr>
            <w:tcW w:w="9400" w:type="dxa"/>
          </w:tcPr>
          <w:p w14:paraId="28345F25"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DEBILIDADES</w:t>
            </w:r>
          </w:p>
          <w:p w14:paraId="7C32D65F" w14:textId="77777777" w:rsidR="00561B22" w:rsidRPr="00C46A2D" w:rsidRDefault="00561B22" w:rsidP="00F1223B">
            <w:pPr>
              <w:jc w:val="center"/>
              <w:rPr>
                <w:rFonts w:ascii="Arial" w:hAnsi="Arial" w:cs="Arial"/>
                <w:b/>
                <w:sz w:val="22"/>
                <w:szCs w:val="22"/>
                <w:lang w:val="es-MX"/>
              </w:rPr>
            </w:pPr>
          </w:p>
        </w:tc>
      </w:tr>
      <w:tr w:rsidR="00561B22" w:rsidRPr="00C46A2D" w14:paraId="2C76422E" w14:textId="77777777" w:rsidTr="00F1223B">
        <w:tc>
          <w:tcPr>
            <w:tcW w:w="562" w:type="dxa"/>
          </w:tcPr>
          <w:p w14:paraId="3145399D"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1</w:t>
            </w:r>
          </w:p>
        </w:tc>
        <w:tc>
          <w:tcPr>
            <w:tcW w:w="9400" w:type="dxa"/>
          </w:tcPr>
          <w:p w14:paraId="47C0046A" w14:textId="77777777" w:rsidR="00561B22" w:rsidRPr="00C46A2D" w:rsidRDefault="00561B22" w:rsidP="00F1223B">
            <w:pPr>
              <w:jc w:val="both"/>
              <w:rPr>
                <w:rFonts w:ascii="Arial" w:hAnsi="Arial" w:cs="Arial"/>
                <w:b/>
                <w:sz w:val="22"/>
                <w:szCs w:val="22"/>
                <w:lang w:val="es-MX"/>
              </w:rPr>
            </w:pPr>
            <w:r w:rsidRPr="00C46A2D">
              <w:rPr>
                <w:rFonts w:ascii="Arial" w:eastAsia="Times New Roman" w:hAnsi="Arial" w:cs="Arial"/>
                <w:sz w:val="22"/>
                <w:szCs w:val="22"/>
              </w:rPr>
              <w:t xml:space="preserve">Por la naturaleza y tamaño de la compañía se generan operaciones o transacciones que requieren un alto nivel de análisis y generan complejidad en el tratamiento contable y tributario dentro de los tiempos definidos para el cierre contable. </w:t>
            </w:r>
          </w:p>
        </w:tc>
      </w:tr>
      <w:tr w:rsidR="00561B22" w:rsidRPr="00C46A2D" w14:paraId="208F4599" w14:textId="77777777" w:rsidTr="00F1223B">
        <w:tc>
          <w:tcPr>
            <w:tcW w:w="562" w:type="dxa"/>
          </w:tcPr>
          <w:p w14:paraId="4FD5B939"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2</w:t>
            </w:r>
          </w:p>
        </w:tc>
        <w:tc>
          <w:tcPr>
            <w:tcW w:w="9400" w:type="dxa"/>
          </w:tcPr>
          <w:p w14:paraId="552FA9BB" w14:textId="77777777" w:rsidR="00561B22" w:rsidRPr="00C46A2D" w:rsidRDefault="00561B22" w:rsidP="00F1223B">
            <w:pPr>
              <w:rPr>
                <w:rFonts w:ascii="Arial" w:hAnsi="Arial" w:cs="Arial"/>
                <w:b/>
                <w:sz w:val="22"/>
                <w:szCs w:val="22"/>
                <w:lang w:val="es-MX"/>
              </w:rPr>
            </w:pPr>
            <w:r w:rsidRPr="00C46A2D">
              <w:rPr>
                <w:rFonts w:ascii="Arial" w:eastAsia="Times New Roman" w:hAnsi="Arial" w:cs="Arial"/>
                <w:sz w:val="22"/>
                <w:szCs w:val="22"/>
              </w:rPr>
              <w:t>Se trabaja permanentemente en fortalecer el análisis y automatización de los flujos de información para anticipar la entrega de los estados financieros consolidados a la alta gerencia.</w:t>
            </w:r>
          </w:p>
        </w:tc>
      </w:tr>
    </w:tbl>
    <w:p w14:paraId="336DD02E" w14:textId="77777777" w:rsidR="00561B22" w:rsidRPr="00C46A2D" w:rsidRDefault="00561B22" w:rsidP="00561B22">
      <w:pPr>
        <w:pStyle w:val="Textoindependiente"/>
        <w:ind w:right="-50"/>
        <w:jc w:val="both"/>
        <w:rPr>
          <w:rFonts w:ascii="Arial" w:hAnsi="Arial" w:cs="Arial"/>
          <w:b/>
          <w:bCs/>
        </w:rPr>
      </w:pPr>
    </w:p>
    <w:p w14:paraId="16D84723" w14:textId="77777777" w:rsidR="00561B22" w:rsidRPr="00C46A2D" w:rsidRDefault="00561B22" w:rsidP="00561B22">
      <w:pPr>
        <w:jc w:val="both"/>
        <w:rPr>
          <w:rFonts w:ascii="Arial" w:hAnsi="Arial" w:cs="Arial"/>
          <w:b/>
          <w:lang w:val="es-MX"/>
        </w:rPr>
      </w:pPr>
      <w:r w:rsidRPr="00C46A2D">
        <w:rPr>
          <w:rFonts w:ascii="Arial" w:hAnsi="Arial" w:cs="Arial"/>
          <w:b/>
          <w:lang w:val="es-MX"/>
        </w:rPr>
        <w:t>Del citado informe retomamos las siguientes recomendaciones:</w:t>
      </w:r>
    </w:p>
    <w:p w14:paraId="022DB5B4" w14:textId="77777777" w:rsidR="00561B22" w:rsidRPr="00C46A2D"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C46A2D" w14:paraId="1208D21A" w14:textId="77777777" w:rsidTr="00F1223B">
        <w:tc>
          <w:tcPr>
            <w:tcW w:w="562" w:type="dxa"/>
          </w:tcPr>
          <w:p w14:paraId="2EA05F68" w14:textId="77777777" w:rsidR="00561B22" w:rsidRPr="00C46A2D" w:rsidRDefault="00561B22" w:rsidP="00F1223B">
            <w:pPr>
              <w:ind w:right="-109"/>
              <w:jc w:val="center"/>
              <w:rPr>
                <w:rFonts w:ascii="Arial" w:hAnsi="Arial" w:cs="Arial"/>
                <w:b/>
                <w:sz w:val="22"/>
                <w:szCs w:val="22"/>
                <w:lang w:val="es-MX"/>
              </w:rPr>
            </w:pPr>
            <w:r w:rsidRPr="00C46A2D">
              <w:rPr>
                <w:rFonts w:ascii="Arial" w:hAnsi="Arial" w:cs="Arial"/>
                <w:b/>
                <w:sz w:val="22"/>
                <w:szCs w:val="22"/>
                <w:lang w:val="es-MX"/>
              </w:rPr>
              <w:t>N°</w:t>
            </w:r>
          </w:p>
        </w:tc>
        <w:tc>
          <w:tcPr>
            <w:tcW w:w="9400" w:type="dxa"/>
          </w:tcPr>
          <w:p w14:paraId="5978E848"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RECOMENDACIONES</w:t>
            </w:r>
          </w:p>
          <w:p w14:paraId="0E73F849" w14:textId="77777777" w:rsidR="00561B22" w:rsidRPr="00C46A2D" w:rsidRDefault="00561B22" w:rsidP="00F1223B">
            <w:pPr>
              <w:jc w:val="center"/>
              <w:rPr>
                <w:rFonts w:ascii="Arial" w:hAnsi="Arial" w:cs="Arial"/>
                <w:b/>
                <w:sz w:val="22"/>
                <w:szCs w:val="22"/>
                <w:lang w:val="es-MX"/>
              </w:rPr>
            </w:pPr>
          </w:p>
        </w:tc>
      </w:tr>
      <w:tr w:rsidR="00561B22" w:rsidRPr="00C46A2D" w14:paraId="37558B66" w14:textId="77777777" w:rsidTr="00F1223B">
        <w:tc>
          <w:tcPr>
            <w:tcW w:w="562" w:type="dxa"/>
          </w:tcPr>
          <w:p w14:paraId="7770F128"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1</w:t>
            </w:r>
          </w:p>
        </w:tc>
        <w:tc>
          <w:tcPr>
            <w:tcW w:w="9400" w:type="dxa"/>
          </w:tcPr>
          <w:p w14:paraId="42E070D6" w14:textId="77777777" w:rsidR="00561B22" w:rsidRPr="00C46A2D" w:rsidRDefault="00561B22" w:rsidP="00F1223B">
            <w:pPr>
              <w:jc w:val="both"/>
              <w:rPr>
                <w:rFonts w:ascii="Arial" w:hAnsi="Arial" w:cs="Arial"/>
                <w:b/>
                <w:sz w:val="22"/>
                <w:szCs w:val="22"/>
                <w:lang w:val="es-MX"/>
              </w:rPr>
            </w:pPr>
            <w:r w:rsidRPr="00C46A2D">
              <w:rPr>
                <w:rFonts w:ascii="Arial" w:eastAsia="Times New Roman" w:hAnsi="Arial" w:cs="Arial"/>
                <w:sz w:val="22"/>
                <w:szCs w:val="22"/>
              </w:rPr>
              <w:t xml:space="preserve">Incremento en la cobertura de las capacitaciones a personal que origina información fuente para los estados financieros.  </w:t>
            </w:r>
          </w:p>
        </w:tc>
      </w:tr>
      <w:tr w:rsidR="00561B22" w:rsidRPr="00C46A2D" w14:paraId="3BD101B7" w14:textId="77777777" w:rsidTr="00F1223B">
        <w:tc>
          <w:tcPr>
            <w:tcW w:w="562" w:type="dxa"/>
          </w:tcPr>
          <w:p w14:paraId="67D190BC" w14:textId="77777777" w:rsidR="00561B22" w:rsidRPr="00C46A2D" w:rsidRDefault="00561B22" w:rsidP="00F1223B">
            <w:pPr>
              <w:jc w:val="center"/>
              <w:rPr>
                <w:rFonts w:ascii="Arial" w:hAnsi="Arial" w:cs="Arial"/>
                <w:b/>
                <w:sz w:val="22"/>
                <w:szCs w:val="22"/>
                <w:lang w:val="es-MX"/>
              </w:rPr>
            </w:pPr>
            <w:r w:rsidRPr="00C46A2D">
              <w:rPr>
                <w:rFonts w:ascii="Arial" w:hAnsi="Arial" w:cs="Arial"/>
                <w:b/>
                <w:sz w:val="22"/>
                <w:szCs w:val="22"/>
                <w:lang w:val="es-MX"/>
              </w:rPr>
              <w:t>2</w:t>
            </w:r>
          </w:p>
        </w:tc>
        <w:tc>
          <w:tcPr>
            <w:tcW w:w="9400" w:type="dxa"/>
          </w:tcPr>
          <w:p w14:paraId="6DAA5D7A" w14:textId="77777777" w:rsidR="00561B22" w:rsidRPr="00C46A2D" w:rsidRDefault="00561B22" w:rsidP="00F1223B">
            <w:pPr>
              <w:rPr>
                <w:rFonts w:ascii="Arial" w:hAnsi="Arial" w:cs="Arial"/>
                <w:b/>
                <w:sz w:val="22"/>
                <w:szCs w:val="22"/>
                <w:lang w:val="es-MX"/>
              </w:rPr>
            </w:pPr>
            <w:r w:rsidRPr="00C46A2D">
              <w:rPr>
                <w:rFonts w:ascii="Arial" w:eastAsia="Times New Roman" w:hAnsi="Arial" w:cs="Arial"/>
                <w:sz w:val="22"/>
                <w:szCs w:val="22"/>
              </w:rPr>
              <w:t>Desarrollar herramientas que faciliten y aseguren la conservación y custodia de los soportes de las operaciones como parte de los controles del proceso contable.</w:t>
            </w:r>
          </w:p>
        </w:tc>
      </w:tr>
    </w:tbl>
    <w:p w14:paraId="5C3B8EA3" w14:textId="77777777" w:rsidR="00561B22" w:rsidRPr="00C46A2D" w:rsidRDefault="00561B22" w:rsidP="00561B22">
      <w:pPr>
        <w:pStyle w:val="Textoindependiente"/>
        <w:ind w:right="-50"/>
        <w:jc w:val="both"/>
        <w:rPr>
          <w:rFonts w:ascii="Arial" w:hAnsi="Arial" w:cs="Arial"/>
          <w:b/>
          <w:bCs/>
          <w:sz w:val="28"/>
          <w:szCs w:val="28"/>
        </w:rPr>
      </w:pPr>
    </w:p>
    <w:p w14:paraId="73DBF627" w14:textId="77777777" w:rsidR="00561B22" w:rsidRPr="00C46A2D" w:rsidRDefault="00561B22" w:rsidP="00561B22">
      <w:pPr>
        <w:jc w:val="both"/>
        <w:rPr>
          <w:rFonts w:ascii="Arial" w:hAnsi="Arial" w:cs="Arial"/>
          <w:b/>
          <w:bCs/>
          <w:sz w:val="24"/>
          <w:szCs w:val="24"/>
          <w:lang w:val="es-CO"/>
        </w:rPr>
      </w:pPr>
      <w:r w:rsidRPr="00C46A2D">
        <w:rPr>
          <w:rFonts w:ascii="Arial" w:hAnsi="Arial" w:cs="Arial"/>
          <w:b/>
          <w:bCs/>
          <w:sz w:val="24"/>
          <w:szCs w:val="24"/>
          <w:lang w:val="es-CO"/>
        </w:rPr>
        <w:t xml:space="preserve">NOTA: LA ENTIDAD ENVIA LA MATRIZ DE AUTOEVALUACIÓN DEL SISTEMA DE CONTROL INTERNO CONTABLE CON </w:t>
      </w:r>
      <w:r w:rsidRPr="00C46A2D">
        <w:rPr>
          <w:rFonts w:ascii="Arial" w:hAnsi="Arial" w:cs="Arial"/>
          <w:b/>
          <w:bCs/>
          <w:sz w:val="24"/>
          <w:szCs w:val="24"/>
          <w:u w:val="single"/>
          <w:lang w:val="es-CO"/>
        </w:rPr>
        <w:t>ACTIVIDADES DE CONTROL REALIZADAS EN FORMA PARCIAL</w:t>
      </w:r>
      <w:r w:rsidRPr="00C46A2D">
        <w:rPr>
          <w:rFonts w:ascii="Arial" w:hAnsi="Arial" w:cs="Arial"/>
          <w:b/>
          <w:bCs/>
          <w:sz w:val="24"/>
          <w:szCs w:val="24"/>
          <w:lang w:val="es-CO"/>
        </w:rPr>
        <w:t>.</w:t>
      </w:r>
    </w:p>
    <w:p w14:paraId="587F286F" w14:textId="77777777" w:rsidR="00561B22" w:rsidRDefault="00561B22" w:rsidP="00561B22">
      <w:pPr>
        <w:jc w:val="both"/>
        <w:rPr>
          <w:rFonts w:ascii="Arial" w:hAnsi="Arial" w:cs="Arial"/>
          <w:b/>
          <w:bCs/>
          <w:lang w:val="es-CO"/>
        </w:rPr>
      </w:pPr>
    </w:p>
    <w:p w14:paraId="213F0451" w14:textId="77777777" w:rsidR="00561B22" w:rsidRPr="0070361E" w:rsidRDefault="00561B22" w:rsidP="00561B22">
      <w:pPr>
        <w:jc w:val="both"/>
        <w:rPr>
          <w:rFonts w:ascii="Arial" w:hAnsi="Arial" w:cs="Arial"/>
          <w:b/>
          <w:sz w:val="28"/>
          <w:szCs w:val="28"/>
          <w:lang w:val="es-MX"/>
        </w:rPr>
      </w:pPr>
      <w:r w:rsidRPr="0070361E">
        <w:rPr>
          <w:rFonts w:ascii="Arial" w:hAnsi="Arial" w:cs="Arial"/>
          <w:b/>
          <w:sz w:val="28"/>
          <w:szCs w:val="28"/>
          <w:lang w:val="es-MX"/>
        </w:rPr>
        <w:t>146.- FONDO COLOMBIA EN PAZ - FCP.</w:t>
      </w:r>
    </w:p>
    <w:p w14:paraId="099550AD" w14:textId="77777777" w:rsidR="00561B22" w:rsidRDefault="00561B22" w:rsidP="00561B22">
      <w:pPr>
        <w:jc w:val="both"/>
        <w:rPr>
          <w:rFonts w:ascii="Arial" w:hAnsi="Arial" w:cs="Arial"/>
          <w:b/>
          <w:bCs/>
          <w:lang w:val="es-MX"/>
        </w:rPr>
      </w:pPr>
    </w:p>
    <w:p w14:paraId="4044A7A2" w14:textId="77777777" w:rsidR="00561B22" w:rsidRPr="00097166" w:rsidRDefault="00561B22" w:rsidP="00561B22">
      <w:pPr>
        <w:pStyle w:val="Textoindependiente"/>
        <w:ind w:right="-50"/>
        <w:jc w:val="center"/>
        <w:rPr>
          <w:rFonts w:ascii="Arial" w:hAnsi="Arial" w:cs="Arial"/>
          <w:b/>
          <w:bCs/>
        </w:rPr>
      </w:pPr>
      <w:r w:rsidRPr="00097166">
        <w:rPr>
          <w:rFonts w:ascii="Arial" w:hAnsi="Arial" w:cs="Arial"/>
          <w:b/>
          <w:bCs/>
        </w:rPr>
        <w:t>INFORME DE LA AUTOCALIFICACIÓN DEL SISTEMA DE CONTROL INTERNO CONTABLE:</w:t>
      </w:r>
    </w:p>
    <w:p w14:paraId="24DFC0D4" w14:textId="77777777" w:rsidR="00561B22" w:rsidRPr="000971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97166" w14:paraId="365810A8" w14:textId="77777777" w:rsidTr="00F1223B">
        <w:tc>
          <w:tcPr>
            <w:tcW w:w="4981" w:type="dxa"/>
          </w:tcPr>
          <w:p w14:paraId="36F549BA"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AUTOCALIFICACIÓN</w:t>
            </w:r>
          </w:p>
        </w:tc>
        <w:tc>
          <w:tcPr>
            <w:tcW w:w="4981" w:type="dxa"/>
          </w:tcPr>
          <w:p w14:paraId="7B1A2DB2" w14:textId="77777777" w:rsidR="00561B22" w:rsidRPr="00097166" w:rsidRDefault="00561B22" w:rsidP="00F1223B">
            <w:pPr>
              <w:jc w:val="center"/>
              <w:rPr>
                <w:rFonts w:ascii="Arial" w:hAnsi="Arial" w:cs="Arial"/>
                <w:b/>
                <w:sz w:val="22"/>
                <w:szCs w:val="22"/>
                <w:u w:val="single"/>
                <w:lang w:val="es-MX"/>
              </w:rPr>
            </w:pPr>
            <w:r w:rsidRPr="00097166">
              <w:rPr>
                <w:rFonts w:ascii="Arial" w:hAnsi="Arial" w:cs="Arial"/>
                <w:b/>
                <w:sz w:val="22"/>
                <w:szCs w:val="22"/>
                <w:u w:val="single"/>
                <w:lang w:val="es-MX"/>
              </w:rPr>
              <w:t>4.95</w:t>
            </w:r>
          </w:p>
        </w:tc>
      </w:tr>
    </w:tbl>
    <w:p w14:paraId="6B83D4C5" w14:textId="77777777" w:rsidR="00561B22" w:rsidRPr="00097166" w:rsidRDefault="00561B22" w:rsidP="00561B22">
      <w:pPr>
        <w:pStyle w:val="Textoindependiente"/>
        <w:ind w:right="-50"/>
        <w:jc w:val="both"/>
        <w:rPr>
          <w:rFonts w:ascii="Arial" w:hAnsi="Arial" w:cs="Arial"/>
          <w:b/>
          <w:bCs/>
        </w:rPr>
      </w:pPr>
    </w:p>
    <w:p w14:paraId="3B867E4E" w14:textId="77777777" w:rsidR="00561B22" w:rsidRPr="00097166" w:rsidRDefault="00561B22" w:rsidP="00561B22">
      <w:pPr>
        <w:pStyle w:val="Textoindependiente"/>
        <w:ind w:right="-50"/>
        <w:jc w:val="both"/>
        <w:rPr>
          <w:rFonts w:ascii="Arial" w:hAnsi="Arial" w:cs="Arial"/>
          <w:b/>
          <w:bCs/>
        </w:rPr>
      </w:pPr>
      <w:r w:rsidRPr="00097166">
        <w:rPr>
          <w:rFonts w:ascii="Arial" w:hAnsi="Arial" w:cs="Arial"/>
          <w:b/>
          <w:bCs/>
        </w:rPr>
        <w:t>Del informe enviado retomamos lo siguiente:</w:t>
      </w:r>
    </w:p>
    <w:p w14:paraId="31A8502D" w14:textId="77777777" w:rsidR="00561B22" w:rsidRPr="000971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97166" w14:paraId="371FDE70" w14:textId="77777777" w:rsidTr="00F1223B">
        <w:tc>
          <w:tcPr>
            <w:tcW w:w="562" w:type="dxa"/>
          </w:tcPr>
          <w:p w14:paraId="2118A006" w14:textId="77777777" w:rsidR="00561B22" w:rsidRPr="00097166" w:rsidRDefault="00561B22" w:rsidP="00F1223B">
            <w:pPr>
              <w:ind w:right="-109"/>
              <w:jc w:val="center"/>
              <w:rPr>
                <w:rFonts w:ascii="Arial" w:hAnsi="Arial" w:cs="Arial"/>
                <w:b/>
                <w:sz w:val="22"/>
                <w:szCs w:val="22"/>
                <w:lang w:val="es-MX"/>
              </w:rPr>
            </w:pPr>
            <w:r w:rsidRPr="00097166">
              <w:rPr>
                <w:rFonts w:ascii="Arial" w:hAnsi="Arial" w:cs="Arial"/>
                <w:b/>
                <w:sz w:val="22"/>
                <w:szCs w:val="22"/>
                <w:lang w:val="es-MX"/>
              </w:rPr>
              <w:t>N°</w:t>
            </w:r>
          </w:p>
        </w:tc>
        <w:tc>
          <w:tcPr>
            <w:tcW w:w="9400" w:type="dxa"/>
          </w:tcPr>
          <w:p w14:paraId="48BFB935"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DEBILIDADES</w:t>
            </w:r>
          </w:p>
          <w:p w14:paraId="7E30F47A" w14:textId="77777777" w:rsidR="00561B22" w:rsidRPr="00097166" w:rsidRDefault="00561B22" w:rsidP="00F1223B">
            <w:pPr>
              <w:jc w:val="center"/>
              <w:rPr>
                <w:rFonts w:ascii="Arial" w:hAnsi="Arial" w:cs="Arial"/>
                <w:b/>
                <w:sz w:val="22"/>
                <w:szCs w:val="22"/>
                <w:lang w:val="es-MX"/>
              </w:rPr>
            </w:pPr>
          </w:p>
        </w:tc>
      </w:tr>
      <w:tr w:rsidR="00561B22" w:rsidRPr="00097166" w14:paraId="17430DFE" w14:textId="77777777" w:rsidTr="00F1223B">
        <w:tc>
          <w:tcPr>
            <w:tcW w:w="562" w:type="dxa"/>
          </w:tcPr>
          <w:p w14:paraId="5CA53ABD"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1</w:t>
            </w:r>
          </w:p>
        </w:tc>
        <w:tc>
          <w:tcPr>
            <w:tcW w:w="9400" w:type="dxa"/>
            <w:tcBorders>
              <w:top w:val="nil"/>
              <w:left w:val="nil"/>
              <w:bottom w:val="single" w:sz="4" w:space="0" w:color="000000"/>
              <w:right w:val="single" w:sz="4" w:space="0" w:color="000000"/>
            </w:tcBorders>
            <w:shd w:val="clear" w:color="auto" w:fill="auto"/>
            <w:vAlign w:val="center"/>
          </w:tcPr>
          <w:p w14:paraId="49CB4C83" w14:textId="77777777" w:rsidR="00561B22" w:rsidRPr="00097166" w:rsidRDefault="00561B22" w:rsidP="00F1223B">
            <w:pPr>
              <w:rPr>
                <w:rFonts w:ascii="Arial" w:hAnsi="Arial" w:cs="Arial"/>
                <w:sz w:val="22"/>
                <w:szCs w:val="22"/>
                <w:lang w:val="es-MX"/>
              </w:rPr>
            </w:pPr>
            <w:r w:rsidRPr="00097166">
              <w:rPr>
                <w:rFonts w:ascii="Arial" w:eastAsia="Times New Roman" w:hAnsi="Arial" w:cs="Arial"/>
                <w:sz w:val="22"/>
                <w:szCs w:val="22"/>
                <w:lang w:val="es-CO"/>
              </w:rPr>
              <w:t xml:space="preserve">Se identificaron debilidades en los consecutivos de los comprobantes contables. </w:t>
            </w:r>
          </w:p>
        </w:tc>
      </w:tr>
    </w:tbl>
    <w:p w14:paraId="027C78EF" w14:textId="77777777" w:rsidR="00561B22" w:rsidRPr="00097166" w:rsidRDefault="00561B22" w:rsidP="00561B22">
      <w:pPr>
        <w:pStyle w:val="Textoindependiente"/>
        <w:ind w:right="-50"/>
        <w:jc w:val="both"/>
        <w:rPr>
          <w:rFonts w:ascii="Arial" w:hAnsi="Arial" w:cs="Arial"/>
          <w:b/>
          <w:bCs/>
        </w:rPr>
      </w:pPr>
    </w:p>
    <w:p w14:paraId="7C380A04" w14:textId="77777777" w:rsidR="00561B22" w:rsidRPr="00097166" w:rsidRDefault="00561B22" w:rsidP="00561B22">
      <w:pPr>
        <w:jc w:val="both"/>
        <w:rPr>
          <w:rFonts w:ascii="Arial" w:hAnsi="Arial" w:cs="Arial"/>
          <w:b/>
          <w:lang w:val="es-MX"/>
        </w:rPr>
      </w:pPr>
      <w:r w:rsidRPr="00097166">
        <w:rPr>
          <w:rFonts w:ascii="Arial" w:hAnsi="Arial" w:cs="Arial"/>
          <w:b/>
          <w:lang w:val="es-MX"/>
        </w:rPr>
        <w:t>Del citado informe retomamos las siguientes recomendaciones:</w:t>
      </w:r>
    </w:p>
    <w:p w14:paraId="0CE52735" w14:textId="77777777" w:rsidR="00561B22" w:rsidRPr="00097166"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097166" w14:paraId="51C56D92" w14:textId="77777777" w:rsidTr="00F1223B">
        <w:tc>
          <w:tcPr>
            <w:tcW w:w="562" w:type="dxa"/>
          </w:tcPr>
          <w:p w14:paraId="4E1DC816" w14:textId="77777777" w:rsidR="00561B22" w:rsidRPr="00097166" w:rsidRDefault="00561B22" w:rsidP="00F1223B">
            <w:pPr>
              <w:ind w:right="-109"/>
              <w:jc w:val="center"/>
              <w:rPr>
                <w:rFonts w:ascii="Arial" w:hAnsi="Arial" w:cs="Arial"/>
                <w:b/>
                <w:sz w:val="22"/>
                <w:szCs w:val="22"/>
                <w:lang w:val="es-MX"/>
              </w:rPr>
            </w:pPr>
            <w:r w:rsidRPr="00097166">
              <w:rPr>
                <w:rFonts w:ascii="Arial" w:hAnsi="Arial" w:cs="Arial"/>
                <w:b/>
                <w:sz w:val="22"/>
                <w:szCs w:val="22"/>
                <w:lang w:val="es-MX"/>
              </w:rPr>
              <w:t>N°</w:t>
            </w:r>
          </w:p>
        </w:tc>
        <w:tc>
          <w:tcPr>
            <w:tcW w:w="9400" w:type="dxa"/>
          </w:tcPr>
          <w:p w14:paraId="6791D7CB"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RECOMENDACIONES</w:t>
            </w:r>
          </w:p>
          <w:p w14:paraId="611084D9" w14:textId="77777777" w:rsidR="00561B22" w:rsidRPr="00097166" w:rsidRDefault="00561B22" w:rsidP="00F1223B">
            <w:pPr>
              <w:jc w:val="center"/>
              <w:rPr>
                <w:rFonts w:ascii="Arial" w:hAnsi="Arial" w:cs="Arial"/>
                <w:b/>
                <w:sz w:val="22"/>
                <w:szCs w:val="22"/>
                <w:lang w:val="es-MX"/>
              </w:rPr>
            </w:pPr>
          </w:p>
        </w:tc>
      </w:tr>
      <w:tr w:rsidR="00561B22" w:rsidRPr="00097166" w14:paraId="6B66B1C0" w14:textId="77777777" w:rsidTr="00F1223B">
        <w:tc>
          <w:tcPr>
            <w:tcW w:w="562" w:type="dxa"/>
          </w:tcPr>
          <w:p w14:paraId="1E0953BB"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1</w:t>
            </w:r>
          </w:p>
        </w:tc>
        <w:tc>
          <w:tcPr>
            <w:tcW w:w="9400" w:type="dxa"/>
          </w:tcPr>
          <w:p w14:paraId="66DDF0AB"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w:t>
            </w:r>
          </w:p>
        </w:tc>
      </w:tr>
      <w:tr w:rsidR="00561B22" w:rsidRPr="00097166" w14:paraId="18BF123D" w14:textId="77777777" w:rsidTr="00F1223B">
        <w:tc>
          <w:tcPr>
            <w:tcW w:w="562" w:type="dxa"/>
          </w:tcPr>
          <w:p w14:paraId="5DBE0696"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2</w:t>
            </w:r>
          </w:p>
        </w:tc>
        <w:tc>
          <w:tcPr>
            <w:tcW w:w="9400" w:type="dxa"/>
          </w:tcPr>
          <w:p w14:paraId="5E0FA1CD"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La automatización puede brindar mayor precisión, eficiencia y consistencia en las operaciones contables, agilizando significativamente el tiempo de procesamiento de datos y reduciendo la posibilidad de errores.</w:t>
            </w:r>
          </w:p>
        </w:tc>
      </w:tr>
    </w:tbl>
    <w:p w14:paraId="752B5CB0" w14:textId="77777777" w:rsidR="00561B22" w:rsidRPr="00097166" w:rsidRDefault="00561B22" w:rsidP="00561B22">
      <w:pPr>
        <w:pStyle w:val="Textoindependiente"/>
        <w:ind w:right="-50"/>
        <w:jc w:val="both"/>
        <w:rPr>
          <w:rFonts w:ascii="Arial" w:hAnsi="Arial" w:cs="Arial"/>
          <w:b/>
          <w:bCs/>
        </w:rPr>
      </w:pPr>
    </w:p>
    <w:p w14:paraId="1B8FC46D" w14:textId="77777777" w:rsidR="00561B22" w:rsidRPr="00097166" w:rsidRDefault="00561B22" w:rsidP="00561B22">
      <w:pPr>
        <w:jc w:val="both"/>
        <w:rPr>
          <w:rFonts w:ascii="Arial" w:hAnsi="Arial" w:cs="Arial"/>
          <w:b/>
          <w:bCs/>
          <w:sz w:val="24"/>
          <w:szCs w:val="24"/>
          <w:lang w:val="es-CO"/>
        </w:rPr>
      </w:pPr>
      <w:r w:rsidRPr="00097166">
        <w:rPr>
          <w:rFonts w:ascii="Arial" w:hAnsi="Arial" w:cs="Arial"/>
          <w:b/>
          <w:bCs/>
          <w:sz w:val="24"/>
          <w:szCs w:val="24"/>
          <w:lang w:val="es-CO"/>
        </w:rPr>
        <w:t xml:space="preserve">NOTA: LA ENTIDAD ENVIA LA MATRIZ DE AUTOEVALUACIÓN DEL SISTEMA DE CONTROL INTERNO CONTABLE CON </w:t>
      </w:r>
      <w:r w:rsidRPr="00097166">
        <w:rPr>
          <w:rFonts w:ascii="Arial" w:hAnsi="Arial" w:cs="Arial"/>
          <w:b/>
          <w:bCs/>
          <w:sz w:val="24"/>
          <w:szCs w:val="24"/>
          <w:u w:val="single"/>
          <w:lang w:val="es-CO"/>
        </w:rPr>
        <w:t>ACTIVIDADES DE CONTROL REALIZADAS EN FORMA PARCIAL</w:t>
      </w:r>
      <w:r w:rsidRPr="00097166">
        <w:rPr>
          <w:rFonts w:ascii="Arial" w:hAnsi="Arial" w:cs="Arial"/>
          <w:b/>
          <w:bCs/>
          <w:sz w:val="24"/>
          <w:szCs w:val="24"/>
          <w:lang w:val="es-CO"/>
        </w:rPr>
        <w:t>.</w:t>
      </w:r>
    </w:p>
    <w:p w14:paraId="756F4011" w14:textId="77777777" w:rsidR="00561B22" w:rsidRPr="00097166" w:rsidRDefault="00561B22" w:rsidP="00561B22">
      <w:pPr>
        <w:jc w:val="both"/>
        <w:rPr>
          <w:rFonts w:ascii="Arial" w:hAnsi="Arial" w:cs="Arial"/>
          <w:b/>
          <w:sz w:val="28"/>
          <w:szCs w:val="28"/>
          <w:lang w:val="es-CO"/>
        </w:rPr>
      </w:pPr>
    </w:p>
    <w:p w14:paraId="47F9CE67" w14:textId="77777777" w:rsidR="00561B22" w:rsidRPr="00E806B5" w:rsidRDefault="00561B22" w:rsidP="00561B22">
      <w:pPr>
        <w:jc w:val="both"/>
        <w:rPr>
          <w:rFonts w:ascii="Arial" w:hAnsi="Arial" w:cs="Arial"/>
          <w:b/>
          <w:sz w:val="28"/>
          <w:szCs w:val="28"/>
          <w:lang w:val="es-MX"/>
        </w:rPr>
      </w:pPr>
      <w:r w:rsidRPr="00E806B5">
        <w:rPr>
          <w:rFonts w:ascii="Arial" w:hAnsi="Arial" w:cs="Arial"/>
          <w:b/>
          <w:sz w:val="28"/>
          <w:szCs w:val="28"/>
          <w:lang w:val="es-MX"/>
        </w:rPr>
        <w:t>147.- INDUSTRIA MILITAR - INDUMIL.</w:t>
      </w:r>
    </w:p>
    <w:p w14:paraId="55701391" w14:textId="77777777" w:rsidR="00561B22" w:rsidRDefault="00561B22" w:rsidP="00561B22">
      <w:pPr>
        <w:pStyle w:val="Textoindependiente"/>
        <w:ind w:right="-50"/>
        <w:jc w:val="both"/>
        <w:rPr>
          <w:b/>
          <w:sz w:val="28"/>
          <w:szCs w:val="28"/>
        </w:rPr>
      </w:pPr>
    </w:p>
    <w:p w14:paraId="47AB8CD3" w14:textId="77777777" w:rsidR="00561B22" w:rsidRPr="00097166" w:rsidRDefault="00561B22" w:rsidP="00561B22">
      <w:pPr>
        <w:pStyle w:val="Textoindependiente"/>
        <w:ind w:right="-50"/>
        <w:jc w:val="center"/>
        <w:rPr>
          <w:rFonts w:ascii="Arial" w:hAnsi="Arial" w:cs="Arial"/>
          <w:b/>
          <w:bCs/>
        </w:rPr>
      </w:pPr>
      <w:r w:rsidRPr="00097166">
        <w:rPr>
          <w:rFonts w:ascii="Arial" w:hAnsi="Arial" w:cs="Arial"/>
          <w:b/>
          <w:bCs/>
        </w:rPr>
        <w:t>INFORME DE LA AUTOCALIFICACIÓN DEL SISTEMA DE CONTROL INTERNO CONTABLE:</w:t>
      </w:r>
    </w:p>
    <w:p w14:paraId="1B464AC1" w14:textId="77777777" w:rsidR="00561B22" w:rsidRPr="000971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97166" w14:paraId="2FA897C7" w14:textId="77777777" w:rsidTr="00F1223B">
        <w:tc>
          <w:tcPr>
            <w:tcW w:w="4981" w:type="dxa"/>
          </w:tcPr>
          <w:p w14:paraId="72AE8841"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AUTOCALIFICACIÓN</w:t>
            </w:r>
          </w:p>
        </w:tc>
        <w:tc>
          <w:tcPr>
            <w:tcW w:w="4981" w:type="dxa"/>
          </w:tcPr>
          <w:p w14:paraId="2CAE2405" w14:textId="77777777" w:rsidR="00561B22" w:rsidRPr="00097166" w:rsidRDefault="00561B22" w:rsidP="00F1223B">
            <w:pPr>
              <w:jc w:val="center"/>
              <w:rPr>
                <w:rFonts w:ascii="Arial" w:hAnsi="Arial" w:cs="Arial"/>
                <w:b/>
                <w:sz w:val="22"/>
                <w:szCs w:val="22"/>
                <w:u w:val="single"/>
                <w:lang w:val="es-MX"/>
              </w:rPr>
            </w:pPr>
            <w:r w:rsidRPr="00097166">
              <w:rPr>
                <w:rFonts w:ascii="Arial" w:hAnsi="Arial" w:cs="Arial"/>
                <w:b/>
                <w:sz w:val="22"/>
                <w:szCs w:val="22"/>
                <w:u w:val="single"/>
                <w:lang w:val="es-MX"/>
              </w:rPr>
              <w:t>4.74</w:t>
            </w:r>
          </w:p>
        </w:tc>
      </w:tr>
    </w:tbl>
    <w:p w14:paraId="71D37D77" w14:textId="77777777" w:rsidR="00561B22" w:rsidRPr="00097166" w:rsidRDefault="00561B22" w:rsidP="00561B22">
      <w:pPr>
        <w:pStyle w:val="Textoindependiente"/>
        <w:ind w:right="-50"/>
        <w:jc w:val="both"/>
        <w:rPr>
          <w:rFonts w:ascii="Arial" w:hAnsi="Arial" w:cs="Arial"/>
          <w:b/>
          <w:bCs/>
        </w:rPr>
      </w:pPr>
    </w:p>
    <w:p w14:paraId="598125B5" w14:textId="77777777" w:rsidR="00561B22" w:rsidRPr="00097166" w:rsidRDefault="00561B22" w:rsidP="00561B22">
      <w:pPr>
        <w:pStyle w:val="Textoindependiente"/>
        <w:ind w:right="-50"/>
        <w:jc w:val="both"/>
        <w:rPr>
          <w:rFonts w:ascii="Arial" w:hAnsi="Arial" w:cs="Arial"/>
          <w:b/>
          <w:bCs/>
        </w:rPr>
      </w:pPr>
      <w:r w:rsidRPr="00097166">
        <w:rPr>
          <w:rFonts w:ascii="Arial" w:hAnsi="Arial" w:cs="Arial"/>
          <w:b/>
          <w:bCs/>
        </w:rPr>
        <w:t>Del informe enviado retomamos lo siguiente:</w:t>
      </w:r>
    </w:p>
    <w:p w14:paraId="4A9064C0" w14:textId="77777777" w:rsidR="00561B22" w:rsidRPr="000971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97166" w14:paraId="751CDE02" w14:textId="77777777" w:rsidTr="00F1223B">
        <w:tc>
          <w:tcPr>
            <w:tcW w:w="562" w:type="dxa"/>
          </w:tcPr>
          <w:p w14:paraId="2075E4FB" w14:textId="77777777" w:rsidR="00561B22" w:rsidRPr="00097166" w:rsidRDefault="00561B22" w:rsidP="00F1223B">
            <w:pPr>
              <w:ind w:right="-109"/>
              <w:jc w:val="center"/>
              <w:rPr>
                <w:rFonts w:ascii="Arial" w:hAnsi="Arial" w:cs="Arial"/>
                <w:b/>
                <w:sz w:val="22"/>
                <w:szCs w:val="22"/>
                <w:lang w:val="es-MX"/>
              </w:rPr>
            </w:pPr>
            <w:r w:rsidRPr="00097166">
              <w:rPr>
                <w:rFonts w:ascii="Arial" w:hAnsi="Arial" w:cs="Arial"/>
                <w:b/>
                <w:sz w:val="22"/>
                <w:szCs w:val="22"/>
                <w:lang w:val="es-MX"/>
              </w:rPr>
              <w:t>N°</w:t>
            </w:r>
          </w:p>
        </w:tc>
        <w:tc>
          <w:tcPr>
            <w:tcW w:w="9400" w:type="dxa"/>
          </w:tcPr>
          <w:p w14:paraId="65DE32BE"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DEBILIDADES</w:t>
            </w:r>
          </w:p>
          <w:p w14:paraId="184DA0C1" w14:textId="77777777" w:rsidR="00561B22" w:rsidRPr="00097166" w:rsidRDefault="00561B22" w:rsidP="00F1223B">
            <w:pPr>
              <w:jc w:val="center"/>
              <w:rPr>
                <w:rFonts w:ascii="Arial" w:hAnsi="Arial" w:cs="Arial"/>
                <w:b/>
                <w:sz w:val="22"/>
                <w:szCs w:val="22"/>
                <w:lang w:val="es-MX"/>
              </w:rPr>
            </w:pPr>
          </w:p>
        </w:tc>
      </w:tr>
      <w:tr w:rsidR="00561B22" w:rsidRPr="00097166" w14:paraId="4DE723F2" w14:textId="77777777" w:rsidTr="00F1223B">
        <w:tc>
          <w:tcPr>
            <w:tcW w:w="562" w:type="dxa"/>
          </w:tcPr>
          <w:p w14:paraId="6F7DE105"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1</w:t>
            </w:r>
          </w:p>
        </w:tc>
        <w:tc>
          <w:tcPr>
            <w:tcW w:w="9400" w:type="dxa"/>
          </w:tcPr>
          <w:p w14:paraId="4B2E650B"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Los Estados Financieros y las notas a 31 de diciembre 2024, fueron entregados de forma preliminar para la evaluación de esta encuesta. Existe una limitante, para realizar la evaluación del Control Interno Contable, debido a que los plazos establecidos por la Contaduría, para la presentación de Estados Financieros e Informe de Control Interno Contable vencen en la misma fecha, 28 febrero 2025.</w:t>
            </w:r>
          </w:p>
        </w:tc>
      </w:tr>
      <w:tr w:rsidR="00561B22" w:rsidRPr="00097166" w14:paraId="0AF47CE8" w14:textId="77777777" w:rsidTr="00F1223B">
        <w:tc>
          <w:tcPr>
            <w:tcW w:w="562" w:type="dxa"/>
          </w:tcPr>
          <w:p w14:paraId="375AE9A9"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2</w:t>
            </w:r>
          </w:p>
        </w:tc>
        <w:tc>
          <w:tcPr>
            <w:tcW w:w="9400" w:type="dxa"/>
          </w:tcPr>
          <w:p w14:paraId="35C2BDB4"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Aunque existen las directrices para la presentación oportuna de la información financiera, algunas dependencias que reportan información al proceso contable, no lo hacen de manera oportuna, afectando el cierre de estados financieros, lo anterior, teniendo en cuenta las novedades presentadas para el cierre financiero 2024, según oficio No. 02.996.312 del 16/01/2025 de la Gerencia Financiera.</w:t>
            </w:r>
          </w:p>
        </w:tc>
      </w:tr>
      <w:tr w:rsidR="00561B22" w:rsidRPr="00097166" w14:paraId="54519294" w14:textId="77777777" w:rsidTr="00F1223B">
        <w:tc>
          <w:tcPr>
            <w:tcW w:w="562" w:type="dxa"/>
          </w:tcPr>
          <w:p w14:paraId="606893F1"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3</w:t>
            </w:r>
          </w:p>
        </w:tc>
        <w:tc>
          <w:tcPr>
            <w:tcW w:w="9400" w:type="dxa"/>
          </w:tcPr>
          <w:p w14:paraId="27005F37"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 xml:space="preserve">En la verificación de los anticipos y pagos anticipados, se evidenciaron debilidades en cuanto al análisis de la información contable registrada en las diferentes subcuentas. </w:t>
            </w:r>
          </w:p>
        </w:tc>
      </w:tr>
      <w:tr w:rsidR="00561B22" w:rsidRPr="00097166" w14:paraId="4504DB66" w14:textId="77777777" w:rsidTr="00F1223B">
        <w:tc>
          <w:tcPr>
            <w:tcW w:w="562" w:type="dxa"/>
          </w:tcPr>
          <w:p w14:paraId="58710A30"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4</w:t>
            </w:r>
          </w:p>
        </w:tc>
        <w:tc>
          <w:tcPr>
            <w:tcW w:w="9400" w:type="dxa"/>
          </w:tcPr>
          <w:p w14:paraId="03A0A5CA"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La generación de reportes de la información presupuestal almacenada en el Sistema ERP SAP, presentada a los clientes internos (Presidencia), externos y entidades de control y vigilancia, se generan a través del aplicativo de presupuesto antiguo, situación que no se debería presentar teniendo en cuenta que la Industria Militar tiene un sistema de software integrado ERP.</w:t>
            </w:r>
          </w:p>
        </w:tc>
      </w:tr>
      <w:tr w:rsidR="00561B22" w:rsidRPr="00097166" w14:paraId="19C535C4" w14:textId="77777777" w:rsidTr="00F1223B">
        <w:tc>
          <w:tcPr>
            <w:tcW w:w="562" w:type="dxa"/>
          </w:tcPr>
          <w:p w14:paraId="6661A78D"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5</w:t>
            </w:r>
          </w:p>
        </w:tc>
        <w:tc>
          <w:tcPr>
            <w:tcW w:w="9400" w:type="dxa"/>
          </w:tcPr>
          <w:p w14:paraId="4B65C1B6"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Se observaron debilidades en la realización física del inventario a Almacenes Comerciales.</w:t>
            </w:r>
          </w:p>
        </w:tc>
      </w:tr>
      <w:tr w:rsidR="00561B22" w:rsidRPr="00097166" w14:paraId="6BF7C0EB" w14:textId="77777777" w:rsidTr="00F1223B">
        <w:tc>
          <w:tcPr>
            <w:tcW w:w="562" w:type="dxa"/>
          </w:tcPr>
          <w:p w14:paraId="3DAC6117"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6</w:t>
            </w:r>
          </w:p>
        </w:tc>
        <w:tc>
          <w:tcPr>
            <w:tcW w:w="9400" w:type="dxa"/>
          </w:tcPr>
          <w:p w14:paraId="191594BC"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En las revisiones de propiedad planta y equipo en Oficinas Centrales y fábricas, se identificaron oportunidades de mejora y hallazgos con respecto a: actualización del procedimiento, establecer políticas de revisión periódica, activos en servicio sin asignación o diferente centro de costos, activos fijos asignados personal que no labora en la Industria Militar, activos fuera de inventario</w:t>
            </w:r>
          </w:p>
        </w:tc>
      </w:tr>
    </w:tbl>
    <w:p w14:paraId="1AB0E24C" w14:textId="77777777" w:rsidR="00561B22" w:rsidRPr="00097166" w:rsidRDefault="00561B22" w:rsidP="00561B22">
      <w:pPr>
        <w:pStyle w:val="Textoindependiente"/>
        <w:ind w:right="-50"/>
        <w:jc w:val="both"/>
        <w:rPr>
          <w:rFonts w:ascii="Arial" w:hAnsi="Arial" w:cs="Arial"/>
          <w:b/>
          <w:bCs/>
        </w:rPr>
      </w:pPr>
    </w:p>
    <w:p w14:paraId="0EE638E2" w14:textId="77777777" w:rsidR="00561B22" w:rsidRPr="00097166" w:rsidRDefault="00561B22" w:rsidP="00561B22">
      <w:pPr>
        <w:jc w:val="both"/>
        <w:rPr>
          <w:rFonts w:ascii="Arial" w:hAnsi="Arial" w:cs="Arial"/>
          <w:b/>
          <w:lang w:val="es-MX"/>
        </w:rPr>
      </w:pPr>
      <w:r w:rsidRPr="00097166">
        <w:rPr>
          <w:rFonts w:ascii="Arial" w:hAnsi="Arial" w:cs="Arial"/>
          <w:b/>
          <w:lang w:val="es-MX"/>
        </w:rPr>
        <w:t>Del citado informe retomamos las siguientes recomendaciones:</w:t>
      </w:r>
    </w:p>
    <w:p w14:paraId="3120DD37" w14:textId="77777777" w:rsidR="00561B22" w:rsidRPr="0009716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97166" w14:paraId="1102BCA5" w14:textId="77777777" w:rsidTr="00F1223B">
        <w:tc>
          <w:tcPr>
            <w:tcW w:w="562" w:type="dxa"/>
          </w:tcPr>
          <w:p w14:paraId="54D359C6" w14:textId="77777777" w:rsidR="00561B22" w:rsidRPr="00097166" w:rsidRDefault="00561B22" w:rsidP="00F1223B">
            <w:pPr>
              <w:ind w:right="-109"/>
              <w:jc w:val="center"/>
              <w:rPr>
                <w:rFonts w:ascii="Arial" w:hAnsi="Arial" w:cs="Arial"/>
                <w:b/>
                <w:sz w:val="22"/>
                <w:szCs w:val="22"/>
                <w:lang w:val="es-MX"/>
              </w:rPr>
            </w:pPr>
            <w:r w:rsidRPr="00097166">
              <w:rPr>
                <w:rFonts w:ascii="Arial" w:hAnsi="Arial" w:cs="Arial"/>
                <w:b/>
                <w:sz w:val="22"/>
                <w:szCs w:val="22"/>
                <w:lang w:val="es-MX"/>
              </w:rPr>
              <w:t>N°</w:t>
            </w:r>
          </w:p>
        </w:tc>
        <w:tc>
          <w:tcPr>
            <w:tcW w:w="9400" w:type="dxa"/>
          </w:tcPr>
          <w:p w14:paraId="4B27F61E"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RECOMENDACIONES</w:t>
            </w:r>
          </w:p>
          <w:p w14:paraId="5719BA09" w14:textId="77777777" w:rsidR="00561B22" w:rsidRPr="00097166" w:rsidRDefault="00561B22" w:rsidP="00F1223B">
            <w:pPr>
              <w:jc w:val="center"/>
              <w:rPr>
                <w:rFonts w:ascii="Arial" w:hAnsi="Arial" w:cs="Arial"/>
                <w:b/>
                <w:sz w:val="22"/>
                <w:szCs w:val="22"/>
                <w:lang w:val="es-MX"/>
              </w:rPr>
            </w:pPr>
          </w:p>
        </w:tc>
      </w:tr>
      <w:tr w:rsidR="00561B22" w:rsidRPr="00097166" w14:paraId="05666DDD" w14:textId="77777777" w:rsidTr="00F1223B">
        <w:tc>
          <w:tcPr>
            <w:tcW w:w="562" w:type="dxa"/>
          </w:tcPr>
          <w:p w14:paraId="310BC375"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1</w:t>
            </w:r>
          </w:p>
        </w:tc>
        <w:tc>
          <w:tcPr>
            <w:tcW w:w="9400" w:type="dxa"/>
          </w:tcPr>
          <w:p w14:paraId="2B563E37"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 xml:space="preserve">Atender las recomendaciones y oportunidades de mejora informadas por la OCI. </w:t>
            </w:r>
          </w:p>
          <w:p w14:paraId="269D8E3C" w14:textId="77777777" w:rsidR="00561B22" w:rsidRPr="00097166" w:rsidRDefault="00561B22" w:rsidP="00F1223B">
            <w:pPr>
              <w:jc w:val="both"/>
              <w:rPr>
                <w:rFonts w:ascii="Arial" w:hAnsi="Arial" w:cs="Arial"/>
                <w:sz w:val="22"/>
                <w:szCs w:val="22"/>
                <w:lang w:val="es-MX"/>
              </w:rPr>
            </w:pPr>
          </w:p>
        </w:tc>
      </w:tr>
      <w:tr w:rsidR="00561B22" w:rsidRPr="00097166" w14:paraId="0212A865" w14:textId="77777777" w:rsidTr="00F1223B">
        <w:tc>
          <w:tcPr>
            <w:tcW w:w="562" w:type="dxa"/>
          </w:tcPr>
          <w:p w14:paraId="45917780"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2</w:t>
            </w:r>
          </w:p>
        </w:tc>
        <w:tc>
          <w:tcPr>
            <w:tcW w:w="9400" w:type="dxa"/>
          </w:tcPr>
          <w:p w14:paraId="78A23686"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Agilizar la revisión del Manual de Políticas Contables.</w:t>
            </w:r>
          </w:p>
        </w:tc>
      </w:tr>
      <w:tr w:rsidR="00561B22" w:rsidRPr="00097166" w14:paraId="251BEE86" w14:textId="77777777" w:rsidTr="00F1223B">
        <w:tc>
          <w:tcPr>
            <w:tcW w:w="562" w:type="dxa"/>
          </w:tcPr>
          <w:p w14:paraId="20D2EBF5"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3</w:t>
            </w:r>
          </w:p>
        </w:tc>
        <w:tc>
          <w:tcPr>
            <w:tcW w:w="9400" w:type="dxa"/>
          </w:tcPr>
          <w:p w14:paraId="56B2D180"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Documentar la trazabilidad de traslados presupuestales, con la solicitud, argumentación y justificación económica de la necesidad del traslado presupuestal, garantizando que la justificación del traslado presupuestal (Oficio radicado Synergy), cuente con la documentación completa y la disponibilidad presupuestal</w:t>
            </w:r>
          </w:p>
        </w:tc>
      </w:tr>
      <w:tr w:rsidR="00561B22" w:rsidRPr="00097166" w14:paraId="4F110D25" w14:textId="77777777" w:rsidTr="00F1223B">
        <w:tc>
          <w:tcPr>
            <w:tcW w:w="562" w:type="dxa"/>
          </w:tcPr>
          <w:p w14:paraId="3B9A480C"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4</w:t>
            </w:r>
          </w:p>
        </w:tc>
        <w:tc>
          <w:tcPr>
            <w:tcW w:w="9400" w:type="dxa"/>
          </w:tcPr>
          <w:p w14:paraId="28CAC522"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 xml:space="preserve">Revisar el diseño y formulación de la batería de controles asignados al riesgo de tal manera que se identifiquen controles preventivos, detectivos y correctivos. </w:t>
            </w:r>
          </w:p>
          <w:p w14:paraId="05F97BDA" w14:textId="77777777" w:rsidR="00561B22" w:rsidRPr="00097166" w:rsidRDefault="00561B22" w:rsidP="00F1223B">
            <w:pPr>
              <w:jc w:val="both"/>
              <w:rPr>
                <w:rFonts w:ascii="Arial" w:hAnsi="Arial" w:cs="Arial"/>
                <w:sz w:val="22"/>
                <w:szCs w:val="22"/>
                <w:lang w:val="es-MX"/>
              </w:rPr>
            </w:pPr>
          </w:p>
        </w:tc>
      </w:tr>
      <w:tr w:rsidR="00561B22" w:rsidRPr="00097166" w14:paraId="71DEAE8A" w14:textId="77777777" w:rsidTr="00F1223B">
        <w:tc>
          <w:tcPr>
            <w:tcW w:w="562" w:type="dxa"/>
          </w:tcPr>
          <w:p w14:paraId="5C32320F"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5</w:t>
            </w:r>
          </w:p>
        </w:tc>
        <w:tc>
          <w:tcPr>
            <w:tcW w:w="9400" w:type="dxa"/>
          </w:tcPr>
          <w:p w14:paraId="0CB75FB1"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Fortalecer e implementar controles que permitan verificar periódicamente la formulación, cálculo y elaboración de las declaraciones tributarias.</w:t>
            </w:r>
          </w:p>
        </w:tc>
      </w:tr>
      <w:tr w:rsidR="00561B22" w:rsidRPr="00097166" w14:paraId="0C63DCF7" w14:textId="77777777" w:rsidTr="00F1223B">
        <w:tc>
          <w:tcPr>
            <w:tcW w:w="562" w:type="dxa"/>
          </w:tcPr>
          <w:p w14:paraId="06DAC88A"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6</w:t>
            </w:r>
          </w:p>
        </w:tc>
        <w:tc>
          <w:tcPr>
            <w:tcW w:w="9400" w:type="dxa"/>
          </w:tcPr>
          <w:p w14:paraId="124C18E6"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Fortalecer la gestión de riesgos asociados a la depuración, conciliación, cruce y documentación de información, en coordinación con los Procesos, para contribuir al cumplimiento del objetivo estratégico, Mejorar la imagen institucional, gestionado a través de la iniciativa estratégica: Seguimiento y control a los riesgos identificados en los procesos y subprocesos.</w:t>
            </w:r>
          </w:p>
        </w:tc>
      </w:tr>
      <w:tr w:rsidR="00561B22" w:rsidRPr="00097166" w14:paraId="11F18A56" w14:textId="77777777" w:rsidTr="00F1223B">
        <w:tc>
          <w:tcPr>
            <w:tcW w:w="562" w:type="dxa"/>
          </w:tcPr>
          <w:p w14:paraId="6E20A60D"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7</w:t>
            </w:r>
          </w:p>
        </w:tc>
        <w:tc>
          <w:tcPr>
            <w:tcW w:w="9400" w:type="dxa"/>
          </w:tcPr>
          <w:p w14:paraId="758F3502"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Gestionar la materialización del riesgo siguiendo los parámetros establecidos por el procedimiento para la gestión de los riesgos y las oportunidades de la Industria Militar</w:t>
            </w:r>
          </w:p>
        </w:tc>
      </w:tr>
      <w:tr w:rsidR="00561B22" w:rsidRPr="00097166" w14:paraId="59E8518E" w14:textId="77777777" w:rsidTr="00F1223B">
        <w:tc>
          <w:tcPr>
            <w:tcW w:w="562" w:type="dxa"/>
          </w:tcPr>
          <w:p w14:paraId="7A54BB6A"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8</w:t>
            </w:r>
          </w:p>
        </w:tc>
        <w:tc>
          <w:tcPr>
            <w:tcW w:w="9400" w:type="dxa"/>
          </w:tcPr>
          <w:p w14:paraId="1FA6B7DD"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Registrar la cronología de los pagos, ajustes y deducciones efectuadas al contratista en los informes de supervisión, con el fin de conocer la situación actual y financiera del contrato.</w:t>
            </w:r>
          </w:p>
        </w:tc>
      </w:tr>
      <w:tr w:rsidR="00561B22" w:rsidRPr="00097166" w14:paraId="4F7C2063" w14:textId="77777777" w:rsidTr="00F1223B">
        <w:tc>
          <w:tcPr>
            <w:tcW w:w="562" w:type="dxa"/>
          </w:tcPr>
          <w:p w14:paraId="408D9E3C"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9</w:t>
            </w:r>
          </w:p>
        </w:tc>
        <w:tc>
          <w:tcPr>
            <w:tcW w:w="9400" w:type="dxa"/>
          </w:tcPr>
          <w:p w14:paraId="13FC41FC"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Todas las áreas de la Industria Militar que se relacionen con el proceso contable como proveedores de información tienen el compromiso de suministrar los datos que se requieran, de manera oportuna y con las características necesarias, es prioritario implementar estrategias que permitan generar en los funcionarios, la cultura de rendir la información requerida de manera oportuna y con criterios de calidad.</w:t>
            </w:r>
          </w:p>
        </w:tc>
      </w:tr>
      <w:tr w:rsidR="00561B22" w:rsidRPr="00097166" w14:paraId="3C60012D" w14:textId="77777777" w:rsidTr="00F1223B">
        <w:tc>
          <w:tcPr>
            <w:tcW w:w="562" w:type="dxa"/>
          </w:tcPr>
          <w:p w14:paraId="67F34683" w14:textId="77777777" w:rsidR="00561B22" w:rsidRPr="00097166" w:rsidRDefault="00561B22" w:rsidP="00F1223B">
            <w:pPr>
              <w:jc w:val="center"/>
              <w:rPr>
                <w:rFonts w:ascii="Arial" w:hAnsi="Arial" w:cs="Arial"/>
                <w:b/>
                <w:sz w:val="22"/>
                <w:szCs w:val="22"/>
                <w:lang w:val="es-MX"/>
              </w:rPr>
            </w:pPr>
            <w:r w:rsidRPr="00097166">
              <w:rPr>
                <w:rFonts w:ascii="Arial" w:hAnsi="Arial" w:cs="Arial"/>
                <w:b/>
                <w:sz w:val="22"/>
                <w:szCs w:val="22"/>
                <w:lang w:val="es-MX"/>
              </w:rPr>
              <w:t>10</w:t>
            </w:r>
          </w:p>
        </w:tc>
        <w:tc>
          <w:tcPr>
            <w:tcW w:w="9400" w:type="dxa"/>
          </w:tcPr>
          <w:p w14:paraId="7AE4F38A" w14:textId="77777777" w:rsidR="00561B22" w:rsidRPr="00097166" w:rsidRDefault="00561B22" w:rsidP="00F1223B">
            <w:pPr>
              <w:jc w:val="both"/>
              <w:rPr>
                <w:rFonts w:ascii="Arial" w:hAnsi="Arial" w:cs="Arial"/>
                <w:sz w:val="22"/>
                <w:szCs w:val="22"/>
                <w:lang w:val="es-MX"/>
              </w:rPr>
            </w:pPr>
            <w:r w:rsidRPr="00097166">
              <w:rPr>
                <w:rFonts w:ascii="Arial" w:hAnsi="Arial" w:cs="Arial"/>
                <w:sz w:val="22"/>
                <w:szCs w:val="22"/>
                <w:lang w:val="es-MX"/>
              </w:rPr>
              <w:t>Agilizar y coordinar con soporte ERP SAP, los diferentes requerimientos realizados por Gestión Financiera.</w:t>
            </w:r>
          </w:p>
        </w:tc>
      </w:tr>
    </w:tbl>
    <w:p w14:paraId="4A19E18E" w14:textId="77777777" w:rsidR="00561B22" w:rsidRPr="00097166" w:rsidRDefault="00561B22" w:rsidP="00561B22">
      <w:pPr>
        <w:pStyle w:val="Textoindependiente"/>
        <w:ind w:right="-50"/>
        <w:jc w:val="both"/>
        <w:rPr>
          <w:rFonts w:ascii="Arial" w:hAnsi="Arial" w:cs="Arial"/>
          <w:b/>
          <w:bCs/>
          <w:sz w:val="28"/>
          <w:szCs w:val="28"/>
        </w:rPr>
      </w:pPr>
    </w:p>
    <w:p w14:paraId="5DEEE5FE" w14:textId="77777777" w:rsidR="00561B22" w:rsidRPr="00097166" w:rsidRDefault="00561B22" w:rsidP="00561B22">
      <w:pPr>
        <w:jc w:val="both"/>
        <w:rPr>
          <w:rFonts w:ascii="Arial" w:hAnsi="Arial" w:cs="Arial"/>
          <w:b/>
          <w:bCs/>
          <w:sz w:val="24"/>
          <w:szCs w:val="24"/>
          <w:lang w:val="es-CO"/>
        </w:rPr>
      </w:pPr>
      <w:r w:rsidRPr="00097166">
        <w:rPr>
          <w:rFonts w:ascii="Arial" w:hAnsi="Arial" w:cs="Arial"/>
          <w:b/>
          <w:bCs/>
          <w:sz w:val="24"/>
          <w:szCs w:val="24"/>
          <w:lang w:val="es-CO"/>
        </w:rPr>
        <w:t xml:space="preserve">NOTA: LA ENTIDAD ENVIA LA MATRIZ DE AUTOEVALUACIÓN DEL SISTEMA DE CONTROL INTERNO CONTABLE CON </w:t>
      </w:r>
      <w:r w:rsidRPr="00097166">
        <w:rPr>
          <w:rFonts w:ascii="Arial" w:hAnsi="Arial" w:cs="Arial"/>
          <w:b/>
          <w:bCs/>
          <w:sz w:val="24"/>
          <w:szCs w:val="24"/>
          <w:u w:val="single"/>
          <w:lang w:val="es-CO"/>
        </w:rPr>
        <w:t>ACTIVIDADES DE CONTROL REALIZADAS EN FORMA PARCIAL</w:t>
      </w:r>
      <w:r w:rsidRPr="00097166">
        <w:rPr>
          <w:rFonts w:ascii="Arial" w:hAnsi="Arial" w:cs="Arial"/>
          <w:b/>
          <w:bCs/>
          <w:sz w:val="24"/>
          <w:szCs w:val="24"/>
          <w:lang w:val="es-CO"/>
        </w:rPr>
        <w:t>.</w:t>
      </w:r>
    </w:p>
    <w:p w14:paraId="30FA2035" w14:textId="77777777" w:rsidR="00561B22" w:rsidRDefault="00561B22" w:rsidP="00561B22">
      <w:pPr>
        <w:ind w:right="49"/>
        <w:jc w:val="both"/>
        <w:rPr>
          <w:rFonts w:ascii="Arial" w:hAnsi="Arial" w:cs="Arial"/>
          <w:b/>
          <w:sz w:val="28"/>
          <w:szCs w:val="28"/>
          <w:lang w:val="es-MX"/>
        </w:rPr>
      </w:pPr>
    </w:p>
    <w:p w14:paraId="06B2706B" w14:textId="77777777" w:rsidR="00561B22" w:rsidRPr="00997EED" w:rsidRDefault="00561B22" w:rsidP="00561B22">
      <w:pPr>
        <w:ind w:right="49"/>
        <w:jc w:val="both"/>
        <w:rPr>
          <w:rFonts w:ascii="Arial" w:hAnsi="Arial" w:cs="Arial"/>
          <w:b/>
          <w:sz w:val="28"/>
          <w:szCs w:val="28"/>
          <w:lang w:val="es-MX"/>
        </w:rPr>
      </w:pPr>
      <w:r w:rsidRPr="00997EED">
        <w:rPr>
          <w:rFonts w:ascii="Arial" w:hAnsi="Arial" w:cs="Arial"/>
          <w:b/>
          <w:sz w:val="28"/>
          <w:szCs w:val="28"/>
          <w:lang w:val="es-MX"/>
        </w:rPr>
        <w:t>148.- SUPERINTENDENCIA DE SERVICIOS PÚBLICOS DOMICILIARIOS - SUPERSERVICIOS.</w:t>
      </w:r>
    </w:p>
    <w:p w14:paraId="068F6036" w14:textId="77777777" w:rsidR="00561B22" w:rsidRDefault="00561B22" w:rsidP="00561B22">
      <w:pPr>
        <w:jc w:val="both"/>
        <w:rPr>
          <w:rFonts w:ascii="Arial" w:hAnsi="Arial" w:cs="Arial"/>
          <w:b/>
          <w:bCs/>
          <w:lang w:val="es-MX"/>
        </w:rPr>
      </w:pPr>
    </w:p>
    <w:p w14:paraId="456AB8F4" w14:textId="77777777" w:rsidR="00561B22" w:rsidRPr="0011233B" w:rsidRDefault="00561B22" w:rsidP="00561B22">
      <w:pPr>
        <w:pStyle w:val="Textoindependiente"/>
        <w:ind w:right="-50"/>
        <w:jc w:val="center"/>
        <w:rPr>
          <w:rFonts w:ascii="Arial" w:hAnsi="Arial" w:cs="Arial"/>
          <w:b/>
          <w:bCs/>
        </w:rPr>
      </w:pPr>
      <w:r w:rsidRPr="0011233B">
        <w:rPr>
          <w:rFonts w:ascii="Arial" w:hAnsi="Arial" w:cs="Arial"/>
          <w:b/>
          <w:bCs/>
        </w:rPr>
        <w:t>INFORME DE LA AUTOCALIFICACIÓN DEL SISTEMA DE CONTROL INTERNO CONTABLE:</w:t>
      </w:r>
    </w:p>
    <w:p w14:paraId="2A465178" w14:textId="77777777" w:rsidR="00561B22" w:rsidRPr="0011233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1233B" w14:paraId="307C488F" w14:textId="77777777" w:rsidTr="00F1223B">
        <w:tc>
          <w:tcPr>
            <w:tcW w:w="4981" w:type="dxa"/>
          </w:tcPr>
          <w:p w14:paraId="66B0207D"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AUTOCALIFICACIÓN</w:t>
            </w:r>
          </w:p>
        </w:tc>
        <w:tc>
          <w:tcPr>
            <w:tcW w:w="4981" w:type="dxa"/>
          </w:tcPr>
          <w:p w14:paraId="0DDB4896" w14:textId="77777777" w:rsidR="00561B22" w:rsidRPr="0011233B" w:rsidRDefault="00561B22" w:rsidP="00F1223B">
            <w:pPr>
              <w:jc w:val="center"/>
              <w:rPr>
                <w:rFonts w:ascii="Arial" w:hAnsi="Arial" w:cs="Arial"/>
                <w:b/>
                <w:sz w:val="22"/>
                <w:szCs w:val="22"/>
                <w:u w:val="single"/>
                <w:lang w:val="es-MX"/>
              </w:rPr>
            </w:pPr>
            <w:r w:rsidRPr="0011233B">
              <w:rPr>
                <w:rFonts w:ascii="Arial" w:hAnsi="Arial" w:cs="Arial"/>
                <w:b/>
                <w:sz w:val="22"/>
                <w:szCs w:val="22"/>
                <w:u w:val="single"/>
                <w:lang w:val="es-MX"/>
              </w:rPr>
              <w:t>4.98</w:t>
            </w:r>
          </w:p>
        </w:tc>
      </w:tr>
    </w:tbl>
    <w:p w14:paraId="2AF853EB" w14:textId="77777777" w:rsidR="00561B22" w:rsidRPr="0011233B" w:rsidRDefault="00561B22" w:rsidP="00561B22">
      <w:pPr>
        <w:pStyle w:val="Textoindependiente"/>
        <w:ind w:right="-50"/>
        <w:jc w:val="both"/>
        <w:rPr>
          <w:rFonts w:ascii="Arial" w:hAnsi="Arial" w:cs="Arial"/>
          <w:b/>
          <w:bCs/>
        </w:rPr>
      </w:pPr>
    </w:p>
    <w:p w14:paraId="13B81A2B" w14:textId="77777777" w:rsidR="00561B22" w:rsidRPr="0011233B" w:rsidRDefault="00561B22" w:rsidP="00561B22">
      <w:pPr>
        <w:pStyle w:val="Textoindependiente"/>
        <w:ind w:right="-50"/>
        <w:jc w:val="both"/>
        <w:rPr>
          <w:rFonts w:ascii="Arial" w:hAnsi="Arial" w:cs="Arial"/>
          <w:b/>
          <w:bCs/>
        </w:rPr>
      </w:pPr>
      <w:r w:rsidRPr="0011233B">
        <w:rPr>
          <w:rFonts w:ascii="Arial" w:hAnsi="Arial" w:cs="Arial"/>
          <w:b/>
          <w:bCs/>
        </w:rPr>
        <w:t>Del informe enviado retomamos lo siguiente:</w:t>
      </w:r>
    </w:p>
    <w:p w14:paraId="18D09527" w14:textId="77777777" w:rsidR="00561B22" w:rsidRPr="0011233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1233B" w14:paraId="6AB4D983" w14:textId="77777777" w:rsidTr="00F1223B">
        <w:tc>
          <w:tcPr>
            <w:tcW w:w="562" w:type="dxa"/>
          </w:tcPr>
          <w:p w14:paraId="14F6AF1F" w14:textId="77777777" w:rsidR="00561B22" w:rsidRPr="0011233B" w:rsidRDefault="00561B22" w:rsidP="00F1223B">
            <w:pPr>
              <w:ind w:right="-109"/>
              <w:jc w:val="center"/>
              <w:rPr>
                <w:rFonts w:ascii="Arial" w:hAnsi="Arial" w:cs="Arial"/>
                <w:b/>
                <w:sz w:val="22"/>
                <w:szCs w:val="22"/>
                <w:lang w:val="es-MX"/>
              </w:rPr>
            </w:pPr>
            <w:r w:rsidRPr="0011233B">
              <w:rPr>
                <w:rFonts w:ascii="Arial" w:hAnsi="Arial" w:cs="Arial"/>
                <w:b/>
                <w:sz w:val="22"/>
                <w:szCs w:val="22"/>
                <w:lang w:val="es-MX"/>
              </w:rPr>
              <w:t>N°</w:t>
            </w:r>
          </w:p>
        </w:tc>
        <w:tc>
          <w:tcPr>
            <w:tcW w:w="9400" w:type="dxa"/>
          </w:tcPr>
          <w:p w14:paraId="56A8E358"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DEBILIDADES</w:t>
            </w:r>
          </w:p>
          <w:p w14:paraId="282691D1" w14:textId="77777777" w:rsidR="00561B22" w:rsidRPr="0011233B" w:rsidRDefault="00561B22" w:rsidP="00F1223B">
            <w:pPr>
              <w:jc w:val="center"/>
              <w:rPr>
                <w:rFonts w:ascii="Arial" w:hAnsi="Arial" w:cs="Arial"/>
                <w:b/>
                <w:sz w:val="22"/>
                <w:szCs w:val="22"/>
                <w:lang w:val="es-MX"/>
              </w:rPr>
            </w:pPr>
          </w:p>
        </w:tc>
      </w:tr>
      <w:tr w:rsidR="00561B22" w:rsidRPr="0011233B" w14:paraId="2F95B975" w14:textId="77777777" w:rsidTr="00F1223B">
        <w:tc>
          <w:tcPr>
            <w:tcW w:w="562" w:type="dxa"/>
          </w:tcPr>
          <w:p w14:paraId="37096795"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1</w:t>
            </w:r>
          </w:p>
        </w:tc>
        <w:tc>
          <w:tcPr>
            <w:tcW w:w="9400" w:type="dxa"/>
          </w:tcPr>
          <w:p w14:paraId="7ED795AB" w14:textId="12ACD0A4"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En el cuarto comité de depuración contable, Acta No. 04 del 10 de diciembre de 2024, no se evidencia la emisión de la resolución de depuración de obligaciones aprobadas en esta sesión, según Res.</w:t>
            </w:r>
            <w:r w:rsidR="005F0936">
              <w:rPr>
                <w:rFonts w:ascii="Arial" w:hAnsi="Arial" w:cs="Arial"/>
                <w:sz w:val="22"/>
                <w:szCs w:val="22"/>
                <w:lang w:val="es-MX"/>
              </w:rPr>
              <w:t xml:space="preserve"> </w:t>
            </w:r>
            <w:r w:rsidRPr="0011233B">
              <w:rPr>
                <w:rFonts w:ascii="Arial" w:hAnsi="Arial" w:cs="Arial"/>
                <w:sz w:val="22"/>
                <w:szCs w:val="22"/>
                <w:lang w:val="es-MX"/>
              </w:rPr>
              <w:t xml:space="preserve">SSPD 20201000019065 del 04 de junio de 2020, artículo 10, sobre el acto administrativo, que establece que el acto administrativo expedido servirá como documento soporte para formalizar la baja o incorporación en cuentas y permitir la exclusión de estas </w:t>
            </w:r>
            <w:r w:rsidRPr="0011233B">
              <w:rPr>
                <w:rFonts w:ascii="Arial" w:hAnsi="Arial" w:cs="Arial"/>
                <w:sz w:val="22"/>
                <w:szCs w:val="22"/>
                <w:lang w:val="es-MX"/>
              </w:rPr>
              <w:lastRenderedPageBreak/>
              <w:t>partidas de los libros contables.</w:t>
            </w:r>
          </w:p>
        </w:tc>
      </w:tr>
      <w:tr w:rsidR="00561B22" w:rsidRPr="0011233B" w14:paraId="00CBC8B7" w14:textId="77777777" w:rsidTr="00F1223B">
        <w:tc>
          <w:tcPr>
            <w:tcW w:w="562" w:type="dxa"/>
          </w:tcPr>
          <w:p w14:paraId="1DF88C8E"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lastRenderedPageBreak/>
              <w:t>2</w:t>
            </w:r>
          </w:p>
        </w:tc>
        <w:tc>
          <w:tcPr>
            <w:tcW w:w="9400" w:type="dxa"/>
          </w:tcPr>
          <w:p w14:paraId="6334EF43"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Se presenta de manera recurrente riesgo por demora en tiempos de Legalización de comisiones y gastos de viaje, que impacta el proceso de Gestión Contable, situación descrita en el H11-2023 Viáticos y Comisiones y acciones formuladas y ejecutadas en la ACPM AC-GF-081, evaluada no eficaz con fecha 24/01/2025 persistiendo incumplimientos en la entrega de los informes de comisión de acuerdo con lo indicado en el decreto 1083 de 2015 en el artículo 2.2.5.5.25; igualmente, se encuentran solicitudes de legalización de viáticos fuera de los tiempos establecidos conforme lo establece la resolución SSPD No. 20245000063183 de 2024 y lo indicado en el numeral 3.8 del instructivo código GH-I-003 V.10 de la SSPD y el art.38 de la ley 1952.</w:t>
            </w:r>
          </w:p>
        </w:tc>
      </w:tr>
      <w:tr w:rsidR="00561B22" w:rsidRPr="0011233B" w14:paraId="27EF1A73" w14:textId="77777777" w:rsidTr="00F1223B">
        <w:tc>
          <w:tcPr>
            <w:tcW w:w="562" w:type="dxa"/>
          </w:tcPr>
          <w:p w14:paraId="24DFD31F"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3</w:t>
            </w:r>
          </w:p>
        </w:tc>
        <w:tc>
          <w:tcPr>
            <w:tcW w:w="9400" w:type="dxa"/>
          </w:tcPr>
          <w:p w14:paraId="39B32068"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Se evidencia debilidad en la identificación y estructura definida en los riesgos de gestión y de corrupción del proceso de gestión financiera, para determinar el impacto, debido a que no cumplen con los parámetros establecidos por la guía de administración del riesgo de las entidades públicas V.6 y V.4, respectivamente; como se ha dado a conocer en varias alertas, especialmente en el informe radicado 20241400190573 del 18/12/2024</w:t>
            </w:r>
          </w:p>
        </w:tc>
      </w:tr>
      <w:tr w:rsidR="00561B22" w:rsidRPr="0011233B" w14:paraId="1B89D210" w14:textId="77777777" w:rsidTr="00F1223B">
        <w:tc>
          <w:tcPr>
            <w:tcW w:w="562" w:type="dxa"/>
          </w:tcPr>
          <w:p w14:paraId="1AD675B6"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4</w:t>
            </w:r>
          </w:p>
        </w:tc>
        <w:tc>
          <w:tcPr>
            <w:tcW w:w="9400" w:type="dxa"/>
          </w:tcPr>
          <w:p w14:paraId="306E88FB"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Se calificaron ACPM en temas que son reiterativos y que persiste la causa raíz del problema, tales como: Ejecución presupuestal proyectos de inversión, saldos de Operaciones Reciprocas, Depuración contable según análisis de cuentas efectuado por el CTSC diciembre 2024, Planificación y programación del PAC Distribuido en la vigencia 2024 Vs. PAC Pagado.</w:t>
            </w:r>
          </w:p>
        </w:tc>
      </w:tr>
    </w:tbl>
    <w:p w14:paraId="114C713A" w14:textId="77777777" w:rsidR="00561B22" w:rsidRPr="0011233B" w:rsidRDefault="00561B22" w:rsidP="00561B22">
      <w:pPr>
        <w:pStyle w:val="Textoindependiente"/>
        <w:ind w:right="-50"/>
        <w:jc w:val="both"/>
        <w:rPr>
          <w:rFonts w:ascii="Arial" w:hAnsi="Arial" w:cs="Arial"/>
          <w:b/>
          <w:bCs/>
        </w:rPr>
      </w:pPr>
    </w:p>
    <w:p w14:paraId="3CA08780" w14:textId="77777777" w:rsidR="00561B22" w:rsidRPr="0011233B" w:rsidRDefault="00561B22" w:rsidP="00561B22">
      <w:pPr>
        <w:jc w:val="both"/>
        <w:rPr>
          <w:rFonts w:ascii="Arial" w:hAnsi="Arial" w:cs="Arial"/>
          <w:b/>
          <w:lang w:val="es-MX"/>
        </w:rPr>
      </w:pPr>
      <w:r w:rsidRPr="0011233B">
        <w:rPr>
          <w:rFonts w:ascii="Arial" w:hAnsi="Arial" w:cs="Arial"/>
          <w:b/>
          <w:lang w:val="es-MX"/>
        </w:rPr>
        <w:t>Del citado informe retomamos las siguientes recomendaciones:</w:t>
      </w:r>
    </w:p>
    <w:p w14:paraId="757B13A3" w14:textId="77777777" w:rsidR="00561B22" w:rsidRPr="0011233B"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11233B" w14:paraId="44074AFC" w14:textId="77777777" w:rsidTr="00F1223B">
        <w:tc>
          <w:tcPr>
            <w:tcW w:w="562" w:type="dxa"/>
          </w:tcPr>
          <w:p w14:paraId="0DAD41C3" w14:textId="77777777" w:rsidR="00561B22" w:rsidRPr="0011233B" w:rsidRDefault="00561B22" w:rsidP="00F1223B">
            <w:pPr>
              <w:ind w:right="-109"/>
              <w:jc w:val="center"/>
              <w:rPr>
                <w:rFonts w:ascii="Arial" w:hAnsi="Arial" w:cs="Arial"/>
                <w:b/>
                <w:sz w:val="22"/>
                <w:szCs w:val="22"/>
                <w:lang w:val="es-MX"/>
              </w:rPr>
            </w:pPr>
            <w:r w:rsidRPr="0011233B">
              <w:rPr>
                <w:rFonts w:ascii="Arial" w:hAnsi="Arial" w:cs="Arial"/>
                <w:b/>
                <w:sz w:val="22"/>
                <w:szCs w:val="22"/>
                <w:lang w:val="es-MX"/>
              </w:rPr>
              <w:t>N°</w:t>
            </w:r>
          </w:p>
        </w:tc>
        <w:tc>
          <w:tcPr>
            <w:tcW w:w="9400" w:type="dxa"/>
          </w:tcPr>
          <w:p w14:paraId="4AC09EE5"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RECOMENDACIONES</w:t>
            </w:r>
          </w:p>
          <w:p w14:paraId="5A9C94DA" w14:textId="77777777" w:rsidR="00561B22" w:rsidRPr="0011233B" w:rsidRDefault="00561B22" w:rsidP="00F1223B">
            <w:pPr>
              <w:jc w:val="center"/>
              <w:rPr>
                <w:rFonts w:ascii="Arial" w:hAnsi="Arial" w:cs="Arial"/>
                <w:b/>
                <w:sz w:val="22"/>
                <w:szCs w:val="22"/>
                <w:lang w:val="es-MX"/>
              </w:rPr>
            </w:pPr>
          </w:p>
        </w:tc>
      </w:tr>
      <w:tr w:rsidR="00561B22" w:rsidRPr="0011233B" w14:paraId="4F8BD60C" w14:textId="77777777" w:rsidTr="00F1223B">
        <w:tc>
          <w:tcPr>
            <w:tcW w:w="562" w:type="dxa"/>
          </w:tcPr>
          <w:p w14:paraId="66D46C94"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1</w:t>
            </w:r>
          </w:p>
        </w:tc>
        <w:tc>
          <w:tcPr>
            <w:tcW w:w="9400" w:type="dxa"/>
          </w:tcPr>
          <w:p w14:paraId="7E564B18"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Fortalecer el control de registros y documentos que se expidan, producto de las decisiones tomadas en las sesiones del Comité de Sostenibilidad Contable, para una oportuna depuración de las partidas presentadas y aprobadas a depurar.</w:t>
            </w:r>
          </w:p>
        </w:tc>
      </w:tr>
      <w:tr w:rsidR="00561B22" w:rsidRPr="0011233B" w14:paraId="3635D1EC" w14:textId="77777777" w:rsidTr="00F1223B">
        <w:tc>
          <w:tcPr>
            <w:tcW w:w="562" w:type="dxa"/>
          </w:tcPr>
          <w:p w14:paraId="429F6DCA"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2</w:t>
            </w:r>
          </w:p>
        </w:tc>
        <w:tc>
          <w:tcPr>
            <w:tcW w:w="9400" w:type="dxa"/>
          </w:tcPr>
          <w:p w14:paraId="7943B9A4"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Establecer acciones efectivas tendientes al cumplimiento de los lineamientos para legalización de viáticos y gastos de desplazamiento de los funcionarios y/o contratistas conforme lo establece el numeral 3.8 del instructivo Código GH-I-003 Versión 10 del 24/11/2023, Resolución SSPD No. 20245000063183 de 2024 y articulo 38 de la ley 1952</w:t>
            </w:r>
          </w:p>
        </w:tc>
      </w:tr>
      <w:tr w:rsidR="00561B22" w:rsidRPr="0011233B" w14:paraId="47930A22" w14:textId="77777777" w:rsidTr="00F1223B">
        <w:tc>
          <w:tcPr>
            <w:tcW w:w="562" w:type="dxa"/>
          </w:tcPr>
          <w:p w14:paraId="49C322A0"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3</w:t>
            </w:r>
          </w:p>
        </w:tc>
        <w:tc>
          <w:tcPr>
            <w:tcW w:w="9400" w:type="dxa"/>
          </w:tcPr>
          <w:p w14:paraId="5E14306F"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Fortalecer los controles internos relacionados con la formulación e identificación de los riesgos relacionados en el Proceso de Gestión Financiera, asegurando que se apliquen las guías para la administración del riesgo y el diseño de controles efectivos y eficientes, conforme a lo establecido en la Metodología de Administración de Riesgos del DAFP.</w:t>
            </w:r>
          </w:p>
        </w:tc>
      </w:tr>
      <w:tr w:rsidR="00561B22" w:rsidRPr="0011233B" w14:paraId="4A67F99A" w14:textId="77777777" w:rsidTr="00F1223B">
        <w:tc>
          <w:tcPr>
            <w:tcW w:w="562" w:type="dxa"/>
          </w:tcPr>
          <w:p w14:paraId="6EF8A532"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4</w:t>
            </w:r>
          </w:p>
        </w:tc>
        <w:tc>
          <w:tcPr>
            <w:tcW w:w="9400" w:type="dxa"/>
          </w:tcPr>
          <w:p w14:paraId="53E6701D"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Revisar con la asesoría de la Oficina de Planeación e Innovación Institucional y el liderazgo de la Dirección Financiera, los riesgos de índole contable, de acuerdo con las alertas preventivas 2024 dadas a conocer en los informes de la Oficina de Control Interno como: Informe de seguimiento a los Riesgos Institucionales 2024 de Corrupción, Gestión, Soborno y seguridad de la información, informes cuatrimestrales de Programa de Transparencia y Ética Institucional 2024 e Informes de auditoría de gestión Contribuciones.</w:t>
            </w:r>
          </w:p>
        </w:tc>
      </w:tr>
      <w:tr w:rsidR="00561B22" w:rsidRPr="0011233B" w14:paraId="0698C656" w14:textId="77777777" w:rsidTr="00F1223B">
        <w:tc>
          <w:tcPr>
            <w:tcW w:w="562" w:type="dxa"/>
          </w:tcPr>
          <w:p w14:paraId="11DF6675" w14:textId="77777777" w:rsidR="00561B22" w:rsidRPr="0011233B" w:rsidRDefault="00561B22" w:rsidP="00F1223B">
            <w:pPr>
              <w:jc w:val="center"/>
              <w:rPr>
                <w:rFonts w:ascii="Arial" w:hAnsi="Arial" w:cs="Arial"/>
                <w:b/>
                <w:sz w:val="22"/>
                <w:szCs w:val="22"/>
                <w:lang w:val="es-MX"/>
              </w:rPr>
            </w:pPr>
            <w:r w:rsidRPr="0011233B">
              <w:rPr>
                <w:rFonts w:ascii="Arial" w:hAnsi="Arial" w:cs="Arial"/>
                <w:b/>
                <w:sz w:val="22"/>
                <w:szCs w:val="22"/>
                <w:lang w:val="es-MX"/>
              </w:rPr>
              <w:t>5</w:t>
            </w:r>
          </w:p>
        </w:tc>
        <w:tc>
          <w:tcPr>
            <w:tcW w:w="9400" w:type="dxa"/>
          </w:tcPr>
          <w:p w14:paraId="426A645B" w14:textId="77777777" w:rsidR="00561B22" w:rsidRPr="0011233B" w:rsidRDefault="00561B22" w:rsidP="00F1223B">
            <w:pPr>
              <w:jc w:val="both"/>
              <w:rPr>
                <w:rFonts w:ascii="Arial" w:hAnsi="Arial" w:cs="Arial"/>
                <w:sz w:val="22"/>
                <w:szCs w:val="22"/>
                <w:lang w:val="es-MX"/>
              </w:rPr>
            </w:pPr>
            <w:r w:rsidRPr="0011233B">
              <w:rPr>
                <w:rFonts w:ascii="Arial" w:hAnsi="Arial" w:cs="Arial"/>
                <w:sz w:val="22"/>
                <w:szCs w:val="22"/>
                <w:lang w:val="es-MX"/>
              </w:rPr>
              <w:t>Reformular en el SIGME las ACPM que fueron evaluadas como No Eficaces descritas en las debilidades de este informe y formular acciones efectivas y eficaces que eliminen la causa raíz de las observaciones de los informes de auditorías de la OCI y Hallazgos producto de la Auditoria de la CGR.</w:t>
            </w:r>
          </w:p>
        </w:tc>
      </w:tr>
    </w:tbl>
    <w:p w14:paraId="2DFD8B77" w14:textId="77777777" w:rsidR="00561B22" w:rsidRPr="0011233B" w:rsidRDefault="00561B22" w:rsidP="00561B22">
      <w:pPr>
        <w:pStyle w:val="Textoindependiente"/>
        <w:ind w:right="-50"/>
        <w:jc w:val="both"/>
        <w:rPr>
          <w:rFonts w:ascii="Arial" w:hAnsi="Arial" w:cs="Arial"/>
          <w:b/>
          <w:bCs/>
          <w:sz w:val="28"/>
          <w:szCs w:val="28"/>
        </w:rPr>
      </w:pPr>
    </w:p>
    <w:p w14:paraId="72DC0CE0" w14:textId="77777777" w:rsidR="00561B22" w:rsidRPr="0011233B" w:rsidRDefault="00561B22" w:rsidP="00561B22">
      <w:pPr>
        <w:jc w:val="both"/>
        <w:rPr>
          <w:rFonts w:ascii="Arial" w:hAnsi="Arial" w:cs="Arial"/>
          <w:b/>
          <w:bCs/>
          <w:sz w:val="24"/>
          <w:szCs w:val="24"/>
          <w:lang w:val="es-CO"/>
        </w:rPr>
      </w:pPr>
      <w:r w:rsidRPr="0011233B">
        <w:rPr>
          <w:rFonts w:ascii="Arial" w:hAnsi="Arial" w:cs="Arial"/>
          <w:b/>
          <w:bCs/>
          <w:sz w:val="24"/>
          <w:szCs w:val="24"/>
          <w:lang w:val="es-CO"/>
        </w:rPr>
        <w:t xml:space="preserve">NOTA: LA ENTIDAD ENVIA LA MATRIZ DE AUTOEVALUACIÓN DEL SISTEMA DE CONTROL INTERNO CONTABLE CON </w:t>
      </w:r>
      <w:r w:rsidRPr="0011233B">
        <w:rPr>
          <w:rFonts w:ascii="Arial" w:hAnsi="Arial" w:cs="Arial"/>
          <w:b/>
          <w:bCs/>
          <w:sz w:val="24"/>
          <w:szCs w:val="24"/>
          <w:u w:val="single"/>
          <w:lang w:val="es-CO"/>
        </w:rPr>
        <w:t>ACTIVIDADES DE CONTROL REALIZADAS EN FORMA PARCIAL</w:t>
      </w:r>
      <w:r w:rsidRPr="0011233B">
        <w:rPr>
          <w:rFonts w:ascii="Arial" w:hAnsi="Arial" w:cs="Arial"/>
          <w:b/>
          <w:bCs/>
          <w:sz w:val="24"/>
          <w:szCs w:val="24"/>
          <w:lang w:val="es-CO"/>
        </w:rPr>
        <w:t>.</w:t>
      </w:r>
    </w:p>
    <w:p w14:paraId="7EE6D380" w14:textId="77777777" w:rsidR="00561B22" w:rsidRDefault="00561B22" w:rsidP="00561B22">
      <w:pPr>
        <w:jc w:val="both"/>
        <w:rPr>
          <w:rFonts w:ascii="Arial" w:hAnsi="Arial" w:cs="Arial"/>
          <w:b/>
          <w:bCs/>
          <w:lang w:val="es-CO"/>
        </w:rPr>
      </w:pPr>
    </w:p>
    <w:p w14:paraId="784CC584" w14:textId="77777777" w:rsidR="00561B22" w:rsidRPr="007B0D0F" w:rsidRDefault="00561B22" w:rsidP="00561B22">
      <w:pPr>
        <w:jc w:val="both"/>
        <w:rPr>
          <w:rFonts w:ascii="Arial" w:hAnsi="Arial" w:cs="Arial"/>
          <w:b/>
          <w:sz w:val="28"/>
          <w:szCs w:val="28"/>
          <w:lang w:val="es-MX"/>
        </w:rPr>
      </w:pPr>
      <w:r w:rsidRPr="007B0D0F">
        <w:rPr>
          <w:rFonts w:ascii="Arial" w:hAnsi="Arial" w:cs="Arial"/>
          <w:b/>
          <w:sz w:val="28"/>
          <w:szCs w:val="28"/>
          <w:lang w:val="es-MX"/>
        </w:rPr>
        <w:t>149.- U.A.E. AERONAUTICA CIVIL - AEROCIVIL.</w:t>
      </w:r>
    </w:p>
    <w:p w14:paraId="34424813" w14:textId="77777777" w:rsidR="00561B22" w:rsidRDefault="00561B22" w:rsidP="00561B22">
      <w:pPr>
        <w:pStyle w:val="Textoindependiente"/>
        <w:ind w:right="-50"/>
        <w:jc w:val="both"/>
        <w:rPr>
          <w:b/>
          <w:bCs/>
          <w:sz w:val="28"/>
          <w:szCs w:val="28"/>
        </w:rPr>
      </w:pPr>
    </w:p>
    <w:p w14:paraId="6DD3C2C3" w14:textId="77777777" w:rsidR="00561B22" w:rsidRPr="007B0D0F" w:rsidRDefault="00561B22" w:rsidP="00561B22">
      <w:pPr>
        <w:pStyle w:val="Textoindependiente"/>
        <w:ind w:right="-50"/>
        <w:jc w:val="center"/>
        <w:rPr>
          <w:rFonts w:ascii="Arial" w:hAnsi="Arial" w:cs="Arial"/>
          <w:b/>
          <w:bCs/>
        </w:rPr>
      </w:pPr>
      <w:r w:rsidRPr="007B0D0F">
        <w:rPr>
          <w:rFonts w:ascii="Arial" w:hAnsi="Arial" w:cs="Arial"/>
          <w:b/>
          <w:bCs/>
        </w:rPr>
        <w:t>INFORME DE LA AUTOCALIFICACIÓN DEL SISTEMA DE CONTROL INTERNO CONTABLE:</w:t>
      </w:r>
    </w:p>
    <w:p w14:paraId="6FE3A614" w14:textId="77777777" w:rsidR="00561B22" w:rsidRPr="007B0D0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B0D0F" w14:paraId="218ED364" w14:textId="77777777" w:rsidTr="00F1223B">
        <w:tc>
          <w:tcPr>
            <w:tcW w:w="4981" w:type="dxa"/>
          </w:tcPr>
          <w:p w14:paraId="0B673532"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AUTOCALIFICACIÓN</w:t>
            </w:r>
          </w:p>
        </w:tc>
        <w:tc>
          <w:tcPr>
            <w:tcW w:w="4981" w:type="dxa"/>
          </w:tcPr>
          <w:p w14:paraId="1170703F" w14:textId="77777777" w:rsidR="00561B22" w:rsidRPr="007B0D0F" w:rsidRDefault="00561B22" w:rsidP="00F1223B">
            <w:pPr>
              <w:jc w:val="center"/>
              <w:rPr>
                <w:rFonts w:ascii="Arial" w:hAnsi="Arial" w:cs="Arial"/>
                <w:b/>
                <w:sz w:val="22"/>
                <w:szCs w:val="22"/>
                <w:u w:val="single"/>
                <w:lang w:val="es-MX"/>
              </w:rPr>
            </w:pPr>
            <w:r w:rsidRPr="007B0D0F">
              <w:rPr>
                <w:rFonts w:ascii="Arial" w:hAnsi="Arial" w:cs="Arial"/>
                <w:b/>
                <w:sz w:val="22"/>
                <w:szCs w:val="22"/>
                <w:u w:val="single"/>
                <w:lang w:val="es-MX"/>
              </w:rPr>
              <w:t>3.95</w:t>
            </w:r>
          </w:p>
        </w:tc>
      </w:tr>
    </w:tbl>
    <w:p w14:paraId="7F506722" w14:textId="77777777" w:rsidR="00561B22" w:rsidRPr="007B0D0F" w:rsidRDefault="00561B22" w:rsidP="00561B22">
      <w:pPr>
        <w:pStyle w:val="Textoindependiente"/>
        <w:ind w:right="-50"/>
        <w:jc w:val="both"/>
        <w:rPr>
          <w:rFonts w:ascii="Arial" w:hAnsi="Arial" w:cs="Arial"/>
          <w:b/>
          <w:bCs/>
        </w:rPr>
      </w:pPr>
    </w:p>
    <w:p w14:paraId="4A919250" w14:textId="77777777" w:rsidR="00561B22" w:rsidRPr="007B0D0F" w:rsidRDefault="00561B22" w:rsidP="00561B22">
      <w:pPr>
        <w:pStyle w:val="Textoindependiente"/>
        <w:ind w:right="-50"/>
        <w:jc w:val="both"/>
        <w:rPr>
          <w:rFonts w:ascii="Arial" w:hAnsi="Arial" w:cs="Arial"/>
          <w:b/>
          <w:bCs/>
        </w:rPr>
      </w:pPr>
      <w:r w:rsidRPr="007B0D0F">
        <w:rPr>
          <w:rFonts w:ascii="Arial" w:hAnsi="Arial" w:cs="Arial"/>
          <w:b/>
          <w:bCs/>
        </w:rPr>
        <w:t>Del informe enviado retomamos lo siguiente:</w:t>
      </w:r>
    </w:p>
    <w:p w14:paraId="4DA6F6C8" w14:textId="77777777" w:rsidR="00561B22" w:rsidRPr="007B0D0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B0D0F" w14:paraId="71E48408" w14:textId="77777777" w:rsidTr="00F1223B">
        <w:tc>
          <w:tcPr>
            <w:tcW w:w="562" w:type="dxa"/>
          </w:tcPr>
          <w:p w14:paraId="195629D4" w14:textId="77777777" w:rsidR="00561B22" w:rsidRPr="007B0D0F" w:rsidRDefault="00561B22" w:rsidP="00F1223B">
            <w:pPr>
              <w:ind w:right="-109"/>
              <w:jc w:val="center"/>
              <w:rPr>
                <w:rFonts w:ascii="Arial" w:hAnsi="Arial" w:cs="Arial"/>
                <w:b/>
                <w:sz w:val="22"/>
                <w:szCs w:val="22"/>
                <w:lang w:val="es-MX"/>
              </w:rPr>
            </w:pPr>
            <w:r w:rsidRPr="007B0D0F">
              <w:rPr>
                <w:rFonts w:ascii="Arial" w:hAnsi="Arial" w:cs="Arial"/>
                <w:b/>
                <w:sz w:val="22"/>
                <w:szCs w:val="22"/>
                <w:lang w:val="es-MX"/>
              </w:rPr>
              <w:t>N°</w:t>
            </w:r>
          </w:p>
        </w:tc>
        <w:tc>
          <w:tcPr>
            <w:tcW w:w="9400" w:type="dxa"/>
          </w:tcPr>
          <w:p w14:paraId="198F7552"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DEBILIDADES</w:t>
            </w:r>
          </w:p>
          <w:p w14:paraId="2F949352" w14:textId="77777777" w:rsidR="00561B22" w:rsidRPr="007B0D0F" w:rsidRDefault="00561B22" w:rsidP="00F1223B">
            <w:pPr>
              <w:jc w:val="center"/>
              <w:rPr>
                <w:rFonts w:ascii="Arial" w:hAnsi="Arial" w:cs="Arial"/>
                <w:b/>
                <w:sz w:val="22"/>
                <w:szCs w:val="22"/>
                <w:lang w:val="es-MX"/>
              </w:rPr>
            </w:pPr>
          </w:p>
        </w:tc>
      </w:tr>
      <w:tr w:rsidR="00561B22" w:rsidRPr="007B0D0F" w14:paraId="486EE6A4" w14:textId="77777777" w:rsidTr="00F1223B">
        <w:tc>
          <w:tcPr>
            <w:tcW w:w="562" w:type="dxa"/>
          </w:tcPr>
          <w:p w14:paraId="66AA1F8A"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1</w:t>
            </w:r>
          </w:p>
        </w:tc>
        <w:tc>
          <w:tcPr>
            <w:tcW w:w="9400" w:type="dxa"/>
          </w:tcPr>
          <w:p w14:paraId="2788DC0F"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Las áreas generadoras de información contable no garantizan completitud y oportunidad en su captura y remisión al área contable, como es el caso de la facturación de arrendamientos y los sobrevuelos.</w:t>
            </w:r>
          </w:p>
        </w:tc>
      </w:tr>
      <w:tr w:rsidR="00561B22" w:rsidRPr="007B0D0F" w14:paraId="0B8C031E" w14:textId="77777777" w:rsidTr="00F1223B">
        <w:tc>
          <w:tcPr>
            <w:tcW w:w="562" w:type="dxa"/>
          </w:tcPr>
          <w:p w14:paraId="61930E72"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2</w:t>
            </w:r>
          </w:p>
        </w:tc>
        <w:tc>
          <w:tcPr>
            <w:tcW w:w="9400" w:type="dxa"/>
          </w:tcPr>
          <w:p w14:paraId="619E28B1"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 xml:space="preserve">Se evidenciaron debilidades que impactan en la evaluación cuantitativa, por cuanto se presentan cifras que no han sido depuradas como es el caso de la cartera de difícil cobro, así como bienes muebles inservibles no dados de baja o en uso totalmente depreciados y no repotenciados.  </w:t>
            </w:r>
          </w:p>
        </w:tc>
      </w:tr>
      <w:tr w:rsidR="00561B22" w:rsidRPr="007B0D0F" w14:paraId="0641AD4E" w14:textId="77777777" w:rsidTr="00F1223B">
        <w:tc>
          <w:tcPr>
            <w:tcW w:w="562" w:type="dxa"/>
          </w:tcPr>
          <w:p w14:paraId="15605032"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3</w:t>
            </w:r>
          </w:p>
        </w:tc>
        <w:tc>
          <w:tcPr>
            <w:tcW w:w="9400" w:type="dxa"/>
          </w:tcPr>
          <w:p w14:paraId="2AF14DC8"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En la definición de los riesgos del proceso contable, no se tienen en cuenta las causas de los hallazgos recurrentes formulados por la CGR para ser analizados, gestionados, actualizar los existente o definir nuevos riesgos que permitan implementar controles y lograr el mejoramiento continuo.</w:t>
            </w:r>
          </w:p>
        </w:tc>
      </w:tr>
      <w:tr w:rsidR="00561B22" w:rsidRPr="007B0D0F" w14:paraId="58FC2B5D" w14:textId="77777777" w:rsidTr="00F1223B">
        <w:tc>
          <w:tcPr>
            <w:tcW w:w="562" w:type="dxa"/>
          </w:tcPr>
          <w:p w14:paraId="20A22CEE"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4</w:t>
            </w:r>
          </w:p>
        </w:tc>
        <w:tc>
          <w:tcPr>
            <w:tcW w:w="9400" w:type="dxa"/>
          </w:tcPr>
          <w:p w14:paraId="08A264A8"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Verificado en la página web de la Entidad, link https://www.aerocivil.gov.co/aerocivil/talento-humano/planes-DGH la ejecución y seguimiento efectuado al PIC de la vigencia 2024, se pudo establecer que no se programaron capacitaciones específicas para el área contable y sólo se registra en la página web de la Entidad el seguimiento del segundo trimestre de la vigencia.</w:t>
            </w:r>
          </w:p>
        </w:tc>
      </w:tr>
      <w:tr w:rsidR="00561B22" w:rsidRPr="007B0D0F" w14:paraId="68E79966" w14:textId="77777777" w:rsidTr="00F1223B">
        <w:tc>
          <w:tcPr>
            <w:tcW w:w="562" w:type="dxa"/>
          </w:tcPr>
          <w:p w14:paraId="5D1880AD"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5</w:t>
            </w:r>
          </w:p>
        </w:tc>
        <w:tc>
          <w:tcPr>
            <w:tcW w:w="9400" w:type="dxa"/>
          </w:tcPr>
          <w:p w14:paraId="100D4A49"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La información financiera presentada en la rendición de cuentas de la vigencia 2024, no evidencia la presentación de notas explicativas para un mejor entendimiento por parte de estos usuarios.</w:t>
            </w:r>
          </w:p>
        </w:tc>
      </w:tr>
    </w:tbl>
    <w:p w14:paraId="17F4D7D1" w14:textId="77777777" w:rsidR="00561B22" w:rsidRPr="007B0D0F" w:rsidRDefault="00561B22" w:rsidP="00561B22">
      <w:pPr>
        <w:pStyle w:val="Textoindependiente"/>
        <w:ind w:right="-50"/>
        <w:jc w:val="both"/>
        <w:rPr>
          <w:rFonts w:ascii="Arial" w:hAnsi="Arial" w:cs="Arial"/>
          <w:b/>
          <w:bCs/>
        </w:rPr>
      </w:pPr>
    </w:p>
    <w:p w14:paraId="270826C6" w14:textId="77777777" w:rsidR="00561B22" w:rsidRPr="007B0D0F" w:rsidRDefault="00561B22" w:rsidP="00561B22">
      <w:pPr>
        <w:jc w:val="both"/>
        <w:rPr>
          <w:rFonts w:ascii="Arial" w:hAnsi="Arial" w:cs="Arial"/>
          <w:b/>
          <w:lang w:val="es-MX"/>
        </w:rPr>
      </w:pPr>
      <w:r w:rsidRPr="007B0D0F">
        <w:rPr>
          <w:rFonts w:ascii="Arial" w:hAnsi="Arial" w:cs="Arial"/>
          <w:b/>
          <w:lang w:val="es-MX"/>
        </w:rPr>
        <w:t>Del citado informe retomamos las siguientes recomendaciones:</w:t>
      </w:r>
    </w:p>
    <w:p w14:paraId="7EC43618" w14:textId="77777777" w:rsidR="00561B22" w:rsidRPr="007B0D0F"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7B0D0F" w14:paraId="0B30A331" w14:textId="77777777" w:rsidTr="00F1223B">
        <w:tc>
          <w:tcPr>
            <w:tcW w:w="562" w:type="dxa"/>
          </w:tcPr>
          <w:p w14:paraId="485C3173" w14:textId="77777777" w:rsidR="00561B22" w:rsidRPr="007B0D0F" w:rsidRDefault="00561B22" w:rsidP="00F1223B">
            <w:pPr>
              <w:ind w:right="-109"/>
              <w:jc w:val="center"/>
              <w:rPr>
                <w:rFonts w:ascii="Arial" w:hAnsi="Arial" w:cs="Arial"/>
                <w:b/>
                <w:sz w:val="22"/>
                <w:szCs w:val="22"/>
                <w:lang w:val="es-MX"/>
              </w:rPr>
            </w:pPr>
            <w:r w:rsidRPr="007B0D0F">
              <w:rPr>
                <w:rFonts w:ascii="Arial" w:hAnsi="Arial" w:cs="Arial"/>
                <w:b/>
                <w:sz w:val="22"/>
                <w:szCs w:val="22"/>
                <w:lang w:val="es-MX"/>
              </w:rPr>
              <w:t>N°</w:t>
            </w:r>
          </w:p>
        </w:tc>
        <w:tc>
          <w:tcPr>
            <w:tcW w:w="9400" w:type="dxa"/>
          </w:tcPr>
          <w:p w14:paraId="13E1F700"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RECOMENDACIONES</w:t>
            </w:r>
          </w:p>
          <w:p w14:paraId="5ECD75E4" w14:textId="77777777" w:rsidR="00561B22" w:rsidRPr="007B0D0F" w:rsidRDefault="00561B22" w:rsidP="00F1223B">
            <w:pPr>
              <w:jc w:val="center"/>
              <w:rPr>
                <w:rFonts w:ascii="Arial" w:hAnsi="Arial" w:cs="Arial"/>
                <w:b/>
                <w:sz w:val="22"/>
                <w:szCs w:val="22"/>
                <w:lang w:val="es-MX"/>
              </w:rPr>
            </w:pPr>
          </w:p>
        </w:tc>
      </w:tr>
      <w:tr w:rsidR="00561B22" w:rsidRPr="007B0D0F" w14:paraId="39F1DFD5" w14:textId="77777777" w:rsidTr="00F1223B">
        <w:tc>
          <w:tcPr>
            <w:tcW w:w="562" w:type="dxa"/>
          </w:tcPr>
          <w:p w14:paraId="63F14FD6"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1</w:t>
            </w:r>
          </w:p>
        </w:tc>
        <w:tc>
          <w:tcPr>
            <w:tcW w:w="9400" w:type="dxa"/>
          </w:tcPr>
          <w:p w14:paraId="3B90B80F"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A las áreas generadoras de la información contable, dar tratamiento a los hallazgos formulados con ocasión de la evaluación realizada por parte de la Oficina de Control Interno durante la vigencia 2024, generando acciones correctivas y preventivas que garanticen un mejoramiento continuo al Sistema de Control Interno Contable.</w:t>
            </w:r>
          </w:p>
        </w:tc>
      </w:tr>
      <w:tr w:rsidR="00561B22" w:rsidRPr="007B0D0F" w14:paraId="53F1C2CD" w14:textId="77777777" w:rsidTr="00F1223B">
        <w:tc>
          <w:tcPr>
            <w:tcW w:w="562" w:type="dxa"/>
          </w:tcPr>
          <w:p w14:paraId="0F24B3B1"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2</w:t>
            </w:r>
          </w:p>
        </w:tc>
        <w:tc>
          <w:tcPr>
            <w:tcW w:w="9400" w:type="dxa"/>
          </w:tcPr>
          <w:p w14:paraId="0E0E4174"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Al proceso de Gestión Humana y Proceso de Gestión Financiera: Dentro del plan institucional de capacitación garantizar para los servidores involucrados en el proceso contable a nivel nacional, formación que propenda por la actualización permanente y el fortalecimiento de sus competencias.</w:t>
            </w:r>
          </w:p>
        </w:tc>
      </w:tr>
      <w:tr w:rsidR="00561B22" w:rsidRPr="007B0D0F" w14:paraId="360ED48F" w14:textId="77777777" w:rsidTr="00F1223B">
        <w:tc>
          <w:tcPr>
            <w:tcW w:w="562" w:type="dxa"/>
          </w:tcPr>
          <w:p w14:paraId="7CCB0D22" w14:textId="77777777" w:rsidR="00561B22" w:rsidRPr="007B0D0F" w:rsidRDefault="00561B22" w:rsidP="00F1223B">
            <w:pPr>
              <w:jc w:val="center"/>
              <w:rPr>
                <w:rFonts w:ascii="Arial" w:hAnsi="Arial" w:cs="Arial"/>
                <w:b/>
                <w:sz w:val="22"/>
                <w:szCs w:val="22"/>
                <w:lang w:val="es-MX"/>
              </w:rPr>
            </w:pPr>
            <w:r w:rsidRPr="007B0D0F">
              <w:rPr>
                <w:rFonts w:ascii="Arial" w:hAnsi="Arial" w:cs="Arial"/>
                <w:b/>
                <w:sz w:val="22"/>
                <w:szCs w:val="22"/>
                <w:lang w:val="es-MX"/>
              </w:rPr>
              <w:t>3</w:t>
            </w:r>
          </w:p>
        </w:tc>
        <w:tc>
          <w:tcPr>
            <w:tcW w:w="9400" w:type="dxa"/>
          </w:tcPr>
          <w:p w14:paraId="14C3C951" w14:textId="77777777" w:rsidR="00561B22" w:rsidRPr="007B0D0F" w:rsidRDefault="00561B22" w:rsidP="00F1223B">
            <w:pPr>
              <w:jc w:val="both"/>
              <w:rPr>
                <w:rFonts w:ascii="Arial" w:hAnsi="Arial" w:cs="Arial"/>
                <w:sz w:val="22"/>
                <w:szCs w:val="22"/>
                <w:lang w:val="es-MX"/>
              </w:rPr>
            </w:pPr>
            <w:r w:rsidRPr="007B0D0F">
              <w:rPr>
                <w:rFonts w:ascii="Arial" w:hAnsi="Arial" w:cs="Arial"/>
                <w:sz w:val="22"/>
                <w:szCs w:val="22"/>
                <w:lang w:val="es-MX"/>
              </w:rPr>
              <w:t xml:space="preserve">A la Alta Gerencia: Presentar los Estados Financieros en las audiencias públicas de rendición de cuentas, junto con las notas explicativas para facilitar la comprensión de la información contable por parte de estos usuarios.  </w:t>
            </w:r>
          </w:p>
        </w:tc>
      </w:tr>
    </w:tbl>
    <w:p w14:paraId="71FD4B43" w14:textId="77777777" w:rsidR="00561B22" w:rsidRPr="007B0D0F" w:rsidRDefault="00561B22" w:rsidP="00561B22">
      <w:pPr>
        <w:pStyle w:val="Textoindependiente"/>
        <w:ind w:right="-50"/>
        <w:jc w:val="both"/>
        <w:rPr>
          <w:rFonts w:ascii="Arial" w:hAnsi="Arial" w:cs="Arial"/>
          <w:b/>
          <w:bCs/>
        </w:rPr>
      </w:pPr>
    </w:p>
    <w:p w14:paraId="1D3D36F6" w14:textId="77777777" w:rsidR="00561B22" w:rsidRPr="007B0D0F" w:rsidRDefault="00561B22" w:rsidP="00561B22">
      <w:pPr>
        <w:jc w:val="both"/>
        <w:rPr>
          <w:rFonts w:ascii="Arial" w:hAnsi="Arial" w:cs="Arial"/>
          <w:b/>
          <w:bCs/>
          <w:sz w:val="24"/>
          <w:szCs w:val="24"/>
          <w:lang w:val="es-CO"/>
        </w:rPr>
      </w:pPr>
      <w:r w:rsidRPr="007B0D0F">
        <w:rPr>
          <w:rFonts w:ascii="Arial" w:hAnsi="Arial" w:cs="Arial"/>
          <w:b/>
          <w:bCs/>
          <w:sz w:val="24"/>
          <w:szCs w:val="24"/>
          <w:lang w:val="es-CO"/>
        </w:rPr>
        <w:t xml:space="preserve">NOTA: LA ENTIDAD ENVIA LA MATRIZ DE AUTOEVALUACIÓN DEL SISTEMA DE CONTROL INTERNO CONTABLE CON ACTIVIDADES DE CONTROL REALIZADAS </w:t>
      </w:r>
      <w:r w:rsidRPr="007B0D0F">
        <w:rPr>
          <w:rFonts w:ascii="Arial" w:hAnsi="Arial" w:cs="Arial"/>
          <w:b/>
          <w:bCs/>
          <w:sz w:val="24"/>
          <w:szCs w:val="24"/>
          <w:u w:val="single"/>
          <w:lang w:val="es-CO"/>
        </w:rPr>
        <w:t>EN FORMA PARCIAL Y OTRAS SIMPLEMENTE INFORMAN QUE NO SE REALIZARON</w:t>
      </w:r>
      <w:r w:rsidRPr="007B0D0F">
        <w:rPr>
          <w:rFonts w:ascii="Arial" w:hAnsi="Arial" w:cs="Arial"/>
          <w:b/>
          <w:bCs/>
          <w:sz w:val="24"/>
          <w:szCs w:val="24"/>
          <w:lang w:val="es-CO"/>
        </w:rPr>
        <w:t>.</w:t>
      </w:r>
    </w:p>
    <w:p w14:paraId="50724B51" w14:textId="77777777" w:rsidR="00561B22" w:rsidRDefault="00561B22" w:rsidP="00561B22">
      <w:pPr>
        <w:jc w:val="both"/>
        <w:rPr>
          <w:b/>
          <w:sz w:val="28"/>
          <w:szCs w:val="28"/>
          <w:lang w:val="es-CO"/>
        </w:rPr>
      </w:pPr>
    </w:p>
    <w:p w14:paraId="4BC034FF" w14:textId="77777777" w:rsidR="00561B22" w:rsidRPr="00BB2C05" w:rsidRDefault="00561B22" w:rsidP="00561B22">
      <w:pPr>
        <w:jc w:val="both"/>
        <w:rPr>
          <w:rFonts w:ascii="Arial" w:hAnsi="Arial" w:cs="Arial"/>
          <w:b/>
          <w:sz w:val="28"/>
          <w:szCs w:val="28"/>
          <w:lang w:val="es-MX"/>
        </w:rPr>
      </w:pPr>
      <w:r w:rsidRPr="00BB2C05">
        <w:rPr>
          <w:rFonts w:ascii="Arial" w:hAnsi="Arial" w:cs="Arial"/>
          <w:b/>
          <w:sz w:val="28"/>
          <w:szCs w:val="28"/>
          <w:lang w:val="es-MX"/>
        </w:rPr>
        <w:t>150.- MINISTERIO DE JUSTICIA Y DEL DERECHO.</w:t>
      </w:r>
    </w:p>
    <w:p w14:paraId="27BDFAEC" w14:textId="77777777" w:rsidR="00561B22" w:rsidRDefault="00561B22" w:rsidP="00561B22">
      <w:pPr>
        <w:pStyle w:val="Textoindependiente"/>
        <w:ind w:right="-50"/>
        <w:jc w:val="both"/>
        <w:rPr>
          <w:b/>
          <w:bCs/>
          <w:sz w:val="28"/>
          <w:szCs w:val="28"/>
        </w:rPr>
      </w:pPr>
    </w:p>
    <w:p w14:paraId="3E4FF2DF" w14:textId="77777777" w:rsidR="00561B22" w:rsidRPr="00BB2C05" w:rsidRDefault="00561B22" w:rsidP="00561B22">
      <w:pPr>
        <w:pStyle w:val="Textoindependiente"/>
        <w:ind w:right="-50"/>
        <w:jc w:val="center"/>
        <w:rPr>
          <w:rFonts w:ascii="Arial" w:hAnsi="Arial" w:cs="Arial"/>
          <w:b/>
          <w:bCs/>
        </w:rPr>
      </w:pPr>
      <w:r w:rsidRPr="00BB2C05">
        <w:rPr>
          <w:rFonts w:ascii="Arial" w:hAnsi="Arial" w:cs="Arial"/>
          <w:b/>
          <w:bCs/>
        </w:rPr>
        <w:t>INFORME DE LA AUTOCALIFICACIÓN DEL SISTEMA DE CONTROL INTERNO CONTABLE:</w:t>
      </w:r>
    </w:p>
    <w:p w14:paraId="1C252543" w14:textId="77777777" w:rsidR="00561B22" w:rsidRPr="00BB2C0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B2C05" w14:paraId="1F075BE8" w14:textId="77777777" w:rsidTr="00F1223B">
        <w:tc>
          <w:tcPr>
            <w:tcW w:w="4981" w:type="dxa"/>
          </w:tcPr>
          <w:p w14:paraId="5813436B"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AUTOCALIFICACIÓN</w:t>
            </w:r>
          </w:p>
        </w:tc>
        <w:tc>
          <w:tcPr>
            <w:tcW w:w="4981" w:type="dxa"/>
          </w:tcPr>
          <w:p w14:paraId="760E5608" w14:textId="77777777" w:rsidR="00561B22" w:rsidRPr="00BB2C05" w:rsidRDefault="00561B22" w:rsidP="00F1223B">
            <w:pPr>
              <w:jc w:val="center"/>
              <w:rPr>
                <w:rFonts w:ascii="Arial" w:hAnsi="Arial" w:cs="Arial"/>
                <w:b/>
                <w:sz w:val="22"/>
                <w:szCs w:val="22"/>
                <w:u w:val="single"/>
                <w:lang w:val="es-MX"/>
              </w:rPr>
            </w:pPr>
            <w:r w:rsidRPr="00BB2C05">
              <w:rPr>
                <w:rFonts w:ascii="Arial" w:hAnsi="Arial" w:cs="Arial"/>
                <w:b/>
                <w:sz w:val="22"/>
                <w:szCs w:val="22"/>
                <w:u w:val="single"/>
                <w:lang w:val="es-MX"/>
              </w:rPr>
              <w:t>4.76</w:t>
            </w:r>
          </w:p>
        </w:tc>
      </w:tr>
    </w:tbl>
    <w:p w14:paraId="785D9571" w14:textId="77777777" w:rsidR="00561B22" w:rsidRPr="00BB2C05" w:rsidRDefault="00561B22" w:rsidP="00561B22">
      <w:pPr>
        <w:pStyle w:val="Textoindependiente"/>
        <w:ind w:right="-50"/>
        <w:jc w:val="both"/>
        <w:rPr>
          <w:rFonts w:ascii="Arial" w:hAnsi="Arial" w:cs="Arial"/>
          <w:b/>
          <w:bCs/>
        </w:rPr>
      </w:pPr>
    </w:p>
    <w:p w14:paraId="393AF8CD" w14:textId="77777777" w:rsidR="00561B22" w:rsidRPr="00BB2C05" w:rsidRDefault="00561B22" w:rsidP="00561B22">
      <w:pPr>
        <w:pStyle w:val="Textoindependiente"/>
        <w:ind w:right="-50"/>
        <w:jc w:val="both"/>
        <w:rPr>
          <w:rFonts w:ascii="Arial" w:hAnsi="Arial" w:cs="Arial"/>
          <w:b/>
          <w:bCs/>
        </w:rPr>
      </w:pPr>
      <w:r w:rsidRPr="00BB2C05">
        <w:rPr>
          <w:rFonts w:ascii="Arial" w:hAnsi="Arial" w:cs="Arial"/>
          <w:b/>
          <w:bCs/>
        </w:rPr>
        <w:t>Del informe enviado retomamos lo siguiente:</w:t>
      </w:r>
    </w:p>
    <w:p w14:paraId="2667A7EA" w14:textId="77777777" w:rsidR="00561B22" w:rsidRPr="00BB2C0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B2C05" w14:paraId="4E647E13" w14:textId="77777777" w:rsidTr="00F1223B">
        <w:tc>
          <w:tcPr>
            <w:tcW w:w="562" w:type="dxa"/>
          </w:tcPr>
          <w:p w14:paraId="71A194DF" w14:textId="77777777" w:rsidR="00561B22" w:rsidRPr="00BB2C05" w:rsidRDefault="00561B22" w:rsidP="00F1223B">
            <w:pPr>
              <w:ind w:right="-109"/>
              <w:jc w:val="center"/>
              <w:rPr>
                <w:rFonts w:ascii="Arial" w:hAnsi="Arial" w:cs="Arial"/>
                <w:b/>
                <w:sz w:val="22"/>
                <w:szCs w:val="22"/>
                <w:lang w:val="es-MX"/>
              </w:rPr>
            </w:pPr>
            <w:r w:rsidRPr="00BB2C05">
              <w:rPr>
                <w:rFonts w:ascii="Arial" w:hAnsi="Arial" w:cs="Arial"/>
                <w:b/>
                <w:sz w:val="22"/>
                <w:szCs w:val="22"/>
                <w:lang w:val="es-MX"/>
              </w:rPr>
              <w:t>N°</w:t>
            </w:r>
          </w:p>
        </w:tc>
        <w:tc>
          <w:tcPr>
            <w:tcW w:w="9400" w:type="dxa"/>
          </w:tcPr>
          <w:p w14:paraId="5ED9192F"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DEBILIDADES</w:t>
            </w:r>
          </w:p>
          <w:p w14:paraId="49A808C0" w14:textId="77777777" w:rsidR="00561B22" w:rsidRPr="00BB2C05" w:rsidRDefault="00561B22" w:rsidP="00F1223B">
            <w:pPr>
              <w:jc w:val="center"/>
              <w:rPr>
                <w:rFonts w:ascii="Arial" w:hAnsi="Arial" w:cs="Arial"/>
                <w:b/>
                <w:sz w:val="22"/>
                <w:szCs w:val="22"/>
                <w:lang w:val="es-MX"/>
              </w:rPr>
            </w:pPr>
          </w:p>
        </w:tc>
      </w:tr>
      <w:tr w:rsidR="00561B22" w:rsidRPr="00BB2C05" w14:paraId="1AAB0FCD" w14:textId="77777777" w:rsidTr="00F1223B">
        <w:tc>
          <w:tcPr>
            <w:tcW w:w="562" w:type="dxa"/>
          </w:tcPr>
          <w:p w14:paraId="00456DF5"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1</w:t>
            </w:r>
          </w:p>
        </w:tc>
        <w:tc>
          <w:tcPr>
            <w:tcW w:w="9400" w:type="dxa"/>
          </w:tcPr>
          <w:p w14:paraId="0297F553"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Presentó debilidades en la realización de conciliaciones de saldos de cuentas por cobrar, así como también en el proceso de registro de bienes, amortización y depuración de bienes intangibles.</w:t>
            </w:r>
          </w:p>
        </w:tc>
      </w:tr>
      <w:tr w:rsidR="00561B22" w:rsidRPr="00BB2C05" w14:paraId="5B8B23D5" w14:textId="77777777" w:rsidTr="00F1223B">
        <w:tc>
          <w:tcPr>
            <w:tcW w:w="562" w:type="dxa"/>
          </w:tcPr>
          <w:p w14:paraId="2F89F87D"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2</w:t>
            </w:r>
          </w:p>
        </w:tc>
        <w:tc>
          <w:tcPr>
            <w:tcW w:w="9400" w:type="dxa"/>
          </w:tcPr>
          <w:p w14:paraId="5B0EA2DF"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A pesar de que la entidad tiene su planeación de capacitación para la permanente actualización y formación del equipo humano, dentro del área contable no se cuenta con capacitación puntual en temas de alto impacto, debido entre otros aspectos a la limitada inclusión de aspectos financieros y contables en el PIC institucional, pues sólo se realizó un diplomado sobre presupuesto público, al que no asistió personal del GGFC.</w:t>
            </w:r>
          </w:p>
        </w:tc>
      </w:tr>
      <w:tr w:rsidR="00561B22" w:rsidRPr="00BB2C05" w14:paraId="59DCC665" w14:textId="77777777" w:rsidTr="00F1223B">
        <w:tc>
          <w:tcPr>
            <w:tcW w:w="562" w:type="dxa"/>
          </w:tcPr>
          <w:p w14:paraId="03EA8A3C"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3</w:t>
            </w:r>
          </w:p>
        </w:tc>
        <w:tc>
          <w:tcPr>
            <w:tcW w:w="9400" w:type="dxa"/>
          </w:tcPr>
          <w:p w14:paraId="57C5C9D5"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Es importante que las diferentes áreas que componen la entidad cuenten con canales de comunicación efectivos y que garanticen la realización de actividades o tareas que contribuyan a la revelación fiel de la información, de manera completa y a todos los procesos involucrados en generación de hechos económicos de manera que contribuya a mejorar la oportunidad y la calidad de la información suministrada para la elaboración de los estados financieros de la entidad.</w:t>
            </w:r>
          </w:p>
        </w:tc>
      </w:tr>
      <w:tr w:rsidR="00561B22" w:rsidRPr="00BB2C05" w14:paraId="396CF45B" w14:textId="77777777" w:rsidTr="00F1223B">
        <w:tc>
          <w:tcPr>
            <w:tcW w:w="562" w:type="dxa"/>
          </w:tcPr>
          <w:p w14:paraId="05B3FE9D"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4</w:t>
            </w:r>
          </w:p>
        </w:tc>
        <w:tc>
          <w:tcPr>
            <w:tcW w:w="9400" w:type="dxa"/>
          </w:tcPr>
          <w:p w14:paraId="653B926B"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Si bien el GGFC ha aunado esfuerzos para subsanar los hallazgos encontrados tanto por la Oficina de Control Interno como de la Contraloría General de la República, aún persisten debilidades que no ha sido posible cumplir, caso del no fenecimiento de la cuenta en tres vigencias.</w:t>
            </w:r>
          </w:p>
        </w:tc>
      </w:tr>
    </w:tbl>
    <w:p w14:paraId="12DD554D" w14:textId="77777777" w:rsidR="00BD6EEF" w:rsidRDefault="00BD6EEF" w:rsidP="00561B22">
      <w:pPr>
        <w:jc w:val="both"/>
        <w:rPr>
          <w:rFonts w:ascii="Arial" w:hAnsi="Arial" w:cs="Arial"/>
          <w:b/>
          <w:lang w:val="es-MX"/>
        </w:rPr>
      </w:pPr>
    </w:p>
    <w:p w14:paraId="23E7069A" w14:textId="1B5B2669" w:rsidR="00561B22" w:rsidRPr="00BB2C05" w:rsidRDefault="00561B22" w:rsidP="00561B22">
      <w:pPr>
        <w:jc w:val="both"/>
        <w:rPr>
          <w:rFonts w:ascii="Arial" w:hAnsi="Arial" w:cs="Arial"/>
          <w:b/>
          <w:lang w:val="es-MX"/>
        </w:rPr>
      </w:pPr>
      <w:r w:rsidRPr="00BB2C05">
        <w:rPr>
          <w:rFonts w:ascii="Arial" w:hAnsi="Arial" w:cs="Arial"/>
          <w:b/>
          <w:lang w:val="es-MX"/>
        </w:rPr>
        <w:t>Del citado informe retomamos las siguientes recomendaciones:</w:t>
      </w:r>
    </w:p>
    <w:p w14:paraId="70F4F69E" w14:textId="77777777" w:rsidR="00561B22" w:rsidRPr="00BB2C05"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BB2C05" w14:paraId="31297518" w14:textId="77777777" w:rsidTr="00F1223B">
        <w:tc>
          <w:tcPr>
            <w:tcW w:w="562" w:type="dxa"/>
          </w:tcPr>
          <w:p w14:paraId="00A5FFD7" w14:textId="77777777" w:rsidR="00561B22" w:rsidRPr="00BB2C05" w:rsidRDefault="00561B22" w:rsidP="00F1223B">
            <w:pPr>
              <w:ind w:right="-109"/>
              <w:jc w:val="center"/>
              <w:rPr>
                <w:rFonts w:ascii="Arial" w:hAnsi="Arial" w:cs="Arial"/>
                <w:b/>
                <w:sz w:val="22"/>
                <w:szCs w:val="22"/>
                <w:lang w:val="es-MX"/>
              </w:rPr>
            </w:pPr>
            <w:r w:rsidRPr="00BB2C05">
              <w:rPr>
                <w:rFonts w:ascii="Arial" w:hAnsi="Arial" w:cs="Arial"/>
                <w:b/>
                <w:sz w:val="22"/>
                <w:szCs w:val="22"/>
                <w:lang w:val="es-MX"/>
              </w:rPr>
              <w:t>N°</w:t>
            </w:r>
          </w:p>
        </w:tc>
        <w:tc>
          <w:tcPr>
            <w:tcW w:w="9400" w:type="dxa"/>
          </w:tcPr>
          <w:p w14:paraId="7B549911"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RECOMENDACIONES</w:t>
            </w:r>
          </w:p>
          <w:p w14:paraId="778129B1" w14:textId="77777777" w:rsidR="00561B22" w:rsidRPr="00BB2C05" w:rsidRDefault="00561B22" w:rsidP="00F1223B">
            <w:pPr>
              <w:jc w:val="center"/>
              <w:rPr>
                <w:rFonts w:ascii="Arial" w:hAnsi="Arial" w:cs="Arial"/>
                <w:b/>
                <w:sz w:val="22"/>
                <w:szCs w:val="22"/>
                <w:lang w:val="es-MX"/>
              </w:rPr>
            </w:pPr>
          </w:p>
        </w:tc>
      </w:tr>
      <w:tr w:rsidR="00561B22" w:rsidRPr="00BB2C05" w14:paraId="63BAA0F6" w14:textId="77777777" w:rsidTr="00F1223B">
        <w:tc>
          <w:tcPr>
            <w:tcW w:w="562" w:type="dxa"/>
          </w:tcPr>
          <w:p w14:paraId="1E7DF50F"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1</w:t>
            </w:r>
          </w:p>
        </w:tc>
        <w:tc>
          <w:tcPr>
            <w:tcW w:w="9400" w:type="dxa"/>
          </w:tcPr>
          <w:p w14:paraId="612F0408"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Verificar el establecimiento y/o actualización de las listas de chequeo con las cuales se realizan los cierres de periodo, de vigencia y de elaboración de estados financieros, con el fin de obtener la información suficiente y adecuada de las respectivas conciliaciones con todos los proveedores de información del proceso, previo a la generación de los próximos estados financieros anuales y periódicos.</w:t>
            </w:r>
          </w:p>
        </w:tc>
      </w:tr>
      <w:tr w:rsidR="00561B22" w:rsidRPr="00BB2C05" w14:paraId="1902AE86" w14:textId="77777777" w:rsidTr="00F1223B">
        <w:tc>
          <w:tcPr>
            <w:tcW w:w="562" w:type="dxa"/>
          </w:tcPr>
          <w:p w14:paraId="09BDF974"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2</w:t>
            </w:r>
          </w:p>
        </w:tc>
        <w:tc>
          <w:tcPr>
            <w:tcW w:w="9400" w:type="dxa"/>
          </w:tcPr>
          <w:p w14:paraId="581782D3"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Continuar con la dinámica de depuración y conciliación de las cuentas haciendo seguimiento permanente, para el mejoramiento y sostenibilidad de la calidad de la información, específicamente con las cuentas relacionadas con los hallazgos y acciones definidas en el plan de acción suscrito con la Contraloría General de la República en la vigencia 2022.</w:t>
            </w:r>
          </w:p>
        </w:tc>
      </w:tr>
      <w:tr w:rsidR="00561B22" w:rsidRPr="00BB2C05" w14:paraId="45BA8D50" w14:textId="77777777" w:rsidTr="00F1223B">
        <w:tc>
          <w:tcPr>
            <w:tcW w:w="562" w:type="dxa"/>
          </w:tcPr>
          <w:p w14:paraId="16EE044D"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3</w:t>
            </w:r>
          </w:p>
        </w:tc>
        <w:tc>
          <w:tcPr>
            <w:tcW w:w="9400" w:type="dxa"/>
          </w:tcPr>
          <w:p w14:paraId="4427CB99" w14:textId="77777777"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El GGFC debe abordar, a través de un plan de choque, la superación de los problemas planteados por la CGR con el no fenecimiento de la cuenta (Informe de auditoría financiera, vigencia 2022). Sobre todo, en lo que acontece con los hallazgos reiterativos. Para el cumplimiento de lo anterior, debe concitar a las dependencias responsables de los reportes, revisando qué planes tienen para superar las dificultades y señalar las orientaciones que correspondan.</w:t>
            </w:r>
          </w:p>
        </w:tc>
      </w:tr>
      <w:tr w:rsidR="00561B22" w:rsidRPr="00BB2C05" w14:paraId="76470E5C" w14:textId="77777777" w:rsidTr="00F1223B">
        <w:tc>
          <w:tcPr>
            <w:tcW w:w="562" w:type="dxa"/>
          </w:tcPr>
          <w:p w14:paraId="20CC2303" w14:textId="77777777" w:rsidR="00561B22" w:rsidRPr="00BB2C05" w:rsidRDefault="00561B22" w:rsidP="00F1223B">
            <w:pPr>
              <w:jc w:val="center"/>
              <w:rPr>
                <w:rFonts w:ascii="Arial" w:hAnsi="Arial" w:cs="Arial"/>
                <w:b/>
                <w:sz w:val="22"/>
                <w:szCs w:val="22"/>
                <w:lang w:val="es-MX"/>
              </w:rPr>
            </w:pPr>
            <w:r w:rsidRPr="00BB2C05">
              <w:rPr>
                <w:rFonts w:ascii="Arial" w:hAnsi="Arial" w:cs="Arial"/>
                <w:b/>
                <w:sz w:val="22"/>
                <w:szCs w:val="22"/>
                <w:lang w:val="es-MX"/>
              </w:rPr>
              <w:t>4</w:t>
            </w:r>
          </w:p>
        </w:tc>
        <w:tc>
          <w:tcPr>
            <w:tcW w:w="9400" w:type="dxa"/>
          </w:tcPr>
          <w:p w14:paraId="5267E19C" w14:textId="283278E1" w:rsidR="00561B22" w:rsidRPr="00BB2C05" w:rsidRDefault="00561B22" w:rsidP="00F1223B">
            <w:pPr>
              <w:jc w:val="both"/>
              <w:rPr>
                <w:rFonts w:ascii="Arial" w:hAnsi="Arial" w:cs="Arial"/>
                <w:sz w:val="22"/>
                <w:szCs w:val="22"/>
                <w:lang w:val="es-MX"/>
              </w:rPr>
            </w:pPr>
            <w:r w:rsidRPr="00BB2C05">
              <w:rPr>
                <w:rFonts w:ascii="Arial" w:hAnsi="Arial" w:cs="Arial"/>
                <w:sz w:val="22"/>
                <w:szCs w:val="22"/>
                <w:lang w:val="es-MX"/>
              </w:rPr>
              <w:t xml:space="preserve">La OCI recomienda al grupo de Gestión Financiera y Contable velar porque dentro del Plan Institucional de Capacitación se incorporen más capacitaciones relacionadas con el proceso contable e </w:t>
            </w:r>
            <w:r w:rsidR="0008150C" w:rsidRPr="00BB2C05">
              <w:rPr>
                <w:rFonts w:ascii="Arial" w:hAnsi="Arial" w:cs="Arial"/>
                <w:sz w:val="22"/>
                <w:szCs w:val="22"/>
                <w:lang w:val="es-MX"/>
              </w:rPr>
              <w:t>incentivar</w:t>
            </w:r>
            <w:r w:rsidRPr="00BB2C05">
              <w:rPr>
                <w:rFonts w:ascii="Arial" w:hAnsi="Arial" w:cs="Arial"/>
                <w:sz w:val="22"/>
                <w:szCs w:val="22"/>
                <w:lang w:val="es-MX"/>
              </w:rPr>
              <w:t xml:space="preserve"> al recurso humano a que participen masivamente, ya que esto contribuye al mejoramiento de los procesos.</w:t>
            </w:r>
          </w:p>
        </w:tc>
      </w:tr>
    </w:tbl>
    <w:p w14:paraId="1EFEE6D2" w14:textId="77777777" w:rsidR="00561B22" w:rsidRPr="00BB2C05" w:rsidRDefault="00561B22" w:rsidP="00561B22">
      <w:pPr>
        <w:pStyle w:val="Textoindependiente"/>
        <w:ind w:right="-50"/>
        <w:jc w:val="both"/>
        <w:rPr>
          <w:rFonts w:ascii="Arial" w:hAnsi="Arial" w:cs="Arial"/>
          <w:b/>
          <w:bCs/>
        </w:rPr>
      </w:pPr>
    </w:p>
    <w:p w14:paraId="33E9C275" w14:textId="77777777" w:rsidR="00561B22" w:rsidRPr="00BB2C05" w:rsidRDefault="00561B22" w:rsidP="00561B22">
      <w:pPr>
        <w:jc w:val="both"/>
        <w:rPr>
          <w:rFonts w:ascii="Arial" w:hAnsi="Arial" w:cs="Arial"/>
          <w:b/>
          <w:bCs/>
          <w:sz w:val="24"/>
          <w:szCs w:val="24"/>
          <w:lang w:val="es-CO"/>
        </w:rPr>
      </w:pPr>
      <w:r w:rsidRPr="00BB2C05">
        <w:rPr>
          <w:rFonts w:ascii="Arial" w:hAnsi="Arial" w:cs="Arial"/>
          <w:b/>
          <w:bCs/>
          <w:sz w:val="24"/>
          <w:szCs w:val="24"/>
          <w:lang w:val="es-CO"/>
        </w:rPr>
        <w:t xml:space="preserve">NOTA: LA ENTIDAD ENVIA LA MATRIZ DE AUTOEVALUACIÓN DEL SISTEMA DE CONTROL INTERNO CONTABLE CON </w:t>
      </w:r>
      <w:r w:rsidRPr="00BB2C05">
        <w:rPr>
          <w:rFonts w:ascii="Arial" w:hAnsi="Arial" w:cs="Arial"/>
          <w:b/>
          <w:bCs/>
          <w:sz w:val="24"/>
          <w:szCs w:val="24"/>
          <w:u w:val="single"/>
          <w:lang w:val="es-CO"/>
        </w:rPr>
        <w:t xml:space="preserve">ACTIVIDADES DE CONTROL REALIZADAS EN </w:t>
      </w:r>
      <w:r w:rsidRPr="00BB2C05">
        <w:rPr>
          <w:rFonts w:ascii="Arial" w:hAnsi="Arial" w:cs="Arial"/>
          <w:b/>
          <w:bCs/>
          <w:sz w:val="24"/>
          <w:szCs w:val="24"/>
          <w:u w:val="single"/>
          <w:lang w:val="es-CO"/>
        </w:rPr>
        <w:lastRenderedPageBreak/>
        <w:t>FORMA PARCIAL</w:t>
      </w:r>
      <w:r w:rsidRPr="00BB2C05">
        <w:rPr>
          <w:rFonts w:ascii="Arial" w:hAnsi="Arial" w:cs="Arial"/>
          <w:b/>
          <w:bCs/>
          <w:sz w:val="24"/>
          <w:szCs w:val="24"/>
          <w:lang w:val="es-CO"/>
        </w:rPr>
        <w:t>.</w:t>
      </w:r>
    </w:p>
    <w:p w14:paraId="29D5D6E0" w14:textId="77777777" w:rsidR="00561B22" w:rsidRPr="00BB2C05" w:rsidRDefault="00561B22" w:rsidP="00561B22">
      <w:pPr>
        <w:spacing w:before="92"/>
        <w:rPr>
          <w:rFonts w:ascii="Arial" w:hAnsi="Arial" w:cs="Arial"/>
          <w:b/>
          <w:sz w:val="28"/>
          <w:szCs w:val="28"/>
          <w:lang w:val="es-CO"/>
        </w:rPr>
      </w:pPr>
    </w:p>
    <w:p w14:paraId="0BA11716" w14:textId="77777777" w:rsidR="00561B22" w:rsidRPr="002F29A6" w:rsidRDefault="00561B22" w:rsidP="00561B22">
      <w:pPr>
        <w:jc w:val="both"/>
        <w:rPr>
          <w:rFonts w:ascii="Arial" w:hAnsi="Arial" w:cs="Arial"/>
          <w:b/>
          <w:sz w:val="28"/>
          <w:szCs w:val="28"/>
          <w:lang w:val="es-MX"/>
        </w:rPr>
      </w:pPr>
      <w:r w:rsidRPr="002F29A6">
        <w:rPr>
          <w:rFonts w:ascii="Arial" w:hAnsi="Arial" w:cs="Arial"/>
          <w:b/>
          <w:sz w:val="28"/>
          <w:szCs w:val="28"/>
          <w:lang w:val="es-MX"/>
        </w:rPr>
        <w:t xml:space="preserve">152.- ESENTTIA MASTERBATCH LTDA. </w:t>
      </w:r>
    </w:p>
    <w:p w14:paraId="3DFF53F3" w14:textId="77777777" w:rsidR="00561B22" w:rsidRPr="007B0D0F" w:rsidRDefault="00561B22" w:rsidP="00561B22">
      <w:pPr>
        <w:spacing w:before="92"/>
        <w:rPr>
          <w:rFonts w:ascii="Arial" w:hAnsi="Arial" w:cs="Arial"/>
          <w:b/>
          <w:sz w:val="28"/>
          <w:szCs w:val="28"/>
        </w:rPr>
      </w:pPr>
    </w:p>
    <w:p w14:paraId="07446A85" w14:textId="77777777" w:rsidR="00561B22" w:rsidRPr="002F29A6" w:rsidRDefault="00561B22" w:rsidP="00561B22">
      <w:pPr>
        <w:pStyle w:val="Textoindependiente"/>
        <w:ind w:right="-50"/>
        <w:jc w:val="center"/>
        <w:rPr>
          <w:rFonts w:ascii="Arial" w:hAnsi="Arial" w:cs="Arial"/>
          <w:b/>
          <w:bCs/>
        </w:rPr>
      </w:pPr>
      <w:r w:rsidRPr="002F29A6">
        <w:rPr>
          <w:rFonts w:ascii="Arial" w:hAnsi="Arial" w:cs="Arial"/>
          <w:b/>
          <w:bCs/>
        </w:rPr>
        <w:t>INFORME DE LA AUTOCALIFICACIÓN DEL SISTEMA DE CONTROL INTERNO CONTABLE:</w:t>
      </w:r>
    </w:p>
    <w:p w14:paraId="66B7309A" w14:textId="77777777" w:rsidR="00561B22" w:rsidRPr="002F29A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F29A6" w14:paraId="2402193D" w14:textId="77777777" w:rsidTr="00F1223B">
        <w:tc>
          <w:tcPr>
            <w:tcW w:w="4981" w:type="dxa"/>
          </w:tcPr>
          <w:p w14:paraId="1CD07E4E" w14:textId="77777777" w:rsidR="00561B22" w:rsidRPr="002F29A6" w:rsidRDefault="00561B22" w:rsidP="00F1223B">
            <w:pPr>
              <w:jc w:val="center"/>
              <w:rPr>
                <w:rFonts w:ascii="Arial" w:hAnsi="Arial" w:cs="Arial"/>
                <w:b/>
                <w:sz w:val="22"/>
                <w:szCs w:val="22"/>
                <w:lang w:val="es-MX"/>
              </w:rPr>
            </w:pPr>
            <w:r w:rsidRPr="002F29A6">
              <w:rPr>
                <w:rFonts w:ascii="Arial" w:hAnsi="Arial" w:cs="Arial"/>
                <w:b/>
                <w:sz w:val="22"/>
                <w:szCs w:val="22"/>
                <w:lang w:val="es-MX"/>
              </w:rPr>
              <w:t>AUTOCALIFICACIÓN</w:t>
            </w:r>
          </w:p>
        </w:tc>
        <w:tc>
          <w:tcPr>
            <w:tcW w:w="4981" w:type="dxa"/>
          </w:tcPr>
          <w:p w14:paraId="058A4191" w14:textId="77777777" w:rsidR="00561B22" w:rsidRPr="002F29A6" w:rsidRDefault="00561B22" w:rsidP="00F1223B">
            <w:pPr>
              <w:jc w:val="center"/>
              <w:rPr>
                <w:rFonts w:ascii="Arial" w:hAnsi="Arial" w:cs="Arial"/>
                <w:b/>
                <w:sz w:val="22"/>
                <w:szCs w:val="22"/>
                <w:u w:val="single"/>
                <w:lang w:val="es-MX"/>
              </w:rPr>
            </w:pPr>
            <w:r w:rsidRPr="002F29A6">
              <w:rPr>
                <w:rFonts w:ascii="Arial" w:hAnsi="Arial" w:cs="Arial"/>
                <w:b/>
                <w:sz w:val="22"/>
                <w:szCs w:val="22"/>
                <w:u w:val="single"/>
                <w:lang w:val="es-MX"/>
              </w:rPr>
              <w:t>4.92</w:t>
            </w:r>
          </w:p>
        </w:tc>
      </w:tr>
    </w:tbl>
    <w:p w14:paraId="7F8F1086" w14:textId="77777777" w:rsidR="00561B22" w:rsidRPr="002F29A6" w:rsidRDefault="00561B22" w:rsidP="00561B22">
      <w:pPr>
        <w:pStyle w:val="Textoindependiente"/>
        <w:ind w:right="-50"/>
        <w:jc w:val="both"/>
        <w:rPr>
          <w:rFonts w:ascii="Arial" w:hAnsi="Arial" w:cs="Arial"/>
          <w:b/>
          <w:bCs/>
        </w:rPr>
      </w:pPr>
    </w:p>
    <w:p w14:paraId="2E79DCF1" w14:textId="77777777" w:rsidR="00561B22" w:rsidRPr="002F29A6" w:rsidRDefault="00561B22" w:rsidP="00561B22">
      <w:pPr>
        <w:pStyle w:val="Textoindependiente"/>
        <w:ind w:right="-50"/>
        <w:jc w:val="both"/>
        <w:rPr>
          <w:rFonts w:ascii="Arial" w:hAnsi="Arial" w:cs="Arial"/>
          <w:b/>
          <w:bCs/>
        </w:rPr>
      </w:pPr>
      <w:r w:rsidRPr="002F29A6">
        <w:rPr>
          <w:rFonts w:ascii="Arial" w:hAnsi="Arial" w:cs="Arial"/>
          <w:b/>
          <w:bCs/>
        </w:rPr>
        <w:t>Del informe enviado retomamos lo siguiente:</w:t>
      </w:r>
    </w:p>
    <w:p w14:paraId="141DD18F" w14:textId="77777777" w:rsidR="00561B22" w:rsidRPr="002F29A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F29A6" w14:paraId="682FF584" w14:textId="77777777" w:rsidTr="00F1223B">
        <w:tc>
          <w:tcPr>
            <w:tcW w:w="562" w:type="dxa"/>
          </w:tcPr>
          <w:p w14:paraId="56FD23C7" w14:textId="77777777" w:rsidR="00561B22" w:rsidRPr="002F29A6" w:rsidRDefault="00561B22" w:rsidP="00F1223B">
            <w:pPr>
              <w:ind w:right="-109"/>
              <w:jc w:val="center"/>
              <w:rPr>
                <w:rFonts w:ascii="Arial" w:hAnsi="Arial" w:cs="Arial"/>
                <w:b/>
                <w:sz w:val="22"/>
                <w:szCs w:val="22"/>
                <w:lang w:val="es-MX"/>
              </w:rPr>
            </w:pPr>
            <w:r w:rsidRPr="002F29A6">
              <w:rPr>
                <w:rFonts w:ascii="Arial" w:hAnsi="Arial" w:cs="Arial"/>
                <w:b/>
                <w:sz w:val="22"/>
                <w:szCs w:val="22"/>
                <w:lang w:val="es-MX"/>
              </w:rPr>
              <w:t>N°</w:t>
            </w:r>
          </w:p>
        </w:tc>
        <w:tc>
          <w:tcPr>
            <w:tcW w:w="9400" w:type="dxa"/>
          </w:tcPr>
          <w:p w14:paraId="48527869" w14:textId="77777777" w:rsidR="00561B22" w:rsidRPr="002F29A6" w:rsidRDefault="00561B22" w:rsidP="00F1223B">
            <w:pPr>
              <w:jc w:val="center"/>
              <w:rPr>
                <w:rFonts w:ascii="Arial" w:hAnsi="Arial" w:cs="Arial"/>
                <w:b/>
                <w:sz w:val="22"/>
                <w:szCs w:val="22"/>
                <w:lang w:val="es-MX"/>
              </w:rPr>
            </w:pPr>
            <w:r w:rsidRPr="002F29A6">
              <w:rPr>
                <w:rFonts w:ascii="Arial" w:hAnsi="Arial" w:cs="Arial"/>
                <w:b/>
                <w:sz w:val="22"/>
                <w:szCs w:val="22"/>
                <w:lang w:val="es-MX"/>
              </w:rPr>
              <w:t>DEBILIDADES</w:t>
            </w:r>
          </w:p>
          <w:p w14:paraId="1EE23C4C" w14:textId="77777777" w:rsidR="00561B22" w:rsidRPr="002F29A6" w:rsidRDefault="00561B22" w:rsidP="00F1223B">
            <w:pPr>
              <w:jc w:val="center"/>
              <w:rPr>
                <w:rFonts w:ascii="Arial" w:hAnsi="Arial" w:cs="Arial"/>
                <w:b/>
                <w:sz w:val="22"/>
                <w:szCs w:val="22"/>
                <w:lang w:val="es-MX"/>
              </w:rPr>
            </w:pPr>
          </w:p>
        </w:tc>
      </w:tr>
      <w:tr w:rsidR="00561B22" w:rsidRPr="002F29A6" w14:paraId="26FCECEA" w14:textId="77777777" w:rsidTr="00F1223B">
        <w:tc>
          <w:tcPr>
            <w:tcW w:w="562" w:type="dxa"/>
          </w:tcPr>
          <w:p w14:paraId="12EAB4DA" w14:textId="77777777" w:rsidR="00561B22" w:rsidRPr="002F29A6" w:rsidRDefault="00561B22" w:rsidP="00F1223B">
            <w:pPr>
              <w:jc w:val="center"/>
              <w:rPr>
                <w:rFonts w:ascii="Arial" w:hAnsi="Arial" w:cs="Arial"/>
                <w:b/>
                <w:sz w:val="22"/>
                <w:szCs w:val="22"/>
                <w:lang w:val="es-MX"/>
              </w:rPr>
            </w:pPr>
            <w:r w:rsidRPr="002F29A6">
              <w:rPr>
                <w:rFonts w:ascii="Arial" w:hAnsi="Arial" w:cs="Arial"/>
                <w:b/>
                <w:sz w:val="22"/>
                <w:szCs w:val="22"/>
                <w:lang w:val="es-MX"/>
              </w:rPr>
              <w:t>1</w:t>
            </w:r>
          </w:p>
        </w:tc>
        <w:tc>
          <w:tcPr>
            <w:tcW w:w="9400" w:type="dxa"/>
          </w:tcPr>
          <w:p w14:paraId="5128D840" w14:textId="77777777" w:rsidR="00561B22" w:rsidRPr="002F29A6" w:rsidRDefault="00561B22" w:rsidP="00F1223B">
            <w:pPr>
              <w:jc w:val="both"/>
              <w:rPr>
                <w:rFonts w:ascii="Arial" w:hAnsi="Arial" w:cs="Arial"/>
                <w:bCs/>
                <w:sz w:val="22"/>
                <w:szCs w:val="22"/>
                <w:lang w:val="es-MX"/>
              </w:rPr>
            </w:pPr>
            <w:r w:rsidRPr="002F29A6">
              <w:rPr>
                <w:rFonts w:ascii="Arial" w:hAnsi="Arial" w:cs="Arial"/>
                <w:bCs/>
                <w:sz w:val="22"/>
                <w:szCs w:val="22"/>
                <w:lang w:val="es-MX"/>
              </w:rPr>
              <w:t>Se han identificado algunas oportunidades de mejora, en cuanto a: a) Seguimiento y gestión para la legalización o compensación de anticipos sobre los bienes o servicios recibidos por la Compañía, para lo cual se han implementado varias acciones asociadas a: (i) la conciliación de cuentas de anticipos a proveedores. (ii) Incluir los correos de los gestores de compras e interventores en EBILL para que sean notificados de los rechazos de las facturas. (iii) Ajuste de políticas y procedimientos entre otros.</w:t>
            </w:r>
            <w:r w:rsidRPr="002F29A6">
              <w:rPr>
                <w:rFonts w:ascii="Arial" w:hAnsi="Arial" w:cs="Arial"/>
                <w:sz w:val="22"/>
                <w:szCs w:val="22"/>
              </w:rPr>
              <w:t xml:space="preserve"> </w:t>
            </w:r>
            <w:r w:rsidRPr="002F29A6">
              <w:rPr>
                <w:rFonts w:ascii="Arial" w:hAnsi="Arial" w:cs="Arial"/>
                <w:bCs/>
                <w:sz w:val="22"/>
                <w:szCs w:val="22"/>
                <w:lang w:val="es-MX"/>
              </w:rPr>
              <w:t>b) Distribución de costos fijos (Registro de ineficiencia).</w:t>
            </w:r>
          </w:p>
        </w:tc>
      </w:tr>
      <w:tr w:rsidR="00561B22" w:rsidRPr="002F29A6" w14:paraId="0960BB65" w14:textId="77777777" w:rsidTr="00F1223B">
        <w:tc>
          <w:tcPr>
            <w:tcW w:w="562" w:type="dxa"/>
          </w:tcPr>
          <w:p w14:paraId="5019826E" w14:textId="77777777" w:rsidR="00561B22" w:rsidRPr="002F29A6" w:rsidRDefault="00561B22" w:rsidP="00F1223B">
            <w:pPr>
              <w:jc w:val="center"/>
              <w:rPr>
                <w:rFonts w:ascii="Arial" w:hAnsi="Arial" w:cs="Arial"/>
                <w:b/>
                <w:sz w:val="22"/>
                <w:szCs w:val="22"/>
                <w:lang w:val="es-MX"/>
              </w:rPr>
            </w:pPr>
            <w:r w:rsidRPr="002F29A6">
              <w:rPr>
                <w:rFonts w:ascii="Arial" w:hAnsi="Arial" w:cs="Arial"/>
                <w:b/>
                <w:sz w:val="22"/>
                <w:szCs w:val="22"/>
                <w:lang w:val="es-MX"/>
              </w:rPr>
              <w:t>2</w:t>
            </w:r>
          </w:p>
        </w:tc>
        <w:tc>
          <w:tcPr>
            <w:tcW w:w="9400" w:type="dxa"/>
          </w:tcPr>
          <w:p w14:paraId="7DADA35A" w14:textId="77777777" w:rsidR="00561B22" w:rsidRPr="002F29A6" w:rsidRDefault="00561B22" w:rsidP="00F1223B">
            <w:pPr>
              <w:jc w:val="both"/>
              <w:rPr>
                <w:rFonts w:ascii="Arial" w:hAnsi="Arial" w:cs="Arial"/>
                <w:bCs/>
                <w:sz w:val="22"/>
                <w:szCs w:val="22"/>
                <w:lang w:val="es-MX"/>
              </w:rPr>
            </w:pPr>
            <w:r w:rsidRPr="002F29A6">
              <w:rPr>
                <w:rFonts w:ascii="Arial" w:hAnsi="Arial" w:cs="Arial"/>
                <w:bCs/>
                <w:sz w:val="22"/>
                <w:szCs w:val="22"/>
                <w:lang w:val="es-MX"/>
              </w:rPr>
              <w:t>Ajustes de inventarios de productos terminados por determinación de Valor Neto de Realización (VNR), modelo de gobierno asociada a la gestión del costeo del producto, en donde se están implementando los siguientes planes de acción: i) Actualización de manuales, instructivos y procedimientos del proceso de costos acorde con la estructura vigente del área, así como las matrices de riesgos y controles. ii) Revisar de manera conjunta con la gerencia de TI la posibilidad de automatización en SAP de los cálculos para la determinación del VNR. iii) Revisar de manera conjunta con la gerencia de TI la posibilidad de automatización en SAP la determinación del gasto por ineficiencia en las plantas.</w:t>
            </w:r>
          </w:p>
        </w:tc>
      </w:tr>
    </w:tbl>
    <w:p w14:paraId="5F01C35E" w14:textId="77777777" w:rsidR="00561B22" w:rsidRPr="002F29A6" w:rsidRDefault="00561B22" w:rsidP="00561B22">
      <w:pPr>
        <w:pStyle w:val="Textoindependiente"/>
        <w:ind w:right="-50"/>
        <w:jc w:val="both"/>
        <w:rPr>
          <w:rFonts w:ascii="Arial" w:hAnsi="Arial" w:cs="Arial"/>
          <w:b/>
          <w:bCs/>
        </w:rPr>
      </w:pPr>
    </w:p>
    <w:p w14:paraId="61B0D765" w14:textId="77777777" w:rsidR="00561B22" w:rsidRPr="002F29A6" w:rsidRDefault="00561B22" w:rsidP="00561B22">
      <w:pPr>
        <w:jc w:val="both"/>
        <w:rPr>
          <w:rFonts w:ascii="Arial" w:hAnsi="Arial" w:cs="Arial"/>
          <w:b/>
          <w:lang w:val="es-MX"/>
        </w:rPr>
      </w:pPr>
      <w:r w:rsidRPr="002F29A6">
        <w:rPr>
          <w:rFonts w:ascii="Arial" w:hAnsi="Arial" w:cs="Arial"/>
          <w:b/>
          <w:lang w:val="es-MX"/>
        </w:rPr>
        <w:t>Del citado informe retomamos las siguientes recomendaciones:</w:t>
      </w:r>
    </w:p>
    <w:p w14:paraId="58442D42" w14:textId="77777777" w:rsidR="00561B22" w:rsidRPr="002F29A6"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2F29A6" w14:paraId="0C9735BE" w14:textId="77777777" w:rsidTr="00F1223B">
        <w:tc>
          <w:tcPr>
            <w:tcW w:w="562" w:type="dxa"/>
          </w:tcPr>
          <w:p w14:paraId="4A892893" w14:textId="77777777" w:rsidR="00561B22" w:rsidRPr="002F29A6" w:rsidRDefault="00561B22" w:rsidP="00F1223B">
            <w:pPr>
              <w:ind w:right="-109"/>
              <w:jc w:val="center"/>
              <w:rPr>
                <w:rFonts w:ascii="Arial" w:hAnsi="Arial" w:cs="Arial"/>
                <w:b/>
                <w:sz w:val="22"/>
                <w:szCs w:val="22"/>
                <w:lang w:val="es-MX"/>
              </w:rPr>
            </w:pPr>
            <w:r w:rsidRPr="002F29A6">
              <w:rPr>
                <w:rFonts w:ascii="Arial" w:hAnsi="Arial" w:cs="Arial"/>
                <w:b/>
                <w:sz w:val="22"/>
                <w:szCs w:val="22"/>
                <w:lang w:val="es-MX"/>
              </w:rPr>
              <w:t>N°</w:t>
            </w:r>
          </w:p>
        </w:tc>
        <w:tc>
          <w:tcPr>
            <w:tcW w:w="9400" w:type="dxa"/>
          </w:tcPr>
          <w:p w14:paraId="0AE662F3" w14:textId="77777777" w:rsidR="00561B22" w:rsidRPr="002F29A6" w:rsidRDefault="00561B22" w:rsidP="00F1223B">
            <w:pPr>
              <w:jc w:val="center"/>
              <w:rPr>
                <w:rFonts w:ascii="Arial" w:hAnsi="Arial" w:cs="Arial"/>
                <w:b/>
                <w:sz w:val="22"/>
                <w:szCs w:val="22"/>
                <w:lang w:val="es-MX"/>
              </w:rPr>
            </w:pPr>
            <w:r w:rsidRPr="002F29A6">
              <w:rPr>
                <w:rFonts w:ascii="Arial" w:hAnsi="Arial" w:cs="Arial"/>
                <w:b/>
                <w:sz w:val="22"/>
                <w:szCs w:val="22"/>
                <w:lang w:val="es-MX"/>
              </w:rPr>
              <w:t>RECOMENDACIONES</w:t>
            </w:r>
          </w:p>
          <w:p w14:paraId="436ECC0F" w14:textId="77777777" w:rsidR="00561B22" w:rsidRPr="002F29A6" w:rsidRDefault="00561B22" w:rsidP="00F1223B">
            <w:pPr>
              <w:jc w:val="center"/>
              <w:rPr>
                <w:rFonts w:ascii="Arial" w:hAnsi="Arial" w:cs="Arial"/>
                <w:b/>
                <w:sz w:val="22"/>
                <w:szCs w:val="22"/>
                <w:lang w:val="es-MX"/>
              </w:rPr>
            </w:pPr>
          </w:p>
        </w:tc>
      </w:tr>
      <w:tr w:rsidR="00561B22" w:rsidRPr="002F29A6" w14:paraId="2E8AF743" w14:textId="77777777" w:rsidTr="00F1223B">
        <w:tc>
          <w:tcPr>
            <w:tcW w:w="562" w:type="dxa"/>
          </w:tcPr>
          <w:p w14:paraId="1FF568C8" w14:textId="77777777" w:rsidR="00561B22" w:rsidRPr="002F29A6" w:rsidRDefault="00561B22" w:rsidP="00F1223B">
            <w:pPr>
              <w:jc w:val="center"/>
              <w:rPr>
                <w:rFonts w:ascii="Arial" w:hAnsi="Arial" w:cs="Arial"/>
                <w:b/>
                <w:sz w:val="22"/>
                <w:szCs w:val="22"/>
                <w:lang w:val="es-MX"/>
              </w:rPr>
            </w:pPr>
            <w:r w:rsidRPr="002F29A6">
              <w:rPr>
                <w:rFonts w:ascii="Arial" w:hAnsi="Arial" w:cs="Arial"/>
                <w:b/>
                <w:sz w:val="22"/>
                <w:szCs w:val="22"/>
                <w:lang w:val="es-MX"/>
              </w:rPr>
              <w:t>1</w:t>
            </w:r>
          </w:p>
        </w:tc>
        <w:tc>
          <w:tcPr>
            <w:tcW w:w="9400" w:type="dxa"/>
          </w:tcPr>
          <w:p w14:paraId="24C18152" w14:textId="77777777" w:rsidR="00561B22" w:rsidRPr="002F29A6" w:rsidRDefault="00561B22" w:rsidP="00F1223B">
            <w:pPr>
              <w:jc w:val="both"/>
              <w:rPr>
                <w:rFonts w:ascii="Arial" w:hAnsi="Arial" w:cs="Arial"/>
                <w:bCs/>
                <w:sz w:val="22"/>
                <w:szCs w:val="22"/>
                <w:lang w:val="es-MX"/>
              </w:rPr>
            </w:pPr>
            <w:r w:rsidRPr="002F29A6">
              <w:rPr>
                <w:rFonts w:ascii="Arial" w:hAnsi="Arial" w:cs="Arial"/>
                <w:bCs/>
                <w:sz w:val="22"/>
                <w:szCs w:val="22"/>
                <w:lang w:val="es-MX"/>
              </w:rPr>
              <w:t>Continuar con la ejecución de los planes de acción definidos para las oportunidades de mejora identificadas.</w:t>
            </w:r>
          </w:p>
        </w:tc>
      </w:tr>
    </w:tbl>
    <w:p w14:paraId="243CA254" w14:textId="77777777" w:rsidR="00561B22" w:rsidRPr="002F29A6" w:rsidRDefault="00561B22" w:rsidP="00561B22">
      <w:pPr>
        <w:pStyle w:val="Textoindependiente"/>
        <w:ind w:right="-50"/>
        <w:jc w:val="both"/>
        <w:rPr>
          <w:rFonts w:ascii="Arial" w:hAnsi="Arial" w:cs="Arial"/>
          <w:b/>
          <w:bCs/>
          <w:sz w:val="28"/>
          <w:szCs w:val="28"/>
        </w:rPr>
      </w:pPr>
    </w:p>
    <w:p w14:paraId="452C33F3" w14:textId="77777777" w:rsidR="00561B22" w:rsidRDefault="00561B22" w:rsidP="00561B22">
      <w:pPr>
        <w:jc w:val="both"/>
        <w:rPr>
          <w:rFonts w:ascii="Arial" w:hAnsi="Arial" w:cs="Arial"/>
          <w:b/>
          <w:bCs/>
          <w:sz w:val="24"/>
          <w:szCs w:val="24"/>
          <w:lang w:val="es-CO"/>
        </w:rPr>
      </w:pPr>
      <w:r w:rsidRPr="002F29A6">
        <w:rPr>
          <w:rFonts w:ascii="Arial" w:hAnsi="Arial" w:cs="Arial"/>
          <w:b/>
          <w:bCs/>
          <w:sz w:val="24"/>
          <w:szCs w:val="24"/>
          <w:lang w:val="es-CO"/>
        </w:rPr>
        <w:t xml:space="preserve">NOTA: LA ENTIDAD ENVÍA LA MATRIZ DE AUTOEVALUACIÓN DEL SISTEMA DE CONTROL INTERNO CONTABLE CON </w:t>
      </w:r>
      <w:r w:rsidRPr="002F29A6">
        <w:rPr>
          <w:rFonts w:ascii="Arial" w:hAnsi="Arial" w:cs="Arial"/>
          <w:b/>
          <w:bCs/>
          <w:sz w:val="24"/>
          <w:szCs w:val="24"/>
          <w:u w:val="single"/>
          <w:lang w:val="es-CO"/>
        </w:rPr>
        <w:t>ACTIVIDADES DE CONTROL REALIZADAS EN FORMA PARCIAL</w:t>
      </w:r>
      <w:r w:rsidRPr="002F29A6">
        <w:rPr>
          <w:rFonts w:ascii="Arial" w:hAnsi="Arial" w:cs="Arial"/>
          <w:b/>
          <w:bCs/>
          <w:sz w:val="24"/>
          <w:szCs w:val="24"/>
          <w:lang w:val="es-CO"/>
        </w:rPr>
        <w:t>.</w:t>
      </w:r>
    </w:p>
    <w:p w14:paraId="4BD1DD66" w14:textId="77777777" w:rsidR="00561B22" w:rsidRDefault="00561B22" w:rsidP="00561B22">
      <w:pPr>
        <w:jc w:val="both"/>
        <w:rPr>
          <w:rFonts w:ascii="Arial" w:hAnsi="Arial" w:cs="Arial"/>
          <w:b/>
          <w:bCs/>
          <w:sz w:val="24"/>
          <w:szCs w:val="24"/>
          <w:lang w:val="es-CO"/>
        </w:rPr>
      </w:pPr>
    </w:p>
    <w:p w14:paraId="4D277004" w14:textId="77777777" w:rsidR="00561B22" w:rsidRPr="003D5DEB" w:rsidRDefault="00561B22" w:rsidP="00561B22">
      <w:pPr>
        <w:jc w:val="both"/>
        <w:rPr>
          <w:rFonts w:ascii="Arial" w:hAnsi="Arial" w:cs="Arial"/>
          <w:b/>
          <w:sz w:val="32"/>
          <w:szCs w:val="32"/>
        </w:rPr>
      </w:pPr>
      <w:r w:rsidRPr="003D5DEB">
        <w:rPr>
          <w:rFonts w:ascii="Arial" w:hAnsi="Arial" w:cs="Arial"/>
          <w:b/>
          <w:sz w:val="28"/>
          <w:szCs w:val="28"/>
          <w:lang w:val="es-MX"/>
        </w:rPr>
        <w:t xml:space="preserve">153.- </w:t>
      </w:r>
      <w:r w:rsidRPr="003D5DEB">
        <w:rPr>
          <w:rFonts w:ascii="Arial" w:hAnsi="Arial" w:cs="Arial"/>
          <w:b/>
          <w:sz w:val="28"/>
          <w:szCs w:val="28"/>
        </w:rPr>
        <w:t>INSTITUTO COLOMBIANO PARA LA EVALUACIÓN DE LA EDUCACIÓN - ICFES.</w:t>
      </w:r>
    </w:p>
    <w:p w14:paraId="7D011ABF" w14:textId="77777777" w:rsidR="00561B22" w:rsidRPr="003D5DEB" w:rsidRDefault="00561B22" w:rsidP="00561B22">
      <w:pPr>
        <w:ind w:right="1900"/>
        <w:rPr>
          <w:rFonts w:ascii="Arial" w:hAnsi="Arial" w:cs="Arial"/>
          <w:b/>
          <w:color w:val="FF0000"/>
          <w:sz w:val="24"/>
        </w:rPr>
      </w:pPr>
    </w:p>
    <w:p w14:paraId="2E6C14AA" w14:textId="77777777" w:rsidR="00561B22" w:rsidRPr="003D5DEB" w:rsidRDefault="00561B22" w:rsidP="00561B22">
      <w:pPr>
        <w:pStyle w:val="Textoindependiente"/>
        <w:ind w:right="-50"/>
        <w:jc w:val="center"/>
        <w:rPr>
          <w:rFonts w:ascii="Arial" w:hAnsi="Arial" w:cs="Arial"/>
          <w:b/>
          <w:bCs/>
        </w:rPr>
      </w:pPr>
      <w:r w:rsidRPr="003D5DEB">
        <w:rPr>
          <w:rFonts w:ascii="Arial" w:hAnsi="Arial" w:cs="Arial"/>
          <w:b/>
          <w:bCs/>
        </w:rPr>
        <w:t>INFORME DE LA AUTOCALIFICACIÓN DEL SISTEMA DE CONTROL INTERNO CONTABLE:</w:t>
      </w:r>
    </w:p>
    <w:p w14:paraId="03617A3B" w14:textId="77777777" w:rsidR="00561B22" w:rsidRPr="003D5DE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D5DEB" w14:paraId="37C4EA1B" w14:textId="77777777" w:rsidTr="00F1223B">
        <w:tc>
          <w:tcPr>
            <w:tcW w:w="4981" w:type="dxa"/>
          </w:tcPr>
          <w:p w14:paraId="4D9ACCF3"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AUTOCALIFICACIÓN</w:t>
            </w:r>
          </w:p>
        </w:tc>
        <w:tc>
          <w:tcPr>
            <w:tcW w:w="4981" w:type="dxa"/>
          </w:tcPr>
          <w:p w14:paraId="46B563DD" w14:textId="77777777" w:rsidR="00561B22" w:rsidRPr="003D5DEB" w:rsidRDefault="00561B22" w:rsidP="00F1223B">
            <w:pPr>
              <w:jc w:val="center"/>
              <w:rPr>
                <w:rFonts w:ascii="Arial" w:hAnsi="Arial" w:cs="Arial"/>
                <w:b/>
                <w:sz w:val="22"/>
                <w:szCs w:val="22"/>
                <w:u w:val="single"/>
                <w:lang w:val="es-MX"/>
              </w:rPr>
            </w:pPr>
            <w:r w:rsidRPr="003D5DEB">
              <w:rPr>
                <w:rFonts w:ascii="Arial" w:hAnsi="Arial" w:cs="Arial"/>
                <w:b/>
                <w:sz w:val="22"/>
                <w:szCs w:val="22"/>
                <w:u w:val="single"/>
                <w:lang w:val="es-MX"/>
              </w:rPr>
              <w:t>4.83</w:t>
            </w:r>
          </w:p>
        </w:tc>
      </w:tr>
    </w:tbl>
    <w:p w14:paraId="1855D8F7" w14:textId="77777777" w:rsidR="00561B22" w:rsidRPr="003D5DEB" w:rsidRDefault="00561B22" w:rsidP="00561B22">
      <w:pPr>
        <w:pStyle w:val="Textoindependiente"/>
        <w:ind w:right="-50"/>
        <w:jc w:val="both"/>
        <w:rPr>
          <w:rFonts w:ascii="Arial" w:hAnsi="Arial" w:cs="Arial"/>
          <w:b/>
          <w:bCs/>
        </w:rPr>
      </w:pPr>
    </w:p>
    <w:p w14:paraId="30713653" w14:textId="77777777" w:rsidR="00561B22" w:rsidRPr="003D5DEB" w:rsidRDefault="00561B22" w:rsidP="00561B22">
      <w:pPr>
        <w:pStyle w:val="Textoindependiente"/>
        <w:ind w:right="-50"/>
        <w:jc w:val="both"/>
        <w:rPr>
          <w:rFonts w:ascii="Arial" w:hAnsi="Arial" w:cs="Arial"/>
          <w:b/>
          <w:bCs/>
        </w:rPr>
      </w:pPr>
      <w:r w:rsidRPr="003D5DEB">
        <w:rPr>
          <w:rFonts w:ascii="Arial" w:hAnsi="Arial" w:cs="Arial"/>
          <w:b/>
          <w:bCs/>
        </w:rPr>
        <w:t>Del informe enviado retomamos lo siguiente:</w:t>
      </w:r>
    </w:p>
    <w:p w14:paraId="023DE9A5" w14:textId="77777777" w:rsidR="00561B22" w:rsidRPr="003D5DE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D5DEB" w14:paraId="413AE17B" w14:textId="77777777" w:rsidTr="00F1223B">
        <w:tc>
          <w:tcPr>
            <w:tcW w:w="562" w:type="dxa"/>
          </w:tcPr>
          <w:p w14:paraId="1C390A1A" w14:textId="77777777" w:rsidR="00561B22" w:rsidRPr="003D5DEB" w:rsidRDefault="00561B22" w:rsidP="00F1223B">
            <w:pPr>
              <w:ind w:right="-109"/>
              <w:jc w:val="center"/>
              <w:rPr>
                <w:rFonts w:ascii="Arial" w:hAnsi="Arial" w:cs="Arial"/>
                <w:b/>
                <w:sz w:val="22"/>
                <w:szCs w:val="22"/>
                <w:lang w:val="es-MX"/>
              </w:rPr>
            </w:pPr>
            <w:r w:rsidRPr="003D5DEB">
              <w:rPr>
                <w:rFonts w:ascii="Arial" w:hAnsi="Arial" w:cs="Arial"/>
                <w:b/>
                <w:sz w:val="22"/>
                <w:szCs w:val="22"/>
                <w:lang w:val="es-MX"/>
              </w:rPr>
              <w:t>N°</w:t>
            </w:r>
          </w:p>
        </w:tc>
        <w:tc>
          <w:tcPr>
            <w:tcW w:w="9400" w:type="dxa"/>
          </w:tcPr>
          <w:p w14:paraId="258A2F07" w14:textId="501E2591" w:rsidR="00561B22" w:rsidRPr="003D5DEB" w:rsidRDefault="00561B22" w:rsidP="00BD6EEF">
            <w:pPr>
              <w:jc w:val="center"/>
              <w:rPr>
                <w:rFonts w:ascii="Arial" w:hAnsi="Arial" w:cs="Arial"/>
                <w:b/>
                <w:sz w:val="22"/>
                <w:szCs w:val="22"/>
                <w:lang w:val="es-MX"/>
              </w:rPr>
            </w:pPr>
            <w:r w:rsidRPr="003D5DEB">
              <w:rPr>
                <w:rFonts w:ascii="Arial" w:hAnsi="Arial" w:cs="Arial"/>
                <w:b/>
                <w:sz w:val="22"/>
                <w:szCs w:val="22"/>
                <w:lang w:val="es-MX"/>
              </w:rPr>
              <w:t>DEBILIDADES</w:t>
            </w:r>
          </w:p>
        </w:tc>
      </w:tr>
      <w:tr w:rsidR="00561B22" w:rsidRPr="003D5DEB" w14:paraId="36D6B9D5" w14:textId="77777777" w:rsidTr="00F1223B">
        <w:tc>
          <w:tcPr>
            <w:tcW w:w="562" w:type="dxa"/>
          </w:tcPr>
          <w:p w14:paraId="0AE8FF88"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lastRenderedPageBreak/>
              <w:t>1</w:t>
            </w:r>
          </w:p>
        </w:tc>
        <w:tc>
          <w:tcPr>
            <w:tcW w:w="9400" w:type="dxa"/>
          </w:tcPr>
          <w:p w14:paraId="279FC1B3"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Si bien es cierto que se presentó un informe de inventarios suscrito por el técnico administrativo de la Sa y SG, es de anotar que, en auditoría efectuada por la OCI en el 2024, se observaron varias NC relacionadas con los bienes físicos: Bienes muebles no identificados por el proceso, ni incluido en el sistema de inventarios y bienes identificados sin placa, sobreestimación en el saldo de los bienes muebles de la entidad.</w:t>
            </w:r>
          </w:p>
        </w:tc>
      </w:tr>
      <w:tr w:rsidR="00561B22" w:rsidRPr="003D5DEB" w14:paraId="3E43918B" w14:textId="77777777" w:rsidTr="00F1223B">
        <w:tc>
          <w:tcPr>
            <w:tcW w:w="562" w:type="dxa"/>
          </w:tcPr>
          <w:p w14:paraId="66A3F6FE"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2</w:t>
            </w:r>
          </w:p>
        </w:tc>
        <w:tc>
          <w:tcPr>
            <w:tcW w:w="9400" w:type="dxa"/>
          </w:tcPr>
          <w:p w14:paraId="3B476D94"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En la revisión efectuada al balance de prueba por terceros 2024, se identificaron cuentas con movimiento con tercero SIN NIT o con NIT genérico y con movimiento como se describe en el numeral: 1.1.34.10.3.1 de este informe.</w:t>
            </w:r>
          </w:p>
        </w:tc>
      </w:tr>
      <w:tr w:rsidR="00561B22" w:rsidRPr="003D5DEB" w14:paraId="6FCE7DDE" w14:textId="77777777" w:rsidTr="00F1223B">
        <w:tc>
          <w:tcPr>
            <w:tcW w:w="562" w:type="dxa"/>
          </w:tcPr>
          <w:p w14:paraId="413365FA"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3</w:t>
            </w:r>
          </w:p>
        </w:tc>
        <w:tc>
          <w:tcPr>
            <w:tcW w:w="9400" w:type="dxa"/>
          </w:tcPr>
          <w:p w14:paraId="6BDBF18C"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Se encuentra de forma globalizada el saldo pendiente por consumir de las Resoluciones 237 de 2001 en la cta. 240790001. En el aplicativo Prisma, el saldo se encuentra individualizado, la SI remitía los datos de consumo, los cuales eran cotejados con la información previamente suministrada, desafortunadamente se dejó de contar con el profesional de la SI que realizaba la depuración y remisión de la base de datos para identificar los saldos en reserva a favor de terceros. Se evidenció que el soporte suministrado por la SAySG sobre los activos intangibles no corresponde con los saldos del balance.</w:t>
            </w:r>
          </w:p>
        </w:tc>
      </w:tr>
      <w:tr w:rsidR="00561B22" w:rsidRPr="003D5DEB" w14:paraId="72711218" w14:textId="77777777" w:rsidTr="00F1223B">
        <w:tc>
          <w:tcPr>
            <w:tcW w:w="562" w:type="dxa"/>
          </w:tcPr>
          <w:p w14:paraId="5FBFB125"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4</w:t>
            </w:r>
          </w:p>
        </w:tc>
        <w:tc>
          <w:tcPr>
            <w:tcW w:w="9400" w:type="dxa"/>
          </w:tcPr>
          <w:p w14:paraId="57FBD040"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Se reitera la NC 2, correspondiente a la Auditoría de Gestión Financiera 2023 la cual se estableció en los siguientes términos: Se evidencia que no se ha llevado a cabo la actividad de gestión de bajas de activos para las vigencias 2022 y 2023. Para el 2024 en Auditoría a la Gestión de Abastec, ésta se refirió en la NC2: No se ha ejecutado el plan de bajas de inventarios.</w:t>
            </w:r>
          </w:p>
        </w:tc>
      </w:tr>
      <w:tr w:rsidR="00561B22" w:rsidRPr="003D5DEB" w14:paraId="41DF3706" w14:textId="77777777" w:rsidTr="00F1223B">
        <w:tc>
          <w:tcPr>
            <w:tcW w:w="562" w:type="dxa"/>
          </w:tcPr>
          <w:p w14:paraId="76D023AB"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5</w:t>
            </w:r>
          </w:p>
        </w:tc>
        <w:tc>
          <w:tcPr>
            <w:tcW w:w="9400" w:type="dxa"/>
          </w:tcPr>
          <w:p w14:paraId="29F54831"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De acuerdo con la Auditoría al Proceso de GAySG 2024 se tuvo la NC NO. 4: Deprec inadecuada: Se observa 11 activos registrados en servicio entre los años 2015 al 2017 con depreciación programada para un mes y a fecha de auditoría tienen Vr. Neto en libros $3.199.841,00 cuando debería estar en ceros. Sobreestimando la información financiera y contable.</w:t>
            </w:r>
          </w:p>
        </w:tc>
      </w:tr>
    </w:tbl>
    <w:p w14:paraId="2B4EB600" w14:textId="77777777" w:rsidR="00561B22" w:rsidRPr="003D5DEB" w:rsidRDefault="00561B22" w:rsidP="00561B22">
      <w:pPr>
        <w:pStyle w:val="Textoindependiente"/>
        <w:ind w:right="-50"/>
        <w:jc w:val="both"/>
        <w:rPr>
          <w:rFonts w:ascii="Arial" w:hAnsi="Arial" w:cs="Arial"/>
          <w:b/>
          <w:bCs/>
        </w:rPr>
      </w:pPr>
    </w:p>
    <w:p w14:paraId="05A8E928" w14:textId="77777777" w:rsidR="00561B22" w:rsidRPr="003D5DEB" w:rsidRDefault="00561B22" w:rsidP="00561B22">
      <w:pPr>
        <w:jc w:val="both"/>
        <w:rPr>
          <w:rFonts w:ascii="Arial" w:hAnsi="Arial" w:cs="Arial"/>
          <w:b/>
          <w:lang w:val="es-MX"/>
        </w:rPr>
      </w:pPr>
      <w:r w:rsidRPr="003D5DEB">
        <w:rPr>
          <w:rFonts w:ascii="Arial" w:hAnsi="Arial" w:cs="Arial"/>
          <w:b/>
          <w:lang w:val="es-MX"/>
        </w:rPr>
        <w:t>Del citado informe retomamos las siguientes recomendaciones:</w:t>
      </w:r>
    </w:p>
    <w:p w14:paraId="3C055E20" w14:textId="77777777" w:rsidR="00561B22" w:rsidRPr="003D5DEB"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3D5DEB" w14:paraId="4DA21162" w14:textId="77777777" w:rsidTr="00F1223B">
        <w:tc>
          <w:tcPr>
            <w:tcW w:w="562" w:type="dxa"/>
          </w:tcPr>
          <w:p w14:paraId="34F8CD1D" w14:textId="77777777" w:rsidR="00561B22" w:rsidRPr="003D5DEB" w:rsidRDefault="00561B22" w:rsidP="00F1223B">
            <w:pPr>
              <w:ind w:right="-109"/>
              <w:jc w:val="center"/>
              <w:rPr>
                <w:rFonts w:ascii="Arial" w:hAnsi="Arial" w:cs="Arial"/>
                <w:b/>
                <w:sz w:val="22"/>
                <w:szCs w:val="22"/>
                <w:lang w:val="es-MX"/>
              </w:rPr>
            </w:pPr>
            <w:r w:rsidRPr="003D5DEB">
              <w:rPr>
                <w:rFonts w:ascii="Arial" w:hAnsi="Arial" w:cs="Arial"/>
                <w:b/>
                <w:sz w:val="22"/>
                <w:szCs w:val="22"/>
                <w:lang w:val="es-MX"/>
              </w:rPr>
              <w:t>N°</w:t>
            </w:r>
          </w:p>
        </w:tc>
        <w:tc>
          <w:tcPr>
            <w:tcW w:w="9400" w:type="dxa"/>
          </w:tcPr>
          <w:p w14:paraId="47E1A30F"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RECOMENDACIONES</w:t>
            </w:r>
          </w:p>
          <w:p w14:paraId="363941E7" w14:textId="77777777" w:rsidR="00561B22" w:rsidRPr="003D5DEB" w:rsidRDefault="00561B22" w:rsidP="00F1223B">
            <w:pPr>
              <w:jc w:val="center"/>
              <w:rPr>
                <w:rFonts w:ascii="Arial" w:hAnsi="Arial" w:cs="Arial"/>
                <w:b/>
                <w:sz w:val="22"/>
                <w:szCs w:val="22"/>
                <w:lang w:val="es-MX"/>
              </w:rPr>
            </w:pPr>
          </w:p>
        </w:tc>
      </w:tr>
      <w:tr w:rsidR="00561B22" w:rsidRPr="003D5DEB" w14:paraId="1A0B1A44" w14:textId="77777777" w:rsidTr="00F1223B">
        <w:tc>
          <w:tcPr>
            <w:tcW w:w="562" w:type="dxa"/>
          </w:tcPr>
          <w:p w14:paraId="5D81CDF7"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1</w:t>
            </w:r>
          </w:p>
        </w:tc>
        <w:tc>
          <w:tcPr>
            <w:tcW w:w="9400" w:type="dxa"/>
          </w:tcPr>
          <w:p w14:paraId="57C7761D"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Gestionar las NC del informe de Auditoría de Gestión de Abast. 2024, implementando las siguientes acciones: Registrar y etiquetar correctamente los bienes muebles. Ajustar la valorización d ellos bienes para evitar sobreevaluaciones. Monitorear continuamente la precisión de los registros. Ajustar la depreciación de los activos registrados entre 2015 y 2017, corrigiendo el valor neto en libros de los 11 activos mencionados. Revisar y actualizar los procesos de cálculo de depreciación para evitar las sobreestimaciones futuras, asegurando que los activos se den de baja adecuadamente una vez cumplido su ciclo de vida útil.</w:t>
            </w:r>
          </w:p>
        </w:tc>
      </w:tr>
      <w:tr w:rsidR="00561B22" w:rsidRPr="003D5DEB" w14:paraId="2FA8E83E" w14:textId="77777777" w:rsidTr="00F1223B">
        <w:tc>
          <w:tcPr>
            <w:tcW w:w="562" w:type="dxa"/>
          </w:tcPr>
          <w:p w14:paraId="36FB737A"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2</w:t>
            </w:r>
          </w:p>
        </w:tc>
        <w:tc>
          <w:tcPr>
            <w:tcW w:w="9400" w:type="dxa"/>
          </w:tcPr>
          <w:p w14:paraId="6789E1D0"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Corregir las irregularidades identificadas en el balance de prueba de 2024 relacionadas en el numeral 1.1.34.10.3.1 de este informe.</w:t>
            </w:r>
          </w:p>
        </w:tc>
      </w:tr>
      <w:tr w:rsidR="00561B22" w:rsidRPr="003D5DEB" w14:paraId="2CC8B629" w14:textId="77777777" w:rsidTr="00F1223B">
        <w:tc>
          <w:tcPr>
            <w:tcW w:w="562" w:type="dxa"/>
          </w:tcPr>
          <w:p w14:paraId="7DE259C7"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3</w:t>
            </w:r>
          </w:p>
        </w:tc>
        <w:tc>
          <w:tcPr>
            <w:tcW w:w="9400" w:type="dxa"/>
          </w:tcPr>
          <w:p w14:paraId="6F9B1D87"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Para resolver la situación relacionada con el saldo pendiente de consumir de la Resolución 237 de 2021 en la cuenta 240790001 y asegurar la correcta gestión de los recursos a favor de terceros, se recomienda designar un nuevo profesional o equipo en la Subdirección de Información (SI) para retomar las funciones de depuración y remisión de la base de datos.</w:t>
            </w:r>
          </w:p>
        </w:tc>
      </w:tr>
      <w:tr w:rsidR="00561B22" w:rsidRPr="003D5DEB" w14:paraId="4592CC9A" w14:textId="77777777" w:rsidTr="00F1223B">
        <w:tc>
          <w:tcPr>
            <w:tcW w:w="562" w:type="dxa"/>
          </w:tcPr>
          <w:p w14:paraId="2B010EF3"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4</w:t>
            </w:r>
          </w:p>
        </w:tc>
        <w:tc>
          <w:tcPr>
            <w:tcW w:w="9400" w:type="dxa"/>
          </w:tcPr>
          <w:p w14:paraId="62A741C3"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Se recomienda realizar una revisión exhaustiva de los activos intangibles, comparando los saldos reportados por la SAySG con los contenidos en el balance de prueba. Es necesario ajustar las diferencias encontradas, asegurando que ambas fuentes de información coincidan.</w:t>
            </w:r>
          </w:p>
        </w:tc>
      </w:tr>
      <w:tr w:rsidR="00561B22" w:rsidRPr="003D5DEB" w14:paraId="38C58844" w14:textId="77777777" w:rsidTr="00F1223B">
        <w:tc>
          <w:tcPr>
            <w:tcW w:w="562" w:type="dxa"/>
          </w:tcPr>
          <w:p w14:paraId="2BC005F7"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5</w:t>
            </w:r>
          </w:p>
        </w:tc>
        <w:tc>
          <w:tcPr>
            <w:tcW w:w="9400" w:type="dxa"/>
          </w:tcPr>
          <w:p w14:paraId="00B19C4B"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Es urgente ejecutar la baja de activos e inventarios pendiente desde 2022, para cumplir con los procedimientos establecidos y regularizar los saldos de los inventarios.</w:t>
            </w:r>
          </w:p>
        </w:tc>
      </w:tr>
      <w:tr w:rsidR="00561B22" w:rsidRPr="003D5DEB" w14:paraId="2A4B1813" w14:textId="77777777" w:rsidTr="00F1223B">
        <w:tc>
          <w:tcPr>
            <w:tcW w:w="562" w:type="dxa"/>
          </w:tcPr>
          <w:p w14:paraId="0D097A30" w14:textId="77777777" w:rsidR="00561B22" w:rsidRPr="003D5DEB" w:rsidRDefault="00561B22" w:rsidP="00F1223B">
            <w:pPr>
              <w:jc w:val="center"/>
              <w:rPr>
                <w:rFonts w:ascii="Arial" w:hAnsi="Arial" w:cs="Arial"/>
                <w:b/>
                <w:sz w:val="22"/>
                <w:szCs w:val="22"/>
                <w:lang w:val="es-MX"/>
              </w:rPr>
            </w:pPr>
            <w:r w:rsidRPr="003D5DEB">
              <w:rPr>
                <w:rFonts w:ascii="Arial" w:hAnsi="Arial" w:cs="Arial"/>
                <w:b/>
                <w:sz w:val="22"/>
                <w:szCs w:val="22"/>
                <w:lang w:val="es-MX"/>
              </w:rPr>
              <w:t>6</w:t>
            </w:r>
          </w:p>
        </w:tc>
        <w:tc>
          <w:tcPr>
            <w:tcW w:w="9400" w:type="dxa"/>
          </w:tcPr>
          <w:p w14:paraId="3FA14E71" w14:textId="77777777" w:rsidR="00561B22" w:rsidRPr="003D5DEB" w:rsidRDefault="00561B22" w:rsidP="00F1223B">
            <w:pPr>
              <w:jc w:val="both"/>
              <w:rPr>
                <w:rFonts w:ascii="Arial" w:hAnsi="Arial" w:cs="Arial"/>
                <w:bCs/>
                <w:sz w:val="22"/>
                <w:szCs w:val="22"/>
                <w:lang w:val="es-MX"/>
              </w:rPr>
            </w:pPr>
            <w:r w:rsidRPr="003D5DEB">
              <w:rPr>
                <w:rFonts w:ascii="Arial" w:hAnsi="Arial" w:cs="Arial"/>
                <w:bCs/>
                <w:sz w:val="22"/>
                <w:szCs w:val="22"/>
                <w:lang w:val="es-MX"/>
              </w:rPr>
              <w:t xml:space="preserve">En relación con los soportes que den cuenta que los estados financieros son base para la toma de decisiones, la SFyC remitió correos y presentaciones sobre la exposición de los EF que deberían presentarse en las juntas, sin embargo, no se adjuntaron extractos de actas que den cuenta de su debida presentación, por lo que se recomienda suministrar esta información en </w:t>
            </w:r>
            <w:r w:rsidRPr="003D5DEB">
              <w:rPr>
                <w:rFonts w:ascii="Arial" w:hAnsi="Arial" w:cs="Arial"/>
                <w:bCs/>
                <w:sz w:val="22"/>
                <w:szCs w:val="22"/>
                <w:lang w:val="es-MX"/>
              </w:rPr>
              <w:lastRenderedPageBreak/>
              <w:t>siguientes seguimientos.</w:t>
            </w:r>
          </w:p>
        </w:tc>
      </w:tr>
    </w:tbl>
    <w:p w14:paraId="1DE74E45" w14:textId="77777777" w:rsidR="00561B22" w:rsidRPr="003D5DEB" w:rsidRDefault="00561B22" w:rsidP="00561B22">
      <w:pPr>
        <w:ind w:left="720" w:hanging="720"/>
        <w:jc w:val="both"/>
        <w:rPr>
          <w:rFonts w:ascii="Arial" w:hAnsi="Arial" w:cs="Arial"/>
          <w:b/>
          <w:bCs/>
          <w:sz w:val="24"/>
          <w:szCs w:val="24"/>
          <w:lang w:val="es-CO"/>
        </w:rPr>
      </w:pPr>
    </w:p>
    <w:p w14:paraId="4DB27DD7" w14:textId="77777777" w:rsidR="00561B22" w:rsidRPr="003D5DEB" w:rsidRDefault="00561B22" w:rsidP="00561B22">
      <w:pPr>
        <w:jc w:val="both"/>
        <w:rPr>
          <w:rFonts w:ascii="Arial" w:hAnsi="Arial" w:cs="Arial"/>
          <w:b/>
          <w:bCs/>
          <w:sz w:val="24"/>
          <w:szCs w:val="24"/>
          <w:lang w:val="es-CO"/>
        </w:rPr>
      </w:pPr>
      <w:r w:rsidRPr="003D5DEB">
        <w:rPr>
          <w:rFonts w:ascii="Arial" w:hAnsi="Arial" w:cs="Arial"/>
          <w:b/>
          <w:bCs/>
          <w:sz w:val="24"/>
          <w:szCs w:val="24"/>
          <w:lang w:val="es-CO"/>
        </w:rPr>
        <w:t xml:space="preserve">NOTA: LA ENTIDAD ENVIA LA MATRIZ DE AUTOEVALUACIÓN DEL SISTEMA DE CONTROL INTERNO CONTABLE CON </w:t>
      </w:r>
      <w:r w:rsidRPr="003D5DEB">
        <w:rPr>
          <w:rFonts w:ascii="Arial" w:hAnsi="Arial" w:cs="Arial"/>
          <w:b/>
          <w:bCs/>
          <w:sz w:val="24"/>
          <w:szCs w:val="24"/>
          <w:u w:val="single"/>
          <w:lang w:val="es-CO"/>
        </w:rPr>
        <w:t>ACTIVIDADES DE CONTROL REALIZADAS EN FORMA PARCIAL</w:t>
      </w:r>
      <w:r w:rsidRPr="003D5DEB">
        <w:rPr>
          <w:rFonts w:ascii="Arial" w:hAnsi="Arial" w:cs="Arial"/>
          <w:b/>
          <w:bCs/>
          <w:sz w:val="24"/>
          <w:szCs w:val="24"/>
          <w:lang w:val="es-CO"/>
        </w:rPr>
        <w:t>.</w:t>
      </w:r>
    </w:p>
    <w:p w14:paraId="5CE3A7C7" w14:textId="77777777" w:rsidR="00BD6EEF" w:rsidRDefault="00BD6EEF" w:rsidP="00561B22">
      <w:pPr>
        <w:jc w:val="both"/>
        <w:rPr>
          <w:rFonts w:ascii="Arial" w:hAnsi="Arial" w:cs="Arial"/>
          <w:b/>
          <w:sz w:val="28"/>
          <w:szCs w:val="28"/>
          <w:lang w:val="es-MX"/>
        </w:rPr>
      </w:pPr>
    </w:p>
    <w:p w14:paraId="5392739A" w14:textId="2F94072A" w:rsidR="00561B22" w:rsidRPr="003F464D" w:rsidRDefault="00561B22" w:rsidP="00561B22">
      <w:pPr>
        <w:jc w:val="both"/>
        <w:rPr>
          <w:rFonts w:ascii="Arial" w:hAnsi="Arial" w:cs="Arial"/>
          <w:b/>
          <w:sz w:val="28"/>
          <w:szCs w:val="28"/>
          <w:lang w:val="es-MX"/>
        </w:rPr>
      </w:pPr>
      <w:r w:rsidRPr="003F464D">
        <w:rPr>
          <w:rFonts w:ascii="Arial" w:hAnsi="Arial" w:cs="Arial"/>
          <w:b/>
          <w:sz w:val="28"/>
          <w:szCs w:val="28"/>
          <w:lang w:val="es-MX"/>
        </w:rPr>
        <w:t>154.- FONDO NACIONAL DE VIVIENDA - FONVIVIENDA.</w:t>
      </w:r>
    </w:p>
    <w:p w14:paraId="3469B443" w14:textId="77777777" w:rsidR="00561B22" w:rsidRDefault="00561B22" w:rsidP="00561B22">
      <w:pPr>
        <w:jc w:val="both"/>
        <w:rPr>
          <w:rFonts w:ascii="Arial" w:hAnsi="Arial" w:cs="Arial"/>
          <w:b/>
          <w:bCs/>
          <w:lang w:val="es-MX"/>
        </w:rPr>
      </w:pPr>
    </w:p>
    <w:p w14:paraId="56353598" w14:textId="77777777" w:rsidR="00561B22" w:rsidRPr="00DD6176" w:rsidRDefault="00561B22" w:rsidP="00561B22">
      <w:pPr>
        <w:pStyle w:val="Textoindependiente"/>
        <w:ind w:right="-50"/>
        <w:jc w:val="center"/>
        <w:rPr>
          <w:rFonts w:ascii="Arial" w:hAnsi="Arial" w:cs="Arial"/>
          <w:b/>
          <w:bCs/>
        </w:rPr>
      </w:pPr>
      <w:r w:rsidRPr="00DD6176">
        <w:rPr>
          <w:rFonts w:ascii="Arial" w:hAnsi="Arial" w:cs="Arial"/>
          <w:b/>
          <w:bCs/>
        </w:rPr>
        <w:t>INFORME DE LA AUTOCALIFICACIÓN DEL SISTEMA DE CONTROL INTERNO CONTABLE:</w:t>
      </w:r>
    </w:p>
    <w:p w14:paraId="5255FE74" w14:textId="77777777" w:rsidR="00561B22" w:rsidRPr="00DD617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D6176" w14:paraId="72CE1ABD" w14:textId="77777777" w:rsidTr="00F1223B">
        <w:tc>
          <w:tcPr>
            <w:tcW w:w="4981" w:type="dxa"/>
          </w:tcPr>
          <w:p w14:paraId="480F9A1B"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AUTOCALIFICACIÓN</w:t>
            </w:r>
          </w:p>
        </w:tc>
        <w:tc>
          <w:tcPr>
            <w:tcW w:w="4981" w:type="dxa"/>
          </w:tcPr>
          <w:p w14:paraId="1997E237" w14:textId="77777777" w:rsidR="00561B22" w:rsidRPr="00DD6176" w:rsidRDefault="00561B22" w:rsidP="00F1223B">
            <w:pPr>
              <w:jc w:val="center"/>
              <w:rPr>
                <w:rFonts w:ascii="Arial" w:hAnsi="Arial" w:cs="Arial"/>
                <w:b/>
                <w:sz w:val="22"/>
                <w:szCs w:val="22"/>
                <w:u w:val="single"/>
                <w:lang w:val="es-MX"/>
              </w:rPr>
            </w:pPr>
            <w:r w:rsidRPr="00DD6176">
              <w:rPr>
                <w:rFonts w:ascii="Arial" w:hAnsi="Arial" w:cs="Arial"/>
                <w:b/>
                <w:sz w:val="22"/>
                <w:szCs w:val="22"/>
                <w:u w:val="single"/>
                <w:lang w:val="es-MX"/>
              </w:rPr>
              <w:t>4.98</w:t>
            </w:r>
          </w:p>
        </w:tc>
      </w:tr>
    </w:tbl>
    <w:p w14:paraId="67E4BECB" w14:textId="77777777" w:rsidR="00561B22" w:rsidRPr="00DD6176" w:rsidRDefault="00561B22" w:rsidP="00561B22">
      <w:pPr>
        <w:pStyle w:val="Textoindependiente"/>
        <w:ind w:right="-50"/>
        <w:jc w:val="both"/>
        <w:rPr>
          <w:rFonts w:ascii="Arial" w:hAnsi="Arial" w:cs="Arial"/>
          <w:b/>
          <w:bCs/>
        </w:rPr>
      </w:pPr>
    </w:p>
    <w:p w14:paraId="4D784E95" w14:textId="77777777" w:rsidR="00561B22" w:rsidRPr="00DD6176" w:rsidRDefault="00561B22" w:rsidP="00561B22">
      <w:pPr>
        <w:pStyle w:val="Textoindependiente"/>
        <w:ind w:right="-50"/>
        <w:jc w:val="both"/>
        <w:rPr>
          <w:rFonts w:ascii="Arial" w:hAnsi="Arial" w:cs="Arial"/>
          <w:b/>
          <w:bCs/>
        </w:rPr>
      </w:pPr>
      <w:r w:rsidRPr="00DD6176">
        <w:rPr>
          <w:rFonts w:ascii="Arial" w:hAnsi="Arial" w:cs="Arial"/>
          <w:b/>
          <w:bCs/>
        </w:rPr>
        <w:t>Del informe enviado retomamos lo siguiente:</w:t>
      </w:r>
    </w:p>
    <w:p w14:paraId="1B6B85FE" w14:textId="77777777" w:rsidR="00561B22" w:rsidRPr="00DD617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D6176" w14:paraId="332A8B21" w14:textId="77777777" w:rsidTr="00F1223B">
        <w:tc>
          <w:tcPr>
            <w:tcW w:w="562" w:type="dxa"/>
          </w:tcPr>
          <w:p w14:paraId="07002F47" w14:textId="77777777" w:rsidR="00561B22" w:rsidRPr="00DD6176" w:rsidRDefault="00561B22" w:rsidP="00F1223B">
            <w:pPr>
              <w:ind w:right="-109"/>
              <w:jc w:val="center"/>
              <w:rPr>
                <w:rFonts w:ascii="Arial" w:hAnsi="Arial" w:cs="Arial"/>
                <w:b/>
                <w:sz w:val="22"/>
                <w:szCs w:val="22"/>
                <w:lang w:val="es-MX"/>
              </w:rPr>
            </w:pPr>
            <w:r w:rsidRPr="00DD6176">
              <w:rPr>
                <w:rFonts w:ascii="Arial" w:hAnsi="Arial" w:cs="Arial"/>
                <w:b/>
                <w:sz w:val="22"/>
                <w:szCs w:val="22"/>
                <w:lang w:val="es-MX"/>
              </w:rPr>
              <w:t>N°</w:t>
            </w:r>
          </w:p>
        </w:tc>
        <w:tc>
          <w:tcPr>
            <w:tcW w:w="9400" w:type="dxa"/>
          </w:tcPr>
          <w:p w14:paraId="2D226DA4"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DEBILIDADES</w:t>
            </w:r>
          </w:p>
          <w:p w14:paraId="1CD504EC" w14:textId="77777777" w:rsidR="00561B22" w:rsidRPr="00DD6176" w:rsidRDefault="00561B22" w:rsidP="00F1223B">
            <w:pPr>
              <w:jc w:val="center"/>
              <w:rPr>
                <w:rFonts w:ascii="Arial" w:hAnsi="Arial" w:cs="Arial"/>
                <w:b/>
                <w:sz w:val="22"/>
                <w:szCs w:val="22"/>
                <w:lang w:val="es-MX"/>
              </w:rPr>
            </w:pPr>
          </w:p>
        </w:tc>
      </w:tr>
      <w:tr w:rsidR="00561B22" w:rsidRPr="00DD6176" w14:paraId="6622C5AC" w14:textId="77777777" w:rsidTr="00F1223B">
        <w:tc>
          <w:tcPr>
            <w:tcW w:w="562" w:type="dxa"/>
          </w:tcPr>
          <w:p w14:paraId="02285014"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1</w:t>
            </w:r>
          </w:p>
        </w:tc>
        <w:tc>
          <w:tcPr>
            <w:tcW w:w="9400" w:type="dxa"/>
          </w:tcPr>
          <w:p w14:paraId="5F94AFA2" w14:textId="77777777" w:rsidR="00561B22" w:rsidRPr="00DD6176" w:rsidRDefault="00561B22" w:rsidP="00F1223B">
            <w:pPr>
              <w:jc w:val="both"/>
              <w:rPr>
                <w:rFonts w:ascii="Arial" w:hAnsi="Arial" w:cs="Arial"/>
                <w:sz w:val="22"/>
                <w:szCs w:val="22"/>
                <w:lang w:val="es-MX"/>
              </w:rPr>
            </w:pPr>
            <w:r w:rsidRPr="00DD6176">
              <w:rPr>
                <w:rFonts w:ascii="Arial" w:hAnsi="Arial" w:cs="Arial"/>
                <w:sz w:val="22"/>
                <w:szCs w:val="22"/>
              </w:rPr>
              <w:t>Falta de personal de apoyo. Por lo menos otro asistente en el área contable de Fonvivienda y más ahora que la funcionaria contadora más antigua en cualquier momento se pensiona y esa experiencia que tiene se va.</w:t>
            </w:r>
          </w:p>
        </w:tc>
      </w:tr>
      <w:tr w:rsidR="00561B22" w:rsidRPr="00DD6176" w14:paraId="2E1C3328" w14:textId="77777777" w:rsidTr="00F1223B">
        <w:tc>
          <w:tcPr>
            <w:tcW w:w="562" w:type="dxa"/>
          </w:tcPr>
          <w:p w14:paraId="5F0656F0"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2</w:t>
            </w:r>
          </w:p>
        </w:tc>
        <w:tc>
          <w:tcPr>
            <w:tcW w:w="9400" w:type="dxa"/>
          </w:tcPr>
          <w:p w14:paraId="11420DE8" w14:textId="77777777" w:rsidR="00561B22" w:rsidRPr="00DD6176" w:rsidRDefault="00561B22" w:rsidP="00F1223B">
            <w:pPr>
              <w:jc w:val="both"/>
              <w:rPr>
                <w:rFonts w:ascii="Arial" w:hAnsi="Arial" w:cs="Arial"/>
                <w:b/>
                <w:sz w:val="22"/>
                <w:szCs w:val="22"/>
                <w:lang w:val="es-MX"/>
              </w:rPr>
            </w:pPr>
            <w:r w:rsidRPr="00DD6176">
              <w:rPr>
                <w:rFonts w:ascii="Arial" w:hAnsi="Arial" w:cs="Arial"/>
                <w:sz w:val="22"/>
                <w:szCs w:val="22"/>
              </w:rPr>
              <w:t xml:space="preserve">La entrega de la información por parte de las Fiduciarias previa revisión del Supervisor, es recibida por la Subdirección de Finanzas y Presupuesto Contabilidad muy cercana al cierre del mes. La anterior situación obedece a las obligaciones contractuales de los contratos de fiducia, adicionalmente, se requiere fortalecer respecto a la oportunidad y completitud de la información que reportan los financieros y supervisores de los convenios de los patrimonios autónomos, a fin de que esta concilie con lo registrado en los estados financieros de Fonvivienda. </w:t>
            </w:r>
          </w:p>
        </w:tc>
      </w:tr>
      <w:tr w:rsidR="00561B22" w:rsidRPr="00DD6176" w14:paraId="7441C5E0" w14:textId="77777777" w:rsidTr="00F1223B">
        <w:tc>
          <w:tcPr>
            <w:tcW w:w="562" w:type="dxa"/>
          </w:tcPr>
          <w:p w14:paraId="0AE35003"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3</w:t>
            </w:r>
          </w:p>
        </w:tc>
        <w:tc>
          <w:tcPr>
            <w:tcW w:w="9400" w:type="dxa"/>
          </w:tcPr>
          <w:p w14:paraId="4D814BB2" w14:textId="77777777" w:rsidR="00561B22" w:rsidRPr="00DD6176" w:rsidRDefault="00561B22" w:rsidP="00F1223B">
            <w:pPr>
              <w:jc w:val="both"/>
              <w:rPr>
                <w:rFonts w:ascii="Arial" w:hAnsi="Arial" w:cs="Arial"/>
                <w:sz w:val="22"/>
                <w:szCs w:val="22"/>
                <w:lang w:val="es-MX"/>
              </w:rPr>
            </w:pPr>
            <w:r w:rsidRPr="00DD6176">
              <w:rPr>
                <w:rFonts w:ascii="Arial" w:hAnsi="Arial" w:cs="Arial"/>
                <w:sz w:val="22"/>
                <w:szCs w:val="22"/>
              </w:rPr>
              <w:t>A mediados de la vigencia 2024 la CGR entrega auditoría Financiera a Fonvivienda donde se evidencia un número considerable de hallazgos que impactaron la opinión a los estados financieros de FONVIVIENDA. Se requiere trabajo arduo para que desaparezcan las causas que los originaron.</w:t>
            </w:r>
          </w:p>
        </w:tc>
      </w:tr>
    </w:tbl>
    <w:p w14:paraId="1A5116E4" w14:textId="77777777" w:rsidR="00561B22" w:rsidRPr="00DD6176" w:rsidRDefault="00561B22" w:rsidP="00561B22">
      <w:pPr>
        <w:jc w:val="both"/>
        <w:rPr>
          <w:rFonts w:ascii="Arial" w:hAnsi="Arial" w:cs="Arial"/>
          <w:b/>
          <w:lang w:val="es-MX"/>
        </w:rPr>
      </w:pPr>
    </w:p>
    <w:p w14:paraId="33E7EDB0" w14:textId="77777777" w:rsidR="00561B22" w:rsidRPr="00DD6176" w:rsidRDefault="00561B22" w:rsidP="00561B22">
      <w:pPr>
        <w:jc w:val="both"/>
        <w:rPr>
          <w:rFonts w:ascii="Arial" w:hAnsi="Arial" w:cs="Arial"/>
          <w:b/>
          <w:lang w:val="es-MX"/>
        </w:rPr>
      </w:pPr>
      <w:r w:rsidRPr="00DD6176">
        <w:rPr>
          <w:rFonts w:ascii="Arial" w:hAnsi="Arial" w:cs="Arial"/>
          <w:b/>
          <w:lang w:val="es-MX"/>
        </w:rPr>
        <w:t>Del citado informe retomamos las siguientes recomendaciones:</w:t>
      </w:r>
    </w:p>
    <w:p w14:paraId="63965001" w14:textId="77777777" w:rsidR="00561B22" w:rsidRPr="00DD617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D6176" w14:paraId="587CD382" w14:textId="77777777" w:rsidTr="00F1223B">
        <w:tc>
          <w:tcPr>
            <w:tcW w:w="562" w:type="dxa"/>
          </w:tcPr>
          <w:p w14:paraId="188812C1" w14:textId="77777777" w:rsidR="00561B22" w:rsidRPr="00DD6176" w:rsidRDefault="00561B22" w:rsidP="00F1223B">
            <w:pPr>
              <w:ind w:right="-109"/>
              <w:jc w:val="center"/>
              <w:rPr>
                <w:rFonts w:ascii="Arial" w:hAnsi="Arial" w:cs="Arial"/>
                <w:b/>
                <w:sz w:val="22"/>
                <w:szCs w:val="22"/>
                <w:lang w:val="es-MX"/>
              </w:rPr>
            </w:pPr>
            <w:r w:rsidRPr="00DD6176">
              <w:rPr>
                <w:rFonts w:ascii="Arial" w:hAnsi="Arial" w:cs="Arial"/>
                <w:b/>
                <w:sz w:val="22"/>
                <w:szCs w:val="22"/>
                <w:lang w:val="es-MX"/>
              </w:rPr>
              <w:t>N°</w:t>
            </w:r>
          </w:p>
        </w:tc>
        <w:tc>
          <w:tcPr>
            <w:tcW w:w="9400" w:type="dxa"/>
          </w:tcPr>
          <w:p w14:paraId="3744282B"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RECOMENDACIONES</w:t>
            </w:r>
          </w:p>
          <w:p w14:paraId="4CC5B9FC" w14:textId="77777777" w:rsidR="00561B22" w:rsidRPr="00DD6176" w:rsidRDefault="00561B22" w:rsidP="00F1223B">
            <w:pPr>
              <w:jc w:val="center"/>
              <w:rPr>
                <w:rFonts w:ascii="Arial" w:hAnsi="Arial" w:cs="Arial"/>
                <w:b/>
                <w:sz w:val="22"/>
                <w:szCs w:val="22"/>
                <w:lang w:val="es-MX"/>
              </w:rPr>
            </w:pPr>
          </w:p>
        </w:tc>
      </w:tr>
      <w:tr w:rsidR="00561B22" w:rsidRPr="00DD6176" w14:paraId="520C6293" w14:textId="77777777" w:rsidTr="00F1223B">
        <w:tc>
          <w:tcPr>
            <w:tcW w:w="562" w:type="dxa"/>
          </w:tcPr>
          <w:p w14:paraId="47CB0FB2"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1</w:t>
            </w:r>
          </w:p>
        </w:tc>
        <w:tc>
          <w:tcPr>
            <w:tcW w:w="9400" w:type="dxa"/>
          </w:tcPr>
          <w:p w14:paraId="542607F7" w14:textId="77777777" w:rsidR="00561B22" w:rsidRPr="00DD6176" w:rsidRDefault="00561B22" w:rsidP="00F1223B">
            <w:pPr>
              <w:jc w:val="both"/>
              <w:rPr>
                <w:rFonts w:ascii="Arial" w:hAnsi="Arial" w:cs="Arial"/>
                <w:sz w:val="22"/>
                <w:szCs w:val="22"/>
                <w:lang w:val="es-MX"/>
              </w:rPr>
            </w:pPr>
            <w:r w:rsidRPr="00DD6176">
              <w:rPr>
                <w:rFonts w:ascii="Arial" w:hAnsi="Arial" w:cs="Arial"/>
                <w:sz w:val="22"/>
                <w:szCs w:val="22"/>
              </w:rPr>
              <w:t xml:space="preserve">Continuar aplicando el Autocontrol que permita una mejora continua en el proceso contable. </w:t>
            </w:r>
          </w:p>
        </w:tc>
      </w:tr>
      <w:tr w:rsidR="00561B22" w:rsidRPr="00DD6176" w14:paraId="229A463C" w14:textId="77777777" w:rsidTr="00F1223B">
        <w:tc>
          <w:tcPr>
            <w:tcW w:w="562" w:type="dxa"/>
          </w:tcPr>
          <w:p w14:paraId="402E850F"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2</w:t>
            </w:r>
          </w:p>
        </w:tc>
        <w:tc>
          <w:tcPr>
            <w:tcW w:w="9400" w:type="dxa"/>
          </w:tcPr>
          <w:p w14:paraId="53B35A41" w14:textId="77777777" w:rsidR="00561B22" w:rsidRPr="00DD6176" w:rsidRDefault="00561B22" w:rsidP="00F1223B">
            <w:pPr>
              <w:jc w:val="both"/>
              <w:rPr>
                <w:rFonts w:ascii="Arial" w:hAnsi="Arial" w:cs="Arial"/>
                <w:sz w:val="22"/>
                <w:szCs w:val="22"/>
                <w:lang w:val="es-MX"/>
              </w:rPr>
            </w:pPr>
            <w:r w:rsidRPr="00DD6176">
              <w:rPr>
                <w:rFonts w:ascii="Arial" w:hAnsi="Arial" w:cs="Arial"/>
                <w:sz w:val="22"/>
                <w:szCs w:val="22"/>
              </w:rPr>
              <w:t>Dar continuidad al seguimiento realizado por la dependencia respecto a la información que remiten los terceros generadores de hechos económicos</w:t>
            </w:r>
          </w:p>
        </w:tc>
      </w:tr>
      <w:tr w:rsidR="00561B22" w:rsidRPr="00DD6176" w14:paraId="795DD225" w14:textId="77777777" w:rsidTr="00F1223B">
        <w:tc>
          <w:tcPr>
            <w:tcW w:w="562" w:type="dxa"/>
          </w:tcPr>
          <w:p w14:paraId="13851E60" w14:textId="77777777" w:rsidR="00561B22" w:rsidRPr="00DD6176" w:rsidRDefault="00561B22" w:rsidP="00F1223B">
            <w:pPr>
              <w:jc w:val="center"/>
              <w:rPr>
                <w:rFonts w:ascii="Arial" w:hAnsi="Arial" w:cs="Arial"/>
                <w:b/>
                <w:sz w:val="22"/>
                <w:szCs w:val="22"/>
                <w:lang w:val="es-MX"/>
              </w:rPr>
            </w:pPr>
            <w:r w:rsidRPr="00DD6176">
              <w:rPr>
                <w:rFonts w:ascii="Arial" w:hAnsi="Arial" w:cs="Arial"/>
                <w:b/>
                <w:sz w:val="22"/>
                <w:szCs w:val="22"/>
                <w:lang w:val="es-MX"/>
              </w:rPr>
              <w:t>3</w:t>
            </w:r>
          </w:p>
        </w:tc>
        <w:tc>
          <w:tcPr>
            <w:tcW w:w="9400" w:type="dxa"/>
          </w:tcPr>
          <w:p w14:paraId="74EB13A7" w14:textId="77777777" w:rsidR="00561B22" w:rsidRPr="00DD6176" w:rsidRDefault="00561B22" w:rsidP="00F1223B">
            <w:pPr>
              <w:jc w:val="both"/>
              <w:rPr>
                <w:rFonts w:ascii="Arial" w:hAnsi="Arial" w:cs="Arial"/>
                <w:sz w:val="22"/>
                <w:szCs w:val="22"/>
                <w:lang w:val="es-MX"/>
              </w:rPr>
            </w:pPr>
            <w:r w:rsidRPr="00DD6176">
              <w:rPr>
                <w:rFonts w:ascii="Arial" w:hAnsi="Arial" w:cs="Arial"/>
                <w:sz w:val="22"/>
                <w:szCs w:val="22"/>
              </w:rPr>
              <w:t>Que dentro del Plan Institucional de Capacitación haya oferta de cursos relacionados con lo financiero de Fonvivienda – Formación específica.</w:t>
            </w:r>
          </w:p>
        </w:tc>
      </w:tr>
    </w:tbl>
    <w:p w14:paraId="1F53C59D" w14:textId="77777777" w:rsidR="00561B22" w:rsidRPr="00DD6176" w:rsidRDefault="00561B22" w:rsidP="00561B22">
      <w:pPr>
        <w:ind w:left="720" w:hanging="720"/>
        <w:jc w:val="both"/>
        <w:rPr>
          <w:rFonts w:ascii="Arial" w:hAnsi="Arial" w:cs="Arial"/>
          <w:b/>
          <w:bCs/>
          <w:sz w:val="24"/>
          <w:szCs w:val="24"/>
          <w:lang w:val="es-CO"/>
        </w:rPr>
      </w:pPr>
    </w:p>
    <w:p w14:paraId="6BD0C85D" w14:textId="77777777" w:rsidR="00561B22" w:rsidRPr="00DD6176" w:rsidRDefault="00561B22" w:rsidP="00561B22">
      <w:pPr>
        <w:jc w:val="both"/>
        <w:rPr>
          <w:rFonts w:ascii="Arial" w:hAnsi="Arial" w:cs="Arial"/>
          <w:b/>
          <w:bCs/>
          <w:sz w:val="24"/>
          <w:szCs w:val="24"/>
          <w:lang w:val="es-CO"/>
        </w:rPr>
      </w:pPr>
      <w:r w:rsidRPr="00DD6176">
        <w:rPr>
          <w:rFonts w:ascii="Arial" w:hAnsi="Arial" w:cs="Arial"/>
          <w:b/>
          <w:bCs/>
          <w:sz w:val="24"/>
          <w:szCs w:val="24"/>
          <w:lang w:val="es-CO"/>
        </w:rPr>
        <w:t xml:space="preserve">NOTA: LA ENTIDAD ENVIA LA MATRIZ DE AUTOEVALUACIÓN DEL SISTEMA DE CONTROL INTERNO CONTABLE CON </w:t>
      </w:r>
      <w:r w:rsidRPr="00DD6176">
        <w:rPr>
          <w:rFonts w:ascii="Arial" w:hAnsi="Arial" w:cs="Arial"/>
          <w:b/>
          <w:bCs/>
          <w:sz w:val="24"/>
          <w:szCs w:val="24"/>
          <w:u w:val="single"/>
          <w:lang w:val="es-CO"/>
        </w:rPr>
        <w:t>ACTIVIDADES DE CONTROL REALIZADAS EN FORMA PARCIAL</w:t>
      </w:r>
      <w:r w:rsidRPr="00DD6176">
        <w:rPr>
          <w:rFonts w:ascii="Arial" w:hAnsi="Arial" w:cs="Arial"/>
          <w:b/>
          <w:bCs/>
          <w:sz w:val="24"/>
          <w:szCs w:val="24"/>
          <w:lang w:val="es-CO"/>
        </w:rPr>
        <w:t>.</w:t>
      </w:r>
    </w:p>
    <w:p w14:paraId="43A377B2" w14:textId="77777777" w:rsidR="00561B22" w:rsidRDefault="00561B22" w:rsidP="00561B22">
      <w:pPr>
        <w:jc w:val="both"/>
        <w:rPr>
          <w:rFonts w:ascii="Arial" w:hAnsi="Arial" w:cs="Arial"/>
          <w:b/>
          <w:bCs/>
          <w:lang w:val="es-CO"/>
        </w:rPr>
      </w:pPr>
    </w:p>
    <w:p w14:paraId="7133AE52" w14:textId="77777777" w:rsidR="00561B22" w:rsidRDefault="00561B22" w:rsidP="00561B22">
      <w:pPr>
        <w:jc w:val="both"/>
        <w:rPr>
          <w:rFonts w:ascii="Arial" w:hAnsi="Arial" w:cs="Arial"/>
          <w:b/>
          <w:sz w:val="28"/>
          <w:szCs w:val="28"/>
        </w:rPr>
      </w:pPr>
      <w:r w:rsidRPr="002A337D">
        <w:rPr>
          <w:rFonts w:ascii="Arial" w:hAnsi="Arial" w:cs="Arial"/>
          <w:b/>
          <w:sz w:val="28"/>
          <w:szCs w:val="28"/>
          <w:lang w:val="es-MX"/>
        </w:rPr>
        <w:t xml:space="preserve">155.- </w:t>
      </w:r>
      <w:r w:rsidRPr="002A337D">
        <w:rPr>
          <w:rFonts w:ascii="Arial" w:hAnsi="Arial" w:cs="Arial"/>
          <w:b/>
          <w:sz w:val="28"/>
          <w:szCs w:val="28"/>
        </w:rPr>
        <w:t>INSTITUCIÓN UNIVERSITARIA ESTABLECIMIENTO PÚBLICO DE EDUCACIÓN SUPERIOR CONOCIMIENTO E INNOVACIÓN PARA LA JUSTICIA - FISCALÍA GENERAL DE LA NACIÓN</w:t>
      </w:r>
      <w:r>
        <w:rPr>
          <w:rFonts w:ascii="Arial" w:hAnsi="Arial" w:cs="Arial"/>
          <w:b/>
          <w:sz w:val="28"/>
          <w:szCs w:val="28"/>
        </w:rPr>
        <w:t>.</w:t>
      </w:r>
    </w:p>
    <w:p w14:paraId="66B364A4" w14:textId="77777777" w:rsidR="00561B22" w:rsidRPr="002A337D" w:rsidRDefault="00561B22" w:rsidP="00561B22">
      <w:pPr>
        <w:jc w:val="both"/>
        <w:rPr>
          <w:rFonts w:ascii="Arial" w:hAnsi="Arial" w:cs="Arial"/>
          <w:b/>
        </w:rPr>
      </w:pPr>
    </w:p>
    <w:p w14:paraId="0B28D44D" w14:textId="77777777" w:rsidR="00561B22" w:rsidRPr="002A337D" w:rsidRDefault="00561B22" w:rsidP="00561B22">
      <w:pPr>
        <w:pStyle w:val="Textoindependiente"/>
        <w:ind w:right="-50"/>
        <w:jc w:val="center"/>
        <w:rPr>
          <w:rFonts w:ascii="Arial" w:hAnsi="Arial" w:cs="Arial"/>
          <w:b/>
          <w:bCs/>
        </w:rPr>
      </w:pPr>
      <w:r w:rsidRPr="002A337D">
        <w:rPr>
          <w:rFonts w:ascii="Arial" w:hAnsi="Arial" w:cs="Arial"/>
          <w:b/>
          <w:bCs/>
        </w:rPr>
        <w:t>INFORME DE LA AUTOCALIFICACIÓN DEL SISTEMA DE CONTROL INTERNO CONTABLE:</w:t>
      </w:r>
    </w:p>
    <w:p w14:paraId="386556F4" w14:textId="77777777" w:rsidR="00561B22" w:rsidRPr="002A337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A337D" w14:paraId="13A0450B" w14:textId="77777777" w:rsidTr="00F1223B">
        <w:tc>
          <w:tcPr>
            <w:tcW w:w="4981" w:type="dxa"/>
          </w:tcPr>
          <w:p w14:paraId="22C5A556"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lastRenderedPageBreak/>
              <w:t>AUTOCALIFICACIÓN</w:t>
            </w:r>
          </w:p>
        </w:tc>
        <w:tc>
          <w:tcPr>
            <w:tcW w:w="4981" w:type="dxa"/>
          </w:tcPr>
          <w:p w14:paraId="13648DCA" w14:textId="77777777" w:rsidR="00561B22" w:rsidRPr="002A337D" w:rsidRDefault="00561B22" w:rsidP="00F1223B">
            <w:pPr>
              <w:jc w:val="center"/>
              <w:rPr>
                <w:rFonts w:ascii="Arial" w:hAnsi="Arial" w:cs="Arial"/>
                <w:b/>
                <w:sz w:val="22"/>
                <w:szCs w:val="22"/>
                <w:u w:val="single"/>
                <w:lang w:val="es-MX"/>
              </w:rPr>
            </w:pPr>
            <w:r w:rsidRPr="002A337D">
              <w:rPr>
                <w:rFonts w:ascii="Arial" w:hAnsi="Arial" w:cs="Arial"/>
                <w:b/>
                <w:sz w:val="22"/>
                <w:szCs w:val="22"/>
                <w:u w:val="single"/>
                <w:lang w:val="es-MX"/>
              </w:rPr>
              <w:t>4.62</w:t>
            </w:r>
          </w:p>
        </w:tc>
      </w:tr>
    </w:tbl>
    <w:p w14:paraId="0685757D" w14:textId="77777777" w:rsidR="00561B22" w:rsidRPr="002A337D" w:rsidRDefault="00561B22" w:rsidP="00561B22">
      <w:pPr>
        <w:pStyle w:val="Textoindependiente"/>
        <w:ind w:right="-50"/>
        <w:jc w:val="both"/>
        <w:rPr>
          <w:rFonts w:ascii="Arial" w:hAnsi="Arial" w:cs="Arial"/>
          <w:b/>
          <w:bCs/>
        </w:rPr>
      </w:pPr>
    </w:p>
    <w:p w14:paraId="48F9029E" w14:textId="77777777" w:rsidR="00561B22" w:rsidRPr="002A337D" w:rsidRDefault="00561B22" w:rsidP="00561B22">
      <w:pPr>
        <w:pStyle w:val="Textoindependiente"/>
        <w:ind w:right="-50"/>
        <w:jc w:val="both"/>
        <w:rPr>
          <w:rFonts w:ascii="Arial" w:hAnsi="Arial" w:cs="Arial"/>
          <w:b/>
          <w:bCs/>
        </w:rPr>
      </w:pPr>
      <w:r w:rsidRPr="002A337D">
        <w:rPr>
          <w:rFonts w:ascii="Arial" w:hAnsi="Arial" w:cs="Arial"/>
          <w:b/>
          <w:bCs/>
        </w:rPr>
        <w:t>Del informe enviado retomamos lo siguiente:</w:t>
      </w:r>
    </w:p>
    <w:p w14:paraId="13E648CF" w14:textId="77777777" w:rsidR="00561B22" w:rsidRPr="002A337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A337D" w14:paraId="1F2414C5" w14:textId="77777777" w:rsidTr="00F1223B">
        <w:tc>
          <w:tcPr>
            <w:tcW w:w="562" w:type="dxa"/>
          </w:tcPr>
          <w:p w14:paraId="0483E5C6" w14:textId="77777777" w:rsidR="00561B22" w:rsidRPr="002A337D" w:rsidRDefault="00561B22" w:rsidP="00F1223B">
            <w:pPr>
              <w:ind w:right="-109"/>
              <w:jc w:val="center"/>
              <w:rPr>
                <w:rFonts w:ascii="Arial" w:hAnsi="Arial" w:cs="Arial"/>
                <w:b/>
                <w:sz w:val="22"/>
                <w:szCs w:val="22"/>
                <w:lang w:val="es-MX"/>
              </w:rPr>
            </w:pPr>
            <w:r w:rsidRPr="002A337D">
              <w:rPr>
                <w:rFonts w:ascii="Arial" w:hAnsi="Arial" w:cs="Arial"/>
                <w:b/>
                <w:sz w:val="22"/>
                <w:szCs w:val="22"/>
                <w:lang w:val="es-MX"/>
              </w:rPr>
              <w:t>N°</w:t>
            </w:r>
          </w:p>
        </w:tc>
        <w:tc>
          <w:tcPr>
            <w:tcW w:w="9400" w:type="dxa"/>
          </w:tcPr>
          <w:p w14:paraId="531295B9"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t>DEBILIDADES</w:t>
            </w:r>
          </w:p>
          <w:p w14:paraId="0B06CE46" w14:textId="77777777" w:rsidR="00561B22" w:rsidRPr="002A337D" w:rsidRDefault="00561B22" w:rsidP="00F1223B">
            <w:pPr>
              <w:jc w:val="center"/>
              <w:rPr>
                <w:rFonts w:ascii="Arial" w:hAnsi="Arial" w:cs="Arial"/>
                <w:b/>
                <w:sz w:val="22"/>
                <w:szCs w:val="22"/>
                <w:lang w:val="es-MX"/>
              </w:rPr>
            </w:pPr>
          </w:p>
        </w:tc>
      </w:tr>
      <w:tr w:rsidR="00561B22" w:rsidRPr="002A337D" w14:paraId="0AA493A6" w14:textId="77777777" w:rsidTr="00F1223B">
        <w:tc>
          <w:tcPr>
            <w:tcW w:w="562" w:type="dxa"/>
          </w:tcPr>
          <w:p w14:paraId="463D8C07"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t>1</w:t>
            </w:r>
          </w:p>
        </w:tc>
        <w:tc>
          <w:tcPr>
            <w:tcW w:w="9400" w:type="dxa"/>
          </w:tcPr>
          <w:p w14:paraId="4231C6CE" w14:textId="77777777" w:rsidR="00561B22" w:rsidRPr="002A337D" w:rsidRDefault="00561B22" w:rsidP="00F1223B">
            <w:pPr>
              <w:jc w:val="both"/>
              <w:rPr>
                <w:rFonts w:ascii="Arial" w:hAnsi="Arial" w:cs="Arial"/>
                <w:sz w:val="22"/>
                <w:szCs w:val="22"/>
                <w:lang w:val="es-MX"/>
              </w:rPr>
            </w:pPr>
            <w:r w:rsidRPr="002A337D">
              <w:rPr>
                <w:rFonts w:ascii="Arial" w:hAnsi="Arial" w:cs="Arial"/>
                <w:sz w:val="22"/>
                <w:szCs w:val="22"/>
                <w:lang w:val="es-MX"/>
              </w:rPr>
              <w:t xml:space="preserve">La situación jurídica de la CIJ, a la fecha de la evaluación no se ha definido, por lo cual se dejó la recomendación. </w:t>
            </w:r>
          </w:p>
        </w:tc>
      </w:tr>
      <w:tr w:rsidR="00561B22" w:rsidRPr="002A337D" w14:paraId="647B1179" w14:textId="77777777" w:rsidTr="00F1223B">
        <w:tc>
          <w:tcPr>
            <w:tcW w:w="562" w:type="dxa"/>
          </w:tcPr>
          <w:p w14:paraId="66C0ED5E"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t>2</w:t>
            </w:r>
          </w:p>
        </w:tc>
        <w:tc>
          <w:tcPr>
            <w:tcW w:w="9400" w:type="dxa"/>
          </w:tcPr>
          <w:p w14:paraId="125F137B" w14:textId="77777777" w:rsidR="00561B22" w:rsidRPr="002A337D" w:rsidRDefault="00561B22" w:rsidP="00F1223B">
            <w:pPr>
              <w:jc w:val="both"/>
              <w:rPr>
                <w:rFonts w:ascii="Arial" w:hAnsi="Arial" w:cs="Arial"/>
                <w:sz w:val="22"/>
                <w:szCs w:val="22"/>
                <w:lang w:val="es-MX"/>
              </w:rPr>
            </w:pPr>
            <w:r w:rsidRPr="002A337D">
              <w:rPr>
                <w:rFonts w:ascii="Arial" w:hAnsi="Arial" w:cs="Arial"/>
                <w:sz w:val="22"/>
                <w:szCs w:val="22"/>
                <w:lang w:val="es-MX"/>
              </w:rPr>
              <w:t>Teniendo en cuenta que no se ha definido la situación jurídica de la entidad, la CIJ no ha identificado otros riesgos de índole contable toda vez que no se han establecido controles que permitan mitigar, prevenir o neutralizar la ocurrencia de hechos, toda vez que desde el año 2016 pese a que no se encuentra en funcionamiento y sin definir su situación jurídica.</w:t>
            </w:r>
          </w:p>
        </w:tc>
      </w:tr>
    </w:tbl>
    <w:p w14:paraId="605A4D36" w14:textId="77777777" w:rsidR="00561B22" w:rsidRPr="002A337D" w:rsidRDefault="00561B22" w:rsidP="00561B22">
      <w:pPr>
        <w:pStyle w:val="Textoindependiente"/>
        <w:ind w:right="-50"/>
        <w:jc w:val="both"/>
        <w:rPr>
          <w:rFonts w:ascii="Arial" w:hAnsi="Arial" w:cs="Arial"/>
          <w:b/>
          <w:bCs/>
        </w:rPr>
      </w:pPr>
    </w:p>
    <w:p w14:paraId="0350ECEF" w14:textId="77777777" w:rsidR="00561B22" w:rsidRPr="002A337D" w:rsidRDefault="00561B22" w:rsidP="00561B22">
      <w:pPr>
        <w:jc w:val="both"/>
        <w:rPr>
          <w:rFonts w:ascii="Arial" w:hAnsi="Arial" w:cs="Arial"/>
          <w:b/>
          <w:lang w:val="es-MX"/>
        </w:rPr>
      </w:pPr>
      <w:r w:rsidRPr="002A337D">
        <w:rPr>
          <w:rFonts w:ascii="Arial" w:hAnsi="Arial" w:cs="Arial"/>
          <w:b/>
          <w:lang w:val="es-MX"/>
        </w:rPr>
        <w:t>Del citado informe retomamos las siguientes recomendaciones:</w:t>
      </w:r>
    </w:p>
    <w:p w14:paraId="529E37E8" w14:textId="77777777" w:rsidR="00561B22" w:rsidRPr="002A337D"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2A337D" w14:paraId="7F988BAA" w14:textId="77777777" w:rsidTr="00F1223B">
        <w:tc>
          <w:tcPr>
            <w:tcW w:w="562" w:type="dxa"/>
          </w:tcPr>
          <w:p w14:paraId="1AD3AA22" w14:textId="77777777" w:rsidR="00561B22" w:rsidRPr="002A337D" w:rsidRDefault="00561B22" w:rsidP="00F1223B">
            <w:pPr>
              <w:ind w:right="-109"/>
              <w:jc w:val="center"/>
              <w:rPr>
                <w:rFonts w:ascii="Arial" w:hAnsi="Arial" w:cs="Arial"/>
                <w:b/>
                <w:sz w:val="22"/>
                <w:szCs w:val="22"/>
                <w:lang w:val="es-MX"/>
              </w:rPr>
            </w:pPr>
            <w:r w:rsidRPr="002A337D">
              <w:rPr>
                <w:rFonts w:ascii="Arial" w:hAnsi="Arial" w:cs="Arial"/>
                <w:b/>
                <w:sz w:val="22"/>
                <w:szCs w:val="22"/>
                <w:lang w:val="es-MX"/>
              </w:rPr>
              <w:t>N°</w:t>
            </w:r>
          </w:p>
        </w:tc>
        <w:tc>
          <w:tcPr>
            <w:tcW w:w="9400" w:type="dxa"/>
          </w:tcPr>
          <w:p w14:paraId="4532A594"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t>RECOMENDACIONES</w:t>
            </w:r>
          </w:p>
          <w:p w14:paraId="430706B1" w14:textId="77777777" w:rsidR="00561B22" w:rsidRPr="002A337D" w:rsidRDefault="00561B22" w:rsidP="00F1223B">
            <w:pPr>
              <w:jc w:val="center"/>
              <w:rPr>
                <w:rFonts w:ascii="Arial" w:hAnsi="Arial" w:cs="Arial"/>
                <w:b/>
                <w:sz w:val="22"/>
                <w:szCs w:val="22"/>
                <w:lang w:val="es-MX"/>
              </w:rPr>
            </w:pPr>
          </w:p>
        </w:tc>
      </w:tr>
      <w:tr w:rsidR="00561B22" w:rsidRPr="002A337D" w14:paraId="6E0CAB7B" w14:textId="77777777" w:rsidTr="00F1223B">
        <w:tc>
          <w:tcPr>
            <w:tcW w:w="562" w:type="dxa"/>
          </w:tcPr>
          <w:p w14:paraId="1A32F105"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t>1</w:t>
            </w:r>
          </w:p>
        </w:tc>
        <w:tc>
          <w:tcPr>
            <w:tcW w:w="9400" w:type="dxa"/>
          </w:tcPr>
          <w:p w14:paraId="2F5514D3" w14:textId="3B4B0CCA" w:rsidR="00561B22" w:rsidRPr="002A337D" w:rsidRDefault="00561B22" w:rsidP="00F1223B">
            <w:pPr>
              <w:jc w:val="both"/>
              <w:rPr>
                <w:rFonts w:ascii="Arial" w:hAnsi="Arial" w:cs="Arial"/>
                <w:sz w:val="22"/>
                <w:szCs w:val="22"/>
                <w:lang w:val="es-MX"/>
              </w:rPr>
            </w:pPr>
            <w:r w:rsidRPr="002A337D">
              <w:rPr>
                <w:rFonts w:ascii="Arial" w:hAnsi="Arial" w:cs="Arial"/>
                <w:sz w:val="22"/>
                <w:szCs w:val="22"/>
                <w:lang w:val="es-MX"/>
              </w:rPr>
              <w:t xml:space="preserve">Evaluar y definir por parte del director Ad hoc y en articulación con la Dirección Ejecutiva de la </w:t>
            </w:r>
            <w:r w:rsidR="0008150C" w:rsidRPr="002A337D">
              <w:rPr>
                <w:rFonts w:ascii="Arial" w:hAnsi="Arial" w:cs="Arial"/>
                <w:sz w:val="22"/>
                <w:szCs w:val="22"/>
                <w:lang w:val="es-MX"/>
              </w:rPr>
              <w:t>fiscalía general</w:t>
            </w:r>
            <w:r w:rsidRPr="002A337D">
              <w:rPr>
                <w:rFonts w:ascii="Arial" w:hAnsi="Arial" w:cs="Arial"/>
                <w:sz w:val="22"/>
                <w:szCs w:val="22"/>
                <w:lang w:val="es-MX"/>
              </w:rPr>
              <w:t xml:space="preserve"> de la Nación, los asuntos pendientes por resolver en la parte financiera y jurídica y la situación de la continuidad o no de la CIJ. Lo anterior, teniendo en cuenta que con el acuerdo 018 del 28/12/ 2015 el Consejo Directivo aprobó la supresión de los empleos de la CIJ a partir del 01/01/2016, y no se tiene asignación de recursos por parte del Ministerio de Hacienda desde el 2017; sin embargo, persiste la obligación de presentar estados financieros a los Entes de Control, como consecuencia de que aún existe la personería jurídica, por ende, debe cumplir con las obligaciones.</w:t>
            </w:r>
          </w:p>
        </w:tc>
      </w:tr>
      <w:tr w:rsidR="00561B22" w:rsidRPr="002A337D" w14:paraId="46E11BFB" w14:textId="77777777" w:rsidTr="00F1223B">
        <w:tc>
          <w:tcPr>
            <w:tcW w:w="562" w:type="dxa"/>
          </w:tcPr>
          <w:p w14:paraId="771B7CCD" w14:textId="77777777" w:rsidR="00561B22" w:rsidRPr="002A337D" w:rsidRDefault="00561B22" w:rsidP="00F1223B">
            <w:pPr>
              <w:jc w:val="center"/>
              <w:rPr>
                <w:rFonts w:ascii="Arial" w:hAnsi="Arial" w:cs="Arial"/>
                <w:b/>
                <w:sz w:val="22"/>
                <w:szCs w:val="22"/>
                <w:lang w:val="es-MX"/>
              </w:rPr>
            </w:pPr>
            <w:r w:rsidRPr="002A337D">
              <w:rPr>
                <w:rFonts w:ascii="Arial" w:hAnsi="Arial" w:cs="Arial"/>
                <w:b/>
                <w:sz w:val="22"/>
                <w:szCs w:val="22"/>
                <w:lang w:val="es-MX"/>
              </w:rPr>
              <w:t>2</w:t>
            </w:r>
          </w:p>
        </w:tc>
        <w:tc>
          <w:tcPr>
            <w:tcW w:w="9400" w:type="dxa"/>
          </w:tcPr>
          <w:p w14:paraId="748FACB2" w14:textId="77777777" w:rsidR="00561B22" w:rsidRPr="002A337D" w:rsidRDefault="00561B22" w:rsidP="00F1223B">
            <w:pPr>
              <w:jc w:val="both"/>
              <w:rPr>
                <w:rFonts w:ascii="Arial" w:hAnsi="Arial" w:cs="Arial"/>
                <w:sz w:val="22"/>
                <w:szCs w:val="22"/>
                <w:lang w:val="es-MX"/>
              </w:rPr>
            </w:pPr>
            <w:r w:rsidRPr="002A337D">
              <w:rPr>
                <w:rFonts w:ascii="Arial" w:hAnsi="Arial" w:cs="Arial"/>
                <w:sz w:val="22"/>
                <w:szCs w:val="22"/>
                <w:lang w:val="es-MX"/>
              </w:rPr>
              <w:t>Identificar por parte del director Ad hoc riesgos de índole contable, que puedan afectar el proceso contable, teniendo en cuenta el actual estado de la institución universitaria.</w:t>
            </w:r>
          </w:p>
        </w:tc>
      </w:tr>
    </w:tbl>
    <w:p w14:paraId="44FB34A4" w14:textId="77777777" w:rsidR="00561B22" w:rsidRPr="002A337D" w:rsidRDefault="00561B22" w:rsidP="00561B22">
      <w:pPr>
        <w:jc w:val="both"/>
        <w:rPr>
          <w:rFonts w:ascii="Arial" w:hAnsi="Arial" w:cs="Arial"/>
          <w:b/>
          <w:bCs/>
          <w:lang w:val="es-CO"/>
        </w:rPr>
      </w:pPr>
    </w:p>
    <w:p w14:paraId="741F43DA" w14:textId="77777777" w:rsidR="00561B22" w:rsidRPr="002A337D" w:rsidRDefault="00561B22" w:rsidP="00561B22">
      <w:pPr>
        <w:jc w:val="both"/>
        <w:rPr>
          <w:rFonts w:ascii="Arial" w:hAnsi="Arial" w:cs="Arial"/>
          <w:b/>
          <w:bCs/>
          <w:sz w:val="24"/>
          <w:szCs w:val="24"/>
          <w:lang w:val="es-CO"/>
        </w:rPr>
      </w:pPr>
      <w:r w:rsidRPr="002A337D">
        <w:rPr>
          <w:rFonts w:ascii="Arial" w:hAnsi="Arial" w:cs="Arial"/>
          <w:b/>
          <w:bCs/>
          <w:sz w:val="24"/>
          <w:szCs w:val="24"/>
          <w:lang w:val="es-CO"/>
        </w:rPr>
        <w:t xml:space="preserve">NOTA: LA ENTIDAD ENVIA LA MATRIZ DE AUTOEVALUACIÓN DEL SISTEMA DE CONTROL INTERNO CONTABLE CON ACTIVIDADES DE CONTROL </w:t>
      </w:r>
      <w:r w:rsidRPr="002A337D">
        <w:rPr>
          <w:rFonts w:ascii="Arial" w:hAnsi="Arial" w:cs="Arial"/>
          <w:b/>
          <w:bCs/>
          <w:sz w:val="24"/>
          <w:szCs w:val="24"/>
          <w:u w:val="single"/>
          <w:lang w:val="es-CO"/>
        </w:rPr>
        <w:t>QUE NO SE REALIZARON</w:t>
      </w:r>
      <w:r w:rsidRPr="002A337D">
        <w:rPr>
          <w:rFonts w:ascii="Arial" w:hAnsi="Arial" w:cs="Arial"/>
          <w:b/>
          <w:bCs/>
          <w:sz w:val="24"/>
          <w:szCs w:val="24"/>
          <w:lang w:val="es-CO"/>
        </w:rPr>
        <w:t>.</w:t>
      </w:r>
    </w:p>
    <w:p w14:paraId="6E7AFEF3" w14:textId="77777777" w:rsidR="00561B22" w:rsidRPr="00850CFE" w:rsidRDefault="00561B22" w:rsidP="00561B22">
      <w:pPr>
        <w:jc w:val="both"/>
        <w:rPr>
          <w:b/>
          <w:bCs/>
          <w:sz w:val="24"/>
          <w:szCs w:val="24"/>
          <w:lang w:val="es-CO"/>
        </w:rPr>
      </w:pPr>
    </w:p>
    <w:p w14:paraId="7F939ABF" w14:textId="77777777" w:rsidR="00561B22" w:rsidRPr="00992BB1" w:rsidRDefault="00561B22" w:rsidP="00561B22">
      <w:pPr>
        <w:jc w:val="both"/>
        <w:rPr>
          <w:rFonts w:ascii="Arial" w:hAnsi="Arial" w:cs="Arial"/>
          <w:b/>
          <w:sz w:val="32"/>
          <w:szCs w:val="32"/>
        </w:rPr>
      </w:pPr>
      <w:r w:rsidRPr="00992BB1">
        <w:rPr>
          <w:rFonts w:ascii="Arial" w:hAnsi="Arial" w:cs="Arial"/>
          <w:b/>
          <w:sz w:val="28"/>
          <w:szCs w:val="28"/>
          <w:lang w:val="es-MX"/>
        </w:rPr>
        <w:t xml:space="preserve">156.- </w:t>
      </w:r>
      <w:r w:rsidRPr="00992BB1">
        <w:rPr>
          <w:rFonts w:ascii="Arial" w:hAnsi="Arial" w:cs="Arial"/>
          <w:b/>
          <w:sz w:val="28"/>
          <w:szCs w:val="28"/>
        </w:rPr>
        <w:t>GRUPO BICENTENARIO S.A.S.</w:t>
      </w:r>
    </w:p>
    <w:p w14:paraId="5CA495EF" w14:textId="77777777" w:rsidR="00561B22" w:rsidRDefault="00561B22" w:rsidP="00561B22">
      <w:pPr>
        <w:ind w:right="49"/>
        <w:jc w:val="both"/>
        <w:rPr>
          <w:rFonts w:ascii="Arial" w:hAnsi="Arial" w:cs="Arial"/>
          <w:b/>
          <w:spacing w:val="-3"/>
          <w:sz w:val="24"/>
          <w:szCs w:val="24"/>
        </w:rPr>
      </w:pPr>
    </w:p>
    <w:p w14:paraId="3118D81A" w14:textId="77777777" w:rsidR="00561B22" w:rsidRPr="00870091" w:rsidRDefault="00561B22" w:rsidP="00561B22">
      <w:pPr>
        <w:pStyle w:val="Textoindependiente"/>
        <w:ind w:right="-50"/>
        <w:jc w:val="center"/>
        <w:rPr>
          <w:rFonts w:ascii="Arial" w:hAnsi="Arial" w:cs="Arial"/>
          <w:b/>
          <w:bCs/>
        </w:rPr>
      </w:pPr>
      <w:r w:rsidRPr="00870091">
        <w:rPr>
          <w:rFonts w:ascii="Arial" w:hAnsi="Arial" w:cs="Arial"/>
          <w:b/>
          <w:bCs/>
        </w:rPr>
        <w:t>INFORME DE LA AUTOCALIFICACIÓN DEL SISTEMA DE CONTROL INTERNO CONTABLE:</w:t>
      </w:r>
    </w:p>
    <w:p w14:paraId="212734F7" w14:textId="77777777" w:rsidR="00561B22" w:rsidRPr="0087009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70091" w14:paraId="360FA1E4" w14:textId="77777777" w:rsidTr="00F1223B">
        <w:tc>
          <w:tcPr>
            <w:tcW w:w="4981" w:type="dxa"/>
          </w:tcPr>
          <w:p w14:paraId="7827A133" w14:textId="77777777" w:rsidR="00561B22" w:rsidRPr="00870091" w:rsidRDefault="00561B22" w:rsidP="00F1223B">
            <w:pPr>
              <w:jc w:val="center"/>
              <w:rPr>
                <w:rFonts w:ascii="Arial" w:hAnsi="Arial" w:cs="Arial"/>
                <w:b/>
                <w:sz w:val="22"/>
                <w:szCs w:val="22"/>
                <w:lang w:val="es-MX"/>
              </w:rPr>
            </w:pPr>
            <w:r w:rsidRPr="00870091">
              <w:rPr>
                <w:rFonts w:ascii="Arial" w:hAnsi="Arial" w:cs="Arial"/>
                <w:b/>
                <w:sz w:val="22"/>
                <w:szCs w:val="22"/>
                <w:lang w:val="es-MX"/>
              </w:rPr>
              <w:t>AUTOCALIFICACIÓN</w:t>
            </w:r>
          </w:p>
        </w:tc>
        <w:tc>
          <w:tcPr>
            <w:tcW w:w="4981" w:type="dxa"/>
          </w:tcPr>
          <w:p w14:paraId="23600795" w14:textId="77777777" w:rsidR="00561B22" w:rsidRPr="00870091" w:rsidRDefault="00561B22" w:rsidP="00F1223B">
            <w:pPr>
              <w:jc w:val="center"/>
              <w:rPr>
                <w:rFonts w:ascii="Arial" w:hAnsi="Arial" w:cs="Arial"/>
                <w:b/>
                <w:sz w:val="22"/>
                <w:szCs w:val="22"/>
                <w:u w:val="single"/>
                <w:lang w:val="es-MX"/>
              </w:rPr>
            </w:pPr>
            <w:r w:rsidRPr="00870091">
              <w:rPr>
                <w:rFonts w:ascii="Arial" w:hAnsi="Arial" w:cs="Arial"/>
                <w:b/>
                <w:sz w:val="22"/>
                <w:szCs w:val="22"/>
                <w:u w:val="single"/>
                <w:lang w:val="es-MX"/>
              </w:rPr>
              <w:t>4.95</w:t>
            </w:r>
          </w:p>
        </w:tc>
      </w:tr>
    </w:tbl>
    <w:p w14:paraId="10C27B9A" w14:textId="77777777" w:rsidR="00561B22" w:rsidRPr="00870091" w:rsidRDefault="00561B22" w:rsidP="00561B22">
      <w:pPr>
        <w:pStyle w:val="Textoindependiente"/>
        <w:ind w:right="-50"/>
        <w:jc w:val="both"/>
        <w:rPr>
          <w:rFonts w:ascii="Arial" w:hAnsi="Arial" w:cs="Arial"/>
          <w:b/>
          <w:bCs/>
        </w:rPr>
      </w:pPr>
    </w:p>
    <w:p w14:paraId="100C7946" w14:textId="77777777" w:rsidR="00561B22" w:rsidRPr="00870091" w:rsidRDefault="00561B22" w:rsidP="00561B22">
      <w:pPr>
        <w:pStyle w:val="Textoindependiente"/>
        <w:ind w:right="-50"/>
        <w:jc w:val="both"/>
        <w:rPr>
          <w:rFonts w:ascii="Arial" w:hAnsi="Arial" w:cs="Arial"/>
          <w:b/>
          <w:bCs/>
        </w:rPr>
      </w:pPr>
      <w:r w:rsidRPr="00870091">
        <w:rPr>
          <w:rFonts w:ascii="Arial" w:hAnsi="Arial" w:cs="Arial"/>
          <w:b/>
          <w:bCs/>
        </w:rPr>
        <w:t>Del informe enviado retomamos lo siguiente:</w:t>
      </w:r>
    </w:p>
    <w:p w14:paraId="499519FE" w14:textId="77777777" w:rsidR="00561B22" w:rsidRPr="0087009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70091" w14:paraId="0878952E" w14:textId="77777777" w:rsidTr="00F1223B">
        <w:tc>
          <w:tcPr>
            <w:tcW w:w="562" w:type="dxa"/>
          </w:tcPr>
          <w:p w14:paraId="7812FB83" w14:textId="77777777" w:rsidR="00561B22" w:rsidRPr="00870091" w:rsidRDefault="00561B22" w:rsidP="00F1223B">
            <w:pPr>
              <w:ind w:right="-109"/>
              <w:jc w:val="center"/>
              <w:rPr>
                <w:rFonts w:ascii="Arial" w:hAnsi="Arial" w:cs="Arial"/>
                <w:b/>
                <w:sz w:val="22"/>
                <w:szCs w:val="22"/>
                <w:lang w:val="es-MX"/>
              </w:rPr>
            </w:pPr>
            <w:r w:rsidRPr="00870091">
              <w:rPr>
                <w:rFonts w:ascii="Arial" w:hAnsi="Arial" w:cs="Arial"/>
                <w:b/>
                <w:sz w:val="22"/>
                <w:szCs w:val="22"/>
                <w:lang w:val="es-MX"/>
              </w:rPr>
              <w:t>N°</w:t>
            </w:r>
          </w:p>
        </w:tc>
        <w:tc>
          <w:tcPr>
            <w:tcW w:w="9400" w:type="dxa"/>
          </w:tcPr>
          <w:p w14:paraId="0B47D36B" w14:textId="77777777" w:rsidR="00561B22" w:rsidRPr="00870091" w:rsidRDefault="00561B22" w:rsidP="00F1223B">
            <w:pPr>
              <w:jc w:val="center"/>
              <w:rPr>
                <w:rFonts w:ascii="Arial" w:hAnsi="Arial" w:cs="Arial"/>
                <w:b/>
                <w:sz w:val="22"/>
                <w:szCs w:val="22"/>
                <w:lang w:val="es-MX"/>
              </w:rPr>
            </w:pPr>
            <w:r w:rsidRPr="00870091">
              <w:rPr>
                <w:rFonts w:ascii="Arial" w:hAnsi="Arial" w:cs="Arial"/>
                <w:b/>
                <w:sz w:val="22"/>
                <w:szCs w:val="22"/>
                <w:lang w:val="es-MX"/>
              </w:rPr>
              <w:t>DEBILIDADES</w:t>
            </w:r>
          </w:p>
          <w:p w14:paraId="5D86690A" w14:textId="77777777" w:rsidR="00561B22" w:rsidRPr="00870091" w:rsidRDefault="00561B22" w:rsidP="00F1223B">
            <w:pPr>
              <w:jc w:val="center"/>
              <w:rPr>
                <w:rFonts w:ascii="Arial" w:hAnsi="Arial" w:cs="Arial"/>
                <w:b/>
                <w:sz w:val="22"/>
                <w:szCs w:val="22"/>
                <w:lang w:val="es-MX"/>
              </w:rPr>
            </w:pPr>
          </w:p>
        </w:tc>
      </w:tr>
      <w:tr w:rsidR="00561B22" w:rsidRPr="00870091" w14:paraId="74642966" w14:textId="77777777" w:rsidTr="00F1223B">
        <w:tc>
          <w:tcPr>
            <w:tcW w:w="562" w:type="dxa"/>
          </w:tcPr>
          <w:p w14:paraId="14FFB272" w14:textId="77777777" w:rsidR="00561B22" w:rsidRPr="00870091" w:rsidRDefault="00561B22" w:rsidP="00F1223B">
            <w:pPr>
              <w:jc w:val="center"/>
              <w:rPr>
                <w:rFonts w:ascii="Arial" w:hAnsi="Arial" w:cs="Arial"/>
                <w:b/>
                <w:sz w:val="22"/>
                <w:szCs w:val="22"/>
                <w:lang w:val="es-MX"/>
              </w:rPr>
            </w:pPr>
            <w:r w:rsidRPr="00870091">
              <w:rPr>
                <w:rFonts w:ascii="Arial" w:hAnsi="Arial" w:cs="Arial"/>
                <w:b/>
                <w:sz w:val="22"/>
                <w:szCs w:val="22"/>
                <w:lang w:val="es-MX"/>
              </w:rPr>
              <w:t>1</w:t>
            </w:r>
          </w:p>
        </w:tc>
        <w:tc>
          <w:tcPr>
            <w:tcW w:w="9400" w:type="dxa"/>
          </w:tcPr>
          <w:p w14:paraId="306D83C0" w14:textId="77777777" w:rsidR="00561B22" w:rsidRPr="00870091" w:rsidRDefault="00561B22" w:rsidP="00F1223B">
            <w:pPr>
              <w:widowControl/>
              <w:autoSpaceDE/>
              <w:autoSpaceDN/>
              <w:jc w:val="both"/>
              <w:rPr>
                <w:rFonts w:ascii="Arial" w:eastAsia="Times New Roman" w:hAnsi="Arial" w:cs="Arial"/>
                <w:sz w:val="22"/>
                <w:szCs w:val="22"/>
                <w:lang w:val="es-CO"/>
              </w:rPr>
            </w:pPr>
            <w:r w:rsidRPr="00870091">
              <w:rPr>
                <w:rFonts w:ascii="Arial" w:hAnsi="Arial" w:cs="Arial"/>
                <w:sz w:val="22"/>
                <w:szCs w:val="22"/>
              </w:rPr>
              <w:t xml:space="preserve">Reforzar la infraestructura de los sistemas de información con el objetivo de responder al crecimiento que experimenta la organización, mediante la adopción de soluciones y estrategias que garanticen su óptimo desempeño. </w:t>
            </w:r>
          </w:p>
        </w:tc>
      </w:tr>
      <w:tr w:rsidR="00561B22" w:rsidRPr="00870091" w14:paraId="34CBE09B" w14:textId="77777777" w:rsidTr="00F1223B">
        <w:tc>
          <w:tcPr>
            <w:tcW w:w="562" w:type="dxa"/>
          </w:tcPr>
          <w:p w14:paraId="4195274A" w14:textId="77777777" w:rsidR="00561B22" w:rsidRPr="00870091" w:rsidRDefault="00561B22" w:rsidP="00F1223B">
            <w:pPr>
              <w:jc w:val="center"/>
              <w:rPr>
                <w:rFonts w:ascii="Arial" w:hAnsi="Arial" w:cs="Arial"/>
                <w:b/>
                <w:sz w:val="22"/>
                <w:szCs w:val="22"/>
                <w:lang w:val="es-MX"/>
              </w:rPr>
            </w:pPr>
            <w:r w:rsidRPr="00870091">
              <w:rPr>
                <w:rFonts w:ascii="Arial" w:hAnsi="Arial" w:cs="Arial"/>
                <w:b/>
                <w:sz w:val="22"/>
                <w:szCs w:val="22"/>
                <w:lang w:val="es-MX"/>
              </w:rPr>
              <w:t>2</w:t>
            </w:r>
          </w:p>
        </w:tc>
        <w:tc>
          <w:tcPr>
            <w:tcW w:w="9400" w:type="dxa"/>
          </w:tcPr>
          <w:p w14:paraId="121117D4" w14:textId="77777777" w:rsidR="00561B22" w:rsidRPr="00870091" w:rsidRDefault="00561B22" w:rsidP="00F1223B">
            <w:pPr>
              <w:jc w:val="both"/>
              <w:rPr>
                <w:rFonts w:ascii="Arial" w:hAnsi="Arial" w:cs="Arial"/>
                <w:b/>
                <w:sz w:val="22"/>
                <w:szCs w:val="22"/>
                <w:lang w:val="es-MX"/>
              </w:rPr>
            </w:pPr>
            <w:r w:rsidRPr="00870091">
              <w:rPr>
                <w:rFonts w:ascii="Arial" w:hAnsi="Arial" w:cs="Arial"/>
                <w:sz w:val="22"/>
                <w:szCs w:val="22"/>
              </w:rPr>
              <w:t xml:space="preserve">Toda vez que el Grupo solo cuenta con contratistas, no se tiene un plan de capacitación para el proceso contable  </w:t>
            </w:r>
          </w:p>
        </w:tc>
      </w:tr>
    </w:tbl>
    <w:p w14:paraId="0C7463D1" w14:textId="77777777" w:rsidR="00561B22" w:rsidRPr="00870091" w:rsidRDefault="00561B22" w:rsidP="00561B22">
      <w:pPr>
        <w:pStyle w:val="Textoindependiente"/>
        <w:ind w:right="-50"/>
        <w:jc w:val="both"/>
        <w:rPr>
          <w:rFonts w:ascii="Arial" w:hAnsi="Arial" w:cs="Arial"/>
          <w:b/>
          <w:bCs/>
        </w:rPr>
      </w:pPr>
    </w:p>
    <w:p w14:paraId="682603AB" w14:textId="77777777" w:rsidR="00561B22" w:rsidRPr="00870091" w:rsidRDefault="00561B22" w:rsidP="00561B22">
      <w:pPr>
        <w:jc w:val="both"/>
        <w:rPr>
          <w:rFonts w:ascii="Arial" w:hAnsi="Arial" w:cs="Arial"/>
          <w:b/>
          <w:lang w:val="es-MX"/>
        </w:rPr>
      </w:pPr>
      <w:r w:rsidRPr="00870091">
        <w:rPr>
          <w:rFonts w:ascii="Arial" w:hAnsi="Arial" w:cs="Arial"/>
          <w:b/>
          <w:lang w:val="es-MX"/>
        </w:rPr>
        <w:t>Del citado informe retomamos las siguientes recomendaciones:</w:t>
      </w:r>
    </w:p>
    <w:p w14:paraId="1567A08C" w14:textId="77777777" w:rsidR="00561B22" w:rsidRPr="00870091"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870091" w14:paraId="51A39E49" w14:textId="77777777" w:rsidTr="00F1223B">
        <w:tc>
          <w:tcPr>
            <w:tcW w:w="562" w:type="dxa"/>
          </w:tcPr>
          <w:p w14:paraId="4386E424" w14:textId="77777777" w:rsidR="00561B22" w:rsidRPr="00870091" w:rsidRDefault="00561B22" w:rsidP="00F1223B">
            <w:pPr>
              <w:ind w:right="-109"/>
              <w:jc w:val="center"/>
              <w:rPr>
                <w:rFonts w:ascii="Arial" w:hAnsi="Arial" w:cs="Arial"/>
                <w:b/>
                <w:sz w:val="22"/>
                <w:szCs w:val="22"/>
                <w:lang w:val="es-MX"/>
              </w:rPr>
            </w:pPr>
            <w:r w:rsidRPr="00870091">
              <w:rPr>
                <w:rFonts w:ascii="Arial" w:hAnsi="Arial" w:cs="Arial"/>
                <w:b/>
                <w:sz w:val="22"/>
                <w:szCs w:val="22"/>
                <w:lang w:val="es-MX"/>
              </w:rPr>
              <w:t>N°</w:t>
            </w:r>
          </w:p>
        </w:tc>
        <w:tc>
          <w:tcPr>
            <w:tcW w:w="9400" w:type="dxa"/>
          </w:tcPr>
          <w:p w14:paraId="5B366A94" w14:textId="24A86F1C" w:rsidR="00561B22" w:rsidRPr="00870091" w:rsidRDefault="00561B22" w:rsidP="00BD6EEF">
            <w:pPr>
              <w:jc w:val="center"/>
              <w:rPr>
                <w:rFonts w:ascii="Arial" w:hAnsi="Arial" w:cs="Arial"/>
                <w:b/>
                <w:sz w:val="22"/>
                <w:szCs w:val="22"/>
                <w:lang w:val="es-MX"/>
              </w:rPr>
            </w:pPr>
            <w:r w:rsidRPr="00870091">
              <w:rPr>
                <w:rFonts w:ascii="Arial" w:hAnsi="Arial" w:cs="Arial"/>
                <w:b/>
                <w:sz w:val="22"/>
                <w:szCs w:val="22"/>
                <w:lang w:val="es-MX"/>
              </w:rPr>
              <w:t>RECOMENDACIONES</w:t>
            </w:r>
          </w:p>
        </w:tc>
      </w:tr>
      <w:tr w:rsidR="00561B22" w:rsidRPr="00870091" w14:paraId="6EE77B97" w14:textId="77777777" w:rsidTr="00F1223B">
        <w:tc>
          <w:tcPr>
            <w:tcW w:w="562" w:type="dxa"/>
          </w:tcPr>
          <w:p w14:paraId="0CFC2D4A" w14:textId="77777777" w:rsidR="00561B22" w:rsidRPr="00870091" w:rsidRDefault="00561B22" w:rsidP="00F1223B">
            <w:pPr>
              <w:jc w:val="center"/>
              <w:rPr>
                <w:rFonts w:ascii="Arial" w:hAnsi="Arial" w:cs="Arial"/>
                <w:b/>
                <w:sz w:val="22"/>
                <w:szCs w:val="22"/>
                <w:lang w:val="es-MX"/>
              </w:rPr>
            </w:pPr>
            <w:r w:rsidRPr="00870091">
              <w:rPr>
                <w:rFonts w:ascii="Arial" w:hAnsi="Arial" w:cs="Arial"/>
                <w:b/>
                <w:sz w:val="22"/>
                <w:szCs w:val="22"/>
                <w:lang w:val="es-MX"/>
              </w:rPr>
              <w:lastRenderedPageBreak/>
              <w:t>1</w:t>
            </w:r>
          </w:p>
        </w:tc>
        <w:tc>
          <w:tcPr>
            <w:tcW w:w="9400" w:type="dxa"/>
          </w:tcPr>
          <w:p w14:paraId="41623065" w14:textId="77777777" w:rsidR="00561B22" w:rsidRPr="00870091" w:rsidRDefault="00561B22" w:rsidP="00F1223B">
            <w:pPr>
              <w:widowControl/>
              <w:autoSpaceDE/>
              <w:autoSpaceDN/>
              <w:jc w:val="both"/>
              <w:rPr>
                <w:rFonts w:ascii="Arial" w:eastAsia="Times New Roman" w:hAnsi="Arial" w:cs="Arial"/>
                <w:sz w:val="22"/>
                <w:szCs w:val="22"/>
                <w:lang w:val="es-CO"/>
              </w:rPr>
            </w:pPr>
            <w:r w:rsidRPr="00870091">
              <w:rPr>
                <w:rFonts w:ascii="Arial" w:hAnsi="Arial" w:cs="Arial"/>
                <w:sz w:val="22"/>
                <w:szCs w:val="22"/>
              </w:rPr>
              <w:t xml:space="preserve">Fortalecer la capacidad operativa del GB mediante la adopción de sistemas tecnológicos que permitan un procesamiento ágil y eficiente, fomentando la innovación en los procesos de negocio y garantizando una respuesta oportuna a las necesidades organizacionales. Con ello, se incrementa la eficiencia y se consolida un entorno de trabajo que impulsa la productividad y la toma de decisiones basadas en datos confiables.  </w:t>
            </w:r>
          </w:p>
        </w:tc>
      </w:tr>
      <w:tr w:rsidR="00561B22" w:rsidRPr="00870091" w14:paraId="388272E2" w14:textId="77777777" w:rsidTr="00F1223B">
        <w:tc>
          <w:tcPr>
            <w:tcW w:w="562" w:type="dxa"/>
          </w:tcPr>
          <w:p w14:paraId="417D3515" w14:textId="77777777" w:rsidR="00561B22" w:rsidRPr="00870091" w:rsidRDefault="00561B22" w:rsidP="00F1223B">
            <w:pPr>
              <w:jc w:val="center"/>
              <w:rPr>
                <w:rFonts w:ascii="Arial" w:hAnsi="Arial" w:cs="Arial"/>
                <w:b/>
                <w:sz w:val="22"/>
                <w:szCs w:val="22"/>
                <w:lang w:val="es-MX"/>
              </w:rPr>
            </w:pPr>
            <w:r w:rsidRPr="00870091">
              <w:rPr>
                <w:rFonts w:ascii="Arial" w:hAnsi="Arial" w:cs="Arial"/>
                <w:b/>
                <w:sz w:val="22"/>
                <w:szCs w:val="22"/>
                <w:lang w:val="es-MX"/>
              </w:rPr>
              <w:t>2</w:t>
            </w:r>
          </w:p>
        </w:tc>
        <w:tc>
          <w:tcPr>
            <w:tcW w:w="9400" w:type="dxa"/>
          </w:tcPr>
          <w:p w14:paraId="7B6A4FC0" w14:textId="77777777" w:rsidR="00561B22" w:rsidRPr="00870091" w:rsidRDefault="00561B22" w:rsidP="00F1223B">
            <w:pPr>
              <w:jc w:val="both"/>
              <w:rPr>
                <w:rFonts w:ascii="Arial" w:hAnsi="Arial" w:cs="Arial"/>
                <w:b/>
                <w:sz w:val="22"/>
                <w:szCs w:val="22"/>
                <w:lang w:val="es-MX"/>
              </w:rPr>
            </w:pPr>
            <w:r w:rsidRPr="00870091">
              <w:rPr>
                <w:rFonts w:ascii="Arial" w:hAnsi="Arial" w:cs="Arial"/>
                <w:sz w:val="22"/>
                <w:szCs w:val="22"/>
              </w:rPr>
              <w:t xml:space="preserve">Una vez se cuente con personal de planta, se recomienda implantar el plan institucional de capacitación </w:t>
            </w:r>
          </w:p>
        </w:tc>
      </w:tr>
    </w:tbl>
    <w:p w14:paraId="7F7E24EF" w14:textId="77777777" w:rsidR="00561B22" w:rsidRPr="00870091" w:rsidRDefault="00561B22" w:rsidP="00561B22">
      <w:pPr>
        <w:pStyle w:val="Textoindependiente"/>
        <w:ind w:right="-50"/>
        <w:jc w:val="both"/>
        <w:rPr>
          <w:rFonts w:ascii="Arial" w:hAnsi="Arial" w:cs="Arial"/>
          <w:b/>
          <w:bCs/>
          <w:sz w:val="28"/>
          <w:szCs w:val="28"/>
        </w:rPr>
      </w:pPr>
    </w:p>
    <w:p w14:paraId="255BE70D" w14:textId="77777777" w:rsidR="00561B22" w:rsidRPr="00870091" w:rsidRDefault="00561B22" w:rsidP="00561B22">
      <w:pPr>
        <w:jc w:val="both"/>
        <w:rPr>
          <w:rFonts w:ascii="Arial" w:hAnsi="Arial" w:cs="Arial"/>
          <w:b/>
          <w:bCs/>
          <w:sz w:val="24"/>
          <w:szCs w:val="24"/>
          <w:lang w:val="es-CO"/>
        </w:rPr>
      </w:pPr>
      <w:r w:rsidRPr="00870091">
        <w:rPr>
          <w:rFonts w:ascii="Arial" w:hAnsi="Arial" w:cs="Arial"/>
          <w:b/>
          <w:bCs/>
          <w:sz w:val="24"/>
          <w:szCs w:val="24"/>
          <w:lang w:val="es-CO"/>
        </w:rPr>
        <w:t xml:space="preserve">NOTA: LA ENTIDAD ENVIA LA MATRIZ DE AUTOEVALUACIÓN DEL SISTEMA DE CONTROL INTERNO CONTABLE CON </w:t>
      </w:r>
      <w:r w:rsidRPr="00870091">
        <w:rPr>
          <w:rFonts w:ascii="Arial" w:hAnsi="Arial" w:cs="Arial"/>
          <w:b/>
          <w:bCs/>
          <w:sz w:val="24"/>
          <w:szCs w:val="24"/>
          <w:u w:val="single"/>
          <w:lang w:val="es-CO"/>
        </w:rPr>
        <w:t>ACTIVIDADES DE CONTROL REALIZADAS EN FORMA PARCIAL</w:t>
      </w:r>
      <w:r w:rsidRPr="00870091">
        <w:rPr>
          <w:rFonts w:ascii="Arial" w:hAnsi="Arial" w:cs="Arial"/>
          <w:b/>
          <w:bCs/>
          <w:sz w:val="24"/>
          <w:szCs w:val="24"/>
          <w:lang w:val="es-CO"/>
        </w:rPr>
        <w:t>.</w:t>
      </w:r>
    </w:p>
    <w:p w14:paraId="51BBABDF" w14:textId="77777777" w:rsidR="00561B22" w:rsidRPr="00870091" w:rsidRDefault="00561B22" w:rsidP="00561B22">
      <w:pPr>
        <w:pStyle w:val="Textoindependiente"/>
        <w:ind w:right="-50"/>
        <w:jc w:val="both"/>
        <w:rPr>
          <w:rFonts w:ascii="Arial" w:hAnsi="Arial" w:cs="Arial"/>
          <w:b/>
          <w:bCs/>
          <w:sz w:val="28"/>
          <w:szCs w:val="28"/>
        </w:rPr>
      </w:pPr>
    </w:p>
    <w:p w14:paraId="27BD7529" w14:textId="77777777" w:rsidR="00561B22" w:rsidRPr="000E7764" w:rsidRDefault="00561B22" w:rsidP="00561B22">
      <w:pPr>
        <w:jc w:val="both"/>
        <w:rPr>
          <w:rFonts w:ascii="Arial" w:hAnsi="Arial" w:cs="Arial"/>
          <w:b/>
          <w:sz w:val="28"/>
          <w:szCs w:val="28"/>
          <w:lang w:val="es-MX"/>
        </w:rPr>
      </w:pPr>
      <w:r w:rsidRPr="000E7764">
        <w:rPr>
          <w:rFonts w:ascii="Arial" w:hAnsi="Arial" w:cs="Arial"/>
          <w:b/>
          <w:sz w:val="28"/>
          <w:szCs w:val="28"/>
          <w:lang w:val="es-MX"/>
        </w:rPr>
        <w:t>157.- ISA – INTERCONEXIÓN ELÉCTRICA S.A. E.S.P.</w:t>
      </w:r>
    </w:p>
    <w:p w14:paraId="2A4475FF" w14:textId="77777777" w:rsidR="00561B22" w:rsidRDefault="00561B22" w:rsidP="00561B22">
      <w:pPr>
        <w:jc w:val="both"/>
        <w:rPr>
          <w:rFonts w:ascii="Arial" w:hAnsi="Arial" w:cs="Arial"/>
          <w:b/>
          <w:bCs/>
          <w:sz w:val="24"/>
          <w:szCs w:val="24"/>
          <w:lang w:val="es-MX"/>
        </w:rPr>
      </w:pPr>
    </w:p>
    <w:p w14:paraId="1F6F71C9" w14:textId="77777777" w:rsidR="00561B22" w:rsidRPr="001F3BB8" w:rsidRDefault="00561B22" w:rsidP="00561B22">
      <w:pPr>
        <w:pStyle w:val="Textoindependiente"/>
        <w:ind w:right="-50"/>
        <w:jc w:val="center"/>
        <w:rPr>
          <w:rFonts w:ascii="Arial" w:hAnsi="Arial" w:cs="Arial"/>
          <w:b/>
          <w:bCs/>
        </w:rPr>
      </w:pPr>
      <w:r w:rsidRPr="001F3BB8">
        <w:rPr>
          <w:rFonts w:ascii="Arial" w:hAnsi="Arial" w:cs="Arial"/>
          <w:b/>
          <w:bCs/>
        </w:rPr>
        <w:t>INFORME DE LA AUTOCALIFICACIÓN DEL SISTEMA DE CONTROL INTERNO CONTABLE:</w:t>
      </w:r>
    </w:p>
    <w:p w14:paraId="116CDDB3" w14:textId="77777777" w:rsidR="00561B22" w:rsidRPr="001F3BB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F3BB8" w14:paraId="166E4C38" w14:textId="77777777" w:rsidTr="00F1223B">
        <w:tc>
          <w:tcPr>
            <w:tcW w:w="4981" w:type="dxa"/>
          </w:tcPr>
          <w:p w14:paraId="1881DFEA" w14:textId="77777777" w:rsidR="00561B22" w:rsidRPr="001F3BB8" w:rsidRDefault="00561B22" w:rsidP="00F1223B">
            <w:pPr>
              <w:jc w:val="center"/>
              <w:rPr>
                <w:rFonts w:ascii="Arial" w:hAnsi="Arial" w:cs="Arial"/>
                <w:b/>
                <w:sz w:val="22"/>
                <w:szCs w:val="22"/>
                <w:lang w:val="es-MX"/>
              </w:rPr>
            </w:pPr>
            <w:r w:rsidRPr="001F3BB8">
              <w:rPr>
                <w:rFonts w:ascii="Arial" w:hAnsi="Arial" w:cs="Arial"/>
                <w:b/>
                <w:sz w:val="22"/>
                <w:szCs w:val="22"/>
                <w:lang w:val="es-MX"/>
              </w:rPr>
              <w:t>AUTOCALIFICACIÓN</w:t>
            </w:r>
          </w:p>
        </w:tc>
        <w:tc>
          <w:tcPr>
            <w:tcW w:w="4981" w:type="dxa"/>
          </w:tcPr>
          <w:p w14:paraId="4977DD36" w14:textId="77777777" w:rsidR="00561B22" w:rsidRPr="001F3BB8" w:rsidRDefault="00561B22" w:rsidP="00F1223B">
            <w:pPr>
              <w:jc w:val="center"/>
              <w:rPr>
                <w:rFonts w:ascii="Arial" w:hAnsi="Arial" w:cs="Arial"/>
                <w:b/>
                <w:sz w:val="22"/>
                <w:szCs w:val="22"/>
                <w:u w:val="single"/>
                <w:lang w:val="es-MX"/>
              </w:rPr>
            </w:pPr>
            <w:r w:rsidRPr="001F3BB8">
              <w:rPr>
                <w:rFonts w:ascii="Arial" w:hAnsi="Arial" w:cs="Arial"/>
                <w:b/>
                <w:sz w:val="22"/>
                <w:szCs w:val="22"/>
                <w:u w:val="single"/>
                <w:lang w:val="es-MX"/>
              </w:rPr>
              <w:t>5.00</w:t>
            </w:r>
          </w:p>
        </w:tc>
      </w:tr>
    </w:tbl>
    <w:p w14:paraId="206EAD87" w14:textId="77777777" w:rsidR="00561B22" w:rsidRPr="001F3BB8" w:rsidRDefault="00561B22" w:rsidP="00561B22">
      <w:pPr>
        <w:pStyle w:val="Textoindependiente"/>
        <w:ind w:right="-50"/>
        <w:jc w:val="both"/>
        <w:rPr>
          <w:rFonts w:ascii="Arial" w:hAnsi="Arial" w:cs="Arial"/>
          <w:b/>
          <w:bCs/>
        </w:rPr>
      </w:pPr>
    </w:p>
    <w:p w14:paraId="5103DBD3" w14:textId="77777777" w:rsidR="00561B22" w:rsidRPr="001F3BB8" w:rsidRDefault="00561B22" w:rsidP="00561B22">
      <w:pPr>
        <w:pStyle w:val="Textoindependiente"/>
        <w:ind w:right="-50"/>
        <w:jc w:val="both"/>
        <w:rPr>
          <w:rFonts w:ascii="Arial" w:hAnsi="Arial" w:cs="Arial"/>
          <w:b/>
          <w:bCs/>
        </w:rPr>
      </w:pPr>
      <w:r w:rsidRPr="001F3BB8">
        <w:rPr>
          <w:rFonts w:ascii="Arial" w:hAnsi="Arial" w:cs="Arial"/>
          <w:b/>
          <w:bCs/>
        </w:rPr>
        <w:t>Del informe enviado retomamos lo siguiente:</w:t>
      </w:r>
    </w:p>
    <w:p w14:paraId="1C1507F2" w14:textId="77777777" w:rsidR="00561B22" w:rsidRPr="001F3BB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F3BB8" w14:paraId="2A0B0AA7" w14:textId="77777777" w:rsidTr="00F1223B">
        <w:tc>
          <w:tcPr>
            <w:tcW w:w="562" w:type="dxa"/>
          </w:tcPr>
          <w:p w14:paraId="6DDE7DAB" w14:textId="77777777" w:rsidR="00561B22" w:rsidRPr="001F3BB8" w:rsidRDefault="00561B22" w:rsidP="00F1223B">
            <w:pPr>
              <w:ind w:right="-109"/>
              <w:jc w:val="center"/>
              <w:rPr>
                <w:rFonts w:ascii="Arial" w:hAnsi="Arial" w:cs="Arial"/>
                <w:b/>
                <w:sz w:val="22"/>
                <w:szCs w:val="22"/>
                <w:lang w:val="es-MX"/>
              </w:rPr>
            </w:pPr>
            <w:r w:rsidRPr="001F3BB8">
              <w:rPr>
                <w:rFonts w:ascii="Arial" w:hAnsi="Arial" w:cs="Arial"/>
                <w:b/>
                <w:sz w:val="22"/>
                <w:szCs w:val="22"/>
                <w:lang w:val="es-MX"/>
              </w:rPr>
              <w:t>N°</w:t>
            </w:r>
          </w:p>
        </w:tc>
        <w:tc>
          <w:tcPr>
            <w:tcW w:w="9400" w:type="dxa"/>
          </w:tcPr>
          <w:p w14:paraId="0B87F027" w14:textId="77777777" w:rsidR="00561B22" w:rsidRPr="001F3BB8" w:rsidRDefault="00561B22" w:rsidP="00F1223B">
            <w:pPr>
              <w:jc w:val="center"/>
              <w:rPr>
                <w:rFonts w:ascii="Arial" w:hAnsi="Arial" w:cs="Arial"/>
                <w:b/>
                <w:sz w:val="22"/>
                <w:szCs w:val="22"/>
                <w:lang w:val="es-MX"/>
              </w:rPr>
            </w:pPr>
            <w:r w:rsidRPr="001F3BB8">
              <w:rPr>
                <w:rFonts w:ascii="Arial" w:hAnsi="Arial" w:cs="Arial"/>
                <w:b/>
                <w:sz w:val="22"/>
                <w:szCs w:val="22"/>
                <w:lang w:val="es-MX"/>
              </w:rPr>
              <w:t>DEBILIDADES</w:t>
            </w:r>
          </w:p>
          <w:p w14:paraId="7914B259" w14:textId="77777777" w:rsidR="00561B22" w:rsidRPr="001F3BB8" w:rsidRDefault="00561B22" w:rsidP="00F1223B">
            <w:pPr>
              <w:jc w:val="center"/>
              <w:rPr>
                <w:rFonts w:ascii="Arial" w:hAnsi="Arial" w:cs="Arial"/>
                <w:b/>
                <w:sz w:val="22"/>
                <w:szCs w:val="22"/>
                <w:lang w:val="es-MX"/>
              </w:rPr>
            </w:pPr>
          </w:p>
        </w:tc>
      </w:tr>
      <w:tr w:rsidR="00561B22" w:rsidRPr="001F3BB8" w14:paraId="3785656E" w14:textId="77777777" w:rsidTr="00F1223B">
        <w:tc>
          <w:tcPr>
            <w:tcW w:w="562" w:type="dxa"/>
          </w:tcPr>
          <w:p w14:paraId="04A46823" w14:textId="77777777" w:rsidR="00561B22" w:rsidRPr="001F3BB8" w:rsidRDefault="00561B22" w:rsidP="00F1223B">
            <w:pPr>
              <w:jc w:val="center"/>
              <w:rPr>
                <w:rFonts w:ascii="Arial" w:hAnsi="Arial" w:cs="Arial"/>
                <w:b/>
                <w:sz w:val="22"/>
                <w:szCs w:val="22"/>
                <w:lang w:val="es-MX"/>
              </w:rPr>
            </w:pPr>
            <w:r w:rsidRPr="001F3BB8">
              <w:rPr>
                <w:rFonts w:ascii="Arial" w:hAnsi="Arial" w:cs="Arial"/>
                <w:b/>
                <w:sz w:val="22"/>
                <w:szCs w:val="22"/>
                <w:lang w:val="es-MX"/>
              </w:rPr>
              <w:t>1</w:t>
            </w:r>
          </w:p>
        </w:tc>
        <w:tc>
          <w:tcPr>
            <w:tcW w:w="9400" w:type="dxa"/>
          </w:tcPr>
          <w:p w14:paraId="323BB46C" w14:textId="77777777" w:rsidR="00561B22" w:rsidRPr="001F3BB8" w:rsidRDefault="00561B22" w:rsidP="00F1223B">
            <w:pPr>
              <w:jc w:val="both"/>
              <w:rPr>
                <w:rFonts w:ascii="Arial" w:hAnsi="Arial" w:cs="Arial"/>
                <w:bCs/>
                <w:sz w:val="22"/>
                <w:szCs w:val="22"/>
                <w:lang w:val="es-MX"/>
              </w:rPr>
            </w:pPr>
            <w:r w:rsidRPr="001F3BB8">
              <w:rPr>
                <w:rFonts w:ascii="Arial" w:hAnsi="Arial" w:cs="Arial"/>
                <w:bCs/>
                <w:sz w:val="22"/>
                <w:szCs w:val="22"/>
                <w:lang w:val="es-MX"/>
              </w:rPr>
              <w:t>Promover el mantenimiento de controles SOX, optimizando con automatización en donde sea posible, lo que contribuye en beneficios para la administración y control del proceso contable.</w:t>
            </w:r>
          </w:p>
        </w:tc>
      </w:tr>
    </w:tbl>
    <w:p w14:paraId="139110C5" w14:textId="77777777" w:rsidR="00561B22" w:rsidRPr="001F3BB8" w:rsidRDefault="00561B22" w:rsidP="00561B22">
      <w:pPr>
        <w:pStyle w:val="Textoindependiente"/>
        <w:ind w:right="-50"/>
        <w:jc w:val="both"/>
        <w:rPr>
          <w:rFonts w:ascii="Arial" w:hAnsi="Arial" w:cs="Arial"/>
          <w:b/>
          <w:bCs/>
        </w:rPr>
      </w:pPr>
    </w:p>
    <w:p w14:paraId="3F3D06F2" w14:textId="77777777" w:rsidR="00561B22" w:rsidRPr="001F3BB8" w:rsidRDefault="00561B22" w:rsidP="00561B22">
      <w:pPr>
        <w:jc w:val="both"/>
        <w:rPr>
          <w:rFonts w:ascii="Arial" w:hAnsi="Arial" w:cs="Arial"/>
          <w:b/>
          <w:lang w:val="es-MX"/>
        </w:rPr>
      </w:pPr>
      <w:r w:rsidRPr="001F3BB8">
        <w:rPr>
          <w:rFonts w:ascii="Arial" w:hAnsi="Arial" w:cs="Arial"/>
          <w:b/>
          <w:lang w:val="es-MX"/>
        </w:rPr>
        <w:t>Del citado informe retomamos las siguientes recomendaciones:</w:t>
      </w:r>
    </w:p>
    <w:p w14:paraId="2340404B" w14:textId="77777777" w:rsidR="00561B22" w:rsidRPr="001F3BB8"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1F3BB8" w14:paraId="40CC16CF" w14:textId="77777777" w:rsidTr="00F1223B">
        <w:tc>
          <w:tcPr>
            <w:tcW w:w="562" w:type="dxa"/>
          </w:tcPr>
          <w:p w14:paraId="72EF3092" w14:textId="77777777" w:rsidR="00561B22" w:rsidRPr="001F3BB8" w:rsidRDefault="00561B22" w:rsidP="00F1223B">
            <w:pPr>
              <w:ind w:right="-109"/>
              <w:jc w:val="center"/>
              <w:rPr>
                <w:rFonts w:ascii="Arial" w:hAnsi="Arial" w:cs="Arial"/>
                <w:b/>
                <w:sz w:val="22"/>
                <w:szCs w:val="22"/>
                <w:lang w:val="es-MX"/>
              </w:rPr>
            </w:pPr>
            <w:r w:rsidRPr="001F3BB8">
              <w:rPr>
                <w:rFonts w:ascii="Arial" w:hAnsi="Arial" w:cs="Arial"/>
                <w:b/>
                <w:sz w:val="22"/>
                <w:szCs w:val="22"/>
                <w:lang w:val="es-MX"/>
              </w:rPr>
              <w:t>N°</w:t>
            </w:r>
          </w:p>
        </w:tc>
        <w:tc>
          <w:tcPr>
            <w:tcW w:w="9400" w:type="dxa"/>
          </w:tcPr>
          <w:p w14:paraId="5D273B23" w14:textId="77777777" w:rsidR="00561B22" w:rsidRPr="001F3BB8" w:rsidRDefault="00561B22" w:rsidP="00F1223B">
            <w:pPr>
              <w:jc w:val="center"/>
              <w:rPr>
                <w:rFonts w:ascii="Arial" w:hAnsi="Arial" w:cs="Arial"/>
                <w:b/>
                <w:sz w:val="22"/>
                <w:szCs w:val="22"/>
                <w:lang w:val="es-MX"/>
              </w:rPr>
            </w:pPr>
            <w:r w:rsidRPr="001F3BB8">
              <w:rPr>
                <w:rFonts w:ascii="Arial" w:hAnsi="Arial" w:cs="Arial"/>
                <w:b/>
                <w:sz w:val="22"/>
                <w:szCs w:val="22"/>
                <w:lang w:val="es-MX"/>
              </w:rPr>
              <w:t>RECOMENDACIONES</w:t>
            </w:r>
          </w:p>
          <w:p w14:paraId="45148F59" w14:textId="77777777" w:rsidR="00561B22" w:rsidRPr="001F3BB8" w:rsidRDefault="00561B22" w:rsidP="00F1223B">
            <w:pPr>
              <w:jc w:val="center"/>
              <w:rPr>
                <w:rFonts w:ascii="Arial" w:hAnsi="Arial" w:cs="Arial"/>
                <w:b/>
                <w:sz w:val="22"/>
                <w:szCs w:val="22"/>
                <w:lang w:val="es-MX"/>
              </w:rPr>
            </w:pPr>
          </w:p>
        </w:tc>
      </w:tr>
      <w:tr w:rsidR="00561B22" w:rsidRPr="001F3BB8" w14:paraId="02B89A02" w14:textId="77777777" w:rsidTr="00F1223B">
        <w:tc>
          <w:tcPr>
            <w:tcW w:w="562" w:type="dxa"/>
          </w:tcPr>
          <w:p w14:paraId="7093D5FE" w14:textId="77777777" w:rsidR="00561B22" w:rsidRPr="001F3BB8" w:rsidRDefault="00561B22" w:rsidP="00F1223B">
            <w:pPr>
              <w:jc w:val="center"/>
              <w:rPr>
                <w:rFonts w:ascii="Arial" w:hAnsi="Arial" w:cs="Arial"/>
                <w:b/>
                <w:sz w:val="22"/>
                <w:szCs w:val="22"/>
                <w:lang w:val="es-MX"/>
              </w:rPr>
            </w:pPr>
            <w:r w:rsidRPr="001F3BB8">
              <w:rPr>
                <w:rFonts w:ascii="Arial" w:hAnsi="Arial" w:cs="Arial"/>
                <w:b/>
                <w:sz w:val="22"/>
                <w:szCs w:val="22"/>
                <w:lang w:val="es-MX"/>
              </w:rPr>
              <w:t>1</w:t>
            </w:r>
          </w:p>
        </w:tc>
        <w:tc>
          <w:tcPr>
            <w:tcW w:w="9400" w:type="dxa"/>
          </w:tcPr>
          <w:p w14:paraId="72856675" w14:textId="77777777" w:rsidR="00561B22" w:rsidRPr="001F3BB8" w:rsidRDefault="00561B22" w:rsidP="00F1223B">
            <w:pPr>
              <w:jc w:val="both"/>
              <w:rPr>
                <w:rFonts w:ascii="Arial" w:hAnsi="Arial" w:cs="Arial"/>
                <w:bCs/>
                <w:sz w:val="22"/>
                <w:szCs w:val="22"/>
                <w:lang w:val="es-MX"/>
              </w:rPr>
            </w:pPr>
            <w:r w:rsidRPr="001F3BB8">
              <w:rPr>
                <w:rFonts w:ascii="Arial" w:hAnsi="Arial" w:cs="Arial"/>
                <w:bCs/>
                <w:sz w:val="22"/>
                <w:szCs w:val="22"/>
                <w:lang w:val="es-MX"/>
              </w:rPr>
              <w:t>Continuar con la buena gestión de los riesgos para la información contable. Seguir con las actividades de… (La entidad no envío la información completa).</w:t>
            </w:r>
          </w:p>
        </w:tc>
      </w:tr>
    </w:tbl>
    <w:p w14:paraId="7EF8E9CF" w14:textId="77777777" w:rsidR="00561B22" w:rsidRPr="001F3BB8" w:rsidRDefault="00561B22" w:rsidP="00561B22">
      <w:pPr>
        <w:pStyle w:val="Textoindependiente"/>
        <w:ind w:right="-50"/>
        <w:jc w:val="both"/>
        <w:rPr>
          <w:rFonts w:ascii="Arial" w:hAnsi="Arial" w:cs="Arial"/>
          <w:b/>
          <w:bCs/>
        </w:rPr>
      </w:pPr>
    </w:p>
    <w:p w14:paraId="2E2E950D" w14:textId="77777777" w:rsidR="00561B22" w:rsidRPr="00A860CC" w:rsidRDefault="00561B22" w:rsidP="00561B22">
      <w:pPr>
        <w:jc w:val="both"/>
        <w:rPr>
          <w:rFonts w:ascii="Arial" w:hAnsi="Arial" w:cs="Arial"/>
          <w:b/>
          <w:sz w:val="28"/>
          <w:szCs w:val="28"/>
          <w:lang w:val="es-MX"/>
        </w:rPr>
      </w:pPr>
      <w:r w:rsidRPr="00A860CC">
        <w:rPr>
          <w:rFonts w:ascii="Arial" w:hAnsi="Arial" w:cs="Arial"/>
          <w:b/>
          <w:sz w:val="28"/>
          <w:szCs w:val="28"/>
          <w:lang w:val="es-MX"/>
        </w:rPr>
        <w:t>158.- CORPORACIÓN AUTÓNOMA REGIONAL DE NARIÑO – CORPONARIÑO.</w:t>
      </w:r>
    </w:p>
    <w:p w14:paraId="4C18DF06" w14:textId="77777777" w:rsidR="00561B22" w:rsidRDefault="00561B22" w:rsidP="00561B22">
      <w:pPr>
        <w:ind w:right="49"/>
        <w:jc w:val="both"/>
        <w:rPr>
          <w:rFonts w:ascii="Arial" w:hAnsi="Arial" w:cs="Arial"/>
          <w:b/>
          <w:spacing w:val="-3"/>
          <w:sz w:val="24"/>
          <w:szCs w:val="24"/>
          <w:lang w:val="es-MX"/>
        </w:rPr>
      </w:pPr>
    </w:p>
    <w:p w14:paraId="7130D812" w14:textId="77777777" w:rsidR="00561B22" w:rsidRPr="002A5EA1" w:rsidRDefault="00561B22" w:rsidP="00561B22">
      <w:pPr>
        <w:pStyle w:val="Textoindependiente"/>
        <w:jc w:val="center"/>
        <w:rPr>
          <w:rFonts w:ascii="Arial" w:hAnsi="Arial" w:cs="Arial"/>
          <w:b/>
          <w:bCs/>
        </w:rPr>
      </w:pPr>
      <w:r w:rsidRPr="002A5EA1">
        <w:rPr>
          <w:rFonts w:ascii="Arial" w:hAnsi="Arial" w:cs="Arial"/>
          <w:b/>
          <w:bCs/>
        </w:rPr>
        <w:t>INFORME DE LA AUTOCALIFICACIÓN DEL SISTEMA DE CONTROL INTERNO CONTABLE:</w:t>
      </w:r>
    </w:p>
    <w:p w14:paraId="79DE2425" w14:textId="77777777" w:rsidR="00561B22" w:rsidRPr="002A5EA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A5EA1" w14:paraId="3790393B" w14:textId="77777777" w:rsidTr="00F1223B">
        <w:tc>
          <w:tcPr>
            <w:tcW w:w="4981" w:type="dxa"/>
          </w:tcPr>
          <w:p w14:paraId="5A1D9826"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AUTOCALIFICACIÓN</w:t>
            </w:r>
          </w:p>
        </w:tc>
        <w:tc>
          <w:tcPr>
            <w:tcW w:w="4981" w:type="dxa"/>
          </w:tcPr>
          <w:p w14:paraId="3C62DB9F" w14:textId="77777777" w:rsidR="00561B22" w:rsidRPr="002A5EA1" w:rsidRDefault="00561B22" w:rsidP="00F1223B">
            <w:pPr>
              <w:jc w:val="center"/>
              <w:rPr>
                <w:rFonts w:ascii="Arial" w:hAnsi="Arial" w:cs="Arial"/>
                <w:b/>
                <w:sz w:val="22"/>
                <w:szCs w:val="22"/>
                <w:u w:val="single"/>
                <w:lang w:val="es-MX"/>
              </w:rPr>
            </w:pPr>
            <w:r w:rsidRPr="002A5EA1">
              <w:rPr>
                <w:rFonts w:ascii="Arial" w:hAnsi="Arial" w:cs="Arial"/>
                <w:b/>
                <w:sz w:val="22"/>
                <w:szCs w:val="22"/>
                <w:u w:val="single"/>
                <w:lang w:val="es-MX"/>
              </w:rPr>
              <w:t>4.25</w:t>
            </w:r>
          </w:p>
        </w:tc>
      </w:tr>
    </w:tbl>
    <w:p w14:paraId="32F05770" w14:textId="77777777" w:rsidR="00561B22" w:rsidRPr="002A5EA1" w:rsidRDefault="00561B22" w:rsidP="00561B22">
      <w:pPr>
        <w:pStyle w:val="Textoindependiente"/>
        <w:jc w:val="both"/>
        <w:rPr>
          <w:rFonts w:ascii="Arial" w:hAnsi="Arial" w:cs="Arial"/>
          <w:b/>
          <w:bCs/>
        </w:rPr>
      </w:pPr>
    </w:p>
    <w:p w14:paraId="495736B5" w14:textId="77777777" w:rsidR="00561B22" w:rsidRPr="002A5EA1" w:rsidRDefault="00561B22" w:rsidP="00561B22">
      <w:pPr>
        <w:pStyle w:val="Textoindependiente"/>
        <w:jc w:val="both"/>
        <w:rPr>
          <w:rFonts w:ascii="Arial" w:hAnsi="Arial" w:cs="Arial"/>
          <w:b/>
          <w:bCs/>
        </w:rPr>
      </w:pPr>
      <w:r w:rsidRPr="002A5EA1">
        <w:rPr>
          <w:rFonts w:ascii="Arial" w:hAnsi="Arial" w:cs="Arial"/>
          <w:b/>
          <w:bCs/>
        </w:rPr>
        <w:t>Del informe enviado retomamos lo siguiente:</w:t>
      </w:r>
    </w:p>
    <w:p w14:paraId="31DAA17C" w14:textId="77777777" w:rsidR="00561B22" w:rsidRPr="002A5EA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A5EA1" w14:paraId="30B74680" w14:textId="77777777" w:rsidTr="00F1223B">
        <w:tc>
          <w:tcPr>
            <w:tcW w:w="562" w:type="dxa"/>
          </w:tcPr>
          <w:p w14:paraId="2B71E2D2"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N°</w:t>
            </w:r>
          </w:p>
        </w:tc>
        <w:tc>
          <w:tcPr>
            <w:tcW w:w="9400" w:type="dxa"/>
          </w:tcPr>
          <w:p w14:paraId="4B1764C9"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DEBILIDADES</w:t>
            </w:r>
          </w:p>
          <w:p w14:paraId="5B824C55" w14:textId="77777777" w:rsidR="00561B22" w:rsidRPr="002A5EA1" w:rsidRDefault="00561B22" w:rsidP="00F1223B">
            <w:pPr>
              <w:jc w:val="center"/>
              <w:rPr>
                <w:rFonts w:ascii="Arial" w:hAnsi="Arial" w:cs="Arial"/>
                <w:b/>
                <w:sz w:val="22"/>
                <w:szCs w:val="22"/>
                <w:lang w:val="es-MX"/>
              </w:rPr>
            </w:pPr>
          </w:p>
        </w:tc>
      </w:tr>
      <w:tr w:rsidR="00561B22" w:rsidRPr="002A5EA1" w14:paraId="3DBBAEBA" w14:textId="77777777" w:rsidTr="00F1223B">
        <w:tc>
          <w:tcPr>
            <w:tcW w:w="562" w:type="dxa"/>
          </w:tcPr>
          <w:p w14:paraId="02186C61"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1</w:t>
            </w:r>
          </w:p>
        </w:tc>
        <w:tc>
          <w:tcPr>
            <w:tcW w:w="9400" w:type="dxa"/>
          </w:tcPr>
          <w:p w14:paraId="7E026A79"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 xml:space="preserve">La falta personal permanente en área contable y financiera genera retrasos y reprocesos en el registro de la información financiera. 5. En el mapa de riesgos del proceso Gestión Administrativa y Financiera no se incluyen todos los riesgos de índole contable.      </w:t>
            </w:r>
          </w:p>
        </w:tc>
      </w:tr>
      <w:tr w:rsidR="00561B22" w:rsidRPr="002A5EA1" w14:paraId="5AA20B50" w14:textId="77777777" w:rsidTr="00F1223B">
        <w:tc>
          <w:tcPr>
            <w:tcW w:w="562" w:type="dxa"/>
          </w:tcPr>
          <w:p w14:paraId="642AEF68"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2</w:t>
            </w:r>
          </w:p>
        </w:tc>
        <w:tc>
          <w:tcPr>
            <w:tcW w:w="9400" w:type="dxa"/>
          </w:tcPr>
          <w:p w14:paraId="5E2F60D1"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Existe deficiencias en la inducción y reinducción especifica de los funcionarios involucrados en el proceso contable</w:t>
            </w:r>
          </w:p>
        </w:tc>
      </w:tr>
      <w:tr w:rsidR="00561B22" w:rsidRPr="002A5EA1" w14:paraId="034AB537" w14:textId="77777777" w:rsidTr="00F1223B">
        <w:tc>
          <w:tcPr>
            <w:tcW w:w="562" w:type="dxa"/>
          </w:tcPr>
          <w:p w14:paraId="1598F0A7"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3</w:t>
            </w:r>
          </w:p>
        </w:tc>
        <w:tc>
          <w:tcPr>
            <w:tcW w:w="9400" w:type="dxa"/>
          </w:tcPr>
          <w:p w14:paraId="2755026C"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En la Corporación no se dispone de un sistema de indicadores financieros que proporcione información razonable para analizar e interpretar la realidad financiera de la entidad</w:t>
            </w:r>
          </w:p>
        </w:tc>
      </w:tr>
      <w:tr w:rsidR="00561B22" w:rsidRPr="002A5EA1" w14:paraId="198D0477" w14:textId="77777777" w:rsidTr="00F1223B">
        <w:tc>
          <w:tcPr>
            <w:tcW w:w="562" w:type="dxa"/>
          </w:tcPr>
          <w:p w14:paraId="6416B97F"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lastRenderedPageBreak/>
              <w:t>4</w:t>
            </w:r>
          </w:p>
        </w:tc>
        <w:tc>
          <w:tcPr>
            <w:tcW w:w="9400" w:type="dxa"/>
          </w:tcPr>
          <w:p w14:paraId="56D73805"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En los procesos y procedimientos de la Entidad existen controles establecidos que no son implementados y verificados permanentemente</w:t>
            </w:r>
          </w:p>
        </w:tc>
      </w:tr>
      <w:tr w:rsidR="00561B22" w:rsidRPr="002A5EA1" w14:paraId="3C03D6C7" w14:textId="77777777" w:rsidTr="00F1223B">
        <w:tc>
          <w:tcPr>
            <w:tcW w:w="562" w:type="dxa"/>
          </w:tcPr>
          <w:p w14:paraId="51F10B3E"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5</w:t>
            </w:r>
          </w:p>
        </w:tc>
        <w:tc>
          <w:tcPr>
            <w:tcW w:w="9400" w:type="dxa"/>
          </w:tcPr>
          <w:p w14:paraId="27492457"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 xml:space="preserve">En el mapa de riesgos del proceso Gestión Administrativa y Financiera no se incluyen todos los riesgos de índole contable.      </w:t>
            </w:r>
          </w:p>
        </w:tc>
      </w:tr>
    </w:tbl>
    <w:p w14:paraId="7A535A78" w14:textId="77777777" w:rsidR="00561B22" w:rsidRPr="002A5EA1" w:rsidRDefault="00561B22" w:rsidP="00561B22">
      <w:pPr>
        <w:pStyle w:val="Textoindependiente"/>
        <w:jc w:val="both"/>
        <w:rPr>
          <w:rFonts w:ascii="Arial" w:hAnsi="Arial" w:cs="Arial"/>
          <w:b/>
          <w:bCs/>
        </w:rPr>
      </w:pPr>
    </w:p>
    <w:p w14:paraId="6AC2A70D" w14:textId="6CBB5BA3" w:rsidR="00561B22" w:rsidRDefault="00561B22" w:rsidP="00561B22">
      <w:pPr>
        <w:jc w:val="both"/>
        <w:rPr>
          <w:rFonts w:ascii="Arial" w:hAnsi="Arial" w:cs="Arial"/>
          <w:b/>
          <w:lang w:val="es-MX"/>
        </w:rPr>
      </w:pPr>
      <w:r w:rsidRPr="002A5EA1">
        <w:rPr>
          <w:rFonts w:ascii="Arial" w:hAnsi="Arial" w:cs="Arial"/>
          <w:b/>
          <w:lang w:val="es-MX"/>
        </w:rPr>
        <w:t>Del citado informe retomamos las siguientes recomendaciones:</w:t>
      </w:r>
    </w:p>
    <w:p w14:paraId="6AB76D94" w14:textId="77777777" w:rsidR="00BD6EEF" w:rsidRPr="002A5EA1" w:rsidRDefault="00BD6EEF"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2A5EA1" w14:paraId="0B71DF3E" w14:textId="77777777" w:rsidTr="00F1223B">
        <w:tc>
          <w:tcPr>
            <w:tcW w:w="562" w:type="dxa"/>
          </w:tcPr>
          <w:p w14:paraId="488F887F"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N°</w:t>
            </w:r>
          </w:p>
        </w:tc>
        <w:tc>
          <w:tcPr>
            <w:tcW w:w="9400" w:type="dxa"/>
          </w:tcPr>
          <w:p w14:paraId="457443C2"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RECOMENDACIONES</w:t>
            </w:r>
          </w:p>
          <w:p w14:paraId="1858383B" w14:textId="77777777" w:rsidR="00561B22" w:rsidRPr="002A5EA1" w:rsidRDefault="00561B22" w:rsidP="00F1223B">
            <w:pPr>
              <w:jc w:val="center"/>
              <w:rPr>
                <w:rFonts w:ascii="Arial" w:hAnsi="Arial" w:cs="Arial"/>
                <w:b/>
                <w:sz w:val="22"/>
                <w:szCs w:val="22"/>
                <w:lang w:val="es-MX"/>
              </w:rPr>
            </w:pPr>
          </w:p>
        </w:tc>
      </w:tr>
      <w:tr w:rsidR="00561B22" w:rsidRPr="002A5EA1" w14:paraId="591C5837" w14:textId="77777777" w:rsidTr="00F1223B">
        <w:tc>
          <w:tcPr>
            <w:tcW w:w="562" w:type="dxa"/>
          </w:tcPr>
          <w:p w14:paraId="2A8DFCA8"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1</w:t>
            </w:r>
          </w:p>
        </w:tc>
        <w:tc>
          <w:tcPr>
            <w:tcW w:w="9400" w:type="dxa"/>
          </w:tcPr>
          <w:p w14:paraId="2422762D"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 xml:space="preserve">Mantener personal idóneo, permanente y suficientes el área contable para evitar retrasos en las actividades de los procedimientos contables.  </w:t>
            </w:r>
          </w:p>
        </w:tc>
      </w:tr>
      <w:tr w:rsidR="00561B22" w:rsidRPr="002A5EA1" w14:paraId="5263B96E" w14:textId="77777777" w:rsidTr="00F1223B">
        <w:tc>
          <w:tcPr>
            <w:tcW w:w="562" w:type="dxa"/>
          </w:tcPr>
          <w:p w14:paraId="2F7114D7"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2</w:t>
            </w:r>
          </w:p>
        </w:tc>
        <w:tc>
          <w:tcPr>
            <w:tcW w:w="9400" w:type="dxa"/>
          </w:tcPr>
          <w:p w14:paraId="2039544C"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Fortalecer los procesos de capacitación y de inducción específica del personal vinculado al área contable (procedimientos, manuales, instructivos y manejo de PCT) y establecer indicadores que permitan medir su eficacia.</w:t>
            </w:r>
          </w:p>
        </w:tc>
      </w:tr>
      <w:tr w:rsidR="00561B22" w:rsidRPr="002A5EA1" w14:paraId="56255526" w14:textId="77777777" w:rsidTr="00F1223B">
        <w:tc>
          <w:tcPr>
            <w:tcW w:w="562" w:type="dxa"/>
          </w:tcPr>
          <w:p w14:paraId="56CD9849"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3</w:t>
            </w:r>
          </w:p>
        </w:tc>
        <w:tc>
          <w:tcPr>
            <w:tcW w:w="9400" w:type="dxa"/>
          </w:tcPr>
          <w:p w14:paraId="285814DE"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Establecer indicadores financieros y contables que permitan realizar un seguimiento oportuno y eficaz del comportamiento financiero de la Entidad.</w:t>
            </w:r>
          </w:p>
        </w:tc>
      </w:tr>
      <w:tr w:rsidR="00561B22" w:rsidRPr="002A5EA1" w14:paraId="77D10C05" w14:textId="77777777" w:rsidTr="00F1223B">
        <w:tc>
          <w:tcPr>
            <w:tcW w:w="562" w:type="dxa"/>
          </w:tcPr>
          <w:p w14:paraId="71407E19"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4</w:t>
            </w:r>
          </w:p>
        </w:tc>
        <w:tc>
          <w:tcPr>
            <w:tcW w:w="9400" w:type="dxa"/>
          </w:tcPr>
          <w:p w14:paraId="5232897B"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Fortalecer la verificación por parte de los responsables de cada proceso, respecto a la realización y oportunidad del reporte de los hechos económicos al área financiera</w:t>
            </w:r>
          </w:p>
        </w:tc>
      </w:tr>
      <w:tr w:rsidR="00561B22" w:rsidRPr="002A5EA1" w14:paraId="2B54AAE8" w14:textId="77777777" w:rsidTr="00F1223B">
        <w:tc>
          <w:tcPr>
            <w:tcW w:w="562" w:type="dxa"/>
          </w:tcPr>
          <w:p w14:paraId="29C721F1" w14:textId="77777777" w:rsidR="00561B22" w:rsidRPr="002A5EA1" w:rsidRDefault="00561B22" w:rsidP="00F1223B">
            <w:pPr>
              <w:jc w:val="center"/>
              <w:rPr>
                <w:rFonts w:ascii="Arial" w:hAnsi="Arial" w:cs="Arial"/>
                <w:b/>
                <w:sz w:val="22"/>
                <w:szCs w:val="22"/>
                <w:lang w:val="es-MX"/>
              </w:rPr>
            </w:pPr>
            <w:r w:rsidRPr="002A5EA1">
              <w:rPr>
                <w:rFonts w:ascii="Arial" w:hAnsi="Arial" w:cs="Arial"/>
                <w:b/>
                <w:sz w:val="22"/>
                <w:szCs w:val="22"/>
                <w:lang w:val="es-MX"/>
              </w:rPr>
              <w:t>5</w:t>
            </w:r>
          </w:p>
        </w:tc>
        <w:tc>
          <w:tcPr>
            <w:tcW w:w="9400" w:type="dxa"/>
          </w:tcPr>
          <w:p w14:paraId="576DD36C" w14:textId="77777777" w:rsidR="00561B22" w:rsidRPr="002A5EA1" w:rsidRDefault="00561B22" w:rsidP="00F1223B">
            <w:pPr>
              <w:jc w:val="both"/>
              <w:rPr>
                <w:rFonts w:ascii="Arial" w:hAnsi="Arial" w:cs="Arial"/>
                <w:bCs/>
                <w:sz w:val="22"/>
                <w:szCs w:val="22"/>
                <w:lang w:val="es-MX"/>
              </w:rPr>
            </w:pPr>
            <w:r w:rsidRPr="002A5EA1">
              <w:rPr>
                <w:rFonts w:ascii="Arial" w:hAnsi="Arial" w:cs="Arial"/>
                <w:bCs/>
                <w:sz w:val="22"/>
                <w:szCs w:val="22"/>
                <w:lang w:val="es-MX"/>
              </w:rPr>
              <w:t xml:space="preserve">Se debe revisar y actualizar el mapa de riesgos del proceso Gestión administrativa y financiera respecto a los riesgos de índole contable y establecer controles y acciones para evitar y mitigar su materialización. </w:t>
            </w:r>
          </w:p>
        </w:tc>
      </w:tr>
    </w:tbl>
    <w:p w14:paraId="6A2D437F" w14:textId="77777777" w:rsidR="00561B22" w:rsidRPr="002A5EA1" w:rsidRDefault="00561B22" w:rsidP="00561B22">
      <w:pPr>
        <w:jc w:val="both"/>
        <w:rPr>
          <w:rFonts w:ascii="Arial" w:hAnsi="Arial" w:cs="Arial"/>
          <w:b/>
          <w:bCs/>
          <w:sz w:val="24"/>
          <w:szCs w:val="24"/>
          <w:lang w:val="es-CO"/>
        </w:rPr>
      </w:pPr>
    </w:p>
    <w:p w14:paraId="65834856" w14:textId="77777777" w:rsidR="00561B22" w:rsidRPr="002A5EA1" w:rsidRDefault="00561B22" w:rsidP="00561B22">
      <w:pPr>
        <w:jc w:val="both"/>
        <w:rPr>
          <w:rFonts w:ascii="Arial" w:hAnsi="Arial" w:cs="Arial"/>
          <w:b/>
          <w:bCs/>
          <w:sz w:val="24"/>
          <w:szCs w:val="24"/>
          <w:lang w:val="es-CO"/>
        </w:rPr>
      </w:pPr>
      <w:r w:rsidRPr="002A5EA1">
        <w:rPr>
          <w:rFonts w:ascii="Arial" w:hAnsi="Arial" w:cs="Arial"/>
          <w:b/>
          <w:bCs/>
          <w:sz w:val="24"/>
          <w:szCs w:val="24"/>
          <w:lang w:val="es-CO"/>
        </w:rPr>
        <w:t xml:space="preserve">NOTA: LA ENTIDAD ENVIA LA MATRIZ DE AUTOEVALUACIÓN DEL SISTEMA DE CONTROL INTERNO CONTABLE CON ACTIVIDADES DE CONTROL REALIZADAS </w:t>
      </w:r>
      <w:r w:rsidRPr="002A5EA1">
        <w:rPr>
          <w:rFonts w:ascii="Arial" w:hAnsi="Arial" w:cs="Arial"/>
          <w:b/>
          <w:bCs/>
          <w:sz w:val="24"/>
          <w:szCs w:val="24"/>
          <w:u w:val="single"/>
          <w:lang w:val="es-CO"/>
        </w:rPr>
        <w:t>EN FORMA PARCIAL Y OTRAS SIMPLEMENTE INFORMAN QUE NO SE REALIZARON</w:t>
      </w:r>
      <w:r w:rsidRPr="002A5EA1">
        <w:rPr>
          <w:rFonts w:ascii="Arial" w:hAnsi="Arial" w:cs="Arial"/>
          <w:b/>
          <w:bCs/>
          <w:sz w:val="24"/>
          <w:szCs w:val="24"/>
          <w:lang w:val="es-CO"/>
        </w:rPr>
        <w:t>.</w:t>
      </w:r>
    </w:p>
    <w:p w14:paraId="787AE5FA" w14:textId="77777777" w:rsidR="00561B22" w:rsidRPr="002A5EA1" w:rsidRDefault="00561B22" w:rsidP="00561B22">
      <w:pPr>
        <w:ind w:left="720" w:hanging="720"/>
        <w:jc w:val="both"/>
        <w:rPr>
          <w:rFonts w:ascii="Arial" w:hAnsi="Arial" w:cs="Arial"/>
          <w:b/>
          <w:bCs/>
          <w:sz w:val="24"/>
          <w:szCs w:val="24"/>
          <w:lang w:val="es-CO"/>
        </w:rPr>
      </w:pPr>
    </w:p>
    <w:p w14:paraId="1DD5A6C0" w14:textId="77777777" w:rsidR="00561B22" w:rsidRPr="00984702" w:rsidRDefault="00561B22" w:rsidP="00561B22">
      <w:pPr>
        <w:jc w:val="both"/>
        <w:rPr>
          <w:rFonts w:ascii="Arial" w:hAnsi="Arial" w:cs="Arial"/>
          <w:b/>
          <w:sz w:val="28"/>
          <w:szCs w:val="28"/>
          <w:lang w:val="es-MX"/>
        </w:rPr>
      </w:pPr>
      <w:r w:rsidRPr="00984702">
        <w:rPr>
          <w:rFonts w:ascii="Arial" w:hAnsi="Arial" w:cs="Arial"/>
          <w:b/>
          <w:sz w:val="28"/>
          <w:szCs w:val="28"/>
          <w:lang w:val="es-MX"/>
        </w:rPr>
        <w:t xml:space="preserve">159.- ESENTTIA S.A. </w:t>
      </w:r>
    </w:p>
    <w:p w14:paraId="286AE234" w14:textId="77777777" w:rsidR="00561B22" w:rsidRPr="002A5EA1" w:rsidRDefault="00561B22" w:rsidP="00561B22">
      <w:pPr>
        <w:ind w:right="1900"/>
        <w:rPr>
          <w:b/>
          <w:color w:val="FF0000"/>
          <w:sz w:val="24"/>
          <w:lang w:val="es-CO"/>
        </w:rPr>
      </w:pPr>
    </w:p>
    <w:p w14:paraId="27749F30" w14:textId="77777777" w:rsidR="00561B22" w:rsidRPr="00984702" w:rsidRDefault="00561B22" w:rsidP="00561B22">
      <w:pPr>
        <w:pStyle w:val="Textoindependiente"/>
        <w:ind w:right="-50"/>
        <w:jc w:val="center"/>
        <w:rPr>
          <w:rFonts w:ascii="Arial" w:hAnsi="Arial" w:cs="Arial"/>
          <w:b/>
          <w:bCs/>
        </w:rPr>
      </w:pPr>
      <w:r w:rsidRPr="00984702">
        <w:rPr>
          <w:rFonts w:ascii="Arial" w:hAnsi="Arial" w:cs="Arial"/>
          <w:b/>
          <w:bCs/>
        </w:rPr>
        <w:t>INFORME DE LA AUTOCALIFICACIÓN DEL SISTEMA DE CONTROL INTERNO CONTABLE:</w:t>
      </w:r>
    </w:p>
    <w:p w14:paraId="400BB40D" w14:textId="77777777" w:rsidR="00561B22" w:rsidRPr="009847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84702" w14:paraId="25BF1405" w14:textId="77777777" w:rsidTr="00F1223B">
        <w:tc>
          <w:tcPr>
            <w:tcW w:w="4981" w:type="dxa"/>
          </w:tcPr>
          <w:p w14:paraId="1C0738BB" w14:textId="77777777" w:rsidR="00561B22" w:rsidRPr="00984702" w:rsidRDefault="00561B22" w:rsidP="00F1223B">
            <w:pPr>
              <w:jc w:val="center"/>
              <w:rPr>
                <w:rFonts w:ascii="Arial" w:hAnsi="Arial" w:cs="Arial"/>
                <w:b/>
                <w:sz w:val="22"/>
                <w:szCs w:val="22"/>
                <w:lang w:val="es-MX"/>
              </w:rPr>
            </w:pPr>
            <w:r w:rsidRPr="00984702">
              <w:rPr>
                <w:rFonts w:ascii="Arial" w:hAnsi="Arial" w:cs="Arial"/>
                <w:b/>
                <w:sz w:val="22"/>
                <w:szCs w:val="22"/>
                <w:lang w:val="es-MX"/>
              </w:rPr>
              <w:t>AUTOCALIFICACIÓN</w:t>
            </w:r>
          </w:p>
        </w:tc>
        <w:tc>
          <w:tcPr>
            <w:tcW w:w="4981" w:type="dxa"/>
          </w:tcPr>
          <w:p w14:paraId="5C1827E3" w14:textId="77777777" w:rsidR="00561B22" w:rsidRPr="00984702" w:rsidRDefault="00561B22" w:rsidP="00F1223B">
            <w:pPr>
              <w:jc w:val="center"/>
              <w:rPr>
                <w:rFonts w:ascii="Arial" w:hAnsi="Arial" w:cs="Arial"/>
                <w:b/>
                <w:sz w:val="22"/>
                <w:szCs w:val="22"/>
                <w:u w:val="single"/>
                <w:lang w:val="es-MX"/>
              </w:rPr>
            </w:pPr>
            <w:r w:rsidRPr="00984702">
              <w:rPr>
                <w:rFonts w:ascii="Arial" w:hAnsi="Arial" w:cs="Arial"/>
                <w:b/>
                <w:sz w:val="22"/>
                <w:szCs w:val="22"/>
                <w:u w:val="single"/>
                <w:lang w:val="es-MX"/>
              </w:rPr>
              <w:t>4.92</w:t>
            </w:r>
          </w:p>
        </w:tc>
      </w:tr>
    </w:tbl>
    <w:p w14:paraId="2E6FD484" w14:textId="77777777" w:rsidR="00561B22" w:rsidRPr="00984702" w:rsidRDefault="00561B22" w:rsidP="00561B22">
      <w:pPr>
        <w:pStyle w:val="Textoindependiente"/>
        <w:ind w:right="-50"/>
        <w:jc w:val="both"/>
        <w:rPr>
          <w:rFonts w:ascii="Arial" w:hAnsi="Arial" w:cs="Arial"/>
          <w:b/>
          <w:bCs/>
        </w:rPr>
      </w:pPr>
    </w:p>
    <w:p w14:paraId="1338977C" w14:textId="77777777" w:rsidR="00561B22" w:rsidRPr="00984702" w:rsidRDefault="00561B22" w:rsidP="00561B22">
      <w:pPr>
        <w:pStyle w:val="Textoindependiente"/>
        <w:ind w:right="-50"/>
        <w:jc w:val="both"/>
        <w:rPr>
          <w:rFonts w:ascii="Arial" w:hAnsi="Arial" w:cs="Arial"/>
          <w:b/>
          <w:bCs/>
        </w:rPr>
      </w:pPr>
      <w:r w:rsidRPr="00984702">
        <w:rPr>
          <w:rFonts w:ascii="Arial" w:hAnsi="Arial" w:cs="Arial"/>
          <w:b/>
          <w:bCs/>
        </w:rPr>
        <w:t>Del informe enviado retomamos lo siguiente:</w:t>
      </w:r>
    </w:p>
    <w:p w14:paraId="7D18271E" w14:textId="77777777" w:rsidR="00561B22" w:rsidRPr="009847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84702" w14:paraId="55C96E97" w14:textId="77777777" w:rsidTr="00F1223B">
        <w:tc>
          <w:tcPr>
            <w:tcW w:w="562" w:type="dxa"/>
          </w:tcPr>
          <w:p w14:paraId="22A19725" w14:textId="77777777" w:rsidR="00561B22" w:rsidRPr="00984702" w:rsidRDefault="00561B22" w:rsidP="00F1223B">
            <w:pPr>
              <w:ind w:right="-109"/>
              <w:jc w:val="center"/>
              <w:rPr>
                <w:rFonts w:ascii="Arial" w:hAnsi="Arial" w:cs="Arial"/>
                <w:b/>
                <w:sz w:val="22"/>
                <w:szCs w:val="22"/>
                <w:lang w:val="es-MX"/>
              </w:rPr>
            </w:pPr>
            <w:r w:rsidRPr="00984702">
              <w:rPr>
                <w:rFonts w:ascii="Arial" w:hAnsi="Arial" w:cs="Arial"/>
                <w:b/>
                <w:sz w:val="22"/>
                <w:szCs w:val="22"/>
                <w:lang w:val="es-MX"/>
              </w:rPr>
              <w:t>N°</w:t>
            </w:r>
          </w:p>
        </w:tc>
        <w:tc>
          <w:tcPr>
            <w:tcW w:w="9400" w:type="dxa"/>
          </w:tcPr>
          <w:p w14:paraId="2C3039FD" w14:textId="77777777" w:rsidR="00561B22" w:rsidRPr="00984702" w:rsidRDefault="00561B22" w:rsidP="00F1223B">
            <w:pPr>
              <w:jc w:val="center"/>
              <w:rPr>
                <w:rFonts w:ascii="Arial" w:hAnsi="Arial" w:cs="Arial"/>
                <w:b/>
                <w:sz w:val="22"/>
                <w:szCs w:val="22"/>
                <w:lang w:val="es-MX"/>
              </w:rPr>
            </w:pPr>
            <w:r w:rsidRPr="00984702">
              <w:rPr>
                <w:rFonts w:ascii="Arial" w:hAnsi="Arial" w:cs="Arial"/>
                <w:b/>
                <w:sz w:val="22"/>
                <w:szCs w:val="22"/>
                <w:lang w:val="es-MX"/>
              </w:rPr>
              <w:t>DEBILIDADES</w:t>
            </w:r>
          </w:p>
          <w:p w14:paraId="512D66B1" w14:textId="77777777" w:rsidR="00561B22" w:rsidRPr="00984702" w:rsidRDefault="00561B22" w:rsidP="00F1223B">
            <w:pPr>
              <w:jc w:val="center"/>
              <w:rPr>
                <w:rFonts w:ascii="Arial" w:hAnsi="Arial" w:cs="Arial"/>
                <w:b/>
                <w:sz w:val="22"/>
                <w:szCs w:val="22"/>
                <w:lang w:val="es-MX"/>
              </w:rPr>
            </w:pPr>
          </w:p>
        </w:tc>
      </w:tr>
      <w:tr w:rsidR="00561B22" w:rsidRPr="00984702" w14:paraId="3D36E1BA" w14:textId="77777777" w:rsidTr="00F1223B">
        <w:tc>
          <w:tcPr>
            <w:tcW w:w="562" w:type="dxa"/>
          </w:tcPr>
          <w:p w14:paraId="2BA46BFA" w14:textId="77777777" w:rsidR="00561B22" w:rsidRPr="00984702" w:rsidRDefault="00561B22" w:rsidP="00F1223B">
            <w:pPr>
              <w:jc w:val="center"/>
              <w:rPr>
                <w:rFonts w:ascii="Arial" w:hAnsi="Arial" w:cs="Arial"/>
                <w:b/>
                <w:sz w:val="22"/>
                <w:szCs w:val="22"/>
                <w:lang w:val="es-MX"/>
              </w:rPr>
            </w:pPr>
            <w:r w:rsidRPr="00984702">
              <w:rPr>
                <w:rFonts w:ascii="Arial" w:hAnsi="Arial" w:cs="Arial"/>
                <w:b/>
                <w:sz w:val="22"/>
                <w:szCs w:val="22"/>
                <w:lang w:val="es-MX"/>
              </w:rPr>
              <w:t>1</w:t>
            </w:r>
          </w:p>
        </w:tc>
        <w:tc>
          <w:tcPr>
            <w:tcW w:w="9400" w:type="dxa"/>
          </w:tcPr>
          <w:p w14:paraId="5DCF167B" w14:textId="77777777" w:rsidR="00561B22" w:rsidRPr="00984702" w:rsidRDefault="00561B22" w:rsidP="00F1223B">
            <w:pPr>
              <w:jc w:val="both"/>
              <w:rPr>
                <w:rFonts w:ascii="Arial" w:hAnsi="Arial" w:cs="Arial"/>
                <w:bCs/>
                <w:sz w:val="22"/>
                <w:szCs w:val="22"/>
                <w:lang w:val="es-MX"/>
              </w:rPr>
            </w:pPr>
            <w:r w:rsidRPr="00984702">
              <w:rPr>
                <w:rFonts w:ascii="Arial" w:hAnsi="Arial" w:cs="Arial"/>
                <w:bCs/>
                <w:sz w:val="22"/>
                <w:szCs w:val="22"/>
                <w:lang w:val="es-MX"/>
              </w:rPr>
              <w:t xml:space="preserve">a) Seguimiento y gestión para la legalización o compensación de anticipos sobre los bienes o servicios recibidos por la Compañía, para lo cual se han implementado varias acciones asociadas a: </w:t>
            </w:r>
          </w:p>
          <w:p w14:paraId="6C9E6384" w14:textId="77777777" w:rsidR="00561B22" w:rsidRPr="00984702" w:rsidRDefault="00561B22" w:rsidP="00F1223B">
            <w:pPr>
              <w:jc w:val="both"/>
              <w:rPr>
                <w:rFonts w:ascii="Arial" w:hAnsi="Arial" w:cs="Arial"/>
                <w:bCs/>
                <w:sz w:val="22"/>
                <w:szCs w:val="22"/>
                <w:lang w:val="es-MX"/>
              </w:rPr>
            </w:pPr>
          </w:p>
          <w:p w14:paraId="135CC24E" w14:textId="77777777" w:rsidR="00561B22" w:rsidRPr="00984702" w:rsidRDefault="00561B22" w:rsidP="00561B22">
            <w:pPr>
              <w:pStyle w:val="Prrafodelista"/>
              <w:numPr>
                <w:ilvl w:val="0"/>
                <w:numId w:val="114"/>
              </w:numPr>
              <w:spacing w:before="1"/>
              <w:jc w:val="both"/>
              <w:rPr>
                <w:rFonts w:ascii="Arial" w:hAnsi="Arial" w:cs="Arial"/>
                <w:bCs/>
                <w:sz w:val="22"/>
                <w:szCs w:val="22"/>
                <w:lang w:val="es-MX"/>
              </w:rPr>
            </w:pPr>
            <w:r w:rsidRPr="00984702">
              <w:rPr>
                <w:rFonts w:ascii="Arial" w:hAnsi="Arial" w:cs="Arial"/>
                <w:bCs/>
                <w:sz w:val="22"/>
                <w:szCs w:val="22"/>
                <w:lang w:val="es-MX"/>
              </w:rPr>
              <w:t>La conciliación de cuentas de anticipos a proveedores.</w:t>
            </w:r>
          </w:p>
          <w:p w14:paraId="6896EDD8" w14:textId="77777777" w:rsidR="00561B22" w:rsidRPr="00984702" w:rsidRDefault="00561B22" w:rsidP="00F1223B">
            <w:pPr>
              <w:pStyle w:val="Prrafodelista"/>
              <w:ind w:left="1080"/>
              <w:rPr>
                <w:rFonts w:ascii="Arial" w:hAnsi="Arial" w:cs="Arial"/>
                <w:bCs/>
                <w:sz w:val="22"/>
                <w:szCs w:val="22"/>
                <w:lang w:val="es-MX"/>
              </w:rPr>
            </w:pPr>
          </w:p>
          <w:p w14:paraId="012F6A90" w14:textId="77777777" w:rsidR="00561B22" w:rsidRPr="00984702" w:rsidRDefault="00561B22" w:rsidP="00561B22">
            <w:pPr>
              <w:pStyle w:val="Prrafodelista"/>
              <w:numPr>
                <w:ilvl w:val="0"/>
                <w:numId w:val="114"/>
              </w:numPr>
              <w:spacing w:before="1"/>
              <w:jc w:val="both"/>
              <w:rPr>
                <w:rFonts w:ascii="Arial" w:hAnsi="Arial" w:cs="Arial"/>
                <w:bCs/>
                <w:sz w:val="22"/>
                <w:szCs w:val="22"/>
                <w:lang w:val="es-MX"/>
              </w:rPr>
            </w:pPr>
            <w:r w:rsidRPr="00984702">
              <w:rPr>
                <w:rFonts w:ascii="Arial" w:hAnsi="Arial" w:cs="Arial"/>
                <w:bCs/>
                <w:sz w:val="22"/>
                <w:szCs w:val="22"/>
                <w:lang w:val="es-MX"/>
              </w:rPr>
              <w:t xml:space="preserve">Incluir los correos de los gestores de compras e interventores en EBILL para que sean notificados de los rechazos de las facturas y, </w:t>
            </w:r>
          </w:p>
          <w:p w14:paraId="1317C9CB" w14:textId="77777777" w:rsidR="00561B22" w:rsidRPr="00984702" w:rsidRDefault="00561B22" w:rsidP="00F1223B">
            <w:pPr>
              <w:rPr>
                <w:rFonts w:ascii="Arial" w:hAnsi="Arial" w:cs="Arial"/>
                <w:bCs/>
                <w:sz w:val="22"/>
                <w:szCs w:val="22"/>
                <w:lang w:val="es-MX"/>
              </w:rPr>
            </w:pPr>
          </w:p>
          <w:p w14:paraId="12A51C0F" w14:textId="77777777" w:rsidR="00561B22" w:rsidRPr="00984702" w:rsidRDefault="00561B22" w:rsidP="00561B22">
            <w:pPr>
              <w:pStyle w:val="Prrafodelista"/>
              <w:numPr>
                <w:ilvl w:val="0"/>
                <w:numId w:val="114"/>
              </w:numPr>
              <w:spacing w:before="1"/>
              <w:jc w:val="both"/>
              <w:rPr>
                <w:rFonts w:ascii="Arial" w:hAnsi="Arial" w:cs="Arial"/>
                <w:bCs/>
                <w:sz w:val="22"/>
                <w:szCs w:val="22"/>
                <w:lang w:val="es-MX"/>
              </w:rPr>
            </w:pPr>
            <w:r w:rsidRPr="00984702">
              <w:rPr>
                <w:rFonts w:ascii="Arial" w:hAnsi="Arial" w:cs="Arial"/>
                <w:bCs/>
                <w:sz w:val="22"/>
                <w:szCs w:val="22"/>
                <w:lang w:val="es-MX"/>
              </w:rPr>
              <w:t>Ajuste de políticas y procedimientos entre otros.</w:t>
            </w:r>
          </w:p>
          <w:p w14:paraId="633229FA" w14:textId="77777777" w:rsidR="00561B22" w:rsidRPr="00984702" w:rsidRDefault="00561B22" w:rsidP="00F1223B">
            <w:pPr>
              <w:pStyle w:val="Prrafodelista"/>
              <w:ind w:left="1080"/>
              <w:rPr>
                <w:rFonts w:ascii="Arial" w:hAnsi="Arial" w:cs="Arial"/>
                <w:bCs/>
                <w:sz w:val="22"/>
                <w:szCs w:val="22"/>
                <w:lang w:val="es-MX"/>
              </w:rPr>
            </w:pPr>
          </w:p>
          <w:p w14:paraId="168138B2" w14:textId="77777777" w:rsidR="00561B22" w:rsidRPr="00984702" w:rsidRDefault="00561B22" w:rsidP="00F1223B">
            <w:pPr>
              <w:jc w:val="both"/>
              <w:rPr>
                <w:rFonts w:ascii="Arial" w:hAnsi="Arial" w:cs="Arial"/>
                <w:bCs/>
                <w:sz w:val="22"/>
                <w:szCs w:val="22"/>
                <w:lang w:val="es-MX"/>
              </w:rPr>
            </w:pPr>
            <w:r w:rsidRPr="00984702">
              <w:rPr>
                <w:rFonts w:ascii="Arial" w:hAnsi="Arial" w:cs="Arial"/>
                <w:bCs/>
                <w:sz w:val="22"/>
                <w:szCs w:val="22"/>
                <w:lang w:val="es-MX"/>
              </w:rPr>
              <w:t xml:space="preserve"> b) Distribución de costos fijos (Registro de ineficiencia), ajustes de inventarios de productos terminados por determinación de Valor Neto de Realización (VNR), modelo de gobierno asociada a la gestión del costeo del producto, en donde se están implementando los siguientes planes de acción:</w:t>
            </w:r>
          </w:p>
          <w:p w14:paraId="7668D0CA" w14:textId="77777777" w:rsidR="00561B22" w:rsidRPr="00984702" w:rsidRDefault="00561B22" w:rsidP="00F1223B">
            <w:pPr>
              <w:jc w:val="both"/>
              <w:rPr>
                <w:rFonts w:ascii="Arial" w:hAnsi="Arial" w:cs="Arial"/>
                <w:bCs/>
                <w:sz w:val="22"/>
                <w:szCs w:val="22"/>
                <w:lang w:val="es-MX"/>
              </w:rPr>
            </w:pPr>
          </w:p>
          <w:p w14:paraId="2E1EC434" w14:textId="77777777" w:rsidR="00561B22" w:rsidRPr="00984702" w:rsidRDefault="00561B22" w:rsidP="00561B22">
            <w:pPr>
              <w:pStyle w:val="Prrafodelista"/>
              <w:numPr>
                <w:ilvl w:val="0"/>
                <w:numId w:val="113"/>
              </w:numPr>
              <w:spacing w:before="1"/>
              <w:jc w:val="both"/>
              <w:rPr>
                <w:rFonts w:ascii="Arial" w:hAnsi="Arial" w:cs="Arial"/>
                <w:bCs/>
                <w:sz w:val="22"/>
                <w:szCs w:val="22"/>
                <w:lang w:val="es-MX"/>
              </w:rPr>
            </w:pPr>
            <w:r w:rsidRPr="00984702">
              <w:rPr>
                <w:rFonts w:ascii="Arial" w:hAnsi="Arial" w:cs="Arial"/>
                <w:bCs/>
                <w:sz w:val="22"/>
                <w:szCs w:val="22"/>
                <w:lang w:val="es-MX"/>
              </w:rPr>
              <w:t>Actualización de manuales, instructivos y procedimientos del proceso de costos acorde con la estructura vigente del área, así como las matrices de riesgos y controles.</w:t>
            </w:r>
          </w:p>
          <w:p w14:paraId="6D59CB3D" w14:textId="77777777" w:rsidR="00561B22" w:rsidRPr="00984702" w:rsidRDefault="00561B22" w:rsidP="00F1223B">
            <w:pPr>
              <w:pStyle w:val="Prrafodelista"/>
              <w:ind w:left="780"/>
              <w:rPr>
                <w:rFonts w:ascii="Arial" w:hAnsi="Arial" w:cs="Arial"/>
                <w:bCs/>
                <w:sz w:val="22"/>
                <w:szCs w:val="22"/>
                <w:lang w:val="es-MX"/>
              </w:rPr>
            </w:pPr>
          </w:p>
          <w:p w14:paraId="28D6E6E3" w14:textId="77777777" w:rsidR="00561B22" w:rsidRPr="00984702" w:rsidRDefault="00561B22" w:rsidP="00561B22">
            <w:pPr>
              <w:pStyle w:val="Prrafodelista"/>
              <w:numPr>
                <w:ilvl w:val="0"/>
                <w:numId w:val="113"/>
              </w:numPr>
              <w:spacing w:before="1"/>
              <w:jc w:val="both"/>
              <w:rPr>
                <w:rFonts w:ascii="Arial" w:hAnsi="Arial" w:cs="Arial"/>
                <w:bCs/>
                <w:sz w:val="22"/>
                <w:szCs w:val="22"/>
                <w:lang w:val="es-MX"/>
              </w:rPr>
            </w:pPr>
            <w:r w:rsidRPr="00984702">
              <w:rPr>
                <w:rFonts w:ascii="Arial" w:hAnsi="Arial" w:cs="Arial"/>
                <w:bCs/>
                <w:sz w:val="22"/>
                <w:szCs w:val="22"/>
                <w:lang w:val="es-MX"/>
              </w:rPr>
              <w:t>Revisar de manera conjunta con la gerencia de TI la posibilidad de automatización en SAP de los cálculos para la determinación del VNR.</w:t>
            </w:r>
          </w:p>
          <w:p w14:paraId="57645287" w14:textId="77777777" w:rsidR="00561B22" w:rsidRPr="00984702" w:rsidRDefault="00561B22" w:rsidP="00F1223B">
            <w:pPr>
              <w:pStyle w:val="Prrafodelista"/>
              <w:ind w:left="780"/>
              <w:rPr>
                <w:rFonts w:ascii="Arial" w:hAnsi="Arial" w:cs="Arial"/>
                <w:bCs/>
                <w:sz w:val="22"/>
                <w:szCs w:val="22"/>
                <w:lang w:val="es-MX"/>
              </w:rPr>
            </w:pPr>
          </w:p>
          <w:p w14:paraId="3EBEEA7F" w14:textId="77777777" w:rsidR="00561B22" w:rsidRPr="00984702" w:rsidRDefault="00561B22" w:rsidP="00561B22">
            <w:pPr>
              <w:pStyle w:val="Prrafodelista"/>
              <w:numPr>
                <w:ilvl w:val="0"/>
                <w:numId w:val="113"/>
              </w:numPr>
              <w:spacing w:before="1"/>
              <w:jc w:val="both"/>
              <w:rPr>
                <w:rFonts w:ascii="Arial" w:hAnsi="Arial" w:cs="Arial"/>
                <w:bCs/>
                <w:sz w:val="22"/>
                <w:szCs w:val="22"/>
                <w:lang w:val="es-MX"/>
              </w:rPr>
            </w:pPr>
            <w:r w:rsidRPr="00984702">
              <w:rPr>
                <w:rFonts w:ascii="Arial" w:hAnsi="Arial" w:cs="Arial"/>
                <w:bCs/>
                <w:sz w:val="22"/>
                <w:szCs w:val="22"/>
                <w:lang w:val="es-MX"/>
              </w:rPr>
              <w:t>Revisar de manera conjunta con la gerencia de TI la posibilidad de automatización en SAP la determinación del gasto por ineficiencia en las plantas.</w:t>
            </w:r>
          </w:p>
        </w:tc>
      </w:tr>
    </w:tbl>
    <w:p w14:paraId="37223568" w14:textId="77777777" w:rsidR="00BD6EEF" w:rsidRDefault="00BD6EEF" w:rsidP="00561B22">
      <w:pPr>
        <w:jc w:val="both"/>
        <w:rPr>
          <w:rFonts w:ascii="Arial" w:hAnsi="Arial" w:cs="Arial"/>
          <w:b/>
          <w:lang w:val="es-MX"/>
        </w:rPr>
      </w:pPr>
    </w:p>
    <w:p w14:paraId="7D7E835E" w14:textId="19F3C03A" w:rsidR="00561B22" w:rsidRPr="00984702" w:rsidRDefault="00561B22" w:rsidP="00561B22">
      <w:pPr>
        <w:jc w:val="both"/>
        <w:rPr>
          <w:rFonts w:ascii="Arial" w:hAnsi="Arial" w:cs="Arial"/>
          <w:b/>
          <w:lang w:val="es-MX"/>
        </w:rPr>
      </w:pPr>
      <w:r w:rsidRPr="00984702">
        <w:rPr>
          <w:rFonts w:ascii="Arial" w:hAnsi="Arial" w:cs="Arial"/>
          <w:b/>
          <w:lang w:val="es-MX"/>
        </w:rPr>
        <w:t>Del citado informe retomamos las siguientes recomendaciones:</w:t>
      </w:r>
    </w:p>
    <w:p w14:paraId="7982B571" w14:textId="77777777" w:rsidR="00561B22" w:rsidRPr="00984702"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984702" w14:paraId="6D70A11E" w14:textId="77777777" w:rsidTr="00F1223B">
        <w:tc>
          <w:tcPr>
            <w:tcW w:w="562" w:type="dxa"/>
          </w:tcPr>
          <w:p w14:paraId="2677997A" w14:textId="77777777" w:rsidR="00561B22" w:rsidRPr="00984702" w:rsidRDefault="00561B22" w:rsidP="00F1223B">
            <w:pPr>
              <w:ind w:right="-109"/>
              <w:jc w:val="center"/>
              <w:rPr>
                <w:rFonts w:ascii="Arial" w:hAnsi="Arial" w:cs="Arial"/>
                <w:b/>
                <w:sz w:val="22"/>
                <w:szCs w:val="22"/>
                <w:lang w:val="es-MX"/>
              </w:rPr>
            </w:pPr>
            <w:r w:rsidRPr="00984702">
              <w:rPr>
                <w:rFonts w:ascii="Arial" w:hAnsi="Arial" w:cs="Arial"/>
                <w:b/>
                <w:sz w:val="22"/>
                <w:szCs w:val="22"/>
                <w:lang w:val="es-MX"/>
              </w:rPr>
              <w:t>N°</w:t>
            </w:r>
          </w:p>
        </w:tc>
        <w:tc>
          <w:tcPr>
            <w:tcW w:w="9400" w:type="dxa"/>
          </w:tcPr>
          <w:p w14:paraId="5547A6AD" w14:textId="77777777" w:rsidR="00561B22" w:rsidRPr="00984702" w:rsidRDefault="00561B22" w:rsidP="00F1223B">
            <w:pPr>
              <w:jc w:val="center"/>
              <w:rPr>
                <w:rFonts w:ascii="Arial" w:hAnsi="Arial" w:cs="Arial"/>
                <w:b/>
                <w:sz w:val="22"/>
                <w:szCs w:val="22"/>
                <w:lang w:val="es-MX"/>
              </w:rPr>
            </w:pPr>
            <w:r w:rsidRPr="00984702">
              <w:rPr>
                <w:rFonts w:ascii="Arial" w:hAnsi="Arial" w:cs="Arial"/>
                <w:b/>
                <w:sz w:val="22"/>
                <w:szCs w:val="22"/>
                <w:lang w:val="es-MX"/>
              </w:rPr>
              <w:t>RECOMENDACIONES</w:t>
            </w:r>
          </w:p>
          <w:p w14:paraId="38D20E05" w14:textId="77777777" w:rsidR="00561B22" w:rsidRPr="00984702" w:rsidRDefault="00561B22" w:rsidP="00F1223B">
            <w:pPr>
              <w:jc w:val="center"/>
              <w:rPr>
                <w:rFonts w:ascii="Arial" w:hAnsi="Arial" w:cs="Arial"/>
                <w:b/>
                <w:sz w:val="22"/>
                <w:szCs w:val="22"/>
                <w:lang w:val="es-MX"/>
              </w:rPr>
            </w:pPr>
          </w:p>
        </w:tc>
      </w:tr>
      <w:tr w:rsidR="00561B22" w:rsidRPr="00984702" w14:paraId="2A3F228C" w14:textId="77777777" w:rsidTr="00F1223B">
        <w:tc>
          <w:tcPr>
            <w:tcW w:w="562" w:type="dxa"/>
          </w:tcPr>
          <w:p w14:paraId="14E1EACC" w14:textId="77777777" w:rsidR="00561B22" w:rsidRPr="00984702" w:rsidRDefault="00561B22" w:rsidP="00F1223B">
            <w:pPr>
              <w:jc w:val="center"/>
              <w:rPr>
                <w:rFonts w:ascii="Arial" w:hAnsi="Arial" w:cs="Arial"/>
                <w:b/>
                <w:sz w:val="22"/>
                <w:szCs w:val="22"/>
                <w:lang w:val="es-MX"/>
              </w:rPr>
            </w:pPr>
            <w:r w:rsidRPr="00984702">
              <w:rPr>
                <w:rFonts w:ascii="Arial" w:hAnsi="Arial" w:cs="Arial"/>
                <w:b/>
                <w:sz w:val="22"/>
                <w:szCs w:val="22"/>
                <w:lang w:val="es-MX"/>
              </w:rPr>
              <w:t>1</w:t>
            </w:r>
          </w:p>
        </w:tc>
        <w:tc>
          <w:tcPr>
            <w:tcW w:w="9400" w:type="dxa"/>
          </w:tcPr>
          <w:p w14:paraId="39F940FE" w14:textId="77777777" w:rsidR="00561B22" w:rsidRPr="00984702" w:rsidRDefault="00561B22" w:rsidP="00F1223B">
            <w:pPr>
              <w:jc w:val="both"/>
              <w:rPr>
                <w:rFonts w:ascii="Arial" w:hAnsi="Arial" w:cs="Arial"/>
                <w:bCs/>
                <w:sz w:val="22"/>
                <w:szCs w:val="22"/>
                <w:lang w:val="es-MX"/>
              </w:rPr>
            </w:pPr>
            <w:r w:rsidRPr="00984702">
              <w:rPr>
                <w:rFonts w:ascii="Arial" w:hAnsi="Arial" w:cs="Arial"/>
                <w:bCs/>
                <w:sz w:val="22"/>
                <w:szCs w:val="22"/>
                <w:lang w:val="es-MX"/>
              </w:rPr>
              <w:t>Continuar con la ejecución de los planes de acción definidos para las oportunidades de mejora identificadas.</w:t>
            </w:r>
          </w:p>
        </w:tc>
      </w:tr>
    </w:tbl>
    <w:p w14:paraId="531D1945" w14:textId="77777777" w:rsidR="00561B22" w:rsidRPr="00984702" w:rsidRDefault="00561B22" w:rsidP="00561B22">
      <w:pPr>
        <w:pStyle w:val="Textoindependiente"/>
        <w:ind w:right="-50"/>
        <w:jc w:val="both"/>
        <w:rPr>
          <w:rFonts w:ascii="Arial" w:hAnsi="Arial" w:cs="Arial"/>
          <w:b/>
          <w:bCs/>
          <w:sz w:val="28"/>
          <w:szCs w:val="28"/>
        </w:rPr>
      </w:pPr>
    </w:p>
    <w:p w14:paraId="1E5F3FB0" w14:textId="77777777" w:rsidR="00561B22" w:rsidRPr="00984702" w:rsidRDefault="00561B22" w:rsidP="00561B22">
      <w:pPr>
        <w:jc w:val="both"/>
        <w:rPr>
          <w:rFonts w:ascii="Arial" w:hAnsi="Arial" w:cs="Arial"/>
          <w:b/>
          <w:bCs/>
          <w:sz w:val="24"/>
          <w:szCs w:val="24"/>
          <w:lang w:val="es-CO"/>
        </w:rPr>
      </w:pPr>
      <w:r w:rsidRPr="00984702">
        <w:rPr>
          <w:rFonts w:ascii="Arial" w:hAnsi="Arial" w:cs="Arial"/>
          <w:b/>
          <w:bCs/>
          <w:sz w:val="24"/>
          <w:szCs w:val="24"/>
          <w:lang w:val="es-CO"/>
        </w:rPr>
        <w:t xml:space="preserve">NOTA: LA ENTIDAD ENVÍA LA MATRIZ DE AUTOEVALUACIÓN DEL SISTEMA DE CONTROL INTERNO CONTABLE CON </w:t>
      </w:r>
      <w:r w:rsidRPr="00984702">
        <w:rPr>
          <w:rFonts w:ascii="Arial" w:hAnsi="Arial" w:cs="Arial"/>
          <w:b/>
          <w:bCs/>
          <w:sz w:val="24"/>
          <w:szCs w:val="24"/>
          <w:u w:val="single"/>
          <w:lang w:val="es-CO"/>
        </w:rPr>
        <w:t>ACTIVIDADES DE CONTROL REALIZADAS EN FORMA PARCIAL</w:t>
      </w:r>
      <w:r w:rsidRPr="00984702">
        <w:rPr>
          <w:rFonts w:ascii="Arial" w:hAnsi="Arial" w:cs="Arial"/>
          <w:b/>
          <w:bCs/>
          <w:sz w:val="24"/>
          <w:szCs w:val="24"/>
          <w:lang w:val="es-CO"/>
        </w:rPr>
        <w:t>.</w:t>
      </w:r>
    </w:p>
    <w:p w14:paraId="471B11B0" w14:textId="77777777" w:rsidR="00561B22" w:rsidRPr="00984702" w:rsidRDefault="00561B22" w:rsidP="00561B22">
      <w:pPr>
        <w:jc w:val="both"/>
        <w:rPr>
          <w:rFonts w:ascii="Arial" w:hAnsi="Arial" w:cs="Arial"/>
          <w:b/>
          <w:bCs/>
          <w:sz w:val="24"/>
          <w:szCs w:val="24"/>
          <w:lang w:val="es-CO"/>
        </w:rPr>
      </w:pPr>
    </w:p>
    <w:p w14:paraId="7482631A" w14:textId="77777777" w:rsidR="00561B22" w:rsidRPr="00240E8D" w:rsidRDefault="00561B22" w:rsidP="00561B22">
      <w:pPr>
        <w:jc w:val="both"/>
        <w:rPr>
          <w:rFonts w:ascii="Arial" w:hAnsi="Arial" w:cs="Arial"/>
          <w:b/>
          <w:sz w:val="28"/>
          <w:szCs w:val="28"/>
        </w:rPr>
      </w:pPr>
      <w:r w:rsidRPr="00240E8D">
        <w:rPr>
          <w:rFonts w:ascii="Arial" w:hAnsi="Arial" w:cs="Arial"/>
          <w:b/>
          <w:sz w:val="28"/>
          <w:szCs w:val="28"/>
          <w:lang w:val="es-MX"/>
        </w:rPr>
        <w:t xml:space="preserve">160.- </w:t>
      </w:r>
      <w:r w:rsidRPr="00240E8D">
        <w:rPr>
          <w:rFonts w:ascii="Arial" w:hAnsi="Arial" w:cs="Arial"/>
          <w:b/>
          <w:sz w:val="28"/>
          <w:szCs w:val="28"/>
        </w:rPr>
        <w:t>UNIVERSIDAD TECNOLÓGICA DEL CHOCÓ - DIEGO LUIS CÓRDOBA.</w:t>
      </w:r>
    </w:p>
    <w:p w14:paraId="4920D84D" w14:textId="77777777" w:rsidR="00561B22" w:rsidRPr="00240E8D" w:rsidRDefault="00561B22" w:rsidP="00561B22">
      <w:pPr>
        <w:jc w:val="both"/>
        <w:rPr>
          <w:rFonts w:ascii="Arial" w:hAnsi="Arial" w:cs="Arial"/>
          <w:b/>
          <w:sz w:val="28"/>
          <w:szCs w:val="28"/>
        </w:rPr>
      </w:pPr>
    </w:p>
    <w:p w14:paraId="0C16E58E" w14:textId="77777777" w:rsidR="00561B22" w:rsidRPr="00240E8D" w:rsidRDefault="00561B22" w:rsidP="00561B22">
      <w:pPr>
        <w:pStyle w:val="Textoindependiente"/>
        <w:ind w:right="-50"/>
        <w:jc w:val="center"/>
        <w:rPr>
          <w:rFonts w:ascii="Arial" w:hAnsi="Arial" w:cs="Arial"/>
          <w:b/>
          <w:bCs/>
        </w:rPr>
      </w:pPr>
      <w:r w:rsidRPr="00240E8D">
        <w:rPr>
          <w:rFonts w:ascii="Arial" w:hAnsi="Arial" w:cs="Arial"/>
          <w:b/>
          <w:bCs/>
        </w:rPr>
        <w:t>INFORME DE LA AUTOCALIFICACIÓN DEL SISTEMA DE CONTROL INTERNO CONTABLE:</w:t>
      </w:r>
    </w:p>
    <w:p w14:paraId="65713B6C" w14:textId="77777777" w:rsidR="00561B22" w:rsidRPr="00240E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40E8D" w14:paraId="711BD17A" w14:textId="77777777" w:rsidTr="00F1223B">
        <w:tc>
          <w:tcPr>
            <w:tcW w:w="4981" w:type="dxa"/>
          </w:tcPr>
          <w:p w14:paraId="440178F9"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AUTOCALIFICACIÓN</w:t>
            </w:r>
          </w:p>
        </w:tc>
        <w:tc>
          <w:tcPr>
            <w:tcW w:w="4981" w:type="dxa"/>
          </w:tcPr>
          <w:p w14:paraId="078AC107" w14:textId="77777777" w:rsidR="00561B22" w:rsidRPr="00240E8D" w:rsidRDefault="00561B22" w:rsidP="00F1223B">
            <w:pPr>
              <w:jc w:val="center"/>
              <w:rPr>
                <w:rFonts w:ascii="Arial" w:hAnsi="Arial" w:cs="Arial"/>
                <w:b/>
                <w:sz w:val="22"/>
                <w:szCs w:val="22"/>
                <w:u w:val="single"/>
                <w:lang w:val="es-MX"/>
              </w:rPr>
            </w:pPr>
            <w:r w:rsidRPr="00240E8D">
              <w:rPr>
                <w:rFonts w:ascii="Arial" w:hAnsi="Arial" w:cs="Arial"/>
                <w:b/>
                <w:sz w:val="22"/>
                <w:szCs w:val="22"/>
                <w:u w:val="single"/>
                <w:lang w:val="es-MX"/>
              </w:rPr>
              <w:t>?</w:t>
            </w:r>
          </w:p>
        </w:tc>
      </w:tr>
    </w:tbl>
    <w:p w14:paraId="53402E67" w14:textId="77777777" w:rsidR="00561B22" w:rsidRPr="00240E8D" w:rsidRDefault="00561B22" w:rsidP="00561B22">
      <w:pPr>
        <w:pStyle w:val="Textoindependiente"/>
        <w:ind w:right="-50"/>
        <w:jc w:val="both"/>
        <w:rPr>
          <w:rFonts w:ascii="Arial" w:hAnsi="Arial" w:cs="Arial"/>
          <w:b/>
          <w:bCs/>
        </w:rPr>
      </w:pPr>
    </w:p>
    <w:p w14:paraId="604113A3" w14:textId="77777777" w:rsidR="00561B22" w:rsidRPr="00240E8D" w:rsidRDefault="00561B22" w:rsidP="00561B22">
      <w:pPr>
        <w:pStyle w:val="Textoindependiente"/>
        <w:ind w:right="-50"/>
        <w:jc w:val="both"/>
        <w:rPr>
          <w:rFonts w:ascii="Arial" w:hAnsi="Arial" w:cs="Arial"/>
          <w:b/>
          <w:bCs/>
        </w:rPr>
      </w:pPr>
      <w:r w:rsidRPr="00240E8D">
        <w:rPr>
          <w:rFonts w:ascii="Arial" w:hAnsi="Arial" w:cs="Arial"/>
          <w:b/>
          <w:bCs/>
        </w:rPr>
        <w:t>Del informe enviado retomamos lo siguiente:</w:t>
      </w:r>
    </w:p>
    <w:p w14:paraId="3B9B3579" w14:textId="77777777" w:rsidR="00561B22" w:rsidRPr="00240E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40E8D" w14:paraId="627FD3BB" w14:textId="77777777" w:rsidTr="00F1223B">
        <w:tc>
          <w:tcPr>
            <w:tcW w:w="562" w:type="dxa"/>
          </w:tcPr>
          <w:p w14:paraId="4C5F33F4" w14:textId="77777777" w:rsidR="00561B22" w:rsidRPr="00240E8D" w:rsidRDefault="00561B22" w:rsidP="00F1223B">
            <w:pPr>
              <w:ind w:right="-109"/>
              <w:jc w:val="center"/>
              <w:rPr>
                <w:rFonts w:ascii="Arial" w:hAnsi="Arial" w:cs="Arial"/>
                <w:b/>
                <w:sz w:val="22"/>
                <w:szCs w:val="22"/>
                <w:lang w:val="es-MX"/>
              </w:rPr>
            </w:pPr>
            <w:r w:rsidRPr="00240E8D">
              <w:rPr>
                <w:rFonts w:ascii="Arial" w:hAnsi="Arial" w:cs="Arial"/>
                <w:b/>
                <w:sz w:val="22"/>
                <w:szCs w:val="22"/>
                <w:lang w:val="es-MX"/>
              </w:rPr>
              <w:t>N°</w:t>
            </w:r>
          </w:p>
        </w:tc>
        <w:tc>
          <w:tcPr>
            <w:tcW w:w="9400" w:type="dxa"/>
          </w:tcPr>
          <w:p w14:paraId="7B58FF0A"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DEBILIDADES</w:t>
            </w:r>
          </w:p>
          <w:p w14:paraId="203D15F3" w14:textId="77777777" w:rsidR="00561B22" w:rsidRPr="00240E8D" w:rsidRDefault="00561B22" w:rsidP="00F1223B">
            <w:pPr>
              <w:jc w:val="center"/>
              <w:rPr>
                <w:rFonts w:ascii="Arial" w:hAnsi="Arial" w:cs="Arial"/>
                <w:b/>
                <w:sz w:val="22"/>
                <w:szCs w:val="22"/>
                <w:lang w:val="es-MX"/>
              </w:rPr>
            </w:pPr>
          </w:p>
        </w:tc>
      </w:tr>
      <w:tr w:rsidR="00561B22" w:rsidRPr="00240E8D" w14:paraId="703D7624" w14:textId="77777777" w:rsidTr="00F1223B">
        <w:tc>
          <w:tcPr>
            <w:tcW w:w="562" w:type="dxa"/>
          </w:tcPr>
          <w:p w14:paraId="5CEA9F93"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1</w:t>
            </w:r>
          </w:p>
        </w:tc>
        <w:tc>
          <w:tcPr>
            <w:tcW w:w="9400" w:type="dxa"/>
          </w:tcPr>
          <w:p w14:paraId="2FF8A0CC" w14:textId="77777777" w:rsidR="00561B22" w:rsidRPr="00240E8D" w:rsidRDefault="00561B22" w:rsidP="00F1223B">
            <w:pPr>
              <w:jc w:val="both"/>
              <w:rPr>
                <w:rFonts w:ascii="Arial" w:hAnsi="Arial" w:cs="Arial"/>
                <w:b/>
                <w:sz w:val="22"/>
                <w:szCs w:val="22"/>
                <w:lang w:val="es-MX"/>
              </w:rPr>
            </w:pPr>
            <w:r w:rsidRPr="00240E8D">
              <w:rPr>
                <w:rFonts w:ascii="Arial" w:hAnsi="Arial" w:cs="Arial"/>
                <w:sz w:val="22"/>
                <w:szCs w:val="22"/>
              </w:rPr>
              <w:t xml:space="preserve">Aún existe la tardanza en la elaboración de la información contable, lo que ocasiona cierta incertidumbre en cuanto a los cumplimientos de los términos de reportes; de igual forma, a pesar que se realiza a tiempo la información contable, se tardan en la publicación de esta en la página web de la institución. </w:t>
            </w:r>
          </w:p>
        </w:tc>
      </w:tr>
      <w:tr w:rsidR="00561B22" w:rsidRPr="00240E8D" w14:paraId="1A438437" w14:textId="77777777" w:rsidTr="00F1223B">
        <w:tc>
          <w:tcPr>
            <w:tcW w:w="562" w:type="dxa"/>
          </w:tcPr>
          <w:p w14:paraId="00EA4096"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2</w:t>
            </w:r>
          </w:p>
        </w:tc>
        <w:tc>
          <w:tcPr>
            <w:tcW w:w="9400" w:type="dxa"/>
          </w:tcPr>
          <w:p w14:paraId="35BC778F" w14:textId="77777777" w:rsidR="00561B22" w:rsidRPr="00240E8D" w:rsidRDefault="00561B22" w:rsidP="00F1223B">
            <w:pPr>
              <w:rPr>
                <w:rFonts w:ascii="Arial" w:hAnsi="Arial" w:cs="Arial"/>
                <w:b/>
                <w:sz w:val="22"/>
                <w:szCs w:val="22"/>
                <w:lang w:val="es-MX"/>
              </w:rPr>
            </w:pPr>
            <w:r w:rsidRPr="00240E8D">
              <w:rPr>
                <w:rFonts w:ascii="Arial" w:hAnsi="Arial" w:cs="Arial"/>
                <w:sz w:val="22"/>
                <w:szCs w:val="22"/>
              </w:rPr>
              <w:t>No se da un efectivo tratamiento a los riesgos, ni se actualiza la matriz durante la vigencia.</w:t>
            </w:r>
          </w:p>
        </w:tc>
      </w:tr>
      <w:tr w:rsidR="00561B22" w:rsidRPr="00240E8D" w14:paraId="02E9D6AC" w14:textId="77777777" w:rsidTr="00F1223B">
        <w:tc>
          <w:tcPr>
            <w:tcW w:w="562" w:type="dxa"/>
          </w:tcPr>
          <w:p w14:paraId="2B33FA10"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3</w:t>
            </w:r>
          </w:p>
        </w:tc>
        <w:tc>
          <w:tcPr>
            <w:tcW w:w="9400" w:type="dxa"/>
          </w:tcPr>
          <w:p w14:paraId="040D079D" w14:textId="77777777" w:rsidR="00561B22" w:rsidRPr="00240E8D" w:rsidRDefault="00561B22" w:rsidP="00F1223B">
            <w:pPr>
              <w:rPr>
                <w:rFonts w:ascii="Arial" w:hAnsi="Arial" w:cs="Arial"/>
                <w:sz w:val="22"/>
                <w:szCs w:val="22"/>
              </w:rPr>
            </w:pPr>
            <w:r w:rsidRPr="00240E8D">
              <w:rPr>
                <w:rFonts w:ascii="Arial" w:hAnsi="Arial" w:cs="Arial"/>
                <w:sz w:val="22"/>
                <w:szCs w:val="22"/>
              </w:rPr>
              <w:t>Aun se presenta mucha rotación del personal del área registrable, lo cual también ocasiona reprocesos</w:t>
            </w:r>
          </w:p>
        </w:tc>
      </w:tr>
    </w:tbl>
    <w:p w14:paraId="5FDD46A5" w14:textId="77777777" w:rsidR="00561B22" w:rsidRPr="00240E8D" w:rsidRDefault="00561B22" w:rsidP="00561B22">
      <w:pPr>
        <w:pStyle w:val="Textoindependiente"/>
        <w:ind w:right="-50"/>
        <w:jc w:val="both"/>
        <w:rPr>
          <w:rFonts w:ascii="Arial" w:hAnsi="Arial" w:cs="Arial"/>
          <w:b/>
          <w:bCs/>
        </w:rPr>
      </w:pPr>
    </w:p>
    <w:p w14:paraId="46EC10B2" w14:textId="77777777" w:rsidR="00561B22" w:rsidRPr="00240E8D" w:rsidRDefault="00561B22" w:rsidP="00561B22">
      <w:pPr>
        <w:jc w:val="both"/>
        <w:rPr>
          <w:rFonts w:ascii="Arial" w:hAnsi="Arial" w:cs="Arial"/>
          <w:b/>
          <w:lang w:val="es-MX"/>
        </w:rPr>
      </w:pPr>
      <w:r w:rsidRPr="00240E8D">
        <w:rPr>
          <w:rFonts w:ascii="Arial" w:hAnsi="Arial" w:cs="Arial"/>
          <w:b/>
          <w:lang w:val="es-MX"/>
        </w:rPr>
        <w:t>Del citado informe retomamos las siguientes recomendaciones:</w:t>
      </w:r>
    </w:p>
    <w:p w14:paraId="69494498" w14:textId="77777777" w:rsidR="00561B22" w:rsidRPr="00240E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40E8D" w14:paraId="0F78C3D4" w14:textId="77777777" w:rsidTr="00F1223B">
        <w:tc>
          <w:tcPr>
            <w:tcW w:w="562" w:type="dxa"/>
          </w:tcPr>
          <w:p w14:paraId="3AD96372" w14:textId="77777777" w:rsidR="00561B22" w:rsidRPr="00240E8D" w:rsidRDefault="00561B22" w:rsidP="00F1223B">
            <w:pPr>
              <w:ind w:right="-109"/>
              <w:jc w:val="center"/>
              <w:rPr>
                <w:rFonts w:ascii="Arial" w:hAnsi="Arial" w:cs="Arial"/>
                <w:b/>
                <w:sz w:val="22"/>
                <w:szCs w:val="22"/>
                <w:lang w:val="es-MX"/>
              </w:rPr>
            </w:pPr>
            <w:r w:rsidRPr="00240E8D">
              <w:rPr>
                <w:rFonts w:ascii="Arial" w:hAnsi="Arial" w:cs="Arial"/>
                <w:b/>
                <w:sz w:val="22"/>
                <w:szCs w:val="22"/>
                <w:lang w:val="es-MX"/>
              </w:rPr>
              <w:t>N°</w:t>
            </w:r>
          </w:p>
        </w:tc>
        <w:tc>
          <w:tcPr>
            <w:tcW w:w="9400" w:type="dxa"/>
          </w:tcPr>
          <w:p w14:paraId="40C8D94A"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RECOMENDACIONES</w:t>
            </w:r>
          </w:p>
          <w:p w14:paraId="7444D3A8" w14:textId="77777777" w:rsidR="00561B22" w:rsidRPr="00240E8D" w:rsidRDefault="00561B22" w:rsidP="00F1223B">
            <w:pPr>
              <w:jc w:val="center"/>
              <w:rPr>
                <w:rFonts w:ascii="Arial" w:hAnsi="Arial" w:cs="Arial"/>
                <w:b/>
                <w:sz w:val="22"/>
                <w:szCs w:val="22"/>
                <w:lang w:val="es-MX"/>
              </w:rPr>
            </w:pPr>
          </w:p>
        </w:tc>
      </w:tr>
      <w:tr w:rsidR="00561B22" w:rsidRPr="00240E8D" w14:paraId="7483A45D" w14:textId="77777777" w:rsidTr="00F1223B">
        <w:tc>
          <w:tcPr>
            <w:tcW w:w="562" w:type="dxa"/>
          </w:tcPr>
          <w:p w14:paraId="26FD4FCB"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1</w:t>
            </w:r>
          </w:p>
        </w:tc>
        <w:tc>
          <w:tcPr>
            <w:tcW w:w="9400" w:type="dxa"/>
          </w:tcPr>
          <w:p w14:paraId="5EEAE5ED" w14:textId="77777777" w:rsidR="00561B22" w:rsidRPr="00240E8D" w:rsidRDefault="00561B22" w:rsidP="00F1223B">
            <w:pPr>
              <w:jc w:val="both"/>
              <w:rPr>
                <w:rFonts w:ascii="Arial" w:hAnsi="Arial" w:cs="Arial"/>
                <w:b/>
                <w:sz w:val="22"/>
                <w:szCs w:val="22"/>
                <w:lang w:val="es-MX"/>
              </w:rPr>
            </w:pPr>
            <w:r w:rsidRPr="00240E8D">
              <w:rPr>
                <w:rFonts w:ascii="Arial" w:hAnsi="Arial" w:cs="Arial"/>
                <w:sz w:val="22"/>
                <w:szCs w:val="22"/>
              </w:rPr>
              <w:t xml:space="preserve">Continuar con los controles eficientes y eficaces, para que los administrativos y docentes legalicen los avances y apoyos económicos, en los términos establecidos en la Resolución Rectoral. </w:t>
            </w:r>
          </w:p>
        </w:tc>
      </w:tr>
      <w:tr w:rsidR="00561B22" w:rsidRPr="00240E8D" w14:paraId="237C205B" w14:textId="77777777" w:rsidTr="00F1223B">
        <w:tc>
          <w:tcPr>
            <w:tcW w:w="562" w:type="dxa"/>
          </w:tcPr>
          <w:p w14:paraId="794579DE"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2</w:t>
            </w:r>
          </w:p>
        </w:tc>
        <w:tc>
          <w:tcPr>
            <w:tcW w:w="9400" w:type="dxa"/>
          </w:tcPr>
          <w:p w14:paraId="7961440A" w14:textId="77777777" w:rsidR="00561B22" w:rsidRPr="00240E8D" w:rsidRDefault="00561B22" w:rsidP="00F1223B">
            <w:pPr>
              <w:jc w:val="both"/>
              <w:rPr>
                <w:rFonts w:ascii="Arial" w:hAnsi="Arial" w:cs="Arial"/>
                <w:b/>
                <w:sz w:val="22"/>
                <w:szCs w:val="22"/>
                <w:lang w:val="es-MX"/>
              </w:rPr>
            </w:pPr>
            <w:r w:rsidRPr="00240E8D">
              <w:rPr>
                <w:rFonts w:ascii="Arial" w:hAnsi="Arial" w:cs="Arial"/>
                <w:sz w:val="22"/>
                <w:szCs w:val="22"/>
              </w:rPr>
              <w:t xml:space="preserve">Se hace necesario que las áreas que proveen información contable y financiera realicen conciliación interna e implementen medidas de control, para la información que se procesa antes de reportar a contabilidad, con el fin de que la información sea veraz, oportuna y confiable. </w:t>
            </w:r>
          </w:p>
        </w:tc>
      </w:tr>
      <w:tr w:rsidR="00561B22" w:rsidRPr="00240E8D" w14:paraId="66406419" w14:textId="77777777" w:rsidTr="00F1223B">
        <w:tc>
          <w:tcPr>
            <w:tcW w:w="562" w:type="dxa"/>
          </w:tcPr>
          <w:p w14:paraId="6BF20C1C"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3</w:t>
            </w:r>
          </w:p>
        </w:tc>
        <w:tc>
          <w:tcPr>
            <w:tcW w:w="9400" w:type="dxa"/>
          </w:tcPr>
          <w:p w14:paraId="3FC79232" w14:textId="77777777" w:rsidR="00561B22" w:rsidRPr="00240E8D" w:rsidRDefault="00561B22" w:rsidP="00F1223B">
            <w:pPr>
              <w:jc w:val="both"/>
              <w:rPr>
                <w:rFonts w:ascii="Arial" w:hAnsi="Arial" w:cs="Arial"/>
                <w:b/>
                <w:sz w:val="22"/>
                <w:szCs w:val="22"/>
                <w:lang w:val="es-MX"/>
              </w:rPr>
            </w:pPr>
            <w:r w:rsidRPr="00240E8D">
              <w:rPr>
                <w:rFonts w:ascii="Arial" w:hAnsi="Arial" w:cs="Arial"/>
                <w:sz w:val="22"/>
                <w:szCs w:val="22"/>
              </w:rPr>
              <w:t xml:space="preserve">Seguir fortaleciendo el control interno contable, dando cumplimiento la normatividad interna y </w:t>
            </w:r>
            <w:r w:rsidRPr="00240E8D">
              <w:rPr>
                <w:rFonts w:ascii="Arial" w:hAnsi="Arial" w:cs="Arial"/>
                <w:sz w:val="22"/>
                <w:szCs w:val="22"/>
              </w:rPr>
              <w:lastRenderedPageBreak/>
              <w:t xml:space="preserve">externa aplicable y a los cambios normativos que surjan en cada vigencia. Implementar medidas de control interno, para realizar seguimiento permanente a las incapacidades que vienen de vigencias anteriores, con el fin de evitar pérdida de recursos para la institución. </w:t>
            </w:r>
          </w:p>
        </w:tc>
      </w:tr>
      <w:tr w:rsidR="00561B22" w:rsidRPr="00240E8D" w14:paraId="512BB34C" w14:textId="77777777" w:rsidTr="00F1223B">
        <w:tc>
          <w:tcPr>
            <w:tcW w:w="562" w:type="dxa"/>
          </w:tcPr>
          <w:p w14:paraId="4F4D0E6A"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lastRenderedPageBreak/>
              <w:t>4</w:t>
            </w:r>
          </w:p>
        </w:tc>
        <w:tc>
          <w:tcPr>
            <w:tcW w:w="9400" w:type="dxa"/>
          </w:tcPr>
          <w:p w14:paraId="5A2ED199" w14:textId="77777777" w:rsidR="00561B22" w:rsidRPr="00240E8D" w:rsidRDefault="00561B22" w:rsidP="00F1223B">
            <w:pPr>
              <w:jc w:val="both"/>
              <w:rPr>
                <w:rFonts w:ascii="Arial" w:hAnsi="Arial" w:cs="Arial"/>
                <w:b/>
                <w:sz w:val="22"/>
                <w:szCs w:val="22"/>
                <w:lang w:val="es-MX"/>
              </w:rPr>
            </w:pPr>
            <w:r w:rsidRPr="00240E8D">
              <w:rPr>
                <w:rFonts w:ascii="Arial" w:hAnsi="Arial" w:cs="Arial"/>
                <w:sz w:val="22"/>
                <w:szCs w:val="22"/>
              </w:rPr>
              <w:t xml:space="preserve">Implementar medidas de control para dar cumplimiento durante la vigencia al plan institucional de capacitación específicamente a los temas contables. </w:t>
            </w:r>
          </w:p>
        </w:tc>
      </w:tr>
      <w:tr w:rsidR="00561B22" w:rsidRPr="00240E8D" w14:paraId="24876EAC" w14:textId="77777777" w:rsidTr="00F1223B">
        <w:tc>
          <w:tcPr>
            <w:tcW w:w="562" w:type="dxa"/>
          </w:tcPr>
          <w:p w14:paraId="148A46D9"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5</w:t>
            </w:r>
          </w:p>
        </w:tc>
        <w:tc>
          <w:tcPr>
            <w:tcW w:w="9400" w:type="dxa"/>
          </w:tcPr>
          <w:p w14:paraId="17CCBD50" w14:textId="77777777" w:rsidR="00561B22" w:rsidRPr="00240E8D" w:rsidRDefault="00561B22" w:rsidP="00F1223B">
            <w:pPr>
              <w:jc w:val="both"/>
              <w:rPr>
                <w:rFonts w:ascii="Arial" w:hAnsi="Arial" w:cs="Arial"/>
                <w:sz w:val="22"/>
                <w:szCs w:val="22"/>
              </w:rPr>
            </w:pPr>
            <w:r w:rsidRPr="00240E8D">
              <w:rPr>
                <w:rFonts w:ascii="Arial" w:hAnsi="Arial" w:cs="Arial"/>
                <w:sz w:val="22"/>
                <w:szCs w:val="22"/>
              </w:rPr>
              <w:t>Realizar la respectiva gestión para la depuración de las cuentas por cobrar de la entidad.</w:t>
            </w:r>
          </w:p>
        </w:tc>
      </w:tr>
      <w:tr w:rsidR="00561B22" w:rsidRPr="00240E8D" w14:paraId="3194248D" w14:textId="77777777" w:rsidTr="00F1223B">
        <w:tc>
          <w:tcPr>
            <w:tcW w:w="562" w:type="dxa"/>
          </w:tcPr>
          <w:p w14:paraId="7AAD7055"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6</w:t>
            </w:r>
          </w:p>
        </w:tc>
        <w:tc>
          <w:tcPr>
            <w:tcW w:w="9400" w:type="dxa"/>
          </w:tcPr>
          <w:p w14:paraId="6ABB6164" w14:textId="77777777" w:rsidR="00561B22" w:rsidRPr="00240E8D" w:rsidRDefault="00561B22" w:rsidP="00F1223B">
            <w:pPr>
              <w:jc w:val="both"/>
              <w:rPr>
                <w:rFonts w:ascii="Arial" w:hAnsi="Arial" w:cs="Arial"/>
                <w:sz w:val="22"/>
                <w:szCs w:val="22"/>
              </w:rPr>
            </w:pPr>
            <w:r w:rsidRPr="00240E8D">
              <w:rPr>
                <w:rFonts w:ascii="Arial" w:hAnsi="Arial" w:cs="Arial"/>
                <w:sz w:val="22"/>
                <w:szCs w:val="22"/>
              </w:rPr>
              <w:t xml:space="preserve">Generar mensualmente reportes de cuentas pagadas y cuentas pendientes del pago en el mes. </w:t>
            </w:r>
          </w:p>
        </w:tc>
      </w:tr>
      <w:tr w:rsidR="00561B22" w:rsidRPr="00240E8D" w14:paraId="4AA4E27B" w14:textId="77777777" w:rsidTr="00F1223B">
        <w:tc>
          <w:tcPr>
            <w:tcW w:w="562" w:type="dxa"/>
          </w:tcPr>
          <w:p w14:paraId="1B4B0C4B" w14:textId="77777777" w:rsidR="00561B22" w:rsidRPr="00240E8D" w:rsidRDefault="00561B22" w:rsidP="00F1223B">
            <w:pPr>
              <w:jc w:val="center"/>
              <w:rPr>
                <w:rFonts w:ascii="Arial" w:hAnsi="Arial" w:cs="Arial"/>
                <w:b/>
                <w:sz w:val="22"/>
                <w:szCs w:val="22"/>
                <w:lang w:val="es-MX"/>
              </w:rPr>
            </w:pPr>
            <w:r w:rsidRPr="00240E8D">
              <w:rPr>
                <w:rFonts w:ascii="Arial" w:hAnsi="Arial" w:cs="Arial"/>
                <w:b/>
                <w:sz w:val="22"/>
                <w:szCs w:val="22"/>
                <w:lang w:val="es-MX"/>
              </w:rPr>
              <w:t>7</w:t>
            </w:r>
          </w:p>
        </w:tc>
        <w:tc>
          <w:tcPr>
            <w:tcW w:w="9400" w:type="dxa"/>
          </w:tcPr>
          <w:p w14:paraId="29234F45" w14:textId="77777777" w:rsidR="00561B22" w:rsidRPr="00240E8D" w:rsidRDefault="00561B22" w:rsidP="00F1223B">
            <w:pPr>
              <w:jc w:val="both"/>
              <w:rPr>
                <w:rFonts w:ascii="Arial" w:hAnsi="Arial" w:cs="Arial"/>
                <w:sz w:val="22"/>
                <w:szCs w:val="22"/>
              </w:rPr>
            </w:pPr>
            <w:r w:rsidRPr="00240E8D">
              <w:rPr>
                <w:rFonts w:ascii="Arial" w:hAnsi="Arial" w:cs="Arial"/>
                <w:sz w:val="22"/>
                <w:szCs w:val="22"/>
              </w:rPr>
              <w:t>Tener escaneados los pagos de forma cronológica en el ONEDRIVE y mantener actualizada dicha información, crear un procedimiento en calidad que facilite la verificación de la aplicación de las políticas contables.</w:t>
            </w:r>
          </w:p>
        </w:tc>
      </w:tr>
    </w:tbl>
    <w:p w14:paraId="32916F69" w14:textId="77777777" w:rsidR="00561B22" w:rsidRPr="00240E8D" w:rsidRDefault="00561B22" w:rsidP="00561B22">
      <w:pPr>
        <w:jc w:val="both"/>
        <w:rPr>
          <w:rFonts w:ascii="Arial" w:hAnsi="Arial" w:cs="Arial"/>
          <w:b/>
          <w:bCs/>
          <w:sz w:val="24"/>
          <w:szCs w:val="24"/>
          <w:lang w:val="es-CO"/>
        </w:rPr>
      </w:pPr>
    </w:p>
    <w:p w14:paraId="106BEA1C" w14:textId="77777777" w:rsidR="00561B22" w:rsidRPr="00240E8D" w:rsidRDefault="00561B22" w:rsidP="00561B22">
      <w:pPr>
        <w:jc w:val="both"/>
        <w:rPr>
          <w:rFonts w:ascii="Arial" w:hAnsi="Arial" w:cs="Arial"/>
          <w:b/>
          <w:bCs/>
          <w:sz w:val="24"/>
          <w:szCs w:val="24"/>
          <w:lang w:val="es-CO"/>
        </w:rPr>
      </w:pPr>
      <w:r w:rsidRPr="00240E8D">
        <w:rPr>
          <w:rFonts w:ascii="Arial" w:hAnsi="Arial" w:cs="Arial"/>
          <w:b/>
          <w:bCs/>
          <w:sz w:val="24"/>
          <w:szCs w:val="24"/>
          <w:lang w:val="es-CO"/>
        </w:rPr>
        <w:t xml:space="preserve">NOTA: LA ENTIDAD ENVIA LA MATRIZ DE AUTOEVALUACIÓN DEL SISTEMA DE CONTROL INTERNO CONTABLE CON ACTIVIDADES DE CONTROL REALIZADAS </w:t>
      </w:r>
      <w:r w:rsidRPr="00240E8D">
        <w:rPr>
          <w:rFonts w:ascii="Arial" w:hAnsi="Arial" w:cs="Arial"/>
          <w:b/>
          <w:bCs/>
          <w:sz w:val="24"/>
          <w:szCs w:val="24"/>
          <w:u w:val="single"/>
          <w:lang w:val="es-CO"/>
        </w:rPr>
        <w:t>EN FORMA PARCIAL Y OTRAS SIMPLEMENTE INFORMAN QUE NO SE REALIZARON</w:t>
      </w:r>
      <w:r w:rsidRPr="00240E8D">
        <w:rPr>
          <w:rFonts w:ascii="Arial" w:hAnsi="Arial" w:cs="Arial"/>
          <w:b/>
          <w:bCs/>
          <w:sz w:val="24"/>
          <w:szCs w:val="24"/>
          <w:lang w:val="es-CO"/>
        </w:rPr>
        <w:t>.</w:t>
      </w:r>
    </w:p>
    <w:p w14:paraId="1700FB48" w14:textId="77777777" w:rsidR="00561B22" w:rsidRDefault="00561B22" w:rsidP="00561B22">
      <w:pPr>
        <w:jc w:val="both"/>
        <w:rPr>
          <w:rFonts w:ascii="Arial" w:hAnsi="Arial" w:cs="Arial"/>
          <w:b/>
          <w:bCs/>
          <w:lang w:val="es-CO"/>
        </w:rPr>
      </w:pPr>
    </w:p>
    <w:p w14:paraId="1BB4BB18" w14:textId="77777777" w:rsidR="00561B22" w:rsidRPr="00514F53" w:rsidRDefault="00561B22" w:rsidP="00561B22">
      <w:pPr>
        <w:jc w:val="both"/>
        <w:rPr>
          <w:rFonts w:ascii="Arial" w:hAnsi="Arial" w:cs="Arial"/>
          <w:b/>
          <w:sz w:val="28"/>
          <w:szCs w:val="28"/>
          <w:lang w:val="es-MX"/>
        </w:rPr>
      </w:pPr>
      <w:bookmarkStart w:id="68" w:name="_Hlk200635603"/>
      <w:r w:rsidRPr="00514F53">
        <w:rPr>
          <w:rFonts w:ascii="Arial" w:hAnsi="Arial" w:cs="Arial"/>
          <w:b/>
          <w:sz w:val="28"/>
          <w:szCs w:val="28"/>
          <w:lang w:val="es-MX"/>
        </w:rPr>
        <w:t xml:space="preserve">161.- </w:t>
      </w:r>
      <w:r w:rsidRPr="00514F53">
        <w:rPr>
          <w:rFonts w:ascii="Arial" w:hAnsi="Arial" w:cs="Arial"/>
          <w:b/>
          <w:sz w:val="28"/>
          <w:szCs w:val="28"/>
          <w:lang w:val="es-CO"/>
        </w:rPr>
        <w:t>U.A.E. AGENCIA NACIONAL DE HIDROCARBUROS – ANH.</w:t>
      </w:r>
    </w:p>
    <w:p w14:paraId="7F7A5B8F" w14:textId="77777777" w:rsidR="00561B22" w:rsidRDefault="00561B22" w:rsidP="00561B22">
      <w:pPr>
        <w:pStyle w:val="Prrafodelista"/>
        <w:spacing w:before="92"/>
        <w:ind w:left="-142"/>
        <w:rPr>
          <w:b/>
          <w:sz w:val="24"/>
        </w:rPr>
      </w:pPr>
    </w:p>
    <w:bookmarkEnd w:id="68"/>
    <w:p w14:paraId="141786F8" w14:textId="77777777" w:rsidR="00561B22" w:rsidRPr="00514F53" w:rsidRDefault="00561B22" w:rsidP="00561B22">
      <w:pPr>
        <w:pStyle w:val="Textoindependiente"/>
        <w:jc w:val="center"/>
        <w:rPr>
          <w:rFonts w:ascii="Arial" w:hAnsi="Arial" w:cs="Arial"/>
          <w:b/>
          <w:bCs/>
        </w:rPr>
      </w:pPr>
      <w:r w:rsidRPr="00514F53">
        <w:rPr>
          <w:rFonts w:ascii="Arial" w:hAnsi="Arial" w:cs="Arial"/>
          <w:b/>
          <w:bCs/>
        </w:rPr>
        <w:t>INFORME DE LA AUTOCALIFICACIÓN DEL SISTEMA DE CONTROL INTERNO CONTABLE:</w:t>
      </w:r>
    </w:p>
    <w:p w14:paraId="65A1A20C" w14:textId="77777777" w:rsidR="00561B22" w:rsidRPr="00514F53"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14F53" w14:paraId="46230248" w14:textId="77777777" w:rsidTr="00F1223B">
        <w:tc>
          <w:tcPr>
            <w:tcW w:w="4981" w:type="dxa"/>
          </w:tcPr>
          <w:p w14:paraId="04D28AEB"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AUTOCALIFICACIÓN</w:t>
            </w:r>
          </w:p>
        </w:tc>
        <w:tc>
          <w:tcPr>
            <w:tcW w:w="4981" w:type="dxa"/>
          </w:tcPr>
          <w:p w14:paraId="1C2803B5" w14:textId="77777777" w:rsidR="00561B22" w:rsidRPr="00514F53" w:rsidRDefault="00561B22" w:rsidP="00F1223B">
            <w:pPr>
              <w:jc w:val="center"/>
              <w:rPr>
                <w:rFonts w:ascii="Arial" w:hAnsi="Arial" w:cs="Arial"/>
                <w:b/>
                <w:sz w:val="22"/>
                <w:szCs w:val="22"/>
                <w:u w:val="single"/>
                <w:lang w:val="es-MX"/>
              </w:rPr>
            </w:pPr>
            <w:r w:rsidRPr="00514F53">
              <w:rPr>
                <w:rFonts w:ascii="Arial" w:hAnsi="Arial" w:cs="Arial"/>
                <w:b/>
                <w:sz w:val="22"/>
                <w:szCs w:val="22"/>
                <w:u w:val="single"/>
                <w:lang w:val="es-MX"/>
              </w:rPr>
              <w:t>4.50</w:t>
            </w:r>
          </w:p>
        </w:tc>
      </w:tr>
    </w:tbl>
    <w:p w14:paraId="481B6197" w14:textId="77777777" w:rsidR="00561B22" w:rsidRPr="00514F53" w:rsidRDefault="00561B22" w:rsidP="00561B22">
      <w:pPr>
        <w:pStyle w:val="Textoindependiente"/>
        <w:jc w:val="both"/>
        <w:rPr>
          <w:rFonts w:ascii="Arial" w:hAnsi="Arial" w:cs="Arial"/>
          <w:b/>
          <w:bCs/>
        </w:rPr>
      </w:pPr>
    </w:p>
    <w:p w14:paraId="5D7BCB19" w14:textId="77777777" w:rsidR="00561B22" w:rsidRPr="00514F53" w:rsidRDefault="00561B22" w:rsidP="00561B22">
      <w:pPr>
        <w:pStyle w:val="Textoindependiente"/>
        <w:jc w:val="both"/>
        <w:rPr>
          <w:rFonts w:ascii="Arial" w:hAnsi="Arial" w:cs="Arial"/>
          <w:b/>
          <w:bCs/>
        </w:rPr>
      </w:pPr>
      <w:r w:rsidRPr="00514F53">
        <w:rPr>
          <w:rFonts w:ascii="Arial" w:hAnsi="Arial" w:cs="Arial"/>
          <w:b/>
          <w:bCs/>
        </w:rPr>
        <w:t>Del informe enviado retomamos lo siguiente:</w:t>
      </w:r>
    </w:p>
    <w:p w14:paraId="712B77D6" w14:textId="77777777" w:rsidR="00561B22" w:rsidRPr="00514F53"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14F53" w14:paraId="103D6D91" w14:textId="77777777" w:rsidTr="00F1223B">
        <w:tc>
          <w:tcPr>
            <w:tcW w:w="562" w:type="dxa"/>
          </w:tcPr>
          <w:p w14:paraId="2BA15351"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N°</w:t>
            </w:r>
          </w:p>
        </w:tc>
        <w:tc>
          <w:tcPr>
            <w:tcW w:w="9400" w:type="dxa"/>
          </w:tcPr>
          <w:p w14:paraId="67060697"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DEBILIDADES</w:t>
            </w:r>
          </w:p>
          <w:p w14:paraId="6D37C996" w14:textId="77777777" w:rsidR="00561B22" w:rsidRPr="00514F53" w:rsidRDefault="00561B22" w:rsidP="00F1223B">
            <w:pPr>
              <w:jc w:val="center"/>
              <w:rPr>
                <w:rFonts w:ascii="Arial" w:hAnsi="Arial" w:cs="Arial"/>
                <w:b/>
                <w:sz w:val="22"/>
                <w:szCs w:val="22"/>
                <w:lang w:val="es-MX"/>
              </w:rPr>
            </w:pPr>
          </w:p>
        </w:tc>
      </w:tr>
      <w:tr w:rsidR="00561B22" w:rsidRPr="00514F53" w14:paraId="1AFC62E7" w14:textId="77777777" w:rsidTr="00F1223B">
        <w:tc>
          <w:tcPr>
            <w:tcW w:w="562" w:type="dxa"/>
          </w:tcPr>
          <w:p w14:paraId="1FA100B6"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1</w:t>
            </w:r>
          </w:p>
        </w:tc>
        <w:tc>
          <w:tcPr>
            <w:tcW w:w="9400" w:type="dxa"/>
          </w:tcPr>
          <w:p w14:paraId="7EA4FFF5"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A diciembre 31 de 2024, la Entidad cuenta con diez (10) procedimientos adscritos al proceso de gestión financiera, y el manual de políticas contables los cuales se encuentran disponibles para consulta en el sistema de gestión y control SIGECO, sin embargo, se encuentran pendientes por actualizar.</w:t>
            </w:r>
          </w:p>
        </w:tc>
      </w:tr>
      <w:tr w:rsidR="00561B22" w:rsidRPr="00514F53" w14:paraId="461E280C" w14:textId="77777777" w:rsidTr="00F1223B">
        <w:tc>
          <w:tcPr>
            <w:tcW w:w="562" w:type="dxa"/>
          </w:tcPr>
          <w:p w14:paraId="5F6AE5FF"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2</w:t>
            </w:r>
          </w:p>
        </w:tc>
        <w:tc>
          <w:tcPr>
            <w:tcW w:w="9400" w:type="dxa"/>
          </w:tcPr>
          <w:p w14:paraId="23065CAD"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Los sistemas de información y control de activos fijos e intangibles, actualmente se manejan en Excel, lo que generar riesgos de error en los cálculos de depreciación y amortización de los bienes de la ANH.</w:t>
            </w:r>
          </w:p>
        </w:tc>
      </w:tr>
    </w:tbl>
    <w:p w14:paraId="0DF32DFA" w14:textId="77777777" w:rsidR="00561B22" w:rsidRPr="00514F53" w:rsidRDefault="00561B22" w:rsidP="00561B22">
      <w:pPr>
        <w:pStyle w:val="Textoindependiente"/>
        <w:jc w:val="both"/>
        <w:rPr>
          <w:rFonts w:ascii="Arial" w:hAnsi="Arial" w:cs="Arial"/>
          <w:b/>
          <w:bCs/>
        </w:rPr>
      </w:pPr>
    </w:p>
    <w:p w14:paraId="45378C96" w14:textId="77777777" w:rsidR="00561B22" w:rsidRPr="00514F53" w:rsidRDefault="00561B22" w:rsidP="00561B22">
      <w:pPr>
        <w:jc w:val="both"/>
        <w:rPr>
          <w:rFonts w:ascii="Arial" w:hAnsi="Arial" w:cs="Arial"/>
          <w:b/>
          <w:lang w:val="es-MX"/>
        </w:rPr>
      </w:pPr>
      <w:r w:rsidRPr="00514F53">
        <w:rPr>
          <w:rFonts w:ascii="Arial" w:hAnsi="Arial" w:cs="Arial"/>
          <w:b/>
          <w:lang w:val="es-MX"/>
        </w:rPr>
        <w:t>Del citado informe retomamos las siguientes recomendaciones:</w:t>
      </w:r>
    </w:p>
    <w:p w14:paraId="7F193C3E" w14:textId="77777777" w:rsidR="00561B22" w:rsidRPr="00514F53"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514F53" w14:paraId="3FA324A7" w14:textId="77777777" w:rsidTr="00F1223B">
        <w:tc>
          <w:tcPr>
            <w:tcW w:w="562" w:type="dxa"/>
          </w:tcPr>
          <w:p w14:paraId="062909FE"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N°</w:t>
            </w:r>
          </w:p>
        </w:tc>
        <w:tc>
          <w:tcPr>
            <w:tcW w:w="9400" w:type="dxa"/>
          </w:tcPr>
          <w:p w14:paraId="6F71054D"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RECOMENDACIONES</w:t>
            </w:r>
          </w:p>
          <w:p w14:paraId="5DE5455F" w14:textId="77777777" w:rsidR="00561B22" w:rsidRPr="00514F53" w:rsidRDefault="00561B22" w:rsidP="00F1223B">
            <w:pPr>
              <w:jc w:val="center"/>
              <w:rPr>
                <w:rFonts w:ascii="Arial" w:hAnsi="Arial" w:cs="Arial"/>
                <w:b/>
                <w:sz w:val="22"/>
                <w:szCs w:val="22"/>
                <w:lang w:val="es-MX"/>
              </w:rPr>
            </w:pPr>
          </w:p>
        </w:tc>
      </w:tr>
      <w:tr w:rsidR="00561B22" w:rsidRPr="00514F53" w14:paraId="3B8E0922" w14:textId="77777777" w:rsidTr="00F1223B">
        <w:tc>
          <w:tcPr>
            <w:tcW w:w="562" w:type="dxa"/>
          </w:tcPr>
          <w:p w14:paraId="70C1FE05"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1</w:t>
            </w:r>
          </w:p>
        </w:tc>
        <w:tc>
          <w:tcPr>
            <w:tcW w:w="9400" w:type="dxa"/>
          </w:tcPr>
          <w:p w14:paraId="5D3B0079"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Realizar la revisión periódica de los documentos establecidos en el proceso de Gestión Financiera como políticas, manuales, guías, procedimientos y formatos, con el fin de que se ajusten a la realidad institucional, y cuando la actualización normativa lo requiera.</w:t>
            </w:r>
          </w:p>
        </w:tc>
      </w:tr>
      <w:tr w:rsidR="00561B22" w:rsidRPr="00514F53" w14:paraId="50DE4AAD" w14:textId="77777777" w:rsidTr="00F1223B">
        <w:tc>
          <w:tcPr>
            <w:tcW w:w="562" w:type="dxa"/>
          </w:tcPr>
          <w:p w14:paraId="53013BC3"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2</w:t>
            </w:r>
          </w:p>
        </w:tc>
        <w:tc>
          <w:tcPr>
            <w:tcW w:w="9400" w:type="dxa"/>
          </w:tcPr>
          <w:p w14:paraId="715E7C95"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Mantener acciones de formación y socialización a los funcionarios y colaboradores que intervienen en el proceso financiero y de seguimiento sobre las actualizaciones documentales del proceso.</w:t>
            </w:r>
          </w:p>
        </w:tc>
      </w:tr>
      <w:tr w:rsidR="00561B22" w:rsidRPr="00514F53" w14:paraId="2B3CCE98" w14:textId="77777777" w:rsidTr="00F1223B">
        <w:tc>
          <w:tcPr>
            <w:tcW w:w="562" w:type="dxa"/>
          </w:tcPr>
          <w:p w14:paraId="7AE3B413"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3</w:t>
            </w:r>
          </w:p>
        </w:tc>
        <w:tc>
          <w:tcPr>
            <w:tcW w:w="9400" w:type="dxa"/>
          </w:tcPr>
          <w:p w14:paraId="0C8025F5"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Es importante trabajar en el fortalecimiento de los indicadores del proceso contable, con el propósito que contribuyan en la realización del análisis e informar adecuadamente de la situación, resultados, y tendencias del proceso contable, en concordancia con la resolución 193 de 2016 de la CGN y hacer seguimientos a metas y controles a la información contable.</w:t>
            </w:r>
          </w:p>
        </w:tc>
      </w:tr>
      <w:tr w:rsidR="00561B22" w:rsidRPr="00514F53" w14:paraId="2CF0BA21" w14:textId="77777777" w:rsidTr="00F1223B">
        <w:tc>
          <w:tcPr>
            <w:tcW w:w="562" w:type="dxa"/>
          </w:tcPr>
          <w:p w14:paraId="56CE6599"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4</w:t>
            </w:r>
          </w:p>
        </w:tc>
        <w:tc>
          <w:tcPr>
            <w:tcW w:w="9400" w:type="dxa"/>
          </w:tcPr>
          <w:p w14:paraId="471C8A41"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Depurar y soportar las partidas pendientes, referentes a: comodatos, cuentas por cobrar, responsabilidades en proceso, recursos entregados en administración, ingresos por identificar, y viáticos y gastos de viaje.</w:t>
            </w:r>
          </w:p>
        </w:tc>
      </w:tr>
      <w:tr w:rsidR="00561B22" w:rsidRPr="00514F53" w14:paraId="300E4CB1" w14:textId="77777777" w:rsidTr="00F1223B">
        <w:tc>
          <w:tcPr>
            <w:tcW w:w="562" w:type="dxa"/>
          </w:tcPr>
          <w:p w14:paraId="2A2147A6"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5</w:t>
            </w:r>
          </w:p>
        </w:tc>
        <w:tc>
          <w:tcPr>
            <w:tcW w:w="9400" w:type="dxa"/>
          </w:tcPr>
          <w:p w14:paraId="59C685F7"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Aplicar la política contable de cuentas por cobrar, en lo relacionado al cálculo del deterioro.</w:t>
            </w:r>
          </w:p>
        </w:tc>
      </w:tr>
      <w:tr w:rsidR="00561B22" w:rsidRPr="00514F53" w14:paraId="2E815A8F" w14:textId="77777777" w:rsidTr="00F1223B">
        <w:tc>
          <w:tcPr>
            <w:tcW w:w="562" w:type="dxa"/>
          </w:tcPr>
          <w:p w14:paraId="2FA0F4B9"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lastRenderedPageBreak/>
              <w:t>6</w:t>
            </w:r>
          </w:p>
        </w:tc>
        <w:tc>
          <w:tcPr>
            <w:tcW w:w="9400" w:type="dxa"/>
          </w:tcPr>
          <w:p w14:paraId="4CD92F8E"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En el proceso de identificación de riesgos de índole contable se deben considerar riesgos causados por factores externos para definir con criterios claros controles que permitan mitigar o neutralizar eventos o sucesos externos; dentro de los eventos externos se pueden citar: cambios en la regulación contable pública, cambios en la regulación impositiva, hechos de fuerza mayor como desastres naturales, desarrollos tecnológicos, liquidación de acreedores, entre otros.</w:t>
            </w:r>
          </w:p>
          <w:p w14:paraId="430225F7" w14:textId="77777777" w:rsidR="00561B22" w:rsidRPr="00514F53" w:rsidRDefault="00561B22" w:rsidP="00F1223B">
            <w:pPr>
              <w:jc w:val="both"/>
              <w:rPr>
                <w:rFonts w:ascii="Arial" w:hAnsi="Arial" w:cs="Arial"/>
                <w:bCs/>
                <w:sz w:val="22"/>
                <w:szCs w:val="22"/>
                <w:lang w:val="es-MX"/>
              </w:rPr>
            </w:pPr>
          </w:p>
          <w:p w14:paraId="4477443B"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En este sentido, es necesario identificar y valorar riesgos fiscales y efectuar el diseño de controles para su prevención y mitigación, como aquellas que podrían generar por la posibilidad de que se presenten desviaciones en los ingresos, gastos y resultados fiscales.</w:t>
            </w:r>
          </w:p>
        </w:tc>
      </w:tr>
      <w:tr w:rsidR="00561B22" w:rsidRPr="00514F53" w14:paraId="3EE418F9" w14:textId="77777777" w:rsidTr="00F1223B">
        <w:tc>
          <w:tcPr>
            <w:tcW w:w="562" w:type="dxa"/>
          </w:tcPr>
          <w:p w14:paraId="337BF299"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7</w:t>
            </w:r>
          </w:p>
        </w:tc>
        <w:tc>
          <w:tcPr>
            <w:tcW w:w="9400" w:type="dxa"/>
          </w:tcPr>
          <w:p w14:paraId="35169879"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La información financiera debe ser presentada y analizada con el equipo directivo de la entidad, de tal forma que desde la alta dirección se adquiera un compromiso que exija responsabilidad por parte de quienes ejecutan procesos diferentes al contable; así mismo es necesario adelantar proceso de reinducción frente a las competencias de las áreas proveedoras del proceso contable informando la importancia  de suministrar los datos que se requieran, de manera oportuna y con las características necesarias, de modo que estos insumos sean procesados oportuna y adecuadamente.</w:t>
            </w:r>
          </w:p>
        </w:tc>
      </w:tr>
      <w:tr w:rsidR="00561B22" w:rsidRPr="00514F53" w14:paraId="7D8575FE" w14:textId="77777777" w:rsidTr="00F1223B">
        <w:tc>
          <w:tcPr>
            <w:tcW w:w="562" w:type="dxa"/>
          </w:tcPr>
          <w:p w14:paraId="4F9ED914"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8</w:t>
            </w:r>
          </w:p>
        </w:tc>
        <w:tc>
          <w:tcPr>
            <w:tcW w:w="9400" w:type="dxa"/>
          </w:tcPr>
          <w:p w14:paraId="1BFABF31"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Implementar estrategias que permitan la preparación y presentación de Información Financiera oportunamente, acorde con los lineamientos definidos.</w:t>
            </w:r>
          </w:p>
        </w:tc>
      </w:tr>
      <w:tr w:rsidR="00561B22" w:rsidRPr="00514F53" w14:paraId="142BFFBF" w14:textId="77777777" w:rsidTr="00F1223B">
        <w:tc>
          <w:tcPr>
            <w:tcW w:w="562" w:type="dxa"/>
          </w:tcPr>
          <w:p w14:paraId="040C7E26"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9</w:t>
            </w:r>
          </w:p>
        </w:tc>
        <w:tc>
          <w:tcPr>
            <w:tcW w:w="9400" w:type="dxa"/>
          </w:tcPr>
          <w:p w14:paraId="6E50286E" w14:textId="77777777" w:rsidR="00561B22" w:rsidRPr="00514F53" w:rsidRDefault="00561B22" w:rsidP="00F1223B">
            <w:pPr>
              <w:tabs>
                <w:tab w:val="left" w:pos="1350"/>
              </w:tabs>
              <w:jc w:val="both"/>
              <w:rPr>
                <w:rFonts w:ascii="Arial" w:hAnsi="Arial" w:cs="Arial"/>
                <w:bCs/>
                <w:sz w:val="22"/>
                <w:szCs w:val="22"/>
                <w:lang w:val="es-MX"/>
              </w:rPr>
            </w:pPr>
            <w:r w:rsidRPr="00514F53">
              <w:rPr>
                <w:rFonts w:ascii="Arial" w:hAnsi="Arial" w:cs="Arial"/>
                <w:bCs/>
                <w:sz w:val="22"/>
                <w:szCs w:val="22"/>
                <w:lang w:val="es-MX"/>
              </w:rPr>
              <w:t>Realizar la publicación oportuna de los Estados Financieros en la página web de la ANH.</w:t>
            </w:r>
            <w:r w:rsidRPr="00514F53">
              <w:rPr>
                <w:rFonts w:ascii="Arial" w:hAnsi="Arial" w:cs="Arial"/>
                <w:bCs/>
                <w:sz w:val="22"/>
                <w:szCs w:val="22"/>
                <w:lang w:val="es-MX"/>
              </w:rPr>
              <w:tab/>
            </w:r>
          </w:p>
        </w:tc>
      </w:tr>
      <w:tr w:rsidR="00561B22" w:rsidRPr="00514F53" w14:paraId="4251A49B" w14:textId="77777777" w:rsidTr="00F1223B">
        <w:tc>
          <w:tcPr>
            <w:tcW w:w="562" w:type="dxa"/>
          </w:tcPr>
          <w:p w14:paraId="76FEF88F" w14:textId="77777777" w:rsidR="00561B22" w:rsidRPr="00514F53" w:rsidRDefault="00561B22" w:rsidP="00F1223B">
            <w:pPr>
              <w:jc w:val="center"/>
              <w:rPr>
                <w:rFonts w:ascii="Arial" w:hAnsi="Arial" w:cs="Arial"/>
                <w:b/>
                <w:sz w:val="22"/>
                <w:szCs w:val="22"/>
                <w:lang w:val="es-MX"/>
              </w:rPr>
            </w:pPr>
            <w:r w:rsidRPr="00514F53">
              <w:rPr>
                <w:rFonts w:ascii="Arial" w:hAnsi="Arial" w:cs="Arial"/>
                <w:b/>
                <w:sz w:val="22"/>
                <w:szCs w:val="22"/>
                <w:lang w:val="es-MX"/>
              </w:rPr>
              <w:t>10</w:t>
            </w:r>
          </w:p>
        </w:tc>
        <w:tc>
          <w:tcPr>
            <w:tcW w:w="9400" w:type="dxa"/>
          </w:tcPr>
          <w:p w14:paraId="2E926C4D" w14:textId="77777777" w:rsidR="00561B22" w:rsidRPr="00514F53" w:rsidRDefault="00561B22" w:rsidP="00F1223B">
            <w:pPr>
              <w:jc w:val="both"/>
              <w:rPr>
                <w:rFonts w:ascii="Arial" w:hAnsi="Arial" w:cs="Arial"/>
                <w:bCs/>
                <w:sz w:val="22"/>
                <w:szCs w:val="22"/>
                <w:lang w:val="es-MX"/>
              </w:rPr>
            </w:pPr>
            <w:r w:rsidRPr="00514F53">
              <w:rPr>
                <w:rFonts w:ascii="Arial" w:hAnsi="Arial" w:cs="Arial"/>
                <w:bCs/>
                <w:sz w:val="22"/>
                <w:szCs w:val="22"/>
                <w:lang w:val="es-MX"/>
              </w:rPr>
              <w:t>Establecer un plan de mejoramiento del sistema de control interno contable, tomando como base las debilidades identificadas por la Oficina de Control Interno en el proceso de evaluación y las identificadas por el proceso de gestión financiera producto de la autoevaluación; realizar seguimiento al plan y reportar avances en la ejecución.</w:t>
            </w:r>
          </w:p>
        </w:tc>
      </w:tr>
    </w:tbl>
    <w:p w14:paraId="5124B7F5" w14:textId="77777777" w:rsidR="00561B22" w:rsidRPr="00514F53" w:rsidRDefault="00561B22" w:rsidP="00561B22">
      <w:pPr>
        <w:pStyle w:val="Textoindependiente"/>
        <w:jc w:val="both"/>
        <w:rPr>
          <w:rFonts w:ascii="Arial" w:hAnsi="Arial" w:cs="Arial"/>
          <w:b/>
          <w:bCs/>
        </w:rPr>
      </w:pPr>
    </w:p>
    <w:p w14:paraId="08B21031" w14:textId="77777777" w:rsidR="00561B22" w:rsidRPr="00514F53" w:rsidRDefault="00561B22" w:rsidP="00561B22">
      <w:pPr>
        <w:jc w:val="both"/>
        <w:rPr>
          <w:rFonts w:ascii="Arial" w:hAnsi="Arial" w:cs="Arial"/>
          <w:b/>
          <w:bCs/>
          <w:sz w:val="24"/>
          <w:szCs w:val="24"/>
          <w:lang w:val="es-CO"/>
        </w:rPr>
      </w:pPr>
      <w:r w:rsidRPr="00514F53">
        <w:rPr>
          <w:rFonts w:ascii="Arial" w:hAnsi="Arial" w:cs="Arial"/>
          <w:b/>
          <w:bCs/>
          <w:sz w:val="24"/>
          <w:szCs w:val="24"/>
          <w:lang w:val="es-CO"/>
        </w:rPr>
        <w:t xml:space="preserve">NOTA: LA ENTIDAD ENVIA LA MATRIZ DE AUTOEVALUACIÓN DEL SISTEMA DE CONTROL INTERNO CONTABLE CON </w:t>
      </w:r>
      <w:r w:rsidRPr="00514F53">
        <w:rPr>
          <w:rFonts w:ascii="Arial" w:hAnsi="Arial" w:cs="Arial"/>
          <w:b/>
          <w:bCs/>
          <w:sz w:val="24"/>
          <w:szCs w:val="24"/>
          <w:u w:val="single"/>
          <w:lang w:val="es-CO"/>
        </w:rPr>
        <w:t>ACTIVIDADES DE CONTROL REALIZADAS EN FORMA PARCIAL</w:t>
      </w:r>
      <w:r w:rsidRPr="00514F53">
        <w:rPr>
          <w:rFonts w:ascii="Arial" w:hAnsi="Arial" w:cs="Arial"/>
          <w:b/>
          <w:bCs/>
          <w:sz w:val="24"/>
          <w:szCs w:val="24"/>
          <w:lang w:val="es-CO"/>
        </w:rPr>
        <w:t>.</w:t>
      </w:r>
    </w:p>
    <w:p w14:paraId="3223E7A4" w14:textId="77777777" w:rsidR="00561B22" w:rsidRDefault="00561B22" w:rsidP="00561B22">
      <w:pPr>
        <w:jc w:val="both"/>
        <w:rPr>
          <w:rFonts w:ascii="Arial" w:hAnsi="Arial" w:cs="Arial"/>
          <w:b/>
          <w:bCs/>
          <w:lang w:val="es-CO"/>
        </w:rPr>
      </w:pPr>
    </w:p>
    <w:p w14:paraId="267A4F21" w14:textId="77777777" w:rsidR="00561B22" w:rsidRPr="00924821" w:rsidRDefault="00561B22" w:rsidP="00561B22">
      <w:pPr>
        <w:jc w:val="both"/>
        <w:rPr>
          <w:rFonts w:ascii="Arial" w:hAnsi="Arial" w:cs="Arial"/>
          <w:b/>
          <w:sz w:val="28"/>
          <w:szCs w:val="28"/>
          <w:lang w:val="es-MX"/>
        </w:rPr>
      </w:pPr>
      <w:r w:rsidRPr="00924821">
        <w:rPr>
          <w:rFonts w:ascii="Arial" w:hAnsi="Arial" w:cs="Arial"/>
          <w:b/>
          <w:sz w:val="28"/>
          <w:szCs w:val="28"/>
          <w:lang w:val="es-MX"/>
        </w:rPr>
        <w:t>162.- CENTRAL DE INVERSIONES S.A. - CISA.</w:t>
      </w:r>
    </w:p>
    <w:p w14:paraId="3D3A6294" w14:textId="77777777" w:rsidR="00561B22" w:rsidRDefault="00561B22" w:rsidP="00561B22">
      <w:pPr>
        <w:pStyle w:val="Textoindependiente"/>
        <w:jc w:val="both"/>
        <w:rPr>
          <w:b/>
          <w:bCs/>
          <w:sz w:val="28"/>
          <w:szCs w:val="28"/>
        </w:rPr>
      </w:pPr>
    </w:p>
    <w:p w14:paraId="03E4AD73" w14:textId="77777777" w:rsidR="00561B22" w:rsidRPr="00924821" w:rsidRDefault="00561B22" w:rsidP="00561B22">
      <w:pPr>
        <w:pStyle w:val="Textoindependiente"/>
        <w:jc w:val="center"/>
        <w:rPr>
          <w:rFonts w:ascii="Arial" w:hAnsi="Arial" w:cs="Arial"/>
          <w:b/>
          <w:bCs/>
        </w:rPr>
      </w:pPr>
      <w:r w:rsidRPr="00924821">
        <w:rPr>
          <w:rFonts w:ascii="Arial" w:hAnsi="Arial" w:cs="Arial"/>
          <w:b/>
          <w:bCs/>
        </w:rPr>
        <w:t>INFORME DE LA AUTOCALIFICACIÓN DEL SISTEMA DE CONTROL INTERNO CONTABLE:</w:t>
      </w:r>
    </w:p>
    <w:p w14:paraId="76DEB48B" w14:textId="77777777" w:rsidR="00561B22" w:rsidRPr="0092482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24821" w14:paraId="6B296769" w14:textId="77777777" w:rsidTr="00F1223B">
        <w:tc>
          <w:tcPr>
            <w:tcW w:w="4981" w:type="dxa"/>
          </w:tcPr>
          <w:p w14:paraId="58C1394C"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AUTOCALIFICACIÓN</w:t>
            </w:r>
          </w:p>
        </w:tc>
        <w:tc>
          <w:tcPr>
            <w:tcW w:w="4981" w:type="dxa"/>
          </w:tcPr>
          <w:p w14:paraId="07BFFBBE" w14:textId="77777777" w:rsidR="00561B22" w:rsidRPr="00924821" w:rsidRDefault="00561B22" w:rsidP="00F1223B">
            <w:pPr>
              <w:jc w:val="center"/>
              <w:rPr>
                <w:rFonts w:ascii="Arial" w:hAnsi="Arial" w:cs="Arial"/>
                <w:b/>
                <w:sz w:val="22"/>
                <w:szCs w:val="22"/>
                <w:u w:val="single"/>
                <w:lang w:val="es-MX"/>
              </w:rPr>
            </w:pPr>
            <w:r w:rsidRPr="00924821">
              <w:rPr>
                <w:rFonts w:ascii="Arial" w:hAnsi="Arial" w:cs="Arial"/>
                <w:b/>
                <w:sz w:val="22"/>
                <w:szCs w:val="22"/>
                <w:u w:val="single"/>
                <w:lang w:val="es-MX"/>
              </w:rPr>
              <w:t>4.81</w:t>
            </w:r>
          </w:p>
        </w:tc>
      </w:tr>
    </w:tbl>
    <w:p w14:paraId="2E711A9C" w14:textId="77777777" w:rsidR="00561B22" w:rsidRPr="00924821" w:rsidRDefault="00561B22" w:rsidP="00561B22">
      <w:pPr>
        <w:pStyle w:val="Textoindependiente"/>
        <w:jc w:val="both"/>
        <w:rPr>
          <w:rFonts w:ascii="Arial" w:hAnsi="Arial" w:cs="Arial"/>
          <w:b/>
          <w:bCs/>
        </w:rPr>
      </w:pPr>
    </w:p>
    <w:p w14:paraId="4416A910" w14:textId="77777777" w:rsidR="00561B22" w:rsidRPr="00924821" w:rsidRDefault="00561B22" w:rsidP="00561B22">
      <w:pPr>
        <w:pStyle w:val="Textoindependiente"/>
        <w:jc w:val="both"/>
        <w:rPr>
          <w:rFonts w:ascii="Arial" w:hAnsi="Arial" w:cs="Arial"/>
          <w:b/>
          <w:bCs/>
        </w:rPr>
      </w:pPr>
      <w:r w:rsidRPr="00924821">
        <w:rPr>
          <w:rFonts w:ascii="Arial" w:hAnsi="Arial" w:cs="Arial"/>
          <w:b/>
          <w:bCs/>
        </w:rPr>
        <w:t>Del informe enviado retomamos lo siguiente:</w:t>
      </w:r>
    </w:p>
    <w:p w14:paraId="3460B536" w14:textId="77777777" w:rsidR="00561B22" w:rsidRPr="0092482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24821" w14:paraId="0EB99855" w14:textId="77777777" w:rsidTr="00F1223B">
        <w:tc>
          <w:tcPr>
            <w:tcW w:w="562" w:type="dxa"/>
          </w:tcPr>
          <w:p w14:paraId="7D14AFC1"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N°</w:t>
            </w:r>
          </w:p>
        </w:tc>
        <w:tc>
          <w:tcPr>
            <w:tcW w:w="9400" w:type="dxa"/>
          </w:tcPr>
          <w:p w14:paraId="1DA788D5"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DEBILIDADES</w:t>
            </w:r>
          </w:p>
          <w:p w14:paraId="3F3927D3" w14:textId="77777777" w:rsidR="00561B22" w:rsidRPr="00924821" w:rsidRDefault="00561B22" w:rsidP="00F1223B">
            <w:pPr>
              <w:jc w:val="center"/>
              <w:rPr>
                <w:rFonts w:ascii="Arial" w:hAnsi="Arial" w:cs="Arial"/>
                <w:b/>
                <w:sz w:val="22"/>
                <w:szCs w:val="22"/>
                <w:lang w:val="es-MX"/>
              </w:rPr>
            </w:pPr>
          </w:p>
        </w:tc>
      </w:tr>
      <w:tr w:rsidR="00561B22" w:rsidRPr="00924821" w14:paraId="64F72ED9" w14:textId="77777777" w:rsidTr="00F1223B">
        <w:tc>
          <w:tcPr>
            <w:tcW w:w="562" w:type="dxa"/>
          </w:tcPr>
          <w:p w14:paraId="01159DB8"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1</w:t>
            </w:r>
          </w:p>
        </w:tc>
        <w:tc>
          <w:tcPr>
            <w:tcW w:w="9400" w:type="dxa"/>
          </w:tcPr>
          <w:p w14:paraId="35504F18" w14:textId="77777777" w:rsidR="00561B22" w:rsidRPr="00924821" w:rsidRDefault="00561B22" w:rsidP="00F1223B">
            <w:pPr>
              <w:jc w:val="both"/>
              <w:rPr>
                <w:rFonts w:ascii="Arial" w:hAnsi="Arial" w:cs="Arial"/>
                <w:bCs/>
                <w:sz w:val="22"/>
                <w:szCs w:val="22"/>
                <w:lang w:val="es-MX"/>
              </w:rPr>
            </w:pPr>
            <w:r w:rsidRPr="00924821">
              <w:rPr>
                <w:rFonts w:ascii="Arial" w:hAnsi="Arial" w:cs="Arial"/>
                <w:bCs/>
                <w:sz w:val="22"/>
                <w:szCs w:val="22"/>
                <w:lang w:val="es-CO"/>
              </w:rPr>
              <w:t>Validación permanente de los consecutivos de comprobantes y Planes de mejoramiento en ejecución 1 acción</w:t>
            </w:r>
          </w:p>
        </w:tc>
      </w:tr>
    </w:tbl>
    <w:p w14:paraId="79CD2C15" w14:textId="77777777" w:rsidR="00561B22" w:rsidRPr="00924821" w:rsidRDefault="00561B22" w:rsidP="00561B22">
      <w:pPr>
        <w:pStyle w:val="Textoindependiente"/>
        <w:jc w:val="both"/>
        <w:rPr>
          <w:rFonts w:ascii="Arial" w:hAnsi="Arial" w:cs="Arial"/>
          <w:b/>
          <w:bCs/>
        </w:rPr>
      </w:pPr>
    </w:p>
    <w:p w14:paraId="4F2123B4" w14:textId="77777777" w:rsidR="00561B22" w:rsidRPr="00924821" w:rsidRDefault="00561B22" w:rsidP="00561B22">
      <w:pPr>
        <w:jc w:val="both"/>
        <w:rPr>
          <w:rFonts w:ascii="Arial" w:hAnsi="Arial" w:cs="Arial"/>
          <w:b/>
          <w:lang w:val="es-MX"/>
        </w:rPr>
      </w:pPr>
      <w:r w:rsidRPr="00924821">
        <w:rPr>
          <w:rFonts w:ascii="Arial" w:hAnsi="Arial" w:cs="Arial"/>
          <w:b/>
          <w:lang w:val="es-MX"/>
        </w:rPr>
        <w:t>Del citado informe retomamos las siguientes recomendaciones:</w:t>
      </w:r>
    </w:p>
    <w:p w14:paraId="456396D1" w14:textId="77777777" w:rsidR="00561B22" w:rsidRPr="00924821"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924821" w14:paraId="19A33BDC" w14:textId="77777777" w:rsidTr="00F1223B">
        <w:tc>
          <w:tcPr>
            <w:tcW w:w="562" w:type="dxa"/>
          </w:tcPr>
          <w:p w14:paraId="189DB562"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N°</w:t>
            </w:r>
          </w:p>
        </w:tc>
        <w:tc>
          <w:tcPr>
            <w:tcW w:w="9400" w:type="dxa"/>
          </w:tcPr>
          <w:p w14:paraId="754421D4"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RECOMENDACIONES</w:t>
            </w:r>
          </w:p>
          <w:p w14:paraId="51D2A8D1" w14:textId="77777777" w:rsidR="00561B22" w:rsidRPr="00924821" w:rsidRDefault="00561B22" w:rsidP="00F1223B">
            <w:pPr>
              <w:jc w:val="center"/>
              <w:rPr>
                <w:rFonts w:ascii="Arial" w:hAnsi="Arial" w:cs="Arial"/>
                <w:b/>
                <w:sz w:val="22"/>
                <w:szCs w:val="22"/>
                <w:lang w:val="es-MX"/>
              </w:rPr>
            </w:pPr>
          </w:p>
        </w:tc>
      </w:tr>
      <w:tr w:rsidR="00561B22" w:rsidRPr="00924821" w14:paraId="158C3454" w14:textId="77777777" w:rsidTr="00F1223B">
        <w:tc>
          <w:tcPr>
            <w:tcW w:w="562" w:type="dxa"/>
          </w:tcPr>
          <w:p w14:paraId="263C29E9" w14:textId="77777777" w:rsidR="00561B22" w:rsidRPr="00924821" w:rsidRDefault="00561B22" w:rsidP="00F1223B">
            <w:pPr>
              <w:jc w:val="center"/>
              <w:rPr>
                <w:rFonts w:ascii="Arial" w:hAnsi="Arial" w:cs="Arial"/>
                <w:b/>
                <w:sz w:val="22"/>
                <w:szCs w:val="22"/>
                <w:lang w:val="es-MX"/>
              </w:rPr>
            </w:pPr>
            <w:r w:rsidRPr="00924821">
              <w:rPr>
                <w:rFonts w:ascii="Arial" w:hAnsi="Arial" w:cs="Arial"/>
                <w:b/>
                <w:sz w:val="22"/>
                <w:szCs w:val="22"/>
                <w:lang w:val="es-MX"/>
              </w:rPr>
              <w:t>1</w:t>
            </w:r>
          </w:p>
        </w:tc>
        <w:tc>
          <w:tcPr>
            <w:tcW w:w="9400" w:type="dxa"/>
          </w:tcPr>
          <w:p w14:paraId="6D2091F4" w14:textId="77777777" w:rsidR="00561B22" w:rsidRPr="00924821" w:rsidRDefault="00561B22" w:rsidP="00F1223B">
            <w:pPr>
              <w:jc w:val="both"/>
              <w:rPr>
                <w:rFonts w:ascii="Arial" w:hAnsi="Arial" w:cs="Arial"/>
                <w:bCs/>
                <w:sz w:val="22"/>
                <w:szCs w:val="22"/>
                <w:lang w:val="es-MX"/>
              </w:rPr>
            </w:pPr>
            <w:r w:rsidRPr="00924821">
              <w:rPr>
                <w:rFonts w:ascii="Arial" w:hAnsi="Arial" w:cs="Arial"/>
                <w:bCs/>
                <w:sz w:val="22"/>
                <w:szCs w:val="22"/>
                <w:lang w:val="es-CO"/>
              </w:rPr>
              <w:t>Implementar controles sobre consecutivos de comprobantes. Cierre de la acción de plan de mejora</w:t>
            </w:r>
          </w:p>
        </w:tc>
      </w:tr>
    </w:tbl>
    <w:p w14:paraId="3EC04991" w14:textId="77777777" w:rsidR="00561B22" w:rsidRPr="00924821" w:rsidRDefault="00561B22" w:rsidP="00561B22">
      <w:pPr>
        <w:jc w:val="both"/>
        <w:rPr>
          <w:rFonts w:ascii="Arial" w:hAnsi="Arial" w:cs="Arial"/>
          <w:b/>
          <w:bCs/>
          <w:sz w:val="24"/>
          <w:szCs w:val="24"/>
          <w:lang w:val="es-CO"/>
        </w:rPr>
      </w:pPr>
    </w:p>
    <w:p w14:paraId="71D30B5A" w14:textId="77777777" w:rsidR="00561B22" w:rsidRPr="00924821" w:rsidRDefault="00561B22" w:rsidP="00561B22">
      <w:pPr>
        <w:jc w:val="both"/>
        <w:rPr>
          <w:rFonts w:ascii="Arial" w:hAnsi="Arial" w:cs="Arial"/>
          <w:b/>
          <w:bCs/>
          <w:sz w:val="24"/>
          <w:szCs w:val="24"/>
          <w:lang w:val="es-CO"/>
        </w:rPr>
      </w:pPr>
      <w:r w:rsidRPr="00924821">
        <w:rPr>
          <w:rFonts w:ascii="Arial" w:hAnsi="Arial" w:cs="Arial"/>
          <w:b/>
          <w:bCs/>
          <w:sz w:val="24"/>
          <w:szCs w:val="24"/>
          <w:lang w:val="es-CO"/>
        </w:rPr>
        <w:t xml:space="preserve">NOTA: LA ENTIDAD ENVIA LA MATRIZ DE AUTOEVALUACIÓN DEL SISTEMA DE </w:t>
      </w:r>
      <w:r w:rsidRPr="00924821">
        <w:rPr>
          <w:rFonts w:ascii="Arial" w:hAnsi="Arial" w:cs="Arial"/>
          <w:b/>
          <w:bCs/>
          <w:sz w:val="24"/>
          <w:szCs w:val="24"/>
          <w:lang w:val="es-CO"/>
        </w:rPr>
        <w:lastRenderedPageBreak/>
        <w:t xml:space="preserve">CONTROL INTERNO CONTABLE CON </w:t>
      </w:r>
      <w:r w:rsidRPr="00924821">
        <w:rPr>
          <w:rFonts w:ascii="Arial" w:hAnsi="Arial" w:cs="Arial"/>
          <w:b/>
          <w:bCs/>
          <w:sz w:val="24"/>
          <w:szCs w:val="24"/>
          <w:u w:val="single"/>
          <w:lang w:val="es-CO"/>
        </w:rPr>
        <w:t>ACTIVIDADES DE CONTROL REALIZADAS EN FORMA PARCIAL</w:t>
      </w:r>
      <w:r w:rsidRPr="00924821">
        <w:rPr>
          <w:rFonts w:ascii="Arial" w:hAnsi="Arial" w:cs="Arial"/>
          <w:b/>
          <w:bCs/>
          <w:sz w:val="24"/>
          <w:szCs w:val="24"/>
          <w:lang w:val="es-CO"/>
        </w:rPr>
        <w:t>.</w:t>
      </w:r>
    </w:p>
    <w:p w14:paraId="48676711" w14:textId="77777777" w:rsidR="00561B22" w:rsidRPr="00924821" w:rsidRDefault="00561B22" w:rsidP="00561B22">
      <w:pPr>
        <w:jc w:val="both"/>
        <w:rPr>
          <w:rFonts w:ascii="Arial" w:hAnsi="Arial" w:cs="Arial"/>
          <w:b/>
          <w:bCs/>
          <w:sz w:val="24"/>
          <w:szCs w:val="24"/>
          <w:lang w:val="es-CO"/>
        </w:rPr>
      </w:pPr>
    </w:p>
    <w:p w14:paraId="41E9DC41" w14:textId="77777777" w:rsidR="00561B22" w:rsidRPr="00177D55" w:rsidRDefault="00561B22" w:rsidP="00561B22">
      <w:pPr>
        <w:jc w:val="both"/>
        <w:rPr>
          <w:rFonts w:ascii="Arial" w:hAnsi="Arial" w:cs="Arial"/>
          <w:b/>
          <w:sz w:val="28"/>
          <w:szCs w:val="28"/>
          <w:lang w:val="es-MX"/>
        </w:rPr>
      </w:pPr>
      <w:r w:rsidRPr="00177D55">
        <w:rPr>
          <w:rFonts w:ascii="Arial" w:hAnsi="Arial" w:cs="Arial"/>
          <w:b/>
          <w:sz w:val="28"/>
          <w:szCs w:val="28"/>
          <w:lang w:val="es-MX"/>
        </w:rPr>
        <w:t>163.- COMISIÓN DE REGULACIÓN DE ENERGÍA Y GAS - CREG.</w:t>
      </w:r>
    </w:p>
    <w:p w14:paraId="43B384BA" w14:textId="77777777" w:rsidR="00561B22" w:rsidRPr="00177D55" w:rsidRDefault="00561B22" w:rsidP="00561B22">
      <w:pPr>
        <w:pStyle w:val="Prrafodelista"/>
        <w:spacing w:before="92"/>
        <w:ind w:left="-142"/>
        <w:rPr>
          <w:rFonts w:ascii="Arial" w:hAnsi="Arial" w:cs="Arial"/>
          <w:b/>
          <w:lang w:val="es-MX"/>
        </w:rPr>
      </w:pPr>
    </w:p>
    <w:p w14:paraId="58F7A89D" w14:textId="77777777" w:rsidR="00561B22" w:rsidRPr="00177D55" w:rsidRDefault="00561B22" w:rsidP="00561B22">
      <w:pPr>
        <w:pStyle w:val="Textoindependiente"/>
        <w:jc w:val="center"/>
        <w:rPr>
          <w:rFonts w:ascii="Arial" w:hAnsi="Arial" w:cs="Arial"/>
          <w:b/>
          <w:bCs/>
        </w:rPr>
      </w:pPr>
      <w:r w:rsidRPr="00177D55">
        <w:rPr>
          <w:rFonts w:ascii="Arial" w:hAnsi="Arial" w:cs="Arial"/>
          <w:b/>
          <w:bCs/>
        </w:rPr>
        <w:t>INFORME DE LA AUTOCALIFICACIÓN DEL SISTEMA DE CONTROL INTERNO CONTABLE:</w:t>
      </w:r>
    </w:p>
    <w:p w14:paraId="300C6F18" w14:textId="77777777" w:rsidR="00561B22" w:rsidRPr="00177D55"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77D55" w14:paraId="7AB848CD" w14:textId="77777777" w:rsidTr="00F1223B">
        <w:tc>
          <w:tcPr>
            <w:tcW w:w="4981" w:type="dxa"/>
          </w:tcPr>
          <w:p w14:paraId="680EC050"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AUTOCALIFICACIÓN</w:t>
            </w:r>
          </w:p>
        </w:tc>
        <w:tc>
          <w:tcPr>
            <w:tcW w:w="4981" w:type="dxa"/>
          </w:tcPr>
          <w:p w14:paraId="18F499AD" w14:textId="77777777" w:rsidR="00561B22" w:rsidRPr="00177D55" w:rsidRDefault="00561B22" w:rsidP="00F1223B">
            <w:pPr>
              <w:jc w:val="center"/>
              <w:rPr>
                <w:rFonts w:ascii="Arial" w:hAnsi="Arial" w:cs="Arial"/>
                <w:b/>
                <w:sz w:val="22"/>
                <w:szCs w:val="22"/>
                <w:u w:val="single"/>
                <w:lang w:val="es-MX"/>
              </w:rPr>
            </w:pPr>
            <w:r w:rsidRPr="00177D55">
              <w:rPr>
                <w:rFonts w:ascii="Arial" w:hAnsi="Arial" w:cs="Arial"/>
                <w:b/>
                <w:sz w:val="22"/>
                <w:szCs w:val="22"/>
                <w:u w:val="single"/>
                <w:lang w:val="es-MX"/>
              </w:rPr>
              <w:t>4.24</w:t>
            </w:r>
          </w:p>
        </w:tc>
      </w:tr>
    </w:tbl>
    <w:p w14:paraId="0ACDE134" w14:textId="77777777" w:rsidR="00561B22" w:rsidRPr="00177D55" w:rsidRDefault="00561B22" w:rsidP="00561B22">
      <w:pPr>
        <w:pStyle w:val="Textoindependiente"/>
        <w:jc w:val="both"/>
        <w:rPr>
          <w:rFonts w:ascii="Arial" w:hAnsi="Arial" w:cs="Arial"/>
          <w:b/>
          <w:bCs/>
        </w:rPr>
      </w:pPr>
    </w:p>
    <w:p w14:paraId="17453DC4" w14:textId="77777777" w:rsidR="00561B22" w:rsidRPr="00177D55" w:rsidRDefault="00561B22" w:rsidP="00561B22">
      <w:pPr>
        <w:pStyle w:val="Textoindependiente"/>
        <w:jc w:val="both"/>
        <w:rPr>
          <w:rFonts w:ascii="Arial" w:hAnsi="Arial" w:cs="Arial"/>
          <w:b/>
          <w:bCs/>
        </w:rPr>
      </w:pPr>
      <w:r w:rsidRPr="00177D55">
        <w:rPr>
          <w:rFonts w:ascii="Arial" w:hAnsi="Arial" w:cs="Arial"/>
          <w:b/>
          <w:bCs/>
        </w:rPr>
        <w:t>Del informe enviado retomamos lo siguiente:</w:t>
      </w:r>
    </w:p>
    <w:p w14:paraId="565F52AE" w14:textId="77777777" w:rsidR="00561B22" w:rsidRPr="00177D55"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77D55" w14:paraId="04B9500A" w14:textId="77777777" w:rsidTr="00F1223B">
        <w:tc>
          <w:tcPr>
            <w:tcW w:w="562" w:type="dxa"/>
          </w:tcPr>
          <w:p w14:paraId="21F3CC2F"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N°</w:t>
            </w:r>
          </w:p>
        </w:tc>
        <w:tc>
          <w:tcPr>
            <w:tcW w:w="9400" w:type="dxa"/>
          </w:tcPr>
          <w:p w14:paraId="20ECDAED"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DEBILIDADES</w:t>
            </w:r>
          </w:p>
          <w:p w14:paraId="39978440" w14:textId="77777777" w:rsidR="00561B22" w:rsidRPr="00177D55" w:rsidRDefault="00561B22" w:rsidP="00F1223B">
            <w:pPr>
              <w:jc w:val="center"/>
              <w:rPr>
                <w:rFonts w:ascii="Arial" w:hAnsi="Arial" w:cs="Arial"/>
                <w:b/>
                <w:sz w:val="22"/>
                <w:szCs w:val="22"/>
                <w:lang w:val="es-MX"/>
              </w:rPr>
            </w:pPr>
          </w:p>
        </w:tc>
      </w:tr>
      <w:tr w:rsidR="00561B22" w:rsidRPr="00177D55" w14:paraId="0BF72413" w14:textId="77777777" w:rsidTr="00F1223B">
        <w:tc>
          <w:tcPr>
            <w:tcW w:w="562" w:type="dxa"/>
          </w:tcPr>
          <w:p w14:paraId="5440395E"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1</w:t>
            </w:r>
          </w:p>
        </w:tc>
        <w:tc>
          <w:tcPr>
            <w:tcW w:w="9400" w:type="dxa"/>
          </w:tcPr>
          <w:p w14:paraId="3EE5ABA8"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 xml:space="preserve">No se cuenta con un procedimiento para la elaboración de las conciliaciones. </w:t>
            </w:r>
          </w:p>
        </w:tc>
      </w:tr>
      <w:tr w:rsidR="00561B22" w:rsidRPr="00177D55" w14:paraId="033CAC18" w14:textId="77777777" w:rsidTr="00F1223B">
        <w:tc>
          <w:tcPr>
            <w:tcW w:w="562" w:type="dxa"/>
          </w:tcPr>
          <w:p w14:paraId="232FB0CA"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2</w:t>
            </w:r>
          </w:p>
        </w:tc>
        <w:tc>
          <w:tcPr>
            <w:tcW w:w="9400" w:type="dxa"/>
          </w:tcPr>
          <w:p w14:paraId="779DFE96"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Para los bienes controlados y los de consumo controlado no se evidenció un documento soporte idóneo de estos bienes físicos que contenga los responsables de elaboración y revisión</w:t>
            </w:r>
          </w:p>
        </w:tc>
      </w:tr>
      <w:tr w:rsidR="00561B22" w:rsidRPr="00177D55" w14:paraId="7CA3FE51" w14:textId="77777777" w:rsidTr="00F1223B">
        <w:tc>
          <w:tcPr>
            <w:tcW w:w="562" w:type="dxa"/>
          </w:tcPr>
          <w:p w14:paraId="49A2C1E6"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3</w:t>
            </w:r>
          </w:p>
        </w:tc>
        <w:tc>
          <w:tcPr>
            <w:tcW w:w="9400" w:type="dxa"/>
          </w:tcPr>
          <w:p w14:paraId="03F582B5"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La Entidad en su mapa de riesgos no contempla riesgos de índole contable.</w:t>
            </w:r>
          </w:p>
        </w:tc>
      </w:tr>
      <w:tr w:rsidR="00561B22" w:rsidRPr="00177D55" w14:paraId="0B091D47" w14:textId="77777777" w:rsidTr="00F1223B">
        <w:tc>
          <w:tcPr>
            <w:tcW w:w="562" w:type="dxa"/>
          </w:tcPr>
          <w:p w14:paraId="3A605BD8"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4</w:t>
            </w:r>
          </w:p>
        </w:tc>
        <w:tc>
          <w:tcPr>
            <w:tcW w:w="9400" w:type="dxa"/>
          </w:tcPr>
          <w:p w14:paraId="1DB02F09"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La Entidad no tiene identificado en su batería de indicadores publicada en Isodoc, la aplicación de indicadores del proceso Contable específicamente.</w:t>
            </w:r>
          </w:p>
        </w:tc>
      </w:tr>
      <w:tr w:rsidR="00561B22" w:rsidRPr="00177D55" w14:paraId="5FBEBBA3" w14:textId="77777777" w:rsidTr="00F1223B">
        <w:tc>
          <w:tcPr>
            <w:tcW w:w="562" w:type="dxa"/>
          </w:tcPr>
          <w:p w14:paraId="77B4D853"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5</w:t>
            </w:r>
          </w:p>
        </w:tc>
        <w:tc>
          <w:tcPr>
            <w:tcW w:w="9400" w:type="dxa"/>
          </w:tcPr>
          <w:p w14:paraId="6FDBD672"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En la Rendición de cuentas de la Entidad de la vigencia 2024, no se presentaron los EEFF</w:t>
            </w:r>
          </w:p>
        </w:tc>
      </w:tr>
    </w:tbl>
    <w:p w14:paraId="33314F88" w14:textId="77777777" w:rsidR="00561B22" w:rsidRPr="00177D55" w:rsidRDefault="00561B22" w:rsidP="00561B22">
      <w:pPr>
        <w:pStyle w:val="Textoindependiente"/>
        <w:jc w:val="both"/>
        <w:rPr>
          <w:rFonts w:ascii="Arial" w:hAnsi="Arial" w:cs="Arial"/>
          <w:b/>
          <w:bCs/>
        </w:rPr>
      </w:pPr>
    </w:p>
    <w:p w14:paraId="05C4DCCA" w14:textId="77777777" w:rsidR="00561B22" w:rsidRPr="00177D55" w:rsidRDefault="00561B22" w:rsidP="00561B22">
      <w:pPr>
        <w:jc w:val="both"/>
        <w:rPr>
          <w:rFonts w:ascii="Arial" w:hAnsi="Arial" w:cs="Arial"/>
          <w:b/>
          <w:lang w:val="es-MX"/>
        </w:rPr>
      </w:pPr>
      <w:r w:rsidRPr="00177D55">
        <w:rPr>
          <w:rFonts w:ascii="Arial" w:hAnsi="Arial" w:cs="Arial"/>
          <w:b/>
          <w:lang w:val="es-MX"/>
        </w:rPr>
        <w:t>Del citado informe retomamos las siguientes recomendaciones:</w:t>
      </w:r>
    </w:p>
    <w:p w14:paraId="6C56F6B0" w14:textId="77777777" w:rsidR="00561B22" w:rsidRPr="00177D55"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177D55" w14:paraId="5C61E420" w14:textId="77777777" w:rsidTr="00F1223B">
        <w:tc>
          <w:tcPr>
            <w:tcW w:w="562" w:type="dxa"/>
          </w:tcPr>
          <w:p w14:paraId="5F42BED0"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N°</w:t>
            </w:r>
          </w:p>
        </w:tc>
        <w:tc>
          <w:tcPr>
            <w:tcW w:w="9400" w:type="dxa"/>
          </w:tcPr>
          <w:p w14:paraId="1E9F1B97"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RECOMENDACIONES</w:t>
            </w:r>
          </w:p>
          <w:p w14:paraId="58F22427" w14:textId="77777777" w:rsidR="00561B22" w:rsidRPr="00177D55" w:rsidRDefault="00561B22" w:rsidP="00F1223B">
            <w:pPr>
              <w:jc w:val="center"/>
              <w:rPr>
                <w:rFonts w:ascii="Arial" w:hAnsi="Arial" w:cs="Arial"/>
                <w:b/>
                <w:sz w:val="22"/>
                <w:szCs w:val="22"/>
                <w:lang w:val="es-MX"/>
              </w:rPr>
            </w:pPr>
          </w:p>
        </w:tc>
      </w:tr>
      <w:tr w:rsidR="00561B22" w:rsidRPr="00177D55" w14:paraId="00439B28" w14:textId="77777777" w:rsidTr="00F1223B">
        <w:tc>
          <w:tcPr>
            <w:tcW w:w="562" w:type="dxa"/>
          </w:tcPr>
          <w:p w14:paraId="32799869"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1</w:t>
            </w:r>
          </w:p>
        </w:tc>
        <w:tc>
          <w:tcPr>
            <w:tcW w:w="9400" w:type="dxa"/>
          </w:tcPr>
          <w:p w14:paraId="7DD8C67D"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 xml:space="preserve">Gestionar los riesgos del proceso Financiero, en razón a que se limita la actividad a contar con un mapa de riesgos, pero no se está haciendo el seguimiento y la gestión necesaria que permita ser una herramienta para la toma de decisiones por parte de la alta dirección. </w:t>
            </w:r>
          </w:p>
        </w:tc>
      </w:tr>
      <w:tr w:rsidR="00561B22" w:rsidRPr="00177D55" w14:paraId="3C6D9EB3" w14:textId="77777777" w:rsidTr="00F1223B">
        <w:tc>
          <w:tcPr>
            <w:tcW w:w="562" w:type="dxa"/>
          </w:tcPr>
          <w:p w14:paraId="3CA3F6D1"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2</w:t>
            </w:r>
          </w:p>
        </w:tc>
        <w:tc>
          <w:tcPr>
            <w:tcW w:w="9400" w:type="dxa"/>
          </w:tcPr>
          <w:p w14:paraId="79408CFC"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Presentar al Comité Institucional de Coordinación de Control Interno la información contenida en los Estados financieros, a fin de que dicho comité haga sus observaciones y recomendaciones (Función de acuerdo a la Resolución CREG 238/2017)</w:t>
            </w:r>
          </w:p>
        </w:tc>
      </w:tr>
      <w:tr w:rsidR="00561B22" w:rsidRPr="00177D55" w14:paraId="14796168" w14:textId="77777777" w:rsidTr="00F1223B">
        <w:tc>
          <w:tcPr>
            <w:tcW w:w="562" w:type="dxa"/>
          </w:tcPr>
          <w:p w14:paraId="546E1C4E"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3</w:t>
            </w:r>
          </w:p>
        </w:tc>
        <w:tc>
          <w:tcPr>
            <w:tcW w:w="9400" w:type="dxa"/>
          </w:tcPr>
          <w:p w14:paraId="1F40D007"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Fortalecer los controles establecidos en las áreas que generan información para contabilidad a fin de garantizar la completitud y consistencia de las cifras contenidas en los estados financieros.</w:t>
            </w:r>
          </w:p>
        </w:tc>
      </w:tr>
      <w:tr w:rsidR="00561B22" w:rsidRPr="00177D55" w14:paraId="305762BE" w14:textId="77777777" w:rsidTr="00F1223B">
        <w:tc>
          <w:tcPr>
            <w:tcW w:w="562" w:type="dxa"/>
          </w:tcPr>
          <w:p w14:paraId="0F9A837D" w14:textId="77777777" w:rsidR="00561B22" w:rsidRPr="00177D55" w:rsidRDefault="00561B22" w:rsidP="00F1223B">
            <w:pPr>
              <w:jc w:val="center"/>
              <w:rPr>
                <w:rFonts w:ascii="Arial" w:hAnsi="Arial" w:cs="Arial"/>
                <w:b/>
                <w:sz w:val="22"/>
                <w:szCs w:val="22"/>
                <w:lang w:val="es-MX"/>
              </w:rPr>
            </w:pPr>
            <w:r w:rsidRPr="00177D55">
              <w:rPr>
                <w:rFonts w:ascii="Arial" w:hAnsi="Arial" w:cs="Arial"/>
                <w:b/>
                <w:sz w:val="22"/>
                <w:szCs w:val="22"/>
                <w:lang w:val="es-MX"/>
              </w:rPr>
              <w:t>4</w:t>
            </w:r>
          </w:p>
        </w:tc>
        <w:tc>
          <w:tcPr>
            <w:tcW w:w="9400" w:type="dxa"/>
          </w:tcPr>
          <w:p w14:paraId="35B3086F"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Actualizar el procedimiento de inventarios, Manual de Política Contable y revisar en Isodoc la publicación del procedimiento GF-PR-003 que se encuentra desactualizado.</w:t>
            </w:r>
          </w:p>
        </w:tc>
      </w:tr>
      <w:tr w:rsidR="00561B22" w:rsidRPr="00177D55" w14:paraId="56170C91" w14:textId="77777777" w:rsidTr="00F1223B">
        <w:tc>
          <w:tcPr>
            <w:tcW w:w="562" w:type="dxa"/>
          </w:tcPr>
          <w:p w14:paraId="2373D364" w14:textId="77777777" w:rsidR="00561B22" w:rsidRPr="00177D55" w:rsidRDefault="00561B22" w:rsidP="00F1223B">
            <w:pPr>
              <w:jc w:val="center"/>
              <w:rPr>
                <w:rFonts w:ascii="Arial" w:hAnsi="Arial" w:cs="Arial"/>
                <w:b/>
                <w:sz w:val="22"/>
                <w:szCs w:val="22"/>
                <w:lang w:val="es-MX"/>
              </w:rPr>
            </w:pPr>
          </w:p>
        </w:tc>
        <w:tc>
          <w:tcPr>
            <w:tcW w:w="9400" w:type="dxa"/>
          </w:tcPr>
          <w:p w14:paraId="2D8157EE" w14:textId="77777777" w:rsidR="00561B22" w:rsidRPr="00177D55" w:rsidRDefault="00561B22" w:rsidP="00F1223B">
            <w:pPr>
              <w:jc w:val="both"/>
              <w:rPr>
                <w:rFonts w:ascii="Arial" w:hAnsi="Arial" w:cs="Arial"/>
                <w:bCs/>
                <w:sz w:val="22"/>
                <w:szCs w:val="22"/>
                <w:lang w:val="es-MX"/>
              </w:rPr>
            </w:pPr>
            <w:r w:rsidRPr="00177D55">
              <w:rPr>
                <w:rFonts w:ascii="Arial" w:hAnsi="Arial" w:cs="Arial"/>
                <w:bCs/>
                <w:sz w:val="22"/>
                <w:szCs w:val="22"/>
                <w:lang w:val="es-MX"/>
              </w:rPr>
              <w:t>Dar cumplimiento oportuno a la publicación de los EEFF en la página web de la entidad, en cumplimiento a la Resolución 261 de 2023.</w:t>
            </w:r>
          </w:p>
        </w:tc>
      </w:tr>
    </w:tbl>
    <w:p w14:paraId="4D49FEFA" w14:textId="77777777" w:rsidR="00561B22" w:rsidRPr="00177D55" w:rsidRDefault="00561B22" w:rsidP="00561B22">
      <w:pPr>
        <w:jc w:val="both"/>
        <w:rPr>
          <w:rFonts w:ascii="Arial" w:hAnsi="Arial" w:cs="Arial"/>
          <w:b/>
          <w:bCs/>
          <w:sz w:val="24"/>
          <w:szCs w:val="24"/>
          <w:lang w:val="es-CO"/>
        </w:rPr>
      </w:pPr>
    </w:p>
    <w:p w14:paraId="2AC790AB" w14:textId="77777777" w:rsidR="00561B22" w:rsidRPr="00177D55" w:rsidRDefault="00561B22" w:rsidP="00561B22">
      <w:pPr>
        <w:jc w:val="both"/>
        <w:rPr>
          <w:rFonts w:ascii="Arial" w:hAnsi="Arial" w:cs="Arial"/>
          <w:b/>
          <w:bCs/>
          <w:sz w:val="24"/>
          <w:szCs w:val="24"/>
          <w:lang w:val="es-CO"/>
        </w:rPr>
      </w:pPr>
      <w:r w:rsidRPr="00177D55">
        <w:rPr>
          <w:rFonts w:ascii="Arial" w:hAnsi="Arial" w:cs="Arial"/>
          <w:b/>
          <w:bCs/>
          <w:sz w:val="24"/>
          <w:szCs w:val="24"/>
          <w:lang w:val="es-CO"/>
        </w:rPr>
        <w:t xml:space="preserve">NOTA: LA ENTIDAD ENVIA LA MATRIZ DE AUTOEVALUACIÓN DEL SISTEMA DE CONTROL INTERNO CONTABLE CON ACTIVIDADES DE CONTROL REALIZADAS </w:t>
      </w:r>
      <w:r w:rsidRPr="00177D55">
        <w:rPr>
          <w:rFonts w:ascii="Arial" w:hAnsi="Arial" w:cs="Arial"/>
          <w:b/>
          <w:bCs/>
          <w:sz w:val="24"/>
          <w:szCs w:val="24"/>
          <w:u w:val="single"/>
          <w:lang w:val="es-CO"/>
        </w:rPr>
        <w:t>EN FORMA PARCIAL Y OTRAS SIMPLEMENTE INFORMAN QUE NO SE REALIZARON</w:t>
      </w:r>
      <w:r w:rsidRPr="00177D55">
        <w:rPr>
          <w:rFonts w:ascii="Arial" w:hAnsi="Arial" w:cs="Arial"/>
          <w:b/>
          <w:bCs/>
          <w:sz w:val="24"/>
          <w:szCs w:val="24"/>
          <w:lang w:val="es-CO"/>
        </w:rPr>
        <w:t>.</w:t>
      </w:r>
    </w:p>
    <w:p w14:paraId="4505AD6A" w14:textId="77777777" w:rsidR="00561B22" w:rsidRPr="00177D55" w:rsidRDefault="00561B22" w:rsidP="00561B22">
      <w:pPr>
        <w:ind w:left="720" w:hanging="720"/>
        <w:jc w:val="both"/>
        <w:rPr>
          <w:rFonts w:ascii="Arial" w:hAnsi="Arial" w:cs="Arial"/>
          <w:b/>
          <w:bCs/>
          <w:sz w:val="24"/>
          <w:szCs w:val="24"/>
          <w:lang w:val="es-CO"/>
        </w:rPr>
      </w:pPr>
    </w:p>
    <w:p w14:paraId="05DA8551" w14:textId="77777777" w:rsidR="00561B22" w:rsidRDefault="00561B22" w:rsidP="00561B22">
      <w:pPr>
        <w:jc w:val="both"/>
        <w:rPr>
          <w:rFonts w:ascii="Arial" w:hAnsi="Arial" w:cs="Arial"/>
          <w:b/>
          <w:sz w:val="28"/>
          <w:szCs w:val="28"/>
          <w:lang w:val="es-MX"/>
        </w:rPr>
      </w:pPr>
      <w:r w:rsidRPr="00D1314B">
        <w:rPr>
          <w:rFonts w:ascii="Arial" w:hAnsi="Arial" w:cs="Arial"/>
          <w:b/>
          <w:sz w:val="28"/>
          <w:szCs w:val="28"/>
          <w:lang w:val="es-MX"/>
        </w:rPr>
        <w:t>164.- AGENCIA NACIONAL DE SEGURIDAD VIAL.</w:t>
      </w:r>
    </w:p>
    <w:p w14:paraId="2B3924AE" w14:textId="77777777" w:rsidR="00561B22" w:rsidRDefault="00561B22" w:rsidP="00561B22">
      <w:pPr>
        <w:jc w:val="both"/>
        <w:rPr>
          <w:rFonts w:ascii="Arial" w:hAnsi="Arial" w:cs="Arial"/>
          <w:b/>
          <w:bCs/>
          <w:lang w:val="es-MX"/>
        </w:rPr>
      </w:pPr>
    </w:p>
    <w:p w14:paraId="4A410027" w14:textId="77777777" w:rsidR="00561B22" w:rsidRPr="004462E9" w:rsidRDefault="00561B22" w:rsidP="00561B22">
      <w:pPr>
        <w:pStyle w:val="Textoindependiente"/>
        <w:jc w:val="center"/>
        <w:rPr>
          <w:rFonts w:ascii="Arial" w:hAnsi="Arial" w:cs="Arial"/>
          <w:b/>
          <w:bCs/>
        </w:rPr>
      </w:pPr>
      <w:r w:rsidRPr="004462E9">
        <w:rPr>
          <w:rFonts w:ascii="Arial" w:hAnsi="Arial" w:cs="Arial"/>
          <w:b/>
          <w:bCs/>
        </w:rPr>
        <w:t>INFORME DE LA AUTOCALIFICACIÓN DEL SISTEMA DE CONTROL INTERNO CONTABLE:</w:t>
      </w:r>
    </w:p>
    <w:p w14:paraId="3AAFA2F2" w14:textId="77777777" w:rsidR="00561B22" w:rsidRPr="004462E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462E9" w14:paraId="77684CE1" w14:textId="77777777" w:rsidTr="00F1223B">
        <w:tc>
          <w:tcPr>
            <w:tcW w:w="4981" w:type="dxa"/>
          </w:tcPr>
          <w:p w14:paraId="7F0B0264"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AUTOCALIFICACIÓN</w:t>
            </w:r>
          </w:p>
        </w:tc>
        <w:tc>
          <w:tcPr>
            <w:tcW w:w="4981" w:type="dxa"/>
          </w:tcPr>
          <w:p w14:paraId="6467A66B" w14:textId="77777777" w:rsidR="00561B22" w:rsidRPr="004462E9" w:rsidRDefault="00561B22" w:rsidP="00F1223B">
            <w:pPr>
              <w:jc w:val="center"/>
              <w:rPr>
                <w:rFonts w:ascii="Arial" w:hAnsi="Arial" w:cs="Arial"/>
                <w:b/>
                <w:sz w:val="22"/>
                <w:szCs w:val="22"/>
                <w:u w:val="single"/>
                <w:lang w:val="es-MX"/>
              </w:rPr>
            </w:pPr>
            <w:r w:rsidRPr="004462E9">
              <w:rPr>
                <w:rFonts w:ascii="Arial" w:hAnsi="Arial" w:cs="Arial"/>
                <w:b/>
                <w:sz w:val="22"/>
                <w:szCs w:val="22"/>
                <w:u w:val="single"/>
                <w:lang w:val="es-MX"/>
              </w:rPr>
              <w:t>4.83</w:t>
            </w:r>
          </w:p>
        </w:tc>
      </w:tr>
    </w:tbl>
    <w:p w14:paraId="775A5729" w14:textId="77777777" w:rsidR="00561B22" w:rsidRPr="004462E9" w:rsidRDefault="00561B22" w:rsidP="00561B22">
      <w:pPr>
        <w:pStyle w:val="Textoindependiente"/>
        <w:jc w:val="both"/>
        <w:rPr>
          <w:rFonts w:ascii="Arial" w:hAnsi="Arial" w:cs="Arial"/>
          <w:b/>
          <w:bCs/>
        </w:rPr>
      </w:pPr>
    </w:p>
    <w:p w14:paraId="5FCEB0CF" w14:textId="77777777" w:rsidR="00561B22" w:rsidRPr="004462E9" w:rsidRDefault="00561B22" w:rsidP="00561B22">
      <w:pPr>
        <w:pStyle w:val="Textoindependiente"/>
        <w:jc w:val="both"/>
        <w:rPr>
          <w:rFonts w:ascii="Arial" w:hAnsi="Arial" w:cs="Arial"/>
          <w:b/>
          <w:bCs/>
        </w:rPr>
      </w:pPr>
      <w:r w:rsidRPr="004462E9">
        <w:rPr>
          <w:rFonts w:ascii="Arial" w:hAnsi="Arial" w:cs="Arial"/>
          <w:b/>
          <w:bCs/>
        </w:rPr>
        <w:t>Del informe enviado retomamos lo siguiente:</w:t>
      </w:r>
    </w:p>
    <w:p w14:paraId="1761EB37" w14:textId="77777777" w:rsidR="00561B22" w:rsidRPr="004462E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462E9" w14:paraId="23F7AE9B" w14:textId="77777777" w:rsidTr="00F1223B">
        <w:tc>
          <w:tcPr>
            <w:tcW w:w="562" w:type="dxa"/>
          </w:tcPr>
          <w:p w14:paraId="228953AE"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N°</w:t>
            </w:r>
          </w:p>
        </w:tc>
        <w:tc>
          <w:tcPr>
            <w:tcW w:w="9400" w:type="dxa"/>
          </w:tcPr>
          <w:p w14:paraId="095C049E"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DEBILIDADES</w:t>
            </w:r>
          </w:p>
          <w:p w14:paraId="2A29E30A" w14:textId="77777777" w:rsidR="00561B22" w:rsidRPr="004462E9" w:rsidRDefault="00561B22" w:rsidP="00F1223B">
            <w:pPr>
              <w:jc w:val="center"/>
              <w:rPr>
                <w:rFonts w:ascii="Arial" w:hAnsi="Arial" w:cs="Arial"/>
                <w:b/>
                <w:sz w:val="22"/>
                <w:szCs w:val="22"/>
                <w:lang w:val="es-MX"/>
              </w:rPr>
            </w:pPr>
          </w:p>
        </w:tc>
      </w:tr>
      <w:tr w:rsidR="00561B22" w:rsidRPr="004462E9" w14:paraId="51E03A63" w14:textId="77777777" w:rsidTr="00F1223B">
        <w:tc>
          <w:tcPr>
            <w:tcW w:w="562" w:type="dxa"/>
          </w:tcPr>
          <w:p w14:paraId="6FF23E15"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1</w:t>
            </w:r>
          </w:p>
        </w:tc>
        <w:tc>
          <w:tcPr>
            <w:tcW w:w="9400" w:type="dxa"/>
          </w:tcPr>
          <w:p w14:paraId="3B449A4C"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 xml:space="preserve">En el seguimiento a las acciones de mejoramiento internas </w:t>
            </w:r>
          </w:p>
        </w:tc>
      </w:tr>
      <w:tr w:rsidR="00561B22" w:rsidRPr="004462E9" w14:paraId="75EEBE72" w14:textId="77777777" w:rsidTr="00F1223B">
        <w:tc>
          <w:tcPr>
            <w:tcW w:w="562" w:type="dxa"/>
          </w:tcPr>
          <w:p w14:paraId="222CCD92"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2</w:t>
            </w:r>
          </w:p>
        </w:tc>
        <w:tc>
          <w:tcPr>
            <w:tcW w:w="9400" w:type="dxa"/>
          </w:tcPr>
          <w:p w14:paraId="2BD71935"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Debilidades en el cumplimiento de la segregación de funciones, y completitud del grupo contable.</w:t>
            </w:r>
          </w:p>
        </w:tc>
      </w:tr>
      <w:tr w:rsidR="00561B22" w:rsidRPr="004462E9" w14:paraId="4DDC90E6" w14:textId="77777777" w:rsidTr="00F1223B">
        <w:tc>
          <w:tcPr>
            <w:tcW w:w="562" w:type="dxa"/>
          </w:tcPr>
          <w:p w14:paraId="630D2475"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3</w:t>
            </w:r>
          </w:p>
        </w:tc>
        <w:tc>
          <w:tcPr>
            <w:tcW w:w="9400" w:type="dxa"/>
          </w:tcPr>
          <w:p w14:paraId="0A3C7EE3"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Uso ocasional de los comités contables, lo cual debe ser permanente.</w:t>
            </w:r>
          </w:p>
        </w:tc>
      </w:tr>
      <w:tr w:rsidR="00561B22" w:rsidRPr="004462E9" w14:paraId="79EE3C9B" w14:textId="77777777" w:rsidTr="00F1223B">
        <w:tc>
          <w:tcPr>
            <w:tcW w:w="562" w:type="dxa"/>
          </w:tcPr>
          <w:p w14:paraId="21AF9781"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4</w:t>
            </w:r>
          </w:p>
        </w:tc>
        <w:tc>
          <w:tcPr>
            <w:tcW w:w="9400" w:type="dxa"/>
          </w:tcPr>
          <w:p w14:paraId="6854026F"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Cumplimiento de las resoluciones de baja de elementos y cuentas contables.</w:t>
            </w:r>
          </w:p>
        </w:tc>
      </w:tr>
      <w:tr w:rsidR="00561B22" w:rsidRPr="004462E9" w14:paraId="0A660BDD" w14:textId="77777777" w:rsidTr="00F1223B">
        <w:tc>
          <w:tcPr>
            <w:tcW w:w="562" w:type="dxa"/>
          </w:tcPr>
          <w:p w14:paraId="4397EFCF"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5</w:t>
            </w:r>
          </w:p>
        </w:tc>
        <w:tc>
          <w:tcPr>
            <w:tcW w:w="9400" w:type="dxa"/>
          </w:tcPr>
          <w:p w14:paraId="36D7A873" w14:textId="77777777" w:rsidR="00561B22" w:rsidRPr="004462E9" w:rsidRDefault="00561B22" w:rsidP="00F1223B">
            <w:pPr>
              <w:jc w:val="both"/>
              <w:rPr>
                <w:rFonts w:ascii="Arial" w:hAnsi="Arial" w:cs="Arial"/>
                <w:bCs/>
                <w:sz w:val="22"/>
                <w:szCs w:val="22"/>
                <w:lang w:val="es-CO"/>
              </w:rPr>
            </w:pPr>
            <w:r w:rsidRPr="004462E9">
              <w:rPr>
                <w:rFonts w:ascii="Arial" w:hAnsi="Arial" w:cs="Arial"/>
                <w:bCs/>
                <w:sz w:val="22"/>
                <w:szCs w:val="22"/>
                <w:lang w:val="es-CO"/>
              </w:rPr>
              <w:t>Debilidades en la adecuada aplicación de la norma contable en la clasificación inicial de las cuentas en los registros contables por las permanentes reclasificaciones.</w:t>
            </w:r>
          </w:p>
        </w:tc>
      </w:tr>
      <w:tr w:rsidR="00561B22" w:rsidRPr="004462E9" w14:paraId="14E2FFA2" w14:textId="77777777" w:rsidTr="00F1223B">
        <w:tc>
          <w:tcPr>
            <w:tcW w:w="562" w:type="dxa"/>
          </w:tcPr>
          <w:p w14:paraId="07E1C6B9"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6</w:t>
            </w:r>
          </w:p>
        </w:tc>
        <w:tc>
          <w:tcPr>
            <w:tcW w:w="9400" w:type="dxa"/>
          </w:tcPr>
          <w:p w14:paraId="7B916BD7" w14:textId="77777777" w:rsidR="00561B22" w:rsidRPr="004462E9" w:rsidRDefault="00561B22" w:rsidP="00F1223B">
            <w:pPr>
              <w:jc w:val="both"/>
              <w:rPr>
                <w:rFonts w:ascii="Arial" w:hAnsi="Arial" w:cs="Arial"/>
                <w:bCs/>
                <w:sz w:val="22"/>
                <w:szCs w:val="22"/>
                <w:lang w:val="es-CO"/>
              </w:rPr>
            </w:pPr>
            <w:r w:rsidRPr="004462E9">
              <w:rPr>
                <w:rFonts w:ascii="Arial" w:hAnsi="Arial" w:cs="Arial"/>
                <w:bCs/>
                <w:sz w:val="22"/>
                <w:szCs w:val="22"/>
                <w:lang w:val="es-CO"/>
              </w:rPr>
              <w:t>Falta de análisis y evaluaciones para medición posterior de los bienes se encuentran aún en servicio a la entidad totalmente depreciados o amortizados.</w:t>
            </w:r>
          </w:p>
        </w:tc>
      </w:tr>
    </w:tbl>
    <w:p w14:paraId="6375AC50" w14:textId="77777777" w:rsidR="00561B22" w:rsidRPr="004462E9" w:rsidRDefault="00561B22" w:rsidP="00561B22">
      <w:pPr>
        <w:pStyle w:val="Textoindependiente"/>
        <w:jc w:val="both"/>
        <w:rPr>
          <w:rFonts w:ascii="Arial" w:hAnsi="Arial" w:cs="Arial"/>
          <w:b/>
          <w:bCs/>
        </w:rPr>
      </w:pPr>
    </w:p>
    <w:p w14:paraId="34605753" w14:textId="77777777" w:rsidR="00561B22" w:rsidRPr="004462E9" w:rsidRDefault="00561B22" w:rsidP="00561B22">
      <w:pPr>
        <w:jc w:val="both"/>
        <w:rPr>
          <w:rFonts w:ascii="Arial" w:hAnsi="Arial" w:cs="Arial"/>
          <w:b/>
          <w:lang w:val="es-MX"/>
        </w:rPr>
      </w:pPr>
      <w:r w:rsidRPr="004462E9">
        <w:rPr>
          <w:rFonts w:ascii="Arial" w:hAnsi="Arial" w:cs="Arial"/>
          <w:b/>
          <w:lang w:val="es-MX"/>
        </w:rPr>
        <w:t>Del citado informe retomamos las siguientes recomendaciones:</w:t>
      </w:r>
    </w:p>
    <w:p w14:paraId="6F02D1F5" w14:textId="77777777" w:rsidR="00561B22" w:rsidRPr="004462E9"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462E9" w14:paraId="46FDC457" w14:textId="77777777" w:rsidTr="00F1223B">
        <w:tc>
          <w:tcPr>
            <w:tcW w:w="562" w:type="dxa"/>
          </w:tcPr>
          <w:p w14:paraId="5A3D96CB"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N°</w:t>
            </w:r>
          </w:p>
        </w:tc>
        <w:tc>
          <w:tcPr>
            <w:tcW w:w="9400" w:type="dxa"/>
          </w:tcPr>
          <w:p w14:paraId="07CECE14"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RECOMENDACIONES</w:t>
            </w:r>
          </w:p>
          <w:p w14:paraId="23C4910F" w14:textId="77777777" w:rsidR="00561B22" w:rsidRPr="004462E9" w:rsidRDefault="00561B22" w:rsidP="00F1223B">
            <w:pPr>
              <w:jc w:val="center"/>
              <w:rPr>
                <w:rFonts w:ascii="Arial" w:hAnsi="Arial" w:cs="Arial"/>
                <w:b/>
                <w:sz w:val="22"/>
                <w:szCs w:val="22"/>
                <w:lang w:val="es-MX"/>
              </w:rPr>
            </w:pPr>
          </w:p>
        </w:tc>
      </w:tr>
      <w:tr w:rsidR="00561B22" w:rsidRPr="004462E9" w14:paraId="0D49C5C7" w14:textId="77777777" w:rsidTr="00F1223B">
        <w:tc>
          <w:tcPr>
            <w:tcW w:w="562" w:type="dxa"/>
          </w:tcPr>
          <w:p w14:paraId="106219EC"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1</w:t>
            </w:r>
          </w:p>
        </w:tc>
        <w:tc>
          <w:tcPr>
            <w:tcW w:w="9400" w:type="dxa"/>
          </w:tcPr>
          <w:p w14:paraId="1E891DD2"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 xml:space="preserve">Fortalecer el seguimiento a las acciones de mejoramiento internas. </w:t>
            </w:r>
          </w:p>
        </w:tc>
      </w:tr>
      <w:tr w:rsidR="00561B22" w:rsidRPr="004462E9" w14:paraId="480E0175" w14:textId="77777777" w:rsidTr="00F1223B">
        <w:tc>
          <w:tcPr>
            <w:tcW w:w="562" w:type="dxa"/>
          </w:tcPr>
          <w:p w14:paraId="62351784"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2</w:t>
            </w:r>
          </w:p>
        </w:tc>
        <w:tc>
          <w:tcPr>
            <w:tcW w:w="9400" w:type="dxa"/>
          </w:tcPr>
          <w:p w14:paraId="29D413F2"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Fortalecer los controles con debilidades en el cumplimiento de la segregación de funciones, especialmente en la aplicación de los formatos documentados y debidamente firmados por los responsables de cada proceso.</w:t>
            </w:r>
          </w:p>
        </w:tc>
      </w:tr>
      <w:tr w:rsidR="00561B22" w:rsidRPr="004462E9" w14:paraId="181F5273" w14:textId="77777777" w:rsidTr="00F1223B">
        <w:tc>
          <w:tcPr>
            <w:tcW w:w="562" w:type="dxa"/>
          </w:tcPr>
          <w:p w14:paraId="5C5AB779"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3</w:t>
            </w:r>
          </w:p>
        </w:tc>
        <w:tc>
          <w:tcPr>
            <w:tcW w:w="9400" w:type="dxa"/>
          </w:tcPr>
          <w:p w14:paraId="1F3D9239"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Analizar la posibilidad de actualizar la Resolución 348 de 2017, en el sentido de ampliar en número de sesiones ordinarias en el año del Comité de Sostenibilidad Contable</w:t>
            </w:r>
          </w:p>
        </w:tc>
      </w:tr>
      <w:tr w:rsidR="00561B22" w:rsidRPr="004462E9" w14:paraId="35C2484C" w14:textId="77777777" w:rsidTr="00F1223B">
        <w:tc>
          <w:tcPr>
            <w:tcW w:w="562" w:type="dxa"/>
          </w:tcPr>
          <w:p w14:paraId="04AAD308"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4</w:t>
            </w:r>
          </w:p>
        </w:tc>
        <w:tc>
          <w:tcPr>
            <w:tcW w:w="9400" w:type="dxa"/>
          </w:tcPr>
          <w:p w14:paraId="286E97CC"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Realizar oportunamente la baja de elementos y cuentas de acuerdo con los actos administrativos generados para tal fin.</w:t>
            </w:r>
          </w:p>
        </w:tc>
      </w:tr>
      <w:tr w:rsidR="00561B22" w:rsidRPr="004462E9" w14:paraId="440D1A12" w14:textId="77777777" w:rsidTr="00F1223B">
        <w:tc>
          <w:tcPr>
            <w:tcW w:w="562" w:type="dxa"/>
          </w:tcPr>
          <w:p w14:paraId="795C679E"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5</w:t>
            </w:r>
          </w:p>
        </w:tc>
        <w:tc>
          <w:tcPr>
            <w:tcW w:w="9400" w:type="dxa"/>
          </w:tcPr>
          <w:p w14:paraId="69001AB2"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Garantizar la aplicación de la norma en lo pertinente a la adecuada clasificación inicial de las cuentas en los registros, para evitar continuas reclasificaciones.</w:t>
            </w:r>
          </w:p>
        </w:tc>
      </w:tr>
      <w:tr w:rsidR="00561B22" w:rsidRPr="004462E9" w14:paraId="707238F5" w14:textId="77777777" w:rsidTr="00F1223B">
        <w:tc>
          <w:tcPr>
            <w:tcW w:w="562" w:type="dxa"/>
          </w:tcPr>
          <w:p w14:paraId="45AE0499" w14:textId="77777777" w:rsidR="00561B22" w:rsidRPr="004462E9" w:rsidRDefault="00561B22" w:rsidP="00F1223B">
            <w:pPr>
              <w:jc w:val="center"/>
              <w:rPr>
                <w:rFonts w:ascii="Arial" w:hAnsi="Arial" w:cs="Arial"/>
                <w:b/>
                <w:sz w:val="22"/>
                <w:szCs w:val="22"/>
                <w:lang w:val="es-MX"/>
              </w:rPr>
            </w:pPr>
            <w:r w:rsidRPr="004462E9">
              <w:rPr>
                <w:rFonts w:ascii="Arial" w:hAnsi="Arial" w:cs="Arial"/>
                <w:b/>
                <w:sz w:val="22"/>
                <w:szCs w:val="22"/>
                <w:lang w:val="es-MX"/>
              </w:rPr>
              <w:t>6</w:t>
            </w:r>
          </w:p>
        </w:tc>
        <w:tc>
          <w:tcPr>
            <w:tcW w:w="9400" w:type="dxa"/>
          </w:tcPr>
          <w:p w14:paraId="3FF3362D" w14:textId="77777777" w:rsidR="00561B22" w:rsidRPr="004462E9" w:rsidRDefault="00561B22" w:rsidP="00F1223B">
            <w:pPr>
              <w:jc w:val="both"/>
              <w:rPr>
                <w:rFonts w:ascii="Arial" w:hAnsi="Arial" w:cs="Arial"/>
                <w:bCs/>
                <w:sz w:val="22"/>
                <w:szCs w:val="22"/>
                <w:lang w:val="es-MX"/>
              </w:rPr>
            </w:pPr>
            <w:r w:rsidRPr="004462E9">
              <w:rPr>
                <w:rFonts w:ascii="Arial" w:hAnsi="Arial" w:cs="Arial"/>
                <w:bCs/>
                <w:sz w:val="22"/>
                <w:szCs w:val="22"/>
                <w:lang w:val="es-CO"/>
              </w:rPr>
              <w:t>Continuar la adecuada aplicación a la política contable, ya que los bienes se encuentran aún en servicio a la entidad, se debe analizar si los mismos son objeto de actualización posterior.</w:t>
            </w:r>
          </w:p>
        </w:tc>
      </w:tr>
    </w:tbl>
    <w:p w14:paraId="68FFFC52" w14:textId="77777777" w:rsidR="00561B22" w:rsidRPr="004462E9" w:rsidRDefault="00561B22" w:rsidP="00561B22">
      <w:pPr>
        <w:ind w:left="720" w:hanging="720"/>
        <w:jc w:val="both"/>
        <w:rPr>
          <w:rFonts w:ascii="Arial" w:hAnsi="Arial" w:cs="Arial"/>
          <w:b/>
          <w:bCs/>
          <w:sz w:val="24"/>
          <w:szCs w:val="24"/>
          <w:lang w:val="es-CO"/>
        </w:rPr>
      </w:pPr>
    </w:p>
    <w:p w14:paraId="3F7FD697" w14:textId="77777777" w:rsidR="00561B22" w:rsidRPr="004462E9" w:rsidRDefault="00561B22" w:rsidP="00561B22">
      <w:pPr>
        <w:jc w:val="both"/>
        <w:rPr>
          <w:rFonts w:ascii="Arial" w:hAnsi="Arial" w:cs="Arial"/>
          <w:b/>
          <w:bCs/>
          <w:sz w:val="24"/>
          <w:szCs w:val="24"/>
          <w:lang w:val="es-CO"/>
        </w:rPr>
      </w:pPr>
      <w:r w:rsidRPr="004462E9">
        <w:rPr>
          <w:rFonts w:ascii="Arial" w:hAnsi="Arial" w:cs="Arial"/>
          <w:b/>
          <w:bCs/>
          <w:sz w:val="24"/>
          <w:szCs w:val="24"/>
          <w:lang w:val="es-CO"/>
        </w:rPr>
        <w:t xml:space="preserve">NOTA: LA ENTIDAD ENVIA LA MATRIZ DE AUTOEVALUACIÓN DEL SISTEMA DE CONTROL INTERNO CONTABLE CON </w:t>
      </w:r>
      <w:r w:rsidRPr="004462E9">
        <w:rPr>
          <w:rFonts w:ascii="Arial" w:hAnsi="Arial" w:cs="Arial"/>
          <w:b/>
          <w:bCs/>
          <w:sz w:val="24"/>
          <w:szCs w:val="24"/>
          <w:u w:val="single"/>
          <w:lang w:val="es-CO"/>
        </w:rPr>
        <w:t>ACTIVIDADES DE CONTROL REALIZADAS EN FORMA PARCIAL</w:t>
      </w:r>
      <w:r w:rsidRPr="004462E9">
        <w:rPr>
          <w:rFonts w:ascii="Arial" w:hAnsi="Arial" w:cs="Arial"/>
          <w:b/>
          <w:bCs/>
          <w:sz w:val="24"/>
          <w:szCs w:val="24"/>
          <w:lang w:val="es-CO"/>
        </w:rPr>
        <w:t>.</w:t>
      </w:r>
    </w:p>
    <w:p w14:paraId="265841EA" w14:textId="77777777" w:rsidR="00561B22" w:rsidRDefault="00561B22" w:rsidP="00561B22">
      <w:pPr>
        <w:jc w:val="both"/>
        <w:rPr>
          <w:rFonts w:ascii="Arial" w:hAnsi="Arial" w:cs="Arial"/>
          <w:b/>
          <w:bCs/>
          <w:lang w:val="es-CO"/>
        </w:rPr>
      </w:pPr>
    </w:p>
    <w:p w14:paraId="22E5666E" w14:textId="77777777" w:rsidR="00561B22" w:rsidRPr="00C550E2" w:rsidRDefault="00561B22" w:rsidP="00561B22">
      <w:pPr>
        <w:jc w:val="both"/>
        <w:rPr>
          <w:rFonts w:ascii="Arial" w:hAnsi="Arial" w:cs="Arial"/>
          <w:b/>
          <w:sz w:val="28"/>
          <w:szCs w:val="28"/>
          <w:lang w:val="es-MX"/>
        </w:rPr>
      </w:pPr>
      <w:r w:rsidRPr="00C550E2">
        <w:rPr>
          <w:rFonts w:ascii="Arial" w:hAnsi="Arial" w:cs="Arial"/>
          <w:b/>
          <w:sz w:val="28"/>
          <w:szCs w:val="28"/>
          <w:lang w:val="es-MX"/>
        </w:rPr>
        <w:t xml:space="preserve">165.- POSITIVA COMPAÑÍA DE SEGUROS S.A. </w:t>
      </w:r>
    </w:p>
    <w:p w14:paraId="55975B2F" w14:textId="77777777" w:rsidR="00561B22" w:rsidRDefault="00561B22" w:rsidP="00561B22">
      <w:pPr>
        <w:jc w:val="both"/>
        <w:rPr>
          <w:rFonts w:ascii="Arial" w:hAnsi="Arial" w:cs="Arial"/>
          <w:b/>
          <w:bCs/>
          <w:lang w:val="es-MX"/>
        </w:rPr>
      </w:pPr>
    </w:p>
    <w:p w14:paraId="2A91F005" w14:textId="77777777" w:rsidR="00561B22" w:rsidRPr="00C550E2" w:rsidRDefault="00561B22" w:rsidP="00561B22">
      <w:pPr>
        <w:pStyle w:val="Textoindependiente"/>
        <w:ind w:right="-50"/>
        <w:jc w:val="center"/>
        <w:rPr>
          <w:rFonts w:ascii="Arial" w:hAnsi="Arial" w:cs="Arial"/>
          <w:b/>
          <w:bCs/>
        </w:rPr>
      </w:pPr>
      <w:r w:rsidRPr="00C550E2">
        <w:rPr>
          <w:rFonts w:ascii="Arial" w:hAnsi="Arial" w:cs="Arial"/>
          <w:b/>
          <w:bCs/>
        </w:rPr>
        <w:t>INFORME DE LA AUTOCALIFICACIÓN DEL SISTEMA DE CONTROL INTERNO CONTABLE:</w:t>
      </w:r>
    </w:p>
    <w:p w14:paraId="3BB1B068" w14:textId="77777777" w:rsidR="00561B22" w:rsidRPr="00C550E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550E2" w14:paraId="2433D78D" w14:textId="77777777" w:rsidTr="00F1223B">
        <w:tc>
          <w:tcPr>
            <w:tcW w:w="4981" w:type="dxa"/>
          </w:tcPr>
          <w:p w14:paraId="2AC94F4A" w14:textId="77777777" w:rsidR="00561B22" w:rsidRPr="00C550E2" w:rsidRDefault="00561B22" w:rsidP="00F1223B">
            <w:pPr>
              <w:jc w:val="center"/>
              <w:rPr>
                <w:rFonts w:ascii="Arial" w:hAnsi="Arial" w:cs="Arial"/>
                <w:b/>
                <w:sz w:val="22"/>
                <w:szCs w:val="22"/>
                <w:lang w:val="es-MX"/>
              </w:rPr>
            </w:pPr>
            <w:r w:rsidRPr="00C550E2">
              <w:rPr>
                <w:rFonts w:ascii="Arial" w:hAnsi="Arial" w:cs="Arial"/>
                <w:b/>
                <w:sz w:val="22"/>
                <w:szCs w:val="22"/>
                <w:lang w:val="es-MX"/>
              </w:rPr>
              <w:t>AUTOCALIFICACIÓN</w:t>
            </w:r>
          </w:p>
        </w:tc>
        <w:tc>
          <w:tcPr>
            <w:tcW w:w="4981" w:type="dxa"/>
          </w:tcPr>
          <w:p w14:paraId="07F384A1" w14:textId="77777777" w:rsidR="00561B22" w:rsidRPr="00C550E2" w:rsidRDefault="00561B22" w:rsidP="00F1223B">
            <w:pPr>
              <w:jc w:val="center"/>
              <w:rPr>
                <w:rFonts w:ascii="Arial" w:hAnsi="Arial" w:cs="Arial"/>
                <w:b/>
                <w:sz w:val="22"/>
                <w:szCs w:val="22"/>
                <w:u w:val="single"/>
                <w:lang w:val="es-MX"/>
              </w:rPr>
            </w:pPr>
            <w:r w:rsidRPr="00C550E2">
              <w:rPr>
                <w:rFonts w:ascii="Arial" w:hAnsi="Arial" w:cs="Arial"/>
                <w:b/>
                <w:sz w:val="22"/>
                <w:szCs w:val="22"/>
                <w:u w:val="single"/>
                <w:lang w:val="es-MX"/>
              </w:rPr>
              <w:t>5.00</w:t>
            </w:r>
          </w:p>
        </w:tc>
      </w:tr>
    </w:tbl>
    <w:p w14:paraId="73E10580" w14:textId="77777777" w:rsidR="00561B22" w:rsidRPr="00C550E2" w:rsidRDefault="00561B22" w:rsidP="00561B22">
      <w:pPr>
        <w:pStyle w:val="Textoindependiente"/>
        <w:ind w:right="-50"/>
        <w:jc w:val="both"/>
        <w:rPr>
          <w:rFonts w:ascii="Arial" w:hAnsi="Arial" w:cs="Arial"/>
          <w:b/>
          <w:bCs/>
        </w:rPr>
      </w:pPr>
    </w:p>
    <w:p w14:paraId="1A9CF211" w14:textId="77777777" w:rsidR="00561B22" w:rsidRPr="00C550E2" w:rsidRDefault="00561B22" w:rsidP="00561B22">
      <w:pPr>
        <w:pStyle w:val="Textoindependiente"/>
        <w:ind w:right="-50"/>
        <w:jc w:val="both"/>
        <w:rPr>
          <w:rFonts w:ascii="Arial" w:hAnsi="Arial" w:cs="Arial"/>
          <w:b/>
          <w:bCs/>
        </w:rPr>
      </w:pPr>
      <w:r w:rsidRPr="00C550E2">
        <w:rPr>
          <w:rFonts w:ascii="Arial" w:hAnsi="Arial" w:cs="Arial"/>
          <w:b/>
          <w:bCs/>
        </w:rPr>
        <w:t>Del informe enviado retomamos lo siguiente:</w:t>
      </w:r>
    </w:p>
    <w:p w14:paraId="11FF45AE" w14:textId="77777777" w:rsidR="00561B22" w:rsidRPr="00C550E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550E2" w14:paraId="5AC2250A" w14:textId="77777777" w:rsidTr="00F1223B">
        <w:tc>
          <w:tcPr>
            <w:tcW w:w="562" w:type="dxa"/>
          </w:tcPr>
          <w:p w14:paraId="0920CCFA" w14:textId="77777777" w:rsidR="00561B22" w:rsidRPr="00C550E2" w:rsidRDefault="00561B22" w:rsidP="00F1223B">
            <w:pPr>
              <w:ind w:right="-109"/>
              <w:jc w:val="center"/>
              <w:rPr>
                <w:rFonts w:ascii="Arial" w:hAnsi="Arial" w:cs="Arial"/>
                <w:b/>
                <w:sz w:val="22"/>
                <w:szCs w:val="22"/>
                <w:lang w:val="es-MX"/>
              </w:rPr>
            </w:pPr>
            <w:r w:rsidRPr="00C550E2">
              <w:rPr>
                <w:rFonts w:ascii="Arial" w:hAnsi="Arial" w:cs="Arial"/>
                <w:b/>
                <w:sz w:val="22"/>
                <w:szCs w:val="22"/>
                <w:lang w:val="es-MX"/>
              </w:rPr>
              <w:t>N°</w:t>
            </w:r>
          </w:p>
        </w:tc>
        <w:tc>
          <w:tcPr>
            <w:tcW w:w="9400" w:type="dxa"/>
          </w:tcPr>
          <w:p w14:paraId="4A643F1A" w14:textId="77777777" w:rsidR="00561B22" w:rsidRPr="00C550E2" w:rsidRDefault="00561B22" w:rsidP="00F1223B">
            <w:pPr>
              <w:jc w:val="center"/>
              <w:rPr>
                <w:rFonts w:ascii="Arial" w:hAnsi="Arial" w:cs="Arial"/>
                <w:b/>
                <w:sz w:val="22"/>
                <w:szCs w:val="22"/>
                <w:lang w:val="es-MX"/>
              </w:rPr>
            </w:pPr>
            <w:r w:rsidRPr="00C550E2">
              <w:rPr>
                <w:rFonts w:ascii="Arial" w:hAnsi="Arial" w:cs="Arial"/>
                <w:b/>
                <w:sz w:val="22"/>
                <w:szCs w:val="22"/>
                <w:lang w:val="es-MX"/>
              </w:rPr>
              <w:t>DEBILIDADES</w:t>
            </w:r>
          </w:p>
          <w:p w14:paraId="02D5AFB3" w14:textId="77777777" w:rsidR="00561B22" w:rsidRPr="00C550E2" w:rsidRDefault="00561B22" w:rsidP="00F1223B">
            <w:pPr>
              <w:jc w:val="center"/>
              <w:rPr>
                <w:rFonts w:ascii="Arial" w:hAnsi="Arial" w:cs="Arial"/>
                <w:b/>
                <w:sz w:val="22"/>
                <w:szCs w:val="22"/>
                <w:lang w:val="es-MX"/>
              </w:rPr>
            </w:pPr>
          </w:p>
        </w:tc>
      </w:tr>
      <w:tr w:rsidR="00561B22" w:rsidRPr="00C550E2" w14:paraId="50923AA4" w14:textId="77777777" w:rsidTr="00F1223B">
        <w:tc>
          <w:tcPr>
            <w:tcW w:w="562" w:type="dxa"/>
          </w:tcPr>
          <w:p w14:paraId="6513E79F"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1</w:t>
            </w:r>
          </w:p>
        </w:tc>
        <w:tc>
          <w:tcPr>
            <w:tcW w:w="9400" w:type="dxa"/>
          </w:tcPr>
          <w:p w14:paraId="47A99A53"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 xml:space="preserve">Se evidenció en el sistema SAP usuarios asignados a la transacción SE16N con permiso de modificación los cuales por las buenas prácticas de SAP sólo deben ser de visualización.  </w:t>
            </w:r>
          </w:p>
        </w:tc>
      </w:tr>
    </w:tbl>
    <w:p w14:paraId="14E09347" w14:textId="77777777" w:rsidR="00561B22" w:rsidRPr="00C550E2" w:rsidRDefault="00561B22" w:rsidP="00561B22">
      <w:pPr>
        <w:pStyle w:val="Textoindependiente"/>
        <w:ind w:right="-50"/>
        <w:jc w:val="both"/>
        <w:rPr>
          <w:rFonts w:ascii="Arial" w:hAnsi="Arial" w:cs="Arial"/>
          <w:bCs/>
        </w:rPr>
      </w:pPr>
    </w:p>
    <w:p w14:paraId="067EBB47" w14:textId="77777777" w:rsidR="00561B22" w:rsidRPr="00C550E2" w:rsidRDefault="00561B22" w:rsidP="00561B22">
      <w:pPr>
        <w:jc w:val="both"/>
        <w:rPr>
          <w:rFonts w:ascii="Arial" w:hAnsi="Arial" w:cs="Arial"/>
          <w:b/>
          <w:lang w:val="es-MX"/>
        </w:rPr>
      </w:pPr>
      <w:r w:rsidRPr="00C550E2">
        <w:rPr>
          <w:rFonts w:ascii="Arial" w:hAnsi="Arial" w:cs="Arial"/>
          <w:b/>
          <w:lang w:val="es-MX"/>
        </w:rPr>
        <w:t>Del citado informe retomamos las siguientes recomendaciones:</w:t>
      </w:r>
    </w:p>
    <w:p w14:paraId="46E333E9" w14:textId="77777777" w:rsidR="00561B22" w:rsidRPr="00C550E2" w:rsidRDefault="00561B22" w:rsidP="00561B22">
      <w:pPr>
        <w:pStyle w:val="Textoindependiente"/>
        <w:ind w:right="-50"/>
        <w:jc w:val="both"/>
        <w:rPr>
          <w:rFonts w:ascii="Arial" w:hAnsi="Arial" w:cs="Arial"/>
          <w:bCs/>
          <w:lang w:val="es-MX"/>
        </w:rPr>
      </w:pPr>
    </w:p>
    <w:tbl>
      <w:tblPr>
        <w:tblStyle w:val="Tablaconcuadrcula"/>
        <w:tblW w:w="0" w:type="auto"/>
        <w:tblLook w:val="04A0" w:firstRow="1" w:lastRow="0" w:firstColumn="1" w:lastColumn="0" w:noHBand="0" w:noVBand="1"/>
      </w:tblPr>
      <w:tblGrid>
        <w:gridCol w:w="562"/>
        <w:gridCol w:w="9400"/>
      </w:tblGrid>
      <w:tr w:rsidR="00561B22" w:rsidRPr="00C550E2" w14:paraId="7C58529F" w14:textId="77777777" w:rsidTr="00F1223B">
        <w:tc>
          <w:tcPr>
            <w:tcW w:w="562" w:type="dxa"/>
          </w:tcPr>
          <w:p w14:paraId="154B566D" w14:textId="77777777" w:rsidR="00561B22" w:rsidRPr="00C550E2" w:rsidRDefault="00561B22" w:rsidP="00F1223B">
            <w:pPr>
              <w:ind w:right="-109"/>
              <w:jc w:val="both"/>
              <w:rPr>
                <w:rFonts w:ascii="Arial" w:hAnsi="Arial" w:cs="Arial"/>
                <w:bCs/>
                <w:sz w:val="22"/>
                <w:szCs w:val="22"/>
                <w:lang w:val="es-MX"/>
              </w:rPr>
            </w:pPr>
            <w:r w:rsidRPr="00C550E2">
              <w:rPr>
                <w:rFonts w:ascii="Arial" w:hAnsi="Arial" w:cs="Arial"/>
                <w:bCs/>
                <w:sz w:val="22"/>
                <w:szCs w:val="22"/>
                <w:lang w:val="es-MX"/>
              </w:rPr>
              <w:t>N°</w:t>
            </w:r>
          </w:p>
        </w:tc>
        <w:tc>
          <w:tcPr>
            <w:tcW w:w="9400" w:type="dxa"/>
          </w:tcPr>
          <w:p w14:paraId="063F52D7" w14:textId="77777777" w:rsidR="00561B22" w:rsidRPr="00C550E2" w:rsidRDefault="00561B22" w:rsidP="00F1223B">
            <w:pPr>
              <w:jc w:val="center"/>
              <w:rPr>
                <w:rFonts w:ascii="Arial" w:hAnsi="Arial" w:cs="Arial"/>
                <w:b/>
                <w:sz w:val="22"/>
                <w:szCs w:val="22"/>
                <w:lang w:val="es-MX"/>
              </w:rPr>
            </w:pPr>
            <w:r w:rsidRPr="00C550E2">
              <w:rPr>
                <w:rFonts w:ascii="Arial" w:hAnsi="Arial" w:cs="Arial"/>
                <w:b/>
                <w:sz w:val="22"/>
                <w:szCs w:val="22"/>
                <w:lang w:val="es-MX"/>
              </w:rPr>
              <w:t>RECOMENDACIONES</w:t>
            </w:r>
          </w:p>
          <w:p w14:paraId="4659C145" w14:textId="77777777" w:rsidR="00561B22" w:rsidRPr="00C550E2" w:rsidRDefault="00561B22" w:rsidP="00F1223B">
            <w:pPr>
              <w:jc w:val="both"/>
              <w:rPr>
                <w:rFonts w:ascii="Arial" w:hAnsi="Arial" w:cs="Arial"/>
                <w:bCs/>
                <w:sz w:val="22"/>
                <w:szCs w:val="22"/>
                <w:lang w:val="es-MX"/>
              </w:rPr>
            </w:pPr>
          </w:p>
        </w:tc>
      </w:tr>
      <w:tr w:rsidR="00561B22" w:rsidRPr="00C550E2" w14:paraId="26C69DC7" w14:textId="77777777" w:rsidTr="00F1223B">
        <w:tc>
          <w:tcPr>
            <w:tcW w:w="562" w:type="dxa"/>
          </w:tcPr>
          <w:p w14:paraId="6366A6CE"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lastRenderedPageBreak/>
              <w:t>1</w:t>
            </w:r>
          </w:p>
        </w:tc>
        <w:tc>
          <w:tcPr>
            <w:tcW w:w="9400" w:type="dxa"/>
          </w:tcPr>
          <w:p w14:paraId="741A0F37"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 xml:space="preserve">Como control preventivo se sugiere asignar la transacción SE16N en un rol nuevo o asignar a los usuarios en otro ya existente donde este sola la transacción, para así separar de los demás accesos de modificación teniendo en cuenta que es una transacción critica de SAP. </w:t>
            </w:r>
          </w:p>
        </w:tc>
      </w:tr>
      <w:tr w:rsidR="00561B22" w:rsidRPr="00C550E2" w14:paraId="3A034501" w14:textId="77777777" w:rsidTr="00F1223B">
        <w:tc>
          <w:tcPr>
            <w:tcW w:w="562" w:type="dxa"/>
          </w:tcPr>
          <w:p w14:paraId="2C9FAB3E"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2</w:t>
            </w:r>
          </w:p>
        </w:tc>
        <w:tc>
          <w:tcPr>
            <w:tcW w:w="9400" w:type="dxa"/>
          </w:tcPr>
          <w:p w14:paraId="04793C19"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 xml:space="preserve">Realizar revisiones periódicas de los objetos de autorización anteriormente mencionadas con el fin de asegurar su adecuada configuración y asignación a usuarios. </w:t>
            </w:r>
          </w:p>
        </w:tc>
      </w:tr>
      <w:tr w:rsidR="00561B22" w:rsidRPr="00C550E2" w14:paraId="609D1DD4" w14:textId="77777777" w:rsidTr="00F1223B">
        <w:tc>
          <w:tcPr>
            <w:tcW w:w="562" w:type="dxa"/>
          </w:tcPr>
          <w:p w14:paraId="2A7AFA80"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3</w:t>
            </w:r>
          </w:p>
        </w:tc>
        <w:tc>
          <w:tcPr>
            <w:tcW w:w="9400" w:type="dxa"/>
          </w:tcPr>
          <w:p w14:paraId="4AE8D0BF"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Como buena práctica las transacciones de visualización solo deben tener asignado valores de visualización, con el fin de evitar solapar la autorización con otras transacciones.</w:t>
            </w:r>
          </w:p>
        </w:tc>
      </w:tr>
      <w:tr w:rsidR="00561B22" w:rsidRPr="00C550E2" w14:paraId="463BE17E" w14:textId="77777777" w:rsidTr="00F1223B">
        <w:tc>
          <w:tcPr>
            <w:tcW w:w="562" w:type="dxa"/>
          </w:tcPr>
          <w:p w14:paraId="068E442E"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4</w:t>
            </w:r>
          </w:p>
        </w:tc>
        <w:tc>
          <w:tcPr>
            <w:tcW w:w="9400" w:type="dxa"/>
          </w:tcPr>
          <w:p w14:paraId="1ADA5D59" w14:textId="77777777" w:rsidR="00561B22" w:rsidRPr="00C550E2" w:rsidRDefault="00561B22" w:rsidP="00F1223B">
            <w:pPr>
              <w:jc w:val="both"/>
              <w:rPr>
                <w:rFonts w:ascii="Arial" w:hAnsi="Arial" w:cs="Arial"/>
                <w:bCs/>
                <w:sz w:val="22"/>
                <w:szCs w:val="22"/>
                <w:lang w:val="es-MX"/>
              </w:rPr>
            </w:pPr>
            <w:r w:rsidRPr="00C550E2">
              <w:rPr>
                <w:rFonts w:ascii="Arial" w:hAnsi="Arial" w:cs="Arial"/>
                <w:bCs/>
                <w:sz w:val="22"/>
                <w:szCs w:val="22"/>
                <w:lang w:val="es-MX"/>
              </w:rPr>
              <w:t>En el caso de las asignaciones de permisos adicionales a través de roles por temas de Backup o vacaciones de los colaboradores, colocar fechas de fin de validez en los roles para que el permiso se desactive una vez termine la autorización al acceso.</w:t>
            </w:r>
          </w:p>
        </w:tc>
      </w:tr>
    </w:tbl>
    <w:p w14:paraId="02468787" w14:textId="77777777" w:rsidR="00561B22" w:rsidRPr="00C550E2" w:rsidRDefault="00561B22" w:rsidP="00561B22">
      <w:pPr>
        <w:pStyle w:val="Textoindependiente"/>
        <w:ind w:right="-50"/>
        <w:jc w:val="both"/>
        <w:rPr>
          <w:rFonts w:ascii="Arial" w:hAnsi="Arial" w:cs="Arial"/>
          <w:b/>
          <w:bCs/>
        </w:rPr>
      </w:pPr>
    </w:p>
    <w:p w14:paraId="66C9F6F8" w14:textId="77777777" w:rsidR="00561B22" w:rsidRPr="00BE08AB" w:rsidRDefault="00561B22" w:rsidP="00561B22">
      <w:pPr>
        <w:jc w:val="both"/>
        <w:rPr>
          <w:rFonts w:ascii="Arial" w:hAnsi="Arial" w:cs="Arial"/>
          <w:b/>
          <w:sz w:val="28"/>
          <w:szCs w:val="28"/>
        </w:rPr>
      </w:pPr>
      <w:r w:rsidRPr="00BE08AB">
        <w:rPr>
          <w:rFonts w:ascii="Arial" w:hAnsi="Arial" w:cs="Arial"/>
          <w:b/>
          <w:sz w:val="28"/>
          <w:szCs w:val="28"/>
          <w:lang w:val="es-MX"/>
        </w:rPr>
        <w:t xml:space="preserve">166.- </w:t>
      </w:r>
      <w:r w:rsidRPr="00BE08AB">
        <w:rPr>
          <w:rFonts w:ascii="Arial" w:hAnsi="Arial" w:cs="Arial"/>
          <w:b/>
          <w:sz w:val="28"/>
          <w:szCs w:val="28"/>
        </w:rPr>
        <w:t>CORPORACIÓN PARA EL DESARROLLO DEL AREA DE MANEJO ESPECIAL LA MACARENA – CORMACARENA.</w:t>
      </w:r>
    </w:p>
    <w:p w14:paraId="6D147963" w14:textId="77777777" w:rsidR="00561B22" w:rsidRPr="00BE08AB" w:rsidRDefault="00561B22" w:rsidP="00561B22">
      <w:pPr>
        <w:jc w:val="both"/>
        <w:rPr>
          <w:rFonts w:ascii="Arial" w:hAnsi="Arial" w:cs="Arial"/>
          <w:b/>
          <w:sz w:val="28"/>
          <w:szCs w:val="28"/>
        </w:rPr>
      </w:pPr>
    </w:p>
    <w:p w14:paraId="4581AE05" w14:textId="77777777" w:rsidR="00561B22" w:rsidRPr="0043179C" w:rsidRDefault="00561B22" w:rsidP="00561B22">
      <w:pPr>
        <w:pStyle w:val="Textoindependiente"/>
        <w:ind w:right="-50"/>
        <w:jc w:val="center"/>
        <w:rPr>
          <w:rFonts w:ascii="Arial" w:hAnsi="Arial" w:cs="Arial"/>
          <w:b/>
          <w:bCs/>
        </w:rPr>
      </w:pPr>
      <w:r w:rsidRPr="0043179C">
        <w:rPr>
          <w:rFonts w:ascii="Arial" w:hAnsi="Arial" w:cs="Arial"/>
          <w:b/>
          <w:bCs/>
        </w:rPr>
        <w:t>INFORME DE LA AUTOCALIFICACIÓN DEL SISTEMA DE CONTROL INTERNO CONTABLE:</w:t>
      </w:r>
    </w:p>
    <w:p w14:paraId="1AFDD4C1" w14:textId="77777777" w:rsidR="00561B22" w:rsidRPr="0043179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3179C" w14:paraId="0F1AD7AC" w14:textId="77777777" w:rsidTr="00F1223B">
        <w:tc>
          <w:tcPr>
            <w:tcW w:w="4981" w:type="dxa"/>
          </w:tcPr>
          <w:p w14:paraId="16D7A8E9"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AUTOCALIFICACIÓN</w:t>
            </w:r>
          </w:p>
        </w:tc>
        <w:tc>
          <w:tcPr>
            <w:tcW w:w="4981" w:type="dxa"/>
          </w:tcPr>
          <w:p w14:paraId="6A77C058" w14:textId="77777777" w:rsidR="00561B22" w:rsidRPr="0043179C" w:rsidRDefault="00561B22" w:rsidP="00F1223B">
            <w:pPr>
              <w:jc w:val="center"/>
              <w:rPr>
                <w:rFonts w:ascii="Arial" w:hAnsi="Arial" w:cs="Arial"/>
                <w:b/>
                <w:sz w:val="22"/>
                <w:szCs w:val="22"/>
                <w:u w:val="single"/>
                <w:lang w:val="es-MX"/>
              </w:rPr>
            </w:pPr>
            <w:r w:rsidRPr="0043179C">
              <w:rPr>
                <w:rFonts w:ascii="Arial" w:hAnsi="Arial" w:cs="Arial"/>
                <w:b/>
                <w:sz w:val="22"/>
                <w:szCs w:val="22"/>
                <w:u w:val="single"/>
                <w:lang w:val="es-MX"/>
              </w:rPr>
              <w:t>4.84</w:t>
            </w:r>
          </w:p>
        </w:tc>
      </w:tr>
    </w:tbl>
    <w:p w14:paraId="13D0A3F3" w14:textId="77777777" w:rsidR="00561B22" w:rsidRPr="0043179C" w:rsidRDefault="00561B22" w:rsidP="00561B22">
      <w:pPr>
        <w:pStyle w:val="Textoindependiente"/>
        <w:ind w:right="-50"/>
        <w:jc w:val="both"/>
        <w:rPr>
          <w:rFonts w:ascii="Arial" w:hAnsi="Arial" w:cs="Arial"/>
          <w:b/>
          <w:bCs/>
        </w:rPr>
      </w:pPr>
    </w:p>
    <w:p w14:paraId="462E592C" w14:textId="77777777" w:rsidR="00561B22" w:rsidRPr="0043179C" w:rsidRDefault="00561B22" w:rsidP="00561B22">
      <w:pPr>
        <w:pStyle w:val="Textoindependiente"/>
        <w:ind w:right="-50"/>
        <w:jc w:val="both"/>
        <w:rPr>
          <w:rFonts w:ascii="Arial" w:hAnsi="Arial" w:cs="Arial"/>
          <w:b/>
          <w:bCs/>
        </w:rPr>
      </w:pPr>
      <w:r w:rsidRPr="0043179C">
        <w:rPr>
          <w:rFonts w:ascii="Arial" w:hAnsi="Arial" w:cs="Arial"/>
          <w:b/>
          <w:bCs/>
        </w:rPr>
        <w:t>Del informe enviado retomamos lo siguiente:</w:t>
      </w:r>
    </w:p>
    <w:p w14:paraId="7B1FDA27" w14:textId="77777777" w:rsidR="00561B22" w:rsidRPr="0043179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3179C" w14:paraId="283D932A" w14:textId="77777777" w:rsidTr="00F1223B">
        <w:tc>
          <w:tcPr>
            <w:tcW w:w="562" w:type="dxa"/>
          </w:tcPr>
          <w:p w14:paraId="1000FCF6" w14:textId="77777777" w:rsidR="00561B22" w:rsidRPr="0043179C" w:rsidRDefault="00561B22" w:rsidP="00F1223B">
            <w:pPr>
              <w:ind w:right="-109"/>
              <w:jc w:val="center"/>
              <w:rPr>
                <w:rFonts w:ascii="Arial" w:hAnsi="Arial" w:cs="Arial"/>
                <w:b/>
                <w:sz w:val="22"/>
                <w:szCs w:val="22"/>
                <w:lang w:val="es-MX"/>
              </w:rPr>
            </w:pPr>
            <w:r w:rsidRPr="0043179C">
              <w:rPr>
                <w:rFonts w:ascii="Arial" w:hAnsi="Arial" w:cs="Arial"/>
                <w:b/>
                <w:sz w:val="22"/>
                <w:szCs w:val="22"/>
                <w:lang w:val="es-MX"/>
              </w:rPr>
              <w:t>N°</w:t>
            </w:r>
          </w:p>
        </w:tc>
        <w:tc>
          <w:tcPr>
            <w:tcW w:w="9400" w:type="dxa"/>
          </w:tcPr>
          <w:p w14:paraId="10F52756"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DEBILIDADES</w:t>
            </w:r>
          </w:p>
          <w:p w14:paraId="27F2CA09" w14:textId="77777777" w:rsidR="00561B22" w:rsidRPr="0043179C" w:rsidRDefault="00561B22" w:rsidP="00F1223B">
            <w:pPr>
              <w:jc w:val="center"/>
              <w:rPr>
                <w:rFonts w:ascii="Arial" w:hAnsi="Arial" w:cs="Arial"/>
                <w:b/>
                <w:sz w:val="22"/>
                <w:szCs w:val="22"/>
                <w:lang w:val="es-MX"/>
              </w:rPr>
            </w:pPr>
          </w:p>
        </w:tc>
      </w:tr>
      <w:tr w:rsidR="00561B22" w:rsidRPr="0043179C" w14:paraId="1C32DFE1" w14:textId="77777777" w:rsidTr="00F1223B">
        <w:tc>
          <w:tcPr>
            <w:tcW w:w="562" w:type="dxa"/>
          </w:tcPr>
          <w:p w14:paraId="5D436834"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1</w:t>
            </w:r>
          </w:p>
        </w:tc>
        <w:tc>
          <w:tcPr>
            <w:tcW w:w="9400" w:type="dxa"/>
          </w:tcPr>
          <w:p w14:paraId="7E018AB3" w14:textId="77777777" w:rsidR="00561B22" w:rsidRPr="0043179C" w:rsidRDefault="00561B22" w:rsidP="00F1223B">
            <w:pPr>
              <w:jc w:val="both"/>
              <w:rPr>
                <w:rFonts w:ascii="Arial" w:hAnsi="Arial" w:cs="Arial"/>
                <w:b/>
                <w:sz w:val="22"/>
                <w:szCs w:val="22"/>
                <w:lang w:val="es-MX"/>
              </w:rPr>
            </w:pPr>
            <w:r w:rsidRPr="0043179C">
              <w:rPr>
                <w:rFonts w:ascii="Arial" w:hAnsi="Arial" w:cs="Arial"/>
                <w:sz w:val="22"/>
                <w:szCs w:val="22"/>
              </w:rPr>
              <w:t>Falta de cumplimiento total a la publicación oportuna de los estados financieros y actos administrativos en la página web de la entidad.</w:t>
            </w:r>
          </w:p>
        </w:tc>
      </w:tr>
    </w:tbl>
    <w:p w14:paraId="66C36F1C" w14:textId="77777777" w:rsidR="00561B22" w:rsidRPr="0043179C" w:rsidRDefault="00561B22" w:rsidP="00561B22">
      <w:pPr>
        <w:pStyle w:val="Textoindependiente"/>
        <w:ind w:right="-50"/>
        <w:jc w:val="both"/>
        <w:rPr>
          <w:rFonts w:ascii="Arial" w:hAnsi="Arial" w:cs="Arial"/>
          <w:b/>
          <w:bCs/>
        </w:rPr>
      </w:pPr>
    </w:p>
    <w:p w14:paraId="728A8419" w14:textId="77777777" w:rsidR="00561B22" w:rsidRPr="0043179C" w:rsidRDefault="00561B22" w:rsidP="00561B22">
      <w:pPr>
        <w:jc w:val="both"/>
        <w:rPr>
          <w:rFonts w:ascii="Arial" w:hAnsi="Arial" w:cs="Arial"/>
          <w:b/>
          <w:lang w:val="es-MX"/>
        </w:rPr>
      </w:pPr>
      <w:r w:rsidRPr="0043179C">
        <w:rPr>
          <w:rFonts w:ascii="Arial" w:hAnsi="Arial" w:cs="Arial"/>
          <w:b/>
          <w:lang w:val="es-MX"/>
        </w:rPr>
        <w:t>Del citado informe retomamos las siguientes recomendaciones:</w:t>
      </w:r>
    </w:p>
    <w:p w14:paraId="46FAA7BF" w14:textId="77777777" w:rsidR="00561B22" w:rsidRPr="0043179C"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3179C" w14:paraId="5D4DCDAC" w14:textId="77777777" w:rsidTr="00F1223B">
        <w:tc>
          <w:tcPr>
            <w:tcW w:w="562" w:type="dxa"/>
          </w:tcPr>
          <w:p w14:paraId="19021D2F" w14:textId="77777777" w:rsidR="00561B22" w:rsidRPr="0043179C" w:rsidRDefault="00561B22" w:rsidP="00F1223B">
            <w:pPr>
              <w:ind w:right="-109"/>
              <w:jc w:val="center"/>
              <w:rPr>
                <w:rFonts w:ascii="Arial" w:hAnsi="Arial" w:cs="Arial"/>
                <w:b/>
                <w:sz w:val="22"/>
                <w:szCs w:val="22"/>
                <w:lang w:val="es-MX"/>
              </w:rPr>
            </w:pPr>
            <w:r w:rsidRPr="0043179C">
              <w:rPr>
                <w:rFonts w:ascii="Arial" w:hAnsi="Arial" w:cs="Arial"/>
                <w:b/>
                <w:sz w:val="22"/>
                <w:szCs w:val="22"/>
                <w:lang w:val="es-MX"/>
              </w:rPr>
              <w:t>N°</w:t>
            </w:r>
          </w:p>
        </w:tc>
        <w:tc>
          <w:tcPr>
            <w:tcW w:w="9400" w:type="dxa"/>
          </w:tcPr>
          <w:p w14:paraId="012662E7"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RECOMENDACIONES</w:t>
            </w:r>
          </w:p>
          <w:p w14:paraId="38ACEEB1" w14:textId="77777777" w:rsidR="00561B22" w:rsidRPr="0043179C" w:rsidRDefault="00561B22" w:rsidP="00F1223B">
            <w:pPr>
              <w:jc w:val="center"/>
              <w:rPr>
                <w:rFonts w:ascii="Arial" w:hAnsi="Arial" w:cs="Arial"/>
                <w:b/>
                <w:sz w:val="22"/>
                <w:szCs w:val="22"/>
                <w:lang w:val="es-MX"/>
              </w:rPr>
            </w:pPr>
          </w:p>
        </w:tc>
      </w:tr>
      <w:tr w:rsidR="00561B22" w:rsidRPr="0043179C" w14:paraId="1B106CAA" w14:textId="77777777" w:rsidTr="00F1223B">
        <w:tc>
          <w:tcPr>
            <w:tcW w:w="562" w:type="dxa"/>
          </w:tcPr>
          <w:p w14:paraId="0CD82ED5"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1</w:t>
            </w:r>
          </w:p>
        </w:tc>
        <w:tc>
          <w:tcPr>
            <w:tcW w:w="9400" w:type="dxa"/>
          </w:tcPr>
          <w:p w14:paraId="5C8951B5" w14:textId="77777777" w:rsidR="00561B22" w:rsidRPr="0043179C" w:rsidRDefault="00561B22" w:rsidP="00F1223B">
            <w:pPr>
              <w:jc w:val="both"/>
              <w:rPr>
                <w:rFonts w:ascii="Arial" w:hAnsi="Arial" w:cs="Arial"/>
                <w:b/>
                <w:sz w:val="22"/>
                <w:szCs w:val="22"/>
                <w:lang w:val="es-MX"/>
              </w:rPr>
            </w:pPr>
            <w:r w:rsidRPr="0043179C">
              <w:rPr>
                <w:rFonts w:ascii="Arial" w:hAnsi="Arial" w:cs="Arial"/>
                <w:sz w:val="22"/>
                <w:szCs w:val="22"/>
              </w:rPr>
              <w:t xml:space="preserve">Realizar actualización permanente al sistema Garantizar el cumplimiento de los requisitos establecidos para las modificaciones y adopción de dichas modificaciones de acuerdo a lo establecido en el Manual de Políticas y Procedimientos Contables. </w:t>
            </w:r>
          </w:p>
        </w:tc>
      </w:tr>
      <w:tr w:rsidR="00561B22" w:rsidRPr="0043179C" w14:paraId="68135CFE" w14:textId="77777777" w:rsidTr="00F1223B">
        <w:tc>
          <w:tcPr>
            <w:tcW w:w="562" w:type="dxa"/>
          </w:tcPr>
          <w:p w14:paraId="60257C6A"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2</w:t>
            </w:r>
          </w:p>
        </w:tc>
        <w:tc>
          <w:tcPr>
            <w:tcW w:w="9400" w:type="dxa"/>
          </w:tcPr>
          <w:p w14:paraId="1922D35D" w14:textId="77777777" w:rsidR="00561B22" w:rsidRPr="0043179C" w:rsidRDefault="00561B22" w:rsidP="00F1223B">
            <w:pPr>
              <w:jc w:val="both"/>
              <w:rPr>
                <w:rFonts w:ascii="Arial" w:hAnsi="Arial" w:cs="Arial"/>
                <w:b/>
                <w:sz w:val="22"/>
                <w:szCs w:val="22"/>
                <w:lang w:val="es-MX"/>
              </w:rPr>
            </w:pPr>
            <w:r w:rsidRPr="0043179C">
              <w:rPr>
                <w:rFonts w:ascii="Arial" w:hAnsi="Arial" w:cs="Arial"/>
                <w:sz w:val="22"/>
                <w:szCs w:val="22"/>
              </w:rPr>
              <w:t xml:space="preserve">Garantizar y dejar el levantamiento de actas relacionadas con la necesidad de acoger conceptos resultados del evaluador para actualizar los inventarios de activos de la Corporación. </w:t>
            </w:r>
          </w:p>
        </w:tc>
      </w:tr>
      <w:tr w:rsidR="00561B22" w:rsidRPr="0043179C" w14:paraId="0251599B" w14:textId="77777777" w:rsidTr="00F1223B">
        <w:tc>
          <w:tcPr>
            <w:tcW w:w="562" w:type="dxa"/>
          </w:tcPr>
          <w:p w14:paraId="49E35DAE"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3</w:t>
            </w:r>
          </w:p>
        </w:tc>
        <w:tc>
          <w:tcPr>
            <w:tcW w:w="9400" w:type="dxa"/>
          </w:tcPr>
          <w:p w14:paraId="328DBB25" w14:textId="77777777" w:rsidR="00561B22" w:rsidRPr="0043179C" w:rsidRDefault="00561B22" w:rsidP="00F1223B">
            <w:pPr>
              <w:jc w:val="both"/>
              <w:rPr>
                <w:rFonts w:ascii="Arial" w:hAnsi="Arial" w:cs="Arial"/>
                <w:sz w:val="22"/>
                <w:szCs w:val="22"/>
              </w:rPr>
            </w:pPr>
            <w:r w:rsidRPr="0043179C">
              <w:rPr>
                <w:rFonts w:ascii="Arial" w:hAnsi="Arial" w:cs="Arial"/>
                <w:sz w:val="22"/>
                <w:szCs w:val="22"/>
              </w:rPr>
              <w:t>Garantizar el mantenimiento al manual de políticas contables.</w:t>
            </w:r>
          </w:p>
        </w:tc>
      </w:tr>
      <w:tr w:rsidR="00561B22" w:rsidRPr="0043179C" w14:paraId="2D1E7666" w14:textId="77777777" w:rsidTr="00F1223B">
        <w:tc>
          <w:tcPr>
            <w:tcW w:w="562" w:type="dxa"/>
          </w:tcPr>
          <w:p w14:paraId="05E736A6"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4</w:t>
            </w:r>
          </w:p>
        </w:tc>
        <w:tc>
          <w:tcPr>
            <w:tcW w:w="9400" w:type="dxa"/>
          </w:tcPr>
          <w:p w14:paraId="12283FA6" w14:textId="77777777" w:rsidR="00561B22" w:rsidRPr="0043179C" w:rsidRDefault="00561B22" w:rsidP="00F1223B">
            <w:pPr>
              <w:jc w:val="both"/>
              <w:rPr>
                <w:rFonts w:ascii="Arial" w:hAnsi="Arial" w:cs="Arial"/>
                <w:b/>
                <w:sz w:val="22"/>
                <w:szCs w:val="22"/>
                <w:lang w:val="es-MX"/>
              </w:rPr>
            </w:pPr>
            <w:r w:rsidRPr="0043179C">
              <w:rPr>
                <w:rFonts w:ascii="Arial" w:hAnsi="Arial" w:cs="Arial"/>
                <w:sz w:val="22"/>
                <w:szCs w:val="22"/>
              </w:rPr>
              <w:t xml:space="preserve">Garantizar el cumplimiento a las acciones contempladas en el Plan de Mejoramiento suscrito ante la CGR con el fin de garantizar que los hallazgos identificados no se vuelvan a presentar. </w:t>
            </w:r>
          </w:p>
        </w:tc>
      </w:tr>
      <w:tr w:rsidR="00561B22" w:rsidRPr="0043179C" w14:paraId="784B7FB3" w14:textId="77777777" w:rsidTr="00F1223B">
        <w:tc>
          <w:tcPr>
            <w:tcW w:w="562" w:type="dxa"/>
          </w:tcPr>
          <w:p w14:paraId="04B0ED01"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5</w:t>
            </w:r>
          </w:p>
        </w:tc>
        <w:tc>
          <w:tcPr>
            <w:tcW w:w="9400" w:type="dxa"/>
          </w:tcPr>
          <w:p w14:paraId="1280F534" w14:textId="77777777" w:rsidR="00561B22" w:rsidRPr="0043179C" w:rsidRDefault="00561B22" w:rsidP="00F1223B">
            <w:pPr>
              <w:jc w:val="both"/>
              <w:rPr>
                <w:rFonts w:ascii="Arial" w:hAnsi="Arial" w:cs="Arial"/>
                <w:b/>
                <w:sz w:val="22"/>
                <w:szCs w:val="22"/>
                <w:lang w:val="es-MX"/>
              </w:rPr>
            </w:pPr>
            <w:r w:rsidRPr="0043179C">
              <w:rPr>
                <w:rFonts w:ascii="Arial" w:hAnsi="Arial" w:cs="Arial"/>
                <w:sz w:val="22"/>
                <w:szCs w:val="22"/>
              </w:rPr>
              <w:t xml:space="preserve">Garantizar la publicación oportuna de los estados financieros en la página web de la corporación. </w:t>
            </w:r>
          </w:p>
        </w:tc>
      </w:tr>
      <w:tr w:rsidR="00561B22" w:rsidRPr="0043179C" w14:paraId="5C7DE127" w14:textId="77777777" w:rsidTr="00F1223B">
        <w:tc>
          <w:tcPr>
            <w:tcW w:w="562" w:type="dxa"/>
          </w:tcPr>
          <w:p w14:paraId="036EFA3E"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6</w:t>
            </w:r>
          </w:p>
        </w:tc>
        <w:tc>
          <w:tcPr>
            <w:tcW w:w="9400" w:type="dxa"/>
          </w:tcPr>
          <w:p w14:paraId="5382D04C" w14:textId="77777777" w:rsidR="00561B22" w:rsidRPr="0043179C" w:rsidRDefault="00561B22" w:rsidP="00F1223B">
            <w:pPr>
              <w:jc w:val="both"/>
              <w:rPr>
                <w:rFonts w:ascii="Arial" w:hAnsi="Arial" w:cs="Arial"/>
                <w:sz w:val="22"/>
                <w:szCs w:val="22"/>
              </w:rPr>
            </w:pPr>
            <w:r w:rsidRPr="0043179C">
              <w:rPr>
                <w:rFonts w:ascii="Arial" w:hAnsi="Arial" w:cs="Arial"/>
                <w:sz w:val="22"/>
                <w:szCs w:val="22"/>
              </w:rPr>
              <w:t xml:space="preserve">Garantizar que finalice la implementación del mecanismo de identificación del inventario elementos en año 2023 de propiedad, planta y equipo, que facilite su identificación y trazabilidad con respecto a lo registrado en el sistema de información pimisys de la entidad. </w:t>
            </w:r>
          </w:p>
        </w:tc>
      </w:tr>
      <w:tr w:rsidR="00561B22" w:rsidRPr="0043179C" w14:paraId="0A537C2D" w14:textId="77777777" w:rsidTr="00F1223B">
        <w:tc>
          <w:tcPr>
            <w:tcW w:w="562" w:type="dxa"/>
          </w:tcPr>
          <w:p w14:paraId="6433846F"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7</w:t>
            </w:r>
          </w:p>
        </w:tc>
        <w:tc>
          <w:tcPr>
            <w:tcW w:w="9400" w:type="dxa"/>
          </w:tcPr>
          <w:p w14:paraId="276C8C6A" w14:textId="77777777" w:rsidR="00561B22" w:rsidRPr="0043179C" w:rsidRDefault="00561B22" w:rsidP="00F1223B">
            <w:pPr>
              <w:jc w:val="both"/>
              <w:rPr>
                <w:rFonts w:ascii="Arial" w:hAnsi="Arial" w:cs="Arial"/>
                <w:sz w:val="22"/>
                <w:szCs w:val="22"/>
              </w:rPr>
            </w:pPr>
            <w:r w:rsidRPr="0043179C">
              <w:rPr>
                <w:rFonts w:ascii="Arial" w:hAnsi="Arial" w:cs="Arial"/>
                <w:sz w:val="22"/>
                <w:szCs w:val="22"/>
              </w:rPr>
              <w:t xml:space="preserve">Garantizar el cumplimiento del Decreto 2768 de 2012. Establecer lineamientos que garanticen la racionalización de gastos de caja menor. Cuenta 2910: Elaborar Procedimiento por parte de las áreas para la cuenta. </w:t>
            </w:r>
          </w:p>
        </w:tc>
      </w:tr>
      <w:tr w:rsidR="00561B22" w:rsidRPr="0043179C" w14:paraId="3E19F119" w14:textId="77777777" w:rsidTr="00F1223B">
        <w:tc>
          <w:tcPr>
            <w:tcW w:w="562" w:type="dxa"/>
          </w:tcPr>
          <w:p w14:paraId="3FCF90A1"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8</w:t>
            </w:r>
          </w:p>
        </w:tc>
        <w:tc>
          <w:tcPr>
            <w:tcW w:w="9400" w:type="dxa"/>
          </w:tcPr>
          <w:p w14:paraId="18EC58DE" w14:textId="77777777" w:rsidR="00561B22" w:rsidRPr="0043179C" w:rsidRDefault="00561B22" w:rsidP="00F1223B">
            <w:pPr>
              <w:jc w:val="both"/>
              <w:rPr>
                <w:rFonts w:ascii="Arial" w:hAnsi="Arial" w:cs="Arial"/>
                <w:sz w:val="22"/>
                <w:szCs w:val="22"/>
              </w:rPr>
            </w:pPr>
            <w:r w:rsidRPr="0043179C">
              <w:rPr>
                <w:rFonts w:ascii="Arial" w:hAnsi="Arial" w:cs="Arial"/>
                <w:sz w:val="22"/>
                <w:szCs w:val="22"/>
              </w:rPr>
              <w:t xml:space="preserve">Se recomienda que las notas a los estados financieros detallen información relevante para la alta dirección para la toma de decisiones. </w:t>
            </w:r>
          </w:p>
        </w:tc>
      </w:tr>
      <w:tr w:rsidR="00561B22" w:rsidRPr="0043179C" w14:paraId="6587FEDC" w14:textId="77777777" w:rsidTr="00F1223B">
        <w:tc>
          <w:tcPr>
            <w:tcW w:w="562" w:type="dxa"/>
          </w:tcPr>
          <w:p w14:paraId="04432B9F" w14:textId="77777777" w:rsidR="00561B22" w:rsidRPr="0043179C" w:rsidRDefault="00561B22" w:rsidP="00F1223B">
            <w:pPr>
              <w:jc w:val="center"/>
              <w:rPr>
                <w:rFonts w:ascii="Arial" w:hAnsi="Arial" w:cs="Arial"/>
                <w:b/>
                <w:sz w:val="22"/>
                <w:szCs w:val="22"/>
                <w:lang w:val="es-MX"/>
              </w:rPr>
            </w:pPr>
            <w:r w:rsidRPr="0043179C">
              <w:rPr>
                <w:rFonts w:ascii="Arial" w:hAnsi="Arial" w:cs="Arial"/>
                <w:b/>
                <w:sz w:val="22"/>
                <w:szCs w:val="22"/>
                <w:lang w:val="es-MX"/>
              </w:rPr>
              <w:t>9</w:t>
            </w:r>
          </w:p>
        </w:tc>
        <w:tc>
          <w:tcPr>
            <w:tcW w:w="9400" w:type="dxa"/>
          </w:tcPr>
          <w:p w14:paraId="1FED1694" w14:textId="77777777" w:rsidR="00561B22" w:rsidRPr="0043179C" w:rsidRDefault="00561B22" w:rsidP="00F1223B">
            <w:pPr>
              <w:jc w:val="both"/>
              <w:rPr>
                <w:rFonts w:ascii="Arial" w:hAnsi="Arial" w:cs="Arial"/>
                <w:sz w:val="22"/>
                <w:szCs w:val="22"/>
              </w:rPr>
            </w:pPr>
            <w:r w:rsidRPr="0043179C">
              <w:rPr>
                <w:rFonts w:ascii="Arial" w:hAnsi="Arial" w:cs="Arial"/>
                <w:sz w:val="22"/>
                <w:szCs w:val="22"/>
              </w:rPr>
              <w:t>Así mismo se debe garantizar la comunicación entre las áreas para que todos los hechos relevantes que afecten la información financiera sean registrados.</w:t>
            </w:r>
          </w:p>
        </w:tc>
      </w:tr>
    </w:tbl>
    <w:p w14:paraId="2D49289F" w14:textId="77777777" w:rsidR="00561B22" w:rsidRPr="0043179C" w:rsidRDefault="00561B22" w:rsidP="00561B22">
      <w:pPr>
        <w:pStyle w:val="Textoindependiente"/>
        <w:ind w:right="-50"/>
        <w:jc w:val="both"/>
        <w:rPr>
          <w:rFonts w:ascii="Arial" w:hAnsi="Arial" w:cs="Arial"/>
          <w:b/>
          <w:bCs/>
          <w:sz w:val="28"/>
          <w:szCs w:val="28"/>
        </w:rPr>
      </w:pPr>
    </w:p>
    <w:p w14:paraId="6AA82869" w14:textId="77777777" w:rsidR="00561B22" w:rsidRDefault="00561B22" w:rsidP="00561B22">
      <w:pPr>
        <w:jc w:val="both"/>
        <w:rPr>
          <w:rFonts w:ascii="Arial" w:hAnsi="Arial" w:cs="Arial"/>
          <w:b/>
          <w:bCs/>
          <w:sz w:val="24"/>
          <w:szCs w:val="24"/>
          <w:lang w:val="es-CO"/>
        </w:rPr>
      </w:pPr>
      <w:r w:rsidRPr="0043179C">
        <w:rPr>
          <w:rFonts w:ascii="Arial" w:hAnsi="Arial" w:cs="Arial"/>
          <w:b/>
          <w:bCs/>
          <w:sz w:val="24"/>
          <w:szCs w:val="24"/>
          <w:lang w:val="es-CO"/>
        </w:rPr>
        <w:t xml:space="preserve">NOTA: LA ENTIDAD ENVIA LA MATRIZ DE AUTOEVALUACIÓN DEL SISTEMA DE </w:t>
      </w:r>
      <w:r w:rsidRPr="0043179C">
        <w:rPr>
          <w:rFonts w:ascii="Arial" w:hAnsi="Arial" w:cs="Arial"/>
          <w:b/>
          <w:bCs/>
          <w:sz w:val="24"/>
          <w:szCs w:val="24"/>
          <w:lang w:val="es-CO"/>
        </w:rPr>
        <w:lastRenderedPageBreak/>
        <w:t xml:space="preserve">CONTROL INTERNO CONTABLE CON </w:t>
      </w:r>
      <w:r w:rsidRPr="0043179C">
        <w:rPr>
          <w:rFonts w:ascii="Arial" w:hAnsi="Arial" w:cs="Arial"/>
          <w:b/>
          <w:bCs/>
          <w:sz w:val="24"/>
          <w:szCs w:val="24"/>
          <w:u w:val="single"/>
          <w:lang w:val="es-CO"/>
        </w:rPr>
        <w:t>ACTIVIDADES DE CONTROL REALIZADAS EN FORMA PARCIAL</w:t>
      </w:r>
      <w:r w:rsidRPr="0043179C">
        <w:rPr>
          <w:rFonts w:ascii="Arial" w:hAnsi="Arial" w:cs="Arial"/>
          <w:b/>
          <w:bCs/>
          <w:sz w:val="24"/>
          <w:szCs w:val="24"/>
          <w:lang w:val="es-CO"/>
        </w:rPr>
        <w:t>.</w:t>
      </w:r>
    </w:p>
    <w:p w14:paraId="50233D61" w14:textId="77777777" w:rsidR="00561B22" w:rsidRDefault="00561B22" w:rsidP="00561B22">
      <w:pPr>
        <w:jc w:val="both"/>
        <w:rPr>
          <w:rFonts w:ascii="Arial" w:hAnsi="Arial" w:cs="Arial"/>
          <w:b/>
          <w:bCs/>
          <w:sz w:val="24"/>
          <w:szCs w:val="24"/>
          <w:lang w:val="es-CO"/>
        </w:rPr>
      </w:pPr>
    </w:p>
    <w:p w14:paraId="72F68807" w14:textId="77777777" w:rsidR="00561B22" w:rsidRDefault="00561B22" w:rsidP="00561B22">
      <w:pPr>
        <w:jc w:val="both"/>
        <w:rPr>
          <w:rFonts w:ascii="Arial" w:hAnsi="Arial" w:cs="Arial"/>
          <w:b/>
          <w:sz w:val="28"/>
          <w:szCs w:val="28"/>
          <w:lang w:val="es-MX"/>
        </w:rPr>
      </w:pPr>
      <w:r w:rsidRPr="003C1E18">
        <w:rPr>
          <w:rFonts w:ascii="Arial" w:hAnsi="Arial" w:cs="Arial"/>
          <w:b/>
          <w:sz w:val="28"/>
          <w:szCs w:val="28"/>
          <w:lang w:val="es-MX"/>
        </w:rPr>
        <w:t xml:space="preserve">167.- FONDO PARA EL ACCESO DE LOS INSUMOS AGROPECUARIOS FAIA – CONSORCIO FAIA </w:t>
      </w:r>
      <w:r>
        <w:rPr>
          <w:rFonts w:ascii="Arial" w:hAnsi="Arial" w:cs="Arial"/>
          <w:b/>
          <w:sz w:val="28"/>
          <w:szCs w:val="28"/>
          <w:lang w:val="es-MX"/>
        </w:rPr>
        <w:t>–</w:t>
      </w:r>
      <w:r w:rsidRPr="003C1E18">
        <w:rPr>
          <w:rFonts w:ascii="Arial" w:hAnsi="Arial" w:cs="Arial"/>
          <w:b/>
          <w:sz w:val="28"/>
          <w:szCs w:val="28"/>
          <w:lang w:val="es-MX"/>
        </w:rPr>
        <w:t xml:space="preserve"> FIDUAGRARIA</w:t>
      </w:r>
      <w:r>
        <w:rPr>
          <w:rFonts w:ascii="Arial" w:hAnsi="Arial" w:cs="Arial"/>
          <w:b/>
          <w:sz w:val="28"/>
          <w:szCs w:val="28"/>
          <w:lang w:val="es-MX"/>
        </w:rPr>
        <w:t>.</w:t>
      </w:r>
      <w:r w:rsidRPr="003C1E18">
        <w:rPr>
          <w:rFonts w:ascii="Arial" w:hAnsi="Arial" w:cs="Arial"/>
          <w:b/>
          <w:sz w:val="28"/>
          <w:szCs w:val="28"/>
          <w:lang w:val="es-MX"/>
        </w:rPr>
        <w:t xml:space="preserve"> </w:t>
      </w:r>
    </w:p>
    <w:p w14:paraId="76CD73EB" w14:textId="77777777" w:rsidR="00561B22" w:rsidRDefault="00561B22" w:rsidP="00561B22">
      <w:pPr>
        <w:jc w:val="both"/>
        <w:rPr>
          <w:rFonts w:ascii="Arial" w:hAnsi="Arial" w:cs="Arial"/>
          <w:b/>
          <w:sz w:val="28"/>
          <w:szCs w:val="28"/>
          <w:lang w:val="es-MX"/>
        </w:rPr>
      </w:pPr>
    </w:p>
    <w:p w14:paraId="42E4F67B" w14:textId="77777777" w:rsidR="00561B22" w:rsidRPr="003D0A8B" w:rsidRDefault="00561B22" w:rsidP="00561B22">
      <w:pPr>
        <w:pStyle w:val="Textoindependiente"/>
        <w:ind w:right="-50"/>
        <w:jc w:val="center"/>
        <w:rPr>
          <w:rFonts w:ascii="Arial" w:hAnsi="Arial" w:cs="Arial"/>
          <w:b/>
          <w:bCs/>
        </w:rPr>
      </w:pPr>
      <w:r w:rsidRPr="003D0A8B">
        <w:rPr>
          <w:rFonts w:ascii="Arial" w:hAnsi="Arial" w:cs="Arial"/>
          <w:b/>
          <w:bCs/>
        </w:rPr>
        <w:t>INFORME DE LA AUTOCALIFICACIÓN DEL SISTEMA DE CONTROL INTERNO CONTABLE:</w:t>
      </w:r>
    </w:p>
    <w:p w14:paraId="64D0AD1D" w14:textId="77777777" w:rsidR="00561B22" w:rsidRPr="003D0A8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D0A8B" w14:paraId="7B06BE0F" w14:textId="77777777" w:rsidTr="00F1223B">
        <w:tc>
          <w:tcPr>
            <w:tcW w:w="4981" w:type="dxa"/>
          </w:tcPr>
          <w:p w14:paraId="348E28F9" w14:textId="77777777" w:rsidR="00561B22" w:rsidRPr="003D0A8B" w:rsidRDefault="00561B22" w:rsidP="00F1223B">
            <w:pPr>
              <w:jc w:val="center"/>
              <w:rPr>
                <w:rFonts w:ascii="Arial" w:hAnsi="Arial" w:cs="Arial"/>
                <w:b/>
                <w:sz w:val="22"/>
                <w:szCs w:val="22"/>
                <w:lang w:val="es-MX"/>
              </w:rPr>
            </w:pPr>
            <w:r w:rsidRPr="003D0A8B">
              <w:rPr>
                <w:rFonts w:ascii="Arial" w:hAnsi="Arial" w:cs="Arial"/>
                <w:b/>
                <w:sz w:val="22"/>
                <w:szCs w:val="22"/>
                <w:lang w:val="es-MX"/>
              </w:rPr>
              <w:t>AUTOCALIFICACIÓN</w:t>
            </w:r>
          </w:p>
        </w:tc>
        <w:tc>
          <w:tcPr>
            <w:tcW w:w="4981" w:type="dxa"/>
          </w:tcPr>
          <w:p w14:paraId="4CC6A076" w14:textId="77777777" w:rsidR="00561B22" w:rsidRPr="003D0A8B" w:rsidRDefault="00561B22" w:rsidP="00F1223B">
            <w:pPr>
              <w:jc w:val="center"/>
              <w:rPr>
                <w:rFonts w:ascii="Arial" w:hAnsi="Arial" w:cs="Arial"/>
                <w:b/>
                <w:sz w:val="22"/>
                <w:szCs w:val="22"/>
                <w:u w:val="single"/>
                <w:lang w:val="es-MX"/>
              </w:rPr>
            </w:pPr>
            <w:r w:rsidRPr="003D0A8B">
              <w:rPr>
                <w:rFonts w:ascii="Arial" w:hAnsi="Arial" w:cs="Arial"/>
                <w:b/>
                <w:sz w:val="22"/>
                <w:szCs w:val="22"/>
                <w:u w:val="single"/>
                <w:lang w:val="es-MX"/>
              </w:rPr>
              <w:t>5.00</w:t>
            </w:r>
          </w:p>
        </w:tc>
      </w:tr>
    </w:tbl>
    <w:p w14:paraId="4CB63491" w14:textId="77777777" w:rsidR="00561B22" w:rsidRPr="003D0A8B" w:rsidRDefault="00561B22" w:rsidP="00561B22">
      <w:pPr>
        <w:pStyle w:val="Textoindependiente"/>
        <w:ind w:right="-50"/>
        <w:jc w:val="both"/>
        <w:rPr>
          <w:rFonts w:ascii="Arial" w:hAnsi="Arial" w:cs="Arial"/>
          <w:b/>
          <w:bCs/>
        </w:rPr>
      </w:pPr>
    </w:p>
    <w:p w14:paraId="050B86E8" w14:textId="77777777" w:rsidR="00561B22" w:rsidRPr="003D0A8B" w:rsidRDefault="00561B22" w:rsidP="00561B22">
      <w:pPr>
        <w:pStyle w:val="Textoindependiente"/>
        <w:ind w:right="-50"/>
        <w:jc w:val="both"/>
        <w:rPr>
          <w:rFonts w:ascii="Arial" w:hAnsi="Arial" w:cs="Arial"/>
          <w:b/>
          <w:bCs/>
        </w:rPr>
      </w:pPr>
      <w:r w:rsidRPr="003D0A8B">
        <w:rPr>
          <w:rFonts w:ascii="Arial" w:hAnsi="Arial" w:cs="Arial"/>
          <w:b/>
          <w:bCs/>
        </w:rPr>
        <w:t>Del informe enviado retomamos lo siguiente:</w:t>
      </w:r>
    </w:p>
    <w:p w14:paraId="264318CC" w14:textId="77777777" w:rsidR="00561B22" w:rsidRPr="003D0A8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D0A8B" w14:paraId="2FE5A53F" w14:textId="77777777" w:rsidTr="00F1223B">
        <w:tc>
          <w:tcPr>
            <w:tcW w:w="562" w:type="dxa"/>
          </w:tcPr>
          <w:p w14:paraId="771B0B85" w14:textId="77777777" w:rsidR="00561B22" w:rsidRPr="003D0A8B" w:rsidRDefault="00561B22" w:rsidP="00F1223B">
            <w:pPr>
              <w:ind w:right="-109"/>
              <w:jc w:val="center"/>
              <w:rPr>
                <w:rFonts w:ascii="Arial" w:hAnsi="Arial" w:cs="Arial"/>
                <w:b/>
                <w:sz w:val="22"/>
                <w:szCs w:val="22"/>
                <w:lang w:val="es-MX"/>
              </w:rPr>
            </w:pPr>
            <w:r w:rsidRPr="003D0A8B">
              <w:rPr>
                <w:rFonts w:ascii="Arial" w:hAnsi="Arial" w:cs="Arial"/>
                <w:b/>
                <w:sz w:val="22"/>
                <w:szCs w:val="22"/>
                <w:lang w:val="es-MX"/>
              </w:rPr>
              <w:t>N°</w:t>
            </w:r>
          </w:p>
        </w:tc>
        <w:tc>
          <w:tcPr>
            <w:tcW w:w="9400" w:type="dxa"/>
          </w:tcPr>
          <w:p w14:paraId="6395DD1C" w14:textId="77777777" w:rsidR="00561B22" w:rsidRPr="003D0A8B" w:rsidRDefault="00561B22" w:rsidP="00F1223B">
            <w:pPr>
              <w:jc w:val="center"/>
              <w:rPr>
                <w:rFonts w:ascii="Arial" w:hAnsi="Arial" w:cs="Arial"/>
                <w:b/>
                <w:sz w:val="22"/>
                <w:szCs w:val="22"/>
                <w:lang w:val="es-MX"/>
              </w:rPr>
            </w:pPr>
            <w:r w:rsidRPr="003D0A8B">
              <w:rPr>
                <w:rFonts w:ascii="Arial" w:hAnsi="Arial" w:cs="Arial"/>
                <w:b/>
                <w:sz w:val="22"/>
                <w:szCs w:val="22"/>
                <w:lang w:val="es-MX"/>
              </w:rPr>
              <w:t>DEBILIDADES</w:t>
            </w:r>
          </w:p>
          <w:p w14:paraId="07505550" w14:textId="77777777" w:rsidR="00561B22" w:rsidRPr="003D0A8B" w:rsidRDefault="00561B22" w:rsidP="00F1223B">
            <w:pPr>
              <w:jc w:val="center"/>
              <w:rPr>
                <w:rFonts w:ascii="Arial" w:hAnsi="Arial" w:cs="Arial"/>
                <w:b/>
                <w:sz w:val="22"/>
                <w:szCs w:val="22"/>
                <w:lang w:val="es-MX"/>
              </w:rPr>
            </w:pPr>
          </w:p>
        </w:tc>
      </w:tr>
      <w:tr w:rsidR="00561B22" w:rsidRPr="003D0A8B" w14:paraId="6F81489F" w14:textId="77777777" w:rsidTr="00F1223B">
        <w:tc>
          <w:tcPr>
            <w:tcW w:w="562" w:type="dxa"/>
          </w:tcPr>
          <w:p w14:paraId="18012ACB" w14:textId="77777777" w:rsidR="00561B22" w:rsidRPr="003D0A8B" w:rsidRDefault="00561B22" w:rsidP="00F1223B">
            <w:pPr>
              <w:jc w:val="center"/>
              <w:rPr>
                <w:rFonts w:ascii="Arial" w:hAnsi="Arial" w:cs="Arial"/>
                <w:b/>
                <w:sz w:val="22"/>
                <w:szCs w:val="22"/>
                <w:lang w:val="es-MX"/>
              </w:rPr>
            </w:pPr>
            <w:r w:rsidRPr="003D0A8B">
              <w:rPr>
                <w:rFonts w:ascii="Arial" w:hAnsi="Arial" w:cs="Arial"/>
                <w:b/>
                <w:sz w:val="22"/>
                <w:szCs w:val="22"/>
                <w:lang w:val="es-MX"/>
              </w:rPr>
              <w:t>1</w:t>
            </w:r>
          </w:p>
        </w:tc>
        <w:tc>
          <w:tcPr>
            <w:tcW w:w="9400" w:type="dxa"/>
          </w:tcPr>
          <w:p w14:paraId="7FD37D77" w14:textId="77777777" w:rsidR="00561B22" w:rsidRPr="003D0A8B" w:rsidRDefault="00561B22" w:rsidP="00F1223B">
            <w:pPr>
              <w:jc w:val="both"/>
              <w:rPr>
                <w:rFonts w:ascii="Arial" w:hAnsi="Arial" w:cs="Arial"/>
                <w:bCs/>
                <w:sz w:val="22"/>
                <w:szCs w:val="22"/>
              </w:rPr>
            </w:pPr>
            <w:r w:rsidRPr="003D0A8B">
              <w:rPr>
                <w:rFonts w:ascii="Arial" w:hAnsi="Arial" w:cs="Arial"/>
                <w:bCs/>
                <w:sz w:val="22"/>
                <w:szCs w:val="22"/>
              </w:rPr>
              <w:t>De acuerdo con la evaluación realizada por la oficina de Control Interno se evidencia que es necesario continuar fortaleciendo los procesos relacionados en el cumplimiento del perfil de los funcionarios que participan en las actividades de los procedimientos contables para este caso.</w:t>
            </w:r>
          </w:p>
        </w:tc>
      </w:tr>
    </w:tbl>
    <w:p w14:paraId="4DCBE87B" w14:textId="77777777" w:rsidR="00561B22" w:rsidRPr="003D0A8B" w:rsidRDefault="00561B22" w:rsidP="00561B22">
      <w:pPr>
        <w:pStyle w:val="Textoindependiente"/>
        <w:ind w:right="-50"/>
        <w:jc w:val="both"/>
        <w:rPr>
          <w:rFonts w:ascii="Arial" w:hAnsi="Arial" w:cs="Arial"/>
          <w:b/>
          <w:bCs/>
        </w:rPr>
      </w:pPr>
    </w:p>
    <w:p w14:paraId="22A2A61B" w14:textId="77777777" w:rsidR="00561B22" w:rsidRPr="00977AC0" w:rsidRDefault="00561B22" w:rsidP="00561B22">
      <w:pPr>
        <w:jc w:val="both"/>
        <w:rPr>
          <w:rFonts w:ascii="Arial" w:hAnsi="Arial" w:cs="Arial"/>
          <w:b/>
          <w:sz w:val="28"/>
          <w:szCs w:val="28"/>
          <w:lang w:val="es-MX"/>
        </w:rPr>
      </w:pPr>
      <w:r w:rsidRPr="00977AC0">
        <w:rPr>
          <w:rFonts w:ascii="Arial" w:hAnsi="Arial" w:cs="Arial"/>
          <w:b/>
          <w:sz w:val="28"/>
          <w:szCs w:val="28"/>
          <w:lang w:val="es-MX"/>
        </w:rPr>
        <w:t>169.- SANATORIO DE CONTRATACIÓN – E.S.E.</w:t>
      </w:r>
    </w:p>
    <w:p w14:paraId="54CB111B" w14:textId="77777777" w:rsidR="00561B22" w:rsidRPr="00977AC0" w:rsidRDefault="00561B22" w:rsidP="00561B22">
      <w:pPr>
        <w:jc w:val="both"/>
        <w:rPr>
          <w:rFonts w:ascii="Arial" w:hAnsi="Arial" w:cs="Arial"/>
          <w:b/>
          <w:sz w:val="28"/>
          <w:szCs w:val="28"/>
          <w:lang w:val="es-MX"/>
        </w:rPr>
      </w:pPr>
    </w:p>
    <w:p w14:paraId="0D5C1499" w14:textId="77777777" w:rsidR="00561B22" w:rsidRPr="00977AC0" w:rsidRDefault="00561B22" w:rsidP="00561B22">
      <w:pPr>
        <w:pStyle w:val="Textoindependiente"/>
        <w:jc w:val="center"/>
        <w:rPr>
          <w:rFonts w:ascii="Arial" w:hAnsi="Arial" w:cs="Arial"/>
          <w:b/>
          <w:bCs/>
        </w:rPr>
      </w:pPr>
      <w:r w:rsidRPr="00977AC0">
        <w:rPr>
          <w:rFonts w:ascii="Arial" w:hAnsi="Arial" w:cs="Arial"/>
          <w:b/>
          <w:bCs/>
        </w:rPr>
        <w:t>INFORME DE LA AUTOCALIFICACIÓN DEL SISTEMA DE CONTROL INTERNO CONTABLE:</w:t>
      </w:r>
    </w:p>
    <w:p w14:paraId="208EF89E" w14:textId="77777777" w:rsidR="00561B22" w:rsidRPr="00977AC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77AC0" w14:paraId="781631D0" w14:textId="77777777" w:rsidTr="00F1223B">
        <w:tc>
          <w:tcPr>
            <w:tcW w:w="4981" w:type="dxa"/>
          </w:tcPr>
          <w:p w14:paraId="27E4805E"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AUTOCALIFICACIÓN</w:t>
            </w:r>
          </w:p>
        </w:tc>
        <w:tc>
          <w:tcPr>
            <w:tcW w:w="4981" w:type="dxa"/>
          </w:tcPr>
          <w:p w14:paraId="041D6E1E" w14:textId="77777777" w:rsidR="00561B22" w:rsidRPr="00977AC0" w:rsidRDefault="00561B22" w:rsidP="00F1223B">
            <w:pPr>
              <w:jc w:val="center"/>
              <w:rPr>
                <w:rFonts w:ascii="Arial" w:hAnsi="Arial" w:cs="Arial"/>
                <w:b/>
                <w:sz w:val="22"/>
                <w:szCs w:val="22"/>
                <w:u w:val="single"/>
                <w:lang w:val="es-MX"/>
              </w:rPr>
            </w:pPr>
            <w:r w:rsidRPr="00977AC0">
              <w:rPr>
                <w:rFonts w:ascii="Arial" w:hAnsi="Arial" w:cs="Arial"/>
                <w:b/>
                <w:sz w:val="22"/>
                <w:szCs w:val="22"/>
                <w:u w:val="single"/>
                <w:lang w:val="es-MX"/>
              </w:rPr>
              <w:t>4.82</w:t>
            </w:r>
          </w:p>
        </w:tc>
      </w:tr>
    </w:tbl>
    <w:p w14:paraId="0681EC41" w14:textId="77777777" w:rsidR="00561B22" w:rsidRPr="00977AC0" w:rsidRDefault="00561B22" w:rsidP="00561B22">
      <w:pPr>
        <w:pStyle w:val="Textoindependiente"/>
        <w:jc w:val="both"/>
        <w:rPr>
          <w:rFonts w:ascii="Arial" w:hAnsi="Arial" w:cs="Arial"/>
          <w:b/>
          <w:bCs/>
        </w:rPr>
      </w:pPr>
    </w:p>
    <w:p w14:paraId="41513E79" w14:textId="77777777" w:rsidR="00561B22" w:rsidRPr="00977AC0" w:rsidRDefault="00561B22" w:rsidP="00561B22">
      <w:pPr>
        <w:pStyle w:val="Textoindependiente"/>
        <w:jc w:val="both"/>
        <w:rPr>
          <w:rFonts w:ascii="Arial" w:hAnsi="Arial" w:cs="Arial"/>
          <w:b/>
          <w:bCs/>
        </w:rPr>
      </w:pPr>
      <w:r w:rsidRPr="00977AC0">
        <w:rPr>
          <w:rFonts w:ascii="Arial" w:hAnsi="Arial" w:cs="Arial"/>
          <w:b/>
          <w:bCs/>
        </w:rPr>
        <w:t>Del informe enviado retomamos lo siguiente:</w:t>
      </w:r>
    </w:p>
    <w:p w14:paraId="64D67F06" w14:textId="77777777" w:rsidR="00561B22" w:rsidRPr="00977AC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77AC0" w14:paraId="0BEE3998" w14:textId="77777777" w:rsidTr="00F1223B">
        <w:tc>
          <w:tcPr>
            <w:tcW w:w="562" w:type="dxa"/>
          </w:tcPr>
          <w:p w14:paraId="13D3E592"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N°</w:t>
            </w:r>
          </w:p>
        </w:tc>
        <w:tc>
          <w:tcPr>
            <w:tcW w:w="9400" w:type="dxa"/>
          </w:tcPr>
          <w:p w14:paraId="431AC417"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DEBILIDADES</w:t>
            </w:r>
          </w:p>
          <w:p w14:paraId="74E18D14" w14:textId="77777777" w:rsidR="00561B22" w:rsidRPr="00977AC0" w:rsidRDefault="00561B22" w:rsidP="00F1223B">
            <w:pPr>
              <w:jc w:val="center"/>
              <w:rPr>
                <w:rFonts w:ascii="Arial" w:hAnsi="Arial" w:cs="Arial"/>
                <w:b/>
                <w:sz w:val="22"/>
                <w:szCs w:val="22"/>
                <w:lang w:val="es-MX"/>
              </w:rPr>
            </w:pPr>
          </w:p>
        </w:tc>
      </w:tr>
      <w:tr w:rsidR="00561B22" w:rsidRPr="00977AC0" w14:paraId="66DF9CC4" w14:textId="77777777" w:rsidTr="00F1223B">
        <w:tc>
          <w:tcPr>
            <w:tcW w:w="562" w:type="dxa"/>
          </w:tcPr>
          <w:p w14:paraId="4D24437A"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1</w:t>
            </w:r>
          </w:p>
        </w:tc>
        <w:tc>
          <w:tcPr>
            <w:tcW w:w="9400" w:type="dxa"/>
          </w:tcPr>
          <w:p w14:paraId="033D6F33" w14:textId="77777777" w:rsidR="00561B22" w:rsidRPr="00977AC0" w:rsidRDefault="00561B22" w:rsidP="00F1223B">
            <w:pPr>
              <w:jc w:val="both"/>
              <w:rPr>
                <w:rFonts w:ascii="Arial" w:hAnsi="Arial" w:cs="Arial"/>
                <w:bCs/>
                <w:sz w:val="22"/>
                <w:szCs w:val="22"/>
                <w:lang w:val="es-MX"/>
              </w:rPr>
            </w:pPr>
            <w:r w:rsidRPr="00977AC0">
              <w:rPr>
                <w:rFonts w:ascii="Arial" w:hAnsi="Arial" w:cs="Arial"/>
                <w:bCs/>
                <w:sz w:val="22"/>
                <w:szCs w:val="22"/>
              </w:rPr>
              <w:t xml:space="preserve">Se requiere contar con matriz de riesgos para cada dependencia que hace parte de la gestión financiera. </w:t>
            </w:r>
          </w:p>
        </w:tc>
      </w:tr>
      <w:tr w:rsidR="00561B22" w:rsidRPr="00977AC0" w14:paraId="24C64C65" w14:textId="77777777" w:rsidTr="00F1223B">
        <w:tc>
          <w:tcPr>
            <w:tcW w:w="562" w:type="dxa"/>
          </w:tcPr>
          <w:p w14:paraId="2B8DEF9C"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2</w:t>
            </w:r>
          </w:p>
        </w:tc>
        <w:tc>
          <w:tcPr>
            <w:tcW w:w="9400" w:type="dxa"/>
          </w:tcPr>
          <w:p w14:paraId="7F2E0D6F" w14:textId="77777777" w:rsidR="00561B22" w:rsidRPr="00977AC0" w:rsidRDefault="00561B22" w:rsidP="00F1223B">
            <w:pPr>
              <w:jc w:val="both"/>
              <w:rPr>
                <w:rFonts w:ascii="Arial" w:hAnsi="Arial" w:cs="Arial"/>
                <w:bCs/>
                <w:sz w:val="22"/>
                <w:szCs w:val="22"/>
                <w:lang w:val="es-MX"/>
              </w:rPr>
            </w:pPr>
            <w:r w:rsidRPr="00977AC0">
              <w:rPr>
                <w:rFonts w:ascii="Arial" w:hAnsi="Arial" w:cs="Arial"/>
                <w:bCs/>
                <w:sz w:val="22"/>
                <w:szCs w:val="22"/>
              </w:rPr>
              <w:t>Es importante documentar los diferentes procedimientos que se manejan en el área financiera.</w:t>
            </w:r>
          </w:p>
        </w:tc>
      </w:tr>
    </w:tbl>
    <w:p w14:paraId="666D75E9" w14:textId="77777777" w:rsidR="00561B22" w:rsidRPr="00977AC0" w:rsidRDefault="00561B22" w:rsidP="00561B22">
      <w:pPr>
        <w:jc w:val="both"/>
        <w:rPr>
          <w:rFonts w:ascii="Arial" w:hAnsi="Arial" w:cs="Arial"/>
          <w:b/>
          <w:lang w:val="es-MX"/>
        </w:rPr>
      </w:pPr>
    </w:p>
    <w:p w14:paraId="105166D4" w14:textId="77777777" w:rsidR="00561B22" w:rsidRDefault="00561B22" w:rsidP="00561B22">
      <w:pPr>
        <w:jc w:val="both"/>
        <w:rPr>
          <w:rFonts w:ascii="Arial" w:hAnsi="Arial" w:cs="Arial"/>
          <w:b/>
          <w:lang w:val="es-MX"/>
        </w:rPr>
      </w:pPr>
      <w:r w:rsidRPr="00977AC0">
        <w:rPr>
          <w:rFonts w:ascii="Arial" w:hAnsi="Arial" w:cs="Arial"/>
          <w:b/>
          <w:lang w:val="es-MX"/>
        </w:rPr>
        <w:t>Del citado informe retomamos las siguientes recomendaciones:</w:t>
      </w:r>
    </w:p>
    <w:p w14:paraId="1DE29E2C" w14:textId="77777777" w:rsidR="00561B22" w:rsidRPr="00977AC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977AC0" w14:paraId="37AAA62B" w14:textId="77777777" w:rsidTr="00F1223B">
        <w:tc>
          <w:tcPr>
            <w:tcW w:w="562" w:type="dxa"/>
          </w:tcPr>
          <w:p w14:paraId="19DAB895"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N°</w:t>
            </w:r>
          </w:p>
        </w:tc>
        <w:tc>
          <w:tcPr>
            <w:tcW w:w="9400" w:type="dxa"/>
          </w:tcPr>
          <w:p w14:paraId="76E7E140"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RECOMENDACIONES</w:t>
            </w:r>
          </w:p>
          <w:p w14:paraId="38B94C23" w14:textId="77777777" w:rsidR="00561B22" w:rsidRPr="00977AC0" w:rsidRDefault="00561B22" w:rsidP="00F1223B">
            <w:pPr>
              <w:jc w:val="center"/>
              <w:rPr>
                <w:rFonts w:ascii="Arial" w:hAnsi="Arial" w:cs="Arial"/>
                <w:b/>
                <w:sz w:val="22"/>
                <w:szCs w:val="22"/>
                <w:lang w:val="es-MX"/>
              </w:rPr>
            </w:pPr>
          </w:p>
        </w:tc>
      </w:tr>
      <w:tr w:rsidR="00561B22" w:rsidRPr="00977AC0" w14:paraId="495F8B71" w14:textId="77777777" w:rsidTr="00F1223B">
        <w:tc>
          <w:tcPr>
            <w:tcW w:w="562" w:type="dxa"/>
          </w:tcPr>
          <w:p w14:paraId="28B59617"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1</w:t>
            </w:r>
          </w:p>
        </w:tc>
        <w:tc>
          <w:tcPr>
            <w:tcW w:w="9400" w:type="dxa"/>
          </w:tcPr>
          <w:p w14:paraId="594BBB5C" w14:textId="77777777" w:rsidR="00561B22" w:rsidRPr="00977AC0" w:rsidRDefault="00561B22" w:rsidP="00F1223B">
            <w:pPr>
              <w:jc w:val="both"/>
              <w:rPr>
                <w:rFonts w:ascii="Arial" w:hAnsi="Arial" w:cs="Arial"/>
                <w:bCs/>
                <w:sz w:val="22"/>
                <w:szCs w:val="22"/>
                <w:lang w:val="es-MX"/>
              </w:rPr>
            </w:pPr>
            <w:r w:rsidRPr="00977AC0">
              <w:rPr>
                <w:rFonts w:ascii="Arial" w:hAnsi="Arial" w:cs="Arial"/>
                <w:bCs/>
                <w:sz w:val="22"/>
                <w:szCs w:val="22"/>
              </w:rPr>
              <w:t xml:space="preserve">Mayor funcionalidad del Comité de sostenibilidad contable... </w:t>
            </w:r>
          </w:p>
        </w:tc>
      </w:tr>
      <w:tr w:rsidR="00561B22" w:rsidRPr="00977AC0" w14:paraId="7467EC9B" w14:textId="77777777" w:rsidTr="00F1223B">
        <w:tc>
          <w:tcPr>
            <w:tcW w:w="562" w:type="dxa"/>
          </w:tcPr>
          <w:p w14:paraId="717551C7"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2</w:t>
            </w:r>
          </w:p>
        </w:tc>
        <w:tc>
          <w:tcPr>
            <w:tcW w:w="9400" w:type="dxa"/>
          </w:tcPr>
          <w:p w14:paraId="3CCF366E" w14:textId="77777777" w:rsidR="00561B22" w:rsidRPr="00977AC0" w:rsidRDefault="00561B22" w:rsidP="00F1223B">
            <w:pPr>
              <w:jc w:val="both"/>
              <w:rPr>
                <w:rFonts w:ascii="Arial" w:hAnsi="Arial" w:cs="Arial"/>
                <w:bCs/>
                <w:sz w:val="22"/>
                <w:szCs w:val="22"/>
                <w:lang w:val="es-MX"/>
              </w:rPr>
            </w:pPr>
            <w:r w:rsidRPr="00977AC0">
              <w:rPr>
                <w:rFonts w:ascii="Arial" w:hAnsi="Arial" w:cs="Arial"/>
                <w:bCs/>
                <w:sz w:val="22"/>
                <w:szCs w:val="22"/>
              </w:rPr>
              <w:t>Documentar y aprobar procesos y procedimientos para efectuar mejora en los procesos de manejo de la información y la calidad de la información contable</w:t>
            </w:r>
          </w:p>
        </w:tc>
      </w:tr>
      <w:tr w:rsidR="00561B22" w:rsidRPr="00977AC0" w14:paraId="240BD2E2" w14:textId="77777777" w:rsidTr="00F1223B">
        <w:tc>
          <w:tcPr>
            <w:tcW w:w="562" w:type="dxa"/>
          </w:tcPr>
          <w:p w14:paraId="51ECDD8F"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3</w:t>
            </w:r>
          </w:p>
        </w:tc>
        <w:tc>
          <w:tcPr>
            <w:tcW w:w="9400" w:type="dxa"/>
          </w:tcPr>
          <w:p w14:paraId="06FC9C7B" w14:textId="77777777" w:rsidR="00561B22" w:rsidRPr="00977AC0" w:rsidRDefault="00561B22" w:rsidP="00F1223B">
            <w:pPr>
              <w:jc w:val="both"/>
              <w:rPr>
                <w:rFonts w:ascii="Arial" w:hAnsi="Arial" w:cs="Arial"/>
                <w:bCs/>
                <w:sz w:val="22"/>
                <w:szCs w:val="22"/>
                <w:lang w:val="es-MX"/>
              </w:rPr>
            </w:pPr>
            <w:r w:rsidRPr="00977AC0">
              <w:rPr>
                <w:rFonts w:ascii="Arial" w:hAnsi="Arial" w:cs="Arial"/>
                <w:bCs/>
                <w:sz w:val="22"/>
                <w:szCs w:val="22"/>
              </w:rPr>
              <w:t>Aplicación del auto-control al interior de cada dependencia.</w:t>
            </w:r>
          </w:p>
        </w:tc>
      </w:tr>
      <w:tr w:rsidR="00561B22" w:rsidRPr="00977AC0" w14:paraId="6B0B072C" w14:textId="77777777" w:rsidTr="00F1223B">
        <w:tc>
          <w:tcPr>
            <w:tcW w:w="562" w:type="dxa"/>
          </w:tcPr>
          <w:p w14:paraId="74A5E46A" w14:textId="77777777" w:rsidR="00561B22" w:rsidRPr="00977AC0" w:rsidRDefault="00561B22" w:rsidP="00F1223B">
            <w:pPr>
              <w:jc w:val="center"/>
              <w:rPr>
                <w:rFonts w:ascii="Arial" w:hAnsi="Arial" w:cs="Arial"/>
                <w:b/>
                <w:sz w:val="22"/>
                <w:szCs w:val="22"/>
                <w:lang w:val="es-MX"/>
              </w:rPr>
            </w:pPr>
            <w:r w:rsidRPr="00977AC0">
              <w:rPr>
                <w:rFonts w:ascii="Arial" w:hAnsi="Arial" w:cs="Arial"/>
                <w:b/>
                <w:sz w:val="22"/>
                <w:szCs w:val="22"/>
                <w:lang w:val="es-MX"/>
              </w:rPr>
              <w:t>4</w:t>
            </w:r>
          </w:p>
        </w:tc>
        <w:tc>
          <w:tcPr>
            <w:tcW w:w="9400" w:type="dxa"/>
          </w:tcPr>
          <w:p w14:paraId="1B38BF2E" w14:textId="77777777" w:rsidR="00561B22" w:rsidRPr="00977AC0" w:rsidRDefault="00561B22" w:rsidP="00F1223B">
            <w:pPr>
              <w:jc w:val="both"/>
              <w:rPr>
                <w:rFonts w:ascii="Arial" w:hAnsi="Arial" w:cs="Arial"/>
                <w:bCs/>
                <w:sz w:val="22"/>
                <w:szCs w:val="22"/>
                <w:lang w:val="es-MX"/>
              </w:rPr>
            </w:pPr>
            <w:r w:rsidRPr="00977AC0">
              <w:rPr>
                <w:rFonts w:ascii="Arial" w:hAnsi="Arial" w:cs="Arial"/>
                <w:bCs/>
                <w:sz w:val="22"/>
                <w:szCs w:val="22"/>
              </w:rPr>
              <w:t>Elaboración de indicadores de gestión y mapas de riesgos en las dependencias de producción de información contable para efectuar valoración y seguimiento con el fin de evitar materialización del riesgo</w:t>
            </w:r>
          </w:p>
        </w:tc>
      </w:tr>
    </w:tbl>
    <w:p w14:paraId="211F1D6B" w14:textId="77777777" w:rsidR="00561B22" w:rsidRPr="00977AC0" w:rsidRDefault="00561B22" w:rsidP="00561B22">
      <w:pPr>
        <w:pStyle w:val="Textoindependiente"/>
        <w:jc w:val="both"/>
        <w:rPr>
          <w:rFonts w:ascii="Arial" w:hAnsi="Arial" w:cs="Arial"/>
          <w:b/>
          <w:bCs/>
        </w:rPr>
      </w:pPr>
    </w:p>
    <w:p w14:paraId="41B86438" w14:textId="77777777" w:rsidR="00561B22" w:rsidRPr="00977AC0" w:rsidRDefault="00561B22" w:rsidP="00561B22">
      <w:pPr>
        <w:jc w:val="both"/>
        <w:rPr>
          <w:rFonts w:ascii="Arial" w:hAnsi="Arial" w:cs="Arial"/>
          <w:b/>
          <w:bCs/>
          <w:sz w:val="24"/>
          <w:szCs w:val="24"/>
          <w:lang w:val="es-CO"/>
        </w:rPr>
      </w:pPr>
      <w:r w:rsidRPr="00977AC0">
        <w:rPr>
          <w:rFonts w:ascii="Arial" w:hAnsi="Arial" w:cs="Arial"/>
          <w:b/>
          <w:bCs/>
          <w:sz w:val="24"/>
          <w:szCs w:val="24"/>
          <w:lang w:val="es-CO"/>
        </w:rPr>
        <w:t xml:space="preserve">NOTA: LA ENTIDAD ENVIA LA MATRIZ DE AUTOEVALUACIÓN DEL SISTEMA DE CONTROL INTERNO CONTABLE CON ACTIVIDADES DE CONTROL REALIZADAS </w:t>
      </w:r>
      <w:r w:rsidRPr="00977AC0">
        <w:rPr>
          <w:rFonts w:ascii="Arial" w:hAnsi="Arial" w:cs="Arial"/>
          <w:b/>
          <w:bCs/>
          <w:sz w:val="24"/>
          <w:szCs w:val="24"/>
          <w:u w:val="single"/>
          <w:lang w:val="es-CO"/>
        </w:rPr>
        <w:t>EN FORMA PARCIAL Y OTRAS SIMPLEMENTE INFORMAN QUE NO SE REALIZARON</w:t>
      </w:r>
      <w:r w:rsidRPr="00977AC0">
        <w:rPr>
          <w:rFonts w:ascii="Arial" w:hAnsi="Arial" w:cs="Arial"/>
          <w:b/>
          <w:bCs/>
          <w:sz w:val="24"/>
          <w:szCs w:val="24"/>
          <w:lang w:val="es-CO"/>
        </w:rPr>
        <w:t>.</w:t>
      </w:r>
    </w:p>
    <w:p w14:paraId="59E983B8" w14:textId="77777777" w:rsidR="00561B22" w:rsidRDefault="00561B22" w:rsidP="00561B22">
      <w:pPr>
        <w:jc w:val="both"/>
        <w:rPr>
          <w:rFonts w:ascii="Arial" w:hAnsi="Arial" w:cs="Arial"/>
          <w:b/>
          <w:bCs/>
          <w:lang w:val="es-CO"/>
        </w:rPr>
      </w:pPr>
    </w:p>
    <w:p w14:paraId="6E6F1FB4" w14:textId="77777777" w:rsidR="00561B22" w:rsidRPr="004943DE" w:rsidRDefault="00561B22" w:rsidP="00561B22">
      <w:pPr>
        <w:jc w:val="both"/>
        <w:rPr>
          <w:rFonts w:ascii="Arial" w:hAnsi="Arial" w:cs="Arial"/>
          <w:b/>
          <w:sz w:val="28"/>
          <w:szCs w:val="28"/>
          <w:lang w:val="es-MX"/>
        </w:rPr>
      </w:pPr>
      <w:r w:rsidRPr="004943DE">
        <w:rPr>
          <w:rFonts w:ascii="Arial" w:hAnsi="Arial" w:cs="Arial"/>
          <w:b/>
          <w:sz w:val="28"/>
          <w:szCs w:val="28"/>
          <w:lang w:val="es-MX"/>
        </w:rPr>
        <w:t>170.-</w:t>
      </w:r>
      <w:r w:rsidRPr="004943DE">
        <w:rPr>
          <w:rFonts w:ascii="Arial" w:eastAsiaTheme="minorHAnsi" w:hAnsi="Arial" w:cs="Arial"/>
          <w:b/>
          <w:sz w:val="32"/>
          <w:szCs w:val="32"/>
          <w:lang w:val="es-CO"/>
        </w:rPr>
        <w:t xml:space="preserve"> </w:t>
      </w:r>
      <w:r w:rsidRPr="004943DE">
        <w:rPr>
          <w:rFonts w:ascii="Arial" w:hAnsi="Arial" w:cs="Arial"/>
          <w:b/>
          <w:sz w:val="28"/>
          <w:szCs w:val="28"/>
          <w:lang w:val="es-CO"/>
        </w:rPr>
        <w:t>SOCIEDAD GEOGRÁFICA DE COLOMBIA - ACADEMIA DE CIENCIAS GEOGRÁFICAS</w:t>
      </w:r>
      <w:r w:rsidRPr="004943DE">
        <w:rPr>
          <w:rFonts w:ascii="Arial" w:hAnsi="Arial" w:cs="Arial"/>
          <w:b/>
          <w:sz w:val="28"/>
          <w:szCs w:val="28"/>
          <w:lang w:val="es-MX"/>
        </w:rPr>
        <w:t>.</w:t>
      </w:r>
    </w:p>
    <w:p w14:paraId="382031E1" w14:textId="77777777" w:rsidR="00561B22" w:rsidRPr="004943DE" w:rsidRDefault="00561B22" w:rsidP="00561B22">
      <w:pPr>
        <w:pStyle w:val="Textoindependiente"/>
        <w:ind w:right="-50"/>
        <w:jc w:val="both"/>
        <w:rPr>
          <w:rFonts w:ascii="Arial" w:hAnsi="Arial" w:cs="Arial"/>
          <w:b/>
          <w:sz w:val="28"/>
          <w:szCs w:val="28"/>
        </w:rPr>
      </w:pPr>
    </w:p>
    <w:p w14:paraId="46265762" w14:textId="77777777" w:rsidR="00561B22" w:rsidRPr="004943DE" w:rsidRDefault="00561B22" w:rsidP="00561B22">
      <w:pPr>
        <w:pStyle w:val="Textoindependiente"/>
        <w:ind w:right="-50"/>
        <w:jc w:val="center"/>
        <w:rPr>
          <w:rFonts w:ascii="Arial" w:hAnsi="Arial" w:cs="Arial"/>
          <w:b/>
          <w:bCs/>
        </w:rPr>
      </w:pPr>
      <w:r w:rsidRPr="004943DE">
        <w:rPr>
          <w:rFonts w:ascii="Arial" w:hAnsi="Arial" w:cs="Arial"/>
          <w:b/>
          <w:bCs/>
        </w:rPr>
        <w:t>INFORME DE LA AUTOCALIFICACIÓN DEL SISTEMA DE CONTROL INTERNO CONTABLE:</w:t>
      </w:r>
    </w:p>
    <w:p w14:paraId="47F331DA" w14:textId="77777777" w:rsidR="00561B22" w:rsidRPr="004943D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943DE" w14:paraId="55E44E1A" w14:textId="77777777" w:rsidTr="00F1223B">
        <w:tc>
          <w:tcPr>
            <w:tcW w:w="4981" w:type="dxa"/>
          </w:tcPr>
          <w:p w14:paraId="57CC5D92" w14:textId="77777777" w:rsidR="00561B22" w:rsidRPr="004943DE" w:rsidRDefault="00561B22" w:rsidP="00F1223B">
            <w:pPr>
              <w:jc w:val="center"/>
              <w:rPr>
                <w:rFonts w:ascii="Arial" w:hAnsi="Arial" w:cs="Arial"/>
                <w:b/>
                <w:sz w:val="22"/>
                <w:szCs w:val="22"/>
                <w:lang w:val="es-MX"/>
              </w:rPr>
            </w:pPr>
            <w:r w:rsidRPr="004943DE">
              <w:rPr>
                <w:rFonts w:ascii="Arial" w:hAnsi="Arial" w:cs="Arial"/>
                <w:b/>
                <w:sz w:val="22"/>
                <w:szCs w:val="22"/>
                <w:lang w:val="es-MX"/>
              </w:rPr>
              <w:t>AUTOCALIFICACIÓN</w:t>
            </w:r>
          </w:p>
        </w:tc>
        <w:tc>
          <w:tcPr>
            <w:tcW w:w="4981" w:type="dxa"/>
          </w:tcPr>
          <w:p w14:paraId="562EA106" w14:textId="77777777" w:rsidR="00561B22" w:rsidRPr="004943DE" w:rsidRDefault="00561B22" w:rsidP="00F1223B">
            <w:pPr>
              <w:jc w:val="center"/>
              <w:rPr>
                <w:rFonts w:ascii="Arial" w:hAnsi="Arial" w:cs="Arial"/>
                <w:b/>
                <w:sz w:val="22"/>
                <w:szCs w:val="22"/>
                <w:u w:val="single"/>
                <w:lang w:val="es-MX"/>
              </w:rPr>
            </w:pPr>
            <w:r w:rsidRPr="004943DE">
              <w:rPr>
                <w:rFonts w:ascii="Arial" w:hAnsi="Arial" w:cs="Arial"/>
                <w:b/>
                <w:sz w:val="22"/>
                <w:szCs w:val="22"/>
                <w:u w:val="single"/>
                <w:lang w:val="es-MX"/>
              </w:rPr>
              <w:t>4.98</w:t>
            </w:r>
          </w:p>
        </w:tc>
      </w:tr>
    </w:tbl>
    <w:p w14:paraId="32951D01" w14:textId="77777777" w:rsidR="00561B22" w:rsidRPr="004943DE" w:rsidRDefault="00561B22" w:rsidP="00561B22">
      <w:pPr>
        <w:pStyle w:val="Textoindependiente"/>
        <w:ind w:right="-50"/>
        <w:jc w:val="both"/>
        <w:rPr>
          <w:rFonts w:ascii="Arial" w:hAnsi="Arial" w:cs="Arial"/>
          <w:b/>
          <w:bCs/>
        </w:rPr>
      </w:pPr>
    </w:p>
    <w:p w14:paraId="1D8675E0" w14:textId="77777777" w:rsidR="00561B22" w:rsidRPr="004943DE" w:rsidRDefault="00561B22" w:rsidP="00561B22">
      <w:pPr>
        <w:pStyle w:val="Textoindependiente"/>
        <w:ind w:right="-50"/>
        <w:jc w:val="both"/>
        <w:rPr>
          <w:rFonts w:ascii="Arial" w:hAnsi="Arial" w:cs="Arial"/>
          <w:b/>
          <w:bCs/>
        </w:rPr>
      </w:pPr>
      <w:r w:rsidRPr="004943DE">
        <w:rPr>
          <w:rFonts w:ascii="Arial" w:hAnsi="Arial" w:cs="Arial"/>
          <w:b/>
          <w:bCs/>
        </w:rPr>
        <w:t>Del informe enviado retomamos lo siguiente:</w:t>
      </w:r>
    </w:p>
    <w:p w14:paraId="4A64C2EE" w14:textId="77777777" w:rsidR="00561B22" w:rsidRPr="004943D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943DE" w14:paraId="7DF3BC48" w14:textId="77777777" w:rsidTr="00F1223B">
        <w:tc>
          <w:tcPr>
            <w:tcW w:w="562" w:type="dxa"/>
          </w:tcPr>
          <w:p w14:paraId="1696F2EA" w14:textId="77777777" w:rsidR="00561B22" w:rsidRPr="004943DE" w:rsidRDefault="00561B22" w:rsidP="00F1223B">
            <w:pPr>
              <w:ind w:right="-109"/>
              <w:jc w:val="center"/>
              <w:rPr>
                <w:rFonts w:ascii="Arial" w:hAnsi="Arial" w:cs="Arial"/>
                <w:b/>
                <w:sz w:val="22"/>
                <w:szCs w:val="22"/>
                <w:lang w:val="es-MX"/>
              </w:rPr>
            </w:pPr>
            <w:r w:rsidRPr="004943DE">
              <w:rPr>
                <w:rFonts w:ascii="Arial" w:hAnsi="Arial" w:cs="Arial"/>
                <w:b/>
                <w:sz w:val="22"/>
                <w:szCs w:val="22"/>
                <w:lang w:val="es-MX"/>
              </w:rPr>
              <w:t>N°</w:t>
            </w:r>
          </w:p>
        </w:tc>
        <w:tc>
          <w:tcPr>
            <w:tcW w:w="9400" w:type="dxa"/>
          </w:tcPr>
          <w:p w14:paraId="37F1B54E" w14:textId="77777777" w:rsidR="00561B22" w:rsidRPr="004943DE" w:rsidRDefault="00561B22" w:rsidP="00F1223B">
            <w:pPr>
              <w:jc w:val="center"/>
              <w:rPr>
                <w:rFonts w:ascii="Arial" w:hAnsi="Arial" w:cs="Arial"/>
                <w:b/>
                <w:sz w:val="22"/>
                <w:szCs w:val="22"/>
                <w:lang w:val="es-MX"/>
              </w:rPr>
            </w:pPr>
            <w:r w:rsidRPr="004943DE">
              <w:rPr>
                <w:rFonts w:ascii="Arial" w:hAnsi="Arial" w:cs="Arial"/>
                <w:b/>
                <w:sz w:val="22"/>
                <w:szCs w:val="22"/>
                <w:lang w:val="es-MX"/>
              </w:rPr>
              <w:t>DEBILIDADES</w:t>
            </w:r>
          </w:p>
          <w:p w14:paraId="4EC530F3" w14:textId="77777777" w:rsidR="00561B22" w:rsidRPr="004943DE" w:rsidRDefault="00561B22" w:rsidP="00F1223B">
            <w:pPr>
              <w:jc w:val="center"/>
              <w:rPr>
                <w:rFonts w:ascii="Arial" w:hAnsi="Arial" w:cs="Arial"/>
                <w:b/>
                <w:sz w:val="22"/>
                <w:szCs w:val="22"/>
                <w:lang w:val="es-MX"/>
              </w:rPr>
            </w:pPr>
          </w:p>
        </w:tc>
      </w:tr>
      <w:tr w:rsidR="00561B22" w:rsidRPr="004943DE" w14:paraId="74E23628" w14:textId="77777777" w:rsidTr="00F1223B">
        <w:tc>
          <w:tcPr>
            <w:tcW w:w="562" w:type="dxa"/>
          </w:tcPr>
          <w:p w14:paraId="0A8B067A" w14:textId="77777777" w:rsidR="00561B22" w:rsidRPr="004943DE" w:rsidRDefault="00561B22" w:rsidP="00F1223B">
            <w:pPr>
              <w:jc w:val="center"/>
              <w:rPr>
                <w:rFonts w:ascii="Arial" w:hAnsi="Arial" w:cs="Arial"/>
                <w:b/>
                <w:sz w:val="22"/>
                <w:szCs w:val="22"/>
                <w:lang w:val="es-MX"/>
              </w:rPr>
            </w:pPr>
            <w:r w:rsidRPr="004943DE">
              <w:rPr>
                <w:rFonts w:ascii="Arial" w:hAnsi="Arial" w:cs="Arial"/>
                <w:b/>
                <w:sz w:val="22"/>
                <w:szCs w:val="22"/>
                <w:lang w:val="es-MX"/>
              </w:rPr>
              <w:t>1</w:t>
            </w:r>
          </w:p>
        </w:tc>
        <w:tc>
          <w:tcPr>
            <w:tcW w:w="9400" w:type="dxa"/>
          </w:tcPr>
          <w:p w14:paraId="12843497" w14:textId="77777777" w:rsidR="00561B22" w:rsidRPr="004943DE" w:rsidRDefault="00561B22" w:rsidP="00F1223B">
            <w:pPr>
              <w:rPr>
                <w:rFonts w:ascii="Arial" w:hAnsi="Arial" w:cs="Arial"/>
                <w:sz w:val="22"/>
                <w:szCs w:val="22"/>
                <w:lang w:val="es-MX"/>
              </w:rPr>
            </w:pPr>
            <w:r w:rsidRPr="004943DE">
              <w:rPr>
                <w:rFonts w:ascii="Arial" w:hAnsi="Arial" w:cs="Arial"/>
                <w:sz w:val="22"/>
                <w:szCs w:val="22"/>
                <w:lang w:val="es-CO"/>
              </w:rPr>
              <w:t>Falta más automatización en procesos contables</w:t>
            </w:r>
          </w:p>
        </w:tc>
      </w:tr>
    </w:tbl>
    <w:p w14:paraId="25448A4E" w14:textId="77777777" w:rsidR="00561B22" w:rsidRPr="004943DE" w:rsidRDefault="00561B22" w:rsidP="00561B22">
      <w:pPr>
        <w:pStyle w:val="Textoindependiente"/>
        <w:ind w:right="-50"/>
        <w:jc w:val="both"/>
        <w:rPr>
          <w:rFonts w:ascii="Arial" w:hAnsi="Arial" w:cs="Arial"/>
          <w:b/>
          <w:bCs/>
        </w:rPr>
      </w:pPr>
    </w:p>
    <w:p w14:paraId="517A89DB" w14:textId="77777777" w:rsidR="00561B22" w:rsidRPr="004943DE" w:rsidRDefault="00561B22" w:rsidP="00561B22">
      <w:pPr>
        <w:jc w:val="both"/>
        <w:rPr>
          <w:rFonts w:ascii="Arial" w:hAnsi="Arial" w:cs="Arial"/>
          <w:b/>
          <w:lang w:val="es-MX"/>
        </w:rPr>
      </w:pPr>
      <w:r w:rsidRPr="004943DE">
        <w:rPr>
          <w:rFonts w:ascii="Arial" w:hAnsi="Arial" w:cs="Arial"/>
          <w:b/>
          <w:lang w:val="es-MX"/>
        </w:rPr>
        <w:t>Del citado informe retomamos las siguientes recomendaciones:</w:t>
      </w:r>
    </w:p>
    <w:p w14:paraId="65078740" w14:textId="77777777" w:rsidR="00561B22" w:rsidRPr="004943DE"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4943DE" w14:paraId="4F067341" w14:textId="77777777" w:rsidTr="00F1223B">
        <w:tc>
          <w:tcPr>
            <w:tcW w:w="562" w:type="dxa"/>
          </w:tcPr>
          <w:p w14:paraId="6CDC8348" w14:textId="77777777" w:rsidR="00561B22" w:rsidRPr="004943DE" w:rsidRDefault="00561B22" w:rsidP="00F1223B">
            <w:pPr>
              <w:ind w:right="-109"/>
              <w:jc w:val="center"/>
              <w:rPr>
                <w:rFonts w:ascii="Arial" w:hAnsi="Arial" w:cs="Arial"/>
                <w:b/>
                <w:sz w:val="22"/>
                <w:szCs w:val="22"/>
                <w:lang w:val="es-MX"/>
              </w:rPr>
            </w:pPr>
            <w:r w:rsidRPr="004943DE">
              <w:rPr>
                <w:rFonts w:ascii="Arial" w:hAnsi="Arial" w:cs="Arial"/>
                <w:b/>
                <w:sz w:val="22"/>
                <w:szCs w:val="22"/>
                <w:lang w:val="es-MX"/>
              </w:rPr>
              <w:t>N°</w:t>
            </w:r>
          </w:p>
        </w:tc>
        <w:tc>
          <w:tcPr>
            <w:tcW w:w="9400" w:type="dxa"/>
          </w:tcPr>
          <w:p w14:paraId="62A5439C" w14:textId="77777777" w:rsidR="00561B22" w:rsidRPr="004943DE" w:rsidRDefault="00561B22" w:rsidP="00F1223B">
            <w:pPr>
              <w:jc w:val="center"/>
              <w:rPr>
                <w:rFonts w:ascii="Arial" w:hAnsi="Arial" w:cs="Arial"/>
                <w:b/>
                <w:sz w:val="22"/>
                <w:szCs w:val="22"/>
                <w:lang w:val="es-MX"/>
              </w:rPr>
            </w:pPr>
            <w:r w:rsidRPr="004943DE">
              <w:rPr>
                <w:rFonts w:ascii="Arial" w:hAnsi="Arial" w:cs="Arial"/>
                <w:b/>
                <w:sz w:val="22"/>
                <w:szCs w:val="22"/>
                <w:lang w:val="es-MX"/>
              </w:rPr>
              <w:t>RECOMENDACIONES</w:t>
            </w:r>
          </w:p>
          <w:p w14:paraId="791FAB95" w14:textId="77777777" w:rsidR="00561B22" w:rsidRPr="004943DE" w:rsidRDefault="00561B22" w:rsidP="00F1223B">
            <w:pPr>
              <w:jc w:val="center"/>
              <w:rPr>
                <w:rFonts w:ascii="Arial" w:hAnsi="Arial" w:cs="Arial"/>
                <w:b/>
                <w:sz w:val="22"/>
                <w:szCs w:val="22"/>
                <w:lang w:val="es-MX"/>
              </w:rPr>
            </w:pPr>
          </w:p>
        </w:tc>
      </w:tr>
      <w:tr w:rsidR="00561B22" w:rsidRPr="004943DE" w14:paraId="4FB767D7" w14:textId="77777777" w:rsidTr="00F1223B">
        <w:tc>
          <w:tcPr>
            <w:tcW w:w="562" w:type="dxa"/>
          </w:tcPr>
          <w:p w14:paraId="458075D4" w14:textId="77777777" w:rsidR="00561B22" w:rsidRPr="004943DE" w:rsidRDefault="00561B22" w:rsidP="00F1223B">
            <w:pPr>
              <w:jc w:val="center"/>
              <w:rPr>
                <w:rFonts w:ascii="Arial" w:hAnsi="Arial" w:cs="Arial"/>
                <w:b/>
                <w:sz w:val="22"/>
                <w:szCs w:val="22"/>
                <w:lang w:val="es-MX"/>
              </w:rPr>
            </w:pPr>
            <w:r w:rsidRPr="004943DE">
              <w:rPr>
                <w:rFonts w:ascii="Arial" w:hAnsi="Arial" w:cs="Arial"/>
                <w:b/>
                <w:sz w:val="22"/>
                <w:szCs w:val="22"/>
                <w:lang w:val="es-MX"/>
              </w:rPr>
              <w:t>1</w:t>
            </w:r>
          </w:p>
        </w:tc>
        <w:tc>
          <w:tcPr>
            <w:tcW w:w="9400" w:type="dxa"/>
          </w:tcPr>
          <w:p w14:paraId="6C353176" w14:textId="77777777" w:rsidR="00561B22" w:rsidRPr="004943DE" w:rsidRDefault="00561B22" w:rsidP="00F1223B">
            <w:pPr>
              <w:rPr>
                <w:rFonts w:ascii="Arial" w:hAnsi="Arial" w:cs="Arial"/>
                <w:sz w:val="22"/>
                <w:szCs w:val="22"/>
                <w:lang w:val="es-MX"/>
              </w:rPr>
            </w:pPr>
            <w:r w:rsidRPr="004943DE">
              <w:rPr>
                <w:rFonts w:ascii="Arial" w:hAnsi="Arial" w:cs="Arial"/>
                <w:sz w:val="22"/>
                <w:szCs w:val="22"/>
                <w:lang w:val="es-MX"/>
              </w:rPr>
              <w:t xml:space="preserve">Seguir </w:t>
            </w:r>
            <w:r w:rsidRPr="004943DE">
              <w:rPr>
                <w:rFonts w:ascii="Arial" w:hAnsi="Arial" w:cs="Arial"/>
                <w:sz w:val="22"/>
                <w:szCs w:val="22"/>
                <w:lang w:val="es-CO"/>
              </w:rPr>
              <w:t>cumpliendo con la constante mejora del proceso de control interno y aplicar acciones de mejora, actualizar la documentación de los procesos</w:t>
            </w:r>
          </w:p>
        </w:tc>
      </w:tr>
    </w:tbl>
    <w:p w14:paraId="4A177334" w14:textId="77777777" w:rsidR="00561B22" w:rsidRPr="004943DE" w:rsidRDefault="00561B22" w:rsidP="00561B22">
      <w:pPr>
        <w:jc w:val="both"/>
        <w:rPr>
          <w:rFonts w:ascii="Arial" w:hAnsi="Arial" w:cs="Arial"/>
          <w:b/>
          <w:bCs/>
          <w:sz w:val="24"/>
          <w:szCs w:val="24"/>
          <w:lang w:val="es-CO"/>
        </w:rPr>
      </w:pPr>
    </w:p>
    <w:p w14:paraId="00AB7267" w14:textId="77777777" w:rsidR="00561B22" w:rsidRPr="004943DE" w:rsidRDefault="00561B22" w:rsidP="00561B22">
      <w:pPr>
        <w:jc w:val="both"/>
        <w:rPr>
          <w:rFonts w:ascii="Arial" w:hAnsi="Arial" w:cs="Arial"/>
          <w:b/>
          <w:bCs/>
          <w:sz w:val="24"/>
          <w:szCs w:val="24"/>
          <w:lang w:val="es-CO"/>
        </w:rPr>
      </w:pPr>
      <w:r w:rsidRPr="004943DE">
        <w:rPr>
          <w:rFonts w:ascii="Arial" w:hAnsi="Arial" w:cs="Arial"/>
          <w:b/>
          <w:bCs/>
          <w:sz w:val="24"/>
          <w:szCs w:val="24"/>
          <w:lang w:val="es-CO"/>
        </w:rPr>
        <w:t xml:space="preserve">NOTA: LA ENTIDAD ENVIA LA MATRIZ DE AUTOEVALUACIÓN DEL SISTEMA DE CONTROL INTERNO CONTABLE CON </w:t>
      </w:r>
      <w:r w:rsidRPr="004943DE">
        <w:rPr>
          <w:rFonts w:ascii="Arial" w:hAnsi="Arial" w:cs="Arial"/>
          <w:b/>
          <w:bCs/>
          <w:sz w:val="24"/>
          <w:szCs w:val="24"/>
          <w:u w:val="single"/>
          <w:lang w:val="es-CO"/>
        </w:rPr>
        <w:t>ACTIVIDADES DE CONTROL REALIZADAS EN FORMA PARCIAL</w:t>
      </w:r>
      <w:r w:rsidRPr="004943DE">
        <w:rPr>
          <w:rFonts w:ascii="Arial" w:hAnsi="Arial" w:cs="Arial"/>
          <w:b/>
          <w:bCs/>
          <w:sz w:val="24"/>
          <w:szCs w:val="24"/>
          <w:lang w:val="es-CO"/>
        </w:rPr>
        <w:t>.</w:t>
      </w:r>
    </w:p>
    <w:p w14:paraId="4C508B18" w14:textId="77777777" w:rsidR="00561B22" w:rsidRPr="004943DE" w:rsidRDefault="00561B22" w:rsidP="00561B22">
      <w:pPr>
        <w:pStyle w:val="Textoindependiente"/>
        <w:ind w:right="-50"/>
        <w:jc w:val="both"/>
        <w:rPr>
          <w:rFonts w:ascii="Arial" w:hAnsi="Arial" w:cs="Arial"/>
          <w:b/>
          <w:bCs/>
          <w:sz w:val="28"/>
          <w:szCs w:val="28"/>
          <w:lang w:val="es-CO"/>
        </w:rPr>
      </w:pPr>
    </w:p>
    <w:p w14:paraId="48F501F8" w14:textId="77777777" w:rsidR="00561B22" w:rsidRPr="00455633" w:rsidRDefault="00561B22" w:rsidP="00561B22">
      <w:pPr>
        <w:jc w:val="both"/>
        <w:rPr>
          <w:rFonts w:ascii="Arial" w:hAnsi="Arial" w:cs="Arial"/>
          <w:b/>
          <w:sz w:val="28"/>
          <w:szCs w:val="28"/>
          <w:lang w:val="es-MX"/>
        </w:rPr>
      </w:pPr>
      <w:r w:rsidRPr="00455633">
        <w:rPr>
          <w:rFonts w:ascii="Arial" w:hAnsi="Arial" w:cs="Arial"/>
          <w:b/>
          <w:sz w:val="28"/>
          <w:szCs w:val="28"/>
          <w:lang w:val="es-MX"/>
        </w:rPr>
        <w:t>171.-</w:t>
      </w:r>
      <w:r w:rsidRPr="00455633">
        <w:rPr>
          <w:rFonts w:ascii="Arial" w:eastAsiaTheme="minorHAnsi" w:hAnsi="Arial" w:cs="Arial"/>
          <w:b/>
          <w:sz w:val="32"/>
          <w:szCs w:val="32"/>
          <w:lang w:val="es-MX"/>
        </w:rPr>
        <w:t xml:space="preserve"> </w:t>
      </w:r>
      <w:r w:rsidRPr="00455633">
        <w:rPr>
          <w:rFonts w:ascii="Arial" w:hAnsi="Arial" w:cs="Arial"/>
          <w:b/>
          <w:sz w:val="28"/>
          <w:szCs w:val="28"/>
          <w:lang w:val="es-MX"/>
        </w:rPr>
        <w:t>UNIVERSIDAD PEDAGÓGICA NACIONAL.</w:t>
      </w:r>
    </w:p>
    <w:p w14:paraId="7A595BC2" w14:textId="77777777" w:rsidR="00561B22" w:rsidRDefault="00561B22" w:rsidP="00561B22">
      <w:pPr>
        <w:jc w:val="both"/>
        <w:rPr>
          <w:rFonts w:ascii="Arial" w:hAnsi="Arial" w:cs="Arial"/>
          <w:b/>
          <w:bCs/>
          <w:lang w:val="es-CO"/>
        </w:rPr>
      </w:pPr>
    </w:p>
    <w:p w14:paraId="51222B6B" w14:textId="77777777" w:rsidR="00561B22" w:rsidRPr="00455633" w:rsidRDefault="00561B22" w:rsidP="00561B22">
      <w:pPr>
        <w:pStyle w:val="Textoindependiente"/>
        <w:jc w:val="center"/>
        <w:rPr>
          <w:rFonts w:ascii="Arial" w:hAnsi="Arial" w:cs="Arial"/>
          <w:b/>
          <w:bCs/>
        </w:rPr>
      </w:pPr>
      <w:r w:rsidRPr="00455633">
        <w:rPr>
          <w:rFonts w:ascii="Arial" w:hAnsi="Arial" w:cs="Arial"/>
          <w:b/>
          <w:bCs/>
        </w:rPr>
        <w:t>INFORME DE LA AUTOCALIFICACIÓN DEL SISTEMA DE CONTROL INTERNO CONTABLE:</w:t>
      </w:r>
    </w:p>
    <w:p w14:paraId="26E89126" w14:textId="77777777" w:rsidR="00561B22" w:rsidRPr="0045563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55633" w14:paraId="56787DEC" w14:textId="77777777" w:rsidTr="00F1223B">
        <w:tc>
          <w:tcPr>
            <w:tcW w:w="4981" w:type="dxa"/>
          </w:tcPr>
          <w:p w14:paraId="43151A26"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AUTOCALIFICACIÓN</w:t>
            </w:r>
          </w:p>
        </w:tc>
        <w:tc>
          <w:tcPr>
            <w:tcW w:w="4981" w:type="dxa"/>
          </w:tcPr>
          <w:p w14:paraId="1B98F840" w14:textId="77777777" w:rsidR="00561B22" w:rsidRPr="00455633" w:rsidRDefault="00561B22" w:rsidP="00F1223B">
            <w:pPr>
              <w:jc w:val="center"/>
              <w:rPr>
                <w:rFonts w:ascii="Arial" w:hAnsi="Arial" w:cs="Arial"/>
                <w:b/>
                <w:sz w:val="22"/>
                <w:szCs w:val="22"/>
                <w:u w:val="single"/>
                <w:lang w:val="es-MX"/>
              </w:rPr>
            </w:pPr>
            <w:r w:rsidRPr="00455633">
              <w:rPr>
                <w:rFonts w:ascii="Arial" w:hAnsi="Arial" w:cs="Arial"/>
                <w:b/>
                <w:sz w:val="22"/>
                <w:szCs w:val="22"/>
                <w:u w:val="single"/>
                <w:lang w:val="es-MX"/>
              </w:rPr>
              <w:t>5.00</w:t>
            </w:r>
          </w:p>
        </w:tc>
      </w:tr>
    </w:tbl>
    <w:p w14:paraId="6783BC4B" w14:textId="77777777" w:rsidR="00561B22" w:rsidRPr="00455633" w:rsidRDefault="00561B22" w:rsidP="00561B22">
      <w:pPr>
        <w:pStyle w:val="Textoindependiente"/>
        <w:ind w:right="-50"/>
        <w:jc w:val="both"/>
        <w:rPr>
          <w:rFonts w:ascii="Arial" w:hAnsi="Arial" w:cs="Arial"/>
          <w:b/>
          <w:bCs/>
        </w:rPr>
      </w:pPr>
    </w:p>
    <w:p w14:paraId="43DB8939" w14:textId="77777777" w:rsidR="00561B22" w:rsidRPr="00455633" w:rsidRDefault="00561B22" w:rsidP="00561B22">
      <w:pPr>
        <w:pStyle w:val="Textoindependiente"/>
        <w:ind w:right="-50"/>
        <w:jc w:val="both"/>
        <w:rPr>
          <w:rFonts w:ascii="Arial" w:hAnsi="Arial" w:cs="Arial"/>
          <w:b/>
          <w:bCs/>
        </w:rPr>
      </w:pPr>
      <w:r w:rsidRPr="00455633">
        <w:rPr>
          <w:rFonts w:ascii="Arial" w:hAnsi="Arial" w:cs="Arial"/>
          <w:b/>
          <w:bCs/>
        </w:rPr>
        <w:t>Del informe enviado retomamos lo siguiente:</w:t>
      </w:r>
    </w:p>
    <w:p w14:paraId="582C32D6" w14:textId="77777777" w:rsidR="00561B22" w:rsidRPr="0045563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55633" w14:paraId="2E81DFC0" w14:textId="77777777" w:rsidTr="00F1223B">
        <w:tc>
          <w:tcPr>
            <w:tcW w:w="562" w:type="dxa"/>
          </w:tcPr>
          <w:p w14:paraId="32A7217F" w14:textId="77777777" w:rsidR="00561B22" w:rsidRPr="00455633" w:rsidRDefault="00561B22" w:rsidP="00F1223B">
            <w:pPr>
              <w:ind w:right="-109"/>
              <w:jc w:val="center"/>
              <w:rPr>
                <w:rFonts w:ascii="Arial" w:hAnsi="Arial" w:cs="Arial"/>
                <w:b/>
                <w:sz w:val="22"/>
                <w:szCs w:val="22"/>
                <w:lang w:val="es-MX"/>
              </w:rPr>
            </w:pPr>
            <w:r w:rsidRPr="00455633">
              <w:rPr>
                <w:rFonts w:ascii="Arial" w:hAnsi="Arial" w:cs="Arial"/>
                <w:b/>
                <w:sz w:val="22"/>
                <w:szCs w:val="22"/>
                <w:lang w:val="es-MX"/>
              </w:rPr>
              <w:t>N°</w:t>
            </w:r>
          </w:p>
        </w:tc>
        <w:tc>
          <w:tcPr>
            <w:tcW w:w="9400" w:type="dxa"/>
          </w:tcPr>
          <w:p w14:paraId="50BCD23D"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DEBILIDADES</w:t>
            </w:r>
          </w:p>
          <w:p w14:paraId="76DA4479" w14:textId="77777777" w:rsidR="00561B22" w:rsidRPr="00455633" w:rsidRDefault="00561B22" w:rsidP="00F1223B">
            <w:pPr>
              <w:jc w:val="center"/>
              <w:rPr>
                <w:rFonts w:ascii="Arial" w:hAnsi="Arial" w:cs="Arial"/>
                <w:b/>
                <w:sz w:val="22"/>
                <w:szCs w:val="22"/>
                <w:lang w:val="es-MX"/>
              </w:rPr>
            </w:pPr>
          </w:p>
        </w:tc>
      </w:tr>
      <w:tr w:rsidR="00561B22" w:rsidRPr="00455633" w14:paraId="323FF63F" w14:textId="77777777" w:rsidTr="00F1223B">
        <w:tc>
          <w:tcPr>
            <w:tcW w:w="562" w:type="dxa"/>
          </w:tcPr>
          <w:p w14:paraId="4771A416"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1</w:t>
            </w:r>
          </w:p>
        </w:tc>
        <w:tc>
          <w:tcPr>
            <w:tcW w:w="9400" w:type="dxa"/>
          </w:tcPr>
          <w:p w14:paraId="6DB0C9F0" w14:textId="77777777" w:rsidR="00561B22" w:rsidRPr="00455633" w:rsidRDefault="00561B22" w:rsidP="00F1223B">
            <w:pPr>
              <w:jc w:val="both"/>
              <w:rPr>
                <w:rFonts w:ascii="Arial" w:hAnsi="Arial" w:cs="Arial"/>
                <w:sz w:val="22"/>
                <w:szCs w:val="22"/>
                <w:lang w:val="es-MX"/>
              </w:rPr>
            </w:pPr>
            <w:r w:rsidRPr="00455633">
              <w:rPr>
                <w:rFonts w:ascii="Arial" w:hAnsi="Arial" w:cs="Arial"/>
                <w:sz w:val="22"/>
                <w:szCs w:val="22"/>
              </w:rPr>
              <w:t>Es fundamental agilizar la integridad de los procedimientos para optimizar la eficiencia operativa y fortalecer la capacidad de respuesta de la Universidad.</w:t>
            </w:r>
          </w:p>
        </w:tc>
      </w:tr>
    </w:tbl>
    <w:p w14:paraId="5AD6A4AE" w14:textId="77777777" w:rsidR="00561B22" w:rsidRPr="00455633" w:rsidRDefault="00561B22" w:rsidP="00561B22">
      <w:pPr>
        <w:jc w:val="both"/>
        <w:rPr>
          <w:rFonts w:ascii="Arial" w:hAnsi="Arial" w:cs="Arial"/>
          <w:b/>
          <w:lang w:val="es-MX"/>
        </w:rPr>
      </w:pPr>
      <w:r w:rsidRPr="00455633">
        <w:rPr>
          <w:rFonts w:ascii="Arial" w:hAnsi="Arial" w:cs="Arial"/>
          <w:b/>
          <w:lang w:val="es-MX"/>
        </w:rPr>
        <w:t>Del citado informe retomamos las siguientes recomendaciones:</w:t>
      </w:r>
    </w:p>
    <w:p w14:paraId="77788039" w14:textId="77777777" w:rsidR="00561B22" w:rsidRPr="00455633"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55633" w14:paraId="2B1F0E25" w14:textId="77777777" w:rsidTr="00F1223B">
        <w:tc>
          <w:tcPr>
            <w:tcW w:w="562" w:type="dxa"/>
          </w:tcPr>
          <w:p w14:paraId="64DC02D1" w14:textId="77777777" w:rsidR="00561B22" w:rsidRPr="00455633" w:rsidRDefault="00561B22" w:rsidP="00F1223B">
            <w:pPr>
              <w:ind w:right="-109"/>
              <w:jc w:val="center"/>
              <w:rPr>
                <w:rFonts w:ascii="Arial" w:hAnsi="Arial" w:cs="Arial"/>
                <w:b/>
                <w:sz w:val="22"/>
                <w:szCs w:val="22"/>
                <w:lang w:val="es-MX"/>
              </w:rPr>
            </w:pPr>
            <w:r w:rsidRPr="00455633">
              <w:rPr>
                <w:rFonts w:ascii="Arial" w:hAnsi="Arial" w:cs="Arial"/>
                <w:b/>
                <w:sz w:val="22"/>
                <w:szCs w:val="22"/>
                <w:lang w:val="es-MX"/>
              </w:rPr>
              <w:t>N°</w:t>
            </w:r>
          </w:p>
        </w:tc>
        <w:tc>
          <w:tcPr>
            <w:tcW w:w="9400" w:type="dxa"/>
          </w:tcPr>
          <w:p w14:paraId="6764EC5B"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RECOMENDACIONES</w:t>
            </w:r>
          </w:p>
          <w:p w14:paraId="25CC567F" w14:textId="77777777" w:rsidR="00561B22" w:rsidRPr="00455633" w:rsidRDefault="00561B22" w:rsidP="00F1223B">
            <w:pPr>
              <w:jc w:val="center"/>
              <w:rPr>
                <w:rFonts w:ascii="Arial" w:hAnsi="Arial" w:cs="Arial"/>
                <w:b/>
                <w:sz w:val="22"/>
                <w:szCs w:val="22"/>
                <w:lang w:val="es-MX"/>
              </w:rPr>
            </w:pPr>
          </w:p>
        </w:tc>
      </w:tr>
      <w:tr w:rsidR="00561B22" w:rsidRPr="00455633" w14:paraId="00DF9B3B" w14:textId="77777777" w:rsidTr="00F1223B">
        <w:tc>
          <w:tcPr>
            <w:tcW w:w="562" w:type="dxa"/>
          </w:tcPr>
          <w:p w14:paraId="616E6A45"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1</w:t>
            </w:r>
          </w:p>
        </w:tc>
        <w:tc>
          <w:tcPr>
            <w:tcW w:w="9400" w:type="dxa"/>
          </w:tcPr>
          <w:p w14:paraId="63EFC82F" w14:textId="77777777" w:rsidR="00561B22" w:rsidRPr="00455633" w:rsidRDefault="00561B22" w:rsidP="00F1223B">
            <w:pPr>
              <w:jc w:val="both"/>
              <w:rPr>
                <w:rFonts w:ascii="Arial" w:hAnsi="Arial" w:cs="Arial"/>
                <w:sz w:val="22"/>
                <w:szCs w:val="22"/>
              </w:rPr>
            </w:pPr>
            <w:r w:rsidRPr="00455633">
              <w:rPr>
                <w:rFonts w:ascii="Arial" w:hAnsi="Arial" w:cs="Arial"/>
                <w:sz w:val="22"/>
                <w:szCs w:val="22"/>
              </w:rPr>
              <w:t xml:space="preserve">Mantener actualizada de manera continua la normatividad en función de los cambios que se presenten, y de las necesidades financieras de la universidad </w:t>
            </w:r>
            <w:r w:rsidRPr="00455633">
              <w:rPr>
                <w:rFonts w:ascii="Arial" w:hAnsi="Arial" w:cs="Arial"/>
                <w:sz w:val="22"/>
                <w:szCs w:val="22"/>
              </w:rPr>
              <w:br/>
            </w:r>
          </w:p>
        </w:tc>
      </w:tr>
      <w:tr w:rsidR="00561B22" w:rsidRPr="00455633" w14:paraId="136FAE67" w14:textId="77777777" w:rsidTr="00F1223B">
        <w:tc>
          <w:tcPr>
            <w:tcW w:w="562" w:type="dxa"/>
          </w:tcPr>
          <w:p w14:paraId="1D52C5FB"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2</w:t>
            </w:r>
          </w:p>
        </w:tc>
        <w:tc>
          <w:tcPr>
            <w:tcW w:w="9400" w:type="dxa"/>
          </w:tcPr>
          <w:p w14:paraId="0B81F3B9" w14:textId="77777777" w:rsidR="00561B22" w:rsidRPr="00455633" w:rsidRDefault="00561B22" w:rsidP="00F1223B">
            <w:pPr>
              <w:jc w:val="both"/>
              <w:rPr>
                <w:rFonts w:ascii="Arial" w:hAnsi="Arial" w:cs="Arial"/>
                <w:sz w:val="22"/>
                <w:szCs w:val="22"/>
                <w:lang w:val="es-MX"/>
              </w:rPr>
            </w:pPr>
            <w:r w:rsidRPr="00455633">
              <w:rPr>
                <w:rFonts w:ascii="Arial" w:hAnsi="Arial" w:cs="Arial"/>
                <w:sz w:val="22"/>
                <w:szCs w:val="22"/>
              </w:rPr>
              <w:t>Fomentar y sensibilizar a las áreas sobre la importancia del compromiso con la puntualidad y la integridad de la información, que es la base de los hechos económicos que impactan los Estados Financieros</w:t>
            </w:r>
          </w:p>
        </w:tc>
      </w:tr>
      <w:tr w:rsidR="00561B22" w:rsidRPr="00455633" w14:paraId="20755FC3" w14:textId="77777777" w:rsidTr="00F1223B">
        <w:tc>
          <w:tcPr>
            <w:tcW w:w="562" w:type="dxa"/>
          </w:tcPr>
          <w:p w14:paraId="3E826B5D" w14:textId="77777777" w:rsidR="00561B22" w:rsidRPr="00455633" w:rsidRDefault="00561B22" w:rsidP="00F1223B">
            <w:pPr>
              <w:jc w:val="center"/>
              <w:rPr>
                <w:rFonts w:ascii="Arial" w:hAnsi="Arial" w:cs="Arial"/>
                <w:b/>
                <w:sz w:val="22"/>
                <w:szCs w:val="22"/>
                <w:lang w:val="es-MX"/>
              </w:rPr>
            </w:pPr>
            <w:r w:rsidRPr="00455633">
              <w:rPr>
                <w:rFonts w:ascii="Arial" w:hAnsi="Arial" w:cs="Arial"/>
                <w:b/>
                <w:sz w:val="22"/>
                <w:szCs w:val="22"/>
                <w:lang w:val="es-MX"/>
              </w:rPr>
              <w:t>3</w:t>
            </w:r>
          </w:p>
        </w:tc>
        <w:tc>
          <w:tcPr>
            <w:tcW w:w="9400" w:type="dxa"/>
          </w:tcPr>
          <w:p w14:paraId="2C5DAAFC" w14:textId="77777777" w:rsidR="00561B22" w:rsidRPr="00455633" w:rsidRDefault="00561B22" w:rsidP="00F1223B">
            <w:pPr>
              <w:jc w:val="both"/>
              <w:rPr>
                <w:rFonts w:ascii="Arial" w:hAnsi="Arial" w:cs="Arial"/>
                <w:sz w:val="22"/>
                <w:szCs w:val="22"/>
                <w:lang w:val="es-MX"/>
              </w:rPr>
            </w:pPr>
            <w:r w:rsidRPr="00455633">
              <w:rPr>
                <w:rFonts w:ascii="Arial" w:hAnsi="Arial" w:cs="Arial"/>
                <w:sz w:val="22"/>
                <w:szCs w:val="22"/>
              </w:rPr>
              <w:t>Continuar con la actualización y el seguimiento de los riesgos financieros que afectan la calidad de la información financiera</w:t>
            </w:r>
          </w:p>
        </w:tc>
      </w:tr>
    </w:tbl>
    <w:p w14:paraId="51E789FD" w14:textId="77777777" w:rsidR="00561B22" w:rsidRPr="00455633" w:rsidRDefault="00561B22" w:rsidP="00561B22">
      <w:pPr>
        <w:pStyle w:val="Textoindependiente"/>
        <w:ind w:right="-50"/>
        <w:jc w:val="both"/>
        <w:rPr>
          <w:rFonts w:ascii="Arial" w:hAnsi="Arial" w:cs="Arial"/>
          <w:b/>
          <w:bCs/>
        </w:rPr>
      </w:pPr>
    </w:p>
    <w:p w14:paraId="3AA59A0F" w14:textId="77777777" w:rsidR="00561B22" w:rsidRPr="00EA427F" w:rsidRDefault="00561B22" w:rsidP="00561B22">
      <w:pPr>
        <w:jc w:val="both"/>
        <w:rPr>
          <w:rFonts w:ascii="Arial" w:hAnsi="Arial" w:cs="Arial"/>
          <w:b/>
          <w:sz w:val="32"/>
          <w:szCs w:val="32"/>
        </w:rPr>
      </w:pPr>
      <w:r w:rsidRPr="00EA427F">
        <w:rPr>
          <w:rFonts w:ascii="Arial" w:hAnsi="Arial" w:cs="Arial"/>
          <w:b/>
          <w:sz w:val="28"/>
          <w:szCs w:val="28"/>
          <w:lang w:val="es-MX"/>
        </w:rPr>
        <w:t>172.- POLICÍA NACIONAL.</w:t>
      </w:r>
    </w:p>
    <w:p w14:paraId="7E14018B" w14:textId="77777777" w:rsidR="00561B22" w:rsidRDefault="00561B22" w:rsidP="00561B22">
      <w:pPr>
        <w:ind w:left="284" w:right="-234"/>
        <w:jc w:val="both"/>
        <w:rPr>
          <w:rFonts w:ascii="Arial" w:hAnsi="Arial" w:cs="Arial"/>
          <w:b/>
          <w:sz w:val="24"/>
          <w:szCs w:val="24"/>
        </w:rPr>
      </w:pPr>
    </w:p>
    <w:p w14:paraId="608C385E" w14:textId="77777777" w:rsidR="00561B22" w:rsidRPr="00C87ED8" w:rsidRDefault="00561B22" w:rsidP="00561B22">
      <w:pPr>
        <w:pStyle w:val="Textoindependiente"/>
        <w:ind w:right="-50"/>
        <w:jc w:val="center"/>
        <w:rPr>
          <w:rFonts w:ascii="Arial" w:hAnsi="Arial" w:cs="Arial"/>
          <w:b/>
          <w:bCs/>
        </w:rPr>
      </w:pPr>
      <w:r w:rsidRPr="00C87ED8">
        <w:rPr>
          <w:rFonts w:ascii="Arial" w:hAnsi="Arial" w:cs="Arial"/>
          <w:b/>
          <w:bCs/>
        </w:rPr>
        <w:t>INFORME DE LA AUTOCALIFICACIÓN DEL SISTEMA DE CONTROL INTERNO CONTABLE:</w:t>
      </w:r>
    </w:p>
    <w:p w14:paraId="7E5B4630" w14:textId="77777777" w:rsidR="00561B22" w:rsidRPr="00C87ED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87ED8" w14:paraId="0098866C" w14:textId="77777777" w:rsidTr="00F1223B">
        <w:tc>
          <w:tcPr>
            <w:tcW w:w="4981" w:type="dxa"/>
          </w:tcPr>
          <w:p w14:paraId="0EA089B0"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AUTOCALIFICACIÓN</w:t>
            </w:r>
          </w:p>
        </w:tc>
        <w:tc>
          <w:tcPr>
            <w:tcW w:w="4981" w:type="dxa"/>
          </w:tcPr>
          <w:p w14:paraId="3FCEEE4B" w14:textId="77777777" w:rsidR="00561B22" w:rsidRPr="00C87ED8" w:rsidRDefault="00561B22" w:rsidP="00F1223B">
            <w:pPr>
              <w:jc w:val="center"/>
              <w:rPr>
                <w:rFonts w:ascii="Arial" w:hAnsi="Arial" w:cs="Arial"/>
                <w:b/>
                <w:sz w:val="22"/>
                <w:szCs w:val="22"/>
                <w:u w:val="single"/>
                <w:lang w:val="es-MX"/>
              </w:rPr>
            </w:pPr>
            <w:r w:rsidRPr="00C87ED8">
              <w:rPr>
                <w:rFonts w:ascii="Arial" w:hAnsi="Arial" w:cs="Arial"/>
                <w:b/>
                <w:sz w:val="22"/>
                <w:szCs w:val="22"/>
                <w:u w:val="single"/>
                <w:lang w:val="es-MX"/>
              </w:rPr>
              <w:t>4.82</w:t>
            </w:r>
          </w:p>
        </w:tc>
      </w:tr>
    </w:tbl>
    <w:p w14:paraId="7669822C" w14:textId="77777777" w:rsidR="00561B22" w:rsidRPr="00C87ED8" w:rsidRDefault="00561B22" w:rsidP="00561B22">
      <w:pPr>
        <w:pStyle w:val="Textoindependiente"/>
        <w:ind w:right="-50"/>
        <w:jc w:val="both"/>
        <w:rPr>
          <w:rFonts w:ascii="Arial" w:hAnsi="Arial" w:cs="Arial"/>
          <w:b/>
          <w:bCs/>
        </w:rPr>
      </w:pPr>
    </w:p>
    <w:p w14:paraId="48B3C0E1" w14:textId="77777777" w:rsidR="00561B22" w:rsidRPr="00C87ED8" w:rsidRDefault="00561B22" w:rsidP="00561B22">
      <w:pPr>
        <w:pStyle w:val="Textoindependiente"/>
        <w:ind w:right="-50"/>
        <w:jc w:val="both"/>
        <w:rPr>
          <w:rFonts w:ascii="Arial" w:hAnsi="Arial" w:cs="Arial"/>
          <w:b/>
          <w:bCs/>
        </w:rPr>
      </w:pPr>
      <w:r w:rsidRPr="00C87ED8">
        <w:rPr>
          <w:rFonts w:ascii="Arial" w:hAnsi="Arial" w:cs="Arial"/>
          <w:b/>
          <w:bCs/>
        </w:rPr>
        <w:t>Del informe enviado retomamos lo siguiente:</w:t>
      </w:r>
    </w:p>
    <w:p w14:paraId="32FB5686" w14:textId="77777777" w:rsidR="00561B22" w:rsidRPr="00C87ED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87ED8" w14:paraId="6F4EDABF" w14:textId="77777777" w:rsidTr="00F1223B">
        <w:tc>
          <w:tcPr>
            <w:tcW w:w="562" w:type="dxa"/>
          </w:tcPr>
          <w:p w14:paraId="6F3323E6" w14:textId="77777777" w:rsidR="00561B22" w:rsidRPr="00C87ED8" w:rsidRDefault="00561B22" w:rsidP="00F1223B">
            <w:pPr>
              <w:ind w:right="-109"/>
              <w:jc w:val="center"/>
              <w:rPr>
                <w:rFonts w:ascii="Arial" w:hAnsi="Arial" w:cs="Arial"/>
                <w:b/>
                <w:sz w:val="22"/>
                <w:szCs w:val="22"/>
                <w:lang w:val="es-MX"/>
              </w:rPr>
            </w:pPr>
            <w:r w:rsidRPr="00C87ED8">
              <w:rPr>
                <w:rFonts w:ascii="Arial" w:hAnsi="Arial" w:cs="Arial"/>
                <w:b/>
                <w:sz w:val="22"/>
                <w:szCs w:val="22"/>
                <w:lang w:val="es-MX"/>
              </w:rPr>
              <w:t>N°</w:t>
            </w:r>
          </w:p>
        </w:tc>
        <w:tc>
          <w:tcPr>
            <w:tcW w:w="9400" w:type="dxa"/>
          </w:tcPr>
          <w:p w14:paraId="17F52ADD"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DEBILIDADES</w:t>
            </w:r>
          </w:p>
          <w:p w14:paraId="337A20F3" w14:textId="77777777" w:rsidR="00561B22" w:rsidRPr="00C87ED8" w:rsidRDefault="00561B22" w:rsidP="00F1223B">
            <w:pPr>
              <w:jc w:val="center"/>
              <w:rPr>
                <w:rFonts w:ascii="Arial" w:hAnsi="Arial" w:cs="Arial"/>
                <w:b/>
                <w:sz w:val="22"/>
                <w:szCs w:val="22"/>
                <w:lang w:val="es-MX"/>
              </w:rPr>
            </w:pPr>
          </w:p>
        </w:tc>
      </w:tr>
      <w:tr w:rsidR="00561B22" w:rsidRPr="00C87ED8" w14:paraId="7568D6B5" w14:textId="77777777" w:rsidTr="00F1223B">
        <w:tc>
          <w:tcPr>
            <w:tcW w:w="562" w:type="dxa"/>
          </w:tcPr>
          <w:p w14:paraId="3F2AD4BD"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1</w:t>
            </w:r>
          </w:p>
        </w:tc>
        <w:tc>
          <w:tcPr>
            <w:tcW w:w="9400" w:type="dxa"/>
          </w:tcPr>
          <w:p w14:paraId="69301A2B"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 xml:space="preserve">Frente a la efectividad de los procedimientos, las guías o los lineamientos implementados para realizar periódicamente inventarios y cruces de información, para verificar la existencia de activos y pasivos, </w:t>
            </w:r>
          </w:p>
        </w:tc>
      </w:tr>
      <w:tr w:rsidR="00561B22" w:rsidRPr="00C87ED8" w14:paraId="7CF7931B" w14:textId="77777777" w:rsidTr="00F1223B">
        <w:tc>
          <w:tcPr>
            <w:tcW w:w="562" w:type="dxa"/>
          </w:tcPr>
          <w:p w14:paraId="5201DDF5"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2</w:t>
            </w:r>
          </w:p>
        </w:tc>
        <w:tc>
          <w:tcPr>
            <w:tcW w:w="9400" w:type="dxa"/>
          </w:tcPr>
          <w:p w14:paraId="2CACD1C1"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 xml:space="preserve">Se evidenciaron debilidades en unidades policiales a nivel nacional, toda vez, que se presentaron inconsistencias en el reconocimiento de los hechos económicos. </w:t>
            </w:r>
          </w:p>
        </w:tc>
      </w:tr>
      <w:tr w:rsidR="00561B22" w:rsidRPr="00C87ED8" w14:paraId="40401410" w14:textId="77777777" w:rsidTr="00F1223B">
        <w:tc>
          <w:tcPr>
            <w:tcW w:w="562" w:type="dxa"/>
          </w:tcPr>
          <w:p w14:paraId="40D36347"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3</w:t>
            </w:r>
          </w:p>
        </w:tc>
        <w:tc>
          <w:tcPr>
            <w:tcW w:w="9400" w:type="dxa"/>
          </w:tcPr>
          <w:p w14:paraId="08946700"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Así mismo, se evidenciaron debilidades en la supervisión, depuración y análisis financiero de las cuentas, originando como consecuencia la inexactitud de la información financiera y contable, derivando en observaciones por parte de órganos de control.</w:t>
            </w:r>
          </w:p>
        </w:tc>
      </w:tr>
    </w:tbl>
    <w:p w14:paraId="754E71F7" w14:textId="77777777" w:rsidR="00561B22" w:rsidRPr="00C87ED8" w:rsidRDefault="00561B22" w:rsidP="00561B22">
      <w:pPr>
        <w:pStyle w:val="Textoindependiente"/>
        <w:ind w:right="-50"/>
        <w:jc w:val="both"/>
        <w:rPr>
          <w:rFonts w:ascii="Arial" w:hAnsi="Arial" w:cs="Arial"/>
          <w:b/>
          <w:bCs/>
        </w:rPr>
      </w:pPr>
    </w:p>
    <w:p w14:paraId="5D770DDC" w14:textId="77777777" w:rsidR="00561B22" w:rsidRPr="00C87ED8" w:rsidRDefault="00561B22" w:rsidP="00561B22">
      <w:pPr>
        <w:jc w:val="both"/>
        <w:rPr>
          <w:rFonts w:ascii="Arial" w:hAnsi="Arial" w:cs="Arial"/>
          <w:b/>
          <w:lang w:val="es-MX"/>
        </w:rPr>
      </w:pPr>
      <w:r w:rsidRPr="00C87ED8">
        <w:rPr>
          <w:rFonts w:ascii="Arial" w:hAnsi="Arial" w:cs="Arial"/>
          <w:b/>
          <w:lang w:val="es-MX"/>
        </w:rPr>
        <w:t>Del citado informe retomamos las siguientes recomendaciones:</w:t>
      </w:r>
    </w:p>
    <w:p w14:paraId="3B5B97F3" w14:textId="77777777" w:rsidR="00561B22" w:rsidRPr="00C87ED8"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C87ED8" w14:paraId="7B591DD6" w14:textId="77777777" w:rsidTr="00F1223B">
        <w:tc>
          <w:tcPr>
            <w:tcW w:w="562" w:type="dxa"/>
          </w:tcPr>
          <w:p w14:paraId="43E115C0" w14:textId="77777777" w:rsidR="00561B22" w:rsidRPr="00C87ED8" w:rsidRDefault="00561B22" w:rsidP="00F1223B">
            <w:pPr>
              <w:ind w:right="-109"/>
              <w:jc w:val="center"/>
              <w:rPr>
                <w:rFonts w:ascii="Arial" w:hAnsi="Arial" w:cs="Arial"/>
                <w:b/>
                <w:sz w:val="22"/>
                <w:szCs w:val="22"/>
                <w:lang w:val="es-MX"/>
              </w:rPr>
            </w:pPr>
            <w:r w:rsidRPr="00C87ED8">
              <w:rPr>
                <w:rFonts w:ascii="Arial" w:hAnsi="Arial" w:cs="Arial"/>
                <w:b/>
                <w:sz w:val="22"/>
                <w:szCs w:val="22"/>
                <w:lang w:val="es-MX"/>
              </w:rPr>
              <w:t>N°</w:t>
            </w:r>
          </w:p>
        </w:tc>
        <w:tc>
          <w:tcPr>
            <w:tcW w:w="9400" w:type="dxa"/>
          </w:tcPr>
          <w:p w14:paraId="2D0C43BD"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RECOMENDACIONES</w:t>
            </w:r>
          </w:p>
          <w:p w14:paraId="4A8F6D18" w14:textId="77777777" w:rsidR="00561B22" w:rsidRPr="00C87ED8" w:rsidRDefault="00561B22" w:rsidP="00F1223B">
            <w:pPr>
              <w:jc w:val="center"/>
              <w:rPr>
                <w:rFonts w:ascii="Arial" w:hAnsi="Arial" w:cs="Arial"/>
                <w:b/>
                <w:sz w:val="22"/>
                <w:szCs w:val="22"/>
                <w:lang w:val="es-MX"/>
              </w:rPr>
            </w:pPr>
          </w:p>
        </w:tc>
      </w:tr>
      <w:tr w:rsidR="00561B22" w:rsidRPr="00C87ED8" w14:paraId="2F915E9C" w14:textId="77777777" w:rsidTr="00F1223B">
        <w:tc>
          <w:tcPr>
            <w:tcW w:w="562" w:type="dxa"/>
          </w:tcPr>
          <w:p w14:paraId="24DA9F11"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1</w:t>
            </w:r>
          </w:p>
        </w:tc>
        <w:tc>
          <w:tcPr>
            <w:tcW w:w="9400" w:type="dxa"/>
          </w:tcPr>
          <w:p w14:paraId="7215209F"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 xml:space="preserve">Fortalecer la Oficina de Contaduría General, mediante la incorporación de personal idóneo, en atención a la dinámica institucional genera la necesidad de creación de nuevas unidades ordenadoras del gasto, las cuales para la vigencia 2024 se presentaban 54 (42 Gestión General, 11 Gestión Educativa y 1 Gestión Salud) y para la vigencia 2025 incrementa a 58 (43 Gestión General, 14 Gestión Educación y 1 Gestión Salud), generando una carga laboral más alta. </w:t>
            </w:r>
          </w:p>
        </w:tc>
      </w:tr>
      <w:tr w:rsidR="00561B22" w:rsidRPr="00C87ED8" w14:paraId="3FCA0191" w14:textId="77777777" w:rsidTr="00F1223B">
        <w:tc>
          <w:tcPr>
            <w:tcW w:w="562" w:type="dxa"/>
          </w:tcPr>
          <w:p w14:paraId="76E76168"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2</w:t>
            </w:r>
          </w:p>
        </w:tc>
        <w:tc>
          <w:tcPr>
            <w:tcW w:w="9400" w:type="dxa"/>
          </w:tcPr>
          <w:p w14:paraId="2590D1B6"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 xml:space="preserve">Garantizar que las unidades de policía que suministran información a los Estados Contables de la institución, realicen el debido diligenciamiento y entrega oportuna de la cuenta fiscal, con las firmas y soportes que la justifiquen, como se encuentra en la Suite Visión Empresarial. </w:t>
            </w:r>
          </w:p>
        </w:tc>
      </w:tr>
      <w:tr w:rsidR="00561B22" w:rsidRPr="00C87ED8" w14:paraId="23DE4591" w14:textId="77777777" w:rsidTr="00F1223B">
        <w:tc>
          <w:tcPr>
            <w:tcW w:w="562" w:type="dxa"/>
          </w:tcPr>
          <w:p w14:paraId="43AAF855"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3</w:t>
            </w:r>
          </w:p>
        </w:tc>
        <w:tc>
          <w:tcPr>
            <w:tcW w:w="9400" w:type="dxa"/>
          </w:tcPr>
          <w:p w14:paraId="1105BADC"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 xml:space="preserve">Se sugiere que la Oficina de Contaduría General de la Policía Nacional, adopte medidas de seguimiento para corregir el incumplimiento de los indicadores contables por parte de las unidades con delegación del gasto, a fin de garantizar su efectividad conforme a la normatividad vigente. </w:t>
            </w:r>
          </w:p>
        </w:tc>
      </w:tr>
      <w:tr w:rsidR="00561B22" w:rsidRPr="00C87ED8" w14:paraId="740C44B1" w14:textId="77777777" w:rsidTr="00F1223B">
        <w:tc>
          <w:tcPr>
            <w:tcW w:w="562" w:type="dxa"/>
          </w:tcPr>
          <w:p w14:paraId="211F95A2" w14:textId="77777777" w:rsidR="00561B22" w:rsidRPr="00C87ED8" w:rsidRDefault="00561B22" w:rsidP="00F1223B">
            <w:pPr>
              <w:jc w:val="center"/>
              <w:rPr>
                <w:rFonts w:ascii="Arial" w:hAnsi="Arial" w:cs="Arial"/>
                <w:b/>
                <w:sz w:val="22"/>
                <w:szCs w:val="22"/>
                <w:lang w:val="es-MX"/>
              </w:rPr>
            </w:pPr>
            <w:r w:rsidRPr="00C87ED8">
              <w:rPr>
                <w:rFonts w:ascii="Arial" w:hAnsi="Arial" w:cs="Arial"/>
                <w:b/>
                <w:sz w:val="22"/>
                <w:szCs w:val="22"/>
                <w:lang w:val="es-MX"/>
              </w:rPr>
              <w:t>4</w:t>
            </w:r>
          </w:p>
        </w:tc>
        <w:tc>
          <w:tcPr>
            <w:tcW w:w="9400" w:type="dxa"/>
          </w:tcPr>
          <w:p w14:paraId="53BC260B" w14:textId="77777777" w:rsidR="00561B22" w:rsidRPr="00C87ED8" w:rsidRDefault="00561B22" w:rsidP="00F1223B">
            <w:pPr>
              <w:jc w:val="both"/>
              <w:rPr>
                <w:rFonts w:ascii="Arial" w:hAnsi="Arial" w:cs="Arial"/>
                <w:b/>
                <w:sz w:val="22"/>
                <w:szCs w:val="22"/>
                <w:lang w:val="es-MX"/>
              </w:rPr>
            </w:pPr>
            <w:r w:rsidRPr="00C87ED8">
              <w:rPr>
                <w:rFonts w:ascii="Arial" w:hAnsi="Arial" w:cs="Arial"/>
                <w:sz w:val="22"/>
                <w:szCs w:val="22"/>
              </w:rPr>
              <w:t>Adelantar estrategias que permitan la continuidad y estabilidad del personal asignado a los grupos de contabilidad de las unidades policiales, para evitar la rotación de personal por profesionales sin las competencias de educación, formación y experiencia.</w:t>
            </w:r>
          </w:p>
        </w:tc>
      </w:tr>
    </w:tbl>
    <w:p w14:paraId="15B42C32" w14:textId="77777777" w:rsidR="00561B22" w:rsidRPr="00C87ED8" w:rsidRDefault="00561B22" w:rsidP="00561B22">
      <w:pPr>
        <w:pStyle w:val="Textoindependiente"/>
        <w:ind w:right="-50"/>
        <w:jc w:val="both"/>
        <w:rPr>
          <w:rFonts w:ascii="Arial" w:hAnsi="Arial" w:cs="Arial"/>
          <w:b/>
          <w:bCs/>
          <w:sz w:val="28"/>
          <w:szCs w:val="28"/>
        </w:rPr>
      </w:pPr>
    </w:p>
    <w:p w14:paraId="3C10313D" w14:textId="77777777" w:rsidR="00561B22" w:rsidRPr="00C87ED8" w:rsidRDefault="00561B22" w:rsidP="00561B22">
      <w:pPr>
        <w:jc w:val="both"/>
        <w:rPr>
          <w:rFonts w:ascii="Arial" w:hAnsi="Arial" w:cs="Arial"/>
          <w:b/>
          <w:bCs/>
          <w:sz w:val="24"/>
          <w:szCs w:val="24"/>
          <w:lang w:val="es-CO"/>
        </w:rPr>
      </w:pPr>
      <w:r w:rsidRPr="00C87ED8">
        <w:rPr>
          <w:rFonts w:ascii="Arial" w:hAnsi="Arial" w:cs="Arial"/>
          <w:b/>
          <w:bCs/>
          <w:sz w:val="24"/>
          <w:szCs w:val="24"/>
          <w:lang w:val="es-CO"/>
        </w:rPr>
        <w:t xml:space="preserve">NOTA: LA ENTIDAD ENVIA LA MATRIZ DE AUTOEVALUACIÓN DEL SISTEMA DE CONTROL INTERNO CONTABLE CON </w:t>
      </w:r>
      <w:r w:rsidRPr="00C87ED8">
        <w:rPr>
          <w:rFonts w:ascii="Arial" w:hAnsi="Arial" w:cs="Arial"/>
          <w:b/>
          <w:bCs/>
          <w:sz w:val="24"/>
          <w:szCs w:val="24"/>
          <w:u w:val="single"/>
          <w:lang w:val="es-CO"/>
        </w:rPr>
        <w:t>ACTIVIDADES DE CONTROL REALIZADAS EN FORMA PARCIAL</w:t>
      </w:r>
      <w:r w:rsidRPr="00C87ED8">
        <w:rPr>
          <w:rFonts w:ascii="Arial" w:hAnsi="Arial" w:cs="Arial"/>
          <w:b/>
          <w:bCs/>
          <w:sz w:val="24"/>
          <w:szCs w:val="24"/>
          <w:lang w:val="es-CO"/>
        </w:rPr>
        <w:t>.</w:t>
      </w:r>
    </w:p>
    <w:p w14:paraId="543DB80B" w14:textId="77777777" w:rsidR="00561B22" w:rsidRDefault="00561B22" w:rsidP="00561B22">
      <w:pPr>
        <w:jc w:val="both"/>
        <w:rPr>
          <w:rFonts w:ascii="Arial" w:hAnsi="Arial" w:cs="Arial"/>
          <w:b/>
          <w:bCs/>
          <w:lang w:val="es-CO"/>
        </w:rPr>
      </w:pPr>
    </w:p>
    <w:p w14:paraId="5ECA5164" w14:textId="77777777" w:rsidR="00561B22" w:rsidRPr="00BB6F67" w:rsidRDefault="00561B22" w:rsidP="00561B22">
      <w:pPr>
        <w:jc w:val="both"/>
        <w:rPr>
          <w:rFonts w:ascii="Arial" w:hAnsi="Arial" w:cs="Arial"/>
          <w:b/>
          <w:sz w:val="28"/>
          <w:szCs w:val="28"/>
          <w:lang w:val="es-MX"/>
        </w:rPr>
      </w:pPr>
      <w:r w:rsidRPr="00BB6F67">
        <w:rPr>
          <w:rFonts w:ascii="Arial" w:hAnsi="Arial" w:cs="Arial"/>
          <w:b/>
          <w:sz w:val="28"/>
          <w:szCs w:val="28"/>
          <w:lang w:val="es-MX"/>
        </w:rPr>
        <w:t>173.- FONDO NACIONAL DE GARANTÍAS S.A. – FNG.</w:t>
      </w:r>
    </w:p>
    <w:p w14:paraId="12A1498A" w14:textId="77777777" w:rsidR="00561B22" w:rsidRDefault="00561B22" w:rsidP="00561B22">
      <w:pPr>
        <w:jc w:val="both"/>
        <w:rPr>
          <w:rFonts w:ascii="Arial" w:hAnsi="Arial" w:cs="Arial"/>
          <w:b/>
          <w:bCs/>
          <w:lang w:val="es-MX"/>
        </w:rPr>
      </w:pPr>
    </w:p>
    <w:p w14:paraId="508EEF4D" w14:textId="77777777" w:rsidR="00561B22" w:rsidRPr="007E1A29" w:rsidRDefault="00561B22" w:rsidP="00561B22">
      <w:pPr>
        <w:pStyle w:val="Textoindependiente"/>
        <w:jc w:val="center"/>
        <w:rPr>
          <w:rFonts w:ascii="Arial" w:hAnsi="Arial" w:cs="Arial"/>
          <w:b/>
          <w:bCs/>
        </w:rPr>
      </w:pPr>
      <w:r w:rsidRPr="007E1A29">
        <w:rPr>
          <w:rFonts w:ascii="Arial" w:hAnsi="Arial" w:cs="Arial"/>
          <w:b/>
          <w:bCs/>
        </w:rPr>
        <w:t>INFORME DE LA AUTOCALIFICACIÓN DEL SISTEMA DE CONTROL INTERNO CONTABLE:</w:t>
      </w:r>
    </w:p>
    <w:p w14:paraId="167F3158" w14:textId="77777777" w:rsidR="00561B22" w:rsidRPr="007E1A2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E1A29" w14:paraId="2628EEDD" w14:textId="77777777" w:rsidTr="00F1223B">
        <w:tc>
          <w:tcPr>
            <w:tcW w:w="4981" w:type="dxa"/>
          </w:tcPr>
          <w:p w14:paraId="2894C4AD"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AUTOCALIFICACIÓN</w:t>
            </w:r>
          </w:p>
        </w:tc>
        <w:tc>
          <w:tcPr>
            <w:tcW w:w="4981" w:type="dxa"/>
          </w:tcPr>
          <w:p w14:paraId="6E49F42A" w14:textId="77777777" w:rsidR="00561B22" w:rsidRPr="007E1A29" w:rsidRDefault="00561B22" w:rsidP="00F1223B">
            <w:pPr>
              <w:jc w:val="center"/>
              <w:rPr>
                <w:rFonts w:ascii="Arial" w:hAnsi="Arial" w:cs="Arial"/>
                <w:b/>
                <w:sz w:val="22"/>
                <w:szCs w:val="22"/>
                <w:u w:val="single"/>
                <w:lang w:val="es-MX"/>
              </w:rPr>
            </w:pPr>
            <w:r w:rsidRPr="007E1A29">
              <w:rPr>
                <w:rFonts w:ascii="Arial" w:hAnsi="Arial" w:cs="Arial"/>
                <w:b/>
                <w:sz w:val="22"/>
                <w:szCs w:val="22"/>
                <w:u w:val="single"/>
                <w:lang w:val="es-MX"/>
              </w:rPr>
              <w:t>4.95</w:t>
            </w:r>
          </w:p>
        </w:tc>
      </w:tr>
    </w:tbl>
    <w:p w14:paraId="0B6054A7" w14:textId="77777777" w:rsidR="00561B22" w:rsidRPr="007E1A29" w:rsidRDefault="00561B22" w:rsidP="00561B22">
      <w:pPr>
        <w:pStyle w:val="Textoindependiente"/>
        <w:jc w:val="both"/>
        <w:rPr>
          <w:rFonts w:ascii="Arial" w:hAnsi="Arial" w:cs="Arial"/>
          <w:b/>
          <w:bCs/>
        </w:rPr>
      </w:pPr>
    </w:p>
    <w:p w14:paraId="099C3F45" w14:textId="77777777" w:rsidR="00561B22" w:rsidRPr="007E1A29" w:rsidRDefault="00561B22" w:rsidP="00561B22">
      <w:pPr>
        <w:pStyle w:val="Textoindependiente"/>
        <w:jc w:val="both"/>
        <w:rPr>
          <w:rFonts w:ascii="Arial" w:hAnsi="Arial" w:cs="Arial"/>
          <w:b/>
          <w:bCs/>
        </w:rPr>
      </w:pPr>
      <w:r w:rsidRPr="007E1A29">
        <w:rPr>
          <w:rFonts w:ascii="Arial" w:hAnsi="Arial" w:cs="Arial"/>
          <w:b/>
          <w:bCs/>
        </w:rPr>
        <w:t>Del informe enviado retomamos lo siguiente:</w:t>
      </w:r>
    </w:p>
    <w:p w14:paraId="4A34012C" w14:textId="77777777" w:rsidR="00561B22" w:rsidRPr="007E1A2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E1A29" w14:paraId="60C894DA" w14:textId="77777777" w:rsidTr="00F1223B">
        <w:tc>
          <w:tcPr>
            <w:tcW w:w="562" w:type="dxa"/>
          </w:tcPr>
          <w:p w14:paraId="481DDD49"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N°</w:t>
            </w:r>
          </w:p>
        </w:tc>
        <w:tc>
          <w:tcPr>
            <w:tcW w:w="9400" w:type="dxa"/>
          </w:tcPr>
          <w:p w14:paraId="3CBF0D5D"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DEBILIDADES</w:t>
            </w:r>
          </w:p>
          <w:p w14:paraId="08708C72" w14:textId="77777777" w:rsidR="00561B22" w:rsidRPr="007E1A29" w:rsidRDefault="00561B22" w:rsidP="00F1223B">
            <w:pPr>
              <w:jc w:val="center"/>
              <w:rPr>
                <w:rFonts w:ascii="Arial" w:hAnsi="Arial" w:cs="Arial"/>
                <w:b/>
                <w:sz w:val="22"/>
                <w:szCs w:val="22"/>
                <w:lang w:val="es-MX"/>
              </w:rPr>
            </w:pPr>
          </w:p>
        </w:tc>
      </w:tr>
      <w:tr w:rsidR="00561B22" w:rsidRPr="007E1A29" w14:paraId="510B88A9" w14:textId="77777777" w:rsidTr="00F1223B">
        <w:tc>
          <w:tcPr>
            <w:tcW w:w="562" w:type="dxa"/>
          </w:tcPr>
          <w:p w14:paraId="0A036C2E"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lastRenderedPageBreak/>
              <w:t>1</w:t>
            </w:r>
          </w:p>
        </w:tc>
        <w:tc>
          <w:tcPr>
            <w:tcW w:w="9400" w:type="dxa"/>
          </w:tcPr>
          <w:p w14:paraId="4059D34A" w14:textId="77777777" w:rsidR="00561B22" w:rsidRPr="007E1A29" w:rsidRDefault="00561B22" w:rsidP="00F1223B">
            <w:pPr>
              <w:jc w:val="both"/>
              <w:rPr>
                <w:rFonts w:ascii="Arial" w:hAnsi="Arial" w:cs="Arial"/>
                <w:bCs/>
                <w:sz w:val="22"/>
                <w:szCs w:val="22"/>
                <w:lang w:val="es-MX"/>
              </w:rPr>
            </w:pPr>
            <w:r w:rsidRPr="007E1A29">
              <w:rPr>
                <w:rFonts w:ascii="Arial" w:hAnsi="Arial" w:cs="Arial"/>
                <w:bCs/>
                <w:sz w:val="22"/>
                <w:szCs w:val="22"/>
                <w:lang w:val="es-MX"/>
              </w:rPr>
              <w:t>En verificación del cumplimiento al numeral 3.6.2.6 del Manual SARO que establece “La URO, mensualmente, solicitará certificación a las áreas donde se indique si se ha presentado o no: materialización de riesgos operacionales y cambios en los riesgos y/o controles”, no se evidencio para marzo, abril, junio y diciembre de 2024 él envió de la Certificación SARO al área de Riesgos.</w:t>
            </w:r>
          </w:p>
        </w:tc>
      </w:tr>
    </w:tbl>
    <w:p w14:paraId="42869FE0" w14:textId="77777777" w:rsidR="00561B22" w:rsidRPr="007E1A29" w:rsidRDefault="00561B22" w:rsidP="00561B22">
      <w:pPr>
        <w:pStyle w:val="Textoindependiente"/>
        <w:jc w:val="both"/>
        <w:rPr>
          <w:rFonts w:ascii="Arial" w:hAnsi="Arial" w:cs="Arial"/>
          <w:b/>
          <w:bCs/>
        </w:rPr>
      </w:pPr>
    </w:p>
    <w:p w14:paraId="41B01E1B" w14:textId="77777777" w:rsidR="00561B22" w:rsidRPr="007E1A29" w:rsidRDefault="00561B22" w:rsidP="00561B22">
      <w:pPr>
        <w:jc w:val="both"/>
        <w:rPr>
          <w:rFonts w:ascii="Arial" w:hAnsi="Arial" w:cs="Arial"/>
          <w:b/>
          <w:lang w:val="es-MX"/>
        </w:rPr>
      </w:pPr>
      <w:r w:rsidRPr="007E1A29">
        <w:rPr>
          <w:rFonts w:ascii="Arial" w:hAnsi="Arial" w:cs="Arial"/>
          <w:b/>
          <w:lang w:val="es-MX"/>
        </w:rPr>
        <w:t>Del citado informe retomamos las siguientes recomendaciones:</w:t>
      </w:r>
    </w:p>
    <w:p w14:paraId="1C7FC176" w14:textId="77777777" w:rsidR="00561B22" w:rsidRPr="007E1A29"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7E1A29" w14:paraId="21E9D0E9" w14:textId="77777777" w:rsidTr="00F1223B">
        <w:tc>
          <w:tcPr>
            <w:tcW w:w="562" w:type="dxa"/>
          </w:tcPr>
          <w:p w14:paraId="6C2D8290"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N°</w:t>
            </w:r>
          </w:p>
        </w:tc>
        <w:tc>
          <w:tcPr>
            <w:tcW w:w="9400" w:type="dxa"/>
          </w:tcPr>
          <w:p w14:paraId="28F6BF15"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RECOMENDACIONES</w:t>
            </w:r>
          </w:p>
          <w:p w14:paraId="1D0D4A58" w14:textId="77777777" w:rsidR="00561B22" w:rsidRPr="007E1A29" w:rsidRDefault="00561B22" w:rsidP="00F1223B">
            <w:pPr>
              <w:jc w:val="center"/>
              <w:rPr>
                <w:rFonts w:ascii="Arial" w:hAnsi="Arial" w:cs="Arial"/>
                <w:b/>
                <w:sz w:val="22"/>
                <w:szCs w:val="22"/>
                <w:lang w:val="es-MX"/>
              </w:rPr>
            </w:pPr>
          </w:p>
        </w:tc>
      </w:tr>
      <w:tr w:rsidR="00561B22" w:rsidRPr="007E1A29" w14:paraId="2F9115DA" w14:textId="77777777" w:rsidTr="00F1223B">
        <w:tc>
          <w:tcPr>
            <w:tcW w:w="562" w:type="dxa"/>
          </w:tcPr>
          <w:p w14:paraId="2200444D"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1</w:t>
            </w:r>
          </w:p>
        </w:tc>
        <w:tc>
          <w:tcPr>
            <w:tcW w:w="9400" w:type="dxa"/>
          </w:tcPr>
          <w:p w14:paraId="7F4906A6" w14:textId="77777777" w:rsidR="00561B22" w:rsidRPr="007E1A29" w:rsidRDefault="00561B22" w:rsidP="00F1223B">
            <w:pPr>
              <w:jc w:val="both"/>
              <w:rPr>
                <w:rFonts w:ascii="Arial" w:hAnsi="Arial" w:cs="Arial"/>
                <w:bCs/>
                <w:sz w:val="22"/>
                <w:szCs w:val="22"/>
                <w:lang w:val="es-MX"/>
              </w:rPr>
            </w:pPr>
            <w:r w:rsidRPr="007E1A29">
              <w:rPr>
                <w:rFonts w:ascii="Arial" w:hAnsi="Arial" w:cs="Arial"/>
                <w:bCs/>
                <w:sz w:val="22"/>
                <w:szCs w:val="22"/>
                <w:lang w:val="es-MX"/>
              </w:rPr>
              <w:t>Implementar un mecanismo de control que garantice el envío mensual de la Certificación SARO al área de Riesgos, en cumplimiento del numeral 3.6.2.6 del Manual SARO. Este numeral establece que la URO debe solicitar dicha certificación a las áreas, indicando si se ha presentado o no la materialización de riesgos operacionales y los cambios en los riesgos y/o controles.</w:t>
            </w:r>
          </w:p>
        </w:tc>
      </w:tr>
      <w:tr w:rsidR="00561B22" w:rsidRPr="007E1A29" w14:paraId="55FB31E6" w14:textId="77777777" w:rsidTr="00F1223B">
        <w:tc>
          <w:tcPr>
            <w:tcW w:w="562" w:type="dxa"/>
          </w:tcPr>
          <w:p w14:paraId="6C00164C"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2</w:t>
            </w:r>
          </w:p>
        </w:tc>
        <w:tc>
          <w:tcPr>
            <w:tcW w:w="9400" w:type="dxa"/>
          </w:tcPr>
          <w:p w14:paraId="5A645419" w14:textId="77777777" w:rsidR="00561B22" w:rsidRPr="007E1A29" w:rsidRDefault="00561B22" w:rsidP="00F1223B">
            <w:pPr>
              <w:jc w:val="both"/>
              <w:rPr>
                <w:rFonts w:ascii="Arial" w:hAnsi="Arial" w:cs="Arial"/>
                <w:bCs/>
                <w:sz w:val="22"/>
                <w:szCs w:val="22"/>
                <w:lang w:val="es-MX"/>
              </w:rPr>
            </w:pPr>
            <w:r w:rsidRPr="007E1A29">
              <w:rPr>
                <w:rFonts w:ascii="Arial" w:hAnsi="Arial" w:cs="Arial"/>
                <w:bCs/>
                <w:sz w:val="22"/>
                <w:szCs w:val="22"/>
                <w:lang w:val="es-MX"/>
              </w:rPr>
              <w:t>En el informe OCI 9724-2024 sobre Gestión Contable y Presupuesto, se evaluó el indicador 'Ejecución del Presupuesto Acumulado', que alcanzó un 68% en el primer trimestre, por debajo del límite inferior de tolerancia (70%). Este resultado responde a la baja ejecución presupuestal habitual en los primeros meses del año. Para mitigar posibles efectos en los resultados anuales, se recomienda fortalecer el monitoreo temprano de este indicador.</w:t>
            </w:r>
          </w:p>
        </w:tc>
      </w:tr>
      <w:tr w:rsidR="00561B22" w:rsidRPr="007E1A29" w14:paraId="34A8E4FC" w14:textId="77777777" w:rsidTr="00F1223B">
        <w:tc>
          <w:tcPr>
            <w:tcW w:w="562" w:type="dxa"/>
          </w:tcPr>
          <w:p w14:paraId="20B63732"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3</w:t>
            </w:r>
          </w:p>
        </w:tc>
        <w:tc>
          <w:tcPr>
            <w:tcW w:w="9400" w:type="dxa"/>
          </w:tcPr>
          <w:p w14:paraId="09704F8F" w14:textId="77777777" w:rsidR="00561B22" w:rsidRPr="007E1A29" w:rsidRDefault="00561B22" w:rsidP="00F1223B">
            <w:pPr>
              <w:jc w:val="both"/>
              <w:rPr>
                <w:rFonts w:ascii="Arial" w:hAnsi="Arial" w:cs="Arial"/>
                <w:bCs/>
                <w:sz w:val="22"/>
                <w:szCs w:val="22"/>
                <w:lang w:val="es-MX"/>
              </w:rPr>
            </w:pPr>
            <w:r w:rsidRPr="007E1A29">
              <w:rPr>
                <w:rFonts w:ascii="Arial" w:hAnsi="Arial" w:cs="Arial"/>
                <w:bCs/>
                <w:sz w:val="22"/>
                <w:szCs w:val="22"/>
                <w:lang w:val="es-MX"/>
              </w:rPr>
              <w:t>En el informe OCI 9065-2024 sobre la Auditoría de Gestión Tributaria, se identificó que la matriz de riesgos y controles no contempla una tipología específica para el fraude y la corrupción, elementos clave para la integridad del proceso tributario. Por ello, se recomienda incluir esta tipología en la matriz, fortaleciendo así la gestión de riesgos y el control del proceso.</w:t>
            </w:r>
          </w:p>
        </w:tc>
      </w:tr>
      <w:tr w:rsidR="00561B22" w:rsidRPr="007E1A29" w14:paraId="4E26C68A" w14:textId="77777777" w:rsidTr="00F1223B">
        <w:tc>
          <w:tcPr>
            <w:tcW w:w="562" w:type="dxa"/>
          </w:tcPr>
          <w:p w14:paraId="4E656EB0" w14:textId="77777777" w:rsidR="00561B22" w:rsidRPr="007E1A29" w:rsidRDefault="00561B22" w:rsidP="00F1223B">
            <w:pPr>
              <w:jc w:val="center"/>
              <w:rPr>
                <w:rFonts w:ascii="Arial" w:hAnsi="Arial" w:cs="Arial"/>
                <w:b/>
                <w:sz w:val="22"/>
                <w:szCs w:val="22"/>
                <w:lang w:val="es-MX"/>
              </w:rPr>
            </w:pPr>
            <w:r w:rsidRPr="007E1A29">
              <w:rPr>
                <w:rFonts w:ascii="Arial" w:hAnsi="Arial" w:cs="Arial"/>
                <w:b/>
                <w:sz w:val="22"/>
                <w:szCs w:val="22"/>
                <w:lang w:val="es-MX"/>
              </w:rPr>
              <w:t>4</w:t>
            </w:r>
          </w:p>
        </w:tc>
        <w:tc>
          <w:tcPr>
            <w:tcW w:w="9400" w:type="dxa"/>
          </w:tcPr>
          <w:p w14:paraId="2454394B" w14:textId="77777777" w:rsidR="00561B22" w:rsidRPr="007E1A29" w:rsidRDefault="00561B22" w:rsidP="00F1223B">
            <w:pPr>
              <w:jc w:val="both"/>
              <w:rPr>
                <w:rFonts w:ascii="Arial" w:hAnsi="Arial" w:cs="Arial"/>
                <w:bCs/>
                <w:sz w:val="22"/>
                <w:szCs w:val="22"/>
                <w:lang w:val="es-MX"/>
              </w:rPr>
            </w:pPr>
            <w:r w:rsidRPr="007E1A29">
              <w:rPr>
                <w:rFonts w:ascii="Arial" w:hAnsi="Arial" w:cs="Arial"/>
                <w:bCs/>
                <w:sz w:val="22"/>
                <w:szCs w:val="22"/>
                <w:lang w:val="es-MX"/>
              </w:rPr>
              <w:t>Establecer plazos para el cumplimiento del control de la completitud de los registros contables. Para garantizar una revisión oportuna y corregir a tiempo cualquier falta de complitud en los registros.</w:t>
            </w:r>
          </w:p>
        </w:tc>
      </w:tr>
    </w:tbl>
    <w:p w14:paraId="409B833C" w14:textId="77777777" w:rsidR="00561B22" w:rsidRPr="007E1A29" w:rsidRDefault="00561B22" w:rsidP="00561B22">
      <w:pPr>
        <w:pStyle w:val="Textoindependiente"/>
        <w:jc w:val="both"/>
        <w:rPr>
          <w:rFonts w:ascii="Arial" w:hAnsi="Arial" w:cs="Arial"/>
          <w:b/>
          <w:bCs/>
          <w:sz w:val="28"/>
          <w:szCs w:val="28"/>
        </w:rPr>
      </w:pPr>
    </w:p>
    <w:p w14:paraId="29066C3D" w14:textId="77777777" w:rsidR="00561B22" w:rsidRPr="007E1A29" w:rsidRDefault="00561B22" w:rsidP="00561B22">
      <w:pPr>
        <w:jc w:val="both"/>
        <w:rPr>
          <w:rFonts w:ascii="Arial" w:hAnsi="Arial" w:cs="Arial"/>
          <w:b/>
          <w:bCs/>
          <w:sz w:val="24"/>
          <w:szCs w:val="24"/>
          <w:lang w:val="es-CO"/>
        </w:rPr>
      </w:pPr>
      <w:r w:rsidRPr="007E1A29">
        <w:rPr>
          <w:rFonts w:ascii="Arial" w:hAnsi="Arial" w:cs="Arial"/>
          <w:b/>
          <w:bCs/>
          <w:sz w:val="24"/>
          <w:szCs w:val="24"/>
          <w:lang w:val="es-CO"/>
        </w:rPr>
        <w:t xml:space="preserve">NOTA: LA ENTIDAD ENVIA LA MATRIZ DE AUTOEVALUACIÓN DEL SISTEMA DE CONTROL INTERNO CONTABLE CON </w:t>
      </w:r>
      <w:r w:rsidRPr="007E1A29">
        <w:rPr>
          <w:rFonts w:ascii="Arial" w:hAnsi="Arial" w:cs="Arial"/>
          <w:b/>
          <w:bCs/>
          <w:sz w:val="24"/>
          <w:szCs w:val="24"/>
          <w:u w:val="single"/>
          <w:lang w:val="es-CO"/>
        </w:rPr>
        <w:t>ACTIVIDADES DE CONTROL REALIZADAS EN FORMA PARCIAL</w:t>
      </w:r>
      <w:r w:rsidRPr="007E1A29">
        <w:rPr>
          <w:rFonts w:ascii="Arial" w:hAnsi="Arial" w:cs="Arial"/>
          <w:b/>
          <w:bCs/>
          <w:sz w:val="24"/>
          <w:szCs w:val="24"/>
          <w:lang w:val="es-CO"/>
        </w:rPr>
        <w:t>.</w:t>
      </w:r>
    </w:p>
    <w:p w14:paraId="76733906" w14:textId="77777777" w:rsidR="00561B22" w:rsidRDefault="00561B22" w:rsidP="00561B22">
      <w:pPr>
        <w:jc w:val="both"/>
        <w:rPr>
          <w:rFonts w:ascii="Arial" w:hAnsi="Arial" w:cs="Arial"/>
          <w:b/>
          <w:bCs/>
          <w:lang w:val="es-CO"/>
        </w:rPr>
      </w:pPr>
    </w:p>
    <w:p w14:paraId="3D5F855B" w14:textId="77777777" w:rsidR="00561B22" w:rsidRPr="00332417" w:rsidRDefault="00561B22" w:rsidP="00561B22">
      <w:pPr>
        <w:jc w:val="both"/>
        <w:rPr>
          <w:rFonts w:ascii="Arial" w:hAnsi="Arial" w:cs="Arial"/>
          <w:b/>
          <w:sz w:val="28"/>
          <w:szCs w:val="28"/>
          <w:lang w:val="es-MX"/>
        </w:rPr>
      </w:pPr>
      <w:r w:rsidRPr="00332417">
        <w:rPr>
          <w:rFonts w:ascii="Arial" w:hAnsi="Arial" w:cs="Arial"/>
          <w:b/>
          <w:sz w:val="28"/>
          <w:szCs w:val="28"/>
          <w:lang w:val="es-MX"/>
        </w:rPr>
        <w:t>174.- CONSEJO PROFESIONAL DE BIOLOGÍA.</w:t>
      </w:r>
    </w:p>
    <w:p w14:paraId="148BB660" w14:textId="77777777" w:rsidR="00561B22" w:rsidRDefault="00561B22" w:rsidP="00561B22">
      <w:pPr>
        <w:jc w:val="both"/>
        <w:rPr>
          <w:rFonts w:ascii="Arial" w:hAnsi="Arial" w:cs="Arial"/>
          <w:b/>
          <w:bCs/>
          <w:lang w:val="es-CO"/>
        </w:rPr>
      </w:pPr>
    </w:p>
    <w:p w14:paraId="4EE02AD6" w14:textId="77777777" w:rsidR="00561B22" w:rsidRPr="00B16F8D" w:rsidRDefault="00561B22" w:rsidP="00561B22">
      <w:pPr>
        <w:pStyle w:val="Textoindependiente"/>
        <w:ind w:right="-50"/>
        <w:jc w:val="center"/>
        <w:rPr>
          <w:rFonts w:ascii="Arial" w:hAnsi="Arial" w:cs="Arial"/>
          <w:b/>
          <w:bCs/>
        </w:rPr>
      </w:pPr>
      <w:r w:rsidRPr="00B16F8D">
        <w:rPr>
          <w:rFonts w:ascii="Arial" w:hAnsi="Arial" w:cs="Arial"/>
          <w:b/>
          <w:bCs/>
        </w:rPr>
        <w:t>INFORME DE LA AUTOCALIFICACIÓN DEL SISTEMA DE CONTROL INTERNO CONTABLE:</w:t>
      </w:r>
    </w:p>
    <w:p w14:paraId="08D822CC" w14:textId="77777777" w:rsidR="00561B22" w:rsidRPr="00B16F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16F8D" w14:paraId="18E46A51" w14:textId="77777777" w:rsidTr="00F1223B">
        <w:tc>
          <w:tcPr>
            <w:tcW w:w="4981" w:type="dxa"/>
          </w:tcPr>
          <w:p w14:paraId="66BB916C" w14:textId="77777777" w:rsidR="00561B22" w:rsidRPr="00B16F8D" w:rsidRDefault="00561B22" w:rsidP="00F1223B">
            <w:pPr>
              <w:jc w:val="center"/>
              <w:rPr>
                <w:rFonts w:ascii="Arial" w:hAnsi="Arial" w:cs="Arial"/>
                <w:b/>
                <w:sz w:val="22"/>
                <w:szCs w:val="22"/>
                <w:lang w:val="es-MX"/>
              </w:rPr>
            </w:pPr>
            <w:r w:rsidRPr="00B16F8D">
              <w:rPr>
                <w:rFonts w:ascii="Arial" w:hAnsi="Arial" w:cs="Arial"/>
                <w:b/>
                <w:sz w:val="22"/>
                <w:szCs w:val="22"/>
                <w:lang w:val="es-MX"/>
              </w:rPr>
              <w:t>AUTOCALIFICACIÓN</w:t>
            </w:r>
          </w:p>
        </w:tc>
        <w:tc>
          <w:tcPr>
            <w:tcW w:w="4981" w:type="dxa"/>
          </w:tcPr>
          <w:p w14:paraId="44C6C79B" w14:textId="77777777" w:rsidR="00561B22" w:rsidRPr="00B16F8D" w:rsidRDefault="00561B22" w:rsidP="00F1223B">
            <w:pPr>
              <w:jc w:val="center"/>
              <w:rPr>
                <w:rFonts w:ascii="Arial" w:hAnsi="Arial" w:cs="Arial"/>
                <w:b/>
                <w:sz w:val="22"/>
                <w:szCs w:val="22"/>
                <w:u w:val="single"/>
                <w:lang w:val="es-MX"/>
              </w:rPr>
            </w:pPr>
            <w:r w:rsidRPr="00B16F8D">
              <w:rPr>
                <w:rFonts w:ascii="Arial" w:hAnsi="Arial" w:cs="Arial"/>
                <w:b/>
                <w:sz w:val="22"/>
                <w:szCs w:val="22"/>
                <w:u w:val="single"/>
                <w:lang w:val="es-MX"/>
              </w:rPr>
              <w:t>5.00</w:t>
            </w:r>
          </w:p>
        </w:tc>
      </w:tr>
    </w:tbl>
    <w:p w14:paraId="0DCF5336" w14:textId="77777777" w:rsidR="00561B22" w:rsidRPr="00B16F8D" w:rsidRDefault="00561B22" w:rsidP="00561B22">
      <w:pPr>
        <w:pStyle w:val="Textoindependiente"/>
        <w:ind w:right="-50"/>
        <w:jc w:val="both"/>
        <w:rPr>
          <w:rFonts w:ascii="Arial" w:hAnsi="Arial" w:cs="Arial"/>
          <w:b/>
          <w:bCs/>
        </w:rPr>
      </w:pPr>
    </w:p>
    <w:p w14:paraId="65B7F16B" w14:textId="77777777" w:rsidR="00561B22" w:rsidRPr="00B16F8D" w:rsidRDefault="00561B22" w:rsidP="00561B22">
      <w:pPr>
        <w:pStyle w:val="Textoindependiente"/>
        <w:ind w:right="-50"/>
        <w:jc w:val="both"/>
        <w:rPr>
          <w:rFonts w:ascii="Arial" w:hAnsi="Arial" w:cs="Arial"/>
          <w:b/>
          <w:bCs/>
        </w:rPr>
      </w:pPr>
      <w:r w:rsidRPr="00B16F8D">
        <w:rPr>
          <w:rFonts w:ascii="Arial" w:hAnsi="Arial" w:cs="Arial"/>
          <w:b/>
          <w:bCs/>
        </w:rPr>
        <w:t>Del informe enviado retomamos lo siguiente:</w:t>
      </w:r>
    </w:p>
    <w:p w14:paraId="5CB5758E" w14:textId="77777777" w:rsidR="00561B22" w:rsidRPr="00B16F8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16F8D" w14:paraId="37285B11" w14:textId="77777777" w:rsidTr="00F1223B">
        <w:tc>
          <w:tcPr>
            <w:tcW w:w="562" w:type="dxa"/>
          </w:tcPr>
          <w:p w14:paraId="386BA0B4" w14:textId="77777777" w:rsidR="00561B22" w:rsidRPr="00B16F8D" w:rsidRDefault="00561B22" w:rsidP="00F1223B">
            <w:pPr>
              <w:ind w:right="-109"/>
              <w:jc w:val="center"/>
              <w:rPr>
                <w:rFonts w:ascii="Arial" w:hAnsi="Arial" w:cs="Arial"/>
                <w:b/>
                <w:sz w:val="22"/>
                <w:szCs w:val="22"/>
                <w:lang w:val="es-MX"/>
              </w:rPr>
            </w:pPr>
            <w:r w:rsidRPr="00B16F8D">
              <w:rPr>
                <w:rFonts w:ascii="Arial" w:hAnsi="Arial" w:cs="Arial"/>
                <w:b/>
                <w:sz w:val="22"/>
                <w:szCs w:val="22"/>
                <w:lang w:val="es-MX"/>
              </w:rPr>
              <w:t>N°</w:t>
            </w:r>
          </w:p>
        </w:tc>
        <w:tc>
          <w:tcPr>
            <w:tcW w:w="9400" w:type="dxa"/>
          </w:tcPr>
          <w:p w14:paraId="1400E43F" w14:textId="77777777" w:rsidR="00561B22" w:rsidRPr="00B16F8D" w:rsidRDefault="00561B22" w:rsidP="00F1223B">
            <w:pPr>
              <w:jc w:val="center"/>
              <w:rPr>
                <w:rFonts w:ascii="Arial" w:hAnsi="Arial" w:cs="Arial"/>
                <w:b/>
                <w:sz w:val="22"/>
                <w:szCs w:val="22"/>
                <w:lang w:val="es-MX"/>
              </w:rPr>
            </w:pPr>
            <w:r w:rsidRPr="00B16F8D">
              <w:rPr>
                <w:rFonts w:ascii="Arial" w:hAnsi="Arial" w:cs="Arial"/>
                <w:b/>
                <w:sz w:val="22"/>
                <w:szCs w:val="22"/>
                <w:lang w:val="es-MX"/>
              </w:rPr>
              <w:t>RECOMENDACIONES</w:t>
            </w:r>
          </w:p>
          <w:p w14:paraId="014109FA" w14:textId="77777777" w:rsidR="00561B22" w:rsidRPr="00B16F8D" w:rsidRDefault="00561B22" w:rsidP="00F1223B">
            <w:pPr>
              <w:jc w:val="center"/>
              <w:rPr>
                <w:rFonts w:ascii="Arial" w:hAnsi="Arial" w:cs="Arial"/>
                <w:b/>
                <w:sz w:val="22"/>
                <w:szCs w:val="22"/>
                <w:lang w:val="es-MX"/>
              </w:rPr>
            </w:pPr>
          </w:p>
        </w:tc>
      </w:tr>
      <w:tr w:rsidR="00561B22" w:rsidRPr="00B16F8D" w14:paraId="53C9FD8D" w14:textId="77777777" w:rsidTr="00F1223B">
        <w:tc>
          <w:tcPr>
            <w:tcW w:w="562" w:type="dxa"/>
          </w:tcPr>
          <w:p w14:paraId="223A6B34" w14:textId="77777777" w:rsidR="00561B22" w:rsidRPr="00B16F8D" w:rsidRDefault="00561B22" w:rsidP="00F1223B">
            <w:pPr>
              <w:jc w:val="center"/>
              <w:rPr>
                <w:rFonts w:ascii="Arial" w:hAnsi="Arial" w:cs="Arial"/>
                <w:b/>
                <w:sz w:val="22"/>
                <w:szCs w:val="22"/>
                <w:lang w:val="es-MX"/>
              </w:rPr>
            </w:pPr>
            <w:r w:rsidRPr="00B16F8D">
              <w:rPr>
                <w:rFonts w:ascii="Arial" w:hAnsi="Arial" w:cs="Arial"/>
                <w:b/>
                <w:sz w:val="22"/>
                <w:szCs w:val="22"/>
                <w:lang w:val="es-MX"/>
              </w:rPr>
              <w:t>1</w:t>
            </w:r>
          </w:p>
        </w:tc>
        <w:tc>
          <w:tcPr>
            <w:tcW w:w="9400" w:type="dxa"/>
          </w:tcPr>
          <w:p w14:paraId="362F6888" w14:textId="77777777" w:rsidR="00561B22" w:rsidRPr="00B16F8D" w:rsidRDefault="00561B22" w:rsidP="00F1223B">
            <w:pPr>
              <w:jc w:val="both"/>
              <w:rPr>
                <w:rFonts w:ascii="Arial" w:hAnsi="Arial" w:cs="Arial"/>
                <w:sz w:val="22"/>
                <w:szCs w:val="22"/>
              </w:rPr>
            </w:pPr>
            <w:r w:rsidRPr="00B16F8D">
              <w:rPr>
                <w:rFonts w:ascii="Arial" w:hAnsi="Arial" w:cs="Arial"/>
                <w:sz w:val="22"/>
                <w:szCs w:val="22"/>
              </w:rPr>
              <w:t xml:space="preserve">Los registros contables y operaciones generadas se llevan en el sistema contable de la entidad World office, el cual enumera en forma consecutiva. Adicional conserva la fecha de registro. El sistema contable de CPBiol “World office" cuenta con la parametrización cronológica de cada uno de los hechos económicos. </w:t>
            </w:r>
          </w:p>
        </w:tc>
      </w:tr>
    </w:tbl>
    <w:p w14:paraId="0710E364" w14:textId="77777777" w:rsidR="00561B22" w:rsidRPr="00B16F8D" w:rsidRDefault="00561B22" w:rsidP="00561B22">
      <w:pPr>
        <w:pStyle w:val="Textoindependiente"/>
        <w:ind w:right="-50"/>
        <w:jc w:val="both"/>
        <w:rPr>
          <w:rFonts w:ascii="Arial" w:hAnsi="Arial" w:cs="Arial"/>
          <w:b/>
          <w:bCs/>
        </w:rPr>
      </w:pPr>
    </w:p>
    <w:p w14:paraId="2DF02CA6" w14:textId="77777777" w:rsidR="00561B22" w:rsidRPr="00477D63" w:rsidRDefault="00561B22" w:rsidP="00561B22">
      <w:pPr>
        <w:jc w:val="both"/>
        <w:rPr>
          <w:rFonts w:ascii="Arial" w:hAnsi="Arial" w:cs="Arial"/>
          <w:b/>
          <w:sz w:val="28"/>
          <w:szCs w:val="28"/>
          <w:lang w:val="es-MX"/>
        </w:rPr>
      </w:pPr>
      <w:r w:rsidRPr="00477D63">
        <w:rPr>
          <w:rFonts w:ascii="Arial" w:hAnsi="Arial" w:cs="Arial"/>
          <w:b/>
          <w:sz w:val="28"/>
          <w:szCs w:val="28"/>
          <w:lang w:val="es-MX"/>
        </w:rPr>
        <w:t>175.- U.A.E. DE LA JUSTICIA PENAL MILITAR Y POLICIAL.</w:t>
      </w:r>
    </w:p>
    <w:p w14:paraId="71EDB46B" w14:textId="77777777" w:rsidR="00561B22" w:rsidRPr="00477D63" w:rsidRDefault="00561B22" w:rsidP="00561B22">
      <w:pPr>
        <w:pStyle w:val="Textoindependiente"/>
        <w:tabs>
          <w:tab w:val="left" w:pos="2055"/>
        </w:tabs>
        <w:spacing w:before="5"/>
        <w:rPr>
          <w:rFonts w:ascii="Arial" w:hAnsi="Arial" w:cs="Arial"/>
          <w:lang w:val="es-MX"/>
        </w:rPr>
      </w:pPr>
    </w:p>
    <w:p w14:paraId="472F5E16" w14:textId="77777777" w:rsidR="00561B22" w:rsidRPr="00477D63" w:rsidRDefault="00561B22" w:rsidP="00561B22">
      <w:pPr>
        <w:pStyle w:val="Textoindependiente"/>
        <w:ind w:right="-50"/>
        <w:jc w:val="center"/>
        <w:rPr>
          <w:rFonts w:ascii="Arial" w:hAnsi="Arial" w:cs="Arial"/>
          <w:b/>
          <w:bCs/>
        </w:rPr>
      </w:pPr>
      <w:r w:rsidRPr="00477D63">
        <w:rPr>
          <w:rFonts w:ascii="Arial" w:hAnsi="Arial" w:cs="Arial"/>
          <w:b/>
          <w:bCs/>
        </w:rPr>
        <w:t>INFORME DE LA AUTOCALIFICACIÓN DEL SISTEMA DE CONTROL INTERNO CONTABLE:</w:t>
      </w:r>
    </w:p>
    <w:p w14:paraId="7F395D83" w14:textId="77777777" w:rsidR="00561B22" w:rsidRPr="00477D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77D63" w14:paraId="1C78CE5B" w14:textId="77777777" w:rsidTr="00F1223B">
        <w:tc>
          <w:tcPr>
            <w:tcW w:w="4981" w:type="dxa"/>
          </w:tcPr>
          <w:p w14:paraId="56C55D87"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lastRenderedPageBreak/>
              <w:t>AUTOCALIFICACIÓN</w:t>
            </w:r>
          </w:p>
        </w:tc>
        <w:tc>
          <w:tcPr>
            <w:tcW w:w="4981" w:type="dxa"/>
          </w:tcPr>
          <w:p w14:paraId="6CA1F675" w14:textId="77777777" w:rsidR="00561B22" w:rsidRPr="00477D63" w:rsidRDefault="00561B22" w:rsidP="00F1223B">
            <w:pPr>
              <w:jc w:val="center"/>
              <w:rPr>
                <w:rFonts w:ascii="Arial" w:hAnsi="Arial" w:cs="Arial"/>
                <w:b/>
                <w:sz w:val="22"/>
                <w:szCs w:val="22"/>
                <w:u w:val="single"/>
                <w:lang w:val="es-MX"/>
              </w:rPr>
            </w:pPr>
            <w:r w:rsidRPr="00477D63">
              <w:rPr>
                <w:rFonts w:ascii="Arial" w:hAnsi="Arial" w:cs="Arial"/>
                <w:b/>
                <w:sz w:val="22"/>
                <w:szCs w:val="22"/>
                <w:u w:val="single"/>
                <w:lang w:val="es-MX"/>
              </w:rPr>
              <w:t>5.00</w:t>
            </w:r>
          </w:p>
        </w:tc>
      </w:tr>
    </w:tbl>
    <w:p w14:paraId="6191499B" w14:textId="77777777" w:rsidR="00561B22" w:rsidRPr="00477D63" w:rsidRDefault="00561B22" w:rsidP="00561B22">
      <w:pPr>
        <w:pStyle w:val="Textoindependiente"/>
        <w:ind w:right="-50"/>
        <w:jc w:val="both"/>
        <w:rPr>
          <w:rFonts w:ascii="Arial" w:hAnsi="Arial" w:cs="Arial"/>
          <w:b/>
          <w:bCs/>
        </w:rPr>
      </w:pPr>
    </w:p>
    <w:p w14:paraId="1DC1A344" w14:textId="77777777" w:rsidR="00561B22" w:rsidRPr="00477D63" w:rsidRDefault="00561B22" w:rsidP="00561B22">
      <w:pPr>
        <w:pStyle w:val="Textoindependiente"/>
        <w:ind w:right="-50"/>
        <w:jc w:val="both"/>
        <w:rPr>
          <w:rFonts w:ascii="Arial" w:hAnsi="Arial" w:cs="Arial"/>
          <w:b/>
          <w:bCs/>
        </w:rPr>
      </w:pPr>
      <w:r w:rsidRPr="00477D63">
        <w:rPr>
          <w:rFonts w:ascii="Arial" w:hAnsi="Arial" w:cs="Arial"/>
          <w:b/>
          <w:bCs/>
        </w:rPr>
        <w:t>Del informe enviado retomamos lo siguiente:</w:t>
      </w:r>
    </w:p>
    <w:p w14:paraId="28A12705" w14:textId="77777777" w:rsidR="00561B22" w:rsidRPr="00477D6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77D63" w14:paraId="01CFED8F" w14:textId="77777777" w:rsidTr="00F1223B">
        <w:tc>
          <w:tcPr>
            <w:tcW w:w="562" w:type="dxa"/>
          </w:tcPr>
          <w:p w14:paraId="4962B0F3" w14:textId="77777777" w:rsidR="00561B22" w:rsidRPr="00477D63" w:rsidRDefault="00561B22" w:rsidP="00F1223B">
            <w:pPr>
              <w:ind w:right="-109"/>
              <w:jc w:val="center"/>
              <w:rPr>
                <w:rFonts w:ascii="Arial" w:hAnsi="Arial" w:cs="Arial"/>
                <w:b/>
                <w:sz w:val="22"/>
                <w:szCs w:val="22"/>
                <w:lang w:val="es-MX"/>
              </w:rPr>
            </w:pPr>
            <w:r w:rsidRPr="00477D63">
              <w:rPr>
                <w:rFonts w:ascii="Arial" w:hAnsi="Arial" w:cs="Arial"/>
                <w:b/>
                <w:sz w:val="22"/>
                <w:szCs w:val="22"/>
                <w:lang w:val="es-MX"/>
              </w:rPr>
              <w:t>N°</w:t>
            </w:r>
          </w:p>
        </w:tc>
        <w:tc>
          <w:tcPr>
            <w:tcW w:w="9400" w:type="dxa"/>
          </w:tcPr>
          <w:p w14:paraId="6A2B34B7"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t>DEBILIDADES</w:t>
            </w:r>
          </w:p>
          <w:p w14:paraId="1692338A" w14:textId="77777777" w:rsidR="00561B22" w:rsidRPr="00477D63" w:rsidRDefault="00561B22" w:rsidP="00F1223B">
            <w:pPr>
              <w:jc w:val="center"/>
              <w:rPr>
                <w:rFonts w:ascii="Arial" w:hAnsi="Arial" w:cs="Arial"/>
                <w:b/>
                <w:sz w:val="22"/>
                <w:szCs w:val="22"/>
                <w:lang w:val="es-MX"/>
              </w:rPr>
            </w:pPr>
          </w:p>
        </w:tc>
      </w:tr>
      <w:tr w:rsidR="00561B22" w:rsidRPr="00477D63" w14:paraId="2F376B09" w14:textId="77777777" w:rsidTr="00F1223B">
        <w:tc>
          <w:tcPr>
            <w:tcW w:w="562" w:type="dxa"/>
          </w:tcPr>
          <w:p w14:paraId="20D931CF"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t>1</w:t>
            </w:r>
          </w:p>
        </w:tc>
        <w:tc>
          <w:tcPr>
            <w:tcW w:w="9400" w:type="dxa"/>
          </w:tcPr>
          <w:p w14:paraId="4758A825" w14:textId="77777777" w:rsidR="00561B22" w:rsidRPr="00477D63" w:rsidRDefault="00561B22" w:rsidP="00F1223B">
            <w:pPr>
              <w:jc w:val="both"/>
              <w:rPr>
                <w:rFonts w:ascii="Arial" w:hAnsi="Arial" w:cs="Arial"/>
                <w:b/>
                <w:sz w:val="22"/>
                <w:szCs w:val="22"/>
                <w:lang w:val="es-MX"/>
              </w:rPr>
            </w:pPr>
            <w:r w:rsidRPr="00477D63">
              <w:rPr>
                <w:rFonts w:ascii="Arial" w:hAnsi="Arial" w:cs="Arial"/>
                <w:w w:val="105"/>
                <w:sz w:val="22"/>
                <w:szCs w:val="22"/>
              </w:rPr>
              <w:t>El</w:t>
            </w:r>
            <w:r w:rsidRPr="00477D63">
              <w:rPr>
                <w:rFonts w:ascii="Arial" w:hAnsi="Arial" w:cs="Arial"/>
                <w:spacing w:val="-4"/>
                <w:w w:val="105"/>
                <w:sz w:val="22"/>
                <w:szCs w:val="22"/>
              </w:rPr>
              <w:t xml:space="preserve"> </w:t>
            </w:r>
            <w:r w:rsidRPr="00477D63">
              <w:rPr>
                <w:rFonts w:ascii="Arial" w:hAnsi="Arial" w:cs="Arial"/>
                <w:w w:val="105"/>
                <w:sz w:val="22"/>
                <w:szCs w:val="22"/>
              </w:rPr>
              <w:t>Sistema</w:t>
            </w:r>
            <w:r w:rsidRPr="00477D63">
              <w:rPr>
                <w:rFonts w:ascii="Arial" w:hAnsi="Arial" w:cs="Arial"/>
                <w:spacing w:val="-4"/>
                <w:w w:val="105"/>
                <w:sz w:val="22"/>
                <w:szCs w:val="22"/>
              </w:rPr>
              <w:t xml:space="preserve"> </w:t>
            </w:r>
            <w:r w:rsidRPr="00477D63">
              <w:rPr>
                <w:rFonts w:ascii="Arial" w:hAnsi="Arial" w:cs="Arial"/>
                <w:w w:val="105"/>
                <w:sz w:val="22"/>
                <w:szCs w:val="22"/>
              </w:rPr>
              <w:t>de</w:t>
            </w:r>
            <w:r w:rsidRPr="00477D63">
              <w:rPr>
                <w:rFonts w:ascii="Arial" w:hAnsi="Arial" w:cs="Arial"/>
                <w:spacing w:val="-4"/>
                <w:w w:val="105"/>
                <w:sz w:val="22"/>
                <w:szCs w:val="22"/>
              </w:rPr>
              <w:t xml:space="preserve"> </w:t>
            </w:r>
            <w:r w:rsidRPr="00477D63">
              <w:rPr>
                <w:rFonts w:ascii="Arial" w:hAnsi="Arial" w:cs="Arial"/>
                <w:w w:val="105"/>
                <w:sz w:val="22"/>
                <w:szCs w:val="22"/>
              </w:rPr>
              <w:t>Información</w:t>
            </w:r>
            <w:r w:rsidRPr="00477D63">
              <w:rPr>
                <w:rFonts w:ascii="Arial" w:hAnsi="Arial" w:cs="Arial"/>
                <w:spacing w:val="-5"/>
                <w:w w:val="105"/>
                <w:sz w:val="22"/>
                <w:szCs w:val="22"/>
              </w:rPr>
              <w:t xml:space="preserve"> </w:t>
            </w:r>
            <w:r w:rsidRPr="00477D63">
              <w:rPr>
                <w:rFonts w:ascii="Arial" w:hAnsi="Arial" w:cs="Arial"/>
                <w:w w:val="105"/>
                <w:sz w:val="22"/>
                <w:szCs w:val="22"/>
              </w:rPr>
              <w:t>Financiera</w:t>
            </w:r>
            <w:r w:rsidRPr="00477D63">
              <w:rPr>
                <w:rFonts w:ascii="Arial" w:hAnsi="Arial" w:cs="Arial"/>
                <w:spacing w:val="-4"/>
                <w:w w:val="105"/>
                <w:sz w:val="22"/>
                <w:szCs w:val="22"/>
              </w:rPr>
              <w:t xml:space="preserve"> </w:t>
            </w:r>
            <w:r w:rsidRPr="00477D63">
              <w:rPr>
                <w:rFonts w:ascii="Arial" w:hAnsi="Arial" w:cs="Arial"/>
                <w:w w:val="105"/>
                <w:sz w:val="22"/>
                <w:szCs w:val="22"/>
              </w:rPr>
              <w:t>SIIF</w:t>
            </w:r>
            <w:r w:rsidRPr="00477D63">
              <w:rPr>
                <w:rFonts w:ascii="Arial" w:hAnsi="Arial" w:cs="Arial"/>
                <w:spacing w:val="-4"/>
                <w:w w:val="105"/>
                <w:sz w:val="22"/>
                <w:szCs w:val="22"/>
              </w:rPr>
              <w:t xml:space="preserve"> </w:t>
            </w:r>
            <w:r w:rsidRPr="00477D63">
              <w:rPr>
                <w:rFonts w:ascii="Arial" w:hAnsi="Arial" w:cs="Arial"/>
                <w:w w:val="105"/>
                <w:sz w:val="22"/>
                <w:szCs w:val="22"/>
              </w:rPr>
              <w:t>Nación,</w:t>
            </w:r>
            <w:r w:rsidRPr="00477D63">
              <w:rPr>
                <w:rFonts w:ascii="Arial" w:hAnsi="Arial" w:cs="Arial"/>
                <w:spacing w:val="-4"/>
                <w:w w:val="105"/>
                <w:sz w:val="22"/>
                <w:szCs w:val="22"/>
              </w:rPr>
              <w:t xml:space="preserve"> </w:t>
            </w:r>
            <w:r w:rsidRPr="00477D63">
              <w:rPr>
                <w:rFonts w:ascii="Arial" w:hAnsi="Arial" w:cs="Arial"/>
                <w:w w:val="105"/>
                <w:sz w:val="22"/>
                <w:szCs w:val="22"/>
              </w:rPr>
              <w:t>no</w:t>
            </w:r>
            <w:r w:rsidRPr="00477D63">
              <w:rPr>
                <w:rFonts w:ascii="Arial" w:hAnsi="Arial" w:cs="Arial"/>
                <w:spacing w:val="-5"/>
                <w:w w:val="105"/>
                <w:sz w:val="22"/>
                <w:szCs w:val="22"/>
              </w:rPr>
              <w:t xml:space="preserve"> </w:t>
            </w:r>
            <w:r w:rsidRPr="00477D63">
              <w:rPr>
                <w:rFonts w:ascii="Arial" w:hAnsi="Arial" w:cs="Arial"/>
                <w:w w:val="105"/>
                <w:sz w:val="22"/>
                <w:szCs w:val="22"/>
              </w:rPr>
              <w:t>cuenta</w:t>
            </w:r>
            <w:r w:rsidRPr="00477D63">
              <w:rPr>
                <w:rFonts w:ascii="Arial" w:hAnsi="Arial" w:cs="Arial"/>
                <w:spacing w:val="-4"/>
                <w:w w:val="105"/>
                <w:sz w:val="22"/>
                <w:szCs w:val="22"/>
              </w:rPr>
              <w:t xml:space="preserve"> </w:t>
            </w:r>
            <w:r w:rsidRPr="00477D63">
              <w:rPr>
                <w:rFonts w:ascii="Arial" w:hAnsi="Arial" w:cs="Arial"/>
                <w:w w:val="105"/>
                <w:sz w:val="22"/>
                <w:szCs w:val="22"/>
              </w:rPr>
              <w:t>con</w:t>
            </w:r>
            <w:r w:rsidRPr="00477D63">
              <w:rPr>
                <w:rFonts w:ascii="Arial" w:hAnsi="Arial" w:cs="Arial"/>
                <w:spacing w:val="-5"/>
                <w:w w:val="105"/>
                <w:sz w:val="22"/>
                <w:szCs w:val="22"/>
              </w:rPr>
              <w:t xml:space="preserve"> </w:t>
            </w:r>
            <w:r w:rsidRPr="00477D63">
              <w:rPr>
                <w:rFonts w:ascii="Arial" w:hAnsi="Arial" w:cs="Arial"/>
                <w:w w:val="105"/>
                <w:sz w:val="22"/>
                <w:szCs w:val="22"/>
              </w:rPr>
              <w:t>módulos</w:t>
            </w:r>
            <w:r w:rsidRPr="00477D63">
              <w:rPr>
                <w:rFonts w:ascii="Arial" w:hAnsi="Arial" w:cs="Arial"/>
                <w:spacing w:val="-5"/>
                <w:w w:val="105"/>
                <w:sz w:val="22"/>
                <w:szCs w:val="22"/>
              </w:rPr>
              <w:t xml:space="preserve"> </w:t>
            </w:r>
            <w:r w:rsidRPr="00477D63">
              <w:rPr>
                <w:rFonts w:ascii="Arial" w:hAnsi="Arial" w:cs="Arial"/>
                <w:w w:val="105"/>
                <w:sz w:val="22"/>
                <w:szCs w:val="22"/>
              </w:rPr>
              <w:t>para</w:t>
            </w:r>
            <w:r w:rsidRPr="00477D63">
              <w:rPr>
                <w:rFonts w:ascii="Arial" w:hAnsi="Arial" w:cs="Arial"/>
                <w:spacing w:val="-4"/>
                <w:w w:val="105"/>
                <w:sz w:val="22"/>
                <w:szCs w:val="22"/>
              </w:rPr>
              <w:t xml:space="preserve"> </w:t>
            </w:r>
            <w:r w:rsidRPr="00477D63">
              <w:rPr>
                <w:rFonts w:ascii="Arial" w:hAnsi="Arial" w:cs="Arial"/>
                <w:w w:val="105"/>
                <w:sz w:val="22"/>
                <w:szCs w:val="22"/>
              </w:rPr>
              <w:t>Administración</w:t>
            </w:r>
            <w:r w:rsidRPr="00477D63">
              <w:rPr>
                <w:rFonts w:ascii="Arial" w:hAnsi="Arial" w:cs="Arial"/>
                <w:spacing w:val="-5"/>
                <w:w w:val="105"/>
                <w:sz w:val="22"/>
                <w:szCs w:val="22"/>
              </w:rPr>
              <w:t xml:space="preserve"> </w:t>
            </w:r>
            <w:r w:rsidRPr="00477D63">
              <w:rPr>
                <w:rFonts w:ascii="Arial" w:hAnsi="Arial" w:cs="Arial"/>
                <w:w w:val="105"/>
                <w:sz w:val="22"/>
                <w:szCs w:val="22"/>
              </w:rPr>
              <w:t>de</w:t>
            </w:r>
            <w:r w:rsidRPr="00477D63">
              <w:rPr>
                <w:rFonts w:ascii="Arial" w:hAnsi="Arial" w:cs="Arial"/>
                <w:spacing w:val="40"/>
                <w:w w:val="105"/>
                <w:sz w:val="22"/>
                <w:szCs w:val="22"/>
              </w:rPr>
              <w:t xml:space="preserve"> </w:t>
            </w:r>
            <w:r w:rsidRPr="00477D63">
              <w:rPr>
                <w:rFonts w:ascii="Arial" w:hAnsi="Arial" w:cs="Arial"/>
                <w:w w:val="105"/>
                <w:sz w:val="22"/>
                <w:szCs w:val="22"/>
              </w:rPr>
              <w:t>Propiedad,</w:t>
            </w:r>
            <w:r w:rsidRPr="00477D63">
              <w:rPr>
                <w:rFonts w:ascii="Arial" w:hAnsi="Arial" w:cs="Arial"/>
                <w:spacing w:val="-3"/>
                <w:w w:val="105"/>
                <w:sz w:val="22"/>
                <w:szCs w:val="22"/>
              </w:rPr>
              <w:t xml:space="preserve"> </w:t>
            </w:r>
            <w:r w:rsidRPr="00477D63">
              <w:rPr>
                <w:rFonts w:ascii="Arial" w:hAnsi="Arial" w:cs="Arial"/>
                <w:w w:val="105"/>
                <w:sz w:val="22"/>
                <w:szCs w:val="22"/>
              </w:rPr>
              <w:t>Planta</w:t>
            </w:r>
            <w:r w:rsidRPr="00477D63">
              <w:rPr>
                <w:rFonts w:ascii="Arial" w:hAnsi="Arial" w:cs="Arial"/>
                <w:spacing w:val="-3"/>
                <w:w w:val="105"/>
                <w:sz w:val="22"/>
                <w:szCs w:val="22"/>
              </w:rPr>
              <w:t xml:space="preserve"> </w:t>
            </w:r>
            <w:r w:rsidRPr="00477D63">
              <w:rPr>
                <w:rFonts w:ascii="Arial" w:hAnsi="Arial" w:cs="Arial"/>
                <w:w w:val="105"/>
                <w:sz w:val="22"/>
                <w:szCs w:val="22"/>
              </w:rPr>
              <w:t>y</w:t>
            </w:r>
            <w:r w:rsidRPr="00477D63">
              <w:rPr>
                <w:rFonts w:ascii="Arial" w:hAnsi="Arial" w:cs="Arial"/>
                <w:spacing w:val="-5"/>
                <w:w w:val="105"/>
                <w:sz w:val="22"/>
                <w:szCs w:val="22"/>
              </w:rPr>
              <w:t xml:space="preserve"> </w:t>
            </w:r>
            <w:r w:rsidRPr="00477D63">
              <w:rPr>
                <w:rFonts w:ascii="Arial" w:hAnsi="Arial" w:cs="Arial"/>
                <w:w w:val="105"/>
                <w:sz w:val="22"/>
                <w:szCs w:val="22"/>
              </w:rPr>
              <w:t>Equipo</w:t>
            </w:r>
            <w:r w:rsidRPr="00477D63">
              <w:rPr>
                <w:rFonts w:ascii="Arial" w:hAnsi="Arial" w:cs="Arial"/>
                <w:spacing w:val="-4"/>
                <w:w w:val="105"/>
                <w:sz w:val="22"/>
                <w:szCs w:val="22"/>
              </w:rPr>
              <w:t xml:space="preserve"> </w:t>
            </w:r>
            <w:r w:rsidRPr="00477D63">
              <w:rPr>
                <w:rFonts w:ascii="Arial" w:hAnsi="Arial" w:cs="Arial"/>
                <w:w w:val="105"/>
                <w:sz w:val="22"/>
                <w:szCs w:val="22"/>
              </w:rPr>
              <w:t>y</w:t>
            </w:r>
            <w:r w:rsidRPr="00477D63">
              <w:rPr>
                <w:rFonts w:ascii="Arial" w:hAnsi="Arial" w:cs="Arial"/>
                <w:spacing w:val="-5"/>
                <w:w w:val="105"/>
                <w:sz w:val="22"/>
                <w:szCs w:val="22"/>
              </w:rPr>
              <w:t xml:space="preserve"> </w:t>
            </w:r>
            <w:r w:rsidRPr="00477D63">
              <w:rPr>
                <w:rFonts w:ascii="Arial" w:hAnsi="Arial" w:cs="Arial"/>
                <w:w w:val="105"/>
                <w:sz w:val="22"/>
                <w:szCs w:val="22"/>
              </w:rPr>
              <w:t>Administración</w:t>
            </w:r>
            <w:r w:rsidRPr="00477D63">
              <w:rPr>
                <w:rFonts w:ascii="Arial" w:hAnsi="Arial" w:cs="Arial"/>
                <w:spacing w:val="-4"/>
                <w:w w:val="105"/>
                <w:sz w:val="22"/>
                <w:szCs w:val="22"/>
              </w:rPr>
              <w:t xml:space="preserve"> </w:t>
            </w:r>
            <w:r w:rsidRPr="00477D63">
              <w:rPr>
                <w:rFonts w:ascii="Arial" w:hAnsi="Arial" w:cs="Arial"/>
                <w:w w:val="105"/>
                <w:sz w:val="22"/>
                <w:szCs w:val="22"/>
              </w:rPr>
              <w:t>de</w:t>
            </w:r>
            <w:r w:rsidRPr="00477D63">
              <w:rPr>
                <w:rFonts w:ascii="Arial" w:hAnsi="Arial" w:cs="Arial"/>
                <w:spacing w:val="-3"/>
                <w:w w:val="105"/>
                <w:sz w:val="22"/>
                <w:szCs w:val="22"/>
              </w:rPr>
              <w:t xml:space="preserve"> </w:t>
            </w:r>
            <w:r w:rsidRPr="00477D63">
              <w:rPr>
                <w:rFonts w:ascii="Arial" w:hAnsi="Arial" w:cs="Arial"/>
                <w:w w:val="105"/>
                <w:sz w:val="22"/>
                <w:szCs w:val="22"/>
              </w:rPr>
              <w:t>Personal</w:t>
            </w:r>
            <w:r w:rsidRPr="00477D63">
              <w:rPr>
                <w:rFonts w:ascii="Arial" w:hAnsi="Arial" w:cs="Arial"/>
                <w:spacing w:val="-3"/>
                <w:w w:val="105"/>
                <w:sz w:val="22"/>
                <w:szCs w:val="22"/>
              </w:rPr>
              <w:t xml:space="preserve"> </w:t>
            </w:r>
            <w:r w:rsidRPr="00477D63">
              <w:rPr>
                <w:rFonts w:ascii="Arial" w:hAnsi="Arial" w:cs="Arial"/>
                <w:w w:val="105"/>
                <w:sz w:val="22"/>
                <w:szCs w:val="22"/>
              </w:rPr>
              <w:t>que</w:t>
            </w:r>
            <w:r w:rsidRPr="00477D63">
              <w:rPr>
                <w:rFonts w:ascii="Arial" w:hAnsi="Arial" w:cs="Arial"/>
                <w:spacing w:val="-3"/>
                <w:w w:val="105"/>
                <w:sz w:val="22"/>
                <w:szCs w:val="22"/>
              </w:rPr>
              <w:t xml:space="preserve"> </w:t>
            </w:r>
            <w:r w:rsidRPr="00477D63">
              <w:rPr>
                <w:rFonts w:ascii="Arial" w:hAnsi="Arial" w:cs="Arial"/>
                <w:w w:val="105"/>
                <w:sz w:val="22"/>
                <w:szCs w:val="22"/>
              </w:rPr>
              <w:t>puedan</w:t>
            </w:r>
            <w:r w:rsidRPr="00477D63">
              <w:rPr>
                <w:rFonts w:ascii="Arial" w:hAnsi="Arial" w:cs="Arial"/>
                <w:spacing w:val="-4"/>
                <w:w w:val="105"/>
                <w:sz w:val="22"/>
                <w:szCs w:val="22"/>
              </w:rPr>
              <w:t xml:space="preserve"> </w:t>
            </w:r>
            <w:r w:rsidRPr="00477D63">
              <w:rPr>
                <w:rFonts w:ascii="Arial" w:hAnsi="Arial" w:cs="Arial"/>
                <w:w w:val="105"/>
                <w:sz w:val="22"/>
                <w:szCs w:val="22"/>
              </w:rPr>
              <w:t>hacer</w:t>
            </w:r>
            <w:r w:rsidRPr="00477D63">
              <w:rPr>
                <w:rFonts w:ascii="Arial" w:hAnsi="Arial" w:cs="Arial"/>
                <w:spacing w:val="-4"/>
                <w:w w:val="105"/>
                <w:sz w:val="22"/>
                <w:szCs w:val="22"/>
              </w:rPr>
              <w:t xml:space="preserve"> </w:t>
            </w:r>
            <w:r w:rsidRPr="00477D63">
              <w:rPr>
                <w:rFonts w:ascii="Arial" w:hAnsi="Arial" w:cs="Arial"/>
                <w:w w:val="105"/>
                <w:sz w:val="22"/>
                <w:szCs w:val="22"/>
              </w:rPr>
              <w:t>interfaz</w:t>
            </w:r>
            <w:r w:rsidRPr="00477D63">
              <w:rPr>
                <w:rFonts w:ascii="Arial" w:hAnsi="Arial" w:cs="Arial"/>
                <w:spacing w:val="-3"/>
                <w:w w:val="105"/>
                <w:sz w:val="22"/>
                <w:szCs w:val="22"/>
              </w:rPr>
              <w:t xml:space="preserve"> </w:t>
            </w:r>
            <w:r w:rsidRPr="00477D63">
              <w:rPr>
                <w:rFonts w:ascii="Arial" w:hAnsi="Arial" w:cs="Arial"/>
                <w:w w:val="105"/>
                <w:sz w:val="22"/>
                <w:szCs w:val="22"/>
              </w:rPr>
              <w:t>con</w:t>
            </w:r>
            <w:r w:rsidRPr="00477D63">
              <w:rPr>
                <w:rFonts w:ascii="Arial" w:hAnsi="Arial" w:cs="Arial"/>
                <w:spacing w:val="-4"/>
                <w:w w:val="105"/>
                <w:sz w:val="22"/>
                <w:szCs w:val="22"/>
              </w:rPr>
              <w:t xml:space="preserve"> </w:t>
            </w:r>
            <w:r w:rsidRPr="00477D63">
              <w:rPr>
                <w:rFonts w:ascii="Arial" w:hAnsi="Arial" w:cs="Arial"/>
                <w:w w:val="105"/>
                <w:sz w:val="22"/>
                <w:szCs w:val="22"/>
              </w:rPr>
              <w:t>el</w:t>
            </w:r>
            <w:r w:rsidRPr="00477D63">
              <w:rPr>
                <w:rFonts w:ascii="Arial" w:hAnsi="Arial" w:cs="Arial"/>
                <w:spacing w:val="-3"/>
                <w:w w:val="105"/>
                <w:sz w:val="22"/>
                <w:szCs w:val="22"/>
              </w:rPr>
              <w:t xml:space="preserve"> </w:t>
            </w:r>
            <w:r w:rsidRPr="00477D63">
              <w:rPr>
                <w:rFonts w:ascii="Arial" w:hAnsi="Arial" w:cs="Arial"/>
                <w:w w:val="105"/>
                <w:sz w:val="22"/>
                <w:szCs w:val="22"/>
              </w:rPr>
              <w:t>sistema</w:t>
            </w:r>
            <w:r w:rsidRPr="00477D63">
              <w:rPr>
                <w:rFonts w:ascii="Arial" w:hAnsi="Arial" w:cs="Arial"/>
                <w:spacing w:val="40"/>
                <w:w w:val="105"/>
                <w:sz w:val="22"/>
                <w:szCs w:val="22"/>
              </w:rPr>
              <w:t xml:space="preserve"> </w:t>
            </w:r>
            <w:r w:rsidRPr="00477D63">
              <w:rPr>
                <w:rFonts w:ascii="Arial" w:hAnsi="Arial" w:cs="Arial"/>
                <w:w w:val="105"/>
                <w:sz w:val="22"/>
                <w:szCs w:val="22"/>
              </w:rPr>
              <w:t>contable,</w:t>
            </w:r>
            <w:r w:rsidRPr="00477D63">
              <w:rPr>
                <w:rFonts w:ascii="Arial" w:hAnsi="Arial" w:cs="Arial"/>
                <w:spacing w:val="-2"/>
                <w:w w:val="105"/>
                <w:sz w:val="22"/>
                <w:szCs w:val="22"/>
              </w:rPr>
              <w:t xml:space="preserve"> </w:t>
            </w:r>
            <w:r w:rsidRPr="00477D63">
              <w:rPr>
                <w:rFonts w:ascii="Arial" w:hAnsi="Arial" w:cs="Arial"/>
                <w:w w:val="105"/>
                <w:sz w:val="22"/>
                <w:szCs w:val="22"/>
              </w:rPr>
              <w:t>por</w:t>
            </w:r>
            <w:r w:rsidRPr="00477D63">
              <w:rPr>
                <w:rFonts w:ascii="Arial" w:hAnsi="Arial" w:cs="Arial"/>
                <w:spacing w:val="-4"/>
                <w:w w:val="105"/>
                <w:sz w:val="22"/>
                <w:szCs w:val="22"/>
              </w:rPr>
              <w:t xml:space="preserve"> </w:t>
            </w:r>
            <w:r w:rsidRPr="00477D63">
              <w:rPr>
                <w:rFonts w:ascii="Arial" w:hAnsi="Arial" w:cs="Arial"/>
                <w:w w:val="105"/>
                <w:sz w:val="22"/>
                <w:szCs w:val="22"/>
              </w:rPr>
              <w:t>lo</w:t>
            </w:r>
            <w:r w:rsidRPr="00477D63">
              <w:rPr>
                <w:rFonts w:ascii="Arial" w:hAnsi="Arial" w:cs="Arial"/>
                <w:spacing w:val="-3"/>
                <w:w w:val="105"/>
                <w:sz w:val="22"/>
                <w:szCs w:val="22"/>
              </w:rPr>
              <w:t xml:space="preserve"> </w:t>
            </w:r>
            <w:r w:rsidRPr="00477D63">
              <w:rPr>
                <w:rFonts w:ascii="Arial" w:hAnsi="Arial" w:cs="Arial"/>
                <w:w w:val="105"/>
                <w:sz w:val="22"/>
                <w:szCs w:val="22"/>
              </w:rPr>
              <w:t>tanto,</w:t>
            </w:r>
            <w:r w:rsidRPr="00477D63">
              <w:rPr>
                <w:rFonts w:ascii="Arial" w:hAnsi="Arial" w:cs="Arial"/>
                <w:spacing w:val="-2"/>
                <w:w w:val="105"/>
                <w:sz w:val="22"/>
                <w:szCs w:val="22"/>
              </w:rPr>
              <w:t xml:space="preserve"> </w:t>
            </w:r>
            <w:r w:rsidRPr="00477D63">
              <w:rPr>
                <w:rFonts w:ascii="Arial" w:hAnsi="Arial" w:cs="Arial"/>
                <w:w w:val="105"/>
                <w:sz w:val="22"/>
                <w:szCs w:val="22"/>
              </w:rPr>
              <w:t>se</w:t>
            </w:r>
            <w:r w:rsidRPr="00477D63">
              <w:rPr>
                <w:rFonts w:ascii="Arial" w:hAnsi="Arial" w:cs="Arial"/>
                <w:spacing w:val="-2"/>
                <w:w w:val="105"/>
                <w:sz w:val="22"/>
                <w:szCs w:val="22"/>
              </w:rPr>
              <w:t xml:space="preserve"> </w:t>
            </w:r>
            <w:r w:rsidRPr="00477D63">
              <w:rPr>
                <w:rFonts w:ascii="Arial" w:hAnsi="Arial" w:cs="Arial"/>
                <w:w w:val="105"/>
                <w:sz w:val="22"/>
                <w:szCs w:val="22"/>
              </w:rPr>
              <w:t>debe</w:t>
            </w:r>
            <w:r w:rsidRPr="00477D63">
              <w:rPr>
                <w:rFonts w:ascii="Arial" w:hAnsi="Arial" w:cs="Arial"/>
                <w:spacing w:val="-2"/>
                <w:w w:val="105"/>
                <w:sz w:val="22"/>
                <w:szCs w:val="22"/>
              </w:rPr>
              <w:t xml:space="preserve"> </w:t>
            </w:r>
            <w:r w:rsidRPr="00477D63">
              <w:rPr>
                <w:rFonts w:ascii="Arial" w:hAnsi="Arial" w:cs="Arial"/>
                <w:w w:val="105"/>
                <w:sz w:val="22"/>
                <w:szCs w:val="22"/>
              </w:rPr>
              <w:t>hacer</w:t>
            </w:r>
            <w:r w:rsidRPr="00477D63">
              <w:rPr>
                <w:rFonts w:ascii="Arial" w:hAnsi="Arial" w:cs="Arial"/>
                <w:spacing w:val="-3"/>
                <w:w w:val="105"/>
                <w:sz w:val="22"/>
                <w:szCs w:val="22"/>
              </w:rPr>
              <w:t xml:space="preserve"> </w:t>
            </w:r>
            <w:r w:rsidRPr="00477D63">
              <w:rPr>
                <w:rFonts w:ascii="Arial" w:hAnsi="Arial" w:cs="Arial"/>
                <w:w w:val="105"/>
                <w:sz w:val="22"/>
                <w:szCs w:val="22"/>
              </w:rPr>
              <w:t>uso</w:t>
            </w:r>
            <w:r w:rsidRPr="00477D63">
              <w:rPr>
                <w:rFonts w:ascii="Arial" w:hAnsi="Arial" w:cs="Arial"/>
                <w:spacing w:val="-3"/>
                <w:w w:val="105"/>
                <w:sz w:val="22"/>
                <w:szCs w:val="22"/>
              </w:rPr>
              <w:t xml:space="preserve"> </w:t>
            </w:r>
            <w:r w:rsidRPr="00477D63">
              <w:rPr>
                <w:rFonts w:ascii="Arial" w:hAnsi="Arial" w:cs="Arial"/>
                <w:w w:val="105"/>
                <w:sz w:val="22"/>
                <w:szCs w:val="22"/>
              </w:rPr>
              <w:t>del</w:t>
            </w:r>
            <w:r w:rsidRPr="00477D63">
              <w:rPr>
                <w:rFonts w:ascii="Arial" w:hAnsi="Arial" w:cs="Arial"/>
                <w:spacing w:val="-2"/>
                <w:w w:val="105"/>
                <w:sz w:val="22"/>
                <w:szCs w:val="22"/>
              </w:rPr>
              <w:t xml:space="preserve"> </w:t>
            </w:r>
            <w:r w:rsidRPr="00477D63">
              <w:rPr>
                <w:rFonts w:ascii="Arial" w:hAnsi="Arial" w:cs="Arial"/>
                <w:w w:val="105"/>
                <w:sz w:val="22"/>
                <w:szCs w:val="22"/>
              </w:rPr>
              <w:t>sistema</w:t>
            </w:r>
            <w:r w:rsidRPr="00477D63">
              <w:rPr>
                <w:rFonts w:ascii="Arial" w:hAnsi="Arial" w:cs="Arial"/>
                <w:spacing w:val="-2"/>
                <w:w w:val="105"/>
                <w:sz w:val="22"/>
                <w:szCs w:val="22"/>
              </w:rPr>
              <w:t xml:space="preserve"> </w:t>
            </w:r>
            <w:r w:rsidRPr="00477D63">
              <w:rPr>
                <w:rFonts w:ascii="Arial" w:hAnsi="Arial" w:cs="Arial"/>
                <w:w w:val="105"/>
                <w:sz w:val="22"/>
                <w:szCs w:val="22"/>
              </w:rPr>
              <w:t>SAP,</w:t>
            </w:r>
            <w:r w:rsidRPr="00477D63">
              <w:rPr>
                <w:rFonts w:ascii="Arial" w:hAnsi="Arial" w:cs="Arial"/>
                <w:spacing w:val="-2"/>
                <w:w w:val="105"/>
                <w:sz w:val="22"/>
                <w:szCs w:val="22"/>
              </w:rPr>
              <w:t xml:space="preserve"> </w:t>
            </w:r>
            <w:r w:rsidRPr="00477D63">
              <w:rPr>
                <w:rFonts w:ascii="Arial" w:hAnsi="Arial" w:cs="Arial"/>
                <w:w w:val="105"/>
                <w:sz w:val="22"/>
                <w:szCs w:val="22"/>
              </w:rPr>
              <w:t>en</w:t>
            </w:r>
            <w:r w:rsidRPr="00477D63">
              <w:rPr>
                <w:rFonts w:ascii="Arial" w:hAnsi="Arial" w:cs="Arial"/>
                <w:spacing w:val="-3"/>
                <w:w w:val="105"/>
                <w:sz w:val="22"/>
                <w:szCs w:val="22"/>
              </w:rPr>
              <w:t xml:space="preserve"> </w:t>
            </w:r>
            <w:r w:rsidRPr="00477D63">
              <w:rPr>
                <w:rFonts w:ascii="Arial" w:hAnsi="Arial" w:cs="Arial"/>
                <w:w w:val="105"/>
                <w:sz w:val="22"/>
                <w:szCs w:val="22"/>
              </w:rPr>
              <w:t>el</w:t>
            </w:r>
            <w:r w:rsidRPr="00477D63">
              <w:rPr>
                <w:rFonts w:ascii="Arial" w:hAnsi="Arial" w:cs="Arial"/>
                <w:spacing w:val="-2"/>
                <w:w w:val="105"/>
                <w:sz w:val="22"/>
                <w:szCs w:val="22"/>
              </w:rPr>
              <w:t xml:space="preserve"> </w:t>
            </w:r>
            <w:r w:rsidRPr="00477D63">
              <w:rPr>
                <w:rFonts w:ascii="Arial" w:hAnsi="Arial" w:cs="Arial"/>
                <w:w w:val="105"/>
                <w:sz w:val="22"/>
                <w:szCs w:val="22"/>
              </w:rPr>
              <w:t>cual</w:t>
            </w:r>
            <w:r w:rsidRPr="00477D63">
              <w:rPr>
                <w:rFonts w:ascii="Arial" w:hAnsi="Arial" w:cs="Arial"/>
                <w:spacing w:val="-2"/>
                <w:w w:val="105"/>
                <w:sz w:val="22"/>
                <w:szCs w:val="22"/>
              </w:rPr>
              <w:t xml:space="preserve"> </w:t>
            </w:r>
            <w:r w:rsidRPr="00477D63">
              <w:rPr>
                <w:rFonts w:ascii="Arial" w:hAnsi="Arial" w:cs="Arial"/>
                <w:w w:val="105"/>
                <w:sz w:val="22"/>
                <w:szCs w:val="22"/>
              </w:rPr>
              <w:t>se</w:t>
            </w:r>
            <w:r w:rsidRPr="00477D63">
              <w:rPr>
                <w:rFonts w:ascii="Arial" w:hAnsi="Arial" w:cs="Arial"/>
                <w:spacing w:val="-2"/>
                <w:w w:val="105"/>
                <w:sz w:val="22"/>
                <w:szCs w:val="22"/>
              </w:rPr>
              <w:t xml:space="preserve"> </w:t>
            </w:r>
            <w:r w:rsidRPr="00477D63">
              <w:rPr>
                <w:rFonts w:ascii="Arial" w:hAnsi="Arial" w:cs="Arial"/>
                <w:w w:val="105"/>
                <w:sz w:val="22"/>
                <w:szCs w:val="22"/>
              </w:rPr>
              <w:t>debe</w:t>
            </w:r>
            <w:r w:rsidRPr="00477D63">
              <w:rPr>
                <w:rFonts w:ascii="Arial" w:hAnsi="Arial" w:cs="Arial"/>
                <w:spacing w:val="-2"/>
                <w:w w:val="105"/>
                <w:sz w:val="22"/>
                <w:szCs w:val="22"/>
              </w:rPr>
              <w:t xml:space="preserve"> </w:t>
            </w:r>
            <w:r w:rsidRPr="00477D63">
              <w:rPr>
                <w:rFonts w:ascii="Arial" w:hAnsi="Arial" w:cs="Arial"/>
                <w:w w:val="105"/>
                <w:sz w:val="22"/>
                <w:szCs w:val="22"/>
              </w:rPr>
              <w:t>registrar</w:t>
            </w:r>
            <w:r w:rsidRPr="00477D63">
              <w:rPr>
                <w:rFonts w:ascii="Arial" w:hAnsi="Arial" w:cs="Arial"/>
                <w:spacing w:val="-3"/>
                <w:w w:val="105"/>
                <w:sz w:val="22"/>
                <w:szCs w:val="22"/>
              </w:rPr>
              <w:t xml:space="preserve"> </w:t>
            </w:r>
            <w:r w:rsidRPr="00477D63">
              <w:rPr>
                <w:rFonts w:ascii="Arial" w:hAnsi="Arial" w:cs="Arial"/>
                <w:w w:val="105"/>
                <w:sz w:val="22"/>
                <w:szCs w:val="22"/>
              </w:rPr>
              <w:t>la</w:t>
            </w:r>
            <w:r w:rsidRPr="00477D63">
              <w:rPr>
                <w:rFonts w:ascii="Arial" w:hAnsi="Arial" w:cs="Arial"/>
                <w:spacing w:val="-2"/>
                <w:w w:val="105"/>
                <w:sz w:val="22"/>
                <w:szCs w:val="22"/>
              </w:rPr>
              <w:t xml:space="preserve"> </w:t>
            </w:r>
            <w:r w:rsidRPr="00477D63">
              <w:rPr>
                <w:rFonts w:ascii="Arial" w:hAnsi="Arial" w:cs="Arial"/>
                <w:w w:val="105"/>
                <w:sz w:val="22"/>
                <w:szCs w:val="22"/>
              </w:rPr>
              <w:t>parte</w:t>
            </w:r>
            <w:r w:rsidRPr="00477D63">
              <w:rPr>
                <w:rFonts w:ascii="Arial" w:hAnsi="Arial" w:cs="Arial"/>
                <w:spacing w:val="40"/>
                <w:w w:val="105"/>
                <w:sz w:val="22"/>
                <w:szCs w:val="22"/>
              </w:rPr>
              <w:t xml:space="preserve"> </w:t>
            </w:r>
            <w:r w:rsidRPr="00477D63">
              <w:rPr>
                <w:rFonts w:ascii="Arial" w:hAnsi="Arial" w:cs="Arial"/>
                <w:w w:val="105"/>
                <w:sz w:val="22"/>
                <w:szCs w:val="22"/>
              </w:rPr>
              <w:t>contractual,</w:t>
            </w:r>
            <w:r w:rsidRPr="00477D63">
              <w:rPr>
                <w:rFonts w:ascii="Arial" w:hAnsi="Arial" w:cs="Arial"/>
                <w:spacing w:val="-10"/>
                <w:w w:val="105"/>
                <w:sz w:val="22"/>
                <w:szCs w:val="22"/>
              </w:rPr>
              <w:t xml:space="preserve"> </w:t>
            </w:r>
            <w:r w:rsidRPr="00477D63">
              <w:rPr>
                <w:rFonts w:ascii="Arial" w:hAnsi="Arial" w:cs="Arial"/>
                <w:w w:val="105"/>
                <w:sz w:val="22"/>
                <w:szCs w:val="22"/>
              </w:rPr>
              <w:t>compras,</w:t>
            </w:r>
            <w:r w:rsidRPr="00477D63">
              <w:rPr>
                <w:rFonts w:ascii="Arial" w:hAnsi="Arial" w:cs="Arial"/>
                <w:spacing w:val="-9"/>
                <w:w w:val="105"/>
                <w:sz w:val="22"/>
                <w:szCs w:val="22"/>
              </w:rPr>
              <w:t xml:space="preserve"> </w:t>
            </w:r>
            <w:r w:rsidRPr="00477D63">
              <w:rPr>
                <w:rFonts w:ascii="Arial" w:hAnsi="Arial" w:cs="Arial"/>
                <w:w w:val="105"/>
                <w:sz w:val="22"/>
                <w:szCs w:val="22"/>
              </w:rPr>
              <w:t>almacén,</w:t>
            </w:r>
            <w:r w:rsidRPr="00477D63">
              <w:rPr>
                <w:rFonts w:ascii="Arial" w:hAnsi="Arial" w:cs="Arial"/>
                <w:spacing w:val="-9"/>
                <w:w w:val="105"/>
                <w:sz w:val="22"/>
                <w:szCs w:val="22"/>
              </w:rPr>
              <w:t xml:space="preserve"> </w:t>
            </w:r>
            <w:r w:rsidRPr="00477D63">
              <w:rPr>
                <w:rFonts w:ascii="Arial" w:hAnsi="Arial" w:cs="Arial"/>
                <w:w w:val="105"/>
                <w:sz w:val="22"/>
                <w:szCs w:val="22"/>
              </w:rPr>
              <w:t>contabilidad</w:t>
            </w:r>
            <w:r w:rsidRPr="00477D63">
              <w:rPr>
                <w:rFonts w:ascii="Arial" w:hAnsi="Arial" w:cs="Arial"/>
                <w:spacing w:val="10"/>
                <w:w w:val="105"/>
                <w:sz w:val="22"/>
                <w:szCs w:val="22"/>
              </w:rPr>
              <w:t xml:space="preserve"> </w:t>
            </w:r>
            <w:r w:rsidRPr="00477D63">
              <w:rPr>
                <w:rFonts w:ascii="Arial" w:hAnsi="Arial" w:cs="Arial"/>
                <w:w w:val="105"/>
                <w:sz w:val="22"/>
                <w:szCs w:val="22"/>
              </w:rPr>
              <w:t>y</w:t>
            </w:r>
            <w:r w:rsidRPr="00477D63">
              <w:rPr>
                <w:rFonts w:ascii="Arial" w:hAnsi="Arial" w:cs="Arial"/>
                <w:spacing w:val="-9"/>
                <w:w w:val="105"/>
                <w:sz w:val="22"/>
                <w:szCs w:val="22"/>
              </w:rPr>
              <w:t xml:space="preserve"> </w:t>
            </w:r>
            <w:r w:rsidRPr="00477D63">
              <w:rPr>
                <w:rFonts w:ascii="Arial" w:hAnsi="Arial" w:cs="Arial"/>
                <w:w w:val="105"/>
                <w:sz w:val="22"/>
                <w:szCs w:val="22"/>
              </w:rPr>
              <w:t>tesorería,</w:t>
            </w:r>
            <w:r w:rsidRPr="00477D63">
              <w:rPr>
                <w:rFonts w:ascii="Arial" w:hAnsi="Arial" w:cs="Arial"/>
                <w:spacing w:val="-10"/>
                <w:w w:val="105"/>
                <w:sz w:val="22"/>
                <w:szCs w:val="22"/>
              </w:rPr>
              <w:t xml:space="preserve"> </w:t>
            </w:r>
            <w:r w:rsidRPr="00477D63">
              <w:rPr>
                <w:rFonts w:ascii="Arial" w:hAnsi="Arial" w:cs="Arial"/>
                <w:w w:val="105"/>
                <w:sz w:val="22"/>
                <w:szCs w:val="22"/>
              </w:rPr>
              <w:t>lo</w:t>
            </w:r>
            <w:r w:rsidRPr="00477D63">
              <w:rPr>
                <w:rFonts w:ascii="Arial" w:hAnsi="Arial" w:cs="Arial"/>
                <w:spacing w:val="-9"/>
                <w:w w:val="105"/>
                <w:sz w:val="22"/>
                <w:szCs w:val="22"/>
              </w:rPr>
              <w:t xml:space="preserve"> </w:t>
            </w:r>
            <w:r w:rsidRPr="00477D63">
              <w:rPr>
                <w:rFonts w:ascii="Arial" w:hAnsi="Arial" w:cs="Arial"/>
                <w:w w:val="105"/>
                <w:sz w:val="22"/>
                <w:szCs w:val="22"/>
              </w:rPr>
              <w:t>que</w:t>
            </w:r>
            <w:r w:rsidRPr="00477D63">
              <w:rPr>
                <w:rFonts w:ascii="Arial" w:hAnsi="Arial" w:cs="Arial"/>
                <w:spacing w:val="-9"/>
                <w:w w:val="105"/>
                <w:sz w:val="22"/>
                <w:szCs w:val="22"/>
              </w:rPr>
              <w:t xml:space="preserve"> </w:t>
            </w:r>
            <w:r w:rsidRPr="00477D63">
              <w:rPr>
                <w:rFonts w:ascii="Arial" w:hAnsi="Arial" w:cs="Arial"/>
                <w:w w:val="105"/>
                <w:sz w:val="22"/>
                <w:szCs w:val="22"/>
              </w:rPr>
              <w:t>significa</w:t>
            </w:r>
            <w:r w:rsidRPr="00477D63">
              <w:rPr>
                <w:rFonts w:ascii="Arial" w:hAnsi="Arial" w:cs="Arial"/>
                <w:spacing w:val="-9"/>
                <w:w w:val="105"/>
                <w:sz w:val="22"/>
                <w:szCs w:val="22"/>
              </w:rPr>
              <w:t xml:space="preserve"> </w:t>
            </w:r>
            <w:r w:rsidRPr="00477D63">
              <w:rPr>
                <w:rFonts w:ascii="Arial" w:hAnsi="Arial" w:cs="Arial"/>
                <w:w w:val="105"/>
                <w:sz w:val="22"/>
                <w:szCs w:val="22"/>
              </w:rPr>
              <w:t>hacer</w:t>
            </w:r>
            <w:r w:rsidRPr="00477D63">
              <w:rPr>
                <w:rFonts w:ascii="Arial" w:hAnsi="Arial" w:cs="Arial"/>
                <w:spacing w:val="-10"/>
                <w:w w:val="105"/>
                <w:sz w:val="22"/>
                <w:szCs w:val="22"/>
              </w:rPr>
              <w:t xml:space="preserve"> </w:t>
            </w:r>
            <w:r w:rsidRPr="00477D63">
              <w:rPr>
                <w:rFonts w:ascii="Arial" w:hAnsi="Arial" w:cs="Arial"/>
                <w:w w:val="105"/>
                <w:sz w:val="22"/>
                <w:szCs w:val="22"/>
              </w:rPr>
              <w:t>carga</w:t>
            </w:r>
            <w:r w:rsidRPr="00477D63">
              <w:rPr>
                <w:rFonts w:ascii="Arial" w:hAnsi="Arial" w:cs="Arial"/>
                <w:spacing w:val="-9"/>
                <w:w w:val="105"/>
                <w:sz w:val="22"/>
                <w:szCs w:val="22"/>
              </w:rPr>
              <w:t xml:space="preserve"> </w:t>
            </w:r>
            <w:r w:rsidRPr="00477D63">
              <w:rPr>
                <w:rFonts w:ascii="Arial" w:hAnsi="Arial" w:cs="Arial"/>
                <w:w w:val="105"/>
                <w:sz w:val="22"/>
                <w:szCs w:val="22"/>
              </w:rPr>
              <w:t>de</w:t>
            </w:r>
            <w:r w:rsidRPr="00477D63">
              <w:rPr>
                <w:rFonts w:ascii="Arial" w:hAnsi="Arial" w:cs="Arial"/>
                <w:spacing w:val="-9"/>
                <w:w w:val="105"/>
                <w:sz w:val="22"/>
                <w:szCs w:val="22"/>
              </w:rPr>
              <w:t xml:space="preserve"> </w:t>
            </w:r>
            <w:r w:rsidRPr="00477D63">
              <w:rPr>
                <w:rFonts w:ascii="Arial" w:hAnsi="Arial" w:cs="Arial"/>
                <w:w w:val="105"/>
                <w:sz w:val="22"/>
                <w:szCs w:val="22"/>
              </w:rPr>
              <w:t>información</w:t>
            </w:r>
            <w:r w:rsidRPr="00477D63">
              <w:rPr>
                <w:rFonts w:ascii="Arial" w:hAnsi="Arial" w:cs="Arial"/>
                <w:spacing w:val="40"/>
                <w:w w:val="105"/>
                <w:sz w:val="22"/>
                <w:szCs w:val="22"/>
              </w:rPr>
              <w:t xml:space="preserve"> </w:t>
            </w:r>
            <w:r w:rsidRPr="00477D63">
              <w:rPr>
                <w:rFonts w:ascii="Arial" w:hAnsi="Arial" w:cs="Arial"/>
                <w:w w:val="105"/>
                <w:sz w:val="22"/>
                <w:szCs w:val="22"/>
              </w:rPr>
              <w:t>manual y duplicidad de actividades.</w:t>
            </w:r>
          </w:p>
        </w:tc>
      </w:tr>
    </w:tbl>
    <w:p w14:paraId="7C11F8B4" w14:textId="77777777" w:rsidR="00561B22" w:rsidRPr="00477D63" w:rsidRDefault="00561B22" w:rsidP="00561B22">
      <w:pPr>
        <w:pStyle w:val="Textoindependiente"/>
        <w:ind w:right="-50"/>
        <w:jc w:val="both"/>
        <w:rPr>
          <w:rFonts w:ascii="Arial" w:hAnsi="Arial" w:cs="Arial"/>
          <w:b/>
          <w:bCs/>
        </w:rPr>
      </w:pPr>
    </w:p>
    <w:p w14:paraId="587F19AF" w14:textId="77777777" w:rsidR="00561B22" w:rsidRPr="00477D63" w:rsidRDefault="00561B22" w:rsidP="00561B22">
      <w:pPr>
        <w:jc w:val="both"/>
        <w:rPr>
          <w:rFonts w:ascii="Arial" w:hAnsi="Arial" w:cs="Arial"/>
          <w:b/>
          <w:lang w:val="es-MX"/>
        </w:rPr>
      </w:pPr>
      <w:r w:rsidRPr="00477D63">
        <w:rPr>
          <w:rFonts w:ascii="Arial" w:hAnsi="Arial" w:cs="Arial"/>
          <w:b/>
          <w:lang w:val="es-MX"/>
        </w:rPr>
        <w:t>Del citado informe retomamos las siguientes recomendaciones:</w:t>
      </w:r>
    </w:p>
    <w:p w14:paraId="1F093800" w14:textId="77777777" w:rsidR="00561B22" w:rsidRPr="00477D63"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477D63" w14:paraId="3AFFEFFD" w14:textId="77777777" w:rsidTr="00F1223B">
        <w:tc>
          <w:tcPr>
            <w:tcW w:w="562" w:type="dxa"/>
          </w:tcPr>
          <w:p w14:paraId="3FB62148" w14:textId="77777777" w:rsidR="00561B22" w:rsidRPr="00477D63" w:rsidRDefault="00561B22" w:rsidP="00F1223B">
            <w:pPr>
              <w:ind w:right="-109"/>
              <w:jc w:val="center"/>
              <w:rPr>
                <w:rFonts w:ascii="Arial" w:hAnsi="Arial" w:cs="Arial"/>
                <w:b/>
                <w:sz w:val="22"/>
                <w:szCs w:val="22"/>
                <w:lang w:val="es-MX"/>
              </w:rPr>
            </w:pPr>
            <w:r w:rsidRPr="00477D63">
              <w:rPr>
                <w:rFonts w:ascii="Arial" w:hAnsi="Arial" w:cs="Arial"/>
                <w:b/>
                <w:sz w:val="22"/>
                <w:szCs w:val="22"/>
                <w:lang w:val="es-MX"/>
              </w:rPr>
              <w:t>N°</w:t>
            </w:r>
          </w:p>
        </w:tc>
        <w:tc>
          <w:tcPr>
            <w:tcW w:w="9400" w:type="dxa"/>
          </w:tcPr>
          <w:p w14:paraId="4927935C"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t>RECOMENDACIONES</w:t>
            </w:r>
          </w:p>
          <w:p w14:paraId="0E4CFFD9" w14:textId="77777777" w:rsidR="00561B22" w:rsidRPr="00477D63" w:rsidRDefault="00561B22" w:rsidP="00F1223B">
            <w:pPr>
              <w:jc w:val="center"/>
              <w:rPr>
                <w:rFonts w:ascii="Arial" w:hAnsi="Arial" w:cs="Arial"/>
                <w:b/>
                <w:sz w:val="22"/>
                <w:szCs w:val="22"/>
                <w:lang w:val="es-MX"/>
              </w:rPr>
            </w:pPr>
          </w:p>
        </w:tc>
      </w:tr>
      <w:tr w:rsidR="00561B22" w:rsidRPr="00477D63" w14:paraId="64E5B41B" w14:textId="77777777" w:rsidTr="00F1223B">
        <w:tc>
          <w:tcPr>
            <w:tcW w:w="562" w:type="dxa"/>
          </w:tcPr>
          <w:p w14:paraId="07A693AE"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t>1</w:t>
            </w:r>
          </w:p>
        </w:tc>
        <w:tc>
          <w:tcPr>
            <w:tcW w:w="9400" w:type="dxa"/>
          </w:tcPr>
          <w:p w14:paraId="1C7C3ABA" w14:textId="77777777" w:rsidR="00561B22" w:rsidRPr="00477D63" w:rsidRDefault="00561B22" w:rsidP="00F1223B">
            <w:pPr>
              <w:jc w:val="both"/>
              <w:rPr>
                <w:rFonts w:ascii="Arial" w:hAnsi="Arial" w:cs="Arial"/>
                <w:b/>
                <w:sz w:val="22"/>
                <w:szCs w:val="22"/>
                <w:lang w:val="es-MX"/>
              </w:rPr>
            </w:pPr>
            <w:r w:rsidRPr="00477D63">
              <w:rPr>
                <w:rFonts w:ascii="Arial" w:hAnsi="Arial" w:cs="Arial"/>
                <w:w w:val="105"/>
                <w:sz w:val="22"/>
                <w:szCs w:val="22"/>
              </w:rPr>
              <w:t>Establecer</w:t>
            </w:r>
            <w:r w:rsidRPr="00477D63">
              <w:rPr>
                <w:rFonts w:ascii="Arial" w:hAnsi="Arial" w:cs="Arial"/>
                <w:spacing w:val="-10"/>
                <w:w w:val="105"/>
                <w:sz w:val="22"/>
                <w:szCs w:val="22"/>
              </w:rPr>
              <w:t xml:space="preserve"> </w:t>
            </w:r>
            <w:r w:rsidRPr="00477D63">
              <w:rPr>
                <w:rFonts w:ascii="Arial" w:hAnsi="Arial" w:cs="Arial"/>
                <w:w w:val="105"/>
                <w:sz w:val="22"/>
                <w:szCs w:val="22"/>
              </w:rPr>
              <w:t>puntos</w:t>
            </w:r>
            <w:r w:rsidRPr="00477D63">
              <w:rPr>
                <w:rFonts w:ascii="Arial" w:hAnsi="Arial" w:cs="Arial"/>
                <w:spacing w:val="-9"/>
                <w:w w:val="105"/>
                <w:sz w:val="22"/>
                <w:szCs w:val="22"/>
              </w:rPr>
              <w:t xml:space="preserve"> </w:t>
            </w:r>
            <w:r w:rsidRPr="00477D63">
              <w:rPr>
                <w:rFonts w:ascii="Arial" w:hAnsi="Arial" w:cs="Arial"/>
                <w:w w:val="105"/>
                <w:sz w:val="22"/>
                <w:szCs w:val="22"/>
              </w:rPr>
              <w:t>de</w:t>
            </w:r>
            <w:r w:rsidRPr="00477D63">
              <w:rPr>
                <w:rFonts w:ascii="Arial" w:hAnsi="Arial" w:cs="Arial"/>
                <w:spacing w:val="-9"/>
                <w:w w:val="105"/>
                <w:sz w:val="22"/>
                <w:szCs w:val="22"/>
              </w:rPr>
              <w:t xml:space="preserve"> </w:t>
            </w:r>
            <w:r w:rsidRPr="00477D63">
              <w:rPr>
                <w:rFonts w:ascii="Arial" w:hAnsi="Arial" w:cs="Arial"/>
                <w:w w:val="105"/>
                <w:sz w:val="22"/>
                <w:szCs w:val="22"/>
              </w:rPr>
              <w:t>control</w:t>
            </w:r>
            <w:r w:rsidRPr="00477D63">
              <w:rPr>
                <w:rFonts w:ascii="Arial" w:hAnsi="Arial" w:cs="Arial"/>
                <w:spacing w:val="-9"/>
                <w:w w:val="105"/>
                <w:sz w:val="22"/>
                <w:szCs w:val="22"/>
              </w:rPr>
              <w:t xml:space="preserve"> </w:t>
            </w:r>
            <w:r w:rsidRPr="00477D63">
              <w:rPr>
                <w:rFonts w:ascii="Arial" w:hAnsi="Arial" w:cs="Arial"/>
                <w:w w:val="105"/>
                <w:sz w:val="22"/>
                <w:szCs w:val="22"/>
              </w:rPr>
              <w:t>para</w:t>
            </w:r>
            <w:r w:rsidRPr="00477D63">
              <w:rPr>
                <w:rFonts w:ascii="Arial" w:hAnsi="Arial" w:cs="Arial"/>
                <w:spacing w:val="-10"/>
                <w:w w:val="105"/>
                <w:sz w:val="22"/>
                <w:szCs w:val="22"/>
              </w:rPr>
              <w:t xml:space="preserve"> </w:t>
            </w:r>
            <w:r w:rsidRPr="00477D63">
              <w:rPr>
                <w:rFonts w:ascii="Arial" w:hAnsi="Arial" w:cs="Arial"/>
                <w:w w:val="105"/>
                <w:sz w:val="22"/>
                <w:szCs w:val="22"/>
              </w:rPr>
              <w:t>la</w:t>
            </w:r>
            <w:r w:rsidRPr="00477D63">
              <w:rPr>
                <w:rFonts w:ascii="Arial" w:hAnsi="Arial" w:cs="Arial"/>
                <w:spacing w:val="-9"/>
                <w:w w:val="105"/>
                <w:sz w:val="22"/>
                <w:szCs w:val="22"/>
              </w:rPr>
              <w:t xml:space="preserve"> </w:t>
            </w:r>
            <w:r w:rsidRPr="00477D63">
              <w:rPr>
                <w:rFonts w:ascii="Arial" w:hAnsi="Arial" w:cs="Arial"/>
                <w:w w:val="105"/>
                <w:sz w:val="22"/>
                <w:szCs w:val="22"/>
              </w:rPr>
              <w:t>mejora</w:t>
            </w:r>
            <w:r w:rsidRPr="00477D63">
              <w:rPr>
                <w:rFonts w:ascii="Arial" w:hAnsi="Arial" w:cs="Arial"/>
                <w:spacing w:val="-9"/>
                <w:w w:val="105"/>
                <w:sz w:val="22"/>
                <w:szCs w:val="22"/>
              </w:rPr>
              <w:t xml:space="preserve"> </w:t>
            </w:r>
            <w:r w:rsidRPr="00477D63">
              <w:rPr>
                <w:rFonts w:ascii="Arial" w:hAnsi="Arial" w:cs="Arial"/>
                <w:w w:val="105"/>
                <w:sz w:val="22"/>
                <w:szCs w:val="22"/>
              </w:rPr>
              <w:t>continua</w:t>
            </w:r>
            <w:r w:rsidRPr="00477D63">
              <w:rPr>
                <w:rFonts w:ascii="Arial" w:hAnsi="Arial" w:cs="Arial"/>
                <w:spacing w:val="-9"/>
                <w:w w:val="105"/>
                <w:sz w:val="22"/>
                <w:szCs w:val="22"/>
              </w:rPr>
              <w:t xml:space="preserve"> </w:t>
            </w:r>
            <w:r w:rsidRPr="00477D63">
              <w:rPr>
                <w:rFonts w:ascii="Arial" w:hAnsi="Arial" w:cs="Arial"/>
                <w:w w:val="105"/>
                <w:sz w:val="22"/>
                <w:szCs w:val="22"/>
              </w:rPr>
              <w:t>de</w:t>
            </w:r>
            <w:r w:rsidRPr="00477D63">
              <w:rPr>
                <w:rFonts w:ascii="Arial" w:hAnsi="Arial" w:cs="Arial"/>
                <w:spacing w:val="-10"/>
                <w:w w:val="105"/>
                <w:sz w:val="22"/>
                <w:szCs w:val="22"/>
              </w:rPr>
              <w:t xml:space="preserve"> </w:t>
            </w:r>
            <w:r w:rsidRPr="00477D63">
              <w:rPr>
                <w:rFonts w:ascii="Arial" w:hAnsi="Arial" w:cs="Arial"/>
                <w:w w:val="105"/>
                <w:sz w:val="22"/>
                <w:szCs w:val="22"/>
              </w:rPr>
              <w:t>la</w:t>
            </w:r>
            <w:r w:rsidRPr="00477D63">
              <w:rPr>
                <w:rFonts w:ascii="Arial" w:hAnsi="Arial" w:cs="Arial"/>
                <w:spacing w:val="-9"/>
                <w:w w:val="105"/>
                <w:sz w:val="22"/>
                <w:szCs w:val="22"/>
              </w:rPr>
              <w:t xml:space="preserve"> </w:t>
            </w:r>
            <w:r w:rsidRPr="00477D63">
              <w:rPr>
                <w:rFonts w:ascii="Arial" w:hAnsi="Arial" w:cs="Arial"/>
                <w:w w:val="105"/>
                <w:sz w:val="22"/>
                <w:szCs w:val="22"/>
              </w:rPr>
              <w:t>comunicación</w:t>
            </w:r>
            <w:r w:rsidRPr="00477D63">
              <w:rPr>
                <w:rFonts w:ascii="Arial" w:hAnsi="Arial" w:cs="Arial"/>
                <w:spacing w:val="-9"/>
                <w:w w:val="105"/>
                <w:sz w:val="22"/>
                <w:szCs w:val="22"/>
              </w:rPr>
              <w:t xml:space="preserve"> </w:t>
            </w:r>
            <w:r w:rsidRPr="00477D63">
              <w:rPr>
                <w:rFonts w:ascii="Arial" w:hAnsi="Arial" w:cs="Arial"/>
                <w:w w:val="105"/>
                <w:sz w:val="22"/>
                <w:szCs w:val="22"/>
              </w:rPr>
              <w:t>entre</w:t>
            </w:r>
            <w:r w:rsidRPr="00477D63">
              <w:rPr>
                <w:rFonts w:ascii="Arial" w:hAnsi="Arial" w:cs="Arial"/>
                <w:spacing w:val="-9"/>
                <w:w w:val="105"/>
                <w:sz w:val="22"/>
                <w:szCs w:val="22"/>
              </w:rPr>
              <w:t xml:space="preserve"> </w:t>
            </w:r>
            <w:r w:rsidRPr="00477D63">
              <w:rPr>
                <w:rFonts w:ascii="Arial" w:hAnsi="Arial" w:cs="Arial"/>
                <w:w w:val="105"/>
                <w:sz w:val="22"/>
                <w:szCs w:val="22"/>
              </w:rPr>
              <w:t>el</w:t>
            </w:r>
            <w:r w:rsidRPr="00477D63">
              <w:rPr>
                <w:rFonts w:ascii="Arial" w:hAnsi="Arial" w:cs="Arial"/>
                <w:spacing w:val="-9"/>
                <w:w w:val="105"/>
                <w:sz w:val="22"/>
                <w:szCs w:val="22"/>
              </w:rPr>
              <w:t xml:space="preserve"> </w:t>
            </w:r>
            <w:r w:rsidRPr="00477D63">
              <w:rPr>
                <w:rFonts w:ascii="Arial" w:hAnsi="Arial" w:cs="Arial"/>
                <w:w w:val="105"/>
                <w:sz w:val="22"/>
                <w:szCs w:val="22"/>
              </w:rPr>
              <w:t>proceso</w:t>
            </w:r>
            <w:r w:rsidRPr="00477D63">
              <w:rPr>
                <w:rFonts w:ascii="Arial" w:hAnsi="Arial" w:cs="Arial"/>
                <w:spacing w:val="-10"/>
                <w:w w:val="105"/>
                <w:sz w:val="22"/>
                <w:szCs w:val="22"/>
              </w:rPr>
              <w:t xml:space="preserve"> </w:t>
            </w:r>
            <w:r w:rsidRPr="00477D63">
              <w:rPr>
                <w:rFonts w:ascii="Arial" w:hAnsi="Arial" w:cs="Arial"/>
                <w:w w:val="105"/>
                <w:sz w:val="22"/>
                <w:szCs w:val="22"/>
              </w:rPr>
              <w:t>financiero</w:t>
            </w:r>
            <w:r w:rsidRPr="00477D63">
              <w:rPr>
                <w:rFonts w:ascii="Arial" w:hAnsi="Arial" w:cs="Arial"/>
                <w:spacing w:val="-9"/>
                <w:w w:val="105"/>
                <w:sz w:val="22"/>
                <w:szCs w:val="22"/>
              </w:rPr>
              <w:t xml:space="preserve"> </w:t>
            </w:r>
            <w:r w:rsidRPr="00477D63">
              <w:rPr>
                <w:rFonts w:ascii="Arial" w:hAnsi="Arial" w:cs="Arial"/>
                <w:w w:val="105"/>
                <w:sz w:val="22"/>
                <w:szCs w:val="22"/>
              </w:rPr>
              <w:t>y</w:t>
            </w:r>
            <w:r w:rsidRPr="00477D63">
              <w:rPr>
                <w:rFonts w:ascii="Arial" w:hAnsi="Arial" w:cs="Arial"/>
                <w:spacing w:val="40"/>
                <w:w w:val="105"/>
                <w:sz w:val="22"/>
                <w:szCs w:val="22"/>
              </w:rPr>
              <w:t xml:space="preserve"> </w:t>
            </w:r>
            <w:r w:rsidRPr="00477D63">
              <w:rPr>
                <w:rFonts w:ascii="Arial" w:hAnsi="Arial" w:cs="Arial"/>
                <w:w w:val="105"/>
                <w:sz w:val="22"/>
                <w:szCs w:val="22"/>
              </w:rPr>
              <w:t>las</w:t>
            </w:r>
            <w:r w:rsidRPr="00477D63">
              <w:rPr>
                <w:rFonts w:ascii="Arial" w:hAnsi="Arial" w:cs="Arial"/>
                <w:spacing w:val="-5"/>
                <w:w w:val="105"/>
                <w:sz w:val="22"/>
                <w:szCs w:val="22"/>
              </w:rPr>
              <w:t xml:space="preserve"> </w:t>
            </w:r>
            <w:r w:rsidRPr="00477D63">
              <w:rPr>
                <w:rFonts w:ascii="Arial" w:hAnsi="Arial" w:cs="Arial"/>
                <w:w w:val="105"/>
                <w:sz w:val="22"/>
                <w:szCs w:val="22"/>
              </w:rPr>
              <w:t>áreas</w:t>
            </w:r>
            <w:r w:rsidRPr="00477D63">
              <w:rPr>
                <w:rFonts w:ascii="Arial" w:hAnsi="Arial" w:cs="Arial"/>
                <w:spacing w:val="-5"/>
                <w:w w:val="105"/>
                <w:sz w:val="22"/>
                <w:szCs w:val="22"/>
              </w:rPr>
              <w:t xml:space="preserve"> </w:t>
            </w:r>
            <w:r w:rsidRPr="00477D63">
              <w:rPr>
                <w:rFonts w:ascii="Arial" w:hAnsi="Arial" w:cs="Arial"/>
                <w:w w:val="105"/>
                <w:sz w:val="22"/>
                <w:szCs w:val="22"/>
              </w:rPr>
              <w:t>proveedoras</w:t>
            </w:r>
            <w:r w:rsidRPr="00477D63">
              <w:rPr>
                <w:rFonts w:ascii="Arial" w:hAnsi="Arial" w:cs="Arial"/>
                <w:spacing w:val="-5"/>
                <w:w w:val="105"/>
                <w:sz w:val="22"/>
                <w:szCs w:val="22"/>
              </w:rPr>
              <w:t xml:space="preserve"> </w:t>
            </w:r>
            <w:r w:rsidRPr="00477D63">
              <w:rPr>
                <w:rFonts w:ascii="Arial" w:hAnsi="Arial" w:cs="Arial"/>
                <w:w w:val="105"/>
                <w:sz w:val="22"/>
                <w:szCs w:val="22"/>
              </w:rPr>
              <w:t>de</w:t>
            </w:r>
            <w:r w:rsidRPr="00477D63">
              <w:rPr>
                <w:rFonts w:ascii="Arial" w:hAnsi="Arial" w:cs="Arial"/>
                <w:spacing w:val="-3"/>
                <w:w w:val="105"/>
                <w:sz w:val="22"/>
                <w:szCs w:val="22"/>
              </w:rPr>
              <w:t xml:space="preserve"> </w:t>
            </w:r>
            <w:r w:rsidRPr="00477D63">
              <w:rPr>
                <w:rFonts w:ascii="Arial" w:hAnsi="Arial" w:cs="Arial"/>
                <w:w w:val="105"/>
                <w:sz w:val="22"/>
                <w:szCs w:val="22"/>
              </w:rPr>
              <w:t>información.</w:t>
            </w:r>
            <w:r w:rsidRPr="00477D63">
              <w:rPr>
                <w:rFonts w:ascii="Arial" w:hAnsi="Arial" w:cs="Arial"/>
                <w:spacing w:val="-3"/>
                <w:w w:val="105"/>
                <w:sz w:val="22"/>
                <w:szCs w:val="22"/>
              </w:rPr>
              <w:t xml:space="preserve"> </w:t>
            </w:r>
          </w:p>
        </w:tc>
      </w:tr>
      <w:tr w:rsidR="00561B22" w:rsidRPr="00477D63" w14:paraId="6769CD97" w14:textId="77777777" w:rsidTr="00F1223B">
        <w:tc>
          <w:tcPr>
            <w:tcW w:w="562" w:type="dxa"/>
          </w:tcPr>
          <w:p w14:paraId="5B3B5509"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t>2</w:t>
            </w:r>
          </w:p>
        </w:tc>
        <w:tc>
          <w:tcPr>
            <w:tcW w:w="9400" w:type="dxa"/>
          </w:tcPr>
          <w:p w14:paraId="0E3A2353" w14:textId="77777777" w:rsidR="00561B22" w:rsidRPr="00477D63" w:rsidRDefault="00561B22" w:rsidP="00F1223B">
            <w:pPr>
              <w:rPr>
                <w:rFonts w:ascii="Arial" w:hAnsi="Arial" w:cs="Arial"/>
                <w:b/>
                <w:sz w:val="22"/>
                <w:szCs w:val="22"/>
                <w:lang w:val="es-MX"/>
              </w:rPr>
            </w:pPr>
            <w:r w:rsidRPr="00477D63">
              <w:rPr>
                <w:rFonts w:ascii="Arial" w:hAnsi="Arial" w:cs="Arial"/>
                <w:w w:val="105"/>
                <w:sz w:val="22"/>
                <w:szCs w:val="22"/>
              </w:rPr>
              <w:t>Hacer</w:t>
            </w:r>
            <w:r w:rsidRPr="00477D63">
              <w:rPr>
                <w:rFonts w:ascii="Arial" w:hAnsi="Arial" w:cs="Arial"/>
                <w:spacing w:val="-4"/>
                <w:w w:val="105"/>
                <w:sz w:val="22"/>
                <w:szCs w:val="22"/>
              </w:rPr>
              <w:t xml:space="preserve"> </w:t>
            </w:r>
            <w:r w:rsidRPr="00477D63">
              <w:rPr>
                <w:rFonts w:ascii="Arial" w:hAnsi="Arial" w:cs="Arial"/>
                <w:w w:val="105"/>
                <w:sz w:val="22"/>
                <w:szCs w:val="22"/>
              </w:rPr>
              <w:t>verificación</w:t>
            </w:r>
            <w:r w:rsidRPr="00477D63">
              <w:rPr>
                <w:rFonts w:ascii="Arial" w:hAnsi="Arial" w:cs="Arial"/>
                <w:spacing w:val="-4"/>
                <w:w w:val="105"/>
                <w:sz w:val="22"/>
                <w:szCs w:val="22"/>
              </w:rPr>
              <w:t xml:space="preserve"> </w:t>
            </w:r>
            <w:r w:rsidRPr="00477D63">
              <w:rPr>
                <w:rFonts w:ascii="Arial" w:hAnsi="Arial" w:cs="Arial"/>
                <w:w w:val="105"/>
                <w:sz w:val="22"/>
                <w:szCs w:val="22"/>
              </w:rPr>
              <w:t>y</w:t>
            </w:r>
            <w:r w:rsidRPr="00477D63">
              <w:rPr>
                <w:rFonts w:ascii="Arial" w:hAnsi="Arial" w:cs="Arial"/>
                <w:spacing w:val="-5"/>
                <w:w w:val="105"/>
                <w:sz w:val="22"/>
                <w:szCs w:val="22"/>
              </w:rPr>
              <w:t xml:space="preserve"> </w:t>
            </w:r>
            <w:r w:rsidRPr="00477D63">
              <w:rPr>
                <w:rFonts w:ascii="Arial" w:hAnsi="Arial" w:cs="Arial"/>
                <w:w w:val="105"/>
                <w:sz w:val="22"/>
                <w:szCs w:val="22"/>
              </w:rPr>
              <w:t>seguimiento</w:t>
            </w:r>
            <w:r w:rsidRPr="00477D63">
              <w:rPr>
                <w:rFonts w:ascii="Arial" w:hAnsi="Arial" w:cs="Arial"/>
                <w:spacing w:val="-4"/>
                <w:w w:val="105"/>
                <w:sz w:val="22"/>
                <w:szCs w:val="22"/>
              </w:rPr>
              <w:t xml:space="preserve"> </w:t>
            </w:r>
            <w:r w:rsidRPr="00477D63">
              <w:rPr>
                <w:rFonts w:ascii="Arial" w:hAnsi="Arial" w:cs="Arial"/>
                <w:w w:val="105"/>
                <w:sz w:val="22"/>
                <w:szCs w:val="22"/>
              </w:rPr>
              <w:t>al</w:t>
            </w:r>
            <w:r w:rsidRPr="00477D63">
              <w:rPr>
                <w:rFonts w:ascii="Arial" w:hAnsi="Arial" w:cs="Arial"/>
                <w:spacing w:val="-3"/>
                <w:w w:val="105"/>
                <w:sz w:val="22"/>
                <w:szCs w:val="22"/>
              </w:rPr>
              <w:t xml:space="preserve"> </w:t>
            </w:r>
            <w:r w:rsidRPr="00477D63">
              <w:rPr>
                <w:rFonts w:ascii="Arial" w:hAnsi="Arial" w:cs="Arial"/>
                <w:w w:val="105"/>
                <w:sz w:val="22"/>
                <w:szCs w:val="22"/>
              </w:rPr>
              <w:t>plan</w:t>
            </w:r>
            <w:r w:rsidRPr="00477D63">
              <w:rPr>
                <w:rFonts w:ascii="Arial" w:hAnsi="Arial" w:cs="Arial"/>
                <w:spacing w:val="-4"/>
                <w:w w:val="105"/>
                <w:sz w:val="22"/>
                <w:szCs w:val="22"/>
              </w:rPr>
              <w:t xml:space="preserve"> </w:t>
            </w:r>
            <w:r w:rsidRPr="00477D63">
              <w:rPr>
                <w:rFonts w:ascii="Arial" w:hAnsi="Arial" w:cs="Arial"/>
                <w:w w:val="105"/>
                <w:sz w:val="22"/>
                <w:szCs w:val="22"/>
              </w:rPr>
              <w:t>de</w:t>
            </w:r>
            <w:r w:rsidRPr="00477D63">
              <w:rPr>
                <w:rFonts w:ascii="Arial" w:hAnsi="Arial" w:cs="Arial"/>
                <w:spacing w:val="-3"/>
                <w:w w:val="105"/>
                <w:sz w:val="22"/>
                <w:szCs w:val="22"/>
              </w:rPr>
              <w:t xml:space="preserve"> </w:t>
            </w:r>
            <w:r w:rsidRPr="00477D63">
              <w:rPr>
                <w:rFonts w:ascii="Arial" w:hAnsi="Arial" w:cs="Arial"/>
                <w:w w:val="105"/>
                <w:sz w:val="22"/>
                <w:szCs w:val="22"/>
              </w:rPr>
              <w:t>mejoramiento</w:t>
            </w:r>
            <w:r w:rsidRPr="00477D63">
              <w:rPr>
                <w:rFonts w:ascii="Arial" w:hAnsi="Arial" w:cs="Arial"/>
                <w:spacing w:val="40"/>
                <w:w w:val="105"/>
                <w:sz w:val="22"/>
                <w:szCs w:val="22"/>
              </w:rPr>
              <w:t xml:space="preserve"> </w:t>
            </w:r>
            <w:r w:rsidRPr="00477D63">
              <w:rPr>
                <w:rFonts w:ascii="Arial" w:hAnsi="Arial" w:cs="Arial"/>
                <w:w w:val="105"/>
                <w:sz w:val="22"/>
                <w:szCs w:val="22"/>
              </w:rPr>
              <w:t>suscrito</w:t>
            </w:r>
            <w:r w:rsidRPr="00477D63">
              <w:rPr>
                <w:rFonts w:ascii="Arial" w:hAnsi="Arial" w:cs="Arial"/>
                <w:spacing w:val="-8"/>
                <w:w w:val="105"/>
                <w:sz w:val="22"/>
                <w:szCs w:val="22"/>
              </w:rPr>
              <w:t xml:space="preserve"> </w:t>
            </w:r>
            <w:r w:rsidRPr="00477D63">
              <w:rPr>
                <w:rFonts w:ascii="Arial" w:hAnsi="Arial" w:cs="Arial"/>
                <w:w w:val="105"/>
                <w:sz w:val="22"/>
                <w:szCs w:val="22"/>
              </w:rPr>
              <w:t>con</w:t>
            </w:r>
            <w:r w:rsidRPr="00477D63">
              <w:rPr>
                <w:rFonts w:ascii="Arial" w:hAnsi="Arial" w:cs="Arial"/>
                <w:spacing w:val="-8"/>
                <w:w w:val="105"/>
                <w:sz w:val="22"/>
                <w:szCs w:val="22"/>
              </w:rPr>
              <w:t xml:space="preserve"> </w:t>
            </w:r>
            <w:r w:rsidRPr="00477D63">
              <w:rPr>
                <w:rFonts w:ascii="Arial" w:hAnsi="Arial" w:cs="Arial"/>
                <w:w w:val="105"/>
                <w:sz w:val="22"/>
                <w:szCs w:val="22"/>
              </w:rPr>
              <w:t>la</w:t>
            </w:r>
            <w:r w:rsidRPr="00477D63">
              <w:rPr>
                <w:rFonts w:ascii="Arial" w:hAnsi="Arial" w:cs="Arial"/>
                <w:spacing w:val="-7"/>
                <w:w w:val="105"/>
                <w:sz w:val="22"/>
                <w:szCs w:val="22"/>
              </w:rPr>
              <w:t xml:space="preserve"> </w:t>
            </w:r>
            <w:r w:rsidRPr="00477D63">
              <w:rPr>
                <w:rFonts w:ascii="Arial" w:hAnsi="Arial" w:cs="Arial"/>
                <w:w w:val="105"/>
                <w:sz w:val="22"/>
                <w:szCs w:val="22"/>
              </w:rPr>
              <w:t>Contraloría</w:t>
            </w:r>
            <w:r w:rsidRPr="00477D63">
              <w:rPr>
                <w:rFonts w:ascii="Arial" w:hAnsi="Arial" w:cs="Arial"/>
                <w:spacing w:val="23"/>
                <w:w w:val="105"/>
                <w:sz w:val="22"/>
                <w:szCs w:val="22"/>
              </w:rPr>
              <w:t xml:space="preserve"> </w:t>
            </w:r>
            <w:r w:rsidRPr="00477D63">
              <w:rPr>
                <w:rFonts w:ascii="Arial" w:hAnsi="Arial" w:cs="Arial"/>
                <w:w w:val="105"/>
                <w:sz w:val="22"/>
                <w:szCs w:val="22"/>
              </w:rPr>
              <w:t>General</w:t>
            </w:r>
            <w:r w:rsidRPr="00477D63">
              <w:rPr>
                <w:rFonts w:ascii="Arial" w:hAnsi="Arial" w:cs="Arial"/>
                <w:spacing w:val="-7"/>
                <w:w w:val="105"/>
                <w:sz w:val="22"/>
                <w:szCs w:val="22"/>
              </w:rPr>
              <w:t xml:space="preserve"> </w:t>
            </w:r>
            <w:r w:rsidRPr="00477D63">
              <w:rPr>
                <w:rFonts w:ascii="Arial" w:hAnsi="Arial" w:cs="Arial"/>
                <w:w w:val="105"/>
                <w:sz w:val="22"/>
                <w:szCs w:val="22"/>
              </w:rPr>
              <w:t>de</w:t>
            </w:r>
            <w:r w:rsidRPr="00477D63">
              <w:rPr>
                <w:rFonts w:ascii="Arial" w:hAnsi="Arial" w:cs="Arial"/>
                <w:spacing w:val="-7"/>
                <w:w w:val="105"/>
                <w:sz w:val="22"/>
                <w:szCs w:val="22"/>
              </w:rPr>
              <w:t xml:space="preserve"> </w:t>
            </w:r>
            <w:r w:rsidRPr="00477D63">
              <w:rPr>
                <w:rFonts w:ascii="Arial" w:hAnsi="Arial" w:cs="Arial"/>
                <w:w w:val="105"/>
                <w:sz w:val="22"/>
                <w:szCs w:val="22"/>
              </w:rPr>
              <w:t>la</w:t>
            </w:r>
            <w:r w:rsidRPr="00477D63">
              <w:rPr>
                <w:rFonts w:ascii="Arial" w:hAnsi="Arial" w:cs="Arial"/>
                <w:spacing w:val="-7"/>
                <w:w w:val="105"/>
                <w:sz w:val="22"/>
                <w:szCs w:val="22"/>
              </w:rPr>
              <w:t xml:space="preserve"> </w:t>
            </w:r>
            <w:r w:rsidRPr="00477D63">
              <w:rPr>
                <w:rFonts w:ascii="Arial" w:hAnsi="Arial" w:cs="Arial"/>
                <w:w w:val="105"/>
                <w:sz w:val="22"/>
                <w:szCs w:val="22"/>
              </w:rPr>
              <w:t>República</w:t>
            </w:r>
            <w:r w:rsidRPr="00477D63">
              <w:rPr>
                <w:rFonts w:ascii="Arial" w:hAnsi="Arial" w:cs="Arial"/>
                <w:spacing w:val="-7"/>
                <w:w w:val="105"/>
                <w:sz w:val="22"/>
                <w:szCs w:val="22"/>
              </w:rPr>
              <w:t xml:space="preserve"> </w:t>
            </w:r>
            <w:r w:rsidRPr="00477D63">
              <w:rPr>
                <w:rFonts w:ascii="Arial" w:hAnsi="Arial" w:cs="Arial"/>
                <w:w w:val="105"/>
                <w:sz w:val="22"/>
                <w:szCs w:val="22"/>
              </w:rPr>
              <w:t>en</w:t>
            </w:r>
            <w:r w:rsidRPr="00477D63">
              <w:rPr>
                <w:rFonts w:ascii="Arial" w:hAnsi="Arial" w:cs="Arial"/>
                <w:spacing w:val="-8"/>
                <w:w w:val="105"/>
                <w:sz w:val="22"/>
                <w:szCs w:val="22"/>
              </w:rPr>
              <w:t xml:space="preserve"> </w:t>
            </w:r>
            <w:r w:rsidRPr="00477D63">
              <w:rPr>
                <w:rFonts w:ascii="Arial" w:hAnsi="Arial" w:cs="Arial"/>
                <w:w w:val="105"/>
                <w:sz w:val="22"/>
                <w:szCs w:val="22"/>
              </w:rPr>
              <w:t>el</w:t>
            </w:r>
            <w:r w:rsidRPr="00477D63">
              <w:rPr>
                <w:rFonts w:ascii="Arial" w:hAnsi="Arial" w:cs="Arial"/>
                <w:spacing w:val="-7"/>
                <w:w w:val="105"/>
                <w:sz w:val="22"/>
                <w:szCs w:val="22"/>
              </w:rPr>
              <w:t xml:space="preserve"> </w:t>
            </w:r>
            <w:r w:rsidRPr="00477D63">
              <w:rPr>
                <w:rFonts w:ascii="Arial" w:hAnsi="Arial" w:cs="Arial"/>
                <w:w w:val="105"/>
                <w:sz w:val="22"/>
                <w:szCs w:val="22"/>
              </w:rPr>
              <w:t>mes</w:t>
            </w:r>
            <w:r w:rsidRPr="00477D63">
              <w:rPr>
                <w:rFonts w:ascii="Arial" w:hAnsi="Arial" w:cs="Arial"/>
                <w:spacing w:val="-9"/>
                <w:w w:val="105"/>
                <w:sz w:val="22"/>
                <w:szCs w:val="22"/>
              </w:rPr>
              <w:t xml:space="preserve"> </w:t>
            </w:r>
            <w:r w:rsidRPr="00477D63">
              <w:rPr>
                <w:rFonts w:ascii="Arial" w:hAnsi="Arial" w:cs="Arial"/>
                <w:w w:val="105"/>
                <w:sz w:val="22"/>
                <w:szCs w:val="22"/>
              </w:rPr>
              <w:t>de</w:t>
            </w:r>
            <w:r w:rsidRPr="00477D63">
              <w:rPr>
                <w:rFonts w:ascii="Arial" w:hAnsi="Arial" w:cs="Arial"/>
                <w:spacing w:val="-7"/>
                <w:w w:val="105"/>
                <w:sz w:val="22"/>
                <w:szCs w:val="22"/>
              </w:rPr>
              <w:t xml:space="preserve"> </w:t>
            </w:r>
            <w:r w:rsidRPr="00477D63">
              <w:rPr>
                <w:rFonts w:ascii="Arial" w:hAnsi="Arial" w:cs="Arial"/>
                <w:w w:val="105"/>
                <w:sz w:val="22"/>
                <w:szCs w:val="22"/>
              </w:rPr>
              <w:t>diciembre</w:t>
            </w:r>
            <w:r w:rsidRPr="00477D63">
              <w:rPr>
                <w:rFonts w:ascii="Arial" w:hAnsi="Arial" w:cs="Arial"/>
                <w:spacing w:val="-7"/>
                <w:w w:val="105"/>
                <w:sz w:val="22"/>
                <w:szCs w:val="22"/>
              </w:rPr>
              <w:t xml:space="preserve"> </w:t>
            </w:r>
            <w:r w:rsidRPr="00477D63">
              <w:rPr>
                <w:rFonts w:ascii="Arial" w:hAnsi="Arial" w:cs="Arial"/>
                <w:w w:val="105"/>
                <w:sz w:val="22"/>
                <w:szCs w:val="22"/>
              </w:rPr>
              <w:t>de</w:t>
            </w:r>
            <w:r w:rsidRPr="00477D63">
              <w:rPr>
                <w:rFonts w:ascii="Arial" w:hAnsi="Arial" w:cs="Arial"/>
                <w:spacing w:val="-7"/>
                <w:w w:val="105"/>
                <w:sz w:val="22"/>
                <w:szCs w:val="22"/>
              </w:rPr>
              <w:t xml:space="preserve"> </w:t>
            </w:r>
            <w:r w:rsidRPr="00477D63">
              <w:rPr>
                <w:rFonts w:ascii="Arial" w:hAnsi="Arial" w:cs="Arial"/>
                <w:w w:val="105"/>
                <w:sz w:val="22"/>
                <w:szCs w:val="22"/>
              </w:rPr>
              <w:t>2024.</w:t>
            </w:r>
            <w:r w:rsidRPr="00477D63">
              <w:rPr>
                <w:rFonts w:ascii="Arial" w:hAnsi="Arial" w:cs="Arial"/>
                <w:spacing w:val="-7"/>
                <w:w w:val="105"/>
                <w:sz w:val="22"/>
                <w:szCs w:val="22"/>
              </w:rPr>
              <w:t xml:space="preserve"> </w:t>
            </w:r>
          </w:p>
        </w:tc>
      </w:tr>
      <w:tr w:rsidR="00561B22" w:rsidRPr="00477D63" w14:paraId="0EE0C577" w14:textId="77777777" w:rsidTr="00F1223B">
        <w:tc>
          <w:tcPr>
            <w:tcW w:w="562" w:type="dxa"/>
          </w:tcPr>
          <w:p w14:paraId="6100FAA9" w14:textId="77777777" w:rsidR="00561B22" w:rsidRPr="00477D63" w:rsidRDefault="00561B22" w:rsidP="00F1223B">
            <w:pPr>
              <w:jc w:val="center"/>
              <w:rPr>
                <w:rFonts w:ascii="Arial" w:hAnsi="Arial" w:cs="Arial"/>
                <w:b/>
                <w:sz w:val="22"/>
                <w:szCs w:val="22"/>
                <w:lang w:val="es-MX"/>
              </w:rPr>
            </w:pPr>
            <w:r w:rsidRPr="00477D63">
              <w:rPr>
                <w:rFonts w:ascii="Arial" w:hAnsi="Arial" w:cs="Arial"/>
                <w:b/>
                <w:sz w:val="22"/>
                <w:szCs w:val="22"/>
                <w:lang w:val="es-MX"/>
              </w:rPr>
              <w:t>3</w:t>
            </w:r>
          </w:p>
        </w:tc>
        <w:tc>
          <w:tcPr>
            <w:tcW w:w="9400" w:type="dxa"/>
          </w:tcPr>
          <w:p w14:paraId="7D9D194E" w14:textId="77777777" w:rsidR="00561B22" w:rsidRPr="00477D63" w:rsidRDefault="00561B22" w:rsidP="00F1223B">
            <w:pPr>
              <w:jc w:val="both"/>
              <w:rPr>
                <w:rFonts w:ascii="Arial" w:hAnsi="Arial" w:cs="Arial"/>
                <w:b/>
                <w:sz w:val="22"/>
                <w:szCs w:val="22"/>
                <w:lang w:val="es-MX"/>
              </w:rPr>
            </w:pPr>
            <w:r w:rsidRPr="00477D63">
              <w:rPr>
                <w:rFonts w:ascii="Arial" w:hAnsi="Arial" w:cs="Arial"/>
                <w:w w:val="105"/>
                <w:sz w:val="22"/>
                <w:szCs w:val="22"/>
              </w:rPr>
              <w:t>Continuar</w:t>
            </w:r>
            <w:r w:rsidRPr="00477D63">
              <w:rPr>
                <w:rFonts w:ascii="Arial" w:hAnsi="Arial" w:cs="Arial"/>
                <w:spacing w:val="-8"/>
                <w:w w:val="105"/>
                <w:sz w:val="22"/>
                <w:szCs w:val="22"/>
              </w:rPr>
              <w:t xml:space="preserve"> </w:t>
            </w:r>
            <w:r w:rsidRPr="00477D63">
              <w:rPr>
                <w:rFonts w:ascii="Arial" w:hAnsi="Arial" w:cs="Arial"/>
                <w:w w:val="105"/>
                <w:sz w:val="22"/>
                <w:szCs w:val="22"/>
              </w:rPr>
              <w:t>con</w:t>
            </w:r>
            <w:r w:rsidRPr="00477D63">
              <w:rPr>
                <w:rFonts w:ascii="Arial" w:hAnsi="Arial" w:cs="Arial"/>
                <w:spacing w:val="-8"/>
                <w:w w:val="105"/>
                <w:sz w:val="22"/>
                <w:szCs w:val="22"/>
              </w:rPr>
              <w:t xml:space="preserve"> </w:t>
            </w:r>
            <w:r w:rsidRPr="00477D63">
              <w:rPr>
                <w:rFonts w:ascii="Arial" w:hAnsi="Arial" w:cs="Arial"/>
                <w:w w:val="105"/>
                <w:sz w:val="22"/>
                <w:szCs w:val="22"/>
              </w:rPr>
              <w:t>la</w:t>
            </w:r>
            <w:r w:rsidRPr="00477D63">
              <w:rPr>
                <w:rFonts w:ascii="Arial" w:hAnsi="Arial" w:cs="Arial"/>
                <w:spacing w:val="40"/>
                <w:w w:val="105"/>
                <w:sz w:val="22"/>
                <w:szCs w:val="22"/>
              </w:rPr>
              <w:t xml:space="preserve"> </w:t>
            </w:r>
            <w:r w:rsidRPr="00477D63">
              <w:rPr>
                <w:rFonts w:ascii="Arial" w:hAnsi="Arial" w:cs="Arial"/>
                <w:w w:val="105"/>
                <w:sz w:val="22"/>
                <w:szCs w:val="22"/>
              </w:rPr>
              <w:t>revisión</w:t>
            </w:r>
            <w:r w:rsidRPr="00477D63">
              <w:rPr>
                <w:rFonts w:ascii="Arial" w:hAnsi="Arial" w:cs="Arial"/>
                <w:spacing w:val="-4"/>
                <w:w w:val="105"/>
                <w:sz w:val="22"/>
                <w:szCs w:val="22"/>
              </w:rPr>
              <w:t xml:space="preserve"> </w:t>
            </w:r>
            <w:r w:rsidRPr="00477D63">
              <w:rPr>
                <w:rFonts w:ascii="Arial" w:hAnsi="Arial" w:cs="Arial"/>
                <w:w w:val="105"/>
                <w:sz w:val="22"/>
                <w:szCs w:val="22"/>
              </w:rPr>
              <w:t>y</w:t>
            </w:r>
            <w:r w:rsidRPr="00477D63">
              <w:rPr>
                <w:rFonts w:ascii="Arial" w:hAnsi="Arial" w:cs="Arial"/>
                <w:spacing w:val="-5"/>
                <w:w w:val="105"/>
                <w:sz w:val="22"/>
                <w:szCs w:val="22"/>
              </w:rPr>
              <w:t xml:space="preserve"> </w:t>
            </w:r>
            <w:r w:rsidRPr="00477D63">
              <w:rPr>
                <w:rFonts w:ascii="Arial" w:hAnsi="Arial" w:cs="Arial"/>
                <w:w w:val="105"/>
                <w:sz w:val="22"/>
                <w:szCs w:val="22"/>
              </w:rPr>
              <w:t>verificación</w:t>
            </w:r>
            <w:r w:rsidRPr="00477D63">
              <w:rPr>
                <w:rFonts w:ascii="Arial" w:hAnsi="Arial" w:cs="Arial"/>
                <w:spacing w:val="-4"/>
                <w:w w:val="105"/>
                <w:sz w:val="22"/>
                <w:szCs w:val="22"/>
              </w:rPr>
              <w:t xml:space="preserve"> </w:t>
            </w:r>
            <w:r w:rsidRPr="00477D63">
              <w:rPr>
                <w:rFonts w:ascii="Arial" w:hAnsi="Arial" w:cs="Arial"/>
                <w:w w:val="105"/>
                <w:sz w:val="22"/>
                <w:szCs w:val="22"/>
              </w:rPr>
              <w:t>de</w:t>
            </w:r>
            <w:r w:rsidRPr="00477D63">
              <w:rPr>
                <w:rFonts w:ascii="Arial" w:hAnsi="Arial" w:cs="Arial"/>
                <w:spacing w:val="-3"/>
                <w:w w:val="105"/>
                <w:sz w:val="22"/>
                <w:szCs w:val="22"/>
              </w:rPr>
              <w:t xml:space="preserve"> </w:t>
            </w:r>
            <w:r w:rsidRPr="00477D63">
              <w:rPr>
                <w:rFonts w:ascii="Arial" w:hAnsi="Arial" w:cs="Arial"/>
                <w:w w:val="105"/>
                <w:sz w:val="22"/>
                <w:szCs w:val="22"/>
              </w:rPr>
              <w:t>los</w:t>
            </w:r>
            <w:r w:rsidRPr="00477D63">
              <w:rPr>
                <w:rFonts w:ascii="Arial" w:hAnsi="Arial" w:cs="Arial"/>
                <w:spacing w:val="-5"/>
                <w:w w:val="105"/>
                <w:sz w:val="22"/>
                <w:szCs w:val="22"/>
              </w:rPr>
              <w:t xml:space="preserve"> </w:t>
            </w:r>
            <w:r w:rsidRPr="00477D63">
              <w:rPr>
                <w:rFonts w:ascii="Arial" w:hAnsi="Arial" w:cs="Arial"/>
                <w:w w:val="105"/>
                <w:sz w:val="22"/>
                <w:szCs w:val="22"/>
              </w:rPr>
              <w:t>activos</w:t>
            </w:r>
            <w:r w:rsidRPr="00477D63">
              <w:rPr>
                <w:rFonts w:ascii="Arial" w:hAnsi="Arial" w:cs="Arial"/>
                <w:spacing w:val="-5"/>
                <w:w w:val="105"/>
                <w:sz w:val="22"/>
                <w:szCs w:val="22"/>
              </w:rPr>
              <w:t xml:space="preserve"> </w:t>
            </w:r>
            <w:r w:rsidRPr="00477D63">
              <w:rPr>
                <w:rFonts w:ascii="Arial" w:hAnsi="Arial" w:cs="Arial"/>
                <w:w w:val="105"/>
                <w:sz w:val="22"/>
                <w:szCs w:val="22"/>
              </w:rPr>
              <w:t>fijos</w:t>
            </w:r>
            <w:r w:rsidRPr="00477D63">
              <w:rPr>
                <w:rFonts w:ascii="Arial" w:hAnsi="Arial" w:cs="Arial"/>
                <w:spacing w:val="-5"/>
                <w:w w:val="105"/>
                <w:sz w:val="22"/>
                <w:szCs w:val="22"/>
              </w:rPr>
              <w:t xml:space="preserve"> </w:t>
            </w:r>
            <w:r w:rsidRPr="00477D63">
              <w:rPr>
                <w:rFonts w:ascii="Arial" w:hAnsi="Arial" w:cs="Arial"/>
                <w:w w:val="105"/>
                <w:sz w:val="22"/>
                <w:szCs w:val="22"/>
              </w:rPr>
              <w:t>de</w:t>
            </w:r>
            <w:r w:rsidRPr="00477D63">
              <w:rPr>
                <w:rFonts w:ascii="Arial" w:hAnsi="Arial" w:cs="Arial"/>
                <w:spacing w:val="-3"/>
                <w:w w:val="105"/>
                <w:sz w:val="22"/>
                <w:szCs w:val="22"/>
              </w:rPr>
              <w:t xml:space="preserve"> </w:t>
            </w:r>
            <w:r w:rsidRPr="00477D63">
              <w:rPr>
                <w:rFonts w:ascii="Arial" w:hAnsi="Arial" w:cs="Arial"/>
                <w:w w:val="105"/>
                <w:sz w:val="22"/>
                <w:szCs w:val="22"/>
              </w:rPr>
              <w:t>entidad,</w:t>
            </w:r>
            <w:r w:rsidRPr="00477D63">
              <w:rPr>
                <w:rFonts w:ascii="Arial" w:hAnsi="Arial" w:cs="Arial"/>
                <w:spacing w:val="-3"/>
                <w:w w:val="105"/>
                <w:sz w:val="22"/>
                <w:szCs w:val="22"/>
              </w:rPr>
              <w:t xml:space="preserve"> </w:t>
            </w:r>
            <w:r w:rsidRPr="00477D63">
              <w:rPr>
                <w:rFonts w:ascii="Arial" w:hAnsi="Arial" w:cs="Arial"/>
                <w:w w:val="105"/>
                <w:sz w:val="22"/>
                <w:szCs w:val="22"/>
              </w:rPr>
              <w:t>para</w:t>
            </w:r>
            <w:r w:rsidRPr="00477D63">
              <w:rPr>
                <w:rFonts w:ascii="Arial" w:hAnsi="Arial" w:cs="Arial"/>
                <w:spacing w:val="-3"/>
                <w:w w:val="105"/>
                <w:sz w:val="22"/>
                <w:szCs w:val="22"/>
              </w:rPr>
              <w:t xml:space="preserve"> </w:t>
            </w:r>
            <w:r w:rsidRPr="00477D63">
              <w:rPr>
                <w:rFonts w:ascii="Arial" w:hAnsi="Arial" w:cs="Arial"/>
                <w:w w:val="105"/>
                <w:sz w:val="22"/>
                <w:szCs w:val="22"/>
              </w:rPr>
              <w:t>homogenizar</w:t>
            </w:r>
            <w:r w:rsidRPr="00477D63">
              <w:rPr>
                <w:rFonts w:ascii="Arial" w:hAnsi="Arial" w:cs="Arial"/>
                <w:spacing w:val="-4"/>
                <w:w w:val="105"/>
                <w:sz w:val="22"/>
                <w:szCs w:val="22"/>
              </w:rPr>
              <w:t xml:space="preserve"> </w:t>
            </w:r>
            <w:r w:rsidRPr="00477D63">
              <w:rPr>
                <w:rFonts w:ascii="Arial" w:hAnsi="Arial" w:cs="Arial"/>
                <w:w w:val="105"/>
                <w:sz w:val="22"/>
                <w:szCs w:val="22"/>
              </w:rPr>
              <w:t>los</w:t>
            </w:r>
            <w:r w:rsidRPr="00477D63">
              <w:rPr>
                <w:rFonts w:ascii="Arial" w:hAnsi="Arial" w:cs="Arial"/>
                <w:spacing w:val="-5"/>
                <w:w w:val="105"/>
                <w:sz w:val="22"/>
                <w:szCs w:val="22"/>
              </w:rPr>
              <w:t xml:space="preserve"> </w:t>
            </w:r>
            <w:r w:rsidRPr="00477D63">
              <w:rPr>
                <w:rFonts w:ascii="Arial" w:hAnsi="Arial" w:cs="Arial"/>
                <w:w w:val="105"/>
                <w:sz w:val="22"/>
                <w:szCs w:val="22"/>
              </w:rPr>
              <w:t>grupos</w:t>
            </w:r>
            <w:r w:rsidRPr="00477D63">
              <w:rPr>
                <w:rFonts w:ascii="Arial" w:hAnsi="Arial" w:cs="Arial"/>
                <w:spacing w:val="-5"/>
                <w:w w:val="105"/>
                <w:sz w:val="22"/>
                <w:szCs w:val="22"/>
              </w:rPr>
              <w:t xml:space="preserve"> </w:t>
            </w:r>
            <w:r w:rsidRPr="00477D63">
              <w:rPr>
                <w:rFonts w:ascii="Arial" w:hAnsi="Arial" w:cs="Arial"/>
                <w:w w:val="105"/>
                <w:sz w:val="22"/>
                <w:szCs w:val="22"/>
              </w:rPr>
              <w:t>de</w:t>
            </w:r>
            <w:r w:rsidRPr="00477D63">
              <w:rPr>
                <w:rFonts w:ascii="Arial" w:hAnsi="Arial" w:cs="Arial"/>
                <w:spacing w:val="-3"/>
                <w:w w:val="105"/>
                <w:sz w:val="22"/>
                <w:szCs w:val="22"/>
              </w:rPr>
              <w:t xml:space="preserve"> </w:t>
            </w:r>
            <w:r w:rsidRPr="00477D63">
              <w:rPr>
                <w:rFonts w:ascii="Arial" w:hAnsi="Arial" w:cs="Arial"/>
                <w:w w:val="105"/>
                <w:sz w:val="22"/>
                <w:szCs w:val="22"/>
              </w:rPr>
              <w:t>activos</w:t>
            </w:r>
            <w:r w:rsidRPr="00477D63">
              <w:rPr>
                <w:rFonts w:ascii="Arial" w:hAnsi="Arial" w:cs="Arial"/>
                <w:spacing w:val="-5"/>
                <w:w w:val="105"/>
                <w:sz w:val="22"/>
                <w:szCs w:val="22"/>
              </w:rPr>
              <w:t xml:space="preserve"> </w:t>
            </w:r>
            <w:r w:rsidRPr="00477D63">
              <w:rPr>
                <w:rFonts w:ascii="Arial" w:hAnsi="Arial" w:cs="Arial"/>
                <w:w w:val="105"/>
                <w:sz w:val="22"/>
                <w:szCs w:val="22"/>
              </w:rPr>
              <w:t>y</w:t>
            </w:r>
            <w:r w:rsidRPr="00477D63">
              <w:rPr>
                <w:rFonts w:ascii="Arial" w:hAnsi="Arial" w:cs="Arial"/>
                <w:spacing w:val="-5"/>
                <w:w w:val="105"/>
                <w:sz w:val="22"/>
                <w:szCs w:val="22"/>
              </w:rPr>
              <w:t xml:space="preserve"> </w:t>
            </w:r>
            <w:r w:rsidRPr="00477D63">
              <w:rPr>
                <w:rFonts w:ascii="Arial" w:hAnsi="Arial" w:cs="Arial"/>
                <w:w w:val="105"/>
                <w:sz w:val="22"/>
                <w:szCs w:val="22"/>
              </w:rPr>
              <w:t>sus</w:t>
            </w:r>
            <w:r w:rsidRPr="00477D63">
              <w:rPr>
                <w:rFonts w:ascii="Arial" w:hAnsi="Arial" w:cs="Arial"/>
                <w:spacing w:val="40"/>
                <w:w w:val="105"/>
                <w:sz w:val="22"/>
                <w:szCs w:val="22"/>
              </w:rPr>
              <w:t xml:space="preserve"> </w:t>
            </w:r>
            <w:r w:rsidRPr="00477D63">
              <w:rPr>
                <w:rFonts w:ascii="Arial" w:hAnsi="Arial" w:cs="Arial"/>
                <w:w w:val="105"/>
                <w:sz w:val="22"/>
                <w:szCs w:val="22"/>
              </w:rPr>
              <w:t>vidas</w:t>
            </w:r>
            <w:r w:rsidRPr="00477D63">
              <w:rPr>
                <w:rFonts w:ascii="Arial" w:hAnsi="Arial" w:cs="Arial"/>
                <w:spacing w:val="-9"/>
                <w:w w:val="105"/>
                <w:sz w:val="22"/>
                <w:szCs w:val="22"/>
              </w:rPr>
              <w:t xml:space="preserve"> </w:t>
            </w:r>
            <w:r w:rsidRPr="00477D63">
              <w:rPr>
                <w:rFonts w:ascii="Arial" w:hAnsi="Arial" w:cs="Arial"/>
                <w:w w:val="105"/>
                <w:sz w:val="22"/>
                <w:szCs w:val="22"/>
              </w:rPr>
              <w:t>útiles.</w:t>
            </w:r>
          </w:p>
        </w:tc>
      </w:tr>
    </w:tbl>
    <w:p w14:paraId="60043115" w14:textId="77777777" w:rsidR="00561B22" w:rsidRPr="00477D63" w:rsidRDefault="00561B22" w:rsidP="00561B22">
      <w:pPr>
        <w:pStyle w:val="Textoindependiente"/>
        <w:tabs>
          <w:tab w:val="left" w:pos="2055"/>
        </w:tabs>
        <w:spacing w:before="5"/>
        <w:rPr>
          <w:rFonts w:ascii="Arial" w:hAnsi="Arial" w:cs="Arial"/>
        </w:rPr>
      </w:pPr>
    </w:p>
    <w:p w14:paraId="1BDBDE14" w14:textId="77777777" w:rsidR="00561B22" w:rsidRPr="0061324C" w:rsidRDefault="00561B22" w:rsidP="00561B22">
      <w:pPr>
        <w:pStyle w:val="Prrafodelista"/>
        <w:spacing w:before="92"/>
        <w:ind w:left="0"/>
        <w:rPr>
          <w:rFonts w:ascii="Arial" w:hAnsi="Arial" w:cs="Arial"/>
          <w:b/>
          <w:sz w:val="28"/>
          <w:szCs w:val="28"/>
        </w:rPr>
      </w:pPr>
      <w:r w:rsidRPr="0061324C">
        <w:rPr>
          <w:rFonts w:ascii="Arial" w:hAnsi="Arial" w:cs="Arial"/>
          <w:b/>
          <w:sz w:val="28"/>
          <w:szCs w:val="28"/>
          <w:lang w:val="es-MX"/>
        </w:rPr>
        <w:t xml:space="preserve">176.- </w:t>
      </w:r>
      <w:r w:rsidRPr="0061324C">
        <w:rPr>
          <w:rFonts w:ascii="Arial" w:hAnsi="Arial" w:cs="Arial"/>
          <w:b/>
          <w:sz w:val="28"/>
          <w:szCs w:val="28"/>
        </w:rPr>
        <w:t>XM COMPAÑÍA DE EXPERTOS EN MERCADOS S.A. E.S.P.</w:t>
      </w:r>
    </w:p>
    <w:p w14:paraId="5CE36ADF" w14:textId="77777777" w:rsidR="00561B22" w:rsidRPr="002979E6" w:rsidRDefault="00561B22" w:rsidP="00561B22">
      <w:pPr>
        <w:pStyle w:val="Prrafodelista"/>
        <w:ind w:left="0"/>
        <w:rPr>
          <w:b/>
          <w:sz w:val="28"/>
          <w:szCs w:val="28"/>
          <w:lang w:val="es-MX"/>
        </w:rPr>
      </w:pPr>
    </w:p>
    <w:p w14:paraId="1B87E367" w14:textId="77777777" w:rsidR="00561B22" w:rsidRPr="0061324C" w:rsidRDefault="00561B22" w:rsidP="00561B22">
      <w:pPr>
        <w:pStyle w:val="Textoindependiente"/>
        <w:ind w:right="-50"/>
        <w:jc w:val="center"/>
        <w:rPr>
          <w:rFonts w:ascii="Arial" w:hAnsi="Arial" w:cs="Arial"/>
          <w:b/>
          <w:bCs/>
        </w:rPr>
      </w:pPr>
      <w:r w:rsidRPr="0061324C">
        <w:rPr>
          <w:rFonts w:ascii="Arial" w:hAnsi="Arial" w:cs="Arial"/>
          <w:b/>
          <w:bCs/>
        </w:rPr>
        <w:t>INFORME DE LA AUTOCALIFICACIÓN DEL SISTEMA DE CONTROL INTERNO CONTABLE:</w:t>
      </w:r>
    </w:p>
    <w:p w14:paraId="472B9998" w14:textId="77777777" w:rsidR="00561B22" w:rsidRPr="0061324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1324C" w14:paraId="50CFE456" w14:textId="77777777" w:rsidTr="00F1223B">
        <w:tc>
          <w:tcPr>
            <w:tcW w:w="4981" w:type="dxa"/>
          </w:tcPr>
          <w:p w14:paraId="6EB03861"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AUTOCALIFICACIÓN</w:t>
            </w:r>
          </w:p>
        </w:tc>
        <w:tc>
          <w:tcPr>
            <w:tcW w:w="4981" w:type="dxa"/>
          </w:tcPr>
          <w:p w14:paraId="796FCB1C" w14:textId="77777777" w:rsidR="00561B22" w:rsidRPr="0061324C" w:rsidRDefault="00561B22" w:rsidP="00F1223B">
            <w:pPr>
              <w:jc w:val="center"/>
              <w:rPr>
                <w:rFonts w:ascii="Arial" w:hAnsi="Arial" w:cs="Arial"/>
                <w:b/>
                <w:sz w:val="22"/>
                <w:szCs w:val="22"/>
                <w:u w:val="single"/>
                <w:lang w:val="es-MX"/>
              </w:rPr>
            </w:pPr>
            <w:r w:rsidRPr="0061324C">
              <w:rPr>
                <w:rFonts w:ascii="Arial" w:hAnsi="Arial" w:cs="Arial"/>
                <w:b/>
                <w:sz w:val="22"/>
                <w:szCs w:val="22"/>
                <w:u w:val="single"/>
                <w:lang w:val="es-MX"/>
              </w:rPr>
              <w:t>4.96</w:t>
            </w:r>
          </w:p>
        </w:tc>
      </w:tr>
    </w:tbl>
    <w:p w14:paraId="52779820" w14:textId="77777777" w:rsidR="00561B22" w:rsidRPr="0061324C" w:rsidRDefault="00561B22" w:rsidP="00561B22">
      <w:pPr>
        <w:pStyle w:val="Textoindependiente"/>
        <w:ind w:right="-50"/>
        <w:jc w:val="both"/>
        <w:rPr>
          <w:rFonts w:ascii="Arial" w:hAnsi="Arial" w:cs="Arial"/>
          <w:b/>
          <w:bCs/>
        </w:rPr>
      </w:pPr>
    </w:p>
    <w:p w14:paraId="5113D825" w14:textId="77777777" w:rsidR="00561B22" w:rsidRPr="0061324C" w:rsidRDefault="00561B22" w:rsidP="00561B22">
      <w:pPr>
        <w:pStyle w:val="Textoindependiente"/>
        <w:ind w:right="-50"/>
        <w:jc w:val="both"/>
        <w:rPr>
          <w:rFonts w:ascii="Arial" w:hAnsi="Arial" w:cs="Arial"/>
          <w:b/>
          <w:bCs/>
        </w:rPr>
      </w:pPr>
      <w:r w:rsidRPr="0061324C">
        <w:rPr>
          <w:rFonts w:ascii="Arial" w:hAnsi="Arial" w:cs="Arial"/>
          <w:b/>
          <w:bCs/>
        </w:rPr>
        <w:t>Del informe enviado retomamos lo siguiente:</w:t>
      </w:r>
    </w:p>
    <w:p w14:paraId="0157D917" w14:textId="77777777" w:rsidR="00561B22" w:rsidRPr="0061324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1324C" w14:paraId="2EA20DF7" w14:textId="77777777" w:rsidTr="00F1223B">
        <w:tc>
          <w:tcPr>
            <w:tcW w:w="562" w:type="dxa"/>
          </w:tcPr>
          <w:p w14:paraId="222FEC13" w14:textId="77777777" w:rsidR="00561B22" w:rsidRPr="0061324C" w:rsidRDefault="00561B22" w:rsidP="00F1223B">
            <w:pPr>
              <w:ind w:right="-109"/>
              <w:jc w:val="center"/>
              <w:rPr>
                <w:rFonts w:ascii="Arial" w:hAnsi="Arial" w:cs="Arial"/>
                <w:b/>
                <w:sz w:val="22"/>
                <w:szCs w:val="22"/>
                <w:lang w:val="es-MX"/>
              </w:rPr>
            </w:pPr>
            <w:r w:rsidRPr="0061324C">
              <w:rPr>
                <w:rFonts w:ascii="Arial" w:hAnsi="Arial" w:cs="Arial"/>
                <w:b/>
                <w:sz w:val="22"/>
                <w:szCs w:val="22"/>
                <w:lang w:val="es-MX"/>
              </w:rPr>
              <w:t>N°</w:t>
            </w:r>
          </w:p>
        </w:tc>
        <w:tc>
          <w:tcPr>
            <w:tcW w:w="9400" w:type="dxa"/>
          </w:tcPr>
          <w:p w14:paraId="23804888"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DEBILIDADES</w:t>
            </w:r>
          </w:p>
          <w:p w14:paraId="0B6B4E28" w14:textId="77777777" w:rsidR="00561B22" w:rsidRPr="0061324C" w:rsidRDefault="00561B22" w:rsidP="00F1223B">
            <w:pPr>
              <w:jc w:val="center"/>
              <w:rPr>
                <w:rFonts w:ascii="Arial" w:hAnsi="Arial" w:cs="Arial"/>
                <w:b/>
                <w:sz w:val="22"/>
                <w:szCs w:val="22"/>
                <w:lang w:val="es-MX"/>
              </w:rPr>
            </w:pPr>
          </w:p>
        </w:tc>
      </w:tr>
      <w:tr w:rsidR="00561B22" w:rsidRPr="0061324C" w14:paraId="4D71DBC2" w14:textId="77777777" w:rsidTr="00F1223B">
        <w:tc>
          <w:tcPr>
            <w:tcW w:w="562" w:type="dxa"/>
          </w:tcPr>
          <w:p w14:paraId="19FE8C1F"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1</w:t>
            </w:r>
          </w:p>
        </w:tc>
        <w:tc>
          <w:tcPr>
            <w:tcW w:w="9400" w:type="dxa"/>
          </w:tcPr>
          <w:p w14:paraId="555232C0" w14:textId="77777777" w:rsidR="00561B22" w:rsidRPr="0061324C" w:rsidRDefault="00561B22" w:rsidP="00F1223B">
            <w:pPr>
              <w:jc w:val="both"/>
              <w:rPr>
                <w:rFonts w:ascii="Arial" w:hAnsi="Arial" w:cs="Arial"/>
                <w:sz w:val="22"/>
                <w:szCs w:val="22"/>
                <w:lang w:val="es-MX"/>
              </w:rPr>
            </w:pPr>
            <w:r w:rsidRPr="0061324C">
              <w:rPr>
                <w:rFonts w:ascii="Arial" w:hAnsi="Arial" w:cs="Arial"/>
                <w:sz w:val="22"/>
                <w:szCs w:val="22"/>
                <w:lang w:val="es-CO"/>
              </w:rPr>
              <w:t xml:space="preserve">Se identificaron algunos Documentos Técnicos desactualizados, que puede derivar en errores en la ejecución de tareas y generar reprocesos.  </w:t>
            </w:r>
          </w:p>
        </w:tc>
      </w:tr>
      <w:tr w:rsidR="00561B22" w:rsidRPr="0061324C" w14:paraId="22FFE7C7" w14:textId="77777777" w:rsidTr="00F1223B">
        <w:tc>
          <w:tcPr>
            <w:tcW w:w="562" w:type="dxa"/>
          </w:tcPr>
          <w:p w14:paraId="24088821"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2</w:t>
            </w:r>
          </w:p>
        </w:tc>
        <w:tc>
          <w:tcPr>
            <w:tcW w:w="9400" w:type="dxa"/>
          </w:tcPr>
          <w:p w14:paraId="765B2DFB" w14:textId="77777777" w:rsidR="00561B22" w:rsidRPr="0061324C" w:rsidRDefault="00561B22" w:rsidP="00F1223B">
            <w:pPr>
              <w:jc w:val="both"/>
              <w:rPr>
                <w:rFonts w:ascii="Arial" w:hAnsi="Arial" w:cs="Arial"/>
                <w:sz w:val="22"/>
                <w:szCs w:val="22"/>
                <w:lang w:val="es-MX"/>
              </w:rPr>
            </w:pPr>
            <w:r w:rsidRPr="0061324C">
              <w:rPr>
                <w:rFonts w:ascii="Arial" w:hAnsi="Arial" w:cs="Arial"/>
                <w:sz w:val="22"/>
                <w:szCs w:val="22"/>
                <w:lang w:val="es-CO"/>
              </w:rPr>
              <w:t>Seguimiento a la ejecución del plan de capacitaciones para el personal a cargo del proceso de XM, que permita verificar su ejecución (Trazabilidad).</w:t>
            </w:r>
          </w:p>
        </w:tc>
      </w:tr>
    </w:tbl>
    <w:p w14:paraId="4E6B7EDB" w14:textId="77777777" w:rsidR="00561B22" w:rsidRPr="0061324C" w:rsidRDefault="00561B22" w:rsidP="00561B22">
      <w:pPr>
        <w:pStyle w:val="Textoindependiente"/>
        <w:ind w:right="-50"/>
        <w:jc w:val="both"/>
        <w:rPr>
          <w:rFonts w:ascii="Arial" w:hAnsi="Arial" w:cs="Arial"/>
          <w:b/>
          <w:bCs/>
        </w:rPr>
      </w:pPr>
    </w:p>
    <w:p w14:paraId="0CEE6EEE" w14:textId="77777777" w:rsidR="00561B22" w:rsidRPr="0061324C" w:rsidRDefault="00561B22" w:rsidP="00561B22">
      <w:pPr>
        <w:jc w:val="both"/>
        <w:rPr>
          <w:rFonts w:ascii="Arial" w:hAnsi="Arial" w:cs="Arial"/>
          <w:b/>
          <w:lang w:val="es-MX"/>
        </w:rPr>
      </w:pPr>
      <w:r w:rsidRPr="0061324C">
        <w:rPr>
          <w:rFonts w:ascii="Arial" w:hAnsi="Arial" w:cs="Arial"/>
          <w:b/>
          <w:lang w:val="es-MX"/>
        </w:rPr>
        <w:t>Del citado informe retomamos las siguientes recomendaciones:</w:t>
      </w:r>
    </w:p>
    <w:p w14:paraId="32224BFF" w14:textId="77777777" w:rsidR="00561B22" w:rsidRPr="0061324C"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1324C" w14:paraId="15873886" w14:textId="77777777" w:rsidTr="00F1223B">
        <w:tc>
          <w:tcPr>
            <w:tcW w:w="562" w:type="dxa"/>
          </w:tcPr>
          <w:p w14:paraId="68CA3D91" w14:textId="77777777" w:rsidR="00561B22" w:rsidRPr="0061324C" w:rsidRDefault="00561B22" w:rsidP="00F1223B">
            <w:pPr>
              <w:ind w:right="-109"/>
              <w:jc w:val="center"/>
              <w:rPr>
                <w:rFonts w:ascii="Arial" w:hAnsi="Arial" w:cs="Arial"/>
                <w:b/>
                <w:sz w:val="22"/>
                <w:szCs w:val="22"/>
                <w:lang w:val="es-MX"/>
              </w:rPr>
            </w:pPr>
            <w:r w:rsidRPr="0061324C">
              <w:rPr>
                <w:rFonts w:ascii="Arial" w:hAnsi="Arial" w:cs="Arial"/>
                <w:b/>
                <w:sz w:val="22"/>
                <w:szCs w:val="22"/>
                <w:lang w:val="es-MX"/>
              </w:rPr>
              <w:t>N°</w:t>
            </w:r>
          </w:p>
        </w:tc>
        <w:tc>
          <w:tcPr>
            <w:tcW w:w="9400" w:type="dxa"/>
          </w:tcPr>
          <w:p w14:paraId="31A8CBE7"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RECOMENDACIONES</w:t>
            </w:r>
          </w:p>
          <w:p w14:paraId="33A329CC" w14:textId="77777777" w:rsidR="00561B22" w:rsidRPr="0061324C" w:rsidRDefault="00561B22" w:rsidP="00F1223B">
            <w:pPr>
              <w:jc w:val="center"/>
              <w:rPr>
                <w:rFonts w:ascii="Arial" w:hAnsi="Arial" w:cs="Arial"/>
                <w:b/>
                <w:sz w:val="22"/>
                <w:szCs w:val="22"/>
                <w:lang w:val="es-MX"/>
              </w:rPr>
            </w:pPr>
          </w:p>
        </w:tc>
      </w:tr>
      <w:tr w:rsidR="00561B22" w:rsidRPr="0061324C" w14:paraId="622A8651" w14:textId="77777777" w:rsidTr="00F1223B">
        <w:tc>
          <w:tcPr>
            <w:tcW w:w="562" w:type="dxa"/>
          </w:tcPr>
          <w:p w14:paraId="7F90361B"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1</w:t>
            </w:r>
          </w:p>
        </w:tc>
        <w:tc>
          <w:tcPr>
            <w:tcW w:w="9400" w:type="dxa"/>
          </w:tcPr>
          <w:p w14:paraId="5A78AA4F" w14:textId="77777777" w:rsidR="00561B22" w:rsidRPr="0061324C" w:rsidRDefault="00561B22" w:rsidP="00F1223B">
            <w:pPr>
              <w:jc w:val="both"/>
              <w:rPr>
                <w:rFonts w:ascii="Arial" w:hAnsi="Arial" w:cs="Arial"/>
                <w:sz w:val="22"/>
                <w:szCs w:val="22"/>
                <w:lang w:val="es-MX"/>
              </w:rPr>
            </w:pPr>
            <w:r w:rsidRPr="0061324C">
              <w:rPr>
                <w:rFonts w:ascii="Arial" w:hAnsi="Arial" w:cs="Arial"/>
                <w:sz w:val="22"/>
                <w:szCs w:val="22"/>
                <w:lang w:val="es-MX"/>
              </w:rPr>
              <w:t xml:space="preserve">Si bien el proceso cuenta con documentos técnicos (DOT), se recomienda la revisión anual para verificar si se requiere actualización de los mismos, lo anterior dado que la estructura y procesos pueden cambiar con el tiempo y mantener los documentos actualizados contribuye a asegurar que los procedimientos sean correctos y eficientes.  </w:t>
            </w:r>
          </w:p>
        </w:tc>
      </w:tr>
      <w:tr w:rsidR="00561B22" w:rsidRPr="0061324C" w14:paraId="30EDFDD4" w14:textId="77777777" w:rsidTr="00F1223B">
        <w:tc>
          <w:tcPr>
            <w:tcW w:w="562" w:type="dxa"/>
          </w:tcPr>
          <w:p w14:paraId="146FC7AA"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2</w:t>
            </w:r>
          </w:p>
        </w:tc>
        <w:tc>
          <w:tcPr>
            <w:tcW w:w="9400" w:type="dxa"/>
          </w:tcPr>
          <w:p w14:paraId="1F4B905D" w14:textId="77777777" w:rsidR="00561B22" w:rsidRPr="0061324C" w:rsidRDefault="00561B22" w:rsidP="00F1223B">
            <w:pPr>
              <w:jc w:val="both"/>
              <w:rPr>
                <w:rFonts w:ascii="Arial" w:hAnsi="Arial" w:cs="Arial"/>
                <w:sz w:val="22"/>
                <w:szCs w:val="22"/>
                <w:lang w:val="es-MX"/>
              </w:rPr>
            </w:pPr>
            <w:r w:rsidRPr="0061324C">
              <w:rPr>
                <w:rFonts w:ascii="Arial" w:hAnsi="Arial" w:cs="Arial"/>
                <w:sz w:val="22"/>
                <w:szCs w:val="22"/>
                <w:lang w:val="es-MX"/>
              </w:rPr>
              <w:t>Documentar el seguimiento del plan de capacitación para el personal a cargo del proceso contable de XM, que permita verificar su ejecución para el mejoramiento continuo de competencias y habilidades.</w:t>
            </w:r>
          </w:p>
        </w:tc>
      </w:tr>
      <w:tr w:rsidR="00561B22" w:rsidRPr="0061324C" w14:paraId="26208080" w14:textId="77777777" w:rsidTr="00F1223B">
        <w:tc>
          <w:tcPr>
            <w:tcW w:w="562" w:type="dxa"/>
          </w:tcPr>
          <w:p w14:paraId="352F70C7" w14:textId="77777777" w:rsidR="00561B22" w:rsidRPr="0061324C" w:rsidRDefault="00561B22" w:rsidP="00F1223B">
            <w:pPr>
              <w:jc w:val="center"/>
              <w:rPr>
                <w:rFonts w:ascii="Arial" w:hAnsi="Arial" w:cs="Arial"/>
                <w:b/>
                <w:sz w:val="22"/>
                <w:szCs w:val="22"/>
                <w:lang w:val="es-MX"/>
              </w:rPr>
            </w:pPr>
            <w:r w:rsidRPr="0061324C">
              <w:rPr>
                <w:rFonts w:ascii="Arial" w:hAnsi="Arial" w:cs="Arial"/>
                <w:b/>
                <w:sz w:val="22"/>
                <w:szCs w:val="22"/>
                <w:lang w:val="es-MX"/>
              </w:rPr>
              <w:t>3</w:t>
            </w:r>
          </w:p>
        </w:tc>
        <w:tc>
          <w:tcPr>
            <w:tcW w:w="9400" w:type="dxa"/>
          </w:tcPr>
          <w:p w14:paraId="7806560F" w14:textId="77777777" w:rsidR="00561B22" w:rsidRPr="0061324C" w:rsidRDefault="00561B22" w:rsidP="00F1223B">
            <w:pPr>
              <w:jc w:val="both"/>
              <w:rPr>
                <w:rFonts w:ascii="Arial" w:hAnsi="Arial" w:cs="Arial"/>
                <w:sz w:val="22"/>
                <w:szCs w:val="22"/>
                <w:lang w:val="es-MX"/>
              </w:rPr>
            </w:pPr>
            <w:r w:rsidRPr="0061324C">
              <w:rPr>
                <w:rFonts w:ascii="Arial" w:hAnsi="Arial" w:cs="Arial"/>
                <w:sz w:val="22"/>
                <w:szCs w:val="22"/>
                <w:lang w:val="es-MX"/>
              </w:rPr>
              <w:t xml:space="preserve">Es importante que el proceso fortalezca la trazabilidad de evidencias (Soporte de capacitaciones) para demostrar de forma ágil la efectividad y el cumplimiento de los controles </w:t>
            </w:r>
            <w:r w:rsidRPr="0061324C">
              <w:rPr>
                <w:rFonts w:ascii="Arial" w:hAnsi="Arial" w:cs="Arial"/>
                <w:sz w:val="22"/>
                <w:szCs w:val="22"/>
                <w:lang w:val="es-MX"/>
              </w:rPr>
              <w:lastRenderedPageBreak/>
              <w:t xml:space="preserve">establecidos.  </w:t>
            </w:r>
          </w:p>
        </w:tc>
      </w:tr>
    </w:tbl>
    <w:p w14:paraId="47EE7C80" w14:textId="77777777" w:rsidR="00561B22" w:rsidRPr="0061324C" w:rsidRDefault="00561B22" w:rsidP="00561B22">
      <w:pPr>
        <w:pStyle w:val="Textoindependiente"/>
        <w:ind w:right="-50"/>
        <w:jc w:val="both"/>
        <w:rPr>
          <w:rFonts w:ascii="Arial" w:hAnsi="Arial" w:cs="Arial"/>
          <w:b/>
          <w:bCs/>
        </w:rPr>
      </w:pPr>
    </w:p>
    <w:p w14:paraId="232B17B6" w14:textId="77777777" w:rsidR="00561B22" w:rsidRPr="0061324C" w:rsidRDefault="00561B22" w:rsidP="00561B22">
      <w:pPr>
        <w:jc w:val="both"/>
        <w:rPr>
          <w:rFonts w:ascii="Arial" w:hAnsi="Arial" w:cs="Arial"/>
          <w:b/>
          <w:bCs/>
          <w:lang w:val="es-CO"/>
        </w:rPr>
      </w:pPr>
      <w:r w:rsidRPr="0061324C">
        <w:rPr>
          <w:rFonts w:ascii="Arial" w:hAnsi="Arial" w:cs="Arial"/>
          <w:b/>
          <w:bCs/>
          <w:lang w:val="es-CO"/>
        </w:rPr>
        <w:t xml:space="preserve">NOTA: LA ENTIDAD ENVIA LA MATRIZ DE AUTOEVALUACIÓN DEL SISTEMA DE CONTROL INTERNO CONTABLE CON </w:t>
      </w:r>
      <w:r w:rsidRPr="0061324C">
        <w:rPr>
          <w:rFonts w:ascii="Arial" w:hAnsi="Arial" w:cs="Arial"/>
          <w:b/>
          <w:bCs/>
          <w:u w:val="single"/>
          <w:lang w:val="es-CO"/>
        </w:rPr>
        <w:t>ACTIVIDADES DE CONTROL REALIZADAS EN FORMA PARCIAL</w:t>
      </w:r>
      <w:r w:rsidRPr="0061324C">
        <w:rPr>
          <w:rFonts w:ascii="Arial" w:hAnsi="Arial" w:cs="Arial"/>
          <w:b/>
          <w:bCs/>
          <w:lang w:val="es-CO"/>
        </w:rPr>
        <w:t>.</w:t>
      </w:r>
    </w:p>
    <w:p w14:paraId="47397975" w14:textId="77777777" w:rsidR="00561B22" w:rsidRDefault="00561B22" w:rsidP="00561B22">
      <w:pPr>
        <w:pStyle w:val="Textoindependiente"/>
        <w:ind w:right="-50"/>
        <w:jc w:val="both"/>
        <w:rPr>
          <w:rFonts w:ascii="Arial" w:hAnsi="Arial" w:cs="Arial"/>
          <w:b/>
          <w:bCs/>
        </w:rPr>
      </w:pPr>
    </w:p>
    <w:p w14:paraId="02F55D44" w14:textId="77777777" w:rsidR="00561B22" w:rsidRPr="00AD57F7" w:rsidRDefault="00561B22" w:rsidP="00561B22">
      <w:pPr>
        <w:jc w:val="both"/>
        <w:rPr>
          <w:rFonts w:ascii="Arial" w:hAnsi="Arial" w:cs="Arial"/>
          <w:b/>
          <w:sz w:val="28"/>
          <w:szCs w:val="28"/>
          <w:lang w:val="es-MX"/>
        </w:rPr>
      </w:pPr>
      <w:r w:rsidRPr="00AD57F7">
        <w:rPr>
          <w:rFonts w:ascii="Arial" w:hAnsi="Arial" w:cs="Arial"/>
          <w:b/>
          <w:sz w:val="28"/>
          <w:szCs w:val="28"/>
          <w:lang w:val="es-MX"/>
        </w:rPr>
        <w:t>177.- FONDO DE DESARROLLO DE LA EDUCACIÓN SUPERIOR – FODESEP.</w:t>
      </w:r>
    </w:p>
    <w:p w14:paraId="1A07B26D" w14:textId="77777777" w:rsidR="00561B22" w:rsidRPr="00AC4154" w:rsidRDefault="00561B22" w:rsidP="00561B22">
      <w:pPr>
        <w:pStyle w:val="Textoindependiente"/>
        <w:tabs>
          <w:tab w:val="left" w:pos="2055"/>
        </w:tabs>
        <w:spacing w:before="5"/>
        <w:rPr>
          <w:sz w:val="17"/>
          <w:lang w:val="es-MX"/>
        </w:rPr>
      </w:pPr>
    </w:p>
    <w:p w14:paraId="3454C655" w14:textId="77777777" w:rsidR="00561B22" w:rsidRPr="00AC4154" w:rsidRDefault="00561B22" w:rsidP="00561B22">
      <w:pPr>
        <w:pStyle w:val="Textoindependiente"/>
        <w:jc w:val="center"/>
        <w:rPr>
          <w:rFonts w:ascii="Arial" w:hAnsi="Arial" w:cs="Arial"/>
          <w:b/>
          <w:bCs/>
        </w:rPr>
      </w:pPr>
      <w:r w:rsidRPr="00AC4154">
        <w:rPr>
          <w:rFonts w:ascii="Arial" w:hAnsi="Arial" w:cs="Arial"/>
          <w:b/>
          <w:bCs/>
        </w:rPr>
        <w:t>INFORME DE LA AUTOCALIFICACIÓN DEL SISTEMA DE CONTROL INTERNO CONTABLE:</w:t>
      </w:r>
    </w:p>
    <w:p w14:paraId="33498757" w14:textId="77777777" w:rsidR="00561B22" w:rsidRPr="00AC415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C4154" w14:paraId="3D638A4B" w14:textId="77777777" w:rsidTr="00F1223B">
        <w:tc>
          <w:tcPr>
            <w:tcW w:w="4981" w:type="dxa"/>
          </w:tcPr>
          <w:p w14:paraId="26D9F3FE"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AUTOCALIFICACIÓN</w:t>
            </w:r>
          </w:p>
        </w:tc>
        <w:tc>
          <w:tcPr>
            <w:tcW w:w="4981" w:type="dxa"/>
          </w:tcPr>
          <w:p w14:paraId="12721385" w14:textId="77777777" w:rsidR="00561B22" w:rsidRPr="00AC4154" w:rsidRDefault="00561B22" w:rsidP="00F1223B">
            <w:pPr>
              <w:jc w:val="center"/>
              <w:rPr>
                <w:rFonts w:ascii="Arial" w:hAnsi="Arial" w:cs="Arial"/>
                <w:b/>
                <w:sz w:val="22"/>
                <w:szCs w:val="22"/>
                <w:u w:val="single"/>
                <w:lang w:val="es-MX"/>
              </w:rPr>
            </w:pPr>
            <w:r w:rsidRPr="00AC4154">
              <w:rPr>
                <w:rFonts w:ascii="Arial" w:hAnsi="Arial" w:cs="Arial"/>
                <w:b/>
                <w:sz w:val="22"/>
                <w:szCs w:val="22"/>
                <w:u w:val="single"/>
                <w:lang w:val="es-MX"/>
              </w:rPr>
              <w:t>4.12</w:t>
            </w:r>
          </w:p>
        </w:tc>
      </w:tr>
    </w:tbl>
    <w:p w14:paraId="2EBD22D5" w14:textId="77777777" w:rsidR="00561B22" w:rsidRPr="00AC4154" w:rsidRDefault="00561B22" w:rsidP="00561B22">
      <w:pPr>
        <w:pStyle w:val="Textoindependiente"/>
        <w:jc w:val="both"/>
        <w:rPr>
          <w:rFonts w:ascii="Arial" w:hAnsi="Arial" w:cs="Arial"/>
          <w:b/>
          <w:bCs/>
        </w:rPr>
      </w:pPr>
    </w:p>
    <w:p w14:paraId="28EE1913" w14:textId="77777777" w:rsidR="00561B22" w:rsidRPr="00AC4154" w:rsidRDefault="00561B22" w:rsidP="00561B22">
      <w:pPr>
        <w:pStyle w:val="Textoindependiente"/>
        <w:jc w:val="both"/>
        <w:rPr>
          <w:rFonts w:ascii="Arial" w:hAnsi="Arial" w:cs="Arial"/>
          <w:b/>
          <w:bCs/>
        </w:rPr>
      </w:pPr>
      <w:r w:rsidRPr="00AC4154">
        <w:rPr>
          <w:rFonts w:ascii="Arial" w:hAnsi="Arial" w:cs="Arial"/>
          <w:b/>
          <w:bCs/>
        </w:rPr>
        <w:t>Del informe enviado retomamos lo siguiente:</w:t>
      </w:r>
    </w:p>
    <w:p w14:paraId="5144C39F" w14:textId="77777777" w:rsidR="00561B22" w:rsidRPr="00AC415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C4154" w14:paraId="600A8D98" w14:textId="77777777" w:rsidTr="00F1223B">
        <w:tc>
          <w:tcPr>
            <w:tcW w:w="562" w:type="dxa"/>
          </w:tcPr>
          <w:p w14:paraId="56117CCF"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N°</w:t>
            </w:r>
          </w:p>
        </w:tc>
        <w:tc>
          <w:tcPr>
            <w:tcW w:w="9400" w:type="dxa"/>
          </w:tcPr>
          <w:p w14:paraId="77EDE710"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DEBILIDADES</w:t>
            </w:r>
          </w:p>
          <w:p w14:paraId="7CC65728" w14:textId="77777777" w:rsidR="00561B22" w:rsidRPr="00AC4154" w:rsidRDefault="00561B22" w:rsidP="00F1223B">
            <w:pPr>
              <w:jc w:val="center"/>
              <w:rPr>
                <w:rFonts w:ascii="Arial" w:hAnsi="Arial" w:cs="Arial"/>
                <w:b/>
                <w:sz w:val="22"/>
                <w:szCs w:val="22"/>
                <w:lang w:val="es-MX"/>
              </w:rPr>
            </w:pPr>
          </w:p>
        </w:tc>
      </w:tr>
      <w:tr w:rsidR="00561B22" w:rsidRPr="00AC4154" w14:paraId="5C6CC550" w14:textId="77777777" w:rsidTr="00F1223B">
        <w:tc>
          <w:tcPr>
            <w:tcW w:w="562" w:type="dxa"/>
          </w:tcPr>
          <w:p w14:paraId="0FE6E7FF"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1</w:t>
            </w:r>
          </w:p>
        </w:tc>
        <w:tc>
          <w:tcPr>
            <w:tcW w:w="9400" w:type="dxa"/>
          </w:tcPr>
          <w:p w14:paraId="285EEB11" w14:textId="77777777" w:rsidR="00561B22" w:rsidRPr="00AC4154" w:rsidRDefault="00561B22" w:rsidP="00F1223B">
            <w:pPr>
              <w:jc w:val="both"/>
              <w:rPr>
                <w:rFonts w:ascii="Arial" w:hAnsi="Arial" w:cs="Arial"/>
                <w:bCs/>
                <w:sz w:val="22"/>
                <w:szCs w:val="22"/>
                <w:lang w:val="es-MX"/>
              </w:rPr>
            </w:pPr>
            <w:r w:rsidRPr="00AC4154">
              <w:rPr>
                <w:rFonts w:ascii="Arial" w:hAnsi="Arial" w:cs="Arial"/>
                <w:bCs/>
                <w:sz w:val="22"/>
                <w:szCs w:val="22"/>
                <w:lang w:val="es-MX"/>
              </w:rPr>
              <w:t>Para la vigencia 2024, existieron falencias en el manejo del proceso contable y financiero, no se llevaba un monitoreo permanente.</w:t>
            </w:r>
          </w:p>
        </w:tc>
      </w:tr>
      <w:tr w:rsidR="00561B22" w:rsidRPr="00AC4154" w14:paraId="3DB5757D" w14:textId="77777777" w:rsidTr="00F1223B">
        <w:tc>
          <w:tcPr>
            <w:tcW w:w="562" w:type="dxa"/>
          </w:tcPr>
          <w:p w14:paraId="53DA7B9B"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2</w:t>
            </w:r>
          </w:p>
        </w:tc>
        <w:tc>
          <w:tcPr>
            <w:tcW w:w="9400" w:type="dxa"/>
          </w:tcPr>
          <w:p w14:paraId="7FC4D893" w14:textId="77777777" w:rsidR="00561B22" w:rsidRPr="00AC4154" w:rsidRDefault="00561B22" w:rsidP="00F1223B">
            <w:pPr>
              <w:jc w:val="both"/>
              <w:rPr>
                <w:rFonts w:ascii="Arial" w:hAnsi="Arial" w:cs="Arial"/>
                <w:bCs/>
                <w:sz w:val="22"/>
                <w:szCs w:val="22"/>
                <w:lang w:val="es-MX"/>
              </w:rPr>
            </w:pPr>
            <w:r w:rsidRPr="00AC4154">
              <w:rPr>
                <w:rFonts w:ascii="Arial" w:hAnsi="Arial" w:cs="Arial"/>
                <w:bCs/>
                <w:sz w:val="22"/>
                <w:szCs w:val="22"/>
                <w:lang w:val="es-MX"/>
              </w:rPr>
              <w:t>No se contó con un jefe de Control Interno durante el segundo semestre 2024.</w:t>
            </w:r>
          </w:p>
        </w:tc>
      </w:tr>
      <w:tr w:rsidR="00561B22" w:rsidRPr="00AC4154" w14:paraId="09EC8668" w14:textId="77777777" w:rsidTr="00F1223B">
        <w:tc>
          <w:tcPr>
            <w:tcW w:w="562" w:type="dxa"/>
          </w:tcPr>
          <w:p w14:paraId="75692070"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3</w:t>
            </w:r>
          </w:p>
        </w:tc>
        <w:tc>
          <w:tcPr>
            <w:tcW w:w="9400" w:type="dxa"/>
          </w:tcPr>
          <w:p w14:paraId="5D0E5555" w14:textId="77777777" w:rsidR="00561B22" w:rsidRPr="00AC4154" w:rsidRDefault="00561B22" w:rsidP="00F1223B">
            <w:pPr>
              <w:jc w:val="both"/>
              <w:rPr>
                <w:rFonts w:ascii="Arial" w:hAnsi="Arial" w:cs="Arial"/>
                <w:bCs/>
                <w:sz w:val="22"/>
                <w:szCs w:val="22"/>
                <w:lang w:val="es-MX"/>
              </w:rPr>
            </w:pPr>
            <w:r w:rsidRPr="00AC4154">
              <w:rPr>
                <w:rFonts w:ascii="Arial" w:hAnsi="Arial" w:cs="Arial"/>
                <w:bCs/>
                <w:sz w:val="22"/>
                <w:szCs w:val="22"/>
                <w:lang w:val="es-MX"/>
              </w:rPr>
              <w:t>Revisoría Fiscal efectuó auditorias parciales lo que tampoco permitió evaluar la eficiencia en el control interno contable.</w:t>
            </w:r>
          </w:p>
        </w:tc>
      </w:tr>
      <w:tr w:rsidR="00561B22" w:rsidRPr="00AC4154" w14:paraId="1868B9F0" w14:textId="77777777" w:rsidTr="00F1223B">
        <w:tc>
          <w:tcPr>
            <w:tcW w:w="562" w:type="dxa"/>
          </w:tcPr>
          <w:p w14:paraId="51ED062B"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4</w:t>
            </w:r>
          </w:p>
        </w:tc>
        <w:tc>
          <w:tcPr>
            <w:tcW w:w="9400" w:type="dxa"/>
          </w:tcPr>
          <w:p w14:paraId="0D1276EA" w14:textId="77777777" w:rsidR="00561B22" w:rsidRPr="00AC4154" w:rsidRDefault="00561B22" w:rsidP="00F1223B">
            <w:pPr>
              <w:jc w:val="both"/>
              <w:rPr>
                <w:rFonts w:ascii="Arial" w:hAnsi="Arial" w:cs="Arial"/>
                <w:bCs/>
                <w:sz w:val="22"/>
                <w:szCs w:val="22"/>
                <w:lang w:val="es-MX"/>
              </w:rPr>
            </w:pPr>
            <w:r w:rsidRPr="00AC4154">
              <w:rPr>
                <w:rFonts w:ascii="Arial" w:hAnsi="Arial" w:cs="Arial"/>
                <w:bCs/>
                <w:sz w:val="22"/>
                <w:szCs w:val="22"/>
                <w:lang w:val="es-MX"/>
              </w:rPr>
              <w:t>Existió una limitante para realizar un examen detallado a la información registrada en los Estados Financieros de la vigencia 2024, teniendo en cuenta que los plazos establecidos por la Contaduría General de la Nación para presentación de Estados Financieros e Informe de Control Interno Contable vencen en la misma fecha, el 28 de febrero de 2025, por lo cual Control Interno no contó con un tiempo para revisar las cifras contenidas en los EF a 31 de diciembre de la vigencia evaluada y aunado a que la Revisoría Fiscal emitió dictamen en la tarde del mismo 28 de febrero de 2025.</w:t>
            </w:r>
          </w:p>
        </w:tc>
      </w:tr>
    </w:tbl>
    <w:p w14:paraId="04B1F83E" w14:textId="77777777" w:rsidR="00561B22" w:rsidRPr="00AC4154" w:rsidRDefault="00561B22" w:rsidP="00561B22">
      <w:pPr>
        <w:pStyle w:val="Textoindependiente"/>
        <w:jc w:val="both"/>
        <w:rPr>
          <w:rFonts w:ascii="Arial" w:hAnsi="Arial" w:cs="Arial"/>
          <w:b/>
          <w:bCs/>
        </w:rPr>
      </w:pPr>
    </w:p>
    <w:p w14:paraId="3A8D2403" w14:textId="77777777" w:rsidR="00561B22" w:rsidRPr="00AC4154" w:rsidRDefault="00561B22" w:rsidP="00561B22">
      <w:pPr>
        <w:jc w:val="both"/>
        <w:rPr>
          <w:rFonts w:ascii="Arial" w:hAnsi="Arial" w:cs="Arial"/>
          <w:b/>
          <w:lang w:val="es-MX"/>
        </w:rPr>
      </w:pPr>
      <w:r w:rsidRPr="00AC4154">
        <w:rPr>
          <w:rFonts w:ascii="Arial" w:hAnsi="Arial" w:cs="Arial"/>
          <w:b/>
          <w:lang w:val="es-MX"/>
        </w:rPr>
        <w:t>Del citado informe retomamos las siguientes recomendaciones:</w:t>
      </w:r>
    </w:p>
    <w:p w14:paraId="53AB577D" w14:textId="77777777" w:rsidR="00561B22" w:rsidRPr="00AC4154"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AC4154" w14:paraId="04D71262" w14:textId="77777777" w:rsidTr="00F1223B">
        <w:tc>
          <w:tcPr>
            <w:tcW w:w="562" w:type="dxa"/>
          </w:tcPr>
          <w:p w14:paraId="6F482C6D"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N°</w:t>
            </w:r>
          </w:p>
        </w:tc>
        <w:tc>
          <w:tcPr>
            <w:tcW w:w="9400" w:type="dxa"/>
          </w:tcPr>
          <w:p w14:paraId="3EDD3F85"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RECOMENDACIONES</w:t>
            </w:r>
          </w:p>
          <w:p w14:paraId="48DA96C6" w14:textId="77777777" w:rsidR="00561B22" w:rsidRPr="00AC4154" w:rsidRDefault="00561B22" w:rsidP="00F1223B">
            <w:pPr>
              <w:jc w:val="center"/>
              <w:rPr>
                <w:rFonts w:ascii="Arial" w:hAnsi="Arial" w:cs="Arial"/>
                <w:b/>
                <w:sz w:val="22"/>
                <w:szCs w:val="22"/>
                <w:lang w:val="es-MX"/>
              </w:rPr>
            </w:pPr>
          </w:p>
        </w:tc>
      </w:tr>
      <w:tr w:rsidR="00561B22" w:rsidRPr="00AC4154" w14:paraId="43D24DFD" w14:textId="77777777" w:rsidTr="00F1223B">
        <w:tc>
          <w:tcPr>
            <w:tcW w:w="562" w:type="dxa"/>
          </w:tcPr>
          <w:p w14:paraId="49E8F505"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1</w:t>
            </w:r>
          </w:p>
        </w:tc>
        <w:tc>
          <w:tcPr>
            <w:tcW w:w="9400" w:type="dxa"/>
          </w:tcPr>
          <w:p w14:paraId="090C9C3C" w14:textId="77777777" w:rsidR="00561B22" w:rsidRPr="00AC4154" w:rsidRDefault="00561B22" w:rsidP="00F1223B">
            <w:pPr>
              <w:tabs>
                <w:tab w:val="left" w:pos="1513"/>
              </w:tabs>
              <w:jc w:val="both"/>
              <w:rPr>
                <w:rFonts w:ascii="Arial" w:hAnsi="Arial" w:cs="Arial"/>
                <w:bCs/>
                <w:sz w:val="22"/>
                <w:szCs w:val="22"/>
              </w:rPr>
            </w:pPr>
            <w:r w:rsidRPr="00AC4154">
              <w:rPr>
                <w:rFonts w:ascii="Arial" w:hAnsi="Arial" w:cs="Arial"/>
                <w:bCs/>
                <w:sz w:val="22"/>
                <w:szCs w:val="22"/>
              </w:rPr>
              <w:t>Es importante fortalecer el proceso de toma física de inventarios, en el que se verifique la existencia de todos los bienes de la entidad, a fin de evitar pérdidas y/o daño de estos.</w:t>
            </w:r>
          </w:p>
        </w:tc>
      </w:tr>
      <w:tr w:rsidR="00561B22" w:rsidRPr="00AC4154" w14:paraId="0A09D4AE" w14:textId="77777777" w:rsidTr="00F1223B">
        <w:tc>
          <w:tcPr>
            <w:tcW w:w="562" w:type="dxa"/>
          </w:tcPr>
          <w:p w14:paraId="7606B27B"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2</w:t>
            </w:r>
          </w:p>
        </w:tc>
        <w:tc>
          <w:tcPr>
            <w:tcW w:w="9400" w:type="dxa"/>
          </w:tcPr>
          <w:p w14:paraId="79FA1523" w14:textId="77777777" w:rsidR="00561B22" w:rsidRPr="00AC4154" w:rsidRDefault="00561B22" w:rsidP="00F1223B">
            <w:pPr>
              <w:jc w:val="both"/>
              <w:rPr>
                <w:rFonts w:ascii="Arial" w:hAnsi="Arial" w:cs="Arial"/>
                <w:bCs/>
                <w:sz w:val="22"/>
                <w:szCs w:val="22"/>
              </w:rPr>
            </w:pPr>
            <w:r w:rsidRPr="00AC4154">
              <w:rPr>
                <w:rFonts w:ascii="Arial" w:hAnsi="Arial" w:cs="Arial"/>
                <w:bCs/>
                <w:sz w:val="22"/>
                <w:szCs w:val="22"/>
              </w:rPr>
              <w:t>Actualizar los instructivos y procedimientos relacionados con el flujo de la información e identificar los documentos requeridos en cada una de sus etapas.</w:t>
            </w:r>
          </w:p>
        </w:tc>
      </w:tr>
      <w:tr w:rsidR="00561B22" w:rsidRPr="00AC4154" w14:paraId="518E9EAA" w14:textId="77777777" w:rsidTr="00F1223B">
        <w:tc>
          <w:tcPr>
            <w:tcW w:w="562" w:type="dxa"/>
          </w:tcPr>
          <w:p w14:paraId="3630DF85"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3</w:t>
            </w:r>
          </w:p>
        </w:tc>
        <w:tc>
          <w:tcPr>
            <w:tcW w:w="9400" w:type="dxa"/>
          </w:tcPr>
          <w:p w14:paraId="0BFBAFA9" w14:textId="77777777" w:rsidR="00561B22" w:rsidRPr="00AC4154" w:rsidRDefault="00561B22" w:rsidP="00F1223B">
            <w:pPr>
              <w:jc w:val="both"/>
              <w:rPr>
                <w:rFonts w:ascii="Arial" w:hAnsi="Arial" w:cs="Arial"/>
                <w:bCs/>
                <w:sz w:val="22"/>
                <w:szCs w:val="22"/>
              </w:rPr>
            </w:pPr>
            <w:r w:rsidRPr="00AC4154">
              <w:rPr>
                <w:rFonts w:ascii="Arial" w:hAnsi="Arial" w:cs="Arial"/>
                <w:bCs/>
                <w:sz w:val="22"/>
                <w:szCs w:val="22"/>
              </w:rPr>
              <w:t>Se recomienda llevar un tablero de control que identifique riesgos a reportar en las etapas financieras.</w:t>
            </w:r>
          </w:p>
        </w:tc>
      </w:tr>
      <w:tr w:rsidR="00561B22" w:rsidRPr="00AC4154" w14:paraId="700D81EE" w14:textId="77777777" w:rsidTr="00F1223B">
        <w:tc>
          <w:tcPr>
            <w:tcW w:w="562" w:type="dxa"/>
          </w:tcPr>
          <w:p w14:paraId="6769C968" w14:textId="77777777" w:rsidR="00561B22" w:rsidRPr="00AC4154" w:rsidRDefault="00561B22" w:rsidP="00F1223B">
            <w:pPr>
              <w:jc w:val="center"/>
              <w:rPr>
                <w:rFonts w:ascii="Arial" w:hAnsi="Arial" w:cs="Arial"/>
                <w:b/>
                <w:sz w:val="22"/>
                <w:szCs w:val="22"/>
                <w:lang w:val="es-MX"/>
              </w:rPr>
            </w:pPr>
            <w:r w:rsidRPr="00AC4154">
              <w:rPr>
                <w:rFonts w:ascii="Arial" w:hAnsi="Arial" w:cs="Arial"/>
                <w:b/>
                <w:sz w:val="22"/>
                <w:szCs w:val="22"/>
                <w:lang w:val="es-MX"/>
              </w:rPr>
              <w:t>4</w:t>
            </w:r>
          </w:p>
        </w:tc>
        <w:tc>
          <w:tcPr>
            <w:tcW w:w="9400" w:type="dxa"/>
          </w:tcPr>
          <w:p w14:paraId="606078F7" w14:textId="77777777" w:rsidR="00561B22" w:rsidRPr="00AC4154" w:rsidRDefault="00561B22" w:rsidP="00F1223B">
            <w:pPr>
              <w:jc w:val="both"/>
              <w:rPr>
                <w:rFonts w:ascii="Arial" w:hAnsi="Arial" w:cs="Arial"/>
                <w:bCs/>
                <w:sz w:val="22"/>
                <w:szCs w:val="22"/>
              </w:rPr>
            </w:pPr>
            <w:r w:rsidRPr="00AC4154">
              <w:rPr>
                <w:rFonts w:ascii="Arial" w:hAnsi="Arial" w:cs="Arial"/>
                <w:bCs/>
                <w:sz w:val="22"/>
                <w:szCs w:val="22"/>
              </w:rPr>
              <w:t>Se recomienda fortalecer a través de capacitaciones el personal que tiene a cargo el manejo financiero de la entidad.</w:t>
            </w:r>
          </w:p>
        </w:tc>
      </w:tr>
    </w:tbl>
    <w:p w14:paraId="513E7E5F" w14:textId="77777777" w:rsidR="00561B22" w:rsidRPr="00AC4154" w:rsidRDefault="00561B22" w:rsidP="00561B22">
      <w:pPr>
        <w:pStyle w:val="Textoindependiente"/>
        <w:jc w:val="both"/>
        <w:rPr>
          <w:rFonts w:ascii="Arial" w:hAnsi="Arial" w:cs="Arial"/>
          <w:b/>
          <w:bCs/>
        </w:rPr>
      </w:pPr>
    </w:p>
    <w:p w14:paraId="6582E68A" w14:textId="77777777" w:rsidR="00561B22" w:rsidRPr="00AC4154" w:rsidRDefault="00561B22" w:rsidP="00561B22">
      <w:pPr>
        <w:jc w:val="both"/>
        <w:rPr>
          <w:rFonts w:ascii="Arial" w:hAnsi="Arial" w:cs="Arial"/>
          <w:b/>
          <w:bCs/>
          <w:sz w:val="24"/>
          <w:szCs w:val="24"/>
          <w:lang w:val="es-CO"/>
        </w:rPr>
      </w:pPr>
      <w:r w:rsidRPr="00AC4154">
        <w:rPr>
          <w:rFonts w:ascii="Arial" w:hAnsi="Arial" w:cs="Arial"/>
          <w:b/>
          <w:bCs/>
          <w:sz w:val="24"/>
          <w:szCs w:val="24"/>
          <w:lang w:val="es-CO"/>
        </w:rPr>
        <w:t xml:space="preserve">NOTA: LA ENTIDAD ENVIA LA MATRIZ DE AUTOEVALUACIÓN DEL SISTEMA DE CONTROL INTERNO CONTABLE CON ACTIVIDADES DE CONTROL REALIZADAS </w:t>
      </w:r>
      <w:r w:rsidRPr="00AC4154">
        <w:rPr>
          <w:rFonts w:ascii="Arial" w:hAnsi="Arial" w:cs="Arial"/>
          <w:b/>
          <w:bCs/>
          <w:sz w:val="24"/>
          <w:szCs w:val="24"/>
          <w:u w:val="single"/>
          <w:lang w:val="es-CO"/>
        </w:rPr>
        <w:t>EN FORMA PARCIAL Y OTRAS SIMPLEMENTE INFORMAN QUE NO SE REALIZARON</w:t>
      </w:r>
      <w:r w:rsidRPr="00AC4154">
        <w:rPr>
          <w:rFonts w:ascii="Arial" w:hAnsi="Arial" w:cs="Arial"/>
          <w:b/>
          <w:bCs/>
          <w:sz w:val="24"/>
          <w:szCs w:val="24"/>
          <w:lang w:val="es-CO"/>
        </w:rPr>
        <w:t>.</w:t>
      </w:r>
    </w:p>
    <w:p w14:paraId="69D328C7" w14:textId="77777777" w:rsidR="00561B22" w:rsidRDefault="00561B22" w:rsidP="00561B22">
      <w:pPr>
        <w:jc w:val="both"/>
        <w:rPr>
          <w:rFonts w:ascii="Arial" w:hAnsi="Arial" w:cs="Arial"/>
          <w:b/>
          <w:bCs/>
          <w:lang w:val="es-CO"/>
        </w:rPr>
      </w:pPr>
    </w:p>
    <w:p w14:paraId="64D042AB" w14:textId="77777777" w:rsidR="00561B22" w:rsidRPr="00B62592" w:rsidRDefault="00561B22" w:rsidP="00561B22">
      <w:pPr>
        <w:jc w:val="both"/>
        <w:rPr>
          <w:rFonts w:ascii="Arial" w:hAnsi="Arial" w:cs="Arial"/>
          <w:b/>
          <w:sz w:val="28"/>
          <w:szCs w:val="28"/>
          <w:lang w:val="es-MX"/>
        </w:rPr>
      </w:pPr>
      <w:r w:rsidRPr="00B62592">
        <w:rPr>
          <w:rFonts w:ascii="Arial" w:hAnsi="Arial" w:cs="Arial"/>
          <w:b/>
          <w:sz w:val="28"/>
          <w:szCs w:val="28"/>
          <w:lang w:val="es-MX"/>
        </w:rPr>
        <w:t>178.- SOCIEDAD FIDUCIARIA DE DESARROLLO AGROPECUARIO S.A. – FIDUAGRARIA S.A.</w:t>
      </w:r>
    </w:p>
    <w:p w14:paraId="249A74F0" w14:textId="77777777" w:rsidR="00561B22" w:rsidRDefault="00561B22" w:rsidP="00561B22">
      <w:pPr>
        <w:ind w:right="49"/>
        <w:jc w:val="both"/>
        <w:rPr>
          <w:rFonts w:ascii="Arial" w:hAnsi="Arial" w:cs="Arial"/>
          <w:b/>
          <w:spacing w:val="-3"/>
          <w:sz w:val="24"/>
          <w:szCs w:val="24"/>
          <w:lang w:val="es-MX"/>
        </w:rPr>
      </w:pPr>
    </w:p>
    <w:p w14:paraId="5484D45B" w14:textId="77777777" w:rsidR="00561B22" w:rsidRPr="008779B6" w:rsidRDefault="00561B22" w:rsidP="00561B22">
      <w:pPr>
        <w:pStyle w:val="Textoindependiente"/>
        <w:ind w:right="-50"/>
        <w:jc w:val="center"/>
        <w:rPr>
          <w:rFonts w:ascii="Arial" w:hAnsi="Arial" w:cs="Arial"/>
          <w:b/>
          <w:bCs/>
        </w:rPr>
      </w:pPr>
      <w:r w:rsidRPr="008779B6">
        <w:rPr>
          <w:rFonts w:ascii="Arial" w:hAnsi="Arial" w:cs="Arial"/>
          <w:b/>
          <w:bCs/>
        </w:rPr>
        <w:t>INFORME DE LA AUTOCALIFICACIÓN DEL SISTEMA DE CONTROL INTERNO CONTABLE:</w:t>
      </w:r>
    </w:p>
    <w:p w14:paraId="06D3979B" w14:textId="77777777" w:rsidR="00561B22" w:rsidRPr="008779B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779B6" w14:paraId="21E75D88" w14:textId="77777777" w:rsidTr="00F1223B">
        <w:tc>
          <w:tcPr>
            <w:tcW w:w="4981" w:type="dxa"/>
          </w:tcPr>
          <w:p w14:paraId="7E6BC20A" w14:textId="77777777" w:rsidR="00561B22" w:rsidRPr="008779B6" w:rsidRDefault="00561B22" w:rsidP="00F1223B">
            <w:pPr>
              <w:jc w:val="center"/>
              <w:rPr>
                <w:rFonts w:ascii="Arial" w:hAnsi="Arial" w:cs="Arial"/>
                <w:b/>
                <w:sz w:val="22"/>
                <w:szCs w:val="22"/>
                <w:lang w:val="es-MX"/>
              </w:rPr>
            </w:pPr>
            <w:r w:rsidRPr="008779B6">
              <w:rPr>
                <w:rFonts w:ascii="Arial" w:hAnsi="Arial" w:cs="Arial"/>
                <w:b/>
                <w:sz w:val="22"/>
                <w:szCs w:val="22"/>
                <w:lang w:val="es-MX"/>
              </w:rPr>
              <w:t>AUTOCALIFICACIÓN</w:t>
            </w:r>
          </w:p>
        </w:tc>
        <w:tc>
          <w:tcPr>
            <w:tcW w:w="4981" w:type="dxa"/>
          </w:tcPr>
          <w:p w14:paraId="06FFE456" w14:textId="77777777" w:rsidR="00561B22" w:rsidRPr="008779B6" w:rsidRDefault="00561B22" w:rsidP="00F1223B">
            <w:pPr>
              <w:jc w:val="center"/>
              <w:rPr>
                <w:rFonts w:ascii="Arial" w:hAnsi="Arial" w:cs="Arial"/>
                <w:b/>
                <w:sz w:val="22"/>
                <w:szCs w:val="22"/>
                <w:u w:val="single"/>
                <w:lang w:val="es-MX"/>
              </w:rPr>
            </w:pPr>
            <w:r w:rsidRPr="008779B6">
              <w:rPr>
                <w:rFonts w:ascii="Arial" w:hAnsi="Arial" w:cs="Arial"/>
                <w:b/>
                <w:sz w:val="22"/>
                <w:szCs w:val="22"/>
                <w:u w:val="single"/>
                <w:lang w:val="es-MX"/>
              </w:rPr>
              <w:t>5.00</w:t>
            </w:r>
          </w:p>
        </w:tc>
      </w:tr>
    </w:tbl>
    <w:p w14:paraId="43FBFD47" w14:textId="77777777" w:rsidR="00561B22" w:rsidRPr="008779B6" w:rsidRDefault="00561B22" w:rsidP="00561B22">
      <w:pPr>
        <w:pStyle w:val="Textoindependiente"/>
        <w:ind w:right="-50"/>
        <w:jc w:val="both"/>
        <w:rPr>
          <w:rFonts w:ascii="Arial" w:hAnsi="Arial" w:cs="Arial"/>
          <w:b/>
          <w:bCs/>
        </w:rPr>
      </w:pPr>
    </w:p>
    <w:p w14:paraId="35306296" w14:textId="77777777" w:rsidR="00561B22" w:rsidRPr="008779B6" w:rsidRDefault="00561B22" w:rsidP="00561B22">
      <w:pPr>
        <w:pStyle w:val="Textoindependiente"/>
        <w:ind w:right="-50"/>
        <w:jc w:val="both"/>
        <w:rPr>
          <w:rFonts w:ascii="Arial" w:hAnsi="Arial" w:cs="Arial"/>
          <w:b/>
          <w:bCs/>
        </w:rPr>
      </w:pPr>
      <w:r w:rsidRPr="008779B6">
        <w:rPr>
          <w:rFonts w:ascii="Arial" w:hAnsi="Arial" w:cs="Arial"/>
          <w:b/>
          <w:bCs/>
        </w:rPr>
        <w:t>Del informe enviado retomamos lo siguiente:</w:t>
      </w:r>
    </w:p>
    <w:p w14:paraId="1C42ED82" w14:textId="77777777" w:rsidR="00561B22" w:rsidRPr="008779B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779B6" w14:paraId="4513D409" w14:textId="77777777" w:rsidTr="00F1223B">
        <w:tc>
          <w:tcPr>
            <w:tcW w:w="562" w:type="dxa"/>
          </w:tcPr>
          <w:p w14:paraId="4E9E65F9" w14:textId="77777777" w:rsidR="00561B22" w:rsidRPr="008779B6" w:rsidRDefault="00561B22" w:rsidP="00F1223B">
            <w:pPr>
              <w:ind w:right="-109"/>
              <w:jc w:val="center"/>
              <w:rPr>
                <w:rFonts w:ascii="Arial" w:hAnsi="Arial" w:cs="Arial"/>
                <w:b/>
                <w:sz w:val="22"/>
                <w:szCs w:val="22"/>
                <w:lang w:val="es-MX"/>
              </w:rPr>
            </w:pPr>
            <w:r w:rsidRPr="008779B6">
              <w:rPr>
                <w:rFonts w:ascii="Arial" w:hAnsi="Arial" w:cs="Arial"/>
                <w:b/>
                <w:sz w:val="22"/>
                <w:szCs w:val="22"/>
                <w:lang w:val="es-MX"/>
              </w:rPr>
              <w:t>N°</w:t>
            </w:r>
          </w:p>
        </w:tc>
        <w:tc>
          <w:tcPr>
            <w:tcW w:w="9400" w:type="dxa"/>
          </w:tcPr>
          <w:p w14:paraId="2DBAE1D1" w14:textId="77777777" w:rsidR="00561B22" w:rsidRPr="008779B6" w:rsidRDefault="00561B22" w:rsidP="00F1223B">
            <w:pPr>
              <w:jc w:val="center"/>
              <w:rPr>
                <w:rFonts w:ascii="Arial" w:hAnsi="Arial" w:cs="Arial"/>
                <w:b/>
                <w:sz w:val="22"/>
                <w:szCs w:val="22"/>
                <w:lang w:val="es-MX"/>
              </w:rPr>
            </w:pPr>
            <w:r w:rsidRPr="008779B6">
              <w:rPr>
                <w:rFonts w:ascii="Arial" w:hAnsi="Arial" w:cs="Arial"/>
                <w:b/>
                <w:sz w:val="22"/>
                <w:szCs w:val="22"/>
                <w:lang w:val="es-MX"/>
              </w:rPr>
              <w:t>DEBILIDADES</w:t>
            </w:r>
          </w:p>
          <w:p w14:paraId="7575D907" w14:textId="77777777" w:rsidR="00561B22" w:rsidRPr="008779B6" w:rsidRDefault="00561B22" w:rsidP="00F1223B">
            <w:pPr>
              <w:jc w:val="center"/>
              <w:rPr>
                <w:rFonts w:ascii="Arial" w:hAnsi="Arial" w:cs="Arial"/>
                <w:b/>
                <w:sz w:val="22"/>
                <w:szCs w:val="22"/>
                <w:lang w:val="es-MX"/>
              </w:rPr>
            </w:pPr>
          </w:p>
        </w:tc>
      </w:tr>
      <w:tr w:rsidR="00561B22" w:rsidRPr="008779B6" w14:paraId="60CD8739" w14:textId="77777777" w:rsidTr="00F1223B">
        <w:tc>
          <w:tcPr>
            <w:tcW w:w="562" w:type="dxa"/>
          </w:tcPr>
          <w:p w14:paraId="24BA25BA" w14:textId="77777777" w:rsidR="00561B22" w:rsidRPr="008779B6" w:rsidRDefault="00561B22" w:rsidP="00F1223B">
            <w:pPr>
              <w:jc w:val="center"/>
              <w:rPr>
                <w:rFonts w:ascii="Arial" w:hAnsi="Arial" w:cs="Arial"/>
                <w:b/>
                <w:sz w:val="22"/>
                <w:szCs w:val="22"/>
                <w:lang w:val="es-MX"/>
              </w:rPr>
            </w:pPr>
            <w:r w:rsidRPr="008779B6">
              <w:rPr>
                <w:rFonts w:ascii="Arial" w:hAnsi="Arial" w:cs="Arial"/>
                <w:b/>
                <w:sz w:val="22"/>
                <w:szCs w:val="22"/>
                <w:lang w:val="es-MX"/>
              </w:rPr>
              <w:t>1</w:t>
            </w:r>
          </w:p>
        </w:tc>
        <w:tc>
          <w:tcPr>
            <w:tcW w:w="9400" w:type="dxa"/>
          </w:tcPr>
          <w:p w14:paraId="14461CDA" w14:textId="77777777" w:rsidR="00561B22" w:rsidRPr="008779B6" w:rsidRDefault="00561B22" w:rsidP="00F1223B">
            <w:pPr>
              <w:jc w:val="both"/>
              <w:rPr>
                <w:rFonts w:ascii="Arial" w:hAnsi="Arial" w:cs="Arial"/>
                <w:bCs/>
                <w:sz w:val="22"/>
                <w:szCs w:val="22"/>
                <w:lang w:val="es-MX"/>
              </w:rPr>
            </w:pPr>
            <w:r w:rsidRPr="008779B6">
              <w:rPr>
                <w:rFonts w:ascii="Arial" w:hAnsi="Arial" w:cs="Arial"/>
                <w:bCs/>
                <w:sz w:val="22"/>
                <w:szCs w:val="22"/>
                <w:lang w:val="es-MX"/>
              </w:rPr>
              <w:t>De acuerdo con la evaluación realizada por la oficina de Control Interno se evidencia que es necesario continuar fortaleciendo los procesos relacionados en el cumplimiento del perfil de los funcionarios que participan en las actividades de los procedimientos contables para este caso.</w:t>
            </w:r>
          </w:p>
        </w:tc>
      </w:tr>
    </w:tbl>
    <w:p w14:paraId="47C9801B" w14:textId="77777777" w:rsidR="00561B22" w:rsidRDefault="00561B22" w:rsidP="00561B22">
      <w:pPr>
        <w:pStyle w:val="Ttulo1"/>
        <w:spacing w:before="93"/>
        <w:ind w:left="-142" w:right="-50"/>
        <w:rPr>
          <w:sz w:val="28"/>
          <w:szCs w:val="28"/>
        </w:rPr>
      </w:pPr>
    </w:p>
    <w:p w14:paraId="184462F4" w14:textId="77777777" w:rsidR="00561B22" w:rsidRDefault="00561B22" w:rsidP="00561B22">
      <w:pPr>
        <w:jc w:val="both"/>
        <w:rPr>
          <w:b/>
          <w:sz w:val="28"/>
          <w:szCs w:val="28"/>
          <w:lang w:val="es-MX"/>
        </w:rPr>
      </w:pPr>
      <w:r>
        <w:rPr>
          <w:b/>
          <w:sz w:val="28"/>
          <w:szCs w:val="28"/>
          <w:lang w:val="es-MX"/>
        </w:rPr>
        <w:t>Del citado informe retomamos las siguientes recomendaciones:</w:t>
      </w:r>
    </w:p>
    <w:p w14:paraId="1294E7A3" w14:textId="77777777" w:rsidR="00561B22" w:rsidRPr="002B5BB3" w:rsidRDefault="00561B22" w:rsidP="00561B22">
      <w:pPr>
        <w:pStyle w:val="Ttulo1"/>
        <w:spacing w:before="93"/>
        <w:ind w:left="-142" w:right="-50"/>
        <w:rPr>
          <w:sz w:val="28"/>
          <w:szCs w:val="28"/>
          <w:lang w:val="es-MX"/>
        </w:rPr>
      </w:pPr>
    </w:p>
    <w:tbl>
      <w:tblPr>
        <w:tblStyle w:val="Tablaconcuadrcula"/>
        <w:tblW w:w="0" w:type="auto"/>
        <w:tblLook w:val="04A0" w:firstRow="1" w:lastRow="0" w:firstColumn="1" w:lastColumn="0" w:noHBand="0" w:noVBand="1"/>
      </w:tblPr>
      <w:tblGrid>
        <w:gridCol w:w="562"/>
        <w:gridCol w:w="9400"/>
      </w:tblGrid>
      <w:tr w:rsidR="00561B22" w:rsidRPr="007B71CC" w14:paraId="1DC68F0E" w14:textId="77777777" w:rsidTr="00F1223B">
        <w:tc>
          <w:tcPr>
            <w:tcW w:w="562" w:type="dxa"/>
          </w:tcPr>
          <w:p w14:paraId="75870625" w14:textId="77777777" w:rsidR="00561B22" w:rsidRPr="007B71CC" w:rsidRDefault="00561B22" w:rsidP="00F1223B">
            <w:pPr>
              <w:ind w:right="-109"/>
              <w:jc w:val="center"/>
              <w:rPr>
                <w:rFonts w:ascii="Arial" w:hAnsi="Arial" w:cs="Arial"/>
                <w:b/>
                <w:lang w:val="es-MX"/>
              </w:rPr>
            </w:pPr>
            <w:r w:rsidRPr="007B71CC">
              <w:rPr>
                <w:rFonts w:ascii="Arial" w:hAnsi="Arial" w:cs="Arial"/>
                <w:b/>
                <w:lang w:val="es-MX"/>
              </w:rPr>
              <w:t>N°</w:t>
            </w:r>
          </w:p>
        </w:tc>
        <w:tc>
          <w:tcPr>
            <w:tcW w:w="9400" w:type="dxa"/>
          </w:tcPr>
          <w:p w14:paraId="5803A08B" w14:textId="77777777" w:rsidR="00561B22" w:rsidRPr="007B71CC" w:rsidRDefault="00561B22" w:rsidP="00F1223B">
            <w:pPr>
              <w:jc w:val="center"/>
              <w:rPr>
                <w:rFonts w:ascii="Arial" w:hAnsi="Arial" w:cs="Arial"/>
                <w:b/>
                <w:sz w:val="24"/>
                <w:szCs w:val="24"/>
                <w:lang w:val="es-MX"/>
              </w:rPr>
            </w:pPr>
            <w:r w:rsidRPr="007B71CC">
              <w:rPr>
                <w:rFonts w:ascii="Arial" w:hAnsi="Arial" w:cs="Arial"/>
                <w:b/>
                <w:sz w:val="24"/>
                <w:szCs w:val="24"/>
                <w:lang w:val="es-MX"/>
              </w:rPr>
              <w:t>RECOMENDACIONES</w:t>
            </w:r>
          </w:p>
          <w:p w14:paraId="1E32CBF1" w14:textId="77777777" w:rsidR="00561B22" w:rsidRPr="007B71CC" w:rsidRDefault="00561B22" w:rsidP="00F1223B">
            <w:pPr>
              <w:jc w:val="center"/>
              <w:rPr>
                <w:rFonts w:ascii="Arial" w:hAnsi="Arial" w:cs="Arial"/>
                <w:b/>
                <w:lang w:val="es-MX"/>
              </w:rPr>
            </w:pPr>
          </w:p>
        </w:tc>
      </w:tr>
      <w:tr w:rsidR="00561B22" w:rsidRPr="007B71CC" w14:paraId="6A787119" w14:textId="77777777" w:rsidTr="00F1223B">
        <w:tc>
          <w:tcPr>
            <w:tcW w:w="562" w:type="dxa"/>
          </w:tcPr>
          <w:p w14:paraId="656ACFE5" w14:textId="77777777" w:rsidR="00561B22" w:rsidRPr="007B71CC" w:rsidRDefault="00561B22" w:rsidP="00F1223B">
            <w:pPr>
              <w:jc w:val="center"/>
              <w:rPr>
                <w:rFonts w:ascii="Arial" w:hAnsi="Arial" w:cs="Arial"/>
                <w:b/>
                <w:lang w:val="es-MX"/>
              </w:rPr>
            </w:pPr>
            <w:r w:rsidRPr="007B71CC">
              <w:rPr>
                <w:rFonts w:ascii="Arial" w:hAnsi="Arial" w:cs="Arial"/>
                <w:b/>
                <w:lang w:val="es-MX"/>
              </w:rPr>
              <w:t>1</w:t>
            </w:r>
          </w:p>
        </w:tc>
        <w:tc>
          <w:tcPr>
            <w:tcW w:w="9400" w:type="dxa"/>
          </w:tcPr>
          <w:p w14:paraId="4DB66CCA" w14:textId="77777777" w:rsidR="00561B22" w:rsidRPr="007B71CC" w:rsidRDefault="00561B22" w:rsidP="00F1223B">
            <w:pPr>
              <w:jc w:val="both"/>
              <w:rPr>
                <w:rFonts w:ascii="Arial" w:hAnsi="Arial" w:cs="Arial"/>
                <w:bCs/>
                <w:lang w:val="es-MX"/>
              </w:rPr>
            </w:pPr>
            <w:r w:rsidRPr="007B71CC">
              <w:rPr>
                <w:rFonts w:ascii="Arial" w:hAnsi="Arial" w:cs="Arial"/>
                <w:bCs/>
                <w:lang w:val="es-MX"/>
              </w:rPr>
              <w:t>Continuar las gestiones administrativas correspondientes, para depurar y documentar las partidas de las cuentas informativas y control, priorizando su nivel de riesgo por concepto u origen, edad, y tipo de negocio de manera que permita obtener avances representativos.</w:t>
            </w:r>
          </w:p>
        </w:tc>
      </w:tr>
    </w:tbl>
    <w:p w14:paraId="2997C59E" w14:textId="77777777" w:rsidR="00561B22" w:rsidRDefault="00561B22" w:rsidP="00561B22">
      <w:pPr>
        <w:jc w:val="both"/>
        <w:rPr>
          <w:rFonts w:ascii="Arial" w:hAnsi="Arial" w:cs="Arial"/>
          <w:b/>
          <w:bCs/>
        </w:rPr>
      </w:pPr>
    </w:p>
    <w:p w14:paraId="3E8509B4" w14:textId="77777777" w:rsidR="00561B22" w:rsidRPr="00B7600B" w:rsidRDefault="00561B22" w:rsidP="00561B22">
      <w:pPr>
        <w:jc w:val="both"/>
        <w:rPr>
          <w:rFonts w:ascii="Arial" w:hAnsi="Arial" w:cs="Arial"/>
          <w:b/>
          <w:sz w:val="28"/>
          <w:szCs w:val="28"/>
          <w:lang w:val="es-MX"/>
        </w:rPr>
      </w:pPr>
      <w:r w:rsidRPr="00B7600B">
        <w:rPr>
          <w:rFonts w:ascii="Arial" w:hAnsi="Arial" w:cs="Arial"/>
          <w:b/>
          <w:sz w:val="28"/>
          <w:szCs w:val="28"/>
          <w:lang w:val="es-MX"/>
        </w:rPr>
        <w:t>179.- P.A. FONDO PARA LA SUPERACIÓN DE BRECHAS DE DESIGUALDAD POBLACIONAL E INEQUIDAD TERRITORIAL – FIDUAGRARIA S.A.</w:t>
      </w:r>
    </w:p>
    <w:p w14:paraId="10D206ED" w14:textId="77777777" w:rsidR="00561B22" w:rsidRDefault="00561B22" w:rsidP="00561B22">
      <w:pPr>
        <w:jc w:val="both"/>
        <w:rPr>
          <w:rFonts w:ascii="Arial" w:hAnsi="Arial" w:cs="Arial"/>
          <w:b/>
          <w:bCs/>
          <w:lang w:val="es-MX"/>
        </w:rPr>
      </w:pPr>
    </w:p>
    <w:p w14:paraId="64605EFA" w14:textId="77777777" w:rsidR="00561B22" w:rsidRPr="007B71CC" w:rsidRDefault="00561B22" w:rsidP="00561B22">
      <w:pPr>
        <w:pStyle w:val="Textoindependiente"/>
        <w:ind w:right="-50"/>
        <w:jc w:val="center"/>
        <w:rPr>
          <w:rFonts w:ascii="Arial" w:hAnsi="Arial" w:cs="Arial"/>
          <w:b/>
          <w:bCs/>
        </w:rPr>
      </w:pPr>
      <w:r w:rsidRPr="007B71CC">
        <w:rPr>
          <w:rFonts w:ascii="Arial" w:hAnsi="Arial" w:cs="Arial"/>
          <w:b/>
          <w:bCs/>
        </w:rPr>
        <w:t>INFORME DE LA AUTOCALIFICACIÓN DEL SISTEMA DE CONTROL INTERNO CONTABLE:</w:t>
      </w:r>
    </w:p>
    <w:p w14:paraId="60289574" w14:textId="77777777" w:rsidR="00561B22" w:rsidRPr="007B71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B71CC" w14:paraId="587B583D" w14:textId="77777777" w:rsidTr="00F1223B">
        <w:tc>
          <w:tcPr>
            <w:tcW w:w="4981" w:type="dxa"/>
          </w:tcPr>
          <w:p w14:paraId="0FFA6DEB" w14:textId="77777777" w:rsidR="00561B22" w:rsidRPr="007B71CC" w:rsidRDefault="00561B22" w:rsidP="00F1223B">
            <w:pPr>
              <w:jc w:val="center"/>
              <w:rPr>
                <w:rFonts w:ascii="Arial" w:hAnsi="Arial" w:cs="Arial"/>
                <w:b/>
                <w:sz w:val="22"/>
                <w:szCs w:val="22"/>
                <w:lang w:val="es-MX"/>
              </w:rPr>
            </w:pPr>
            <w:r w:rsidRPr="007B71CC">
              <w:rPr>
                <w:rFonts w:ascii="Arial" w:hAnsi="Arial" w:cs="Arial"/>
                <w:b/>
                <w:sz w:val="22"/>
                <w:szCs w:val="22"/>
                <w:lang w:val="es-MX"/>
              </w:rPr>
              <w:t>AUTOCALIFICACIÓN</w:t>
            </w:r>
          </w:p>
        </w:tc>
        <w:tc>
          <w:tcPr>
            <w:tcW w:w="4981" w:type="dxa"/>
          </w:tcPr>
          <w:p w14:paraId="15577DA1" w14:textId="77777777" w:rsidR="00561B22" w:rsidRPr="007B71CC" w:rsidRDefault="00561B22" w:rsidP="00F1223B">
            <w:pPr>
              <w:jc w:val="center"/>
              <w:rPr>
                <w:rFonts w:ascii="Arial" w:hAnsi="Arial" w:cs="Arial"/>
                <w:b/>
                <w:sz w:val="22"/>
                <w:szCs w:val="22"/>
                <w:u w:val="single"/>
                <w:lang w:val="es-MX"/>
              </w:rPr>
            </w:pPr>
            <w:r w:rsidRPr="007B71CC">
              <w:rPr>
                <w:rFonts w:ascii="Arial" w:hAnsi="Arial" w:cs="Arial"/>
                <w:b/>
                <w:sz w:val="22"/>
                <w:szCs w:val="22"/>
                <w:u w:val="single"/>
                <w:lang w:val="es-MX"/>
              </w:rPr>
              <w:t>5.00</w:t>
            </w:r>
          </w:p>
        </w:tc>
      </w:tr>
    </w:tbl>
    <w:p w14:paraId="0EF4F255" w14:textId="77777777" w:rsidR="00561B22" w:rsidRPr="007B71CC" w:rsidRDefault="00561B22" w:rsidP="00561B22">
      <w:pPr>
        <w:pStyle w:val="Textoindependiente"/>
        <w:ind w:right="-50"/>
        <w:jc w:val="both"/>
        <w:rPr>
          <w:rFonts w:ascii="Arial" w:hAnsi="Arial" w:cs="Arial"/>
          <w:b/>
          <w:bCs/>
        </w:rPr>
      </w:pPr>
    </w:p>
    <w:p w14:paraId="66015602" w14:textId="77777777" w:rsidR="00561B22" w:rsidRPr="007B71CC" w:rsidRDefault="00561B22" w:rsidP="00561B22">
      <w:pPr>
        <w:pStyle w:val="Textoindependiente"/>
        <w:ind w:right="-50"/>
        <w:jc w:val="both"/>
        <w:rPr>
          <w:rFonts w:ascii="Arial" w:hAnsi="Arial" w:cs="Arial"/>
          <w:b/>
          <w:bCs/>
        </w:rPr>
      </w:pPr>
      <w:r w:rsidRPr="007B71CC">
        <w:rPr>
          <w:rFonts w:ascii="Arial" w:hAnsi="Arial" w:cs="Arial"/>
          <w:b/>
          <w:bCs/>
        </w:rPr>
        <w:t>Del informe enviado retomamos lo siguiente:</w:t>
      </w:r>
    </w:p>
    <w:p w14:paraId="5C4D6E3B" w14:textId="77777777" w:rsidR="00561B22" w:rsidRPr="007B71C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B71CC" w14:paraId="68A646AD" w14:textId="77777777" w:rsidTr="00F1223B">
        <w:tc>
          <w:tcPr>
            <w:tcW w:w="562" w:type="dxa"/>
          </w:tcPr>
          <w:p w14:paraId="218AAFAB" w14:textId="77777777" w:rsidR="00561B22" w:rsidRPr="007B71CC" w:rsidRDefault="00561B22" w:rsidP="00F1223B">
            <w:pPr>
              <w:ind w:right="-109"/>
              <w:jc w:val="center"/>
              <w:rPr>
                <w:rFonts w:ascii="Arial" w:hAnsi="Arial" w:cs="Arial"/>
                <w:b/>
                <w:sz w:val="22"/>
                <w:szCs w:val="22"/>
                <w:lang w:val="es-MX"/>
              </w:rPr>
            </w:pPr>
            <w:r w:rsidRPr="007B71CC">
              <w:rPr>
                <w:rFonts w:ascii="Arial" w:hAnsi="Arial" w:cs="Arial"/>
                <w:b/>
                <w:sz w:val="22"/>
                <w:szCs w:val="22"/>
                <w:lang w:val="es-MX"/>
              </w:rPr>
              <w:t>N°</w:t>
            </w:r>
          </w:p>
        </w:tc>
        <w:tc>
          <w:tcPr>
            <w:tcW w:w="9400" w:type="dxa"/>
          </w:tcPr>
          <w:p w14:paraId="6081EB9E" w14:textId="77777777" w:rsidR="00561B22" w:rsidRPr="007B71CC" w:rsidRDefault="00561B22" w:rsidP="00F1223B">
            <w:pPr>
              <w:jc w:val="center"/>
              <w:rPr>
                <w:rFonts w:ascii="Arial" w:hAnsi="Arial" w:cs="Arial"/>
                <w:b/>
                <w:sz w:val="22"/>
                <w:szCs w:val="22"/>
                <w:lang w:val="es-MX"/>
              </w:rPr>
            </w:pPr>
            <w:r w:rsidRPr="007B71CC">
              <w:rPr>
                <w:rFonts w:ascii="Arial" w:hAnsi="Arial" w:cs="Arial"/>
                <w:b/>
                <w:sz w:val="22"/>
                <w:szCs w:val="22"/>
                <w:lang w:val="es-MX"/>
              </w:rPr>
              <w:t>DEBILIDADES</w:t>
            </w:r>
          </w:p>
          <w:p w14:paraId="7338E496" w14:textId="77777777" w:rsidR="00561B22" w:rsidRPr="007B71CC" w:rsidRDefault="00561B22" w:rsidP="00F1223B">
            <w:pPr>
              <w:jc w:val="center"/>
              <w:rPr>
                <w:rFonts w:ascii="Arial" w:hAnsi="Arial" w:cs="Arial"/>
                <w:b/>
                <w:sz w:val="22"/>
                <w:szCs w:val="22"/>
                <w:lang w:val="es-MX"/>
              </w:rPr>
            </w:pPr>
          </w:p>
        </w:tc>
      </w:tr>
      <w:tr w:rsidR="00561B22" w:rsidRPr="007B71CC" w14:paraId="22B84F62" w14:textId="77777777" w:rsidTr="00F1223B">
        <w:tc>
          <w:tcPr>
            <w:tcW w:w="562" w:type="dxa"/>
          </w:tcPr>
          <w:p w14:paraId="4DF2422C" w14:textId="77777777" w:rsidR="00561B22" w:rsidRPr="007B71CC" w:rsidRDefault="00561B22" w:rsidP="00F1223B">
            <w:pPr>
              <w:jc w:val="center"/>
              <w:rPr>
                <w:rFonts w:ascii="Arial" w:hAnsi="Arial" w:cs="Arial"/>
                <w:b/>
                <w:sz w:val="22"/>
                <w:szCs w:val="22"/>
                <w:lang w:val="es-MX"/>
              </w:rPr>
            </w:pPr>
            <w:r w:rsidRPr="007B71CC">
              <w:rPr>
                <w:rFonts w:ascii="Arial" w:hAnsi="Arial" w:cs="Arial"/>
                <w:b/>
                <w:sz w:val="22"/>
                <w:szCs w:val="22"/>
                <w:lang w:val="es-MX"/>
              </w:rPr>
              <w:t>1</w:t>
            </w:r>
          </w:p>
        </w:tc>
        <w:tc>
          <w:tcPr>
            <w:tcW w:w="9400" w:type="dxa"/>
          </w:tcPr>
          <w:p w14:paraId="61E17E54" w14:textId="77777777" w:rsidR="00561B22" w:rsidRPr="007B71CC" w:rsidRDefault="00561B22" w:rsidP="00F1223B">
            <w:pPr>
              <w:jc w:val="both"/>
              <w:rPr>
                <w:rFonts w:ascii="Arial" w:hAnsi="Arial" w:cs="Arial"/>
                <w:sz w:val="22"/>
                <w:szCs w:val="22"/>
              </w:rPr>
            </w:pPr>
            <w:r w:rsidRPr="007B71CC">
              <w:rPr>
                <w:rFonts w:ascii="Arial" w:hAnsi="Arial" w:cs="Arial"/>
                <w:sz w:val="22"/>
                <w:szCs w:val="22"/>
              </w:rPr>
              <w:t>De acuerdo con la evaluación realizada por la oficina de Control Interno se evidencia que es necesario continuar fortaleciendo los procesos relacionados en el cumplimiento del perfil de los funcionarios que participan en las actividades de los procedimientos contables para este caso.</w:t>
            </w:r>
          </w:p>
        </w:tc>
      </w:tr>
    </w:tbl>
    <w:p w14:paraId="13CA278A" w14:textId="77777777" w:rsidR="00561B22" w:rsidRPr="007B71CC" w:rsidRDefault="00561B22" w:rsidP="00561B22">
      <w:pPr>
        <w:jc w:val="both"/>
        <w:rPr>
          <w:rFonts w:ascii="Arial" w:hAnsi="Arial" w:cs="Arial"/>
          <w:b/>
          <w:lang w:val="es-MX"/>
        </w:rPr>
      </w:pPr>
    </w:p>
    <w:p w14:paraId="4D5B90CE" w14:textId="77777777" w:rsidR="00561B22" w:rsidRPr="002A7998" w:rsidRDefault="00561B22" w:rsidP="00561B22">
      <w:pPr>
        <w:jc w:val="both"/>
        <w:rPr>
          <w:rFonts w:ascii="Arial" w:hAnsi="Arial" w:cs="Arial"/>
          <w:b/>
          <w:sz w:val="28"/>
          <w:szCs w:val="28"/>
          <w:lang w:val="es-MX"/>
        </w:rPr>
      </w:pPr>
      <w:r w:rsidRPr="002A7998">
        <w:rPr>
          <w:rFonts w:ascii="Arial" w:hAnsi="Arial" w:cs="Arial"/>
          <w:b/>
          <w:sz w:val="28"/>
          <w:szCs w:val="28"/>
          <w:lang w:val="es-MX"/>
        </w:rPr>
        <w:t>180.- U.A.E. AGENCIA DEL INSPECTOR GENERAL DE TRIBUTOS, RENTAS Y CONTRIBUCIONES PARAFISCALES - ITRC.</w:t>
      </w:r>
    </w:p>
    <w:p w14:paraId="4CCF071A" w14:textId="77777777" w:rsidR="00561B22" w:rsidRDefault="00561B22" w:rsidP="00561B22">
      <w:pPr>
        <w:jc w:val="both"/>
        <w:rPr>
          <w:rFonts w:ascii="Arial" w:hAnsi="Arial" w:cs="Arial"/>
          <w:b/>
          <w:bCs/>
          <w:lang w:val="es-MX"/>
        </w:rPr>
      </w:pPr>
    </w:p>
    <w:p w14:paraId="3D50493C" w14:textId="77777777" w:rsidR="00561B22" w:rsidRPr="00214DFD" w:rsidRDefault="00561B22" w:rsidP="00561B22">
      <w:pPr>
        <w:pStyle w:val="Textoindependiente"/>
        <w:ind w:right="-50"/>
        <w:jc w:val="center"/>
        <w:rPr>
          <w:rFonts w:ascii="Arial" w:hAnsi="Arial" w:cs="Arial"/>
          <w:b/>
          <w:bCs/>
        </w:rPr>
      </w:pPr>
      <w:r w:rsidRPr="00214DFD">
        <w:rPr>
          <w:rFonts w:ascii="Arial" w:hAnsi="Arial" w:cs="Arial"/>
          <w:b/>
          <w:bCs/>
        </w:rPr>
        <w:t>INFORME DE LA AUTOCALIFICACIÓN DEL SISTEMA DE CONTROL INTERNO CONTABLE:</w:t>
      </w:r>
    </w:p>
    <w:p w14:paraId="4C166600" w14:textId="77777777" w:rsidR="00561B22" w:rsidRPr="00214DF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14DFD" w14:paraId="65988C21" w14:textId="77777777" w:rsidTr="00F1223B">
        <w:tc>
          <w:tcPr>
            <w:tcW w:w="4981" w:type="dxa"/>
          </w:tcPr>
          <w:p w14:paraId="1253FAB9" w14:textId="77777777" w:rsidR="00561B22" w:rsidRPr="00214DFD" w:rsidRDefault="00561B22" w:rsidP="00F1223B">
            <w:pPr>
              <w:jc w:val="center"/>
              <w:rPr>
                <w:rFonts w:ascii="Arial" w:hAnsi="Arial" w:cs="Arial"/>
                <w:b/>
                <w:sz w:val="22"/>
                <w:szCs w:val="22"/>
                <w:lang w:val="es-MX"/>
              </w:rPr>
            </w:pPr>
            <w:r w:rsidRPr="00214DFD">
              <w:rPr>
                <w:rFonts w:ascii="Arial" w:hAnsi="Arial" w:cs="Arial"/>
                <w:b/>
                <w:sz w:val="22"/>
                <w:szCs w:val="22"/>
                <w:lang w:val="es-MX"/>
              </w:rPr>
              <w:t>AUTOCALIFICACIÓN</w:t>
            </w:r>
          </w:p>
        </w:tc>
        <w:tc>
          <w:tcPr>
            <w:tcW w:w="4981" w:type="dxa"/>
          </w:tcPr>
          <w:p w14:paraId="3AC65430" w14:textId="77777777" w:rsidR="00561B22" w:rsidRPr="00214DFD" w:rsidRDefault="00561B22" w:rsidP="00F1223B">
            <w:pPr>
              <w:jc w:val="center"/>
              <w:rPr>
                <w:rFonts w:ascii="Arial" w:hAnsi="Arial" w:cs="Arial"/>
                <w:b/>
                <w:sz w:val="22"/>
                <w:szCs w:val="22"/>
                <w:u w:val="single"/>
                <w:lang w:val="es-MX"/>
              </w:rPr>
            </w:pPr>
            <w:r w:rsidRPr="00214DFD">
              <w:rPr>
                <w:rFonts w:ascii="Arial" w:hAnsi="Arial" w:cs="Arial"/>
                <w:b/>
                <w:sz w:val="22"/>
                <w:szCs w:val="22"/>
                <w:u w:val="single"/>
                <w:lang w:val="es-MX"/>
              </w:rPr>
              <w:t>5.00</w:t>
            </w:r>
          </w:p>
        </w:tc>
      </w:tr>
    </w:tbl>
    <w:p w14:paraId="2844ADE6" w14:textId="77777777" w:rsidR="00561B22" w:rsidRPr="00214DFD" w:rsidRDefault="00561B22" w:rsidP="00561B22">
      <w:pPr>
        <w:pStyle w:val="Textoindependiente"/>
        <w:ind w:right="-50"/>
        <w:jc w:val="both"/>
        <w:rPr>
          <w:rFonts w:ascii="Arial" w:hAnsi="Arial" w:cs="Arial"/>
          <w:b/>
          <w:bCs/>
        </w:rPr>
      </w:pPr>
    </w:p>
    <w:p w14:paraId="6DD01736" w14:textId="77777777" w:rsidR="00561B22" w:rsidRPr="00214DFD" w:rsidRDefault="00561B22" w:rsidP="00561B22">
      <w:pPr>
        <w:pStyle w:val="Textoindependiente"/>
        <w:ind w:right="-50"/>
        <w:jc w:val="both"/>
        <w:rPr>
          <w:rFonts w:ascii="Arial" w:hAnsi="Arial" w:cs="Arial"/>
          <w:b/>
          <w:bCs/>
        </w:rPr>
      </w:pPr>
      <w:r w:rsidRPr="00214DFD">
        <w:rPr>
          <w:rFonts w:ascii="Arial" w:hAnsi="Arial" w:cs="Arial"/>
          <w:b/>
          <w:bCs/>
        </w:rPr>
        <w:t>Del informe enviado retomamos lo siguiente:</w:t>
      </w:r>
    </w:p>
    <w:p w14:paraId="63175778" w14:textId="77777777" w:rsidR="00561B22" w:rsidRPr="00214DF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14DFD" w14:paraId="7C3118F0" w14:textId="77777777" w:rsidTr="00F1223B">
        <w:tc>
          <w:tcPr>
            <w:tcW w:w="562" w:type="dxa"/>
          </w:tcPr>
          <w:p w14:paraId="11838351" w14:textId="77777777" w:rsidR="00561B22" w:rsidRPr="00214DFD" w:rsidRDefault="00561B22" w:rsidP="00F1223B">
            <w:pPr>
              <w:ind w:right="-109"/>
              <w:jc w:val="center"/>
              <w:rPr>
                <w:rFonts w:ascii="Arial" w:hAnsi="Arial" w:cs="Arial"/>
                <w:b/>
                <w:sz w:val="22"/>
                <w:szCs w:val="22"/>
                <w:lang w:val="es-MX"/>
              </w:rPr>
            </w:pPr>
            <w:r w:rsidRPr="00214DFD">
              <w:rPr>
                <w:rFonts w:ascii="Arial" w:hAnsi="Arial" w:cs="Arial"/>
                <w:b/>
                <w:sz w:val="22"/>
                <w:szCs w:val="22"/>
                <w:lang w:val="es-MX"/>
              </w:rPr>
              <w:t>N°</w:t>
            </w:r>
          </w:p>
        </w:tc>
        <w:tc>
          <w:tcPr>
            <w:tcW w:w="9400" w:type="dxa"/>
          </w:tcPr>
          <w:p w14:paraId="7D518367" w14:textId="77777777" w:rsidR="00561B22" w:rsidRPr="00214DFD" w:rsidRDefault="00561B22" w:rsidP="00F1223B">
            <w:pPr>
              <w:jc w:val="center"/>
              <w:rPr>
                <w:rFonts w:ascii="Arial" w:hAnsi="Arial" w:cs="Arial"/>
                <w:b/>
                <w:sz w:val="22"/>
                <w:szCs w:val="22"/>
                <w:lang w:val="es-MX"/>
              </w:rPr>
            </w:pPr>
            <w:r w:rsidRPr="00214DFD">
              <w:rPr>
                <w:rFonts w:ascii="Arial" w:hAnsi="Arial" w:cs="Arial"/>
                <w:b/>
                <w:sz w:val="22"/>
                <w:szCs w:val="22"/>
                <w:lang w:val="es-MX"/>
              </w:rPr>
              <w:t>RECOMENDACIONES</w:t>
            </w:r>
          </w:p>
          <w:p w14:paraId="3B2B0379" w14:textId="77777777" w:rsidR="00561B22" w:rsidRPr="00214DFD" w:rsidRDefault="00561B22" w:rsidP="00F1223B">
            <w:pPr>
              <w:jc w:val="center"/>
              <w:rPr>
                <w:rFonts w:ascii="Arial" w:hAnsi="Arial" w:cs="Arial"/>
                <w:b/>
                <w:sz w:val="22"/>
                <w:szCs w:val="22"/>
                <w:lang w:val="es-MX"/>
              </w:rPr>
            </w:pPr>
          </w:p>
        </w:tc>
      </w:tr>
      <w:tr w:rsidR="00561B22" w:rsidRPr="00214DFD" w14:paraId="3667AA37" w14:textId="77777777" w:rsidTr="00F1223B">
        <w:tc>
          <w:tcPr>
            <w:tcW w:w="562" w:type="dxa"/>
          </w:tcPr>
          <w:p w14:paraId="0296A32E" w14:textId="77777777" w:rsidR="00561B22" w:rsidRPr="00214DFD" w:rsidRDefault="00561B22" w:rsidP="00F1223B">
            <w:pPr>
              <w:jc w:val="center"/>
              <w:rPr>
                <w:rFonts w:ascii="Arial" w:hAnsi="Arial" w:cs="Arial"/>
                <w:b/>
                <w:sz w:val="22"/>
                <w:szCs w:val="22"/>
                <w:lang w:val="es-MX"/>
              </w:rPr>
            </w:pPr>
            <w:r w:rsidRPr="00214DFD">
              <w:rPr>
                <w:rFonts w:ascii="Arial" w:hAnsi="Arial" w:cs="Arial"/>
                <w:b/>
                <w:sz w:val="22"/>
                <w:szCs w:val="22"/>
                <w:lang w:val="es-MX"/>
              </w:rPr>
              <w:t>1</w:t>
            </w:r>
          </w:p>
        </w:tc>
        <w:tc>
          <w:tcPr>
            <w:tcW w:w="9400" w:type="dxa"/>
          </w:tcPr>
          <w:p w14:paraId="67FED614" w14:textId="77777777" w:rsidR="00561B22" w:rsidRPr="00214DFD" w:rsidRDefault="00561B22" w:rsidP="00F1223B">
            <w:pPr>
              <w:jc w:val="both"/>
              <w:rPr>
                <w:rFonts w:ascii="Arial" w:hAnsi="Arial" w:cs="Arial"/>
                <w:sz w:val="22"/>
                <w:szCs w:val="22"/>
                <w:lang w:val="es-MX"/>
              </w:rPr>
            </w:pPr>
            <w:r w:rsidRPr="00214DFD">
              <w:rPr>
                <w:rFonts w:ascii="Arial" w:hAnsi="Arial" w:cs="Arial"/>
                <w:sz w:val="22"/>
                <w:szCs w:val="22"/>
                <w:lang w:val="es-CO"/>
              </w:rPr>
              <w:t xml:space="preserve">Se reitera la recomendación de precisar el análisis de la segregación de funciones en la documentación del proceso Gestión Financiera.  </w:t>
            </w:r>
          </w:p>
        </w:tc>
      </w:tr>
      <w:tr w:rsidR="00561B22" w:rsidRPr="00214DFD" w14:paraId="2AF62745" w14:textId="77777777" w:rsidTr="00F1223B">
        <w:tc>
          <w:tcPr>
            <w:tcW w:w="562" w:type="dxa"/>
          </w:tcPr>
          <w:p w14:paraId="41F9CE81" w14:textId="77777777" w:rsidR="00561B22" w:rsidRPr="00214DFD" w:rsidRDefault="00561B22" w:rsidP="00F1223B">
            <w:pPr>
              <w:jc w:val="center"/>
              <w:rPr>
                <w:rFonts w:ascii="Arial" w:hAnsi="Arial" w:cs="Arial"/>
                <w:b/>
                <w:sz w:val="22"/>
                <w:szCs w:val="22"/>
                <w:lang w:val="es-MX"/>
              </w:rPr>
            </w:pPr>
            <w:r w:rsidRPr="00214DFD">
              <w:rPr>
                <w:rFonts w:ascii="Arial" w:hAnsi="Arial" w:cs="Arial"/>
                <w:b/>
                <w:sz w:val="22"/>
                <w:szCs w:val="22"/>
                <w:lang w:val="es-MX"/>
              </w:rPr>
              <w:t>2</w:t>
            </w:r>
          </w:p>
        </w:tc>
        <w:tc>
          <w:tcPr>
            <w:tcW w:w="9400" w:type="dxa"/>
          </w:tcPr>
          <w:p w14:paraId="2774127E" w14:textId="77777777" w:rsidR="00561B22" w:rsidRPr="00214DFD" w:rsidRDefault="00561B22" w:rsidP="00F1223B">
            <w:pPr>
              <w:jc w:val="both"/>
              <w:rPr>
                <w:rFonts w:ascii="Arial" w:hAnsi="Arial" w:cs="Arial"/>
                <w:sz w:val="22"/>
                <w:szCs w:val="22"/>
                <w:lang w:val="es-MX"/>
              </w:rPr>
            </w:pPr>
            <w:r w:rsidRPr="00214DFD">
              <w:rPr>
                <w:rFonts w:ascii="Arial" w:hAnsi="Arial" w:cs="Arial"/>
                <w:sz w:val="22"/>
                <w:szCs w:val="22"/>
                <w:lang w:val="es-CO"/>
              </w:rPr>
              <w:t>Continuar adelantando ejercicios de autocontrol y autoevaluación, que permitan seguir mejorando la gestión contable de la entidad</w:t>
            </w:r>
          </w:p>
        </w:tc>
      </w:tr>
    </w:tbl>
    <w:p w14:paraId="404D3E16" w14:textId="77777777" w:rsidR="00561B22" w:rsidRPr="00214DFD" w:rsidRDefault="00561B22" w:rsidP="00561B22">
      <w:pPr>
        <w:pStyle w:val="Textoindependiente"/>
        <w:ind w:right="-50"/>
        <w:jc w:val="both"/>
        <w:rPr>
          <w:rFonts w:ascii="Arial" w:hAnsi="Arial" w:cs="Arial"/>
          <w:b/>
          <w:bCs/>
        </w:rPr>
      </w:pPr>
    </w:p>
    <w:p w14:paraId="6E53986C" w14:textId="77777777" w:rsidR="00561B22" w:rsidRPr="00BC3A9C" w:rsidRDefault="00561B22" w:rsidP="00561B22">
      <w:pPr>
        <w:jc w:val="both"/>
        <w:rPr>
          <w:rFonts w:ascii="Arial" w:hAnsi="Arial" w:cs="Arial"/>
          <w:b/>
          <w:sz w:val="28"/>
          <w:szCs w:val="28"/>
          <w:lang w:val="es-MX"/>
        </w:rPr>
      </w:pPr>
      <w:r w:rsidRPr="00BC3A9C">
        <w:rPr>
          <w:rFonts w:ascii="Arial" w:hAnsi="Arial" w:cs="Arial"/>
          <w:b/>
          <w:sz w:val="28"/>
          <w:szCs w:val="28"/>
          <w:lang w:val="es-MX"/>
        </w:rPr>
        <w:t>181.- AGENCIA DE DESARROLLO RURAL – ADR.</w:t>
      </w:r>
    </w:p>
    <w:p w14:paraId="180B5D8D" w14:textId="77777777" w:rsidR="00561B22" w:rsidRPr="006301D8" w:rsidRDefault="00561B22" w:rsidP="00561B22">
      <w:pPr>
        <w:pStyle w:val="Textoindependiente"/>
        <w:ind w:right="-50"/>
        <w:jc w:val="both"/>
        <w:rPr>
          <w:rFonts w:ascii="Arial" w:hAnsi="Arial" w:cs="Arial"/>
          <w:b/>
          <w:bCs/>
          <w:lang w:val="es-MX"/>
        </w:rPr>
      </w:pPr>
    </w:p>
    <w:p w14:paraId="07109682" w14:textId="77777777" w:rsidR="00561B22" w:rsidRPr="006301D8" w:rsidRDefault="00561B22" w:rsidP="00561B22">
      <w:pPr>
        <w:pStyle w:val="Textoindependiente"/>
        <w:jc w:val="center"/>
        <w:rPr>
          <w:rFonts w:ascii="Arial" w:hAnsi="Arial" w:cs="Arial"/>
          <w:b/>
          <w:bCs/>
        </w:rPr>
      </w:pPr>
      <w:r w:rsidRPr="006301D8">
        <w:rPr>
          <w:rFonts w:ascii="Arial" w:hAnsi="Arial" w:cs="Arial"/>
          <w:b/>
          <w:bCs/>
        </w:rPr>
        <w:t>INFORME DE LA AUTOCALIFICACIÓN DEL SISTEMA DE CONTROL INTERNO CONTABLE:</w:t>
      </w:r>
    </w:p>
    <w:p w14:paraId="226ABA1E" w14:textId="77777777" w:rsidR="00561B22" w:rsidRPr="006301D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301D8" w14:paraId="6FE74F69" w14:textId="77777777" w:rsidTr="00F1223B">
        <w:tc>
          <w:tcPr>
            <w:tcW w:w="4981" w:type="dxa"/>
          </w:tcPr>
          <w:p w14:paraId="7372CFE9"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AUTOCALIFICACIÓN</w:t>
            </w:r>
          </w:p>
        </w:tc>
        <w:tc>
          <w:tcPr>
            <w:tcW w:w="4981" w:type="dxa"/>
          </w:tcPr>
          <w:p w14:paraId="169F14A2" w14:textId="77777777" w:rsidR="00561B22" w:rsidRPr="006301D8" w:rsidRDefault="00561B22" w:rsidP="00F1223B">
            <w:pPr>
              <w:jc w:val="center"/>
              <w:rPr>
                <w:rFonts w:ascii="Arial" w:hAnsi="Arial" w:cs="Arial"/>
                <w:b/>
                <w:sz w:val="22"/>
                <w:szCs w:val="22"/>
                <w:u w:val="single"/>
                <w:lang w:val="es-MX"/>
              </w:rPr>
            </w:pPr>
            <w:r w:rsidRPr="006301D8">
              <w:rPr>
                <w:rFonts w:ascii="Arial" w:hAnsi="Arial" w:cs="Arial"/>
                <w:b/>
                <w:sz w:val="22"/>
                <w:szCs w:val="22"/>
                <w:u w:val="single"/>
                <w:lang w:val="es-MX"/>
              </w:rPr>
              <w:t>4.63</w:t>
            </w:r>
          </w:p>
        </w:tc>
      </w:tr>
    </w:tbl>
    <w:p w14:paraId="17DE50B4" w14:textId="77777777" w:rsidR="00561B22" w:rsidRPr="006301D8" w:rsidRDefault="00561B22" w:rsidP="00561B22">
      <w:pPr>
        <w:pStyle w:val="Textoindependiente"/>
        <w:jc w:val="both"/>
        <w:rPr>
          <w:rFonts w:ascii="Arial" w:hAnsi="Arial" w:cs="Arial"/>
          <w:b/>
          <w:bCs/>
        </w:rPr>
      </w:pPr>
    </w:p>
    <w:p w14:paraId="46CAD00C" w14:textId="77777777" w:rsidR="00561B22" w:rsidRPr="006301D8" w:rsidRDefault="00561B22" w:rsidP="00561B22">
      <w:pPr>
        <w:pStyle w:val="Textoindependiente"/>
        <w:jc w:val="both"/>
        <w:rPr>
          <w:rFonts w:ascii="Arial" w:hAnsi="Arial" w:cs="Arial"/>
          <w:b/>
          <w:bCs/>
        </w:rPr>
      </w:pPr>
      <w:r w:rsidRPr="006301D8">
        <w:rPr>
          <w:rFonts w:ascii="Arial" w:hAnsi="Arial" w:cs="Arial"/>
          <w:b/>
          <w:bCs/>
        </w:rPr>
        <w:t>Del informe enviado retomamos lo siguiente:</w:t>
      </w:r>
    </w:p>
    <w:p w14:paraId="6D9C4136" w14:textId="77777777" w:rsidR="00561B22" w:rsidRPr="006301D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301D8" w14:paraId="5B2D2877" w14:textId="77777777" w:rsidTr="00F1223B">
        <w:tc>
          <w:tcPr>
            <w:tcW w:w="562" w:type="dxa"/>
          </w:tcPr>
          <w:p w14:paraId="1E7EA131"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N°</w:t>
            </w:r>
          </w:p>
        </w:tc>
        <w:tc>
          <w:tcPr>
            <w:tcW w:w="9400" w:type="dxa"/>
          </w:tcPr>
          <w:p w14:paraId="7AFA8FEA"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DEBILIDADES</w:t>
            </w:r>
          </w:p>
          <w:p w14:paraId="79701045" w14:textId="77777777" w:rsidR="00561B22" w:rsidRPr="006301D8" w:rsidRDefault="00561B22" w:rsidP="00F1223B">
            <w:pPr>
              <w:jc w:val="center"/>
              <w:rPr>
                <w:rFonts w:ascii="Arial" w:hAnsi="Arial" w:cs="Arial"/>
                <w:b/>
                <w:sz w:val="22"/>
                <w:szCs w:val="22"/>
                <w:lang w:val="es-MX"/>
              </w:rPr>
            </w:pPr>
          </w:p>
        </w:tc>
      </w:tr>
      <w:tr w:rsidR="00561B22" w:rsidRPr="006301D8" w14:paraId="21A7553C" w14:textId="77777777" w:rsidTr="00F1223B">
        <w:tc>
          <w:tcPr>
            <w:tcW w:w="562" w:type="dxa"/>
          </w:tcPr>
          <w:p w14:paraId="6E7651BE"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1</w:t>
            </w:r>
          </w:p>
        </w:tc>
        <w:tc>
          <w:tcPr>
            <w:tcW w:w="9400" w:type="dxa"/>
          </w:tcPr>
          <w:p w14:paraId="4C2AD12C" w14:textId="77777777" w:rsidR="00561B22" w:rsidRPr="006301D8" w:rsidRDefault="00561B22" w:rsidP="00F1223B">
            <w:pPr>
              <w:jc w:val="both"/>
              <w:rPr>
                <w:rFonts w:ascii="Arial" w:hAnsi="Arial" w:cs="Arial"/>
                <w:bCs/>
                <w:sz w:val="22"/>
                <w:szCs w:val="22"/>
                <w:lang w:val="es-CO"/>
              </w:rPr>
            </w:pPr>
            <w:r w:rsidRPr="006301D8">
              <w:rPr>
                <w:rFonts w:ascii="Arial" w:hAnsi="Arial" w:cs="Arial"/>
                <w:bCs/>
                <w:sz w:val="22"/>
                <w:szCs w:val="22"/>
                <w:lang w:val="es-CO"/>
              </w:rPr>
              <w:t>Inexistencia de indicadores que permitan analizar e interpretar la realidad financiera de la entidad.</w:t>
            </w:r>
          </w:p>
        </w:tc>
      </w:tr>
      <w:tr w:rsidR="00561B22" w:rsidRPr="006301D8" w14:paraId="2647D3C5" w14:textId="77777777" w:rsidTr="00F1223B">
        <w:tc>
          <w:tcPr>
            <w:tcW w:w="562" w:type="dxa"/>
          </w:tcPr>
          <w:p w14:paraId="2B7DA6E1"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2</w:t>
            </w:r>
          </w:p>
        </w:tc>
        <w:tc>
          <w:tcPr>
            <w:tcW w:w="9400" w:type="dxa"/>
          </w:tcPr>
          <w:p w14:paraId="0E77D58A" w14:textId="77777777" w:rsidR="00561B22" w:rsidRPr="006301D8" w:rsidRDefault="00561B22" w:rsidP="00F1223B">
            <w:pPr>
              <w:jc w:val="both"/>
              <w:rPr>
                <w:rFonts w:ascii="Arial" w:hAnsi="Arial" w:cs="Arial"/>
                <w:bCs/>
                <w:sz w:val="22"/>
                <w:szCs w:val="22"/>
                <w:lang w:val="es-CO"/>
              </w:rPr>
            </w:pPr>
            <w:r w:rsidRPr="006301D8">
              <w:rPr>
                <w:rFonts w:ascii="Arial" w:hAnsi="Arial" w:cs="Arial"/>
                <w:bCs/>
                <w:sz w:val="22"/>
                <w:szCs w:val="22"/>
                <w:lang w:val="es-CO"/>
              </w:rPr>
              <w:t>Ausencia de los Estados Financieros en la última Audiencia de Rendición de cuentas de la entidad</w:t>
            </w:r>
          </w:p>
        </w:tc>
      </w:tr>
      <w:tr w:rsidR="00561B22" w:rsidRPr="006301D8" w14:paraId="4F75A714" w14:textId="77777777" w:rsidTr="00F1223B">
        <w:tc>
          <w:tcPr>
            <w:tcW w:w="562" w:type="dxa"/>
          </w:tcPr>
          <w:p w14:paraId="2C93EEBB"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3</w:t>
            </w:r>
          </w:p>
        </w:tc>
        <w:tc>
          <w:tcPr>
            <w:tcW w:w="9400" w:type="dxa"/>
          </w:tcPr>
          <w:p w14:paraId="423A3E52" w14:textId="77777777" w:rsidR="00561B22" w:rsidRPr="006301D8" w:rsidRDefault="00561B22" w:rsidP="00F1223B">
            <w:pPr>
              <w:jc w:val="both"/>
              <w:rPr>
                <w:rFonts w:ascii="Arial" w:hAnsi="Arial" w:cs="Arial"/>
                <w:bCs/>
                <w:sz w:val="22"/>
                <w:szCs w:val="22"/>
                <w:lang w:val="es-CO"/>
              </w:rPr>
            </w:pPr>
            <w:r w:rsidRPr="006301D8">
              <w:rPr>
                <w:rFonts w:ascii="Arial" w:hAnsi="Arial" w:cs="Arial"/>
                <w:bCs/>
                <w:sz w:val="22"/>
                <w:szCs w:val="22"/>
                <w:lang w:val="es-CO"/>
              </w:rPr>
              <w:t>Inexistencia de soportes de las personas involucradas en el proceso contable a la asistencia de capacitaciones que tienen impacto contable</w:t>
            </w:r>
          </w:p>
        </w:tc>
      </w:tr>
    </w:tbl>
    <w:p w14:paraId="6F979B8E" w14:textId="77777777" w:rsidR="00561B22" w:rsidRPr="006301D8" w:rsidRDefault="00561B22" w:rsidP="00561B22">
      <w:pPr>
        <w:pStyle w:val="Textoindependiente"/>
        <w:jc w:val="both"/>
        <w:rPr>
          <w:rFonts w:ascii="Arial" w:hAnsi="Arial" w:cs="Arial"/>
          <w:b/>
          <w:bCs/>
        </w:rPr>
      </w:pPr>
    </w:p>
    <w:p w14:paraId="26378901" w14:textId="77777777" w:rsidR="00561B22" w:rsidRPr="006301D8" w:rsidRDefault="00561B22" w:rsidP="00561B22">
      <w:pPr>
        <w:jc w:val="both"/>
        <w:rPr>
          <w:rFonts w:ascii="Arial" w:hAnsi="Arial" w:cs="Arial"/>
          <w:b/>
          <w:lang w:val="es-MX"/>
        </w:rPr>
      </w:pPr>
      <w:r w:rsidRPr="006301D8">
        <w:rPr>
          <w:rFonts w:ascii="Arial" w:hAnsi="Arial" w:cs="Arial"/>
          <w:b/>
          <w:lang w:val="es-MX"/>
        </w:rPr>
        <w:t>Del citado informe retomamos las siguientes recomendaciones:</w:t>
      </w:r>
    </w:p>
    <w:p w14:paraId="3B8FACED" w14:textId="77777777" w:rsidR="00561B22" w:rsidRPr="006301D8"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6301D8" w14:paraId="55FBA698" w14:textId="77777777" w:rsidTr="00F1223B">
        <w:tc>
          <w:tcPr>
            <w:tcW w:w="562" w:type="dxa"/>
          </w:tcPr>
          <w:p w14:paraId="11E9D778"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N°</w:t>
            </w:r>
          </w:p>
        </w:tc>
        <w:tc>
          <w:tcPr>
            <w:tcW w:w="9400" w:type="dxa"/>
          </w:tcPr>
          <w:p w14:paraId="52FBC220"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RECOMENDACIONES</w:t>
            </w:r>
          </w:p>
          <w:p w14:paraId="1F5333EC" w14:textId="77777777" w:rsidR="00561B22" w:rsidRPr="006301D8" w:rsidRDefault="00561B22" w:rsidP="00F1223B">
            <w:pPr>
              <w:jc w:val="center"/>
              <w:rPr>
                <w:rFonts w:ascii="Arial" w:hAnsi="Arial" w:cs="Arial"/>
                <w:b/>
                <w:sz w:val="22"/>
                <w:szCs w:val="22"/>
                <w:lang w:val="es-MX"/>
              </w:rPr>
            </w:pPr>
          </w:p>
        </w:tc>
      </w:tr>
      <w:tr w:rsidR="00561B22" w:rsidRPr="006301D8" w14:paraId="08BF8B97" w14:textId="77777777" w:rsidTr="00F1223B">
        <w:tc>
          <w:tcPr>
            <w:tcW w:w="562" w:type="dxa"/>
          </w:tcPr>
          <w:p w14:paraId="32330876"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1</w:t>
            </w:r>
          </w:p>
        </w:tc>
        <w:tc>
          <w:tcPr>
            <w:tcW w:w="9400" w:type="dxa"/>
          </w:tcPr>
          <w:p w14:paraId="6AD85847" w14:textId="77777777" w:rsidR="00561B22" w:rsidRPr="006301D8" w:rsidRDefault="00561B22" w:rsidP="00F1223B">
            <w:pPr>
              <w:jc w:val="both"/>
              <w:rPr>
                <w:rFonts w:ascii="Arial" w:hAnsi="Arial" w:cs="Arial"/>
                <w:bCs/>
                <w:sz w:val="22"/>
                <w:szCs w:val="22"/>
                <w:lang w:val="es-CO"/>
              </w:rPr>
            </w:pPr>
            <w:r w:rsidRPr="006301D8">
              <w:rPr>
                <w:rFonts w:ascii="Arial" w:hAnsi="Arial" w:cs="Arial"/>
                <w:bCs/>
                <w:sz w:val="22"/>
                <w:szCs w:val="22"/>
                <w:lang w:val="es-CO"/>
              </w:rPr>
              <w:t>Teniendo en cuenta la validación al Mapa de Riesgos de la entidad V4 para la vigencia 2024, se evidenció que el Proceso Financiero no cuenta con un riesgo corrupción por lo que esta Oficina recomienda realizar un análisis exhaustivo de los potenciales factores y eventos que pueden constituir una amenaza a las gestiones del proceso e incluirlas en el Mapa de Riesgos, con el fin de implementar las acciones de control a tiempo.</w:t>
            </w:r>
          </w:p>
        </w:tc>
      </w:tr>
      <w:tr w:rsidR="00561B22" w:rsidRPr="006301D8" w14:paraId="68AEE32C" w14:textId="77777777" w:rsidTr="00F1223B">
        <w:tc>
          <w:tcPr>
            <w:tcW w:w="562" w:type="dxa"/>
          </w:tcPr>
          <w:p w14:paraId="375AD3A2" w14:textId="77777777" w:rsidR="00561B22" w:rsidRPr="006301D8" w:rsidRDefault="00561B22" w:rsidP="00F1223B">
            <w:pPr>
              <w:jc w:val="center"/>
              <w:rPr>
                <w:rFonts w:ascii="Arial" w:hAnsi="Arial" w:cs="Arial"/>
                <w:b/>
                <w:sz w:val="22"/>
                <w:szCs w:val="22"/>
                <w:lang w:val="es-MX"/>
              </w:rPr>
            </w:pPr>
            <w:r w:rsidRPr="006301D8">
              <w:rPr>
                <w:rFonts w:ascii="Arial" w:hAnsi="Arial" w:cs="Arial"/>
                <w:b/>
                <w:sz w:val="22"/>
                <w:szCs w:val="22"/>
                <w:lang w:val="es-MX"/>
              </w:rPr>
              <w:t>2</w:t>
            </w:r>
          </w:p>
        </w:tc>
        <w:tc>
          <w:tcPr>
            <w:tcW w:w="9400" w:type="dxa"/>
          </w:tcPr>
          <w:p w14:paraId="3275B509" w14:textId="77777777" w:rsidR="00561B22" w:rsidRPr="006301D8" w:rsidRDefault="00561B22" w:rsidP="00F1223B">
            <w:pPr>
              <w:jc w:val="both"/>
              <w:rPr>
                <w:rFonts w:ascii="Arial" w:hAnsi="Arial" w:cs="Arial"/>
                <w:bCs/>
                <w:sz w:val="22"/>
                <w:szCs w:val="22"/>
                <w:lang w:val="es-CO"/>
              </w:rPr>
            </w:pPr>
            <w:r w:rsidRPr="006301D8">
              <w:rPr>
                <w:rFonts w:ascii="Arial" w:hAnsi="Arial" w:cs="Arial"/>
                <w:bCs/>
                <w:sz w:val="22"/>
                <w:szCs w:val="22"/>
                <w:lang w:val="es-CO"/>
              </w:rPr>
              <w:t>Diseñar un cronograma de reuniones en cada vigencia, con el fin de cumplir los términos de convocatoria y periodicidad de las reuniones del Comité Técnico Sostenibilidad del Sistema de Información Financiera de la Agencia de Desarrollo Rural, para así dar estricto cumplimiento a lo determinado en el Artículo 5 de la Resolución 1419 de 2017, el cual establece, "El Comité Técnico de Sostenibilidad del Sistema de Información Financiera de la Agencia de Desarrollo Rural se reunirá de manera ordinaria por lo menos una (1) vez cada tres (3) meses y de manera extraordinaria cuando las necesidades lo exijan".</w:t>
            </w:r>
          </w:p>
        </w:tc>
      </w:tr>
    </w:tbl>
    <w:p w14:paraId="184E0513" w14:textId="77777777" w:rsidR="00561B22" w:rsidRPr="006301D8" w:rsidRDefault="00561B22" w:rsidP="00561B22">
      <w:pPr>
        <w:pStyle w:val="Textoindependiente"/>
        <w:jc w:val="both"/>
        <w:rPr>
          <w:rFonts w:ascii="Arial" w:hAnsi="Arial" w:cs="Arial"/>
          <w:b/>
          <w:bCs/>
        </w:rPr>
      </w:pPr>
    </w:p>
    <w:p w14:paraId="04256793" w14:textId="77777777" w:rsidR="00561B22" w:rsidRPr="006301D8" w:rsidRDefault="00561B22" w:rsidP="00561B22">
      <w:pPr>
        <w:jc w:val="both"/>
        <w:rPr>
          <w:rFonts w:ascii="Arial" w:hAnsi="Arial" w:cs="Arial"/>
          <w:b/>
          <w:bCs/>
          <w:sz w:val="24"/>
          <w:szCs w:val="24"/>
          <w:lang w:val="es-CO"/>
        </w:rPr>
      </w:pPr>
      <w:r w:rsidRPr="006301D8">
        <w:rPr>
          <w:rFonts w:ascii="Arial" w:hAnsi="Arial" w:cs="Arial"/>
          <w:b/>
          <w:bCs/>
          <w:sz w:val="24"/>
          <w:szCs w:val="24"/>
          <w:lang w:val="es-CO"/>
        </w:rPr>
        <w:t xml:space="preserve">NOTA: LA ENTIDAD ENVIA LA MATRIZ DE AUTOEVALUACIÓN DEL SISTEMA DE CONTROL INTERNO CONTABLE CON </w:t>
      </w:r>
      <w:r w:rsidRPr="006301D8">
        <w:rPr>
          <w:rFonts w:ascii="Arial" w:hAnsi="Arial" w:cs="Arial"/>
          <w:b/>
          <w:bCs/>
          <w:sz w:val="24"/>
          <w:szCs w:val="24"/>
          <w:u w:val="single"/>
          <w:lang w:val="es-CO"/>
        </w:rPr>
        <w:t>ACTIVIDADES DE CONTROL REALIZADAS EN FORMA PARCIAL</w:t>
      </w:r>
      <w:r w:rsidRPr="006301D8">
        <w:rPr>
          <w:rFonts w:ascii="Arial" w:hAnsi="Arial" w:cs="Arial"/>
          <w:b/>
          <w:bCs/>
          <w:sz w:val="24"/>
          <w:szCs w:val="24"/>
          <w:lang w:val="es-CO"/>
        </w:rPr>
        <w:t>.</w:t>
      </w:r>
    </w:p>
    <w:p w14:paraId="2A031253" w14:textId="77777777" w:rsidR="00561B22" w:rsidRPr="006301D8" w:rsidRDefault="00561B22" w:rsidP="00561B22">
      <w:pPr>
        <w:pStyle w:val="Textoindependiente"/>
        <w:tabs>
          <w:tab w:val="left" w:pos="2055"/>
        </w:tabs>
        <w:spacing w:before="5"/>
        <w:rPr>
          <w:rFonts w:ascii="Arial" w:hAnsi="Arial" w:cs="Arial"/>
          <w:sz w:val="17"/>
          <w:lang w:val="es-CO"/>
        </w:rPr>
      </w:pPr>
    </w:p>
    <w:p w14:paraId="52E2BC2A" w14:textId="77777777" w:rsidR="00561B22" w:rsidRPr="00345F8B" w:rsidRDefault="00561B22" w:rsidP="00561B22">
      <w:pPr>
        <w:jc w:val="both"/>
        <w:rPr>
          <w:rFonts w:ascii="Arial" w:hAnsi="Arial" w:cs="Arial"/>
          <w:b/>
          <w:sz w:val="28"/>
          <w:szCs w:val="28"/>
          <w:lang w:val="es-MX"/>
        </w:rPr>
      </w:pPr>
      <w:r w:rsidRPr="00345F8B">
        <w:rPr>
          <w:rFonts w:ascii="Arial" w:hAnsi="Arial" w:cs="Arial"/>
          <w:b/>
          <w:sz w:val="28"/>
          <w:szCs w:val="28"/>
          <w:lang w:val="es-MX"/>
        </w:rPr>
        <w:t>182.- INSTITUTO DE PLANIFICACION Y PROMOCION DE SOLUCIONES ENERGETICAS - IPSE.</w:t>
      </w:r>
    </w:p>
    <w:p w14:paraId="5F597212" w14:textId="77777777" w:rsidR="00561B22" w:rsidRDefault="00561B22" w:rsidP="00561B22">
      <w:pPr>
        <w:jc w:val="both"/>
        <w:rPr>
          <w:rFonts w:ascii="Arial" w:hAnsi="Arial" w:cs="Arial"/>
          <w:b/>
          <w:bCs/>
          <w:lang w:val="es-MX"/>
        </w:rPr>
      </w:pPr>
    </w:p>
    <w:p w14:paraId="0579FC14" w14:textId="77777777" w:rsidR="00561B22" w:rsidRPr="00345F8B" w:rsidRDefault="00561B22" w:rsidP="00561B22">
      <w:pPr>
        <w:pStyle w:val="Textoindependiente"/>
        <w:jc w:val="center"/>
        <w:rPr>
          <w:rFonts w:ascii="Arial" w:hAnsi="Arial" w:cs="Arial"/>
          <w:b/>
          <w:bCs/>
        </w:rPr>
      </w:pPr>
      <w:r w:rsidRPr="00345F8B">
        <w:rPr>
          <w:rFonts w:ascii="Arial" w:hAnsi="Arial" w:cs="Arial"/>
          <w:b/>
          <w:bCs/>
        </w:rPr>
        <w:t>INFORME DE LA AUTOCALIFICACIÓN DEL SISTEMA DE CONTROL INTERNO CONTABLE:</w:t>
      </w:r>
    </w:p>
    <w:p w14:paraId="33C82F15" w14:textId="77777777" w:rsidR="00561B22" w:rsidRPr="00345F8B"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45F8B" w14:paraId="37676AEF" w14:textId="77777777" w:rsidTr="00F1223B">
        <w:tc>
          <w:tcPr>
            <w:tcW w:w="4981" w:type="dxa"/>
          </w:tcPr>
          <w:p w14:paraId="21C30BBA"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AUTOCALIFICACIÓN</w:t>
            </w:r>
          </w:p>
        </w:tc>
        <w:tc>
          <w:tcPr>
            <w:tcW w:w="4981" w:type="dxa"/>
          </w:tcPr>
          <w:p w14:paraId="52A5A2E7" w14:textId="77777777" w:rsidR="00561B22" w:rsidRPr="00345F8B" w:rsidRDefault="00561B22" w:rsidP="00F1223B">
            <w:pPr>
              <w:jc w:val="center"/>
              <w:rPr>
                <w:rFonts w:ascii="Arial" w:hAnsi="Arial" w:cs="Arial"/>
                <w:b/>
                <w:sz w:val="22"/>
                <w:szCs w:val="22"/>
                <w:u w:val="single"/>
                <w:lang w:val="es-MX"/>
              </w:rPr>
            </w:pPr>
            <w:r w:rsidRPr="00345F8B">
              <w:rPr>
                <w:rFonts w:ascii="Arial" w:hAnsi="Arial" w:cs="Arial"/>
                <w:b/>
                <w:sz w:val="22"/>
                <w:szCs w:val="22"/>
                <w:u w:val="single"/>
                <w:lang w:val="es-MX"/>
              </w:rPr>
              <w:t>4.36</w:t>
            </w:r>
          </w:p>
        </w:tc>
      </w:tr>
    </w:tbl>
    <w:p w14:paraId="157E25B3" w14:textId="77777777" w:rsidR="00561B22" w:rsidRPr="00345F8B" w:rsidRDefault="00561B22" w:rsidP="00561B22">
      <w:pPr>
        <w:pStyle w:val="Textoindependiente"/>
        <w:jc w:val="both"/>
        <w:rPr>
          <w:rFonts w:ascii="Arial" w:hAnsi="Arial" w:cs="Arial"/>
          <w:b/>
          <w:bCs/>
        </w:rPr>
      </w:pPr>
    </w:p>
    <w:p w14:paraId="2378F376" w14:textId="77777777" w:rsidR="00561B22" w:rsidRPr="00345F8B" w:rsidRDefault="00561B22" w:rsidP="00561B22">
      <w:pPr>
        <w:pStyle w:val="Textoindependiente"/>
        <w:jc w:val="both"/>
        <w:rPr>
          <w:rFonts w:ascii="Arial" w:hAnsi="Arial" w:cs="Arial"/>
          <w:b/>
          <w:bCs/>
        </w:rPr>
      </w:pPr>
      <w:r w:rsidRPr="00345F8B">
        <w:rPr>
          <w:rFonts w:ascii="Arial" w:hAnsi="Arial" w:cs="Arial"/>
          <w:b/>
          <w:bCs/>
        </w:rPr>
        <w:t>Del informe enviado retomamos lo siguiente:</w:t>
      </w:r>
    </w:p>
    <w:p w14:paraId="7220A884" w14:textId="77777777" w:rsidR="00561B22" w:rsidRPr="00345F8B"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45F8B" w14:paraId="2D7E2060" w14:textId="77777777" w:rsidTr="00F1223B">
        <w:tc>
          <w:tcPr>
            <w:tcW w:w="562" w:type="dxa"/>
          </w:tcPr>
          <w:p w14:paraId="69EDC810"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N°</w:t>
            </w:r>
          </w:p>
        </w:tc>
        <w:tc>
          <w:tcPr>
            <w:tcW w:w="9400" w:type="dxa"/>
          </w:tcPr>
          <w:p w14:paraId="6220EE3E"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DEBILIDADES</w:t>
            </w:r>
          </w:p>
          <w:p w14:paraId="2460B7F6" w14:textId="77777777" w:rsidR="00561B22" w:rsidRPr="00345F8B" w:rsidRDefault="00561B22" w:rsidP="00F1223B">
            <w:pPr>
              <w:jc w:val="center"/>
              <w:rPr>
                <w:rFonts w:ascii="Arial" w:hAnsi="Arial" w:cs="Arial"/>
                <w:b/>
                <w:sz w:val="22"/>
                <w:szCs w:val="22"/>
                <w:lang w:val="es-MX"/>
              </w:rPr>
            </w:pPr>
          </w:p>
        </w:tc>
      </w:tr>
      <w:tr w:rsidR="00561B22" w:rsidRPr="00345F8B" w14:paraId="1D9A0E61" w14:textId="77777777" w:rsidTr="00F1223B">
        <w:tc>
          <w:tcPr>
            <w:tcW w:w="562" w:type="dxa"/>
          </w:tcPr>
          <w:p w14:paraId="5AACCBB4"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1</w:t>
            </w:r>
          </w:p>
        </w:tc>
        <w:tc>
          <w:tcPr>
            <w:tcW w:w="9400" w:type="dxa"/>
          </w:tcPr>
          <w:p w14:paraId="320FA783" w14:textId="77777777" w:rsidR="00561B22" w:rsidRPr="00345F8B" w:rsidRDefault="00561B22" w:rsidP="00F1223B">
            <w:pPr>
              <w:jc w:val="both"/>
              <w:rPr>
                <w:rFonts w:ascii="Arial" w:hAnsi="Arial" w:cs="Arial"/>
                <w:bCs/>
                <w:sz w:val="22"/>
                <w:szCs w:val="22"/>
                <w:lang w:val="es-MX"/>
              </w:rPr>
            </w:pPr>
            <w:r w:rsidRPr="00345F8B">
              <w:rPr>
                <w:rFonts w:ascii="Arial" w:hAnsi="Arial" w:cs="Arial"/>
                <w:bCs/>
                <w:sz w:val="22"/>
                <w:szCs w:val="22"/>
              </w:rPr>
              <w:t xml:space="preserve">No hay evidencia de la gestión que debe realizar los responsables de la primera y segunda línea de defensa frente a la identificación de los riesgos y el establecimiento de controles del proceso contable. </w:t>
            </w:r>
          </w:p>
        </w:tc>
      </w:tr>
      <w:tr w:rsidR="00561B22" w:rsidRPr="00345F8B" w14:paraId="0A2F5AAA" w14:textId="77777777" w:rsidTr="00F1223B">
        <w:tc>
          <w:tcPr>
            <w:tcW w:w="562" w:type="dxa"/>
          </w:tcPr>
          <w:p w14:paraId="3A266526"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lastRenderedPageBreak/>
              <w:t>2</w:t>
            </w:r>
          </w:p>
        </w:tc>
        <w:tc>
          <w:tcPr>
            <w:tcW w:w="9400" w:type="dxa"/>
          </w:tcPr>
          <w:p w14:paraId="6E032856" w14:textId="77777777" w:rsidR="00561B22" w:rsidRPr="00345F8B" w:rsidRDefault="00561B22" w:rsidP="00F1223B">
            <w:pPr>
              <w:jc w:val="both"/>
              <w:rPr>
                <w:rFonts w:ascii="Arial" w:hAnsi="Arial" w:cs="Arial"/>
                <w:sz w:val="22"/>
                <w:szCs w:val="22"/>
                <w:lang w:val="es-MX"/>
              </w:rPr>
            </w:pPr>
            <w:r w:rsidRPr="00345F8B">
              <w:rPr>
                <w:rFonts w:ascii="Arial" w:hAnsi="Arial" w:cs="Arial"/>
                <w:sz w:val="22"/>
                <w:szCs w:val="22"/>
              </w:rPr>
              <w:t>Los indicadores del proceso financiero están limitados a la ejecución presupuestal. Pendiente la actualización de política contable, proceso contable y procedimientos e indicadores.</w:t>
            </w:r>
          </w:p>
        </w:tc>
      </w:tr>
    </w:tbl>
    <w:p w14:paraId="55B5E321" w14:textId="77777777" w:rsidR="00561B22" w:rsidRPr="00345F8B" w:rsidRDefault="00561B22" w:rsidP="00561B22">
      <w:pPr>
        <w:pStyle w:val="Textoindependiente"/>
        <w:jc w:val="both"/>
        <w:rPr>
          <w:rFonts w:ascii="Arial" w:hAnsi="Arial" w:cs="Arial"/>
          <w:b/>
          <w:bCs/>
        </w:rPr>
      </w:pPr>
    </w:p>
    <w:p w14:paraId="3DD74BBF" w14:textId="77777777" w:rsidR="00561B22" w:rsidRPr="00345F8B" w:rsidRDefault="00561B22" w:rsidP="00561B22">
      <w:pPr>
        <w:jc w:val="both"/>
        <w:rPr>
          <w:rFonts w:ascii="Arial" w:hAnsi="Arial" w:cs="Arial"/>
          <w:b/>
          <w:lang w:val="es-MX"/>
        </w:rPr>
      </w:pPr>
      <w:r w:rsidRPr="00345F8B">
        <w:rPr>
          <w:rFonts w:ascii="Arial" w:hAnsi="Arial" w:cs="Arial"/>
          <w:b/>
          <w:lang w:val="es-MX"/>
        </w:rPr>
        <w:t>Del citado informe retomamos las siguientes recomendaciones:</w:t>
      </w:r>
    </w:p>
    <w:p w14:paraId="0781A14D" w14:textId="77777777" w:rsidR="00561B22" w:rsidRPr="00345F8B"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345F8B" w14:paraId="1A599D24" w14:textId="77777777" w:rsidTr="00F1223B">
        <w:tc>
          <w:tcPr>
            <w:tcW w:w="562" w:type="dxa"/>
          </w:tcPr>
          <w:p w14:paraId="1315C252"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N°</w:t>
            </w:r>
          </w:p>
        </w:tc>
        <w:tc>
          <w:tcPr>
            <w:tcW w:w="9400" w:type="dxa"/>
          </w:tcPr>
          <w:p w14:paraId="44CC71DF"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RECOMENDACIONES</w:t>
            </w:r>
          </w:p>
          <w:p w14:paraId="723946AF" w14:textId="77777777" w:rsidR="00561B22" w:rsidRPr="00345F8B" w:rsidRDefault="00561B22" w:rsidP="00F1223B">
            <w:pPr>
              <w:jc w:val="center"/>
              <w:rPr>
                <w:rFonts w:ascii="Arial" w:hAnsi="Arial" w:cs="Arial"/>
                <w:b/>
                <w:sz w:val="22"/>
                <w:szCs w:val="22"/>
                <w:lang w:val="es-MX"/>
              </w:rPr>
            </w:pPr>
          </w:p>
        </w:tc>
      </w:tr>
      <w:tr w:rsidR="00561B22" w:rsidRPr="00345F8B" w14:paraId="1BF7E796" w14:textId="77777777" w:rsidTr="00F1223B">
        <w:tc>
          <w:tcPr>
            <w:tcW w:w="562" w:type="dxa"/>
          </w:tcPr>
          <w:p w14:paraId="7AEE2167"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1</w:t>
            </w:r>
          </w:p>
        </w:tc>
        <w:tc>
          <w:tcPr>
            <w:tcW w:w="9400" w:type="dxa"/>
          </w:tcPr>
          <w:p w14:paraId="1C845685" w14:textId="77777777" w:rsidR="00561B22" w:rsidRPr="00345F8B" w:rsidRDefault="00561B22" w:rsidP="00F1223B">
            <w:pPr>
              <w:jc w:val="both"/>
              <w:rPr>
                <w:rFonts w:ascii="Arial" w:hAnsi="Arial" w:cs="Arial"/>
                <w:bCs/>
                <w:sz w:val="22"/>
                <w:szCs w:val="22"/>
                <w:lang w:val="es-MX"/>
              </w:rPr>
            </w:pPr>
            <w:r w:rsidRPr="00345F8B">
              <w:rPr>
                <w:rFonts w:ascii="Arial" w:hAnsi="Arial" w:cs="Arial"/>
                <w:bCs/>
                <w:sz w:val="22"/>
                <w:szCs w:val="22"/>
              </w:rPr>
              <w:t>Dar cumplimiento a las acciones de mejora planteadas dentro del plan de mejoramiento suscrito con la CGR.</w:t>
            </w:r>
          </w:p>
        </w:tc>
      </w:tr>
      <w:tr w:rsidR="00561B22" w:rsidRPr="00345F8B" w14:paraId="582CC7A7" w14:textId="77777777" w:rsidTr="00F1223B">
        <w:tc>
          <w:tcPr>
            <w:tcW w:w="562" w:type="dxa"/>
          </w:tcPr>
          <w:p w14:paraId="107C32F9"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2</w:t>
            </w:r>
          </w:p>
        </w:tc>
        <w:tc>
          <w:tcPr>
            <w:tcW w:w="9400" w:type="dxa"/>
          </w:tcPr>
          <w:p w14:paraId="07BC26E5" w14:textId="77777777" w:rsidR="00561B22" w:rsidRPr="00345F8B" w:rsidRDefault="00561B22" w:rsidP="00F1223B">
            <w:pPr>
              <w:jc w:val="both"/>
              <w:rPr>
                <w:rFonts w:ascii="Arial" w:hAnsi="Arial" w:cs="Arial"/>
                <w:bCs/>
                <w:sz w:val="22"/>
                <w:szCs w:val="22"/>
              </w:rPr>
            </w:pPr>
            <w:r w:rsidRPr="00345F8B">
              <w:rPr>
                <w:rFonts w:ascii="Arial" w:hAnsi="Arial" w:cs="Arial"/>
                <w:bCs/>
                <w:sz w:val="22"/>
                <w:szCs w:val="22"/>
              </w:rPr>
              <w:t>Actualizar la política contable con las últimas directrices dadas por la CGN. Igualmente, el proceso, procedimientos, riesgos e indicadores de dicho proceso.</w:t>
            </w:r>
          </w:p>
        </w:tc>
      </w:tr>
      <w:tr w:rsidR="00561B22" w:rsidRPr="00345F8B" w14:paraId="55C1E322" w14:textId="77777777" w:rsidTr="00F1223B">
        <w:tc>
          <w:tcPr>
            <w:tcW w:w="562" w:type="dxa"/>
          </w:tcPr>
          <w:p w14:paraId="48F42ECE" w14:textId="77777777" w:rsidR="00561B22" w:rsidRPr="00345F8B" w:rsidRDefault="00561B22" w:rsidP="00F1223B">
            <w:pPr>
              <w:jc w:val="center"/>
              <w:rPr>
                <w:rFonts w:ascii="Arial" w:hAnsi="Arial" w:cs="Arial"/>
                <w:b/>
                <w:sz w:val="22"/>
                <w:szCs w:val="22"/>
                <w:lang w:val="es-MX"/>
              </w:rPr>
            </w:pPr>
            <w:r w:rsidRPr="00345F8B">
              <w:rPr>
                <w:rFonts w:ascii="Arial" w:hAnsi="Arial" w:cs="Arial"/>
                <w:b/>
                <w:sz w:val="22"/>
                <w:szCs w:val="22"/>
                <w:lang w:val="es-MX"/>
              </w:rPr>
              <w:t>3</w:t>
            </w:r>
          </w:p>
        </w:tc>
        <w:tc>
          <w:tcPr>
            <w:tcW w:w="9400" w:type="dxa"/>
          </w:tcPr>
          <w:p w14:paraId="5AB46635" w14:textId="77777777" w:rsidR="00561B22" w:rsidRPr="00345F8B" w:rsidRDefault="00561B22" w:rsidP="00F1223B">
            <w:pPr>
              <w:jc w:val="both"/>
              <w:rPr>
                <w:rFonts w:ascii="Arial" w:hAnsi="Arial" w:cs="Arial"/>
                <w:bCs/>
                <w:sz w:val="22"/>
                <w:szCs w:val="22"/>
                <w:lang w:val="es-MX"/>
              </w:rPr>
            </w:pPr>
            <w:r w:rsidRPr="00345F8B">
              <w:rPr>
                <w:rFonts w:ascii="Arial" w:hAnsi="Arial" w:cs="Arial"/>
                <w:bCs/>
                <w:sz w:val="22"/>
                <w:szCs w:val="22"/>
              </w:rPr>
              <w:t>Fortalecer los controles establecidos en las áreas que generan información para contabilidad y seguir realizando las respectivas conciliaciones a fin de garantizar la completitud y consistencia de las cifras contenidas en los estados financieros.</w:t>
            </w:r>
          </w:p>
        </w:tc>
      </w:tr>
    </w:tbl>
    <w:p w14:paraId="0A336E11" w14:textId="77777777" w:rsidR="00561B22" w:rsidRPr="00345F8B" w:rsidRDefault="00561B22" w:rsidP="00561B22">
      <w:pPr>
        <w:pStyle w:val="Textoindependiente"/>
        <w:jc w:val="both"/>
        <w:rPr>
          <w:rFonts w:ascii="Arial" w:hAnsi="Arial" w:cs="Arial"/>
          <w:b/>
          <w:bCs/>
          <w:sz w:val="28"/>
          <w:szCs w:val="28"/>
        </w:rPr>
      </w:pPr>
    </w:p>
    <w:p w14:paraId="72122610" w14:textId="77777777" w:rsidR="00561B22" w:rsidRPr="00345F8B" w:rsidRDefault="00561B22" w:rsidP="00561B22">
      <w:pPr>
        <w:jc w:val="both"/>
        <w:rPr>
          <w:rFonts w:ascii="Arial" w:hAnsi="Arial" w:cs="Arial"/>
          <w:b/>
          <w:bCs/>
          <w:sz w:val="24"/>
          <w:szCs w:val="24"/>
          <w:lang w:val="es-CO"/>
        </w:rPr>
      </w:pPr>
      <w:r w:rsidRPr="00345F8B">
        <w:rPr>
          <w:rFonts w:ascii="Arial" w:hAnsi="Arial" w:cs="Arial"/>
          <w:b/>
          <w:bCs/>
          <w:sz w:val="24"/>
          <w:szCs w:val="24"/>
          <w:lang w:val="es-CO"/>
        </w:rPr>
        <w:t xml:space="preserve">NOTA: LA ENTIDAD ENVIA LA MATRIZ DE AUTOEVALUACIÓN DEL SISTEMA DE CONTROL INTERNO CONTABLE CON ACTIVIDADES DE CONTROL REALIZADAS </w:t>
      </w:r>
      <w:r w:rsidRPr="00345F8B">
        <w:rPr>
          <w:rFonts w:ascii="Arial" w:hAnsi="Arial" w:cs="Arial"/>
          <w:b/>
          <w:bCs/>
          <w:sz w:val="24"/>
          <w:szCs w:val="24"/>
          <w:u w:val="single"/>
          <w:lang w:val="es-CO"/>
        </w:rPr>
        <w:t>EN FORMA PARCIAL Y OTRAS SIMPLEMENTE INFORMAN QUE NO SE REALIZARON</w:t>
      </w:r>
      <w:r w:rsidRPr="00345F8B">
        <w:rPr>
          <w:rFonts w:ascii="Arial" w:hAnsi="Arial" w:cs="Arial"/>
          <w:b/>
          <w:bCs/>
          <w:sz w:val="24"/>
          <w:szCs w:val="24"/>
          <w:lang w:val="es-CO"/>
        </w:rPr>
        <w:t>.</w:t>
      </w:r>
    </w:p>
    <w:p w14:paraId="3D4B343D" w14:textId="77777777" w:rsidR="00561B22" w:rsidRDefault="00561B22" w:rsidP="00561B22">
      <w:pPr>
        <w:jc w:val="both"/>
        <w:rPr>
          <w:rFonts w:ascii="Arial" w:hAnsi="Arial" w:cs="Arial"/>
          <w:b/>
          <w:bCs/>
          <w:lang w:val="es-CO"/>
        </w:rPr>
      </w:pPr>
    </w:p>
    <w:p w14:paraId="091FEEE4" w14:textId="77777777" w:rsidR="00561B22" w:rsidRPr="002309B7" w:rsidRDefault="00561B22" w:rsidP="00561B22">
      <w:pPr>
        <w:jc w:val="both"/>
        <w:rPr>
          <w:rFonts w:ascii="Arial" w:hAnsi="Arial" w:cs="Arial"/>
          <w:b/>
          <w:sz w:val="28"/>
          <w:szCs w:val="28"/>
          <w:lang w:val="es-MX"/>
        </w:rPr>
      </w:pPr>
      <w:r w:rsidRPr="002309B7">
        <w:rPr>
          <w:rFonts w:ascii="Arial" w:hAnsi="Arial" w:cs="Arial"/>
          <w:b/>
          <w:sz w:val="28"/>
          <w:szCs w:val="28"/>
          <w:lang w:val="es-MX"/>
        </w:rPr>
        <w:t xml:space="preserve">183.- U.A.E. MIGRACIÓN COLOMBIA. </w:t>
      </w:r>
    </w:p>
    <w:p w14:paraId="291C556E" w14:textId="77777777" w:rsidR="00561B22" w:rsidRDefault="00561B22" w:rsidP="00561B22">
      <w:pPr>
        <w:jc w:val="both"/>
        <w:rPr>
          <w:rFonts w:ascii="Arial" w:hAnsi="Arial" w:cs="Arial"/>
          <w:b/>
          <w:bCs/>
          <w:lang w:val="es-MX"/>
        </w:rPr>
      </w:pPr>
    </w:p>
    <w:p w14:paraId="3F062411" w14:textId="77777777" w:rsidR="00561B22" w:rsidRPr="002309B7" w:rsidRDefault="00561B22" w:rsidP="00561B22">
      <w:pPr>
        <w:pStyle w:val="Textoindependiente"/>
        <w:ind w:right="-50"/>
        <w:jc w:val="center"/>
        <w:rPr>
          <w:rFonts w:ascii="Arial" w:hAnsi="Arial" w:cs="Arial"/>
          <w:b/>
          <w:bCs/>
        </w:rPr>
      </w:pPr>
      <w:r w:rsidRPr="002309B7">
        <w:rPr>
          <w:rFonts w:ascii="Arial" w:hAnsi="Arial" w:cs="Arial"/>
          <w:b/>
          <w:bCs/>
        </w:rPr>
        <w:t>INFORME DE LA AUTOCALIFICACIÓN DEL SISTEMA DE CONTROL INTERNO CONTABLE:</w:t>
      </w:r>
    </w:p>
    <w:p w14:paraId="69A28879" w14:textId="77777777" w:rsidR="00561B22" w:rsidRPr="002309B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309B7" w14:paraId="138134D1" w14:textId="77777777" w:rsidTr="00F1223B">
        <w:tc>
          <w:tcPr>
            <w:tcW w:w="4981" w:type="dxa"/>
          </w:tcPr>
          <w:p w14:paraId="1B5A842B"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AUTOCALIFICACIÓN</w:t>
            </w:r>
          </w:p>
        </w:tc>
        <w:tc>
          <w:tcPr>
            <w:tcW w:w="4981" w:type="dxa"/>
          </w:tcPr>
          <w:p w14:paraId="7A8D22E9" w14:textId="77777777" w:rsidR="00561B22" w:rsidRPr="002309B7" w:rsidRDefault="00561B22" w:rsidP="00F1223B">
            <w:pPr>
              <w:jc w:val="center"/>
              <w:rPr>
                <w:rFonts w:ascii="Arial" w:hAnsi="Arial" w:cs="Arial"/>
                <w:b/>
                <w:sz w:val="22"/>
                <w:szCs w:val="22"/>
                <w:u w:val="single"/>
                <w:lang w:val="es-MX"/>
              </w:rPr>
            </w:pPr>
            <w:r w:rsidRPr="002309B7">
              <w:rPr>
                <w:rFonts w:ascii="Arial" w:hAnsi="Arial" w:cs="Arial"/>
                <w:b/>
                <w:sz w:val="22"/>
                <w:szCs w:val="22"/>
                <w:u w:val="single"/>
                <w:lang w:val="es-MX"/>
              </w:rPr>
              <w:t>4.85</w:t>
            </w:r>
          </w:p>
        </w:tc>
      </w:tr>
    </w:tbl>
    <w:p w14:paraId="5ED3E641" w14:textId="77777777" w:rsidR="00561B22" w:rsidRPr="002309B7" w:rsidRDefault="00561B22" w:rsidP="00561B22">
      <w:pPr>
        <w:pStyle w:val="Textoindependiente"/>
        <w:ind w:right="-50"/>
        <w:jc w:val="both"/>
        <w:rPr>
          <w:rFonts w:ascii="Arial" w:hAnsi="Arial" w:cs="Arial"/>
          <w:b/>
          <w:bCs/>
        </w:rPr>
      </w:pPr>
    </w:p>
    <w:p w14:paraId="02352B87" w14:textId="77777777" w:rsidR="00561B22" w:rsidRPr="002309B7" w:rsidRDefault="00561B22" w:rsidP="00561B22">
      <w:pPr>
        <w:pStyle w:val="Textoindependiente"/>
        <w:ind w:right="-50"/>
        <w:jc w:val="both"/>
        <w:rPr>
          <w:rFonts w:ascii="Arial" w:hAnsi="Arial" w:cs="Arial"/>
          <w:b/>
          <w:bCs/>
        </w:rPr>
      </w:pPr>
      <w:r w:rsidRPr="002309B7">
        <w:rPr>
          <w:rFonts w:ascii="Arial" w:hAnsi="Arial" w:cs="Arial"/>
          <w:b/>
          <w:bCs/>
        </w:rPr>
        <w:t>Del informe enviado retomamos lo siguiente:</w:t>
      </w:r>
    </w:p>
    <w:p w14:paraId="4CD37A56" w14:textId="77777777" w:rsidR="00561B22" w:rsidRPr="002309B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309B7" w14:paraId="7FB4F93F" w14:textId="77777777" w:rsidTr="00F1223B">
        <w:tc>
          <w:tcPr>
            <w:tcW w:w="562" w:type="dxa"/>
          </w:tcPr>
          <w:p w14:paraId="68091A19" w14:textId="77777777" w:rsidR="00561B22" w:rsidRPr="002309B7" w:rsidRDefault="00561B22" w:rsidP="00F1223B">
            <w:pPr>
              <w:ind w:right="-109"/>
              <w:jc w:val="center"/>
              <w:rPr>
                <w:rFonts w:ascii="Arial" w:hAnsi="Arial" w:cs="Arial"/>
                <w:b/>
                <w:sz w:val="22"/>
                <w:szCs w:val="22"/>
                <w:lang w:val="es-MX"/>
              </w:rPr>
            </w:pPr>
            <w:r w:rsidRPr="002309B7">
              <w:rPr>
                <w:rFonts w:ascii="Arial" w:hAnsi="Arial" w:cs="Arial"/>
                <w:b/>
                <w:sz w:val="22"/>
                <w:szCs w:val="22"/>
                <w:lang w:val="es-MX"/>
              </w:rPr>
              <w:t>N°</w:t>
            </w:r>
          </w:p>
        </w:tc>
        <w:tc>
          <w:tcPr>
            <w:tcW w:w="9400" w:type="dxa"/>
          </w:tcPr>
          <w:p w14:paraId="403B0E4B"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DEBILIDADES</w:t>
            </w:r>
          </w:p>
          <w:p w14:paraId="34A02B96" w14:textId="77777777" w:rsidR="00561B22" w:rsidRPr="002309B7" w:rsidRDefault="00561B22" w:rsidP="00F1223B">
            <w:pPr>
              <w:jc w:val="center"/>
              <w:rPr>
                <w:rFonts w:ascii="Arial" w:hAnsi="Arial" w:cs="Arial"/>
                <w:b/>
                <w:sz w:val="22"/>
                <w:szCs w:val="22"/>
                <w:lang w:val="es-MX"/>
              </w:rPr>
            </w:pPr>
          </w:p>
        </w:tc>
      </w:tr>
      <w:tr w:rsidR="00561B22" w:rsidRPr="002309B7" w14:paraId="426F0426" w14:textId="77777777" w:rsidTr="00F1223B">
        <w:tc>
          <w:tcPr>
            <w:tcW w:w="562" w:type="dxa"/>
          </w:tcPr>
          <w:p w14:paraId="5CCAEB55"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1</w:t>
            </w:r>
          </w:p>
        </w:tc>
        <w:tc>
          <w:tcPr>
            <w:tcW w:w="9400" w:type="dxa"/>
          </w:tcPr>
          <w:p w14:paraId="6FB3090C" w14:textId="77777777" w:rsidR="00561B22" w:rsidRPr="002309B7" w:rsidRDefault="00561B22" w:rsidP="00F1223B">
            <w:pPr>
              <w:jc w:val="both"/>
              <w:rPr>
                <w:rFonts w:ascii="Arial" w:hAnsi="Arial" w:cs="Arial"/>
                <w:bCs/>
                <w:sz w:val="22"/>
                <w:szCs w:val="22"/>
                <w:lang w:val="es-MX"/>
              </w:rPr>
            </w:pPr>
            <w:r w:rsidRPr="002309B7">
              <w:rPr>
                <w:rFonts w:ascii="Arial" w:hAnsi="Arial" w:cs="Arial"/>
                <w:bCs/>
                <w:sz w:val="22"/>
                <w:szCs w:val="22"/>
                <w:lang w:val="es-MX"/>
              </w:rPr>
              <w:t>La Entidad no cuenta con un sistema de información integrado que involucre a las áreas Internas proveedoras de información (áreas de Apoyo) para el control y seguimiento de los hechos económicos como: cartera de multas; procesos judiciales; cartera de incapacidades y beneficios a empleados (los cuales se llevan en bases de Excel) genera un riesgo sobre la confiabilidad de la información. Evidenciando en la auditoria del proceso sancionatoria falta de integridad del proceso, ocasionando que no se tenga certeza sobre la realidad de las cuentas por cobrar.</w:t>
            </w:r>
          </w:p>
        </w:tc>
      </w:tr>
      <w:tr w:rsidR="00561B22" w:rsidRPr="002309B7" w14:paraId="5364FF1E" w14:textId="77777777" w:rsidTr="00F1223B">
        <w:tc>
          <w:tcPr>
            <w:tcW w:w="562" w:type="dxa"/>
          </w:tcPr>
          <w:p w14:paraId="37FF0A22"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2</w:t>
            </w:r>
          </w:p>
        </w:tc>
        <w:tc>
          <w:tcPr>
            <w:tcW w:w="9400" w:type="dxa"/>
          </w:tcPr>
          <w:p w14:paraId="4E349C82" w14:textId="77777777" w:rsidR="00561B22" w:rsidRPr="002309B7" w:rsidRDefault="00561B22" w:rsidP="00F1223B">
            <w:pPr>
              <w:jc w:val="both"/>
              <w:rPr>
                <w:rFonts w:ascii="Arial" w:hAnsi="Arial" w:cs="Arial"/>
                <w:bCs/>
                <w:sz w:val="22"/>
                <w:szCs w:val="22"/>
                <w:lang w:val="es-MX"/>
              </w:rPr>
            </w:pPr>
            <w:r w:rsidRPr="002309B7">
              <w:rPr>
                <w:rFonts w:ascii="Arial" w:hAnsi="Arial" w:cs="Arial"/>
                <w:bCs/>
                <w:sz w:val="22"/>
                <w:szCs w:val="22"/>
                <w:lang w:val="es-MX"/>
              </w:rPr>
              <w:t>Se identifica un saldo significativo de $8.341 millones en la cuenta Propiedad, planta y equipo no explotados, concerniente a los elementos en bodega para los cuales no se ha definido su disposición final dentro del comité de bajas, por lo que se encuentra en depuración.</w:t>
            </w:r>
          </w:p>
        </w:tc>
      </w:tr>
    </w:tbl>
    <w:p w14:paraId="649BFE35" w14:textId="77777777" w:rsidR="00561B22" w:rsidRPr="002309B7" w:rsidRDefault="00561B22" w:rsidP="00561B22">
      <w:pPr>
        <w:pStyle w:val="Textoindependiente"/>
        <w:ind w:right="-50"/>
        <w:jc w:val="both"/>
        <w:rPr>
          <w:rFonts w:ascii="Arial" w:hAnsi="Arial" w:cs="Arial"/>
          <w:b/>
          <w:bCs/>
        </w:rPr>
      </w:pPr>
    </w:p>
    <w:p w14:paraId="4F742F10" w14:textId="77777777" w:rsidR="00561B22" w:rsidRPr="002309B7" w:rsidRDefault="00561B22" w:rsidP="00561B22">
      <w:pPr>
        <w:jc w:val="both"/>
        <w:rPr>
          <w:rFonts w:ascii="Arial" w:hAnsi="Arial" w:cs="Arial"/>
          <w:b/>
          <w:lang w:val="es-MX"/>
        </w:rPr>
      </w:pPr>
      <w:r w:rsidRPr="002309B7">
        <w:rPr>
          <w:rFonts w:ascii="Arial" w:hAnsi="Arial" w:cs="Arial"/>
          <w:b/>
          <w:lang w:val="es-MX"/>
        </w:rPr>
        <w:t>Del citado informe retomamos las siguientes recomendaciones:</w:t>
      </w:r>
    </w:p>
    <w:p w14:paraId="373E63A9" w14:textId="77777777" w:rsidR="00561B22" w:rsidRPr="002309B7"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491"/>
        <w:gridCol w:w="4004"/>
        <w:gridCol w:w="5467"/>
      </w:tblGrid>
      <w:tr w:rsidR="00561B22" w:rsidRPr="002309B7" w14:paraId="0DF35152" w14:textId="77777777" w:rsidTr="00F1223B">
        <w:tc>
          <w:tcPr>
            <w:tcW w:w="491" w:type="dxa"/>
          </w:tcPr>
          <w:p w14:paraId="6F8224FB" w14:textId="77777777" w:rsidR="00561B22" w:rsidRPr="002309B7" w:rsidRDefault="00561B22" w:rsidP="00F1223B">
            <w:pPr>
              <w:ind w:right="-109"/>
              <w:jc w:val="center"/>
              <w:rPr>
                <w:rFonts w:ascii="Arial" w:hAnsi="Arial" w:cs="Arial"/>
                <w:b/>
                <w:sz w:val="22"/>
                <w:szCs w:val="22"/>
                <w:lang w:val="es-MX"/>
              </w:rPr>
            </w:pPr>
            <w:r w:rsidRPr="002309B7">
              <w:rPr>
                <w:rFonts w:ascii="Arial" w:hAnsi="Arial" w:cs="Arial"/>
                <w:b/>
                <w:sz w:val="22"/>
                <w:szCs w:val="22"/>
                <w:lang w:val="es-MX"/>
              </w:rPr>
              <w:t>N°</w:t>
            </w:r>
          </w:p>
        </w:tc>
        <w:tc>
          <w:tcPr>
            <w:tcW w:w="4004" w:type="dxa"/>
          </w:tcPr>
          <w:p w14:paraId="6ED1A22C" w14:textId="77777777" w:rsidR="00561B22" w:rsidRPr="002309B7" w:rsidRDefault="00561B22" w:rsidP="00F1223B">
            <w:pPr>
              <w:jc w:val="center"/>
              <w:rPr>
                <w:rFonts w:ascii="Arial" w:hAnsi="Arial" w:cs="Arial"/>
                <w:b/>
                <w:sz w:val="22"/>
                <w:szCs w:val="22"/>
                <w:lang w:val="es-MX"/>
              </w:rPr>
            </w:pPr>
          </w:p>
        </w:tc>
        <w:tc>
          <w:tcPr>
            <w:tcW w:w="5467" w:type="dxa"/>
          </w:tcPr>
          <w:p w14:paraId="7B476EE3"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RECOMENDACIONES</w:t>
            </w:r>
          </w:p>
          <w:p w14:paraId="7E75F2DF" w14:textId="77777777" w:rsidR="00561B22" w:rsidRPr="002309B7" w:rsidRDefault="00561B22" w:rsidP="00F1223B">
            <w:pPr>
              <w:jc w:val="center"/>
              <w:rPr>
                <w:rFonts w:ascii="Arial" w:hAnsi="Arial" w:cs="Arial"/>
                <w:b/>
                <w:sz w:val="22"/>
                <w:szCs w:val="22"/>
                <w:lang w:val="es-MX"/>
              </w:rPr>
            </w:pPr>
          </w:p>
        </w:tc>
      </w:tr>
      <w:tr w:rsidR="00561B22" w:rsidRPr="002309B7" w14:paraId="0046929F" w14:textId="77777777" w:rsidTr="00F1223B">
        <w:tc>
          <w:tcPr>
            <w:tcW w:w="491" w:type="dxa"/>
          </w:tcPr>
          <w:p w14:paraId="4A837774"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1</w:t>
            </w:r>
          </w:p>
        </w:tc>
        <w:tc>
          <w:tcPr>
            <w:tcW w:w="4004" w:type="dxa"/>
          </w:tcPr>
          <w:p w14:paraId="308A6D9D" w14:textId="77777777" w:rsidR="00561B22" w:rsidRPr="002309B7" w:rsidRDefault="00561B22" w:rsidP="00F1223B">
            <w:pPr>
              <w:jc w:val="both"/>
              <w:rPr>
                <w:rFonts w:ascii="Arial" w:hAnsi="Arial" w:cs="Arial"/>
                <w:bCs/>
                <w:sz w:val="22"/>
                <w:szCs w:val="22"/>
                <w:lang w:val="es-MX"/>
              </w:rPr>
            </w:pPr>
          </w:p>
        </w:tc>
        <w:tc>
          <w:tcPr>
            <w:tcW w:w="5467" w:type="dxa"/>
          </w:tcPr>
          <w:p w14:paraId="499BFD05" w14:textId="77777777" w:rsidR="00561B22" w:rsidRPr="002309B7" w:rsidRDefault="00561B22" w:rsidP="00F1223B">
            <w:pPr>
              <w:jc w:val="both"/>
              <w:rPr>
                <w:rFonts w:ascii="Arial" w:hAnsi="Arial" w:cs="Arial"/>
                <w:bCs/>
                <w:sz w:val="22"/>
                <w:szCs w:val="22"/>
                <w:lang w:val="es-MX"/>
              </w:rPr>
            </w:pPr>
            <w:r w:rsidRPr="002309B7">
              <w:rPr>
                <w:rFonts w:ascii="Arial" w:hAnsi="Arial" w:cs="Arial"/>
                <w:bCs/>
                <w:sz w:val="22"/>
                <w:szCs w:val="22"/>
                <w:lang w:val="es-MX"/>
              </w:rPr>
              <w:t>Fortalecer el diseño de los controles del proceso financiero, con el fin de que los expedientes cuenten con todos los soportes requeridos en los procedimientos a fin de garantizar el oportuno reconocimiento de los derechos y obligaciones de la Entidad.</w:t>
            </w:r>
          </w:p>
        </w:tc>
      </w:tr>
      <w:tr w:rsidR="00561B22" w:rsidRPr="002309B7" w14:paraId="2771AA9F" w14:textId="77777777" w:rsidTr="00F1223B">
        <w:tc>
          <w:tcPr>
            <w:tcW w:w="491" w:type="dxa"/>
          </w:tcPr>
          <w:p w14:paraId="2E737D28"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t>2</w:t>
            </w:r>
          </w:p>
        </w:tc>
        <w:tc>
          <w:tcPr>
            <w:tcW w:w="4004" w:type="dxa"/>
          </w:tcPr>
          <w:p w14:paraId="1F95457F" w14:textId="77777777" w:rsidR="00561B22" w:rsidRPr="002309B7" w:rsidRDefault="00561B22" w:rsidP="00F1223B">
            <w:pPr>
              <w:jc w:val="both"/>
              <w:rPr>
                <w:rFonts w:ascii="Arial" w:hAnsi="Arial" w:cs="Arial"/>
                <w:bCs/>
                <w:sz w:val="22"/>
                <w:szCs w:val="22"/>
                <w:lang w:val="es-MX"/>
              </w:rPr>
            </w:pPr>
          </w:p>
        </w:tc>
        <w:tc>
          <w:tcPr>
            <w:tcW w:w="5467" w:type="dxa"/>
          </w:tcPr>
          <w:p w14:paraId="3C97D275" w14:textId="77777777" w:rsidR="00561B22" w:rsidRPr="002309B7" w:rsidRDefault="00561B22" w:rsidP="00F1223B">
            <w:pPr>
              <w:jc w:val="both"/>
              <w:rPr>
                <w:rFonts w:ascii="Arial" w:hAnsi="Arial" w:cs="Arial"/>
                <w:bCs/>
                <w:sz w:val="22"/>
                <w:szCs w:val="22"/>
                <w:lang w:val="es-MX"/>
              </w:rPr>
            </w:pPr>
            <w:r w:rsidRPr="002309B7">
              <w:rPr>
                <w:rFonts w:ascii="Arial" w:hAnsi="Arial" w:cs="Arial"/>
                <w:bCs/>
                <w:sz w:val="22"/>
                <w:szCs w:val="22"/>
                <w:lang w:val="es-MX"/>
              </w:rPr>
              <w:t xml:space="preserve">Fortalecer los sistemas de información para asegurar </w:t>
            </w:r>
            <w:r w:rsidRPr="002309B7">
              <w:rPr>
                <w:rFonts w:ascii="Arial" w:hAnsi="Arial" w:cs="Arial"/>
                <w:bCs/>
                <w:sz w:val="22"/>
                <w:szCs w:val="22"/>
                <w:lang w:val="es-MX"/>
              </w:rPr>
              <w:lastRenderedPageBreak/>
              <w:t xml:space="preserve">la integridad de la información de cuentas por cobrar del proceso sancionatorio. </w:t>
            </w:r>
          </w:p>
        </w:tc>
      </w:tr>
      <w:tr w:rsidR="00561B22" w:rsidRPr="002309B7" w14:paraId="6F06110D" w14:textId="77777777" w:rsidTr="00F1223B">
        <w:tc>
          <w:tcPr>
            <w:tcW w:w="491" w:type="dxa"/>
          </w:tcPr>
          <w:p w14:paraId="4EAB609D" w14:textId="77777777" w:rsidR="00561B22" w:rsidRPr="002309B7" w:rsidRDefault="00561B22" w:rsidP="00F1223B">
            <w:pPr>
              <w:jc w:val="center"/>
              <w:rPr>
                <w:rFonts w:ascii="Arial" w:hAnsi="Arial" w:cs="Arial"/>
                <w:b/>
                <w:sz w:val="22"/>
                <w:szCs w:val="22"/>
                <w:lang w:val="es-MX"/>
              </w:rPr>
            </w:pPr>
            <w:r w:rsidRPr="002309B7">
              <w:rPr>
                <w:rFonts w:ascii="Arial" w:hAnsi="Arial" w:cs="Arial"/>
                <w:b/>
                <w:sz w:val="22"/>
                <w:szCs w:val="22"/>
                <w:lang w:val="es-MX"/>
              </w:rPr>
              <w:lastRenderedPageBreak/>
              <w:t>3</w:t>
            </w:r>
          </w:p>
        </w:tc>
        <w:tc>
          <w:tcPr>
            <w:tcW w:w="4004" w:type="dxa"/>
          </w:tcPr>
          <w:p w14:paraId="1FA6527C" w14:textId="77777777" w:rsidR="00561B22" w:rsidRPr="002309B7" w:rsidRDefault="00561B22" w:rsidP="00F1223B">
            <w:pPr>
              <w:jc w:val="both"/>
              <w:rPr>
                <w:rFonts w:ascii="Arial" w:hAnsi="Arial" w:cs="Arial"/>
                <w:bCs/>
                <w:sz w:val="22"/>
                <w:szCs w:val="22"/>
                <w:lang w:val="es-MX"/>
              </w:rPr>
            </w:pPr>
          </w:p>
        </w:tc>
        <w:tc>
          <w:tcPr>
            <w:tcW w:w="5467" w:type="dxa"/>
          </w:tcPr>
          <w:p w14:paraId="4AB724A8" w14:textId="77777777" w:rsidR="00561B22" w:rsidRPr="002309B7" w:rsidRDefault="00561B22" w:rsidP="00F1223B">
            <w:pPr>
              <w:jc w:val="both"/>
              <w:rPr>
                <w:rFonts w:ascii="Arial" w:hAnsi="Arial" w:cs="Arial"/>
                <w:bCs/>
                <w:sz w:val="22"/>
                <w:szCs w:val="22"/>
                <w:lang w:val="es-MX"/>
              </w:rPr>
            </w:pPr>
            <w:r w:rsidRPr="002309B7">
              <w:rPr>
                <w:rFonts w:ascii="Arial" w:hAnsi="Arial" w:cs="Arial"/>
                <w:bCs/>
                <w:sz w:val="22"/>
                <w:szCs w:val="22"/>
                <w:lang w:val="es-MX"/>
              </w:rPr>
              <w:t>Continuar el proceso de depuración de los inventarios de propiedad planta y equipo no explotados.</w:t>
            </w:r>
          </w:p>
        </w:tc>
      </w:tr>
    </w:tbl>
    <w:p w14:paraId="56C91FA0" w14:textId="77777777" w:rsidR="00561B22" w:rsidRPr="002309B7" w:rsidRDefault="00561B22" w:rsidP="00561B22">
      <w:pPr>
        <w:pStyle w:val="Textoindependiente"/>
        <w:ind w:right="-50"/>
        <w:jc w:val="both"/>
        <w:rPr>
          <w:rFonts w:ascii="Arial" w:hAnsi="Arial" w:cs="Arial"/>
          <w:b/>
          <w:bCs/>
        </w:rPr>
      </w:pPr>
    </w:p>
    <w:p w14:paraId="7CCF195C" w14:textId="77777777" w:rsidR="00561B22" w:rsidRDefault="00561B22" w:rsidP="00561B22">
      <w:pPr>
        <w:jc w:val="both"/>
        <w:rPr>
          <w:rFonts w:ascii="Arial" w:hAnsi="Arial" w:cs="Arial"/>
          <w:b/>
          <w:bCs/>
          <w:sz w:val="24"/>
          <w:szCs w:val="24"/>
          <w:lang w:val="es-CO"/>
        </w:rPr>
      </w:pPr>
      <w:r w:rsidRPr="002309B7">
        <w:rPr>
          <w:rFonts w:ascii="Arial" w:hAnsi="Arial" w:cs="Arial"/>
          <w:b/>
          <w:bCs/>
          <w:sz w:val="24"/>
          <w:szCs w:val="24"/>
          <w:lang w:val="es-CO"/>
        </w:rPr>
        <w:t xml:space="preserve">NOTA: LA ENTIDAD ENVÍA LA MATRIZ DE AUTOEVALUACIÓN DEL SISTEMA DE CONTROL INTERNO CONTABLE CON </w:t>
      </w:r>
      <w:r w:rsidRPr="002309B7">
        <w:rPr>
          <w:rFonts w:ascii="Arial" w:hAnsi="Arial" w:cs="Arial"/>
          <w:b/>
          <w:bCs/>
          <w:sz w:val="24"/>
          <w:szCs w:val="24"/>
          <w:u w:val="single"/>
          <w:lang w:val="es-CO"/>
        </w:rPr>
        <w:t>ACTIVIDADES DE CONTROL REALIZADAS EN FORMA PARCIAL</w:t>
      </w:r>
      <w:r w:rsidRPr="002309B7">
        <w:rPr>
          <w:rFonts w:ascii="Arial" w:hAnsi="Arial" w:cs="Arial"/>
          <w:b/>
          <w:bCs/>
          <w:sz w:val="24"/>
          <w:szCs w:val="24"/>
          <w:lang w:val="es-CO"/>
        </w:rPr>
        <w:t>.</w:t>
      </w:r>
    </w:p>
    <w:p w14:paraId="300CCF44" w14:textId="77777777" w:rsidR="00561B22" w:rsidRPr="002309B7" w:rsidRDefault="00561B22" w:rsidP="00561B22">
      <w:pPr>
        <w:jc w:val="both"/>
        <w:rPr>
          <w:sz w:val="28"/>
          <w:szCs w:val="28"/>
        </w:rPr>
      </w:pPr>
    </w:p>
    <w:p w14:paraId="76782C75" w14:textId="77777777" w:rsidR="00561B22" w:rsidRPr="0040295B" w:rsidRDefault="00561B22" w:rsidP="00561B22">
      <w:pPr>
        <w:jc w:val="both"/>
        <w:rPr>
          <w:rFonts w:ascii="Arial" w:hAnsi="Arial" w:cs="Arial"/>
          <w:b/>
          <w:sz w:val="32"/>
          <w:szCs w:val="32"/>
        </w:rPr>
      </w:pPr>
      <w:r w:rsidRPr="0040295B">
        <w:rPr>
          <w:rFonts w:ascii="Arial" w:hAnsi="Arial" w:cs="Arial"/>
          <w:b/>
          <w:sz w:val="28"/>
          <w:szCs w:val="28"/>
          <w:lang w:val="es-MX"/>
        </w:rPr>
        <w:t>184.- EMPRESA URRA S.A. E.S.P.</w:t>
      </w:r>
    </w:p>
    <w:p w14:paraId="7B4E6CA7" w14:textId="77777777" w:rsidR="00561B22" w:rsidRDefault="00561B22" w:rsidP="00561B22">
      <w:pPr>
        <w:jc w:val="both"/>
        <w:rPr>
          <w:rFonts w:ascii="Arial" w:hAnsi="Arial" w:cs="Arial"/>
          <w:b/>
          <w:bCs/>
        </w:rPr>
      </w:pPr>
    </w:p>
    <w:p w14:paraId="0AAB2F18" w14:textId="77777777" w:rsidR="00561B22" w:rsidRPr="0040295B" w:rsidRDefault="00561B22" w:rsidP="00561B22">
      <w:pPr>
        <w:pStyle w:val="Textoindependiente"/>
        <w:ind w:right="-50"/>
        <w:jc w:val="center"/>
        <w:rPr>
          <w:rFonts w:ascii="Arial" w:hAnsi="Arial" w:cs="Arial"/>
          <w:b/>
          <w:bCs/>
        </w:rPr>
      </w:pPr>
      <w:r w:rsidRPr="0040295B">
        <w:rPr>
          <w:rFonts w:ascii="Arial" w:hAnsi="Arial" w:cs="Arial"/>
          <w:b/>
          <w:bCs/>
        </w:rPr>
        <w:t>INFORME DE LA AUTOCALIFICACIÓN DEL SISTEMA DE CONTROL INTERNO CONTABLE:</w:t>
      </w:r>
    </w:p>
    <w:p w14:paraId="643A58E6" w14:textId="77777777" w:rsidR="00561B22" w:rsidRPr="0040295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0295B" w14:paraId="1EDBD68C" w14:textId="77777777" w:rsidTr="00F1223B">
        <w:tc>
          <w:tcPr>
            <w:tcW w:w="4981" w:type="dxa"/>
          </w:tcPr>
          <w:p w14:paraId="2D715DB3"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AUTOCALIFICACIÓN</w:t>
            </w:r>
          </w:p>
        </w:tc>
        <w:tc>
          <w:tcPr>
            <w:tcW w:w="4981" w:type="dxa"/>
          </w:tcPr>
          <w:p w14:paraId="71247650" w14:textId="77777777" w:rsidR="00561B22" w:rsidRPr="0040295B" w:rsidRDefault="00561B22" w:rsidP="00F1223B">
            <w:pPr>
              <w:jc w:val="center"/>
              <w:rPr>
                <w:rFonts w:ascii="Arial" w:hAnsi="Arial" w:cs="Arial"/>
                <w:b/>
                <w:sz w:val="22"/>
                <w:szCs w:val="22"/>
                <w:u w:val="single"/>
                <w:lang w:val="es-MX"/>
              </w:rPr>
            </w:pPr>
            <w:r w:rsidRPr="0040295B">
              <w:rPr>
                <w:rFonts w:ascii="Arial" w:hAnsi="Arial" w:cs="Arial"/>
                <w:b/>
                <w:sz w:val="22"/>
                <w:szCs w:val="22"/>
                <w:u w:val="single"/>
                <w:lang w:val="es-MX"/>
              </w:rPr>
              <w:t>4.98</w:t>
            </w:r>
          </w:p>
        </w:tc>
      </w:tr>
    </w:tbl>
    <w:p w14:paraId="72C27985" w14:textId="77777777" w:rsidR="00561B22" w:rsidRPr="0040295B" w:rsidRDefault="00561B22" w:rsidP="00561B22">
      <w:pPr>
        <w:pStyle w:val="Textoindependiente"/>
        <w:ind w:right="-50"/>
        <w:jc w:val="both"/>
        <w:rPr>
          <w:rFonts w:ascii="Arial" w:hAnsi="Arial" w:cs="Arial"/>
          <w:b/>
          <w:bCs/>
        </w:rPr>
      </w:pPr>
    </w:p>
    <w:p w14:paraId="29BCDA28" w14:textId="77777777" w:rsidR="00561B22" w:rsidRPr="0040295B" w:rsidRDefault="00561B22" w:rsidP="00561B22">
      <w:pPr>
        <w:pStyle w:val="Textoindependiente"/>
        <w:ind w:right="-50"/>
        <w:jc w:val="both"/>
        <w:rPr>
          <w:rFonts w:ascii="Arial" w:hAnsi="Arial" w:cs="Arial"/>
          <w:b/>
          <w:bCs/>
        </w:rPr>
      </w:pPr>
      <w:r w:rsidRPr="0040295B">
        <w:rPr>
          <w:rFonts w:ascii="Arial" w:hAnsi="Arial" w:cs="Arial"/>
          <w:b/>
          <w:bCs/>
        </w:rPr>
        <w:t>Del informe enviado retomamos lo siguiente:</w:t>
      </w:r>
    </w:p>
    <w:p w14:paraId="4D09E74E" w14:textId="77777777" w:rsidR="00561B22" w:rsidRPr="0040295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0295B" w14:paraId="55094691" w14:textId="77777777" w:rsidTr="00F1223B">
        <w:tc>
          <w:tcPr>
            <w:tcW w:w="562" w:type="dxa"/>
          </w:tcPr>
          <w:p w14:paraId="0FFB6CB6" w14:textId="77777777" w:rsidR="00561B22" w:rsidRPr="0040295B" w:rsidRDefault="00561B22" w:rsidP="00F1223B">
            <w:pPr>
              <w:ind w:right="-109"/>
              <w:jc w:val="center"/>
              <w:rPr>
                <w:rFonts w:ascii="Arial" w:hAnsi="Arial" w:cs="Arial"/>
                <w:b/>
                <w:sz w:val="22"/>
                <w:szCs w:val="22"/>
                <w:lang w:val="es-MX"/>
              </w:rPr>
            </w:pPr>
            <w:r w:rsidRPr="0040295B">
              <w:rPr>
                <w:rFonts w:ascii="Arial" w:hAnsi="Arial" w:cs="Arial"/>
                <w:b/>
                <w:sz w:val="22"/>
                <w:szCs w:val="22"/>
                <w:lang w:val="es-MX"/>
              </w:rPr>
              <w:t>N°</w:t>
            </w:r>
          </w:p>
        </w:tc>
        <w:tc>
          <w:tcPr>
            <w:tcW w:w="9400" w:type="dxa"/>
          </w:tcPr>
          <w:p w14:paraId="3B863FA2"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DEBILIDADES</w:t>
            </w:r>
          </w:p>
          <w:p w14:paraId="28440890" w14:textId="77777777" w:rsidR="00561B22" w:rsidRPr="0040295B" w:rsidRDefault="00561B22" w:rsidP="00F1223B">
            <w:pPr>
              <w:jc w:val="center"/>
              <w:rPr>
                <w:rFonts w:ascii="Arial" w:hAnsi="Arial" w:cs="Arial"/>
                <w:b/>
                <w:sz w:val="22"/>
                <w:szCs w:val="22"/>
                <w:lang w:val="es-MX"/>
              </w:rPr>
            </w:pPr>
          </w:p>
        </w:tc>
      </w:tr>
      <w:tr w:rsidR="00561B22" w:rsidRPr="0040295B" w14:paraId="72CE382F" w14:textId="77777777" w:rsidTr="00F1223B">
        <w:tc>
          <w:tcPr>
            <w:tcW w:w="562" w:type="dxa"/>
          </w:tcPr>
          <w:p w14:paraId="5FE502BD"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1</w:t>
            </w:r>
          </w:p>
        </w:tc>
        <w:tc>
          <w:tcPr>
            <w:tcW w:w="9400" w:type="dxa"/>
          </w:tcPr>
          <w:p w14:paraId="6FA6F33C" w14:textId="77777777" w:rsidR="00561B22" w:rsidRPr="0040295B" w:rsidRDefault="00561B22" w:rsidP="00F1223B">
            <w:pPr>
              <w:jc w:val="both"/>
              <w:rPr>
                <w:rFonts w:ascii="Arial" w:hAnsi="Arial" w:cs="Arial"/>
                <w:b/>
                <w:sz w:val="22"/>
                <w:szCs w:val="22"/>
                <w:lang w:val="es-MX"/>
              </w:rPr>
            </w:pPr>
            <w:r w:rsidRPr="0040295B">
              <w:rPr>
                <w:rFonts w:ascii="Arial" w:eastAsia="Times New Roman" w:hAnsi="Arial" w:cs="Arial"/>
                <w:sz w:val="22"/>
                <w:szCs w:val="22"/>
              </w:rPr>
              <w:t>La empresa tiene implementada una directriz para realizar periódicamente inventarios de repuestos y de propiedad, plantas y equipos, pero no está documentada.</w:t>
            </w:r>
          </w:p>
        </w:tc>
      </w:tr>
      <w:tr w:rsidR="00561B22" w:rsidRPr="0040295B" w14:paraId="6525E1DF" w14:textId="77777777" w:rsidTr="00F1223B">
        <w:tc>
          <w:tcPr>
            <w:tcW w:w="562" w:type="dxa"/>
          </w:tcPr>
          <w:p w14:paraId="6C4E58C9"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2</w:t>
            </w:r>
          </w:p>
        </w:tc>
        <w:tc>
          <w:tcPr>
            <w:tcW w:w="9400" w:type="dxa"/>
          </w:tcPr>
          <w:p w14:paraId="14B0FEA6" w14:textId="77777777" w:rsidR="00561B22" w:rsidRPr="0040295B" w:rsidRDefault="00561B22" w:rsidP="00F1223B">
            <w:pPr>
              <w:jc w:val="both"/>
              <w:rPr>
                <w:rFonts w:ascii="Arial" w:hAnsi="Arial" w:cs="Arial"/>
                <w:b/>
                <w:sz w:val="22"/>
                <w:szCs w:val="22"/>
                <w:lang w:val="es-MX"/>
              </w:rPr>
            </w:pPr>
            <w:r w:rsidRPr="0040295B">
              <w:rPr>
                <w:rFonts w:ascii="Arial" w:eastAsia="Times New Roman" w:hAnsi="Arial" w:cs="Arial"/>
                <w:sz w:val="22"/>
                <w:szCs w:val="22"/>
              </w:rPr>
              <w:t xml:space="preserve">Varios tipos de conciliaciones se realizan de manera manual, aunque la empresa se encuentra en la etapa de pruebas de funcionamiento del procedimiento, alineado con la implementación del software administrativo y financiero, una vez termine la fase de pruebas, quedará documentado en el SGI. durante la vigencia 2025 finalizará la implementación respectiva.  </w:t>
            </w:r>
          </w:p>
        </w:tc>
      </w:tr>
    </w:tbl>
    <w:p w14:paraId="7957115C" w14:textId="77777777" w:rsidR="00561B22" w:rsidRPr="0040295B" w:rsidRDefault="00561B22" w:rsidP="00561B22">
      <w:pPr>
        <w:pStyle w:val="Textoindependiente"/>
        <w:ind w:right="-50"/>
        <w:jc w:val="both"/>
        <w:rPr>
          <w:rFonts w:ascii="Arial" w:hAnsi="Arial" w:cs="Arial"/>
          <w:b/>
          <w:bCs/>
        </w:rPr>
      </w:pPr>
    </w:p>
    <w:p w14:paraId="1C41DF19" w14:textId="77777777" w:rsidR="00561B22" w:rsidRDefault="00561B22" w:rsidP="00561B22">
      <w:pPr>
        <w:jc w:val="both"/>
        <w:rPr>
          <w:rFonts w:ascii="Arial" w:hAnsi="Arial" w:cs="Arial"/>
          <w:b/>
          <w:lang w:val="es-MX"/>
        </w:rPr>
      </w:pPr>
      <w:r w:rsidRPr="0040295B">
        <w:rPr>
          <w:rFonts w:ascii="Arial" w:hAnsi="Arial" w:cs="Arial"/>
          <w:b/>
          <w:lang w:val="es-MX"/>
        </w:rPr>
        <w:t>Del citado informe retomamos las siguientes recomendaciones:</w:t>
      </w:r>
    </w:p>
    <w:p w14:paraId="2618927B" w14:textId="77777777" w:rsidR="00561B22" w:rsidRPr="0040295B"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40295B" w14:paraId="717D8DE0" w14:textId="77777777" w:rsidTr="00F1223B">
        <w:tc>
          <w:tcPr>
            <w:tcW w:w="562" w:type="dxa"/>
          </w:tcPr>
          <w:p w14:paraId="17B84EB4" w14:textId="77777777" w:rsidR="00561B22" w:rsidRPr="0040295B" w:rsidRDefault="00561B22" w:rsidP="00F1223B">
            <w:pPr>
              <w:ind w:right="-109"/>
              <w:jc w:val="center"/>
              <w:rPr>
                <w:rFonts w:ascii="Arial" w:hAnsi="Arial" w:cs="Arial"/>
                <w:b/>
                <w:sz w:val="22"/>
                <w:szCs w:val="22"/>
                <w:lang w:val="es-MX"/>
              </w:rPr>
            </w:pPr>
            <w:r w:rsidRPr="0040295B">
              <w:rPr>
                <w:rFonts w:ascii="Arial" w:hAnsi="Arial" w:cs="Arial"/>
                <w:b/>
                <w:sz w:val="22"/>
                <w:szCs w:val="22"/>
                <w:lang w:val="es-MX"/>
              </w:rPr>
              <w:t>N°</w:t>
            </w:r>
          </w:p>
        </w:tc>
        <w:tc>
          <w:tcPr>
            <w:tcW w:w="9400" w:type="dxa"/>
          </w:tcPr>
          <w:p w14:paraId="14B016F3"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RECOMENDACIONES</w:t>
            </w:r>
          </w:p>
          <w:p w14:paraId="426D2DA9" w14:textId="77777777" w:rsidR="00561B22" w:rsidRPr="0040295B" w:rsidRDefault="00561B22" w:rsidP="00F1223B">
            <w:pPr>
              <w:jc w:val="center"/>
              <w:rPr>
                <w:rFonts w:ascii="Arial" w:hAnsi="Arial" w:cs="Arial"/>
                <w:b/>
                <w:sz w:val="22"/>
                <w:szCs w:val="22"/>
                <w:lang w:val="es-MX"/>
              </w:rPr>
            </w:pPr>
          </w:p>
        </w:tc>
      </w:tr>
      <w:tr w:rsidR="00561B22" w:rsidRPr="0040295B" w14:paraId="625BAF87" w14:textId="77777777" w:rsidTr="00F1223B">
        <w:tc>
          <w:tcPr>
            <w:tcW w:w="562" w:type="dxa"/>
          </w:tcPr>
          <w:p w14:paraId="78B8B046"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1</w:t>
            </w:r>
          </w:p>
        </w:tc>
        <w:tc>
          <w:tcPr>
            <w:tcW w:w="9400" w:type="dxa"/>
          </w:tcPr>
          <w:p w14:paraId="604F6ED4" w14:textId="77777777" w:rsidR="00561B22" w:rsidRPr="0040295B" w:rsidRDefault="00561B22" w:rsidP="00F1223B">
            <w:pPr>
              <w:jc w:val="both"/>
              <w:rPr>
                <w:rFonts w:ascii="Arial" w:hAnsi="Arial" w:cs="Arial"/>
                <w:b/>
                <w:sz w:val="22"/>
                <w:szCs w:val="22"/>
                <w:lang w:val="es-MX"/>
              </w:rPr>
            </w:pPr>
            <w:r w:rsidRPr="0040295B">
              <w:rPr>
                <w:rFonts w:ascii="Arial" w:eastAsia="Times New Roman" w:hAnsi="Arial" w:cs="Arial"/>
                <w:sz w:val="22"/>
                <w:szCs w:val="22"/>
              </w:rPr>
              <w:t>Implementar una interfaz entre el módulo de cartera y el software administrativo y financiero para optimizar la integración de la información.</w:t>
            </w:r>
          </w:p>
        </w:tc>
      </w:tr>
      <w:tr w:rsidR="00561B22" w:rsidRPr="0040295B" w14:paraId="58E2C423" w14:textId="77777777" w:rsidTr="00F1223B">
        <w:tc>
          <w:tcPr>
            <w:tcW w:w="562" w:type="dxa"/>
          </w:tcPr>
          <w:p w14:paraId="7269B930" w14:textId="77777777" w:rsidR="00561B22" w:rsidRPr="0040295B" w:rsidRDefault="00561B22" w:rsidP="00F1223B">
            <w:pPr>
              <w:jc w:val="center"/>
              <w:rPr>
                <w:rFonts w:ascii="Arial" w:hAnsi="Arial" w:cs="Arial"/>
                <w:b/>
                <w:sz w:val="22"/>
                <w:szCs w:val="22"/>
                <w:lang w:val="es-MX"/>
              </w:rPr>
            </w:pPr>
            <w:r w:rsidRPr="0040295B">
              <w:rPr>
                <w:rFonts w:ascii="Arial" w:hAnsi="Arial" w:cs="Arial"/>
                <w:b/>
                <w:sz w:val="22"/>
                <w:szCs w:val="22"/>
                <w:lang w:val="es-MX"/>
              </w:rPr>
              <w:t>2</w:t>
            </w:r>
          </w:p>
        </w:tc>
        <w:tc>
          <w:tcPr>
            <w:tcW w:w="9400" w:type="dxa"/>
          </w:tcPr>
          <w:p w14:paraId="5CF25CE6" w14:textId="77777777" w:rsidR="00561B22" w:rsidRPr="0040295B" w:rsidRDefault="00561B22" w:rsidP="00F1223B">
            <w:pPr>
              <w:jc w:val="both"/>
              <w:rPr>
                <w:rFonts w:ascii="Arial" w:hAnsi="Arial" w:cs="Arial"/>
                <w:b/>
                <w:sz w:val="22"/>
                <w:szCs w:val="22"/>
                <w:lang w:val="es-MX"/>
              </w:rPr>
            </w:pPr>
            <w:r w:rsidRPr="0040295B">
              <w:rPr>
                <w:rFonts w:ascii="Arial" w:eastAsia="Times New Roman" w:hAnsi="Arial" w:cs="Arial"/>
                <w:sz w:val="22"/>
                <w:szCs w:val="22"/>
              </w:rPr>
              <w:t>Además, explorar alternativas para automatizar las conciliaciones entre áreas, reduciendo la dependencia de procesos manuales y mejorando la eficiencia y precisión del control financiero</w:t>
            </w:r>
          </w:p>
        </w:tc>
      </w:tr>
    </w:tbl>
    <w:p w14:paraId="0E8B51BA" w14:textId="77777777" w:rsidR="00561B22" w:rsidRPr="0040295B" w:rsidRDefault="00561B22" w:rsidP="00561B22">
      <w:pPr>
        <w:pStyle w:val="Textoindependiente"/>
        <w:ind w:right="-50"/>
        <w:jc w:val="both"/>
        <w:rPr>
          <w:rFonts w:ascii="Arial" w:hAnsi="Arial" w:cs="Arial"/>
          <w:b/>
          <w:bCs/>
        </w:rPr>
      </w:pPr>
    </w:p>
    <w:p w14:paraId="11CB0C56" w14:textId="77777777" w:rsidR="00561B22" w:rsidRPr="0040295B" w:rsidRDefault="00561B22" w:rsidP="00561B22">
      <w:pPr>
        <w:jc w:val="both"/>
        <w:rPr>
          <w:rFonts w:ascii="Arial" w:hAnsi="Arial" w:cs="Arial"/>
          <w:b/>
          <w:bCs/>
          <w:sz w:val="24"/>
          <w:szCs w:val="24"/>
          <w:lang w:val="es-CO"/>
        </w:rPr>
      </w:pPr>
      <w:r w:rsidRPr="0040295B">
        <w:rPr>
          <w:rFonts w:ascii="Arial" w:hAnsi="Arial" w:cs="Arial"/>
          <w:b/>
          <w:bCs/>
          <w:sz w:val="24"/>
          <w:szCs w:val="24"/>
          <w:lang w:val="es-CO"/>
        </w:rPr>
        <w:t xml:space="preserve">NOTA: LA ENTIDAD ENVIA LA MATRIZ DE AUTOEVALUACIÓN DEL SISTEMA DE CONTROL INTERNO CONTABLE CON </w:t>
      </w:r>
      <w:r w:rsidRPr="0040295B">
        <w:rPr>
          <w:rFonts w:ascii="Arial" w:hAnsi="Arial" w:cs="Arial"/>
          <w:b/>
          <w:bCs/>
          <w:sz w:val="24"/>
          <w:szCs w:val="24"/>
          <w:u w:val="single"/>
          <w:lang w:val="es-CO"/>
        </w:rPr>
        <w:t>ACTIVIDADES DE CONTROL REALIZADAS EN FORMA PARCIAL</w:t>
      </w:r>
      <w:r w:rsidRPr="0040295B">
        <w:rPr>
          <w:rFonts w:ascii="Arial" w:hAnsi="Arial" w:cs="Arial"/>
          <w:b/>
          <w:bCs/>
          <w:sz w:val="24"/>
          <w:szCs w:val="24"/>
          <w:lang w:val="es-CO"/>
        </w:rPr>
        <w:t>.</w:t>
      </w:r>
    </w:p>
    <w:p w14:paraId="35A508D3" w14:textId="77777777" w:rsidR="00561B22" w:rsidRPr="0040295B" w:rsidRDefault="00561B22" w:rsidP="00561B22">
      <w:pPr>
        <w:pStyle w:val="Textoindependiente"/>
        <w:ind w:right="-50"/>
        <w:jc w:val="both"/>
        <w:rPr>
          <w:rFonts w:ascii="Arial" w:hAnsi="Arial" w:cs="Arial"/>
          <w:b/>
          <w:bCs/>
          <w:sz w:val="28"/>
          <w:szCs w:val="28"/>
        </w:rPr>
      </w:pPr>
    </w:p>
    <w:p w14:paraId="1750485E" w14:textId="77777777" w:rsidR="00561B22" w:rsidRPr="00E11001" w:rsidRDefault="00561B22" w:rsidP="00561B22">
      <w:pPr>
        <w:jc w:val="both"/>
        <w:rPr>
          <w:rFonts w:ascii="Arial" w:hAnsi="Arial" w:cs="Arial"/>
          <w:b/>
          <w:sz w:val="28"/>
          <w:szCs w:val="28"/>
          <w:lang w:val="es-MX"/>
        </w:rPr>
      </w:pPr>
      <w:r w:rsidRPr="00E11001">
        <w:rPr>
          <w:rFonts w:ascii="Arial" w:hAnsi="Arial" w:cs="Arial"/>
          <w:b/>
          <w:sz w:val="28"/>
          <w:szCs w:val="28"/>
          <w:lang w:val="es-MX"/>
        </w:rPr>
        <w:t xml:space="preserve">185.- </w:t>
      </w:r>
      <w:r w:rsidRPr="00E11001">
        <w:rPr>
          <w:rFonts w:ascii="Arial" w:hAnsi="Arial" w:cs="Arial"/>
          <w:b/>
          <w:sz w:val="28"/>
          <w:szCs w:val="28"/>
        </w:rPr>
        <w:t>UNIVERSIDAD NACIONAL ABIERTA Y A DISTANCIA – UNAD.</w:t>
      </w:r>
    </w:p>
    <w:p w14:paraId="7DF4FD16" w14:textId="77777777" w:rsidR="00561B22" w:rsidRPr="00E11001" w:rsidRDefault="00561B22" w:rsidP="00561B22">
      <w:pPr>
        <w:jc w:val="both"/>
        <w:rPr>
          <w:rFonts w:ascii="Arial" w:hAnsi="Arial" w:cs="Arial"/>
          <w:b/>
          <w:bCs/>
        </w:rPr>
      </w:pPr>
    </w:p>
    <w:p w14:paraId="3A9E2503" w14:textId="77777777" w:rsidR="00561B22" w:rsidRPr="00E11001" w:rsidRDefault="00561B22" w:rsidP="00561B22">
      <w:pPr>
        <w:pStyle w:val="Textoindependiente"/>
        <w:ind w:right="-50"/>
        <w:jc w:val="center"/>
        <w:rPr>
          <w:rFonts w:ascii="Arial" w:hAnsi="Arial" w:cs="Arial"/>
          <w:b/>
          <w:bCs/>
        </w:rPr>
      </w:pPr>
      <w:r w:rsidRPr="00E11001">
        <w:rPr>
          <w:rFonts w:ascii="Arial" w:hAnsi="Arial" w:cs="Arial"/>
          <w:b/>
          <w:bCs/>
        </w:rPr>
        <w:t>INFORME DE LA AUTOCALIFICACIÓN DEL SISTEMA DE CONTROL INTERNO CONTABLE:</w:t>
      </w:r>
    </w:p>
    <w:p w14:paraId="5FFEACD8" w14:textId="77777777" w:rsidR="00561B22" w:rsidRPr="00E1100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11001" w14:paraId="7DBB7304" w14:textId="77777777" w:rsidTr="00F1223B">
        <w:tc>
          <w:tcPr>
            <w:tcW w:w="4981" w:type="dxa"/>
          </w:tcPr>
          <w:p w14:paraId="4839C29E"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AUTOCALIFICACIÓN</w:t>
            </w:r>
          </w:p>
        </w:tc>
        <w:tc>
          <w:tcPr>
            <w:tcW w:w="4981" w:type="dxa"/>
          </w:tcPr>
          <w:p w14:paraId="6AEC13AB" w14:textId="77777777" w:rsidR="00561B22" w:rsidRPr="00E11001" w:rsidRDefault="00561B22" w:rsidP="00F1223B">
            <w:pPr>
              <w:jc w:val="center"/>
              <w:rPr>
                <w:rFonts w:ascii="Arial" w:hAnsi="Arial" w:cs="Arial"/>
                <w:b/>
                <w:sz w:val="22"/>
                <w:szCs w:val="22"/>
                <w:u w:val="single"/>
                <w:lang w:val="es-MX"/>
              </w:rPr>
            </w:pPr>
            <w:r w:rsidRPr="00E11001">
              <w:rPr>
                <w:rFonts w:ascii="Arial" w:hAnsi="Arial" w:cs="Arial"/>
                <w:b/>
                <w:sz w:val="22"/>
                <w:szCs w:val="22"/>
                <w:u w:val="single"/>
                <w:lang w:val="es-MX"/>
              </w:rPr>
              <w:t>4.83</w:t>
            </w:r>
          </w:p>
        </w:tc>
      </w:tr>
    </w:tbl>
    <w:p w14:paraId="1B384FE0" w14:textId="77777777" w:rsidR="00561B22" w:rsidRPr="00E11001" w:rsidRDefault="00561B22" w:rsidP="00561B22">
      <w:pPr>
        <w:pStyle w:val="Textoindependiente"/>
        <w:ind w:right="-50"/>
        <w:jc w:val="both"/>
        <w:rPr>
          <w:rFonts w:ascii="Arial" w:hAnsi="Arial" w:cs="Arial"/>
          <w:b/>
          <w:bCs/>
        </w:rPr>
      </w:pPr>
    </w:p>
    <w:p w14:paraId="5A5CFBBF" w14:textId="77777777" w:rsidR="00561B22" w:rsidRPr="00E11001" w:rsidRDefault="00561B22" w:rsidP="00561B22">
      <w:pPr>
        <w:pStyle w:val="Textoindependiente"/>
        <w:ind w:right="-50"/>
        <w:jc w:val="both"/>
        <w:rPr>
          <w:rFonts w:ascii="Arial" w:hAnsi="Arial" w:cs="Arial"/>
          <w:b/>
          <w:bCs/>
        </w:rPr>
      </w:pPr>
      <w:r w:rsidRPr="00E11001">
        <w:rPr>
          <w:rFonts w:ascii="Arial" w:hAnsi="Arial" w:cs="Arial"/>
          <w:b/>
          <w:bCs/>
        </w:rPr>
        <w:t>Del informe enviado retomamos lo siguiente:</w:t>
      </w:r>
    </w:p>
    <w:p w14:paraId="3C32B125" w14:textId="77777777" w:rsidR="00561B22" w:rsidRPr="00E1100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11001" w14:paraId="506318F6" w14:textId="77777777" w:rsidTr="00F1223B">
        <w:tc>
          <w:tcPr>
            <w:tcW w:w="562" w:type="dxa"/>
          </w:tcPr>
          <w:p w14:paraId="7FC29B59" w14:textId="77777777" w:rsidR="00561B22" w:rsidRPr="00E11001" w:rsidRDefault="00561B22" w:rsidP="00F1223B">
            <w:pPr>
              <w:ind w:right="-109"/>
              <w:jc w:val="center"/>
              <w:rPr>
                <w:rFonts w:ascii="Arial" w:hAnsi="Arial" w:cs="Arial"/>
                <w:b/>
                <w:sz w:val="22"/>
                <w:szCs w:val="22"/>
                <w:lang w:val="es-MX"/>
              </w:rPr>
            </w:pPr>
            <w:r w:rsidRPr="00E11001">
              <w:rPr>
                <w:rFonts w:ascii="Arial" w:hAnsi="Arial" w:cs="Arial"/>
                <w:b/>
                <w:sz w:val="22"/>
                <w:szCs w:val="22"/>
                <w:lang w:val="es-MX"/>
              </w:rPr>
              <w:t>N°</w:t>
            </w:r>
          </w:p>
        </w:tc>
        <w:tc>
          <w:tcPr>
            <w:tcW w:w="9400" w:type="dxa"/>
          </w:tcPr>
          <w:p w14:paraId="67CEAD66"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DEBILIDADES</w:t>
            </w:r>
          </w:p>
          <w:p w14:paraId="7EDF1CDC" w14:textId="77777777" w:rsidR="00561B22" w:rsidRPr="00E11001" w:rsidRDefault="00561B22" w:rsidP="00F1223B">
            <w:pPr>
              <w:jc w:val="center"/>
              <w:rPr>
                <w:rFonts w:ascii="Arial" w:hAnsi="Arial" w:cs="Arial"/>
                <w:b/>
                <w:sz w:val="22"/>
                <w:szCs w:val="22"/>
                <w:lang w:val="es-MX"/>
              </w:rPr>
            </w:pPr>
          </w:p>
        </w:tc>
      </w:tr>
      <w:tr w:rsidR="00561B22" w:rsidRPr="00E11001" w14:paraId="13D815CC" w14:textId="77777777" w:rsidTr="00F1223B">
        <w:tc>
          <w:tcPr>
            <w:tcW w:w="562" w:type="dxa"/>
          </w:tcPr>
          <w:p w14:paraId="04C164B8"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1</w:t>
            </w:r>
          </w:p>
        </w:tc>
        <w:tc>
          <w:tcPr>
            <w:tcW w:w="9400" w:type="dxa"/>
          </w:tcPr>
          <w:p w14:paraId="0A41A809" w14:textId="77777777" w:rsidR="00561B22" w:rsidRPr="00E11001" w:rsidRDefault="00561B22" w:rsidP="00F1223B">
            <w:pPr>
              <w:jc w:val="both"/>
              <w:rPr>
                <w:rFonts w:ascii="Arial" w:hAnsi="Arial" w:cs="Arial"/>
                <w:b/>
                <w:sz w:val="22"/>
                <w:szCs w:val="22"/>
                <w:lang w:val="es-MX"/>
              </w:rPr>
            </w:pPr>
            <w:r w:rsidRPr="00E11001">
              <w:rPr>
                <w:rFonts w:ascii="Arial" w:hAnsi="Arial" w:cs="Arial"/>
                <w:sz w:val="22"/>
                <w:szCs w:val="22"/>
              </w:rPr>
              <w:t xml:space="preserve">La información financiera a veces es de difícil comprensión por todos los usuarios. </w:t>
            </w:r>
          </w:p>
        </w:tc>
      </w:tr>
      <w:tr w:rsidR="00561B22" w:rsidRPr="00E11001" w14:paraId="45343E2B" w14:textId="77777777" w:rsidTr="00F1223B">
        <w:tc>
          <w:tcPr>
            <w:tcW w:w="562" w:type="dxa"/>
          </w:tcPr>
          <w:p w14:paraId="63C8F33F"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lastRenderedPageBreak/>
              <w:t>2</w:t>
            </w:r>
          </w:p>
        </w:tc>
        <w:tc>
          <w:tcPr>
            <w:tcW w:w="9400" w:type="dxa"/>
          </w:tcPr>
          <w:p w14:paraId="2F28A44F" w14:textId="77777777" w:rsidR="00561B22" w:rsidRPr="00E11001" w:rsidRDefault="00561B22" w:rsidP="00F1223B">
            <w:pPr>
              <w:jc w:val="both"/>
              <w:rPr>
                <w:rFonts w:ascii="Arial" w:hAnsi="Arial" w:cs="Arial"/>
                <w:b/>
                <w:sz w:val="22"/>
                <w:szCs w:val="22"/>
                <w:lang w:val="es-MX"/>
              </w:rPr>
            </w:pPr>
            <w:r w:rsidRPr="00E11001">
              <w:rPr>
                <w:rFonts w:ascii="Arial" w:hAnsi="Arial" w:cs="Arial"/>
                <w:sz w:val="22"/>
                <w:szCs w:val="22"/>
              </w:rPr>
              <w:t>Es necesario la implementación de un sistema contable que se ajuste a las necesidades de la universidad.</w:t>
            </w:r>
          </w:p>
        </w:tc>
      </w:tr>
    </w:tbl>
    <w:p w14:paraId="0041DECD" w14:textId="77777777" w:rsidR="00561B22" w:rsidRPr="00E11001" w:rsidRDefault="00561B22" w:rsidP="00561B22">
      <w:pPr>
        <w:pStyle w:val="Textoindependiente"/>
        <w:ind w:right="-50"/>
        <w:jc w:val="both"/>
        <w:rPr>
          <w:rFonts w:ascii="Arial" w:hAnsi="Arial" w:cs="Arial"/>
          <w:b/>
          <w:bCs/>
        </w:rPr>
      </w:pPr>
    </w:p>
    <w:p w14:paraId="7A0D1684" w14:textId="77777777" w:rsidR="00561B22" w:rsidRPr="00E11001" w:rsidRDefault="00561B22" w:rsidP="00561B22">
      <w:pPr>
        <w:jc w:val="both"/>
        <w:rPr>
          <w:rFonts w:ascii="Arial" w:hAnsi="Arial" w:cs="Arial"/>
          <w:b/>
          <w:lang w:val="es-MX"/>
        </w:rPr>
      </w:pPr>
      <w:r w:rsidRPr="00E11001">
        <w:rPr>
          <w:rFonts w:ascii="Arial" w:hAnsi="Arial" w:cs="Arial"/>
          <w:b/>
          <w:lang w:val="es-MX"/>
        </w:rPr>
        <w:t>Del citado informe retomamos las siguientes recomendaciones:</w:t>
      </w:r>
    </w:p>
    <w:p w14:paraId="6325C10F" w14:textId="77777777" w:rsidR="00561B22" w:rsidRPr="00E1100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11001" w14:paraId="17B46F66" w14:textId="77777777" w:rsidTr="00F1223B">
        <w:tc>
          <w:tcPr>
            <w:tcW w:w="562" w:type="dxa"/>
          </w:tcPr>
          <w:p w14:paraId="3A6C5576" w14:textId="77777777" w:rsidR="00561B22" w:rsidRPr="00E11001" w:rsidRDefault="00561B22" w:rsidP="00F1223B">
            <w:pPr>
              <w:ind w:right="-109"/>
              <w:jc w:val="center"/>
              <w:rPr>
                <w:rFonts w:ascii="Arial" w:hAnsi="Arial" w:cs="Arial"/>
                <w:b/>
                <w:sz w:val="22"/>
                <w:szCs w:val="22"/>
                <w:lang w:val="es-MX"/>
              </w:rPr>
            </w:pPr>
            <w:r w:rsidRPr="00E11001">
              <w:rPr>
                <w:rFonts w:ascii="Arial" w:hAnsi="Arial" w:cs="Arial"/>
                <w:b/>
                <w:sz w:val="22"/>
                <w:szCs w:val="22"/>
                <w:lang w:val="es-MX"/>
              </w:rPr>
              <w:t>N°</w:t>
            </w:r>
          </w:p>
        </w:tc>
        <w:tc>
          <w:tcPr>
            <w:tcW w:w="9400" w:type="dxa"/>
          </w:tcPr>
          <w:p w14:paraId="691750C1"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RECOMENDACIONES</w:t>
            </w:r>
          </w:p>
          <w:p w14:paraId="3E81E17E" w14:textId="77777777" w:rsidR="00561B22" w:rsidRPr="00E11001" w:rsidRDefault="00561B22" w:rsidP="00F1223B">
            <w:pPr>
              <w:jc w:val="center"/>
              <w:rPr>
                <w:rFonts w:ascii="Arial" w:hAnsi="Arial" w:cs="Arial"/>
                <w:b/>
                <w:sz w:val="22"/>
                <w:szCs w:val="22"/>
                <w:lang w:val="es-MX"/>
              </w:rPr>
            </w:pPr>
          </w:p>
        </w:tc>
      </w:tr>
      <w:tr w:rsidR="00561B22" w:rsidRPr="00E11001" w14:paraId="7AAAB5B9" w14:textId="77777777" w:rsidTr="00F1223B">
        <w:tc>
          <w:tcPr>
            <w:tcW w:w="562" w:type="dxa"/>
          </w:tcPr>
          <w:p w14:paraId="0022609E"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1</w:t>
            </w:r>
          </w:p>
        </w:tc>
        <w:tc>
          <w:tcPr>
            <w:tcW w:w="9400" w:type="dxa"/>
          </w:tcPr>
          <w:p w14:paraId="41E14898" w14:textId="77777777" w:rsidR="00561B22" w:rsidRPr="00E11001" w:rsidRDefault="00561B22" w:rsidP="00F1223B">
            <w:pPr>
              <w:jc w:val="both"/>
              <w:rPr>
                <w:rFonts w:ascii="Arial" w:hAnsi="Arial" w:cs="Arial"/>
                <w:b/>
                <w:sz w:val="22"/>
                <w:szCs w:val="22"/>
                <w:lang w:val="es-MX"/>
              </w:rPr>
            </w:pPr>
            <w:r w:rsidRPr="00E11001">
              <w:rPr>
                <w:rFonts w:ascii="Arial" w:hAnsi="Arial" w:cs="Arial"/>
                <w:sz w:val="22"/>
                <w:szCs w:val="22"/>
              </w:rPr>
              <w:t xml:space="preserve">Es necesario amenizar esfuerzos para que la información sea </w:t>
            </w:r>
            <w:r w:rsidRPr="00E11001">
              <w:rPr>
                <w:rFonts w:ascii="Arial" w:hAnsi="Arial" w:cs="Arial"/>
                <w:sz w:val="22"/>
                <w:szCs w:val="22"/>
                <w:lang w:val="es-CO"/>
              </w:rPr>
              <w:t>fácilmente</w:t>
            </w:r>
            <w:r w:rsidRPr="00E11001">
              <w:rPr>
                <w:rFonts w:ascii="Arial" w:hAnsi="Arial" w:cs="Arial"/>
                <w:sz w:val="22"/>
                <w:szCs w:val="22"/>
              </w:rPr>
              <w:t xml:space="preserve"> comprensible por parte de todos los usuarios.</w:t>
            </w:r>
          </w:p>
        </w:tc>
      </w:tr>
      <w:tr w:rsidR="00561B22" w:rsidRPr="00E11001" w14:paraId="75DA7796" w14:textId="77777777" w:rsidTr="00F1223B">
        <w:tc>
          <w:tcPr>
            <w:tcW w:w="562" w:type="dxa"/>
          </w:tcPr>
          <w:p w14:paraId="020A85E1"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2</w:t>
            </w:r>
          </w:p>
        </w:tc>
        <w:tc>
          <w:tcPr>
            <w:tcW w:w="9400" w:type="dxa"/>
          </w:tcPr>
          <w:p w14:paraId="68BEAC07" w14:textId="77777777" w:rsidR="00561B22" w:rsidRPr="00E11001" w:rsidRDefault="00561B22" w:rsidP="00F1223B">
            <w:pPr>
              <w:jc w:val="both"/>
              <w:rPr>
                <w:rFonts w:ascii="Arial" w:hAnsi="Arial" w:cs="Arial"/>
                <w:b/>
                <w:sz w:val="22"/>
                <w:szCs w:val="22"/>
                <w:lang w:val="es-MX"/>
              </w:rPr>
            </w:pPr>
            <w:r w:rsidRPr="00E11001">
              <w:rPr>
                <w:rFonts w:ascii="Arial" w:hAnsi="Arial" w:cs="Arial"/>
                <w:sz w:val="22"/>
                <w:szCs w:val="22"/>
                <w:lang w:val="es-MX"/>
              </w:rPr>
              <w:t>A</w:t>
            </w:r>
            <w:r w:rsidRPr="00E11001">
              <w:rPr>
                <w:rFonts w:ascii="Arial" w:hAnsi="Arial" w:cs="Arial"/>
                <w:sz w:val="22"/>
                <w:szCs w:val="22"/>
              </w:rPr>
              <w:t xml:space="preserve">sí mismo es menester recalcar que la UNAD se encuentra en un proceso de implementación de un sistema financiero acorde a las necesidades internas. </w:t>
            </w:r>
          </w:p>
        </w:tc>
      </w:tr>
      <w:tr w:rsidR="00561B22" w:rsidRPr="00E11001" w14:paraId="52E15D54" w14:textId="77777777" w:rsidTr="00F1223B">
        <w:tc>
          <w:tcPr>
            <w:tcW w:w="562" w:type="dxa"/>
          </w:tcPr>
          <w:p w14:paraId="592AADAD" w14:textId="77777777" w:rsidR="00561B22" w:rsidRPr="00E11001" w:rsidRDefault="00561B22" w:rsidP="00F1223B">
            <w:pPr>
              <w:jc w:val="center"/>
              <w:rPr>
                <w:rFonts w:ascii="Arial" w:hAnsi="Arial" w:cs="Arial"/>
                <w:b/>
                <w:sz w:val="22"/>
                <w:szCs w:val="22"/>
                <w:lang w:val="es-MX"/>
              </w:rPr>
            </w:pPr>
            <w:r w:rsidRPr="00E11001">
              <w:rPr>
                <w:rFonts w:ascii="Arial" w:hAnsi="Arial" w:cs="Arial"/>
                <w:b/>
                <w:sz w:val="22"/>
                <w:szCs w:val="22"/>
                <w:lang w:val="es-MX"/>
              </w:rPr>
              <w:t>3</w:t>
            </w:r>
          </w:p>
        </w:tc>
        <w:tc>
          <w:tcPr>
            <w:tcW w:w="9400" w:type="dxa"/>
          </w:tcPr>
          <w:p w14:paraId="5555AD2C" w14:textId="77777777" w:rsidR="00561B22" w:rsidRPr="00E11001" w:rsidRDefault="00561B22" w:rsidP="00F1223B">
            <w:pPr>
              <w:jc w:val="both"/>
              <w:rPr>
                <w:rFonts w:ascii="Arial" w:hAnsi="Arial" w:cs="Arial"/>
                <w:b/>
                <w:sz w:val="22"/>
                <w:szCs w:val="22"/>
                <w:lang w:val="es-MX"/>
              </w:rPr>
            </w:pPr>
            <w:r w:rsidRPr="00E11001">
              <w:rPr>
                <w:rFonts w:ascii="Arial" w:hAnsi="Arial" w:cs="Arial"/>
                <w:sz w:val="22"/>
                <w:szCs w:val="22"/>
              </w:rPr>
              <w:t xml:space="preserve">En la UNAD, en el periodo enero-diciembre de 2024, el </w:t>
            </w:r>
            <w:r w:rsidRPr="00E11001">
              <w:rPr>
                <w:rFonts w:ascii="Arial" w:hAnsi="Arial" w:cs="Arial"/>
                <w:sz w:val="22"/>
                <w:szCs w:val="22"/>
                <w:lang w:val="es-CO"/>
              </w:rPr>
              <w:t>á</w:t>
            </w:r>
            <w:r w:rsidRPr="00E11001">
              <w:rPr>
                <w:rFonts w:ascii="Arial" w:hAnsi="Arial" w:cs="Arial"/>
                <w:sz w:val="22"/>
                <w:szCs w:val="22"/>
              </w:rPr>
              <w:t xml:space="preserve">rea de contabilidad continua con la </w:t>
            </w:r>
            <w:r w:rsidRPr="00E11001">
              <w:rPr>
                <w:rFonts w:ascii="Arial" w:hAnsi="Arial" w:cs="Arial"/>
                <w:sz w:val="22"/>
                <w:szCs w:val="22"/>
                <w:lang w:val="es-CO"/>
              </w:rPr>
              <w:t>aplicación</w:t>
            </w:r>
            <w:r w:rsidRPr="00E11001">
              <w:rPr>
                <w:rFonts w:ascii="Arial" w:hAnsi="Arial" w:cs="Arial"/>
                <w:sz w:val="22"/>
                <w:szCs w:val="22"/>
              </w:rPr>
              <w:t xml:space="preserve"> de las </w:t>
            </w:r>
            <w:r w:rsidRPr="00E11001">
              <w:rPr>
                <w:rFonts w:ascii="Arial" w:hAnsi="Arial" w:cs="Arial"/>
                <w:sz w:val="22"/>
                <w:szCs w:val="22"/>
                <w:lang w:val="es-CO"/>
              </w:rPr>
              <w:t>políticas</w:t>
            </w:r>
            <w:r w:rsidRPr="00E11001">
              <w:rPr>
                <w:rFonts w:ascii="Arial" w:hAnsi="Arial" w:cs="Arial"/>
                <w:sz w:val="22"/>
                <w:szCs w:val="22"/>
              </w:rPr>
              <w:t xml:space="preserve"> contables, contribuyendo al mejoramiento de la gestión y los mecanismos de control respectivos; generando información </w:t>
            </w:r>
            <w:r w:rsidRPr="00E11001">
              <w:rPr>
                <w:rFonts w:ascii="Arial" w:hAnsi="Arial" w:cs="Arial"/>
                <w:sz w:val="22"/>
                <w:szCs w:val="22"/>
                <w:lang w:val="es-CO"/>
              </w:rPr>
              <w:t>verás</w:t>
            </w:r>
            <w:r w:rsidRPr="00E11001">
              <w:rPr>
                <w:rFonts w:ascii="Arial" w:hAnsi="Arial" w:cs="Arial"/>
                <w:sz w:val="22"/>
                <w:szCs w:val="22"/>
              </w:rPr>
              <w:t xml:space="preserve"> y oportuna que contribuye a una buena toma de decisiones.</w:t>
            </w:r>
          </w:p>
        </w:tc>
      </w:tr>
    </w:tbl>
    <w:p w14:paraId="2AC65262" w14:textId="77777777" w:rsidR="00561B22" w:rsidRPr="00E11001" w:rsidRDefault="00561B22" w:rsidP="00561B22">
      <w:pPr>
        <w:pStyle w:val="Textoindependiente"/>
        <w:ind w:right="-50"/>
        <w:jc w:val="both"/>
        <w:rPr>
          <w:rFonts w:ascii="Arial" w:hAnsi="Arial" w:cs="Arial"/>
          <w:b/>
          <w:bCs/>
        </w:rPr>
      </w:pPr>
    </w:p>
    <w:p w14:paraId="15533E8A" w14:textId="77777777" w:rsidR="00561B22" w:rsidRPr="00E11001" w:rsidRDefault="00561B22" w:rsidP="00561B22">
      <w:pPr>
        <w:jc w:val="both"/>
        <w:rPr>
          <w:rFonts w:ascii="Arial" w:hAnsi="Arial" w:cs="Arial"/>
          <w:b/>
          <w:bCs/>
          <w:sz w:val="24"/>
          <w:szCs w:val="24"/>
          <w:lang w:val="es-CO"/>
        </w:rPr>
      </w:pPr>
      <w:r w:rsidRPr="00E11001">
        <w:rPr>
          <w:rFonts w:ascii="Arial" w:hAnsi="Arial" w:cs="Arial"/>
          <w:b/>
          <w:bCs/>
          <w:sz w:val="24"/>
          <w:szCs w:val="24"/>
          <w:lang w:val="es-CO"/>
        </w:rPr>
        <w:t xml:space="preserve">NOTA: LA ENTIDAD ENVIA LA MATRIZ DE AUTOEVALUACIÓN DEL SISTEMA DE CONTROL INTERNO CONTABLE CON </w:t>
      </w:r>
      <w:r w:rsidRPr="00E11001">
        <w:rPr>
          <w:rFonts w:ascii="Arial" w:hAnsi="Arial" w:cs="Arial"/>
          <w:b/>
          <w:bCs/>
          <w:sz w:val="24"/>
          <w:szCs w:val="24"/>
          <w:u w:val="single"/>
          <w:lang w:val="es-CO"/>
        </w:rPr>
        <w:t>ACTIVIDADES DE CONTROL REALIZADAS EN FORMA PARCIAL</w:t>
      </w:r>
      <w:r w:rsidRPr="00E11001">
        <w:rPr>
          <w:rFonts w:ascii="Arial" w:hAnsi="Arial" w:cs="Arial"/>
          <w:b/>
          <w:bCs/>
          <w:sz w:val="24"/>
          <w:szCs w:val="24"/>
          <w:lang w:val="es-CO"/>
        </w:rPr>
        <w:t>.</w:t>
      </w:r>
    </w:p>
    <w:p w14:paraId="3592EBCE" w14:textId="77777777" w:rsidR="00561B22" w:rsidRDefault="00561B22" w:rsidP="00561B22">
      <w:pPr>
        <w:pStyle w:val="Textoindependiente"/>
        <w:ind w:right="-50"/>
        <w:jc w:val="both"/>
        <w:rPr>
          <w:rFonts w:ascii="Arial" w:hAnsi="Arial" w:cs="Arial"/>
          <w:b/>
          <w:bCs/>
          <w:sz w:val="28"/>
          <w:szCs w:val="28"/>
        </w:rPr>
      </w:pPr>
    </w:p>
    <w:p w14:paraId="606D161A" w14:textId="77777777" w:rsidR="00561B22" w:rsidRDefault="00561B22" w:rsidP="00561B22">
      <w:pPr>
        <w:ind w:right="49"/>
        <w:jc w:val="both"/>
        <w:rPr>
          <w:rFonts w:ascii="Arial" w:hAnsi="Arial" w:cs="Arial"/>
          <w:b/>
          <w:sz w:val="28"/>
          <w:szCs w:val="28"/>
          <w:lang w:val="es-MX"/>
        </w:rPr>
      </w:pPr>
      <w:r w:rsidRPr="00C03D9B">
        <w:rPr>
          <w:rFonts w:ascii="Arial" w:hAnsi="Arial" w:cs="Arial"/>
          <w:b/>
          <w:sz w:val="28"/>
          <w:szCs w:val="28"/>
        </w:rPr>
        <w:t>186.- CORPORACIÓN AUTÓNOMA REGIONAL DE LAS CUENCAS DE LOS RIOS NEGRO Y NARE - CORNARE</w:t>
      </w:r>
      <w:r w:rsidRPr="00C03D9B">
        <w:rPr>
          <w:rFonts w:ascii="Arial" w:hAnsi="Arial" w:cs="Arial"/>
          <w:b/>
          <w:sz w:val="28"/>
          <w:szCs w:val="28"/>
          <w:lang w:val="es-MX"/>
        </w:rPr>
        <w:t>.</w:t>
      </w:r>
    </w:p>
    <w:p w14:paraId="53F5BC3C" w14:textId="77777777" w:rsidR="00561B22" w:rsidRDefault="00561B22" w:rsidP="00561B22">
      <w:pPr>
        <w:ind w:right="49"/>
        <w:jc w:val="both"/>
        <w:rPr>
          <w:rFonts w:ascii="Arial" w:hAnsi="Arial" w:cs="Arial"/>
          <w:b/>
          <w:sz w:val="28"/>
          <w:szCs w:val="28"/>
          <w:lang w:val="es-MX"/>
        </w:rPr>
      </w:pPr>
    </w:p>
    <w:p w14:paraId="15432D01" w14:textId="77777777" w:rsidR="00561B22" w:rsidRPr="00525A04" w:rsidRDefault="00561B22" w:rsidP="00561B22">
      <w:pPr>
        <w:pStyle w:val="Textoindependiente"/>
        <w:ind w:right="-50"/>
        <w:jc w:val="center"/>
        <w:rPr>
          <w:rFonts w:ascii="Arial" w:hAnsi="Arial" w:cs="Arial"/>
          <w:b/>
          <w:bCs/>
        </w:rPr>
      </w:pPr>
      <w:r w:rsidRPr="00525A04">
        <w:rPr>
          <w:rFonts w:ascii="Arial" w:hAnsi="Arial" w:cs="Arial"/>
          <w:b/>
          <w:bCs/>
        </w:rPr>
        <w:t>INFORME DE LA AUTOCALIFICACIÓN DEL SISTEMA DE CONTROL INTERNO CONTABLE:</w:t>
      </w:r>
    </w:p>
    <w:p w14:paraId="4D2245B8" w14:textId="77777777" w:rsidR="00561B22" w:rsidRPr="00525A0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25A04" w14:paraId="49E424E5" w14:textId="77777777" w:rsidTr="00F1223B">
        <w:tc>
          <w:tcPr>
            <w:tcW w:w="4981" w:type="dxa"/>
          </w:tcPr>
          <w:p w14:paraId="36D99330"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AUTOCALIFICACIÓN</w:t>
            </w:r>
          </w:p>
        </w:tc>
        <w:tc>
          <w:tcPr>
            <w:tcW w:w="4981" w:type="dxa"/>
          </w:tcPr>
          <w:p w14:paraId="53F06F21" w14:textId="77777777" w:rsidR="00561B22" w:rsidRPr="00525A04" w:rsidRDefault="00561B22" w:rsidP="00F1223B">
            <w:pPr>
              <w:jc w:val="center"/>
              <w:rPr>
                <w:rFonts w:ascii="Arial" w:hAnsi="Arial" w:cs="Arial"/>
                <w:b/>
                <w:sz w:val="22"/>
                <w:szCs w:val="22"/>
                <w:u w:val="single"/>
                <w:lang w:val="es-CO"/>
              </w:rPr>
            </w:pPr>
            <w:r w:rsidRPr="00525A04">
              <w:rPr>
                <w:rFonts w:ascii="Arial" w:hAnsi="Arial" w:cs="Arial"/>
                <w:b/>
                <w:sz w:val="22"/>
                <w:szCs w:val="22"/>
                <w:u w:val="single"/>
                <w:lang w:val="es-MX"/>
              </w:rPr>
              <w:t>4.63</w:t>
            </w:r>
          </w:p>
        </w:tc>
      </w:tr>
    </w:tbl>
    <w:p w14:paraId="50685236" w14:textId="77777777" w:rsidR="00561B22" w:rsidRPr="00525A04" w:rsidRDefault="00561B22" w:rsidP="00561B22">
      <w:pPr>
        <w:pStyle w:val="Textoindependiente"/>
        <w:ind w:right="-50"/>
        <w:jc w:val="both"/>
        <w:rPr>
          <w:rFonts w:ascii="Arial" w:hAnsi="Arial" w:cs="Arial"/>
          <w:b/>
          <w:bCs/>
        </w:rPr>
      </w:pPr>
    </w:p>
    <w:p w14:paraId="4D26C678" w14:textId="77777777" w:rsidR="00561B22" w:rsidRPr="00525A04" w:rsidRDefault="00561B22" w:rsidP="00561B22">
      <w:pPr>
        <w:pStyle w:val="Textoindependiente"/>
        <w:ind w:right="-50"/>
        <w:jc w:val="both"/>
        <w:rPr>
          <w:rFonts w:ascii="Arial" w:hAnsi="Arial" w:cs="Arial"/>
          <w:b/>
          <w:bCs/>
        </w:rPr>
      </w:pPr>
      <w:r w:rsidRPr="00525A04">
        <w:rPr>
          <w:rFonts w:ascii="Arial" w:hAnsi="Arial" w:cs="Arial"/>
          <w:b/>
          <w:bCs/>
        </w:rPr>
        <w:t>Del informe enviado retomamos lo siguiente:</w:t>
      </w:r>
    </w:p>
    <w:p w14:paraId="6398D62A" w14:textId="77777777" w:rsidR="00561B22" w:rsidRPr="00525A0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25A04" w14:paraId="6D22B783" w14:textId="77777777" w:rsidTr="00F1223B">
        <w:tc>
          <w:tcPr>
            <w:tcW w:w="562" w:type="dxa"/>
          </w:tcPr>
          <w:p w14:paraId="795CEAA9" w14:textId="77777777" w:rsidR="00561B22" w:rsidRPr="00525A04" w:rsidRDefault="00561B22" w:rsidP="00F1223B">
            <w:pPr>
              <w:ind w:right="-109"/>
              <w:jc w:val="center"/>
              <w:rPr>
                <w:rFonts w:ascii="Arial" w:hAnsi="Arial" w:cs="Arial"/>
                <w:b/>
                <w:sz w:val="22"/>
                <w:szCs w:val="22"/>
                <w:lang w:val="es-MX"/>
              </w:rPr>
            </w:pPr>
            <w:r w:rsidRPr="00525A04">
              <w:rPr>
                <w:rFonts w:ascii="Arial" w:hAnsi="Arial" w:cs="Arial"/>
                <w:b/>
                <w:sz w:val="22"/>
                <w:szCs w:val="22"/>
                <w:lang w:val="es-MX"/>
              </w:rPr>
              <w:t>N°</w:t>
            </w:r>
          </w:p>
        </w:tc>
        <w:tc>
          <w:tcPr>
            <w:tcW w:w="9400" w:type="dxa"/>
          </w:tcPr>
          <w:p w14:paraId="7CA35AB0"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DEBILIDADES</w:t>
            </w:r>
          </w:p>
          <w:p w14:paraId="21DB1789" w14:textId="77777777" w:rsidR="00561B22" w:rsidRPr="00525A04" w:rsidRDefault="00561B22" w:rsidP="00F1223B">
            <w:pPr>
              <w:jc w:val="center"/>
              <w:rPr>
                <w:rFonts w:ascii="Arial" w:hAnsi="Arial" w:cs="Arial"/>
                <w:b/>
                <w:sz w:val="22"/>
                <w:szCs w:val="22"/>
                <w:lang w:val="es-MX"/>
              </w:rPr>
            </w:pPr>
          </w:p>
        </w:tc>
      </w:tr>
      <w:tr w:rsidR="00561B22" w:rsidRPr="00525A04" w14:paraId="7F893C99" w14:textId="77777777" w:rsidTr="00F1223B">
        <w:tc>
          <w:tcPr>
            <w:tcW w:w="562" w:type="dxa"/>
          </w:tcPr>
          <w:p w14:paraId="67E70723"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1</w:t>
            </w:r>
          </w:p>
        </w:tc>
        <w:tc>
          <w:tcPr>
            <w:tcW w:w="9400" w:type="dxa"/>
          </w:tcPr>
          <w:p w14:paraId="2509AEF2"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La información correspondiente al proceso Gestión Financiera (Procedimiento, flujograma y anexos), dentro del Sistema de Gestión Integral SGI, se encuentra desactualizada. Esto constituyó una No conformidad producto de la Auditoría Interna realizada al Sistema de Gestión en 2023 y presenta en el Plan de Mejoramiento Institucional, con cierre al 31 de diciembre de 2023, como una acción no eficaz por falta de implementación de las acciones correctivas propuestas. La situación es persistente.</w:t>
            </w:r>
          </w:p>
        </w:tc>
      </w:tr>
      <w:tr w:rsidR="00561B22" w:rsidRPr="00525A04" w14:paraId="3643B796" w14:textId="77777777" w:rsidTr="00F1223B">
        <w:tc>
          <w:tcPr>
            <w:tcW w:w="562" w:type="dxa"/>
          </w:tcPr>
          <w:p w14:paraId="4EE6ACBF"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2</w:t>
            </w:r>
          </w:p>
        </w:tc>
        <w:tc>
          <w:tcPr>
            <w:tcW w:w="9400" w:type="dxa"/>
          </w:tcPr>
          <w:p w14:paraId="027DFC46"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Para el proceso Gestión Financiera, se evidencia que no existen riesgos puntuales asociados al procedimiento contable, solo se presentan riesgos muy generales para el proceso de Gestión Financiera.</w:t>
            </w:r>
          </w:p>
        </w:tc>
      </w:tr>
      <w:tr w:rsidR="00561B22" w:rsidRPr="00525A04" w14:paraId="7D956607" w14:textId="77777777" w:rsidTr="00F1223B">
        <w:tc>
          <w:tcPr>
            <w:tcW w:w="562" w:type="dxa"/>
          </w:tcPr>
          <w:p w14:paraId="5EE6CB23"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3</w:t>
            </w:r>
          </w:p>
        </w:tc>
        <w:tc>
          <w:tcPr>
            <w:tcW w:w="9400" w:type="dxa"/>
          </w:tcPr>
          <w:p w14:paraId="570BDFCB"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Se evidencian activos de propiedad, planta y equipo (Bienes muebles), que aún se encuentran en servicio y a diciembre 31 de 2024, registran totalmente depreciados.</w:t>
            </w:r>
          </w:p>
        </w:tc>
      </w:tr>
      <w:tr w:rsidR="00561B22" w:rsidRPr="00525A04" w14:paraId="5698D616" w14:textId="77777777" w:rsidTr="00F1223B">
        <w:tc>
          <w:tcPr>
            <w:tcW w:w="562" w:type="dxa"/>
          </w:tcPr>
          <w:p w14:paraId="67782156"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4</w:t>
            </w:r>
          </w:p>
        </w:tc>
        <w:tc>
          <w:tcPr>
            <w:tcW w:w="9400" w:type="dxa"/>
          </w:tcPr>
          <w:p w14:paraId="06A3D7C2" w14:textId="4747EC3A"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 xml:space="preserve">Se evidencian (En revisión aleatoria), en la etapa de registro y ajuste, órdenes de pago sin la firma de la </w:t>
            </w:r>
            <w:r w:rsidR="0008150C" w:rsidRPr="00525A04">
              <w:rPr>
                <w:rFonts w:ascii="Arial" w:hAnsi="Arial" w:cs="Arial"/>
                <w:bCs/>
                <w:sz w:val="22"/>
                <w:szCs w:val="22"/>
                <w:lang w:val="es-MX"/>
              </w:rPr>
              <w:t>subdirectora</w:t>
            </w:r>
            <w:r w:rsidRPr="00525A04">
              <w:rPr>
                <w:rFonts w:ascii="Arial" w:hAnsi="Arial" w:cs="Arial"/>
                <w:bCs/>
                <w:sz w:val="22"/>
                <w:szCs w:val="22"/>
                <w:lang w:val="es-MX"/>
              </w:rPr>
              <w:t xml:space="preserve"> Administrativa y Financiera y/o del profesional de causación, en los meses de octubre, noviembre y diciembre; a pesar de que en el Plan de Mejoramiento con Contraloría se fijó como acción de mejora que a partir del 01 de octubre todos estarían debidamente firmados. Octubre: CE 3191 OP 3605; Noviembre: ce 3334 OP 3617; Diciembre: CE 4127 OP 4204 y CE 4204 OP 140</w:t>
            </w:r>
          </w:p>
        </w:tc>
      </w:tr>
    </w:tbl>
    <w:p w14:paraId="3AEC2FC3" w14:textId="77777777" w:rsidR="00423C1C" w:rsidRDefault="00423C1C" w:rsidP="00561B22">
      <w:pPr>
        <w:jc w:val="both"/>
        <w:rPr>
          <w:rFonts w:ascii="Arial" w:hAnsi="Arial" w:cs="Arial"/>
          <w:b/>
          <w:lang w:val="es-MX"/>
        </w:rPr>
      </w:pPr>
    </w:p>
    <w:p w14:paraId="4059F511" w14:textId="2C4DACD5" w:rsidR="00561B22" w:rsidRPr="00525A04" w:rsidRDefault="00561B22" w:rsidP="00561B22">
      <w:pPr>
        <w:jc w:val="both"/>
        <w:rPr>
          <w:rFonts w:ascii="Arial" w:hAnsi="Arial" w:cs="Arial"/>
          <w:b/>
          <w:lang w:val="es-MX"/>
        </w:rPr>
      </w:pPr>
      <w:r w:rsidRPr="00525A04">
        <w:rPr>
          <w:rFonts w:ascii="Arial" w:hAnsi="Arial" w:cs="Arial"/>
          <w:b/>
          <w:lang w:val="es-MX"/>
        </w:rPr>
        <w:t>Del citado informe retomamos las siguientes recomendaciones:</w:t>
      </w:r>
    </w:p>
    <w:p w14:paraId="561B564E" w14:textId="77777777" w:rsidR="00561B22" w:rsidRPr="00525A0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25A04" w14:paraId="6F90296B" w14:textId="77777777" w:rsidTr="00F1223B">
        <w:tc>
          <w:tcPr>
            <w:tcW w:w="562" w:type="dxa"/>
          </w:tcPr>
          <w:p w14:paraId="71CAD2F6" w14:textId="77777777" w:rsidR="00561B22" w:rsidRPr="00525A04" w:rsidRDefault="00561B22" w:rsidP="00F1223B">
            <w:pPr>
              <w:ind w:right="-109"/>
              <w:jc w:val="center"/>
              <w:rPr>
                <w:rFonts w:ascii="Arial" w:hAnsi="Arial" w:cs="Arial"/>
                <w:b/>
                <w:sz w:val="22"/>
                <w:szCs w:val="22"/>
                <w:lang w:val="es-MX"/>
              </w:rPr>
            </w:pPr>
            <w:r w:rsidRPr="00525A04">
              <w:rPr>
                <w:rFonts w:ascii="Arial" w:hAnsi="Arial" w:cs="Arial"/>
                <w:b/>
                <w:sz w:val="22"/>
                <w:szCs w:val="22"/>
                <w:lang w:val="es-MX"/>
              </w:rPr>
              <w:lastRenderedPageBreak/>
              <w:t>N°</w:t>
            </w:r>
          </w:p>
        </w:tc>
        <w:tc>
          <w:tcPr>
            <w:tcW w:w="9400" w:type="dxa"/>
          </w:tcPr>
          <w:p w14:paraId="0D0C2566"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RECOMENDACIONES</w:t>
            </w:r>
          </w:p>
          <w:p w14:paraId="2603819D" w14:textId="77777777" w:rsidR="00561B22" w:rsidRPr="00525A04" w:rsidRDefault="00561B22" w:rsidP="00F1223B">
            <w:pPr>
              <w:jc w:val="center"/>
              <w:rPr>
                <w:rFonts w:ascii="Arial" w:hAnsi="Arial" w:cs="Arial"/>
                <w:b/>
                <w:sz w:val="22"/>
                <w:szCs w:val="22"/>
                <w:lang w:val="es-MX"/>
              </w:rPr>
            </w:pPr>
          </w:p>
        </w:tc>
      </w:tr>
      <w:tr w:rsidR="00561B22" w:rsidRPr="00525A04" w14:paraId="2F96C97E" w14:textId="77777777" w:rsidTr="00F1223B">
        <w:tc>
          <w:tcPr>
            <w:tcW w:w="562" w:type="dxa"/>
          </w:tcPr>
          <w:p w14:paraId="0891CF5B"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1</w:t>
            </w:r>
          </w:p>
        </w:tc>
        <w:tc>
          <w:tcPr>
            <w:tcW w:w="9400" w:type="dxa"/>
          </w:tcPr>
          <w:p w14:paraId="5CCC95AC"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Actualizar el proceso de Gestión Financiera dentro del Sistema de Gestión Integral y ponerlo a tono con la realidad que actualmente se maneja, especialmente en sintonía con el software PCT.</w:t>
            </w:r>
          </w:p>
        </w:tc>
      </w:tr>
      <w:tr w:rsidR="00561B22" w:rsidRPr="00525A04" w14:paraId="2E0F0053" w14:textId="77777777" w:rsidTr="00F1223B">
        <w:tc>
          <w:tcPr>
            <w:tcW w:w="562" w:type="dxa"/>
          </w:tcPr>
          <w:p w14:paraId="46BCB0BA"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2</w:t>
            </w:r>
          </w:p>
        </w:tc>
        <w:tc>
          <w:tcPr>
            <w:tcW w:w="9400" w:type="dxa"/>
          </w:tcPr>
          <w:p w14:paraId="4FD4B420"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Definir riesgos puntuales asociados al procedimiento de contabilidad que garantice poderlos abordar a tiempo y evitar que se materialicen.</w:t>
            </w:r>
          </w:p>
        </w:tc>
      </w:tr>
      <w:tr w:rsidR="00561B22" w:rsidRPr="00525A04" w14:paraId="4A942A30" w14:textId="77777777" w:rsidTr="00F1223B">
        <w:tc>
          <w:tcPr>
            <w:tcW w:w="562" w:type="dxa"/>
          </w:tcPr>
          <w:p w14:paraId="108C3BAF"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3</w:t>
            </w:r>
          </w:p>
        </w:tc>
        <w:tc>
          <w:tcPr>
            <w:tcW w:w="9400" w:type="dxa"/>
          </w:tcPr>
          <w:p w14:paraId="6EDA5FA5"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Fortalecer los controles que aseguren la oportunidad de los registros contables e identificación de partidas conciliatorias, con el fin de garantizar los registros dentro del periodo contable correspondiente.</w:t>
            </w:r>
          </w:p>
        </w:tc>
      </w:tr>
      <w:tr w:rsidR="00561B22" w:rsidRPr="00525A04" w14:paraId="5677E5CE" w14:textId="77777777" w:rsidTr="00F1223B">
        <w:tc>
          <w:tcPr>
            <w:tcW w:w="562" w:type="dxa"/>
          </w:tcPr>
          <w:p w14:paraId="312346FC"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4</w:t>
            </w:r>
          </w:p>
        </w:tc>
        <w:tc>
          <w:tcPr>
            <w:tcW w:w="9400" w:type="dxa"/>
          </w:tcPr>
          <w:p w14:paraId="3166F954"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Actualización del procedimiento y flujograma del proceso de gestión financiera y ponerlo a tono con las realidades que se tienen actualmente.</w:t>
            </w:r>
          </w:p>
        </w:tc>
      </w:tr>
      <w:tr w:rsidR="00561B22" w:rsidRPr="00525A04" w14:paraId="137EAF99" w14:textId="77777777" w:rsidTr="00F1223B">
        <w:tc>
          <w:tcPr>
            <w:tcW w:w="562" w:type="dxa"/>
          </w:tcPr>
          <w:p w14:paraId="50B7E4F4"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5</w:t>
            </w:r>
          </w:p>
        </w:tc>
        <w:tc>
          <w:tcPr>
            <w:tcW w:w="9400" w:type="dxa"/>
          </w:tcPr>
          <w:p w14:paraId="39D74BAB"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Definir los riesgos asociados al subproceso de contabilidad que deban valorarse y gestionarse como medida preventiva ante la posibilidad de ocurrencia de hechos que puedan afectar el desempeño del proceso y establecer acciones de control con el objetivo de mitigar o neutralizar los factores de riesgo que puedan llegar a afectar el proceso contable y por consiguiente la calidad de los estados financieros.</w:t>
            </w:r>
          </w:p>
        </w:tc>
      </w:tr>
      <w:tr w:rsidR="00561B22" w:rsidRPr="00525A04" w14:paraId="16A5DF10" w14:textId="77777777" w:rsidTr="00F1223B">
        <w:tc>
          <w:tcPr>
            <w:tcW w:w="562" w:type="dxa"/>
          </w:tcPr>
          <w:p w14:paraId="7E233734" w14:textId="77777777" w:rsidR="00561B22" w:rsidRPr="00525A04" w:rsidRDefault="00561B22" w:rsidP="00F1223B">
            <w:pPr>
              <w:jc w:val="center"/>
              <w:rPr>
                <w:rFonts w:ascii="Arial" w:hAnsi="Arial" w:cs="Arial"/>
                <w:b/>
                <w:sz w:val="22"/>
                <w:szCs w:val="22"/>
                <w:lang w:val="es-MX"/>
              </w:rPr>
            </w:pPr>
            <w:r w:rsidRPr="00525A04">
              <w:rPr>
                <w:rFonts w:ascii="Arial" w:hAnsi="Arial" w:cs="Arial"/>
                <w:b/>
                <w:sz w:val="22"/>
                <w:szCs w:val="22"/>
                <w:lang w:val="es-MX"/>
              </w:rPr>
              <w:t>6</w:t>
            </w:r>
          </w:p>
        </w:tc>
        <w:tc>
          <w:tcPr>
            <w:tcW w:w="9400" w:type="dxa"/>
          </w:tcPr>
          <w:p w14:paraId="2809AFB1" w14:textId="77777777" w:rsidR="00561B22" w:rsidRPr="00525A04" w:rsidRDefault="00561B22" w:rsidP="00F1223B">
            <w:pPr>
              <w:jc w:val="both"/>
              <w:rPr>
                <w:rFonts w:ascii="Arial" w:hAnsi="Arial" w:cs="Arial"/>
                <w:bCs/>
                <w:sz w:val="22"/>
                <w:szCs w:val="22"/>
                <w:lang w:val="es-MX"/>
              </w:rPr>
            </w:pPr>
            <w:r w:rsidRPr="00525A04">
              <w:rPr>
                <w:rFonts w:ascii="Arial" w:hAnsi="Arial" w:cs="Arial"/>
                <w:bCs/>
                <w:sz w:val="22"/>
                <w:szCs w:val="22"/>
                <w:lang w:val="es-MX"/>
              </w:rPr>
              <w:t>Se recomienda que en la etapa de registro y ajuste dentro del proceso contable no se queden comprobantes de egreso y órdenes de pago sin las firmas correspondientes que respondan por los hechos generados.</w:t>
            </w:r>
          </w:p>
        </w:tc>
      </w:tr>
    </w:tbl>
    <w:p w14:paraId="746B2068" w14:textId="77777777" w:rsidR="00561B22" w:rsidRPr="00525A04" w:rsidRDefault="00561B22" w:rsidP="00561B22">
      <w:pPr>
        <w:pStyle w:val="Textoindependiente"/>
        <w:ind w:right="-50"/>
        <w:jc w:val="both"/>
        <w:rPr>
          <w:rFonts w:ascii="Arial" w:hAnsi="Arial" w:cs="Arial"/>
          <w:b/>
          <w:bCs/>
        </w:rPr>
      </w:pPr>
    </w:p>
    <w:p w14:paraId="4CC72D71" w14:textId="77777777" w:rsidR="00561B22" w:rsidRPr="00525A04" w:rsidRDefault="00561B22" w:rsidP="00561B22">
      <w:pPr>
        <w:jc w:val="both"/>
        <w:rPr>
          <w:rFonts w:ascii="Arial" w:hAnsi="Arial" w:cs="Arial"/>
          <w:b/>
          <w:bCs/>
          <w:sz w:val="24"/>
          <w:szCs w:val="24"/>
          <w:lang w:val="es-CO"/>
        </w:rPr>
      </w:pPr>
      <w:r w:rsidRPr="00525A04">
        <w:rPr>
          <w:rFonts w:ascii="Arial" w:hAnsi="Arial" w:cs="Arial"/>
          <w:b/>
          <w:bCs/>
          <w:sz w:val="24"/>
          <w:szCs w:val="24"/>
          <w:lang w:val="es-CO"/>
        </w:rPr>
        <w:t xml:space="preserve">NOTA: LA ENTIDAD ENVIA LA MATRIZ DE AUTOEVALUACIÓN DEL SISTEMA DE CONTROL INTERNO CONTABLE CON ACTIVIDADES DE CONTROL REALIZADAS </w:t>
      </w:r>
      <w:r w:rsidRPr="00525A04">
        <w:rPr>
          <w:rFonts w:ascii="Arial" w:hAnsi="Arial" w:cs="Arial"/>
          <w:b/>
          <w:bCs/>
          <w:sz w:val="24"/>
          <w:szCs w:val="24"/>
          <w:u w:val="single"/>
          <w:lang w:val="es-CO"/>
        </w:rPr>
        <w:t>EN FORMA PARCIAL Y OTRAS SIMPLEMENTE INFORMAN QUE NO SE REALIZARON</w:t>
      </w:r>
      <w:r w:rsidRPr="00525A04">
        <w:rPr>
          <w:rFonts w:ascii="Arial" w:hAnsi="Arial" w:cs="Arial"/>
          <w:b/>
          <w:bCs/>
          <w:sz w:val="24"/>
          <w:szCs w:val="24"/>
          <w:lang w:val="es-CO"/>
        </w:rPr>
        <w:t>.</w:t>
      </w:r>
    </w:p>
    <w:p w14:paraId="1027250A" w14:textId="77777777" w:rsidR="00561B22" w:rsidRPr="00525A04" w:rsidRDefault="00561B22" w:rsidP="00561B22">
      <w:pPr>
        <w:jc w:val="both"/>
        <w:rPr>
          <w:rFonts w:ascii="Arial" w:hAnsi="Arial" w:cs="Arial"/>
          <w:b/>
          <w:sz w:val="28"/>
          <w:szCs w:val="28"/>
          <w:lang w:val="es-MX"/>
        </w:rPr>
      </w:pPr>
    </w:p>
    <w:p w14:paraId="48C4B411" w14:textId="77777777" w:rsidR="00561B22" w:rsidRPr="00027E68" w:rsidRDefault="00561B22" w:rsidP="00561B22">
      <w:pPr>
        <w:ind w:right="-93"/>
        <w:jc w:val="both"/>
        <w:rPr>
          <w:rFonts w:ascii="Arial" w:hAnsi="Arial" w:cs="Arial"/>
          <w:b/>
          <w:sz w:val="28"/>
          <w:szCs w:val="28"/>
          <w:lang w:val="es-MX"/>
        </w:rPr>
      </w:pPr>
      <w:r w:rsidRPr="00027E68">
        <w:rPr>
          <w:rFonts w:ascii="Arial" w:hAnsi="Arial" w:cs="Arial"/>
          <w:b/>
          <w:sz w:val="28"/>
          <w:szCs w:val="28"/>
          <w:lang w:val="es-MX"/>
        </w:rPr>
        <w:t xml:space="preserve">187.- </w:t>
      </w:r>
      <w:r w:rsidRPr="00027E68">
        <w:rPr>
          <w:rFonts w:ascii="Arial" w:hAnsi="Arial" w:cs="Arial"/>
          <w:b/>
          <w:sz w:val="28"/>
          <w:szCs w:val="28"/>
        </w:rPr>
        <w:t>MINISTERIO DE CIENCIA, TECNOLOGÍA E INNOVACIÓN - MINCIENCIAS.</w:t>
      </w:r>
    </w:p>
    <w:p w14:paraId="3D3CDC4C" w14:textId="77777777" w:rsidR="00561B22" w:rsidRDefault="00561B22" w:rsidP="00561B22">
      <w:pPr>
        <w:ind w:left="-284" w:right="-234"/>
        <w:jc w:val="both"/>
        <w:rPr>
          <w:rFonts w:ascii="Arial" w:eastAsia="Trebuchet MS" w:hAnsi="Arial" w:cs="Arial"/>
          <w:b/>
          <w:sz w:val="32"/>
          <w:szCs w:val="32"/>
          <w:u w:val="single"/>
          <w:lang w:eastAsia="es-CO"/>
        </w:rPr>
      </w:pPr>
    </w:p>
    <w:p w14:paraId="62DC2D91" w14:textId="77777777" w:rsidR="00561B22" w:rsidRPr="00EC5D0C" w:rsidRDefault="00561B22" w:rsidP="00561B22">
      <w:pPr>
        <w:pStyle w:val="Textoindependiente"/>
        <w:ind w:right="-50"/>
        <w:jc w:val="center"/>
        <w:rPr>
          <w:rFonts w:ascii="Arial" w:hAnsi="Arial" w:cs="Arial"/>
          <w:b/>
          <w:bCs/>
        </w:rPr>
      </w:pPr>
      <w:r w:rsidRPr="00EC5D0C">
        <w:rPr>
          <w:rFonts w:ascii="Arial" w:hAnsi="Arial" w:cs="Arial"/>
          <w:b/>
          <w:bCs/>
        </w:rPr>
        <w:t>INFORME DE LA AUTOCALIFICACIÓN DEL SISTEMA DE CONTROL INTERNO CONTABLE:</w:t>
      </w:r>
    </w:p>
    <w:p w14:paraId="33CD0B56" w14:textId="77777777" w:rsidR="00561B22" w:rsidRPr="00EC5D0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C5D0C" w14:paraId="072DAFE2" w14:textId="77777777" w:rsidTr="00F1223B">
        <w:tc>
          <w:tcPr>
            <w:tcW w:w="4981" w:type="dxa"/>
          </w:tcPr>
          <w:p w14:paraId="5C38BF27"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AUTOCALIFICACIÓN</w:t>
            </w:r>
          </w:p>
        </w:tc>
        <w:tc>
          <w:tcPr>
            <w:tcW w:w="4981" w:type="dxa"/>
          </w:tcPr>
          <w:p w14:paraId="080A1E01" w14:textId="77777777" w:rsidR="00561B22" w:rsidRPr="00EC5D0C" w:rsidRDefault="00561B22" w:rsidP="00F1223B">
            <w:pPr>
              <w:jc w:val="center"/>
              <w:rPr>
                <w:rFonts w:ascii="Arial" w:hAnsi="Arial" w:cs="Arial"/>
                <w:b/>
                <w:sz w:val="22"/>
                <w:szCs w:val="22"/>
                <w:u w:val="single"/>
                <w:lang w:val="es-MX"/>
              </w:rPr>
            </w:pPr>
            <w:r w:rsidRPr="00EC5D0C">
              <w:rPr>
                <w:rFonts w:ascii="Arial" w:hAnsi="Arial" w:cs="Arial"/>
                <w:b/>
                <w:sz w:val="22"/>
                <w:szCs w:val="22"/>
                <w:u w:val="single"/>
                <w:lang w:val="es-MX"/>
              </w:rPr>
              <w:t>5.00</w:t>
            </w:r>
          </w:p>
        </w:tc>
      </w:tr>
    </w:tbl>
    <w:p w14:paraId="7EC12852" w14:textId="77777777" w:rsidR="00561B22" w:rsidRPr="00EC5D0C" w:rsidRDefault="00561B22" w:rsidP="00561B22">
      <w:pPr>
        <w:pStyle w:val="Textoindependiente"/>
        <w:ind w:right="-50"/>
        <w:jc w:val="both"/>
        <w:rPr>
          <w:rFonts w:ascii="Arial" w:hAnsi="Arial" w:cs="Arial"/>
          <w:b/>
          <w:bCs/>
        </w:rPr>
      </w:pPr>
    </w:p>
    <w:p w14:paraId="5334CCF8" w14:textId="77777777" w:rsidR="00561B22" w:rsidRPr="00EC5D0C" w:rsidRDefault="00561B22" w:rsidP="00561B22">
      <w:pPr>
        <w:pStyle w:val="Textoindependiente"/>
        <w:ind w:right="-50"/>
        <w:jc w:val="both"/>
        <w:rPr>
          <w:rFonts w:ascii="Arial" w:hAnsi="Arial" w:cs="Arial"/>
          <w:b/>
          <w:bCs/>
        </w:rPr>
      </w:pPr>
      <w:r w:rsidRPr="00EC5D0C">
        <w:rPr>
          <w:rFonts w:ascii="Arial" w:hAnsi="Arial" w:cs="Arial"/>
          <w:b/>
          <w:bCs/>
        </w:rPr>
        <w:t>Del informe enviado retomamos lo siguiente:</w:t>
      </w:r>
    </w:p>
    <w:p w14:paraId="2BA8379D" w14:textId="77777777" w:rsidR="00561B22" w:rsidRPr="00EC5D0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C5D0C" w14:paraId="755C424A" w14:textId="77777777" w:rsidTr="00F1223B">
        <w:tc>
          <w:tcPr>
            <w:tcW w:w="562" w:type="dxa"/>
          </w:tcPr>
          <w:p w14:paraId="6F6A3CA0" w14:textId="77777777" w:rsidR="00561B22" w:rsidRPr="00EC5D0C" w:rsidRDefault="00561B22" w:rsidP="00F1223B">
            <w:pPr>
              <w:ind w:right="-109"/>
              <w:jc w:val="center"/>
              <w:rPr>
                <w:rFonts w:ascii="Arial" w:hAnsi="Arial" w:cs="Arial"/>
                <w:b/>
                <w:sz w:val="22"/>
                <w:szCs w:val="22"/>
                <w:lang w:val="es-MX"/>
              </w:rPr>
            </w:pPr>
            <w:r w:rsidRPr="00EC5D0C">
              <w:rPr>
                <w:rFonts w:ascii="Arial" w:hAnsi="Arial" w:cs="Arial"/>
                <w:b/>
                <w:sz w:val="22"/>
                <w:szCs w:val="22"/>
                <w:lang w:val="es-MX"/>
              </w:rPr>
              <w:t>N°</w:t>
            </w:r>
          </w:p>
        </w:tc>
        <w:tc>
          <w:tcPr>
            <w:tcW w:w="9400" w:type="dxa"/>
          </w:tcPr>
          <w:p w14:paraId="59A4C7F9"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DEBILIDADES</w:t>
            </w:r>
          </w:p>
          <w:p w14:paraId="2198936B" w14:textId="77777777" w:rsidR="00561B22" w:rsidRPr="00EC5D0C" w:rsidRDefault="00561B22" w:rsidP="00F1223B">
            <w:pPr>
              <w:jc w:val="center"/>
              <w:rPr>
                <w:rFonts w:ascii="Arial" w:hAnsi="Arial" w:cs="Arial"/>
                <w:b/>
                <w:sz w:val="22"/>
                <w:szCs w:val="22"/>
                <w:lang w:val="es-MX"/>
              </w:rPr>
            </w:pPr>
          </w:p>
        </w:tc>
      </w:tr>
      <w:tr w:rsidR="00561B22" w:rsidRPr="00EC5D0C" w14:paraId="3D12B807" w14:textId="77777777" w:rsidTr="00F1223B">
        <w:tc>
          <w:tcPr>
            <w:tcW w:w="562" w:type="dxa"/>
          </w:tcPr>
          <w:p w14:paraId="6F680997"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1</w:t>
            </w:r>
          </w:p>
        </w:tc>
        <w:tc>
          <w:tcPr>
            <w:tcW w:w="9400" w:type="dxa"/>
          </w:tcPr>
          <w:p w14:paraId="0544D7AD" w14:textId="77777777" w:rsidR="00561B22" w:rsidRPr="00EC5D0C" w:rsidRDefault="00561B22" w:rsidP="00F1223B">
            <w:pPr>
              <w:jc w:val="both"/>
              <w:rPr>
                <w:rFonts w:ascii="Arial" w:hAnsi="Arial" w:cs="Arial"/>
                <w:bCs/>
                <w:sz w:val="22"/>
                <w:szCs w:val="22"/>
                <w:lang w:val="es-MX"/>
              </w:rPr>
            </w:pPr>
            <w:r w:rsidRPr="00EC5D0C">
              <w:rPr>
                <w:rFonts w:ascii="Arial" w:hAnsi="Arial" w:cs="Arial"/>
                <w:bCs/>
                <w:sz w:val="22"/>
                <w:szCs w:val="22"/>
                <w:lang w:val="es-MX"/>
              </w:rPr>
              <w:t>Actualización normativa de documentos del Proceso Gestión Financiera: Manual de Políticas Contables del Ministerio de Ciencia, Tecnología e Innovación (A202M01) – versión 01 del 28/12/2022 y Normograma del Proceso de Gestión Financiera y presentación de Estados Financieros ante Comité de Coordinación de Control Interno.</w:t>
            </w:r>
          </w:p>
        </w:tc>
      </w:tr>
    </w:tbl>
    <w:p w14:paraId="122AB685" w14:textId="77777777" w:rsidR="00561B22" w:rsidRPr="00EC5D0C" w:rsidRDefault="00561B22" w:rsidP="00561B22">
      <w:pPr>
        <w:pStyle w:val="Textoindependiente"/>
        <w:ind w:right="-50"/>
        <w:jc w:val="both"/>
        <w:rPr>
          <w:rFonts w:ascii="Arial" w:hAnsi="Arial" w:cs="Arial"/>
          <w:b/>
          <w:bCs/>
        </w:rPr>
      </w:pPr>
    </w:p>
    <w:p w14:paraId="0BA8B4DB" w14:textId="77777777" w:rsidR="00561B22" w:rsidRPr="00EC5D0C" w:rsidRDefault="00561B22" w:rsidP="00561B22">
      <w:pPr>
        <w:jc w:val="both"/>
        <w:rPr>
          <w:rFonts w:ascii="Arial" w:hAnsi="Arial" w:cs="Arial"/>
          <w:b/>
          <w:lang w:val="es-MX"/>
        </w:rPr>
      </w:pPr>
      <w:r w:rsidRPr="00EC5D0C">
        <w:rPr>
          <w:rFonts w:ascii="Arial" w:hAnsi="Arial" w:cs="Arial"/>
          <w:b/>
          <w:lang w:val="es-MX"/>
        </w:rPr>
        <w:t>Del citado informe retomamos las siguientes recomendaciones:</w:t>
      </w:r>
    </w:p>
    <w:p w14:paraId="622EF34C" w14:textId="77777777" w:rsidR="00561B22" w:rsidRPr="00EC5D0C"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EC5D0C" w14:paraId="32166F99" w14:textId="77777777" w:rsidTr="00F1223B">
        <w:tc>
          <w:tcPr>
            <w:tcW w:w="562" w:type="dxa"/>
          </w:tcPr>
          <w:p w14:paraId="3E389E39" w14:textId="77777777" w:rsidR="00561B22" w:rsidRPr="00EC5D0C" w:rsidRDefault="00561B22" w:rsidP="00F1223B">
            <w:pPr>
              <w:ind w:right="-109"/>
              <w:jc w:val="center"/>
              <w:rPr>
                <w:rFonts w:ascii="Arial" w:hAnsi="Arial" w:cs="Arial"/>
                <w:b/>
                <w:sz w:val="22"/>
                <w:szCs w:val="22"/>
                <w:lang w:val="es-MX"/>
              </w:rPr>
            </w:pPr>
            <w:r w:rsidRPr="00EC5D0C">
              <w:rPr>
                <w:rFonts w:ascii="Arial" w:hAnsi="Arial" w:cs="Arial"/>
                <w:b/>
                <w:sz w:val="22"/>
                <w:szCs w:val="22"/>
                <w:lang w:val="es-MX"/>
              </w:rPr>
              <w:t>N°</w:t>
            </w:r>
          </w:p>
        </w:tc>
        <w:tc>
          <w:tcPr>
            <w:tcW w:w="9400" w:type="dxa"/>
          </w:tcPr>
          <w:p w14:paraId="1D1AD4F7"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RECOMENDACIONES</w:t>
            </w:r>
          </w:p>
          <w:p w14:paraId="2968BC8E" w14:textId="77777777" w:rsidR="00561B22" w:rsidRPr="00EC5D0C" w:rsidRDefault="00561B22" w:rsidP="00F1223B">
            <w:pPr>
              <w:jc w:val="center"/>
              <w:rPr>
                <w:rFonts w:ascii="Arial" w:hAnsi="Arial" w:cs="Arial"/>
                <w:b/>
                <w:sz w:val="22"/>
                <w:szCs w:val="22"/>
                <w:lang w:val="es-MX"/>
              </w:rPr>
            </w:pPr>
          </w:p>
        </w:tc>
      </w:tr>
      <w:tr w:rsidR="00561B22" w:rsidRPr="00EC5D0C" w14:paraId="02969C9D" w14:textId="77777777" w:rsidTr="00F1223B">
        <w:tc>
          <w:tcPr>
            <w:tcW w:w="562" w:type="dxa"/>
          </w:tcPr>
          <w:p w14:paraId="21C41C85"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1</w:t>
            </w:r>
          </w:p>
        </w:tc>
        <w:tc>
          <w:tcPr>
            <w:tcW w:w="9400" w:type="dxa"/>
          </w:tcPr>
          <w:p w14:paraId="7B86EF48" w14:textId="77777777" w:rsidR="00561B22" w:rsidRPr="00EC5D0C" w:rsidRDefault="00561B22" w:rsidP="00F1223B">
            <w:pPr>
              <w:jc w:val="both"/>
              <w:rPr>
                <w:rFonts w:ascii="Arial" w:hAnsi="Arial" w:cs="Arial"/>
                <w:bCs/>
                <w:sz w:val="22"/>
                <w:szCs w:val="22"/>
                <w:lang w:val="es-MX"/>
              </w:rPr>
            </w:pPr>
            <w:r w:rsidRPr="00EC5D0C">
              <w:rPr>
                <w:rFonts w:ascii="Arial" w:hAnsi="Arial" w:cs="Arial"/>
                <w:bCs/>
                <w:sz w:val="22"/>
                <w:szCs w:val="22"/>
                <w:lang w:val="es-MX"/>
              </w:rPr>
              <w:t>Revisar la pertinencia de la meta del indicador IG01-A202 sobre la oportunidad en el pago de compromisos, considerando la capacidad operativa y evaluando la posibilidad de abrir el indicador según los tiempos de gestión (5 y 30 días)</w:t>
            </w:r>
          </w:p>
        </w:tc>
      </w:tr>
      <w:tr w:rsidR="00561B22" w:rsidRPr="00EC5D0C" w14:paraId="5E2D8D43" w14:textId="77777777" w:rsidTr="00F1223B">
        <w:tc>
          <w:tcPr>
            <w:tcW w:w="562" w:type="dxa"/>
          </w:tcPr>
          <w:p w14:paraId="6702E576"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2</w:t>
            </w:r>
          </w:p>
        </w:tc>
        <w:tc>
          <w:tcPr>
            <w:tcW w:w="9400" w:type="dxa"/>
          </w:tcPr>
          <w:p w14:paraId="7529C312" w14:textId="77777777" w:rsidR="00561B22" w:rsidRPr="00EC5D0C" w:rsidRDefault="00561B22" w:rsidP="00F1223B">
            <w:pPr>
              <w:jc w:val="both"/>
              <w:rPr>
                <w:rFonts w:ascii="Arial" w:hAnsi="Arial" w:cs="Arial"/>
                <w:bCs/>
                <w:sz w:val="22"/>
                <w:szCs w:val="22"/>
                <w:lang w:val="es-MX"/>
              </w:rPr>
            </w:pPr>
            <w:r w:rsidRPr="00EC5D0C">
              <w:rPr>
                <w:rFonts w:ascii="Arial" w:hAnsi="Arial" w:cs="Arial"/>
                <w:bCs/>
                <w:sz w:val="22"/>
                <w:szCs w:val="22"/>
                <w:lang w:val="es-MX"/>
              </w:rPr>
              <w:t xml:space="preserve">Analizar por parte de la Oficina Asesora de Planeación e Innovación Institucional la inclusión de un campo en el formato de reporte de indicadores para especificar la fuente de información </w:t>
            </w:r>
            <w:r w:rsidRPr="00EC5D0C">
              <w:rPr>
                <w:rFonts w:ascii="Arial" w:hAnsi="Arial" w:cs="Arial"/>
                <w:bCs/>
                <w:sz w:val="22"/>
                <w:szCs w:val="22"/>
                <w:lang w:val="es-MX"/>
              </w:rPr>
              <w:lastRenderedPageBreak/>
              <w:t>para el cálculo del indicador.</w:t>
            </w:r>
          </w:p>
        </w:tc>
      </w:tr>
      <w:tr w:rsidR="00561B22" w:rsidRPr="00EC5D0C" w14:paraId="27D6E9A0" w14:textId="77777777" w:rsidTr="00F1223B">
        <w:tc>
          <w:tcPr>
            <w:tcW w:w="562" w:type="dxa"/>
          </w:tcPr>
          <w:p w14:paraId="149129C5"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lastRenderedPageBreak/>
              <w:t>3</w:t>
            </w:r>
          </w:p>
        </w:tc>
        <w:tc>
          <w:tcPr>
            <w:tcW w:w="9400" w:type="dxa"/>
          </w:tcPr>
          <w:p w14:paraId="1FFC29A9" w14:textId="77777777" w:rsidR="00561B22" w:rsidRPr="00EC5D0C" w:rsidRDefault="00561B22" w:rsidP="00F1223B">
            <w:pPr>
              <w:jc w:val="both"/>
              <w:rPr>
                <w:rFonts w:ascii="Arial" w:hAnsi="Arial" w:cs="Arial"/>
                <w:bCs/>
                <w:sz w:val="22"/>
                <w:szCs w:val="22"/>
                <w:lang w:val="es-MX"/>
              </w:rPr>
            </w:pPr>
            <w:r w:rsidRPr="00EC5D0C">
              <w:rPr>
                <w:rFonts w:ascii="Arial" w:hAnsi="Arial" w:cs="Arial"/>
                <w:bCs/>
                <w:sz w:val="22"/>
                <w:szCs w:val="22"/>
                <w:lang w:val="es-MX"/>
              </w:rPr>
              <w:t>Agilizar la baja de bienes depreciados en desuso para depurar la contabilidad y reflejar la propiedad, planta y equipo con mayor precisión, por parte de la Dirección Administrativa y Financiera.</w:t>
            </w:r>
          </w:p>
        </w:tc>
      </w:tr>
      <w:tr w:rsidR="00561B22" w:rsidRPr="00EC5D0C" w14:paraId="7F81A8F2" w14:textId="77777777" w:rsidTr="00F1223B">
        <w:tc>
          <w:tcPr>
            <w:tcW w:w="562" w:type="dxa"/>
          </w:tcPr>
          <w:p w14:paraId="7ACD5F8F"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4</w:t>
            </w:r>
          </w:p>
        </w:tc>
        <w:tc>
          <w:tcPr>
            <w:tcW w:w="9400" w:type="dxa"/>
          </w:tcPr>
          <w:p w14:paraId="33D7F93F" w14:textId="77777777" w:rsidR="00561B22" w:rsidRPr="00EC5D0C" w:rsidRDefault="00561B22" w:rsidP="00F1223B">
            <w:pPr>
              <w:jc w:val="both"/>
              <w:rPr>
                <w:rFonts w:ascii="Arial" w:hAnsi="Arial" w:cs="Arial"/>
                <w:bCs/>
                <w:sz w:val="22"/>
                <w:szCs w:val="22"/>
                <w:lang w:val="es-MX"/>
              </w:rPr>
            </w:pPr>
            <w:r w:rsidRPr="00EC5D0C">
              <w:rPr>
                <w:rFonts w:ascii="Arial" w:hAnsi="Arial" w:cs="Arial"/>
                <w:bCs/>
                <w:sz w:val="22"/>
                <w:szCs w:val="22"/>
                <w:lang w:val="es-MX"/>
              </w:rPr>
              <w:t>Extender las capacitaciones contables a las áreas que producen la información, más allá de la Dirección Administrativa y Financiera.</w:t>
            </w:r>
          </w:p>
        </w:tc>
      </w:tr>
      <w:tr w:rsidR="00561B22" w:rsidRPr="00EC5D0C" w14:paraId="0533CC56" w14:textId="77777777" w:rsidTr="00F1223B">
        <w:tc>
          <w:tcPr>
            <w:tcW w:w="562" w:type="dxa"/>
          </w:tcPr>
          <w:p w14:paraId="2C3B3B8F" w14:textId="77777777" w:rsidR="00561B22" w:rsidRPr="00EC5D0C" w:rsidRDefault="00561B22" w:rsidP="00F1223B">
            <w:pPr>
              <w:jc w:val="center"/>
              <w:rPr>
                <w:rFonts w:ascii="Arial" w:hAnsi="Arial" w:cs="Arial"/>
                <w:b/>
                <w:sz w:val="22"/>
                <w:szCs w:val="22"/>
                <w:lang w:val="es-MX"/>
              </w:rPr>
            </w:pPr>
            <w:r w:rsidRPr="00EC5D0C">
              <w:rPr>
                <w:rFonts w:ascii="Arial" w:hAnsi="Arial" w:cs="Arial"/>
                <w:b/>
                <w:sz w:val="22"/>
                <w:szCs w:val="22"/>
                <w:lang w:val="es-MX"/>
              </w:rPr>
              <w:t>5</w:t>
            </w:r>
          </w:p>
        </w:tc>
        <w:tc>
          <w:tcPr>
            <w:tcW w:w="9400" w:type="dxa"/>
          </w:tcPr>
          <w:p w14:paraId="7768A94C" w14:textId="77777777" w:rsidR="00561B22" w:rsidRPr="00EC5D0C" w:rsidRDefault="00561B22" w:rsidP="00F1223B">
            <w:pPr>
              <w:jc w:val="both"/>
              <w:rPr>
                <w:rFonts w:ascii="Arial" w:hAnsi="Arial" w:cs="Arial"/>
                <w:bCs/>
                <w:sz w:val="22"/>
                <w:szCs w:val="22"/>
                <w:lang w:val="es-MX"/>
              </w:rPr>
            </w:pPr>
            <w:r w:rsidRPr="00EC5D0C">
              <w:rPr>
                <w:rFonts w:ascii="Arial" w:hAnsi="Arial" w:cs="Arial"/>
                <w:bCs/>
                <w:sz w:val="22"/>
                <w:szCs w:val="22"/>
                <w:lang w:val="es-MX"/>
              </w:rPr>
              <w:t>Incorporar la información de los estados financieros en la presentación de rendición de cuentas a la ciudadanía.</w:t>
            </w:r>
          </w:p>
        </w:tc>
      </w:tr>
    </w:tbl>
    <w:p w14:paraId="2F32BF4F" w14:textId="77777777" w:rsidR="00561B22" w:rsidRPr="00C01FCF" w:rsidRDefault="00561B22" w:rsidP="00561B22">
      <w:pPr>
        <w:jc w:val="both"/>
        <w:rPr>
          <w:rFonts w:ascii="Arial" w:hAnsi="Arial" w:cs="Arial"/>
          <w:b/>
          <w:sz w:val="28"/>
          <w:szCs w:val="28"/>
          <w:lang w:val="es-MX"/>
        </w:rPr>
      </w:pPr>
      <w:r w:rsidRPr="00C01FCF">
        <w:rPr>
          <w:rFonts w:ascii="Arial" w:hAnsi="Arial" w:cs="Arial"/>
          <w:b/>
          <w:sz w:val="28"/>
          <w:szCs w:val="28"/>
          <w:lang w:val="es-MX"/>
        </w:rPr>
        <w:t>188.-BANCO AGRARIO DE COLOMBIA S.A.</w:t>
      </w:r>
    </w:p>
    <w:p w14:paraId="48E1F8CA" w14:textId="77777777" w:rsidR="00561B22" w:rsidRPr="00EC5D0C" w:rsidRDefault="00561B22" w:rsidP="00561B22">
      <w:pPr>
        <w:pStyle w:val="Textoindependiente"/>
        <w:ind w:right="-50"/>
        <w:jc w:val="both"/>
        <w:rPr>
          <w:rFonts w:ascii="Arial" w:hAnsi="Arial" w:cs="Arial"/>
          <w:b/>
          <w:bCs/>
        </w:rPr>
      </w:pPr>
    </w:p>
    <w:p w14:paraId="201234FA" w14:textId="77777777" w:rsidR="00561B22" w:rsidRPr="0086096C" w:rsidRDefault="00561B22" w:rsidP="00561B22">
      <w:pPr>
        <w:pStyle w:val="Textoindependiente"/>
        <w:jc w:val="center"/>
        <w:rPr>
          <w:rFonts w:ascii="Arial" w:hAnsi="Arial" w:cs="Arial"/>
          <w:b/>
          <w:bCs/>
        </w:rPr>
      </w:pPr>
      <w:r w:rsidRPr="0086096C">
        <w:rPr>
          <w:rFonts w:ascii="Arial" w:hAnsi="Arial" w:cs="Arial"/>
          <w:b/>
          <w:bCs/>
        </w:rPr>
        <w:t>INFORME DE LA AUTOCALIFICACIÓN DEL SISTEMA DE CONTROL INTERNO CONTABLE:</w:t>
      </w:r>
    </w:p>
    <w:p w14:paraId="75871B41" w14:textId="77777777" w:rsidR="00561B22" w:rsidRPr="0086096C"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6096C" w14:paraId="3834F609" w14:textId="77777777" w:rsidTr="00F1223B">
        <w:tc>
          <w:tcPr>
            <w:tcW w:w="4981" w:type="dxa"/>
          </w:tcPr>
          <w:p w14:paraId="5B2D94E8"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AUTOCALIFICACIÓN</w:t>
            </w:r>
          </w:p>
        </w:tc>
        <w:tc>
          <w:tcPr>
            <w:tcW w:w="4981" w:type="dxa"/>
          </w:tcPr>
          <w:p w14:paraId="7EB671B4" w14:textId="77777777" w:rsidR="00561B22" w:rsidRPr="0086096C" w:rsidRDefault="00561B22" w:rsidP="00F1223B">
            <w:pPr>
              <w:jc w:val="center"/>
              <w:rPr>
                <w:rFonts w:ascii="Arial" w:hAnsi="Arial" w:cs="Arial"/>
                <w:b/>
                <w:sz w:val="22"/>
                <w:szCs w:val="22"/>
                <w:u w:val="single"/>
                <w:lang w:val="es-MX"/>
              </w:rPr>
            </w:pPr>
            <w:r w:rsidRPr="0086096C">
              <w:rPr>
                <w:rFonts w:ascii="Arial" w:hAnsi="Arial" w:cs="Arial"/>
                <w:b/>
                <w:sz w:val="22"/>
                <w:szCs w:val="22"/>
                <w:u w:val="single"/>
                <w:lang w:val="es-MX"/>
              </w:rPr>
              <w:t>4.98</w:t>
            </w:r>
          </w:p>
        </w:tc>
      </w:tr>
    </w:tbl>
    <w:p w14:paraId="62CF839F" w14:textId="77777777" w:rsidR="00561B22" w:rsidRPr="0086096C" w:rsidRDefault="00561B22" w:rsidP="00561B22">
      <w:pPr>
        <w:pStyle w:val="Textoindependiente"/>
        <w:jc w:val="both"/>
        <w:rPr>
          <w:rFonts w:ascii="Arial" w:hAnsi="Arial" w:cs="Arial"/>
          <w:b/>
          <w:bCs/>
        </w:rPr>
      </w:pPr>
    </w:p>
    <w:p w14:paraId="4DF9481F" w14:textId="77777777" w:rsidR="00561B22" w:rsidRPr="0086096C" w:rsidRDefault="00561B22" w:rsidP="00561B22">
      <w:pPr>
        <w:pStyle w:val="Textoindependiente"/>
        <w:jc w:val="both"/>
        <w:rPr>
          <w:rFonts w:ascii="Arial" w:hAnsi="Arial" w:cs="Arial"/>
          <w:b/>
          <w:bCs/>
        </w:rPr>
      </w:pPr>
      <w:r w:rsidRPr="0086096C">
        <w:rPr>
          <w:rFonts w:ascii="Arial" w:hAnsi="Arial" w:cs="Arial"/>
          <w:b/>
          <w:bCs/>
        </w:rPr>
        <w:t>Del informe enviado retomamos lo siguiente:</w:t>
      </w:r>
    </w:p>
    <w:p w14:paraId="6F50B389" w14:textId="77777777" w:rsidR="00561B22" w:rsidRPr="0086096C"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6096C" w14:paraId="20F3D854" w14:textId="77777777" w:rsidTr="00F1223B">
        <w:tc>
          <w:tcPr>
            <w:tcW w:w="562" w:type="dxa"/>
          </w:tcPr>
          <w:p w14:paraId="06048CA7"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N°</w:t>
            </w:r>
          </w:p>
        </w:tc>
        <w:tc>
          <w:tcPr>
            <w:tcW w:w="9400" w:type="dxa"/>
          </w:tcPr>
          <w:p w14:paraId="77949C23"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DEBILIDADES</w:t>
            </w:r>
          </w:p>
          <w:p w14:paraId="1B36D0C5" w14:textId="77777777" w:rsidR="00561B22" w:rsidRPr="0086096C" w:rsidRDefault="00561B22" w:rsidP="00F1223B">
            <w:pPr>
              <w:jc w:val="center"/>
              <w:rPr>
                <w:rFonts w:ascii="Arial" w:hAnsi="Arial" w:cs="Arial"/>
                <w:b/>
                <w:sz w:val="22"/>
                <w:szCs w:val="22"/>
                <w:lang w:val="es-MX"/>
              </w:rPr>
            </w:pPr>
          </w:p>
        </w:tc>
      </w:tr>
      <w:tr w:rsidR="00561B22" w:rsidRPr="0086096C" w14:paraId="48E1AA2E" w14:textId="77777777" w:rsidTr="00F1223B">
        <w:tc>
          <w:tcPr>
            <w:tcW w:w="562" w:type="dxa"/>
          </w:tcPr>
          <w:p w14:paraId="45BEE249"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1</w:t>
            </w:r>
          </w:p>
        </w:tc>
        <w:tc>
          <w:tcPr>
            <w:tcW w:w="9400" w:type="dxa"/>
          </w:tcPr>
          <w:p w14:paraId="46FBE735" w14:textId="77777777" w:rsidR="00561B22" w:rsidRPr="0086096C" w:rsidRDefault="00561B22" w:rsidP="00F1223B">
            <w:pPr>
              <w:jc w:val="both"/>
              <w:rPr>
                <w:rFonts w:ascii="Arial" w:hAnsi="Arial" w:cs="Arial"/>
                <w:bCs/>
                <w:sz w:val="22"/>
                <w:szCs w:val="22"/>
                <w:lang w:val="es-CO"/>
              </w:rPr>
            </w:pPr>
            <w:r w:rsidRPr="0086096C">
              <w:rPr>
                <w:rFonts w:ascii="Arial" w:hAnsi="Arial" w:cs="Arial"/>
                <w:bCs/>
                <w:sz w:val="22"/>
                <w:szCs w:val="22"/>
                <w:lang w:val="es-CO"/>
              </w:rPr>
              <w:t>Si bien se observó fortalecimiento documental del proceso contable, se identificó la necesidad de gestionar las actualizaciones de los procedimientos trasversales del Banco en los cuales se integran las políticas contables derogadas, utilizadas en el proceso deterioro de activos (AB-AD-PR-008 Vs. 1 de 16AGO2024), en el cual se establecen las actividades de control y operativas ejecutadas por el área de Administración de Activos e Inventarios, siendo importante armonizar el procedimiento y la matriz de riesgos de los subprocesos de gestión contable y de activos, teniendo en cuenta la situación observada y/o la realidad operativa actual aplicada en el desarrollo del procedimiento.</w:t>
            </w:r>
          </w:p>
        </w:tc>
      </w:tr>
    </w:tbl>
    <w:p w14:paraId="144A7CF5" w14:textId="77777777" w:rsidR="00561B22" w:rsidRPr="0086096C" w:rsidRDefault="00561B22" w:rsidP="00561B22">
      <w:pPr>
        <w:pStyle w:val="Textoindependiente"/>
        <w:jc w:val="both"/>
        <w:rPr>
          <w:rFonts w:ascii="Arial" w:hAnsi="Arial" w:cs="Arial"/>
          <w:b/>
          <w:bCs/>
        </w:rPr>
      </w:pPr>
    </w:p>
    <w:p w14:paraId="08A8791B" w14:textId="77777777" w:rsidR="00561B22" w:rsidRPr="0086096C" w:rsidRDefault="00561B22" w:rsidP="00561B22">
      <w:pPr>
        <w:jc w:val="both"/>
        <w:rPr>
          <w:rFonts w:ascii="Arial" w:hAnsi="Arial" w:cs="Arial"/>
          <w:b/>
          <w:lang w:val="es-MX"/>
        </w:rPr>
      </w:pPr>
      <w:r w:rsidRPr="0086096C">
        <w:rPr>
          <w:rFonts w:ascii="Arial" w:hAnsi="Arial" w:cs="Arial"/>
          <w:b/>
          <w:lang w:val="es-MX"/>
        </w:rPr>
        <w:t>Del citado informe retomamos las siguientes recomendaciones:</w:t>
      </w:r>
    </w:p>
    <w:p w14:paraId="423AB9D4" w14:textId="77777777" w:rsidR="00561B22" w:rsidRPr="0086096C"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6096C" w14:paraId="40E91EC0" w14:textId="77777777" w:rsidTr="00F1223B">
        <w:tc>
          <w:tcPr>
            <w:tcW w:w="562" w:type="dxa"/>
          </w:tcPr>
          <w:p w14:paraId="61F7DC9F"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N°</w:t>
            </w:r>
          </w:p>
        </w:tc>
        <w:tc>
          <w:tcPr>
            <w:tcW w:w="9400" w:type="dxa"/>
          </w:tcPr>
          <w:p w14:paraId="7CD79B19"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RECOMENDACIONES</w:t>
            </w:r>
          </w:p>
          <w:p w14:paraId="7665F807" w14:textId="77777777" w:rsidR="00561B22" w:rsidRPr="0086096C" w:rsidRDefault="00561B22" w:rsidP="00F1223B">
            <w:pPr>
              <w:jc w:val="center"/>
              <w:rPr>
                <w:rFonts w:ascii="Arial" w:hAnsi="Arial" w:cs="Arial"/>
                <w:b/>
                <w:sz w:val="22"/>
                <w:szCs w:val="22"/>
                <w:lang w:val="es-MX"/>
              </w:rPr>
            </w:pPr>
          </w:p>
        </w:tc>
      </w:tr>
      <w:tr w:rsidR="00561B22" w:rsidRPr="0086096C" w14:paraId="634A8500" w14:textId="77777777" w:rsidTr="00F1223B">
        <w:tc>
          <w:tcPr>
            <w:tcW w:w="562" w:type="dxa"/>
          </w:tcPr>
          <w:p w14:paraId="4A4D8F7B"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1</w:t>
            </w:r>
          </w:p>
        </w:tc>
        <w:tc>
          <w:tcPr>
            <w:tcW w:w="9400" w:type="dxa"/>
          </w:tcPr>
          <w:p w14:paraId="1C863275" w14:textId="77777777" w:rsidR="00561B22" w:rsidRPr="0086096C" w:rsidRDefault="00561B22" w:rsidP="00F1223B">
            <w:pPr>
              <w:jc w:val="both"/>
              <w:rPr>
                <w:rFonts w:ascii="Arial" w:hAnsi="Arial" w:cs="Arial"/>
                <w:bCs/>
                <w:sz w:val="22"/>
                <w:szCs w:val="22"/>
                <w:lang w:val="es-CO"/>
              </w:rPr>
            </w:pPr>
            <w:r w:rsidRPr="0086096C">
              <w:rPr>
                <w:rFonts w:ascii="Arial" w:hAnsi="Arial" w:cs="Arial"/>
                <w:bCs/>
                <w:sz w:val="22"/>
                <w:szCs w:val="22"/>
                <w:lang w:val="es-CO"/>
              </w:rPr>
              <w:t xml:space="preserve">Gestionar la actualización documental que requiera el proceso de Gestión de Servicios Administrativos; así como la matriz de riesgos del subproceso de gestión de activos, teniendo en cuenta la situación observada y/o la realidad operativa actual aplicada en el desarrollo del procedimiento. </w:t>
            </w:r>
          </w:p>
        </w:tc>
      </w:tr>
      <w:tr w:rsidR="00561B22" w:rsidRPr="0086096C" w14:paraId="0D980574" w14:textId="77777777" w:rsidTr="00F1223B">
        <w:tc>
          <w:tcPr>
            <w:tcW w:w="562" w:type="dxa"/>
          </w:tcPr>
          <w:p w14:paraId="3CDD2A51" w14:textId="77777777" w:rsidR="00561B22" w:rsidRPr="0086096C" w:rsidRDefault="00561B22" w:rsidP="00F1223B">
            <w:pPr>
              <w:jc w:val="center"/>
              <w:rPr>
                <w:rFonts w:ascii="Arial" w:hAnsi="Arial" w:cs="Arial"/>
                <w:b/>
                <w:sz w:val="22"/>
                <w:szCs w:val="22"/>
                <w:lang w:val="es-MX"/>
              </w:rPr>
            </w:pPr>
            <w:r w:rsidRPr="0086096C">
              <w:rPr>
                <w:rFonts w:ascii="Arial" w:hAnsi="Arial" w:cs="Arial"/>
                <w:b/>
                <w:sz w:val="22"/>
                <w:szCs w:val="22"/>
                <w:lang w:val="es-MX"/>
              </w:rPr>
              <w:t>2</w:t>
            </w:r>
          </w:p>
        </w:tc>
        <w:tc>
          <w:tcPr>
            <w:tcW w:w="9400" w:type="dxa"/>
          </w:tcPr>
          <w:p w14:paraId="0BAD2CB0" w14:textId="77777777" w:rsidR="00561B22" w:rsidRPr="0086096C" w:rsidRDefault="00561B22" w:rsidP="00F1223B">
            <w:pPr>
              <w:jc w:val="both"/>
              <w:rPr>
                <w:rFonts w:ascii="Arial" w:hAnsi="Arial" w:cs="Arial"/>
                <w:bCs/>
                <w:sz w:val="22"/>
                <w:szCs w:val="22"/>
                <w:lang w:val="es-CO"/>
              </w:rPr>
            </w:pPr>
            <w:r w:rsidRPr="0086096C">
              <w:rPr>
                <w:rFonts w:ascii="Arial" w:hAnsi="Arial" w:cs="Arial"/>
                <w:bCs/>
                <w:sz w:val="22"/>
                <w:szCs w:val="22"/>
                <w:lang w:val="es-CO"/>
              </w:rPr>
              <w:t>Realizar mesas de trabajo con las áreas de SARO y procesos de mejora continua, con el fin de identificar mejoras y alineación de las actividades de control en el aplicativo Binaps, de manera que su evidencia sea concordante con la realidad operativa y pueda dar cuenta de su ejecución tanto por el responsable como la acción en sí; asimismo, aplicar esto para todas las actividades de control y su integralidad entre causa riesgos -control del Proceso Gestión Contable.</w:t>
            </w:r>
          </w:p>
        </w:tc>
      </w:tr>
    </w:tbl>
    <w:p w14:paraId="1C15D862" w14:textId="77777777" w:rsidR="00561B22" w:rsidRPr="0086096C" w:rsidRDefault="00561B22" w:rsidP="00561B22">
      <w:pPr>
        <w:pStyle w:val="Textoindependiente"/>
        <w:jc w:val="both"/>
        <w:rPr>
          <w:rFonts w:ascii="Arial" w:hAnsi="Arial" w:cs="Arial"/>
          <w:b/>
          <w:bCs/>
          <w:sz w:val="28"/>
          <w:szCs w:val="28"/>
        </w:rPr>
      </w:pPr>
    </w:p>
    <w:p w14:paraId="0D1AE5A5" w14:textId="77777777" w:rsidR="00561B22" w:rsidRPr="0086096C" w:rsidRDefault="00561B22" w:rsidP="00561B22">
      <w:pPr>
        <w:jc w:val="both"/>
        <w:rPr>
          <w:rFonts w:ascii="Arial" w:hAnsi="Arial" w:cs="Arial"/>
          <w:b/>
          <w:bCs/>
          <w:sz w:val="24"/>
          <w:szCs w:val="24"/>
          <w:lang w:val="es-CO"/>
        </w:rPr>
      </w:pPr>
      <w:r w:rsidRPr="0086096C">
        <w:rPr>
          <w:rFonts w:ascii="Arial" w:hAnsi="Arial" w:cs="Arial"/>
          <w:b/>
          <w:bCs/>
          <w:sz w:val="24"/>
          <w:szCs w:val="24"/>
          <w:lang w:val="es-CO"/>
        </w:rPr>
        <w:t xml:space="preserve">NOTA: LA ENTIDAD ENVIA LA MATRIZ DE AUTOEVALUACIÓN DEL SISTEMA DE CONTROL INTERNO CONTABLE CON </w:t>
      </w:r>
      <w:r w:rsidRPr="0086096C">
        <w:rPr>
          <w:rFonts w:ascii="Arial" w:hAnsi="Arial" w:cs="Arial"/>
          <w:b/>
          <w:bCs/>
          <w:sz w:val="24"/>
          <w:szCs w:val="24"/>
          <w:u w:val="single"/>
          <w:lang w:val="es-CO"/>
        </w:rPr>
        <w:t>ACTIVIDADES DE CONTROL REALIZADAS EN FORMA PARCIAL</w:t>
      </w:r>
      <w:r w:rsidRPr="0086096C">
        <w:rPr>
          <w:rFonts w:ascii="Arial" w:hAnsi="Arial" w:cs="Arial"/>
          <w:b/>
          <w:bCs/>
          <w:sz w:val="24"/>
          <w:szCs w:val="24"/>
          <w:lang w:val="es-CO"/>
        </w:rPr>
        <w:t>.</w:t>
      </w:r>
    </w:p>
    <w:p w14:paraId="5BE8ADB3" w14:textId="77777777" w:rsidR="00561B22" w:rsidRPr="0086096C" w:rsidRDefault="00561B22" w:rsidP="00561B22">
      <w:pPr>
        <w:jc w:val="both"/>
        <w:rPr>
          <w:rFonts w:ascii="Arial" w:hAnsi="Arial" w:cs="Arial"/>
          <w:b/>
          <w:bCs/>
          <w:sz w:val="24"/>
          <w:szCs w:val="24"/>
          <w:lang w:val="es-CO"/>
        </w:rPr>
      </w:pPr>
    </w:p>
    <w:p w14:paraId="085CA62A" w14:textId="77777777" w:rsidR="00561B22" w:rsidRPr="00597F3F" w:rsidRDefault="00561B22" w:rsidP="00561B22">
      <w:pPr>
        <w:jc w:val="both"/>
        <w:rPr>
          <w:rFonts w:ascii="Arial" w:hAnsi="Arial" w:cs="Arial"/>
          <w:b/>
          <w:sz w:val="28"/>
          <w:szCs w:val="28"/>
          <w:lang w:val="es-MX"/>
        </w:rPr>
      </w:pPr>
      <w:r w:rsidRPr="00597F3F">
        <w:rPr>
          <w:rFonts w:ascii="Arial" w:hAnsi="Arial" w:cs="Arial"/>
          <w:b/>
          <w:sz w:val="28"/>
          <w:szCs w:val="28"/>
          <w:lang w:val="es-MX"/>
        </w:rPr>
        <w:t>189.- FIDUCIARIA LA PREVISORA S.A. – FIDUPREVISORA S.A.</w:t>
      </w:r>
    </w:p>
    <w:p w14:paraId="655F4F94" w14:textId="77777777" w:rsidR="00561B22" w:rsidRPr="00EC5D0C" w:rsidRDefault="00561B22" w:rsidP="00561B22">
      <w:pPr>
        <w:ind w:left="-284" w:right="-234"/>
        <w:jc w:val="both"/>
        <w:rPr>
          <w:rFonts w:ascii="Arial" w:eastAsia="Trebuchet MS" w:hAnsi="Arial" w:cs="Arial"/>
          <w:b/>
          <w:u w:val="single"/>
          <w:lang w:eastAsia="es-CO"/>
        </w:rPr>
      </w:pPr>
    </w:p>
    <w:p w14:paraId="147CD50F" w14:textId="77777777" w:rsidR="00561B22" w:rsidRPr="00DC61CB" w:rsidRDefault="00561B22" w:rsidP="00561B22">
      <w:pPr>
        <w:pStyle w:val="Textoindependiente"/>
        <w:ind w:right="-50"/>
        <w:jc w:val="center"/>
        <w:rPr>
          <w:rFonts w:ascii="Arial" w:hAnsi="Arial" w:cs="Arial"/>
          <w:b/>
          <w:bCs/>
        </w:rPr>
      </w:pPr>
      <w:r w:rsidRPr="00DC61CB">
        <w:rPr>
          <w:rFonts w:ascii="Arial" w:hAnsi="Arial" w:cs="Arial"/>
          <w:b/>
          <w:bCs/>
        </w:rPr>
        <w:t>INFORME DE LA AUTOCALIFICACIÓN DEL SISTEMA DE CONTROL INTERNO CONTABLE:</w:t>
      </w:r>
    </w:p>
    <w:p w14:paraId="14065055" w14:textId="77777777" w:rsidR="00561B22" w:rsidRPr="00DC61C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C61CB" w14:paraId="55E5FD7F" w14:textId="77777777" w:rsidTr="00F1223B">
        <w:tc>
          <w:tcPr>
            <w:tcW w:w="4981" w:type="dxa"/>
          </w:tcPr>
          <w:p w14:paraId="514482FA" w14:textId="77777777" w:rsidR="00561B22" w:rsidRPr="00DC61CB" w:rsidRDefault="00561B22" w:rsidP="00F1223B">
            <w:pPr>
              <w:jc w:val="center"/>
              <w:rPr>
                <w:rFonts w:ascii="Arial" w:hAnsi="Arial" w:cs="Arial"/>
                <w:b/>
                <w:sz w:val="22"/>
                <w:szCs w:val="22"/>
                <w:lang w:val="es-MX"/>
              </w:rPr>
            </w:pPr>
            <w:r w:rsidRPr="00DC61CB">
              <w:rPr>
                <w:rFonts w:ascii="Arial" w:hAnsi="Arial" w:cs="Arial"/>
                <w:b/>
                <w:sz w:val="22"/>
                <w:szCs w:val="22"/>
                <w:lang w:val="es-MX"/>
              </w:rPr>
              <w:t>AUTOCALIFICACIÓN</w:t>
            </w:r>
          </w:p>
        </w:tc>
        <w:tc>
          <w:tcPr>
            <w:tcW w:w="4981" w:type="dxa"/>
          </w:tcPr>
          <w:p w14:paraId="4C619034" w14:textId="77777777" w:rsidR="00561B22" w:rsidRPr="00DC61CB" w:rsidRDefault="00561B22" w:rsidP="00F1223B">
            <w:pPr>
              <w:jc w:val="center"/>
              <w:rPr>
                <w:rFonts w:ascii="Arial" w:hAnsi="Arial" w:cs="Arial"/>
                <w:b/>
                <w:sz w:val="22"/>
                <w:szCs w:val="22"/>
                <w:u w:val="single"/>
                <w:lang w:val="es-MX"/>
              </w:rPr>
            </w:pPr>
            <w:r w:rsidRPr="00DC61CB">
              <w:rPr>
                <w:rFonts w:ascii="Arial" w:hAnsi="Arial" w:cs="Arial"/>
                <w:b/>
                <w:sz w:val="22"/>
                <w:szCs w:val="22"/>
                <w:u w:val="single"/>
                <w:lang w:val="es-MX"/>
              </w:rPr>
              <w:t>4.95</w:t>
            </w:r>
          </w:p>
        </w:tc>
      </w:tr>
    </w:tbl>
    <w:p w14:paraId="733ACC79" w14:textId="77777777" w:rsidR="00561B22" w:rsidRPr="00DC61CB" w:rsidRDefault="00561B22" w:rsidP="00561B22">
      <w:pPr>
        <w:pStyle w:val="Textoindependiente"/>
        <w:ind w:right="-50"/>
        <w:jc w:val="both"/>
        <w:rPr>
          <w:rFonts w:ascii="Arial" w:hAnsi="Arial" w:cs="Arial"/>
          <w:b/>
          <w:bCs/>
        </w:rPr>
      </w:pPr>
    </w:p>
    <w:p w14:paraId="31C327E8" w14:textId="77777777" w:rsidR="00561B22" w:rsidRPr="00DC61CB" w:rsidRDefault="00561B22" w:rsidP="00561B22">
      <w:pPr>
        <w:pStyle w:val="Textoindependiente"/>
        <w:ind w:right="-50"/>
        <w:jc w:val="both"/>
        <w:rPr>
          <w:rFonts w:ascii="Arial" w:hAnsi="Arial" w:cs="Arial"/>
          <w:b/>
          <w:bCs/>
        </w:rPr>
      </w:pPr>
      <w:r w:rsidRPr="00DC61CB">
        <w:rPr>
          <w:rFonts w:ascii="Arial" w:hAnsi="Arial" w:cs="Arial"/>
          <w:b/>
          <w:bCs/>
        </w:rPr>
        <w:lastRenderedPageBreak/>
        <w:t>Del informe enviado retomamos lo siguiente:</w:t>
      </w:r>
    </w:p>
    <w:p w14:paraId="26DEC321" w14:textId="77777777" w:rsidR="00561B22" w:rsidRPr="00DC61C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C61CB" w14:paraId="083EAC7E" w14:textId="77777777" w:rsidTr="00F1223B">
        <w:tc>
          <w:tcPr>
            <w:tcW w:w="562" w:type="dxa"/>
          </w:tcPr>
          <w:p w14:paraId="4AF08647" w14:textId="77777777" w:rsidR="00561B22" w:rsidRPr="00DC61CB" w:rsidRDefault="00561B22" w:rsidP="00F1223B">
            <w:pPr>
              <w:ind w:right="-109"/>
              <w:jc w:val="center"/>
              <w:rPr>
                <w:rFonts w:ascii="Arial" w:hAnsi="Arial" w:cs="Arial"/>
                <w:b/>
                <w:sz w:val="22"/>
                <w:szCs w:val="22"/>
                <w:lang w:val="es-MX"/>
              </w:rPr>
            </w:pPr>
            <w:r w:rsidRPr="00DC61CB">
              <w:rPr>
                <w:rFonts w:ascii="Arial" w:hAnsi="Arial" w:cs="Arial"/>
                <w:b/>
                <w:sz w:val="22"/>
                <w:szCs w:val="22"/>
                <w:lang w:val="es-MX"/>
              </w:rPr>
              <w:t>N°</w:t>
            </w:r>
          </w:p>
        </w:tc>
        <w:tc>
          <w:tcPr>
            <w:tcW w:w="9400" w:type="dxa"/>
          </w:tcPr>
          <w:p w14:paraId="085C41F7" w14:textId="77777777" w:rsidR="00561B22" w:rsidRPr="00DC61CB" w:rsidRDefault="00561B22" w:rsidP="00F1223B">
            <w:pPr>
              <w:jc w:val="center"/>
              <w:rPr>
                <w:rFonts w:ascii="Arial" w:hAnsi="Arial" w:cs="Arial"/>
                <w:b/>
                <w:sz w:val="22"/>
                <w:szCs w:val="22"/>
                <w:lang w:val="es-MX"/>
              </w:rPr>
            </w:pPr>
            <w:r w:rsidRPr="00DC61CB">
              <w:rPr>
                <w:rFonts w:ascii="Arial" w:hAnsi="Arial" w:cs="Arial"/>
                <w:b/>
                <w:sz w:val="22"/>
                <w:szCs w:val="22"/>
                <w:lang w:val="es-MX"/>
              </w:rPr>
              <w:t>DEBILIDADES</w:t>
            </w:r>
          </w:p>
          <w:p w14:paraId="565B50FC" w14:textId="77777777" w:rsidR="00561B22" w:rsidRPr="00DC61CB" w:rsidRDefault="00561B22" w:rsidP="00F1223B">
            <w:pPr>
              <w:jc w:val="center"/>
              <w:rPr>
                <w:rFonts w:ascii="Arial" w:hAnsi="Arial" w:cs="Arial"/>
                <w:b/>
                <w:sz w:val="22"/>
                <w:szCs w:val="22"/>
                <w:lang w:val="es-MX"/>
              </w:rPr>
            </w:pPr>
          </w:p>
        </w:tc>
      </w:tr>
      <w:tr w:rsidR="00561B22" w:rsidRPr="00DC61CB" w14:paraId="5BE13419" w14:textId="77777777" w:rsidTr="00F1223B">
        <w:tc>
          <w:tcPr>
            <w:tcW w:w="562" w:type="dxa"/>
          </w:tcPr>
          <w:p w14:paraId="676C0230" w14:textId="77777777" w:rsidR="00561B22" w:rsidRPr="00DC61CB" w:rsidRDefault="00561B22" w:rsidP="00F1223B">
            <w:pPr>
              <w:jc w:val="center"/>
              <w:rPr>
                <w:rFonts w:ascii="Arial" w:hAnsi="Arial" w:cs="Arial"/>
                <w:b/>
                <w:sz w:val="22"/>
                <w:szCs w:val="22"/>
                <w:lang w:val="es-MX"/>
              </w:rPr>
            </w:pPr>
            <w:r w:rsidRPr="00DC61CB">
              <w:rPr>
                <w:rFonts w:ascii="Arial" w:hAnsi="Arial" w:cs="Arial"/>
                <w:b/>
                <w:sz w:val="22"/>
                <w:szCs w:val="22"/>
                <w:lang w:val="es-MX"/>
              </w:rPr>
              <w:t>1</w:t>
            </w:r>
          </w:p>
        </w:tc>
        <w:tc>
          <w:tcPr>
            <w:tcW w:w="9400" w:type="dxa"/>
          </w:tcPr>
          <w:p w14:paraId="359CCFEB" w14:textId="77777777" w:rsidR="00561B22" w:rsidRPr="00DC61CB" w:rsidRDefault="00561B22" w:rsidP="00F1223B">
            <w:pPr>
              <w:rPr>
                <w:rFonts w:ascii="Arial" w:hAnsi="Arial" w:cs="Arial"/>
                <w:sz w:val="22"/>
                <w:szCs w:val="22"/>
                <w:lang w:val="es-MX"/>
              </w:rPr>
            </w:pPr>
            <w:r w:rsidRPr="00DC61CB">
              <w:rPr>
                <w:rFonts w:ascii="Arial" w:hAnsi="Arial" w:cs="Arial"/>
                <w:sz w:val="22"/>
                <w:szCs w:val="22"/>
                <w:lang w:val="es-MX"/>
              </w:rPr>
              <w:t>Se identiﬁcaron debilidades en los consecutivos de los comprobantes contables.</w:t>
            </w:r>
          </w:p>
        </w:tc>
      </w:tr>
    </w:tbl>
    <w:p w14:paraId="69989918" w14:textId="77777777" w:rsidR="00561B22" w:rsidRPr="00DC61CB" w:rsidRDefault="00561B22" w:rsidP="00561B22">
      <w:pPr>
        <w:pStyle w:val="Textoindependiente"/>
        <w:ind w:right="-50"/>
        <w:jc w:val="both"/>
        <w:rPr>
          <w:rFonts w:ascii="Arial" w:hAnsi="Arial" w:cs="Arial"/>
          <w:b/>
          <w:bCs/>
        </w:rPr>
      </w:pPr>
    </w:p>
    <w:p w14:paraId="1E360AC8" w14:textId="77777777" w:rsidR="00561B22" w:rsidRPr="00DC61CB" w:rsidRDefault="00561B22" w:rsidP="00561B22">
      <w:pPr>
        <w:jc w:val="both"/>
        <w:rPr>
          <w:rFonts w:ascii="Arial" w:hAnsi="Arial" w:cs="Arial"/>
          <w:b/>
          <w:lang w:val="es-MX"/>
        </w:rPr>
      </w:pPr>
      <w:r w:rsidRPr="00DC61CB">
        <w:rPr>
          <w:rFonts w:ascii="Arial" w:hAnsi="Arial" w:cs="Arial"/>
          <w:b/>
          <w:lang w:val="es-MX"/>
        </w:rPr>
        <w:t>Del citado informe retomamos las siguientes recomendaciones:</w:t>
      </w:r>
    </w:p>
    <w:p w14:paraId="1A486510" w14:textId="77777777" w:rsidR="00561B22" w:rsidRPr="00DC61C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C61CB" w14:paraId="1E4D355F" w14:textId="77777777" w:rsidTr="00F1223B">
        <w:tc>
          <w:tcPr>
            <w:tcW w:w="562" w:type="dxa"/>
          </w:tcPr>
          <w:p w14:paraId="6659D873" w14:textId="77777777" w:rsidR="00561B22" w:rsidRPr="00DC61CB" w:rsidRDefault="00561B22" w:rsidP="00F1223B">
            <w:pPr>
              <w:ind w:right="-109"/>
              <w:jc w:val="center"/>
              <w:rPr>
                <w:rFonts w:ascii="Arial" w:hAnsi="Arial" w:cs="Arial"/>
                <w:b/>
                <w:sz w:val="22"/>
                <w:szCs w:val="22"/>
                <w:lang w:val="es-MX"/>
              </w:rPr>
            </w:pPr>
            <w:r w:rsidRPr="00DC61CB">
              <w:rPr>
                <w:rFonts w:ascii="Arial" w:hAnsi="Arial" w:cs="Arial"/>
                <w:b/>
                <w:sz w:val="22"/>
                <w:szCs w:val="22"/>
                <w:lang w:val="es-MX"/>
              </w:rPr>
              <w:t>N°</w:t>
            </w:r>
          </w:p>
        </w:tc>
        <w:tc>
          <w:tcPr>
            <w:tcW w:w="9400" w:type="dxa"/>
          </w:tcPr>
          <w:p w14:paraId="1FD1921D" w14:textId="77777777" w:rsidR="00561B22" w:rsidRPr="00DC61CB" w:rsidRDefault="00561B22" w:rsidP="00F1223B">
            <w:pPr>
              <w:jc w:val="center"/>
              <w:rPr>
                <w:rFonts w:ascii="Arial" w:hAnsi="Arial" w:cs="Arial"/>
                <w:b/>
                <w:sz w:val="22"/>
                <w:szCs w:val="22"/>
                <w:lang w:val="es-MX"/>
              </w:rPr>
            </w:pPr>
            <w:r w:rsidRPr="00DC61CB">
              <w:rPr>
                <w:rFonts w:ascii="Arial" w:hAnsi="Arial" w:cs="Arial"/>
                <w:b/>
                <w:sz w:val="22"/>
                <w:szCs w:val="22"/>
                <w:lang w:val="es-MX"/>
              </w:rPr>
              <w:t>RECOMENDACIONES</w:t>
            </w:r>
          </w:p>
          <w:p w14:paraId="45DF3050" w14:textId="77777777" w:rsidR="00561B22" w:rsidRPr="00DC61CB" w:rsidRDefault="00561B22" w:rsidP="00F1223B">
            <w:pPr>
              <w:jc w:val="center"/>
              <w:rPr>
                <w:rFonts w:ascii="Arial" w:hAnsi="Arial" w:cs="Arial"/>
                <w:b/>
                <w:sz w:val="22"/>
                <w:szCs w:val="22"/>
                <w:lang w:val="es-MX"/>
              </w:rPr>
            </w:pPr>
          </w:p>
        </w:tc>
      </w:tr>
      <w:tr w:rsidR="00561B22" w:rsidRPr="00DC61CB" w14:paraId="0DB7C6AB" w14:textId="77777777" w:rsidTr="00F1223B">
        <w:tc>
          <w:tcPr>
            <w:tcW w:w="562" w:type="dxa"/>
          </w:tcPr>
          <w:p w14:paraId="13053BDB" w14:textId="77777777" w:rsidR="00561B22" w:rsidRPr="00DC61CB" w:rsidRDefault="00561B22" w:rsidP="00F1223B">
            <w:pPr>
              <w:jc w:val="center"/>
              <w:rPr>
                <w:rFonts w:ascii="Arial" w:hAnsi="Arial" w:cs="Arial"/>
                <w:b/>
                <w:sz w:val="22"/>
                <w:szCs w:val="22"/>
                <w:lang w:val="es-MX"/>
              </w:rPr>
            </w:pPr>
            <w:r w:rsidRPr="00DC61CB">
              <w:rPr>
                <w:rFonts w:ascii="Arial" w:hAnsi="Arial" w:cs="Arial"/>
                <w:b/>
                <w:sz w:val="22"/>
                <w:szCs w:val="22"/>
                <w:lang w:val="es-MX"/>
              </w:rPr>
              <w:t>1</w:t>
            </w:r>
          </w:p>
        </w:tc>
        <w:tc>
          <w:tcPr>
            <w:tcW w:w="9400" w:type="dxa"/>
          </w:tcPr>
          <w:p w14:paraId="4AD5F8D4" w14:textId="77777777" w:rsidR="00561B22" w:rsidRPr="00DC61CB" w:rsidRDefault="00561B22" w:rsidP="00F1223B">
            <w:pPr>
              <w:jc w:val="both"/>
              <w:rPr>
                <w:rFonts w:ascii="Arial" w:hAnsi="Arial" w:cs="Arial"/>
                <w:sz w:val="22"/>
                <w:szCs w:val="22"/>
                <w:lang w:val="es-MX"/>
              </w:rPr>
            </w:pPr>
            <w:r w:rsidRPr="00DC61CB">
              <w:rPr>
                <w:rFonts w:ascii="Arial" w:hAnsi="Arial" w:cs="Arial"/>
                <w:sz w:val="22"/>
                <w:szCs w:val="22"/>
                <w:lang w:val="es-MX"/>
              </w:rPr>
              <w:t>Se recomienda continuar con el fortalecimiento y la implementación de los procesos de automatización 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5E4D45F1" w14:textId="77777777" w:rsidR="00561B22" w:rsidRPr="00DC61CB" w:rsidRDefault="00561B22" w:rsidP="00561B22">
      <w:pPr>
        <w:pStyle w:val="Textoindependiente"/>
        <w:ind w:right="-50"/>
        <w:jc w:val="both"/>
        <w:rPr>
          <w:rFonts w:ascii="Arial" w:hAnsi="Arial" w:cs="Arial"/>
          <w:b/>
          <w:bCs/>
        </w:rPr>
      </w:pPr>
    </w:p>
    <w:p w14:paraId="558114C1" w14:textId="77777777" w:rsidR="00561B22" w:rsidRPr="00DC61CB" w:rsidRDefault="00561B22" w:rsidP="00561B22">
      <w:pPr>
        <w:jc w:val="both"/>
        <w:rPr>
          <w:rFonts w:ascii="Arial" w:hAnsi="Arial" w:cs="Arial"/>
          <w:b/>
          <w:bCs/>
          <w:sz w:val="24"/>
          <w:szCs w:val="24"/>
          <w:lang w:val="es-CO"/>
        </w:rPr>
      </w:pPr>
      <w:r w:rsidRPr="00DC61CB">
        <w:rPr>
          <w:rFonts w:ascii="Arial" w:hAnsi="Arial" w:cs="Arial"/>
          <w:b/>
          <w:bCs/>
          <w:sz w:val="24"/>
          <w:szCs w:val="24"/>
          <w:lang w:val="es-CO"/>
        </w:rPr>
        <w:t xml:space="preserve">NOTA: LA ENTIDAD ENVIA LA MATRIZ DE AUTOEVALUACIÓN DEL SISTEMA DE CONTROL INTERNO CONTABLE CON </w:t>
      </w:r>
      <w:r w:rsidRPr="00DC61CB">
        <w:rPr>
          <w:rFonts w:ascii="Arial" w:hAnsi="Arial" w:cs="Arial"/>
          <w:b/>
          <w:bCs/>
          <w:sz w:val="24"/>
          <w:szCs w:val="24"/>
          <w:u w:val="single"/>
          <w:lang w:val="es-CO"/>
        </w:rPr>
        <w:t>ACTIVIDADES DE CONTROL REALIZADAS EN FORMA PARCIAL</w:t>
      </w:r>
      <w:r w:rsidRPr="00DC61CB">
        <w:rPr>
          <w:rFonts w:ascii="Arial" w:hAnsi="Arial" w:cs="Arial"/>
          <w:b/>
          <w:bCs/>
          <w:sz w:val="24"/>
          <w:szCs w:val="24"/>
          <w:lang w:val="es-CO"/>
        </w:rPr>
        <w:t>.</w:t>
      </w:r>
    </w:p>
    <w:p w14:paraId="540600A9" w14:textId="77777777" w:rsidR="00561B22" w:rsidRPr="00DC61CB" w:rsidRDefault="00561B22" w:rsidP="00561B22">
      <w:pPr>
        <w:pStyle w:val="Textoindependiente"/>
        <w:ind w:right="-50"/>
        <w:jc w:val="both"/>
        <w:rPr>
          <w:rFonts w:ascii="Arial" w:hAnsi="Arial" w:cs="Arial"/>
          <w:b/>
          <w:bCs/>
          <w:sz w:val="28"/>
          <w:szCs w:val="28"/>
        </w:rPr>
      </w:pPr>
    </w:p>
    <w:p w14:paraId="0554375A" w14:textId="77777777" w:rsidR="00561B22" w:rsidRPr="00E41EFB" w:rsidRDefault="00561B22" w:rsidP="00561B22">
      <w:pPr>
        <w:ind w:right="49"/>
        <w:jc w:val="both"/>
        <w:rPr>
          <w:rFonts w:ascii="Arial" w:hAnsi="Arial" w:cs="Arial"/>
          <w:b/>
          <w:sz w:val="28"/>
          <w:szCs w:val="28"/>
          <w:lang w:val="es-MX"/>
        </w:rPr>
      </w:pPr>
      <w:r w:rsidRPr="00E41EFB">
        <w:rPr>
          <w:rFonts w:ascii="Arial" w:hAnsi="Arial" w:cs="Arial"/>
          <w:b/>
          <w:sz w:val="28"/>
          <w:szCs w:val="28"/>
          <w:lang w:val="es-MX"/>
        </w:rPr>
        <w:t>190.- PAR ELECTRIFICADORA DE CÓRDOBA S.A. E.S.P EN LIQUIDACIÓN – FIDUPREVISORA S.A.</w:t>
      </w:r>
    </w:p>
    <w:p w14:paraId="0ADC3703" w14:textId="77777777" w:rsidR="00561B22" w:rsidRPr="00DC61CB" w:rsidRDefault="00561B22" w:rsidP="00561B22">
      <w:pPr>
        <w:pStyle w:val="Textoindependiente"/>
        <w:tabs>
          <w:tab w:val="left" w:pos="2055"/>
        </w:tabs>
        <w:spacing w:before="5"/>
        <w:rPr>
          <w:rFonts w:ascii="Arial" w:hAnsi="Arial" w:cs="Arial"/>
        </w:rPr>
      </w:pPr>
    </w:p>
    <w:p w14:paraId="3D373439" w14:textId="77777777" w:rsidR="00561B22" w:rsidRPr="00B333B5" w:rsidRDefault="00561B22" w:rsidP="00561B22">
      <w:pPr>
        <w:pStyle w:val="Textoindependiente"/>
        <w:ind w:right="-50"/>
        <w:jc w:val="center"/>
        <w:rPr>
          <w:rFonts w:ascii="Arial" w:hAnsi="Arial" w:cs="Arial"/>
          <w:b/>
          <w:bCs/>
          <w:sz w:val="20"/>
          <w:szCs w:val="20"/>
        </w:rPr>
      </w:pPr>
      <w:r w:rsidRPr="00B333B5">
        <w:rPr>
          <w:rFonts w:ascii="Arial" w:hAnsi="Arial" w:cs="Arial"/>
          <w:b/>
          <w:bCs/>
          <w:sz w:val="20"/>
          <w:szCs w:val="20"/>
        </w:rPr>
        <w:t>INFORME DE LA AUTOCALIFICACIÓN DEL SISTEMA DE CONTROL INTERNO CONTABLE:</w:t>
      </w:r>
    </w:p>
    <w:p w14:paraId="09DB4926" w14:textId="77777777" w:rsidR="00561B22" w:rsidRPr="00B333B5" w:rsidRDefault="00561B22" w:rsidP="00561B22">
      <w:pPr>
        <w:pStyle w:val="Textoindependiente"/>
        <w:ind w:right="-50"/>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4981"/>
        <w:gridCol w:w="4981"/>
      </w:tblGrid>
      <w:tr w:rsidR="00561B22" w:rsidRPr="00B333B5" w14:paraId="4DE987F5" w14:textId="77777777" w:rsidTr="00F1223B">
        <w:tc>
          <w:tcPr>
            <w:tcW w:w="4981" w:type="dxa"/>
          </w:tcPr>
          <w:p w14:paraId="3C91F37F" w14:textId="77777777" w:rsidR="00561B22" w:rsidRPr="00B333B5" w:rsidRDefault="00561B22" w:rsidP="00F1223B">
            <w:pPr>
              <w:jc w:val="center"/>
              <w:rPr>
                <w:rFonts w:ascii="Arial" w:hAnsi="Arial" w:cs="Arial"/>
                <w:b/>
                <w:lang w:val="es-MX"/>
              </w:rPr>
            </w:pPr>
            <w:r w:rsidRPr="00B333B5">
              <w:rPr>
                <w:rFonts w:ascii="Arial" w:hAnsi="Arial" w:cs="Arial"/>
                <w:b/>
                <w:lang w:val="es-MX"/>
              </w:rPr>
              <w:t>AUTOCALIFICACIÓN</w:t>
            </w:r>
          </w:p>
        </w:tc>
        <w:tc>
          <w:tcPr>
            <w:tcW w:w="4981" w:type="dxa"/>
          </w:tcPr>
          <w:p w14:paraId="46372DEC" w14:textId="77777777" w:rsidR="00561B22" w:rsidRPr="00B333B5" w:rsidRDefault="00561B22" w:rsidP="00F1223B">
            <w:pPr>
              <w:jc w:val="center"/>
              <w:rPr>
                <w:rFonts w:ascii="Arial" w:hAnsi="Arial" w:cs="Arial"/>
                <w:b/>
                <w:u w:val="single"/>
                <w:lang w:val="es-MX"/>
              </w:rPr>
            </w:pPr>
            <w:r w:rsidRPr="00B333B5">
              <w:rPr>
                <w:rFonts w:ascii="Arial" w:hAnsi="Arial" w:cs="Arial"/>
                <w:b/>
                <w:u w:val="single"/>
                <w:lang w:val="es-MX"/>
              </w:rPr>
              <w:t>4.95</w:t>
            </w:r>
          </w:p>
        </w:tc>
      </w:tr>
    </w:tbl>
    <w:p w14:paraId="131197F3" w14:textId="77777777" w:rsidR="00561B22" w:rsidRPr="00B333B5" w:rsidRDefault="00561B22" w:rsidP="00561B22">
      <w:pPr>
        <w:pStyle w:val="Textoindependiente"/>
        <w:ind w:right="-50"/>
        <w:jc w:val="both"/>
        <w:rPr>
          <w:rFonts w:ascii="Arial" w:hAnsi="Arial" w:cs="Arial"/>
          <w:b/>
          <w:bCs/>
          <w:sz w:val="20"/>
          <w:szCs w:val="20"/>
        </w:rPr>
      </w:pPr>
    </w:p>
    <w:p w14:paraId="24FF05DE" w14:textId="77777777" w:rsidR="00561B22" w:rsidRPr="00B333B5" w:rsidRDefault="00561B22" w:rsidP="00561B22">
      <w:pPr>
        <w:pStyle w:val="Textoindependiente"/>
        <w:ind w:right="-50"/>
        <w:jc w:val="both"/>
        <w:rPr>
          <w:rFonts w:ascii="Arial" w:hAnsi="Arial" w:cs="Arial"/>
          <w:b/>
          <w:bCs/>
          <w:sz w:val="20"/>
          <w:szCs w:val="20"/>
        </w:rPr>
      </w:pPr>
      <w:r w:rsidRPr="00B333B5">
        <w:rPr>
          <w:rFonts w:ascii="Arial" w:hAnsi="Arial" w:cs="Arial"/>
          <w:b/>
          <w:bCs/>
          <w:sz w:val="20"/>
          <w:szCs w:val="20"/>
        </w:rPr>
        <w:t>Del informe enviado retomamos lo siguiente:</w:t>
      </w:r>
    </w:p>
    <w:p w14:paraId="6690DF27" w14:textId="77777777" w:rsidR="00561B22" w:rsidRPr="00B333B5" w:rsidRDefault="00561B22" w:rsidP="00561B22">
      <w:pPr>
        <w:pStyle w:val="Textoindependiente"/>
        <w:ind w:right="-50"/>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441"/>
        <w:gridCol w:w="9521"/>
      </w:tblGrid>
      <w:tr w:rsidR="00561B22" w:rsidRPr="00B333B5" w14:paraId="6E2BB84E" w14:textId="77777777" w:rsidTr="00F1223B">
        <w:tc>
          <w:tcPr>
            <w:tcW w:w="441" w:type="dxa"/>
          </w:tcPr>
          <w:p w14:paraId="5ECDBC46" w14:textId="77777777" w:rsidR="00561B22" w:rsidRPr="00B333B5" w:rsidRDefault="00561B22" w:rsidP="00F1223B">
            <w:pPr>
              <w:ind w:right="-109"/>
              <w:jc w:val="center"/>
              <w:rPr>
                <w:rFonts w:ascii="Arial" w:hAnsi="Arial" w:cs="Arial"/>
                <w:b/>
                <w:lang w:val="es-MX"/>
              </w:rPr>
            </w:pPr>
            <w:r w:rsidRPr="00B333B5">
              <w:rPr>
                <w:rFonts w:ascii="Arial" w:hAnsi="Arial" w:cs="Arial"/>
                <w:b/>
                <w:lang w:val="es-MX"/>
              </w:rPr>
              <w:t>N°</w:t>
            </w:r>
          </w:p>
        </w:tc>
        <w:tc>
          <w:tcPr>
            <w:tcW w:w="9521" w:type="dxa"/>
          </w:tcPr>
          <w:p w14:paraId="15BCB2DB" w14:textId="77777777" w:rsidR="00561B22" w:rsidRPr="00B333B5" w:rsidRDefault="00561B22" w:rsidP="00F1223B">
            <w:pPr>
              <w:jc w:val="center"/>
              <w:rPr>
                <w:rFonts w:ascii="Arial" w:hAnsi="Arial" w:cs="Arial"/>
                <w:b/>
                <w:lang w:val="es-MX"/>
              </w:rPr>
            </w:pPr>
            <w:r w:rsidRPr="00B333B5">
              <w:rPr>
                <w:rFonts w:ascii="Arial" w:hAnsi="Arial" w:cs="Arial"/>
                <w:b/>
                <w:lang w:val="es-MX"/>
              </w:rPr>
              <w:t>DEBILIDADES</w:t>
            </w:r>
          </w:p>
          <w:p w14:paraId="032644D8" w14:textId="77777777" w:rsidR="00561B22" w:rsidRPr="00B333B5" w:rsidRDefault="00561B22" w:rsidP="00F1223B">
            <w:pPr>
              <w:jc w:val="center"/>
              <w:rPr>
                <w:rFonts w:ascii="Arial" w:hAnsi="Arial" w:cs="Arial"/>
                <w:b/>
                <w:lang w:val="es-MX"/>
              </w:rPr>
            </w:pPr>
          </w:p>
        </w:tc>
      </w:tr>
      <w:tr w:rsidR="00561B22" w:rsidRPr="00B333B5" w14:paraId="59577C97" w14:textId="77777777" w:rsidTr="00F1223B">
        <w:tc>
          <w:tcPr>
            <w:tcW w:w="441" w:type="dxa"/>
          </w:tcPr>
          <w:p w14:paraId="1E4A7E21" w14:textId="77777777" w:rsidR="00561B22" w:rsidRPr="00B333B5" w:rsidRDefault="00561B22" w:rsidP="00F1223B">
            <w:pPr>
              <w:jc w:val="center"/>
              <w:rPr>
                <w:rFonts w:ascii="Arial" w:hAnsi="Arial" w:cs="Arial"/>
                <w:b/>
                <w:lang w:val="es-MX"/>
              </w:rPr>
            </w:pPr>
            <w:r w:rsidRPr="00B333B5">
              <w:rPr>
                <w:rFonts w:ascii="Arial" w:hAnsi="Arial" w:cs="Arial"/>
                <w:b/>
                <w:lang w:val="es-MX"/>
              </w:rPr>
              <w:t>1</w:t>
            </w:r>
          </w:p>
        </w:tc>
        <w:tc>
          <w:tcPr>
            <w:tcW w:w="9521" w:type="dxa"/>
          </w:tcPr>
          <w:p w14:paraId="2AD570DC" w14:textId="77777777" w:rsidR="00561B22" w:rsidRPr="00B333B5" w:rsidRDefault="00561B22" w:rsidP="00F1223B">
            <w:pPr>
              <w:rPr>
                <w:rFonts w:ascii="Arial" w:hAnsi="Arial" w:cs="Arial"/>
                <w:lang w:val="es-MX"/>
              </w:rPr>
            </w:pPr>
            <w:r w:rsidRPr="00B333B5">
              <w:rPr>
                <w:rFonts w:ascii="Arial" w:hAnsi="Arial" w:cs="Arial"/>
                <w:lang w:val="es-MX"/>
              </w:rPr>
              <w:t>Se identiﬁcaron debilidades en los consecutivos de los comprobantes contables.</w:t>
            </w:r>
          </w:p>
        </w:tc>
      </w:tr>
    </w:tbl>
    <w:p w14:paraId="0C539070" w14:textId="77777777" w:rsidR="00561B22" w:rsidRPr="00B333B5" w:rsidRDefault="00561B22" w:rsidP="00561B22">
      <w:pPr>
        <w:pStyle w:val="Textoindependiente"/>
        <w:ind w:right="-50"/>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562"/>
        <w:gridCol w:w="9400"/>
      </w:tblGrid>
      <w:tr w:rsidR="00561B22" w:rsidRPr="00B333B5" w14:paraId="08A721DD" w14:textId="77777777" w:rsidTr="00F1223B">
        <w:tc>
          <w:tcPr>
            <w:tcW w:w="562" w:type="dxa"/>
          </w:tcPr>
          <w:p w14:paraId="7CD8DB85" w14:textId="77777777" w:rsidR="00561B22" w:rsidRPr="00B333B5" w:rsidRDefault="00561B22" w:rsidP="00F1223B">
            <w:pPr>
              <w:ind w:right="-109"/>
              <w:jc w:val="center"/>
              <w:rPr>
                <w:rFonts w:ascii="Arial" w:hAnsi="Arial" w:cs="Arial"/>
                <w:b/>
                <w:lang w:val="es-MX"/>
              </w:rPr>
            </w:pPr>
            <w:r w:rsidRPr="00B333B5">
              <w:rPr>
                <w:rFonts w:ascii="Arial" w:hAnsi="Arial" w:cs="Arial"/>
                <w:b/>
                <w:lang w:val="es-MX"/>
              </w:rPr>
              <w:t>N°</w:t>
            </w:r>
          </w:p>
        </w:tc>
        <w:tc>
          <w:tcPr>
            <w:tcW w:w="9400" w:type="dxa"/>
          </w:tcPr>
          <w:p w14:paraId="266A7E6B" w14:textId="77777777" w:rsidR="00561B22" w:rsidRPr="00B333B5" w:rsidRDefault="00561B22" w:rsidP="00F1223B">
            <w:pPr>
              <w:jc w:val="center"/>
              <w:rPr>
                <w:rFonts w:ascii="Arial" w:hAnsi="Arial" w:cs="Arial"/>
                <w:b/>
                <w:lang w:val="es-MX"/>
              </w:rPr>
            </w:pPr>
            <w:r w:rsidRPr="00B333B5">
              <w:rPr>
                <w:rFonts w:ascii="Arial" w:hAnsi="Arial" w:cs="Arial"/>
                <w:b/>
                <w:lang w:val="es-MX"/>
              </w:rPr>
              <w:t>RECOMENDACIONES</w:t>
            </w:r>
          </w:p>
          <w:p w14:paraId="5E80A782" w14:textId="77777777" w:rsidR="00561B22" w:rsidRPr="00B333B5" w:rsidRDefault="00561B22" w:rsidP="00F1223B">
            <w:pPr>
              <w:jc w:val="center"/>
              <w:rPr>
                <w:rFonts w:ascii="Arial" w:hAnsi="Arial" w:cs="Arial"/>
                <w:b/>
                <w:lang w:val="es-MX"/>
              </w:rPr>
            </w:pPr>
          </w:p>
        </w:tc>
      </w:tr>
      <w:tr w:rsidR="00561B22" w:rsidRPr="00B333B5" w14:paraId="31AD9EFF" w14:textId="77777777" w:rsidTr="00F1223B">
        <w:tc>
          <w:tcPr>
            <w:tcW w:w="562" w:type="dxa"/>
          </w:tcPr>
          <w:p w14:paraId="0ECAC386" w14:textId="77777777" w:rsidR="00561B22" w:rsidRPr="00B333B5" w:rsidRDefault="00561B22" w:rsidP="00F1223B">
            <w:pPr>
              <w:jc w:val="center"/>
              <w:rPr>
                <w:rFonts w:ascii="Arial" w:hAnsi="Arial" w:cs="Arial"/>
                <w:b/>
                <w:lang w:val="es-MX"/>
              </w:rPr>
            </w:pPr>
            <w:r w:rsidRPr="00B333B5">
              <w:rPr>
                <w:rFonts w:ascii="Arial" w:hAnsi="Arial" w:cs="Arial"/>
                <w:b/>
                <w:lang w:val="es-MX"/>
              </w:rPr>
              <w:t>1</w:t>
            </w:r>
          </w:p>
        </w:tc>
        <w:tc>
          <w:tcPr>
            <w:tcW w:w="9400" w:type="dxa"/>
          </w:tcPr>
          <w:p w14:paraId="13BBB3EA" w14:textId="77777777" w:rsidR="00561B22" w:rsidRPr="00B333B5" w:rsidRDefault="00561B22" w:rsidP="00F1223B">
            <w:pPr>
              <w:jc w:val="both"/>
              <w:rPr>
                <w:rFonts w:ascii="Arial" w:hAnsi="Arial" w:cs="Arial"/>
                <w:lang w:val="es-MX"/>
              </w:rPr>
            </w:pPr>
            <w:r w:rsidRPr="00B333B5">
              <w:rPr>
                <w:rFonts w:ascii="Arial" w:hAnsi="Arial" w:cs="Arial"/>
                <w:lang w:val="es-MX"/>
              </w:rPr>
              <w:t>Se recomienda continuar con el fortalecimiento y la implementación de los procesos de automatización</w:t>
            </w:r>
          </w:p>
          <w:p w14:paraId="22F1CF62" w14:textId="77777777" w:rsidR="00561B22" w:rsidRPr="00B333B5" w:rsidRDefault="00561B22" w:rsidP="00F1223B">
            <w:pPr>
              <w:jc w:val="both"/>
              <w:rPr>
                <w:rFonts w:ascii="Arial" w:hAnsi="Arial" w:cs="Arial"/>
                <w:lang w:val="es-MX"/>
              </w:rPr>
            </w:pPr>
            <w:r w:rsidRPr="00B333B5">
              <w:rPr>
                <w:rFonts w:ascii="Arial" w:hAnsi="Arial" w:cs="Arial"/>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6CB95F8C" w14:textId="77777777" w:rsidR="00561B22" w:rsidRPr="00B333B5" w:rsidRDefault="00561B22" w:rsidP="00561B22">
      <w:pPr>
        <w:pStyle w:val="Textoindependiente"/>
        <w:ind w:right="-50"/>
        <w:jc w:val="both"/>
        <w:rPr>
          <w:rFonts w:ascii="Arial" w:hAnsi="Arial" w:cs="Arial"/>
          <w:b/>
          <w:bCs/>
          <w:sz w:val="28"/>
          <w:szCs w:val="28"/>
        </w:rPr>
      </w:pPr>
    </w:p>
    <w:p w14:paraId="1E935F91" w14:textId="77777777" w:rsidR="00561B22" w:rsidRDefault="00561B22" w:rsidP="00561B22">
      <w:pPr>
        <w:jc w:val="both"/>
        <w:rPr>
          <w:rFonts w:ascii="Arial" w:hAnsi="Arial" w:cs="Arial"/>
          <w:b/>
          <w:bCs/>
          <w:sz w:val="24"/>
          <w:szCs w:val="24"/>
          <w:lang w:val="es-CO"/>
        </w:rPr>
      </w:pPr>
      <w:r w:rsidRPr="00B333B5">
        <w:rPr>
          <w:rFonts w:ascii="Arial" w:hAnsi="Arial" w:cs="Arial"/>
          <w:b/>
          <w:bCs/>
          <w:sz w:val="24"/>
          <w:szCs w:val="24"/>
          <w:lang w:val="es-CO"/>
        </w:rPr>
        <w:t xml:space="preserve">NOTA: LA ENTIDAD ENVIA LA MATRIZ DE AUTOEVALUACIÓN DEL SISTEMA DE CONTROL INTERNO CONTABLE CON </w:t>
      </w:r>
      <w:r w:rsidRPr="00B333B5">
        <w:rPr>
          <w:rFonts w:ascii="Arial" w:hAnsi="Arial" w:cs="Arial"/>
          <w:b/>
          <w:bCs/>
          <w:sz w:val="24"/>
          <w:szCs w:val="24"/>
          <w:u w:val="single"/>
          <w:lang w:val="es-CO"/>
        </w:rPr>
        <w:t>ACTIVIDADES DE CONTROL REALIZADAS EN FORMA PARCIAL</w:t>
      </w:r>
      <w:r w:rsidRPr="00B333B5">
        <w:rPr>
          <w:rFonts w:ascii="Arial" w:hAnsi="Arial" w:cs="Arial"/>
          <w:b/>
          <w:bCs/>
          <w:sz w:val="24"/>
          <w:szCs w:val="24"/>
          <w:lang w:val="es-CO"/>
        </w:rPr>
        <w:t>.</w:t>
      </w:r>
    </w:p>
    <w:p w14:paraId="16C6121F" w14:textId="77777777" w:rsidR="00561B22" w:rsidRDefault="00561B22" w:rsidP="00561B22">
      <w:pPr>
        <w:jc w:val="both"/>
        <w:rPr>
          <w:rFonts w:ascii="Arial" w:hAnsi="Arial" w:cs="Arial"/>
          <w:b/>
          <w:bCs/>
          <w:sz w:val="24"/>
          <w:szCs w:val="24"/>
          <w:lang w:val="es-CO"/>
        </w:rPr>
      </w:pPr>
    </w:p>
    <w:p w14:paraId="47B1FDF0" w14:textId="77777777" w:rsidR="00561B22" w:rsidRPr="001529FA" w:rsidRDefault="00561B22" w:rsidP="00561B22">
      <w:pPr>
        <w:pStyle w:val="Textoindependiente"/>
        <w:ind w:right="-50"/>
        <w:jc w:val="center"/>
        <w:rPr>
          <w:rFonts w:ascii="Arial" w:hAnsi="Arial" w:cs="Arial"/>
          <w:b/>
          <w:bCs/>
        </w:rPr>
      </w:pPr>
      <w:r w:rsidRPr="001529FA">
        <w:rPr>
          <w:rFonts w:ascii="Arial" w:hAnsi="Arial" w:cs="Arial"/>
          <w:b/>
          <w:bCs/>
        </w:rPr>
        <w:t>INFORME DE LA AUTOCALIFICACIÓN DEL SISTEMA DE CONTROL INTERNO CONTABLE:</w:t>
      </w:r>
    </w:p>
    <w:p w14:paraId="1267AF64" w14:textId="77777777" w:rsidR="00561B22" w:rsidRPr="001529F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529FA" w14:paraId="0EF9D8F3" w14:textId="77777777" w:rsidTr="00F1223B">
        <w:tc>
          <w:tcPr>
            <w:tcW w:w="4981" w:type="dxa"/>
          </w:tcPr>
          <w:p w14:paraId="2EC04295" w14:textId="77777777" w:rsidR="00561B22" w:rsidRPr="001529FA" w:rsidRDefault="00561B22" w:rsidP="00F1223B">
            <w:pPr>
              <w:jc w:val="center"/>
              <w:rPr>
                <w:rFonts w:ascii="Arial" w:hAnsi="Arial" w:cs="Arial"/>
                <w:b/>
                <w:sz w:val="22"/>
                <w:szCs w:val="22"/>
                <w:lang w:val="es-MX"/>
              </w:rPr>
            </w:pPr>
            <w:r w:rsidRPr="001529FA">
              <w:rPr>
                <w:rFonts w:ascii="Arial" w:hAnsi="Arial" w:cs="Arial"/>
                <w:b/>
                <w:sz w:val="22"/>
                <w:szCs w:val="22"/>
                <w:lang w:val="es-MX"/>
              </w:rPr>
              <w:t>AUTOCALIFICACIÓN</w:t>
            </w:r>
          </w:p>
        </w:tc>
        <w:tc>
          <w:tcPr>
            <w:tcW w:w="4981" w:type="dxa"/>
          </w:tcPr>
          <w:p w14:paraId="20C70AE6" w14:textId="77777777" w:rsidR="00561B22" w:rsidRPr="001529FA" w:rsidRDefault="00561B22" w:rsidP="00F1223B">
            <w:pPr>
              <w:jc w:val="center"/>
              <w:rPr>
                <w:rFonts w:ascii="Arial" w:hAnsi="Arial" w:cs="Arial"/>
                <w:b/>
                <w:sz w:val="22"/>
                <w:szCs w:val="22"/>
                <w:u w:val="single"/>
                <w:lang w:val="es-MX"/>
              </w:rPr>
            </w:pPr>
            <w:r w:rsidRPr="001529FA">
              <w:rPr>
                <w:rFonts w:ascii="Arial" w:hAnsi="Arial" w:cs="Arial"/>
                <w:b/>
                <w:sz w:val="22"/>
                <w:szCs w:val="22"/>
                <w:u w:val="single"/>
                <w:lang w:val="es-MX"/>
              </w:rPr>
              <w:t>5.00</w:t>
            </w:r>
          </w:p>
        </w:tc>
      </w:tr>
    </w:tbl>
    <w:p w14:paraId="22048904" w14:textId="77777777" w:rsidR="00561B22" w:rsidRPr="001529FA" w:rsidRDefault="00561B22" w:rsidP="00561B22">
      <w:pPr>
        <w:pStyle w:val="Textoindependiente"/>
        <w:ind w:right="-50"/>
        <w:jc w:val="both"/>
        <w:rPr>
          <w:rFonts w:ascii="Arial" w:hAnsi="Arial" w:cs="Arial"/>
          <w:b/>
          <w:bCs/>
        </w:rPr>
      </w:pPr>
    </w:p>
    <w:p w14:paraId="230934C6" w14:textId="77777777" w:rsidR="00561B22" w:rsidRPr="001529FA" w:rsidRDefault="00561B22" w:rsidP="00561B22">
      <w:pPr>
        <w:pStyle w:val="Textoindependiente"/>
        <w:ind w:right="-50"/>
        <w:jc w:val="both"/>
        <w:rPr>
          <w:rFonts w:ascii="Arial" w:hAnsi="Arial" w:cs="Arial"/>
          <w:b/>
          <w:bCs/>
        </w:rPr>
      </w:pPr>
      <w:r w:rsidRPr="001529FA">
        <w:rPr>
          <w:rFonts w:ascii="Arial" w:hAnsi="Arial" w:cs="Arial"/>
          <w:b/>
          <w:bCs/>
        </w:rPr>
        <w:t>Del informe enviado retomamos lo siguiente:</w:t>
      </w:r>
    </w:p>
    <w:p w14:paraId="333A4CFF" w14:textId="77777777" w:rsidR="00561B22" w:rsidRPr="001529F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529FA" w14:paraId="156FDDD7" w14:textId="77777777" w:rsidTr="00F1223B">
        <w:tc>
          <w:tcPr>
            <w:tcW w:w="562" w:type="dxa"/>
          </w:tcPr>
          <w:p w14:paraId="5EA8ADE6" w14:textId="77777777" w:rsidR="00561B22" w:rsidRPr="001529FA" w:rsidRDefault="00561B22" w:rsidP="00F1223B">
            <w:pPr>
              <w:ind w:right="-109"/>
              <w:jc w:val="center"/>
              <w:rPr>
                <w:rFonts w:ascii="Arial" w:hAnsi="Arial" w:cs="Arial"/>
                <w:b/>
                <w:sz w:val="22"/>
                <w:szCs w:val="22"/>
                <w:lang w:val="es-MX"/>
              </w:rPr>
            </w:pPr>
            <w:r w:rsidRPr="001529FA">
              <w:rPr>
                <w:rFonts w:ascii="Arial" w:hAnsi="Arial" w:cs="Arial"/>
                <w:b/>
                <w:sz w:val="22"/>
                <w:szCs w:val="22"/>
                <w:lang w:val="es-MX"/>
              </w:rPr>
              <w:lastRenderedPageBreak/>
              <w:t>N°</w:t>
            </w:r>
          </w:p>
        </w:tc>
        <w:tc>
          <w:tcPr>
            <w:tcW w:w="9400" w:type="dxa"/>
          </w:tcPr>
          <w:p w14:paraId="0824338A" w14:textId="77777777" w:rsidR="00561B22" w:rsidRPr="001529FA" w:rsidRDefault="00561B22" w:rsidP="00F1223B">
            <w:pPr>
              <w:jc w:val="center"/>
              <w:rPr>
                <w:rFonts w:ascii="Arial" w:hAnsi="Arial" w:cs="Arial"/>
                <w:b/>
                <w:sz w:val="22"/>
                <w:szCs w:val="22"/>
                <w:lang w:val="es-MX"/>
              </w:rPr>
            </w:pPr>
            <w:r w:rsidRPr="001529FA">
              <w:rPr>
                <w:rFonts w:ascii="Arial" w:hAnsi="Arial" w:cs="Arial"/>
                <w:b/>
                <w:sz w:val="22"/>
                <w:szCs w:val="22"/>
                <w:lang w:val="es-MX"/>
              </w:rPr>
              <w:t>RECOMENDACIONES</w:t>
            </w:r>
          </w:p>
          <w:p w14:paraId="6FD9E695" w14:textId="77777777" w:rsidR="00561B22" w:rsidRPr="001529FA" w:rsidRDefault="00561B22" w:rsidP="00F1223B">
            <w:pPr>
              <w:jc w:val="center"/>
              <w:rPr>
                <w:rFonts w:ascii="Arial" w:hAnsi="Arial" w:cs="Arial"/>
                <w:b/>
                <w:sz w:val="22"/>
                <w:szCs w:val="22"/>
                <w:lang w:val="es-MX"/>
              </w:rPr>
            </w:pPr>
          </w:p>
        </w:tc>
      </w:tr>
      <w:tr w:rsidR="00561B22" w:rsidRPr="001529FA" w14:paraId="5AA1AD22" w14:textId="77777777" w:rsidTr="00F1223B">
        <w:tc>
          <w:tcPr>
            <w:tcW w:w="562" w:type="dxa"/>
          </w:tcPr>
          <w:p w14:paraId="7F9E3062" w14:textId="77777777" w:rsidR="00561B22" w:rsidRPr="001529FA" w:rsidRDefault="00561B22" w:rsidP="00F1223B">
            <w:pPr>
              <w:jc w:val="center"/>
              <w:rPr>
                <w:rFonts w:ascii="Arial" w:hAnsi="Arial" w:cs="Arial"/>
                <w:b/>
                <w:sz w:val="22"/>
                <w:szCs w:val="22"/>
                <w:lang w:val="es-MX"/>
              </w:rPr>
            </w:pPr>
            <w:r w:rsidRPr="001529FA">
              <w:rPr>
                <w:rFonts w:ascii="Arial" w:hAnsi="Arial" w:cs="Arial"/>
                <w:b/>
                <w:sz w:val="22"/>
                <w:szCs w:val="22"/>
                <w:lang w:val="es-MX"/>
              </w:rPr>
              <w:t>1</w:t>
            </w:r>
          </w:p>
        </w:tc>
        <w:tc>
          <w:tcPr>
            <w:tcW w:w="9400" w:type="dxa"/>
          </w:tcPr>
          <w:p w14:paraId="72B3110A" w14:textId="77777777" w:rsidR="00561B22" w:rsidRPr="001529FA" w:rsidRDefault="00561B22" w:rsidP="00F1223B">
            <w:pPr>
              <w:jc w:val="both"/>
              <w:rPr>
                <w:rFonts w:ascii="Arial" w:hAnsi="Arial" w:cs="Arial"/>
                <w:sz w:val="22"/>
                <w:szCs w:val="22"/>
                <w:lang w:val="es-MX"/>
              </w:rPr>
            </w:pPr>
            <w:r w:rsidRPr="001529FA">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 La automatización puede brindar mayor precisión, eficiencia y consistencia en las operaciones contables, agilizando significativamente el tiempo de procesamiento de datos y reduciendo la posibilidad de errores.</w:t>
            </w:r>
          </w:p>
        </w:tc>
      </w:tr>
    </w:tbl>
    <w:p w14:paraId="682BB951" w14:textId="77777777" w:rsidR="00423C1C" w:rsidRDefault="00423C1C" w:rsidP="00561B22">
      <w:pPr>
        <w:jc w:val="both"/>
        <w:rPr>
          <w:rFonts w:ascii="Arial" w:hAnsi="Arial" w:cs="Arial"/>
          <w:b/>
          <w:sz w:val="28"/>
          <w:szCs w:val="28"/>
          <w:lang w:val="es-MX"/>
        </w:rPr>
      </w:pPr>
    </w:p>
    <w:p w14:paraId="077BDEFA" w14:textId="11F11127" w:rsidR="00561B22" w:rsidRPr="00F24E84" w:rsidRDefault="00561B22" w:rsidP="00561B22">
      <w:pPr>
        <w:jc w:val="both"/>
        <w:rPr>
          <w:rFonts w:ascii="Arial" w:hAnsi="Arial" w:cs="Arial"/>
          <w:b/>
          <w:sz w:val="28"/>
          <w:szCs w:val="28"/>
          <w:lang w:val="es-MX"/>
        </w:rPr>
      </w:pPr>
      <w:r w:rsidRPr="00F24E84">
        <w:rPr>
          <w:rFonts w:ascii="Arial" w:hAnsi="Arial" w:cs="Arial"/>
          <w:b/>
          <w:sz w:val="28"/>
          <w:szCs w:val="28"/>
          <w:lang w:val="es-MX"/>
        </w:rPr>
        <w:t>192.- PAR ELECTRIFICADORA DEL ATLÁNTICO S.A. E.S.P. EN LIQUIDACIÓN – FIDUPREVISORA S.A.</w:t>
      </w:r>
    </w:p>
    <w:p w14:paraId="3625C655" w14:textId="77777777" w:rsidR="00561B22" w:rsidRDefault="00561B22" w:rsidP="00561B22">
      <w:pPr>
        <w:pStyle w:val="Textoindependiente"/>
        <w:ind w:right="-50"/>
        <w:jc w:val="both"/>
        <w:rPr>
          <w:rFonts w:ascii="Arial" w:hAnsi="Arial" w:cs="Arial"/>
          <w:b/>
        </w:rPr>
      </w:pPr>
    </w:p>
    <w:p w14:paraId="6236767B" w14:textId="77777777" w:rsidR="00561B22" w:rsidRPr="00F24E84" w:rsidRDefault="00561B22" w:rsidP="00561B22">
      <w:pPr>
        <w:pStyle w:val="Textoindependiente"/>
        <w:ind w:right="-50"/>
        <w:jc w:val="center"/>
        <w:rPr>
          <w:rFonts w:ascii="Arial" w:hAnsi="Arial" w:cs="Arial"/>
          <w:b/>
          <w:bCs/>
        </w:rPr>
      </w:pPr>
      <w:r w:rsidRPr="00F24E84">
        <w:rPr>
          <w:rFonts w:ascii="Arial" w:hAnsi="Arial" w:cs="Arial"/>
          <w:b/>
          <w:bCs/>
        </w:rPr>
        <w:t>INFORME DE LA AUTOCALIFICACIÓN DEL SISTEMA DE CONTROL INTERNO CONTABLE:</w:t>
      </w:r>
    </w:p>
    <w:p w14:paraId="5E6C3116" w14:textId="77777777" w:rsidR="00561B22" w:rsidRPr="00F24E8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24E84" w14:paraId="05DCD8F6" w14:textId="77777777" w:rsidTr="00F1223B">
        <w:tc>
          <w:tcPr>
            <w:tcW w:w="4981" w:type="dxa"/>
          </w:tcPr>
          <w:p w14:paraId="77A4021D" w14:textId="77777777" w:rsidR="00561B22" w:rsidRPr="00F24E84" w:rsidRDefault="00561B22" w:rsidP="00F1223B">
            <w:pPr>
              <w:jc w:val="center"/>
              <w:rPr>
                <w:rFonts w:ascii="Arial" w:hAnsi="Arial" w:cs="Arial"/>
                <w:b/>
                <w:sz w:val="22"/>
                <w:szCs w:val="22"/>
                <w:lang w:val="es-MX"/>
              </w:rPr>
            </w:pPr>
            <w:r w:rsidRPr="00F24E84">
              <w:rPr>
                <w:rFonts w:ascii="Arial" w:hAnsi="Arial" w:cs="Arial"/>
                <w:b/>
                <w:sz w:val="22"/>
                <w:szCs w:val="22"/>
                <w:lang w:val="es-MX"/>
              </w:rPr>
              <w:t>AUTOCALIFICACIÓN</w:t>
            </w:r>
          </w:p>
        </w:tc>
        <w:tc>
          <w:tcPr>
            <w:tcW w:w="4981" w:type="dxa"/>
          </w:tcPr>
          <w:p w14:paraId="69F20CAB" w14:textId="77777777" w:rsidR="00561B22" w:rsidRPr="00F24E84" w:rsidRDefault="00561B22" w:rsidP="00F1223B">
            <w:pPr>
              <w:jc w:val="center"/>
              <w:rPr>
                <w:rFonts w:ascii="Arial" w:hAnsi="Arial" w:cs="Arial"/>
                <w:b/>
                <w:sz w:val="22"/>
                <w:szCs w:val="22"/>
                <w:u w:val="single"/>
                <w:lang w:val="es-MX"/>
              </w:rPr>
            </w:pPr>
            <w:r w:rsidRPr="00F24E84">
              <w:rPr>
                <w:rFonts w:ascii="Arial" w:hAnsi="Arial" w:cs="Arial"/>
                <w:b/>
                <w:sz w:val="22"/>
                <w:szCs w:val="22"/>
                <w:u w:val="single"/>
                <w:lang w:val="es-MX"/>
              </w:rPr>
              <w:t>5.00</w:t>
            </w:r>
          </w:p>
        </w:tc>
      </w:tr>
    </w:tbl>
    <w:p w14:paraId="047C0ADF" w14:textId="77777777" w:rsidR="00561B22" w:rsidRPr="00F24E84" w:rsidRDefault="00561B22" w:rsidP="00561B22">
      <w:pPr>
        <w:pStyle w:val="Textoindependiente"/>
        <w:ind w:right="-50"/>
        <w:jc w:val="both"/>
        <w:rPr>
          <w:rFonts w:ascii="Arial" w:hAnsi="Arial" w:cs="Arial"/>
          <w:b/>
          <w:bCs/>
        </w:rPr>
      </w:pPr>
    </w:p>
    <w:p w14:paraId="25B9B4A7" w14:textId="77777777" w:rsidR="00561B22" w:rsidRPr="00F24E84" w:rsidRDefault="00561B22" w:rsidP="00561B22">
      <w:pPr>
        <w:pStyle w:val="Textoindependiente"/>
        <w:ind w:right="-50"/>
        <w:jc w:val="both"/>
        <w:rPr>
          <w:rFonts w:ascii="Arial" w:hAnsi="Arial" w:cs="Arial"/>
          <w:b/>
          <w:bCs/>
        </w:rPr>
      </w:pPr>
      <w:r w:rsidRPr="00F24E84">
        <w:rPr>
          <w:rFonts w:ascii="Arial" w:hAnsi="Arial" w:cs="Arial"/>
          <w:b/>
          <w:bCs/>
        </w:rPr>
        <w:t>Del informe enviado retomamos lo siguiente:</w:t>
      </w:r>
    </w:p>
    <w:p w14:paraId="60542184" w14:textId="77777777" w:rsidR="00561B22" w:rsidRPr="00F24E8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24E84" w14:paraId="1687A983" w14:textId="77777777" w:rsidTr="00F1223B">
        <w:tc>
          <w:tcPr>
            <w:tcW w:w="562" w:type="dxa"/>
          </w:tcPr>
          <w:p w14:paraId="16969D4C" w14:textId="77777777" w:rsidR="00561B22" w:rsidRPr="00F24E84" w:rsidRDefault="00561B22" w:rsidP="00F1223B">
            <w:pPr>
              <w:ind w:right="-109"/>
              <w:jc w:val="center"/>
              <w:rPr>
                <w:rFonts w:ascii="Arial" w:hAnsi="Arial" w:cs="Arial"/>
                <w:b/>
                <w:sz w:val="22"/>
                <w:szCs w:val="22"/>
                <w:lang w:val="es-MX"/>
              </w:rPr>
            </w:pPr>
            <w:r w:rsidRPr="00F24E84">
              <w:rPr>
                <w:rFonts w:ascii="Arial" w:hAnsi="Arial" w:cs="Arial"/>
                <w:b/>
                <w:sz w:val="22"/>
                <w:szCs w:val="22"/>
                <w:lang w:val="es-MX"/>
              </w:rPr>
              <w:t>N°</w:t>
            </w:r>
          </w:p>
        </w:tc>
        <w:tc>
          <w:tcPr>
            <w:tcW w:w="9400" w:type="dxa"/>
          </w:tcPr>
          <w:p w14:paraId="2B1D2602" w14:textId="77777777" w:rsidR="00561B22" w:rsidRPr="00F24E84" w:rsidRDefault="00561B22" w:rsidP="00F1223B">
            <w:pPr>
              <w:jc w:val="center"/>
              <w:rPr>
                <w:rFonts w:ascii="Arial" w:hAnsi="Arial" w:cs="Arial"/>
                <w:b/>
                <w:sz w:val="22"/>
                <w:szCs w:val="22"/>
                <w:lang w:val="es-MX"/>
              </w:rPr>
            </w:pPr>
            <w:r w:rsidRPr="00F24E84">
              <w:rPr>
                <w:rFonts w:ascii="Arial" w:hAnsi="Arial" w:cs="Arial"/>
                <w:b/>
                <w:sz w:val="22"/>
                <w:szCs w:val="22"/>
                <w:lang w:val="es-MX"/>
              </w:rPr>
              <w:t>RECOMENDACIONES</w:t>
            </w:r>
          </w:p>
          <w:p w14:paraId="1847D373" w14:textId="77777777" w:rsidR="00561B22" w:rsidRPr="00F24E84" w:rsidRDefault="00561B22" w:rsidP="00F1223B">
            <w:pPr>
              <w:jc w:val="center"/>
              <w:rPr>
                <w:rFonts w:ascii="Arial" w:hAnsi="Arial" w:cs="Arial"/>
                <w:b/>
                <w:sz w:val="22"/>
                <w:szCs w:val="22"/>
                <w:lang w:val="es-MX"/>
              </w:rPr>
            </w:pPr>
          </w:p>
        </w:tc>
      </w:tr>
      <w:tr w:rsidR="00561B22" w:rsidRPr="00F24E84" w14:paraId="67657721" w14:textId="77777777" w:rsidTr="00F1223B">
        <w:tc>
          <w:tcPr>
            <w:tcW w:w="562" w:type="dxa"/>
          </w:tcPr>
          <w:p w14:paraId="6D7ECC0C" w14:textId="77777777" w:rsidR="00561B22" w:rsidRPr="00F24E84" w:rsidRDefault="00561B22" w:rsidP="00F1223B">
            <w:pPr>
              <w:jc w:val="center"/>
              <w:rPr>
                <w:rFonts w:ascii="Arial" w:hAnsi="Arial" w:cs="Arial"/>
                <w:b/>
                <w:sz w:val="22"/>
                <w:szCs w:val="22"/>
                <w:lang w:val="es-MX"/>
              </w:rPr>
            </w:pPr>
            <w:r w:rsidRPr="00F24E84">
              <w:rPr>
                <w:rFonts w:ascii="Arial" w:hAnsi="Arial" w:cs="Arial"/>
                <w:b/>
                <w:sz w:val="22"/>
                <w:szCs w:val="22"/>
                <w:lang w:val="es-MX"/>
              </w:rPr>
              <w:t>1</w:t>
            </w:r>
          </w:p>
        </w:tc>
        <w:tc>
          <w:tcPr>
            <w:tcW w:w="9400" w:type="dxa"/>
          </w:tcPr>
          <w:p w14:paraId="3466D0CF" w14:textId="77777777" w:rsidR="00561B22" w:rsidRPr="00F24E84" w:rsidRDefault="00561B22" w:rsidP="00F1223B">
            <w:pPr>
              <w:jc w:val="both"/>
              <w:rPr>
                <w:rFonts w:ascii="Arial" w:hAnsi="Arial" w:cs="Arial"/>
                <w:sz w:val="22"/>
                <w:szCs w:val="22"/>
                <w:lang w:val="es-MX"/>
              </w:rPr>
            </w:pPr>
            <w:r w:rsidRPr="00F24E84">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 La automatización puede brindar mayor precisión, eficiencia y consistencia en las operaciones contables, agilizando significativamente el tiempo de procesamiento de datos y reduciendo la posibilidad de errores.</w:t>
            </w:r>
          </w:p>
        </w:tc>
      </w:tr>
    </w:tbl>
    <w:p w14:paraId="3A981657" w14:textId="77777777" w:rsidR="00561B22" w:rsidRPr="00F24E84" w:rsidRDefault="00561B22" w:rsidP="00561B22">
      <w:pPr>
        <w:pStyle w:val="Textoindependiente"/>
        <w:ind w:right="-50"/>
        <w:jc w:val="both"/>
        <w:rPr>
          <w:rFonts w:ascii="Arial" w:hAnsi="Arial" w:cs="Arial"/>
          <w:b/>
          <w:bCs/>
        </w:rPr>
      </w:pPr>
    </w:p>
    <w:p w14:paraId="779DC9EA" w14:textId="77777777" w:rsidR="00561B22" w:rsidRPr="00A0249F" w:rsidRDefault="00561B22" w:rsidP="00561B22">
      <w:pPr>
        <w:jc w:val="both"/>
        <w:rPr>
          <w:rFonts w:ascii="Arial" w:hAnsi="Arial" w:cs="Arial"/>
          <w:b/>
          <w:sz w:val="28"/>
          <w:szCs w:val="28"/>
          <w:lang w:val="es-MX"/>
        </w:rPr>
      </w:pPr>
      <w:r w:rsidRPr="00A0249F">
        <w:rPr>
          <w:rFonts w:ascii="Arial" w:hAnsi="Arial" w:cs="Arial"/>
          <w:b/>
          <w:sz w:val="28"/>
          <w:szCs w:val="28"/>
          <w:lang w:val="es-MX"/>
        </w:rPr>
        <w:t>193.- PAR ELECTRIFICADORA DEL MAGDALENA S.A. E.S.P. EN LIQUIDACIÓN – FIDUPREVISORA S.A.</w:t>
      </w:r>
    </w:p>
    <w:p w14:paraId="7B580CB1" w14:textId="77777777" w:rsidR="00561B22" w:rsidRPr="00F24E84" w:rsidRDefault="00561B22" w:rsidP="00561B22">
      <w:pPr>
        <w:pStyle w:val="Textoindependiente"/>
        <w:ind w:right="-50"/>
        <w:jc w:val="both"/>
        <w:rPr>
          <w:rFonts w:ascii="Arial" w:hAnsi="Arial" w:cs="Arial"/>
          <w:b/>
        </w:rPr>
      </w:pPr>
    </w:p>
    <w:p w14:paraId="7BEBD7B6" w14:textId="77777777" w:rsidR="00561B22" w:rsidRPr="00A0249F" w:rsidRDefault="00561B22" w:rsidP="00561B22">
      <w:pPr>
        <w:pStyle w:val="Textoindependiente"/>
        <w:ind w:right="-50"/>
        <w:jc w:val="both"/>
        <w:rPr>
          <w:rFonts w:ascii="Arial" w:hAnsi="Arial" w:cs="Arial"/>
          <w:b/>
          <w:bCs/>
          <w:sz w:val="24"/>
          <w:szCs w:val="24"/>
        </w:rPr>
      </w:pPr>
      <w:r w:rsidRPr="00A0249F">
        <w:rPr>
          <w:rFonts w:ascii="Arial" w:hAnsi="Arial" w:cs="Arial"/>
          <w:b/>
          <w:bCs/>
          <w:sz w:val="24"/>
          <w:szCs w:val="24"/>
        </w:rPr>
        <w:t>“Párrafo de Énfasis – Negocio Fiduciario en Liquidación.</w:t>
      </w:r>
    </w:p>
    <w:p w14:paraId="21BF533C" w14:textId="77777777" w:rsidR="00561B22" w:rsidRPr="00A0249F" w:rsidRDefault="00561B22" w:rsidP="00561B22">
      <w:pPr>
        <w:pStyle w:val="Textoindependiente"/>
        <w:ind w:right="-50"/>
        <w:jc w:val="both"/>
        <w:rPr>
          <w:rFonts w:ascii="Arial" w:hAnsi="Arial" w:cs="Arial"/>
          <w:b/>
          <w:bCs/>
          <w:sz w:val="24"/>
          <w:szCs w:val="24"/>
        </w:rPr>
      </w:pPr>
    </w:p>
    <w:p w14:paraId="43E8F0D9" w14:textId="77777777" w:rsidR="00561B22" w:rsidRPr="00A0249F" w:rsidRDefault="00561B22" w:rsidP="00561B22">
      <w:pPr>
        <w:pStyle w:val="Textoindependiente"/>
        <w:ind w:right="-50"/>
        <w:jc w:val="both"/>
        <w:rPr>
          <w:rFonts w:ascii="Arial" w:hAnsi="Arial" w:cs="Arial"/>
          <w:sz w:val="24"/>
          <w:szCs w:val="24"/>
        </w:rPr>
      </w:pPr>
      <w:r w:rsidRPr="00A0249F">
        <w:rPr>
          <w:rFonts w:ascii="Arial" w:hAnsi="Arial" w:cs="Arial"/>
          <w:sz w:val="24"/>
          <w:szCs w:val="24"/>
        </w:rPr>
        <w:t>Sin calificar mi informe, tal y como lo menciona la nota 1, el negocio fiduciario al 31 de diciembre de 2024 se encuentra en proceso de liquidación en virtud del cumplimiento del objeto contractual, razón por la cual Fiduprevisora S.A. se encuentra gestionando las actividades para la liquidación del negocio fiduciario.”</w:t>
      </w:r>
    </w:p>
    <w:p w14:paraId="5A6C9CAE" w14:textId="77777777" w:rsidR="00561B22" w:rsidRDefault="00561B22" w:rsidP="00561B22">
      <w:pPr>
        <w:jc w:val="both"/>
        <w:rPr>
          <w:rFonts w:ascii="Arial" w:hAnsi="Arial" w:cs="Arial"/>
          <w:b/>
          <w:bCs/>
          <w:sz w:val="24"/>
          <w:szCs w:val="24"/>
        </w:rPr>
      </w:pPr>
    </w:p>
    <w:p w14:paraId="13C3B5FA" w14:textId="77777777" w:rsidR="00561B22" w:rsidRPr="0010470F" w:rsidRDefault="00561B22" w:rsidP="00561B22">
      <w:pPr>
        <w:ind w:right="-93"/>
        <w:jc w:val="both"/>
        <w:rPr>
          <w:rFonts w:ascii="Arial" w:hAnsi="Arial" w:cs="Arial"/>
          <w:b/>
          <w:sz w:val="28"/>
          <w:szCs w:val="28"/>
          <w:lang w:val="es-MX"/>
        </w:rPr>
      </w:pPr>
      <w:r w:rsidRPr="0010470F">
        <w:rPr>
          <w:rFonts w:ascii="Arial" w:hAnsi="Arial" w:cs="Arial"/>
          <w:b/>
          <w:sz w:val="28"/>
          <w:szCs w:val="28"/>
          <w:lang w:val="es-MX"/>
        </w:rPr>
        <w:t>194.- PAR ELECTRIFICADORA DE SUCRE S.A. E.S.P. EN LIQUIDACIÓN – FIDUPREVISORA S.A.</w:t>
      </w:r>
    </w:p>
    <w:p w14:paraId="5628E779" w14:textId="77777777" w:rsidR="00561B22" w:rsidRDefault="00561B22" w:rsidP="00561B22">
      <w:pPr>
        <w:jc w:val="both"/>
        <w:rPr>
          <w:rFonts w:ascii="Arial" w:hAnsi="Arial" w:cs="Arial"/>
          <w:b/>
          <w:bCs/>
          <w:sz w:val="24"/>
          <w:szCs w:val="24"/>
        </w:rPr>
      </w:pPr>
    </w:p>
    <w:p w14:paraId="7A44FAE0" w14:textId="77777777" w:rsidR="00561B22" w:rsidRPr="004873D5" w:rsidRDefault="00561B22" w:rsidP="00561B22">
      <w:pPr>
        <w:pStyle w:val="Textoindependiente"/>
        <w:ind w:right="-50"/>
        <w:jc w:val="center"/>
        <w:rPr>
          <w:rFonts w:ascii="Arial" w:hAnsi="Arial" w:cs="Arial"/>
          <w:b/>
          <w:bCs/>
        </w:rPr>
      </w:pPr>
      <w:r w:rsidRPr="004873D5">
        <w:rPr>
          <w:rFonts w:ascii="Arial" w:hAnsi="Arial" w:cs="Arial"/>
          <w:b/>
          <w:bCs/>
        </w:rPr>
        <w:t>INFORME DE LA AUTOCALIFICACIÓN DEL SISTEMA DE CONTROL INTERNO CONTABLE:</w:t>
      </w:r>
    </w:p>
    <w:p w14:paraId="43594F1F" w14:textId="77777777" w:rsidR="00561B22" w:rsidRPr="004873D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873D5" w14:paraId="57DF19EA" w14:textId="77777777" w:rsidTr="00F1223B">
        <w:tc>
          <w:tcPr>
            <w:tcW w:w="4981" w:type="dxa"/>
          </w:tcPr>
          <w:p w14:paraId="543D39E4" w14:textId="77777777" w:rsidR="00561B22" w:rsidRPr="004873D5" w:rsidRDefault="00561B22" w:rsidP="00F1223B">
            <w:pPr>
              <w:jc w:val="center"/>
              <w:rPr>
                <w:rFonts w:ascii="Arial" w:hAnsi="Arial" w:cs="Arial"/>
                <w:b/>
                <w:sz w:val="22"/>
                <w:szCs w:val="22"/>
                <w:lang w:val="es-MX"/>
              </w:rPr>
            </w:pPr>
            <w:r w:rsidRPr="004873D5">
              <w:rPr>
                <w:rFonts w:ascii="Arial" w:hAnsi="Arial" w:cs="Arial"/>
                <w:b/>
                <w:sz w:val="22"/>
                <w:szCs w:val="22"/>
                <w:lang w:val="es-MX"/>
              </w:rPr>
              <w:t>AUTOCALIFICACIÓN</w:t>
            </w:r>
          </w:p>
        </w:tc>
        <w:tc>
          <w:tcPr>
            <w:tcW w:w="4981" w:type="dxa"/>
          </w:tcPr>
          <w:p w14:paraId="4BE2D3AB" w14:textId="77777777" w:rsidR="00561B22" w:rsidRPr="004873D5" w:rsidRDefault="00561B22" w:rsidP="00F1223B">
            <w:pPr>
              <w:jc w:val="center"/>
              <w:rPr>
                <w:rFonts w:ascii="Arial" w:hAnsi="Arial" w:cs="Arial"/>
                <w:b/>
                <w:sz w:val="22"/>
                <w:szCs w:val="22"/>
                <w:u w:val="single"/>
                <w:lang w:val="es-MX"/>
              </w:rPr>
            </w:pPr>
            <w:r w:rsidRPr="004873D5">
              <w:rPr>
                <w:rFonts w:ascii="Arial" w:hAnsi="Arial" w:cs="Arial"/>
                <w:b/>
                <w:sz w:val="22"/>
                <w:szCs w:val="22"/>
                <w:u w:val="single"/>
                <w:lang w:val="es-MX"/>
              </w:rPr>
              <w:t>4.95</w:t>
            </w:r>
          </w:p>
        </w:tc>
      </w:tr>
    </w:tbl>
    <w:p w14:paraId="24F21B33" w14:textId="77777777" w:rsidR="00561B22" w:rsidRPr="004873D5" w:rsidRDefault="00561B22" w:rsidP="00561B22">
      <w:pPr>
        <w:pStyle w:val="Textoindependiente"/>
        <w:ind w:right="-50"/>
        <w:jc w:val="both"/>
        <w:rPr>
          <w:rFonts w:ascii="Arial" w:hAnsi="Arial" w:cs="Arial"/>
          <w:b/>
          <w:bCs/>
        </w:rPr>
      </w:pPr>
    </w:p>
    <w:p w14:paraId="770A2A4C" w14:textId="77777777" w:rsidR="00561B22" w:rsidRPr="004873D5" w:rsidRDefault="00561B22" w:rsidP="00561B22">
      <w:pPr>
        <w:pStyle w:val="Textoindependiente"/>
        <w:ind w:right="-50"/>
        <w:jc w:val="both"/>
        <w:rPr>
          <w:rFonts w:ascii="Arial" w:hAnsi="Arial" w:cs="Arial"/>
          <w:b/>
          <w:bCs/>
        </w:rPr>
      </w:pPr>
      <w:r w:rsidRPr="004873D5">
        <w:rPr>
          <w:rFonts w:ascii="Arial" w:hAnsi="Arial" w:cs="Arial"/>
          <w:b/>
          <w:bCs/>
        </w:rPr>
        <w:t>Del informe enviado retomamos lo siguiente:</w:t>
      </w:r>
    </w:p>
    <w:p w14:paraId="5C059D58" w14:textId="77777777" w:rsidR="00561B22" w:rsidRPr="004873D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873D5" w14:paraId="4240ED38" w14:textId="77777777" w:rsidTr="00F1223B">
        <w:tc>
          <w:tcPr>
            <w:tcW w:w="562" w:type="dxa"/>
          </w:tcPr>
          <w:p w14:paraId="5E721CFF" w14:textId="77777777" w:rsidR="00561B22" w:rsidRPr="004873D5" w:rsidRDefault="00561B22" w:rsidP="00F1223B">
            <w:pPr>
              <w:ind w:right="-109"/>
              <w:jc w:val="center"/>
              <w:rPr>
                <w:rFonts w:ascii="Arial" w:hAnsi="Arial" w:cs="Arial"/>
                <w:b/>
                <w:sz w:val="22"/>
                <w:szCs w:val="22"/>
                <w:lang w:val="es-MX"/>
              </w:rPr>
            </w:pPr>
            <w:r w:rsidRPr="004873D5">
              <w:rPr>
                <w:rFonts w:ascii="Arial" w:hAnsi="Arial" w:cs="Arial"/>
                <w:b/>
                <w:sz w:val="22"/>
                <w:szCs w:val="22"/>
                <w:lang w:val="es-MX"/>
              </w:rPr>
              <w:t>N°</w:t>
            </w:r>
          </w:p>
        </w:tc>
        <w:tc>
          <w:tcPr>
            <w:tcW w:w="9400" w:type="dxa"/>
          </w:tcPr>
          <w:p w14:paraId="5ACF4F48" w14:textId="77777777" w:rsidR="00561B22" w:rsidRPr="004873D5" w:rsidRDefault="00561B22" w:rsidP="00F1223B">
            <w:pPr>
              <w:jc w:val="center"/>
              <w:rPr>
                <w:rFonts w:ascii="Arial" w:hAnsi="Arial" w:cs="Arial"/>
                <w:b/>
                <w:sz w:val="22"/>
                <w:szCs w:val="22"/>
                <w:lang w:val="es-MX"/>
              </w:rPr>
            </w:pPr>
            <w:r w:rsidRPr="004873D5">
              <w:rPr>
                <w:rFonts w:ascii="Arial" w:hAnsi="Arial" w:cs="Arial"/>
                <w:b/>
                <w:sz w:val="22"/>
                <w:szCs w:val="22"/>
                <w:lang w:val="es-MX"/>
              </w:rPr>
              <w:t>DEBILIDADES</w:t>
            </w:r>
          </w:p>
          <w:p w14:paraId="5E216588" w14:textId="77777777" w:rsidR="00561B22" w:rsidRPr="004873D5" w:rsidRDefault="00561B22" w:rsidP="00F1223B">
            <w:pPr>
              <w:jc w:val="center"/>
              <w:rPr>
                <w:rFonts w:ascii="Arial" w:hAnsi="Arial" w:cs="Arial"/>
                <w:b/>
                <w:sz w:val="22"/>
                <w:szCs w:val="22"/>
                <w:lang w:val="es-MX"/>
              </w:rPr>
            </w:pPr>
          </w:p>
        </w:tc>
      </w:tr>
      <w:tr w:rsidR="00561B22" w:rsidRPr="004873D5" w14:paraId="30D02378" w14:textId="77777777" w:rsidTr="00F1223B">
        <w:tc>
          <w:tcPr>
            <w:tcW w:w="562" w:type="dxa"/>
          </w:tcPr>
          <w:p w14:paraId="4FD95CE0" w14:textId="77777777" w:rsidR="00561B22" w:rsidRPr="004873D5" w:rsidRDefault="00561B22" w:rsidP="00F1223B">
            <w:pPr>
              <w:jc w:val="center"/>
              <w:rPr>
                <w:rFonts w:ascii="Arial" w:hAnsi="Arial" w:cs="Arial"/>
                <w:b/>
                <w:sz w:val="22"/>
                <w:szCs w:val="22"/>
                <w:lang w:val="es-MX"/>
              </w:rPr>
            </w:pPr>
            <w:r w:rsidRPr="004873D5">
              <w:rPr>
                <w:rFonts w:ascii="Arial" w:hAnsi="Arial" w:cs="Arial"/>
                <w:b/>
                <w:sz w:val="22"/>
                <w:szCs w:val="22"/>
                <w:lang w:val="es-MX"/>
              </w:rPr>
              <w:t>1</w:t>
            </w:r>
          </w:p>
        </w:tc>
        <w:tc>
          <w:tcPr>
            <w:tcW w:w="9400" w:type="dxa"/>
          </w:tcPr>
          <w:p w14:paraId="60CCEDEA" w14:textId="77777777" w:rsidR="00561B22" w:rsidRPr="004873D5" w:rsidRDefault="00561B22" w:rsidP="00F1223B">
            <w:pPr>
              <w:rPr>
                <w:rFonts w:ascii="Arial" w:hAnsi="Arial" w:cs="Arial"/>
                <w:sz w:val="22"/>
                <w:szCs w:val="22"/>
                <w:lang w:val="es-MX"/>
              </w:rPr>
            </w:pPr>
            <w:r w:rsidRPr="004873D5">
              <w:rPr>
                <w:rFonts w:ascii="Arial" w:hAnsi="Arial" w:cs="Arial"/>
                <w:sz w:val="22"/>
                <w:szCs w:val="22"/>
                <w:lang w:val="es-MX"/>
              </w:rPr>
              <w:t>Se identiﬁcaron debilidades en los consecutivos de los comprobantes contables.</w:t>
            </w:r>
          </w:p>
        </w:tc>
      </w:tr>
    </w:tbl>
    <w:p w14:paraId="3BED76EE" w14:textId="77777777" w:rsidR="00561B22" w:rsidRPr="004873D5" w:rsidRDefault="00561B22" w:rsidP="00561B22">
      <w:pPr>
        <w:pStyle w:val="Textoindependiente"/>
        <w:ind w:right="-50"/>
        <w:jc w:val="both"/>
        <w:rPr>
          <w:rFonts w:ascii="Arial" w:hAnsi="Arial" w:cs="Arial"/>
          <w:b/>
          <w:bCs/>
        </w:rPr>
      </w:pPr>
    </w:p>
    <w:p w14:paraId="1FF8551D" w14:textId="77777777" w:rsidR="00561B22" w:rsidRPr="004873D5" w:rsidRDefault="00561B22" w:rsidP="00561B22">
      <w:pPr>
        <w:jc w:val="both"/>
        <w:rPr>
          <w:rFonts w:ascii="Arial" w:hAnsi="Arial" w:cs="Arial"/>
          <w:b/>
          <w:lang w:val="es-MX"/>
        </w:rPr>
      </w:pPr>
      <w:r w:rsidRPr="004873D5">
        <w:rPr>
          <w:rFonts w:ascii="Arial" w:hAnsi="Arial" w:cs="Arial"/>
          <w:b/>
          <w:lang w:val="es-MX"/>
        </w:rPr>
        <w:lastRenderedPageBreak/>
        <w:t>Del citado informe retomamos las siguientes recomendaciones:</w:t>
      </w:r>
    </w:p>
    <w:p w14:paraId="14E60C69" w14:textId="77777777" w:rsidR="00561B22" w:rsidRPr="004873D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873D5" w14:paraId="758782C1" w14:textId="77777777" w:rsidTr="00F1223B">
        <w:tc>
          <w:tcPr>
            <w:tcW w:w="562" w:type="dxa"/>
          </w:tcPr>
          <w:p w14:paraId="5876C793" w14:textId="77777777" w:rsidR="00561B22" w:rsidRPr="004873D5" w:rsidRDefault="00561B22" w:rsidP="00F1223B">
            <w:pPr>
              <w:ind w:right="-109"/>
              <w:jc w:val="center"/>
              <w:rPr>
                <w:rFonts w:ascii="Arial" w:hAnsi="Arial" w:cs="Arial"/>
                <w:b/>
                <w:sz w:val="22"/>
                <w:szCs w:val="22"/>
                <w:lang w:val="es-MX"/>
              </w:rPr>
            </w:pPr>
            <w:r w:rsidRPr="004873D5">
              <w:rPr>
                <w:rFonts w:ascii="Arial" w:hAnsi="Arial" w:cs="Arial"/>
                <w:b/>
                <w:sz w:val="22"/>
                <w:szCs w:val="22"/>
                <w:lang w:val="es-MX"/>
              </w:rPr>
              <w:t>N°</w:t>
            </w:r>
          </w:p>
        </w:tc>
        <w:tc>
          <w:tcPr>
            <w:tcW w:w="9400" w:type="dxa"/>
          </w:tcPr>
          <w:p w14:paraId="5FD32B6A" w14:textId="77777777" w:rsidR="00561B22" w:rsidRPr="004873D5" w:rsidRDefault="00561B22" w:rsidP="00F1223B">
            <w:pPr>
              <w:jc w:val="center"/>
              <w:rPr>
                <w:rFonts w:ascii="Arial" w:hAnsi="Arial" w:cs="Arial"/>
                <w:b/>
                <w:sz w:val="22"/>
                <w:szCs w:val="22"/>
                <w:lang w:val="es-MX"/>
              </w:rPr>
            </w:pPr>
            <w:r w:rsidRPr="004873D5">
              <w:rPr>
                <w:rFonts w:ascii="Arial" w:hAnsi="Arial" w:cs="Arial"/>
                <w:b/>
                <w:sz w:val="22"/>
                <w:szCs w:val="22"/>
                <w:lang w:val="es-MX"/>
              </w:rPr>
              <w:t>RECOMENDACIONES</w:t>
            </w:r>
          </w:p>
          <w:p w14:paraId="4335799E" w14:textId="77777777" w:rsidR="00561B22" w:rsidRPr="004873D5" w:rsidRDefault="00561B22" w:rsidP="00F1223B">
            <w:pPr>
              <w:jc w:val="center"/>
              <w:rPr>
                <w:rFonts w:ascii="Arial" w:hAnsi="Arial" w:cs="Arial"/>
                <w:b/>
                <w:sz w:val="22"/>
                <w:szCs w:val="22"/>
                <w:lang w:val="es-MX"/>
              </w:rPr>
            </w:pPr>
          </w:p>
        </w:tc>
      </w:tr>
      <w:tr w:rsidR="00561B22" w:rsidRPr="004873D5" w14:paraId="23FCE27F" w14:textId="77777777" w:rsidTr="00F1223B">
        <w:tc>
          <w:tcPr>
            <w:tcW w:w="562" w:type="dxa"/>
          </w:tcPr>
          <w:p w14:paraId="6AB01694" w14:textId="77777777" w:rsidR="00561B22" w:rsidRPr="004873D5" w:rsidRDefault="00561B22" w:rsidP="00F1223B">
            <w:pPr>
              <w:jc w:val="center"/>
              <w:rPr>
                <w:rFonts w:ascii="Arial" w:hAnsi="Arial" w:cs="Arial"/>
                <w:b/>
                <w:sz w:val="22"/>
                <w:szCs w:val="22"/>
                <w:lang w:val="es-MX"/>
              </w:rPr>
            </w:pPr>
            <w:r w:rsidRPr="004873D5">
              <w:rPr>
                <w:rFonts w:ascii="Arial" w:hAnsi="Arial" w:cs="Arial"/>
                <w:b/>
                <w:sz w:val="22"/>
                <w:szCs w:val="22"/>
                <w:lang w:val="es-MX"/>
              </w:rPr>
              <w:t>1</w:t>
            </w:r>
          </w:p>
        </w:tc>
        <w:tc>
          <w:tcPr>
            <w:tcW w:w="9400" w:type="dxa"/>
          </w:tcPr>
          <w:p w14:paraId="5C1B724D" w14:textId="4AC59836" w:rsidR="00561B22" w:rsidRPr="004873D5" w:rsidRDefault="00561B22" w:rsidP="0008150C">
            <w:pPr>
              <w:jc w:val="both"/>
              <w:rPr>
                <w:rFonts w:ascii="Arial" w:hAnsi="Arial" w:cs="Arial"/>
                <w:sz w:val="22"/>
                <w:szCs w:val="22"/>
                <w:lang w:val="es-MX"/>
              </w:rPr>
            </w:pPr>
            <w:r w:rsidRPr="004873D5">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4873D5">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3789E0ED" w14:textId="77777777" w:rsidR="00561B22" w:rsidRPr="004873D5" w:rsidRDefault="00561B22" w:rsidP="00561B22">
      <w:pPr>
        <w:pStyle w:val="Textoindependiente"/>
        <w:ind w:right="-50"/>
        <w:jc w:val="both"/>
        <w:rPr>
          <w:rFonts w:ascii="Arial" w:hAnsi="Arial" w:cs="Arial"/>
          <w:b/>
          <w:bCs/>
          <w:sz w:val="28"/>
          <w:szCs w:val="28"/>
        </w:rPr>
      </w:pPr>
    </w:p>
    <w:p w14:paraId="3F86C62E" w14:textId="77777777" w:rsidR="00561B22" w:rsidRPr="004873D5" w:rsidRDefault="00561B22" w:rsidP="00561B22">
      <w:pPr>
        <w:jc w:val="both"/>
        <w:rPr>
          <w:rFonts w:ascii="Arial" w:hAnsi="Arial" w:cs="Arial"/>
          <w:b/>
          <w:bCs/>
          <w:sz w:val="24"/>
          <w:szCs w:val="24"/>
          <w:lang w:val="es-CO"/>
        </w:rPr>
      </w:pPr>
      <w:r w:rsidRPr="004873D5">
        <w:rPr>
          <w:rFonts w:ascii="Arial" w:hAnsi="Arial" w:cs="Arial"/>
          <w:b/>
          <w:bCs/>
          <w:sz w:val="24"/>
          <w:szCs w:val="24"/>
          <w:lang w:val="es-CO"/>
        </w:rPr>
        <w:t xml:space="preserve">NOTA: LA ENTIDAD ENVIA LA MATRIZ DE AUTOEVALUACIÓN DEL SISTEMA DE CONTROL INTERNO CONTABLE CON </w:t>
      </w:r>
      <w:r w:rsidRPr="004873D5">
        <w:rPr>
          <w:rFonts w:ascii="Arial" w:hAnsi="Arial" w:cs="Arial"/>
          <w:b/>
          <w:bCs/>
          <w:sz w:val="24"/>
          <w:szCs w:val="24"/>
          <w:u w:val="single"/>
          <w:lang w:val="es-CO"/>
        </w:rPr>
        <w:t>ACTIVIDADES DE CONTROL REALIZADAS EN FORMA PARCIAL</w:t>
      </w:r>
      <w:r w:rsidRPr="004873D5">
        <w:rPr>
          <w:rFonts w:ascii="Arial" w:hAnsi="Arial" w:cs="Arial"/>
          <w:b/>
          <w:bCs/>
          <w:sz w:val="24"/>
          <w:szCs w:val="24"/>
          <w:lang w:val="es-CO"/>
        </w:rPr>
        <w:t>.</w:t>
      </w:r>
    </w:p>
    <w:p w14:paraId="306DA3A3" w14:textId="77777777" w:rsidR="00561B22" w:rsidRPr="004873D5" w:rsidRDefault="00561B22" w:rsidP="00561B22">
      <w:pPr>
        <w:jc w:val="both"/>
        <w:rPr>
          <w:rFonts w:ascii="Arial" w:hAnsi="Arial" w:cs="Arial"/>
          <w:b/>
          <w:bCs/>
          <w:sz w:val="24"/>
          <w:szCs w:val="24"/>
          <w:lang w:val="es-CO"/>
        </w:rPr>
      </w:pPr>
    </w:p>
    <w:p w14:paraId="792B5E48" w14:textId="77777777" w:rsidR="00561B22" w:rsidRPr="00416425" w:rsidRDefault="00561B22" w:rsidP="00561B22">
      <w:pPr>
        <w:ind w:right="49"/>
        <w:jc w:val="both"/>
        <w:rPr>
          <w:rFonts w:ascii="Arial" w:hAnsi="Arial" w:cs="Arial"/>
          <w:b/>
          <w:sz w:val="28"/>
          <w:szCs w:val="28"/>
          <w:lang w:val="es-MX"/>
        </w:rPr>
      </w:pPr>
      <w:r w:rsidRPr="00416425">
        <w:rPr>
          <w:rFonts w:ascii="Arial" w:hAnsi="Arial" w:cs="Arial"/>
          <w:b/>
          <w:sz w:val="28"/>
          <w:szCs w:val="28"/>
          <w:lang w:val="es-MX"/>
        </w:rPr>
        <w:t>195.- PA PAR ELECTROCESAR EN LIQUIDACIÓN S.A. E.S.P – FIDUPREVISORA S.A.</w:t>
      </w:r>
    </w:p>
    <w:p w14:paraId="0FCCE798" w14:textId="77777777" w:rsidR="00561B22" w:rsidRDefault="00561B22" w:rsidP="00561B22">
      <w:pPr>
        <w:jc w:val="both"/>
        <w:rPr>
          <w:rFonts w:ascii="Arial" w:hAnsi="Arial" w:cs="Arial"/>
          <w:b/>
          <w:bCs/>
          <w:sz w:val="24"/>
          <w:szCs w:val="24"/>
        </w:rPr>
      </w:pPr>
    </w:p>
    <w:p w14:paraId="42DD7A60" w14:textId="77777777" w:rsidR="00561B22" w:rsidRPr="007F6AB3" w:rsidRDefault="00561B22" w:rsidP="00561B22">
      <w:pPr>
        <w:pStyle w:val="Textoindependiente"/>
        <w:ind w:right="-50"/>
        <w:jc w:val="center"/>
        <w:rPr>
          <w:rFonts w:ascii="Arial" w:hAnsi="Arial" w:cs="Arial"/>
          <w:b/>
          <w:bCs/>
        </w:rPr>
      </w:pPr>
      <w:r w:rsidRPr="007F6AB3">
        <w:rPr>
          <w:rFonts w:ascii="Arial" w:hAnsi="Arial" w:cs="Arial"/>
          <w:b/>
          <w:bCs/>
        </w:rPr>
        <w:t>INFORME DE LA AUTOCALIFICACIÓN DEL SISTEMA DE CONTROL INTERNO CONTABLE:</w:t>
      </w:r>
    </w:p>
    <w:p w14:paraId="45AC8BA4" w14:textId="77777777" w:rsidR="00561B22" w:rsidRPr="007F6AB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F6AB3" w14:paraId="2FA724DD" w14:textId="77777777" w:rsidTr="00F1223B">
        <w:tc>
          <w:tcPr>
            <w:tcW w:w="4981" w:type="dxa"/>
          </w:tcPr>
          <w:p w14:paraId="0775F975" w14:textId="77777777" w:rsidR="00561B22" w:rsidRPr="007F6AB3" w:rsidRDefault="00561B22" w:rsidP="00F1223B">
            <w:pPr>
              <w:jc w:val="center"/>
              <w:rPr>
                <w:rFonts w:ascii="Arial" w:hAnsi="Arial" w:cs="Arial"/>
                <w:b/>
                <w:sz w:val="22"/>
                <w:szCs w:val="22"/>
                <w:lang w:val="es-MX"/>
              </w:rPr>
            </w:pPr>
            <w:r w:rsidRPr="007F6AB3">
              <w:rPr>
                <w:rFonts w:ascii="Arial" w:hAnsi="Arial" w:cs="Arial"/>
                <w:b/>
                <w:sz w:val="22"/>
                <w:szCs w:val="22"/>
                <w:lang w:val="es-MX"/>
              </w:rPr>
              <w:t>AUTOCALIFICACIÓN</w:t>
            </w:r>
          </w:p>
        </w:tc>
        <w:tc>
          <w:tcPr>
            <w:tcW w:w="4981" w:type="dxa"/>
          </w:tcPr>
          <w:p w14:paraId="53EFC00A" w14:textId="77777777" w:rsidR="00561B22" w:rsidRPr="007F6AB3" w:rsidRDefault="00561B22" w:rsidP="00F1223B">
            <w:pPr>
              <w:jc w:val="center"/>
              <w:rPr>
                <w:rFonts w:ascii="Arial" w:hAnsi="Arial" w:cs="Arial"/>
                <w:b/>
                <w:sz w:val="22"/>
                <w:szCs w:val="22"/>
                <w:u w:val="single"/>
                <w:lang w:val="es-MX"/>
              </w:rPr>
            </w:pPr>
            <w:r w:rsidRPr="007F6AB3">
              <w:rPr>
                <w:rFonts w:ascii="Arial" w:hAnsi="Arial" w:cs="Arial"/>
                <w:b/>
                <w:sz w:val="22"/>
                <w:szCs w:val="22"/>
                <w:u w:val="single"/>
                <w:lang w:val="es-MX"/>
              </w:rPr>
              <w:t>4.95</w:t>
            </w:r>
          </w:p>
        </w:tc>
      </w:tr>
    </w:tbl>
    <w:p w14:paraId="3A3DF4F9" w14:textId="77777777" w:rsidR="00561B22" w:rsidRPr="007F6AB3" w:rsidRDefault="00561B22" w:rsidP="00561B22">
      <w:pPr>
        <w:pStyle w:val="Textoindependiente"/>
        <w:ind w:right="-50"/>
        <w:jc w:val="both"/>
        <w:rPr>
          <w:rFonts w:ascii="Arial" w:hAnsi="Arial" w:cs="Arial"/>
          <w:b/>
          <w:bCs/>
        </w:rPr>
      </w:pPr>
    </w:p>
    <w:p w14:paraId="75EBC141" w14:textId="77777777" w:rsidR="00561B22" w:rsidRPr="007F6AB3" w:rsidRDefault="00561B22" w:rsidP="00561B22">
      <w:pPr>
        <w:pStyle w:val="Textoindependiente"/>
        <w:ind w:right="-50"/>
        <w:jc w:val="both"/>
        <w:rPr>
          <w:rFonts w:ascii="Arial" w:hAnsi="Arial" w:cs="Arial"/>
          <w:b/>
          <w:bCs/>
        </w:rPr>
      </w:pPr>
      <w:r w:rsidRPr="007F6AB3">
        <w:rPr>
          <w:rFonts w:ascii="Arial" w:hAnsi="Arial" w:cs="Arial"/>
          <w:b/>
          <w:bCs/>
        </w:rPr>
        <w:t>Del informe enviado retomamos lo siguiente:</w:t>
      </w:r>
    </w:p>
    <w:p w14:paraId="7061E1C8" w14:textId="77777777" w:rsidR="00561B22" w:rsidRPr="007F6AB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F6AB3" w14:paraId="70999167" w14:textId="77777777" w:rsidTr="00F1223B">
        <w:tc>
          <w:tcPr>
            <w:tcW w:w="562" w:type="dxa"/>
          </w:tcPr>
          <w:p w14:paraId="761FA991" w14:textId="77777777" w:rsidR="00561B22" w:rsidRPr="007F6AB3" w:rsidRDefault="00561B22" w:rsidP="00F1223B">
            <w:pPr>
              <w:ind w:right="-109"/>
              <w:jc w:val="center"/>
              <w:rPr>
                <w:rFonts w:ascii="Arial" w:hAnsi="Arial" w:cs="Arial"/>
                <w:b/>
                <w:sz w:val="22"/>
                <w:szCs w:val="22"/>
                <w:lang w:val="es-MX"/>
              </w:rPr>
            </w:pPr>
            <w:r w:rsidRPr="007F6AB3">
              <w:rPr>
                <w:rFonts w:ascii="Arial" w:hAnsi="Arial" w:cs="Arial"/>
                <w:b/>
                <w:sz w:val="22"/>
                <w:szCs w:val="22"/>
                <w:lang w:val="es-MX"/>
              </w:rPr>
              <w:t>N°</w:t>
            </w:r>
          </w:p>
        </w:tc>
        <w:tc>
          <w:tcPr>
            <w:tcW w:w="9400" w:type="dxa"/>
          </w:tcPr>
          <w:p w14:paraId="37B91FE1" w14:textId="77777777" w:rsidR="00561B22" w:rsidRPr="007F6AB3" w:rsidRDefault="00561B22" w:rsidP="00F1223B">
            <w:pPr>
              <w:jc w:val="center"/>
              <w:rPr>
                <w:rFonts w:ascii="Arial" w:hAnsi="Arial" w:cs="Arial"/>
                <w:b/>
                <w:sz w:val="22"/>
                <w:szCs w:val="22"/>
                <w:lang w:val="es-MX"/>
              </w:rPr>
            </w:pPr>
            <w:r w:rsidRPr="007F6AB3">
              <w:rPr>
                <w:rFonts w:ascii="Arial" w:hAnsi="Arial" w:cs="Arial"/>
                <w:b/>
                <w:sz w:val="22"/>
                <w:szCs w:val="22"/>
                <w:lang w:val="es-MX"/>
              </w:rPr>
              <w:t>DEBILIDADES</w:t>
            </w:r>
          </w:p>
          <w:p w14:paraId="5408CC7C" w14:textId="77777777" w:rsidR="00561B22" w:rsidRPr="007F6AB3" w:rsidRDefault="00561B22" w:rsidP="00F1223B">
            <w:pPr>
              <w:jc w:val="center"/>
              <w:rPr>
                <w:rFonts w:ascii="Arial" w:hAnsi="Arial" w:cs="Arial"/>
                <w:b/>
                <w:sz w:val="22"/>
                <w:szCs w:val="22"/>
                <w:lang w:val="es-MX"/>
              </w:rPr>
            </w:pPr>
          </w:p>
        </w:tc>
      </w:tr>
      <w:tr w:rsidR="00561B22" w:rsidRPr="007F6AB3" w14:paraId="39B96B8C" w14:textId="77777777" w:rsidTr="00F1223B">
        <w:tc>
          <w:tcPr>
            <w:tcW w:w="562" w:type="dxa"/>
          </w:tcPr>
          <w:p w14:paraId="4E6C0CE3" w14:textId="77777777" w:rsidR="00561B22" w:rsidRPr="007F6AB3" w:rsidRDefault="00561B22" w:rsidP="00F1223B">
            <w:pPr>
              <w:jc w:val="center"/>
              <w:rPr>
                <w:rFonts w:ascii="Arial" w:hAnsi="Arial" w:cs="Arial"/>
                <w:b/>
                <w:sz w:val="22"/>
                <w:szCs w:val="22"/>
                <w:lang w:val="es-MX"/>
              </w:rPr>
            </w:pPr>
            <w:r w:rsidRPr="007F6AB3">
              <w:rPr>
                <w:rFonts w:ascii="Arial" w:hAnsi="Arial" w:cs="Arial"/>
                <w:b/>
                <w:sz w:val="22"/>
                <w:szCs w:val="22"/>
                <w:lang w:val="es-MX"/>
              </w:rPr>
              <w:t>1</w:t>
            </w:r>
          </w:p>
        </w:tc>
        <w:tc>
          <w:tcPr>
            <w:tcW w:w="9400" w:type="dxa"/>
          </w:tcPr>
          <w:p w14:paraId="22372CAB" w14:textId="77777777" w:rsidR="00561B22" w:rsidRPr="007F6AB3" w:rsidRDefault="00561B22" w:rsidP="00F1223B">
            <w:pPr>
              <w:tabs>
                <w:tab w:val="left" w:pos="1005"/>
              </w:tabs>
              <w:rPr>
                <w:rFonts w:ascii="Arial" w:hAnsi="Arial" w:cs="Arial"/>
                <w:sz w:val="22"/>
                <w:szCs w:val="22"/>
                <w:lang w:val="es-MX"/>
              </w:rPr>
            </w:pPr>
            <w:r w:rsidRPr="007F6AB3">
              <w:rPr>
                <w:rFonts w:ascii="Arial" w:hAnsi="Arial" w:cs="Arial"/>
                <w:spacing w:val="-2"/>
                <w:sz w:val="22"/>
                <w:szCs w:val="22"/>
              </w:rPr>
              <w:t>Se</w:t>
            </w:r>
            <w:r w:rsidRPr="007F6AB3">
              <w:rPr>
                <w:rFonts w:ascii="Arial" w:hAnsi="Arial" w:cs="Arial"/>
                <w:spacing w:val="-15"/>
                <w:sz w:val="22"/>
                <w:szCs w:val="22"/>
              </w:rPr>
              <w:t xml:space="preserve"> </w:t>
            </w:r>
            <w:r w:rsidRPr="007F6AB3">
              <w:rPr>
                <w:rFonts w:ascii="Arial" w:hAnsi="Arial" w:cs="Arial"/>
                <w:spacing w:val="-2"/>
                <w:sz w:val="22"/>
                <w:szCs w:val="22"/>
              </w:rPr>
              <w:t>identificaron</w:t>
            </w:r>
            <w:r w:rsidRPr="007F6AB3">
              <w:rPr>
                <w:rFonts w:ascii="Arial" w:hAnsi="Arial" w:cs="Arial"/>
                <w:spacing w:val="-15"/>
                <w:sz w:val="22"/>
                <w:szCs w:val="22"/>
              </w:rPr>
              <w:t xml:space="preserve"> </w:t>
            </w:r>
            <w:r w:rsidRPr="007F6AB3">
              <w:rPr>
                <w:rFonts w:ascii="Arial" w:hAnsi="Arial" w:cs="Arial"/>
                <w:spacing w:val="-2"/>
                <w:sz w:val="22"/>
                <w:szCs w:val="22"/>
              </w:rPr>
              <w:t>debilidades</w:t>
            </w:r>
            <w:r w:rsidRPr="007F6AB3">
              <w:rPr>
                <w:rFonts w:ascii="Arial" w:hAnsi="Arial" w:cs="Arial"/>
                <w:spacing w:val="-13"/>
                <w:sz w:val="22"/>
                <w:szCs w:val="22"/>
              </w:rPr>
              <w:t xml:space="preserve"> </w:t>
            </w:r>
            <w:r w:rsidRPr="007F6AB3">
              <w:rPr>
                <w:rFonts w:ascii="Arial" w:hAnsi="Arial" w:cs="Arial"/>
                <w:spacing w:val="-2"/>
                <w:sz w:val="22"/>
                <w:szCs w:val="22"/>
              </w:rPr>
              <w:t>en</w:t>
            </w:r>
            <w:r w:rsidRPr="007F6AB3">
              <w:rPr>
                <w:rFonts w:ascii="Arial" w:hAnsi="Arial" w:cs="Arial"/>
                <w:spacing w:val="-15"/>
                <w:sz w:val="22"/>
                <w:szCs w:val="22"/>
              </w:rPr>
              <w:t xml:space="preserve"> </w:t>
            </w:r>
            <w:r w:rsidRPr="007F6AB3">
              <w:rPr>
                <w:rFonts w:ascii="Arial" w:hAnsi="Arial" w:cs="Arial"/>
                <w:spacing w:val="-2"/>
                <w:sz w:val="22"/>
                <w:szCs w:val="22"/>
              </w:rPr>
              <w:t xml:space="preserve">los </w:t>
            </w:r>
            <w:r w:rsidRPr="007F6AB3">
              <w:rPr>
                <w:rFonts w:ascii="Arial" w:hAnsi="Arial" w:cs="Arial"/>
                <w:sz w:val="22"/>
                <w:szCs w:val="22"/>
              </w:rPr>
              <w:t>consecutivos</w:t>
            </w:r>
            <w:r w:rsidRPr="007F6AB3">
              <w:rPr>
                <w:rFonts w:ascii="Arial" w:hAnsi="Arial" w:cs="Arial"/>
                <w:spacing w:val="-17"/>
                <w:sz w:val="22"/>
                <w:szCs w:val="22"/>
              </w:rPr>
              <w:t xml:space="preserve"> </w:t>
            </w:r>
            <w:r w:rsidRPr="007F6AB3">
              <w:rPr>
                <w:rFonts w:ascii="Arial" w:hAnsi="Arial" w:cs="Arial"/>
                <w:sz w:val="22"/>
                <w:szCs w:val="22"/>
              </w:rPr>
              <w:t>de</w:t>
            </w:r>
            <w:r w:rsidRPr="007F6AB3">
              <w:rPr>
                <w:rFonts w:ascii="Arial" w:hAnsi="Arial" w:cs="Arial"/>
                <w:spacing w:val="-17"/>
                <w:sz w:val="22"/>
                <w:szCs w:val="22"/>
              </w:rPr>
              <w:t xml:space="preserve"> </w:t>
            </w:r>
            <w:r w:rsidRPr="007F6AB3">
              <w:rPr>
                <w:rFonts w:ascii="Arial" w:hAnsi="Arial" w:cs="Arial"/>
                <w:sz w:val="22"/>
                <w:szCs w:val="22"/>
              </w:rPr>
              <w:t>los</w:t>
            </w:r>
            <w:r w:rsidRPr="007F6AB3">
              <w:rPr>
                <w:rFonts w:ascii="Arial" w:hAnsi="Arial" w:cs="Arial"/>
                <w:spacing w:val="-16"/>
                <w:sz w:val="22"/>
                <w:szCs w:val="22"/>
              </w:rPr>
              <w:t xml:space="preserve"> </w:t>
            </w:r>
            <w:r w:rsidRPr="007F6AB3">
              <w:rPr>
                <w:rFonts w:ascii="Arial" w:hAnsi="Arial" w:cs="Arial"/>
                <w:sz w:val="22"/>
                <w:szCs w:val="22"/>
              </w:rPr>
              <w:t xml:space="preserve">comprobantes </w:t>
            </w:r>
            <w:r w:rsidRPr="007F6AB3">
              <w:rPr>
                <w:rFonts w:ascii="Arial" w:hAnsi="Arial" w:cs="Arial"/>
                <w:spacing w:val="-2"/>
                <w:sz w:val="22"/>
                <w:szCs w:val="22"/>
              </w:rPr>
              <w:t>contables.</w:t>
            </w:r>
          </w:p>
        </w:tc>
      </w:tr>
    </w:tbl>
    <w:p w14:paraId="195FA205" w14:textId="77777777" w:rsidR="00561B22" w:rsidRPr="007F6AB3" w:rsidRDefault="00561B22" w:rsidP="00561B22">
      <w:pPr>
        <w:pStyle w:val="Textoindependiente"/>
        <w:ind w:right="-50"/>
        <w:jc w:val="both"/>
        <w:rPr>
          <w:rFonts w:ascii="Arial" w:hAnsi="Arial" w:cs="Arial"/>
          <w:b/>
          <w:bCs/>
        </w:rPr>
      </w:pPr>
    </w:p>
    <w:p w14:paraId="04D74A39" w14:textId="77777777" w:rsidR="00561B22" w:rsidRPr="007F6AB3" w:rsidRDefault="00561B22" w:rsidP="00561B22">
      <w:pPr>
        <w:jc w:val="both"/>
        <w:rPr>
          <w:rFonts w:ascii="Arial" w:hAnsi="Arial" w:cs="Arial"/>
          <w:b/>
          <w:lang w:val="es-MX"/>
        </w:rPr>
      </w:pPr>
      <w:r w:rsidRPr="007F6AB3">
        <w:rPr>
          <w:rFonts w:ascii="Arial" w:hAnsi="Arial" w:cs="Arial"/>
          <w:b/>
          <w:lang w:val="es-MX"/>
        </w:rPr>
        <w:t>Del citado informe retomamos las siguientes recomendaciones:</w:t>
      </w:r>
    </w:p>
    <w:p w14:paraId="52472D38" w14:textId="77777777" w:rsidR="00561B22" w:rsidRPr="007F6AB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F6AB3" w14:paraId="710AE046" w14:textId="77777777" w:rsidTr="00F1223B">
        <w:tc>
          <w:tcPr>
            <w:tcW w:w="562" w:type="dxa"/>
          </w:tcPr>
          <w:p w14:paraId="0F9EA63F" w14:textId="77777777" w:rsidR="00561B22" w:rsidRPr="007F6AB3" w:rsidRDefault="00561B22" w:rsidP="00F1223B">
            <w:pPr>
              <w:ind w:right="-109"/>
              <w:jc w:val="center"/>
              <w:rPr>
                <w:rFonts w:ascii="Arial" w:hAnsi="Arial" w:cs="Arial"/>
                <w:b/>
                <w:sz w:val="22"/>
                <w:szCs w:val="22"/>
                <w:lang w:val="es-MX"/>
              </w:rPr>
            </w:pPr>
            <w:r w:rsidRPr="007F6AB3">
              <w:rPr>
                <w:rFonts w:ascii="Arial" w:hAnsi="Arial" w:cs="Arial"/>
                <w:b/>
                <w:sz w:val="22"/>
                <w:szCs w:val="22"/>
                <w:lang w:val="es-MX"/>
              </w:rPr>
              <w:t>N°</w:t>
            </w:r>
          </w:p>
        </w:tc>
        <w:tc>
          <w:tcPr>
            <w:tcW w:w="9400" w:type="dxa"/>
          </w:tcPr>
          <w:p w14:paraId="545C7DC0" w14:textId="77777777" w:rsidR="00561B22" w:rsidRPr="007F6AB3" w:rsidRDefault="00561B22" w:rsidP="00F1223B">
            <w:pPr>
              <w:jc w:val="center"/>
              <w:rPr>
                <w:rFonts w:ascii="Arial" w:hAnsi="Arial" w:cs="Arial"/>
                <w:b/>
                <w:sz w:val="22"/>
                <w:szCs w:val="22"/>
                <w:lang w:val="es-MX"/>
              </w:rPr>
            </w:pPr>
            <w:r w:rsidRPr="007F6AB3">
              <w:rPr>
                <w:rFonts w:ascii="Arial" w:hAnsi="Arial" w:cs="Arial"/>
                <w:b/>
                <w:sz w:val="22"/>
                <w:szCs w:val="22"/>
                <w:lang w:val="es-MX"/>
              </w:rPr>
              <w:t>RECOMENDACIONES</w:t>
            </w:r>
          </w:p>
          <w:p w14:paraId="7B5117CC" w14:textId="77777777" w:rsidR="00561B22" w:rsidRPr="007F6AB3" w:rsidRDefault="00561B22" w:rsidP="00F1223B">
            <w:pPr>
              <w:jc w:val="center"/>
              <w:rPr>
                <w:rFonts w:ascii="Arial" w:hAnsi="Arial" w:cs="Arial"/>
                <w:b/>
                <w:sz w:val="22"/>
                <w:szCs w:val="22"/>
                <w:lang w:val="es-MX"/>
              </w:rPr>
            </w:pPr>
          </w:p>
        </w:tc>
      </w:tr>
      <w:tr w:rsidR="00561B22" w:rsidRPr="007F6AB3" w14:paraId="1E2524A5" w14:textId="77777777" w:rsidTr="00F1223B">
        <w:tc>
          <w:tcPr>
            <w:tcW w:w="562" w:type="dxa"/>
          </w:tcPr>
          <w:p w14:paraId="494ABE50" w14:textId="77777777" w:rsidR="00561B22" w:rsidRPr="007F6AB3" w:rsidRDefault="00561B22" w:rsidP="00F1223B">
            <w:pPr>
              <w:jc w:val="center"/>
              <w:rPr>
                <w:rFonts w:ascii="Arial" w:hAnsi="Arial" w:cs="Arial"/>
                <w:b/>
                <w:sz w:val="22"/>
                <w:szCs w:val="22"/>
                <w:lang w:val="es-MX"/>
              </w:rPr>
            </w:pPr>
            <w:r w:rsidRPr="007F6AB3">
              <w:rPr>
                <w:rFonts w:ascii="Arial" w:hAnsi="Arial" w:cs="Arial"/>
                <w:b/>
                <w:sz w:val="22"/>
                <w:szCs w:val="22"/>
                <w:lang w:val="es-MX"/>
              </w:rPr>
              <w:t>1</w:t>
            </w:r>
          </w:p>
        </w:tc>
        <w:tc>
          <w:tcPr>
            <w:tcW w:w="9400" w:type="dxa"/>
            <w:shd w:val="clear" w:color="auto" w:fill="auto"/>
          </w:tcPr>
          <w:p w14:paraId="5373D7A8" w14:textId="77777777" w:rsidR="00561B22" w:rsidRPr="007F6AB3" w:rsidRDefault="00561B22" w:rsidP="00F1223B">
            <w:pPr>
              <w:jc w:val="both"/>
              <w:rPr>
                <w:rFonts w:ascii="Arial" w:hAnsi="Arial" w:cs="Arial"/>
                <w:sz w:val="22"/>
                <w:szCs w:val="22"/>
                <w:lang w:val="es-MX"/>
              </w:rPr>
            </w:pPr>
            <w:r w:rsidRPr="007F6AB3">
              <w:rPr>
                <w:rFonts w:ascii="Arial" w:hAnsi="Arial" w:cs="Arial"/>
                <w:sz w:val="22"/>
                <w:szCs w:val="22"/>
              </w:rPr>
              <w:t xml:space="preserve">Se recomienda continuar con el </w:t>
            </w:r>
            <w:r w:rsidRPr="007F6AB3">
              <w:rPr>
                <w:rFonts w:ascii="Arial" w:hAnsi="Arial" w:cs="Arial"/>
                <w:spacing w:val="-6"/>
                <w:sz w:val="22"/>
                <w:szCs w:val="22"/>
              </w:rPr>
              <w:t>fortalecimiento</w:t>
            </w:r>
            <w:r w:rsidRPr="007F6AB3">
              <w:rPr>
                <w:rFonts w:ascii="Arial" w:hAnsi="Arial" w:cs="Arial"/>
                <w:spacing w:val="-13"/>
                <w:sz w:val="22"/>
                <w:szCs w:val="22"/>
              </w:rPr>
              <w:t xml:space="preserve"> </w:t>
            </w:r>
            <w:r w:rsidRPr="007F6AB3">
              <w:rPr>
                <w:rFonts w:ascii="Arial" w:hAnsi="Arial" w:cs="Arial"/>
                <w:spacing w:val="-6"/>
                <w:sz w:val="22"/>
                <w:szCs w:val="22"/>
              </w:rPr>
              <w:t>y</w:t>
            </w:r>
            <w:r w:rsidRPr="007F6AB3">
              <w:rPr>
                <w:rFonts w:ascii="Arial" w:hAnsi="Arial" w:cs="Arial"/>
                <w:spacing w:val="-13"/>
                <w:sz w:val="22"/>
                <w:szCs w:val="22"/>
              </w:rPr>
              <w:t xml:space="preserve"> </w:t>
            </w:r>
            <w:r w:rsidRPr="007F6AB3">
              <w:rPr>
                <w:rFonts w:ascii="Arial" w:hAnsi="Arial" w:cs="Arial"/>
                <w:spacing w:val="-6"/>
                <w:sz w:val="22"/>
                <w:szCs w:val="22"/>
              </w:rPr>
              <w:t>la</w:t>
            </w:r>
            <w:r w:rsidRPr="007F6AB3">
              <w:rPr>
                <w:rFonts w:ascii="Arial" w:hAnsi="Arial" w:cs="Arial"/>
                <w:spacing w:val="-10"/>
                <w:sz w:val="22"/>
                <w:szCs w:val="22"/>
              </w:rPr>
              <w:t xml:space="preserve"> </w:t>
            </w:r>
            <w:r w:rsidRPr="007F6AB3">
              <w:rPr>
                <w:rFonts w:ascii="Arial" w:hAnsi="Arial" w:cs="Arial"/>
                <w:spacing w:val="-6"/>
                <w:sz w:val="22"/>
                <w:szCs w:val="22"/>
              </w:rPr>
              <w:t xml:space="preserve">implementación </w:t>
            </w:r>
            <w:r w:rsidRPr="007F6AB3">
              <w:rPr>
                <w:rFonts w:ascii="Arial" w:hAnsi="Arial" w:cs="Arial"/>
                <w:sz w:val="22"/>
                <w:szCs w:val="22"/>
              </w:rPr>
              <w:t>de</w:t>
            </w:r>
            <w:r w:rsidRPr="007F6AB3">
              <w:rPr>
                <w:rFonts w:ascii="Arial" w:hAnsi="Arial" w:cs="Arial"/>
                <w:spacing w:val="-2"/>
                <w:sz w:val="22"/>
                <w:szCs w:val="22"/>
              </w:rPr>
              <w:t xml:space="preserve"> </w:t>
            </w:r>
            <w:r w:rsidRPr="007F6AB3">
              <w:rPr>
                <w:rFonts w:ascii="Arial" w:hAnsi="Arial" w:cs="Arial"/>
                <w:sz w:val="22"/>
                <w:szCs w:val="22"/>
              </w:rPr>
              <w:t>los</w:t>
            </w:r>
            <w:r w:rsidRPr="007F6AB3">
              <w:rPr>
                <w:rFonts w:ascii="Arial" w:hAnsi="Arial" w:cs="Arial"/>
                <w:spacing w:val="-3"/>
                <w:sz w:val="22"/>
                <w:szCs w:val="22"/>
              </w:rPr>
              <w:t xml:space="preserve"> </w:t>
            </w:r>
            <w:r w:rsidRPr="007F6AB3">
              <w:rPr>
                <w:rFonts w:ascii="Arial" w:hAnsi="Arial" w:cs="Arial"/>
                <w:sz w:val="22"/>
                <w:szCs w:val="22"/>
              </w:rPr>
              <w:t>procesos</w:t>
            </w:r>
            <w:r w:rsidRPr="007F6AB3">
              <w:rPr>
                <w:rFonts w:ascii="Arial" w:hAnsi="Arial" w:cs="Arial"/>
                <w:spacing w:val="-3"/>
                <w:sz w:val="22"/>
                <w:szCs w:val="22"/>
              </w:rPr>
              <w:t xml:space="preserve"> </w:t>
            </w:r>
            <w:r w:rsidRPr="007F6AB3">
              <w:rPr>
                <w:rFonts w:ascii="Arial" w:hAnsi="Arial" w:cs="Arial"/>
                <w:sz w:val="22"/>
                <w:szCs w:val="22"/>
              </w:rPr>
              <w:t>de</w:t>
            </w:r>
            <w:r w:rsidRPr="007F6AB3">
              <w:rPr>
                <w:rFonts w:ascii="Arial" w:hAnsi="Arial" w:cs="Arial"/>
                <w:spacing w:val="-2"/>
                <w:sz w:val="22"/>
                <w:szCs w:val="22"/>
              </w:rPr>
              <w:t xml:space="preserve"> </w:t>
            </w:r>
            <w:r w:rsidRPr="007F6AB3">
              <w:rPr>
                <w:rFonts w:ascii="Arial" w:hAnsi="Arial" w:cs="Arial"/>
                <w:sz w:val="22"/>
                <w:szCs w:val="22"/>
              </w:rPr>
              <w:t>automatización contable,</w:t>
            </w:r>
            <w:r w:rsidRPr="007F6AB3">
              <w:rPr>
                <w:rFonts w:ascii="Arial" w:hAnsi="Arial" w:cs="Arial"/>
                <w:spacing w:val="-15"/>
                <w:sz w:val="22"/>
                <w:szCs w:val="22"/>
              </w:rPr>
              <w:t xml:space="preserve"> </w:t>
            </w:r>
            <w:r w:rsidRPr="007F6AB3">
              <w:rPr>
                <w:rFonts w:ascii="Arial" w:hAnsi="Arial" w:cs="Arial"/>
                <w:sz w:val="22"/>
                <w:szCs w:val="22"/>
              </w:rPr>
              <w:t>con</w:t>
            </w:r>
            <w:r w:rsidRPr="007F6AB3">
              <w:rPr>
                <w:rFonts w:ascii="Arial" w:hAnsi="Arial" w:cs="Arial"/>
                <w:spacing w:val="-14"/>
                <w:sz w:val="22"/>
                <w:szCs w:val="22"/>
              </w:rPr>
              <w:t xml:space="preserve"> </w:t>
            </w:r>
            <w:r w:rsidRPr="007F6AB3">
              <w:rPr>
                <w:rFonts w:ascii="Arial" w:hAnsi="Arial" w:cs="Arial"/>
                <w:sz w:val="22"/>
                <w:szCs w:val="22"/>
              </w:rPr>
              <w:t>el</w:t>
            </w:r>
            <w:r w:rsidRPr="007F6AB3">
              <w:rPr>
                <w:rFonts w:ascii="Arial" w:hAnsi="Arial" w:cs="Arial"/>
                <w:spacing w:val="-17"/>
                <w:sz w:val="22"/>
                <w:szCs w:val="22"/>
              </w:rPr>
              <w:t xml:space="preserve"> </w:t>
            </w:r>
            <w:r w:rsidRPr="007F6AB3">
              <w:rPr>
                <w:rFonts w:ascii="Arial" w:hAnsi="Arial" w:cs="Arial"/>
                <w:sz w:val="22"/>
                <w:szCs w:val="22"/>
              </w:rPr>
              <w:t>fin</w:t>
            </w:r>
            <w:r w:rsidRPr="007F6AB3">
              <w:rPr>
                <w:rFonts w:ascii="Arial" w:hAnsi="Arial" w:cs="Arial"/>
                <w:spacing w:val="-16"/>
                <w:sz w:val="22"/>
                <w:szCs w:val="22"/>
              </w:rPr>
              <w:t xml:space="preserve"> </w:t>
            </w:r>
            <w:r w:rsidRPr="007F6AB3">
              <w:rPr>
                <w:rFonts w:ascii="Arial" w:hAnsi="Arial" w:cs="Arial"/>
                <w:sz w:val="22"/>
                <w:szCs w:val="22"/>
              </w:rPr>
              <w:t>de</w:t>
            </w:r>
            <w:r w:rsidRPr="007F6AB3">
              <w:rPr>
                <w:rFonts w:ascii="Arial" w:hAnsi="Arial" w:cs="Arial"/>
                <w:spacing w:val="-19"/>
                <w:sz w:val="22"/>
                <w:szCs w:val="22"/>
              </w:rPr>
              <w:t xml:space="preserve"> </w:t>
            </w:r>
            <w:r w:rsidRPr="007F6AB3">
              <w:rPr>
                <w:rFonts w:ascii="Arial" w:hAnsi="Arial" w:cs="Arial"/>
                <w:sz w:val="22"/>
                <w:szCs w:val="22"/>
              </w:rPr>
              <w:t xml:space="preserve">mitigar cualquier riesgo asociado con los registros y cálculos manuales, incluyendo errores humanos y </w:t>
            </w:r>
            <w:r w:rsidRPr="007F6AB3">
              <w:rPr>
                <w:rFonts w:ascii="Arial" w:hAnsi="Arial" w:cs="Arial"/>
                <w:spacing w:val="-2"/>
                <w:sz w:val="22"/>
                <w:szCs w:val="22"/>
              </w:rPr>
              <w:t>demoras</w:t>
            </w:r>
            <w:r w:rsidRPr="007F6AB3">
              <w:rPr>
                <w:rFonts w:ascii="Arial" w:hAnsi="Arial" w:cs="Arial"/>
                <w:spacing w:val="-23"/>
                <w:sz w:val="22"/>
                <w:szCs w:val="22"/>
              </w:rPr>
              <w:t xml:space="preserve"> </w:t>
            </w:r>
            <w:r w:rsidRPr="007F6AB3">
              <w:rPr>
                <w:rFonts w:ascii="Arial" w:hAnsi="Arial" w:cs="Arial"/>
                <w:spacing w:val="-2"/>
                <w:sz w:val="22"/>
                <w:szCs w:val="22"/>
              </w:rPr>
              <w:t>en</w:t>
            </w:r>
            <w:r w:rsidRPr="007F6AB3">
              <w:rPr>
                <w:rFonts w:ascii="Arial" w:hAnsi="Arial" w:cs="Arial"/>
                <w:spacing w:val="-21"/>
                <w:sz w:val="22"/>
                <w:szCs w:val="22"/>
              </w:rPr>
              <w:t xml:space="preserve"> </w:t>
            </w:r>
            <w:r w:rsidRPr="007F6AB3">
              <w:rPr>
                <w:rFonts w:ascii="Arial" w:hAnsi="Arial" w:cs="Arial"/>
                <w:spacing w:val="-2"/>
                <w:sz w:val="22"/>
                <w:szCs w:val="22"/>
              </w:rPr>
              <w:t>el</w:t>
            </w:r>
            <w:r w:rsidRPr="007F6AB3">
              <w:rPr>
                <w:rFonts w:ascii="Arial" w:hAnsi="Arial" w:cs="Arial"/>
                <w:spacing w:val="-24"/>
                <w:sz w:val="22"/>
                <w:szCs w:val="22"/>
              </w:rPr>
              <w:t xml:space="preserve"> </w:t>
            </w:r>
            <w:r w:rsidRPr="007F6AB3">
              <w:rPr>
                <w:rFonts w:ascii="Arial" w:hAnsi="Arial" w:cs="Arial"/>
                <w:spacing w:val="-2"/>
                <w:sz w:val="22"/>
                <w:szCs w:val="22"/>
              </w:rPr>
              <w:t>procesamiento.</w:t>
            </w:r>
            <w:r w:rsidRPr="007F6AB3">
              <w:rPr>
                <w:rFonts w:ascii="Arial" w:hAnsi="Arial" w:cs="Arial"/>
                <w:spacing w:val="-20"/>
                <w:sz w:val="22"/>
                <w:szCs w:val="22"/>
              </w:rPr>
              <w:t xml:space="preserve"> </w:t>
            </w:r>
            <w:r w:rsidRPr="007F6AB3">
              <w:rPr>
                <w:rFonts w:ascii="Arial" w:hAnsi="Arial" w:cs="Arial"/>
                <w:spacing w:val="-2"/>
                <w:sz w:val="22"/>
                <w:szCs w:val="22"/>
              </w:rPr>
              <w:t>La automatización puede brindar mayor precisión, eficiencia y consistencia en las operaciones contables, agilizando significativamente el tiempo de procesamiento de datos y reduciendo la posibilidad de errores.</w:t>
            </w:r>
          </w:p>
        </w:tc>
      </w:tr>
    </w:tbl>
    <w:p w14:paraId="11FB94E7" w14:textId="77777777" w:rsidR="00561B22" w:rsidRPr="007F6AB3" w:rsidRDefault="00561B22" w:rsidP="00561B22">
      <w:pPr>
        <w:pStyle w:val="Textoindependiente"/>
        <w:ind w:right="-50"/>
        <w:jc w:val="both"/>
        <w:rPr>
          <w:rFonts w:ascii="Arial" w:hAnsi="Arial" w:cs="Arial"/>
          <w:b/>
          <w:bCs/>
        </w:rPr>
      </w:pPr>
    </w:p>
    <w:p w14:paraId="7B8C15EA" w14:textId="77777777" w:rsidR="00561B22" w:rsidRPr="007F6AB3" w:rsidRDefault="00561B22" w:rsidP="00561B22">
      <w:pPr>
        <w:jc w:val="both"/>
        <w:rPr>
          <w:rFonts w:ascii="Arial" w:hAnsi="Arial" w:cs="Arial"/>
          <w:b/>
          <w:bCs/>
          <w:sz w:val="24"/>
          <w:szCs w:val="24"/>
          <w:lang w:val="es-CO"/>
        </w:rPr>
      </w:pPr>
      <w:r w:rsidRPr="007F6AB3">
        <w:rPr>
          <w:rFonts w:ascii="Arial" w:hAnsi="Arial" w:cs="Arial"/>
          <w:b/>
          <w:bCs/>
          <w:sz w:val="24"/>
          <w:szCs w:val="24"/>
          <w:lang w:val="es-CO"/>
        </w:rPr>
        <w:t xml:space="preserve">NOTA: LA ENTIDAD ENVIA LA MATRIZ DE AUTOEVALUACIÓN DEL SISTEMA DE CONTROL INTERNO CONTABLE CON </w:t>
      </w:r>
      <w:r w:rsidRPr="007F6AB3">
        <w:rPr>
          <w:rFonts w:ascii="Arial" w:hAnsi="Arial" w:cs="Arial"/>
          <w:b/>
          <w:bCs/>
          <w:sz w:val="24"/>
          <w:szCs w:val="24"/>
          <w:u w:val="single"/>
          <w:lang w:val="es-CO"/>
        </w:rPr>
        <w:t>ACTIVIDADES DE CONTROL REALIZADAS EN FORMA PARCIAL</w:t>
      </w:r>
      <w:r w:rsidRPr="007F6AB3">
        <w:rPr>
          <w:rFonts w:ascii="Arial" w:hAnsi="Arial" w:cs="Arial"/>
          <w:b/>
          <w:bCs/>
          <w:sz w:val="24"/>
          <w:szCs w:val="24"/>
          <w:lang w:val="es-CO"/>
        </w:rPr>
        <w:t>.</w:t>
      </w:r>
    </w:p>
    <w:p w14:paraId="4831B475" w14:textId="77777777" w:rsidR="00561B22" w:rsidRDefault="00561B22" w:rsidP="00561B22">
      <w:pPr>
        <w:pStyle w:val="Textoindependiente"/>
        <w:ind w:right="-50"/>
        <w:jc w:val="both"/>
        <w:rPr>
          <w:rFonts w:ascii="Arial" w:hAnsi="Arial" w:cs="Arial"/>
          <w:b/>
          <w:bCs/>
          <w:sz w:val="28"/>
          <w:szCs w:val="28"/>
        </w:rPr>
      </w:pPr>
    </w:p>
    <w:p w14:paraId="35E4CF7C" w14:textId="77777777" w:rsidR="00561B22" w:rsidRPr="00C476EC" w:rsidRDefault="00561B22" w:rsidP="00561B22">
      <w:pPr>
        <w:jc w:val="both"/>
        <w:rPr>
          <w:rFonts w:ascii="Arial" w:hAnsi="Arial" w:cs="Arial"/>
          <w:b/>
          <w:sz w:val="28"/>
          <w:szCs w:val="28"/>
          <w:lang w:val="es-MX"/>
        </w:rPr>
      </w:pPr>
      <w:r w:rsidRPr="00C476EC">
        <w:rPr>
          <w:rFonts w:ascii="Arial" w:hAnsi="Arial" w:cs="Arial"/>
          <w:b/>
          <w:sz w:val="28"/>
          <w:szCs w:val="28"/>
          <w:lang w:val="es-MX"/>
        </w:rPr>
        <w:t>197.- PA ELECTROLIMA EN LIQUIDACIÓN – FIDUPREVISORA S.A.</w:t>
      </w:r>
    </w:p>
    <w:p w14:paraId="25F89FDD" w14:textId="77777777" w:rsidR="00561B22" w:rsidRPr="007F6AB3" w:rsidRDefault="00561B22" w:rsidP="00561B22">
      <w:pPr>
        <w:pStyle w:val="Textoindependiente"/>
        <w:ind w:right="-50"/>
        <w:jc w:val="both"/>
        <w:rPr>
          <w:rFonts w:ascii="Arial" w:hAnsi="Arial" w:cs="Arial"/>
          <w:b/>
          <w:bCs/>
          <w:sz w:val="28"/>
          <w:szCs w:val="28"/>
        </w:rPr>
      </w:pPr>
    </w:p>
    <w:p w14:paraId="4E19B6A1" w14:textId="77777777" w:rsidR="00561B22" w:rsidRPr="00C476EC" w:rsidRDefault="00561B22" w:rsidP="00561B22">
      <w:pPr>
        <w:pStyle w:val="Textoindependiente"/>
        <w:ind w:right="-50"/>
        <w:jc w:val="center"/>
        <w:rPr>
          <w:rFonts w:ascii="Arial" w:hAnsi="Arial" w:cs="Arial"/>
          <w:b/>
          <w:bCs/>
        </w:rPr>
      </w:pPr>
      <w:r w:rsidRPr="00C476EC">
        <w:rPr>
          <w:rFonts w:ascii="Arial" w:hAnsi="Arial" w:cs="Arial"/>
          <w:b/>
          <w:bCs/>
        </w:rPr>
        <w:t>INFORME DE LA AUTOCALIFICACIÓN DEL SISTEMA DE CONTROL INTERNO CONTABLE:</w:t>
      </w:r>
    </w:p>
    <w:p w14:paraId="4B80140E" w14:textId="77777777" w:rsidR="00561B22" w:rsidRPr="00C476E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476EC" w14:paraId="23ED79AF" w14:textId="77777777" w:rsidTr="00F1223B">
        <w:tc>
          <w:tcPr>
            <w:tcW w:w="4981" w:type="dxa"/>
          </w:tcPr>
          <w:p w14:paraId="0B8E4790" w14:textId="77777777" w:rsidR="00561B22" w:rsidRPr="00C476EC" w:rsidRDefault="00561B22" w:rsidP="00F1223B">
            <w:pPr>
              <w:jc w:val="center"/>
              <w:rPr>
                <w:rFonts w:ascii="Arial" w:hAnsi="Arial" w:cs="Arial"/>
                <w:b/>
                <w:sz w:val="22"/>
                <w:szCs w:val="22"/>
                <w:lang w:val="es-MX"/>
              </w:rPr>
            </w:pPr>
            <w:r w:rsidRPr="00C476EC">
              <w:rPr>
                <w:rFonts w:ascii="Arial" w:hAnsi="Arial" w:cs="Arial"/>
                <w:b/>
                <w:sz w:val="22"/>
                <w:szCs w:val="22"/>
                <w:lang w:val="es-MX"/>
              </w:rPr>
              <w:t>AUTOCALIFICACIÓN</w:t>
            </w:r>
          </w:p>
        </w:tc>
        <w:tc>
          <w:tcPr>
            <w:tcW w:w="4981" w:type="dxa"/>
          </w:tcPr>
          <w:p w14:paraId="6C5C170F" w14:textId="77777777" w:rsidR="00561B22" w:rsidRPr="00C476EC" w:rsidRDefault="00561B22" w:rsidP="00F1223B">
            <w:pPr>
              <w:jc w:val="center"/>
              <w:rPr>
                <w:rFonts w:ascii="Arial" w:hAnsi="Arial" w:cs="Arial"/>
                <w:b/>
                <w:sz w:val="22"/>
                <w:szCs w:val="22"/>
                <w:u w:val="single"/>
                <w:lang w:val="es-MX"/>
              </w:rPr>
            </w:pPr>
            <w:r w:rsidRPr="00C476EC">
              <w:rPr>
                <w:rFonts w:ascii="Arial" w:hAnsi="Arial" w:cs="Arial"/>
                <w:b/>
                <w:sz w:val="22"/>
                <w:szCs w:val="22"/>
                <w:u w:val="single"/>
                <w:lang w:val="es-MX"/>
              </w:rPr>
              <w:t>4.95</w:t>
            </w:r>
          </w:p>
        </w:tc>
      </w:tr>
    </w:tbl>
    <w:p w14:paraId="68620351" w14:textId="77777777" w:rsidR="00561B22" w:rsidRPr="00C476EC" w:rsidRDefault="00561B22" w:rsidP="00561B22">
      <w:pPr>
        <w:pStyle w:val="Textoindependiente"/>
        <w:ind w:right="-50"/>
        <w:jc w:val="both"/>
        <w:rPr>
          <w:rFonts w:ascii="Arial" w:hAnsi="Arial" w:cs="Arial"/>
          <w:b/>
          <w:bCs/>
        </w:rPr>
      </w:pPr>
    </w:p>
    <w:p w14:paraId="132624FA" w14:textId="77777777" w:rsidR="00561B22" w:rsidRPr="00C476EC" w:rsidRDefault="00561B22" w:rsidP="00561B22">
      <w:pPr>
        <w:pStyle w:val="Textoindependiente"/>
        <w:ind w:right="-50"/>
        <w:jc w:val="both"/>
        <w:rPr>
          <w:rFonts w:ascii="Arial" w:hAnsi="Arial" w:cs="Arial"/>
          <w:b/>
          <w:bCs/>
        </w:rPr>
      </w:pPr>
      <w:r w:rsidRPr="00C476EC">
        <w:rPr>
          <w:rFonts w:ascii="Arial" w:hAnsi="Arial" w:cs="Arial"/>
          <w:b/>
          <w:bCs/>
        </w:rPr>
        <w:t>Del informe enviado retomamos lo siguiente:</w:t>
      </w:r>
    </w:p>
    <w:p w14:paraId="39654989" w14:textId="77777777" w:rsidR="00561B22" w:rsidRPr="00C476E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476EC" w14:paraId="29CDCFF7" w14:textId="77777777" w:rsidTr="00F1223B">
        <w:tc>
          <w:tcPr>
            <w:tcW w:w="562" w:type="dxa"/>
          </w:tcPr>
          <w:p w14:paraId="7DC2E7E1" w14:textId="77777777" w:rsidR="00561B22" w:rsidRPr="00C476EC" w:rsidRDefault="00561B22" w:rsidP="00F1223B">
            <w:pPr>
              <w:ind w:right="-109"/>
              <w:jc w:val="center"/>
              <w:rPr>
                <w:rFonts w:ascii="Arial" w:hAnsi="Arial" w:cs="Arial"/>
                <w:b/>
                <w:sz w:val="22"/>
                <w:szCs w:val="22"/>
                <w:lang w:val="es-MX"/>
              </w:rPr>
            </w:pPr>
            <w:r w:rsidRPr="00C476EC">
              <w:rPr>
                <w:rFonts w:ascii="Arial" w:hAnsi="Arial" w:cs="Arial"/>
                <w:b/>
                <w:sz w:val="22"/>
                <w:szCs w:val="22"/>
                <w:lang w:val="es-MX"/>
              </w:rPr>
              <w:t>N°</w:t>
            </w:r>
          </w:p>
        </w:tc>
        <w:tc>
          <w:tcPr>
            <w:tcW w:w="9400" w:type="dxa"/>
          </w:tcPr>
          <w:p w14:paraId="39469E25" w14:textId="77777777" w:rsidR="00561B22" w:rsidRPr="00C476EC" w:rsidRDefault="00561B22" w:rsidP="00F1223B">
            <w:pPr>
              <w:jc w:val="center"/>
              <w:rPr>
                <w:rFonts w:ascii="Arial" w:hAnsi="Arial" w:cs="Arial"/>
                <w:b/>
                <w:sz w:val="22"/>
                <w:szCs w:val="22"/>
                <w:lang w:val="es-MX"/>
              </w:rPr>
            </w:pPr>
            <w:r w:rsidRPr="00C476EC">
              <w:rPr>
                <w:rFonts w:ascii="Arial" w:hAnsi="Arial" w:cs="Arial"/>
                <w:b/>
                <w:sz w:val="22"/>
                <w:szCs w:val="22"/>
                <w:lang w:val="es-MX"/>
              </w:rPr>
              <w:t>DEBILIDADES</w:t>
            </w:r>
          </w:p>
          <w:p w14:paraId="652DD193" w14:textId="77777777" w:rsidR="00561B22" w:rsidRPr="00C476EC" w:rsidRDefault="00561B22" w:rsidP="00F1223B">
            <w:pPr>
              <w:jc w:val="center"/>
              <w:rPr>
                <w:rFonts w:ascii="Arial" w:hAnsi="Arial" w:cs="Arial"/>
                <w:b/>
                <w:sz w:val="22"/>
                <w:szCs w:val="22"/>
                <w:lang w:val="es-MX"/>
              </w:rPr>
            </w:pPr>
          </w:p>
        </w:tc>
      </w:tr>
      <w:tr w:rsidR="00561B22" w:rsidRPr="00C476EC" w14:paraId="2147E77A" w14:textId="77777777" w:rsidTr="00F1223B">
        <w:tc>
          <w:tcPr>
            <w:tcW w:w="562" w:type="dxa"/>
          </w:tcPr>
          <w:p w14:paraId="57B00F38" w14:textId="77777777" w:rsidR="00561B22" w:rsidRPr="00C476EC" w:rsidRDefault="00561B22" w:rsidP="00F1223B">
            <w:pPr>
              <w:jc w:val="center"/>
              <w:rPr>
                <w:rFonts w:ascii="Arial" w:hAnsi="Arial" w:cs="Arial"/>
                <w:b/>
                <w:sz w:val="22"/>
                <w:szCs w:val="22"/>
                <w:lang w:val="es-MX"/>
              </w:rPr>
            </w:pPr>
            <w:r w:rsidRPr="00C476EC">
              <w:rPr>
                <w:rFonts w:ascii="Arial" w:hAnsi="Arial" w:cs="Arial"/>
                <w:b/>
                <w:sz w:val="22"/>
                <w:szCs w:val="22"/>
                <w:lang w:val="es-MX"/>
              </w:rPr>
              <w:t>1</w:t>
            </w:r>
          </w:p>
        </w:tc>
        <w:tc>
          <w:tcPr>
            <w:tcW w:w="9400" w:type="dxa"/>
          </w:tcPr>
          <w:p w14:paraId="1844C50B" w14:textId="77777777" w:rsidR="00561B22" w:rsidRPr="00C476EC" w:rsidRDefault="00561B22" w:rsidP="00F1223B">
            <w:pPr>
              <w:tabs>
                <w:tab w:val="left" w:pos="1064"/>
              </w:tabs>
              <w:rPr>
                <w:rFonts w:ascii="Arial" w:hAnsi="Arial" w:cs="Arial"/>
                <w:sz w:val="22"/>
                <w:szCs w:val="22"/>
                <w:lang w:val="es-MX"/>
              </w:rPr>
            </w:pPr>
            <w:r w:rsidRPr="00C476EC">
              <w:rPr>
                <w:rFonts w:ascii="Arial" w:hAnsi="Arial" w:cs="Arial"/>
                <w:sz w:val="22"/>
                <w:szCs w:val="22"/>
                <w:lang w:val="es-MX"/>
              </w:rPr>
              <w:t>Se identificaron debilidades en los consecutivos de los comprobantes contables.</w:t>
            </w:r>
          </w:p>
        </w:tc>
      </w:tr>
    </w:tbl>
    <w:p w14:paraId="5E87FACD" w14:textId="77777777" w:rsidR="00561B22" w:rsidRPr="00C476EC" w:rsidRDefault="00561B22" w:rsidP="00561B22">
      <w:pPr>
        <w:pStyle w:val="Textoindependiente"/>
        <w:ind w:right="-50"/>
        <w:jc w:val="both"/>
        <w:rPr>
          <w:rFonts w:ascii="Arial" w:hAnsi="Arial" w:cs="Arial"/>
          <w:b/>
          <w:bCs/>
        </w:rPr>
      </w:pPr>
    </w:p>
    <w:p w14:paraId="21AD6F41" w14:textId="77777777" w:rsidR="00561B22" w:rsidRPr="00C476EC" w:rsidRDefault="00561B22" w:rsidP="00561B22">
      <w:pPr>
        <w:jc w:val="both"/>
        <w:rPr>
          <w:rFonts w:ascii="Arial" w:hAnsi="Arial" w:cs="Arial"/>
          <w:b/>
          <w:lang w:val="es-MX"/>
        </w:rPr>
      </w:pPr>
      <w:r w:rsidRPr="00C476EC">
        <w:rPr>
          <w:rFonts w:ascii="Arial" w:hAnsi="Arial" w:cs="Arial"/>
          <w:b/>
          <w:lang w:val="es-MX"/>
        </w:rPr>
        <w:t>Del citado informe retomamos las siguientes recomendaciones:</w:t>
      </w:r>
    </w:p>
    <w:p w14:paraId="1591CFDB" w14:textId="77777777" w:rsidR="00561B22" w:rsidRPr="00C476E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476EC" w14:paraId="293EBB69" w14:textId="77777777" w:rsidTr="00F1223B">
        <w:tc>
          <w:tcPr>
            <w:tcW w:w="562" w:type="dxa"/>
          </w:tcPr>
          <w:p w14:paraId="15DFC3BA" w14:textId="77777777" w:rsidR="00561B22" w:rsidRPr="00C476EC" w:rsidRDefault="00561B22" w:rsidP="00F1223B">
            <w:pPr>
              <w:ind w:right="-109"/>
              <w:jc w:val="center"/>
              <w:rPr>
                <w:rFonts w:ascii="Arial" w:hAnsi="Arial" w:cs="Arial"/>
                <w:b/>
                <w:sz w:val="22"/>
                <w:szCs w:val="22"/>
                <w:lang w:val="es-MX"/>
              </w:rPr>
            </w:pPr>
            <w:r w:rsidRPr="00C476EC">
              <w:rPr>
                <w:rFonts w:ascii="Arial" w:hAnsi="Arial" w:cs="Arial"/>
                <w:b/>
                <w:sz w:val="22"/>
                <w:szCs w:val="22"/>
                <w:lang w:val="es-MX"/>
              </w:rPr>
              <w:t>N°</w:t>
            </w:r>
          </w:p>
        </w:tc>
        <w:tc>
          <w:tcPr>
            <w:tcW w:w="9400" w:type="dxa"/>
          </w:tcPr>
          <w:p w14:paraId="44646EC4" w14:textId="77777777" w:rsidR="00561B22" w:rsidRPr="00C476EC" w:rsidRDefault="00561B22" w:rsidP="00F1223B">
            <w:pPr>
              <w:jc w:val="center"/>
              <w:rPr>
                <w:rFonts w:ascii="Arial" w:hAnsi="Arial" w:cs="Arial"/>
                <w:b/>
                <w:sz w:val="22"/>
                <w:szCs w:val="22"/>
                <w:lang w:val="es-MX"/>
              </w:rPr>
            </w:pPr>
            <w:r w:rsidRPr="00C476EC">
              <w:rPr>
                <w:rFonts w:ascii="Arial" w:hAnsi="Arial" w:cs="Arial"/>
                <w:b/>
                <w:sz w:val="22"/>
                <w:szCs w:val="22"/>
                <w:lang w:val="es-MX"/>
              </w:rPr>
              <w:t>RECOMENDACIONES</w:t>
            </w:r>
          </w:p>
          <w:p w14:paraId="5BFA37E2" w14:textId="77777777" w:rsidR="00561B22" w:rsidRPr="00C476EC" w:rsidRDefault="00561B22" w:rsidP="00F1223B">
            <w:pPr>
              <w:jc w:val="center"/>
              <w:rPr>
                <w:rFonts w:ascii="Arial" w:hAnsi="Arial" w:cs="Arial"/>
                <w:b/>
                <w:sz w:val="22"/>
                <w:szCs w:val="22"/>
                <w:lang w:val="es-MX"/>
              </w:rPr>
            </w:pPr>
          </w:p>
        </w:tc>
      </w:tr>
      <w:tr w:rsidR="00561B22" w:rsidRPr="00C476EC" w14:paraId="5D856938" w14:textId="77777777" w:rsidTr="00F1223B">
        <w:tc>
          <w:tcPr>
            <w:tcW w:w="562" w:type="dxa"/>
          </w:tcPr>
          <w:p w14:paraId="66A86A9B" w14:textId="77777777" w:rsidR="00561B22" w:rsidRPr="00C476EC" w:rsidRDefault="00561B22" w:rsidP="00F1223B">
            <w:pPr>
              <w:jc w:val="center"/>
              <w:rPr>
                <w:rFonts w:ascii="Arial" w:hAnsi="Arial" w:cs="Arial"/>
                <w:b/>
                <w:sz w:val="22"/>
                <w:szCs w:val="22"/>
                <w:lang w:val="es-MX"/>
              </w:rPr>
            </w:pPr>
            <w:r w:rsidRPr="00C476EC">
              <w:rPr>
                <w:rFonts w:ascii="Arial" w:hAnsi="Arial" w:cs="Arial"/>
                <w:b/>
                <w:sz w:val="22"/>
                <w:szCs w:val="22"/>
                <w:lang w:val="es-MX"/>
              </w:rPr>
              <w:t>1</w:t>
            </w:r>
          </w:p>
        </w:tc>
        <w:tc>
          <w:tcPr>
            <w:tcW w:w="9400" w:type="dxa"/>
          </w:tcPr>
          <w:p w14:paraId="660EB6BD" w14:textId="77777777" w:rsidR="00561B22" w:rsidRPr="00C476EC" w:rsidRDefault="00561B22" w:rsidP="00F1223B">
            <w:pPr>
              <w:jc w:val="both"/>
              <w:rPr>
                <w:rFonts w:ascii="Arial" w:hAnsi="Arial" w:cs="Arial"/>
                <w:sz w:val="22"/>
                <w:szCs w:val="22"/>
                <w:lang w:val="es-MX"/>
              </w:rPr>
            </w:pPr>
            <w:r w:rsidRPr="00C476EC">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 La automatización puede brindar mayor precisión, eficiencia y consistencia en las operaciones contables, agilizando significativamente el tiempo de procesamiento de datos y reduciendo la posibilidad de errores.</w:t>
            </w:r>
          </w:p>
        </w:tc>
      </w:tr>
    </w:tbl>
    <w:p w14:paraId="62226D25" w14:textId="77777777" w:rsidR="00561B22" w:rsidRPr="00C476EC" w:rsidRDefault="00561B22" w:rsidP="00561B22">
      <w:pPr>
        <w:pStyle w:val="Textoindependiente"/>
        <w:ind w:right="-50"/>
        <w:jc w:val="both"/>
        <w:rPr>
          <w:rFonts w:ascii="Arial" w:hAnsi="Arial" w:cs="Arial"/>
          <w:b/>
          <w:bCs/>
          <w:sz w:val="28"/>
          <w:szCs w:val="28"/>
        </w:rPr>
      </w:pPr>
    </w:p>
    <w:p w14:paraId="5DC2228B" w14:textId="77777777" w:rsidR="00561B22" w:rsidRPr="00C476EC" w:rsidRDefault="00561B22" w:rsidP="00561B22">
      <w:pPr>
        <w:jc w:val="both"/>
        <w:rPr>
          <w:rFonts w:ascii="Arial" w:hAnsi="Arial" w:cs="Arial"/>
          <w:b/>
          <w:bCs/>
          <w:sz w:val="24"/>
          <w:szCs w:val="24"/>
          <w:lang w:val="es-CO"/>
        </w:rPr>
      </w:pPr>
      <w:r w:rsidRPr="00C476EC">
        <w:rPr>
          <w:rFonts w:ascii="Arial" w:hAnsi="Arial" w:cs="Arial"/>
          <w:b/>
          <w:bCs/>
          <w:sz w:val="24"/>
          <w:szCs w:val="24"/>
          <w:lang w:val="es-CO"/>
        </w:rPr>
        <w:t xml:space="preserve">NOTA: LA ENTIDAD ENVIA LA MATRIZ DE AUTOEVALUACIÓN DEL SISTEMA DE CONTROL INTERNO CONTABLE CON </w:t>
      </w:r>
      <w:r w:rsidRPr="00C476EC">
        <w:rPr>
          <w:rFonts w:ascii="Arial" w:hAnsi="Arial" w:cs="Arial"/>
          <w:b/>
          <w:bCs/>
          <w:sz w:val="24"/>
          <w:szCs w:val="24"/>
          <w:u w:val="single"/>
          <w:lang w:val="es-CO"/>
        </w:rPr>
        <w:t>ACTIVIDADES DE CONTROL REALIZADAS EN FORMA PARCIAL</w:t>
      </w:r>
      <w:r w:rsidRPr="00C476EC">
        <w:rPr>
          <w:rFonts w:ascii="Arial" w:hAnsi="Arial" w:cs="Arial"/>
          <w:b/>
          <w:bCs/>
          <w:sz w:val="24"/>
          <w:szCs w:val="24"/>
          <w:lang w:val="es-CO"/>
        </w:rPr>
        <w:t>.</w:t>
      </w:r>
    </w:p>
    <w:p w14:paraId="7BB4233B" w14:textId="77777777" w:rsidR="00561B22" w:rsidRPr="00C476EC" w:rsidRDefault="00561B22" w:rsidP="00561B22">
      <w:pPr>
        <w:pStyle w:val="Textoindependiente"/>
        <w:ind w:right="-50"/>
        <w:jc w:val="both"/>
        <w:rPr>
          <w:rFonts w:ascii="Arial" w:hAnsi="Arial" w:cs="Arial"/>
          <w:b/>
          <w:bCs/>
          <w:sz w:val="28"/>
          <w:szCs w:val="28"/>
        </w:rPr>
      </w:pPr>
    </w:p>
    <w:p w14:paraId="48B88E7C" w14:textId="77777777" w:rsidR="00561B22" w:rsidRPr="00D54F2E" w:rsidRDefault="00561B22" w:rsidP="00561B22">
      <w:pPr>
        <w:jc w:val="both"/>
        <w:rPr>
          <w:rFonts w:ascii="Arial" w:hAnsi="Arial" w:cs="Arial"/>
          <w:b/>
          <w:sz w:val="28"/>
          <w:szCs w:val="28"/>
          <w:lang w:val="es-MX"/>
        </w:rPr>
      </w:pPr>
      <w:r w:rsidRPr="00D54F2E">
        <w:rPr>
          <w:rFonts w:ascii="Arial" w:hAnsi="Arial" w:cs="Arial"/>
          <w:b/>
          <w:sz w:val="28"/>
          <w:szCs w:val="28"/>
          <w:lang w:val="es-MX"/>
        </w:rPr>
        <w:t>198.- PAR E.S.E. ANTONIO NARIÑO EN LIQUIDACIÓN – FIDUPREVISORA S.A.</w:t>
      </w:r>
    </w:p>
    <w:p w14:paraId="6B3F1538" w14:textId="77777777" w:rsidR="00561B22" w:rsidRPr="00C476EC" w:rsidRDefault="00561B22" w:rsidP="00561B22">
      <w:pPr>
        <w:pStyle w:val="Textoindependiente"/>
        <w:tabs>
          <w:tab w:val="left" w:pos="2055"/>
        </w:tabs>
        <w:spacing w:before="5"/>
        <w:rPr>
          <w:rFonts w:ascii="Arial" w:hAnsi="Arial" w:cs="Arial"/>
          <w:sz w:val="17"/>
        </w:rPr>
      </w:pPr>
    </w:p>
    <w:p w14:paraId="6E1DEDF1" w14:textId="77777777" w:rsidR="00561B22" w:rsidRPr="00D54F2E" w:rsidRDefault="00561B22" w:rsidP="00561B22">
      <w:pPr>
        <w:pStyle w:val="Textoindependiente"/>
        <w:ind w:right="-50"/>
        <w:jc w:val="center"/>
        <w:rPr>
          <w:rFonts w:ascii="Arial" w:hAnsi="Arial" w:cs="Arial"/>
          <w:b/>
          <w:bCs/>
        </w:rPr>
      </w:pPr>
      <w:r w:rsidRPr="00D54F2E">
        <w:rPr>
          <w:rFonts w:ascii="Arial" w:hAnsi="Arial" w:cs="Arial"/>
          <w:b/>
          <w:bCs/>
        </w:rPr>
        <w:t>INFORME DE LA AUTOCALIFICACIÓN DEL SISTEMA DE CONTROL INTERNO CONTABLE:</w:t>
      </w:r>
    </w:p>
    <w:p w14:paraId="0D3E2646" w14:textId="77777777" w:rsidR="00561B22" w:rsidRPr="00D54F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54F2E" w14:paraId="78EF92A6" w14:textId="77777777" w:rsidTr="00F1223B">
        <w:tc>
          <w:tcPr>
            <w:tcW w:w="4981" w:type="dxa"/>
          </w:tcPr>
          <w:p w14:paraId="244EF850" w14:textId="77777777" w:rsidR="00561B22" w:rsidRPr="00D54F2E" w:rsidRDefault="00561B22" w:rsidP="00F1223B">
            <w:pPr>
              <w:jc w:val="center"/>
              <w:rPr>
                <w:rFonts w:ascii="Arial" w:hAnsi="Arial" w:cs="Arial"/>
                <w:b/>
                <w:sz w:val="22"/>
                <w:szCs w:val="22"/>
                <w:lang w:val="es-MX"/>
              </w:rPr>
            </w:pPr>
            <w:r w:rsidRPr="00D54F2E">
              <w:rPr>
                <w:rFonts w:ascii="Arial" w:hAnsi="Arial" w:cs="Arial"/>
                <w:b/>
                <w:sz w:val="22"/>
                <w:szCs w:val="22"/>
                <w:lang w:val="es-MX"/>
              </w:rPr>
              <w:t>AUTOCALIFICACIÓN</w:t>
            </w:r>
          </w:p>
        </w:tc>
        <w:tc>
          <w:tcPr>
            <w:tcW w:w="4981" w:type="dxa"/>
          </w:tcPr>
          <w:p w14:paraId="0498E756" w14:textId="77777777" w:rsidR="00561B22" w:rsidRPr="00D54F2E" w:rsidRDefault="00561B22" w:rsidP="00F1223B">
            <w:pPr>
              <w:jc w:val="center"/>
              <w:rPr>
                <w:rFonts w:ascii="Arial" w:hAnsi="Arial" w:cs="Arial"/>
                <w:b/>
                <w:sz w:val="22"/>
                <w:szCs w:val="22"/>
                <w:u w:val="single"/>
                <w:lang w:val="es-MX"/>
              </w:rPr>
            </w:pPr>
            <w:r w:rsidRPr="00D54F2E">
              <w:rPr>
                <w:rFonts w:ascii="Arial" w:hAnsi="Arial" w:cs="Arial"/>
                <w:b/>
                <w:sz w:val="22"/>
                <w:szCs w:val="22"/>
                <w:u w:val="single"/>
                <w:lang w:val="es-MX"/>
              </w:rPr>
              <w:t>4.95</w:t>
            </w:r>
          </w:p>
        </w:tc>
      </w:tr>
    </w:tbl>
    <w:p w14:paraId="19D9E44A" w14:textId="77777777" w:rsidR="00561B22" w:rsidRPr="00D54F2E" w:rsidRDefault="00561B22" w:rsidP="00561B22">
      <w:pPr>
        <w:pStyle w:val="Textoindependiente"/>
        <w:ind w:right="-50"/>
        <w:jc w:val="both"/>
        <w:rPr>
          <w:rFonts w:ascii="Arial" w:hAnsi="Arial" w:cs="Arial"/>
          <w:b/>
          <w:bCs/>
        </w:rPr>
      </w:pPr>
    </w:p>
    <w:p w14:paraId="5717B9A2" w14:textId="77777777" w:rsidR="00561B22" w:rsidRPr="00D54F2E" w:rsidRDefault="00561B22" w:rsidP="00561B22">
      <w:pPr>
        <w:pStyle w:val="Textoindependiente"/>
        <w:ind w:right="-50"/>
        <w:jc w:val="both"/>
        <w:rPr>
          <w:rFonts w:ascii="Arial" w:hAnsi="Arial" w:cs="Arial"/>
          <w:b/>
          <w:bCs/>
        </w:rPr>
      </w:pPr>
      <w:r w:rsidRPr="00D54F2E">
        <w:rPr>
          <w:rFonts w:ascii="Arial" w:hAnsi="Arial" w:cs="Arial"/>
          <w:b/>
          <w:bCs/>
        </w:rPr>
        <w:t>Del informe enviado retomamos lo siguiente:</w:t>
      </w:r>
    </w:p>
    <w:p w14:paraId="44395205" w14:textId="77777777" w:rsidR="00561B22" w:rsidRPr="00D54F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54F2E" w14:paraId="4674421F" w14:textId="77777777" w:rsidTr="00F1223B">
        <w:tc>
          <w:tcPr>
            <w:tcW w:w="562" w:type="dxa"/>
          </w:tcPr>
          <w:p w14:paraId="660C5F4F" w14:textId="77777777" w:rsidR="00561B22" w:rsidRPr="00D54F2E" w:rsidRDefault="00561B22" w:rsidP="00F1223B">
            <w:pPr>
              <w:ind w:right="-109"/>
              <w:jc w:val="center"/>
              <w:rPr>
                <w:rFonts w:ascii="Arial" w:hAnsi="Arial" w:cs="Arial"/>
                <w:b/>
                <w:sz w:val="22"/>
                <w:szCs w:val="22"/>
                <w:lang w:val="es-MX"/>
              </w:rPr>
            </w:pPr>
            <w:r w:rsidRPr="00D54F2E">
              <w:rPr>
                <w:rFonts w:ascii="Arial" w:hAnsi="Arial" w:cs="Arial"/>
                <w:b/>
                <w:sz w:val="22"/>
                <w:szCs w:val="22"/>
                <w:lang w:val="es-MX"/>
              </w:rPr>
              <w:t>N°</w:t>
            </w:r>
          </w:p>
        </w:tc>
        <w:tc>
          <w:tcPr>
            <w:tcW w:w="9400" w:type="dxa"/>
          </w:tcPr>
          <w:p w14:paraId="03B13D35" w14:textId="77777777" w:rsidR="00561B22" w:rsidRPr="00D54F2E" w:rsidRDefault="00561B22" w:rsidP="00F1223B">
            <w:pPr>
              <w:jc w:val="center"/>
              <w:rPr>
                <w:rFonts w:ascii="Arial" w:hAnsi="Arial" w:cs="Arial"/>
                <w:b/>
                <w:sz w:val="22"/>
                <w:szCs w:val="22"/>
                <w:lang w:val="es-MX"/>
              </w:rPr>
            </w:pPr>
            <w:r w:rsidRPr="00D54F2E">
              <w:rPr>
                <w:rFonts w:ascii="Arial" w:hAnsi="Arial" w:cs="Arial"/>
                <w:b/>
                <w:sz w:val="22"/>
                <w:szCs w:val="22"/>
                <w:lang w:val="es-MX"/>
              </w:rPr>
              <w:t>DEBILIDADES</w:t>
            </w:r>
          </w:p>
          <w:p w14:paraId="4185D61F" w14:textId="77777777" w:rsidR="00561B22" w:rsidRPr="00D54F2E" w:rsidRDefault="00561B22" w:rsidP="00F1223B">
            <w:pPr>
              <w:jc w:val="center"/>
              <w:rPr>
                <w:rFonts w:ascii="Arial" w:hAnsi="Arial" w:cs="Arial"/>
                <w:b/>
                <w:sz w:val="22"/>
                <w:szCs w:val="22"/>
                <w:lang w:val="es-MX"/>
              </w:rPr>
            </w:pPr>
          </w:p>
        </w:tc>
      </w:tr>
      <w:tr w:rsidR="00561B22" w:rsidRPr="00D54F2E" w14:paraId="7795BAB1" w14:textId="77777777" w:rsidTr="00F1223B">
        <w:tc>
          <w:tcPr>
            <w:tcW w:w="562" w:type="dxa"/>
          </w:tcPr>
          <w:p w14:paraId="75197773" w14:textId="77777777" w:rsidR="00561B22" w:rsidRPr="00D54F2E" w:rsidRDefault="00561B22" w:rsidP="00F1223B">
            <w:pPr>
              <w:jc w:val="center"/>
              <w:rPr>
                <w:rFonts w:ascii="Arial" w:hAnsi="Arial" w:cs="Arial"/>
                <w:b/>
                <w:sz w:val="22"/>
                <w:szCs w:val="22"/>
                <w:lang w:val="es-MX"/>
              </w:rPr>
            </w:pPr>
            <w:r w:rsidRPr="00D54F2E">
              <w:rPr>
                <w:rFonts w:ascii="Arial" w:hAnsi="Arial" w:cs="Arial"/>
                <w:b/>
                <w:sz w:val="22"/>
                <w:szCs w:val="22"/>
                <w:lang w:val="es-MX"/>
              </w:rPr>
              <w:t>1</w:t>
            </w:r>
          </w:p>
        </w:tc>
        <w:tc>
          <w:tcPr>
            <w:tcW w:w="9400" w:type="dxa"/>
          </w:tcPr>
          <w:p w14:paraId="6D086EF6" w14:textId="77777777" w:rsidR="00561B22" w:rsidRPr="00D54F2E" w:rsidRDefault="00561B22" w:rsidP="00F1223B">
            <w:pPr>
              <w:rPr>
                <w:rFonts w:ascii="Arial" w:hAnsi="Arial" w:cs="Arial"/>
                <w:sz w:val="22"/>
                <w:szCs w:val="22"/>
                <w:lang w:val="es-MX"/>
              </w:rPr>
            </w:pPr>
            <w:r w:rsidRPr="00D54F2E">
              <w:rPr>
                <w:rFonts w:ascii="Arial" w:hAnsi="Arial" w:cs="Arial"/>
                <w:sz w:val="22"/>
                <w:szCs w:val="22"/>
                <w:lang w:val="es-MX"/>
              </w:rPr>
              <w:t>Se identiﬁcaron debilidades en los consecutivos de los comprobantes contables.</w:t>
            </w:r>
          </w:p>
        </w:tc>
      </w:tr>
    </w:tbl>
    <w:p w14:paraId="462804B9" w14:textId="77777777" w:rsidR="00561B22" w:rsidRPr="00D54F2E" w:rsidRDefault="00561B22" w:rsidP="00561B22">
      <w:pPr>
        <w:pStyle w:val="Textoindependiente"/>
        <w:ind w:right="-50"/>
        <w:jc w:val="both"/>
        <w:rPr>
          <w:rFonts w:ascii="Arial" w:hAnsi="Arial" w:cs="Arial"/>
          <w:b/>
          <w:bCs/>
        </w:rPr>
      </w:pPr>
    </w:p>
    <w:p w14:paraId="084A00C1" w14:textId="77777777" w:rsidR="00561B22" w:rsidRPr="00D54F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54F2E" w14:paraId="08533881" w14:textId="77777777" w:rsidTr="00F1223B">
        <w:tc>
          <w:tcPr>
            <w:tcW w:w="562" w:type="dxa"/>
          </w:tcPr>
          <w:p w14:paraId="1A0BB3E6" w14:textId="77777777" w:rsidR="00561B22" w:rsidRPr="00D54F2E" w:rsidRDefault="00561B22" w:rsidP="00F1223B">
            <w:pPr>
              <w:ind w:right="-109"/>
              <w:jc w:val="center"/>
              <w:rPr>
                <w:rFonts w:ascii="Arial" w:hAnsi="Arial" w:cs="Arial"/>
                <w:b/>
                <w:sz w:val="22"/>
                <w:szCs w:val="22"/>
                <w:lang w:val="es-MX"/>
              </w:rPr>
            </w:pPr>
            <w:r w:rsidRPr="00D54F2E">
              <w:rPr>
                <w:rFonts w:ascii="Arial" w:hAnsi="Arial" w:cs="Arial"/>
                <w:b/>
                <w:sz w:val="22"/>
                <w:szCs w:val="22"/>
                <w:lang w:val="es-MX"/>
              </w:rPr>
              <w:t>N°</w:t>
            </w:r>
          </w:p>
        </w:tc>
        <w:tc>
          <w:tcPr>
            <w:tcW w:w="9400" w:type="dxa"/>
          </w:tcPr>
          <w:p w14:paraId="4E01327B" w14:textId="77777777" w:rsidR="00561B22" w:rsidRPr="00D54F2E" w:rsidRDefault="00561B22" w:rsidP="00F1223B">
            <w:pPr>
              <w:jc w:val="center"/>
              <w:rPr>
                <w:rFonts w:ascii="Arial" w:hAnsi="Arial" w:cs="Arial"/>
                <w:b/>
                <w:sz w:val="22"/>
                <w:szCs w:val="22"/>
                <w:lang w:val="es-MX"/>
              </w:rPr>
            </w:pPr>
            <w:r w:rsidRPr="00D54F2E">
              <w:rPr>
                <w:rFonts w:ascii="Arial" w:hAnsi="Arial" w:cs="Arial"/>
                <w:b/>
                <w:sz w:val="22"/>
                <w:szCs w:val="22"/>
                <w:lang w:val="es-MX"/>
              </w:rPr>
              <w:t>RECOMENDACIONES</w:t>
            </w:r>
          </w:p>
          <w:p w14:paraId="1EFA6DCE" w14:textId="77777777" w:rsidR="00561B22" w:rsidRPr="00D54F2E" w:rsidRDefault="00561B22" w:rsidP="00F1223B">
            <w:pPr>
              <w:jc w:val="center"/>
              <w:rPr>
                <w:rFonts w:ascii="Arial" w:hAnsi="Arial" w:cs="Arial"/>
                <w:b/>
                <w:sz w:val="22"/>
                <w:szCs w:val="22"/>
                <w:lang w:val="es-MX"/>
              </w:rPr>
            </w:pPr>
          </w:p>
        </w:tc>
      </w:tr>
      <w:tr w:rsidR="00561B22" w:rsidRPr="00D54F2E" w14:paraId="033ECBE7" w14:textId="77777777" w:rsidTr="00F1223B">
        <w:tc>
          <w:tcPr>
            <w:tcW w:w="562" w:type="dxa"/>
          </w:tcPr>
          <w:p w14:paraId="7BAB56F8" w14:textId="77777777" w:rsidR="00561B22" w:rsidRPr="00D54F2E" w:rsidRDefault="00561B22" w:rsidP="00F1223B">
            <w:pPr>
              <w:jc w:val="center"/>
              <w:rPr>
                <w:rFonts w:ascii="Arial" w:hAnsi="Arial" w:cs="Arial"/>
                <w:b/>
                <w:sz w:val="22"/>
                <w:szCs w:val="22"/>
                <w:lang w:val="es-MX"/>
              </w:rPr>
            </w:pPr>
            <w:r w:rsidRPr="00D54F2E">
              <w:rPr>
                <w:rFonts w:ascii="Arial" w:hAnsi="Arial" w:cs="Arial"/>
                <w:b/>
                <w:sz w:val="22"/>
                <w:szCs w:val="22"/>
                <w:lang w:val="es-MX"/>
              </w:rPr>
              <w:t>1</w:t>
            </w:r>
          </w:p>
        </w:tc>
        <w:tc>
          <w:tcPr>
            <w:tcW w:w="9400" w:type="dxa"/>
          </w:tcPr>
          <w:p w14:paraId="310AB7ED" w14:textId="0B91828B" w:rsidR="00561B22" w:rsidRPr="00D54F2E" w:rsidRDefault="00561B22" w:rsidP="0008150C">
            <w:pPr>
              <w:jc w:val="both"/>
              <w:rPr>
                <w:rFonts w:ascii="Arial" w:hAnsi="Arial" w:cs="Arial"/>
                <w:sz w:val="22"/>
                <w:szCs w:val="22"/>
                <w:lang w:val="es-MX"/>
              </w:rPr>
            </w:pPr>
            <w:r w:rsidRPr="00D54F2E">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D54F2E">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1B21175D" w14:textId="77777777" w:rsidR="00561B22" w:rsidRPr="00D54F2E" w:rsidRDefault="00561B22" w:rsidP="00561B22">
      <w:pPr>
        <w:pStyle w:val="Textoindependiente"/>
        <w:ind w:right="-50"/>
        <w:jc w:val="both"/>
        <w:rPr>
          <w:rFonts w:ascii="Arial" w:hAnsi="Arial" w:cs="Arial"/>
          <w:b/>
          <w:bCs/>
        </w:rPr>
      </w:pPr>
    </w:p>
    <w:p w14:paraId="5F8A1856" w14:textId="77777777" w:rsidR="00561B22" w:rsidRPr="00D54F2E" w:rsidRDefault="00561B22" w:rsidP="00561B22">
      <w:pPr>
        <w:jc w:val="both"/>
        <w:rPr>
          <w:rFonts w:ascii="Arial" w:hAnsi="Arial" w:cs="Arial"/>
          <w:b/>
          <w:bCs/>
          <w:sz w:val="24"/>
          <w:szCs w:val="24"/>
          <w:lang w:val="es-CO"/>
        </w:rPr>
      </w:pPr>
      <w:r w:rsidRPr="00D54F2E">
        <w:rPr>
          <w:rFonts w:ascii="Arial" w:hAnsi="Arial" w:cs="Arial"/>
          <w:b/>
          <w:bCs/>
          <w:sz w:val="24"/>
          <w:szCs w:val="24"/>
          <w:lang w:val="es-CO"/>
        </w:rPr>
        <w:t xml:space="preserve">NOTA: LA ENTIDAD ENVIA LA MATRIZ DE AUTOEVALUACIÓN DEL SISTEMA DE CONTROL INTERNO CONTABLE CON </w:t>
      </w:r>
      <w:r w:rsidRPr="00D54F2E">
        <w:rPr>
          <w:rFonts w:ascii="Arial" w:hAnsi="Arial" w:cs="Arial"/>
          <w:b/>
          <w:bCs/>
          <w:sz w:val="24"/>
          <w:szCs w:val="24"/>
          <w:u w:val="single"/>
          <w:lang w:val="es-CO"/>
        </w:rPr>
        <w:t>ACTIVIDADES DE CONTROL REALIZADAS EN FORMA PARCIAL</w:t>
      </w:r>
      <w:r w:rsidRPr="00D54F2E">
        <w:rPr>
          <w:rFonts w:ascii="Arial" w:hAnsi="Arial" w:cs="Arial"/>
          <w:b/>
          <w:bCs/>
          <w:sz w:val="24"/>
          <w:szCs w:val="24"/>
          <w:lang w:val="es-CO"/>
        </w:rPr>
        <w:t>.</w:t>
      </w:r>
    </w:p>
    <w:p w14:paraId="4FD48C02" w14:textId="77777777" w:rsidR="00561B22" w:rsidRPr="00D54F2E" w:rsidRDefault="00561B22" w:rsidP="00561B22">
      <w:pPr>
        <w:pStyle w:val="Textoindependiente"/>
        <w:ind w:right="-50"/>
        <w:jc w:val="both"/>
        <w:rPr>
          <w:rFonts w:ascii="Arial" w:hAnsi="Arial" w:cs="Arial"/>
          <w:b/>
          <w:bCs/>
          <w:sz w:val="28"/>
          <w:szCs w:val="28"/>
        </w:rPr>
      </w:pPr>
    </w:p>
    <w:p w14:paraId="280C10BB" w14:textId="77777777" w:rsidR="00561B22" w:rsidRPr="000F0C2E" w:rsidRDefault="00561B22" w:rsidP="00561B22">
      <w:pPr>
        <w:jc w:val="both"/>
        <w:rPr>
          <w:rFonts w:ascii="Arial" w:hAnsi="Arial" w:cs="Arial"/>
          <w:b/>
          <w:sz w:val="28"/>
          <w:szCs w:val="28"/>
          <w:lang w:val="es-MX"/>
        </w:rPr>
      </w:pPr>
      <w:r w:rsidRPr="000F0C2E">
        <w:rPr>
          <w:rFonts w:ascii="Arial" w:hAnsi="Arial" w:cs="Arial"/>
          <w:b/>
          <w:sz w:val="28"/>
          <w:szCs w:val="28"/>
          <w:lang w:val="es-MX"/>
        </w:rPr>
        <w:t>199.- PA FONDO NACIONAL DE FINANCIAMIENTO PARA LA CIENCIA, TECNOLOGÍA Y LA INNOVACIÓN FRANCISCO JOSÉ DE CALDAS – FIDUPREVISORA S.A.</w:t>
      </w:r>
    </w:p>
    <w:p w14:paraId="71EA8DE7" w14:textId="77777777" w:rsidR="00561B22" w:rsidRPr="000F0C2E" w:rsidRDefault="00561B22" w:rsidP="00561B22">
      <w:pPr>
        <w:pStyle w:val="Textoindependiente"/>
        <w:tabs>
          <w:tab w:val="left" w:pos="2055"/>
        </w:tabs>
        <w:spacing w:before="5"/>
        <w:rPr>
          <w:rFonts w:ascii="Arial" w:hAnsi="Arial" w:cs="Arial"/>
          <w:sz w:val="17"/>
        </w:rPr>
      </w:pPr>
    </w:p>
    <w:p w14:paraId="4E52CB0E" w14:textId="77777777" w:rsidR="00561B22" w:rsidRPr="000F0C2E" w:rsidRDefault="00561B22" w:rsidP="00561B22">
      <w:pPr>
        <w:pStyle w:val="Textoindependiente"/>
        <w:ind w:right="-50"/>
        <w:jc w:val="center"/>
        <w:rPr>
          <w:rFonts w:ascii="Arial" w:hAnsi="Arial" w:cs="Arial"/>
          <w:b/>
          <w:bCs/>
        </w:rPr>
      </w:pPr>
      <w:r w:rsidRPr="000F0C2E">
        <w:rPr>
          <w:rFonts w:ascii="Arial" w:hAnsi="Arial" w:cs="Arial"/>
          <w:b/>
          <w:bCs/>
        </w:rPr>
        <w:t>INFORME DE LA AUTOCALIFICACIÓN DEL SISTEMA DE CONTROL INTERNO CONTABLE:</w:t>
      </w:r>
    </w:p>
    <w:p w14:paraId="5944C6E7" w14:textId="77777777" w:rsidR="00561B22" w:rsidRPr="000F0C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F0C2E" w14:paraId="1D549602" w14:textId="77777777" w:rsidTr="00F1223B">
        <w:tc>
          <w:tcPr>
            <w:tcW w:w="4981" w:type="dxa"/>
          </w:tcPr>
          <w:p w14:paraId="3E8F7E8F" w14:textId="77777777" w:rsidR="00561B22" w:rsidRPr="000F0C2E" w:rsidRDefault="00561B22" w:rsidP="00F1223B">
            <w:pPr>
              <w:jc w:val="center"/>
              <w:rPr>
                <w:rFonts w:ascii="Arial" w:hAnsi="Arial" w:cs="Arial"/>
                <w:b/>
                <w:sz w:val="22"/>
                <w:szCs w:val="22"/>
                <w:lang w:val="es-MX"/>
              </w:rPr>
            </w:pPr>
            <w:r w:rsidRPr="000F0C2E">
              <w:rPr>
                <w:rFonts w:ascii="Arial" w:hAnsi="Arial" w:cs="Arial"/>
                <w:b/>
                <w:sz w:val="22"/>
                <w:szCs w:val="22"/>
                <w:lang w:val="es-MX"/>
              </w:rPr>
              <w:t>AUTOCALIFICACIÓN</w:t>
            </w:r>
          </w:p>
        </w:tc>
        <w:tc>
          <w:tcPr>
            <w:tcW w:w="4981" w:type="dxa"/>
          </w:tcPr>
          <w:p w14:paraId="21F70A58" w14:textId="77777777" w:rsidR="00561B22" w:rsidRPr="000F0C2E" w:rsidRDefault="00561B22" w:rsidP="00F1223B">
            <w:pPr>
              <w:jc w:val="center"/>
              <w:rPr>
                <w:rFonts w:ascii="Arial" w:hAnsi="Arial" w:cs="Arial"/>
                <w:b/>
                <w:sz w:val="22"/>
                <w:szCs w:val="22"/>
                <w:u w:val="single"/>
                <w:lang w:val="es-MX"/>
              </w:rPr>
            </w:pPr>
            <w:r w:rsidRPr="000F0C2E">
              <w:rPr>
                <w:rFonts w:ascii="Arial" w:hAnsi="Arial" w:cs="Arial"/>
                <w:b/>
                <w:sz w:val="22"/>
                <w:szCs w:val="22"/>
                <w:u w:val="single"/>
                <w:lang w:val="es-MX"/>
              </w:rPr>
              <w:t>4.95</w:t>
            </w:r>
          </w:p>
        </w:tc>
      </w:tr>
    </w:tbl>
    <w:p w14:paraId="510B7B81" w14:textId="77777777" w:rsidR="00561B22" w:rsidRPr="000F0C2E" w:rsidRDefault="00561B22" w:rsidP="00561B22">
      <w:pPr>
        <w:pStyle w:val="Textoindependiente"/>
        <w:ind w:right="-50"/>
        <w:jc w:val="both"/>
        <w:rPr>
          <w:rFonts w:ascii="Arial" w:hAnsi="Arial" w:cs="Arial"/>
          <w:b/>
          <w:bCs/>
        </w:rPr>
      </w:pPr>
    </w:p>
    <w:p w14:paraId="408DE738" w14:textId="77777777" w:rsidR="00561B22" w:rsidRPr="000F0C2E" w:rsidRDefault="00561B22" w:rsidP="00561B22">
      <w:pPr>
        <w:pStyle w:val="Textoindependiente"/>
        <w:ind w:right="-50"/>
        <w:jc w:val="both"/>
        <w:rPr>
          <w:rFonts w:ascii="Arial" w:hAnsi="Arial" w:cs="Arial"/>
          <w:b/>
          <w:bCs/>
        </w:rPr>
      </w:pPr>
      <w:r w:rsidRPr="000F0C2E">
        <w:rPr>
          <w:rFonts w:ascii="Arial" w:hAnsi="Arial" w:cs="Arial"/>
          <w:b/>
          <w:bCs/>
        </w:rPr>
        <w:t>Del informe enviado retomamos lo siguiente:</w:t>
      </w:r>
    </w:p>
    <w:p w14:paraId="1EEC23A4" w14:textId="77777777" w:rsidR="00561B22" w:rsidRPr="000F0C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F0C2E" w14:paraId="1E9595C4" w14:textId="77777777" w:rsidTr="00F1223B">
        <w:tc>
          <w:tcPr>
            <w:tcW w:w="562" w:type="dxa"/>
          </w:tcPr>
          <w:p w14:paraId="64200B50" w14:textId="77777777" w:rsidR="00561B22" w:rsidRPr="000F0C2E" w:rsidRDefault="00561B22" w:rsidP="00F1223B">
            <w:pPr>
              <w:ind w:right="-109"/>
              <w:jc w:val="center"/>
              <w:rPr>
                <w:rFonts w:ascii="Arial" w:hAnsi="Arial" w:cs="Arial"/>
                <w:b/>
                <w:sz w:val="22"/>
                <w:szCs w:val="22"/>
                <w:lang w:val="es-MX"/>
              </w:rPr>
            </w:pPr>
            <w:r w:rsidRPr="000F0C2E">
              <w:rPr>
                <w:rFonts w:ascii="Arial" w:hAnsi="Arial" w:cs="Arial"/>
                <w:b/>
                <w:sz w:val="22"/>
                <w:szCs w:val="22"/>
                <w:lang w:val="es-MX"/>
              </w:rPr>
              <w:t>N°</w:t>
            </w:r>
          </w:p>
        </w:tc>
        <w:tc>
          <w:tcPr>
            <w:tcW w:w="9400" w:type="dxa"/>
          </w:tcPr>
          <w:p w14:paraId="3C5EF9DE" w14:textId="77777777" w:rsidR="00561B22" w:rsidRPr="000F0C2E" w:rsidRDefault="00561B22" w:rsidP="00F1223B">
            <w:pPr>
              <w:jc w:val="center"/>
              <w:rPr>
                <w:rFonts w:ascii="Arial" w:hAnsi="Arial" w:cs="Arial"/>
                <w:b/>
                <w:sz w:val="22"/>
                <w:szCs w:val="22"/>
                <w:lang w:val="es-MX"/>
              </w:rPr>
            </w:pPr>
            <w:r w:rsidRPr="000F0C2E">
              <w:rPr>
                <w:rFonts w:ascii="Arial" w:hAnsi="Arial" w:cs="Arial"/>
                <w:b/>
                <w:sz w:val="22"/>
                <w:szCs w:val="22"/>
                <w:lang w:val="es-MX"/>
              </w:rPr>
              <w:t>DEBILIDADES</w:t>
            </w:r>
          </w:p>
          <w:p w14:paraId="22A49284" w14:textId="77777777" w:rsidR="00561B22" w:rsidRPr="000F0C2E" w:rsidRDefault="00561B22" w:rsidP="00F1223B">
            <w:pPr>
              <w:jc w:val="center"/>
              <w:rPr>
                <w:rFonts w:ascii="Arial" w:hAnsi="Arial" w:cs="Arial"/>
                <w:b/>
                <w:sz w:val="22"/>
                <w:szCs w:val="22"/>
                <w:lang w:val="es-MX"/>
              </w:rPr>
            </w:pPr>
          </w:p>
        </w:tc>
      </w:tr>
      <w:tr w:rsidR="00561B22" w:rsidRPr="000F0C2E" w14:paraId="2FFD1307" w14:textId="77777777" w:rsidTr="00F1223B">
        <w:tc>
          <w:tcPr>
            <w:tcW w:w="562" w:type="dxa"/>
          </w:tcPr>
          <w:p w14:paraId="6B9F4270" w14:textId="77777777" w:rsidR="00561B22" w:rsidRPr="000F0C2E" w:rsidRDefault="00561B22" w:rsidP="00F1223B">
            <w:pPr>
              <w:jc w:val="center"/>
              <w:rPr>
                <w:rFonts w:ascii="Arial" w:hAnsi="Arial" w:cs="Arial"/>
                <w:b/>
                <w:sz w:val="22"/>
                <w:szCs w:val="22"/>
                <w:lang w:val="es-MX"/>
              </w:rPr>
            </w:pPr>
            <w:r w:rsidRPr="000F0C2E">
              <w:rPr>
                <w:rFonts w:ascii="Arial" w:hAnsi="Arial" w:cs="Arial"/>
                <w:b/>
                <w:sz w:val="22"/>
                <w:szCs w:val="22"/>
                <w:lang w:val="es-MX"/>
              </w:rPr>
              <w:t>1</w:t>
            </w:r>
          </w:p>
        </w:tc>
        <w:tc>
          <w:tcPr>
            <w:tcW w:w="9400" w:type="dxa"/>
          </w:tcPr>
          <w:p w14:paraId="57C4B268" w14:textId="77777777" w:rsidR="00561B22" w:rsidRPr="000F0C2E" w:rsidRDefault="00561B22" w:rsidP="00F1223B">
            <w:pPr>
              <w:rPr>
                <w:rFonts w:ascii="Arial" w:hAnsi="Arial" w:cs="Arial"/>
                <w:sz w:val="22"/>
                <w:szCs w:val="22"/>
                <w:lang w:val="es-MX"/>
              </w:rPr>
            </w:pPr>
            <w:r w:rsidRPr="000F0C2E">
              <w:rPr>
                <w:rFonts w:ascii="Arial" w:hAnsi="Arial" w:cs="Arial"/>
                <w:sz w:val="22"/>
                <w:szCs w:val="22"/>
                <w:lang w:val="es-MX"/>
              </w:rPr>
              <w:t>Se identiﬁcaron debilidades en los consecutivos de los comprobantes contables.</w:t>
            </w:r>
          </w:p>
        </w:tc>
      </w:tr>
    </w:tbl>
    <w:p w14:paraId="1ACFC5D1" w14:textId="77777777" w:rsidR="00561B22" w:rsidRPr="000F0C2E" w:rsidRDefault="00561B22" w:rsidP="00561B22">
      <w:pPr>
        <w:pStyle w:val="Textoindependiente"/>
        <w:ind w:right="-50"/>
        <w:jc w:val="both"/>
        <w:rPr>
          <w:rFonts w:ascii="Arial" w:hAnsi="Arial" w:cs="Arial"/>
          <w:b/>
          <w:bCs/>
        </w:rPr>
      </w:pPr>
    </w:p>
    <w:p w14:paraId="2FE4A756" w14:textId="77777777" w:rsidR="00561B22" w:rsidRPr="000F0C2E" w:rsidRDefault="00561B22" w:rsidP="00561B22">
      <w:pPr>
        <w:jc w:val="both"/>
        <w:rPr>
          <w:rFonts w:ascii="Arial" w:hAnsi="Arial" w:cs="Arial"/>
          <w:b/>
          <w:lang w:val="es-MX"/>
        </w:rPr>
      </w:pPr>
      <w:r w:rsidRPr="000F0C2E">
        <w:rPr>
          <w:rFonts w:ascii="Arial" w:hAnsi="Arial" w:cs="Arial"/>
          <w:b/>
          <w:lang w:val="es-MX"/>
        </w:rPr>
        <w:t>Del citado informe retomamos las siguientes recomendaciones:</w:t>
      </w:r>
    </w:p>
    <w:p w14:paraId="71F461DC" w14:textId="77777777" w:rsidR="00561B22" w:rsidRPr="000F0C2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F0C2E" w14:paraId="4BFE511B" w14:textId="77777777" w:rsidTr="00F1223B">
        <w:tc>
          <w:tcPr>
            <w:tcW w:w="562" w:type="dxa"/>
          </w:tcPr>
          <w:p w14:paraId="475B2A09" w14:textId="77777777" w:rsidR="00561B22" w:rsidRPr="000F0C2E" w:rsidRDefault="00561B22" w:rsidP="00F1223B">
            <w:pPr>
              <w:ind w:right="-109"/>
              <w:jc w:val="center"/>
              <w:rPr>
                <w:rFonts w:ascii="Arial" w:hAnsi="Arial" w:cs="Arial"/>
                <w:b/>
                <w:sz w:val="22"/>
                <w:szCs w:val="22"/>
                <w:lang w:val="es-MX"/>
              </w:rPr>
            </w:pPr>
            <w:r w:rsidRPr="000F0C2E">
              <w:rPr>
                <w:rFonts w:ascii="Arial" w:hAnsi="Arial" w:cs="Arial"/>
                <w:b/>
                <w:sz w:val="22"/>
                <w:szCs w:val="22"/>
                <w:lang w:val="es-MX"/>
              </w:rPr>
              <w:t>N°</w:t>
            </w:r>
          </w:p>
        </w:tc>
        <w:tc>
          <w:tcPr>
            <w:tcW w:w="9400" w:type="dxa"/>
          </w:tcPr>
          <w:p w14:paraId="0F687184" w14:textId="77777777" w:rsidR="00561B22" w:rsidRPr="000F0C2E" w:rsidRDefault="00561B22" w:rsidP="00F1223B">
            <w:pPr>
              <w:jc w:val="center"/>
              <w:rPr>
                <w:rFonts w:ascii="Arial" w:hAnsi="Arial" w:cs="Arial"/>
                <w:b/>
                <w:sz w:val="22"/>
                <w:szCs w:val="22"/>
                <w:lang w:val="es-MX"/>
              </w:rPr>
            </w:pPr>
            <w:r w:rsidRPr="000F0C2E">
              <w:rPr>
                <w:rFonts w:ascii="Arial" w:hAnsi="Arial" w:cs="Arial"/>
                <w:b/>
                <w:sz w:val="22"/>
                <w:szCs w:val="22"/>
                <w:lang w:val="es-MX"/>
              </w:rPr>
              <w:t>RECOMENDACIONES</w:t>
            </w:r>
          </w:p>
          <w:p w14:paraId="34D78B0D" w14:textId="77777777" w:rsidR="00561B22" w:rsidRPr="000F0C2E" w:rsidRDefault="00561B22" w:rsidP="00F1223B">
            <w:pPr>
              <w:jc w:val="center"/>
              <w:rPr>
                <w:rFonts w:ascii="Arial" w:hAnsi="Arial" w:cs="Arial"/>
                <w:b/>
                <w:sz w:val="22"/>
                <w:szCs w:val="22"/>
                <w:lang w:val="es-MX"/>
              </w:rPr>
            </w:pPr>
          </w:p>
        </w:tc>
      </w:tr>
      <w:tr w:rsidR="00561B22" w:rsidRPr="000F0C2E" w14:paraId="1FD81070" w14:textId="77777777" w:rsidTr="00F1223B">
        <w:tc>
          <w:tcPr>
            <w:tcW w:w="562" w:type="dxa"/>
          </w:tcPr>
          <w:p w14:paraId="767A5B69" w14:textId="77777777" w:rsidR="00561B22" w:rsidRPr="000F0C2E" w:rsidRDefault="00561B22" w:rsidP="00F1223B">
            <w:pPr>
              <w:jc w:val="center"/>
              <w:rPr>
                <w:rFonts w:ascii="Arial" w:hAnsi="Arial" w:cs="Arial"/>
                <w:b/>
                <w:sz w:val="22"/>
                <w:szCs w:val="22"/>
                <w:lang w:val="es-MX"/>
              </w:rPr>
            </w:pPr>
            <w:r w:rsidRPr="000F0C2E">
              <w:rPr>
                <w:rFonts w:ascii="Arial" w:hAnsi="Arial" w:cs="Arial"/>
                <w:b/>
                <w:sz w:val="22"/>
                <w:szCs w:val="22"/>
                <w:lang w:val="es-MX"/>
              </w:rPr>
              <w:t>1</w:t>
            </w:r>
          </w:p>
        </w:tc>
        <w:tc>
          <w:tcPr>
            <w:tcW w:w="9400" w:type="dxa"/>
          </w:tcPr>
          <w:p w14:paraId="78EC647D" w14:textId="6F614D9C" w:rsidR="00561B22" w:rsidRPr="000F0C2E" w:rsidRDefault="00561B22" w:rsidP="0008150C">
            <w:pPr>
              <w:tabs>
                <w:tab w:val="left" w:pos="1928"/>
              </w:tabs>
              <w:jc w:val="both"/>
              <w:rPr>
                <w:rFonts w:ascii="Arial" w:hAnsi="Arial" w:cs="Arial"/>
                <w:sz w:val="22"/>
                <w:szCs w:val="22"/>
                <w:lang w:val="es-MX"/>
              </w:rPr>
            </w:pPr>
            <w:r w:rsidRPr="000F0C2E">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0F0C2E">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3EFB6A6F" w14:textId="77777777" w:rsidR="00561B22" w:rsidRPr="000F0C2E" w:rsidRDefault="00561B22" w:rsidP="00561B22">
      <w:pPr>
        <w:pStyle w:val="Textoindependiente"/>
        <w:ind w:right="-50"/>
        <w:jc w:val="both"/>
        <w:rPr>
          <w:rFonts w:ascii="Arial" w:hAnsi="Arial" w:cs="Arial"/>
          <w:b/>
          <w:bCs/>
        </w:rPr>
      </w:pPr>
    </w:p>
    <w:p w14:paraId="4E2F04AE" w14:textId="77777777" w:rsidR="00561B22" w:rsidRPr="000F0C2E" w:rsidRDefault="00561B22" w:rsidP="00561B22">
      <w:pPr>
        <w:jc w:val="both"/>
        <w:rPr>
          <w:rFonts w:ascii="Arial" w:hAnsi="Arial" w:cs="Arial"/>
          <w:b/>
          <w:bCs/>
          <w:sz w:val="24"/>
          <w:szCs w:val="24"/>
          <w:lang w:val="es-CO"/>
        </w:rPr>
      </w:pPr>
      <w:r w:rsidRPr="000F0C2E">
        <w:rPr>
          <w:rFonts w:ascii="Arial" w:hAnsi="Arial" w:cs="Arial"/>
          <w:b/>
          <w:bCs/>
          <w:sz w:val="24"/>
          <w:szCs w:val="24"/>
          <w:lang w:val="es-CO"/>
        </w:rPr>
        <w:t xml:space="preserve">NOTA: LA ENTIDAD ENVIA LA MATRIZ DE AUTOEVALUACIÓN DEL SISTEMA DE CONTROL INTERNO CONTABLE CON </w:t>
      </w:r>
      <w:r w:rsidRPr="000F0C2E">
        <w:rPr>
          <w:rFonts w:ascii="Arial" w:hAnsi="Arial" w:cs="Arial"/>
          <w:b/>
          <w:bCs/>
          <w:sz w:val="24"/>
          <w:szCs w:val="24"/>
          <w:u w:val="single"/>
          <w:lang w:val="es-CO"/>
        </w:rPr>
        <w:t>ACTIVIDADES DE CONTROL REALIZADAS EN FORMA PARCIAL</w:t>
      </w:r>
      <w:r w:rsidRPr="000F0C2E">
        <w:rPr>
          <w:rFonts w:ascii="Arial" w:hAnsi="Arial" w:cs="Arial"/>
          <w:b/>
          <w:bCs/>
          <w:sz w:val="24"/>
          <w:szCs w:val="24"/>
          <w:lang w:val="es-CO"/>
        </w:rPr>
        <w:t>.</w:t>
      </w:r>
    </w:p>
    <w:p w14:paraId="7CD377AD" w14:textId="77777777" w:rsidR="00561B22" w:rsidRDefault="00561B22" w:rsidP="00561B22">
      <w:pPr>
        <w:jc w:val="both"/>
        <w:rPr>
          <w:rFonts w:ascii="Arial" w:hAnsi="Arial" w:cs="Arial"/>
          <w:b/>
          <w:bCs/>
          <w:sz w:val="24"/>
          <w:szCs w:val="24"/>
        </w:rPr>
      </w:pPr>
    </w:p>
    <w:p w14:paraId="57A31A56" w14:textId="77777777" w:rsidR="00561B22" w:rsidRPr="005361EC" w:rsidRDefault="00561B22" w:rsidP="00561B22">
      <w:pPr>
        <w:jc w:val="both"/>
        <w:rPr>
          <w:rFonts w:ascii="Arial" w:hAnsi="Arial" w:cs="Arial"/>
          <w:b/>
          <w:sz w:val="28"/>
          <w:szCs w:val="28"/>
          <w:lang w:val="es-MX"/>
        </w:rPr>
      </w:pPr>
      <w:r w:rsidRPr="005361EC">
        <w:rPr>
          <w:rFonts w:ascii="Arial" w:hAnsi="Arial" w:cs="Arial"/>
          <w:b/>
          <w:sz w:val="28"/>
          <w:szCs w:val="28"/>
          <w:lang w:val="es-MX"/>
        </w:rPr>
        <w:t>200.- PAP DEFENSA JURÍDICA EXTINTO DAS Y SU FONDO ROTATORIO – FIDUPREVISORA S.A.</w:t>
      </w:r>
    </w:p>
    <w:p w14:paraId="27364410" w14:textId="77777777" w:rsidR="00561B22" w:rsidRDefault="00561B22" w:rsidP="00561B22">
      <w:pPr>
        <w:jc w:val="both"/>
        <w:rPr>
          <w:rFonts w:ascii="Arial" w:hAnsi="Arial" w:cs="Arial"/>
          <w:b/>
          <w:bCs/>
          <w:sz w:val="24"/>
          <w:szCs w:val="24"/>
        </w:rPr>
      </w:pPr>
    </w:p>
    <w:p w14:paraId="67DDE616" w14:textId="77777777" w:rsidR="00561B22" w:rsidRPr="001D6C41" w:rsidRDefault="00561B22" w:rsidP="00561B22">
      <w:pPr>
        <w:pStyle w:val="Textoindependiente"/>
        <w:ind w:right="-50"/>
        <w:jc w:val="center"/>
        <w:rPr>
          <w:rFonts w:ascii="Arial" w:hAnsi="Arial" w:cs="Arial"/>
          <w:b/>
          <w:bCs/>
        </w:rPr>
      </w:pPr>
      <w:r w:rsidRPr="001D6C41">
        <w:rPr>
          <w:rFonts w:ascii="Arial" w:hAnsi="Arial" w:cs="Arial"/>
          <w:b/>
          <w:bCs/>
        </w:rPr>
        <w:t>INFORME DE LA AUTOCALIFICACIÓN DEL SISTEMA DE CONTROL INTERNO CONTABLE:</w:t>
      </w:r>
    </w:p>
    <w:p w14:paraId="46D0D6BF" w14:textId="77777777" w:rsidR="00561B22" w:rsidRPr="001D6C4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D6C41" w14:paraId="7A38253F" w14:textId="77777777" w:rsidTr="00F1223B">
        <w:tc>
          <w:tcPr>
            <w:tcW w:w="4981" w:type="dxa"/>
          </w:tcPr>
          <w:p w14:paraId="54CB47C9" w14:textId="77777777" w:rsidR="00561B22" w:rsidRPr="001D6C41" w:rsidRDefault="00561B22" w:rsidP="00F1223B">
            <w:pPr>
              <w:jc w:val="center"/>
              <w:rPr>
                <w:rFonts w:ascii="Arial" w:hAnsi="Arial" w:cs="Arial"/>
                <w:b/>
                <w:sz w:val="22"/>
                <w:szCs w:val="22"/>
                <w:lang w:val="es-MX"/>
              </w:rPr>
            </w:pPr>
            <w:r w:rsidRPr="001D6C41">
              <w:rPr>
                <w:rFonts w:ascii="Arial" w:hAnsi="Arial" w:cs="Arial"/>
                <w:b/>
                <w:sz w:val="22"/>
                <w:szCs w:val="22"/>
                <w:lang w:val="es-MX"/>
              </w:rPr>
              <w:t>AUTOCALIFICACIÓN</w:t>
            </w:r>
          </w:p>
        </w:tc>
        <w:tc>
          <w:tcPr>
            <w:tcW w:w="4981" w:type="dxa"/>
          </w:tcPr>
          <w:p w14:paraId="158DC12A" w14:textId="77777777" w:rsidR="00561B22" w:rsidRPr="001D6C41" w:rsidRDefault="00561B22" w:rsidP="00F1223B">
            <w:pPr>
              <w:jc w:val="center"/>
              <w:rPr>
                <w:rFonts w:ascii="Arial" w:hAnsi="Arial" w:cs="Arial"/>
                <w:b/>
                <w:sz w:val="22"/>
                <w:szCs w:val="22"/>
                <w:u w:val="single"/>
                <w:lang w:val="es-MX"/>
              </w:rPr>
            </w:pPr>
            <w:r w:rsidRPr="001D6C41">
              <w:rPr>
                <w:rFonts w:ascii="Arial" w:hAnsi="Arial" w:cs="Arial"/>
                <w:b/>
                <w:sz w:val="22"/>
                <w:szCs w:val="22"/>
                <w:u w:val="single"/>
                <w:lang w:val="es-MX"/>
              </w:rPr>
              <w:t>4.95</w:t>
            </w:r>
          </w:p>
        </w:tc>
      </w:tr>
    </w:tbl>
    <w:p w14:paraId="56F9DC8B" w14:textId="77777777" w:rsidR="00561B22" w:rsidRPr="001D6C41" w:rsidRDefault="00561B22" w:rsidP="00561B22">
      <w:pPr>
        <w:pStyle w:val="Textoindependiente"/>
        <w:ind w:right="-50"/>
        <w:jc w:val="both"/>
        <w:rPr>
          <w:rFonts w:ascii="Arial" w:hAnsi="Arial" w:cs="Arial"/>
          <w:b/>
          <w:bCs/>
        </w:rPr>
      </w:pPr>
    </w:p>
    <w:p w14:paraId="4A8EA7AC" w14:textId="77777777" w:rsidR="00561B22" w:rsidRPr="001D6C41" w:rsidRDefault="00561B22" w:rsidP="00561B22">
      <w:pPr>
        <w:pStyle w:val="Textoindependiente"/>
        <w:ind w:right="-50"/>
        <w:jc w:val="both"/>
        <w:rPr>
          <w:rFonts w:ascii="Arial" w:hAnsi="Arial" w:cs="Arial"/>
          <w:b/>
          <w:bCs/>
        </w:rPr>
      </w:pPr>
      <w:r w:rsidRPr="001D6C41">
        <w:rPr>
          <w:rFonts w:ascii="Arial" w:hAnsi="Arial" w:cs="Arial"/>
          <w:b/>
          <w:bCs/>
        </w:rPr>
        <w:t>Del informe enviado retomamos lo siguiente:</w:t>
      </w:r>
    </w:p>
    <w:p w14:paraId="5DC34FE4" w14:textId="77777777" w:rsidR="00561B22" w:rsidRPr="001D6C4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D6C41" w14:paraId="304683F8" w14:textId="77777777" w:rsidTr="00F1223B">
        <w:tc>
          <w:tcPr>
            <w:tcW w:w="562" w:type="dxa"/>
          </w:tcPr>
          <w:p w14:paraId="28DCD8F0" w14:textId="77777777" w:rsidR="00561B22" w:rsidRPr="001D6C41" w:rsidRDefault="00561B22" w:rsidP="00F1223B">
            <w:pPr>
              <w:ind w:right="-109"/>
              <w:jc w:val="center"/>
              <w:rPr>
                <w:rFonts w:ascii="Arial" w:hAnsi="Arial" w:cs="Arial"/>
                <w:b/>
                <w:sz w:val="22"/>
                <w:szCs w:val="22"/>
                <w:lang w:val="es-MX"/>
              </w:rPr>
            </w:pPr>
            <w:r w:rsidRPr="001D6C41">
              <w:rPr>
                <w:rFonts w:ascii="Arial" w:hAnsi="Arial" w:cs="Arial"/>
                <w:b/>
                <w:sz w:val="22"/>
                <w:szCs w:val="22"/>
                <w:lang w:val="es-MX"/>
              </w:rPr>
              <w:t>N°</w:t>
            </w:r>
          </w:p>
        </w:tc>
        <w:tc>
          <w:tcPr>
            <w:tcW w:w="9400" w:type="dxa"/>
          </w:tcPr>
          <w:p w14:paraId="3B7B335F" w14:textId="77777777" w:rsidR="00561B22" w:rsidRPr="001D6C41" w:rsidRDefault="00561B22" w:rsidP="00F1223B">
            <w:pPr>
              <w:jc w:val="center"/>
              <w:rPr>
                <w:rFonts w:ascii="Arial" w:hAnsi="Arial" w:cs="Arial"/>
                <w:b/>
                <w:sz w:val="22"/>
                <w:szCs w:val="22"/>
                <w:lang w:val="es-MX"/>
              </w:rPr>
            </w:pPr>
            <w:r w:rsidRPr="001D6C41">
              <w:rPr>
                <w:rFonts w:ascii="Arial" w:hAnsi="Arial" w:cs="Arial"/>
                <w:b/>
                <w:sz w:val="22"/>
                <w:szCs w:val="22"/>
                <w:lang w:val="es-MX"/>
              </w:rPr>
              <w:t>DEBILIDADES</w:t>
            </w:r>
          </w:p>
          <w:p w14:paraId="006EA898" w14:textId="77777777" w:rsidR="00561B22" w:rsidRPr="001D6C41" w:rsidRDefault="00561B22" w:rsidP="00F1223B">
            <w:pPr>
              <w:jc w:val="center"/>
              <w:rPr>
                <w:rFonts w:ascii="Arial" w:hAnsi="Arial" w:cs="Arial"/>
                <w:b/>
                <w:sz w:val="22"/>
                <w:szCs w:val="22"/>
                <w:lang w:val="es-MX"/>
              </w:rPr>
            </w:pPr>
          </w:p>
        </w:tc>
      </w:tr>
      <w:tr w:rsidR="00561B22" w:rsidRPr="001D6C41" w14:paraId="282968AD" w14:textId="77777777" w:rsidTr="00F1223B">
        <w:tc>
          <w:tcPr>
            <w:tcW w:w="562" w:type="dxa"/>
          </w:tcPr>
          <w:p w14:paraId="1C419624" w14:textId="77777777" w:rsidR="00561B22" w:rsidRPr="001D6C41" w:rsidRDefault="00561B22" w:rsidP="00F1223B">
            <w:pPr>
              <w:jc w:val="center"/>
              <w:rPr>
                <w:rFonts w:ascii="Arial" w:hAnsi="Arial" w:cs="Arial"/>
                <w:b/>
                <w:sz w:val="22"/>
                <w:szCs w:val="22"/>
                <w:lang w:val="es-MX"/>
              </w:rPr>
            </w:pPr>
            <w:r w:rsidRPr="001D6C41">
              <w:rPr>
                <w:rFonts w:ascii="Arial" w:hAnsi="Arial" w:cs="Arial"/>
                <w:b/>
                <w:sz w:val="22"/>
                <w:szCs w:val="22"/>
                <w:lang w:val="es-MX"/>
              </w:rPr>
              <w:t>1</w:t>
            </w:r>
          </w:p>
        </w:tc>
        <w:tc>
          <w:tcPr>
            <w:tcW w:w="9400" w:type="dxa"/>
          </w:tcPr>
          <w:p w14:paraId="1B29A847" w14:textId="77777777" w:rsidR="00561B22" w:rsidRPr="001D6C41" w:rsidRDefault="00561B22" w:rsidP="00F1223B">
            <w:pPr>
              <w:rPr>
                <w:rFonts w:ascii="Arial" w:hAnsi="Arial" w:cs="Arial"/>
                <w:sz w:val="22"/>
                <w:szCs w:val="22"/>
                <w:lang w:val="es-MX"/>
              </w:rPr>
            </w:pPr>
            <w:r w:rsidRPr="001D6C41">
              <w:rPr>
                <w:rFonts w:ascii="Arial" w:hAnsi="Arial" w:cs="Arial"/>
                <w:sz w:val="22"/>
                <w:szCs w:val="22"/>
                <w:lang w:val="es-MX"/>
              </w:rPr>
              <w:t>Se identiﬁcaron debilidades en los consecutivos de los comprobantes contables.</w:t>
            </w:r>
          </w:p>
        </w:tc>
      </w:tr>
    </w:tbl>
    <w:p w14:paraId="57A16B82" w14:textId="77777777" w:rsidR="00561B22" w:rsidRPr="001D6C41" w:rsidRDefault="00561B22" w:rsidP="00561B22">
      <w:pPr>
        <w:pStyle w:val="Textoindependiente"/>
        <w:ind w:right="-50"/>
        <w:jc w:val="both"/>
        <w:rPr>
          <w:rFonts w:ascii="Arial" w:hAnsi="Arial" w:cs="Arial"/>
          <w:b/>
          <w:bCs/>
        </w:rPr>
      </w:pPr>
    </w:p>
    <w:p w14:paraId="66A63453" w14:textId="77777777" w:rsidR="00561B22" w:rsidRPr="001D6C41" w:rsidRDefault="00561B22" w:rsidP="00561B22">
      <w:pPr>
        <w:jc w:val="both"/>
        <w:rPr>
          <w:rFonts w:ascii="Arial" w:hAnsi="Arial" w:cs="Arial"/>
          <w:b/>
          <w:lang w:val="es-MX"/>
        </w:rPr>
      </w:pPr>
      <w:r w:rsidRPr="001D6C41">
        <w:rPr>
          <w:rFonts w:ascii="Arial" w:hAnsi="Arial" w:cs="Arial"/>
          <w:b/>
          <w:lang w:val="es-MX"/>
        </w:rPr>
        <w:t>Del citado informe retomamos las siguientes recomendaciones:</w:t>
      </w:r>
    </w:p>
    <w:p w14:paraId="11325170" w14:textId="77777777" w:rsidR="00561B22" w:rsidRPr="001D6C4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D6C41" w14:paraId="28BAFA9A" w14:textId="77777777" w:rsidTr="00F1223B">
        <w:tc>
          <w:tcPr>
            <w:tcW w:w="562" w:type="dxa"/>
          </w:tcPr>
          <w:p w14:paraId="526ADDC6" w14:textId="77777777" w:rsidR="00561B22" w:rsidRPr="001D6C41" w:rsidRDefault="00561B22" w:rsidP="00F1223B">
            <w:pPr>
              <w:ind w:right="-109"/>
              <w:jc w:val="center"/>
              <w:rPr>
                <w:rFonts w:ascii="Arial" w:hAnsi="Arial" w:cs="Arial"/>
                <w:b/>
                <w:sz w:val="22"/>
                <w:szCs w:val="22"/>
                <w:lang w:val="es-MX"/>
              </w:rPr>
            </w:pPr>
            <w:r w:rsidRPr="001D6C41">
              <w:rPr>
                <w:rFonts w:ascii="Arial" w:hAnsi="Arial" w:cs="Arial"/>
                <w:b/>
                <w:sz w:val="22"/>
                <w:szCs w:val="22"/>
                <w:lang w:val="es-MX"/>
              </w:rPr>
              <w:t>N°</w:t>
            </w:r>
          </w:p>
        </w:tc>
        <w:tc>
          <w:tcPr>
            <w:tcW w:w="9400" w:type="dxa"/>
          </w:tcPr>
          <w:p w14:paraId="68CAD596" w14:textId="77777777" w:rsidR="00561B22" w:rsidRPr="001D6C41" w:rsidRDefault="00561B22" w:rsidP="00F1223B">
            <w:pPr>
              <w:jc w:val="center"/>
              <w:rPr>
                <w:rFonts w:ascii="Arial" w:hAnsi="Arial" w:cs="Arial"/>
                <w:b/>
                <w:sz w:val="22"/>
                <w:szCs w:val="22"/>
                <w:lang w:val="es-MX"/>
              </w:rPr>
            </w:pPr>
            <w:r w:rsidRPr="001D6C41">
              <w:rPr>
                <w:rFonts w:ascii="Arial" w:hAnsi="Arial" w:cs="Arial"/>
                <w:b/>
                <w:sz w:val="22"/>
                <w:szCs w:val="22"/>
                <w:lang w:val="es-MX"/>
              </w:rPr>
              <w:t>RECOMENDACIONES</w:t>
            </w:r>
          </w:p>
          <w:p w14:paraId="4870C178" w14:textId="77777777" w:rsidR="00561B22" w:rsidRPr="001D6C41" w:rsidRDefault="00561B22" w:rsidP="00F1223B">
            <w:pPr>
              <w:jc w:val="center"/>
              <w:rPr>
                <w:rFonts w:ascii="Arial" w:hAnsi="Arial" w:cs="Arial"/>
                <w:b/>
                <w:sz w:val="22"/>
                <w:szCs w:val="22"/>
                <w:lang w:val="es-MX"/>
              </w:rPr>
            </w:pPr>
          </w:p>
        </w:tc>
      </w:tr>
      <w:tr w:rsidR="00561B22" w:rsidRPr="001D6C41" w14:paraId="585A978A" w14:textId="77777777" w:rsidTr="00F1223B">
        <w:tc>
          <w:tcPr>
            <w:tcW w:w="562" w:type="dxa"/>
          </w:tcPr>
          <w:p w14:paraId="282CAFE7" w14:textId="77777777" w:rsidR="00561B22" w:rsidRPr="001D6C41" w:rsidRDefault="00561B22" w:rsidP="00F1223B">
            <w:pPr>
              <w:jc w:val="center"/>
              <w:rPr>
                <w:rFonts w:ascii="Arial" w:hAnsi="Arial" w:cs="Arial"/>
                <w:b/>
                <w:sz w:val="22"/>
                <w:szCs w:val="22"/>
                <w:lang w:val="es-MX"/>
              </w:rPr>
            </w:pPr>
            <w:r w:rsidRPr="001D6C41">
              <w:rPr>
                <w:rFonts w:ascii="Arial" w:hAnsi="Arial" w:cs="Arial"/>
                <w:b/>
                <w:sz w:val="22"/>
                <w:szCs w:val="22"/>
                <w:lang w:val="es-MX"/>
              </w:rPr>
              <w:t>1</w:t>
            </w:r>
          </w:p>
        </w:tc>
        <w:tc>
          <w:tcPr>
            <w:tcW w:w="9400" w:type="dxa"/>
          </w:tcPr>
          <w:p w14:paraId="1C35D5DF" w14:textId="1A0076D5" w:rsidR="00561B22" w:rsidRPr="001D6C41" w:rsidRDefault="00561B22" w:rsidP="0008150C">
            <w:pPr>
              <w:jc w:val="both"/>
              <w:rPr>
                <w:rFonts w:ascii="Arial" w:hAnsi="Arial" w:cs="Arial"/>
                <w:sz w:val="22"/>
                <w:szCs w:val="22"/>
                <w:lang w:val="es-MX"/>
              </w:rPr>
            </w:pPr>
            <w:r w:rsidRPr="001D6C41">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1D6C41">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26746692" w14:textId="77777777" w:rsidR="00561B22" w:rsidRPr="001D6C41" w:rsidRDefault="00561B22" w:rsidP="00561B22">
      <w:pPr>
        <w:pStyle w:val="Textoindependiente"/>
        <w:ind w:right="-50"/>
        <w:jc w:val="both"/>
        <w:rPr>
          <w:rFonts w:ascii="Arial" w:hAnsi="Arial" w:cs="Arial"/>
          <w:b/>
          <w:bCs/>
        </w:rPr>
      </w:pPr>
    </w:p>
    <w:p w14:paraId="5A8FB5EC" w14:textId="77777777" w:rsidR="00561B22" w:rsidRPr="001D6C41" w:rsidRDefault="00561B22" w:rsidP="00561B22">
      <w:pPr>
        <w:jc w:val="both"/>
        <w:rPr>
          <w:rFonts w:ascii="Arial" w:hAnsi="Arial" w:cs="Arial"/>
          <w:b/>
          <w:bCs/>
          <w:sz w:val="28"/>
          <w:szCs w:val="28"/>
        </w:rPr>
      </w:pPr>
      <w:r w:rsidRPr="001D6C41">
        <w:rPr>
          <w:rFonts w:ascii="Arial" w:hAnsi="Arial" w:cs="Arial"/>
          <w:b/>
          <w:bCs/>
          <w:sz w:val="24"/>
          <w:szCs w:val="24"/>
          <w:lang w:val="es-CO"/>
        </w:rPr>
        <w:t xml:space="preserve">NOTA: LA ENTIDAD ENVIA LA MATRIZ DE AUTOEVALUACIÓN DEL SISTEMA DE </w:t>
      </w:r>
      <w:r w:rsidRPr="001D6C41">
        <w:rPr>
          <w:rFonts w:ascii="Arial" w:hAnsi="Arial" w:cs="Arial"/>
          <w:b/>
          <w:bCs/>
          <w:sz w:val="24"/>
          <w:szCs w:val="24"/>
          <w:lang w:val="es-CO"/>
        </w:rPr>
        <w:lastRenderedPageBreak/>
        <w:t xml:space="preserve">CONTROL INTERNO CONTABLE CON </w:t>
      </w:r>
      <w:r w:rsidRPr="001D6C41">
        <w:rPr>
          <w:rFonts w:ascii="Arial" w:hAnsi="Arial" w:cs="Arial"/>
          <w:b/>
          <w:bCs/>
          <w:sz w:val="24"/>
          <w:szCs w:val="24"/>
          <w:u w:val="single"/>
          <w:lang w:val="es-CO"/>
        </w:rPr>
        <w:t>ACTIVIDADES DE CONTROL REALIZADAS EN FORMA PARCIAL</w:t>
      </w:r>
      <w:r w:rsidRPr="001D6C41">
        <w:rPr>
          <w:rFonts w:ascii="Arial" w:hAnsi="Arial" w:cs="Arial"/>
          <w:b/>
          <w:bCs/>
          <w:sz w:val="24"/>
          <w:szCs w:val="24"/>
          <w:lang w:val="es-CO"/>
        </w:rPr>
        <w:t>.</w:t>
      </w:r>
    </w:p>
    <w:p w14:paraId="5642F221" w14:textId="77777777" w:rsidR="00561B22" w:rsidRDefault="00561B22" w:rsidP="00561B22">
      <w:pPr>
        <w:jc w:val="both"/>
        <w:rPr>
          <w:rFonts w:ascii="Arial" w:hAnsi="Arial" w:cs="Arial"/>
          <w:b/>
          <w:bCs/>
          <w:sz w:val="24"/>
          <w:szCs w:val="24"/>
        </w:rPr>
      </w:pPr>
    </w:p>
    <w:p w14:paraId="614FBC32" w14:textId="77777777" w:rsidR="00561B22" w:rsidRPr="00226007" w:rsidRDefault="00561B22" w:rsidP="00561B22">
      <w:pPr>
        <w:jc w:val="both"/>
        <w:rPr>
          <w:rFonts w:ascii="Arial" w:hAnsi="Arial" w:cs="Arial"/>
          <w:b/>
          <w:sz w:val="28"/>
          <w:szCs w:val="28"/>
          <w:lang w:val="es-MX"/>
        </w:rPr>
      </w:pPr>
      <w:r w:rsidRPr="00226007">
        <w:rPr>
          <w:rFonts w:ascii="Arial" w:hAnsi="Arial" w:cs="Arial"/>
          <w:b/>
          <w:sz w:val="28"/>
          <w:szCs w:val="28"/>
          <w:lang w:val="es-MX"/>
        </w:rPr>
        <w:t>201.- PATRIMONIO AUTÓNOMO DEPARTAMENTO ADMINISTRATIVO DE LA PRESIDENCIA DE LA REPÚBLICA – SAE S.AS.</w:t>
      </w:r>
    </w:p>
    <w:p w14:paraId="4AF3ACB2" w14:textId="77777777" w:rsidR="00561B22" w:rsidRDefault="00561B22" w:rsidP="00561B22">
      <w:pPr>
        <w:jc w:val="both"/>
        <w:rPr>
          <w:rFonts w:ascii="Arial" w:hAnsi="Arial" w:cs="Arial"/>
          <w:b/>
          <w:bCs/>
          <w:sz w:val="24"/>
          <w:szCs w:val="24"/>
        </w:rPr>
      </w:pPr>
    </w:p>
    <w:p w14:paraId="0134FD0A" w14:textId="77777777" w:rsidR="00561B22" w:rsidRDefault="00561B22" w:rsidP="00561B22">
      <w:pPr>
        <w:pStyle w:val="Textoindependiente"/>
        <w:ind w:right="-50"/>
        <w:jc w:val="center"/>
        <w:rPr>
          <w:rFonts w:ascii="Arial" w:hAnsi="Arial" w:cs="Arial"/>
          <w:b/>
          <w:bCs/>
        </w:rPr>
      </w:pPr>
      <w:r w:rsidRPr="00226007">
        <w:rPr>
          <w:rFonts w:ascii="Arial" w:hAnsi="Arial" w:cs="Arial"/>
          <w:b/>
          <w:bCs/>
        </w:rPr>
        <w:t>INFORME DE LA AUTOCALIFICACIÓN DEL SISTEMA DE CONTROL INTERNO CONTABLE:</w:t>
      </w:r>
    </w:p>
    <w:p w14:paraId="68DC09F9" w14:textId="77777777" w:rsidR="00561B22" w:rsidRPr="00226007"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26007" w14:paraId="3717A34B" w14:textId="77777777" w:rsidTr="00F1223B">
        <w:tc>
          <w:tcPr>
            <w:tcW w:w="4981" w:type="dxa"/>
          </w:tcPr>
          <w:p w14:paraId="5C778F24" w14:textId="77777777" w:rsidR="00561B22" w:rsidRPr="00226007" w:rsidRDefault="00561B22" w:rsidP="00F1223B">
            <w:pPr>
              <w:jc w:val="center"/>
              <w:rPr>
                <w:rFonts w:ascii="Arial" w:hAnsi="Arial" w:cs="Arial"/>
                <w:b/>
                <w:sz w:val="22"/>
                <w:szCs w:val="22"/>
                <w:lang w:val="es-MX"/>
              </w:rPr>
            </w:pPr>
            <w:r w:rsidRPr="00226007">
              <w:rPr>
                <w:rFonts w:ascii="Arial" w:hAnsi="Arial" w:cs="Arial"/>
                <w:b/>
                <w:sz w:val="22"/>
                <w:szCs w:val="22"/>
                <w:lang w:val="es-MX"/>
              </w:rPr>
              <w:t>AUTOCALIFICACIÓN</w:t>
            </w:r>
          </w:p>
        </w:tc>
        <w:tc>
          <w:tcPr>
            <w:tcW w:w="4981" w:type="dxa"/>
          </w:tcPr>
          <w:p w14:paraId="71BB3CC7" w14:textId="77777777" w:rsidR="00561B22" w:rsidRPr="00226007" w:rsidRDefault="00561B22" w:rsidP="00F1223B">
            <w:pPr>
              <w:jc w:val="center"/>
              <w:rPr>
                <w:rFonts w:ascii="Arial" w:hAnsi="Arial" w:cs="Arial"/>
                <w:b/>
                <w:sz w:val="22"/>
                <w:szCs w:val="22"/>
                <w:u w:val="single"/>
                <w:lang w:val="es-MX"/>
              </w:rPr>
            </w:pPr>
            <w:r w:rsidRPr="00226007">
              <w:rPr>
                <w:rFonts w:ascii="Arial" w:hAnsi="Arial" w:cs="Arial"/>
                <w:b/>
                <w:sz w:val="22"/>
                <w:szCs w:val="22"/>
                <w:u w:val="single"/>
                <w:lang w:val="es-MX"/>
              </w:rPr>
              <w:t>4.95</w:t>
            </w:r>
          </w:p>
        </w:tc>
      </w:tr>
    </w:tbl>
    <w:p w14:paraId="20E0379C" w14:textId="77777777" w:rsidR="00561B22" w:rsidRPr="00226007" w:rsidRDefault="00561B22" w:rsidP="00561B22">
      <w:pPr>
        <w:pStyle w:val="Textoindependiente"/>
        <w:ind w:right="-50"/>
        <w:jc w:val="both"/>
        <w:rPr>
          <w:rFonts w:ascii="Arial" w:hAnsi="Arial" w:cs="Arial"/>
          <w:b/>
          <w:bCs/>
        </w:rPr>
      </w:pPr>
    </w:p>
    <w:p w14:paraId="54C21A76" w14:textId="77777777" w:rsidR="00561B22" w:rsidRPr="00226007" w:rsidRDefault="00561B22" w:rsidP="00561B22">
      <w:pPr>
        <w:pStyle w:val="Textoindependiente"/>
        <w:ind w:right="-50"/>
        <w:jc w:val="both"/>
        <w:rPr>
          <w:rFonts w:ascii="Arial" w:hAnsi="Arial" w:cs="Arial"/>
          <w:b/>
          <w:bCs/>
        </w:rPr>
      </w:pPr>
      <w:r w:rsidRPr="00226007">
        <w:rPr>
          <w:rFonts w:ascii="Arial" w:hAnsi="Arial" w:cs="Arial"/>
          <w:b/>
          <w:bCs/>
        </w:rPr>
        <w:t>Del informe enviado retomamos lo siguiente:</w:t>
      </w:r>
    </w:p>
    <w:tbl>
      <w:tblPr>
        <w:tblStyle w:val="Tablaconcuadrcula"/>
        <w:tblW w:w="0" w:type="auto"/>
        <w:tblLook w:val="04A0" w:firstRow="1" w:lastRow="0" w:firstColumn="1" w:lastColumn="0" w:noHBand="0" w:noVBand="1"/>
      </w:tblPr>
      <w:tblGrid>
        <w:gridCol w:w="562"/>
        <w:gridCol w:w="9400"/>
      </w:tblGrid>
      <w:tr w:rsidR="00561B22" w:rsidRPr="00226007" w14:paraId="5779FF70" w14:textId="77777777" w:rsidTr="00F1223B">
        <w:tc>
          <w:tcPr>
            <w:tcW w:w="562" w:type="dxa"/>
          </w:tcPr>
          <w:p w14:paraId="357E02F3" w14:textId="77777777" w:rsidR="00561B22" w:rsidRPr="00226007" w:rsidRDefault="00561B22" w:rsidP="00F1223B">
            <w:pPr>
              <w:ind w:right="-109"/>
              <w:jc w:val="center"/>
              <w:rPr>
                <w:rFonts w:ascii="Arial" w:hAnsi="Arial" w:cs="Arial"/>
                <w:b/>
                <w:sz w:val="22"/>
                <w:szCs w:val="22"/>
                <w:lang w:val="es-MX"/>
              </w:rPr>
            </w:pPr>
            <w:r w:rsidRPr="00226007">
              <w:rPr>
                <w:rFonts w:ascii="Arial" w:hAnsi="Arial" w:cs="Arial"/>
                <w:b/>
                <w:sz w:val="22"/>
                <w:szCs w:val="22"/>
                <w:lang w:val="es-MX"/>
              </w:rPr>
              <w:t>N°</w:t>
            </w:r>
          </w:p>
        </w:tc>
        <w:tc>
          <w:tcPr>
            <w:tcW w:w="9400" w:type="dxa"/>
          </w:tcPr>
          <w:p w14:paraId="3E43F533" w14:textId="77777777" w:rsidR="00561B22" w:rsidRPr="00226007" w:rsidRDefault="00561B22" w:rsidP="00F1223B">
            <w:pPr>
              <w:jc w:val="center"/>
              <w:rPr>
                <w:rFonts w:ascii="Arial" w:hAnsi="Arial" w:cs="Arial"/>
                <w:b/>
                <w:sz w:val="22"/>
                <w:szCs w:val="22"/>
                <w:lang w:val="es-MX"/>
              </w:rPr>
            </w:pPr>
            <w:r w:rsidRPr="00226007">
              <w:rPr>
                <w:rFonts w:ascii="Arial" w:hAnsi="Arial" w:cs="Arial"/>
                <w:b/>
                <w:sz w:val="22"/>
                <w:szCs w:val="22"/>
                <w:lang w:val="es-MX"/>
              </w:rPr>
              <w:t>DEBILIDADES</w:t>
            </w:r>
          </w:p>
          <w:p w14:paraId="502285F6" w14:textId="77777777" w:rsidR="00561B22" w:rsidRPr="00226007" w:rsidRDefault="00561B22" w:rsidP="00F1223B">
            <w:pPr>
              <w:jc w:val="center"/>
              <w:rPr>
                <w:rFonts w:ascii="Arial" w:hAnsi="Arial" w:cs="Arial"/>
                <w:b/>
                <w:sz w:val="22"/>
                <w:szCs w:val="22"/>
                <w:lang w:val="es-MX"/>
              </w:rPr>
            </w:pPr>
          </w:p>
        </w:tc>
      </w:tr>
      <w:tr w:rsidR="00561B22" w:rsidRPr="00226007" w14:paraId="1FC724EA" w14:textId="77777777" w:rsidTr="00F1223B">
        <w:tc>
          <w:tcPr>
            <w:tcW w:w="562" w:type="dxa"/>
          </w:tcPr>
          <w:p w14:paraId="7E495A0E" w14:textId="77777777" w:rsidR="00561B22" w:rsidRPr="00226007" w:rsidRDefault="00561B22" w:rsidP="00F1223B">
            <w:pPr>
              <w:jc w:val="center"/>
              <w:rPr>
                <w:rFonts w:ascii="Arial" w:hAnsi="Arial" w:cs="Arial"/>
                <w:b/>
                <w:sz w:val="22"/>
                <w:szCs w:val="22"/>
                <w:lang w:val="es-MX"/>
              </w:rPr>
            </w:pPr>
            <w:r w:rsidRPr="00226007">
              <w:rPr>
                <w:rFonts w:ascii="Arial" w:hAnsi="Arial" w:cs="Arial"/>
                <w:b/>
                <w:sz w:val="22"/>
                <w:szCs w:val="22"/>
                <w:lang w:val="es-MX"/>
              </w:rPr>
              <w:t>1</w:t>
            </w:r>
          </w:p>
        </w:tc>
        <w:tc>
          <w:tcPr>
            <w:tcW w:w="9400" w:type="dxa"/>
          </w:tcPr>
          <w:p w14:paraId="5F10BA47" w14:textId="77777777" w:rsidR="00561B22" w:rsidRPr="00226007" w:rsidRDefault="00561B22" w:rsidP="00F1223B">
            <w:pPr>
              <w:rPr>
                <w:rFonts w:ascii="Arial" w:hAnsi="Arial" w:cs="Arial"/>
                <w:sz w:val="22"/>
                <w:szCs w:val="22"/>
                <w:lang w:val="es-MX"/>
              </w:rPr>
            </w:pPr>
            <w:r w:rsidRPr="00226007">
              <w:rPr>
                <w:rFonts w:ascii="Arial" w:hAnsi="Arial" w:cs="Arial"/>
                <w:sz w:val="22"/>
                <w:szCs w:val="22"/>
                <w:lang w:val="es-MX"/>
              </w:rPr>
              <w:t>Se identiﬁcaron debilidades en los consecutivos de los comprobantes contables.</w:t>
            </w:r>
          </w:p>
        </w:tc>
      </w:tr>
    </w:tbl>
    <w:p w14:paraId="35DFE6CC" w14:textId="77777777" w:rsidR="00561B22" w:rsidRPr="00226007" w:rsidRDefault="00561B22" w:rsidP="00561B22">
      <w:pPr>
        <w:pStyle w:val="Textoindependiente"/>
        <w:ind w:right="-50"/>
        <w:jc w:val="both"/>
        <w:rPr>
          <w:rFonts w:ascii="Arial" w:hAnsi="Arial" w:cs="Arial"/>
          <w:b/>
          <w:bCs/>
        </w:rPr>
      </w:pPr>
    </w:p>
    <w:p w14:paraId="69A5E604" w14:textId="77777777" w:rsidR="00561B22" w:rsidRPr="00226007" w:rsidRDefault="00561B22" w:rsidP="00561B22">
      <w:pPr>
        <w:jc w:val="both"/>
        <w:rPr>
          <w:rFonts w:ascii="Arial" w:hAnsi="Arial" w:cs="Arial"/>
          <w:b/>
          <w:lang w:val="es-MX"/>
        </w:rPr>
      </w:pPr>
      <w:r w:rsidRPr="00226007">
        <w:rPr>
          <w:rFonts w:ascii="Arial" w:hAnsi="Arial" w:cs="Arial"/>
          <w:b/>
          <w:lang w:val="es-MX"/>
        </w:rPr>
        <w:t>el citado informe retomamos las siguientes recomendaciones:</w:t>
      </w:r>
    </w:p>
    <w:p w14:paraId="1C76135A" w14:textId="77777777" w:rsidR="00561B22" w:rsidRPr="00226007"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226007" w14:paraId="6B810998" w14:textId="77777777" w:rsidTr="00F1223B">
        <w:tc>
          <w:tcPr>
            <w:tcW w:w="562" w:type="dxa"/>
          </w:tcPr>
          <w:p w14:paraId="78D12CBF" w14:textId="77777777" w:rsidR="00561B22" w:rsidRPr="00226007" w:rsidRDefault="00561B22" w:rsidP="00F1223B">
            <w:pPr>
              <w:ind w:right="-109"/>
              <w:jc w:val="center"/>
              <w:rPr>
                <w:rFonts w:ascii="Arial" w:hAnsi="Arial" w:cs="Arial"/>
                <w:b/>
                <w:sz w:val="22"/>
                <w:szCs w:val="22"/>
                <w:lang w:val="es-MX"/>
              </w:rPr>
            </w:pPr>
            <w:r w:rsidRPr="00226007">
              <w:rPr>
                <w:rFonts w:ascii="Arial" w:hAnsi="Arial" w:cs="Arial"/>
                <w:b/>
                <w:sz w:val="22"/>
                <w:szCs w:val="22"/>
                <w:lang w:val="es-MX"/>
              </w:rPr>
              <w:t>N°</w:t>
            </w:r>
          </w:p>
        </w:tc>
        <w:tc>
          <w:tcPr>
            <w:tcW w:w="9400" w:type="dxa"/>
          </w:tcPr>
          <w:p w14:paraId="0BAE9F6A" w14:textId="77777777" w:rsidR="00561B22" w:rsidRPr="00226007" w:rsidRDefault="00561B22" w:rsidP="00F1223B">
            <w:pPr>
              <w:jc w:val="center"/>
              <w:rPr>
                <w:rFonts w:ascii="Arial" w:hAnsi="Arial" w:cs="Arial"/>
                <w:b/>
                <w:sz w:val="22"/>
                <w:szCs w:val="22"/>
                <w:lang w:val="es-MX"/>
              </w:rPr>
            </w:pPr>
            <w:r w:rsidRPr="00226007">
              <w:rPr>
                <w:rFonts w:ascii="Arial" w:hAnsi="Arial" w:cs="Arial"/>
                <w:b/>
                <w:sz w:val="22"/>
                <w:szCs w:val="22"/>
                <w:lang w:val="es-MX"/>
              </w:rPr>
              <w:t>RECOMENDACIONES</w:t>
            </w:r>
          </w:p>
          <w:p w14:paraId="45265B15" w14:textId="77777777" w:rsidR="00561B22" w:rsidRPr="00226007" w:rsidRDefault="00561B22" w:rsidP="00F1223B">
            <w:pPr>
              <w:jc w:val="center"/>
              <w:rPr>
                <w:rFonts w:ascii="Arial" w:hAnsi="Arial" w:cs="Arial"/>
                <w:b/>
                <w:sz w:val="22"/>
                <w:szCs w:val="22"/>
                <w:lang w:val="es-MX"/>
              </w:rPr>
            </w:pPr>
          </w:p>
        </w:tc>
      </w:tr>
      <w:tr w:rsidR="00561B22" w:rsidRPr="00226007" w14:paraId="798AC6A2" w14:textId="77777777" w:rsidTr="00F1223B">
        <w:tc>
          <w:tcPr>
            <w:tcW w:w="562" w:type="dxa"/>
          </w:tcPr>
          <w:p w14:paraId="505A0BAC" w14:textId="77777777" w:rsidR="00561B22" w:rsidRPr="00226007" w:rsidRDefault="00561B22" w:rsidP="00F1223B">
            <w:pPr>
              <w:jc w:val="center"/>
              <w:rPr>
                <w:rFonts w:ascii="Arial" w:hAnsi="Arial" w:cs="Arial"/>
                <w:b/>
                <w:sz w:val="22"/>
                <w:szCs w:val="22"/>
                <w:lang w:val="es-MX"/>
              </w:rPr>
            </w:pPr>
            <w:r w:rsidRPr="00226007">
              <w:rPr>
                <w:rFonts w:ascii="Arial" w:hAnsi="Arial" w:cs="Arial"/>
                <w:b/>
                <w:sz w:val="22"/>
                <w:szCs w:val="22"/>
                <w:lang w:val="es-MX"/>
              </w:rPr>
              <w:t>1</w:t>
            </w:r>
          </w:p>
        </w:tc>
        <w:tc>
          <w:tcPr>
            <w:tcW w:w="9400" w:type="dxa"/>
          </w:tcPr>
          <w:p w14:paraId="297E9E47" w14:textId="77777777" w:rsidR="00561B22" w:rsidRPr="00226007" w:rsidRDefault="00561B22" w:rsidP="00F1223B">
            <w:pPr>
              <w:jc w:val="both"/>
              <w:rPr>
                <w:rFonts w:ascii="Arial" w:hAnsi="Arial" w:cs="Arial"/>
                <w:sz w:val="22"/>
                <w:szCs w:val="22"/>
                <w:lang w:val="es-MX"/>
              </w:rPr>
            </w:pPr>
            <w:r w:rsidRPr="00226007">
              <w:rPr>
                <w:rFonts w:ascii="Arial" w:hAnsi="Arial" w:cs="Arial"/>
                <w:sz w:val="22"/>
                <w:szCs w:val="22"/>
                <w:lang w:val="es-MX"/>
              </w:rPr>
              <w:t>Se recomienda continuar con el fortalecimiento y la implementación de los procesos de automatización</w:t>
            </w:r>
            <w:r>
              <w:rPr>
                <w:rFonts w:ascii="Arial" w:hAnsi="Arial" w:cs="Arial"/>
                <w:sz w:val="22"/>
                <w:szCs w:val="22"/>
                <w:lang w:val="es-MX"/>
              </w:rPr>
              <w:t xml:space="preserve"> </w:t>
            </w:r>
            <w:r w:rsidRPr="00226007">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5BF32192" w14:textId="77777777" w:rsidR="00561B22" w:rsidRPr="00226007" w:rsidRDefault="00561B22" w:rsidP="00561B22">
      <w:pPr>
        <w:pStyle w:val="Textoindependiente"/>
        <w:ind w:right="-50"/>
        <w:jc w:val="both"/>
        <w:rPr>
          <w:rFonts w:ascii="Arial" w:hAnsi="Arial" w:cs="Arial"/>
          <w:b/>
          <w:bCs/>
          <w:sz w:val="28"/>
          <w:szCs w:val="28"/>
        </w:rPr>
      </w:pPr>
    </w:p>
    <w:p w14:paraId="195BCD76" w14:textId="77777777" w:rsidR="00561B22" w:rsidRPr="00226007" w:rsidRDefault="00561B22" w:rsidP="00561B22">
      <w:pPr>
        <w:jc w:val="both"/>
        <w:rPr>
          <w:rFonts w:ascii="Arial" w:hAnsi="Arial" w:cs="Arial"/>
          <w:b/>
          <w:bCs/>
          <w:sz w:val="24"/>
          <w:szCs w:val="24"/>
          <w:lang w:val="es-CO"/>
        </w:rPr>
      </w:pPr>
      <w:r w:rsidRPr="00226007">
        <w:rPr>
          <w:rFonts w:ascii="Arial" w:hAnsi="Arial" w:cs="Arial"/>
          <w:b/>
          <w:bCs/>
          <w:sz w:val="24"/>
          <w:szCs w:val="24"/>
          <w:lang w:val="es-CO"/>
        </w:rPr>
        <w:t xml:space="preserve">NOTA: LA ENTIDAD ENVIA LA MATRIZ DE AUTOEVALUACIÓN DEL SISTEMA DE CONTROL INTERNO CONTABLE CON </w:t>
      </w:r>
      <w:r w:rsidRPr="00226007">
        <w:rPr>
          <w:rFonts w:ascii="Arial" w:hAnsi="Arial" w:cs="Arial"/>
          <w:b/>
          <w:bCs/>
          <w:sz w:val="24"/>
          <w:szCs w:val="24"/>
          <w:u w:val="single"/>
          <w:lang w:val="es-CO"/>
        </w:rPr>
        <w:t>ACTIVIDADES DE CONTROL REALIZADAS EN FORMA PARCIAL</w:t>
      </w:r>
      <w:r w:rsidRPr="00226007">
        <w:rPr>
          <w:rFonts w:ascii="Arial" w:hAnsi="Arial" w:cs="Arial"/>
          <w:b/>
          <w:bCs/>
          <w:sz w:val="24"/>
          <w:szCs w:val="24"/>
          <w:lang w:val="es-CO"/>
        </w:rPr>
        <w:t>.</w:t>
      </w:r>
    </w:p>
    <w:p w14:paraId="71E5DF29" w14:textId="77777777" w:rsidR="00561B22" w:rsidRPr="00226007" w:rsidRDefault="00561B22" w:rsidP="00561B22">
      <w:pPr>
        <w:pStyle w:val="Textoindependiente"/>
        <w:ind w:right="-50"/>
        <w:jc w:val="both"/>
        <w:rPr>
          <w:rFonts w:ascii="Arial" w:hAnsi="Arial" w:cs="Arial"/>
          <w:b/>
          <w:bCs/>
          <w:sz w:val="28"/>
          <w:szCs w:val="28"/>
        </w:rPr>
      </w:pPr>
    </w:p>
    <w:p w14:paraId="1AAF2A0C" w14:textId="77777777" w:rsidR="00561B22" w:rsidRPr="009A213E" w:rsidRDefault="00561B22" w:rsidP="00561B22">
      <w:pPr>
        <w:jc w:val="both"/>
        <w:rPr>
          <w:rFonts w:ascii="Arial" w:hAnsi="Arial" w:cs="Arial"/>
          <w:b/>
          <w:sz w:val="28"/>
          <w:szCs w:val="28"/>
          <w:lang w:val="es-MX"/>
        </w:rPr>
      </w:pPr>
      <w:r w:rsidRPr="009A213E">
        <w:rPr>
          <w:rFonts w:ascii="Arial" w:hAnsi="Arial" w:cs="Arial"/>
          <w:b/>
          <w:sz w:val="28"/>
          <w:szCs w:val="28"/>
          <w:lang w:val="es-MX"/>
        </w:rPr>
        <w:t>202.- PA FONDO DE ENERGÍAS NO CONVENCIONALES Y GESTIÓN EFICIENTE DE ENERGÍA – FENOGE – FIDUPREVISORA S.A.</w:t>
      </w:r>
    </w:p>
    <w:p w14:paraId="4CECD577" w14:textId="77777777" w:rsidR="00561B22" w:rsidRDefault="00561B22" w:rsidP="00561B22">
      <w:pPr>
        <w:pStyle w:val="Textoindependiente"/>
        <w:ind w:right="-50"/>
        <w:jc w:val="both"/>
        <w:rPr>
          <w:b/>
        </w:rPr>
      </w:pPr>
    </w:p>
    <w:p w14:paraId="34C61E88" w14:textId="77777777" w:rsidR="00561B22" w:rsidRPr="009A213E" w:rsidRDefault="00561B22" w:rsidP="00561B22">
      <w:pPr>
        <w:pStyle w:val="Textoindependiente"/>
        <w:ind w:right="-50"/>
        <w:jc w:val="center"/>
        <w:rPr>
          <w:rFonts w:ascii="Arial" w:hAnsi="Arial" w:cs="Arial"/>
          <w:b/>
          <w:bCs/>
        </w:rPr>
      </w:pPr>
      <w:r w:rsidRPr="009A213E">
        <w:rPr>
          <w:rFonts w:ascii="Arial" w:hAnsi="Arial" w:cs="Arial"/>
          <w:b/>
          <w:bCs/>
        </w:rPr>
        <w:t>INFORME DE LA AUTOCALIFICACIÓN DEL SISTEMA DE CONTROL INTERNO CONTABLE:</w:t>
      </w:r>
    </w:p>
    <w:p w14:paraId="2F8E1B41" w14:textId="77777777" w:rsidR="00561B22" w:rsidRPr="009A213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A213E" w14:paraId="210109B0" w14:textId="77777777" w:rsidTr="00F1223B">
        <w:tc>
          <w:tcPr>
            <w:tcW w:w="4981" w:type="dxa"/>
          </w:tcPr>
          <w:p w14:paraId="79B849E7" w14:textId="77777777" w:rsidR="00561B22" w:rsidRPr="009A213E" w:rsidRDefault="00561B22" w:rsidP="00F1223B">
            <w:pPr>
              <w:jc w:val="center"/>
              <w:rPr>
                <w:rFonts w:ascii="Arial" w:hAnsi="Arial" w:cs="Arial"/>
                <w:b/>
                <w:sz w:val="22"/>
                <w:szCs w:val="22"/>
                <w:lang w:val="es-MX"/>
              </w:rPr>
            </w:pPr>
            <w:r w:rsidRPr="009A213E">
              <w:rPr>
                <w:rFonts w:ascii="Arial" w:hAnsi="Arial" w:cs="Arial"/>
                <w:b/>
                <w:sz w:val="22"/>
                <w:szCs w:val="22"/>
                <w:lang w:val="es-MX"/>
              </w:rPr>
              <w:t>AUTOCALIFICACIÓN</w:t>
            </w:r>
          </w:p>
        </w:tc>
        <w:tc>
          <w:tcPr>
            <w:tcW w:w="4981" w:type="dxa"/>
          </w:tcPr>
          <w:p w14:paraId="2DF81316" w14:textId="77777777" w:rsidR="00561B22" w:rsidRPr="009A213E" w:rsidRDefault="00561B22" w:rsidP="00F1223B">
            <w:pPr>
              <w:jc w:val="center"/>
              <w:rPr>
                <w:rFonts w:ascii="Arial" w:hAnsi="Arial" w:cs="Arial"/>
                <w:b/>
                <w:sz w:val="22"/>
                <w:szCs w:val="22"/>
                <w:u w:val="single"/>
                <w:lang w:val="es-MX"/>
              </w:rPr>
            </w:pPr>
            <w:r w:rsidRPr="009A213E">
              <w:rPr>
                <w:rFonts w:ascii="Arial" w:hAnsi="Arial" w:cs="Arial"/>
                <w:b/>
                <w:sz w:val="22"/>
                <w:szCs w:val="22"/>
                <w:u w:val="single"/>
                <w:lang w:val="es-MX"/>
              </w:rPr>
              <w:t>4.95</w:t>
            </w:r>
          </w:p>
        </w:tc>
      </w:tr>
    </w:tbl>
    <w:p w14:paraId="3FDD5E7C" w14:textId="77777777" w:rsidR="00561B22" w:rsidRPr="009A213E" w:rsidRDefault="00561B22" w:rsidP="00561B22">
      <w:pPr>
        <w:pStyle w:val="Textoindependiente"/>
        <w:ind w:right="-50"/>
        <w:jc w:val="both"/>
        <w:rPr>
          <w:rFonts w:ascii="Arial" w:hAnsi="Arial" w:cs="Arial"/>
          <w:b/>
          <w:bCs/>
        </w:rPr>
      </w:pPr>
    </w:p>
    <w:p w14:paraId="2A7E81B5" w14:textId="77777777" w:rsidR="00561B22" w:rsidRPr="009A213E" w:rsidRDefault="00561B22" w:rsidP="00561B22">
      <w:pPr>
        <w:pStyle w:val="Textoindependiente"/>
        <w:ind w:right="-50"/>
        <w:jc w:val="both"/>
        <w:rPr>
          <w:rFonts w:ascii="Arial" w:hAnsi="Arial" w:cs="Arial"/>
          <w:b/>
          <w:bCs/>
        </w:rPr>
      </w:pPr>
      <w:r w:rsidRPr="009A213E">
        <w:rPr>
          <w:rFonts w:ascii="Arial" w:hAnsi="Arial" w:cs="Arial"/>
          <w:b/>
          <w:bCs/>
        </w:rPr>
        <w:t>Del informe enviado retomamos lo siguiente:</w:t>
      </w:r>
    </w:p>
    <w:p w14:paraId="5242BB3E" w14:textId="77777777" w:rsidR="00561B22" w:rsidRPr="009A213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A213E" w14:paraId="18E9971C" w14:textId="77777777" w:rsidTr="00F1223B">
        <w:tc>
          <w:tcPr>
            <w:tcW w:w="562" w:type="dxa"/>
          </w:tcPr>
          <w:p w14:paraId="65162618" w14:textId="77777777" w:rsidR="00561B22" w:rsidRPr="009A213E" w:rsidRDefault="00561B22" w:rsidP="00F1223B">
            <w:pPr>
              <w:ind w:right="-109"/>
              <w:jc w:val="center"/>
              <w:rPr>
                <w:rFonts w:ascii="Arial" w:hAnsi="Arial" w:cs="Arial"/>
                <w:b/>
                <w:sz w:val="22"/>
                <w:szCs w:val="22"/>
                <w:lang w:val="es-MX"/>
              </w:rPr>
            </w:pPr>
            <w:r w:rsidRPr="009A213E">
              <w:rPr>
                <w:rFonts w:ascii="Arial" w:hAnsi="Arial" w:cs="Arial"/>
                <w:b/>
                <w:sz w:val="22"/>
                <w:szCs w:val="22"/>
                <w:lang w:val="es-MX"/>
              </w:rPr>
              <w:t>N°</w:t>
            </w:r>
          </w:p>
        </w:tc>
        <w:tc>
          <w:tcPr>
            <w:tcW w:w="9400" w:type="dxa"/>
          </w:tcPr>
          <w:p w14:paraId="1DC04821" w14:textId="77777777" w:rsidR="00561B22" w:rsidRPr="009A213E" w:rsidRDefault="00561B22" w:rsidP="00F1223B">
            <w:pPr>
              <w:jc w:val="center"/>
              <w:rPr>
                <w:rFonts w:ascii="Arial" w:hAnsi="Arial" w:cs="Arial"/>
                <w:b/>
                <w:sz w:val="22"/>
                <w:szCs w:val="22"/>
                <w:lang w:val="es-MX"/>
              </w:rPr>
            </w:pPr>
            <w:r w:rsidRPr="009A213E">
              <w:rPr>
                <w:rFonts w:ascii="Arial" w:hAnsi="Arial" w:cs="Arial"/>
                <w:b/>
                <w:sz w:val="22"/>
                <w:szCs w:val="22"/>
                <w:lang w:val="es-MX"/>
              </w:rPr>
              <w:t>DEBILIDADES</w:t>
            </w:r>
          </w:p>
          <w:p w14:paraId="749BD28E" w14:textId="77777777" w:rsidR="00561B22" w:rsidRPr="009A213E" w:rsidRDefault="00561B22" w:rsidP="00F1223B">
            <w:pPr>
              <w:jc w:val="center"/>
              <w:rPr>
                <w:rFonts w:ascii="Arial" w:hAnsi="Arial" w:cs="Arial"/>
                <w:b/>
                <w:sz w:val="22"/>
                <w:szCs w:val="22"/>
                <w:lang w:val="es-MX"/>
              </w:rPr>
            </w:pPr>
          </w:p>
        </w:tc>
      </w:tr>
      <w:tr w:rsidR="00561B22" w:rsidRPr="009A213E" w14:paraId="34D7F6B9" w14:textId="77777777" w:rsidTr="00F1223B">
        <w:tc>
          <w:tcPr>
            <w:tcW w:w="562" w:type="dxa"/>
          </w:tcPr>
          <w:p w14:paraId="5456DB05" w14:textId="77777777" w:rsidR="00561B22" w:rsidRPr="009A213E" w:rsidRDefault="00561B22" w:rsidP="00F1223B">
            <w:pPr>
              <w:jc w:val="center"/>
              <w:rPr>
                <w:rFonts w:ascii="Arial" w:hAnsi="Arial" w:cs="Arial"/>
                <w:b/>
                <w:sz w:val="22"/>
                <w:szCs w:val="22"/>
                <w:lang w:val="es-MX"/>
              </w:rPr>
            </w:pPr>
            <w:r w:rsidRPr="009A213E">
              <w:rPr>
                <w:rFonts w:ascii="Arial" w:hAnsi="Arial" w:cs="Arial"/>
                <w:b/>
                <w:sz w:val="22"/>
                <w:szCs w:val="22"/>
                <w:lang w:val="es-MX"/>
              </w:rPr>
              <w:t>1</w:t>
            </w:r>
          </w:p>
        </w:tc>
        <w:tc>
          <w:tcPr>
            <w:tcW w:w="9400" w:type="dxa"/>
          </w:tcPr>
          <w:p w14:paraId="231D4475" w14:textId="77777777" w:rsidR="00561B22" w:rsidRPr="009A213E" w:rsidRDefault="00561B22" w:rsidP="00F1223B">
            <w:pPr>
              <w:rPr>
                <w:rFonts w:ascii="Arial" w:hAnsi="Arial" w:cs="Arial"/>
                <w:sz w:val="22"/>
                <w:szCs w:val="22"/>
                <w:lang w:val="es-MX"/>
              </w:rPr>
            </w:pPr>
            <w:r w:rsidRPr="009A213E">
              <w:rPr>
                <w:rFonts w:ascii="Arial" w:hAnsi="Arial" w:cs="Arial"/>
                <w:sz w:val="22"/>
                <w:szCs w:val="22"/>
                <w:lang w:val="es-MX"/>
              </w:rPr>
              <w:t>Se identificaron debilidades en los consecutivos de los comprobantes contables.</w:t>
            </w:r>
          </w:p>
        </w:tc>
      </w:tr>
    </w:tbl>
    <w:p w14:paraId="5C20F637" w14:textId="77777777" w:rsidR="00561B22" w:rsidRPr="009A213E" w:rsidRDefault="00561B22" w:rsidP="00561B22">
      <w:pPr>
        <w:pStyle w:val="Textoindependiente"/>
        <w:ind w:right="-50"/>
        <w:jc w:val="both"/>
        <w:rPr>
          <w:rFonts w:ascii="Arial" w:hAnsi="Arial" w:cs="Arial"/>
          <w:b/>
          <w:bCs/>
        </w:rPr>
      </w:pPr>
    </w:p>
    <w:p w14:paraId="7792821B" w14:textId="77777777" w:rsidR="00561B22" w:rsidRPr="009A213E" w:rsidRDefault="00561B22" w:rsidP="00561B22">
      <w:pPr>
        <w:jc w:val="both"/>
        <w:rPr>
          <w:rFonts w:ascii="Arial" w:hAnsi="Arial" w:cs="Arial"/>
          <w:b/>
          <w:lang w:val="es-MX"/>
        </w:rPr>
      </w:pPr>
      <w:r w:rsidRPr="009A213E">
        <w:rPr>
          <w:rFonts w:ascii="Arial" w:hAnsi="Arial" w:cs="Arial"/>
          <w:b/>
          <w:lang w:val="es-MX"/>
        </w:rPr>
        <w:t>Del citado informe retomamos las siguientes recomendaciones:</w:t>
      </w:r>
    </w:p>
    <w:p w14:paraId="4A9635C0" w14:textId="77777777" w:rsidR="00561B22" w:rsidRPr="009A213E"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9A213E" w14:paraId="6D567D38" w14:textId="77777777" w:rsidTr="00F1223B">
        <w:tc>
          <w:tcPr>
            <w:tcW w:w="562" w:type="dxa"/>
          </w:tcPr>
          <w:p w14:paraId="7F98EEF9" w14:textId="77777777" w:rsidR="00561B22" w:rsidRPr="009A213E" w:rsidRDefault="00561B22" w:rsidP="00F1223B">
            <w:pPr>
              <w:ind w:right="-109"/>
              <w:jc w:val="center"/>
              <w:rPr>
                <w:rFonts w:ascii="Arial" w:hAnsi="Arial" w:cs="Arial"/>
                <w:b/>
                <w:sz w:val="22"/>
                <w:szCs w:val="22"/>
                <w:lang w:val="es-MX"/>
              </w:rPr>
            </w:pPr>
            <w:r w:rsidRPr="009A213E">
              <w:rPr>
                <w:rFonts w:ascii="Arial" w:hAnsi="Arial" w:cs="Arial"/>
                <w:b/>
                <w:sz w:val="22"/>
                <w:szCs w:val="22"/>
                <w:lang w:val="es-MX"/>
              </w:rPr>
              <w:t>N°</w:t>
            </w:r>
          </w:p>
        </w:tc>
        <w:tc>
          <w:tcPr>
            <w:tcW w:w="9400" w:type="dxa"/>
          </w:tcPr>
          <w:p w14:paraId="2914B9B3" w14:textId="77777777" w:rsidR="00561B22" w:rsidRPr="009A213E" w:rsidRDefault="00561B22" w:rsidP="00F1223B">
            <w:pPr>
              <w:jc w:val="center"/>
              <w:rPr>
                <w:rFonts w:ascii="Arial" w:hAnsi="Arial" w:cs="Arial"/>
                <w:b/>
                <w:sz w:val="22"/>
                <w:szCs w:val="22"/>
                <w:lang w:val="es-MX"/>
              </w:rPr>
            </w:pPr>
            <w:r w:rsidRPr="009A213E">
              <w:rPr>
                <w:rFonts w:ascii="Arial" w:hAnsi="Arial" w:cs="Arial"/>
                <w:b/>
                <w:sz w:val="22"/>
                <w:szCs w:val="22"/>
                <w:lang w:val="es-MX"/>
              </w:rPr>
              <w:t>RECOMENDACIONES</w:t>
            </w:r>
          </w:p>
          <w:p w14:paraId="1B24C998" w14:textId="77777777" w:rsidR="00561B22" w:rsidRPr="009A213E" w:rsidRDefault="00561B22" w:rsidP="00F1223B">
            <w:pPr>
              <w:jc w:val="center"/>
              <w:rPr>
                <w:rFonts w:ascii="Arial" w:hAnsi="Arial" w:cs="Arial"/>
                <w:b/>
                <w:sz w:val="22"/>
                <w:szCs w:val="22"/>
                <w:lang w:val="es-MX"/>
              </w:rPr>
            </w:pPr>
          </w:p>
        </w:tc>
      </w:tr>
      <w:tr w:rsidR="00561B22" w:rsidRPr="009A213E" w14:paraId="37835342" w14:textId="77777777" w:rsidTr="00F1223B">
        <w:tc>
          <w:tcPr>
            <w:tcW w:w="562" w:type="dxa"/>
          </w:tcPr>
          <w:p w14:paraId="2A0EC59B" w14:textId="77777777" w:rsidR="00561B22" w:rsidRPr="009A213E" w:rsidRDefault="00561B22" w:rsidP="00F1223B">
            <w:pPr>
              <w:jc w:val="center"/>
              <w:rPr>
                <w:rFonts w:ascii="Arial" w:hAnsi="Arial" w:cs="Arial"/>
                <w:b/>
                <w:sz w:val="22"/>
                <w:szCs w:val="22"/>
                <w:lang w:val="es-MX"/>
              </w:rPr>
            </w:pPr>
            <w:r w:rsidRPr="009A213E">
              <w:rPr>
                <w:rFonts w:ascii="Arial" w:hAnsi="Arial" w:cs="Arial"/>
                <w:b/>
                <w:sz w:val="22"/>
                <w:szCs w:val="22"/>
                <w:lang w:val="es-MX"/>
              </w:rPr>
              <w:t>1</w:t>
            </w:r>
          </w:p>
        </w:tc>
        <w:tc>
          <w:tcPr>
            <w:tcW w:w="9400" w:type="dxa"/>
          </w:tcPr>
          <w:p w14:paraId="13BF9351" w14:textId="77777777" w:rsidR="00561B22" w:rsidRPr="009A213E" w:rsidRDefault="00561B22" w:rsidP="00F1223B">
            <w:pPr>
              <w:jc w:val="both"/>
              <w:rPr>
                <w:rFonts w:ascii="Arial" w:hAnsi="Arial" w:cs="Arial"/>
                <w:sz w:val="22"/>
                <w:szCs w:val="22"/>
                <w:lang w:val="es-MX"/>
              </w:rPr>
            </w:pPr>
            <w:r w:rsidRPr="009A213E">
              <w:rPr>
                <w:rFonts w:ascii="Arial" w:hAnsi="Arial" w:cs="Arial"/>
                <w:sz w:val="22"/>
                <w:szCs w:val="22"/>
                <w:lang w:val="es-MX"/>
              </w:rPr>
              <w:t xml:space="preserve">Se recomienda continuar con el fortalecimiento y la implementación de los procesos de automatización contable, con el fin de mitigar cualquier riesgo asociado con los registros y cálculos manuales, incluyendo errores humanos y demoras en el procesamiento. La </w:t>
            </w:r>
            <w:r w:rsidRPr="009A213E">
              <w:rPr>
                <w:rFonts w:ascii="Arial" w:hAnsi="Arial" w:cs="Arial"/>
                <w:sz w:val="22"/>
                <w:szCs w:val="22"/>
                <w:lang w:val="es-MX"/>
              </w:rPr>
              <w:lastRenderedPageBreak/>
              <w:t>automatización puede brindar mayor precisión, eficiencia y consistencia en las operaciones contables, agilizando significativamente el tiempo de procesamiento de datos y reduciendo la posibilidad de errores.</w:t>
            </w:r>
          </w:p>
        </w:tc>
      </w:tr>
    </w:tbl>
    <w:p w14:paraId="441DD3BB" w14:textId="77777777" w:rsidR="00561B22" w:rsidRPr="009A213E" w:rsidRDefault="00561B22" w:rsidP="00561B22">
      <w:pPr>
        <w:pStyle w:val="Textoindependiente"/>
        <w:ind w:right="-50"/>
        <w:jc w:val="both"/>
        <w:rPr>
          <w:rFonts w:ascii="Arial" w:hAnsi="Arial" w:cs="Arial"/>
          <w:b/>
          <w:bCs/>
        </w:rPr>
      </w:pPr>
    </w:p>
    <w:p w14:paraId="47509515" w14:textId="77777777" w:rsidR="00561B22" w:rsidRPr="009A213E" w:rsidRDefault="00561B22" w:rsidP="00561B22">
      <w:pPr>
        <w:jc w:val="both"/>
        <w:rPr>
          <w:rFonts w:ascii="Arial" w:hAnsi="Arial" w:cs="Arial"/>
          <w:b/>
          <w:bCs/>
          <w:sz w:val="24"/>
          <w:szCs w:val="24"/>
          <w:lang w:val="es-CO"/>
        </w:rPr>
      </w:pPr>
      <w:r w:rsidRPr="009A213E">
        <w:rPr>
          <w:rFonts w:ascii="Arial" w:hAnsi="Arial" w:cs="Arial"/>
          <w:b/>
          <w:bCs/>
          <w:sz w:val="24"/>
          <w:szCs w:val="24"/>
          <w:lang w:val="es-CO"/>
        </w:rPr>
        <w:t xml:space="preserve">NOTA: LA ENTIDAD ENVIA LA MATRIZ DE AUTOEVALUACIÓN DEL SISTEMA DE CONTROL INTERNO CONTABLE CON </w:t>
      </w:r>
      <w:r w:rsidRPr="009A213E">
        <w:rPr>
          <w:rFonts w:ascii="Arial" w:hAnsi="Arial" w:cs="Arial"/>
          <w:b/>
          <w:bCs/>
          <w:sz w:val="24"/>
          <w:szCs w:val="24"/>
          <w:u w:val="single"/>
          <w:lang w:val="es-CO"/>
        </w:rPr>
        <w:t>ACTIVIDADES DE CONTROL REALIZADAS EN FORMA PARCIAL</w:t>
      </w:r>
      <w:r w:rsidRPr="009A213E">
        <w:rPr>
          <w:rFonts w:ascii="Arial" w:hAnsi="Arial" w:cs="Arial"/>
          <w:b/>
          <w:bCs/>
          <w:sz w:val="24"/>
          <w:szCs w:val="24"/>
          <w:lang w:val="es-CO"/>
        </w:rPr>
        <w:t>.</w:t>
      </w:r>
    </w:p>
    <w:p w14:paraId="797432E6" w14:textId="77777777" w:rsidR="00561B22" w:rsidRPr="009A213E" w:rsidRDefault="00561B22" w:rsidP="00561B22">
      <w:pPr>
        <w:pStyle w:val="Textoindependiente"/>
        <w:tabs>
          <w:tab w:val="left" w:pos="2055"/>
        </w:tabs>
        <w:spacing w:before="5"/>
        <w:rPr>
          <w:rFonts w:ascii="Arial" w:hAnsi="Arial" w:cs="Arial"/>
          <w:sz w:val="17"/>
        </w:rPr>
      </w:pPr>
    </w:p>
    <w:p w14:paraId="79D18D73" w14:textId="77777777" w:rsidR="00561B22" w:rsidRDefault="00561B22" w:rsidP="00561B22">
      <w:pPr>
        <w:pStyle w:val="Textoindependiente"/>
        <w:tabs>
          <w:tab w:val="left" w:pos="2055"/>
        </w:tabs>
        <w:spacing w:before="5"/>
        <w:rPr>
          <w:rFonts w:ascii="Arial" w:hAnsi="Arial" w:cs="Arial"/>
          <w:sz w:val="17"/>
        </w:rPr>
      </w:pPr>
    </w:p>
    <w:p w14:paraId="772C6431" w14:textId="77777777" w:rsidR="00561B22" w:rsidRPr="00420F75" w:rsidRDefault="00561B22" w:rsidP="00561B22">
      <w:pPr>
        <w:jc w:val="both"/>
        <w:rPr>
          <w:rFonts w:ascii="Arial" w:hAnsi="Arial" w:cs="Arial"/>
          <w:b/>
          <w:sz w:val="28"/>
          <w:szCs w:val="28"/>
          <w:lang w:val="es-MX"/>
        </w:rPr>
      </w:pPr>
      <w:r w:rsidRPr="00420F75">
        <w:rPr>
          <w:rFonts w:ascii="Arial" w:hAnsi="Arial" w:cs="Arial"/>
          <w:b/>
          <w:sz w:val="28"/>
          <w:szCs w:val="28"/>
          <w:lang w:val="es-MX"/>
        </w:rPr>
        <w:t>203.- PA FONDO DIAN PARA COLOMBIA – FIDUPREVISORA S.A.</w:t>
      </w:r>
    </w:p>
    <w:p w14:paraId="7D0CAFE5" w14:textId="77777777" w:rsidR="00561B22" w:rsidRPr="009A213E" w:rsidRDefault="00561B22" w:rsidP="00561B22">
      <w:pPr>
        <w:pStyle w:val="Textoindependiente"/>
        <w:tabs>
          <w:tab w:val="left" w:pos="2055"/>
        </w:tabs>
        <w:spacing w:before="5"/>
        <w:rPr>
          <w:rFonts w:ascii="Arial" w:hAnsi="Arial" w:cs="Arial"/>
          <w:sz w:val="17"/>
        </w:rPr>
      </w:pPr>
    </w:p>
    <w:p w14:paraId="6AC4ED62" w14:textId="77777777" w:rsidR="00561B22" w:rsidRPr="00420F75" w:rsidRDefault="00561B22" w:rsidP="00561B22">
      <w:pPr>
        <w:pStyle w:val="Textoindependiente"/>
        <w:ind w:right="-50"/>
        <w:jc w:val="center"/>
        <w:rPr>
          <w:rFonts w:ascii="Arial" w:hAnsi="Arial" w:cs="Arial"/>
          <w:b/>
          <w:bCs/>
        </w:rPr>
      </w:pPr>
      <w:r w:rsidRPr="00420F75">
        <w:rPr>
          <w:rFonts w:ascii="Arial" w:hAnsi="Arial" w:cs="Arial"/>
          <w:b/>
          <w:bCs/>
        </w:rPr>
        <w:t>INFORME DE LA AUTOCALIFICACIÓN DEL SISTEMA DE CONTROL INTERNO CONTABLE:</w:t>
      </w:r>
    </w:p>
    <w:p w14:paraId="1FD3B8EC" w14:textId="77777777" w:rsidR="00561B22" w:rsidRPr="00420F7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20F75" w14:paraId="470F1687" w14:textId="77777777" w:rsidTr="00F1223B">
        <w:tc>
          <w:tcPr>
            <w:tcW w:w="4981" w:type="dxa"/>
          </w:tcPr>
          <w:p w14:paraId="1869F401" w14:textId="77777777" w:rsidR="00561B22" w:rsidRPr="00420F75" w:rsidRDefault="00561B22" w:rsidP="00F1223B">
            <w:pPr>
              <w:jc w:val="center"/>
              <w:rPr>
                <w:rFonts w:ascii="Arial" w:hAnsi="Arial" w:cs="Arial"/>
                <w:b/>
                <w:sz w:val="22"/>
                <w:szCs w:val="22"/>
                <w:lang w:val="es-MX"/>
              </w:rPr>
            </w:pPr>
            <w:r w:rsidRPr="00420F75">
              <w:rPr>
                <w:rFonts w:ascii="Arial" w:hAnsi="Arial" w:cs="Arial"/>
                <w:b/>
                <w:sz w:val="22"/>
                <w:szCs w:val="22"/>
                <w:lang w:val="es-MX"/>
              </w:rPr>
              <w:t>AUTOCALIFICACIÓN</w:t>
            </w:r>
          </w:p>
        </w:tc>
        <w:tc>
          <w:tcPr>
            <w:tcW w:w="4981" w:type="dxa"/>
          </w:tcPr>
          <w:p w14:paraId="33C27BAB" w14:textId="77777777" w:rsidR="00561B22" w:rsidRPr="00420F75" w:rsidRDefault="00561B22" w:rsidP="00F1223B">
            <w:pPr>
              <w:jc w:val="center"/>
              <w:rPr>
                <w:rFonts w:ascii="Arial" w:hAnsi="Arial" w:cs="Arial"/>
                <w:b/>
                <w:sz w:val="22"/>
                <w:szCs w:val="22"/>
                <w:u w:val="single"/>
                <w:lang w:val="es-MX"/>
              </w:rPr>
            </w:pPr>
            <w:r w:rsidRPr="00420F75">
              <w:rPr>
                <w:rFonts w:ascii="Arial" w:hAnsi="Arial" w:cs="Arial"/>
                <w:b/>
                <w:sz w:val="22"/>
                <w:szCs w:val="22"/>
                <w:u w:val="single"/>
                <w:lang w:val="es-MX"/>
              </w:rPr>
              <w:t>4.95</w:t>
            </w:r>
          </w:p>
        </w:tc>
      </w:tr>
    </w:tbl>
    <w:p w14:paraId="28E016DB" w14:textId="77777777" w:rsidR="00561B22" w:rsidRPr="00420F75" w:rsidRDefault="00561B22" w:rsidP="00561B22">
      <w:pPr>
        <w:pStyle w:val="Textoindependiente"/>
        <w:ind w:right="-50"/>
        <w:jc w:val="both"/>
        <w:rPr>
          <w:rFonts w:ascii="Arial" w:hAnsi="Arial" w:cs="Arial"/>
          <w:b/>
          <w:bCs/>
        </w:rPr>
      </w:pPr>
    </w:p>
    <w:p w14:paraId="37D992EC" w14:textId="77777777" w:rsidR="00561B22" w:rsidRDefault="00561B22" w:rsidP="00561B22">
      <w:pPr>
        <w:pStyle w:val="Textoindependiente"/>
        <w:ind w:right="-50"/>
        <w:jc w:val="both"/>
        <w:rPr>
          <w:rFonts w:ascii="Arial" w:hAnsi="Arial" w:cs="Arial"/>
          <w:b/>
          <w:bCs/>
        </w:rPr>
      </w:pPr>
      <w:r w:rsidRPr="00420F75">
        <w:rPr>
          <w:rFonts w:ascii="Arial" w:hAnsi="Arial" w:cs="Arial"/>
          <w:b/>
          <w:bCs/>
        </w:rPr>
        <w:t>Del informe enviado retomamos lo siguiente:</w:t>
      </w:r>
    </w:p>
    <w:p w14:paraId="30E62687" w14:textId="77777777" w:rsidR="00561B22" w:rsidRPr="00420F7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20F75" w14:paraId="1BC24881" w14:textId="77777777" w:rsidTr="00F1223B">
        <w:tc>
          <w:tcPr>
            <w:tcW w:w="562" w:type="dxa"/>
          </w:tcPr>
          <w:p w14:paraId="0860C4C4" w14:textId="77777777" w:rsidR="00561B22" w:rsidRPr="00420F75" w:rsidRDefault="00561B22" w:rsidP="00F1223B">
            <w:pPr>
              <w:ind w:right="-109"/>
              <w:jc w:val="center"/>
              <w:rPr>
                <w:rFonts w:ascii="Arial" w:hAnsi="Arial" w:cs="Arial"/>
                <w:b/>
                <w:sz w:val="22"/>
                <w:szCs w:val="22"/>
                <w:lang w:val="es-MX"/>
              </w:rPr>
            </w:pPr>
            <w:r w:rsidRPr="00420F75">
              <w:rPr>
                <w:rFonts w:ascii="Arial" w:hAnsi="Arial" w:cs="Arial"/>
                <w:b/>
                <w:sz w:val="22"/>
                <w:szCs w:val="22"/>
                <w:lang w:val="es-MX"/>
              </w:rPr>
              <w:t>N°</w:t>
            </w:r>
          </w:p>
        </w:tc>
        <w:tc>
          <w:tcPr>
            <w:tcW w:w="9400" w:type="dxa"/>
          </w:tcPr>
          <w:p w14:paraId="03693DC4" w14:textId="77777777" w:rsidR="00561B22" w:rsidRPr="00420F75" w:rsidRDefault="00561B22" w:rsidP="00F1223B">
            <w:pPr>
              <w:jc w:val="center"/>
              <w:rPr>
                <w:rFonts w:ascii="Arial" w:hAnsi="Arial" w:cs="Arial"/>
                <w:b/>
                <w:sz w:val="22"/>
                <w:szCs w:val="22"/>
                <w:lang w:val="es-MX"/>
              </w:rPr>
            </w:pPr>
            <w:r w:rsidRPr="00420F75">
              <w:rPr>
                <w:rFonts w:ascii="Arial" w:hAnsi="Arial" w:cs="Arial"/>
                <w:b/>
                <w:sz w:val="22"/>
                <w:szCs w:val="22"/>
                <w:lang w:val="es-MX"/>
              </w:rPr>
              <w:t>DEBILIDADES</w:t>
            </w:r>
          </w:p>
          <w:p w14:paraId="77734245" w14:textId="77777777" w:rsidR="00561B22" w:rsidRPr="00420F75" w:rsidRDefault="00561B22" w:rsidP="00F1223B">
            <w:pPr>
              <w:jc w:val="center"/>
              <w:rPr>
                <w:rFonts w:ascii="Arial" w:hAnsi="Arial" w:cs="Arial"/>
                <w:b/>
                <w:sz w:val="22"/>
                <w:szCs w:val="22"/>
                <w:lang w:val="es-MX"/>
              </w:rPr>
            </w:pPr>
          </w:p>
        </w:tc>
      </w:tr>
      <w:tr w:rsidR="00561B22" w:rsidRPr="00420F75" w14:paraId="4301E601" w14:textId="77777777" w:rsidTr="00F1223B">
        <w:tc>
          <w:tcPr>
            <w:tcW w:w="562" w:type="dxa"/>
          </w:tcPr>
          <w:p w14:paraId="07644506" w14:textId="77777777" w:rsidR="00561B22" w:rsidRPr="00420F75" w:rsidRDefault="00561B22" w:rsidP="00F1223B">
            <w:pPr>
              <w:jc w:val="center"/>
              <w:rPr>
                <w:rFonts w:ascii="Arial" w:hAnsi="Arial" w:cs="Arial"/>
                <w:b/>
                <w:sz w:val="22"/>
                <w:szCs w:val="22"/>
                <w:lang w:val="es-MX"/>
              </w:rPr>
            </w:pPr>
            <w:r w:rsidRPr="00420F75">
              <w:rPr>
                <w:rFonts w:ascii="Arial" w:hAnsi="Arial" w:cs="Arial"/>
                <w:b/>
                <w:sz w:val="22"/>
                <w:szCs w:val="22"/>
                <w:lang w:val="es-MX"/>
              </w:rPr>
              <w:t>1</w:t>
            </w:r>
          </w:p>
        </w:tc>
        <w:tc>
          <w:tcPr>
            <w:tcW w:w="9400" w:type="dxa"/>
          </w:tcPr>
          <w:p w14:paraId="2CB8A796" w14:textId="77777777" w:rsidR="00561B22" w:rsidRPr="00420F75" w:rsidRDefault="00561B22" w:rsidP="00F1223B">
            <w:pPr>
              <w:rPr>
                <w:rFonts w:ascii="Arial" w:hAnsi="Arial" w:cs="Arial"/>
                <w:sz w:val="22"/>
                <w:szCs w:val="22"/>
                <w:lang w:val="es-MX"/>
              </w:rPr>
            </w:pPr>
            <w:r w:rsidRPr="00420F75">
              <w:rPr>
                <w:rFonts w:ascii="Arial" w:hAnsi="Arial" w:cs="Arial"/>
                <w:sz w:val="22"/>
                <w:szCs w:val="22"/>
                <w:lang w:val="es-MX"/>
              </w:rPr>
              <w:t>Se identiﬁcaron debilidades en los consecutivos de los comprobantes contables.</w:t>
            </w:r>
          </w:p>
        </w:tc>
      </w:tr>
    </w:tbl>
    <w:p w14:paraId="3AE19D43" w14:textId="77777777" w:rsidR="00561B22" w:rsidRPr="00420F75" w:rsidRDefault="00561B22" w:rsidP="00561B22">
      <w:pPr>
        <w:pStyle w:val="Textoindependiente"/>
        <w:ind w:right="-50"/>
        <w:jc w:val="both"/>
        <w:rPr>
          <w:rFonts w:ascii="Arial" w:hAnsi="Arial" w:cs="Arial"/>
          <w:b/>
          <w:bCs/>
        </w:rPr>
      </w:pPr>
    </w:p>
    <w:p w14:paraId="7C5AF891" w14:textId="77777777" w:rsidR="00561B22" w:rsidRPr="00420F75" w:rsidRDefault="00561B22" w:rsidP="00561B22">
      <w:pPr>
        <w:jc w:val="both"/>
        <w:rPr>
          <w:rFonts w:ascii="Arial" w:hAnsi="Arial" w:cs="Arial"/>
          <w:b/>
          <w:lang w:val="es-MX"/>
        </w:rPr>
      </w:pPr>
      <w:r w:rsidRPr="00420F75">
        <w:rPr>
          <w:rFonts w:ascii="Arial" w:hAnsi="Arial" w:cs="Arial"/>
          <w:b/>
          <w:lang w:val="es-MX"/>
        </w:rPr>
        <w:t>Del citado informe retomamos las siguientes recomendaciones:</w:t>
      </w:r>
    </w:p>
    <w:p w14:paraId="48FEBBBA" w14:textId="77777777" w:rsidR="00561B22" w:rsidRPr="00420F7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20F75" w14:paraId="2A516A85" w14:textId="77777777" w:rsidTr="00F1223B">
        <w:tc>
          <w:tcPr>
            <w:tcW w:w="562" w:type="dxa"/>
          </w:tcPr>
          <w:p w14:paraId="6F749B85" w14:textId="77777777" w:rsidR="00561B22" w:rsidRPr="00420F75" w:rsidRDefault="00561B22" w:rsidP="00F1223B">
            <w:pPr>
              <w:ind w:right="-109"/>
              <w:jc w:val="center"/>
              <w:rPr>
                <w:rFonts w:ascii="Arial" w:hAnsi="Arial" w:cs="Arial"/>
                <w:b/>
                <w:sz w:val="22"/>
                <w:szCs w:val="22"/>
                <w:lang w:val="es-MX"/>
              </w:rPr>
            </w:pPr>
            <w:r w:rsidRPr="00420F75">
              <w:rPr>
                <w:rFonts w:ascii="Arial" w:hAnsi="Arial" w:cs="Arial"/>
                <w:b/>
                <w:sz w:val="22"/>
                <w:szCs w:val="22"/>
                <w:lang w:val="es-MX"/>
              </w:rPr>
              <w:t>N°</w:t>
            </w:r>
          </w:p>
        </w:tc>
        <w:tc>
          <w:tcPr>
            <w:tcW w:w="9400" w:type="dxa"/>
          </w:tcPr>
          <w:p w14:paraId="677F2C0F" w14:textId="77777777" w:rsidR="00561B22" w:rsidRPr="00420F75" w:rsidRDefault="00561B22" w:rsidP="00F1223B">
            <w:pPr>
              <w:jc w:val="center"/>
              <w:rPr>
                <w:rFonts w:ascii="Arial" w:hAnsi="Arial" w:cs="Arial"/>
                <w:b/>
                <w:sz w:val="22"/>
                <w:szCs w:val="22"/>
                <w:lang w:val="es-MX"/>
              </w:rPr>
            </w:pPr>
            <w:r w:rsidRPr="00420F75">
              <w:rPr>
                <w:rFonts w:ascii="Arial" w:hAnsi="Arial" w:cs="Arial"/>
                <w:b/>
                <w:sz w:val="22"/>
                <w:szCs w:val="22"/>
                <w:lang w:val="es-MX"/>
              </w:rPr>
              <w:t>RECOMENDACIONES</w:t>
            </w:r>
          </w:p>
          <w:p w14:paraId="14CA2746" w14:textId="77777777" w:rsidR="00561B22" w:rsidRPr="00420F75" w:rsidRDefault="00561B22" w:rsidP="00F1223B">
            <w:pPr>
              <w:jc w:val="center"/>
              <w:rPr>
                <w:rFonts w:ascii="Arial" w:hAnsi="Arial" w:cs="Arial"/>
                <w:b/>
                <w:sz w:val="22"/>
                <w:szCs w:val="22"/>
                <w:lang w:val="es-MX"/>
              </w:rPr>
            </w:pPr>
          </w:p>
        </w:tc>
      </w:tr>
      <w:tr w:rsidR="00561B22" w:rsidRPr="00420F75" w14:paraId="263EBC0F" w14:textId="77777777" w:rsidTr="00F1223B">
        <w:tc>
          <w:tcPr>
            <w:tcW w:w="562" w:type="dxa"/>
          </w:tcPr>
          <w:p w14:paraId="10702BBD" w14:textId="77777777" w:rsidR="00561B22" w:rsidRPr="00420F75" w:rsidRDefault="00561B22" w:rsidP="00F1223B">
            <w:pPr>
              <w:jc w:val="center"/>
              <w:rPr>
                <w:rFonts w:ascii="Arial" w:hAnsi="Arial" w:cs="Arial"/>
                <w:b/>
                <w:sz w:val="22"/>
                <w:szCs w:val="22"/>
                <w:lang w:val="es-MX"/>
              </w:rPr>
            </w:pPr>
            <w:r w:rsidRPr="00420F75">
              <w:rPr>
                <w:rFonts w:ascii="Arial" w:hAnsi="Arial" w:cs="Arial"/>
                <w:b/>
                <w:sz w:val="22"/>
                <w:szCs w:val="22"/>
                <w:lang w:val="es-MX"/>
              </w:rPr>
              <w:t>1</w:t>
            </w:r>
          </w:p>
        </w:tc>
        <w:tc>
          <w:tcPr>
            <w:tcW w:w="9400" w:type="dxa"/>
          </w:tcPr>
          <w:p w14:paraId="5CEA5EAB" w14:textId="65DE9FE5" w:rsidR="00561B22" w:rsidRPr="00420F75" w:rsidRDefault="00561B22" w:rsidP="0008150C">
            <w:pPr>
              <w:jc w:val="both"/>
              <w:rPr>
                <w:rFonts w:ascii="Arial" w:hAnsi="Arial" w:cs="Arial"/>
                <w:sz w:val="22"/>
                <w:szCs w:val="22"/>
                <w:lang w:val="es-MX"/>
              </w:rPr>
            </w:pPr>
            <w:r w:rsidRPr="00420F75">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420F75">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4FC1618B" w14:textId="77777777" w:rsidR="00561B22" w:rsidRPr="00420F75" w:rsidRDefault="00561B22" w:rsidP="00561B22">
      <w:pPr>
        <w:pStyle w:val="Textoindependiente"/>
        <w:ind w:right="-50"/>
        <w:jc w:val="both"/>
        <w:rPr>
          <w:rFonts w:ascii="Arial" w:hAnsi="Arial" w:cs="Arial"/>
          <w:b/>
          <w:bCs/>
          <w:sz w:val="28"/>
          <w:szCs w:val="28"/>
        </w:rPr>
      </w:pPr>
    </w:p>
    <w:p w14:paraId="48C7E005" w14:textId="77777777" w:rsidR="00561B22" w:rsidRPr="00420F75" w:rsidRDefault="00561B22" w:rsidP="00561B22">
      <w:pPr>
        <w:jc w:val="both"/>
        <w:rPr>
          <w:rFonts w:ascii="Arial" w:hAnsi="Arial" w:cs="Arial"/>
          <w:b/>
          <w:bCs/>
          <w:sz w:val="24"/>
          <w:szCs w:val="24"/>
          <w:lang w:val="es-CO"/>
        </w:rPr>
      </w:pPr>
      <w:r w:rsidRPr="00420F75">
        <w:rPr>
          <w:rFonts w:ascii="Arial" w:hAnsi="Arial" w:cs="Arial"/>
          <w:b/>
          <w:bCs/>
          <w:sz w:val="24"/>
          <w:szCs w:val="24"/>
          <w:lang w:val="es-CO"/>
        </w:rPr>
        <w:t xml:space="preserve">NOTA: LA ENTIDAD ENVIA LA MATRIZ DE AUTOEVALUACIÓN DEL SISTEMA DE CONTROL INTERNO CONTABLE CON </w:t>
      </w:r>
      <w:r w:rsidRPr="00420F75">
        <w:rPr>
          <w:rFonts w:ascii="Arial" w:hAnsi="Arial" w:cs="Arial"/>
          <w:b/>
          <w:bCs/>
          <w:sz w:val="24"/>
          <w:szCs w:val="24"/>
          <w:u w:val="single"/>
          <w:lang w:val="es-CO"/>
        </w:rPr>
        <w:t>ACTIVIDADES DE CONTROL REALIZADAS EN FORMA PARCIAL</w:t>
      </w:r>
      <w:r w:rsidRPr="00420F75">
        <w:rPr>
          <w:rFonts w:ascii="Arial" w:hAnsi="Arial" w:cs="Arial"/>
          <w:b/>
          <w:bCs/>
          <w:sz w:val="24"/>
          <w:szCs w:val="24"/>
          <w:lang w:val="es-CO"/>
        </w:rPr>
        <w:t>.</w:t>
      </w:r>
    </w:p>
    <w:p w14:paraId="36EA0771" w14:textId="77777777" w:rsidR="00561B22" w:rsidRPr="00420F75" w:rsidRDefault="00561B22" w:rsidP="00561B22">
      <w:pPr>
        <w:pStyle w:val="Textoindependiente"/>
        <w:ind w:right="-50"/>
        <w:jc w:val="both"/>
        <w:rPr>
          <w:rFonts w:ascii="Arial" w:hAnsi="Arial" w:cs="Arial"/>
          <w:b/>
          <w:bCs/>
          <w:sz w:val="28"/>
          <w:szCs w:val="28"/>
        </w:rPr>
      </w:pPr>
    </w:p>
    <w:p w14:paraId="4B2C5BE8" w14:textId="77777777" w:rsidR="00561B22" w:rsidRPr="009960EB" w:rsidRDefault="00561B22" w:rsidP="00561B22">
      <w:pPr>
        <w:jc w:val="both"/>
        <w:rPr>
          <w:rFonts w:ascii="Arial" w:hAnsi="Arial" w:cs="Arial"/>
          <w:b/>
          <w:sz w:val="28"/>
          <w:szCs w:val="28"/>
          <w:lang w:val="es-MX"/>
        </w:rPr>
      </w:pPr>
      <w:r w:rsidRPr="009960EB">
        <w:rPr>
          <w:rFonts w:ascii="Arial" w:hAnsi="Arial" w:cs="Arial"/>
          <w:b/>
          <w:sz w:val="28"/>
          <w:szCs w:val="28"/>
          <w:lang w:val="es-MX"/>
        </w:rPr>
        <w:t>204.- PAP CONSORCIO FONDO DE ATENCIÓN EN SALUD PPL – FIDUPREVISORA S.A.</w:t>
      </w:r>
    </w:p>
    <w:p w14:paraId="7FCEB5A9" w14:textId="77777777" w:rsidR="00561B22" w:rsidRPr="009960EB" w:rsidRDefault="00561B22" w:rsidP="00561B22">
      <w:pPr>
        <w:pStyle w:val="Textoindependiente"/>
        <w:tabs>
          <w:tab w:val="left" w:pos="2055"/>
        </w:tabs>
        <w:spacing w:before="5"/>
        <w:rPr>
          <w:rFonts w:ascii="Arial" w:hAnsi="Arial" w:cs="Arial"/>
          <w:sz w:val="17"/>
        </w:rPr>
      </w:pPr>
    </w:p>
    <w:p w14:paraId="381C0131" w14:textId="77777777" w:rsidR="00561B22" w:rsidRPr="009960EB" w:rsidRDefault="00561B22" w:rsidP="00561B22">
      <w:pPr>
        <w:pStyle w:val="Textoindependiente"/>
        <w:ind w:right="-50"/>
        <w:jc w:val="center"/>
        <w:rPr>
          <w:rFonts w:ascii="Arial" w:hAnsi="Arial" w:cs="Arial"/>
          <w:b/>
          <w:bCs/>
        </w:rPr>
      </w:pPr>
      <w:r w:rsidRPr="009960EB">
        <w:rPr>
          <w:rFonts w:ascii="Arial" w:hAnsi="Arial" w:cs="Arial"/>
          <w:b/>
          <w:bCs/>
        </w:rPr>
        <w:t>INFORME DE LA AUTOCALIFICACIÓN DEL SISTEMA DE CONTROL INTERNO CONTABLE:</w:t>
      </w:r>
    </w:p>
    <w:p w14:paraId="256684C0" w14:textId="77777777" w:rsidR="00561B22" w:rsidRPr="009960E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960EB" w14:paraId="3E70CA0A" w14:textId="77777777" w:rsidTr="00F1223B">
        <w:tc>
          <w:tcPr>
            <w:tcW w:w="4981" w:type="dxa"/>
          </w:tcPr>
          <w:p w14:paraId="68FF8C52" w14:textId="77777777" w:rsidR="00561B22" w:rsidRPr="009960EB" w:rsidRDefault="00561B22" w:rsidP="00F1223B">
            <w:pPr>
              <w:jc w:val="center"/>
              <w:rPr>
                <w:rFonts w:ascii="Arial" w:hAnsi="Arial" w:cs="Arial"/>
                <w:b/>
                <w:sz w:val="22"/>
                <w:szCs w:val="22"/>
                <w:lang w:val="es-MX"/>
              </w:rPr>
            </w:pPr>
            <w:r w:rsidRPr="009960EB">
              <w:rPr>
                <w:rFonts w:ascii="Arial" w:hAnsi="Arial" w:cs="Arial"/>
                <w:b/>
                <w:sz w:val="22"/>
                <w:szCs w:val="22"/>
                <w:lang w:val="es-MX"/>
              </w:rPr>
              <w:t>AUTOCALIFICACIÓN</w:t>
            </w:r>
          </w:p>
        </w:tc>
        <w:tc>
          <w:tcPr>
            <w:tcW w:w="4981" w:type="dxa"/>
          </w:tcPr>
          <w:p w14:paraId="2EB70613" w14:textId="77777777" w:rsidR="00561B22" w:rsidRPr="009960EB" w:rsidRDefault="00561B22" w:rsidP="00F1223B">
            <w:pPr>
              <w:jc w:val="center"/>
              <w:rPr>
                <w:rFonts w:ascii="Arial" w:hAnsi="Arial" w:cs="Arial"/>
                <w:b/>
                <w:sz w:val="22"/>
                <w:szCs w:val="22"/>
                <w:u w:val="single"/>
                <w:lang w:val="es-MX"/>
              </w:rPr>
            </w:pPr>
            <w:r w:rsidRPr="009960EB">
              <w:rPr>
                <w:rFonts w:ascii="Arial" w:hAnsi="Arial" w:cs="Arial"/>
                <w:b/>
                <w:sz w:val="22"/>
                <w:szCs w:val="22"/>
                <w:u w:val="single"/>
                <w:lang w:val="es-MX"/>
              </w:rPr>
              <w:t>4.95</w:t>
            </w:r>
          </w:p>
        </w:tc>
      </w:tr>
    </w:tbl>
    <w:p w14:paraId="0803B1E2" w14:textId="77777777" w:rsidR="00561B22" w:rsidRPr="009960EB" w:rsidRDefault="00561B22" w:rsidP="00561B22">
      <w:pPr>
        <w:pStyle w:val="Textoindependiente"/>
        <w:ind w:right="-50"/>
        <w:jc w:val="both"/>
        <w:rPr>
          <w:rFonts w:ascii="Arial" w:hAnsi="Arial" w:cs="Arial"/>
          <w:b/>
          <w:bCs/>
        </w:rPr>
      </w:pPr>
    </w:p>
    <w:p w14:paraId="10CBF330" w14:textId="77777777" w:rsidR="00561B22" w:rsidRPr="009960EB" w:rsidRDefault="00561B22" w:rsidP="00561B22">
      <w:pPr>
        <w:pStyle w:val="Textoindependiente"/>
        <w:ind w:right="-50"/>
        <w:jc w:val="both"/>
        <w:rPr>
          <w:rFonts w:ascii="Arial" w:hAnsi="Arial" w:cs="Arial"/>
          <w:b/>
          <w:bCs/>
        </w:rPr>
      </w:pPr>
      <w:r w:rsidRPr="009960EB">
        <w:rPr>
          <w:rFonts w:ascii="Arial" w:hAnsi="Arial" w:cs="Arial"/>
          <w:b/>
          <w:bCs/>
        </w:rPr>
        <w:t>Del informe enviado retomamos lo siguiente:</w:t>
      </w:r>
    </w:p>
    <w:p w14:paraId="7B3D21DF" w14:textId="77777777" w:rsidR="00561B22" w:rsidRPr="009960E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960EB" w14:paraId="4402732A" w14:textId="77777777" w:rsidTr="00F1223B">
        <w:tc>
          <w:tcPr>
            <w:tcW w:w="562" w:type="dxa"/>
          </w:tcPr>
          <w:p w14:paraId="73495302" w14:textId="77777777" w:rsidR="00561B22" w:rsidRPr="009960EB" w:rsidRDefault="00561B22" w:rsidP="00F1223B">
            <w:pPr>
              <w:ind w:right="-109"/>
              <w:jc w:val="center"/>
              <w:rPr>
                <w:rFonts w:ascii="Arial" w:hAnsi="Arial" w:cs="Arial"/>
                <w:b/>
                <w:sz w:val="22"/>
                <w:szCs w:val="22"/>
                <w:lang w:val="es-MX"/>
              </w:rPr>
            </w:pPr>
            <w:r w:rsidRPr="009960EB">
              <w:rPr>
                <w:rFonts w:ascii="Arial" w:hAnsi="Arial" w:cs="Arial"/>
                <w:b/>
                <w:sz w:val="22"/>
                <w:szCs w:val="22"/>
                <w:lang w:val="es-MX"/>
              </w:rPr>
              <w:t>N°</w:t>
            </w:r>
          </w:p>
        </w:tc>
        <w:tc>
          <w:tcPr>
            <w:tcW w:w="9400" w:type="dxa"/>
          </w:tcPr>
          <w:p w14:paraId="5F025C40" w14:textId="77777777" w:rsidR="00561B22" w:rsidRPr="009960EB" w:rsidRDefault="00561B22" w:rsidP="00F1223B">
            <w:pPr>
              <w:jc w:val="center"/>
              <w:rPr>
                <w:rFonts w:ascii="Arial" w:hAnsi="Arial" w:cs="Arial"/>
                <w:b/>
                <w:sz w:val="22"/>
                <w:szCs w:val="22"/>
                <w:lang w:val="es-MX"/>
              </w:rPr>
            </w:pPr>
            <w:r w:rsidRPr="009960EB">
              <w:rPr>
                <w:rFonts w:ascii="Arial" w:hAnsi="Arial" w:cs="Arial"/>
                <w:b/>
                <w:sz w:val="22"/>
                <w:szCs w:val="22"/>
                <w:lang w:val="es-MX"/>
              </w:rPr>
              <w:t>DEBILIDADES</w:t>
            </w:r>
          </w:p>
          <w:p w14:paraId="7899EC12" w14:textId="77777777" w:rsidR="00561B22" w:rsidRPr="009960EB" w:rsidRDefault="00561B22" w:rsidP="00F1223B">
            <w:pPr>
              <w:jc w:val="center"/>
              <w:rPr>
                <w:rFonts w:ascii="Arial" w:hAnsi="Arial" w:cs="Arial"/>
                <w:b/>
                <w:sz w:val="22"/>
                <w:szCs w:val="22"/>
                <w:lang w:val="es-MX"/>
              </w:rPr>
            </w:pPr>
          </w:p>
        </w:tc>
      </w:tr>
      <w:tr w:rsidR="00561B22" w:rsidRPr="009960EB" w14:paraId="5E7B250E" w14:textId="77777777" w:rsidTr="00F1223B">
        <w:tc>
          <w:tcPr>
            <w:tcW w:w="562" w:type="dxa"/>
          </w:tcPr>
          <w:p w14:paraId="2D08D937" w14:textId="77777777" w:rsidR="00561B22" w:rsidRPr="009960EB" w:rsidRDefault="00561B22" w:rsidP="00F1223B">
            <w:pPr>
              <w:jc w:val="center"/>
              <w:rPr>
                <w:rFonts w:ascii="Arial" w:hAnsi="Arial" w:cs="Arial"/>
                <w:b/>
                <w:sz w:val="22"/>
                <w:szCs w:val="22"/>
                <w:lang w:val="es-MX"/>
              </w:rPr>
            </w:pPr>
            <w:r w:rsidRPr="009960EB">
              <w:rPr>
                <w:rFonts w:ascii="Arial" w:hAnsi="Arial" w:cs="Arial"/>
                <w:b/>
                <w:sz w:val="22"/>
                <w:szCs w:val="22"/>
                <w:lang w:val="es-MX"/>
              </w:rPr>
              <w:t>1</w:t>
            </w:r>
          </w:p>
        </w:tc>
        <w:tc>
          <w:tcPr>
            <w:tcW w:w="9400" w:type="dxa"/>
          </w:tcPr>
          <w:p w14:paraId="4781ED58" w14:textId="77777777" w:rsidR="00561B22" w:rsidRPr="009960EB" w:rsidRDefault="00561B22" w:rsidP="00F1223B">
            <w:pPr>
              <w:rPr>
                <w:rFonts w:ascii="Arial" w:hAnsi="Arial" w:cs="Arial"/>
                <w:sz w:val="22"/>
                <w:szCs w:val="22"/>
                <w:lang w:val="es-MX"/>
              </w:rPr>
            </w:pPr>
            <w:r w:rsidRPr="009960EB">
              <w:rPr>
                <w:rFonts w:ascii="Arial" w:hAnsi="Arial" w:cs="Arial"/>
                <w:sz w:val="22"/>
                <w:szCs w:val="22"/>
                <w:lang w:val="es-MX"/>
              </w:rPr>
              <w:t>Se identiﬁcaron debilidades en los consecutivos de los comprobantes contables.</w:t>
            </w:r>
          </w:p>
        </w:tc>
      </w:tr>
    </w:tbl>
    <w:p w14:paraId="35496CFE" w14:textId="77777777" w:rsidR="00561B22" w:rsidRPr="009960EB" w:rsidRDefault="00561B22" w:rsidP="00561B22">
      <w:pPr>
        <w:pStyle w:val="Textoindependiente"/>
        <w:ind w:right="-50"/>
        <w:jc w:val="both"/>
        <w:rPr>
          <w:rFonts w:ascii="Arial" w:hAnsi="Arial" w:cs="Arial"/>
          <w:b/>
          <w:bCs/>
        </w:rPr>
      </w:pPr>
    </w:p>
    <w:p w14:paraId="5CE71D1F" w14:textId="77777777" w:rsidR="00561B22" w:rsidRPr="009960EB" w:rsidRDefault="00561B22" w:rsidP="00561B22">
      <w:pPr>
        <w:jc w:val="both"/>
        <w:rPr>
          <w:rFonts w:ascii="Arial" w:hAnsi="Arial" w:cs="Arial"/>
          <w:b/>
          <w:lang w:val="es-MX"/>
        </w:rPr>
      </w:pPr>
      <w:r w:rsidRPr="009960EB">
        <w:rPr>
          <w:rFonts w:ascii="Arial" w:hAnsi="Arial" w:cs="Arial"/>
          <w:b/>
          <w:lang w:val="es-MX"/>
        </w:rPr>
        <w:t>Del citado informe retomamos las siguientes recomendaciones:</w:t>
      </w:r>
    </w:p>
    <w:p w14:paraId="295507BA" w14:textId="77777777" w:rsidR="00561B22" w:rsidRPr="009960E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960EB" w14:paraId="741E2D27" w14:textId="77777777" w:rsidTr="00F1223B">
        <w:tc>
          <w:tcPr>
            <w:tcW w:w="562" w:type="dxa"/>
          </w:tcPr>
          <w:p w14:paraId="3E163FC4" w14:textId="77777777" w:rsidR="00561B22" w:rsidRPr="009960EB" w:rsidRDefault="00561B22" w:rsidP="00F1223B">
            <w:pPr>
              <w:ind w:right="-109"/>
              <w:jc w:val="center"/>
              <w:rPr>
                <w:rFonts w:ascii="Arial" w:hAnsi="Arial" w:cs="Arial"/>
                <w:b/>
                <w:sz w:val="22"/>
                <w:szCs w:val="22"/>
                <w:lang w:val="es-MX"/>
              </w:rPr>
            </w:pPr>
            <w:r w:rsidRPr="009960EB">
              <w:rPr>
                <w:rFonts w:ascii="Arial" w:hAnsi="Arial" w:cs="Arial"/>
                <w:b/>
                <w:sz w:val="22"/>
                <w:szCs w:val="22"/>
                <w:lang w:val="es-MX"/>
              </w:rPr>
              <w:lastRenderedPageBreak/>
              <w:t>N°</w:t>
            </w:r>
          </w:p>
        </w:tc>
        <w:tc>
          <w:tcPr>
            <w:tcW w:w="9400" w:type="dxa"/>
          </w:tcPr>
          <w:p w14:paraId="769909D5" w14:textId="77777777" w:rsidR="00561B22" w:rsidRPr="009960EB" w:rsidRDefault="00561B22" w:rsidP="00F1223B">
            <w:pPr>
              <w:jc w:val="center"/>
              <w:rPr>
                <w:rFonts w:ascii="Arial" w:hAnsi="Arial" w:cs="Arial"/>
                <w:b/>
                <w:sz w:val="22"/>
                <w:szCs w:val="22"/>
                <w:lang w:val="es-MX"/>
              </w:rPr>
            </w:pPr>
            <w:r w:rsidRPr="009960EB">
              <w:rPr>
                <w:rFonts w:ascii="Arial" w:hAnsi="Arial" w:cs="Arial"/>
                <w:b/>
                <w:sz w:val="22"/>
                <w:szCs w:val="22"/>
                <w:lang w:val="es-MX"/>
              </w:rPr>
              <w:t>RECOMENDACIONES</w:t>
            </w:r>
          </w:p>
          <w:p w14:paraId="681B2318" w14:textId="77777777" w:rsidR="00561B22" w:rsidRPr="009960EB" w:rsidRDefault="00561B22" w:rsidP="00F1223B">
            <w:pPr>
              <w:jc w:val="center"/>
              <w:rPr>
                <w:rFonts w:ascii="Arial" w:hAnsi="Arial" w:cs="Arial"/>
                <w:b/>
                <w:sz w:val="22"/>
                <w:szCs w:val="22"/>
                <w:lang w:val="es-MX"/>
              </w:rPr>
            </w:pPr>
          </w:p>
        </w:tc>
      </w:tr>
      <w:tr w:rsidR="00561B22" w:rsidRPr="009960EB" w14:paraId="0BC1FAF1" w14:textId="77777777" w:rsidTr="00F1223B">
        <w:tc>
          <w:tcPr>
            <w:tcW w:w="562" w:type="dxa"/>
          </w:tcPr>
          <w:p w14:paraId="44B71E6A" w14:textId="77777777" w:rsidR="00561B22" w:rsidRPr="009960EB" w:rsidRDefault="00561B22" w:rsidP="00F1223B">
            <w:pPr>
              <w:jc w:val="center"/>
              <w:rPr>
                <w:rFonts w:ascii="Arial" w:hAnsi="Arial" w:cs="Arial"/>
                <w:b/>
                <w:sz w:val="22"/>
                <w:szCs w:val="22"/>
                <w:lang w:val="es-MX"/>
              </w:rPr>
            </w:pPr>
            <w:r w:rsidRPr="009960EB">
              <w:rPr>
                <w:rFonts w:ascii="Arial" w:hAnsi="Arial" w:cs="Arial"/>
                <w:b/>
                <w:sz w:val="22"/>
                <w:szCs w:val="22"/>
                <w:lang w:val="es-MX"/>
              </w:rPr>
              <w:t>1</w:t>
            </w:r>
          </w:p>
        </w:tc>
        <w:tc>
          <w:tcPr>
            <w:tcW w:w="9400" w:type="dxa"/>
          </w:tcPr>
          <w:p w14:paraId="40169C0E" w14:textId="77777777" w:rsidR="00561B22" w:rsidRPr="009960EB" w:rsidRDefault="00561B22" w:rsidP="00F1223B">
            <w:pPr>
              <w:jc w:val="both"/>
              <w:rPr>
                <w:rFonts w:ascii="Arial" w:hAnsi="Arial" w:cs="Arial"/>
                <w:sz w:val="22"/>
                <w:szCs w:val="22"/>
                <w:lang w:val="es-MX"/>
              </w:rPr>
            </w:pPr>
            <w:r w:rsidRPr="009960EB">
              <w:rPr>
                <w:rFonts w:ascii="Arial" w:hAnsi="Arial" w:cs="Arial"/>
                <w:sz w:val="22"/>
                <w:szCs w:val="22"/>
                <w:lang w:val="es-MX"/>
              </w:rPr>
              <w:t>Se recomienda continuar con el fortalecimiento y la implementación de los procesos de automatización</w:t>
            </w:r>
          </w:p>
          <w:p w14:paraId="3E6D8CDE" w14:textId="77777777" w:rsidR="00561B22" w:rsidRPr="009960EB" w:rsidRDefault="00561B22" w:rsidP="00F1223B">
            <w:pPr>
              <w:jc w:val="both"/>
              <w:rPr>
                <w:rFonts w:ascii="Arial" w:hAnsi="Arial" w:cs="Arial"/>
                <w:sz w:val="22"/>
                <w:szCs w:val="22"/>
                <w:lang w:val="es-MX"/>
              </w:rPr>
            </w:pPr>
            <w:r w:rsidRPr="009960EB">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2BC49E4F" w14:textId="77777777" w:rsidR="00561B22" w:rsidRPr="009960EB" w:rsidRDefault="00561B22" w:rsidP="00561B22">
      <w:pPr>
        <w:jc w:val="both"/>
        <w:rPr>
          <w:rFonts w:ascii="Arial" w:hAnsi="Arial" w:cs="Arial"/>
          <w:b/>
          <w:bCs/>
          <w:sz w:val="24"/>
          <w:szCs w:val="24"/>
          <w:lang w:val="es-CO"/>
        </w:rPr>
      </w:pPr>
    </w:p>
    <w:p w14:paraId="30F9FD5D" w14:textId="77777777" w:rsidR="00561B22" w:rsidRPr="009960EB" w:rsidRDefault="00561B22" w:rsidP="00561B22">
      <w:pPr>
        <w:jc w:val="both"/>
        <w:rPr>
          <w:rFonts w:ascii="Arial" w:hAnsi="Arial" w:cs="Arial"/>
          <w:b/>
          <w:bCs/>
          <w:sz w:val="24"/>
          <w:szCs w:val="24"/>
          <w:lang w:val="es-CO"/>
        </w:rPr>
      </w:pPr>
      <w:r w:rsidRPr="009960EB">
        <w:rPr>
          <w:rFonts w:ascii="Arial" w:hAnsi="Arial" w:cs="Arial"/>
          <w:b/>
          <w:bCs/>
          <w:sz w:val="24"/>
          <w:szCs w:val="24"/>
          <w:lang w:val="es-CO"/>
        </w:rPr>
        <w:t xml:space="preserve">NOTA: LA ENTIDAD ENVIA LA MATRIZ DE AUTOEVALUACIÓN DEL SISTEMA DE CONTROL INTERNO CONTABLE CON </w:t>
      </w:r>
      <w:r w:rsidRPr="009960EB">
        <w:rPr>
          <w:rFonts w:ascii="Arial" w:hAnsi="Arial" w:cs="Arial"/>
          <w:b/>
          <w:bCs/>
          <w:sz w:val="24"/>
          <w:szCs w:val="24"/>
          <w:u w:val="single"/>
          <w:lang w:val="es-CO"/>
        </w:rPr>
        <w:t>ACTIVIDADES DE CONTROL REALIZADAS EN FORMA PARCIAL</w:t>
      </w:r>
      <w:r w:rsidRPr="009960EB">
        <w:rPr>
          <w:rFonts w:ascii="Arial" w:hAnsi="Arial" w:cs="Arial"/>
          <w:b/>
          <w:bCs/>
          <w:sz w:val="24"/>
          <w:szCs w:val="24"/>
          <w:lang w:val="es-CO"/>
        </w:rPr>
        <w:t>.</w:t>
      </w:r>
    </w:p>
    <w:p w14:paraId="0179A943" w14:textId="77777777" w:rsidR="00561B22" w:rsidRPr="009960EB" w:rsidRDefault="00561B22" w:rsidP="00561B22">
      <w:pPr>
        <w:pStyle w:val="Textoindependiente"/>
        <w:ind w:right="-50"/>
        <w:jc w:val="both"/>
        <w:rPr>
          <w:rFonts w:ascii="Arial" w:hAnsi="Arial" w:cs="Arial"/>
          <w:b/>
          <w:bCs/>
          <w:sz w:val="28"/>
          <w:szCs w:val="28"/>
        </w:rPr>
      </w:pPr>
    </w:p>
    <w:p w14:paraId="335F25F7" w14:textId="77777777" w:rsidR="00561B22" w:rsidRDefault="00561B22" w:rsidP="00561B22">
      <w:pPr>
        <w:ind w:right="-93"/>
        <w:rPr>
          <w:rFonts w:ascii="Arial" w:hAnsi="Arial" w:cs="Arial"/>
          <w:b/>
          <w:sz w:val="28"/>
          <w:szCs w:val="28"/>
          <w:lang w:val="es-MX"/>
        </w:rPr>
      </w:pPr>
      <w:r w:rsidRPr="00366C61">
        <w:rPr>
          <w:rFonts w:ascii="Arial" w:hAnsi="Arial" w:cs="Arial"/>
          <w:b/>
          <w:sz w:val="28"/>
          <w:szCs w:val="28"/>
          <w:lang w:val="es-MX"/>
        </w:rPr>
        <w:t>205.- FONDO DE PRESTACIONES SOCIALES DEL MAGISTERIO – FOMAG - FIDUPREVISORA. S.A</w:t>
      </w:r>
      <w:r>
        <w:rPr>
          <w:rFonts w:ascii="Arial" w:hAnsi="Arial" w:cs="Arial"/>
          <w:b/>
          <w:sz w:val="28"/>
          <w:szCs w:val="28"/>
          <w:lang w:val="es-MX"/>
        </w:rPr>
        <w:t>.</w:t>
      </w:r>
    </w:p>
    <w:p w14:paraId="6440382A" w14:textId="77777777" w:rsidR="00561B22" w:rsidRDefault="00561B22" w:rsidP="00561B22">
      <w:pPr>
        <w:pStyle w:val="Textoindependiente"/>
        <w:tabs>
          <w:tab w:val="left" w:pos="2055"/>
        </w:tabs>
        <w:spacing w:before="5"/>
        <w:rPr>
          <w:rFonts w:ascii="Arial" w:hAnsi="Arial" w:cs="Arial"/>
          <w:sz w:val="17"/>
        </w:rPr>
      </w:pPr>
    </w:p>
    <w:p w14:paraId="0EB79AE2" w14:textId="77777777" w:rsidR="00561B22" w:rsidRPr="00424338" w:rsidRDefault="00561B22" w:rsidP="00561B22">
      <w:pPr>
        <w:pStyle w:val="Textoindependiente"/>
        <w:ind w:right="-50"/>
        <w:jc w:val="center"/>
        <w:rPr>
          <w:rFonts w:ascii="Arial" w:hAnsi="Arial" w:cs="Arial"/>
          <w:b/>
          <w:bCs/>
        </w:rPr>
      </w:pPr>
      <w:r w:rsidRPr="00424338">
        <w:rPr>
          <w:rFonts w:ascii="Arial" w:hAnsi="Arial" w:cs="Arial"/>
          <w:b/>
          <w:bCs/>
        </w:rPr>
        <w:t>INFORME DE LA AUTOCALIFICACIÓN DEL SISTEMA DE CONTROL INTERNO CONTABLE:</w:t>
      </w:r>
    </w:p>
    <w:p w14:paraId="34BD9663" w14:textId="77777777" w:rsidR="00561B22" w:rsidRPr="0042433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24338" w14:paraId="0B7B1063" w14:textId="77777777" w:rsidTr="00F1223B">
        <w:tc>
          <w:tcPr>
            <w:tcW w:w="4981" w:type="dxa"/>
          </w:tcPr>
          <w:p w14:paraId="683F15F9" w14:textId="77777777" w:rsidR="00561B22" w:rsidRPr="00424338" w:rsidRDefault="00561B22" w:rsidP="00F1223B">
            <w:pPr>
              <w:jc w:val="center"/>
              <w:rPr>
                <w:rFonts w:ascii="Arial" w:hAnsi="Arial" w:cs="Arial"/>
                <w:b/>
                <w:sz w:val="22"/>
                <w:szCs w:val="22"/>
                <w:lang w:val="es-MX"/>
              </w:rPr>
            </w:pPr>
            <w:r w:rsidRPr="00424338">
              <w:rPr>
                <w:rFonts w:ascii="Arial" w:hAnsi="Arial" w:cs="Arial"/>
                <w:b/>
                <w:sz w:val="22"/>
                <w:szCs w:val="22"/>
                <w:lang w:val="es-MX"/>
              </w:rPr>
              <w:t>AUTOCALIFICACIÓN</w:t>
            </w:r>
          </w:p>
        </w:tc>
        <w:tc>
          <w:tcPr>
            <w:tcW w:w="4981" w:type="dxa"/>
          </w:tcPr>
          <w:p w14:paraId="573AF2A2" w14:textId="77777777" w:rsidR="00561B22" w:rsidRPr="00424338" w:rsidRDefault="00561B22" w:rsidP="00F1223B">
            <w:pPr>
              <w:jc w:val="center"/>
              <w:rPr>
                <w:rFonts w:ascii="Arial" w:hAnsi="Arial" w:cs="Arial"/>
                <w:b/>
                <w:sz w:val="22"/>
                <w:szCs w:val="22"/>
                <w:u w:val="single"/>
                <w:lang w:val="es-MX"/>
              </w:rPr>
            </w:pPr>
            <w:r w:rsidRPr="00424338">
              <w:rPr>
                <w:rFonts w:ascii="Arial" w:hAnsi="Arial" w:cs="Arial"/>
                <w:b/>
                <w:sz w:val="22"/>
                <w:szCs w:val="22"/>
                <w:u w:val="single"/>
                <w:lang w:val="es-MX"/>
              </w:rPr>
              <w:t>4.95</w:t>
            </w:r>
          </w:p>
        </w:tc>
      </w:tr>
    </w:tbl>
    <w:p w14:paraId="0B307026" w14:textId="77777777" w:rsidR="00561B22" w:rsidRPr="00424338" w:rsidRDefault="00561B22" w:rsidP="00561B22">
      <w:pPr>
        <w:pStyle w:val="Textoindependiente"/>
        <w:ind w:right="-50"/>
        <w:jc w:val="both"/>
        <w:rPr>
          <w:rFonts w:ascii="Arial" w:hAnsi="Arial" w:cs="Arial"/>
          <w:b/>
          <w:bCs/>
        </w:rPr>
      </w:pPr>
    </w:p>
    <w:p w14:paraId="5C4B0E89" w14:textId="77777777" w:rsidR="00561B22" w:rsidRPr="00424338" w:rsidRDefault="00561B22" w:rsidP="00561B22">
      <w:pPr>
        <w:pStyle w:val="Textoindependiente"/>
        <w:ind w:right="-50"/>
        <w:jc w:val="both"/>
        <w:rPr>
          <w:rFonts w:ascii="Arial" w:hAnsi="Arial" w:cs="Arial"/>
          <w:b/>
          <w:bCs/>
        </w:rPr>
      </w:pPr>
      <w:r w:rsidRPr="00424338">
        <w:rPr>
          <w:rFonts w:ascii="Arial" w:hAnsi="Arial" w:cs="Arial"/>
          <w:b/>
          <w:bCs/>
        </w:rPr>
        <w:t>Del informe enviado retomamos lo siguiente:</w:t>
      </w:r>
    </w:p>
    <w:p w14:paraId="46798878" w14:textId="77777777" w:rsidR="00561B22" w:rsidRPr="0042433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24338" w14:paraId="3D7C0315" w14:textId="77777777" w:rsidTr="00F1223B">
        <w:tc>
          <w:tcPr>
            <w:tcW w:w="562" w:type="dxa"/>
          </w:tcPr>
          <w:p w14:paraId="3F75303F" w14:textId="77777777" w:rsidR="00561B22" w:rsidRPr="00424338" w:rsidRDefault="00561B22" w:rsidP="00F1223B">
            <w:pPr>
              <w:ind w:right="-109"/>
              <w:jc w:val="center"/>
              <w:rPr>
                <w:rFonts w:ascii="Arial" w:hAnsi="Arial" w:cs="Arial"/>
                <w:b/>
                <w:sz w:val="22"/>
                <w:szCs w:val="22"/>
                <w:lang w:val="es-MX"/>
              </w:rPr>
            </w:pPr>
            <w:r w:rsidRPr="00424338">
              <w:rPr>
                <w:rFonts w:ascii="Arial" w:hAnsi="Arial" w:cs="Arial"/>
                <w:b/>
                <w:sz w:val="22"/>
                <w:szCs w:val="22"/>
                <w:lang w:val="es-MX"/>
              </w:rPr>
              <w:t>N°</w:t>
            </w:r>
          </w:p>
        </w:tc>
        <w:tc>
          <w:tcPr>
            <w:tcW w:w="9400" w:type="dxa"/>
          </w:tcPr>
          <w:p w14:paraId="0DC8B3C3" w14:textId="77777777" w:rsidR="00561B22" w:rsidRPr="00424338" w:rsidRDefault="00561B22" w:rsidP="00F1223B">
            <w:pPr>
              <w:jc w:val="center"/>
              <w:rPr>
                <w:rFonts w:ascii="Arial" w:hAnsi="Arial" w:cs="Arial"/>
                <w:b/>
                <w:sz w:val="22"/>
                <w:szCs w:val="22"/>
                <w:lang w:val="es-MX"/>
              </w:rPr>
            </w:pPr>
            <w:r w:rsidRPr="00424338">
              <w:rPr>
                <w:rFonts w:ascii="Arial" w:hAnsi="Arial" w:cs="Arial"/>
                <w:b/>
                <w:sz w:val="22"/>
                <w:szCs w:val="22"/>
                <w:lang w:val="es-MX"/>
              </w:rPr>
              <w:t>DEBILIDADES</w:t>
            </w:r>
          </w:p>
          <w:p w14:paraId="67A4EF44" w14:textId="77777777" w:rsidR="00561B22" w:rsidRPr="00424338" w:rsidRDefault="00561B22" w:rsidP="00F1223B">
            <w:pPr>
              <w:jc w:val="center"/>
              <w:rPr>
                <w:rFonts w:ascii="Arial" w:hAnsi="Arial" w:cs="Arial"/>
                <w:b/>
                <w:sz w:val="22"/>
                <w:szCs w:val="22"/>
                <w:lang w:val="es-MX"/>
              </w:rPr>
            </w:pPr>
          </w:p>
        </w:tc>
      </w:tr>
      <w:tr w:rsidR="00561B22" w:rsidRPr="00424338" w14:paraId="60971CE6" w14:textId="77777777" w:rsidTr="00F1223B">
        <w:tc>
          <w:tcPr>
            <w:tcW w:w="562" w:type="dxa"/>
          </w:tcPr>
          <w:p w14:paraId="598F0E60" w14:textId="77777777" w:rsidR="00561B22" w:rsidRPr="00424338" w:rsidRDefault="00561B22" w:rsidP="00F1223B">
            <w:pPr>
              <w:jc w:val="center"/>
              <w:rPr>
                <w:rFonts w:ascii="Arial" w:hAnsi="Arial" w:cs="Arial"/>
                <w:b/>
                <w:sz w:val="22"/>
                <w:szCs w:val="22"/>
                <w:lang w:val="es-MX"/>
              </w:rPr>
            </w:pPr>
            <w:r w:rsidRPr="00424338">
              <w:rPr>
                <w:rFonts w:ascii="Arial" w:hAnsi="Arial" w:cs="Arial"/>
                <w:b/>
                <w:sz w:val="22"/>
                <w:szCs w:val="22"/>
                <w:lang w:val="es-MX"/>
              </w:rPr>
              <w:t>1</w:t>
            </w:r>
          </w:p>
        </w:tc>
        <w:tc>
          <w:tcPr>
            <w:tcW w:w="9400" w:type="dxa"/>
          </w:tcPr>
          <w:p w14:paraId="6027593B" w14:textId="77777777" w:rsidR="00561B22" w:rsidRPr="00424338" w:rsidRDefault="00561B22" w:rsidP="00F1223B">
            <w:pPr>
              <w:rPr>
                <w:rFonts w:ascii="Arial" w:hAnsi="Arial" w:cs="Arial"/>
                <w:sz w:val="22"/>
                <w:szCs w:val="22"/>
                <w:lang w:val="es-MX"/>
              </w:rPr>
            </w:pPr>
            <w:r w:rsidRPr="00424338">
              <w:rPr>
                <w:rFonts w:ascii="Arial" w:hAnsi="Arial" w:cs="Arial"/>
                <w:sz w:val="22"/>
                <w:szCs w:val="22"/>
                <w:lang w:val="es-MX"/>
              </w:rPr>
              <w:t>Se identificaron debilidades en los consecutivos de los comprobantes contables</w:t>
            </w:r>
          </w:p>
        </w:tc>
      </w:tr>
    </w:tbl>
    <w:p w14:paraId="203C960C" w14:textId="77777777" w:rsidR="00561B22" w:rsidRPr="00424338" w:rsidRDefault="00561B22" w:rsidP="00561B22">
      <w:pPr>
        <w:pStyle w:val="Textoindependiente"/>
        <w:ind w:right="-50"/>
        <w:jc w:val="both"/>
        <w:rPr>
          <w:rFonts w:ascii="Arial" w:hAnsi="Arial" w:cs="Arial"/>
          <w:b/>
          <w:bCs/>
        </w:rPr>
      </w:pPr>
    </w:p>
    <w:p w14:paraId="4F5512D0" w14:textId="77777777" w:rsidR="00561B22" w:rsidRPr="00424338" w:rsidRDefault="00561B22" w:rsidP="00561B22">
      <w:pPr>
        <w:jc w:val="both"/>
        <w:rPr>
          <w:rFonts w:ascii="Arial" w:hAnsi="Arial" w:cs="Arial"/>
          <w:b/>
          <w:lang w:val="es-MX"/>
        </w:rPr>
      </w:pPr>
      <w:r w:rsidRPr="00424338">
        <w:rPr>
          <w:rFonts w:ascii="Arial" w:hAnsi="Arial" w:cs="Arial"/>
          <w:b/>
          <w:lang w:val="es-MX"/>
        </w:rPr>
        <w:t>Del citado informe retomamos las siguientes recomendaciones:</w:t>
      </w:r>
    </w:p>
    <w:p w14:paraId="0DBFA835" w14:textId="77777777" w:rsidR="00561B22" w:rsidRPr="00424338"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24338" w14:paraId="46C149ED" w14:textId="77777777" w:rsidTr="00F1223B">
        <w:tc>
          <w:tcPr>
            <w:tcW w:w="562" w:type="dxa"/>
          </w:tcPr>
          <w:p w14:paraId="0CA4A949" w14:textId="77777777" w:rsidR="00561B22" w:rsidRPr="00424338" w:rsidRDefault="00561B22" w:rsidP="00F1223B">
            <w:pPr>
              <w:ind w:right="-109"/>
              <w:jc w:val="center"/>
              <w:rPr>
                <w:rFonts w:ascii="Arial" w:hAnsi="Arial" w:cs="Arial"/>
                <w:b/>
                <w:sz w:val="22"/>
                <w:szCs w:val="22"/>
                <w:lang w:val="es-MX"/>
              </w:rPr>
            </w:pPr>
            <w:r w:rsidRPr="00424338">
              <w:rPr>
                <w:rFonts w:ascii="Arial" w:hAnsi="Arial" w:cs="Arial"/>
                <w:b/>
                <w:sz w:val="22"/>
                <w:szCs w:val="22"/>
                <w:lang w:val="es-MX"/>
              </w:rPr>
              <w:t>N°</w:t>
            </w:r>
          </w:p>
        </w:tc>
        <w:tc>
          <w:tcPr>
            <w:tcW w:w="9400" w:type="dxa"/>
          </w:tcPr>
          <w:p w14:paraId="23FF198E" w14:textId="77777777" w:rsidR="00561B22" w:rsidRPr="00424338" w:rsidRDefault="00561B22" w:rsidP="00F1223B">
            <w:pPr>
              <w:jc w:val="center"/>
              <w:rPr>
                <w:rFonts w:ascii="Arial" w:hAnsi="Arial" w:cs="Arial"/>
                <w:b/>
                <w:sz w:val="22"/>
                <w:szCs w:val="22"/>
                <w:lang w:val="es-MX"/>
              </w:rPr>
            </w:pPr>
            <w:r w:rsidRPr="00424338">
              <w:rPr>
                <w:rFonts w:ascii="Arial" w:hAnsi="Arial" w:cs="Arial"/>
                <w:b/>
                <w:sz w:val="22"/>
                <w:szCs w:val="22"/>
                <w:lang w:val="es-MX"/>
              </w:rPr>
              <w:t>RECOMENDACIONES</w:t>
            </w:r>
          </w:p>
          <w:p w14:paraId="0C8433BB" w14:textId="77777777" w:rsidR="00561B22" w:rsidRPr="00424338" w:rsidRDefault="00561B22" w:rsidP="00F1223B">
            <w:pPr>
              <w:jc w:val="center"/>
              <w:rPr>
                <w:rFonts w:ascii="Arial" w:hAnsi="Arial" w:cs="Arial"/>
                <w:b/>
                <w:sz w:val="22"/>
                <w:szCs w:val="22"/>
                <w:lang w:val="es-MX"/>
              </w:rPr>
            </w:pPr>
          </w:p>
        </w:tc>
      </w:tr>
      <w:tr w:rsidR="00561B22" w:rsidRPr="00424338" w14:paraId="086F09AC" w14:textId="77777777" w:rsidTr="00F1223B">
        <w:tc>
          <w:tcPr>
            <w:tcW w:w="562" w:type="dxa"/>
          </w:tcPr>
          <w:p w14:paraId="003DDD65" w14:textId="77777777" w:rsidR="00561B22" w:rsidRPr="00424338" w:rsidRDefault="00561B22" w:rsidP="00F1223B">
            <w:pPr>
              <w:jc w:val="center"/>
              <w:rPr>
                <w:rFonts w:ascii="Arial" w:hAnsi="Arial" w:cs="Arial"/>
                <w:b/>
                <w:sz w:val="22"/>
                <w:szCs w:val="22"/>
                <w:lang w:val="es-MX"/>
              </w:rPr>
            </w:pPr>
            <w:r w:rsidRPr="00424338">
              <w:rPr>
                <w:rFonts w:ascii="Arial" w:hAnsi="Arial" w:cs="Arial"/>
                <w:b/>
                <w:sz w:val="22"/>
                <w:szCs w:val="22"/>
                <w:lang w:val="es-MX"/>
              </w:rPr>
              <w:t>1</w:t>
            </w:r>
          </w:p>
        </w:tc>
        <w:tc>
          <w:tcPr>
            <w:tcW w:w="9400" w:type="dxa"/>
          </w:tcPr>
          <w:p w14:paraId="57AC4F67" w14:textId="768F1A3E" w:rsidR="00561B22" w:rsidRPr="00424338" w:rsidRDefault="00561B22" w:rsidP="0008150C">
            <w:pPr>
              <w:spacing w:line="284" w:lineRule="exact"/>
              <w:jc w:val="both"/>
              <w:rPr>
                <w:rFonts w:ascii="Arial" w:hAnsi="Arial" w:cs="Arial"/>
                <w:sz w:val="22"/>
                <w:szCs w:val="22"/>
                <w:lang w:val="es-MX"/>
              </w:rPr>
            </w:pPr>
            <w:r w:rsidRPr="00424338">
              <w:rPr>
                <w:rFonts w:ascii="Arial" w:hAnsi="Arial" w:cs="Arial"/>
                <w:color w:val="000000"/>
                <w:spacing w:val="2"/>
                <w:sz w:val="22"/>
                <w:szCs w:val="22"/>
                <w:lang w:val="es-CO"/>
              </w:rPr>
              <w:t>Se</w:t>
            </w:r>
            <w:r w:rsidRPr="00424338">
              <w:rPr>
                <w:rFonts w:ascii="Arial" w:hAnsi="Arial" w:cs="Arial"/>
                <w:color w:val="000000"/>
                <w:spacing w:val="-2"/>
                <w:sz w:val="22"/>
                <w:szCs w:val="22"/>
                <w:lang w:val="es-CO"/>
              </w:rPr>
              <w:t xml:space="preserve"> </w:t>
            </w:r>
            <w:r w:rsidRPr="00424338">
              <w:rPr>
                <w:rFonts w:ascii="Arial" w:hAnsi="Arial" w:cs="Arial"/>
                <w:color w:val="000000"/>
                <w:sz w:val="22"/>
                <w:szCs w:val="22"/>
                <w:lang w:val="es-CO"/>
              </w:rPr>
              <w:t>recomienda</w:t>
            </w:r>
            <w:r w:rsidRPr="00424338">
              <w:rPr>
                <w:rFonts w:ascii="Arial" w:hAnsi="Arial" w:cs="Arial"/>
                <w:color w:val="000000"/>
                <w:spacing w:val="2"/>
                <w:sz w:val="22"/>
                <w:szCs w:val="22"/>
                <w:lang w:val="es-CO"/>
              </w:rPr>
              <w:t xml:space="preserve"> </w:t>
            </w:r>
            <w:r w:rsidRPr="00424338">
              <w:rPr>
                <w:rFonts w:ascii="Arial" w:hAnsi="Arial" w:cs="Arial"/>
                <w:color w:val="000000"/>
                <w:sz w:val="22"/>
                <w:szCs w:val="22"/>
                <w:lang w:val="es-CO"/>
              </w:rPr>
              <w:t>continuar</w:t>
            </w:r>
            <w:r w:rsidRPr="00424338">
              <w:rPr>
                <w:rFonts w:ascii="Arial" w:hAnsi="Arial" w:cs="Arial"/>
                <w:color w:val="000000"/>
                <w:spacing w:val="-2"/>
                <w:sz w:val="22"/>
                <w:szCs w:val="22"/>
                <w:lang w:val="es-CO"/>
              </w:rPr>
              <w:t xml:space="preserve"> </w:t>
            </w:r>
            <w:r w:rsidRPr="00424338">
              <w:rPr>
                <w:rFonts w:ascii="Arial" w:hAnsi="Arial" w:cs="Arial"/>
                <w:color w:val="000000"/>
                <w:sz w:val="22"/>
                <w:szCs w:val="22"/>
                <w:lang w:val="es-CO"/>
              </w:rPr>
              <w:t>con</w:t>
            </w:r>
            <w:r w:rsidRPr="00424338">
              <w:rPr>
                <w:rFonts w:ascii="Arial" w:hAnsi="Arial" w:cs="Arial"/>
                <w:color w:val="000000"/>
                <w:spacing w:val="2"/>
                <w:sz w:val="22"/>
                <w:szCs w:val="22"/>
                <w:lang w:val="es-CO"/>
              </w:rPr>
              <w:t xml:space="preserve"> </w:t>
            </w:r>
            <w:r w:rsidRPr="00424338">
              <w:rPr>
                <w:rFonts w:ascii="Arial" w:hAnsi="Arial" w:cs="Arial"/>
                <w:color w:val="000000"/>
                <w:spacing w:val="-1"/>
                <w:sz w:val="22"/>
                <w:szCs w:val="22"/>
                <w:lang w:val="es-CO"/>
              </w:rPr>
              <w:t xml:space="preserve">el </w:t>
            </w:r>
            <w:r w:rsidRPr="00424338">
              <w:rPr>
                <w:rFonts w:ascii="Arial" w:hAnsi="Arial" w:cs="Arial"/>
                <w:color w:val="000000"/>
                <w:sz w:val="22"/>
                <w:szCs w:val="22"/>
                <w:lang w:val="es-CO"/>
              </w:rPr>
              <w:t>fortalecimiento y la</w:t>
            </w:r>
            <w:r w:rsidRPr="00424338">
              <w:rPr>
                <w:rFonts w:ascii="Arial" w:hAnsi="Arial" w:cs="Arial"/>
                <w:color w:val="000000"/>
                <w:spacing w:val="1"/>
                <w:sz w:val="22"/>
                <w:szCs w:val="22"/>
                <w:lang w:val="es-CO"/>
              </w:rPr>
              <w:t xml:space="preserve"> </w:t>
            </w:r>
            <w:r w:rsidRPr="00424338">
              <w:rPr>
                <w:rFonts w:ascii="Arial" w:hAnsi="Arial" w:cs="Arial"/>
                <w:color w:val="000000"/>
                <w:sz w:val="22"/>
                <w:szCs w:val="22"/>
                <w:lang w:val="es-CO"/>
              </w:rPr>
              <w:t xml:space="preserve">implementación </w:t>
            </w:r>
            <w:r w:rsidRPr="00424338">
              <w:rPr>
                <w:rFonts w:ascii="Arial" w:hAnsi="Arial" w:cs="Arial"/>
                <w:color w:val="000000"/>
                <w:spacing w:val="1"/>
                <w:sz w:val="22"/>
                <w:szCs w:val="22"/>
                <w:lang w:val="es-CO"/>
              </w:rPr>
              <w:t>de</w:t>
            </w:r>
            <w:r w:rsidRPr="00424338">
              <w:rPr>
                <w:rFonts w:ascii="Arial" w:hAnsi="Arial" w:cs="Arial"/>
                <w:color w:val="000000"/>
                <w:spacing w:val="-1"/>
                <w:sz w:val="22"/>
                <w:szCs w:val="22"/>
                <w:lang w:val="es-CO"/>
              </w:rPr>
              <w:t xml:space="preserve"> los</w:t>
            </w:r>
            <w:r w:rsidRPr="00424338">
              <w:rPr>
                <w:rFonts w:ascii="Arial" w:hAnsi="Arial" w:cs="Arial"/>
                <w:color w:val="000000"/>
                <w:sz w:val="22"/>
                <w:szCs w:val="22"/>
                <w:lang w:val="es-CO"/>
              </w:rPr>
              <w:t xml:space="preserve"> </w:t>
            </w:r>
            <w:r w:rsidRPr="00424338">
              <w:rPr>
                <w:rFonts w:ascii="Arial" w:hAnsi="Arial" w:cs="Arial"/>
                <w:color w:val="000000"/>
                <w:spacing w:val="-1"/>
                <w:sz w:val="22"/>
                <w:szCs w:val="22"/>
                <w:lang w:val="es-CO"/>
              </w:rPr>
              <w:t>procesos</w:t>
            </w:r>
            <w:r w:rsidRPr="00424338">
              <w:rPr>
                <w:rFonts w:ascii="Arial" w:hAnsi="Arial" w:cs="Arial"/>
                <w:color w:val="000000"/>
                <w:spacing w:val="1"/>
                <w:sz w:val="22"/>
                <w:szCs w:val="22"/>
                <w:lang w:val="es-CO"/>
              </w:rPr>
              <w:t xml:space="preserve"> de</w:t>
            </w:r>
            <w:r w:rsidRPr="00424338">
              <w:rPr>
                <w:rFonts w:ascii="Arial" w:hAnsi="Arial" w:cs="Arial"/>
                <w:color w:val="000000"/>
                <w:spacing w:val="-1"/>
                <w:sz w:val="22"/>
                <w:szCs w:val="22"/>
                <w:lang w:val="es-CO"/>
              </w:rPr>
              <w:t xml:space="preserve"> </w:t>
            </w:r>
            <w:r w:rsidRPr="00424338">
              <w:rPr>
                <w:rFonts w:ascii="Arial" w:hAnsi="Arial" w:cs="Arial"/>
                <w:color w:val="000000"/>
                <w:sz w:val="22"/>
                <w:szCs w:val="22"/>
                <w:lang w:val="es-CO"/>
              </w:rPr>
              <w:t>automatización</w:t>
            </w:r>
            <w:r w:rsidR="0008150C">
              <w:rPr>
                <w:rFonts w:ascii="Arial" w:hAnsi="Arial" w:cs="Arial"/>
                <w:color w:val="000000"/>
                <w:sz w:val="22"/>
                <w:szCs w:val="22"/>
                <w:lang w:val="es-CO"/>
              </w:rPr>
              <w:t xml:space="preserve"> </w:t>
            </w:r>
            <w:r w:rsidRPr="00424338">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26D2CA80" w14:textId="77777777" w:rsidR="00561B22" w:rsidRPr="00424338" w:rsidRDefault="00561B22" w:rsidP="00561B22">
      <w:pPr>
        <w:pStyle w:val="Textoindependiente"/>
        <w:ind w:right="-50"/>
        <w:jc w:val="both"/>
        <w:rPr>
          <w:rFonts w:ascii="Arial" w:hAnsi="Arial" w:cs="Arial"/>
          <w:b/>
          <w:bCs/>
        </w:rPr>
      </w:pPr>
    </w:p>
    <w:p w14:paraId="7FAF611F" w14:textId="77777777" w:rsidR="00561B22" w:rsidRPr="00424338" w:rsidRDefault="00561B22" w:rsidP="00561B22">
      <w:pPr>
        <w:jc w:val="both"/>
        <w:rPr>
          <w:rFonts w:ascii="Arial" w:hAnsi="Arial" w:cs="Arial"/>
          <w:b/>
          <w:bCs/>
          <w:sz w:val="24"/>
          <w:szCs w:val="24"/>
          <w:lang w:val="es-CO"/>
        </w:rPr>
      </w:pPr>
      <w:r w:rsidRPr="00424338">
        <w:rPr>
          <w:rFonts w:ascii="Arial" w:hAnsi="Arial" w:cs="Arial"/>
          <w:b/>
          <w:bCs/>
          <w:sz w:val="24"/>
          <w:szCs w:val="24"/>
          <w:lang w:val="es-CO"/>
        </w:rPr>
        <w:t xml:space="preserve">NOTA: LA ENTIDAD ENVIA LA MATRIZ DE AUTOEVALUACIÓN DEL SISTEMA DE CONTROL INTERNO CONTABLE CON </w:t>
      </w:r>
      <w:r w:rsidRPr="00424338">
        <w:rPr>
          <w:rFonts w:ascii="Arial" w:hAnsi="Arial" w:cs="Arial"/>
          <w:b/>
          <w:bCs/>
          <w:sz w:val="24"/>
          <w:szCs w:val="24"/>
          <w:u w:val="single"/>
          <w:lang w:val="es-CO"/>
        </w:rPr>
        <w:t>ACTIVIDADES DE CONTROL REALIZADAS EN FORMA PARCIAL</w:t>
      </w:r>
      <w:r w:rsidRPr="00424338">
        <w:rPr>
          <w:rFonts w:ascii="Arial" w:hAnsi="Arial" w:cs="Arial"/>
          <w:b/>
          <w:bCs/>
          <w:sz w:val="24"/>
          <w:szCs w:val="24"/>
          <w:lang w:val="es-CO"/>
        </w:rPr>
        <w:t>.</w:t>
      </w:r>
    </w:p>
    <w:p w14:paraId="062DCD30" w14:textId="77777777" w:rsidR="00561B22" w:rsidRPr="00424338" w:rsidRDefault="00561B22" w:rsidP="00561B22">
      <w:pPr>
        <w:pStyle w:val="Textoindependiente"/>
        <w:tabs>
          <w:tab w:val="left" w:pos="2055"/>
        </w:tabs>
        <w:spacing w:before="5"/>
        <w:rPr>
          <w:rFonts w:ascii="Arial" w:hAnsi="Arial" w:cs="Arial"/>
          <w:sz w:val="17"/>
        </w:rPr>
      </w:pPr>
    </w:p>
    <w:p w14:paraId="262565B5" w14:textId="77777777" w:rsidR="00561B22" w:rsidRPr="003640EF" w:rsidRDefault="00561B22" w:rsidP="00561B22">
      <w:pPr>
        <w:jc w:val="both"/>
        <w:rPr>
          <w:rFonts w:ascii="Arial" w:hAnsi="Arial" w:cs="Arial"/>
          <w:b/>
          <w:sz w:val="28"/>
          <w:szCs w:val="28"/>
          <w:lang w:val="es-MX"/>
        </w:rPr>
      </w:pPr>
      <w:r w:rsidRPr="003640EF">
        <w:rPr>
          <w:rFonts w:ascii="Arial" w:hAnsi="Arial" w:cs="Arial"/>
          <w:b/>
          <w:sz w:val="28"/>
          <w:szCs w:val="28"/>
          <w:lang w:val="es-MX"/>
        </w:rPr>
        <w:t>206.- PAR CAPRECOM EICE LIQUIDADO – FIDUPREVISORA S.A.</w:t>
      </w:r>
    </w:p>
    <w:p w14:paraId="03BB9E3C" w14:textId="77777777" w:rsidR="00561B22" w:rsidRPr="005446A8" w:rsidRDefault="00561B22" w:rsidP="00561B22">
      <w:pPr>
        <w:pStyle w:val="Textoindependiente"/>
        <w:tabs>
          <w:tab w:val="left" w:pos="2055"/>
        </w:tabs>
        <w:spacing w:before="5"/>
        <w:rPr>
          <w:rFonts w:ascii="Arial" w:hAnsi="Arial" w:cs="Arial"/>
        </w:rPr>
      </w:pPr>
    </w:p>
    <w:p w14:paraId="4FB2103B" w14:textId="77777777" w:rsidR="00561B22" w:rsidRPr="005446A8" w:rsidRDefault="00561B22" w:rsidP="00561B22">
      <w:pPr>
        <w:pStyle w:val="Textoindependiente"/>
        <w:ind w:right="-50"/>
        <w:jc w:val="center"/>
        <w:rPr>
          <w:rFonts w:ascii="Arial" w:hAnsi="Arial" w:cs="Arial"/>
          <w:b/>
          <w:bCs/>
        </w:rPr>
      </w:pPr>
      <w:r w:rsidRPr="005446A8">
        <w:rPr>
          <w:rFonts w:ascii="Arial" w:hAnsi="Arial" w:cs="Arial"/>
          <w:b/>
          <w:bCs/>
        </w:rPr>
        <w:t>INFORME DE LA AUTOCALIFICACIÓN DEL SISTEMA DE CONTROL INTERNO CONTABLE:</w:t>
      </w:r>
    </w:p>
    <w:p w14:paraId="7D257641" w14:textId="77777777" w:rsidR="00561B22" w:rsidRPr="005446A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446A8" w14:paraId="04CA4409" w14:textId="77777777" w:rsidTr="00F1223B">
        <w:tc>
          <w:tcPr>
            <w:tcW w:w="4981" w:type="dxa"/>
          </w:tcPr>
          <w:p w14:paraId="21369F1D" w14:textId="77777777" w:rsidR="00561B22" w:rsidRPr="005446A8" w:rsidRDefault="00561B22" w:rsidP="00F1223B">
            <w:pPr>
              <w:jc w:val="center"/>
              <w:rPr>
                <w:rFonts w:ascii="Arial" w:hAnsi="Arial" w:cs="Arial"/>
                <w:b/>
                <w:sz w:val="22"/>
                <w:szCs w:val="22"/>
                <w:lang w:val="es-MX"/>
              </w:rPr>
            </w:pPr>
            <w:r w:rsidRPr="005446A8">
              <w:rPr>
                <w:rFonts w:ascii="Arial" w:hAnsi="Arial" w:cs="Arial"/>
                <w:b/>
                <w:sz w:val="22"/>
                <w:szCs w:val="22"/>
                <w:lang w:val="es-MX"/>
              </w:rPr>
              <w:t>AUTOCALIFICACIÓN</w:t>
            </w:r>
          </w:p>
        </w:tc>
        <w:tc>
          <w:tcPr>
            <w:tcW w:w="4981" w:type="dxa"/>
          </w:tcPr>
          <w:p w14:paraId="4782ECFB" w14:textId="77777777" w:rsidR="00561B22" w:rsidRPr="005446A8" w:rsidRDefault="00561B22" w:rsidP="00F1223B">
            <w:pPr>
              <w:jc w:val="center"/>
              <w:rPr>
                <w:rFonts w:ascii="Arial" w:hAnsi="Arial" w:cs="Arial"/>
                <w:b/>
                <w:sz w:val="22"/>
                <w:szCs w:val="22"/>
                <w:u w:val="single"/>
                <w:lang w:val="es-MX"/>
              </w:rPr>
            </w:pPr>
            <w:r w:rsidRPr="005446A8">
              <w:rPr>
                <w:rFonts w:ascii="Arial" w:hAnsi="Arial" w:cs="Arial"/>
                <w:b/>
                <w:sz w:val="22"/>
                <w:szCs w:val="22"/>
                <w:u w:val="single"/>
                <w:lang w:val="es-MX"/>
              </w:rPr>
              <w:t>4.95</w:t>
            </w:r>
          </w:p>
        </w:tc>
      </w:tr>
    </w:tbl>
    <w:p w14:paraId="5EA0C17E" w14:textId="77777777" w:rsidR="00561B22" w:rsidRPr="005446A8" w:rsidRDefault="00561B22" w:rsidP="00561B22">
      <w:pPr>
        <w:pStyle w:val="Textoindependiente"/>
        <w:ind w:right="-50"/>
        <w:jc w:val="both"/>
        <w:rPr>
          <w:rFonts w:ascii="Arial" w:hAnsi="Arial" w:cs="Arial"/>
          <w:b/>
          <w:bCs/>
        </w:rPr>
      </w:pPr>
    </w:p>
    <w:p w14:paraId="582BEFC4" w14:textId="77777777" w:rsidR="00561B22" w:rsidRPr="005446A8" w:rsidRDefault="00561B22" w:rsidP="00561B22">
      <w:pPr>
        <w:pStyle w:val="Textoindependiente"/>
        <w:ind w:right="-50"/>
        <w:jc w:val="both"/>
        <w:rPr>
          <w:rFonts w:ascii="Arial" w:hAnsi="Arial" w:cs="Arial"/>
          <w:b/>
          <w:bCs/>
        </w:rPr>
      </w:pPr>
      <w:r w:rsidRPr="005446A8">
        <w:rPr>
          <w:rFonts w:ascii="Arial" w:hAnsi="Arial" w:cs="Arial"/>
          <w:b/>
          <w:bCs/>
        </w:rPr>
        <w:t>Del informe enviado retomamos lo siguiente:</w:t>
      </w:r>
    </w:p>
    <w:p w14:paraId="289A08BF" w14:textId="77777777" w:rsidR="00561B22" w:rsidRPr="005446A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446A8" w14:paraId="2C2B8C72" w14:textId="77777777" w:rsidTr="00F1223B">
        <w:tc>
          <w:tcPr>
            <w:tcW w:w="562" w:type="dxa"/>
          </w:tcPr>
          <w:p w14:paraId="384E595C" w14:textId="77777777" w:rsidR="00561B22" w:rsidRPr="005446A8" w:rsidRDefault="00561B22" w:rsidP="00F1223B">
            <w:pPr>
              <w:ind w:right="-109"/>
              <w:jc w:val="center"/>
              <w:rPr>
                <w:rFonts w:ascii="Arial" w:hAnsi="Arial" w:cs="Arial"/>
                <w:b/>
                <w:sz w:val="22"/>
                <w:szCs w:val="22"/>
                <w:lang w:val="es-MX"/>
              </w:rPr>
            </w:pPr>
            <w:r w:rsidRPr="005446A8">
              <w:rPr>
                <w:rFonts w:ascii="Arial" w:hAnsi="Arial" w:cs="Arial"/>
                <w:b/>
                <w:sz w:val="22"/>
                <w:szCs w:val="22"/>
                <w:lang w:val="es-MX"/>
              </w:rPr>
              <w:t>N°</w:t>
            </w:r>
          </w:p>
        </w:tc>
        <w:tc>
          <w:tcPr>
            <w:tcW w:w="9400" w:type="dxa"/>
          </w:tcPr>
          <w:p w14:paraId="5A8B46E4" w14:textId="70714272" w:rsidR="00561B22" w:rsidRPr="005446A8" w:rsidRDefault="00561B22" w:rsidP="00423C1C">
            <w:pPr>
              <w:jc w:val="center"/>
              <w:rPr>
                <w:rFonts w:ascii="Arial" w:hAnsi="Arial" w:cs="Arial"/>
                <w:b/>
                <w:sz w:val="22"/>
                <w:szCs w:val="22"/>
                <w:lang w:val="es-MX"/>
              </w:rPr>
            </w:pPr>
            <w:r w:rsidRPr="005446A8">
              <w:rPr>
                <w:rFonts w:ascii="Arial" w:hAnsi="Arial" w:cs="Arial"/>
                <w:b/>
                <w:sz w:val="22"/>
                <w:szCs w:val="22"/>
                <w:lang w:val="es-MX"/>
              </w:rPr>
              <w:t>DEBILIDADES</w:t>
            </w:r>
          </w:p>
        </w:tc>
      </w:tr>
      <w:tr w:rsidR="00561B22" w:rsidRPr="005446A8" w14:paraId="1A18D6B2" w14:textId="77777777" w:rsidTr="00F1223B">
        <w:tc>
          <w:tcPr>
            <w:tcW w:w="562" w:type="dxa"/>
          </w:tcPr>
          <w:p w14:paraId="1DB7AF4F" w14:textId="77777777" w:rsidR="00561B22" w:rsidRPr="005446A8" w:rsidRDefault="00561B22" w:rsidP="00F1223B">
            <w:pPr>
              <w:jc w:val="center"/>
              <w:rPr>
                <w:rFonts w:ascii="Arial" w:hAnsi="Arial" w:cs="Arial"/>
                <w:b/>
                <w:sz w:val="22"/>
                <w:szCs w:val="22"/>
                <w:lang w:val="es-MX"/>
              </w:rPr>
            </w:pPr>
            <w:r w:rsidRPr="005446A8">
              <w:rPr>
                <w:rFonts w:ascii="Arial" w:hAnsi="Arial" w:cs="Arial"/>
                <w:b/>
                <w:sz w:val="22"/>
                <w:szCs w:val="22"/>
                <w:lang w:val="es-MX"/>
              </w:rPr>
              <w:lastRenderedPageBreak/>
              <w:t>1</w:t>
            </w:r>
          </w:p>
        </w:tc>
        <w:tc>
          <w:tcPr>
            <w:tcW w:w="9400" w:type="dxa"/>
          </w:tcPr>
          <w:p w14:paraId="2ACD1E86" w14:textId="77777777" w:rsidR="00561B22" w:rsidRPr="005446A8" w:rsidRDefault="00561B22" w:rsidP="00F1223B">
            <w:pPr>
              <w:rPr>
                <w:rFonts w:ascii="Arial" w:hAnsi="Arial" w:cs="Arial"/>
                <w:sz w:val="22"/>
                <w:szCs w:val="22"/>
                <w:lang w:val="es-MX"/>
              </w:rPr>
            </w:pPr>
            <w:r w:rsidRPr="005446A8">
              <w:rPr>
                <w:rFonts w:ascii="Arial" w:hAnsi="Arial" w:cs="Arial"/>
                <w:sz w:val="22"/>
                <w:szCs w:val="22"/>
                <w:lang w:val="es-MX"/>
              </w:rPr>
              <w:t>Se identificaron debilidades en los consecutivos de los comprobantes contables.</w:t>
            </w:r>
          </w:p>
        </w:tc>
      </w:tr>
    </w:tbl>
    <w:p w14:paraId="45F1203D" w14:textId="77777777" w:rsidR="00561B22" w:rsidRPr="005446A8" w:rsidRDefault="00561B22" w:rsidP="00561B22">
      <w:pPr>
        <w:pStyle w:val="Textoindependiente"/>
        <w:ind w:right="-50"/>
        <w:jc w:val="both"/>
        <w:rPr>
          <w:rFonts w:ascii="Arial" w:hAnsi="Arial" w:cs="Arial"/>
          <w:b/>
          <w:bCs/>
        </w:rPr>
      </w:pPr>
    </w:p>
    <w:p w14:paraId="4E6E9921" w14:textId="77777777" w:rsidR="00561B22" w:rsidRPr="005446A8" w:rsidRDefault="00561B22" w:rsidP="00561B22">
      <w:pPr>
        <w:jc w:val="both"/>
        <w:rPr>
          <w:rFonts w:ascii="Arial" w:hAnsi="Arial" w:cs="Arial"/>
          <w:b/>
          <w:lang w:val="es-MX"/>
        </w:rPr>
      </w:pPr>
      <w:r w:rsidRPr="005446A8">
        <w:rPr>
          <w:rFonts w:ascii="Arial" w:hAnsi="Arial" w:cs="Arial"/>
          <w:b/>
          <w:lang w:val="es-MX"/>
        </w:rPr>
        <w:t>Del citado informe retomamos las siguientes recomendaciones:</w:t>
      </w:r>
    </w:p>
    <w:p w14:paraId="03F56015" w14:textId="77777777" w:rsidR="00561B22" w:rsidRPr="005446A8"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5446A8" w14:paraId="37D81DF5" w14:textId="77777777" w:rsidTr="00F1223B">
        <w:tc>
          <w:tcPr>
            <w:tcW w:w="562" w:type="dxa"/>
          </w:tcPr>
          <w:p w14:paraId="7773B7FA" w14:textId="77777777" w:rsidR="00561B22" w:rsidRPr="005446A8" w:rsidRDefault="00561B22" w:rsidP="00F1223B">
            <w:pPr>
              <w:ind w:right="-109"/>
              <w:jc w:val="center"/>
              <w:rPr>
                <w:rFonts w:ascii="Arial" w:hAnsi="Arial" w:cs="Arial"/>
                <w:b/>
                <w:sz w:val="22"/>
                <w:szCs w:val="22"/>
                <w:lang w:val="es-MX"/>
              </w:rPr>
            </w:pPr>
            <w:r w:rsidRPr="005446A8">
              <w:rPr>
                <w:rFonts w:ascii="Arial" w:hAnsi="Arial" w:cs="Arial"/>
                <w:b/>
                <w:sz w:val="22"/>
                <w:szCs w:val="22"/>
                <w:lang w:val="es-MX"/>
              </w:rPr>
              <w:t>N°</w:t>
            </w:r>
          </w:p>
        </w:tc>
        <w:tc>
          <w:tcPr>
            <w:tcW w:w="9400" w:type="dxa"/>
          </w:tcPr>
          <w:p w14:paraId="2D65F46C" w14:textId="77777777" w:rsidR="00561B22" w:rsidRPr="005446A8" w:rsidRDefault="00561B22" w:rsidP="00F1223B">
            <w:pPr>
              <w:jc w:val="center"/>
              <w:rPr>
                <w:rFonts w:ascii="Arial" w:hAnsi="Arial" w:cs="Arial"/>
                <w:b/>
                <w:sz w:val="22"/>
                <w:szCs w:val="22"/>
                <w:lang w:val="es-MX"/>
              </w:rPr>
            </w:pPr>
            <w:r w:rsidRPr="005446A8">
              <w:rPr>
                <w:rFonts w:ascii="Arial" w:hAnsi="Arial" w:cs="Arial"/>
                <w:b/>
                <w:sz w:val="22"/>
                <w:szCs w:val="22"/>
                <w:lang w:val="es-MX"/>
              </w:rPr>
              <w:t>RECOMENDACIONES</w:t>
            </w:r>
          </w:p>
          <w:p w14:paraId="3B5E9DCA" w14:textId="77777777" w:rsidR="00561B22" w:rsidRPr="005446A8" w:rsidRDefault="00561B22" w:rsidP="00F1223B">
            <w:pPr>
              <w:jc w:val="center"/>
              <w:rPr>
                <w:rFonts w:ascii="Arial" w:hAnsi="Arial" w:cs="Arial"/>
                <w:b/>
                <w:sz w:val="22"/>
                <w:szCs w:val="22"/>
                <w:lang w:val="es-MX"/>
              </w:rPr>
            </w:pPr>
          </w:p>
        </w:tc>
      </w:tr>
      <w:tr w:rsidR="00561B22" w:rsidRPr="005446A8" w14:paraId="5BF6A0EF" w14:textId="77777777" w:rsidTr="00F1223B">
        <w:tc>
          <w:tcPr>
            <w:tcW w:w="562" w:type="dxa"/>
          </w:tcPr>
          <w:p w14:paraId="79021618" w14:textId="77777777" w:rsidR="00561B22" w:rsidRPr="005446A8" w:rsidRDefault="00561B22" w:rsidP="00F1223B">
            <w:pPr>
              <w:jc w:val="center"/>
              <w:rPr>
                <w:rFonts w:ascii="Arial" w:hAnsi="Arial" w:cs="Arial"/>
                <w:b/>
                <w:sz w:val="22"/>
                <w:szCs w:val="22"/>
                <w:lang w:val="es-MX"/>
              </w:rPr>
            </w:pPr>
            <w:r w:rsidRPr="005446A8">
              <w:rPr>
                <w:rFonts w:ascii="Arial" w:hAnsi="Arial" w:cs="Arial"/>
                <w:b/>
                <w:sz w:val="22"/>
                <w:szCs w:val="22"/>
                <w:lang w:val="es-MX"/>
              </w:rPr>
              <w:t>1</w:t>
            </w:r>
          </w:p>
        </w:tc>
        <w:tc>
          <w:tcPr>
            <w:tcW w:w="9400" w:type="dxa"/>
          </w:tcPr>
          <w:p w14:paraId="60168B9B" w14:textId="77777777" w:rsidR="00561B22" w:rsidRPr="005446A8" w:rsidRDefault="00561B22" w:rsidP="00F1223B">
            <w:pPr>
              <w:jc w:val="both"/>
              <w:rPr>
                <w:rFonts w:ascii="Arial" w:hAnsi="Arial" w:cs="Arial"/>
                <w:sz w:val="22"/>
                <w:szCs w:val="22"/>
                <w:lang w:val="es-MX"/>
              </w:rPr>
            </w:pPr>
            <w:r w:rsidRPr="005446A8">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 La automatización puede brindar mayor precisión, eficiencia y consistencia en las operaciones contables, agilizando significativamente el tiempo de procesamiento de datos y reduciendo la posibilidad de errores.</w:t>
            </w:r>
          </w:p>
        </w:tc>
      </w:tr>
    </w:tbl>
    <w:p w14:paraId="1F88D2AF" w14:textId="77777777" w:rsidR="00561B22" w:rsidRPr="005446A8" w:rsidRDefault="00561B22" w:rsidP="00561B22">
      <w:pPr>
        <w:pStyle w:val="Textoindependiente"/>
        <w:ind w:right="-50"/>
        <w:jc w:val="both"/>
        <w:rPr>
          <w:rFonts w:ascii="Arial" w:hAnsi="Arial" w:cs="Arial"/>
          <w:b/>
          <w:bCs/>
        </w:rPr>
      </w:pPr>
    </w:p>
    <w:p w14:paraId="5F073F97" w14:textId="77777777" w:rsidR="00561B22" w:rsidRPr="005446A8" w:rsidRDefault="00561B22" w:rsidP="00561B22">
      <w:pPr>
        <w:jc w:val="both"/>
        <w:rPr>
          <w:rFonts w:ascii="Arial" w:hAnsi="Arial" w:cs="Arial"/>
          <w:b/>
          <w:color w:val="FF0000"/>
          <w:sz w:val="24"/>
        </w:rPr>
      </w:pPr>
      <w:r w:rsidRPr="005446A8">
        <w:rPr>
          <w:rFonts w:ascii="Arial" w:hAnsi="Arial" w:cs="Arial"/>
          <w:b/>
          <w:bCs/>
          <w:sz w:val="24"/>
          <w:szCs w:val="24"/>
          <w:lang w:val="es-CO"/>
        </w:rPr>
        <w:t xml:space="preserve">NOTA: LA ENTIDAD ENVIA LA MATRIZ DE AUTOEVALUACIÓN DEL SISTEMA DE CONTROL INTERNO CONTABLE CON </w:t>
      </w:r>
      <w:r w:rsidRPr="005446A8">
        <w:rPr>
          <w:rFonts w:ascii="Arial" w:hAnsi="Arial" w:cs="Arial"/>
          <w:b/>
          <w:bCs/>
          <w:sz w:val="24"/>
          <w:szCs w:val="24"/>
          <w:u w:val="single"/>
          <w:lang w:val="es-CO"/>
        </w:rPr>
        <w:t>ACTIVIDADES DE CONTROL REALIZADAS EN FORMA PARCIAL</w:t>
      </w:r>
      <w:r w:rsidRPr="005446A8">
        <w:rPr>
          <w:rFonts w:ascii="Arial" w:hAnsi="Arial" w:cs="Arial"/>
          <w:b/>
          <w:bCs/>
          <w:sz w:val="24"/>
          <w:szCs w:val="24"/>
          <w:lang w:val="es-CO"/>
        </w:rPr>
        <w:t>.</w:t>
      </w:r>
    </w:p>
    <w:p w14:paraId="341F70A7" w14:textId="77777777" w:rsidR="00561B22" w:rsidRDefault="00561B22" w:rsidP="00561B22">
      <w:pPr>
        <w:jc w:val="both"/>
        <w:rPr>
          <w:rFonts w:ascii="Arial" w:hAnsi="Arial" w:cs="Arial"/>
          <w:b/>
          <w:bCs/>
          <w:sz w:val="24"/>
          <w:szCs w:val="24"/>
        </w:rPr>
      </w:pPr>
    </w:p>
    <w:p w14:paraId="3531869E" w14:textId="77777777" w:rsidR="00561B22" w:rsidRPr="00E05E38" w:rsidRDefault="00561B22" w:rsidP="00561B22">
      <w:pPr>
        <w:ind w:right="49"/>
        <w:jc w:val="both"/>
        <w:rPr>
          <w:rFonts w:ascii="Arial" w:hAnsi="Arial" w:cs="Arial"/>
          <w:b/>
          <w:sz w:val="28"/>
          <w:szCs w:val="28"/>
          <w:lang w:val="es-MX"/>
        </w:rPr>
      </w:pPr>
      <w:r w:rsidRPr="00E05E38">
        <w:rPr>
          <w:rFonts w:ascii="Arial" w:hAnsi="Arial" w:cs="Arial"/>
          <w:b/>
          <w:sz w:val="28"/>
          <w:szCs w:val="28"/>
          <w:lang w:val="es-MX"/>
        </w:rPr>
        <w:t>207.- PATRIMONIO AUTÓNOMO DE REMANENTES CAJA AGRARIA – FIDUPREVISORA S.A.</w:t>
      </w:r>
    </w:p>
    <w:p w14:paraId="48062DF8" w14:textId="77777777" w:rsidR="00561B22" w:rsidRDefault="00561B22" w:rsidP="00561B22">
      <w:pPr>
        <w:jc w:val="both"/>
        <w:rPr>
          <w:rFonts w:ascii="Arial" w:hAnsi="Arial" w:cs="Arial"/>
          <w:b/>
          <w:bCs/>
          <w:sz w:val="24"/>
          <w:szCs w:val="24"/>
        </w:rPr>
      </w:pPr>
    </w:p>
    <w:p w14:paraId="301E6361" w14:textId="77777777" w:rsidR="00561B22" w:rsidRPr="0045304B" w:rsidRDefault="00561B22" w:rsidP="00561B22">
      <w:pPr>
        <w:pStyle w:val="Textoindependiente"/>
        <w:ind w:right="-50"/>
        <w:jc w:val="center"/>
        <w:rPr>
          <w:rFonts w:ascii="Arial" w:hAnsi="Arial" w:cs="Arial"/>
          <w:b/>
          <w:bCs/>
        </w:rPr>
      </w:pPr>
      <w:r w:rsidRPr="0045304B">
        <w:rPr>
          <w:rFonts w:ascii="Arial" w:hAnsi="Arial" w:cs="Arial"/>
          <w:b/>
          <w:bCs/>
        </w:rPr>
        <w:t>INFORME DE LA AUTOCALIFICACIÓN DEL SISTEMA DE CONTROL INTERNO CONTABLE:</w:t>
      </w:r>
    </w:p>
    <w:p w14:paraId="18D74360" w14:textId="77777777" w:rsidR="00561B22" w:rsidRPr="0045304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5304B" w14:paraId="57EAB08D" w14:textId="77777777" w:rsidTr="00F1223B">
        <w:tc>
          <w:tcPr>
            <w:tcW w:w="4981" w:type="dxa"/>
          </w:tcPr>
          <w:p w14:paraId="15408A20" w14:textId="77777777" w:rsidR="00561B22" w:rsidRPr="0045304B" w:rsidRDefault="00561B22" w:rsidP="00F1223B">
            <w:pPr>
              <w:jc w:val="center"/>
              <w:rPr>
                <w:rFonts w:ascii="Arial" w:hAnsi="Arial" w:cs="Arial"/>
                <w:b/>
                <w:sz w:val="22"/>
                <w:szCs w:val="22"/>
                <w:lang w:val="es-MX"/>
              </w:rPr>
            </w:pPr>
            <w:r w:rsidRPr="0045304B">
              <w:rPr>
                <w:rFonts w:ascii="Arial" w:hAnsi="Arial" w:cs="Arial"/>
                <w:b/>
                <w:sz w:val="22"/>
                <w:szCs w:val="22"/>
                <w:lang w:val="es-MX"/>
              </w:rPr>
              <w:t>AUTOCALIFICACIÓN</w:t>
            </w:r>
          </w:p>
        </w:tc>
        <w:tc>
          <w:tcPr>
            <w:tcW w:w="4981" w:type="dxa"/>
          </w:tcPr>
          <w:p w14:paraId="67FFB5B4" w14:textId="77777777" w:rsidR="00561B22" w:rsidRPr="0045304B" w:rsidRDefault="00561B22" w:rsidP="00F1223B">
            <w:pPr>
              <w:jc w:val="center"/>
              <w:rPr>
                <w:rFonts w:ascii="Arial" w:hAnsi="Arial" w:cs="Arial"/>
                <w:b/>
                <w:sz w:val="22"/>
                <w:szCs w:val="22"/>
                <w:u w:val="single"/>
                <w:lang w:val="es-MX"/>
              </w:rPr>
            </w:pPr>
            <w:r w:rsidRPr="0045304B">
              <w:rPr>
                <w:rFonts w:ascii="Arial" w:hAnsi="Arial" w:cs="Arial"/>
                <w:b/>
                <w:sz w:val="22"/>
                <w:szCs w:val="22"/>
                <w:u w:val="single"/>
                <w:lang w:val="es-MX"/>
              </w:rPr>
              <w:t>4.95</w:t>
            </w:r>
          </w:p>
        </w:tc>
      </w:tr>
    </w:tbl>
    <w:p w14:paraId="6183FC38" w14:textId="77777777" w:rsidR="00561B22" w:rsidRPr="0045304B" w:rsidRDefault="00561B22" w:rsidP="00561B22">
      <w:pPr>
        <w:pStyle w:val="Textoindependiente"/>
        <w:ind w:right="-50"/>
        <w:jc w:val="both"/>
        <w:rPr>
          <w:rFonts w:ascii="Arial" w:hAnsi="Arial" w:cs="Arial"/>
          <w:b/>
          <w:bCs/>
        </w:rPr>
      </w:pPr>
    </w:p>
    <w:p w14:paraId="1F6FD8DF" w14:textId="77777777" w:rsidR="00561B22" w:rsidRPr="0045304B" w:rsidRDefault="00561B22" w:rsidP="00561B22">
      <w:pPr>
        <w:pStyle w:val="Textoindependiente"/>
        <w:ind w:right="-50"/>
        <w:jc w:val="both"/>
        <w:rPr>
          <w:rFonts w:ascii="Arial" w:hAnsi="Arial" w:cs="Arial"/>
          <w:b/>
          <w:bCs/>
        </w:rPr>
      </w:pPr>
      <w:r w:rsidRPr="0045304B">
        <w:rPr>
          <w:rFonts w:ascii="Arial" w:hAnsi="Arial" w:cs="Arial"/>
          <w:b/>
          <w:bCs/>
        </w:rPr>
        <w:t>Del informe enviado retomamos lo siguiente:</w:t>
      </w:r>
    </w:p>
    <w:p w14:paraId="20DFA567" w14:textId="77777777" w:rsidR="00561B22" w:rsidRPr="0045304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5304B" w14:paraId="5991E02D" w14:textId="77777777" w:rsidTr="00F1223B">
        <w:tc>
          <w:tcPr>
            <w:tcW w:w="562" w:type="dxa"/>
          </w:tcPr>
          <w:p w14:paraId="3ED91159" w14:textId="77777777" w:rsidR="00561B22" w:rsidRPr="0045304B" w:rsidRDefault="00561B22" w:rsidP="00F1223B">
            <w:pPr>
              <w:ind w:right="-109"/>
              <w:jc w:val="center"/>
              <w:rPr>
                <w:rFonts w:ascii="Arial" w:hAnsi="Arial" w:cs="Arial"/>
                <w:b/>
                <w:sz w:val="22"/>
                <w:szCs w:val="22"/>
                <w:lang w:val="es-MX"/>
              </w:rPr>
            </w:pPr>
            <w:r w:rsidRPr="0045304B">
              <w:rPr>
                <w:rFonts w:ascii="Arial" w:hAnsi="Arial" w:cs="Arial"/>
                <w:b/>
                <w:sz w:val="22"/>
                <w:szCs w:val="22"/>
                <w:lang w:val="es-MX"/>
              </w:rPr>
              <w:t>N°</w:t>
            </w:r>
          </w:p>
        </w:tc>
        <w:tc>
          <w:tcPr>
            <w:tcW w:w="9400" w:type="dxa"/>
          </w:tcPr>
          <w:p w14:paraId="287B4E43" w14:textId="77777777" w:rsidR="00561B22" w:rsidRPr="0045304B" w:rsidRDefault="00561B22" w:rsidP="00F1223B">
            <w:pPr>
              <w:jc w:val="center"/>
              <w:rPr>
                <w:rFonts w:ascii="Arial" w:hAnsi="Arial" w:cs="Arial"/>
                <w:b/>
                <w:sz w:val="22"/>
                <w:szCs w:val="22"/>
                <w:lang w:val="es-MX"/>
              </w:rPr>
            </w:pPr>
            <w:r w:rsidRPr="0045304B">
              <w:rPr>
                <w:rFonts w:ascii="Arial" w:hAnsi="Arial" w:cs="Arial"/>
                <w:b/>
                <w:sz w:val="22"/>
                <w:szCs w:val="22"/>
                <w:lang w:val="es-MX"/>
              </w:rPr>
              <w:t>DEBILIDADES</w:t>
            </w:r>
          </w:p>
          <w:p w14:paraId="1D762C65" w14:textId="77777777" w:rsidR="00561B22" w:rsidRPr="0045304B" w:rsidRDefault="00561B22" w:rsidP="00F1223B">
            <w:pPr>
              <w:jc w:val="center"/>
              <w:rPr>
                <w:rFonts w:ascii="Arial" w:hAnsi="Arial" w:cs="Arial"/>
                <w:b/>
                <w:sz w:val="22"/>
                <w:szCs w:val="22"/>
                <w:lang w:val="es-MX"/>
              </w:rPr>
            </w:pPr>
          </w:p>
        </w:tc>
      </w:tr>
      <w:tr w:rsidR="00561B22" w:rsidRPr="0045304B" w14:paraId="2867845C" w14:textId="77777777" w:rsidTr="00F1223B">
        <w:tc>
          <w:tcPr>
            <w:tcW w:w="562" w:type="dxa"/>
          </w:tcPr>
          <w:p w14:paraId="4C52151C" w14:textId="77777777" w:rsidR="00561B22" w:rsidRPr="0045304B" w:rsidRDefault="00561B22" w:rsidP="00F1223B">
            <w:pPr>
              <w:jc w:val="center"/>
              <w:rPr>
                <w:rFonts w:ascii="Arial" w:hAnsi="Arial" w:cs="Arial"/>
                <w:b/>
                <w:sz w:val="22"/>
                <w:szCs w:val="22"/>
                <w:lang w:val="es-MX"/>
              </w:rPr>
            </w:pPr>
            <w:r w:rsidRPr="0045304B">
              <w:rPr>
                <w:rFonts w:ascii="Arial" w:hAnsi="Arial" w:cs="Arial"/>
                <w:b/>
                <w:sz w:val="22"/>
                <w:szCs w:val="22"/>
                <w:lang w:val="es-MX"/>
              </w:rPr>
              <w:t>1</w:t>
            </w:r>
          </w:p>
        </w:tc>
        <w:tc>
          <w:tcPr>
            <w:tcW w:w="9400" w:type="dxa"/>
          </w:tcPr>
          <w:p w14:paraId="0400A932" w14:textId="77777777" w:rsidR="00561B22" w:rsidRPr="0045304B" w:rsidRDefault="00561B22" w:rsidP="00F1223B">
            <w:pPr>
              <w:rPr>
                <w:rFonts w:ascii="Arial" w:hAnsi="Arial" w:cs="Arial"/>
                <w:sz w:val="22"/>
                <w:szCs w:val="22"/>
                <w:lang w:val="es-MX"/>
              </w:rPr>
            </w:pPr>
            <w:r w:rsidRPr="0045304B">
              <w:rPr>
                <w:rFonts w:ascii="Arial" w:hAnsi="Arial" w:cs="Arial"/>
                <w:sz w:val="22"/>
                <w:szCs w:val="22"/>
                <w:lang w:val="es-MX"/>
              </w:rPr>
              <w:t>Se identiﬁcaron debilidades en los consecutivos de los comprobantes contables.</w:t>
            </w:r>
          </w:p>
        </w:tc>
      </w:tr>
    </w:tbl>
    <w:p w14:paraId="264D82CF" w14:textId="77777777" w:rsidR="00561B22" w:rsidRPr="0045304B" w:rsidRDefault="00561B22" w:rsidP="00561B22">
      <w:pPr>
        <w:pStyle w:val="Textoindependiente"/>
        <w:ind w:right="-50"/>
        <w:jc w:val="both"/>
        <w:rPr>
          <w:rFonts w:ascii="Arial" w:hAnsi="Arial" w:cs="Arial"/>
          <w:b/>
          <w:bCs/>
        </w:rPr>
      </w:pPr>
    </w:p>
    <w:p w14:paraId="069FFA52" w14:textId="77777777" w:rsidR="00561B22" w:rsidRPr="0045304B" w:rsidRDefault="00561B22" w:rsidP="00561B22">
      <w:pPr>
        <w:jc w:val="both"/>
        <w:rPr>
          <w:rFonts w:ascii="Arial" w:hAnsi="Arial" w:cs="Arial"/>
          <w:b/>
          <w:lang w:val="es-MX"/>
        </w:rPr>
      </w:pPr>
      <w:r w:rsidRPr="0045304B">
        <w:rPr>
          <w:rFonts w:ascii="Arial" w:hAnsi="Arial" w:cs="Arial"/>
          <w:b/>
          <w:lang w:val="es-MX"/>
        </w:rPr>
        <w:t>Del citado informe retomamos las siguientes recomendaciones:</w:t>
      </w:r>
    </w:p>
    <w:p w14:paraId="4252DB54" w14:textId="77777777" w:rsidR="00561B22" w:rsidRPr="0045304B"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5304B" w14:paraId="2D01135D" w14:textId="77777777" w:rsidTr="00F1223B">
        <w:tc>
          <w:tcPr>
            <w:tcW w:w="562" w:type="dxa"/>
          </w:tcPr>
          <w:p w14:paraId="7FB5008D" w14:textId="77777777" w:rsidR="00561B22" w:rsidRPr="0045304B" w:rsidRDefault="00561B22" w:rsidP="00F1223B">
            <w:pPr>
              <w:ind w:right="-109"/>
              <w:jc w:val="center"/>
              <w:rPr>
                <w:rFonts w:ascii="Arial" w:hAnsi="Arial" w:cs="Arial"/>
                <w:b/>
                <w:sz w:val="22"/>
                <w:szCs w:val="22"/>
                <w:lang w:val="es-MX"/>
              </w:rPr>
            </w:pPr>
            <w:r w:rsidRPr="0045304B">
              <w:rPr>
                <w:rFonts w:ascii="Arial" w:hAnsi="Arial" w:cs="Arial"/>
                <w:b/>
                <w:sz w:val="22"/>
                <w:szCs w:val="22"/>
                <w:lang w:val="es-MX"/>
              </w:rPr>
              <w:t>N°</w:t>
            </w:r>
          </w:p>
        </w:tc>
        <w:tc>
          <w:tcPr>
            <w:tcW w:w="9400" w:type="dxa"/>
          </w:tcPr>
          <w:p w14:paraId="5DE315A9" w14:textId="77777777" w:rsidR="00561B22" w:rsidRPr="0045304B" w:rsidRDefault="00561B22" w:rsidP="00F1223B">
            <w:pPr>
              <w:jc w:val="center"/>
              <w:rPr>
                <w:rFonts w:ascii="Arial" w:hAnsi="Arial" w:cs="Arial"/>
                <w:b/>
                <w:sz w:val="22"/>
                <w:szCs w:val="22"/>
                <w:lang w:val="es-MX"/>
              </w:rPr>
            </w:pPr>
            <w:r w:rsidRPr="0045304B">
              <w:rPr>
                <w:rFonts w:ascii="Arial" w:hAnsi="Arial" w:cs="Arial"/>
                <w:b/>
                <w:sz w:val="22"/>
                <w:szCs w:val="22"/>
                <w:lang w:val="es-MX"/>
              </w:rPr>
              <w:t>RECOMENDACIONES</w:t>
            </w:r>
          </w:p>
          <w:p w14:paraId="6BC2D8B9" w14:textId="77777777" w:rsidR="00561B22" w:rsidRPr="0045304B" w:rsidRDefault="00561B22" w:rsidP="00F1223B">
            <w:pPr>
              <w:jc w:val="center"/>
              <w:rPr>
                <w:rFonts w:ascii="Arial" w:hAnsi="Arial" w:cs="Arial"/>
                <w:b/>
                <w:sz w:val="22"/>
                <w:szCs w:val="22"/>
                <w:lang w:val="es-MX"/>
              </w:rPr>
            </w:pPr>
          </w:p>
        </w:tc>
      </w:tr>
      <w:tr w:rsidR="00561B22" w:rsidRPr="0045304B" w14:paraId="377629DC" w14:textId="77777777" w:rsidTr="00F1223B">
        <w:tc>
          <w:tcPr>
            <w:tcW w:w="562" w:type="dxa"/>
          </w:tcPr>
          <w:p w14:paraId="1D50AED4" w14:textId="77777777" w:rsidR="00561B22" w:rsidRPr="0045304B" w:rsidRDefault="00561B22" w:rsidP="00F1223B">
            <w:pPr>
              <w:jc w:val="center"/>
              <w:rPr>
                <w:rFonts w:ascii="Arial" w:hAnsi="Arial" w:cs="Arial"/>
                <w:b/>
                <w:sz w:val="22"/>
                <w:szCs w:val="22"/>
                <w:lang w:val="es-MX"/>
              </w:rPr>
            </w:pPr>
            <w:r w:rsidRPr="0045304B">
              <w:rPr>
                <w:rFonts w:ascii="Arial" w:hAnsi="Arial" w:cs="Arial"/>
                <w:b/>
                <w:sz w:val="22"/>
                <w:szCs w:val="22"/>
                <w:lang w:val="es-MX"/>
              </w:rPr>
              <w:t>1</w:t>
            </w:r>
          </w:p>
        </w:tc>
        <w:tc>
          <w:tcPr>
            <w:tcW w:w="9400" w:type="dxa"/>
          </w:tcPr>
          <w:p w14:paraId="7D5B6D1F" w14:textId="648E7485" w:rsidR="00561B22" w:rsidRPr="0045304B" w:rsidRDefault="00561B22" w:rsidP="0008150C">
            <w:pPr>
              <w:jc w:val="both"/>
              <w:rPr>
                <w:rFonts w:ascii="Arial" w:hAnsi="Arial" w:cs="Arial"/>
                <w:sz w:val="22"/>
                <w:szCs w:val="22"/>
                <w:lang w:val="es-MX"/>
              </w:rPr>
            </w:pPr>
            <w:r w:rsidRPr="0045304B">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45304B">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4B30B077" w14:textId="77777777" w:rsidR="00561B22" w:rsidRPr="0045304B" w:rsidRDefault="00561B22" w:rsidP="00561B22">
      <w:pPr>
        <w:pStyle w:val="Textoindependiente"/>
        <w:ind w:right="-50"/>
        <w:jc w:val="both"/>
        <w:rPr>
          <w:rFonts w:ascii="Arial" w:hAnsi="Arial" w:cs="Arial"/>
          <w:b/>
          <w:bCs/>
        </w:rPr>
      </w:pPr>
    </w:p>
    <w:p w14:paraId="25EEB361" w14:textId="77777777" w:rsidR="00561B22" w:rsidRPr="0045304B" w:rsidRDefault="00561B22" w:rsidP="00561B22">
      <w:pPr>
        <w:jc w:val="both"/>
        <w:rPr>
          <w:rFonts w:ascii="Arial" w:hAnsi="Arial" w:cs="Arial"/>
          <w:b/>
          <w:bCs/>
          <w:sz w:val="24"/>
          <w:szCs w:val="24"/>
          <w:lang w:val="es-CO"/>
        </w:rPr>
      </w:pPr>
      <w:r w:rsidRPr="0045304B">
        <w:rPr>
          <w:rFonts w:ascii="Arial" w:hAnsi="Arial" w:cs="Arial"/>
          <w:b/>
          <w:bCs/>
          <w:sz w:val="24"/>
          <w:szCs w:val="24"/>
          <w:lang w:val="es-CO"/>
        </w:rPr>
        <w:t xml:space="preserve">NOTA: LA ENTIDAD ENVIA LA MATRIZ DE AUTOEVALUACIÓN DEL SISTEMA DE CONTROL INTERNO CONTABLE CON </w:t>
      </w:r>
      <w:r w:rsidRPr="0045304B">
        <w:rPr>
          <w:rFonts w:ascii="Arial" w:hAnsi="Arial" w:cs="Arial"/>
          <w:b/>
          <w:bCs/>
          <w:sz w:val="24"/>
          <w:szCs w:val="24"/>
          <w:u w:val="single"/>
          <w:lang w:val="es-CO"/>
        </w:rPr>
        <w:t>ACTIVIDADES DE CONTROL REALIZADAS EN FORMA PARCIAL</w:t>
      </w:r>
      <w:r w:rsidRPr="0045304B">
        <w:rPr>
          <w:rFonts w:ascii="Arial" w:hAnsi="Arial" w:cs="Arial"/>
          <w:b/>
          <w:bCs/>
          <w:sz w:val="24"/>
          <w:szCs w:val="24"/>
          <w:lang w:val="es-CO"/>
        </w:rPr>
        <w:t>.</w:t>
      </w:r>
    </w:p>
    <w:p w14:paraId="5164442A" w14:textId="77777777" w:rsidR="00561B22" w:rsidRPr="0045304B" w:rsidRDefault="00561B22" w:rsidP="00561B22">
      <w:pPr>
        <w:pStyle w:val="Textoindependiente"/>
        <w:ind w:right="-50"/>
        <w:jc w:val="both"/>
        <w:rPr>
          <w:rFonts w:ascii="Arial" w:hAnsi="Arial" w:cs="Arial"/>
          <w:b/>
          <w:bCs/>
          <w:sz w:val="28"/>
          <w:szCs w:val="28"/>
        </w:rPr>
      </w:pPr>
    </w:p>
    <w:p w14:paraId="0E97D461" w14:textId="77777777" w:rsidR="00561B22" w:rsidRDefault="00561B22" w:rsidP="00561B22">
      <w:pPr>
        <w:jc w:val="both"/>
        <w:rPr>
          <w:rFonts w:ascii="Arial" w:hAnsi="Arial" w:cs="Arial"/>
          <w:b/>
          <w:sz w:val="28"/>
          <w:szCs w:val="28"/>
          <w:lang w:val="es-MX"/>
        </w:rPr>
      </w:pPr>
      <w:r w:rsidRPr="007F494A">
        <w:rPr>
          <w:rFonts w:ascii="Arial" w:hAnsi="Arial" w:cs="Arial"/>
          <w:b/>
          <w:sz w:val="28"/>
          <w:szCs w:val="28"/>
          <w:lang w:val="es-MX"/>
        </w:rPr>
        <w:t>208.- PAR BANCO CENTRAL HIPOTECARIO EN LIQUIDACIÓN – FIDUPREVISORA S.A.</w:t>
      </w:r>
    </w:p>
    <w:p w14:paraId="71BB4DE6" w14:textId="77777777" w:rsidR="00561B22" w:rsidRPr="0045304B" w:rsidRDefault="00561B22" w:rsidP="00561B22">
      <w:pPr>
        <w:pStyle w:val="Textoindependiente"/>
        <w:tabs>
          <w:tab w:val="left" w:pos="2055"/>
        </w:tabs>
        <w:spacing w:before="5"/>
        <w:rPr>
          <w:rFonts w:ascii="Arial" w:hAnsi="Arial" w:cs="Arial"/>
          <w:sz w:val="17"/>
        </w:rPr>
      </w:pPr>
    </w:p>
    <w:p w14:paraId="39A86764" w14:textId="77777777" w:rsidR="00561B22" w:rsidRPr="00E00EE4" w:rsidRDefault="00561B22" w:rsidP="00561B22">
      <w:pPr>
        <w:pStyle w:val="Textoindependiente"/>
        <w:ind w:right="-50"/>
        <w:jc w:val="center"/>
        <w:rPr>
          <w:rFonts w:ascii="Arial" w:hAnsi="Arial" w:cs="Arial"/>
          <w:b/>
          <w:bCs/>
        </w:rPr>
      </w:pPr>
      <w:r w:rsidRPr="00E00EE4">
        <w:rPr>
          <w:rFonts w:ascii="Arial" w:hAnsi="Arial" w:cs="Arial"/>
          <w:b/>
          <w:bCs/>
        </w:rPr>
        <w:t>INFORME DE LA AUTOCALIFICACIÓN DEL SISTEMA DE CONTROL INTERNO CONTABLE:</w:t>
      </w:r>
    </w:p>
    <w:p w14:paraId="0C934478" w14:textId="77777777" w:rsidR="00561B22" w:rsidRPr="00E00EE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00EE4" w14:paraId="6B85E25C" w14:textId="77777777" w:rsidTr="00F1223B">
        <w:tc>
          <w:tcPr>
            <w:tcW w:w="4981" w:type="dxa"/>
          </w:tcPr>
          <w:p w14:paraId="08B65A9B" w14:textId="77777777" w:rsidR="00561B22" w:rsidRPr="00E00EE4" w:rsidRDefault="00561B22" w:rsidP="00F1223B">
            <w:pPr>
              <w:jc w:val="center"/>
              <w:rPr>
                <w:rFonts w:ascii="Arial" w:hAnsi="Arial" w:cs="Arial"/>
                <w:b/>
                <w:sz w:val="22"/>
                <w:szCs w:val="22"/>
                <w:lang w:val="es-MX"/>
              </w:rPr>
            </w:pPr>
            <w:r w:rsidRPr="00E00EE4">
              <w:rPr>
                <w:rFonts w:ascii="Arial" w:hAnsi="Arial" w:cs="Arial"/>
                <w:b/>
                <w:sz w:val="22"/>
                <w:szCs w:val="22"/>
                <w:lang w:val="es-MX"/>
              </w:rPr>
              <w:lastRenderedPageBreak/>
              <w:t>AUTOCALIFICACIÓN</w:t>
            </w:r>
          </w:p>
        </w:tc>
        <w:tc>
          <w:tcPr>
            <w:tcW w:w="4981" w:type="dxa"/>
          </w:tcPr>
          <w:p w14:paraId="56BEA9D3" w14:textId="77777777" w:rsidR="00561B22" w:rsidRPr="00E00EE4" w:rsidRDefault="00561B22" w:rsidP="00F1223B">
            <w:pPr>
              <w:jc w:val="center"/>
              <w:rPr>
                <w:rFonts w:ascii="Arial" w:hAnsi="Arial" w:cs="Arial"/>
                <w:b/>
                <w:sz w:val="22"/>
                <w:szCs w:val="22"/>
                <w:u w:val="single"/>
                <w:lang w:val="es-MX"/>
              </w:rPr>
            </w:pPr>
            <w:r w:rsidRPr="00E00EE4">
              <w:rPr>
                <w:rFonts w:ascii="Arial" w:hAnsi="Arial" w:cs="Arial"/>
                <w:b/>
                <w:sz w:val="22"/>
                <w:szCs w:val="22"/>
                <w:u w:val="single"/>
                <w:lang w:val="es-MX"/>
              </w:rPr>
              <w:t>5.00</w:t>
            </w:r>
          </w:p>
        </w:tc>
      </w:tr>
    </w:tbl>
    <w:p w14:paraId="0A49D40B" w14:textId="77777777" w:rsidR="00561B22" w:rsidRPr="00E00EE4" w:rsidRDefault="00561B22" w:rsidP="00561B22">
      <w:pPr>
        <w:pStyle w:val="Textoindependiente"/>
        <w:ind w:right="-50"/>
        <w:jc w:val="both"/>
        <w:rPr>
          <w:rFonts w:ascii="Arial" w:hAnsi="Arial" w:cs="Arial"/>
          <w:b/>
          <w:bCs/>
        </w:rPr>
      </w:pPr>
    </w:p>
    <w:p w14:paraId="4D585DC5" w14:textId="77777777" w:rsidR="00561B22" w:rsidRPr="00E00EE4" w:rsidRDefault="00561B22" w:rsidP="00561B22">
      <w:pPr>
        <w:pStyle w:val="Textoindependiente"/>
        <w:ind w:right="-50"/>
        <w:jc w:val="both"/>
        <w:rPr>
          <w:rFonts w:ascii="Arial" w:hAnsi="Arial" w:cs="Arial"/>
          <w:b/>
          <w:bCs/>
        </w:rPr>
      </w:pPr>
      <w:r w:rsidRPr="00E00EE4">
        <w:rPr>
          <w:rFonts w:ascii="Arial" w:hAnsi="Arial" w:cs="Arial"/>
          <w:b/>
          <w:bCs/>
        </w:rPr>
        <w:t>Del informe enviado retomamos lo siguiente:</w:t>
      </w:r>
    </w:p>
    <w:p w14:paraId="52123C1C" w14:textId="77777777" w:rsidR="00561B22" w:rsidRPr="00E00EE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00EE4" w14:paraId="3FA665A6" w14:textId="77777777" w:rsidTr="00F1223B">
        <w:tc>
          <w:tcPr>
            <w:tcW w:w="562" w:type="dxa"/>
          </w:tcPr>
          <w:p w14:paraId="2098ED71" w14:textId="77777777" w:rsidR="00561B22" w:rsidRPr="00E00EE4" w:rsidRDefault="00561B22" w:rsidP="00F1223B">
            <w:pPr>
              <w:ind w:right="-109"/>
              <w:jc w:val="center"/>
              <w:rPr>
                <w:rFonts w:ascii="Arial" w:hAnsi="Arial" w:cs="Arial"/>
                <w:b/>
                <w:sz w:val="22"/>
                <w:szCs w:val="22"/>
                <w:lang w:val="es-MX"/>
              </w:rPr>
            </w:pPr>
            <w:r w:rsidRPr="00E00EE4">
              <w:rPr>
                <w:rFonts w:ascii="Arial" w:hAnsi="Arial" w:cs="Arial"/>
                <w:b/>
                <w:sz w:val="22"/>
                <w:szCs w:val="22"/>
                <w:lang w:val="es-MX"/>
              </w:rPr>
              <w:t>N°</w:t>
            </w:r>
          </w:p>
        </w:tc>
        <w:tc>
          <w:tcPr>
            <w:tcW w:w="9400" w:type="dxa"/>
          </w:tcPr>
          <w:p w14:paraId="25D9D7C7" w14:textId="77777777" w:rsidR="00561B22" w:rsidRPr="00E00EE4" w:rsidRDefault="00561B22" w:rsidP="00F1223B">
            <w:pPr>
              <w:jc w:val="center"/>
              <w:rPr>
                <w:rFonts w:ascii="Arial" w:hAnsi="Arial" w:cs="Arial"/>
                <w:b/>
                <w:sz w:val="22"/>
                <w:szCs w:val="22"/>
                <w:lang w:val="es-MX"/>
              </w:rPr>
            </w:pPr>
            <w:r w:rsidRPr="00E00EE4">
              <w:rPr>
                <w:rFonts w:ascii="Arial" w:hAnsi="Arial" w:cs="Arial"/>
                <w:b/>
                <w:sz w:val="22"/>
                <w:szCs w:val="22"/>
                <w:lang w:val="es-MX"/>
              </w:rPr>
              <w:t>RECOMENDACIONES</w:t>
            </w:r>
          </w:p>
          <w:p w14:paraId="3137AAF6" w14:textId="77777777" w:rsidR="00561B22" w:rsidRPr="00E00EE4" w:rsidRDefault="00561B22" w:rsidP="00F1223B">
            <w:pPr>
              <w:jc w:val="center"/>
              <w:rPr>
                <w:rFonts w:ascii="Arial" w:hAnsi="Arial" w:cs="Arial"/>
                <w:b/>
                <w:sz w:val="22"/>
                <w:szCs w:val="22"/>
                <w:lang w:val="es-MX"/>
              </w:rPr>
            </w:pPr>
          </w:p>
        </w:tc>
      </w:tr>
      <w:tr w:rsidR="00561B22" w:rsidRPr="00E00EE4" w14:paraId="092602AA" w14:textId="77777777" w:rsidTr="00F1223B">
        <w:tc>
          <w:tcPr>
            <w:tcW w:w="562" w:type="dxa"/>
          </w:tcPr>
          <w:p w14:paraId="6D9679AD" w14:textId="77777777" w:rsidR="00561B22" w:rsidRPr="00E00EE4" w:rsidRDefault="00561B22" w:rsidP="00F1223B">
            <w:pPr>
              <w:jc w:val="center"/>
              <w:rPr>
                <w:rFonts w:ascii="Arial" w:hAnsi="Arial" w:cs="Arial"/>
                <w:b/>
                <w:sz w:val="22"/>
                <w:szCs w:val="22"/>
                <w:lang w:val="es-MX"/>
              </w:rPr>
            </w:pPr>
            <w:r w:rsidRPr="00E00EE4">
              <w:rPr>
                <w:rFonts w:ascii="Arial" w:hAnsi="Arial" w:cs="Arial"/>
                <w:b/>
                <w:sz w:val="22"/>
                <w:szCs w:val="22"/>
                <w:lang w:val="es-MX"/>
              </w:rPr>
              <w:t>1</w:t>
            </w:r>
          </w:p>
        </w:tc>
        <w:tc>
          <w:tcPr>
            <w:tcW w:w="9400" w:type="dxa"/>
          </w:tcPr>
          <w:p w14:paraId="29003CB7" w14:textId="0424D2C9" w:rsidR="00561B22" w:rsidRPr="00E00EE4" w:rsidRDefault="00561B22" w:rsidP="0008150C">
            <w:pPr>
              <w:jc w:val="both"/>
              <w:rPr>
                <w:rFonts w:ascii="Arial" w:hAnsi="Arial" w:cs="Arial"/>
                <w:sz w:val="22"/>
                <w:szCs w:val="22"/>
                <w:lang w:val="es-MX"/>
              </w:rPr>
            </w:pPr>
            <w:r w:rsidRPr="00E00EE4">
              <w:rPr>
                <w:rFonts w:ascii="Arial" w:hAnsi="Arial" w:cs="Arial"/>
                <w:sz w:val="22"/>
                <w:szCs w:val="22"/>
                <w:lang w:val="es-MX"/>
              </w:rPr>
              <w:t>Se recomienda continuar con el fortalecimiento y la implementación de los procesos de automatización</w:t>
            </w:r>
            <w:r w:rsidR="0008150C">
              <w:rPr>
                <w:rFonts w:ascii="Arial" w:hAnsi="Arial" w:cs="Arial"/>
                <w:sz w:val="22"/>
                <w:szCs w:val="22"/>
                <w:lang w:val="es-MX"/>
              </w:rPr>
              <w:t xml:space="preserve"> </w:t>
            </w:r>
            <w:r w:rsidRPr="00E00EE4">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1240E07E" w14:textId="77777777" w:rsidR="00561B22" w:rsidRPr="00E00EE4" w:rsidRDefault="00561B22" w:rsidP="00561B22">
      <w:pPr>
        <w:pStyle w:val="Textoindependiente"/>
        <w:ind w:right="-50"/>
        <w:jc w:val="both"/>
        <w:rPr>
          <w:rFonts w:ascii="Arial" w:hAnsi="Arial" w:cs="Arial"/>
          <w:b/>
          <w:bCs/>
        </w:rPr>
      </w:pPr>
    </w:p>
    <w:p w14:paraId="5DF1061B" w14:textId="77777777" w:rsidR="00561B22" w:rsidRPr="00E00EE4" w:rsidRDefault="00561B22" w:rsidP="00561B22">
      <w:pPr>
        <w:pStyle w:val="Textoindependiente"/>
        <w:ind w:right="-50"/>
        <w:jc w:val="both"/>
        <w:rPr>
          <w:rFonts w:ascii="Arial" w:hAnsi="Arial" w:cs="Arial"/>
          <w:b/>
          <w:bCs/>
        </w:rPr>
      </w:pPr>
    </w:p>
    <w:p w14:paraId="02842CD4" w14:textId="77777777" w:rsidR="00561B22" w:rsidRPr="00721C7A" w:rsidRDefault="00561B22" w:rsidP="00561B22">
      <w:pPr>
        <w:jc w:val="both"/>
        <w:rPr>
          <w:rFonts w:ascii="Arial" w:hAnsi="Arial" w:cs="Arial"/>
          <w:b/>
          <w:sz w:val="28"/>
          <w:szCs w:val="28"/>
          <w:lang w:val="es-MX"/>
        </w:rPr>
      </w:pPr>
      <w:r w:rsidRPr="00721C7A">
        <w:rPr>
          <w:rFonts w:ascii="Arial" w:hAnsi="Arial" w:cs="Arial"/>
          <w:b/>
          <w:sz w:val="28"/>
          <w:szCs w:val="28"/>
          <w:lang w:val="es-MX"/>
        </w:rPr>
        <w:t>209.- PAP BANCO CENTRAL HIPOTECARIO EN LIQUIDACIÓN /ARCHIVO BOGOTA – FIDUPREVISORA S.A.</w:t>
      </w:r>
    </w:p>
    <w:p w14:paraId="23B86D86" w14:textId="77777777" w:rsidR="00561B22" w:rsidRPr="00E00EE4" w:rsidRDefault="00561B22" w:rsidP="00561B22">
      <w:pPr>
        <w:pStyle w:val="Textoindependiente"/>
        <w:ind w:right="-50"/>
        <w:jc w:val="both"/>
        <w:rPr>
          <w:rFonts w:ascii="Arial" w:hAnsi="Arial" w:cs="Arial"/>
          <w:b/>
          <w:bCs/>
        </w:rPr>
      </w:pPr>
    </w:p>
    <w:p w14:paraId="754E8379" w14:textId="77777777" w:rsidR="00561B22" w:rsidRPr="00AC4BD0" w:rsidRDefault="00561B22" w:rsidP="00561B22">
      <w:pPr>
        <w:pStyle w:val="Textoindependiente"/>
        <w:ind w:right="-50"/>
        <w:jc w:val="center"/>
        <w:rPr>
          <w:rFonts w:ascii="Arial" w:hAnsi="Arial" w:cs="Arial"/>
          <w:b/>
          <w:bCs/>
        </w:rPr>
      </w:pPr>
      <w:r w:rsidRPr="00AC4BD0">
        <w:rPr>
          <w:rFonts w:ascii="Arial" w:hAnsi="Arial" w:cs="Arial"/>
          <w:b/>
          <w:bCs/>
        </w:rPr>
        <w:t>INFORME DE LA AUTOCALIFICACIÓN DEL SISTEMA DE CONTROL INTERNO CONTABLE:</w:t>
      </w:r>
    </w:p>
    <w:p w14:paraId="6016A8F9" w14:textId="77777777" w:rsidR="00561B22" w:rsidRPr="00AC4BD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C4BD0" w14:paraId="25F49F7F" w14:textId="77777777" w:rsidTr="00F1223B">
        <w:tc>
          <w:tcPr>
            <w:tcW w:w="4981" w:type="dxa"/>
          </w:tcPr>
          <w:p w14:paraId="605D4793" w14:textId="77777777" w:rsidR="00561B22" w:rsidRPr="00AC4BD0" w:rsidRDefault="00561B22" w:rsidP="00F1223B">
            <w:pPr>
              <w:jc w:val="center"/>
              <w:rPr>
                <w:rFonts w:ascii="Arial" w:hAnsi="Arial" w:cs="Arial"/>
                <w:b/>
                <w:sz w:val="22"/>
                <w:szCs w:val="22"/>
                <w:lang w:val="es-MX"/>
              </w:rPr>
            </w:pPr>
            <w:r w:rsidRPr="00AC4BD0">
              <w:rPr>
                <w:rFonts w:ascii="Arial" w:hAnsi="Arial" w:cs="Arial"/>
                <w:b/>
                <w:sz w:val="22"/>
                <w:szCs w:val="22"/>
                <w:lang w:val="es-MX"/>
              </w:rPr>
              <w:t>AUTOCALIFICACIÓN</w:t>
            </w:r>
          </w:p>
        </w:tc>
        <w:tc>
          <w:tcPr>
            <w:tcW w:w="4981" w:type="dxa"/>
          </w:tcPr>
          <w:p w14:paraId="758FBA8D" w14:textId="77777777" w:rsidR="00561B22" w:rsidRPr="00AC4BD0" w:rsidRDefault="00561B22" w:rsidP="00F1223B">
            <w:pPr>
              <w:jc w:val="center"/>
              <w:rPr>
                <w:rFonts w:ascii="Arial" w:hAnsi="Arial" w:cs="Arial"/>
                <w:b/>
                <w:sz w:val="22"/>
                <w:szCs w:val="22"/>
                <w:u w:val="single"/>
                <w:lang w:val="es-MX"/>
              </w:rPr>
            </w:pPr>
            <w:r w:rsidRPr="00AC4BD0">
              <w:rPr>
                <w:rFonts w:ascii="Arial" w:hAnsi="Arial" w:cs="Arial"/>
                <w:b/>
                <w:sz w:val="22"/>
                <w:szCs w:val="22"/>
                <w:u w:val="single"/>
                <w:lang w:val="es-MX"/>
              </w:rPr>
              <w:t>5.00</w:t>
            </w:r>
          </w:p>
        </w:tc>
      </w:tr>
    </w:tbl>
    <w:p w14:paraId="349790BF" w14:textId="77777777" w:rsidR="00561B22" w:rsidRPr="00AC4BD0" w:rsidRDefault="00561B22" w:rsidP="00561B22">
      <w:pPr>
        <w:pStyle w:val="Textoindependiente"/>
        <w:ind w:right="-50"/>
        <w:jc w:val="both"/>
        <w:rPr>
          <w:rFonts w:ascii="Arial" w:hAnsi="Arial" w:cs="Arial"/>
          <w:b/>
          <w:bCs/>
        </w:rPr>
      </w:pPr>
    </w:p>
    <w:p w14:paraId="3598BF69" w14:textId="77777777" w:rsidR="00561B22" w:rsidRPr="00AC4BD0" w:rsidRDefault="00561B22" w:rsidP="00561B22">
      <w:pPr>
        <w:pStyle w:val="Textoindependiente"/>
        <w:ind w:right="-50"/>
        <w:jc w:val="both"/>
        <w:rPr>
          <w:rFonts w:ascii="Arial" w:hAnsi="Arial" w:cs="Arial"/>
          <w:b/>
          <w:bCs/>
        </w:rPr>
      </w:pPr>
      <w:r w:rsidRPr="00AC4BD0">
        <w:rPr>
          <w:rFonts w:ascii="Arial" w:hAnsi="Arial" w:cs="Arial"/>
          <w:b/>
          <w:bCs/>
        </w:rPr>
        <w:t>Del informe enviado retomamos lo siguiente:</w:t>
      </w:r>
    </w:p>
    <w:p w14:paraId="3FF3F8AF" w14:textId="77777777" w:rsidR="00561B22" w:rsidRPr="00AC4BD0" w:rsidRDefault="00561B22" w:rsidP="00561B22">
      <w:pPr>
        <w:pStyle w:val="Textoindependiente"/>
        <w:ind w:right="-50"/>
        <w:jc w:val="both"/>
        <w:rPr>
          <w:rFonts w:ascii="Arial" w:hAnsi="Arial" w:cs="Arial"/>
          <w:b/>
          <w:bCs/>
        </w:rPr>
      </w:pPr>
    </w:p>
    <w:p w14:paraId="0D982DBD" w14:textId="77777777" w:rsidR="00561B22" w:rsidRPr="00AC4BD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C4BD0" w14:paraId="52C17AAD" w14:textId="77777777" w:rsidTr="00F1223B">
        <w:tc>
          <w:tcPr>
            <w:tcW w:w="562" w:type="dxa"/>
          </w:tcPr>
          <w:p w14:paraId="221F6F2C" w14:textId="77777777" w:rsidR="00561B22" w:rsidRPr="00AC4BD0" w:rsidRDefault="00561B22" w:rsidP="00F1223B">
            <w:pPr>
              <w:ind w:right="-109"/>
              <w:jc w:val="center"/>
              <w:rPr>
                <w:rFonts w:ascii="Arial" w:hAnsi="Arial" w:cs="Arial"/>
                <w:b/>
                <w:sz w:val="22"/>
                <w:szCs w:val="22"/>
                <w:lang w:val="es-MX"/>
              </w:rPr>
            </w:pPr>
            <w:r w:rsidRPr="00AC4BD0">
              <w:rPr>
                <w:rFonts w:ascii="Arial" w:hAnsi="Arial" w:cs="Arial"/>
                <w:b/>
                <w:sz w:val="22"/>
                <w:szCs w:val="22"/>
                <w:lang w:val="es-MX"/>
              </w:rPr>
              <w:t>N°</w:t>
            </w:r>
          </w:p>
        </w:tc>
        <w:tc>
          <w:tcPr>
            <w:tcW w:w="9400" w:type="dxa"/>
          </w:tcPr>
          <w:p w14:paraId="2AF8B7B6" w14:textId="77777777" w:rsidR="00561B22" w:rsidRPr="00AC4BD0" w:rsidRDefault="00561B22" w:rsidP="00F1223B">
            <w:pPr>
              <w:jc w:val="center"/>
              <w:rPr>
                <w:rFonts w:ascii="Arial" w:hAnsi="Arial" w:cs="Arial"/>
                <w:b/>
                <w:sz w:val="22"/>
                <w:szCs w:val="22"/>
                <w:lang w:val="es-MX"/>
              </w:rPr>
            </w:pPr>
            <w:r w:rsidRPr="00AC4BD0">
              <w:rPr>
                <w:rFonts w:ascii="Arial" w:hAnsi="Arial" w:cs="Arial"/>
                <w:b/>
                <w:sz w:val="22"/>
                <w:szCs w:val="22"/>
                <w:lang w:val="es-MX"/>
              </w:rPr>
              <w:t>RECOMENDACIONES</w:t>
            </w:r>
          </w:p>
          <w:p w14:paraId="22AC9AF5" w14:textId="77777777" w:rsidR="00561B22" w:rsidRPr="00AC4BD0" w:rsidRDefault="00561B22" w:rsidP="00F1223B">
            <w:pPr>
              <w:jc w:val="center"/>
              <w:rPr>
                <w:rFonts w:ascii="Arial" w:hAnsi="Arial" w:cs="Arial"/>
                <w:b/>
                <w:sz w:val="22"/>
                <w:szCs w:val="22"/>
                <w:lang w:val="es-MX"/>
              </w:rPr>
            </w:pPr>
          </w:p>
        </w:tc>
      </w:tr>
      <w:tr w:rsidR="00561B22" w:rsidRPr="00AC4BD0" w14:paraId="407955D2" w14:textId="77777777" w:rsidTr="00F1223B">
        <w:tc>
          <w:tcPr>
            <w:tcW w:w="562" w:type="dxa"/>
          </w:tcPr>
          <w:p w14:paraId="638C183C" w14:textId="77777777" w:rsidR="00561B22" w:rsidRPr="00AC4BD0" w:rsidRDefault="00561B22" w:rsidP="00F1223B">
            <w:pPr>
              <w:jc w:val="center"/>
              <w:rPr>
                <w:rFonts w:ascii="Arial" w:hAnsi="Arial" w:cs="Arial"/>
                <w:b/>
                <w:sz w:val="22"/>
                <w:szCs w:val="22"/>
                <w:lang w:val="es-MX"/>
              </w:rPr>
            </w:pPr>
            <w:r w:rsidRPr="00AC4BD0">
              <w:rPr>
                <w:rFonts w:ascii="Arial" w:hAnsi="Arial" w:cs="Arial"/>
                <w:b/>
                <w:sz w:val="22"/>
                <w:szCs w:val="22"/>
                <w:lang w:val="es-MX"/>
              </w:rPr>
              <w:t>1</w:t>
            </w:r>
          </w:p>
        </w:tc>
        <w:tc>
          <w:tcPr>
            <w:tcW w:w="9400" w:type="dxa"/>
          </w:tcPr>
          <w:p w14:paraId="108AAA63" w14:textId="77777777" w:rsidR="00561B22" w:rsidRPr="00AC4BD0" w:rsidRDefault="00561B22" w:rsidP="00F1223B">
            <w:pPr>
              <w:jc w:val="both"/>
              <w:rPr>
                <w:rFonts w:ascii="Arial" w:hAnsi="Arial" w:cs="Arial"/>
                <w:sz w:val="22"/>
                <w:szCs w:val="22"/>
                <w:lang w:val="es-MX"/>
              </w:rPr>
            </w:pPr>
            <w:r w:rsidRPr="00AC4BD0">
              <w:rPr>
                <w:rFonts w:ascii="Arial" w:hAnsi="Arial" w:cs="Arial"/>
                <w:sz w:val="22"/>
                <w:szCs w:val="22"/>
                <w:lang w:val="es-MX"/>
              </w:rPr>
              <w:t>Se recomienda continuar con el fortalecimiento y la implementación de los procesos de automatización</w:t>
            </w:r>
          </w:p>
          <w:p w14:paraId="32B763B8" w14:textId="77777777" w:rsidR="00561B22" w:rsidRPr="00AC4BD0" w:rsidRDefault="00561B22" w:rsidP="00F1223B">
            <w:pPr>
              <w:jc w:val="both"/>
              <w:rPr>
                <w:rFonts w:ascii="Arial" w:hAnsi="Arial" w:cs="Arial"/>
                <w:sz w:val="22"/>
                <w:szCs w:val="22"/>
                <w:lang w:val="es-MX"/>
              </w:rPr>
            </w:pPr>
            <w:r w:rsidRPr="00AC4BD0">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09DE3A2D" w14:textId="77777777" w:rsidR="00561B22" w:rsidRPr="00AC4BD0" w:rsidRDefault="00561B22" w:rsidP="00561B22">
      <w:pPr>
        <w:pStyle w:val="Textoindependiente"/>
        <w:ind w:right="-50"/>
        <w:jc w:val="both"/>
        <w:rPr>
          <w:rFonts w:ascii="Arial" w:hAnsi="Arial" w:cs="Arial"/>
          <w:b/>
          <w:bCs/>
        </w:rPr>
      </w:pPr>
    </w:p>
    <w:p w14:paraId="2D6A7E81" w14:textId="77777777" w:rsidR="00561B22" w:rsidRPr="00357B98" w:rsidRDefault="00561B22" w:rsidP="00561B22">
      <w:pPr>
        <w:jc w:val="both"/>
        <w:rPr>
          <w:rFonts w:ascii="Arial" w:hAnsi="Arial" w:cs="Arial"/>
          <w:b/>
          <w:sz w:val="28"/>
          <w:szCs w:val="28"/>
          <w:lang w:val="es-MX"/>
        </w:rPr>
      </w:pPr>
      <w:r w:rsidRPr="00357B98">
        <w:rPr>
          <w:rFonts w:ascii="Arial" w:hAnsi="Arial" w:cs="Arial"/>
          <w:b/>
          <w:sz w:val="28"/>
          <w:szCs w:val="28"/>
          <w:lang w:val="es-MX"/>
        </w:rPr>
        <w:t>210.- PAP PAR BANCO CAFETERO EN LIQUIDACIÓN – FIDUPREVISORA S.A.</w:t>
      </w:r>
    </w:p>
    <w:p w14:paraId="6983F081" w14:textId="77777777" w:rsidR="00561B22" w:rsidRPr="00357B98" w:rsidRDefault="00561B22" w:rsidP="00561B22">
      <w:pPr>
        <w:pStyle w:val="Textoindependiente"/>
        <w:tabs>
          <w:tab w:val="left" w:pos="2055"/>
        </w:tabs>
        <w:spacing w:before="5"/>
        <w:rPr>
          <w:rFonts w:ascii="Arial" w:hAnsi="Arial" w:cs="Arial"/>
        </w:rPr>
      </w:pPr>
    </w:p>
    <w:p w14:paraId="05AE764F" w14:textId="77777777" w:rsidR="00561B22" w:rsidRPr="00357B98" w:rsidRDefault="00561B22" w:rsidP="00561B22">
      <w:pPr>
        <w:pStyle w:val="Textoindependiente"/>
        <w:ind w:right="-50"/>
        <w:jc w:val="center"/>
        <w:rPr>
          <w:rFonts w:ascii="Arial" w:hAnsi="Arial" w:cs="Arial"/>
          <w:b/>
          <w:bCs/>
        </w:rPr>
      </w:pPr>
      <w:r w:rsidRPr="00357B98">
        <w:rPr>
          <w:rFonts w:ascii="Arial" w:hAnsi="Arial" w:cs="Arial"/>
          <w:b/>
          <w:bCs/>
        </w:rPr>
        <w:t>INFORME DE LA AUTOCALIFICACIÓN DEL SISTEMA DE CONTROL INTERNO CONTABLE:</w:t>
      </w:r>
    </w:p>
    <w:p w14:paraId="10FD6854" w14:textId="77777777" w:rsidR="00561B22" w:rsidRPr="00357B9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57B98" w14:paraId="24330CE3" w14:textId="77777777" w:rsidTr="00F1223B">
        <w:tc>
          <w:tcPr>
            <w:tcW w:w="4981" w:type="dxa"/>
          </w:tcPr>
          <w:p w14:paraId="649817C2" w14:textId="77777777" w:rsidR="00561B22" w:rsidRPr="00357B98" w:rsidRDefault="00561B22" w:rsidP="00F1223B">
            <w:pPr>
              <w:jc w:val="center"/>
              <w:rPr>
                <w:rFonts w:ascii="Arial" w:hAnsi="Arial" w:cs="Arial"/>
                <w:b/>
                <w:sz w:val="22"/>
                <w:szCs w:val="22"/>
                <w:lang w:val="es-MX"/>
              </w:rPr>
            </w:pPr>
            <w:r w:rsidRPr="00357B98">
              <w:rPr>
                <w:rFonts w:ascii="Arial" w:hAnsi="Arial" w:cs="Arial"/>
                <w:b/>
                <w:sz w:val="22"/>
                <w:szCs w:val="22"/>
                <w:lang w:val="es-MX"/>
              </w:rPr>
              <w:t>AUTOCALIFICACIÓN</w:t>
            </w:r>
          </w:p>
        </w:tc>
        <w:tc>
          <w:tcPr>
            <w:tcW w:w="4981" w:type="dxa"/>
          </w:tcPr>
          <w:p w14:paraId="39D464FD" w14:textId="77777777" w:rsidR="00561B22" w:rsidRPr="00357B98" w:rsidRDefault="00561B22" w:rsidP="00F1223B">
            <w:pPr>
              <w:jc w:val="center"/>
              <w:rPr>
                <w:rFonts w:ascii="Arial" w:hAnsi="Arial" w:cs="Arial"/>
                <w:b/>
                <w:sz w:val="22"/>
                <w:szCs w:val="22"/>
                <w:u w:val="single"/>
                <w:lang w:val="es-MX"/>
              </w:rPr>
            </w:pPr>
            <w:r w:rsidRPr="00357B98">
              <w:rPr>
                <w:rFonts w:ascii="Arial" w:hAnsi="Arial" w:cs="Arial"/>
                <w:b/>
                <w:sz w:val="22"/>
                <w:szCs w:val="22"/>
                <w:u w:val="single"/>
                <w:lang w:val="es-MX"/>
              </w:rPr>
              <w:t>4.95</w:t>
            </w:r>
          </w:p>
        </w:tc>
      </w:tr>
    </w:tbl>
    <w:p w14:paraId="5582252C" w14:textId="77777777" w:rsidR="00561B22" w:rsidRPr="00357B98" w:rsidRDefault="00561B22" w:rsidP="00561B22">
      <w:pPr>
        <w:pStyle w:val="Textoindependiente"/>
        <w:ind w:right="-50"/>
        <w:jc w:val="both"/>
        <w:rPr>
          <w:rFonts w:ascii="Arial" w:hAnsi="Arial" w:cs="Arial"/>
          <w:b/>
          <w:bCs/>
        </w:rPr>
      </w:pPr>
    </w:p>
    <w:p w14:paraId="7CD8F879" w14:textId="77777777" w:rsidR="00561B22" w:rsidRPr="00357B98" w:rsidRDefault="00561B22" w:rsidP="00561B22">
      <w:pPr>
        <w:pStyle w:val="Textoindependiente"/>
        <w:ind w:right="-50"/>
        <w:jc w:val="both"/>
        <w:rPr>
          <w:rFonts w:ascii="Arial" w:hAnsi="Arial" w:cs="Arial"/>
          <w:b/>
          <w:bCs/>
        </w:rPr>
      </w:pPr>
      <w:r w:rsidRPr="00357B98">
        <w:rPr>
          <w:rFonts w:ascii="Arial" w:hAnsi="Arial" w:cs="Arial"/>
          <w:b/>
          <w:bCs/>
        </w:rPr>
        <w:t>Del informe enviado retomamos lo siguiente:</w:t>
      </w:r>
    </w:p>
    <w:p w14:paraId="2AC144F3" w14:textId="77777777" w:rsidR="00561B22" w:rsidRPr="00357B9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57B98" w14:paraId="35E0BE82" w14:textId="77777777" w:rsidTr="00F1223B">
        <w:tc>
          <w:tcPr>
            <w:tcW w:w="562" w:type="dxa"/>
          </w:tcPr>
          <w:p w14:paraId="537EF604" w14:textId="77777777" w:rsidR="00561B22" w:rsidRPr="00357B98" w:rsidRDefault="00561B22" w:rsidP="00F1223B">
            <w:pPr>
              <w:ind w:right="-109"/>
              <w:jc w:val="center"/>
              <w:rPr>
                <w:rFonts w:ascii="Arial" w:hAnsi="Arial" w:cs="Arial"/>
                <w:b/>
                <w:sz w:val="22"/>
                <w:szCs w:val="22"/>
                <w:lang w:val="es-MX"/>
              </w:rPr>
            </w:pPr>
            <w:r w:rsidRPr="00357B98">
              <w:rPr>
                <w:rFonts w:ascii="Arial" w:hAnsi="Arial" w:cs="Arial"/>
                <w:b/>
                <w:sz w:val="22"/>
                <w:szCs w:val="22"/>
                <w:lang w:val="es-MX"/>
              </w:rPr>
              <w:t>N°</w:t>
            </w:r>
          </w:p>
        </w:tc>
        <w:tc>
          <w:tcPr>
            <w:tcW w:w="9400" w:type="dxa"/>
          </w:tcPr>
          <w:p w14:paraId="48B0EC31" w14:textId="77777777" w:rsidR="00561B22" w:rsidRPr="00357B98" w:rsidRDefault="00561B22" w:rsidP="00F1223B">
            <w:pPr>
              <w:jc w:val="center"/>
              <w:rPr>
                <w:rFonts w:ascii="Arial" w:hAnsi="Arial" w:cs="Arial"/>
                <w:b/>
                <w:sz w:val="22"/>
                <w:szCs w:val="22"/>
                <w:lang w:val="es-MX"/>
              </w:rPr>
            </w:pPr>
            <w:r w:rsidRPr="00357B98">
              <w:rPr>
                <w:rFonts w:ascii="Arial" w:hAnsi="Arial" w:cs="Arial"/>
                <w:b/>
                <w:sz w:val="22"/>
                <w:szCs w:val="22"/>
                <w:lang w:val="es-MX"/>
              </w:rPr>
              <w:t>DEBILIDADES</w:t>
            </w:r>
          </w:p>
          <w:p w14:paraId="4661ED7D" w14:textId="77777777" w:rsidR="00561B22" w:rsidRPr="00357B98" w:rsidRDefault="00561B22" w:rsidP="00F1223B">
            <w:pPr>
              <w:jc w:val="center"/>
              <w:rPr>
                <w:rFonts w:ascii="Arial" w:hAnsi="Arial" w:cs="Arial"/>
                <w:b/>
                <w:sz w:val="22"/>
                <w:szCs w:val="22"/>
                <w:lang w:val="es-MX"/>
              </w:rPr>
            </w:pPr>
          </w:p>
        </w:tc>
      </w:tr>
      <w:tr w:rsidR="00561B22" w:rsidRPr="00357B98" w14:paraId="56229ED9" w14:textId="77777777" w:rsidTr="00F1223B">
        <w:tc>
          <w:tcPr>
            <w:tcW w:w="562" w:type="dxa"/>
          </w:tcPr>
          <w:p w14:paraId="09F962DD" w14:textId="77777777" w:rsidR="00561B22" w:rsidRPr="00357B98" w:rsidRDefault="00561B22" w:rsidP="00F1223B">
            <w:pPr>
              <w:jc w:val="center"/>
              <w:rPr>
                <w:rFonts w:ascii="Arial" w:hAnsi="Arial" w:cs="Arial"/>
                <w:b/>
                <w:sz w:val="22"/>
                <w:szCs w:val="22"/>
                <w:lang w:val="es-MX"/>
              </w:rPr>
            </w:pPr>
            <w:r w:rsidRPr="00357B98">
              <w:rPr>
                <w:rFonts w:ascii="Arial" w:hAnsi="Arial" w:cs="Arial"/>
                <w:b/>
                <w:sz w:val="22"/>
                <w:szCs w:val="22"/>
                <w:lang w:val="es-MX"/>
              </w:rPr>
              <w:t>1</w:t>
            </w:r>
          </w:p>
        </w:tc>
        <w:tc>
          <w:tcPr>
            <w:tcW w:w="9400" w:type="dxa"/>
          </w:tcPr>
          <w:p w14:paraId="3F525F66" w14:textId="77777777" w:rsidR="00561B22" w:rsidRPr="00357B98" w:rsidRDefault="00561B22" w:rsidP="00F1223B">
            <w:pPr>
              <w:rPr>
                <w:rFonts w:ascii="Arial" w:hAnsi="Arial" w:cs="Arial"/>
                <w:sz w:val="22"/>
                <w:szCs w:val="22"/>
                <w:lang w:val="es-MX"/>
              </w:rPr>
            </w:pPr>
            <w:r w:rsidRPr="00357B98">
              <w:rPr>
                <w:rFonts w:ascii="Arial" w:hAnsi="Arial" w:cs="Arial"/>
                <w:sz w:val="22"/>
                <w:szCs w:val="22"/>
                <w:lang w:val="es-MX"/>
              </w:rPr>
              <w:t>Se identiﬁcaron debilidades en los consecutivos de los comprobantes contables.</w:t>
            </w:r>
          </w:p>
        </w:tc>
      </w:tr>
    </w:tbl>
    <w:p w14:paraId="0934E006" w14:textId="77777777" w:rsidR="00561B22" w:rsidRPr="00357B98" w:rsidRDefault="00561B22" w:rsidP="00561B22">
      <w:pPr>
        <w:pStyle w:val="Textoindependiente"/>
        <w:ind w:right="-50"/>
        <w:jc w:val="both"/>
        <w:rPr>
          <w:rFonts w:ascii="Arial" w:hAnsi="Arial" w:cs="Arial"/>
          <w:b/>
          <w:bCs/>
        </w:rPr>
      </w:pPr>
    </w:p>
    <w:p w14:paraId="4C82FCF4" w14:textId="77777777" w:rsidR="00561B22" w:rsidRPr="00357B98" w:rsidRDefault="00561B22" w:rsidP="00561B22">
      <w:pPr>
        <w:jc w:val="both"/>
        <w:rPr>
          <w:rFonts w:ascii="Arial" w:hAnsi="Arial" w:cs="Arial"/>
          <w:b/>
          <w:lang w:val="es-MX"/>
        </w:rPr>
      </w:pPr>
      <w:r w:rsidRPr="00357B98">
        <w:rPr>
          <w:rFonts w:ascii="Arial" w:hAnsi="Arial" w:cs="Arial"/>
          <w:b/>
          <w:lang w:val="es-MX"/>
        </w:rPr>
        <w:t>Del citado informe retomamos las siguientes recomendaciones:</w:t>
      </w:r>
    </w:p>
    <w:p w14:paraId="582EEE03" w14:textId="77777777" w:rsidR="00561B22" w:rsidRPr="00357B9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57B98" w14:paraId="2BB7F56C" w14:textId="77777777" w:rsidTr="00F1223B">
        <w:tc>
          <w:tcPr>
            <w:tcW w:w="562" w:type="dxa"/>
          </w:tcPr>
          <w:p w14:paraId="1B6DCCF9" w14:textId="77777777" w:rsidR="00561B22" w:rsidRPr="00357B98" w:rsidRDefault="00561B22" w:rsidP="00F1223B">
            <w:pPr>
              <w:ind w:right="-109"/>
              <w:jc w:val="center"/>
              <w:rPr>
                <w:rFonts w:ascii="Arial" w:hAnsi="Arial" w:cs="Arial"/>
                <w:b/>
                <w:sz w:val="22"/>
                <w:szCs w:val="22"/>
                <w:lang w:val="es-MX"/>
              </w:rPr>
            </w:pPr>
            <w:r w:rsidRPr="00357B98">
              <w:rPr>
                <w:rFonts w:ascii="Arial" w:hAnsi="Arial" w:cs="Arial"/>
                <w:b/>
                <w:sz w:val="22"/>
                <w:szCs w:val="22"/>
                <w:lang w:val="es-MX"/>
              </w:rPr>
              <w:t>N°</w:t>
            </w:r>
          </w:p>
        </w:tc>
        <w:tc>
          <w:tcPr>
            <w:tcW w:w="9400" w:type="dxa"/>
          </w:tcPr>
          <w:p w14:paraId="5E5D24CD" w14:textId="77777777" w:rsidR="00561B22" w:rsidRPr="00357B98" w:rsidRDefault="00561B22" w:rsidP="00F1223B">
            <w:pPr>
              <w:jc w:val="center"/>
              <w:rPr>
                <w:rFonts w:ascii="Arial" w:hAnsi="Arial" w:cs="Arial"/>
                <w:b/>
                <w:sz w:val="22"/>
                <w:szCs w:val="22"/>
                <w:lang w:val="es-MX"/>
              </w:rPr>
            </w:pPr>
            <w:r w:rsidRPr="00357B98">
              <w:rPr>
                <w:rFonts w:ascii="Arial" w:hAnsi="Arial" w:cs="Arial"/>
                <w:b/>
                <w:sz w:val="22"/>
                <w:szCs w:val="22"/>
                <w:lang w:val="es-MX"/>
              </w:rPr>
              <w:t>RECOMENDACIONES</w:t>
            </w:r>
          </w:p>
          <w:p w14:paraId="3659BD17" w14:textId="77777777" w:rsidR="00561B22" w:rsidRPr="00357B98" w:rsidRDefault="00561B22" w:rsidP="00F1223B">
            <w:pPr>
              <w:jc w:val="center"/>
              <w:rPr>
                <w:rFonts w:ascii="Arial" w:hAnsi="Arial" w:cs="Arial"/>
                <w:b/>
                <w:sz w:val="22"/>
                <w:szCs w:val="22"/>
                <w:lang w:val="es-MX"/>
              </w:rPr>
            </w:pPr>
          </w:p>
        </w:tc>
      </w:tr>
      <w:tr w:rsidR="00561B22" w:rsidRPr="00357B98" w14:paraId="584D20A0" w14:textId="77777777" w:rsidTr="00F1223B">
        <w:tc>
          <w:tcPr>
            <w:tcW w:w="562" w:type="dxa"/>
          </w:tcPr>
          <w:p w14:paraId="4B4EF073" w14:textId="77777777" w:rsidR="00561B22" w:rsidRPr="00357B98" w:rsidRDefault="00561B22" w:rsidP="00F1223B">
            <w:pPr>
              <w:jc w:val="center"/>
              <w:rPr>
                <w:rFonts w:ascii="Arial" w:hAnsi="Arial" w:cs="Arial"/>
                <w:b/>
                <w:sz w:val="22"/>
                <w:szCs w:val="22"/>
                <w:lang w:val="es-MX"/>
              </w:rPr>
            </w:pPr>
            <w:r w:rsidRPr="00357B98">
              <w:rPr>
                <w:rFonts w:ascii="Arial" w:hAnsi="Arial" w:cs="Arial"/>
                <w:b/>
                <w:sz w:val="22"/>
                <w:szCs w:val="22"/>
                <w:lang w:val="es-MX"/>
              </w:rPr>
              <w:t>1</w:t>
            </w:r>
          </w:p>
        </w:tc>
        <w:tc>
          <w:tcPr>
            <w:tcW w:w="9400" w:type="dxa"/>
          </w:tcPr>
          <w:p w14:paraId="626F062F" w14:textId="747C3268" w:rsidR="00561B22" w:rsidRPr="00357B98" w:rsidRDefault="00561B22" w:rsidP="0008150C">
            <w:pPr>
              <w:jc w:val="both"/>
              <w:rPr>
                <w:rFonts w:ascii="Arial" w:hAnsi="Arial" w:cs="Arial"/>
                <w:sz w:val="22"/>
                <w:szCs w:val="22"/>
                <w:lang w:val="es-MX"/>
              </w:rPr>
            </w:pPr>
            <w:r w:rsidRPr="00357B98">
              <w:rPr>
                <w:rFonts w:ascii="Arial" w:hAnsi="Arial" w:cs="Arial"/>
                <w:sz w:val="22"/>
                <w:szCs w:val="22"/>
                <w:lang w:val="es-MX"/>
              </w:rPr>
              <w:t xml:space="preserve">Se recomienda continuar con el fortalecimiento y la implementación de los procesos de </w:t>
            </w:r>
            <w:r w:rsidRPr="00357B98">
              <w:rPr>
                <w:rFonts w:ascii="Arial" w:hAnsi="Arial" w:cs="Arial"/>
                <w:sz w:val="22"/>
                <w:szCs w:val="22"/>
                <w:lang w:val="es-MX"/>
              </w:rPr>
              <w:lastRenderedPageBreak/>
              <w:t>automatización</w:t>
            </w:r>
            <w:r w:rsidR="0008150C">
              <w:rPr>
                <w:rFonts w:ascii="Arial" w:hAnsi="Arial" w:cs="Arial"/>
                <w:sz w:val="22"/>
                <w:szCs w:val="22"/>
                <w:lang w:val="es-MX"/>
              </w:rPr>
              <w:t xml:space="preserve"> </w:t>
            </w:r>
            <w:r w:rsidRPr="00357B98">
              <w:rPr>
                <w:rFonts w:ascii="Arial" w:hAnsi="Arial" w:cs="Arial"/>
                <w:sz w:val="22"/>
                <w:szCs w:val="22"/>
                <w:lang w:val="es-MX"/>
              </w:rPr>
              <w:t>contable, con el ﬁn de mitigar cualquier riesgo asociado con los registros y cálculos manuales, incluyendo errores humanos y demoras en el procesamiento. La automatización puede brindar mayor precisión, eﬁciencia y consistencia en las operaciones contables, agilizando signiﬁcativamente el tiempo de procesamiento de datos y reduciendo la posibilidad de errores.</w:t>
            </w:r>
          </w:p>
        </w:tc>
      </w:tr>
    </w:tbl>
    <w:p w14:paraId="21E97504" w14:textId="77777777" w:rsidR="00561B22" w:rsidRPr="00357B98" w:rsidRDefault="00561B22" w:rsidP="00561B22">
      <w:pPr>
        <w:pStyle w:val="Textoindependiente"/>
        <w:ind w:right="-50"/>
        <w:jc w:val="both"/>
        <w:rPr>
          <w:rFonts w:ascii="Arial" w:hAnsi="Arial" w:cs="Arial"/>
          <w:b/>
          <w:bCs/>
          <w:sz w:val="28"/>
          <w:szCs w:val="28"/>
        </w:rPr>
      </w:pPr>
    </w:p>
    <w:p w14:paraId="143ADA98" w14:textId="77777777" w:rsidR="00561B22" w:rsidRPr="00357B98" w:rsidRDefault="00561B22" w:rsidP="00561B22">
      <w:pPr>
        <w:jc w:val="both"/>
        <w:rPr>
          <w:rFonts w:ascii="Arial" w:hAnsi="Arial" w:cs="Arial"/>
          <w:b/>
          <w:bCs/>
          <w:sz w:val="24"/>
          <w:szCs w:val="24"/>
          <w:lang w:val="es-CO"/>
        </w:rPr>
      </w:pPr>
      <w:r w:rsidRPr="00357B98">
        <w:rPr>
          <w:rFonts w:ascii="Arial" w:hAnsi="Arial" w:cs="Arial"/>
          <w:b/>
          <w:bCs/>
          <w:sz w:val="24"/>
          <w:szCs w:val="24"/>
          <w:lang w:val="es-CO"/>
        </w:rPr>
        <w:t xml:space="preserve">NOTA: LA ENTIDAD ENVIA LA MATRIZ DE AUTOEVALUACIÓN DEL SISTEMA DE CONTROL INTERNO CONTABLE CON </w:t>
      </w:r>
      <w:r w:rsidRPr="00357B98">
        <w:rPr>
          <w:rFonts w:ascii="Arial" w:hAnsi="Arial" w:cs="Arial"/>
          <w:b/>
          <w:bCs/>
          <w:sz w:val="24"/>
          <w:szCs w:val="24"/>
          <w:u w:val="single"/>
          <w:lang w:val="es-CO"/>
        </w:rPr>
        <w:t>ACTIVIDADES DE CONTROL REALIZADAS EN FORMA PARCIAL</w:t>
      </w:r>
      <w:r w:rsidRPr="00357B98">
        <w:rPr>
          <w:rFonts w:ascii="Arial" w:hAnsi="Arial" w:cs="Arial"/>
          <w:b/>
          <w:bCs/>
          <w:sz w:val="24"/>
          <w:szCs w:val="24"/>
          <w:lang w:val="es-CO"/>
        </w:rPr>
        <w:t>.</w:t>
      </w:r>
    </w:p>
    <w:p w14:paraId="30E0BF47" w14:textId="77777777" w:rsidR="00561B22" w:rsidRPr="00357B98" w:rsidRDefault="00561B22" w:rsidP="00561B22">
      <w:pPr>
        <w:pStyle w:val="Textoindependiente"/>
        <w:tabs>
          <w:tab w:val="left" w:pos="2055"/>
        </w:tabs>
        <w:spacing w:before="5"/>
        <w:rPr>
          <w:rFonts w:ascii="Arial" w:hAnsi="Arial" w:cs="Arial"/>
          <w:sz w:val="17"/>
        </w:rPr>
      </w:pPr>
    </w:p>
    <w:p w14:paraId="3916DA44" w14:textId="77777777" w:rsidR="00561B22" w:rsidRPr="00357B98" w:rsidRDefault="00561B22" w:rsidP="00561B22">
      <w:pPr>
        <w:pStyle w:val="Textoindependiente"/>
        <w:tabs>
          <w:tab w:val="left" w:pos="2055"/>
        </w:tabs>
        <w:spacing w:before="5"/>
        <w:rPr>
          <w:rFonts w:ascii="Arial" w:hAnsi="Arial" w:cs="Arial"/>
        </w:rPr>
      </w:pPr>
    </w:p>
    <w:p w14:paraId="3CC02384" w14:textId="77777777" w:rsidR="00561B22" w:rsidRPr="00E61D69" w:rsidRDefault="00561B22" w:rsidP="00561B22">
      <w:pPr>
        <w:jc w:val="both"/>
        <w:rPr>
          <w:rFonts w:ascii="Arial" w:hAnsi="Arial" w:cs="Arial"/>
          <w:b/>
          <w:sz w:val="28"/>
          <w:szCs w:val="28"/>
          <w:lang w:val="es-MX"/>
        </w:rPr>
      </w:pPr>
      <w:r w:rsidRPr="00E61D69">
        <w:rPr>
          <w:rFonts w:ascii="Arial" w:hAnsi="Arial" w:cs="Arial"/>
          <w:b/>
          <w:sz w:val="28"/>
          <w:szCs w:val="28"/>
          <w:lang w:val="es-MX"/>
        </w:rPr>
        <w:t>211.- PAR BANCO DEL ESTADO EN LIQUIDACIÓN – FIDUPREVISORA S.A.</w:t>
      </w:r>
    </w:p>
    <w:p w14:paraId="321F5D5D" w14:textId="77777777" w:rsidR="00561B22" w:rsidRDefault="00561B22" w:rsidP="00561B22">
      <w:pPr>
        <w:ind w:left="-284" w:right="-93"/>
        <w:jc w:val="both"/>
        <w:rPr>
          <w:rFonts w:ascii="Arial" w:eastAsia="Trebuchet MS" w:hAnsi="Arial" w:cs="Arial"/>
          <w:b/>
          <w:sz w:val="32"/>
          <w:szCs w:val="32"/>
          <w:u w:val="single"/>
          <w:lang w:eastAsia="es-CO"/>
        </w:rPr>
      </w:pPr>
    </w:p>
    <w:p w14:paraId="784D8D87" w14:textId="77777777" w:rsidR="00561B22" w:rsidRPr="00BD4DB3" w:rsidRDefault="00561B22" w:rsidP="00561B22">
      <w:pPr>
        <w:pStyle w:val="Textoindependiente"/>
        <w:ind w:right="-50"/>
        <w:jc w:val="center"/>
        <w:rPr>
          <w:rFonts w:ascii="Arial" w:hAnsi="Arial" w:cs="Arial"/>
          <w:b/>
          <w:bCs/>
        </w:rPr>
      </w:pPr>
      <w:r w:rsidRPr="00BD4DB3">
        <w:rPr>
          <w:rFonts w:ascii="Arial" w:hAnsi="Arial" w:cs="Arial"/>
          <w:b/>
          <w:bCs/>
        </w:rPr>
        <w:t>INFORME DE LA AUTOCALIFICACIÓN DEL SISTEMA DE CONTROL INTERNO CONTABLE:</w:t>
      </w:r>
    </w:p>
    <w:p w14:paraId="523B5E97" w14:textId="77777777" w:rsidR="00561B22" w:rsidRPr="00BD4DB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D4DB3" w14:paraId="4B7B0203" w14:textId="77777777" w:rsidTr="00F1223B">
        <w:tc>
          <w:tcPr>
            <w:tcW w:w="4981" w:type="dxa"/>
          </w:tcPr>
          <w:p w14:paraId="4AA8AC15" w14:textId="77777777" w:rsidR="00561B22" w:rsidRPr="00BD4DB3" w:rsidRDefault="00561B22" w:rsidP="00F1223B">
            <w:pPr>
              <w:jc w:val="center"/>
              <w:rPr>
                <w:rFonts w:ascii="Arial" w:hAnsi="Arial" w:cs="Arial"/>
                <w:b/>
                <w:sz w:val="22"/>
                <w:szCs w:val="22"/>
                <w:lang w:val="es-MX"/>
              </w:rPr>
            </w:pPr>
            <w:r w:rsidRPr="00BD4DB3">
              <w:rPr>
                <w:rFonts w:ascii="Arial" w:hAnsi="Arial" w:cs="Arial"/>
                <w:b/>
                <w:sz w:val="22"/>
                <w:szCs w:val="22"/>
                <w:lang w:val="es-MX"/>
              </w:rPr>
              <w:t>AUTOCALIFICACIÓN</w:t>
            </w:r>
          </w:p>
        </w:tc>
        <w:tc>
          <w:tcPr>
            <w:tcW w:w="4981" w:type="dxa"/>
          </w:tcPr>
          <w:p w14:paraId="43DE8AAE" w14:textId="77777777" w:rsidR="00561B22" w:rsidRPr="00BD4DB3" w:rsidRDefault="00561B22" w:rsidP="00F1223B">
            <w:pPr>
              <w:jc w:val="center"/>
              <w:rPr>
                <w:rFonts w:ascii="Arial" w:hAnsi="Arial" w:cs="Arial"/>
                <w:b/>
                <w:sz w:val="22"/>
                <w:szCs w:val="22"/>
                <w:u w:val="single"/>
                <w:lang w:val="es-MX"/>
              </w:rPr>
            </w:pPr>
            <w:r w:rsidRPr="00BD4DB3">
              <w:rPr>
                <w:rFonts w:ascii="Arial" w:hAnsi="Arial" w:cs="Arial"/>
                <w:b/>
                <w:sz w:val="22"/>
                <w:szCs w:val="22"/>
                <w:u w:val="single"/>
                <w:lang w:val="es-MX"/>
              </w:rPr>
              <w:t>4.95</w:t>
            </w:r>
          </w:p>
        </w:tc>
      </w:tr>
    </w:tbl>
    <w:p w14:paraId="49090DE6" w14:textId="77777777" w:rsidR="00561B22" w:rsidRPr="00BD4DB3" w:rsidRDefault="00561B22" w:rsidP="00561B22">
      <w:pPr>
        <w:pStyle w:val="Textoindependiente"/>
        <w:ind w:right="-50"/>
        <w:jc w:val="both"/>
        <w:rPr>
          <w:rFonts w:ascii="Arial" w:hAnsi="Arial" w:cs="Arial"/>
          <w:b/>
          <w:bCs/>
        </w:rPr>
      </w:pPr>
    </w:p>
    <w:p w14:paraId="7B66FE1A" w14:textId="77777777" w:rsidR="00561B22" w:rsidRPr="00BD4DB3" w:rsidRDefault="00561B22" w:rsidP="00561B22">
      <w:pPr>
        <w:pStyle w:val="Textoindependiente"/>
        <w:ind w:right="-50"/>
        <w:jc w:val="both"/>
        <w:rPr>
          <w:rFonts w:ascii="Arial" w:hAnsi="Arial" w:cs="Arial"/>
          <w:b/>
          <w:bCs/>
        </w:rPr>
      </w:pPr>
      <w:r w:rsidRPr="00BD4DB3">
        <w:rPr>
          <w:rFonts w:ascii="Arial" w:hAnsi="Arial" w:cs="Arial"/>
          <w:b/>
          <w:bCs/>
        </w:rPr>
        <w:t>Del informe enviado retomamos lo siguiente:</w:t>
      </w:r>
    </w:p>
    <w:p w14:paraId="392F2B93" w14:textId="77777777" w:rsidR="00561B22" w:rsidRPr="00BD4DB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D4DB3" w14:paraId="221E8456" w14:textId="77777777" w:rsidTr="00F1223B">
        <w:tc>
          <w:tcPr>
            <w:tcW w:w="562" w:type="dxa"/>
          </w:tcPr>
          <w:p w14:paraId="61A77141" w14:textId="77777777" w:rsidR="00561B22" w:rsidRPr="00BD4DB3" w:rsidRDefault="00561B22" w:rsidP="00F1223B">
            <w:pPr>
              <w:ind w:right="-109"/>
              <w:jc w:val="center"/>
              <w:rPr>
                <w:rFonts w:ascii="Arial" w:hAnsi="Arial" w:cs="Arial"/>
                <w:b/>
                <w:sz w:val="22"/>
                <w:szCs w:val="22"/>
                <w:lang w:val="es-MX"/>
              </w:rPr>
            </w:pPr>
            <w:r w:rsidRPr="00BD4DB3">
              <w:rPr>
                <w:rFonts w:ascii="Arial" w:hAnsi="Arial" w:cs="Arial"/>
                <w:b/>
                <w:sz w:val="22"/>
                <w:szCs w:val="22"/>
                <w:lang w:val="es-MX"/>
              </w:rPr>
              <w:t>N°</w:t>
            </w:r>
          </w:p>
        </w:tc>
        <w:tc>
          <w:tcPr>
            <w:tcW w:w="9400" w:type="dxa"/>
          </w:tcPr>
          <w:p w14:paraId="6FB0B60F" w14:textId="77777777" w:rsidR="00561B22" w:rsidRPr="00BD4DB3" w:rsidRDefault="00561B22" w:rsidP="00F1223B">
            <w:pPr>
              <w:jc w:val="center"/>
              <w:rPr>
                <w:rFonts w:ascii="Arial" w:hAnsi="Arial" w:cs="Arial"/>
                <w:b/>
                <w:sz w:val="22"/>
                <w:szCs w:val="22"/>
                <w:lang w:val="es-MX"/>
              </w:rPr>
            </w:pPr>
            <w:r w:rsidRPr="00BD4DB3">
              <w:rPr>
                <w:rFonts w:ascii="Arial" w:hAnsi="Arial" w:cs="Arial"/>
                <w:b/>
                <w:sz w:val="22"/>
                <w:szCs w:val="22"/>
                <w:lang w:val="es-MX"/>
              </w:rPr>
              <w:t>DEBILIDADES</w:t>
            </w:r>
          </w:p>
          <w:p w14:paraId="6945496B" w14:textId="77777777" w:rsidR="00561B22" w:rsidRPr="00BD4DB3" w:rsidRDefault="00561B22" w:rsidP="00F1223B">
            <w:pPr>
              <w:jc w:val="center"/>
              <w:rPr>
                <w:rFonts w:ascii="Arial" w:hAnsi="Arial" w:cs="Arial"/>
                <w:b/>
                <w:sz w:val="22"/>
                <w:szCs w:val="22"/>
                <w:lang w:val="es-MX"/>
              </w:rPr>
            </w:pPr>
          </w:p>
        </w:tc>
      </w:tr>
      <w:tr w:rsidR="00561B22" w:rsidRPr="00BD4DB3" w14:paraId="30AD1F9D" w14:textId="77777777" w:rsidTr="00F1223B">
        <w:tc>
          <w:tcPr>
            <w:tcW w:w="562" w:type="dxa"/>
          </w:tcPr>
          <w:p w14:paraId="07C79164" w14:textId="77777777" w:rsidR="00561B22" w:rsidRPr="00BD4DB3" w:rsidRDefault="00561B22" w:rsidP="00F1223B">
            <w:pPr>
              <w:jc w:val="center"/>
              <w:rPr>
                <w:rFonts w:ascii="Arial" w:hAnsi="Arial" w:cs="Arial"/>
                <w:b/>
                <w:sz w:val="22"/>
                <w:szCs w:val="22"/>
                <w:lang w:val="es-MX"/>
              </w:rPr>
            </w:pPr>
            <w:r w:rsidRPr="00BD4DB3">
              <w:rPr>
                <w:rFonts w:ascii="Arial" w:hAnsi="Arial" w:cs="Arial"/>
                <w:b/>
                <w:sz w:val="22"/>
                <w:szCs w:val="22"/>
                <w:lang w:val="es-MX"/>
              </w:rPr>
              <w:t>1</w:t>
            </w:r>
          </w:p>
        </w:tc>
        <w:tc>
          <w:tcPr>
            <w:tcW w:w="9400" w:type="dxa"/>
          </w:tcPr>
          <w:p w14:paraId="0E215B02" w14:textId="77777777" w:rsidR="00561B22" w:rsidRPr="00BD4DB3" w:rsidRDefault="00561B22" w:rsidP="00F1223B">
            <w:pPr>
              <w:rPr>
                <w:rFonts w:ascii="Arial" w:hAnsi="Arial" w:cs="Arial"/>
                <w:sz w:val="22"/>
                <w:szCs w:val="22"/>
                <w:lang w:val="es-MX"/>
              </w:rPr>
            </w:pPr>
            <w:r w:rsidRPr="00BD4DB3">
              <w:rPr>
                <w:rFonts w:ascii="Arial" w:hAnsi="Arial" w:cs="Arial"/>
                <w:sz w:val="22"/>
                <w:szCs w:val="22"/>
                <w:lang w:val="es-MX"/>
              </w:rPr>
              <w:t>Se identificaron debilidades en los consecutivos de los comprobantes contables</w:t>
            </w:r>
          </w:p>
        </w:tc>
      </w:tr>
    </w:tbl>
    <w:p w14:paraId="7CA2933D" w14:textId="77777777" w:rsidR="00561B22" w:rsidRPr="00BD4DB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D4DB3" w14:paraId="7D9074A7" w14:textId="77777777" w:rsidTr="00F1223B">
        <w:tc>
          <w:tcPr>
            <w:tcW w:w="562" w:type="dxa"/>
          </w:tcPr>
          <w:p w14:paraId="03F776C3" w14:textId="77777777" w:rsidR="00561B22" w:rsidRPr="00BD4DB3" w:rsidRDefault="00561B22" w:rsidP="00F1223B">
            <w:pPr>
              <w:ind w:right="-109"/>
              <w:jc w:val="center"/>
              <w:rPr>
                <w:rFonts w:ascii="Arial" w:hAnsi="Arial" w:cs="Arial"/>
                <w:b/>
                <w:sz w:val="22"/>
                <w:szCs w:val="22"/>
                <w:lang w:val="es-MX"/>
              </w:rPr>
            </w:pPr>
            <w:r w:rsidRPr="00BD4DB3">
              <w:rPr>
                <w:rFonts w:ascii="Arial" w:hAnsi="Arial" w:cs="Arial"/>
                <w:b/>
                <w:sz w:val="22"/>
                <w:szCs w:val="22"/>
                <w:lang w:val="es-MX"/>
              </w:rPr>
              <w:t>N°</w:t>
            </w:r>
          </w:p>
        </w:tc>
        <w:tc>
          <w:tcPr>
            <w:tcW w:w="9400" w:type="dxa"/>
          </w:tcPr>
          <w:p w14:paraId="4793C405" w14:textId="77777777" w:rsidR="00561B22" w:rsidRPr="00BD4DB3" w:rsidRDefault="00561B22" w:rsidP="00F1223B">
            <w:pPr>
              <w:jc w:val="center"/>
              <w:rPr>
                <w:rFonts w:ascii="Arial" w:hAnsi="Arial" w:cs="Arial"/>
                <w:b/>
                <w:sz w:val="22"/>
                <w:szCs w:val="22"/>
                <w:lang w:val="es-MX"/>
              </w:rPr>
            </w:pPr>
            <w:r w:rsidRPr="00BD4DB3">
              <w:rPr>
                <w:rFonts w:ascii="Arial" w:hAnsi="Arial" w:cs="Arial"/>
                <w:b/>
                <w:sz w:val="22"/>
                <w:szCs w:val="22"/>
                <w:lang w:val="es-MX"/>
              </w:rPr>
              <w:t>RECOMENDACIONES</w:t>
            </w:r>
          </w:p>
          <w:p w14:paraId="0AD3E1F7" w14:textId="77777777" w:rsidR="00561B22" w:rsidRPr="00BD4DB3" w:rsidRDefault="00561B22" w:rsidP="00F1223B">
            <w:pPr>
              <w:jc w:val="center"/>
              <w:rPr>
                <w:rFonts w:ascii="Arial" w:hAnsi="Arial" w:cs="Arial"/>
                <w:b/>
                <w:sz w:val="22"/>
                <w:szCs w:val="22"/>
                <w:lang w:val="es-MX"/>
              </w:rPr>
            </w:pPr>
          </w:p>
        </w:tc>
      </w:tr>
      <w:tr w:rsidR="00561B22" w:rsidRPr="00BD4DB3" w14:paraId="7C41C9D9" w14:textId="77777777" w:rsidTr="00F1223B">
        <w:tc>
          <w:tcPr>
            <w:tcW w:w="562" w:type="dxa"/>
          </w:tcPr>
          <w:p w14:paraId="29D82627" w14:textId="77777777" w:rsidR="00561B22" w:rsidRPr="00BD4DB3" w:rsidRDefault="00561B22" w:rsidP="00F1223B">
            <w:pPr>
              <w:jc w:val="center"/>
              <w:rPr>
                <w:rFonts w:ascii="Arial" w:hAnsi="Arial" w:cs="Arial"/>
                <w:b/>
                <w:sz w:val="22"/>
                <w:szCs w:val="22"/>
                <w:lang w:val="es-MX"/>
              </w:rPr>
            </w:pPr>
            <w:r w:rsidRPr="00BD4DB3">
              <w:rPr>
                <w:rFonts w:ascii="Arial" w:hAnsi="Arial" w:cs="Arial"/>
                <w:b/>
                <w:sz w:val="22"/>
                <w:szCs w:val="22"/>
                <w:lang w:val="es-MX"/>
              </w:rPr>
              <w:t>1</w:t>
            </w:r>
          </w:p>
        </w:tc>
        <w:tc>
          <w:tcPr>
            <w:tcW w:w="9400" w:type="dxa"/>
          </w:tcPr>
          <w:p w14:paraId="643C66D4" w14:textId="77777777" w:rsidR="00561B22" w:rsidRPr="00BD4DB3" w:rsidRDefault="00561B22" w:rsidP="00F1223B">
            <w:pPr>
              <w:jc w:val="both"/>
              <w:rPr>
                <w:rFonts w:ascii="Arial" w:hAnsi="Arial" w:cs="Arial"/>
                <w:sz w:val="22"/>
                <w:szCs w:val="22"/>
                <w:lang w:val="es-MX"/>
              </w:rPr>
            </w:pPr>
            <w:r w:rsidRPr="00BD4DB3">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 La automatización puede brindar mayor precisión, eficiencia y consistencia en las operaciones contables, agilizando significativamente el tiempo de procesamiento de datos y reduciendo la posibilidad de errores.</w:t>
            </w:r>
          </w:p>
        </w:tc>
      </w:tr>
    </w:tbl>
    <w:p w14:paraId="02E98D2F" w14:textId="77777777" w:rsidR="00561B22" w:rsidRPr="00BD4DB3" w:rsidRDefault="00561B22" w:rsidP="00561B22">
      <w:pPr>
        <w:pStyle w:val="Textoindependiente"/>
        <w:ind w:right="-50"/>
        <w:jc w:val="both"/>
        <w:rPr>
          <w:rFonts w:ascii="Arial" w:hAnsi="Arial" w:cs="Arial"/>
          <w:b/>
          <w:bCs/>
        </w:rPr>
      </w:pPr>
    </w:p>
    <w:p w14:paraId="54DA0795" w14:textId="77777777" w:rsidR="00561B22" w:rsidRPr="00BD4DB3" w:rsidRDefault="00561B22" w:rsidP="00561B22">
      <w:pPr>
        <w:jc w:val="both"/>
        <w:rPr>
          <w:rFonts w:ascii="Arial" w:hAnsi="Arial" w:cs="Arial"/>
          <w:b/>
          <w:bCs/>
          <w:sz w:val="24"/>
          <w:szCs w:val="24"/>
          <w:lang w:val="es-CO"/>
        </w:rPr>
      </w:pPr>
      <w:r w:rsidRPr="00BD4DB3">
        <w:rPr>
          <w:rFonts w:ascii="Arial" w:hAnsi="Arial" w:cs="Arial"/>
          <w:b/>
          <w:bCs/>
          <w:sz w:val="24"/>
          <w:szCs w:val="24"/>
          <w:lang w:val="es-CO"/>
        </w:rPr>
        <w:t xml:space="preserve">NOTA: LA ENTIDAD ENVIA LA MATRIZ DE AUTOEVALUACIÓN DEL SISTEMA DE CONTROL INTERNO CONTABLE CON </w:t>
      </w:r>
      <w:r w:rsidRPr="00BD4DB3">
        <w:rPr>
          <w:rFonts w:ascii="Arial" w:hAnsi="Arial" w:cs="Arial"/>
          <w:b/>
          <w:bCs/>
          <w:sz w:val="24"/>
          <w:szCs w:val="24"/>
          <w:u w:val="single"/>
          <w:lang w:val="es-CO"/>
        </w:rPr>
        <w:t>ACTIVIDADES DE CONTROL REALIZADAS EN FORMA PARCIAL</w:t>
      </w:r>
      <w:r w:rsidRPr="00BD4DB3">
        <w:rPr>
          <w:rFonts w:ascii="Arial" w:hAnsi="Arial" w:cs="Arial"/>
          <w:b/>
          <w:bCs/>
          <w:sz w:val="24"/>
          <w:szCs w:val="24"/>
          <w:lang w:val="es-CO"/>
        </w:rPr>
        <w:t>.</w:t>
      </w:r>
    </w:p>
    <w:p w14:paraId="4B61D239" w14:textId="77777777" w:rsidR="00561B22" w:rsidRPr="00BD4DB3" w:rsidRDefault="00561B22" w:rsidP="00561B22">
      <w:pPr>
        <w:pStyle w:val="Textoindependiente"/>
        <w:ind w:right="-50"/>
        <w:jc w:val="both"/>
        <w:rPr>
          <w:rFonts w:ascii="Arial" w:hAnsi="Arial" w:cs="Arial"/>
          <w:b/>
          <w:bCs/>
          <w:sz w:val="28"/>
          <w:szCs w:val="28"/>
        </w:rPr>
      </w:pPr>
    </w:p>
    <w:p w14:paraId="02CA9F31" w14:textId="77777777" w:rsidR="00561B22" w:rsidRPr="00B93A84" w:rsidRDefault="00561B22" w:rsidP="00561B22">
      <w:pPr>
        <w:jc w:val="both"/>
        <w:rPr>
          <w:rFonts w:ascii="Arial" w:hAnsi="Arial" w:cs="Arial"/>
          <w:b/>
          <w:sz w:val="28"/>
          <w:szCs w:val="28"/>
          <w:lang w:val="es-MX"/>
        </w:rPr>
      </w:pPr>
      <w:r w:rsidRPr="00B93A84">
        <w:rPr>
          <w:rFonts w:ascii="Arial" w:hAnsi="Arial" w:cs="Arial"/>
          <w:b/>
          <w:sz w:val="28"/>
          <w:szCs w:val="28"/>
          <w:lang w:val="es-MX"/>
        </w:rPr>
        <w:t xml:space="preserve">212.- </w:t>
      </w:r>
      <w:r w:rsidRPr="00B93A84">
        <w:rPr>
          <w:rFonts w:ascii="Arial" w:hAnsi="Arial" w:cs="Arial"/>
          <w:b/>
          <w:bCs/>
          <w:sz w:val="28"/>
          <w:szCs w:val="28"/>
        </w:rPr>
        <w:t>P.A. FONDO NACIONAL DEL PASIVO PENSIONAL Y PRESTACIONAL DE LA ELECTRIFICADORA DEL CARIBE S.A. E.S.P. - FONECA.</w:t>
      </w:r>
    </w:p>
    <w:p w14:paraId="3249BD0B" w14:textId="77777777" w:rsidR="00561B22" w:rsidRPr="00BD4DB3" w:rsidRDefault="00561B22" w:rsidP="00561B22">
      <w:pPr>
        <w:pStyle w:val="Textoindependiente"/>
        <w:tabs>
          <w:tab w:val="left" w:pos="2055"/>
        </w:tabs>
        <w:spacing w:before="5"/>
        <w:rPr>
          <w:rFonts w:ascii="Arial" w:hAnsi="Arial" w:cs="Arial"/>
          <w:sz w:val="17"/>
        </w:rPr>
      </w:pPr>
    </w:p>
    <w:p w14:paraId="51E62936" w14:textId="77777777" w:rsidR="00561B22" w:rsidRPr="00B93A84" w:rsidRDefault="00561B22" w:rsidP="00561B22">
      <w:pPr>
        <w:pStyle w:val="Textoindependiente"/>
        <w:ind w:right="-50"/>
        <w:jc w:val="center"/>
        <w:rPr>
          <w:rFonts w:ascii="Arial" w:hAnsi="Arial" w:cs="Arial"/>
          <w:b/>
          <w:bCs/>
        </w:rPr>
      </w:pPr>
      <w:r w:rsidRPr="00B93A84">
        <w:rPr>
          <w:rFonts w:ascii="Arial" w:hAnsi="Arial" w:cs="Arial"/>
          <w:b/>
          <w:bCs/>
        </w:rPr>
        <w:t>INFORME DE LA AUTOCALIFICACIÓN DEL SISTEMA DE CONTROL INTERNO CONTABLE:</w:t>
      </w:r>
    </w:p>
    <w:p w14:paraId="05C7E1C6" w14:textId="77777777" w:rsidR="00561B22" w:rsidRPr="00B93A8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93A84" w14:paraId="43122281" w14:textId="77777777" w:rsidTr="00F1223B">
        <w:trPr>
          <w:trHeight w:val="182"/>
        </w:trPr>
        <w:tc>
          <w:tcPr>
            <w:tcW w:w="4981" w:type="dxa"/>
          </w:tcPr>
          <w:p w14:paraId="602D24A5" w14:textId="77777777" w:rsidR="00561B22" w:rsidRPr="00B93A84" w:rsidRDefault="00561B22" w:rsidP="00F1223B">
            <w:pPr>
              <w:jc w:val="center"/>
              <w:rPr>
                <w:rFonts w:ascii="Arial" w:hAnsi="Arial" w:cs="Arial"/>
                <w:b/>
                <w:sz w:val="22"/>
                <w:szCs w:val="22"/>
                <w:lang w:val="es-MX"/>
              </w:rPr>
            </w:pPr>
            <w:r w:rsidRPr="00B93A84">
              <w:rPr>
                <w:rFonts w:ascii="Arial" w:hAnsi="Arial" w:cs="Arial"/>
                <w:b/>
                <w:sz w:val="22"/>
                <w:szCs w:val="22"/>
                <w:lang w:val="es-MX"/>
              </w:rPr>
              <w:t>AUTOCALIFICACIÓN</w:t>
            </w:r>
          </w:p>
        </w:tc>
        <w:tc>
          <w:tcPr>
            <w:tcW w:w="4981" w:type="dxa"/>
          </w:tcPr>
          <w:p w14:paraId="3EE3C53A" w14:textId="77777777" w:rsidR="00561B22" w:rsidRPr="00B93A84" w:rsidRDefault="00561B22" w:rsidP="00F1223B">
            <w:pPr>
              <w:jc w:val="center"/>
              <w:rPr>
                <w:rFonts w:ascii="Arial" w:hAnsi="Arial" w:cs="Arial"/>
                <w:b/>
                <w:sz w:val="22"/>
                <w:szCs w:val="22"/>
                <w:u w:val="single"/>
                <w:lang w:val="es-MX"/>
              </w:rPr>
            </w:pPr>
            <w:r w:rsidRPr="00B93A84">
              <w:rPr>
                <w:rFonts w:ascii="Arial" w:hAnsi="Arial" w:cs="Arial"/>
                <w:b/>
                <w:sz w:val="22"/>
                <w:szCs w:val="22"/>
                <w:u w:val="single"/>
                <w:lang w:val="es-MX"/>
              </w:rPr>
              <w:t>4.95</w:t>
            </w:r>
          </w:p>
        </w:tc>
      </w:tr>
    </w:tbl>
    <w:p w14:paraId="29C27FF0" w14:textId="77777777" w:rsidR="00561B22" w:rsidRPr="00B93A84" w:rsidRDefault="00561B22" w:rsidP="00561B22">
      <w:pPr>
        <w:pStyle w:val="Textoindependiente"/>
        <w:ind w:right="-50"/>
        <w:jc w:val="both"/>
        <w:rPr>
          <w:rFonts w:ascii="Arial" w:hAnsi="Arial" w:cs="Arial"/>
          <w:b/>
          <w:bCs/>
        </w:rPr>
      </w:pPr>
    </w:p>
    <w:p w14:paraId="25B2E232" w14:textId="77777777" w:rsidR="00561B22" w:rsidRPr="00B93A84" w:rsidRDefault="00561B22" w:rsidP="00561B22">
      <w:pPr>
        <w:pStyle w:val="Textoindependiente"/>
        <w:ind w:right="-50"/>
        <w:jc w:val="both"/>
        <w:rPr>
          <w:rFonts w:ascii="Arial" w:hAnsi="Arial" w:cs="Arial"/>
          <w:b/>
          <w:bCs/>
        </w:rPr>
      </w:pPr>
      <w:r w:rsidRPr="00B93A84">
        <w:rPr>
          <w:rFonts w:ascii="Arial" w:hAnsi="Arial" w:cs="Arial"/>
          <w:b/>
          <w:bCs/>
        </w:rPr>
        <w:t>Del informe enviado retomamos lo siguiente:</w:t>
      </w:r>
    </w:p>
    <w:p w14:paraId="5A9C60FE" w14:textId="77777777" w:rsidR="00561B22" w:rsidRPr="00B93A8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93A84" w14:paraId="03ECCFC2" w14:textId="77777777" w:rsidTr="00F1223B">
        <w:tc>
          <w:tcPr>
            <w:tcW w:w="562" w:type="dxa"/>
          </w:tcPr>
          <w:p w14:paraId="3C41DF65" w14:textId="77777777" w:rsidR="00561B22" w:rsidRPr="00B93A84" w:rsidRDefault="00561B22" w:rsidP="00F1223B">
            <w:pPr>
              <w:ind w:right="-109"/>
              <w:jc w:val="center"/>
              <w:rPr>
                <w:rFonts w:ascii="Arial" w:hAnsi="Arial" w:cs="Arial"/>
                <w:b/>
                <w:sz w:val="22"/>
                <w:szCs w:val="22"/>
                <w:lang w:val="es-MX"/>
              </w:rPr>
            </w:pPr>
            <w:r w:rsidRPr="00B93A84">
              <w:rPr>
                <w:rFonts w:ascii="Arial" w:hAnsi="Arial" w:cs="Arial"/>
                <w:b/>
                <w:sz w:val="22"/>
                <w:szCs w:val="22"/>
                <w:lang w:val="es-MX"/>
              </w:rPr>
              <w:t>N°</w:t>
            </w:r>
          </w:p>
        </w:tc>
        <w:tc>
          <w:tcPr>
            <w:tcW w:w="9400" w:type="dxa"/>
          </w:tcPr>
          <w:p w14:paraId="4623E77A" w14:textId="77777777" w:rsidR="00561B22" w:rsidRPr="00B93A84" w:rsidRDefault="00561B22" w:rsidP="00F1223B">
            <w:pPr>
              <w:jc w:val="center"/>
              <w:rPr>
                <w:rFonts w:ascii="Arial" w:hAnsi="Arial" w:cs="Arial"/>
                <w:b/>
                <w:sz w:val="22"/>
                <w:szCs w:val="22"/>
                <w:lang w:val="es-MX"/>
              </w:rPr>
            </w:pPr>
            <w:r w:rsidRPr="00B93A84">
              <w:rPr>
                <w:rFonts w:ascii="Arial" w:hAnsi="Arial" w:cs="Arial"/>
                <w:b/>
                <w:sz w:val="22"/>
                <w:szCs w:val="22"/>
                <w:lang w:val="es-MX"/>
              </w:rPr>
              <w:t>DEBILIDADES</w:t>
            </w:r>
          </w:p>
          <w:p w14:paraId="6A741F97" w14:textId="77777777" w:rsidR="00561B22" w:rsidRPr="00B93A84" w:rsidRDefault="00561B22" w:rsidP="00F1223B">
            <w:pPr>
              <w:jc w:val="center"/>
              <w:rPr>
                <w:rFonts w:ascii="Arial" w:hAnsi="Arial" w:cs="Arial"/>
                <w:b/>
                <w:sz w:val="22"/>
                <w:szCs w:val="22"/>
                <w:lang w:val="es-MX"/>
              </w:rPr>
            </w:pPr>
          </w:p>
        </w:tc>
      </w:tr>
      <w:tr w:rsidR="00561B22" w:rsidRPr="00B93A84" w14:paraId="2A8D80F2" w14:textId="77777777" w:rsidTr="00F1223B">
        <w:tc>
          <w:tcPr>
            <w:tcW w:w="562" w:type="dxa"/>
          </w:tcPr>
          <w:p w14:paraId="2EEAE82B" w14:textId="77777777" w:rsidR="00561B22" w:rsidRPr="00B93A84" w:rsidRDefault="00561B22" w:rsidP="00F1223B">
            <w:pPr>
              <w:jc w:val="center"/>
              <w:rPr>
                <w:rFonts w:ascii="Arial" w:hAnsi="Arial" w:cs="Arial"/>
                <w:b/>
                <w:sz w:val="22"/>
                <w:szCs w:val="22"/>
                <w:lang w:val="es-MX"/>
              </w:rPr>
            </w:pPr>
            <w:r w:rsidRPr="00B93A84">
              <w:rPr>
                <w:rFonts w:ascii="Arial" w:hAnsi="Arial" w:cs="Arial"/>
                <w:b/>
                <w:sz w:val="22"/>
                <w:szCs w:val="22"/>
                <w:lang w:val="es-MX"/>
              </w:rPr>
              <w:t>1</w:t>
            </w:r>
          </w:p>
        </w:tc>
        <w:tc>
          <w:tcPr>
            <w:tcW w:w="9400" w:type="dxa"/>
          </w:tcPr>
          <w:p w14:paraId="04D99749" w14:textId="77777777" w:rsidR="00561B22" w:rsidRPr="00B93A84" w:rsidRDefault="00561B22" w:rsidP="00F1223B">
            <w:pPr>
              <w:rPr>
                <w:rFonts w:ascii="Arial" w:hAnsi="Arial" w:cs="Arial"/>
                <w:sz w:val="22"/>
                <w:szCs w:val="22"/>
                <w:lang w:val="es-MX"/>
              </w:rPr>
            </w:pPr>
            <w:r w:rsidRPr="00B93A84">
              <w:rPr>
                <w:rFonts w:ascii="Arial" w:hAnsi="Arial" w:cs="Arial"/>
                <w:sz w:val="22"/>
                <w:szCs w:val="22"/>
              </w:rPr>
              <w:t>Se identificaron debilidades en los consecutivos de los comprobantes contables.</w:t>
            </w:r>
          </w:p>
        </w:tc>
      </w:tr>
    </w:tbl>
    <w:p w14:paraId="11988AF3" w14:textId="77777777" w:rsidR="00561B22" w:rsidRPr="00B93A84" w:rsidRDefault="00561B22" w:rsidP="00561B22">
      <w:pPr>
        <w:pStyle w:val="Textoindependiente"/>
        <w:ind w:right="-50"/>
        <w:jc w:val="both"/>
        <w:rPr>
          <w:rFonts w:ascii="Arial" w:hAnsi="Arial" w:cs="Arial"/>
          <w:b/>
          <w:bCs/>
        </w:rPr>
      </w:pPr>
    </w:p>
    <w:p w14:paraId="2417473F" w14:textId="77777777" w:rsidR="00561B22" w:rsidRPr="00B93A84" w:rsidRDefault="00561B22" w:rsidP="00561B22">
      <w:pPr>
        <w:jc w:val="both"/>
        <w:rPr>
          <w:rFonts w:ascii="Arial" w:hAnsi="Arial" w:cs="Arial"/>
          <w:b/>
          <w:lang w:val="es-MX"/>
        </w:rPr>
      </w:pPr>
      <w:r w:rsidRPr="00B93A84">
        <w:rPr>
          <w:rFonts w:ascii="Arial" w:hAnsi="Arial" w:cs="Arial"/>
          <w:b/>
          <w:lang w:val="es-MX"/>
        </w:rPr>
        <w:t>Del citado informe retomamos las siguientes recomendaciones:</w:t>
      </w:r>
    </w:p>
    <w:p w14:paraId="2C1513DB" w14:textId="77777777" w:rsidR="00561B22" w:rsidRPr="00B93A8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93A84" w14:paraId="77D3D952" w14:textId="77777777" w:rsidTr="00F1223B">
        <w:tc>
          <w:tcPr>
            <w:tcW w:w="562" w:type="dxa"/>
          </w:tcPr>
          <w:p w14:paraId="3FA7757A" w14:textId="77777777" w:rsidR="00561B22" w:rsidRPr="00B93A84" w:rsidRDefault="00561B22" w:rsidP="00F1223B">
            <w:pPr>
              <w:ind w:right="-109"/>
              <w:jc w:val="center"/>
              <w:rPr>
                <w:rFonts w:ascii="Arial" w:hAnsi="Arial" w:cs="Arial"/>
                <w:b/>
                <w:sz w:val="22"/>
                <w:szCs w:val="22"/>
                <w:lang w:val="es-MX"/>
              </w:rPr>
            </w:pPr>
            <w:r w:rsidRPr="00B93A84">
              <w:rPr>
                <w:rFonts w:ascii="Arial" w:hAnsi="Arial" w:cs="Arial"/>
                <w:b/>
                <w:sz w:val="22"/>
                <w:szCs w:val="22"/>
                <w:lang w:val="es-MX"/>
              </w:rPr>
              <w:t>N°</w:t>
            </w:r>
          </w:p>
        </w:tc>
        <w:tc>
          <w:tcPr>
            <w:tcW w:w="9400" w:type="dxa"/>
          </w:tcPr>
          <w:p w14:paraId="165296A6" w14:textId="77777777" w:rsidR="00561B22" w:rsidRPr="00B93A84" w:rsidRDefault="00561B22" w:rsidP="00F1223B">
            <w:pPr>
              <w:jc w:val="center"/>
              <w:rPr>
                <w:rFonts w:ascii="Arial" w:hAnsi="Arial" w:cs="Arial"/>
                <w:b/>
                <w:sz w:val="22"/>
                <w:szCs w:val="22"/>
                <w:lang w:val="es-MX"/>
              </w:rPr>
            </w:pPr>
            <w:r w:rsidRPr="00B93A84">
              <w:rPr>
                <w:rFonts w:ascii="Arial" w:hAnsi="Arial" w:cs="Arial"/>
                <w:b/>
                <w:sz w:val="22"/>
                <w:szCs w:val="22"/>
                <w:lang w:val="es-MX"/>
              </w:rPr>
              <w:t>RECOMENDACIONES</w:t>
            </w:r>
          </w:p>
          <w:p w14:paraId="796A2329" w14:textId="77777777" w:rsidR="00561B22" w:rsidRPr="00B93A84" w:rsidRDefault="00561B22" w:rsidP="00F1223B">
            <w:pPr>
              <w:jc w:val="center"/>
              <w:rPr>
                <w:rFonts w:ascii="Arial" w:hAnsi="Arial" w:cs="Arial"/>
                <w:b/>
                <w:sz w:val="22"/>
                <w:szCs w:val="22"/>
                <w:lang w:val="es-MX"/>
              </w:rPr>
            </w:pPr>
          </w:p>
        </w:tc>
      </w:tr>
      <w:tr w:rsidR="00561B22" w:rsidRPr="00B93A84" w14:paraId="28672C3D" w14:textId="77777777" w:rsidTr="00F1223B">
        <w:tc>
          <w:tcPr>
            <w:tcW w:w="562" w:type="dxa"/>
          </w:tcPr>
          <w:p w14:paraId="154521B1" w14:textId="77777777" w:rsidR="00561B22" w:rsidRPr="00B93A84" w:rsidRDefault="00561B22" w:rsidP="00F1223B">
            <w:pPr>
              <w:jc w:val="center"/>
              <w:rPr>
                <w:rFonts w:ascii="Arial" w:hAnsi="Arial" w:cs="Arial"/>
                <w:b/>
                <w:sz w:val="22"/>
                <w:szCs w:val="22"/>
                <w:lang w:val="es-MX"/>
              </w:rPr>
            </w:pPr>
            <w:r w:rsidRPr="00B93A84">
              <w:rPr>
                <w:rFonts w:ascii="Arial" w:hAnsi="Arial" w:cs="Arial"/>
                <w:b/>
                <w:sz w:val="22"/>
                <w:szCs w:val="22"/>
                <w:lang w:val="es-MX"/>
              </w:rPr>
              <w:t>1</w:t>
            </w:r>
          </w:p>
        </w:tc>
        <w:tc>
          <w:tcPr>
            <w:tcW w:w="9400" w:type="dxa"/>
          </w:tcPr>
          <w:p w14:paraId="182A435E" w14:textId="77777777" w:rsidR="00561B22" w:rsidRPr="00B93A84" w:rsidRDefault="00561B22" w:rsidP="00F1223B">
            <w:pPr>
              <w:jc w:val="both"/>
              <w:rPr>
                <w:rFonts w:ascii="Arial" w:hAnsi="Arial" w:cs="Arial"/>
                <w:sz w:val="22"/>
                <w:szCs w:val="22"/>
                <w:lang w:val="es-MX"/>
              </w:rPr>
            </w:pPr>
            <w:r w:rsidRPr="00B93A84">
              <w:rPr>
                <w:rFonts w:ascii="Arial" w:hAnsi="Arial" w:cs="Arial"/>
                <w:sz w:val="22"/>
                <w:szCs w:val="22"/>
                <w:lang w:val="es-MX"/>
              </w:rPr>
              <w:t>Se recomienda continuar con el fortalecimiento y la implementación de los procesos de automatización contable, con el fin de mitigar cualquier riesgo asociado con los registros y cálculos manuales, incluyendo errores humanos y demoras en el procesamiento. La automatización puede brindar mayor precisión, eficiencia y consistencia en las operaciones contables, agilizando significativamente el tiempo de procesamiento de datos y reduciendo la posibilidad de errores.</w:t>
            </w:r>
          </w:p>
        </w:tc>
      </w:tr>
    </w:tbl>
    <w:p w14:paraId="1918F7C1" w14:textId="77777777" w:rsidR="00561B22" w:rsidRPr="00B93A84" w:rsidRDefault="00561B22" w:rsidP="00561B22">
      <w:pPr>
        <w:pStyle w:val="Textoindependiente"/>
        <w:ind w:right="-50"/>
        <w:jc w:val="both"/>
        <w:rPr>
          <w:rFonts w:ascii="Arial" w:hAnsi="Arial" w:cs="Arial"/>
          <w:b/>
          <w:bCs/>
        </w:rPr>
      </w:pPr>
    </w:p>
    <w:p w14:paraId="6DE5678D" w14:textId="77777777" w:rsidR="00561B22" w:rsidRPr="00B93A84" w:rsidRDefault="00561B22" w:rsidP="00561B22">
      <w:pPr>
        <w:jc w:val="both"/>
        <w:rPr>
          <w:rFonts w:ascii="Arial" w:hAnsi="Arial" w:cs="Arial"/>
          <w:b/>
          <w:bCs/>
          <w:sz w:val="24"/>
          <w:szCs w:val="24"/>
          <w:lang w:val="es-CO"/>
        </w:rPr>
      </w:pPr>
      <w:r w:rsidRPr="00B93A84">
        <w:rPr>
          <w:rFonts w:ascii="Arial" w:hAnsi="Arial" w:cs="Arial"/>
          <w:b/>
          <w:bCs/>
          <w:sz w:val="24"/>
          <w:szCs w:val="24"/>
          <w:lang w:val="es-CO"/>
        </w:rPr>
        <w:t xml:space="preserve">NOTA: LA ENTIDAD ENVIA LA MATRIZ DE AUTOEVALUACIÓN DEL SISTEMA DE CONTROL INTERNO CONTABLE CON </w:t>
      </w:r>
      <w:r w:rsidRPr="00B93A84">
        <w:rPr>
          <w:rFonts w:ascii="Arial" w:hAnsi="Arial" w:cs="Arial"/>
          <w:b/>
          <w:bCs/>
          <w:sz w:val="24"/>
          <w:szCs w:val="24"/>
          <w:u w:val="single"/>
          <w:lang w:val="es-CO"/>
        </w:rPr>
        <w:t>ACTIVIDADES DE CONTROL REALIZADAS EN FORMA PARCIAL</w:t>
      </w:r>
      <w:r w:rsidRPr="00B93A84">
        <w:rPr>
          <w:rFonts w:ascii="Arial" w:hAnsi="Arial" w:cs="Arial"/>
          <w:b/>
          <w:bCs/>
          <w:sz w:val="24"/>
          <w:szCs w:val="24"/>
          <w:lang w:val="es-CO"/>
        </w:rPr>
        <w:t>.</w:t>
      </w:r>
    </w:p>
    <w:p w14:paraId="14C26E28" w14:textId="77777777" w:rsidR="00561B22" w:rsidRDefault="00561B22" w:rsidP="00561B22">
      <w:pPr>
        <w:pStyle w:val="Textoindependiente"/>
        <w:ind w:right="-50"/>
        <w:jc w:val="both"/>
        <w:rPr>
          <w:b/>
          <w:bCs/>
          <w:sz w:val="28"/>
          <w:szCs w:val="28"/>
        </w:rPr>
      </w:pPr>
    </w:p>
    <w:p w14:paraId="0208B799" w14:textId="77777777" w:rsidR="00561B22" w:rsidRPr="007D0E72" w:rsidRDefault="00561B22" w:rsidP="00561B22">
      <w:pPr>
        <w:jc w:val="both"/>
        <w:rPr>
          <w:rFonts w:ascii="Arial" w:hAnsi="Arial" w:cs="Arial"/>
          <w:b/>
          <w:sz w:val="28"/>
          <w:szCs w:val="28"/>
          <w:lang w:val="es-MX"/>
        </w:rPr>
      </w:pPr>
      <w:r w:rsidRPr="007D0E72">
        <w:rPr>
          <w:rFonts w:ascii="Arial" w:hAnsi="Arial" w:cs="Arial"/>
          <w:b/>
          <w:sz w:val="28"/>
          <w:szCs w:val="28"/>
          <w:lang w:val="es-MX"/>
        </w:rPr>
        <w:t>213.- PAR ELECTRIFICADORA DE BOLÍVAR S.A. E.S.P EN LIQUIDACIÓN - FIDUPREVISORA.</w:t>
      </w:r>
    </w:p>
    <w:p w14:paraId="23780B80" w14:textId="77777777" w:rsidR="00561B22" w:rsidRPr="00BD4DB3" w:rsidRDefault="00561B22" w:rsidP="00561B22">
      <w:pPr>
        <w:pStyle w:val="Textoindependiente"/>
        <w:tabs>
          <w:tab w:val="left" w:pos="2055"/>
        </w:tabs>
        <w:spacing w:before="5"/>
        <w:rPr>
          <w:rFonts w:ascii="Arial" w:hAnsi="Arial" w:cs="Arial"/>
          <w:sz w:val="17"/>
        </w:rPr>
      </w:pPr>
    </w:p>
    <w:p w14:paraId="4F5DF9B4" w14:textId="77777777" w:rsidR="00561B22" w:rsidRPr="007D0E72" w:rsidRDefault="00561B22" w:rsidP="00561B22">
      <w:pPr>
        <w:pStyle w:val="Textoindependiente"/>
        <w:ind w:right="-50"/>
        <w:jc w:val="both"/>
        <w:rPr>
          <w:rFonts w:ascii="Arial" w:hAnsi="Arial" w:cs="Arial"/>
          <w:b/>
          <w:bCs/>
          <w:sz w:val="24"/>
          <w:szCs w:val="24"/>
        </w:rPr>
      </w:pPr>
      <w:r w:rsidRPr="007D0E72">
        <w:rPr>
          <w:rFonts w:ascii="Arial" w:hAnsi="Arial" w:cs="Arial"/>
          <w:b/>
          <w:bCs/>
          <w:sz w:val="24"/>
          <w:szCs w:val="24"/>
        </w:rPr>
        <w:t>“Párrafo de énfasis por recursos insuficientes para cubrir posibles contingencias.</w:t>
      </w:r>
    </w:p>
    <w:p w14:paraId="634154D1" w14:textId="77777777" w:rsidR="00561B22" w:rsidRPr="007D0E72" w:rsidRDefault="00561B22" w:rsidP="00561B22">
      <w:pPr>
        <w:pStyle w:val="Textoindependiente"/>
        <w:ind w:right="-50"/>
        <w:jc w:val="both"/>
        <w:rPr>
          <w:rFonts w:ascii="Arial" w:hAnsi="Arial" w:cs="Arial"/>
          <w:b/>
          <w:bCs/>
          <w:sz w:val="24"/>
          <w:szCs w:val="24"/>
        </w:rPr>
      </w:pPr>
    </w:p>
    <w:p w14:paraId="5C5FBB61" w14:textId="77777777" w:rsidR="00561B22" w:rsidRPr="007D0E72" w:rsidRDefault="00561B22" w:rsidP="00561B22">
      <w:pPr>
        <w:pStyle w:val="Textoindependiente"/>
        <w:ind w:right="-50"/>
        <w:jc w:val="both"/>
        <w:rPr>
          <w:rFonts w:ascii="Arial" w:hAnsi="Arial" w:cs="Arial"/>
          <w:sz w:val="24"/>
          <w:szCs w:val="24"/>
        </w:rPr>
      </w:pPr>
      <w:r w:rsidRPr="007D0E72">
        <w:rPr>
          <w:rFonts w:ascii="Arial" w:hAnsi="Arial" w:cs="Arial"/>
          <w:sz w:val="24"/>
          <w:szCs w:val="24"/>
        </w:rPr>
        <w:t>Sin calificar mi opinión, llamo la atención sobre la Nota 7 “Patrimonio”. Se observa que el Fideicomiso tiene un patrimonio negativo de ($2,186,000,000), derivado de pérdidas acumuladas. Por lo anterior, no cuenta con los recursos suficientes para dar respuesta a sus pasivos, en especial lo referente a contingencias que mantiene con alta probabilidad de fallo en contra.</w:t>
      </w:r>
    </w:p>
    <w:p w14:paraId="5FA44FD4" w14:textId="77777777" w:rsidR="00561B22" w:rsidRPr="007D0E72" w:rsidRDefault="00561B22" w:rsidP="00561B22">
      <w:pPr>
        <w:pStyle w:val="Textoindependiente"/>
        <w:ind w:right="-50"/>
        <w:jc w:val="both"/>
        <w:rPr>
          <w:rFonts w:ascii="Arial" w:hAnsi="Arial" w:cs="Arial"/>
          <w:sz w:val="24"/>
          <w:szCs w:val="24"/>
        </w:rPr>
      </w:pPr>
    </w:p>
    <w:p w14:paraId="3D975ED1" w14:textId="77777777" w:rsidR="00561B22" w:rsidRPr="007D0E72" w:rsidRDefault="00561B22" w:rsidP="00561B22">
      <w:pPr>
        <w:pStyle w:val="Textoindependiente"/>
        <w:ind w:right="-50"/>
        <w:jc w:val="both"/>
        <w:rPr>
          <w:rFonts w:ascii="Arial" w:hAnsi="Arial" w:cs="Arial"/>
          <w:b/>
          <w:bCs/>
          <w:sz w:val="24"/>
          <w:szCs w:val="24"/>
        </w:rPr>
      </w:pPr>
      <w:r w:rsidRPr="007D0E72">
        <w:rPr>
          <w:rFonts w:ascii="Arial" w:hAnsi="Arial" w:cs="Arial"/>
          <w:b/>
          <w:bCs/>
          <w:sz w:val="24"/>
          <w:szCs w:val="24"/>
        </w:rPr>
        <w:t>Párrafo de Énfasis – Negocio Fiduciario en Liquidación.</w:t>
      </w:r>
    </w:p>
    <w:p w14:paraId="731D59DB" w14:textId="77777777" w:rsidR="00561B22" w:rsidRPr="007D0E72" w:rsidRDefault="00561B22" w:rsidP="00561B22">
      <w:pPr>
        <w:pStyle w:val="Textoindependiente"/>
        <w:ind w:right="-50"/>
        <w:jc w:val="both"/>
        <w:rPr>
          <w:rFonts w:ascii="Arial" w:hAnsi="Arial" w:cs="Arial"/>
          <w:b/>
          <w:bCs/>
          <w:sz w:val="24"/>
          <w:szCs w:val="24"/>
        </w:rPr>
      </w:pPr>
    </w:p>
    <w:p w14:paraId="480D0FE8" w14:textId="77777777" w:rsidR="00561B22" w:rsidRPr="007D0E72" w:rsidRDefault="00561B22" w:rsidP="00561B22">
      <w:pPr>
        <w:pStyle w:val="Textoindependiente"/>
        <w:ind w:right="-50"/>
        <w:jc w:val="both"/>
        <w:rPr>
          <w:rFonts w:ascii="Arial" w:hAnsi="Arial" w:cs="Arial"/>
          <w:sz w:val="24"/>
          <w:szCs w:val="24"/>
        </w:rPr>
      </w:pPr>
      <w:r w:rsidRPr="007D0E72">
        <w:rPr>
          <w:rFonts w:ascii="Arial" w:hAnsi="Arial" w:cs="Arial"/>
          <w:sz w:val="24"/>
          <w:szCs w:val="24"/>
        </w:rPr>
        <w:t>Sin calificar mi informe, tal y como lo menciona la nota 1, el negocio fiduciario al 31 de diciembre de 2024 se encuentra en proceso de liquidación en virtud del cumplimiento del objeto contractual, razón por la cual Fiduprevisora S.A. se encuentra gestionando las actividades para la liquidación del negocio fiduciario”.</w:t>
      </w:r>
    </w:p>
    <w:p w14:paraId="3828201B" w14:textId="77777777" w:rsidR="00561B22" w:rsidRDefault="00561B22" w:rsidP="00561B22">
      <w:pPr>
        <w:pStyle w:val="Textoindependiente"/>
        <w:ind w:right="-50"/>
        <w:jc w:val="both"/>
        <w:rPr>
          <w:rFonts w:ascii="Arial" w:hAnsi="Arial" w:cs="Arial"/>
          <w:sz w:val="24"/>
          <w:szCs w:val="24"/>
        </w:rPr>
      </w:pPr>
    </w:p>
    <w:p w14:paraId="76648A11" w14:textId="26680093" w:rsidR="00561B22" w:rsidRPr="00A357B0" w:rsidRDefault="00561B22" w:rsidP="00561B22">
      <w:pPr>
        <w:jc w:val="both"/>
        <w:rPr>
          <w:rFonts w:ascii="Arial" w:hAnsi="Arial" w:cs="Arial"/>
          <w:b/>
          <w:sz w:val="28"/>
          <w:szCs w:val="28"/>
          <w:lang w:val="es-MX"/>
        </w:rPr>
      </w:pPr>
      <w:r w:rsidRPr="00A357B0">
        <w:rPr>
          <w:rFonts w:ascii="Arial" w:hAnsi="Arial" w:cs="Arial"/>
          <w:b/>
          <w:sz w:val="28"/>
          <w:szCs w:val="28"/>
          <w:lang w:val="es-MX"/>
        </w:rPr>
        <w:t xml:space="preserve">214.- </w:t>
      </w:r>
      <w:r w:rsidRPr="00A357B0">
        <w:rPr>
          <w:rFonts w:ascii="Arial" w:hAnsi="Arial" w:cs="Arial"/>
          <w:b/>
          <w:sz w:val="28"/>
          <w:szCs w:val="28"/>
          <w:lang w:val="es-CO"/>
        </w:rPr>
        <w:t>E.S.E</w:t>
      </w:r>
      <w:r w:rsidR="0008150C">
        <w:rPr>
          <w:rFonts w:ascii="Arial" w:hAnsi="Arial" w:cs="Arial"/>
          <w:b/>
          <w:sz w:val="28"/>
          <w:szCs w:val="28"/>
          <w:lang w:val="es-CO"/>
        </w:rPr>
        <w:t>.</w:t>
      </w:r>
      <w:r w:rsidRPr="00A357B0">
        <w:rPr>
          <w:rFonts w:ascii="Arial" w:hAnsi="Arial" w:cs="Arial"/>
          <w:b/>
          <w:sz w:val="28"/>
          <w:szCs w:val="28"/>
          <w:lang w:val="es-CO"/>
        </w:rPr>
        <w:t xml:space="preserve"> - INSTITUTO NACIONAL DE CANCEROLOGÍA</w:t>
      </w:r>
      <w:r w:rsidRPr="00A357B0">
        <w:rPr>
          <w:rFonts w:ascii="Arial" w:hAnsi="Arial" w:cs="Arial"/>
          <w:b/>
          <w:sz w:val="28"/>
          <w:szCs w:val="28"/>
          <w:lang w:val="es-MX"/>
        </w:rPr>
        <w:t>.</w:t>
      </w:r>
    </w:p>
    <w:p w14:paraId="0A119B5A" w14:textId="77777777" w:rsidR="00561B22" w:rsidRPr="007D0E72" w:rsidRDefault="00561B22" w:rsidP="00561B22">
      <w:pPr>
        <w:pStyle w:val="Textoindependiente"/>
        <w:ind w:right="-50"/>
        <w:jc w:val="both"/>
        <w:rPr>
          <w:rFonts w:ascii="Arial" w:hAnsi="Arial" w:cs="Arial"/>
          <w:sz w:val="24"/>
          <w:szCs w:val="24"/>
        </w:rPr>
      </w:pPr>
    </w:p>
    <w:p w14:paraId="608171D5" w14:textId="77777777" w:rsidR="00561B22" w:rsidRPr="00A357B0" w:rsidRDefault="00561B22" w:rsidP="00561B22">
      <w:pPr>
        <w:pStyle w:val="Textoindependiente"/>
        <w:jc w:val="center"/>
        <w:rPr>
          <w:rFonts w:ascii="Arial" w:hAnsi="Arial" w:cs="Arial"/>
          <w:b/>
          <w:bCs/>
        </w:rPr>
      </w:pPr>
      <w:r w:rsidRPr="00A357B0">
        <w:rPr>
          <w:rFonts w:ascii="Arial" w:hAnsi="Arial" w:cs="Arial"/>
          <w:b/>
          <w:bCs/>
        </w:rPr>
        <w:t>INFORME DE LA AUTOCALIFICACIÓN DEL SISTEMA DE CONTROL INTERNO CONTABLE:</w:t>
      </w:r>
    </w:p>
    <w:p w14:paraId="60F8E3AD" w14:textId="77777777" w:rsidR="00561B22" w:rsidRPr="00A357B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357B0" w14:paraId="03E215F1" w14:textId="77777777" w:rsidTr="00F1223B">
        <w:tc>
          <w:tcPr>
            <w:tcW w:w="4981" w:type="dxa"/>
          </w:tcPr>
          <w:p w14:paraId="474341E2"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AUTOCALIFICACIÓN</w:t>
            </w:r>
          </w:p>
        </w:tc>
        <w:tc>
          <w:tcPr>
            <w:tcW w:w="4981" w:type="dxa"/>
          </w:tcPr>
          <w:p w14:paraId="7A43535D" w14:textId="77777777" w:rsidR="00561B22" w:rsidRPr="00A357B0" w:rsidRDefault="00561B22" w:rsidP="00F1223B">
            <w:pPr>
              <w:jc w:val="center"/>
              <w:rPr>
                <w:rFonts w:ascii="Arial" w:hAnsi="Arial" w:cs="Arial"/>
                <w:b/>
                <w:sz w:val="22"/>
                <w:szCs w:val="22"/>
                <w:u w:val="single"/>
                <w:lang w:val="es-MX"/>
              </w:rPr>
            </w:pPr>
            <w:r w:rsidRPr="00A357B0">
              <w:rPr>
                <w:rFonts w:ascii="Arial" w:hAnsi="Arial" w:cs="Arial"/>
                <w:b/>
                <w:sz w:val="22"/>
                <w:szCs w:val="22"/>
                <w:u w:val="single"/>
                <w:lang w:val="es-MX"/>
              </w:rPr>
              <w:t>4.89</w:t>
            </w:r>
          </w:p>
        </w:tc>
      </w:tr>
    </w:tbl>
    <w:p w14:paraId="13707B78" w14:textId="77777777" w:rsidR="00561B22" w:rsidRPr="00A357B0" w:rsidRDefault="00561B22" w:rsidP="00561B22">
      <w:pPr>
        <w:pStyle w:val="Textoindependiente"/>
        <w:jc w:val="both"/>
        <w:rPr>
          <w:rFonts w:ascii="Arial" w:hAnsi="Arial" w:cs="Arial"/>
          <w:b/>
          <w:bCs/>
        </w:rPr>
      </w:pPr>
    </w:p>
    <w:p w14:paraId="5D3D77EB" w14:textId="77777777" w:rsidR="00561B22" w:rsidRPr="00A357B0" w:rsidRDefault="00561B22" w:rsidP="00561B22">
      <w:pPr>
        <w:pStyle w:val="Textoindependiente"/>
        <w:jc w:val="both"/>
        <w:rPr>
          <w:rFonts w:ascii="Arial" w:hAnsi="Arial" w:cs="Arial"/>
          <w:b/>
          <w:bCs/>
        </w:rPr>
      </w:pPr>
      <w:r w:rsidRPr="00A357B0">
        <w:rPr>
          <w:rFonts w:ascii="Arial" w:hAnsi="Arial" w:cs="Arial"/>
          <w:b/>
          <w:bCs/>
        </w:rPr>
        <w:t>Del informe enviado retomamos lo siguiente:</w:t>
      </w:r>
    </w:p>
    <w:p w14:paraId="1A2E5D99" w14:textId="77777777" w:rsidR="00561B22" w:rsidRPr="00A357B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357B0" w14:paraId="54504E56" w14:textId="77777777" w:rsidTr="00F1223B">
        <w:tc>
          <w:tcPr>
            <w:tcW w:w="562" w:type="dxa"/>
          </w:tcPr>
          <w:p w14:paraId="7FC96748"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N°</w:t>
            </w:r>
          </w:p>
        </w:tc>
        <w:tc>
          <w:tcPr>
            <w:tcW w:w="9400" w:type="dxa"/>
          </w:tcPr>
          <w:p w14:paraId="6C8C37E7"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DEBILIDADES</w:t>
            </w:r>
          </w:p>
          <w:p w14:paraId="5A4997C5" w14:textId="77777777" w:rsidR="00561B22" w:rsidRPr="00A357B0" w:rsidRDefault="00561B22" w:rsidP="00F1223B">
            <w:pPr>
              <w:jc w:val="center"/>
              <w:rPr>
                <w:rFonts w:ascii="Arial" w:hAnsi="Arial" w:cs="Arial"/>
                <w:b/>
                <w:sz w:val="22"/>
                <w:szCs w:val="22"/>
                <w:lang w:val="es-MX"/>
              </w:rPr>
            </w:pPr>
          </w:p>
        </w:tc>
      </w:tr>
      <w:tr w:rsidR="00561B22" w:rsidRPr="00A357B0" w14:paraId="1A62F592" w14:textId="77777777" w:rsidTr="00F1223B">
        <w:tc>
          <w:tcPr>
            <w:tcW w:w="562" w:type="dxa"/>
          </w:tcPr>
          <w:p w14:paraId="27DA170E"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1</w:t>
            </w:r>
          </w:p>
        </w:tc>
        <w:tc>
          <w:tcPr>
            <w:tcW w:w="9400" w:type="dxa"/>
          </w:tcPr>
          <w:p w14:paraId="74B33772" w14:textId="77777777" w:rsidR="00561B22" w:rsidRPr="00A357B0" w:rsidRDefault="00561B22" w:rsidP="00F1223B">
            <w:pPr>
              <w:jc w:val="both"/>
              <w:rPr>
                <w:rFonts w:ascii="Arial" w:hAnsi="Arial" w:cs="Arial"/>
                <w:sz w:val="22"/>
                <w:szCs w:val="22"/>
                <w:lang w:val="es-CO"/>
              </w:rPr>
            </w:pPr>
            <w:r w:rsidRPr="00A357B0">
              <w:rPr>
                <w:rFonts w:ascii="Arial" w:hAnsi="Arial" w:cs="Arial"/>
                <w:sz w:val="22"/>
                <w:szCs w:val="22"/>
                <w:lang w:val="es-CO"/>
              </w:rPr>
              <w:t xml:space="preserve">En los soportes de socializaciones de procedimientos, de capacitaciones, entre otros. </w:t>
            </w:r>
          </w:p>
        </w:tc>
      </w:tr>
      <w:tr w:rsidR="00561B22" w:rsidRPr="00A357B0" w14:paraId="0F41B946" w14:textId="77777777" w:rsidTr="00F1223B">
        <w:tc>
          <w:tcPr>
            <w:tcW w:w="562" w:type="dxa"/>
          </w:tcPr>
          <w:p w14:paraId="61739DE8"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2</w:t>
            </w:r>
          </w:p>
        </w:tc>
        <w:tc>
          <w:tcPr>
            <w:tcW w:w="9400" w:type="dxa"/>
          </w:tcPr>
          <w:p w14:paraId="2B7DAC24" w14:textId="77777777" w:rsidR="00561B22" w:rsidRPr="00A357B0" w:rsidRDefault="00561B22" w:rsidP="00F1223B">
            <w:pPr>
              <w:rPr>
                <w:rFonts w:ascii="Arial" w:hAnsi="Arial" w:cs="Arial"/>
                <w:sz w:val="22"/>
                <w:szCs w:val="22"/>
                <w:lang w:val="es-MX"/>
              </w:rPr>
            </w:pPr>
            <w:r w:rsidRPr="00A357B0">
              <w:rPr>
                <w:rFonts w:ascii="Arial" w:hAnsi="Arial" w:cs="Arial"/>
                <w:sz w:val="22"/>
                <w:szCs w:val="22"/>
                <w:lang w:val="es-CO"/>
              </w:rPr>
              <w:t>Falta de estrategias cuando no se disponga de recursos para capacitaciones a través de un tercero.</w:t>
            </w:r>
          </w:p>
        </w:tc>
      </w:tr>
      <w:tr w:rsidR="00561B22" w:rsidRPr="00A357B0" w14:paraId="479F95BB" w14:textId="77777777" w:rsidTr="00F1223B">
        <w:tc>
          <w:tcPr>
            <w:tcW w:w="562" w:type="dxa"/>
          </w:tcPr>
          <w:p w14:paraId="676D5DE3"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3</w:t>
            </w:r>
          </w:p>
        </w:tc>
        <w:tc>
          <w:tcPr>
            <w:tcW w:w="9400" w:type="dxa"/>
          </w:tcPr>
          <w:p w14:paraId="69B7B4CA" w14:textId="77777777" w:rsidR="00561B22" w:rsidRPr="00A357B0" w:rsidRDefault="00561B22" w:rsidP="00F1223B">
            <w:pPr>
              <w:jc w:val="both"/>
              <w:rPr>
                <w:rFonts w:ascii="Arial" w:hAnsi="Arial" w:cs="Arial"/>
                <w:sz w:val="22"/>
                <w:szCs w:val="22"/>
                <w:lang w:val="es-MX"/>
              </w:rPr>
            </w:pPr>
            <w:r w:rsidRPr="00A357B0">
              <w:rPr>
                <w:rFonts w:ascii="Arial" w:hAnsi="Arial" w:cs="Arial"/>
                <w:sz w:val="22"/>
                <w:szCs w:val="22"/>
                <w:lang w:val="es-CO"/>
              </w:rPr>
              <w:t>Ausencia de una circular o directriz donde se dé la instrucción de que todos los elementos donados en especie a las diferentes áreas tienes que ser reportados al grupo de almacén para se hagan parte del inventario del Instituto.</w:t>
            </w:r>
          </w:p>
        </w:tc>
      </w:tr>
    </w:tbl>
    <w:p w14:paraId="503FF36F" w14:textId="77777777" w:rsidR="00561B22" w:rsidRPr="00A357B0" w:rsidRDefault="00561B22" w:rsidP="00561B22">
      <w:pPr>
        <w:pStyle w:val="Textoindependiente"/>
        <w:jc w:val="both"/>
        <w:rPr>
          <w:rFonts w:ascii="Arial" w:hAnsi="Arial" w:cs="Arial"/>
          <w:b/>
          <w:bCs/>
        </w:rPr>
      </w:pPr>
    </w:p>
    <w:p w14:paraId="406AD49F" w14:textId="77777777" w:rsidR="00561B22" w:rsidRPr="00A357B0" w:rsidRDefault="00561B22" w:rsidP="00561B22">
      <w:pPr>
        <w:jc w:val="both"/>
        <w:rPr>
          <w:rFonts w:ascii="Arial" w:hAnsi="Arial" w:cs="Arial"/>
          <w:b/>
          <w:lang w:val="es-MX"/>
        </w:rPr>
      </w:pPr>
      <w:r w:rsidRPr="00A357B0">
        <w:rPr>
          <w:rFonts w:ascii="Arial" w:hAnsi="Arial" w:cs="Arial"/>
          <w:b/>
          <w:lang w:val="es-MX"/>
        </w:rPr>
        <w:t>Del citado informe retomamos las siguientes recomendaciones:</w:t>
      </w:r>
    </w:p>
    <w:p w14:paraId="5D6BB5CC" w14:textId="77777777" w:rsidR="00561B22" w:rsidRPr="00A357B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357B0" w14:paraId="1D246017" w14:textId="77777777" w:rsidTr="00F1223B">
        <w:tc>
          <w:tcPr>
            <w:tcW w:w="562" w:type="dxa"/>
          </w:tcPr>
          <w:p w14:paraId="082A2B61"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N°</w:t>
            </w:r>
          </w:p>
        </w:tc>
        <w:tc>
          <w:tcPr>
            <w:tcW w:w="9400" w:type="dxa"/>
          </w:tcPr>
          <w:p w14:paraId="54CEDAAA"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RECOMENDACIONES</w:t>
            </w:r>
          </w:p>
          <w:p w14:paraId="1EA78EF7" w14:textId="77777777" w:rsidR="00561B22" w:rsidRPr="00A357B0" w:rsidRDefault="00561B22" w:rsidP="00F1223B">
            <w:pPr>
              <w:jc w:val="center"/>
              <w:rPr>
                <w:rFonts w:ascii="Arial" w:hAnsi="Arial" w:cs="Arial"/>
                <w:b/>
                <w:sz w:val="22"/>
                <w:szCs w:val="22"/>
                <w:lang w:val="es-MX"/>
              </w:rPr>
            </w:pPr>
          </w:p>
        </w:tc>
      </w:tr>
      <w:tr w:rsidR="00561B22" w:rsidRPr="00A357B0" w14:paraId="220218BC" w14:textId="77777777" w:rsidTr="00F1223B">
        <w:tc>
          <w:tcPr>
            <w:tcW w:w="562" w:type="dxa"/>
          </w:tcPr>
          <w:p w14:paraId="17871B57"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1</w:t>
            </w:r>
          </w:p>
        </w:tc>
        <w:tc>
          <w:tcPr>
            <w:tcW w:w="9400" w:type="dxa"/>
          </w:tcPr>
          <w:p w14:paraId="353088EF" w14:textId="77777777" w:rsidR="00561B22" w:rsidRPr="00A357B0" w:rsidRDefault="00561B22" w:rsidP="00F1223B">
            <w:pPr>
              <w:jc w:val="both"/>
              <w:rPr>
                <w:rFonts w:ascii="Arial" w:hAnsi="Arial" w:cs="Arial"/>
                <w:sz w:val="22"/>
                <w:szCs w:val="22"/>
                <w:lang w:val="es-MX"/>
              </w:rPr>
            </w:pPr>
            <w:r w:rsidRPr="00A357B0">
              <w:rPr>
                <w:rFonts w:ascii="Arial" w:hAnsi="Arial" w:cs="Arial"/>
                <w:sz w:val="22"/>
                <w:szCs w:val="22"/>
                <w:lang w:val="es-CO"/>
              </w:rPr>
              <w:t xml:space="preserve">Capacitar al Grupo de Gestión de Contabilidad en temas Contables, actualizaciones tributarias y de normatividad vigente, con el fin de fortalecer el análisis y depuración de la información contable virtual o presencial a través de diferentes plataformas con las cuentas el Instituto </w:t>
            </w:r>
          </w:p>
        </w:tc>
      </w:tr>
      <w:tr w:rsidR="00561B22" w:rsidRPr="00A357B0" w14:paraId="040FC959" w14:textId="77777777" w:rsidTr="00F1223B">
        <w:tc>
          <w:tcPr>
            <w:tcW w:w="562" w:type="dxa"/>
          </w:tcPr>
          <w:p w14:paraId="457BAAF4"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2</w:t>
            </w:r>
          </w:p>
        </w:tc>
        <w:tc>
          <w:tcPr>
            <w:tcW w:w="9400" w:type="dxa"/>
          </w:tcPr>
          <w:p w14:paraId="345A377F" w14:textId="77777777" w:rsidR="00561B22" w:rsidRPr="00A357B0" w:rsidRDefault="00561B22" w:rsidP="00F1223B">
            <w:pPr>
              <w:jc w:val="both"/>
              <w:rPr>
                <w:rFonts w:ascii="Arial" w:hAnsi="Arial" w:cs="Arial"/>
                <w:sz w:val="22"/>
                <w:szCs w:val="22"/>
                <w:lang w:val="es-MX"/>
              </w:rPr>
            </w:pPr>
            <w:r w:rsidRPr="00A357B0">
              <w:rPr>
                <w:rFonts w:ascii="Arial" w:hAnsi="Arial" w:cs="Arial"/>
                <w:sz w:val="22"/>
                <w:szCs w:val="22"/>
                <w:lang w:val="es-CO"/>
              </w:rPr>
              <w:t>Documentar mediante registro de asistencia y listado de asistencia, las capacitaciones realizadas por el Grupo Gestión de Contabilidad a las áreas que lo requieran</w:t>
            </w:r>
          </w:p>
        </w:tc>
      </w:tr>
      <w:tr w:rsidR="00561B22" w:rsidRPr="00A357B0" w14:paraId="4913C76F" w14:textId="77777777" w:rsidTr="00F1223B">
        <w:tc>
          <w:tcPr>
            <w:tcW w:w="562" w:type="dxa"/>
          </w:tcPr>
          <w:p w14:paraId="6CAC1660"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3</w:t>
            </w:r>
          </w:p>
        </w:tc>
        <w:tc>
          <w:tcPr>
            <w:tcW w:w="9400" w:type="dxa"/>
          </w:tcPr>
          <w:p w14:paraId="20E33FD0" w14:textId="77777777" w:rsidR="00561B22" w:rsidRPr="00A357B0" w:rsidRDefault="00561B22" w:rsidP="00F1223B">
            <w:pPr>
              <w:jc w:val="both"/>
              <w:rPr>
                <w:rFonts w:ascii="Arial" w:hAnsi="Arial" w:cs="Arial"/>
                <w:sz w:val="22"/>
                <w:szCs w:val="22"/>
                <w:lang w:val="es-MX"/>
              </w:rPr>
            </w:pPr>
            <w:r w:rsidRPr="00A357B0">
              <w:rPr>
                <w:rFonts w:ascii="Arial" w:hAnsi="Arial" w:cs="Arial"/>
                <w:sz w:val="22"/>
                <w:szCs w:val="22"/>
                <w:lang w:val="es-CO"/>
              </w:rPr>
              <w:t>Documentar en un instructivo u otro documento el proceso de cierre integral de la información producida en las áreas o dependencias que generan hechos económicos Se reiteran las siguientes recomendaciones registradas en el Informe de Control Interno Contable vigencia 2023 que son las misma del 2022</w:t>
            </w:r>
          </w:p>
        </w:tc>
      </w:tr>
      <w:tr w:rsidR="00561B22" w:rsidRPr="00A357B0" w14:paraId="06DC6466" w14:textId="77777777" w:rsidTr="00F1223B">
        <w:tc>
          <w:tcPr>
            <w:tcW w:w="562" w:type="dxa"/>
          </w:tcPr>
          <w:p w14:paraId="16D6C1FF"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4</w:t>
            </w:r>
          </w:p>
        </w:tc>
        <w:tc>
          <w:tcPr>
            <w:tcW w:w="9400" w:type="dxa"/>
          </w:tcPr>
          <w:p w14:paraId="47DD10DA" w14:textId="77777777" w:rsidR="00561B22" w:rsidRPr="00A357B0" w:rsidRDefault="00561B22" w:rsidP="00F1223B">
            <w:pPr>
              <w:jc w:val="both"/>
              <w:rPr>
                <w:rFonts w:ascii="Arial" w:hAnsi="Arial" w:cs="Arial"/>
                <w:sz w:val="22"/>
                <w:szCs w:val="22"/>
                <w:lang w:val="es-MX"/>
              </w:rPr>
            </w:pPr>
            <w:r w:rsidRPr="00A357B0">
              <w:rPr>
                <w:rFonts w:ascii="Arial" w:hAnsi="Arial" w:cs="Arial"/>
                <w:sz w:val="22"/>
                <w:szCs w:val="22"/>
                <w:lang w:val="es-CO"/>
              </w:rPr>
              <w:t>Capacitar y socializar a las áreas involucradas dentro de Proceso Contable sobre la actualización de los Manuales y Manual de Políticas Contables, así mismo sobre los aplicativos de SAP para optimizar su uso.</w:t>
            </w:r>
          </w:p>
        </w:tc>
      </w:tr>
      <w:tr w:rsidR="00561B22" w:rsidRPr="00A357B0" w14:paraId="41712658" w14:textId="77777777" w:rsidTr="00F1223B">
        <w:tc>
          <w:tcPr>
            <w:tcW w:w="562" w:type="dxa"/>
          </w:tcPr>
          <w:p w14:paraId="5004516E"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5</w:t>
            </w:r>
          </w:p>
        </w:tc>
        <w:tc>
          <w:tcPr>
            <w:tcW w:w="9400" w:type="dxa"/>
          </w:tcPr>
          <w:p w14:paraId="50B4C187" w14:textId="77777777" w:rsidR="00561B22" w:rsidRPr="00A357B0" w:rsidRDefault="00561B22" w:rsidP="00F1223B">
            <w:pPr>
              <w:jc w:val="both"/>
              <w:rPr>
                <w:rFonts w:ascii="Arial" w:hAnsi="Arial" w:cs="Arial"/>
                <w:sz w:val="22"/>
                <w:szCs w:val="22"/>
                <w:lang w:val="es-CO"/>
              </w:rPr>
            </w:pPr>
            <w:r w:rsidRPr="00A357B0">
              <w:rPr>
                <w:rFonts w:ascii="Arial" w:hAnsi="Arial" w:cs="Arial"/>
                <w:sz w:val="22"/>
                <w:szCs w:val="22"/>
                <w:lang w:val="es-CO"/>
              </w:rPr>
              <w:t>Incluir en el cronograma de la presentación de la información financiera la fecha de cumplimiento de los planes de mejora Internos y externos a fin de cumplir con los requisitos antes de la fecha límite de cierre.</w:t>
            </w:r>
          </w:p>
        </w:tc>
      </w:tr>
      <w:tr w:rsidR="00561B22" w:rsidRPr="00A357B0" w14:paraId="45B985CA" w14:textId="77777777" w:rsidTr="00F1223B">
        <w:tc>
          <w:tcPr>
            <w:tcW w:w="562" w:type="dxa"/>
          </w:tcPr>
          <w:p w14:paraId="2CD8D0B1"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6</w:t>
            </w:r>
          </w:p>
        </w:tc>
        <w:tc>
          <w:tcPr>
            <w:tcW w:w="9400" w:type="dxa"/>
          </w:tcPr>
          <w:p w14:paraId="14CADE29" w14:textId="77777777" w:rsidR="00561B22" w:rsidRPr="00A357B0" w:rsidRDefault="00561B22" w:rsidP="00F1223B">
            <w:pPr>
              <w:jc w:val="both"/>
              <w:rPr>
                <w:rFonts w:ascii="Arial" w:hAnsi="Arial" w:cs="Arial"/>
                <w:sz w:val="22"/>
                <w:szCs w:val="22"/>
                <w:lang w:val="es-CO"/>
              </w:rPr>
            </w:pPr>
            <w:r w:rsidRPr="00A357B0">
              <w:rPr>
                <w:rFonts w:ascii="Arial" w:hAnsi="Arial" w:cs="Arial"/>
                <w:sz w:val="22"/>
                <w:szCs w:val="22"/>
                <w:lang w:val="es-CO"/>
              </w:rPr>
              <w:t>Incluir Procedimiento de Conciliación con las diferentes áreas y contabilidad.</w:t>
            </w:r>
          </w:p>
        </w:tc>
      </w:tr>
      <w:tr w:rsidR="00561B22" w:rsidRPr="00A357B0" w14:paraId="0056EF89" w14:textId="77777777" w:rsidTr="00F1223B">
        <w:tc>
          <w:tcPr>
            <w:tcW w:w="562" w:type="dxa"/>
          </w:tcPr>
          <w:p w14:paraId="794E6761"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7</w:t>
            </w:r>
          </w:p>
        </w:tc>
        <w:tc>
          <w:tcPr>
            <w:tcW w:w="9400" w:type="dxa"/>
          </w:tcPr>
          <w:p w14:paraId="4FE0DBA4" w14:textId="0E523870" w:rsidR="00561B22" w:rsidRPr="00A357B0" w:rsidRDefault="00561B22" w:rsidP="00F1223B">
            <w:pPr>
              <w:jc w:val="both"/>
              <w:rPr>
                <w:rFonts w:ascii="Arial" w:hAnsi="Arial" w:cs="Arial"/>
                <w:sz w:val="22"/>
                <w:szCs w:val="22"/>
                <w:lang w:val="es-CO"/>
              </w:rPr>
            </w:pPr>
            <w:r w:rsidRPr="00A357B0">
              <w:rPr>
                <w:rFonts w:ascii="Arial" w:hAnsi="Arial" w:cs="Arial"/>
                <w:sz w:val="22"/>
                <w:szCs w:val="22"/>
                <w:lang w:val="es-CO"/>
              </w:rPr>
              <w:t>Actualizar el Manual para realizar Inventario físico de Activos Fijos por centro de costos Formato GDG-P03-M-04, en el cual se describa la metodología para determinar la prueba selectiva mensual (</w:t>
            </w:r>
            <w:r w:rsidR="0008150C" w:rsidRPr="00A357B0">
              <w:rPr>
                <w:rFonts w:ascii="Arial" w:hAnsi="Arial" w:cs="Arial"/>
                <w:sz w:val="22"/>
                <w:szCs w:val="22"/>
                <w:lang w:val="es-CO"/>
              </w:rPr>
              <w:t>enero</w:t>
            </w:r>
            <w:r w:rsidRPr="00A357B0">
              <w:rPr>
                <w:rFonts w:ascii="Arial" w:hAnsi="Arial" w:cs="Arial"/>
                <w:sz w:val="22"/>
                <w:szCs w:val="22"/>
                <w:lang w:val="es-CO"/>
              </w:rPr>
              <w:t>-junio) de los centros de costos para la toma física de Inventarios y su verificación.</w:t>
            </w:r>
          </w:p>
        </w:tc>
      </w:tr>
      <w:tr w:rsidR="00561B22" w:rsidRPr="00A357B0" w14:paraId="25FEED34" w14:textId="77777777" w:rsidTr="00F1223B">
        <w:tc>
          <w:tcPr>
            <w:tcW w:w="562" w:type="dxa"/>
          </w:tcPr>
          <w:p w14:paraId="222FFCCA" w14:textId="77777777" w:rsidR="00561B22" w:rsidRPr="00A357B0" w:rsidRDefault="00561B22" w:rsidP="00F1223B">
            <w:pPr>
              <w:jc w:val="center"/>
              <w:rPr>
                <w:rFonts w:ascii="Arial" w:hAnsi="Arial" w:cs="Arial"/>
                <w:b/>
                <w:sz w:val="22"/>
                <w:szCs w:val="22"/>
                <w:lang w:val="es-MX"/>
              </w:rPr>
            </w:pPr>
            <w:r w:rsidRPr="00A357B0">
              <w:rPr>
                <w:rFonts w:ascii="Arial" w:hAnsi="Arial" w:cs="Arial"/>
                <w:b/>
                <w:sz w:val="22"/>
                <w:szCs w:val="22"/>
                <w:lang w:val="es-MX"/>
              </w:rPr>
              <w:t>8</w:t>
            </w:r>
          </w:p>
        </w:tc>
        <w:tc>
          <w:tcPr>
            <w:tcW w:w="9400" w:type="dxa"/>
          </w:tcPr>
          <w:p w14:paraId="260196B2" w14:textId="77777777" w:rsidR="00561B22" w:rsidRPr="00A357B0" w:rsidRDefault="00561B22" w:rsidP="00F1223B">
            <w:pPr>
              <w:jc w:val="both"/>
              <w:rPr>
                <w:rFonts w:ascii="Arial" w:hAnsi="Arial" w:cs="Arial"/>
                <w:sz w:val="22"/>
                <w:szCs w:val="22"/>
                <w:lang w:val="es-CO"/>
              </w:rPr>
            </w:pPr>
            <w:r w:rsidRPr="00A357B0">
              <w:rPr>
                <w:rFonts w:ascii="Arial" w:hAnsi="Arial" w:cs="Arial"/>
                <w:sz w:val="22"/>
                <w:szCs w:val="22"/>
                <w:lang w:val="es-CO"/>
              </w:rPr>
              <w:t>Soportar todas las capacitaciones con actas y listas de asistencia del personal involucrado en el proceso contable.</w:t>
            </w:r>
          </w:p>
        </w:tc>
      </w:tr>
    </w:tbl>
    <w:p w14:paraId="3FDEA2C1" w14:textId="77777777" w:rsidR="00561B22" w:rsidRPr="00A357B0" w:rsidRDefault="00561B22" w:rsidP="00561B22">
      <w:pPr>
        <w:pStyle w:val="Textoindependiente"/>
        <w:jc w:val="both"/>
        <w:rPr>
          <w:rFonts w:ascii="Arial" w:hAnsi="Arial" w:cs="Arial"/>
          <w:b/>
          <w:bCs/>
        </w:rPr>
      </w:pPr>
    </w:p>
    <w:p w14:paraId="5B16AF29" w14:textId="77777777" w:rsidR="00561B22" w:rsidRPr="00A357B0" w:rsidRDefault="00561B22" w:rsidP="00561B22">
      <w:pPr>
        <w:jc w:val="both"/>
        <w:rPr>
          <w:rFonts w:ascii="Arial" w:hAnsi="Arial" w:cs="Arial"/>
          <w:b/>
          <w:bCs/>
          <w:sz w:val="24"/>
          <w:szCs w:val="24"/>
          <w:lang w:val="es-CO"/>
        </w:rPr>
      </w:pPr>
      <w:r w:rsidRPr="00A357B0">
        <w:rPr>
          <w:rFonts w:ascii="Arial" w:hAnsi="Arial" w:cs="Arial"/>
          <w:b/>
          <w:bCs/>
          <w:sz w:val="24"/>
          <w:szCs w:val="24"/>
          <w:lang w:val="es-CO"/>
        </w:rPr>
        <w:t xml:space="preserve">NOTA: LA ENTIDAD ENVIA LA MATRIZ DE AUTOEVALUACIÓN DEL SISTEMA DE CONTROL INTERNO CONTABLE CON </w:t>
      </w:r>
      <w:r w:rsidRPr="00A357B0">
        <w:rPr>
          <w:rFonts w:ascii="Arial" w:hAnsi="Arial" w:cs="Arial"/>
          <w:b/>
          <w:bCs/>
          <w:sz w:val="24"/>
          <w:szCs w:val="24"/>
          <w:u w:val="single"/>
          <w:lang w:val="es-CO"/>
        </w:rPr>
        <w:t>ACTIVIDADES DE CONTROL REALIZADAS EN FORMA PARCIAL</w:t>
      </w:r>
      <w:r w:rsidRPr="00A357B0">
        <w:rPr>
          <w:rFonts w:ascii="Arial" w:hAnsi="Arial" w:cs="Arial"/>
          <w:b/>
          <w:bCs/>
          <w:sz w:val="24"/>
          <w:szCs w:val="24"/>
          <w:lang w:val="es-CO"/>
        </w:rPr>
        <w:t>.</w:t>
      </w:r>
    </w:p>
    <w:p w14:paraId="104AAB10" w14:textId="77777777" w:rsidR="00561B22" w:rsidRPr="00A357B0" w:rsidRDefault="00561B22" w:rsidP="00561B22">
      <w:pPr>
        <w:jc w:val="both"/>
        <w:rPr>
          <w:rFonts w:ascii="Arial" w:hAnsi="Arial" w:cs="Arial"/>
          <w:b/>
          <w:bCs/>
          <w:sz w:val="24"/>
          <w:szCs w:val="24"/>
          <w:lang w:val="es-CO"/>
        </w:rPr>
      </w:pPr>
    </w:p>
    <w:p w14:paraId="1B913F42" w14:textId="77777777" w:rsidR="00561B22" w:rsidRPr="00A03531" w:rsidRDefault="00561B22" w:rsidP="00561B22">
      <w:pPr>
        <w:jc w:val="both"/>
        <w:rPr>
          <w:rFonts w:ascii="Arial" w:hAnsi="Arial" w:cs="Arial"/>
          <w:b/>
          <w:sz w:val="28"/>
          <w:szCs w:val="28"/>
          <w:lang w:val="es-MX"/>
        </w:rPr>
      </w:pPr>
      <w:r w:rsidRPr="00A03531">
        <w:rPr>
          <w:rFonts w:ascii="Arial" w:hAnsi="Arial" w:cs="Arial"/>
          <w:b/>
          <w:sz w:val="28"/>
          <w:szCs w:val="28"/>
          <w:lang w:val="es-MX"/>
        </w:rPr>
        <w:t>215.- MINISTERIO DE LAS CULTURAS, LAS ARTES Y LOS SABERES.</w:t>
      </w:r>
    </w:p>
    <w:p w14:paraId="2E349487" w14:textId="77777777" w:rsidR="00561B22" w:rsidRPr="00A357B0" w:rsidRDefault="00561B22" w:rsidP="00561B22">
      <w:pPr>
        <w:pStyle w:val="Textoindependiente"/>
        <w:tabs>
          <w:tab w:val="left" w:pos="2055"/>
        </w:tabs>
        <w:spacing w:before="5"/>
        <w:rPr>
          <w:rFonts w:ascii="Arial" w:hAnsi="Arial" w:cs="Arial"/>
          <w:sz w:val="24"/>
          <w:szCs w:val="24"/>
        </w:rPr>
      </w:pPr>
    </w:p>
    <w:p w14:paraId="3232D8CF" w14:textId="77777777" w:rsidR="00561B22" w:rsidRPr="006E2612" w:rsidRDefault="00561B22" w:rsidP="00561B22">
      <w:pPr>
        <w:pStyle w:val="Textoindependiente"/>
        <w:ind w:right="-50"/>
        <w:jc w:val="center"/>
        <w:rPr>
          <w:rFonts w:ascii="Arial" w:hAnsi="Arial" w:cs="Arial"/>
          <w:b/>
          <w:bCs/>
        </w:rPr>
      </w:pPr>
      <w:r w:rsidRPr="006E2612">
        <w:rPr>
          <w:rFonts w:ascii="Arial" w:hAnsi="Arial" w:cs="Arial"/>
          <w:b/>
          <w:bCs/>
        </w:rPr>
        <w:t>INFORME DE LA AUTOCALIFICACIÓN DEL SISTEMA DE CONTROL INTERNO CONTABLE:</w:t>
      </w:r>
    </w:p>
    <w:p w14:paraId="63B447E7" w14:textId="77777777" w:rsidR="00561B22" w:rsidRPr="006E261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E2612" w14:paraId="47B975D6" w14:textId="77777777" w:rsidTr="00F1223B">
        <w:tc>
          <w:tcPr>
            <w:tcW w:w="4981" w:type="dxa"/>
          </w:tcPr>
          <w:p w14:paraId="1637466E"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AUTOCALIFICACIÓN</w:t>
            </w:r>
          </w:p>
        </w:tc>
        <w:tc>
          <w:tcPr>
            <w:tcW w:w="4981" w:type="dxa"/>
          </w:tcPr>
          <w:p w14:paraId="6195B7CF" w14:textId="77777777" w:rsidR="00561B22" w:rsidRPr="006E2612" w:rsidRDefault="00561B22" w:rsidP="00F1223B">
            <w:pPr>
              <w:jc w:val="center"/>
              <w:rPr>
                <w:rFonts w:ascii="Arial" w:hAnsi="Arial" w:cs="Arial"/>
                <w:b/>
                <w:sz w:val="22"/>
                <w:szCs w:val="22"/>
                <w:u w:val="single"/>
                <w:lang w:val="es-MX"/>
              </w:rPr>
            </w:pPr>
            <w:r w:rsidRPr="006E2612">
              <w:rPr>
                <w:rFonts w:ascii="Arial" w:hAnsi="Arial" w:cs="Arial"/>
                <w:b/>
                <w:sz w:val="22"/>
                <w:szCs w:val="22"/>
                <w:u w:val="single"/>
                <w:lang w:val="es-MX"/>
              </w:rPr>
              <w:t>4.86</w:t>
            </w:r>
          </w:p>
        </w:tc>
      </w:tr>
    </w:tbl>
    <w:p w14:paraId="30EA7353" w14:textId="77777777" w:rsidR="00561B22" w:rsidRPr="006E2612" w:rsidRDefault="00561B22" w:rsidP="00561B22">
      <w:pPr>
        <w:pStyle w:val="Textoindependiente"/>
        <w:ind w:right="-50"/>
        <w:jc w:val="both"/>
        <w:rPr>
          <w:rFonts w:ascii="Arial" w:hAnsi="Arial" w:cs="Arial"/>
          <w:b/>
          <w:bCs/>
        </w:rPr>
      </w:pPr>
    </w:p>
    <w:p w14:paraId="2D57162A" w14:textId="77777777" w:rsidR="00561B22" w:rsidRPr="006E2612" w:rsidRDefault="00561B22" w:rsidP="00561B22">
      <w:pPr>
        <w:pStyle w:val="Textoindependiente"/>
        <w:ind w:right="-50"/>
        <w:jc w:val="both"/>
        <w:rPr>
          <w:rFonts w:ascii="Arial" w:hAnsi="Arial" w:cs="Arial"/>
          <w:b/>
          <w:bCs/>
        </w:rPr>
      </w:pPr>
      <w:r w:rsidRPr="006E2612">
        <w:rPr>
          <w:rFonts w:ascii="Arial" w:hAnsi="Arial" w:cs="Arial"/>
          <w:b/>
          <w:bCs/>
        </w:rPr>
        <w:t>Del informe enviado retomamos lo siguiente:</w:t>
      </w:r>
    </w:p>
    <w:p w14:paraId="00FA0907" w14:textId="77777777" w:rsidR="00561B22" w:rsidRPr="006E261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E2612" w14:paraId="575E7CD8" w14:textId="77777777" w:rsidTr="00F1223B">
        <w:tc>
          <w:tcPr>
            <w:tcW w:w="562" w:type="dxa"/>
          </w:tcPr>
          <w:p w14:paraId="1338F4C3" w14:textId="77777777" w:rsidR="00561B22" w:rsidRPr="006E2612" w:rsidRDefault="00561B22" w:rsidP="00F1223B">
            <w:pPr>
              <w:ind w:right="-109"/>
              <w:jc w:val="center"/>
              <w:rPr>
                <w:rFonts w:ascii="Arial" w:hAnsi="Arial" w:cs="Arial"/>
                <w:b/>
                <w:sz w:val="22"/>
                <w:szCs w:val="22"/>
                <w:lang w:val="es-MX"/>
              </w:rPr>
            </w:pPr>
            <w:r w:rsidRPr="006E2612">
              <w:rPr>
                <w:rFonts w:ascii="Arial" w:hAnsi="Arial" w:cs="Arial"/>
                <w:b/>
                <w:sz w:val="22"/>
                <w:szCs w:val="22"/>
                <w:lang w:val="es-MX"/>
              </w:rPr>
              <w:t>N°</w:t>
            </w:r>
          </w:p>
        </w:tc>
        <w:tc>
          <w:tcPr>
            <w:tcW w:w="9400" w:type="dxa"/>
          </w:tcPr>
          <w:p w14:paraId="0B129E8F"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DEBILIDADES</w:t>
            </w:r>
          </w:p>
          <w:p w14:paraId="64597806" w14:textId="77777777" w:rsidR="00561B22" w:rsidRPr="006E2612" w:rsidRDefault="00561B22" w:rsidP="00F1223B">
            <w:pPr>
              <w:jc w:val="center"/>
              <w:rPr>
                <w:rFonts w:ascii="Arial" w:hAnsi="Arial" w:cs="Arial"/>
                <w:b/>
                <w:sz w:val="22"/>
                <w:szCs w:val="22"/>
                <w:lang w:val="es-MX"/>
              </w:rPr>
            </w:pPr>
          </w:p>
        </w:tc>
      </w:tr>
      <w:tr w:rsidR="00561B22" w:rsidRPr="006E2612" w14:paraId="540F0C4D" w14:textId="77777777" w:rsidTr="00F1223B">
        <w:tc>
          <w:tcPr>
            <w:tcW w:w="562" w:type="dxa"/>
          </w:tcPr>
          <w:p w14:paraId="5EE859F6"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1</w:t>
            </w:r>
          </w:p>
        </w:tc>
        <w:tc>
          <w:tcPr>
            <w:tcW w:w="9400" w:type="dxa"/>
          </w:tcPr>
          <w:p w14:paraId="12D01700"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Desde el Ministerio no se incluye en el Plan Institucional de Capacitación temas puntuales del proceso contable.</w:t>
            </w:r>
          </w:p>
        </w:tc>
      </w:tr>
      <w:tr w:rsidR="00561B22" w:rsidRPr="006E2612" w14:paraId="04B0BE1B" w14:textId="77777777" w:rsidTr="00F1223B">
        <w:tc>
          <w:tcPr>
            <w:tcW w:w="562" w:type="dxa"/>
          </w:tcPr>
          <w:p w14:paraId="6057D3BE"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2</w:t>
            </w:r>
          </w:p>
        </w:tc>
        <w:tc>
          <w:tcPr>
            <w:tcW w:w="9400" w:type="dxa"/>
          </w:tcPr>
          <w:p w14:paraId="2462FDD6"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No se evidencian continuos procesos de socialización de los temas contables con sus partes interesadas o actores en el flujo del proceso contable.</w:t>
            </w:r>
          </w:p>
        </w:tc>
      </w:tr>
    </w:tbl>
    <w:p w14:paraId="0B79D09A" w14:textId="77777777" w:rsidR="00561B22" w:rsidRPr="006E2612" w:rsidRDefault="00561B22" w:rsidP="00561B22">
      <w:pPr>
        <w:pStyle w:val="Textoindependiente"/>
        <w:ind w:right="-50"/>
        <w:jc w:val="both"/>
        <w:rPr>
          <w:rFonts w:ascii="Arial" w:hAnsi="Arial" w:cs="Arial"/>
          <w:b/>
          <w:bCs/>
        </w:rPr>
      </w:pPr>
    </w:p>
    <w:p w14:paraId="5B445FA9" w14:textId="77777777" w:rsidR="00561B22" w:rsidRPr="006E2612" w:rsidRDefault="00561B22" w:rsidP="00561B22">
      <w:pPr>
        <w:jc w:val="both"/>
        <w:rPr>
          <w:rFonts w:ascii="Arial" w:hAnsi="Arial" w:cs="Arial"/>
          <w:b/>
          <w:lang w:val="es-MX"/>
        </w:rPr>
      </w:pPr>
      <w:r w:rsidRPr="006E2612">
        <w:rPr>
          <w:rFonts w:ascii="Arial" w:hAnsi="Arial" w:cs="Arial"/>
          <w:b/>
          <w:lang w:val="es-MX"/>
        </w:rPr>
        <w:t>Del citado informe retomamos las siguientes recomendaciones:</w:t>
      </w:r>
    </w:p>
    <w:p w14:paraId="6916CDAE" w14:textId="77777777" w:rsidR="00561B22" w:rsidRPr="006E261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E2612" w14:paraId="7F2CF3B2" w14:textId="77777777" w:rsidTr="00F1223B">
        <w:tc>
          <w:tcPr>
            <w:tcW w:w="562" w:type="dxa"/>
          </w:tcPr>
          <w:p w14:paraId="2ADD6CA5" w14:textId="77777777" w:rsidR="00561B22" w:rsidRPr="006E2612" w:rsidRDefault="00561B22" w:rsidP="00F1223B">
            <w:pPr>
              <w:ind w:right="-109"/>
              <w:jc w:val="center"/>
              <w:rPr>
                <w:rFonts w:ascii="Arial" w:hAnsi="Arial" w:cs="Arial"/>
                <w:b/>
                <w:sz w:val="22"/>
                <w:szCs w:val="22"/>
                <w:lang w:val="es-MX"/>
              </w:rPr>
            </w:pPr>
            <w:r w:rsidRPr="006E2612">
              <w:rPr>
                <w:rFonts w:ascii="Arial" w:hAnsi="Arial" w:cs="Arial"/>
                <w:b/>
                <w:sz w:val="22"/>
                <w:szCs w:val="22"/>
                <w:lang w:val="es-MX"/>
              </w:rPr>
              <w:t>N°</w:t>
            </w:r>
          </w:p>
        </w:tc>
        <w:tc>
          <w:tcPr>
            <w:tcW w:w="9400" w:type="dxa"/>
          </w:tcPr>
          <w:p w14:paraId="0B9DC704"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RECOMENDACIONES</w:t>
            </w:r>
          </w:p>
          <w:p w14:paraId="3EE8AC76" w14:textId="77777777" w:rsidR="00561B22" w:rsidRPr="006E2612" w:rsidRDefault="00561B22" w:rsidP="00F1223B">
            <w:pPr>
              <w:jc w:val="center"/>
              <w:rPr>
                <w:rFonts w:ascii="Arial" w:hAnsi="Arial" w:cs="Arial"/>
                <w:b/>
                <w:sz w:val="22"/>
                <w:szCs w:val="22"/>
                <w:lang w:val="es-MX"/>
              </w:rPr>
            </w:pPr>
          </w:p>
        </w:tc>
      </w:tr>
      <w:tr w:rsidR="00561B22" w:rsidRPr="006E2612" w14:paraId="6E427D0D" w14:textId="77777777" w:rsidTr="00F1223B">
        <w:tc>
          <w:tcPr>
            <w:tcW w:w="562" w:type="dxa"/>
          </w:tcPr>
          <w:p w14:paraId="7A8DE2C8"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1</w:t>
            </w:r>
          </w:p>
        </w:tc>
        <w:tc>
          <w:tcPr>
            <w:tcW w:w="9400" w:type="dxa"/>
          </w:tcPr>
          <w:p w14:paraId="3041FAE2"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 xml:space="preserve">Realizar actividades periódicas de socialización de las políticas contables con todos los funcionarios de la entidad. </w:t>
            </w:r>
          </w:p>
        </w:tc>
      </w:tr>
      <w:tr w:rsidR="00561B22" w:rsidRPr="006E2612" w14:paraId="3FA1122C" w14:textId="77777777" w:rsidTr="00F1223B">
        <w:tc>
          <w:tcPr>
            <w:tcW w:w="562" w:type="dxa"/>
          </w:tcPr>
          <w:p w14:paraId="07C44A78"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lastRenderedPageBreak/>
              <w:t>2</w:t>
            </w:r>
          </w:p>
        </w:tc>
        <w:tc>
          <w:tcPr>
            <w:tcW w:w="9400" w:type="dxa"/>
          </w:tcPr>
          <w:p w14:paraId="1069A30E" w14:textId="77777777" w:rsidR="00561B22" w:rsidRPr="006E2612" w:rsidRDefault="00561B22" w:rsidP="00F1223B">
            <w:pPr>
              <w:jc w:val="both"/>
              <w:rPr>
                <w:rFonts w:ascii="Arial" w:hAnsi="Arial" w:cs="Arial"/>
                <w:sz w:val="22"/>
                <w:szCs w:val="22"/>
              </w:rPr>
            </w:pPr>
            <w:r w:rsidRPr="006E2612">
              <w:rPr>
                <w:rFonts w:ascii="Arial" w:hAnsi="Arial" w:cs="Arial"/>
                <w:sz w:val="22"/>
                <w:szCs w:val="22"/>
              </w:rPr>
              <w:t xml:space="preserve">Incluir en la inducción, reinducción la coordinación financiera la presentación sobre la importancia del proceso contable en el cumplimiento de los objetivos de la entidad. </w:t>
            </w:r>
          </w:p>
        </w:tc>
      </w:tr>
      <w:tr w:rsidR="00561B22" w:rsidRPr="006E2612" w14:paraId="11EBE4F5" w14:textId="77777777" w:rsidTr="00F1223B">
        <w:tc>
          <w:tcPr>
            <w:tcW w:w="562" w:type="dxa"/>
          </w:tcPr>
          <w:p w14:paraId="214303C5"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3</w:t>
            </w:r>
          </w:p>
        </w:tc>
        <w:tc>
          <w:tcPr>
            <w:tcW w:w="9400" w:type="dxa"/>
          </w:tcPr>
          <w:p w14:paraId="22F4519E"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 xml:space="preserve">Revisar con periodicidad el normograma del proceso contable para actualización constante. </w:t>
            </w:r>
          </w:p>
        </w:tc>
      </w:tr>
      <w:tr w:rsidR="00561B22" w:rsidRPr="006E2612" w14:paraId="100FBF6E" w14:textId="77777777" w:rsidTr="00F1223B">
        <w:tc>
          <w:tcPr>
            <w:tcW w:w="562" w:type="dxa"/>
          </w:tcPr>
          <w:p w14:paraId="21BB3437"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4</w:t>
            </w:r>
          </w:p>
        </w:tc>
        <w:tc>
          <w:tcPr>
            <w:tcW w:w="9400" w:type="dxa"/>
          </w:tcPr>
          <w:p w14:paraId="25CEF813"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Revisión y actualización del Manual de Políticas Contables.</w:t>
            </w:r>
          </w:p>
        </w:tc>
      </w:tr>
      <w:tr w:rsidR="00561B22" w:rsidRPr="006E2612" w14:paraId="0D7752B2" w14:textId="77777777" w:rsidTr="00F1223B">
        <w:tc>
          <w:tcPr>
            <w:tcW w:w="562" w:type="dxa"/>
          </w:tcPr>
          <w:p w14:paraId="472FA039"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5</w:t>
            </w:r>
          </w:p>
        </w:tc>
        <w:tc>
          <w:tcPr>
            <w:tcW w:w="9400" w:type="dxa"/>
          </w:tcPr>
          <w:p w14:paraId="09228C91"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 xml:space="preserve">Revisión periódica de los puntos de control en cada uno de los procedimientos que hacen parte del proceso contable. </w:t>
            </w:r>
          </w:p>
        </w:tc>
      </w:tr>
      <w:tr w:rsidR="00561B22" w:rsidRPr="006E2612" w14:paraId="3590DD7A" w14:textId="77777777" w:rsidTr="00F1223B">
        <w:tc>
          <w:tcPr>
            <w:tcW w:w="562" w:type="dxa"/>
          </w:tcPr>
          <w:p w14:paraId="35AC3D19"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6</w:t>
            </w:r>
          </w:p>
        </w:tc>
        <w:tc>
          <w:tcPr>
            <w:tcW w:w="9400" w:type="dxa"/>
          </w:tcPr>
          <w:p w14:paraId="2BB0B808"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Revisar y evaluar la necesidad de contar con más indicadores de gestión netamente del proceso contable que sirven para cuantificar y evaluar la gestión y el grado de cumplimiento de los objetivos y reflejan el rendimiento del proceso.</w:t>
            </w:r>
          </w:p>
        </w:tc>
      </w:tr>
      <w:tr w:rsidR="00561B22" w:rsidRPr="006E2612" w14:paraId="523987A9" w14:textId="77777777" w:rsidTr="00F1223B">
        <w:tc>
          <w:tcPr>
            <w:tcW w:w="562" w:type="dxa"/>
          </w:tcPr>
          <w:p w14:paraId="118D719B" w14:textId="77777777" w:rsidR="00561B22" w:rsidRPr="006E2612" w:rsidRDefault="00561B22" w:rsidP="00F1223B">
            <w:pPr>
              <w:jc w:val="center"/>
              <w:rPr>
                <w:rFonts w:ascii="Arial" w:hAnsi="Arial" w:cs="Arial"/>
                <w:b/>
                <w:sz w:val="22"/>
                <w:szCs w:val="22"/>
                <w:lang w:val="es-MX"/>
              </w:rPr>
            </w:pPr>
            <w:r w:rsidRPr="006E2612">
              <w:rPr>
                <w:rFonts w:ascii="Arial" w:hAnsi="Arial" w:cs="Arial"/>
                <w:b/>
                <w:sz w:val="22"/>
                <w:szCs w:val="22"/>
                <w:lang w:val="es-MX"/>
              </w:rPr>
              <w:t>7</w:t>
            </w:r>
          </w:p>
        </w:tc>
        <w:tc>
          <w:tcPr>
            <w:tcW w:w="9400" w:type="dxa"/>
          </w:tcPr>
          <w:p w14:paraId="7A4C0A71" w14:textId="77777777" w:rsidR="00561B22" w:rsidRPr="006E2612" w:rsidRDefault="00561B22" w:rsidP="00F1223B">
            <w:pPr>
              <w:jc w:val="both"/>
              <w:rPr>
                <w:rFonts w:ascii="Arial" w:hAnsi="Arial" w:cs="Arial"/>
                <w:b/>
                <w:sz w:val="22"/>
                <w:szCs w:val="22"/>
                <w:lang w:val="es-MX"/>
              </w:rPr>
            </w:pPr>
            <w:r w:rsidRPr="006E2612">
              <w:rPr>
                <w:rFonts w:ascii="Arial" w:hAnsi="Arial" w:cs="Arial"/>
                <w:sz w:val="22"/>
                <w:szCs w:val="22"/>
              </w:rPr>
              <w:t>Realizar procesos de socialización de los procesos contables con los actores que intervienen en el flujo de los procesos contables, que aseguren su entendimiento y apropiación.</w:t>
            </w:r>
          </w:p>
        </w:tc>
      </w:tr>
    </w:tbl>
    <w:p w14:paraId="04164CEB" w14:textId="77777777" w:rsidR="00561B22" w:rsidRPr="006E2612" w:rsidRDefault="00561B22" w:rsidP="00561B22">
      <w:pPr>
        <w:pStyle w:val="Textoindependiente"/>
        <w:ind w:right="-50"/>
        <w:jc w:val="both"/>
        <w:rPr>
          <w:rFonts w:ascii="Arial" w:hAnsi="Arial" w:cs="Arial"/>
          <w:b/>
          <w:bCs/>
          <w:sz w:val="28"/>
          <w:szCs w:val="28"/>
        </w:rPr>
      </w:pPr>
    </w:p>
    <w:p w14:paraId="669183C6" w14:textId="77777777" w:rsidR="00561B22" w:rsidRPr="006E2612" w:rsidRDefault="00561B22" w:rsidP="00561B22">
      <w:pPr>
        <w:jc w:val="both"/>
        <w:rPr>
          <w:rFonts w:ascii="Arial" w:hAnsi="Arial" w:cs="Arial"/>
          <w:b/>
          <w:bCs/>
          <w:sz w:val="24"/>
          <w:szCs w:val="24"/>
          <w:lang w:val="es-CO"/>
        </w:rPr>
      </w:pPr>
      <w:r w:rsidRPr="006E2612">
        <w:rPr>
          <w:rFonts w:ascii="Arial" w:hAnsi="Arial" w:cs="Arial"/>
          <w:b/>
          <w:bCs/>
          <w:sz w:val="24"/>
          <w:szCs w:val="24"/>
          <w:lang w:val="es-CO"/>
        </w:rPr>
        <w:t xml:space="preserve">NOTA: LA ENTIDAD ENVIA LA MATRIZ DE AUTOEVALUACIÓN DEL SISTEMA DE CONTROL INTERNO CONTABLE CON </w:t>
      </w:r>
      <w:r w:rsidRPr="006E2612">
        <w:rPr>
          <w:rFonts w:ascii="Arial" w:hAnsi="Arial" w:cs="Arial"/>
          <w:b/>
          <w:bCs/>
          <w:sz w:val="24"/>
          <w:szCs w:val="24"/>
          <w:u w:val="single"/>
          <w:lang w:val="es-CO"/>
        </w:rPr>
        <w:t>ACTIVIDADES DE CONTROL REALIZADAS EN FORMA PARCIAL</w:t>
      </w:r>
      <w:r w:rsidRPr="006E2612">
        <w:rPr>
          <w:rFonts w:ascii="Arial" w:hAnsi="Arial" w:cs="Arial"/>
          <w:b/>
          <w:bCs/>
          <w:sz w:val="24"/>
          <w:szCs w:val="24"/>
          <w:lang w:val="es-CO"/>
        </w:rPr>
        <w:t>.</w:t>
      </w:r>
    </w:p>
    <w:p w14:paraId="777929CE" w14:textId="77777777" w:rsidR="00561B22" w:rsidRPr="006E2612" w:rsidRDefault="00561B22" w:rsidP="00561B22">
      <w:pPr>
        <w:pStyle w:val="Textoindependiente"/>
        <w:ind w:right="-50"/>
        <w:jc w:val="both"/>
        <w:rPr>
          <w:rFonts w:ascii="Arial" w:hAnsi="Arial" w:cs="Arial"/>
          <w:b/>
          <w:bCs/>
          <w:sz w:val="28"/>
          <w:szCs w:val="28"/>
        </w:rPr>
      </w:pPr>
    </w:p>
    <w:p w14:paraId="7E45ACBB" w14:textId="77777777" w:rsidR="00561B22" w:rsidRPr="00FB1744" w:rsidRDefault="00561B22" w:rsidP="00561B22">
      <w:pPr>
        <w:jc w:val="both"/>
        <w:rPr>
          <w:rFonts w:ascii="Arial" w:hAnsi="Arial" w:cs="Arial"/>
          <w:b/>
          <w:sz w:val="28"/>
          <w:szCs w:val="28"/>
          <w:lang w:val="es-MX"/>
        </w:rPr>
      </w:pPr>
      <w:r w:rsidRPr="00FB1744">
        <w:rPr>
          <w:rFonts w:ascii="Arial" w:hAnsi="Arial" w:cs="Arial"/>
          <w:b/>
          <w:sz w:val="28"/>
          <w:szCs w:val="28"/>
          <w:lang w:val="es-MX"/>
        </w:rPr>
        <w:t>216.- UNIVERSIDAD DE LOS LLANOS – UNILLANOS.</w:t>
      </w:r>
    </w:p>
    <w:p w14:paraId="52008D86" w14:textId="77777777" w:rsidR="00561B22" w:rsidRPr="006E2612" w:rsidRDefault="00561B22" w:rsidP="00561B22">
      <w:pPr>
        <w:pStyle w:val="Textoindependiente"/>
        <w:tabs>
          <w:tab w:val="left" w:pos="2055"/>
        </w:tabs>
        <w:spacing w:before="5"/>
        <w:rPr>
          <w:rFonts w:ascii="Arial" w:hAnsi="Arial" w:cs="Arial"/>
          <w:sz w:val="24"/>
          <w:szCs w:val="24"/>
        </w:rPr>
      </w:pPr>
    </w:p>
    <w:p w14:paraId="7A4236CD" w14:textId="77777777" w:rsidR="00561B22" w:rsidRPr="003F4BCA" w:rsidRDefault="00561B22" w:rsidP="00561B22">
      <w:pPr>
        <w:pStyle w:val="Textoindependiente"/>
        <w:ind w:right="-50"/>
        <w:jc w:val="center"/>
        <w:rPr>
          <w:rFonts w:ascii="Arial" w:hAnsi="Arial" w:cs="Arial"/>
          <w:b/>
          <w:bCs/>
        </w:rPr>
      </w:pPr>
      <w:r w:rsidRPr="003F4BCA">
        <w:rPr>
          <w:rFonts w:ascii="Arial" w:hAnsi="Arial" w:cs="Arial"/>
          <w:b/>
          <w:bCs/>
        </w:rPr>
        <w:t>INFORME DE LA AUTOCALIFICACIÓN DEL SISTEMA DE CONTROL INTERNO CONTABLE:</w:t>
      </w:r>
    </w:p>
    <w:p w14:paraId="593D509B" w14:textId="77777777" w:rsidR="00561B22" w:rsidRPr="003F4BC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F4BCA" w14:paraId="5E158856" w14:textId="77777777" w:rsidTr="00F1223B">
        <w:tc>
          <w:tcPr>
            <w:tcW w:w="4981" w:type="dxa"/>
          </w:tcPr>
          <w:p w14:paraId="204A2726"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AUTOCALIFICACIÓN</w:t>
            </w:r>
          </w:p>
        </w:tc>
        <w:tc>
          <w:tcPr>
            <w:tcW w:w="4981" w:type="dxa"/>
          </w:tcPr>
          <w:p w14:paraId="57CC924D" w14:textId="77777777" w:rsidR="00561B22" w:rsidRPr="003F4BCA" w:rsidRDefault="00561B22" w:rsidP="00F1223B">
            <w:pPr>
              <w:jc w:val="center"/>
              <w:rPr>
                <w:rFonts w:ascii="Arial" w:hAnsi="Arial" w:cs="Arial"/>
                <w:b/>
                <w:sz w:val="22"/>
                <w:szCs w:val="22"/>
                <w:u w:val="single"/>
                <w:lang w:val="es-MX"/>
              </w:rPr>
            </w:pPr>
            <w:r w:rsidRPr="003F4BCA">
              <w:rPr>
                <w:rFonts w:ascii="Arial" w:hAnsi="Arial" w:cs="Arial"/>
                <w:b/>
                <w:sz w:val="22"/>
                <w:szCs w:val="22"/>
                <w:u w:val="single"/>
                <w:lang w:val="es-MX"/>
              </w:rPr>
              <w:t>4.78</w:t>
            </w:r>
          </w:p>
        </w:tc>
      </w:tr>
    </w:tbl>
    <w:p w14:paraId="7B1C2873" w14:textId="77777777" w:rsidR="00561B22" w:rsidRPr="003F4BCA" w:rsidRDefault="00561B22" w:rsidP="00561B22">
      <w:pPr>
        <w:pStyle w:val="Textoindependiente"/>
        <w:ind w:right="-50"/>
        <w:jc w:val="both"/>
        <w:rPr>
          <w:rFonts w:ascii="Arial" w:hAnsi="Arial" w:cs="Arial"/>
          <w:b/>
          <w:bCs/>
        </w:rPr>
      </w:pPr>
    </w:p>
    <w:p w14:paraId="0248C27C" w14:textId="77777777" w:rsidR="00561B22" w:rsidRPr="003F4BCA" w:rsidRDefault="00561B22" w:rsidP="00561B22">
      <w:pPr>
        <w:pStyle w:val="Textoindependiente"/>
        <w:ind w:right="-50"/>
        <w:jc w:val="both"/>
        <w:rPr>
          <w:rFonts w:ascii="Arial" w:hAnsi="Arial" w:cs="Arial"/>
          <w:b/>
          <w:bCs/>
        </w:rPr>
      </w:pPr>
      <w:r w:rsidRPr="003F4BCA">
        <w:rPr>
          <w:rFonts w:ascii="Arial" w:hAnsi="Arial" w:cs="Arial"/>
          <w:b/>
          <w:bCs/>
        </w:rPr>
        <w:t>Del informe enviado retomamos lo siguiente:</w:t>
      </w:r>
    </w:p>
    <w:p w14:paraId="3C59C884" w14:textId="77777777" w:rsidR="00561B22" w:rsidRPr="003F4BC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F4BCA" w14:paraId="7754520C" w14:textId="77777777" w:rsidTr="00F1223B">
        <w:tc>
          <w:tcPr>
            <w:tcW w:w="562" w:type="dxa"/>
          </w:tcPr>
          <w:p w14:paraId="5B6E5602" w14:textId="77777777" w:rsidR="00561B22" w:rsidRPr="003F4BCA" w:rsidRDefault="00561B22" w:rsidP="00F1223B">
            <w:pPr>
              <w:ind w:right="-109"/>
              <w:jc w:val="center"/>
              <w:rPr>
                <w:rFonts w:ascii="Arial" w:hAnsi="Arial" w:cs="Arial"/>
                <w:b/>
                <w:sz w:val="22"/>
                <w:szCs w:val="22"/>
                <w:lang w:val="es-MX"/>
              </w:rPr>
            </w:pPr>
            <w:r w:rsidRPr="003F4BCA">
              <w:rPr>
                <w:rFonts w:ascii="Arial" w:hAnsi="Arial" w:cs="Arial"/>
                <w:b/>
                <w:sz w:val="22"/>
                <w:szCs w:val="22"/>
                <w:lang w:val="es-MX"/>
              </w:rPr>
              <w:t>N°</w:t>
            </w:r>
          </w:p>
        </w:tc>
        <w:tc>
          <w:tcPr>
            <w:tcW w:w="9400" w:type="dxa"/>
          </w:tcPr>
          <w:p w14:paraId="32E66458"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DEBILIDADES</w:t>
            </w:r>
          </w:p>
          <w:p w14:paraId="4BA440BC" w14:textId="77777777" w:rsidR="00561B22" w:rsidRPr="003F4BCA" w:rsidRDefault="00561B22" w:rsidP="00F1223B">
            <w:pPr>
              <w:jc w:val="center"/>
              <w:rPr>
                <w:rFonts w:ascii="Arial" w:hAnsi="Arial" w:cs="Arial"/>
                <w:b/>
                <w:sz w:val="22"/>
                <w:szCs w:val="22"/>
                <w:lang w:val="es-MX"/>
              </w:rPr>
            </w:pPr>
          </w:p>
        </w:tc>
      </w:tr>
      <w:tr w:rsidR="00561B22" w:rsidRPr="003F4BCA" w14:paraId="00DFA279" w14:textId="77777777" w:rsidTr="00F1223B">
        <w:tc>
          <w:tcPr>
            <w:tcW w:w="562" w:type="dxa"/>
          </w:tcPr>
          <w:p w14:paraId="78DC89D2"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1</w:t>
            </w:r>
          </w:p>
        </w:tc>
        <w:tc>
          <w:tcPr>
            <w:tcW w:w="9400" w:type="dxa"/>
          </w:tcPr>
          <w:p w14:paraId="3FA03A0C"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Se requiere fortalecer la identificación de riesgos de gestión, corrupción, ambientales, de seguridad y salud en el trabajo, fraude, fiscales, financieros, lavado de activos y de seguridad de la información, así como; en el diseño adecuado de los controles y aspectos claves para el reporte de evidencias y resultado de la ejecución de los mismos.</w:t>
            </w:r>
          </w:p>
        </w:tc>
      </w:tr>
      <w:tr w:rsidR="00561B22" w:rsidRPr="003F4BCA" w14:paraId="1C09DD4C" w14:textId="77777777" w:rsidTr="00F1223B">
        <w:tc>
          <w:tcPr>
            <w:tcW w:w="562" w:type="dxa"/>
          </w:tcPr>
          <w:p w14:paraId="1E68B3B5"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2</w:t>
            </w:r>
          </w:p>
        </w:tc>
        <w:tc>
          <w:tcPr>
            <w:tcW w:w="9400" w:type="dxa"/>
          </w:tcPr>
          <w:p w14:paraId="31C2DFA0"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Establecer el monitoreo desde la segunda línea de defensa, en esta matriz, solo se establece un enlace para el cargue de evidencias y en algunos casos, la información subida dentro del mismo, no da cumplimiento a las acciones planificadas por la primera línea de defensa, sin que se solicite a los responsables, el ajuste o las observaciones dentro de la correspondiente matriz.</w:t>
            </w:r>
          </w:p>
        </w:tc>
      </w:tr>
      <w:tr w:rsidR="00561B22" w:rsidRPr="003F4BCA" w14:paraId="2A94DF86" w14:textId="77777777" w:rsidTr="00F1223B">
        <w:tc>
          <w:tcPr>
            <w:tcW w:w="562" w:type="dxa"/>
          </w:tcPr>
          <w:p w14:paraId="417B7879"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3</w:t>
            </w:r>
          </w:p>
        </w:tc>
        <w:tc>
          <w:tcPr>
            <w:tcW w:w="9400" w:type="dxa"/>
          </w:tcPr>
          <w:p w14:paraId="38C9A392"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Se recomienda tener en cuenta los lineamientos establecidos por el Departamento Administrativo de la Función Pública, DAFP y las Guías Metodológicas.</w:t>
            </w:r>
          </w:p>
        </w:tc>
      </w:tr>
    </w:tbl>
    <w:p w14:paraId="2C4FD619" w14:textId="77777777" w:rsidR="00561B22" w:rsidRPr="003F4BCA" w:rsidRDefault="00561B22" w:rsidP="00561B22">
      <w:pPr>
        <w:pStyle w:val="Textoindependiente"/>
        <w:ind w:right="-50"/>
        <w:jc w:val="both"/>
        <w:rPr>
          <w:rFonts w:ascii="Arial" w:hAnsi="Arial" w:cs="Arial"/>
          <w:b/>
          <w:bCs/>
        </w:rPr>
      </w:pPr>
    </w:p>
    <w:p w14:paraId="0DD53C53" w14:textId="77777777" w:rsidR="00561B22" w:rsidRPr="003F4BCA" w:rsidRDefault="00561B22" w:rsidP="00561B22">
      <w:pPr>
        <w:jc w:val="both"/>
        <w:rPr>
          <w:rFonts w:ascii="Arial" w:hAnsi="Arial" w:cs="Arial"/>
          <w:b/>
          <w:lang w:val="es-MX"/>
        </w:rPr>
      </w:pPr>
      <w:r w:rsidRPr="003F4BCA">
        <w:rPr>
          <w:rFonts w:ascii="Arial" w:hAnsi="Arial" w:cs="Arial"/>
          <w:b/>
          <w:lang w:val="es-MX"/>
        </w:rPr>
        <w:t>Del citado informe retomamos las siguientes recomendaciones:</w:t>
      </w:r>
    </w:p>
    <w:p w14:paraId="4877FB51" w14:textId="77777777" w:rsidR="00561B22" w:rsidRPr="003F4BC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F4BCA" w14:paraId="724BF5B3" w14:textId="77777777" w:rsidTr="00F1223B">
        <w:tc>
          <w:tcPr>
            <w:tcW w:w="562" w:type="dxa"/>
          </w:tcPr>
          <w:p w14:paraId="3DF130FC" w14:textId="77777777" w:rsidR="00561B22" w:rsidRPr="003F4BCA" w:rsidRDefault="00561B22" w:rsidP="00F1223B">
            <w:pPr>
              <w:ind w:right="-109"/>
              <w:jc w:val="center"/>
              <w:rPr>
                <w:rFonts w:ascii="Arial" w:hAnsi="Arial" w:cs="Arial"/>
                <w:b/>
                <w:sz w:val="22"/>
                <w:szCs w:val="22"/>
                <w:lang w:val="es-MX"/>
              </w:rPr>
            </w:pPr>
            <w:r w:rsidRPr="003F4BCA">
              <w:rPr>
                <w:rFonts w:ascii="Arial" w:hAnsi="Arial" w:cs="Arial"/>
                <w:b/>
                <w:sz w:val="22"/>
                <w:szCs w:val="22"/>
                <w:lang w:val="es-MX"/>
              </w:rPr>
              <w:t>N°</w:t>
            </w:r>
          </w:p>
        </w:tc>
        <w:tc>
          <w:tcPr>
            <w:tcW w:w="9400" w:type="dxa"/>
          </w:tcPr>
          <w:p w14:paraId="68F1163A"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RECOMENDACIONES</w:t>
            </w:r>
          </w:p>
          <w:p w14:paraId="03EE9161" w14:textId="77777777" w:rsidR="00561B22" w:rsidRPr="003F4BCA" w:rsidRDefault="00561B22" w:rsidP="00F1223B">
            <w:pPr>
              <w:jc w:val="center"/>
              <w:rPr>
                <w:rFonts w:ascii="Arial" w:hAnsi="Arial" w:cs="Arial"/>
                <w:b/>
                <w:sz w:val="22"/>
                <w:szCs w:val="22"/>
                <w:lang w:val="es-MX"/>
              </w:rPr>
            </w:pPr>
          </w:p>
        </w:tc>
      </w:tr>
      <w:tr w:rsidR="00561B22" w:rsidRPr="003F4BCA" w14:paraId="25CCA45C" w14:textId="77777777" w:rsidTr="00F1223B">
        <w:tc>
          <w:tcPr>
            <w:tcW w:w="562" w:type="dxa"/>
          </w:tcPr>
          <w:p w14:paraId="671DCE75"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1</w:t>
            </w:r>
          </w:p>
        </w:tc>
        <w:tc>
          <w:tcPr>
            <w:tcW w:w="9400" w:type="dxa"/>
          </w:tcPr>
          <w:p w14:paraId="7D865736"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Garantizar la constitución de cuentas por pagar de acuerdo a lo reglamentado en el Estatuto Presupuestal de la Universidad de los Llanos, Acuerdo 059 de 1997- Presupuestal, Cap. VI, art 36.</w:t>
            </w:r>
          </w:p>
        </w:tc>
      </w:tr>
      <w:tr w:rsidR="00561B22" w:rsidRPr="003F4BCA" w14:paraId="19FB265A" w14:textId="77777777" w:rsidTr="00F1223B">
        <w:tc>
          <w:tcPr>
            <w:tcW w:w="562" w:type="dxa"/>
          </w:tcPr>
          <w:p w14:paraId="36CA2D12"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2</w:t>
            </w:r>
          </w:p>
        </w:tc>
        <w:tc>
          <w:tcPr>
            <w:tcW w:w="9400" w:type="dxa"/>
          </w:tcPr>
          <w:p w14:paraId="052FE89B"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Garantizar el Cumplimiento del Plan de Mejoramiento y en especial las relacionadas con la actualización de los saldos de inventarios.</w:t>
            </w:r>
          </w:p>
        </w:tc>
      </w:tr>
      <w:tr w:rsidR="00561B22" w:rsidRPr="003F4BCA" w14:paraId="335CC6C2" w14:textId="77777777" w:rsidTr="00F1223B">
        <w:tc>
          <w:tcPr>
            <w:tcW w:w="562" w:type="dxa"/>
          </w:tcPr>
          <w:p w14:paraId="52FB0C55"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3</w:t>
            </w:r>
          </w:p>
        </w:tc>
        <w:tc>
          <w:tcPr>
            <w:tcW w:w="9400" w:type="dxa"/>
          </w:tcPr>
          <w:p w14:paraId="0414F738"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Garantizar el cumplimiento al Sistema de Control Interno así: Promover la generación de información financiera con las características de relevancia y representación fiel, procurando contribuir con el logro de los propósitos del Sistema Nacional de Contabilidad Pública.</w:t>
            </w:r>
          </w:p>
        </w:tc>
      </w:tr>
      <w:tr w:rsidR="00561B22" w:rsidRPr="003F4BCA" w14:paraId="63C8F90E" w14:textId="77777777" w:rsidTr="00F1223B">
        <w:tc>
          <w:tcPr>
            <w:tcW w:w="562" w:type="dxa"/>
          </w:tcPr>
          <w:p w14:paraId="0941C8C9"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4</w:t>
            </w:r>
          </w:p>
        </w:tc>
        <w:tc>
          <w:tcPr>
            <w:tcW w:w="9400" w:type="dxa"/>
          </w:tcPr>
          <w:p w14:paraId="3BC0855C"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 xml:space="preserve">Establecer políticas que orienten el accionar administrativo de la entidad en cuanto a la producción de información financiera que, acordes con la normatividad propia del marco </w:t>
            </w:r>
            <w:r w:rsidRPr="003F4BCA">
              <w:rPr>
                <w:rFonts w:ascii="Arial" w:hAnsi="Arial" w:cs="Arial"/>
                <w:bCs/>
                <w:sz w:val="22"/>
                <w:szCs w:val="22"/>
                <w:lang w:val="es-MX"/>
              </w:rPr>
              <w:lastRenderedPageBreak/>
              <w:t>normativo aplicable a la entidad, propendan por el cumplimiento de las características de relevancia y representación fiel definidas en el Régimen de Contabilidad Pública.</w:t>
            </w:r>
          </w:p>
        </w:tc>
      </w:tr>
      <w:tr w:rsidR="00561B22" w:rsidRPr="003F4BCA" w14:paraId="123B65E4" w14:textId="77777777" w:rsidTr="00F1223B">
        <w:tc>
          <w:tcPr>
            <w:tcW w:w="562" w:type="dxa"/>
          </w:tcPr>
          <w:p w14:paraId="300777BC"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lastRenderedPageBreak/>
              <w:t>5</w:t>
            </w:r>
          </w:p>
        </w:tc>
        <w:tc>
          <w:tcPr>
            <w:tcW w:w="9400" w:type="dxa"/>
          </w:tcPr>
          <w:p w14:paraId="2989457C"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Verificar la efectividad de las políticas para el desarrollo de la función contable.</w:t>
            </w:r>
          </w:p>
        </w:tc>
      </w:tr>
      <w:tr w:rsidR="00561B22" w:rsidRPr="003F4BCA" w14:paraId="40E85CAD" w14:textId="77777777" w:rsidTr="00F1223B">
        <w:tc>
          <w:tcPr>
            <w:tcW w:w="562" w:type="dxa"/>
          </w:tcPr>
          <w:p w14:paraId="0BC08604"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6</w:t>
            </w:r>
          </w:p>
        </w:tc>
        <w:tc>
          <w:tcPr>
            <w:tcW w:w="9400" w:type="dxa"/>
          </w:tcPr>
          <w:p w14:paraId="73E2050B"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Comprobar la existencia de indicadores que permitan evaluar permanentemente la gestión y los resultados de la entidad.</w:t>
            </w:r>
          </w:p>
        </w:tc>
      </w:tr>
      <w:tr w:rsidR="00561B22" w:rsidRPr="003F4BCA" w14:paraId="399FE9B5" w14:textId="77777777" w:rsidTr="00F1223B">
        <w:tc>
          <w:tcPr>
            <w:tcW w:w="562" w:type="dxa"/>
          </w:tcPr>
          <w:p w14:paraId="2D381F0F"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7</w:t>
            </w:r>
          </w:p>
        </w:tc>
        <w:tc>
          <w:tcPr>
            <w:tcW w:w="9400" w:type="dxa"/>
          </w:tcPr>
          <w:p w14:paraId="5D0C3D7E"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Promover la cultura del autocontrol por parte de los ejecutores directos de las actividades relacionadas con el proceso contable.</w:t>
            </w:r>
          </w:p>
        </w:tc>
      </w:tr>
      <w:tr w:rsidR="00561B22" w:rsidRPr="003F4BCA" w14:paraId="0A93A875" w14:textId="77777777" w:rsidTr="00F1223B">
        <w:tc>
          <w:tcPr>
            <w:tcW w:w="562" w:type="dxa"/>
          </w:tcPr>
          <w:p w14:paraId="46D5A3EA"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8</w:t>
            </w:r>
          </w:p>
        </w:tc>
        <w:tc>
          <w:tcPr>
            <w:tcW w:w="9400" w:type="dxa"/>
          </w:tcPr>
          <w:p w14:paraId="0CFE15B6"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Garantizar que los hechos económicos de la entidad reconozcan, midan, revelen y presenten con sujeción al Régimen de Contabilidad Pública.</w:t>
            </w:r>
          </w:p>
        </w:tc>
      </w:tr>
      <w:tr w:rsidR="00561B22" w:rsidRPr="003F4BCA" w14:paraId="4943F615" w14:textId="77777777" w:rsidTr="00F1223B">
        <w:tc>
          <w:tcPr>
            <w:tcW w:w="562" w:type="dxa"/>
          </w:tcPr>
          <w:p w14:paraId="5DB252F7"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9</w:t>
            </w:r>
          </w:p>
        </w:tc>
        <w:tc>
          <w:tcPr>
            <w:tcW w:w="9400" w:type="dxa"/>
          </w:tcPr>
          <w:p w14:paraId="1D25ABFE"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Gestionar los riesgos a fin de promover la consecución de las características de relevancia y representación fiel de la información como producto del proceso contable de acuerdo a la Guía del DAFP.</w:t>
            </w:r>
          </w:p>
        </w:tc>
      </w:tr>
      <w:tr w:rsidR="00561B22" w:rsidRPr="003F4BCA" w14:paraId="04CF7DAB" w14:textId="77777777" w:rsidTr="00F1223B">
        <w:tc>
          <w:tcPr>
            <w:tcW w:w="562" w:type="dxa"/>
          </w:tcPr>
          <w:p w14:paraId="4F44500E"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10</w:t>
            </w:r>
          </w:p>
        </w:tc>
        <w:tc>
          <w:tcPr>
            <w:tcW w:w="9400" w:type="dxa"/>
          </w:tcPr>
          <w:p w14:paraId="0AC00D6B"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Definir e implementar los controles que sean necesarios para que se lleven a cabo las diferentes actividades del proceso contable de forma adecuada.</w:t>
            </w:r>
          </w:p>
        </w:tc>
      </w:tr>
      <w:tr w:rsidR="00561B22" w:rsidRPr="003F4BCA" w14:paraId="5459D4D8" w14:textId="77777777" w:rsidTr="00F1223B">
        <w:tc>
          <w:tcPr>
            <w:tcW w:w="562" w:type="dxa"/>
          </w:tcPr>
          <w:p w14:paraId="2714BAA7" w14:textId="77777777" w:rsidR="00561B22" w:rsidRPr="003F4BCA" w:rsidRDefault="00561B22" w:rsidP="00F1223B">
            <w:pPr>
              <w:jc w:val="center"/>
              <w:rPr>
                <w:rFonts w:ascii="Arial" w:hAnsi="Arial" w:cs="Arial"/>
                <w:b/>
                <w:sz w:val="22"/>
                <w:szCs w:val="22"/>
                <w:lang w:val="es-MX"/>
              </w:rPr>
            </w:pPr>
            <w:r w:rsidRPr="003F4BCA">
              <w:rPr>
                <w:rFonts w:ascii="Arial" w:hAnsi="Arial" w:cs="Arial"/>
                <w:b/>
                <w:sz w:val="22"/>
                <w:szCs w:val="22"/>
                <w:lang w:val="es-MX"/>
              </w:rPr>
              <w:t>11</w:t>
            </w:r>
          </w:p>
        </w:tc>
        <w:tc>
          <w:tcPr>
            <w:tcW w:w="9400" w:type="dxa"/>
          </w:tcPr>
          <w:p w14:paraId="61494E9D" w14:textId="77777777" w:rsidR="00561B22" w:rsidRPr="003F4BCA" w:rsidRDefault="00561B22" w:rsidP="00F1223B">
            <w:pPr>
              <w:jc w:val="both"/>
              <w:rPr>
                <w:rFonts w:ascii="Arial" w:hAnsi="Arial" w:cs="Arial"/>
                <w:bCs/>
                <w:sz w:val="22"/>
                <w:szCs w:val="22"/>
                <w:lang w:val="es-MX"/>
              </w:rPr>
            </w:pPr>
            <w:r w:rsidRPr="003F4BCA">
              <w:rPr>
                <w:rFonts w:ascii="Arial" w:hAnsi="Arial" w:cs="Arial"/>
                <w:bCs/>
                <w:sz w:val="22"/>
                <w:szCs w:val="22"/>
                <w:lang w:val="es-MX"/>
              </w:rPr>
              <w:t>Garantizar la generación y difusión, necesaria para el cumplimiento de los objetivos de toma de decisiones, control y rendición de cuentas, de los diferentes usuarios.</w:t>
            </w:r>
          </w:p>
        </w:tc>
      </w:tr>
    </w:tbl>
    <w:p w14:paraId="15474D52" w14:textId="77777777" w:rsidR="00561B22" w:rsidRPr="003F4BCA" w:rsidRDefault="00561B22" w:rsidP="00561B22">
      <w:pPr>
        <w:pStyle w:val="Textoindependiente"/>
        <w:ind w:right="-50"/>
        <w:jc w:val="both"/>
        <w:rPr>
          <w:rFonts w:ascii="Arial" w:hAnsi="Arial" w:cs="Arial"/>
          <w:b/>
          <w:bCs/>
        </w:rPr>
      </w:pPr>
    </w:p>
    <w:p w14:paraId="6B6DF703" w14:textId="77777777" w:rsidR="00561B22" w:rsidRPr="003F4BCA" w:rsidRDefault="00561B22" w:rsidP="00561B22">
      <w:pPr>
        <w:jc w:val="both"/>
        <w:rPr>
          <w:rFonts w:ascii="Arial" w:hAnsi="Arial" w:cs="Arial"/>
          <w:b/>
          <w:bCs/>
          <w:sz w:val="24"/>
          <w:szCs w:val="24"/>
          <w:lang w:val="es-CO"/>
        </w:rPr>
      </w:pPr>
      <w:r w:rsidRPr="003F4BCA">
        <w:rPr>
          <w:rFonts w:ascii="Arial" w:hAnsi="Arial" w:cs="Arial"/>
          <w:b/>
          <w:bCs/>
          <w:sz w:val="24"/>
          <w:szCs w:val="24"/>
          <w:lang w:val="es-CO"/>
        </w:rPr>
        <w:t xml:space="preserve">NOTA: LA ENTIDAD ENVIA LA MATRIZ DE AUTOEVALUACIÓN DEL SISTEMA DE CONTROL INTERNO CONTABLE CON </w:t>
      </w:r>
      <w:r w:rsidRPr="003F4BCA">
        <w:rPr>
          <w:rFonts w:ascii="Arial" w:hAnsi="Arial" w:cs="Arial"/>
          <w:b/>
          <w:bCs/>
          <w:sz w:val="24"/>
          <w:szCs w:val="24"/>
          <w:u w:val="single"/>
          <w:lang w:val="es-CO"/>
        </w:rPr>
        <w:t>ACTIVIDADES DE CONTROL REALIZADAS EN FORMA PARCIAL</w:t>
      </w:r>
      <w:r w:rsidRPr="003F4BCA">
        <w:rPr>
          <w:rFonts w:ascii="Arial" w:hAnsi="Arial" w:cs="Arial"/>
          <w:b/>
          <w:bCs/>
          <w:sz w:val="24"/>
          <w:szCs w:val="24"/>
          <w:lang w:val="es-CO"/>
        </w:rPr>
        <w:t>.</w:t>
      </w:r>
    </w:p>
    <w:p w14:paraId="74AA1F14" w14:textId="77777777" w:rsidR="00561B22" w:rsidRDefault="00561B22" w:rsidP="00561B22">
      <w:pPr>
        <w:pStyle w:val="Textoindependiente"/>
        <w:ind w:right="-50"/>
        <w:jc w:val="both"/>
        <w:rPr>
          <w:rFonts w:ascii="Arial" w:hAnsi="Arial" w:cs="Arial"/>
          <w:b/>
          <w:bCs/>
          <w:sz w:val="28"/>
          <w:szCs w:val="28"/>
        </w:rPr>
      </w:pPr>
    </w:p>
    <w:p w14:paraId="3D773F2C" w14:textId="034BE819" w:rsidR="00561B22" w:rsidRPr="0099743A" w:rsidRDefault="00561B22" w:rsidP="00561B22">
      <w:pPr>
        <w:jc w:val="both"/>
        <w:rPr>
          <w:rFonts w:ascii="Arial" w:hAnsi="Arial" w:cs="Arial"/>
          <w:b/>
          <w:sz w:val="28"/>
          <w:szCs w:val="28"/>
          <w:lang w:val="es-MX"/>
        </w:rPr>
      </w:pPr>
      <w:r w:rsidRPr="0099743A">
        <w:rPr>
          <w:rFonts w:ascii="Arial" w:hAnsi="Arial" w:cs="Arial"/>
          <w:b/>
          <w:sz w:val="28"/>
          <w:szCs w:val="28"/>
          <w:lang w:val="es-MX"/>
        </w:rPr>
        <w:t>217.- RADIO TELEVISIÓN NACIONAL DE COLOMBIA – RTVC S.A.S.</w:t>
      </w:r>
    </w:p>
    <w:p w14:paraId="22BF4D08" w14:textId="77777777" w:rsidR="00561B22" w:rsidRPr="003F4BCA" w:rsidRDefault="00561B22" w:rsidP="00561B22">
      <w:pPr>
        <w:pStyle w:val="Textoindependiente"/>
        <w:ind w:right="-50"/>
        <w:jc w:val="both"/>
        <w:rPr>
          <w:rFonts w:ascii="Arial" w:hAnsi="Arial" w:cs="Arial"/>
          <w:b/>
          <w:bCs/>
          <w:sz w:val="28"/>
          <w:szCs w:val="28"/>
        </w:rPr>
      </w:pPr>
    </w:p>
    <w:p w14:paraId="1FFB01C7" w14:textId="77777777" w:rsidR="00561B22" w:rsidRPr="0099743A" w:rsidRDefault="00561B22" w:rsidP="00561B22">
      <w:pPr>
        <w:pStyle w:val="Textoindependiente"/>
        <w:ind w:right="-50"/>
        <w:jc w:val="center"/>
        <w:rPr>
          <w:rFonts w:ascii="Arial" w:hAnsi="Arial" w:cs="Arial"/>
          <w:b/>
          <w:bCs/>
        </w:rPr>
      </w:pPr>
      <w:r w:rsidRPr="0099743A">
        <w:rPr>
          <w:rFonts w:ascii="Arial" w:hAnsi="Arial" w:cs="Arial"/>
          <w:b/>
          <w:bCs/>
        </w:rPr>
        <w:t>INFORME DE LA AUTOCALIFICACIÓN DEL SISTEMA DE CONTROL INTERNO CONTABLE:</w:t>
      </w:r>
    </w:p>
    <w:p w14:paraId="7B7FE8E9" w14:textId="77777777" w:rsidR="00561B22" w:rsidRPr="0099743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9743A" w14:paraId="5BA74226" w14:textId="77777777" w:rsidTr="00F1223B">
        <w:tc>
          <w:tcPr>
            <w:tcW w:w="4981" w:type="dxa"/>
          </w:tcPr>
          <w:p w14:paraId="751726A1"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AUTOCALIFICACIÓN</w:t>
            </w:r>
          </w:p>
        </w:tc>
        <w:tc>
          <w:tcPr>
            <w:tcW w:w="4981" w:type="dxa"/>
          </w:tcPr>
          <w:p w14:paraId="1431F596" w14:textId="77777777" w:rsidR="00561B22" w:rsidRPr="0099743A" w:rsidRDefault="00561B22" w:rsidP="00F1223B">
            <w:pPr>
              <w:jc w:val="center"/>
              <w:rPr>
                <w:rFonts w:ascii="Arial" w:hAnsi="Arial" w:cs="Arial"/>
                <w:b/>
                <w:sz w:val="22"/>
                <w:szCs w:val="22"/>
                <w:u w:val="single"/>
                <w:lang w:val="es-MX"/>
              </w:rPr>
            </w:pPr>
            <w:r w:rsidRPr="0099743A">
              <w:rPr>
                <w:rFonts w:ascii="Arial" w:hAnsi="Arial" w:cs="Arial"/>
                <w:b/>
                <w:sz w:val="22"/>
                <w:szCs w:val="22"/>
                <w:u w:val="single"/>
                <w:lang w:val="es-MX"/>
              </w:rPr>
              <w:t>4.88</w:t>
            </w:r>
          </w:p>
        </w:tc>
      </w:tr>
    </w:tbl>
    <w:p w14:paraId="3AA190A9" w14:textId="77777777" w:rsidR="00561B22" w:rsidRPr="0099743A" w:rsidRDefault="00561B22" w:rsidP="00561B22">
      <w:pPr>
        <w:pStyle w:val="Textoindependiente"/>
        <w:ind w:right="-50"/>
        <w:jc w:val="both"/>
        <w:rPr>
          <w:rFonts w:ascii="Arial" w:hAnsi="Arial" w:cs="Arial"/>
          <w:b/>
          <w:bCs/>
        </w:rPr>
      </w:pPr>
    </w:p>
    <w:p w14:paraId="6337699A" w14:textId="77777777" w:rsidR="00561B22" w:rsidRPr="0099743A" w:rsidRDefault="00561B22" w:rsidP="00561B22">
      <w:pPr>
        <w:pStyle w:val="Textoindependiente"/>
        <w:ind w:right="-50"/>
        <w:jc w:val="both"/>
        <w:rPr>
          <w:rFonts w:ascii="Arial" w:hAnsi="Arial" w:cs="Arial"/>
          <w:b/>
          <w:bCs/>
        </w:rPr>
      </w:pPr>
      <w:r w:rsidRPr="0099743A">
        <w:rPr>
          <w:rFonts w:ascii="Arial" w:hAnsi="Arial" w:cs="Arial"/>
          <w:b/>
          <w:bCs/>
        </w:rPr>
        <w:t>Del informe enviado retomamos lo siguiente:</w:t>
      </w:r>
    </w:p>
    <w:p w14:paraId="5FDB1A5A" w14:textId="77777777" w:rsidR="00561B22" w:rsidRPr="0099743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9743A" w14:paraId="39D83BCE" w14:textId="77777777" w:rsidTr="00F1223B">
        <w:tc>
          <w:tcPr>
            <w:tcW w:w="562" w:type="dxa"/>
          </w:tcPr>
          <w:p w14:paraId="738ECDA0" w14:textId="77777777" w:rsidR="00561B22" w:rsidRPr="0099743A" w:rsidRDefault="00561B22" w:rsidP="00F1223B">
            <w:pPr>
              <w:ind w:right="-109"/>
              <w:jc w:val="center"/>
              <w:rPr>
                <w:rFonts w:ascii="Arial" w:hAnsi="Arial" w:cs="Arial"/>
                <w:b/>
                <w:sz w:val="22"/>
                <w:szCs w:val="22"/>
                <w:lang w:val="es-MX"/>
              </w:rPr>
            </w:pPr>
            <w:r w:rsidRPr="0099743A">
              <w:rPr>
                <w:rFonts w:ascii="Arial" w:hAnsi="Arial" w:cs="Arial"/>
                <w:b/>
                <w:sz w:val="22"/>
                <w:szCs w:val="22"/>
                <w:lang w:val="es-MX"/>
              </w:rPr>
              <w:t>N°</w:t>
            </w:r>
          </w:p>
        </w:tc>
        <w:tc>
          <w:tcPr>
            <w:tcW w:w="9400" w:type="dxa"/>
          </w:tcPr>
          <w:p w14:paraId="487378A6"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DEBILIDADES</w:t>
            </w:r>
          </w:p>
          <w:p w14:paraId="10E84629" w14:textId="77777777" w:rsidR="00561B22" w:rsidRPr="0099743A" w:rsidRDefault="00561B22" w:rsidP="00F1223B">
            <w:pPr>
              <w:jc w:val="center"/>
              <w:rPr>
                <w:rFonts w:ascii="Arial" w:hAnsi="Arial" w:cs="Arial"/>
                <w:b/>
                <w:sz w:val="22"/>
                <w:szCs w:val="22"/>
                <w:lang w:val="es-MX"/>
              </w:rPr>
            </w:pPr>
          </w:p>
        </w:tc>
      </w:tr>
      <w:tr w:rsidR="00561B22" w:rsidRPr="0099743A" w14:paraId="11A5A6DE" w14:textId="77777777" w:rsidTr="00F1223B">
        <w:tc>
          <w:tcPr>
            <w:tcW w:w="562" w:type="dxa"/>
          </w:tcPr>
          <w:p w14:paraId="377B2E6B"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1</w:t>
            </w:r>
          </w:p>
        </w:tc>
        <w:tc>
          <w:tcPr>
            <w:tcW w:w="9400" w:type="dxa"/>
          </w:tcPr>
          <w:p w14:paraId="0BB09DE2" w14:textId="77777777" w:rsidR="00561B22" w:rsidRPr="0099743A" w:rsidRDefault="00561B22" w:rsidP="00F1223B">
            <w:pPr>
              <w:jc w:val="both"/>
              <w:rPr>
                <w:rFonts w:ascii="Arial" w:hAnsi="Arial" w:cs="Arial"/>
                <w:bCs/>
                <w:sz w:val="22"/>
                <w:szCs w:val="22"/>
                <w:lang w:val="es-MX"/>
              </w:rPr>
            </w:pPr>
            <w:r w:rsidRPr="0099743A">
              <w:rPr>
                <w:rFonts w:ascii="Arial" w:hAnsi="Arial" w:cs="Arial"/>
                <w:bCs/>
                <w:sz w:val="22"/>
                <w:szCs w:val="22"/>
                <w:lang w:val="es-MX"/>
              </w:rPr>
              <w:t xml:space="preserve">En la implementación de la Resolución  0152 del 2022 por la cual se fusiona el comité de inventarios y el comité técnico de sostenibilidad contable, con relación a la aplicación de la periodicidad establecida es esta, puesto que para la vigencia 2024 solo se desarrolló un comité el 31 de diciembre del 2024, y la resolución en su artículo 5  Sesiones  dicta lo siguiente:  Que  se reunirá ordinariamente una (1) vez dentro de cada semestre, o cada vez que el secretario lo convoque de manera extraordinaria . </w:t>
            </w:r>
          </w:p>
        </w:tc>
      </w:tr>
      <w:tr w:rsidR="00561B22" w:rsidRPr="0099743A" w14:paraId="040C41C0" w14:textId="77777777" w:rsidTr="00F1223B">
        <w:tc>
          <w:tcPr>
            <w:tcW w:w="562" w:type="dxa"/>
          </w:tcPr>
          <w:p w14:paraId="1AFF5C3B"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2</w:t>
            </w:r>
          </w:p>
        </w:tc>
        <w:tc>
          <w:tcPr>
            <w:tcW w:w="9400" w:type="dxa"/>
          </w:tcPr>
          <w:p w14:paraId="51820525" w14:textId="77777777" w:rsidR="00561B22" w:rsidRPr="0099743A" w:rsidRDefault="00561B22" w:rsidP="00F1223B">
            <w:pPr>
              <w:jc w:val="both"/>
              <w:rPr>
                <w:rFonts w:ascii="Arial" w:hAnsi="Arial" w:cs="Arial"/>
                <w:bCs/>
                <w:sz w:val="22"/>
                <w:szCs w:val="22"/>
                <w:lang w:val="es-MX"/>
              </w:rPr>
            </w:pPr>
            <w:r w:rsidRPr="0099743A">
              <w:rPr>
                <w:rFonts w:ascii="Arial" w:hAnsi="Arial" w:cs="Arial"/>
                <w:bCs/>
                <w:sz w:val="22"/>
                <w:szCs w:val="22"/>
                <w:lang w:val="es-MX"/>
              </w:rPr>
              <w:t>En la completitud del registro de información relacionada con el inventario y activos de la entidad, esto ocasionado por las deficiencias en la completa identificación de estos elementos.</w:t>
            </w:r>
          </w:p>
        </w:tc>
      </w:tr>
      <w:tr w:rsidR="00561B22" w:rsidRPr="0099743A" w14:paraId="0AC67A09" w14:textId="77777777" w:rsidTr="00F1223B">
        <w:tc>
          <w:tcPr>
            <w:tcW w:w="562" w:type="dxa"/>
          </w:tcPr>
          <w:p w14:paraId="6543060A"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3</w:t>
            </w:r>
          </w:p>
        </w:tc>
        <w:tc>
          <w:tcPr>
            <w:tcW w:w="9400" w:type="dxa"/>
          </w:tcPr>
          <w:p w14:paraId="574B9CAD" w14:textId="77777777" w:rsidR="00561B22" w:rsidRPr="0099743A" w:rsidRDefault="00561B22" w:rsidP="00F1223B">
            <w:pPr>
              <w:jc w:val="both"/>
              <w:rPr>
                <w:rFonts w:ascii="Arial" w:hAnsi="Arial" w:cs="Arial"/>
                <w:bCs/>
                <w:sz w:val="22"/>
                <w:szCs w:val="22"/>
                <w:lang w:val="es-MX"/>
              </w:rPr>
            </w:pPr>
            <w:r w:rsidRPr="0099743A">
              <w:rPr>
                <w:rFonts w:ascii="Arial" w:hAnsi="Arial" w:cs="Arial"/>
                <w:bCs/>
                <w:sz w:val="22"/>
                <w:szCs w:val="22"/>
                <w:lang w:val="es-MX"/>
              </w:rPr>
              <w:t>Publicación de los Estados Financieros trimestralmente en la página web de la entidad, conforme a la Resolución 356 del 30 de diciembre de 2022 expedida por la Contaduría General de la Nación, lo anterior, en el marco de la ley de transparencia, aun cuando la entidad solo se encuentre obligada a la publicación anual y consolidada de esta.</w:t>
            </w:r>
          </w:p>
        </w:tc>
      </w:tr>
    </w:tbl>
    <w:p w14:paraId="7B444EEF" w14:textId="77777777" w:rsidR="00561B22" w:rsidRPr="0099743A" w:rsidRDefault="00561B22" w:rsidP="00561B22">
      <w:pPr>
        <w:jc w:val="both"/>
        <w:rPr>
          <w:rFonts w:ascii="Arial" w:hAnsi="Arial" w:cs="Arial"/>
          <w:b/>
          <w:lang w:val="es-MX"/>
        </w:rPr>
      </w:pPr>
    </w:p>
    <w:p w14:paraId="0695125A" w14:textId="77777777" w:rsidR="00561B22" w:rsidRPr="0099743A" w:rsidRDefault="00561B22" w:rsidP="00561B22">
      <w:pPr>
        <w:jc w:val="both"/>
        <w:rPr>
          <w:rFonts w:ascii="Arial" w:hAnsi="Arial" w:cs="Arial"/>
          <w:b/>
          <w:lang w:val="es-MX"/>
        </w:rPr>
      </w:pPr>
      <w:r w:rsidRPr="0099743A">
        <w:rPr>
          <w:rFonts w:ascii="Arial" w:hAnsi="Arial" w:cs="Arial"/>
          <w:b/>
          <w:lang w:val="es-MX"/>
        </w:rPr>
        <w:t>Del citado informe retomamos las siguientes recomendaciones:</w:t>
      </w:r>
    </w:p>
    <w:p w14:paraId="1FEDACFC" w14:textId="77777777" w:rsidR="00561B22" w:rsidRPr="0099743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9743A" w14:paraId="443FCF8C" w14:textId="77777777" w:rsidTr="00F1223B">
        <w:tc>
          <w:tcPr>
            <w:tcW w:w="562" w:type="dxa"/>
          </w:tcPr>
          <w:p w14:paraId="7C12126A" w14:textId="77777777" w:rsidR="00561B22" w:rsidRPr="0099743A" w:rsidRDefault="00561B22" w:rsidP="00F1223B">
            <w:pPr>
              <w:ind w:right="-109"/>
              <w:jc w:val="center"/>
              <w:rPr>
                <w:rFonts w:ascii="Arial" w:hAnsi="Arial" w:cs="Arial"/>
                <w:b/>
                <w:sz w:val="22"/>
                <w:szCs w:val="22"/>
                <w:lang w:val="es-MX"/>
              </w:rPr>
            </w:pPr>
            <w:r w:rsidRPr="0099743A">
              <w:rPr>
                <w:rFonts w:ascii="Arial" w:hAnsi="Arial" w:cs="Arial"/>
                <w:b/>
                <w:sz w:val="22"/>
                <w:szCs w:val="22"/>
                <w:lang w:val="es-MX"/>
              </w:rPr>
              <w:t>N°</w:t>
            </w:r>
          </w:p>
        </w:tc>
        <w:tc>
          <w:tcPr>
            <w:tcW w:w="9400" w:type="dxa"/>
          </w:tcPr>
          <w:p w14:paraId="5C5968AA"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RECOMENDACIONES</w:t>
            </w:r>
          </w:p>
          <w:p w14:paraId="6D111AD8" w14:textId="77777777" w:rsidR="00561B22" w:rsidRPr="0099743A" w:rsidRDefault="00561B22" w:rsidP="00F1223B">
            <w:pPr>
              <w:jc w:val="center"/>
              <w:rPr>
                <w:rFonts w:ascii="Arial" w:hAnsi="Arial" w:cs="Arial"/>
                <w:b/>
                <w:sz w:val="22"/>
                <w:szCs w:val="22"/>
                <w:lang w:val="es-MX"/>
              </w:rPr>
            </w:pPr>
          </w:p>
        </w:tc>
      </w:tr>
      <w:tr w:rsidR="00561B22" w:rsidRPr="0099743A" w14:paraId="62BDFBEB" w14:textId="77777777" w:rsidTr="00F1223B">
        <w:tc>
          <w:tcPr>
            <w:tcW w:w="562" w:type="dxa"/>
          </w:tcPr>
          <w:p w14:paraId="5F0A0A18"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t>1</w:t>
            </w:r>
          </w:p>
        </w:tc>
        <w:tc>
          <w:tcPr>
            <w:tcW w:w="9400" w:type="dxa"/>
          </w:tcPr>
          <w:p w14:paraId="1F322B90" w14:textId="77777777" w:rsidR="00561B22" w:rsidRPr="0099743A" w:rsidRDefault="00561B22" w:rsidP="00F1223B">
            <w:pPr>
              <w:jc w:val="both"/>
              <w:rPr>
                <w:rFonts w:ascii="Arial" w:hAnsi="Arial" w:cs="Arial"/>
                <w:bCs/>
                <w:sz w:val="22"/>
                <w:szCs w:val="22"/>
                <w:lang w:val="es-MX"/>
              </w:rPr>
            </w:pPr>
            <w:r w:rsidRPr="0099743A">
              <w:rPr>
                <w:rFonts w:ascii="Arial" w:hAnsi="Arial" w:cs="Arial"/>
                <w:bCs/>
                <w:sz w:val="22"/>
                <w:szCs w:val="22"/>
                <w:lang w:val="es-MX"/>
              </w:rPr>
              <w:t xml:space="preserve">Adoptar el actual manual de políticas contables a través de acto administrativo, toda vez que las modificaciones realizadas en la vigencia 2024 no quedaron en firme a través de este mecanismo. </w:t>
            </w:r>
          </w:p>
        </w:tc>
      </w:tr>
      <w:tr w:rsidR="00561B22" w:rsidRPr="0099743A" w14:paraId="72BEE6B9" w14:textId="77777777" w:rsidTr="00F1223B">
        <w:tc>
          <w:tcPr>
            <w:tcW w:w="562" w:type="dxa"/>
          </w:tcPr>
          <w:p w14:paraId="2D764096" w14:textId="77777777" w:rsidR="00561B22" w:rsidRPr="0099743A" w:rsidRDefault="00561B22" w:rsidP="00F1223B">
            <w:pPr>
              <w:jc w:val="center"/>
              <w:rPr>
                <w:rFonts w:ascii="Arial" w:hAnsi="Arial" w:cs="Arial"/>
                <w:b/>
                <w:sz w:val="22"/>
                <w:szCs w:val="22"/>
                <w:lang w:val="es-MX"/>
              </w:rPr>
            </w:pPr>
            <w:r w:rsidRPr="0099743A">
              <w:rPr>
                <w:rFonts w:ascii="Arial" w:hAnsi="Arial" w:cs="Arial"/>
                <w:b/>
                <w:sz w:val="22"/>
                <w:szCs w:val="22"/>
                <w:lang w:val="es-MX"/>
              </w:rPr>
              <w:lastRenderedPageBreak/>
              <w:t>2</w:t>
            </w:r>
          </w:p>
        </w:tc>
        <w:tc>
          <w:tcPr>
            <w:tcW w:w="9400" w:type="dxa"/>
          </w:tcPr>
          <w:p w14:paraId="2C9888A5" w14:textId="77777777" w:rsidR="00561B22" w:rsidRPr="0099743A" w:rsidRDefault="00561B22" w:rsidP="00F1223B">
            <w:pPr>
              <w:jc w:val="both"/>
              <w:rPr>
                <w:rFonts w:ascii="Arial" w:hAnsi="Arial" w:cs="Arial"/>
                <w:bCs/>
                <w:sz w:val="22"/>
                <w:szCs w:val="22"/>
                <w:lang w:val="es-MX"/>
              </w:rPr>
            </w:pPr>
            <w:r w:rsidRPr="0099743A">
              <w:rPr>
                <w:rFonts w:ascii="Arial" w:hAnsi="Arial" w:cs="Arial"/>
                <w:bCs/>
                <w:sz w:val="22"/>
                <w:szCs w:val="22"/>
                <w:lang w:val="es-MX"/>
              </w:rPr>
              <w:t>Generar desde la coordinación del grupo de contabilidad o en articulación con talento humano jornadas de capacitación y/o actualización en materia financiera, contable y presupuestal para el personal de la dependencia, a fin de fortalecer las competencias y habilidades de los colaborades.</w:t>
            </w:r>
          </w:p>
        </w:tc>
      </w:tr>
    </w:tbl>
    <w:p w14:paraId="20A63DAC" w14:textId="77777777" w:rsidR="00561B22" w:rsidRPr="0099743A" w:rsidRDefault="00561B22" w:rsidP="00561B22">
      <w:pPr>
        <w:pStyle w:val="Textoindependiente"/>
        <w:ind w:right="-50"/>
        <w:jc w:val="both"/>
        <w:rPr>
          <w:rFonts w:ascii="Arial" w:hAnsi="Arial" w:cs="Arial"/>
          <w:b/>
          <w:bCs/>
        </w:rPr>
      </w:pPr>
    </w:p>
    <w:p w14:paraId="2498A9B5" w14:textId="77777777" w:rsidR="00561B22" w:rsidRDefault="00561B22" w:rsidP="00561B22">
      <w:pPr>
        <w:jc w:val="both"/>
        <w:rPr>
          <w:rFonts w:ascii="Arial" w:hAnsi="Arial" w:cs="Arial"/>
          <w:b/>
          <w:sz w:val="24"/>
          <w:szCs w:val="24"/>
          <w:lang w:val="es-CO"/>
        </w:rPr>
      </w:pPr>
      <w:r w:rsidRPr="0099743A">
        <w:rPr>
          <w:rFonts w:ascii="Arial" w:hAnsi="Arial" w:cs="Arial"/>
          <w:b/>
          <w:bCs/>
          <w:sz w:val="24"/>
          <w:szCs w:val="24"/>
          <w:lang w:val="es-CO"/>
        </w:rPr>
        <w:t xml:space="preserve">NOTA: </w:t>
      </w:r>
      <w:r w:rsidRPr="0099743A">
        <w:rPr>
          <w:rFonts w:ascii="Arial" w:hAnsi="Arial" w:cs="Arial"/>
          <w:b/>
          <w:sz w:val="24"/>
          <w:szCs w:val="24"/>
          <w:lang w:val="es-CO"/>
        </w:rPr>
        <w:t xml:space="preserve">LA ENTIDAD ENVÍA LA MATRIZ DE AUTOEVALUACIÓN DEL SISTEMA DE CONTROL INTERNO CONTABLE CON </w:t>
      </w:r>
      <w:r w:rsidRPr="0099743A">
        <w:rPr>
          <w:rFonts w:ascii="Arial" w:hAnsi="Arial" w:cs="Arial"/>
          <w:b/>
          <w:bCs/>
          <w:sz w:val="24"/>
          <w:szCs w:val="24"/>
          <w:u w:val="single"/>
          <w:lang w:val="es-CO"/>
        </w:rPr>
        <w:t>ACTIVIDADES DE CONTROL REALIZADAS EN FORMA PARCIAL</w:t>
      </w:r>
      <w:r w:rsidRPr="0099743A">
        <w:rPr>
          <w:rFonts w:ascii="Arial" w:hAnsi="Arial" w:cs="Arial"/>
          <w:b/>
          <w:sz w:val="24"/>
          <w:szCs w:val="24"/>
          <w:lang w:val="es-CO"/>
        </w:rPr>
        <w:t>.</w:t>
      </w:r>
    </w:p>
    <w:p w14:paraId="0FB33D67" w14:textId="77777777" w:rsidR="00561B22" w:rsidRDefault="00561B22" w:rsidP="00561B22">
      <w:pPr>
        <w:jc w:val="both"/>
        <w:rPr>
          <w:rFonts w:ascii="Arial" w:hAnsi="Arial" w:cs="Arial"/>
          <w:b/>
          <w:sz w:val="24"/>
          <w:szCs w:val="24"/>
          <w:lang w:val="es-CO"/>
        </w:rPr>
      </w:pPr>
    </w:p>
    <w:p w14:paraId="6A47582E" w14:textId="77777777" w:rsidR="00561B22" w:rsidRDefault="00561B22" w:rsidP="00561B22">
      <w:pPr>
        <w:ind w:right="49"/>
        <w:jc w:val="both"/>
        <w:rPr>
          <w:rFonts w:ascii="Arial" w:hAnsi="Arial" w:cs="Arial"/>
          <w:b/>
          <w:sz w:val="28"/>
          <w:szCs w:val="28"/>
          <w:lang w:val="es-MX"/>
        </w:rPr>
      </w:pPr>
      <w:r w:rsidRPr="00F61089">
        <w:rPr>
          <w:rFonts w:ascii="Arial" w:hAnsi="Arial" w:cs="Arial"/>
          <w:b/>
          <w:sz w:val="28"/>
          <w:szCs w:val="28"/>
          <w:lang w:val="es-MX"/>
        </w:rPr>
        <w:t>218.- ALIANZA COLOMBIANA DE INSTITUCIONES PÚBLICAS DE EDUCACIÓN SUPERIOR – RED SUMMA</w:t>
      </w:r>
      <w:r>
        <w:rPr>
          <w:rFonts w:ascii="Arial" w:hAnsi="Arial" w:cs="Arial"/>
          <w:b/>
          <w:sz w:val="28"/>
          <w:szCs w:val="28"/>
          <w:lang w:val="es-MX"/>
        </w:rPr>
        <w:t>.</w:t>
      </w:r>
    </w:p>
    <w:p w14:paraId="4E0ECCA7" w14:textId="77777777" w:rsidR="00561B22" w:rsidRPr="0099743A" w:rsidRDefault="00561B22" w:rsidP="00561B22">
      <w:pPr>
        <w:jc w:val="both"/>
        <w:rPr>
          <w:rFonts w:ascii="Arial" w:hAnsi="Arial" w:cs="Arial"/>
          <w:b/>
          <w:sz w:val="24"/>
          <w:szCs w:val="24"/>
          <w:lang w:val="es-CO"/>
        </w:rPr>
      </w:pPr>
    </w:p>
    <w:p w14:paraId="28CE0ABF" w14:textId="77777777" w:rsidR="00561B22" w:rsidRPr="00C81D19" w:rsidRDefault="00561B22" w:rsidP="00561B22">
      <w:pPr>
        <w:pStyle w:val="Textoindependiente"/>
        <w:ind w:right="-50"/>
        <w:jc w:val="center"/>
        <w:rPr>
          <w:rFonts w:ascii="Arial" w:hAnsi="Arial" w:cs="Arial"/>
          <w:b/>
          <w:bCs/>
        </w:rPr>
      </w:pPr>
      <w:r w:rsidRPr="00C81D19">
        <w:rPr>
          <w:rFonts w:ascii="Arial" w:hAnsi="Arial" w:cs="Arial"/>
          <w:b/>
          <w:bCs/>
        </w:rPr>
        <w:t>INFORME DE LA AUTOCALIFICACIÓN DEL SISTEMA DE CONTROL INTERNO CONTABLE:</w:t>
      </w:r>
    </w:p>
    <w:p w14:paraId="037F0055" w14:textId="77777777" w:rsidR="00561B22" w:rsidRPr="00C81D1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81D19" w14:paraId="3DB79AF1" w14:textId="77777777" w:rsidTr="00F1223B">
        <w:tc>
          <w:tcPr>
            <w:tcW w:w="4981" w:type="dxa"/>
          </w:tcPr>
          <w:p w14:paraId="3A3C602C"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AUTOCALIFICACIÓN</w:t>
            </w:r>
          </w:p>
        </w:tc>
        <w:tc>
          <w:tcPr>
            <w:tcW w:w="4981" w:type="dxa"/>
          </w:tcPr>
          <w:p w14:paraId="394240AA" w14:textId="77777777" w:rsidR="00561B22" w:rsidRPr="00C81D19" w:rsidRDefault="00561B22" w:rsidP="00F1223B">
            <w:pPr>
              <w:jc w:val="center"/>
              <w:rPr>
                <w:rFonts w:ascii="Arial" w:hAnsi="Arial" w:cs="Arial"/>
                <w:b/>
                <w:sz w:val="22"/>
                <w:szCs w:val="22"/>
                <w:u w:val="single"/>
                <w:lang w:val="es-MX"/>
              </w:rPr>
            </w:pPr>
            <w:r w:rsidRPr="00C81D19">
              <w:rPr>
                <w:rFonts w:ascii="Arial" w:hAnsi="Arial" w:cs="Arial"/>
                <w:b/>
                <w:sz w:val="22"/>
                <w:szCs w:val="22"/>
                <w:u w:val="single"/>
                <w:lang w:val="es-MX"/>
              </w:rPr>
              <w:t>4.91</w:t>
            </w:r>
          </w:p>
        </w:tc>
      </w:tr>
    </w:tbl>
    <w:p w14:paraId="47BFD994" w14:textId="77777777" w:rsidR="00561B22" w:rsidRPr="00C81D19" w:rsidRDefault="00561B22" w:rsidP="00561B22">
      <w:pPr>
        <w:pStyle w:val="Textoindependiente"/>
        <w:ind w:right="-50"/>
        <w:jc w:val="both"/>
        <w:rPr>
          <w:rFonts w:ascii="Arial" w:hAnsi="Arial" w:cs="Arial"/>
          <w:b/>
          <w:bCs/>
        </w:rPr>
      </w:pPr>
    </w:p>
    <w:p w14:paraId="260AEE4A" w14:textId="77777777" w:rsidR="00561B22" w:rsidRPr="00C81D19" w:rsidRDefault="00561B22" w:rsidP="00561B22">
      <w:pPr>
        <w:pStyle w:val="Textoindependiente"/>
        <w:ind w:right="-50"/>
        <w:jc w:val="both"/>
        <w:rPr>
          <w:rFonts w:ascii="Arial" w:hAnsi="Arial" w:cs="Arial"/>
          <w:b/>
          <w:bCs/>
        </w:rPr>
      </w:pPr>
      <w:r w:rsidRPr="00C81D19">
        <w:rPr>
          <w:rFonts w:ascii="Arial" w:hAnsi="Arial" w:cs="Arial"/>
          <w:b/>
          <w:bCs/>
        </w:rPr>
        <w:t>Del informe enviado retomamos lo siguiente:</w:t>
      </w:r>
    </w:p>
    <w:p w14:paraId="0C645977" w14:textId="77777777" w:rsidR="00561B22" w:rsidRPr="00C81D1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81D19" w14:paraId="1A0BBDED" w14:textId="77777777" w:rsidTr="00F1223B">
        <w:tc>
          <w:tcPr>
            <w:tcW w:w="562" w:type="dxa"/>
          </w:tcPr>
          <w:p w14:paraId="00C8CFC6" w14:textId="77777777" w:rsidR="00561B22" w:rsidRPr="00C81D19" w:rsidRDefault="00561B22" w:rsidP="00F1223B">
            <w:pPr>
              <w:ind w:right="-109"/>
              <w:jc w:val="center"/>
              <w:rPr>
                <w:rFonts w:ascii="Arial" w:hAnsi="Arial" w:cs="Arial"/>
                <w:b/>
                <w:sz w:val="22"/>
                <w:szCs w:val="22"/>
                <w:lang w:val="es-MX"/>
              </w:rPr>
            </w:pPr>
            <w:r w:rsidRPr="00C81D19">
              <w:rPr>
                <w:rFonts w:ascii="Arial" w:hAnsi="Arial" w:cs="Arial"/>
                <w:b/>
                <w:sz w:val="22"/>
                <w:szCs w:val="22"/>
                <w:lang w:val="es-MX"/>
              </w:rPr>
              <w:t>N°</w:t>
            </w:r>
          </w:p>
        </w:tc>
        <w:tc>
          <w:tcPr>
            <w:tcW w:w="9400" w:type="dxa"/>
          </w:tcPr>
          <w:p w14:paraId="32D7927B"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DEBILIDADES</w:t>
            </w:r>
          </w:p>
          <w:p w14:paraId="131B5154" w14:textId="77777777" w:rsidR="00561B22" w:rsidRPr="00C81D19" w:rsidRDefault="00561B22" w:rsidP="00F1223B">
            <w:pPr>
              <w:jc w:val="center"/>
              <w:rPr>
                <w:rFonts w:ascii="Arial" w:hAnsi="Arial" w:cs="Arial"/>
                <w:b/>
                <w:sz w:val="22"/>
                <w:szCs w:val="22"/>
                <w:lang w:val="es-MX"/>
              </w:rPr>
            </w:pPr>
          </w:p>
        </w:tc>
      </w:tr>
      <w:tr w:rsidR="00561B22" w:rsidRPr="00C81D19" w14:paraId="2BCB3948" w14:textId="77777777" w:rsidTr="00F1223B">
        <w:tc>
          <w:tcPr>
            <w:tcW w:w="562" w:type="dxa"/>
          </w:tcPr>
          <w:p w14:paraId="4F81E3FB"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1</w:t>
            </w:r>
          </w:p>
        </w:tc>
        <w:tc>
          <w:tcPr>
            <w:tcW w:w="9400" w:type="dxa"/>
          </w:tcPr>
          <w:p w14:paraId="45140331"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 xml:space="preserve">Se han identificado áreas de mejora en la identificación y gestión de riesgos. Por lo tanto, se propone implementar un proceso estandarizado para la identificación y el seguimiento de los mismos. </w:t>
            </w:r>
          </w:p>
        </w:tc>
      </w:tr>
      <w:tr w:rsidR="00561B22" w:rsidRPr="00C81D19" w14:paraId="6CF58D3C" w14:textId="77777777" w:rsidTr="00F1223B">
        <w:tc>
          <w:tcPr>
            <w:tcW w:w="562" w:type="dxa"/>
          </w:tcPr>
          <w:p w14:paraId="2E6147C3"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2</w:t>
            </w:r>
          </w:p>
        </w:tc>
        <w:tc>
          <w:tcPr>
            <w:tcW w:w="9400" w:type="dxa"/>
          </w:tcPr>
          <w:p w14:paraId="650ADE0D"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Es necesario fortalecer los indicadores existentes para evaluar la efectividad y la contribución de diversas actividades a la mejora continua, utilizando información relevante para este fin.</w:t>
            </w:r>
          </w:p>
        </w:tc>
      </w:tr>
      <w:tr w:rsidR="00561B22" w:rsidRPr="00C81D19" w14:paraId="7B4E4056" w14:textId="77777777" w:rsidTr="00F1223B">
        <w:tc>
          <w:tcPr>
            <w:tcW w:w="562" w:type="dxa"/>
          </w:tcPr>
          <w:p w14:paraId="233821F2"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3</w:t>
            </w:r>
          </w:p>
        </w:tc>
        <w:tc>
          <w:tcPr>
            <w:tcW w:w="9400" w:type="dxa"/>
          </w:tcPr>
          <w:p w14:paraId="3B7B112A"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Se sugiere crear espacios de capacitación e inducción para que los colaboradores conozcan y comprendan los lineamientos contables y financieros generales, así como los específicos de la entidad.</w:t>
            </w:r>
          </w:p>
        </w:tc>
      </w:tr>
      <w:tr w:rsidR="00561B22" w:rsidRPr="00C81D19" w14:paraId="37CFFDE7" w14:textId="77777777" w:rsidTr="00F1223B">
        <w:tc>
          <w:tcPr>
            <w:tcW w:w="562" w:type="dxa"/>
          </w:tcPr>
          <w:p w14:paraId="04071968"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4</w:t>
            </w:r>
          </w:p>
        </w:tc>
        <w:tc>
          <w:tcPr>
            <w:tcW w:w="9400" w:type="dxa"/>
          </w:tcPr>
          <w:p w14:paraId="1F666F7E"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Se recomienda realizar análisis y perfiles de cargo detallados que respondan a las responsabilidades y necesidades de gestión del proceso.</w:t>
            </w:r>
          </w:p>
        </w:tc>
      </w:tr>
    </w:tbl>
    <w:p w14:paraId="414C6B8C" w14:textId="77777777" w:rsidR="00561B22" w:rsidRPr="00C81D1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81D19" w14:paraId="0E568038" w14:textId="77777777" w:rsidTr="00F1223B">
        <w:tc>
          <w:tcPr>
            <w:tcW w:w="562" w:type="dxa"/>
          </w:tcPr>
          <w:p w14:paraId="2BC6B187" w14:textId="77777777" w:rsidR="00561B22" w:rsidRPr="00C81D19" w:rsidRDefault="00561B22" w:rsidP="00F1223B">
            <w:pPr>
              <w:ind w:right="-109"/>
              <w:jc w:val="center"/>
              <w:rPr>
                <w:rFonts w:ascii="Arial" w:hAnsi="Arial" w:cs="Arial"/>
                <w:b/>
                <w:sz w:val="22"/>
                <w:szCs w:val="22"/>
                <w:lang w:val="es-MX"/>
              </w:rPr>
            </w:pPr>
            <w:r w:rsidRPr="00C81D19">
              <w:rPr>
                <w:rFonts w:ascii="Arial" w:hAnsi="Arial" w:cs="Arial"/>
                <w:b/>
                <w:sz w:val="22"/>
                <w:szCs w:val="22"/>
                <w:lang w:val="es-MX"/>
              </w:rPr>
              <w:t>N°</w:t>
            </w:r>
          </w:p>
        </w:tc>
        <w:tc>
          <w:tcPr>
            <w:tcW w:w="9400" w:type="dxa"/>
          </w:tcPr>
          <w:p w14:paraId="00954F74"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RECOMENDACIONES</w:t>
            </w:r>
          </w:p>
          <w:p w14:paraId="7B15CC96" w14:textId="77777777" w:rsidR="00561B22" w:rsidRPr="00C81D19" w:rsidRDefault="00561B22" w:rsidP="00F1223B">
            <w:pPr>
              <w:jc w:val="center"/>
              <w:rPr>
                <w:rFonts w:ascii="Arial" w:hAnsi="Arial" w:cs="Arial"/>
                <w:b/>
                <w:sz w:val="22"/>
                <w:szCs w:val="22"/>
                <w:lang w:val="es-MX"/>
              </w:rPr>
            </w:pPr>
          </w:p>
        </w:tc>
      </w:tr>
      <w:tr w:rsidR="00561B22" w:rsidRPr="00C81D19" w14:paraId="37835D4D" w14:textId="77777777" w:rsidTr="00F1223B">
        <w:tc>
          <w:tcPr>
            <w:tcW w:w="562" w:type="dxa"/>
          </w:tcPr>
          <w:p w14:paraId="2781AEC0"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1</w:t>
            </w:r>
          </w:p>
        </w:tc>
        <w:tc>
          <w:tcPr>
            <w:tcW w:w="9400" w:type="dxa"/>
          </w:tcPr>
          <w:p w14:paraId="3519BD63"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Es fundamental unificar la identificación y el seguimiento para la gestión del riesgo.</w:t>
            </w:r>
          </w:p>
        </w:tc>
      </w:tr>
      <w:tr w:rsidR="00561B22" w:rsidRPr="00C81D19" w14:paraId="28CBB3CB" w14:textId="77777777" w:rsidTr="00F1223B">
        <w:tc>
          <w:tcPr>
            <w:tcW w:w="562" w:type="dxa"/>
          </w:tcPr>
          <w:p w14:paraId="459F20C0"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2</w:t>
            </w:r>
          </w:p>
        </w:tc>
        <w:tc>
          <w:tcPr>
            <w:tcW w:w="9400" w:type="dxa"/>
          </w:tcPr>
          <w:p w14:paraId="04B82E0F"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Resulta esencial establecer un plan de capacitación institucional y asegurar su debido cumplimiento.</w:t>
            </w:r>
          </w:p>
        </w:tc>
      </w:tr>
      <w:tr w:rsidR="00561B22" w:rsidRPr="00C81D19" w14:paraId="73B11DA1" w14:textId="77777777" w:rsidTr="00F1223B">
        <w:tc>
          <w:tcPr>
            <w:tcW w:w="562" w:type="dxa"/>
          </w:tcPr>
          <w:p w14:paraId="29BD2B05"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3</w:t>
            </w:r>
          </w:p>
        </w:tc>
        <w:tc>
          <w:tcPr>
            <w:tcW w:w="9400" w:type="dxa"/>
          </w:tcPr>
          <w:p w14:paraId="5928221A"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Es importante reforzar los indicadores para valorar la efectividad y la contribución a la mejora de ciertas actividades, aportando información relevante para la mejora continua.</w:t>
            </w:r>
          </w:p>
        </w:tc>
      </w:tr>
      <w:tr w:rsidR="00561B22" w:rsidRPr="00C81D19" w14:paraId="76D8EDDC" w14:textId="77777777" w:rsidTr="00F1223B">
        <w:tc>
          <w:tcPr>
            <w:tcW w:w="562" w:type="dxa"/>
          </w:tcPr>
          <w:p w14:paraId="6CCA8FB0"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4</w:t>
            </w:r>
          </w:p>
        </w:tc>
        <w:tc>
          <w:tcPr>
            <w:tcW w:w="9400" w:type="dxa"/>
          </w:tcPr>
          <w:p w14:paraId="31F749DA"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Se requiere organizar espacios de capacitación e inducción para comprender y asimilar los lineamientos contables y financieros generales, así como los específicos de la entidad.</w:t>
            </w:r>
          </w:p>
        </w:tc>
      </w:tr>
      <w:tr w:rsidR="00561B22" w:rsidRPr="00C81D19" w14:paraId="119C695B" w14:textId="77777777" w:rsidTr="00F1223B">
        <w:tc>
          <w:tcPr>
            <w:tcW w:w="562" w:type="dxa"/>
          </w:tcPr>
          <w:p w14:paraId="7B29FD91" w14:textId="77777777" w:rsidR="00561B22" w:rsidRPr="00C81D19" w:rsidRDefault="00561B22" w:rsidP="00F1223B">
            <w:pPr>
              <w:jc w:val="center"/>
              <w:rPr>
                <w:rFonts w:ascii="Arial" w:hAnsi="Arial" w:cs="Arial"/>
                <w:b/>
                <w:sz w:val="22"/>
                <w:szCs w:val="22"/>
                <w:lang w:val="es-MX"/>
              </w:rPr>
            </w:pPr>
            <w:r w:rsidRPr="00C81D19">
              <w:rPr>
                <w:rFonts w:ascii="Arial" w:hAnsi="Arial" w:cs="Arial"/>
                <w:b/>
                <w:sz w:val="22"/>
                <w:szCs w:val="22"/>
                <w:lang w:val="es-MX"/>
              </w:rPr>
              <w:t>5</w:t>
            </w:r>
          </w:p>
        </w:tc>
        <w:tc>
          <w:tcPr>
            <w:tcW w:w="9400" w:type="dxa"/>
          </w:tcPr>
          <w:p w14:paraId="14F18C34" w14:textId="77777777" w:rsidR="00561B22" w:rsidRPr="00C81D19" w:rsidRDefault="00561B22" w:rsidP="00F1223B">
            <w:pPr>
              <w:jc w:val="both"/>
              <w:rPr>
                <w:rFonts w:ascii="Arial" w:hAnsi="Arial" w:cs="Arial"/>
                <w:bCs/>
                <w:sz w:val="22"/>
                <w:szCs w:val="22"/>
                <w:lang w:val="es-MX"/>
              </w:rPr>
            </w:pPr>
            <w:r w:rsidRPr="00C81D19">
              <w:rPr>
                <w:rFonts w:ascii="Arial" w:hAnsi="Arial" w:cs="Arial"/>
                <w:bCs/>
                <w:sz w:val="22"/>
                <w:szCs w:val="22"/>
                <w:lang w:val="es-MX"/>
              </w:rPr>
              <w:t>Es crucial elaborar análisis y perfiles de cargo que satisfagan las responsabilidades y necesidades de gestión del proceso. Se sugiere adoptar buenas prácticas de gestión y operación de entidades y experiencias exitosas.</w:t>
            </w:r>
          </w:p>
        </w:tc>
      </w:tr>
    </w:tbl>
    <w:p w14:paraId="38827FF5" w14:textId="77777777" w:rsidR="00561B22" w:rsidRPr="00C81D19" w:rsidRDefault="00561B22" w:rsidP="00561B22">
      <w:pPr>
        <w:pStyle w:val="Textoindependiente"/>
        <w:ind w:right="-50"/>
        <w:jc w:val="both"/>
        <w:rPr>
          <w:rFonts w:ascii="Arial" w:hAnsi="Arial" w:cs="Arial"/>
          <w:b/>
          <w:bCs/>
        </w:rPr>
      </w:pPr>
    </w:p>
    <w:p w14:paraId="0173A0D1" w14:textId="77777777" w:rsidR="00561B22" w:rsidRPr="00C81D19" w:rsidRDefault="00561B22" w:rsidP="00561B22">
      <w:pPr>
        <w:jc w:val="both"/>
        <w:rPr>
          <w:rFonts w:ascii="Arial" w:hAnsi="Arial" w:cs="Arial"/>
          <w:b/>
          <w:sz w:val="24"/>
          <w:szCs w:val="24"/>
          <w:lang w:val="es-CO"/>
        </w:rPr>
      </w:pPr>
      <w:r w:rsidRPr="00C81D19">
        <w:rPr>
          <w:rFonts w:ascii="Arial" w:hAnsi="Arial" w:cs="Arial"/>
          <w:b/>
          <w:bCs/>
          <w:sz w:val="24"/>
          <w:szCs w:val="24"/>
          <w:lang w:val="es-CO"/>
        </w:rPr>
        <w:t xml:space="preserve">NOTA: </w:t>
      </w:r>
      <w:r w:rsidRPr="00C81D19">
        <w:rPr>
          <w:rFonts w:ascii="Arial" w:hAnsi="Arial" w:cs="Arial"/>
          <w:b/>
          <w:sz w:val="24"/>
          <w:szCs w:val="24"/>
          <w:lang w:val="es-CO"/>
        </w:rPr>
        <w:t xml:space="preserve">LA ENTIDAD ENVÍA LA MATRIZ DE AUTOEVALUACIÓN DEL SISTEMA DE CONTROL INTERNO CONTABLE CON </w:t>
      </w:r>
      <w:r w:rsidRPr="00C81D19">
        <w:rPr>
          <w:rFonts w:ascii="Arial" w:hAnsi="Arial" w:cs="Arial"/>
          <w:b/>
          <w:bCs/>
          <w:sz w:val="24"/>
          <w:szCs w:val="24"/>
          <w:u w:val="single"/>
          <w:lang w:val="es-CO"/>
        </w:rPr>
        <w:t>ACTIVIDADES DE CONTROL REALIZADAS EN FORMA PARCIAL</w:t>
      </w:r>
      <w:r w:rsidRPr="00C81D19">
        <w:rPr>
          <w:rFonts w:ascii="Arial" w:hAnsi="Arial" w:cs="Arial"/>
          <w:b/>
          <w:sz w:val="24"/>
          <w:szCs w:val="24"/>
          <w:lang w:val="es-CO"/>
        </w:rPr>
        <w:t>.</w:t>
      </w:r>
    </w:p>
    <w:p w14:paraId="4BED17FD" w14:textId="77777777" w:rsidR="00561B22" w:rsidRPr="00C81D19" w:rsidRDefault="00561B22" w:rsidP="00561B22">
      <w:pPr>
        <w:pStyle w:val="Textoindependiente"/>
        <w:ind w:right="-50"/>
        <w:jc w:val="both"/>
        <w:rPr>
          <w:rFonts w:ascii="Arial" w:hAnsi="Arial" w:cs="Arial"/>
          <w:b/>
          <w:bCs/>
          <w:sz w:val="28"/>
          <w:szCs w:val="28"/>
        </w:rPr>
      </w:pPr>
    </w:p>
    <w:p w14:paraId="61BE293D" w14:textId="77777777" w:rsidR="00561B22" w:rsidRPr="002C32AB" w:rsidRDefault="00561B22" w:rsidP="00561B22">
      <w:pPr>
        <w:jc w:val="both"/>
        <w:rPr>
          <w:rFonts w:ascii="Arial" w:hAnsi="Arial" w:cs="Arial"/>
          <w:b/>
          <w:sz w:val="28"/>
          <w:szCs w:val="28"/>
          <w:lang w:val="es-MX"/>
        </w:rPr>
      </w:pPr>
      <w:r w:rsidRPr="002C32AB">
        <w:rPr>
          <w:rFonts w:ascii="Arial" w:hAnsi="Arial" w:cs="Arial"/>
          <w:b/>
          <w:sz w:val="28"/>
          <w:szCs w:val="28"/>
          <w:lang w:val="es-MX"/>
        </w:rPr>
        <w:t xml:space="preserve">219.- FONDO NACIONAL DE MODERNIZACIÓN DEL PARQUE AUTOMOTOR DE CARGA - FOMPACARGA - FIDUAGRARIA S.A. </w:t>
      </w:r>
    </w:p>
    <w:p w14:paraId="5740F6C7" w14:textId="77777777" w:rsidR="00561B22" w:rsidRPr="002C32AB" w:rsidRDefault="00561B22" w:rsidP="00561B22">
      <w:pPr>
        <w:pStyle w:val="Textoindependiente"/>
        <w:tabs>
          <w:tab w:val="left" w:pos="2055"/>
        </w:tabs>
        <w:spacing w:before="5"/>
        <w:rPr>
          <w:rFonts w:ascii="Arial" w:hAnsi="Arial" w:cs="Arial"/>
          <w:sz w:val="24"/>
          <w:szCs w:val="24"/>
        </w:rPr>
      </w:pPr>
    </w:p>
    <w:p w14:paraId="72482687" w14:textId="77777777" w:rsidR="00561B22" w:rsidRPr="002C32AB" w:rsidRDefault="00561B22" w:rsidP="00561B22">
      <w:pPr>
        <w:pStyle w:val="Textoindependiente"/>
        <w:ind w:right="-50"/>
        <w:jc w:val="center"/>
        <w:rPr>
          <w:rFonts w:ascii="Arial" w:hAnsi="Arial" w:cs="Arial"/>
          <w:b/>
          <w:bCs/>
        </w:rPr>
      </w:pPr>
      <w:r w:rsidRPr="002C32AB">
        <w:rPr>
          <w:rFonts w:ascii="Arial" w:hAnsi="Arial" w:cs="Arial"/>
          <w:b/>
          <w:bCs/>
        </w:rPr>
        <w:t>INFORME DE LA AUTOCALIFICACIÓN DEL SISTEMA DE CONTROL INTERNO CONTABLE:</w:t>
      </w:r>
    </w:p>
    <w:p w14:paraId="54FAFB02" w14:textId="77777777" w:rsidR="00561B22" w:rsidRPr="002C32A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C32AB" w14:paraId="2CDD8532" w14:textId="77777777" w:rsidTr="00F1223B">
        <w:tc>
          <w:tcPr>
            <w:tcW w:w="4981" w:type="dxa"/>
          </w:tcPr>
          <w:p w14:paraId="3B7C6035" w14:textId="77777777" w:rsidR="00561B22" w:rsidRPr="002C32AB" w:rsidRDefault="00561B22" w:rsidP="00F1223B">
            <w:pPr>
              <w:jc w:val="center"/>
              <w:rPr>
                <w:rFonts w:ascii="Arial" w:hAnsi="Arial" w:cs="Arial"/>
                <w:b/>
                <w:sz w:val="22"/>
                <w:szCs w:val="22"/>
                <w:lang w:val="es-MX"/>
              </w:rPr>
            </w:pPr>
            <w:r w:rsidRPr="002C32AB">
              <w:rPr>
                <w:rFonts w:ascii="Arial" w:hAnsi="Arial" w:cs="Arial"/>
                <w:b/>
                <w:sz w:val="22"/>
                <w:szCs w:val="22"/>
                <w:lang w:val="es-MX"/>
              </w:rPr>
              <w:t>AUTOCALIFICACIÓN</w:t>
            </w:r>
          </w:p>
        </w:tc>
        <w:tc>
          <w:tcPr>
            <w:tcW w:w="4981" w:type="dxa"/>
          </w:tcPr>
          <w:p w14:paraId="2D839AFC" w14:textId="77777777" w:rsidR="00561B22" w:rsidRPr="002C32AB" w:rsidRDefault="00561B22" w:rsidP="00F1223B">
            <w:pPr>
              <w:jc w:val="center"/>
              <w:rPr>
                <w:rFonts w:ascii="Arial" w:hAnsi="Arial" w:cs="Arial"/>
                <w:b/>
                <w:sz w:val="22"/>
                <w:szCs w:val="22"/>
                <w:u w:val="single"/>
                <w:lang w:val="es-MX"/>
              </w:rPr>
            </w:pPr>
            <w:r w:rsidRPr="002C32AB">
              <w:rPr>
                <w:rFonts w:ascii="Arial" w:hAnsi="Arial" w:cs="Arial"/>
                <w:b/>
                <w:sz w:val="22"/>
                <w:szCs w:val="22"/>
                <w:u w:val="single"/>
                <w:lang w:val="es-MX"/>
              </w:rPr>
              <w:t>5.00</w:t>
            </w:r>
          </w:p>
        </w:tc>
      </w:tr>
    </w:tbl>
    <w:p w14:paraId="494BAC3A" w14:textId="77777777" w:rsidR="00561B22" w:rsidRPr="002C32AB" w:rsidRDefault="00561B22" w:rsidP="00561B22">
      <w:pPr>
        <w:pStyle w:val="Textoindependiente"/>
        <w:ind w:right="-50"/>
        <w:jc w:val="both"/>
        <w:rPr>
          <w:rFonts w:ascii="Arial" w:hAnsi="Arial" w:cs="Arial"/>
          <w:b/>
          <w:bCs/>
        </w:rPr>
      </w:pPr>
    </w:p>
    <w:p w14:paraId="771AF779" w14:textId="77777777" w:rsidR="00561B22" w:rsidRPr="002C32AB" w:rsidRDefault="00561B22" w:rsidP="00561B22">
      <w:pPr>
        <w:pStyle w:val="Textoindependiente"/>
        <w:ind w:right="-50"/>
        <w:jc w:val="both"/>
        <w:rPr>
          <w:rFonts w:ascii="Arial" w:hAnsi="Arial" w:cs="Arial"/>
          <w:b/>
          <w:bCs/>
        </w:rPr>
      </w:pPr>
      <w:r w:rsidRPr="002C32AB">
        <w:rPr>
          <w:rFonts w:ascii="Arial" w:hAnsi="Arial" w:cs="Arial"/>
          <w:b/>
          <w:bCs/>
        </w:rPr>
        <w:t>Del informe enviado retomamos lo siguiente:</w:t>
      </w:r>
    </w:p>
    <w:p w14:paraId="6094C4F5" w14:textId="77777777" w:rsidR="00561B22" w:rsidRPr="002C32A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C32AB" w14:paraId="13889FFD" w14:textId="77777777" w:rsidTr="00F1223B">
        <w:tc>
          <w:tcPr>
            <w:tcW w:w="562" w:type="dxa"/>
          </w:tcPr>
          <w:p w14:paraId="4654C957" w14:textId="77777777" w:rsidR="00561B22" w:rsidRPr="002C32AB" w:rsidRDefault="00561B22" w:rsidP="00F1223B">
            <w:pPr>
              <w:ind w:right="-109"/>
              <w:jc w:val="center"/>
              <w:rPr>
                <w:rFonts w:ascii="Arial" w:hAnsi="Arial" w:cs="Arial"/>
                <w:b/>
                <w:sz w:val="22"/>
                <w:szCs w:val="22"/>
                <w:lang w:val="es-MX"/>
              </w:rPr>
            </w:pPr>
            <w:r w:rsidRPr="002C32AB">
              <w:rPr>
                <w:rFonts w:ascii="Arial" w:hAnsi="Arial" w:cs="Arial"/>
                <w:b/>
                <w:sz w:val="22"/>
                <w:szCs w:val="22"/>
                <w:lang w:val="es-MX"/>
              </w:rPr>
              <w:t>N°</w:t>
            </w:r>
          </w:p>
        </w:tc>
        <w:tc>
          <w:tcPr>
            <w:tcW w:w="9400" w:type="dxa"/>
          </w:tcPr>
          <w:p w14:paraId="3DBCDC62" w14:textId="77777777" w:rsidR="00561B22" w:rsidRPr="002C32AB" w:rsidRDefault="00561B22" w:rsidP="00F1223B">
            <w:pPr>
              <w:jc w:val="center"/>
              <w:rPr>
                <w:rFonts w:ascii="Arial" w:hAnsi="Arial" w:cs="Arial"/>
                <w:b/>
                <w:sz w:val="22"/>
                <w:szCs w:val="22"/>
                <w:lang w:val="es-MX"/>
              </w:rPr>
            </w:pPr>
            <w:r w:rsidRPr="002C32AB">
              <w:rPr>
                <w:rFonts w:ascii="Arial" w:hAnsi="Arial" w:cs="Arial"/>
                <w:b/>
                <w:sz w:val="22"/>
                <w:szCs w:val="22"/>
                <w:lang w:val="es-MX"/>
              </w:rPr>
              <w:t>DEBILIDADES</w:t>
            </w:r>
          </w:p>
          <w:p w14:paraId="115F63E9" w14:textId="77777777" w:rsidR="00561B22" w:rsidRPr="002C32AB" w:rsidRDefault="00561B22" w:rsidP="00F1223B">
            <w:pPr>
              <w:jc w:val="center"/>
              <w:rPr>
                <w:rFonts w:ascii="Arial" w:hAnsi="Arial" w:cs="Arial"/>
                <w:b/>
                <w:sz w:val="22"/>
                <w:szCs w:val="22"/>
                <w:lang w:val="es-MX"/>
              </w:rPr>
            </w:pPr>
          </w:p>
        </w:tc>
      </w:tr>
      <w:tr w:rsidR="00561B22" w:rsidRPr="002C32AB" w14:paraId="271ECAC2" w14:textId="77777777" w:rsidTr="00F1223B">
        <w:tc>
          <w:tcPr>
            <w:tcW w:w="562" w:type="dxa"/>
          </w:tcPr>
          <w:p w14:paraId="7B6E652E" w14:textId="77777777" w:rsidR="00561B22" w:rsidRPr="002C32AB" w:rsidRDefault="00561B22" w:rsidP="00F1223B">
            <w:pPr>
              <w:jc w:val="center"/>
              <w:rPr>
                <w:rFonts w:ascii="Arial" w:hAnsi="Arial" w:cs="Arial"/>
                <w:b/>
                <w:sz w:val="22"/>
                <w:szCs w:val="22"/>
                <w:lang w:val="es-MX"/>
              </w:rPr>
            </w:pPr>
            <w:r w:rsidRPr="002C32AB">
              <w:rPr>
                <w:rFonts w:ascii="Arial" w:hAnsi="Arial" w:cs="Arial"/>
                <w:b/>
                <w:sz w:val="22"/>
                <w:szCs w:val="22"/>
                <w:lang w:val="es-MX"/>
              </w:rPr>
              <w:t>1</w:t>
            </w:r>
          </w:p>
        </w:tc>
        <w:tc>
          <w:tcPr>
            <w:tcW w:w="9400" w:type="dxa"/>
          </w:tcPr>
          <w:p w14:paraId="552C7F5C" w14:textId="77777777" w:rsidR="00561B22" w:rsidRPr="002C32AB" w:rsidRDefault="00561B22" w:rsidP="00F1223B">
            <w:pPr>
              <w:jc w:val="both"/>
              <w:rPr>
                <w:rFonts w:ascii="Arial" w:hAnsi="Arial" w:cs="Arial"/>
                <w:bCs/>
                <w:sz w:val="22"/>
                <w:szCs w:val="22"/>
                <w:lang w:val="es-MX"/>
              </w:rPr>
            </w:pPr>
            <w:r w:rsidRPr="002C32AB">
              <w:rPr>
                <w:rFonts w:ascii="Arial" w:hAnsi="Arial" w:cs="Arial"/>
                <w:bCs/>
                <w:sz w:val="22"/>
                <w:szCs w:val="22"/>
                <w:lang w:val="es-MX"/>
              </w:rPr>
              <w:t>De acuerdo con la evaluación realizada por la oficina de Control Interno se evidencia que es necesario continuar fortaleciendo los procesos relacionados en el cumplimiento del perfil de los funcionarios que participan en las actividades de los procedimientos contables para este caso.</w:t>
            </w:r>
          </w:p>
        </w:tc>
      </w:tr>
    </w:tbl>
    <w:p w14:paraId="63554240" w14:textId="77777777" w:rsidR="00561B22" w:rsidRPr="002C32AB" w:rsidRDefault="00561B22" w:rsidP="00561B22">
      <w:pPr>
        <w:jc w:val="both"/>
        <w:rPr>
          <w:rFonts w:ascii="Arial" w:hAnsi="Arial" w:cs="Arial"/>
          <w:b/>
          <w:lang w:val="es-MX"/>
        </w:rPr>
      </w:pPr>
    </w:p>
    <w:p w14:paraId="58DB7FEB" w14:textId="77777777" w:rsidR="00561B22" w:rsidRPr="00481AAB" w:rsidRDefault="00561B22" w:rsidP="00561B22">
      <w:pPr>
        <w:ind w:right="-93"/>
        <w:jc w:val="both"/>
        <w:rPr>
          <w:rFonts w:ascii="Arial" w:hAnsi="Arial" w:cs="Arial"/>
          <w:b/>
          <w:sz w:val="28"/>
          <w:szCs w:val="28"/>
          <w:lang w:val="es-MX"/>
        </w:rPr>
      </w:pPr>
      <w:r w:rsidRPr="00481AAB">
        <w:rPr>
          <w:rFonts w:ascii="Arial" w:hAnsi="Arial" w:cs="Arial"/>
          <w:b/>
          <w:sz w:val="28"/>
          <w:szCs w:val="28"/>
          <w:lang w:val="es-MX"/>
        </w:rPr>
        <w:t xml:space="preserve">220.- PATRIMONIO AUTÓNOMO DE REMANENTES CORELCA S.A. E.S.P. EN LIQUIDACIÓN CONTRATO N° 3-1-40009 – FIDUAGRARIA S.A. </w:t>
      </w:r>
    </w:p>
    <w:p w14:paraId="77C73F12" w14:textId="77777777" w:rsidR="00561B22" w:rsidRDefault="00561B22" w:rsidP="00561B22">
      <w:pPr>
        <w:ind w:right="-93"/>
        <w:rPr>
          <w:rFonts w:ascii="Arial" w:hAnsi="Arial" w:cs="Arial"/>
          <w:sz w:val="24"/>
          <w:szCs w:val="24"/>
        </w:rPr>
      </w:pPr>
    </w:p>
    <w:p w14:paraId="31CB9A8A" w14:textId="77777777" w:rsidR="00561B22" w:rsidRPr="00B041A2" w:rsidRDefault="00561B22" w:rsidP="00561B22">
      <w:pPr>
        <w:pStyle w:val="Textoindependiente"/>
        <w:ind w:right="-50"/>
        <w:jc w:val="center"/>
        <w:rPr>
          <w:rFonts w:ascii="Arial" w:hAnsi="Arial" w:cs="Arial"/>
          <w:b/>
          <w:bCs/>
        </w:rPr>
      </w:pPr>
      <w:r w:rsidRPr="00B041A2">
        <w:rPr>
          <w:rFonts w:ascii="Arial" w:hAnsi="Arial" w:cs="Arial"/>
          <w:b/>
          <w:bCs/>
        </w:rPr>
        <w:t>INFORME DE LA AUTOCALIFICACIÓN DEL SISTEMA DE CONTROL INTERNO CONTABLE:</w:t>
      </w:r>
    </w:p>
    <w:p w14:paraId="6AF4637E" w14:textId="77777777" w:rsidR="00561B22" w:rsidRPr="00B041A2"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041A2" w14:paraId="4310E860" w14:textId="77777777" w:rsidTr="00F1223B">
        <w:tc>
          <w:tcPr>
            <w:tcW w:w="4981" w:type="dxa"/>
          </w:tcPr>
          <w:p w14:paraId="3C99BDED" w14:textId="77777777" w:rsidR="00561B22" w:rsidRPr="00B041A2" w:rsidRDefault="00561B22" w:rsidP="00F1223B">
            <w:pPr>
              <w:jc w:val="center"/>
              <w:rPr>
                <w:rFonts w:ascii="Arial" w:hAnsi="Arial" w:cs="Arial"/>
                <w:b/>
                <w:sz w:val="22"/>
                <w:szCs w:val="22"/>
                <w:lang w:val="es-MX"/>
              </w:rPr>
            </w:pPr>
            <w:r w:rsidRPr="00B041A2">
              <w:rPr>
                <w:rFonts w:ascii="Arial" w:hAnsi="Arial" w:cs="Arial"/>
                <w:b/>
                <w:sz w:val="22"/>
                <w:szCs w:val="22"/>
                <w:lang w:val="es-MX"/>
              </w:rPr>
              <w:t>AUTOCALIFICACIÓN</w:t>
            </w:r>
          </w:p>
        </w:tc>
        <w:tc>
          <w:tcPr>
            <w:tcW w:w="4981" w:type="dxa"/>
          </w:tcPr>
          <w:p w14:paraId="71180F53" w14:textId="77777777" w:rsidR="00561B22" w:rsidRPr="00B041A2" w:rsidRDefault="00561B22" w:rsidP="00F1223B">
            <w:pPr>
              <w:jc w:val="center"/>
              <w:rPr>
                <w:rFonts w:ascii="Arial" w:hAnsi="Arial" w:cs="Arial"/>
                <w:b/>
                <w:sz w:val="22"/>
                <w:szCs w:val="22"/>
                <w:u w:val="single"/>
                <w:lang w:val="es-MX"/>
              </w:rPr>
            </w:pPr>
            <w:r w:rsidRPr="00B041A2">
              <w:rPr>
                <w:rFonts w:ascii="Arial" w:hAnsi="Arial" w:cs="Arial"/>
                <w:b/>
                <w:sz w:val="22"/>
                <w:szCs w:val="22"/>
                <w:u w:val="single"/>
                <w:lang w:val="es-MX"/>
              </w:rPr>
              <w:t>4.97</w:t>
            </w:r>
          </w:p>
        </w:tc>
      </w:tr>
    </w:tbl>
    <w:p w14:paraId="7AAF8336" w14:textId="77777777" w:rsidR="00561B22" w:rsidRPr="00B041A2" w:rsidRDefault="00561B22" w:rsidP="00561B22">
      <w:pPr>
        <w:pStyle w:val="Textoindependiente"/>
        <w:ind w:right="-50"/>
        <w:jc w:val="both"/>
        <w:rPr>
          <w:rFonts w:ascii="Arial" w:hAnsi="Arial" w:cs="Arial"/>
          <w:b/>
          <w:bCs/>
        </w:rPr>
      </w:pPr>
    </w:p>
    <w:p w14:paraId="3A49B4BD" w14:textId="77777777" w:rsidR="00561B22" w:rsidRPr="00B041A2" w:rsidRDefault="00561B22" w:rsidP="00561B22">
      <w:pPr>
        <w:pStyle w:val="Textoindependiente"/>
        <w:ind w:right="-50"/>
        <w:jc w:val="both"/>
        <w:rPr>
          <w:rFonts w:ascii="Arial" w:hAnsi="Arial" w:cs="Arial"/>
          <w:b/>
          <w:bCs/>
        </w:rPr>
      </w:pPr>
      <w:r w:rsidRPr="00B041A2">
        <w:rPr>
          <w:rFonts w:ascii="Arial" w:hAnsi="Arial" w:cs="Arial"/>
          <w:b/>
          <w:bCs/>
        </w:rPr>
        <w:t>Del informe enviado retomamos lo siguiente:</w:t>
      </w:r>
    </w:p>
    <w:p w14:paraId="38A795E5" w14:textId="77777777" w:rsidR="00561B22" w:rsidRPr="00B041A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041A2" w14:paraId="798159C3" w14:textId="77777777" w:rsidTr="00F1223B">
        <w:tc>
          <w:tcPr>
            <w:tcW w:w="562" w:type="dxa"/>
          </w:tcPr>
          <w:p w14:paraId="102E46DD" w14:textId="77777777" w:rsidR="00561B22" w:rsidRPr="00B041A2" w:rsidRDefault="00561B22" w:rsidP="00F1223B">
            <w:pPr>
              <w:ind w:right="-109"/>
              <w:jc w:val="center"/>
              <w:rPr>
                <w:rFonts w:ascii="Arial" w:hAnsi="Arial" w:cs="Arial"/>
                <w:b/>
                <w:sz w:val="22"/>
                <w:szCs w:val="22"/>
                <w:lang w:val="es-MX"/>
              </w:rPr>
            </w:pPr>
            <w:r w:rsidRPr="00B041A2">
              <w:rPr>
                <w:rFonts w:ascii="Arial" w:hAnsi="Arial" w:cs="Arial"/>
                <w:b/>
                <w:sz w:val="22"/>
                <w:szCs w:val="22"/>
                <w:lang w:val="es-MX"/>
              </w:rPr>
              <w:t>N°</w:t>
            </w:r>
          </w:p>
        </w:tc>
        <w:tc>
          <w:tcPr>
            <w:tcW w:w="9400" w:type="dxa"/>
          </w:tcPr>
          <w:p w14:paraId="5A614980" w14:textId="77777777" w:rsidR="00561B22" w:rsidRPr="00B041A2" w:rsidRDefault="00561B22" w:rsidP="00F1223B">
            <w:pPr>
              <w:jc w:val="center"/>
              <w:rPr>
                <w:rFonts w:ascii="Arial" w:hAnsi="Arial" w:cs="Arial"/>
                <w:b/>
                <w:sz w:val="22"/>
                <w:szCs w:val="22"/>
                <w:lang w:val="es-MX"/>
              </w:rPr>
            </w:pPr>
            <w:r w:rsidRPr="00B041A2">
              <w:rPr>
                <w:rFonts w:ascii="Arial" w:hAnsi="Arial" w:cs="Arial"/>
                <w:b/>
                <w:sz w:val="22"/>
                <w:szCs w:val="22"/>
                <w:lang w:val="es-MX"/>
              </w:rPr>
              <w:t>DEBILIDADES</w:t>
            </w:r>
          </w:p>
          <w:p w14:paraId="614D9CB3" w14:textId="77777777" w:rsidR="00561B22" w:rsidRPr="00B041A2" w:rsidRDefault="00561B22" w:rsidP="00F1223B">
            <w:pPr>
              <w:jc w:val="center"/>
              <w:rPr>
                <w:rFonts w:ascii="Arial" w:hAnsi="Arial" w:cs="Arial"/>
                <w:b/>
                <w:sz w:val="22"/>
                <w:szCs w:val="22"/>
                <w:lang w:val="es-MX"/>
              </w:rPr>
            </w:pPr>
          </w:p>
        </w:tc>
      </w:tr>
      <w:tr w:rsidR="00561B22" w:rsidRPr="00B041A2" w14:paraId="11B4EA30" w14:textId="77777777" w:rsidTr="00F1223B">
        <w:tc>
          <w:tcPr>
            <w:tcW w:w="562" w:type="dxa"/>
          </w:tcPr>
          <w:p w14:paraId="725D8CC4" w14:textId="77777777" w:rsidR="00561B22" w:rsidRPr="00B041A2" w:rsidRDefault="00561B22" w:rsidP="00F1223B">
            <w:pPr>
              <w:jc w:val="center"/>
              <w:rPr>
                <w:rFonts w:ascii="Arial" w:hAnsi="Arial" w:cs="Arial"/>
                <w:b/>
                <w:sz w:val="22"/>
                <w:szCs w:val="22"/>
                <w:lang w:val="es-MX"/>
              </w:rPr>
            </w:pPr>
            <w:r w:rsidRPr="00B041A2">
              <w:rPr>
                <w:rFonts w:ascii="Arial" w:hAnsi="Arial" w:cs="Arial"/>
                <w:b/>
                <w:sz w:val="22"/>
                <w:szCs w:val="22"/>
                <w:lang w:val="es-MX"/>
              </w:rPr>
              <w:t>1</w:t>
            </w:r>
          </w:p>
        </w:tc>
        <w:tc>
          <w:tcPr>
            <w:tcW w:w="9400" w:type="dxa"/>
          </w:tcPr>
          <w:p w14:paraId="09EE3005" w14:textId="77777777" w:rsidR="00561B22" w:rsidRPr="00B041A2" w:rsidRDefault="00561B22" w:rsidP="00F1223B">
            <w:pPr>
              <w:jc w:val="both"/>
              <w:rPr>
                <w:rFonts w:ascii="Arial" w:hAnsi="Arial" w:cs="Arial"/>
                <w:bCs/>
                <w:sz w:val="22"/>
                <w:szCs w:val="22"/>
                <w:lang w:val="es-MX"/>
              </w:rPr>
            </w:pPr>
            <w:r w:rsidRPr="00B041A2">
              <w:rPr>
                <w:rFonts w:ascii="Arial" w:hAnsi="Arial" w:cs="Arial"/>
                <w:bCs/>
                <w:sz w:val="22"/>
                <w:szCs w:val="22"/>
                <w:lang w:val="es-MX"/>
              </w:rPr>
              <w:t>De acuerdo con la evaluación realizada por la oficina de Control Interno se evidencia que es necesario continuar fortaleciendo los procesos relacionados en el cumplimiento del perfil de los funcionarios que participan en las actividades de los procedimientos contables para este caso.</w:t>
            </w:r>
          </w:p>
        </w:tc>
      </w:tr>
    </w:tbl>
    <w:p w14:paraId="6488FA05" w14:textId="77777777" w:rsidR="00561B22" w:rsidRPr="00B041A2" w:rsidRDefault="00561B22" w:rsidP="00561B22">
      <w:pPr>
        <w:jc w:val="both"/>
        <w:rPr>
          <w:rFonts w:ascii="Arial" w:hAnsi="Arial" w:cs="Arial"/>
          <w:b/>
          <w:bCs/>
          <w:sz w:val="24"/>
          <w:szCs w:val="24"/>
          <w:lang w:val="es-CO"/>
        </w:rPr>
      </w:pPr>
    </w:p>
    <w:p w14:paraId="75EC6FB3" w14:textId="77777777" w:rsidR="00561B22" w:rsidRPr="00B041A2" w:rsidRDefault="00561B22" w:rsidP="00561B22">
      <w:pPr>
        <w:jc w:val="both"/>
        <w:rPr>
          <w:rFonts w:ascii="Arial" w:hAnsi="Arial" w:cs="Arial"/>
          <w:b/>
          <w:bCs/>
          <w:sz w:val="24"/>
          <w:szCs w:val="24"/>
          <w:lang w:val="es-CO"/>
        </w:rPr>
      </w:pPr>
      <w:r w:rsidRPr="00B041A2">
        <w:rPr>
          <w:rFonts w:ascii="Arial" w:hAnsi="Arial" w:cs="Arial"/>
          <w:b/>
          <w:bCs/>
          <w:sz w:val="24"/>
          <w:szCs w:val="24"/>
          <w:lang w:val="es-CO"/>
        </w:rPr>
        <w:t>NOTA: L</w:t>
      </w:r>
      <w:r w:rsidRPr="00B041A2">
        <w:rPr>
          <w:rFonts w:ascii="Arial" w:hAnsi="Arial" w:cs="Arial"/>
          <w:b/>
          <w:sz w:val="24"/>
          <w:szCs w:val="24"/>
          <w:lang w:val="es-CO"/>
        </w:rPr>
        <w:t xml:space="preserve">A ENTIDAD ENVÍA LA MATRIZ DE AUTOEVALUACIÓN DEL SISTEMA DE CONTROL INTERNO CONTABLE CON </w:t>
      </w:r>
      <w:r w:rsidRPr="00B041A2">
        <w:rPr>
          <w:rFonts w:ascii="Arial" w:hAnsi="Arial" w:cs="Arial"/>
          <w:b/>
          <w:bCs/>
          <w:sz w:val="24"/>
          <w:szCs w:val="24"/>
          <w:u w:val="single"/>
          <w:lang w:val="es-CO"/>
        </w:rPr>
        <w:t>ACTIVIDADES DE CONTROL REALIZADAS EN FORMA PARCIAL</w:t>
      </w:r>
      <w:r w:rsidRPr="00B041A2">
        <w:rPr>
          <w:rFonts w:ascii="Arial" w:hAnsi="Arial" w:cs="Arial"/>
          <w:b/>
          <w:bCs/>
          <w:sz w:val="24"/>
          <w:szCs w:val="24"/>
          <w:lang w:val="es-CO"/>
        </w:rPr>
        <w:t>.</w:t>
      </w:r>
    </w:p>
    <w:p w14:paraId="0A8616B9" w14:textId="77777777" w:rsidR="00561B22" w:rsidRPr="002C32AB" w:rsidRDefault="00561B22" w:rsidP="00561B22">
      <w:pPr>
        <w:pStyle w:val="Textoindependiente"/>
        <w:tabs>
          <w:tab w:val="left" w:pos="2055"/>
        </w:tabs>
        <w:spacing w:before="5"/>
        <w:rPr>
          <w:rFonts w:ascii="Arial" w:hAnsi="Arial" w:cs="Arial"/>
        </w:rPr>
      </w:pPr>
    </w:p>
    <w:p w14:paraId="552271E0" w14:textId="77777777" w:rsidR="00561B22" w:rsidRPr="00D047C5" w:rsidRDefault="00561B22" w:rsidP="00561B22">
      <w:pPr>
        <w:ind w:right="-93"/>
        <w:jc w:val="both"/>
        <w:rPr>
          <w:rFonts w:ascii="Arial" w:hAnsi="Arial" w:cs="Arial"/>
          <w:b/>
          <w:sz w:val="28"/>
          <w:szCs w:val="28"/>
          <w:lang w:val="es-MX"/>
        </w:rPr>
      </w:pPr>
      <w:r w:rsidRPr="00D047C5">
        <w:rPr>
          <w:rFonts w:ascii="Arial" w:hAnsi="Arial" w:cs="Arial"/>
          <w:b/>
          <w:sz w:val="28"/>
          <w:szCs w:val="28"/>
          <w:lang w:val="es-MX"/>
        </w:rPr>
        <w:t xml:space="preserve">222.- </w:t>
      </w:r>
      <w:r w:rsidRPr="00D047C5">
        <w:rPr>
          <w:rFonts w:ascii="Arial" w:hAnsi="Arial" w:cs="Arial"/>
          <w:b/>
          <w:sz w:val="28"/>
          <w:szCs w:val="28"/>
        </w:rPr>
        <w:t>CENTRAL DE ABASTOS DE CUCUTA S.A. – CENABASTOS EN LIQUIDACIÓN.</w:t>
      </w:r>
    </w:p>
    <w:p w14:paraId="257780D5" w14:textId="77777777" w:rsidR="00561B22" w:rsidRDefault="00561B22" w:rsidP="00561B22">
      <w:pPr>
        <w:pStyle w:val="Textoindependiente"/>
        <w:tabs>
          <w:tab w:val="left" w:pos="2055"/>
        </w:tabs>
        <w:spacing w:before="5"/>
        <w:rPr>
          <w:rFonts w:ascii="Arial" w:hAnsi="Arial" w:cs="Arial"/>
        </w:rPr>
      </w:pPr>
    </w:p>
    <w:p w14:paraId="749638C7" w14:textId="77777777" w:rsidR="00561B22" w:rsidRPr="000F3769" w:rsidRDefault="00561B22" w:rsidP="00561B22">
      <w:pPr>
        <w:pStyle w:val="Textoindependiente"/>
        <w:ind w:right="-50"/>
        <w:jc w:val="center"/>
        <w:rPr>
          <w:b/>
          <w:bCs/>
        </w:rPr>
      </w:pPr>
      <w:r w:rsidRPr="000F3769">
        <w:rPr>
          <w:b/>
          <w:bCs/>
        </w:rPr>
        <w:t>INFORME DE LA AUTOCALIFICACIÓN DEL SISTEMA DE CONTROL INTERNO CONTABLE:</w:t>
      </w:r>
    </w:p>
    <w:p w14:paraId="420D1C7C" w14:textId="77777777" w:rsidR="00561B22" w:rsidRPr="000F3769" w:rsidRDefault="00561B22" w:rsidP="00561B22">
      <w:pPr>
        <w:pStyle w:val="Textoindependiente"/>
        <w:ind w:right="-50"/>
        <w:jc w:val="both"/>
        <w:rPr>
          <w:b/>
          <w:bCs/>
        </w:rPr>
      </w:pPr>
    </w:p>
    <w:tbl>
      <w:tblPr>
        <w:tblStyle w:val="Tablaconcuadrcula"/>
        <w:tblW w:w="0" w:type="auto"/>
        <w:tblLook w:val="04A0" w:firstRow="1" w:lastRow="0" w:firstColumn="1" w:lastColumn="0" w:noHBand="0" w:noVBand="1"/>
      </w:tblPr>
      <w:tblGrid>
        <w:gridCol w:w="4981"/>
        <w:gridCol w:w="4981"/>
      </w:tblGrid>
      <w:tr w:rsidR="00561B22" w:rsidRPr="000F3769" w14:paraId="7B90B229" w14:textId="77777777" w:rsidTr="00F1223B">
        <w:tc>
          <w:tcPr>
            <w:tcW w:w="4981" w:type="dxa"/>
          </w:tcPr>
          <w:p w14:paraId="0C0A93FF" w14:textId="77777777" w:rsidR="00561B22" w:rsidRPr="000F3769" w:rsidRDefault="00561B22" w:rsidP="00F1223B">
            <w:pPr>
              <w:jc w:val="center"/>
              <w:rPr>
                <w:b/>
                <w:sz w:val="22"/>
                <w:szCs w:val="22"/>
                <w:lang w:val="es-MX"/>
              </w:rPr>
            </w:pPr>
            <w:r w:rsidRPr="000F3769">
              <w:rPr>
                <w:b/>
                <w:sz w:val="22"/>
                <w:szCs w:val="22"/>
                <w:lang w:val="es-MX"/>
              </w:rPr>
              <w:t>AUTOCALIFICACIÓN</w:t>
            </w:r>
          </w:p>
        </w:tc>
        <w:tc>
          <w:tcPr>
            <w:tcW w:w="4981" w:type="dxa"/>
          </w:tcPr>
          <w:p w14:paraId="0CDC540A" w14:textId="77777777" w:rsidR="00561B22" w:rsidRPr="000F3769" w:rsidRDefault="00561B22" w:rsidP="00F1223B">
            <w:pPr>
              <w:jc w:val="center"/>
              <w:rPr>
                <w:b/>
                <w:sz w:val="22"/>
                <w:szCs w:val="22"/>
                <w:u w:val="single"/>
                <w:lang w:val="es-MX"/>
              </w:rPr>
            </w:pPr>
            <w:r w:rsidRPr="000F3769">
              <w:rPr>
                <w:b/>
                <w:sz w:val="22"/>
                <w:szCs w:val="22"/>
                <w:u w:val="single"/>
                <w:lang w:val="es-MX"/>
              </w:rPr>
              <w:t>4.52</w:t>
            </w:r>
          </w:p>
        </w:tc>
      </w:tr>
    </w:tbl>
    <w:p w14:paraId="790FC760" w14:textId="77777777" w:rsidR="00561B22" w:rsidRPr="000F3769" w:rsidRDefault="00561B22" w:rsidP="00561B22">
      <w:pPr>
        <w:pStyle w:val="Textoindependiente"/>
        <w:ind w:right="-50"/>
        <w:jc w:val="both"/>
        <w:rPr>
          <w:b/>
          <w:bCs/>
        </w:rPr>
      </w:pPr>
    </w:p>
    <w:p w14:paraId="6D60B112" w14:textId="77777777" w:rsidR="00561B22" w:rsidRPr="000F3769" w:rsidRDefault="00561B22" w:rsidP="00561B22">
      <w:pPr>
        <w:pStyle w:val="Textoindependiente"/>
        <w:ind w:right="-50"/>
        <w:jc w:val="both"/>
        <w:rPr>
          <w:b/>
          <w:bCs/>
        </w:rPr>
      </w:pPr>
      <w:r w:rsidRPr="000F3769">
        <w:rPr>
          <w:b/>
          <w:bCs/>
        </w:rPr>
        <w:t>Del informe enviado retomamos lo siguiente:</w:t>
      </w:r>
    </w:p>
    <w:p w14:paraId="317601D7" w14:textId="77777777" w:rsidR="00561B22" w:rsidRPr="000F3769" w:rsidRDefault="00561B22" w:rsidP="00561B22">
      <w:pPr>
        <w:pStyle w:val="Textoindependiente"/>
        <w:ind w:right="-50"/>
        <w:jc w:val="both"/>
        <w:rPr>
          <w:b/>
          <w:bCs/>
        </w:rPr>
      </w:pPr>
    </w:p>
    <w:tbl>
      <w:tblPr>
        <w:tblStyle w:val="Tablaconcuadrcula"/>
        <w:tblW w:w="0" w:type="auto"/>
        <w:tblLook w:val="04A0" w:firstRow="1" w:lastRow="0" w:firstColumn="1" w:lastColumn="0" w:noHBand="0" w:noVBand="1"/>
      </w:tblPr>
      <w:tblGrid>
        <w:gridCol w:w="562"/>
        <w:gridCol w:w="9400"/>
      </w:tblGrid>
      <w:tr w:rsidR="00561B22" w:rsidRPr="000F3769" w14:paraId="5F336959" w14:textId="77777777" w:rsidTr="00F1223B">
        <w:tc>
          <w:tcPr>
            <w:tcW w:w="562" w:type="dxa"/>
          </w:tcPr>
          <w:p w14:paraId="17316A27" w14:textId="77777777" w:rsidR="00561B22" w:rsidRPr="000F3769" w:rsidRDefault="00561B22" w:rsidP="00F1223B">
            <w:pPr>
              <w:ind w:right="-109"/>
              <w:jc w:val="center"/>
              <w:rPr>
                <w:b/>
                <w:sz w:val="22"/>
                <w:szCs w:val="22"/>
                <w:lang w:val="es-MX"/>
              </w:rPr>
            </w:pPr>
            <w:r w:rsidRPr="000F3769">
              <w:rPr>
                <w:b/>
                <w:sz w:val="22"/>
                <w:szCs w:val="22"/>
                <w:lang w:val="es-MX"/>
              </w:rPr>
              <w:t>N°</w:t>
            </w:r>
          </w:p>
        </w:tc>
        <w:tc>
          <w:tcPr>
            <w:tcW w:w="9400" w:type="dxa"/>
          </w:tcPr>
          <w:p w14:paraId="5DC213DC" w14:textId="77777777" w:rsidR="00561B22" w:rsidRPr="000F3769" w:rsidRDefault="00561B22" w:rsidP="00F1223B">
            <w:pPr>
              <w:jc w:val="center"/>
              <w:rPr>
                <w:b/>
                <w:sz w:val="22"/>
                <w:szCs w:val="22"/>
                <w:lang w:val="es-MX"/>
              </w:rPr>
            </w:pPr>
            <w:r w:rsidRPr="000F3769">
              <w:rPr>
                <w:b/>
                <w:sz w:val="22"/>
                <w:szCs w:val="22"/>
                <w:lang w:val="es-MX"/>
              </w:rPr>
              <w:t>DEBILIDADES</w:t>
            </w:r>
          </w:p>
          <w:p w14:paraId="7980D9E0" w14:textId="77777777" w:rsidR="00561B22" w:rsidRPr="000F3769" w:rsidRDefault="00561B22" w:rsidP="00F1223B">
            <w:pPr>
              <w:jc w:val="center"/>
              <w:rPr>
                <w:b/>
                <w:sz w:val="22"/>
                <w:szCs w:val="22"/>
                <w:lang w:val="es-MX"/>
              </w:rPr>
            </w:pPr>
          </w:p>
        </w:tc>
      </w:tr>
      <w:tr w:rsidR="00561B22" w:rsidRPr="000F3769" w14:paraId="505573FE" w14:textId="77777777" w:rsidTr="00F1223B">
        <w:tc>
          <w:tcPr>
            <w:tcW w:w="562" w:type="dxa"/>
          </w:tcPr>
          <w:p w14:paraId="525D68A7" w14:textId="77777777" w:rsidR="00561B22" w:rsidRPr="000F3769" w:rsidRDefault="00561B22" w:rsidP="00F1223B">
            <w:pPr>
              <w:jc w:val="center"/>
              <w:rPr>
                <w:b/>
                <w:sz w:val="22"/>
                <w:szCs w:val="22"/>
                <w:lang w:val="es-MX"/>
              </w:rPr>
            </w:pPr>
            <w:r w:rsidRPr="000F3769">
              <w:rPr>
                <w:b/>
                <w:sz w:val="22"/>
                <w:szCs w:val="22"/>
                <w:lang w:val="es-MX"/>
              </w:rPr>
              <w:t>1</w:t>
            </w:r>
          </w:p>
        </w:tc>
        <w:tc>
          <w:tcPr>
            <w:tcW w:w="9400" w:type="dxa"/>
          </w:tcPr>
          <w:p w14:paraId="6484A908" w14:textId="77777777" w:rsidR="00561B22" w:rsidRPr="000F3769" w:rsidRDefault="00561B22" w:rsidP="00F1223B">
            <w:pPr>
              <w:jc w:val="both"/>
              <w:rPr>
                <w:b/>
                <w:sz w:val="22"/>
                <w:szCs w:val="22"/>
                <w:lang w:val="es-MX"/>
              </w:rPr>
            </w:pPr>
            <w:r w:rsidRPr="000F3769">
              <w:rPr>
                <w:sz w:val="22"/>
                <w:szCs w:val="22"/>
              </w:rPr>
              <w:t xml:space="preserve">Derechos en proceso de identificar o reconocer en las cuentas por cobrar. </w:t>
            </w:r>
          </w:p>
        </w:tc>
      </w:tr>
      <w:tr w:rsidR="00561B22" w:rsidRPr="000F3769" w14:paraId="4014127D" w14:textId="77777777" w:rsidTr="00F1223B">
        <w:tc>
          <w:tcPr>
            <w:tcW w:w="562" w:type="dxa"/>
          </w:tcPr>
          <w:p w14:paraId="794FBA2D" w14:textId="77777777" w:rsidR="00561B22" w:rsidRPr="000F3769" w:rsidRDefault="00561B22" w:rsidP="00F1223B">
            <w:pPr>
              <w:jc w:val="center"/>
              <w:rPr>
                <w:b/>
                <w:sz w:val="22"/>
                <w:szCs w:val="22"/>
                <w:lang w:val="es-MX"/>
              </w:rPr>
            </w:pPr>
            <w:r w:rsidRPr="000F3769">
              <w:rPr>
                <w:b/>
                <w:sz w:val="22"/>
                <w:szCs w:val="22"/>
                <w:lang w:val="es-MX"/>
              </w:rPr>
              <w:t>2</w:t>
            </w:r>
          </w:p>
        </w:tc>
        <w:tc>
          <w:tcPr>
            <w:tcW w:w="9400" w:type="dxa"/>
          </w:tcPr>
          <w:p w14:paraId="02A64790" w14:textId="77777777" w:rsidR="00561B22" w:rsidRPr="000F3769" w:rsidRDefault="00561B22" w:rsidP="00F1223B">
            <w:pPr>
              <w:jc w:val="both"/>
              <w:rPr>
                <w:b/>
                <w:sz w:val="22"/>
                <w:szCs w:val="22"/>
                <w:lang w:val="es-MX"/>
              </w:rPr>
            </w:pPr>
            <w:r w:rsidRPr="000F3769">
              <w:rPr>
                <w:sz w:val="22"/>
                <w:szCs w:val="22"/>
              </w:rPr>
              <w:t>Obligaciones en proceso de identificar o reconocer de cuentas por pagar.</w:t>
            </w:r>
          </w:p>
        </w:tc>
      </w:tr>
    </w:tbl>
    <w:p w14:paraId="5D162193" w14:textId="77777777" w:rsidR="00561B22" w:rsidRPr="000F3769" w:rsidRDefault="00561B22" w:rsidP="00561B22">
      <w:pPr>
        <w:pStyle w:val="Textoindependiente"/>
        <w:ind w:right="-50"/>
        <w:jc w:val="both"/>
        <w:rPr>
          <w:b/>
          <w:bCs/>
        </w:rPr>
      </w:pPr>
    </w:p>
    <w:p w14:paraId="3512DEEB" w14:textId="77777777" w:rsidR="00561B22" w:rsidRPr="000F3769" w:rsidRDefault="00561B22" w:rsidP="00561B22">
      <w:pPr>
        <w:jc w:val="both"/>
        <w:rPr>
          <w:b/>
          <w:lang w:val="es-MX"/>
        </w:rPr>
      </w:pPr>
      <w:r w:rsidRPr="000F3769">
        <w:rPr>
          <w:b/>
          <w:lang w:val="es-MX"/>
        </w:rPr>
        <w:t>Del citado informe retomamos las siguientes recomendaciones:</w:t>
      </w:r>
    </w:p>
    <w:p w14:paraId="2FFEA108" w14:textId="77777777" w:rsidR="00561B22" w:rsidRPr="000F3769" w:rsidRDefault="00561B22" w:rsidP="00561B22">
      <w:pPr>
        <w:rPr>
          <w:lang w:val="es-MX"/>
        </w:rPr>
      </w:pPr>
    </w:p>
    <w:tbl>
      <w:tblPr>
        <w:tblStyle w:val="Tablaconcuadrcula"/>
        <w:tblW w:w="0" w:type="auto"/>
        <w:tblLook w:val="04A0" w:firstRow="1" w:lastRow="0" w:firstColumn="1" w:lastColumn="0" w:noHBand="0" w:noVBand="1"/>
      </w:tblPr>
      <w:tblGrid>
        <w:gridCol w:w="562"/>
        <w:gridCol w:w="9400"/>
      </w:tblGrid>
      <w:tr w:rsidR="00561B22" w:rsidRPr="000F3769" w14:paraId="32C59690" w14:textId="77777777" w:rsidTr="00F1223B">
        <w:tc>
          <w:tcPr>
            <w:tcW w:w="562" w:type="dxa"/>
          </w:tcPr>
          <w:p w14:paraId="56748A92" w14:textId="77777777" w:rsidR="00561B22" w:rsidRPr="000F3769" w:rsidRDefault="00561B22" w:rsidP="00F1223B">
            <w:pPr>
              <w:ind w:right="-109"/>
              <w:jc w:val="center"/>
              <w:rPr>
                <w:b/>
                <w:sz w:val="22"/>
                <w:szCs w:val="22"/>
                <w:lang w:val="es-MX"/>
              </w:rPr>
            </w:pPr>
            <w:r w:rsidRPr="000F3769">
              <w:rPr>
                <w:b/>
                <w:sz w:val="22"/>
                <w:szCs w:val="22"/>
                <w:lang w:val="es-MX"/>
              </w:rPr>
              <w:lastRenderedPageBreak/>
              <w:t>N°</w:t>
            </w:r>
          </w:p>
        </w:tc>
        <w:tc>
          <w:tcPr>
            <w:tcW w:w="9400" w:type="dxa"/>
          </w:tcPr>
          <w:p w14:paraId="4FF4D4A3" w14:textId="77777777" w:rsidR="00561B22" w:rsidRPr="000F3769" w:rsidRDefault="00561B22" w:rsidP="00F1223B">
            <w:pPr>
              <w:jc w:val="center"/>
              <w:rPr>
                <w:b/>
                <w:sz w:val="22"/>
                <w:szCs w:val="22"/>
                <w:lang w:val="es-MX"/>
              </w:rPr>
            </w:pPr>
            <w:r w:rsidRPr="000F3769">
              <w:rPr>
                <w:b/>
                <w:sz w:val="22"/>
                <w:szCs w:val="22"/>
                <w:lang w:val="es-MX"/>
              </w:rPr>
              <w:t>RECOMENDACIONES</w:t>
            </w:r>
          </w:p>
          <w:p w14:paraId="7E8E43A2" w14:textId="77777777" w:rsidR="00561B22" w:rsidRPr="000F3769" w:rsidRDefault="00561B22" w:rsidP="00F1223B">
            <w:pPr>
              <w:jc w:val="center"/>
              <w:rPr>
                <w:b/>
                <w:sz w:val="22"/>
                <w:szCs w:val="22"/>
                <w:lang w:val="es-MX"/>
              </w:rPr>
            </w:pPr>
          </w:p>
        </w:tc>
      </w:tr>
      <w:tr w:rsidR="00561B22" w:rsidRPr="000F3769" w14:paraId="4985577D" w14:textId="77777777" w:rsidTr="00F1223B">
        <w:tc>
          <w:tcPr>
            <w:tcW w:w="562" w:type="dxa"/>
          </w:tcPr>
          <w:p w14:paraId="612DDDC3" w14:textId="77777777" w:rsidR="00561B22" w:rsidRPr="000F3769" w:rsidRDefault="00561B22" w:rsidP="00F1223B">
            <w:pPr>
              <w:jc w:val="center"/>
              <w:rPr>
                <w:b/>
                <w:sz w:val="22"/>
                <w:szCs w:val="22"/>
                <w:lang w:val="es-MX"/>
              </w:rPr>
            </w:pPr>
            <w:r w:rsidRPr="000F3769">
              <w:rPr>
                <w:b/>
                <w:sz w:val="22"/>
                <w:szCs w:val="22"/>
                <w:lang w:val="es-MX"/>
              </w:rPr>
              <w:t>1</w:t>
            </w:r>
          </w:p>
        </w:tc>
        <w:tc>
          <w:tcPr>
            <w:tcW w:w="9400" w:type="dxa"/>
          </w:tcPr>
          <w:p w14:paraId="37A17EAC" w14:textId="77777777" w:rsidR="00561B22" w:rsidRPr="000F3769" w:rsidRDefault="00561B22" w:rsidP="00F1223B">
            <w:pPr>
              <w:jc w:val="both"/>
              <w:rPr>
                <w:b/>
                <w:sz w:val="22"/>
                <w:szCs w:val="22"/>
                <w:lang w:val="es-MX"/>
              </w:rPr>
            </w:pPr>
            <w:r w:rsidRPr="000F3769">
              <w:rPr>
                <w:sz w:val="22"/>
                <w:szCs w:val="22"/>
              </w:rPr>
              <w:t>Fortalecer el seguimiento a los procedimientos contables: Se recomienda continuar con la aplicación estricta de las normas del Marco Normativo para Entidades en Liquidación, asegurando la correcta medición, revelación y presentación de los hechos económicos hasta la finalización del proceso liquidatorio.</w:t>
            </w:r>
          </w:p>
        </w:tc>
      </w:tr>
      <w:tr w:rsidR="00561B22" w:rsidRPr="000F3769" w14:paraId="2B1C0B13" w14:textId="77777777" w:rsidTr="00F1223B">
        <w:tc>
          <w:tcPr>
            <w:tcW w:w="562" w:type="dxa"/>
          </w:tcPr>
          <w:p w14:paraId="1B7A296F" w14:textId="77777777" w:rsidR="00561B22" w:rsidRPr="000F3769" w:rsidRDefault="00561B22" w:rsidP="00F1223B">
            <w:pPr>
              <w:jc w:val="center"/>
              <w:rPr>
                <w:b/>
                <w:sz w:val="22"/>
                <w:szCs w:val="22"/>
                <w:lang w:val="es-MX"/>
              </w:rPr>
            </w:pPr>
            <w:r w:rsidRPr="000F3769">
              <w:rPr>
                <w:b/>
                <w:sz w:val="22"/>
                <w:szCs w:val="22"/>
                <w:lang w:val="es-MX"/>
              </w:rPr>
              <w:t>2</w:t>
            </w:r>
          </w:p>
        </w:tc>
        <w:tc>
          <w:tcPr>
            <w:tcW w:w="9400" w:type="dxa"/>
          </w:tcPr>
          <w:p w14:paraId="389444B1" w14:textId="77777777" w:rsidR="00561B22" w:rsidRPr="000F3769" w:rsidRDefault="00561B22" w:rsidP="00F1223B">
            <w:pPr>
              <w:jc w:val="both"/>
              <w:rPr>
                <w:b/>
                <w:sz w:val="22"/>
                <w:szCs w:val="22"/>
                <w:lang w:val="es-MX"/>
              </w:rPr>
            </w:pPr>
            <w:r w:rsidRPr="000F3769">
              <w:rPr>
                <w:sz w:val="22"/>
                <w:szCs w:val="22"/>
              </w:rPr>
              <w:t>Garantizar la actualización permanente de los inventarios: Se sugiere mantener y actualizar periódicamente el inventario de activos y pasivos conforme a lo establecido en el Decreto 2439 de 2022, asegurando que refleje fielmente la situación financiera de la entidad en liquidación.</w:t>
            </w:r>
          </w:p>
        </w:tc>
      </w:tr>
      <w:tr w:rsidR="00561B22" w:rsidRPr="000F3769" w14:paraId="580FD7C4" w14:textId="77777777" w:rsidTr="00F1223B">
        <w:tc>
          <w:tcPr>
            <w:tcW w:w="562" w:type="dxa"/>
          </w:tcPr>
          <w:p w14:paraId="6DE1AA65" w14:textId="77777777" w:rsidR="00561B22" w:rsidRPr="000F3769" w:rsidRDefault="00561B22" w:rsidP="00F1223B">
            <w:pPr>
              <w:jc w:val="center"/>
              <w:rPr>
                <w:b/>
                <w:sz w:val="22"/>
                <w:szCs w:val="22"/>
                <w:lang w:val="es-MX"/>
              </w:rPr>
            </w:pPr>
            <w:r w:rsidRPr="000F3769">
              <w:rPr>
                <w:b/>
                <w:sz w:val="22"/>
                <w:szCs w:val="22"/>
                <w:lang w:val="es-MX"/>
              </w:rPr>
              <w:t>3</w:t>
            </w:r>
          </w:p>
        </w:tc>
        <w:tc>
          <w:tcPr>
            <w:tcW w:w="9400" w:type="dxa"/>
          </w:tcPr>
          <w:p w14:paraId="0552E460" w14:textId="77777777" w:rsidR="00561B22" w:rsidRPr="000F3769" w:rsidRDefault="00561B22" w:rsidP="00F1223B">
            <w:pPr>
              <w:jc w:val="both"/>
              <w:rPr>
                <w:b/>
                <w:sz w:val="22"/>
                <w:szCs w:val="22"/>
                <w:lang w:val="es-MX"/>
              </w:rPr>
            </w:pPr>
            <w:r w:rsidRPr="000F3769">
              <w:rPr>
                <w:sz w:val="22"/>
                <w:szCs w:val="22"/>
              </w:rPr>
              <w:t>Optimizar los mecanismos de conciliación contable: Es importante reforzar los cruces de información entre las áreas financiera, contable y jurídica para evitar discrepancias en la depuración y conciliación de cuentas, con especial énfasis en las obligaciones pendientes y los derechos a favor de la entidad.</w:t>
            </w:r>
          </w:p>
        </w:tc>
      </w:tr>
      <w:tr w:rsidR="00561B22" w:rsidRPr="000F3769" w14:paraId="2BD36D26" w14:textId="77777777" w:rsidTr="00F1223B">
        <w:tc>
          <w:tcPr>
            <w:tcW w:w="562" w:type="dxa"/>
          </w:tcPr>
          <w:p w14:paraId="72D57070" w14:textId="77777777" w:rsidR="00561B22" w:rsidRPr="000F3769" w:rsidRDefault="00561B22" w:rsidP="00F1223B">
            <w:pPr>
              <w:jc w:val="center"/>
              <w:rPr>
                <w:b/>
                <w:sz w:val="22"/>
                <w:szCs w:val="22"/>
                <w:lang w:val="es-MX"/>
              </w:rPr>
            </w:pPr>
            <w:r w:rsidRPr="000F3769">
              <w:rPr>
                <w:b/>
                <w:sz w:val="22"/>
                <w:szCs w:val="22"/>
                <w:lang w:val="es-MX"/>
              </w:rPr>
              <w:t>4</w:t>
            </w:r>
          </w:p>
        </w:tc>
        <w:tc>
          <w:tcPr>
            <w:tcW w:w="9400" w:type="dxa"/>
          </w:tcPr>
          <w:p w14:paraId="01476AA8" w14:textId="77777777" w:rsidR="00561B22" w:rsidRPr="000F3769" w:rsidRDefault="00561B22" w:rsidP="00F1223B">
            <w:pPr>
              <w:jc w:val="both"/>
              <w:rPr>
                <w:b/>
                <w:sz w:val="22"/>
                <w:szCs w:val="22"/>
                <w:lang w:val="es-MX"/>
              </w:rPr>
            </w:pPr>
            <w:r w:rsidRPr="000F3769">
              <w:rPr>
                <w:sz w:val="22"/>
                <w:szCs w:val="22"/>
              </w:rPr>
              <w:t>Fortalecer la documentación y archivo contable: Se recomienda garantizar la organización y custodia de la documentación contable, en cumplimiento con la normativa vigente sobre gestión documental, facilitando futuras auditorías o requerimientos de entes de control.</w:t>
            </w:r>
          </w:p>
        </w:tc>
      </w:tr>
      <w:tr w:rsidR="00561B22" w:rsidRPr="000F3769" w14:paraId="7577711D" w14:textId="77777777" w:rsidTr="00F1223B">
        <w:tc>
          <w:tcPr>
            <w:tcW w:w="562" w:type="dxa"/>
          </w:tcPr>
          <w:p w14:paraId="690F1488" w14:textId="77777777" w:rsidR="00561B22" w:rsidRPr="000F3769" w:rsidRDefault="00561B22" w:rsidP="00F1223B">
            <w:pPr>
              <w:jc w:val="center"/>
              <w:rPr>
                <w:b/>
                <w:sz w:val="22"/>
                <w:szCs w:val="22"/>
                <w:lang w:val="es-MX"/>
              </w:rPr>
            </w:pPr>
            <w:r w:rsidRPr="000F3769">
              <w:rPr>
                <w:b/>
                <w:sz w:val="22"/>
                <w:szCs w:val="22"/>
                <w:lang w:val="es-MX"/>
              </w:rPr>
              <w:t>5</w:t>
            </w:r>
          </w:p>
        </w:tc>
        <w:tc>
          <w:tcPr>
            <w:tcW w:w="9400" w:type="dxa"/>
          </w:tcPr>
          <w:p w14:paraId="0293A6ED" w14:textId="77777777" w:rsidR="00561B22" w:rsidRPr="000F3769" w:rsidRDefault="00561B22" w:rsidP="00F1223B">
            <w:pPr>
              <w:jc w:val="both"/>
              <w:rPr>
                <w:b/>
                <w:sz w:val="22"/>
                <w:szCs w:val="22"/>
                <w:lang w:val="es-MX"/>
              </w:rPr>
            </w:pPr>
            <w:r w:rsidRPr="000F3769">
              <w:rPr>
                <w:sz w:val="22"/>
                <w:szCs w:val="22"/>
              </w:rPr>
              <w:t>Asegurar la adecuada revelación de hechos económicos relevantes: Se debe continuar con la divulgación oportuna y clara de cualquier hecho económico que pueda impactar la liquidación, garantizando transparencia en la rendición de cuentas y facilitando la toma de decisiones informadas</w:t>
            </w:r>
          </w:p>
        </w:tc>
      </w:tr>
      <w:tr w:rsidR="00561B22" w:rsidRPr="000F3769" w14:paraId="7D17A069" w14:textId="77777777" w:rsidTr="00F1223B">
        <w:tc>
          <w:tcPr>
            <w:tcW w:w="562" w:type="dxa"/>
          </w:tcPr>
          <w:p w14:paraId="023B6D63" w14:textId="77777777" w:rsidR="00561B22" w:rsidRPr="000F3769" w:rsidRDefault="00561B22" w:rsidP="00F1223B">
            <w:pPr>
              <w:jc w:val="center"/>
              <w:rPr>
                <w:b/>
                <w:sz w:val="22"/>
                <w:szCs w:val="22"/>
                <w:lang w:val="es-MX"/>
              </w:rPr>
            </w:pPr>
            <w:r w:rsidRPr="000F3769">
              <w:rPr>
                <w:b/>
                <w:sz w:val="22"/>
                <w:szCs w:val="22"/>
                <w:lang w:val="es-MX"/>
              </w:rPr>
              <w:t>6</w:t>
            </w:r>
          </w:p>
        </w:tc>
        <w:tc>
          <w:tcPr>
            <w:tcW w:w="9400" w:type="dxa"/>
          </w:tcPr>
          <w:p w14:paraId="3CE01F25" w14:textId="77777777" w:rsidR="00561B22" w:rsidRPr="000F3769" w:rsidRDefault="00561B22" w:rsidP="00F1223B">
            <w:pPr>
              <w:jc w:val="both"/>
              <w:rPr>
                <w:b/>
                <w:sz w:val="22"/>
                <w:szCs w:val="22"/>
                <w:lang w:val="es-MX"/>
              </w:rPr>
            </w:pPr>
            <w:r w:rsidRPr="000F3769">
              <w:rPr>
                <w:sz w:val="22"/>
                <w:szCs w:val="22"/>
              </w:rPr>
              <w:t>Verificar el cierre oportuno de los planes de mejoramiento: Se recomienda seguir documentando el cierre de los planes de mejoramiento derivados de auditorías internas o externas, asegurando que todas las acciones correctivas hayan sido implementadas y registradas adecuadamente.</w:t>
            </w:r>
          </w:p>
        </w:tc>
      </w:tr>
      <w:tr w:rsidR="00561B22" w:rsidRPr="000F3769" w14:paraId="3A97DC26" w14:textId="77777777" w:rsidTr="00F1223B">
        <w:tc>
          <w:tcPr>
            <w:tcW w:w="562" w:type="dxa"/>
          </w:tcPr>
          <w:p w14:paraId="0E71E86A" w14:textId="77777777" w:rsidR="00561B22" w:rsidRPr="000F3769" w:rsidRDefault="00561B22" w:rsidP="00F1223B">
            <w:pPr>
              <w:jc w:val="center"/>
              <w:rPr>
                <w:b/>
                <w:sz w:val="22"/>
                <w:szCs w:val="22"/>
                <w:lang w:val="es-MX"/>
              </w:rPr>
            </w:pPr>
            <w:r w:rsidRPr="000F3769">
              <w:rPr>
                <w:b/>
                <w:sz w:val="22"/>
                <w:szCs w:val="22"/>
                <w:lang w:val="es-MX"/>
              </w:rPr>
              <w:t>7</w:t>
            </w:r>
          </w:p>
        </w:tc>
        <w:tc>
          <w:tcPr>
            <w:tcW w:w="9400" w:type="dxa"/>
          </w:tcPr>
          <w:p w14:paraId="42EDDF2F" w14:textId="77777777" w:rsidR="00561B22" w:rsidRPr="000F3769" w:rsidRDefault="00561B22" w:rsidP="00F1223B">
            <w:pPr>
              <w:jc w:val="both"/>
              <w:rPr>
                <w:b/>
                <w:sz w:val="22"/>
                <w:szCs w:val="22"/>
                <w:lang w:val="es-MX"/>
              </w:rPr>
            </w:pPr>
            <w:r w:rsidRPr="000F3769">
              <w:rPr>
                <w:sz w:val="22"/>
                <w:szCs w:val="22"/>
              </w:rPr>
              <w:t>Cumplimiento estricto de los plazos y normativas de liquidación: Se sugiere mantener una estricta vigilancia sobre los plazos establecidos en la normatividad aplicable al proceso liquidatorio, para evitar contingencias que puedan afectar el cierre contable y financiero de la entidad.</w:t>
            </w:r>
          </w:p>
        </w:tc>
      </w:tr>
      <w:tr w:rsidR="00561B22" w:rsidRPr="000F3769" w14:paraId="40646356" w14:textId="77777777" w:rsidTr="00F1223B">
        <w:tc>
          <w:tcPr>
            <w:tcW w:w="562" w:type="dxa"/>
          </w:tcPr>
          <w:p w14:paraId="6EE581FB" w14:textId="77777777" w:rsidR="00561B22" w:rsidRPr="000F3769" w:rsidRDefault="00561B22" w:rsidP="00F1223B">
            <w:pPr>
              <w:jc w:val="center"/>
              <w:rPr>
                <w:b/>
                <w:sz w:val="22"/>
                <w:szCs w:val="22"/>
                <w:lang w:val="es-MX"/>
              </w:rPr>
            </w:pPr>
            <w:r w:rsidRPr="000F3769">
              <w:rPr>
                <w:b/>
                <w:sz w:val="22"/>
                <w:szCs w:val="22"/>
                <w:lang w:val="es-MX"/>
              </w:rPr>
              <w:t>8</w:t>
            </w:r>
          </w:p>
        </w:tc>
        <w:tc>
          <w:tcPr>
            <w:tcW w:w="9400" w:type="dxa"/>
          </w:tcPr>
          <w:p w14:paraId="75B874C3" w14:textId="77777777" w:rsidR="00561B22" w:rsidRPr="000F3769" w:rsidRDefault="00561B22" w:rsidP="00F1223B">
            <w:pPr>
              <w:jc w:val="both"/>
              <w:rPr>
                <w:b/>
                <w:sz w:val="22"/>
                <w:szCs w:val="22"/>
                <w:lang w:val="es-MX"/>
              </w:rPr>
            </w:pPr>
            <w:r w:rsidRPr="000F3769">
              <w:rPr>
                <w:sz w:val="22"/>
                <w:szCs w:val="22"/>
              </w:rPr>
              <w:t>Asegurar la correcta depuración de cuentas contables: Se recomienda continuar con la depuración y saneamiento de cuentas, verificando que no existan registros pendientes que puedan generar inconsistencias al cierre definitivo del proceso liquidatorio.</w:t>
            </w:r>
          </w:p>
        </w:tc>
      </w:tr>
      <w:tr w:rsidR="00561B22" w:rsidRPr="000F3769" w14:paraId="38355FBD" w14:textId="77777777" w:rsidTr="00F1223B">
        <w:tc>
          <w:tcPr>
            <w:tcW w:w="562" w:type="dxa"/>
          </w:tcPr>
          <w:p w14:paraId="6643B5E1" w14:textId="77777777" w:rsidR="00561B22" w:rsidRPr="000F3769" w:rsidRDefault="00561B22" w:rsidP="00F1223B">
            <w:pPr>
              <w:jc w:val="center"/>
              <w:rPr>
                <w:b/>
                <w:sz w:val="22"/>
                <w:szCs w:val="22"/>
                <w:lang w:val="es-MX"/>
              </w:rPr>
            </w:pPr>
            <w:r w:rsidRPr="000F3769">
              <w:rPr>
                <w:b/>
                <w:sz w:val="22"/>
                <w:szCs w:val="22"/>
                <w:lang w:val="es-MX"/>
              </w:rPr>
              <w:t>9</w:t>
            </w:r>
          </w:p>
        </w:tc>
        <w:tc>
          <w:tcPr>
            <w:tcW w:w="9400" w:type="dxa"/>
          </w:tcPr>
          <w:p w14:paraId="4EA55832" w14:textId="77777777" w:rsidR="00561B22" w:rsidRPr="000F3769" w:rsidRDefault="00561B22" w:rsidP="00F1223B">
            <w:pPr>
              <w:jc w:val="both"/>
              <w:rPr>
                <w:b/>
                <w:sz w:val="22"/>
                <w:szCs w:val="22"/>
                <w:lang w:val="es-MX"/>
              </w:rPr>
            </w:pPr>
            <w:r w:rsidRPr="000F3769">
              <w:rPr>
                <w:sz w:val="22"/>
                <w:szCs w:val="22"/>
              </w:rPr>
              <w:t>Monitoreo del impacto fiscal y tributario de la liquidación: Se debe garantizar el cumplimiento de las obligaciones fiscales y tributarias derivadas del proceso, incluyendo la liquidación y pago de impuestos, evitando sanciones o responsabilidades posteriores</w:t>
            </w:r>
          </w:p>
        </w:tc>
      </w:tr>
      <w:tr w:rsidR="00561B22" w:rsidRPr="000F3769" w14:paraId="47255E47" w14:textId="77777777" w:rsidTr="00F1223B">
        <w:tc>
          <w:tcPr>
            <w:tcW w:w="562" w:type="dxa"/>
          </w:tcPr>
          <w:p w14:paraId="72A6ACE0" w14:textId="77777777" w:rsidR="00561B22" w:rsidRPr="000F3769" w:rsidRDefault="00561B22" w:rsidP="00F1223B">
            <w:pPr>
              <w:jc w:val="center"/>
              <w:rPr>
                <w:b/>
                <w:sz w:val="22"/>
                <w:szCs w:val="22"/>
                <w:lang w:val="es-MX"/>
              </w:rPr>
            </w:pPr>
            <w:r w:rsidRPr="000F3769">
              <w:rPr>
                <w:b/>
                <w:sz w:val="22"/>
                <w:szCs w:val="22"/>
                <w:lang w:val="es-MX"/>
              </w:rPr>
              <w:t>10</w:t>
            </w:r>
          </w:p>
        </w:tc>
        <w:tc>
          <w:tcPr>
            <w:tcW w:w="9400" w:type="dxa"/>
          </w:tcPr>
          <w:p w14:paraId="7F42F7B2" w14:textId="77777777" w:rsidR="00561B22" w:rsidRPr="000F3769" w:rsidRDefault="00561B22" w:rsidP="00F1223B">
            <w:pPr>
              <w:jc w:val="both"/>
              <w:rPr>
                <w:b/>
                <w:sz w:val="22"/>
                <w:szCs w:val="22"/>
                <w:lang w:val="es-MX"/>
              </w:rPr>
            </w:pPr>
            <w:r w:rsidRPr="000F3769">
              <w:rPr>
                <w:sz w:val="22"/>
                <w:szCs w:val="22"/>
              </w:rPr>
              <w:t>Fortalecer la coordinación con los entes de control y supervisión: Se recomienda mantener una comunicación fluida y permanente con la Contaduría General de la Nación, la Contraloría y demás organismos de supervisión, garantizando el cumplimiento de los lineamientos exigidos en el proceso liquidatorio.</w:t>
            </w:r>
          </w:p>
        </w:tc>
      </w:tr>
    </w:tbl>
    <w:p w14:paraId="7F9E91F2" w14:textId="77777777" w:rsidR="00561B22" w:rsidRPr="000F3769" w:rsidRDefault="00561B22" w:rsidP="00561B22">
      <w:pPr>
        <w:pStyle w:val="Textoindependiente"/>
        <w:ind w:right="-50"/>
        <w:jc w:val="both"/>
        <w:rPr>
          <w:b/>
          <w:bCs/>
        </w:rPr>
      </w:pPr>
    </w:p>
    <w:p w14:paraId="0151EE0C" w14:textId="77777777" w:rsidR="00561B22" w:rsidRPr="000F3769" w:rsidRDefault="00561B22" w:rsidP="00561B22">
      <w:pPr>
        <w:jc w:val="both"/>
        <w:rPr>
          <w:rFonts w:ascii="Arial" w:hAnsi="Arial" w:cs="Arial"/>
          <w:b/>
          <w:bCs/>
          <w:sz w:val="24"/>
          <w:szCs w:val="24"/>
          <w:lang w:val="es-CO"/>
        </w:rPr>
      </w:pPr>
      <w:r w:rsidRPr="000F3769">
        <w:rPr>
          <w:rFonts w:ascii="Arial" w:hAnsi="Arial" w:cs="Arial"/>
          <w:b/>
          <w:bCs/>
          <w:sz w:val="24"/>
          <w:szCs w:val="24"/>
          <w:lang w:val="es-CO"/>
        </w:rPr>
        <w:t xml:space="preserve">NOTA: LA ENTIDAD ENVIA LA MATRIZ DE AUTOEVALUACIÓN DEL SISTEMA DE CONTROL INTERNO CONTABLE CON ACTIVIDADES DE CONTROL REALIZADAS </w:t>
      </w:r>
      <w:r w:rsidRPr="000F3769">
        <w:rPr>
          <w:rFonts w:ascii="Arial" w:hAnsi="Arial" w:cs="Arial"/>
          <w:b/>
          <w:bCs/>
          <w:sz w:val="24"/>
          <w:szCs w:val="24"/>
          <w:u w:val="single"/>
          <w:lang w:val="es-CO"/>
        </w:rPr>
        <w:t>EN FORMA PARCIAL Y OTRAS SIMPLEMENTE INFORMAN QUE NO SE REALIZARON</w:t>
      </w:r>
      <w:r w:rsidRPr="000F3769">
        <w:rPr>
          <w:rFonts w:ascii="Arial" w:hAnsi="Arial" w:cs="Arial"/>
          <w:b/>
          <w:bCs/>
          <w:sz w:val="24"/>
          <w:szCs w:val="24"/>
          <w:lang w:val="es-CO"/>
        </w:rPr>
        <w:t>.</w:t>
      </w:r>
    </w:p>
    <w:p w14:paraId="3F260306" w14:textId="77777777" w:rsidR="00561B22" w:rsidRDefault="00561B22" w:rsidP="00561B22">
      <w:pPr>
        <w:jc w:val="both"/>
        <w:rPr>
          <w:rFonts w:ascii="Arial" w:hAnsi="Arial" w:cs="Arial"/>
          <w:b/>
          <w:sz w:val="28"/>
          <w:szCs w:val="28"/>
          <w:lang w:val="es-MX"/>
        </w:rPr>
      </w:pPr>
    </w:p>
    <w:p w14:paraId="304ECDA8" w14:textId="77777777" w:rsidR="00561B22" w:rsidRPr="003C159D" w:rsidRDefault="00561B22" w:rsidP="00561B22">
      <w:pPr>
        <w:jc w:val="both"/>
        <w:rPr>
          <w:rFonts w:ascii="Arial" w:hAnsi="Arial" w:cs="Arial"/>
          <w:b/>
          <w:sz w:val="28"/>
          <w:szCs w:val="28"/>
          <w:lang w:val="es-MX"/>
        </w:rPr>
      </w:pPr>
      <w:r w:rsidRPr="003C159D">
        <w:rPr>
          <w:rFonts w:ascii="Arial" w:hAnsi="Arial" w:cs="Arial"/>
          <w:b/>
          <w:sz w:val="28"/>
          <w:szCs w:val="28"/>
          <w:lang w:val="es-MX"/>
        </w:rPr>
        <w:t xml:space="preserve">223.- </w:t>
      </w:r>
      <w:r w:rsidRPr="003C159D">
        <w:rPr>
          <w:rFonts w:ascii="Arial" w:hAnsi="Arial" w:cs="Arial"/>
          <w:b/>
          <w:sz w:val="28"/>
          <w:szCs w:val="28"/>
        </w:rPr>
        <w:t>INSTITUTO NACIONAL PENITENCIARIO Y CARCELARIO – INPEC</w:t>
      </w:r>
      <w:r w:rsidRPr="003C159D">
        <w:rPr>
          <w:rFonts w:ascii="Arial" w:hAnsi="Arial" w:cs="Arial"/>
          <w:b/>
          <w:sz w:val="28"/>
          <w:szCs w:val="28"/>
          <w:lang w:val="es-MX"/>
        </w:rPr>
        <w:t>.</w:t>
      </w:r>
    </w:p>
    <w:p w14:paraId="5A34681E" w14:textId="77777777" w:rsidR="00561B22" w:rsidRPr="002C32AB" w:rsidRDefault="00561B22" w:rsidP="00561B22">
      <w:pPr>
        <w:pStyle w:val="Textoindependiente"/>
        <w:tabs>
          <w:tab w:val="left" w:pos="2055"/>
        </w:tabs>
        <w:spacing w:before="5"/>
        <w:rPr>
          <w:rFonts w:ascii="Arial" w:hAnsi="Arial" w:cs="Arial"/>
        </w:rPr>
      </w:pPr>
    </w:p>
    <w:p w14:paraId="278B28AF" w14:textId="77777777" w:rsidR="00561B22" w:rsidRPr="005401C6" w:rsidRDefault="00561B22" w:rsidP="00561B22">
      <w:pPr>
        <w:pStyle w:val="Textoindependiente"/>
        <w:ind w:right="-50"/>
        <w:jc w:val="center"/>
        <w:rPr>
          <w:rFonts w:ascii="Arial" w:hAnsi="Arial" w:cs="Arial"/>
          <w:b/>
          <w:bCs/>
        </w:rPr>
      </w:pPr>
      <w:r w:rsidRPr="005401C6">
        <w:rPr>
          <w:rFonts w:ascii="Arial" w:hAnsi="Arial" w:cs="Arial"/>
          <w:b/>
          <w:bCs/>
        </w:rPr>
        <w:lastRenderedPageBreak/>
        <w:t>INFORME DE LA AUTOCALIFICACIÓN DEL SISTEMA DE CONTROL INTERNO CONTABLE:</w:t>
      </w:r>
    </w:p>
    <w:p w14:paraId="20A476A0" w14:textId="77777777" w:rsidR="00561B22" w:rsidRPr="005401C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401C6" w14:paraId="4FCF411D" w14:textId="77777777" w:rsidTr="00F1223B">
        <w:tc>
          <w:tcPr>
            <w:tcW w:w="4981" w:type="dxa"/>
          </w:tcPr>
          <w:p w14:paraId="6067A2AD"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AUTOCALIFICACIÓN</w:t>
            </w:r>
          </w:p>
        </w:tc>
        <w:tc>
          <w:tcPr>
            <w:tcW w:w="4981" w:type="dxa"/>
          </w:tcPr>
          <w:p w14:paraId="02D8BCCA" w14:textId="77777777" w:rsidR="00561B22" w:rsidRPr="005401C6" w:rsidRDefault="00561B22" w:rsidP="00F1223B">
            <w:pPr>
              <w:jc w:val="center"/>
              <w:rPr>
                <w:rFonts w:ascii="Arial" w:hAnsi="Arial" w:cs="Arial"/>
                <w:b/>
                <w:sz w:val="22"/>
                <w:szCs w:val="22"/>
                <w:u w:val="single"/>
                <w:lang w:val="es-MX"/>
              </w:rPr>
            </w:pPr>
            <w:r w:rsidRPr="005401C6">
              <w:rPr>
                <w:rFonts w:ascii="Arial" w:hAnsi="Arial" w:cs="Arial"/>
                <w:b/>
                <w:sz w:val="22"/>
                <w:szCs w:val="22"/>
                <w:u w:val="single"/>
                <w:lang w:val="es-MX"/>
              </w:rPr>
              <w:t>4.24</w:t>
            </w:r>
          </w:p>
        </w:tc>
      </w:tr>
    </w:tbl>
    <w:p w14:paraId="5D01C410" w14:textId="77777777" w:rsidR="00561B22" w:rsidRPr="005401C6" w:rsidRDefault="00561B22" w:rsidP="00561B22">
      <w:pPr>
        <w:pStyle w:val="Textoindependiente"/>
        <w:ind w:right="-50"/>
        <w:jc w:val="both"/>
        <w:rPr>
          <w:rFonts w:ascii="Arial" w:hAnsi="Arial" w:cs="Arial"/>
          <w:b/>
          <w:bCs/>
        </w:rPr>
      </w:pPr>
    </w:p>
    <w:p w14:paraId="27CB7214" w14:textId="77777777" w:rsidR="00561B22" w:rsidRPr="005401C6" w:rsidRDefault="00561B22" w:rsidP="00561B22">
      <w:pPr>
        <w:pStyle w:val="Textoindependiente"/>
        <w:ind w:right="-50"/>
        <w:jc w:val="both"/>
        <w:rPr>
          <w:rFonts w:ascii="Arial" w:hAnsi="Arial" w:cs="Arial"/>
          <w:b/>
          <w:bCs/>
        </w:rPr>
      </w:pPr>
      <w:r w:rsidRPr="005401C6">
        <w:rPr>
          <w:rFonts w:ascii="Arial" w:hAnsi="Arial" w:cs="Arial"/>
          <w:b/>
          <w:bCs/>
        </w:rPr>
        <w:t>Del informe enviado retomamos lo siguiente:</w:t>
      </w:r>
    </w:p>
    <w:p w14:paraId="42E4420E" w14:textId="77777777" w:rsidR="00561B22" w:rsidRPr="005401C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401C6" w14:paraId="2FC32DBA" w14:textId="77777777" w:rsidTr="00F1223B">
        <w:tc>
          <w:tcPr>
            <w:tcW w:w="562" w:type="dxa"/>
          </w:tcPr>
          <w:p w14:paraId="49C6F64A" w14:textId="77777777" w:rsidR="00561B22" w:rsidRPr="005401C6" w:rsidRDefault="00561B22" w:rsidP="00F1223B">
            <w:pPr>
              <w:ind w:right="-109"/>
              <w:jc w:val="center"/>
              <w:rPr>
                <w:rFonts w:ascii="Arial" w:hAnsi="Arial" w:cs="Arial"/>
                <w:b/>
                <w:sz w:val="22"/>
                <w:szCs w:val="22"/>
                <w:lang w:val="es-MX"/>
              </w:rPr>
            </w:pPr>
            <w:r w:rsidRPr="005401C6">
              <w:rPr>
                <w:rFonts w:ascii="Arial" w:hAnsi="Arial" w:cs="Arial"/>
                <w:b/>
                <w:sz w:val="22"/>
                <w:szCs w:val="22"/>
                <w:lang w:val="es-MX"/>
              </w:rPr>
              <w:t>N°</w:t>
            </w:r>
          </w:p>
        </w:tc>
        <w:tc>
          <w:tcPr>
            <w:tcW w:w="9400" w:type="dxa"/>
          </w:tcPr>
          <w:p w14:paraId="70E3619A"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DEBILIDADES</w:t>
            </w:r>
          </w:p>
          <w:p w14:paraId="5E24404A" w14:textId="77777777" w:rsidR="00561B22" w:rsidRPr="005401C6" w:rsidRDefault="00561B22" w:rsidP="00F1223B">
            <w:pPr>
              <w:jc w:val="center"/>
              <w:rPr>
                <w:rFonts w:ascii="Arial" w:hAnsi="Arial" w:cs="Arial"/>
                <w:b/>
                <w:sz w:val="22"/>
                <w:szCs w:val="22"/>
                <w:lang w:val="es-MX"/>
              </w:rPr>
            </w:pPr>
          </w:p>
        </w:tc>
      </w:tr>
      <w:tr w:rsidR="00561B22" w:rsidRPr="005401C6" w14:paraId="139C2F2E" w14:textId="77777777" w:rsidTr="00F1223B">
        <w:tc>
          <w:tcPr>
            <w:tcW w:w="562" w:type="dxa"/>
          </w:tcPr>
          <w:p w14:paraId="6DBE000D"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1</w:t>
            </w:r>
          </w:p>
        </w:tc>
        <w:tc>
          <w:tcPr>
            <w:tcW w:w="9400" w:type="dxa"/>
          </w:tcPr>
          <w:p w14:paraId="2D14D781"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Existen debilidades en el diseño de los riesgos y controles estructurados para el proceso contable propuestos desde vigencias anteriores y que a la fecha no han sido actualizados pese a que la OFICI ha realizado las observaciones del No cumplimiento de los criterios dl diseño establecidos en la Guía para la Administración del Riesgo V 4,5 y 6.</w:t>
            </w:r>
          </w:p>
        </w:tc>
      </w:tr>
      <w:tr w:rsidR="00561B22" w:rsidRPr="005401C6" w14:paraId="71A46455" w14:textId="77777777" w:rsidTr="00F1223B">
        <w:tc>
          <w:tcPr>
            <w:tcW w:w="562" w:type="dxa"/>
          </w:tcPr>
          <w:p w14:paraId="69CABDD7"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2</w:t>
            </w:r>
          </w:p>
        </w:tc>
        <w:tc>
          <w:tcPr>
            <w:tcW w:w="9400" w:type="dxa"/>
          </w:tcPr>
          <w:p w14:paraId="21E1E1E9"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Se evidencian avances en materia de depuración, sin embargo, se observa modificación al cronograma debido a la insuficiencia de personal calificado para el desarrollo del proceso contable, que impide que los resultados sean significativos y las cifras reflejen en su totalidad la realidad d ellos hechos económicos.</w:t>
            </w:r>
          </w:p>
        </w:tc>
      </w:tr>
      <w:tr w:rsidR="00561B22" w:rsidRPr="005401C6" w14:paraId="19CDA405" w14:textId="77777777" w:rsidTr="00F1223B">
        <w:tc>
          <w:tcPr>
            <w:tcW w:w="562" w:type="dxa"/>
          </w:tcPr>
          <w:p w14:paraId="4AAA1607"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3</w:t>
            </w:r>
          </w:p>
        </w:tc>
        <w:tc>
          <w:tcPr>
            <w:tcW w:w="9400" w:type="dxa"/>
          </w:tcPr>
          <w:p w14:paraId="7A1BDBD6"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Alta rotación de personal involucrado, falta de segregación de funciones en el desarrollo del proceso, subunidades de negocio con perfiles profesionales no acordes a las funciones asignadas o sin conocimiento idóneo para el desarrollo del cargo o en su defecto ausencia de funcionarios en el perfil contable, tal como se menciona en el Acta No. 13 del 25 de noviembre de 2024, Comité de Sostenibilidad Contable.</w:t>
            </w:r>
          </w:p>
        </w:tc>
      </w:tr>
      <w:tr w:rsidR="00561B22" w:rsidRPr="005401C6" w14:paraId="039D48A5" w14:textId="77777777" w:rsidTr="00F1223B">
        <w:tc>
          <w:tcPr>
            <w:tcW w:w="562" w:type="dxa"/>
          </w:tcPr>
          <w:p w14:paraId="011A104A"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4</w:t>
            </w:r>
          </w:p>
        </w:tc>
        <w:tc>
          <w:tcPr>
            <w:tcW w:w="9400" w:type="dxa"/>
          </w:tcPr>
          <w:p w14:paraId="5FEF8A66"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Los estados financieros no reflejan la realidad de los hechos económicos puesto que aún se observan partidas por identificar o individualizar como lo son bancos, propiedad, planta y equipo e inventarios.</w:t>
            </w:r>
          </w:p>
        </w:tc>
      </w:tr>
      <w:tr w:rsidR="00561B22" w:rsidRPr="005401C6" w14:paraId="57CE6F7B" w14:textId="77777777" w:rsidTr="00F1223B">
        <w:tc>
          <w:tcPr>
            <w:tcW w:w="562" w:type="dxa"/>
          </w:tcPr>
          <w:p w14:paraId="43F89BDC"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5</w:t>
            </w:r>
          </w:p>
        </w:tc>
        <w:tc>
          <w:tcPr>
            <w:tcW w:w="9400" w:type="dxa"/>
          </w:tcPr>
          <w:p w14:paraId="3380306C"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La utilización de diferentes aplicativos como PCT, ACTIVA, MANEJO DE DINERO Y SIIF NACIÓN, en el proceso contable, genera debilidades al momento de unificarse la información, ya que algunos de estos sistemas no cuentan con interfase y la alimentación al sistema SIIF Nación se debe realizar de forma manual, ocasionando imprecisiones en los resultados.</w:t>
            </w:r>
          </w:p>
        </w:tc>
      </w:tr>
      <w:tr w:rsidR="00561B22" w:rsidRPr="005401C6" w14:paraId="644D5704" w14:textId="77777777" w:rsidTr="00F1223B">
        <w:tc>
          <w:tcPr>
            <w:tcW w:w="562" w:type="dxa"/>
          </w:tcPr>
          <w:p w14:paraId="2597B021"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6</w:t>
            </w:r>
          </w:p>
        </w:tc>
        <w:tc>
          <w:tcPr>
            <w:tcW w:w="9400" w:type="dxa"/>
          </w:tcPr>
          <w:p w14:paraId="474CB1C9"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No se cuenta con indicadores financieros que permitan analizar e interpretar la realidad financiera del Instituto.</w:t>
            </w:r>
          </w:p>
        </w:tc>
      </w:tr>
      <w:tr w:rsidR="00561B22" w:rsidRPr="005401C6" w14:paraId="01DB3756" w14:textId="77777777" w:rsidTr="00F1223B">
        <w:tc>
          <w:tcPr>
            <w:tcW w:w="562" w:type="dxa"/>
          </w:tcPr>
          <w:p w14:paraId="06101CFB"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7</w:t>
            </w:r>
          </w:p>
        </w:tc>
        <w:tc>
          <w:tcPr>
            <w:tcW w:w="9400" w:type="dxa"/>
          </w:tcPr>
          <w:p w14:paraId="33348B92"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No se observa en el Plan Institucional, capacitaciones relacionadas con el proceso contable.</w:t>
            </w:r>
          </w:p>
        </w:tc>
      </w:tr>
    </w:tbl>
    <w:p w14:paraId="51E682CE" w14:textId="77777777" w:rsidR="00561B22" w:rsidRPr="005401C6" w:rsidRDefault="00561B22" w:rsidP="00561B22">
      <w:pPr>
        <w:pStyle w:val="Textoindependiente"/>
        <w:ind w:right="-50"/>
        <w:jc w:val="both"/>
        <w:rPr>
          <w:rFonts w:ascii="Arial" w:hAnsi="Arial" w:cs="Arial"/>
          <w:b/>
          <w:bCs/>
        </w:rPr>
      </w:pPr>
    </w:p>
    <w:p w14:paraId="13350B42" w14:textId="77777777" w:rsidR="00561B22" w:rsidRPr="005401C6" w:rsidRDefault="00561B22" w:rsidP="00561B22">
      <w:pPr>
        <w:jc w:val="both"/>
        <w:rPr>
          <w:rFonts w:ascii="Arial" w:hAnsi="Arial" w:cs="Arial"/>
          <w:b/>
          <w:lang w:val="es-MX"/>
        </w:rPr>
      </w:pPr>
      <w:r w:rsidRPr="005401C6">
        <w:rPr>
          <w:rFonts w:ascii="Arial" w:hAnsi="Arial" w:cs="Arial"/>
          <w:b/>
          <w:lang w:val="es-MX"/>
        </w:rPr>
        <w:t>Del citado informe retomamos las siguientes recomendaciones:</w:t>
      </w:r>
    </w:p>
    <w:p w14:paraId="74FD951A" w14:textId="77777777" w:rsidR="00561B22" w:rsidRPr="005401C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401C6" w14:paraId="1C15AAC3" w14:textId="77777777" w:rsidTr="00F1223B">
        <w:tc>
          <w:tcPr>
            <w:tcW w:w="562" w:type="dxa"/>
          </w:tcPr>
          <w:p w14:paraId="3F4DF424" w14:textId="77777777" w:rsidR="00561B22" w:rsidRPr="005401C6" w:rsidRDefault="00561B22" w:rsidP="00F1223B">
            <w:pPr>
              <w:ind w:right="-109"/>
              <w:jc w:val="center"/>
              <w:rPr>
                <w:rFonts w:ascii="Arial" w:hAnsi="Arial" w:cs="Arial"/>
                <w:b/>
                <w:sz w:val="22"/>
                <w:szCs w:val="22"/>
                <w:lang w:val="es-MX"/>
              </w:rPr>
            </w:pPr>
            <w:r w:rsidRPr="005401C6">
              <w:rPr>
                <w:rFonts w:ascii="Arial" w:hAnsi="Arial" w:cs="Arial"/>
                <w:b/>
                <w:sz w:val="22"/>
                <w:szCs w:val="22"/>
                <w:lang w:val="es-MX"/>
              </w:rPr>
              <w:t>N°</w:t>
            </w:r>
          </w:p>
        </w:tc>
        <w:tc>
          <w:tcPr>
            <w:tcW w:w="9400" w:type="dxa"/>
          </w:tcPr>
          <w:p w14:paraId="2C9BDFEC"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RECOMENDACIONES</w:t>
            </w:r>
          </w:p>
          <w:p w14:paraId="72EA2837" w14:textId="77777777" w:rsidR="00561B22" w:rsidRPr="005401C6" w:rsidRDefault="00561B22" w:rsidP="00F1223B">
            <w:pPr>
              <w:jc w:val="center"/>
              <w:rPr>
                <w:rFonts w:ascii="Arial" w:hAnsi="Arial" w:cs="Arial"/>
                <w:b/>
                <w:sz w:val="22"/>
                <w:szCs w:val="22"/>
                <w:lang w:val="es-MX"/>
              </w:rPr>
            </w:pPr>
          </w:p>
        </w:tc>
      </w:tr>
      <w:tr w:rsidR="00561B22" w:rsidRPr="005401C6" w14:paraId="29579233" w14:textId="77777777" w:rsidTr="00F1223B">
        <w:tc>
          <w:tcPr>
            <w:tcW w:w="562" w:type="dxa"/>
          </w:tcPr>
          <w:p w14:paraId="0644BA28"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1</w:t>
            </w:r>
          </w:p>
        </w:tc>
        <w:tc>
          <w:tcPr>
            <w:tcW w:w="9400" w:type="dxa"/>
          </w:tcPr>
          <w:p w14:paraId="15A656AB"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Dar cumplimiento al cronograma de depuración de cuentas contables modificado en el mes de septiembre de 2024, el cual será aplicado hasta la vigencia 2027, realizando un monitoreo de los resultados desde el Grupo Contable hacia las subunidades de negocio.</w:t>
            </w:r>
          </w:p>
        </w:tc>
      </w:tr>
      <w:tr w:rsidR="00561B22" w:rsidRPr="005401C6" w14:paraId="56201D36" w14:textId="77777777" w:rsidTr="00F1223B">
        <w:tc>
          <w:tcPr>
            <w:tcW w:w="562" w:type="dxa"/>
          </w:tcPr>
          <w:p w14:paraId="1F906B39"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2</w:t>
            </w:r>
          </w:p>
        </w:tc>
        <w:tc>
          <w:tcPr>
            <w:tcW w:w="9400" w:type="dxa"/>
          </w:tcPr>
          <w:p w14:paraId="026E2222"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Es necesario que desde la Dirección de Gestión Corporativa se gestione ante la Dirección General y la Subdirección de Talento Humano, la asignación de personal idóneo y calificado que fortalezca el proceso contable y financiero tanto en sede central, regionales y subunidades de negocio, adicionalmente evitar la alta rotación de este personal especialmente en el periodo de cierre fiscal.</w:t>
            </w:r>
          </w:p>
        </w:tc>
      </w:tr>
      <w:tr w:rsidR="00561B22" w:rsidRPr="005401C6" w14:paraId="484209B8" w14:textId="77777777" w:rsidTr="00F1223B">
        <w:tc>
          <w:tcPr>
            <w:tcW w:w="562" w:type="dxa"/>
          </w:tcPr>
          <w:p w14:paraId="290D7690"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3</w:t>
            </w:r>
          </w:p>
        </w:tc>
        <w:tc>
          <w:tcPr>
            <w:tcW w:w="9400" w:type="dxa"/>
          </w:tcPr>
          <w:p w14:paraId="048A49E8"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Es necesario incorporar en el Plan Institucional de cada vigencia capacitaciones del ámbito contable que fortalezcan las habilidades y competencias de los funcionarios involucrados en el proceso.</w:t>
            </w:r>
          </w:p>
        </w:tc>
      </w:tr>
      <w:tr w:rsidR="00561B22" w:rsidRPr="005401C6" w14:paraId="7366EE77" w14:textId="77777777" w:rsidTr="00F1223B">
        <w:tc>
          <w:tcPr>
            <w:tcW w:w="562" w:type="dxa"/>
          </w:tcPr>
          <w:p w14:paraId="287BB9C7"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4</w:t>
            </w:r>
          </w:p>
        </w:tc>
        <w:tc>
          <w:tcPr>
            <w:tcW w:w="9400" w:type="dxa"/>
          </w:tcPr>
          <w:p w14:paraId="2D92CA48"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Asegurar una adecuada segregación de funciones en el desarrollo del proceso financiero.</w:t>
            </w:r>
          </w:p>
        </w:tc>
      </w:tr>
      <w:tr w:rsidR="00561B22" w:rsidRPr="005401C6" w14:paraId="6D7231E9" w14:textId="77777777" w:rsidTr="00F1223B">
        <w:tc>
          <w:tcPr>
            <w:tcW w:w="562" w:type="dxa"/>
          </w:tcPr>
          <w:p w14:paraId="4ED741EB"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5</w:t>
            </w:r>
          </w:p>
        </w:tc>
        <w:tc>
          <w:tcPr>
            <w:tcW w:w="9400" w:type="dxa"/>
          </w:tcPr>
          <w:p w14:paraId="3308A36C"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Realizar un monitoreo permanente a las actividades referentes al proceso del cierre contable en todas las subunidades de negocio del Instituto, que garantice que la información reflejada en los estados financieros es fidedigna.</w:t>
            </w:r>
          </w:p>
        </w:tc>
      </w:tr>
      <w:tr w:rsidR="00561B22" w:rsidRPr="005401C6" w14:paraId="7FCBFD84" w14:textId="77777777" w:rsidTr="00F1223B">
        <w:tc>
          <w:tcPr>
            <w:tcW w:w="562" w:type="dxa"/>
          </w:tcPr>
          <w:p w14:paraId="50F1A304"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6</w:t>
            </w:r>
          </w:p>
        </w:tc>
        <w:tc>
          <w:tcPr>
            <w:tcW w:w="9400" w:type="dxa"/>
          </w:tcPr>
          <w:p w14:paraId="6107B588"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Fortalecer la presentación de los informes financieros en la audiencia de rendición de cuentas.</w:t>
            </w:r>
          </w:p>
        </w:tc>
      </w:tr>
      <w:tr w:rsidR="00561B22" w:rsidRPr="005401C6" w14:paraId="463B9426" w14:textId="77777777" w:rsidTr="00F1223B">
        <w:tc>
          <w:tcPr>
            <w:tcW w:w="562" w:type="dxa"/>
          </w:tcPr>
          <w:p w14:paraId="4FC9AC5C"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lastRenderedPageBreak/>
              <w:t>7</w:t>
            </w:r>
          </w:p>
        </w:tc>
        <w:tc>
          <w:tcPr>
            <w:tcW w:w="9400" w:type="dxa"/>
          </w:tcPr>
          <w:p w14:paraId="06E6258F"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Atender las observaciones y recomendaciones realizadas por la Oficina de Control Interno en los informes de evaluación y seguimiento al Mapa de Riesgos Institucional.</w:t>
            </w:r>
          </w:p>
        </w:tc>
      </w:tr>
      <w:tr w:rsidR="00561B22" w:rsidRPr="005401C6" w14:paraId="576E7464" w14:textId="77777777" w:rsidTr="00F1223B">
        <w:tc>
          <w:tcPr>
            <w:tcW w:w="562" w:type="dxa"/>
          </w:tcPr>
          <w:p w14:paraId="76AF4E4B"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8</w:t>
            </w:r>
          </w:p>
        </w:tc>
        <w:tc>
          <w:tcPr>
            <w:tcW w:w="9400" w:type="dxa"/>
          </w:tcPr>
          <w:p w14:paraId="3E5B80F1"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Realizar las actuaciones necesarias para la unificación de la información que alimenta los estados financieros de tal forma que se minimice registros contables como costos, depreciación, entre otros.</w:t>
            </w:r>
          </w:p>
        </w:tc>
      </w:tr>
      <w:tr w:rsidR="00561B22" w:rsidRPr="005401C6" w14:paraId="6C1B2871" w14:textId="77777777" w:rsidTr="00F1223B">
        <w:tc>
          <w:tcPr>
            <w:tcW w:w="562" w:type="dxa"/>
          </w:tcPr>
          <w:p w14:paraId="43740E2C" w14:textId="77777777" w:rsidR="00561B22" w:rsidRPr="005401C6" w:rsidRDefault="00561B22" w:rsidP="00F1223B">
            <w:pPr>
              <w:jc w:val="center"/>
              <w:rPr>
                <w:rFonts w:ascii="Arial" w:hAnsi="Arial" w:cs="Arial"/>
                <w:b/>
                <w:sz w:val="22"/>
                <w:szCs w:val="22"/>
                <w:lang w:val="es-MX"/>
              </w:rPr>
            </w:pPr>
            <w:r w:rsidRPr="005401C6">
              <w:rPr>
                <w:rFonts w:ascii="Arial" w:hAnsi="Arial" w:cs="Arial"/>
                <w:b/>
                <w:sz w:val="22"/>
                <w:szCs w:val="22"/>
                <w:lang w:val="es-MX"/>
              </w:rPr>
              <w:t>9</w:t>
            </w:r>
          </w:p>
        </w:tc>
        <w:tc>
          <w:tcPr>
            <w:tcW w:w="9400" w:type="dxa"/>
          </w:tcPr>
          <w:p w14:paraId="565092C3" w14:textId="77777777" w:rsidR="00561B22" w:rsidRPr="005401C6" w:rsidRDefault="00561B22" w:rsidP="00F1223B">
            <w:pPr>
              <w:jc w:val="both"/>
              <w:rPr>
                <w:rFonts w:ascii="Arial" w:hAnsi="Arial" w:cs="Arial"/>
                <w:bCs/>
                <w:sz w:val="22"/>
                <w:szCs w:val="22"/>
                <w:lang w:val="es-MX"/>
              </w:rPr>
            </w:pPr>
            <w:r w:rsidRPr="005401C6">
              <w:rPr>
                <w:rFonts w:ascii="Arial" w:hAnsi="Arial" w:cs="Arial"/>
                <w:bCs/>
                <w:sz w:val="22"/>
                <w:szCs w:val="22"/>
                <w:lang w:val="es-MX"/>
              </w:rPr>
              <w:t>Identificar los indicadores aplicables al Instituto, permitiendo hacer un análisis e interpretación financiera de las cifras.</w:t>
            </w:r>
          </w:p>
        </w:tc>
      </w:tr>
    </w:tbl>
    <w:p w14:paraId="68EB5C94" w14:textId="77777777" w:rsidR="00561B22" w:rsidRPr="005401C6" w:rsidRDefault="00561B22" w:rsidP="00561B22">
      <w:pPr>
        <w:pStyle w:val="Ttulo1"/>
        <w:spacing w:before="93"/>
        <w:ind w:left="-142" w:right="-50"/>
        <w:rPr>
          <w:b w:val="0"/>
          <w:bCs w:val="0"/>
          <w:sz w:val="22"/>
          <w:szCs w:val="22"/>
        </w:rPr>
      </w:pPr>
    </w:p>
    <w:p w14:paraId="284B7867" w14:textId="77777777" w:rsidR="00561B22" w:rsidRPr="005401C6" w:rsidRDefault="00561B22" w:rsidP="00561B22">
      <w:pPr>
        <w:pStyle w:val="Ttulo1"/>
        <w:ind w:right="-50"/>
        <w:jc w:val="both"/>
        <w:rPr>
          <w:b w:val="0"/>
          <w:bCs w:val="0"/>
          <w:sz w:val="24"/>
          <w:szCs w:val="24"/>
        </w:rPr>
      </w:pPr>
      <w:r w:rsidRPr="005401C6">
        <w:rPr>
          <w:sz w:val="24"/>
          <w:szCs w:val="24"/>
        </w:rPr>
        <w:t xml:space="preserve">NOTA: </w:t>
      </w:r>
      <w:r w:rsidRPr="005401C6">
        <w:rPr>
          <w:b w:val="0"/>
          <w:bCs w:val="0"/>
          <w:sz w:val="24"/>
          <w:szCs w:val="24"/>
        </w:rPr>
        <w:t>La entidad no presenta el informe de Autoevaluación del Sistema de Control Interno Contable en el formato establecido.</w:t>
      </w:r>
    </w:p>
    <w:p w14:paraId="7256CAB3" w14:textId="77777777" w:rsidR="00561B22" w:rsidRDefault="00561B22" w:rsidP="00561B22">
      <w:pPr>
        <w:pStyle w:val="Textoindependiente"/>
        <w:tabs>
          <w:tab w:val="left" w:pos="2055"/>
        </w:tabs>
        <w:spacing w:before="5"/>
        <w:jc w:val="both"/>
        <w:rPr>
          <w:rFonts w:ascii="Arial" w:hAnsi="Arial" w:cs="Arial"/>
          <w:sz w:val="24"/>
          <w:szCs w:val="24"/>
        </w:rPr>
      </w:pPr>
    </w:p>
    <w:p w14:paraId="06AB3994" w14:textId="77777777" w:rsidR="00561B22" w:rsidRPr="00315227" w:rsidRDefault="00561B22" w:rsidP="00561B22">
      <w:pPr>
        <w:jc w:val="both"/>
        <w:rPr>
          <w:rFonts w:ascii="Arial" w:hAnsi="Arial" w:cs="Arial"/>
          <w:b/>
          <w:sz w:val="28"/>
          <w:szCs w:val="28"/>
          <w:lang w:val="es-MX"/>
        </w:rPr>
      </w:pPr>
      <w:r w:rsidRPr="00315227">
        <w:rPr>
          <w:rFonts w:ascii="Arial" w:hAnsi="Arial" w:cs="Arial"/>
          <w:b/>
          <w:sz w:val="28"/>
          <w:szCs w:val="28"/>
          <w:lang w:val="es-MX"/>
        </w:rPr>
        <w:t>224.- MINISTERIO DE MINAS Y ENERGÍA.</w:t>
      </w:r>
    </w:p>
    <w:p w14:paraId="71CCA2AD" w14:textId="77777777" w:rsidR="00561B22" w:rsidRDefault="00561B22" w:rsidP="00561B22">
      <w:pPr>
        <w:ind w:left="-284" w:right="-93"/>
        <w:jc w:val="both"/>
        <w:rPr>
          <w:rFonts w:ascii="Arial" w:eastAsia="Trebuchet MS" w:hAnsi="Arial" w:cs="Arial"/>
          <w:b/>
          <w:sz w:val="32"/>
          <w:szCs w:val="32"/>
          <w:u w:val="single"/>
          <w:lang w:val="es-MX" w:eastAsia="es-CO"/>
        </w:rPr>
      </w:pPr>
    </w:p>
    <w:p w14:paraId="5289C4BA" w14:textId="77777777" w:rsidR="00561B22" w:rsidRPr="00E74402" w:rsidRDefault="00561B22" w:rsidP="00561B22">
      <w:pPr>
        <w:pStyle w:val="Textoindependiente"/>
        <w:ind w:right="-50"/>
        <w:jc w:val="center"/>
        <w:rPr>
          <w:rFonts w:ascii="Arial" w:hAnsi="Arial" w:cs="Arial"/>
          <w:b/>
          <w:bCs/>
        </w:rPr>
      </w:pPr>
      <w:r w:rsidRPr="00E74402">
        <w:rPr>
          <w:rFonts w:ascii="Arial" w:hAnsi="Arial" w:cs="Arial"/>
          <w:b/>
          <w:bCs/>
        </w:rPr>
        <w:t>INFORME DE LA AUTOCALIFICACIÓN DEL SISTEMA DE CONTROL INTERNO CONTABLE:</w:t>
      </w:r>
    </w:p>
    <w:p w14:paraId="0A4CF368" w14:textId="77777777" w:rsidR="00561B22" w:rsidRPr="00E744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74402" w14:paraId="448BF6DF" w14:textId="77777777" w:rsidTr="00F1223B">
        <w:tc>
          <w:tcPr>
            <w:tcW w:w="4981" w:type="dxa"/>
          </w:tcPr>
          <w:p w14:paraId="45229C78"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AUTOCALIFICACIÓN</w:t>
            </w:r>
          </w:p>
        </w:tc>
        <w:tc>
          <w:tcPr>
            <w:tcW w:w="4981" w:type="dxa"/>
          </w:tcPr>
          <w:p w14:paraId="5BD99091" w14:textId="77777777" w:rsidR="00561B22" w:rsidRPr="00E74402" w:rsidRDefault="00561B22" w:rsidP="00F1223B">
            <w:pPr>
              <w:jc w:val="center"/>
              <w:rPr>
                <w:rFonts w:ascii="Arial" w:hAnsi="Arial" w:cs="Arial"/>
                <w:b/>
                <w:sz w:val="22"/>
                <w:szCs w:val="22"/>
                <w:u w:val="single"/>
                <w:lang w:val="es-MX"/>
              </w:rPr>
            </w:pPr>
            <w:r w:rsidRPr="00E74402">
              <w:rPr>
                <w:rFonts w:ascii="Arial" w:hAnsi="Arial" w:cs="Arial"/>
                <w:b/>
                <w:sz w:val="22"/>
                <w:szCs w:val="22"/>
                <w:u w:val="single"/>
                <w:lang w:val="es-MX"/>
              </w:rPr>
              <w:t>4.86</w:t>
            </w:r>
          </w:p>
        </w:tc>
      </w:tr>
    </w:tbl>
    <w:p w14:paraId="488AADF1" w14:textId="77777777" w:rsidR="00561B22" w:rsidRPr="00E74402" w:rsidRDefault="00561B22" w:rsidP="00561B22">
      <w:pPr>
        <w:pStyle w:val="Textoindependiente"/>
        <w:ind w:right="-50"/>
        <w:jc w:val="both"/>
        <w:rPr>
          <w:rFonts w:ascii="Arial" w:hAnsi="Arial" w:cs="Arial"/>
          <w:b/>
          <w:bCs/>
        </w:rPr>
      </w:pPr>
    </w:p>
    <w:p w14:paraId="0B3FC3BB" w14:textId="77777777" w:rsidR="00561B22" w:rsidRPr="00E74402" w:rsidRDefault="00561B22" w:rsidP="00561B22">
      <w:pPr>
        <w:pStyle w:val="Textoindependiente"/>
        <w:ind w:right="-50"/>
        <w:jc w:val="both"/>
        <w:rPr>
          <w:rFonts w:ascii="Arial" w:hAnsi="Arial" w:cs="Arial"/>
          <w:b/>
          <w:bCs/>
        </w:rPr>
      </w:pPr>
      <w:r w:rsidRPr="00E74402">
        <w:rPr>
          <w:rFonts w:ascii="Arial" w:hAnsi="Arial" w:cs="Arial"/>
          <w:b/>
          <w:bCs/>
        </w:rPr>
        <w:t>Del informe enviado retomamos lo siguiente:</w:t>
      </w:r>
    </w:p>
    <w:p w14:paraId="284493DC" w14:textId="77777777" w:rsidR="00561B22" w:rsidRPr="00E744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74402" w14:paraId="60EF2665" w14:textId="77777777" w:rsidTr="00F1223B">
        <w:tc>
          <w:tcPr>
            <w:tcW w:w="562" w:type="dxa"/>
          </w:tcPr>
          <w:p w14:paraId="69E917DD" w14:textId="77777777" w:rsidR="00561B22" w:rsidRPr="00E74402" w:rsidRDefault="00561B22" w:rsidP="00F1223B">
            <w:pPr>
              <w:ind w:right="-109"/>
              <w:jc w:val="center"/>
              <w:rPr>
                <w:rFonts w:ascii="Arial" w:hAnsi="Arial" w:cs="Arial"/>
                <w:b/>
                <w:sz w:val="22"/>
                <w:szCs w:val="22"/>
                <w:lang w:val="es-MX"/>
              </w:rPr>
            </w:pPr>
            <w:r w:rsidRPr="00E74402">
              <w:rPr>
                <w:rFonts w:ascii="Arial" w:hAnsi="Arial" w:cs="Arial"/>
                <w:b/>
                <w:sz w:val="22"/>
                <w:szCs w:val="22"/>
                <w:lang w:val="es-MX"/>
              </w:rPr>
              <w:t>N°</w:t>
            </w:r>
          </w:p>
        </w:tc>
        <w:tc>
          <w:tcPr>
            <w:tcW w:w="9400" w:type="dxa"/>
          </w:tcPr>
          <w:p w14:paraId="2E457B4A"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DEBILIDADES</w:t>
            </w:r>
          </w:p>
          <w:p w14:paraId="3A977EFB" w14:textId="77777777" w:rsidR="00561B22" w:rsidRPr="00E74402" w:rsidRDefault="00561B22" w:rsidP="00F1223B">
            <w:pPr>
              <w:jc w:val="center"/>
              <w:rPr>
                <w:rFonts w:ascii="Arial" w:hAnsi="Arial" w:cs="Arial"/>
                <w:b/>
                <w:sz w:val="22"/>
                <w:szCs w:val="22"/>
                <w:lang w:val="es-MX"/>
              </w:rPr>
            </w:pPr>
          </w:p>
        </w:tc>
      </w:tr>
      <w:tr w:rsidR="00561B22" w:rsidRPr="00E74402" w14:paraId="52717F7B" w14:textId="77777777" w:rsidTr="00F1223B">
        <w:tc>
          <w:tcPr>
            <w:tcW w:w="562" w:type="dxa"/>
          </w:tcPr>
          <w:p w14:paraId="51A0C7E8"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1</w:t>
            </w:r>
          </w:p>
        </w:tc>
        <w:tc>
          <w:tcPr>
            <w:tcW w:w="9400" w:type="dxa"/>
          </w:tcPr>
          <w:p w14:paraId="2021F99B"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El Grupo de Gestión Financiera y Contable, para desarrollo del proceso contable, tiene tres (3) funcionarios de planta y siete (7) contratistas; gran parte de las funciones se realizan con el personal contratado, cuando estos son retirados debido a su terminación, quedan las funciones asignadas sin ningún responsable y pendientes de realizar, generando un reproceso de aprendizaje y disminuyendo la efectividad de las diferentes tareas asignadas.</w:t>
            </w:r>
          </w:p>
        </w:tc>
      </w:tr>
      <w:tr w:rsidR="00561B22" w:rsidRPr="00E74402" w14:paraId="4E682F2F" w14:textId="77777777" w:rsidTr="00F1223B">
        <w:tc>
          <w:tcPr>
            <w:tcW w:w="562" w:type="dxa"/>
          </w:tcPr>
          <w:p w14:paraId="67347928"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2</w:t>
            </w:r>
          </w:p>
        </w:tc>
        <w:tc>
          <w:tcPr>
            <w:tcW w:w="9400" w:type="dxa"/>
          </w:tcPr>
          <w:p w14:paraId="6318EDD0"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 xml:space="preserve">Los indicadores formulados en el Plan de Acción vigente 2024, corresponden al proceso y procedimientos del Grupo de Gestión Financiera y Contable, más no como indicadores financieros, por cuanto estos deben corresponder a indicadores de gestión o eficiencia, que permitan obtener un diagnóstico de la situación financiera de la entidad para la toma de decisiones. </w:t>
            </w:r>
          </w:p>
        </w:tc>
      </w:tr>
    </w:tbl>
    <w:p w14:paraId="0DE70A20" w14:textId="77777777" w:rsidR="00561B22" w:rsidRPr="00E74402" w:rsidRDefault="00561B22" w:rsidP="00561B22">
      <w:pPr>
        <w:pStyle w:val="Textoindependiente"/>
        <w:ind w:right="-50"/>
        <w:jc w:val="both"/>
        <w:rPr>
          <w:rFonts w:ascii="Arial" w:hAnsi="Arial" w:cs="Arial"/>
          <w:b/>
          <w:bCs/>
        </w:rPr>
      </w:pPr>
    </w:p>
    <w:p w14:paraId="737C1E40" w14:textId="77777777" w:rsidR="00561B22" w:rsidRPr="00E74402" w:rsidRDefault="00561B22" w:rsidP="00561B22">
      <w:pPr>
        <w:jc w:val="both"/>
        <w:rPr>
          <w:rFonts w:ascii="Arial" w:hAnsi="Arial" w:cs="Arial"/>
          <w:b/>
          <w:lang w:val="es-MX"/>
        </w:rPr>
      </w:pPr>
      <w:r w:rsidRPr="00E74402">
        <w:rPr>
          <w:rFonts w:ascii="Arial" w:hAnsi="Arial" w:cs="Arial"/>
          <w:b/>
          <w:lang w:val="es-MX"/>
        </w:rPr>
        <w:t>Del citado informe retomamos las siguientes recomendaciones:</w:t>
      </w:r>
    </w:p>
    <w:p w14:paraId="7BA17907" w14:textId="77777777" w:rsidR="00561B22" w:rsidRPr="00E7440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74402" w14:paraId="385D0D64" w14:textId="77777777" w:rsidTr="00F1223B">
        <w:tc>
          <w:tcPr>
            <w:tcW w:w="562" w:type="dxa"/>
          </w:tcPr>
          <w:p w14:paraId="7CAD0470" w14:textId="77777777" w:rsidR="00561B22" w:rsidRPr="00E74402" w:rsidRDefault="00561B22" w:rsidP="00F1223B">
            <w:pPr>
              <w:ind w:right="-109"/>
              <w:jc w:val="center"/>
              <w:rPr>
                <w:rFonts w:ascii="Arial" w:hAnsi="Arial" w:cs="Arial"/>
                <w:b/>
                <w:sz w:val="22"/>
                <w:szCs w:val="22"/>
                <w:lang w:val="es-MX"/>
              </w:rPr>
            </w:pPr>
            <w:r w:rsidRPr="00E74402">
              <w:rPr>
                <w:rFonts w:ascii="Arial" w:hAnsi="Arial" w:cs="Arial"/>
                <w:b/>
                <w:sz w:val="22"/>
                <w:szCs w:val="22"/>
                <w:lang w:val="es-MX"/>
              </w:rPr>
              <w:t>N°</w:t>
            </w:r>
          </w:p>
        </w:tc>
        <w:tc>
          <w:tcPr>
            <w:tcW w:w="9400" w:type="dxa"/>
          </w:tcPr>
          <w:p w14:paraId="1490497B"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RECOMENDACIONES</w:t>
            </w:r>
          </w:p>
          <w:p w14:paraId="7E5FB2D8" w14:textId="77777777" w:rsidR="00561B22" w:rsidRPr="00E74402" w:rsidRDefault="00561B22" w:rsidP="00F1223B">
            <w:pPr>
              <w:jc w:val="center"/>
              <w:rPr>
                <w:rFonts w:ascii="Arial" w:hAnsi="Arial" w:cs="Arial"/>
                <w:b/>
                <w:sz w:val="22"/>
                <w:szCs w:val="22"/>
                <w:lang w:val="es-MX"/>
              </w:rPr>
            </w:pPr>
          </w:p>
        </w:tc>
      </w:tr>
      <w:tr w:rsidR="00561B22" w:rsidRPr="00E74402" w14:paraId="00DD5785" w14:textId="77777777" w:rsidTr="00F1223B">
        <w:tc>
          <w:tcPr>
            <w:tcW w:w="562" w:type="dxa"/>
          </w:tcPr>
          <w:p w14:paraId="64D79828"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1</w:t>
            </w:r>
          </w:p>
        </w:tc>
        <w:tc>
          <w:tcPr>
            <w:tcW w:w="9400" w:type="dxa"/>
          </w:tcPr>
          <w:p w14:paraId="3DF526C6"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Se recomienda fortalecer los controles que aseguren la oportunidad y calidad de las conciliaciones entre el grupo de Gestión Financiera y Contable y las demás dependencias con el propósito de verificar la consistencia de la totalidad de las cuentas e información reflejada en los estados financieros.</w:t>
            </w:r>
          </w:p>
        </w:tc>
      </w:tr>
      <w:tr w:rsidR="00561B22" w:rsidRPr="00E74402" w14:paraId="30387C0D" w14:textId="77777777" w:rsidTr="00F1223B">
        <w:tc>
          <w:tcPr>
            <w:tcW w:w="562" w:type="dxa"/>
          </w:tcPr>
          <w:p w14:paraId="467337C6"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2</w:t>
            </w:r>
          </w:p>
        </w:tc>
        <w:tc>
          <w:tcPr>
            <w:tcW w:w="9400" w:type="dxa"/>
          </w:tcPr>
          <w:p w14:paraId="4D2F7215"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Continuar con el análisis para la depuración de los convenios realizados a través de los fondos de las direcciones, a fin de efectuar las actas de terminación correspondientes y efectuar los registros contables en las cuentas contables respectivas.</w:t>
            </w:r>
          </w:p>
        </w:tc>
      </w:tr>
      <w:tr w:rsidR="00561B22" w:rsidRPr="00E74402" w14:paraId="1982BD3C" w14:textId="77777777" w:rsidTr="00F1223B">
        <w:tc>
          <w:tcPr>
            <w:tcW w:w="562" w:type="dxa"/>
          </w:tcPr>
          <w:p w14:paraId="01FBD232"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3</w:t>
            </w:r>
          </w:p>
        </w:tc>
        <w:tc>
          <w:tcPr>
            <w:tcW w:w="9400" w:type="dxa"/>
          </w:tcPr>
          <w:p w14:paraId="34BB88FA"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Evaluar la pertinencia de actualizar el Manual de Políticas Contables y documentar el método de depreciación utilizado, donde se registren las actividades, tareas, controles, responsables y competentes, que permita a la entidad cumplir con lo establecido en las normas de la CGN. Así como documentar en Sistema Integrado de Gestión las actividades relacionadas con el cierre integral de la información producida en las dependencias que generan hechos económicos en el Ministerio de Minas y Energía.</w:t>
            </w:r>
          </w:p>
        </w:tc>
      </w:tr>
      <w:tr w:rsidR="00561B22" w:rsidRPr="00E74402" w14:paraId="1CE9F7B5" w14:textId="77777777" w:rsidTr="00F1223B">
        <w:tc>
          <w:tcPr>
            <w:tcW w:w="562" w:type="dxa"/>
          </w:tcPr>
          <w:p w14:paraId="47A26C2E"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t>4</w:t>
            </w:r>
          </w:p>
        </w:tc>
        <w:tc>
          <w:tcPr>
            <w:tcW w:w="9400" w:type="dxa"/>
          </w:tcPr>
          <w:p w14:paraId="3D1D0231"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Implementar indicadores que permitan interpretar la realidad financiera de la entidad, con el fin de tomar decisiones basadas en estos datos.</w:t>
            </w:r>
          </w:p>
        </w:tc>
      </w:tr>
      <w:tr w:rsidR="00561B22" w:rsidRPr="00E74402" w14:paraId="22016673" w14:textId="77777777" w:rsidTr="00F1223B">
        <w:tc>
          <w:tcPr>
            <w:tcW w:w="562" w:type="dxa"/>
          </w:tcPr>
          <w:p w14:paraId="56D08F6D" w14:textId="77777777" w:rsidR="00561B22" w:rsidRPr="00E74402" w:rsidRDefault="00561B22" w:rsidP="00F1223B">
            <w:pPr>
              <w:jc w:val="center"/>
              <w:rPr>
                <w:rFonts w:ascii="Arial" w:hAnsi="Arial" w:cs="Arial"/>
                <w:b/>
                <w:sz w:val="22"/>
                <w:szCs w:val="22"/>
                <w:lang w:val="es-MX"/>
              </w:rPr>
            </w:pPr>
            <w:r w:rsidRPr="00E74402">
              <w:rPr>
                <w:rFonts w:ascii="Arial" w:hAnsi="Arial" w:cs="Arial"/>
                <w:b/>
                <w:sz w:val="22"/>
                <w:szCs w:val="22"/>
                <w:lang w:val="es-MX"/>
              </w:rPr>
              <w:lastRenderedPageBreak/>
              <w:t>5</w:t>
            </w:r>
          </w:p>
        </w:tc>
        <w:tc>
          <w:tcPr>
            <w:tcW w:w="9400" w:type="dxa"/>
          </w:tcPr>
          <w:p w14:paraId="1A1B3D0A" w14:textId="77777777" w:rsidR="00561B22" w:rsidRPr="00E74402" w:rsidRDefault="00561B22" w:rsidP="00F1223B">
            <w:pPr>
              <w:jc w:val="both"/>
              <w:rPr>
                <w:rFonts w:ascii="Arial" w:hAnsi="Arial" w:cs="Arial"/>
                <w:bCs/>
                <w:sz w:val="22"/>
                <w:szCs w:val="22"/>
                <w:lang w:val="es-MX"/>
              </w:rPr>
            </w:pPr>
            <w:r w:rsidRPr="00E74402">
              <w:rPr>
                <w:rFonts w:ascii="Arial" w:hAnsi="Arial" w:cs="Arial"/>
                <w:bCs/>
                <w:sz w:val="22"/>
                <w:szCs w:val="22"/>
                <w:lang w:val="es-MX"/>
              </w:rPr>
              <w:t>Incluir en la rendición de cuentas la presentación de los estados contables, con el fin de cumplir con los propósitos generales de la información financiera, según lo dispuesto en el Marco Conceptual del Régimen de Contabilidad Pública.</w:t>
            </w:r>
          </w:p>
        </w:tc>
      </w:tr>
    </w:tbl>
    <w:p w14:paraId="2AC41E00" w14:textId="77777777" w:rsidR="00561B22" w:rsidRPr="00E74402" w:rsidRDefault="00561B22" w:rsidP="00561B22">
      <w:pPr>
        <w:pStyle w:val="Textoindependiente"/>
        <w:ind w:right="-50"/>
        <w:jc w:val="both"/>
        <w:rPr>
          <w:rFonts w:ascii="Arial" w:hAnsi="Arial" w:cs="Arial"/>
          <w:b/>
          <w:bCs/>
        </w:rPr>
      </w:pPr>
    </w:p>
    <w:p w14:paraId="40BF9FC5" w14:textId="77777777" w:rsidR="00561B22" w:rsidRPr="00E74402" w:rsidRDefault="00561B22" w:rsidP="00561B22">
      <w:pPr>
        <w:jc w:val="both"/>
        <w:rPr>
          <w:rFonts w:ascii="Arial" w:hAnsi="Arial" w:cs="Arial"/>
          <w:b/>
          <w:bCs/>
          <w:sz w:val="24"/>
          <w:szCs w:val="24"/>
          <w:lang w:val="es-CO"/>
        </w:rPr>
      </w:pPr>
      <w:r w:rsidRPr="00E74402">
        <w:rPr>
          <w:rFonts w:ascii="Arial" w:hAnsi="Arial" w:cs="Arial"/>
          <w:b/>
          <w:bCs/>
          <w:sz w:val="24"/>
          <w:szCs w:val="24"/>
          <w:lang w:val="es-CO"/>
        </w:rPr>
        <w:t xml:space="preserve">NOTA: LA ENTIDAD ENVIA LA MATRIZ DE AUTOEVALUACIÓN DEL SISTEMA DE CONTROL INTERNO CONTABLE CON </w:t>
      </w:r>
      <w:r w:rsidRPr="00E74402">
        <w:rPr>
          <w:rFonts w:ascii="Arial" w:hAnsi="Arial" w:cs="Arial"/>
          <w:b/>
          <w:bCs/>
          <w:sz w:val="24"/>
          <w:szCs w:val="24"/>
          <w:u w:val="single"/>
          <w:lang w:val="es-CO"/>
        </w:rPr>
        <w:t>ACTIVIDADES DE CONTROL REALIZADAS EN FORMA PARCIAL</w:t>
      </w:r>
      <w:r w:rsidRPr="00E74402">
        <w:rPr>
          <w:rFonts w:ascii="Arial" w:hAnsi="Arial" w:cs="Arial"/>
          <w:b/>
          <w:bCs/>
          <w:sz w:val="24"/>
          <w:szCs w:val="24"/>
          <w:lang w:val="es-CO"/>
        </w:rPr>
        <w:t>.</w:t>
      </w:r>
    </w:p>
    <w:p w14:paraId="12612422" w14:textId="77777777" w:rsidR="00561B22" w:rsidRPr="00E74402" w:rsidRDefault="00561B22" w:rsidP="00561B22">
      <w:pPr>
        <w:pStyle w:val="Textoindependiente"/>
        <w:ind w:right="-50"/>
        <w:jc w:val="both"/>
        <w:rPr>
          <w:rFonts w:ascii="Arial" w:hAnsi="Arial" w:cs="Arial"/>
          <w:b/>
          <w:bCs/>
          <w:sz w:val="28"/>
          <w:szCs w:val="28"/>
        </w:rPr>
      </w:pPr>
    </w:p>
    <w:p w14:paraId="33B3DE7B" w14:textId="77777777" w:rsidR="00561B22" w:rsidRPr="009F0E22" w:rsidRDefault="00561B22" w:rsidP="00561B22">
      <w:pPr>
        <w:jc w:val="both"/>
        <w:rPr>
          <w:rFonts w:ascii="Arial" w:hAnsi="Arial" w:cs="Arial"/>
          <w:b/>
          <w:sz w:val="28"/>
          <w:szCs w:val="28"/>
          <w:lang w:val="es-MX"/>
        </w:rPr>
      </w:pPr>
      <w:r w:rsidRPr="009F0E22">
        <w:rPr>
          <w:rFonts w:ascii="Arial" w:hAnsi="Arial" w:cs="Arial"/>
          <w:b/>
          <w:sz w:val="28"/>
          <w:szCs w:val="28"/>
          <w:lang w:val="es-MX"/>
        </w:rPr>
        <w:t>225.- CONSEJO PROFESIONAL DE INGENIERIA QUÍMICA DE COLOMBIA – CPIQ.</w:t>
      </w:r>
    </w:p>
    <w:p w14:paraId="166ADC05" w14:textId="77777777" w:rsidR="00561B22" w:rsidRDefault="00561B22" w:rsidP="00561B22">
      <w:pPr>
        <w:pStyle w:val="Textoindependiente"/>
        <w:tabs>
          <w:tab w:val="left" w:pos="2055"/>
        </w:tabs>
        <w:spacing w:before="5"/>
        <w:jc w:val="both"/>
        <w:rPr>
          <w:rFonts w:ascii="Arial" w:hAnsi="Arial" w:cs="Arial"/>
          <w:sz w:val="24"/>
          <w:szCs w:val="24"/>
          <w:lang w:val="es-MX"/>
        </w:rPr>
      </w:pPr>
    </w:p>
    <w:p w14:paraId="1C875C4C" w14:textId="77777777" w:rsidR="00561B22" w:rsidRPr="00652F10" w:rsidRDefault="00561B22" w:rsidP="00561B22">
      <w:pPr>
        <w:pStyle w:val="Textoindependiente"/>
        <w:ind w:right="-50"/>
        <w:jc w:val="center"/>
        <w:rPr>
          <w:rFonts w:ascii="Arial" w:hAnsi="Arial" w:cs="Arial"/>
          <w:b/>
          <w:bCs/>
        </w:rPr>
      </w:pPr>
      <w:r w:rsidRPr="00652F10">
        <w:rPr>
          <w:rFonts w:ascii="Arial" w:hAnsi="Arial" w:cs="Arial"/>
          <w:b/>
          <w:bCs/>
        </w:rPr>
        <w:t>INFORME DE LA AUTOCALIFICACIÓN DEL SISTEMA DE CONTROL INTERNO CONTABLE:</w:t>
      </w:r>
    </w:p>
    <w:p w14:paraId="0FEC9718" w14:textId="77777777" w:rsidR="00561B22" w:rsidRPr="00652F1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52F10" w14:paraId="6FEEA12B" w14:textId="77777777" w:rsidTr="00F1223B">
        <w:tc>
          <w:tcPr>
            <w:tcW w:w="4981" w:type="dxa"/>
          </w:tcPr>
          <w:p w14:paraId="026D3223" w14:textId="77777777" w:rsidR="00561B22" w:rsidRPr="00652F10" w:rsidRDefault="00561B22" w:rsidP="00F1223B">
            <w:pPr>
              <w:jc w:val="center"/>
              <w:rPr>
                <w:rFonts w:ascii="Arial" w:hAnsi="Arial" w:cs="Arial"/>
                <w:b/>
                <w:sz w:val="22"/>
                <w:szCs w:val="22"/>
                <w:lang w:val="es-MX"/>
              </w:rPr>
            </w:pPr>
            <w:r w:rsidRPr="00652F10">
              <w:rPr>
                <w:rFonts w:ascii="Arial" w:hAnsi="Arial" w:cs="Arial"/>
                <w:b/>
                <w:sz w:val="22"/>
                <w:szCs w:val="22"/>
                <w:lang w:val="es-MX"/>
              </w:rPr>
              <w:t>AUTOCALIFICACIÓN</w:t>
            </w:r>
          </w:p>
        </w:tc>
        <w:tc>
          <w:tcPr>
            <w:tcW w:w="4981" w:type="dxa"/>
          </w:tcPr>
          <w:p w14:paraId="322927F5" w14:textId="77777777" w:rsidR="00561B22" w:rsidRPr="00652F10" w:rsidRDefault="00561B22" w:rsidP="00F1223B">
            <w:pPr>
              <w:jc w:val="center"/>
              <w:rPr>
                <w:rFonts w:ascii="Arial" w:hAnsi="Arial" w:cs="Arial"/>
                <w:b/>
                <w:sz w:val="22"/>
                <w:szCs w:val="22"/>
                <w:u w:val="single"/>
                <w:lang w:val="es-MX"/>
              </w:rPr>
            </w:pPr>
            <w:r w:rsidRPr="00652F10">
              <w:rPr>
                <w:rFonts w:ascii="Arial" w:hAnsi="Arial" w:cs="Arial"/>
                <w:b/>
                <w:sz w:val="22"/>
                <w:szCs w:val="22"/>
                <w:u w:val="single"/>
                <w:lang w:val="es-MX"/>
              </w:rPr>
              <w:t>5.00</w:t>
            </w:r>
          </w:p>
        </w:tc>
      </w:tr>
    </w:tbl>
    <w:p w14:paraId="30A9E42F" w14:textId="77777777" w:rsidR="00561B22" w:rsidRPr="00652F10" w:rsidRDefault="00561B22" w:rsidP="00561B22">
      <w:pPr>
        <w:pStyle w:val="Textoindependiente"/>
        <w:ind w:right="-50"/>
        <w:jc w:val="both"/>
        <w:rPr>
          <w:rFonts w:ascii="Arial" w:hAnsi="Arial" w:cs="Arial"/>
          <w:b/>
          <w:bCs/>
        </w:rPr>
      </w:pPr>
    </w:p>
    <w:p w14:paraId="00A3B8C4" w14:textId="77777777" w:rsidR="00561B22" w:rsidRPr="00652F10" w:rsidRDefault="00561B22" w:rsidP="00561B22">
      <w:pPr>
        <w:pStyle w:val="Textoindependiente"/>
        <w:ind w:right="-50"/>
        <w:jc w:val="both"/>
        <w:rPr>
          <w:rFonts w:ascii="Arial" w:hAnsi="Arial" w:cs="Arial"/>
          <w:b/>
          <w:bCs/>
        </w:rPr>
      </w:pPr>
      <w:r w:rsidRPr="00652F10">
        <w:rPr>
          <w:rFonts w:ascii="Arial" w:hAnsi="Arial" w:cs="Arial"/>
          <w:b/>
          <w:bCs/>
        </w:rPr>
        <w:t>Del informe enviado retomamos lo siguiente:</w:t>
      </w:r>
    </w:p>
    <w:p w14:paraId="23F3FAF1" w14:textId="77777777" w:rsidR="00561B22" w:rsidRPr="00652F1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52F10" w14:paraId="5830861B" w14:textId="77777777" w:rsidTr="00F1223B">
        <w:tc>
          <w:tcPr>
            <w:tcW w:w="562" w:type="dxa"/>
          </w:tcPr>
          <w:p w14:paraId="61EEAAD2" w14:textId="77777777" w:rsidR="00561B22" w:rsidRPr="00652F10" w:rsidRDefault="00561B22" w:rsidP="00F1223B">
            <w:pPr>
              <w:ind w:right="-109"/>
              <w:jc w:val="center"/>
              <w:rPr>
                <w:rFonts w:ascii="Arial" w:hAnsi="Arial" w:cs="Arial"/>
                <w:b/>
                <w:sz w:val="22"/>
                <w:szCs w:val="22"/>
                <w:lang w:val="es-MX"/>
              </w:rPr>
            </w:pPr>
            <w:r w:rsidRPr="00652F10">
              <w:rPr>
                <w:rFonts w:ascii="Arial" w:hAnsi="Arial" w:cs="Arial"/>
                <w:b/>
                <w:sz w:val="22"/>
                <w:szCs w:val="22"/>
                <w:lang w:val="es-MX"/>
              </w:rPr>
              <w:t>N°</w:t>
            </w:r>
          </w:p>
        </w:tc>
        <w:tc>
          <w:tcPr>
            <w:tcW w:w="9400" w:type="dxa"/>
          </w:tcPr>
          <w:p w14:paraId="1C1C1345" w14:textId="77777777" w:rsidR="00561B22" w:rsidRPr="00652F10" w:rsidRDefault="00561B22" w:rsidP="00F1223B">
            <w:pPr>
              <w:jc w:val="center"/>
              <w:rPr>
                <w:rFonts w:ascii="Arial" w:hAnsi="Arial" w:cs="Arial"/>
                <w:b/>
                <w:sz w:val="22"/>
                <w:szCs w:val="22"/>
                <w:lang w:val="es-MX"/>
              </w:rPr>
            </w:pPr>
            <w:r w:rsidRPr="00652F10">
              <w:rPr>
                <w:rFonts w:ascii="Arial" w:hAnsi="Arial" w:cs="Arial"/>
                <w:b/>
                <w:sz w:val="22"/>
                <w:szCs w:val="22"/>
                <w:lang w:val="es-MX"/>
              </w:rPr>
              <w:t>DEBILIDADES</w:t>
            </w:r>
          </w:p>
          <w:p w14:paraId="7C1BF91B" w14:textId="77777777" w:rsidR="00561B22" w:rsidRPr="00652F10" w:rsidRDefault="00561B22" w:rsidP="00F1223B">
            <w:pPr>
              <w:jc w:val="center"/>
              <w:rPr>
                <w:rFonts w:ascii="Arial" w:hAnsi="Arial" w:cs="Arial"/>
                <w:b/>
                <w:sz w:val="22"/>
                <w:szCs w:val="22"/>
                <w:lang w:val="es-MX"/>
              </w:rPr>
            </w:pPr>
          </w:p>
        </w:tc>
      </w:tr>
      <w:tr w:rsidR="00561B22" w:rsidRPr="00652F10" w14:paraId="3BEED057" w14:textId="77777777" w:rsidTr="00F1223B">
        <w:tc>
          <w:tcPr>
            <w:tcW w:w="562" w:type="dxa"/>
          </w:tcPr>
          <w:p w14:paraId="5895990B" w14:textId="77777777" w:rsidR="00561B22" w:rsidRPr="00652F10" w:rsidRDefault="00561B22" w:rsidP="00F1223B">
            <w:pPr>
              <w:jc w:val="center"/>
              <w:rPr>
                <w:rFonts w:ascii="Arial" w:hAnsi="Arial" w:cs="Arial"/>
                <w:b/>
                <w:sz w:val="22"/>
                <w:szCs w:val="22"/>
                <w:lang w:val="es-MX"/>
              </w:rPr>
            </w:pPr>
            <w:r w:rsidRPr="00652F10">
              <w:rPr>
                <w:rFonts w:ascii="Arial" w:hAnsi="Arial" w:cs="Arial"/>
                <w:b/>
                <w:sz w:val="22"/>
                <w:szCs w:val="22"/>
                <w:lang w:val="es-MX"/>
              </w:rPr>
              <w:t>1</w:t>
            </w:r>
          </w:p>
        </w:tc>
        <w:tc>
          <w:tcPr>
            <w:tcW w:w="9400" w:type="dxa"/>
          </w:tcPr>
          <w:p w14:paraId="7E1D0FA9" w14:textId="77777777" w:rsidR="00561B22" w:rsidRPr="00652F10" w:rsidRDefault="00561B22" w:rsidP="00F1223B">
            <w:pPr>
              <w:pStyle w:val="TableParagraph"/>
              <w:spacing w:before="1" w:line="256" w:lineRule="auto"/>
              <w:ind w:left="30"/>
              <w:jc w:val="both"/>
              <w:rPr>
                <w:b/>
                <w:sz w:val="22"/>
                <w:szCs w:val="22"/>
                <w:lang w:val="es-MX"/>
              </w:rPr>
            </w:pPr>
            <w:r w:rsidRPr="00652F10">
              <w:rPr>
                <w:sz w:val="22"/>
                <w:szCs w:val="22"/>
              </w:rPr>
              <w:t>Muy esporádicamente, se presenta alguna debilidad.</w:t>
            </w:r>
            <w:r w:rsidRPr="00652F10">
              <w:rPr>
                <w:spacing w:val="-2"/>
                <w:sz w:val="22"/>
                <w:szCs w:val="22"/>
              </w:rPr>
              <w:t xml:space="preserve"> </w:t>
            </w:r>
          </w:p>
        </w:tc>
      </w:tr>
      <w:tr w:rsidR="00561B22" w:rsidRPr="00652F10" w14:paraId="0420C8D8" w14:textId="77777777" w:rsidTr="00F1223B">
        <w:tc>
          <w:tcPr>
            <w:tcW w:w="562" w:type="dxa"/>
          </w:tcPr>
          <w:p w14:paraId="53BB5C84" w14:textId="77777777" w:rsidR="00561B22" w:rsidRPr="00652F10" w:rsidRDefault="00561B22" w:rsidP="00F1223B">
            <w:pPr>
              <w:jc w:val="center"/>
              <w:rPr>
                <w:rFonts w:ascii="Arial" w:hAnsi="Arial" w:cs="Arial"/>
                <w:b/>
                <w:sz w:val="22"/>
                <w:szCs w:val="22"/>
                <w:lang w:val="es-MX"/>
              </w:rPr>
            </w:pPr>
            <w:r w:rsidRPr="00652F10">
              <w:rPr>
                <w:rFonts w:ascii="Arial" w:hAnsi="Arial" w:cs="Arial"/>
                <w:b/>
                <w:sz w:val="22"/>
                <w:szCs w:val="22"/>
                <w:lang w:val="es-MX"/>
              </w:rPr>
              <w:t>2</w:t>
            </w:r>
          </w:p>
        </w:tc>
        <w:tc>
          <w:tcPr>
            <w:tcW w:w="9400" w:type="dxa"/>
          </w:tcPr>
          <w:p w14:paraId="55D915A9" w14:textId="77777777" w:rsidR="00561B22" w:rsidRPr="00652F10" w:rsidRDefault="00561B22" w:rsidP="00F1223B">
            <w:pPr>
              <w:pStyle w:val="TableParagraph"/>
              <w:spacing w:before="1" w:line="256" w:lineRule="auto"/>
              <w:ind w:left="30"/>
              <w:jc w:val="both"/>
              <w:rPr>
                <w:b/>
                <w:sz w:val="22"/>
                <w:szCs w:val="22"/>
                <w:lang w:val="es-MX"/>
              </w:rPr>
            </w:pPr>
            <w:r w:rsidRPr="00652F10">
              <w:rPr>
                <w:sz w:val="22"/>
                <w:szCs w:val="22"/>
              </w:rPr>
              <w:t>Se</w:t>
            </w:r>
            <w:r w:rsidRPr="00652F10">
              <w:rPr>
                <w:spacing w:val="-2"/>
                <w:sz w:val="22"/>
                <w:szCs w:val="22"/>
              </w:rPr>
              <w:t xml:space="preserve"> </w:t>
            </w:r>
            <w:r w:rsidRPr="00652F10">
              <w:rPr>
                <w:sz w:val="22"/>
                <w:szCs w:val="22"/>
              </w:rPr>
              <w:t>revisan</w:t>
            </w:r>
            <w:r w:rsidRPr="00652F10">
              <w:rPr>
                <w:spacing w:val="-3"/>
                <w:sz w:val="22"/>
                <w:szCs w:val="22"/>
              </w:rPr>
              <w:t xml:space="preserve"> </w:t>
            </w:r>
            <w:r w:rsidRPr="00652F10">
              <w:rPr>
                <w:sz w:val="22"/>
                <w:szCs w:val="22"/>
              </w:rPr>
              <w:t>los</w:t>
            </w:r>
            <w:r w:rsidRPr="00652F10">
              <w:rPr>
                <w:spacing w:val="-2"/>
                <w:sz w:val="22"/>
                <w:szCs w:val="22"/>
              </w:rPr>
              <w:t xml:space="preserve"> </w:t>
            </w:r>
            <w:r w:rsidRPr="00652F10">
              <w:rPr>
                <w:sz w:val="22"/>
                <w:szCs w:val="22"/>
              </w:rPr>
              <w:t>procedimientos</w:t>
            </w:r>
            <w:r w:rsidRPr="00652F10">
              <w:rPr>
                <w:spacing w:val="-2"/>
                <w:sz w:val="22"/>
                <w:szCs w:val="22"/>
              </w:rPr>
              <w:t xml:space="preserve"> </w:t>
            </w:r>
            <w:r w:rsidRPr="00652F10">
              <w:rPr>
                <w:sz w:val="22"/>
                <w:szCs w:val="22"/>
              </w:rPr>
              <w:t>y</w:t>
            </w:r>
            <w:r w:rsidRPr="00652F10">
              <w:rPr>
                <w:spacing w:val="-2"/>
                <w:sz w:val="22"/>
                <w:szCs w:val="22"/>
              </w:rPr>
              <w:t xml:space="preserve"> </w:t>
            </w:r>
            <w:r w:rsidRPr="00652F10">
              <w:rPr>
                <w:sz w:val="22"/>
                <w:szCs w:val="22"/>
              </w:rPr>
              <w:t xml:space="preserve">se ajustan de acuerdo a las necesidades de la </w:t>
            </w:r>
            <w:r w:rsidRPr="00652F10">
              <w:rPr>
                <w:spacing w:val="-2"/>
                <w:sz w:val="22"/>
                <w:szCs w:val="22"/>
              </w:rPr>
              <w:t>entidad.</w:t>
            </w:r>
          </w:p>
        </w:tc>
      </w:tr>
    </w:tbl>
    <w:p w14:paraId="78C5AEC7" w14:textId="77777777" w:rsidR="00561B22" w:rsidRPr="00652F1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52F10" w14:paraId="417A8B2E" w14:textId="77777777" w:rsidTr="00F1223B">
        <w:tc>
          <w:tcPr>
            <w:tcW w:w="562" w:type="dxa"/>
          </w:tcPr>
          <w:p w14:paraId="52CEFDDB" w14:textId="77777777" w:rsidR="00561B22" w:rsidRPr="00652F10" w:rsidRDefault="00561B22" w:rsidP="00F1223B">
            <w:pPr>
              <w:ind w:right="-109"/>
              <w:jc w:val="center"/>
              <w:rPr>
                <w:rFonts w:ascii="Arial" w:hAnsi="Arial" w:cs="Arial"/>
                <w:b/>
                <w:sz w:val="22"/>
                <w:szCs w:val="22"/>
                <w:lang w:val="es-MX"/>
              </w:rPr>
            </w:pPr>
            <w:r w:rsidRPr="00652F10">
              <w:rPr>
                <w:rFonts w:ascii="Arial" w:hAnsi="Arial" w:cs="Arial"/>
                <w:b/>
                <w:sz w:val="22"/>
                <w:szCs w:val="22"/>
                <w:lang w:val="es-MX"/>
              </w:rPr>
              <w:t>N°</w:t>
            </w:r>
          </w:p>
        </w:tc>
        <w:tc>
          <w:tcPr>
            <w:tcW w:w="9400" w:type="dxa"/>
          </w:tcPr>
          <w:p w14:paraId="69ED943F" w14:textId="77777777" w:rsidR="00561B22" w:rsidRPr="00652F10" w:rsidRDefault="00561B22" w:rsidP="00F1223B">
            <w:pPr>
              <w:jc w:val="center"/>
              <w:rPr>
                <w:rFonts w:ascii="Arial" w:hAnsi="Arial" w:cs="Arial"/>
                <w:b/>
                <w:sz w:val="22"/>
                <w:szCs w:val="22"/>
                <w:lang w:val="es-MX"/>
              </w:rPr>
            </w:pPr>
            <w:r w:rsidRPr="00652F10">
              <w:rPr>
                <w:rFonts w:ascii="Arial" w:hAnsi="Arial" w:cs="Arial"/>
                <w:b/>
                <w:sz w:val="22"/>
                <w:szCs w:val="22"/>
                <w:lang w:val="es-MX"/>
              </w:rPr>
              <w:t>RECOMENDACIONES</w:t>
            </w:r>
          </w:p>
          <w:p w14:paraId="5A5D1EFC" w14:textId="77777777" w:rsidR="00561B22" w:rsidRPr="00652F10" w:rsidRDefault="00561B22" w:rsidP="00F1223B">
            <w:pPr>
              <w:jc w:val="center"/>
              <w:rPr>
                <w:rFonts w:ascii="Arial" w:hAnsi="Arial" w:cs="Arial"/>
                <w:b/>
                <w:sz w:val="22"/>
                <w:szCs w:val="22"/>
                <w:lang w:val="es-MX"/>
              </w:rPr>
            </w:pPr>
          </w:p>
        </w:tc>
      </w:tr>
      <w:tr w:rsidR="00561B22" w:rsidRPr="00652F10" w14:paraId="19D0B9A0" w14:textId="77777777" w:rsidTr="00F1223B">
        <w:tc>
          <w:tcPr>
            <w:tcW w:w="562" w:type="dxa"/>
          </w:tcPr>
          <w:p w14:paraId="153A3131" w14:textId="77777777" w:rsidR="00561B22" w:rsidRPr="00652F10" w:rsidRDefault="00561B22" w:rsidP="00F1223B">
            <w:pPr>
              <w:jc w:val="center"/>
              <w:rPr>
                <w:rFonts w:ascii="Arial" w:hAnsi="Arial" w:cs="Arial"/>
                <w:b/>
                <w:sz w:val="22"/>
                <w:szCs w:val="22"/>
                <w:lang w:val="es-MX"/>
              </w:rPr>
            </w:pPr>
            <w:r w:rsidRPr="00652F10">
              <w:rPr>
                <w:rFonts w:ascii="Arial" w:hAnsi="Arial" w:cs="Arial"/>
                <w:b/>
                <w:sz w:val="22"/>
                <w:szCs w:val="22"/>
                <w:lang w:val="es-MX"/>
              </w:rPr>
              <w:t>1</w:t>
            </w:r>
          </w:p>
        </w:tc>
        <w:tc>
          <w:tcPr>
            <w:tcW w:w="9400" w:type="dxa"/>
          </w:tcPr>
          <w:p w14:paraId="747DD13B" w14:textId="77777777" w:rsidR="00561B22" w:rsidRPr="00652F10" w:rsidRDefault="00561B22" w:rsidP="00F1223B">
            <w:pPr>
              <w:pStyle w:val="TableParagraph"/>
              <w:spacing w:line="256" w:lineRule="auto"/>
              <w:ind w:left="30"/>
              <w:jc w:val="both"/>
              <w:rPr>
                <w:b/>
                <w:sz w:val="22"/>
                <w:szCs w:val="22"/>
                <w:lang w:val="es-MX"/>
              </w:rPr>
            </w:pPr>
            <w:r w:rsidRPr="00652F10">
              <w:rPr>
                <w:sz w:val="22"/>
                <w:szCs w:val="22"/>
              </w:rPr>
              <w:t>Verificar y mantener siempre los controles adecuados</w:t>
            </w:r>
            <w:r w:rsidRPr="00652F10">
              <w:rPr>
                <w:spacing w:val="40"/>
                <w:sz w:val="22"/>
                <w:szCs w:val="22"/>
              </w:rPr>
              <w:t xml:space="preserve"> </w:t>
            </w:r>
            <w:r w:rsidRPr="00652F10">
              <w:rPr>
                <w:sz w:val="22"/>
                <w:szCs w:val="22"/>
              </w:rPr>
              <w:t>para</w:t>
            </w:r>
            <w:r w:rsidRPr="00652F10">
              <w:rPr>
                <w:spacing w:val="-2"/>
                <w:sz w:val="22"/>
                <w:szCs w:val="22"/>
              </w:rPr>
              <w:t xml:space="preserve"> </w:t>
            </w:r>
            <w:r w:rsidRPr="00652F10">
              <w:rPr>
                <w:sz w:val="22"/>
                <w:szCs w:val="22"/>
              </w:rPr>
              <w:t>el</w:t>
            </w:r>
            <w:r w:rsidRPr="00652F10">
              <w:rPr>
                <w:spacing w:val="-3"/>
                <w:sz w:val="22"/>
                <w:szCs w:val="22"/>
              </w:rPr>
              <w:t xml:space="preserve"> </w:t>
            </w:r>
            <w:r w:rsidRPr="00652F10">
              <w:rPr>
                <w:sz w:val="22"/>
                <w:szCs w:val="22"/>
              </w:rPr>
              <w:t>registro</w:t>
            </w:r>
            <w:r w:rsidRPr="00652F10">
              <w:rPr>
                <w:spacing w:val="-3"/>
                <w:sz w:val="22"/>
                <w:szCs w:val="22"/>
              </w:rPr>
              <w:t xml:space="preserve"> </w:t>
            </w:r>
            <w:r w:rsidRPr="00652F10">
              <w:rPr>
                <w:sz w:val="22"/>
                <w:szCs w:val="22"/>
              </w:rPr>
              <w:t>oportuno</w:t>
            </w:r>
            <w:r w:rsidRPr="00652F10">
              <w:rPr>
                <w:spacing w:val="-3"/>
                <w:sz w:val="22"/>
                <w:szCs w:val="22"/>
              </w:rPr>
              <w:t xml:space="preserve"> </w:t>
            </w:r>
            <w:r w:rsidRPr="00652F10">
              <w:rPr>
                <w:sz w:val="22"/>
                <w:szCs w:val="22"/>
              </w:rPr>
              <w:t>de</w:t>
            </w:r>
            <w:r w:rsidRPr="00652F10">
              <w:rPr>
                <w:spacing w:val="-2"/>
                <w:sz w:val="22"/>
                <w:szCs w:val="22"/>
              </w:rPr>
              <w:t xml:space="preserve"> </w:t>
            </w:r>
            <w:r w:rsidRPr="00652F10">
              <w:rPr>
                <w:sz w:val="22"/>
                <w:szCs w:val="22"/>
              </w:rPr>
              <w:t>los hechos</w:t>
            </w:r>
            <w:r w:rsidRPr="00652F10">
              <w:rPr>
                <w:spacing w:val="-3"/>
                <w:sz w:val="22"/>
                <w:szCs w:val="22"/>
              </w:rPr>
              <w:t xml:space="preserve"> </w:t>
            </w:r>
            <w:r w:rsidRPr="00652F10">
              <w:rPr>
                <w:sz w:val="22"/>
                <w:szCs w:val="22"/>
              </w:rPr>
              <w:t>económicos</w:t>
            </w:r>
            <w:r w:rsidRPr="00652F10">
              <w:rPr>
                <w:spacing w:val="41"/>
                <w:sz w:val="22"/>
                <w:szCs w:val="22"/>
              </w:rPr>
              <w:t xml:space="preserve"> </w:t>
            </w:r>
            <w:r w:rsidRPr="00652F10">
              <w:rPr>
                <w:sz w:val="22"/>
                <w:szCs w:val="22"/>
              </w:rPr>
              <w:t>de</w:t>
            </w:r>
            <w:r w:rsidRPr="00652F10">
              <w:rPr>
                <w:spacing w:val="-1"/>
                <w:sz w:val="22"/>
                <w:szCs w:val="22"/>
              </w:rPr>
              <w:t xml:space="preserve"> </w:t>
            </w:r>
            <w:r w:rsidRPr="00652F10">
              <w:rPr>
                <w:sz w:val="22"/>
                <w:szCs w:val="22"/>
              </w:rPr>
              <w:t>la</w:t>
            </w:r>
            <w:r w:rsidRPr="00652F10">
              <w:rPr>
                <w:spacing w:val="-1"/>
                <w:sz w:val="22"/>
                <w:szCs w:val="22"/>
              </w:rPr>
              <w:t xml:space="preserve"> </w:t>
            </w:r>
            <w:r w:rsidRPr="00652F10">
              <w:rPr>
                <w:spacing w:val="-2"/>
                <w:sz w:val="22"/>
                <w:szCs w:val="22"/>
              </w:rPr>
              <w:t>entidad.</w:t>
            </w:r>
          </w:p>
        </w:tc>
      </w:tr>
    </w:tbl>
    <w:p w14:paraId="776DE5E5" w14:textId="77777777" w:rsidR="00561B22" w:rsidRPr="00652F10" w:rsidRDefault="00561B22" w:rsidP="00561B22">
      <w:pPr>
        <w:pStyle w:val="Textoindependiente"/>
        <w:ind w:right="-50"/>
        <w:jc w:val="both"/>
        <w:rPr>
          <w:rFonts w:ascii="Arial" w:hAnsi="Arial" w:cs="Arial"/>
          <w:b/>
          <w:bCs/>
        </w:rPr>
      </w:pPr>
    </w:p>
    <w:p w14:paraId="4E1979ED" w14:textId="77777777" w:rsidR="00561B22" w:rsidRDefault="00561B22" w:rsidP="00561B22">
      <w:pPr>
        <w:pStyle w:val="Prrafodelista"/>
        <w:ind w:left="0"/>
        <w:rPr>
          <w:b/>
          <w:sz w:val="28"/>
          <w:szCs w:val="28"/>
        </w:rPr>
      </w:pPr>
      <w:r>
        <w:rPr>
          <w:rFonts w:ascii="Arial" w:hAnsi="Arial" w:cs="Arial"/>
          <w:b/>
          <w:sz w:val="28"/>
          <w:szCs w:val="28"/>
          <w:lang w:val="es-MX"/>
        </w:rPr>
        <w:t>226.- UNIVERSIDAD NACIONAL DE COLOMBIA.</w:t>
      </w:r>
    </w:p>
    <w:p w14:paraId="42675D21" w14:textId="77777777" w:rsidR="00561B22" w:rsidRPr="00652F10" w:rsidRDefault="00561B22" w:rsidP="00561B22">
      <w:pPr>
        <w:pStyle w:val="Textoindependiente"/>
        <w:tabs>
          <w:tab w:val="left" w:pos="2055"/>
        </w:tabs>
        <w:spacing w:before="5"/>
        <w:jc w:val="both"/>
        <w:rPr>
          <w:rFonts w:ascii="Arial" w:hAnsi="Arial" w:cs="Arial"/>
          <w:sz w:val="24"/>
          <w:szCs w:val="24"/>
        </w:rPr>
      </w:pPr>
    </w:p>
    <w:p w14:paraId="126C8146" w14:textId="77777777" w:rsidR="00561B22" w:rsidRPr="006927F5" w:rsidRDefault="00561B22" w:rsidP="00561B22">
      <w:pPr>
        <w:pStyle w:val="Textoindependiente"/>
        <w:ind w:right="-50"/>
        <w:jc w:val="center"/>
        <w:rPr>
          <w:rFonts w:ascii="Arial" w:hAnsi="Arial" w:cs="Arial"/>
          <w:b/>
          <w:bCs/>
        </w:rPr>
      </w:pPr>
      <w:r w:rsidRPr="006927F5">
        <w:rPr>
          <w:rFonts w:ascii="Arial" w:hAnsi="Arial" w:cs="Arial"/>
          <w:b/>
          <w:bCs/>
        </w:rPr>
        <w:t>INFORME DE LA AUTOCALIFICACIÓN DEL SISTEMA DE CONTROL INTERNO CONTABLE:</w:t>
      </w:r>
    </w:p>
    <w:p w14:paraId="67A81C70" w14:textId="77777777" w:rsidR="00561B22" w:rsidRPr="006927F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927F5" w14:paraId="7D5F8877" w14:textId="77777777" w:rsidTr="00F1223B">
        <w:tc>
          <w:tcPr>
            <w:tcW w:w="4981" w:type="dxa"/>
          </w:tcPr>
          <w:p w14:paraId="3757F5DD"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AUTOCALIFICACIÓN</w:t>
            </w:r>
          </w:p>
        </w:tc>
        <w:tc>
          <w:tcPr>
            <w:tcW w:w="4981" w:type="dxa"/>
          </w:tcPr>
          <w:p w14:paraId="447FFED2" w14:textId="77777777" w:rsidR="00561B22" w:rsidRPr="006927F5" w:rsidRDefault="00561B22" w:rsidP="00F1223B">
            <w:pPr>
              <w:jc w:val="center"/>
              <w:rPr>
                <w:rFonts w:ascii="Arial" w:hAnsi="Arial" w:cs="Arial"/>
                <w:b/>
                <w:sz w:val="22"/>
                <w:szCs w:val="22"/>
                <w:u w:val="single"/>
                <w:lang w:val="es-MX"/>
              </w:rPr>
            </w:pPr>
            <w:r w:rsidRPr="006927F5">
              <w:rPr>
                <w:rFonts w:ascii="Arial" w:hAnsi="Arial" w:cs="Arial"/>
                <w:b/>
                <w:sz w:val="22"/>
                <w:szCs w:val="22"/>
                <w:u w:val="single"/>
                <w:lang w:val="es-MX"/>
              </w:rPr>
              <w:t>4.82</w:t>
            </w:r>
          </w:p>
        </w:tc>
      </w:tr>
    </w:tbl>
    <w:p w14:paraId="550336B0" w14:textId="77777777" w:rsidR="00561B22" w:rsidRPr="006927F5" w:rsidRDefault="00561B22" w:rsidP="00561B22">
      <w:pPr>
        <w:pStyle w:val="Textoindependiente"/>
        <w:ind w:right="-50"/>
        <w:jc w:val="both"/>
        <w:rPr>
          <w:rFonts w:ascii="Arial" w:hAnsi="Arial" w:cs="Arial"/>
          <w:b/>
          <w:bCs/>
        </w:rPr>
      </w:pPr>
    </w:p>
    <w:p w14:paraId="7755E8B5" w14:textId="77777777" w:rsidR="00561B22" w:rsidRPr="006927F5" w:rsidRDefault="00561B22" w:rsidP="00561B22">
      <w:pPr>
        <w:pStyle w:val="Textoindependiente"/>
        <w:ind w:right="-50"/>
        <w:jc w:val="both"/>
        <w:rPr>
          <w:rFonts w:ascii="Arial" w:hAnsi="Arial" w:cs="Arial"/>
          <w:b/>
          <w:bCs/>
        </w:rPr>
      </w:pPr>
      <w:r w:rsidRPr="006927F5">
        <w:rPr>
          <w:rFonts w:ascii="Arial" w:hAnsi="Arial" w:cs="Arial"/>
          <w:b/>
          <w:bCs/>
        </w:rPr>
        <w:t>Del informe enviado retomamos lo siguiente:</w:t>
      </w:r>
    </w:p>
    <w:p w14:paraId="35CD61BD" w14:textId="77777777" w:rsidR="00561B22" w:rsidRPr="006927F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927F5" w14:paraId="7CD3ED16" w14:textId="77777777" w:rsidTr="00F1223B">
        <w:tc>
          <w:tcPr>
            <w:tcW w:w="562" w:type="dxa"/>
          </w:tcPr>
          <w:p w14:paraId="232B5E69" w14:textId="77777777" w:rsidR="00561B22" w:rsidRPr="006927F5" w:rsidRDefault="00561B22" w:rsidP="00F1223B">
            <w:pPr>
              <w:ind w:right="-109"/>
              <w:jc w:val="center"/>
              <w:rPr>
                <w:rFonts w:ascii="Arial" w:hAnsi="Arial" w:cs="Arial"/>
                <w:b/>
                <w:sz w:val="22"/>
                <w:szCs w:val="22"/>
                <w:lang w:val="es-MX"/>
              </w:rPr>
            </w:pPr>
            <w:r w:rsidRPr="006927F5">
              <w:rPr>
                <w:rFonts w:ascii="Arial" w:hAnsi="Arial" w:cs="Arial"/>
                <w:b/>
                <w:sz w:val="22"/>
                <w:szCs w:val="22"/>
                <w:lang w:val="es-MX"/>
              </w:rPr>
              <w:t>N°</w:t>
            </w:r>
          </w:p>
        </w:tc>
        <w:tc>
          <w:tcPr>
            <w:tcW w:w="9400" w:type="dxa"/>
          </w:tcPr>
          <w:p w14:paraId="51D1B850"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DEBILIDADES</w:t>
            </w:r>
          </w:p>
          <w:p w14:paraId="7598AA8E" w14:textId="77777777" w:rsidR="00561B22" w:rsidRPr="006927F5" w:rsidRDefault="00561B22" w:rsidP="00F1223B">
            <w:pPr>
              <w:jc w:val="center"/>
              <w:rPr>
                <w:rFonts w:ascii="Arial" w:hAnsi="Arial" w:cs="Arial"/>
                <w:b/>
                <w:sz w:val="22"/>
                <w:szCs w:val="22"/>
                <w:lang w:val="es-MX"/>
              </w:rPr>
            </w:pPr>
          </w:p>
        </w:tc>
      </w:tr>
      <w:tr w:rsidR="00561B22" w:rsidRPr="006927F5" w14:paraId="414CDE56" w14:textId="77777777" w:rsidTr="00F1223B">
        <w:tc>
          <w:tcPr>
            <w:tcW w:w="562" w:type="dxa"/>
          </w:tcPr>
          <w:p w14:paraId="693B6D96"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1</w:t>
            </w:r>
          </w:p>
        </w:tc>
        <w:tc>
          <w:tcPr>
            <w:tcW w:w="9400" w:type="dxa"/>
          </w:tcPr>
          <w:p w14:paraId="27E7F26E" w14:textId="77777777" w:rsidR="00561B22" w:rsidRPr="006927F5" w:rsidRDefault="00561B22" w:rsidP="00F1223B">
            <w:pPr>
              <w:jc w:val="both"/>
              <w:rPr>
                <w:rFonts w:ascii="Arial" w:eastAsia="Times New Roman" w:hAnsi="Arial" w:cs="Arial"/>
                <w:sz w:val="22"/>
                <w:szCs w:val="22"/>
              </w:rPr>
            </w:pPr>
            <w:r w:rsidRPr="006927F5">
              <w:rPr>
                <w:rFonts w:ascii="Arial" w:eastAsia="Times New Roman" w:hAnsi="Arial" w:cs="Arial"/>
                <w:sz w:val="22"/>
                <w:szCs w:val="22"/>
              </w:rPr>
              <w:t xml:space="preserve">En la evaluación realizada a la Gestión Financiera de la Universidad en la vigencia 2024, se observó: </w:t>
            </w:r>
          </w:p>
          <w:p w14:paraId="084C1EC3" w14:textId="77777777" w:rsidR="00561B22" w:rsidRPr="006927F5" w:rsidRDefault="00561B22" w:rsidP="00F1223B">
            <w:pPr>
              <w:jc w:val="both"/>
              <w:rPr>
                <w:rFonts w:ascii="Arial" w:eastAsia="Times New Roman" w:hAnsi="Arial" w:cs="Arial"/>
                <w:sz w:val="22"/>
                <w:szCs w:val="22"/>
              </w:rPr>
            </w:pPr>
          </w:p>
          <w:p w14:paraId="6B44C62D" w14:textId="77777777" w:rsidR="00561B22" w:rsidRPr="006927F5" w:rsidRDefault="00561B22" w:rsidP="00561B22">
            <w:pPr>
              <w:pStyle w:val="Prrafodelista"/>
              <w:numPr>
                <w:ilvl w:val="0"/>
                <w:numId w:val="115"/>
              </w:numPr>
              <w:spacing w:before="1"/>
              <w:jc w:val="both"/>
              <w:rPr>
                <w:rFonts w:ascii="Arial" w:eastAsia="Times New Roman" w:hAnsi="Arial" w:cs="Arial"/>
                <w:sz w:val="22"/>
                <w:szCs w:val="22"/>
              </w:rPr>
            </w:pPr>
            <w:r w:rsidRPr="006927F5">
              <w:rPr>
                <w:rFonts w:ascii="Arial" w:eastAsia="Times New Roman" w:hAnsi="Arial" w:cs="Arial"/>
                <w:sz w:val="22"/>
                <w:szCs w:val="22"/>
              </w:rPr>
              <w:t xml:space="preserve">Debilidades en la administración de recursos de liquidez, </w:t>
            </w:r>
          </w:p>
          <w:p w14:paraId="4873940C" w14:textId="77777777" w:rsidR="00561B22" w:rsidRPr="006927F5" w:rsidRDefault="00561B22" w:rsidP="00561B22">
            <w:pPr>
              <w:pStyle w:val="Prrafodelista"/>
              <w:numPr>
                <w:ilvl w:val="0"/>
                <w:numId w:val="115"/>
              </w:numPr>
              <w:spacing w:before="1"/>
              <w:jc w:val="both"/>
              <w:rPr>
                <w:rFonts w:ascii="Arial" w:eastAsia="Times New Roman" w:hAnsi="Arial" w:cs="Arial"/>
                <w:sz w:val="22"/>
                <w:szCs w:val="22"/>
              </w:rPr>
            </w:pPr>
            <w:r w:rsidRPr="006927F5">
              <w:rPr>
                <w:rFonts w:ascii="Arial" w:eastAsia="Times New Roman" w:hAnsi="Arial" w:cs="Arial"/>
                <w:sz w:val="22"/>
                <w:szCs w:val="22"/>
              </w:rPr>
              <w:t xml:space="preserve">Incumplimiento del marco normativo relacionado con la gestión de cartera de la Sede Caribe y </w:t>
            </w:r>
          </w:p>
          <w:p w14:paraId="15037930" w14:textId="77777777" w:rsidR="00561B22" w:rsidRPr="006927F5" w:rsidRDefault="00561B22" w:rsidP="00561B22">
            <w:pPr>
              <w:pStyle w:val="Prrafodelista"/>
              <w:numPr>
                <w:ilvl w:val="0"/>
                <w:numId w:val="115"/>
              </w:numPr>
              <w:spacing w:before="1"/>
              <w:jc w:val="both"/>
              <w:rPr>
                <w:rFonts w:ascii="Arial" w:eastAsia="Times New Roman" w:hAnsi="Arial" w:cs="Arial"/>
                <w:sz w:val="22"/>
                <w:szCs w:val="22"/>
              </w:rPr>
            </w:pPr>
            <w:r w:rsidRPr="006927F5">
              <w:rPr>
                <w:rFonts w:ascii="Arial" w:eastAsia="Times New Roman" w:hAnsi="Arial" w:cs="Arial"/>
                <w:sz w:val="22"/>
                <w:szCs w:val="22"/>
              </w:rPr>
              <w:t>Si bien se presentaron avances en las actividades del proyecto de inversión BPUN 614 - C5, objetivo E3-P1-O38-OC “Desarrollar e implementar una solución informática (Producto mínimo viable) para la gestión de los recibos de pago de matrícula y derechos de grado (...)”, se continúan presentando dificultades en las conciliaciones de ingresos por concepto de matrículas, principalmente en las sedes Bogotá y Medellín, en razón a las debilidades de los reportes emitidos por el Sistema de Información UNIVERSITAS XXI, situación que fue identificada por la ONCI desde la vigencia 2018.</w:t>
            </w:r>
          </w:p>
        </w:tc>
      </w:tr>
      <w:tr w:rsidR="00561B22" w:rsidRPr="006927F5" w14:paraId="7D60C921" w14:textId="77777777" w:rsidTr="00F1223B">
        <w:tc>
          <w:tcPr>
            <w:tcW w:w="562" w:type="dxa"/>
          </w:tcPr>
          <w:p w14:paraId="3CFA500D"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lastRenderedPageBreak/>
              <w:t>2</w:t>
            </w:r>
          </w:p>
        </w:tc>
        <w:tc>
          <w:tcPr>
            <w:tcW w:w="9400" w:type="dxa"/>
          </w:tcPr>
          <w:p w14:paraId="69DDCF26" w14:textId="77777777" w:rsidR="00561B22" w:rsidRPr="006927F5" w:rsidRDefault="00561B22" w:rsidP="00F1223B">
            <w:pPr>
              <w:jc w:val="both"/>
              <w:rPr>
                <w:rFonts w:ascii="Arial" w:eastAsia="Times New Roman" w:hAnsi="Arial" w:cs="Arial"/>
                <w:sz w:val="22"/>
                <w:szCs w:val="22"/>
              </w:rPr>
            </w:pPr>
            <w:r w:rsidRPr="006927F5">
              <w:rPr>
                <w:rFonts w:ascii="Arial" w:eastAsia="Times New Roman" w:hAnsi="Arial" w:cs="Arial"/>
                <w:sz w:val="22"/>
                <w:szCs w:val="22"/>
              </w:rPr>
              <w:t>La estructura organizacional de las sedes de presencia nacional es limitada, lo que dificulta la conformación de las plantas de cargos de las áreas financieras y contables.</w:t>
            </w:r>
          </w:p>
        </w:tc>
      </w:tr>
      <w:tr w:rsidR="00561B22" w:rsidRPr="006927F5" w14:paraId="09C278F5" w14:textId="77777777" w:rsidTr="00F1223B">
        <w:tc>
          <w:tcPr>
            <w:tcW w:w="562" w:type="dxa"/>
          </w:tcPr>
          <w:p w14:paraId="0510FF83"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3</w:t>
            </w:r>
          </w:p>
        </w:tc>
        <w:tc>
          <w:tcPr>
            <w:tcW w:w="9400" w:type="dxa"/>
          </w:tcPr>
          <w:p w14:paraId="7826F644" w14:textId="77777777" w:rsidR="00561B22" w:rsidRPr="006927F5" w:rsidRDefault="00561B22" w:rsidP="00F1223B">
            <w:pPr>
              <w:jc w:val="both"/>
              <w:rPr>
                <w:rFonts w:ascii="Arial" w:hAnsi="Arial" w:cs="Arial"/>
                <w:b/>
                <w:sz w:val="22"/>
                <w:szCs w:val="22"/>
                <w:lang w:val="es-MX"/>
              </w:rPr>
            </w:pPr>
            <w:r w:rsidRPr="006927F5">
              <w:rPr>
                <w:rFonts w:ascii="Arial" w:eastAsia="Times New Roman" w:hAnsi="Arial" w:cs="Arial"/>
                <w:sz w:val="22"/>
                <w:szCs w:val="22"/>
              </w:rPr>
              <w:t>En relación con el desarrollo de competencias y actualización permanente del personal vinculado a las áreas de gestión contable de la Universidad, se observó que sí bien participaron en capacitaciones durante la vigencia 2024, las mismas no estaban relacionadas con temas contables ni financieros.</w:t>
            </w:r>
          </w:p>
        </w:tc>
      </w:tr>
    </w:tbl>
    <w:p w14:paraId="04A6F200" w14:textId="77777777" w:rsidR="00561B22" w:rsidRPr="006927F5" w:rsidRDefault="00561B22" w:rsidP="00561B22">
      <w:pPr>
        <w:pStyle w:val="Textoindependiente"/>
        <w:ind w:right="-50"/>
        <w:jc w:val="both"/>
        <w:rPr>
          <w:rFonts w:ascii="Arial" w:hAnsi="Arial" w:cs="Arial"/>
          <w:b/>
          <w:bCs/>
        </w:rPr>
      </w:pPr>
    </w:p>
    <w:p w14:paraId="139E96CF" w14:textId="77777777" w:rsidR="00561B22" w:rsidRPr="006927F5" w:rsidRDefault="00561B22" w:rsidP="00561B22">
      <w:pPr>
        <w:jc w:val="both"/>
        <w:rPr>
          <w:rFonts w:ascii="Arial" w:hAnsi="Arial" w:cs="Arial"/>
          <w:b/>
          <w:lang w:val="es-MX"/>
        </w:rPr>
      </w:pPr>
      <w:r w:rsidRPr="006927F5">
        <w:rPr>
          <w:rFonts w:ascii="Arial" w:hAnsi="Arial" w:cs="Arial"/>
          <w:b/>
          <w:lang w:val="es-MX"/>
        </w:rPr>
        <w:t>Del citado informe retomamos las siguientes recomendaciones:</w:t>
      </w:r>
    </w:p>
    <w:p w14:paraId="460C4E81" w14:textId="77777777" w:rsidR="00561B22" w:rsidRPr="006927F5"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6927F5" w14:paraId="5A381447" w14:textId="77777777" w:rsidTr="00F1223B">
        <w:tc>
          <w:tcPr>
            <w:tcW w:w="562" w:type="dxa"/>
          </w:tcPr>
          <w:p w14:paraId="612C7364" w14:textId="77777777" w:rsidR="00561B22" w:rsidRPr="006927F5" w:rsidRDefault="00561B22" w:rsidP="00F1223B">
            <w:pPr>
              <w:ind w:right="-109"/>
              <w:jc w:val="center"/>
              <w:rPr>
                <w:rFonts w:ascii="Arial" w:hAnsi="Arial" w:cs="Arial"/>
                <w:b/>
                <w:sz w:val="22"/>
                <w:szCs w:val="22"/>
                <w:lang w:val="es-MX"/>
              </w:rPr>
            </w:pPr>
            <w:r w:rsidRPr="006927F5">
              <w:rPr>
                <w:rFonts w:ascii="Arial" w:hAnsi="Arial" w:cs="Arial"/>
                <w:b/>
                <w:sz w:val="22"/>
                <w:szCs w:val="22"/>
                <w:lang w:val="es-MX"/>
              </w:rPr>
              <w:t>N°</w:t>
            </w:r>
          </w:p>
        </w:tc>
        <w:tc>
          <w:tcPr>
            <w:tcW w:w="9400" w:type="dxa"/>
          </w:tcPr>
          <w:p w14:paraId="0153BCF1"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RECOMENDACIONES</w:t>
            </w:r>
          </w:p>
          <w:p w14:paraId="04841576" w14:textId="77777777" w:rsidR="00561B22" w:rsidRPr="006927F5" w:rsidRDefault="00561B22" w:rsidP="00F1223B">
            <w:pPr>
              <w:jc w:val="center"/>
              <w:rPr>
                <w:rFonts w:ascii="Arial" w:hAnsi="Arial" w:cs="Arial"/>
                <w:b/>
                <w:sz w:val="22"/>
                <w:szCs w:val="22"/>
                <w:lang w:val="es-MX"/>
              </w:rPr>
            </w:pPr>
          </w:p>
        </w:tc>
      </w:tr>
      <w:tr w:rsidR="00561B22" w:rsidRPr="006927F5" w14:paraId="3F1DD7B4" w14:textId="77777777" w:rsidTr="00F1223B">
        <w:tc>
          <w:tcPr>
            <w:tcW w:w="562" w:type="dxa"/>
          </w:tcPr>
          <w:p w14:paraId="346EC6E9"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1</w:t>
            </w:r>
          </w:p>
        </w:tc>
        <w:tc>
          <w:tcPr>
            <w:tcW w:w="9400" w:type="dxa"/>
          </w:tcPr>
          <w:p w14:paraId="18D1AE71" w14:textId="77777777" w:rsidR="00561B22" w:rsidRPr="006927F5" w:rsidRDefault="00561B22" w:rsidP="00F1223B">
            <w:pPr>
              <w:jc w:val="both"/>
              <w:rPr>
                <w:rFonts w:ascii="Arial" w:hAnsi="Arial" w:cs="Arial"/>
                <w:b/>
                <w:sz w:val="22"/>
                <w:szCs w:val="22"/>
                <w:lang w:val="es-MX"/>
              </w:rPr>
            </w:pPr>
            <w:r w:rsidRPr="006927F5">
              <w:rPr>
                <w:rFonts w:ascii="Arial" w:eastAsia="Times New Roman" w:hAnsi="Arial" w:cs="Arial"/>
                <w:sz w:val="22"/>
                <w:szCs w:val="22"/>
              </w:rPr>
              <w:t>•A la  Vicerrectoría Académica y a la Dirección Nacional de Información Académica, Registro y Matrícula (DINARA), que en el marco del  Plan Global de Desarrollo 2022-2024 y teniendo en cuenta la trascendencia del Proyecto de Inversión BPUN 614 - C5, continuar con el desarrollo de las acciones tendientes a lograr el cumplimiento a cabalidad del objetivo "Desarrollar e implementar una solución informática (Producto mínimo viable) para la gestión de los recibos de pago de matrícula y derechos de grado, que sea modular, flexible, extensible y escalable acorde a las necesidades y requerimientos dinámicos de la UNAL", de tal forma que al 30 de junio de 2025 se disponga de una herramienta tecnológica que facilite el proceso de identificación y conciliación de los ingresos por concepto de matrículas.</w:t>
            </w:r>
          </w:p>
        </w:tc>
      </w:tr>
      <w:tr w:rsidR="00561B22" w:rsidRPr="006927F5" w14:paraId="09E97C29" w14:textId="77777777" w:rsidTr="00F1223B">
        <w:tc>
          <w:tcPr>
            <w:tcW w:w="562" w:type="dxa"/>
          </w:tcPr>
          <w:p w14:paraId="76E8E622"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2</w:t>
            </w:r>
          </w:p>
        </w:tc>
        <w:tc>
          <w:tcPr>
            <w:tcW w:w="9400" w:type="dxa"/>
          </w:tcPr>
          <w:p w14:paraId="5FD1AD12" w14:textId="77777777" w:rsidR="00561B22" w:rsidRPr="006927F5" w:rsidRDefault="00561B22" w:rsidP="00F1223B">
            <w:pPr>
              <w:jc w:val="both"/>
              <w:rPr>
                <w:rFonts w:ascii="Arial" w:eastAsia="Times New Roman" w:hAnsi="Arial" w:cs="Arial"/>
                <w:sz w:val="22"/>
                <w:szCs w:val="22"/>
              </w:rPr>
            </w:pPr>
            <w:r w:rsidRPr="006927F5">
              <w:rPr>
                <w:rFonts w:ascii="Arial" w:eastAsia="Times New Roman" w:hAnsi="Arial" w:cs="Arial"/>
                <w:sz w:val="22"/>
                <w:szCs w:val="22"/>
              </w:rPr>
              <w:t>De igual forma es conveniente que, para la culminación del proyecto BPUN 614 - C5 y la puesta en marcha de la solución informática (PMV), se involucren de una manera más participativa a los distintos actores que realizan las acciones operativas para el registro y conciliación de los recibos de matrículas de pregrado y posgrado en la UNAL.</w:t>
            </w:r>
          </w:p>
        </w:tc>
      </w:tr>
      <w:tr w:rsidR="00561B22" w:rsidRPr="006927F5" w14:paraId="64823C22" w14:textId="77777777" w:rsidTr="00F1223B">
        <w:tc>
          <w:tcPr>
            <w:tcW w:w="562" w:type="dxa"/>
          </w:tcPr>
          <w:p w14:paraId="5D4CE498"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3</w:t>
            </w:r>
          </w:p>
        </w:tc>
        <w:tc>
          <w:tcPr>
            <w:tcW w:w="9400" w:type="dxa"/>
          </w:tcPr>
          <w:p w14:paraId="69EA81CB" w14:textId="77777777" w:rsidR="00561B22" w:rsidRPr="006927F5" w:rsidRDefault="00561B22" w:rsidP="00F1223B">
            <w:pPr>
              <w:jc w:val="both"/>
              <w:rPr>
                <w:rFonts w:ascii="Arial" w:eastAsia="Times New Roman" w:hAnsi="Arial" w:cs="Arial"/>
                <w:sz w:val="22"/>
                <w:szCs w:val="22"/>
              </w:rPr>
            </w:pPr>
            <w:r w:rsidRPr="006927F5">
              <w:rPr>
                <w:rFonts w:ascii="Arial" w:eastAsia="Times New Roman" w:hAnsi="Arial" w:cs="Arial"/>
                <w:sz w:val="22"/>
                <w:szCs w:val="22"/>
              </w:rPr>
              <w:t>A la Dirección de la Sede Caribe, remitir al Comité Técnico de Sostenibilidad Contable aquellas partidas susceptibles de ser objeto de depuración o castigo, con el fin de lograr un saneamiento contable permanente de los estados financieros de la Universidad.</w:t>
            </w:r>
          </w:p>
        </w:tc>
      </w:tr>
      <w:tr w:rsidR="00561B22" w:rsidRPr="006927F5" w14:paraId="6605EDD2" w14:textId="77777777" w:rsidTr="00F1223B">
        <w:tc>
          <w:tcPr>
            <w:tcW w:w="562" w:type="dxa"/>
          </w:tcPr>
          <w:p w14:paraId="7349DA10"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4</w:t>
            </w:r>
          </w:p>
        </w:tc>
        <w:tc>
          <w:tcPr>
            <w:tcW w:w="9400" w:type="dxa"/>
          </w:tcPr>
          <w:p w14:paraId="733F7F5C" w14:textId="77777777" w:rsidR="00561B22" w:rsidRPr="006927F5" w:rsidRDefault="00561B22" w:rsidP="00F1223B">
            <w:pPr>
              <w:jc w:val="both"/>
              <w:rPr>
                <w:rFonts w:ascii="Arial" w:eastAsia="Times New Roman" w:hAnsi="Arial" w:cs="Arial"/>
                <w:sz w:val="22"/>
                <w:szCs w:val="22"/>
              </w:rPr>
            </w:pPr>
            <w:r w:rsidRPr="006927F5">
              <w:rPr>
                <w:rFonts w:ascii="Arial" w:eastAsia="Times New Roman" w:hAnsi="Arial" w:cs="Arial"/>
                <w:sz w:val="22"/>
                <w:szCs w:val="22"/>
              </w:rPr>
              <w:t>Es necesario que las distintas áreas responsables de la administración de los recursos de liquidez (Tesoreros y delegados para inversiones), fortalezcan los procesos de proyección y elaboración de los flujos de caja, con el fin de optimizar los recursos financieros disponibles. Asimismo, es conveniente que la Gerencia Nacional Financiera y Administrativa, en calidad de segunda línea de defensa, efectué un seguimiento más detallado a los excedentes de liquidez que se generan en las distintas sedes.</w:t>
            </w:r>
          </w:p>
        </w:tc>
      </w:tr>
      <w:tr w:rsidR="00561B22" w:rsidRPr="006927F5" w14:paraId="201347DD" w14:textId="77777777" w:rsidTr="00F1223B">
        <w:tc>
          <w:tcPr>
            <w:tcW w:w="562" w:type="dxa"/>
          </w:tcPr>
          <w:p w14:paraId="0C8185CE" w14:textId="77777777" w:rsidR="00561B22" w:rsidRPr="006927F5" w:rsidRDefault="00561B22" w:rsidP="00F1223B">
            <w:pPr>
              <w:jc w:val="center"/>
              <w:rPr>
                <w:rFonts w:ascii="Arial" w:hAnsi="Arial" w:cs="Arial"/>
                <w:b/>
                <w:sz w:val="22"/>
                <w:szCs w:val="22"/>
                <w:lang w:val="es-MX"/>
              </w:rPr>
            </w:pPr>
            <w:r w:rsidRPr="006927F5">
              <w:rPr>
                <w:rFonts w:ascii="Arial" w:hAnsi="Arial" w:cs="Arial"/>
                <w:b/>
                <w:sz w:val="22"/>
                <w:szCs w:val="22"/>
                <w:lang w:val="es-MX"/>
              </w:rPr>
              <w:t>5</w:t>
            </w:r>
          </w:p>
        </w:tc>
        <w:tc>
          <w:tcPr>
            <w:tcW w:w="9400" w:type="dxa"/>
          </w:tcPr>
          <w:p w14:paraId="5FF6F49E" w14:textId="77777777" w:rsidR="00561B22" w:rsidRPr="006927F5" w:rsidRDefault="00561B22" w:rsidP="00F1223B">
            <w:pPr>
              <w:jc w:val="both"/>
              <w:rPr>
                <w:rFonts w:ascii="Arial" w:hAnsi="Arial" w:cs="Arial"/>
                <w:b/>
                <w:sz w:val="22"/>
                <w:szCs w:val="22"/>
                <w:lang w:val="es-MX"/>
              </w:rPr>
            </w:pPr>
            <w:r w:rsidRPr="006927F5">
              <w:rPr>
                <w:rFonts w:ascii="Arial" w:eastAsia="Times New Roman" w:hAnsi="Arial" w:cs="Arial"/>
                <w:sz w:val="22"/>
                <w:szCs w:val="22"/>
              </w:rPr>
              <w:t>Es conveniente que, en el proceso de identificación de necesidades de capacitación de las áreas contables, se propongan temáticas asociadas directamente a los procesos contables y financieros, de tal forma que estas sean incorporadas en el plan de capacitación de la Universidad y de esa manera contribuyan al fortalecimiento de las habilidades y competencias propias del personal vinculado al proceso de gestión contable.</w:t>
            </w:r>
          </w:p>
        </w:tc>
      </w:tr>
    </w:tbl>
    <w:p w14:paraId="1EB8A36F" w14:textId="77777777" w:rsidR="00561B22" w:rsidRPr="006927F5" w:rsidRDefault="00561B22" w:rsidP="00561B22">
      <w:pPr>
        <w:jc w:val="both"/>
        <w:rPr>
          <w:rFonts w:ascii="Arial" w:hAnsi="Arial" w:cs="Arial"/>
          <w:b/>
          <w:bCs/>
          <w:lang w:val="es-CO"/>
        </w:rPr>
      </w:pPr>
    </w:p>
    <w:p w14:paraId="2C628B01" w14:textId="77777777" w:rsidR="00561B22" w:rsidRPr="006927F5" w:rsidRDefault="00561B22" w:rsidP="00561B22">
      <w:pPr>
        <w:jc w:val="both"/>
        <w:rPr>
          <w:rFonts w:ascii="Arial" w:hAnsi="Arial" w:cs="Arial"/>
          <w:b/>
          <w:bCs/>
          <w:sz w:val="24"/>
          <w:szCs w:val="24"/>
          <w:lang w:val="es-CO"/>
        </w:rPr>
      </w:pPr>
      <w:r w:rsidRPr="006927F5">
        <w:rPr>
          <w:rFonts w:ascii="Arial" w:hAnsi="Arial" w:cs="Arial"/>
          <w:b/>
          <w:bCs/>
          <w:sz w:val="24"/>
          <w:szCs w:val="24"/>
          <w:lang w:val="es-CO"/>
        </w:rPr>
        <w:t xml:space="preserve">NOTA: LA ENTIDAD ENVIA LA MATRIZ DE AUTOEVALUACIÓN DEL SISTEMA DE CONTROL INTERNO CONTABLE CON </w:t>
      </w:r>
      <w:r w:rsidRPr="006927F5">
        <w:rPr>
          <w:rFonts w:ascii="Arial" w:hAnsi="Arial" w:cs="Arial"/>
          <w:b/>
          <w:bCs/>
          <w:sz w:val="24"/>
          <w:szCs w:val="24"/>
          <w:u w:val="single"/>
          <w:lang w:val="es-CO"/>
        </w:rPr>
        <w:t>ACTIVIDADES DE CONTROL REALIZADAS EN FORMA PARCIAL</w:t>
      </w:r>
      <w:r w:rsidRPr="006927F5">
        <w:rPr>
          <w:rFonts w:ascii="Arial" w:hAnsi="Arial" w:cs="Arial"/>
          <w:b/>
          <w:bCs/>
          <w:sz w:val="24"/>
          <w:szCs w:val="24"/>
          <w:lang w:val="es-CO"/>
        </w:rPr>
        <w:t>.</w:t>
      </w:r>
    </w:p>
    <w:p w14:paraId="5B7B693F" w14:textId="77777777" w:rsidR="00561B22" w:rsidRPr="006927F5" w:rsidRDefault="00561B22" w:rsidP="00561B22">
      <w:pPr>
        <w:pStyle w:val="Textoindependiente"/>
        <w:ind w:right="-50"/>
        <w:jc w:val="both"/>
        <w:rPr>
          <w:rFonts w:ascii="Arial" w:hAnsi="Arial" w:cs="Arial"/>
          <w:b/>
          <w:bCs/>
          <w:sz w:val="28"/>
          <w:szCs w:val="28"/>
        </w:rPr>
      </w:pPr>
    </w:p>
    <w:p w14:paraId="28818575" w14:textId="77777777" w:rsidR="00561B22" w:rsidRPr="00692FD3" w:rsidRDefault="00561B22" w:rsidP="00561B22">
      <w:pPr>
        <w:jc w:val="both"/>
        <w:rPr>
          <w:rFonts w:ascii="Arial" w:hAnsi="Arial" w:cs="Arial"/>
          <w:b/>
          <w:sz w:val="28"/>
          <w:szCs w:val="28"/>
          <w:lang w:val="es-MX"/>
        </w:rPr>
      </w:pPr>
      <w:r w:rsidRPr="00692FD3">
        <w:rPr>
          <w:rFonts w:ascii="Arial" w:hAnsi="Arial" w:cs="Arial"/>
          <w:b/>
          <w:sz w:val="28"/>
          <w:szCs w:val="28"/>
          <w:lang w:val="es-MX"/>
        </w:rPr>
        <w:t>227.- DEPARTAMENTO ADMINISTRATIVO DE LA PRESIDENCIA DE LA REPÚBLICA – DAPRE.</w:t>
      </w:r>
    </w:p>
    <w:p w14:paraId="0BE99EBE" w14:textId="77777777" w:rsidR="00561B22" w:rsidRDefault="00561B22" w:rsidP="00561B22">
      <w:pPr>
        <w:jc w:val="both"/>
        <w:rPr>
          <w:rFonts w:ascii="Arial" w:hAnsi="Arial" w:cs="Arial"/>
          <w:b/>
          <w:bCs/>
          <w:sz w:val="28"/>
          <w:szCs w:val="28"/>
        </w:rPr>
      </w:pPr>
    </w:p>
    <w:p w14:paraId="1C7B8C35" w14:textId="77777777" w:rsidR="00561B22" w:rsidRPr="00692FD3" w:rsidRDefault="00561B22" w:rsidP="00561B22">
      <w:pPr>
        <w:pStyle w:val="Textoindependiente"/>
        <w:ind w:right="-50"/>
        <w:jc w:val="center"/>
        <w:rPr>
          <w:rFonts w:ascii="Arial" w:hAnsi="Arial" w:cs="Arial"/>
          <w:b/>
          <w:bCs/>
        </w:rPr>
      </w:pPr>
      <w:r w:rsidRPr="00692FD3">
        <w:rPr>
          <w:rFonts w:ascii="Arial" w:hAnsi="Arial" w:cs="Arial"/>
          <w:b/>
          <w:bCs/>
        </w:rPr>
        <w:t>INFORME DE LA AUTOCALIFICACIÓN DEL SISTEMA DE CONTROL INTERNO CONTABLE:</w:t>
      </w:r>
    </w:p>
    <w:p w14:paraId="4ABE9509" w14:textId="77777777" w:rsidR="00561B22" w:rsidRPr="00692FD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92FD3" w14:paraId="7C61BE33" w14:textId="77777777" w:rsidTr="00F1223B">
        <w:tc>
          <w:tcPr>
            <w:tcW w:w="4981" w:type="dxa"/>
          </w:tcPr>
          <w:p w14:paraId="0C685490"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AUTOCALIFICACIÓN</w:t>
            </w:r>
          </w:p>
        </w:tc>
        <w:tc>
          <w:tcPr>
            <w:tcW w:w="4981" w:type="dxa"/>
          </w:tcPr>
          <w:p w14:paraId="1980C712" w14:textId="77777777" w:rsidR="00561B22" w:rsidRPr="00692FD3" w:rsidRDefault="00561B22" w:rsidP="00F1223B">
            <w:pPr>
              <w:jc w:val="center"/>
              <w:rPr>
                <w:rFonts w:ascii="Arial" w:hAnsi="Arial" w:cs="Arial"/>
                <w:b/>
                <w:sz w:val="22"/>
                <w:szCs w:val="22"/>
                <w:u w:val="single"/>
                <w:lang w:val="es-MX"/>
              </w:rPr>
            </w:pPr>
            <w:r w:rsidRPr="00692FD3">
              <w:rPr>
                <w:rFonts w:ascii="Arial" w:hAnsi="Arial" w:cs="Arial"/>
                <w:b/>
                <w:sz w:val="22"/>
                <w:szCs w:val="22"/>
                <w:u w:val="single"/>
                <w:lang w:val="es-MX"/>
              </w:rPr>
              <w:t>4.98</w:t>
            </w:r>
          </w:p>
        </w:tc>
      </w:tr>
    </w:tbl>
    <w:p w14:paraId="4CCAA15D" w14:textId="77777777" w:rsidR="00561B22" w:rsidRPr="00692FD3" w:rsidRDefault="00561B22" w:rsidP="00561B22">
      <w:pPr>
        <w:pStyle w:val="Textoindependiente"/>
        <w:ind w:right="-50"/>
        <w:jc w:val="both"/>
        <w:rPr>
          <w:rFonts w:ascii="Arial" w:hAnsi="Arial" w:cs="Arial"/>
          <w:b/>
          <w:bCs/>
        </w:rPr>
      </w:pPr>
    </w:p>
    <w:p w14:paraId="149D49ED" w14:textId="77777777" w:rsidR="00561B22" w:rsidRPr="00692FD3" w:rsidRDefault="00561B22" w:rsidP="00561B22">
      <w:pPr>
        <w:pStyle w:val="Textoindependiente"/>
        <w:ind w:right="-50"/>
        <w:jc w:val="both"/>
        <w:rPr>
          <w:rFonts w:ascii="Arial" w:hAnsi="Arial" w:cs="Arial"/>
          <w:b/>
          <w:bCs/>
        </w:rPr>
      </w:pPr>
      <w:r w:rsidRPr="00692FD3">
        <w:rPr>
          <w:rFonts w:ascii="Arial" w:hAnsi="Arial" w:cs="Arial"/>
          <w:b/>
          <w:bCs/>
        </w:rPr>
        <w:t>informe enviado retomamos lo siguiente:</w:t>
      </w:r>
    </w:p>
    <w:p w14:paraId="7129B41B" w14:textId="77777777" w:rsidR="00561B22" w:rsidRPr="00692FD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92FD3" w14:paraId="736DC0E7" w14:textId="77777777" w:rsidTr="00F1223B">
        <w:tc>
          <w:tcPr>
            <w:tcW w:w="562" w:type="dxa"/>
          </w:tcPr>
          <w:p w14:paraId="67EF53B0" w14:textId="77777777" w:rsidR="00561B22" w:rsidRPr="00692FD3" w:rsidRDefault="00561B22" w:rsidP="00F1223B">
            <w:pPr>
              <w:ind w:right="-109"/>
              <w:jc w:val="center"/>
              <w:rPr>
                <w:rFonts w:ascii="Arial" w:hAnsi="Arial" w:cs="Arial"/>
                <w:b/>
                <w:sz w:val="22"/>
                <w:szCs w:val="22"/>
                <w:lang w:val="es-MX"/>
              </w:rPr>
            </w:pPr>
            <w:r w:rsidRPr="00692FD3">
              <w:rPr>
                <w:rFonts w:ascii="Arial" w:hAnsi="Arial" w:cs="Arial"/>
                <w:b/>
                <w:sz w:val="22"/>
                <w:szCs w:val="22"/>
                <w:lang w:val="es-MX"/>
              </w:rPr>
              <w:t>N°</w:t>
            </w:r>
          </w:p>
        </w:tc>
        <w:tc>
          <w:tcPr>
            <w:tcW w:w="9400" w:type="dxa"/>
          </w:tcPr>
          <w:p w14:paraId="636A65B8"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DEBILIDADES</w:t>
            </w:r>
          </w:p>
          <w:p w14:paraId="03CD3B6F" w14:textId="77777777" w:rsidR="00561B22" w:rsidRPr="00692FD3" w:rsidRDefault="00561B22" w:rsidP="00F1223B">
            <w:pPr>
              <w:jc w:val="center"/>
              <w:rPr>
                <w:rFonts w:ascii="Arial" w:hAnsi="Arial" w:cs="Arial"/>
                <w:b/>
                <w:sz w:val="22"/>
                <w:szCs w:val="22"/>
                <w:lang w:val="es-MX"/>
              </w:rPr>
            </w:pPr>
          </w:p>
        </w:tc>
      </w:tr>
      <w:tr w:rsidR="00561B22" w:rsidRPr="00692FD3" w14:paraId="7E8EB0CC" w14:textId="77777777" w:rsidTr="00F1223B">
        <w:tc>
          <w:tcPr>
            <w:tcW w:w="562" w:type="dxa"/>
          </w:tcPr>
          <w:p w14:paraId="548E44DE"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1</w:t>
            </w:r>
          </w:p>
        </w:tc>
        <w:tc>
          <w:tcPr>
            <w:tcW w:w="9400" w:type="dxa"/>
          </w:tcPr>
          <w:p w14:paraId="70F4E8AA" w14:textId="77777777" w:rsidR="00561B22" w:rsidRPr="00692FD3" w:rsidRDefault="00561B22" w:rsidP="00F1223B">
            <w:pPr>
              <w:pStyle w:val="TableParagraph"/>
              <w:spacing w:line="276" w:lineRule="auto"/>
              <w:ind w:left="27"/>
              <w:jc w:val="both"/>
              <w:rPr>
                <w:sz w:val="22"/>
                <w:szCs w:val="22"/>
              </w:rPr>
            </w:pPr>
            <w:r w:rsidRPr="00692FD3">
              <w:rPr>
                <w:sz w:val="22"/>
                <w:szCs w:val="22"/>
              </w:rPr>
              <w:t>Se</w:t>
            </w:r>
            <w:r w:rsidRPr="00692FD3">
              <w:rPr>
                <w:spacing w:val="36"/>
                <w:sz w:val="22"/>
                <w:szCs w:val="22"/>
              </w:rPr>
              <w:t xml:space="preserve"> </w:t>
            </w:r>
            <w:r w:rsidRPr="00692FD3">
              <w:rPr>
                <w:sz w:val="22"/>
                <w:szCs w:val="22"/>
              </w:rPr>
              <w:t>identificaron</w:t>
            </w:r>
            <w:r w:rsidRPr="00692FD3">
              <w:rPr>
                <w:spacing w:val="36"/>
                <w:sz w:val="22"/>
                <w:szCs w:val="22"/>
              </w:rPr>
              <w:t xml:space="preserve"> </w:t>
            </w:r>
            <w:r w:rsidRPr="00692FD3">
              <w:rPr>
                <w:sz w:val="22"/>
                <w:szCs w:val="22"/>
              </w:rPr>
              <w:t>aspectos</w:t>
            </w:r>
            <w:r w:rsidRPr="00692FD3">
              <w:rPr>
                <w:spacing w:val="38"/>
                <w:sz w:val="22"/>
                <w:szCs w:val="22"/>
              </w:rPr>
              <w:t xml:space="preserve"> </w:t>
            </w:r>
            <w:r w:rsidRPr="00692FD3">
              <w:rPr>
                <w:sz w:val="22"/>
                <w:szCs w:val="22"/>
              </w:rPr>
              <w:t>por</w:t>
            </w:r>
            <w:r w:rsidRPr="00692FD3">
              <w:rPr>
                <w:spacing w:val="36"/>
                <w:sz w:val="22"/>
                <w:szCs w:val="22"/>
              </w:rPr>
              <w:t xml:space="preserve"> </w:t>
            </w:r>
            <w:r w:rsidRPr="00692FD3">
              <w:rPr>
                <w:sz w:val="22"/>
                <w:szCs w:val="22"/>
              </w:rPr>
              <w:t>mejorar</w:t>
            </w:r>
            <w:r w:rsidRPr="00692FD3">
              <w:rPr>
                <w:spacing w:val="36"/>
                <w:sz w:val="22"/>
                <w:szCs w:val="22"/>
              </w:rPr>
              <w:t xml:space="preserve"> </w:t>
            </w:r>
            <w:r w:rsidRPr="00692FD3">
              <w:rPr>
                <w:sz w:val="22"/>
                <w:szCs w:val="22"/>
              </w:rPr>
              <w:t>al</w:t>
            </w:r>
            <w:r w:rsidRPr="00692FD3">
              <w:rPr>
                <w:spacing w:val="38"/>
                <w:sz w:val="22"/>
                <w:szCs w:val="22"/>
              </w:rPr>
              <w:t xml:space="preserve"> </w:t>
            </w:r>
            <w:r w:rsidRPr="00692FD3">
              <w:rPr>
                <w:sz w:val="22"/>
                <w:szCs w:val="22"/>
              </w:rPr>
              <w:t>interior</w:t>
            </w:r>
            <w:r w:rsidRPr="00692FD3">
              <w:rPr>
                <w:spacing w:val="36"/>
                <w:sz w:val="22"/>
                <w:szCs w:val="22"/>
              </w:rPr>
              <w:t xml:space="preserve"> </w:t>
            </w:r>
            <w:r w:rsidRPr="00692FD3">
              <w:rPr>
                <w:sz w:val="22"/>
                <w:szCs w:val="22"/>
              </w:rPr>
              <w:t>de</w:t>
            </w:r>
            <w:r w:rsidRPr="00692FD3">
              <w:rPr>
                <w:spacing w:val="37"/>
                <w:sz w:val="22"/>
                <w:szCs w:val="22"/>
              </w:rPr>
              <w:t xml:space="preserve"> </w:t>
            </w:r>
            <w:r w:rsidRPr="00692FD3">
              <w:rPr>
                <w:sz w:val="22"/>
                <w:szCs w:val="22"/>
              </w:rPr>
              <w:t>la</w:t>
            </w:r>
            <w:r w:rsidRPr="00692FD3">
              <w:rPr>
                <w:spacing w:val="37"/>
                <w:sz w:val="22"/>
                <w:szCs w:val="22"/>
              </w:rPr>
              <w:t xml:space="preserve"> </w:t>
            </w:r>
            <w:r w:rsidRPr="00692FD3">
              <w:rPr>
                <w:spacing w:val="-2"/>
                <w:sz w:val="22"/>
                <w:szCs w:val="22"/>
              </w:rPr>
              <w:t xml:space="preserve">Secretaría </w:t>
            </w:r>
            <w:r w:rsidRPr="00692FD3">
              <w:rPr>
                <w:sz w:val="22"/>
                <w:szCs w:val="22"/>
              </w:rPr>
              <w:t>Jurídica en la consolidación y conciliación de la Información de</w:t>
            </w:r>
            <w:r w:rsidRPr="00692FD3">
              <w:rPr>
                <w:spacing w:val="40"/>
                <w:sz w:val="22"/>
                <w:szCs w:val="22"/>
              </w:rPr>
              <w:t xml:space="preserve"> </w:t>
            </w:r>
            <w:r w:rsidRPr="00692FD3">
              <w:rPr>
                <w:sz w:val="22"/>
                <w:szCs w:val="22"/>
              </w:rPr>
              <w:t>procesos Judiciales, se requiere capacitación y entrenamiento del</w:t>
            </w:r>
            <w:r w:rsidRPr="00692FD3">
              <w:rPr>
                <w:spacing w:val="40"/>
                <w:sz w:val="22"/>
                <w:szCs w:val="22"/>
              </w:rPr>
              <w:t xml:space="preserve"> </w:t>
            </w:r>
            <w:r w:rsidRPr="00692FD3">
              <w:rPr>
                <w:sz w:val="22"/>
                <w:szCs w:val="22"/>
              </w:rPr>
              <w:t>personal</w:t>
            </w:r>
            <w:r w:rsidRPr="00692FD3">
              <w:rPr>
                <w:spacing w:val="-6"/>
                <w:sz w:val="22"/>
                <w:szCs w:val="22"/>
              </w:rPr>
              <w:t xml:space="preserve"> </w:t>
            </w:r>
            <w:r w:rsidRPr="00692FD3">
              <w:rPr>
                <w:sz w:val="22"/>
                <w:szCs w:val="22"/>
              </w:rPr>
              <w:t>que</w:t>
            </w:r>
            <w:r w:rsidRPr="00692FD3">
              <w:rPr>
                <w:spacing w:val="-6"/>
                <w:sz w:val="22"/>
                <w:szCs w:val="22"/>
              </w:rPr>
              <w:t xml:space="preserve"> </w:t>
            </w:r>
            <w:r w:rsidRPr="00692FD3">
              <w:rPr>
                <w:sz w:val="22"/>
                <w:szCs w:val="22"/>
              </w:rPr>
              <w:t>facilite</w:t>
            </w:r>
            <w:r w:rsidRPr="00692FD3">
              <w:rPr>
                <w:spacing w:val="-6"/>
                <w:sz w:val="22"/>
                <w:szCs w:val="22"/>
              </w:rPr>
              <w:t xml:space="preserve"> </w:t>
            </w:r>
            <w:r w:rsidRPr="00692FD3">
              <w:rPr>
                <w:sz w:val="22"/>
                <w:szCs w:val="22"/>
              </w:rPr>
              <w:t>la</w:t>
            </w:r>
            <w:r w:rsidRPr="00692FD3">
              <w:rPr>
                <w:spacing w:val="-6"/>
                <w:sz w:val="22"/>
                <w:szCs w:val="22"/>
              </w:rPr>
              <w:t xml:space="preserve"> </w:t>
            </w:r>
            <w:r w:rsidRPr="00692FD3">
              <w:rPr>
                <w:sz w:val="22"/>
                <w:szCs w:val="22"/>
              </w:rPr>
              <w:t>consulta,</w:t>
            </w:r>
            <w:r w:rsidRPr="00692FD3">
              <w:rPr>
                <w:spacing w:val="-6"/>
                <w:sz w:val="22"/>
                <w:szCs w:val="22"/>
              </w:rPr>
              <w:t xml:space="preserve"> </w:t>
            </w:r>
            <w:r w:rsidRPr="00692FD3">
              <w:rPr>
                <w:sz w:val="22"/>
                <w:szCs w:val="22"/>
              </w:rPr>
              <w:t>la</w:t>
            </w:r>
            <w:r w:rsidRPr="00692FD3">
              <w:rPr>
                <w:spacing w:val="-6"/>
                <w:sz w:val="22"/>
                <w:szCs w:val="22"/>
              </w:rPr>
              <w:t xml:space="preserve"> </w:t>
            </w:r>
            <w:r w:rsidRPr="00692FD3">
              <w:rPr>
                <w:sz w:val="22"/>
                <w:szCs w:val="22"/>
              </w:rPr>
              <w:t>depuración</w:t>
            </w:r>
            <w:r w:rsidRPr="00692FD3">
              <w:rPr>
                <w:spacing w:val="-7"/>
                <w:sz w:val="22"/>
                <w:szCs w:val="22"/>
              </w:rPr>
              <w:t xml:space="preserve"> </w:t>
            </w:r>
            <w:r w:rsidRPr="00692FD3">
              <w:rPr>
                <w:sz w:val="22"/>
                <w:szCs w:val="22"/>
              </w:rPr>
              <w:t>de</w:t>
            </w:r>
            <w:r w:rsidRPr="00692FD3">
              <w:rPr>
                <w:spacing w:val="-6"/>
                <w:sz w:val="22"/>
                <w:szCs w:val="22"/>
              </w:rPr>
              <w:t xml:space="preserve"> </w:t>
            </w:r>
            <w:r w:rsidRPr="00692FD3">
              <w:rPr>
                <w:sz w:val="22"/>
                <w:szCs w:val="22"/>
              </w:rPr>
              <w:t>la</w:t>
            </w:r>
            <w:r w:rsidRPr="00692FD3">
              <w:rPr>
                <w:spacing w:val="-6"/>
                <w:sz w:val="22"/>
                <w:szCs w:val="22"/>
              </w:rPr>
              <w:t xml:space="preserve"> </w:t>
            </w:r>
            <w:r w:rsidRPr="00692FD3">
              <w:rPr>
                <w:sz w:val="22"/>
                <w:szCs w:val="22"/>
              </w:rPr>
              <w:t>información</w:t>
            </w:r>
            <w:r w:rsidRPr="00692FD3">
              <w:rPr>
                <w:spacing w:val="-6"/>
                <w:sz w:val="22"/>
                <w:szCs w:val="22"/>
              </w:rPr>
              <w:t xml:space="preserve"> </w:t>
            </w:r>
            <w:r w:rsidRPr="00692FD3">
              <w:rPr>
                <w:sz w:val="22"/>
                <w:szCs w:val="22"/>
              </w:rPr>
              <w:t>con</w:t>
            </w:r>
            <w:r w:rsidRPr="00692FD3">
              <w:rPr>
                <w:spacing w:val="-6"/>
                <w:sz w:val="22"/>
                <w:szCs w:val="22"/>
              </w:rPr>
              <w:t xml:space="preserve"> </w:t>
            </w:r>
            <w:r w:rsidRPr="00692FD3">
              <w:rPr>
                <w:sz w:val="22"/>
                <w:szCs w:val="22"/>
              </w:rPr>
              <w:t>el</w:t>
            </w:r>
            <w:r w:rsidRPr="00692FD3">
              <w:rPr>
                <w:spacing w:val="40"/>
                <w:sz w:val="22"/>
                <w:szCs w:val="22"/>
              </w:rPr>
              <w:t xml:space="preserve"> </w:t>
            </w:r>
            <w:r w:rsidRPr="00692FD3">
              <w:rPr>
                <w:sz w:val="22"/>
                <w:szCs w:val="22"/>
              </w:rPr>
              <w:t>fin de garantizar la conciliación con el Grupo de Contabilidad.</w:t>
            </w:r>
          </w:p>
        </w:tc>
      </w:tr>
      <w:tr w:rsidR="00561B22" w:rsidRPr="00692FD3" w14:paraId="258D2AA0" w14:textId="77777777" w:rsidTr="00F1223B">
        <w:tc>
          <w:tcPr>
            <w:tcW w:w="562" w:type="dxa"/>
          </w:tcPr>
          <w:p w14:paraId="432189CE"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2</w:t>
            </w:r>
          </w:p>
        </w:tc>
        <w:tc>
          <w:tcPr>
            <w:tcW w:w="9400" w:type="dxa"/>
          </w:tcPr>
          <w:p w14:paraId="78B07BE0" w14:textId="1A812AC6" w:rsidR="00561B22" w:rsidRPr="00692FD3" w:rsidRDefault="00561B22" w:rsidP="00F1223B">
            <w:pPr>
              <w:pStyle w:val="TableParagraph"/>
              <w:spacing w:line="276" w:lineRule="auto"/>
              <w:ind w:left="27" w:right="50"/>
              <w:jc w:val="both"/>
              <w:rPr>
                <w:sz w:val="22"/>
                <w:szCs w:val="22"/>
              </w:rPr>
            </w:pPr>
            <w:r w:rsidRPr="00692FD3">
              <w:rPr>
                <w:sz w:val="22"/>
                <w:szCs w:val="22"/>
              </w:rPr>
              <w:t xml:space="preserve">De acuerdo con la </w:t>
            </w:r>
            <w:r w:rsidR="0008150C" w:rsidRPr="00692FD3">
              <w:rPr>
                <w:sz w:val="22"/>
                <w:szCs w:val="22"/>
              </w:rPr>
              <w:t>auditoría</w:t>
            </w:r>
            <w:r w:rsidRPr="00692FD3">
              <w:rPr>
                <w:sz w:val="22"/>
                <w:szCs w:val="22"/>
              </w:rPr>
              <w:t xml:space="preserve"> interna realizada por la OCI al área</w:t>
            </w:r>
            <w:r w:rsidRPr="00692FD3">
              <w:rPr>
                <w:spacing w:val="40"/>
                <w:sz w:val="22"/>
                <w:szCs w:val="22"/>
              </w:rPr>
              <w:t xml:space="preserve"> </w:t>
            </w:r>
            <w:r w:rsidRPr="00692FD3">
              <w:rPr>
                <w:sz w:val="22"/>
                <w:szCs w:val="22"/>
              </w:rPr>
              <w:t>administrativa,</w:t>
            </w:r>
            <w:r w:rsidRPr="00692FD3">
              <w:rPr>
                <w:spacing w:val="-5"/>
                <w:sz w:val="22"/>
                <w:szCs w:val="22"/>
              </w:rPr>
              <w:t xml:space="preserve"> </w:t>
            </w:r>
            <w:r w:rsidRPr="00692FD3">
              <w:rPr>
                <w:sz w:val="22"/>
                <w:szCs w:val="22"/>
              </w:rPr>
              <w:t>(Auditoria</w:t>
            </w:r>
            <w:r w:rsidRPr="00692FD3">
              <w:rPr>
                <w:spacing w:val="-5"/>
                <w:sz w:val="22"/>
                <w:szCs w:val="22"/>
              </w:rPr>
              <w:t xml:space="preserve"> </w:t>
            </w:r>
            <w:r w:rsidRPr="00692FD3">
              <w:rPr>
                <w:sz w:val="22"/>
                <w:szCs w:val="22"/>
              </w:rPr>
              <w:t>No</w:t>
            </w:r>
            <w:r w:rsidRPr="00692FD3">
              <w:rPr>
                <w:spacing w:val="-6"/>
                <w:sz w:val="22"/>
                <w:szCs w:val="22"/>
              </w:rPr>
              <w:t xml:space="preserve"> </w:t>
            </w:r>
            <w:r w:rsidRPr="00692FD3">
              <w:rPr>
                <w:sz w:val="22"/>
                <w:szCs w:val="22"/>
              </w:rPr>
              <w:t>08),</w:t>
            </w:r>
            <w:r w:rsidRPr="00692FD3">
              <w:rPr>
                <w:spacing w:val="-6"/>
                <w:sz w:val="22"/>
                <w:szCs w:val="22"/>
              </w:rPr>
              <w:t xml:space="preserve"> </w:t>
            </w:r>
            <w:r w:rsidRPr="00692FD3">
              <w:rPr>
                <w:sz w:val="22"/>
                <w:szCs w:val="22"/>
              </w:rPr>
              <w:t>se</w:t>
            </w:r>
            <w:r w:rsidRPr="00692FD3">
              <w:rPr>
                <w:spacing w:val="-6"/>
                <w:sz w:val="22"/>
                <w:szCs w:val="22"/>
              </w:rPr>
              <w:t xml:space="preserve"> </w:t>
            </w:r>
            <w:r w:rsidRPr="00692FD3">
              <w:rPr>
                <w:sz w:val="22"/>
                <w:szCs w:val="22"/>
              </w:rPr>
              <w:t>identificaron</w:t>
            </w:r>
            <w:r w:rsidRPr="00692FD3">
              <w:rPr>
                <w:spacing w:val="-6"/>
                <w:sz w:val="22"/>
                <w:szCs w:val="22"/>
              </w:rPr>
              <w:t xml:space="preserve"> </w:t>
            </w:r>
            <w:r w:rsidRPr="00692FD3">
              <w:rPr>
                <w:sz w:val="22"/>
                <w:szCs w:val="22"/>
              </w:rPr>
              <w:t>aspectos</w:t>
            </w:r>
            <w:r w:rsidRPr="00692FD3">
              <w:rPr>
                <w:spacing w:val="-5"/>
                <w:sz w:val="22"/>
                <w:szCs w:val="22"/>
              </w:rPr>
              <w:t xml:space="preserve"> </w:t>
            </w:r>
            <w:r w:rsidRPr="00692FD3">
              <w:rPr>
                <w:sz w:val="22"/>
                <w:szCs w:val="22"/>
              </w:rPr>
              <w:t>por</w:t>
            </w:r>
            <w:r w:rsidRPr="00692FD3">
              <w:rPr>
                <w:spacing w:val="-6"/>
                <w:sz w:val="22"/>
                <w:szCs w:val="22"/>
              </w:rPr>
              <w:t xml:space="preserve"> </w:t>
            </w:r>
            <w:r w:rsidRPr="00692FD3">
              <w:rPr>
                <w:sz w:val="22"/>
                <w:szCs w:val="22"/>
              </w:rPr>
              <w:t>mejorar</w:t>
            </w:r>
            <w:r w:rsidRPr="00692FD3">
              <w:rPr>
                <w:spacing w:val="40"/>
                <w:sz w:val="22"/>
                <w:szCs w:val="22"/>
              </w:rPr>
              <w:t xml:space="preserve"> </w:t>
            </w:r>
            <w:r w:rsidRPr="00692FD3">
              <w:rPr>
                <w:sz w:val="22"/>
                <w:szCs w:val="22"/>
              </w:rPr>
              <w:t>en la gestión de inventarios del Fondo Programas Especiales para la</w:t>
            </w:r>
            <w:r w:rsidRPr="00692FD3">
              <w:rPr>
                <w:spacing w:val="40"/>
                <w:sz w:val="22"/>
                <w:szCs w:val="22"/>
              </w:rPr>
              <w:t xml:space="preserve"> </w:t>
            </w:r>
            <w:r w:rsidRPr="00692FD3">
              <w:rPr>
                <w:sz w:val="22"/>
                <w:szCs w:val="22"/>
              </w:rPr>
              <w:t>Paz, que requieren el seguimiento y la depuración periódica de los</w:t>
            </w:r>
            <w:r w:rsidRPr="00692FD3">
              <w:rPr>
                <w:spacing w:val="40"/>
                <w:sz w:val="22"/>
                <w:szCs w:val="22"/>
              </w:rPr>
              <w:t xml:space="preserve"> </w:t>
            </w:r>
            <w:r w:rsidRPr="00692FD3">
              <w:rPr>
                <w:sz w:val="22"/>
                <w:szCs w:val="22"/>
              </w:rPr>
              <w:t>inventarios del Fondo.</w:t>
            </w:r>
          </w:p>
        </w:tc>
      </w:tr>
      <w:tr w:rsidR="00561B22" w:rsidRPr="00692FD3" w14:paraId="2C9426DD" w14:textId="77777777" w:rsidTr="00F1223B">
        <w:tc>
          <w:tcPr>
            <w:tcW w:w="562" w:type="dxa"/>
          </w:tcPr>
          <w:p w14:paraId="33A9057B"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3</w:t>
            </w:r>
          </w:p>
        </w:tc>
        <w:tc>
          <w:tcPr>
            <w:tcW w:w="9400" w:type="dxa"/>
          </w:tcPr>
          <w:p w14:paraId="764412DA" w14:textId="77777777" w:rsidR="00561B22" w:rsidRPr="00692FD3" w:rsidRDefault="00561B22" w:rsidP="00F1223B">
            <w:pPr>
              <w:pStyle w:val="TableParagraph"/>
              <w:spacing w:line="276" w:lineRule="auto"/>
              <w:ind w:left="27" w:right="62"/>
              <w:jc w:val="both"/>
              <w:rPr>
                <w:sz w:val="22"/>
                <w:szCs w:val="22"/>
              </w:rPr>
            </w:pPr>
            <w:r w:rsidRPr="00692FD3">
              <w:rPr>
                <w:sz w:val="22"/>
                <w:szCs w:val="22"/>
              </w:rPr>
              <w:t>Frente a recursos entregados en Administración del Fondo de</w:t>
            </w:r>
            <w:r w:rsidRPr="00692FD3">
              <w:rPr>
                <w:spacing w:val="40"/>
                <w:sz w:val="22"/>
                <w:szCs w:val="22"/>
              </w:rPr>
              <w:t xml:space="preserve"> </w:t>
            </w:r>
            <w:r w:rsidRPr="00692FD3">
              <w:rPr>
                <w:sz w:val="22"/>
                <w:szCs w:val="22"/>
              </w:rPr>
              <w:t>Programas Especiales para a Paz, según el seguimiento financiero</w:t>
            </w:r>
            <w:r w:rsidRPr="00692FD3">
              <w:rPr>
                <w:spacing w:val="40"/>
                <w:sz w:val="22"/>
                <w:szCs w:val="22"/>
              </w:rPr>
              <w:t xml:space="preserve"> </w:t>
            </w:r>
            <w:r w:rsidRPr="00692FD3">
              <w:rPr>
                <w:sz w:val="22"/>
                <w:szCs w:val="22"/>
              </w:rPr>
              <w:t>realizado</w:t>
            </w:r>
            <w:r w:rsidRPr="00692FD3">
              <w:rPr>
                <w:spacing w:val="-3"/>
                <w:sz w:val="22"/>
                <w:szCs w:val="22"/>
              </w:rPr>
              <w:t xml:space="preserve"> </w:t>
            </w:r>
            <w:r w:rsidRPr="00692FD3">
              <w:rPr>
                <w:sz w:val="22"/>
                <w:szCs w:val="22"/>
              </w:rPr>
              <w:t>en</w:t>
            </w:r>
            <w:r w:rsidRPr="00692FD3">
              <w:rPr>
                <w:spacing w:val="31"/>
                <w:sz w:val="22"/>
                <w:szCs w:val="22"/>
              </w:rPr>
              <w:t xml:space="preserve"> </w:t>
            </w:r>
            <w:r w:rsidRPr="00692FD3">
              <w:rPr>
                <w:sz w:val="22"/>
                <w:szCs w:val="22"/>
              </w:rPr>
              <w:t>Comité</w:t>
            </w:r>
            <w:r w:rsidRPr="00692FD3">
              <w:rPr>
                <w:spacing w:val="-3"/>
                <w:sz w:val="22"/>
                <w:szCs w:val="22"/>
              </w:rPr>
              <w:t xml:space="preserve"> </w:t>
            </w:r>
            <w:r w:rsidRPr="00692FD3">
              <w:rPr>
                <w:sz w:val="22"/>
                <w:szCs w:val="22"/>
              </w:rPr>
              <w:t>Operativo;</w:t>
            </w:r>
            <w:r w:rsidRPr="00692FD3">
              <w:rPr>
                <w:spacing w:val="-2"/>
                <w:sz w:val="22"/>
                <w:szCs w:val="22"/>
              </w:rPr>
              <w:t xml:space="preserve"> </w:t>
            </w:r>
            <w:r w:rsidRPr="00692FD3">
              <w:rPr>
                <w:sz w:val="22"/>
                <w:szCs w:val="22"/>
              </w:rPr>
              <w:t>se</w:t>
            </w:r>
            <w:r w:rsidRPr="00692FD3">
              <w:rPr>
                <w:spacing w:val="-3"/>
                <w:sz w:val="22"/>
                <w:szCs w:val="22"/>
              </w:rPr>
              <w:t xml:space="preserve"> </w:t>
            </w:r>
            <w:r w:rsidRPr="00692FD3">
              <w:rPr>
                <w:sz w:val="22"/>
                <w:szCs w:val="22"/>
              </w:rPr>
              <w:t>identificaron</w:t>
            </w:r>
            <w:r w:rsidRPr="00692FD3">
              <w:rPr>
                <w:spacing w:val="-3"/>
                <w:sz w:val="22"/>
                <w:szCs w:val="22"/>
              </w:rPr>
              <w:t xml:space="preserve"> </w:t>
            </w:r>
            <w:r w:rsidRPr="00692FD3">
              <w:rPr>
                <w:sz w:val="22"/>
                <w:szCs w:val="22"/>
              </w:rPr>
              <w:t>convenios</w:t>
            </w:r>
            <w:r w:rsidRPr="00692FD3">
              <w:rPr>
                <w:spacing w:val="-2"/>
                <w:sz w:val="22"/>
                <w:szCs w:val="22"/>
              </w:rPr>
              <w:t xml:space="preserve"> </w:t>
            </w:r>
            <w:r w:rsidRPr="00692FD3">
              <w:rPr>
                <w:sz w:val="22"/>
                <w:szCs w:val="22"/>
              </w:rPr>
              <w:t>y</w:t>
            </w:r>
            <w:r w:rsidRPr="00692FD3">
              <w:rPr>
                <w:spacing w:val="-6"/>
                <w:sz w:val="22"/>
                <w:szCs w:val="22"/>
              </w:rPr>
              <w:t xml:space="preserve"> </w:t>
            </w:r>
            <w:r w:rsidRPr="00692FD3">
              <w:rPr>
                <w:sz w:val="22"/>
                <w:szCs w:val="22"/>
              </w:rPr>
              <w:t>contratos</w:t>
            </w:r>
            <w:r w:rsidRPr="00692FD3">
              <w:rPr>
                <w:spacing w:val="40"/>
                <w:sz w:val="22"/>
                <w:szCs w:val="22"/>
              </w:rPr>
              <w:t xml:space="preserve"> </w:t>
            </w:r>
            <w:r w:rsidRPr="00692FD3">
              <w:rPr>
                <w:sz w:val="22"/>
                <w:szCs w:val="22"/>
              </w:rPr>
              <w:t>suscritos en Vigencia 2021,2022 y 2023</w:t>
            </w:r>
            <w:r w:rsidRPr="00692FD3">
              <w:rPr>
                <w:spacing w:val="40"/>
                <w:sz w:val="22"/>
                <w:szCs w:val="22"/>
              </w:rPr>
              <w:t xml:space="preserve"> </w:t>
            </w:r>
            <w:r w:rsidRPr="00692FD3">
              <w:rPr>
                <w:sz w:val="22"/>
                <w:szCs w:val="22"/>
              </w:rPr>
              <w:t>que no han logrado la</w:t>
            </w:r>
            <w:r w:rsidRPr="00692FD3">
              <w:rPr>
                <w:spacing w:val="40"/>
                <w:sz w:val="22"/>
                <w:szCs w:val="22"/>
              </w:rPr>
              <w:t xml:space="preserve"> </w:t>
            </w:r>
            <w:r w:rsidRPr="00692FD3">
              <w:rPr>
                <w:sz w:val="22"/>
                <w:szCs w:val="22"/>
              </w:rPr>
              <w:t>legalización del 100% de los recursos entregados, si bien se cuenta</w:t>
            </w:r>
            <w:r w:rsidRPr="00692FD3">
              <w:rPr>
                <w:spacing w:val="40"/>
                <w:sz w:val="22"/>
                <w:szCs w:val="22"/>
              </w:rPr>
              <w:t xml:space="preserve"> </w:t>
            </w:r>
            <w:r w:rsidRPr="00692FD3">
              <w:rPr>
                <w:sz w:val="22"/>
                <w:szCs w:val="22"/>
              </w:rPr>
              <w:t>con el seguimiento financiero y contable; representa un riesgo de</w:t>
            </w:r>
            <w:r w:rsidRPr="00692FD3">
              <w:rPr>
                <w:spacing w:val="40"/>
                <w:sz w:val="22"/>
                <w:szCs w:val="22"/>
              </w:rPr>
              <w:t xml:space="preserve"> </w:t>
            </w:r>
            <w:r w:rsidRPr="00692FD3">
              <w:rPr>
                <w:sz w:val="22"/>
                <w:szCs w:val="22"/>
              </w:rPr>
              <w:t>gestión que requiere la verificación administrativa y jurídica.</w:t>
            </w:r>
          </w:p>
        </w:tc>
      </w:tr>
      <w:tr w:rsidR="00561B22" w:rsidRPr="00692FD3" w14:paraId="384D9926" w14:textId="77777777" w:rsidTr="00F1223B">
        <w:tc>
          <w:tcPr>
            <w:tcW w:w="562" w:type="dxa"/>
          </w:tcPr>
          <w:p w14:paraId="4AA3B4E4"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4</w:t>
            </w:r>
          </w:p>
        </w:tc>
        <w:tc>
          <w:tcPr>
            <w:tcW w:w="9400" w:type="dxa"/>
          </w:tcPr>
          <w:p w14:paraId="055F690C" w14:textId="77777777" w:rsidR="00561B22" w:rsidRPr="00692FD3" w:rsidRDefault="00561B22" w:rsidP="00F1223B">
            <w:pPr>
              <w:spacing w:line="276" w:lineRule="auto"/>
              <w:jc w:val="both"/>
              <w:rPr>
                <w:rFonts w:ascii="Arial" w:hAnsi="Arial" w:cs="Arial"/>
                <w:b/>
                <w:sz w:val="22"/>
                <w:szCs w:val="22"/>
                <w:lang w:val="es-MX"/>
              </w:rPr>
            </w:pPr>
            <w:r w:rsidRPr="00692FD3">
              <w:rPr>
                <w:rFonts w:ascii="Arial" w:hAnsi="Arial" w:cs="Arial"/>
                <w:sz w:val="22"/>
                <w:szCs w:val="22"/>
              </w:rPr>
              <w:t>La</w:t>
            </w:r>
            <w:r w:rsidRPr="00692FD3">
              <w:rPr>
                <w:rFonts w:ascii="Arial" w:hAnsi="Arial" w:cs="Arial"/>
                <w:spacing w:val="40"/>
                <w:sz w:val="22"/>
                <w:szCs w:val="22"/>
              </w:rPr>
              <w:t xml:space="preserve"> </w:t>
            </w:r>
            <w:r w:rsidRPr="00692FD3">
              <w:rPr>
                <w:rFonts w:ascii="Arial" w:hAnsi="Arial" w:cs="Arial"/>
                <w:sz w:val="22"/>
                <w:szCs w:val="22"/>
              </w:rPr>
              <w:t>entidad</w:t>
            </w:r>
            <w:r w:rsidRPr="00692FD3">
              <w:rPr>
                <w:rFonts w:ascii="Arial" w:hAnsi="Arial" w:cs="Arial"/>
                <w:spacing w:val="40"/>
                <w:sz w:val="22"/>
                <w:szCs w:val="22"/>
              </w:rPr>
              <w:t xml:space="preserve"> </w:t>
            </w:r>
            <w:r w:rsidRPr="00692FD3">
              <w:rPr>
                <w:rFonts w:ascii="Arial" w:hAnsi="Arial" w:cs="Arial"/>
                <w:sz w:val="22"/>
                <w:szCs w:val="22"/>
              </w:rPr>
              <w:t>cuenta</w:t>
            </w:r>
            <w:r w:rsidRPr="00692FD3">
              <w:rPr>
                <w:rFonts w:ascii="Arial" w:hAnsi="Arial" w:cs="Arial"/>
                <w:spacing w:val="40"/>
                <w:sz w:val="22"/>
                <w:szCs w:val="22"/>
              </w:rPr>
              <w:t xml:space="preserve"> </w:t>
            </w:r>
            <w:r w:rsidRPr="00692FD3">
              <w:rPr>
                <w:rFonts w:ascii="Arial" w:hAnsi="Arial" w:cs="Arial"/>
                <w:sz w:val="22"/>
                <w:szCs w:val="22"/>
              </w:rPr>
              <w:t>con</w:t>
            </w:r>
            <w:r w:rsidRPr="00692FD3">
              <w:rPr>
                <w:rFonts w:ascii="Arial" w:hAnsi="Arial" w:cs="Arial"/>
                <w:spacing w:val="40"/>
                <w:sz w:val="22"/>
                <w:szCs w:val="22"/>
              </w:rPr>
              <w:t xml:space="preserve"> </w:t>
            </w:r>
            <w:r w:rsidRPr="00692FD3">
              <w:rPr>
                <w:rFonts w:ascii="Arial" w:hAnsi="Arial" w:cs="Arial"/>
                <w:sz w:val="22"/>
                <w:szCs w:val="22"/>
              </w:rPr>
              <w:t>sistemas</w:t>
            </w:r>
            <w:r w:rsidRPr="00692FD3">
              <w:rPr>
                <w:rFonts w:ascii="Arial" w:hAnsi="Arial" w:cs="Arial"/>
                <w:spacing w:val="40"/>
                <w:sz w:val="22"/>
                <w:szCs w:val="22"/>
              </w:rPr>
              <w:t xml:space="preserve"> </w:t>
            </w:r>
            <w:r w:rsidRPr="00692FD3">
              <w:rPr>
                <w:rFonts w:ascii="Arial" w:hAnsi="Arial" w:cs="Arial"/>
                <w:sz w:val="22"/>
                <w:szCs w:val="22"/>
              </w:rPr>
              <w:t>de</w:t>
            </w:r>
            <w:r w:rsidRPr="00692FD3">
              <w:rPr>
                <w:rFonts w:ascii="Arial" w:hAnsi="Arial" w:cs="Arial"/>
                <w:spacing w:val="40"/>
                <w:sz w:val="22"/>
                <w:szCs w:val="22"/>
              </w:rPr>
              <w:t xml:space="preserve"> </w:t>
            </w:r>
            <w:r w:rsidRPr="00692FD3">
              <w:rPr>
                <w:rFonts w:ascii="Arial" w:hAnsi="Arial" w:cs="Arial"/>
                <w:sz w:val="22"/>
                <w:szCs w:val="22"/>
              </w:rPr>
              <w:t>información</w:t>
            </w:r>
            <w:r w:rsidRPr="00692FD3">
              <w:rPr>
                <w:rFonts w:ascii="Arial" w:hAnsi="Arial" w:cs="Arial"/>
                <w:spacing w:val="40"/>
                <w:sz w:val="22"/>
                <w:szCs w:val="22"/>
              </w:rPr>
              <w:t xml:space="preserve"> </w:t>
            </w:r>
            <w:r w:rsidRPr="00692FD3">
              <w:rPr>
                <w:rFonts w:ascii="Arial" w:hAnsi="Arial" w:cs="Arial"/>
                <w:sz w:val="22"/>
                <w:szCs w:val="22"/>
              </w:rPr>
              <w:t>que</w:t>
            </w:r>
            <w:r w:rsidRPr="00692FD3">
              <w:rPr>
                <w:rFonts w:ascii="Arial" w:hAnsi="Arial" w:cs="Arial"/>
                <w:spacing w:val="40"/>
                <w:sz w:val="22"/>
                <w:szCs w:val="22"/>
              </w:rPr>
              <w:t xml:space="preserve"> </w:t>
            </w:r>
            <w:r w:rsidRPr="00692FD3">
              <w:rPr>
                <w:rFonts w:ascii="Arial" w:hAnsi="Arial" w:cs="Arial"/>
                <w:sz w:val="22"/>
                <w:szCs w:val="22"/>
              </w:rPr>
              <w:t>permiten</w:t>
            </w:r>
            <w:r w:rsidRPr="00692FD3">
              <w:rPr>
                <w:rFonts w:ascii="Arial" w:hAnsi="Arial" w:cs="Arial"/>
                <w:spacing w:val="40"/>
                <w:sz w:val="22"/>
                <w:szCs w:val="22"/>
              </w:rPr>
              <w:t xml:space="preserve"> </w:t>
            </w:r>
            <w:r w:rsidRPr="00692FD3">
              <w:rPr>
                <w:rFonts w:ascii="Arial" w:hAnsi="Arial" w:cs="Arial"/>
                <w:sz w:val="22"/>
                <w:szCs w:val="22"/>
              </w:rPr>
              <w:t>conservar la trazabilidad de la operación o movimiento, así como la</w:t>
            </w:r>
            <w:r w:rsidRPr="00692FD3">
              <w:rPr>
                <w:rFonts w:ascii="Arial" w:hAnsi="Arial" w:cs="Arial"/>
                <w:spacing w:val="40"/>
                <w:sz w:val="22"/>
                <w:szCs w:val="22"/>
              </w:rPr>
              <w:t xml:space="preserve"> </w:t>
            </w:r>
            <w:r w:rsidRPr="00692FD3">
              <w:rPr>
                <w:rFonts w:ascii="Arial" w:hAnsi="Arial" w:cs="Arial"/>
                <w:sz w:val="22"/>
                <w:szCs w:val="22"/>
              </w:rPr>
              <w:t>documentación</w:t>
            </w:r>
            <w:r w:rsidRPr="00692FD3">
              <w:rPr>
                <w:rFonts w:ascii="Arial" w:hAnsi="Arial" w:cs="Arial"/>
                <w:spacing w:val="-6"/>
                <w:sz w:val="22"/>
                <w:szCs w:val="22"/>
              </w:rPr>
              <w:t xml:space="preserve"> </w:t>
            </w:r>
            <w:r w:rsidRPr="00692FD3">
              <w:rPr>
                <w:rFonts w:ascii="Arial" w:hAnsi="Arial" w:cs="Arial"/>
                <w:sz w:val="22"/>
                <w:szCs w:val="22"/>
              </w:rPr>
              <w:t>soporte</w:t>
            </w:r>
            <w:r w:rsidRPr="00692FD3">
              <w:rPr>
                <w:rFonts w:ascii="Arial" w:hAnsi="Arial" w:cs="Arial"/>
                <w:spacing w:val="-4"/>
                <w:sz w:val="22"/>
                <w:szCs w:val="22"/>
              </w:rPr>
              <w:t xml:space="preserve"> </w:t>
            </w:r>
            <w:r w:rsidRPr="00692FD3">
              <w:rPr>
                <w:rFonts w:ascii="Arial" w:hAnsi="Arial" w:cs="Arial"/>
                <w:sz w:val="22"/>
                <w:szCs w:val="22"/>
              </w:rPr>
              <w:t>y</w:t>
            </w:r>
            <w:r w:rsidRPr="00692FD3">
              <w:rPr>
                <w:rFonts w:ascii="Arial" w:hAnsi="Arial" w:cs="Arial"/>
                <w:spacing w:val="-9"/>
                <w:sz w:val="22"/>
                <w:szCs w:val="22"/>
              </w:rPr>
              <w:t xml:space="preserve"> </w:t>
            </w:r>
            <w:r w:rsidRPr="00692FD3">
              <w:rPr>
                <w:rFonts w:ascii="Arial" w:hAnsi="Arial" w:cs="Arial"/>
                <w:sz w:val="22"/>
                <w:szCs w:val="22"/>
              </w:rPr>
              <w:t>autorizaciones;</w:t>
            </w:r>
            <w:r w:rsidRPr="00692FD3">
              <w:rPr>
                <w:rFonts w:ascii="Arial" w:hAnsi="Arial" w:cs="Arial"/>
                <w:spacing w:val="-4"/>
                <w:sz w:val="22"/>
                <w:szCs w:val="22"/>
              </w:rPr>
              <w:t xml:space="preserve"> </w:t>
            </w:r>
            <w:r w:rsidRPr="00692FD3">
              <w:rPr>
                <w:rFonts w:ascii="Arial" w:hAnsi="Arial" w:cs="Arial"/>
                <w:sz w:val="22"/>
                <w:szCs w:val="22"/>
              </w:rPr>
              <w:t>un</w:t>
            </w:r>
            <w:r w:rsidRPr="00692FD3">
              <w:rPr>
                <w:rFonts w:ascii="Arial" w:hAnsi="Arial" w:cs="Arial"/>
                <w:spacing w:val="-6"/>
                <w:sz w:val="22"/>
                <w:szCs w:val="22"/>
              </w:rPr>
              <w:t xml:space="preserve"> </w:t>
            </w:r>
            <w:r w:rsidRPr="00692FD3">
              <w:rPr>
                <w:rFonts w:ascii="Arial" w:hAnsi="Arial" w:cs="Arial"/>
                <w:sz w:val="22"/>
                <w:szCs w:val="22"/>
              </w:rPr>
              <w:t>reto</w:t>
            </w:r>
            <w:r w:rsidRPr="00692FD3">
              <w:rPr>
                <w:rFonts w:ascii="Arial" w:hAnsi="Arial" w:cs="Arial"/>
                <w:spacing w:val="-5"/>
                <w:sz w:val="22"/>
                <w:szCs w:val="22"/>
              </w:rPr>
              <w:t xml:space="preserve"> </w:t>
            </w:r>
            <w:r w:rsidRPr="00692FD3">
              <w:rPr>
                <w:rFonts w:ascii="Arial" w:hAnsi="Arial" w:cs="Arial"/>
                <w:sz w:val="22"/>
                <w:szCs w:val="22"/>
              </w:rPr>
              <w:t>institucional</w:t>
            </w:r>
            <w:r w:rsidRPr="00692FD3">
              <w:rPr>
                <w:rFonts w:ascii="Arial" w:hAnsi="Arial" w:cs="Arial"/>
                <w:spacing w:val="-5"/>
                <w:sz w:val="22"/>
                <w:szCs w:val="22"/>
              </w:rPr>
              <w:t xml:space="preserve"> </w:t>
            </w:r>
            <w:r w:rsidRPr="00692FD3">
              <w:rPr>
                <w:rFonts w:ascii="Arial" w:hAnsi="Arial" w:cs="Arial"/>
                <w:sz w:val="22"/>
                <w:szCs w:val="22"/>
              </w:rPr>
              <w:t>es</w:t>
            </w:r>
            <w:r w:rsidRPr="00692FD3">
              <w:rPr>
                <w:rFonts w:ascii="Arial" w:hAnsi="Arial" w:cs="Arial"/>
                <w:spacing w:val="-4"/>
                <w:sz w:val="22"/>
                <w:szCs w:val="22"/>
              </w:rPr>
              <w:t xml:space="preserve"> </w:t>
            </w:r>
            <w:r w:rsidRPr="00692FD3">
              <w:rPr>
                <w:rFonts w:ascii="Arial" w:hAnsi="Arial" w:cs="Arial"/>
                <w:sz w:val="22"/>
                <w:szCs w:val="22"/>
              </w:rPr>
              <w:t>lograr</w:t>
            </w:r>
            <w:r w:rsidRPr="00692FD3">
              <w:rPr>
                <w:rFonts w:ascii="Arial" w:hAnsi="Arial" w:cs="Arial"/>
                <w:spacing w:val="40"/>
                <w:sz w:val="22"/>
                <w:szCs w:val="22"/>
              </w:rPr>
              <w:t xml:space="preserve"> </w:t>
            </w:r>
            <w:r w:rsidRPr="00692FD3">
              <w:rPr>
                <w:rFonts w:ascii="Arial" w:hAnsi="Arial" w:cs="Arial"/>
                <w:sz w:val="22"/>
                <w:szCs w:val="22"/>
              </w:rPr>
              <w:t>avanzar</w:t>
            </w:r>
            <w:r w:rsidRPr="00692FD3">
              <w:rPr>
                <w:rFonts w:ascii="Arial" w:hAnsi="Arial" w:cs="Arial"/>
                <w:spacing w:val="-10"/>
                <w:sz w:val="22"/>
                <w:szCs w:val="22"/>
              </w:rPr>
              <w:t xml:space="preserve"> </w:t>
            </w:r>
            <w:r w:rsidRPr="00692FD3">
              <w:rPr>
                <w:rFonts w:ascii="Arial" w:hAnsi="Arial" w:cs="Arial"/>
                <w:sz w:val="22"/>
                <w:szCs w:val="22"/>
              </w:rPr>
              <w:t>en</w:t>
            </w:r>
            <w:r w:rsidRPr="00692FD3">
              <w:rPr>
                <w:rFonts w:ascii="Arial" w:hAnsi="Arial" w:cs="Arial"/>
                <w:spacing w:val="-9"/>
                <w:sz w:val="22"/>
                <w:szCs w:val="22"/>
              </w:rPr>
              <w:t xml:space="preserve"> </w:t>
            </w:r>
            <w:r w:rsidRPr="00692FD3">
              <w:rPr>
                <w:rFonts w:ascii="Arial" w:hAnsi="Arial" w:cs="Arial"/>
                <w:sz w:val="22"/>
                <w:szCs w:val="22"/>
              </w:rPr>
              <w:t>la</w:t>
            </w:r>
            <w:r w:rsidRPr="00692FD3">
              <w:rPr>
                <w:rFonts w:ascii="Arial" w:hAnsi="Arial" w:cs="Arial"/>
                <w:spacing w:val="-10"/>
                <w:sz w:val="22"/>
                <w:szCs w:val="22"/>
              </w:rPr>
              <w:t xml:space="preserve"> </w:t>
            </w:r>
            <w:r w:rsidRPr="00692FD3">
              <w:rPr>
                <w:rFonts w:ascii="Arial" w:hAnsi="Arial" w:cs="Arial"/>
                <w:sz w:val="22"/>
                <w:szCs w:val="22"/>
              </w:rPr>
              <w:t>unificación</w:t>
            </w:r>
            <w:r w:rsidRPr="00692FD3">
              <w:rPr>
                <w:rFonts w:ascii="Arial" w:hAnsi="Arial" w:cs="Arial"/>
                <w:spacing w:val="-9"/>
                <w:sz w:val="22"/>
                <w:szCs w:val="22"/>
              </w:rPr>
              <w:t xml:space="preserve"> </w:t>
            </w:r>
            <w:r w:rsidRPr="00692FD3">
              <w:rPr>
                <w:rFonts w:ascii="Arial" w:hAnsi="Arial" w:cs="Arial"/>
                <w:sz w:val="22"/>
                <w:szCs w:val="22"/>
              </w:rPr>
              <w:t>de</w:t>
            </w:r>
            <w:r w:rsidRPr="00692FD3">
              <w:rPr>
                <w:rFonts w:ascii="Arial" w:hAnsi="Arial" w:cs="Arial"/>
                <w:spacing w:val="-10"/>
                <w:sz w:val="22"/>
                <w:szCs w:val="22"/>
              </w:rPr>
              <w:t xml:space="preserve"> </w:t>
            </w:r>
            <w:r w:rsidRPr="00692FD3">
              <w:rPr>
                <w:rFonts w:ascii="Arial" w:hAnsi="Arial" w:cs="Arial"/>
                <w:sz w:val="22"/>
                <w:szCs w:val="22"/>
              </w:rPr>
              <w:t>los</w:t>
            </w:r>
            <w:r w:rsidRPr="00692FD3">
              <w:rPr>
                <w:rFonts w:ascii="Arial" w:hAnsi="Arial" w:cs="Arial"/>
                <w:spacing w:val="-9"/>
                <w:sz w:val="22"/>
                <w:szCs w:val="22"/>
              </w:rPr>
              <w:t xml:space="preserve"> </w:t>
            </w:r>
            <w:r w:rsidRPr="00692FD3">
              <w:rPr>
                <w:rFonts w:ascii="Arial" w:hAnsi="Arial" w:cs="Arial"/>
                <w:sz w:val="22"/>
                <w:szCs w:val="22"/>
              </w:rPr>
              <w:t>expedientes</w:t>
            </w:r>
            <w:r w:rsidRPr="00692FD3">
              <w:rPr>
                <w:rFonts w:ascii="Arial" w:hAnsi="Arial" w:cs="Arial"/>
                <w:spacing w:val="-9"/>
                <w:sz w:val="22"/>
                <w:szCs w:val="22"/>
              </w:rPr>
              <w:t xml:space="preserve"> </w:t>
            </w:r>
            <w:r w:rsidRPr="00692FD3">
              <w:rPr>
                <w:rFonts w:ascii="Arial" w:hAnsi="Arial" w:cs="Arial"/>
                <w:sz w:val="22"/>
                <w:szCs w:val="22"/>
              </w:rPr>
              <w:t>documentales</w:t>
            </w:r>
            <w:r w:rsidRPr="00692FD3">
              <w:rPr>
                <w:rFonts w:ascii="Arial" w:hAnsi="Arial" w:cs="Arial"/>
                <w:spacing w:val="-9"/>
                <w:sz w:val="22"/>
                <w:szCs w:val="22"/>
              </w:rPr>
              <w:t xml:space="preserve"> </w:t>
            </w:r>
            <w:r w:rsidRPr="00692FD3">
              <w:rPr>
                <w:rFonts w:ascii="Arial" w:hAnsi="Arial" w:cs="Arial"/>
                <w:sz w:val="22"/>
                <w:szCs w:val="22"/>
              </w:rPr>
              <w:t>a</w:t>
            </w:r>
            <w:r w:rsidRPr="00692FD3">
              <w:rPr>
                <w:rFonts w:ascii="Arial" w:hAnsi="Arial" w:cs="Arial"/>
                <w:spacing w:val="-10"/>
                <w:sz w:val="22"/>
                <w:szCs w:val="22"/>
              </w:rPr>
              <w:t xml:space="preserve"> </w:t>
            </w:r>
            <w:r w:rsidRPr="00692FD3">
              <w:rPr>
                <w:rFonts w:ascii="Arial" w:hAnsi="Arial" w:cs="Arial"/>
                <w:sz w:val="22"/>
                <w:szCs w:val="22"/>
              </w:rPr>
              <w:t>través</w:t>
            </w:r>
            <w:r w:rsidRPr="00692FD3">
              <w:rPr>
                <w:rFonts w:ascii="Arial" w:hAnsi="Arial" w:cs="Arial"/>
                <w:spacing w:val="-7"/>
                <w:sz w:val="22"/>
                <w:szCs w:val="22"/>
              </w:rPr>
              <w:t xml:space="preserve"> </w:t>
            </w:r>
            <w:r w:rsidRPr="00692FD3">
              <w:rPr>
                <w:rFonts w:ascii="Arial" w:hAnsi="Arial" w:cs="Arial"/>
                <w:sz w:val="22"/>
                <w:szCs w:val="22"/>
              </w:rPr>
              <w:t>del</w:t>
            </w:r>
            <w:r w:rsidRPr="00692FD3">
              <w:rPr>
                <w:rFonts w:ascii="Arial" w:hAnsi="Arial" w:cs="Arial"/>
                <w:spacing w:val="40"/>
                <w:sz w:val="22"/>
                <w:szCs w:val="22"/>
              </w:rPr>
              <w:t xml:space="preserve"> </w:t>
            </w:r>
            <w:r w:rsidRPr="00692FD3">
              <w:rPr>
                <w:rFonts w:ascii="Arial" w:hAnsi="Arial" w:cs="Arial"/>
                <w:sz w:val="22"/>
                <w:szCs w:val="22"/>
              </w:rPr>
              <w:t>gestor documental de la entidad, articulado con las Tablas de …</w:t>
            </w:r>
          </w:p>
        </w:tc>
      </w:tr>
    </w:tbl>
    <w:p w14:paraId="13F90B98" w14:textId="77777777" w:rsidR="00561B22" w:rsidRPr="00692FD3" w:rsidRDefault="00561B22" w:rsidP="00561B22">
      <w:pPr>
        <w:pStyle w:val="Textoindependiente"/>
        <w:ind w:right="-50"/>
        <w:jc w:val="both"/>
        <w:rPr>
          <w:rFonts w:ascii="Arial" w:hAnsi="Arial" w:cs="Arial"/>
          <w:b/>
          <w:bCs/>
        </w:rPr>
      </w:pPr>
    </w:p>
    <w:p w14:paraId="543E6FF4" w14:textId="77777777" w:rsidR="00561B22" w:rsidRPr="00692FD3" w:rsidRDefault="00561B22" w:rsidP="00561B22">
      <w:pPr>
        <w:jc w:val="both"/>
        <w:rPr>
          <w:rFonts w:ascii="Arial" w:hAnsi="Arial" w:cs="Arial"/>
          <w:b/>
          <w:lang w:val="es-MX"/>
        </w:rPr>
      </w:pPr>
      <w:r w:rsidRPr="00692FD3">
        <w:rPr>
          <w:rFonts w:ascii="Arial" w:hAnsi="Arial" w:cs="Arial"/>
          <w:b/>
          <w:lang w:val="es-MX"/>
        </w:rPr>
        <w:t>Del citado informe retomamos las siguientes recomendaciones:</w:t>
      </w:r>
    </w:p>
    <w:p w14:paraId="7A59C425" w14:textId="77777777" w:rsidR="00561B22" w:rsidRPr="00692FD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92FD3" w14:paraId="4FE5C6D9" w14:textId="77777777" w:rsidTr="00F1223B">
        <w:tc>
          <w:tcPr>
            <w:tcW w:w="562" w:type="dxa"/>
          </w:tcPr>
          <w:p w14:paraId="60C6BDD8" w14:textId="77777777" w:rsidR="00561B22" w:rsidRPr="00692FD3" w:rsidRDefault="00561B22" w:rsidP="00F1223B">
            <w:pPr>
              <w:ind w:right="-109"/>
              <w:jc w:val="center"/>
              <w:rPr>
                <w:rFonts w:ascii="Arial" w:hAnsi="Arial" w:cs="Arial"/>
                <w:b/>
                <w:sz w:val="22"/>
                <w:szCs w:val="22"/>
                <w:lang w:val="es-MX"/>
              </w:rPr>
            </w:pPr>
            <w:r w:rsidRPr="00692FD3">
              <w:rPr>
                <w:rFonts w:ascii="Arial" w:hAnsi="Arial" w:cs="Arial"/>
                <w:b/>
                <w:sz w:val="22"/>
                <w:szCs w:val="22"/>
                <w:lang w:val="es-MX"/>
              </w:rPr>
              <w:t>N°</w:t>
            </w:r>
          </w:p>
        </w:tc>
        <w:tc>
          <w:tcPr>
            <w:tcW w:w="9400" w:type="dxa"/>
          </w:tcPr>
          <w:p w14:paraId="436DF1CB"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RECOMENDACIONES</w:t>
            </w:r>
          </w:p>
          <w:p w14:paraId="6BE1C8EB" w14:textId="77777777" w:rsidR="00561B22" w:rsidRPr="00692FD3" w:rsidRDefault="00561B22" w:rsidP="00F1223B">
            <w:pPr>
              <w:jc w:val="center"/>
              <w:rPr>
                <w:rFonts w:ascii="Arial" w:hAnsi="Arial" w:cs="Arial"/>
                <w:b/>
                <w:sz w:val="22"/>
                <w:szCs w:val="22"/>
                <w:lang w:val="es-MX"/>
              </w:rPr>
            </w:pPr>
          </w:p>
        </w:tc>
      </w:tr>
      <w:tr w:rsidR="00561B22" w:rsidRPr="00692FD3" w14:paraId="54657873" w14:textId="77777777" w:rsidTr="00F1223B">
        <w:tc>
          <w:tcPr>
            <w:tcW w:w="562" w:type="dxa"/>
          </w:tcPr>
          <w:p w14:paraId="3D0A46D4"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1</w:t>
            </w:r>
          </w:p>
        </w:tc>
        <w:tc>
          <w:tcPr>
            <w:tcW w:w="9400" w:type="dxa"/>
          </w:tcPr>
          <w:p w14:paraId="4E4BFE3E" w14:textId="77777777" w:rsidR="00561B22" w:rsidRPr="00692FD3" w:rsidRDefault="00561B22" w:rsidP="00F1223B">
            <w:pPr>
              <w:pStyle w:val="TableParagraph"/>
              <w:spacing w:line="276" w:lineRule="auto"/>
              <w:ind w:left="27"/>
              <w:jc w:val="both"/>
              <w:rPr>
                <w:sz w:val="22"/>
                <w:szCs w:val="22"/>
              </w:rPr>
            </w:pPr>
            <w:r w:rsidRPr="00692FD3">
              <w:rPr>
                <w:sz w:val="22"/>
                <w:szCs w:val="22"/>
              </w:rPr>
              <w:t>Fortalecer</w:t>
            </w:r>
            <w:r w:rsidRPr="00692FD3">
              <w:rPr>
                <w:spacing w:val="2"/>
                <w:sz w:val="22"/>
                <w:szCs w:val="22"/>
              </w:rPr>
              <w:t xml:space="preserve"> </w:t>
            </w:r>
            <w:r w:rsidRPr="00692FD3">
              <w:rPr>
                <w:sz w:val="22"/>
                <w:szCs w:val="22"/>
              </w:rPr>
              <w:t>la</w:t>
            </w:r>
            <w:r w:rsidRPr="00692FD3">
              <w:rPr>
                <w:spacing w:val="2"/>
                <w:sz w:val="22"/>
                <w:szCs w:val="22"/>
              </w:rPr>
              <w:t xml:space="preserve"> </w:t>
            </w:r>
            <w:r w:rsidRPr="00692FD3">
              <w:rPr>
                <w:sz w:val="22"/>
                <w:szCs w:val="22"/>
              </w:rPr>
              <w:t>capacitación</w:t>
            </w:r>
            <w:r w:rsidRPr="00692FD3">
              <w:rPr>
                <w:spacing w:val="2"/>
                <w:sz w:val="22"/>
                <w:szCs w:val="22"/>
              </w:rPr>
              <w:t xml:space="preserve"> </w:t>
            </w:r>
            <w:r w:rsidRPr="00692FD3">
              <w:rPr>
                <w:sz w:val="22"/>
                <w:szCs w:val="22"/>
              </w:rPr>
              <w:t>y</w:t>
            </w:r>
            <w:r w:rsidRPr="00692FD3">
              <w:rPr>
                <w:spacing w:val="-1"/>
                <w:sz w:val="22"/>
                <w:szCs w:val="22"/>
              </w:rPr>
              <w:t xml:space="preserve"> </w:t>
            </w:r>
            <w:r w:rsidRPr="00692FD3">
              <w:rPr>
                <w:sz w:val="22"/>
                <w:szCs w:val="22"/>
              </w:rPr>
              <w:t>el</w:t>
            </w:r>
            <w:r w:rsidRPr="00692FD3">
              <w:rPr>
                <w:spacing w:val="3"/>
                <w:sz w:val="22"/>
                <w:szCs w:val="22"/>
              </w:rPr>
              <w:t xml:space="preserve"> </w:t>
            </w:r>
            <w:r w:rsidRPr="00692FD3">
              <w:rPr>
                <w:sz w:val="22"/>
                <w:szCs w:val="22"/>
              </w:rPr>
              <w:t>entrenamiento</w:t>
            </w:r>
            <w:r w:rsidRPr="00692FD3">
              <w:rPr>
                <w:spacing w:val="4"/>
                <w:sz w:val="22"/>
                <w:szCs w:val="22"/>
              </w:rPr>
              <w:t xml:space="preserve"> </w:t>
            </w:r>
            <w:r w:rsidRPr="00692FD3">
              <w:rPr>
                <w:sz w:val="22"/>
                <w:szCs w:val="22"/>
              </w:rPr>
              <w:t>de</w:t>
            </w:r>
            <w:r w:rsidRPr="00692FD3">
              <w:rPr>
                <w:spacing w:val="2"/>
                <w:sz w:val="22"/>
                <w:szCs w:val="22"/>
              </w:rPr>
              <w:t xml:space="preserve"> </w:t>
            </w:r>
            <w:r w:rsidRPr="00692FD3">
              <w:rPr>
                <w:sz w:val="22"/>
                <w:szCs w:val="22"/>
              </w:rPr>
              <w:t>los</w:t>
            </w:r>
            <w:r w:rsidRPr="00692FD3">
              <w:rPr>
                <w:spacing w:val="4"/>
                <w:sz w:val="22"/>
                <w:szCs w:val="22"/>
              </w:rPr>
              <w:t xml:space="preserve"> </w:t>
            </w:r>
            <w:r w:rsidRPr="00692FD3">
              <w:rPr>
                <w:sz w:val="22"/>
                <w:szCs w:val="22"/>
              </w:rPr>
              <w:t>supervisores</w:t>
            </w:r>
            <w:r w:rsidRPr="00692FD3">
              <w:rPr>
                <w:spacing w:val="3"/>
                <w:sz w:val="22"/>
                <w:szCs w:val="22"/>
              </w:rPr>
              <w:t xml:space="preserve"> </w:t>
            </w:r>
            <w:r w:rsidRPr="00692FD3">
              <w:rPr>
                <w:sz w:val="22"/>
                <w:szCs w:val="22"/>
              </w:rPr>
              <w:t>y</w:t>
            </w:r>
            <w:r w:rsidRPr="00692FD3">
              <w:rPr>
                <w:spacing w:val="2"/>
                <w:sz w:val="22"/>
                <w:szCs w:val="22"/>
              </w:rPr>
              <w:t xml:space="preserve"> </w:t>
            </w:r>
            <w:r w:rsidRPr="00692FD3">
              <w:rPr>
                <w:spacing w:val="-5"/>
                <w:sz w:val="22"/>
                <w:szCs w:val="22"/>
              </w:rPr>
              <w:t xml:space="preserve">el </w:t>
            </w:r>
            <w:r w:rsidRPr="00692FD3">
              <w:rPr>
                <w:sz w:val="22"/>
                <w:szCs w:val="22"/>
              </w:rPr>
              <w:t>personal</w:t>
            </w:r>
            <w:r w:rsidRPr="00692FD3">
              <w:rPr>
                <w:spacing w:val="-10"/>
                <w:sz w:val="22"/>
                <w:szCs w:val="22"/>
              </w:rPr>
              <w:t xml:space="preserve"> </w:t>
            </w:r>
            <w:r w:rsidRPr="00692FD3">
              <w:rPr>
                <w:sz w:val="22"/>
                <w:szCs w:val="22"/>
              </w:rPr>
              <w:t>de</w:t>
            </w:r>
            <w:r w:rsidRPr="00692FD3">
              <w:rPr>
                <w:spacing w:val="-10"/>
                <w:sz w:val="22"/>
                <w:szCs w:val="22"/>
              </w:rPr>
              <w:t xml:space="preserve"> </w:t>
            </w:r>
            <w:r w:rsidRPr="00692FD3">
              <w:rPr>
                <w:sz w:val="22"/>
                <w:szCs w:val="22"/>
              </w:rPr>
              <w:t>las</w:t>
            </w:r>
            <w:r w:rsidRPr="00692FD3">
              <w:rPr>
                <w:spacing w:val="-10"/>
                <w:sz w:val="22"/>
                <w:szCs w:val="22"/>
              </w:rPr>
              <w:t xml:space="preserve"> </w:t>
            </w:r>
            <w:r w:rsidRPr="00692FD3">
              <w:rPr>
                <w:sz w:val="22"/>
                <w:szCs w:val="22"/>
              </w:rPr>
              <w:t>diferentes</w:t>
            </w:r>
            <w:r w:rsidRPr="00692FD3">
              <w:rPr>
                <w:spacing w:val="-9"/>
                <w:sz w:val="22"/>
                <w:szCs w:val="22"/>
              </w:rPr>
              <w:t xml:space="preserve"> </w:t>
            </w:r>
            <w:r w:rsidRPr="00692FD3">
              <w:rPr>
                <w:sz w:val="22"/>
                <w:szCs w:val="22"/>
              </w:rPr>
              <w:t>dependencias</w:t>
            </w:r>
            <w:r w:rsidRPr="00692FD3">
              <w:rPr>
                <w:spacing w:val="-10"/>
                <w:sz w:val="22"/>
                <w:szCs w:val="22"/>
              </w:rPr>
              <w:t xml:space="preserve"> </w:t>
            </w:r>
            <w:r w:rsidRPr="00692FD3">
              <w:rPr>
                <w:sz w:val="22"/>
                <w:szCs w:val="22"/>
              </w:rPr>
              <w:t>que</w:t>
            </w:r>
            <w:r w:rsidRPr="00692FD3">
              <w:rPr>
                <w:spacing w:val="-10"/>
                <w:sz w:val="22"/>
                <w:szCs w:val="22"/>
              </w:rPr>
              <w:t xml:space="preserve"> </w:t>
            </w:r>
            <w:r w:rsidRPr="00692FD3">
              <w:rPr>
                <w:sz w:val="22"/>
                <w:szCs w:val="22"/>
              </w:rPr>
              <w:t>realizan</w:t>
            </w:r>
            <w:r w:rsidRPr="00692FD3">
              <w:rPr>
                <w:spacing w:val="-10"/>
                <w:sz w:val="22"/>
                <w:szCs w:val="22"/>
              </w:rPr>
              <w:t xml:space="preserve"> </w:t>
            </w:r>
            <w:r w:rsidRPr="00692FD3">
              <w:rPr>
                <w:sz w:val="22"/>
                <w:szCs w:val="22"/>
              </w:rPr>
              <w:t>conciliaciones</w:t>
            </w:r>
            <w:r w:rsidRPr="00692FD3">
              <w:rPr>
                <w:spacing w:val="-9"/>
                <w:sz w:val="22"/>
                <w:szCs w:val="22"/>
              </w:rPr>
              <w:t xml:space="preserve"> </w:t>
            </w:r>
            <w:r w:rsidRPr="00692FD3">
              <w:rPr>
                <w:sz w:val="22"/>
                <w:szCs w:val="22"/>
              </w:rPr>
              <w:t>de</w:t>
            </w:r>
            <w:r w:rsidRPr="00692FD3">
              <w:rPr>
                <w:spacing w:val="40"/>
                <w:sz w:val="22"/>
                <w:szCs w:val="22"/>
              </w:rPr>
              <w:t xml:space="preserve"> </w:t>
            </w:r>
            <w:r w:rsidRPr="00692FD3">
              <w:rPr>
                <w:sz w:val="22"/>
                <w:szCs w:val="22"/>
              </w:rPr>
              <w:t>información con impacto en el proceso contable.</w:t>
            </w:r>
          </w:p>
        </w:tc>
      </w:tr>
      <w:tr w:rsidR="00561B22" w:rsidRPr="00692FD3" w14:paraId="29F2DD8A" w14:textId="77777777" w:rsidTr="00F1223B">
        <w:tc>
          <w:tcPr>
            <w:tcW w:w="562" w:type="dxa"/>
          </w:tcPr>
          <w:p w14:paraId="53CAAB25"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2</w:t>
            </w:r>
          </w:p>
        </w:tc>
        <w:tc>
          <w:tcPr>
            <w:tcW w:w="9400" w:type="dxa"/>
          </w:tcPr>
          <w:p w14:paraId="21147C57" w14:textId="77777777" w:rsidR="00561B22" w:rsidRPr="00692FD3" w:rsidRDefault="00561B22" w:rsidP="00F1223B">
            <w:pPr>
              <w:pStyle w:val="TableParagraph"/>
              <w:spacing w:line="276" w:lineRule="auto"/>
              <w:ind w:left="27" w:right="45"/>
              <w:jc w:val="both"/>
              <w:rPr>
                <w:sz w:val="22"/>
                <w:szCs w:val="22"/>
              </w:rPr>
            </w:pPr>
            <w:r w:rsidRPr="00692FD3">
              <w:rPr>
                <w:sz w:val="22"/>
                <w:szCs w:val="22"/>
              </w:rPr>
              <w:t>Documentar</w:t>
            </w:r>
            <w:r w:rsidRPr="00692FD3">
              <w:rPr>
                <w:spacing w:val="40"/>
                <w:sz w:val="22"/>
                <w:szCs w:val="22"/>
              </w:rPr>
              <w:t xml:space="preserve"> </w:t>
            </w:r>
            <w:r w:rsidRPr="00692FD3">
              <w:rPr>
                <w:sz w:val="22"/>
                <w:szCs w:val="22"/>
              </w:rPr>
              <w:t>los</w:t>
            </w:r>
            <w:r w:rsidRPr="00692FD3">
              <w:rPr>
                <w:spacing w:val="40"/>
                <w:sz w:val="22"/>
                <w:szCs w:val="22"/>
              </w:rPr>
              <w:t xml:space="preserve"> </w:t>
            </w:r>
            <w:r w:rsidRPr="00692FD3">
              <w:rPr>
                <w:sz w:val="22"/>
                <w:szCs w:val="22"/>
              </w:rPr>
              <w:t>acuerdos</w:t>
            </w:r>
            <w:r w:rsidRPr="00692FD3">
              <w:rPr>
                <w:spacing w:val="40"/>
                <w:sz w:val="22"/>
                <w:szCs w:val="22"/>
              </w:rPr>
              <w:t xml:space="preserve"> </w:t>
            </w:r>
            <w:r w:rsidRPr="00692FD3">
              <w:rPr>
                <w:sz w:val="22"/>
                <w:szCs w:val="22"/>
              </w:rPr>
              <w:t>de</w:t>
            </w:r>
            <w:r w:rsidRPr="00692FD3">
              <w:rPr>
                <w:spacing w:val="40"/>
                <w:sz w:val="22"/>
                <w:szCs w:val="22"/>
              </w:rPr>
              <w:t xml:space="preserve"> </w:t>
            </w:r>
            <w:r w:rsidRPr="00692FD3">
              <w:rPr>
                <w:sz w:val="22"/>
                <w:szCs w:val="22"/>
              </w:rPr>
              <w:t>niveles</w:t>
            </w:r>
            <w:r w:rsidRPr="00692FD3">
              <w:rPr>
                <w:spacing w:val="40"/>
                <w:sz w:val="22"/>
                <w:szCs w:val="22"/>
              </w:rPr>
              <w:t xml:space="preserve"> </w:t>
            </w:r>
            <w:r w:rsidRPr="00692FD3">
              <w:rPr>
                <w:sz w:val="22"/>
                <w:szCs w:val="22"/>
              </w:rPr>
              <w:t>de</w:t>
            </w:r>
            <w:r w:rsidRPr="00692FD3">
              <w:rPr>
                <w:spacing w:val="40"/>
                <w:sz w:val="22"/>
                <w:szCs w:val="22"/>
              </w:rPr>
              <w:t xml:space="preserve"> </w:t>
            </w:r>
            <w:r w:rsidRPr="00692FD3">
              <w:rPr>
                <w:sz w:val="22"/>
                <w:szCs w:val="22"/>
              </w:rPr>
              <w:t>servicios,</w:t>
            </w:r>
            <w:r w:rsidRPr="00692FD3">
              <w:rPr>
                <w:spacing w:val="40"/>
                <w:sz w:val="22"/>
                <w:szCs w:val="22"/>
              </w:rPr>
              <w:t xml:space="preserve"> </w:t>
            </w:r>
            <w:r w:rsidRPr="00692FD3">
              <w:rPr>
                <w:sz w:val="22"/>
                <w:szCs w:val="22"/>
              </w:rPr>
              <w:t>con</w:t>
            </w:r>
            <w:r w:rsidRPr="00692FD3">
              <w:rPr>
                <w:spacing w:val="40"/>
                <w:sz w:val="22"/>
                <w:szCs w:val="22"/>
              </w:rPr>
              <w:t xml:space="preserve"> </w:t>
            </w:r>
            <w:r w:rsidRPr="00692FD3">
              <w:rPr>
                <w:sz w:val="22"/>
                <w:szCs w:val="22"/>
              </w:rPr>
              <w:t>las</w:t>
            </w:r>
            <w:r w:rsidRPr="00692FD3">
              <w:rPr>
                <w:spacing w:val="40"/>
                <w:sz w:val="22"/>
                <w:szCs w:val="22"/>
              </w:rPr>
              <w:t xml:space="preserve"> </w:t>
            </w:r>
            <w:r w:rsidRPr="00692FD3">
              <w:rPr>
                <w:sz w:val="22"/>
                <w:szCs w:val="22"/>
              </w:rPr>
              <w:t>áreas</w:t>
            </w:r>
            <w:r w:rsidRPr="00692FD3">
              <w:rPr>
                <w:spacing w:val="40"/>
                <w:sz w:val="22"/>
                <w:szCs w:val="22"/>
              </w:rPr>
              <w:t xml:space="preserve"> </w:t>
            </w:r>
            <w:r w:rsidRPr="00692FD3">
              <w:rPr>
                <w:sz w:val="22"/>
                <w:szCs w:val="22"/>
              </w:rPr>
              <w:t>proveedoras</w:t>
            </w:r>
            <w:r w:rsidRPr="00692FD3">
              <w:rPr>
                <w:spacing w:val="40"/>
                <w:sz w:val="22"/>
                <w:szCs w:val="22"/>
              </w:rPr>
              <w:t xml:space="preserve"> </w:t>
            </w:r>
            <w:r w:rsidRPr="00692FD3">
              <w:rPr>
                <w:sz w:val="22"/>
                <w:szCs w:val="22"/>
              </w:rPr>
              <w:t>de</w:t>
            </w:r>
            <w:r w:rsidRPr="00692FD3">
              <w:rPr>
                <w:spacing w:val="40"/>
                <w:sz w:val="22"/>
                <w:szCs w:val="22"/>
              </w:rPr>
              <w:t xml:space="preserve"> </w:t>
            </w:r>
            <w:r w:rsidRPr="00692FD3">
              <w:rPr>
                <w:sz w:val="22"/>
                <w:szCs w:val="22"/>
              </w:rPr>
              <w:t>información</w:t>
            </w:r>
            <w:r w:rsidRPr="00692FD3">
              <w:rPr>
                <w:spacing w:val="40"/>
                <w:sz w:val="22"/>
                <w:szCs w:val="22"/>
              </w:rPr>
              <w:t xml:space="preserve"> </w:t>
            </w:r>
            <w:r w:rsidRPr="00692FD3">
              <w:rPr>
                <w:sz w:val="22"/>
                <w:szCs w:val="22"/>
              </w:rPr>
              <w:t>en</w:t>
            </w:r>
            <w:r w:rsidRPr="00692FD3">
              <w:rPr>
                <w:spacing w:val="40"/>
                <w:sz w:val="22"/>
                <w:szCs w:val="22"/>
              </w:rPr>
              <w:t xml:space="preserve"> </w:t>
            </w:r>
            <w:r w:rsidRPr="00692FD3">
              <w:rPr>
                <w:sz w:val="22"/>
                <w:szCs w:val="22"/>
              </w:rPr>
              <w:t>cuanto</w:t>
            </w:r>
            <w:r w:rsidRPr="00692FD3">
              <w:rPr>
                <w:spacing w:val="40"/>
                <w:sz w:val="22"/>
                <w:szCs w:val="22"/>
              </w:rPr>
              <w:t xml:space="preserve"> </w:t>
            </w:r>
            <w:r w:rsidRPr="00692FD3">
              <w:rPr>
                <w:sz w:val="22"/>
                <w:szCs w:val="22"/>
              </w:rPr>
              <w:t>a</w:t>
            </w:r>
            <w:r w:rsidRPr="00692FD3">
              <w:rPr>
                <w:spacing w:val="40"/>
                <w:sz w:val="22"/>
                <w:szCs w:val="22"/>
              </w:rPr>
              <w:t xml:space="preserve"> </w:t>
            </w:r>
            <w:r w:rsidRPr="00692FD3">
              <w:rPr>
                <w:sz w:val="22"/>
                <w:szCs w:val="22"/>
              </w:rPr>
              <w:t>periodicidad,</w:t>
            </w:r>
            <w:r w:rsidRPr="00692FD3">
              <w:rPr>
                <w:spacing w:val="40"/>
                <w:sz w:val="22"/>
                <w:szCs w:val="22"/>
              </w:rPr>
              <w:t xml:space="preserve"> </w:t>
            </w:r>
            <w:r w:rsidRPr="00692FD3">
              <w:rPr>
                <w:sz w:val="22"/>
                <w:szCs w:val="22"/>
              </w:rPr>
              <w:t>plazos</w:t>
            </w:r>
            <w:r w:rsidRPr="00692FD3">
              <w:rPr>
                <w:spacing w:val="40"/>
                <w:sz w:val="22"/>
                <w:szCs w:val="22"/>
              </w:rPr>
              <w:t xml:space="preserve"> </w:t>
            </w:r>
            <w:r w:rsidRPr="00692FD3">
              <w:rPr>
                <w:sz w:val="22"/>
                <w:szCs w:val="22"/>
              </w:rPr>
              <w:t>de</w:t>
            </w:r>
            <w:r w:rsidRPr="00692FD3">
              <w:rPr>
                <w:spacing w:val="40"/>
                <w:sz w:val="22"/>
                <w:szCs w:val="22"/>
              </w:rPr>
              <w:t xml:space="preserve"> </w:t>
            </w:r>
            <w:r w:rsidRPr="00692FD3">
              <w:rPr>
                <w:sz w:val="22"/>
                <w:szCs w:val="22"/>
              </w:rPr>
              <w:t>entrega,</w:t>
            </w:r>
            <w:r w:rsidRPr="00692FD3">
              <w:rPr>
                <w:spacing w:val="-10"/>
                <w:sz w:val="22"/>
                <w:szCs w:val="22"/>
              </w:rPr>
              <w:t xml:space="preserve"> </w:t>
            </w:r>
            <w:r w:rsidRPr="00692FD3">
              <w:rPr>
                <w:sz w:val="22"/>
                <w:szCs w:val="22"/>
              </w:rPr>
              <w:t>contenido</w:t>
            </w:r>
            <w:r w:rsidRPr="00692FD3">
              <w:rPr>
                <w:spacing w:val="-10"/>
                <w:sz w:val="22"/>
                <w:szCs w:val="22"/>
              </w:rPr>
              <w:t xml:space="preserve"> </w:t>
            </w:r>
            <w:r w:rsidRPr="00692FD3">
              <w:rPr>
                <w:sz w:val="22"/>
                <w:szCs w:val="22"/>
              </w:rPr>
              <w:t>de</w:t>
            </w:r>
            <w:r w:rsidRPr="00692FD3">
              <w:rPr>
                <w:spacing w:val="-10"/>
                <w:sz w:val="22"/>
                <w:szCs w:val="22"/>
              </w:rPr>
              <w:t xml:space="preserve"> </w:t>
            </w:r>
            <w:r w:rsidRPr="00692FD3">
              <w:rPr>
                <w:sz w:val="22"/>
                <w:szCs w:val="22"/>
              </w:rPr>
              <w:t>información,</w:t>
            </w:r>
            <w:r w:rsidRPr="00692FD3">
              <w:rPr>
                <w:spacing w:val="-9"/>
                <w:sz w:val="22"/>
                <w:szCs w:val="22"/>
              </w:rPr>
              <w:t xml:space="preserve"> </w:t>
            </w:r>
            <w:r w:rsidRPr="00692FD3">
              <w:rPr>
                <w:sz w:val="22"/>
                <w:szCs w:val="22"/>
              </w:rPr>
              <w:t>controles</w:t>
            </w:r>
            <w:r w:rsidRPr="00692FD3">
              <w:rPr>
                <w:spacing w:val="-10"/>
                <w:sz w:val="22"/>
                <w:szCs w:val="22"/>
              </w:rPr>
              <w:t xml:space="preserve"> </w:t>
            </w:r>
            <w:r w:rsidRPr="00692FD3">
              <w:rPr>
                <w:sz w:val="22"/>
                <w:szCs w:val="22"/>
              </w:rPr>
              <w:t>de</w:t>
            </w:r>
            <w:r w:rsidRPr="00692FD3">
              <w:rPr>
                <w:spacing w:val="-10"/>
                <w:sz w:val="22"/>
                <w:szCs w:val="22"/>
              </w:rPr>
              <w:t xml:space="preserve"> </w:t>
            </w:r>
            <w:r w:rsidRPr="00692FD3">
              <w:rPr>
                <w:sz w:val="22"/>
                <w:szCs w:val="22"/>
              </w:rPr>
              <w:t>calidad</w:t>
            </w:r>
            <w:r w:rsidRPr="00692FD3">
              <w:rPr>
                <w:spacing w:val="-10"/>
                <w:sz w:val="22"/>
                <w:szCs w:val="22"/>
              </w:rPr>
              <w:t xml:space="preserve"> </w:t>
            </w:r>
            <w:r w:rsidRPr="00692FD3">
              <w:rPr>
                <w:sz w:val="22"/>
                <w:szCs w:val="22"/>
              </w:rPr>
              <w:t>para</w:t>
            </w:r>
            <w:r w:rsidRPr="00692FD3">
              <w:rPr>
                <w:spacing w:val="-9"/>
                <w:sz w:val="22"/>
                <w:szCs w:val="22"/>
              </w:rPr>
              <w:t xml:space="preserve"> </w:t>
            </w:r>
            <w:r w:rsidRPr="00692FD3">
              <w:rPr>
                <w:sz w:val="22"/>
                <w:szCs w:val="22"/>
              </w:rPr>
              <w:t>la</w:t>
            </w:r>
            <w:r w:rsidRPr="00692FD3">
              <w:rPr>
                <w:spacing w:val="-8"/>
                <w:sz w:val="22"/>
                <w:szCs w:val="22"/>
              </w:rPr>
              <w:t xml:space="preserve"> </w:t>
            </w:r>
            <w:r w:rsidRPr="00692FD3">
              <w:rPr>
                <w:sz w:val="22"/>
                <w:szCs w:val="22"/>
              </w:rPr>
              <w:t>entrega</w:t>
            </w:r>
            <w:r w:rsidRPr="00692FD3">
              <w:rPr>
                <w:spacing w:val="40"/>
                <w:sz w:val="22"/>
                <w:szCs w:val="22"/>
              </w:rPr>
              <w:t xml:space="preserve"> </w:t>
            </w:r>
            <w:r w:rsidRPr="00692FD3">
              <w:rPr>
                <w:sz w:val="22"/>
                <w:szCs w:val="22"/>
              </w:rPr>
              <w:t>de información conciliada.</w:t>
            </w:r>
          </w:p>
        </w:tc>
      </w:tr>
      <w:tr w:rsidR="00561B22" w:rsidRPr="00692FD3" w14:paraId="11B4185E" w14:textId="77777777" w:rsidTr="00F1223B">
        <w:tc>
          <w:tcPr>
            <w:tcW w:w="562" w:type="dxa"/>
          </w:tcPr>
          <w:p w14:paraId="6529B8FE"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3</w:t>
            </w:r>
          </w:p>
        </w:tc>
        <w:tc>
          <w:tcPr>
            <w:tcW w:w="9400" w:type="dxa"/>
          </w:tcPr>
          <w:p w14:paraId="0CAADB84" w14:textId="77777777" w:rsidR="00561B22" w:rsidRPr="00692FD3" w:rsidRDefault="00561B22" w:rsidP="00F1223B">
            <w:pPr>
              <w:pStyle w:val="TableParagraph"/>
              <w:spacing w:line="276" w:lineRule="auto"/>
              <w:ind w:left="27" w:right="63"/>
              <w:jc w:val="both"/>
              <w:rPr>
                <w:sz w:val="22"/>
                <w:szCs w:val="22"/>
              </w:rPr>
            </w:pPr>
            <w:r w:rsidRPr="00692FD3">
              <w:rPr>
                <w:sz w:val="22"/>
                <w:szCs w:val="22"/>
              </w:rPr>
              <w:t>Se recomienda a la Administración y en particular al Fondo de</w:t>
            </w:r>
            <w:r w:rsidRPr="00692FD3">
              <w:rPr>
                <w:spacing w:val="40"/>
                <w:sz w:val="22"/>
                <w:szCs w:val="22"/>
              </w:rPr>
              <w:t xml:space="preserve"> </w:t>
            </w:r>
            <w:r w:rsidRPr="00692FD3">
              <w:rPr>
                <w:sz w:val="22"/>
                <w:szCs w:val="22"/>
              </w:rPr>
              <w:t>Programas Especiales para la Paz, revisar lo relacionado con los</w:t>
            </w:r>
            <w:r w:rsidRPr="00692FD3">
              <w:rPr>
                <w:spacing w:val="40"/>
                <w:sz w:val="22"/>
                <w:szCs w:val="22"/>
              </w:rPr>
              <w:t xml:space="preserve"> </w:t>
            </w:r>
            <w:r w:rsidRPr="00692FD3">
              <w:rPr>
                <w:sz w:val="22"/>
                <w:szCs w:val="22"/>
              </w:rPr>
              <w:t>recursos entregados en administración cuya ejecución no se ha</w:t>
            </w:r>
            <w:r w:rsidRPr="00692FD3">
              <w:rPr>
                <w:spacing w:val="40"/>
                <w:sz w:val="22"/>
                <w:szCs w:val="22"/>
              </w:rPr>
              <w:t xml:space="preserve"> </w:t>
            </w:r>
            <w:r w:rsidRPr="00692FD3">
              <w:rPr>
                <w:sz w:val="22"/>
                <w:szCs w:val="22"/>
              </w:rPr>
              <w:t>desarrollado y que los recursos fueron entregados desde la vigencia</w:t>
            </w:r>
            <w:r w:rsidRPr="00692FD3">
              <w:rPr>
                <w:spacing w:val="40"/>
                <w:sz w:val="22"/>
                <w:szCs w:val="22"/>
              </w:rPr>
              <w:t xml:space="preserve"> </w:t>
            </w:r>
            <w:r w:rsidRPr="00692FD3">
              <w:rPr>
                <w:sz w:val="22"/>
                <w:szCs w:val="22"/>
              </w:rPr>
              <w:t>2021, 2022 y 2023.</w:t>
            </w:r>
          </w:p>
        </w:tc>
      </w:tr>
      <w:tr w:rsidR="00561B22" w:rsidRPr="00692FD3" w14:paraId="7CF3A576" w14:textId="77777777" w:rsidTr="00F1223B">
        <w:tc>
          <w:tcPr>
            <w:tcW w:w="562" w:type="dxa"/>
          </w:tcPr>
          <w:p w14:paraId="45179794"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4</w:t>
            </w:r>
          </w:p>
        </w:tc>
        <w:tc>
          <w:tcPr>
            <w:tcW w:w="9400" w:type="dxa"/>
          </w:tcPr>
          <w:p w14:paraId="351EE2E8" w14:textId="77777777" w:rsidR="00561B22" w:rsidRPr="00692FD3" w:rsidRDefault="00561B22" w:rsidP="00F1223B">
            <w:pPr>
              <w:pStyle w:val="TableParagraph"/>
              <w:spacing w:before="1" w:line="276" w:lineRule="auto"/>
              <w:ind w:left="27" w:right="62"/>
              <w:jc w:val="both"/>
              <w:rPr>
                <w:sz w:val="22"/>
                <w:szCs w:val="22"/>
              </w:rPr>
            </w:pPr>
            <w:r w:rsidRPr="00692FD3">
              <w:rPr>
                <w:sz w:val="22"/>
                <w:szCs w:val="22"/>
              </w:rPr>
              <w:t>Incluir en los procesos de rendición de cuentas con la ciudadanía la</w:t>
            </w:r>
            <w:r w:rsidRPr="00692FD3">
              <w:rPr>
                <w:spacing w:val="40"/>
                <w:sz w:val="22"/>
                <w:szCs w:val="22"/>
              </w:rPr>
              <w:t xml:space="preserve"> </w:t>
            </w:r>
            <w:r w:rsidRPr="00692FD3">
              <w:rPr>
                <w:sz w:val="22"/>
                <w:szCs w:val="22"/>
              </w:rPr>
              <w:t>Información sobre Estados Financieros de la entidad.</w:t>
            </w:r>
          </w:p>
        </w:tc>
      </w:tr>
      <w:tr w:rsidR="00561B22" w:rsidRPr="00692FD3" w14:paraId="2F1DE997" w14:textId="77777777" w:rsidTr="00F1223B">
        <w:tc>
          <w:tcPr>
            <w:tcW w:w="562" w:type="dxa"/>
          </w:tcPr>
          <w:p w14:paraId="2A1F8F23"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5</w:t>
            </w:r>
          </w:p>
        </w:tc>
        <w:tc>
          <w:tcPr>
            <w:tcW w:w="9400" w:type="dxa"/>
          </w:tcPr>
          <w:p w14:paraId="17C30184" w14:textId="77777777" w:rsidR="00561B22" w:rsidRPr="00692FD3" w:rsidRDefault="00561B22" w:rsidP="00F1223B">
            <w:pPr>
              <w:pStyle w:val="TableParagraph"/>
              <w:spacing w:line="276" w:lineRule="auto"/>
              <w:ind w:left="27" w:right="60"/>
              <w:jc w:val="both"/>
              <w:rPr>
                <w:sz w:val="22"/>
                <w:szCs w:val="22"/>
              </w:rPr>
            </w:pPr>
            <w:r w:rsidRPr="00692FD3">
              <w:rPr>
                <w:sz w:val="22"/>
                <w:szCs w:val="22"/>
              </w:rPr>
              <w:t>Teniendo en cuenta las actuales limitaciones en el flujo de recursos,</w:t>
            </w:r>
            <w:r w:rsidRPr="00692FD3">
              <w:rPr>
                <w:spacing w:val="40"/>
                <w:sz w:val="22"/>
                <w:szCs w:val="22"/>
              </w:rPr>
              <w:t xml:space="preserve"> </w:t>
            </w:r>
            <w:r w:rsidRPr="00692FD3">
              <w:rPr>
                <w:sz w:val="22"/>
                <w:szCs w:val="22"/>
              </w:rPr>
              <w:t>realizar un análisis de riesgos frente a compromisos, cuentas por</w:t>
            </w:r>
            <w:r w:rsidRPr="00692FD3">
              <w:rPr>
                <w:spacing w:val="40"/>
                <w:sz w:val="22"/>
                <w:szCs w:val="22"/>
              </w:rPr>
              <w:t xml:space="preserve"> </w:t>
            </w:r>
            <w:r w:rsidRPr="00692FD3">
              <w:rPr>
                <w:sz w:val="22"/>
                <w:szCs w:val="22"/>
              </w:rPr>
              <w:t>pagar o obligaciones que puedan afectar la gestión financiera del</w:t>
            </w:r>
            <w:r w:rsidRPr="00692FD3">
              <w:rPr>
                <w:spacing w:val="40"/>
                <w:sz w:val="22"/>
                <w:szCs w:val="22"/>
              </w:rPr>
              <w:t xml:space="preserve"> </w:t>
            </w:r>
            <w:r w:rsidRPr="00692FD3">
              <w:rPr>
                <w:spacing w:val="-2"/>
                <w:sz w:val="22"/>
                <w:szCs w:val="22"/>
              </w:rPr>
              <w:t>DAPRE.</w:t>
            </w:r>
          </w:p>
        </w:tc>
      </w:tr>
      <w:tr w:rsidR="00561B22" w:rsidRPr="00692FD3" w14:paraId="10C6242F" w14:textId="77777777" w:rsidTr="00F1223B">
        <w:tc>
          <w:tcPr>
            <w:tcW w:w="562" w:type="dxa"/>
          </w:tcPr>
          <w:p w14:paraId="29970805" w14:textId="77777777" w:rsidR="00561B22" w:rsidRPr="00692FD3" w:rsidRDefault="00561B22" w:rsidP="00F1223B">
            <w:pPr>
              <w:jc w:val="center"/>
              <w:rPr>
                <w:rFonts w:ascii="Arial" w:hAnsi="Arial" w:cs="Arial"/>
                <w:b/>
                <w:sz w:val="22"/>
                <w:szCs w:val="22"/>
                <w:lang w:val="es-MX"/>
              </w:rPr>
            </w:pPr>
            <w:r w:rsidRPr="00692FD3">
              <w:rPr>
                <w:rFonts w:ascii="Arial" w:hAnsi="Arial" w:cs="Arial"/>
                <w:b/>
                <w:sz w:val="22"/>
                <w:szCs w:val="22"/>
                <w:lang w:val="es-MX"/>
              </w:rPr>
              <w:t>6</w:t>
            </w:r>
          </w:p>
        </w:tc>
        <w:tc>
          <w:tcPr>
            <w:tcW w:w="9400" w:type="dxa"/>
          </w:tcPr>
          <w:p w14:paraId="221B6A34" w14:textId="77777777" w:rsidR="00561B22" w:rsidRPr="00692FD3" w:rsidRDefault="00561B22" w:rsidP="00F1223B">
            <w:pPr>
              <w:spacing w:line="276" w:lineRule="auto"/>
              <w:jc w:val="both"/>
              <w:rPr>
                <w:rFonts w:ascii="Arial" w:hAnsi="Arial" w:cs="Arial"/>
                <w:b/>
                <w:sz w:val="22"/>
                <w:szCs w:val="22"/>
                <w:lang w:val="es-MX"/>
              </w:rPr>
            </w:pPr>
            <w:r w:rsidRPr="00692FD3">
              <w:rPr>
                <w:rFonts w:ascii="Arial" w:hAnsi="Arial" w:cs="Arial"/>
                <w:sz w:val="22"/>
                <w:szCs w:val="22"/>
              </w:rPr>
              <w:t>Se</w:t>
            </w:r>
            <w:r w:rsidRPr="00692FD3">
              <w:rPr>
                <w:rFonts w:ascii="Arial" w:hAnsi="Arial" w:cs="Arial"/>
                <w:spacing w:val="-5"/>
                <w:sz w:val="22"/>
                <w:szCs w:val="22"/>
              </w:rPr>
              <w:t xml:space="preserve"> </w:t>
            </w:r>
            <w:r w:rsidRPr="00692FD3">
              <w:rPr>
                <w:rFonts w:ascii="Arial" w:hAnsi="Arial" w:cs="Arial"/>
                <w:sz w:val="22"/>
                <w:szCs w:val="22"/>
              </w:rPr>
              <w:t>recomienda</w:t>
            </w:r>
            <w:r w:rsidRPr="00692FD3">
              <w:rPr>
                <w:rFonts w:ascii="Arial" w:hAnsi="Arial" w:cs="Arial"/>
                <w:spacing w:val="-5"/>
                <w:sz w:val="22"/>
                <w:szCs w:val="22"/>
              </w:rPr>
              <w:t xml:space="preserve"> </w:t>
            </w:r>
            <w:r w:rsidRPr="00692FD3">
              <w:rPr>
                <w:rFonts w:ascii="Arial" w:hAnsi="Arial" w:cs="Arial"/>
                <w:sz w:val="22"/>
                <w:szCs w:val="22"/>
              </w:rPr>
              <w:t>establecer</w:t>
            </w:r>
            <w:r w:rsidRPr="00692FD3">
              <w:rPr>
                <w:rFonts w:ascii="Arial" w:hAnsi="Arial" w:cs="Arial"/>
                <w:spacing w:val="-5"/>
                <w:sz w:val="22"/>
                <w:szCs w:val="22"/>
              </w:rPr>
              <w:t xml:space="preserve"> </w:t>
            </w:r>
            <w:r w:rsidRPr="00692FD3">
              <w:rPr>
                <w:rFonts w:ascii="Arial" w:hAnsi="Arial" w:cs="Arial"/>
                <w:sz w:val="22"/>
                <w:szCs w:val="22"/>
              </w:rPr>
              <w:t>un</w:t>
            </w:r>
            <w:r w:rsidRPr="00692FD3">
              <w:rPr>
                <w:rFonts w:ascii="Arial" w:hAnsi="Arial" w:cs="Arial"/>
                <w:spacing w:val="-5"/>
                <w:sz w:val="22"/>
                <w:szCs w:val="22"/>
              </w:rPr>
              <w:t xml:space="preserve"> </w:t>
            </w:r>
            <w:r w:rsidRPr="00692FD3">
              <w:rPr>
                <w:rFonts w:ascii="Arial" w:hAnsi="Arial" w:cs="Arial"/>
                <w:sz w:val="22"/>
                <w:szCs w:val="22"/>
              </w:rPr>
              <w:t>plan</w:t>
            </w:r>
            <w:r w:rsidRPr="00692FD3">
              <w:rPr>
                <w:rFonts w:ascii="Arial" w:hAnsi="Arial" w:cs="Arial"/>
                <w:spacing w:val="-5"/>
                <w:sz w:val="22"/>
                <w:szCs w:val="22"/>
              </w:rPr>
              <w:t xml:space="preserve"> </w:t>
            </w:r>
            <w:r w:rsidRPr="00692FD3">
              <w:rPr>
                <w:rFonts w:ascii="Arial" w:hAnsi="Arial" w:cs="Arial"/>
                <w:sz w:val="22"/>
                <w:szCs w:val="22"/>
              </w:rPr>
              <w:t>de</w:t>
            </w:r>
            <w:r w:rsidRPr="00692FD3">
              <w:rPr>
                <w:rFonts w:ascii="Arial" w:hAnsi="Arial" w:cs="Arial"/>
                <w:spacing w:val="-6"/>
                <w:sz w:val="22"/>
                <w:szCs w:val="22"/>
              </w:rPr>
              <w:t xml:space="preserve"> </w:t>
            </w:r>
            <w:r w:rsidRPr="00692FD3">
              <w:rPr>
                <w:rFonts w:ascii="Arial" w:hAnsi="Arial" w:cs="Arial"/>
                <w:sz w:val="22"/>
                <w:szCs w:val="22"/>
              </w:rPr>
              <w:t>mejoramiento</w:t>
            </w:r>
            <w:r w:rsidRPr="00692FD3">
              <w:rPr>
                <w:rFonts w:ascii="Arial" w:hAnsi="Arial" w:cs="Arial"/>
                <w:spacing w:val="-5"/>
                <w:sz w:val="22"/>
                <w:szCs w:val="22"/>
              </w:rPr>
              <w:t xml:space="preserve"> </w:t>
            </w:r>
            <w:r w:rsidRPr="00692FD3">
              <w:rPr>
                <w:rFonts w:ascii="Arial" w:hAnsi="Arial" w:cs="Arial"/>
                <w:sz w:val="22"/>
                <w:szCs w:val="22"/>
              </w:rPr>
              <w:t>con</w:t>
            </w:r>
            <w:r w:rsidRPr="00692FD3">
              <w:rPr>
                <w:rFonts w:ascii="Arial" w:hAnsi="Arial" w:cs="Arial"/>
                <w:spacing w:val="-6"/>
                <w:sz w:val="22"/>
                <w:szCs w:val="22"/>
              </w:rPr>
              <w:t xml:space="preserve"> </w:t>
            </w:r>
            <w:r w:rsidRPr="00692FD3">
              <w:rPr>
                <w:rFonts w:ascii="Arial" w:hAnsi="Arial" w:cs="Arial"/>
                <w:sz w:val="22"/>
                <w:szCs w:val="22"/>
              </w:rPr>
              <w:t>los</w:t>
            </w:r>
            <w:r w:rsidRPr="00692FD3">
              <w:rPr>
                <w:rFonts w:ascii="Arial" w:hAnsi="Arial" w:cs="Arial"/>
                <w:spacing w:val="-4"/>
                <w:sz w:val="22"/>
                <w:szCs w:val="22"/>
              </w:rPr>
              <w:t xml:space="preserve"> </w:t>
            </w:r>
            <w:r w:rsidRPr="00692FD3">
              <w:rPr>
                <w:rFonts w:ascii="Arial" w:hAnsi="Arial" w:cs="Arial"/>
                <w:sz w:val="22"/>
                <w:szCs w:val="22"/>
              </w:rPr>
              <w:t>resultados</w:t>
            </w:r>
            <w:r w:rsidRPr="00692FD3">
              <w:rPr>
                <w:rFonts w:ascii="Arial" w:hAnsi="Arial" w:cs="Arial"/>
                <w:spacing w:val="40"/>
                <w:sz w:val="22"/>
                <w:szCs w:val="22"/>
              </w:rPr>
              <w:t xml:space="preserve"> </w:t>
            </w:r>
            <w:r w:rsidRPr="00692FD3">
              <w:rPr>
                <w:rFonts w:ascii="Arial" w:hAnsi="Arial" w:cs="Arial"/>
                <w:sz w:val="22"/>
                <w:szCs w:val="22"/>
              </w:rPr>
              <w:t>de este informe.</w:t>
            </w:r>
          </w:p>
        </w:tc>
      </w:tr>
    </w:tbl>
    <w:p w14:paraId="1C66EA01" w14:textId="77777777" w:rsidR="00561B22" w:rsidRPr="00692FD3" w:rsidRDefault="00561B22" w:rsidP="00561B22">
      <w:pPr>
        <w:pStyle w:val="Textoindependiente"/>
        <w:ind w:right="-50"/>
        <w:jc w:val="both"/>
        <w:rPr>
          <w:rFonts w:ascii="Arial" w:hAnsi="Arial" w:cs="Arial"/>
          <w:b/>
          <w:bCs/>
        </w:rPr>
      </w:pPr>
    </w:p>
    <w:p w14:paraId="332BF46B" w14:textId="77777777" w:rsidR="00561B22" w:rsidRPr="00692FD3" w:rsidRDefault="00561B22" w:rsidP="00561B22">
      <w:pPr>
        <w:jc w:val="both"/>
        <w:rPr>
          <w:rFonts w:ascii="Arial" w:hAnsi="Arial" w:cs="Arial"/>
          <w:b/>
          <w:bCs/>
          <w:sz w:val="24"/>
          <w:szCs w:val="24"/>
          <w:lang w:val="es-CO"/>
        </w:rPr>
      </w:pPr>
      <w:r w:rsidRPr="00692FD3">
        <w:rPr>
          <w:rFonts w:ascii="Arial" w:hAnsi="Arial" w:cs="Arial"/>
          <w:b/>
          <w:bCs/>
          <w:sz w:val="24"/>
          <w:szCs w:val="24"/>
          <w:lang w:val="es-CO"/>
        </w:rPr>
        <w:t xml:space="preserve">NOTA: LA ENTIDAD ENVIA LA MATRIZ DE AUTOEVALUACIÓN DEL SISTEMA DE CONTROL INTERNO CONTABLE CON </w:t>
      </w:r>
      <w:r w:rsidRPr="00692FD3">
        <w:rPr>
          <w:rFonts w:ascii="Arial" w:hAnsi="Arial" w:cs="Arial"/>
          <w:b/>
          <w:bCs/>
          <w:sz w:val="24"/>
          <w:szCs w:val="24"/>
          <w:u w:val="single"/>
          <w:lang w:val="es-CO"/>
        </w:rPr>
        <w:t>ACTIVIDADES DE CONTROL REALIZADAS EN FORMA PARCIAL</w:t>
      </w:r>
      <w:r w:rsidRPr="00692FD3">
        <w:rPr>
          <w:rFonts w:ascii="Arial" w:hAnsi="Arial" w:cs="Arial"/>
          <w:b/>
          <w:bCs/>
          <w:sz w:val="24"/>
          <w:szCs w:val="24"/>
          <w:lang w:val="es-CO"/>
        </w:rPr>
        <w:t>.</w:t>
      </w:r>
    </w:p>
    <w:p w14:paraId="384C6E5C" w14:textId="77777777" w:rsidR="00561B22" w:rsidRPr="00692FD3" w:rsidRDefault="00561B22" w:rsidP="00561B22">
      <w:pPr>
        <w:pStyle w:val="Textoindependiente"/>
        <w:ind w:right="-50"/>
        <w:jc w:val="both"/>
        <w:rPr>
          <w:rFonts w:ascii="Arial" w:hAnsi="Arial" w:cs="Arial"/>
          <w:b/>
          <w:bCs/>
          <w:sz w:val="28"/>
          <w:szCs w:val="28"/>
        </w:rPr>
      </w:pPr>
    </w:p>
    <w:p w14:paraId="67328FD1" w14:textId="77777777" w:rsidR="00561B22" w:rsidRDefault="00561B22" w:rsidP="00561B22">
      <w:pPr>
        <w:jc w:val="both"/>
        <w:rPr>
          <w:rFonts w:ascii="Arial" w:hAnsi="Arial" w:cs="Arial"/>
          <w:b/>
          <w:sz w:val="28"/>
          <w:szCs w:val="28"/>
        </w:rPr>
      </w:pPr>
      <w:r w:rsidRPr="000C586B">
        <w:rPr>
          <w:rFonts w:ascii="Arial" w:hAnsi="Arial" w:cs="Arial"/>
          <w:b/>
          <w:sz w:val="28"/>
          <w:szCs w:val="28"/>
        </w:rPr>
        <w:lastRenderedPageBreak/>
        <w:t xml:space="preserve">230.- ELECTRIFICADORA DEL TOLIMA S.A. E.S.P. EN LIQUIDACIÓN </w:t>
      </w:r>
      <w:r>
        <w:rPr>
          <w:rFonts w:ascii="Arial" w:hAnsi="Arial" w:cs="Arial"/>
          <w:b/>
          <w:sz w:val="28"/>
          <w:szCs w:val="28"/>
        </w:rPr>
        <w:t>–</w:t>
      </w:r>
      <w:r w:rsidRPr="000C586B">
        <w:rPr>
          <w:rFonts w:ascii="Arial" w:hAnsi="Arial" w:cs="Arial"/>
          <w:b/>
          <w:sz w:val="28"/>
          <w:szCs w:val="28"/>
        </w:rPr>
        <w:t xml:space="preserve"> ELECTROLIMA</w:t>
      </w:r>
      <w:r>
        <w:rPr>
          <w:rFonts w:ascii="Arial" w:hAnsi="Arial" w:cs="Arial"/>
          <w:b/>
          <w:sz w:val="28"/>
          <w:szCs w:val="28"/>
        </w:rPr>
        <w:t>.</w:t>
      </w:r>
    </w:p>
    <w:p w14:paraId="19C4414F" w14:textId="77777777" w:rsidR="00561B22" w:rsidRDefault="00561B22" w:rsidP="00561B22">
      <w:pPr>
        <w:jc w:val="both"/>
        <w:rPr>
          <w:rFonts w:ascii="Arial" w:hAnsi="Arial" w:cs="Arial"/>
          <w:b/>
          <w:sz w:val="28"/>
          <w:szCs w:val="28"/>
        </w:rPr>
      </w:pPr>
    </w:p>
    <w:p w14:paraId="190A3B42" w14:textId="77777777" w:rsidR="00561B22" w:rsidRPr="000C586B" w:rsidRDefault="00561B22" w:rsidP="00561B22">
      <w:pPr>
        <w:pStyle w:val="Textoindependiente"/>
        <w:ind w:right="-50"/>
        <w:jc w:val="center"/>
        <w:rPr>
          <w:rFonts w:ascii="Arial" w:hAnsi="Arial" w:cs="Arial"/>
          <w:b/>
          <w:bCs/>
        </w:rPr>
      </w:pPr>
      <w:r w:rsidRPr="000C586B">
        <w:rPr>
          <w:rFonts w:ascii="Arial" w:hAnsi="Arial" w:cs="Arial"/>
          <w:b/>
          <w:bCs/>
        </w:rPr>
        <w:t>INFORME DE LA AUTOCALIFICACIÓN DEL SISTEMA DE CONTROL INTERNO CONTABLE:</w:t>
      </w:r>
    </w:p>
    <w:p w14:paraId="3890185C" w14:textId="77777777" w:rsidR="00561B22" w:rsidRPr="000C586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C586B" w14:paraId="4BE2DC54" w14:textId="77777777" w:rsidTr="00F1223B">
        <w:tc>
          <w:tcPr>
            <w:tcW w:w="4981" w:type="dxa"/>
          </w:tcPr>
          <w:p w14:paraId="0B0362E8"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AUTOCALIFICACIÓN</w:t>
            </w:r>
          </w:p>
        </w:tc>
        <w:tc>
          <w:tcPr>
            <w:tcW w:w="4981" w:type="dxa"/>
          </w:tcPr>
          <w:p w14:paraId="1BF61DD3" w14:textId="77777777" w:rsidR="00561B22" w:rsidRPr="000C586B" w:rsidRDefault="00561B22" w:rsidP="00F1223B">
            <w:pPr>
              <w:jc w:val="center"/>
              <w:rPr>
                <w:rFonts w:ascii="Arial" w:hAnsi="Arial" w:cs="Arial"/>
                <w:b/>
                <w:sz w:val="22"/>
                <w:szCs w:val="22"/>
                <w:u w:val="single"/>
                <w:lang w:val="es-MX"/>
              </w:rPr>
            </w:pPr>
            <w:r w:rsidRPr="000C586B">
              <w:rPr>
                <w:rFonts w:ascii="Arial" w:hAnsi="Arial" w:cs="Arial"/>
                <w:b/>
                <w:sz w:val="22"/>
                <w:szCs w:val="22"/>
                <w:u w:val="single"/>
                <w:lang w:val="es-MX"/>
              </w:rPr>
              <w:t>4.76</w:t>
            </w:r>
          </w:p>
        </w:tc>
      </w:tr>
    </w:tbl>
    <w:p w14:paraId="592B5097" w14:textId="77777777" w:rsidR="00561B22" w:rsidRPr="000C586B" w:rsidRDefault="00561B22" w:rsidP="00561B22">
      <w:pPr>
        <w:pStyle w:val="Textoindependiente"/>
        <w:ind w:right="-50"/>
        <w:jc w:val="both"/>
        <w:rPr>
          <w:rFonts w:ascii="Arial" w:hAnsi="Arial" w:cs="Arial"/>
          <w:b/>
          <w:bCs/>
        </w:rPr>
      </w:pPr>
    </w:p>
    <w:p w14:paraId="6DBF9508" w14:textId="77777777" w:rsidR="00561B22" w:rsidRPr="000C586B" w:rsidRDefault="00561B22" w:rsidP="00561B22">
      <w:pPr>
        <w:pStyle w:val="Textoindependiente"/>
        <w:ind w:right="-50"/>
        <w:jc w:val="both"/>
        <w:rPr>
          <w:rFonts w:ascii="Arial" w:hAnsi="Arial" w:cs="Arial"/>
          <w:b/>
          <w:bCs/>
        </w:rPr>
      </w:pPr>
      <w:r w:rsidRPr="000C586B">
        <w:rPr>
          <w:rFonts w:ascii="Arial" w:hAnsi="Arial" w:cs="Arial"/>
          <w:b/>
          <w:bCs/>
        </w:rPr>
        <w:t>Del informe enviado retomamos lo siguiente:</w:t>
      </w:r>
    </w:p>
    <w:p w14:paraId="69C54E7D" w14:textId="77777777" w:rsidR="00561B22" w:rsidRPr="000C586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C586B" w14:paraId="1FA624E3" w14:textId="77777777" w:rsidTr="00F1223B">
        <w:tc>
          <w:tcPr>
            <w:tcW w:w="562" w:type="dxa"/>
          </w:tcPr>
          <w:p w14:paraId="5160F18B" w14:textId="77777777" w:rsidR="00561B22" w:rsidRPr="000C586B" w:rsidRDefault="00561B22" w:rsidP="00F1223B">
            <w:pPr>
              <w:ind w:right="-109"/>
              <w:jc w:val="center"/>
              <w:rPr>
                <w:rFonts w:ascii="Arial" w:hAnsi="Arial" w:cs="Arial"/>
                <w:b/>
                <w:sz w:val="22"/>
                <w:szCs w:val="22"/>
                <w:lang w:val="es-MX"/>
              </w:rPr>
            </w:pPr>
            <w:r w:rsidRPr="000C586B">
              <w:rPr>
                <w:rFonts w:ascii="Arial" w:hAnsi="Arial" w:cs="Arial"/>
                <w:b/>
                <w:sz w:val="22"/>
                <w:szCs w:val="22"/>
                <w:lang w:val="es-MX"/>
              </w:rPr>
              <w:t>N°</w:t>
            </w:r>
          </w:p>
        </w:tc>
        <w:tc>
          <w:tcPr>
            <w:tcW w:w="9400" w:type="dxa"/>
          </w:tcPr>
          <w:p w14:paraId="0F1F3D10"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DEBILIDADES</w:t>
            </w:r>
          </w:p>
          <w:p w14:paraId="3C7640F1" w14:textId="77777777" w:rsidR="00561B22" w:rsidRPr="000C586B" w:rsidRDefault="00561B22" w:rsidP="00F1223B">
            <w:pPr>
              <w:jc w:val="center"/>
              <w:rPr>
                <w:rFonts w:ascii="Arial" w:hAnsi="Arial" w:cs="Arial"/>
                <w:b/>
                <w:sz w:val="22"/>
                <w:szCs w:val="22"/>
                <w:lang w:val="es-MX"/>
              </w:rPr>
            </w:pPr>
          </w:p>
        </w:tc>
      </w:tr>
      <w:tr w:rsidR="00561B22" w:rsidRPr="000C586B" w14:paraId="787D0E78" w14:textId="77777777" w:rsidTr="00F1223B">
        <w:tc>
          <w:tcPr>
            <w:tcW w:w="562" w:type="dxa"/>
          </w:tcPr>
          <w:p w14:paraId="43E1C8F2"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1</w:t>
            </w:r>
          </w:p>
        </w:tc>
        <w:tc>
          <w:tcPr>
            <w:tcW w:w="9400" w:type="dxa"/>
          </w:tcPr>
          <w:p w14:paraId="47E6B365" w14:textId="77777777" w:rsidR="00561B22" w:rsidRPr="000C586B" w:rsidRDefault="00561B22" w:rsidP="00F1223B">
            <w:pPr>
              <w:jc w:val="both"/>
              <w:rPr>
                <w:rFonts w:ascii="Arial" w:hAnsi="Arial" w:cs="Arial"/>
                <w:b/>
                <w:sz w:val="22"/>
                <w:szCs w:val="22"/>
                <w:lang w:val="es-MX"/>
              </w:rPr>
            </w:pPr>
            <w:r w:rsidRPr="000C586B">
              <w:rPr>
                <w:rFonts w:ascii="Arial" w:hAnsi="Arial" w:cs="Arial"/>
                <w:sz w:val="22"/>
                <w:szCs w:val="22"/>
              </w:rPr>
              <w:t xml:space="preserve">El proceso liquidatorio no ha culminado debido al estado de iliquidez, situación que no ha permitido el pago de obligaciones de fallos de sentencias en firme por conceptos laborales, pensionales, quirografarios, entre otros. </w:t>
            </w:r>
          </w:p>
        </w:tc>
      </w:tr>
      <w:tr w:rsidR="00561B22" w:rsidRPr="000C586B" w14:paraId="05FE4AF0" w14:textId="77777777" w:rsidTr="00F1223B">
        <w:tc>
          <w:tcPr>
            <w:tcW w:w="562" w:type="dxa"/>
          </w:tcPr>
          <w:p w14:paraId="70A0F732"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2</w:t>
            </w:r>
          </w:p>
        </w:tc>
        <w:tc>
          <w:tcPr>
            <w:tcW w:w="9400" w:type="dxa"/>
          </w:tcPr>
          <w:p w14:paraId="6A381EB1" w14:textId="446BAB70" w:rsidR="00561B22" w:rsidRPr="000C586B" w:rsidRDefault="00561B22" w:rsidP="00F1223B">
            <w:pPr>
              <w:jc w:val="both"/>
              <w:rPr>
                <w:rFonts w:ascii="Arial" w:hAnsi="Arial" w:cs="Arial"/>
                <w:b/>
                <w:sz w:val="22"/>
                <w:szCs w:val="22"/>
                <w:lang w:val="es-MX"/>
              </w:rPr>
            </w:pPr>
            <w:r w:rsidRPr="000C586B">
              <w:rPr>
                <w:rFonts w:ascii="Arial" w:hAnsi="Arial" w:cs="Arial"/>
                <w:sz w:val="22"/>
                <w:szCs w:val="22"/>
              </w:rPr>
              <w:t xml:space="preserve">Gran flujo de derechos de petición recibidas por parte de exfuncionarios de </w:t>
            </w:r>
            <w:r w:rsidR="0008150C">
              <w:rPr>
                <w:rFonts w:ascii="Arial" w:hAnsi="Arial" w:cs="Arial"/>
                <w:sz w:val="22"/>
                <w:szCs w:val="22"/>
              </w:rPr>
              <w:t>E</w:t>
            </w:r>
            <w:r w:rsidRPr="000C586B">
              <w:rPr>
                <w:rFonts w:ascii="Arial" w:hAnsi="Arial" w:cs="Arial"/>
                <w:sz w:val="22"/>
                <w:szCs w:val="22"/>
              </w:rPr>
              <w:t>lectrolima requiriendo información laboral para tramites de pensiones. fallos de sentencias en firme por conceptos laborales, pensionales, quirografarios, entre otros.</w:t>
            </w:r>
          </w:p>
        </w:tc>
      </w:tr>
      <w:tr w:rsidR="00561B22" w:rsidRPr="000C586B" w14:paraId="6DB0C747" w14:textId="77777777" w:rsidTr="00F1223B">
        <w:tc>
          <w:tcPr>
            <w:tcW w:w="562" w:type="dxa"/>
          </w:tcPr>
          <w:p w14:paraId="078D9C7A"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3</w:t>
            </w:r>
          </w:p>
        </w:tc>
        <w:tc>
          <w:tcPr>
            <w:tcW w:w="9400" w:type="dxa"/>
          </w:tcPr>
          <w:p w14:paraId="5EB8AC24" w14:textId="77777777" w:rsidR="00561B22" w:rsidRPr="000C586B" w:rsidRDefault="00561B22" w:rsidP="00F1223B">
            <w:pPr>
              <w:jc w:val="both"/>
              <w:rPr>
                <w:rFonts w:ascii="Arial" w:hAnsi="Arial" w:cs="Arial"/>
                <w:b/>
                <w:sz w:val="22"/>
                <w:szCs w:val="22"/>
                <w:lang w:val="es-MX"/>
              </w:rPr>
            </w:pPr>
            <w:r w:rsidRPr="000C586B">
              <w:rPr>
                <w:rFonts w:ascii="Arial" w:hAnsi="Arial" w:cs="Arial"/>
                <w:sz w:val="22"/>
                <w:szCs w:val="22"/>
              </w:rPr>
              <w:t>Hay nuevas demandas laborales instauradas por los extrabajadores de la empresa reclamando pensión convencional y pensión restringida de jubilación.</w:t>
            </w:r>
          </w:p>
        </w:tc>
      </w:tr>
    </w:tbl>
    <w:p w14:paraId="31D9E5B5" w14:textId="77777777" w:rsidR="00561B22" w:rsidRPr="000C586B" w:rsidRDefault="00561B22" w:rsidP="00561B22">
      <w:pPr>
        <w:pStyle w:val="Textoindependiente"/>
        <w:ind w:right="-50"/>
        <w:jc w:val="both"/>
        <w:rPr>
          <w:rFonts w:ascii="Arial" w:hAnsi="Arial" w:cs="Arial"/>
          <w:b/>
          <w:bCs/>
        </w:rPr>
      </w:pPr>
    </w:p>
    <w:p w14:paraId="0F4E0E6C" w14:textId="77777777" w:rsidR="00561B22" w:rsidRPr="000C586B" w:rsidRDefault="00561B22" w:rsidP="00561B22">
      <w:pPr>
        <w:jc w:val="both"/>
        <w:rPr>
          <w:rFonts w:ascii="Arial" w:hAnsi="Arial" w:cs="Arial"/>
          <w:b/>
          <w:lang w:val="es-MX"/>
        </w:rPr>
      </w:pPr>
      <w:r w:rsidRPr="000C586B">
        <w:rPr>
          <w:rFonts w:ascii="Arial" w:hAnsi="Arial" w:cs="Arial"/>
          <w:b/>
          <w:lang w:val="es-MX"/>
        </w:rPr>
        <w:t>Del citado informe retomamos las siguientes recomendaciones:</w:t>
      </w:r>
    </w:p>
    <w:p w14:paraId="408C0B84" w14:textId="77777777" w:rsidR="00561B22" w:rsidRPr="000C586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C586B" w14:paraId="251EBEE7" w14:textId="77777777" w:rsidTr="00F1223B">
        <w:tc>
          <w:tcPr>
            <w:tcW w:w="562" w:type="dxa"/>
          </w:tcPr>
          <w:p w14:paraId="57A2AF54" w14:textId="77777777" w:rsidR="00561B22" w:rsidRPr="000C586B" w:rsidRDefault="00561B22" w:rsidP="00F1223B">
            <w:pPr>
              <w:ind w:right="-109"/>
              <w:jc w:val="center"/>
              <w:rPr>
                <w:rFonts w:ascii="Arial" w:hAnsi="Arial" w:cs="Arial"/>
                <w:b/>
                <w:sz w:val="22"/>
                <w:szCs w:val="22"/>
                <w:lang w:val="es-MX"/>
              </w:rPr>
            </w:pPr>
            <w:r w:rsidRPr="000C586B">
              <w:rPr>
                <w:rFonts w:ascii="Arial" w:hAnsi="Arial" w:cs="Arial"/>
                <w:b/>
                <w:sz w:val="22"/>
                <w:szCs w:val="22"/>
                <w:lang w:val="es-MX"/>
              </w:rPr>
              <w:t>N°</w:t>
            </w:r>
          </w:p>
        </w:tc>
        <w:tc>
          <w:tcPr>
            <w:tcW w:w="9400" w:type="dxa"/>
          </w:tcPr>
          <w:p w14:paraId="172D0455"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RECOMENDACIONES</w:t>
            </w:r>
          </w:p>
          <w:p w14:paraId="350BEA0D" w14:textId="77777777" w:rsidR="00561B22" w:rsidRPr="000C586B" w:rsidRDefault="00561B22" w:rsidP="00F1223B">
            <w:pPr>
              <w:jc w:val="center"/>
              <w:rPr>
                <w:rFonts w:ascii="Arial" w:hAnsi="Arial" w:cs="Arial"/>
                <w:b/>
                <w:sz w:val="22"/>
                <w:szCs w:val="22"/>
                <w:lang w:val="es-MX"/>
              </w:rPr>
            </w:pPr>
          </w:p>
        </w:tc>
      </w:tr>
      <w:tr w:rsidR="00561B22" w:rsidRPr="000C586B" w14:paraId="708A4A08" w14:textId="77777777" w:rsidTr="00F1223B">
        <w:tc>
          <w:tcPr>
            <w:tcW w:w="562" w:type="dxa"/>
          </w:tcPr>
          <w:p w14:paraId="278E7704" w14:textId="77777777" w:rsidR="00561B22" w:rsidRPr="000C586B" w:rsidRDefault="00561B22" w:rsidP="00F1223B">
            <w:pPr>
              <w:jc w:val="center"/>
              <w:rPr>
                <w:rFonts w:ascii="Arial" w:hAnsi="Arial" w:cs="Arial"/>
                <w:b/>
                <w:sz w:val="22"/>
                <w:szCs w:val="22"/>
                <w:lang w:val="es-MX"/>
              </w:rPr>
            </w:pPr>
            <w:r w:rsidRPr="000C586B">
              <w:rPr>
                <w:rFonts w:ascii="Arial" w:hAnsi="Arial" w:cs="Arial"/>
                <w:b/>
                <w:sz w:val="22"/>
                <w:szCs w:val="22"/>
                <w:lang w:val="es-MX"/>
              </w:rPr>
              <w:t>1</w:t>
            </w:r>
          </w:p>
        </w:tc>
        <w:tc>
          <w:tcPr>
            <w:tcW w:w="9400" w:type="dxa"/>
          </w:tcPr>
          <w:p w14:paraId="1F7898CA" w14:textId="77777777" w:rsidR="00561B22" w:rsidRPr="000C586B" w:rsidRDefault="00561B22" w:rsidP="00F1223B">
            <w:pPr>
              <w:jc w:val="both"/>
              <w:rPr>
                <w:rFonts w:ascii="Arial" w:hAnsi="Arial" w:cs="Arial"/>
                <w:b/>
                <w:sz w:val="22"/>
                <w:szCs w:val="22"/>
                <w:lang w:val="es-MX"/>
              </w:rPr>
            </w:pPr>
            <w:r w:rsidRPr="000C586B">
              <w:rPr>
                <w:rFonts w:ascii="Arial" w:hAnsi="Arial" w:cs="Arial"/>
                <w:sz w:val="22"/>
                <w:szCs w:val="22"/>
              </w:rPr>
              <w:t>Electrolima continúa adelantando actuaciones con Minminas, para efectos de que, en la Ley Anual de Presupuesto 2025 se incorpora un artículo que autorice la asunción del pasivo laboral y el mecanismo para el pago de las obligaciones laborales a su cargo por parte de la Nación a través de un título legal y de esta manera poder continuar con el cierre definitivo del proceso.</w:t>
            </w:r>
          </w:p>
        </w:tc>
      </w:tr>
    </w:tbl>
    <w:p w14:paraId="04470E25" w14:textId="77777777" w:rsidR="00561B22" w:rsidRPr="000C586B" w:rsidRDefault="00561B22" w:rsidP="00561B22">
      <w:pPr>
        <w:pStyle w:val="Textoindependiente"/>
        <w:ind w:right="-50"/>
        <w:jc w:val="both"/>
        <w:rPr>
          <w:rFonts w:ascii="Arial" w:hAnsi="Arial" w:cs="Arial"/>
          <w:b/>
          <w:bCs/>
        </w:rPr>
      </w:pPr>
    </w:p>
    <w:p w14:paraId="34F65106" w14:textId="77777777" w:rsidR="00561B22" w:rsidRPr="000C586B" w:rsidRDefault="00561B22" w:rsidP="00561B22">
      <w:pPr>
        <w:jc w:val="both"/>
        <w:rPr>
          <w:rFonts w:ascii="Arial" w:hAnsi="Arial" w:cs="Arial"/>
          <w:b/>
          <w:bCs/>
          <w:sz w:val="24"/>
          <w:szCs w:val="24"/>
          <w:lang w:val="es-CO"/>
        </w:rPr>
      </w:pPr>
      <w:r w:rsidRPr="000C586B">
        <w:rPr>
          <w:rFonts w:ascii="Arial" w:hAnsi="Arial" w:cs="Arial"/>
          <w:b/>
          <w:bCs/>
          <w:sz w:val="24"/>
          <w:szCs w:val="24"/>
          <w:lang w:val="es-CO"/>
        </w:rPr>
        <w:t xml:space="preserve">NOTA: LA ENTIDAD ENVIA LA MATRIZ DE AUTOEVALUACIÓN DEL SISTEMA DE CONTROL INTERNO CONTABLE CON </w:t>
      </w:r>
      <w:r w:rsidRPr="000C586B">
        <w:rPr>
          <w:rFonts w:ascii="Arial" w:hAnsi="Arial" w:cs="Arial"/>
          <w:b/>
          <w:bCs/>
          <w:sz w:val="24"/>
          <w:szCs w:val="24"/>
          <w:u w:val="single"/>
          <w:lang w:val="es-CO"/>
        </w:rPr>
        <w:t>ACTIVIDADES DE CONTROL REALIZADAS EN FORMA PARCIAL</w:t>
      </w:r>
      <w:r w:rsidRPr="000C586B">
        <w:rPr>
          <w:rFonts w:ascii="Arial" w:hAnsi="Arial" w:cs="Arial"/>
          <w:b/>
          <w:bCs/>
          <w:sz w:val="24"/>
          <w:szCs w:val="24"/>
          <w:lang w:val="es-CO"/>
        </w:rPr>
        <w:t>.</w:t>
      </w:r>
    </w:p>
    <w:p w14:paraId="688F13C4" w14:textId="77777777" w:rsidR="00561B22" w:rsidRPr="000C586B" w:rsidRDefault="00561B22" w:rsidP="00561B22">
      <w:pPr>
        <w:pStyle w:val="Textoindependiente"/>
        <w:ind w:right="-50"/>
        <w:jc w:val="both"/>
        <w:rPr>
          <w:rFonts w:ascii="Arial" w:hAnsi="Arial" w:cs="Arial"/>
          <w:b/>
          <w:bCs/>
          <w:sz w:val="28"/>
          <w:szCs w:val="28"/>
        </w:rPr>
      </w:pPr>
    </w:p>
    <w:p w14:paraId="53F63612" w14:textId="77777777" w:rsidR="00561B22" w:rsidRPr="006C3FEB" w:rsidRDefault="00561B22" w:rsidP="00561B22">
      <w:pPr>
        <w:jc w:val="both"/>
        <w:rPr>
          <w:rFonts w:ascii="Arial" w:hAnsi="Arial" w:cs="Arial"/>
          <w:b/>
          <w:sz w:val="28"/>
          <w:szCs w:val="28"/>
          <w:lang w:val="es-MX"/>
        </w:rPr>
      </w:pPr>
      <w:r w:rsidRPr="006C3FEB">
        <w:rPr>
          <w:rFonts w:ascii="Arial" w:hAnsi="Arial" w:cs="Arial"/>
          <w:b/>
          <w:sz w:val="28"/>
          <w:szCs w:val="28"/>
          <w:lang w:val="es-MX"/>
        </w:rPr>
        <w:t xml:space="preserve">231.- CORPORACIÓN AUTÓNOMA REGIONAL DEL CANAL DEL DIQUE - CARDIQUE </w:t>
      </w:r>
    </w:p>
    <w:p w14:paraId="278531A6" w14:textId="77777777" w:rsidR="00561B22" w:rsidRDefault="00561B22" w:rsidP="00561B22">
      <w:pPr>
        <w:jc w:val="both"/>
        <w:rPr>
          <w:rFonts w:ascii="Arial" w:hAnsi="Arial" w:cs="Arial"/>
          <w:b/>
          <w:bCs/>
          <w:sz w:val="28"/>
          <w:szCs w:val="28"/>
        </w:rPr>
      </w:pPr>
    </w:p>
    <w:p w14:paraId="3BCE705E" w14:textId="77777777" w:rsidR="00561B22" w:rsidRPr="00764919" w:rsidRDefault="00561B22" w:rsidP="00561B22">
      <w:pPr>
        <w:pStyle w:val="Textoindependiente"/>
        <w:ind w:right="-50"/>
        <w:jc w:val="center"/>
        <w:rPr>
          <w:rFonts w:ascii="Arial" w:hAnsi="Arial" w:cs="Arial"/>
          <w:b/>
          <w:bCs/>
        </w:rPr>
      </w:pPr>
      <w:r w:rsidRPr="00764919">
        <w:rPr>
          <w:rFonts w:ascii="Arial" w:hAnsi="Arial" w:cs="Arial"/>
          <w:b/>
          <w:bCs/>
        </w:rPr>
        <w:t>INFORME DE LA AUTOCALIFICACIÓN DEL SISTEMA DE CONTROL INTERNO CONTABLE:</w:t>
      </w:r>
    </w:p>
    <w:p w14:paraId="79B98F6D" w14:textId="77777777" w:rsidR="00561B22" w:rsidRPr="0076491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64919" w14:paraId="1C73A69A" w14:textId="77777777" w:rsidTr="00F1223B">
        <w:tc>
          <w:tcPr>
            <w:tcW w:w="4981" w:type="dxa"/>
          </w:tcPr>
          <w:p w14:paraId="5EC03B29" w14:textId="77777777" w:rsidR="00561B22" w:rsidRPr="00764919" w:rsidRDefault="00561B22" w:rsidP="00F1223B">
            <w:pPr>
              <w:jc w:val="center"/>
              <w:rPr>
                <w:rFonts w:ascii="Arial" w:hAnsi="Arial" w:cs="Arial"/>
                <w:b/>
                <w:sz w:val="22"/>
                <w:szCs w:val="22"/>
                <w:lang w:val="es-MX"/>
              </w:rPr>
            </w:pPr>
            <w:r w:rsidRPr="00764919">
              <w:rPr>
                <w:rFonts w:ascii="Arial" w:hAnsi="Arial" w:cs="Arial"/>
                <w:b/>
                <w:sz w:val="22"/>
                <w:szCs w:val="22"/>
                <w:lang w:val="es-MX"/>
              </w:rPr>
              <w:t>AUTOCALIFICACIÓN</w:t>
            </w:r>
          </w:p>
        </w:tc>
        <w:tc>
          <w:tcPr>
            <w:tcW w:w="4981" w:type="dxa"/>
          </w:tcPr>
          <w:p w14:paraId="0FAA89C3" w14:textId="77777777" w:rsidR="00561B22" w:rsidRPr="00764919" w:rsidRDefault="00561B22" w:rsidP="00F1223B">
            <w:pPr>
              <w:jc w:val="center"/>
              <w:rPr>
                <w:rFonts w:ascii="Arial" w:hAnsi="Arial" w:cs="Arial"/>
                <w:b/>
                <w:sz w:val="22"/>
                <w:szCs w:val="22"/>
                <w:u w:val="single"/>
                <w:lang w:val="es-MX"/>
              </w:rPr>
            </w:pPr>
            <w:r w:rsidRPr="00764919">
              <w:rPr>
                <w:rFonts w:ascii="Arial" w:hAnsi="Arial" w:cs="Arial"/>
                <w:b/>
                <w:sz w:val="22"/>
                <w:szCs w:val="22"/>
                <w:u w:val="single"/>
                <w:lang w:val="es-MX"/>
              </w:rPr>
              <w:t>4.98</w:t>
            </w:r>
          </w:p>
        </w:tc>
      </w:tr>
    </w:tbl>
    <w:p w14:paraId="1BCB3498" w14:textId="77777777" w:rsidR="00561B22" w:rsidRPr="00764919" w:rsidRDefault="00561B22" w:rsidP="00561B22">
      <w:pPr>
        <w:pStyle w:val="Textoindependiente"/>
        <w:ind w:right="-50"/>
        <w:jc w:val="both"/>
        <w:rPr>
          <w:rFonts w:ascii="Arial" w:hAnsi="Arial" w:cs="Arial"/>
          <w:b/>
          <w:bCs/>
        </w:rPr>
      </w:pPr>
    </w:p>
    <w:p w14:paraId="5DAD6C1B" w14:textId="77777777" w:rsidR="00561B22" w:rsidRPr="00764919" w:rsidRDefault="00561B22" w:rsidP="00561B22">
      <w:pPr>
        <w:pStyle w:val="Textoindependiente"/>
        <w:ind w:right="-50"/>
        <w:jc w:val="both"/>
        <w:rPr>
          <w:rFonts w:ascii="Arial" w:hAnsi="Arial" w:cs="Arial"/>
          <w:b/>
          <w:bCs/>
        </w:rPr>
      </w:pPr>
      <w:r w:rsidRPr="00764919">
        <w:rPr>
          <w:rFonts w:ascii="Arial" w:hAnsi="Arial" w:cs="Arial"/>
          <w:b/>
          <w:bCs/>
        </w:rPr>
        <w:t>Del informe enviado retomamos lo siguiente:</w:t>
      </w:r>
    </w:p>
    <w:p w14:paraId="61192D2F" w14:textId="77777777" w:rsidR="00561B22" w:rsidRPr="0076491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64919" w14:paraId="16E4200D" w14:textId="77777777" w:rsidTr="00F1223B">
        <w:tc>
          <w:tcPr>
            <w:tcW w:w="562" w:type="dxa"/>
          </w:tcPr>
          <w:p w14:paraId="1DE75B10" w14:textId="77777777" w:rsidR="00561B22" w:rsidRPr="00764919" w:rsidRDefault="00561B22" w:rsidP="00F1223B">
            <w:pPr>
              <w:ind w:right="-109"/>
              <w:jc w:val="center"/>
              <w:rPr>
                <w:rFonts w:ascii="Arial" w:hAnsi="Arial" w:cs="Arial"/>
                <w:b/>
                <w:sz w:val="22"/>
                <w:szCs w:val="22"/>
                <w:lang w:val="es-MX"/>
              </w:rPr>
            </w:pPr>
            <w:r w:rsidRPr="00764919">
              <w:rPr>
                <w:rFonts w:ascii="Arial" w:hAnsi="Arial" w:cs="Arial"/>
                <w:b/>
                <w:sz w:val="22"/>
                <w:szCs w:val="22"/>
                <w:lang w:val="es-MX"/>
              </w:rPr>
              <w:t>N°</w:t>
            </w:r>
          </w:p>
        </w:tc>
        <w:tc>
          <w:tcPr>
            <w:tcW w:w="9400" w:type="dxa"/>
          </w:tcPr>
          <w:p w14:paraId="4F9D395F" w14:textId="77777777" w:rsidR="00561B22" w:rsidRPr="00764919" w:rsidRDefault="00561B22" w:rsidP="00F1223B">
            <w:pPr>
              <w:jc w:val="center"/>
              <w:rPr>
                <w:rFonts w:ascii="Arial" w:hAnsi="Arial" w:cs="Arial"/>
                <w:b/>
                <w:sz w:val="22"/>
                <w:szCs w:val="22"/>
                <w:lang w:val="es-MX"/>
              </w:rPr>
            </w:pPr>
            <w:r w:rsidRPr="00764919">
              <w:rPr>
                <w:rFonts w:ascii="Arial" w:hAnsi="Arial" w:cs="Arial"/>
                <w:b/>
                <w:sz w:val="22"/>
                <w:szCs w:val="22"/>
                <w:lang w:val="es-MX"/>
              </w:rPr>
              <w:t>DEBILIDADES</w:t>
            </w:r>
          </w:p>
          <w:p w14:paraId="5DAED311" w14:textId="77777777" w:rsidR="00561B22" w:rsidRPr="00764919" w:rsidRDefault="00561B22" w:rsidP="00F1223B">
            <w:pPr>
              <w:jc w:val="center"/>
              <w:rPr>
                <w:rFonts w:ascii="Arial" w:hAnsi="Arial" w:cs="Arial"/>
                <w:b/>
                <w:sz w:val="22"/>
                <w:szCs w:val="22"/>
                <w:lang w:val="es-MX"/>
              </w:rPr>
            </w:pPr>
          </w:p>
        </w:tc>
      </w:tr>
      <w:tr w:rsidR="00561B22" w:rsidRPr="00764919" w14:paraId="22D0302F" w14:textId="77777777" w:rsidTr="00F1223B">
        <w:tc>
          <w:tcPr>
            <w:tcW w:w="562" w:type="dxa"/>
          </w:tcPr>
          <w:p w14:paraId="48AE4347" w14:textId="77777777" w:rsidR="00561B22" w:rsidRPr="00764919" w:rsidRDefault="00561B22" w:rsidP="00F1223B">
            <w:pPr>
              <w:jc w:val="center"/>
              <w:rPr>
                <w:rFonts w:ascii="Arial" w:hAnsi="Arial" w:cs="Arial"/>
                <w:b/>
                <w:sz w:val="22"/>
                <w:szCs w:val="22"/>
                <w:lang w:val="es-MX"/>
              </w:rPr>
            </w:pPr>
            <w:r w:rsidRPr="00764919">
              <w:rPr>
                <w:rFonts w:ascii="Arial" w:hAnsi="Arial" w:cs="Arial"/>
                <w:b/>
                <w:sz w:val="22"/>
                <w:szCs w:val="22"/>
                <w:lang w:val="es-MX"/>
              </w:rPr>
              <w:t>1</w:t>
            </w:r>
          </w:p>
        </w:tc>
        <w:tc>
          <w:tcPr>
            <w:tcW w:w="9400" w:type="dxa"/>
          </w:tcPr>
          <w:p w14:paraId="6057C93E" w14:textId="77777777" w:rsidR="00561B22" w:rsidRPr="00764919" w:rsidRDefault="00561B22" w:rsidP="00F1223B">
            <w:pPr>
              <w:jc w:val="both"/>
              <w:rPr>
                <w:rFonts w:ascii="Arial" w:hAnsi="Arial" w:cs="Arial"/>
                <w:bCs/>
                <w:sz w:val="22"/>
                <w:szCs w:val="22"/>
                <w:lang w:val="es-MX"/>
              </w:rPr>
            </w:pPr>
            <w:r w:rsidRPr="00764919">
              <w:rPr>
                <w:rFonts w:ascii="Arial" w:hAnsi="Arial" w:cs="Arial"/>
                <w:bCs/>
                <w:sz w:val="22"/>
                <w:szCs w:val="22"/>
                <w:lang w:val="es-MX"/>
              </w:rPr>
              <w:t xml:space="preserve">Por la naturaleza de la entidad en su rol de máxima autoridad ambiental en su jurisdicción, veintiún municipios que pertenecen a su asamblea corporativa y a la vez se convierte en sujetos bajo la autoridad que conceden la ley 99 de 1993 a las Corporaciones autónomas Regionales, por tanto se presenta inconvenientes con la certificación de la sobretasa ambiental, la cual estos entes territoriales no reportan a tiempo a la entidad derivando que muchas de estas certificaciones no queden registradas dentro del periodo que corresponden y algunas </w:t>
            </w:r>
            <w:r w:rsidRPr="00764919">
              <w:rPr>
                <w:rFonts w:ascii="Arial" w:hAnsi="Arial" w:cs="Arial"/>
                <w:bCs/>
                <w:sz w:val="22"/>
                <w:szCs w:val="22"/>
                <w:lang w:val="es-MX"/>
              </w:rPr>
              <w:lastRenderedPageBreak/>
              <w:t>presentan diferencias con el valor reportado en el CUIPO .</w:t>
            </w:r>
          </w:p>
        </w:tc>
      </w:tr>
    </w:tbl>
    <w:p w14:paraId="27D53AB1" w14:textId="77777777" w:rsidR="00561B22" w:rsidRPr="00764919" w:rsidRDefault="00561B22" w:rsidP="00561B22">
      <w:pPr>
        <w:pStyle w:val="Textoindependiente"/>
        <w:ind w:right="-50"/>
        <w:jc w:val="both"/>
        <w:rPr>
          <w:rFonts w:ascii="Arial" w:hAnsi="Arial" w:cs="Arial"/>
          <w:b/>
          <w:bCs/>
        </w:rPr>
      </w:pPr>
    </w:p>
    <w:p w14:paraId="3A3953F2" w14:textId="77777777" w:rsidR="00561B22" w:rsidRPr="00764919" w:rsidRDefault="00561B22" w:rsidP="00561B22">
      <w:pPr>
        <w:jc w:val="both"/>
        <w:rPr>
          <w:rFonts w:ascii="Arial" w:hAnsi="Arial" w:cs="Arial"/>
          <w:b/>
          <w:lang w:val="es-MX"/>
        </w:rPr>
      </w:pPr>
      <w:r w:rsidRPr="00764919">
        <w:rPr>
          <w:rFonts w:ascii="Arial" w:hAnsi="Arial" w:cs="Arial"/>
          <w:b/>
          <w:lang w:val="es-MX"/>
        </w:rPr>
        <w:t>Del citado informe retomamos las siguientes recomendaciones:</w:t>
      </w:r>
    </w:p>
    <w:p w14:paraId="445634DE" w14:textId="77777777" w:rsidR="00561B22" w:rsidRPr="00764919"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764919" w14:paraId="33D9BD0A" w14:textId="77777777" w:rsidTr="00F1223B">
        <w:tc>
          <w:tcPr>
            <w:tcW w:w="562" w:type="dxa"/>
          </w:tcPr>
          <w:p w14:paraId="3A370D34" w14:textId="77777777" w:rsidR="00561B22" w:rsidRPr="00764919" w:rsidRDefault="00561B22" w:rsidP="00F1223B">
            <w:pPr>
              <w:ind w:right="-109"/>
              <w:jc w:val="center"/>
              <w:rPr>
                <w:rFonts w:ascii="Arial" w:hAnsi="Arial" w:cs="Arial"/>
                <w:b/>
                <w:sz w:val="22"/>
                <w:szCs w:val="22"/>
                <w:lang w:val="es-MX"/>
              </w:rPr>
            </w:pPr>
            <w:r w:rsidRPr="00764919">
              <w:rPr>
                <w:rFonts w:ascii="Arial" w:hAnsi="Arial" w:cs="Arial"/>
                <w:b/>
                <w:sz w:val="22"/>
                <w:szCs w:val="22"/>
                <w:lang w:val="es-MX"/>
              </w:rPr>
              <w:t>°</w:t>
            </w:r>
          </w:p>
        </w:tc>
        <w:tc>
          <w:tcPr>
            <w:tcW w:w="9400" w:type="dxa"/>
          </w:tcPr>
          <w:p w14:paraId="6D025496" w14:textId="77777777" w:rsidR="00561B22" w:rsidRPr="00764919" w:rsidRDefault="00561B22" w:rsidP="00F1223B">
            <w:pPr>
              <w:jc w:val="center"/>
              <w:rPr>
                <w:rFonts w:ascii="Arial" w:hAnsi="Arial" w:cs="Arial"/>
                <w:b/>
                <w:sz w:val="22"/>
                <w:szCs w:val="22"/>
                <w:lang w:val="es-MX"/>
              </w:rPr>
            </w:pPr>
            <w:r w:rsidRPr="00764919">
              <w:rPr>
                <w:rFonts w:ascii="Arial" w:hAnsi="Arial" w:cs="Arial"/>
                <w:b/>
                <w:sz w:val="22"/>
                <w:szCs w:val="22"/>
                <w:lang w:val="es-MX"/>
              </w:rPr>
              <w:t>RECOMENDACIONES</w:t>
            </w:r>
          </w:p>
          <w:p w14:paraId="0D73F063" w14:textId="77777777" w:rsidR="00561B22" w:rsidRPr="00764919" w:rsidRDefault="00561B22" w:rsidP="00F1223B">
            <w:pPr>
              <w:jc w:val="center"/>
              <w:rPr>
                <w:rFonts w:ascii="Arial" w:hAnsi="Arial" w:cs="Arial"/>
                <w:b/>
                <w:sz w:val="22"/>
                <w:szCs w:val="22"/>
                <w:lang w:val="es-MX"/>
              </w:rPr>
            </w:pPr>
          </w:p>
        </w:tc>
      </w:tr>
      <w:tr w:rsidR="00561B22" w:rsidRPr="00764919" w14:paraId="34C02C8A" w14:textId="77777777" w:rsidTr="00F1223B">
        <w:tc>
          <w:tcPr>
            <w:tcW w:w="562" w:type="dxa"/>
          </w:tcPr>
          <w:p w14:paraId="4335EF84" w14:textId="77777777" w:rsidR="00561B22" w:rsidRPr="00764919" w:rsidRDefault="00561B22" w:rsidP="00F1223B">
            <w:pPr>
              <w:jc w:val="center"/>
              <w:rPr>
                <w:rFonts w:ascii="Arial" w:hAnsi="Arial" w:cs="Arial"/>
                <w:b/>
                <w:sz w:val="22"/>
                <w:szCs w:val="22"/>
                <w:lang w:val="es-MX"/>
              </w:rPr>
            </w:pPr>
            <w:r w:rsidRPr="00764919">
              <w:rPr>
                <w:rFonts w:ascii="Arial" w:hAnsi="Arial" w:cs="Arial"/>
                <w:b/>
                <w:sz w:val="22"/>
                <w:szCs w:val="22"/>
                <w:lang w:val="es-MX"/>
              </w:rPr>
              <w:t>1</w:t>
            </w:r>
          </w:p>
        </w:tc>
        <w:tc>
          <w:tcPr>
            <w:tcW w:w="9400" w:type="dxa"/>
          </w:tcPr>
          <w:p w14:paraId="07326E5A" w14:textId="77777777" w:rsidR="00561B22" w:rsidRPr="00764919" w:rsidRDefault="00561B22" w:rsidP="00F1223B">
            <w:pPr>
              <w:jc w:val="both"/>
              <w:rPr>
                <w:rFonts w:ascii="Arial" w:hAnsi="Arial" w:cs="Arial"/>
                <w:bCs/>
                <w:sz w:val="22"/>
                <w:szCs w:val="22"/>
                <w:lang w:val="es-MX"/>
              </w:rPr>
            </w:pPr>
            <w:r w:rsidRPr="00764919">
              <w:rPr>
                <w:rFonts w:ascii="Arial" w:hAnsi="Arial" w:cs="Arial"/>
                <w:bCs/>
                <w:sz w:val="22"/>
                <w:szCs w:val="22"/>
                <w:lang w:val="es-MX"/>
              </w:rPr>
              <w:t>Realizar revisión periódica y mejora continua en el mapa de riesgo del proceso de gestión contable, así como seguimiento a los controles para los riesgos identificados.</w:t>
            </w:r>
          </w:p>
        </w:tc>
      </w:tr>
    </w:tbl>
    <w:p w14:paraId="4B798CAA" w14:textId="77777777" w:rsidR="00561B22" w:rsidRPr="00764919" w:rsidRDefault="00561B22" w:rsidP="00561B22">
      <w:pPr>
        <w:pStyle w:val="Textoindependiente"/>
        <w:ind w:right="-50"/>
        <w:jc w:val="both"/>
        <w:rPr>
          <w:rFonts w:ascii="Arial" w:hAnsi="Arial" w:cs="Arial"/>
          <w:b/>
          <w:bCs/>
          <w:sz w:val="28"/>
          <w:szCs w:val="28"/>
        </w:rPr>
      </w:pPr>
    </w:p>
    <w:p w14:paraId="11162A21" w14:textId="77777777" w:rsidR="00561B22" w:rsidRPr="00764919" w:rsidRDefault="00561B22" w:rsidP="00561B22">
      <w:pPr>
        <w:jc w:val="both"/>
        <w:rPr>
          <w:rFonts w:ascii="Arial" w:hAnsi="Arial" w:cs="Arial"/>
          <w:b/>
          <w:sz w:val="24"/>
          <w:szCs w:val="24"/>
          <w:lang w:val="es-CO"/>
        </w:rPr>
      </w:pPr>
      <w:r w:rsidRPr="00764919">
        <w:rPr>
          <w:rFonts w:ascii="Arial" w:hAnsi="Arial" w:cs="Arial"/>
          <w:b/>
          <w:bCs/>
          <w:sz w:val="24"/>
          <w:szCs w:val="24"/>
          <w:lang w:val="es-CO"/>
        </w:rPr>
        <w:t xml:space="preserve">NOTA: </w:t>
      </w:r>
      <w:r w:rsidRPr="00764919">
        <w:rPr>
          <w:rFonts w:ascii="Arial" w:hAnsi="Arial" w:cs="Arial"/>
          <w:b/>
          <w:sz w:val="24"/>
          <w:szCs w:val="24"/>
          <w:lang w:val="es-CO"/>
        </w:rPr>
        <w:t xml:space="preserve">LA ENTIDAD ENVÍA LA MATRIZ DE AUTOEVALUACIÓN DEL SISTEMA DE CONTROL INTERNO CONTABLE CON </w:t>
      </w:r>
      <w:r w:rsidRPr="00764919">
        <w:rPr>
          <w:rFonts w:ascii="Arial" w:hAnsi="Arial" w:cs="Arial"/>
          <w:b/>
          <w:bCs/>
          <w:sz w:val="24"/>
          <w:szCs w:val="24"/>
          <w:u w:val="single"/>
          <w:lang w:val="es-CO"/>
        </w:rPr>
        <w:t>ACTIVIDADES DE CONTROL REALIZADAS EN FORMA PARCIAL</w:t>
      </w:r>
      <w:r w:rsidRPr="00764919">
        <w:rPr>
          <w:rFonts w:ascii="Arial" w:hAnsi="Arial" w:cs="Arial"/>
          <w:b/>
          <w:sz w:val="24"/>
          <w:szCs w:val="24"/>
          <w:lang w:val="es-CO"/>
        </w:rPr>
        <w:t>.</w:t>
      </w:r>
    </w:p>
    <w:p w14:paraId="1A5AFBB3" w14:textId="77777777" w:rsidR="00561B22" w:rsidRPr="00764919" w:rsidRDefault="00561B22" w:rsidP="00561B22">
      <w:pPr>
        <w:pStyle w:val="Textoindependiente"/>
        <w:ind w:right="-50"/>
        <w:jc w:val="both"/>
        <w:rPr>
          <w:rFonts w:ascii="Arial" w:hAnsi="Arial" w:cs="Arial"/>
          <w:b/>
          <w:bCs/>
          <w:sz w:val="28"/>
          <w:szCs w:val="28"/>
        </w:rPr>
      </w:pPr>
    </w:p>
    <w:p w14:paraId="2F76AEFC" w14:textId="77777777" w:rsidR="00561B22" w:rsidRPr="000B6F31" w:rsidRDefault="00561B22" w:rsidP="00561B22">
      <w:pPr>
        <w:ind w:right="-93"/>
        <w:jc w:val="both"/>
        <w:rPr>
          <w:rFonts w:ascii="Arial" w:hAnsi="Arial" w:cs="Arial"/>
          <w:b/>
          <w:sz w:val="28"/>
          <w:szCs w:val="28"/>
          <w:lang w:val="es-MX"/>
        </w:rPr>
      </w:pPr>
      <w:r w:rsidRPr="000B6F31">
        <w:rPr>
          <w:rFonts w:ascii="Arial" w:hAnsi="Arial" w:cs="Arial"/>
          <w:b/>
          <w:sz w:val="28"/>
          <w:szCs w:val="28"/>
          <w:lang w:val="es-MX"/>
        </w:rPr>
        <w:t xml:space="preserve">232.- </w:t>
      </w:r>
      <w:r w:rsidRPr="000B6F31">
        <w:rPr>
          <w:rFonts w:ascii="Arial" w:hAnsi="Arial" w:cs="Arial"/>
          <w:b/>
          <w:sz w:val="28"/>
          <w:szCs w:val="28"/>
        </w:rPr>
        <w:t>PATRIMONIO AUTÓNOMO COLOMBIA PRODUCTIVA - FIDUCOLDEX S.A.</w:t>
      </w:r>
    </w:p>
    <w:p w14:paraId="7723D2C9" w14:textId="77777777" w:rsidR="00561B22" w:rsidRDefault="00561B22" w:rsidP="00561B22">
      <w:pPr>
        <w:pStyle w:val="Textoindependiente"/>
        <w:tabs>
          <w:tab w:val="left" w:pos="2055"/>
        </w:tabs>
        <w:spacing w:before="5"/>
        <w:rPr>
          <w:rFonts w:ascii="Arial" w:hAnsi="Arial" w:cs="Arial"/>
          <w:sz w:val="17"/>
        </w:rPr>
      </w:pPr>
    </w:p>
    <w:p w14:paraId="345A4FAC" w14:textId="77777777" w:rsidR="00561B22" w:rsidRPr="004D075A" w:rsidRDefault="00561B22" w:rsidP="00561B22">
      <w:pPr>
        <w:pStyle w:val="Textoindependiente"/>
        <w:ind w:right="-50"/>
        <w:jc w:val="center"/>
        <w:rPr>
          <w:rFonts w:ascii="Arial" w:hAnsi="Arial" w:cs="Arial"/>
          <w:b/>
          <w:bCs/>
        </w:rPr>
      </w:pPr>
      <w:r w:rsidRPr="004D075A">
        <w:rPr>
          <w:rFonts w:ascii="Arial" w:hAnsi="Arial" w:cs="Arial"/>
          <w:b/>
          <w:bCs/>
        </w:rPr>
        <w:t>INFORME DE LA AUTOCALIFICACIÓN DEL SISTEMA DE CONTROL INTERNO CONTABLE:</w:t>
      </w:r>
    </w:p>
    <w:p w14:paraId="07AF4DA2" w14:textId="77777777" w:rsidR="00561B22" w:rsidRPr="004D075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D075A" w14:paraId="0C73E4E4" w14:textId="77777777" w:rsidTr="00F1223B">
        <w:tc>
          <w:tcPr>
            <w:tcW w:w="4981" w:type="dxa"/>
          </w:tcPr>
          <w:p w14:paraId="6B41F2A7"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AUTOCALIFICACIÓN</w:t>
            </w:r>
          </w:p>
        </w:tc>
        <w:tc>
          <w:tcPr>
            <w:tcW w:w="4981" w:type="dxa"/>
          </w:tcPr>
          <w:p w14:paraId="5C06D05A" w14:textId="77777777" w:rsidR="00561B22" w:rsidRPr="004D075A" w:rsidRDefault="00561B22" w:rsidP="00F1223B">
            <w:pPr>
              <w:jc w:val="center"/>
              <w:rPr>
                <w:rFonts w:ascii="Arial" w:hAnsi="Arial" w:cs="Arial"/>
                <w:b/>
                <w:sz w:val="22"/>
                <w:szCs w:val="22"/>
                <w:u w:val="single"/>
                <w:lang w:val="es-MX"/>
              </w:rPr>
            </w:pPr>
            <w:r w:rsidRPr="004D075A">
              <w:rPr>
                <w:rFonts w:ascii="Arial" w:hAnsi="Arial" w:cs="Arial"/>
                <w:b/>
                <w:sz w:val="22"/>
                <w:szCs w:val="22"/>
                <w:u w:val="single"/>
                <w:lang w:val="es-MX"/>
              </w:rPr>
              <w:t>?</w:t>
            </w:r>
          </w:p>
        </w:tc>
      </w:tr>
    </w:tbl>
    <w:p w14:paraId="5520AA49" w14:textId="77777777" w:rsidR="00561B22" w:rsidRPr="004D075A" w:rsidRDefault="00561B22" w:rsidP="00561B22">
      <w:pPr>
        <w:pStyle w:val="Textoindependiente"/>
        <w:ind w:right="-50"/>
        <w:jc w:val="both"/>
        <w:rPr>
          <w:rFonts w:ascii="Arial" w:hAnsi="Arial" w:cs="Arial"/>
        </w:rPr>
      </w:pPr>
    </w:p>
    <w:p w14:paraId="613199D8" w14:textId="77777777" w:rsidR="00561B22" w:rsidRPr="004D075A" w:rsidRDefault="00561B22" w:rsidP="00561B22">
      <w:pPr>
        <w:pStyle w:val="Textoindependiente"/>
        <w:ind w:right="-50"/>
        <w:jc w:val="both"/>
        <w:rPr>
          <w:rFonts w:ascii="Arial" w:hAnsi="Arial" w:cs="Arial"/>
        </w:rPr>
      </w:pPr>
      <w:r w:rsidRPr="004D075A">
        <w:rPr>
          <w:rFonts w:ascii="Arial" w:hAnsi="Arial" w:cs="Arial"/>
          <w:b/>
          <w:bCs/>
        </w:rPr>
        <w:t xml:space="preserve">NOTA: </w:t>
      </w:r>
      <w:r w:rsidRPr="004D075A">
        <w:rPr>
          <w:rFonts w:ascii="Arial" w:hAnsi="Arial" w:cs="Arial"/>
        </w:rPr>
        <w:t>La entidad no informa la calificación obtenida en la autoevaluación del Sistema de Control Interno Contable.</w:t>
      </w:r>
    </w:p>
    <w:p w14:paraId="46E7DFD1" w14:textId="77777777" w:rsidR="00561B22" w:rsidRPr="004D075A" w:rsidRDefault="00561B22" w:rsidP="00561B22">
      <w:pPr>
        <w:pStyle w:val="Textoindependiente"/>
        <w:ind w:right="-50"/>
        <w:jc w:val="both"/>
        <w:rPr>
          <w:rFonts w:ascii="Arial" w:hAnsi="Arial" w:cs="Arial"/>
        </w:rPr>
      </w:pPr>
    </w:p>
    <w:p w14:paraId="4882216D" w14:textId="77777777" w:rsidR="00561B22" w:rsidRPr="004D075A" w:rsidRDefault="00561B22" w:rsidP="00561B22">
      <w:pPr>
        <w:pStyle w:val="Textoindependiente"/>
        <w:ind w:right="-50"/>
        <w:jc w:val="both"/>
        <w:rPr>
          <w:rFonts w:ascii="Arial" w:hAnsi="Arial" w:cs="Arial"/>
          <w:b/>
          <w:bCs/>
        </w:rPr>
      </w:pPr>
      <w:r w:rsidRPr="004D075A">
        <w:rPr>
          <w:rFonts w:ascii="Arial" w:hAnsi="Arial" w:cs="Arial"/>
          <w:b/>
          <w:bCs/>
        </w:rPr>
        <w:t>Del informe enviado retomamos lo siguiente:</w:t>
      </w:r>
    </w:p>
    <w:p w14:paraId="43493DE5" w14:textId="77777777" w:rsidR="00561B22" w:rsidRPr="004D075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D075A" w14:paraId="4E5C6ADA" w14:textId="77777777" w:rsidTr="00F1223B">
        <w:tc>
          <w:tcPr>
            <w:tcW w:w="562" w:type="dxa"/>
          </w:tcPr>
          <w:p w14:paraId="6BD85839" w14:textId="77777777" w:rsidR="00561B22" w:rsidRPr="004D075A" w:rsidRDefault="00561B22" w:rsidP="00F1223B">
            <w:pPr>
              <w:ind w:right="-109"/>
              <w:jc w:val="center"/>
              <w:rPr>
                <w:rFonts w:ascii="Arial" w:hAnsi="Arial" w:cs="Arial"/>
                <w:b/>
                <w:sz w:val="22"/>
                <w:szCs w:val="22"/>
                <w:lang w:val="es-MX"/>
              </w:rPr>
            </w:pPr>
            <w:r w:rsidRPr="004D075A">
              <w:rPr>
                <w:rFonts w:ascii="Arial" w:hAnsi="Arial" w:cs="Arial"/>
                <w:b/>
                <w:sz w:val="22"/>
                <w:szCs w:val="22"/>
                <w:lang w:val="es-MX"/>
              </w:rPr>
              <w:t>N°</w:t>
            </w:r>
          </w:p>
        </w:tc>
        <w:tc>
          <w:tcPr>
            <w:tcW w:w="9400" w:type="dxa"/>
          </w:tcPr>
          <w:p w14:paraId="65BD8155"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DEBILIDADES</w:t>
            </w:r>
          </w:p>
          <w:p w14:paraId="3217992F" w14:textId="77777777" w:rsidR="00561B22" w:rsidRPr="004D075A" w:rsidRDefault="00561B22" w:rsidP="00F1223B">
            <w:pPr>
              <w:jc w:val="center"/>
              <w:rPr>
                <w:rFonts w:ascii="Arial" w:hAnsi="Arial" w:cs="Arial"/>
                <w:b/>
                <w:sz w:val="22"/>
                <w:szCs w:val="22"/>
                <w:lang w:val="es-MX"/>
              </w:rPr>
            </w:pPr>
          </w:p>
        </w:tc>
      </w:tr>
      <w:tr w:rsidR="00561B22" w:rsidRPr="004D075A" w14:paraId="7A2D7469" w14:textId="77777777" w:rsidTr="00F1223B">
        <w:tc>
          <w:tcPr>
            <w:tcW w:w="562" w:type="dxa"/>
          </w:tcPr>
          <w:p w14:paraId="4A7C11AD"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1</w:t>
            </w:r>
          </w:p>
        </w:tc>
        <w:tc>
          <w:tcPr>
            <w:tcW w:w="9400" w:type="dxa"/>
          </w:tcPr>
          <w:p w14:paraId="14BEE394"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t>Se observaron situaciones objeto de recomendación relacionadas con:</w:t>
            </w:r>
            <w:r w:rsidRPr="004D075A">
              <w:rPr>
                <w:rFonts w:ascii="Arial" w:hAnsi="Arial" w:cs="Arial"/>
                <w:sz w:val="22"/>
                <w:szCs w:val="22"/>
              </w:rPr>
              <w:br/>
              <w:t>Formalización de políticas contables aplicables al Patrimonio Autónomo, dentro del Sistema de Gestión de Calidad de la Fiduciaria</w:t>
            </w:r>
          </w:p>
        </w:tc>
      </w:tr>
      <w:tr w:rsidR="00561B22" w:rsidRPr="004D075A" w14:paraId="2135F0CB" w14:textId="77777777" w:rsidTr="00F1223B">
        <w:tc>
          <w:tcPr>
            <w:tcW w:w="562" w:type="dxa"/>
          </w:tcPr>
          <w:p w14:paraId="3CD7E392"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2</w:t>
            </w:r>
          </w:p>
        </w:tc>
        <w:tc>
          <w:tcPr>
            <w:tcW w:w="9400" w:type="dxa"/>
          </w:tcPr>
          <w:p w14:paraId="41422298"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t>Planes de capacitación para toda la Gerencia de Contabilidad.</w:t>
            </w:r>
          </w:p>
        </w:tc>
      </w:tr>
      <w:tr w:rsidR="00561B22" w:rsidRPr="004D075A" w14:paraId="05E4EF1E" w14:textId="77777777" w:rsidTr="00F1223B">
        <w:tc>
          <w:tcPr>
            <w:tcW w:w="562" w:type="dxa"/>
          </w:tcPr>
          <w:p w14:paraId="2D6371D7"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3</w:t>
            </w:r>
          </w:p>
        </w:tc>
        <w:tc>
          <w:tcPr>
            <w:tcW w:w="9400" w:type="dxa"/>
          </w:tcPr>
          <w:p w14:paraId="5B1313A1" w14:textId="77777777" w:rsidR="00561B22" w:rsidRPr="004D075A" w:rsidRDefault="00561B22" w:rsidP="00F1223B">
            <w:pPr>
              <w:jc w:val="both"/>
              <w:rPr>
                <w:rFonts w:ascii="Arial" w:hAnsi="Arial" w:cs="Arial"/>
                <w:b/>
                <w:sz w:val="22"/>
                <w:szCs w:val="22"/>
              </w:rPr>
            </w:pPr>
            <w:r w:rsidRPr="004D075A">
              <w:rPr>
                <w:rFonts w:ascii="Arial" w:hAnsi="Arial" w:cs="Arial"/>
                <w:sz w:val="22"/>
                <w:szCs w:val="22"/>
              </w:rPr>
              <w:t>Los instructivos de las actividades relacionadas con las interfaces del aplicativo CORE (SIFI) y de los diferentes módulos satélites.</w:t>
            </w:r>
          </w:p>
        </w:tc>
      </w:tr>
      <w:tr w:rsidR="00561B22" w:rsidRPr="004D075A" w14:paraId="4AC4E78D" w14:textId="77777777" w:rsidTr="00F1223B">
        <w:tc>
          <w:tcPr>
            <w:tcW w:w="562" w:type="dxa"/>
          </w:tcPr>
          <w:p w14:paraId="3AB60D64"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4</w:t>
            </w:r>
          </w:p>
        </w:tc>
        <w:tc>
          <w:tcPr>
            <w:tcW w:w="9400" w:type="dxa"/>
          </w:tcPr>
          <w:p w14:paraId="752C97B5"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t>La Matriz de Roles y perfiles de la Gerencia Contable.</w:t>
            </w:r>
          </w:p>
        </w:tc>
      </w:tr>
      <w:tr w:rsidR="00561B22" w:rsidRPr="004D075A" w14:paraId="08899EF8" w14:textId="77777777" w:rsidTr="00F1223B">
        <w:tc>
          <w:tcPr>
            <w:tcW w:w="562" w:type="dxa"/>
          </w:tcPr>
          <w:p w14:paraId="7EF3DC2B" w14:textId="77777777" w:rsidR="00561B22" w:rsidRPr="004D075A" w:rsidRDefault="00561B22" w:rsidP="00F1223B">
            <w:pPr>
              <w:jc w:val="center"/>
              <w:rPr>
                <w:rFonts w:ascii="Arial" w:hAnsi="Arial" w:cs="Arial"/>
                <w:b/>
                <w:sz w:val="22"/>
                <w:szCs w:val="22"/>
                <w:lang w:val="es-MX"/>
              </w:rPr>
            </w:pPr>
          </w:p>
        </w:tc>
        <w:tc>
          <w:tcPr>
            <w:tcW w:w="9400" w:type="dxa"/>
          </w:tcPr>
          <w:p w14:paraId="6C52568E" w14:textId="77777777" w:rsidR="00561B22" w:rsidRPr="004D075A" w:rsidRDefault="00561B22" w:rsidP="00F1223B">
            <w:pPr>
              <w:jc w:val="both"/>
              <w:rPr>
                <w:rFonts w:ascii="Arial" w:hAnsi="Arial" w:cs="Arial"/>
                <w:sz w:val="22"/>
                <w:szCs w:val="22"/>
              </w:rPr>
            </w:pPr>
            <w:r w:rsidRPr="004D075A">
              <w:rPr>
                <w:rFonts w:ascii="Arial" w:hAnsi="Arial" w:cs="Arial"/>
                <w:sz w:val="22"/>
                <w:szCs w:val="22"/>
              </w:rPr>
              <w:t>Controles de revisión para los comprobantes contables.</w:t>
            </w:r>
          </w:p>
          <w:p w14:paraId="2DCF6605"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br/>
            </w:r>
            <w:r w:rsidRPr="004D075A">
              <w:rPr>
                <w:rFonts w:ascii="Arial" w:hAnsi="Arial" w:cs="Arial"/>
                <w:b/>
                <w:bCs/>
                <w:sz w:val="22"/>
                <w:szCs w:val="22"/>
              </w:rPr>
              <w:t>Nota:</w:t>
            </w:r>
            <w:r w:rsidRPr="004D075A">
              <w:rPr>
                <w:rFonts w:ascii="Arial" w:hAnsi="Arial" w:cs="Arial"/>
                <w:sz w:val="22"/>
                <w:szCs w:val="22"/>
              </w:rPr>
              <w:t xml:space="preserve"> El detalle de las observaciones y recomendaciones será divulgada al interior de la Fiduciaria de acuerdo con los lineamientos emitidos por la Gerencia de Auditoría y a los planes de acción que se definan para su remedición se les efectuará seguimiento de acuerdo con los Procedimiento de Plan de Acción (PR-GPR-008) y de Seguimiento de Planes de Acción (PR-ACO-005).</w:t>
            </w:r>
          </w:p>
        </w:tc>
      </w:tr>
    </w:tbl>
    <w:p w14:paraId="22A438B5" w14:textId="77777777" w:rsidR="00561B22" w:rsidRPr="004D075A" w:rsidRDefault="00561B22" w:rsidP="00561B22">
      <w:pPr>
        <w:pStyle w:val="Textoindependiente"/>
        <w:ind w:right="-50"/>
        <w:jc w:val="both"/>
        <w:rPr>
          <w:rFonts w:ascii="Arial" w:hAnsi="Arial" w:cs="Arial"/>
          <w:b/>
          <w:bCs/>
        </w:rPr>
      </w:pPr>
    </w:p>
    <w:p w14:paraId="11203C77" w14:textId="77777777" w:rsidR="00561B22" w:rsidRPr="004D075A" w:rsidRDefault="00561B22" w:rsidP="00561B22">
      <w:pPr>
        <w:jc w:val="both"/>
        <w:rPr>
          <w:rFonts w:ascii="Arial" w:hAnsi="Arial" w:cs="Arial"/>
          <w:b/>
          <w:lang w:val="es-MX"/>
        </w:rPr>
      </w:pPr>
      <w:r w:rsidRPr="004D075A">
        <w:rPr>
          <w:rFonts w:ascii="Arial" w:hAnsi="Arial" w:cs="Arial"/>
          <w:b/>
          <w:lang w:val="es-MX"/>
        </w:rPr>
        <w:t>Del citado informe retomamos las siguientes recomendaciones:</w:t>
      </w:r>
    </w:p>
    <w:p w14:paraId="1CBC6A5D" w14:textId="77777777" w:rsidR="00561B22" w:rsidRPr="004D075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D075A" w14:paraId="40DD821C" w14:textId="77777777" w:rsidTr="00F1223B">
        <w:tc>
          <w:tcPr>
            <w:tcW w:w="562" w:type="dxa"/>
          </w:tcPr>
          <w:p w14:paraId="0349300E" w14:textId="77777777" w:rsidR="00561B22" w:rsidRPr="004D075A" w:rsidRDefault="00561B22" w:rsidP="00F1223B">
            <w:pPr>
              <w:ind w:right="-109"/>
              <w:jc w:val="center"/>
              <w:rPr>
                <w:rFonts w:ascii="Arial" w:hAnsi="Arial" w:cs="Arial"/>
                <w:b/>
                <w:sz w:val="22"/>
                <w:szCs w:val="22"/>
                <w:lang w:val="es-MX"/>
              </w:rPr>
            </w:pPr>
            <w:r w:rsidRPr="004D075A">
              <w:rPr>
                <w:rFonts w:ascii="Arial" w:hAnsi="Arial" w:cs="Arial"/>
                <w:b/>
                <w:sz w:val="22"/>
                <w:szCs w:val="22"/>
                <w:lang w:val="es-MX"/>
              </w:rPr>
              <w:t>N°</w:t>
            </w:r>
          </w:p>
        </w:tc>
        <w:tc>
          <w:tcPr>
            <w:tcW w:w="9400" w:type="dxa"/>
          </w:tcPr>
          <w:p w14:paraId="29C53A64"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RECOMENDACIONES</w:t>
            </w:r>
          </w:p>
          <w:p w14:paraId="0E5DD5BE" w14:textId="77777777" w:rsidR="00561B22" w:rsidRPr="004D075A" w:rsidRDefault="00561B22" w:rsidP="00F1223B">
            <w:pPr>
              <w:jc w:val="center"/>
              <w:rPr>
                <w:rFonts w:ascii="Arial" w:hAnsi="Arial" w:cs="Arial"/>
                <w:b/>
                <w:sz w:val="22"/>
                <w:szCs w:val="22"/>
                <w:lang w:val="es-MX"/>
              </w:rPr>
            </w:pPr>
          </w:p>
        </w:tc>
      </w:tr>
      <w:tr w:rsidR="00561B22" w:rsidRPr="004D075A" w14:paraId="39A3741C" w14:textId="77777777" w:rsidTr="00F1223B">
        <w:tc>
          <w:tcPr>
            <w:tcW w:w="562" w:type="dxa"/>
          </w:tcPr>
          <w:p w14:paraId="0CD54CD5"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1</w:t>
            </w:r>
          </w:p>
        </w:tc>
        <w:tc>
          <w:tcPr>
            <w:tcW w:w="9400" w:type="dxa"/>
          </w:tcPr>
          <w:p w14:paraId="6DF146FE" w14:textId="77777777" w:rsidR="00561B22" w:rsidRPr="004D075A" w:rsidRDefault="00561B22" w:rsidP="00F1223B">
            <w:pPr>
              <w:jc w:val="both"/>
              <w:rPr>
                <w:rFonts w:ascii="Arial" w:hAnsi="Arial" w:cs="Arial"/>
                <w:sz w:val="22"/>
                <w:szCs w:val="22"/>
              </w:rPr>
            </w:pPr>
            <w:r w:rsidRPr="004D075A">
              <w:rPr>
                <w:rFonts w:ascii="Arial" w:hAnsi="Arial" w:cs="Arial"/>
                <w:sz w:val="22"/>
                <w:szCs w:val="22"/>
              </w:rPr>
              <w:t xml:space="preserve">Se recomienda a la administración: </w:t>
            </w:r>
          </w:p>
          <w:p w14:paraId="5C3D6047" w14:textId="77777777" w:rsidR="00561B22" w:rsidRPr="004D075A" w:rsidRDefault="00561B22" w:rsidP="00F1223B">
            <w:pPr>
              <w:jc w:val="both"/>
              <w:rPr>
                <w:rFonts w:ascii="Arial" w:hAnsi="Arial" w:cs="Arial"/>
                <w:sz w:val="22"/>
                <w:szCs w:val="22"/>
              </w:rPr>
            </w:pPr>
            <w:r w:rsidRPr="004D075A">
              <w:rPr>
                <w:rFonts w:ascii="Arial" w:hAnsi="Arial" w:cs="Arial"/>
                <w:sz w:val="22"/>
                <w:szCs w:val="22"/>
              </w:rPr>
              <w:t>Formalizar planes de capacitación para toda la Gerencia de Contabilidad, teniendo en cuenta los procesos de actualización documental que se desarrollaron durante el 2024.</w:t>
            </w:r>
          </w:p>
        </w:tc>
      </w:tr>
      <w:tr w:rsidR="00561B22" w:rsidRPr="004D075A" w14:paraId="39789C98" w14:textId="77777777" w:rsidTr="00F1223B">
        <w:tc>
          <w:tcPr>
            <w:tcW w:w="562" w:type="dxa"/>
          </w:tcPr>
          <w:p w14:paraId="4EAA3ABA"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2</w:t>
            </w:r>
          </w:p>
        </w:tc>
        <w:tc>
          <w:tcPr>
            <w:tcW w:w="9400" w:type="dxa"/>
          </w:tcPr>
          <w:p w14:paraId="739BC244"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t>Formalización de las políticas contables en el Sistema de Gestión de Calidad</w:t>
            </w:r>
          </w:p>
        </w:tc>
      </w:tr>
      <w:tr w:rsidR="00561B22" w:rsidRPr="004D075A" w14:paraId="0255FB68" w14:textId="77777777" w:rsidTr="00F1223B">
        <w:tc>
          <w:tcPr>
            <w:tcW w:w="562" w:type="dxa"/>
          </w:tcPr>
          <w:p w14:paraId="631C50A7"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3</w:t>
            </w:r>
          </w:p>
        </w:tc>
        <w:tc>
          <w:tcPr>
            <w:tcW w:w="9400" w:type="dxa"/>
          </w:tcPr>
          <w:p w14:paraId="504F03EA"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t xml:space="preserve">Fortalecer la documentación de los instructivos de las actividades relacionadas con las </w:t>
            </w:r>
            <w:r w:rsidRPr="004D075A">
              <w:rPr>
                <w:rFonts w:ascii="Arial" w:hAnsi="Arial" w:cs="Arial"/>
                <w:sz w:val="22"/>
                <w:szCs w:val="22"/>
              </w:rPr>
              <w:lastRenderedPageBreak/>
              <w:t>interfaces del aplicativo CORE (SIFI) y de los diferentes módulos satélites.</w:t>
            </w:r>
          </w:p>
        </w:tc>
      </w:tr>
      <w:tr w:rsidR="00561B22" w:rsidRPr="004D075A" w14:paraId="2984F268" w14:textId="77777777" w:rsidTr="00F1223B">
        <w:tc>
          <w:tcPr>
            <w:tcW w:w="562" w:type="dxa"/>
          </w:tcPr>
          <w:p w14:paraId="379A7EA0"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lastRenderedPageBreak/>
              <w:t>4</w:t>
            </w:r>
          </w:p>
        </w:tc>
        <w:tc>
          <w:tcPr>
            <w:tcW w:w="9400" w:type="dxa"/>
          </w:tcPr>
          <w:p w14:paraId="3CF8A2A9" w14:textId="77777777" w:rsidR="00561B22" w:rsidRPr="004D075A" w:rsidRDefault="00561B22" w:rsidP="00F1223B">
            <w:pPr>
              <w:jc w:val="both"/>
              <w:rPr>
                <w:rFonts w:ascii="Arial" w:hAnsi="Arial" w:cs="Arial"/>
                <w:b/>
                <w:sz w:val="22"/>
                <w:szCs w:val="22"/>
                <w:lang w:val="es-MX"/>
              </w:rPr>
            </w:pPr>
            <w:r w:rsidRPr="004D075A">
              <w:rPr>
                <w:rFonts w:ascii="Arial" w:hAnsi="Arial" w:cs="Arial"/>
                <w:sz w:val="22"/>
                <w:szCs w:val="22"/>
              </w:rPr>
              <w:t>Fortalecer la Matriz de Roles y perfiles de la Gerencia Contable, así como su divulgación.</w:t>
            </w:r>
          </w:p>
        </w:tc>
      </w:tr>
      <w:tr w:rsidR="00561B22" w:rsidRPr="004D075A" w14:paraId="4502277A" w14:textId="77777777" w:rsidTr="00F1223B">
        <w:tc>
          <w:tcPr>
            <w:tcW w:w="562" w:type="dxa"/>
          </w:tcPr>
          <w:p w14:paraId="6C543E6B" w14:textId="77777777" w:rsidR="00561B22" w:rsidRPr="004D075A" w:rsidRDefault="00561B22" w:rsidP="00F1223B">
            <w:pPr>
              <w:jc w:val="center"/>
              <w:rPr>
                <w:rFonts w:ascii="Arial" w:hAnsi="Arial" w:cs="Arial"/>
                <w:b/>
                <w:sz w:val="22"/>
                <w:szCs w:val="22"/>
                <w:lang w:val="es-MX"/>
              </w:rPr>
            </w:pPr>
            <w:r w:rsidRPr="004D075A">
              <w:rPr>
                <w:rFonts w:ascii="Arial" w:hAnsi="Arial" w:cs="Arial"/>
                <w:b/>
                <w:sz w:val="22"/>
                <w:szCs w:val="22"/>
                <w:lang w:val="es-MX"/>
              </w:rPr>
              <w:t>5</w:t>
            </w:r>
          </w:p>
        </w:tc>
        <w:tc>
          <w:tcPr>
            <w:tcW w:w="9400" w:type="dxa"/>
          </w:tcPr>
          <w:p w14:paraId="76EB8960" w14:textId="77777777" w:rsidR="00561B22" w:rsidRPr="004D075A" w:rsidRDefault="00561B22" w:rsidP="00F1223B">
            <w:pPr>
              <w:jc w:val="both"/>
              <w:rPr>
                <w:rFonts w:ascii="Arial" w:hAnsi="Arial" w:cs="Arial"/>
                <w:sz w:val="22"/>
                <w:szCs w:val="22"/>
              </w:rPr>
            </w:pPr>
            <w:r w:rsidRPr="004D075A">
              <w:rPr>
                <w:rFonts w:ascii="Arial" w:hAnsi="Arial" w:cs="Arial"/>
                <w:sz w:val="22"/>
                <w:szCs w:val="22"/>
              </w:rPr>
              <w:t>Formalizar controles de revisión para los comprobantes contables.</w:t>
            </w:r>
          </w:p>
        </w:tc>
      </w:tr>
    </w:tbl>
    <w:p w14:paraId="7EB15A0B" w14:textId="77777777" w:rsidR="00561B22" w:rsidRPr="004D075A" w:rsidRDefault="00561B22" w:rsidP="00561B22">
      <w:pPr>
        <w:pStyle w:val="Textoindependiente"/>
        <w:ind w:right="-50"/>
        <w:jc w:val="both"/>
        <w:rPr>
          <w:rFonts w:ascii="Arial" w:hAnsi="Arial" w:cs="Arial"/>
          <w:b/>
          <w:bCs/>
        </w:rPr>
      </w:pPr>
    </w:p>
    <w:p w14:paraId="74D85952" w14:textId="77777777" w:rsidR="00561B22" w:rsidRPr="004D075A" w:rsidRDefault="00561B22" w:rsidP="00561B22">
      <w:pPr>
        <w:jc w:val="both"/>
        <w:rPr>
          <w:rFonts w:ascii="Arial" w:hAnsi="Arial" w:cs="Arial"/>
          <w:b/>
          <w:bCs/>
          <w:sz w:val="24"/>
          <w:szCs w:val="24"/>
          <w:lang w:val="es-CO"/>
        </w:rPr>
      </w:pPr>
      <w:r w:rsidRPr="004D075A">
        <w:rPr>
          <w:rFonts w:ascii="Arial" w:hAnsi="Arial" w:cs="Arial"/>
          <w:b/>
          <w:bCs/>
          <w:sz w:val="24"/>
          <w:szCs w:val="24"/>
          <w:lang w:val="es-CO"/>
        </w:rPr>
        <w:t xml:space="preserve">NOTA: LA ENTIDAD ENVIA LA MATRIZ DE AUTOEVALUACIÓN DEL SISTEMA DE CONTROL INTERNO CONTABLE CON </w:t>
      </w:r>
      <w:r w:rsidRPr="004D075A">
        <w:rPr>
          <w:rFonts w:ascii="Arial" w:hAnsi="Arial" w:cs="Arial"/>
          <w:b/>
          <w:bCs/>
          <w:sz w:val="24"/>
          <w:szCs w:val="24"/>
          <w:u w:val="single"/>
          <w:lang w:val="es-CO"/>
        </w:rPr>
        <w:t>ACTIVIDADES DE CONTROL REALIZADAS EN FORMA PARCIAL</w:t>
      </w:r>
      <w:r w:rsidRPr="004D075A">
        <w:rPr>
          <w:rFonts w:ascii="Arial" w:hAnsi="Arial" w:cs="Arial"/>
          <w:b/>
          <w:bCs/>
          <w:sz w:val="24"/>
          <w:szCs w:val="24"/>
          <w:lang w:val="es-CO"/>
        </w:rPr>
        <w:t>.</w:t>
      </w:r>
    </w:p>
    <w:p w14:paraId="2AE78C69" w14:textId="77777777" w:rsidR="00561B22" w:rsidRDefault="00561B22" w:rsidP="00561B22">
      <w:pPr>
        <w:pStyle w:val="Textoindependiente"/>
        <w:ind w:right="-50"/>
        <w:jc w:val="both"/>
        <w:rPr>
          <w:b/>
          <w:bCs/>
          <w:sz w:val="28"/>
          <w:szCs w:val="28"/>
        </w:rPr>
      </w:pPr>
    </w:p>
    <w:p w14:paraId="10026819" w14:textId="77777777" w:rsidR="00561B22" w:rsidRPr="00B15A78" w:rsidRDefault="00561B22" w:rsidP="00561B22">
      <w:pPr>
        <w:ind w:right="-142"/>
        <w:jc w:val="both"/>
        <w:rPr>
          <w:rFonts w:ascii="Arial" w:hAnsi="Arial" w:cs="Arial"/>
          <w:b/>
          <w:sz w:val="28"/>
          <w:szCs w:val="28"/>
          <w:lang w:val="es-MX"/>
        </w:rPr>
      </w:pPr>
      <w:r w:rsidRPr="00B15A78">
        <w:rPr>
          <w:rFonts w:ascii="Arial" w:hAnsi="Arial" w:cs="Arial"/>
          <w:b/>
          <w:sz w:val="28"/>
          <w:szCs w:val="28"/>
          <w:lang w:val="es-MX"/>
        </w:rPr>
        <w:t xml:space="preserve">233.- </w:t>
      </w:r>
      <w:r w:rsidRPr="00B15A78">
        <w:rPr>
          <w:rFonts w:ascii="Arial" w:hAnsi="Arial" w:cs="Arial"/>
          <w:b/>
          <w:sz w:val="28"/>
          <w:szCs w:val="28"/>
        </w:rPr>
        <w:t>PATRIMONIO AUTÓNOMO FONDO ESPECIAL PARA INVESTIGACIONES FEI – INS – FIDUCOLDEX S.A.</w:t>
      </w:r>
    </w:p>
    <w:p w14:paraId="4760334A" w14:textId="77777777" w:rsidR="00561B22" w:rsidRPr="00B15A78" w:rsidRDefault="00561B22" w:rsidP="00561B22">
      <w:pPr>
        <w:pStyle w:val="Textoindependiente"/>
        <w:tabs>
          <w:tab w:val="left" w:pos="2055"/>
        </w:tabs>
        <w:spacing w:before="5"/>
        <w:rPr>
          <w:rFonts w:ascii="Arial" w:hAnsi="Arial" w:cs="Arial"/>
          <w:sz w:val="17"/>
        </w:rPr>
      </w:pPr>
    </w:p>
    <w:p w14:paraId="509C7E2A" w14:textId="77777777" w:rsidR="00561B22" w:rsidRPr="001D402D" w:rsidRDefault="00561B22" w:rsidP="00561B22">
      <w:pPr>
        <w:pStyle w:val="Textoindependiente"/>
        <w:ind w:right="-50"/>
        <w:jc w:val="both"/>
        <w:rPr>
          <w:b/>
          <w:bCs/>
          <w:sz w:val="28"/>
          <w:szCs w:val="28"/>
        </w:rPr>
      </w:pPr>
      <w:r w:rsidRPr="001D402D">
        <w:rPr>
          <w:b/>
          <w:bCs/>
          <w:sz w:val="28"/>
          <w:szCs w:val="28"/>
        </w:rPr>
        <w:t>INFORME DE LA AUTOCALIFICACIÓN DEL SISTEMA DE CONTROL INTERNO CONTABLE:</w:t>
      </w:r>
    </w:p>
    <w:p w14:paraId="1EA0FAC2" w14:textId="77777777" w:rsidR="00561B22" w:rsidRDefault="00561B22" w:rsidP="00561B22">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E648AF" w14:paraId="49E5D577" w14:textId="77777777" w:rsidTr="00F1223B">
        <w:tc>
          <w:tcPr>
            <w:tcW w:w="4981" w:type="dxa"/>
          </w:tcPr>
          <w:p w14:paraId="20C0B4BA" w14:textId="77777777" w:rsidR="00561B22" w:rsidRPr="00E648AF" w:rsidRDefault="00561B22" w:rsidP="00F1223B">
            <w:pPr>
              <w:jc w:val="center"/>
              <w:rPr>
                <w:b/>
                <w:sz w:val="24"/>
                <w:szCs w:val="24"/>
                <w:lang w:val="es-MX"/>
              </w:rPr>
            </w:pPr>
            <w:r w:rsidRPr="00E648AF">
              <w:rPr>
                <w:b/>
                <w:sz w:val="24"/>
                <w:szCs w:val="24"/>
                <w:lang w:val="es-MX"/>
              </w:rPr>
              <w:t>AUTOCALIFICACIÓN</w:t>
            </w:r>
          </w:p>
        </w:tc>
        <w:tc>
          <w:tcPr>
            <w:tcW w:w="4981" w:type="dxa"/>
          </w:tcPr>
          <w:p w14:paraId="1BE20BA7" w14:textId="77777777" w:rsidR="00561B22" w:rsidRPr="00E648AF" w:rsidRDefault="00561B22" w:rsidP="00F1223B">
            <w:pPr>
              <w:jc w:val="center"/>
              <w:rPr>
                <w:b/>
                <w:sz w:val="24"/>
                <w:szCs w:val="24"/>
                <w:u w:val="single"/>
                <w:lang w:val="es-MX"/>
              </w:rPr>
            </w:pPr>
            <w:r>
              <w:rPr>
                <w:b/>
                <w:sz w:val="24"/>
                <w:szCs w:val="24"/>
                <w:u w:val="single"/>
                <w:lang w:val="es-MX"/>
              </w:rPr>
              <w:t>?</w:t>
            </w:r>
          </w:p>
        </w:tc>
      </w:tr>
    </w:tbl>
    <w:p w14:paraId="113B213B" w14:textId="77777777" w:rsidR="00561B22" w:rsidRDefault="00561B22" w:rsidP="00561B22">
      <w:pPr>
        <w:pStyle w:val="Textoindependiente"/>
        <w:ind w:right="-50"/>
        <w:jc w:val="both"/>
        <w:rPr>
          <w:b/>
          <w:bCs/>
          <w:sz w:val="28"/>
          <w:szCs w:val="28"/>
        </w:rPr>
      </w:pPr>
    </w:p>
    <w:p w14:paraId="24769699" w14:textId="77777777" w:rsidR="00561B22" w:rsidRDefault="00561B22" w:rsidP="00561B22">
      <w:pPr>
        <w:pStyle w:val="Textoindependiente"/>
        <w:ind w:right="-50"/>
        <w:jc w:val="both"/>
      </w:pPr>
      <w:r>
        <w:rPr>
          <w:b/>
          <w:bCs/>
        </w:rPr>
        <w:t xml:space="preserve">NOTA: </w:t>
      </w:r>
      <w:r>
        <w:t>La entidad no informa la calificación obtenida en la autoevaluación del Sistema de Control Interno Contable.</w:t>
      </w:r>
    </w:p>
    <w:p w14:paraId="747C2DF7" w14:textId="77777777" w:rsidR="00561B22" w:rsidRPr="002334F3" w:rsidRDefault="00561B22" w:rsidP="00561B22">
      <w:pPr>
        <w:pStyle w:val="Textoindependiente"/>
        <w:ind w:right="-50"/>
        <w:jc w:val="both"/>
      </w:pPr>
    </w:p>
    <w:p w14:paraId="5AFC5A62" w14:textId="77777777" w:rsidR="00561B22" w:rsidRDefault="00561B22" w:rsidP="00561B22">
      <w:pPr>
        <w:pStyle w:val="Textoindependiente"/>
        <w:ind w:right="-50"/>
        <w:jc w:val="both"/>
        <w:rPr>
          <w:b/>
          <w:bCs/>
          <w:sz w:val="28"/>
          <w:szCs w:val="28"/>
        </w:rPr>
      </w:pPr>
      <w:r>
        <w:rPr>
          <w:b/>
          <w:bCs/>
          <w:sz w:val="28"/>
          <w:szCs w:val="28"/>
        </w:rPr>
        <w:t>Del informe enviado retomamos lo siguiente:</w:t>
      </w:r>
    </w:p>
    <w:p w14:paraId="1E2452F8" w14:textId="77777777" w:rsidR="00561B22" w:rsidRDefault="00561B22" w:rsidP="00561B22">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740FF1" w14:paraId="2FBE56B0" w14:textId="77777777" w:rsidTr="00F1223B">
        <w:tc>
          <w:tcPr>
            <w:tcW w:w="562" w:type="dxa"/>
          </w:tcPr>
          <w:p w14:paraId="728FC71D" w14:textId="77777777" w:rsidR="00561B22" w:rsidRPr="00740FF1" w:rsidRDefault="00561B22" w:rsidP="00F1223B">
            <w:pPr>
              <w:ind w:right="-109"/>
              <w:jc w:val="center"/>
              <w:rPr>
                <w:b/>
                <w:lang w:val="es-MX"/>
              </w:rPr>
            </w:pPr>
            <w:r w:rsidRPr="00740FF1">
              <w:rPr>
                <w:b/>
                <w:lang w:val="es-MX"/>
              </w:rPr>
              <w:t>N°</w:t>
            </w:r>
          </w:p>
        </w:tc>
        <w:tc>
          <w:tcPr>
            <w:tcW w:w="9400" w:type="dxa"/>
          </w:tcPr>
          <w:p w14:paraId="10D68745" w14:textId="77777777" w:rsidR="00561B22" w:rsidRPr="00E648AF" w:rsidRDefault="00561B22" w:rsidP="00F1223B">
            <w:pPr>
              <w:jc w:val="center"/>
              <w:rPr>
                <w:b/>
                <w:sz w:val="24"/>
                <w:szCs w:val="24"/>
                <w:lang w:val="es-MX"/>
              </w:rPr>
            </w:pPr>
            <w:r w:rsidRPr="00E648AF">
              <w:rPr>
                <w:b/>
                <w:sz w:val="24"/>
                <w:szCs w:val="24"/>
                <w:lang w:val="es-MX"/>
              </w:rPr>
              <w:t>DEBILIDADES</w:t>
            </w:r>
          </w:p>
          <w:p w14:paraId="11100C8E" w14:textId="77777777" w:rsidR="00561B22" w:rsidRPr="00740FF1" w:rsidRDefault="00561B22" w:rsidP="00F1223B">
            <w:pPr>
              <w:jc w:val="center"/>
              <w:rPr>
                <w:b/>
                <w:lang w:val="es-MX"/>
              </w:rPr>
            </w:pPr>
          </w:p>
        </w:tc>
      </w:tr>
      <w:tr w:rsidR="00561B22" w:rsidRPr="00740FF1" w14:paraId="789C9DFD" w14:textId="77777777" w:rsidTr="00F1223B">
        <w:tc>
          <w:tcPr>
            <w:tcW w:w="562" w:type="dxa"/>
          </w:tcPr>
          <w:p w14:paraId="34107322" w14:textId="77777777" w:rsidR="00561B22" w:rsidRPr="00740FF1" w:rsidRDefault="00561B22" w:rsidP="00F1223B">
            <w:pPr>
              <w:jc w:val="center"/>
              <w:rPr>
                <w:b/>
                <w:lang w:val="es-MX"/>
              </w:rPr>
            </w:pPr>
            <w:r w:rsidRPr="00740FF1">
              <w:rPr>
                <w:b/>
                <w:lang w:val="es-MX"/>
              </w:rPr>
              <w:t>1</w:t>
            </w:r>
          </w:p>
        </w:tc>
        <w:tc>
          <w:tcPr>
            <w:tcW w:w="9400" w:type="dxa"/>
          </w:tcPr>
          <w:p w14:paraId="761DA6FB" w14:textId="77777777" w:rsidR="00561B22" w:rsidRDefault="00561B22" w:rsidP="00F1223B">
            <w:pPr>
              <w:jc w:val="both"/>
            </w:pPr>
            <w:r w:rsidRPr="00B760C0">
              <w:t xml:space="preserve">Se observaron situaciones objeto de recomendación relacionadas con: </w:t>
            </w:r>
          </w:p>
          <w:p w14:paraId="6A9BDDE6" w14:textId="77777777" w:rsidR="00561B22" w:rsidRPr="00B760C0" w:rsidRDefault="00561B22" w:rsidP="00F1223B">
            <w:pPr>
              <w:jc w:val="both"/>
              <w:rPr>
                <w:b/>
                <w:lang w:val="es-MX"/>
              </w:rPr>
            </w:pPr>
            <w:r w:rsidRPr="00B760C0">
              <w:t xml:space="preserve">Formalización de políticas contables aplicables al Patrimonio Autónomo, dentro del </w:t>
            </w:r>
            <w:r>
              <w:t>S</w:t>
            </w:r>
            <w:r w:rsidRPr="00B760C0">
              <w:t xml:space="preserve">istema de </w:t>
            </w:r>
            <w:r>
              <w:t>G</w:t>
            </w:r>
            <w:r w:rsidRPr="00B760C0">
              <w:t xml:space="preserve">estión de </w:t>
            </w:r>
            <w:r>
              <w:t>C</w:t>
            </w:r>
            <w:r w:rsidRPr="00B760C0">
              <w:t xml:space="preserve">alidad de la Fiduciaria. </w:t>
            </w:r>
          </w:p>
        </w:tc>
      </w:tr>
      <w:tr w:rsidR="00561B22" w:rsidRPr="00740FF1" w14:paraId="256EF10D" w14:textId="77777777" w:rsidTr="00F1223B">
        <w:tc>
          <w:tcPr>
            <w:tcW w:w="562" w:type="dxa"/>
          </w:tcPr>
          <w:p w14:paraId="2B65E028" w14:textId="77777777" w:rsidR="00561B22" w:rsidRPr="00740FF1" w:rsidRDefault="00561B22" w:rsidP="00F1223B">
            <w:pPr>
              <w:jc w:val="center"/>
              <w:rPr>
                <w:b/>
                <w:lang w:val="es-MX"/>
              </w:rPr>
            </w:pPr>
            <w:r w:rsidRPr="00740FF1">
              <w:rPr>
                <w:b/>
                <w:lang w:val="es-MX"/>
              </w:rPr>
              <w:t>2</w:t>
            </w:r>
          </w:p>
        </w:tc>
        <w:tc>
          <w:tcPr>
            <w:tcW w:w="9400" w:type="dxa"/>
          </w:tcPr>
          <w:p w14:paraId="7E553213" w14:textId="77777777" w:rsidR="00561B22" w:rsidRPr="00B760C0" w:rsidRDefault="00561B22" w:rsidP="00F1223B">
            <w:pPr>
              <w:jc w:val="both"/>
              <w:rPr>
                <w:b/>
                <w:lang w:val="es-MX"/>
              </w:rPr>
            </w:pPr>
            <w:r w:rsidRPr="00B760C0">
              <w:t xml:space="preserve">Planes de capacitación para toda la Gerencia de Contabilidad. </w:t>
            </w:r>
          </w:p>
        </w:tc>
      </w:tr>
      <w:tr w:rsidR="00561B22" w:rsidRPr="00740FF1" w14:paraId="60BBB60A" w14:textId="77777777" w:rsidTr="00F1223B">
        <w:tc>
          <w:tcPr>
            <w:tcW w:w="562" w:type="dxa"/>
          </w:tcPr>
          <w:p w14:paraId="2C2233CD" w14:textId="77777777" w:rsidR="00561B22" w:rsidRPr="00740FF1" w:rsidRDefault="00561B22" w:rsidP="00F1223B">
            <w:pPr>
              <w:jc w:val="center"/>
              <w:rPr>
                <w:b/>
                <w:lang w:val="es-MX"/>
              </w:rPr>
            </w:pPr>
            <w:r w:rsidRPr="00740FF1">
              <w:rPr>
                <w:b/>
                <w:lang w:val="es-MX"/>
              </w:rPr>
              <w:t>3</w:t>
            </w:r>
          </w:p>
        </w:tc>
        <w:tc>
          <w:tcPr>
            <w:tcW w:w="9400" w:type="dxa"/>
          </w:tcPr>
          <w:p w14:paraId="3729FC2A" w14:textId="77777777" w:rsidR="00561B22" w:rsidRPr="00B760C0" w:rsidRDefault="00561B22" w:rsidP="00F1223B">
            <w:pPr>
              <w:jc w:val="both"/>
              <w:rPr>
                <w:b/>
                <w:lang w:val="es-MX"/>
              </w:rPr>
            </w:pPr>
            <w:r w:rsidRPr="00B760C0">
              <w:t xml:space="preserve">Los instructivos de las actividades relacionadas con las interfaces del aplicativo CORE SISA y de los diferentes módulos satélites. </w:t>
            </w:r>
          </w:p>
        </w:tc>
      </w:tr>
      <w:tr w:rsidR="00561B22" w:rsidRPr="00740FF1" w14:paraId="597AE678" w14:textId="77777777" w:rsidTr="00F1223B">
        <w:tc>
          <w:tcPr>
            <w:tcW w:w="562" w:type="dxa"/>
          </w:tcPr>
          <w:p w14:paraId="1C439539" w14:textId="77777777" w:rsidR="00561B22" w:rsidRPr="00740FF1" w:rsidRDefault="00561B22" w:rsidP="00F1223B">
            <w:pPr>
              <w:jc w:val="center"/>
              <w:rPr>
                <w:b/>
                <w:lang w:val="es-MX"/>
              </w:rPr>
            </w:pPr>
            <w:r w:rsidRPr="00740FF1">
              <w:rPr>
                <w:b/>
                <w:lang w:val="es-MX"/>
              </w:rPr>
              <w:t>4</w:t>
            </w:r>
          </w:p>
        </w:tc>
        <w:tc>
          <w:tcPr>
            <w:tcW w:w="9400" w:type="dxa"/>
          </w:tcPr>
          <w:p w14:paraId="67C05B49" w14:textId="77777777" w:rsidR="00561B22" w:rsidRPr="00B760C0" w:rsidRDefault="00561B22" w:rsidP="00F1223B">
            <w:pPr>
              <w:jc w:val="both"/>
              <w:rPr>
                <w:b/>
                <w:lang w:val="es-MX"/>
              </w:rPr>
            </w:pPr>
            <w:r w:rsidRPr="00B760C0">
              <w:t xml:space="preserve">La </w:t>
            </w:r>
            <w:r>
              <w:t>M</w:t>
            </w:r>
            <w:r w:rsidRPr="00B760C0">
              <w:t xml:space="preserve">atriz de </w:t>
            </w:r>
            <w:r>
              <w:t>R</w:t>
            </w:r>
            <w:r w:rsidRPr="00B760C0">
              <w:t xml:space="preserve">oles y </w:t>
            </w:r>
            <w:r>
              <w:t>P</w:t>
            </w:r>
            <w:r w:rsidRPr="00B760C0">
              <w:t xml:space="preserve">erfiles de la Gerencia Contable. </w:t>
            </w:r>
          </w:p>
        </w:tc>
      </w:tr>
      <w:tr w:rsidR="00561B22" w:rsidRPr="00740FF1" w14:paraId="02267BCF" w14:textId="77777777" w:rsidTr="00F1223B">
        <w:tc>
          <w:tcPr>
            <w:tcW w:w="562" w:type="dxa"/>
          </w:tcPr>
          <w:p w14:paraId="5AE87976" w14:textId="77777777" w:rsidR="00561B22" w:rsidRPr="00740FF1" w:rsidRDefault="00561B22" w:rsidP="00F1223B">
            <w:pPr>
              <w:jc w:val="center"/>
              <w:rPr>
                <w:b/>
                <w:lang w:val="es-MX"/>
              </w:rPr>
            </w:pPr>
            <w:r>
              <w:rPr>
                <w:b/>
                <w:lang w:val="es-MX"/>
              </w:rPr>
              <w:t>5</w:t>
            </w:r>
          </w:p>
        </w:tc>
        <w:tc>
          <w:tcPr>
            <w:tcW w:w="9400" w:type="dxa"/>
          </w:tcPr>
          <w:p w14:paraId="238884FA" w14:textId="77777777" w:rsidR="00561B22" w:rsidRPr="00B760C0" w:rsidRDefault="00561B22" w:rsidP="00F1223B">
            <w:pPr>
              <w:jc w:val="both"/>
            </w:pPr>
            <w:r w:rsidRPr="00B760C0">
              <w:t xml:space="preserve">Controles de revisión para los comprobantes contables. </w:t>
            </w:r>
          </w:p>
          <w:p w14:paraId="47622DE2" w14:textId="77777777" w:rsidR="00561B22" w:rsidRPr="00B760C0" w:rsidRDefault="00561B22" w:rsidP="00F1223B">
            <w:pPr>
              <w:jc w:val="both"/>
            </w:pPr>
          </w:p>
          <w:p w14:paraId="1C870062" w14:textId="77777777" w:rsidR="00561B22" w:rsidRPr="00B760C0" w:rsidRDefault="00561B22" w:rsidP="00F1223B">
            <w:pPr>
              <w:jc w:val="both"/>
              <w:rPr>
                <w:b/>
                <w:lang w:val="es-MX"/>
              </w:rPr>
            </w:pPr>
            <w:r w:rsidRPr="00B760C0">
              <w:t xml:space="preserve">Nota: El detalle de las observaciones y recomendaciones será divulgada al interior de la </w:t>
            </w:r>
            <w:r>
              <w:t>e</w:t>
            </w:r>
            <w:r w:rsidRPr="00B760C0">
              <w:t>ntidad de acuerdo con los lineamientos emitidos por la Gerencia de Auditoría y a los planes de acción que se definan para su remedición se les efectuará seguimiento de acuerdo con los Procedimiento de Plan de Acción PRGPR00 y de Seguimiento de Planes de Acción PRACO005.</w:t>
            </w:r>
          </w:p>
        </w:tc>
      </w:tr>
    </w:tbl>
    <w:p w14:paraId="19685D43" w14:textId="77777777" w:rsidR="00561B22" w:rsidRDefault="00561B22" w:rsidP="00561B22">
      <w:pPr>
        <w:pStyle w:val="Textoindependiente"/>
        <w:ind w:right="-50"/>
        <w:jc w:val="both"/>
        <w:rPr>
          <w:b/>
          <w:bCs/>
          <w:sz w:val="28"/>
          <w:szCs w:val="28"/>
        </w:rPr>
      </w:pPr>
    </w:p>
    <w:p w14:paraId="53CE9B7F" w14:textId="77777777" w:rsidR="00561B22" w:rsidRDefault="00561B22" w:rsidP="00561B22">
      <w:pPr>
        <w:jc w:val="both"/>
        <w:rPr>
          <w:b/>
          <w:sz w:val="28"/>
          <w:szCs w:val="28"/>
          <w:lang w:val="es-MX"/>
        </w:rPr>
      </w:pPr>
      <w:r>
        <w:rPr>
          <w:b/>
          <w:sz w:val="28"/>
          <w:szCs w:val="28"/>
          <w:lang w:val="es-MX"/>
        </w:rPr>
        <w:t>Del citado informe retomamos las siguientes recomendaciones:</w:t>
      </w:r>
    </w:p>
    <w:p w14:paraId="383044E8" w14:textId="77777777" w:rsidR="00561B22" w:rsidRDefault="00561B22" w:rsidP="00561B22">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740FF1" w14:paraId="52C0A8F4" w14:textId="77777777" w:rsidTr="00F1223B">
        <w:tc>
          <w:tcPr>
            <w:tcW w:w="562" w:type="dxa"/>
          </w:tcPr>
          <w:p w14:paraId="2ED05618" w14:textId="77777777" w:rsidR="00561B22" w:rsidRPr="00740FF1" w:rsidRDefault="00561B22" w:rsidP="00F1223B">
            <w:pPr>
              <w:ind w:right="-109"/>
              <w:jc w:val="center"/>
              <w:rPr>
                <w:b/>
                <w:lang w:val="es-MX"/>
              </w:rPr>
            </w:pPr>
            <w:r w:rsidRPr="00740FF1">
              <w:rPr>
                <w:b/>
                <w:lang w:val="es-MX"/>
              </w:rPr>
              <w:t>N°</w:t>
            </w:r>
          </w:p>
        </w:tc>
        <w:tc>
          <w:tcPr>
            <w:tcW w:w="9400" w:type="dxa"/>
          </w:tcPr>
          <w:p w14:paraId="09839A15" w14:textId="77777777" w:rsidR="00561B22" w:rsidRPr="00E648AF" w:rsidRDefault="00561B22" w:rsidP="00F1223B">
            <w:pPr>
              <w:jc w:val="center"/>
              <w:rPr>
                <w:b/>
                <w:sz w:val="24"/>
                <w:szCs w:val="24"/>
                <w:lang w:val="es-MX"/>
              </w:rPr>
            </w:pPr>
            <w:r w:rsidRPr="00E648AF">
              <w:rPr>
                <w:b/>
                <w:sz w:val="24"/>
                <w:szCs w:val="24"/>
                <w:lang w:val="es-MX"/>
              </w:rPr>
              <w:t>RECOMENDACIONES</w:t>
            </w:r>
          </w:p>
          <w:p w14:paraId="18BAD66C" w14:textId="77777777" w:rsidR="00561B22" w:rsidRPr="00740FF1" w:rsidRDefault="00561B22" w:rsidP="00F1223B">
            <w:pPr>
              <w:jc w:val="center"/>
              <w:rPr>
                <w:b/>
                <w:lang w:val="es-MX"/>
              </w:rPr>
            </w:pPr>
          </w:p>
        </w:tc>
      </w:tr>
      <w:tr w:rsidR="00561B22" w:rsidRPr="00740FF1" w14:paraId="0B1D47E0" w14:textId="77777777" w:rsidTr="00F1223B">
        <w:tc>
          <w:tcPr>
            <w:tcW w:w="562" w:type="dxa"/>
          </w:tcPr>
          <w:p w14:paraId="441E6990" w14:textId="77777777" w:rsidR="00561B22" w:rsidRPr="00740FF1" w:rsidRDefault="00561B22" w:rsidP="00F1223B">
            <w:pPr>
              <w:jc w:val="center"/>
              <w:rPr>
                <w:b/>
                <w:lang w:val="es-MX"/>
              </w:rPr>
            </w:pPr>
            <w:r w:rsidRPr="00740FF1">
              <w:rPr>
                <w:b/>
                <w:lang w:val="es-MX"/>
              </w:rPr>
              <w:t>1</w:t>
            </w:r>
          </w:p>
        </w:tc>
        <w:tc>
          <w:tcPr>
            <w:tcW w:w="9400" w:type="dxa"/>
          </w:tcPr>
          <w:p w14:paraId="5DC499BE" w14:textId="77777777" w:rsidR="00561B22" w:rsidRPr="00696221" w:rsidRDefault="00561B22" w:rsidP="00F1223B">
            <w:pPr>
              <w:jc w:val="both"/>
            </w:pPr>
            <w:r w:rsidRPr="00696221">
              <w:t xml:space="preserve">Se recomienda a la administración: </w:t>
            </w:r>
          </w:p>
          <w:p w14:paraId="5A4B0575" w14:textId="77777777" w:rsidR="00561B22" w:rsidRPr="00696221" w:rsidRDefault="00561B22" w:rsidP="00F1223B">
            <w:pPr>
              <w:jc w:val="both"/>
              <w:rPr>
                <w:b/>
                <w:lang w:val="es-MX"/>
              </w:rPr>
            </w:pPr>
            <w:r w:rsidRPr="00696221">
              <w:t xml:space="preserve">Formalizar planes de capacitación para toda la Gerencia de Contabilidad, teniendo en cuenta los procesos de actualización documental que se desarrollaron durante el 2024. </w:t>
            </w:r>
          </w:p>
        </w:tc>
      </w:tr>
      <w:tr w:rsidR="00561B22" w:rsidRPr="00740FF1" w14:paraId="5711D3F3" w14:textId="77777777" w:rsidTr="00F1223B">
        <w:tc>
          <w:tcPr>
            <w:tcW w:w="562" w:type="dxa"/>
          </w:tcPr>
          <w:p w14:paraId="7D5B2534" w14:textId="77777777" w:rsidR="00561B22" w:rsidRPr="00740FF1" w:rsidRDefault="00561B22" w:rsidP="00F1223B">
            <w:pPr>
              <w:jc w:val="center"/>
              <w:rPr>
                <w:b/>
                <w:lang w:val="es-MX"/>
              </w:rPr>
            </w:pPr>
            <w:r w:rsidRPr="00740FF1">
              <w:rPr>
                <w:b/>
                <w:lang w:val="es-MX"/>
              </w:rPr>
              <w:t>2</w:t>
            </w:r>
          </w:p>
        </w:tc>
        <w:tc>
          <w:tcPr>
            <w:tcW w:w="9400" w:type="dxa"/>
          </w:tcPr>
          <w:p w14:paraId="2CAF2B03" w14:textId="77777777" w:rsidR="00561B22" w:rsidRPr="00696221" w:rsidRDefault="00561B22" w:rsidP="00F1223B">
            <w:pPr>
              <w:jc w:val="both"/>
              <w:rPr>
                <w:b/>
                <w:lang w:val="es-MX"/>
              </w:rPr>
            </w:pPr>
            <w:r w:rsidRPr="00696221">
              <w:t xml:space="preserve">Formalización de las políticas contables en el Sistema de Gestión de Calidad. </w:t>
            </w:r>
          </w:p>
        </w:tc>
      </w:tr>
      <w:tr w:rsidR="00561B22" w:rsidRPr="00740FF1" w14:paraId="079E865E" w14:textId="77777777" w:rsidTr="00F1223B">
        <w:tc>
          <w:tcPr>
            <w:tcW w:w="562" w:type="dxa"/>
          </w:tcPr>
          <w:p w14:paraId="61FD0484" w14:textId="77777777" w:rsidR="00561B22" w:rsidRPr="00740FF1" w:rsidRDefault="00561B22" w:rsidP="00F1223B">
            <w:pPr>
              <w:jc w:val="center"/>
              <w:rPr>
                <w:b/>
                <w:lang w:val="es-MX"/>
              </w:rPr>
            </w:pPr>
            <w:r w:rsidRPr="00740FF1">
              <w:rPr>
                <w:b/>
                <w:lang w:val="es-MX"/>
              </w:rPr>
              <w:t>3</w:t>
            </w:r>
          </w:p>
        </w:tc>
        <w:tc>
          <w:tcPr>
            <w:tcW w:w="9400" w:type="dxa"/>
          </w:tcPr>
          <w:p w14:paraId="42A323BB" w14:textId="77777777" w:rsidR="00561B22" w:rsidRPr="00696221" w:rsidRDefault="00561B22" w:rsidP="00F1223B">
            <w:pPr>
              <w:jc w:val="both"/>
              <w:rPr>
                <w:b/>
                <w:lang w:val="es-MX"/>
              </w:rPr>
            </w:pPr>
            <w:r w:rsidRPr="00696221">
              <w:t xml:space="preserve">Fortalecer la documentación de los instructivos de las actividades relacionadas con las interfaces del aplicativo CORE SISA y de los diferentes módulos satélites. </w:t>
            </w:r>
          </w:p>
        </w:tc>
      </w:tr>
      <w:tr w:rsidR="00561B22" w:rsidRPr="00740FF1" w14:paraId="1CFA4110" w14:textId="77777777" w:rsidTr="00F1223B">
        <w:tc>
          <w:tcPr>
            <w:tcW w:w="562" w:type="dxa"/>
          </w:tcPr>
          <w:p w14:paraId="679577EC" w14:textId="77777777" w:rsidR="00561B22" w:rsidRPr="00740FF1" w:rsidRDefault="00561B22" w:rsidP="00F1223B">
            <w:pPr>
              <w:jc w:val="center"/>
              <w:rPr>
                <w:b/>
                <w:lang w:val="es-MX"/>
              </w:rPr>
            </w:pPr>
            <w:r w:rsidRPr="00740FF1">
              <w:rPr>
                <w:b/>
                <w:lang w:val="es-MX"/>
              </w:rPr>
              <w:lastRenderedPageBreak/>
              <w:t>4</w:t>
            </w:r>
          </w:p>
        </w:tc>
        <w:tc>
          <w:tcPr>
            <w:tcW w:w="9400" w:type="dxa"/>
          </w:tcPr>
          <w:p w14:paraId="6C268647" w14:textId="77777777" w:rsidR="00561B22" w:rsidRPr="00696221" w:rsidRDefault="00561B22" w:rsidP="00F1223B">
            <w:pPr>
              <w:jc w:val="both"/>
              <w:rPr>
                <w:b/>
                <w:lang w:val="es-MX"/>
              </w:rPr>
            </w:pPr>
            <w:r w:rsidRPr="00696221">
              <w:t xml:space="preserve">Fortalecer la </w:t>
            </w:r>
            <w:r>
              <w:t>M</w:t>
            </w:r>
            <w:r w:rsidRPr="00696221">
              <w:t xml:space="preserve">atriz de </w:t>
            </w:r>
            <w:r>
              <w:t>R</w:t>
            </w:r>
            <w:r w:rsidRPr="00696221">
              <w:t xml:space="preserve">oles y </w:t>
            </w:r>
            <w:r>
              <w:t>P</w:t>
            </w:r>
            <w:r w:rsidRPr="00696221">
              <w:t xml:space="preserve">erfiles de la Gerencia Contable, así como su divulgación. </w:t>
            </w:r>
          </w:p>
        </w:tc>
      </w:tr>
      <w:tr w:rsidR="00561B22" w:rsidRPr="00740FF1" w14:paraId="0534A9A6" w14:textId="77777777" w:rsidTr="00F1223B">
        <w:tc>
          <w:tcPr>
            <w:tcW w:w="562" w:type="dxa"/>
          </w:tcPr>
          <w:p w14:paraId="479ED29C" w14:textId="77777777" w:rsidR="00561B22" w:rsidRPr="00740FF1" w:rsidRDefault="00561B22" w:rsidP="00F1223B">
            <w:pPr>
              <w:jc w:val="center"/>
              <w:rPr>
                <w:b/>
                <w:lang w:val="es-MX"/>
              </w:rPr>
            </w:pPr>
          </w:p>
        </w:tc>
        <w:tc>
          <w:tcPr>
            <w:tcW w:w="9400" w:type="dxa"/>
          </w:tcPr>
          <w:p w14:paraId="330295AC" w14:textId="77777777" w:rsidR="00561B22" w:rsidRPr="00696221" w:rsidRDefault="00561B22" w:rsidP="00F1223B">
            <w:pPr>
              <w:jc w:val="both"/>
              <w:rPr>
                <w:b/>
                <w:lang w:val="es-MX"/>
              </w:rPr>
            </w:pPr>
            <w:r w:rsidRPr="00696221">
              <w:t>Formalizar controles de revisión para l</w:t>
            </w:r>
            <w:r>
              <w:t>os</w:t>
            </w:r>
            <w:r w:rsidRPr="00696221">
              <w:t xml:space="preserve"> comprobantes contables.</w:t>
            </w:r>
          </w:p>
        </w:tc>
      </w:tr>
    </w:tbl>
    <w:p w14:paraId="505D07B1" w14:textId="77777777" w:rsidR="00561B22" w:rsidRDefault="00561B22" w:rsidP="00561B22">
      <w:pPr>
        <w:pStyle w:val="Textoindependiente"/>
        <w:ind w:right="-50"/>
        <w:jc w:val="both"/>
        <w:rPr>
          <w:b/>
          <w:bCs/>
          <w:sz w:val="28"/>
          <w:szCs w:val="28"/>
        </w:rPr>
      </w:pPr>
    </w:p>
    <w:p w14:paraId="1BFCE898" w14:textId="77777777" w:rsidR="00561B22" w:rsidRPr="0067097C" w:rsidRDefault="00561B22" w:rsidP="00561B22">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5073DA25" w14:textId="77777777" w:rsidR="00561B22" w:rsidRDefault="00561B22" w:rsidP="00561B22">
      <w:pPr>
        <w:pStyle w:val="Textoindependiente"/>
        <w:ind w:right="-50"/>
        <w:jc w:val="both"/>
        <w:rPr>
          <w:b/>
          <w:bCs/>
          <w:sz w:val="28"/>
          <w:szCs w:val="28"/>
        </w:rPr>
      </w:pPr>
    </w:p>
    <w:p w14:paraId="0784AFDC" w14:textId="77777777" w:rsidR="00561B22" w:rsidRPr="00B15A78" w:rsidRDefault="00561B22" w:rsidP="00561B22">
      <w:pPr>
        <w:ind w:right="49"/>
        <w:jc w:val="both"/>
        <w:rPr>
          <w:rFonts w:ascii="Arial" w:hAnsi="Arial" w:cs="Arial"/>
          <w:b/>
          <w:sz w:val="28"/>
          <w:szCs w:val="28"/>
          <w:lang w:val="es-MX"/>
        </w:rPr>
      </w:pPr>
      <w:r w:rsidRPr="00B15A78">
        <w:rPr>
          <w:rFonts w:ascii="Arial" w:hAnsi="Arial" w:cs="Arial"/>
          <w:b/>
          <w:sz w:val="28"/>
          <w:szCs w:val="28"/>
          <w:lang w:val="es-MX"/>
        </w:rPr>
        <w:t xml:space="preserve">233.- </w:t>
      </w:r>
      <w:r w:rsidRPr="00B15A78">
        <w:rPr>
          <w:rFonts w:ascii="Arial" w:hAnsi="Arial" w:cs="Arial"/>
          <w:b/>
          <w:sz w:val="28"/>
          <w:szCs w:val="28"/>
        </w:rPr>
        <w:t>PATRIMONIO AUTÓNOMO FONDO ESPECIAL PARA INVESTIGACIONES FEI – INS – FIDUCOLDEX S.A.</w:t>
      </w:r>
    </w:p>
    <w:p w14:paraId="085B4C6A" w14:textId="77777777" w:rsidR="00561B22" w:rsidRPr="00B15A78" w:rsidRDefault="00561B22" w:rsidP="00561B22">
      <w:pPr>
        <w:pStyle w:val="Textoindependiente"/>
        <w:tabs>
          <w:tab w:val="left" w:pos="2055"/>
        </w:tabs>
        <w:spacing w:before="5"/>
        <w:rPr>
          <w:rFonts w:ascii="Arial" w:hAnsi="Arial" w:cs="Arial"/>
          <w:sz w:val="17"/>
        </w:rPr>
      </w:pPr>
    </w:p>
    <w:p w14:paraId="318F288B" w14:textId="77777777" w:rsidR="00561B22" w:rsidRPr="00B15A78" w:rsidRDefault="00561B22" w:rsidP="00561B22">
      <w:pPr>
        <w:pStyle w:val="Textoindependiente"/>
        <w:ind w:right="-50"/>
        <w:jc w:val="center"/>
        <w:rPr>
          <w:rFonts w:ascii="Arial" w:hAnsi="Arial" w:cs="Arial"/>
          <w:b/>
          <w:bCs/>
        </w:rPr>
      </w:pPr>
      <w:r w:rsidRPr="00B15A78">
        <w:rPr>
          <w:rFonts w:ascii="Arial" w:hAnsi="Arial" w:cs="Arial"/>
          <w:b/>
          <w:bCs/>
        </w:rPr>
        <w:t>INFORME DE LA AUTOCALIFICACIÓN DEL SISTEMA DE CONTROL INTERNO CONTABLE:</w:t>
      </w:r>
    </w:p>
    <w:p w14:paraId="5C133283" w14:textId="77777777" w:rsidR="00561B22" w:rsidRPr="00B15A7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15A78" w14:paraId="4DAE80F0" w14:textId="77777777" w:rsidTr="00F1223B">
        <w:tc>
          <w:tcPr>
            <w:tcW w:w="4981" w:type="dxa"/>
          </w:tcPr>
          <w:p w14:paraId="6785B982"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AUTOCALIFICACIÓN</w:t>
            </w:r>
          </w:p>
        </w:tc>
        <w:tc>
          <w:tcPr>
            <w:tcW w:w="4981" w:type="dxa"/>
          </w:tcPr>
          <w:p w14:paraId="102A9BFA" w14:textId="77777777" w:rsidR="00561B22" w:rsidRPr="00B15A78" w:rsidRDefault="00561B22" w:rsidP="00F1223B">
            <w:pPr>
              <w:jc w:val="center"/>
              <w:rPr>
                <w:rFonts w:ascii="Arial" w:hAnsi="Arial" w:cs="Arial"/>
                <w:b/>
                <w:sz w:val="22"/>
                <w:szCs w:val="22"/>
                <w:u w:val="single"/>
                <w:lang w:val="es-MX"/>
              </w:rPr>
            </w:pPr>
            <w:r w:rsidRPr="00B15A78">
              <w:rPr>
                <w:rFonts w:ascii="Arial" w:hAnsi="Arial" w:cs="Arial"/>
                <w:b/>
                <w:sz w:val="22"/>
                <w:szCs w:val="22"/>
                <w:u w:val="single"/>
                <w:lang w:val="es-MX"/>
              </w:rPr>
              <w:t>?</w:t>
            </w:r>
          </w:p>
        </w:tc>
      </w:tr>
    </w:tbl>
    <w:p w14:paraId="3A955D17" w14:textId="77777777" w:rsidR="00561B22" w:rsidRPr="00B15A78" w:rsidRDefault="00561B22" w:rsidP="00561B22">
      <w:pPr>
        <w:pStyle w:val="Textoindependiente"/>
        <w:ind w:right="-50"/>
        <w:jc w:val="both"/>
        <w:rPr>
          <w:rFonts w:ascii="Arial" w:hAnsi="Arial" w:cs="Arial"/>
          <w:b/>
          <w:bCs/>
        </w:rPr>
      </w:pPr>
    </w:p>
    <w:p w14:paraId="0F211666" w14:textId="77777777" w:rsidR="00561B22" w:rsidRPr="00B15A78" w:rsidRDefault="00561B22" w:rsidP="00561B22">
      <w:pPr>
        <w:pStyle w:val="Textoindependiente"/>
        <w:ind w:right="-50"/>
        <w:jc w:val="both"/>
        <w:rPr>
          <w:rFonts w:ascii="Arial" w:hAnsi="Arial" w:cs="Arial"/>
        </w:rPr>
      </w:pPr>
      <w:r w:rsidRPr="00B15A78">
        <w:rPr>
          <w:rFonts w:ascii="Arial" w:hAnsi="Arial" w:cs="Arial"/>
          <w:b/>
          <w:bCs/>
        </w:rPr>
        <w:t xml:space="preserve">NOTA: </w:t>
      </w:r>
      <w:r w:rsidRPr="00B15A78">
        <w:rPr>
          <w:rFonts w:ascii="Arial" w:hAnsi="Arial" w:cs="Arial"/>
        </w:rPr>
        <w:t>La entidad no informa la calificación obtenida en la autoevaluación del Sistema de Control Interno Contable.</w:t>
      </w:r>
    </w:p>
    <w:p w14:paraId="0364EEC5" w14:textId="77777777" w:rsidR="00561B22" w:rsidRPr="00B15A78" w:rsidRDefault="00561B22" w:rsidP="00561B22">
      <w:pPr>
        <w:pStyle w:val="Textoindependiente"/>
        <w:ind w:right="-50"/>
        <w:jc w:val="both"/>
        <w:rPr>
          <w:rFonts w:ascii="Arial" w:hAnsi="Arial" w:cs="Arial"/>
        </w:rPr>
      </w:pPr>
    </w:p>
    <w:p w14:paraId="5228B962" w14:textId="77777777" w:rsidR="00561B22" w:rsidRPr="00B15A78" w:rsidRDefault="00561B22" w:rsidP="00561B22">
      <w:pPr>
        <w:pStyle w:val="Textoindependiente"/>
        <w:ind w:right="-50"/>
        <w:jc w:val="both"/>
        <w:rPr>
          <w:rFonts w:ascii="Arial" w:hAnsi="Arial" w:cs="Arial"/>
          <w:b/>
          <w:bCs/>
        </w:rPr>
      </w:pPr>
      <w:r w:rsidRPr="00B15A78">
        <w:rPr>
          <w:rFonts w:ascii="Arial" w:hAnsi="Arial" w:cs="Arial"/>
          <w:b/>
          <w:bCs/>
        </w:rPr>
        <w:t>Del informe enviado retomamos lo siguiente:</w:t>
      </w:r>
    </w:p>
    <w:p w14:paraId="7F5CB8D1" w14:textId="77777777" w:rsidR="00561B22" w:rsidRPr="00B15A7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15A78" w14:paraId="0772912C" w14:textId="77777777" w:rsidTr="00F1223B">
        <w:tc>
          <w:tcPr>
            <w:tcW w:w="562" w:type="dxa"/>
          </w:tcPr>
          <w:p w14:paraId="232B306D" w14:textId="77777777" w:rsidR="00561B22" w:rsidRPr="00B15A78" w:rsidRDefault="00561B22" w:rsidP="00F1223B">
            <w:pPr>
              <w:ind w:right="-109"/>
              <w:jc w:val="center"/>
              <w:rPr>
                <w:rFonts w:ascii="Arial" w:hAnsi="Arial" w:cs="Arial"/>
                <w:b/>
                <w:sz w:val="22"/>
                <w:szCs w:val="22"/>
                <w:lang w:val="es-MX"/>
              </w:rPr>
            </w:pPr>
            <w:r w:rsidRPr="00B15A78">
              <w:rPr>
                <w:rFonts w:ascii="Arial" w:hAnsi="Arial" w:cs="Arial"/>
                <w:b/>
                <w:sz w:val="22"/>
                <w:szCs w:val="22"/>
                <w:lang w:val="es-MX"/>
              </w:rPr>
              <w:t>N°</w:t>
            </w:r>
          </w:p>
        </w:tc>
        <w:tc>
          <w:tcPr>
            <w:tcW w:w="9400" w:type="dxa"/>
          </w:tcPr>
          <w:p w14:paraId="4AED7ADF"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DEBILIDADES</w:t>
            </w:r>
          </w:p>
          <w:p w14:paraId="138F9C79" w14:textId="77777777" w:rsidR="00561B22" w:rsidRPr="00B15A78" w:rsidRDefault="00561B22" w:rsidP="00F1223B">
            <w:pPr>
              <w:jc w:val="center"/>
              <w:rPr>
                <w:rFonts w:ascii="Arial" w:hAnsi="Arial" w:cs="Arial"/>
                <w:b/>
                <w:sz w:val="22"/>
                <w:szCs w:val="22"/>
                <w:lang w:val="es-MX"/>
              </w:rPr>
            </w:pPr>
          </w:p>
        </w:tc>
      </w:tr>
      <w:tr w:rsidR="00561B22" w:rsidRPr="00B15A78" w14:paraId="04344EF6" w14:textId="77777777" w:rsidTr="00F1223B">
        <w:tc>
          <w:tcPr>
            <w:tcW w:w="562" w:type="dxa"/>
          </w:tcPr>
          <w:p w14:paraId="5137F5D6"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1</w:t>
            </w:r>
          </w:p>
        </w:tc>
        <w:tc>
          <w:tcPr>
            <w:tcW w:w="9400" w:type="dxa"/>
          </w:tcPr>
          <w:p w14:paraId="6ADEFD10" w14:textId="77777777" w:rsidR="00561B22" w:rsidRPr="00B15A78" w:rsidRDefault="00561B22" w:rsidP="00F1223B">
            <w:pPr>
              <w:jc w:val="both"/>
              <w:rPr>
                <w:rFonts w:ascii="Arial" w:hAnsi="Arial" w:cs="Arial"/>
                <w:sz w:val="22"/>
                <w:szCs w:val="22"/>
              </w:rPr>
            </w:pPr>
            <w:r w:rsidRPr="00B15A78">
              <w:rPr>
                <w:rFonts w:ascii="Arial" w:hAnsi="Arial" w:cs="Arial"/>
                <w:sz w:val="22"/>
                <w:szCs w:val="22"/>
              </w:rPr>
              <w:t xml:space="preserve">Se observaron situaciones objeto de recomendación relacionadas con: </w:t>
            </w:r>
          </w:p>
          <w:p w14:paraId="079F455A"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Formalización de políticas contables aplicables al Patrimonio Autónomo, dentro del Sistema de Gestión de Calidad de la Fiduciaria. </w:t>
            </w:r>
          </w:p>
        </w:tc>
      </w:tr>
      <w:tr w:rsidR="00561B22" w:rsidRPr="00B15A78" w14:paraId="643A86C4" w14:textId="77777777" w:rsidTr="00F1223B">
        <w:tc>
          <w:tcPr>
            <w:tcW w:w="562" w:type="dxa"/>
          </w:tcPr>
          <w:p w14:paraId="65C5EEDC"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2</w:t>
            </w:r>
          </w:p>
        </w:tc>
        <w:tc>
          <w:tcPr>
            <w:tcW w:w="9400" w:type="dxa"/>
          </w:tcPr>
          <w:p w14:paraId="7569504D"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Planes de capacitación para toda la Gerencia de Contabilidad. </w:t>
            </w:r>
          </w:p>
        </w:tc>
      </w:tr>
      <w:tr w:rsidR="00561B22" w:rsidRPr="00B15A78" w14:paraId="6CA741F6" w14:textId="77777777" w:rsidTr="00F1223B">
        <w:tc>
          <w:tcPr>
            <w:tcW w:w="562" w:type="dxa"/>
          </w:tcPr>
          <w:p w14:paraId="34510384"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3</w:t>
            </w:r>
          </w:p>
        </w:tc>
        <w:tc>
          <w:tcPr>
            <w:tcW w:w="9400" w:type="dxa"/>
          </w:tcPr>
          <w:p w14:paraId="2300B187"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Los instructivos de las actividades relacionadas con las interfaces del aplicativo CORE SISA y de los diferentes módulos satélites. </w:t>
            </w:r>
          </w:p>
        </w:tc>
      </w:tr>
      <w:tr w:rsidR="00561B22" w:rsidRPr="00B15A78" w14:paraId="02333EA4" w14:textId="77777777" w:rsidTr="00F1223B">
        <w:tc>
          <w:tcPr>
            <w:tcW w:w="562" w:type="dxa"/>
          </w:tcPr>
          <w:p w14:paraId="679A63DD"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4</w:t>
            </w:r>
          </w:p>
        </w:tc>
        <w:tc>
          <w:tcPr>
            <w:tcW w:w="9400" w:type="dxa"/>
          </w:tcPr>
          <w:p w14:paraId="28F60BE6"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La Matriz de Roles y Perfiles de la Gerencia Contable. </w:t>
            </w:r>
          </w:p>
        </w:tc>
      </w:tr>
      <w:tr w:rsidR="00561B22" w:rsidRPr="00B15A78" w14:paraId="106DA986" w14:textId="77777777" w:rsidTr="00F1223B">
        <w:tc>
          <w:tcPr>
            <w:tcW w:w="562" w:type="dxa"/>
          </w:tcPr>
          <w:p w14:paraId="02F6C304"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5</w:t>
            </w:r>
          </w:p>
        </w:tc>
        <w:tc>
          <w:tcPr>
            <w:tcW w:w="9400" w:type="dxa"/>
          </w:tcPr>
          <w:p w14:paraId="4FA43517" w14:textId="77777777" w:rsidR="00561B22" w:rsidRPr="00B15A78" w:rsidRDefault="00561B22" w:rsidP="00F1223B">
            <w:pPr>
              <w:jc w:val="both"/>
              <w:rPr>
                <w:rFonts w:ascii="Arial" w:hAnsi="Arial" w:cs="Arial"/>
                <w:sz w:val="22"/>
                <w:szCs w:val="22"/>
              </w:rPr>
            </w:pPr>
            <w:r w:rsidRPr="00B15A78">
              <w:rPr>
                <w:rFonts w:ascii="Arial" w:hAnsi="Arial" w:cs="Arial"/>
                <w:sz w:val="22"/>
                <w:szCs w:val="22"/>
              </w:rPr>
              <w:t xml:space="preserve">Controles de revisión para los comprobantes contables. </w:t>
            </w:r>
          </w:p>
          <w:p w14:paraId="69958C83" w14:textId="77777777" w:rsidR="00561B22" w:rsidRPr="00B15A78" w:rsidRDefault="00561B22" w:rsidP="00F1223B">
            <w:pPr>
              <w:jc w:val="both"/>
              <w:rPr>
                <w:rFonts w:ascii="Arial" w:hAnsi="Arial" w:cs="Arial"/>
                <w:sz w:val="22"/>
                <w:szCs w:val="22"/>
              </w:rPr>
            </w:pPr>
          </w:p>
          <w:p w14:paraId="293C7BFF"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Nota: El detalle de las observaciones y recomendaciones será divulgada al interior de la entidad de acuerdo con los lineamientos emitidos por la Gerencia de Auditoría y a los planes de acción que se definan para su remedición se les efectuará seguimiento de acuerdo con los Procedimiento de Plan de Acción PRGPR00 y de Seguimiento de Planes de Acción PRACO005.</w:t>
            </w:r>
          </w:p>
        </w:tc>
      </w:tr>
    </w:tbl>
    <w:p w14:paraId="5A0D42E2" w14:textId="77777777" w:rsidR="00561B22" w:rsidRPr="00B15A78" w:rsidRDefault="00561B22" w:rsidP="00561B22">
      <w:pPr>
        <w:pStyle w:val="Textoindependiente"/>
        <w:ind w:right="-50"/>
        <w:jc w:val="both"/>
        <w:rPr>
          <w:rFonts w:ascii="Arial" w:hAnsi="Arial" w:cs="Arial"/>
          <w:b/>
          <w:bCs/>
        </w:rPr>
      </w:pPr>
    </w:p>
    <w:p w14:paraId="49CBC3B3" w14:textId="77777777" w:rsidR="00561B22" w:rsidRPr="00B15A78" w:rsidRDefault="00561B22" w:rsidP="00561B22">
      <w:pPr>
        <w:jc w:val="both"/>
        <w:rPr>
          <w:rFonts w:ascii="Arial" w:hAnsi="Arial" w:cs="Arial"/>
          <w:b/>
          <w:lang w:val="es-MX"/>
        </w:rPr>
      </w:pPr>
      <w:r w:rsidRPr="00B15A78">
        <w:rPr>
          <w:rFonts w:ascii="Arial" w:hAnsi="Arial" w:cs="Arial"/>
          <w:b/>
          <w:lang w:val="es-MX"/>
        </w:rPr>
        <w:t>Del citado informe retomamos las siguientes recomendaciones:</w:t>
      </w:r>
    </w:p>
    <w:p w14:paraId="291F7D93" w14:textId="77777777" w:rsidR="00561B22" w:rsidRPr="00B15A7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15A78" w14:paraId="6F169DF1" w14:textId="77777777" w:rsidTr="00F1223B">
        <w:tc>
          <w:tcPr>
            <w:tcW w:w="562" w:type="dxa"/>
          </w:tcPr>
          <w:p w14:paraId="3821382F" w14:textId="77777777" w:rsidR="00561B22" w:rsidRPr="00B15A78" w:rsidRDefault="00561B22" w:rsidP="00F1223B">
            <w:pPr>
              <w:ind w:right="-109"/>
              <w:jc w:val="center"/>
              <w:rPr>
                <w:rFonts w:ascii="Arial" w:hAnsi="Arial" w:cs="Arial"/>
                <w:b/>
                <w:sz w:val="22"/>
                <w:szCs w:val="22"/>
                <w:lang w:val="es-MX"/>
              </w:rPr>
            </w:pPr>
            <w:r w:rsidRPr="00B15A78">
              <w:rPr>
                <w:rFonts w:ascii="Arial" w:hAnsi="Arial" w:cs="Arial"/>
                <w:b/>
                <w:sz w:val="22"/>
                <w:szCs w:val="22"/>
                <w:lang w:val="es-MX"/>
              </w:rPr>
              <w:t>N°</w:t>
            </w:r>
          </w:p>
        </w:tc>
        <w:tc>
          <w:tcPr>
            <w:tcW w:w="9400" w:type="dxa"/>
          </w:tcPr>
          <w:p w14:paraId="6D753D5C"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RECOMENDACIONES</w:t>
            </w:r>
          </w:p>
          <w:p w14:paraId="45BFEDE7" w14:textId="77777777" w:rsidR="00561B22" w:rsidRPr="00B15A78" w:rsidRDefault="00561B22" w:rsidP="00F1223B">
            <w:pPr>
              <w:jc w:val="center"/>
              <w:rPr>
                <w:rFonts w:ascii="Arial" w:hAnsi="Arial" w:cs="Arial"/>
                <w:b/>
                <w:sz w:val="22"/>
                <w:szCs w:val="22"/>
                <w:lang w:val="es-MX"/>
              </w:rPr>
            </w:pPr>
          </w:p>
        </w:tc>
      </w:tr>
      <w:tr w:rsidR="00561B22" w:rsidRPr="00B15A78" w14:paraId="7A5F6FCD" w14:textId="77777777" w:rsidTr="00F1223B">
        <w:tc>
          <w:tcPr>
            <w:tcW w:w="562" w:type="dxa"/>
          </w:tcPr>
          <w:p w14:paraId="51B61D63"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1</w:t>
            </w:r>
          </w:p>
        </w:tc>
        <w:tc>
          <w:tcPr>
            <w:tcW w:w="9400" w:type="dxa"/>
          </w:tcPr>
          <w:p w14:paraId="52923C1A" w14:textId="77777777" w:rsidR="00561B22" w:rsidRPr="00B15A78" w:rsidRDefault="00561B22" w:rsidP="00F1223B">
            <w:pPr>
              <w:jc w:val="both"/>
              <w:rPr>
                <w:rFonts w:ascii="Arial" w:hAnsi="Arial" w:cs="Arial"/>
                <w:sz w:val="22"/>
                <w:szCs w:val="22"/>
              </w:rPr>
            </w:pPr>
            <w:r w:rsidRPr="00B15A78">
              <w:rPr>
                <w:rFonts w:ascii="Arial" w:hAnsi="Arial" w:cs="Arial"/>
                <w:sz w:val="22"/>
                <w:szCs w:val="22"/>
              </w:rPr>
              <w:t xml:space="preserve">Se recomienda a la administración: </w:t>
            </w:r>
          </w:p>
          <w:p w14:paraId="4F1882D1"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Formalizar planes de capacitación para toda la Gerencia de Contabilidad, teniendo en cuenta los procesos de actualización documental que se desarrollaron durante el 2024. </w:t>
            </w:r>
          </w:p>
        </w:tc>
      </w:tr>
      <w:tr w:rsidR="00561B22" w:rsidRPr="00B15A78" w14:paraId="0C09539A" w14:textId="77777777" w:rsidTr="00F1223B">
        <w:tc>
          <w:tcPr>
            <w:tcW w:w="562" w:type="dxa"/>
          </w:tcPr>
          <w:p w14:paraId="3A51108C"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2</w:t>
            </w:r>
          </w:p>
        </w:tc>
        <w:tc>
          <w:tcPr>
            <w:tcW w:w="9400" w:type="dxa"/>
          </w:tcPr>
          <w:p w14:paraId="52F4951D"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Formalización de las políticas contables en el Sistema de Gestión de Calidad. </w:t>
            </w:r>
          </w:p>
        </w:tc>
      </w:tr>
      <w:tr w:rsidR="00561B22" w:rsidRPr="00B15A78" w14:paraId="1D83CD16" w14:textId="77777777" w:rsidTr="00F1223B">
        <w:tc>
          <w:tcPr>
            <w:tcW w:w="562" w:type="dxa"/>
          </w:tcPr>
          <w:p w14:paraId="5CD8FB28"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3</w:t>
            </w:r>
          </w:p>
        </w:tc>
        <w:tc>
          <w:tcPr>
            <w:tcW w:w="9400" w:type="dxa"/>
          </w:tcPr>
          <w:p w14:paraId="0B2820ED"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Fortalecer la documentación de los instructivos de las actividades relacionadas con las interfaces del aplicativo CORE SISA y de los diferentes módulos satélites. </w:t>
            </w:r>
          </w:p>
        </w:tc>
      </w:tr>
      <w:tr w:rsidR="00561B22" w:rsidRPr="00B15A78" w14:paraId="2E986D16" w14:textId="77777777" w:rsidTr="00F1223B">
        <w:tc>
          <w:tcPr>
            <w:tcW w:w="562" w:type="dxa"/>
          </w:tcPr>
          <w:p w14:paraId="645F862E" w14:textId="77777777" w:rsidR="00561B22" w:rsidRPr="00B15A78" w:rsidRDefault="00561B22" w:rsidP="00F1223B">
            <w:pPr>
              <w:jc w:val="center"/>
              <w:rPr>
                <w:rFonts w:ascii="Arial" w:hAnsi="Arial" w:cs="Arial"/>
                <w:b/>
                <w:sz w:val="22"/>
                <w:szCs w:val="22"/>
                <w:lang w:val="es-MX"/>
              </w:rPr>
            </w:pPr>
            <w:r w:rsidRPr="00B15A78">
              <w:rPr>
                <w:rFonts w:ascii="Arial" w:hAnsi="Arial" w:cs="Arial"/>
                <w:b/>
                <w:sz w:val="22"/>
                <w:szCs w:val="22"/>
                <w:lang w:val="es-MX"/>
              </w:rPr>
              <w:t>4</w:t>
            </w:r>
          </w:p>
        </w:tc>
        <w:tc>
          <w:tcPr>
            <w:tcW w:w="9400" w:type="dxa"/>
          </w:tcPr>
          <w:p w14:paraId="3FAB6D99"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 xml:space="preserve">Fortalecer la Matriz de Roles y Perfiles de la Gerencia Contable, así como su divulgación. </w:t>
            </w:r>
          </w:p>
        </w:tc>
      </w:tr>
      <w:tr w:rsidR="00561B22" w:rsidRPr="00B15A78" w14:paraId="00E06FFB" w14:textId="77777777" w:rsidTr="00F1223B">
        <w:tc>
          <w:tcPr>
            <w:tcW w:w="562" w:type="dxa"/>
          </w:tcPr>
          <w:p w14:paraId="289DAB0D" w14:textId="77777777" w:rsidR="00561B22" w:rsidRPr="00B15A78" w:rsidRDefault="00561B22" w:rsidP="00F1223B">
            <w:pPr>
              <w:jc w:val="center"/>
              <w:rPr>
                <w:rFonts w:ascii="Arial" w:hAnsi="Arial" w:cs="Arial"/>
                <w:b/>
                <w:sz w:val="22"/>
                <w:szCs w:val="22"/>
                <w:lang w:val="es-MX"/>
              </w:rPr>
            </w:pPr>
          </w:p>
        </w:tc>
        <w:tc>
          <w:tcPr>
            <w:tcW w:w="9400" w:type="dxa"/>
          </w:tcPr>
          <w:p w14:paraId="43B7E531" w14:textId="77777777" w:rsidR="00561B22" w:rsidRPr="00B15A78" w:rsidRDefault="00561B22" w:rsidP="00F1223B">
            <w:pPr>
              <w:jc w:val="both"/>
              <w:rPr>
                <w:rFonts w:ascii="Arial" w:hAnsi="Arial" w:cs="Arial"/>
                <w:b/>
                <w:sz w:val="22"/>
                <w:szCs w:val="22"/>
                <w:lang w:val="es-MX"/>
              </w:rPr>
            </w:pPr>
            <w:r w:rsidRPr="00B15A78">
              <w:rPr>
                <w:rFonts w:ascii="Arial" w:hAnsi="Arial" w:cs="Arial"/>
                <w:sz w:val="22"/>
                <w:szCs w:val="22"/>
              </w:rPr>
              <w:t>Formalizar controles de revisión para los comprobantes contables.</w:t>
            </w:r>
          </w:p>
        </w:tc>
      </w:tr>
    </w:tbl>
    <w:p w14:paraId="3D34A83B" w14:textId="77777777" w:rsidR="00561B22" w:rsidRPr="00B15A78" w:rsidRDefault="00561B22" w:rsidP="00561B22">
      <w:pPr>
        <w:pStyle w:val="Textoindependiente"/>
        <w:ind w:right="-50"/>
        <w:jc w:val="both"/>
        <w:rPr>
          <w:rFonts w:ascii="Arial" w:hAnsi="Arial" w:cs="Arial"/>
          <w:b/>
          <w:bCs/>
        </w:rPr>
      </w:pPr>
    </w:p>
    <w:p w14:paraId="2826B42E" w14:textId="77777777" w:rsidR="00561B22" w:rsidRPr="00B15A78" w:rsidRDefault="00561B22" w:rsidP="00561B22">
      <w:pPr>
        <w:jc w:val="both"/>
        <w:rPr>
          <w:rFonts w:ascii="Arial" w:hAnsi="Arial" w:cs="Arial"/>
          <w:b/>
          <w:bCs/>
          <w:lang w:val="es-CO"/>
        </w:rPr>
      </w:pPr>
      <w:r w:rsidRPr="00B15A78">
        <w:rPr>
          <w:rFonts w:ascii="Arial" w:hAnsi="Arial" w:cs="Arial"/>
          <w:b/>
          <w:bCs/>
          <w:lang w:val="es-CO"/>
        </w:rPr>
        <w:t xml:space="preserve">NOTA: LA ENTIDAD ENVIA LA MATRIZ DE AUTOEVALUACIÓN DEL SISTEMA DE CONTROL INTERNO CONTABLE CON </w:t>
      </w:r>
      <w:r w:rsidRPr="00B15A78">
        <w:rPr>
          <w:rFonts w:ascii="Arial" w:hAnsi="Arial" w:cs="Arial"/>
          <w:b/>
          <w:bCs/>
          <w:u w:val="single"/>
          <w:lang w:val="es-CO"/>
        </w:rPr>
        <w:t>ACTIVIDADES DE CONTROL REALIZADAS EN FORMA PARCIAL</w:t>
      </w:r>
      <w:r w:rsidRPr="00B15A78">
        <w:rPr>
          <w:rFonts w:ascii="Arial" w:hAnsi="Arial" w:cs="Arial"/>
          <w:b/>
          <w:bCs/>
          <w:lang w:val="es-CO"/>
        </w:rPr>
        <w:t>.</w:t>
      </w:r>
    </w:p>
    <w:p w14:paraId="6FDB185B" w14:textId="77777777" w:rsidR="00561B22" w:rsidRPr="00B15A78" w:rsidRDefault="00561B22" w:rsidP="00561B22">
      <w:pPr>
        <w:pStyle w:val="Textoindependiente"/>
        <w:ind w:right="-50"/>
        <w:jc w:val="both"/>
        <w:rPr>
          <w:rFonts w:ascii="Arial" w:hAnsi="Arial" w:cs="Arial"/>
          <w:b/>
          <w:bCs/>
        </w:rPr>
      </w:pPr>
    </w:p>
    <w:p w14:paraId="43425E7C" w14:textId="77777777" w:rsidR="00561B22" w:rsidRPr="00836BD4" w:rsidRDefault="00561B22" w:rsidP="00561B22">
      <w:pPr>
        <w:jc w:val="both"/>
        <w:rPr>
          <w:rFonts w:ascii="Arial" w:hAnsi="Arial" w:cs="Arial"/>
          <w:b/>
          <w:sz w:val="32"/>
          <w:szCs w:val="32"/>
        </w:rPr>
      </w:pPr>
      <w:r w:rsidRPr="00836BD4">
        <w:rPr>
          <w:rFonts w:ascii="Arial" w:hAnsi="Arial" w:cs="Arial"/>
          <w:b/>
          <w:sz w:val="28"/>
          <w:szCs w:val="28"/>
          <w:lang w:val="es-MX"/>
        </w:rPr>
        <w:t xml:space="preserve">234.- </w:t>
      </w:r>
      <w:r w:rsidRPr="00836BD4">
        <w:rPr>
          <w:rFonts w:ascii="Arial" w:hAnsi="Arial" w:cs="Arial"/>
          <w:b/>
          <w:sz w:val="28"/>
          <w:szCs w:val="28"/>
        </w:rPr>
        <w:t>PATRIMONIO AUTÓNOMO FONDO PARA LA VIDA Y BIODIVERSIDAD – FIDUCOLDEX S.A.</w:t>
      </w:r>
    </w:p>
    <w:p w14:paraId="642F8599" w14:textId="77777777" w:rsidR="00561B22" w:rsidRDefault="00561B22" w:rsidP="00561B22">
      <w:pPr>
        <w:jc w:val="both"/>
        <w:rPr>
          <w:sz w:val="17"/>
        </w:rPr>
      </w:pPr>
    </w:p>
    <w:p w14:paraId="0E253486" w14:textId="77777777" w:rsidR="00561B22" w:rsidRPr="009F3788" w:rsidRDefault="00561B22" w:rsidP="00561B22">
      <w:pPr>
        <w:pStyle w:val="Textoindependiente"/>
        <w:ind w:right="-50"/>
        <w:jc w:val="center"/>
        <w:rPr>
          <w:rFonts w:ascii="Arial" w:hAnsi="Arial" w:cs="Arial"/>
          <w:b/>
          <w:bCs/>
        </w:rPr>
      </w:pPr>
      <w:r w:rsidRPr="009F3788">
        <w:rPr>
          <w:rFonts w:ascii="Arial" w:hAnsi="Arial" w:cs="Arial"/>
          <w:b/>
          <w:bCs/>
        </w:rPr>
        <w:t>INFORME DE LA AUTOCALIFICACIÓN DEL SISTEMA DE CONTROL INTERNO CONTABLE:</w:t>
      </w:r>
    </w:p>
    <w:p w14:paraId="445CA869" w14:textId="77777777" w:rsidR="00561B22" w:rsidRPr="009F378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F3788" w14:paraId="328C2E3F" w14:textId="77777777" w:rsidTr="00F1223B">
        <w:tc>
          <w:tcPr>
            <w:tcW w:w="4981" w:type="dxa"/>
          </w:tcPr>
          <w:p w14:paraId="31B592AC"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AUTOCALIFICACIÓN</w:t>
            </w:r>
          </w:p>
        </w:tc>
        <w:tc>
          <w:tcPr>
            <w:tcW w:w="4981" w:type="dxa"/>
          </w:tcPr>
          <w:p w14:paraId="1DC891C0" w14:textId="77777777" w:rsidR="00561B22" w:rsidRPr="009F3788" w:rsidRDefault="00561B22" w:rsidP="00F1223B">
            <w:pPr>
              <w:jc w:val="center"/>
              <w:rPr>
                <w:rFonts w:ascii="Arial" w:hAnsi="Arial" w:cs="Arial"/>
                <w:b/>
                <w:sz w:val="22"/>
                <w:szCs w:val="22"/>
                <w:u w:val="single"/>
                <w:lang w:val="es-MX"/>
              </w:rPr>
            </w:pPr>
            <w:r w:rsidRPr="009F3788">
              <w:rPr>
                <w:rFonts w:ascii="Arial" w:hAnsi="Arial" w:cs="Arial"/>
                <w:b/>
                <w:sz w:val="22"/>
                <w:szCs w:val="22"/>
                <w:u w:val="single"/>
                <w:lang w:val="es-MX"/>
              </w:rPr>
              <w:t>?</w:t>
            </w:r>
          </w:p>
        </w:tc>
      </w:tr>
    </w:tbl>
    <w:p w14:paraId="46D6E2E7" w14:textId="77777777" w:rsidR="00561B22" w:rsidRPr="009F3788" w:rsidRDefault="00561B22" w:rsidP="00561B22">
      <w:pPr>
        <w:pStyle w:val="Textoindependiente"/>
        <w:ind w:right="-50"/>
        <w:jc w:val="both"/>
        <w:rPr>
          <w:rFonts w:ascii="Arial" w:hAnsi="Arial" w:cs="Arial"/>
          <w:b/>
          <w:bCs/>
        </w:rPr>
      </w:pPr>
    </w:p>
    <w:p w14:paraId="3CCBA4B7" w14:textId="77777777" w:rsidR="00561B22" w:rsidRPr="009F3788" w:rsidRDefault="00561B22" w:rsidP="00561B22">
      <w:pPr>
        <w:pStyle w:val="Textoindependiente"/>
        <w:ind w:right="-50"/>
        <w:jc w:val="both"/>
        <w:rPr>
          <w:rFonts w:ascii="Arial" w:hAnsi="Arial" w:cs="Arial"/>
        </w:rPr>
      </w:pPr>
      <w:r w:rsidRPr="009F3788">
        <w:rPr>
          <w:rFonts w:ascii="Arial" w:hAnsi="Arial" w:cs="Arial"/>
          <w:b/>
          <w:bCs/>
        </w:rPr>
        <w:t xml:space="preserve">NOTA: </w:t>
      </w:r>
      <w:r w:rsidRPr="009F3788">
        <w:rPr>
          <w:rFonts w:ascii="Arial" w:hAnsi="Arial" w:cs="Arial"/>
        </w:rPr>
        <w:t>La entidad no informa la calificación obtenida en la autoevaluación del Sistema de Control Interno Contable.</w:t>
      </w:r>
    </w:p>
    <w:p w14:paraId="6B7AD06D" w14:textId="77777777" w:rsidR="00561B22" w:rsidRPr="009F3788" w:rsidRDefault="00561B22" w:rsidP="00561B22">
      <w:pPr>
        <w:pStyle w:val="Textoindependiente"/>
        <w:ind w:right="-50"/>
        <w:jc w:val="both"/>
        <w:rPr>
          <w:rFonts w:ascii="Arial" w:hAnsi="Arial" w:cs="Arial"/>
        </w:rPr>
      </w:pPr>
    </w:p>
    <w:p w14:paraId="619ADE88" w14:textId="77777777" w:rsidR="00561B22" w:rsidRPr="009F3788" w:rsidRDefault="00561B22" w:rsidP="00561B22">
      <w:pPr>
        <w:pStyle w:val="Textoindependiente"/>
        <w:ind w:right="-50"/>
        <w:jc w:val="both"/>
        <w:rPr>
          <w:rFonts w:ascii="Arial" w:hAnsi="Arial" w:cs="Arial"/>
          <w:b/>
          <w:bCs/>
        </w:rPr>
      </w:pPr>
      <w:r w:rsidRPr="009F3788">
        <w:rPr>
          <w:rFonts w:ascii="Arial" w:hAnsi="Arial" w:cs="Arial"/>
          <w:b/>
          <w:bCs/>
        </w:rPr>
        <w:t>Del informe enviado retomamos lo siguiente:</w:t>
      </w:r>
    </w:p>
    <w:p w14:paraId="0D57E7D8" w14:textId="77777777" w:rsidR="00561B22" w:rsidRPr="009F378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F3788" w14:paraId="575DA2FD" w14:textId="77777777" w:rsidTr="00F1223B">
        <w:tc>
          <w:tcPr>
            <w:tcW w:w="562" w:type="dxa"/>
          </w:tcPr>
          <w:p w14:paraId="0065F42F" w14:textId="77777777" w:rsidR="00561B22" w:rsidRPr="009F3788" w:rsidRDefault="00561B22" w:rsidP="00F1223B">
            <w:pPr>
              <w:ind w:right="-109"/>
              <w:jc w:val="center"/>
              <w:rPr>
                <w:rFonts w:ascii="Arial" w:hAnsi="Arial" w:cs="Arial"/>
                <w:b/>
                <w:sz w:val="22"/>
                <w:szCs w:val="22"/>
                <w:lang w:val="es-MX"/>
              </w:rPr>
            </w:pPr>
            <w:r w:rsidRPr="009F3788">
              <w:rPr>
                <w:rFonts w:ascii="Arial" w:hAnsi="Arial" w:cs="Arial"/>
                <w:b/>
                <w:sz w:val="22"/>
                <w:szCs w:val="22"/>
                <w:lang w:val="es-MX"/>
              </w:rPr>
              <w:t>N°</w:t>
            </w:r>
          </w:p>
        </w:tc>
        <w:tc>
          <w:tcPr>
            <w:tcW w:w="9400" w:type="dxa"/>
          </w:tcPr>
          <w:p w14:paraId="625550B7"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DEBILIDADES</w:t>
            </w:r>
          </w:p>
          <w:p w14:paraId="7E066BAC" w14:textId="77777777" w:rsidR="00561B22" w:rsidRPr="009F3788" w:rsidRDefault="00561B22" w:rsidP="00F1223B">
            <w:pPr>
              <w:jc w:val="center"/>
              <w:rPr>
                <w:rFonts w:ascii="Arial" w:hAnsi="Arial" w:cs="Arial"/>
                <w:b/>
                <w:sz w:val="22"/>
                <w:szCs w:val="22"/>
                <w:lang w:val="es-MX"/>
              </w:rPr>
            </w:pPr>
          </w:p>
        </w:tc>
      </w:tr>
      <w:tr w:rsidR="00561B22" w:rsidRPr="009F3788" w14:paraId="44206A4E" w14:textId="77777777" w:rsidTr="00F1223B">
        <w:tc>
          <w:tcPr>
            <w:tcW w:w="562" w:type="dxa"/>
          </w:tcPr>
          <w:p w14:paraId="3E42A757"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1</w:t>
            </w:r>
          </w:p>
        </w:tc>
        <w:tc>
          <w:tcPr>
            <w:tcW w:w="9400" w:type="dxa"/>
          </w:tcPr>
          <w:p w14:paraId="1E1A8FDF" w14:textId="77777777" w:rsidR="00561B22" w:rsidRPr="009F3788" w:rsidRDefault="00561B22" w:rsidP="00F1223B">
            <w:pPr>
              <w:jc w:val="both"/>
              <w:rPr>
                <w:rFonts w:ascii="Arial" w:hAnsi="Arial" w:cs="Arial"/>
                <w:sz w:val="22"/>
                <w:szCs w:val="22"/>
              </w:rPr>
            </w:pPr>
            <w:r w:rsidRPr="009F3788">
              <w:rPr>
                <w:rFonts w:ascii="Arial" w:hAnsi="Arial" w:cs="Arial"/>
                <w:sz w:val="22"/>
                <w:szCs w:val="22"/>
              </w:rPr>
              <w:t xml:space="preserve">Se observaron situaciones objeto de recomendación relacionadas con:  </w:t>
            </w:r>
          </w:p>
          <w:p w14:paraId="7C0E1AA0"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Formalización de políticas contables aplicables al Patrimonio Autónomo, dentro del Sistema de Gestión de Calidad de la entidad   </w:t>
            </w:r>
          </w:p>
        </w:tc>
      </w:tr>
      <w:tr w:rsidR="00561B22" w:rsidRPr="009F3788" w14:paraId="5FA083C4" w14:textId="77777777" w:rsidTr="00F1223B">
        <w:tc>
          <w:tcPr>
            <w:tcW w:w="562" w:type="dxa"/>
          </w:tcPr>
          <w:p w14:paraId="2A9B07AE"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2</w:t>
            </w:r>
          </w:p>
        </w:tc>
        <w:tc>
          <w:tcPr>
            <w:tcW w:w="9400" w:type="dxa"/>
          </w:tcPr>
          <w:p w14:paraId="188273C8"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Planes de capacitación para toda la Gerencia de Contabilidad.  </w:t>
            </w:r>
          </w:p>
        </w:tc>
      </w:tr>
      <w:tr w:rsidR="00561B22" w:rsidRPr="009F3788" w14:paraId="67759847" w14:textId="77777777" w:rsidTr="00F1223B">
        <w:tc>
          <w:tcPr>
            <w:tcW w:w="562" w:type="dxa"/>
          </w:tcPr>
          <w:p w14:paraId="2BEBD451"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3</w:t>
            </w:r>
          </w:p>
        </w:tc>
        <w:tc>
          <w:tcPr>
            <w:tcW w:w="9400" w:type="dxa"/>
          </w:tcPr>
          <w:p w14:paraId="113CE04D"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Los instructivos de las actividades relacionadas con las interfaces del aplicativo CORE SIFI y de los diferentes módulos satélites.  </w:t>
            </w:r>
          </w:p>
        </w:tc>
      </w:tr>
      <w:tr w:rsidR="00561B22" w:rsidRPr="009F3788" w14:paraId="04B288DC" w14:textId="77777777" w:rsidTr="00F1223B">
        <w:tc>
          <w:tcPr>
            <w:tcW w:w="562" w:type="dxa"/>
          </w:tcPr>
          <w:p w14:paraId="255FBF60"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4</w:t>
            </w:r>
          </w:p>
        </w:tc>
        <w:tc>
          <w:tcPr>
            <w:tcW w:w="9400" w:type="dxa"/>
          </w:tcPr>
          <w:p w14:paraId="653D88B6"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La matriz de roles y perfiles de la Gerencia Contable.  </w:t>
            </w:r>
          </w:p>
        </w:tc>
      </w:tr>
      <w:tr w:rsidR="00561B22" w:rsidRPr="009F3788" w14:paraId="1A640DD2" w14:textId="77777777" w:rsidTr="00F1223B">
        <w:tc>
          <w:tcPr>
            <w:tcW w:w="562" w:type="dxa"/>
          </w:tcPr>
          <w:p w14:paraId="50391220" w14:textId="77777777" w:rsidR="00561B22" w:rsidRPr="009F3788" w:rsidRDefault="00561B22" w:rsidP="00F1223B">
            <w:pPr>
              <w:jc w:val="center"/>
              <w:rPr>
                <w:rFonts w:ascii="Arial" w:hAnsi="Arial" w:cs="Arial"/>
                <w:b/>
                <w:sz w:val="22"/>
                <w:szCs w:val="22"/>
                <w:lang w:val="es-MX"/>
              </w:rPr>
            </w:pPr>
          </w:p>
        </w:tc>
        <w:tc>
          <w:tcPr>
            <w:tcW w:w="9400" w:type="dxa"/>
          </w:tcPr>
          <w:p w14:paraId="387923ED"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Controles de revisión para los comprobantes contables. </w:t>
            </w:r>
          </w:p>
        </w:tc>
      </w:tr>
      <w:tr w:rsidR="00561B22" w:rsidRPr="009F3788" w14:paraId="1890C315" w14:textId="77777777" w:rsidTr="00F1223B">
        <w:tc>
          <w:tcPr>
            <w:tcW w:w="562" w:type="dxa"/>
          </w:tcPr>
          <w:p w14:paraId="0B72F926" w14:textId="77777777" w:rsidR="00561B22" w:rsidRPr="009F3788" w:rsidRDefault="00561B22" w:rsidP="00F1223B">
            <w:pPr>
              <w:jc w:val="center"/>
              <w:rPr>
                <w:rFonts w:ascii="Arial" w:hAnsi="Arial" w:cs="Arial"/>
                <w:b/>
                <w:sz w:val="22"/>
                <w:szCs w:val="22"/>
                <w:lang w:val="es-MX"/>
              </w:rPr>
            </w:pPr>
          </w:p>
        </w:tc>
        <w:tc>
          <w:tcPr>
            <w:tcW w:w="9400" w:type="dxa"/>
          </w:tcPr>
          <w:p w14:paraId="54CCE1B3" w14:textId="77777777" w:rsidR="00561B22" w:rsidRPr="009F3788" w:rsidRDefault="00561B22" w:rsidP="00F1223B">
            <w:pPr>
              <w:jc w:val="both"/>
              <w:rPr>
                <w:rFonts w:ascii="Arial" w:hAnsi="Arial" w:cs="Arial"/>
                <w:sz w:val="22"/>
                <w:szCs w:val="22"/>
              </w:rPr>
            </w:pPr>
            <w:r w:rsidRPr="009F3788">
              <w:rPr>
                <w:rFonts w:ascii="Arial" w:hAnsi="Arial" w:cs="Arial"/>
                <w:sz w:val="22"/>
                <w:szCs w:val="22"/>
              </w:rPr>
              <w:t xml:space="preserve">Formalización de la política contable. </w:t>
            </w:r>
          </w:p>
          <w:p w14:paraId="52FB6106" w14:textId="77777777" w:rsidR="00561B22" w:rsidRPr="009F3788" w:rsidRDefault="00561B22" w:rsidP="00F1223B">
            <w:pPr>
              <w:jc w:val="both"/>
              <w:rPr>
                <w:rFonts w:ascii="Arial" w:hAnsi="Arial" w:cs="Arial"/>
                <w:sz w:val="22"/>
                <w:szCs w:val="22"/>
              </w:rPr>
            </w:pPr>
          </w:p>
          <w:p w14:paraId="10C60A95"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Nota: El detalle de las observaciones y recomendaciones será divulgada al interior de la entidad de acuerdo con los lineamientos emitidos por la Gerencia de Auditoría y a los planes de acción que se definan para su remedición se les efectuará seguimiento de acuerdo con los Procedimiento de Plan de Acción PRGPR008 y de Seguimiento de Planes de Acción PRACO005.</w:t>
            </w:r>
          </w:p>
        </w:tc>
      </w:tr>
    </w:tbl>
    <w:p w14:paraId="0498C503" w14:textId="77777777" w:rsidR="00561B22" w:rsidRPr="009F3788" w:rsidRDefault="00561B22" w:rsidP="00561B22">
      <w:pPr>
        <w:pStyle w:val="Textoindependiente"/>
        <w:ind w:right="-50"/>
        <w:jc w:val="both"/>
        <w:rPr>
          <w:rFonts w:ascii="Arial" w:hAnsi="Arial" w:cs="Arial"/>
          <w:b/>
          <w:bCs/>
        </w:rPr>
      </w:pPr>
    </w:p>
    <w:p w14:paraId="73CAC965" w14:textId="77777777" w:rsidR="00561B22" w:rsidRPr="009F3788" w:rsidRDefault="00561B22" w:rsidP="00561B22">
      <w:pPr>
        <w:jc w:val="both"/>
        <w:rPr>
          <w:rFonts w:ascii="Arial" w:hAnsi="Arial" w:cs="Arial"/>
          <w:b/>
          <w:lang w:val="es-MX"/>
        </w:rPr>
      </w:pPr>
      <w:r w:rsidRPr="009F3788">
        <w:rPr>
          <w:rFonts w:ascii="Arial" w:hAnsi="Arial" w:cs="Arial"/>
          <w:b/>
          <w:lang w:val="es-MX"/>
        </w:rPr>
        <w:t>Del citado informe retomamos las siguientes recomendaciones:</w:t>
      </w:r>
    </w:p>
    <w:p w14:paraId="459D2891" w14:textId="77777777" w:rsidR="00561B22" w:rsidRPr="009F378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F3788" w14:paraId="537695FA" w14:textId="77777777" w:rsidTr="00F1223B">
        <w:tc>
          <w:tcPr>
            <w:tcW w:w="562" w:type="dxa"/>
          </w:tcPr>
          <w:p w14:paraId="392A2CB3" w14:textId="77777777" w:rsidR="00561B22" w:rsidRPr="009F3788" w:rsidRDefault="00561B22" w:rsidP="00F1223B">
            <w:pPr>
              <w:ind w:right="-109"/>
              <w:jc w:val="center"/>
              <w:rPr>
                <w:rFonts w:ascii="Arial" w:hAnsi="Arial" w:cs="Arial"/>
                <w:b/>
                <w:sz w:val="22"/>
                <w:szCs w:val="22"/>
                <w:lang w:val="es-MX"/>
              </w:rPr>
            </w:pPr>
            <w:r w:rsidRPr="009F3788">
              <w:rPr>
                <w:rFonts w:ascii="Arial" w:hAnsi="Arial" w:cs="Arial"/>
                <w:b/>
                <w:sz w:val="22"/>
                <w:szCs w:val="22"/>
                <w:lang w:val="es-MX"/>
              </w:rPr>
              <w:t>N°</w:t>
            </w:r>
          </w:p>
        </w:tc>
        <w:tc>
          <w:tcPr>
            <w:tcW w:w="9400" w:type="dxa"/>
          </w:tcPr>
          <w:p w14:paraId="2201A9B1"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RECOMENDACIONES</w:t>
            </w:r>
          </w:p>
          <w:p w14:paraId="34D7BCE6" w14:textId="77777777" w:rsidR="00561B22" w:rsidRPr="009F3788" w:rsidRDefault="00561B22" w:rsidP="00F1223B">
            <w:pPr>
              <w:jc w:val="center"/>
              <w:rPr>
                <w:rFonts w:ascii="Arial" w:hAnsi="Arial" w:cs="Arial"/>
                <w:b/>
                <w:sz w:val="22"/>
                <w:szCs w:val="22"/>
                <w:lang w:val="es-MX"/>
              </w:rPr>
            </w:pPr>
          </w:p>
        </w:tc>
      </w:tr>
      <w:tr w:rsidR="00561B22" w:rsidRPr="009F3788" w14:paraId="446B27A0" w14:textId="77777777" w:rsidTr="00F1223B">
        <w:tc>
          <w:tcPr>
            <w:tcW w:w="562" w:type="dxa"/>
          </w:tcPr>
          <w:p w14:paraId="07646A2C"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1</w:t>
            </w:r>
          </w:p>
        </w:tc>
        <w:tc>
          <w:tcPr>
            <w:tcW w:w="9400" w:type="dxa"/>
          </w:tcPr>
          <w:p w14:paraId="3249BF00" w14:textId="77777777" w:rsidR="00561B22" w:rsidRPr="009F3788" w:rsidRDefault="00561B22" w:rsidP="00F1223B">
            <w:pPr>
              <w:jc w:val="both"/>
              <w:rPr>
                <w:rFonts w:ascii="Arial" w:hAnsi="Arial" w:cs="Arial"/>
                <w:sz w:val="22"/>
                <w:szCs w:val="22"/>
              </w:rPr>
            </w:pPr>
            <w:r w:rsidRPr="009F3788">
              <w:rPr>
                <w:rFonts w:ascii="Arial" w:hAnsi="Arial" w:cs="Arial"/>
                <w:sz w:val="22"/>
                <w:szCs w:val="22"/>
              </w:rPr>
              <w:t xml:space="preserve">Se recomienda a la administración:  </w:t>
            </w:r>
          </w:p>
          <w:p w14:paraId="52313280"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Formalizar planes de capacitación para toda la Gerencia de Contabilidad, teniendo en cuenta los procesos de actualización documental que se desarrollaron durante el 2024.  </w:t>
            </w:r>
          </w:p>
        </w:tc>
      </w:tr>
      <w:tr w:rsidR="00561B22" w:rsidRPr="009F3788" w14:paraId="25AD624E" w14:textId="77777777" w:rsidTr="00F1223B">
        <w:tc>
          <w:tcPr>
            <w:tcW w:w="562" w:type="dxa"/>
          </w:tcPr>
          <w:p w14:paraId="5DDBF7C5"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2</w:t>
            </w:r>
          </w:p>
        </w:tc>
        <w:tc>
          <w:tcPr>
            <w:tcW w:w="9400" w:type="dxa"/>
          </w:tcPr>
          <w:p w14:paraId="5ABD27D1"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Formalización de las políticas contables en el Sistema de Gestión de Calidad   </w:t>
            </w:r>
          </w:p>
        </w:tc>
      </w:tr>
      <w:tr w:rsidR="00561B22" w:rsidRPr="009F3788" w14:paraId="2DCD4CA8" w14:textId="77777777" w:rsidTr="00F1223B">
        <w:tc>
          <w:tcPr>
            <w:tcW w:w="562" w:type="dxa"/>
          </w:tcPr>
          <w:p w14:paraId="07A11AF6"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3</w:t>
            </w:r>
          </w:p>
        </w:tc>
        <w:tc>
          <w:tcPr>
            <w:tcW w:w="9400" w:type="dxa"/>
          </w:tcPr>
          <w:p w14:paraId="4A9413ED"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Fortalecer la documentación de los instructivos de las actividades relacionadas con las interfaces del aplicativo CORE SIFI y de los diferentes módulos satélites.  </w:t>
            </w:r>
          </w:p>
        </w:tc>
      </w:tr>
      <w:tr w:rsidR="00561B22" w:rsidRPr="009F3788" w14:paraId="7E8F592B" w14:textId="77777777" w:rsidTr="00F1223B">
        <w:tc>
          <w:tcPr>
            <w:tcW w:w="562" w:type="dxa"/>
          </w:tcPr>
          <w:p w14:paraId="38028F8A"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4</w:t>
            </w:r>
          </w:p>
        </w:tc>
        <w:tc>
          <w:tcPr>
            <w:tcW w:w="9400" w:type="dxa"/>
          </w:tcPr>
          <w:p w14:paraId="5549780C" w14:textId="77777777" w:rsidR="00561B22" w:rsidRPr="009F3788" w:rsidRDefault="00561B22" w:rsidP="00F1223B">
            <w:pPr>
              <w:jc w:val="both"/>
              <w:rPr>
                <w:rFonts w:ascii="Arial" w:hAnsi="Arial" w:cs="Arial"/>
                <w:b/>
                <w:sz w:val="22"/>
                <w:szCs w:val="22"/>
                <w:lang w:val="es-MX"/>
              </w:rPr>
            </w:pPr>
            <w:r w:rsidRPr="009F3788">
              <w:rPr>
                <w:rFonts w:ascii="Arial" w:hAnsi="Arial" w:cs="Arial"/>
                <w:sz w:val="22"/>
                <w:szCs w:val="22"/>
              </w:rPr>
              <w:t xml:space="preserve">Fortalecer la Matriz de Roles y perfiles de la Gerencia Contable, así como su divulgación.  </w:t>
            </w:r>
          </w:p>
        </w:tc>
      </w:tr>
      <w:tr w:rsidR="00561B22" w:rsidRPr="009F3788" w14:paraId="02F0D356" w14:textId="77777777" w:rsidTr="00F1223B">
        <w:tc>
          <w:tcPr>
            <w:tcW w:w="562" w:type="dxa"/>
          </w:tcPr>
          <w:p w14:paraId="5C5CCDA4"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5</w:t>
            </w:r>
          </w:p>
        </w:tc>
        <w:tc>
          <w:tcPr>
            <w:tcW w:w="9400" w:type="dxa"/>
          </w:tcPr>
          <w:p w14:paraId="6F49F2B4" w14:textId="77777777" w:rsidR="00561B22" w:rsidRPr="009F3788" w:rsidRDefault="00561B22" w:rsidP="00F1223B">
            <w:pPr>
              <w:jc w:val="both"/>
              <w:rPr>
                <w:rFonts w:ascii="Arial" w:hAnsi="Arial" w:cs="Arial"/>
                <w:sz w:val="22"/>
                <w:szCs w:val="22"/>
              </w:rPr>
            </w:pPr>
            <w:r w:rsidRPr="009F3788">
              <w:rPr>
                <w:rFonts w:ascii="Arial" w:hAnsi="Arial" w:cs="Arial"/>
                <w:sz w:val="22"/>
                <w:szCs w:val="22"/>
              </w:rPr>
              <w:t xml:space="preserve">Formalizar controles de revisión para los comprobantes contables. </w:t>
            </w:r>
          </w:p>
        </w:tc>
      </w:tr>
      <w:tr w:rsidR="00561B22" w:rsidRPr="009F3788" w14:paraId="5DD55C6D" w14:textId="77777777" w:rsidTr="00F1223B">
        <w:tc>
          <w:tcPr>
            <w:tcW w:w="562" w:type="dxa"/>
          </w:tcPr>
          <w:p w14:paraId="6BE84C1A" w14:textId="77777777" w:rsidR="00561B22" w:rsidRPr="009F3788" w:rsidRDefault="00561B22" w:rsidP="00F1223B">
            <w:pPr>
              <w:jc w:val="center"/>
              <w:rPr>
                <w:rFonts w:ascii="Arial" w:hAnsi="Arial" w:cs="Arial"/>
                <w:b/>
                <w:sz w:val="22"/>
                <w:szCs w:val="22"/>
                <w:lang w:val="es-MX"/>
              </w:rPr>
            </w:pPr>
            <w:r w:rsidRPr="009F3788">
              <w:rPr>
                <w:rFonts w:ascii="Arial" w:hAnsi="Arial" w:cs="Arial"/>
                <w:b/>
                <w:sz w:val="22"/>
                <w:szCs w:val="22"/>
                <w:lang w:val="es-MX"/>
              </w:rPr>
              <w:t>6</w:t>
            </w:r>
          </w:p>
        </w:tc>
        <w:tc>
          <w:tcPr>
            <w:tcW w:w="9400" w:type="dxa"/>
          </w:tcPr>
          <w:p w14:paraId="49BC74B0" w14:textId="77777777" w:rsidR="00561B22" w:rsidRPr="009F3788" w:rsidRDefault="00561B22" w:rsidP="00F1223B">
            <w:pPr>
              <w:jc w:val="both"/>
              <w:rPr>
                <w:rFonts w:ascii="Arial" w:hAnsi="Arial" w:cs="Arial"/>
                <w:sz w:val="22"/>
                <w:szCs w:val="22"/>
              </w:rPr>
            </w:pPr>
            <w:r w:rsidRPr="009F3788">
              <w:rPr>
                <w:rFonts w:ascii="Arial" w:hAnsi="Arial" w:cs="Arial"/>
                <w:sz w:val="22"/>
                <w:szCs w:val="22"/>
              </w:rPr>
              <w:t>Se recomienda a la administración formalizar la política bajo el Sistema de Gestión de Calidad.</w:t>
            </w:r>
          </w:p>
        </w:tc>
      </w:tr>
    </w:tbl>
    <w:p w14:paraId="5D47AF4B" w14:textId="77777777" w:rsidR="00561B22" w:rsidRPr="009F3788" w:rsidRDefault="00561B22" w:rsidP="00561B22">
      <w:pPr>
        <w:pStyle w:val="Textoindependiente"/>
        <w:ind w:right="-50"/>
        <w:jc w:val="both"/>
        <w:rPr>
          <w:rFonts w:ascii="Arial" w:hAnsi="Arial" w:cs="Arial"/>
          <w:b/>
          <w:bCs/>
        </w:rPr>
      </w:pPr>
    </w:p>
    <w:p w14:paraId="221CA717" w14:textId="77777777" w:rsidR="00561B22" w:rsidRPr="009F3788" w:rsidRDefault="00561B22" w:rsidP="00561B22">
      <w:pPr>
        <w:jc w:val="both"/>
        <w:rPr>
          <w:rFonts w:ascii="Arial" w:hAnsi="Arial" w:cs="Arial"/>
          <w:b/>
          <w:bCs/>
          <w:sz w:val="24"/>
          <w:szCs w:val="24"/>
          <w:lang w:val="es-CO"/>
        </w:rPr>
      </w:pPr>
      <w:r w:rsidRPr="009F3788">
        <w:rPr>
          <w:rFonts w:ascii="Arial" w:hAnsi="Arial" w:cs="Arial"/>
          <w:b/>
          <w:bCs/>
          <w:sz w:val="24"/>
          <w:szCs w:val="24"/>
          <w:lang w:val="es-CO"/>
        </w:rPr>
        <w:t xml:space="preserve">NOTA: LA ENTIDAD ENVIA LA MATRIZ DE AUTOEVALUACIÓN DEL SISTEMA DE CONTROL INTERNO CONTABLE CON </w:t>
      </w:r>
      <w:r w:rsidRPr="009F3788">
        <w:rPr>
          <w:rFonts w:ascii="Arial" w:hAnsi="Arial" w:cs="Arial"/>
          <w:b/>
          <w:bCs/>
          <w:sz w:val="24"/>
          <w:szCs w:val="24"/>
          <w:u w:val="single"/>
          <w:lang w:val="es-CO"/>
        </w:rPr>
        <w:t>ACTIVIDADES DE CONTROL REALIZADAS EN FORMA PARCIAL</w:t>
      </w:r>
      <w:r w:rsidRPr="009F3788">
        <w:rPr>
          <w:rFonts w:ascii="Arial" w:hAnsi="Arial" w:cs="Arial"/>
          <w:b/>
          <w:bCs/>
          <w:sz w:val="24"/>
          <w:szCs w:val="24"/>
          <w:lang w:val="es-CO"/>
        </w:rPr>
        <w:t>.</w:t>
      </w:r>
    </w:p>
    <w:p w14:paraId="4042E4D6" w14:textId="77777777" w:rsidR="00561B22" w:rsidRPr="009F3788" w:rsidRDefault="00561B22" w:rsidP="00561B22">
      <w:pPr>
        <w:pStyle w:val="Textoindependiente"/>
        <w:ind w:right="-50"/>
        <w:jc w:val="both"/>
        <w:rPr>
          <w:rFonts w:ascii="Arial" w:hAnsi="Arial" w:cs="Arial"/>
          <w:b/>
          <w:bCs/>
          <w:sz w:val="28"/>
          <w:szCs w:val="28"/>
        </w:rPr>
      </w:pPr>
    </w:p>
    <w:p w14:paraId="6151CA85" w14:textId="77777777" w:rsidR="00561B22" w:rsidRPr="00F114DB" w:rsidRDefault="00561B22" w:rsidP="00561B22">
      <w:pPr>
        <w:jc w:val="both"/>
        <w:rPr>
          <w:rFonts w:ascii="Arial" w:hAnsi="Arial" w:cs="Arial"/>
          <w:b/>
          <w:sz w:val="32"/>
          <w:szCs w:val="32"/>
        </w:rPr>
      </w:pPr>
      <w:r w:rsidRPr="00F114DB">
        <w:rPr>
          <w:rFonts w:ascii="Arial" w:hAnsi="Arial" w:cs="Arial"/>
          <w:b/>
          <w:sz w:val="28"/>
          <w:szCs w:val="28"/>
          <w:lang w:val="es-MX"/>
        </w:rPr>
        <w:t xml:space="preserve">235.- </w:t>
      </w:r>
      <w:r w:rsidRPr="00F114DB">
        <w:rPr>
          <w:rFonts w:ascii="Arial" w:hAnsi="Arial" w:cs="Arial"/>
          <w:b/>
          <w:sz w:val="28"/>
          <w:szCs w:val="28"/>
        </w:rPr>
        <w:t xml:space="preserve">PATRIMONIO AUTÓNOMO FONDO NACIONAL DE FINANCIAMIENTO PARA LA CIENCIA, TECNOLOGIA Y LA INNOVACIÓN – FRANCISCO JOSE </w:t>
      </w:r>
      <w:r w:rsidRPr="00F114DB">
        <w:rPr>
          <w:rFonts w:ascii="Arial" w:hAnsi="Arial" w:cs="Arial"/>
          <w:b/>
          <w:sz w:val="28"/>
          <w:szCs w:val="28"/>
        </w:rPr>
        <w:lastRenderedPageBreak/>
        <w:t>DE CALDAS – FIDUCOLDEX S.A.</w:t>
      </w:r>
    </w:p>
    <w:p w14:paraId="19D335EC" w14:textId="77777777" w:rsidR="00561B22" w:rsidRPr="009F3788" w:rsidRDefault="00561B22" w:rsidP="00561B22">
      <w:pPr>
        <w:pStyle w:val="Textoindependiente"/>
        <w:tabs>
          <w:tab w:val="left" w:pos="2055"/>
        </w:tabs>
        <w:spacing w:before="5"/>
        <w:rPr>
          <w:rFonts w:ascii="Arial" w:hAnsi="Arial" w:cs="Arial"/>
          <w:sz w:val="17"/>
        </w:rPr>
      </w:pPr>
    </w:p>
    <w:p w14:paraId="56C85DE6" w14:textId="77777777" w:rsidR="00561B22" w:rsidRPr="00F114DB" w:rsidRDefault="00561B22" w:rsidP="00561B22">
      <w:pPr>
        <w:pStyle w:val="Textoindependiente"/>
        <w:ind w:right="-50"/>
        <w:jc w:val="center"/>
        <w:rPr>
          <w:rFonts w:ascii="Arial" w:hAnsi="Arial" w:cs="Arial"/>
          <w:b/>
          <w:bCs/>
        </w:rPr>
      </w:pPr>
      <w:r w:rsidRPr="00F114DB">
        <w:rPr>
          <w:rFonts w:ascii="Arial" w:hAnsi="Arial" w:cs="Arial"/>
          <w:b/>
          <w:bCs/>
        </w:rPr>
        <w:t>INFORME DE LA AUTOCALIFICACIÓN DEL SISTEMA DE CONTROL INTERNO CONTABLE:</w:t>
      </w:r>
    </w:p>
    <w:p w14:paraId="5FC71F1D" w14:textId="77777777" w:rsidR="00561B22" w:rsidRPr="00F114D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114DB" w14:paraId="0EB6645A" w14:textId="77777777" w:rsidTr="00F1223B">
        <w:tc>
          <w:tcPr>
            <w:tcW w:w="4981" w:type="dxa"/>
          </w:tcPr>
          <w:p w14:paraId="75017E36"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AUTOCALIFICACIÓN</w:t>
            </w:r>
          </w:p>
        </w:tc>
        <w:tc>
          <w:tcPr>
            <w:tcW w:w="4981" w:type="dxa"/>
          </w:tcPr>
          <w:p w14:paraId="5553E649" w14:textId="77777777" w:rsidR="00561B22" w:rsidRPr="00F114DB" w:rsidRDefault="00561B22" w:rsidP="00F1223B">
            <w:pPr>
              <w:jc w:val="center"/>
              <w:rPr>
                <w:rFonts w:ascii="Arial" w:hAnsi="Arial" w:cs="Arial"/>
                <w:b/>
                <w:sz w:val="22"/>
                <w:szCs w:val="22"/>
                <w:u w:val="single"/>
                <w:lang w:val="es-MX"/>
              </w:rPr>
            </w:pPr>
            <w:r w:rsidRPr="00F114DB">
              <w:rPr>
                <w:rFonts w:ascii="Arial" w:hAnsi="Arial" w:cs="Arial"/>
                <w:b/>
                <w:sz w:val="22"/>
                <w:szCs w:val="22"/>
                <w:u w:val="single"/>
                <w:lang w:val="es-MX"/>
              </w:rPr>
              <w:t>?</w:t>
            </w:r>
          </w:p>
        </w:tc>
      </w:tr>
    </w:tbl>
    <w:p w14:paraId="06347E68" w14:textId="77777777" w:rsidR="00561B22" w:rsidRPr="00F114DB" w:rsidRDefault="00561B22" w:rsidP="00561B22">
      <w:pPr>
        <w:pStyle w:val="Textoindependiente"/>
        <w:ind w:right="-50"/>
        <w:jc w:val="both"/>
        <w:rPr>
          <w:rFonts w:ascii="Arial" w:hAnsi="Arial" w:cs="Arial"/>
          <w:b/>
          <w:bCs/>
        </w:rPr>
      </w:pPr>
    </w:p>
    <w:p w14:paraId="26E2079E" w14:textId="77777777" w:rsidR="00561B22" w:rsidRPr="00F114DB" w:rsidRDefault="00561B22" w:rsidP="00561B22">
      <w:pPr>
        <w:pStyle w:val="Textoindependiente"/>
        <w:ind w:right="-50"/>
        <w:jc w:val="both"/>
        <w:rPr>
          <w:rFonts w:ascii="Arial" w:hAnsi="Arial" w:cs="Arial"/>
        </w:rPr>
      </w:pPr>
      <w:r w:rsidRPr="00F114DB">
        <w:rPr>
          <w:rFonts w:ascii="Arial" w:hAnsi="Arial" w:cs="Arial"/>
          <w:b/>
          <w:bCs/>
        </w:rPr>
        <w:t xml:space="preserve">NOTA: </w:t>
      </w:r>
      <w:r w:rsidRPr="00F114DB">
        <w:rPr>
          <w:rFonts w:ascii="Arial" w:hAnsi="Arial" w:cs="Arial"/>
        </w:rPr>
        <w:t>La entidad no informa la calificación obtenida en la autoevaluación del Sistema de Control Interno Contable.</w:t>
      </w:r>
    </w:p>
    <w:p w14:paraId="484AF5D7" w14:textId="77777777" w:rsidR="00561B22" w:rsidRPr="00F114DB" w:rsidRDefault="00561B22" w:rsidP="00561B22">
      <w:pPr>
        <w:pStyle w:val="Textoindependiente"/>
        <w:ind w:right="-50"/>
        <w:jc w:val="both"/>
        <w:rPr>
          <w:rFonts w:ascii="Arial" w:hAnsi="Arial" w:cs="Arial"/>
        </w:rPr>
      </w:pPr>
    </w:p>
    <w:p w14:paraId="7EC610D8" w14:textId="77777777" w:rsidR="00561B22" w:rsidRPr="00F114DB" w:rsidRDefault="00561B22" w:rsidP="00561B22">
      <w:pPr>
        <w:pStyle w:val="Textoindependiente"/>
        <w:ind w:right="-50"/>
        <w:jc w:val="both"/>
        <w:rPr>
          <w:rFonts w:ascii="Arial" w:hAnsi="Arial" w:cs="Arial"/>
          <w:b/>
          <w:bCs/>
        </w:rPr>
      </w:pPr>
      <w:r w:rsidRPr="00F114DB">
        <w:rPr>
          <w:rFonts w:ascii="Arial" w:hAnsi="Arial" w:cs="Arial"/>
          <w:b/>
          <w:bCs/>
        </w:rPr>
        <w:t>Del informe enviado retomamos lo siguiente:</w:t>
      </w:r>
    </w:p>
    <w:p w14:paraId="0F812336" w14:textId="77777777" w:rsidR="00561B22" w:rsidRPr="00F114D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114DB" w14:paraId="1E8A8612" w14:textId="77777777" w:rsidTr="00F1223B">
        <w:tc>
          <w:tcPr>
            <w:tcW w:w="562" w:type="dxa"/>
          </w:tcPr>
          <w:p w14:paraId="68308217" w14:textId="77777777" w:rsidR="00561B22" w:rsidRPr="00F114DB" w:rsidRDefault="00561B22" w:rsidP="00F1223B">
            <w:pPr>
              <w:ind w:right="-109"/>
              <w:jc w:val="center"/>
              <w:rPr>
                <w:rFonts w:ascii="Arial" w:hAnsi="Arial" w:cs="Arial"/>
                <w:b/>
                <w:sz w:val="22"/>
                <w:szCs w:val="22"/>
                <w:lang w:val="es-MX"/>
              </w:rPr>
            </w:pPr>
            <w:r w:rsidRPr="00F114DB">
              <w:rPr>
                <w:rFonts w:ascii="Arial" w:hAnsi="Arial" w:cs="Arial"/>
                <w:b/>
                <w:sz w:val="22"/>
                <w:szCs w:val="22"/>
                <w:lang w:val="es-MX"/>
              </w:rPr>
              <w:t>N°</w:t>
            </w:r>
          </w:p>
        </w:tc>
        <w:tc>
          <w:tcPr>
            <w:tcW w:w="9400" w:type="dxa"/>
          </w:tcPr>
          <w:p w14:paraId="27FBA464"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DEBILIDADES</w:t>
            </w:r>
          </w:p>
          <w:p w14:paraId="7BDE69B7" w14:textId="77777777" w:rsidR="00561B22" w:rsidRPr="00F114DB" w:rsidRDefault="00561B22" w:rsidP="00F1223B">
            <w:pPr>
              <w:jc w:val="center"/>
              <w:rPr>
                <w:rFonts w:ascii="Arial" w:hAnsi="Arial" w:cs="Arial"/>
                <w:b/>
                <w:sz w:val="22"/>
                <w:szCs w:val="22"/>
                <w:lang w:val="es-MX"/>
              </w:rPr>
            </w:pPr>
          </w:p>
        </w:tc>
      </w:tr>
      <w:tr w:rsidR="00561B22" w:rsidRPr="00F114DB" w14:paraId="78BB3C96" w14:textId="77777777" w:rsidTr="00F1223B">
        <w:tc>
          <w:tcPr>
            <w:tcW w:w="562" w:type="dxa"/>
          </w:tcPr>
          <w:p w14:paraId="43462C4B"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1</w:t>
            </w:r>
          </w:p>
        </w:tc>
        <w:tc>
          <w:tcPr>
            <w:tcW w:w="9400" w:type="dxa"/>
          </w:tcPr>
          <w:p w14:paraId="761E0538" w14:textId="77777777" w:rsidR="00561B22" w:rsidRPr="00F114DB" w:rsidRDefault="00561B22" w:rsidP="00F1223B">
            <w:pPr>
              <w:jc w:val="both"/>
              <w:rPr>
                <w:rFonts w:ascii="Arial" w:hAnsi="Arial" w:cs="Arial"/>
                <w:b/>
                <w:sz w:val="22"/>
                <w:szCs w:val="22"/>
                <w:lang w:val="es-MX"/>
              </w:rPr>
            </w:pPr>
            <w:r w:rsidRPr="00F114DB">
              <w:rPr>
                <w:rFonts w:ascii="Arial" w:hAnsi="Arial" w:cs="Arial"/>
                <w:sz w:val="22"/>
                <w:szCs w:val="22"/>
              </w:rPr>
              <w:t>Se observaron situaciones objeto de recomendación relacionadas con:</w:t>
            </w:r>
            <w:r w:rsidRPr="00F114DB">
              <w:rPr>
                <w:rFonts w:ascii="Arial" w:hAnsi="Arial" w:cs="Arial"/>
                <w:sz w:val="22"/>
                <w:szCs w:val="22"/>
              </w:rPr>
              <w:br/>
              <w:t>Formalización de políticas contables aplicables al Patrimonio autónomo, dentro del sistema de gestión de calidad de la entidad.</w:t>
            </w:r>
          </w:p>
        </w:tc>
      </w:tr>
      <w:tr w:rsidR="00561B22" w:rsidRPr="00F114DB" w14:paraId="4A5D6428" w14:textId="77777777" w:rsidTr="00F1223B">
        <w:tc>
          <w:tcPr>
            <w:tcW w:w="562" w:type="dxa"/>
          </w:tcPr>
          <w:p w14:paraId="42104173"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2</w:t>
            </w:r>
          </w:p>
        </w:tc>
        <w:tc>
          <w:tcPr>
            <w:tcW w:w="9400" w:type="dxa"/>
          </w:tcPr>
          <w:p w14:paraId="04ABB578" w14:textId="77777777" w:rsidR="00561B22" w:rsidRPr="00F114DB" w:rsidRDefault="00561B22" w:rsidP="00F1223B">
            <w:pPr>
              <w:jc w:val="both"/>
              <w:rPr>
                <w:rFonts w:ascii="Arial" w:hAnsi="Arial" w:cs="Arial"/>
                <w:b/>
                <w:sz w:val="22"/>
                <w:szCs w:val="22"/>
                <w:lang w:val="es-MX"/>
              </w:rPr>
            </w:pPr>
            <w:r w:rsidRPr="00F114DB">
              <w:rPr>
                <w:rFonts w:ascii="Arial" w:hAnsi="Arial" w:cs="Arial"/>
                <w:sz w:val="22"/>
                <w:szCs w:val="22"/>
              </w:rPr>
              <w:t>Planes de capacitación para toda la Gerencia de Contabilidad.</w:t>
            </w:r>
          </w:p>
        </w:tc>
      </w:tr>
      <w:tr w:rsidR="00561B22" w:rsidRPr="00F114DB" w14:paraId="73FEABDC" w14:textId="77777777" w:rsidTr="00F1223B">
        <w:tc>
          <w:tcPr>
            <w:tcW w:w="562" w:type="dxa"/>
          </w:tcPr>
          <w:p w14:paraId="7BD828C5"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3</w:t>
            </w:r>
          </w:p>
        </w:tc>
        <w:tc>
          <w:tcPr>
            <w:tcW w:w="9400" w:type="dxa"/>
          </w:tcPr>
          <w:p w14:paraId="2EA11065" w14:textId="77777777" w:rsidR="00561B22" w:rsidRPr="00F114DB" w:rsidRDefault="00561B22" w:rsidP="00F1223B">
            <w:pPr>
              <w:jc w:val="both"/>
              <w:rPr>
                <w:rFonts w:ascii="Arial" w:hAnsi="Arial" w:cs="Arial"/>
                <w:b/>
                <w:sz w:val="22"/>
                <w:szCs w:val="22"/>
                <w:lang w:val="es-MX"/>
              </w:rPr>
            </w:pPr>
            <w:r w:rsidRPr="00F114DB">
              <w:rPr>
                <w:rFonts w:ascii="Arial" w:hAnsi="Arial" w:cs="Arial"/>
                <w:sz w:val="22"/>
                <w:szCs w:val="22"/>
              </w:rPr>
              <w:t>Los instructivos de las actividades relacionadas con las interfaces del aplicativo CORE SIFI y de los diferentes módulos satélites.</w:t>
            </w:r>
          </w:p>
        </w:tc>
      </w:tr>
      <w:tr w:rsidR="00561B22" w:rsidRPr="00F114DB" w14:paraId="0016A199" w14:textId="77777777" w:rsidTr="00F1223B">
        <w:tc>
          <w:tcPr>
            <w:tcW w:w="562" w:type="dxa"/>
          </w:tcPr>
          <w:p w14:paraId="0C140778"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4</w:t>
            </w:r>
          </w:p>
        </w:tc>
        <w:tc>
          <w:tcPr>
            <w:tcW w:w="9400" w:type="dxa"/>
          </w:tcPr>
          <w:p w14:paraId="776F3379" w14:textId="77777777" w:rsidR="00561B22" w:rsidRPr="00F114DB" w:rsidRDefault="00561B22" w:rsidP="00F1223B">
            <w:pPr>
              <w:jc w:val="both"/>
              <w:rPr>
                <w:rFonts w:ascii="Arial" w:hAnsi="Arial" w:cs="Arial"/>
                <w:b/>
                <w:sz w:val="22"/>
                <w:szCs w:val="22"/>
                <w:lang w:val="es-MX"/>
              </w:rPr>
            </w:pPr>
            <w:r w:rsidRPr="00F114DB">
              <w:rPr>
                <w:rFonts w:ascii="Arial" w:hAnsi="Arial" w:cs="Arial"/>
                <w:sz w:val="22"/>
                <w:szCs w:val="22"/>
              </w:rPr>
              <w:t>La matriz de roles y perfiles de la Gerencia Contable.</w:t>
            </w:r>
          </w:p>
        </w:tc>
      </w:tr>
      <w:tr w:rsidR="00561B22" w:rsidRPr="00F114DB" w14:paraId="4DB87883" w14:textId="77777777" w:rsidTr="00F1223B">
        <w:tc>
          <w:tcPr>
            <w:tcW w:w="562" w:type="dxa"/>
          </w:tcPr>
          <w:p w14:paraId="7F4208C6"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5</w:t>
            </w:r>
          </w:p>
        </w:tc>
        <w:tc>
          <w:tcPr>
            <w:tcW w:w="9400" w:type="dxa"/>
          </w:tcPr>
          <w:p w14:paraId="23579BDA" w14:textId="77777777" w:rsidR="00561B22" w:rsidRPr="00F114DB" w:rsidRDefault="00561B22" w:rsidP="00F1223B">
            <w:pPr>
              <w:jc w:val="both"/>
              <w:rPr>
                <w:rFonts w:ascii="Arial" w:hAnsi="Arial" w:cs="Arial"/>
                <w:sz w:val="22"/>
                <w:szCs w:val="22"/>
              </w:rPr>
            </w:pPr>
            <w:r w:rsidRPr="00F114DB">
              <w:rPr>
                <w:rFonts w:ascii="Arial" w:hAnsi="Arial" w:cs="Arial"/>
                <w:sz w:val="22"/>
                <w:szCs w:val="22"/>
              </w:rPr>
              <w:t>Controles de revisión para los comprobantes contables.</w:t>
            </w:r>
          </w:p>
          <w:p w14:paraId="7302CE7D" w14:textId="77777777" w:rsidR="00561B22" w:rsidRPr="00F114DB" w:rsidRDefault="00561B22" w:rsidP="00F1223B">
            <w:pPr>
              <w:jc w:val="both"/>
              <w:rPr>
                <w:rFonts w:ascii="Arial" w:hAnsi="Arial" w:cs="Arial"/>
                <w:sz w:val="22"/>
                <w:szCs w:val="22"/>
              </w:rPr>
            </w:pPr>
            <w:r w:rsidRPr="00F114DB">
              <w:rPr>
                <w:rFonts w:ascii="Arial" w:hAnsi="Arial" w:cs="Arial"/>
                <w:sz w:val="22"/>
                <w:szCs w:val="22"/>
              </w:rPr>
              <w:br/>
              <w:t>Nota: El detalle de las observaciones y recomendaciones será divulgada al interior de la entidad de acuerdo con los lineamientos emitidos por la Gerencia de Auditoría y a los planes de acción que se definan para su remedición se les efectuará seguimiento de acuerdo con los Procedimiento de Plan de Acción PR GPR 008 y de Seguimiento de Planes de Acción PR ACO 005.</w:t>
            </w:r>
          </w:p>
        </w:tc>
      </w:tr>
    </w:tbl>
    <w:p w14:paraId="38F41108" w14:textId="77777777" w:rsidR="00561B22" w:rsidRPr="00F114DB" w:rsidRDefault="00561B22" w:rsidP="00561B22">
      <w:pPr>
        <w:pStyle w:val="Textoindependiente"/>
        <w:ind w:right="-50"/>
        <w:jc w:val="both"/>
        <w:rPr>
          <w:rFonts w:ascii="Arial" w:hAnsi="Arial" w:cs="Arial"/>
          <w:b/>
          <w:bCs/>
        </w:rPr>
      </w:pPr>
    </w:p>
    <w:p w14:paraId="063E38C6" w14:textId="77777777" w:rsidR="00561B22" w:rsidRPr="00F114DB" w:rsidRDefault="00561B22" w:rsidP="00561B22">
      <w:pPr>
        <w:jc w:val="both"/>
        <w:rPr>
          <w:rFonts w:ascii="Arial" w:hAnsi="Arial" w:cs="Arial"/>
          <w:b/>
          <w:lang w:val="es-MX"/>
        </w:rPr>
      </w:pPr>
      <w:r w:rsidRPr="00F114DB">
        <w:rPr>
          <w:rFonts w:ascii="Arial" w:hAnsi="Arial" w:cs="Arial"/>
          <w:b/>
          <w:lang w:val="es-MX"/>
        </w:rPr>
        <w:t>Del citado informe retomamos las siguientes recomendaciones:</w:t>
      </w:r>
    </w:p>
    <w:p w14:paraId="1C14C7BE" w14:textId="77777777" w:rsidR="00561B22" w:rsidRPr="00F114D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114DB" w14:paraId="69004931" w14:textId="77777777" w:rsidTr="00F1223B">
        <w:tc>
          <w:tcPr>
            <w:tcW w:w="562" w:type="dxa"/>
          </w:tcPr>
          <w:p w14:paraId="643F8642" w14:textId="77777777" w:rsidR="00561B22" w:rsidRPr="00F114DB" w:rsidRDefault="00561B22" w:rsidP="00F1223B">
            <w:pPr>
              <w:ind w:right="-109"/>
              <w:jc w:val="center"/>
              <w:rPr>
                <w:rFonts w:ascii="Arial" w:hAnsi="Arial" w:cs="Arial"/>
                <w:b/>
                <w:sz w:val="22"/>
                <w:szCs w:val="22"/>
                <w:lang w:val="es-MX"/>
              </w:rPr>
            </w:pPr>
            <w:r w:rsidRPr="00F114DB">
              <w:rPr>
                <w:rFonts w:ascii="Arial" w:hAnsi="Arial" w:cs="Arial"/>
                <w:b/>
                <w:sz w:val="22"/>
                <w:szCs w:val="22"/>
                <w:lang w:val="es-MX"/>
              </w:rPr>
              <w:t>N°</w:t>
            </w:r>
          </w:p>
        </w:tc>
        <w:tc>
          <w:tcPr>
            <w:tcW w:w="9400" w:type="dxa"/>
          </w:tcPr>
          <w:p w14:paraId="740E81B1"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RECOMENDACIONES</w:t>
            </w:r>
          </w:p>
          <w:p w14:paraId="6B925CD5" w14:textId="77777777" w:rsidR="00561B22" w:rsidRPr="00F114DB" w:rsidRDefault="00561B22" w:rsidP="00F1223B">
            <w:pPr>
              <w:jc w:val="center"/>
              <w:rPr>
                <w:rFonts w:ascii="Arial" w:hAnsi="Arial" w:cs="Arial"/>
                <w:b/>
                <w:sz w:val="22"/>
                <w:szCs w:val="22"/>
                <w:lang w:val="es-MX"/>
              </w:rPr>
            </w:pPr>
          </w:p>
        </w:tc>
      </w:tr>
      <w:tr w:rsidR="00561B22" w:rsidRPr="00F114DB" w14:paraId="3CA38BB3" w14:textId="77777777" w:rsidTr="00F1223B">
        <w:tc>
          <w:tcPr>
            <w:tcW w:w="562" w:type="dxa"/>
          </w:tcPr>
          <w:p w14:paraId="4B04D9B5"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1</w:t>
            </w:r>
          </w:p>
        </w:tc>
        <w:tc>
          <w:tcPr>
            <w:tcW w:w="9400" w:type="dxa"/>
          </w:tcPr>
          <w:p w14:paraId="1420C6BA" w14:textId="77777777" w:rsidR="00561B22" w:rsidRPr="00F114DB" w:rsidRDefault="00561B22" w:rsidP="00F1223B">
            <w:pPr>
              <w:jc w:val="both"/>
              <w:rPr>
                <w:rFonts w:ascii="Arial" w:hAnsi="Arial" w:cs="Arial"/>
                <w:sz w:val="22"/>
                <w:szCs w:val="22"/>
              </w:rPr>
            </w:pPr>
            <w:r w:rsidRPr="00F114DB">
              <w:rPr>
                <w:rFonts w:ascii="Arial" w:hAnsi="Arial" w:cs="Arial"/>
                <w:sz w:val="22"/>
                <w:szCs w:val="22"/>
              </w:rPr>
              <w:t>Se recomienda a la administración:</w:t>
            </w:r>
          </w:p>
          <w:p w14:paraId="48749C78" w14:textId="77777777" w:rsidR="00561B22" w:rsidRPr="00F114DB" w:rsidRDefault="00561B22" w:rsidP="00F1223B">
            <w:pPr>
              <w:jc w:val="both"/>
              <w:rPr>
                <w:rFonts w:ascii="Arial" w:hAnsi="Arial" w:cs="Arial"/>
                <w:sz w:val="22"/>
                <w:szCs w:val="22"/>
              </w:rPr>
            </w:pPr>
            <w:r w:rsidRPr="00F114DB">
              <w:rPr>
                <w:rFonts w:ascii="Arial" w:hAnsi="Arial" w:cs="Arial"/>
                <w:sz w:val="22"/>
                <w:szCs w:val="22"/>
              </w:rPr>
              <w:t xml:space="preserve">Formalizar planes de capacitación para toda la Gerencia de Contabilidad, teniendo en cuenta los procesos de actualización documental que se desarrollaron durante el 2024. </w:t>
            </w:r>
          </w:p>
        </w:tc>
      </w:tr>
      <w:tr w:rsidR="00561B22" w:rsidRPr="00F114DB" w14:paraId="68D1668C" w14:textId="77777777" w:rsidTr="00F1223B">
        <w:tc>
          <w:tcPr>
            <w:tcW w:w="562" w:type="dxa"/>
          </w:tcPr>
          <w:p w14:paraId="69331F47"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2</w:t>
            </w:r>
          </w:p>
        </w:tc>
        <w:tc>
          <w:tcPr>
            <w:tcW w:w="9400" w:type="dxa"/>
          </w:tcPr>
          <w:p w14:paraId="6943CB0B" w14:textId="77777777" w:rsidR="00561B22" w:rsidRPr="00F114DB" w:rsidRDefault="00561B22" w:rsidP="00F1223B">
            <w:pPr>
              <w:jc w:val="both"/>
              <w:rPr>
                <w:rFonts w:ascii="Arial" w:hAnsi="Arial" w:cs="Arial"/>
                <w:b/>
                <w:sz w:val="22"/>
                <w:szCs w:val="22"/>
                <w:lang w:val="es-MX"/>
              </w:rPr>
            </w:pPr>
            <w:r w:rsidRPr="00F114DB">
              <w:rPr>
                <w:rFonts w:ascii="Arial" w:hAnsi="Arial" w:cs="Arial"/>
                <w:sz w:val="22"/>
                <w:szCs w:val="22"/>
              </w:rPr>
              <w:t>Formalización de las políticas contables en el Sistema de Gestión de Calidad.</w:t>
            </w:r>
          </w:p>
        </w:tc>
      </w:tr>
      <w:tr w:rsidR="00561B22" w:rsidRPr="00F114DB" w14:paraId="01BAB140" w14:textId="77777777" w:rsidTr="00F1223B">
        <w:tc>
          <w:tcPr>
            <w:tcW w:w="562" w:type="dxa"/>
          </w:tcPr>
          <w:p w14:paraId="4457E4DF"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3</w:t>
            </w:r>
          </w:p>
        </w:tc>
        <w:tc>
          <w:tcPr>
            <w:tcW w:w="9400" w:type="dxa"/>
          </w:tcPr>
          <w:p w14:paraId="7AF41AF2" w14:textId="77777777" w:rsidR="00561B22" w:rsidRPr="00F114DB" w:rsidRDefault="00561B22" w:rsidP="00F1223B">
            <w:pPr>
              <w:jc w:val="both"/>
              <w:rPr>
                <w:rFonts w:ascii="Arial" w:hAnsi="Arial" w:cs="Arial"/>
                <w:sz w:val="22"/>
                <w:szCs w:val="22"/>
              </w:rPr>
            </w:pPr>
            <w:r w:rsidRPr="00F114DB">
              <w:rPr>
                <w:rFonts w:ascii="Arial" w:hAnsi="Arial" w:cs="Arial"/>
                <w:sz w:val="22"/>
                <w:szCs w:val="22"/>
              </w:rPr>
              <w:t>Fortalecer la documentación de los instructivos de las actividades relacionadas con las interfaces del aplicativo CORE SIFI y de los diferentes módulos satélites.</w:t>
            </w:r>
          </w:p>
        </w:tc>
      </w:tr>
      <w:tr w:rsidR="00561B22" w:rsidRPr="00F114DB" w14:paraId="4600C7DE" w14:textId="77777777" w:rsidTr="00F1223B">
        <w:tc>
          <w:tcPr>
            <w:tcW w:w="562" w:type="dxa"/>
          </w:tcPr>
          <w:p w14:paraId="722E9720"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4</w:t>
            </w:r>
          </w:p>
        </w:tc>
        <w:tc>
          <w:tcPr>
            <w:tcW w:w="9400" w:type="dxa"/>
          </w:tcPr>
          <w:p w14:paraId="00688D49" w14:textId="77777777" w:rsidR="00561B22" w:rsidRPr="00F114DB" w:rsidRDefault="00561B22" w:rsidP="00F1223B">
            <w:pPr>
              <w:jc w:val="both"/>
              <w:rPr>
                <w:rFonts w:ascii="Arial" w:hAnsi="Arial" w:cs="Arial"/>
                <w:b/>
                <w:sz w:val="22"/>
                <w:szCs w:val="22"/>
                <w:lang w:val="es-MX"/>
              </w:rPr>
            </w:pPr>
            <w:r w:rsidRPr="00F114DB">
              <w:rPr>
                <w:rFonts w:ascii="Arial" w:hAnsi="Arial" w:cs="Arial"/>
                <w:sz w:val="22"/>
                <w:szCs w:val="22"/>
              </w:rPr>
              <w:t>Fortalecer la matriz de roles y perfiles de la Gerencia Contable, así como su divulgación.</w:t>
            </w:r>
          </w:p>
        </w:tc>
      </w:tr>
      <w:tr w:rsidR="00561B22" w:rsidRPr="00F114DB" w14:paraId="5B1D5292" w14:textId="77777777" w:rsidTr="00F1223B">
        <w:tc>
          <w:tcPr>
            <w:tcW w:w="562" w:type="dxa"/>
          </w:tcPr>
          <w:p w14:paraId="270058C8" w14:textId="77777777" w:rsidR="00561B22" w:rsidRPr="00F114DB" w:rsidRDefault="00561B22" w:rsidP="00F1223B">
            <w:pPr>
              <w:jc w:val="center"/>
              <w:rPr>
                <w:rFonts w:ascii="Arial" w:hAnsi="Arial" w:cs="Arial"/>
                <w:b/>
                <w:sz w:val="22"/>
                <w:szCs w:val="22"/>
                <w:lang w:val="es-MX"/>
              </w:rPr>
            </w:pPr>
            <w:r w:rsidRPr="00F114DB">
              <w:rPr>
                <w:rFonts w:ascii="Arial" w:hAnsi="Arial" w:cs="Arial"/>
                <w:b/>
                <w:sz w:val="22"/>
                <w:szCs w:val="22"/>
                <w:lang w:val="es-MX"/>
              </w:rPr>
              <w:t>5</w:t>
            </w:r>
          </w:p>
        </w:tc>
        <w:tc>
          <w:tcPr>
            <w:tcW w:w="9400" w:type="dxa"/>
          </w:tcPr>
          <w:p w14:paraId="535ABD4F" w14:textId="77777777" w:rsidR="00561B22" w:rsidRPr="00F114DB" w:rsidRDefault="00561B22" w:rsidP="00F1223B">
            <w:pPr>
              <w:jc w:val="both"/>
              <w:rPr>
                <w:rFonts w:ascii="Arial" w:hAnsi="Arial" w:cs="Arial"/>
                <w:sz w:val="22"/>
                <w:szCs w:val="22"/>
              </w:rPr>
            </w:pPr>
            <w:r w:rsidRPr="00F114DB">
              <w:rPr>
                <w:rFonts w:ascii="Arial" w:hAnsi="Arial" w:cs="Arial"/>
                <w:sz w:val="22"/>
                <w:szCs w:val="22"/>
              </w:rPr>
              <w:t>Formalizar controles de revisión para los comprobantes contables.</w:t>
            </w:r>
          </w:p>
        </w:tc>
      </w:tr>
    </w:tbl>
    <w:p w14:paraId="0EF580D6" w14:textId="77777777" w:rsidR="00561B22" w:rsidRPr="00F114DB" w:rsidRDefault="00561B22" w:rsidP="00561B22">
      <w:pPr>
        <w:pStyle w:val="Textoindependiente"/>
        <w:ind w:right="-50"/>
        <w:jc w:val="both"/>
        <w:rPr>
          <w:rFonts w:ascii="Arial" w:hAnsi="Arial" w:cs="Arial"/>
          <w:b/>
          <w:bCs/>
        </w:rPr>
      </w:pPr>
    </w:p>
    <w:p w14:paraId="7B5C4464" w14:textId="77777777" w:rsidR="00561B22" w:rsidRPr="00F114DB" w:rsidRDefault="00561B22" w:rsidP="00561B22">
      <w:pPr>
        <w:jc w:val="both"/>
        <w:rPr>
          <w:rFonts w:ascii="Arial" w:hAnsi="Arial" w:cs="Arial"/>
          <w:b/>
          <w:bCs/>
          <w:sz w:val="24"/>
          <w:szCs w:val="24"/>
          <w:lang w:val="es-CO"/>
        </w:rPr>
      </w:pPr>
      <w:r w:rsidRPr="00F114DB">
        <w:rPr>
          <w:rFonts w:ascii="Arial" w:hAnsi="Arial" w:cs="Arial"/>
          <w:b/>
          <w:bCs/>
          <w:sz w:val="24"/>
          <w:szCs w:val="24"/>
          <w:lang w:val="es-CO"/>
        </w:rPr>
        <w:t xml:space="preserve">NOTA: LA ENTIDAD ENVIA LA MATRIZ DE AUTOEVALUACIÓN DEL SISTEMA DE CONTROL INTERNO CONTABLE CON </w:t>
      </w:r>
      <w:r w:rsidRPr="00F114DB">
        <w:rPr>
          <w:rFonts w:ascii="Arial" w:hAnsi="Arial" w:cs="Arial"/>
          <w:b/>
          <w:bCs/>
          <w:sz w:val="24"/>
          <w:szCs w:val="24"/>
          <w:u w:val="single"/>
          <w:lang w:val="es-CO"/>
        </w:rPr>
        <w:t>ACTIVIDADES DE CONTROL REALIZADAS EN FORMA PARCIAL</w:t>
      </w:r>
      <w:r w:rsidRPr="00F114DB">
        <w:rPr>
          <w:rFonts w:ascii="Arial" w:hAnsi="Arial" w:cs="Arial"/>
          <w:b/>
          <w:bCs/>
          <w:sz w:val="24"/>
          <w:szCs w:val="24"/>
          <w:lang w:val="es-CO"/>
        </w:rPr>
        <w:t>.</w:t>
      </w:r>
    </w:p>
    <w:p w14:paraId="1DB8A871" w14:textId="77777777" w:rsidR="00561B22" w:rsidRPr="00F114DB" w:rsidRDefault="00561B22" w:rsidP="00561B22">
      <w:pPr>
        <w:pStyle w:val="Textoindependiente"/>
        <w:ind w:right="-50"/>
        <w:jc w:val="both"/>
        <w:rPr>
          <w:rFonts w:ascii="Arial" w:hAnsi="Arial" w:cs="Arial"/>
          <w:b/>
          <w:bCs/>
          <w:sz w:val="28"/>
          <w:szCs w:val="28"/>
        </w:rPr>
      </w:pPr>
    </w:p>
    <w:p w14:paraId="5022B11F" w14:textId="77777777" w:rsidR="00561B22" w:rsidRPr="00766855" w:rsidRDefault="00561B22" w:rsidP="00561B22">
      <w:pPr>
        <w:jc w:val="both"/>
        <w:rPr>
          <w:rFonts w:ascii="Arial" w:hAnsi="Arial" w:cs="Arial"/>
          <w:b/>
          <w:sz w:val="32"/>
          <w:szCs w:val="32"/>
        </w:rPr>
      </w:pPr>
      <w:r w:rsidRPr="00766855">
        <w:rPr>
          <w:rFonts w:ascii="Arial" w:hAnsi="Arial" w:cs="Arial"/>
          <w:b/>
          <w:sz w:val="28"/>
          <w:szCs w:val="28"/>
          <w:lang w:val="es-MX"/>
        </w:rPr>
        <w:t xml:space="preserve">236.- </w:t>
      </w:r>
      <w:r w:rsidRPr="00766855">
        <w:rPr>
          <w:rFonts w:ascii="Arial" w:hAnsi="Arial" w:cs="Arial"/>
          <w:b/>
          <w:sz w:val="28"/>
          <w:szCs w:val="28"/>
        </w:rPr>
        <w:t>PATRIMONIO AUTÓNOMO INNPULSA – FIDUCOLDEX S.A.</w:t>
      </w:r>
    </w:p>
    <w:p w14:paraId="5DF1C355" w14:textId="77777777" w:rsidR="00561B22" w:rsidRDefault="00561B22" w:rsidP="00561B22">
      <w:pPr>
        <w:ind w:right="-93"/>
        <w:rPr>
          <w:rFonts w:ascii="Arial" w:hAnsi="Arial" w:cs="Arial"/>
          <w:sz w:val="24"/>
          <w:szCs w:val="24"/>
        </w:rPr>
      </w:pPr>
    </w:p>
    <w:p w14:paraId="1EDF8240" w14:textId="77777777" w:rsidR="00561B22" w:rsidRPr="00350AAF" w:rsidRDefault="00561B22" w:rsidP="00561B22">
      <w:pPr>
        <w:pStyle w:val="Textoindependiente"/>
        <w:ind w:right="-50"/>
        <w:jc w:val="center"/>
        <w:rPr>
          <w:rFonts w:ascii="Arial" w:hAnsi="Arial" w:cs="Arial"/>
          <w:b/>
          <w:bCs/>
        </w:rPr>
      </w:pPr>
      <w:r w:rsidRPr="00350AAF">
        <w:rPr>
          <w:rFonts w:ascii="Arial" w:hAnsi="Arial" w:cs="Arial"/>
          <w:b/>
          <w:bCs/>
        </w:rPr>
        <w:t>INFORME DE LA AUTOCALIFICACIÓN DEL SISTEMA DE CONTROL INTERNO CONTABLE:</w:t>
      </w:r>
    </w:p>
    <w:p w14:paraId="7F949A14" w14:textId="77777777" w:rsidR="00561B22" w:rsidRPr="00350AA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50AAF" w14:paraId="250B4CE5" w14:textId="77777777" w:rsidTr="00F1223B">
        <w:tc>
          <w:tcPr>
            <w:tcW w:w="4981" w:type="dxa"/>
          </w:tcPr>
          <w:p w14:paraId="02E7E063"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AUTOCALIFICACIÓN</w:t>
            </w:r>
          </w:p>
        </w:tc>
        <w:tc>
          <w:tcPr>
            <w:tcW w:w="4981" w:type="dxa"/>
          </w:tcPr>
          <w:p w14:paraId="1497F7D4" w14:textId="77777777" w:rsidR="00561B22" w:rsidRPr="00350AAF" w:rsidRDefault="00561B22" w:rsidP="00F1223B">
            <w:pPr>
              <w:jc w:val="center"/>
              <w:rPr>
                <w:rFonts w:ascii="Arial" w:hAnsi="Arial" w:cs="Arial"/>
                <w:b/>
                <w:sz w:val="22"/>
                <w:szCs w:val="22"/>
                <w:u w:val="single"/>
                <w:lang w:val="es-MX"/>
              </w:rPr>
            </w:pPr>
            <w:r w:rsidRPr="00350AAF">
              <w:rPr>
                <w:rFonts w:ascii="Arial" w:hAnsi="Arial" w:cs="Arial"/>
                <w:b/>
                <w:sz w:val="22"/>
                <w:szCs w:val="22"/>
                <w:u w:val="single"/>
                <w:lang w:val="es-MX"/>
              </w:rPr>
              <w:t>?</w:t>
            </w:r>
          </w:p>
        </w:tc>
      </w:tr>
    </w:tbl>
    <w:p w14:paraId="3D91C59B" w14:textId="77777777" w:rsidR="00561B22" w:rsidRPr="00350AAF" w:rsidRDefault="00561B22" w:rsidP="00561B22">
      <w:pPr>
        <w:pStyle w:val="Textoindependiente"/>
        <w:ind w:right="-50"/>
        <w:jc w:val="both"/>
        <w:rPr>
          <w:rFonts w:ascii="Arial" w:hAnsi="Arial" w:cs="Arial"/>
        </w:rPr>
      </w:pPr>
    </w:p>
    <w:p w14:paraId="1C56B20A" w14:textId="77777777" w:rsidR="00561B22" w:rsidRPr="00350AAF" w:rsidRDefault="00561B22" w:rsidP="00561B22">
      <w:pPr>
        <w:pStyle w:val="Textoindependiente"/>
        <w:ind w:right="-50"/>
        <w:jc w:val="both"/>
        <w:rPr>
          <w:rFonts w:ascii="Arial" w:hAnsi="Arial" w:cs="Arial"/>
        </w:rPr>
      </w:pPr>
      <w:r w:rsidRPr="00350AAF">
        <w:rPr>
          <w:rFonts w:ascii="Arial" w:hAnsi="Arial" w:cs="Arial"/>
          <w:b/>
          <w:bCs/>
        </w:rPr>
        <w:lastRenderedPageBreak/>
        <w:t xml:space="preserve">NOTA: </w:t>
      </w:r>
      <w:r w:rsidRPr="00350AAF">
        <w:rPr>
          <w:rFonts w:ascii="Arial" w:hAnsi="Arial" w:cs="Arial"/>
        </w:rPr>
        <w:t>La entidad no informa la calificación obtenida en la autoevaluación del Sistema de Control Interno Contable.</w:t>
      </w:r>
    </w:p>
    <w:p w14:paraId="44F8DE3C" w14:textId="77777777" w:rsidR="00561B22" w:rsidRPr="00350AAF" w:rsidRDefault="00561B22" w:rsidP="00561B22">
      <w:pPr>
        <w:pStyle w:val="Textoindependiente"/>
        <w:ind w:right="-50"/>
        <w:jc w:val="both"/>
        <w:rPr>
          <w:rFonts w:ascii="Arial" w:hAnsi="Arial" w:cs="Arial"/>
        </w:rPr>
      </w:pPr>
    </w:p>
    <w:p w14:paraId="1A726AE8" w14:textId="77777777" w:rsidR="00561B22" w:rsidRPr="00350AAF" w:rsidRDefault="00561B22" w:rsidP="00561B22">
      <w:pPr>
        <w:pStyle w:val="Textoindependiente"/>
        <w:ind w:right="-50"/>
        <w:jc w:val="both"/>
        <w:rPr>
          <w:rFonts w:ascii="Arial" w:hAnsi="Arial" w:cs="Arial"/>
          <w:b/>
          <w:bCs/>
        </w:rPr>
      </w:pPr>
      <w:r w:rsidRPr="00350AAF">
        <w:rPr>
          <w:rFonts w:ascii="Arial" w:hAnsi="Arial" w:cs="Arial"/>
          <w:b/>
          <w:bCs/>
        </w:rPr>
        <w:t>Del informe enviado retomamos lo siguiente:</w:t>
      </w:r>
    </w:p>
    <w:p w14:paraId="327C0838" w14:textId="77777777" w:rsidR="00561B22" w:rsidRPr="00350AA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50AAF" w14:paraId="018AA24D" w14:textId="77777777" w:rsidTr="00F1223B">
        <w:tc>
          <w:tcPr>
            <w:tcW w:w="562" w:type="dxa"/>
          </w:tcPr>
          <w:p w14:paraId="5B542030" w14:textId="77777777" w:rsidR="00561B22" w:rsidRPr="00350AAF" w:rsidRDefault="00561B22" w:rsidP="00F1223B">
            <w:pPr>
              <w:ind w:right="-109"/>
              <w:jc w:val="center"/>
              <w:rPr>
                <w:rFonts w:ascii="Arial" w:hAnsi="Arial" w:cs="Arial"/>
                <w:b/>
                <w:sz w:val="22"/>
                <w:szCs w:val="22"/>
                <w:lang w:val="es-MX"/>
              </w:rPr>
            </w:pPr>
            <w:r w:rsidRPr="00350AAF">
              <w:rPr>
                <w:rFonts w:ascii="Arial" w:hAnsi="Arial" w:cs="Arial"/>
                <w:b/>
                <w:sz w:val="22"/>
                <w:szCs w:val="22"/>
                <w:lang w:val="es-MX"/>
              </w:rPr>
              <w:t>N°</w:t>
            </w:r>
          </w:p>
        </w:tc>
        <w:tc>
          <w:tcPr>
            <w:tcW w:w="9400" w:type="dxa"/>
          </w:tcPr>
          <w:p w14:paraId="4563B518"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DEBILIDADES</w:t>
            </w:r>
          </w:p>
          <w:p w14:paraId="1D272387" w14:textId="77777777" w:rsidR="00561B22" w:rsidRPr="00350AAF" w:rsidRDefault="00561B22" w:rsidP="00F1223B">
            <w:pPr>
              <w:jc w:val="center"/>
              <w:rPr>
                <w:rFonts w:ascii="Arial" w:hAnsi="Arial" w:cs="Arial"/>
                <w:b/>
                <w:sz w:val="22"/>
                <w:szCs w:val="22"/>
                <w:lang w:val="es-MX"/>
              </w:rPr>
            </w:pPr>
          </w:p>
        </w:tc>
      </w:tr>
      <w:tr w:rsidR="00561B22" w:rsidRPr="00350AAF" w14:paraId="7AF192C6" w14:textId="77777777" w:rsidTr="00F1223B">
        <w:tc>
          <w:tcPr>
            <w:tcW w:w="562" w:type="dxa"/>
          </w:tcPr>
          <w:p w14:paraId="3E81168D"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1</w:t>
            </w:r>
          </w:p>
        </w:tc>
        <w:tc>
          <w:tcPr>
            <w:tcW w:w="9400" w:type="dxa"/>
          </w:tcPr>
          <w:p w14:paraId="794AEA00" w14:textId="77777777" w:rsidR="00561B22" w:rsidRPr="00350AAF" w:rsidRDefault="00561B22" w:rsidP="00F1223B">
            <w:pPr>
              <w:jc w:val="both"/>
              <w:rPr>
                <w:rFonts w:ascii="Arial" w:hAnsi="Arial" w:cs="Arial"/>
                <w:sz w:val="22"/>
                <w:szCs w:val="22"/>
              </w:rPr>
            </w:pPr>
            <w:r w:rsidRPr="00350AAF">
              <w:rPr>
                <w:rFonts w:ascii="Arial" w:hAnsi="Arial" w:cs="Arial"/>
                <w:sz w:val="22"/>
                <w:szCs w:val="22"/>
              </w:rPr>
              <w:t>Se observaron situaciones objeto de recomendación relacionadas con:</w:t>
            </w:r>
          </w:p>
          <w:p w14:paraId="49FFF1F1"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 xml:space="preserve">Formalización de políticas contables aplicables al Patrimonio Autónomo, dentro del sistema de gestión de calidad de la Fiduciaria  </w:t>
            </w:r>
          </w:p>
        </w:tc>
      </w:tr>
      <w:tr w:rsidR="00561B22" w:rsidRPr="00350AAF" w14:paraId="3400D83A" w14:textId="77777777" w:rsidTr="00F1223B">
        <w:tc>
          <w:tcPr>
            <w:tcW w:w="562" w:type="dxa"/>
          </w:tcPr>
          <w:p w14:paraId="2098A92C"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2</w:t>
            </w:r>
          </w:p>
        </w:tc>
        <w:tc>
          <w:tcPr>
            <w:tcW w:w="9400" w:type="dxa"/>
          </w:tcPr>
          <w:p w14:paraId="1B9EBE8D"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Planes de capacitación para toda la Gerencia de Contabilidad.</w:t>
            </w:r>
          </w:p>
        </w:tc>
      </w:tr>
      <w:tr w:rsidR="00561B22" w:rsidRPr="00350AAF" w14:paraId="3DC00268" w14:textId="77777777" w:rsidTr="00F1223B">
        <w:tc>
          <w:tcPr>
            <w:tcW w:w="562" w:type="dxa"/>
          </w:tcPr>
          <w:p w14:paraId="1F73FAF8"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3</w:t>
            </w:r>
          </w:p>
        </w:tc>
        <w:tc>
          <w:tcPr>
            <w:tcW w:w="9400" w:type="dxa"/>
          </w:tcPr>
          <w:p w14:paraId="3F6FC406"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Los instructivos de las actividades relacionadas con las interfaces del aplicativo CORE (SIFI) y de los diferentes módulos satélites.</w:t>
            </w:r>
          </w:p>
        </w:tc>
      </w:tr>
      <w:tr w:rsidR="00561B22" w:rsidRPr="00350AAF" w14:paraId="56EC0EA1" w14:textId="77777777" w:rsidTr="00F1223B">
        <w:tc>
          <w:tcPr>
            <w:tcW w:w="562" w:type="dxa"/>
          </w:tcPr>
          <w:p w14:paraId="0A291CA9"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4</w:t>
            </w:r>
          </w:p>
        </w:tc>
        <w:tc>
          <w:tcPr>
            <w:tcW w:w="9400" w:type="dxa"/>
          </w:tcPr>
          <w:p w14:paraId="663D40CE"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La matriz de roles y perfiles de la Gerencia Contable.</w:t>
            </w:r>
          </w:p>
        </w:tc>
      </w:tr>
      <w:tr w:rsidR="00561B22" w:rsidRPr="00350AAF" w14:paraId="423E6E20" w14:textId="77777777" w:rsidTr="00F1223B">
        <w:tc>
          <w:tcPr>
            <w:tcW w:w="562" w:type="dxa"/>
          </w:tcPr>
          <w:p w14:paraId="38FA10A1"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5</w:t>
            </w:r>
          </w:p>
        </w:tc>
        <w:tc>
          <w:tcPr>
            <w:tcW w:w="9400" w:type="dxa"/>
          </w:tcPr>
          <w:p w14:paraId="6C5CB7AB" w14:textId="77777777" w:rsidR="00561B22" w:rsidRPr="00350AAF" w:rsidRDefault="00561B22" w:rsidP="00F1223B">
            <w:pPr>
              <w:jc w:val="both"/>
              <w:rPr>
                <w:rFonts w:ascii="Arial" w:hAnsi="Arial" w:cs="Arial"/>
                <w:sz w:val="22"/>
                <w:szCs w:val="22"/>
              </w:rPr>
            </w:pPr>
            <w:r w:rsidRPr="00350AAF">
              <w:rPr>
                <w:rFonts w:ascii="Arial" w:hAnsi="Arial" w:cs="Arial"/>
                <w:sz w:val="22"/>
                <w:szCs w:val="22"/>
              </w:rPr>
              <w:t>Controles de revisión para los comprobantes contables.</w:t>
            </w:r>
          </w:p>
          <w:p w14:paraId="3BFF0A64"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br/>
            </w:r>
            <w:r w:rsidRPr="00350AAF">
              <w:rPr>
                <w:rFonts w:ascii="Arial" w:hAnsi="Arial" w:cs="Arial"/>
                <w:b/>
                <w:bCs/>
                <w:sz w:val="22"/>
                <w:szCs w:val="22"/>
              </w:rPr>
              <w:t>Nota:</w:t>
            </w:r>
            <w:r w:rsidRPr="00350AAF">
              <w:rPr>
                <w:rFonts w:ascii="Arial" w:hAnsi="Arial" w:cs="Arial"/>
                <w:sz w:val="22"/>
                <w:szCs w:val="22"/>
              </w:rPr>
              <w:t xml:space="preserve"> El detalle de las observaciones y recomendaciones será divulgada al interior de la Fiduciaria de acuerdo con los lineamientos emitidos por la Gerencia de Auditoría y a los planes de acción que se definan para su remedición se les efectuará seguimiento de acuerdo con los Procedimiento de Plan de Acción (PR-GPR-008) y de Seguimiento de Planes de Acción (PR-ACO-005).</w:t>
            </w:r>
          </w:p>
        </w:tc>
      </w:tr>
    </w:tbl>
    <w:p w14:paraId="7013AC9F" w14:textId="77777777" w:rsidR="00561B22" w:rsidRPr="00350AAF" w:rsidRDefault="00561B22" w:rsidP="00561B22">
      <w:pPr>
        <w:pStyle w:val="Textoindependiente"/>
        <w:ind w:right="-50"/>
        <w:jc w:val="both"/>
        <w:rPr>
          <w:rFonts w:ascii="Arial" w:hAnsi="Arial" w:cs="Arial"/>
          <w:b/>
          <w:bCs/>
        </w:rPr>
      </w:pPr>
    </w:p>
    <w:p w14:paraId="3DD2384A" w14:textId="77777777" w:rsidR="00561B22" w:rsidRPr="00350AAF" w:rsidRDefault="00561B22" w:rsidP="00561B22">
      <w:pPr>
        <w:jc w:val="both"/>
        <w:rPr>
          <w:rFonts w:ascii="Arial" w:hAnsi="Arial" w:cs="Arial"/>
          <w:b/>
          <w:lang w:val="es-MX"/>
        </w:rPr>
      </w:pPr>
      <w:r w:rsidRPr="00350AAF">
        <w:rPr>
          <w:rFonts w:ascii="Arial" w:hAnsi="Arial" w:cs="Arial"/>
          <w:b/>
          <w:lang w:val="es-MX"/>
        </w:rPr>
        <w:t>Del citado informe retomamos las siguientes recomendaciones:</w:t>
      </w:r>
    </w:p>
    <w:p w14:paraId="44C63158" w14:textId="77777777" w:rsidR="00561B22" w:rsidRPr="00350AAF"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350AAF" w14:paraId="4511B89C" w14:textId="77777777" w:rsidTr="00F1223B">
        <w:tc>
          <w:tcPr>
            <w:tcW w:w="562" w:type="dxa"/>
          </w:tcPr>
          <w:p w14:paraId="025FDB3C" w14:textId="77777777" w:rsidR="00561B22" w:rsidRPr="00350AAF" w:rsidRDefault="00561B22" w:rsidP="00F1223B">
            <w:pPr>
              <w:ind w:right="-109"/>
              <w:jc w:val="center"/>
              <w:rPr>
                <w:rFonts w:ascii="Arial" w:hAnsi="Arial" w:cs="Arial"/>
                <w:b/>
                <w:sz w:val="22"/>
                <w:szCs w:val="22"/>
                <w:lang w:val="es-MX"/>
              </w:rPr>
            </w:pPr>
            <w:r w:rsidRPr="00350AAF">
              <w:rPr>
                <w:rFonts w:ascii="Arial" w:hAnsi="Arial" w:cs="Arial"/>
                <w:b/>
                <w:sz w:val="22"/>
                <w:szCs w:val="22"/>
                <w:lang w:val="es-MX"/>
              </w:rPr>
              <w:t>N°</w:t>
            </w:r>
          </w:p>
        </w:tc>
        <w:tc>
          <w:tcPr>
            <w:tcW w:w="9400" w:type="dxa"/>
          </w:tcPr>
          <w:p w14:paraId="326A2D3E"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RECOMENDACIONES</w:t>
            </w:r>
          </w:p>
          <w:p w14:paraId="2E566FF4" w14:textId="77777777" w:rsidR="00561B22" w:rsidRPr="00350AAF" w:rsidRDefault="00561B22" w:rsidP="00F1223B">
            <w:pPr>
              <w:jc w:val="center"/>
              <w:rPr>
                <w:rFonts w:ascii="Arial" w:hAnsi="Arial" w:cs="Arial"/>
                <w:b/>
                <w:sz w:val="22"/>
                <w:szCs w:val="22"/>
                <w:lang w:val="es-MX"/>
              </w:rPr>
            </w:pPr>
          </w:p>
        </w:tc>
      </w:tr>
      <w:tr w:rsidR="00561B22" w:rsidRPr="00350AAF" w14:paraId="6D15CE34" w14:textId="77777777" w:rsidTr="00F1223B">
        <w:tc>
          <w:tcPr>
            <w:tcW w:w="562" w:type="dxa"/>
          </w:tcPr>
          <w:p w14:paraId="53E411C3"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1</w:t>
            </w:r>
          </w:p>
        </w:tc>
        <w:tc>
          <w:tcPr>
            <w:tcW w:w="9400" w:type="dxa"/>
          </w:tcPr>
          <w:p w14:paraId="6F8A3E8D" w14:textId="77777777" w:rsidR="00561B22" w:rsidRPr="00350AAF" w:rsidRDefault="00561B22" w:rsidP="00F1223B">
            <w:pPr>
              <w:jc w:val="both"/>
              <w:rPr>
                <w:rFonts w:ascii="Arial" w:hAnsi="Arial" w:cs="Arial"/>
                <w:sz w:val="22"/>
                <w:szCs w:val="22"/>
              </w:rPr>
            </w:pPr>
            <w:r w:rsidRPr="00350AAF">
              <w:rPr>
                <w:rFonts w:ascii="Arial" w:hAnsi="Arial" w:cs="Arial"/>
                <w:sz w:val="22"/>
                <w:szCs w:val="22"/>
              </w:rPr>
              <w:t>Se recomienda a la administración:</w:t>
            </w:r>
          </w:p>
          <w:p w14:paraId="258EA9D3"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Formalizar planes de capacitación para toda la Gerencia de Contabilidad, teniendo en cuenta los procesos de actualización documental que se desarrollaron durante el 2024.</w:t>
            </w:r>
          </w:p>
        </w:tc>
      </w:tr>
      <w:tr w:rsidR="00561B22" w:rsidRPr="00350AAF" w14:paraId="62B4D583" w14:textId="77777777" w:rsidTr="00F1223B">
        <w:tc>
          <w:tcPr>
            <w:tcW w:w="562" w:type="dxa"/>
          </w:tcPr>
          <w:p w14:paraId="789496D3"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2</w:t>
            </w:r>
          </w:p>
        </w:tc>
        <w:tc>
          <w:tcPr>
            <w:tcW w:w="9400" w:type="dxa"/>
          </w:tcPr>
          <w:p w14:paraId="776B1941"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 xml:space="preserve">Formalización de las políticas contables en el Sistema de Gestión de Calidad </w:t>
            </w:r>
          </w:p>
        </w:tc>
      </w:tr>
      <w:tr w:rsidR="00561B22" w:rsidRPr="00350AAF" w14:paraId="7BAD52DE" w14:textId="77777777" w:rsidTr="00F1223B">
        <w:tc>
          <w:tcPr>
            <w:tcW w:w="562" w:type="dxa"/>
          </w:tcPr>
          <w:p w14:paraId="4E6FE904"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3</w:t>
            </w:r>
          </w:p>
        </w:tc>
        <w:tc>
          <w:tcPr>
            <w:tcW w:w="9400" w:type="dxa"/>
          </w:tcPr>
          <w:p w14:paraId="364B23E8"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Fortalecer la documentación de los instructivos de las actividades relacionadas con las interfaces del aplicativo CORE (SIFI) y de los diferentes módulos satélites.</w:t>
            </w:r>
          </w:p>
        </w:tc>
      </w:tr>
      <w:tr w:rsidR="00561B22" w:rsidRPr="00350AAF" w14:paraId="64ABB71F" w14:textId="77777777" w:rsidTr="00F1223B">
        <w:tc>
          <w:tcPr>
            <w:tcW w:w="562" w:type="dxa"/>
          </w:tcPr>
          <w:p w14:paraId="43511BD0"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4</w:t>
            </w:r>
          </w:p>
        </w:tc>
        <w:tc>
          <w:tcPr>
            <w:tcW w:w="9400" w:type="dxa"/>
          </w:tcPr>
          <w:p w14:paraId="19A4DC7F"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Fortalecer la matriz de roles y perfiles de la Gerencia Contable, así como su divulgación.</w:t>
            </w:r>
          </w:p>
        </w:tc>
      </w:tr>
      <w:tr w:rsidR="00561B22" w:rsidRPr="00350AAF" w14:paraId="159603A4" w14:textId="77777777" w:rsidTr="00F1223B">
        <w:tc>
          <w:tcPr>
            <w:tcW w:w="562" w:type="dxa"/>
          </w:tcPr>
          <w:p w14:paraId="2A9D08F0" w14:textId="77777777" w:rsidR="00561B22" w:rsidRPr="00350AAF" w:rsidRDefault="00561B22" w:rsidP="00F1223B">
            <w:pPr>
              <w:jc w:val="center"/>
              <w:rPr>
                <w:rFonts w:ascii="Arial" w:hAnsi="Arial" w:cs="Arial"/>
                <w:b/>
                <w:sz w:val="22"/>
                <w:szCs w:val="22"/>
                <w:lang w:val="es-MX"/>
              </w:rPr>
            </w:pPr>
            <w:r w:rsidRPr="00350AAF">
              <w:rPr>
                <w:rFonts w:ascii="Arial" w:hAnsi="Arial" w:cs="Arial"/>
                <w:b/>
                <w:sz w:val="22"/>
                <w:szCs w:val="22"/>
                <w:lang w:val="es-MX"/>
              </w:rPr>
              <w:t>5</w:t>
            </w:r>
          </w:p>
        </w:tc>
        <w:tc>
          <w:tcPr>
            <w:tcW w:w="9400" w:type="dxa"/>
          </w:tcPr>
          <w:p w14:paraId="656CAF82" w14:textId="77777777" w:rsidR="00561B22" w:rsidRPr="00350AAF" w:rsidRDefault="00561B22" w:rsidP="00F1223B">
            <w:pPr>
              <w:jc w:val="both"/>
              <w:rPr>
                <w:rFonts w:ascii="Arial" w:hAnsi="Arial" w:cs="Arial"/>
                <w:b/>
                <w:sz w:val="22"/>
                <w:szCs w:val="22"/>
                <w:lang w:val="es-MX"/>
              </w:rPr>
            </w:pPr>
            <w:r w:rsidRPr="00350AAF">
              <w:rPr>
                <w:rFonts w:ascii="Arial" w:hAnsi="Arial" w:cs="Arial"/>
                <w:sz w:val="22"/>
                <w:szCs w:val="22"/>
              </w:rPr>
              <w:t>Formalizar controles de revisión para los comprobantes contables.</w:t>
            </w:r>
          </w:p>
        </w:tc>
      </w:tr>
    </w:tbl>
    <w:p w14:paraId="37167642" w14:textId="77777777" w:rsidR="00561B22" w:rsidRPr="00350AAF" w:rsidRDefault="00561B22" w:rsidP="00561B22">
      <w:pPr>
        <w:pStyle w:val="Textoindependiente"/>
        <w:ind w:right="-50"/>
        <w:jc w:val="both"/>
        <w:rPr>
          <w:rFonts w:ascii="Arial" w:hAnsi="Arial" w:cs="Arial"/>
          <w:b/>
          <w:bCs/>
          <w:sz w:val="28"/>
          <w:szCs w:val="28"/>
        </w:rPr>
      </w:pPr>
    </w:p>
    <w:p w14:paraId="73C386FC" w14:textId="77777777" w:rsidR="00561B22" w:rsidRPr="00350AAF" w:rsidRDefault="00561B22" w:rsidP="00561B22">
      <w:pPr>
        <w:jc w:val="both"/>
        <w:rPr>
          <w:rFonts w:ascii="Arial" w:hAnsi="Arial" w:cs="Arial"/>
          <w:b/>
          <w:bCs/>
          <w:sz w:val="24"/>
          <w:szCs w:val="24"/>
          <w:lang w:val="es-CO"/>
        </w:rPr>
      </w:pPr>
      <w:r w:rsidRPr="00350AAF">
        <w:rPr>
          <w:rFonts w:ascii="Arial" w:hAnsi="Arial" w:cs="Arial"/>
          <w:b/>
          <w:bCs/>
          <w:sz w:val="24"/>
          <w:szCs w:val="24"/>
          <w:lang w:val="es-CO"/>
        </w:rPr>
        <w:t xml:space="preserve">NOTA: LA ENTIDAD ENVIA LA MATRIZ DE AUTOEVALUACIÓN DEL SISTEMA DE CONTROL INTERNO CONTABLE CON </w:t>
      </w:r>
      <w:r w:rsidRPr="00350AAF">
        <w:rPr>
          <w:rFonts w:ascii="Arial" w:hAnsi="Arial" w:cs="Arial"/>
          <w:b/>
          <w:bCs/>
          <w:sz w:val="24"/>
          <w:szCs w:val="24"/>
          <w:u w:val="single"/>
          <w:lang w:val="es-CO"/>
        </w:rPr>
        <w:t>ACTIVIDADES DE CONTROL REALIZADAS EN FORMA PARCIAL</w:t>
      </w:r>
      <w:r w:rsidRPr="00350AAF">
        <w:rPr>
          <w:rFonts w:ascii="Arial" w:hAnsi="Arial" w:cs="Arial"/>
          <w:b/>
          <w:bCs/>
          <w:sz w:val="24"/>
          <w:szCs w:val="24"/>
          <w:lang w:val="es-CO"/>
        </w:rPr>
        <w:t>.</w:t>
      </w:r>
    </w:p>
    <w:p w14:paraId="2F1E568D" w14:textId="77777777" w:rsidR="00561B22" w:rsidRDefault="00561B22" w:rsidP="00561B22">
      <w:pPr>
        <w:pStyle w:val="Textoindependiente"/>
        <w:ind w:right="-50"/>
        <w:jc w:val="both"/>
        <w:rPr>
          <w:rFonts w:ascii="Arial" w:hAnsi="Arial" w:cs="Arial"/>
          <w:b/>
          <w:bCs/>
          <w:sz w:val="28"/>
          <w:szCs w:val="28"/>
        </w:rPr>
      </w:pPr>
    </w:p>
    <w:p w14:paraId="39EB335E" w14:textId="77777777" w:rsidR="00561B22" w:rsidRPr="00566EE7" w:rsidRDefault="00561B22" w:rsidP="00561B22">
      <w:pPr>
        <w:jc w:val="both"/>
        <w:rPr>
          <w:rFonts w:ascii="Arial" w:hAnsi="Arial" w:cs="Arial"/>
          <w:b/>
          <w:sz w:val="32"/>
          <w:szCs w:val="32"/>
        </w:rPr>
      </w:pPr>
      <w:r w:rsidRPr="00566EE7">
        <w:rPr>
          <w:rFonts w:ascii="Arial" w:hAnsi="Arial" w:cs="Arial"/>
          <w:b/>
          <w:sz w:val="28"/>
          <w:szCs w:val="28"/>
          <w:lang w:val="es-MX"/>
        </w:rPr>
        <w:t xml:space="preserve">237.- </w:t>
      </w:r>
      <w:r w:rsidRPr="00566EE7">
        <w:rPr>
          <w:rFonts w:ascii="Arial" w:hAnsi="Arial" w:cs="Arial"/>
          <w:b/>
          <w:sz w:val="28"/>
          <w:szCs w:val="28"/>
        </w:rPr>
        <w:t>FIDEICOMISO PROCOLOMBIA – FIDUCOLDEX S.A.</w:t>
      </w:r>
    </w:p>
    <w:p w14:paraId="0F1E7651" w14:textId="77777777" w:rsidR="00561B22" w:rsidRDefault="00561B22" w:rsidP="00561B22">
      <w:pPr>
        <w:pStyle w:val="Textoindependiente"/>
        <w:ind w:right="-50"/>
        <w:jc w:val="both"/>
        <w:rPr>
          <w:rFonts w:ascii="Arial" w:hAnsi="Arial" w:cs="Arial"/>
          <w:b/>
          <w:bCs/>
          <w:sz w:val="28"/>
          <w:szCs w:val="28"/>
        </w:rPr>
      </w:pPr>
    </w:p>
    <w:p w14:paraId="1EADBAC0" w14:textId="77777777" w:rsidR="00561B22" w:rsidRPr="00566EE7" w:rsidRDefault="00561B22" w:rsidP="00561B22">
      <w:pPr>
        <w:pStyle w:val="Textoindependiente"/>
        <w:ind w:right="-50"/>
        <w:jc w:val="center"/>
        <w:rPr>
          <w:rFonts w:ascii="Arial" w:hAnsi="Arial" w:cs="Arial"/>
          <w:b/>
          <w:bCs/>
        </w:rPr>
      </w:pPr>
      <w:r w:rsidRPr="00566EE7">
        <w:rPr>
          <w:rFonts w:ascii="Arial" w:hAnsi="Arial" w:cs="Arial"/>
          <w:b/>
          <w:bCs/>
        </w:rPr>
        <w:t>INFORME DE LA AUTOCALIFICACIÓN DEL SISTEMA DE CONTROL INTERNO CONTABLE:</w:t>
      </w:r>
    </w:p>
    <w:p w14:paraId="09E20982" w14:textId="77777777" w:rsidR="00561B22" w:rsidRPr="00566E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66EE7" w14:paraId="4D4F8F12" w14:textId="77777777" w:rsidTr="00F1223B">
        <w:tc>
          <w:tcPr>
            <w:tcW w:w="4981" w:type="dxa"/>
          </w:tcPr>
          <w:p w14:paraId="3F9364B8"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AUTOCALIFICACIÓN</w:t>
            </w:r>
          </w:p>
        </w:tc>
        <w:tc>
          <w:tcPr>
            <w:tcW w:w="4981" w:type="dxa"/>
          </w:tcPr>
          <w:p w14:paraId="148BABEE" w14:textId="77777777" w:rsidR="00561B22" w:rsidRPr="00566EE7" w:rsidRDefault="00561B22" w:rsidP="00F1223B">
            <w:pPr>
              <w:jc w:val="center"/>
              <w:rPr>
                <w:rFonts w:ascii="Arial" w:hAnsi="Arial" w:cs="Arial"/>
                <w:b/>
                <w:sz w:val="22"/>
                <w:szCs w:val="22"/>
                <w:u w:val="single"/>
                <w:lang w:val="es-MX"/>
              </w:rPr>
            </w:pPr>
            <w:r w:rsidRPr="00566EE7">
              <w:rPr>
                <w:rFonts w:ascii="Arial" w:hAnsi="Arial" w:cs="Arial"/>
                <w:b/>
                <w:sz w:val="22"/>
                <w:szCs w:val="22"/>
                <w:u w:val="single"/>
                <w:lang w:val="es-MX"/>
              </w:rPr>
              <w:t>?</w:t>
            </w:r>
          </w:p>
        </w:tc>
      </w:tr>
    </w:tbl>
    <w:p w14:paraId="00307591" w14:textId="77777777" w:rsidR="00561B22" w:rsidRPr="00566EE7" w:rsidRDefault="00561B22" w:rsidP="00561B22">
      <w:pPr>
        <w:pStyle w:val="Textoindependiente"/>
        <w:ind w:right="-50"/>
        <w:jc w:val="both"/>
        <w:rPr>
          <w:rFonts w:ascii="Arial" w:hAnsi="Arial" w:cs="Arial"/>
          <w:b/>
          <w:bCs/>
        </w:rPr>
      </w:pPr>
    </w:p>
    <w:p w14:paraId="5E1AEEDA" w14:textId="77777777" w:rsidR="00561B22" w:rsidRPr="00566EE7" w:rsidRDefault="00561B22" w:rsidP="00561B22">
      <w:pPr>
        <w:pStyle w:val="Textoindependiente"/>
        <w:ind w:right="-50"/>
        <w:jc w:val="both"/>
        <w:rPr>
          <w:rFonts w:ascii="Arial" w:hAnsi="Arial" w:cs="Arial"/>
        </w:rPr>
      </w:pPr>
      <w:r w:rsidRPr="00566EE7">
        <w:rPr>
          <w:rFonts w:ascii="Arial" w:hAnsi="Arial" w:cs="Arial"/>
          <w:b/>
          <w:bCs/>
        </w:rPr>
        <w:t xml:space="preserve">NOTA: </w:t>
      </w:r>
      <w:r w:rsidRPr="00566EE7">
        <w:rPr>
          <w:rFonts w:ascii="Arial" w:hAnsi="Arial" w:cs="Arial"/>
        </w:rPr>
        <w:t>La entidad no informa la calificación obtenida en la autoevaluación del Sistema de Control Interno Contable.</w:t>
      </w:r>
    </w:p>
    <w:p w14:paraId="4A49FD5C" w14:textId="77777777" w:rsidR="00561B22" w:rsidRPr="00566EE7" w:rsidRDefault="00561B22" w:rsidP="00561B22">
      <w:pPr>
        <w:pStyle w:val="Textoindependiente"/>
        <w:ind w:right="-50"/>
        <w:jc w:val="both"/>
        <w:rPr>
          <w:rFonts w:ascii="Arial" w:hAnsi="Arial" w:cs="Arial"/>
        </w:rPr>
      </w:pPr>
    </w:p>
    <w:p w14:paraId="13898452" w14:textId="77777777" w:rsidR="00561B22" w:rsidRPr="00566EE7" w:rsidRDefault="00561B22" w:rsidP="00561B22">
      <w:pPr>
        <w:pStyle w:val="Textoindependiente"/>
        <w:ind w:right="-50"/>
        <w:jc w:val="both"/>
        <w:rPr>
          <w:rFonts w:ascii="Arial" w:hAnsi="Arial" w:cs="Arial"/>
          <w:b/>
          <w:bCs/>
        </w:rPr>
      </w:pPr>
      <w:r w:rsidRPr="00566EE7">
        <w:rPr>
          <w:rFonts w:ascii="Arial" w:hAnsi="Arial" w:cs="Arial"/>
          <w:b/>
          <w:bCs/>
        </w:rPr>
        <w:t>Del informe enviado retomamos lo siguiente:</w:t>
      </w:r>
    </w:p>
    <w:p w14:paraId="1DA605B9" w14:textId="77777777" w:rsidR="00561B22" w:rsidRPr="00566E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66EE7" w14:paraId="54E64EF3" w14:textId="77777777" w:rsidTr="00F1223B">
        <w:tc>
          <w:tcPr>
            <w:tcW w:w="562" w:type="dxa"/>
          </w:tcPr>
          <w:p w14:paraId="05364C13" w14:textId="77777777" w:rsidR="00561B22" w:rsidRPr="00566EE7" w:rsidRDefault="00561B22" w:rsidP="00F1223B">
            <w:pPr>
              <w:ind w:right="-109"/>
              <w:jc w:val="center"/>
              <w:rPr>
                <w:rFonts w:ascii="Arial" w:hAnsi="Arial" w:cs="Arial"/>
                <w:b/>
                <w:sz w:val="22"/>
                <w:szCs w:val="22"/>
                <w:lang w:val="es-MX"/>
              </w:rPr>
            </w:pPr>
            <w:r w:rsidRPr="00566EE7">
              <w:rPr>
                <w:rFonts w:ascii="Arial" w:hAnsi="Arial" w:cs="Arial"/>
                <w:b/>
                <w:sz w:val="22"/>
                <w:szCs w:val="22"/>
                <w:lang w:val="es-MX"/>
              </w:rPr>
              <w:t>N°</w:t>
            </w:r>
          </w:p>
        </w:tc>
        <w:tc>
          <w:tcPr>
            <w:tcW w:w="9400" w:type="dxa"/>
          </w:tcPr>
          <w:p w14:paraId="0F111B6B"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DEBILIDADES</w:t>
            </w:r>
          </w:p>
          <w:p w14:paraId="1E559949" w14:textId="77777777" w:rsidR="00561B22" w:rsidRPr="00566EE7" w:rsidRDefault="00561B22" w:rsidP="00F1223B">
            <w:pPr>
              <w:jc w:val="center"/>
              <w:rPr>
                <w:rFonts w:ascii="Arial" w:hAnsi="Arial" w:cs="Arial"/>
                <w:b/>
                <w:sz w:val="22"/>
                <w:szCs w:val="22"/>
                <w:lang w:val="es-MX"/>
              </w:rPr>
            </w:pPr>
          </w:p>
        </w:tc>
      </w:tr>
      <w:tr w:rsidR="00561B22" w:rsidRPr="00566EE7" w14:paraId="0FB85BFF" w14:textId="77777777" w:rsidTr="00F1223B">
        <w:tc>
          <w:tcPr>
            <w:tcW w:w="562" w:type="dxa"/>
          </w:tcPr>
          <w:p w14:paraId="226F9A6B"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lastRenderedPageBreak/>
              <w:t>1</w:t>
            </w:r>
          </w:p>
        </w:tc>
        <w:tc>
          <w:tcPr>
            <w:tcW w:w="9400" w:type="dxa"/>
          </w:tcPr>
          <w:p w14:paraId="2E83C20E"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Se observaron situaciones objeto de recomendación relacionadas con, formalización de políticas contables aplicables al Patrimonio Autónomo, dentro del sistema de gestión de calidad de la Fiduciaria. </w:t>
            </w:r>
          </w:p>
        </w:tc>
      </w:tr>
      <w:tr w:rsidR="00561B22" w:rsidRPr="00566EE7" w14:paraId="33D8B668" w14:textId="77777777" w:rsidTr="00F1223B">
        <w:tc>
          <w:tcPr>
            <w:tcW w:w="562" w:type="dxa"/>
          </w:tcPr>
          <w:p w14:paraId="2EADEF00"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2</w:t>
            </w:r>
          </w:p>
        </w:tc>
        <w:tc>
          <w:tcPr>
            <w:tcW w:w="9400" w:type="dxa"/>
          </w:tcPr>
          <w:p w14:paraId="61B690AA"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Planes de capacitación para toda la Gerencia de Contabilidad. </w:t>
            </w:r>
          </w:p>
        </w:tc>
      </w:tr>
      <w:tr w:rsidR="00561B22" w:rsidRPr="00566EE7" w14:paraId="5825987B" w14:textId="77777777" w:rsidTr="00F1223B">
        <w:tc>
          <w:tcPr>
            <w:tcW w:w="562" w:type="dxa"/>
          </w:tcPr>
          <w:p w14:paraId="1BDA75CC"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3</w:t>
            </w:r>
          </w:p>
        </w:tc>
        <w:tc>
          <w:tcPr>
            <w:tcW w:w="9400" w:type="dxa"/>
          </w:tcPr>
          <w:p w14:paraId="26E5C790"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Los instructivos de las actividades relacionadas con las interfaces del aplicativo CORE SISA y de los diferentes módulos satélites. </w:t>
            </w:r>
          </w:p>
        </w:tc>
      </w:tr>
      <w:tr w:rsidR="00561B22" w:rsidRPr="00566EE7" w14:paraId="58BCB8F4" w14:textId="77777777" w:rsidTr="00F1223B">
        <w:tc>
          <w:tcPr>
            <w:tcW w:w="562" w:type="dxa"/>
          </w:tcPr>
          <w:p w14:paraId="3557973A"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4</w:t>
            </w:r>
          </w:p>
        </w:tc>
        <w:tc>
          <w:tcPr>
            <w:tcW w:w="9400" w:type="dxa"/>
          </w:tcPr>
          <w:p w14:paraId="7C515F2A"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La matriz de roles y perfiles de la Gerencia Contable. </w:t>
            </w:r>
          </w:p>
        </w:tc>
      </w:tr>
      <w:tr w:rsidR="00561B22" w:rsidRPr="00566EE7" w14:paraId="13DD89B7" w14:textId="77777777" w:rsidTr="00F1223B">
        <w:tc>
          <w:tcPr>
            <w:tcW w:w="562" w:type="dxa"/>
          </w:tcPr>
          <w:p w14:paraId="5B105BA7"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5</w:t>
            </w:r>
          </w:p>
        </w:tc>
        <w:tc>
          <w:tcPr>
            <w:tcW w:w="9400" w:type="dxa"/>
          </w:tcPr>
          <w:p w14:paraId="1D990EE8" w14:textId="77777777" w:rsidR="00561B22" w:rsidRPr="00566EE7" w:rsidRDefault="00561B22" w:rsidP="00F1223B">
            <w:pPr>
              <w:jc w:val="both"/>
              <w:rPr>
                <w:rFonts w:ascii="Arial" w:hAnsi="Arial" w:cs="Arial"/>
                <w:sz w:val="22"/>
                <w:szCs w:val="22"/>
              </w:rPr>
            </w:pPr>
            <w:r w:rsidRPr="00566EE7">
              <w:rPr>
                <w:rFonts w:ascii="Arial" w:hAnsi="Arial" w:cs="Arial"/>
                <w:sz w:val="22"/>
                <w:szCs w:val="22"/>
              </w:rPr>
              <w:t xml:space="preserve">Controles de revisión para los comprobantes contables. </w:t>
            </w:r>
          </w:p>
        </w:tc>
      </w:tr>
      <w:tr w:rsidR="00561B22" w:rsidRPr="00566EE7" w14:paraId="0D0DA571" w14:textId="77777777" w:rsidTr="00F1223B">
        <w:tc>
          <w:tcPr>
            <w:tcW w:w="562" w:type="dxa"/>
          </w:tcPr>
          <w:p w14:paraId="34F8E422"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6</w:t>
            </w:r>
          </w:p>
        </w:tc>
        <w:tc>
          <w:tcPr>
            <w:tcW w:w="9400" w:type="dxa"/>
          </w:tcPr>
          <w:p w14:paraId="4B54BE19" w14:textId="77777777" w:rsidR="00561B22" w:rsidRPr="00566EE7" w:rsidRDefault="00561B22" w:rsidP="00F1223B">
            <w:pPr>
              <w:jc w:val="both"/>
              <w:rPr>
                <w:rFonts w:ascii="Arial" w:hAnsi="Arial" w:cs="Arial"/>
                <w:sz w:val="22"/>
                <w:szCs w:val="22"/>
              </w:rPr>
            </w:pPr>
            <w:r w:rsidRPr="00566EE7">
              <w:rPr>
                <w:rFonts w:ascii="Arial" w:hAnsi="Arial" w:cs="Arial"/>
                <w:sz w:val="22"/>
                <w:szCs w:val="22"/>
              </w:rPr>
              <w:t>Nota. El detalle de las observaciones y recomendaciones será divulgado al interior de la Fiduciaria de acuerdo con los lineamientos emitidos por la Gerencia de Auditoría y a los planes de acción que se definan para su remedición se les efectuará seguimiento de acuerdo con los Procedimiento de Plan de Acción PRGPR00 y de Seguimiento de Planes de Acción PRACO005.</w:t>
            </w:r>
          </w:p>
        </w:tc>
      </w:tr>
    </w:tbl>
    <w:p w14:paraId="5F90AA27" w14:textId="77777777" w:rsidR="00561B22" w:rsidRPr="00566EE7" w:rsidRDefault="00561B22" w:rsidP="00561B22">
      <w:pPr>
        <w:pStyle w:val="Textoindependiente"/>
        <w:ind w:right="-50"/>
        <w:jc w:val="both"/>
        <w:rPr>
          <w:rFonts w:ascii="Arial" w:hAnsi="Arial" w:cs="Arial"/>
          <w:b/>
          <w:bCs/>
        </w:rPr>
      </w:pPr>
    </w:p>
    <w:p w14:paraId="4BDC8CA8" w14:textId="77777777" w:rsidR="00561B22" w:rsidRPr="00566EE7" w:rsidRDefault="00561B22" w:rsidP="00561B22">
      <w:pPr>
        <w:jc w:val="both"/>
        <w:rPr>
          <w:rFonts w:ascii="Arial" w:hAnsi="Arial" w:cs="Arial"/>
          <w:b/>
          <w:lang w:val="es-MX"/>
        </w:rPr>
      </w:pPr>
      <w:r w:rsidRPr="00566EE7">
        <w:rPr>
          <w:rFonts w:ascii="Arial" w:hAnsi="Arial" w:cs="Arial"/>
          <w:b/>
          <w:lang w:val="es-MX"/>
        </w:rPr>
        <w:t>Del citado informe retomamos las siguientes recomendaciones:</w:t>
      </w:r>
    </w:p>
    <w:p w14:paraId="670CF7D9" w14:textId="77777777" w:rsidR="00561B22" w:rsidRPr="00566EE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66EE7" w14:paraId="646FAF05" w14:textId="77777777" w:rsidTr="00F1223B">
        <w:tc>
          <w:tcPr>
            <w:tcW w:w="562" w:type="dxa"/>
          </w:tcPr>
          <w:p w14:paraId="778D3278" w14:textId="77777777" w:rsidR="00561B22" w:rsidRPr="00566EE7" w:rsidRDefault="00561B22" w:rsidP="00F1223B">
            <w:pPr>
              <w:ind w:right="-109"/>
              <w:jc w:val="center"/>
              <w:rPr>
                <w:rFonts w:ascii="Arial" w:hAnsi="Arial" w:cs="Arial"/>
                <w:b/>
                <w:sz w:val="22"/>
                <w:szCs w:val="22"/>
                <w:lang w:val="es-MX"/>
              </w:rPr>
            </w:pPr>
            <w:r w:rsidRPr="00566EE7">
              <w:rPr>
                <w:rFonts w:ascii="Arial" w:hAnsi="Arial" w:cs="Arial"/>
                <w:b/>
                <w:sz w:val="22"/>
                <w:szCs w:val="22"/>
                <w:lang w:val="es-MX"/>
              </w:rPr>
              <w:t>N°</w:t>
            </w:r>
          </w:p>
        </w:tc>
        <w:tc>
          <w:tcPr>
            <w:tcW w:w="9400" w:type="dxa"/>
          </w:tcPr>
          <w:p w14:paraId="7ED62259"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RECOMENDACIONES</w:t>
            </w:r>
          </w:p>
          <w:p w14:paraId="77F09ACD" w14:textId="77777777" w:rsidR="00561B22" w:rsidRPr="00566EE7" w:rsidRDefault="00561B22" w:rsidP="00F1223B">
            <w:pPr>
              <w:jc w:val="center"/>
              <w:rPr>
                <w:rFonts w:ascii="Arial" w:hAnsi="Arial" w:cs="Arial"/>
                <w:b/>
                <w:sz w:val="22"/>
                <w:szCs w:val="22"/>
                <w:lang w:val="es-MX"/>
              </w:rPr>
            </w:pPr>
          </w:p>
        </w:tc>
      </w:tr>
      <w:tr w:rsidR="00561B22" w:rsidRPr="00566EE7" w14:paraId="7FDA4EA0" w14:textId="77777777" w:rsidTr="00F1223B">
        <w:tc>
          <w:tcPr>
            <w:tcW w:w="562" w:type="dxa"/>
          </w:tcPr>
          <w:p w14:paraId="2B9A3918"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1</w:t>
            </w:r>
          </w:p>
        </w:tc>
        <w:tc>
          <w:tcPr>
            <w:tcW w:w="9400" w:type="dxa"/>
          </w:tcPr>
          <w:p w14:paraId="568D253C" w14:textId="77777777" w:rsidR="00561B22" w:rsidRPr="00566EE7" w:rsidRDefault="00561B22" w:rsidP="00F1223B">
            <w:pPr>
              <w:jc w:val="both"/>
              <w:rPr>
                <w:rFonts w:ascii="Arial" w:hAnsi="Arial" w:cs="Arial"/>
                <w:b/>
                <w:sz w:val="22"/>
                <w:szCs w:val="22"/>
                <w:lang w:val="es-CO"/>
              </w:rPr>
            </w:pPr>
            <w:r w:rsidRPr="00566EE7">
              <w:rPr>
                <w:rFonts w:ascii="Arial" w:hAnsi="Arial" w:cs="Arial"/>
                <w:sz w:val="22"/>
                <w:szCs w:val="22"/>
              </w:rPr>
              <w:t xml:space="preserve">Formalizar Planes de Capacitación para toda la Gerencia de Contabilidad, teniendo en cuenta los procesos de actualización documental que se desarrollaron durante el 2024. </w:t>
            </w:r>
          </w:p>
        </w:tc>
      </w:tr>
      <w:tr w:rsidR="00561B22" w:rsidRPr="00566EE7" w14:paraId="6867CED2" w14:textId="77777777" w:rsidTr="00F1223B">
        <w:tc>
          <w:tcPr>
            <w:tcW w:w="562" w:type="dxa"/>
          </w:tcPr>
          <w:p w14:paraId="75075C8A"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2</w:t>
            </w:r>
          </w:p>
        </w:tc>
        <w:tc>
          <w:tcPr>
            <w:tcW w:w="9400" w:type="dxa"/>
          </w:tcPr>
          <w:p w14:paraId="36760342"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Formalización de las políticas contables en el Sistema de Gestión de Calidad. </w:t>
            </w:r>
          </w:p>
        </w:tc>
      </w:tr>
      <w:tr w:rsidR="00561B22" w:rsidRPr="00566EE7" w14:paraId="2AE19B8A" w14:textId="77777777" w:rsidTr="00F1223B">
        <w:tc>
          <w:tcPr>
            <w:tcW w:w="562" w:type="dxa"/>
          </w:tcPr>
          <w:p w14:paraId="717631F1"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3</w:t>
            </w:r>
          </w:p>
        </w:tc>
        <w:tc>
          <w:tcPr>
            <w:tcW w:w="9400" w:type="dxa"/>
          </w:tcPr>
          <w:p w14:paraId="5E66DAB8"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Fortalecer la documentación de los instructivos de las actividades relacionadas con las interfaces del aplicativo CORE SISA y de los diferentes módulos satélites. </w:t>
            </w:r>
          </w:p>
        </w:tc>
      </w:tr>
      <w:tr w:rsidR="00561B22" w:rsidRPr="00566EE7" w14:paraId="6445E480" w14:textId="77777777" w:rsidTr="00F1223B">
        <w:tc>
          <w:tcPr>
            <w:tcW w:w="562" w:type="dxa"/>
          </w:tcPr>
          <w:p w14:paraId="2C18B6AE"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4</w:t>
            </w:r>
          </w:p>
        </w:tc>
        <w:tc>
          <w:tcPr>
            <w:tcW w:w="9400" w:type="dxa"/>
          </w:tcPr>
          <w:p w14:paraId="4B24F7DE" w14:textId="77777777" w:rsidR="00561B22" w:rsidRPr="00566EE7" w:rsidRDefault="00561B22" w:rsidP="00F1223B">
            <w:pPr>
              <w:jc w:val="both"/>
              <w:rPr>
                <w:rFonts w:ascii="Arial" w:hAnsi="Arial" w:cs="Arial"/>
                <w:b/>
                <w:sz w:val="22"/>
                <w:szCs w:val="22"/>
                <w:lang w:val="es-MX"/>
              </w:rPr>
            </w:pPr>
            <w:r w:rsidRPr="00566EE7">
              <w:rPr>
                <w:rFonts w:ascii="Arial" w:hAnsi="Arial" w:cs="Arial"/>
                <w:sz w:val="22"/>
                <w:szCs w:val="22"/>
              </w:rPr>
              <w:t xml:space="preserve">Fortalecer la matriz de roles y perfiles de la Gerencia Contable, así como su divulgación. </w:t>
            </w:r>
          </w:p>
        </w:tc>
      </w:tr>
      <w:tr w:rsidR="00561B22" w:rsidRPr="00566EE7" w14:paraId="604D30D9" w14:textId="77777777" w:rsidTr="00F1223B">
        <w:tc>
          <w:tcPr>
            <w:tcW w:w="562" w:type="dxa"/>
          </w:tcPr>
          <w:p w14:paraId="685BEF12" w14:textId="77777777" w:rsidR="00561B22" w:rsidRPr="00566EE7" w:rsidRDefault="00561B22" w:rsidP="00F1223B">
            <w:pPr>
              <w:jc w:val="center"/>
              <w:rPr>
                <w:rFonts w:ascii="Arial" w:hAnsi="Arial" w:cs="Arial"/>
                <w:b/>
                <w:sz w:val="22"/>
                <w:szCs w:val="22"/>
                <w:lang w:val="es-MX"/>
              </w:rPr>
            </w:pPr>
            <w:r w:rsidRPr="00566EE7">
              <w:rPr>
                <w:rFonts w:ascii="Arial" w:hAnsi="Arial" w:cs="Arial"/>
                <w:b/>
                <w:sz w:val="22"/>
                <w:szCs w:val="22"/>
                <w:lang w:val="es-MX"/>
              </w:rPr>
              <w:t>5</w:t>
            </w:r>
          </w:p>
        </w:tc>
        <w:tc>
          <w:tcPr>
            <w:tcW w:w="9400" w:type="dxa"/>
          </w:tcPr>
          <w:p w14:paraId="29EF66F3" w14:textId="77777777" w:rsidR="00561B22" w:rsidRPr="00566EE7" w:rsidRDefault="00561B22" w:rsidP="00F1223B">
            <w:pPr>
              <w:jc w:val="both"/>
              <w:rPr>
                <w:rFonts w:ascii="Arial" w:hAnsi="Arial" w:cs="Arial"/>
                <w:sz w:val="22"/>
                <w:szCs w:val="22"/>
              </w:rPr>
            </w:pPr>
            <w:r w:rsidRPr="00566EE7">
              <w:rPr>
                <w:rFonts w:ascii="Arial" w:hAnsi="Arial" w:cs="Arial"/>
                <w:sz w:val="22"/>
                <w:szCs w:val="22"/>
              </w:rPr>
              <w:t>Formalizar controles de revisión para los comprobantes contables.</w:t>
            </w:r>
          </w:p>
        </w:tc>
      </w:tr>
    </w:tbl>
    <w:p w14:paraId="0C57D3FF" w14:textId="77777777" w:rsidR="00561B22" w:rsidRPr="00566EE7" w:rsidRDefault="00561B22" w:rsidP="00561B22">
      <w:pPr>
        <w:pStyle w:val="Textoindependiente"/>
        <w:ind w:right="-50"/>
        <w:jc w:val="both"/>
        <w:rPr>
          <w:rFonts w:ascii="Arial" w:hAnsi="Arial" w:cs="Arial"/>
          <w:b/>
          <w:bCs/>
          <w:sz w:val="28"/>
          <w:szCs w:val="28"/>
        </w:rPr>
      </w:pPr>
    </w:p>
    <w:p w14:paraId="206C84FA" w14:textId="77777777" w:rsidR="00561B22" w:rsidRPr="00566EE7" w:rsidRDefault="00561B22" w:rsidP="00561B22">
      <w:pPr>
        <w:jc w:val="both"/>
        <w:rPr>
          <w:rFonts w:ascii="Arial" w:hAnsi="Arial" w:cs="Arial"/>
          <w:b/>
          <w:bCs/>
          <w:sz w:val="24"/>
          <w:szCs w:val="24"/>
          <w:lang w:val="es-CO"/>
        </w:rPr>
      </w:pPr>
      <w:r w:rsidRPr="00566EE7">
        <w:rPr>
          <w:rFonts w:ascii="Arial" w:hAnsi="Arial" w:cs="Arial"/>
          <w:b/>
          <w:bCs/>
          <w:sz w:val="24"/>
          <w:szCs w:val="24"/>
          <w:lang w:val="es-CO"/>
        </w:rPr>
        <w:t xml:space="preserve">NOTA: LA ENTIDAD ENVIA LA MATRIZ DE AUTOEVALUACIÓN DEL SISTEMA DE CONTROL INTERNO CONTABLE CON </w:t>
      </w:r>
      <w:r w:rsidRPr="00566EE7">
        <w:rPr>
          <w:rFonts w:ascii="Arial" w:hAnsi="Arial" w:cs="Arial"/>
          <w:b/>
          <w:bCs/>
          <w:sz w:val="24"/>
          <w:szCs w:val="24"/>
          <w:u w:val="single"/>
          <w:lang w:val="es-CO"/>
        </w:rPr>
        <w:t>ACTIVIDADES DE CONTROL REALIZADAS EN FORMA PARCIAL</w:t>
      </w:r>
      <w:r w:rsidRPr="00566EE7">
        <w:rPr>
          <w:rFonts w:ascii="Arial" w:hAnsi="Arial" w:cs="Arial"/>
          <w:b/>
          <w:bCs/>
          <w:sz w:val="24"/>
          <w:szCs w:val="24"/>
          <w:lang w:val="es-CO"/>
        </w:rPr>
        <w:t>.</w:t>
      </w:r>
    </w:p>
    <w:p w14:paraId="7E362C28" w14:textId="77777777" w:rsidR="00561B22" w:rsidRPr="00566EE7" w:rsidRDefault="00561B22" w:rsidP="00561B22">
      <w:pPr>
        <w:pStyle w:val="Textoindependiente"/>
        <w:ind w:right="-50"/>
        <w:jc w:val="both"/>
        <w:rPr>
          <w:rFonts w:ascii="Arial" w:hAnsi="Arial" w:cs="Arial"/>
          <w:b/>
          <w:bCs/>
          <w:sz w:val="28"/>
          <w:szCs w:val="28"/>
        </w:rPr>
      </w:pPr>
    </w:p>
    <w:p w14:paraId="7F48E35A" w14:textId="77777777" w:rsidR="00561B22" w:rsidRDefault="00561B22" w:rsidP="00561B22">
      <w:pPr>
        <w:ind w:right="-142"/>
        <w:jc w:val="both"/>
        <w:rPr>
          <w:rFonts w:ascii="Arial" w:hAnsi="Arial" w:cs="Arial"/>
          <w:sz w:val="17"/>
        </w:rPr>
      </w:pPr>
      <w:r w:rsidRPr="00A1239D">
        <w:rPr>
          <w:rFonts w:ascii="Arial" w:hAnsi="Arial" w:cs="Arial"/>
          <w:b/>
          <w:sz w:val="28"/>
          <w:szCs w:val="28"/>
          <w:lang w:val="es-MX"/>
        </w:rPr>
        <w:t>238.- P</w:t>
      </w:r>
      <w:r w:rsidRPr="00A1239D">
        <w:rPr>
          <w:rFonts w:ascii="Arial" w:hAnsi="Arial" w:cs="Arial"/>
          <w:b/>
          <w:sz w:val="28"/>
          <w:szCs w:val="28"/>
        </w:rPr>
        <w:t>ATRIMONIO AUTÓNOMO FONDO MUJER LIBRE Y PRODUCTIVA – FIDUCOLDEX S.A.</w:t>
      </w:r>
    </w:p>
    <w:p w14:paraId="2A46F865" w14:textId="77777777" w:rsidR="00561B22" w:rsidRPr="00566EE7" w:rsidRDefault="00561B22" w:rsidP="00561B22">
      <w:pPr>
        <w:pStyle w:val="Textoindependiente"/>
        <w:tabs>
          <w:tab w:val="left" w:pos="2055"/>
        </w:tabs>
        <w:spacing w:before="5"/>
        <w:rPr>
          <w:rFonts w:ascii="Arial" w:hAnsi="Arial" w:cs="Arial"/>
          <w:sz w:val="17"/>
        </w:rPr>
      </w:pPr>
    </w:p>
    <w:p w14:paraId="7FB4088A" w14:textId="77777777" w:rsidR="00561B22" w:rsidRPr="00EE43B4" w:rsidRDefault="00561B22" w:rsidP="00561B22">
      <w:pPr>
        <w:pStyle w:val="Textoindependiente"/>
        <w:ind w:right="-50"/>
        <w:jc w:val="both"/>
        <w:rPr>
          <w:rFonts w:ascii="Arial" w:hAnsi="Arial" w:cs="Arial"/>
          <w:b/>
          <w:bCs/>
        </w:rPr>
      </w:pPr>
      <w:r w:rsidRPr="00EE43B4">
        <w:rPr>
          <w:rFonts w:ascii="Arial" w:hAnsi="Arial" w:cs="Arial"/>
          <w:b/>
          <w:bCs/>
        </w:rPr>
        <w:t>INFORME DE LA AUTOCALIFICACIÓN DEL SISTEMA DE CONTROL INTERNO CONTABLE:</w:t>
      </w:r>
    </w:p>
    <w:p w14:paraId="38B88BC5" w14:textId="77777777" w:rsidR="00561B22" w:rsidRPr="00EE43B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E43B4" w14:paraId="23A20279" w14:textId="77777777" w:rsidTr="00F1223B">
        <w:tc>
          <w:tcPr>
            <w:tcW w:w="4981" w:type="dxa"/>
          </w:tcPr>
          <w:p w14:paraId="1AD6E54D"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AUTOCALIFICACIÓN</w:t>
            </w:r>
          </w:p>
        </w:tc>
        <w:tc>
          <w:tcPr>
            <w:tcW w:w="4981" w:type="dxa"/>
          </w:tcPr>
          <w:p w14:paraId="4127818E" w14:textId="77777777" w:rsidR="00561B22" w:rsidRPr="00EE43B4" w:rsidRDefault="00561B22" w:rsidP="00F1223B">
            <w:pPr>
              <w:jc w:val="center"/>
              <w:rPr>
                <w:rFonts w:ascii="Arial" w:hAnsi="Arial" w:cs="Arial"/>
                <w:b/>
                <w:sz w:val="22"/>
                <w:szCs w:val="22"/>
                <w:u w:val="single"/>
                <w:lang w:val="es-MX"/>
              </w:rPr>
            </w:pPr>
            <w:r w:rsidRPr="00EE43B4">
              <w:rPr>
                <w:rFonts w:ascii="Arial" w:hAnsi="Arial" w:cs="Arial"/>
                <w:b/>
                <w:sz w:val="22"/>
                <w:szCs w:val="22"/>
                <w:u w:val="single"/>
                <w:lang w:val="es-MX"/>
              </w:rPr>
              <w:t>?</w:t>
            </w:r>
          </w:p>
        </w:tc>
      </w:tr>
    </w:tbl>
    <w:p w14:paraId="1945A64A" w14:textId="77777777" w:rsidR="00561B22" w:rsidRPr="00EE43B4" w:rsidRDefault="00561B22" w:rsidP="00561B22">
      <w:pPr>
        <w:pStyle w:val="Textoindependiente"/>
        <w:ind w:right="-50"/>
        <w:jc w:val="both"/>
        <w:rPr>
          <w:rFonts w:ascii="Arial" w:hAnsi="Arial" w:cs="Arial"/>
          <w:b/>
          <w:bCs/>
        </w:rPr>
      </w:pPr>
    </w:p>
    <w:p w14:paraId="20091F8E" w14:textId="77777777" w:rsidR="00561B22" w:rsidRPr="00EE43B4" w:rsidRDefault="00561B22" w:rsidP="00561B22">
      <w:pPr>
        <w:pStyle w:val="Textoindependiente"/>
        <w:ind w:right="-50"/>
        <w:jc w:val="both"/>
        <w:rPr>
          <w:rFonts w:ascii="Arial" w:hAnsi="Arial" w:cs="Arial"/>
        </w:rPr>
      </w:pPr>
      <w:r w:rsidRPr="00EE43B4">
        <w:rPr>
          <w:rFonts w:ascii="Arial" w:hAnsi="Arial" w:cs="Arial"/>
          <w:b/>
          <w:bCs/>
        </w:rPr>
        <w:t xml:space="preserve">NOTA: </w:t>
      </w:r>
      <w:r w:rsidRPr="00EE43B4">
        <w:rPr>
          <w:rFonts w:ascii="Arial" w:hAnsi="Arial" w:cs="Arial"/>
        </w:rPr>
        <w:t>La entidad no informa la calificación obtenida en la autoevaluación del Sistema de Control Interno Contable.</w:t>
      </w:r>
    </w:p>
    <w:p w14:paraId="190C46AE" w14:textId="77777777" w:rsidR="00561B22" w:rsidRPr="00EE43B4" w:rsidRDefault="00561B22" w:rsidP="00561B22">
      <w:pPr>
        <w:pStyle w:val="Textoindependiente"/>
        <w:ind w:right="-50"/>
        <w:jc w:val="both"/>
        <w:rPr>
          <w:rFonts w:ascii="Arial" w:hAnsi="Arial" w:cs="Arial"/>
          <w:b/>
          <w:bCs/>
        </w:rPr>
      </w:pPr>
      <w:r w:rsidRPr="00EE43B4">
        <w:rPr>
          <w:rFonts w:ascii="Arial" w:hAnsi="Arial" w:cs="Arial"/>
          <w:b/>
          <w:bCs/>
        </w:rPr>
        <w:t>Del informe enviado retomamos lo siguiente:</w:t>
      </w:r>
    </w:p>
    <w:p w14:paraId="07004E9E" w14:textId="77777777" w:rsidR="00561B22" w:rsidRPr="00EE43B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E43B4" w14:paraId="5015380F" w14:textId="77777777" w:rsidTr="00F1223B">
        <w:tc>
          <w:tcPr>
            <w:tcW w:w="562" w:type="dxa"/>
          </w:tcPr>
          <w:p w14:paraId="31D4A8DD" w14:textId="77777777" w:rsidR="00561B22" w:rsidRPr="00EE43B4" w:rsidRDefault="00561B22" w:rsidP="00F1223B">
            <w:pPr>
              <w:ind w:right="-109"/>
              <w:jc w:val="center"/>
              <w:rPr>
                <w:rFonts w:ascii="Arial" w:hAnsi="Arial" w:cs="Arial"/>
                <w:b/>
                <w:sz w:val="22"/>
                <w:szCs w:val="22"/>
                <w:lang w:val="es-MX"/>
              </w:rPr>
            </w:pPr>
            <w:r w:rsidRPr="00EE43B4">
              <w:rPr>
                <w:rFonts w:ascii="Arial" w:hAnsi="Arial" w:cs="Arial"/>
                <w:b/>
                <w:sz w:val="22"/>
                <w:szCs w:val="22"/>
                <w:lang w:val="es-MX"/>
              </w:rPr>
              <w:t>N°</w:t>
            </w:r>
          </w:p>
        </w:tc>
        <w:tc>
          <w:tcPr>
            <w:tcW w:w="9400" w:type="dxa"/>
          </w:tcPr>
          <w:p w14:paraId="465EF93B"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DEBILIDADES</w:t>
            </w:r>
          </w:p>
          <w:p w14:paraId="448C2932" w14:textId="77777777" w:rsidR="00561B22" w:rsidRPr="00EE43B4" w:rsidRDefault="00561B22" w:rsidP="00F1223B">
            <w:pPr>
              <w:jc w:val="center"/>
              <w:rPr>
                <w:rFonts w:ascii="Arial" w:hAnsi="Arial" w:cs="Arial"/>
                <w:b/>
                <w:sz w:val="22"/>
                <w:szCs w:val="22"/>
                <w:lang w:val="es-MX"/>
              </w:rPr>
            </w:pPr>
          </w:p>
        </w:tc>
      </w:tr>
      <w:tr w:rsidR="00561B22" w:rsidRPr="00EE43B4" w14:paraId="7866873C" w14:textId="77777777" w:rsidTr="00F1223B">
        <w:tc>
          <w:tcPr>
            <w:tcW w:w="562" w:type="dxa"/>
          </w:tcPr>
          <w:p w14:paraId="59146992"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1</w:t>
            </w:r>
          </w:p>
        </w:tc>
        <w:tc>
          <w:tcPr>
            <w:tcW w:w="9400" w:type="dxa"/>
          </w:tcPr>
          <w:p w14:paraId="7F22E2DF" w14:textId="77777777" w:rsidR="00561B22" w:rsidRPr="00EE43B4" w:rsidRDefault="00561B22" w:rsidP="00F1223B">
            <w:pPr>
              <w:jc w:val="both"/>
              <w:rPr>
                <w:rFonts w:ascii="Arial" w:hAnsi="Arial" w:cs="Arial"/>
                <w:sz w:val="22"/>
                <w:szCs w:val="22"/>
              </w:rPr>
            </w:pPr>
            <w:r w:rsidRPr="00EE43B4">
              <w:rPr>
                <w:rFonts w:ascii="Arial" w:hAnsi="Arial" w:cs="Arial"/>
                <w:sz w:val="22"/>
                <w:szCs w:val="22"/>
              </w:rPr>
              <w:t>Se observaron situaciones objeto de recomendación relacionadas con:</w:t>
            </w:r>
            <w:r w:rsidRPr="00EE43B4">
              <w:rPr>
                <w:rFonts w:ascii="Arial" w:hAnsi="Arial" w:cs="Arial"/>
                <w:sz w:val="22"/>
                <w:szCs w:val="22"/>
              </w:rPr>
              <w:br/>
              <w:t>Formalización de políticas contables aplicables al Patrimonio Autónomo, dentro del sistema de gestión de calidad de la entidad.</w:t>
            </w:r>
          </w:p>
        </w:tc>
      </w:tr>
      <w:tr w:rsidR="00561B22" w:rsidRPr="00EE43B4" w14:paraId="5E31F6CD" w14:textId="77777777" w:rsidTr="00F1223B">
        <w:tc>
          <w:tcPr>
            <w:tcW w:w="562" w:type="dxa"/>
          </w:tcPr>
          <w:p w14:paraId="105EFD50"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2</w:t>
            </w:r>
          </w:p>
        </w:tc>
        <w:tc>
          <w:tcPr>
            <w:tcW w:w="9400" w:type="dxa"/>
          </w:tcPr>
          <w:p w14:paraId="2728AAEC" w14:textId="77777777" w:rsidR="00561B22" w:rsidRPr="00EE43B4" w:rsidRDefault="00561B22" w:rsidP="00F1223B">
            <w:pPr>
              <w:jc w:val="both"/>
              <w:rPr>
                <w:rFonts w:ascii="Arial" w:hAnsi="Arial" w:cs="Arial"/>
                <w:sz w:val="22"/>
                <w:szCs w:val="22"/>
              </w:rPr>
            </w:pPr>
            <w:r w:rsidRPr="00EE43B4">
              <w:rPr>
                <w:rFonts w:ascii="Arial" w:hAnsi="Arial" w:cs="Arial"/>
                <w:sz w:val="22"/>
                <w:szCs w:val="22"/>
              </w:rPr>
              <w:t xml:space="preserve">Planes de capacitación para toda la Gerencia de Contabilidad. </w:t>
            </w:r>
          </w:p>
        </w:tc>
      </w:tr>
      <w:tr w:rsidR="00561B22" w:rsidRPr="00EE43B4" w14:paraId="56435BF8" w14:textId="77777777" w:rsidTr="00F1223B">
        <w:tc>
          <w:tcPr>
            <w:tcW w:w="562" w:type="dxa"/>
          </w:tcPr>
          <w:p w14:paraId="3DD5F2DC"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3</w:t>
            </w:r>
          </w:p>
        </w:tc>
        <w:tc>
          <w:tcPr>
            <w:tcW w:w="9400" w:type="dxa"/>
          </w:tcPr>
          <w:p w14:paraId="53D2BA56" w14:textId="77777777" w:rsidR="00561B22" w:rsidRPr="00EE43B4" w:rsidRDefault="00561B22" w:rsidP="00F1223B">
            <w:pPr>
              <w:jc w:val="both"/>
              <w:rPr>
                <w:rFonts w:ascii="Arial" w:hAnsi="Arial" w:cs="Arial"/>
                <w:sz w:val="22"/>
                <w:szCs w:val="22"/>
              </w:rPr>
            </w:pPr>
            <w:r w:rsidRPr="00EE43B4">
              <w:rPr>
                <w:rFonts w:ascii="Arial" w:hAnsi="Arial" w:cs="Arial"/>
                <w:sz w:val="22"/>
                <w:szCs w:val="22"/>
              </w:rPr>
              <w:t xml:space="preserve">Los instructivos de las actividades relacionadas con las interfaces del aplicativo CORE (SIFI) y de los diferentes módulos satélites. </w:t>
            </w:r>
          </w:p>
        </w:tc>
      </w:tr>
      <w:tr w:rsidR="00561B22" w:rsidRPr="00EE43B4" w14:paraId="7CDB11F5" w14:textId="77777777" w:rsidTr="00F1223B">
        <w:tc>
          <w:tcPr>
            <w:tcW w:w="562" w:type="dxa"/>
          </w:tcPr>
          <w:p w14:paraId="712C140E"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4</w:t>
            </w:r>
          </w:p>
        </w:tc>
        <w:tc>
          <w:tcPr>
            <w:tcW w:w="9400" w:type="dxa"/>
          </w:tcPr>
          <w:p w14:paraId="430A4A8E" w14:textId="77777777" w:rsidR="00561B22" w:rsidRPr="00EE43B4" w:rsidRDefault="00561B22" w:rsidP="00F1223B">
            <w:pPr>
              <w:jc w:val="both"/>
              <w:rPr>
                <w:rFonts w:ascii="Arial" w:hAnsi="Arial" w:cs="Arial"/>
                <w:b/>
                <w:sz w:val="22"/>
                <w:szCs w:val="22"/>
                <w:lang w:val="es-MX"/>
              </w:rPr>
            </w:pPr>
            <w:r w:rsidRPr="00EE43B4">
              <w:rPr>
                <w:rFonts w:ascii="Arial" w:hAnsi="Arial" w:cs="Arial"/>
                <w:sz w:val="22"/>
                <w:szCs w:val="22"/>
              </w:rPr>
              <w:t>La matriz de roles y perfiles de la Gerencia Contable.</w:t>
            </w:r>
          </w:p>
        </w:tc>
      </w:tr>
      <w:tr w:rsidR="00561B22" w:rsidRPr="00EE43B4" w14:paraId="4FCD3C24" w14:textId="77777777" w:rsidTr="00F1223B">
        <w:tc>
          <w:tcPr>
            <w:tcW w:w="562" w:type="dxa"/>
          </w:tcPr>
          <w:p w14:paraId="7B4CE52D"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lastRenderedPageBreak/>
              <w:t>5</w:t>
            </w:r>
          </w:p>
        </w:tc>
        <w:tc>
          <w:tcPr>
            <w:tcW w:w="9400" w:type="dxa"/>
          </w:tcPr>
          <w:p w14:paraId="5000F53E" w14:textId="77777777" w:rsidR="00561B22" w:rsidRPr="00EE43B4" w:rsidRDefault="00561B22" w:rsidP="00F1223B">
            <w:pPr>
              <w:jc w:val="both"/>
              <w:rPr>
                <w:rFonts w:ascii="Arial" w:hAnsi="Arial" w:cs="Arial"/>
                <w:sz w:val="22"/>
                <w:szCs w:val="22"/>
              </w:rPr>
            </w:pPr>
            <w:r w:rsidRPr="00EE43B4">
              <w:rPr>
                <w:rFonts w:ascii="Arial" w:hAnsi="Arial" w:cs="Arial"/>
                <w:sz w:val="22"/>
                <w:szCs w:val="22"/>
              </w:rPr>
              <w:t>Controles de revisión para los comprobantes contables.</w:t>
            </w:r>
          </w:p>
        </w:tc>
      </w:tr>
      <w:tr w:rsidR="00561B22" w:rsidRPr="00EE43B4" w14:paraId="3CA5DC0F" w14:textId="77777777" w:rsidTr="00F1223B">
        <w:tc>
          <w:tcPr>
            <w:tcW w:w="562" w:type="dxa"/>
          </w:tcPr>
          <w:p w14:paraId="0F890B25"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6</w:t>
            </w:r>
          </w:p>
        </w:tc>
        <w:tc>
          <w:tcPr>
            <w:tcW w:w="9400" w:type="dxa"/>
          </w:tcPr>
          <w:p w14:paraId="177D4AA8" w14:textId="77777777" w:rsidR="00561B22" w:rsidRPr="00EE43B4" w:rsidRDefault="00561B22" w:rsidP="00F1223B">
            <w:pPr>
              <w:jc w:val="both"/>
              <w:rPr>
                <w:rFonts w:ascii="Arial" w:hAnsi="Arial" w:cs="Arial"/>
                <w:sz w:val="22"/>
                <w:szCs w:val="22"/>
              </w:rPr>
            </w:pPr>
            <w:r w:rsidRPr="00EE43B4">
              <w:rPr>
                <w:rFonts w:ascii="Arial" w:hAnsi="Arial" w:cs="Arial"/>
                <w:sz w:val="22"/>
                <w:szCs w:val="22"/>
              </w:rPr>
              <w:t>Nota: El detalle de las observaciones y recomendaciones será divulgada al interior de la entidad de acuerdo con los lineamientos emitidos por la Gerencia de Auditoría y a los planes de acción que se definan para su remedición se les efectuará seguimiento de acuerdo con los Procedimiento de Plan de Acción (PR-GPR-008) y de Seguimiento de Planes de Acción (PR-ACO-005).</w:t>
            </w:r>
          </w:p>
        </w:tc>
      </w:tr>
    </w:tbl>
    <w:p w14:paraId="41F7FACC" w14:textId="77777777" w:rsidR="00561B22" w:rsidRPr="00EE43B4" w:rsidRDefault="00561B22" w:rsidP="00561B22">
      <w:pPr>
        <w:pStyle w:val="Textoindependiente"/>
        <w:ind w:right="-50"/>
        <w:jc w:val="both"/>
        <w:rPr>
          <w:rFonts w:ascii="Arial" w:hAnsi="Arial" w:cs="Arial"/>
          <w:b/>
          <w:bCs/>
        </w:rPr>
      </w:pPr>
    </w:p>
    <w:p w14:paraId="615D4BA9" w14:textId="77777777" w:rsidR="00561B22" w:rsidRPr="00EE43B4" w:rsidRDefault="00561B22" w:rsidP="00561B22">
      <w:pPr>
        <w:jc w:val="both"/>
        <w:rPr>
          <w:rFonts w:ascii="Arial" w:hAnsi="Arial" w:cs="Arial"/>
          <w:b/>
          <w:lang w:val="es-MX"/>
        </w:rPr>
      </w:pPr>
      <w:r w:rsidRPr="00EE43B4">
        <w:rPr>
          <w:rFonts w:ascii="Arial" w:hAnsi="Arial" w:cs="Arial"/>
          <w:b/>
          <w:lang w:val="es-MX"/>
        </w:rPr>
        <w:t>Del citado informe retomamos las siguientes recomendaciones:</w:t>
      </w:r>
    </w:p>
    <w:p w14:paraId="532C6D48" w14:textId="77777777" w:rsidR="00561B22" w:rsidRPr="00EE43B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E43B4" w14:paraId="097096DA" w14:textId="77777777" w:rsidTr="00F1223B">
        <w:tc>
          <w:tcPr>
            <w:tcW w:w="562" w:type="dxa"/>
          </w:tcPr>
          <w:p w14:paraId="6A6949A8" w14:textId="77777777" w:rsidR="00561B22" w:rsidRPr="00EE43B4" w:rsidRDefault="00561B22" w:rsidP="00F1223B">
            <w:pPr>
              <w:ind w:right="-109"/>
              <w:jc w:val="center"/>
              <w:rPr>
                <w:rFonts w:ascii="Arial" w:hAnsi="Arial" w:cs="Arial"/>
                <w:b/>
                <w:sz w:val="22"/>
                <w:szCs w:val="22"/>
                <w:lang w:val="es-MX"/>
              </w:rPr>
            </w:pPr>
            <w:r w:rsidRPr="00EE43B4">
              <w:rPr>
                <w:rFonts w:ascii="Arial" w:hAnsi="Arial" w:cs="Arial"/>
                <w:b/>
                <w:sz w:val="22"/>
                <w:szCs w:val="22"/>
                <w:lang w:val="es-MX"/>
              </w:rPr>
              <w:t>N°</w:t>
            </w:r>
          </w:p>
        </w:tc>
        <w:tc>
          <w:tcPr>
            <w:tcW w:w="9400" w:type="dxa"/>
          </w:tcPr>
          <w:p w14:paraId="643B9E73"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RECOMENDACIONES</w:t>
            </w:r>
          </w:p>
          <w:p w14:paraId="5E3A9B9C" w14:textId="77777777" w:rsidR="00561B22" w:rsidRPr="00EE43B4" w:rsidRDefault="00561B22" w:rsidP="00F1223B">
            <w:pPr>
              <w:jc w:val="center"/>
              <w:rPr>
                <w:rFonts w:ascii="Arial" w:hAnsi="Arial" w:cs="Arial"/>
                <w:b/>
                <w:sz w:val="22"/>
                <w:szCs w:val="22"/>
                <w:lang w:val="es-MX"/>
              </w:rPr>
            </w:pPr>
          </w:p>
        </w:tc>
      </w:tr>
      <w:tr w:rsidR="00561B22" w:rsidRPr="00EE43B4" w14:paraId="36D70741" w14:textId="77777777" w:rsidTr="00F1223B">
        <w:tc>
          <w:tcPr>
            <w:tcW w:w="562" w:type="dxa"/>
          </w:tcPr>
          <w:p w14:paraId="3F57E13E"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1</w:t>
            </w:r>
          </w:p>
        </w:tc>
        <w:tc>
          <w:tcPr>
            <w:tcW w:w="9400" w:type="dxa"/>
          </w:tcPr>
          <w:p w14:paraId="2968DC45" w14:textId="77777777" w:rsidR="00561B22" w:rsidRPr="00EE43B4" w:rsidRDefault="00561B22" w:rsidP="00F1223B">
            <w:pPr>
              <w:jc w:val="both"/>
              <w:rPr>
                <w:rFonts w:ascii="Arial" w:hAnsi="Arial" w:cs="Arial"/>
                <w:b/>
                <w:sz w:val="22"/>
                <w:szCs w:val="22"/>
                <w:lang w:val="es-MX"/>
              </w:rPr>
            </w:pPr>
            <w:r w:rsidRPr="00EE43B4">
              <w:rPr>
                <w:rFonts w:ascii="Arial" w:hAnsi="Arial" w:cs="Arial"/>
                <w:sz w:val="22"/>
                <w:szCs w:val="22"/>
              </w:rPr>
              <w:t>Se recomienda a la administración:</w:t>
            </w:r>
            <w:r w:rsidRPr="00EE43B4">
              <w:rPr>
                <w:rFonts w:ascii="Arial" w:hAnsi="Arial" w:cs="Arial"/>
                <w:sz w:val="22"/>
                <w:szCs w:val="22"/>
              </w:rPr>
              <w:br/>
              <w:t xml:space="preserve"> - Formalizar planes de capacitación para toda la Gerencia de Contabilidad, teniendo en cuenta los procesos de actualización documental que se desarrollaron durante el 2024.</w:t>
            </w:r>
          </w:p>
        </w:tc>
      </w:tr>
      <w:tr w:rsidR="00561B22" w:rsidRPr="00EE43B4" w14:paraId="71078187" w14:textId="77777777" w:rsidTr="00F1223B">
        <w:tc>
          <w:tcPr>
            <w:tcW w:w="562" w:type="dxa"/>
          </w:tcPr>
          <w:p w14:paraId="723E0753"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2</w:t>
            </w:r>
          </w:p>
        </w:tc>
        <w:tc>
          <w:tcPr>
            <w:tcW w:w="9400" w:type="dxa"/>
          </w:tcPr>
          <w:p w14:paraId="50ABFCA1" w14:textId="77777777" w:rsidR="00561B22" w:rsidRPr="00EE43B4" w:rsidRDefault="00561B22" w:rsidP="00F1223B">
            <w:pPr>
              <w:jc w:val="both"/>
              <w:rPr>
                <w:rFonts w:ascii="Arial" w:hAnsi="Arial" w:cs="Arial"/>
                <w:b/>
                <w:sz w:val="22"/>
                <w:szCs w:val="22"/>
                <w:lang w:val="es-MX"/>
              </w:rPr>
            </w:pPr>
            <w:r w:rsidRPr="00EE43B4">
              <w:rPr>
                <w:rFonts w:ascii="Arial" w:hAnsi="Arial" w:cs="Arial"/>
                <w:sz w:val="22"/>
                <w:szCs w:val="22"/>
              </w:rPr>
              <w:t xml:space="preserve">- Formalización de las políticas contables en el Sistema de Gestión de Calidad. </w:t>
            </w:r>
          </w:p>
        </w:tc>
      </w:tr>
      <w:tr w:rsidR="00561B22" w:rsidRPr="00EE43B4" w14:paraId="40722E01" w14:textId="77777777" w:rsidTr="00F1223B">
        <w:tc>
          <w:tcPr>
            <w:tcW w:w="562" w:type="dxa"/>
          </w:tcPr>
          <w:p w14:paraId="48011E77"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3</w:t>
            </w:r>
          </w:p>
        </w:tc>
        <w:tc>
          <w:tcPr>
            <w:tcW w:w="9400" w:type="dxa"/>
          </w:tcPr>
          <w:p w14:paraId="6DFA8FF9" w14:textId="77777777" w:rsidR="00561B22" w:rsidRPr="00EE43B4" w:rsidRDefault="00561B22" w:rsidP="00F1223B">
            <w:pPr>
              <w:jc w:val="both"/>
              <w:rPr>
                <w:rFonts w:ascii="Arial" w:hAnsi="Arial" w:cs="Arial"/>
                <w:b/>
                <w:sz w:val="22"/>
                <w:szCs w:val="22"/>
                <w:lang w:val="es-MX"/>
              </w:rPr>
            </w:pPr>
            <w:r w:rsidRPr="00EE43B4">
              <w:rPr>
                <w:rFonts w:ascii="Arial" w:hAnsi="Arial" w:cs="Arial"/>
                <w:sz w:val="22"/>
                <w:szCs w:val="22"/>
              </w:rPr>
              <w:t>- Fortalecer la documentación de los instructivos de las actividades relacionadas con las interfaces del aplicativo CORE (SIFI) y de los diferentes módulos satélites.</w:t>
            </w:r>
          </w:p>
        </w:tc>
      </w:tr>
      <w:tr w:rsidR="00561B22" w:rsidRPr="00EE43B4" w14:paraId="30F5DF3C" w14:textId="77777777" w:rsidTr="00F1223B">
        <w:tc>
          <w:tcPr>
            <w:tcW w:w="562" w:type="dxa"/>
          </w:tcPr>
          <w:p w14:paraId="775BC197" w14:textId="77777777" w:rsidR="00561B22" w:rsidRPr="00EE43B4" w:rsidRDefault="00561B22" w:rsidP="00F1223B">
            <w:pPr>
              <w:jc w:val="center"/>
              <w:rPr>
                <w:rFonts w:ascii="Arial" w:hAnsi="Arial" w:cs="Arial"/>
                <w:b/>
                <w:sz w:val="22"/>
                <w:szCs w:val="22"/>
                <w:lang w:val="es-MX"/>
              </w:rPr>
            </w:pPr>
            <w:r w:rsidRPr="00EE43B4">
              <w:rPr>
                <w:rFonts w:ascii="Arial" w:hAnsi="Arial" w:cs="Arial"/>
                <w:b/>
                <w:sz w:val="22"/>
                <w:szCs w:val="22"/>
                <w:lang w:val="es-MX"/>
              </w:rPr>
              <w:t>4</w:t>
            </w:r>
          </w:p>
        </w:tc>
        <w:tc>
          <w:tcPr>
            <w:tcW w:w="9400" w:type="dxa"/>
          </w:tcPr>
          <w:p w14:paraId="161EA6E8" w14:textId="77777777" w:rsidR="00561B22" w:rsidRPr="00EE43B4" w:rsidRDefault="00561B22" w:rsidP="00F1223B">
            <w:pPr>
              <w:jc w:val="both"/>
              <w:rPr>
                <w:rFonts w:ascii="Arial" w:hAnsi="Arial" w:cs="Arial"/>
                <w:b/>
                <w:sz w:val="22"/>
                <w:szCs w:val="22"/>
                <w:lang w:val="es-MX"/>
              </w:rPr>
            </w:pPr>
            <w:r w:rsidRPr="00EE43B4">
              <w:rPr>
                <w:rFonts w:ascii="Arial" w:hAnsi="Arial" w:cs="Arial"/>
                <w:sz w:val="22"/>
                <w:szCs w:val="22"/>
              </w:rPr>
              <w:t>- Fortalecer la matriz de roles y perfiles de la Gerencia Contable, así como su divulgación.</w:t>
            </w:r>
          </w:p>
        </w:tc>
      </w:tr>
      <w:tr w:rsidR="00561B22" w:rsidRPr="00EE43B4" w14:paraId="45BA2D54" w14:textId="77777777" w:rsidTr="00F1223B">
        <w:tc>
          <w:tcPr>
            <w:tcW w:w="562" w:type="dxa"/>
          </w:tcPr>
          <w:p w14:paraId="6381C92D" w14:textId="77777777" w:rsidR="00561B22" w:rsidRPr="00EE43B4" w:rsidRDefault="00561B22" w:rsidP="00F1223B">
            <w:pPr>
              <w:jc w:val="center"/>
              <w:rPr>
                <w:rFonts w:ascii="Arial" w:hAnsi="Arial" w:cs="Arial"/>
                <w:b/>
                <w:sz w:val="22"/>
                <w:szCs w:val="22"/>
                <w:lang w:val="es-MX"/>
              </w:rPr>
            </w:pPr>
          </w:p>
        </w:tc>
        <w:tc>
          <w:tcPr>
            <w:tcW w:w="9400" w:type="dxa"/>
          </w:tcPr>
          <w:p w14:paraId="050FAF06" w14:textId="77777777" w:rsidR="00561B22" w:rsidRPr="00EE43B4" w:rsidRDefault="00561B22" w:rsidP="00F1223B">
            <w:pPr>
              <w:jc w:val="both"/>
              <w:rPr>
                <w:rFonts w:ascii="Arial" w:hAnsi="Arial" w:cs="Arial"/>
                <w:b/>
                <w:sz w:val="22"/>
                <w:szCs w:val="22"/>
                <w:lang w:val="es-MX"/>
              </w:rPr>
            </w:pPr>
            <w:r w:rsidRPr="00EE43B4">
              <w:rPr>
                <w:rFonts w:ascii="Arial" w:hAnsi="Arial" w:cs="Arial"/>
                <w:sz w:val="22"/>
                <w:szCs w:val="22"/>
              </w:rPr>
              <w:t>- Formalizar controles de revisión para los comprobantes contables.</w:t>
            </w:r>
          </w:p>
        </w:tc>
      </w:tr>
    </w:tbl>
    <w:p w14:paraId="1269D98B" w14:textId="77777777" w:rsidR="00561B22" w:rsidRPr="00EE43B4" w:rsidRDefault="00561B22" w:rsidP="00561B22">
      <w:pPr>
        <w:pStyle w:val="Textoindependiente"/>
        <w:ind w:right="-50"/>
        <w:jc w:val="both"/>
        <w:rPr>
          <w:rFonts w:ascii="Arial" w:hAnsi="Arial" w:cs="Arial"/>
          <w:b/>
          <w:bCs/>
          <w:sz w:val="28"/>
          <w:szCs w:val="28"/>
        </w:rPr>
      </w:pPr>
    </w:p>
    <w:p w14:paraId="01CB5DCD" w14:textId="77777777" w:rsidR="00561B22" w:rsidRPr="00EE43B4" w:rsidRDefault="00561B22" w:rsidP="00561B22">
      <w:pPr>
        <w:jc w:val="both"/>
        <w:rPr>
          <w:rFonts w:ascii="Arial" w:hAnsi="Arial" w:cs="Arial"/>
          <w:b/>
          <w:bCs/>
          <w:sz w:val="24"/>
          <w:szCs w:val="24"/>
          <w:lang w:val="es-CO"/>
        </w:rPr>
      </w:pPr>
      <w:r w:rsidRPr="00EE43B4">
        <w:rPr>
          <w:rFonts w:ascii="Arial" w:hAnsi="Arial" w:cs="Arial"/>
          <w:b/>
          <w:bCs/>
          <w:sz w:val="24"/>
          <w:szCs w:val="24"/>
          <w:lang w:val="es-CO"/>
        </w:rPr>
        <w:t xml:space="preserve">NOTA: LA ENTIDAD ENVIA LA MATRIZ DE AUTOEVALUACIÓN DEL SISTEMA DE CONTROL INTERNO CONTABLE CON </w:t>
      </w:r>
      <w:r w:rsidRPr="00EE43B4">
        <w:rPr>
          <w:rFonts w:ascii="Arial" w:hAnsi="Arial" w:cs="Arial"/>
          <w:b/>
          <w:bCs/>
          <w:sz w:val="24"/>
          <w:szCs w:val="24"/>
          <w:u w:val="single"/>
          <w:lang w:val="es-CO"/>
        </w:rPr>
        <w:t>ACTIVIDADES DE CONTROL REALIZADAS EN FORMA PARCIAL</w:t>
      </w:r>
      <w:r w:rsidRPr="00EE43B4">
        <w:rPr>
          <w:rFonts w:ascii="Arial" w:hAnsi="Arial" w:cs="Arial"/>
          <w:b/>
          <w:bCs/>
          <w:sz w:val="24"/>
          <w:szCs w:val="24"/>
          <w:lang w:val="es-CO"/>
        </w:rPr>
        <w:t>.</w:t>
      </w:r>
    </w:p>
    <w:p w14:paraId="71DA2CB4" w14:textId="77777777" w:rsidR="00561B22" w:rsidRPr="00EE43B4" w:rsidRDefault="00561B22" w:rsidP="00561B22">
      <w:pPr>
        <w:pStyle w:val="Textoindependiente"/>
        <w:ind w:right="-50"/>
        <w:jc w:val="both"/>
        <w:rPr>
          <w:rFonts w:ascii="Arial" w:hAnsi="Arial" w:cs="Arial"/>
          <w:b/>
          <w:bCs/>
          <w:sz w:val="28"/>
          <w:szCs w:val="28"/>
        </w:rPr>
      </w:pPr>
    </w:p>
    <w:p w14:paraId="59F1EE2D" w14:textId="77777777" w:rsidR="00561B22" w:rsidRPr="00C50543" w:rsidRDefault="00561B22" w:rsidP="00561B22">
      <w:pPr>
        <w:jc w:val="both"/>
        <w:rPr>
          <w:rFonts w:ascii="Arial" w:hAnsi="Arial" w:cs="Arial"/>
          <w:b/>
          <w:sz w:val="28"/>
          <w:szCs w:val="28"/>
          <w:lang w:val="es-MX"/>
        </w:rPr>
      </w:pPr>
      <w:r w:rsidRPr="00C50543">
        <w:rPr>
          <w:rFonts w:ascii="Arial" w:hAnsi="Arial" w:cs="Arial"/>
          <w:b/>
          <w:sz w:val="28"/>
          <w:szCs w:val="28"/>
          <w:lang w:val="es-MX"/>
        </w:rPr>
        <w:t>239.- CANAL REGIONAL DE TELEVISIÓN TEVEANDINA LTDA.</w:t>
      </w:r>
    </w:p>
    <w:p w14:paraId="314B1DC6" w14:textId="77777777" w:rsidR="00561B22" w:rsidRDefault="00561B22" w:rsidP="00561B22">
      <w:pPr>
        <w:ind w:right="-93"/>
        <w:rPr>
          <w:rFonts w:ascii="Arial" w:hAnsi="Arial" w:cs="Arial"/>
          <w:sz w:val="24"/>
          <w:szCs w:val="24"/>
        </w:rPr>
      </w:pPr>
    </w:p>
    <w:p w14:paraId="29C1FE36" w14:textId="77777777" w:rsidR="00561B22" w:rsidRPr="008452E2" w:rsidRDefault="00561B22" w:rsidP="00561B22">
      <w:pPr>
        <w:pStyle w:val="Textoindependiente"/>
        <w:ind w:right="-50"/>
        <w:jc w:val="center"/>
        <w:rPr>
          <w:rFonts w:ascii="Arial" w:hAnsi="Arial" w:cs="Arial"/>
          <w:b/>
          <w:bCs/>
        </w:rPr>
      </w:pPr>
      <w:r w:rsidRPr="008452E2">
        <w:rPr>
          <w:rFonts w:ascii="Arial" w:hAnsi="Arial" w:cs="Arial"/>
          <w:b/>
          <w:bCs/>
        </w:rPr>
        <w:t>INFORME DE LA AUTOCALIFICACIÓN DEL SISTEMA DE CONTROL INTERNO CONTABLE:</w:t>
      </w:r>
    </w:p>
    <w:p w14:paraId="124229D3" w14:textId="77777777" w:rsidR="00561B22" w:rsidRPr="008452E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452E2" w14:paraId="45F9B3FB" w14:textId="77777777" w:rsidTr="00F1223B">
        <w:tc>
          <w:tcPr>
            <w:tcW w:w="4981" w:type="dxa"/>
          </w:tcPr>
          <w:p w14:paraId="0F4B2CB7" w14:textId="77777777" w:rsidR="00561B22" w:rsidRPr="008452E2" w:rsidRDefault="00561B22" w:rsidP="00F1223B">
            <w:pPr>
              <w:jc w:val="center"/>
              <w:rPr>
                <w:rFonts w:ascii="Arial" w:hAnsi="Arial" w:cs="Arial"/>
                <w:b/>
                <w:sz w:val="22"/>
                <w:szCs w:val="22"/>
                <w:lang w:val="es-MX"/>
              </w:rPr>
            </w:pPr>
            <w:r w:rsidRPr="008452E2">
              <w:rPr>
                <w:rFonts w:ascii="Arial" w:hAnsi="Arial" w:cs="Arial"/>
                <w:b/>
                <w:sz w:val="22"/>
                <w:szCs w:val="22"/>
                <w:lang w:val="es-MX"/>
              </w:rPr>
              <w:t>AUTOCALIFICACIÓN</w:t>
            </w:r>
          </w:p>
        </w:tc>
        <w:tc>
          <w:tcPr>
            <w:tcW w:w="4981" w:type="dxa"/>
          </w:tcPr>
          <w:p w14:paraId="51FF30A3" w14:textId="77777777" w:rsidR="00561B22" w:rsidRPr="008452E2" w:rsidRDefault="00561B22" w:rsidP="00F1223B">
            <w:pPr>
              <w:jc w:val="center"/>
              <w:rPr>
                <w:rFonts w:ascii="Arial" w:hAnsi="Arial" w:cs="Arial"/>
                <w:b/>
                <w:sz w:val="22"/>
                <w:szCs w:val="22"/>
                <w:u w:val="single"/>
                <w:lang w:val="es-MX"/>
              </w:rPr>
            </w:pPr>
            <w:r w:rsidRPr="008452E2">
              <w:rPr>
                <w:rFonts w:ascii="Arial" w:hAnsi="Arial" w:cs="Arial"/>
                <w:b/>
                <w:sz w:val="22"/>
                <w:szCs w:val="22"/>
                <w:u w:val="single"/>
                <w:lang w:val="es-MX"/>
              </w:rPr>
              <w:t>4.72</w:t>
            </w:r>
          </w:p>
        </w:tc>
      </w:tr>
    </w:tbl>
    <w:p w14:paraId="177A8B10" w14:textId="77777777" w:rsidR="00561B22" w:rsidRPr="008452E2" w:rsidRDefault="00561B22" w:rsidP="00561B22">
      <w:pPr>
        <w:pStyle w:val="Textoindependiente"/>
        <w:ind w:right="-50"/>
        <w:jc w:val="both"/>
        <w:rPr>
          <w:rFonts w:ascii="Arial" w:hAnsi="Arial" w:cs="Arial"/>
          <w:b/>
          <w:bCs/>
        </w:rPr>
      </w:pPr>
    </w:p>
    <w:p w14:paraId="5335A759" w14:textId="77777777" w:rsidR="00561B22" w:rsidRPr="008452E2" w:rsidRDefault="00561B22" w:rsidP="00561B22">
      <w:pPr>
        <w:pStyle w:val="Textoindependiente"/>
        <w:ind w:right="-50"/>
        <w:jc w:val="both"/>
        <w:rPr>
          <w:rFonts w:ascii="Arial" w:hAnsi="Arial" w:cs="Arial"/>
          <w:b/>
          <w:bCs/>
        </w:rPr>
      </w:pPr>
      <w:r w:rsidRPr="008452E2">
        <w:rPr>
          <w:rFonts w:ascii="Arial" w:hAnsi="Arial" w:cs="Arial"/>
          <w:b/>
          <w:bCs/>
        </w:rPr>
        <w:t>Del informe enviado retomamos lo siguiente:</w:t>
      </w:r>
    </w:p>
    <w:p w14:paraId="4C61E68F" w14:textId="77777777" w:rsidR="00561B22" w:rsidRPr="008452E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452E2" w14:paraId="6666D1B4" w14:textId="77777777" w:rsidTr="00F1223B">
        <w:tc>
          <w:tcPr>
            <w:tcW w:w="562" w:type="dxa"/>
          </w:tcPr>
          <w:p w14:paraId="62D6E4FF" w14:textId="77777777" w:rsidR="00561B22" w:rsidRPr="008452E2" w:rsidRDefault="00561B22" w:rsidP="00F1223B">
            <w:pPr>
              <w:ind w:right="-109"/>
              <w:jc w:val="center"/>
              <w:rPr>
                <w:rFonts w:ascii="Arial" w:hAnsi="Arial" w:cs="Arial"/>
                <w:b/>
                <w:sz w:val="22"/>
                <w:szCs w:val="22"/>
                <w:lang w:val="es-MX"/>
              </w:rPr>
            </w:pPr>
            <w:r w:rsidRPr="008452E2">
              <w:rPr>
                <w:rFonts w:ascii="Arial" w:hAnsi="Arial" w:cs="Arial"/>
                <w:b/>
                <w:sz w:val="22"/>
                <w:szCs w:val="22"/>
                <w:lang w:val="es-MX"/>
              </w:rPr>
              <w:t>N°</w:t>
            </w:r>
          </w:p>
        </w:tc>
        <w:tc>
          <w:tcPr>
            <w:tcW w:w="9400" w:type="dxa"/>
          </w:tcPr>
          <w:p w14:paraId="691BFDCD" w14:textId="77777777" w:rsidR="00561B22" w:rsidRPr="008452E2" w:rsidRDefault="00561B22" w:rsidP="00F1223B">
            <w:pPr>
              <w:jc w:val="center"/>
              <w:rPr>
                <w:rFonts w:ascii="Arial" w:hAnsi="Arial" w:cs="Arial"/>
                <w:b/>
                <w:sz w:val="22"/>
                <w:szCs w:val="22"/>
                <w:lang w:val="es-MX"/>
              </w:rPr>
            </w:pPr>
            <w:r w:rsidRPr="008452E2">
              <w:rPr>
                <w:rFonts w:ascii="Arial" w:hAnsi="Arial" w:cs="Arial"/>
                <w:b/>
                <w:sz w:val="22"/>
                <w:szCs w:val="22"/>
                <w:lang w:val="es-MX"/>
              </w:rPr>
              <w:t>DEBILIDADES</w:t>
            </w:r>
          </w:p>
          <w:p w14:paraId="71E48247" w14:textId="77777777" w:rsidR="00561B22" w:rsidRPr="008452E2" w:rsidRDefault="00561B22" w:rsidP="00F1223B">
            <w:pPr>
              <w:jc w:val="center"/>
              <w:rPr>
                <w:rFonts w:ascii="Arial" w:hAnsi="Arial" w:cs="Arial"/>
                <w:b/>
                <w:sz w:val="22"/>
                <w:szCs w:val="22"/>
                <w:lang w:val="es-MX"/>
              </w:rPr>
            </w:pPr>
          </w:p>
        </w:tc>
      </w:tr>
      <w:tr w:rsidR="00561B22" w:rsidRPr="008452E2" w14:paraId="722ED237" w14:textId="77777777" w:rsidTr="00F1223B">
        <w:tc>
          <w:tcPr>
            <w:tcW w:w="562" w:type="dxa"/>
          </w:tcPr>
          <w:p w14:paraId="1187E699" w14:textId="77777777" w:rsidR="00561B22" w:rsidRPr="008452E2" w:rsidRDefault="00561B22" w:rsidP="00F1223B">
            <w:pPr>
              <w:jc w:val="center"/>
              <w:rPr>
                <w:rFonts w:ascii="Arial" w:hAnsi="Arial" w:cs="Arial"/>
                <w:b/>
                <w:sz w:val="22"/>
                <w:szCs w:val="22"/>
                <w:lang w:val="es-MX"/>
              </w:rPr>
            </w:pPr>
            <w:r w:rsidRPr="008452E2">
              <w:rPr>
                <w:rFonts w:ascii="Arial" w:hAnsi="Arial" w:cs="Arial"/>
                <w:b/>
                <w:sz w:val="22"/>
                <w:szCs w:val="22"/>
                <w:lang w:val="es-MX"/>
              </w:rPr>
              <w:t>1</w:t>
            </w:r>
          </w:p>
        </w:tc>
        <w:tc>
          <w:tcPr>
            <w:tcW w:w="9400" w:type="dxa"/>
          </w:tcPr>
          <w:p w14:paraId="25A626E4" w14:textId="77777777" w:rsidR="00561B22" w:rsidRPr="008452E2" w:rsidRDefault="00561B22" w:rsidP="00F1223B">
            <w:pPr>
              <w:jc w:val="both"/>
              <w:rPr>
                <w:rFonts w:ascii="Arial" w:hAnsi="Arial" w:cs="Arial"/>
                <w:bCs/>
                <w:sz w:val="22"/>
                <w:szCs w:val="22"/>
                <w:lang w:val="es-MX"/>
              </w:rPr>
            </w:pPr>
            <w:r w:rsidRPr="008452E2">
              <w:rPr>
                <w:rFonts w:ascii="Arial" w:hAnsi="Arial" w:cs="Arial"/>
                <w:bCs/>
                <w:sz w:val="22"/>
                <w:szCs w:val="22"/>
                <w:lang w:val="es-MX"/>
              </w:rPr>
              <w:t>El área de Contabilidad no cuenta con personal de planta suficiente dada la importancia de sus funciones y las responsabilidades legales y tributarias.</w:t>
            </w:r>
          </w:p>
        </w:tc>
      </w:tr>
    </w:tbl>
    <w:p w14:paraId="09437C93" w14:textId="77777777" w:rsidR="00561B22" w:rsidRPr="008452E2" w:rsidRDefault="00561B22" w:rsidP="00561B22">
      <w:pPr>
        <w:pStyle w:val="Textoindependiente"/>
        <w:ind w:right="-50"/>
        <w:jc w:val="both"/>
        <w:rPr>
          <w:rFonts w:ascii="Arial" w:hAnsi="Arial" w:cs="Arial"/>
          <w:b/>
          <w:bCs/>
        </w:rPr>
      </w:pPr>
    </w:p>
    <w:p w14:paraId="7D0EB8CA" w14:textId="77777777" w:rsidR="00561B22" w:rsidRPr="008452E2" w:rsidRDefault="00561B22" w:rsidP="00561B22">
      <w:pPr>
        <w:jc w:val="both"/>
        <w:rPr>
          <w:rFonts w:ascii="Arial" w:hAnsi="Arial" w:cs="Arial"/>
          <w:b/>
          <w:lang w:val="es-MX"/>
        </w:rPr>
      </w:pPr>
      <w:r w:rsidRPr="008452E2">
        <w:rPr>
          <w:rFonts w:ascii="Arial" w:hAnsi="Arial" w:cs="Arial"/>
          <w:b/>
          <w:lang w:val="es-MX"/>
        </w:rPr>
        <w:t>Del citado informe retomamos las siguientes recomendaciones:</w:t>
      </w:r>
    </w:p>
    <w:p w14:paraId="38D40FB9" w14:textId="77777777" w:rsidR="00561B22" w:rsidRPr="008452E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452E2" w14:paraId="2784CD4D" w14:textId="77777777" w:rsidTr="00F1223B">
        <w:tc>
          <w:tcPr>
            <w:tcW w:w="562" w:type="dxa"/>
          </w:tcPr>
          <w:p w14:paraId="3A6C0D3D" w14:textId="77777777" w:rsidR="00561B22" w:rsidRPr="008452E2" w:rsidRDefault="00561B22" w:rsidP="00F1223B">
            <w:pPr>
              <w:ind w:right="-109"/>
              <w:jc w:val="center"/>
              <w:rPr>
                <w:rFonts w:ascii="Arial" w:hAnsi="Arial" w:cs="Arial"/>
                <w:b/>
                <w:sz w:val="22"/>
                <w:szCs w:val="22"/>
                <w:lang w:val="es-MX"/>
              </w:rPr>
            </w:pPr>
            <w:r w:rsidRPr="008452E2">
              <w:rPr>
                <w:rFonts w:ascii="Arial" w:hAnsi="Arial" w:cs="Arial"/>
                <w:b/>
                <w:sz w:val="22"/>
                <w:szCs w:val="22"/>
                <w:lang w:val="es-MX"/>
              </w:rPr>
              <w:t>N°</w:t>
            </w:r>
          </w:p>
        </w:tc>
        <w:tc>
          <w:tcPr>
            <w:tcW w:w="9400" w:type="dxa"/>
          </w:tcPr>
          <w:p w14:paraId="5E44BF9D" w14:textId="77777777" w:rsidR="00561B22" w:rsidRPr="008452E2" w:rsidRDefault="00561B22" w:rsidP="00F1223B">
            <w:pPr>
              <w:jc w:val="center"/>
              <w:rPr>
                <w:rFonts w:ascii="Arial" w:hAnsi="Arial" w:cs="Arial"/>
                <w:b/>
                <w:sz w:val="22"/>
                <w:szCs w:val="22"/>
                <w:lang w:val="es-MX"/>
              </w:rPr>
            </w:pPr>
            <w:r w:rsidRPr="008452E2">
              <w:rPr>
                <w:rFonts w:ascii="Arial" w:hAnsi="Arial" w:cs="Arial"/>
                <w:b/>
                <w:sz w:val="22"/>
                <w:szCs w:val="22"/>
                <w:lang w:val="es-MX"/>
              </w:rPr>
              <w:t>RECOMENDACIONES</w:t>
            </w:r>
          </w:p>
          <w:p w14:paraId="0E77DDCD" w14:textId="77777777" w:rsidR="00561B22" w:rsidRPr="008452E2" w:rsidRDefault="00561B22" w:rsidP="00F1223B">
            <w:pPr>
              <w:jc w:val="center"/>
              <w:rPr>
                <w:rFonts w:ascii="Arial" w:hAnsi="Arial" w:cs="Arial"/>
                <w:b/>
                <w:sz w:val="22"/>
                <w:szCs w:val="22"/>
                <w:lang w:val="es-MX"/>
              </w:rPr>
            </w:pPr>
          </w:p>
        </w:tc>
      </w:tr>
      <w:tr w:rsidR="00561B22" w:rsidRPr="008452E2" w14:paraId="014D6E40" w14:textId="77777777" w:rsidTr="00F1223B">
        <w:tc>
          <w:tcPr>
            <w:tcW w:w="562" w:type="dxa"/>
          </w:tcPr>
          <w:p w14:paraId="2CC4D5EB" w14:textId="77777777" w:rsidR="00561B22" w:rsidRPr="008452E2" w:rsidRDefault="00561B22" w:rsidP="00F1223B">
            <w:pPr>
              <w:jc w:val="center"/>
              <w:rPr>
                <w:rFonts w:ascii="Arial" w:hAnsi="Arial" w:cs="Arial"/>
                <w:b/>
                <w:sz w:val="22"/>
                <w:szCs w:val="22"/>
                <w:lang w:val="es-MX"/>
              </w:rPr>
            </w:pPr>
            <w:r w:rsidRPr="008452E2">
              <w:rPr>
                <w:rFonts w:ascii="Arial" w:hAnsi="Arial" w:cs="Arial"/>
                <w:b/>
                <w:sz w:val="22"/>
                <w:szCs w:val="22"/>
                <w:lang w:val="es-MX"/>
              </w:rPr>
              <w:t>1</w:t>
            </w:r>
          </w:p>
        </w:tc>
        <w:tc>
          <w:tcPr>
            <w:tcW w:w="9400" w:type="dxa"/>
          </w:tcPr>
          <w:p w14:paraId="164F7523" w14:textId="77777777" w:rsidR="00561B22" w:rsidRPr="008452E2" w:rsidRDefault="00561B22" w:rsidP="00F1223B">
            <w:pPr>
              <w:jc w:val="both"/>
              <w:rPr>
                <w:rFonts w:ascii="Arial" w:hAnsi="Arial" w:cs="Arial"/>
                <w:bCs/>
                <w:sz w:val="22"/>
                <w:szCs w:val="22"/>
                <w:lang w:val="es-MX"/>
              </w:rPr>
            </w:pPr>
            <w:r w:rsidRPr="008452E2">
              <w:rPr>
                <w:rFonts w:ascii="Arial" w:hAnsi="Arial" w:cs="Arial"/>
                <w:bCs/>
                <w:sz w:val="22"/>
                <w:szCs w:val="22"/>
                <w:lang w:val="es-MX"/>
              </w:rPr>
              <w:t xml:space="preserve">Mejorar los Canales de Comunicación del Canal porque se generan múltiples requerimientos de las demás áreas de la administración al área Financiera sobre un mismo tema. </w:t>
            </w:r>
          </w:p>
        </w:tc>
      </w:tr>
      <w:tr w:rsidR="00561B22" w:rsidRPr="008452E2" w14:paraId="426521AD" w14:textId="77777777" w:rsidTr="00F1223B">
        <w:tc>
          <w:tcPr>
            <w:tcW w:w="562" w:type="dxa"/>
          </w:tcPr>
          <w:p w14:paraId="128B3903" w14:textId="77777777" w:rsidR="00561B22" w:rsidRPr="008452E2" w:rsidRDefault="00561B22" w:rsidP="00F1223B">
            <w:pPr>
              <w:jc w:val="center"/>
              <w:rPr>
                <w:rFonts w:ascii="Arial" w:hAnsi="Arial" w:cs="Arial"/>
                <w:b/>
                <w:sz w:val="22"/>
                <w:szCs w:val="22"/>
                <w:lang w:val="es-MX"/>
              </w:rPr>
            </w:pPr>
            <w:r w:rsidRPr="008452E2">
              <w:rPr>
                <w:rFonts w:ascii="Arial" w:hAnsi="Arial" w:cs="Arial"/>
                <w:b/>
                <w:sz w:val="22"/>
                <w:szCs w:val="22"/>
                <w:lang w:val="es-MX"/>
              </w:rPr>
              <w:t>2</w:t>
            </w:r>
          </w:p>
        </w:tc>
        <w:tc>
          <w:tcPr>
            <w:tcW w:w="9400" w:type="dxa"/>
          </w:tcPr>
          <w:p w14:paraId="0216DE91" w14:textId="77777777" w:rsidR="00561B22" w:rsidRPr="008452E2" w:rsidRDefault="00561B22" w:rsidP="00F1223B">
            <w:pPr>
              <w:jc w:val="both"/>
              <w:rPr>
                <w:rFonts w:ascii="Arial" w:hAnsi="Arial" w:cs="Arial"/>
                <w:bCs/>
                <w:sz w:val="22"/>
                <w:szCs w:val="22"/>
                <w:lang w:val="es-MX"/>
              </w:rPr>
            </w:pPr>
            <w:r w:rsidRPr="008452E2">
              <w:rPr>
                <w:rFonts w:ascii="Arial" w:hAnsi="Arial" w:cs="Arial"/>
                <w:bCs/>
                <w:sz w:val="22"/>
                <w:szCs w:val="22"/>
                <w:lang w:val="es-MX"/>
              </w:rPr>
              <w:t>Que las demás áreas de la administración participen activamente en los procesos acudiendo a las convocatorias efectuadas sobre procesos de implementación de asuntos financieros.</w:t>
            </w:r>
          </w:p>
        </w:tc>
      </w:tr>
    </w:tbl>
    <w:p w14:paraId="3CC9C680" w14:textId="77777777" w:rsidR="00561B22" w:rsidRPr="008452E2" w:rsidRDefault="00561B22" w:rsidP="00561B22">
      <w:pPr>
        <w:pStyle w:val="Ttulo1"/>
        <w:ind w:right="-50"/>
        <w:jc w:val="both"/>
        <w:rPr>
          <w:sz w:val="22"/>
          <w:szCs w:val="22"/>
        </w:rPr>
      </w:pPr>
    </w:p>
    <w:p w14:paraId="23D0EABA" w14:textId="77777777" w:rsidR="00561B22" w:rsidRPr="008452E2" w:rsidRDefault="00561B22" w:rsidP="00561B22">
      <w:pPr>
        <w:pStyle w:val="Ttulo1"/>
        <w:ind w:right="-50"/>
        <w:jc w:val="both"/>
        <w:rPr>
          <w:sz w:val="24"/>
          <w:szCs w:val="24"/>
          <w:u w:val="single"/>
        </w:rPr>
      </w:pPr>
      <w:r w:rsidRPr="008452E2">
        <w:rPr>
          <w:sz w:val="24"/>
          <w:szCs w:val="24"/>
        </w:rPr>
        <w:t xml:space="preserve">NOTA: </w:t>
      </w:r>
      <w:r w:rsidRPr="008452E2">
        <w:rPr>
          <w:bCs w:val="0"/>
          <w:sz w:val="24"/>
          <w:szCs w:val="24"/>
        </w:rPr>
        <w:t xml:space="preserve">La entidad envía la Matriz de Autoevaluación del Sistema de Control Interno Contable con actividades de control </w:t>
      </w:r>
      <w:r w:rsidRPr="008452E2">
        <w:rPr>
          <w:sz w:val="24"/>
          <w:szCs w:val="24"/>
          <w:u w:val="single"/>
        </w:rPr>
        <w:t>realizadas en forma parcial y otras simplemente informan que no se realizaron.</w:t>
      </w:r>
    </w:p>
    <w:p w14:paraId="20C9AD53" w14:textId="77777777" w:rsidR="00561B22" w:rsidRPr="008452E2" w:rsidRDefault="00561B22" w:rsidP="00561B22">
      <w:pPr>
        <w:ind w:right="-93"/>
        <w:jc w:val="both"/>
        <w:rPr>
          <w:rFonts w:ascii="Arial" w:hAnsi="Arial" w:cs="Arial"/>
          <w:sz w:val="24"/>
          <w:szCs w:val="24"/>
        </w:rPr>
      </w:pPr>
    </w:p>
    <w:p w14:paraId="740B1520" w14:textId="77777777" w:rsidR="00561B22" w:rsidRPr="00F7784D" w:rsidRDefault="00561B22" w:rsidP="00561B22">
      <w:pPr>
        <w:jc w:val="both"/>
        <w:rPr>
          <w:rFonts w:ascii="Arial" w:hAnsi="Arial" w:cs="Arial"/>
          <w:b/>
          <w:sz w:val="28"/>
          <w:szCs w:val="28"/>
          <w:lang w:val="es-MX"/>
        </w:rPr>
      </w:pPr>
      <w:r w:rsidRPr="00F7784D">
        <w:rPr>
          <w:rFonts w:ascii="Arial" w:hAnsi="Arial" w:cs="Arial"/>
          <w:b/>
          <w:sz w:val="28"/>
          <w:szCs w:val="28"/>
          <w:lang w:val="es-MX"/>
        </w:rPr>
        <w:lastRenderedPageBreak/>
        <w:t xml:space="preserve">240.- </w:t>
      </w:r>
      <w:r w:rsidRPr="00F7784D">
        <w:rPr>
          <w:rFonts w:ascii="Arial" w:hAnsi="Arial" w:cs="Arial"/>
          <w:b/>
          <w:sz w:val="28"/>
          <w:szCs w:val="28"/>
        </w:rPr>
        <w:t>AUTORIDAD NACIONAL DE LICENCIAS AMBIENTALES - ANLA</w:t>
      </w:r>
      <w:r w:rsidRPr="00F7784D">
        <w:rPr>
          <w:rFonts w:ascii="Arial" w:hAnsi="Arial" w:cs="Arial"/>
          <w:b/>
          <w:sz w:val="28"/>
          <w:szCs w:val="28"/>
          <w:lang w:val="es-MX"/>
        </w:rPr>
        <w:t>.</w:t>
      </w:r>
    </w:p>
    <w:p w14:paraId="683673DE" w14:textId="77777777" w:rsidR="00561B22" w:rsidRDefault="00561B22" w:rsidP="00561B22">
      <w:pPr>
        <w:pStyle w:val="Textoindependiente"/>
        <w:tabs>
          <w:tab w:val="left" w:pos="2055"/>
        </w:tabs>
        <w:spacing w:before="5"/>
        <w:jc w:val="both"/>
        <w:rPr>
          <w:rFonts w:ascii="Arial" w:hAnsi="Arial" w:cs="Arial"/>
          <w:sz w:val="24"/>
          <w:szCs w:val="24"/>
        </w:rPr>
      </w:pPr>
    </w:p>
    <w:p w14:paraId="0C08069C" w14:textId="77777777" w:rsidR="00561B22" w:rsidRPr="0069606A" w:rsidRDefault="00561B22" w:rsidP="00561B22">
      <w:pPr>
        <w:pStyle w:val="Textoindependiente"/>
        <w:ind w:right="-50"/>
        <w:jc w:val="center"/>
        <w:rPr>
          <w:rFonts w:ascii="Arial" w:hAnsi="Arial" w:cs="Arial"/>
          <w:b/>
          <w:bCs/>
        </w:rPr>
      </w:pPr>
      <w:r w:rsidRPr="0069606A">
        <w:rPr>
          <w:rFonts w:ascii="Arial" w:hAnsi="Arial" w:cs="Arial"/>
          <w:b/>
          <w:bCs/>
        </w:rPr>
        <w:t>INFORME DE LA AUTOCALIFICACIÓN DEL SISTEMA DE CONTROL INTERNO CONTABLE:</w:t>
      </w:r>
    </w:p>
    <w:p w14:paraId="2AF244EC" w14:textId="77777777" w:rsidR="00561B22" w:rsidRPr="0069606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9606A" w14:paraId="37EFCDD8" w14:textId="77777777" w:rsidTr="00F1223B">
        <w:tc>
          <w:tcPr>
            <w:tcW w:w="4981" w:type="dxa"/>
          </w:tcPr>
          <w:p w14:paraId="2B4AD8B1"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AUTOCALIFICACIÓN</w:t>
            </w:r>
          </w:p>
        </w:tc>
        <w:tc>
          <w:tcPr>
            <w:tcW w:w="4981" w:type="dxa"/>
          </w:tcPr>
          <w:p w14:paraId="7167D8A9" w14:textId="77777777" w:rsidR="00561B22" w:rsidRPr="0069606A" w:rsidRDefault="00561B22" w:rsidP="00F1223B">
            <w:pPr>
              <w:jc w:val="center"/>
              <w:rPr>
                <w:rFonts w:ascii="Arial" w:hAnsi="Arial" w:cs="Arial"/>
                <w:b/>
                <w:sz w:val="22"/>
                <w:szCs w:val="22"/>
                <w:u w:val="single"/>
                <w:lang w:val="es-MX"/>
              </w:rPr>
            </w:pPr>
            <w:r w:rsidRPr="0069606A">
              <w:rPr>
                <w:rFonts w:ascii="Arial" w:hAnsi="Arial" w:cs="Arial"/>
                <w:b/>
                <w:sz w:val="22"/>
                <w:szCs w:val="22"/>
                <w:u w:val="single"/>
                <w:lang w:val="es-MX"/>
              </w:rPr>
              <w:t>4.97</w:t>
            </w:r>
          </w:p>
        </w:tc>
      </w:tr>
    </w:tbl>
    <w:p w14:paraId="05B8BA74" w14:textId="77777777" w:rsidR="00561B22" w:rsidRPr="0069606A" w:rsidRDefault="00561B22" w:rsidP="00561B22">
      <w:pPr>
        <w:pStyle w:val="Textoindependiente"/>
        <w:ind w:right="-50"/>
        <w:jc w:val="both"/>
        <w:rPr>
          <w:rFonts w:ascii="Arial" w:hAnsi="Arial" w:cs="Arial"/>
          <w:b/>
          <w:bCs/>
        </w:rPr>
      </w:pPr>
    </w:p>
    <w:p w14:paraId="1AD5A599" w14:textId="77777777" w:rsidR="00561B22" w:rsidRPr="0069606A" w:rsidRDefault="00561B22" w:rsidP="00561B22">
      <w:pPr>
        <w:pStyle w:val="Textoindependiente"/>
        <w:ind w:right="-50"/>
        <w:jc w:val="both"/>
        <w:rPr>
          <w:rFonts w:ascii="Arial" w:hAnsi="Arial" w:cs="Arial"/>
          <w:b/>
          <w:bCs/>
        </w:rPr>
      </w:pPr>
      <w:r w:rsidRPr="0069606A">
        <w:rPr>
          <w:rFonts w:ascii="Arial" w:hAnsi="Arial" w:cs="Arial"/>
          <w:b/>
          <w:bCs/>
        </w:rPr>
        <w:t>Del informe enviado retomamos lo siguiente:</w:t>
      </w:r>
    </w:p>
    <w:p w14:paraId="113E8D91" w14:textId="77777777" w:rsidR="00561B22" w:rsidRPr="0069606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9606A" w14:paraId="04DB1BCF" w14:textId="77777777" w:rsidTr="00F1223B">
        <w:tc>
          <w:tcPr>
            <w:tcW w:w="562" w:type="dxa"/>
          </w:tcPr>
          <w:p w14:paraId="27C9A2E2" w14:textId="77777777" w:rsidR="00561B22" w:rsidRPr="0069606A" w:rsidRDefault="00561B22" w:rsidP="00F1223B">
            <w:pPr>
              <w:ind w:right="-109"/>
              <w:jc w:val="center"/>
              <w:rPr>
                <w:rFonts w:ascii="Arial" w:hAnsi="Arial" w:cs="Arial"/>
                <w:b/>
                <w:sz w:val="22"/>
                <w:szCs w:val="22"/>
                <w:lang w:val="es-MX"/>
              </w:rPr>
            </w:pPr>
            <w:r w:rsidRPr="0069606A">
              <w:rPr>
                <w:rFonts w:ascii="Arial" w:hAnsi="Arial" w:cs="Arial"/>
                <w:b/>
                <w:sz w:val="22"/>
                <w:szCs w:val="22"/>
                <w:lang w:val="es-MX"/>
              </w:rPr>
              <w:t>N°</w:t>
            </w:r>
          </w:p>
        </w:tc>
        <w:tc>
          <w:tcPr>
            <w:tcW w:w="9400" w:type="dxa"/>
          </w:tcPr>
          <w:p w14:paraId="7D7A7C35"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DEBILIDADES</w:t>
            </w:r>
          </w:p>
          <w:p w14:paraId="5EFC01BA" w14:textId="77777777" w:rsidR="00561B22" w:rsidRPr="0069606A" w:rsidRDefault="00561B22" w:rsidP="00F1223B">
            <w:pPr>
              <w:jc w:val="center"/>
              <w:rPr>
                <w:rFonts w:ascii="Arial" w:hAnsi="Arial" w:cs="Arial"/>
                <w:b/>
                <w:sz w:val="22"/>
                <w:szCs w:val="22"/>
                <w:lang w:val="es-MX"/>
              </w:rPr>
            </w:pPr>
          </w:p>
        </w:tc>
      </w:tr>
      <w:tr w:rsidR="00561B22" w:rsidRPr="0069606A" w14:paraId="69F8423F" w14:textId="77777777" w:rsidTr="00F1223B">
        <w:tc>
          <w:tcPr>
            <w:tcW w:w="562" w:type="dxa"/>
          </w:tcPr>
          <w:p w14:paraId="64C68281"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1</w:t>
            </w:r>
          </w:p>
        </w:tc>
        <w:tc>
          <w:tcPr>
            <w:tcW w:w="9400" w:type="dxa"/>
          </w:tcPr>
          <w:p w14:paraId="2E897272" w14:textId="77777777" w:rsidR="00561B22" w:rsidRPr="0069606A" w:rsidRDefault="00561B22" w:rsidP="00F1223B">
            <w:pPr>
              <w:widowControl/>
              <w:autoSpaceDE/>
              <w:autoSpaceDN/>
              <w:jc w:val="both"/>
              <w:rPr>
                <w:rFonts w:ascii="Arial" w:eastAsia="Times New Roman" w:hAnsi="Arial" w:cs="Arial"/>
                <w:sz w:val="22"/>
                <w:szCs w:val="22"/>
                <w:lang w:val="es-CO"/>
              </w:rPr>
            </w:pPr>
            <w:r w:rsidRPr="0069606A">
              <w:rPr>
                <w:rFonts w:ascii="Arial" w:hAnsi="Arial" w:cs="Arial"/>
                <w:sz w:val="22"/>
                <w:szCs w:val="22"/>
              </w:rPr>
              <w:t xml:space="preserve">El SIIF Nación II aún no cuenta con los módulos de inventarios y nómina lo que hace que se tenga que recurrir a otros sistemas o aplicativos y cargar información consolidada. </w:t>
            </w:r>
          </w:p>
        </w:tc>
      </w:tr>
      <w:tr w:rsidR="00561B22" w:rsidRPr="0069606A" w14:paraId="15D093C6" w14:textId="77777777" w:rsidTr="00F1223B">
        <w:tc>
          <w:tcPr>
            <w:tcW w:w="562" w:type="dxa"/>
          </w:tcPr>
          <w:p w14:paraId="74126BFC"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2</w:t>
            </w:r>
          </w:p>
        </w:tc>
        <w:tc>
          <w:tcPr>
            <w:tcW w:w="9400" w:type="dxa"/>
          </w:tcPr>
          <w:p w14:paraId="01C5A17B" w14:textId="77777777" w:rsidR="00561B22" w:rsidRPr="0069606A" w:rsidRDefault="00561B22" w:rsidP="00F1223B">
            <w:pPr>
              <w:jc w:val="both"/>
              <w:rPr>
                <w:rFonts w:ascii="Arial" w:hAnsi="Arial" w:cs="Arial"/>
                <w:b/>
                <w:sz w:val="22"/>
                <w:szCs w:val="22"/>
                <w:lang w:val="es-MX"/>
              </w:rPr>
            </w:pPr>
            <w:r w:rsidRPr="0069606A">
              <w:rPr>
                <w:rFonts w:ascii="Arial" w:hAnsi="Arial" w:cs="Arial"/>
                <w:sz w:val="22"/>
                <w:szCs w:val="22"/>
              </w:rPr>
              <w:t xml:space="preserve">La entidad no cuenta con un software especializado para el manejo y control de bienes. El aplicativo SIGANLA, desarrollado internamente por la ANLA, se utiliza para controlar las entradas y salidas de almacén, pero presenta deficiencias en la clasificación de los elementos del inventario, el registro de activos de menor cuantía y el cálculo de la depreciación. Actualmente, este último se realiza manualmente con el apoyo de Excel, lo que aumenta la probabilidad de errores al transcribir los datos contables, lo que podría generar inconsistencias en la información reportada en los estados financieros, particularmente en el gasto asociado a este concepto. </w:t>
            </w:r>
          </w:p>
        </w:tc>
      </w:tr>
      <w:tr w:rsidR="00561B22" w:rsidRPr="0069606A" w14:paraId="688638E0" w14:textId="77777777" w:rsidTr="00F1223B">
        <w:tc>
          <w:tcPr>
            <w:tcW w:w="562" w:type="dxa"/>
          </w:tcPr>
          <w:p w14:paraId="7DC1CD39"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3</w:t>
            </w:r>
          </w:p>
        </w:tc>
        <w:tc>
          <w:tcPr>
            <w:tcW w:w="9400" w:type="dxa"/>
          </w:tcPr>
          <w:p w14:paraId="0EEB00B1" w14:textId="77777777" w:rsidR="00561B22" w:rsidRPr="0069606A" w:rsidRDefault="00561B22" w:rsidP="00F1223B">
            <w:pPr>
              <w:jc w:val="both"/>
              <w:rPr>
                <w:rFonts w:ascii="Arial" w:hAnsi="Arial" w:cs="Arial"/>
                <w:b/>
                <w:sz w:val="22"/>
                <w:szCs w:val="22"/>
                <w:lang w:val="es-MX"/>
              </w:rPr>
            </w:pPr>
            <w:r w:rsidRPr="0069606A">
              <w:rPr>
                <w:rFonts w:ascii="Arial" w:hAnsi="Arial" w:cs="Arial"/>
                <w:sz w:val="22"/>
                <w:szCs w:val="22"/>
              </w:rPr>
              <w:t xml:space="preserve">El plan institucional de capacitación tiene contemplado un mínimo de temas para la capacitación del personal involucrado en el proceso contable lo que podría repercutir en la falta de mejoramiento en el desarrollo de las competencias y habilidades que fortalezca el desempeño de las actividades. </w:t>
            </w:r>
          </w:p>
        </w:tc>
      </w:tr>
      <w:tr w:rsidR="00561B22" w:rsidRPr="0069606A" w14:paraId="0961120F" w14:textId="77777777" w:rsidTr="00F1223B">
        <w:tc>
          <w:tcPr>
            <w:tcW w:w="562" w:type="dxa"/>
          </w:tcPr>
          <w:p w14:paraId="0040DA85"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4</w:t>
            </w:r>
          </w:p>
        </w:tc>
        <w:tc>
          <w:tcPr>
            <w:tcW w:w="9400" w:type="dxa"/>
          </w:tcPr>
          <w:p w14:paraId="530BDE6E" w14:textId="77777777" w:rsidR="00561B22" w:rsidRPr="0069606A" w:rsidRDefault="00561B22" w:rsidP="00F1223B">
            <w:pPr>
              <w:jc w:val="both"/>
              <w:rPr>
                <w:rFonts w:ascii="Arial" w:hAnsi="Arial" w:cs="Arial"/>
                <w:b/>
                <w:sz w:val="22"/>
                <w:szCs w:val="22"/>
                <w:lang w:val="es-MX"/>
              </w:rPr>
            </w:pPr>
            <w:r w:rsidRPr="0069606A">
              <w:rPr>
                <w:rFonts w:ascii="Arial" w:hAnsi="Arial" w:cs="Arial"/>
                <w:sz w:val="22"/>
                <w:szCs w:val="22"/>
              </w:rPr>
              <w:t xml:space="preserve">Ocho (8) de los nueve (9) riesgos contables definidos no se encuentran integrados en la herramienta dispuesta por la entidad para el monitoreo y control de los mismos. </w:t>
            </w:r>
          </w:p>
        </w:tc>
      </w:tr>
      <w:tr w:rsidR="00561B22" w:rsidRPr="0069606A" w14:paraId="7819C5FB" w14:textId="77777777" w:rsidTr="00F1223B">
        <w:tc>
          <w:tcPr>
            <w:tcW w:w="562" w:type="dxa"/>
          </w:tcPr>
          <w:p w14:paraId="6BFE811E"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5</w:t>
            </w:r>
          </w:p>
        </w:tc>
        <w:tc>
          <w:tcPr>
            <w:tcW w:w="9400" w:type="dxa"/>
          </w:tcPr>
          <w:p w14:paraId="1DAC5A88" w14:textId="77777777" w:rsidR="00561B22" w:rsidRPr="0069606A" w:rsidRDefault="00561B22" w:rsidP="00F1223B">
            <w:pPr>
              <w:jc w:val="both"/>
              <w:rPr>
                <w:rFonts w:ascii="Arial" w:hAnsi="Arial" w:cs="Arial"/>
                <w:b/>
                <w:sz w:val="22"/>
                <w:szCs w:val="22"/>
                <w:lang w:val="es-MX"/>
              </w:rPr>
            </w:pPr>
            <w:r w:rsidRPr="0069606A">
              <w:rPr>
                <w:rFonts w:ascii="Arial" w:hAnsi="Arial" w:cs="Arial"/>
                <w:sz w:val="22"/>
                <w:szCs w:val="22"/>
              </w:rPr>
              <w:t>Se observa debilidad en el cumplimiento del uso completo de la plantilla para las notas a los estados financieros.</w:t>
            </w:r>
          </w:p>
        </w:tc>
      </w:tr>
    </w:tbl>
    <w:p w14:paraId="0FCD1F54" w14:textId="77777777" w:rsidR="00561B22" w:rsidRPr="0069606A" w:rsidRDefault="00561B22" w:rsidP="00561B22">
      <w:pPr>
        <w:pStyle w:val="Textoindependiente"/>
        <w:ind w:right="-50"/>
        <w:jc w:val="both"/>
        <w:rPr>
          <w:rFonts w:ascii="Arial" w:hAnsi="Arial" w:cs="Arial"/>
          <w:b/>
          <w:bCs/>
        </w:rPr>
      </w:pPr>
    </w:p>
    <w:p w14:paraId="4B3797C8" w14:textId="77777777" w:rsidR="00561B22" w:rsidRPr="0069606A" w:rsidRDefault="00561B22" w:rsidP="00561B22">
      <w:pPr>
        <w:jc w:val="both"/>
        <w:rPr>
          <w:rFonts w:ascii="Arial" w:hAnsi="Arial" w:cs="Arial"/>
          <w:b/>
          <w:lang w:val="es-MX"/>
        </w:rPr>
      </w:pPr>
      <w:r w:rsidRPr="0069606A">
        <w:rPr>
          <w:rFonts w:ascii="Arial" w:hAnsi="Arial" w:cs="Arial"/>
          <w:b/>
          <w:lang w:val="es-MX"/>
        </w:rPr>
        <w:t>Del citado informe retomamos las siguientes recomendaciones:</w:t>
      </w:r>
    </w:p>
    <w:p w14:paraId="2EC6AB53" w14:textId="77777777" w:rsidR="00561B22" w:rsidRPr="0069606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9606A" w14:paraId="577DA6AE" w14:textId="77777777" w:rsidTr="00F1223B">
        <w:tc>
          <w:tcPr>
            <w:tcW w:w="562" w:type="dxa"/>
          </w:tcPr>
          <w:p w14:paraId="16A75690" w14:textId="77777777" w:rsidR="00561B22" w:rsidRPr="0069606A" w:rsidRDefault="00561B22" w:rsidP="00F1223B">
            <w:pPr>
              <w:ind w:right="-109"/>
              <w:jc w:val="center"/>
              <w:rPr>
                <w:rFonts w:ascii="Arial" w:hAnsi="Arial" w:cs="Arial"/>
                <w:b/>
                <w:sz w:val="22"/>
                <w:szCs w:val="22"/>
                <w:lang w:val="es-MX"/>
              </w:rPr>
            </w:pPr>
            <w:r w:rsidRPr="0069606A">
              <w:rPr>
                <w:rFonts w:ascii="Arial" w:hAnsi="Arial" w:cs="Arial"/>
                <w:b/>
                <w:sz w:val="22"/>
                <w:szCs w:val="22"/>
                <w:lang w:val="es-MX"/>
              </w:rPr>
              <w:t>N°</w:t>
            </w:r>
          </w:p>
        </w:tc>
        <w:tc>
          <w:tcPr>
            <w:tcW w:w="9400" w:type="dxa"/>
          </w:tcPr>
          <w:p w14:paraId="2CB089C3"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RECOMENDACIONES</w:t>
            </w:r>
          </w:p>
          <w:p w14:paraId="0BA1C134" w14:textId="77777777" w:rsidR="00561B22" w:rsidRPr="0069606A" w:rsidRDefault="00561B22" w:rsidP="00F1223B">
            <w:pPr>
              <w:jc w:val="center"/>
              <w:rPr>
                <w:rFonts w:ascii="Arial" w:hAnsi="Arial" w:cs="Arial"/>
                <w:b/>
                <w:sz w:val="22"/>
                <w:szCs w:val="22"/>
                <w:lang w:val="es-MX"/>
              </w:rPr>
            </w:pPr>
          </w:p>
        </w:tc>
      </w:tr>
      <w:tr w:rsidR="00561B22" w:rsidRPr="0069606A" w14:paraId="1580030F" w14:textId="77777777" w:rsidTr="00F1223B">
        <w:tblPrEx>
          <w:tblCellMar>
            <w:left w:w="70" w:type="dxa"/>
            <w:right w:w="70" w:type="dxa"/>
          </w:tblCellMar>
        </w:tblPrEx>
        <w:tc>
          <w:tcPr>
            <w:tcW w:w="562" w:type="dxa"/>
          </w:tcPr>
          <w:p w14:paraId="0A70434C"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1</w:t>
            </w:r>
          </w:p>
        </w:tc>
        <w:tc>
          <w:tcPr>
            <w:tcW w:w="9400" w:type="dxa"/>
          </w:tcPr>
          <w:p w14:paraId="0FD2652C" w14:textId="77777777" w:rsidR="00561B22" w:rsidRPr="0069606A" w:rsidRDefault="00561B22" w:rsidP="00F1223B">
            <w:pPr>
              <w:jc w:val="both"/>
              <w:rPr>
                <w:rFonts w:ascii="Arial" w:hAnsi="Arial" w:cs="Arial"/>
                <w:b/>
                <w:sz w:val="22"/>
                <w:szCs w:val="22"/>
                <w:lang w:val="es-MX"/>
              </w:rPr>
            </w:pPr>
            <w:r w:rsidRPr="0069606A">
              <w:rPr>
                <w:rFonts w:ascii="Arial" w:eastAsiaTheme="minorHAnsi" w:hAnsi="Arial" w:cs="Arial"/>
                <w:color w:val="000000"/>
                <w:sz w:val="22"/>
                <w:szCs w:val="22"/>
                <w:lang w:val="es-CO"/>
              </w:rPr>
              <w:t xml:space="preserve">Adelantar gestiones de manera prioritaria con el fin de lograr la implementación del módulo de SIIF para el manejo de inventarios. </w:t>
            </w:r>
          </w:p>
        </w:tc>
      </w:tr>
      <w:tr w:rsidR="00561B22" w:rsidRPr="0069606A" w14:paraId="7E66EBD2" w14:textId="77777777" w:rsidTr="00F1223B">
        <w:tc>
          <w:tcPr>
            <w:tcW w:w="562" w:type="dxa"/>
          </w:tcPr>
          <w:p w14:paraId="6B020128"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2</w:t>
            </w:r>
          </w:p>
        </w:tc>
        <w:tc>
          <w:tcPr>
            <w:tcW w:w="9400" w:type="dxa"/>
          </w:tcPr>
          <w:p w14:paraId="46F349E7" w14:textId="77777777" w:rsidR="00561B22" w:rsidRPr="0069606A" w:rsidRDefault="00561B22" w:rsidP="00F1223B">
            <w:pPr>
              <w:jc w:val="both"/>
              <w:rPr>
                <w:rFonts w:ascii="Arial" w:hAnsi="Arial" w:cs="Arial"/>
                <w:b/>
                <w:sz w:val="22"/>
                <w:szCs w:val="22"/>
                <w:lang w:val="es-MX"/>
              </w:rPr>
            </w:pPr>
            <w:r w:rsidRPr="0069606A">
              <w:rPr>
                <w:rFonts w:ascii="Arial" w:eastAsiaTheme="minorHAnsi" w:hAnsi="Arial" w:cs="Arial"/>
                <w:color w:val="000000"/>
                <w:sz w:val="22"/>
                <w:szCs w:val="22"/>
                <w:lang w:val="es-CO"/>
              </w:rPr>
              <w:t xml:space="preserve">Proponer al grupo de Gestión Humana la inclusión de capacitaciones y programas de actualización en el plan de capacitación institucional, dirigidos al personal contable, con el objetivo de fortalecer el desarrollo de sus competencias. De esta manera, los profesionales podrán adquirir y/o reforzar habilidades y actitudes que mejoren su destreza y desempeño en el ámbito laboral. </w:t>
            </w:r>
          </w:p>
        </w:tc>
      </w:tr>
      <w:tr w:rsidR="00561B22" w:rsidRPr="0069606A" w14:paraId="462EED90" w14:textId="77777777" w:rsidTr="00F1223B">
        <w:tc>
          <w:tcPr>
            <w:tcW w:w="562" w:type="dxa"/>
          </w:tcPr>
          <w:p w14:paraId="4D71CD60"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3</w:t>
            </w:r>
          </w:p>
        </w:tc>
        <w:tc>
          <w:tcPr>
            <w:tcW w:w="9400" w:type="dxa"/>
          </w:tcPr>
          <w:p w14:paraId="21E0BFE8" w14:textId="77777777" w:rsidR="00561B22" w:rsidRPr="0069606A" w:rsidRDefault="00561B22" w:rsidP="00F1223B">
            <w:pPr>
              <w:jc w:val="both"/>
              <w:rPr>
                <w:rFonts w:ascii="Arial" w:hAnsi="Arial" w:cs="Arial"/>
                <w:b/>
                <w:sz w:val="22"/>
                <w:szCs w:val="22"/>
                <w:lang w:val="es-MX"/>
              </w:rPr>
            </w:pPr>
            <w:r w:rsidRPr="0069606A">
              <w:rPr>
                <w:rFonts w:ascii="Arial" w:eastAsiaTheme="minorHAnsi" w:hAnsi="Arial" w:cs="Arial"/>
                <w:color w:val="000000"/>
                <w:sz w:val="22"/>
                <w:szCs w:val="22"/>
                <w:lang w:val="es-CO"/>
              </w:rPr>
              <w:t xml:space="preserve">Incluir en la herramienta dispuesta por la entidad los riesgos contables, acorde con la política de administración de riesgos de la entidad de manera tal que facilite para el monitoreo y control de estos. </w:t>
            </w:r>
          </w:p>
        </w:tc>
      </w:tr>
      <w:tr w:rsidR="00561B22" w:rsidRPr="0069606A" w14:paraId="71B7B448" w14:textId="77777777" w:rsidTr="00F1223B">
        <w:tc>
          <w:tcPr>
            <w:tcW w:w="562" w:type="dxa"/>
          </w:tcPr>
          <w:p w14:paraId="115C95B1"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4</w:t>
            </w:r>
          </w:p>
        </w:tc>
        <w:tc>
          <w:tcPr>
            <w:tcW w:w="9400" w:type="dxa"/>
          </w:tcPr>
          <w:p w14:paraId="27E75BC1" w14:textId="77777777" w:rsidR="00561B22" w:rsidRPr="0069606A" w:rsidRDefault="00561B22" w:rsidP="00F1223B">
            <w:pPr>
              <w:jc w:val="both"/>
              <w:rPr>
                <w:rFonts w:ascii="Arial" w:hAnsi="Arial" w:cs="Arial"/>
                <w:b/>
                <w:sz w:val="22"/>
                <w:szCs w:val="22"/>
                <w:lang w:val="es-MX"/>
              </w:rPr>
            </w:pPr>
            <w:r w:rsidRPr="0069606A">
              <w:rPr>
                <w:rFonts w:ascii="Arial" w:eastAsiaTheme="minorHAnsi" w:hAnsi="Arial" w:cs="Arial"/>
                <w:color w:val="000000"/>
                <w:sz w:val="22"/>
                <w:szCs w:val="22"/>
                <w:lang w:val="es-CO"/>
              </w:rPr>
              <w:t xml:space="preserve">Establecer acciones de autocontrol que garanticen el cumplimiento del 100% de lo estipulado en la normatividad emitida por la Contaduría General de la Nación, así como por los órganos de control encargados de regular el sistema contable y presupuestal de la nación. </w:t>
            </w:r>
          </w:p>
        </w:tc>
      </w:tr>
      <w:tr w:rsidR="00561B22" w:rsidRPr="0069606A" w14:paraId="044C2BB4" w14:textId="77777777" w:rsidTr="00F1223B">
        <w:tc>
          <w:tcPr>
            <w:tcW w:w="562" w:type="dxa"/>
          </w:tcPr>
          <w:p w14:paraId="2F8C1EB3" w14:textId="77777777" w:rsidR="00561B22" w:rsidRPr="0069606A" w:rsidRDefault="00561B22" w:rsidP="00F1223B">
            <w:pPr>
              <w:jc w:val="center"/>
              <w:rPr>
                <w:rFonts w:ascii="Arial" w:hAnsi="Arial" w:cs="Arial"/>
                <w:b/>
                <w:sz w:val="22"/>
                <w:szCs w:val="22"/>
                <w:lang w:val="es-MX"/>
              </w:rPr>
            </w:pPr>
            <w:r w:rsidRPr="0069606A">
              <w:rPr>
                <w:rFonts w:ascii="Arial" w:hAnsi="Arial" w:cs="Arial"/>
                <w:b/>
                <w:sz w:val="22"/>
                <w:szCs w:val="22"/>
                <w:lang w:val="es-MX"/>
              </w:rPr>
              <w:t>5</w:t>
            </w:r>
          </w:p>
        </w:tc>
        <w:tc>
          <w:tcPr>
            <w:tcW w:w="9400" w:type="dxa"/>
          </w:tcPr>
          <w:p w14:paraId="2D828C46" w14:textId="77777777" w:rsidR="00561B22" w:rsidRPr="0069606A" w:rsidRDefault="00561B22" w:rsidP="00F1223B">
            <w:pPr>
              <w:jc w:val="both"/>
              <w:rPr>
                <w:rFonts w:ascii="Arial" w:hAnsi="Arial" w:cs="Arial"/>
                <w:b/>
                <w:sz w:val="22"/>
                <w:szCs w:val="22"/>
                <w:lang w:val="es-MX"/>
              </w:rPr>
            </w:pPr>
            <w:r w:rsidRPr="0069606A">
              <w:rPr>
                <w:rFonts w:ascii="Arial" w:eastAsiaTheme="minorHAnsi" w:hAnsi="Arial" w:cs="Arial"/>
                <w:color w:val="000000"/>
                <w:sz w:val="22"/>
                <w:szCs w:val="22"/>
                <w:lang w:val="es-CO"/>
              </w:rPr>
              <w:t>Realizar ejercicios de autoevaluación regulares al proceso contable, con el fin de identificar oportunidades de mejora, asegurando que las actividades contables se realicen de manera precisa y conforme a las normativas.</w:t>
            </w:r>
          </w:p>
        </w:tc>
      </w:tr>
    </w:tbl>
    <w:p w14:paraId="79355CCC" w14:textId="77777777" w:rsidR="00561B22" w:rsidRPr="0069606A" w:rsidRDefault="00561B22" w:rsidP="00561B22">
      <w:pPr>
        <w:pStyle w:val="Textoindependiente"/>
        <w:ind w:right="-50"/>
        <w:jc w:val="both"/>
        <w:rPr>
          <w:rFonts w:ascii="Arial" w:hAnsi="Arial" w:cs="Arial"/>
          <w:b/>
          <w:bCs/>
        </w:rPr>
      </w:pPr>
    </w:p>
    <w:p w14:paraId="0F35F819" w14:textId="77777777" w:rsidR="00561B22" w:rsidRPr="0069606A" w:rsidRDefault="00561B22" w:rsidP="00561B22">
      <w:pPr>
        <w:jc w:val="both"/>
        <w:rPr>
          <w:rFonts w:ascii="Arial" w:hAnsi="Arial" w:cs="Arial"/>
          <w:b/>
          <w:bCs/>
          <w:sz w:val="24"/>
          <w:szCs w:val="24"/>
          <w:lang w:val="es-CO"/>
        </w:rPr>
      </w:pPr>
      <w:r w:rsidRPr="0069606A">
        <w:rPr>
          <w:rFonts w:ascii="Arial" w:hAnsi="Arial" w:cs="Arial"/>
          <w:b/>
          <w:bCs/>
          <w:sz w:val="24"/>
          <w:szCs w:val="24"/>
          <w:lang w:val="es-CO"/>
        </w:rPr>
        <w:t xml:space="preserve">NOTA: LA ENTIDAD ENVIA LA MATRIZ DE AUTOEVALUACIÓN DEL SISTEMA DE CONTROL INTERNO CONTABLE CON </w:t>
      </w:r>
      <w:r w:rsidRPr="0069606A">
        <w:rPr>
          <w:rFonts w:ascii="Arial" w:hAnsi="Arial" w:cs="Arial"/>
          <w:b/>
          <w:bCs/>
          <w:sz w:val="24"/>
          <w:szCs w:val="24"/>
          <w:u w:val="single"/>
          <w:lang w:val="es-CO"/>
        </w:rPr>
        <w:t xml:space="preserve">ACTIVIDADES DE CONTROL REALIZADAS EN </w:t>
      </w:r>
      <w:r w:rsidRPr="0069606A">
        <w:rPr>
          <w:rFonts w:ascii="Arial" w:hAnsi="Arial" w:cs="Arial"/>
          <w:b/>
          <w:bCs/>
          <w:sz w:val="24"/>
          <w:szCs w:val="24"/>
          <w:u w:val="single"/>
          <w:lang w:val="es-CO"/>
        </w:rPr>
        <w:lastRenderedPageBreak/>
        <w:t>FORMA PARCIAL</w:t>
      </w:r>
      <w:r w:rsidRPr="0069606A">
        <w:rPr>
          <w:rFonts w:ascii="Arial" w:hAnsi="Arial" w:cs="Arial"/>
          <w:b/>
          <w:bCs/>
          <w:sz w:val="24"/>
          <w:szCs w:val="24"/>
          <w:lang w:val="es-CO"/>
        </w:rPr>
        <w:t>.</w:t>
      </w:r>
    </w:p>
    <w:p w14:paraId="247B7F78" w14:textId="77777777" w:rsidR="00561B22" w:rsidRPr="0069606A" w:rsidRDefault="00561B22" w:rsidP="00561B22">
      <w:pPr>
        <w:pStyle w:val="Textoindependiente"/>
        <w:ind w:right="-50"/>
        <w:jc w:val="both"/>
        <w:rPr>
          <w:rFonts w:ascii="Arial" w:hAnsi="Arial" w:cs="Arial"/>
          <w:b/>
          <w:bCs/>
          <w:sz w:val="28"/>
          <w:szCs w:val="28"/>
        </w:rPr>
      </w:pPr>
    </w:p>
    <w:p w14:paraId="30D5F4C3" w14:textId="77777777" w:rsidR="00561B22" w:rsidRPr="00BB3125" w:rsidRDefault="00561B22" w:rsidP="00561B22">
      <w:pPr>
        <w:ind w:right="49"/>
        <w:jc w:val="both"/>
        <w:rPr>
          <w:rFonts w:ascii="Arial" w:hAnsi="Arial" w:cs="Arial"/>
          <w:b/>
          <w:sz w:val="28"/>
          <w:szCs w:val="28"/>
          <w:lang w:val="es-MX"/>
        </w:rPr>
      </w:pPr>
      <w:r w:rsidRPr="00BB3125">
        <w:rPr>
          <w:rFonts w:ascii="Arial" w:hAnsi="Arial" w:cs="Arial"/>
          <w:b/>
          <w:sz w:val="28"/>
          <w:szCs w:val="28"/>
          <w:lang w:val="es-MX"/>
        </w:rPr>
        <w:t xml:space="preserve">241.- </w:t>
      </w:r>
      <w:r w:rsidRPr="00BB3125">
        <w:rPr>
          <w:rFonts w:ascii="Arial" w:hAnsi="Arial" w:cs="Arial"/>
          <w:b/>
          <w:sz w:val="28"/>
          <w:szCs w:val="28"/>
        </w:rPr>
        <w:t>CORPORACIÓN AUTÓNOMA REGIONAL PARA EL DESARROLLO SOSTENIBLE DEL CHOCÓ - CODECHOCÓ</w:t>
      </w:r>
      <w:r w:rsidRPr="00BB3125">
        <w:rPr>
          <w:rFonts w:ascii="Arial" w:hAnsi="Arial" w:cs="Arial"/>
          <w:b/>
          <w:sz w:val="28"/>
          <w:szCs w:val="28"/>
          <w:lang w:val="es-MX"/>
        </w:rPr>
        <w:t>.</w:t>
      </w:r>
    </w:p>
    <w:p w14:paraId="1B1BB256" w14:textId="77777777" w:rsidR="00561B22" w:rsidRPr="008452E2" w:rsidRDefault="00561B22" w:rsidP="00561B22">
      <w:pPr>
        <w:pStyle w:val="Textoindependiente"/>
        <w:tabs>
          <w:tab w:val="left" w:pos="2055"/>
        </w:tabs>
        <w:spacing w:before="5"/>
        <w:jc w:val="both"/>
        <w:rPr>
          <w:rFonts w:ascii="Arial" w:hAnsi="Arial" w:cs="Arial"/>
          <w:sz w:val="24"/>
          <w:szCs w:val="24"/>
        </w:rPr>
      </w:pPr>
    </w:p>
    <w:p w14:paraId="10954A63" w14:textId="77777777" w:rsidR="00561B22" w:rsidRPr="000259E0" w:rsidRDefault="00561B22" w:rsidP="00561B22">
      <w:pPr>
        <w:pStyle w:val="Textoindependiente"/>
        <w:ind w:right="-50"/>
        <w:jc w:val="center"/>
        <w:rPr>
          <w:rFonts w:ascii="Arial" w:hAnsi="Arial" w:cs="Arial"/>
          <w:b/>
          <w:bCs/>
        </w:rPr>
      </w:pPr>
      <w:r w:rsidRPr="000259E0">
        <w:rPr>
          <w:rFonts w:ascii="Arial" w:hAnsi="Arial" w:cs="Arial"/>
          <w:b/>
          <w:bCs/>
        </w:rPr>
        <w:t>INFORME DE LA AUTOCALIFICACIÓN DEL SISTEMA DE CONTROL INTERNO CONTABLE:</w:t>
      </w:r>
    </w:p>
    <w:p w14:paraId="4A5373D5" w14:textId="77777777" w:rsidR="00561B22" w:rsidRPr="000259E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259E0" w14:paraId="4144B398" w14:textId="77777777" w:rsidTr="00F1223B">
        <w:tc>
          <w:tcPr>
            <w:tcW w:w="4981" w:type="dxa"/>
          </w:tcPr>
          <w:p w14:paraId="7E8F913C" w14:textId="77777777" w:rsidR="00561B22" w:rsidRPr="000259E0" w:rsidRDefault="00561B22" w:rsidP="00F1223B">
            <w:pPr>
              <w:jc w:val="center"/>
              <w:rPr>
                <w:rFonts w:ascii="Arial" w:hAnsi="Arial" w:cs="Arial"/>
                <w:b/>
                <w:sz w:val="22"/>
                <w:szCs w:val="22"/>
                <w:lang w:val="es-MX"/>
              </w:rPr>
            </w:pPr>
            <w:r w:rsidRPr="000259E0">
              <w:rPr>
                <w:rFonts w:ascii="Arial" w:hAnsi="Arial" w:cs="Arial"/>
                <w:b/>
                <w:sz w:val="22"/>
                <w:szCs w:val="22"/>
                <w:lang w:val="es-MX"/>
              </w:rPr>
              <w:t>AUTOCALIFICACIÓN</w:t>
            </w:r>
          </w:p>
        </w:tc>
        <w:tc>
          <w:tcPr>
            <w:tcW w:w="4981" w:type="dxa"/>
          </w:tcPr>
          <w:p w14:paraId="64C3A959" w14:textId="77777777" w:rsidR="00561B22" w:rsidRPr="000259E0" w:rsidRDefault="00561B22" w:rsidP="00F1223B">
            <w:pPr>
              <w:jc w:val="center"/>
              <w:rPr>
                <w:rFonts w:ascii="Arial" w:hAnsi="Arial" w:cs="Arial"/>
                <w:b/>
                <w:sz w:val="22"/>
                <w:szCs w:val="22"/>
                <w:u w:val="single"/>
                <w:lang w:val="es-MX"/>
              </w:rPr>
            </w:pPr>
            <w:r w:rsidRPr="000259E0">
              <w:rPr>
                <w:rFonts w:ascii="Arial" w:hAnsi="Arial" w:cs="Arial"/>
                <w:b/>
                <w:sz w:val="22"/>
                <w:szCs w:val="22"/>
                <w:u w:val="single"/>
                <w:lang w:val="es-MX"/>
              </w:rPr>
              <w:t>4.99</w:t>
            </w:r>
          </w:p>
        </w:tc>
      </w:tr>
    </w:tbl>
    <w:p w14:paraId="03AA9627" w14:textId="77777777" w:rsidR="00561B22" w:rsidRPr="000259E0" w:rsidRDefault="00561B22" w:rsidP="00561B22">
      <w:pPr>
        <w:pStyle w:val="Textoindependiente"/>
        <w:ind w:right="-50"/>
        <w:jc w:val="both"/>
        <w:rPr>
          <w:rFonts w:ascii="Arial" w:hAnsi="Arial" w:cs="Arial"/>
          <w:b/>
          <w:bCs/>
        </w:rPr>
      </w:pPr>
    </w:p>
    <w:p w14:paraId="424F1808" w14:textId="77777777" w:rsidR="00561B22" w:rsidRPr="000259E0" w:rsidRDefault="00561B22" w:rsidP="00561B22">
      <w:pPr>
        <w:pStyle w:val="Textoindependiente"/>
        <w:ind w:right="-50"/>
        <w:jc w:val="both"/>
        <w:rPr>
          <w:rFonts w:ascii="Arial" w:hAnsi="Arial" w:cs="Arial"/>
          <w:b/>
          <w:bCs/>
        </w:rPr>
      </w:pPr>
      <w:r w:rsidRPr="000259E0">
        <w:rPr>
          <w:rFonts w:ascii="Arial" w:hAnsi="Arial" w:cs="Arial"/>
          <w:b/>
          <w:bCs/>
        </w:rPr>
        <w:t>Del informe enviado retomamos lo siguiente:</w:t>
      </w:r>
    </w:p>
    <w:p w14:paraId="6F59B7C8" w14:textId="77777777" w:rsidR="00561B22" w:rsidRPr="000259E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259E0" w14:paraId="79BBA6AF" w14:textId="77777777" w:rsidTr="00F1223B">
        <w:tc>
          <w:tcPr>
            <w:tcW w:w="562" w:type="dxa"/>
          </w:tcPr>
          <w:p w14:paraId="5FEC5B6E" w14:textId="77777777" w:rsidR="00561B22" w:rsidRPr="000259E0" w:rsidRDefault="00561B22" w:rsidP="00F1223B">
            <w:pPr>
              <w:ind w:right="-109"/>
              <w:jc w:val="center"/>
              <w:rPr>
                <w:rFonts w:ascii="Arial" w:hAnsi="Arial" w:cs="Arial"/>
                <w:b/>
                <w:sz w:val="22"/>
                <w:szCs w:val="22"/>
                <w:lang w:val="es-MX"/>
              </w:rPr>
            </w:pPr>
            <w:r w:rsidRPr="000259E0">
              <w:rPr>
                <w:rFonts w:ascii="Arial" w:hAnsi="Arial" w:cs="Arial"/>
                <w:b/>
                <w:sz w:val="22"/>
                <w:szCs w:val="22"/>
                <w:lang w:val="es-MX"/>
              </w:rPr>
              <w:t>N°</w:t>
            </w:r>
          </w:p>
        </w:tc>
        <w:tc>
          <w:tcPr>
            <w:tcW w:w="9400" w:type="dxa"/>
          </w:tcPr>
          <w:p w14:paraId="097C7AD5" w14:textId="77777777" w:rsidR="00561B22" w:rsidRPr="000259E0" w:rsidRDefault="00561B22" w:rsidP="00F1223B">
            <w:pPr>
              <w:jc w:val="center"/>
              <w:rPr>
                <w:rFonts w:ascii="Arial" w:hAnsi="Arial" w:cs="Arial"/>
                <w:b/>
                <w:sz w:val="22"/>
                <w:szCs w:val="22"/>
                <w:lang w:val="es-MX"/>
              </w:rPr>
            </w:pPr>
            <w:r w:rsidRPr="000259E0">
              <w:rPr>
                <w:rFonts w:ascii="Arial" w:hAnsi="Arial" w:cs="Arial"/>
                <w:b/>
                <w:sz w:val="22"/>
                <w:szCs w:val="22"/>
                <w:lang w:val="es-MX"/>
              </w:rPr>
              <w:t>DEBILIDADES</w:t>
            </w:r>
          </w:p>
          <w:p w14:paraId="0780F820" w14:textId="77777777" w:rsidR="00561B22" w:rsidRPr="000259E0" w:rsidRDefault="00561B22" w:rsidP="00F1223B">
            <w:pPr>
              <w:jc w:val="center"/>
              <w:rPr>
                <w:rFonts w:ascii="Arial" w:hAnsi="Arial" w:cs="Arial"/>
                <w:b/>
                <w:sz w:val="22"/>
                <w:szCs w:val="22"/>
                <w:lang w:val="es-MX"/>
              </w:rPr>
            </w:pPr>
          </w:p>
        </w:tc>
      </w:tr>
      <w:tr w:rsidR="00561B22" w:rsidRPr="000259E0" w14:paraId="35586907" w14:textId="77777777" w:rsidTr="00F1223B">
        <w:tc>
          <w:tcPr>
            <w:tcW w:w="562" w:type="dxa"/>
          </w:tcPr>
          <w:p w14:paraId="2EF67738" w14:textId="77777777" w:rsidR="00561B22" w:rsidRPr="000259E0" w:rsidRDefault="00561B22" w:rsidP="00F1223B">
            <w:pPr>
              <w:jc w:val="center"/>
              <w:rPr>
                <w:rFonts w:ascii="Arial" w:hAnsi="Arial" w:cs="Arial"/>
                <w:b/>
                <w:sz w:val="22"/>
                <w:szCs w:val="22"/>
                <w:lang w:val="es-MX"/>
              </w:rPr>
            </w:pPr>
            <w:r w:rsidRPr="000259E0">
              <w:rPr>
                <w:rFonts w:ascii="Arial" w:hAnsi="Arial" w:cs="Arial"/>
                <w:b/>
                <w:sz w:val="22"/>
                <w:szCs w:val="22"/>
                <w:lang w:val="es-MX"/>
              </w:rPr>
              <w:t>1</w:t>
            </w:r>
          </w:p>
        </w:tc>
        <w:tc>
          <w:tcPr>
            <w:tcW w:w="9400" w:type="dxa"/>
          </w:tcPr>
          <w:p w14:paraId="40486BB2" w14:textId="77777777" w:rsidR="00561B22" w:rsidRPr="000259E0" w:rsidRDefault="00561B22" w:rsidP="00F1223B">
            <w:pPr>
              <w:rPr>
                <w:rFonts w:ascii="Arial" w:hAnsi="Arial" w:cs="Arial"/>
                <w:b/>
                <w:sz w:val="22"/>
                <w:szCs w:val="22"/>
                <w:lang w:val="es-MX"/>
              </w:rPr>
            </w:pPr>
            <w:r w:rsidRPr="000259E0">
              <w:rPr>
                <w:rFonts w:ascii="Arial" w:hAnsi="Arial" w:cs="Arial"/>
                <w:b/>
                <w:sz w:val="22"/>
                <w:szCs w:val="22"/>
                <w:lang w:val="es-MX"/>
              </w:rPr>
              <w:t>Organizar el archivo en estantes.</w:t>
            </w:r>
          </w:p>
        </w:tc>
      </w:tr>
    </w:tbl>
    <w:p w14:paraId="1BC1F176" w14:textId="77777777" w:rsidR="00561B22" w:rsidRPr="000259E0" w:rsidRDefault="00561B22" w:rsidP="00561B22">
      <w:pPr>
        <w:pStyle w:val="Textoindependiente"/>
        <w:ind w:right="-50"/>
        <w:jc w:val="both"/>
        <w:rPr>
          <w:rFonts w:ascii="Arial" w:hAnsi="Arial" w:cs="Arial"/>
          <w:b/>
          <w:bCs/>
        </w:rPr>
      </w:pPr>
    </w:p>
    <w:p w14:paraId="7A58ED04" w14:textId="77777777" w:rsidR="00561B22" w:rsidRPr="000259E0" w:rsidRDefault="00561B22" w:rsidP="00561B22">
      <w:pPr>
        <w:jc w:val="both"/>
        <w:rPr>
          <w:rFonts w:ascii="Arial" w:hAnsi="Arial" w:cs="Arial"/>
          <w:b/>
          <w:lang w:val="es-MX"/>
        </w:rPr>
      </w:pPr>
      <w:r w:rsidRPr="000259E0">
        <w:rPr>
          <w:rFonts w:ascii="Arial" w:hAnsi="Arial" w:cs="Arial"/>
          <w:b/>
          <w:lang w:val="es-MX"/>
        </w:rPr>
        <w:t>Del citado informe retomamos las siguientes recomendaciones:</w:t>
      </w:r>
    </w:p>
    <w:p w14:paraId="4089B8A6" w14:textId="77777777" w:rsidR="00561B22" w:rsidRPr="000259E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259E0" w14:paraId="36361F52" w14:textId="77777777" w:rsidTr="00F1223B">
        <w:tc>
          <w:tcPr>
            <w:tcW w:w="562" w:type="dxa"/>
          </w:tcPr>
          <w:p w14:paraId="7E7D9E6E" w14:textId="77777777" w:rsidR="00561B22" w:rsidRPr="000259E0" w:rsidRDefault="00561B22" w:rsidP="00F1223B">
            <w:pPr>
              <w:ind w:right="-109"/>
              <w:jc w:val="center"/>
              <w:rPr>
                <w:rFonts w:ascii="Arial" w:hAnsi="Arial" w:cs="Arial"/>
                <w:b/>
                <w:sz w:val="22"/>
                <w:szCs w:val="22"/>
                <w:lang w:val="es-MX"/>
              </w:rPr>
            </w:pPr>
            <w:r w:rsidRPr="000259E0">
              <w:rPr>
                <w:rFonts w:ascii="Arial" w:hAnsi="Arial" w:cs="Arial"/>
                <w:b/>
                <w:sz w:val="22"/>
                <w:szCs w:val="22"/>
                <w:lang w:val="es-MX"/>
              </w:rPr>
              <w:t>N°</w:t>
            </w:r>
          </w:p>
        </w:tc>
        <w:tc>
          <w:tcPr>
            <w:tcW w:w="9400" w:type="dxa"/>
          </w:tcPr>
          <w:p w14:paraId="3433D1E8" w14:textId="77777777" w:rsidR="00561B22" w:rsidRPr="000259E0" w:rsidRDefault="00561B22" w:rsidP="00F1223B">
            <w:pPr>
              <w:jc w:val="center"/>
              <w:rPr>
                <w:rFonts w:ascii="Arial" w:hAnsi="Arial" w:cs="Arial"/>
                <w:b/>
                <w:sz w:val="22"/>
                <w:szCs w:val="22"/>
                <w:lang w:val="es-MX"/>
              </w:rPr>
            </w:pPr>
            <w:r w:rsidRPr="000259E0">
              <w:rPr>
                <w:rFonts w:ascii="Arial" w:hAnsi="Arial" w:cs="Arial"/>
                <w:b/>
                <w:sz w:val="22"/>
                <w:szCs w:val="22"/>
                <w:lang w:val="es-MX"/>
              </w:rPr>
              <w:t>RECOMENDACIONES</w:t>
            </w:r>
          </w:p>
          <w:p w14:paraId="43087325" w14:textId="77777777" w:rsidR="00561B22" w:rsidRPr="000259E0" w:rsidRDefault="00561B22" w:rsidP="00F1223B">
            <w:pPr>
              <w:jc w:val="center"/>
              <w:rPr>
                <w:rFonts w:ascii="Arial" w:hAnsi="Arial" w:cs="Arial"/>
                <w:b/>
                <w:sz w:val="22"/>
                <w:szCs w:val="22"/>
                <w:lang w:val="es-MX"/>
              </w:rPr>
            </w:pPr>
          </w:p>
        </w:tc>
      </w:tr>
      <w:tr w:rsidR="00561B22" w:rsidRPr="000259E0" w14:paraId="5C9A25ED" w14:textId="77777777" w:rsidTr="00F1223B">
        <w:tc>
          <w:tcPr>
            <w:tcW w:w="562" w:type="dxa"/>
          </w:tcPr>
          <w:p w14:paraId="555C4E33" w14:textId="77777777" w:rsidR="00561B22" w:rsidRPr="000259E0" w:rsidRDefault="00561B22" w:rsidP="00F1223B">
            <w:pPr>
              <w:jc w:val="center"/>
              <w:rPr>
                <w:rFonts w:ascii="Arial" w:hAnsi="Arial" w:cs="Arial"/>
                <w:b/>
                <w:sz w:val="22"/>
                <w:szCs w:val="22"/>
                <w:lang w:val="es-MX"/>
              </w:rPr>
            </w:pPr>
            <w:r w:rsidRPr="000259E0">
              <w:rPr>
                <w:rFonts w:ascii="Arial" w:hAnsi="Arial" w:cs="Arial"/>
                <w:b/>
                <w:sz w:val="22"/>
                <w:szCs w:val="22"/>
                <w:lang w:val="es-MX"/>
              </w:rPr>
              <w:t>1</w:t>
            </w:r>
          </w:p>
        </w:tc>
        <w:tc>
          <w:tcPr>
            <w:tcW w:w="9400" w:type="dxa"/>
          </w:tcPr>
          <w:p w14:paraId="5130EA52" w14:textId="77777777" w:rsidR="00561B22" w:rsidRPr="000259E0" w:rsidRDefault="00561B22" w:rsidP="00F1223B">
            <w:pPr>
              <w:jc w:val="both"/>
              <w:rPr>
                <w:rFonts w:ascii="Arial" w:hAnsi="Arial" w:cs="Arial"/>
                <w:b/>
                <w:sz w:val="22"/>
                <w:szCs w:val="22"/>
                <w:lang w:val="es-MX"/>
              </w:rPr>
            </w:pPr>
            <w:r w:rsidRPr="000259E0">
              <w:rPr>
                <w:rFonts w:ascii="Arial" w:hAnsi="Arial" w:cs="Arial"/>
                <w:sz w:val="22"/>
                <w:szCs w:val="22"/>
              </w:rPr>
              <w:t>La Oficina de Control Interno recomienda que al menos una vez al año en coordinación con el área contable, se realice inventario físico tal como lo establece la Circular Externa No. 042 de 2001 y la Resolución 357 de 2008 de la Contaduría General de la Nación, esto, con el fin de realizar los ajustes en el mismo período en el cual se presenten las novedades del inventario en caso de llegarse a presentar.</w:t>
            </w:r>
          </w:p>
        </w:tc>
      </w:tr>
      <w:tr w:rsidR="00561B22" w:rsidRPr="000259E0" w14:paraId="2F7A008F" w14:textId="77777777" w:rsidTr="00F1223B">
        <w:tc>
          <w:tcPr>
            <w:tcW w:w="562" w:type="dxa"/>
          </w:tcPr>
          <w:p w14:paraId="20ADE2A5" w14:textId="77777777" w:rsidR="00561B22" w:rsidRPr="000259E0" w:rsidRDefault="00561B22" w:rsidP="00F1223B">
            <w:pPr>
              <w:jc w:val="center"/>
              <w:rPr>
                <w:rFonts w:ascii="Arial" w:hAnsi="Arial" w:cs="Arial"/>
                <w:b/>
                <w:sz w:val="22"/>
                <w:szCs w:val="22"/>
                <w:lang w:val="es-MX"/>
              </w:rPr>
            </w:pPr>
            <w:r w:rsidRPr="000259E0">
              <w:rPr>
                <w:rFonts w:ascii="Arial" w:hAnsi="Arial" w:cs="Arial"/>
                <w:b/>
                <w:sz w:val="22"/>
                <w:szCs w:val="22"/>
                <w:lang w:val="es-MX"/>
              </w:rPr>
              <w:t>2</w:t>
            </w:r>
          </w:p>
        </w:tc>
        <w:tc>
          <w:tcPr>
            <w:tcW w:w="9400" w:type="dxa"/>
          </w:tcPr>
          <w:p w14:paraId="49DC9CD9" w14:textId="77777777" w:rsidR="00561B22" w:rsidRPr="000259E0" w:rsidRDefault="00561B22" w:rsidP="00F1223B">
            <w:pPr>
              <w:jc w:val="both"/>
              <w:rPr>
                <w:rFonts w:ascii="Arial" w:hAnsi="Arial" w:cs="Arial"/>
                <w:b/>
                <w:sz w:val="22"/>
                <w:szCs w:val="22"/>
                <w:lang w:val="es-MX"/>
              </w:rPr>
            </w:pPr>
            <w:r w:rsidRPr="000259E0">
              <w:rPr>
                <w:rFonts w:ascii="Arial" w:hAnsi="Arial" w:cs="Arial"/>
                <w:sz w:val="22"/>
                <w:szCs w:val="22"/>
              </w:rPr>
              <w:t>se organice el archivo de gestión en especial el de consulta permanente, implementación de registro de actividades y listas de verificación.</w:t>
            </w:r>
          </w:p>
        </w:tc>
      </w:tr>
    </w:tbl>
    <w:p w14:paraId="76742B9D" w14:textId="77777777" w:rsidR="00561B22" w:rsidRPr="000259E0" w:rsidRDefault="00561B22" w:rsidP="00561B22">
      <w:pPr>
        <w:pStyle w:val="Textoindependiente"/>
        <w:ind w:right="-50"/>
        <w:jc w:val="both"/>
        <w:rPr>
          <w:rFonts w:ascii="Arial" w:hAnsi="Arial" w:cs="Arial"/>
          <w:b/>
          <w:bCs/>
        </w:rPr>
      </w:pPr>
    </w:p>
    <w:p w14:paraId="61BA12AE" w14:textId="77777777" w:rsidR="00561B22" w:rsidRPr="000259E0" w:rsidRDefault="00561B22" w:rsidP="00561B22">
      <w:pPr>
        <w:jc w:val="both"/>
        <w:rPr>
          <w:rFonts w:ascii="Arial" w:hAnsi="Arial" w:cs="Arial"/>
          <w:b/>
          <w:bCs/>
          <w:sz w:val="24"/>
          <w:szCs w:val="24"/>
          <w:lang w:val="es-CO"/>
        </w:rPr>
      </w:pPr>
      <w:r w:rsidRPr="000259E0">
        <w:rPr>
          <w:rFonts w:ascii="Arial" w:hAnsi="Arial" w:cs="Arial"/>
          <w:b/>
          <w:bCs/>
          <w:sz w:val="24"/>
          <w:szCs w:val="24"/>
          <w:lang w:val="es-CO"/>
        </w:rPr>
        <w:t xml:space="preserve">NOTA: LA ENTIDAD ENVIA LA MATRIZ DE AUTOEVALUACIÓN DEL SISTEMA DE CONTROL INTERNO CONTABLE CON </w:t>
      </w:r>
      <w:r w:rsidRPr="000259E0">
        <w:rPr>
          <w:rFonts w:ascii="Arial" w:hAnsi="Arial" w:cs="Arial"/>
          <w:b/>
          <w:bCs/>
          <w:sz w:val="24"/>
          <w:szCs w:val="24"/>
          <w:u w:val="single"/>
          <w:lang w:val="es-CO"/>
        </w:rPr>
        <w:t>ACTIVIDADES DE CONTROL REALIZADAS EN FORMA PARCIAL</w:t>
      </w:r>
      <w:r w:rsidRPr="000259E0">
        <w:rPr>
          <w:rFonts w:ascii="Arial" w:hAnsi="Arial" w:cs="Arial"/>
          <w:b/>
          <w:bCs/>
          <w:sz w:val="24"/>
          <w:szCs w:val="24"/>
          <w:lang w:val="es-CO"/>
        </w:rPr>
        <w:t>.</w:t>
      </w:r>
    </w:p>
    <w:p w14:paraId="3A6B85BD" w14:textId="77777777" w:rsidR="00561B22" w:rsidRPr="000259E0" w:rsidRDefault="00561B22" w:rsidP="00561B22">
      <w:pPr>
        <w:pStyle w:val="Textoindependiente"/>
        <w:tabs>
          <w:tab w:val="left" w:pos="2055"/>
        </w:tabs>
        <w:spacing w:before="5"/>
        <w:rPr>
          <w:rFonts w:ascii="Arial" w:hAnsi="Arial" w:cs="Arial"/>
        </w:rPr>
      </w:pPr>
    </w:p>
    <w:p w14:paraId="49F6660C" w14:textId="77777777" w:rsidR="00561B22" w:rsidRPr="004C3868" w:rsidRDefault="00561B22" w:rsidP="00561B22">
      <w:pPr>
        <w:ind w:right="-142"/>
        <w:jc w:val="both"/>
        <w:rPr>
          <w:rFonts w:ascii="Arial" w:hAnsi="Arial" w:cs="Arial"/>
          <w:b/>
          <w:sz w:val="28"/>
          <w:szCs w:val="28"/>
          <w:lang w:val="es-MX"/>
        </w:rPr>
      </w:pPr>
      <w:r w:rsidRPr="004C3868">
        <w:rPr>
          <w:rFonts w:ascii="Arial" w:hAnsi="Arial" w:cs="Arial"/>
          <w:b/>
          <w:sz w:val="28"/>
          <w:szCs w:val="28"/>
          <w:lang w:val="es-MX"/>
        </w:rPr>
        <w:t xml:space="preserve">242.- </w:t>
      </w:r>
      <w:r w:rsidRPr="004C3868">
        <w:rPr>
          <w:rFonts w:ascii="Arial" w:hAnsi="Arial" w:cs="Arial"/>
          <w:b/>
          <w:sz w:val="28"/>
          <w:szCs w:val="28"/>
        </w:rPr>
        <w:t>FIDUCIARIA COLOMBIANA DE COMERCIO EXTERIOR S.A. – FIDUCOLDEX S.A.</w:t>
      </w:r>
    </w:p>
    <w:p w14:paraId="0CB5B1A7" w14:textId="77777777" w:rsidR="00561B22" w:rsidRDefault="00561B22" w:rsidP="00561B22">
      <w:pPr>
        <w:pStyle w:val="Textoindependiente"/>
        <w:ind w:right="-50"/>
        <w:jc w:val="both"/>
        <w:rPr>
          <w:b/>
          <w:sz w:val="28"/>
          <w:szCs w:val="28"/>
        </w:rPr>
      </w:pPr>
    </w:p>
    <w:p w14:paraId="316D1E99" w14:textId="77777777" w:rsidR="00561B22" w:rsidRPr="004C3868" w:rsidRDefault="00561B22" w:rsidP="00561B22">
      <w:pPr>
        <w:pStyle w:val="Textoindependiente"/>
        <w:ind w:right="-50"/>
        <w:jc w:val="center"/>
        <w:rPr>
          <w:rFonts w:ascii="Arial" w:hAnsi="Arial" w:cs="Arial"/>
          <w:b/>
          <w:bCs/>
        </w:rPr>
      </w:pPr>
      <w:r w:rsidRPr="004C3868">
        <w:rPr>
          <w:rFonts w:ascii="Arial" w:hAnsi="Arial" w:cs="Arial"/>
          <w:b/>
          <w:bCs/>
        </w:rPr>
        <w:t>INFORME DE LA AUTOCALIFICACIÓN DEL SISTEMA DE CONTROL INTERNO CONTABLE:</w:t>
      </w:r>
    </w:p>
    <w:p w14:paraId="423B9FA2" w14:textId="77777777" w:rsidR="00561B22" w:rsidRPr="004C386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C3868" w14:paraId="61FE5966" w14:textId="77777777" w:rsidTr="00F1223B">
        <w:tc>
          <w:tcPr>
            <w:tcW w:w="4981" w:type="dxa"/>
          </w:tcPr>
          <w:p w14:paraId="0467F1B5"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AUTOCALIFICACIÓN</w:t>
            </w:r>
          </w:p>
        </w:tc>
        <w:tc>
          <w:tcPr>
            <w:tcW w:w="4981" w:type="dxa"/>
          </w:tcPr>
          <w:p w14:paraId="22B056CA" w14:textId="77777777" w:rsidR="00561B22" w:rsidRPr="004C3868" w:rsidRDefault="00561B22" w:rsidP="00F1223B">
            <w:pPr>
              <w:jc w:val="center"/>
              <w:rPr>
                <w:rFonts w:ascii="Arial" w:hAnsi="Arial" w:cs="Arial"/>
                <w:b/>
                <w:sz w:val="22"/>
                <w:szCs w:val="22"/>
                <w:u w:val="single"/>
                <w:lang w:val="es-MX"/>
              </w:rPr>
            </w:pPr>
            <w:r w:rsidRPr="004C3868">
              <w:rPr>
                <w:rFonts w:ascii="Arial" w:hAnsi="Arial" w:cs="Arial"/>
                <w:b/>
                <w:sz w:val="22"/>
                <w:szCs w:val="22"/>
                <w:u w:val="single"/>
                <w:lang w:val="es-MX"/>
              </w:rPr>
              <w:t>?</w:t>
            </w:r>
          </w:p>
        </w:tc>
      </w:tr>
    </w:tbl>
    <w:p w14:paraId="75B88BF9" w14:textId="77777777" w:rsidR="00561B22" w:rsidRPr="004C3868" w:rsidRDefault="00561B22" w:rsidP="00561B22">
      <w:pPr>
        <w:pStyle w:val="Textoindependiente"/>
        <w:ind w:right="-50"/>
        <w:jc w:val="both"/>
        <w:rPr>
          <w:rFonts w:ascii="Arial" w:hAnsi="Arial" w:cs="Arial"/>
        </w:rPr>
      </w:pPr>
    </w:p>
    <w:p w14:paraId="43DEBB34" w14:textId="77777777" w:rsidR="00561B22" w:rsidRPr="004C3868" w:rsidRDefault="00561B22" w:rsidP="00561B22">
      <w:pPr>
        <w:pStyle w:val="Textoindependiente"/>
        <w:ind w:right="-50"/>
        <w:jc w:val="both"/>
        <w:rPr>
          <w:rFonts w:ascii="Arial" w:hAnsi="Arial" w:cs="Arial"/>
        </w:rPr>
      </w:pPr>
      <w:r w:rsidRPr="004C3868">
        <w:rPr>
          <w:rFonts w:ascii="Arial" w:hAnsi="Arial" w:cs="Arial"/>
          <w:b/>
          <w:bCs/>
        </w:rPr>
        <w:t xml:space="preserve">NOTA: </w:t>
      </w:r>
      <w:r w:rsidRPr="004C3868">
        <w:rPr>
          <w:rFonts w:ascii="Arial" w:hAnsi="Arial" w:cs="Arial"/>
        </w:rPr>
        <w:t>La entidad no informa la calificación obtenida en la autoevaluación del Sistema de Control Interno Contable.</w:t>
      </w:r>
    </w:p>
    <w:p w14:paraId="52C09B85" w14:textId="77777777" w:rsidR="00561B22" w:rsidRPr="004C3868" w:rsidRDefault="00561B22" w:rsidP="00561B22">
      <w:pPr>
        <w:pStyle w:val="Textoindependiente"/>
        <w:ind w:right="-50"/>
        <w:jc w:val="both"/>
        <w:rPr>
          <w:rFonts w:ascii="Arial" w:hAnsi="Arial" w:cs="Arial"/>
        </w:rPr>
      </w:pPr>
    </w:p>
    <w:p w14:paraId="421B3128" w14:textId="77777777" w:rsidR="00561B22" w:rsidRPr="004C3868" w:rsidRDefault="00561B22" w:rsidP="00561B22">
      <w:pPr>
        <w:pStyle w:val="Textoindependiente"/>
        <w:ind w:right="-50"/>
        <w:jc w:val="both"/>
        <w:rPr>
          <w:rFonts w:ascii="Arial" w:hAnsi="Arial" w:cs="Arial"/>
          <w:b/>
          <w:bCs/>
        </w:rPr>
      </w:pPr>
      <w:r w:rsidRPr="004C3868">
        <w:rPr>
          <w:rFonts w:ascii="Arial" w:hAnsi="Arial" w:cs="Arial"/>
          <w:b/>
          <w:bCs/>
        </w:rPr>
        <w:t>Del informe enviado retomamos lo siguiente:</w:t>
      </w:r>
    </w:p>
    <w:p w14:paraId="28399E54" w14:textId="77777777" w:rsidR="00561B22" w:rsidRPr="004C386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C3868" w14:paraId="7D3E7591" w14:textId="77777777" w:rsidTr="00F1223B">
        <w:tc>
          <w:tcPr>
            <w:tcW w:w="562" w:type="dxa"/>
          </w:tcPr>
          <w:p w14:paraId="457BCB57" w14:textId="77777777" w:rsidR="00561B22" w:rsidRPr="004C3868" w:rsidRDefault="00561B22" w:rsidP="00F1223B">
            <w:pPr>
              <w:ind w:right="-109"/>
              <w:jc w:val="center"/>
              <w:rPr>
                <w:rFonts w:ascii="Arial" w:hAnsi="Arial" w:cs="Arial"/>
                <w:b/>
                <w:sz w:val="22"/>
                <w:szCs w:val="22"/>
                <w:lang w:val="es-MX"/>
              </w:rPr>
            </w:pPr>
            <w:r w:rsidRPr="004C3868">
              <w:rPr>
                <w:rFonts w:ascii="Arial" w:hAnsi="Arial" w:cs="Arial"/>
                <w:b/>
                <w:sz w:val="22"/>
                <w:szCs w:val="22"/>
                <w:lang w:val="es-MX"/>
              </w:rPr>
              <w:t>N°</w:t>
            </w:r>
          </w:p>
        </w:tc>
        <w:tc>
          <w:tcPr>
            <w:tcW w:w="9400" w:type="dxa"/>
          </w:tcPr>
          <w:p w14:paraId="3934A5BE"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DEBILIDADES</w:t>
            </w:r>
          </w:p>
          <w:p w14:paraId="33C73B66" w14:textId="77777777" w:rsidR="00561B22" w:rsidRPr="004C3868" w:rsidRDefault="00561B22" w:rsidP="00F1223B">
            <w:pPr>
              <w:jc w:val="center"/>
              <w:rPr>
                <w:rFonts w:ascii="Arial" w:hAnsi="Arial" w:cs="Arial"/>
                <w:b/>
                <w:sz w:val="22"/>
                <w:szCs w:val="22"/>
                <w:lang w:val="es-MX"/>
              </w:rPr>
            </w:pPr>
          </w:p>
        </w:tc>
      </w:tr>
      <w:tr w:rsidR="00561B22" w:rsidRPr="004C3868" w14:paraId="77EF6DDD" w14:textId="77777777" w:rsidTr="00F1223B">
        <w:tc>
          <w:tcPr>
            <w:tcW w:w="562" w:type="dxa"/>
          </w:tcPr>
          <w:p w14:paraId="603140BF"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1</w:t>
            </w:r>
          </w:p>
        </w:tc>
        <w:tc>
          <w:tcPr>
            <w:tcW w:w="9400" w:type="dxa"/>
          </w:tcPr>
          <w:p w14:paraId="5C8DD001"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Se observaron situaciones objeto de recomendación relacionadas con:</w:t>
            </w:r>
          </w:p>
          <w:p w14:paraId="4771906D"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 xml:space="preserve"> - Planes de capacitación para toda la Gerencia de Contabilidad.</w:t>
            </w:r>
          </w:p>
          <w:p w14:paraId="6ABE8C2C"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 xml:space="preserve"> - Los instructivos de las actividades relacionadas con las interfaces del aplicativo CORE (SIFI) y de los diferentes módulos satélites.</w:t>
            </w:r>
          </w:p>
          <w:p w14:paraId="2B146760"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 xml:space="preserve"> - La matriz de roles y perfiles de la Gerencia Contable.</w:t>
            </w:r>
          </w:p>
          <w:p w14:paraId="48CE9D39"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lastRenderedPageBreak/>
              <w:t xml:space="preserve"> - Controles de revisión para los comprobantes contables.</w:t>
            </w:r>
          </w:p>
          <w:p w14:paraId="39727B42" w14:textId="77777777" w:rsidR="00561B22" w:rsidRPr="004C3868" w:rsidRDefault="00561B22" w:rsidP="00F1223B">
            <w:pPr>
              <w:jc w:val="both"/>
              <w:rPr>
                <w:rFonts w:ascii="Arial" w:hAnsi="Arial" w:cs="Arial"/>
                <w:sz w:val="22"/>
                <w:szCs w:val="22"/>
              </w:rPr>
            </w:pPr>
            <w:r w:rsidRPr="004C3868">
              <w:rPr>
                <w:rFonts w:ascii="Arial" w:hAnsi="Arial" w:cs="Arial"/>
                <w:b/>
                <w:bCs/>
                <w:sz w:val="22"/>
                <w:szCs w:val="22"/>
              </w:rPr>
              <w:t>Nota:</w:t>
            </w:r>
            <w:r w:rsidRPr="004C3868">
              <w:rPr>
                <w:rFonts w:ascii="Arial" w:hAnsi="Arial" w:cs="Arial"/>
                <w:sz w:val="22"/>
                <w:szCs w:val="22"/>
              </w:rPr>
              <w:t xml:space="preserve"> El detalle de las observaciones y recomendaciones será divulgada al interior de la Fiduciaria de acuerdo con los lineamientos emitidos por la Gerencia de Auditoría y a los planes de acción que se definan para su remedición se les efectuará seguimiento de acuerdo con los Procedimiento de Plan de Acción (PR-GPR-008) y de Seguimiento de Planes de Acción (PR-ACO-005).</w:t>
            </w:r>
          </w:p>
        </w:tc>
      </w:tr>
    </w:tbl>
    <w:p w14:paraId="37569DCA" w14:textId="77777777" w:rsidR="00561B22" w:rsidRPr="004C3868" w:rsidRDefault="00561B22" w:rsidP="00561B22">
      <w:pPr>
        <w:pStyle w:val="Textoindependiente"/>
        <w:ind w:right="-50"/>
        <w:jc w:val="both"/>
        <w:rPr>
          <w:rFonts w:ascii="Arial" w:hAnsi="Arial" w:cs="Arial"/>
          <w:b/>
          <w:bCs/>
        </w:rPr>
      </w:pPr>
    </w:p>
    <w:p w14:paraId="10F01472" w14:textId="77777777" w:rsidR="00561B22" w:rsidRPr="004C3868" w:rsidRDefault="00561B22" w:rsidP="00561B22">
      <w:pPr>
        <w:jc w:val="both"/>
        <w:rPr>
          <w:rFonts w:ascii="Arial" w:hAnsi="Arial" w:cs="Arial"/>
          <w:b/>
          <w:lang w:val="es-MX"/>
        </w:rPr>
      </w:pPr>
      <w:r w:rsidRPr="004C3868">
        <w:rPr>
          <w:rFonts w:ascii="Arial" w:hAnsi="Arial" w:cs="Arial"/>
          <w:b/>
          <w:lang w:val="es-MX"/>
        </w:rPr>
        <w:t>Del citado informe retomamos las siguientes recomendaciones:</w:t>
      </w:r>
    </w:p>
    <w:p w14:paraId="654D0685" w14:textId="77777777" w:rsidR="00561B22" w:rsidRPr="004C386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C3868" w14:paraId="0F840E7A" w14:textId="77777777" w:rsidTr="00F1223B">
        <w:tc>
          <w:tcPr>
            <w:tcW w:w="562" w:type="dxa"/>
          </w:tcPr>
          <w:p w14:paraId="5700037E" w14:textId="77777777" w:rsidR="00561B22" w:rsidRPr="004C3868" w:rsidRDefault="00561B22" w:rsidP="00F1223B">
            <w:pPr>
              <w:ind w:right="-109"/>
              <w:jc w:val="center"/>
              <w:rPr>
                <w:rFonts w:ascii="Arial" w:hAnsi="Arial" w:cs="Arial"/>
                <w:b/>
                <w:sz w:val="22"/>
                <w:szCs w:val="22"/>
                <w:lang w:val="es-MX"/>
              </w:rPr>
            </w:pPr>
            <w:r w:rsidRPr="004C3868">
              <w:rPr>
                <w:rFonts w:ascii="Arial" w:hAnsi="Arial" w:cs="Arial"/>
                <w:b/>
                <w:sz w:val="22"/>
                <w:szCs w:val="22"/>
                <w:lang w:val="es-MX"/>
              </w:rPr>
              <w:t>N°</w:t>
            </w:r>
          </w:p>
        </w:tc>
        <w:tc>
          <w:tcPr>
            <w:tcW w:w="9400" w:type="dxa"/>
          </w:tcPr>
          <w:p w14:paraId="3692D72F"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RECOMENDACIONES</w:t>
            </w:r>
          </w:p>
          <w:p w14:paraId="3A55FAD2" w14:textId="77777777" w:rsidR="00561B22" w:rsidRPr="004C3868" w:rsidRDefault="00561B22" w:rsidP="00F1223B">
            <w:pPr>
              <w:jc w:val="center"/>
              <w:rPr>
                <w:rFonts w:ascii="Arial" w:hAnsi="Arial" w:cs="Arial"/>
                <w:b/>
                <w:sz w:val="22"/>
                <w:szCs w:val="22"/>
                <w:lang w:val="es-MX"/>
              </w:rPr>
            </w:pPr>
          </w:p>
        </w:tc>
      </w:tr>
      <w:tr w:rsidR="00561B22" w:rsidRPr="004C3868" w14:paraId="26CBF300" w14:textId="77777777" w:rsidTr="00F1223B">
        <w:tc>
          <w:tcPr>
            <w:tcW w:w="562" w:type="dxa"/>
          </w:tcPr>
          <w:p w14:paraId="582C1D09"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1</w:t>
            </w:r>
          </w:p>
        </w:tc>
        <w:tc>
          <w:tcPr>
            <w:tcW w:w="9400" w:type="dxa"/>
          </w:tcPr>
          <w:p w14:paraId="2F62BD62"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Se recomienda a la administración:</w:t>
            </w:r>
          </w:p>
          <w:p w14:paraId="7A082DA4"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Formalizar planes de capacitación para toda la Gerencia de Contabilidad, teniendo en cuenta los procesos de actualización documental que se desarrollaron durante el 2024.</w:t>
            </w:r>
          </w:p>
        </w:tc>
      </w:tr>
      <w:tr w:rsidR="00561B22" w:rsidRPr="004C3868" w14:paraId="6047F044" w14:textId="77777777" w:rsidTr="00F1223B">
        <w:tc>
          <w:tcPr>
            <w:tcW w:w="562" w:type="dxa"/>
          </w:tcPr>
          <w:p w14:paraId="79361BBE"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2</w:t>
            </w:r>
          </w:p>
        </w:tc>
        <w:tc>
          <w:tcPr>
            <w:tcW w:w="9400" w:type="dxa"/>
          </w:tcPr>
          <w:p w14:paraId="2BD33293"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Fortalecer la documentación de los instructivos de las actividades relacionadas con las interfaces del aplicativo CORE (SIFI) y de los diferentes módulos satélites.</w:t>
            </w:r>
          </w:p>
        </w:tc>
      </w:tr>
      <w:tr w:rsidR="00561B22" w:rsidRPr="004C3868" w14:paraId="09271AD2" w14:textId="77777777" w:rsidTr="00F1223B">
        <w:tc>
          <w:tcPr>
            <w:tcW w:w="562" w:type="dxa"/>
          </w:tcPr>
          <w:p w14:paraId="42D949C1"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3</w:t>
            </w:r>
          </w:p>
        </w:tc>
        <w:tc>
          <w:tcPr>
            <w:tcW w:w="9400" w:type="dxa"/>
          </w:tcPr>
          <w:p w14:paraId="24EF3DEB" w14:textId="77777777" w:rsidR="00561B22" w:rsidRPr="004C3868" w:rsidRDefault="00561B22" w:rsidP="00F1223B">
            <w:pPr>
              <w:jc w:val="both"/>
              <w:rPr>
                <w:rFonts w:ascii="Arial" w:hAnsi="Arial" w:cs="Arial"/>
                <w:sz w:val="22"/>
                <w:szCs w:val="22"/>
              </w:rPr>
            </w:pPr>
            <w:r w:rsidRPr="004C3868">
              <w:rPr>
                <w:rFonts w:ascii="Arial" w:hAnsi="Arial" w:cs="Arial"/>
                <w:sz w:val="22"/>
                <w:szCs w:val="22"/>
              </w:rPr>
              <w:t xml:space="preserve">Fortalecer la matriz de roles y perfiles de la Gerencia Contable, así como su divulgación. </w:t>
            </w:r>
          </w:p>
        </w:tc>
      </w:tr>
      <w:tr w:rsidR="00561B22" w:rsidRPr="004C3868" w14:paraId="460649B2" w14:textId="77777777" w:rsidTr="00F1223B">
        <w:tc>
          <w:tcPr>
            <w:tcW w:w="562" w:type="dxa"/>
          </w:tcPr>
          <w:p w14:paraId="3C3C917A" w14:textId="77777777" w:rsidR="00561B22" w:rsidRPr="004C3868" w:rsidRDefault="00561B22" w:rsidP="00F1223B">
            <w:pPr>
              <w:jc w:val="center"/>
              <w:rPr>
                <w:rFonts w:ascii="Arial" w:hAnsi="Arial" w:cs="Arial"/>
                <w:b/>
                <w:sz w:val="22"/>
                <w:szCs w:val="22"/>
                <w:lang w:val="es-MX"/>
              </w:rPr>
            </w:pPr>
            <w:r w:rsidRPr="004C3868">
              <w:rPr>
                <w:rFonts w:ascii="Arial" w:hAnsi="Arial" w:cs="Arial"/>
                <w:b/>
                <w:sz w:val="22"/>
                <w:szCs w:val="22"/>
                <w:lang w:val="es-MX"/>
              </w:rPr>
              <w:t>4</w:t>
            </w:r>
          </w:p>
        </w:tc>
        <w:tc>
          <w:tcPr>
            <w:tcW w:w="9400" w:type="dxa"/>
          </w:tcPr>
          <w:p w14:paraId="7AA5CF15" w14:textId="77777777" w:rsidR="00561B22" w:rsidRPr="004C3868" w:rsidRDefault="00561B22" w:rsidP="00F1223B">
            <w:pPr>
              <w:jc w:val="both"/>
              <w:rPr>
                <w:rFonts w:ascii="Arial" w:hAnsi="Arial" w:cs="Arial"/>
                <w:b/>
                <w:sz w:val="22"/>
                <w:szCs w:val="22"/>
                <w:lang w:val="es-MX"/>
              </w:rPr>
            </w:pPr>
            <w:r w:rsidRPr="004C3868">
              <w:rPr>
                <w:rFonts w:ascii="Arial" w:hAnsi="Arial" w:cs="Arial"/>
                <w:sz w:val="22"/>
                <w:szCs w:val="22"/>
              </w:rPr>
              <w:t>Formalizar controles de revisión para los comprobantes contables.</w:t>
            </w:r>
          </w:p>
        </w:tc>
      </w:tr>
    </w:tbl>
    <w:p w14:paraId="7A460F3F" w14:textId="77777777" w:rsidR="00561B22" w:rsidRPr="004C3868" w:rsidRDefault="00561B22" w:rsidP="00561B22">
      <w:pPr>
        <w:pStyle w:val="Textoindependiente"/>
        <w:ind w:right="-50"/>
        <w:jc w:val="both"/>
        <w:rPr>
          <w:rFonts w:ascii="Arial" w:hAnsi="Arial" w:cs="Arial"/>
          <w:b/>
          <w:bCs/>
        </w:rPr>
      </w:pPr>
    </w:p>
    <w:p w14:paraId="6CC3DF11" w14:textId="77777777" w:rsidR="00561B22" w:rsidRPr="004C3868" w:rsidRDefault="00561B22" w:rsidP="00561B22">
      <w:pPr>
        <w:jc w:val="both"/>
        <w:rPr>
          <w:rFonts w:ascii="Arial" w:hAnsi="Arial" w:cs="Arial"/>
          <w:b/>
          <w:bCs/>
          <w:sz w:val="24"/>
          <w:szCs w:val="24"/>
          <w:lang w:val="es-CO"/>
        </w:rPr>
      </w:pPr>
      <w:r w:rsidRPr="004C3868">
        <w:rPr>
          <w:rFonts w:ascii="Arial" w:hAnsi="Arial" w:cs="Arial"/>
          <w:b/>
          <w:bCs/>
          <w:sz w:val="24"/>
          <w:szCs w:val="24"/>
          <w:lang w:val="es-CO"/>
        </w:rPr>
        <w:t xml:space="preserve">NOTA: LA ENTIDAD ENVIA LA MATRIZ DE AUTOEVALUACIÓN DEL SISTEMA DE CONTROL INTERNO CONTABLE CON </w:t>
      </w:r>
      <w:r w:rsidRPr="004C3868">
        <w:rPr>
          <w:rFonts w:ascii="Arial" w:hAnsi="Arial" w:cs="Arial"/>
          <w:b/>
          <w:bCs/>
          <w:sz w:val="24"/>
          <w:szCs w:val="24"/>
          <w:u w:val="single"/>
          <w:lang w:val="es-CO"/>
        </w:rPr>
        <w:t>ACTIVIDADES DE CONTROL REALIZADAS EN FORMA PARCIAL</w:t>
      </w:r>
      <w:r w:rsidRPr="004C3868">
        <w:rPr>
          <w:rFonts w:ascii="Arial" w:hAnsi="Arial" w:cs="Arial"/>
          <w:b/>
          <w:bCs/>
          <w:sz w:val="24"/>
          <w:szCs w:val="24"/>
          <w:lang w:val="es-CO"/>
        </w:rPr>
        <w:t>.</w:t>
      </w:r>
    </w:p>
    <w:p w14:paraId="315180B2" w14:textId="77777777" w:rsidR="00561B22" w:rsidRDefault="00561B22" w:rsidP="00561B22">
      <w:pPr>
        <w:pStyle w:val="Textoindependiente"/>
        <w:ind w:right="-50"/>
        <w:jc w:val="both"/>
        <w:rPr>
          <w:rFonts w:ascii="Arial" w:hAnsi="Arial" w:cs="Arial"/>
          <w:b/>
          <w:bCs/>
          <w:sz w:val="28"/>
          <w:szCs w:val="28"/>
        </w:rPr>
      </w:pPr>
    </w:p>
    <w:p w14:paraId="1EC2E756" w14:textId="77777777" w:rsidR="00561B22" w:rsidRPr="009A492A" w:rsidRDefault="00561B22" w:rsidP="00561B22">
      <w:pPr>
        <w:jc w:val="both"/>
        <w:rPr>
          <w:rFonts w:ascii="Arial" w:hAnsi="Arial" w:cs="Arial"/>
          <w:b/>
          <w:sz w:val="28"/>
          <w:szCs w:val="28"/>
          <w:lang w:val="es-MX"/>
        </w:rPr>
      </w:pPr>
      <w:r w:rsidRPr="009A492A">
        <w:rPr>
          <w:rFonts w:ascii="Arial" w:hAnsi="Arial" w:cs="Arial"/>
          <w:b/>
          <w:sz w:val="28"/>
          <w:szCs w:val="28"/>
          <w:lang w:val="es-MX"/>
        </w:rPr>
        <w:t xml:space="preserve">243.- FONDO NACIONAL DEL AHORRO – FNA. </w:t>
      </w:r>
    </w:p>
    <w:p w14:paraId="36318A56" w14:textId="77777777" w:rsidR="00561B22" w:rsidRDefault="00561B22" w:rsidP="00561B22">
      <w:pPr>
        <w:pStyle w:val="Textoindependiente"/>
        <w:ind w:right="-50"/>
        <w:jc w:val="both"/>
        <w:rPr>
          <w:rFonts w:ascii="Arial" w:hAnsi="Arial" w:cs="Arial"/>
          <w:b/>
          <w:bCs/>
          <w:sz w:val="28"/>
          <w:szCs w:val="28"/>
        </w:rPr>
      </w:pPr>
    </w:p>
    <w:p w14:paraId="2594D2A5" w14:textId="77777777" w:rsidR="00561B22" w:rsidRPr="005E4EB4" w:rsidRDefault="00561B22" w:rsidP="00561B22">
      <w:pPr>
        <w:pStyle w:val="Textoindependiente"/>
        <w:ind w:right="-50"/>
        <w:jc w:val="center"/>
        <w:rPr>
          <w:rFonts w:ascii="Arial" w:hAnsi="Arial" w:cs="Arial"/>
          <w:b/>
          <w:bCs/>
        </w:rPr>
      </w:pPr>
      <w:r w:rsidRPr="005E4EB4">
        <w:rPr>
          <w:rFonts w:ascii="Arial" w:hAnsi="Arial" w:cs="Arial"/>
          <w:b/>
          <w:bCs/>
        </w:rPr>
        <w:t>INFORME DE LA AUTOCALIFICACIÓN DEL SISTEMA DE CONTROL INTERNO CONTABLE:</w:t>
      </w:r>
    </w:p>
    <w:p w14:paraId="5961CFC5" w14:textId="77777777" w:rsidR="00561B22" w:rsidRPr="005E4EB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E4EB4" w14:paraId="4D743A97" w14:textId="77777777" w:rsidTr="00F1223B">
        <w:tc>
          <w:tcPr>
            <w:tcW w:w="4981" w:type="dxa"/>
          </w:tcPr>
          <w:p w14:paraId="186C8B84" w14:textId="77777777" w:rsidR="00561B22" w:rsidRPr="005E4EB4" w:rsidRDefault="00561B22" w:rsidP="00F1223B">
            <w:pPr>
              <w:jc w:val="center"/>
              <w:rPr>
                <w:rFonts w:ascii="Arial" w:hAnsi="Arial" w:cs="Arial"/>
                <w:b/>
                <w:sz w:val="22"/>
                <w:szCs w:val="22"/>
                <w:lang w:val="es-MX"/>
              </w:rPr>
            </w:pPr>
            <w:r w:rsidRPr="005E4EB4">
              <w:rPr>
                <w:rFonts w:ascii="Arial" w:hAnsi="Arial" w:cs="Arial"/>
                <w:b/>
                <w:sz w:val="22"/>
                <w:szCs w:val="22"/>
                <w:lang w:val="es-MX"/>
              </w:rPr>
              <w:t>AUTOCALIFICACIÓN</w:t>
            </w:r>
          </w:p>
        </w:tc>
        <w:tc>
          <w:tcPr>
            <w:tcW w:w="4981" w:type="dxa"/>
          </w:tcPr>
          <w:p w14:paraId="1730FD5B" w14:textId="77777777" w:rsidR="00561B22" w:rsidRPr="005E4EB4" w:rsidRDefault="00561B22" w:rsidP="00F1223B">
            <w:pPr>
              <w:jc w:val="center"/>
              <w:rPr>
                <w:rFonts w:ascii="Arial" w:hAnsi="Arial" w:cs="Arial"/>
                <w:b/>
                <w:sz w:val="22"/>
                <w:szCs w:val="22"/>
                <w:u w:val="single"/>
                <w:lang w:val="es-MX"/>
              </w:rPr>
            </w:pPr>
            <w:r w:rsidRPr="005E4EB4">
              <w:rPr>
                <w:rFonts w:ascii="Arial" w:hAnsi="Arial" w:cs="Arial"/>
                <w:b/>
                <w:sz w:val="22"/>
                <w:szCs w:val="22"/>
                <w:u w:val="single"/>
                <w:lang w:val="es-MX"/>
              </w:rPr>
              <w:t>4.88</w:t>
            </w:r>
          </w:p>
        </w:tc>
      </w:tr>
    </w:tbl>
    <w:p w14:paraId="7EF884F9" w14:textId="77777777" w:rsidR="00561B22" w:rsidRPr="005E4EB4" w:rsidRDefault="00561B22" w:rsidP="00561B22">
      <w:pPr>
        <w:pStyle w:val="Textoindependiente"/>
        <w:ind w:right="-50"/>
        <w:jc w:val="both"/>
        <w:rPr>
          <w:rFonts w:ascii="Arial" w:hAnsi="Arial" w:cs="Arial"/>
          <w:b/>
          <w:bCs/>
        </w:rPr>
      </w:pPr>
    </w:p>
    <w:p w14:paraId="1F1247A9" w14:textId="77777777" w:rsidR="00561B22" w:rsidRPr="005E4EB4" w:rsidRDefault="00561B22" w:rsidP="00561B22">
      <w:pPr>
        <w:pStyle w:val="Textoindependiente"/>
        <w:ind w:right="-50"/>
        <w:jc w:val="both"/>
        <w:rPr>
          <w:rFonts w:ascii="Arial" w:hAnsi="Arial" w:cs="Arial"/>
          <w:b/>
          <w:bCs/>
        </w:rPr>
      </w:pPr>
      <w:r w:rsidRPr="005E4EB4">
        <w:rPr>
          <w:rFonts w:ascii="Arial" w:hAnsi="Arial" w:cs="Arial"/>
          <w:b/>
          <w:bCs/>
        </w:rPr>
        <w:t>Del informe enviado retomamos lo siguiente:</w:t>
      </w:r>
    </w:p>
    <w:p w14:paraId="1B53D3F9" w14:textId="77777777" w:rsidR="00561B22" w:rsidRPr="005E4EB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E4EB4" w14:paraId="762DCCF5" w14:textId="77777777" w:rsidTr="00F1223B">
        <w:tc>
          <w:tcPr>
            <w:tcW w:w="562" w:type="dxa"/>
          </w:tcPr>
          <w:p w14:paraId="79F7A60F" w14:textId="77777777" w:rsidR="00561B22" w:rsidRPr="005E4EB4" w:rsidRDefault="00561B22" w:rsidP="00F1223B">
            <w:pPr>
              <w:ind w:right="-109"/>
              <w:jc w:val="center"/>
              <w:rPr>
                <w:rFonts w:ascii="Arial" w:hAnsi="Arial" w:cs="Arial"/>
                <w:b/>
                <w:sz w:val="22"/>
                <w:szCs w:val="22"/>
                <w:lang w:val="es-MX"/>
              </w:rPr>
            </w:pPr>
            <w:r w:rsidRPr="005E4EB4">
              <w:rPr>
                <w:rFonts w:ascii="Arial" w:hAnsi="Arial" w:cs="Arial"/>
                <w:b/>
                <w:sz w:val="22"/>
                <w:szCs w:val="22"/>
                <w:lang w:val="es-MX"/>
              </w:rPr>
              <w:t>N°</w:t>
            </w:r>
          </w:p>
        </w:tc>
        <w:tc>
          <w:tcPr>
            <w:tcW w:w="9400" w:type="dxa"/>
          </w:tcPr>
          <w:p w14:paraId="2CAA8CE7" w14:textId="77777777" w:rsidR="00561B22" w:rsidRPr="005E4EB4" w:rsidRDefault="00561B22" w:rsidP="00F1223B">
            <w:pPr>
              <w:jc w:val="center"/>
              <w:rPr>
                <w:rFonts w:ascii="Arial" w:hAnsi="Arial" w:cs="Arial"/>
                <w:b/>
                <w:sz w:val="22"/>
                <w:szCs w:val="22"/>
                <w:lang w:val="es-MX"/>
              </w:rPr>
            </w:pPr>
            <w:r w:rsidRPr="005E4EB4">
              <w:rPr>
                <w:rFonts w:ascii="Arial" w:hAnsi="Arial" w:cs="Arial"/>
                <w:b/>
                <w:sz w:val="22"/>
                <w:szCs w:val="22"/>
                <w:lang w:val="es-MX"/>
              </w:rPr>
              <w:t>DEBILIDADES</w:t>
            </w:r>
          </w:p>
          <w:p w14:paraId="25EC52B6" w14:textId="77777777" w:rsidR="00561B22" w:rsidRPr="005E4EB4" w:rsidRDefault="00561B22" w:rsidP="00F1223B">
            <w:pPr>
              <w:jc w:val="center"/>
              <w:rPr>
                <w:rFonts w:ascii="Arial" w:hAnsi="Arial" w:cs="Arial"/>
                <w:b/>
                <w:sz w:val="22"/>
                <w:szCs w:val="22"/>
                <w:lang w:val="es-MX"/>
              </w:rPr>
            </w:pPr>
          </w:p>
        </w:tc>
      </w:tr>
      <w:tr w:rsidR="00561B22" w:rsidRPr="005E4EB4" w14:paraId="586ED6C9" w14:textId="77777777" w:rsidTr="00F1223B">
        <w:tc>
          <w:tcPr>
            <w:tcW w:w="562" w:type="dxa"/>
          </w:tcPr>
          <w:p w14:paraId="561CBFB9" w14:textId="77777777" w:rsidR="00561B22" w:rsidRPr="005E4EB4" w:rsidRDefault="00561B22" w:rsidP="00F1223B">
            <w:pPr>
              <w:jc w:val="center"/>
              <w:rPr>
                <w:rFonts w:ascii="Arial" w:hAnsi="Arial" w:cs="Arial"/>
                <w:b/>
                <w:sz w:val="22"/>
                <w:szCs w:val="22"/>
                <w:lang w:val="es-MX"/>
              </w:rPr>
            </w:pPr>
            <w:r w:rsidRPr="005E4EB4">
              <w:rPr>
                <w:rFonts w:ascii="Arial" w:hAnsi="Arial" w:cs="Arial"/>
                <w:b/>
                <w:sz w:val="22"/>
                <w:szCs w:val="22"/>
                <w:lang w:val="es-MX"/>
              </w:rPr>
              <w:t>1</w:t>
            </w:r>
          </w:p>
        </w:tc>
        <w:tc>
          <w:tcPr>
            <w:tcW w:w="9400" w:type="dxa"/>
          </w:tcPr>
          <w:p w14:paraId="27F40BA1" w14:textId="77777777" w:rsidR="00561B22" w:rsidRPr="005E4EB4" w:rsidRDefault="00561B22" w:rsidP="00F1223B">
            <w:pPr>
              <w:jc w:val="both"/>
              <w:rPr>
                <w:rFonts w:ascii="Arial" w:hAnsi="Arial" w:cs="Arial"/>
                <w:bCs/>
                <w:sz w:val="22"/>
                <w:szCs w:val="22"/>
                <w:lang w:val="es-MX"/>
              </w:rPr>
            </w:pPr>
            <w:r w:rsidRPr="005E4EB4">
              <w:rPr>
                <w:rFonts w:ascii="Arial" w:hAnsi="Arial" w:cs="Arial"/>
                <w:bCs/>
                <w:sz w:val="22"/>
                <w:szCs w:val="22"/>
                <w:lang w:val="es-MX"/>
              </w:rPr>
              <w:t>Se presentan debilidades en lo referente a La ejecución de los inventarios generales de activos fijos, la presentación de informes de deterioro de los activos, la documentación de controles en la Matriz SARO del proceso contable.</w:t>
            </w:r>
          </w:p>
        </w:tc>
      </w:tr>
    </w:tbl>
    <w:p w14:paraId="2F32B8CF" w14:textId="77777777" w:rsidR="00561B22" w:rsidRPr="005E4EB4" w:rsidRDefault="00561B22" w:rsidP="00561B22">
      <w:pPr>
        <w:pStyle w:val="Textoindependiente"/>
        <w:ind w:right="-50"/>
        <w:jc w:val="both"/>
        <w:rPr>
          <w:rFonts w:ascii="Arial" w:hAnsi="Arial" w:cs="Arial"/>
          <w:b/>
          <w:bCs/>
        </w:rPr>
      </w:pPr>
    </w:p>
    <w:p w14:paraId="47E8A43B" w14:textId="77777777" w:rsidR="00561B22" w:rsidRPr="005E4EB4" w:rsidRDefault="00561B22" w:rsidP="00561B22">
      <w:pPr>
        <w:jc w:val="both"/>
        <w:rPr>
          <w:rFonts w:ascii="Arial" w:hAnsi="Arial" w:cs="Arial"/>
          <w:b/>
          <w:lang w:val="es-MX"/>
        </w:rPr>
      </w:pPr>
      <w:r w:rsidRPr="005E4EB4">
        <w:rPr>
          <w:rFonts w:ascii="Arial" w:hAnsi="Arial" w:cs="Arial"/>
          <w:b/>
          <w:lang w:val="es-MX"/>
        </w:rPr>
        <w:t>Del citado informe retomamos las siguientes recomendaciones:</w:t>
      </w:r>
    </w:p>
    <w:p w14:paraId="42F14CC4" w14:textId="77777777" w:rsidR="00561B22" w:rsidRPr="005E4EB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E4EB4" w14:paraId="4CC127BF" w14:textId="77777777" w:rsidTr="00F1223B">
        <w:tc>
          <w:tcPr>
            <w:tcW w:w="562" w:type="dxa"/>
          </w:tcPr>
          <w:p w14:paraId="3E1AD32B" w14:textId="77777777" w:rsidR="00561B22" w:rsidRPr="005E4EB4" w:rsidRDefault="00561B22" w:rsidP="00F1223B">
            <w:pPr>
              <w:ind w:right="-109"/>
              <w:jc w:val="center"/>
              <w:rPr>
                <w:rFonts w:ascii="Arial" w:hAnsi="Arial" w:cs="Arial"/>
                <w:b/>
                <w:sz w:val="22"/>
                <w:szCs w:val="22"/>
                <w:lang w:val="es-MX"/>
              </w:rPr>
            </w:pPr>
            <w:r w:rsidRPr="005E4EB4">
              <w:rPr>
                <w:rFonts w:ascii="Arial" w:hAnsi="Arial" w:cs="Arial"/>
                <w:b/>
                <w:sz w:val="22"/>
                <w:szCs w:val="22"/>
                <w:lang w:val="es-MX"/>
              </w:rPr>
              <w:t>N°</w:t>
            </w:r>
          </w:p>
        </w:tc>
        <w:tc>
          <w:tcPr>
            <w:tcW w:w="9400" w:type="dxa"/>
          </w:tcPr>
          <w:p w14:paraId="2623FBE7" w14:textId="77777777" w:rsidR="00561B22" w:rsidRPr="005E4EB4" w:rsidRDefault="00561B22" w:rsidP="00F1223B">
            <w:pPr>
              <w:jc w:val="center"/>
              <w:rPr>
                <w:rFonts w:ascii="Arial" w:hAnsi="Arial" w:cs="Arial"/>
                <w:b/>
                <w:sz w:val="22"/>
                <w:szCs w:val="22"/>
                <w:lang w:val="es-MX"/>
              </w:rPr>
            </w:pPr>
            <w:r w:rsidRPr="005E4EB4">
              <w:rPr>
                <w:rFonts w:ascii="Arial" w:hAnsi="Arial" w:cs="Arial"/>
                <w:b/>
                <w:sz w:val="22"/>
                <w:szCs w:val="22"/>
                <w:lang w:val="es-MX"/>
              </w:rPr>
              <w:t>RECOMENDACIONES</w:t>
            </w:r>
          </w:p>
          <w:p w14:paraId="4D839A3E" w14:textId="77777777" w:rsidR="00561B22" w:rsidRPr="005E4EB4" w:rsidRDefault="00561B22" w:rsidP="00F1223B">
            <w:pPr>
              <w:jc w:val="center"/>
              <w:rPr>
                <w:rFonts w:ascii="Arial" w:hAnsi="Arial" w:cs="Arial"/>
                <w:b/>
                <w:sz w:val="22"/>
                <w:szCs w:val="22"/>
                <w:lang w:val="es-MX"/>
              </w:rPr>
            </w:pPr>
          </w:p>
        </w:tc>
      </w:tr>
      <w:tr w:rsidR="00561B22" w:rsidRPr="005E4EB4" w14:paraId="773B0275" w14:textId="77777777" w:rsidTr="00F1223B">
        <w:tc>
          <w:tcPr>
            <w:tcW w:w="562" w:type="dxa"/>
          </w:tcPr>
          <w:p w14:paraId="291EA175" w14:textId="77777777" w:rsidR="00561B22" w:rsidRPr="005E4EB4" w:rsidRDefault="00561B22" w:rsidP="00F1223B">
            <w:pPr>
              <w:jc w:val="center"/>
              <w:rPr>
                <w:rFonts w:ascii="Arial" w:hAnsi="Arial" w:cs="Arial"/>
                <w:b/>
                <w:sz w:val="22"/>
                <w:szCs w:val="22"/>
                <w:lang w:val="es-MX"/>
              </w:rPr>
            </w:pPr>
            <w:r w:rsidRPr="005E4EB4">
              <w:rPr>
                <w:rFonts w:ascii="Arial" w:hAnsi="Arial" w:cs="Arial"/>
                <w:b/>
                <w:sz w:val="22"/>
                <w:szCs w:val="22"/>
                <w:lang w:val="es-MX"/>
              </w:rPr>
              <w:t>1</w:t>
            </w:r>
          </w:p>
        </w:tc>
        <w:tc>
          <w:tcPr>
            <w:tcW w:w="9400" w:type="dxa"/>
          </w:tcPr>
          <w:p w14:paraId="1724BB88" w14:textId="77777777" w:rsidR="00561B22" w:rsidRPr="005E4EB4" w:rsidRDefault="00561B22" w:rsidP="00F1223B">
            <w:pPr>
              <w:jc w:val="both"/>
              <w:rPr>
                <w:rFonts w:ascii="Arial" w:hAnsi="Arial" w:cs="Arial"/>
                <w:bCs/>
                <w:sz w:val="22"/>
                <w:szCs w:val="22"/>
                <w:lang w:val="es-MX"/>
              </w:rPr>
            </w:pPr>
            <w:r w:rsidRPr="005E4EB4">
              <w:rPr>
                <w:rFonts w:ascii="Arial" w:hAnsi="Arial" w:cs="Arial"/>
                <w:bCs/>
                <w:sz w:val="22"/>
                <w:szCs w:val="22"/>
                <w:lang w:val="es-MX"/>
              </w:rPr>
              <w:t>La oficina de Control Interno recomendó al responsable del proceso y a las dependencias proveedoras de la información atender las observaciones emitidas en el marco de la evaluación efectuada con el fin de propender por el mejoramiento del proceso contable de la entidad, el cual tiene el objetivo del reconocimiento, medición, revelación y presentación de los hechos económicos, situación que garantiza la información contable del FNA. La auditoría efectuada será socializada a la Presidencia del FNA y al Comité de Auditoría de la entidad, para efectos de seguimiento y control por parte de estos órganos de gobierno.</w:t>
            </w:r>
          </w:p>
        </w:tc>
      </w:tr>
    </w:tbl>
    <w:p w14:paraId="2DDA293B" w14:textId="77777777" w:rsidR="00561B22" w:rsidRPr="005E4EB4" w:rsidRDefault="00561B22" w:rsidP="00561B22">
      <w:pPr>
        <w:pStyle w:val="Textoindependiente"/>
        <w:ind w:right="-50"/>
        <w:jc w:val="both"/>
        <w:rPr>
          <w:rFonts w:ascii="Arial" w:hAnsi="Arial" w:cs="Arial"/>
          <w:b/>
          <w:bCs/>
        </w:rPr>
      </w:pPr>
    </w:p>
    <w:p w14:paraId="256C9779" w14:textId="77777777" w:rsidR="00561B22" w:rsidRPr="005E4EB4" w:rsidRDefault="00561B22" w:rsidP="00561B22">
      <w:pPr>
        <w:jc w:val="both"/>
        <w:rPr>
          <w:rFonts w:ascii="Arial" w:hAnsi="Arial" w:cs="Arial"/>
          <w:b/>
          <w:sz w:val="24"/>
          <w:szCs w:val="24"/>
          <w:lang w:val="es-CO"/>
        </w:rPr>
      </w:pPr>
      <w:r w:rsidRPr="005E4EB4">
        <w:rPr>
          <w:rFonts w:ascii="Arial" w:hAnsi="Arial" w:cs="Arial"/>
          <w:b/>
          <w:bCs/>
          <w:sz w:val="24"/>
          <w:szCs w:val="24"/>
          <w:lang w:val="es-CO"/>
        </w:rPr>
        <w:t xml:space="preserve">NOTA: </w:t>
      </w:r>
      <w:r w:rsidRPr="005E4EB4">
        <w:rPr>
          <w:rFonts w:ascii="Arial" w:hAnsi="Arial" w:cs="Arial"/>
          <w:b/>
          <w:sz w:val="24"/>
          <w:szCs w:val="24"/>
          <w:lang w:val="es-CO"/>
        </w:rPr>
        <w:t xml:space="preserve">LA ENTIDAD ENVÍA LA MATRIZ DE AUTOEVALUACIÓN DEL SISTEMA DE CONTROL INTERNO CONTABLE CON </w:t>
      </w:r>
      <w:r w:rsidRPr="005E4EB4">
        <w:rPr>
          <w:rFonts w:ascii="Arial" w:hAnsi="Arial" w:cs="Arial"/>
          <w:b/>
          <w:bCs/>
          <w:sz w:val="24"/>
          <w:szCs w:val="24"/>
          <w:u w:val="single"/>
          <w:lang w:val="es-CO"/>
        </w:rPr>
        <w:t xml:space="preserve">ACTIVIDADES DE CONTROL REALIZADAS EN </w:t>
      </w:r>
      <w:r w:rsidRPr="005E4EB4">
        <w:rPr>
          <w:rFonts w:ascii="Arial" w:hAnsi="Arial" w:cs="Arial"/>
          <w:b/>
          <w:bCs/>
          <w:sz w:val="24"/>
          <w:szCs w:val="24"/>
          <w:u w:val="single"/>
          <w:lang w:val="es-CO"/>
        </w:rPr>
        <w:lastRenderedPageBreak/>
        <w:t>FORMA PARCIAL</w:t>
      </w:r>
      <w:r w:rsidRPr="005E4EB4">
        <w:rPr>
          <w:rFonts w:ascii="Arial" w:hAnsi="Arial" w:cs="Arial"/>
          <w:b/>
          <w:sz w:val="24"/>
          <w:szCs w:val="24"/>
          <w:lang w:val="es-CO"/>
        </w:rPr>
        <w:t>.</w:t>
      </w:r>
    </w:p>
    <w:p w14:paraId="51FBCB08" w14:textId="77777777" w:rsidR="00561B22" w:rsidRPr="005E4EB4" w:rsidRDefault="00561B22" w:rsidP="00561B22">
      <w:pPr>
        <w:pStyle w:val="Textoindependiente"/>
        <w:ind w:right="-50"/>
        <w:jc w:val="both"/>
        <w:rPr>
          <w:rFonts w:ascii="Arial" w:hAnsi="Arial" w:cs="Arial"/>
          <w:b/>
          <w:bCs/>
          <w:sz w:val="28"/>
          <w:szCs w:val="28"/>
        </w:rPr>
      </w:pPr>
    </w:p>
    <w:p w14:paraId="43A8D616" w14:textId="77777777" w:rsidR="00561B22" w:rsidRPr="00C9294E" w:rsidRDefault="00561B22" w:rsidP="00561B22">
      <w:pPr>
        <w:ind w:right="-142"/>
        <w:jc w:val="both"/>
        <w:rPr>
          <w:rFonts w:ascii="Arial" w:hAnsi="Arial" w:cs="Arial"/>
          <w:b/>
          <w:sz w:val="28"/>
          <w:szCs w:val="28"/>
          <w:lang w:val="es-MX"/>
        </w:rPr>
      </w:pPr>
      <w:r w:rsidRPr="00C9294E">
        <w:rPr>
          <w:rFonts w:ascii="Arial" w:hAnsi="Arial" w:cs="Arial"/>
          <w:b/>
          <w:sz w:val="28"/>
          <w:szCs w:val="28"/>
          <w:lang w:val="es-MX"/>
        </w:rPr>
        <w:t xml:space="preserve">244.- </w:t>
      </w:r>
      <w:r w:rsidRPr="00C9294E">
        <w:rPr>
          <w:rFonts w:ascii="Arial" w:hAnsi="Arial" w:cs="Arial"/>
          <w:b/>
          <w:sz w:val="28"/>
          <w:szCs w:val="28"/>
        </w:rPr>
        <w:t>PATRIMONIO AUTÓNOMO FONDO NACIONAL DE TURISMO FONTUR - FIDUCOLDEX S.A.</w:t>
      </w:r>
    </w:p>
    <w:p w14:paraId="3F29DE36" w14:textId="77777777" w:rsidR="00561B22" w:rsidRDefault="00561B22" w:rsidP="00561B22">
      <w:pPr>
        <w:pStyle w:val="Textoindependiente"/>
        <w:ind w:right="-50"/>
        <w:jc w:val="both"/>
        <w:rPr>
          <w:rFonts w:ascii="Arial" w:hAnsi="Arial" w:cs="Arial"/>
          <w:b/>
          <w:bCs/>
          <w:sz w:val="28"/>
          <w:szCs w:val="28"/>
        </w:rPr>
      </w:pPr>
    </w:p>
    <w:p w14:paraId="443E9DC0" w14:textId="77777777" w:rsidR="00561B22" w:rsidRPr="001E3520" w:rsidRDefault="00561B22" w:rsidP="00561B22">
      <w:pPr>
        <w:pStyle w:val="Textoindependiente"/>
        <w:ind w:right="-50"/>
        <w:jc w:val="center"/>
        <w:rPr>
          <w:rFonts w:ascii="Arial" w:hAnsi="Arial" w:cs="Arial"/>
          <w:b/>
          <w:bCs/>
        </w:rPr>
      </w:pPr>
      <w:r w:rsidRPr="001E3520">
        <w:rPr>
          <w:rFonts w:ascii="Arial" w:hAnsi="Arial" w:cs="Arial"/>
          <w:b/>
          <w:bCs/>
        </w:rPr>
        <w:t>INFORME DE LA AUTOCALIFICACIÓN DEL SISTEMA DE CONTROL INTERNO CONTABLE:</w:t>
      </w:r>
    </w:p>
    <w:p w14:paraId="3136AA50" w14:textId="77777777" w:rsidR="00561B22" w:rsidRPr="001E35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E3520" w14:paraId="5444B336" w14:textId="77777777" w:rsidTr="00F1223B">
        <w:tc>
          <w:tcPr>
            <w:tcW w:w="4981" w:type="dxa"/>
          </w:tcPr>
          <w:p w14:paraId="1930978E" w14:textId="77777777" w:rsidR="00561B22" w:rsidRPr="001E3520" w:rsidRDefault="00561B22" w:rsidP="00F1223B">
            <w:pPr>
              <w:tabs>
                <w:tab w:val="center" w:pos="2382"/>
                <w:tab w:val="right" w:pos="4765"/>
              </w:tabs>
              <w:rPr>
                <w:rFonts w:ascii="Arial" w:hAnsi="Arial" w:cs="Arial"/>
                <w:b/>
                <w:sz w:val="22"/>
                <w:szCs w:val="22"/>
                <w:lang w:val="es-MX"/>
              </w:rPr>
            </w:pPr>
            <w:r w:rsidRPr="001E3520">
              <w:rPr>
                <w:rFonts w:ascii="Arial" w:hAnsi="Arial" w:cs="Arial"/>
                <w:b/>
                <w:sz w:val="22"/>
                <w:szCs w:val="22"/>
                <w:lang w:val="es-MX"/>
              </w:rPr>
              <w:tab/>
              <w:t>AUTOCALIFICACIÓN</w:t>
            </w:r>
            <w:r w:rsidRPr="001E3520">
              <w:rPr>
                <w:rFonts w:ascii="Arial" w:hAnsi="Arial" w:cs="Arial"/>
                <w:b/>
                <w:sz w:val="22"/>
                <w:szCs w:val="22"/>
                <w:lang w:val="es-MX"/>
              </w:rPr>
              <w:tab/>
            </w:r>
          </w:p>
        </w:tc>
        <w:tc>
          <w:tcPr>
            <w:tcW w:w="4981" w:type="dxa"/>
          </w:tcPr>
          <w:p w14:paraId="7832E9EA" w14:textId="77777777" w:rsidR="00561B22" w:rsidRPr="001E3520" w:rsidRDefault="00561B22" w:rsidP="00F1223B">
            <w:pPr>
              <w:jc w:val="center"/>
              <w:rPr>
                <w:rFonts w:ascii="Arial" w:hAnsi="Arial" w:cs="Arial"/>
                <w:b/>
                <w:sz w:val="22"/>
                <w:szCs w:val="22"/>
                <w:u w:val="single"/>
                <w:lang w:val="es-MX"/>
              </w:rPr>
            </w:pPr>
            <w:r w:rsidRPr="001E3520">
              <w:rPr>
                <w:rFonts w:ascii="Arial" w:hAnsi="Arial" w:cs="Arial"/>
                <w:b/>
                <w:sz w:val="22"/>
                <w:szCs w:val="22"/>
                <w:u w:val="single"/>
                <w:lang w:val="es-MX"/>
              </w:rPr>
              <w:t>4.95</w:t>
            </w:r>
          </w:p>
        </w:tc>
      </w:tr>
    </w:tbl>
    <w:p w14:paraId="6A9C0C89" w14:textId="77777777" w:rsidR="00561B22" w:rsidRPr="001E3520" w:rsidRDefault="00561B22" w:rsidP="00561B22">
      <w:pPr>
        <w:pStyle w:val="Textoindependiente"/>
        <w:ind w:right="-50"/>
        <w:jc w:val="both"/>
        <w:rPr>
          <w:rFonts w:ascii="Arial" w:hAnsi="Arial" w:cs="Arial"/>
          <w:b/>
          <w:bCs/>
        </w:rPr>
      </w:pPr>
    </w:p>
    <w:p w14:paraId="7F99CF83" w14:textId="77777777" w:rsidR="00561B22" w:rsidRPr="001E3520" w:rsidRDefault="00561B22" w:rsidP="00561B22">
      <w:pPr>
        <w:pStyle w:val="Textoindependiente"/>
        <w:ind w:right="-50"/>
        <w:jc w:val="both"/>
        <w:rPr>
          <w:rFonts w:ascii="Arial" w:hAnsi="Arial" w:cs="Arial"/>
          <w:b/>
          <w:bCs/>
        </w:rPr>
      </w:pPr>
      <w:r w:rsidRPr="001E3520">
        <w:rPr>
          <w:rFonts w:ascii="Arial" w:hAnsi="Arial" w:cs="Arial"/>
          <w:b/>
          <w:bCs/>
        </w:rPr>
        <w:t>Del informe enviado retomamos lo siguiente:</w:t>
      </w:r>
    </w:p>
    <w:p w14:paraId="4ABADC6F" w14:textId="77777777" w:rsidR="00561B22" w:rsidRPr="001E35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E3520" w14:paraId="7CBBD544" w14:textId="77777777" w:rsidTr="00F1223B">
        <w:tc>
          <w:tcPr>
            <w:tcW w:w="562" w:type="dxa"/>
          </w:tcPr>
          <w:p w14:paraId="7DA7744C" w14:textId="77777777" w:rsidR="00561B22" w:rsidRPr="001E3520" w:rsidRDefault="00561B22" w:rsidP="00F1223B">
            <w:pPr>
              <w:ind w:right="-109"/>
              <w:jc w:val="center"/>
              <w:rPr>
                <w:rFonts w:ascii="Arial" w:hAnsi="Arial" w:cs="Arial"/>
                <w:b/>
                <w:sz w:val="22"/>
                <w:szCs w:val="22"/>
                <w:lang w:val="es-MX"/>
              </w:rPr>
            </w:pPr>
            <w:r w:rsidRPr="001E3520">
              <w:rPr>
                <w:rFonts w:ascii="Arial" w:hAnsi="Arial" w:cs="Arial"/>
                <w:b/>
                <w:sz w:val="22"/>
                <w:szCs w:val="22"/>
                <w:lang w:val="es-MX"/>
              </w:rPr>
              <w:t>N°</w:t>
            </w:r>
          </w:p>
        </w:tc>
        <w:tc>
          <w:tcPr>
            <w:tcW w:w="9400" w:type="dxa"/>
          </w:tcPr>
          <w:p w14:paraId="1C258FFB"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DEBILIDADES</w:t>
            </w:r>
          </w:p>
          <w:p w14:paraId="68115A23" w14:textId="77777777" w:rsidR="00561B22" w:rsidRPr="001E3520" w:rsidRDefault="00561B22" w:rsidP="00F1223B">
            <w:pPr>
              <w:jc w:val="center"/>
              <w:rPr>
                <w:rFonts w:ascii="Arial" w:hAnsi="Arial" w:cs="Arial"/>
                <w:b/>
                <w:sz w:val="22"/>
                <w:szCs w:val="22"/>
                <w:lang w:val="es-MX"/>
              </w:rPr>
            </w:pPr>
          </w:p>
        </w:tc>
      </w:tr>
      <w:tr w:rsidR="00561B22" w:rsidRPr="001E3520" w14:paraId="6EC4CD3D" w14:textId="77777777" w:rsidTr="00F1223B">
        <w:tc>
          <w:tcPr>
            <w:tcW w:w="562" w:type="dxa"/>
          </w:tcPr>
          <w:p w14:paraId="4CF188C4"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1</w:t>
            </w:r>
          </w:p>
        </w:tc>
        <w:tc>
          <w:tcPr>
            <w:tcW w:w="9400" w:type="dxa"/>
          </w:tcPr>
          <w:p w14:paraId="691892CE" w14:textId="77777777" w:rsidR="00561B22" w:rsidRPr="001E3520" w:rsidRDefault="00561B22" w:rsidP="00F1223B">
            <w:pPr>
              <w:jc w:val="both"/>
              <w:rPr>
                <w:rFonts w:ascii="Arial" w:hAnsi="Arial" w:cs="Arial"/>
                <w:sz w:val="22"/>
                <w:szCs w:val="22"/>
              </w:rPr>
            </w:pPr>
            <w:r w:rsidRPr="001E3520">
              <w:rPr>
                <w:rFonts w:ascii="Arial" w:hAnsi="Arial" w:cs="Arial"/>
                <w:sz w:val="22"/>
                <w:szCs w:val="22"/>
              </w:rPr>
              <w:t>No contó con un procedimiento para la realización del inventario físico de activos fijos que defina su periodicidad.</w:t>
            </w:r>
          </w:p>
        </w:tc>
      </w:tr>
      <w:tr w:rsidR="00561B22" w:rsidRPr="001E3520" w14:paraId="19BE3D71" w14:textId="77777777" w:rsidTr="00F1223B">
        <w:tc>
          <w:tcPr>
            <w:tcW w:w="562" w:type="dxa"/>
          </w:tcPr>
          <w:p w14:paraId="0F02864A"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2</w:t>
            </w:r>
          </w:p>
        </w:tc>
        <w:tc>
          <w:tcPr>
            <w:tcW w:w="9400" w:type="dxa"/>
          </w:tcPr>
          <w:p w14:paraId="6EE6725D" w14:textId="77777777" w:rsidR="00561B22" w:rsidRPr="001E3520" w:rsidRDefault="00561B22" w:rsidP="00F1223B">
            <w:pPr>
              <w:jc w:val="both"/>
              <w:rPr>
                <w:rFonts w:ascii="Arial" w:hAnsi="Arial" w:cs="Arial"/>
                <w:sz w:val="22"/>
                <w:szCs w:val="22"/>
              </w:rPr>
            </w:pPr>
            <w:r w:rsidRPr="001E3520">
              <w:rPr>
                <w:rFonts w:ascii="Arial" w:hAnsi="Arial" w:cs="Arial"/>
                <w:sz w:val="22"/>
                <w:szCs w:val="22"/>
              </w:rPr>
              <w:t>No contó con un plan de capacitación específico para el equipo contable.</w:t>
            </w:r>
          </w:p>
        </w:tc>
      </w:tr>
      <w:tr w:rsidR="00561B22" w:rsidRPr="001E3520" w14:paraId="08B31C13" w14:textId="77777777" w:rsidTr="00F1223B">
        <w:tc>
          <w:tcPr>
            <w:tcW w:w="562" w:type="dxa"/>
          </w:tcPr>
          <w:p w14:paraId="3247E202"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3</w:t>
            </w:r>
          </w:p>
        </w:tc>
        <w:tc>
          <w:tcPr>
            <w:tcW w:w="9400" w:type="dxa"/>
          </w:tcPr>
          <w:p w14:paraId="0AB624EC" w14:textId="77777777" w:rsidR="00561B22" w:rsidRPr="001E3520" w:rsidRDefault="00561B22" w:rsidP="00F1223B">
            <w:pPr>
              <w:jc w:val="both"/>
              <w:rPr>
                <w:rFonts w:ascii="Arial" w:hAnsi="Arial" w:cs="Arial"/>
                <w:sz w:val="22"/>
                <w:szCs w:val="22"/>
              </w:rPr>
            </w:pPr>
            <w:r w:rsidRPr="001E3520">
              <w:rPr>
                <w:rFonts w:ascii="Arial" w:hAnsi="Arial" w:cs="Arial"/>
                <w:sz w:val="22"/>
                <w:szCs w:val="22"/>
              </w:rPr>
              <w:t>No contó con un indicador para evaluar la eficacia del ejercicio de la conciliación de saldos de cuentas reciprocas.</w:t>
            </w:r>
          </w:p>
        </w:tc>
      </w:tr>
      <w:tr w:rsidR="00561B22" w:rsidRPr="001E3520" w14:paraId="30B12B9D" w14:textId="77777777" w:rsidTr="00F1223B">
        <w:tc>
          <w:tcPr>
            <w:tcW w:w="9962" w:type="dxa"/>
            <w:gridSpan w:val="2"/>
          </w:tcPr>
          <w:p w14:paraId="5A48AA11" w14:textId="77777777" w:rsidR="00561B22" w:rsidRPr="001E3520" w:rsidRDefault="00561B22" w:rsidP="00F1223B">
            <w:pPr>
              <w:jc w:val="center"/>
              <w:rPr>
                <w:rFonts w:ascii="Arial" w:hAnsi="Arial" w:cs="Arial"/>
                <w:b/>
                <w:bCs/>
                <w:sz w:val="22"/>
                <w:szCs w:val="22"/>
              </w:rPr>
            </w:pPr>
            <w:r w:rsidRPr="001E3520">
              <w:rPr>
                <w:rFonts w:ascii="Arial" w:hAnsi="Arial" w:cs="Arial"/>
                <w:b/>
                <w:bCs/>
                <w:sz w:val="22"/>
                <w:szCs w:val="22"/>
              </w:rPr>
              <w:t>En el marco de las pruebas analíticas realizadas se identificó que:</w:t>
            </w:r>
          </w:p>
        </w:tc>
      </w:tr>
      <w:tr w:rsidR="00561B22" w:rsidRPr="001E3520" w14:paraId="7A812D68" w14:textId="77777777" w:rsidTr="00F1223B">
        <w:tc>
          <w:tcPr>
            <w:tcW w:w="562" w:type="dxa"/>
          </w:tcPr>
          <w:p w14:paraId="17E2ECEC"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4</w:t>
            </w:r>
          </w:p>
        </w:tc>
        <w:tc>
          <w:tcPr>
            <w:tcW w:w="9400" w:type="dxa"/>
          </w:tcPr>
          <w:p w14:paraId="77A7C6C3" w14:textId="77777777" w:rsidR="00561B22" w:rsidRPr="001E3520" w:rsidRDefault="00561B22" w:rsidP="00F1223B">
            <w:pPr>
              <w:jc w:val="both"/>
              <w:rPr>
                <w:rFonts w:ascii="Arial" w:hAnsi="Arial" w:cs="Arial"/>
                <w:sz w:val="22"/>
                <w:szCs w:val="22"/>
              </w:rPr>
            </w:pPr>
            <w:r w:rsidRPr="001E3520">
              <w:rPr>
                <w:rFonts w:ascii="Arial" w:hAnsi="Arial" w:cs="Arial"/>
                <w:sz w:val="22"/>
                <w:szCs w:val="22"/>
              </w:rPr>
              <w:t>De los 412 activos fijos evaluados, se presenta diferencia en el cálculo de depreciación acumulada y gasto por depreciación en un activo fijo por $1.187.072, equivalente al 0,24% del total de los activos evaluados, error en la información registrada que no fue corregido durante la vigencia a causa de inconsistencias en la programación del aplicativo utilizado</w:t>
            </w:r>
          </w:p>
        </w:tc>
      </w:tr>
      <w:tr w:rsidR="00561B22" w:rsidRPr="001E3520" w14:paraId="6B9E17EB" w14:textId="77777777" w:rsidTr="00F1223B">
        <w:tc>
          <w:tcPr>
            <w:tcW w:w="562" w:type="dxa"/>
          </w:tcPr>
          <w:p w14:paraId="48B7F7AD"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5</w:t>
            </w:r>
          </w:p>
        </w:tc>
        <w:tc>
          <w:tcPr>
            <w:tcW w:w="9400" w:type="dxa"/>
          </w:tcPr>
          <w:p w14:paraId="54A57C4A" w14:textId="77777777" w:rsidR="00561B22" w:rsidRPr="001E3520" w:rsidRDefault="00561B22" w:rsidP="00F1223B">
            <w:pPr>
              <w:jc w:val="both"/>
              <w:rPr>
                <w:rFonts w:ascii="Arial" w:hAnsi="Arial" w:cs="Arial"/>
                <w:sz w:val="22"/>
                <w:szCs w:val="22"/>
              </w:rPr>
            </w:pPr>
            <w:r w:rsidRPr="001E3520">
              <w:rPr>
                <w:rFonts w:ascii="Arial" w:hAnsi="Arial" w:cs="Arial"/>
                <w:sz w:val="22"/>
                <w:szCs w:val="22"/>
              </w:rPr>
              <w:t>Un 2% de los consecutivos de las Notas Bancarias Débito y Crédito, Anulaciones y Egresos verificados no fue registrado en orden cronológico.</w:t>
            </w:r>
          </w:p>
        </w:tc>
      </w:tr>
    </w:tbl>
    <w:p w14:paraId="2B0887EF" w14:textId="77777777" w:rsidR="00561B22" w:rsidRPr="001E3520" w:rsidRDefault="00561B22" w:rsidP="00561B22">
      <w:pPr>
        <w:pStyle w:val="Textoindependiente"/>
        <w:tabs>
          <w:tab w:val="left" w:pos="1095"/>
        </w:tabs>
        <w:ind w:right="-50"/>
        <w:jc w:val="both"/>
        <w:rPr>
          <w:rFonts w:ascii="Arial" w:hAnsi="Arial" w:cs="Arial"/>
          <w:b/>
          <w:bCs/>
        </w:rPr>
      </w:pPr>
      <w:r w:rsidRPr="001E3520">
        <w:rPr>
          <w:rFonts w:ascii="Arial" w:hAnsi="Arial" w:cs="Arial"/>
          <w:b/>
          <w:bCs/>
        </w:rPr>
        <w:tab/>
      </w:r>
    </w:p>
    <w:p w14:paraId="0153B584" w14:textId="77777777" w:rsidR="00561B22" w:rsidRPr="001E3520" w:rsidRDefault="00561B22" w:rsidP="00561B22">
      <w:pPr>
        <w:jc w:val="both"/>
        <w:rPr>
          <w:rFonts w:ascii="Arial" w:hAnsi="Arial" w:cs="Arial"/>
          <w:b/>
          <w:lang w:val="es-MX"/>
        </w:rPr>
      </w:pPr>
      <w:r w:rsidRPr="001E3520">
        <w:rPr>
          <w:rFonts w:ascii="Arial" w:hAnsi="Arial" w:cs="Arial"/>
          <w:b/>
          <w:lang w:val="es-MX"/>
        </w:rPr>
        <w:t>Del citado informe retomamos las siguientes recomendaciones:</w:t>
      </w:r>
    </w:p>
    <w:p w14:paraId="03674CB1" w14:textId="77777777" w:rsidR="00561B22" w:rsidRPr="001E3520" w:rsidRDefault="00561B22" w:rsidP="00561B22">
      <w:pPr>
        <w:pStyle w:val="Textoindependiente"/>
        <w:tabs>
          <w:tab w:val="left" w:pos="1095"/>
        </w:tabs>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E3520" w14:paraId="3C57034F" w14:textId="77777777" w:rsidTr="00F1223B">
        <w:tc>
          <w:tcPr>
            <w:tcW w:w="562" w:type="dxa"/>
          </w:tcPr>
          <w:p w14:paraId="2CF5DD92" w14:textId="77777777" w:rsidR="00561B22" w:rsidRPr="001E3520" w:rsidRDefault="00561B22" w:rsidP="00F1223B">
            <w:pPr>
              <w:ind w:right="-109"/>
              <w:jc w:val="center"/>
              <w:rPr>
                <w:rFonts w:ascii="Arial" w:hAnsi="Arial" w:cs="Arial"/>
                <w:b/>
                <w:sz w:val="22"/>
                <w:szCs w:val="22"/>
                <w:lang w:val="es-MX"/>
              </w:rPr>
            </w:pPr>
            <w:r w:rsidRPr="001E3520">
              <w:rPr>
                <w:rFonts w:ascii="Arial" w:hAnsi="Arial" w:cs="Arial"/>
                <w:b/>
                <w:sz w:val="22"/>
                <w:szCs w:val="22"/>
                <w:lang w:val="es-MX"/>
              </w:rPr>
              <w:t>N°</w:t>
            </w:r>
          </w:p>
        </w:tc>
        <w:tc>
          <w:tcPr>
            <w:tcW w:w="9400" w:type="dxa"/>
          </w:tcPr>
          <w:p w14:paraId="6F420302"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RECOMENDACIONES</w:t>
            </w:r>
          </w:p>
          <w:p w14:paraId="527A63E4" w14:textId="77777777" w:rsidR="00561B22" w:rsidRPr="001E3520" w:rsidRDefault="00561B22" w:rsidP="00F1223B">
            <w:pPr>
              <w:jc w:val="center"/>
              <w:rPr>
                <w:rFonts w:ascii="Arial" w:hAnsi="Arial" w:cs="Arial"/>
                <w:b/>
                <w:sz w:val="22"/>
                <w:szCs w:val="22"/>
                <w:lang w:val="es-MX"/>
              </w:rPr>
            </w:pPr>
          </w:p>
        </w:tc>
      </w:tr>
      <w:tr w:rsidR="00561B22" w:rsidRPr="001E3520" w14:paraId="3AD6B2B3" w14:textId="77777777" w:rsidTr="00F1223B">
        <w:tc>
          <w:tcPr>
            <w:tcW w:w="562" w:type="dxa"/>
          </w:tcPr>
          <w:p w14:paraId="7126D399"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1</w:t>
            </w:r>
          </w:p>
        </w:tc>
        <w:tc>
          <w:tcPr>
            <w:tcW w:w="9400" w:type="dxa"/>
          </w:tcPr>
          <w:p w14:paraId="799095FB" w14:textId="77777777" w:rsidR="00561B22" w:rsidRPr="001E3520" w:rsidRDefault="00561B22" w:rsidP="00F1223B">
            <w:pPr>
              <w:jc w:val="both"/>
              <w:rPr>
                <w:rFonts w:ascii="Arial" w:hAnsi="Arial" w:cs="Arial"/>
                <w:b/>
                <w:sz w:val="22"/>
                <w:szCs w:val="22"/>
                <w:lang w:val="es-MX"/>
              </w:rPr>
            </w:pPr>
            <w:r w:rsidRPr="001E3520">
              <w:rPr>
                <w:rFonts w:ascii="Arial" w:hAnsi="Arial" w:cs="Arial"/>
                <w:sz w:val="22"/>
                <w:szCs w:val="22"/>
              </w:rPr>
              <w:t xml:space="preserve">Diseñar e implementar un plan de capacitación específico para el equipo de contabilidad, enfocado en actualizaciones normativas, procedimientos internos y mejores prácticas en la gestión contable. (Gerencia de Contabilidad de Fiducoldex - Dirección de Talento Humano y Dirección de Presupuesto, Contabilidad y Operaciones P.A FONTUR) </w:t>
            </w:r>
          </w:p>
        </w:tc>
      </w:tr>
      <w:tr w:rsidR="00561B22" w:rsidRPr="001E3520" w14:paraId="3C7AD5CB" w14:textId="77777777" w:rsidTr="00F1223B">
        <w:tc>
          <w:tcPr>
            <w:tcW w:w="562" w:type="dxa"/>
          </w:tcPr>
          <w:p w14:paraId="599241E3"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2</w:t>
            </w:r>
          </w:p>
        </w:tc>
        <w:tc>
          <w:tcPr>
            <w:tcW w:w="9400" w:type="dxa"/>
          </w:tcPr>
          <w:p w14:paraId="5AF67888" w14:textId="77777777" w:rsidR="00561B22" w:rsidRPr="001E3520" w:rsidRDefault="00561B22" w:rsidP="00F1223B">
            <w:pPr>
              <w:jc w:val="both"/>
              <w:rPr>
                <w:rFonts w:ascii="Arial" w:hAnsi="Arial" w:cs="Arial"/>
                <w:b/>
                <w:sz w:val="22"/>
                <w:szCs w:val="22"/>
                <w:lang w:val="es-MX"/>
              </w:rPr>
            </w:pPr>
            <w:r w:rsidRPr="001E3520">
              <w:rPr>
                <w:rFonts w:ascii="Arial" w:hAnsi="Arial" w:cs="Arial"/>
                <w:sz w:val="22"/>
                <w:szCs w:val="22"/>
              </w:rPr>
              <w:t xml:space="preserve">Establecer y documentar un procedimiento para la realización del inventario físico de activos fijos, asegurando su actualización periódica (Dirección de Servicios Administrativos P.A FONTUR) </w:t>
            </w:r>
          </w:p>
        </w:tc>
      </w:tr>
      <w:tr w:rsidR="00561B22" w:rsidRPr="001E3520" w14:paraId="7AAC3AB9" w14:textId="77777777" w:rsidTr="00F1223B">
        <w:tc>
          <w:tcPr>
            <w:tcW w:w="562" w:type="dxa"/>
          </w:tcPr>
          <w:p w14:paraId="4F68A529"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3</w:t>
            </w:r>
          </w:p>
        </w:tc>
        <w:tc>
          <w:tcPr>
            <w:tcW w:w="9400" w:type="dxa"/>
          </w:tcPr>
          <w:p w14:paraId="7C94FC9E" w14:textId="77777777" w:rsidR="00561B22" w:rsidRPr="001E3520" w:rsidRDefault="00561B22" w:rsidP="00F1223B">
            <w:pPr>
              <w:jc w:val="both"/>
              <w:rPr>
                <w:rFonts w:ascii="Arial" w:hAnsi="Arial" w:cs="Arial"/>
                <w:b/>
                <w:sz w:val="22"/>
                <w:szCs w:val="22"/>
                <w:lang w:val="es-MX"/>
              </w:rPr>
            </w:pPr>
            <w:r w:rsidRPr="001E3520">
              <w:rPr>
                <w:rFonts w:ascii="Arial" w:hAnsi="Arial" w:cs="Arial"/>
                <w:sz w:val="22"/>
                <w:szCs w:val="22"/>
              </w:rPr>
              <w:t xml:space="preserve">Adoptar un indicador trimestral para evaluar la eficacia del ejercicio de la conciliación de saldos de cuentas recíprocas. (Gerencia de Contabilidad de Fiducoldex - Dirección de Presupuesto, Contabilidad y Operaciones P.A FONTUR) </w:t>
            </w:r>
          </w:p>
        </w:tc>
      </w:tr>
      <w:tr w:rsidR="00561B22" w:rsidRPr="001E3520" w14:paraId="0881124E" w14:textId="77777777" w:rsidTr="00F1223B">
        <w:tc>
          <w:tcPr>
            <w:tcW w:w="562" w:type="dxa"/>
          </w:tcPr>
          <w:p w14:paraId="3C55B8D4" w14:textId="77777777" w:rsidR="00561B22" w:rsidRPr="001E3520" w:rsidRDefault="00561B22" w:rsidP="00F1223B">
            <w:pPr>
              <w:jc w:val="center"/>
              <w:rPr>
                <w:rFonts w:ascii="Arial" w:hAnsi="Arial" w:cs="Arial"/>
                <w:b/>
                <w:sz w:val="22"/>
                <w:szCs w:val="22"/>
                <w:lang w:val="es-MX"/>
              </w:rPr>
            </w:pPr>
            <w:r w:rsidRPr="001E3520">
              <w:rPr>
                <w:rFonts w:ascii="Arial" w:hAnsi="Arial" w:cs="Arial"/>
                <w:b/>
                <w:sz w:val="22"/>
                <w:szCs w:val="22"/>
                <w:lang w:val="es-MX"/>
              </w:rPr>
              <w:t>4</w:t>
            </w:r>
          </w:p>
        </w:tc>
        <w:tc>
          <w:tcPr>
            <w:tcW w:w="9400" w:type="dxa"/>
          </w:tcPr>
          <w:p w14:paraId="3FA06CF7" w14:textId="77777777" w:rsidR="00561B22" w:rsidRPr="001E3520" w:rsidRDefault="00561B22" w:rsidP="00F1223B">
            <w:pPr>
              <w:jc w:val="both"/>
              <w:rPr>
                <w:rFonts w:ascii="Arial" w:hAnsi="Arial" w:cs="Arial"/>
                <w:b/>
                <w:sz w:val="22"/>
                <w:szCs w:val="22"/>
                <w:lang w:val="es-MX"/>
              </w:rPr>
            </w:pPr>
            <w:r w:rsidRPr="001E3520">
              <w:rPr>
                <w:rFonts w:ascii="Arial" w:hAnsi="Arial" w:cs="Arial"/>
                <w:sz w:val="22"/>
                <w:szCs w:val="22"/>
              </w:rPr>
              <w:t>Realizar el ajuste de la diferencia encontrada en el cálculo de depreciación acumulada y gasto por depreciación del activo DROM DJI SANDISK y establecer controles automáticos que aseguren el uso cronológico de los comprobantes contables en el sistema de información SIFI. (Gerencia de Tecnología y Gerencia de Contabilidad de Fiducoldex</w:t>
            </w:r>
          </w:p>
        </w:tc>
      </w:tr>
    </w:tbl>
    <w:p w14:paraId="5AA7F441" w14:textId="77777777" w:rsidR="00561B22" w:rsidRPr="001E3520" w:rsidRDefault="00561B22" w:rsidP="00561B22">
      <w:pPr>
        <w:pStyle w:val="Textoindependiente"/>
        <w:ind w:right="-50"/>
        <w:jc w:val="both"/>
        <w:rPr>
          <w:rFonts w:ascii="Arial" w:hAnsi="Arial" w:cs="Arial"/>
          <w:b/>
          <w:bCs/>
          <w:sz w:val="28"/>
          <w:szCs w:val="28"/>
        </w:rPr>
      </w:pPr>
    </w:p>
    <w:p w14:paraId="78524B1C" w14:textId="77777777" w:rsidR="00561B22" w:rsidRPr="001E3520" w:rsidRDefault="00561B22" w:rsidP="00561B22">
      <w:pPr>
        <w:jc w:val="both"/>
        <w:rPr>
          <w:rFonts w:ascii="Arial" w:hAnsi="Arial" w:cs="Arial"/>
          <w:b/>
          <w:bCs/>
          <w:sz w:val="24"/>
          <w:szCs w:val="24"/>
          <w:lang w:val="es-CO"/>
        </w:rPr>
      </w:pPr>
      <w:r w:rsidRPr="001E3520">
        <w:rPr>
          <w:rFonts w:ascii="Arial" w:hAnsi="Arial" w:cs="Arial"/>
          <w:b/>
          <w:bCs/>
          <w:sz w:val="24"/>
          <w:szCs w:val="24"/>
          <w:lang w:val="es-CO"/>
        </w:rPr>
        <w:t xml:space="preserve">NOTA: LA ENTIDAD ENVIA LA MATRIZ DE AUTOEVALUACIÓN DEL SISTEMA DE CONTROL INTERNO CONTABLE CON </w:t>
      </w:r>
      <w:r w:rsidRPr="001E3520">
        <w:rPr>
          <w:rFonts w:ascii="Arial" w:hAnsi="Arial" w:cs="Arial"/>
          <w:b/>
          <w:bCs/>
          <w:sz w:val="24"/>
          <w:szCs w:val="24"/>
          <w:u w:val="single"/>
          <w:lang w:val="es-CO"/>
        </w:rPr>
        <w:t>ACTIVIDADES DE CONTROL REALIZADAS EN FORMA PARCIAL</w:t>
      </w:r>
      <w:r w:rsidRPr="001E3520">
        <w:rPr>
          <w:rFonts w:ascii="Arial" w:hAnsi="Arial" w:cs="Arial"/>
          <w:b/>
          <w:bCs/>
          <w:sz w:val="24"/>
          <w:szCs w:val="24"/>
          <w:lang w:val="es-CO"/>
        </w:rPr>
        <w:t>.</w:t>
      </w:r>
    </w:p>
    <w:p w14:paraId="081867C9" w14:textId="77777777" w:rsidR="00561B22" w:rsidRPr="001E3520" w:rsidRDefault="00561B22" w:rsidP="00561B22">
      <w:pPr>
        <w:pStyle w:val="Textoindependiente"/>
        <w:ind w:right="-50"/>
        <w:jc w:val="both"/>
        <w:rPr>
          <w:rFonts w:ascii="Arial" w:hAnsi="Arial" w:cs="Arial"/>
          <w:b/>
          <w:bCs/>
          <w:sz w:val="28"/>
          <w:szCs w:val="28"/>
        </w:rPr>
      </w:pPr>
    </w:p>
    <w:p w14:paraId="2B52522D" w14:textId="77777777" w:rsidR="00561B22" w:rsidRPr="00BA1093" w:rsidRDefault="00561B22" w:rsidP="00561B22">
      <w:pPr>
        <w:jc w:val="both"/>
        <w:rPr>
          <w:rFonts w:ascii="Arial" w:hAnsi="Arial" w:cs="Arial"/>
          <w:b/>
          <w:sz w:val="28"/>
          <w:szCs w:val="28"/>
        </w:rPr>
      </w:pPr>
      <w:r w:rsidRPr="00BA1093">
        <w:rPr>
          <w:rFonts w:ascii="Arial" w:hAnsi="Arial" w:cs="Arial"/>
          <w:b/>
          <w:sz w:val="28"/>
          <w:szCs w:val="28"/>
          <w:lang w:val="es-MX"/>
        </w:rPr>
        <w:t xml:space="preserve">245.- CORPORACIÓN AUTÓNOMA REGIONAL DE CUNDINAMARCA – CAR. </w:t>
      </w:r>
      <w:r w:rsidRPr="00BA1093">
        <w:rPr>
          <w:rFonts w:ascii="Arial" w:hAnsi="Arial" w:cs="Arial"/>
          <w:b/>
          <w:sz w:val="28"/>
          <w:szCs w:val="28"/>
        </w:rPr>
        <w:t xml:space="preserve"> </w:t>
      </w:r>
    </w:p>
    <w:p w14:paraId="10275F1E" w14:textId="77777777" w:rsidR="00561B22" w:rsidRPr="00BA1093" w:rsidRDefault="00561B22" w:rsidP="00561B22">
      <w:pPr>
        <w:pStyle w:val="Textoindependiente"/>
        <w:tabs>
          <w:tab w:val="left" w:pos="2055"/>
        </w:tabs>
        <w:spacing w:before="5"/>
        <w:rPr>
          <w:rFonts w:ascii="Arial" w:hAnsi="Arial" w:cs="Arial"/>
          <w:sz w:val="17"/>
        </w:rPr>
      </w:pPr>
    </w:p>
    <w:p w14:paraId="5178C269" w14:textId="77777777" w:rsidR="00561B22" w:rsidRPr="00BA1093" w:rsidRDefault="00561B22" w:rsidP="00561B22">
      <w:pPr>
        <w:pStyle w:val="Textoindependiente"/>
        <w:ind w:right="-50"/>
        <w:jc w:val="center"/>
        <w:rPr>
          <w:rFonts w:ascii="Arial" w:hAnsi="Arial" w:cs="Arial"/>
          <w:b/>
          <w:bCs/>
        </w:rPr>
      </w:pPr>
      <w:r w:rsidRPr="00BA1093">
        <w:rPr>
          <w:rFonts w:ascii="Arial" w:hAnsi="Arial" w:cs="Arial"/>
          <w:b/>
          <w:bCs/>
        </w:rPr>
        <w:t>INFORME DE LA AUTOCALIFICACIÓN DEL SISTEMA DE CONTROL INTERNO CONTABLE:</w:t>
      </w:r>
    </w:p>
    <w:p w14:paraId="20C71F0C" w14:textId="77777777" w:rsidR="00561B22" w:rsidRPr="00BA10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A1093" w14:paraId="122C6448" w14:textId="77777777" w:rsidTr="00F1223B">
        <w:tc>
          <w:tcPr>
            <w:tcW w:w="4981" w:type="dxa"/>
          </w:tcPr>
          <w:p w14:paraId="11FECE3A" w14:textId="77777777" w:rsidR="00561B22" w:rsidRPr="00BA1093" w:rsidRDefault="00561B22" w:rsidP="00F1223B">
            <w:pPr>
              <w:jc w:val="center"/>
              <w:rPr>
                <w:rFonts w:ascii="Arial" w:hAnsi="Arial" w:cs="Arial"/>
                <w:b/>
                <w:sz w:val="22"/>
                <w:szCs w:val="22"/>
                <w:lang w:val="es-MX"/>
              </w:rPr>
            </w:pPr>
            <w:r w:rsidRPr="00BA1093">
              <w:rPr>
                <w:rFonts w:ascii="Arial" w:hAnsi="Arial" w:cs="Arial"/>
                <w:b/>
                <w:sz w:val="22"/>
                <w:szCs w:val="22"/>
                <w:lang w:val="es-MX"/>
              </w:rPr>
              <w:t>AUTOCALIFICACIÓN</w:t>
            </w:r>
          </w:p>
        </w:tc>
        <w:tc>
          <w:tcPr>
            <w:tcW w:w="4981" w:type="dxa"/>
          </w:tcPr>
          <w:p w14:paraId="773A49C1" w14:textId="77777777" w:rsidR="00561B22" w:rsidRPr="00BA1093" w:rsidRDefault="00561B22" w:rsidP="00F1223B">
            <w:pPr>
              <w:jc w:val="center"/>
              <w:rPr>
                <w:rFonts w:ascii="Arial" w:hAnsi="Arial" w:cs="Arial"/>
                <w:b/>
                <w:sz w:val="22"/>
                <w:szCs w:val="22"/>
                <w:u w:val="single"/>
                <w:lang w:val="es-MX"/>
              </w:rPr>
            </w:pPr>
            <w:r w:rsidRPr="00BA1093">
              <w:rPr>
                <w:rFonts w:ascii="Arial" w:hAnsi="Arial" w:cs="Arial"/>
                <w:b/>
                <w:sz w:val="22"/>
                <w:szCs w:val="22"/>
                <w:u w:val="single"/>
                <w:lang w:val="es-MX"/>
              </w:rPr>
              <w:t>4.92</w:t>
            </w:r>
          </w:p>
        </w:tc>
      </w:tr>
    </w:tbl>
    <w:p w14:paraId="4C0FD8AD" w14:textId="77777777" w:rsidR="00561B22" w:rsidRPr="00BA1093" w:rsidRDefault="00561B22" w:rsidP="00561B22">
      <w:pPr>
        <w:pStyle w:val="Textoindependiente"/>
        <w:ind w:right="-50"/>
        <w:jc w:val="both"/>
        <w:rPr>
          <w:rFonts w:ascii="Arial" w:hAnsi="Arial" w:cs="Arial"/>
          <w:b/>
          <w:bCs/>
        </w:rPr>
      </w:pPr>
    </w:p>
    <w:p w14:paraId="16F8395F" w14:textId="77777777" w:rsidR="00561B22" w:rsidRPr="00BA1093" w:rsidRDefault="00561B22" w:rsidP="00561B22">
      <w:pPr>
        <w:pStyle w:val="Textoindependiente"/>
        <w:ind w:right="-50"/>
        <w:jc w:val="both"/>
        <w:rPr>
          <w:rFonts w:ascii="Arial" w:hAnsi="Arial" w:cs="Arial"/>
          <w:b/>
          <w:bCs/>
        </w:rPr>
      </w:pPr>
      <w:r w:rsidRPr="00BA1093">
        <w:rPr>
          <w:rFonts w:ascii="Arial" w:hAnsi="Arial" w:cs="Arial"/>
          <w:b/>
          <w:bCs/>
        </w:rPr>
        <w:t>Del informe enviado retomamos lo siguiente:</w:t>
      </w:r>
    </w:p>
    <w:p w14:paraId="4BBDA0CB" w14:textId="77777777" w:rsidR="00561B22" w:rsidRPr="00BA109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A1093" w14:paraId="199C9130" w14:textId="77777777" w:rsidTr="00F1223B">
        <w:tc>
          <w:tcPr>
            <w:tcW w:w="562" w:type="dxa"/>
          </w:tcPr>
          <w:p w14:paraId="44CE56D3" w14:textId="77777777" w:rsidR="00561B22" w:rsidRPr="00BA1093" w:rsidRDefault="00561B22" w:rsidP="00F1223B">
            <w:pPr>
              <w:ind w:right="-109"/>
              <w:jc w:val="center"/>
              <w:rPr>
                <w:rFonts w:ascii="Arial" w:hAnsi="Arial" w:cs="Arial"/>
                <w:b/>
                <w:sz w:val="22"/>
                <w:szCs w:val="22"/>
                <w:lang w:val="es-MX"/>
              </w:rPr>
            </w:pPr>
            <w:r w:rsidRPr="00BA1093">
              <w:rPr>
                <w:rFonts w:ascii="Arial" w:hAnsi="Arial" w:cs="Arial"/>
                <w:b/>
                <w:sz w:val="22"/>
                <w:szCs w:val="22"/>
                <w:lang w:val="es-MX"/>
              </w:rPr>
              <w:t>N°</w:t>
            </w:r>
          </w:p>
        </w:tc>
        <w:tc>
          <w:tcPr>
            <w:tcW w:w="9400" w:type="dxa"/>
          </w:tcPr>
          <w:p w14:paraId="3AE5B6A4" w14:textId="77777777" w:rsidR="00561B22" w:rsidRPr="00BA1093" w:rsidRDefault="00561B22" w:rsidP="00F1223B">
            <w:pPr>
              <w:jc w:val="center"/>
              <w:rPr>
                <w:rFonts w:ascii="Arial" w:hAnsi="Arial" w:cs="Arial"/>
                <w:b/>
                <w:sz w:val="22"/>
                <w:szCs w:val="22"/>
                <w:lang w:val="es-MX"/>
              </w:rPr>
            </w:pPr>
            <w:r w:rsidRPr="00BA1093">
              <w:rPr>
                <w:rFonts w:ascii="Arial" w:hAnsi="Arial" w:cs="Arial"/>
                <w:b/>
                <w:sz w:val="22"/>
                <w:szCs w:val="22"/>
                <w:lang w:val="es-MX"/>
              </w:rPr>
              <w:t>DEBILIDADES</w:t>
            </w:r>
          </w:p>
        </w:tc>
      </w:tr>
      <w:tr w:rsidR="00561B22" w:rsidRPr="00BA1093" w14:paraId="0E4CAC4E" w14:textId="77777777" w:rsidTr="00F1223B">
        <w:tc>
          <w:tcPr>
            <w:tcW w:w="562" w:type="dxa"/>
          </w:tcPr>
          <w:p w14:paraId="267AAF96" w14:textId="77777777" w:rsidR="00561B22" w:rsidRPr="00BA1093" w:rsidRDefault="00561B22" w:rsidP="00F1223B">
            <w:pPr>
              <w:jc w:val="center"/>
              <w:rPr>
                <w:rFonts w:ascii="Arial" w:hAnsi="Arial" w:cs="Arial"/>
                <w:b/>
                <w:sz w:val="22"/>
                <w:szCs w:val="22"/>
                <w:lang w:val="es-MX"/>
              </w:rPr>
            </w:pPr>
            <w:r w:rsidRPr="00BA1093">
              <w:rPr>
                <w:rFonts w:ascii="Arial" w:hAnsi="Arial" w:cs="Arial"/>
                <w:b/>
                <w:sz w:val="22"/>
                <w:szCs w:val="22"/>
                <w:lang w:val="es-MX"/>
              </w:rPr>
              <w:t>1</w:t>
            </w:r>
          </w:p>
        </w:tc>
        <w:tc>
          <w:tcPr>
            <w:tcW w:w="9400" w:type="dxa"/>
          </w:tcPr>
          <w:p w14:paraId="4BAEDC77" w14:textId="77777777" w:rsidR="00561B22" w:rsidRPr="00BA1093" w:rsidRDefault="00561B22" w:rsidP="00F1223B">
            <w:pPr>
              <w:jc w:val="both"/>
              <w:rPr>
                <w:rFonts w:ascii="Arial" w:hAnsi="Arial" w:cs="Arial"/>
                <w:bCs/>
                <w:sz w:val="22"/>
                <w:szCs w:val="22"/>
                <w:lang w:val="es-MX"/>
              </w:rPr>
            </w:pPr>
            <w:r w:rsidRPr="00BA1093">
              <w:rPr>
                <w:rFonts w:ascii="Arial" w:hAnsi="Arial" w:cs="Arial"/>
                <w:bCs/>
                <w:sz w:val="22"/>
                <w:szCs w:val="22"/>
                <w:lang w:val="es-MX"/>
              </w:rPr>
              <w:t xml:space="preserve">La Dirección Administrativa y Financiera de conformidad con la información reportada en el memorando 20253016040 del 21-02-2025, aportó las siguientes debilidades del proceso de control interno contable en la entidad:  El Plan Institucional de Capacitación está orientado a abordar temáticas relacionadas con las áreas misionales, dejando a un lado las necesidades de capacitación orientadas a temáticas contables y tributarias cuya normatividad es cambiante y de aplicación inmediata. No obstante, se hace la respectiva gestión de capacitaciones requeridas por el área y programadas por la Contaduría Generala de la Nación de acuerdo con los soportes que se anexan. De igual forma, se cuenta con el apoyo de suscripciones de carácter tributario, que, a título personal, tiene la líder del proceso contable, y comparte oportunamente para la actualización de estos temas.  </w:t>
            </w:r>
          </w:p>
        </w:tc>
      </w:tr>
    </w:tbl>
    <w:p w14:paraId="2E7AF578" w14:textId="77777777" w:rsidR="00561B22" w:rsidRPr="00BA1093" w:rsidRDefault="00561B22" w:rsidP="00561B22">
      <w:pPr>
        <w:pStyle w:val="Textoindependiente"/>
        <w:ind w:right="-50"/>
        <w:jc w:val="both"/>
        <w:rPr>
          <w:rFonts w:ascii="Arial" w:hAnsi="Arial" w:cs="Arial"/>
          <w:b/>
          <w:bCs/>
        </w:rPr>
      </w:pPr>
    </w:p>
    <w:p w14:paraId="3E27BADC" w14:textId="77777777" w:rsidR="00561B22" w:rsidRPr="00BA1093" w:rsidRDefault="00561B22" w:rsidP="00561B22">
      <w:pPr>
        <w:jc w:val="both"/>
        <w:rPr>
          <w:rFonts w:ascii="Arial" w:hAnsi="Arial" w:cs="Arial"/>
          <w:b/>
          <w:lang w:val="es-MX"/>
        </w:rPr>
      </w:pPr>
      <w:r w:rsidRPr="00BA1093">
        <w:rPr>
          <w:rFonts w:ascii="Arial" w:hAnsi="Arial" w:cs="Arial"/>
          <w:b/>
          <w:lang w:val="es-MX"/>
        </w:rPr>
        <w:t>Del citado informe retomamos las siguientes recomendaciones:</w:t>
      </w:r>
    </w:p>
    <w:p w14:paraId="15386197" w14:textId="77777777" w:rsidR="00561B22" w:rsidRPr="00BA1093"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BA1093" w14:paraId="0528D033" w14:textId="77777777" w:rsidTr="00F1223B">
        <w:tc>
          <w:tcPr>
            <w:tcW w:w="562" w:type="dxa"/>
          </w:tcPr>
          <w:p w14:paraId="2F04A543" w14:textId="77777777" w:rsidR="00561B22" w:rsidRPr="00BA1093" w:rsidRDefault="00561B22" w:rsidP="00F1223B">
            <w:pPr>
              <w:ind w:right="-109"/>
              <w:jc w:val="center"/>
              <w:rPr>
                <w:rFonts w:ascii="Arial" w:hAnsi="Arial" w:cs="Arial"/>
                <w:b/>
                <w:sz w:val="22"/>
                <w:szCs w:val="22"/>
                <w:lang w:val="es-MX"/>
              </w:rPr>
            </w:pPr>
            <w:r w:rsidRPr="00BA1093">
              <w:rPr>
                <w:rFonts w:ascii="Arial" w:hAnsi="Arial" w:cs="Arial"/>
                <w:b/>
                <w:sz w:val="22"/>
                <w:szCs w:val="22"/>
                <w:lang w:val="es-MX"/>
              </w:rPr>
              <w:t>N°</w:t>
            </w:r>
          </w:p>
        </w:tc>
        <w:tc>
          <w:tcPr>
            <w:tcW w:w="9400" w:type="dxa"/>
          </w:tcPr>
          <w:p w14:paraId="6044D926" w14:textId="77777777" w:rsidR="00561B22" w:rsidRPr="00BA1093" w:rsidRDefault="00561B22" w:rsidP="00F1223B">
            <w:pPr>
              <w:jc w:val="center"/>
              <w:rPr>
                <w:rFonts w:ascii="Arial" w:hAnsi="Arial" w:cs="Arial"/>
                <w:b/>
                <w:sz w:val="22"/>
                <w:szCs w:val="22"/>
                <w:lang w:val="es-MX"/>
              </w:rPr>
            </w:pPr>
            <w:r w:rsidRPr="00BA1093">
              <w:rPr>
                <w:rFonts w:ascii="Arial" w:hAnsi="Arial" w:cs="Arial"/>
                <w:b/>
                <w:sz w:val="22"/>
                <w:szCs w:val="22"/>
                <w:lang w:val="es-MX"/>
              </w:rPr>
              <w:t>RECOMENDACIONES</w:t>
            </w:r>
          </w:p>
          <w:p w14:paraId="4C4B7087" w14:textId="77777777" w:rsidR="00561B22" w:rsidRPr="00BA1093" w:rsidRDefault="00561B22" w:rsidP="00F1223B">
            <w:pPr>
              <w:jc w:val="center"/>
              <w:rPr>
                <w:rFonts w:ascii="Arial" w:hAnsi="Arial" w:cs="Arial"/>
                <w:b/>
                <w:sz w:val="22"/>
                <w:szCs w:val="22"/>
                <w:lang w:val="es-MX"/>
              </w:rPr>
            </w:pPr>
          </w:p>
        </w:tc>
      </w:tr>
      <w:tr w:rsidR="00561B22" w:rsidRPr="00BA1093" w14:paraId="1A12F2A2" w14:textId="77777777" w:rsidTr="00F1223B">
        <w:tc>
          <w:tcPr>
            <w:tcW w:w="562" w:type="dxa"/>
          </w:tcPr>
          <w:p w14:paraId="09C7F040" w14:textId="77777777" w:rsidR="00561B22" w:rsidRPr="00BA1093" w:rsidRDefault="00561B22" w:rsidP="00F1223B">
            <w:pPr>
              <w:jc w:val="center"/>
              <w:rPr>
                <w:rFonts w:ascii="Arial" w:hAnsi="Arial" w:cs="Arial"/>
                <w:b/>
                <w:sz w:val="22"/>
                <w:szCs w:val="22"/>
                <w:lang w:val="es-MX"/>
              </w:rPr>
            </w:pPr>
            <w:r w:rsidRPr="00BA1093">
              <w:rPr>
                <w:rFonts w:ascii="Arial" w:hAnsi="Arial" w:cs="Arial"/>
                <w:b/>
                <w:sz w:val="22"/>
                <w:szCs w:val="22"/>
                <w:lang w:val="es-MX"/>
              </w:rPr>
              <w:t>1</w:t>
            </w:r>
          </w:p>
        </w:tc>
        <w:tc>
          <w:tcPr>
            <w:tcW w:w="9400" w:type="dxa"/>
          </w:tcPr>
          <w:p w14:paraId="565871CF" w14:textId="77777777" w:rsidR="00561B22" w:rsidRPr="00BA1093" w:rsidRDefault="00561B22" w:rsidP="00F1223B">
            <w:pPr>
              <w:rPr>
                <w:rFonts w:ascii="Arial" w:hAnsi="Arial" w:cs="Arial"/>
                <w:bCs/>
                <w:sz w:val="22"/>
                <w:szCs w:val="22"/>
                <w:lang w:val="es-MX"/>
              </w:rPr>
            </w:pPr>
            <w:r w:rsidRPr="00BA1093">
              <w:rPr>
                <w:rFonts w:ascii="Arial" w:hAnsi="Arial" w:cs="Arial"/>
                <w:bCs/>
                <w:sz w:val="22"/>
                <w:szCs w:val="22"/>
                <w:lang w:val="es-MX"/>
              </w:rPr>
              <w:t xml:space="preserve">Fortalecer el sistema tecnológico financiero, que integre de manera más eficiente la información de los procesos contables dado el volumen importante de registros que maneja la entidad. </w:t>
            </w:r>
          </w:p>
        </w:tc>
      </w:tr>
      <w:tr w:rsidR="00561B22" w:rsidRPr="00BA1093" w14:paraId="476D39A4" w14:textId="77777777" w:rsidTr="00F1223B">
        <w:tc>
          <w:tcPr>
            <w:tcW w:w="562" w:type="dxa"/>
          </w:tcPr>
          <w:p w14:paraId="63F301EC" w14:textId="77777777" w:rsidR="00561B22" w:rsidRPr="00BA1093" w:rsidRDefault="00561B22" w:rsidP="00F1223B">
            <w:pPr>
              <w:jc w:val="center"/>
              <w:rPr>
                <w:rFonts w:ascii="Arial" w:hAnsi="Arial" w:cs="Arial"/>
                <w:b/>
                <w:sz w:val="22"/>
                <w:szCs w:val="22"/>
                <w:lang w:val="es-MX"/>
              </w:rPr>
            </w:pPr>
            <w:r w:rsidRPr="00BA1093">
              <w:rPr>
                <w:rFonts w:ascii="Arial" w:hAnsi="Arial" w:cs="Arial"/>
                <w:b/>
                <w:sz w:val="22"/>
                <w:szCs w:val="22"/>
                <w:lang w:val="es-MX"/>
              </w:rPr>
              <w:t>2</w:t>
            </w:r>
          </w:p>
        </w:tc>
        <w:tc>
          <w:tcPr>
            <w:tcW w:w="9400" w:type="dxa"/>
          </w:tcPr>
          <w:p w14:paraId="7C9DA91A" w14:textId="77777777" w:rsidR="00561B22" w:rsidRPr="00BA1093" w:rsidRDefault="00561B22" w:rsidP="00F1223B">
            <w:pPr>
              <w:jc w:val="both"/>
              <w:rPr>
                <w:rFonts w:ascii="Arial" w:hAnsi="Arial" w:cs="Arial"/>
                <w:bCs/>
                <w:sz w:val="22"/>
                <w:szCs w:val="22"/>
                <w:lang w:val="es-MX"/>
              </w:rPr>
            </w:pPr>
            <w:r w:rsidRPr="00BA1093">
              <w:rPr>
                <w:rFonts w:ascii="Arial" w:hAnsi="Arial" w:cs="Arial"/>
                <w:bCs/>
                <w:sz w:val="22"/>
                <w:szCs w:val="22"/>
                <w:lang w:val="es-MX"/>
              </w:rPr>
              <w:t>Se reitera la necesidad de que se incluya en el PIC capacitaciones asociadas a los temas de carácter normativo, tanto contable como tributario, que permitan garantizar la actualización permanente en estos contenidos para los Profesionales vinculados en el proceso contable.</w:t>
            </w:r>
          </w:p>
        </w:tc>
      </w:tr>
    </w:tbl>
    <w:p w14:paraId="44491155" w14:textId="77777777" w:rsidR="00561B22" w:rsidRPr="00BA1093" w:rsidRDefault="00561B22" w:rsidP="00561B22">
      <w:pPr>
        <w:jc w:val="both"/>
        <w:rPr>
          <w:rFonts w:ascii="Arial" w:hAnsi="Arial" w:cs="Arial"/>
          <w:b/>
          <w:bCs/>
          <w:sz w:val="24"/>
          <w:szCs w:val="24"/>
          <w:lang w:val="es-CO"/>
        </w:rPr>
      </w:pPr>
    </w:p>
    <w:p w14:paraId="422AD208" w14:textId="77777777" w:rsidR="00561B22" w:rsidRPr="00BA1093" w:rsidRDefault="00561B22" w:rsidP="00561B22">
      <w:pPr>
        <w:jc w:val="both"/>
        <w:rPr>
          <w:rFonts w:ascii="Arial" w:hAnsi="Arial" w:cs="Arial"/>
          <w:b/>
          <w:bCs/>
          <w:sz w:val="24"/>
          <w:szCs w:val="24"/>
          <w:lang w:val="es-CO"/>
        </w:rPr>
      </w:pPr>
      <w:r w:rsidRPr="00BA1093">
        <w:rPr>
          <w:rFonts w:ascii="Arial" w:hAnsi="Arial" w:cs="Arial"/>
          <w:b/>
          <w:bCs/>
          <w:sz w:val="24"/>
          <w:szCs w:val="24"/>
          <w:lang w:val="es-CO"/>
        </w:rPr>
        <w:t xml:space="preserve">NOTA: LA ENTIDAD ENVÍA LA MATRIZ DE AUTOEVALUACIÓN DEL SISTEMA DE CONTROL INTERNO CONTABLE CON </w:t>
      </w:r>
      <w:r w:rsidRPr="00BA1093">
        <w:rPr>
          <w:rFonts w:ascii="Arial" w:hAnsi="Arial" w:cs="Arial"/>
          <w:b/>
          <w:bCs/>
          <w:sz w:val="24"/>
          <w:szCs w:val="24"/>
          <w:u w:val="single"/>
          <w:lang w:val="es-CO"/>
        </w:rPr>
        <w:t>ACTIVIDADES DE CONTROL REALIZADAS EN FORMA PARCIAL</w:t>
      </w:r>
      <w:r w:rsidRPr="00BA1093">
        <w:rPr>
          <w:rFonts w:ascii="Arial" w:hAnsi="Arial" w:cs="Arial"/>
          <w:b/>
          <w:bCs/>
          <w:sz w:val="24"/>
          <w:szCs w:val="24"/>
          <w:lang w:val="es-CO"/>
        </w:rPr>
        <w:t>.</w:t>
      </w:r>
    </w:p>
    <w:p w14:paraId="7FC842D0" w14:textId="77777777" w:rsidR="00561B22" w:rsidRPr="00BA1093" w:rsidRDefault="00561B22" w:rsidP="00561B22">
      <w:pPr>
        <w:jc w:val="both"/>
        <w:rPr>
          <w:rFonts w:ascii="Arial" w:hAnsi="Arial" w:cs="Arial"/>
          <w:b/>
          <w:bCs/>
          <w:sz w:val="24"/>
          <w:szCs w:val="24"/>
          <w:lang w:val="es-CO"/>
        </w:rPr>
      </w:pPr>
    </w:p>
    <w:p w14:paraId="40B81176" w14:textId="77777777" w:rsidR="00561B22" w:rsidRPr="008D637A" w:rsidRDefault="00561B22" w:rsidP="00561B22">
      <w:pPr>
        <w:jc w:val="both"/>
        <w:rPr>
          <w:rFonts w:ascii="Arial" w:hAnsi="Arial" w:cs="Arial"/>
          <w:b/>
          <w:sz w:val="28"/>
          <w:szCs w:val="28"/>
          <w:lang w:val="es-MX"/>
        </w:rPr>
      </w:pPr>
      <w:r w:rsidRPr="008D637A">
        <w:rPr>
          <w:rFonts w:ascii="Arial" w:hAnsi="Arial" w:cs="Arial"/>
          <w:b/>
          <w:sz w:val="28"/>
          <w:szCs w:val="28"/>
          <w:lang w:val="es-MX"/>
        </w:rPr>
        <w:t>246.- ELECTRIFICADORA DEL HUILA S.A. E.S.P. – ELECTROHUILA.</w:t>
      </w:r>
    </w:p>
    <w:p w14:paraId="7082A4EB" w14:textId="77777777" w:rsidR="00561B22" w:rsidRDefault="00561B22" w:rsidP="00561B22">
      <w:pPr>
        <w:pStyle w:val="Textoindependiente"/>
        <w:ind w:right="-50"/>
        <w:jc w:val="both"/>
        <w:rPr>
          <w:b/>
          <w:bCs/>
          <w:sz w:val="28"/>
          <w:szCs w:val="28"/>
        </w:rPr>
      </w:pPr>
    </w:p>
    <w:p w14:paraId="5EFDCF65" w14:textId="77777777" w:rsidR="00561B22" w:rsidRPr="00CF7594" w:rsidRDefault="00561B22" w:rsidP="00561B22">
      <w:pPr>
        <w:pStyle w:val="Textoindependiente"/>
        <w:ind w:right="-50"/>
        <w:jc w:val="center"/>
        <w:rPr>
          <w:rFonts w:ascii="Arial" w:hAnsi="Arial" w:cs="Arial"/>
          <w:b/>
          <w:bCs/>
        </w:rPr>
      </w:pPr>
      <w:r w:rsidRPr="00CF7594">
        <w:rPr>
          <w:rFonts w:ascii="Arial" w:hAnsi="Arial" w:cs="Arial"/>
          <w:b/>
          <w:bCs/>
        </w:rPr>
        <w:t>INFORME DE LA AUTOCALIFICACIÓN DEL SISTEMA DE CONTROL INTERNO CONTABLE:</w:t>
      </w:r>
    </w:p>
    <w:p w14:paraId="4A0A31A1" w14:textId="77777777" w:rsidR="00561B22" w:rsidRPr="00CF7594"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F7594" w14:paraId="26F32EF0" w14:textId="77777777" w:rsidTr="00F1223B">
        <w:tc>
          <w:tcPr>
            <w:tcW w:w="4981" w:type="dxa"/>
          </w:tcPr>
          <w:p w14:paraId="041EC276"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AUTOCALIFICACIÓN</w:t>
            </w:r>
          </w:p>
        </w:tc>
        <w:tc>
          <w:tcPr>
            <w:tcW w:w="4981" w:type="dxa"/>
          </w:tcPr>
          <w:p w14:paraId="2B16DB98" w14:textId="77777777" w:rsidR="00561B22" w:rsidRPr="00CF7594" w:rsidRDefault="00561B22" w:rsidP="00F1223B">
            <w:pPr>
              <w:jc w:val="center"/>
              <w:rPr>
                <w:rFonts w:ascii="Arial" w:hAnsi="Arial" w:cs="Arial"/>
                <w:b/>
                <w:sz w:val="22"/>
                <w:szCs w:val="22"/>
                <w:u w:val="single"/>
                <w:lang w:val="es-MX"/>
              </w:rPr>
            </w:pPr>
            <w:r w:rsidRPr="00CF7594">
              <w:rPr>
                <w:rFonts w:ascii="Arial" w:hAnsi="Arial" w:cs="Arial"/>
                <w:b/>
                <w:sz w:val="22"/>
                <w:szCs w:val="22"/>
                <w:u w:val="single"/>
                <w:lang w:val="es-MX"/>
              </w:rPr>
              <w:t>4.72</w:t>
            </w:r>
          </w:p>
        </w:tc>
      </w:tr>
    </w:tbl>
    <w:p w14:paraId="5A5C630F" w14:textId="77777777" w:rsidR="00561B22" w:rsidRPr="00CF7594" w:rsidRDefault="00561B22" w:rsidP="00561B22">
      <w:pPr>
        <w:pStyle w:val="Textoindependiente"/>
        <w:ind w:right="-50"/>
        <w:jc w:val="both"/>
        <w:rPr>
          <w:rFonts w:ascii="Arial" w:hAnsi="Arial" w:cs="Arial"/>
          <w:b/>
          <w:bCs/>
        </w:rPr>
      </w:pPr>
    </w:p>
    <w:p w14:paraId="2551274B" w14:textId="77777777" w:rsidR="00561B22" w:rsidRPr="00CF7594" w:rsidRDefault="00561B22" w:rsidP="00561B22">
      <w:pPr>
        <w:pStyle w:val="Textoindependiente"/>
        <w:ind w:right="-50"/>
        <w:jc w:val="both"/>
        <w:rPr>
          <w:rFonts w:ascii="Arial" w:hAnsi="Arial" w:cs="Arial"/>
          <w:b/>
          <w:bCs/>
        </w:rPr>
      </w:pPr>
      <w:r w:rsidRPr="00CF7594">
        <w:rPr>
          <w:rFonts w:ascii="Arial" w:hAnsi="Arial" w:cs="Arial"/>
          <w:b/>
          <w:bCs/>
        </w:rPr>
        <w:t>Del informe enviado retomamos lo siguiente:</w:t>
      </w:r>
    </w:p>
    <w:p w14:paraId="355D30DA" w14:textId="77777777" w:rsidR="00561B22" w:rsidRPr="00CF759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F7594" w14:paraId="204C9DCB" w14:textId="77777777" w:rsidTr="00F1223B">
        <w:tc>
          <w:tcPr>
            <w:tcW w:w="562" w:type="dxa"/>
          </w:tcPr>
          <w:p w14:paraId="5327F568" w14:textId="77777777" w:rsidR="00561B22" w:rsidRPr="00CF7594" w:rsidRDefault="00561B22" w:rsidP="00F1223B">
            <w:pPr>
              <w:ind w:right="-109"/>
              <w:jc w:val="center"/>
              <w:rPr>
                <w:rFonts w:ascii="Arial" w:hAnsi="Arial" w:cs="Arial"/>
                <w:b/>
                <w:sz w:val="22"/>
                <w:szCs w:val="22"/>
                <w:lang w:val="es-MX"/>
              </w:rPr>
            </w:pPr>
            <w:r w:rsidRPr="00CF7594">
              <w:rPr>
                <w:rFonts w:ascii="Arial" w:hAnsi="Arial" w:cs="Arial"/>
                <w:b/>
                <w:sz w:val="22"/>
                <w:szCs w:val="22"/>
                <w:lang w:val="es-MX"/>
              </w:rPr>
              <w:t>N°</w:t>
            </w:r>
          </w:p>
        </w:tc>
        <w:tc>
          <w:tcPr>
            <w:tcW w:w="9400" w:type="dxa"/>
          </w:tcPr>
          <w:p w14:paraId="3EFE8B4C"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DEBILIDADES</w:t>
            </w:r>
          </w:p>
          <w:p w14:paraId="4632A765" w14:textId="77777777" w:rsidR="00561B22" w:rsidRPr="00CF7594" w:rsidRDefault="00561B22" w:rsidP="00F1223B">
            <w:pPr>
              <w:jc w:val="center"/>
              <w:rPr>
                <w:rFonts w:ascii="Arial" w:hAnsi="Arial" w:cs="Arial"/>
                <w:b/>
                <w:sz w:val="22"/>
                <w:szCs w:val="22"/>
                <w:lang w:val="es-MX"/>
              </w:rPr>
            </w:pPr>
          </w:p>
        </w:tc>
      </w:tr>
      <w:tr w:rsidR="00561B22" w:rsidRPr="00CF7594" w14:paraId="22E606E6" w14:textId="77777777" w:rsidTr="00F1223B">
        <w:tc>
          <w:tcPr>
            <w:tcW w:w="562" w:type="dxa"/>
          </w:tcPr>
          <w:p w14:paraId="364E2EE4"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1</w:t>
            </w:r>
          </w:p>
        </w:tc>
        <w:tc>
          <w:tcPr>
            <w:tcW w:w="9400" w:type="dxa"/>
          </w:tcPr>
          <w:p w14:paraId="7069B8DE"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 xml:space="preserve">No hay interfase entre el sistema de información comercial (SIEC) que genera toda la facturación de empresa y el sistema de información Financiero ERP Cyberaccount (Comercial y Contabilidad) en lo relacionado con los ingresos. Este proceso se realiza de manera manual en el proceso Comercial y la información es entregada a Contabilidad en forma consolidada; esta situación puede ser parte de las causas para que existan diferencias en la información del módulo de Cartera del SIEC y Contabilidad. Esta debilidad es recurrente y se presenta año tras año. </w:t>
            </w:r>
          </w:p>
        </w:tc>
      </w:tr>
      <w:tr w:rsidR="00561B22" w:rsidRPr="00CF7594" w14:paraId="61192460" w14:textId="77777777" w:rsidTr="00F1223B">
        <w:tc>
          <w:tcPr>
            <w:tcW w:w="562" w:type="dxa"/>
          </w:tcPr>
          <w:p w14:paraId="6DA36EE8"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lastRenderedPageBreak/>
              <w:t>2</w:t>
            </w:r>
          </w:p>
        </w:tc>
        <w:tc>
          <w:tcPr>
            <w:tcW w:w="9400" w:type="dxa"/>
          </w:tcPr>
          <w:p w14:paraId="31E2B3D1"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Durante el 2024 se hicieron cuatro (4) actualizaciones del Manual descriptivo de cargos de Electrohuila mediante documentos de Gerencia No. DG123, DG154, DG171 y DG190; sin embargo, las funciones de autorizaciones, registros y manejos no están especificados en éste para las personas que intervienen en la transversalidad del proceso contable.</w:t>
            </w:r>
          </w:p>
        </w:tc>
      </w:tr>
      <w:tr w:rsidR="00561B22" w:rsidRPr="00CF7594" w14:paraId="79A4327E" w14:textId="77777777" w:rsidTr="00F1223B">
        <w:tc>
          <w:tcPr>
            <w:tcW w:w="562" w:type="dxa"/>
          </w:tcPr>
          <w:p w14:paraId="1C9573B5"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3</w:t>
            </w:r>
          </w:p>
        </w:tc>
        <w:tc>
          <w:tcPr>
            <w:tcW w:w="9400" w:type="dxa"/>
          </w:tcPr>
          <w:p w14:paraId="2C84B1C2"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No existe procedimiento o protocolo para el cálculo del deterioro de Propiedad Planta y Equipo. d. Se presentan demoras en la entrega de información por parte de áreas internas y proveedores que afectan la oportunidad de la presentación de estados financieros (cálculos actuariales).</w:t>
            </w:r>
          </w:p>
        </w:tc>
      </w:tr>
      <w:tr w:rsidR="00561B22" w:rsidRPr="00CF7594" w14:paraId="60CEFF99" w14:textId="77777777" w:rsidTr="00F1223B">
        <w:tc>
          <w:tcPr>
            <w:tcW w:w="562" w:type="dxa"/>
          </w:tcPr>
          <w:p w14:paraId="2B3215DE"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4</w:t>
            </w:r>
          </w:p>
        </w:tc>
        <w:tc>
          <w:tcPr>
            <w:tcW w:w="9400" w:type="dxa"/>
          </w:tcPr>
          <w:p w14:paraId="3B7DB67F"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Se evidencia que no todos los riesgos de índole contable, establecidos en el Procedimiento para la evaluación del control interno contable, concordante con los riesgos identificados en la Resolución N° 357 expedida por la CGN, no se han incluido en la matriz de riesgos del proceso.</w:t>
            </w:r>
          </w:p>
        </w:tc>
      </w:tr>
      <w:tr w:rsidR="00561B22" w:rsidRPr="00CF7594" w14:paraId="14C3FA79" w14:textId="77777777" w:rsidTr="00F1223B">
        <w:tc>
          <w:tcPr>
            <w:tcW w:w="562" w:type="dxa"/>
          </w:tcPr>
          <w:p w14:paraId="00308C25"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5</w:t>
            </w:r>
          </w:p>
        </w:tc>
        <w:tc>
          <w:tcPr>
            <w:tcW w:w="9400" w:type="dxa"/>
          </w:tcPr>
          <w:p w14:paraId="617D08B5"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En la vigencia 2024 no se llevaron a cabo programas de capacitación que apunten al mejoramiento de competencias y habilidades del proceso contable, incluidos los temas de actualización tributaria.</w:t>
            </w:r>
          </w:p>
        </w:tc>
      </w:tr>
    </w:tbl>
    <w:p w14:paraId="3D6CB957" w14:textId="77777777" w:rsidR="00561B22" w:rsidRPr="00CF7594" w:rsidRDefault="00561B22" w:rsidP="00561B22">
      <w:pPr>
        <w:pStyle w:val="Textoindependiente"/>
        <w:ind w:right="-50"/>
        <w:jc w:val="both"/>
        <w:rPr>
          <w:rFonts w:ascii="Arial" w:hAnsi="Arial" w:cs="Arial"/>
          <w:b/>
          <w:bCs/>
        </w:rPr>
      </w:pPr>
    </w:p>
    <w:p w14:paraId="0F0F2017" w14:textId="77777777" w:rsidR="00561B22" w:rsidRPr="00CF7594" w:rsidRDefault="00561B22" w:rsidP="00561B22">
      <w:pPr>
        <w:jc w:val="both"/>
        <w:rPr>
          <w:rFonts w:ascii="Arial" w:hAnsi="Arial" w:cs="Arial"/>
          <w:b/>
          <w:lang w:val="es-MX"/>
        </w:rPr>
      </w:pPr>
      <w:r w:rsidRPr="00CF7594">
        <w:rPr>
          <w:rFonts w:ascii="Arial" w:hAnsi="Arial" w:cs="Arial"/>
          <w:b/>
          <w:lang w:val="es-MX"/>
        </w:rPr>
        <w:t>Del citado informe retomamos las siguientes recomendaciones:</w:t>
      </w:r>
    </w:p>
    <w:p w14:paraId="524ED1E5" w14:textId="77777777" w:rsidR="00561B22" w:rsidRPr="00CF7594"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CF7594" w14:paraId="4C83F700" w14:textId="77777777" w:rsidTr="00F1223B">
        <w:tc>
          <w:tcPr>
            <w:tcW w:w="562" w:type="dxa"/>
          </w:tcPr>
          <w:p w14:paraId="34D7193B" w14:textId="77777777" w:rsidR="00561B22" w:rsidRPr="00CF7594" w:rsidRDefault="00561B22" w:rsidP="00F1223B">
            <w:pPr>
              <w:ind w:right="-109"/>
              <w:jc w:val="center"/>
              <w:rPr>
                <w:rFonts w:ascii="Arial" w:hAnsi="Arial" w:cs="Arial"/>
                <w:b/>
                <w:sz w:val="22"/>
                <w:szCs w:val="22"/>
                <w:lang w:val="es-MX"/>
              </w:rPr>
            </w:pPr>
            <w:r w:rsidRPr="00CF7594">
              <w:rPr>
                <w:rFonts w:ascii="Arial" w:hAnsi="Arial" w:cs="Arial"/>
                <w:b/>
                <w:sz w:val="22"/>
                <w:szCs w:val="22"/>
                <w:lang w:val="es-MX"/>
              </w:rPr>
              <w:t>N°</w:t>
            </w:r>
          </w:p>
        </w:tc>
        <w:tc>
          <w:tcPr>
            <w:tcW w:w="9400" w:type="dxa"/>
          </w:tcPr>
          <w:p w14:paraId="3AEFBA82"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RECOMENDACIONES</w:t>
            </w:r>
          </w:p>
          <w:p w14:paraId="19D2F169" w14:textId="77777777" w:rsidR="00561B22" w:rsidRPr="00CF7594" w:rsidRDefault="00561B22" w:rsidP="00F1223B">
            <w:pPr>
              <w:jc w:val="center"/>
              <w:rPr>
                <w:rFonts w:ascii="Arial" w:hAnsi="Arial" w:cs="Arial"/>
                <w:b/>
                <w:sz w:val="22"/>
                <w:szCs w:val="22"/>
                <w:lang w:val="es-MX"/>
              </w:rPr>
            </w:pPr>
          </w:p>
        </w:tc>
      </w:tr>
      <w:tr w:rsidR="00561B22" w:rsidRPr="00CF7594" w14:paraId="25CEE3A6" w14:textId="77777777" w:rsidTr="00F1223B">
        <w:tc>
          <w:tcPr>
            <w:tcW w:w="562" w:type="dxa"/>
          </w:tcPr>
          <w:p w14:paraId="7DA79B21"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1</w:t>
            </w:r>
          </w:p>
        </w:tc>
        <w:tc>
          <w:tcPr>
            <w:tcW w:w="9400" w:type="dxa"/>
          </w:tcPr>
          <w:p w14:paraId="21F742EB"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 xml:space="preserve">Actualizar el sistema financiero ERP Cyberaccount con el fin de reducir la dependencia de procesos manuales, los cuales pueden generar errores al manipular la información y/o formular hojas de cálculo, como el caso de la generación automática del Estado de Flujo de Efectivo. </w:t>
            </w:r>
          </w:p>
        </w:tc>
      </w:tr>
      <w:tr w:rsidR="00561B22" w:rsidRPr="00CF7594" w14:paraId="4C173898" w14:textId="77777777" w:rsidTr="00F1223B">
        <w:tc>
          <w:tcPr>
            <w:tcW w:w="562" w:type="dxa"/>
          </w:tcPr>
          <w:p w14:paraId="0D002C94"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2</w:t>
            </w:r>
          </w:p>
        </w:tc>
        <w:tc>
          <w:tcPr>
            <w:tcW w:w="9400" w:type="dxa"/>
          </w:tcPr>
          <w:p w14:paraId="5ABAD200"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Implementar acciones orientadas a mejorar la oportunidad en la entrega de información a la división Financiera desde los demás procesos, para la mejora de los tiempos requeridos para el cierre de cada vigencia fiscal, de conformidad con el cronograma de cierre programado y socializado por la Subgerencia Administrativa y Financiera.</w:t>
            </w:r>
          </w:p>
        </w:tc>
      </w:tr>
      <w:tr w:rsidR="00561B22" w:rsidRPr="00CF7594" w14:paraId="1668AEF8" w14:textId="77777777" w:rsidTr="00F1223B">
        <w:tc>
          <w:tcPr>
            <w:tcW w:w="562" w:type="dxa"/>
          </w:tcPr>
          <w:p w14:paraId="31E2FCF5"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3</w:t>
            </w:r>
          </w:p>
        </w:tc>
        <w:tc>
          <w:tcPr>
            <w:tcW w:w="9400" w:type="dxa"/>
          </w:tcPr>
          <w:p w14:paraId="6C0EFF65"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Dar continuidad a la revisión y actualización permanente de la documentación del proceso de Gestión Financiera acorde con los cambios administrativos, sistemáticos, de los procesos y normativos, cuando aplique; a fin de fortalecer la aplicación de las políticas contables que se actualizaron en el Documento de Gerencia N° 217 de 2025.</w:t>
            </w:r>
          </w:p>
        </w:tc>
      </w:tr>
      <w:tr w:rsidR="00561B22" w:rsidRPr="00CF7594" w14:paraId="75A18CEA" w14:textId="77777777" w:rsidTr="00F1223B">
        <w:tc>
          <w:tcPr>
            <w:tcW w:w="562" w:type="dxa"/>
          </w:tcPr>
          <w:p w14:paraId="490D1B83"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4</w:t>
            </w:r>
          </w:p>
        </w:tc>
        <w:tc>
          <w:tcPr>
            <w:tcW w:w="9400" w:type="dxa"/>
          </w:tcPr>
          <w:p w14:paraId="16E54C01"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Ejecutar las acciones de los Planes de Mejoramiento propuesto de los resultados de las Evaluaciones de Control Interno Contable vigencias 2023 y 2024, de la auditoría Integral al proceso de Gestión Financiera.</w:t>
            </w:r>
          </w:p>
        </w:tc>
      </w:tr>
      <w:tr w:rsidR="00561B22" w:rsidRPr="00CF7594" w14:paraId="726FBEFD" w14:textId="77777777" w:rsidTr="00F1223B">
        <w:tc>
          <w:tcPr>
            <w:tcW w:w="562" w:type="dxa"/>
          </w:tcPr>
          <w:p w14:paraId="51A7E2F2"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5</w:t>
            </w:r>
          </w:p>
        </w:tc>
        <w:tc>
          <w:tcPr>
            <w:tcW w:w="9400" w:type="dxa"/>
          </w:tcPr>
          <w:p w14:paraId="30BA3428"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Revisar el listado de riesgos de índole contable previstas en el Anexo de la Resolución 193 de 2016 de la CGN, valorarlos, gestionarlos, hacer seguimiento y controlar dichos riesgos.</w:t>
            </w:r>
          </w:p>
        </w:tc>
      </w:tr>
      <w:tr w:rsidR="00561B22" w:rsidRPr="00CF7594" w14:paraId="0744F86D" w14:textId="77777777" w:rsidTr="00F1223B">
        <w:tc>
          <w:tcPr>
            <w:tcW w:w="562" w:type="dxa"/>
          </w:tcPr>
          <w:p w14:paraId="43FEF5A8" w14:textId="77777777" w:rsidR="00561B22" w:rsidRPr="00CF7594" w:rsidRDefault="00561B22" w:rsidP="00F1223B">
            <w:pPr>
              <w:jc w:val="center"/>
              <w:rPr>
                <w:rFonts w:ascii="Arial" w:hAnsi="Arial" w:cs="Arial"/>
                <w:b/>
                <w:sz w:val="22"/>
                <w:szCs w:val="22"/>
                <w:lang w:val="es-MX"/>
              </w:rPr>
            </w:pPr>
            <w:r w:rsidRPr="00CF7594">
              <w:rPr>
                <w:rFonts w:ascii="Arial" w:hAnsi="Arial" w:cs="Arial"/>
                <w:b/>
                <w:sz w:val="22"/>
                <w:szCs w:val="22"/>
                <w:lang w:val="es-MX"/>
              </w:rPr>
              <w:t>6</w:t>
            </w:r>
          </w:p>
        </w:tc>
        <w:tc>
          <w:tcPr>
            <w:tcW w:w="9400" w:type="dxa"/>
          </w:tcPr>
          <w:p w14:paraId="272310B7" w14:textId="77777777" w:rsidR="00561B22" w:rsidRPr="00CF7594" w:rsidRDefault="00561B22" w:rsidP="00F1223B">
            <w:pPr>
              <w:jc w:val="both"/>
              <w:rPr>
                <w:rFonts w:ascii="Arial" w:hAnsi="Arial" w:cs="Arial"/>
                <w:bCs/>
                <w:sz w:val="22"/>
                <w:szCs w:val="22"/>
                <w:lang w:val="es-MX"/>
              </w:rPr>
            </w:pPr>
            <w:r w:rsidRPr="00CF7594">
              <w:rPr>
                <w:rFonts w:ascii="Arial" w:hAnsi="Arial" w:cs="Arial"/>
                <w:bCs/>
                <w:sz w:val="22"/>
                <w:szCs w:val="22"/>
                <w:lang w:val="es-MX"/>
              </w:rPr>
              <w:t>Identificar necesidades de capacitación, desarrollar programas de capacitación, implementar sesiones regulares de capacitación, incluir capacitación en desarrollo profesional, evaluar la efectividad de las capacitaciones y fomentar una cultura de aprendizaje.</w:t>
            </w:r>
          </w:p>
        </w:tc>
      </w:tr>
    </w:tbl>
    <w:p w14:paraId="7BFB2D0F" w14:textId="77777777" w:rsidR="00561B22" w:rsidRPr="00CF7594" w:rsidRDefault="00561B22" w:rsidP="00561B22">
      <w:pPr>
        <w:pStyle w:val="Textoindependiente"/>
        <w:ind w:right="-50"/>
        <w:jc w:val="both"/>
        <w:rPr>
          <w:rFonts w:ascii="Arial" w:hAnsi="Arial" w:cs="Arial"/>
          <w:b/>
          <w:bCs/>
          <w:sz w:val="28"/>
          <w:szCs w:val="28"/>
        </w:rPr>
      </w:pPr>
    </w:p>
    <w:p w14:paraId="6DFC92E1" w14:textId="77777777" w:rsidR="00561B22" w:rsidRPr="00CF7594" w:rsidRDefault="00561B22" w:rsidP="00561B22">
      <w:pPr>
        <w:jc w:val="both"/>
        <w:rPr>
          <w:rFonts w:ascii="Arial" w:hAnsi="Arial" w:cs="Arial"/>
          <w:b/>
          <w:bCs/>
          <w:sz w:val="24"/>
          <w:szCs w:val="24"/>
          <w:lang w:val="es-CO"/>
        </w:rPr>
      </w:pPr>
      <w:r w:rsidRPr="00CF7594">
        <w:rPr>
          <w:rFonts w:ascii="Arial" w:hAnsi="Arial" w:cs="Arial"/>
          <w:b/>
          <w:bCs/>
          <w:sz w:val="24"/>
          <w:szCs w:val="24"/>
          <w:lang w:val="es-CO"/>
        </w:rPr>
        <w:t xml:space="preserve">NOTA: LA ENTIDAD ENVIA LA MATRIZ DE AUTOEVALUACIÓN DEL SISTEMA DE CONTROL INTERNO CONTABLE CON ACTIVIDADES DE CONTROL REALIZADAS </w:t>
      </w:r>
      <w:r w:rsidRPr="00CF7594">
        <w:rPr>
          <w:rFonts w:ascii="Arial" w:hAnsi="Arial" w:cs="Arial"/>
          <w:b/>
          <w:bCs/>
          <w:sz w:val="24"/>
          <w:szCs w:val="24"/>
          <w:u w:val="single"/>
          <w:lang w:val="es-CO"/>
        </w:rPr>
        <w:t>EN FORMA PARCIAL Y OTRAS SIMPLEMENTE INFORMAN QUE NO SE REALIZARON</w:t>
      </w:r>
      <w:r w:rsidRPr="00CF7594">
        <w:rPr>
          <w:rFonts w:ascii="Arial" w:hAnsi="Arial" w:cs="Arial"/>
          <w:b/>
          <w:bCs/>
          <w:sz w:val="24"/>
          <w:szCs w:val="24"/>
          <w:lang w:val="es-CO"/>
        </w:rPr>
        <w:t>.</w:t>
      </w:r>
    </w:p>
    <w:p w14:paraId="0D9BBA73" w14:textId="77777777" w:rsidR="00561B22" w:rsidRPr="0067097C" w:rsidRDefault="00561B22" w:rsidP="00561B22">
      <w:pPr>
        <w:ind w:left="720" w:hanging="720"/>
        <w:jc w:val="both"/>
        <w:rPr>
          <w:b/>
          <w:bCs/>
          <w:sz w:val="24"/>
          <w:szCs w:val="24"/>
          <w:lang w:val="es-CO"/>
        </w:rPr>
      </w:pPr>
    </w:p>
    <w:p w14:paraId="2A4C993B" w14:textId="77777777" w:rsidR="00561B22" w:rsidRPr="00897483" w:rsidRDefault="00561B22" w:rsidP="00561B22">
      <w:pPr>
        <w:jc w:val="both"/>
        <w:rPr>
          <w:rFonts w:ascii="Arial" w:hAnsi="Arial" w:cs="Arial"/>
          <w:b/>
          <w:sz w:val="28"/>
          <w:szCs w:val="28"/>
          <w:lang w:val="es-MX"/>
        </w:rPr>
      </w:pPr>
      <w:r w:rsidRPr="00897483">
        <w:rPr>
          <w:rFonts w:ascii="Arial" w:hAnsi="Arial" w:cs="Arial"/>
          <w:b/>
          <w:sz w:val="28"/>
          <w:szCs w:val="28"/>
          <w:lang w:val="es-MX"/>
        </w:rPr>
        <w:t xml:space="preserve">247.- INSTITUTO NACIONAL DE VIGILANCIA DE MEDICAMENTOS Y ALIMENTOS – INVIMA. </w:t>
      </w:r>
    </w:p>
    <w:p w14:paraId="579F42E6" w14:textId="77777777" w:rsidR="00561B22" w:rsidRPr="00897483" w:rsidRDefault="00561B22" w:rsidP="00561B22">
      <w:pPr>
        <w:pStyle w:val="Prrafodelista"/>
        <w:spacing w:before="92"/>
        <w:ind w:left="142" w:hanging="142"/>
        <w:rPr>
          <w:rFonts w:ascii="Arial" w:hAnsi="Arial" w:cs="Arial"/>
          <w:b/>
          <w:sz w:val="24"/>
          <w:szCs w:val="24"/>
          <w:lang w:val="es-MX"/>
        </w:rPr>
      </w:pPr>
    </w:p>
    <w:p w14:paraId="13D662ED" w14:textId="77777777" w:rsidR="00561B22" w:rsidRPr="00C0201E" w:rsidRDefault="00561B22" w:rsidP="00561B22">
      <w:pPr>
        <w:pStyle w:val="Textoindependiente"/>
        <w:ind w:right="-50"/>
        <w:jc w:val="center"/>
        <w:rPr>
          <w:rFonts w:ascii="Arial" w:hAnsi="Arial" w:cs="Arial"/>
          <w:b/>
          <w:bCs/>
        </w:rPr>
      </w:pPr>
      <w:r w:rsidRPr="00C0201E">
        <w:rPr>
          <w:rFonts w:ascii="Arial" w:hAnsi="Arial" w:cs="Arial"/>
          <w:b/>
          <w:bCs/>
        </w:rPr>
        <w:t>INFORME DE LA AUTOCALIFICACIÓN DEL SISTEMA DE CONTROL INTERNO CONTABLE:</w:t>
      </w:r>
    </w:p>
    <w:p w14:paraId="229DCAC2" w14:textId="77777777" w:rsidR="00561B22" w:rsidRPr="00C0201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0201E" w14:paraId="4305A905" w14:textId="77777777" w:rsidTr="00F1223B">
        <w:tc>
          <w:tcPr>
            <w:tcW w:w="4981" w:type="dxa"/>
          </w:tcPr>
          <w:p w14:paraId="1A7831D8"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AUTOCALIFICACIÓN</w:t>
            </w:r>
          </w:p>
        </w:tc>
        <w:tc>
          <w:tcPr>
            <w:tcW w:w="4981" w:type="dxa"/>
          </w:tcPr>
          <w:p w14:paraId="101CFC3F" w14:textId="77777777" w:rsidR="00561B22" w:rsidRPr="00C0201E" w:rsidRDefault="00561B22" w:rsidP="00F1223B">
            <w:pPr>
              <w:jc w:val="center"/>
              <w:rPr>
                <w:rFonts w:ascii="Arial" w:hAnsi="Arial" w:cs="Arial"/>
                <w:b/>
                <w:sz w:val="22"/>
                <w:szCs w:val="22"/>
                <w:u w:val="single"/>
                <w:lang w:val="es-MX"/>
              </w:rPr>
            </w:pPr>
            <w:r w:rsidRPr="00C0201E">
              <w:rPr>
                <w:rFonts w:ascii="Arial" w:hAnsi="Arial" w:cs="Arial"/>
                <w:b/>
                <w:sz w:val="22"/>
                <w:szCs w:val="22"/>
                <w:u w:val="single"/>
                <w:lang w:val="es-MX"/>
              </w:rPr>
              <w:t>4.69</w:t>
            </w:r>
          </w:p>
        </w:tc>
      </w:tr>
    </w:tbl>
    <w:p w14:paraId="4B31FE21" w14:textId="77777777" w:rsidR="00561B22" w:rsidRPr="00C0201E" w:rsidRDefault="00561B22" w:rsidP="00561B22">
      <w:pPr>
        <w:pStyle w:val="Textoindependiente"/>
        <w:ind w:right="-50"/>
        <w:jc w:val="both"/>
        <w:rPr>
          <w:rFonts w:ascii="Arial" w:hAnsi="Arial" w:cs="Arial"/>
          <w:b/>
          <w:bCs/>
        </w:rPr>
      </w:pPr>
    </w:p>
    <w:p w14:paraId="57EF259B" w14:textId="77777777" w:rsidR="00561B22" w:rsidRPr="00C0201E" w:rsidRDefault="00561B22" w:rsidP="00561B22">
      <w:pPr>
        <w:pStyle w:val="Textoindependiente"/>
        <w:ind w:right="-50"/>
        <w:jc w:val="both"/>
        <w:rPr>
          <w:rFonts w:ascii="Arial" w:hAnsi="Arial" w:cs="Arial"/>
          <w:b/>
          <w:bCs/>
        </w:rPr>
      </w:pPr>
      <w:r w:rsidRPr="00C0201E">
        <w:rPr>
          <w:rFonts w:ascii="Arial" w:hAnsi="Arial" w:cs="Arial"/>
          <w:b/>
          <w:bCs/>
        </w:rPr>
        <w:lastRenderedPageBreak/>
        <w:t>Del informe enviado retomamos lo siguiente:</w:t>
      </w:r>
    </w:p>
    <w:p w14:paraId="0C82A18D" w14:textId="77777777" w:rsidR="00561B22" w:rsidRPr="00C0201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0201E" w14:paraId="72542591" w14:textId="77777777" w:rsidTr="00F1223B">
        <w:tc>
          <w:tcPr>
            <w:tcW w:w="562" w:type="dxa"/>
          </w:tcPr>
          <w:p w14:paraId="0A7C4377" w14:textId="77777777" w:rsidR="00561B22" w:rsidRPr="00C0201E" w:rsidRDefault="00561B22" w:rsidP="00F1223B">
            <w:pPr>
              <w:ind w:right="-109"/>
              <w:jc w:val="center"/>
              <w:rPr>
                <w:rFonts w:ascii="Arial" w:hAnsi="Arial" w:cs="Arial"/>
                <w:b/>
                <w:sz w:val="22"/>
                <w:szCs w:val="22"/>
                <w:lang w:val="es-MX"/>
              </w:rPr>
            </w:pPr>
            <w:r w:rsidRPr="00C0201E">
              <w:rPr>
                <w:rFonts w:ascii="Arial" w:hAnsi="Arial" w:cs="Arial"/>
                <w:b/>
                <w:sz w:val="22"/>
                <w:szCs w:val="22"/>
                <w:lang w:val="es-MX"/>
              </w:rPr>
              <w:t>N°</w:t>
            </w:r>
          </w:p>
        </w:tc>
        <w:tc>
          <w:tcPr>
            <w:tcW w:w="9400" w:type="dxa"/>
          </w:tcPr>
          <w:p w14:paraId="5C34EA45"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DEBILIDADES</w:t>
            </w:r>
          </w:p>
          <w:p w14:paraId="750C4230" w14:textId="77777777" w:rsidR="00561B22" w:rsidRPr="00C0201E" w:rsidRDefault="00561B22" w:rsidP="00F1223B">
            <w:pPr>
              <w:jc w:val="center"/>
              <w:rPr>
                <w:rFonts w:ascii="Arial" w:hAnsi="Arial" w:cs="Arial"/>
                <w:b/>
                <w:sz w:val="22"/>
                <w:szCs w:val="22"/>
                <w:lang w:val="es-MX"/>
              </w:rPr>
            </w:pPr>
          </w:p>
        </w:tc>
      </w:tr>
      <w:tr w:rsidR="00561B22" w:rsidRPr="00C0201E" w14:paraId="4D808908" w14:textId="77777777" w:rsidTr="00F1223B">
        <w:tc>
          <w:tcPr>
            <w:tcW w:w="562" w:type="dxa"/>
          </w:tcPr>
          <w:p w14:paraId="21322EE1"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1</w:t>
            </w:r>
          </w:p>
        </w:tc>
        <w:tc>
          <w:tcPr>
            <w:tcW w:w="9400" w:type="dxa"/>
          </w:tcPr>
          <w:p w14:paraId="1D3D2351" w14:textId="77777777" w:rsidR="00561B22" w:rsidRPr="00C0201E" w:rsidRDefault="00561B22" w:rsidP="00F1223B">
            <w:pPr>
              <w:jc w:val="both"/>
              <w:rPr>
                <w:rFonts w:ascii="Arial" w:hAnsi="Arial" w:cs="Arial"/>
                <w:bCs/>
                <w:sz w:val="22"/>
                <w:szCs w:val="22"/>
                <w:lang w:val="es-MX"/>
              </w:rPr>
            </w:pPr>
            <w:r w:rsidRPr="00C0201E">
              <w:rPr>
                <w:rFonts w:ascii="Arial" w:hAnsi="Arial" w:cs="Arial"/>
                <w:bCs/>
                <w:sz w:val="22"/>
                <w:szCs w:val="22"/>
                <w:lang w:val="es-MX"/>
              </w:rPr>
              <w:t>Se requiere realizar actualización de aplicativos que garanticen el adecuado registro de la información financiera, para que se disminuya las actividades manuales con la que se pueda incurrir en errores, tales como sistema Sapiens y Registros Sanitarios.</w:t>
            </w:r>
          </w:p>
        </w:tc>
      </w:tr>
    </w:tbl>
    <w:p w14:paraId="5715D0FF" w14:textId="77777777" w:rsidR="00561B22" w:rsidRPr="00C0201E" w:rsidRDefault="00561B22" w:rsidP="00561B22">
      <w:pPr>
        <w:pStyle w:val="Textoindependiente"/>
        <w:ind w:right="-50"/>
        <w:jc w:val="both"/>
        <w:rPr>
          <w:rFonts w:ascii="Arial" w:hAnsi="Arial" w:cs="Arial"/>
          <w:b/>
          <w:bCs/>
        </w:rPr>
      </w:pPr>
    </w:p>
    <w:p w14:paraId="7AFF9F59" w14:textId="77777777" w:rsidR="00561B22" w:rsidRPr="00C0201E" w:rsidRDefault="00561B22" w:rsidP="00561B22">
      <w:pPr>
        <w:jc w:val="both"/>
        <w:rPr>
          <w:rFonts w:ascii="Arial" w:hAnsi="Arial" w:cs="Arial"/>
          <w:b/>
          <w:lang w:val="es-MX"/>
        </w:rPr>
      </w:pPr>
      <w:r w:rsidRPr="00C0201E">
        <w:rPr>
          <w:rFonts w:ascii="Arial" w:hAnsi="Arial" w:cs="Arial"/>
          <w:b/>
          <w:lang w:val="es-MX"/>
        </w:rPr>
        <w:t>Del citado informe retomamos las siguientes recomendaciones:</w:t>
      </w:r>
    </w:p>
    <w:p w14:paraId="3B911BEF" w14:textId="77777777" w:rsidR="00561B22" w:rsidRPr="00C0201E"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C0201E" w14:paraId="4817828E" w14:textId="77777777" w:rsidTr="00F1223B">
        <w:tc>
          <w:tcPr>
            <w:tcW w:w="562" w:type="dxa"/>
          </w:tcPr>
          <w:p w14:paraId="48E96A61" w14:textId="77777777" w:rsidR="00561B22" w:rsidRPr="00C0201E" w:rsidRDefault="00561B22" w:rsidP="00F1223B">
            <w:pPr>
              <w:ind w:right="-109"/>
              <w:jc w:val="center"/>
              <w:rPr>
                <w:rFonts w:ascii="Arial" w:hAnsi="Arial" w:cs="Arial"/>
                <w:b/>
                <w:sz w:val="22"/>
                <w:szCs w:val="22"/>
                <w:lang w:val="es-MX"/>
              </w:rPr>
            </w:pPr>
            <w:r w:rsidRPr="00C0201E">
              <w:rPr>
                <w:rFonts w:ascii="Arial" w:hAnsi="Arial" w:cs="Arial"/>
                <w:b/>
                <w:sz w:val="22"/>
                <w:szCs w:val="22"/>
                <w:lang w:val="es-MX"/>
              </w:rPr>
              <w:t>N°</w:t>
            </w:r>
          </w:p>
        </w:tc>
        <w:tc>
          <w:tcPr>
            <w:tcW w:w="9400" w:type="dxa"/>
          </w:tcPr>
          <w:p w14:paraId="3DA2DAD0"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RECOMENDACIONES</w:t>
            </w:r>
          </w:p>
          <w:p w14:paraId="2BB133A8" w14:textId="77777777" w:rsidR="00561B22" w:rsidRPr="00C0201E" w:rsidRDefault="00561B22" w:rsidP="00F1223B">
            <w:pPr>
              <w:jc w:val="center"/>
              <w:rPr>
                <w:rFonts w:ascii="Arial" w:hAnsi="Arial" w:cs="Arial"/>
                <w:b/>
                <w:sz w:val="22"/>
                <w:szCs w:val="22"/>
                <w:lang w:val="es-MX"/>
              </w:rPr>
            </w:pPr>
          </w:p>
        </w:tc>
      </w:tr>
      <w:tr w:rsidR="00561B22" w:rsidRPr="00C0201E" w14:paraId="1642EA57" w14:textId="77777777" w:rsidTr="00F1223B">
        <w:tc>
          <w:tcPr>
            <w:tcW w:w="562" w:type="dxa"/>
          </w:tcPr>
          <w:p w14:paraId="48F86936"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1</w:t>
            </w:r>
          </w:p>
        </w:tc>
        <w:tc>
          <w:tcPr>
            <w:tcW w:w="9400" w:type="dxa"/>
          </w:tcPr>
          <w:p w14:paraId="7CE91E78" w14:textId="77777777" w:rsidR="00561B22" w:rsidRPr="00C0201E" w:rsidRDefault="00561B22" w:rsidP="00F1223B">
            <w:pPr>
              <w:jc w:val="both"/>
              <w:rPr>
                <w:rFonts w:ascii="Arial" w:hAnsi="Arial" w:cs="Arial"/>
                <w:bCs/>
                <w:sz w:val="22"/>
                <w:szCs w:val="22"/>
                <w:lang w:val="es-MX"/>
              </w:rPr>
            </w:pPr>
            <w:r w:rsidRPr="00C0201E">
              <w:rPr>
                <w:rFonts w:ascii="Arial" w:hAnsi="Arial" w:cs="Arial"/>
                <w:bCs/>
                <w:sz w:val="22"/>
                <w:szCs w:val="22"/>
                <w:lang w:val="es-MX"/>
              </w:rPr>
              <w:t>Fortalecer los procesos de capacitación encaminados a fortalecer las competencias de los funcionarios.</w:t>
            </w:r>
          </w:p>
        </w:tc>
      </w:tr>
      <w:tr w:rsidR="00561B22" w:rsidRPr="00C0201E" w14:paraId="17492598" w14:textId="77777777" w:rsidTr="00F1223B">
        <w:tc>
          <w:tcPr>
            <w:tcW w:w="562" w:type="dxa"/>
          </w:tcPr>
          <w:p w14:paraId="2024D21E"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2</w:t>
            </w:r>
          </w:p>
        </w:tc>
        <w:tc>
          <w:tcPr>
            <w:tcW w:w="9400" w:type="dxa"/>
          </w:tcPr>
          <w:p w14:paraId="3F9D7974" w14:textId="77777777" w:rsidR="00561B22" w:rsidRPr="00C0201E" w:rsidRDefault="00561B22" w:rsidP="00F1223B">
            <w:pPr>
              <w:jc w:val="both"/>
              <w:rPr>
                <w:rFonts w:ascii="Arial" w:hAnsi="Arial" w:cs="Arial"/>
                <w:bCs/>
                <w:sz w:val="22"/>
                <w:szCs w:val="22"/>
                <w:lang w:val="es-MX"/>
              </w:rPr>
            </w:pPr>
            <w:r w:rsidRPr="00C0201E">
              <w:rPr>
                <w:rFonts w:ascii="Arial" w:hAnsi="Arial" w:cs="Arial"/>
                <w:bCs/>
                <w:sz w:val="22"/>
                <w:szCs w:val="22"/>
                <w:lang w:val="es-MX"/>
              </w:rPr>
              <w:t>Realizar la actualización del Manual de Políticas Contables con el fin de dar mayor especificidad a los procesos contables.</w:t>
            </w:r>
          </w:p>
        </w:tc>
      </w:tr>
      <w:tr w:rsidR="00561B22" w:rsidRPr="00C0201E" w14:paraId="2670A9C2" w14:textId="77777777" w:rsidTr="00F1223B">
        <w:tc>
          <w:tcPr>
            <w:tcW w:w="562" w:type="dxa"/>
          </w:tcPr>
          <w:p w14:paraId="6C33F283"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3</w:t>
            </w:r>
          </w:p>
        </w:tc>
        <w:tc>
          <w:tcPr>
            <w:tcW w:w="9400" w:type="dxa"/>
          </w:tcPr>
          <w:p w14:paraId="1FEB7192" w14:textId="77777777" w:rsidR="00561B22" w:rsidRPr="00C0201E" w:rsidRDefault="00561B22" w:rsidP="00F1223B">
            <w:pPr>
              <w:jc w:val="both"/>
              <w:rPr>
                <w:rFonts w:ascii="Arial" w:hAnsi="Arial" w:cs="Arial"/>
                <w:bCs/>
                <w:sz w:val="22"/>
                <w:szCs w:val="22"/>
                <w:lang w:val="es-MX"/>
              </w:rPr>
            </w:pPr>
            <w:r w:rsidRPr="00C0201E">
              <w:rPr>
                <w:rFonts w:ascii="Arial" w:hAnsi="Arial" w:cs="Arial"/>
                <w:bCs/>
                <w:sz w:val="22"/>
                <w:szCs w:val="22"/>
                <w:lang w:val="es-MX"/>
              </w:rPr>
              <w:t>Mantener la actualización de los procesos del Sistema de Gestión Integrado-Proceso Gestión Contable, que sea adecuado al Marco Normativo aplicable a la Entidad.</w:t>
            </w:r>
          </w:p>
        </w:tc>
      </w:tr>
      <w:tr w:rsidR="00561B22" w:rsidRPr="00C0201E" w14:paraId="4F25F97B" w14:textId="77777777" w:rsidTr="00F1223B">
        <w:tc>
          <w:tcPr>
            <w:tcW w:w="562" w:type="dxa"/>
          </w:tcPr>
          <w:p w14:paraId="4B2D4866"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4</w:t>
            </w:r>
          </w:p>
        </w:tc>
        <w:tc>
          <w:tcPr>
            <w:tcW w:w="9400" w:type="dxa"/>
          </w:tcPr>
          <w:p w14:paraId="233F517D" w14:textId="77777777" w:rsidR="00561B22" w:rsidRPr="00C0201E" w:rsidRDefault="00561B22" w:rsidP="00F1223B">
            <w:pPr>
              <w:jc w:val="both"/>
              <w:rPr>
                <w:rFonts w:ascii="Arial" w:hAnsi="Arial" w:cs="Arial"/>
                <w:bCs/>
                <w:sz w:val="22"/>
                <w:szCs w:val="22"/>
                <w:lang w:val="es-MX"/>
              </w:rPr>
            </w:pPr>
            <w:r w:rsidRPr="00C0201E">
              <w:rPr>
                <w:rFonts w:ascii="Arial" w:hAnsi="Arial" w:cs="Arial"/>
                <w:bCs/>
                <w:sz w:val="22"/>
                <w:szCs w:val="22"/>
                <w:lang w:val="es-MX"/>
              </w:rPr>
              <w:t>Evaluar la pertinencia de los aplicativos soportes de la información financiera.</w:t>
            </w:r>
          </w:p>
        </w:tc>
      </w:tr>
      <w:tr w:rsidR="00561B22" w:rsidRPr="00C0201E" w14:paraId="6C8C9F20" w14:textId="77777777" w:rsidTr="00F1223B">
        <w:tc>
          <w:tcPr>
            <w:tcW w:w="562" w:type="dxa"/>
          </w:tcPr>
          <w:p w14:paraId="7EE0D20D" w14:textId="77777777" w:rsidR="00561B22" w:rsidRPr="00C0201E" w:rsidRDefault="00561B22" w:rsidP="00F1223B">
            <w:pPr>
              <w:jc w:val="center"/>
              <w:rPr>
                <w:rFonts w:ascii="Arial" w:hAnsi="Arial" w:cs="Arial"/>
                <w:b/>
                <w:sz w:val="22"/>
                <w:szCs w:val="22"/>
                <w:lang w:val="es-MX"/>
              </w:rPr>
            </w:pPr>
            <w:r w:rsidRPr="00C0201E">
              <w:rPr>
                <w:rFonts w:ascii="Arial" w:hAnsi="Arial" w:cs="Arial"/>
                <w:b/>
                <w:sz w:val="22"/>
                <w:szCs w:val="22"/>
                <w:lang w:val="es-MX"/>
              </w:rPr>
              <w:t>5</w:t>
            </w:r>
          </w:p>
        </w:tc>
        <w:tc>
          <w:tcPr>
            <w:tcW w:w="9400" w:type="dxa"/>
          </w:tcPr>
          <w:p w14:paraId="11E72BEB" w14:textId="77777777" w:rsidR="00561B22" w:rsidRPr="00C0201E" w:rsidRDefault="00561B22" w:rsidP="00F1223B">
            <w:pPr>
              <w:jc w:val="both"/>
              <w:rPr>
                <w:rFonts w:ascii="Arial" w:hAnsi="Arial" w:cs="Arial"/>
                <w:bCs/>
                <w:sz w:val="22"/>
                <w:szCs w:val="22"/>
                <w:lang w:val="es-MX"/>
              </w:rPr>
            </w:pPr>
            <w:r w:rsidRPr="00C0201E">
              <w:rPr>
                <w:rFonts w:ascii="Arial" w:hAnsi="Arial" w:cs="Arial"/>
                <w:bCs/>
                <w:sz w:val="22"/>
                <w:szCs w:val="22"/>
                <w:lang w:val="es-MX"/>
              </w:rPr>
              <w:t>Llevar a cabo las acciones correctivas de las oportunidades de mejora de auditorías internas y externas dentro de los términos establecidos en los planes de mejora.</w:t>
            </w:r>
          </w:p>
        </w:tc>
      </w:tr>
    </w:tbl>
    <w:p w14:paraId="69C176C6" w14:textId="77777777" w:rsidR="00561B22" w:rsidRPr="00C0201E" w:rsidRDefault="00561B22" w:rsidP="00561B22">
      <w:pPr>
        <w:pStyle w:val="Textoindependiente"/>
        <w:ind w:right="-50"/>
        <w:jc w:val="both"/>
        <w:rPr>
          <w:rFonts w:ascii="Arial" w:hAnsi="Arial" w:cs="Arial"/>
          <w:b/>
          <w:bCs/>
          <w:sz w:val="28"/>
          <w:szCs w:val="28"/>
        </w:rPr>
      </w:pPr>
    </w:p>
    <w:p w14:paraId="3DF6765A" w14:textId="77777777" w:rsidR="00561B22" w:rsidRPr="00C0201E" w:rsidRDefault="00561B22" w:rsidP="00561B22">
      <w:pPr>
        <w:jc w:val="both"/>
        <w:rPr>
          <w:rFonts w:ascii="Arial" w:hAnsi="Arial" w:cs="Arial"/>
          <w:b/>
          <w:bCs/>
          <w:sz w:val="24"/>
          <w:szCs w:val="24"/>
          <w:lang w:val="es-CO"/>
        </w:rPr>
      </w:pPr>
      <w:r w:rsidRPr="00C0201E">
        <w:rPr>
          <w:rFonts w:ascii="Arial" w:hAnsi="Arial" w:cs="Arial"/>
          <w:b/>
          <w:bCs/>
          <w:sz w:val="24"/>
          <w:szCs w:val="24"/>
          <w:lang w:val="es-CO"/>
        </w:rPr>
        <w:t xml:space="preserve">NOTA: LA ENTIDAD ENVÍA LA MATRIZ DE AUTOEVALUACIÓN DEL SISTEMA DE CONTROL INTERNO CONTABLE CON ACTIVIDADES DE CONTROL REALIZADAS </w:t>
      </w:r>
      <w:r w:rsidRPr="00C0201E">
        <w:rPr>
          <w:rFonts w:ascii="Arial" w:hAnsi="Arial" w:cs="Arial"/>
          <w:b/>
          <w:bCs/>
          <w:sz w:val="24"/>
          <w:szCs w:val="24"/>
          <w:u w:val="single"/>
          <w:lang w:val="es-CO"/>
        </w:rPr>
        <w:t>EN FORMA PARCIAL Y OTRAS SIMPLEMENTE INFORMAN QUE NO SE REALIZARON</w:t>
      </w:r>
      <w:r w:rsidRPr="00C0201E">
        <w:rPr>
          <w:rFonts w:ascii="Arial" w:hAnsi="Arial" w:cs="Arial"/>
          <w:b/>
          <w:bCs/>
          <w:sz w:val="24"/>
          <w:szCs w:val="24"/>
          <w:lang w:val="es-CO"/>
        </w:rPr>
        <w:t>.</w:t>
      </w:r>
    </w:p>
    <w:p w14:paraId="33272E2B" w14:textId="77777777" w:rsidR="00561B22" w:rsidRPr="00DB0411" w:rsidRDefault="00561B22" w:rsidP="00561B22">
      <w:pPr>
        <w:ind w:left="720" w:hanging="720"/>
        <w:jc w:val="both"/>
        <w:rPr>
          <w:b/>
          <w:bCs/>
          <w:sz w:val="24"/>
          <w:szCs w:val="24"/>
          <w:lang w:val="es-CO"/>
        </w:rPr>
      </w:pPr>
    </w:p>
    <w:p w14:paraId="0122E870" w14:textId="77777777" w:rsidR="00561B22" w:rsidRPr="001C5CBC" w:rsidRDefault="00561B22" w:rsidP="00561B22">
      <w:pPr>
        <w:jc w:val="both"/>
        <w:rPr>
          <w:rFonts w:ascii="Arial" w:hAnsi="Arial" w:cs="Arial"/>
          <w:b/>
          <w:sz w:val="28"/>
          <w:szCs w:val="28"/>
          <w:lang w:val="es-MX"/>
        </w:rPr>
      </w:pPr>
      <w:r w:rsidRPr="001C5CBC">
        <w:rPr>
          <w:rFonts w:ascii="Arial" w:hAnsi="Arial" w:cs="Arial"/>
          <w:b/>
          <w:sz w:val="28"/>
          <w:szCs w:val="28"/>
          <w:lang w:val="es-MX"/>
        </w:rPr>
        <w:t>248.- EMPRESA DISTRIBUIDORA DEL PACÍFICO S.A. E.S.P. – DISPAC.</w:t>
      </w:r>
    </w:p>
    <w:p w14:paraId="333BC8BC" w14:textId="77777777" w:rsidR="00561B22" w:rsidRDefault="00561B22" w:rsidP="00561B22">
      <w:pPr>
        <w:pStyle w:val="Textoindependiente"/>
        <w:ind w:right="-50"/>
        <w:jc w:val="both"/>
        <w:rPr>
          <w:rFonts w:ascii="Arial" w:hAnsi="Arial" w:cs="Arial"/>
          <w:b/>
          <w:sz w:val="28"/>
          <w:szCs w:val="28"/>
          <w:lang w:val="es-MX"/>
        </w:rPr>
      </w:pPr>
    </w:p>
    <w:p w14:paraId="1790A90B" w14:textId="77777777" w:rsidR="00561B22" w:rsidRPr="00D308C3" w:rsidRDefault="00561B22" w:rsidP="00561B22">
      <w:pPr>
        <w:pStyle w:val="Textoindependiente"/>
        <w:ind w:right="-50"/>
        <w:jc w:val="center"/>
        <w:rPr>
          <w:rFonts w:ascii="Arial" w:hAnsi="Arial" w:cs="Arial"/>
          <w:b/>
          <w:bCs/>
        </w:rPr>
      </w:pPr>
      <w:r w:rsidRPr="00D308C3">
        <w:rPr>
          <w:rFonts w:ascii="Arial" w:hAnsi="Arial" w:cs="Arial"/>
          <w:b/>
          <w:bCs/>
        </w:rPr>
        <w:t>INFORME DE LA AUTOCALIFICACIÓN DEL SISTEMA DE CONTROL INTERNO CONTABLE:</w:t>
      </w:r>
    </w:p>
    <w:p w14:paraId="23B1DAAF" w14:textId="77777777" w:rsidR="00561B22" w:rsidRPr="00D308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308C3" w14:paraId="28EB7058" w14:textId="77777777" w:rsidTr="00F1223B">
        <w:tc>
          <w:tcPr>
            <w:tcW w:w="4981" w:type="dxa"/>
          </w:tcPr>
          <w:p w14:paraId="791F38EF"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AUTOCALIFICACIÓN</w:t>
            </w:r>
          </w:p>
        </w:tc>
        <w:tc>
          <w:tcPr>
            <w:tcW w:w="4981" w:type="dxa"/>
          </w:tcPr>
          <w:p w14:paraId="3DD82AB6" w14:textId="77777777" w:rsidR="00561B22" w:rsidRPr="00D308C3" w:rsidRDefault="00561B22" w:rsidP="00F1223B">
            <w:pPr>
              <w:jc w:val="center"/>
              <w:rPr>
                <w:rFonts w:ascii="Arial" w:hAnsi="Arial" w:cs="Arial"/>
                <w:b/>
                <w:sz w:val="22"/>
                <w:szCs w:val="22"/>
                <w:u w:val="single"/>
                <w:lang w:val="es-MX"/>
              </w:rPr>
            </w:pPr>
            <w:r w:rsidRPr="00D308C3">
              <w:rPr>
                <w:rFonts w:ascii="Arial" w:hAnsi="Arial" w:cs="Arial"/>
                <w:b/>
                <w:sz w:val="22"/>
                <w:szCs w:val="22"/>
                <w:u w:val="single"/>
                <w:lang w:val="es-MX"/>
              </w:rPr>
              <w:t>4.70</w:t>
            </w:r>
          </w:p>
        </w:tc>
      </w:tr>
    </w:tbl>
    <w:p w14:paraId="6B41ACD8" w14:textId="77777777" w:rsidR="00561B22" w:rsidRPr="00D308C3" w:rsidRDefault="00561B22" w:rsidP="00561B22">
      <w:pPr>
        <w:pStyle w:val="Textoindependiente"/>
        <w:ind w:right="-50"/>
        <w:jc w:val="both"/>
        <w:rPr>
          <w:rFonts w:ascii="Arial" w:hAnsi="Arial" w:cs="Arial"/>
          <w:b/>
          <w:bCs/>
        </w:rPr>
      </w:pPr>
    </w:p>
    <w:p w14:paraId="5190C23E" w14:textId="77777777" w:rsidR="00561B22" w:rsidRPr="00D308C3" w:rsidRDefault="00561B22" w:rsidP="00561B22">
      <w:pPr>
        <w:pStyle w:val="Textoindependiente"/>
        <w:ind w:right="-50"/>
        <w:jc w:val="both"/>
        <w:rPr>
          <w:rFonts w:ascii="Arial" w:hAnsi="Arial" w:cs="Arial"/>
          <w:b/>
          <w:bCs/>
        </w:rPr>
      </w:pPr>
      <w:r w:rsidRPr="00D308C3">
        <w:rPr>
          <w:rFonts w:ascii="Arial" w:hAnsi="Arial" w:cs="Arial"/>
          <w:b/>
          <w:bCs/>
        </w:rPr>
        <w:t>Del informe enviado retomamos lo siguiente:</w:t>
      </w:r>
    </w:p>
    <w:p w14:paraId="3978B464" w14:textId="77777777" w:rsidR="00561B22" w:rsidRPr="00D308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308C3" w14:paraId="625C5A1B" w14:textId="77777777" w:rsidTr="00F1223B">
        <w:tc>
          <w:tcPr>
            <w:tcW w:w="562" w:type="dxa"/>
          </w:tcPr>
          <w:p w14:paraId="66AD416F" w14:textId="77777777" w:rsidR="00561B22" w:rsidRPr="00D308C3" w:rsidRDefault="00561B22" w:rsidP="00F1223B">
            <w:pPr>
              <w:ind w:right="-109"/>
              <w:jc w:val="center"/>
              <w:rPr>
                <w:rFonts w:ascii="Arial" w:hAnsi="Arial" w:cs="Arial"/>
                <w:b/>
                <w:sz w:val="22"/>
                <w:szCs w:val="22"/>
                <w:lang w:val="es-MX"/>
              </w:rPr>
            </w:pPr>
            <w:r w:rsidRPr="00D308C3">
              <w:rPr>
                <w:rFonts w:ascii="Arial" w:hAnsi="Arial" w:cs="Arial"/>
                <w:b/>
                <w:sz w:val="22"/>
                <w:szCs w:val="22"/>
                <w:lang w:val="es-MX"/>
              </w:rPr>
              <w:t>N°</w:t>
            </w:r>
          </w:p>
        </w:tc>
        <w:tc>
          <w:tcPr>
            <w:tcW w:w="9400" w:type="dxa"/>
          </w:tcPr>
          <w:p w14:paraId="1FB428C0"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DEBILIDADES</w:t>
            </w:r>
          </w:p>
          <w:p w14:paraId="5D8C1707" w14:textId="77777777" w:rsidR="00561B22" w:rsidRPr="00D308C3" w:rsidRDefault="00561B22" w:rsidP="00F1223B">
            <w:pPr>
              <w:jc w:val="center"/>
              <w:rPr>
                <w:rFonts w:ascii="Arial" w:hAnsi="Arial" w:cs="Arial"/>
                <w:b/>
                <w:sz w:val="22"/>
                <w:szCs w:val="22"/>
                <w:lang w:val="es-MX"/>
              </w:rPr>
            </w:pPr>
          </w:p>
        </w:tc>
      </w:tr>
      <w:tr w:rsidR="00561B22" w:rsidRPr="00D308C3" w14:paraId="1134756E" w14:textId="77777777" w:rsidTr="00F1223B">
        <w:tc>
          <w:tcPr>
            <w:tcW w:w="562" w:type="dxa"/>
          </w:tcPr>
          <w:p w14:paraId="0BF9B399"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1</w:t>
            </w:r>
          </w:p>
        </w:tc>
        <w:tc>
          <w:tcPr>
            <w:tcW w:w="9400" w:type="dxa"/>
          </w:tcPr>
          <w:p w14:paraId="056BBCBE" w14:textId="77777777" w:rsidR="00561B22" w:rsidRPr="00D308C3" w:rsidRDefault="00561B22" w:rsidP="00F1223B">
            <w:pPr>
              <w:jc w:val="both"/>
              <w:rPr>
                <w:rFonts w:ascii="Arial" w:hAnsi="Arial" w:cs="Arial"/>
                <w:bCs/>
                <w:sz w:val="22"/>
                <w:szCs w:val="22"/>
                <w:lang w:val="es-MX"/>
              </w:rPr>
            </w:pPr>
            <w:r w:rsidRPr="00D308C3">
              <w:rPr>
                <w:rFonts w:ascii="Arial" w:hAnsi="Arial" w:cs="Arial"/>
                <w:bCs/>
                <w:sz w:val="22"/>
                <w:szCs w:val="22"/>
                <w:lang w:val="es-MX"/>
              </w:rPr>
              <w:t xml:space="preserve">No hay políticas contables formalizadas. </w:t>
            </w:r>
          </w:p>
        </w:tc>
      </w:tr>
      <w:tr w:rsidR="00561B22" w:rsidRPr="00D308C3" w14:paraId="749EBDC9" w14:textId="77777777" w:rsidTr="00F1223B">
        <w:tc>
          <w:tcPr>
            <w:tcW w:w="562" w:type="dxa"/>
          </w:tcPr>
          <w:p w14:paraId="2489BD7A"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2</w:t>
            </w:r>
          </w:p>
        </w:tc>
        <w:tc>
          <w:tcPr>
            <w:tcW w:w="9400" w:type="dxa"/>
          </w:tcPr>
          <w:p w14:paraId="5336B3DB" w14:textId="77777777" w:rsidR="00561B22" w:rsidRPr="00D308C3" w:rsidRDefault="00561B22" w:rsidP="00F1223B">
            <w:pPr>
              <w:jc w:val="both"/>
              <w:rPr>
                <w:rFonts w:ascii="Arial" w:hAnsi="Arial" w:cs="Arial"/>
                <w:bCs/>
                <w:sz w:val="22"/>
                <w:szCs w:val="22"/>
                <w:lang w:val="es-MX"/>
              </w:rPr>
            </w:pPr>
            <w:r w:rsidRPr="00D308C3">
              <w:rPr>
                <w:rFonts w:ascii="Arial" w:hAnsi="Arial" w:cs="Arial"/>
                <w:bCs/>
                <w:sz w:val="22"/>
                <w:szCs w:val="22"/>
                <w:lang w:val="es-MX"/>
              </w:rPr>
              <w:t>No se cuenta con el Plan de Capacitación.</w:t>
            </w:r>
          </w:p>
        </w:tc>
      </w:tr>
      <w:tr w:rsidR="00561B22" w:rsidRPr="00D308C3" w14:paraId="600DC627" w14:textId="77777777" w:rsidTr="00F1223B">
        <w:tc>
          <w:tcPr>
            <w:tcW w:w="562" w:type="dxa"/>
          </w:tcPr>
          <w:p w14:paraId="08E3B113"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3</w:t>
            </w:r>
          </w:p>
        </w:tc>
        <w:tc>
          <w:tcPr>
            <w:tcW w:w="9400" w:type="dxa"/>
          </w:tcPr>
          <w:p w14:paraId="220CCC7E" w14:textId="77777777" w:rsidR="00561B22" w:rsidRPr="00D308C3" w:rsidRDefault="00561B22" w:rsidP="00F1223B">
            <w:pPr>
              <w:jc w:val="both"/>
              <w:rPr>
                <w:rFonts w:ascii="Arial" w:hAnsi="Arial" w:cs="Arial"/>
                <w:bCs/>
                <w:sz w:val="22"/>
                <w:szCs w:val="22"/>
                <w:lang w:val="es-MX"/>
              </w:rPr>
            </w:pPr>
            <w:r w:rsidRPr="00D308C3">
              <w:rPr>
                <w:rFonts w:ascii="Arial" w:hAnsi="Arial" w:cs="Arial"/>
                <w:bCs/>
                <w:sz w:val="22"/>
                <w:szCs w:val="22"/>
                <w:lang w:val="es-MX"/>
              </w:rPr>
              <w:t>No existe un procedimiento o política sobre la identificación de los bienes físicos.</w:t>
            </w:r>
          </w:p>
        </w:tc>
      </w:tr>
      <w:tr w:rsidR="00561B22" w:rsidRPr="00D308C3" w14:paraId="18D71A6D" w14:textId="77777777" w:rsidTr="00F1223B">
        <w:tc>
          <w:tcPr>
            <w:tcW w:w="562" w:type="dxa"/>
          </w:tcPr>
          <w:p w14:paraId="0B77B1D8"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4</w:t>
            </w:r>
          </w:p>
        </w:tc>
        <w:tc>
          <w:tcPr>
            <w:tcW w:w="9400" w:type="dxa"/>
          </w:tcPr>
          <w:p w14:paraId="09EE5F9F" w14:textId="77777777" w:rsidR="00561B22" w:rsidRPr="00D308C3" w:rsidRDefault="00561B22" w:rsidP="00F1223B">
            <w:pPr>
              <w:jc w:val="both"/>
              <w:rPr>
                <w:rFonts w:ascii="Arial" w:hAnsi="Arial" w:cs="Arial"/>
                <w:bCs/>
                <w:sz w:val="22"/>
                <w:szCs w:val="22"/>
                <w:lang w:val="es-MX"/>
              </w:rPr>
            </w:pPr>
            <w:r w:rsidRPr="00D308C3">
              <w:rPr>
                <w:rFonts w:ascii="Arial" w:hAnsi="Arial" w:cs="Arial"/>
                <w:bCs/>
                <w:sz w:val="22"/>
                <w:szCs w:val="22"/>
                <w:lang w:val="es-MX"/>
              </w:rPr>
              <w:t>No se cuenta con un archivo para el archivo y custodia de soportes contables.</w:t>
            </w:r>
          </w:p>
        </w:tc>
      </w:tr>
    </w:tbl>
    <w:p w14:paraId="0F1D7BE7" w14:textId="77777777" w:rsidR="00561B22" w:rsidRPr="00D308C3" w:rsidRDefault="00561B22" w:rsidP="00561B22">
      <w:pPr>
        <w:pStyle w:val="Textoindependiente"/>
        <w:ind w:right="-50"/>
        <w:jc w:val="both"/>
        <w:rPr>
          <w:rFonts w:ascii="Arial" w:hAnsi="Arial" w:cs="Arial"/>
          <w:b/>
          <w:bCs/>
        </w:rPr>
      </w:pPr>
    </w:p>
    <w:p w14:paraId="7926F826" w14:textId="77777777" w:rsidR="00561B22" w:rsidRPr="00D308C3" w:rsidRDefault="00561B22" w:rsidP="00561B22">
      <w:pPr>
        <w:jc w:val="both"/>
        <w:rPr>
          <w:rFonts w:ascii="Arial" w:hAnsi="Arial" w:cs="Arial"/>
          <w:b/>
          <w:lang w:val="es-MX"/>
        </w:rPr>
      </w:pPr>
      <w:r w:rsidRPr="00D308C3">
        <w:rPr>
          <w:rFonts w:ascii="Arial" w:hAnsi="Arial" w:cs="Arial"/>
          <w:b/>
          <w:lang w:val="es-MX"/>
        </w:rPr>
        <w:t>Del citado informe retomamos las siguientes recomendaciones:</w:t>
      </w:r>
    </w:p>
    <w:p w14:paraId="670AC296" w14:textId="77777777" w:rsidR="00561B22" w:rsidRPr="00D308C3"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D308C3" w14:paraId="7876BECC" w14:textId="77777777" w:rsidTr="00F1223B">
        <w:tc>
          <w:tcPr>
            <w:tcW w:w="562" w:type="dxa"/>
          </w:tcPr>
          <w:p w14:paraId="22D7ED34" w14:textId="77777777" w:rsidR="00561B22" w:rsidRPr="00D308C3" w:rsidRDefault="00561B22" w:rsidP="00F1223B">
            <w:pPr>
              <w:ind w:right="-109"/>
              <w:jc w:val="center"/>
              <w:rPr>
                <w:rFonts w:ascii="Arial" w:hAnsi="Arial" w:cs="Arial"/>
                <w:b/>
                <w:sz w:val="22"/>
                <w:szCs w:val="22"/>
                <w:lang w:val="es-MX"/>
              </w:rPr>
            </w:pPr>
            <w:r w:rsidRPr="00D308C3">
              <w:rPr>
                <w:rFonts w:ascii="Arial" w:hAnsi="Arial" w:cs="Arial"/>
                <w:b/>
                <w:sz w:val="22"/>
                <w:szCs w:val="22"/>
                <w:lang w:val="es-MX"/>
              </w:rPr>
              <w:t>N°</w:t>
            </w:r>
          </w:p>
        </w:tc>
        <w:tc>
          <w:tcPr>
            <w:tcW w:w="9400" w:type="dxa"/>
          </w:tcPr>
          <w:p w14:paraId="50B3AF45"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RECOMENDACIONES</w:t>
            </w:r>
          </w:p>
          <w:p w14:paraId="1857B991" w14:textId="77777777" w:rsidR="00561B22" w:rsidRPr="00D308C3" w:rsidRDefault="00561B22" w:rsidP="00F1223B">
            <w:pPr>
              <w:jc w:val="center"/>
              <w:rPr>
                <w:rFonts w:ascii="Arial" w:hAnsi="Arial" w:cs="Arial"/>
                <w:b/>
                <w:sz w:val="22"/>
                <w:szCs w:val="22"/>
                <w:lang w:val="es-MX"/>
              </w:rPr>
            </w:pPr>
          </w:p>
        </w:tc>
      </w:tr>
      <w:tr w:rsidR="00561B22" w:rsidRPr="00D308C3" w14:paraId="6E1C5E20" w14:textId="77777777" w:rsidTr="00F1223B">
        <w:tc>
          <w:tcPr>
            <w:tcW w:w="562" w:type="dxa"/>
          </w:tcPr>
          <w:p w14:paraId="7E82911D" w14:textId="77777777" w:rsidR="00561B22" w:rsidRPr="00D308C3" w:rsidRDefault="00561B22" w:rsidP="00F1223B">
            <w:pPr>
              <w:jc w:val="center"/>
              <w:rPr>
                <w:rFonts w:ascii="Arial" w:hAnsi="Arial" w:cs="Arial"/>
                <w:b/>
                <w:sz w:val="22"/>
                <w:szCs w:val="22"/>
                <w:lang w:val="es-MX"/>
              </w:rPr>
            </w:pPr>
            <w:r w:rsidRPr="00D308C3">
              <w:rPr>
                <w:rFonts w:ascii="Arial" w:hAnsi="Arial" w:cs="Arial"/>
                <w:b/>
                <w:sz w:val="22"/>
                <w:szCs w:val="22"/>
                <w:lang w:val="es-MX"/>
              </w:rPr>
              <w:t>1</w:t>
            </w:r>
          </w:p>
        </w:tc>
        <w:tc>
          <w:tcPr>
            <w:tcW w:w="9400" w:type="dxa"/>
          </w:tcPr>
          <w:p w14:paraId="72061339" w14:textId="77777777" w:rsidR="00561B22" w:rsidRPr="00D308C3" w:rsidRDefault="00561B22" w:rsidP="00F1223B">
            <w:pPr>
              <w:jc w:val="both"/>
              <w:rPr>
                <w:rFonts w:ascii="Arial" w:hAnsi="Arial" w:cs="Arial"/>
                <w:bCs/>
                <w:sz w:val="22"/>
                <w:szCs w:val="22"/>
                <w:lang w:val="es-MX"/>
              </w:rPr>
            </w:pPr>
            <w:r w:rsidRPr="00D308C3">
              <w:rPr>
                <w:rFonts w:ascii="Arial" w:hAnsi="Arial" w:cs="Arial"/>
                <w:bCs/>
                <w:sz w:val="22"/>
                <w:szCs w:val="22"/>
                <w:lang w:val="es-MX"/>
              </w:rPr>
              <w:t>Implementar las acciones pertinentes que permitan mejorar cada una de las debilidades encontradas en esta validación con el objetivo de que se aplique a cabalidad el marco normativo establecido por la Contaduría General de la Nación.</w:t>
            </w:r>
          </w:p>
        </w:tc>
      </w:tr>
    </w:tbl>
    <w:p w14:paraId="5153EB88" w14:textId="77777777" w:rsidR="00561B22" w:rsidRPr="00D308C3" w:rsidRDefault="00561B22" w:rsidP="00561B22">
      <w:pPr>
        <w:pStyle w:val="Textoindependiente"/>
        <w:ind w:right="-50"/>
        <w:jc w:val="both"/>
        <w:rPr>
          <w:rFonts w:ascii="Arial" w:hAnsi="Arial" w:cs="Arial"/>
          <w:b/>
          <w:bCs/>
          <w:sz w:val="28"/>
          <w:szCs w:val="28"/>
        </w:rPr>
      </w:pPr>
    </w:p>
    <w:p w14:paraId="1B7FAEA1" w14:textId="77777777" w:rsidR="00561B22" w:rsidRPr="00D308C3" w:rsidRDefault="00561B22" w:rsidP="00561B22">
      <w:pPr>
        <w:jc w:val="both"/>
        <w:rPr>
          <w:rFonts w:ascii="Arial" w:hAnsi="Arial" w:cs="Arial"/>
          <w:b/>
          <w:bCs/>
          <w:sz w:val="24"/>
          <w:szCs w:val="24"/>
          <w:lang w:val="es-CO"/>
        </w:rPr>
      </w:pPr>
      <w:r w:rsidRPr="00D308C3">
        <w:rPr>
          <w:rFonts w:ascii="Arial" w:hAnsi="Arial" w:cs="Arial"/>
          <w:b/>
          <w:bCs/>
          <w:sz w:val="24"/>
          <w:szCs w:val="24"/>
          <w:lang w:val="es-CO"/>
        </w:rPr>
        <w:t xml:space="preserve">NOTA: LA ENTIDAD ENVÍA LA MATRIZ DE AUTOEVALUACIÓN DEL SISTEMA DE </w:t>
      </w:r>
      <w:r w:rsidRPr="00D308C3">
        <w:rPr>
          <w:rFonts w:ascii="Arial" w:hAnsi="Arial" w:cs="Arial"/>
          <w:b/>
          <w:bCs/>
          <w:sz w:val="24"/>
          <w:szCs w:val="24"/>
          <w:lang w:val="es-CO"/>
        </w:rPr>
        <w:lastRenderedPageBreak/>
        <w:t xml:space="preserve">CONTROL INTERNO CONTABLE CON ACTIVIDADES DE CONTROL REALIZADAS </w:t>
      </w:r>
      <w:r w:rsidRPr="00D308C3">
        <w:rPr>
          <w:rFonts w:ascii="Arial" w:hAnsi="Arial" w:cs="Arial"/>
          <w:b/>
          <w:bCs/>
          <w:sz w:val="24"/>
          <w:szCs w:val="24"/>
          <w:u w:val="single"/>
          <w:lang w:val="es-CO"/>
        </w:rPr>
        <w:t>EN FORMA PARCIAL Y OTRAS SIMPLEMENTE INFORMAN QUE NO SE REALIZARON</w:t>
      </w:r>
      <w:r w:rsidRPr="00D308C3">
        <w:rPr>
          <w:rFonts w:ascii="Arial" w:hAnsi="Arial" w:cs="Arial"/>
          <w:b/>
          <w:bCs/>
          <w:sz w:val="24"/>
          <w:szCs w:val="24"/>
          <w:lang w:val="es-CO"/>
        </w:rPr>
        <w:t>.</w:t>
      </w:r>
    </w:p>
    <w:p w14:paraId="0C5B1163" w14:textId="77777777" w:rsidR="00561B22" w:rsidRPr="00D308C3" w:rsidRDefault="00561B22" w:rsidP="00561B22">
      <w:pPr>
        <w:ind w:left="720" w:hanging="720"/>
        <w:jc w:val="both"/>
        <w:rPr>
          <w:rFonts w:ascii="Arial" w:hAnsi="Arial" w:cs="Arial"/>
          <w:b/>
          <w:bCs/>
          <w:sz w:val="24"/>
          <w:szCs w:val="24"/>
          <w:lang w:val="es-CO"/>
        </w:rPr>
      </w:pPr>
    </w:p>
    <w:p w14:paraId="1CB6AD9A" w14:textId="77777777" w:rsidR="00561B22" w:rsidRPr="00D2295C" w:rsidRDefault="00561B22" w:rsidP="00561B22">
      <w:pPr>
        <w:jc w:val="both"/>
        <w:rPr>
          <w:rFonts w:ascii="Arial" w:hAnsi="Arial" w:cs="Arial"/>
          <w:b/>
          <w:sz w:val="28"/>
          <w:szCs w:val="28"/>
          <w:lang w:val="es-MX"/>
        </w:rPr>
      </w:pPr>
      <w:r w:rsidRPr="00D2295C">
        <w:rPr>
          <w:rFonts w:ascii="Arial" w:hAnsi="Arial" w:cs="Arial"/>
          <w:b/>
          <w:sz w:val="28"/>
          <w:szCs w:val="28"/>
          <w:lang w:val="es-MX"/>
        </w:rPr>
        <w:t>249.- INTEIA S.A.S.</w:t>
      </w:r>
    </w:p>
    <w:p w14:paraId="272EADFC" w14:textId="77777777" w:rsidR="00561B22" w:rsidRPr="00D308C3" w:rsidRDefault="00561B22" w:rsidP="00561B22">
      <w:pPr>
        <w:pStyle w:val="Textoindependiente"/>
        <w:ind w:right="-50"/>
        <w:jc w:val="both"/>
        <w:rPr>
          <w:rFonts w:ascii="Arial" w:hAnsi="Arial" w:cs="Arial"/>
          <w:b/>
          <w:sz w:val="28"/>
          <w:szCs w:val="28"/>
          <w:lang w:val="es-CO"/>
        </w:rPr>
      </w:pPr>
    </w:p>
    <w:p w14:paraId="44D56980" w14:textId="77777777" w:rsidR="00561B22" w:rsidRPr="00D2295C" w:rsidRDefault="00561B22" w:rsidP="00561B22">
      <w:pPr>
        <w:pStyle w:val="Textoindependiente"/>
        <w:ind w:right="-50"/>
        <w:jc w:val="center"/>
        <w:rPr>
          <w:rFonts w:ascii="Arial" w:hAnsi="Arial" w:cs="Arial"/>
          <w:b/>
          <w:bCs/>
        </w:rPr>
      </w:pPr>
      <w:r w:rsidRPr="00D2295C">
        <w:rPr>
          <w:rFonts w:ascii="Arial" w:hAnsi="Arial" w:cs="Arial"/>
          <w:b/>
          <w:bCs/>
        </w:rPr>
        <w:t>INFORME DE LA AUTOCALIFICACIÓN DEL SISTEMA DE CONTROL INTERNO CONTABLE:</w:t>
      </w:r>
    </w:p>
    <w:p w14:paraId="4A3D1BE1" w14:textId="77777777" w:rsidR="00561B22" w:rsidRPr="00D2295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2295C" w14:paraId="070B170F" w14:textId="77777777" w:rsidTr="00F1223B">
        <w:tc>
          <w:tcPr>
            <w:tcW w:w="4981" w:type="dxa"/>
          </w:tcPr>
          <w:p w14:paraId="2563726A" w14:textId="77777777" w:rsidR="00561B22" w:rsidRPr="00D2295C" w:rsidRDefault="00561B22" w:rsidP="00F1223B">
            <w:pPr>
              <w:jc w:val="center"/>
              <w:rPr>
                <w:rFonts w:ascii="Arial" w:hAnsi="Arial" w:cs="Arial"/>
                <w:b/>
                <w:sz w:val="22"/>
                <w:szCs w:val="22"/>
                <w:lang w:val="es-MX"/>
              </w:rPr>
            </w:pPr>
            <w:r w:rsidRPr="00D2295C">
              <w:rPr>
                <w:rFonts w:ascii="Arial" w:hAnsi="Arial" w:cs="Arial"/>
                <w:b/>
                <w:sz w:val="22"/>
                <w:szCs w:val="22"/>
                <w:lang w:val="es-MX"/>
              </w:rPr>
              <w:t>AUTOCALIFICACIÓN</w:t>
            </w:r>
          </w:p>
        </w:tc>
        <w:tc>
          <w:tcPr>
            <w:tcW w:w="4981" w:type="dxa"/>
          </w:tcPr>
          <w:p w14:paraId="732900A8" w14:textId="77777777" w:rsidR="00561B22" w:rsidRPr="00D2295C" w:rsidRDefault="00561B22" w:rsidP="00F1223B">
            <w:pPr>
              <w:jc w:val="center"/>
              <w:rPr>
                <w:rFonts w:ascii="Arial" w:hAnsi="Arial" w:cs="Arial"/>
                <w:b/>
                <w:sz w:val="22"/>
                <w:szCs w:val="22"/>
                <w:u w:val="single"/>
                <w:lang w:val="es-MX"/>
              </w:rPr>
            </w:pPr>
            <w:r w:rsidRPr="00D2295C">
              <w:rPr>
                <w:rFonts w:ascii="Arial" w:hAnsi="Arial" w:cs="Arial"/>
                <w:b/>
                <w:sz w:val="22"/>
                <w:szCs w:val="22"/>
                <w:u w:val="single"/>
                <w:lang w:val="es-MX"/>
              </w:rPr>
              <w:t>4.95</w:t>
            </w:r>
          </w:p>
        </w:tc>
      </w:tr>
    </w:tbl>
    <w:p w14:paraId="4F804ED3" w14:textId="77777777" w:rsidR="00561B22" w:rsidRPr="00D2295C" w:rsidRDefault="00561B22" w:rsidP="00561B22">
      <w:pPr>
        <w:pStyle w:val="Textoindependiente"/>
        <w:ind w:right="-50"/>
        <w:jc w:val="both"/>
        <w:rPr>
          <w:rFonts w:ascii="Arial" w:hAnsi="Arial" w:cs="Arial"/>
          <w:b/>
          <w:bCs/>
        </w:rPr>
      </w:pPr>
    </w:p>
    <w:p w14:paraId="085CCD39" w14:textId="77777777" w:rsidR="00561B22" w:rsidRPr="00D2295C" w:rsidRDefault="00561B22" w:rsidP="00561B22">
      <w:pPr>
        <w:pStyle w:val="Textoindependiente"/>
        <w:ind w:right="-50"/>
        <w:jc w:val="both"/>
        <w:rPr>
          <w:rFonts w:ascii="Arial" w:hAnsi="Arial" w:cs="Arial"/>
          <w:b/>
          <w:bCs/>
        </w:rPr>
      </w:pPr>
      <w:r w:rsidRPr="00D2295C">
        <w:rPr>
          <w:rFonts w:ascii="Arial" w:hAnsi="Arial" w:cs="Arial"/>
          <w:b/>
          <w:bCs/>
        </w:rPr>
        <w:t>Del informe enviado retomamos lo siguiente:</w:t>
      </w:r>
    </w:p>
    <w:p w14:paraId="6B39ABA4" w14:textId="77777777" w:rsidR="00561B22" w:rsidRPr="00D2295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2295C" w14:paraId="4BC5363E" w14:textId="77777777" w:rsidTr="00F1223B">
        <w:tc>
          <w:tcPr>
            <w:tcW w:w="562" w:type="dxa"/>
          </w:tcPr>
          <w:p w14:paraId="1E7AABAA" w14:textId="77777777" w:rsidR="00561B22" w:rsidRPr="00D2295C" w:rsidRDefault="00561B22" w:rsidP="00F1223B">
            <w:pPr>
              <w:ind w:right="-109"/>
              <w:jc w:val="center"/>
              <w:rPr>
                <w:rFonts w:ascii="Arial" w:hAnsi="Arial" w:cs="Arial"/>
                <w:b/>
                <w:sz w:val="22"/>
                <w:szCs w:val="22"/>
                <w:lang w:val="es-MX"/>
              </w:rPr>
            </w:pPr>
            <w:r w:rsidRPr="00D2295C">
              <w:rPr>
                <w:rFonts w:ascii="Arial" w:hAnsi="Arial" w:cs="Arial"/>
                <w:b/>
                <w:sz w:val="22"/>
                <w:szCs w:val="22"/>
                <w:lang w:val="es-MX"/>
              </w:rPr>
              <w:t>N°</w:t>
            </w:r>
          </w:p>
        </w:tc>
        <w:tc>
          <w:tcPr>
            <w:tcW w:w="9400" w:type="dxa"/>
          </w:tcPr>
          <w:p w14:paraId="6318609D" w14:textId="77777777" w:rsidR="00561B22" w:rsidRPr="00D2295C" w:rsidRDefault="00561B22" w:rsidP="00F1223B">
            <w:pPr>
              <w:jc w:val="center"/>
              <w:rPr>
                <w:rFonts w:ascii="Arial" w:hAnsi="Arial" w:cs="Arial"/>
                <w:b/>
                <w:sz w:val="22"/>
                <w:szCs w:val="22"/>
                <w:lang w:val="es-MX"/>
              </w:rPr>
            </w:pPr>
            <w:r w:rsidRPr="00D2295C">
              <w:rPr>
                <w:rFonts w:ascii="Arial" w:hAnsi="Arial" w:cs="Arial"/>
                <w:b/>
                <w:sz w:val="22"/>
                <w:szCs w:val="22"/>
                <w:lang w:val="es-MX"/>
              </w:rPr>
              <w:t>DEBILIDADES</w:t>
            </w:r>
          </w:p>
          <w:p w14:paraId="393F484B" w14:textId="77777777" w:rsidR="00561B22" w:rsidRPr="00D2295C" w:rsidRDefault="00561B22" w:rsidP="00F1223B">
            <w:pPr>
              <w:jc w:val="center"/>
              <w:rPr>
                <w:rFonts w:ascii="Arial" w:hAnsi="Arial" w:cs="Arial"/>
                <w:b/>
                <w:sz w:val="22"/>
                <w:szCs w:val="22"/>
                <w:lang w:val="es-MX"/>
              </w:rPr>
            </w:pPr>
          </w:p>
        </w:tc>
      </w:tr>
      <w:tr w:rsidR="00561B22" w:rsidRPr="00D2295C" w14:paraId="6C45AF1A" w14:textId="77777777" w:rsidTr="00F1223B">
        <w:tc>
          <w:tcPr>
            <w:tcW w:w="562" w:type="dxa"/>
          </w:tcPr>
          <w:p w14:paraId="67BECFEC" w14:textId="77777777" w:rsidR="00561B22" w:rsidRPr="00D2295C" w:rsidRDefault="00561B22" w:rsidP="00F1223B">
            <w:pPr>
              <w:jc w:val="center"/>
              <w:rPr>
                <w:rFonts w:ascii="Arial" w:hAnsi="Arial" w:cs="Arial"/>
                <w:b/>
                <w:sz w:val="22"/>
                <w:szCs w:val="22"/>
                <w:lang w:val="es-MX"/>
              </w:rPr>
            </w:pPr>
            <w:r w:rsidRPr="00D2295C">
              <w:rPr>
                <w:rFonts w:ascii="Arial" w:hAnsi="Arial" w:cs="Arial"/>
                <w:b/>
                <w:sz w:val="22"/>
                <w:szCs w:val="22"/>
                <w:lang w:val="es-MX"/>
              </w:rPr>
              <w:t>1</w:t>
            </w:r>
          </w:p>
        </w:tc>
        <w:tc>
          <w:tcPr>
            <w:tcW w:w="9400" w:type="dxa"/>
          </w:tcPr>
          <w:p w14:paraId="1E3B840D" w14:textId="77777777" w:rsidR="00561B22" w:rsidRPr="00D2295C" w:rsidRDefault="00561B22" w:rsidP="00F1223B">
            <w:pPr>
              <w:rPr>
                <w:rFonts w:ascii="Arial" w:hAnsi="Arial" w:cs="Arial"/>
                <w:bCs/>
                <w:sz w:val="22"/>
                <w:szCs w:val="22"/>
                <w:lang w:val="es-MX"/>
              </w:rPr>
            </w:pPr>
            <w:r w:rsidRPr="00D2295C">
              <w:rPr>
                <w:rFonts w:ascii="Arial" w:hAnsi="Arial" w:cs="Arial"/>
                <w:bCs/>
                <w:sz w:val="22"/>
                <w:szCs w:val="22"/>
                <w:lang w:val="es-MX"/>
              </w:rPr>
              <w:t>La Matriz de Riesgos no incluye medidas preventivas específicas para situaciones relacionadas con las actividades de outsourcing contable.</w:t>
            </w:r>
          </w:p>
        </w:tc>
      </w:tr>
    </w:tbl>
    <w:p w14:paraId="485B641E" w14:textId="77777777" w:rsidR="00561B22" w:rsidRPr="00D2295C" w:rsidRDefault="00561B22" w:rsidP="00561B22">
      <w:pPr>
        <w:pStyle w:val="Textoindependiente"/>
        <w:ind w:right="-50"/>
        <w:jc w:val="both"/>
        <w:rPr>
          <w:rFonts w:ascii="Arial" w:hAnsi="Arial" w:cs="Arial"/>
          <w:b/>
          <w:bCs/>
        </w:rPr>
      </w:pPr>
    </w:p>
    <w:p w14:paraId="751CAD7C" w14:textId="77777777" w:rsidR="00561B22" w:rsidRPr="00D2295C" w:rsidRDefault="00561B22" w:rsidP="00561B22">
      <w:pPr>
        <w:jc w:val="both"/>
        <w:rPr>
          <w:rFonts w:ascii="Arial" w:hAnsi="Arial" w:cs="Arial"/>
          <w:b/>
          <w:lang w:val="es-MX"/>
        </w:rPr>
      </w:pPr>
      <w:r w:rsidRPr="00D2295C">
        <w:rPr>
          <w:rFonts w:ascii="Arial" w:hAnsi="Arial" w:cs="Arial"/>
          <w:b/>
          <w:lang w:val="es-MX"/>
        </w:rPr>
        <w:t>Del citado informe retomamos las siguientes recomendaciones:</w:t>
      </w:r>
    </w:p>
    <w:p w14:paraId="68385F09" w14:textId="77777777" w:rsidR="00561B22" w:rsidRPr="00D2295C"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D2295C" w14:paraId="1137490B" w14:textId="77777777" w:rsidTr="00F1223B">
        <w:tc>
          <w:tcPr>
            <w:tcW w:w="562" w:type="dxa"/>
          </w:tcPr>
          <w:p w14:paraId="55A2D92D" w14:textId="77777777" w:rsidR="00561B22" w:rsidRPr="00D2295C" w:rsidRDefault="00561B22" w:rsidP="00F1223B">
            <w:pPr>
              <w:ind w:right="-109"/>
              <w:jc w:val="center"/>
              <w:rPr>
                <w:rFonts w:ascii="Arial" w:hAnsi="Arial" w:cs="Arial"/>
                <w:b/>
                <w:sz w:val="22"/>
                <w:szCs w:val="22"/>
                <w:lang w:val="es-MX"/>
              </w:rPr>
            </w:pPr>
            <w:r w:rsidRPr="00D2295C">
              <w:rPr>
                <w:rFonts w:ascii="Arial" w:hAnsi="Arial" w:cs="Arial"/>
                <w:b/>
                <w:sz w:val="22"/>
                <w:szCs w:val="22"/>
                <w:lang w:val="es-MX"/>
              </w:rPr>
              <w:t>N°</w:t>
            </w:r>
          </w:p>
        </w:tc>
        <w:tc>
          <w:tcPr>
            <w:tcW w:w="9400" w:type="dxa"/>
          </w:tcPr>
          <w:p w14:paraId="63726551" w14:textId="77777777" w:rsidR="00561B22" w:rsidRPr="00D2295C" w:rsidRDefault="00561B22" w:rsidP="00F1223B">
            <w:pPr>
              <w:jc w:val="center"/>
              <w:rPr>
                <w:rFonts w:ascii="Arial" w:hAnsi="Arial" w:cs="Arial"/>
                <w:b/>
                <w:sz w:val="22"/>
                <w:szCs w:val="22"/>
                <w:lang w:val="es-MX"/>
              </w:rPr>
            </w:pPr>
            <w:r w:rsidRPr="00D2295C">
              <w:rPr>
                <w:rFonts w:ascii="Arial" w:hAnsi="Arial" w:cs="Arial"/>
                <w:b/>
                <w:sz w:val="22"/>
                <w:szCs w:val="22"/>
                <w:lang w:val="es-MX"/>
              </w:rPr>
              <w:t>RECOMENDACIONES</w:t>
            </w:r>
          </w:p>
          <w:p w14:paraId="36A5C9B0" w14:textId="77777777" w:rsidR="00561B22" w:rsidRPr="00D2295C" w:rsidRDefault="00561B22" w:rsidP="00F1223B">
            <w:pPr>
              <w:jc w:val="center"/>
              <w:rPr>
                <w:rFonts w:ascii="Arial" w:hAnsi="Arial" w:cs="Arial"/>
                <w:b/>
                <w:sz w:val="22"/>
                <w:szCs w:val="22"/>
                <w:lang w:val="es-MX"/>
              </w:rPr>
            </w:pPr>
          </w:p>
        </w:tc>
      </w:tr>
      <w:tr w:rsidR="00561B22" w:rsidRPr="00D2295C" w14:paraId="2B28D944" w14:textId="77777777" w:rsidTr="00F1223B">
        <w:tc>
          <w:tcPr>
            <w:tcW w:w="562" w:type="dxa"/>
          </w:tcPr>
          <w:p w14:paraId="10F9F840" w14:textId="77777777" w:rsidR="00561B22" w:rsidRPr="00D2295C" w:rsidRDefault="00561B22" w:rsidP="00F1223B">
            <w:pPr>
              <w:jc w:val="center"/>
              <w:rPr>
                <w:rFonts w:ascii="Arial" w:hAnsi="Arial" w:cs="Arial"/>
                <w:b/>
                <w:sz w:val="22"/>
                <w:szCs w:val="22"/>
                <w:lang w:val="es-MX"/>
              </w:rPr>
            </w:pPr>
            <w:r w:rsidRPr="00D2295C">
              <w:rPr>
                <w:rFonts w:ascii="Arial" w:hAnsi="Arial" w:cs="Arial"/>
                <w:b/>
                <w:sz w:val="22"/>
                <w:szCs w:val="22"/>
                <w:lang w:val="es-MX"/>
              </w:rPr>
              <w:t>1</w:t>
            </w:r>
          </w:p>
        </w:tc>
        <w:tc>
          <w:tcPr>
            <w:tcW w:w="9400" w:type="dxa"/>
          </w:tcPr>
          <w:p w14:paraId="60B56D24" w14:textId="77777777" w:rsidR="00561B22" w:rsidRPr="00D2295C" w:rsidRDefault="00561B22" w:rsidP="00F1223B">
            <w:pPr>
              <w:jc w:val="both"/>
              <w:rPr>
                <w:rFonts w:ascii="Arial" w:hAnsi="Arial" w:cs="Arial"/>
                <w:bCs/>
                <w:sz w:val="22"/>
                <w:szCs w:val="22"/>
                <w:lang w:val="es-MX"/>
              </w:rPr>
            </w:pPr>
            <w:r w:rsidRPr="00D2295C">
              <w:rPr>
                <w:rFonts w:ascii="Arial" w:hAnsi="Arial" w:cs="Arial"/>
                <w:bCs/>
                <w:sz w:val="22"/>
                <w:szCs w:val="22"/>
                <w:lang w:val="es-MX"/>
              </w:rPr>
              <w:t xml:space="preserve">Actualizar la Matriz de Riesgo y medidas de administración: Se cuenta con una Matriz de Riesgo, pero se identifican inconsistencias en la descripción del aplicativo contable. Dado que la contabilidad ha sido tercerizada y existen controles SOX, es clave actualizar las medidas de administración para asegurar su efectividad. </w:t>
            </w:r>
          </w:p>
        </w:tc>
      </w:tr>
      <w:tr w:rsidR="00561B22" w:rsidRPr="00D2295C" w14:paraId="4CB7AED7" w14:textId="77777777" w:rsidTr="00F1223B">
        <w:tc>
          <w:tcPr>
            <w:tcW w:w="562" w:type="dxa"/>
          </w:tcPr>
          <w:p w14:paraId="5923E1B7" w14:textId="77777777" w:rsidR="00561B22" w:rsidRPr="00D2295C" w:rsidRDefault="00561B22" w:rsidP="00F1223B">
            <w:pPr>
              <w:jc w:val="center"/>
              <w:rPr>
                <w:rFonts w:ascii="Arial" w:hAnsi="Arial" w:cs="Arial"/>
                <w:b/>
                <w:sz w:val="22"/>
                <w:szCs w:val="22"/>
                <w:lang w:val="es-MX"/>
              </w:rPr>
            </w:pPr>
            <w:r w:rsidRPr="00D2295C">
              <w:rPr>
                <w:rFonts w:ascii="Arial" w:hAnsi="Arial" w:cs="Arial"/>
                <w:b/>
                <w:sz w:val="22"/>
                <w:szCs w:val="22"/>
                <w:lang w:val="es-MX"/>
              </w:rPr>
              <w:t>2</w:t>
            </w:r>
          </w:p>
        </w:tc>
        <w:tc>
          <w:tcPr>
            <w:tcW w:w="9400" w:type="dxa"/>
          </w:tcPr>
          <w:p w14:paraId="5097056B" w14:textId="77777777" w:rsidR="00561B22" w:rsidRPr="00D2295C" w:rsidRDefault="00561B22" w:rsidP="00F1223B">
            <w:pPr>
              <w:jc w:val="both"/>
              <w:rPr>
                <w:rFonts w:ascii="Arial" w:hAnsi="Arial" w:cs="Arial"/>
                <w:bCs/>
                <w:sz w:val="22"/>
                <w:szCs w:val="22"/>
                <w:lang w:val="es-MX"/>
              </w:rPr>
            </w:pPr>
            <w:r w:rsidRPr="00D2295C">
              <w:rPr>
                <w:rFonts w:ascii="Arial" w:hAnsi="Arial" w:cs="Arial"/>
                <w:bCs/>
                <w:sz w:val="22"/>
                <w:szCs w:val="22"/>
                <w:lang w:val="es-MX"/>
              </w:rPr>
              <w:t>Se recomienda dar seguimiento continuo a la ejecución del plan de capacitación para garantizar su cumplimiento en los plazos establecidos, asegurando que los cursos iniciados en 2024 se completen de manera efectiva en 2025 y cumplan con los objetivos de formación del personal de INTEIA.</w:t>
            </w:r>
          </w:p>
        </w:tc>
      </w:tr>
    </w:tbl>
    <w:p w14:paraId="3DBB4732" w14:textId="77777777" w:rsidR="00561B22" w:rsidRPr="00D2295C" w:rsidRDefault="00561B22" w:rsidP="00561B22">
      <w:pPr>
        <w:pStyle w:val="Textoindependiente"/>
        <w:ind w:right="-50"/>
        <w:jc w:val="both"/>
        <w:rPr>
          <w:rFonts w:ascii="Arial" w:hAnsi="Arial" w:cs="Arial"/>
          <w:b/>
          <w:bCs/>
          <w:sz w:val="28"/>
          <w:szCs w:val="28"/>
        </w:rPr>
      </w:pPr>
    </w:p>
    <w:p w14:paraId="54A721E1" w14:textId="77777777" w:rsidR="00561B22" w:rsidRPr="00D2295C" w:rsidRDefault="00561B22" w:rsidP="00561B22">
      <w:pPr>
        <w:jc w:val="both"/>
        <w:rPr>
          <w:rFonts w:ascii="Arial" w:hAnsi="Arial" w:cs="Arial"/>
          <w:b/>
          <w:bCs/>
          <w:sz w:val="24"/>
          <w:szCs w:val="24"/>
          <w:lang w:val="es-CO"/>
        </w:rPr>
      </w:pPr>
      <w:r w:rsidRPr="00D2295C">
        <w:rPr>
          <w:rFonts w:ascii="Arial" w:hAnsi="Arial" w:cs="Arial"/>
          <w:b/>
          <w:bCs/>
          <w:sz w:val="24"/>
          <w:szCs w:val="24"/>
          <w:lang w:val="es-CO"/>
        </w:rPr>
        <w:t xml:space="preserve">NOTA: LA ENTIDAD ENVÍA LA MATRIZ DE AUTOEVALUACIÓN DEL SISTEMA DE CONTROL INTERNO CONTABLE CON </w:t>
      </w:r>
      <w:r w:rsidRPr="00D2295C">
        <w:rPr>
          <w:rFonts w:ascii="Arial" w:hAnsi="Arial" w:cs="Arial"/>
          <w:b/>
          <w:bCs/>
          <w:sz w:val="24"/>
          <w:szCs w:val="24"/>
          <w:u w:val="single"/>
          <w:lang w:val="es-CO"/>
        </w:rPr>
        <w:t>ACTIVIDADES DE CONTROL REALIZADAS EN FORMA PARCIAL</w:t>
      </w:r>
      <w:r w:rsidRPr="00D2295C">
        <w:rPr>
          <w:rFonts w:ascii="Arial" w:hAnsi="Arial" w:cs="Arial"/>
          <w:b/>
          <w:bCs/>
          <w:sz w:val="24"/>
          <w:szCs w:val="24"/>
          <w:lang w:val="es-CO"/>
        </w:rPr>
        <w:t>.</w:t>
      </w:r>
    </w:p>
    <w:p w14:paraId="2ACB90FA" w14:textId="77777777" w:rsidR="00561B22" w:rsidRPr="00D2295C" w:rsidRDefault="00561B22" w:rsidP="00561B22">
      <w:pPr>
        <w:jc w:val="both"/>
        <w:rPr>
          <w:rFonts w:ascii="Arial" w:hAnsi="Arial" w:cs="Arial"/>
          <w:b/>
          <w:bCs/>
          <w:sz w:val="28"/>
          <w:szCs w:val="28"/>
        </w:rPr>
      </w:pPr>
    </w:p>
    <w:p w14:paraId="5E85914C" w14:textId="77777777" w:rsidR="00561B22" w:rsidRPr="005A7871" w:rsidRDefault="00561B22" w:rsidP="00561B22">
      <w:pPr>
        <w:jc w:val="both"/>
        <w:rPr>
          <w:rFonts w:ascii="Arial" w:hAnsi="Arial" w:cs="Arial"/>
          <w:b/>
          <w:sz w:val="28"/>
          <w:szCs w:val="28"/>
          <w:lang w:val="es-MX"/>
        </w:rPr>
      </w:pPr>
      <w:bookmarkStart w:id="69" w:name="_Hlk203052984"/>
      <w:r w:rsidRPr="005A7871">
        <w:rPr>
          <w:rFonts w:ascii="Arial" w:hAnsi="Arial" w:cs="Arial"/>
          <w:b/>
          <w:sz w:val="28"/>
          <w:szCs w:val="28"/>
          <w:lang w:val="es-MX"/>
        </w:rPr>
        <w:t>250.- MINISTERIO DE COMERCIO, INDUSTRIA Y TURISMO – MINCIT.</w:t>
      </w:r>
    </w:p>
    <w:bookmarkEnd w:id="69"/>
    <w:p w14:paraId="4523FF94" w14:textId="77777777" w:rsidR="00561B22" w:rsidRPr="005A7871" w:rsidRDefault="00561B22" w:rsidP="00561B22">
      <w:pPr>
        <w:pStyle w:val="Textoindependiente"/>
        <w:tabs>
          <w:tab w:val="left" w:pos="2055"/>
        </w:tabs>
        <w:spacing w:before="5"/>
        <w:rPr>
          <w:rFonts w:ascii="Arial" w:hAnsi="Arial" w:cs="Arial"/>
          <w:sz w:val="17"/>
          <w:lang w:val="es-MX"/>
        </w:rPr>
      </w:pPr>
    </w:p>
    <w:p w14:paraId="1110AAFC" w14:textId="77777777" w:rsidR="00561B22" w:rsidRPr="005A7871" w:rsidRDefault="00561B22" w:rsidP="00561B22">
      <w:pPr>
        <w:pStyle w:val="Textoindependiente"/>
        <w:ind w:right="-50"/>
        <w:jc w:val="center"/>
        <w:rPr>
          <w:rFonts w:ascii="Arial" w:hAnsi="Arial" w:cs="Arial"/>
          <w:b/>
          <w:bCs/>
        </w:rPr>
      </w:pPr>
      <w:r w:rsidRPr="005A7871">
        <w:rPr>
          <w:rFonts w:ascii="Arial" w:hAnsi="Arial" w:cs="Arial"/>
          <w:b/>
          <w:bCs/>
        </w:rPr>
        <w:t>INFORME DE LA AUTOCALIFICACIÓN DEL SISTEMA DE CONTROL INTERNO CONTABLE:</w:t>
      </w:r>
    </w:p>
    <w:p w14:paraId="477C2D55" w14:textId="77777777" w:rsidR="00561B22" w:rsidRPr="005A787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A7871" w14:paraId="0D982917" w14:textId="77777777" w:rsidTr="00F1223B">
        <w:tc>
          <w:tcPr>
            <w:tcW w:w="4981" w:type="dxa"/>
          </w:tcPr>
          <w:p w14:paraId="01E40108"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AUTOCALIFICACIÓN</w:t>
            </w:r>
          </w:p>
        </w:tc>
        <w:tc>
          <w:tcPr>
            <w:tcW w:w="4981" w:type="dxa"/>
          </w:tcPr>
          <w:p w14:paraId="230839A5" w14:textId="77777777" w:rsidR="00561B22" w:rsidRPr="005A7871" w:rsidRDefault="00561B22" w:rsidP="00F1223B">
            <w:pPr>
              <w:jc w:val="center"/>
              <w:rPr>
                <w:rFonts w:ascii="Arial" w:hAnsi="Arial" w:cs="Arial"/>
                <w:b/>
                <w:sz w:val="22"/>
                <w:szCs w:val="22"/>
                <w:u w:val="single"/>
                <w:lang w:val="es-MX"/>
              </w:rPr>
            </w:pPr>
            <w:r w:rsidRPr="005A7871">
              <w:rPr>
                <w:rFonts w:ascii="Arial" w:hAnsi="Arial" w:cs="Arial"/>
                <w:b/>
                <w:sz w:val="22"/>
                <w:szCs w:val="22"/>
                <w:u w:val="single"/>
                <w:lang w:val="es-MX"/>
              </w:rPr>
              <w:t>4.76</w:t>
            </w:r>
          </w:p>
        </w:tc>
      </w:tr>
    </w:tbl>
    <w:p w14:paraId="216D200A" w14:textId="77777777" w:rsidR="00561B22" w:rsidRPr="005A7871" w:rsidRDefault="00561B22" w:rsidP="00561B22">
      <w:pPr>
        <w:pStyle w:val="Textoindependiente"/>
        <w:ind w:right="-50"/>
        <w:jc w:val="both"/>
        <w:rPr>
          <w:rFonts w:ascii="Arial" w:hAnsi="Arial" w:cs="Arial"/>
          <w:b/>
          <w:bCs/>
        </w:rPr>
      </w:pPr>
    </w:p>
    <w:p w14:paraId="7272DA73" w14:textId="77777777" w:rsidR="00561B22" w:rsidRPr="005A7871" w:rsidRDefault="00561B22" w:rsidP="00561B22">
      <w:pPr>
        <w:pStyle w:val="Textoindependiente"/>
        <w:ind w:right="-50"/>
        <w:jc w:val="both"/>
        <w:rPr>
          <w:rFonts w:ascii="Arial" w:hAnsi="Arial" w:cs="Arial"/>
          <w:b/>
          <w:bCs/>
        </w:rPr>
      </w:pPr>
      <w:r w:rsidRPr="005A7871">
        <w:rPr>
          <w:rFonts w:ascii="Arial" w:hAnsi="Arial" w:cs="Arial"/>
          <w:b/>
          <w:bCs/>
        </w:rPr>
        <w:t>Del informe enviado retomamos lo siguiente:</w:t>
      </w:r>
    </w:p>
    <w:p w14:paraId="3B335E2C" w14:textId="77777777" w:rsidR="00561B22" w:rsidRPr="005A787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A7871" w14:paraId="74DF92C1" w14:textId="77777777" w:rsidTr="00F1223B">
        <w:tc>
          <w:tcPr>
            <w:tcW w:w="562" w:type="dxa"/>
          </w:tcPr>
          <w:p w14:paraId="3CB08325" w14:textId="77777777" w:rsidR="00561B22" w:rsidRPr="005A7871" w:rsidRDefault="00561B22" w:rsidP="00F1223B">
            <w:pPr>
              <w:ind w:right="-109"/>
              <w:jc w:val="center"/>
              <w:rPr>
                <w:rFonts w:ascii="Arial" w:hAnsi="Arial" w:cs="Arial"/>
                <w:b/>
                <w:sz w:val="22"/>
                <w:szCs w:val="22"/>
                <w:lang w:val="es-MX"/>
              </w:rPr>
            </w:pPr>
            <w:r w:rsidRPr="005A7871">
              <w:rPr>
                <w:rFonts w:ascii="Arial" w:hAnsi="Arial" w:cs="Arial"/>
                <w:b/>
                <w:sz w:val="22"/>
                <w:szCs w:val="22"/>
                <w:lang w:val="es-MX"/>
              </w:rPr>
              <w:t>N°</w:t>
            </w:r>
          </w:p>
        </w:tc>
        <w:tc>
          <w:tcPr>
            <w:tcW w:w="9400" w:type="dxa"/>
          </w:tcPr>
          <w:p w14:paraId="5AA3EF04"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DEBILIDADES</w:t>
            </w:r>
          </w:p>
          <w:p w14:paraId="5E155EB8" w14:textId="77777777" w:rsidR="00561B22" w:rsidRPr="005A7871" w:rsidRDefault="00561B22" w:rsidP="00F1223B">
            <w:pPr>
              <w:jc w:val="center"/>
              <w:rPr>
                <w:rFonts w:ascii="Arial" w:hAnsi="Arial" w:cs="Arial"/>
                <w:b/>
                <w:sz w:val="22"/>
                <w:szCs w:val="22"/>
                <w:lang w:val="es-MX"/>
              </w:rPr>
            </w:pPr>
          </w:p>
        </w:tc>
      </w:tr>
      <w:tr w:rsidR="00561B22" w:rsidRPr="005A7871" w14:paraId="66B00117" w14:textId="77777777" w:rsidTr="00F1223B">
        <w:tc>
          <w:tcPr>
            <w:tcW w:w="562" w:type="dxa"/>
          </w:tcPr>
          <w:p w14:paraId="400DF51E"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1</w:t>
            </w:r>
          </w:p>
        </w:tc>
        <w:tc>
          <w:tcPr>
            <w:tcW w:w="9400" w:type="dxa"/>
          </w:tcPr>
          <w:p w14:paraId="7281553D"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 xml:space="preserve">Según lo establecido en el procedimiento de Elaboración de Estados Financieros Actividad 12 (H) Realizar conciliación de saldos contables con las áreas: "Se verifican los saldos generados en los reportes auxiliares del Sistema SIIF Nación II y se compara con la información remitida por las áreas responsables. Si la información está correcta, el Coordinador del Grupo de Contabilidad envía diligenciado el formato Acta de Conciliación de Saldos Contables para revisión y firma del área responsable”. La Oficina de Control Interno evidenció el uso de distintos formatos de conciliaciones y falta de firmas para establecer los controles de revisión </w:t>
            </w:r>
            <w:r w:rsidRPr="005A7871">
              <w:rPr>
                <w:rFonts w:ascii="Arial" w:hAnsi="Arial" w:cs="Arial"/>
                <w:bCs/>
                <w:sz w:val="22"/>
                <w:szCs w:val="22"/>
                <w:lang w:val="es-MX"/>
              </w:rPr>
              <w:lastRenderedPageBreak/>
              <w:t>y aprobación, y debida la debida segregación de funciones en el área.</w:t>
            </w:r>
          </w:p>
        </w:tc>
      </w:tr>
      <w:tr w:rsidR="00561B22" w:rsidRPr="005A7871" w14:paraId="4403F6A4" w14:textId="77777777" w:rsidTr="00F1223B">
        <w:tc>
          <w:tcPr>
            <w:tcW w:w="562" w:type="dxa"/>
          </w:tcPr>
          <w:p w14:paraId="0926B9FB"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lastRenderedPageBreak/>
              <w:t>2</w:t>
            </w:r>
          </w:p>
        </w:tc>
        <w:tc>
          <w:tcPr>
            <w:tcW w:w="9400" w:type="dxa"/>
          </w:tcPr>
          <w:p w14:paraId="2DB997DE"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Se presentan recaudos sin identificar el Banco Agrario por conceptos de seguridad social, pasivo pensional, o cobro coactivo.</w:t>
            </w:r>
          </w:p>
        </w:tc>
      </w:tr>
      <w:tr w:rsidR="00561B22" w:rsidRPr="005A7871" w14:paraId="45DDDB56" w14:textId="77777777" w:rsidTr="00F1223B">
        <w:tc>
          <w:tcPr>
            <w:tcW w:w="562" w:type="dxa"/>
          </w:tcPr>
          <w:p w14:paraId="6719C6FF"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3</w:t>
            </w:r>
          </w:p>
        </w:tc>
        <w:tc>
          <w:tcPr>
            <w:tcW w:w="9400" w:type="dxa"/>
          </w:tcPr>
          <w:p w14:paraId="62F4012C"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Según  lo establecido por la Política Contable: “</w:t>
            </w:r>
            <w:r w:rsidRPr="005A7871">
              <w:rPr>
                <w:rFonts w:ascii="Arial" w:hAnsi="Arial" w:cs="Arial"/>
                <w:bCs/>
                <w:i/>
                <w:iCs/>
                <w:sz w:val="22"/>
                <w:szCs w:val="22"/>
                <w:lang w:val="es-MX"/>
              </w:rPr>
              <w:t>Las consignaciones que durante el periodo contable no logren ser identificadas serán llevadas al comité de sostenibilidad contable para que este dé la recomendación de la baja en cuentas, este procedimiento se llevará a cabo al final de periodo para que el ingreso quede reconocido dentro de la vigencia</w:t>
            </w:r>
            <w:r w:rsidRPr="005A7871">
              <w:rPr>
                <w:rFonts w:ascii="Arial" w:hAnsi="Arial" w:cs="Arial"/>
                <w:bCs/>
                <w:sz w:val="22"/>
                <w:szCs w:val="22"/>
                <w:lang w:val="es-MX"/>
              </w:rPr>
              <w:t>”, se observa que al corte de 31/12/2024 se reconocieron dichos valores como aprovechamientos que faltan de ser presentados por la instancia mencionada.</w:t>
            </w:r>
          </w:p>
        </w:tc>
      </w:tr>
      <w:tr w:rsidR="00561B22" w:rsidRPr="005A7871" w14:paraId="7FC86F94" w14:textId="77777777" w:rsidTr="00F1223B">
        <w:tc>
          <w:tcPr>
            <w:tcW w:w="562" w:type="dxa"/>
          </w:tcPr>
          <w:p w14:paraId="6B3450B9"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4</w:t>
            </w:r>
          </w:p>
        </w:tc>
        <w:tc>
          <w:tcPr>
            <w:tcW w:w="9400" w:type="dxa"/>
          </w:tcPr>
          <w:p w14:paraId="5109CB48"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Resultado de Auditoría Interna de gestión a los estados contables, de la Oficina de Control Interno se evidenciaron actividades que no cumplen con las descritas por el procedimiento GR-PR-008 Elaboración Estados Financieros.</w:t>
            </w:r>
          </w:p>
        </w:tc>
      </w:tr>
      <w:tr w:rsidR="00561B22" w:rsidRPr="005A7871" w14:paraId="18B5C464" w14:textId="77777777" w:rsidTr="00F1223B">
        <w:tc>
          <w:tcPr>
            <w:tcW w:w="562" w:type="dxa"/>
          </w:tcPr>
          <w:p w14:paraId="476D8C95"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5</w:t>
            </w:r>
          </w:p>
        </w:tc>
        <w:tc>
          <w:tcPr>
            <w:tcW w:w="9400" w:type="dxa"/>
          </w:tcPr>
          <w:p w14:paraId="50B707DF"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En los estados financieros presentados en la vigencia 2024, falta presentar la medición de indicadores para evaluar la gestión y los resultados de la entidad, así mismo, no se cuenta con una batería de indicadores para evaluar permanentemente la gestión y los resultados de la entidad.</w:t>
            </w:r>
          </w:p>
        </w:tc>
      </w:tr>
      <w:tr w:rsidR="00561B22" w:rsidRPr="005A7871" w14:paraId="6C2EABD5" w14:textId="77777777" w:rsidTr="00F1223B">
        <w:tc>
          <w:tcPr>
            <w:tcW w:w="562" w:type="dxa"/>
          </w:tcPr>
          <w:p w14:paraId="103BE3A8"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6</w:t>
            </w:r>
          </w:p>
        </w:tc>
        <w:tc>
          <w:tcPr>
            <w:tcW w:w="9400" w:type="dxa"/>
          </w:tcPr>
          <w:p w14:paraId="649967C4"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Falta la identificación de riesgos que podrían afectar el proceso contable en todas las etapas.</w:t>
            </w:r>
          </w:p>
        </w:tc>
      </w:tr>
    </w:tbl>
    <w:p w14:paraId="5582FE38" w14:textId="77777777" w:rsidR="00561B22" w:rsidRPr="005A7871" w:rsidRDefault="00561B22" w:rsidP="00561B22">
      <w:pPr>
        <w:pStyle w:val="Textoindependiente"/>
        <w:ind w:right="-50"/>
        <w:jc w:val="both"/>
        <w:rPr>
          <w:rFonts w:ascii="Arial" w:hAnsi="Arial" w:cs="Arial"/>
          <w:b/>
          <w:bCs/>
        </w:rPr>
      </w:pPr>
    </w:p>
    <w:p w14:paraId="1D5F7D4B" w14:textId="77777777" w:rsidR="00561B22" w:rsidRPr="005A7871" w:rsidRDefault="00561B22" w:rsidP="00561B22">
      <w:pPr>
        <w:jc w:val="both"/>
        <w:rPr>
          <w:rFonts w:ascii="Arial" w:hAnsi="Arial" w:cs="Arial"/>
          <w:b/>
          <w:lang w:val="es-MX"/>
        </w:rPr>
      </w:pPr>
      <w:r w:rsidRPr="005A7871">
        <w:rPr>
          <w:rFonts w:ascii="Arial" w:hAnsi="Arial" w:cs="Arial"/>
          <w:b/>
          <w:lang w:val="es-MX"/>
        </w:rPr>
        <w:t>Del citado informe retomamos las siguientes recomendaciones:</w:t>
      </w:r>
    </w:p>
    <w:p w14:paraId="73565CA4" w14:textId="77777777" w:rsidR="00561B22" w:rsidRPr="005A7871"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5A7871" w14:paraId="64543703" w14:textId="77777777" w:rsidTr="00F1223B">
        <w:tc>
          <w:tcPr>
            <w:tcW w:w="562" w:type="dxa"/>
          </w:tcPr>
          <w:p w14:paraId="532CFAD6" w14:textId="77777777" w:rsidR="00561B22" w:rsidRPr="005A7871" w:rsidRDefault="00561B22" w:rsidP="00F1223B">
            <w:pPr>
              <w:ind w:right="-109"/>
              <w:jc w:val="center"/>
              <w:rPr>
                <w:rFonts w:ascii="Arial" w:hAnsi="Arial" w:cs="Arial"/>
                <w:b/>
                <w:sz w:val="22"/>
                <w:szCs w:val="22"/>
                <w:lang w:val="es-MX"/>
              </w:rPr>
            </w:pPr>
            <w:r w:rsidRPr="005A7871">
              <w:rPr>
                <w:rFonts w:ascii="Arial" w:hAnsi="Arial" w:cs="Arial"/>
                <w:b/>
                <w:sz w:val="22"/>
                <w:szCs w:val="22"/>
                <w:lang w:val="es-MX"/>
              </w:rPr>
              <w:t>N°</w:t>
            </w:r>
          </w:p>
        </w:tc>
        <w:tc>
          <w:tcPr>
            <w:tcW w:w="9400" w:type="dxa"/>
          </w:tcPr>
          <w:p w14:paraId="7F9FB5EF"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RECOMENDACIONES</w:t>
            </w:r>
          </w:p>
          <w:p w14:paraId="2D139BFE" w14:textId="77777777" w:rsidR="00561B22" w:rsidRPr="005A7871" w:rsidRDefault="00561B22" w:rsidP="00F1223B">
            <w:pPr>
              <w:jc w:val="center"/>
              <w:rPr>
                <w:rFonts w:ascii="Arial" w:hAnsi="Arial" w:cs="Arial"/>
                <w:b/>
                <w:sz w:val="22"/>
                <w:szCs w:val="22"/>
                <w:lang w:val="es-MX"/>
              </w:rPr>
            </w:pPr>
          </w:p>
        </w:tc>
      </w:tr>
      <w:tr w:rsidR="00561B22" w:rsidRPr="005A7871" w14:paraId="2AFF3B7E" w14:textId="77777777" w:rsidTr="00F1223B">
        <w:tc>
          <w:tcPr>
            <w:tcW w:w="562" w:type="dxa"/>
          </w:tcPr>
          <w:p w14:paraId="0DCF62D5"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1</w:t>
            </w:r>
          </w:p>
        </w:tc>
        <w:tc>
          <w:tcPr>
            <w:tcW w:w="9400" w:type="dxa"/>
          </w:tcPr>
          <w:p w14:paraId="680F38B4"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Fortalecer los controles y/o acciones identificadas al proceso y realizar las acciones que permitan identificar y gestionar los demás posibles riegos que afecten el proceso contable, de acuerdo con lo establecido por el Procedimiento para la Evaluación del Control Interno Contable.</w:t>
            </w:r>
          </w:p>
        </w:tc>
      </w:tr>
      <w:tr w:rsidR="00561B22" w:rsidRPr="005A7871" w14:paraId="384027C1" w14:textId="77777777" w:rsidTr="00F1223B">
        <w:tc>
          <w:tcPr>
            <w:tcW w:w="562" w:type="dxa"/>
          </w:tcPr>
          <w:p w14:paraId="1C9A0C0B" w14:textId="77777777" w:rsidR="00561B22" w:rsidRPr="005A7871" w:rsidRDefault="00561B22" w:rsidP="00F1223B">
            <w:pPr>
              <w:jc w:val="center"/>
              <w:rPr>
                <w:rFonts w:ascii="Arial" w:hAnsi="Arial" w:cs="Arial"/>
                <w:b/>
                <w:sz w:val="22"/>
                <w:szCs w:val="22"/>
                <w:lang w:val="es-MX"/>
              </w:rPr>
            </w:pPr>
            <w:r w:rsidRPr="005A7871">
              <w:rPr>
                <w:rFonts w:ascii="Arial" w:hAnsi="Arial" w:cs="Arial"/>
                <w:b/>
                <w:sz w:val="22"/>
                <w:szCs w:val="22"/>
                <w:lang w:val="es-MX"/>
              </w:rPr>
              <w:t>2</w:t>
            </w:r>
          </w:p>
        </w:tc>
        <w:tc>
          <w:tcPr>
            <w:tcW w:w="9400" w:type="dxa"/>
          </w:tcPr>
          <w:p w14:paraId="5CCCCF78" w14:textId="77777777" w:rsidR="00561B22" w:rsidRPr="005A7871" w:rsidRDefault="00561B22" w:rsidP="00F1223B">
            <w:pPr>
              <w:jc w:val="both"/>
              <w:rPr>
                <w:rFonts w:ascii="Arial" w:hAnsi="Arial" w:cs="Arial"/>
                <w:bCs/>
                <w:sz w:val="22"/>
                <w:szCs w:val="22"/>
                <w:lang w:val="es-MX"/>
              </w:rPr>
            </w:pPr>
            <w:r w:rsidRPr="005A7871">
              <w:rPr>
                <w:rFonts w:ascii="Arial" w:hAnsi="Arial" w:cs="Arial"/>
                <w:bCs/>
                <w:sz w:val="22"/>
                <w:szCs w:val="22"/>
                <w:lang w:val="es-MX"/>
              </w:rPr>
              <w:t>Incorporar en los documentos Política de Operación Contable y Manual de Políticas Contables del MinCIT el versionamiento y fecha, al igual que el en el Sistema de Gestión-MIO.</w:t>
            </w:r>
          </w:p>
        </w:tc>
      </w:tr>
    </w:tbl>
    <w:p w14:paraId="1041E5F1" w14:textId="77777777" w:rsidR="00561B22" w:rsidRPr="005A7871" w:rsidRDefault="00561B22" w:rsidP="00561B22">
      <w:pPr>
        <w:pStyle w:val="Textoindependiente"/>
        <w:ind w:right="-50"/>
        <w:jc w:val="both"/>
        <w:rPr>
          <w:rFonts w:ascii="Arial" w:hAnsi="Arial" w:cs="Arial"/>
          <w:b/>
          <w:bCs/>
          <w:sz w:val="28"/>
          <w:szCs w:val="28"/>
        </w:rPr>
      </w:pPr>
    </w:p>
    <w:p w14:paraId="4B1F0553" w14:textId="77777777" w:rsidR="00561B22" w:rsidRPr="005A7871" w:rsidRDefault="00561B22" w:rsidP="00561B22">
      <w:pPr>
        <w:jc w:val="both"/>
        <w:rPr>
          <w:rFonts w:ascii="Arial" w:hAnsi="Arial" w:cs="Arial"/>
          <w:b/>
          <w:bCs/>
          <w:sz w:val="24"/>
          <w:szCs w:val="24"/>
          <w:lang w:val="es-CO"/>
        </w:rPr>
      </w:pPr>
      <w:r w:rsidRPr="005A7871">
        <w:rPr>
          <w:rFonts w:ascii="Arial" w:hAnsi="Arial" w:cs="Arial"/>
          <w:b/>
          <w:bCs/>
          <w:sz w:val="24"/>
          <w:szCs w:val="24"/>
          <w:lang w:val="es-CO"/>
        </w:rPr>
        <w:t xml:space="preserve">NOTA: LA ENTIDAD ENVÍA LA MATRIZ DE AUTOEVALUACIÓN DEL SISTEMA DE CONTROL INTERNO CONTABLE CON ACTIVIDADES DE CONTROL REALIZADAS </w:t>
      </w:r>
      <w:r w:rsidRPr="005A7871">
        <w:rPr>
          <w:rFonts w:ascii="Arial" w:hAnsi="Arial" w:cs="Arial"/>
          <w:b/>
          <w:bCs/>
          <w:sz w:val="24"/>
          <w:szCs w:val="24"/>
          <w:u w:val="single"/>
          <w:lang w:val="es-CO"/>
        </w:rPr>
        <w:t>EN FORMA PARCIAL Y OTRAS SIMPLEMENTE INFORMAN QUE NO SE REALIZARON</w:t>
      </w:r>
      <w:r w:rsidRPr="005A7871">
        <w:rPr>
          <w:rFonts w:ascii="Arial" w:hAnsi="Arial" w:cs="Arial"/>
          <w:b/>
          <w:bCs/>
          <w:sz w:val="24"/>
          <w:szCs w:val="24"/>
          <w:lang w:val="es-CO"/>
        </w:rPr>
        <w:t>.</w:t>
      </w:r>
    </w:p>
    <w:p w14:paraId="001C1287" w14:textId="77777777" w:rsidR="00561B22" w:rsidRDefault="00561B22" w:rsidP="00561B22">
      <w:pPr>
        <w:jc w:val="both"/>
        <w:rPr>
          <w:rFonts w:ascii="Arial" w:hAnsi="Arial" w:cs="Arial"/>
          <w:b/>
          <w:sz w:val="28"/>
          <w:szCs w:val="28"/>
          <w:lang w:val="es-CO"/>
        </w:rPr>
      </w:pPr>
    </w:p>
    <w:p w14:paraId="4FFF828F" w14:textId="77777777" w:rsidR="00561B22" w:rsidRPr="005854F7" w:rsidRDefault="00561B22" w:rsidP="00561B22">
      <w:pPr>
        <w:jc w:val="both"/>
        <w:rPr>
          <w:rFonts w:ascii="Arial" w:hAnsi="Arial" w:cs="Arial"/>
          <w:b/>
          <w:sz w:val="28"/>
          <w:szCs w:val="28"/>
          <w:lang w:val="es-MX"/>
        </w:rPr>
      </w:pPr>
      <w:r w:rsidRPr="005854F7">
        <w:rPr>
          <w:rFonts w:ascii="Arial" w:hAnsi="Arial" w:cs="Arial"/>
          <w:b/>
          <w:sz w:val="28"/>
          <w:szCs w:val="28"/>
          <w:lang w:val="es-MX"/>
        </w:rPr>
        <w:t xml:space="preserve">251.- </w:t>
      </w:r>
      <w:r w:rsidRPr="005854F7">
        <w:rPr>
          <w:rFonts w:ascii="Arial" w:hAnsi="Arial" w:cs="Arial"/>
          <w:b/>
          <w:sz w:val="28"/>
          <w:szCs w:val="28"/>
        </w:rPr>
        <w:t>FIDEICOMISO FONDO NACIONAL DE SALUD PPL 2023 EN LIQUIDACIÓN – FIDUCIARIA CENTRAL S.A.</w:t>
      </w:r>
    </w:p>
    <w:p w14:paraId="184086AA" w14:textId="77777777" w:rsidR="00561B22" w:rsidRDefault="00561B22" w:rsidP="00561B22">
      <w:pPr>
        <w:ind w:right="1900"/>
        <w:rPr>
          <w:b/>
          <w:color w:val="FF0000"/>
          <w:sz w:val="24"/>
        </w:rPr>
      </w:pPr>
    </w:p>
    <w:p w14:paraId="7E7ADA08" w14:textId="77777777" w:rsidR="00561B22" w:rsidRPr="0071602A" w:rsidRDefault="00561B22" w:rsidP="00561B22">
      <w:pPr>
        <w:pStyle w:val="Textoindependiente"/>
        <w:ind w:right="-50"/>
        <w:jc w:val="center"/>
        <w:rPr>
          <w:rFonts w:ascii="Arial" w:hAnsi="Arial" w:cs="Arial"/>
          <w:b/>
          <w:bCs/>
        </w:rPr>
      </w:pPr>
      <w:r w:rsidRPr="0071602A">
        <w:rPr>
          <w:rFonts w:ascii="Arial" w:hAnsi="Arial" w:cs="Arial"/>
          <w:b/>
          <w:bCs/>
        </w:rPr>
        <w:t>INFORME DE LA AUTOCALIFICACIÓN DEL SISTEMA DE CONTROL INTERNO CONTABLE:</w:t>
      </w:r>
    </w:p>
    <w:p w14:paraId="4A0B608A" w14:textId="77777777" w:rsidR="00561B22" w:rsidRPr="0071602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1602A" w14:paraId="68D5CC8F" w14:textId="77777777" w:rsidTr="00F1223B">
        <w:tc>
          <w:tcPr>
            <w:tcW w:w="4981" w:type="dxa"/>
          </w:tcPr>
          <w:p w14:paraId="31835CE2"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AUTOCALIFICACIÓN</w:t>
            </w:r>
          </w:p>
        </w:tc>
        <w:tc>
          <w:tcPr>
            <w:tcW w:w="4981" w:type="dxa"/>
          </w:tcPr>
          <w:p w14:paraId="178F2046" w14:textId="77777777" w:rsidR="00561B22" w:rsidRPr="0071602A" w:rsidRDefault="00561B22" w:rsidP="00F1223B">
            <w:pPr>
              <w:jc w:val="center"/>
              <w:rPr>
                <w:rFonts w:ascii="Arial" w:hAnsi="Arial" w:cs="Arial"/>
                <w:b/>
                <w:sz w:val="22"/>
                <w:szCs w:val="22"/>
                <w:u w:val="single"/>
                <w:lang w:val="es-MX"/>
              </w:rPr>
            </w:pPr>
            <w:r w:rsidRPr="0071602A">
              <w:rPr>
                <w:rFonts w:ascii="Arial" w:hAnsi="Arial" w:cs="Arial"/>
                <w:b/>
                <w:sz w:val="22"/>
                <w:szCs w:val="22"/>
                <w:u w:val="single"/>
                <w:lang w:val="es-MX"/>
              </w:rPr>
              <w:t>4.44</w:t>
            </w:r>
          </w:p>
        </w:tc>
      </w:tr>
    </w:tbl>
    <w:p w14:paraId="6D156D74" w14:textId="77777777" w:rsidR="00561B22" w:rsidRPr="0071602A" w:rsidRDefault="00561B22" w:rsidP="00561B22">
      <w:pPr>
        <w:pStyle w:val="Textoindependiente"/>
        <w:ind w:right="-50"/>
        <w:jc w:val="both"/>
        <w:rPr>
          <w:rFonts w:ascii="Arial" w:hAnsi="Arial" w:cs="Arial"/>
          <w:b/>
          <w:bCs/>
        </w:rPr>
      </w:pPr>
    </w:p>
    <w:p w14:paraId="6A14DD5F" w14:textId="77777777" w:rsidR="00561B22" w:rsidRPr="0071602A" w:rsidRDefault="00561B22" w:rsidP="00561B22">
      <w:pPr>
        <w:pStyle w:val="Textoindependiente"/>
        <w:ind w:right="-50"/>
        <w:jc w:val="both"/>
        <w:rPr>
          <w:rFonts w:ascii="Arial" w:hAnsi="Arial" w:cs="Arial"/>
          <w:b/>
          <w:bCs/>
        </w:rPr>
      </w:pPr>
      <w:r w:rsidRPr="0071602A">
        <w:rPr>
          <w:rFonts w:ascii="Arial" w:hAnsi="Arial" w:cs="Arial"/>
          <w:b/>
          <w:bCs/>
        </w:rPr>
        <w:t>Del informe enviado retomamos lo siguiente:</w:t>
      </w:r>
    </w:p>
    <w:p w14:paraId="3D7D6472" w14:textId="77777777" w:rsidR="00561B22" w:rsidRPr="0071602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1602A" w14:paraId="10059245" w14:textId="77777777" w:rsidTr="00F1223B">
        <w:tc>
          <w:tcPr>
            <w:tcW w:w="562" w:type="dxa"/>
          </w:tcPr>
          <w:p w14:paraId="0E834894" w14:textId="77777777" w:rsidR="00561B22" w:rsidRPr="0071602A" w:rsidRDefault="00561B22" w:rsidP="00F1223B">
            <w:pPr>
              <w:ind w:right="-109"/>
              <w:jc w:val="center"/>
              <w:rPr>
                <w:rFonts w:ascii="Arial" w:hAnsi="Arial" w:cs="Arial"/>
                <w:b/>
                <w:sz w:val="22"/>
                <w:szCs w:val="22"/>
                <w:lang w:val="es-MX"/>
              </w:rPr>
            </w:pPr>
            <w:r w:rsidRPr="0071602A">
              <w:rPr>
                <w:rFonts w:ascii="Arial" w:hAnsi="Arial" w:cs="Arial"/>
                <w:b/>
                <w:sz w:val="22"/>
                <w:szCs w:val="22"/>
                <w:lang w:val="es-MX"/>
              </w:rPr>
              <w:t>N°</w:t>
            </w:r>
          </w:p>
        </w:tc>
        <w:tc>
          <w:tcPr>
            <w:tcW w:w="9400" w:type="dxa"/>
          </w:tcPr>
          <w:p w14:paraId="5D83FD1A"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DEBILIDADES</w:t>
            </w:r>
          </w:p>
          <w:p w14:paraId="2B91B626" w14:textId="77777777" w:rsidR="00561B22" w:rsidRPr="0071602A" w:rsidRDefault="00561B22" w:rsidP="00F1223B">
            <w:pPr>
              <w:jc w:val="center"/>
              <w:rPr>
                <w:rFonts w:ascii="Arial" w:hAnsi="Arial" w:cs="Arial"/>
                <w:b/>
                <w:sz w:val="22"/>
                <w:szCs w:val="22"/>
                <w:lang w:val="es-MX"/>
              </w:rPr>
            </w:pPr>
          </w:p>
        </w:tc>
      </w:tr>
      <w:tr w:rsidR="00561B22" w:rsidRPr="0071602A" w14:paraId="1CCFB490" w14:textId="77777777" w:rsidTr="00F1223B">
        <w:tc>
          <w:tcPr>
            <w:tcW w:w="562" w:type="dxa"/>
          </w:tcPr>
          <w:p w14:paraId="40C918F7"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1</w:t>
            </w:r>
          </w:p>
        </w:tc>
        <w:tc>
          <w:tcPr>
            <w:tcW w:w="9400" w:type="dxa"/>
          </w:tcPr>
          <w:p w14:paraId="7DCF8289"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 xml:space="preserve">Respecto al orden cronológico en la generación de comprobantes contables. </w:t>
            </w:r>
          </w:p>
        </w:tc>
      </w:tr>
      <w:tr w:rsidR="00561B22" w:rsidRPr="0071602A" w14:paraId="73A5792A" w14:textId="77777777" w:rsidTr="00F1223B">
        <w:tc>
          <w:tcPr>
            <w:tcW w:w="562" w:type="dxa"/>
          </w:tcPr>
          <w:p w14:paraId="674EB647"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2</w:t>
            </w:r>
          </w:p>
        </w:tc>
        <w:tc>
          <w:tcPr>
            <w:tcW w:w="9400" w:type="dxa"/>
          </w:tcPr>
          <w:p w14:paraId="51B3A3F3"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 xml:space="preserve">Fortalecer las medidas de autocontrol en busca del mejoramiento continuo del proceso contable. </w:t>
            </w:r>
          </w:p>
        </w:tc>
      </w:tr>
      <w:tr w:rsidR="00561B22" w:rsidRPr="0071602A" w14:paraId="6C91EDE9" w14:textId="77777777" w:rsidTr="00F1223B">
        <w:tc>
          <w:tcPr>
            <w:tcW w:w="562" w:type="dxa"/>
          </w:tcPr>
          <w:p w14:paraId="2E2642EF"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3</w:t>
            </w:r>
          </w:p>
        </w:tc>
        <w:tc>
          <w:tcPr>
            <w:tcW w:w="9400" w:type="dxa"/>
          </w:tcPr>
          <w:p w14:paraId="0CE29C46"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La ejecución de las acciones de mejora tendientes a fortalecer el Sistema</w:t>
            </w:r>
          </w:p>
        </w:tc>
      </w:tr>
      <w:tr w:rsidR="00561B22" w:rsidRPr="0071602A" w14:paraId="4981CA08" w14:textId="77777777" w:rsidTr="00F1223B">
        <w:tc>
          <w:tcPr>
            <w:tcW w:w="562" w:type="dxa"/>
          </w:tcPr>
          <w:p w14:paraId="35610499"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4</w:t>
            </w:r>
          </w:p>
        </w:tc>
        <w:tc>
          <w:tcPr>
            <w:tcW w:w="9400" w:type="dxa"/>
          </w:tcPr>
          <w:p w14:paraId="65FA2C49"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Documentar los procedimientos para la liquidación del Fondo PPL.</w:t>
            </w:r>
          </w:p>
        </w:tc>
      </w:tr>
      <w:tr w:rsidR="00561B22" w:rsidRPr="0071602A" w14:paraId="181D5556" w14:textId="77777777" w:rsidTr="00F1223B">
        <w:tc>
          <w:tcPr>
            <w:tcW w:w="562" w:type="dxa"/>
          </w:tcPr>
          <w:p w14:paraId="133062C3"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5</w:t>
            </w:r>
          </w:p>
        </w:tc>
        <w:tc>
          <w:tcPr>
            <w:tcW w:w="9400" w:type="dxa"/>
          </w:tcPr>
          <w:p w14:paraId="42497BC0"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 xml:space="preserve">Oportunidad de mejora en la documentar de los procedimientos para realizar el seguimiento al </w:t>
            </w:r>
            <w:r w:rsidRPr="0071602A">
              <w:rPr>
                <w:rFonts w:ascii="Arial" w:hAnsi="Arial" w:cs="Arial"/>
                <w:bCs/>
                <w:sz w:val="22"/>
                <w:szCs w:val="22"/>
                <w:lang w:val="es-MX"/>
              </w:rPr>
              <w:lastRenderedPageBreak/>
              <w:t>cumplimiento de los planes de mejoramiento derivados de los hallazgos de la auditoría externa.</w:t>
            </w:r>
          </w:p>
        </w:tc>
      </w:tr>
      <w:tr w:rsidR="00561B22" w:rsidRPr="0071602A" w14:paraId="376EEECD" w14:textId="77777777" w:rsidTr="00F1223B">
        <w:tc>
          <w:tcPr>
            <w:tcW w:w="562" w:type="dxa"/>
          </w:tcPr>
          <w:p w14:paraId="385F7CE4"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lastRenderedPageBreak/>
              <w:t>6</w:t>
            </w:r>
          </w:p>
        </w:tc>
        <w:tc>
          <w:tcPr>
            <w:tcW w:w="9400" w:type="dxa"/>
          </w:tcPr>
          <w:p w14:paraId="4246F698"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el proceso de divulgación de políticas contables.</w:t>
            </w:r>
          </w:p>
        </w:tc>
      </w:tr>
      <w:tr w:rsidR="00561B22" w:rsidRPr="0071602A" w14:paraId="4448F2E5" w14:textId="77777777" w:rsidTr="00F1223B">
        <w:tc>
          <w:tcPr>
            <w:tcW w:w="562" w:type="dxa"/>
          </w:tcPr>
          <w:p w14:paraId="35CBF030"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7</w:t>
            </w:r>
          </w:p>
        </w:tc>
        <w:tc>
          <w:tcPr>
            <w:tcW w:w="9400" w:type="dxa"/>
          </w:tcPr>
          <w:p w14:paraId="6BCA2060"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el proceso de revisión, aprobación y soporte de los comprobantes contables.</w:t>
            </w:r>
          </w:p>
        </w:tc>
      </w:tr>
      <w:tr w:rsidR="00561B22" w:rsidRPr="0071602A" w14:paraId="5560A915" w14:textId="77777777" w:rsidTr="00F1223B">
        <w:tc>
          <w:tcPr>
            <w:tcW w:w="562" w:type="dxa"/>
          </w:tcPr>
          <w:p w14:paraId="3D9B03F2"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8</w:t>
            </w:r>
          </w:p>
        </w:tc>
        <w:tc>
          <w:tcPr>
            <w:tcW w:w="9400" w:type="dxa"/>
          </w:tcPr>
          <w:p w14:paraId="7EF34310"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Oportunidad de mejora en el proceso de capacitación de los empleados que ejecutan actividades contables, que apunten al mejoramiento de competencias y habilidades.</w:t>
            </w:r>
          </w:p>
        </w:tc>
      </w:tr>
      <w:tr w:rsidR="00561B22" w:rsidRPr="0071602A" w14:paraId="100320A3" w14:textId="77777777" w:rsidTr="00F1223B">
        <w:tc>
          <w:tcPr>
            <w:tcW w:w="562" w:type="dxa"/>
          </w:tcPr>
          <w:p w14:paraId="78437699"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9</w:t>
            </w:r>
          </w:p>
        </w:tc>
        <w:tc>
          <w:tcPr>
            <w:tcW w:w="9400" w:type="dxa"/>
          </w:tcPr>
          <w:p w14:paraId="4F29C1F8"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 xml:space="preserve">Oportunidad de mejora en la implementación de acciones para garantizar el reporte oportuno de los reportes a entes de control.  </w:t>
            </w:r>
          </w:p>
        </w:tc>
      </w:tr>
      <w:tr w:rsidR="00561B22" w:rsidRPr="0071602A" w14:paraId="63C35775" w14:textId="77777777" w:rsidTr="00F1223B">
        <w:tc>
          <w:tcPr>
            <w:tcW w:w="562" w:type="dxa"/>
          </w:tcPr>
          <w:p w14:paraId="6307C303"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10</w:t>
            </w:r>
          </w:p>
        </w:tc>
        <w:tc>
          <w:tcPr>
            <w:tcW w:w="9400" w:type="dxa"/>
          </w:tcPr>
          <w:p w14:paraId="3BD133F7"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los procesos de capacitación y socialización en temas procedimentales del área y que apunten al mejoramiento de competencias y habilidades.</w:t>
            </w:r>
          </w:p>
        </w:tc>
      </w:tr>
      <w:tr w:rsidR="00561B22" w:rsidRPr="0071602A" w14:paraId="6ABB6EF7" w14:textId="77777777" w:rsidTr="00F1223B">
        <w:tc>
          <w:tcPr>
            <w:tcW w:w="562" w:type="dxa"/>
          </w:tcPr>
          <w:p w14:paraId="57FEFD57"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11</w:t>
            </w:r>
          </w:p>
        </w:tc>
        <w:tc>
          <w:tcPr>
            <w:tcW w:w="9400" w:type="dxa"/>
          </w:tcPr>
          <w:p w14:paraId="6C49EAA3"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En las políticas no se ha determinado la instancia aprobatoria de la baja de activos fijos.</w:t>
            </w:r>
          </w:p>
        </w:tc>
      </w:tr>
    </w:tbl>
    <w:p w14:paraId="339CEE65" w14:textId="77777777" w:rsidR="00561B22" w:rsidRPr="0071602A" w:rsidRDefault="00561B22" w:rsidP="00561B22">
      <w:pPr>
        <w:pStyle w:val="Textoindependiente"/>
        <w:ind w:right="-50"/>
        <w:jc w:val="both"/>
        <w:rPr>
          <w:rFonts w:ascii="Arial" w:hAnsi="Arial" w:cs="Arial"/>
          <w:b/>
          <w:bCs/>
        </w:rPr>
      </w:pPr>
    </w:p>
    <w:p w14:paraId="26726B6A" w14:textId="77777777" w:rsidR="00561B22" w:rsidRPr="0071602A" w:rsidRDefault="00561B22" w:rsidP="00561B22">
      <w:pPr>
        <w:jc w:val="both"/>
        <w:rPr>
          <w:rFonts w:ascii="Arial" w:hAnsi="Arial" w:cs="Arial"/>
          <w:b/>
          <w:lang w:val="es-MX"/>
        </w:rPr>
      </w:pPr>
      <w:r w:rsidRPr="0071602A">
        <w:rPr>
          <w:rFonts w:ascii="Arial" w:hAnsi="Arial" w:cs="Arial"/>
          <w:b/>
          <w:lang w:val="es-MX"/>
        </w:rPr>
        <w:t>Del citado informe retomamos las siguientes recomendaciones:</w:t>
      </w:r>
    </w:p>
    <w:p w14:paraId="0E8F895E" w14:textId="77777777" w:rsidR="00561B22" w:rsidRPr="0071602A"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71602A" w14:paraId="03E908CE" w14:textId="77777777" w:rsidTr="00F1223B">
        <w:tc>
          <w:tcPr>
            <w:tcW w:w="562" w:type="dxa"/>
          </w:tcPr>
          <w:p w14:paraId="3395960B" w14:textId="77777777" w:rsidR="00561B22" w:rsidRPr="0071602A" w:rsidRDefault="00561B22" w:rsidP="00F1223B">
            <w:pPr>
              <w:ind w:right="-109"/>
              <w:jc w:val="center"/>
              <w:rPr>
                <w:rFonts w:ascii="Arial" w:hAnsi="Arial" w:cs="Arial"/>
                <w:b/>
                <w:sz w:val="22"/>
                <w:szCs w:val="22"/>
                <w:lang w:val="es-MX"/>
              </w:rPr>
            </w:pPr>
            <w:r w:rsidRPr="0071602A">
              <w:rPr>
                <w:rFonts w:ascii="Arial" w:hAnsi="Arial" w:cs="Arial"/>
                <w:b/>
                <w:sz w:val="22"/>
                <w:szCs w:val="22"/>
                <w:lang w:val="es-MX"/>
              </w:rPr>
              <w:t>N°</w:t>
            </w:r>
          </w:p>
        </w:tc>
        <w:tc>
          <w:tcPr>
            <w:tcW w:w="9400" w:type="dxa"/>
          </w:tcPr>
          <w:p w14:paraId="0CA9F4FF"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RECOMENDACIONES</w:t>
            </w:r>
          </w:p>
          <w:p w14:paraId="6F289BAC" w14:textId="77777777" w:rsidR="00561B22" w:rsidRPr="0071602A" w:rsidRDefault="00561B22" w:rsidP="00F1223B">
            <w:pPr>
              <w:jc w:val="center"/>
              <w:rPr>
                <w:rFonts w:ascii="Arial" w:hAnsi="Arial" w:cs="Arial"/>
                <w:b/>
                <w:sz w:val="22"/>
                <w:szCs w:val="22"/>
                <w:lang w:val="es-MX"/>
              </w:rPr>
            </w:pPr>
          </w:p>
        </w:tc>
      </w:tr>
      <w:tr w:rsidR="00561B22" w:rsidRPr="0071602A" w14:paraId="59BCAF0D" w14:textId="77777777" w:rsidTr="00F1223B">
        <w:tc>
          <w:tcPr>
            <w:tcW w:w="562" w:type="dxa"/>
          </w:tcPr>
          <w:p w14:paraId="1E0368EE"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1</w:t>
            </w:r>
          </w:p>
        </w:tc>
        <w:tc>
          <w:tcPr>
            <w:tcW w:w="9400" w:type="dxa"/>
          </w:tcPr>
          <w:p w14:paraId="03DD3EBE"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 xml:space="preserve">Documentar políticas contables para el proceso de liquidación de negocios. </w:t>
            </w:r>
          </w:p>
        </w:tc>
      </w:tr>
      <w:tr w:rsidR="00561B22" w:rsidRPr="0071602A" w14:paraId="0A1A4EC7" w14:textId="77777777" w:rsidTr="00F1223B">
        <w:tc>
          <w:tcPr>
            <w:tcW w:w="562" w:type="dxa"/>
          </w:tcPr>
          <w:p w14:paraId="3694701F"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2</w:t>
            </w:r>
          </w:p>
        </w:tc>
        <w:tc>
          <w:tcPr>
            <w:tcW w:w="9400" w:type="dxa"/>
          </w:tcPr>
          <w:p w14:paraId="779E2C66"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Implementar controles tendientes a garantizar la integridad de los comprobantes contables respecto al orden cronológico.</w:t>
            </w:r>
          </w:p>
        </w:tc>
      </w:tr>
      <w:tr w:rsidR="00561B22" w:rsidRPr="0071602A" w14:paraId="3B9AC36C" w14:textId="77777777" w:rsidTr="00F1223B">
        <w:tc>
          <w:tcPr>
            <w:tcW w:w="562" w:type="dxa"/>
          </w:tcPr>
          <w:p w14:paraId="2E4CD660"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3</w:t>
            </w:r>
          </w:p>
        </w:tc>
        <w:tc>
          <w:tcPr>
            <w:tcW w:w="9400" w:type="dxa"/>
          </w:tcPr>
          <w:p w14:paraId="54C8EF8C"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el proceso de autocontrol para garantizar que los controles implementados funcionen adecuadamente y cumplan con la mitigación del riesgo al cual se encuentran asociados.</w:t>
            </w:r>
          </w:p>
        </w:tc>
      </w:tr>
      <w:tr w:rsidR="00561B22" w:rsidRPr="0071602A" w14:paraId="340B451F" w14:textId="77777777" w:rsidTr="00F1223B">
        <w:tc>
          <w:tcPr>
            <w:tcW w:w="562" w:type="dxa"/>
          </w:tcPr>
          <w:p w14:paraId="3B47DFD9"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4</w:t>
            </w:r>
          </w:p>
        </w:tc>
        <w:tc>
          <w:tcPr>
            <w:tcW w:w="9400" w:type="dxa"/>
          </w:tcPr>
          <w:p w14:paraId="4F636AF6"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la gestión de monitoreo de la eficacia de los controles implementados en el proceso contable.</w:t>
            </w:r>
          </w:p>
        </w:tc>
      </w:tr>
      <w:tr w:rsidR="00561B22" w:rsidRPr="0071602A" w14:paraId="4E2B91E0" w14:textId="77777777" w:rsidTr="00F1223B">
        <w:tc>
          <w:tcPr>
            <w:tcW w:w="562" w:type="dxa"/>
          </w:tcPr>
          <w:p w14:paraId="2F67835D"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5</w:t>
            </w:r>
          </w:p>
        </w:tc>
        <w:tc>
          <w:tcPr>
            <w:tcW w:w="9400" w:type="dxa"/>
          </w:tcPr>
          <w:p w14:paraId="31275D1B"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Documentar los procedimientos para realizar el seguimiento al cumplimiento de los planes de mejoramiento derivados de los hallazgos de la auditoría externa.</w:t>
            </w:r>
          </w:p>
        </w:tc>
      </w:tr>
      <w:tr w:rsidR="00561B22" w:rsidRPr="0071602A" w14:paraId="45D3070E" w14:textId="77777777" w:rsidTr="00F1223B">
        <w:tc>
          <w:tcPr>
            <w:tcW w:w="562" w:type="dxa"/>
          </w:tcPr>
          <w:p w14:paraId="788819A2"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6</w:t>
            </w:r>
          </w:p>
        </w:tc>
        <w:tc>
          <w:tcPr>
            <w:tcW w:w="9400" w:type="dxa"/>
          </w:tcPr>
          <w:p w14:paraId="184C6533"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Determinar la instancia aprobatoria de la baja de activos fijos.</w:t>
            </w:r>
          </w:p>
        </w:tc>
      </w:tr>
      <w:tr w:rsidR="00561B22" w:rsidRPr="0071602A" w14:paraId="34680B59" w14:textId="77777777" w:rsidTr="00F1223B">
        <w:tc>
          <w:tcPr>
            <w:tcW w:w="562" w:type="dxa"/>
          </w:tcPr>
          <w:p w14:paraId="4BC28066"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7</w:t>
            </w:r>
          </w:p>
        </w:tc>
        <w:tc>
          <w:tcPr>
            <w:tcW w:w="9400" w:type="dxa"/>
          </w:tcPr>
          <w:p w14:paraId="7FC49A80"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el proceso de revisión y aprobación de los comprobantes contables.</w:t>
            </w:r>
          </w:p>
        </w:tc>
      </w:tr>
      <w:tr w:rsidR="00561B22" w:rsidRPr="0071602A" w14:paraId="4AB6091C" w14:textId="77777777" w:rsidTr="00F1223B">
        <w:tc>
          <w:tcPr>
            <w:tcW w:w="562" w:type="dxa"/>
          </w:tcPr>
          <w:p w14:paraId="16883013"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8</w:t>
            </w:r>
          </w:p>
        </w:tc>
        <w:tc>
          <w:tcPr>
            <w:tcW w:w="9400" w:type="dxa"/>
          </w:tcPr>
          <w:p w14:paraId="01A8FB1C"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Implementar acciones para garantizar el reporte oportuno de los reportes a entes de control.</w:t>
            </w:r>
          </w:p>
        </w:tc>
      </w:tr>
      <w:tr w:rsidR="00561B22" w:rsidRPr="0071602A" w14:paraId="5E7EDFD4" w14:textId="77777777" w:rsidTr="00F1223B">
        <w:tc>
          <w:tcPr>
            <w:tcW w:w="562" w:type="dxa"/>
          </w:tcPr>
          <w:p w14:paraId="448849E5" w14:textId="77777777" w:rsidR="00561B22" w:rsidRPr="0071602A" w:rsidRDefault="00561B22" w:rsidP="00F1223B">
            <w:pPr>
              <w:jc w:val="center"/>
              <w:rPr>
                <w:rFonts w:ascii="Arial" w:hAnsi="Arial" w:cs="Arial"/>
                <w:b/>
                <w:sz w:val="22"/>
                <w:szCs w:val="22"/>
                <w:lang w:val="es-MX"/>
              </w:rPr>
            </w:pPr>
            <w:r w:rsidRPr="0071602A">
              <w:rPr>
                <w:rFonts w:ascii="Arial" w:hAnsi="Arial" w:cs="Arial"/>
                <w:b/>
                <w:sz w:val="22"/>
                <w:szCs w:val="22"/>
                <w:lang w:val="es-MX"/>
              </w:rPr>
              <w:t>9</w:t>
            </w:r>
          </w:p>
        </w:tc>
        <w:tc>
          <w:tcPr>
            <w:tcW w:w="9400" w:type="dxa"/>
          </w:tcPr>
          <w:p w14:paraId="3B87A983" w14:textId="77777777" w:rsidR="00561B22" w:rsidRPr="0071602A" w:rsidRDefault="00561B22" w:rsidP="00F1223B">
            <w:pPr>
              <w:jc w:val="both"/>
              <w:rPr>
                <w:rFonts w:ascii="Arial" w:hAnsi="Arial" w:cs="Arial"/>
                <w:bCs/>
                <w:sz w:val="22"/>
                <w:szCs w:val="22"/>
                <w:lang w:val="es-MX"/>
              </w:rPr>
            </w:pPr>
            <w:r w:rsidRPr="0071602A">
              <w:rPr>
                <w:rFonts w:ascii="Arial" w:hAnsi="Arial" w:cs="Arial"/>
                <w:bCs/>
                <w:sz w:val="22"/>
                <w:szCs w:val="22"/>
                <w:lang w:val="es-MX"/>
              </w:rPr>
              <w:t>Fortalecer el proceso de capacitación de los empleados que ejecutan actividades contables, que apunten al mejoramiento de competencias y habilidades.</w:t>
            </w:r>
          </w:p>
        </w:tc>
      </w:tr>
    </w:tbl>
    <w:p w14:paraId="445DAEAB" w14:textId="77777777" w:rsidR="00561B22" w:rsidRPr="0071602A" w:rsidRDefault="00561B22" w:rsidP="00561B22">
      <w:pPr>
        <w:pStyle w:val="Textoindependiente"/>
        <w:ind w:right="-50"/>
        <w:jc w:val="both"/>
        <w:rPr>
          <w:rFonts w:ascii="Arial" w:hAnsi="Arial" w:cs="Arial"/>
          <w:b/>
          <w:bCs/>
        </w:rPr>
      </w:pPr>
    </w:p>
    <w:p w14:paraId="5902AA1D" w14:textId="77777777" w:rsidR="00561B22" w:rsidRPr="0071602A" w:rsidRDefault="00561B22" w:rsidP="00561B22">
      <w:pPr>
        <w:jc w:val="both"/>
        <w:rPr>
          <w:rFonts w:ascii="Arial" w:hAnsi="Arial" w:cs="Arial"/>
          <w:b/>
          <w:bCs/>
          <w:sz w:val="24"/>
          <w:szCs w:val="24"/>
          <w:lang w:val="es-CO"/>
        </w:rPr>
      </w:pPr>
      <w:r w:rsidRPr="0071602A">
        <w:rPr>
          <w:rFonts w:ascii="Arial" w:hAnsi="Arial" w:cs="Arial"/>
          <w:b/>
          <w:bCs/>
          <w:sz w:val="24"/>
          <w:szCs w:val="24"/>
          <w:lang w:val="es-CO"/>
        </w:rPr>
        <w:t xml:space="preserve">NOTA: LA ENTIDAD ENVÍA LA MATRIZ DE AUTOEVALUACIÓN DEL SISTEMA DE CONTROL INTERNO CONTABLE CON </w:t>
      </w:r>
      <w:r w:rsidRPr="0071602A">
        <w:rPr>
          <w:rFonts w:ascii="Arial" w:hAnsi="Arial" w:cs="Arial"/>
          <w:b/>
          <w:bCs/>
          <w:sz w:val="24"/>
          <w:szCs w:val="24"/>
          <w:u w:val="single"/>
          <w:lang w:val="es-CO"/>
        </w:rPr>
        <w:t>ACTIVIDADES DE CONTROL REALIZADAS EN FORMA PARCIAL</w:t>
      </w:r>
      <w:r w:rsidRPr="0071602A">
        <w:rPr>
          <w:rFonts w:ascii="Arial" w:hAnsi="Arial" w:cs="Arial"/>
          <w:b/>
          <w:bCs/>
          <w:sz w:val="24"/>
          <w:szCs w:val="24"/>
          <w:lang w:val="es-CO"/>
        </w:rPr>
        <w:t>.</w:t>
      </w:r>
    </w:p>
    <w:p w14:paraId="56450C20" w14:textId="77777777" w:rsidR="00561B22" w:rsidRPr="0071602A" w:rsidRDefault="00561B22" w:rsidP="00561B22">
      <w:pPr>
        <w:pStyle w:val="Textoindependiente"/>
        <w:ind w:right="-50"/>
        <w:jc w:val="both"/>
        <w:rPr>
          <w:rFonts w:ascii="Arial" w:hAnsi="Arial" w:cs="Arial"/>
          <w:b/>
          <w:bCs/>
          <w:sz w:val="28"/>
          <w:szCs w:val="28"/>
        </w:rPr>
      </w:pPr>
    </w:p>
    <w:p w14:paraId="31EF0F8D" w14:textId="77777777" w:rsidR="00561B22" w:rsidRPr="00693874" w:rsidRDefault="00561B22" w:rsidP="00561B22">
      <w:pPr>
        <w:jc w:val="both"/>
        <w:rPr>
          <w:rFonts w:ascii="Arial" w:hAnsi="Arial" w:cs="Arial"/>
          <w:b/>
          <w:sz w:val="28"/>
          <w:szCs w:val="28"/>
          <w:lang w:val="es-MX"/>
        </w:rPr>
      </w:pPr>
      <w:r w:rsidRPr="00693874">
        <w:rPr>
          <w:rFonts w:ascii="Arial" w:hAnsi="Arial" w:cs="Arial"/>
          <w:b/>
          <w:sz w:val="28"/>
          <w:szCs w:val="28"/>
          <w:lang w:val="es-MX"/>
        </w:rPr>
        <w:t>253.- UNIDAD PARA LA ATENCIÓN Y REPARACIÓN INTEGRAL A LAS VÍCTIMAS.</w:t>
      </w:r>
    </w:p>
    <w:p w14:paraId="3B346B97" w14:textId="77777777" w:rsidR="00561B22" w:rsidRDefault="00561B22" w:rsidP="00561B22">
      <w:pPr>
        <w:ind w:right="1900"/>
        <w:rPr>
          <w:rFonts w:ascii="Arial" w:hAnsi="Arial" w:cs="Arial"/>
          <w:b/>
          <w:color w:val="FF0000"/>
          <w:sz w:val="24"/>
          <w:lang w:val="es-MX"/>
        </w:rPr>
      </w:pPr>
    </w:p>
    <w:p w14:paraId="651051C0" w14:textId="77777777" w:rsidR="00561B22" w:rsidRPr="00693874" w:rsidRDefault="00561B22" w:rsidP="00561B22">
      <w:pPr>
        <w:pStyle w:val="Textoindependiente"/>
        <w:ind w:right="-50"/>
        <w:jc w:val="center"/>
        <w:rPr>
          <w:rFonts w:ascii="Arial" w:hAnsi="Arial" w:cs="Arial"/>
          <w:b/>
          <w:bCs/>
        </w:rPr>
      </w:pPr>
      <w:r w:rsidRPr="00693874">
        <w:rPr>
          <w:rFonts w:ascii="Arial" w:hAnsi="Arial" w:cs="Arial"/>
          <w:b/>
          <w:bCs/>
        </w:rPr>
        <w:t>INFORME DE LA AUTOCALIFICACIÓN DEL SISTEMA DE CONTROL INTERNO CONTABLE:</w:t>
      </w:r>
    </w:p>
    <w:p w14:paraId="3E1D210B" w14:textId="77777777" w:rsidR="00561B22" w:rsidRPr="0069387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93874" w14:paraId="376AFA0E" w14:textId="77777777" w:rsidTr="00F1223B">
        <w:tc>
          <w:tcPr>
            <w:tcW w:w="4981" w:type="dxa"/>
          </w:tcPr>
          <w:p w14:paraId="7E898B38"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AUTOCALIFICACIÓN</w:t>
            </w:r>
          </w:p>
        </w:tc>
        <w:tc>
          <w:tcPr>
            <w:tcW w:w="4981" w:type="dxa"/>
          </w:tcPr>
          <w:p w14:paraId="7DAED694" w14:textId="77777777" w:rsidR="00561B22" w:rsidRPr="00693874" w:rsidRDefault="00561B22" w:rsidP="00F1223B">
            <w:pPr>
              <w:jc w:val="center"/>
              <w:rPr>
                <w:rFonts w:ascii="Arial" w:hAnsi="Arial" w:cs="Arial"/>
                <w:b/>
                <w:sz w:val="22"/>
                <w:szCs w:val="22"/>
                <w:u w:val="single"/>
                <w:lang w:val="es-MX"/>
              </w:rPr>
            </w:pPr>
            <w:r w:rsidRPr="00693874">
              <w:rPr>
                <w:rFonts w:ascii="Arial" w:hAnsi="Arial" w:cs="Arial"/>
                <w:b/>
                <w:sz w:val="22"/>
                <w:szCs w:val="22"/>
                <w:u w:val="single"/>
                <w:lang w:val="es-MX"/>
              </w:rPr>
              <w:t>4.93</w:t>
            </w:r>
          </w:p>
        </w:tc>
      </w:tr>
    </w:tbl>
    <w:p w14:paraId="1E07C288" w14:textId="77777777" w:rsidR="00561B22" w:rsidRPr="00693874" w:rsidRDefault="00561B22" w:rsidP="00561B22">
      <w:pPr>
        <w:pStyle w:val="Textoindependiente"/>
        <w:ind w:right="-50"/>
        <w:jc w:val="both"/>
        <w:rPr>
          <w:rFonts w:ascii="Arial" w:hAnsi="Arial" w:cs="Arial"/>
          <w:b/>
          <w:bCs/>
        </w:rPr>
      </w:pPr>
    </w:p>
    <w:p w14:paraId="2ABE8DE9" w14:textId="77777777" w:rsidR="00561B22" w:rsidRPr="00693874" w:rsidRDefault="00561B22" w:rsidP="00561B22">
      <w:pPr>
        <w:pStyle w:val="Textoindependiente"/>
        <w:ind w:right="-50"/>
        <w:jc w:val="both"/>
        <w:rPr>
          <w:rFonts w:ascii="Arial" w:hAnsi="Arial" w:cs="Arial"/>
          <w:b/>
          <w:bCs/>
        </w:rPr>
      </w:pPr>
      <w:r w:rsidRPr="00693874">
        <w:rPr>
          <w:rFonts w:ascii="Arial" w:hAnsi="Arial" w:cs="Arial"/>
          <w:b/>
          <w:bCs/>
        </w:rPr>
        <w:t>Del informe enviado retomamos lo siguiente:</w:t>
      </w:r>
    </w:p>
    <w:p w14:paraId="6B56E774" w14:textId="77777777" w:rsidR="00561B22" w:rsidRPr="00693874"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93874" w14:paraId="3321AE52" w14:textId="77777777" w:rsidTr="00F1223B">
        <w:tc>
          <w:tcPr>
            <w:tcW w:w="562" w:type="dxa"/>
          </w:tcPr>
          <w:p w14:paraId="7FFA35BD" w14:textId="77777777" w:rsidR="00561B22" w:rsidRPr="00693874" w:rsidRDefault="00561B22" w:rsidP="00F1223B">
            <w:pPr>
              <w:ind w:right="-109"/>
              <w:jc w:val="center"/>
              <w:rPr>
                <w:rFonts w:ascii="Arial" w:hAnsi="Arial" w:cs="Arial"/>
                <w:b/>
                <w:sz w:val="22"/>
                <w:szCs w:val="22"/>
                <w:lang w:val="es-MX"/>
              </w:rPr>
            </w:pPr>
            <w:r w:rsidRPr="00693874">
              <w:rPr>
                <w:rFonts w:ascii="Arial" w:hAnsi="Arial" w:cs="Arial"/>
                <w:b/>
                <w:sz w:val="22"/>
                <w:szCs w:val="22"/>
                <w:lang w:val="es-MX"/>
              </w:rPr>
              <w:t>N°</w:t>
            </w:r>
          </w:p>
        </w:tc>
        <w:tc>
          <w:tcPr>
            <w:tcW w:w="9400" w:type="dxa"/>
          </w:tcPr>
          <w:p w14:paraId="3CEC8361"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DEBILIDADES</w:t>
            </w:r>
          </w:p>
          <w:p w14:paraId="5878F37C" w14:textId="77777777" w:rsidR="00561B22" w:rsidRPr="00693874" w:rsidRDefault="00561B22" w:rsidP="00F1223B">
            <w:pPr>
              <w:jc w:val="center"/>
              <w:rPr>
                <w:rFonts w:ascii="Arial" w:hAnsi="Arial" w:cs="Arial"/>
                <w:b/>
                <w:sz w:val="22"/>
                <w:szCs w:val="22"/>
                <w:lang w:val="es-MX"/>
              </w:rPr>
            </w:pPr>
          </w:p>
        </w:tc>
      </w:tr>
      <w:tr w:rsidR="00561B22" w:rsidRPr="00693874" w14:paraId="6CEC7C8D" w14:textId="77777777" w:rsidTr="00F1223B">
        <w:tc>
          <w:tcPr>
            <w:tcW w:w="562" w:type="dxa"/>
          </w:tcPr>
          <w:p w14:paraId="2E294433"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1</w:t>
            </w:r>
          </w:p>
        </w:tc>
        <w:tc>
          <w:tcPr>
            <w:tcW w:w="9400" w:type="dxa"/>
          </w:tcPr>
          <w:p w14:paraId="002A2C27"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 xml:space="preserve">El grupo de Gestión Financiera no remite evidencia de las verificaciones que se deben efectuar a los saldos de las partidas antes de la presentación de los estados financieros con anticipación a los definitivos. </w:t>
            </w:r>
          </w:p>
        </w:tc>
      </w:tr>
      <w:tr w:rsidR="00561B22" w:rsidRPr="00693874" w14:paraId="63CD52FB" w14:textId="77777777" w:rsidTr="00F1223B">
        <w:tc>
          <w:tcPr>
            <w:tcW w:w="562" w:type="dxa"/>
          </w:tcPr>
          <w:p w14:paraId="477329C1"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2</w:t>
            </w:r>
          </w:p>
        </w:tc>
        <w:tc>
          <w:tcPr>
            <w:tcW w:w="9400" w:type="dxa"/>
          </w:tcPr>
          <w:p w14:paraId="2815B4FF"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 xml:space="preserve">El proceso cuenta con la GUIA PARA LA APLICACIÓN Y EVALUACIÓN DE LOS INDICADORES CONTABLES Y FINANCIEROS DE LA UNIDAD PARA LA ATENCIÓN Y </w:t>
            </w:r>
            <w:r w:rsidRPr="00693874">
              <w:rPr>
                <w:rFonts w:ascii="Arial" w:hAnsi="Arial" w:cs="Arial"/>
                <w:bCs/>
                <w:sz w:val="22"/>
                <w:szCs w:val="22"/>
                <w:lang w:val="es-MX"/>
              </w:rPr>
              <w:lastRenderedPageBreak/>
              <w:t>REPARACION INTEGRAL VICTIMAS, pero no se evidencia documentación que corrobore su aplicación e informe que permita concluir los resultados.</w:t>
            </w:r>
          </w:p>
        </w:tc>
      </w:tr>
      <w:tr w:rsidR="00561B22" w:rsidRPr="00693874" w14:paraId="427DC759" w14:textId="77777777" w:rsidTr="00F1223B">
        <w:tc>
          <w:tcPr>
            <w:tcW w:w="562" w:type="dxa"/>
          </w:tcPr>
          <w:p w14:paraId="56F557CD"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lastRenderedPageBreak/>
              <w:t>3</w:t>
            </w:r>
          </w:p>
        </w:tc>
        <w:tc>
          <w:tcPr>
            <w:tcW w:w="9400" w:type="dxa"/>
          </w:tcPr>
          <w:p w14:paraId="1D362D8A"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En la rendición de cuentas no se evidencia la presentación de estados financieros y la presentación de explicaciones o aclaraciones importantes frente a las variaciones presentadas entre periodos.</w:t>
            </w:r>
          </w:p>
        </w:tc>
      </w:tr>
      <w:tr w:rsidR="00561B22" w:rsidRPr="00693874" w14:paraId="2BAD0332" w14:textId="77777777" w:rsidTr="00F1223B">
        <w:tc>
          <w:tcPr>
            <w:tcW w:w="562" w:type="dxa"/>
          </w:tcPr>
          <w:p w14:paraId="6E556E5B"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4</w:t>
            </w:r>
          </w:p>
        </w:tc>
        <w:tc>
          <w:tcPr>
            <w:tcW w:w="9400" w:type="dxa"/>
          </w:tcPr>
          <w:p w14:paraId="5E778EC5"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En la revisión efectuada al mapa de riesgos se encuentra que no presentan la evidencia de la totalidad de controles definidos en el mapa de riesgos institucional y los definidos en el INSTRUCTIVO DE CONTROL INTERNO CONTABLE CIC.</w:t>
            </w:r>
          </w:p>
        </w:tc>
      </w:tr>
      <w:tr w:rsidR="00561B22" w:rsidRPr="00693874" w14:paraId="53D8EBF1" w14:textId="77777777" w:rsidTr="00F1223B">
        <w:tc>
          <w:tcPr>
            <w:tcW w:w="562" w:type="dxa"/>
          </w:tcPr>
          <w:p w14:paraId="276050A9"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5</w:t>
            </w:r>
          </w:p>
        </w:tc>
        <w:tc>
          <w:tcPr>
            <w:tcW w:w="9400" w:type="dxa"/>
          </w:tcPr>
          <w:p w14:paraId="35031F6A"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Rotación de personal lo cual afecta la gestión del conocimiento.</w:t>
            </w:r>
          </w:p>
        </w:tc>
      </w:tr>
      <w:tr w:rsidR="00561B22" w:rsidRPr="00693874" w14:paraId="4D0D9BD2" w14:textId="77777777" w:rsidTr="00F1223B">
        <w:tc>
          <w:tcPr>
            <w:tcW w:w="562" w:type="dxa"/>
          </w:tcPr>
          <w:p w14:paraId="43E04C80"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6</w:t>
            </w:r>
          </w:p>
        </w:tc>
        <w:tc>
          <w:tcPr>
            <w:tcW w:w="9400" w:type="dxa"/>
          </w:tcPr>
          <w:p w14:paraId="0EE39D13"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No se observa la realización de capacitaciones al interior del proceso en torno a la normatividad, políticas y lineamientos que tiene la Unidad de acuerdo con su misional y las actividades específicas que se deben realizar en temas contables y financieros.</w:t>
            </w:r>
          </w:p>
        </w:tc>
      </w:tr>
    </w:tbl>
    <w:p w14:paraId="1E1FB0CA" w14:textId="77777777" w:rsidR="00561B22" w:rsidRPr="00693874" w:rsidRDefault="00561B22" w:rsidP="00561B22">
      <w:pPr>
        <w:pStyle w:val="Textoindependiente"/>
        <w:ind w:right="-50"/>
        <w:jc w:val="both"/>
        <w:rPr>
          <w:rFonts w:ascii="Arial" w:hAnsi="Arial" w:cs="Arial"/>
          <w:b/>
          <w:bCs/>
        </w:rPr>
      </w:pPr>
    </w:p>
    <w:p w14:paraId="40CE05A2" w14:textId="77777777" w:rsidR="00561B22" w:rsidRPr="00693874" w:rsidRDefault="00561B22" w:rsidP="00561B22">
      <w:pPr>
        <w:jc w:val="both"/>
        <w:rPr>
          <w:rFonts w:ascii="Arial" w:hAnsi="Arial" w:cs="Arial"/>
          <w:b/>
          <w:lang w:val="es-MX"/>
        </w:rPr>
      </w:pPr>
      <w:r w:rsidRPr="00693874">
        <w:rPr>
          <w:rFonts w:ascii="Arial" w:hAnsi="Arial" w:cs="Arial"/>
          <w:b/>
          <w:lang w:val="es-MX"/>
        </w:rPr>
        <w:t>Del citado informe retomamos las siguientes recomendaciones:</w:t>
      </w:r>
    </w:p>
    <w:p w14:paraId="3ABADFEF" w14:textId="77777777" w:rsidR="00561B22" w:rsidRPr="00693874"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93874" w14:paraId="4DEA74C0" w14:textId="77777777" w:rsidTr="00F1223B">
        <w:tc>
          <w:tcPr>
            <w:tcW w:w="562" w:type="dxa"/>
          </w:tcPr>
          <w:p w14:paraId="2E2DA3A0" w14:textId="77777777" w:rsidR="00561B22" w:rsidRPr="00693874" w:rsidRDefault="00561B22" w:rsidP="00F1223B">
            <w:pPr>
              <w:ind w:right="-109"/>
              <w:jc w:val="center"/>
              <w:rPr>
                <w:rFonts w:ascii="Arial" w:hAnsi="Arial" w:cs="Arial"/>
                <w:b/>
                <w:sz w:val="22"/>
                <w:szCs w:val="22"/>
                <w:lang w:val="es-MX"/>
              </w:rPr>
            </w:pPr>
            <w:r w:rsidRPr="00693874">
              <w:rPr>
                <w:rFonts w:ascii="Arial" w:hAnsi="Arial" w:cs="Arial"/>
                <w:b/>
                <w:sz w:val="22"/>
                <w:szCs w:val="22"/>
                <w:lang w:val="es-MX"/>
              </w:rPr>
              <w:t>N°</w:t>
            </w:r>
          </w:p>
        </w:tc>
        <w:tc>
          <w:tcPr>
            <w:tcW w:w="9400" w:type="dxa"/>
          </w:tcPr>
          <w:p w14:paraId="27EAF5C3"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RECOMENDACIONES</w:t>
            </w:r>
          </w:p>
          <w:p w14:paraId="7BE2FC00" w14:textId="77777777" w:rsidR="00561B22" w:rsidRPr="00693874" w:rsidRDefault="00561B22" w:rsidP="00F1223B">
            <w:pPr>
              <w:jc w:val="center"/>
              <w:rPr>
                <w:rFonts w:ascii="Arial" w:hAnsi="Arial" w:cs="Arial"/>
                <w:b/>
                <w:sz w:val="22"/>
                <w:szCs w:val="22"/>
                <w:lang w:val="es-MX"/>
              </w:rPr>
            </w:pPr>
          </w:p>
        </w:tc>
      </w:tr>
      <w:tr w:rsidR="00561B22" w:rsidRPr="00693874" w14:paraId="6C655CEE" w14:textId="77777777" w:rsidTr="00F1223B">
        <w:tc>
          <w:tcPr>
            <w:tcW w:w="562" w:type="dxa"/>
          </w:tcPr>
          <w:p w14:paraId="368DC131"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1</w:t>
            </w:r>
          </w:p>
        </w:tc>
        <w:tc>
          <w:tcPr>
            <w:tcW w:w="9400" w:type="dxa"/>
          </w:tcPr>
          <w:p w14:paraId="77394DAA"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 xml:space="preserve">Verificar la GUIA PARA LA APLICACIÓN Y EVALUACIÓN DE LOS INDICADORES CONTABLES Y FINANCIEROS DE LA UNIDAD PARA LA ATENCIÓN Y REPARACION INTEGRAL VICITMAS, para su aplicación y envió de las evidencias, así como el análisis de actualización y/o modificación. </w:t>
            </w:r>
          </w:p>
        </w:tc>
      </w:tr>
      <w:tr w:rsidR="00561B22" w:rsidRPr="00693874" w14:paraId="235FD88E" w14:textId="77777777" w:rsidTr="00F1223B">
        <w:tc>
          <w:tcPr>
            <w:tcW w:w="562" w:type="dxa"/>
          </w:tcPr>
          <w:p w14:paraId="07AAFF24"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2</w:t>
            </w:r>
          </w:p>
        </w:tc>
        <w:tc>
          <w:tcPr>
            <w:tcW w:w="9400" w:type="dxa"/>
          </w:tcPr>
          <w:p w14:paraId="460AB21D"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Se recomienda al proceso de gestión financiera remitir la totalidad de información que se genera, realiza, presenta y analiza al interior del proceso, en torno a la aplicación de listas de chequeo, conciliaciones y ajustes con las distintas áreas que brindan insumos de la información contable.</w:t>
            </w:r>
          </w:p>
        </w:tc>
      </w:tr>
      <w:tr w:rsidR="00561B22" w:rsidRPr="00693874" w14:paraId="66238F22" w14:textId="77777777" w:rsidTr="00F1223B">
        <w:tc>
          <w:tcPr>
            <w:tcW w:w="562" w:type="dxa"/>
          </w:tcPr>
          <w:p w14:paraId="2F038725"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3</w:t>
            </w:r>
          </w:p>
        </w:tc>
        <w:tc>
          <w:tcPr>
            <w:tcW w:w="9400" w:type="dxa"/>
          </w:tcPr>
          <w:p w14:paraId="35645BD3"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Incluir en la rendición de cuentas la presentación de estados financieros y las explicaciones o aclaraciones importantes frente a las variaciones presentadas entre periodos.</w:t>
            </w:r>
          </w:p>
        </w:tc>
      </w:tr>
      <w:tr w:rsidR="00561B22" w:rsidRPr="00693874" w14:paraId="7BFB45D1" w14:textId="77777777" w:rsidTr="00F1223B">
        <w:tc>
          <w:tcPr>
            <w:tcW w:w="562" w:type="dxa"/>
          </w:tcPr>
          <w:p w14:paraId="7D36F140"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4</w:t>
            </w:r>
          </w:p>
        </w:tc>
        <w:tc>
          <w:tcPr>
            <w:tcW w:w="9400" w:type="dxa"/>
          </w:tcPr>
          <w:p w14:paraId="3FD225A7"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Remitir evidencia que dé certeza de las verificaciones que realizan a los saldos de las partidas antes de la presentación de los estados financieros o el diligenciamiento de listas de chequeo que tiene asignado el proceso.</w:t>
            </w:r>
          </w:p>
        </w:tc>
      </w:tr>
      <w:tr w:rsidR="00561B22" w:rsidRPr="00693874" w14:paraId="5D6E4353" w14:textId="77777777" w:rsidTr="00F1223B">
        <w:tc>
          <w:tcPr>
            <w:tcW w:w="562" w:type="dxa"/>
          </w:tcPr>
          <w:p w14:paraId="71B24E12"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5</w:t>
            </w:r>
          </w:p>
        </w:tc>
        <w:tc>
          <w:tcPr>
            <w:tcW w:w="9400" w:type="dxa"/>
          </w:tcPr>
          <w:p w14:paraId="6069FF26"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Contar con la totalidad de información y evidencia que dé cuenta de la aplicación de los controles definidos en la matriz de riesgos institucional y de los riesgos definidos en el INSTRUCTIVO DE CONTROL INTERNO CONTABLE CIC.</w:t>
            </w:r>
          </w:p>
        </w:tc>
      </w:tr>
      <w:tr w:rsidR="00561B22" w:rsidRPr="00693874" w14:paraId="7A0A84C8" w14:textId="77777777" w:rsidTr="00F1223B">
        <w:tc>
          <w:tcPr>
            <w:tcW w:w="562" w:type="dxa"/>
          </w:tcPr>
          <w:p w14:paraId="6A199DEB"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6</w:t>
            </w:r>
          </w:p>
        </w:tc>
        <w:tc>
          <w:tcPr>
            <w:tcW w:w="9400" w:type="dxa"/>
          </w:tcPr>
          <w:p w14:paraId="73CC273F"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Programar capacitaciones con el personal para verificar el manual, políticas y lineamientos internos con el objetivo de socializar las actividades que se deben desarrollar y las evidencias que se deben presentar.</w:t>
            </w:r>
          </w:p>
        </w:tc>
      </w:tr>
      <w:tr w:rsidR="00561B22" w:rsidRPr="00693874" w14:paraId="3B96B0DD" w14:textId="77777777" w:rsidTr="00F1223B">
        <w:tc>
          <w:tcPr>
            <w:tcW w:w="562" w:type="dxa"/>
          </w:tcPr>
          <w:p w14:paraId="0094F840"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7</w:t>
            </w:r>
          </w:p>
        </w:tc>
        <w:tc>
          <w:tcPr>
            <w:tcW w:w="9400" w:type="dxa"/>
          </w:tcPr>
          <w:p w14:paraId="6E047202"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Verificar a través de las capacitaciones el mejoramiento de competencias y habilidades.</w:t>
            </w:r>
          </w:p>
        </w:tc>
      </w:tr>
      <w:tr w:rsidR="00561B22" w:rsidRPr="00693874" w14:paraId="786910FC" w14:textId="77777777" w:rsidTr="00F1223B">
        <w:tc>
          <w:tcPr>
            <w:tcW w:w="562" w:type="dxa"/>
          </w:tcPr>
          <w:p w14:paraId="1F0BD026" w14:textId="77777777" w:rsidR="00561B22" w:rsidRPr="00693874" w:rsidRDefault="00561B22" w:rsidP="00F1223B">
            <w:pPr>
              <w:jc w:val="center"/>
              <w:rPr>
                <w:rFonts w:ascii="Arial" w:hAnsi="Arial" w:cs="Arial"/>
                <w:b/>
                <w:sz w:val="22"/>
                <w:szCs w:val="22"/>
                <w:lang w:val="es-MX"/>
              </w:rPr>
            </w:pPr>
            <w:r w:rsidRPr="00693874">
              <w:rPr>
                <w:rFonts w:ascii="Arial" w:hAnsi="Arial" w:cs="Arial"/>
                <w:b/>
                <w:sz w:val="22"/>
                <w:szCs w:val="22"/>
                <w:lang w:val="es-MX"/>
              </w:rPr>
              <w:t>8</w:t>
            </w:r>
          </w:p>
        </w:tc>
        <w:tc>
          <w:tcPr>
            <w:tcW w:w="9400" w:type="dxa"/>
          </w:tcPr>
          <w:p w14:paraId="233D0EAF" w14:textId="77777777" w:rsidR="00561B22" w:rsidRPr="00693874" w:rsidRDefault="00561B22" w:rsidP="00F1223B">
            <w:pPr>
              <w:jc w:val="both"/>
              <w:rPr>
                <w:rFonts w:ascii="Arial" w:hAnsi="Arial" w:cs="Arial"/>
                <w:bCs/>
                <w:sz w:val="22"/>
                <w:szCs w:val="22"/>
                <w:lang w:val="es-MX"/>
              </w:rPr>
            </w:pPr>
            <w:r w:rsidRPr="00693874">
              <w:rPr>
                <w:rFonts w:ascii="Arial" w:hAnsi="Arial" w:cs="Arial"/>
                <w:bCs/>
                <w:sz w:val="22"/>
                <w:szCs w:val="22"/>
                <w:lang w:val="es-MX"/>
              </w:rPr>
              <w:t>Continuar con el cuidado y preservación de las memorias de las transacciones comerciales remitidas por el GGFC de la Unidad.</w:t>
            </w:r>
          </w:p>
        </w:tc>
      </w:tr>
    </w:tbl>
    <w:p w14:paraId="71BD8356" w14:textId="77777777" w:rsidR="00561B22" w:rsidRPr="00693874" w:rsidRDefault="00561B22" w:rsidP="00561B22">
      <w:pPr>
        <w:pStyle w:val="Textoindependiente"/>
        <w:ind w:right="-50"/>
        <w:jc w:val="both"/>
        <w:rPr>
          <w:rFonts w:ascii="Arial" w:hAnsi="Arial" w:cs="Arial"/>
          <w:b/>
          <w:bCs/>
          <w:sz w:val="28"/>
          <w:szCs w:val="28"/>
        </w:rPr>
      </w:pPr>
    </w:p>
    <w:p w14:paraId="0E647ABF" w14:textId="77777777" w:rsidR="00561B22" w:rsidRPr="00693874" w:rsidRDefault="00561B22" w:rsidP="00561B22">
      <w:pPr>
        <w:jc w:val="both"/>
        <w:rPr>
          <w:rFonts w:ascii="Arial" w:hAnsi="Arial" w:cs="Arial"/>
          <w:b/>
          <w:bCs/>
          <w:sz w:val="24"/>
          <w:szCs w:val="24"/>
          <w:lang w:val="es-CO"/>
        </w:rPr>
      </w:pPr>
      <w:r w:rsidRPr="00693874">
        <w:rPr>
          <w:rFonts w:ascii="Arial" w:hAnsi="Arial" w:cs="Arial"/>
          <w:b/>
          <w:bCs/>
          <w:sz w:val="24"/>
          <w:szCs w:val="24"/>
          <w:lang w:val="es-CO"/>
        </w:rPr>
        <w:t xml:space="preserve">NOTA: LA ENTIDAD ENVÍA LA MATRIZ DE AUTOEVALUACIÓN DEL SISTEMA DE CONTROL INTERNO CONTABLE CON </w:t>
      </w:r>
      <w:r w:rsidRPr="00693874">
        <w:rPr>
          <w:rFonts w:ascii="Arial" w:hAnsi="Arial" w:cs="Arial"/>
          <w:b/>
          <w:bCs/>
          <w:sz w:val="24"/>
          <w:szCs w:val="24"/>
          <w:u w:val="single"/>
          <w:lang w:val="es-CO"/>
        </w:rPr>
        <w:t>ACTIVIDADES DE CONTROL REALIZADAS EN FORMA PARCIAL</w:t>
      </w:r>
      <w:r w:rsidRPr="00693874">
        <w:rPr>
          <w:rFonts w:ascii="Arial" w:hAnsi="Arial" w:cs="Arial"/>
          <w:b/>
          <w:bCs/>
          <w:sz w:val="24"/>
          <w:szCs w:val="24"/>
          <w:lang w:val="es-CO"/>
        </w:rPr>
        <w:t>.</w:t>
      </w:r>
    </w:p>
    <w:p w14:paraId="3FC5B8A5" w14:textId="77777777" w:rsidR="00561B22" w:rsidRPr="00693874" w:rsidRDefault="00561B22" w:rsidP="00561B22">
      <w:pPr>
        <w:ind w:right="1900"/>
        <w:rPr>
          <w:rFonts w:ascii="Arial" w:hAnsi="Arial" w:cs="Arial"/>
          <w:b/>
          <w:color w:val="FF0000"/>
          <w:sz w:val="24"/>
          <w:lang w:val="es-CO"/>
        </w:rPr>
      </w:pPr>
    </w:p>
    <w:p w14:paraId="1F4961D1" w14:textId="77777777" w:rsidR="00561B22" w:rsidRPr="00615969" w:rsidRDefault="00561B22" w:rsidP="00561B22">
      <w:pPr>
        <w:jc w:val="both"/>
        <w:rPr>
          <w:rFonts w:ascii="Arial" w:hAnsi="Arial" w:cs="Arial"/>
          <w:b/>
          <w:sz w:val="28"/>
          <w:szCs w:val="28"/>
          <w:lang w:val="es-MX"/>
        </w:rPr>
      </w:pPr>
      <w:r w:rsidRPr="00615969">
        <w:rPr>
          <w:rFonts w:ascii="Arial" w:hAnsi="Arial" w:cs="Arial"/>
          <w:b/>
          <w:sz w:val="28"/>
          <w:szCs w:val="28"/>
          <w:lang w:val="es-MX"/>
        </w:rPr>
        <w:t>254.- LABORATORIO REDES DE EMPRENDIMIENTO, COMUNICACIÓN, INNOVACIÓN Y PAZ – REDES LAB.</w:t>
      </w:r>
    </w:p>
    <w:p w14:paraId="5D3A5A87" w14:textId="77777777" w:rsidR="00561B22" w:rsidRPr="00616C86" w:rsidRDefault="00561B22" w:rsidP="00561B22">
      <w:pPr>
        <w:pStyle w:val="Textoindependiente"/>
        <w:tabs>
          <w:tab w:val="left" w:pos="2055"/>
        </w:tabs>
        <w:spacing w:before="5"/>
        <w:jc w:val="both"/>
        <w:rPr>
          <w:rFonts w:ascii="Arial" w:hAnsi="Arial" w:cs="Arial"/>
          <w:sz w:val="24"/>
          <w:szCs w:val="24"/>
          <w:lang w:val="es-MX"/>
        </w:rPr>
      </w:pPr>
    </w:p>
    <w:p w14:paraId="22AFD173" w14:textId="77777777" w:rsidR="00561B22" w:rsidRPr="00616C86" w:rsidRDefault="00561B22" w:rsidP="00561B22">
      <w:pPr>
        <w:pStyle w:val="Textoindependiente"/>
        <w:ind w:right="-50"/>
        <w:jc w:val="center"/>
        <w:rPr>
          <w:rFonts w:ascii="Arial" w:hAnsi="Arial" w:cs="Arial"/>
          <w:b/>
          <w:bCs/>
        </w:rPr>
      </w:pPr>
      <w:r w:rsidRPr="00616C86">
        <w:rPr>
          <w:rFonts w:ascii="Arial" w:hAnsi="Arial" w:cs="Arial"/>
          <w:b/>
          <w:bCs/>
        </w:rPr>
        <w:t>INFORME DE LA AUTOCALIFICACIÓN DEL SISTEMA DE CONTROL INTERNO CONTABLE:</w:t>
      </w:r>
    </w:p>
    <w:p w14:paraId="4E02EB8A" w14:textId="77777777" w:rsidR="00561B22" w:rsidRPr="00616C8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16C86" w14:paraId="4EB13A3C" w14:textId="77777777" w:rsidTr="00F1223B">
        <w:tc>
          <w:tcPr>
            <w:tcW w:w="4981" w:type="dxa"/>
          </w:tcPr>
          <w:p w14:paraId="6112E0E7"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AUTOCALIFICACIÓN</w:t>
            </w:r>
          </w:p>
        </w:tc>
        <w:tc>
          <w:tcPr>
            <w:tcW w:w="4981" w:type="dxa"/>
          </w:tcPr>
          <w:p w14:paraId="2C4ADA9B" w14:textId="77777777" w:rsidR="00561B22" w:rsidRPr="00616C86" w:rsidRDefault="00561B22" w:rsidP="00F1223B">
            <w:pPr>
              <w:jc w:val="center"/>
              <w:rPr>
                <w:rFonts w:ascii="Arial" w:hAnsi="Arial" w:cs="Arial"/>
                <w:b/>
                <w:sz w:val="22"/>
                <w:szCs w:val="22"/>
                <w:u w:val="single"/>
                <w:lang w:val="es-MX"/>
              </w:rPr>
            </w:pPr>
            <w:r w:rsidRPr="00616C86">
              <w:rPr>
                <w:rFonts w:ascii="Arial" w:hAnsi="Arial" w:cs="Arial"/>
                <w:b/>
                <w:sz w:val="22"/>
                <w:szCs w:val="22"/>
                <w:u w:val="single"/>
                <w:lang w:val="es-MX"/>
              </w:rPr>
              <w:t>4.87</w:t>
            </w:r>
          </w:p>
        </w:tc>
      </w:tr>
    </w:tbl>
    <w:p w14:paraId="0013E60B" w14:textId="77777777" w:rsidR="00561B22" w:rsidRPr="00616C86" w:rsidRDefault="00561B22" w:rsidP="00561B22">
      <w:pPr>
        <w:pStyle w:val="Textoindependiente"/>
        <w:ind w:right="-50"/>
        <w:jc w:val="both"/>
        <w:rPr>
          <w:rFonts w:ascii="Arial" w:hAnsi="Arial" w:cs="Arial"/>
          <w:b/>
          <w:bCs/>
        </w:rPr>
      </w:pPr>
    </w:p>
    <w:p w14:paraId="166CEA19" w14:textId="77777777" w:rsidR="00561B22" w:rsidRPr="00616C86" w:rsidRDefault="00561B22" w:rsidP="00561B22">
      <w:pPr>
        <w:pStyle w:val="Textoindependiente"/>
        <w:ind w:right="-50"/>
        <w:jc w:val="both"/>
        <w:rPr>
          <w:rFonts w:ascii="Arial" w:hAnsi="Arial" w:cs="Arial"/>
          <w:b/>
          <w:bCs/>
        </w:rPr>
      </w:pPr>
      <w:r w:rsidRPr="00616C86">
        <w:rPr>
          <w:rFonts w:ascii="Arial" w:hAnsi="Arial" w:cs="Arial"/>
          <w:b/>
          <w:bCs/>
        </w:rPr>
        <w:lastRenderedPageBreak/>
        <w:t>Del informe enviado retomamos lo siguiente:</w:t>
      </w:r>
    </w:p>
    <w:p w14:paraId="6B5D7A1A" w14:textId="77777777" w:rsidR="00561B22" w:rsidRPr="00616C8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16C86" w14:paraId="593009FE" w14:textId="77777777" w:rsidTr="00F1223B">
        <w:tc>
          <w:tcPr>
            <w:tcW w:w="562" w:type="dxa"/>
          </w:tcPr>
          <w:p w14:paraId="7C2227B4" w14:textId="77777777" w:rsidR="00561B22" w:rsidRPr="00616C86" w:rsidRDefault="00561B22" w:rsidP="00F1223B">
            <w:pPr>
              <w:ind w:right="-109"/>
              <w:jc w:val="center"/>
              <w:rPr>
                <w:rFonts w:ascii="Arial" w:hAnsi="Arial" w:cs="Arial"/>
                <w:b/>
                <w:sz w:val="22"/>
                <w:szCs w:val="22"/>
                <w:lang w:val="es-MX"/>
              </w:rPr>
            </w:pPr>
            <w:r w:rsidRPr="00616C86">
              <w:rPr>
                <w:rFonts w:ascii="Arial" w:hAnsi="Arial" w:cs="Arial"/>
                <w:b/>
                <w:sz w:val="22"/>
                <w:szCs w:val="22"/>
                <w:lang w:val="es-MX"/>
              </w:rPr>
              <w:t>N°</w:t>
            </w:r>
          </w:p>
        </w:tc>
        <w:tc>
          <w:tcPr>
            <w:tcW w:w="9400" w:type="dxa"/>
          </w:tcPr>
          <w:p w14:paraId="455A208C"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DEBILIDADES</w:t>
            </w:r>
          </w:p>
          <w:p w14:paraId="2D9F73F3" w14:textId="77777777" w:rsidR="00561B22" w:rsidRPr="00616C86" w:rsidRDefault="00561B22" w:rsidP="00F1223B">
            <w:pPr>
              <w:jc w:val="center"/>
              <w:rPr>
                <w:rFonts w:ascii="Arial" w:hAnsi="Arial" w:cs="Arial"/>
                <w:b/>
                <w:sz w:val="22"/>
                <w:szCs w:val="22"/>
                <w:lang w:val="es-MX"/>
              </w:rPr>
            </w:pPr>
          </w:p>
        </w:tc>
      </w:tr>
      <w:tr w:rsidR="00561B22" w:rsidRPr="00616C86" w14:paraId="7D0E3024" w14:textId="77777777" w:rsidTr="00F1223B">
        <w:tc>
          <w:tcPr>
            <w:tcW w:w="562" w:type="dxa"/>
          </w:tcPr>
          <w:p w14:paraId="22FC3183"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1</w:t>
            </w:r>
          </w:p>
        </w:tc>
        <w:tc>
          <w:tcPr>
            <w:tcW w:w="9400" w:type="dxa"/>
          </w:tcPr>
          <w:p w14:paraId="40043912"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Limitada capacitación contable: Aunque el LABORATORIO REDES DE EMPRENDIMIENTO, COMUNICACIÓN, INNOVACIÓN Y PAZ contempla en su plan de formación el fortalecimiento continuo de las competencias del personal contable, las capacitaciones realizadas hasta el momento han sido insuficientes. Es necesario ampliar y profundizar estos programas, incorporando sesiones formativas más frecuentes y actualizaciones periódicas en normativas contables, con el fin de mejorar la preparación del equipo y optimizar la gestión financiera de la entidad.</w:t>
            </w:r>
          </w:p>
        </w:tc>
      </w:tr>
      <w:tr w:rsidR="00561B22" w:rsidRPr="00616C86" w14:paraId="62EB3BDB" w14:textId="77777777" w:rsidTr="00F1223B">
        <w:tc>
          <w:tcPr>
            <w:tcW w:w="562" w:type="dxa"/>
          </w:tcPr>
          <w:p w14:paraId="2459D5A8"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2</w:t>
            </w:r>
          </w:p>
        </w:tc>
        <w:tc>
          <w:tcPr>
            <w:tcW w:w="9400" w:type="dxa"/>
          </w:tcPr>
          <w:p w14:paraId="25665C2F"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Optimización en la gestión de riesgos contables: Si bien el LABORATORIO REDES DE EMPRENDIMIENTO, COMUNICACIÓN, INNOVACIÓN Y PAZ dispone de mecanismos para la identificación y monitoreo de riesgos contables, estos aún requieren ser fortalecidos. Es fundamental profundizar en la evaluación de la probabilidad de ocurrencia y el impacto de dichos riesgos, permitiendo una gestión más precisa y proactiva que garantice la estabilidad y transparencia financiera de la entidad.</w:t>
            </w:r>
          </w:p>
        </w:tc>
      </w:tr>
    </w:tbl>
    <w:p w14:paraId="75643704" w14:textId="77777777" w:rsidR="00561B22" w:rsidRPr="00616C86" w:rsidRDefault="00561B22" w:rsidP="00561B22">
      <w:pPr>
        <w:pStyle w:val="Textoindependiente"/>
        <w:ind w:right="-50"/>
        <w:jc w:val="both"/>
        <w:rPr>
          <w:rFonts w:ascii="Arial" w:hAnsi="Arial" w:cs="Arial"/>
          <w:b/>
          <w:bCs/>
        </w:rPr>
      </w:pPr>
    </w:p>
    <w:p w14:paraId="209F9B54" w14:textId="77777777" w:rsidR="00561B22" w:rsidRPr="00616C86" w:rsidRDefault="00561B22" w:rsidP="00561B22">
      <w:pPr>
        <w:jc w:val="both"/>
        <w:rPr>
          <w:rFonts w:ascii="Arial" w:hAnsi="Arial" w:cs="Arial"/>
          <w:b/>
          <w:lang w:val="es-MX"/>
        </w:rPr>
      </w:pPr>
      <w:r w:rsidRPr="00616C86">
        <w:rPr>
          <w:rFonts w:ascii="Arial" w:hAnsi="Arial" w:cs="Arial"/>
          <w:b/>
          <w:lang w:val="es-MX"/>
        </w:rPr>
        <w:t>Del citado informe retomamos las siguientes recomendaciones:</w:t>
      </w:r>
    </w:p>
    <w:p w14:paraId="26169732" w14:textId="77777777" w:rsidR="00561B22" w:rsidRPr="00616C86"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616C86" w14:paraId="20013736" w14:textId="77777777" w:rsidTr="00F1223B">
        <w:tc>
          <w:tcPr>
            <w:tcW w:w="562" w:type="dxa"/>
          </w:tcPr>
          <w:p w14:paraId="4BB31D0C" w14:textId="77777777" w:rsidR="00561B22" w:rsidRPr="00616C86" w:rsidRDefault="00561B22" w:rsidP="00F1223B">
            <w:pPr>
              <w:ind w:right="-109"/>
              <w:jc w:val="center"/>
              <w:rPr>
                <w:rFonts w:ascii="Arial" w:hAnsi="Arial" w:cs="Arial"/>
                <w:b/>
                <w:sz w:val="22"/>
                <w:szCs w:val="22"/>
                <w:lang w:val="es-MX"/>
              </w:rPr>
            </w:pPr>
            <w:r w:rsidRPr="00616C86">
              <w:rPr>
                <w:rFonts w:ascii="Arial" w:hAnsi="Arial" w:cs="Arial"/>
                <w:b/>
                <w:sz w:val="22"/>
                <w:szCs w:val="22"/>
                <w:lang w:val="es-MX"/>
              </w:rPr>
              <w:t>N°</w:t>
            </w:r>
          </w:p>
        </w:tc>
        <w:tc>
          <w:tcPr>
            <w:tcW w:w="9400" w:type="dxa"/>
          </w:tcPr>
          <w:p w14:paraId="316E44EE"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RECOMENDACIONES</w:t>
            </w:r>
          </w:p>
          <w:p w14:paraId="6E5723B1" w14:textId="77777777" w:rsidR="00561B22" w:rsidRPr="00616C86" w:rsidRDefault="00561B22" w:rsidP="00F1223B">
            <w:pPr>
              <w:jc w:val="center"/>
              <w:rPr>
                <w:rFonts w:ascii="Arial" w:hAnsi="Arial" w:cs="Arial"/>
                <w:b/>
                <w:sz w:val="22"/>
                <w:szCs w:val="22"/>
                <w:lang w:val="es-MX"/>
              </w:rPr>
            </w:pPr>
          </w:p>
        </w:tc>
      </w:tr>
      <w:tr w:rsidR="00561B22" w:rsidRPr="00616C86" w14:paraId="04CF4FFB" w14:textId="77777777" w:rsidTr="00F1223B">
        <w:tc>
          <w:tcPr>
            <w:tcW w:w="562" w:type="dxa"/>
          </w:tcPr>
          <w:p w14:paraId="69AFDA79"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1</w:t>
            </w:r>
          </w:p>
        </w:tc>
        <w:tc>
          <w:tcPr>
            <w:tcW w:w="9400" w:type="dxa"/>
          </w:tcPr>
          <w:p w14:paraId="1A5D3537"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Desarrollo de un marco de gestión de riesgos: Establecer un enfoque estructurado que incluya la identificación, análisis y clasificación de los riesgos contables según su impacto y probabilidad de ocurrencia.</w:t>
            </w:r>
          </w:p>
        </w:tc>
      </w:tr>
      <w:tr w:rsidR="00561B22" w:rsidRPr="00616C86" w14:paraId="73870FC6" w14:textId="77777777" w:rsidTr="00F1223B">
        <w:tc>
          <w:tcPr>
            <w:tcW w:w="562" w:type="dxa"/>
          </w:tcPr>
          <w:p w14:paraId="203C1139"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2</w:t>
            </w:r>
          </w:p>
        </w:tc>
        <w:tc>
          <w:tcPr>
            <w:tcW w:w="9400" w:type="dxa"/>
          </w:tcPr>
          <w:p w14:paraId="3B6D84A9"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Automatización del monitoreo: Implementar herramientas tecnológicas que permitan la supervisión continua de los riesgos, alertando sobre posibles inconsistencias o desviaciones en la información financiera.</w:t>
            </w:r>
          </w:p>
        </w:tc>
      </w:tr>
      <w:tr w:rsidR="00561B22" w:rsidRPr="00616C86" w14:paraId="5DC9A266" w14:textId="77777777" w:rsidTr="00F1223B">
        <w:tc>
          <w:tcPr>
            <w:tcW w:w="562" w:type="dxa"/>
          </w:tcPr>
          <w:p w14:paraId="1F750A9B"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3</w:t>
            </w:r>
          </w:p>
        </w:tc>
        <w:tc>
          <w:tcPr>
            <w:tcW w:w="9400" w:type="dxa"/>
          </w:tcPr>
          <w:p w14:paraId="68249088"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Revisión y actualización periódica: Evaluar constantemente los procedimientos para asegurar su alineación con las mejores prácticas contables y normativas vigentes.</w:t>
            </w:r>
          </w:p>
        </w:tc>
      </w:tr>
      <w:tr w:rsidR="00561B22" w:rsidRPr="00616C86" w14:paraId="53EFFA7C" w14:textId="77777777" w:rsidTr="00F1223B">
        <w:tc>
          <w:tcPr>
            <w:tcW w:w="562" w:type="dxa"/>
          </w:tcPr>
          <w:p w14:paraId="1B67F999"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4</w:t>
            </w:r>
          </w:p>
        </w:tc>
        <w:tc>
          <w:tcPr>
            <w:tcW w:w="9400" w:type="dxa"/>
          </w:tcPr>
          <w:p w14:paraId="7EDF348D"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Capacitación del personal: Fortalecer la formación del equipo contable en metodologías de gestión de riesgos, asegurando su capacidad para detectar y abordar cualquier anomalía de manera proactiva.</w:t>
            </w:r>
          </w:p>
        </w:tc>
      </w:tr>
      <w:tr w:rsidR="00561B22" w:rsidRPr="00616C86" w14:paraId="1FB22B05" w14:textId="77777777" w:rsidTr="00F1223B">
        <w:tc>
          <w:tcPr>
            <w:tcW w:w="562" w:type="dxa"/>
          </w:tcPr>
          <w:p w14:paraId="38694B3A" w14:textId="77777777" w:rsidR="00561B22" w:rsidRPr="00616C86" w:rsidRDefault="00561B22" w:rsidP="00F1223B">
            <w:pPr>
              <w:jc w:val="center"/>
              <w:rPr>
                <w:rFonts w:ascii="Arial" w:hAnsi="Arial" w:cs="Arial"/>
                <w:b/>
                <w:sz w:val="22"/>
                <w:szCs w:val="22"/>
                <w:lang w:val="es-MX"/>
              </w:rPr>
            </w:pPr>
            <w:r w:rsidRPr="00616C86">
              <w:rPr>
                <w:rFonts w:ascii="Arial" w:hAnsi="Arial" w:cs="Arial"/>
                <w:b/>
                <w:sz w:val="22"/>
                <w:szCs w:val="22"/>
                <w:lang w:val="es-MX"/>
              </w:rPr>
              <w:t>5</w:t>
            </w:r>
          </w:p>
        </w:tc>
        <w:tc>
          <w:tcPr>
            <w:tcW w:w="9400" w:type="dxa"/>
          </w:tcPr>
          <w:p w14:paraId="3A77C44A" w14:textId="77777777" w:rsidR="00561B22" w:rsidRPr="00616C86" w:rsidRDefault="00561B22" w:rsidP="00F1223B">
            <w:pPr>
              <w:jc w:val="both"/>
              <w:rPr>
                <w:rFonts w:ascii="Arial" w:hAnsi="Arial" w:cs="Arial"/>
                <w:bCs/>
                <w:sz w:val="22"/>
                <w:szCs w:val="22"/>
                <w:lang w:val="es-MX"/>
              </w:rPr>
            </w:pPr>
            <w:r w:rsidRPr="00616C86">
              <w:rPr>
                <w:rFonts w:ascii="Arial" w:hAnsi="Arial" w:cs="Arial"/>
                <w:bCs/>
                <w:sz w:val="22"/>
                <w:szCs w:val="22"/>
                <w:lang w:val="es-MX"/>
              </w:rPr>
              <w:t>Informes y seguimiento continuo: Generar reportes periódicos sobre la evolución de los riesgos identificados, con el fin de tomar decisiones oportunas y minimizar impactos negativos en la gestión financiera.</w:t>
            </w:r>
          </w:p>
        </w:tc>
      </w:tr>
    </w:tbl>
    <w:p w14:paraId="11291405" w14:textId="77777777" w:rsidR="00561B22" w:rsidRPr="00616C86" w:rsidRDefault="00561B22" w:rsidP="00561B22">
      <w:pPr>
        <w:pStyle w:val="Textoindependiente"/>
        <w:ind w:right="-50"/>
        <w:jc w:val="both"/>
        <w:rPr>
          <w:rFonts w:ascii="Arial" w:hAnsi="Arial" w:cs="Arial"/>
          <w:b/>
          <w:bCs/>
          <w:sz w:val="28"/>
          <w:szCs w:val="28"/>
        </w:rPr>
      </w:pPr>
    </w:p>
    <w:p w14:paraId="6FF1B5F1" w14:textId="77777777" w:rsidR="00561B22" w:rsidRPr="00616C86" w:rsidRDefault="00561B22" w:rsidP="00561B22">
      <w:pPr>
        <w:jc w:val="both"/>
        <w:rPr>
          <w:rFonts w:ascii="Arial" w:hAnsi="Arial" w:cs="Arial"/>
          <w:b/>
          <w:bCs/>
          <w:sz w:val="24"/>
          <w:szCs w:val="24"/>
          <w:lang w:val="es-CO"/>
        </w:rPr>
      </w:pPr>
      <w:r w:rsidRPr="00616C86">
        <w:rPr>
          <w:rFonts w:ascii="Arial" w:hAnsi="Arial" w:cs="Arial"/>
          <w:b/>
          <w:bCs/>
          <w:sz w:val="24"/>
          <w:szCs w:val="24"/>
          <w:lang w:val="es-CO"/>
        </w:rPr>
        <w:t xml:space="preserve">NOTA: LA ENTIDAD ENVÍA LA MATRIZ DE AUTOEVALUACIÓN DEL SISTEMA DE CONTROL INTERNO CONTABLE CON </w:t>
      </w:r>
      <w:r w:rsidRPr="00616C86">
        <w:rPr>
          <w:rFonts w:ascii="Arial" w:hAnsi="Arial" w:cs="Arial"/>
          <w:b/>
          <w:bCs/>
          <w:sz w:val="24"/>
          <w:szCs w:val="24"/>
          <w:u w:val="single"/>
          <w:lang w:val="es-CO"/>
        </w:rPr>
        <w:t>ACTIVIDADES DE CONTROL REALIZADAS EN FORMA PARCIAL</w:t>
      </w:r>
      <w:r w:rsidRPr="00616C86">
        <w:rPr>
          <w:rFonts w:ascii="Arial" w:hAnsi="Arial" w:cs="Arial"/>
          <w:b/>
          <w:bCs/>
          <w:sz w:val="24"/>
          <w:szCs w:val="24"/>
          <w:lang w:val="es-CO"/>
        </w:rPr>
        <w:t>.</w:t>
      </w:r>
    </w:p>
    <w:p w14:paraId="26DDCC3F" w14:textId="77777777" w:rsidR="00561B22" w:rsidRPr="00616C86" w:rsidRDefault="00561B22" w:rsidP="00561B22">
      <w:pPr>
        <w:pStyle w:val="Textoindependiente"/>
        <w:tabs>
          <w:tab w:val="left" w:pos="2055"/>
        </w:tabs>
        <w:spacing w:before="5"/>
        <w:jc w:val="both"/>
        <w:rPr>
          <w:rFonts w:ascii="Arial" w:hAnsi="Arial" w:cs="Arial"/>
          <w:sz w:val="24"/>
          <w:szCs w:val="24"/>
          <w:lang w:val="es-CO"/>
        </w:rPr>
      </w:pPr>
    </w:p>
    <w:p w14:paraId="25F163BB" w14:textId="77777777" w:rsidR="00561B22" w:rsidRPr="004F6DB7" w:rsidRDefault="00561B22" w:rsidP="00561B22">
      <w:pPr>
        <w:jc w:val="both"/>
        <w:rPr>
          <w:rFonts w:ascii="Arial" w:hAnsi="Arial" w:cs="Arial"/>
          <w:b/>
          <w:sz w:val="28"/>
          <w:szCs w:val="28"/>
          <w:lang w:val="es-MX"/>
        </w:rPr>
      </w:pPr>
      <w:r w:rsidRPr="004F6DB7">
        <w:rPr>
          <w:rFonts w:ascii="Arial" w:hAnsi="Arial" w:cs="Arial"/>
          <w:b/>
          <w:sz w:val="28"/>
          <w:szCs w:val="28"/>
          <w:lang w:val="es-MX"/>
        </w:rPr>
        <w:t xml:space="preserve">256.- U.A.E. DE GESTIÓN PENSIONAL Y CONTRIBUCIONES PARAFISCALES DE LA PROTECCIÓN SOCIAL – UGPP. </w:t>
      </w:r>
    </w:p>
    <w:p w14:paraId="388BC46A" w14:textId="77777777" w:rsidR="00561B22" w:rsidRDefault="00561B22" w:rsidP="00561B22">
      <w:pPr>
        <w:jc w:val="both"/>
        <w:rPr>
          <w:rFonts w:ascii="Arial" w:hAnsi="Arial" w:cs="Arial"/>
          <w:b/>
          <w:sz w:val="28"/>
          <w:szCs w:val="28"/>
          <w:lang w:val="es-MX"/>
        </w:rPr>
      </w:pPr>
    </w:p>
    <w:p w14:paraId="64FAFB49" w14:textId="77777777" w:rsidR="00561B22" w:rsidRPr="004F6DB7" w:rsidRDefault="00561B22" w:rsidP="00561B22">
      <w:pPr>
        <w:pStyle w:val="Textoindependiente"/>
        <w:ind w:right="-50"/>
        <w:jc w:val="center"/>
        <w:rPr>
          <w:rFonts w:ascii="Arial" w:hAnsi="Arial" w:cs="Arial"/>
          <w:b/>
          <w:bCs/>
        </w:rPr>
      </w:pPr>
      <w:r w:rsidRPr="004F6DB7">
        <w:rPr>
          <w:rFonts w:ascii="Arial" w:hAnsi="Arial" w:cs="Arial"/>
          <w:b/>
          <w:bCs/>
        </w:rPr>
        <w:t>INFORME DE LA AUTOCALIFICACIÓN DEL SISTEMA DE CONTROL INTERNO CONTABLE:</w:t>
      </w:r>
    </w:p>
    <w:p w14:paraId="0B870520" w14:textId="77777777" w:rsidR="00561B22" w:rsidRPr="004F6DB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F6DB7" w14:paraId="5F412A3B" w14:textId="77777777" w:rsidTr="00F1223B">
        <w:tc>
          <w:tcPr>
            <w:tcW w:w="4981" w:type="dxa"/>
          </w:tcPr>
          <w:p w14:paraId="55DC5BCA"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AUTOCALIFICACIÓN</w:t>
            </w:r>
          </w:p>
        </w:tc>
        <w:tc>
          <w:tcPr>
            <w:tcW w:w="4981" w:type="dxa"/>
          </w:tcPr>
          <w:p w14:paraId="01BA32F2" w14:textId="77777777" w:rsidR="00561B22" w:rsidRPr="004F6DB7" w:rsidRDefault="00561B22" w:rsidP="00F1223B">
            <w:pPr>
              <w:jc w:val="center"/>
              <w:rPr>
                <w:rFonts w:ascii="Arial" w:hAnsi="Arial" w:cs="Arial"/>
                <w:b/>
                <w:sz w:val="22"/>
                <w:szCs w:val="22"/>
                <w:u w:val="single"/>
                <w:lang w:val="es-MX"/>
              </w:rPr>
            </w:pPr>
            <w:r w:rsidRPr="004F6DB7">
              <w:rPr>
                <w:rFonts w:ascii="Arial" w:hAnsi="Arial" w:cs="Arial"/>
                <w:b/>
                <w:sz w:val="22"/>
                <w:szCs w:val="22"/>
                <w:u w:val="single"/>
                <w:lang w:val="es-MX"/>
              </w:rPr>
              <w:t>4.77</w:t>
            </w:r>
          </w:p>
        </w:tc>
      </w:tr>
    </w:tbl>
    <w:p w14:paraId="61FDFBBD" w14:textId="77777777" w:rsidR="00561B22" w:rsidRPr="004F6DB7" w:rsidRDefault="00561B22" w:rsidP="00561B22">
      <w:pPr>
        <w:pStyle w:val="Textoindependiente"/>
        <w:ind w:right="-50"/>
        <w:jc w:val="both"/>
        <w:rPr>
          <w:rFonts w:ascii="Arial" w:hAnsi="Arial" w:cs="Arial"/>
          <w:b/>
          <w:bCs/>
        </w:rPr>
      </w:pPr>
    </w:p>
    <w:p w14:paraId="67AF7E7D" w14:textId="77777777" w:rsidR="00561B22" w:rsidRPr="004F6DB7" w:rsidRDefault="00561B22" w:rsidP="00561B22">
      <w:pPr>
        <w:pStyle w:val="Textoindependiente"/>
        <w:ind w:right="-50"/>
        <w:jc w:val="both"/>
        <w:rPr>
          <w:rFonts w:ascii="Arial" w:hAnsi="Arial" w:cs="Arial"/>
          <w:b/>
          <w:bCs/>
        </w:rPr>
      </w:pPr>
      <w:r w:rsidRPr="004F6DB7">
        <w:rPr>
          <w:rFonts w:ascii="Arial" w:hAnsi="Arial" w:cs="Arial"/>
          <w:b/>
          <w:bCs/>
        </w:rPr>
        <w:t>Del informe enviado retomamos lo siguiente:</w:t>
      </w:r>
    </w:p>
    <w:p w14:paraId="529472C7" w14:textId="77777777" w:rsidR="00561B22" w:rsidRPr="004F6DB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F6DB7" w14:paraId="6571B7CF" w14:textId="77777777" w:rsidTr="00F1223B">
        <w:tc>
          <w:tcPr>
            <w:tcW w:w="562" w:type="dxa"/>
          </w:tcPr>
          <w:p w14:paraId="24040F51" w14:textId="77777777" w:rsidR="00561B22" w:rsidRPr="004F6DB7" w:rsidRDefault="00561B22" w:rsidP="00F1223B">
            <w:pPr>
              <w:ind w:right="-109"/>
              <w:jc w:val="center"/>
              <w:rPr>
                <w:rFonts w:ascii="Arial" w:hAnsi="Arial" w:cs="Arial"/>
                <w:b/>
                <w:sz w:val="22"/>
                <w:szCs w:val="22"/>
                <w:lang w:val="es-MX"/>
              </w:rPr>
            </w:pPr>
            <w:r w:rsidRPr="004F6DB7">
              <w:rPr>
                <w:rFonts w:ascii="Arial" w:hAnsi="Arial" w:cs="Arial"/>
                <w:b/>
                <w:sz w:val="22"/>
                <w:szCs w:val="22"/>
                <w:lang w:val="es-MX"/>
              </w:rPr>
              <w:t>N°</w:t>
            </w:r>
          </w:p>
        </w:tc>
        <w:tc>
          <w:tcPr>
            <w:tcW w:w="9400" w:type="dxa"/>
          </w:tcPr>
          <w:p w14:paraId="1BB76385" w14:textId="222A8228" w:rsidR="00561B22" w:rsidRPr="004F6DB7" w:rsidRDefault="00561B22" w:rsidP="001D36B9">
            <w:pPr>
              <w:jc w:val="center"/>
              <w:rPr>
                <w:rFonts w:ascii="Arial" w:hAnsi="Arial" w:cs="Arial"/>
                <w:b/>
                <w:sz w:val="22"/>
                <w:szCs w:val="22"/>
                <w:lang w:val="es-MX"/>
              </w:rPr>
            </w:pPr>
            <w:r w:rsidRPr="004F6DB7">
              <w:rPr>
                <w:rFonts w:ascii="Arial" w:hAnsi="Arial" w:cs="Arial"/>
                <w:b/>
                <w:sz w:val="22"/>
                <w:szCs w:val="22"/>
                <w:lang w:val="es-MX"/>
              </w:rPr>
              <w:t>DEBILIDADES</w:t>
            </w:r>
          </w:p>
        </w:tc>
      </w:tr>
      <w:tr w:rsidR="00561B22" w:rsidRPr="004F6DB7" w14:paraId="597E8382" w14:textId="77777777" w:rsidTr="00F1223B">
        <w:tc>
          <w:tcPr>
            <w:tcW w:w="562" w:type="dxa"/>
          </w:tcPr>
          <w:p w14:paraId="56A57FE0"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lastRenderedPageBreak/>
              <w:t>1</w:t>
            </w:r>
          </w:p>
        </w:tc>
        <w:tc>
          <w:tcPr>
            <w:tcW w:w="9400" w:type="dxa"/>
          </w:tcPr>
          <w:p w14:paraId="2627A1FF"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 xml:space="preserve">Falta de oportunidad en la aplicación de recaudos afectando el principio de causación de los hechos; generando sobreestimación de la cuentas: 131102003 Sanciones Disciplinarias, 131102005 Sanciones Administrativas, 138402 Aportes Pensionales y 138490002 Mayores Valores Pagados, 138408 Cuotas Partes de Pensiones y 138435 Otros Intereses de Mora; se identificaron 469 obligaciones en partidas conciliatorias por recaudos de $298,89 millones que desde enero de 2024 no han sido registradas en SIIF Nación. </w:t>
            </w:r>
          </w:p>
        </w:tc>
      </w:tr>
      <w:tr w:rsidR="00561B22" w:rsidRPr="004F6DB7" w14:paraId="1115A405" w14:textId="77777777" w:rsidTr="00F1223B">
        <w:tc>
          <w:tcPr>
            <w:tcW w:w="562" w:type="dxa"/>
          </w:tcPr>
          <w:p w14:paraId="65880431"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2</w:t>
            </w:r>
          </w:p>
        </w:tc>
        <w:tc>
          <w:tcPr>
            <w:tcW w:w="9400" w:type="dxa"/>
          </w:tcPr>
          <w:p w14:paraId="2E15B035"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Los documentos almacenados en la Nube o Unidad Virtual asignada a cada dependencia, no contemplan el uso de las TRD aprobadas, ni diligenciamiento del FUID, ni hoja de control; que permita la adecuada ordenación, conservación y recuperación de la información.</w:t>
            </w:r>
          </w:p>
        </w:tc>
      </w:tr>
      <w:tr w:rsidR="00561B22" w:rsidRPr="004F6DB7" w14:paraId="02BC249F" w14:textId="77777777" w:rsidTr="00F1223B">
        <w:tc>
          <w:tcPr>
            <w:tcW w:w="562" w:type="dxa"/>
          </w:tcPr>
          <w:p w14:paraId="0642013A"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3</w:t>
            </w:r>
          </w:p>
        </w:tc>
        <w:tc>
          <w:tcPr>
            <w:tcW w:w="9400" w:type="dxa"/>
          </w:tcPr>
          <w:p w14:paraId="2D35C465"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 xml:space="preserve">En Informe de Auditoría del 6-nov-2024 realizado al Proceso de Gestión Contable y Tesorería a junio de 2024; se identificaron desviaciones referentes a la falta de conciliación de procesos de cobro por Aportes Pensionales y Sanciones Administrativas, entre la Subdirección de Cobranzas y las Subdirecciones de Nómina de Pensionados y determinación de Obligaciones. </w:t>
            </w:r>
          </w:p>
        </w:tc>
      </w:tr>
      <w:tr w:rsidR="00561B22" w:rsidRPr="004F6DB7" w14:paraId="3D76B503" w14:textId="77777777" w:rsidTr="00F1223B">
        <w:tc>
          <w:tcPr>
            <w:tcW w:w="562" w:type="dxa"/>
          </w:tcPr>
          <w:p w14:paraId="06D597A5"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4</w:t>
            </w:r>
          </w:p>
        </w:tc>
        <w:tc>
          <w:tcPr>
            <w:tcW w:w="9400" w:type="dxa"/>
          </w:tcPr>
          <w:p w14:paraId="4B274B0B"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No se observó la formulación de indicadores pertinentes para realizar los análisis e informar adecuadamente la situación, resultados y tendencias en la gestión de la entidad, que permitan evaluar permanentemente la gestión y los resultados de la entidad. No se observó un documento que oriente la interpretación de la información contable, donde su objetivo determine el conjunto de indicadores o razones financieras para analizar e interpretar la realidad financiera de la Entidad.</w:t>
            </w:r>
          </w:p>
        </w:tc>
      </w:tr>
      <w:tr w:rsidR="00561B22" w:rsidRPr="004F6DB7" w14:paraId="7727297B" w14:textId="77777777" w:rsidTr="00F1223B">
        <w:tc>
          <w:tcPr>
            <w:tcW w:w="562" w:type="dxa"/>
          </w:tcPr>
          <w:p w14:paraId="0E0AFE59"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5</w:t>
            </w:r>
          </w:p>
        </w:tc>
        <w:tc>
          <w:tcPr>
            <w:tcW w:w="9400" w:type="dxa"/>
          </w:tcPr>
          <w:p w14:paraId="56CC5008"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 xml:space="preserve">Reporte de la información financiera y sus revelaciones con falta de oportunidad a la OCI, limitando el análisis y verificación de la información, para desarrollar la Evaluación al Sistema de Control Interno Contable vigencia 2024; siendo las 4:00 p.m. del 28-feb-2025 no se allegaron los Estados Financieros refrendados y sus notas explicativas para su evaluación.  </w:t>
            </w:r>
          </w:p>
        </w:tc>
      </w:tr>
    </w:tbl>
    <w:p w14:paraId="346F4713" w14:textId="77777777" w:rsidR="00561B22" w:rsidRPr="004F6DB7" w:rsidRDefault="00561B22" w:rsidP="00561B22">
      <w:pPr>
        <w:pStyle w:val="Textoindependiente"/>
        <w:ind w:right="-50"/>
        <w:jc w:val="both"/>
        <w:rPr>
          <w:rFonts w:ascii="Arial" w:hAnsi="Arial" w:cs="Arial"/>
          <w:b/>
          <w:bCs/>
        </w:rPr>
      </w:pPr>
    </w:p>
    <w:p w14:paraId="2C067341" w14:textId="77777777" w:rsidR="00561B22" w:rsidRPr="004F6DB7" w:rsidRDefault="00561B22" w:rsidP="00561B22">
      <w:pPr>
        <w:jc w:val="both"/>
        <w:rPr>
          <w:rFonts w:ascii="Arial" w:hAnsi="Arial" w:cs="Arial"/>
          <w:b/>
          <w:lang w:val="es-MX"/>
        </w:rPr>
      </w:pPr>
      <w:r w:rsidRPr="004F6DB7">
        <w:rPr>
          <w:rFonts w:ascii="Arial" w:hAnsi="Arial" w:cs="Arial"/>
          <w:b/>
          <w:lang w:val="es-MX"/>
        </w:rPr>
        <w:t>Del citado informe retomamos las siguientes recomendaciones:</w:t>
      </w:r>
    </w:p>
    <w:p w14:paraId="0E8045CE" w14:textId="77777777" w:rsidR="00561B22" w:rsidRPr="004F6DB7"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F6DB7" w14:paraId="00ED4F02" w14:textId="77777777" w:rsidTr="00F1223B">
        <w:tc>
          <w:tcPr>
            <w:tcW w:w="562" w:type="dxa"/>
          </w:tcPr>
          <w:p w14:paraId="6A02A45C" w14:textId="77777777" w:rsidR="00561B22" w:rsidRPr="004F6DB7" w:rsidRDefault="00561B22" w:rsidP="00F1223B">
            <w:pPr>
              <w:ind w:right="-109"/>
              <w:jc w:val="center"/>
              <w:rPr>
                <w:rFonts w:ascii="Arial" w:hAnsi="Arial" w:cs="Arial"/>
                <w:b/>
                <w:sz w:val="22"/>
                <w:szCs w:val="22"/>
                <w:lang w:val="es-MX"/>
              </w:rPr>
            </w:pPr>
            <w:r w:rsidRPr="004F6DB7">
              <w:rPr>
                <w:rFonts w:ascii="Arial" w:hAnsi="Arial" w:cs="Arial"/>
                <w:b/>
                <w:sz w:val="22"/>
                <w:szCs w:val="22"/>
                <w:lang w:val="es-MX"/>
              </w:rPr>
              <w:t>N°</w:t>
            </w:r>
          </w:p>
        </w:tc>
        <w:tc>
          <w:tcPr>
            <w:tcW w:w="9400" w:type="dxa"/>
          </w:tcPr>
          <w:p w14:paraId="026843EE"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RECOMENDACIONES</w:t>
            </w:r>
          </w:p>
          <w:p w14:paraId="7502A127" w14:textId="77777777" w:rsidR="00561B22" w:rsidRPr="004F6DB7" w:rsidRDefault="00561B22" w:rsidP="00F1223B">
            <w:pPr>
              <w:jc w:val="center"/>
              <w:rPr>
                <w:rFonts w:ascii="Arial" w:hAnsi="Arial" w:cs="Arial"/>
                <w:b/>
                <w:sz w:val="22"/>
                <w:szCs w:val="22"/>
                <w:lang w:val="es-MX"/>
              </w:rPr>
            </w:pPr>
          </w:p>
        </w:tc>
      </w:tr>
      <w:tr w:rsidR="00561B22" w:rsidRPr="004F6DB7" w14:paraId="2B2FEF0C" w14:textId="77777777" w:rsidTr="00F1223B">
        <w:tc>
          <w:tcPr>
            <w:tcW w:w="562" w:type="dxa"/>
          </w:tcPr>
          <w:p w14:paraId="2AFCB141"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1</w:t>
            </w:r>
          </w:p>
        </w:tc>
        <w:tc>
          <w:tcPr>
            <w:tcW w:w="9400" w:type="dxa"/>
          </w:tcPr>
          <w:p w14:paraId="3B28E6ED"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 xml:space="preserve">Se recomienda que el Comité de Cartera de imposible recaudo sesione al menos una vez al mes a fin de garantizar la actualización constante de la cartera para evitar su sobreestimación, y garantizar que los estados financieros reflejen una situación realista de los activos. </w:t>
            </w:r>
          </w:p>
        </w:tc>
      </w:tr>
      <w:tr w:rsidR="00561B22" w:rsidRPr="004F6DB7" w14:paraId="55428CA6" w14:textId="77777777" w:rsidTr="00F1223B">
        <w:tc>
          <w:tcPr>
            <w:tcW w:w="562" w:type="dxa"/>
          </w:tcPr>
          <w:p w14:paraId="68F27287"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2</w:t>
            </w:r>
          </w:p>
        </w:tc>
        <w:tc>
          <w:tcPr>
            <w:tcW w:w="9400" w:type="dxa"/>
          </w:tcPr>
          <w:p w14:paraId="382096B6"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Realizar la rendición de cuentas al inicio de cada año, en aras fomentar una cultura organizacional basada en la transparencia y la responsabilidad. La rendición inmediata asegura que las decisiones se basen en información actualizada, lo cual es fundamental para el éxito sostenible de la organización.</w:t>
            </w:r>
          </w:p>
        </w:tc>
      </w:tr>
      <w:tr w:rsidR="00561B22" w:rsidRPr="004F6DB7" w14:paraId="3EF45AB2" w14:textId="77777777" w:rsidTr="00F1223B">
        <w:tc>
          <w:tcPr>
            <w:tcW w:w="562" w:type="dxa"/>
          </w:tcPr>
          <w:p w14:paraId="751A8F8C"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3</w:t>
            </w:r>
          </w:p>
        </w:tc>
        <w:tc>
          <w:tcPr>
            <w:tcW w:w="9400" w:type="dxa"/>
          </w:tcPr>
          <w:p w14:paraId="1701E67F"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La Oficina de Control Interno recomienda a la Subdirección Financiera establecer el mecanismo más eficiente en la consolidación de los hechos económicos que garantice la entrega oportuna de los estados financieros, conforme a los plazos establecidos.</w:t>
            </w:r>
          </w:p>
        </w:tc>
      </w:tr>
      <w:tr w:rsidR="00561B22" w:rsidRPr="004F6DB7" w14:paraId="62D3C1E5" w14:textId="77777777" w:rsidTr="00F1223B">
        <w:tc>
          <w:tcPr>
            <w:tcW w:w="562" w:type="dxa"/>
          </w:tcPr>
          <w:p w14:paraId="3F484039"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4</w:t>
            </w:r>
          </w:p>
        </w:tc>
        <w:tc>
          <w:tcPr>
            <w:tcW w:w="9400" w:type="dxa"/>
          </w:tcPr>
          <w:p w14:paraId="51D49137"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Aplicar los lineamientos establecidos por el Archivo General de la Nación - AGN relativo a la custodia y conservación de documentos electrónicos.</w:t>
            </w:r>
          </w:p>
        </w:tc>
      </w:tr>
      <w:tr w:rsidR="00561B22" w:rsidRPr="004F6DB7" w14:paraId="4689EBF2" w14:textId="77777777" w:rsidTr="00F1223B">
        <w:tc>
          <w:tcPr>
            <w:tcW w:w="562" w:type="dxa"/>
          </w:tcPr>
          <w:p w14:paraId="70C26301" w14:textId="77777777" w:rsidR="00561B22" w:rsidRPr="004F6DB7" w:rsidRDefault="00561B22" w:rsidP="00F1223B">
            <w:pPr>
              <w:jc w:val="center"/>
              <w:rPr>
                <w:rFonts w:ascii="Arial" w:hAnsi="Arial" w:cs="Arial"/>
                <w:b/>
                <w:sz w:val="22"/>
                <w:szCs w:val="22"/>
                <w:lang w:val="es-MX"/>
              </w:rPr>
            </w:pPr>
            <w:r w:rsidRPr="004F6DB7">
              <w:rPr>
                <w:rFonts w:ascii="Arial" w:hAnsi="Arial" w:cs="Arial"/>
                <w:b/>
                <w:sz w:val="22"/>
                <w:szCs w:val="22"/>
                <w:lang w:val="es-MX"/>
              </w:rPr>
              <w:t>5</w:t>
            </w:r>
          </w:p>
        </w:tc>
        <w:tc>
          <w:tcPr>
            <w:tcW w:w="9400" w:type="dxa"/>
          </w:tcPr>
          <w:p w14:paraId="6C5CFE05" w14:textId="77777777" w:rsidR="00561B22" w:rsidRPr="004F6DB7" w:rsidRDefault="00561B22" w:rsidP="00F1223B">
            <w:pPr>
              <w:jc w:val="both"/>
              <w:rPr>
                <w:rFonts w:ascii="Arial" w:hAnsi="Arial" w:cs="Arial"/>
                <w:bCs/>
                <w:sz w:val="22"/>
                <w:szCs w:val="22"/>
                <w:lang w:val="es-MX"/>
              </w:rPr>
            </w:pPr>
            <w:r w:rsidRPr="004F6DB7">
              <w:rPr>
                <w:rFonts w:ascii="Arial" w:hAnsi="Arial" w:cs="Arial"/>
                <w:bCs/>
                <w:sz w:val="22"/>
                <w:szCs w:val="22"/>
                <w:lang w:val="es-MX"/>
              </w:rPr>
              <w:t xml:space="preserve">Documentar en una guía o documento que oriente la interpretación de la información contable, donde su objetivo determine el conjunto de indicadores o razones financieras para analizar e interpretar la realidad financiera de la Entidad; permitiendo realizar los análisis e informar adecuadamente la situación, resultados y tendencias en la gestión de la entidad, que permitan evaluar permanentemente la gestión y los resultados de la entidad.  </w:t>
            </w:r>
          </w:p>
        </w:tc>
      </w:tr>
    </w:tbl>
    <w:p w14:paraId="342D6C92" w14:textId="77777777" w:rsidR="00561B22" w:rsidRPr="004F6DB7" w:rsidRDefault="00561B22" w:rsidP="00561B22">
      <w:pPr>
        <w:pStyle w:val="Textoindependiente"/>
        <w:ind w:right="-50"/>
        <w:jc w:val="both"/>
        <w:rPr>
          <w:rFonts w:ascii="Arial" w:hAnsi="Arial" w:cs="Arial"/>
          <w:b/>
          <w:bCs/>
        </w:rPr>
      </w:pPr>
    </w:p>
    <w:p w14:paraId="4DAAE5B8" w14:textId="77777777" w:rsidR="00561B22" w:rsidRPr="004F6DB7" w:rsidRDefault="00561B22" w:rsidP="00561B22">
      <w:pPr>
        <w:jc w:val="both"/>
        <w:rPr>
          <w:rFonts w:ascii="Arial" w:hAnsi="Arial" w:cs="Arial"/>
          <w:b/>
          <w:bCs/>
          <w:lang w:val="es-CO"/>
        </w:rPr>
      </w:pPr>
      <w:r w:rsidRPr="004F6DB7">
        <w:rPr>
          <w:rFonts w:ascii="Arial" w:hAnsi="Arial" w:cs="Arial"/>
          <w:b/>
          <w:bCs/>
          <w:lang w:val="es-CO"/>
        </w:rPr>
        <w:t xml:space="preserve">NOTA: LA ENTIDAD ENVÍA LA MATRIZ DE AUTOEVALUACIÓN DEL SISTEMA DE CONTROL INTERNO CONTABLE CON </w:t>
      </w:r>
      <w:r w:rsidRPr="004F6DB7">
        <w:rPr>
          <w:rFonts w:ascii="Arial" w:hAnsi="Arial" w:cs="Arial"/>
          <w:b/>
          <w:bCs/>
          <w:u w:val="single"/>
          <w:lang w:val="es-CO"/>
        </w:rPr>
        <w:t>ACTIVIDADES DE CONTROL REALIZADAS EN FORMA PARCIAL</w:t>
      </w:r>
      <w:r w:rsidRPr="004F6DB7">
        <w:rPr>
          <w:rFonts w:ascii="Arial" w:hAnsi="Arial" w:cs="Arial"/>
          <w:b/>
          <w:bCs/>
          <w:lang w:val="es-CO"/>
        </w:rPr>
        <w:t>.</w:t>
      </w:r>
    </w:p>
    <w:p w14:paraId="303BA507" w14:textId="77777777" w:rsidR="00561B22" w:rsidRDefault="00561B22" w:rsidP="00561B22">
      <w:pPr>
        <w:ind w:right="49"/>
        <w:jc w:val="both"/>
        <w:rPr>
          <w:rFonts w:ascii="Arial" w:hAnsi="Arial" w:cs="Arial"/>
          <w:b/>
          <w:sz w:val="28"/>
          <w:szCs w:val="28"/>
          <w:lang w:val="es-MX"/>
        </w:rPr>
      </w:pPr>
    </w:p>
    <w:p w14:paraId="7B36C792" w14:textId="77777777" w:rsidR="00561B22" w:rsidRPr="00163274" w:rsidRDefault="00561B22" w:rsidP="00561B22">
      <w:pPr>
        <w:ind w:right="49"/>
        <w:jc w:val="both"/>
        <w:rPr>
          <w:rFonts w:ascii="Arial" w:hAnsi="Arial" w:cs="Arial"/>
          <w:b/>
          <w:sz w:val="28"/>
          <w:szCs w:val="28"/>
          <w:lang w:val="es-MX"/>
        </w:rPr>
      </w:pPr>
      <w:r w:rsidRPr="00163274">
        <w:rPr>
          <w:rFonts w:ascii="Arial" w:hAnsi="Arial" w:cs="Arial"/>
          <w:b/>
          <w:sz w:val="28"/>
          <w:szCs w:val="28"/>
          <w:lang w:val="es-MX"/>
        </w:rPr>
        <w:t>257.- AGENCIA PARA LA REINCORPORACIÓN Y LA NORMALIZACIÓN – ARN.</w:t>
      </w:r>
    </w:p>
    <w:p w14:paraId="7F93178F" w14:textId="77777777" w:rsidR="00561B22" w:rsidRDefault="00561B22" w:rsidP="00561B22">
      <w:pPr>
        <w:pStyle w:val="Textoindependiente"/>
        <w:ind w:right="-50"/>
        <w:jc w:val="both"/>
        <w:rPr>
          <w:b/>
          <w:bCs/>
          <w:sz w:val="28"/>
          <w:szCs w:val="28"/>
        </w:rPr>
      </w:pPr>
    </w:p>
    <w:p w14:paraId="48FBBBF7" w14:textId="77777777" w:rsidR="00561B22" w:rsidRPr="00D81CEF" w:rsidRDefault="00561B22" w:rsidP="00561B22">
      <w:pPr>
        <w:pStyle w:val="Textoindependiente"/>
        <w:ind w:right="-50"/>
        <w:jc w:val="center"/>
        <w:rPr>
          <w:rFonts w:ascii="Arial" w:hAnsi="Arial" w:cs="Arial"/>
          <w:b/>
          <w:bCs/>
        </w:rPr>
      </w:pPr>
      <w:r w:rsidRPr="00D81CEF">
        <w:rPr>
          <w:rFonts w:ascii="Arial" w:hAnsi="Arial" w:cs="Arial"/>
          <w:b/>
          <w:bCs/>
        </w:rPr>
        <w:t>INFORME DE LA AUTOCALIFICACIÓN DEL SISTEMA DE CONTROL INTERNO CONTABLE:</w:t>
      </w:r>
    </w:p>
    <w:p w14:paraId="7C66C5AC" w14:textId="77777777" w:rsidR="00561B22" w:rsidRPr="00D81CE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81CEF" w14:paraId="58F0378A" w14:textId="77777777" w:rsidTr="00F1223B">
        <w:tc>
          <w:tcPr>
            <w:tcW w:w="4981" w:type="dxa"/>
          </w:tcPr>
          <w:p w14:paraId="0DBA5A9D"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AUTOCALIFICACIÓN</w:t>
            </w:r>
          </w:p>
        </w:tc>
        <w:tc>
          <w:tcPr>
            <w:tcW w:w="4981" w:type="dxa"/>
          </w:tcPr>
          <w:p w14:paraId="4132E7B7" w14:textId="77777777" w:rsidR="00561B22" w:rsidRPr="00D81CEF" w:rsidRDefault="00561B22" w:rsidP="00F1223B">
            <w:pPr>
              <w:jc w:val="center"/>
              <w:rPr>
                <w:rFonts w:ascii="Arial" w:hAnsi="Arial" w:cs="Arial"/>
                <w:b/>
                <w:sz w:val="22"/>
                <w:szCs w:val="22"/>
                <w:u w:val="single"/>
                <w:lang w:val="es-MX"/>
              </w:rPr>
            </w:pPr>
            <w:r w:rsidRPr="00D81CEF">
              <w:rPr>
                <w:rFonts w:ascii="Arial" w:hAnsi="Arial" w:cs="Arial"/>
                <w:b/>
                <w:sz w:val="22"/>
                <w:szCs w:val="22"/>
                <w:u w:val="single"/>
                <w:lang w:val="es-MX"/>
              </w:rPr>
              <w:t>4.82</w:t>
            </w:r>
          </w:p>
        </w:tc>
      </w:tr>
    </w:tbl>
    <w:p w14:paraId="128F7DBB" w14:textId="77777777" w:rsidR="00561B22" w:rsidRPr="00D81CEF" w:rsidRDefault="00561B22" w:rsidP="00561B22">
      <w:pPr>
        <w:pStyle w:val="Textoindependiente"/>
        <w:ind w:right="-50"/>
        <w:jc w:val="both"/>
        <w:rPr>
          <w:rFonts w:ascii="Arial" w:hAnsi="Arial" w:cs="Arial"/>
          <w:b/>
          <w:bCs/>
        </w:rPr>
      </w:pPr>
    </w:p>
    <w:p w14:paraId="25D7252F" w14:textId="77777777" w:rsidR="00561B22" w:rsidRPr="00D81CEF" w:rsidRDefault="00561B22" w:rsidP="00561B22">
      <w:pPr>
        <w:pStyle w:val="Textoindependiente"/>
        <w:ind w:right="-50"/>
        <w:jc w:val="both"/>
        <w:rPr>
          <w:rFonts w:ascii="Arial" w:hAnsi="Arial" w:cs="Arial"/>
          <w:b/>
          <w:bCs/>
        </w:rPr>
      </w:pPr>
      <w:r w:rsidRPr="00D81CEF">
        <w:rPr>
          <w:rFonts w:ascii="Arial" w:hAnsi="Arial" w:cs="Arial"/>
          <w:b/>
          <w:bCs/>
        </w:rPr>
        <w:t>Del informe enviado retomamos lo siguiente:</w:t>
      </w:r>
    </w:p>
    <w:p w14:paraId="49BA4308" w14:textId="77777777" w:rsidR="00561B22" w:rsidRPr="00D81CE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81CEF" w14:paraId="65F197BF" w14:textId="77777777" w:rsidTr="00F1223B">
        <w:tc>
          <w:tcPr>
            <w:tcW w:w="562" w:type="dxa"/>
          </w:tcPr>
          <w:p w14:paraId="09AA6446" w14:textId="77777777" w:rsidR="00561B22" w:rsidRPr="00D81CEF" w:rsidRDefault="00561B22" w:rsidP="00F1223B">
            <w:pPr>
              <w:ind w:right="-109"/>
              <w:jc w:val="center"/>
              <w:rPr>
                <w:rFonts w:ascii="Arial" w:hAnsi="Arial" w:cs="Arial"/>
                <w:b/>
                <w:sz w:val="22"/>
                <w:szCs w:val="22"/>
                <w:lang w:val="es-MX"/>
              </w:rPr>
            </w:pPr>
            <w:r w:rsidRPr="00D81CEF">
              <w:rPr>
                <w:rFonts w:ascii="Arial" w:hAnsi="Arial" w:cs="Arial"/>
                <w:b/>
                <w:sz w:val="22"/>
                <w:szCs w:val="22"/>
                <w:lang w:val="es-MX"/>
              </w:rPr>
              <w:t>N°</w:t>
            </w:r>
          </w:p>
        </w:tc>
        <w:tc>
          <w:tcPr>
            <w:tcW w:w="9400" w:type="dxa"/>
          </w:tcPr>
          <w:p w14:paraId="68D58727"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DEBILIDADES</w:t>
            </w:r>
          </w:p>
          <w:p w14:paraId="62AEC612" w14:textId="77777777" w:rsidR="00561B22" w:rsidRPr="00D81CEF" w:rsidRDefault="00561B22" w:rsidP="00F1223B">
            <w:pPr>
              <w:jc w:val="center"/>
              <w:rPr>
                <w:rFonts w:ascii="Arial" w:hAnsi="Arial" w:cs="Arial"/>
                <w:b/>
                <w:sz w:val="22"/>
                <w:szCs w:val="22"/>
                <w:lang w:val="es-MX"/>
              </w:rPr>
            </w:pPr>
          </w:p>
        </w:tc>
      </w:tr>
      <w:tr w:rsidR="00561B22" w:rsidRPr="00D81CEF" w14:paraId="724E36FA" w14:textId="77777777" w:rsidTr="00F1223B">
        <w:tc>
          <w:tcPr>
            <w:tcW w:w="562" w:type="dxa"/>
          </w:tcPr>
          <w:p w14:paraId="00577A38"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1</w:t>
            </w:r>
          </w:p>
        </w:tc>
        <w:tc>
          <w:tcPr>
            <w:tcW w:w="9400" w:type="dxa"/>
          </w:tcPr>
          <w:p w14:paraId="36F8652D"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Debilidades en la descripción de riesgos y controles asociados a la evaluación del Control Interno Contable y deterioro de propiedad planta y equipo e intangibles. </w:t>
            </w:r>
          </w:p>
        </w:tc>
      </w:tr>
      <w:tr w:rsidR="00561B22" w:rsidRPr="00D81CEF" w14:paraId="60D45324" w14:textId="77777777" w:rsidTr="00F1223B">
        <w:tc>
          <w:tcPr>
            <w:tcW w:w="562" w:type="dxa"/>
          </w:tcPr>
          <w:p w14:paraId="3DA015EC"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2</w:t>
            </w:r>
          </w:p>
        </w:tc>
        <w:tc>
          <w:tcPr>
            <w:tcW w:w="9400" w:type="dxa"/>
          </w:tcPr>
          <w:p w14:paraId="4175D760"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Entregan información contable extemporánea por parte de las dependencias a Gestión Financiera. </w:t>
            </w:r>
          </w:p>
        </w:tc>
      </w:tr>
      <w:tr w:rsidR="00561B22" w:rsidRPr="00D81CEF" w14:paraId="357FCDCE" w14:textId="77777777" w:rsidTr="00F1223B">
        <w:tc>
          <w:tcPr>
            <w:tcW w:w="562" w:type="dxa"/>
          </w:tcPr>
          <w:p w14:paraId="4C86810A"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3</w:t>
            </w:r>
          </w:p>
        </w:tc>
        <w:tc>
          <w:tcPr>
            <w:tcW w:w="9400" w:type="dxa"/>
          </w:tcPr>
          <w:p w14:paraId="5F114B3A"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Conciliaciones sin evidencia o Conciliaciones y formatos de inventarios individualizados sin firmas por parte de los responsables. </w:t>
            </w:r>
          </w:p>
        </w:tc>
      </w:tr>
      <w:tr w:rsidR="00561B22" w:rsidRPr="00D81CEF" w14:paraId="39F57FB3" w14:textId="77777777" w:rsidTr="00F1223B">
        <w:tc>
          <w:tcPr>
            <w:tcW w:w="562" w:type="dxa"/>
          </w:tcPr>
          <w:p w14:paraId="03073A98"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4</w:t>
            </w:r>
          </w:p>
        </w:tc>
        <w:tc>
          <w:tcPr>
            <w:tcW w:w="9400" w:type="dxa"/>
          </w:tcPr>
          <w:p w14:paraId="475F9C21"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El Manual de Políticas Contables no se encuentra actualizado respecto al comité de Presupuesto y Sostenibilidad Contable y su alcance en cuanto a la información contable. </w:t>
            </w:r>
          </w:p>
        </w:tc>
      </w:tr>
      <w:tr w:rsidR="00561B22" w:rsidRPr="00D81CEF" w14:paraId="0A101478" w14:textId="77777777" w:rsidTr="00F1223B">
        <w:tc>
          <w:tcPr>
            <w:tcW w:w="562" w:type="dxa"/>
          </w:tcPr>
          <w:p w14:paraId="1A30BB1D"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5</w:t>
            </w:r>
          </w:p>
        </w:tc>
        <w:tc>
          <w:tcPr>
            <w:tcW w:w="9400" w:type="dxa"/>
          </w:tcPr>
          <w:p w14:paraId="5A870D24"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No fue posible realizar el recalculo de la depreciación al 31-12-2024 ya que el archivo suministrado por almacén no trae las diferentes extensiones de vidas útiles y valores mensuales para llegar al valor acumulado. </w:t>
            </w:r>
          </w:p>
        </w:tc>
      </w:tr>
      <w:tr w:rsidR="00561B22" w:rsidRPr="00D81CEF" w14:paraId="45710872" w14:textId="77777777" w:rsidTr="00F1223B">
        <w:tc>
          <w:tcPr>
            <w:tcW w:w="562" w:type="dxa"/>
          </w:tcPr>
          <w:p w14:paraId="25EDF2C6"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6</w:t>
            </w:r>
          </w:p>
        </w:tc>
        <w:tc>
          <w:tcPr>
            <w:tcW w:w="9400" w:type="dxa"/>
          </w:tcPr>
          <w:p w14:paraId="34874BBB"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Falta de inclusión en el archivo de Excel para el cálculo del deterioro de los activos intangibles con vida útil indefinida. </w:t>
            </w:r>
          </w:p>
        </w:tc>
      </w:tr>
      <w:tr w:rsidR="00561B22" w:rsidRPr="00D81CEF" w14:paraId="5FCA290B" w14:textId="77777777" w:rsidTr="00F1223B">
        <w:tc>
          <w:tcPr>
            <w:tcW w:w="562" w:type="dxa"/>
          </w:tcPr>
          <w:p w14:paraId="1C5DCA25"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7</w:t>
            </w:r>
          </w:p>
        </w:tc>
        <w:tc>
          <w:tcPr>
            <w:tcW w:w="9400" w:type="dxa"/>
          </w:tcPr>
          <w:p w14:paraId="5520A0EB" w14:textId="77777777" w:rsidR="00561B22" w:rsidRPr="00D81CEF" w:rsidRDefault="00561B22" w:rsidP="00F1223B">
            <w:pPr>
              <w:jc w:val="both"/>
              <w:rPr>
                <w:rFonts w:ascii="Arial" w:hAnsi="Arial" w:cs="Arial"/>
                <w:sz w:val="22"/>
                <w:szCs w:val="22"/>
              </w:rPr>
            </w:pPr>
            <w:r w:rsidRPr="00D81CEF">
              <w:rPr>
                <w:rFonts w:ascii="Arial" w:hAnsi="Arial" w:cs="Arial"/>
                <w:sz w:val="22"/>
                <w:szCs w:val="22"/>
              </w:rPr>
              <w:t xml:space="preserve">Debilidades en activos no generadores de efectivo por Inconsistencias en las bases de datos insumo para la conciliación contable de activos intangibles, o Cambio en el estado físico o uso de los bienes no reflejados en los estados financieros. </w:t>
            </w:r>
          </w:p>
        </w:tc>
      </w:tr>
      <w:tr w:rsidR="00561B22" w:rsidRPr="00D81CEF" w14:paraId="5B963B8D" w14:textId="77777777" w:rsidTr="00F1223B">
        <w:tc>
          <w:tcPr>
            <w:tcW w:w="562" w:type="dxa"/>
          </w:tcPr>
          <w:p w14:paraId="69956462"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8</w:t>
            </w:r>
          </w:p>
        </w:tc>
        <w:tc>
          <w:tcPr>
            <w:tcW w:w="9400" w:type="dxa"/>
          </w:tcPr>
          <w:p w14:paraId="2338F831" w14:textId="77777777" w:rsidR="00561B22" w:rsidRPr="00D81CEF" w:rsidRDefault="00561B22" w:rsidP="00F1223B">
            <w:pPr>
              <w:jc w:val="both"/>
              <w:rPr>
                <w:rFonts w:ascii="Arial" w:hAnsi="Arial" w:cs="Arial"/>
                <w:sz w:val="22"/>
                <w:szCs w:val="22"/>
              </w:rPr>
            </w:pPr>
            <w:r w:rsidRPr="00D81CEF">
              <w:rPr>
                <w:rFonts w:ascii="Arial" w:hAnsi="Arial" w:cs="Arial"/>
                <w:sz w:val="22"/>
                <w:szCs w:val="22"/>
              </w:rPr>
              <w:t>Presentación de los estados financieros en comités a la Alta Dirección de la Agencia.</w:t>
            </w:r>
          </w:p>
        </w:tc>
      </w:tr>
    </w:tbl>
    <w:p w14:paraId="2D778291" w14:textId="77777777" w:rsidR="00561B22" w:rsidRPr="00D81CEF" w:rsidRDefault="00561B22" w:rsidP="00561B22">
      <w:pPr>
        <w:pStyle w:val="Textoindependiente"/>
        <w:ind w:right="-50"/>
        <w:jc w:val="both"/>
        <w:rPr>
          <w:rFonts w:ascii="Arial" w:hAnsi="Arial" w:cs="Arial"/>
          <w:b/>
          <w:bCs/>
        </w:rPr>
      </w:pPr>
    </w:p>
    <w:p w14:paraId="5CD8AF31" w14:textId="77777777" w:rsidR="00561B22" w:rsidRPr="00D81CEF" w:rsidRDefault="00561B22" w:rsidP="00561B22">
      <w:pPr>
        <w:jc w:val="both"/>
        <w:rPr>
          <w:rFonts w:ascii="Arial" w:hAnsi="Arial" w:cs="Arial"/>
          <w:b/>
          <w:lang w:val="es-MX"/>
        </w:rPr>
      </w:pPr>
      <w:r w:rsidRPr="00D81CEF">
        <w:rPr>
          <w:rFonts w:ascii="Arial" w:hAnsi="Arial" w:cs="Arial"/>
          <w:b/>
          <w:lang w:val="es-MX"/>
        </w:rPr>
        <w:t>Del citado informe retomamos las siguientes recomendaciones:</w:t>
      </w:r>
    </w:p>
    <w:p w14:paraId="7FC5E5AE" w14:textId="77777777" w:rsidR="00561B22" w:rsidRPr="00D81CEF"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D81CEF" w14:paraId="22C14035" w14:textId="77777777" w:rsidTr="00F1223B">
        <w:tc>
          <w:tcPr>
            <w:tcW w:w="562" w:type="dxa"/>
          </w:tcPr>
          <w:p w14:paraId="66094037" w14:textId="77777777" w:rsidR="00561B22" w:rsidRPr="00D81CEF" w:rsidRDefault="00561B22" w:rsidP="00F1223B">
            <w:pPr>
              <w:ind w:right="-109"/>
              <w:jc w:val="center"/>
              <w:rPr>
                <w:rFonts w:ascii="Arial" w:hAnsi="Arial" w:cs="Arial"/>
                <w:b/>
                <w:sz w:val="22"/>
                <w:szCs w:val="22"/>
                <w:lang w:val="es-MX"/>
              </w:rPr>
            </w:pPr>
            <w:r w:rsidRPr="00D81CEF">
              <w:rPr>
                <w:rFonts w:ascii="Arial" w:hAnsi="Arial" w:cs="Arial"/>
                <w:b/>
                <w:sz w:val="22"/>
                <w:szCs w:val="22"/>
                <w:lang w:val="es-MX"/>
              </w:rPr>
              <w:t>N°</w:t>
            </w:r>
          </w:p>
        </w:tc>
        <w:tc>
          <w:tcPr>
            <w:tcW w:w="9400" w:type="dxa"/>
          </w:tcPr>
          <w:p w14:paraId="0BF16F80"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RECOMENDACIONES</w:t>
            </w:r>
          </w:p>
          <w:p w14:paraId="484F3C18" w14:textId="77777777" w:rsidR="00561B22" w:rsidRPr="00D81CEF" w:rsidRDefault="00561B22" w:rsidP="00F1223B">
            <w:pPr>
              <w:jc w:val="center"/>
              <w:rPr>
                <w:rFonts w:ascii="Arial" w:hAnsi="Arial" w:cs="Arial"/>
                <w:b/>
                <w:sz w:val="22"/>
                <w:szCs w:val="22"/>
                <w:lang w:val="es-MX"/>
              </w:rPr>
            </w:pPr>
          </w:p>
        </w:tc>
      </w:tr>
      <w:tr w:rsidR="00561B22" w:rsidRPr="00D81CEF" w14:paraId="093F10EF" w14:textId="77777777" w:rsidTr="00F1223B">
        <w:tc>
          <w:tcPr>
            <w:tcW w:w="562" w:type="dxa"/>
          </w:tcPr>
          <w:p w14:paraId="6AC902C6"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1</w:t>
            </w:r>
          </w:p>
        </w:tc>
        <w:tc>
          <w:tcPr>
            <w:tcW w:w="9400" w:type="dxa"/>
          </w:tcPr>
          <w:p w14:paraId="3C7C57BF"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Seguir desarrollando el Plan de Mejoramiento derivado de la Auditoría de Control Interno Contable Avance (AUD 20247). </w:t>
            </w:r>
          </w:p>
        </w:tc>
      </w:tr>
      <w:tr w:rsidR="00561B22" w:rsidRPr="00D81CEF" w14:paraId="1EE627D0" w14:textId="77777777" w:rsidTr="00F1223B">
        <w:tc>
          <w:tcPr>
            <w:tcW w:w="562" w:type="dxa"/>
          </w:tcPr>
          <w:p w14:paraId="53794C6E"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2</w:t>
            </w:r>
          </w:p>
        </w:tc>
        <w:tc>
          <w:tcPr>
            <w:tcW w:w="9400" w:type="dxa"/>
          </w:tcPr>
          <w:p w14:paraId="6F760D39"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Verificar con las dependencias que proveen información contable para que esta sea entregada oportunamente de acuerdo con el procedimiento para la preparación y presentación de estados financieros. </w:t>
            </w:r>
          </w:p>
        </w:tc>
      </w:tr>
      <w:tr w:rsidR="00561B22" w:rsidRPr="00D81CEF" w14:paraId="65FC1B43" w14:textId="77777777" w:rsidTr="00F1223B">
        <w:tc>
          <w:tcPr>
            <w:tcW w:w="562" w:type="dxa"/>
          </w:tcPr>
          <w:p w14:paraId="7E9223CF"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3</w:t>
            </w:r>
          </w:p>
        </w:tc>
        <w:tc>
          <w:tcPr>
            <w:tcW w:w="9400" w:type="dxa"/>
          </w:tcPr>
          <w:p w14:paraId="4774C6D1"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Validar con las áreas el tiempo establecido para la revisión y firma las conciliaciones con el fin que estas estén verificadas oportunamente. </w:t>
            </w:r>
          </w:p>
        </w:tc>
      </w:tr>
      <w:tr w:rsidR="00561B22" w:rsidRPr="00D81CEF" w14:paraId="76BD207B" w14:textId="77777777" w:rsidTr="00F1223B">
        <w:tc>
          <w:tcPr>
            <w:tcW w:w="562" w:type="dxa"/>
          </w:tcPr>
          <w:p w14:paraId="13AEC34B" w14:textId="77777777" w:rsidR="00561B22" w:rsidRPr="00D81CEF" w:rsidRDefault="00561B22" w:rsidP="00F1223B">
            <w:pPr>
              <w:jc w:val="center"/>
              <w:rPr>
                <w:rFonts w:ascii="Arial" w:hAnsi="Arial" w:cs="Arial"/>
                <w:b/>
                <w:sz w:val="22"/>
                <w:szCs w:val="22"/>
                <w:lang w:val="es-MX"/>
              </w:rPr>
            </w:pPr>
            <w:r w:rsidRPr="00D81CEF">
              <w:rPr>
                <w:rFonts w:ascii="Arial" w:hAnsi="Arial" w:cs="Arial"/>
                <w:b/>
                <w:sz w:val="22"/>
                <w:szCs w:val="22"/>
                <w:lang w:val="es-MX"/>
              </w:rPr>
              <w:t>4</w:t>
            </w:r>
          </w:p>
        </w:tc>
        <w:tc>
          <w:tcPr>
            <w:tcW w:w="9400" w:type="dxa"/>
          </w:tcPr>
          <w:p w14:paraId="3286C194" w14:textId="77777777" w:rsidR="00561B22" w:rsidRPr="00D81CEF" w:rsidRDefault="00561B22" w:rsidP="00F1223B">
            <w:pPr>
              <w:jc w:val="both"/>
              <w:rPr>
                <w:rFonts w:ascii="Arial" w:hAnsi="Arial" w:cs="Arial"/>
                <w:b/>
                <w:sz w:val="22"/>
                <w:szCs w:val="22"/>
                <w:lang w:val="es-MX"/>
              </w:rPr>
            </w:pPr>
            <w:r w:rsidRPr="00D81CEF">
              <w:rPr>
                <w:rFonts w:ascii="Arial" w:hAnsi="Arial" w:cs="Arial"/>
                <w:sz w:val="22"/>
                <w:szCs w:val="22"/>
              </w:rPr>
              <w:t xml:space="preserve">Se recomienda verificar que los inventarios individualizados se encuentren firmados por el responsable de los bienes asignados de acuerdo con lo establecido en el procedimiento asignación y actualización de inventarios GA-P-03. </w:t>
            </w:r>
          </w:p>
        </w:tc>
      </w:tr>
      <w:tr w:rsidR="00561B22" w:rsidRPr="00D81CEF" w14:paraId="26D6AF59" w14:textId="77777777" w:rsidTr="00F1223B">
        <w:tc>
          <w:tcPr>
            <w:tcW w:w="562" w:type="dxa"/>
          </w:tcPr>
          <w:p w14:paraId="50940718" w14:textId="77777777" w:rsidR="00561B22" w:rsidRPr="00D81CEF" w:rsidRDefault="00561B22" w:rsidP="00F1223B">
            <w:pPr>
              <w:jc w:val="center"/>
              <w:rPr>
                <w:rFonts w:ascii="Arial" w:hAnsi="Arial" w:cs="Arial"/>
                <w:b/>
                <w:sz w:val="22"/>
                <w:szCs w:val="22"/>
                <w:lang w:val="es-MX"/>
              </w:rPr>
            </w:pPr>
          </w:p>
        </w:tc>
        <w:tc>
          <w:tcPr>
            <w:tcW w:w="9400" w:type="dxa"/>
          </w:tcPr>
          <w:p w14:paraId="59E0F9A9" w14:textId="77777777" w:rsidR="00561B22" w:rsidRPr="00D81CEF" w:rsidRDefault="00561B22" w:rsidP="00F1223B">
            <w:pPr>
              <w:jc w:val="both"/>
              <w:rPr>
                <w:rFonts w:ascii="Arial" w:hAnsi="Arial" w:cs="Arial"/>
                <w:sz w:val="22"/>
                <w:szCs w:val="22"/>
              </w:rPr>
            </w:pPr>
            <w:r w:rsidRPr="00D81CEF">
              <w:rPr>
                <w:rFonts w:ascii="Arial" w:hAnsi="Arial" w:cs="Arial"/>
                <w:sz w:val="22"/>
                <w:szCs w:val="22"/>
              </w:rPr>
              <w:t xml:space="preserve">Actualizar el Manual de Políticas Contables respecto al Comité de Presupuesto y Sostenibilidad Contable.  </w:t>
            </w:r>
          </w:p>
        </w:tc>
      </w:tr>
      <w:tr w:rsidR="00561B22" w:rsidRPr="00D81CEF" w14:paraId="0FBC1A42" w14:textId="77777777" w:rsidTr="00F1223B">
        <w:tc>
          <w:tcPr>
            <w:tcW w:w="562" w:type="dxa"/>
          </w:tcPr>
          <w:p w14:paraId="1511B2D7" w14:textId="77777777" w:rsidR="00561B22" w:rsidRPr="00D81CEF" w:rsidRDefault="00561B22" w:rsidP="00F1223B">
            <w:pPr>
              <w:jc w:val="center"/>
              <w:rPr>
                <w:rFonts w:ascii="Arial" w:hAnsi="Arial" w:cs="Arial"/>
                <w:b/>
                <w:sz w:val="22"/>
                <w:szCs w:val="22"/>
                <w:lang w:val="es-MX"/>
              </w:rPr>
            </w:pPr>
          </w:p>
        </w:tc>
        <w:tc>
          <w:tcPr>
            <w:tcW w:w="9400" w:type="dxa"/>
          </w:tcPr>
          <w:p w14:paraId="63069CD9" w14:textId="77777777" w:rsidR="00561B22" w:rsidRPr="00D81CEF" w:rsidRDefault="00561B22" w:rsidP="00F1223B">
            <w:pPr>
              <w:jc w:val="both"/>
              <w:rPr>
                <w:rFonts w:ascii="Arial" w:hAnsi="Arial" w:cs="Arial"/>
                <w:sz w:val="22"/>
                <w:szCs w:val="22"/>
              </w:rPr>
            </w:pPr>
            <w:r w:rsidRPr="00D81CEF">
              <w:rPr>
                <w:rFonts w:ascii="Arial" w:hAnsi="Arial" w:cs="Arial"/>
                <w:sz w:val="22"/>
                <w:szCs w:val="22"/>
              </w:rPr>
              <w:t xml:space="preserve">Realizar la comprobación del deterior para los activos intangibles con vida útil indefinida y revisar la integridad de la información respecto al histórico de la extensión de las vidas útiles para el cálculo de la depreciación de Propiedad Planta y Equipo. </w:t>
            </w:r>
          </w:p>
        </w:tc>
      </w:tr>
      <w:tr w:rsidR="00561B22" w:rsidRPr="00D81CEF" w14:paraId="16F4FB23" w14:textId="77777777" w:rsidTr="00F1223B">
        <w:tc>
          <w:tcPr>
            <w:tcW w:w="562" w:type="dxa"/>
          </w:tcPr>
          <w:p w14:paraId="3E481F42" w14:textId="77777777" w:rsidR="00561B22" w:rsidRPr="00D81CEF" w:rsidRDefault="00561B22" w:rsidP="00F1223B">
            <w:pPr>
              <w:jc w:val="center"/>
              <w:rPr>
                <w:rFonts w:ascii="Arial" w:hAnsi="Arial" w:cs="Arial"/>
                <w:b/>
                <w:sz w:val="22"/>
                <w:szCs w:val="22"/>
                <w:lang w:val="es-MX"/>
              </w:rPr>
            </w:pPr>
          </w:p>
        </w:tc>
        <w:tc>
          <w:tcPr>
            <w:tcW w:w="9400" w:type="dxa"/>
          </w:tcPr>
          <w:p w14:paraId="6FE3F32D" w14:textId="77777777" w:rsidR="00561B22" w:rsidRPr="00D81CEF" w:rsidRDefault="00561B22" w:rsidP="00F1223B">
            <w:pPr>
              <w:jc w:val="both"/>
              <w:rPr>
                <w:rFonts w:ascii="Arial" w:hAnsi="Arial" w:cs="Arial"/>
                <w:sz w:val="22"/>
                <w:szCs w:val="22"/>
              </w:rPr>
            </w:pPr>
            <w:r w:rsidRPr="00D81CEF">
              <w:rPr>
                <w:rFonts w:ascii="Arial" w:hAnsi="Arial" w:cs="Arial"/>
                <w:sz w:val="22"/>
                <w:szCs w:val="22"/>
              </w:rPr>
              <w:t xml:space="preserve">Presentar los estados financieros en comité a la Alta Dirección de la Agencia y que estos contribuyan a la toma de decisiones. </w:t>
            </w:r>
          </w:p>
        </w:tc>
      </w:tr>
      <w:tr w:rsidR="00561B22" w:rsidRPr="00D81CEF" w14:paraId="1A13F32C" w14:textId="77777777" w:rsidTr="00F1223B">
        <w:tc>
          <w:tcPr>
            <w:tcW w:w="562" w:type="dxa"/>
          </w:tcPr>
          <w:p w14:paraId="4F5335DF" w14:textId="77777777" w:rsidR="00561B22" w:rsidRPr="00D81CEF" w:rsidRDefault="00561B22" w:rsidP="00F1223B">
            <w:pPr>
              <w:jc w:val="center"/>
              <w:rPr>
                <w:rFonts w:ascii="Arial" w:hAnsi="Arial" w:cs="Arial"/>
                <w:b/>
                <w:sz w:val="22"/>
                <w:szCs w:val="22"/>
                <w:lang w:val="es-MX"/>
              </w:rPr>
            </w:pPr>
          </w:p>
        </w:tc>
        <w:tc>
          <w:tcPr>
            <w:tcW w:w="9400" w:type="dxa"/>
          </w:tcPr>
          <w:p w14:paraId="464682C7" w14:textId="77777777" w:rsidR="00561B22" w:rsidRPr="00D81CEF" w:rsidRDefault="00561B22" w:rsidP="00F1223B">
            <w:pPr>
              <w:jc w:val="both"/>
              <w:rPr>
                <w:rFonts w:ascii="Arial" w:hAnsi="Arial" w:cs="Arial"/>
                <w:sz w:val="22"/>
                <w:szCs w:val="22"/>
              </w:rPr>
            </w:pPr>
            <w:r w:rsidRPr="00D81CEF">
              <w:rPr>
                <w:rFonts w:ascii="Arial" w:hAnsi="Arial" w:cs="Arial"/>
                <w:sz w:val="22"/>
                <w:szCs w:val="22"/>
              </w:rPr>
              <w:t>Se recomienda reconstruir toda la información mes a mes de los bienes y elementos que han sufrido extensión en su vida útil para corroborar el valor acumulado de deprecian.</w:t>
            </w:r>
          </w:p>
        </w:tc>
      </w:tr>
    </w:tbl>
    <w:p w14:paraId="0A64A186" w14:textId="77777777" w:rsidR="00561B22" w:rsidRPr="00D81CEF" w:rsidRDefault="00561B22" w:rsidP="00561B22">
      <w:pPr>
        <w:pStyle w:val="Textoindependiente"/>
        <w:ind w:right="-50"/>
        <w:jc w:val="both"/>
        <w:rPr>
          <w:rFonts w:ascii="Arial" w:hAnsi="Arial" w:cs="Arial"/>
          <w:b/>
          <w:bCs/>
        </w:rPr>
      </w:pPr>
    </w:p>
    <w:p w14:paraId="5195508B" w14:textId="77777777" w:rsidR="00561B22" w:rsidRPr="00D81CEF" w:rsidRDefault="00561B22" w:rsidP="00561B22">
      <w:pPr>
        <w:jc w:val="both"/>
        <w:rPr>
          <w:rFonts w:ascii="Arial" w:hAnsi="Arial" w:cs="Arial"/>
          <w:b/>
          <w:bCs/>
          <w:sz w:val="24"/>
          <w:szCs w:val="24"/>
          <w:lang w:val="es-CO"/>
        </w:rPr>
      </w:pPr>
      <w:r w:rsidRPr="00D81CEF">
        <w:rPr>
          <w:rFonts w:ascii="Arial" w:hAnsi="Arial" w:cs="Arial"/>
          <w:b/>
          <w:bCs/>
          <w:sz w:val="24"/>
          <w:szCs w:val="24"/>
          <w:lang w:val="es-CO"/>
        </w:rPr>
        <w:lastRenderedPageBreak/>
        <w:t xml:space="preserve">NOTA: LA ENTIDAD ENVIA LA MATRIZ DE AUTOEVALUACIÓN DEL SISTEMA DE CONTROL INTERNO CONTABLE CON ACTIVIDADES DE CONTROL REALIZADAS </w:t>
      </w:r>
      <w:r w:rsidRPr="00D81CEF">
        <w:rPr>
          <w:rFonts w:ascii="Arial" w:hAnsi="Arial" w:cs="Arial"/>
          <w:b/>
          <w:bCs/>
          <w:sz w:val="24"/>
          <w:szCs w:val="24"/>
          <w:u w:val="single"/>
          <w:lang w:val="es-CO"/>
        </w:rPr>
        <w:t>EN FORMA PARCIAL Y OTRAS SIMPLEMENTE INFORMAN QUE NO SE REALIZARON</w:t>
      </w:r>
      <w:r w:rsidRPr="00D81CEF">
        <w:rPr>
          <w:rFonts w:ascii="Arial" w:hAnsi="Arial" w:cs="Arial"/>
          <w:b/>
          <w:bCs/>
          <w:sz w:val="24"/>
          <w:szCs w:val="24"/>
          <w:lang w:val="es-CO"/>
        </w:rPr>
        <w:t>.</w:t>
      </w:r>
    </w:p>
    <w:p w14:paraId="683FCD8B" w14:textId="77777777" w:rsidR="00561B22" w:rsidRPr="00D81CEF" w:rsidRDefault="00561B22" w:rsidP="00561B22">
      <w:pPr>
        <w:pStyle w:val="Textoindependiente"/>
        <w:ind w:right="-50"/>
        <w:jc w:val="both"/>
        <w:rPr>
          <w:rFonts w:ascii="Arial" w:hAnsi="Arial" w:cs="Arial"/>
          <w:b/>
          <w:bCs/>
          <w:sz w:val="28"/>
          <w:szCs w:val="28"/>
          <w:lang w:val="es-CO"/>
        </w:rPr>
      </w:pPr>
    </w:p>
    <w:p w14:paraId="72BD40A8" w14:textId="77777777" w:rsidR="00561B22" w:rsidRPr="00D61BCE" w:rsidRDefault="00561B22" w:rsidP="00561B22">
      <w:pPr>
        <w:jc w:val="both"/>
        <w:rPr>
          <w:rFonts w:ascii="Arial" w:hAnsi="Arial" w:cs="Arial"/>
          <w:b/>
          <w:sz w:val="28"/>
          <w:szCs w:val="28"/>
          <w:lang w:val="es-MX"/>
        </w:rPr>
      </w:pPr>
      <w:r w:rsidRPr="00D61BCE">
        <w:rPr>
          <w:rFonts w:ascii="Arial" w:hAnsi="Arial" w:cs="Arial"/>
          <w:b/>
          <w:sz w:val="28"/>
          <w:szCs w:val="28"/>
          <w:lang w:val="es-MX"/>
        </w:rPr>
        <w:t>258.- COMPUTADORES PARA EDUCAR – CPE.</w:t>
      </w:r>
    </w:p>
    <w:p w14:paraId="61667433" w14:textId="77777777" w:rsidR="00561B22" w:rsidRDefault="00561B22" w:rsidP="00561B22">
      <w:pPr>
        <w:jc w:val="both"/>
        <w:rPr>
          <w:rFonts w:ascii="Arial" w:hAnsi="Arial" w:cs="Arial"/>
          <w:b/>
          <w:bCs/>
          <w:sz w:val="28"/>
          <w:szCs w:val="28"/>
        </w:rPr>
      </w:pPr>
    </w:p>
    <w:p w14:paraId="3284BC71" w14:textId="77777777" w:rsidR="00561B22" w:rsidRPr="00C3517B" w:rsidRDefault="00561B22" w:rsidP="00561B22">
      <w:pPr>
        <w:pStyle w:val="Textoindependiente"/>
        <w:ind w:right="-50"/>
        <w:jc w:val="center"/>
        <w:rPr>
          <w:rFonts w:ascii="Arial" w:hAnsi="Arial" w:cs="Arial"/>
          <w:b/>
          <w:bCs/>
        </w:rPr>
      </w:pPr>
      <w:r w:rsidRPr="00C3517B">
        <w:rPr>
          <w:rFonts w:ascii="Arial" w:hAnsi="Arial" w:cs="Arial"/>
          <w:b/>
          <w:bCs/>
        </w:rPr>
        <w:t>INFORME DE LA AUTOCALIFICACIÓN DEL SISTEMA DE CONTROL INTERNO CONTABLE:</w:t>
      </w:r>
    </w:p>
    <w:p w14:paraId="293E14D1" w14:textId="77777777" w:rsidR="00561B22" w:rsidRPr="00C3517B" w:rsidRDefault="00561B2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3517B" w14:paraId="095573DB" w14:textId="77777777" w:rsidTr="00F1223B">
        <w:tc>
          <w:tcPr>
            <w:tcW w:w="4981" w:type="dxa"/>
          </w:tcPr>
          <w:p w14:paraId="4DB160A1"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AUTOCALIFICACIÓN</w:t>
            </w:r>
          </w:p>
        </w:tc>
        <w:tc>
          <w:tcPr>
            <w:tcW w:w="4981" w:type="dxa"/>
          </w:tcPr>
          <w:p w14:paraId="28D4DE00" w14:textId="77777777" w:rsidR="00561B22" w:rsidRPr="00C3517B" w:rsidRDefault="00561B22" w:rsidP="00F1223B">
            <w:pPr>
              <w:jc w:val="center"/>
              <w:rPr>
                <w:rFonts w:ascii="Arial" w:hAnsi="Arial" w:cs="Arial"/>
                <w:b/>
                <w:sz w:val="22"/>
                <w:szCs w:val="22"/>
                <w:u w:val="single"/>
                <w:lang w:val="es-MX"/>
              </w:rPr>
            </w:pPr>
            <w:r w:rsidRPr="00C3517B">
              <w:rPr>
                <w:rFonts w:ascii="Arial" w:hAnsi="Arial" w:cs="Arial"/>
                <w:b/>
                <w:sz w:val="22"/>
                <w:szCs w:val="22"/>
                <w:u w:val="single"/>
                <w:lang w:val="es-MX"/>
              </w:rPr>
              <w:t>4.95</w:t>
            </w:r>
          </w:p>
        </w:tc>
      </w:tr>
    </w:tbl>
    <w:p w14:paraId="2E4A4179" w14:textId="77777777" w:rsidR="00561B22" w:rsidRPr="00C3517B" w:rsidRDefault="00561B22" w:rsidP="00561B22">
      <w:pPr>
        <w:pStyle w:val="Textoindependiente"/>
        <w:ind w:right="-50"/>
        <w:jc w:val="both"/>
        <w:rPr>
          <w:rFonts w:ascii="Arial" w:hAnsi="Arial" w:cs="Arial"/>
          <w:b/>
          <w:bCs/>
        </w:rPr>
      </w:pPr>
    </w:p>
    <w:p w14:paraId="71BE792C" w14:textId="77777777" w:rsidR="00561B22" w:rsidRPr="00C3517B" w:rsidRDefault="00561B22" w:rsidP="00561B22">
      <w:pPr>
        <w:pStyle w:val="Textoindependiente"/>
        <w:ind w:right="-50"/>
        <w:jc w:val="both"/>
        <w:rPr>
          <w:rFonts w:ascii="Arial" w:hAnsi="Arial" w:cs="Arial"/>
          <w:b/>
          <w:bCs/>
        </w:rPr>
      </w:pPr>
      <w:r w:rsidRPr="00C3517B">
        <w:rPr>
          <w:rFonts w:ascii="Arial" w:hAnsi="Arial" w:cs="Arial"/>
          <w:b/>
          <w:bCs/>
        </w:rPr>
        <w:t>Del informe enviado retomamos lo siguiente:</w:t>
      </w:r>
    </w:p>
    <w:p w14:paraId="333B925C" w14:textId="77777777" w:rsidR="00561B22" w:rsidRPr="00C3517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3517B" w14:paraId="711AEF58" w14:textId="77777777" w:rsidTr="00F1223B">
        <w:tc>
          <w:tcPr>
            <w:tcW w:w="562" w:type="dxa"/>
          </w:tcPr>
          <w:p w14:paraId="0F6A9330" w14:textId="77777777" w:rsidR="00561B22" w:rsidRPr="00C3517B" w:rsidRDefault="00561B22" w:rsidP="00F1223B">
            <w:pPr>
              <w:ind w:right="-109"/>
              <w:jc w:val="center"/>
              <w:rPr>
                <w:rFonts w:ascii="Arial" w:hAnsi="Arial" w:cs="Arial"/>
                <w:b/>
                <w:sz w:val="22"/>
                <w:szCs w:val="22"/>
                <w:lang w:val="es-MX"/>
              </w:rPr>
            </w:pPr>
            <w:r w:rsidRPr="00C3517B">
              <w:rPr>
                <w:rFonts w:ascii="Arial" w:hAnsi="Arial" w:cs="Arial"/>
                <w:b/>
                <w:sz w:val="22"/>
                <w:szCs w:val="22"/>
                <w:lang w:val="es-MX"/>
              </w:rPr>
              <w:t>N°</w:t>
            </w:r>
          </w:p>
        </w:tc>
        <w:tc>
          <w:tcPr>
            <w:tcW w:w="9400" w:type="dxa"/>
          </w:tcPr>
          <w:p w14:paraId="069D6205"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DEBILIDADES</w:t>
            </w:r>
          </w:p>
          <w:p w14:paraId="5EC61B87" w14:textId="77777777" w:rsidR="00561B22" w:rsidRPr="00C3517B" w:rsidRDefault="00561B22" w:rsidP="00F1223B">
            <w:pPr>
              <w:jc w:val="center"/>
              <w:rPr>
                <w:rFonts w:ascii="Arial" w:hAnsi="Arial" w:cs="Arial"/>
                <w:b/>
                <w:sz w:val="22"/>
                <w:szCs w:val="22"/>
                <w:lang w:val="es-MX"/>
              </w:rPr>
            </w:pPr>
          </w:p>
        </w:tc>
      </w:tr>
      <w:tr w:rsidR="00561B22" w:rsidRPr="00C3517B" w14:paraId="71A10DE8" w14:textId="77777777" w:rsidTr="00F1223B">
        <w:tc>
          <w:tcPr>
            <w:tcW w:w="562" w:type="dxa"/>
          </w:tcPr>
          <w:p w14:paraId="315CF2FD"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1</w:t>
            </w:r>
          </w:p>
        </w:tc>
        <w:tc>
          <w:tcPr>
            <w:tcW w:w="9400" w:type="dxa"/>
          </w:tcPr>
          <w:p w14:paraId="55E29CAA"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Fechas idénticas para la presentación de los EEFF y la Evaluación del Sistema de Control Interno Contable a 31-12-2024, que restringen el acceso a la Información por parte de Auditoría Interna para la verificación de los cuestionamientos relacionados con la oportunidad en la presentación y su contenido.</w:t>
            </w:r>
          </w:p>
        </w:tc>
      </w:tr>
      <w:tr w:rsidR="00561B22" w:rsidRPr="00C3517B" w14:paraId="230F7831" w14:textId="77777777" w:rsidTr="00F1223B">
        <w:tc>
          <w:tcPr>
            <w:tcW w:w="562" w:type="dxa"/>
          </w:tcPr>
          <w:p w14:paraId="4A9F698D"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2</w:t>
            </w:r>
          </w:p>
        </w:tc>
        <w:tc>
          <w:tcPr>
            <w:tcW w:w="9400" w:type="dxa"/>
          </w:tcPr>
          <w:p w14:paraId="60A13231"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Falta de integración de los Software con el SIIF, Reprocesos en plataforma SIIF y Hallazgos CGR.</w:t>
            </w:r>
          </w:p>
        </w:tc>
      </w:tr>
    </w:tbl>
    <w:p w14:paraId="2382A2FB" w14:textId="77777777" w:rsidR="00561B22" w:rsidRPr="00C3517B" w:rsidRDefault="00561B22" w:rsidP="00561B22">
      <w:pPr>
        <w:pStyle w:val="Textoindependiente"/>
        <w:ind w:right="-50"/>
        <w:jc w:val="both"/>
        <w:rPr>
          <w:rFonts w:ascii="Arial" w:hAnsi="Arial" w:cs="Arial"/>
          <w:b/>
          <w:bCs/>
        </w:rPr>
      </w:pPr>
    </w:p>
    <w:p w14:paraId="65B32CFB" w14:textId="77777777" w:rsidR="00561B22" w:rsidRPr="00C3517B" w:rsidRDefault="00561B22" w:rsidP="00561B22">
      <w:pPr>
        <w:jc w:val="both"/>
        <w:rPr>
          <w:rFonts w:ascii="Arial" w:hAnsi="Arial" w:cs="Arial"/>
          <w:b/>
          <w:lang w:val="es-MX"/>
        </w:rPr>
      </w:pPr>
      <w:r w:rsidRPr="00C3517B">
        <w:rPr>
          <w:rFonts w:ascii="Arial" w:hAnsi="Arial" w:cs="Arial"/>
          <w:b/>
          <w:lang w:val="es-MX"/>
        </w:rPr>
        <w:t>Del citado informe retomamos las siguientes recomendaciones:</w:t>
      </w:r>
    </w:p>
    <w:p w14:paraId="25D1830F" w14:textId="77777777" w:rsidR="00561B22" w:rsidRPr="00C3517B"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C3517B" w14:paraId="43D1896F" w14:textId="77777777" w:rsidTr="00F1223B">
        <w:tc>
          <w:tcPr>
            <w:tcW w:w="562" w:type="dxa"/>
          </w:tcPr>
          <w:p w14:paraId="719DA32C" w14:textId="77777777" w:rsidR="00561B22" w:rsidRPr="00C3517B" w:rsidRDefault="00561B22" w:rsidP="00F1223B">
            <w:pPr>
              <w:ind w:right="-109"/>
              <w:jc w:val="center"/>
              <w:rPr>
                <w:rFonts w:ascii="Arial" w:hAnsi="Arial" w:cs="Arial"/>
                <w:b/>
                <w:sz w:val="22"/>
                <w:szCs w:val="22"/>
                <w:lang w:val="es-MX"/>
              </w:rPr>
            </w:pPr>
            <w:r w:rsidRPr="00C3517B">
              <w:rPr>
                <w:rFonts w:ascii="Arial" w:hAnsi="Arial" w:cs="Arial"/>
                <w:b/>
                <w:sz w:val="22"/>
                <w:szCs w:val="22"/>
                <w:lang w:val="es-MX"/>
              </w:rPr>
              <w:t>N°</w:t>
            </w:r>
          </w:p>
        </w:tc>
        <w:tc>
          <w:tcPr>
            <w:tcW w:w="9400" w:type="dxa"/>
          </w:tcPr>
          <w:p w14:paraId="4789CF30"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RECOMENDACIONES</w:t>
            </w:r>
          </w:p>
          <w:p w14:paraId="0CDE3630" w14:textId="77777777" w:rsidR="00561B22" w:rsidRPr="00C3517B" w:rsidRDefault="00561B22" w:rsidP="00F1223B">
            <w:pPr>
              <w:jc w:val="center"/>
              <w:rPr>
                <w:rFonts w:ascii="Arial" w:hAnsi="Arial" w:cs="Arial"/>
                <w:b/>
                <w:sz w:val="22"/>
                <w:szCs w:val="22"/>
                <w:lang w:val="es-MX"/>
              </w:rPr>
            </w:pPr>
          </w:p>
        </w:tc>
      </w:tr>
      <w:tr w:rsidR="00561B22" w:rsidRPr="00C3517B" w14:paraId="5558DBCF" w14:textId="77777777" w:rsidTr="00F1223B">
        <w:tc>
          <w:tcPr>
            <w:tcW w:w="562" w:type="dxa"/>
          </w:tcPr>
          <w:p w14:paraId="5892316D"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1</w:t>
            </w:r>
          </w:p>
        </w:tc>
        <w:tc>
          <w:tcPr>
            <w:tcW w:w="9400" w:type="dxa"/>
          </w:tcPr>
          <w:p w14:paraId="7B7F1516"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 xml:space="preserve">Implementar un cronograma para el cierre de la vigencia contable, que permita la definición, construcción y revisiones pertinentes de la Información contable y Estados Financieros, que permita su presentación con antelación al cumplimiento de los plazos límites de presentación, que otorguen tanto a la revisoría Fiscal como a la Oficina de auditoría Interna, las verificaciones pertinentes, previo a la expedición del dictamen por parte de la revisoría Fiscal y de la evaluación del sistema de control Interno Contable, por parte de la Oficina de auditoría Interna. </w:t>
            </w:r>
          </w:p>
        </w:tc>
      </w:tr>
      <w:tr w:rsidR="00561B22" w:rsidRPr="00C3517B" w14:paraId="438CA86D" w14:textId="77777777" w:rsidTr="00F1223B">
        <w:tc>
          <w:tcPr>
            <w:tcW w:w="562" w:type="dxa"/>
          </w:tcPr>
          <w:p w14:paraId="4CF586EA"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2</w:t>
            </w:r>
          </w:p>
        </w:tc>
        <w:tc>
          <w:tcPr>
            <w:tcW w:w="9400" w:type="dxa"/>
          </w:tcPr>
          <w:p w14:paraId="02459C5F"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 xml:space="preserve">Actualizar Los Manuales, políticas, guías adoptados por la entidad, con las actualizaciones realizadas al Marco Normativo aplicable a Entidades de Gobierno.  </w:t>
            </w:r>
          </w:p>
        </w:tc>
      </w:tr>
      <w:tr w:rsidR="00561B22" w:rsidRPr="00C3517B" w14:paraId="163F6980" w14:textId="77777777" w:rsidTr="00F1223B">
        <w:tc>
          <w:tcPr>
            <w:tcW w:w="562" w:type="dxa"/>
          </w:tcPr>
          <w:p w14:paraId="0626351F"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3</w:t>
            </w:r>
          </w:p>
        </w:tc>
        <w:tc>
          <w:tcPr>
            <w:tcW w:w="9400" w:type="dxa"/>
          </w:tcPr>
          <w:p w14:paraId="02D09060"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Actualizar la Matriz de Riesgos incluyendo los de índole contable, que pueden presentarse en cada una de las etapas del proceso, relacionadas con elementos del Marco Normativo, el Reconocimiento de los hechos, medición posterior y revelación, rendición de cuentas e información a partes interesadas, gestión del Riesgo contable.</w:t>
            </w:r>
          </w:p>
        </w:tc>
      </w:tr>
      <w:tr w:rsidR="00561B22" w:rsidRPr="00C3517B" w14:paraId="6F862C2B" w14:textId="77777777" w:rsidTr="00F1223B">
        <w:tc>
          <w:tcPr>
            <w:tcW w:w="562" w:type="dxa"/>
          </w:tcPr>
          <w:p w14:paraId="19BF16F1"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4</w:t>
            </w:r>
          </w:p>
        </w:tc>
        <w:tc>
          <w:tcPr>
            <w:tcW w:w="9400" w:type="dxa"/>
          </w:tcPr>
          <w:p w14:paraId="52DFD1F3"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Levantar las consultas que resulten necesarias con el fin de subsanar los hallazgos de tipo contable, señalados por la CGR en su Informe de Auditoría Financiera a la Vigencia 2023.</w:t>
            </w:r>
          </w:p>
        </w:tc>
      </w:tr>
      <w:tr w:rsidR="00561B22" w:rsidRPr="00C3517B" w14:paraId="6438F3CD" w14:textId="77777777" w:rsidTr="00F1223B">
        <w:tc>
          <w:tcPr>
            <w:tcW w:w="562" w:type="dxa"/>
          </w:tcPr>
          <w:p w14:paraId="0959661C" w14:textId="77777777" w:rsidR="00561B22" w:rsidRPr="00C3517B" w:rsidRDefault="00561B22" w:rsidP="00F1223B">
            <w:pPr>
              <w:jc w:val="center"/>
              <w:rPr>
                <w:rFonts w:ascii="Arial" w:hAnsi="Arial" w:cs="Arial"/>
                <w:b/>
                <w:sz w:val="22"/>
                <w:szCs w:val="22"/>
                <w:lang w:val="es-MX"/>
              </w:rPr>
            </w:pPr>
            <w:r w:rsidRPr="00C3517B">
              <w:rPr>
                <w:rFonts w:ascii="Arial" w:hAnsi="Arial" w:cs="Arial"/>
                <w:b/>
                <w:sz w:val="22"/>
                <w:szCs w:val="22"/>
                <w:lang w:val="es-MX"/>
              </w:rPr>
              <w:t>5</w:t>
            </w:r>
          </w:p>
        </w:tc>
        <w:tc>
          <w:tcPr>
            <w:tcW w:w="9400" w:type="dxa"/>
          </w:tcPr>
          <w:p w14:paraId="45AEF6A5" w14:textId="77777777" w:rsidR="00561B22" w:rsidRPr="00C3517B" w:rsidRDefault="00561B22" w:rsidP="00F1223B">
            <w:pPr>
              <w:jc w:val="both"/>
              <w:rPr>
                <w:rFonts w:ascii="Arial" w:hAnsi="Arial" w:cs="Arial"/>
                <w:bCs/>
                <w:sz w:val="22"/>
                <w:szCs w:val="22"/>
                <w:lang w:val="es-MX"/>
              </w:rPr>
            </w:pPr>
            <w:r w:rsidRPr="00C3517B">
              <w:rPr>
                <w:rFonts w:ascii="Arial" w:hAnsi="Arial" w:cs="Arial"/>
                <w:bCs/>
                <w:sz w:val="22"/>
                <w:szCs w:val="22"/>
                <w:lang w:val="es-MX"/>
              </w:rPr>
              <w:t xml:space="preserve">Implementar estrategia que conlleve a la actualización de conocimientos de índole financiero, contable, presupuestal y afines a las actividades y responsabilidades del personal adscrito al proceso administrativo y financiero.     </w:t>
            </w:r>
          </w:p>
        </w:tc>
      </w:tr>
    </w:tbl>
    <w:p w14:paraId="77EDF3D5" w14:textId="77777777" w:rsidR="00561B22" w:rsidRPr="00C3517B" w:rsidRDefault="00561B22" w:rsidP="00561B22">
      <w:pPr>
        <w:pStyle w:val="Textoindependiente"/>
        <w:ind w:right="-50"/>
        <w:jc w:val="both"/>
        <w:rPr>
          <w:rFonts w:ascii="Arial" w:hAnsi="Arial" w:cs="Arial"/>
          <w:b/>
          <w:bCs/>
        </w:rPr>
      </w:pPr>
    </w:p>
    <w:p w14:paraId="7EB035F3" w14:textId="77777777" w:rsidR="00561B22" w:rsidRPr="00C3517B" w:rsidRDefault="00561B22" w:rsidP="00561B22">
      <w:pPr>
        <w:jc w:val="both"/>
        <w:rPr>
          <w:rFonts w:ascii="Arial" w:hAnsi="Arial" w:cs="Arial"/>
          <w:b/>
          <w:bCs/>
          <w:sz w:val="24"/>
          <w:szCs w:val="24"/>
          <w:lang w:val="es-CO"/>
        </w:rPr>
      </w:pPr>
      <w:r w:rsidRPr="00C3517B">
        <w:rPr>
          <w:rFonts w:ascii="Arial" w:hAnsi="Arial" w:cs="Arial"/>
          <w:b/>
          <w:bCs/>
          <w:sz w:val="24"/>
          <w:szCs w:val="24"/>
          <w:lang w:val="es-CO"/>
        </w:rPr>
        <w:t xml:space="preserve">NOTA: LA ENTIDAD ENVÍA LA MATRIZ DE AUTOEVALUACIÓN DEL SISTEMA DE CONTROL INTERNO CONTABLE CON </w:t>
      </w:r>
      <w:r w:rsidRPr="00C3517B">
        <w:rPr>
          <w:rFonts w:ascii="Arial" w:hAnsi="Arial" w:cs="Arial"/>
          <w:b/>
          <w:bCs/>
          <w:sz w:val="24"/>
          <w:szCs w:val="24"/>
          <w:u w:val="single"/>
          <w:lang w:val="es-CO"/>
        </w:rPr>
        <w:t>ACTIVIDADES DE CONTROL REALIZADAS EN FORMA PARCIAL</w:t>
      </w:r>
      <w:r w:rsidRPr="00C3517B">
        <w:rPr>
          <w:rFonts w:ascii="Arial" w:hAnsi="Arial" w:cs="Arial"/>
          <w:b/>
          <w:bCs/>
          <w:sz w:val="24"/>
          <w:szCs w:val="24"/>
          <w:lang w:val="es-CO"/>
        </w:rPr>
        <w:t>.</w:t>
      </w:r>
    </w:p>
    <w:p w14:paraId="4912A9FB" w14:textId="77777777" w:rsidR="00561B22" w:rsidRPr="00C3517B" w:rsidRDefault="00561B22" w:rsidP="00561B22">
      <w:pPr>
        <w:jc w:val="both"/>
        <w:rPr>
          <w:rFonts w:ascii="Arial" w:hAnsi="Arial" w:cs="Arial"/>
          <w:b/>
          <w:bCs/>
          <w:sz w:val="28"/>
          <w:szCs w:val="28"/>
          <w:lang w:val="es-CO"/>
        </w:rPr>
      </w:pPr>
    </w:p>
    <w:p w14:paraId="6C0FE204" w14:textId="77777777" w:rsidR="00561B22" w:rsidRPr="00A5119E" w:rsidRDefault="00561B22" w:rsidP="00561B22">
      <w:pPr>
        <w:jc w:val="both"/>
        <w:rPr>
          <w:rFonts w:ascii="Arial" w:hAnsi="Arial" w:cs="Arial"/>
          <w:b/>
          <w:sz w:val="28"/>
          <w:szCs w:val="28"/>
          <w:lang w:val="es-MX"/>
        </w:rPr>
      </w:pPr>
      <w:r w:rsidRPr="00A5119E">
        <w:rPr>
          <w:rFonts w:ascii="Arial" w:hAnsi="Arial" w:cs="Arial"/>
          <w:b/>
          <w:sz w:val="28"/>
          <w:szCs w:val="28"/>
          <w:lang w:val="es-MX"/>
        </w:rPr>
        <w:t>259.- CORPORACIÓN AUTÓNOMA REGIONAL DE LA ORINOQUIA - CORPORINOQUIA.</w:t>
      </w:r>
    </w:p>
    <w:p w14:paraId="385E9982" w14:textId="77777777" w:rsidR="00561B22" w:rsidRDefault="00561B22" w:rsidP="00561B22">
      <w:pPr>
        <w:pStyle w:val="Textoindependiente"/>
        <w:ind w:right="-50"/>
        <w:jc w:val="both"/>
        <w:rPr>
          <w:rFonts w:ascii="Arial" w:hAnsi="Arial" w:cs="Arial"/>
          <w:b/>
          <w:bCs/>
          <w:sz w:val="28"/>
          <w:szCs w:val="28"/>
          <w:lang w:val="es-MX"/>
        </w:rPr>
      </w:pPr>
    </w:p>
    <w:p w14:paraId="2033D2FD" w14:textId="77777777" w:rsidR="00561B22" w:rsidRPr="00A5119E" w:rsidRDefault="00561B22" w:rsidP="00561B22">
      <w:pPr>
        <w:pStyle w:val="Textoindependiente"/>
        <w:ind w:right="-50"/>
        <w:jc w:val="center"/>
        <w:rPr>
          <w:rFonts w:ascii="Arial" w:hAnsi="Arial" w:cs="Arial"/>
          <w:b/>
          <w:bCs/>
        </w:rPr>
      </w:pPr>
      <w:r w:rsidRPr="00A5119E">
        <w:rPr>
          <w:rFonts w:ascii="Arial" w:hAnsi="Arial" w:cs="Arial"/>
          <w:b/>
          <w:bCs/>
        </w:rPr>
        <w:lastRenderedPageBreak/>
        <w:t>INFORME DE LA AUTOCALIFICACIÓN DEL SISTEMA DE CONTROL INTERNO CONTABLE:</w:t>
      </w:r>
    </w:p>
    <w:p w14:paraId="7F3207AD" w14:textId="77777777" w:rsidR="00561B22" w:rsidRPr="00A5119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5119E" w14:paraId="3702FFCC" w14:textId="77777777" w:rsidTr="00F1223B">
        <w:tc>
          <w:tcPr>
            <w:tcW w:w="4981" w:type="dxa"/>
          </w:tcPr>
          <w:p w14:paraId="3D5D7AE6"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AUTOCALIFICACIÓN</w:t>
            </w:r>
          </w:p>
        </w:tc>
        <w:tc>
          <w:tcPr>
            <w:tcW w:w="4981" w:type="dxa"/>
          </w:tcPr>
          <w:p w14:paraId="4640978E" w14:textId="77777777" w:rsidR="00561B22" w:rsidRPr="00A5119E" w:rsidRDefault="00561B22" w:rsidP="00F1223B">
            <w:pPr>
              <w:jc w:val="center"/>
              <w:rPr>
                <w:rFonts w:ascii="Arial" w:hAnsi="Arial" w:cs="Arial"/>
                <w:b/>
                <w:sz w:val="22"/>
                <w:szCs w:val="22"/>
                <w:u w:val="single"/>
                <w:lang w:val="es-MX"/>
              </w:rPr>
            </w:pPr>
            <w:r w:rsidRPr="00A5119E">
              <w:rPr>
                <w:rFonts w:ascii="Arial" w:hAnsi="Arial" w:cs="Arial"/>
                <w:b/>
                <w:sz w:val="22"/>
                <w:szCs w:val="22"/>
                <w:u w:val="single"/>
                <w:lang w:val="es-MX"/>
              </w:rPr>
              <w:t>4.75</w:t>
            </w:r>
          </w:p>
        </w:tc>
      </w:tr>
    </w:tbl>
    <w:p w14:paraId="091C0D74" w14:textId="77777777" w:rsidR="00561B22" w:rsidRPr="00A5119E" w:rsidRDefault="00561B22" w:rsidP="00561B22">
      <w:pPr>
        <w:pStyle w:val="Textoindependiente"/>
        <w:ind w:right="-50"/>
        <w:jc w:val="both"/>
        <w:rPr>
          <w:rFonts w:ascii="Arial" w:hAnsi="Arial" w:cs="Arial"/>
          <w:b/>
          <w:bCs/>
        </w:rPr>
      </w:pPr>
    </w:p>
    <w:p w14:paraId="143CD48A" w14:textId="77777777" w:rsidR="00561B22" w:rsidRPr="00A5119E" w:rsidRDefault="00561B22" w:rsidP="00561B22">
      <w:pPr>
        <w:pStyle w:val="Textoindependiente"/>
        <w:ind w:right="-50"/>
        <w:jc w:val="both"/>
        <w:rPr>
          <w:rFonts w:ascii="Arial" w:hAnsi="Arial" w:cs="Arial"/>
          <w:b/>
          <w:bCs/>
        </w:rPr>
      </w:pPr>
      <w:r w:rsidRPr="00A5119E">
        <w:rPr>
          <w:rFonts w:ascii="Arial" w:hAnsi="Arial" w:cs="Arial"/>
          <w:b/>
          <w:bCs/>
        </w:rPr>
        <w:t>Del informe enviado retomamos lo siguiente:</w:t>
      </w:r>
    </w:p>
    <w:p w14:paraId="7CB26ADA" w14:textId="77777777" w:rsidR="00561B22" w:rsidRPr="00A5119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5119E" w14:paraId="2655EB0A" w14:textId="77777777" w:rsidTr="00F1223B">
        <w:tc>
          <w:tcPr>
            <w:tcW w:w="562" w:type="dxa"/>
          </w:tcPr>
          <w:p w14:paraId="63BA1A4A" w14:textId="77777777" w:rsidR="00561B22" w:rsidRPr="00A5119E" w:rsidRDefault="00561B22" w:rsidP="00F1223B">
            <w:pPr>
              <w:ind w:right="-109"/>
              <w:jc w:val="center"/>
              <w:rPr>
                <w:rFonts w:ascii="Arial" w:hAnsi="Arial" w:cs="Arial"/>
                <w:b/>
                <w:sz w:val="22"/>
                <w:szCs w:val="22"/>
                <w:lang w:val="es-MX"/>
              </w:rPr>
            </w:pPr>
            <w:r w:rsidRPr="00A5119E">
              <w:rPr>
                <w:rFonts w:ascii="Arial" w:hAnsi="Arial" w:cs="Arial"/>
                <w:b/>
                <w:sz w:val="22"/>
                <w:szCs w:val="22"/>
                <w:lang w:val="es-MX"/>
              </w:rPr>
              <w:t>N°</w:t>
            </w:r>
          </w:p>
        </w:tc>
        <w:tc>
          <w:tcPr>
            <w:tcW w:w="9400" w:type="dxa"/>
          </w:tcPr>
          <w:p w14:paraId="758F74B4"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DEBILIDADES</w:t>
            </w:r>
          </w:p>
          <w:p w14:paraId="1B7D05D8" w14:textId="77777777" w:rsidR="00561B22" w:rsidRPr="00A5119E" w:rsidRDefault="00561B22" w:rsidP="00F1223B">
            <w:pPr>
              <w:jc w:val="center"/>
              <w:rPr>
                <w:rFonts w:ascii="Arial" w:hAnsi="Arial" w:cs="Arial"/>
                <w:b/>
                <w:sz w:val="22"/>
                <w:szCs w:val="22"/>
                <w:lang w:val="es-MX"/>
              </w:rPr>
            </w:pPr>
          </w:p>
        </w:tc>
      </w:tr>
      <w:tr w:rsidR="00561B22" w:rsidRPr="00A5119E" w14:paraId="78CF9039" w14:textId="77777777" w:rsidTr="00F1223B">
        <w:tc>
          <w:tcPr>
            <w:tcW w:w="562" w:type="dxa"/>
          </w:tcPr>
          <w:p w14:paraId="4926A19E"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1</w:t>
            </w:r>
          </w:p>
        </w:tc>
        <w:tc>
          <w:tcPr>
            <w:tcW w:w="9400" w:type="dxa"/>
          </w:tcPr>
          <w:p w14:paraId="6A131312" w14:textId="77777777" w:rsidR="00561B22" w:rsidRPr="00A5119E" w:rsidRDefault="00561B22" w:rsidP="00F1223B">
            <w:pPr>
              <w:widowControl/>
              <w:autoSpaceDE/>
              <w:autoSpaceDN/>
              <w:jc w:val="both"/>
              <w:rPr>
                <w:rFonts w:ascii="Arial" w:eastAsia="Times New Roman" w:hAnsi="Arial" w:cs="Arial"/>
                <w:sz w:val="22"/>
                <w:szCs w:val="22"/>
                <w:lang w:val="es-CO"/>
              </w:rPr>
            </w:pPr>
            <w:r w:rsidRPr="00A5119E">
              <w:rPr>
                <w:rFonts w:ascii="Arial" w:hAnsi="Arial" w:cs="Arial"/>
                <w:sz w:val="22"/>
                <w:szCs w:val="22"/>
              </w:rPr>
              <w:t xml:space="preserve">A pesar de realizarse capacitaciones y contar con procesos y procedimientos, existe fallas en el sistema de comunicación (Horizontal, vertical y diagonal) que afecta el flujo efectivo de información entre las dependencias que generan datos contables y la oficina de contabilidad que conlleva a reprocesos, razón por la cual se avanza en la actualización de los procesos y procedimientos. </w:t>
            </w:r>
          </w:p>
        </w:tc>
      </w:tr>
      <w:tr w:rsidR="00561B22" w:rsidRPr="00A5119E" w14:paraId="5F18C26E" w14:textId="77777777" w:rsidTr="00F1223B">
        <w:tc>
          <w:tcPr>
            <w:tcW w:w="562" w:type="dxa"/>
          </w:tcPr>
          <w:p w14:paraId="4DDCD01F"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2</w:t>
            </w:r>
          </w:p>
        </w:tc>
        <w:tc>
          <w:tcPr>
            <w:tcW w:w="9400" w:type="dxa"/>
          </w:tcPr>
          <w:p w14:paraId="2B290104" w14:textId="77777777" w:rsidR="00561B22" w:rsidRPr="00A5119E" w:rsidRDefault="00561B22" w:rsidP="00F1223B">
            <w:pPr>
              <w:rPr>
                <w:rFonts w:ascii="Arial" w:hAnsi="Arial" w:cs="Arial"/>
                <w:b/>
                <w:sz w:val="22"/>
                <w:szCs w:val="22"/>
                <w:lang w:val="es-MX"/>
              </w:rPr>
            </w:pPr>
            <w:r w:rsidRPr="00A5119E">
              <w:rPr>
                <w:rFonts w:ascii="Arial" w:hAnsi="Arial" w:cs="Arial"/>
                <w:sz w:val="22"/>
                <w:szCs w:val="22"/>
              </w:rPr>
              <w:t xml:space="preserve">Deficiencia en tiempos de respuesta en los requerimientos de información. </w:t>
            </w:r>
          </w:p>
        </w:tc>
      </w:tr>
      <w:tr w:rsidR="00561B22" w:rsidRPr="00A5119E" w14:paraId="640EEF8D" w14:textId="77777777" w:rsidTr="00F1223B">
        <w:tc>
          <w:tcPr>
            <w:tcW w:w="562" w:type="dxa"/>
          </w:tcPr>
          <w:p w14:paraId="53E7D6D8"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3</w:t>
            </w:r>
          </w:p>
        </w:tc>
        <w:tc>
          <w:tcPr>
            <w:tcW w:w="9400" w:type="dxa"/>
          </w:tcPr>
          <w:p w14:paraId="0029F0FE" w14:textId="77777777" w:rsidR="00561B22" w:rsidRPr="00A5119E" w:rsidRDefault="00561B22" w:rsidP="00F1223B">
            <w:pPr>
              <w:rPr>
                <w:rFonts w:ascii="Arial" w:hAnsi="Arial" w:cs="Arial"/>
                <w:b/>
                <w:sz w:val="22"/>
                <w:szCs w:val="22"/>
                <w:lang w:val="es-MX"/>
              </w:rPr>
            </w:pPr>
            <w:r w:rsidRPr="00A5119E">
              <w:rPr>
                <w:rFonts w:ascii="Arial" w:hAnsi="Arial" w:cs="Arial"/>
                <w:sz w:val="22"/>
                <w:szCs w:val="22"/>
              </w:rPr>
              <w:t>Falta de auditorías para las áreas generadoras de información contable.</w:t>
            </w:r>
          </w:p>
        </w:tc>
      </w:tr>
    </w:tbl>
    <w:p w14:paraId="2C08E5AB" w14:textId="77777777" w:rsidR="00561B22" w:rsidRPr="00A5119E" w:rsidRDefault="00561B22" w:rsidP="00561B22">
      <w:pPr>
        <w:pStyle w:val="Textoindependiente"/>
        <w:ind w:right="-50"/>
        <w:jc w:val="both"/>
        <w:rPr>
          <w:rFonts w:ascii="Arial" w:hAnsi="Arial" w:cs="Arial"/>
          <w:b/>
          <w:bCs/>
        </w:rPr>
      </w:pPr>
    </w:p>
    <w:p w14:paraId="6C5F9321" w14:textId="77777777" w:rsidR="00561B22" w:rsidRPr="00A5119E" w:rsidRDefault="00561B22" w:rsidP="00561B22">
      <w:pPr>
        <w:jc w:val="both"/>
        <w:rPr>
          <w:rFonts w:ascii="Arial" w:hAnsi="Arial" w:cs="Arial"/>
          <w:b/>
          <w:lang w:val="es-MX"/>
        </w:rPr>
      </w:pPr>
      <w:r w:rsidRPr="00A5119E">
        <w:rPr>
          <w:rFonts w:ascii="Arial" w:hAnsi="Arial" w:cs="Arial"/>
          <w:b/>
          <w:lang w:val="es-MX"/>
        </w:rPr>
        <w:t>Del citado informe retomamos las siguientes recomendaciones:</w:t>
      </w:r>
    </w:p>
    <w:p w14:paraId="299C5A2B" w14:textId="77777777" w:rsidR="00561B22" w:rsidRPr="00A5119E"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A5119E" w14:paraId="2DAC863E" w14:textId="77777777" w:rsidTr="00F1223B">
        <w:tc>
          <w:tcPr>
            <w:tcW w:w="562" w:type="dxa"/>
          </w:tcPr>
          <w:p w14:paraId="6E3BDCCA" w14:textId="77777777" w:rsidR="00561B22" w:rsidRPr="00A5119E" w:rsidRDefault="00561B22" w:rsidP="00F1223B">
            <w:pPr>
              <w:ind w:right="-109"/>
              <w:jc w:val="center"/>
              <w:rPr>
                <w:rFonts w:ascii="Arial" w:hAnsi="Arial" w:cs="Arial"/>
                <w:b/>
                <w:sz w:val="22"/>
                <w:szCs w:val="22"/>
                <w:lang w:val="es-MX"/>
              </w:rPr>
            </w:pPr>
            <w:r w:rsidRPr="00A5119E">
              <w:rPr>
                <w:rFonts w:ascii="Arial" w:hAnsi="Arial" w:cs="Arial"/>
                <w:b/>
                <w:sz w:val="22"/>
                <w:szCs w:val="22"/>
                <w:lang w:val="es-MX"/>
              </w:rPr>
              <w:t>N°</w:t>
            </w:r>
          </w:p>
        </w:tc>
        <w:tc>
          <w:tcPr>
            <w:tcW w:w="9400" w:type="dxa"/>
          </w:tcPr>
          <w:p w14:paraId="099221EE"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RECOMENDACIONES</w:t>
            </w:r>
          </w:p>
          <w:p w14:paraId="462C5458" w14:textId="77777777" w:rsidR="00561B22" w:rsidRPr="00A5119E" w:rsidRDefault="00561B22" w:rsidP="00F1223B">
            <w:pPr>
              <w:jc w:val="center"/>
              <w:rPr>
                <w:rFonts w:ascii="Arial" w:hAnsi="Arial" w:cs="Arial"/>
                <w:b/>
                <w:sz w:val="22"/>
                <w:szCs w:val="22"/>
                <w:lang w:val="es-MX"/>
              </w:rPr>
            </w:pPr>
          </w:p>
        </w:tc>
      </w:tr>
      <w:tr w:rsidR="00561B22" w:rsidRPr="00A5119E" w14:paraId="51D7142A" w14:textId="77777777" w:rsidTr="00F1223B">
        <w:tc>
          <w:tcPr>
            <w:tcW w:w="562" w:type="dxa"/>
          </w:tcPr>
          <w:p w14:paraId="4EA6BCEF"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1</w:t>
            </w:r>
          </w:p>
        </w:tc>
        <w:tc>
          <w:tcPr>
            <w:tcW w:w="9400" w:type="dxa"/>
          </w:tcPr>
          <w:p w14:paraId="6DAAF071" w14:textId="77777777" w:rsidR="00561B22" w:rsidRPr="00A5119E" w:rsidRDefault="00561B22" w:rsidP="00F1223B">
            <w:pPr>
              <w:widowControl/>
              <w:autoSpaceDE/>
              <w:autoSpaceDN/>
              <w:jc w:val="both"/>
              <w:rPr>
                <w:rFonts w:ascii="Arial" w:hAnsi="Arial" w:cs="Arial"/>
                <w:b/>
                <w:sz w:val="22"/>
                <w:szCs w:val="22"/>
                <w:lang w:val="es-CO"/>
              </w:rPr>
            </w:pPr>
            <w:r w:rsidRPr="00A5119E">
              <w:rPr>
                <w:rFonts w:ascii="Arial" w:hAnsi="Arial" w:cs="Arial"/>
                <w:sz w:val="22"/>
                <w:szCs w:val="22"/>
              </w:rPr>
              <w:t xml:space="preserve">La formación del personal vinculado al sistema de control interno contable se llevará a cabo, centrándose especialmente en el marco normativo actualizado de la entidad. </w:t>
            </w:r>
          </w:p>
        </w:tc>
      </w:tr>
      <w:tr w:rsidR="00561B22" w:rsidRPr="00A5119E" w14:paraId="5486ABC0" w14:textId="77777777" w:rsidTr="00F1223B">
        <w:tc>
          <w:tcPr>
            <w:tcW w:w="562" w:type="dxa"/>
          </w:tcPr>
          <w:p w14:paraId="432D6580"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2</w:t>
            </w:r>
          </w:p>
        </w:tc>
        <w:tc>
          <w:tcPr>
            <w:tcW w:w="9400" w:type="dxa"/>
          </w:tcPr>
          <w:p w14:paraId="3F9BBBF6" w14:textId="77777777" w:rsidR="00561B22" w:rsidRPr="00A5119E" w:rsidRDefault="00561B22" w:rsidP="00F1223B">
            <w:pPr>
              <w:widowControl/>
              <w:autoSpaceDE/>
              <w:autoSpaceDN/>
              <w:jc w:val="both"/>
              <w:rPr>
                <w:rFonts w:ascii="Arial" w:eastAsia="Times New Roman" w:hAnsi="Arial" w:cs="Arial"/>
                <w:sz w:val="22"/>
                <w:szCs w:val="22"/>
                <w:lang w:val="es-CO"/>
              </w:rPr>
            </w:pPr>
            <w:r w:rsidRPr="00A5119E">
              <w:rPr>
                <w:rFonts w:ascii="Arial" w:hAnsi="Arial" w:cs="Arial"/>
                <w:sz w:val="22"/>
                <w:szCs w:val="22"/>
              </w:rPr>
              <w:t xml:space="preserve">Una revisión detallada se llevará a cabo para garantizar que el normograma esté alineado con las últimas actualizaciones normativas, asegurando así su conformidad. </w:t>
            </w:r>
          </w:p>
        </w:tc>
      </w:tr>
      <w:tr w:rsidR="00561B22" w:rsidRPr="00A5119E" w14:paraId="1C6611A4" w14:textId="77777777" w:rsidTr="00F1223B">
        <w:tc>
          <w:tcPr>
            <w:tcW w:w="562" w:type="dxa"/>
          </w:tcPr>
          <w:p w14:paraId="4D77C75B"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3</w:t>
            </w:r>
          </w:p>
        </w:tc>
        <w:tc>
          <w:tcPr>
            <w:tcW w:w="9400" w:type="dxa"/>
          </w:tcPr>
          <w:p w14:paraId="0727C966" w14:textId="77777777" w:rsidR="00561B22" w:rsidRPr="00A5119E" w:rsidRDefault="00561B22" w:rsidP="00F1223B">
            <w:pPr>
              <w:jc w:val="both"/>
              <w:rPr>
                <w:rFonts w:ascii="Arial" w:hAnsi="Arial" w:cs="Arial"/>
                <w:b/>
                <w:sz w:val="22"/>
                <w:szCs w:val="22"/>
                <w:lang w:val="es-MX"/>
              </w:rPr>
            </w:pPr>
            <w:r w:rsidRPr="00A5119E">
              <w:rPr>
                <w:rFonts w:ascii="Arial" w:hAnsi="Arial" w:cs="Arial"/>
                <w:sz w:val="22"/>
                <w:szCs w:val="22"/>
              </w:rPr>
              <w:t xml:space="preserve">Se realizará una verificación detallada para asegurar la adecuada protección de la información contenida en los documentos contables, garantizando su resguardo efectivo y apoyando al área contable. </w:t>
            </w:r>
          </w:p>
        </w:tc>
      </w:tr>
      <w:tr w:rsidR="00561B22" w:rsidRPr="00A5119E" w14:paraId="7D8CDED9" w14:textId="77777777" w:rsidTr="00F1223B">
        <w:tc>
          <w:tcPr>
            <w:tcW w:w="562" w:type="dxa"/>
          </w:tcPr>
          <w:p w14:paraId="12BF9447" w14:textId="77777777" w:rsidR="00561B22" w:rsidRPr="00A5119E" w:rsidRDefault="00561B22" w:rsidP="00F1223B">
            <w:pPr>
              <w:jc w:val="center"/>
              <w:rPr>
                <w:rFonts w:ascii="Arial" w:hAnsi="Arial" w:cs="Arial"/>
                <w:b/>
                <w:sz w:val="22"/>
                <w:szCs w:val="22"/>
                <w:lang w:val="es-MX"/>
              </w:rPr>
            </w:pPr>
            <w:r w:rsidRPr="00A5119E">
              <w:rPr>
                <w:rFonts w:ascii="Arial" w:hAnsi="Arial" w:cs="Arial"/>
                <w:b/>
                <w:sz w:val="22"/>
                <w:szCs w:val="22"/>
                <w:lang w:val="es-MX"/>
              </w:rPr>
              <w:t>4</w:t>
            </w:r>
          </w:p>
        </w:tc>
        <w:tc>
          <w:tcPr>
            <w:tcW w:w="9400" w:type="dxa"/>
          </w:tcPr>
          <w:p w14:paraId="5AA81725" w14:textId="77777777" w:rsidR="00561B22" w:rsidRPr="00A5119E" w:rsidRDefault="00561B22" w:rsidP="00F1223B">
            <w:pPr>
              <w:rPr>
                <w:rFonts w:ascii="Arial" w:hAnsi="Arial" w:cs="Arial"/>
                <w:b/>
                <w:sz w:val="22"/>
                <w:szCs w:val="22"/>
                <w:lang w:val="es-MX"/>
              </w:rPr>
            </w:pPr>
            <w:r w:rsidRPr="00A5119E">
              <w:rPr>
                <w:rFonts w:ascii="Arial" w:hAnsi="Arial" w:cs="Arial"/>
                <w:sz w:val="22"/>
                <w:szCs w:val="22"/>
              </w:rPr>
              <w:t>Se llevará a cabo la actualización e implementación de indicadores que se ajusten de manera precisa a las necesidades específicas del proceso contable, asegurando su relevancia y utilidad.</w:t>
            </w:r>
          </w:p>
        </w:tc>
      </w:tr>
    </w:tbl>
    <w:p w14:paraId="204E2711" w14:textId="77777777" w:rsidR="00561B22" w:rsidRPr="00A5119E" w:rsidRDefault="00561B22" w:rsidP="00561B22">
      <w:pPr>
        <w:pStyle w:val="Textoindependiente"/>
        <w:ind w:right="-50"/>
        <w:jc w:val="both"/>
        <w:rPr>
          <w:rFonts w:ascii="Arial" w:hAnsi="Arial" w:cs="Arial"/>
          <w:b/>
          <w:bCs/>
        </w:rPr>
      </w:pPr>
    </w:p>
    <w:p w14:paraId="713D70F1" w14:textId="77777777" w:rsidR="00561B22" w:rsidRPr="00A5119E" w:rsidRDefault="00561B22" w:rsidP="00561B22">
      <w:pPr>
        <w:jc w:val="both"/>
        <w:rPr>
          <w:rFonts w:ascii="Arial" w:hAnsi="Arial" w:cs="Arial"/>
          <w:b/>
          <w:bCs/>
          <w:sz w:val="24"/>
          <w:szCs w:val="24"/>
          <w:lang w:val="es-CO"/>
        </w:rPr>
      </w:pPr>
      <w:r w:rsidRPr="00A5119E">
        <w:rPr>
          <w:rFonts w:ascii="Arial" w:hAnsi="Arial" w:cs="Arial"/>
          <w:b/>
          <w:bCs/>
          <w:sz w:val="24"/>
          <w:szCs w:val="24"/>
          <w:lang w:val="es-CO"/>
        </w:rPr>
        <w:t xml:space="preserve">NOTA: LA ENTIDAD ENVIA LA MATRIZ DE AUTOEVALUACIÓN DEL SISTEMA DE CONTROL INTERNO CONTABLE CON </w:t>
      </w:r>
      <w:r w:rsidRPr="00A5119E">
        <w:rPr>
          <w:rFonts w:ascii="Arial" w:hAnsi="Arial" w:cs="Arial"/>
          <w:b/>
          <w:bCs/>
          <w:sz w:val="24"/>
          <w:szCs w:val="24"/>
          <w:u w:val="single"/>
          <w:lang w:val="es-CO"/>
        </w:rPr>
        <w:t>ACTIVIDADES DE CONTROL REALIZADAS EN FORMA PARCIAL</w:t>
      </w:r>
      <w:r w:rsidRPr="00A5119E">
        <w:rPr>
          <w:rFonts w:ascii="Arial" w:hAnsi="Arial" w:cs="Arial"/>
          <w:b/>
          <w:bCs/>
          <w:sz w:val="24"/>
          <w:szCs w:val="24"/>
          <w:lang w:val="es-CO"/>
        </w:rPr>
        <w:t>.</w:t>
      </w:r>
    </w:p>
    <w:p w14:paraId="5D22CF7A" w14:textId="77777777" w:rsidR="00561B22" w:rsidRDefault="00561B22" w:rsidP="00561B22">
      <w:pPr>
        <w:pStyle w:val="Textoindependiente"/>
        <w:ind w:right="-50"/>
        <w:jc w:val="both"/>
        <w:rPr>
          <w:rFonts w:ascii="Arial" w:hAnsi="Arial" w:cs="Arial"/>
          <w:b/>
          <w:bCs/>
          <w:sz w:val="28"/>
          <w:szCs w:val="28"/>
          <w:lang w:val="es-CO"/>
        </w:rPr>
      </w:pPr>
    </w:p>
    <w:p w14:paraId="1B7E53F7" w14:textId="77777777" w:rsidR="00561B22" w:rsidRPr="00663BEE" w:rsidRDefault="00561B22" w:rsidP="00561B22">
      <w:pPr>
        <w:ind w:right="49"/>
        <w:jc w:val="both"/>
        <w:rPr>
          <w:rFonts w:ascii="Arial" w:hAnsi="Arial" w:cs="Arial"/>
          <w:b/>
          <w:sz w:val="28"/>
          <w:szCs w:val="28"/>
          <w:lang w:val="es-MX"/>
        </w:rPr>
      </w:pPr>
      <w:r w:rsidRPr="00663BEE">
        <w:rPr>
          <w:rFonts w:ascii="Arial" w:hAnsi="Arial" w:cs="Arial"/>
          <w:b/>
          <w:sz w:val="28"/>
          <w:szCs w:val="28"/>
          <w:lang w:val="es-MX"/>
        </w:rPr>
        <w:t>260.- EMPRESA PÚBLICA DE ALCANTARILLADO DE SANTANDER S.A. E.S.P. - EMPAS.</w:t>
      </w:r>
    </w:p>
    <w:p w14:paraId="5867D9A2" w14:textId="77777777" w:rsidR="00561B22" w:rsidRDefault="00561B22" w:rsidP="00561B22">
      <w:pPr>
        <w:pStyle w:val="Textoindependiente"/>
        <w:ind w:right="-50"/>
        <w:jc w:val="both"/>
        <w:rPr>
          <w:rFonts w:ascii="Arial" w:hAnsi="Arial" w:cs="Arial"/>
          <w:b/>
          <w:bCs/>
          <w:sz w:val="28"/>
          <w:szCs w:val="28"/>
          <w:lang w:val="es-MX"/>
        </w:rPr>
      </w:pPr>
    </w:p>
    <w:p w14:paraId="231510D1" w14:textId="77777777" w:rsidR="00561B22" w:rsidRPr="00663BEE" w:rsidRDefault="00561B22" w:rsidP="00561B22">
      <w:pPr>
        <w:pStyle w:val="Textoindependiente"/>
        <w:ind w:right="-50"/>
        <w:jc w:val="center"/>
        <w:rPr>
          <w:rFonts w:ascii="Arial" w:hAnsi="Arial" w:cs="Arial"/>
          <w:b/>
          <w:bCs/>
        </w:rPr>
      </w:pPr>
      <w:r w:rsidRPr="00663BEE">
        <w:rPr>
          <w:rFonts w:ascii="Arial" w:hAnsi="Arial" w:cs="Arial"/>
          <w:b/>
          <w:bCs/>
        </w:rPr>
        <w:t>INFORME DE LA AUTOCALIFICACIÓN DEL SISTEMA DE CONTROL INTERNO CONTABLE:</w:t>
      </w:r>
    </w:p>
    <w:p w14:paraId="7A32EA27" w14:textId="77777777" w:rsidR="00561B22" w:rsidRPr="00663BE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63BEE" w14:paraId="395E86A6" w14:textId="77777777" w:rsidTr="00F1223B">
        <w:tc>
          <w:tcPr>
            <w:tcW w:w="4981" w:type="dxa"/>
          </w:tcPr>
          <w:p w14:paraId="0E4DDE45"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AUTOCALIFICACIÓN</w:t>
            </w:r>
          </w:p>
        </w:tc>
        <w:tc>
          <w:tcPr>
            <w:tcW w:w="4981" w:type="dxa"/>
          </w:tcPr>
          <w:p w14:paraId="5C54B988" w14:textId="77777777" w:rsidR="00561B22" w:rsidRPr="00663BEE" w:rsidRDefault="00561B22" w:rsidP="00F1223B">
            <w:pPr>
              <w:jc w:val="center"/>
              <w:rPr>
                <w:rFonts w:ascii="Arial" w:hAnsi="Arial" w:cs="Arial"/>
                <w:b/>
                <w:sz w:val="22"/>
                <w:szCs w:val="22"/>
                <w:u w:val="single"/>
                <w:lang w:val="es-MX"/>
              </w:rPr>
            </w:pPr>
            <w:r w:rsidRPr="00663BEE">
              <w:rPr>
                <w:rFonts w:ascii="Arial" w:hAnsi="Arial" w:cs="Arial"/>
                <w:b/>
                <w:sz w:val="22"/>
                <w:szCs w:val="22"/>
                <w:u w:val="single"/>
                <w:lang w:val="es-MX"/>
              </w:rPr>
              <w:t>?</w:t>
            </w:r>
          </w:p>
        </w:tc>
      </w:tr>
    </w:tbl>
    <w:p w14:paraId="7A606BE3" w14:textId="77777777" w:rsidR="00561B22" w:rsidRPr="00663BEE" w:rsidRDefault="00561B22" w:rsidP="00561B22">
      <w:pPr>
        <w:pStyle w:val="Textoindependiente"/>
        <w:ind w:right="-50"/>
        <w:jc w:val="both"/>
        <w:rPr>
          <w:rFonts w:ascii="Arial" w:hAnsi="Arial" w:cs="Arial"/>
          <w:b/>
          <w:bCs/>
        </w:rPr>
      </w:pPr>
    </w:p>
    <w:p w14:paraId="6017DEA5" w14:textId="77777777" w:rsidR="00561B22" w:rsidRPr="00663BEE" w:rsidRDefault="00561B22" w:rsidP="00561B22">
      <w:pPr>
        <w:pStyle w:val="Textoindependiente"/>
        <w:ind w:right="-50"/>
        <w:jc w:val="both"/>
        <w:rPr>
          <w:rFonts w:ascii="Arial" w:hAnsi="Arial" w:cs="Arial"/>
        </w:rPr>
      </w:pPr>
      <w:r w:rsidRPr="00663BEE">
        <w:rPr>
          <w:rFonts w:ascii="Arial" w:hAnsi="Arial" w:cs="Arial"/>
          <w:b/>
          <w:bCs/>
        </w:rPr>
        <w:t xml:space="preserve">NOTA: </w:t>
      </w:r>
      <w:r w:rsidRPr="00663BEE">
        <w:rPr>
          <w:rFonts w:ascii="Arial" w:hAnsi="Arial" w:cs="Arial"/>
        </w:rPr>
        <w:t>La entidad no informa la calificación obtenida en la autoevaluación del Sistema del Control Interno Contable.</w:t>
      </w:r>
    </w:p>
    <w:p w14:paraId="0EC55176" w14:textId="77777777" w:rsidR="00561B22" w:rsidRPr="00663BEE" w:rsidRDefault="00561B22" w:rsidP="00561B22">
      <w:pPr>
        <w:pStyle w:val="Textoindependiente"/>
        <w:ind w:right="-50"/>
        <w:jc w:val="both"/>
        <w:rPr>
          <w:rFonts w:ascii="Arial" w:hAnsi="Arial" w:cs="Arial"/>
        </w:rPr>
      </w:pPr>
    </w:p>
    <w:p w14:paraId="42D2D676" w14:textId="77777777" w:rsidR="00561B22" w:rsidRPr="00663BEE" w:rsidRDefault="00561B22" w:rsidP="00561B22">
      <w:pPr>
        <w:pStyle w:val="Textoindependiente"/>
        <w:ind w:right="-50"/>
        <w:jc w:val="both"/>
        <w:rPr>
          <w:rFonts w:ascii="Arial" w:hAnsi="Arial" w:cs="Arial"/>
          <w:b/>
          <w:bCs/>
        </w:rPr>
      </w:pPr>
      <w:r w:rsidRPr="00663BEE">
        <w:rPr>
          <w:rFonts w:ascii="Arial" w:hAnsi="Arial" w:cs="Arial"/>
          <w:b/>
          <w:bCs/>
        </w:rPr>
        <w:t>Del informe enviado retomamos lo siguiente:</w:t>
      </w:r>
    </w:p>
    <w:p w14:paraId="2D7A485B" w14:textId="77777777" w:rsidR="00561B22" w:rsidRPr="00663BE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63BEE" w14:paraId="2E8D5D96" w14:textId="77777777" w:rsidTr="00F1223B">
        <w:tc>
          <w:tcPr>
            <w:tcW w:w="562" w:type="dxa"/>
          </w:tcPr>
          <w:p w14:paraId="47369C95" w14:textId="77777777" w:rsidR="00561B22" w:rsidRPr="00663BEE" w:rsidRDefault="00561B22" w:rsidP="00F1223B">
            <w:pPr>
              <w:ind w:right="-109"/>
              <w:jc w:val="center"/>
              <w:rPr>
                <w:rFonts w:ascii="Arial" w:hAnsi="Arial" w:cs="Arial"/>
                <w:b/>
                <w:sz w:val="22"/>
                <w:szCs w:val="22"/>
                <w:lang w:val="es-MX"/>
              </w:rPr>
            </w:pPr>
            <w:r w:rsidRPr="00663BEE">
              <w:rPr>
                <w:rFonts w:ascii="Arial" w:hAnsi="Arial" w:cs="Arial"/>
                <w:b/>
                <w:sz w:val="22"/>
                <w:szCs w:val="22"/>
                <w:lang w:val="es-MX"/>
              </w:rPr>
              <w:t>N°</w:t>
            </w:r>
          </w:p>
        </w:tc>
        <w:tc>
          <w:tcPr>
            <w:tcW w:w="9400" w:type="dxa"/>
          </w:tcPr>
          <w:p w14:paraId="1521CB96"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DEBILIDADES</w:t>
            </w:r>
          </w:p>
          <w:p w14:paraId="4C8BE999" w14:textId="77777777" w:rsidR="00561B22" w:rsidRPr="00663BEE" w:rsidRDefault="00561B22" w:rsidP="00F1223B">
            <w:pPr>
              <w:jc w:val="center"/>
              <w:rPr>
                <w:rFonts w:ascii="Arial" w:hAnsi="Arial" w:cs="Arial"/>
                <w:b/>
                <w:sz w:val="22"/>
                <w:szCs w:val="22"/>
                <w:lang w:val="es-MX"/>
              </w:rPr>
            </w:pPr>
          </w:p>
        </w:tc>
      </w:tr>
      <w:tr w:rsidR="00561B22" w:rsidRPr="00663BEE" w14:paraId="1BA2B191" w14:textId="77777777" w:rsidTr="00F1223B">
        <w:tc>
          <w:tcPr>
            <w:tcW w:w="562" w:type="dxa"/>
          </w:tcPr>
          <w:p w14:paraId="004C1684"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1</w:t>
            </w:r>
          </w:p>
        </w:tc>
        <w:tc>
          <w:tcPr>
            <w:tcW w:w="9400" w:type="dxa"/>
          </w:tcPr>
          <w:p w14:paraId="02088353" w14:textId="77777777" w:rsidR="00561B22" w:rsidRPr="00663BEE" w:rsidRDefault="00561B22" w:rsidP="00F1223B">
            <w:pPr>
              <w:ind w:right="217"/>
              <w:jc w:val="both"/>
              <w:rPr>
                <w:rFonts w:ascii="Arial" w:hAnsi="Arial" w:cs="Arial"/>
                <w:b/>
                <w:sz w:val="22"/>
                <w:szCs w:val="22"/>
              </w:rPr>
            </w:pPr>
            <w:r w:rsidRPr="00663BEE">
              <w:rPr>
                <w:rFonts w:ascii="Arial" w:eastAsia="Times New Roman" w:hAnsi="Arial" w:cs="Arial"/>
                <w:sz w:val="22"/>
                <w:szCs w:val="22"/>
              </w:rPr>
              <w:t xml:space="preserve">EMPAS S. A. cuenta con un Sistema Financiero que integra presupuesto, contabilidad, tesorería y activos fijos, facturación, no obstante se han presentado algunos inconvenientes </w:t>
            </w:r>
            <w:r w:rsidRPr="00663BEE">
              <w:rPr>
                <w:rFonts w:ascii="Arial" w:eastAsia="Times New Roman" w:hAnsi="Arial" w:cs="Arial"/>
                <w:sz w:val="22"/>
                <w:szCs w:val="22"/>
              </w:rPr>
              <w:lastRenderedPageBreak/>
              <w:t xml:space="preserve">con el desarrollo del aplicativo SIG-SARA Sistema de Información Geográfica en cuanto a la actualización y el cargue de la información catastral de la infraestructura de redes de alcantarillado, pozos y sumideros que se encuentra desactualizada, afectando la eficacia y eficiencia del proceso de identificación y registro del catastro de la infraestructura de alcantarillado de la empresa:  </w:t>
            </w:r>
          </w:p>
        </w:tc>
      </w:tr>
      <w:tr w:rsidR="00561B22" w:rsidRPr="00663BEE" w14:paraId="755E41A1" w14:textId="77777777" w:rsidTr="00F1223B">
        <w:tc>
          <w:tcPr>
            <w:tcW w:w="562" w:type="dxa"/>
          </w:tcPr>
          <w:p w14:paraId="4B82C22F"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lastRenderedPageBreak/>
              <w:t>2</w:t>
            </w:r>
          </w:p>
        </w:tc>
        <w:tc>
          <w:tcPr>
            <w:tcW w:w="9400" w:type="dxa"/>
          </w:tcPr>
          <w:p w14:paraId="726059B4" w14:textId="77777777" w:rsidR="00561B22" w:rsidRPr="00663BEE" w:rsidRDefault="00561B22" w:rsidP="00F1223B">
            <w:pPr>
              <w:ind w:right="217"/>
              <w:jc w:val="both"/>
              <w:rPr>
                <w:rFonts w:ascii="Arial" w:eastAsia="Times New Roman" w:hAnsi="Arial" w:cs="Arial"/>
                <w:sz w:val="22"/>
                <w:szCs w:val="22"/>
              </w:rPr>
            </w:pPr>
            <w:r w:rsidRPr="00663BEE">
              <w:rPr>
                <w:rFonts w:ascii="Arial" w:eastAsia="Times New Roman" w:hAnsi="Arial" w:cs="Arial"/>
                <w:sz w:val="22"/>
                <w:szCs w:val="22"/>
              </w:rPr>
              <w:t>Es necesario que se continue con la actualización para que se integren adecuadamente las áreas que conforman el proceso contable, con el fin de la incorporación de la interface de la individualización de las redes de alcantarillado garantizando la realidad económica en el procesamiento y generación de la información financiera, en aras de lograr la sinergia que permita alcanzar los objetivos de la empresa.</w:t>
            </w:r>
          </w:p>
        </w:tc>
      </w:tr>
    </w:tbl>
    <w:p w14:paraId="3C08A56A" w14:textId="77777777" w:rsidR="00561B22" w:rsidRPr="00663BEE" w:rsidRDefault="00561B22" w:rsidP="00561B22">
      <w:pPr>
        <w:pStyle w:val="Textoindependiente"/>
        <w:ind w:right="-50"/>
        <w:jc w:val="both"/>
        <w:rPr>
          <w:rFonts w:ascii="Arial" w:hAnsi="Arial" w:cs="Arial"/>
          <w:b/>
          <w:bCs/>
        </w:rPr>
      </w:pPr>
    </w:p>
    <w:p w14:paraId="32BEAAF3" w14:textId="77777777" w:rsidR="00561B22" w:rsidRPr="00663BEE" w:rsidRDefault="00561B22" w:rsidP="00561B22">
      <w:pPr>
        <w:jc w:val="both"/>
        <w:rPr>
          <w:rFonts w:ascii="Arial" w:hAnsi="Arial" w:cs="Arial"/>
          <w:b/>
          <w:lang w:val="es-MX"/>
        </w:rPr>
      </w:pPr>
      <w:r w:rsidRPr="00663BEE">
        <w:rPr>
          <w:rFonts w:ascii="Arial" w:hAnsi="Arial" w:cs="Arial"/>
          <w:b/>
          <w:lang w:val="es-MX"/>
        </w:rPr>
        <w:t>Del citado informe retomamos las siguientes recomendaciones:</w:t>
      </w:r>
    </w:p>
    <w:p w14:paraId="57B10524" w14:textId="77777777" w:rsidR="00561B22" w:rsidRPr="00663BEE"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63BEE" w14:paraId="3DE56F78" w14:textId="77777777" w:rsidTr="00F1223B">
        <w:tc>
          <w:tcPr>
            <w:tcW w:w="562" w:type="dxa"/>
          </w:tcPr>
          <w:p w14:paraId="3D1F2041" w14:textId="77777777" w:rsidR="00561B22" w:rsidRPr="00663BEE" w:rsidRDefault="00561B22" w:rsidP="00F1223B">
            <w:pPr>
              <w:ind w:right="-109"/>
              <w:jc w:val="center"/>
              <w:rPr>
                <w:rFonts w:ascii="Arial" w:hAnsi="Arial" w:cs="Arial"/>
                <w:b/>
                <w:sz w:val="22"/>
                <w:szCs w:val="22"/>
                <w:lang w:val="es-MX"/>
              </w:rPr>
            </w:pPr>
            <w:r w:rsidRPr="00663BEE">
              <w:rPr>
                <w:rFonts w:ascii="Arial" w:hAnsi="Arial" w:cs="Arial"/>
                <w:b/>
                <w:sz w:val="22"/>
                <w:szCs w:val="22"/>
                <w:lang w:val="es-MX"/>
              </w:rPr>
              <w:t>N°</w:t>
            </w:r>
          </w:p>
        </w:tc>
        <w:tc>
          <w:tcPr>
            <w:tcW w:w="9400" w:type="dxa"/>
          </w:tcPr>
          <w:p w14:paraId="6E251FD9"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RECOMENDACIONES</w:t>
            </w:r>
          </w:p>
          <w:p w14:paraId="2143B78D" w14:textId="77777777" w:rsidR="00561B22" w:rsidRPr="00663BEE" w:rsidRDefault="00561B22" w:rsidP="00F1223B">
            <w:pPr>
              <w:jc w:val="center"/>
              <w:rPr>
                <w:rFonts w:ascii="Arial" w:hAnsi="Arial" w:cs="Arial"/>
                <w:b/>
                <w:sz w:val="22"/>
                <w:szCs w:val="22"/>
                <w:lang w:val="es-MX"/>
              </w:rPr>
            </w:pPr>
          </w:p>
        </w:tc>
      </w:tr>
      <w:tr w:rsidR="00561B22" w:rsidRPr="00663BEE" w14:paraId="3CD97812" w14:textId="77777777" w:rsidTr="00F1223B">
        <w:tc>
          <w:tcPr>
            <w:tcW w:w="562" w:type="dxa"/>
          </w:tcPr>
          <w:p w14:paraId="25F220DE"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1</w:t>
            </w:r>
          </w:p>
        </w:tc>
        <w:tc>
          <w:tcPr>
            <w:tcW w:w="9400" w:type="dxa"/>
          </w:tcPr>
          <w:p w14:paraId="54E3A90F" w14:textId="77777777" w:rsidR="00561B22" w:rsidRPr="00663BEE" w:rsidRDefault="00561B22" w:rsidP="00F1223B">
            <w:pPr>
              <w:jc w:val="both"/>
              <w:rPr>
                <w:rFonts w:ascii="Arial" w:hAnsi="Arial" w:cs="Arial"/>
                <w:b/>
                <w:sz w:val="22"/>
                <w:szCs w:val="22"/>
                <w:lang w:val="es-MX"/>
              </w:rPr>
            </w:pPr>
            <w:r w:rsidRPr="00663BEE">
              <w:rPr>
                <w:rFonts w:ascii="Arial" w:eastAsia="Times New Roman" w:hAnsi="Arial" w:cs="Arial"/>
                <w:sz w:val="22"/>
                <w:szCs w:val="22"/>
              </w:rPr>
              <w:t xml:space="preserve">Se recomienda continuar con el proceso de depuración contable, dando cumplimiento con lo establecido en las políticas contables. </w:t>
            </w:r>
          </w:p>
        </w:tc>
      </w:tr>
      <w:tr w:rsidR="00561B22" w:rsidRPr="00663BEE" w14:paraId="6E56825D" w14:textId="77777777" w:rsidTr="00F1223B">
        <w:tc>
          <w:tcPr>
            <w:tcW w:w="562" w:type="dxa"/>
          </w:tcPr>
          <w:p w14:paraId="7DE01949"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2</w:t>
            </w:r>
          </w:p>
        </w:tc>
        <w:tc>
          <w:tcPr>
            <w:tcW w:w="9400" w:type="dxa"/>
          </w:tcPr>
          <w:p w14:paraId="1937020E" w14:textId="77777777" w:rsidR="00561B22" w:rsidRPr="00663BEE" w:rsidRDefault="00561B22" w:rsidP="00F1223B">
            <w:pPr>
              <w:jc w:val="both"/>
              <w:rPr>
                <w:rFonts w:ascii="Arial" w:hAnsi="Arial" w:cs="Arial"/>
                <w:b/>
                <w:sz w:val="22"/>
                <w:szCs w:val="22"/>
                <w:lang w:val="es-MX"/>
              </w:rPr>
            </w:pPr>
            <w:r w:rsidRPr="00663BEE">
              <w:rPr>
                <w:rFonts w:ascii="Arial" w:eastAsia="Times New Roman" w:hAnsi="Arial" w:cs="Arial"/>
                <w:sz w:val="22"/>
                <w:szCs w:val="22"/>
              </w:rPr>
              <w:t>Así mismo, fortalecer la cultura del control interno contable, enfatizado en el principio del autocontrol con los funcionarios y contratistas en todas las áreas de la Subgerencia Administrativa y Financiera que son los encargados de garantizar la producción de información financiera con las características fundamentales de relevancia y representación fiel, con el fin de lograr un adecuado cierre integral contable.</w:t>
            </w:r>
          </w:p>
        </w:tc>
      </w:tr>
      <w:tr w:rsidR="00561B22" w:rsidRPr="00663BEE" w14:paraId="070290CE" w14:textId="77777777" w:rsidTr="00F1223B">
        <w:tc>
          <w:tcPr>
            <w:tcW w:w="562" w:type="dxa"/>
          </w:tcPr>
          <w:p w14:paraId="07D41B3B"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3</w:t>
            </w:r>
          </w:p>
        </w:tc>
        <w:tc>
          <w:tcPr>
            <w:tcW w:w="9400" w:type="dxa"/>
          </w:tcPr>
          <w:p w14:paraId="6F255A35" w14:textId="77777777" w:rsidR="00561B22" w:rsidRPr="00663BEE" w:rsidRDefault="00561B22" w:rsidP="00F1223B">
            <w:pPr>
              <w:jc w:val="both"/>
              <w:rPr>
                <w:rFonts w:ascii="Arial" w:hAnsi="Arial" w:cs="Arial"/>
                <w:b/>
                <w:sz w:val="22"/>
                <w:szCs w:val="22"/>
                <w:lang w:val="es-MX"/>
              </w:rPr>
            </w:pPr>
            <w:r w:rsidRPr="00663BEE">
              <w:rPr>
                <w:rFonts w:ascii="Arial" w:eastAsia="Times New Roman" w:hAnsi="Arial" w:cs="Arial"/>
                <w:sz w:val="22"/>
                <w:szCs w:val="22"/>
              </w:rPr>
              <w:t xml:space="preserve">Con relación a las notas a los estados financieros deben revelar la información, que por su materialidad requiera presentar una explicación detallada de los hechos económicos, se deben aplicar los criterios específicos de revelación establecidos por el marco normativo aplicable a la entidad; </w:t>
            </w:r>
          </w:p>
        </w:tc>
      </w:tr>
      <w:tr w:rsidR="00561B22" w:rsidRPr="00663BEE" w14:paraId="65AFA62D" w14:textId="77777777" w:rsidTr="00F1223B">
        <w:tc>
          <w:tcPr>
            <w:tcW w:w="562" w:type="dxa"/>
          </w:tcPr>
          <w:p w14:paraId="0879D188"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4</w:t>
            </w:r>
          </w:p>
        </w:tc>
        <w:tc>
          <w:tcPr>
            <w:tcW w:w="9400" w:type="dxa"/>
          </w:tcPr>
          <w:p w14:paraId="446805B4" w14:textId="77777777" w:rsidR="00561B22" w:rsidRPr="00663BEE" w:rsidRDefault="00561B22" w:rsidP="00F1223B">
            <w:pPr>
              <w:jc w:val="both"/>
              <w:rPr>
                <w:rFonts w:ascii="Arial" w:hAnsi="Arial" w:cs="Arial"/>
                <w:b/>
                <w:sz w:val="22"/>
                <w:szCs w:val="22"/>
                <w:lang w:val="es-MX"/>
              </w:rPr>
            </w:pPr>
            <w:r w:rsidRPr="00663BEE">
              <w:rPr>
                <w:rFonts w:ascii="Arial" w:eastAsia="Times New Roman" w:hAnsi="Arial" w:cs="Arial"/>
                <w:sz w:val="22"/>
                <w:szCs w:val="22"/>
              </w:rPr>
              <w:t xml:space="preserve">Se recomienda que por parte de revisoría fiscal realizar una revisión general a los Estados Financieros de tal manera que proporcione una base suficiente para dictaminar los Estados Financieros y expedir la opinión e informe correspondiente. </w:t>
            </w:r>
          </w:p>
        </w:tc>
      </w:tr>
      <w:tr w:rsidR="00561B22" w:rsidRPr="00663BEE" w14:paraId="014AAE07" w14:textId="77777777" w:rsidTr="00F1223B">
        <w:tc>
          <w:tcPr>
            <w:tcW w:w="562" w:type="dxa"/>
          </w:tcPr>
          <w:p w14:paraId="1E86F9BF"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5</w:t>
            </w:r>
          </w:p>
        </w:tc>
        <w:tc>
          <w:tcPr>
            <w:tcW w:w="9400" w:type="dxa"/>
          </w:tcPr>
          <w:p w14:paraId="3B27CF5B" w14:textId="77777777" w:rsidR="00561B22" w:rsidRPr="00663BEE" w:rsidRDefault="00561B22" w:rsidP="00F1223B">
            <w:pPr>
              <w:jc w:val="both"/>
              <w:rPr>
                <w:rFonts w:ascii="Arial" w:eastAsia="Times New Roman" w:hAnsi="Arial" w:cs="Arial"/>
                <w:sz w:val="22"/>
                <w:szCs w:val="22"/>
              </w:rPr>
            </w:pPr>
            <w:r w:rsidRPr="00663BEE">
              <w:rPr>
                <w:rFonts w:ascii="Arial" w:eastAsia="Times New Roman" w:hAnsi="Arial" w:cs="Arial"/>
                <w:sz w:val="22"/>
                <w:szCs w:val="22"/>
              </w:rPr>
              <w:t>De igual manera debe velar por que se lleve regularmente la contabilidad de la entidad.</w:t>
            </w:r>
          </w:p>
        </w:tc>
      </w:tr>
      <w:tr w:rsidR="00561B22" w:rsidRPr="00663BEE" w14:paraId="262C9187" w14:textId="77777777" w:rsidTr="00F1223B">
        <w:tc>
          <w:tcPr>
            <w:tcW w:w="562" w:type="dxa"/>
          </w:tcPr>
          <w:p w14:paraId="2902FF76" w14:textId="77777777" w:rsidR="00561B22" w:rsidRPr="00663BEE" w:rsidRDefault="00561B22" w:rsidP="00F1223B">
            <w:pPr>
              <w:jc w:val="center"/>
              <w:rPr>
                <w:rFonts w:ascii="Arial" w:hAnsi="Arial" w:cs="Arial"/>
                <w:b/>
                <w:sz w:val="22"/>
                <w:szCs w:val="22"/>
                <w:lang w:val="es-MX"/>
              </w:rPr>
            </w:pPr>
            <w:r w:rsidRPr="00663BEE">
              <w:rPr>
                <w:rFonts w:ascii="Arial" w:hAnsi="Arial" w:cs="Arial"/>
                <w:b/>
                <w:sz w:val="22"/>
                <w:szCs w:val="22"/>
                <w:lang w:val="es-MX"/>
              </w:rPr>
              <w:t>6</w:t>
            </w:r>
          </w:p>
        </w:tc>
        <w:tc>
          <w:tcPr>
            <w:tcW w:w="9400" w:type="dxa"/>
          </w:tcPr>
          <w:p w14:paraId="730F1F31" w14:textId="77777777" w:rsidR="00561B22" w:rsidRPr="00663BEE" w:rsidRDefault="00561B22" w:rsidP="00F1223B">
            <w:pPr>
              <w:jc w:val="both"/>
              <w:rPr>
                <w:rFonts w:ascii="Arial" w:eastAsia="Times New Roman" w:hAnsi="Arial" w:cs="Arial"/>
                <w:sz w:val="22"/>
                <w:szCs w:val="22"/>
              </w:rPr>
            </w:pPr>
            <w:r w:rsidRPr="00663BEE">
              <w:rPr>
                <w:rFonts w:ascii="Arial" w:eastAsia="Times New Roman" w:hAnsi="Arial" w:cs="Arial"/>
                <w:sz w:val="22"/>
                <w:szCs w:val="22"/>
              </w:rPr>
              <w:t>Se recomienda adelantar acciones en cuanto a las conciliaciones de saldos recíprocos con otras entidades y también efectuar con menor periodicidad las conciliaciones y cruces de los saldos contables con las cuales se han tenido operación reciproca.</w:t>
            </w:r>
          </w:p>
        </w:tc>
      </w:tr>
    </w:tbl>
    <w:p w14:paraId="16D7A783" w14:textId="77777777" w:rsidR="00561B22" w:rsidRPr="00663BEE" w:rsidRDefault="00561B22" w:rsidP="00561B22">
      <w:pPr>
        <w:pStyle w:val="Textoindependiente"/>
        <w:ind w:right="-50"/>
        <w:jc w:val="both"/>
        <w:rPr>
          <w:rFonts w:ascii="Arial" w:hAnsi="Arial" w:cs="Arial"/>
          <w:b/>
          <w:bCs/>
        </w:rPr>
      </w:pPr>
    </w:p>
    <w:p w14:paraId="6A41FA4B" w14:textId="77777777" w:rsidR="00561B22" w:rsidRPr="00663BEE" w:rsidRDefault="00561B22" w:rsidP="00561B22">
      <w:pPr>
        <w:jc w:val="both"/>
        <w:rPr>
          <w:rFonts w:ascii="Arial" w:hAnsi="Arial" w:cs="Arial"/>
          <w:b/>
          <w:bCs/>
          <w:sz w:val="24"/>
          <w:szCs w:val="24"/>
          <w:lang w:val="es-CO"/>
        </w:rPr>
      </w:pPr>
      <w:r w:rsidRPr="00663BEE">
        <w:rPr>
          <w:rFonts w:ascii="Arial" w:hAnsi="Arial" w:cs="Arial"/>
          <w:b/>
          <w:bCs/>
          <w:sz w:val="24"/>
          <w:szCs w:val="24"/>
          <w:lang w:val="es-CO"/>
        </w:rPr>
        <w:t xml:space="preserve">NOTA: LA ENTIDAD ENVIA LA MATRIZ DE AUTOEVALUACIÓN DEL SISTEMA DE CONTROL INTERNO CONTABLE CON </w:t>
      </w:r>
      <w:r w:rsidRPr="00663BEE">
        <w:rPr>
          <w:rFonts w:ascii="Arial" w:hAnsi="Arial" w:cs="Arial"/>
          <w:b/>
          <w:bCs/>
          <w:sz w:val="24"/>
          <w:szCs w:val="24"/>
          <w:u w:val="single"/>
          <w:lang w:val="es-CO"/>
        </w:rPr>
        <w:t>ACTIVIDADES DE CONTROL REALIZADAS EN FORMA PARCIAL</w:t>
      </w:r>
      <w:r w:rsidRPr="00663BEE">
        <w:rPr>
          <w:rFonts w:ascii="Arial" w:hAnsi="Arial" w:cs="Arial"/>
          <w:b/>
          <w:bCs/>
          <w:sz w:val="24"/>
          <w:szCs w:val="24"/>
          <w:lang w:val="es-CO"/>
        </w:rPr>
        <w:t>.</w:t>
      </w:r>
    </w:p>
    <w:p w14:paraId="002C07CF" w14:textId="77777777" w:rsidR="00561B22" w:rsidRDefault="00561B22" w:rsidP="00561B22">
      <w:pPr>
        <w:pStyle w:val="Textoindependiente"/>
        <w:ind w:right="-50"/>
        <w:jc w:val="both"/>
        <w:rPr>
          <w:rFonts w:ascii="Arial" w:hAnsi="Arial" w:cs="Arial"/>
          <w:b/>
          <w:bCs/>
          <w:sz w:val="28"/>
          <w:szCs w:val="28"/>
          <w:lang w:val="es-CO"/>
        </w:rPr>
      </w:pPr>
    </w:p>
    <w:p w14:paraId="34344DA4" w14:textId="77777777" w:rsidR="00561B22" w:rsidRPr="00256D40" w:rsidRDefault="00561B22" w:rsidP="00561B22">
      <w:pPr>
        <w:jc w:val="both"/>
        <w:rPr>
          <w:rFonts w:ascii="Arial" w:hAnsi="Arial" w:cs="Arial"/>
          <w:b/>
          <w:sz w:val="28"/>
          <w:szCs w:val="28"/>
          <w:lang w:val="es-MX"/>
        </w:rPr>
      </w:pPr>
      <w:r w:rsidRPr="00256D40">
        <w:rPr>
          <w:rFonts w:ascii="Arial" w:hAnsi="Arial" w:cs="Arial"/>
          <w:b/>
          <w:sz w:val="28"/>
          <w:szCs w:val="28"/>
          <w:lang w:val="es-MX"/>
        </w:rPr>
        <w:t xml:space="preserve">261.- </w:t>
      </w:r>
      <w:r w:rsidRPr="00256D40">
        <w:rPr>
          <w:rFonts w:ascii="Arial" w:hAnsi="Arial" w:cs="Arial"/>
          <w:b/>
          <w:sz w:val="28"/>
          <w:szCs w:val="28"/>
        </w:rPr>
        <w:t>ESP GECELCA 3 S.A.S</w:t>
      </w:r>
      <w:r w:rsidRPr="00256D40">
        <w:rPr>
          <w:rFonts w:ascii="Arial" w:hAnsi="Arial" w:cs="Arial"/>
          <w:b/>
          <w:sz w:val="28"/>
          <w:szCs w:val="28"/>
          <w:lang w:val="es-MX"/>
        </w:rPr>
        <w:t>.</w:t>
      </w:r>
    </w:p>
    <w:p w14:paraId="55936452" w14:textId="77777777" w:rsidR="00561B22" w:rsidRDefault="00561B22" w:rsidP="00561B22">
      <w:pPr>
        <w:pStyle w:val="Textoindependiente"/>
        <w:ind w:right="-50"/>
        <w:jc w:val="both"/>
        <w:rPr>
          <w:rFonts w:ascii="Arial" w:hAnsi="Arial" w:cs="Arial"/>
          <w:b/>
          <w:bCs/>
          <w:sz w:val="28"/>
          <w:szCs w:val="28"/>
          <w:lang w:val="es-MX"/>
        </w:rPr>
      </w:pPr>
    </w:p>
    <w:p w14:paraId="127C7A8E" w14:textId="77777777" w:rsidR="00561B22" w:rsidRPr="000C3CC5" w:rsidRDefault="00561B22" w:rsidP="00561B22">
      <w:pPr>
        <w:pStyle w:val="Textoindependiente"/>
        <w:ind w:right="-50"/>
        <w:jc w:val="center"/>
        <w:rPr>
          <w:rFonts w:ascii="Arial" w:hAnsi="Arial" w:cs="Arial"/>
          <w:b/>
          <w:bCs/>
        </w:rPr>
      </w:pPr>
      <w:r w:rsidRPr="000C3CC5">
        <w:rPr>
          <w:rFonts w:ascii="Arial" w:hAnsi="Arial" w:cs="Arial"/>
          <w:b/>
          <w:bCs/>
        </w:rPr>
        <w:t>INFORME DE LA AUTOCALIFICACIÓN DEL SISTEMA DE CONTROL INTERNO CONTABLE:</w:t>
      </w:r>
    </w:p>
    <w:p w14:paraId="4C76481E" w14:textId="77777777" w:rsidR="00561B22" w:rsidRPr="000C3CC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C3CC5" w14:paraId="2B348F9B" w14:textId="77777777" w:rsidTr="00F1223B">
        <w:tc>
          <w:tcPr>
            <w:tcW w:w="4981" w:type="dxa"/>
          </w:tcPr>
          <w:p w14:paraId="70B97904" w14:textId="77777777" w:rsidR="00561B22" w:rsidRPr="000C3CC5" w:rsidRDefault="00561B22" w:rsidP="00F1223B">
            <w:pPr>
              <w:jc w:val="center"/>
              <w:rPr>
                <w:rFonts w:ascii="Arial" w:hAnsi="Arial" w:cs="Arial"/>
                <w:b/>
                <w:sz w:val="22"/>
                <w:szCs w:val="22"/>
                <w:lang w:val="es-MX"/>
              </w:rPr>
            </w:pPr>
            <w:r w:rsidRPr="000C3CC5">
              <w:rPr>
                <w:rFonts w:ascii="Arial" w:hAnsi="Arial" w:cs="Arial"/>
                <w:b/>
                <w:sz w:val="22"/>
                <w:szCs w:val="22"/>
                <w:lang w:val="es-MX"/>
              </w:rPr>
              <w:t>AUTOCALIFICACIÓN</w:t>
            </w:r>
          </w:p>
        </w:tc>
        <w:tc>
          <w:tcPr>
            <w:tcW w:w="4981" w:type="dxa"/>
          </w:tcPr>
          <w:p w14:paraId="166491A8" w14:textId="77777777" w:rsidR="00561B22" w:rsidRPr="000C3CC5" w:rsidRDefault="00561B22" w:rsidP="00F1223B">
            <w:pPr>
              <w:jc w:val="center"/>
              <w:rPr>
                <w:rFonts w:ascii="Arial" w:hAnsi="Arial" w:cs="Arial"/>
                <w:b/>
                <w:sz w:val="22"/>
                <w:szCs w:val="22"/>
                <w:u w:val="single"/>
                <w:lang w:val="es-MX"/>
              </w:rPr>
            </w:pPr>
            <w:r w:rsidRPr="000C3CC5">
              <w:rPr>
                <w:rFonts w:ascii="Arial" w:hAnsi="Arial" w:cs="Arial"/>
                <w:b/>
                <w:sz w:val="22"/>
                <w:szCs w:val="22"/>
                <w:u w:val="single"/>
                <w:lang w:val="es-MX"/>
              </w:rPr>
              <w:t>5.00</w:t>
            </w:r>
          </w:p>
        </w:tc>
      </w:tr>
    </w:tbl>
    <w:p w14:paraId="1A760248" w14:textId="77777777" w:rsidR="00561B22" w:rsidRPr="000C3CC5" w:rsidRDefault="00561B22" w:rsidP="00561B22">
      <w:pPr>
        <w:pStyle w:val="Textoindependiente"/>
        <w:ind w:right="-50"/>
        <w:jc w:val="both"/>
        <w:rPr>
          <w:rFonts w:ascii="Arial" w:hAnsi="Arial" w:cs="Arial"/>
          <w:b/>
          <w:bCs/>
        </w:rPr>
      </w:pPr>
    </w:p>
    <w:p w14:paraId="3C4236E2" w14:textId="77777777" w:rsidR="00561B22" w:rsidRPr="000C3CC5" w:rsidRDefault="00561B22" w:rsidP="00561B22">
      <w:pPr>
        <w:pStyle w:val="Textoindependiente"/>
        <w:ind w:right="-50"/>
        <w:jc w:val="both"/>
        <w:rPr>
          <w:rFonts w:ascii="Arial" w:hAnsi="Arial" w:cs="Arial"/>
          <w:b/>
          <w:bCs/>
        </w:rPr>
      </w:pPr>
      <w:r w:rsidRPr="000C3CC5">
        <w:rPr>
          <w:rFonts w:ascii="Arial" w:hAnsi="Arial" w:cs="Arial"/>
          <w:b/>
          <w:bCs/>
        </w:rPr>
        <w:t>Del informe enviado retomamos lo siguiente:</w:t>
      </w:r>
    </w:p>
    <w:p w14:paraId="534054D1" w14:textId="77777777" w:rsidR="00561B22" w:rsidRPr="000C3CC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C3CC5" w14:paraId="65A1D0EA" w14:textId="77777777" w:rsidTr="00F1223B">
        <w:tc>
          <w:tcPr>
            <w:tcW w:w="562" w:type="dxa"/>
          </w:tcPr>
          <w:p w14:paraId="6602B229" w14:textId="77777777" w:rsidR="00561B22" w:rsidRPr="000C3CC5" w:rsidRDefault="00561B22" w:rsidP="00F1223B">
            <w:pPr>
              <w:ind w:right="-109"/>
              <w:jc w:val="center"/>
              <w:rPr>
                <w:rFonts w:ascii="Arial" w:hAnsi="Arial" w:cs="Arial"/>
                <w:b/>
                <w:sz w:val="22"/>
                <w:szCs w:val="22"/>
                <w:lang w:val="es-MX"/>
              </w:rPr>
            </w:pPr>
            <w:r w:rsidRPr="000C3CC5">
              <w:rPr>
                <w:rFonts w:ascii="Arial" w:hAnsi="Arial" w:cs="Arial"/>
                <w:b/>
                <w:sz w:val="22"/>
                <w:szCs w:val="22"/>
                <w:lang w:val="es-MX"/>
              </w:rPr>
              <w:t>N°</w:t>
            </w:r>
          </w:p>
        </w:tc>
        <w:tc>
          <w:tcPr>
            <w:tcW w:w="9400" w:type="dxa"/>
          </w:tcPr>
          <w:p w14:paraId="1079BFBD" w14:textId="77777777" w:rsidR="00561B22" w:rsidRPr="000C3CC5" w:rsidRDefault="00561B22" w:rsidP="00F1223B">
            <w:pPr>
              <w:jc w:val="center"/>
              <w:rPr>
                <w:rFonts w:ascii="Arial" w:hAnsi="Arial" w:cs="Arial"/>
                <w:b/>
                <w:sz w:val="22"/>
                <w:szCs w:val="22"/>
                <w:lang w:val="es-MX"/>
              </w:rPr>
            </w:pPr>
            <w:r w:rsidRPr="000C3CC5">
              <w:rPr>
                <w:rFonts w:ascii="Arial" w:hAnsi="Arial" w:cs="Arial"/>
                <w:b/>
                <w:sz w:val="22"/>
                <w:szCs w:val="22"/>
                <w:lang w:val="es-MX"/>
              </w:rPr>
              <w:t>DEBILIDADES</w:t>
            </w:r>
          </w:p>
          <w:p w14:paraId="29BD7E44" w14:textId="77777777" w:rsidR="00561B22" w:rsidRPr="000C3CC5" w:rsidRDefault="00561B22" w:rsidP="00F1223B">
            <w:pPr>
              <w:jc w:val="center"/>
              <w:rPr>
                <w:rFonts w:ascii="Arial" w:hAnsi="Arial" w:cs="Arial"/>
                <w:b/>
                <w:sz w:val="22"/>
                <w:szCs w:val="22"/>
                <w:lang w:val="es-MX"/>
              </w:rPr>
            </w:pPr>
          </w:p>
        </w:tc>
      </w:tr>
      <w:tr w:rsidR="00561B22" w:rsidRPr="000C3CC5" w14:paraId="34517754" w14:textId="77777777" w:rsidTr="00F1223B">
        <w:tc>
          <w:tcPr>
            <w:tcW w:w="562" w:type="dxa"/>
          </w:tcPr>
          <w:p w14:paraId="0BD89586" w14:textId="77777777" w:rsidR="00561B22" w:rsidRPr="000C3CC5" w:rsidRDefault="00561B22" w:rsidP="00F1223B">
            <w:pPr>
              <w:jc w:val="center"/>
              <w:rPr>
                <w:rFonts w:ascii="Arial" w:hAnsi="Arial" w:cs="Arial"/>
                <w:b/>
                <w:sz w:val="22"/>
                <w:szCs w:val="22"/>
                <w:lang w:val="es-MX"/>
              </w:rPr>
            </w:pPr>
            <w:r w:rsidRPr="000C3CC5">
              <w:rPr>
                <w:rFonts w:ascii="Arial" w:hAnsi="Arial" w:cs="Arial"/>
                <w:b/>
                <w:sz w:val="22"/>
                <w:szCs w:val="22"/>
                <w:lang w:val="es-MX"/>
              </w:rPr>
              <w:t>1</w:t>
            </w:r>
          </w:p>
        </w:tc>
        <w:tc>
          <w:tcPr>
            <w:tcW w:w="9400" w:type="dxa"/>
          </w:tcPr>
          <w:p w14:paraId="0EECFA78" w14:textId="77777777" w:rsidR="00561B22" w:rsidRPr="000C3CC5" w:rsidRDefault="00561B22" w:rsidP="00F1223B">
            <w:pPr>
              <w:jc w:val="both"/>
              <w:rPr>
                <w:rFonts w:ascii="Arial" w:hAnsi="Arial" w:cs="Arial"/>
                <w:b/>
                <w:sz w:val="22"/>
                <w:szCs w:val="22"/>
                <w:lang w:val="es-MX"/>
              </w:rPr>
            </w:pPr>
            <w:r w:rsidRPr="000C3CC5">
              <w:rPr>
                <w:rFonts w:ascii="Arial" w:hAnsi="Arial" w:cs="Arial"/>
                <w:b/>
                <w:sz w:val="22"/>
                <w:szCs w:val="22"/>
                <w:lang w:val="es-MX"/>
              </w:rPr>
              <w:t>No se evidenciaron debilidades, sin embargo, se ejecutarán oportunidades de mejora para el proceso contable.</w:t>
            </w:r>
          </w:p>
        </w:tc>
      </w:tr>
    </w:tbl>
    <w:p w14:paraId="345BB206" w14:textId="77777777" w:rsidR="00561B22" w:rsidRPr="000C3CC5" w:rsidRDefault="00561B22" w:rsidP="00561B22">
      <w:pPr>
        <w:pStyle w:val="Textoindependiente"/>
        <w:ind w:right="-50"/>
        <w:jc w:val="both"/>
        <w:rPr>
          <w:rFonts w:ascii="Arial" w:hAnsi="Arial" w:cs="Arial"/>
          <w:b/>
          <w:bCs/>
        </w:rPr>
      </w:pPr>
    </w:p>
    <w:p w14:paraId="3CC96839" w14:textId="77777777" w:rsidR="00561B22" w:rsidRPr="000C3CC5" w:rsidRDefault="00561B22" w:rsidP="00561B22">
      <w:pPr>
        <w:jc w:val="both"/>
        <w:rPr>
          <w:rFonts w:ascii="Arial" w:hAnsi="Arial" w:cs="Arial"/>
          <w:b/>
          <w:lang w:val="es-MX"/>
        </w:rPr>
      </w:pPr>
      <w:r w:rsidRPr="000C3CC5">
        <w:rPr>
          <w:rFonts w:ascii="Arial" w:hAnsi="Arial" w:cs="Arial"/>
          <w:b/>
          <w:lang w:val="es-MX"/>
        </w:rPr>
        <w:lastRenderedPageBreak/>
        <w:t>Del citado informe retomamos las siguientes recomendaciones:</w:t>
      </w:r>
    </w:p>
    <w:p w14:paraId="15B01698" w14:textId="77777777" w:rsidR="00561B22" w:rsidRPr="000C3CC5"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0C3CC5" w14:paraId="187E81E2" w14:textId="77777777" w:rsidTr="00F1223B">
        <w:tc>
          <w:tcPr>
            <w:tcW w:w="562" w:type="dxa"/>
          </w:tcPr>
          <w:p w14:paraId="1F5F8E6D" w14:textId="77777777" w:rsidR="00561B22" w:rsidRPr="000C3CC5" w:rsidRDefault="00561B22" w:rsidP="00F1223B">
            <w:pPr>
              <w:ind w:right="-109"/>
              <w:jc w:val="center"/>
              <w:rPr>
                <w:rFonts w:ascii="Arial" w:hAnsi="Arial" w:cs="Arial"/>
                <w:b/>
                <w:sz w:val="22"/>
                <w:szCs w:val="22"/>
                <w:lang w:val="es-MX"/>
              </w:rPr>
            </w:pPr>
            <w:r w:rsidRPr="000C3CC5">
              <w:rPr>
                <w:rFonts w:ascii="Arial" w:hAnsi="Arial" w:cs="Arial"/>
                <w:b/>
                <w:sz w:val="22"/>
                <w:szCs w:val="22"/>
                <w:lang w:val="es-MX"/>
              </w:rPr>
              <w:t>N°</w:t>
            </w:r>
          </w:p>
        </w:tc>
        <w:tc>
          <w:tcPr>
            <w:tcW w:w="9400" w:type="dxa"/>
          </w:tcPr>
          <w:p w14:paraId="2FE7B0D5" w14:textId="77777777" w:rsidR="00561B22" w:rsidRPr="000C3CC5" w:rsidRDefault="00561B22" w:rsidP="00F1223B">
            <w:pPr>
              <w:jc w:val="center"/>
              <w:rPr>
                <w:rFonts w:ascii="Arial" w:hAnsi="Arial" w:cs="Arial"/>
                <w:b/>
                <w:sz w:val="22"/>
                <w:szCs w:val="22"/>
                <w:lang w:val="es-MX"/>
              </w:rPr>
            </w:pPr>
            <w:r w:rsidRPr="000C3CC5">
              <w:rPr>
                <w:rFonts w:ascii="Arial" w:hAnsi="Arial" w:cs="Arial"/>
                <w:b/>
                <w:sz w:val="22"/>
                <w:szCs w:val="22"/>
                <w:lang w:val="es-MX"/>
              </w:rPr>
              <w:t>RECOMENDACIONES</w:t>
            </w:r>
          </w:p>
          <w:p w14:paraId="6677AEEC" w14:textId="77777777" w:rsidR="00561B22" w:rsidRPr="000C3CC5" w:rsidRDefault="00561B22" w:rsidP="00F1223B">
            <w:pPr>
              <w:jc w:val="center"/>
              <w:rPr>
                <w:rFonts w:ascii="Arial" w:hAnsi="Arial" w:cs="Arial"/>
                <w:b/>
                <w:sz w:val="22"/>
                <w:szCs w:val="22"/>
                <w:lang w:val="es-MX"/>
              </w:rPr>
            </w:pPr>
          </w:p>
        </w:tc>
      </w:tr>
      <w:tr w:rsidR="00561B22" w:rsidRPr="000C3CC5" w14:paraId="48321E6C" w14:textId="77777777" w:rsidTr="00F1223B">
        <w:tc>
          <w:tcPr>
            <w:tcW w:w="562" w:type="dxa"/>
          </w:tcPr>
          <w:p w14:paraId="48496F07" w14:textId="77777777" w:rsidR="00561B22" w:rsidRPr="000C3CC5" w:rsidRDefault="00561B22" w:rsidP="00F1223B">
            <w:pPr>
              <w:jc w:val="center"/>
              <w:rPr>
                <w:rFonts w:ascii="Arial" w:hAnsi="Arial" w:cs="Arial"/>
                <w:b/>
                <w:sz w:val="22"/>
                <w:szCs w:val="22"/>
                <w:lang w:val="es-MX"/>
              </w:rPr>
            </w:pPr>
            <w:r w:rsidRPr="000C3CC5">
              <w:rPr>
                <w:rFonts w:ascii="Arial" w:hAnsi="Arial" w:cs="Arial"/>
                <w:b/>
                <w:sz w:val="22"/>
                <w:szCs w:val="22"/>
                <w:lang w:val="es-MX"/>
              </w:rPr>
              <w:t>1</w:t>
            </w:r>
          </w:p>
        </w:tc>
        <w:tc>
          <w:tcPr>
            <w:tcW w:w="9400" w:type="dxa"/>
          </w:tcPr>
          <w:p w14:paraId="443534A9" w14:textId="77777777" w:rsidR="00561B22" w:rsidRPr="000C3CC5" w:rsidRDefault="00561B22" w:rsidP="00F1223B">
            <w:pPr>
              <w:jc w:val="both"/>
              <w:rPr>
                <w:rFonts w:ascii="Arial" w:hAnsi="Arial" w:cs="Arial"/>
                <w:b/>
                <w:sz w:val="22"/>
                <w:szCs w:val="22"/>
                <w:lang w:val="es-MX"/>
              </w:rPr>
            </w:pPr>
            <w:r w:rsidRPr="000C3CC5">
              <w:rPr>
                <w:rFonts w:ascii="Arial" w:hAnsi="Arial" w:cs="Arial"/>
                <w:b/>
                <w:sz w:val="22"/>
                <w:szCs w:val="22"/>
                <w:lang w:val="es-MX"/>
              </w:rPr>
              <w:t>Seguir en la vigencia 2025, con las implementaciones de reportes en Power Bi, con el fin de fortalecer los análisis contables y financieros, así como la eficiencia en el proceso contable.</w:t>
            </w:r>
          </w:p>
        </w:tc>
      </w:tr>
    </w:tbl>
    <w:p w14:paraId="45C5E5B5" w14:textId="77777777" w:rsidR="00561B22" w:rsidRPr="000C3CC5" w:rsidRDefault="00561B22" w:rsidP="00561B22">
      <w:pPr>
        <w:pStyle w:val="Textoindependiente"/>
        <w:ind w:right="-50"/>
        <w:jc w:val="both"/>
        <w:rPr>
          <w:rFonts w:ascii="Arial" w:hAnsi="Arial" w:cs="Arial"/>
          <w:b/>
          <w:bCs/>
        </w:rPr>
      </w:pPr>
    </w:p>
    <w:p w14:paraId="540A2DBD" w14:textId="77777777" w:rsidR="00561B22" w:rsidRPr="00F958D1" w:rsidRDefault="00561B22" w:rsidP="00561B22">
      <w:pPr>
        <w:jc w:val="both"/>
        <w:rPr>
          <w:rFonts w:ascii="Arial" w:hAnsi="Arial" w:cs="Arial"/>
          <w:b/>
          <w:sz w:val="28"/>
          <w:szCs w:val="28"/>
          <w:lang w:val="es-MX"/>
        </w:rPr>
      </w:pPr>
      <w:bookmarkStart w:id="70" w:name="_Hlk203393917"/>
      <w:r w:rsidRPr="00F958D1">
        <w:rPr>
          <w:rFonts w:ascii="Arial" w:hAnsi="Arial" w:cs="Arial"/>
          <w:b/>
          <w:sz w:val="28"/>
          <w:szCs w:val="28"/>
          <w:lang w:val="es-MX"/>
        </w:rPr>
        <w:t>262.- GENERADORA Y COMERCILIZADORA DE ENERGIA DEL CARIBE S.A. E.SP. – GECELCA S.A.</w:t>
      </w:r>
    </w:p>
    <w:bookmarkEnd w:id="70"/>
    <w:p w14:paraId="25899576" w14:textId="77777777" w:rsidR="00561B22" w:rsidRPr="00F958D1" w:rsidRDefault="00561B22" w:rsidP="00561B22">
      <w:pPr>
        <w:pStyle w:val="Ttulo1"/>
        <w:spacing w:before="93"/>
        <w:ind w:right="-50"/>
        <w:jc w:val="left"/>
        <w:rPr>
          <w:sz w:val="22"/>
          <w:szCs w:val="22"/>
          <w:lang w:val="es-MX"/>
        </w:rPr>
      </w:pPr>
    </w:p>
    <w:p w14:paraId="2A3795A1" w14:textId="77777777" w:rsidR="00561B22" w:rsidRPr="00F958D1" w:rsidRDefault="00561B22" w:rsidP="00561B22">
      <w:pPr>
        <w:pStyle w:val="Textoindependiente"/>
        <w:ind w:right="-50"/>
        <w:jc w:val="center"/>
        <w:rPr>
          <w:rFonts w:ascii="Arial" w:hAnsi="Arial" w:cs="Arial"/>
          <w:b/>
          <w:bCs/>
        </w:rPr>
      </w:pPr>
      <w:r w:rsidRPr="00F958D1">
        <w:rPr>
          <w:rFonts w:ascii="Arial" w:hAnsi="Arial" w:cs="Arial"/>
          <w:b/>
          <w:bCs/>
        </w:rPr>
        <w:t>INFORME DE LA AUTOCALIFICACIÓN DEL SISTEMA DE CONTROL INTERNO CONTABLE:</w:t>
      </w:r>
    </w:p>
    <w:p w14:paraId="3173F916" w14:textId="77777777" w:rsidR="00561B22" w:rsidRPr="00F958D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958D1" w14:paraId="15CC3794" w14:textId="77777777" w:rsidTr="00F1223B">
        <w:tc>
          <w:tcPr>
            <w:tcW w:w="4981" w:type="dxa"/>
          </w:tcPr>
          <w:p w14:paraId="4927924A" w14:textId="77777777" w:rsidR="00561B22" w:rsidRPr="00F958D1" w:rsidRDefault="00561B22" w:rsidP="00F1223B">
            <w:pPr>
              <w:jc w:val="center"/>
              <w:rPr>
                <w:rFonts w:ascii="Arial" w:hAnsi="Arial" w:cs="Arial"/>
                <w:b/>
                <w:sz w:val="22"/>
                <w:szCs w:val="22"/>
                <w:lang w:val="es-MX"/>
              </w:rPr>
            </w:pPr>
            <w:r w:rsidRPr="00F958D1">
              <w:rPr>
                <w:rFonts w:ascii="Arial" w:hAnsi="Arial" w:cs="Arial"/>
                <w:b/>
                <w:sz w:val="22"/>
                <w:szCs w:val="22"/>
                <w:lang w:val="es-MX"/>
              </w:rPr>
              <w:t>AUTOCALIFICACIÓN</w:t>
            </w:r>
          </w:p>
        </w:tc>
        <w:tc>
          <w:tcPr>
            <w:tcW w:w="4981" w:type="dxa"/>
          </w:tcPr>
          <w:p w14:paraId="0E23FDCC" w14:textId="77777777" w:rsidR="00561B22" w:rsidRPr="00F958D1" w:rsidRDefault="00561B22" w:rsidP="00F1223B">
            <w:pPr>
              <w:jc w:val="center"/>
              <w:rPr>
                <w:rFonts w:ascii="Arial" w:hAnsi="Arial" w:cs="Arial"/>
                <w:b/>
                <w:sz w:val="22"/>
                <w:szCs w:val="22"/>
                <w:u w:val="single"/>
                <w:lang w:val="es-MX"/>
              </w:rPr>
            </w:pPr>
            <w:r w:rsidRPr="00F958D1">
              <w:rPr>
                <w:rFonts w:ascii="Arial" w:hAnsi="Arial" w:cs="Arial"/>
                <w:b/>
                <w:sz w:val="22"/>
                <w:szCs w:val="22"/>
                <w:u w:val="single"/>
                <w:lang w:val="es-MX"/>
              </w:rPr>
              <w:t>5.00</w:t>
            </w:r>
          </w:p>
        </w:tc>
      </w:tr>
    </w:tbl>
    <w:p w14:paraId="567CF2A5" w14:textId="77777777" w:rsidR="00561B22" w:rsidRPr="00F958D1" w:rsidRDefault="00561B22" w:rsidP="00561B22">
      <w:pPr>
        <w:pStyle w:val="Textoindependiente"/>
        <w:ind w:right="-50"/>
        <w:jc w:val="both"/>
        <w:rPr>
          <w:rFonts w:ascii="Arial" w:hAnsi="Arial" w:cs="Arial"/>
          <w:b/>
          <w:bCs/>
        </w:rPr>
      </w:pPr>
    </w:p>
    <w:p w14:paraId="12758188" w14:textId="77777777" w:rsidR="00561B22" w:rsidRPr="00F958D1" w:rsidRDefault="00561B22" w:rsidP="00561B22">
      <w:pPr>
        <w:pStyle w:val="Textoindependiente"/>
        <w:ind w:right="-50"/>
        <w:jc w:val="both"/>
        <w:rPr>
          <w:rFonts w:ascii="Arial" w:hAnsi="Arial" w:cs="Arial"/>
          <w:b/>
          <w:bCs/>
        </w:rPr>
      </w:pPr>
      <w:r w:rsidRPr="00F958D1">
        <w:rPr>
          <w:rFonts w:ascii="Arial" w:hAnsi="Arial" w:cs="Arial"/>
          <w:b/>
          <w:bCs/>
        </w:rPr>
        <w:t>Del informe enviado retomamos lo siguiente:</w:t>
      </w:r>
    </w:p>
    <w:p w14:paraId="40F6ECDD" w14:textId="77777777" w:rsidR="00561B22" w:rsidRPr="00F958D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958D1" w14:paraId="2669587C" w14:textId="77777777" w:rsidTr="00F1223B">
        <w:tc>
          <w:tcPr>
            <w:tcW w:w="562" w:type="dxa"/>
          </w:tcPr>
          <w:p w14:paraId="5BE9A570" w14:textId="77777777" w:rsidR="00561B22" w:rsidRPr="00F958D1" w:rsidRDefault="00561B22" w:rsidP="00F1223B">
            <w:pPr>
              <w:ind w:right="-109"/>
              <w:jc w:val="center"/>
              <w:rPr>
                <w:rFonts w:ascii="Arial" w:hAnsi="Arial" w:cs="Arial"/>
                <w:b/>
                <w:sz w:val="22"/>
                <w:szCs w:val="22"/>
                <w:lang w:val="es-MX"/>
              </w:rPr>
            </w:pPr>
            <w:r w:rsidRPr="00F958D1">
              <w:rPr>
                <w:rFonts w:ascii="Arial" w:hAnsi="Arial" w:cs="Arial"/>
                <w:b/>
                <w:sz w:val="22"/>
                <w:szCs w:val="22"/>
                <w:lang w:val="es-MX"/>
              </w:rPr>
              <w:t>N°</w:t>
            </w:r>
          </w:p>
        </w:tc>
        <w:tc>
          <w:tcPr>
            <w:tcW w:w="9400" w:type="dxa"/>
          </w:tcPr>
          <w:p w14:paraId="2D7C9AA5" w14:textId="77777777" w:rsidR="00561B22" w:rsidRPr="00F958D1" w:rsidRDefault="00561B22" w:rsidP="00F1223B">
            <w:pPr>
              <w:jc w:val="center"/>
              <w:rPr>
                <w:rFonts w:ascii="Arial" w:hAnsi="Arial" w:cs="Arial"/>
                <w:b/>
                <w:sz w:val="22"/>
                <w:szCs w:val="22"/>
                <w:lang w:val="es-MX"/>
              </w:rPr>
            </w:pPr>
            <w:r w:rsidRPr="00F958D1">
              <w:rPr>
                <w:rFonts w:ascii="Arial" w:hAnsi="Arial" w:cs="Arial"/>
                <w:b/>
                <w:sz w:val="22"/>
                <w:szCs w:val="22"/>
                <w:lang w:val="es-MX"/>
              </w:rPr>
              <w:t>RECOMENDACIONES</w:t>
            </w:r>
          </w:p>
          <w:p w14:paraId="2045876E" w14:textId="77777777" w:rsidR="00561B22" w:rsidRPr="00F958D1" w:rsidRDefault="00561B22" w:rsidP="00F1223B">
            <w:pPr>
              <w:jc w:val="center"/>
              <w:rPr>
                <w:rFonts w:ascii="Arial" w:hAnsi="Arial" w:cs="Arial"/>
                <w:b/>
                <w:sz w:val="22"/>
                <w:szCs w:val="22"/>
                <w:lang w:val="es-MX"/>
              </w:rPr>
            </w:pPr>
          </w:p>
        </w:tc>
      </w:tr>
      <w:tr w:rsidR="00561B22" w:rsidRPr="00F958D1" w14:paraId="60BC8118" w14:textId="77777777" w:rsidTr="00F1223B">
        <w:tc>
          <w:tcPr>
            <w:tcW w:w="562" w:type="dxa"/>
          </w:tcPr>
          <w:p w14:paraId="32745880" w14:textId="77777777" w:rsidR="00561B22" w:rsidRPr="00F958D1" w:rsidRDefault="00561B22" w:rsidP="00F1223B">
            <w:pPr>
              <w:jc w:val="center"/>
              <w:rPr>
                <w:rFonts w:ascii="Arial" w:hAnsi="Arial" w:cs="Arial"/>
                <w:b/>
                <w:sz w:val="22"/>
                <w:szCs w:val="22"/>
                <w:lang w:val="es-MX"/>
              </w:rPr>
            </w:pPr>
            <w:r w:rsidRPr="00F958D1">
              <w:rPr>
                <w:rFonts w:ascii="Arial" w:hAnsi="Arial" w:cs="Arial"/>
                <w:b/>
                <w:sz w:val="22"/>
                <w:szCs w:val="22"/>
                <w:lang w:val="es-MX"/>
              </w:rPr>
              <w:t>1</w:t>
            </w:r>
          </w:p>
        </w:tc>
        <w:tc>
          <w:tcPr>
            <w:tcW w:w="9400" w:type="dxa"/>
          </w:tcPr>
          <w:p w14:paraId="3473FCF8" w14:textId="77777777" w:rsidR="00561B22" w:rsidRPr="00F958D1" w:rsidRDefault="00561B22" w:rsidP="00F1223B">
            <w:pPr>
              <w:widowControl/>
              <w:autoSpaceDE/>
              <w:autoSpaceDN/>
              <w:jc w:val="both"/>
              <w:rPr>
                <w:rFonts w:ascii="Arial" w:eastAsia="Times New Roman" w:hAnsi="Arial" w:cs="Arial"/>
                <w:sz w:val="22"/>
                <w:szCs w:val="22"/>
                <w:lang w:val="es-CO"/>
              </w:rPr>
            </w:pPr>
            <w:r w:rsidRPr="00F958D1">
              <w:rPr>
                <w:rFonts w:ascii="Arial" w:hAnsi="Arial" w:cs="Arial"/>
                <w:sz w:val="22"/>
                <w:szCs w:val="22"/>
              </w:rPr>
              <w:t xml:space="preserve">Seguir en la vigencia 2025, con las implementaciones de reportes en Power Bi, con el fin de fortalecer los análisis contables y financieros, así como la eficiencia en el proceso contable.  </w:t>
            </w:r>
          </w:p>
        </w:tc>
      </w:tr>
    </w:tbl>
    <w:p w14:paraId="3AB16F1A" w14:textId="77777777" w:rsidR="00561B22" w:rsidRPr="00F958D1" w:rsidRDefault="00561B22" w:rsidP="00561B22">
      <w:pPr>
        <w:pStyle w:val="Textoindependiente"/>
        <w:ind w:right="-50"/>
        <w:jc w:val="both"/>
        <w:rPr>
          <w:rFonts w:ascii="Arial" w:hAnsi="Arial" w:cs="Arial"/>
          <w:b/>
          <w:bCs/>
        </w:rPr>
      </w:pPr>
    </w:p>
    <w:p w14:paraId="44001C2D" w14:textId="77777777" w:rsidR="00561B22" w:rsidRPr="00774DBD" w:rsidRDefault="00561B22" w:rsidP="00561B22">
      <w:pPr>
        <w:jc w:val="both"/>
        <w:rPr>
          <w:rFonts w:ascii="Arial" w:hAnsi="Arial" w:cs="Arial"/>
          <w:b/>
          <w:sz w:val="28"/>
          <w:szCs w:val="28"/>
          <w:lang w:val="es-MX"/>
        </w:rPr>
      </w:pPr>
      <w:r w:rsidRPr="00774DBD">
        <w:rPr>
          <w:rFonts w:ascii="Arial" w:hAnsi="Arial" w:cs="Arial"/>
          <w:b/>
          <w:sz w:val="28"/>
          <w:szCs w:val="28"/>
          <w:lang w:val="es-MX"/>
        </w:rPr>
        <w:t xml:space="preserve">263.- INSTITUTO DE INVESTIGACIONES AMBIENTALES DEL PACÍFICO IIAP – JHON VON NEUMANN. </w:t>
      </w:r>
    </w:p>
    <w:p w14:paraId="5345BB1F" w14:textId="77777777" w:rsidR="00561B22" w:rsidRPr="00774DBD" w:rsidRDefault="00561B22" w:rsidP="00561B22">
      <w:pPr>
        <w:jc w:val="both"/>
        <w:rPr>
          <w:rFonts w:ascii="Arial" w:hAnsi="Arial" w:cs="Arial"/>
          <w:b/>
          <w:lang w:val="es-MX"/>
        </w:rPr>
      </w:pPr>
    </w:p>
    <w:p w14:paraId="352866C2" w14:textId="77777777" w:rsidR="00561B22" w:rsidRPr="00774DBD" w:rsidRDefault="00561B22" w:rsidP="00561B22">
      <w:pPr>
        <w:pStyle w:val="Textoindependiente"/>
        <w:ind w:right="-50"/>
        <w:jc w:val="center"/>
        <w:rPr>
          <w:rFonts w:ascii="Arial" w:hAnsi="Arial" w:cs="Arial"/>
          <w:b/>
          <w:bCs/>
        </w:rPr>
      </w:pPr>
      <w:r w:rsidRPr="00774DBD">
        <w:rPr>
          <w:rFonts w:ascii="Arial" w:hAnsi="Arial" w:cs="Arial"/>
          <w:b/>
          <w:bCs/>
        </w:rPr>
        <w:t>INFORME DE LA AUTOCALIFICACIÓN DEL SISTEMA DE CONTROL INTERNO CONTABLE:</w:t>
      </w:r>
    </w:p>
    <w:p w14:paraId="69FAF9CA" w14:textId="77777777" w:rsidR="00561B22" w:rsidRPr="00774DB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74DBD" w14:paraId="015035C4" w14:textId="77777777" w:rsidTr="00F1223B">
        <w:tc>
          <w:tcPr>
            <w:tcW w:w="4981" w:type="dxa"/>
          </w:tcPr>
          <w:p w14:paraId="5C4DA800" w14:textId="77777777" w:rsidR="00561B22" w:rsidRPr="00774DBD" w:rsidRDefault="00561B22" w:rsidP="00F1223B">
            <w:pPr>
              <w:jc w:val="center"/>
              <w:rPr>
                <w:rFonts w:ascii="Arial" w:hAnsi="Arial" w:cs="Arial"/>
                <w:b/>
                <w:sz w:val="22"/>
                <w:szCs w:val="22"/>
                <w:lang w:val="es-MX"/>
              </w:rPr>
            </w:pPr>
            <w:r w:rsidRPr="00774DBD">
              <w:rPr>
                <w:rFonts w:ascii="Arial" w:hAnsi="Arial" w:cs="Arial"/>
                <w:b/>
                <w:sz w:val="22"/>
                <w:szCs w:val="22"/>
                <w:lang w:val="es-MX"/>
              </w:rPr>
              <w:t>AUTOCALIFICACIÓN</w:t>
            </w:r>
          </w:p>
        </w:tc>
        <w:tc>
          <w:tcPr>
            <w:tcW w:w="4981" w:type="dxa"/>
          </w:tcPr>
          <w:p w14:paraId="2A32FE3D" w14:textId="77777777" w:rsidR="00561B22" w:rsidRPr="00774DBD" w:rsidRDefault="00561B22" w:rsidP="00F1223B">
            <w:pPr>
              <w:jc w:val="center"/>
              <w:rPr>
                <w:rFonts w:ascii="Arial" w:hAnsi="Arial" w:cs="Arial"/>
                <w:b/>
                <w:sz w:val="22"/>
                <w:szCs w:val="22"/>
                <w:u w:val="single"/>
                <w:lang w:val="es-MX"/>
              </w:rPr>
            </w:pPr>
            <w:r w:rsidRPr="00774DBD">
              <w:rPr>
                <w:rFonts w:ascii="Arial" w:hAnsi="Arial" w:cs="Arial"/>
                <w:b/>
                <w:sz w:val="22"/>
                <w:szCs w:val="22"/>
                <w:u w:val="single"/>
                <w:lang w:val="es-MX"/>
              </w:rPr>
              <w:t>4.78</w:t>
            </w:r>
          </w:p>
        </w:tc>
      </w:tr>
    </w:tbl>
    <w:p w14:paraId="7D2B5E3E" w14:textId="77777777" w:rsidR="00561B22" w:rsidRPr="00774DBD" w:rsidRDefault="00561B22" w:rsidP="00561B22">
      <w:pPr>
        <w:pStyle w:val="Textoindependiente"/>
        <w:ind w:right="-50"/>
        <w:jc w:val="both"/>
        <w:rPr>
          <w:rFonts w:ascii="Arial" w:hAnsi="Arial" w:cs="Arial"/>
          <w:b/>
          <w:bCs/>
        </w:rPr>
      </w:pPr>
    </w:p>
    <w:p w14:paraId="03CB59A7" w14:textId="77777777" w:rsidR="00561B22" w:rsidRPr="00774DBD" w:rsidRDefault="00561B22" w:rsidP="00561B22">
      <w:pPr>
        <w:pStyle w:val="Textoindependiente"/>
        <w:ind w:right="-50"/>
        <w:jc w:val="both"/>
        <w:rPr>
          <w:rFonts w:ascii="Arial" w:hAnsi="Arial" w:cs="Arial"/>
          <w:b/>
          <w:bCs/>
        </w:rPr>
      </w:pPr>
      <w:r w:rsidRPr="00774DBD">
        <w:rPr>
          <w:rFonts w:ascii="Arial" w:hAnsi="Arial" w:cs="Arial"/>
          <w:b/>
          <w:bCs/>
        </w:rPr>
        <w:t>Del informe enviado retomamos lo siguiente:</w:t>
      </w:r>
    </w:p>
    <w:p w14:paraId="2B3B14B1" w14:textId="77777777" w:rsidR="00561B22" w:rsidRPr="00774DB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74DBD" w14:paraId="0841D037" w14:textId="77777777" w:rsidTr="00F1223B">
        <w:tc>
          <w:tcPr>
            <w:tcW w:w="562" w:type="dxa"/>
          </w:tcPr>
          <w:p w14:paraId="1495868C" w14:textId="77777777" w:rsidR="00561B22" w:rsidRPr="00774DBD" w:rsidRDefault="00561B22" w:rsidP="00F1223B">
            <w:pPr>
              <w:ind w:right="-109"/>
              <w:jc w:val="center"/>
              <w:rPr>
                <w:rFonts w:ascii="Arial" w:hAnsi="Arial" w:cs="Arial"/>
                <w:b/>
                <w:sz w:val="22"/>
                <w:szCs w:val="22"/>
                <w:lang w:val="es-MX"/>
              </w:rPr>
            </w:pPr>
            <w:r w:rsidRPr="00774DBD">
              <w:rPr>
                <w:rFonts w:ascii="Arial" w:hAnsi="Arial" w:cs="Arial"/>
                <w:b/>
                <w:sz w:val="22"/>
                <w:szCs w:val="22"/>
                <w:lang w:val="es-MX"/>
              </w:rPr>
              <w:t>N°</w:t>
            </w:r>
          </w:p>
        </w:tc>
        <w:tc>
          <w:tcPr>
            <w:tcW w:w="9400" w:type="dxa"/>
          </w:tcPr>
          <w:p w14:paraId="47575DD5" w14:textId="77777777" w:rsidR="00561B22" w:rsidRPr="00774DBD" w:rsidRDefault="00561B22" w:rsidP="00F1223B">
            <w:pPr>
              <w:jc w:val="center"/>
              <w:rPr>
                <w:rFonts w:ascii="Arial" w:hAnsi="Arial" w:cs="Arial"/>
                <w:b/>
                <w:sz w:val="22"/>
                <w:szCs w:val="22"/>
                <w:lang w:val="es-MX"/>
              </w:rPr>
            </w:pPr>
            <w:r w:rsidRPr="00774DBD">
              <w:rPr>
                <w:rFonts w:ascii="Arial" w:hAnsi="Arial" w:cs="Arial"/>
                <w:b/>
                <w:sz w:val="22"/>
                <w:szCs w:val="22"/>
                <w:lang w:val="es-MX"/>
              </w:rPr>
              <w:t>DEBILIDADES</w:t>
            </w:r>
          </w:p>
          <w:p w14:paraId="7DB79E53" w14:textId="77777777" w:rsidR="00561B22" w:rsidRPr="00774DBD" w:rsidRDefault="00561B22" w:rsidP="00F1223B">
            <w:pPr>
              <w:jc w:val="center"/>
              <w:rPr>
                <w:rFonts w:ascii="Arial" w:hAnsi="Arial" w:cs="Arial"/>
                <w:b/>
                <w:sz w:val="22"/>
                <w:szCs w:val="22"/>
                <w:lang w:val="es-MX"/>
              </w:rPr>
            </w:pPr>
          </w:p>
        </w:tc>
      </w:tr>
      <w:tr w:rsidR="00561B22" w:rsidRPr="00774DBD" w14:paraId="3FC33CA4" w14:textId="77777777" w:rsidTr="00F1223B">
        <w:tc>
          <w:tcPr>
            <w:tcW w:w="562" w:type="dxa"/>
          </w:tcPr>
          <w:p w14:paraId="5FDD7D69" w14:textId="77777777" w:rsidR="00561B22" w:rsidRPr="00774DBD" w:rsidRDefault="00561B22" w:rsidP="00F1223B">
            <w:pPr>
              <w:jc w:val="center"/>
              <w:rPr>
                <w:rFonts w:ascii="Arial" w:hAnsi="Arial" w:cs="Arial"/>
                <w:b/>
                <w:sz w:val="22"/>
                <w:szCs w:val="22"/>
                <w:lang w:val="es-MX"/>
              </w:rPr>
            </w:pPr>
            <w:r w:rsidRPr="00774DBD">
              <w:rPr>
                <w:rFonts w:ascii="Arial" w:hAnsi="Arial" w:cs="Arial"/>
                <w:b/>
                <w:sz w:val="22"/>
                <w:szCs w:val="22"/>
                <w:lang w:val="es-MX"/>
              </w:rPr>
              <w:t>1</w:t>
            </w:r>
          </w:p>
        </w:tc>
        <w:tc>
          <w:tcPr>
            <w:tcW w:w="9400" w:type="dxa"/>
          </w:tcPr>
          <w:p w14:paraId="4F20FE29" w14:textId="77777777" w:rsidR="00561B22" w:rsidRPr="00774DBD" w:rsidRDefault="00561B22" w:rsidP="00F1223B">
            <w:pPr>
              <w:jc w:val="both"/>
              <w:rPr>
                <w:rFonts w:ascii="Arial" w:hAnsi="Arial" w:cs="Arial"/>
                <w:bCs/>
                <w:sz w:val="22"/>
                <w:szCs w:val="22"/>
                <w:lang w:val="es-MX"/>
              </w:rPr>
            </w:pPr>
            <w:r w:rsidRPr="00774DBD">
              <w:rPr>
                <w:rFonts w:ascii="Arial" w:hAnsi="Arial" w:cs="Arial"/>
                <w:bCs/>
                <w:sz w:val="22"/>
                <w:szCs w:val="22"/>
                <w:lang w:val="es-MX"/>
              </w:rPr>
              <w:t>Se ve poca participación de los funcionarios de la dependencia en los planes de capacitaciones de la institución, falta de fluidez en los procesos de comunicación y el suministro de información entre las áreas involucradas.</w:t>
            </w:r>
          </w:p>
        </w:tc>
      </w:tr>
    </w:tbl>
    <w:p w14:paraId="3FFA3FF0" w14:textId="77777777" w:rsidR="00561B22" w:rsidRPr="00774DBD" w:rsidRDefault="00561B22" w:rsidP="00561B22">
      <w:pPr>
        <w:pStyle w:val="Textoindependiente"/>
        <w:ind w:right="-50"/>
        <w:jc w:val="both"/>
        <w:rPr>
          <w:rFonts w:ascii="Arial" w:hAnsi="Arial" w:cs="Arial"/>
          <w:b/>
          <w:bCs/>
        </w:rPr>
      </w:pPr>
    </w:p>
    <w:p w14:paraId="7E73A44A" w14:textId="77777777" w:rsidR="00561B22" w:rsidRPr="00774DBD" w:rsidRDefault="00561B22" w:rsidP="00561B22">
      <w:pPr>
        <w:jc w:val="both"/>
        <w:rPr>
          <w:rFonts w:ascii="Arial" w:hAnsi="Arial" w:cs="Arial"/>
          <w:b/>
          <w:lang w:val="es-MX"/>
        </w:rPr>
      </w:pPr>
      <w:r w:rsidRPr="00774DBD">
        <w:rPr>
          <w:rFonts w:ascii="Arial" w:hAnsi="Arial" w:cs="Arial"/>
          <w:b/>
          <w:lang w:val="es-MX"/>
        </w:rPr>
        <w:t>Del citado informe retomamos las siguientes recomendaciones:</w:t>
      </w:r>
    </w:p>
    <w:p w14:paraId="35729D60" w14:textId="77777777" w:rsidR="00561B22" w:rsidRPr="00774DBD"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774DBD" w14:paraId="268DE122" w14:textId="77777777" w:rsidTr="00F1223B">
        <w:tc>
          <w:tcPr>
            <w:tcW w:w="562" w:type="dxa"/>
          </w:tcPr>
          <w:p w14:paraId="090C3456" w14:textId="77777777" w:rsidR="00561B22" w:rsidRPr="00774DBD" w:rsidRDefault="00561B22" w:rsidP="00F1223B">
            <w:pPr>
              <w:ind w:right="-109"/>
              <w:jc w:val="center"/>
              <w:rPr>
                <w:rFonts w:ascii="Arial" w:hAnsi="Arial" w:cs="Arial"/>
                <w:b/>
                <w:sz w:val="22"/>
                <w:szCs w:val="22"/>
                <w:lang w:val="es-MX"/>
              </w:rPr>
            </w:pPr>
            <w:r w:rsidRPr="00774DBD">
              <w:rPr>
                <w:rFonts w:ascii="Arial" w:hAnsi="Arial" w:cs="Arial"/>
                <w:b/>
                <w:sz w:val="22"/>
                <w:szCs w:val="22"/>
                <w:lang w:val="es-MX"/>
              </w:rPr>
              <w:t>N°</w:t>
            </w:r>
          </w:p>
        </w:tc>
        <w:tc>
          <w:tcPr>
            <w:tcW w:w="9400" w:type="dxa"/>
          </w:tcPr>
          <w:p w14:paraId="34406D28" w14:textId="77777777" w:rsidR="00561B22" w:rsidRPr="00774DBD" w:rsidRDefault="00561B22" w:rsidP="00F1223B">
            <w:pPr>
              <w:jc w:val="center"/>
              <w:rPr>
                <w:rFonts w:ascii="Arial" w:hAnsi="Arial" w:cs="Arial"/>
                <w:b/>
                <w:sz w:val="22"/>
                <w:szCs w:val="22"/>
                <w:lang w:val="es-MX"/>
              </w:rPr>
            </w:pPr>
            <w:r w:rsidRPr="00774DBD">
              <w:rPr>
                <w:rFonts w:ascii="Arial" w:hAnsi="Arial" w:cs="Arial"/>
                <w:b/>
                <w:sz w:val="22"/>
                <w:szCs w:val="22"/>
                <w:lang w:val="es-MX"/>
              </w:rPr>
              <w:t>RECOMENDACIONES</w:t>
            </w:r>
          </w:p>
          <w:p w14:paraId="26A86DED" w14:textId="77777777" w:rsidR="00561B22" w:rsidRPr="00774DBD" w:rsidRDefault="00561B22" w:rsidP="00F1223B">
            <w:pPr>
              <w:jc w:val="center"/>
              <w:rPr>
                <w:rFonts w:ascii="Arial" w:hAnsi="Arial" w:cs="Arial"/>
                <w:b/>
                <w:sz w:val="22"/>
                <w:szCs w:val="22"/>
                <w:lang w:val="es-MX"/>
              </w:rPr>
            </w:pPr>
          </w:p>
        </w:tc>
      </w:tr>
      <w:tr w:rsidR="00561B22" w:rsidRPr="00774DBD" w14:paraId="07EF6349" w14:textId="77777777" w:rsidTr="00F1223B">
        <w:tc>
          <w:tcPr>
            <w:tcW w:w="562" w:type="dxa"/>
          </w:tcPr>
          <w:p w14:paraId="2C02AC7F" w14:textId="77777777" w:rsidR="00561B22" w:rsidRPr="00774DBD" w:rsidRDefault="00561B22" w:rsidP="00F1223B">
            <w:pPr>
              <w:jc w:val="center"/>
              <w:rPr>
                <w:rFonts w:ascii="Arial" w:hAnsi="Arial" w:cs="Arial"/>
                <w:b/>
                <w:sz w:val="22"/>
                <w:szCs w:val="22"/>
                <w:lang w:val="es-MX"/>
              </w:rPr>
            </w:pPr>
            <w:r w:rsidRPr="00774DBD">
              <w:rPr>
                <w:rFonts w:ascii="Arial" w:hAnsi="Arial" w:cs="Arial"/>
                <w:b/>
                <w:sz w:val="22"/>
                <w:szCs w:val="22"/>
                <w:lang w:val="es-MX"/>
              </w:rPr>
              <w:t>1</w:t>
            </w:r>
          </w:p>
        </w:tc>
        <w:tc>
          <w:tcPr>
            <w:tcW w:w="9400" w:type="dxa"/>
          </w:tcPr>
          <w:p w14:paraId="7DA04120" w14:textId="77777777" w:rsidR="00561B22" w:rsidRPr="00774DBD" w:rsidRDefault="00561B22" w:rsidP="00F1223B">
            <w:pPr>
              <w:jc w:val="both"/>
              <w:rPr>
                <w:rFonts w:ascii="Arial" w:hAnsi="Arial" w:cs="Arial"/>
                <w:bCs/>
                <w:sz w:val="22"/>
                <w:szCs w:val="22"/>
                <w:lang w:val="es-MX"/>
              </w:rPr>
            </w:pPr>
            <w:r w:rsidRPr="00774DBD">
              <w:rPr>
                <w:rFonts w:ascii="Arial" w:hAnsi="Arial" w:cs="Arial"/>
                <w:bCs/>
                <w:sz w:val="22"/>
                <w:szCs w:val="22"/>
                <w:lang w:val="es-MX"/>
              </w:rPr>
              <w:t>Actualizar las políticas y normatividades contables los más pronto posible para que se han socializadas y aplicadas institucionalmente, involucrar en los planes de capacitaciones institucionales temas contables en los que participen los responsables de la dependencia, así como todos los involucrados en el proceso.</w:t>
            </w:r>
          </w:p>
        </w:tc>
      </w:tr>
    </w:tbl>
    <w:p w14:paraId="05C0A856" w14:textId="77777777" w:rsidR="00561B22" w:rsidRPr="00774DBD" w:rsidRDefault="00561B22" w:rsidP="00561B22">
      <w:pPr>
        <w:pStyle w:val="Textoindependiente"/>
        <w:ind w:right="-50"/>
        <w:jc w:val="both"/>
        <w:rPr>
          <w:rFonts w:ascii="Arial" w:hAnsi="Arial" w:cs="Arial"/>
          <w:b/>
          <w:bCs/>
          <w:sz w:val="28"/>
          <w:szCs w:val="28"/>
        </w:rPr>
      </w:pPr>
    </w:p>
    <w:p w14:paraId="4B06A34A" w14:textId="77777777" w:rsidR="00561B22" w:rsidRPr="00774DBD" w:rsidRDefault="00561B22" w:rsidP="00561B22">
      <w:pPr>
        <w:jc w:val="both"/>
        <w:rPr>
          <w:rFonts w:ascii="Arial" w:hAnsi="Arial" w:cs="Arial"/>
          <w:b/>
          <w:bCs/>
          <w:sz w:val="24"/>
          <w:szCs w:val="24"/>
          <w:lang w:val="es-CO"/>
        </w:rPr>
      </w:pPr>
      <w:r w:rsidRPr="00774DBD">
        <w:rPr>
          <w:rFonts w:ascii="Arial" w:hAnsi="Arial" w:cs="Arial"/>
          <w:b/>
          <w:bCs/>
          <w:sz w:val="24"/>
          <w:szCs w:val="24"/>
          <w:lang w:val="es-CO"/>
        </w:rPr>
        <w:t xml:space="preserve">NOTA: LA ENTIDAD ENVÍA LA MATRIZ DE AUTOEVALUACIÓN DEL SISTEMA DE CONTROL INTERNO CONTABLE CON </w:t>
      </w:r>
      <w:r w:rsidRPr="00774DBD">
        <w:rPr>
          <w:rFonts w:ascii="Arial" w:hAnsi="Arial" w:cs="Arial"/>
          <w:b/>
          <w:bCs/>
          <w:sz w:val="24"/>
          <w:szCs w:val="24"/>
          <w:u w:val="single"/>
          <w:lang w:val="es-CO"/>
        </w:rPr>
        <w:t>ACTIVIDADES DE CONTROL REALIZADAS EN FORMA PARCIAL</w:t>
      </w:r>
      <w:r w:rsidRPr="00774DBD">
        <w:rPr>
          <w:rFonts w:ascii="Arial" w:hAnsi="Arial" w:cs="Arial"/>
          <w:b/>
          <w:bCs/>
          <w:sz w:val="24"/>
          <w:szCs w:val="24"/>
          <w:lang w:val="es-CO"/>
        </w:rPr>
        <w:t>.</w:t>
      </w:r>
    </w:p>
    <w:p w14:paraId="58B322A0" w14:textId="77777777" w:rsidR="00561B22" w:rsidRPr="00774DBD" w:rsidRDefault="00561B22" w:rsidP="00561B22">
      <w:pPr>
        <w:jc w:val="both"/>
        <w:rPr>
          <w:rFonts w:ascii="Arial" w:hAnsi="Arial" w:cs="Arial"/>
          <w:sz w:val="24"/>
          <w:szCs w:val="24"/>
          <w:lang w:val="es-CO"/>
        </w:rPr>
      </w:pPr>
    </w:p>
    <w:p w14:paraId="6B443EAC" w14:textId="77777777" w:rsidR="00561B22" w:rsidRPr="003E370B" w:rsidRDefault="00561B22" w:rsidP="00561B22">
      <w:pPr>
        <w:jc w:val="both"/>
        <w:rPr>
          <w:rFonts w:ascii="Arial" w:hAnsi="Arial" w:cs="Arial"/>
          <w:b/>
          <w:sz w:val="28"/>
          <w:szCs w:val="28"/>
          <w:lang w:val="es-MX"/>
        </w:rPr>
      </w:pPr>
      <w:r w:rsidRPr="003E370B">
        <w:rPr>
          <w:rFonts w:ascii="Arial" w:hAnsi="Arial" w:cs="Arial"/>
          <w:b/>
          <w:sz w:val="28"/>
          <w:szCs w:val="28"/>
          <w:lang w:val="es-MX"/>
        </w:rPr>
        <w:lastRenderedPageBreak/>
        <w:t>264.- MINISTERIO DE EDUCACIÓN NACIONAL.</w:t>
      </w:r>
    </w:p>
    <w:p w14:paraId="34253190" w14:textId="77777777" w:rsidR="00561B22" w:rsidRDefault="00561B22" w:rsidP="00561B22">
      <w:pPr>
        <w:pStyle w:val="Textoindependiente"/>
        <w:tabs>
          <w:tab w:val="left" w:pos="2055"/>
        </w:tabs>
        <w:spacing w:before="5"/>
        <w:jc w:val="both"/>
        <w:rPr>
          <w:rFonts w:ascii="Arial" w:hAnsi="Arial" w:cs="Arial"/>
          <w:sz w:val="24"/>
          <w:szCs w:val="24"/>
        </w:rPr>
      </w:pPr>
    </w:p>
    <w:p w14:paraId="11EB3C81" w14:textId="77777777" w:rsidR="00561B22" w:rsidRPr="007B6DDF" w:rsidRDefault="00561B22" w:rsidP="00561B22">
      <w:pPr>
        <w:pStyle w:val="Textoindependiente"/>
        <w:ind w:right="-50"/>
        <w:jc w:val="center"/>
        <w:rPr>
          <w:rFonts w:ascii="Arial" w:hAnsi="Arial" w:cs="Arial"/>
          <w:b/>
          <w:bCs/>
        </w:rPr>
      </w:pPr>
      <w:r w:rsidRPr="007B6DDF">
        <w:rPr>
          <w:rFonts w:ascii="Arial" w:hAnsi="Arial" w:cs="Arial"/>
          <w:b/>
          <w:bCs/>
        </w:rPr>
        <w:t>INFORME DE LA AUTOCALIFICACIÓN DEL SISTEMA DE CONTROL INTERNO CONTABLE:</w:t>
      </w:r>
    </w:p>
    <w:p w14:paraId="087CD684" w14:textId="77777777" w:rsidR="00561B22" w:rsidRPr="007B6DD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B6DDF" w14:paraId="7DDB6F2D" w14:textId="77777777" w:rsidTr="00F1223B">
        <w:tc>
          <w:tcPr>
            <w:tcW w:w="4981" w:type="dxa"/>
          </w:tcPr>
          <w:p w14:paraId="383E3B87"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AUTOCALIFICACIÓN</w:t>
            </w:r>
          </w:p>
        </w:tc>
        <w:tc>
          <w:tcPr>
            <w:tcW w:w="4981" w:type="dxa"/>
          </w:tcPr>
          <w:p w14:paraId="467E7F03" w14:textId="77777777" w:rsidR="00561B22" w:rsidRPr="007B6DDF" w:rsidRDefault="00561B22" w:rsidP="00F1223B">
            <w:pPr>
              <w:jc w:val="center"/>
              <w:rPr>
                <w:rFonts w:ascii="Arial" w:hAnsi="Arial" w:cs="Arial"/>
                <w:b/>
                <w:sz w:val="22"/>
                <w:szCs w:val="22"/>
                <w:u w:val="single"/>
                <w:lang w:val="es-MX"/>
              </w:rPr>
            </w:pPr>
            <w:r w:rsidRPr="007B6DDF">
              <w:rPr>
                <w:rFonts w:ascii="Arial" w:hAnsi="Arial" w:cs="Arial"/>
                <w:b/>
                <w:sz w:val="22"/>
                <w:szCs w:val="22"/>
                <w:u w:val="single"/>
                <w:lang w:val="es-MX"/>
              </w:rPr>
              <w:t>5.00</w:t>
            </w:r>
          </w:p>
        </w:tc>
      </w:tr>
    </w:tbl>
    <w:p w14:paraId="6645106D" w14:textId="77777777" w:rsidR="00561B22" w:rsidRPr="007B6DDF" w:rsidRDefault="00561B22" w:rsidP="00561B22">
      <w:pPr>
        <w:pStyle w:val="Textoindependiente"/>
        <w:ind w:right="-50"/>
        <w:jc w:val="both"/>
        <w:rPr>
          <w:rFonts w:ascii="Arial" w:hAnsi="Arial" w:cs="Arial"/>
          <w:b/>
          <w:bCs/>
        </w:rPr>
      </w:pPr>
    </w:p>
    <w:p w14:paraId="029401D7" w14:textId="77777777" w:rsidR="00561B22" w:rsidRPr="007B6DDF" w:rsidRDefault="00561B22" w:rsidP="00561B22">
      <w:pPr>
        <w:pStyle w:val="Textoindependiente"/>
        <w:ind w:right="-50"/>
        <w:jc w:val="both"/>
        <w:rPr>
          <w:rFonts w:ascii="Arial" w:hAnsi="Arial" w:cs="Arial"/>
          <w:b/>
          <w:bCs/>
        </w:rPr>
      </w:pPr>
      <w:r w:rsidRPr="007B6DDF">
        <w:rPr>
          <w:rFonts w:ascii="Arial" w:hAnsi="Arial" w:cs="Arial"/>
          <w:b/>
          <w:bCs/>
        </w:rPr>
        <w:t>Del informe enviado retomamos lo siguiente:</w:t>
      </w:r>
    </w:p>
    <w:p w14:paraId="0317393A" w14:textId="77777777" w:rsidR="00561B22" w:rsidRPr="007B6DD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B6DDF" w14:paraId="426A188A" w14:textId="77777777" w:rsidTr="00F1223B">
        <w:tc>
          <w:tcPr>
            <w:tcW w:w="562" w:type="dxa"/>
          </w:tcPr>
          <w:p w14:paraId="2CFB0851" w14:textId="77777777" w:rsidR="00561B22" w:rsidRPr="007B6DDF" w:rsidRDefault="00561B22" w:rsidP="00F1223B">
            <w:pPr>
              <w:ind w:right="-109"/>
              <w:jc w:val="center"/>
              <w:rPr>
                <w:rFonts w:ascii="Arial" w:hAnsi="Arial" w:cs="Arial"/>
                <w:b/>
                <w:sz w:val="22"/>
                <w:szCs w:val="22"/>
                <w:lang w:val="es-MX"/>
              </w:rPr>
            </w:pPr>
            <w:r w:rsidRPr="007B6DDF">
              <w:rPr>
                <w:rFonts w:ascii="Arial" w:hAnsi="Arial" w:cs="Arial"/>
                <w:b/>
                <w:sz w:val="22"/>
                <w:szCs w:val="22"/>
                <w:lang w:val="es-MX"/>
              </w:rPr>
              <w:t>N°</w:t>
            </w:r>
          </w:p>
        </w:tc>
        <w:tc>
          <w:tcPr>
            <w:tcW w:w="9400" w:type="dxa"/>
          </w:tcPr>
          <w:p w14:paraId="357AD647"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DEBILIDADES</w:t>
            </w:r>
          </w:p>
          <w:p w14:paraId="447B1F3C" w14:textId="77777777" w:rsidR="00561B22" w:rsidRPr="007B6DDF" w:rsidRDefault="00561B22" w:rsidP="00F1223B">
            <w:pPr>
              <w:jc w:val="center"/>
              <w:rPr>
                <w:rFonts w:ascii="Arial" w:hAnsi="Arial" w:cs="Arial"/>
                <w:b/>
                <w:sz w:val="22"/>
                <w:szCs w:val="22"/>
                <w:lang w:val="es-MX"/>
              </w:rPr>
            </w:pPr>
          </w:p>
        </w:tc>
      </w:tr>
      <w:tr w:rsidR="00561B22" w:rsidRPr="007B6DDF" w14:paraId="430F532E" w14:textId="77777777" w:rsidTr="00F1223B">
        <w:tc>
          <w:tcPr>
            <w:tcW w:w="562" w:type="dxa"/>
          </w:tcPr>
          <w:p w14:paraId="7B3C3481"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1</w:t>
            </w:r>
          </w:p>
        </w:tc>
        <w:tc>
          <w:tcPr>
            <w:tcW w:w="9400" w:type="dxa"/>
          </w:tcPr>
          <w:p w14:paraId="4FB738EA" w14:textId="77777777" w:rsidR="00561B22" w:rsidRPr="007B6DDF" w:rsidRDefault="00561B22" w:rsidP="00F1223B">
            <w:pPr>
              <w:jc w:val="both"/>
              <w:rPr>
                <w:rFonts w:ascii="Arial" w:hAnsi="Arial" w:cs="Arial"/>
                <w:b/>
                <w:sz w:val="22"/>
                <w:szCs w:val="22"/>
                <w:lang w:val="es-MX"/>
              </w:rPr>
            </w:pPr>
            <w:r w:rsidRPr="007B6DDF">
              <w:rPr>
                <w:rFonts w:ascii="Arial" w:eastAsia="Times New Roman" w:hAnsi="Arial" w:cs="Arial"/>
                <w:sz w:val="22"/>
                <w:szCs w:val="22"/>
              </w:rPr>
              <w:t>La existencia de vacantes en la Subdirección de Gestión Financiera representa un riesgo significativo de sobrecarga laboral para el personal que permanece en sus puestos.</w:t>
            </w:r>
          </w:p>
        </w:tc>
      </w:tr>
    </w:tbl>
    <w:p w14:paraId="3DF6F450" w14:textId="77777777" w:rsidR="00561B22" w:rsidRPr="007B6DDF" w:rsidRDefault="00561B22" w:rsidP="00561B22">
      <w:pPr>
        <w:pStyle w:val="Textoindependiente"/>
        <w:ind w:right="-50"/>
        <w:jc w:val="both"/>
        <w:rPr>
          <w:rFonts w:ascii="Arial" w:hAnsi="Arial" w:cs="Arial"/>
          <w:b/>
          <w:bCs/>
        </w:rPr>
      </w:pPr>
    </w:p>
    <w:p w14:paraId="46076A6B" w14:textId="77777777" w:rsidR="00561B22" w:rsidRPr="007B6DDF" w:rsidRDefault="00561B22" w:rsidP="00561B22">
      <w:pPr>
        <w:jc w:val="both"/>
        <w:rPr>
          <w:rFonts w:ascii="Arial" w:hAnsi="Arial" w:cs="Arial"/>
          <w:b/>
          <w:lang w:val="es-MX"/>
        </w:rPr>
      </w:pPr>
      <w:r w:rsidRPr="007B6DDF">
        <w:rPr>
          <w:rFonts w:ascii="Arial" w:hAnsi="Arial" w:cs="Arial"/>
          <w:b/>
          <w:lang w:val="es-MX"/>
        </w:rPr>
        <w:t>Del citado informe retomamos las siguientes recomendaciones:</w:t>
      </w:r>
    </w:p>
    <w:p w14:paraId="258A5E0B" w14:textId="77777777" w:rsidR="00561B22" w:rsidRPr="007B6DDF"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7B6DDF" w14:paraId="28AAE172" w14:textId="77777777" w:rsidTr="00F1223B">
        <w:tc>
          <w:tcPr>
            <w:tcW w:w="562" w:type="dxa"/>
          </w:tcPr>
          <w:p w14:paraId="4846974D" w14:textId="77777777" w:rsidR="00561B22" w:rsidRPr="007B6DDF" w:rsidRDefault="00561B22" w:rsidP="00F1223B">
            <w:pPr>
              <w:ind w:right="-109"/>
              <w:jc w:val="center"/>
              <w:rPr>
                <w:rFonts w:ascii="Arial" w:hAnsi="Arial" w:cs="Arial"/>
                <w:b/>
                <w:sz w:val="22"/>
                <w:szCs w:val="22"/>
                <w:lang w:val="es-MX"/>
              </w:rPr>
            </w:pPr>
            <w:r w:rsidRPr="007B6DDF">
              <w:rPr>
                <w:rFonts w:ascii="Arial" w:hAnsi="Arial" w:cs="Arial"/>
                <w:b/>
                <w:sz w:val="22"/>
                <w:szCs w:val="22"/>
                <w:lang w:val="es-MX"/>
              </w:rPr>
              <w:t>N°</w:t>
            </w:r>
          </w:p>
        </w:tc>
        <w:tc>
          <w:tcPr>
            <w:tcW w:w="9400" w:type="dxa"/>
          </w:tcPr>
          <w:p w14:paraId="57272D81"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RECOMENDACIONES</w:t>
            </w:r>
          </w:p>
          <w:p w14:paraId="1509811D" w14:textId="77777777" w:rsidR="00561B22" w:rsidRPr="007B6DDF" w:rsidRDefault="00561B22" w:rsidP="00F1223B">
            <w:pPr>
              <w:jc w:val="center"/>
              <w:rPr>
                <w:rFonts w:ascii="Arial" w:hAnsi="Arial" w:cs="Arial"/>
                <w:b/>
                <w:sz w:val="22"/>
                <w:szCs w:val="22"/>
                <w:lang w:val="es-MX"/>
              </w:rPr>
            </w:pPr>
          </w:p>
        </w:tc>
      </w:tr>
      <w:tr w:rsidR="00561B22" w:rsidRPr="007B6DDF" w14:paraId="0BEB7C2F" w14:textId="77777777" w:rsidTr="00F1223B">
        <w:tc>
          <w:tcPr>
            <w:tcW w:w="562" w:type="dxa"/>
          </w:tcPr>
          <w:p w14:paraId="3E9796D3"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1</w:t>
            </w:r>
          </w:p>
        </w:tc>
        <w:tc>
          <w:tcPr>
            <w:tcW w:w="9400" w:type="dxa"/>
          </w:tcPr>
          <w:p w14:paraId="5881F045" w14:textId="77777777" w:rsidR="00561B22" w:rsidRPr="007B6DDF" w:rsidRDefault="00561B22" w:rsidP="00F1223B">
            <w:pPr>
              <w:jc w:val="both"/>
              <w:rPr>
                <w:rFonts w:ascii="Arial" w:hAnsi="Arial" w:cs="Arial"/>
                <w:b/>
                <w:sz w:val="22"/>
                <w:szCs w:val="22"/>
                <w:lang w:val="es-MX"/>
              </w:rPr>
            </w:pPr>
            <w:r w:rsidRPr="007B6DDF">
              <w:rPr>
                <w:rFonts w:ascii="Arial" w:eastAsia="Times New Roman" w:hAnsi="Arial" w:cs="Arial"/>
                <w:sz w:val="22"/>
                <w:szCs w:val="22"/>
              </w:rPr>
              <w:t xml:space="preserve">Actualizar la documentación del proceso de Gestión Financiera dentro del Sistema de Información de Gestión (SIG), específicamente aquellos registros relacionados con la fiscalización de recaudo. Esto implica revisar y modificar la información existente para reflejar los procedimientos actuales y asegurar la precisión y completitud de los datos.  </w:t>
            </w:r>
          </w:p>
        </w:tc>
      </w:tr>
      <w:tr w:rsidR="00561B22" w:rsidRPr="007B6DDF" w14:paraId="653569F0" w14:textId="77777777" w:rsidTr="00F1223B">
        <w:tc>
          <w:tcPr>
            <w:tcW w:w="562" w:type="dxa"/>
          </w:tcPr>
          <w:p w14:paraId="6407C6E0"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2</w:t>
            </w:r>
          </w:p>
        </w:tc>
        <w:tc>
          <w:tcPr>
            <w:tcW w:w="9400" w:type="dxa"/>
          </w:tcPr>
          <w:p w14:paraId="19657B3C" w14:textId="77777777" w:rsidR="00561B22" w:rsidRPr="007B6DDF" w:rsidRDefault="00561B22" w:rsidP="00F1223B">
            <w:pPr>
              <w:jc w:val="both"/>
              <w:rPr>
                <w:rFonts w:ascii="Arial" w:hAnsi="Arial" w:cs="Arial"/>
                <w:b/>
                <w:sz w:val="22"/>
                <w:szCs w:val="22"/>
                <w:lang w:val="es-MX"/>
              </w:rPr>
            </w:pPr>
            <w:r w:rsidRPr="007B6DDF">
              <w:rPr>
                <w:rFonts w:ascii="Arial" w:eastAsia="Times New Roman" w:hAnsi="Arial" w:cs="Arial"/>
                <w:sz w:val="22"/>
                <w:szCs w:val="22"/>
              </w:rPr>
              <w:t xml:space="preserve">Capacitar a los líderes financieros de cada dependencia involucrados en el proceso contable sobre los criterios de medición de activos, pasivos, ingresos, gastos y costos, detallados en el Manual de Políticas Contables del Ministerio de Educación Nacional, disponible en el Sistema Integrado de Gestión (SIG).  </w:t>
            </w:r>
          </w:p>
        </w:tc>
      </w:tr>
      <w:tr w:rsidR="00561B22" w:rsidRPr="007B6DDF" w14:paraId="4E953720" w14:textId="77777777" w:rsidTr="00F1223B">
        <w:tc>
          <w:tcPr>
            <w:tcW w:w="562" w:type="dxa"/>
          </w:tcPr>
          <w:p w14:paraId="4D2DFE6B" w14:textId="77777777" w:rsidR="00561B22" w:rsidRPr="007B6DDF" w:rsidRDefault="00561B22" w:rsidP="00F1223B">
            <w:pPr>
              <w:jc w:val="center"/>
              <w:rPr>
                <w:rFonts w:ascii="Arial" w:hAnsi="Arial" w:cs="Arial"/>
                <w:b/>
                <w:sz w:val="22"/>
                <w:szCs w:val="22"/>
                <w:lang w:val="es-MX"/>
              </w:rPr>
            </w:pPr>
            <w:r w:rsidRPr="007B6DDF">
              <w:rPr>
                <w:rFonts w:ascii="Arial" w:hAnsi="Arial" w:cs="Arial"/>
                <w:b/>
                <w:sz w:val="22"/>
                <w:szCs w:val="22"/>
                <w:lang w:val="es-MX"/>
              </w:rPr>
              <w:t>3</w:t>
            </w:r>
          </w:p>
        </w:tc>
        <w:tc>
          <w:tcPr>
            <w:tcW w:w="9400" w:type="dxa"/>
          </w:tcPr>
          <w:p w14:paraId="78862DBA" w14:textId="77777777" w:rsidR="00561B22" w:rsidRPr="007B6DDF" w:rsidRDefault="00561B22" w:rsidP="00F1223B">
            <w:pPr>
              <w:jc w:val="both"/>
              <w:rPr>
                <w:rFonts w:ascii="Arial" w:hAnsi="Arial" w:cs="Arial"/>
                <w:b/>
                <w:sz w:val="22"/>
                <w:szCs w:val="22"/>
                <w:lang w:val="es-MX"/>
              </w:rPr>
            </w:pPr>
            <w:r w:rsidRPr="007B6DDF">
              <w:rPr>
                <w:rFonts w:ascii="Arial" w:eastAsia="Times New Roman" w:hAnsi="Arial" w:cs="Arial"/>
                <w:sz w:val="22"/>
                <w:szCs w:val="22"/>
              </w:rPr>
              <w:t>Gestionar la cobertura de la vacante de la Subdirección de Gestión Financiera de manera efectiva y solicitar a la Subdirección de Talento Humano agilizar el proceso de selección del candidato más adecuado.</w:t>
            </w:r>
          </w:p>
        </w:tc>
      </w:tr>
    </w:tbl>
    <w:p w14:paraId="4D709885" w14:textId="77777777" w:rsidR="00561B22" w:rsidRPr="007B6DDF" w:rsidRDefault="00561B22" w:rsidP="00561B22">
      <w:pPr>
        <w:pStyle w:val="Textoindependiente"/>
        <w:ind w:right="-50"/>
        <w:jc w:val="both"/>
        <w:rPr>
          <w:rFonts w:ascii="Arial" w:hAnsi="Arial" w:cs="Arial"/>
          <w:b/>
          <w:bCs/>
        </w:rPr>
      </w:pPr>
    </w:p>
    <w:p w14:paraId="7398149C" w14:textId="77777777" w:rsidR="00561B22" w:rsidRPr="004C0C7B" w:rsidRDefault="00561B22" w:rsidP="00561B22">
      <w:pPr>
        <w:jc w:val="both"/>
        <w:rPr>
          <w:rFonts w:ascii="Arial" w:hAnsi="Arial" w:cs="Arial"/>
          <w:b/>
          <w:sz w:val="28"/>
          <w:szCs w:val="28"/>
          <w:lang w:val="es-MX"/>
        </w:rPr>
      </w:pPr>
      <w:r w:rsidRPr="004C0C7B">
        <w:rPr>
          <w:rFonts w:ascii="Arial" w:hAnsi="Arial" w:cs="Arial"/>
          <w:b/>
          <w:sz w:val="28"/>
          <w:szCs w:val="28"/>
          <w:lang w:val="es-MX"/>
        </w:rPr>
        <w:t>265.- PATRIMONIO AUTÓNOMO FONDO NACIONAL DE SEGURIDAD VIAL FSV – FIDUAGRARIA S.A.</w:t>
      </w:r>
    </w:p>
    <w:p w14:paraId="2C5B8CE6" w14:textId="77777777" w:rsidR="00561B22" w:rsidRDefault="00561B22" w:rsidP="00561B22">
      <w:pPr>
        <w:jc w:val="both"/>
        <w:rPr>
          <w:rFonts w:ascii="Arial" w:hAnsi="Arial" w:cs="Arial"/>
          <w:b/>
          <w:bCs/>
          <w:sz w:val="24"/>
          <w:szCs w:val="24"/>
        </w:rPr>
      </w:pPr>
    </w:p>
    <w:p w14:paraId="4F392081" w14:textId="77777777" w:rsidR="00561B22" w:rsidRPr="004C0C7B" w:rsidRDefault="00561B22" w:rsidP="00561B22">
      <w:pPr>
        <w:pStyle w:val="Textoindependiente"/>
        <w:ind w:right="-50"/>
        <w:jc w:val="both"/>
        <w:rPr>
          <w:rFonts w:ascii="Arial" w:hAnsi="Arial" w:cs="Arial"/>
          <w:b/>
          <w:bCs/>
          <w:sz w:val="28"/>
          <w:szCs w:val="28"/>
        </w:rPr>
      </w:pPr>
      <w:r w:rsidRPr="004C0C7B">
        <w:rPr>
          <w:rFonts w:ascii="Arial" w:hAnsi="Arial" w:cs="Arial"/>
          <w:b/>
          <w:bCs/>
          <w:sz w:val="28"/>
          <w:szCs w:val="28"/>
        </w:rPr>
        <w:t>INFORME DE LA AUTOCALIFICACIÓN DEL SISTEMA DE CONTROL INTERNO CONTABLE:</w:t>
      </w:r>
    </w:p>
    <w:p w14:paraId="5DA0E39B" w14:textId="77777777" w:rsidR="00561B22" w:rsidRPr="004C0C7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C0C7B" w14:paraId="32554DB1" w14:textId="77777777" w:rsidTr="00F1223B">
        <w:tc>
          <w:tcPr>
            <w:tcW w:w="4981" w:type="dxa"/>
          </w:tcPr>
          <w:p w14:paraId="00489CFC" w14:textId="77777777" w:rsidR="00561B22" w:rsidRPr="004C0C7B" w:rsidRDefault="00561B22" w:rsidP="00F1223B">
            <w:pPr>
              <w:jc w:val="center"/>
              <w:rPr>
                <w:rFonts w:ascii="Arial" w:hAnsi="Arial" w:cs="Arial"/>
                <w:b/>
                <w:sz w:val="22"/>
                <w:szCs w:val="22"/>
                <w:lang w:val="es-MX"/>
              </w:rPr>
            </w:pPr>
            <w:r w:rsidRPr="004C0C7B">
              <w:rPr>
                <w:rFonts w:ascii="Arial" w:hAnsi="Arial" w:cs="Arial"/>
                <w:b/>
                <w:sz w:val="22"/>
                <w:szCs w:val="22"/>
                <w:lang w:val="es-MX"/>
              </w:rPr>
              <w:t>AUTOCALIFICACIÓN</w:t>
            </w:r>
          </w:p>
        </w:tc>
        <w:tc>
          <w:tcPr>
            <w:tcW w:w="4981" w:type="dxa"/>
          </w:tcPr>
          <w:p w14:paraId="7CBB23B2" w14:textId="77777777" w:rsidR="00561B22" w:rsidRPr="004C0C7B" w:rsidRDefault="00561B22" w:rsidP="00F1223B">
            <w:pPr>
              <w:jc w:val="center"/>
              <w:rPr>
                <w:rFonts w:ascii="Arial" w:hAnsi="Arial" w:cs="Arial"/>
                <w:b/>
                <w:sz w:val="22"/>
                <w:szCs w:val="22"/>
                <w:u w:val="single"/>
                <w:lang w:val="es-MX"/>
              </w:rPr>
            </w:pPr>
            <w:r w:rsidRPr="004C0C7B">
              <w:rPr>
                <w:rFonts w:ascii="Arial" w:hAnsi="Arial" w:cs="Arial"/>
                <w:b/>
                <w:sz w:val="22"/>
                <w:szCs w:val="22"/>
                <w:u w:val="single"/>
                <w:lang w:val="es-MX"/>
              </w:rPr>
              <w:t>5.00</w:t>
            </w:r>
          </w:p>
        </w:tc>
      </w:tr>
    </w:tbl>
    <w:p w14:paraId="0D924211" w14:textId="77777777" w:rsidR="00561B22" w:rsidRPr="004C0C7B" w:rsidRDefault="00561B22" w:rsidP="00561B22">
      <w:pPr>
        <w:pStyle w:val="Textoindependiente"/>
        <w:ind w:right="-50"/>
        <w:jc w:val="both"/>
        <w:rPr>
          <w:rFonts w:ascii="Arial" w:hAnsi="Arial" w:cs="Arial"/>
          <w:b/>
          <w:bCs/>
        </w:rPr>
      </w:pPr>
    </w:p>
    <w:p w14:paraId="3EFD3395" w14:textId="77777777" w:rsidR="00561B22" w:rsidRPr="004C0C7B" w:rsidRDefault="00561B22" w:rsidP="00561B22">
      <w:pPr>
        <w:pStyle w:val="Textoindependiente"/>
        <w:ind w:right="-50"/>
        <w:jc w:val="both"/>
        <w:rPr>
          <w:rFonts w:ascii="Arial" w:hAnsi="Arial" w:cs="Arial"/>
          <w:b/>
          <w:bCs/>
        </w:rPr>
      </w:pPr>
      <w:r w:rsidRPr="004C0C7B">
        <w:rPr>
          <w:rFonts w:ascii="Arial" w:hAnsi="Arial" w:cs="Arial"/>
          <w:b/>
          <w:bCs/>
        </w:rPr>
        <w:t>Del informe enviado retomamos lo siguiente:</w:t>
      </w:r>
    </w:p>
    <w:p w14:paraId="12B0B7D1" w14:textId="77777777" w:rsidR="00561B22" w:rsidRPr="004C0C7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C0C7B" w14:paraId="5247CD30" w14:textId="77777777" w:rsidTr="00F1223B">
        <w:tc>
          <w:tcPr>
            <w:tcW w:w="562" w:type="dxa"/>
          </w:tcPr>
          <w:p w14:paraId="20889ADA" w14:textId="77777777" w:rsidR="00561B22" w:rsidRPr="004C0C7B" w:rsidRDefault="00561B22" w:rsidP="00F1223B">
            <w:pPr>
              <w:ind w:right="-109"/>
              <w:jc w:val="center"/>
              <w:rPr>
                <w:rFonts w:ascii="Arial" w:hAnsi="Arial" w:cs="Arial"/>
                <w:b/>
                <w:sz w:val="22"/>
                <w:szCs w:val="22"/>
                <w:lang w:val="es-MX"/>
              </w:rPr>
            </w:pPr>
            <w:r w:rsidRPr="004C0C7B">
              <w:rPr>
                <w:rFonts w:ascii="Arial" w:hAnsi="Arial" w:cs="Arial"/>
                <w:b/>
                <w:sz w:val="22"/>
                <w:szCs w:val="22"/>
                <w:lang w:val="es-MX"/>
              </w:rPr>
              <w:t>N°</w:t>
            </w:r>
          </w:p>
        </w:tc>
        <w:tc>
          <w:tcPr>
            <w:tcW w:w="9400" w:type="dxa"/>
          </w:tcPr>
          <w:p w14:paraId="33A97370" w14:textId="77777777" w:rsidR="00561B22" w:rsidRPr="004C0C7B" w:rsidRDefault="00561B22" w:rsidP="00F1223B">
            <w:pPr>
              <w:jc w:val="center"/>
              <w:rPr>
                <w:rFonts w:ascii="Arial" w:hAnsi="Arial" w:cs="Arial"/>
                <w:b/>
                <w:sz w:val="22"/>
                <w:szCs w:val="22"/>
                <w:lang w:val="es-MX"/>
              </w:rPr>
            </w:pPr>
            <w:r w:rsidRPr="004C0C7B">
              <w:rPr>
                <w:rFonts w:ascii="Arial" w:hAnsi="Arial" w:cs="Arial"/>
                <w:b/>
                <w:sz w:val="22"/>
                <w:szCs w:val="22"/>
                <w:lang w:val="es-MX"/>
              </w:rPr>
              <w:t>DEBILIDADES</w:t>
            </w:r>
          </w:p>
          <w:p w14:paraId="06BE6C27" w14:textId="77777777" w:rsidR="00561B22" w:rsidRPr="004C0C7B" w:rsidRDefault="00561B22" w:rsidP="00F1223B">
            <w:pPr>
              <w:jc w:val="center"/>
              <w:rPr>
                <w:rFonts w:ascii="Arial" w:hAnsi="Arial" w:cs="Arial"/>
                <w:b/>
                <w:sz w:val="22"/>
                <w:szCs w:val="22"/>
                <w:lang w:val="es-MX"/>
              </w:rPr>
            </w:pPr>
          </w:p>
        </w:tc>
      </w:tr>
      <w:tr w:rsidR="00561B22" w:rsidRPr="004C0C7B" w14:paraId="429B38D4" w14:textId="77777777" w:rsidTr="00F1223B">
        <w:tc>
          <w:tcPr>
            <w:tcW w:w="562" w:type="dxa"/>
          </w:tcPr>
          <w:p w14:paraId="27978D0C" w14:textId="77777777" w:rsidR="00561B22" w:rsidRPr="004C0C7B" w:rsidRDefault="00561B22" w:rsidP="00F1223B">
            <w:pPr>
              <w:jc w:val="center"/>
              <w:rPr>
                <w:rFonts w:ascii="Arial" w:hAnsi="Arial" w:cs="Arial"/>
                <w:b/>
                <w:sz w:val="22"/>
                <w:szCs w:val="22"/>
                <w:lang w:val="es-MX"/>
              </w:rPr>
            </w:pPr>
            <w:r w:rsidRPr="004C0C7B">
              <w:rPr>
                <w:rFonts w:ascii="Arial" w:hAnsi="Arial" w:cs="Arial"/>
                <w:b/>
                <w:sz w:val="22"/>
                <w:szCs w:val="22"/>
                <w:lang w:val="es-MX"/>
              </w:rPr>
              <w:t>1</w:t>
            </w:r>
          </w:p>
        </w:tc>
        <w:tc>
          <w:tcPr>
            <w:tcW w:w="9400" w:type="dxa"/>
          </w:tcPr>
          <w:p w14:paraId="7C0ABA55" w14:textId="77777777" w:rsidR="00561B22" w:rsidRPr="004C0C7B" w:rsidRDefault="00561B22" w:rsidP="00F1223B">
            <w:pPr>
              <w:jc w:val="both"/>
              <w:rPr>
                <w:rFonts w:ascii="Arial" w:hAnsi="Arial" w:cs="Arial"/>
                <w:bCs/>
                <w:sz w:val="22"/>
                <w:szCs w:val="22"/>
                <w:lang w:val="es-MX"/>
              </w:rPr>
            </w:pPr>
            <w:r w:rsidRPr="004C0C7B">
              <w:rPr>
                <w:rFonts w:ascii="Arial" w:hAnsi="Arial" w:cs="Arial"/>
                <w:bCs/>
                <w:sz w:val="22"/>
                <w:szCs w:val="22"/>
                <w:lang w:val="es-MX"/>
              </w:rPr>
              <w:t>De acuerdo con la evaluación realizada por la oficina de Control Interno se evidencia que es necesario continuar fortaleciendo los procesos relacionados en el cumplimiento del perfil de los funcionarios que participan en las actividades de los procedimientos contables para este caso.</w:t>
            </w:r>
          </w:p>
        </w:tc>
      </w:tr>
    </w:tbl>
    <w:p w14:paraId="57DFF0DC" w14:textId="77777777" w:rsidR="00561B22" w:rsidRPr="004C0C7B" w:rsidRDefault="00561B22" w:rsidP="00561B22">
      <w:pPr>
        <w:jc w:val="both"/>
        <w:rPr>
          <w:rFonts w:ascii="Arial" w:hAnsi="Arial" w:cs="Arial"/>
          <w:b/>
          <w:lang w:val="es-MX"/>
        </w:rPr>
      </w:pPr>
    </w:p>
    <w:p w14:paraId="45280B94" w14:textId="77777777" w:rsidR="00561B22" w:rsidRPr="0023597D" w:rsidRDefault="00561B22" w:rsidP="00561B22">
      <w:pPr>
        <w:jc w:val="both"/>
        <w:rPr>
          <w:rFonts w:ascii="Arial" w:hAnsi="Arial" w:cs="Arial"/>
          <w:b/>
          <w:sz w:val="28"/>
          <w:szCs w:val="28"/>
          <w:lang w:val="es-MX"/>
        </w:rPr>
      </w:pPr>
      <w:r w:rsidRPr="0023597D">
        <w:rPr>
          <w:rFonts w:ascii="Arial" w:hAnsi="Arial" w:cs="Arial"/>
          <w:b/>
          <w:sz w:val="28"/>
          <w:szCs w:val="28"/>
          <w:lang w:val="es-MX"/>
        </w:rPr>
        <w:t xml:space="preserve">266.- </w:t>
      </w:r>
      <w:r w:rsidRPr="0023597D">
        <w:rPr>
          <w:rFonts w:ascii="Arial" w:hAnsi="Arial" w:cs="Arial"/>
          <w:b/>
          <w:sz w:val="28"/>
          <w:szCs w:val="28"/>
        </w:rPr>
        <w:t>PATRIMONIO AUTÓNOMO COBERTURA DE TASAS – FOGAFIN.</w:t>
      </w:r>
    </w:p>
    <w:p w14:paraId="2C50F692" w14:textId="77777777" w:rsidR="00561B22" w:rsidRPr="00FA63E6" w:rsidRDefault="00561B22" w:rsidP="00561B22">
      <w:pPr>
        <w:pStyle w:val="Textoindependiente"/>
        <w:tabs>
          <w:tab w:val="left" w:pos="2055"/>
        </w:tabs>
        <w:spacing w:before="5"/>
        <w:rPr>
          <w:rFonts w:ascii="Arial" w:hAnsi="Arial" w:cs="Arial"/>
          <w:sz w:val="17"/>
          <w:lang w:val="es-MX"/>
        </w:rPr>
      </w:pPr>
    </w:p>
    <w:p w14:paraId="391015A8" w14:textId="77777777" w:rsidR="00561B22" w:rsidRPr="00FA63E6" w:rsidRDefault="00561B22" w:rsidP="00561B22">
      <w:pPr>
        <w:pStyle w:val="Textoindependiente"/>
        <w:ind w:right="-50"/>
        <w:jc w:val="center"/>
        <w:rPr>
          <w:rFonts w:ascii="Arial" w:hAnsi="Arial" w:cs="Arial"/>
          <w:b/>
          <w:bCs/>
        </w:rPr>
      </w:pPr>
      <w:r w:rsidRPr="00FA63E6">
        <w:rPr>
          <w:rFonts w:ascii="Arial" w:hAnsi="Arial" w:cs="Arial"/>
          <w:b/>
          <w:bCs/>
        </w:rPr>
        <w:t>INFORME DE LA AUTOCALIFICACIÓN DEL SISTEMA DE CONTROL INTERNO CONTABLE:</w:t>
      </w:r>
    </w:p>
    <w:p w14:paraId="391BA6F9" w14:textId="77777777" w:rsidR="00561B22" w:rsidRPr="00FA63E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A63E6" w14:paraId="3816F899" w14:textId="77777777" w:rsidTr="00F1223B">
        <w:tc>
          <w:tcPr>
            <w:tcW w:w="4981" w:type="dxa"/>
          </w:tcPr>
          <w:p w14:paraId="74E1693C"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AUTOCALIFICACIÓN</w:t>
            </w:r>
          </w:p>
        </w:tc>
        <w:tc>
          <w:tcPr>
            <w:tcW w:w="4981" w:type="dxa"/>
          </w:tcPr>
          <w:p w14:paraId="068F0748" w14:textId="77777777" w:rsidR="00561B22" w:rsidRPr="00FA63E6" w:rsidRDefault="00561B22" w:rsidP="00F1223B">
            <w:pPr>
              <w:jc w:val="center"/>
              <w:rPr>
                <w:rFonts w:ascii="Arial" w:hAnsi="Arial" w:cs="Arial"/>
                <w:b/>
                <w:sz w:val="22"/>
                <w:szCs w:val="22"/>
                <w:u w:val="single"/>
                <w:lang w:val="es-MX"/>
              </w:rPr>
            </w:pPr>
            <w:r w:rsidRPr="00FA63E6">
              <w:rPr>
                <w:rFonts w:ascii="Arial" w:hAnsi="Arial" w:cs="Arial"/>
                <w:b/>
                <w:sz w:val="22"/>
                <w:szCs w:val="22"/>
                <w:u w:val="single"/>
                <w:lang w:val="es-MX"/>
              </w:rPr>
              <w:t>5.00</w:t>
            </w:r>
          </w:p>
        </w:tc>
      </w:tr>
    </w:tbl>
    <w:p w14:paraId="644BDC32" w14:textId="77777777" w:rsidR="00561B22" w:rsidRPr="00FA63E6" w:rsidRDefault="00561B22" w:rsidP="00561B22">
      <w:pPr>
        <w:pStyle w:val="Textoindependiente"/>
        <w:ind w:right="-50"/>
        <w:jc w:val="both"/>
        <w:rPr>
          <w:rFonts w:ascii="Arial" w:hAnsi="Arial" w:cs="Arial"/>
          <w:b/>
          <w:bCs/>
        </w:rPr>
      </w:pPr>
    </w:p>
    <w:p w14:paraId="4D4B6977" w14:textId="77777777" w:rsidR="00561B22" w:rsidRPr="00FA63E6" w:rsidRDefault="00561B22" w:rsidP="00561B22">
      <w:pPr>
        <w:pStyle w:val="Textoindependiente"/>
        <w:ind w:right="-50"/>
        <w:jc w:val="both"/>
        <w:rPr>
          <w:rFonts w:ascii="Arial" w:hAnsi="Arial" w:cs="Arial"/>
          <w:b/>
          <w:bCs/>
        </w:rPr>
      </w:pPr>
      <w:r w:rsidRPr="00FA63E6">
        <w:rPr>
          <w:rFonts w:ascii="Arial" w:hAnsi="Arial" w:cs="Arial"/>
          <w:b/>
          <w:bCs/>
        </w:rPr>
        <w:t>Del informe enviado retomamos lo siguiente:</w:t>
      </w:r>
    </w:p>
    <w:p w14:paraId="6119EB5F" w14:textId="77777777" w:rsidR="00561B22" w:rsidRPr="00FA63E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A63E6" w14:paraId="13635327" w14:textId="77777777" w:rsidTr="00F1223B">
        <w:trPr>
          <w:trHeight w:val="539"/>
        </w:trPr>
        <w:tc>
          <w:tcPr>
            <w:tcW w:w="562" w:type="dxa"/>
          </w:tcPr>
          <w:p w14:paraId="3A677FFE" w14:textId="77777777" w:rsidR="00561B22" w:rsidRPr="00FA63E6" w:rsidRDefault="00561B22" w:rsidP="00F1223B">
            <w:pPr>
              <w:ind w:right="-109"/>
              <w:jc w:val="center"/>
              <w:rPr>
                <w:rFonts w:ascii="Arial" w:hAnsi="Arial" w:cs="Arial"/>
                <w:b/>
                <w:sz w:val="22"/>
                <w:szCs w:val="22"/>
                <w:lang w:val="es-MX"/>
              </w:rPr>
            </w:pPr>
            <w:r w:rsidRPr="00FA63E6">
              <w:rPr>
                <w:rFonts w:ascii="Arial" w:hAnsi="Arial" w:cs="Arial"/>
                <w:b/>
                <w:sz w:val="22"/>
                <w:szCs w:val="22"/>
                <w:lang w:val="es-MX"/>
              </w:rPr>
              <w:t>N°</w:t>
            </w:r>
          </w:p>
        </w:tc>
        <w:tc>
          <w:tcPr>
            <w:tcW w:w="9400" w:type="dxa"/>
          </w:tcPr>
          <w:p w14:paraId="2FA5FD01"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OPORTUNIDADES DE MEJORA</w:t>
            </w:r>
          </w:p>
          <w:p w14:paraId="0DE7DF04" w14:textId="77777777" w:rsidR="00561B22" w:rsidRPr="00FA63E6" w:rsidRDefault="00561B22" w:rsidP="00F1223B">
            <w:pPr>
              <w:jc w:val="center"/>
              <w:rPr>
                <w:rFonts w:ascii="Arial" w:hAnsi="Arial" w:cs="Arial"/>
                <w:b/>
                <w:sz w:val="22"/>
                <w:szCs w:val="22"/>
                <w:lang w:val="es-MX"/>
              </w:rPr>
            </w:pPr>
          </w:p>
        </w:tc>
      </w:tr>
      <w:tr w:rsidR="00561B22" w:rsidRPr="00FA63E6" w14:paraId="648B33F7" w14:textId="77777777" w:rsidTr="00F1223B">
        <w:tc>
          <w:tcPr>
            <w:tcW w:w="562" w:type="dxa"/>
          </w:tcPr>
          <w:p w14:paraId="6479C992"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1</w:t>
            </w:r>
          </w:p>
        </w:tc>
        <w:tc>
          <w:tcPr>
            <w:tcW w:w="9400" w:type="dxa"/>
          </w:tcPr>
          <w:p w14:paraId="2F36CE0A" w14:textId="77777777" w:rsidR="00561B22" w:rsidRPr="00FA63E6" w:rsidRDefault="00561B22" w:rsidP="00F1223B">
            <w:pPr>
              <w:widowControl/>
              <w:adjustRightInd w:val="0"/>
              <w:jc w:val="both"/>
              <w:rPr>
                <w:rFonts w:ascii="Arial" w:eastAsia="Batang" w:hAnsi="Arial" w:cs="Arial"/>
                <w:sz w:val="22"/>
                <w:szCs w:val="22"/>
              </w:rPr>
            </w:pPr>
            <w:r w:rsidRPr="00FA63E6">
              <w:rPr>
                <w:rFonts w:ascii="Arial" w:eastAsia="Batang" w:hAnsi="Arial" w:cs="Arial"/>
                <w:sz w:val="22"/>
                <w:szCs w:val="22"/>
              </w:rPr>
              <w:t xml:space="preserve">En consideración al evento de riesgo ocurrido en enero 2024, referente a la corrección de la declaración de retención en la fuente correspondiente al mes de diciembre de 2023, como consecuencia de hechos que afectaron los ingresos de ese año, los cuales se conocieron después de la fecha de vencimiento de la declaración.  </w:t>
            </w:r>
          </w:p>
        </w:tc>
      </w:tr>
      <w:tr w:rsidR="00561B22" w:rsidRPr="00FA63E6" w14:paraId="1C997D22" w14:textId="77777777" w:rsidTr="00F1223B">
        <w:tc>
          <w:tcPr>
            <w:tcW w:w="562" w:type="dxa"/>
          </w:tcPr>
          <w:p w14:paraId="4B557EDE"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2</w:t>
            </w:r>
          </w:p>
        </w:tc>
        <w:tc>
          <w:tcPr>
            <w:tcW w:w="9400" w:type="dxa"/>
          </w:tcPr>
          <w:p w14:paraId="29F0F952" w14:textId="77777777" w:rsidR="00561B22" w:rsidRPr="00FA63E6" w:rsidRDefault="00561B22" w:rsidP="00F1223B">
            <w:pPr>
              <w:jc w:val="both"/>
              <w:rPr>
                <w:rFonts w:ascii="Arial" w:hAnsi="Arial" w:cs="Arial"/>
                <w:b/>
                <w:sz w:val="22"/>
                <w:szCs w:val="22"/>
                <w:lang w:val="es-MX"/>
              </w:rPr>
            </w:pPr>
            <w:r w:rsidRPr="00FA63E6">
              <w:rPr>
                <w:rFonts w:ascii="Arial" w:eastAsia="Batang" w:hAnsi="Arial" w:cs="Arial"/>
                <w:sz w:val="22"/>
                <w:szCs w:val="22"/>
              </w:rPr>
              <w:t xml:space="preserve">Es importante seguir llevando a cabo revisiones continuas y detalladas de los controles asociados a la gestión de riesgos contables, con el objetivo de continuar identificando posibles vulnerabilidades, asegurando la aplicación de medidas correctivas de manera oportuna. </w:t>
            </w:r>
          </w:p>
        </w:tc>
      </w:tr>
      <w:tr w:rsidR="00561B22" w:rsidRPr="00FA63E6" w14:paraId="02B70455" w14:textId="77777777" w:rsidTr="00F1223B">
        <w:tc>
          <w:tcPr>
            <w:tcW w:w="562" w:type="dxa"/>
          </w:tcPr>
          <w:p w14:paraId="4762399F"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3</w:t>
            </w:r>
          </w:p>
        </w:tc>
        <w:tc>
          <w:tcPr>
            <w:tcW w:w="9400" w:type="dxa"/>
          </w:tcPr>
          <w:p w14:paraId="1E49726A" w14:textId="77777777" w:rsidR="00561B22" w:rsidRPr="00FA63E6" w:rsidRDefault="00561B22" w:rsidP="00F1223B">
            <w:pPr>
              <w:jc w:val="both"/>
              <w:rPr>
                <w:rFonts w:ascii="Arial" w:hAnsi="Arial" w:cs="Arial"/>
                <w:b/>
                <w:sz w:val="22"/>
                <w:szCs w:val="22"/>
                <w:lang w:val="es-MX"/>
              </w:rPr>
            </w:pPr>
            <w:r w:rsidRPr="00FA63E6">
              <w:rPr>
                <w:rFonts w:ascii="Arial" w:eastAsia="Batang" w:hAnsi="Arial" w:cs="Arial"/>
                <w:sz w:val="22"/>
                <w:szCs w:val="22"/>
              </w:rPr>
              <w:t>Estas revisiones periódicas permitirán no solo minimizar la probabilidad de que los riesgos se materialicen, sino también mejorar la capacidad de respuesta ante situaciones imprevistas.</w:t>
            </w:r>
          </w:p>
        </w:tc>
      </w:tr>
    </w:tbl>
    <w:p w14:paraId="422DF0B8" w14:textId="77777777" w:rsidR="00561B22" w:rsidRPr="00FA63E6" w:rsidRDefault="00561B22" w:rsidP="00561B22">
      <w:pPr>
        <w:pStyle w:val="Textoindependiente"/>
        <w:ind w:right="-50"/>
        <w:jc w:val="both"/>
        <w:rPr>
          <w:rFonts w:ascii="Arial" w:hAnsi="Arial" w:cs="Arial"/>
          <w:b/>
          <w:bCs/>
        </w:rPr>
      </w:pPr>
    </w:p>
    <w:p w14:paraId="77789364" w14:textId="77777777" w:rsidR="00561B22" w:rsidRPr="00FA63E6" w:rsidRDefault="00561B22" w:rsidP="00561B22">
      <w:pPr>
        <w:jc w:val="both"/>
        <w:rPr>
          <w:rFonts w:ascii="Arial" w:hAnsi="Arial" w:cs="Arial"/>
          <w:b/>
          <w:lang w:val="es-MX"/>
        </w:rPr>
      </w:pPr>
      <w:r w:rsidRPr="00FA63E6">
        <w:rPr>
          <w:rFonts w:ascii="Arial" w:hAnsi="Arial" w:cs="Arial"/>
          <w:b/>
          <w:lang w:val="es-MX"/>
        </w:rPr>
        <w:t>Del citado informe retomamos las siguientes recomendaciones:</w:t>
      </w:r>
    </w:p>
    <w:p w14:paraId="67BB5E49" w14:textId="77777777" w:rsidR="00561B22" w:rsidRPr="00FA63E6"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FA63E6" w14:paraId="5DADB51A" w14:textId="77777777" w:rsidTr="00F1223B">
        <w:tc>
          <w:tcPr>
            <w:tcW w:w="562" w:type="dxa"/>
          </w:tcPr>
          <w:p w14:paraId="1A1CF335" w14:textId="77777777" w:rsidR="00561B22" w:rsidRPr="00FA63E6" w:rsidRDefault="00561B22" w:rsidP="00F1223B">
            <w:pPr>
              <w:ind w:right="-109"/>
              <w:jc w:val="center"/>
              <w:rPr>
                <w:rFonts w:ascii="Arial" w:hAnsi="Arial" w:cs="Arial"/>
                <w:b/>
                <w:sz w:val="22"/>
                <w:szCs w:val="22"/>
                <w:lang w:val="es-MX"/>
              </w:rPr>
            </w:pPr>
            <w:r w:rsidRPr="00FA63E6">
              <w:rPr>
                <w:rFonts w:ascii="Arial" w:hAnsi="Arial" w:cs="Arial"/>
                <w:b/>
                <w:sz w:val="22"/>
                <w:szCs w:val="22"/>
                <w:lang w:val="es-MX"/>
              </w:rPr>
              <w:t>N°</w:t>
            </w:r>
          </w:p>
        </w:tc>
        <w:tc>
          <w:tcPr>
            <w:tcW w:w="9400" w:type="dxa"/>
          </w:tcPr>
          <w:p w14:paraId="63AB062D"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RECOMENDACIONES</w:t>
            </w:r>
          </w:p>
          <w:p w14:paraId="3318E8F4" w14:textId="77777777" w:rsidR="00561B22" w:rsidRPr="00FA63E6" w:rsidRDefault="00561B22" w:rsidP="00F1223B">
            <w:pPr>
              <w:jc w:val="center"/>
              <w:rPr>
                <w:rFonts w:ascii="Arial" w:hAnsi="Arial" w:cs="Arial"/>
                <w:b/>
                <w:sz w:val="22"/>
                <w:szCs w:val="22"/>
                <w:lang w:val="es-MX"/>
              </w:rPr>
            </w:pPr>
          </w:p>
        </w:tc>
      </w:tr>
      <w:tr w:rsidR="00561B22" w:rsidRPr="00FA63E6" w14:paraId="30D1C71A" w14:textId="77777777" w:rsidTr="00F1223B">
        <w:tc>
          <w:tcPr>
            <w:tcW w:w="562" w:type="dxa"/>
          </w:tcPr>
          <w:p w14:paraId="6C0985D4"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1</w:t>
            </w:r>
          </w:p>
        </w:tc>
        <w:tc>
          <w:tcPr>
            <w:tcW w:w="9400" w:type="dxa"/>
          </w:tcPr>
          <w:p w14:paraId="445FF89F" w14:textId="77777777" w:rsidR="00561B22" w:rsidRPr="00FA63E6" w:rsidRDefault="00561B22" w:rsidP="00F1223B">
            <w:pPr>
              <w:widowControl/>
              <w:adjustRightInd w:val="0"/>
              <w:jc w:val="both"/>
              <w:rPr>
                <w:rFonts w:ascii="Arial" w:eastAsia="Batang" w:hAnsi="Arial" w:cs="Arial"/>
                <w:sz w:val="22"/>
                <w:szCs w:val="22"/>
              </w:rPr>
            </w:pPr>
            <w:r w:rsidRPr="00FA63E6">
              <w:rPr>
                <w:rFonts w:ascii="Arial" w:eastAsia="Batang" w:hAnsi="Arial" w:cs="Arial"/>
                <w:sz w:val="22"/>
                <w:szCs w:val="22"/>
              </w:rPr>
              <w:t>Continuar realizando capacitaciones periódicas a los proveedores de información contable, con el objetivo de asegurar su comprensión y aplicación de las políticas y procedimientos establecidos. Esto contribuye a mantener la consistencia en la información contable proporcionada, reduciendo la posibilidad de errores o discrepancias y mejorando la calidad de los datos que se utilizan en la toma de decisiones.</w:t>
            </w:r>
          </w:p>
        </w:tc>
      </w:tr>
      <w:tr w:rsidR="00561B22" w:rsidRPr="00FA63E6" w14:paraId="048AABBE" w14:textId="77777777" w:rsidTr="00F1223B">
        <w:tc>
          <w:tcPr>
            <w:tcW w:w="562" w:type="dxa"/>
          </w:tcPr>
          <w:p w14:paraId="7ACFF407" w14:textId="77777777" w:rsidR="00561B22" w:rsidRPr="00FA63E6" w:rsidRDefault="00561B22" w:rsidP="00F1223B">
            <w:pPr>
              <w:jc w:val="center"/>
              <w:rPr>
                <w:rFonts w:ascii="Arial" w:hAnsi="Arial" w:cs="Arial"/>
                <w:b/>
                <w:sz w:val="22"/>
                <w:szCs w:val="22"/>
                <w:lang w:val="es-MX"/>
              </w:rPr>
            </w:pPr>
            <w:r w:rsidRPr="00FA63E6">
              <w:rPr>
                <w:rFonts w:ascii="Arial" w:hAnsi="Arial" w:cs="Arial"/>
                <w:b/>
                <w:sz w:val="22"/>
                <w:szCs w:val="22"/>
                <w:lang w:val="es-MX"/>
              </w:rPr>
              <w:t>2</w:t>
            </w:r>
          </w:p>
        </w:tc>
        <w:tc>
          <w:tcPr>
            <w:tcW w:w="9400" w:type="dxa"/>
          </w:tcPr>
          <w:p w14:paraId="16D1AA9B" w14:textId="77777777" w:rsidR="00561B22" w:rsidRPr="00FA63E6" w:rsidRDefault="00561B22" w:rsidP="00F1223B">
            <w:pPr>
              <w:widowControl/>
              <w:adjustRightInd w:val="0"/>
              <w:jc w:val="both"/>
              <w:rPr>
                <w:rFonts w:ascii="Arial" w:eastAsia="Batang" w:hAnsi="Arial" w:cs="Arial"/>
                <w:sz w:val="22"/>
                <w:szCs w:val="22"/>
              </w:rPr>
            </w:pPr>
            <w:r w:rsidRPr="00FA63E6">
              <w:rPr>
                <w:rFonts w:ascii="Arial" w:eastAsia="Batang" w:hAnsi="Arial" w:cs="Arial"/>
                <w:sz w:val="22"/>
                <w:szCs w:val="22"/>
              </w:rPr>
              <w:t>Seguir avanzando en la revisión de la implementación de una estructura contable, que facilite la generación de información financiera compatible con informes de sostenibilidad, alineada con la estrategia transversal que el Fondo está desarrollando en el área de sostenibilidad.</w:t>
            </w:r>
          </w:p>
        </w:tc>
      </w:tr>
    </w:tbl>
    <w:p w14:paraId="56EB4AAD" w14:textId="77777777" w:rsidR="00561B22" w:rsidRPr="00FA63E6" w:rsidRDefault="00561B22" w:rsidP="00561B22">
      <w:pPr>
        <w:pStyle w:val="Textoindependiente"/>
        <w:ind w:right="-50"/>
        <w:jc w:val="both"/>
        <w:rPr>
          <w:rFonts w:ascii="Arial" w:hAnsi="Arial" w:cs="Arial"/>
          <w:b/>
          <w:bCs/>
        </w:rPr>
      </w:pPr>
    </w:p>
    <w:p w14:paraId="1B9CA099" w14:textId="77777777" w:rsidR="00561B22" w:rsidRPr="00292B9C" w:rsidRDefault="00561B22" w:rsidP="00561B22">
      <w:pPr>
        <w:jc w:val="both"/>
        <w:rPr>
          <w:rFonts w:ascii="Arial" w:hAnsi="Arial" w:cs="Arial"/>
          <w:b/>
          <w:sz w:val="28"/>
          <w:szCs w:val="28"/>
          <w:lang w:val="es-MX"/>
        </w:rPr>
      </w:pPr>
      <w:r w:rsidRPr="00292B9C">
        <w:rPr>
          <w:rFonts w:ascii="Arial" w:hAnsi="Arial" w:cs="Arial"/>
          <w:b/>
          <w:sz w:val="28"/>
          <w:szCs w:val="28"/>
          <w:lang w:val="es-MX"/>
        </w:rPr>
        <w:t>267.- UNIDAD DE PLANEACIÓN MINERO ENERGÉTICA - UPME.</w:t>
      </w:r>
    </w:p>
    <w:p w14:paraId="62C9C793" w14:textId="77777777" w:rsidR="00561B22" w:rsidRDefault="00561B22" w:rsidP="00561B22">
      <w:pPr>
        <w:pStyle w:val="Textoindependiente"/>
        <w:tabs>
          <w:tab w:val="left" w:pos="2055"/>
        </w:tabs>
        <w:spacing w:before="5"/>
        <w:rPr>
          <w:rFonts w:ascii="Arial" w:hAnsi="Arial" w:cs="Arial"/>
          <w:lang w:val="es-MX"/>
        </w:rPr>
      </w:pPr>
    </w:p>
    <w:p w14:paraId="71FA42DE" w14:textId="77777777" w:rsidR="00561B22" w:rsidRPr="00EB6379" w:rsidRDefault="00561B22" w:rsidP="00561B22">
      <w:pPr>
        <w:pStyle w:val="Textoindependiente"/>
        <w:ind w:right="-50"/>
        <w:jc w:val="center"/>
        <w:rPr>
          <w:rFonts w:ascii="Arial" w:hAnsi="Arial" w:cs="Arial"/>
          <w:b/>
          <w:bCs/>
        </w:rPr>
      </w:pPr>
      <w:r w:rsidRPr="00EB6379">
        <w:rPr>
          <w:rFonts w:ascii="Arial" w:hAnsi="Arial" w:cs="Arial"/>
          <w:b/>
          <w:bCs/>
        </w:rPr>
        <w:t>INFORME DE LA AUTOCALIFICACIÓN DEL SISTEMA DE CONTROL INTERNO CONTABLE:</w:t>
      </w:r>
    </w:p>
    <w:p w14:paraId="28E43124" w14:textId="77777777" w:rsidR="00561B22" w:rsidRPr="00EB637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B6379" w14:paraId="1DDD70C1" w14:textId="77777777" w:rsidTr="00F1223B">
        <w:tc>
          <w:tcPr>
            <w:tcW w:w="4981" w:type="dxa"/>
          </w:tcPr>
          <w:p w14:paraId="553DFA88"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AUTOCALIFICACIÓN</w:t>
            </w:r>
          </w:p>
        </w:tc>
        <w:tc>
          <w:tcPr>
            <w:tcW w:w="4981" w:type="dxa"/>
          </w:tcPr>
          <w:p w14:paraId="45C1260C" w14:textId="77777777" w:rsidR="00561B22" w:rsidRPr="00EB6379" w:rsidRDefault="00561B22" w:rsidP="00F1223B">
            <w:pPr>
              <w:jc w:val="center"/>
              <w:rPr>
                <w:rFonts w:ascii="Arial" w:hAnsi="Arial" w:cs="Arial"/>
                <w:b/>
                <w:sz w:val="22"/>
                <w:szCs w:val="22"/>
                <w:u w:val="single"/>
                <w:lang w:val="es-MX"/>
              </w:rPr>
            </w:pPr>
            <w:r w:rsidRPr="00EB6379">
              <w:rPr>
                <w:rFonts w:ascii="Arial" w:hAnsi="Arial" w:cs="Arial"/>
                <w:b/>
                <w:sz w:val="22"/>
                <w:szCs w:val="22"/>
                <w:u w:val="single"/>
                <w:lang w:val="es-MX"/>
              </w:rPr>
              <w:t>5.00</w:t>
            </w:r>
          </w:p>
        </w:tc>
      </w:tr>
    </w:tbl>
    <w:p w14:paraId="533B6026" w14:textId="77777777" w:rsidR="00561B22" w:rsidRPr="00EB6379" w:rsidRDefault="00561B22" w:rsidP="00561B22">
      <w:pPr>
        <w:pStyle w:val="Textoindependiente"/>
        <w:ind w:right="-50"/>
        <w:jc w:val="both"/>
        <w:rPr>
          <w:rFonts w:ascii="Arial" w:hAnsi="Arial" w:cs="Arial"/>
          <w:b/>
          <w:bCs/>
        </w:rPr>
      </w:pPr>
    </w:p>
    <w:p w14:paraId="27E468F3" w14:textId="77777777" w:rsidR="00561B22" w:rsidRPr="00EB6379" w:rsidRDefault="00561B22" w:rsidP="00561B22">
      <w:pPr>
        <w:pStyle w:val="Textoindependiente"/>
        <w:ind w:right="-50"/>
        <w:jc w:val="both"/>
        <w:rPr>
          <w:rFonts w:ascii="Arial" w:hAnsi="Arial" w:cs="Arial"/>
          <w:b/>
          <w:bCs/>
        </w:rPr>
      </w:pPr>
      <w:r w:rsidRPr="00EB6379">
        <w:rPr>
          <w:rFonts w:ascii="Arial" w:hAnsi="Arial" w:cs="Arial"/>
          <w:b/>
          <w:bCs/>
        </w:rPr>
        <w:t>Del informe enviado retomamos lo siguiente:</w:t>
      </w:r>
    </w:p>
    <w:p w14:paraId="009AEF46" w14:textId="77777777" w:rsidR="00561B22" w:rsidRPr="00EB637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B6379" w14:paraId="69A15595" w14:textId="77777777" w:rsidTr="00F1223B">
        <w:tc>
          <w:tcPr>
            <w:tcW w:w="562" w:type="dxa"/>
          </w:tcPr>
          <w:p w14:paraId="52D9FE5C" w14:textId="77777777" w:rsidR="00561B22" w:rsidRPr="00EB6379" w:rsidRDefault="00561B22" w:rsidP="00F1223B">
            <w:pPr>
              <w:ind w:right="-109"/>
              <w:jc w:val="center"/>
              <w:rPr>
                <w:rFonts w:ascii="Arial" w:hAnsi="Arial" w:cs="Arial"/>
                <w:b/>
                <w:sz w:val="22"/>
                <w:szCs w:val="22"/>
                <w:lang w:val="es-MX"/>
              </w:rPr>
            </w:pPr>
            <w:r w:rsidRPr="00EB6379">
              <w:rPr>
                <w:rFonts w:ascii="Arial" w:hAnsi="Arial" w:cs="Arial"/>
                <w:b/>
                <w:sz w:val="22"/>
                <w:szCs w:val="22"/>
                <w:lang w:val="es-MX"/>
              </w:rPr>
              <w:t>N°</w:t>
            </w:r>
          </w:p>
        </w:tc>
        <w:tc>
          <w:tcPr>
            <w:tcW w:w="9400" w:type="dxa"/>
          </w:tcPr>
          <w:p w14:paraId="0FFFF687"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DEBILIDADES</w:t>
            </w:r>
          </w:p>
        </w:tc>
      </w:tr>
      <w:tr w:rsidR="00561B22" w:rsidRPr="00EB6379" w14:paraId="46CC8AE2" w14:textId="77777777" w:rsidTr="00F1223B">
        <w:tc>
          <w:tcPr>
            <w:tcW w:w="562" w:type="dxa"/>
          </w:tcPr>
          <w:p w14:paraId="6D5D2C56"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1</w:t>
            </w:r>
          </w:p>
        </w:tc>
        <w:tc>
          <w:tcPr>
            <w:tcW w:w="9400" w:type="dxa"/>
          </w:tcPr>
          <w:p w14:paraId="2A7ADF12" w14:textId="77777777" w:rsidR="00561B22" w:rsidRPr="00EB6379" w:rsidRDefault="00561B22" w:rsidP="00F1223B">
            <w:pPr>
              <w:jc w:val="both"/>
              <w:rPr>
                <w:rFonts w:ascii="Arial" w:hAnsi="Arial" w:cs="Arial"/>
                <w:b/>
                <w:sz w:val="22"/>
                <w:szCs w:val="22"/>
                <w:lang w:val="es-MX"/>
              </w:rPr>
            </w:pPr>
            <w:r w:rsidRPr="00EB6379">
              <w:rPr>
                <w:rFonts w:ascii="Arial" w:hAnsi="Arial" w:cs="Arial"/>
                <w:sz w:val="22"/>
                <w:szCs w:val="22"/>
              </w:rPr>
              <w:t>Fortalecer los mecanismos de la identificación de los cambios normativos en materia contable y financiera (Resolución 356 de 2022 que derogaba la 182 de 2017</w:t>
            </w:r>
            <w:r w:rsidRPr="00EB6379">
              <w:rPr>
                <w:rFonts w:ascii="Arial" w:hAnsi="Arial" w:cs="Arial"/>
                <w:spacing w:val="40"/>
                <w:sz w:val="22"/>
                <w:szCs w:val="22"/>
              </w:rPr>
              <w:t xml:space="preserve"> </w:t>
            </w:r>
            <w:r w:rsidRPr="00EB6379">
              <w:rPr>
                <w:rFonts w:ascii="Arial" w:hAnsi="Arial" w:cs="Arial"/>
                <w:sz w:val="22"/>
                <w:szCs w:val="22"/>
              </w:rPr>
              <w:t>y</w:t>
            </w:r>
            <w:r w:rsidRPr="00EB6379">
              <w:rPr>
                <w:rFonts w:ascii="Arial" w:hAnsi="Arial" w:cs="Arial"/>
                <w:spacing w:val="-4"/>
                <w:sz w:val="22"/>
                <w:szCs w:val="22"/>
              </w:rPr>
              <w:t xml:space="preserve"> </w:t>
            </w:r>
            <w:r w:rsidRPr="00EB6379">
              <w:rPr>
                <w:rFonts w:ascii="Arial" w:hAnsi="Arial" w:cs="Arial"/>
                <w:sz w:val="22"/>
                <w:szCs w:val="22"/>
              </w:rPr>
              <w:t>a</w:t>
            </w:r>
            <w:r w:rsidRPr="00EB6379">
              <w:rPr>
                <w:rFonts w:ascii="Arial" w:hAnsi="Arial" w:cs="Arial"/>
                <w:spacing w:val="-4"/>
                <w:sz w:val="22"/>
                <w:szCs w:val="22"/>
              </w:rPr>
              <w:t xml:space="preserve"> </w:t>
            </w:r>
            <w:r w:rsidRPr="00EB6379">
              <w:rPr>
                <w:rFonts w:ascii="Arial" w:hAnsi="Arial" w:cs="Arial"/>
                <w:sz w:val="22"/>
                <w:szCs w:val="22"/>
              </w:rPr>
              <w:t>su</w:t>
            </w:r>
            <w:r w:rsidRPr="00EB6379">
              <w:rPr>
                <w:rFonts w:ascii="Arial" w:hAnsi="Arial" w:cs="Arial"/>
                <w:spacing w:val="-4"/>
                <w:sz w:val="22"/>
                <w:szCs w:val="22"/>
              </w:rPr>
              <w:t xml:space="preserve"> </w:t>
            </w:r>
            <w:r w:rsidRPr="00EB6379">
              <w:rPr>
                <w:rFonts w:ascii="Arial" w:hAnsi="Arial" w:cs="Arial"/>
                <w:sz w:val="22"/>
                <w:szCs w:val="22"/>
              </w:rPr>
              <w:t>vez</w:t>
            </w:r>
            <w:r w:rsidRPr="00EB6379">
              <w:rPr>
                <w:rFonts w:ascii="Arial" w:hAnsi="Arial" w:cs="Arial"/>
                <w:spacing w:val="-4"/>
                <w:sz w:val="22"/>
                <w:szCs w:val="22"/>
              </w:rPr>
              <w:t xml:space="preserve"> </w:t>
            </w:r>
            <w:r w:rsidRPr="00EB6379">
              <w:rPr>
                <w:rFonts w:ascii="Arial" w:hAnsi="Arial" w:cs="Arial"/>
                <w:sz w:val="22"/>
                <w:szCs w:val="22"/>
              </w:rPr>
              <w:t>modificada</w:t>
            </w:r>
            <w:r w:rsidRPr="00EB6379">
              <w:rPr>
                <w:rFonts w:ascii="Arial" w:hAnsi="Arial" w:cs="Arial"/>
                <w:spacing w:val="-4"/>
                <w:sz w:val="22"/>
                <w:szCs w:val="22"/>
              </w:rPr>
              <w:t xml:space="preserve"> </w:t>
            </w:r>
            <w:r w:rsidRPr="00EB6379">
              <w:rPr>
                <w:rFonts w:ascii="Arial" w:hAnsi="Arial" w:cs="Arial"/>
                <w:sz w:val="22"/>
                <w:szCs w:val="22"/>
              </w:rPr>
              <w:t>por</w:t>
            </w:r>
            <w:r w:rsidRPr="00EB6379">
              <w:rPr>
                <w:rFonts w:ascii="Arial" w:hAnsi="Arial" w:cs="Arial"/>
                <w:spacing w:val="-2"/>
                <w:sz w:val="22"/>
                <w:szCs w:val="22"/>
              </w:rPr>
              <w:t xml:space="preserve"> </w:t>
            </w:r>
            <w:r w:rsidRPr="00EB6379">
              <w:rPr>
                <w:rFonts w:ascii="Arial" w:hAnsi="Arial" w:cs="Arial"/>
                <w:sz w:val="22"/>
                <w:szCs w:val="22"/>
              </w:rPr>
              <w:t>la 261 de 2023 expedidas por la Contaduría</w:t>
            </w:r>
            <w:r w:rsidRPr="00EB6379">
              <w:rPr>
                <w:rFonts w:ascii="Arial" w:hAnsi="Arial" w:cs="Arial"/>
                <w:spacing w:val="-9"/>
                <w:sz w:val="22"/>
                <w:szCs w:val="22"/>
              </w:rPr>
              <w:t xml:space="preserve"> </w:t>
            </w:r>
            <w:r w:rsidRPr="00EB6379">
              <w:rPr>
                <w:rFonts w:ascii="Arial" w:hAnsi="Arial" w:cs="Arial"/>
                <w:sz w:val="22"/>
                <w:szCs w:val="22"/>
              </w:rPr>
              <w:t>General</w:t>
            </w:r>
            <w:r w:rsidRPr="00EB6379">
              <w:rPr>
                <w:rFonts w:ascii="Arial" w:hAnsi="Arial" w:cs="Arial"/>
                <w:spacing w:val="-7"/>
                <w:sz w:val="22"/>
                <w:szCs w:val="22"/>
              </w:rPr>
              <w:t xml:space="preserve"> </w:t>
            </w:r>
            <w:r w:rsidRPr="00EB6379">
              <w:rPr>
                <w:rFonts w:ascii="Arial" w:hAnsi="Arial" w:cs="Arial"/>
                <w:sz w:val="22"/>
                <w:szCs w:val="22"/>
              </w:rPr>
              <w:t>de</w:t>
            </w:r>
            <w:r w:rsidRPr="00EB6379">
              <w:rPr>
                <w:rFonts w:ascii="Arial" w:hAnsi="Arial" w:cs="Arial"/>
                <w:spacing w:val="-9"/>
                <w:sz w:val="22"/>
                <w:szCs w:val="22"/>
              </w:rPr>
              <w:t xml:space="preserve"> </w:t>
            </w:r>
            <w:r w:rsidRPr="00EB6379">
              <w:rPr>
                <w:rFonts w:ascii="Arial" w:hAnsi="Arial" w:cs="Arial"/>
                <w:sz w:val="22"/>
                <w:szCs w:val="22"/>
              </w:rPr>
              <w:t>la</w:t>
            </w:r>
            <w:r w:rsidRPr="00EB6379">
              <w:rPr>
                <w:rFonts w:ascii="Arial" w:hAnsi="Arial" w:cs="Arial"/>
                <w:spacing w:val="-9"/>
                <w:sz w:val="22"/>
                <w:szCs w:val="22"/>
              </w:rPr>
              <w:t xml:space="preserve"> </w:t>
            </w:r>
            <w:r w:rsidRPr="00EB6379">
              <w:rPr>
                <w:rFonts w:ascii="Arial" w:hAnsi="Arial" w:cs="Arial"/>
                <w:sz w:val="22"/>
                <w:szCs w:val="22"/>
              </w:rPr>
              <w:t>Nación). Situación que fue subsanada durante la vigencia 2024.</w:t>
            </w:r>
          </w:p>
        </w:tc>
      </w:tr>
    </w:tbl>
    <w:p w14:paraId="2FF8D5AC" w14:textId="77777777" w:rsidR="00561B22" w:rsidRPr="00EB6379" w:rsidRDefault="00561B22" w:rsidP="00561B22">
      <w:pPr>
        <w:pStyle w:val="Textoindependiente"/>
        <w:ind w:right="-50"/>
        <w:jc w:val="both"/>
        <w:rPr>
          <w:rFonts w:ascii="Arial" w:hAnsi="Arial" w:cs="Arial"/>
          <w:b/>
          <w:bCs/>
        </w:rPr>
      </w:pPr>
    </w:p>
    <w:p w14:paraId="7829EB97" w14:textId="77777777" w:rsidR="00561B22" w:rsidRPr="00EB6379" w:rsidRDefault="00561B22" w:rsidP="00561B22">
      <w:pPr>
        <w:jc w:val="both"/>
        <w:rPr>
          <w:rFonts w:ascii="Arial" w:hAnsi="Arial" w:cs="Arial"/>
          <w:b/>
          <w:lang w:val="es-MX"/>
        </w:rPr>
      </w:pPr>
      <w:r w:rsidRPr="00EB6379">
        <w:rPr>
          <w:rFonts w:ascii="Arial" w:hAnsi="Arial" w:cs="Arial"/>
          <w:b/>
          <w:lang w:val="es-MX"/>
        </w:rPr>
        <w:t>Del citado informe retomamos las siguientes recomendaciones:</w:t>
      </w:r>
    </w:p>
    <w:p w14:paraId="7B400453" w14:textId="77777777" w:rsidR="00561B22" w:rsidRPr="00EB6379"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EB6379" w14:paraId="5910C1DE" w14:textId="77777777" w:rsidTr="00F1223B">
        <w:tc>
          <w:tcPr>
            <w:tcW w:w="562" w:type="dxa"/>
          </w:tcPr>
          <w:p w14:paraId="61F2E9BF" w14:textId="77777777" w:rsidR="00561B22" w:rsidRPr="00EB6379" w:rsidRDefault="00561B22" w:rsidP="00F1223B">
            <w:pPr>
              <w:ind w:right="-109"/>
              <w:jc w:val="center"/>
              <w:rPr>
                <w:rFonts w:ascii="Arial" w:hAnsi="Arial" w:cs="Arial"/>
                <w:b/>
                <w:sz w:val="22"/>
                <w:szCs w:val="22"/>
                <w:lang w:val="es-MX"/>
              </w:rPr>
            </w:pPr>
            <w:r w:rsidRPr="00EB6379">
              <w:rPr>
                <w:rFonts w:ascii="Arial" w:hAnsi="Arial" w:cs="Arial"/>
                <w:b/>
                <w:sz w:val="22"/>
                <w:szCs w:val="22"/>
                <w:lang w:val="es-MX"/>
              </w:rPr>
              <w:t>N°</w:t>
            </w:r>
          </w:p>
        </w:tc>
        <w:tc>
          <w:tcPr>
            <w:tcW w:w="9400" w:type="dxa"/>
          </w:tcPr>
          <w:p w14:paraId="3EFE3F7F"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RECOMENDACIONES</w:t>
            </w:r>
          </w:p>
          <w:p w14:paraId="3AD6AF52" w14:textId="77777777" w:rsidR="00561B22" w:rsidRPr="00EB6379" w:rsidRDefault="00561B22" w:rsidP="00F1223B">
            <w:pPr>
              <w:jc w:val="center"/>
              <w:rPr>
                <w:rFonts w:ascii="Arial" w:hAnsi="Arial" w:cs="Arial"/>
                <w:b/>
                <w:sz w:val="22"/>
                <w:szCs w:val="22"/>
                <w:lang w:val="es-MX"/>
              </w:rPr>
            </w:pPr>
          </w:p>
        </w:tc>
      </w:tr>
      <w:tr w:rsidR="00561B22" w:rsidRPr="00EB6379" w14:paraId="2398933D" w14:textId="77777777" w:rsidTr="00F1223B">
        <w:tc>
          <w:tcPr>
            <w:tcW w:w="562" w:type="dxa"/>
          </w:tcPr>
          <w:p w14:paraId="72EA3CC2"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1</w:t>
            </w:r>
          </w:p>
        </w:tc>
        <w:tc>
          <w:tcPr>
            <w:tcW w:w="9400" w:type="dxa"/>
          </w:tcPr>
          <w:p w14:paraId="1F29D9E3" w14:textId="77777777" w:rsidR="00561B22" w:rsidRPr="00EB6379" w:rsidRDefault="00561B22" w:rsidP="00F1223B">
            <w:pPr>
              <w:jc w:val="both"/>
              <w:rPr>
                <w:rFonts w:ascii="Arial" w:hAnsi="Arial" w:cs="Arial"/>
                <w:b/>
                <w:sz w:val="22"/>
                <w:szCs w:val="22"/>
                <w:lang w:val="es-MX"/>
              </w:rPr>
            </w:pPr>
            <w:r w:rsidRPr="00EB6379">
              <w:rPr>
                <w:rFonts w:ascii="Arial" w:hAnsi="Arial" w:cs="Arial"/>
                <w:sz w:val="22"/>
                <w:szCs w:val="22"/>
              </w:rPr>
              <w:t>Continuar con la actualización de documentación del proceso contable,</w:t>
            </w:r>
            <w:r w:rsidRPr="00EB6379">
              <w:rPr>
                <w:rFonts w:ascii="Arial" w:hAnsi="Arial" w:cs="Arial"/>
                <w:spacing w:val="-4"/>
                <w:sz w:val="22"/>
                <w:szCs w:val="22"/>
              </w:rPr>
              <w:t xml:space="preserve"> </w:t>
            </w:r>
            <w:r w:rsidRPr="00EB6379">
              <w:rPr>
                <w:rFonts w:ascii="Arial" w:hAnsi="Arial" w:cs="Arial"/>
                <w:sz w:val="22"/>
                <w:szCs w:val="22"/>
              </w:rPr>
              <w:t>así</w:t>
            </w:r>
            <w:r w:rsidRPr="00EB6379">
              <w:rPr>
                <w:rFonts w:ascii="Arial" w:hAnsi="Arial" w:cs="Arial"/>
                <w:spacing w:val="-4"/>
                <w:sz w:val="22"/>
                <w:szCs w:val="22"/>
              </w:rPr>
              <w:t xml:space="preserve"> </w:t>
            </w:r>
            <w:r w:rsidRPr="00EB6379">
              <w:rPr>
                <w:rFonts w:ascii="Arial" w:hAnsi="Arial" w:cs="Arial"/>
                <w:sz w:val="22"/>
                <w:szCs w:val="22"/>
              </w:rPr>
              <w:t>como</w:t>
            </w:r>
            <w:r w:rsidRPr="00EB6379">
              <w:rPr>
                <w:rFonts w:ascii="Arial" w:hAnsi="Arial" w:cs="Arial"/>
                <w:spacing w:val="-6"/>
                <w:sz w:val="22"/>
                <w:szCs w:val="22"/>
              </w:rPr>
              <w:t xml:space="preserve"> </w:t>
            </w:r>
            <w:r w:rsidRPr="00EB6379">
              <w:rPr>
                <w:rFonts w:ascii="Arial" w:hAnsi="Arial" w:cs="Arial"/>
                <w:sz w:val="22"/>
                <w:szCs w:val="22"/>
              </w:rPr>
              <w:t>la</w:t>
            </w:r>
            <w:r w:rsidRPr="00EB6379">
              <w:rPr>
                <w:rFonts w:ascii="Arial" w:hAnsi="Arial" w:cs="Arial"/>
                <w:spacing w:val="-6"/>
                <w:sz w:val="22"/>
                <w:szCs w:val="22"/>
              </w:rPr>
              <w:t xml:space="preserve"> </w:t>
            </w:r>
            <w:r w:rsidRPr="00EB6379">
              <w:rPr>
                <w:rFonts w:ascii="Arial" w:hAnsi="Arial" w:cs="Arial"/>
                <w:sz w:val="22"/>
                <w:szCs w:val="22"/>
              </w:rPr>
              <w:t>creación</w:t>
            </w:r>
            <w:r w:rsidRPr="00EB6379">
              <w:rPr>
                <w:rFonts w:ascii="Arial" w:hAnsi="Arial" w:cs="Arial"/>
                <w:spacing w:val="-6"/>
                <w:sz w:val="22"/>
                <w:szCs w:val="22"/>
              </w:rPr>
              <w:t xml:space="preserve"> </w:t>
            </w:r>
            <w:r w:rsidRPr="00EB6379">
              <w:rPr>
                <w:rFonts w:ascii="Arial" w:hAnsi="Arial" w:cs="Arial"/>
                <w:sz w:val="22"/>
                <w:szCs w:val="22"/>
              </w:rPr>
              <w:t xml:space="preserve">de los documentos, guías, procedimientos, entre otros, que corresponde a factores de riesgo en el proceso contable, </w:t>
            </w:r>
          </w:p>
        </w:tc>
      </w:tr>
      <w:tr w:rsidR="00561B22" w:rsidRPr="00EB6379" w14:paraId="41F19557" w14:textId="77777777" w:rsidTr="00F1223B">
        <w:tc>
          <w:tcPr>
            <w:tcW w:w="562" w:type="dxa"/>
          </w:tcPr>
          <w:p w14:paraId="2F55405C"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2</w:t>
            </w:r>
          </w:p>
        </w:tc>
        <w:tc>
          <w:tcPr>
            <w:tcW w:w="9400" w:type="dxa"/>
          </w:tcPr>
          <w:p w14:paraId="7492E1E9" w14:textId="77777777" w:rsidR="00561B22" w:rsidRPr="00EB6379" w:rsidRDefault="00561B22" w:rsidP="00F1223B">
            <w:pPr>
              <w:jc w:val="both"/>
              <w:rPr>
                <w:rFonts w:ascii="Arial" w:hAnsi="Arial" w:cs="Arial"/>
                <w:b/>
                <w:sz w:val="22"/>
                <w:szCs w:val="22"/>
                <w:lang w:val="es-MX"/>
              </w:rPr>
            </w:pPr>
            <w:r w:rsidRPr="00EB6379">
              <w:rPr>
                <w:rFonts w:ascii="Arial" w:hAnsi="Arial" w:cs="Arial"/>
                <w:sz w:val="22"/>
                <w:szCs w:val="22"/>
              </w:rPr>
              <w:t xml:space="preserve">En el proceso de migración de la información a la nueva plataforma de control y gestión documental ISOLución. </w:t>
            </w:r>
          </w:p>
        </w:tc>
      </w:tr>
      <w:tr w:rsidR="00561B22" w:rsidRPr="00EB6379" w14:paraId="4040A8E8" w14:textId="77777777" w:rsidTr="00F1223B">
        <w:tc>
          <w:tcPr>
            <w:tcW w:w="562" w:type="dxa"/>
          </w:tcPr>
          <w:p w14:paraId="6BFB0172" w14:textId="77777777" w:rsidR="00561B22" w:rsidRPr="00EB6379" w:rsidRDefault="00561B22" w:rsidP="00F1223B">
            <w:pPr>
              <w:jc w:val="center"/>
              <w:rPr>
                <w:rFonts w:ascii="Arial" w:hAnsi="Arial" w:cs="Arial"/>
                <w:b/>
                <w:sz w:val="22"/>
                <w:szCs w:val="22"/>
                <w:lang w:val="es-MX"/>
              </w:rPr>
            </w:pPr>
            <w:r w:rsidRPr="00EB6379">
              <w:rPr>
                <w:rFonts w:ascii="Arial" w:hAnsi="Arial" w:cs="Arial"/>
                <w:b/>
                <w:sz w:val="22"/>
                <w:szCs w:val="22"/>
                <w:lang w:val="es-MX"/>
              </w:rPr>
              <w:t>3</w:t>
            </w:r>
          </w:p>
        </w:tc>
        <w:tc>
          <w:tcPr>
            <w:tcW w:w="9400" w:type="dxa"/>
          </w:tcPr>
          <w:p w14:paraId="17736043" w14:textId="77777777" w:rsidR="00561B22" w:rsidRPr="00EB6379" w:rsidRDefault="00561B22" w:rsidP="00F1223B">
            <w:pPr>
              <w:jc w:val="both"/>
              <w:rPr>
                <w:rFonts w:ascii="Arial" w:hAnsi="Arial" w:cs="Arial"/>
                <w:b/>
                <w:sz w:val="22"/>
                <w:szCs w:val="22"/>
                <w:lang w:val="es-MX"/>
              </w:rPr>
            </w:pPr>
            <w:r w:rsidRPr="00EB6379">
              <w:rPr>
                <w:rFonts w:ascii="Arial" w:hAnsi="Arial" w:cs="Arial"/>
                <w:sz w:val="22"/>
                <w:szCs w:val="22"/>
              </w:rPr>
              <w:t xml:space="preserve">Así mismo, continuar con el saneamiento contable permanente, a través del Comité de </w:t>
            </w:r>
            <w:r w:rsidRPr="00EB6379">
              <w:rPr>
                <w:rFonts w:ascii="Arial" w:hAnsi="Arial" w:cs="Arial"/>
                <w:sz w:val="22"/>
                <w:szCs w:val="22"/>
              </w:rPr>
              <w:lastRenderedPageBreak/>
              <w:t>Sostenibilidad Contable.</w:t>
            </w:r>
          </w:p>
        </w:tc>
      </w:tr>
    </w:tbl>
    <w:p w14:paraId="0B9C9976" w14:textId="77777777" w:rsidR="00561B22" w:rsidRPr="00EB6379" w:rsidRDefault="00561B22" w:rsidP="00561B22">
      <w:pPr>
        <w:pStyle w:val="Textoindependiente"/>
        <w:ind w:right="-50"/>
        <w:jc w:val="both"/>
        <w:rPr>
          <w:rFonts w:ascii="Arial" w:hAnsi="Arial" w:cs="Arial"/>
          <w:b/>
          <w:bCs/>
        </w:rPr>
      </w:pPr>
    </w:p>
    <w:p w14:paraId="11B7FACB" w14:textId="77777777" w:rsidR="00561B22" w:rsidRPr="0018187D" w:rsidRDefault="00561B22" w:rsidP="00561B22">
      <w:pPr>
        <w:jc w:val="both"/>
        <w:rPr>
          <w:rFonts w:ascii="Arial" w:hAnsi="Arial" w:cs="Arial"/>
          <w:b/>
          <w:sz w:val="28"/>
          <w:szCs w:val="28"/>
          <w:lang w:val="es-MX"/>
        </w:rPr>
      </w:pPr>
      <w:r w:rsidRPr="0018187D">
        <w:rPr>
          <w:rFonts w:ascii="Arial" w:hAnsi="Arial" w:cs="Arial"/>
          <w:b/>
          <w:sz w:val="28"/>
          <w:szCs w:val="28"/>
          <w:lang w:val="es-MX"/>
        </w:rPr>
        <w:t>268.- CORPORACIÓN AUTÓNOMA REGIONAL DEL SUR DE BOLÍVAR - CSB.</w:t>
      </w:r>
    </w:p>
    <w:p w14:paraId="5A1CF6B1" w14:textId="77777777" w:rsidR="00561B22" w:rsidRPr="0018187D" w:rsidRDefault="00561B22" w:rsidP="00561B22">
      <w:pPr>
        <w:pStyle w:val="Textoindependiente"/>
        <w:tabs>
          <w:tab w:val="left" w:pos="2055"/>
        </w:tabs>
        <w:spacing w:before="5"/>
        <w:rPr>
          <w:rFonts w:ascii="Arial" w:hAnsi="Arial" w:cs="Arial"/>
          <w:lang w:val="es-MX"/>
        </w:rPr>
      </w:pPr>
    </w:p>
    <w:p w14:paraId="2430BFF1" w14:textId="77777777" w:rsidR="00561B22" w:rsidRPr="0018187D" w:rsidRDefault="00561B22" w:rsidP="00561B22">
      <w:pPr>
        <w:pStyle w:val="Textoindependiente"/>
        <w:jc w:val="center"/>
        <w:rPr>
          <w:rFonts w:ascii="Arial" w:hAnsi="Arial" w:cs="Arial"/>
          <w:b/>
          <w:bCs/>
        </w:rPr>
      </w:pPr>
      <w:r w:rsidRPr="0018187D">
        <w:rPr>
          <w:rFonts w:ascii="Arial" w:hAnsi="Arial" w:cs="Arial"/>
          <w:b/>
          <w:bCs/>
        </w:rPr>
        <w:t>INFORME DE LA AUTOCALIFICACIÓN DEL SISTEMA DE CONTROL INTERNO CONTABLE:</w:t>
      </w:r>
    </w:p>
    <w:p w14:paraId="7D4039A5" w14:textId="77777777" w:rsidR="00561B22" w:rsidRPr="0018187D"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8187D" w14:paraId="1E3716D1" w14:textId="77777777" w:rsidTr="00F1223B">
        <w:tc>
          <w:tcPr>
            <w:tcW w:w="4981" w:type="dxa"/>
          </w:tcPr>
          <w:p w14:paraId="23F05884"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AUTOCALIFICACIÓN</w:t>
            </w:r>
          </w:p>
        </w:tc>
        <w:tc>
          <w:tcPr>
            <w:tcW w:w="4981" w:type="dxa"/>
          </w:tcPr>
          <w:p w14:paraId="5680973E" w14:textId="77777777" w:rsidR="00561B22" w:rsidRPr="0018187D" w:rsidRDefault="00561B22" w:rsidP="00F1223B">
            <w:pPr>
              <w:jc w:val="center"/>
              <w:rPr>
                <w:rFonts w:ascii="Arial" w:hAnsi="Arial" w:cs="Arial"/>
                <w:b/>
                <w:sz w:val="22"/>
                <w:szCs w:val="22"/>
                <w:u w:val="single"/>
                <w:lang w:val="es-MX"/>
              </w:rPr>
            </w:pPr>
            <w:r w:rsidRPr="0018187D">
              <w:rPr>
                <w:rFonts w:ascii="Arial" w:hAnsi="Arial" w:cs="Arial"/>
                <w:b/>
                <w:sz w:val="22"/>
                <w:szCs w:val="22"/>
                <w:u w:val="single"/>
                <w:lang w:val="es-MX"/>
              </w:rPr>
              <w:t>4.97</w:t>
            </w:r>
          </w:p>
        </w:tc>
      </w:tr>
    </w:tbl>
    <w:p w14:paraId="42731BFA" w14:textId="77777777" w:rsidR="00561B22" w:rsidRPr="0018187D" w:rsidRDefault="00561B22" w:rsidP="00561B22">
      <w:pPr>
        <w:pStyle w:val="Textoindependiente"/>
        <w:jc w:val="both"/>
        <w:rPr>
          <w:rFonts w:ascii="Arial" w:hAnsi="Arial" w:cs="Arial"/>
          <w:b/>
          <w:bCs/>
        </w:rPr>
      </w:pPr>
    </w:p>
    <w:p w14:paraId="55052DAC" w14:textId="77777777" w:rsidR="00561B22" w:rsidRPr="0018187D" w:rsidRDefault="00561B22" w:rsidP="00561B22">
      <w:pPr>
        <w:pStyle w:val="Textoindependiente"/>
        <w:jc w:val="both"/>
        <w:rPr>
          <w:rFonts w:ascii="Arial" w:hAnsi="Arial" w:cs="Arial"/>
          <w:b/>
          <w:bCs/>
        </w:rPr>
      </w:pPr>
      <w:r w:rsidRPr="0018187D">
        <w:rPr>
          <w:rFonts w:ascii="Arial" w:hAnsi="Arial" w:cs="Arial"/>
          <w:b/>
          <w:bCs/>
        </w:rPr>
        <w:t>Del informe enviado retomamos lo siguiente:</w:t>
      </w:r>
    </w:p>
    <w:p w14:paraId="42B5EFE2" w14:textId="77777777" w:rsidR="00561B22" w:rsidRPr="0018187D"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8187D" w14:paraId="26EB401E" w14:textId="77777777" w:rsidTr="00F1223B">
        <w:tc>
          <w:tcPr>
            <w:tcW w:w="562" w:type="dxa"/>
          </w:tcPr>
          <w:p w14:paraId="58C0871E"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N°</w:t>
            </w:r>
          </w:p>
        </w:tc>
        <w:tc>
          <w:tcPr>
            <w:tcW w:w="9400" w:type="dxa"/>
          </w:tcPr>
          <w:p w14:paraId="6D0C77D1"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DEBILIDADES</w:t>
            </w:r>
          </w:p>
          <w:p w14:paraId="125D78AD" w14:textId="77777777" w:rsidR="00561B22" w:rsidRPr="0018187D" w:rsidRDefault="00561B22" w:rsidP="00F1223B">
            <w:pPr>
              <w:jc w:val="center"/>
              <w:rPr>
                <w:rFonts w:ascii="Arial" w:hAnsi="Arial" w:cs="Arial"/>
                <w:b/>
                <w:sz w:val="22"/>
                <w:szCs w:val="22"/>
                <w:lang w:val="es-MX"/>
              </w:rPr>
            </w:pPr>
          </w:p>
        </w:tc>
      </w:tr>
      <w:tr w:rsidR="00561B22" w:rsidRPr="0018187D" w14:paraId="042FC250" w14:textId="77777777" w:rsidTr="00F1223B">
        <w:tc>
          <w:tcPr>
            <w:tcW w:w="562" w:type="dxa"/>
          </w:tcPr>
          <w:p w14:paraId="2A078C60"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1</w:t>
            </w:r>
          </w:p>
        </w:tc>
        <w:tc>
          <w:tcPr>
            <w:tcW w:w="9400" w:type="dxa"/>
          </w:tcPr>
          <w:p w14:paraId="7EA111AB" w14:textId="77777777" w:rsidR="00561B22" w:rsidRPr="0018187D" w:rsidRDefault="00561B22" w:rsidP="00F1223B">
            <w:pPr>
              <w:jc w:val="both"/>
              <w:rPr>
                <w:rFonts w:ascii="Arial" w:hAnsi="Arial" w:cs="Arial"/>
                <w:bCs/>
                <w:sz w:val="22"/>
                <w:szCs w:val="22"/>
                <w:lang w:val="es-MX"/>
              </w:rPr>
            </w:pPr>
            <w:r w:rsidRPr="0018187D">
              <w:rPr>
                <w:rFonts w:ascii="Arial" w:hAnsi="Arial" w:cs="Arial"/>
                <w:bCs/>
                <w:sz w:val="22"/>
                <w:szCs w:val="22"/>
                <w:lang w:val="es-MX"/>
              </w:rPr>
              <w:t>Hay deficiencias en el flujo de información con otras dependencias, que hace que los actos se retarden un poco.</w:t>
            </w:r>
          </w:p>
        </w:tc>
      </w:tr>
      <w:tr w:rsidR="00561B22" w:rsidRPr="0018187D" w14:paraId="7E1C0869" w14:textId="77777777" w:rsidTr="00F1223B">
        <w:tc>
          <w:tcPr>
            <w:tcW w:w="562" w:type="dxa"/>
          </w:tcPr>
          <w:p w14:paraId="373E2DD6"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2</w:t>
            </w:r>
          </w:p>
        </w:tc>
        <w:tc>
          <w:tcPr>
            <w:tcW w:w="9400" w:type="dxa"/>
          </w:tcPr>
          <w:p w14:paraId="67713C1D" w14:textId="77777777" w:rsidR="00561B22" w:rsidRPr="0018187D" w:rsidRDefault="00561B22" w:rsidP="00F1223B">
            <w:pPr>
              <w:jc w:val="both"/>
              <w:rPr>
                <w:rFonts w:ascii="Arial" w:hAnsi="Arial" w:cs="Arial"/>
                <w:bCs/>
                <w:sz w:val="22"/>
                <w:szCs w:val="22"/>
                <w:lang w:val="es-MX"/>
              </w:rPr>
            </w:pPr>
            <w:r w:rsidRPr="0018187D">
              <w:rPr>
                <w:rFonts w:ascii="Arial" w:hAnsi="Arial" w:cs="Arial"/>
                <w:bCs/>
                <w:sz w:val="22"/>
                <w:szCs w:val="22"/>
                <w:lang w:val="es-MX"/>
              </w:rPr>
              <w:t xml:space="preserve">Deficiencia en las capacitaciones por falta de recursos económicos  </w:t>
            </w:r>
          </w:p>
        </w:tc>
      </w:tr>
      <w:tr w:rsidR="00561B22" w:rsidRPr="0018187D" w14:paraId="0E862EA6" w14:textId="77777777" w:rsidTr="00F1223B">
        <w:tc>
          <w:tcPr>
            <w:tcW w:w="562" w:type="dxa"/>
          </w:tcPr>
          <w:p w14:paraId="147BA938"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3</w:t>
            </w:r>
          </w:p>
        </w:tc>
        <w:tc>
          <w:tcPr>
            <w:tcW w:w="9400" w:type="dxa"/>
          </w:tcPr>
          <w:p w14:paraId="67179398" w14:textId="77777777" w:rsidR="00561B22" w:rsidRPr="0018187D" w:rsidRDefault="00561B22" w:rsidP="00F1223B">
            <w:pPr>
              <w:jc w:val="both"/>
              <w:rPr>
                <w:rFonts w:ascii="Arial" w:hAnsi="Arial" w:cs="Arial"/>
                <w:bCs/>
                <w:sz w:val="22"/>
                <w:szCs w:val="22"/>
                <w:lang w:val="es-MX"/>
              </w:rPr>
            </w:pPr>
            <w:r w:rsidRPr="0018187D">
              <w:rPr>
                <w:rFonts w:ascii="Arial" w:hAnsi="Arial" w:cs="Arial"/>
                <w:bCs/>
                <w:sz w:val="22"/>
                <w:szCs w:val="22"/>
                <w:lang w:val="es-MX"/>
              </w:rPr>
              <w:t>El operador de internet presenta deficiencia</w:t>
            </w:r>
          </w:p>
        </w:tc>
      </w:tr>
    </w:tbl>
    <w:p w14:paraId="4CB85685" w14:textId="77777777" w:rsidR="00561B22" w:rsidRPr="0018187D" w:rsidRDefault="00561B22" w:rsidP="00561B22">
      <w:pPr>
        <w:pStyle w:val="Textoindependiente"/>
        <w:jc w:val="both"/>
        <w:rPr>
          <w:rFonts w:ascii="Arial" w:hAnsi="Arial" w:cs="Arial"/>
          <w:b/>
          <w:bCs/>
        </w:rPr>
      </w:pPr>
    </w:p>
    <w:p w14:paraId="56DBF957" w14:textId="77777777" w:rsidR="00561B22" w:rsidRPr="0018187D" w:rsidRDefault="00561B22" w:rsidP="00561B22">
      <w:pPr>
        <w:jc w:val="both"/>
        <w:rPr>
          <w:rFonts w:ascii="Arial" w:hAnsi="Arial" w:cs="Arial"/>
          <w:b/>
          <w:lang w:val="es-MX"/>
        </w:rPr>
      </w:pPr>
      <w:r w:rsidRPr="0018187D">
        <w:rPr>
          <w:rFonts w:ascii="Arial" w:hAnsi="Arial" w:cs="Arial"/>
          <w:b/>
          <w:lang w:val="es-MX"/>
        </w:rPr>
        <w:t>Del citado informe retomamos las siguientes recomendaciones:</w:t>
      </w:r>
    </w:p>
    <w:p w14:paraId="4FF97451" w14:textId="77777777" w:rsidR="00561B22" w:rsidRPr="0018187D"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18187D" w14:paraId="56745709" w14:textId="77777777" w:rsidTr="00F1223B">
        <w:tc>
          <w:tcPr>
            <w:tcW w:w="562" w:type="dxa"/>
          </w:tcPr>
          <w:p w14:paraId="2FF02EFA"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N°</w:t>
            </w:r>
          </w:p>
        </w:tc>
        <w:tc>
          <w:tcPr>
            <w:tcW w:w="9400" w:type="dxa"/>
          </w:tcPr>
          <w:p w14:paraId="2C4707B6"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RECOMENDACIONES</w:t>
            </w:r>
          </w:p>
          <w:p w14:paraId="3BFF9142" w14:textId="77777777" w:rsidR="00561B22" w:rsidRPr="0018187D" w:rsidRDefault="00561B22" w:rsidP="00F1223B">
            <w:pPr>
              <w:jc w:val="center"/>
              <w:rPr>
                <w:rFonts w:ascii="Arial" w:hAnsi="Arial" w:cs="Arial"/>
                <w:b/>
                <w:sz w:val="22"/>
                <w:szCs w:val="22"/>
                <w:lang w:val="es-MX"/>
              </w:rPr>
            </w:pPr>
          </w:p>
        </w:tc>
      </w:tr>
      <w:tr w:rsidR="00561B22" w:rsidRPr="0018187D" w14:paraId="6976E426" w14:textId="77777777" w:rsidTr="00F1223B">
        <w:tc>
          <w:tcPr>
            <w:tcW w:w="562" w:type="dxa"/>
          </w:tcPr>
          <w:p w14:paraId="483BC7BD" w14:textId="77777777" w:rsidR="00561B22" w:rsidRPr="0018187D" w:rsidRDefault="00561B22" w:rsidP="00F1223B">
            <w:pPr>
              <w:jc w:val="center"/>
              <w:rPr>
                <w:rFonts w:ascii="Arial" w:hAnsi="Arial" w:cs="Arial"/>
                <w:b/>
                <w:sz w:val="22"/>
                <w:szCs w:val="22"/>
                <w:lang w:val="es-MX"/>
              </w:rPr>
            </w:pPr>
            <w:r w:rsidRPr="0018187D">
              <w:rPr>
                <w:rFonts w:ascii="Arial" w:hAnsi="Arial" w:cs="Arial"/>
                <w:b/>
                <w:sz w:val="22"/>
                <w:szCs w:val="22"/>
                <w:lang w:val="es-MX"/>
              </w:rPr>
              <w:t>1</w:t>
            </w:r>
          </w:p>
        </w:tc>
        <w:tc>
          <w:tcPr>
            <w:tcW w:w="9400" w:type="dxa"/>
          </w:tcPr>
          <w:p w14:paraId="386A84D6" w14:textId="77777777" w:rsidR="00561B22" w:rsidRPr="0018187D" w:rsidRDefault="00561B22" w:rsidP="00F1223B">
            <w:pPr>
              <w:jc w:val="both"/>
              <w:rPr>
                <w:rFonts w:ascii="Arial" w:hAnsi="Arial" w:cs="Arial"/>
                <w:bCs/>
                <w:sz w:val="22"/>
                <w:szCs w:val="22"/>
                <w:lang w:val="es-MX"/>
              </w:rPr>
            </w:pPr>
            <w:r w:rsidRPr="0018187D">
              <w:rPr>
                <w:rFonts w:ascii="Arial" w:hAnsi="Arial" w:cs="Arial"/>
                <w:bCs/>
                <w:sz w:val="22"/>
                <w:szCs w:val="22"/>
                <w:lang w:val="es-MX"/>
              </w:rPr>
              <w:t>Seguir atendiendo los procedimientos de tal forma que las políticas y planes establecidos se cumplan a cabalidad.</w:t>
            </w:r>
          </w:p>
        </w:tc>
      </w:tr>
    </w:tbl>
    <w:p w14:paraId="111B80EA" w14:textId="77777777" w:rsidR="00561B22" w:rsidRPr="0018187D" w:rsidRDefault="00561B22" w:rsidP="00561B22">
      <w:pPr>
        <w:pStyle w:val="Textoindependiente"/>
        <w:jc w:val="both"/>
        <w:rPr>
          <w:rFonts w:ascii="Arial" w:hAnsi="Arial" w:cs="Arial"/>
          <w:b/>
          <w:bCs/>
          <w:sz w:val="28"/>
          <w:szCs w:val="28"/>
        </w:rPr>
      </w:pPr>
    </w:p>
    <w:p w14:paraId="672D5531" w14:textId="77777777" w:rsidR="00561B22" w:rsidRPr="0018187D" w:rsidRDefault="00561B22" w:rsidP="00561B22">
      <w:pPr>
        <w:jc w:val="both"/>
        <w:rPr>
          <w:rFonts w:ascii="Arial" w:hAnsi="Arial" w:cs="Arial"/>
          <w:b/>
          <w:bCs/>
          <w:sz w:val="24"/>
          <w:szCs w:val="24"/>
          <w:lang w:val="es-CO"/>
        </w:rPr>
      </w:pPr>
      <w:r w:rsidRPr="0018187D">
        <w:rPr>
          <w:rFonts w:ascii="Arial" w:hAnsi="Arial" w:cs="Arial"/>
          <w:b/>
          <w:bCs/>
          <w:sz w:val="24"/>
          <w:szCs w:val="24"/>
          <w:lang w:val="es-CO"/>
        </w:rPr>
        <w:t xml:space="preserve">NOTA: LA ENTIDAD ENVIA LA MATRIZ DE AUTOEVALUACIÓN DEL SISTEMA DE CONTROL INTERNO CONTABLE CON </w:t>
      </w:r>
      <w:r w:rsidRPr="0018187D">
        <w:rPr>
          <w:rFonts w:ascii="Arial" w:hAnsi="Arial" w:cs="Arial"/>
          <w:b/>
          <w:bCs/>
          <w:sz w:val="24"/>
          <w:szCs w:val="24"/>
          <w:u w:val="single"/>
          <w:lang w:val="es-CO"/>
        </w:rPr>
        <w:t>ACTIVIDADES DE CONTROL REALIZADAS EN FORMA PARCIAL</w:t>
      </w:r>
      <w:r w:rsidRPr="0018187D">
        <w:rPr>
          <w:rFonts w:ascii="Arial" w:hAnsi="Arial" w:cs="Arial"/>
          <w:b/>
          <w:bCs/>
          <w:sz w:val="24"/>
          <w:szCs w:val="24"/>
          <w:lang w:val="es-CO"/>
        </w:rPr>
        <w:t>.</w:t>
      </w:r>
    </w:p>
    <w:p w14:paraId="512A1DE1" w14:textId="77777777" w:rsidR="00561B22" w:rsidRPr="0018187D" w:rsidRDefault="00561B22" w:rsidP="00561B22">
      <w:pPr>
        <w:pStyle w:val="Textoindependiente"/>
        <w:tabs>
          <w:tab w:val="left" w:pos="2055"/>
        </w:tabs>
        <w:spacing w:before="5"/>
        <w:rPr>
          <w:rFonts w:ascii="Arial" w:hAnsi="Arial" w:cs="Arial"/>
          <w:lang w:val="es-CO"/>
        </w:rPr>
      </w:pPr>
    </w:p>
    <w:p w14:paraId="57C91BDA" w14:textId="77777777" w:rsidR="00561B22" w:rsidRPr="00AF3A11" w:rsidRDefault="00561B22" w:rsidP="00561B22">
      <w:pPr>
        <w:jc w:val="both"/>
        <w:rPr>
          <w:rFonts w:ascii="Arial" w:hAnsi="Arial" w:cs="Arial"/>
          <w:b/>
          <w:sz w:val="28"/>
          <w:szCs w:val="28"/>
          <w:lang w:val="es-MX"/>
        </w:rPr>
      </w:pPr>
      <w:r w:rsidRPr="00AF3A11">
        <w:rPr>
          <w:rFonts w:ascii="Arial" w:hAnsi="Arial" w:cs="Arial"/>
          <w:b/>
          <w:sz w:val="28"/>
          <w:szCs w:val="28"/>
          <w:lang w:val="es-MX"/>
        </w:rPr>
        <w:t>269.- DEPARTAMENTO ADMINISTRATIVO NACIONAL DE ESTADÍSTICA - DANE.</w:t>
      </w:r>
    </w:p>
    <w:p w14:paraId="593E4F3D" w14:textId="77777777" w:rsidR="00561B22" w:rsidRDefault="00561B22" w:rsidP="00561B22">
      <w:pPr>
        <w:jc w:val="both"/>
        <w:rPr>
          <w:rFonts w:ascii="Arial" w:hAnsi="Arial" w:cs="Arial"/>
          <w:b/>
          <w:bCs/>
          <w:sz w:val="24"/>
          <w:szCs w:val="24"/>
          <w:lang w:val="es-MX"/>
        </w:rPr>
      </w:pPr>
    </w:p>
    <w:p w14:paraId="4672B738" w14:textId="77777777" w:rsidR="00561B22" w:rsidRPr="00AF3A11" w:rsidRDefault="00561B22" w:rsidP="00561B22">
      <w:pPr>
        <w:pStyle w:val="Textoindependiente"/>
        <w:ind w:right="-50"/>
        <w:jc w:val="center"/>
        <w:rPr>
          <w:rFonts w:ascii="Arial" w:hAnsi="Arial" w:cs="Arial"/>
          <w:b/>
          <w:bCs/>
        </w:rPr>
      </w:pPr>
      <w:r w:rsidRPr="00AF3A11">
        <w:rPr>
          <w:rFonts w:ascii="Arial" w:hAnsi="Arial" w:cs="Arial"/>
          <w:b/>
          <w:bCs/>
        </w:rPr>
        <w:t>INFORME DE LA AUTOCALIFICACIÓN DEL SISTEMA DE CONTROL INTERNO CONTABLE:</w:t>
      </w:r>
    </w:p>
    <w:p w14:paraId="39EBB3F0" w14:textId="77777777" w:rsidR="00561B22" w:rsidRPr="00AF3A1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F3A11" w14:paraId="0F53A354" w14:textId="77777777" w:rsidTr="00F1223B">
        <w:tc>
          <w:tcPr>
            <w:tcW w:w="4981" w:type="dxa"/>
          </w:tcPr>
          <w:p w14:paraId="2262DACD"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AUTOCALIFICACIÓN</w:t>
            </w:r>
          </w:p>
        </w:tc>
        <w:tc>
          <w:tcPr>
            <w:tcW w:w="4981" w:type="dxa"/>
          </w:tcPr>
          <w:p w14:paraId="4570B16E" w14:textId="77777777" w:rsidR="00561B22" w:rsidRPr="00AF3A11" w:rsidRDefault="00561B22" w:rsidP="00F1223B">
            <w:pPr>
              <w:jc w:val="center"/>
              <w:rPr>
                <w:rFonts w:ascii="Arial" w:hAnsi="Arial" w:cs="Arial"/>
                <w:b/>
                <w:sz w:val="22"/>
                <w:szCs w:val="22"/>
                <w:u w:val="single"/>
                <w:lang w:val="es-MX"/>
              </w:rPr>
            </w:pPr>
            <w:r w:rsidRPr="00AF3A11">
              <w:rPr>
                <w:rFonts w:ascii="Arial" w:hAnsi="Arial" w:cs="Arial"/>
                <w:b/>
                <w:sz w:val="22"/>
                <w:szCs w:val="22"/>
                <w:u w:val="single"/>
                <w:lang w:val="es-MX"/>
              </w:rPr>
              <w:t>4.88</w:t>
            </w:r>
          </w:p>
        </w:tc>
      </w:tr>
    </w:tbl>
    <w:p w14:paraId="16AD833E" w14:textId="77777777" w:rsidR="00561B22" w:rsidRPr="00AF3A11" w:rsidRDefault="00561B22" w:rsidP="00561B22">
      <w:pPr>
        <w:pStyle w:val="Textoindependiente"/>
        <w:ind w:right="-50"/>
        <w:jc w:val="both"/>
        <w:rPr>
          <w:rFonts w:ascii="Arial" w:hAnsi="Arial" w:cs="Arial"/>
          <w:b/>
          <w:bCs/>
        </w:rPr>
      </w:pPr>
      <w:r w:rsidRPr="00AF3A11">
        <w:rPr>
          <w:rFonts w:ascii="Arial" w:hAnsi="Arial" w:cs="Arial"/>
          <w:b/>
          <w:bCs/>
        </w:rPr>
        <w:t>Del informe enviado retomamos lo siguiente:</w:t>
      </w:r>
    </w:p>
    <w:p w14:paraId="19909E11" w14:textId="77777777" w:rsidR="00561B22" w:rsidRPr="00AF3A1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F3A11" w14:paraId="6D56BF6B" w14:textId="77777777" w:rsidTr="00F1223B">
        <w:tc>
          <w:tcPr>
            <w:tcW w:w="562" w:type="dxa"/>
          </w:tcPr>
          <w:p w14:paraId="5C0CC306" w14:textId="77777777" w:rsidR="00561B22" w:rsidRPr="00AF3A11" w:rsidRDefault="00561B22" w:rsidP="00F1223B">
            <w:pPr>
              <w:ind w:right="-109"/>
              <w:jc w:val="center"/>
              <w:rPr>
                <w:rFonts w:ascii="Arial" w:hAnsi="Arial" w:cs="Arial"/>
                <w:b/>
                <w:sz w:val="22"/>
                <w:szCs w:val="22"/>
                <w:lang w:val="es-MX"/>
              </w:rPr>
            </w:pPr>
            <w:r w:rsidRPr="00AF3A11">
              <w:rPr>
                <w:rFonts w:ascii="Arial" w:hAnsi="Arial" w:cs="Arial"/>
                <w:b/>
                <w:sz w:val="22"/>
                <w:szCs w:val="22"/>
                <w:lang w:val="es-MX"/>
              </w:rPr>
              <w:t>N°</w:t>
            </w:r>
          </w:p>
        </w:tc>
        <w:tc>
          <w:tcPr>
            <w:tcW w:w="9400" w:type="dxa"/>
          </w:tcPr>
          <w:p w14:paraId="70A296A4"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DEBILIDADES</w:t>
            </w:r>
          </w:p>
          <w:p w14:paraId="287A0D23" w14:textId="77777777" w:rsidR="00561B22" w:rsidRPr="00AF3A11" w:rsidRDefault="00561B22" w:rsidP="00F1223B">
            <w:pPr>
              <w:jc w:val="center"/>
              <w:rPr>
                <w:rFonts w:ascii="Arial" w:hAnsi="Arial" w:cs="Arial"/>
                <w:b/>
                <w:sz w:val="22"/>
                <w:szCs w:val="22"/>
                <w:lang w:val="es-MX"/>
              </w:rPr>
            </w:pPr>
          </w:p>
        </w:tc>
      </w:tr>
      <w:tr w:rsidR="00561B22" w:rsidRPr="00AF3A11" w14:paraId="0E7C724F" w14:textId="77777777" w:rsidTr="00F1223B">
        <w:tc>
          <w:tcPr>
            <w:tcW w:w="562" w:type="dxa"/>
          </w:tcPr>
          <w:p w14:paraId="33FA658E"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1</w:t>
            </w:r>
          </w:p>
        </w:tc>
        <w:tc>
          <w:tcPr>
            <w:tcW w:w="9400" w:type="dxa"/>
          </w:tcPr>
          <w:p w14:paraId="2816D1D4"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Los riesgos de gestión identificados no contemplan el contexto digital (Activo de información), teniendo en cuenta que el proceso financiero se ejecuta completamente en sistemas de información.</w:t>
            </w:r>
          </w:p>
        </w:tc>
      </w:tr>
      <w:tr w:rsidR="00561B22" w:rsidRPr="00AF3A11" w14:paraId="10B939BD" w14:textId="77777777" w:rsidTr="00F1223B">
        <w:tc>
          <w:tcPr>
            <w:tcW w:w="562" w:type="dxa"/>
          </w:tcPr>
          <w:p w14:paraId="5739EE54"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2</w:t>
            </w:r>
          </w:p>
        </w:tc>
        <w:tc>
          <w:tcPr>
            <w:tcW w:w="9400" w:type="dxa"/>
          </w:tcPr>
          <w:p w14:paraId="6478FE1B"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La revelación de información contable y financiera no cuenta con una batería de indicadores que permitan evaluar permanentemente la gestión y los resultados de la entidad.</w:t>
            </w:r>
          </w:p>
        </w:tc>
      </w:tr>
      <w:tr w:rsidR="00561B22" w:rsidRPr="00AF3A11" w14:paraId="01C1ABF7" w14:textId="77777777" w:rsidTr="00F1223B">
        <w:tc>
          <w:tcPr>
            <w:tcW w:w="562" w:type="dxa"/>
          </w:tcPr>
          <w:p w14:paraId="2CE8B8AA"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3</w:t>
            </w:r>
          </w:p>
        </w:tc>
        <w:tc>
          <w:tcPr>
            <w:tcW w:w="9400" w:type="dxa"/>
          </w:tcPr>
          <w:p w14:paraId="770123A7"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No se incluyeron dentro del PIC capacitaciones que apunten al mejoramiento de habilidades y competencias específicas del proceso contable.</w:t>
            </w:r>
          </w:p>
        </w:tc>
      </w:tr>
    </w:tbl>
    <w:p w14:paraId="7DEEE497" w14:textId="77777777" w:rsidR="00561B22" w:rsidRPr="00AF3A11" w:rsidRDefault="00561B22" w:rsidP="00561B22">
      <w:pPr>
        <w:pStyle w:val="Textoindependiente"/>
        <w:ind w:right="-50"/>
        <w:jc w:val="both"/>
        <w:rPr>
          <w:rFonts w:ascii="Arial" w:hAnsi="Arial" w:cs="Arial"/>
          <w:b/>
          <w:bCs/>
        </w:rPr>
      </w:pPr>
    </w:p>
    <w:p w14:paraId="50C46819" w14:textId="77777777" w:rsidR="00561B22" w:rsidRPr="00AF3A11" w:rsidRDefault="00561B22" w:rsidP="00561B22">
      <w:pPr>
        <w:jc w:val="both"/>
        <w:rPr>
          <w:rFonts w:ascii="Arial" w:hAnsi="Arial" w:cs="Arial"/>
          <w:b/>
          <w:lang w:val="es-MX"/>
        </w:rPr>
      </w:pPr>
      <w:r w:rsidRPr="00AF3A11">
        <w:rPr>
          <w:rFonts w:ascii="Arial" w:hAnsi="Arial" w:cs="Arial"/>
          <w:b/>
          <w:lang w:val="es-MX"/>
        </w:rPr>
        <w:t>Del citado informe retomamos las siguientes recomendaciones:</w:t>
      </w:r>
    </w:p>
    <w:p w14:paraId="19DA5F93" w14:textId="77777777" w:rsidR="00561B22" w:rsidRPr="00AF3A11"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AF3A11" w14:paraId="54CD3EBA" w14:textId="77777777" w:rsidTr="00F1223B">
        <w:tc>
          <w:tcPr>
            <w:tcW w:w="562" w:type="dxa"/>
          </w:tcPr>
          <w:p w14:paraId="699151BB" w14:textId="77777777" w:rsidR="00561B22" w:rsidRPr="00AF3A11" w:rsidRDefault="00561B22" w:rsidP="00F1223B">
            <w:pPr>
              <w:ind w:right="-109"/>
              <w:jc w:val="center"/>
              <w:rPr>
                <w:rFonts w:ascii="Arial" w:hAnsi="Arial" w:cs="Arial"/>
                <w:b/>
                <w:sz w:val="22"/>
                <w:szCs w:val="22"/>
                <w:lang w:val="es-MX"/>
              </w:rPr>
            </w:pPr>
            <w:r w:rsidRPr="00AF3A11">
              <w:rPr>
                <w:rFonts w:ascii="Arial" w:hAnsi="Arial" w:cs="Arial"/>
                <w:b/>
                <w:sz w:val="22"/>
                <w:szCs w:val="22"/>
                <w:lang w:val="es-MX"/>
              </w:rPr>
              <w:t>N°</w:t>
            </w:r>
          </w:p>
        </w:tc>
        <w:tc>
          <w:tcPr>
            <w:tcW w:w="9400" w:type="dxa"/>
          </w:tcPr>
          <w:p w14:paraId="06F97024"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RECOMENDACIONES</w:t>
            </w:r>
          </w:p>
          <w:p w14:paraId="2A4FDC90" w14:textId="77777777" w:rsidR="00561B22" w:rsidRPr="00AF3A11" w:rsidRDefault="00561B22" w:rsidP="00F1223B">
            <w:pPr>
              <w:jc w:val="center"/>
              <w:rPr>
                <w:rFonts w:ascii="Arial" w:hAnsi="Arial" w:cs="Arial"/>
                <w:b/>
                <w:sz w:val="22"/>
                <w:szCs w:val="22"/>
                <w:lang w:val="es-MX"/>
              </w:rPr>
            </w:pPr>
          </w:p>
        </w:tc>
      </w:tr>
      <w:tr w:rsidR="00561B22" w:rsidRPr="00AF3A11" w14:paraId="57A8CC26" w14:textId="77777777" w:rsidTr="00F1223B">
        <w:tc>
          <w:tcPr>
            <w:tcW w:w="562" w:type="dxa"/>
          </w:tcPr>
          <w:p w14:paraId="60EC4B2C"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lastRenderedPageBreak/>
              <w:t>1</w:t>
            </w:r>
          </w:p>
        </w:tc>
        <w:tc>
          <w:tcPr>
            <w:tcW w:w="9400" w:type="dxa"/>
          </w:tcPr>
          <w:p w14:paraId="640CBC83"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Dado que el proceso contable se desarrolla completamente a través de sistemas de información se recomienda revisar la identificación realizada a los riesgos de gestión teniendo en cuenta el contexto digital (Activo de información), con el fin de proteger su funcionamiento y aumentar la confianza en el uso del entorno.</w:t>
            </w:r>
          </w:p>
        </w:tc>
      </w:tr>
      <w:tr w:rsidR="00561B22" w:rsidRPr="00AF3A11" w14:paraId="3FB8CD87" w14:textId="77777777" w:rsidTr="00F1223B">
        <w:tc>
          <w:tcPr>
            <w:tcW w:w="562" w:type="dxa"/>
          </w:tcPr>
          <w:p w14:paraId="01ACB07D"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2</w:t>
            </w:r>
          </w:p>
        </w:tc>
        <w:tc>
          <w:tcPr>
            <w:tcW w:w="9400" w:type="dxa"/>
          </w:tcPr>
          <w:p w14:paraId="58FB675A"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Establecer indicadores que permitan analizar e interpretar la realidad financiera</w:t>
            </w:r>
          </w:p>
        </w:tc>
      </w:tr>
      <w:tr w:rsidR="00561B22" w:rsidRPr="00AF3A11" w14:paraId="2A0A2827" w14:textId="77777777" w:rsidTr="00F1223B">
        <w:tc>
          <w:tcPr>
            <w:tcW w:w="562" w:type="dxa"/>
          </w:tcPr>
          <w:p w14:paraId="2FB178C1"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3</w:t>
            </w:r>
          </w:p>
        </w:tc>
        <w:tc>
          <w:tcPr>
            <w:tcW w:w="9400" w:type="dxa"/>
          </w:tcPr>
          <w:p w14:paraId="46724D3E"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Incluir dentro del PIC programas de capacitación orientadas al mejoramiento de habilidades y competencias específicas del personal vinculado al proceso contable</w:t>
            </w:r>
          </w:p>
        </w:tc>
      </w:tr>
      <w:tr w:rsidR="00561B22" w:rsidRPr="00AF3A11" w14:paraId="79E4939D" w14:textId="77777777" w:rsidTr="00F1223B">
        <w:tc>
          <w:tcPr>
            <w:tcW w:w="562" w:type="dxa"/>
          </w:tcPr>
          <w:p w14:paraId="62B337D5"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4</w:t>
            </w:r>
          </w:p>
        </w:tc>
        <w:tc>
          <w:tcPr>
            <w:tcW w:w="9400" w:type="dxa"/>
          </w:tcPr>
          <w:p w14:paraId="1071D427" w14:textId="77777777" w:rsidR="00561B22" w:rsidRPr="00AF3A11" w:rsidRDefault="00561B22" w:rsidP="00F1223B">
            <w:pPr>
              <w:jc w:val="both"/>
              <w:rPr>
                <w:rFonts w:ascii="Arial" w:hAnsi="Arial" w:cs="Arial"/>
                <w:sz w:val="22"/>
                <w:szCs w:val="22"/>
                <w:lang w:val="es-MX"/>
              </w:rPr>
            </w:pPr>
            <w:r w:rsidRPr="00AF3A11">
              <w:rPr>
                <w:rFonts w:ascii="Arial" w:hAnsi="Arial" w:cs="Arial"/>
                <w:sz w:val="22"/>
                <w:szCs w:val="22"/>
              </w:rPr>
              <w:t>Establecer controles que permitan minimizar los tiempos de análisis y procesamiento de información, a fin de generar las notas a los estados financieros para la evaluación de control interno contable.</w:t>
            </w:r>
          </w:p>
        </w:tc>
      </w:tr>
      <w:tr w:rsidR="00561B22" w:rsidRPr="00AF3A11" w14:paraId="17AB6C71" w14:textId="77777777" w:rsidTr="00F1223B">
        <w:tc>
          <w:tcPr>
            <w:tcW w:w="562" w:type="dxa"/>
          </w:tcPr>
          <w:p w14:paraId="50FFD7C2" w14:textId="77777777" w:rsidR="00561B22" w:rsidRPr="00AF3A11" w:rsidRDefault="00561B22" w:rsidP="00F1223B">
            <w:pPr>
              <w:jc w:val="center"/>
              <w:rPr>
                <w:rFonts w:ascii="Arial" w:hAnsi="Arial" w:cs="Arial"/>
                <w:b/>
                <w:sz w:val="22"/>
                <w:szCs w:val="22"/>
                <w:lang w:val="es-MX"/>
              </w:rPr>
            </w:pPr>
            <w:r w:rsidRPr="00AF3A11">
              <w:rPr>
                <w:rFonts w:ascii="Arial" w:hAnsi="Arial" w:cs="Arial"/>
                <w:b/>
                <w:sz w:val="22"/>
                <w:szCs w:val="22"/>
                <w:lang w:val="es-MX"/>
              </w:rPr>
              <w:t>5</w:t>
            </w:r>
          </w:p>
        </w:tc>
        <w:tc>
          <w:tcPr>
            <w:tcW w:w="9400" w:type="dxa"/>
          </w:tcPr>
          <w:p w14:paraId="020512B5" w14:textId="77777777" w:rsidR="00561B22" w:rsidRPr="00AF3A11" w:rsidRDefault="00561B22" w:rsidP="00F1223B">
            <w:pPr>
              <w:jc w:val="both"/>
              <w:rPr>
                <w:rFonts w:ascii="Arial" w:hAnsi="Arial" w:cs="Arial"/>
                <w:sz w:val="22"/>
                <w:szCs w:val="22"/>
              </w:rPr>
            </w:pPr>
            <w:r w:rsidRPr="00AF3A11">
              <w:rPr>
                <w:rFonts w:ascii="Arial" w:hAnsi="Arial" w:cs="Arial"/>
                <w:sz w:val="22"/>
                <w:szCs w:val="22"/>
              </w:rPr>
              <w:t>Establecer y documentar un protocolo y/o calendario donde se indique la periodicidad, fechas y responsables de la publicación de los estados financieros en la página web de DANE, a partir de la normativa vigente, que permita publicar información oportunamente</w:t>
            </w:r>
          </w:p>
        </w:tc>
      </w:tr>
    </w:tbl>
    <w:p w14:paraId="266BF7DB" w14:textId="77777777" w:rsidR="00561B22" w:rsidRPr="00AF3A11" w:rsidRDefault="00561B22" w:rsidP="00561B22">
      <w:pPr>
        <w:pStyle w:val="Textoindependiente"/>
        <w:ind w:right="-50"/>
        <w:jc w:val="both"/>
        <w:rPr>
          <w:rFonts w:ascii="Arial" w:hAnsi="Arial" w:cs="Arial"/>
          <w:b/>
          <w:bCs/>
        </w:rPr>
      </w:pPr>
    </w:p>
    <w:p w14:paraId="17105E02" w14:textId="77777777" w:rsidR="00561B22" w:rsidRPr="00AF3A11" w:rsidRDefault="00561B22" w:rsidP="00561B22">
      <w:pPr>
        <w:jc w:val="both"/>
        <w:rPr>
          <w:rFonts w:ascii="Arial" w:hAnsi="Arial" w:cs="Arial"/>
          <w:b/>
          <w:bCs/>
          <w:sz w:val="24"/>
          <w:szCs w:val="24"/>
          <w:lang w:val="es-CO"/>
        </w:rPr>
      </w:pPr>
      <w:r w:rsidRPr="00AF3A11">
        <w:rPr>
          <w:rFonts w:ascii="Arial" w:hAnsi="Arial" w:cs="Arial"/>
          <w:b/>
          <w:bCs/>
          <w:sz w:val="24"/>
          <w:szCs w:val="24"/>
          <w:lang w:val="es-CO"/>
        </w:rPr>
        <w:t xml:space="preserve">NOTA: LA ENTIDAD ENVIA LA MATRIZ DE AUTOEVALUACIÓN DEL SISTEMA DE CONTROL INTERNO CONTABLE CON ACTIVIDADES DE CONTROL REALIZADAS </w:t>
      </w:r>
      <w:r w:rsidRPr="00AF3A11">
        <w:rPr>
          <w:rFonts w:ascii="Arial" w:hAnsi="Arial" w:cs="Arial"/>
          <w:b/>
          <w:bCs/>
          <w:sz w:val="24"/>
          <w:szCs w:val="24"/>
          <w:u w:val="single"/>
          <w:lang w:val="es-CO"/>
        </w:rPr>
        <w:t>EN FORMA PARCIAL Y OTRAS SIMPLEMENTE INFORMAN QUE NO SE REALIZARON</w:t>
      </w:r>
      <w:r w:rsidRPr="00AF3A11">
        <w:rPr>
          <w:rFonts w:ascii="Arial" w:hAnsi="Arial" w:cs="Arial"/>
          <w:b/>
          <w:bCs/>
          <w:sz w:val="24"/>
          <w:szCs w:val="24"/>
          <w:lang w:val="es-CO"/>
        </w:rPr>
        <w:t>.</w:t>
      </w:r>
    </w:p>
    <w:p w14:paraId="69F33735" w14:textId="77777777" w:rsidR="00561B22" w:rsidRPr="0067097C" w:rsidRDefault="00561B22" w:rsidP="00561B22">
      <w:pPr>
        <w:ind w:left="720" w:hanging="720"/>
        <w:jc w:val="both"/>
        <w:rPr>
          <w:b/>
          <w:bCs/>
          <w:sz w:val="24"/>
          <w:szCs w:val="24"/>
          <w:lang w:val="es-CO"/>
        </w:rPr>
      </w:pPr>
    </w:p>
    <w:p w14:paraId="3299ED35" w14:textId="77777777" w:rsidR="00561B22" w:rsidRPr="006A1296" w:rsidRDefault="00561B22" w:rsidP="00561B22">
      <w:pPr>
        <w:jc w:val="both"/>
        <w:rPr>
          <w:rFonts w:ascii="Arial" w:hAnsi="Arial" w:cs="Arial"/>
          <w:b/>
          <w:sz w:val="28"/>
          <w:szCs w:val="28"/>
          <w:lang w:val="es-MX"/>
        </w:rPr>
      </w:pPr>
      <w:r w:rsidRPr="006A1296">
        <w:rPr>
          <w:rFonts w:ascii="Arial" w:hAnsi="Arial" w:cs="Arial"/>
          <w:b/>
          <w:sz w:val="28"/>
          <w:szCs w:val="28"/>
          <w:lang w:val="es-MX"/>
        </w:rPr>
        <w:t>270.- UNIVERSIDAD DE LA AMAZONIA.</w:t>
      </w:r>
    </w:p>
    <w:p w14:paraId="562DD4E2" w14:textId="77777777" w:rsidR="00561B22" w:rsidRPr="006A1296" w:rsidRDefault="00561B22" w:rsidP="00561B22">
      <w:pPr>
        <w:pStyle w:val="Prrafodelista"/>
        <w:spacing w:before="92"/>
        <w:ind w:left="-142"/>
        <w:rPr>
          <w:rFonts w:ascii="Arial" w:hAnsi="Arial" w:cs="Arial"/>
          <w:b/>
          <w:sz w:val="24"/>
        </w:rPr>
      </w:pPr>
    </w:p>
    <w:p w14:paraId="374CB8A5" w14:textId="77777777" w:rsidR="00561B22" w:rsidRPr="006A1296" w:rsidRDefault="00561B22" w:rsidP="00561B22">
      <w:pPr>
        <w:pStyle w:val="Textoindependiente"/>
        <w:jc w:val="center"/>
        <w:rPr>
          <w:rFonts w:ascii="Arial" w:hAnsi="Arial" w:cs="Arial"/>
          <w:b/>
          <w:bCs/>
        </w:rPr>
      </w:pPr>
      <w:r w:rsidRPr="006A1296">
        <w:rPr>
          <w:rFonts w:ascii="Arial" w:hAnsi="Arial" w:cs="Arial"/>
          <w:b/>
          <w:bCs/>
        </w:rPr>
        <w:t>INFORME DE LA AUTOCALIFICACIÓN DEL SISTEMA DE CONTROL INTERNO CONTABLE:</w:t>
      </w:r>
    </w:p>
    <w:p w14:paraId="155463EA" w14:textId="77777777" w:rsidR="00561B22" w:rsidRPr="006A129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A1296" w14:paraId="1092B138" w14:textId="77777777" w:rsidTr="00F1223B">
        <w:tc>
          <w:tcPr>
            <w:tcW w:w="4981" w:type="dxa"/>
          </w:tcPr>
          <w:p w14:paraId="6189D6E8"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AUTOCALIFICACIÓN</w:t>
            </w:r>
          </w:p>
        </w:tc>
        <w:tc>
          <w:tcPr>
            <w:tcW w:w="4981" w:type="dxa"/>
          </w:tcPr>
          <w:p w14:paraId="00066664" w14:textId="77777777" w:rsidR="00561B22" w:rsidRPr="006A1296" w:rsidRDefault="00561B22" w:rsidP="00F1223B">
            <w:pPr>
              <w:jc w:val="center"/>
              <w:rPr>
                <w:rFonts w:ascii="Arial" w:hAnsi="Arial" w:cs="Arial"/>
                <w:b/>
                <w:sz w:val="22"/>
                <w:szCs w:val="22"/>
                <w:u w:val="single"/>
                <w:lang w:val="es-MX"/>
              </w:rPr>
            </w:pPr>
            <w:r w:rsidRPr="006A1296">
              <w:rPr>
                <w:rFonts w:ascii="Arial" w:hAnsi="Arial" w:cs="Arial"/>
                <w:b/>
                <w:sz w:val="22"/>
                <w:szCs w:val="22"/>
                <w:u w:val="single"/>
                <w:lang w:val="es-MX"/>
              </w:rPr>
              <w:t>4.75</w:t>
            </w:r>
          </w:p>
        </w:tc>
      </w:tr>
    </w:tbl>
    <w:p w14:paraId="66A56F3C" w14:textId="77777777" w:rsidR="00561B22" w:rsidRPr="006A1296" w:rsidRDefault="00561B22" w:rsidP="00561B22">
      <w:pPr>
        <w:pStyle w:val="Textoindependiente"/>
        <w:jc w:val="both"/>
        <w:rPr>
          <w:rFonts w:ascii="Arial" w:hAnsi="Arial" w:cs="Arial"/>
          <w:b/>
          <w:bCs/>
        </w:rPr>
      </w:pPr>
    </w:p>
    <w:p w14:paraId="73A939A3" w14:textId="77777777" w:rsidR="00561B22" w:rsidRPr="006A1296" w:rsidRDefault="00561B22" w:rsidP="00561B22">
      <w:pPr>
        <w:pStyle w:val="Textoindependiente"/>
        <w:jc w:val="both"/>
        <w:rPr>
          <w:rFonts w:ascii="Arial" w:hAnsi="Arial" w:cs="Arial"/>
          <w:b/>
          <w:bCs/>
        </w:rPr>
      </w:pPr>
      <w:r w:rsidRPr="006A1296">
        <w:rPr>
          <w:rFonts w:ascii="Arial" w:hAnsi="Arial" w:cs="Arial"/>
          <w:b/>
          <w:bCs/>
        </w:rPr>
        <w:t>Del informe enviado retomamos lo siguiente:</w:t>
      </w:r>
    </w:p>
    <w:p w14:paraId="3E151EF9" w14:textId="77777777" w:rsidR="00561B22" w:rsidRPr="006A129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A1296" w14:paraId="2DB41249" w14:textId="77777777" w:rsidTr="00F1223B">
        <w:tc>
          <w:tcPr>
            <w:tcW w:w="562" w:type="dxa"/>
          </w:tcPr>
          <w:p w14:paraId="4B51FA91"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N°</w:t>
            </w:r>
          </w:p>
        </w:tc>
        <w:tc>
          <w:tcPr>
            <w:tcW w:w="9400" w:type="dxa"/>
          </w:tcPr>
          <w:p w14:paraId="23066ACA"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DEBILIDADES</w:t>
            </w:r>
          </w:p>
          <w:p w14:paraId="483B8041" w14:textId="77777777" w:rsidR="00561B22" w:rsidRPr="006A1296" w:rsidRDefault="00561B22" w:rsidP="00F1223B">
            <w:pPr>
              <w:jc w:val="center"/>
              <w:rPr>
                <w:rFonts w:ascii="Arial" w:hAnsi="Arial" w:cs="Arial"/>
                <w:b/>
                <w:sz w:val="22"/>
                <w:szCs w:val="22"/>
                <w:lang w:val="es-MX"/>
              </w:rPr>
            </w:pPr>
          </w:p>
        </w:tc>
      </w:tr>
      <w:tr w:rsidR="00561B22" w:rsidRPr="006A1296" w14:paraId="4E0EB2E0" w14:textId="77777777" w:rsidTr="00F1223B">
        <w:tc>
          <w:tcPr>
            <w:tcW w:w="562" w:type="dxa"/>
          </w:tcPr>
          <w:p w14:paraId="702E37BC"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1</w:t>
            </w:r>
          </w:p>
        </w:tc>
        <w:tc>
          <w:tcPr>
            <w:tcW w:w="9400" w:type="dxa"/>
          </w:tcPr>
          <w:p w14:paraId="381D107F" w14:textId="77777777" w:rsidR="00561B22" w:rsidRPr="006A1296" w:rsidRDefault="00561B22" w:rsidP="00F1223B">
            <w:pPr>
              <w:jc w:val="both"/>
              <w:rPr>
                <w:rFonts w:ascii="Arial" w:hAnsi="Arial" w:cs="Arial"/>
                <w:bCs/>
                <w:sz w:val="22"/>
                <w:szCs w:val="22"/>
              </w:rPr>
            </w:pPr>
            <w:r w:rsidRPr="006A1296">
              <w:rPr>
                <w:rFonts w:ascii="Arial" w:hAnsi="Arial" w:cs="Arial"/>
                <w:bCs/>
                <w:sz w:val="22"/>
                <w:szCs w:val="22"/>
              </w:rPr>
              <w:t>No se evidenció para la vigencia 2024, dentro del plan institucional de capacitación el desarrollo de competencias y actualización permanente del personal involucrado en el proceso contable.</w:t>
            </w:r>
          </w:p>
        </w:tc>
      </w:tr>
      <w:tr w:rsidR="00561B22" w:rsidRPr="006A1296" w14:paraId="6823C7EA" w14:textId="77777777" w:rsidTr="00F1223B">
        <w:tc>
          <w:tcPr>
            <w:tcW w:w="562" w:type="dxa"/>
          </w:tcPr>
          <w:p w14:paraId="24F113F1"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2</w:t>
            </w:r>
          </w:p>
        </w:tc>
        <w:tc>
          <w:tcPr>
            <w:tcW w:w="9400" w:type="dxa"/>
          </w:tcPr>
          <w:p w14:paraId="4F96D2DA" w14:textId="77777777" w:rsidR="00561B22" w:rsidRPr="006A1296" w:rsidRDefault="00561B22" w:rsidP="00F1223B">
            <w:pPr>
              <w:jc w:val="both"/>
              <w:rPr>
                <w:rFonts w:ascii="Arial" w:hAnsi="Arial" w:cs="Arial"/>
                <w:bCs/>
                <w:sz w:val="22"/>
                <w:szCs w:val="22"/>
              </w:rPr>
            </w:pPr>
            <w:r w:rsidRPr="006A1296">
              <w:rPr>
                <w:rFonts w:ascii="Arial" w:hAnsi="Arial" w:cs="Arial"/>
                <w:bCs/>
                <w:sz w:val="22"/>
                <w:szCs w:val="22"/>
              </w:rPr>
              <w:t>No se evidenció un sistema de indicadores para analizar e interpretar la realidad financiera de la entidad en desarrollo del proceso contable.</w:t>
            </w:r>
          </w:p>
        </w:tc>
      </w:tr>
    </w:tbl>
    <w:p w14:paraId="3FB94A3A" w14:textId="77777777" w:rsidR="00561B22" w:rsidRPr="006A1296" w:rsidRDefault="00561B22" w:rsidP="00561B22">
      <w:pPr>
        <w:pStyle w:val="Textoindependiente"/>
        <w:jc w:val="both"/>
        <w:rPr>
          <w:rFonts w:ascii="Arial" w:hAnsi="Arial" w:cs="Arial"/>
          <w:b/>
          <w:bCs/>
        </w:rPr>
      </w:pPr>
    </w:p>
    <w:p w14:paraId="42617454" w14:textId="77777777" w:rsidR="00561B22" w:rsidRPr="006A1296" w:rsidRDefault="00561B22" w:rsidP="00561B22">
      <w:pPr>
        <w:jc w:val="both"/>
        <w:rPr>
          <w:rFonts w:ascii="Arial" w:hAnsi="Arial" w:cs="Arial"/>
          <w:b/>
          <w:lang w:val="es-MX"/>
        </w:rPr>
      </w:pPr>
      <w:r w:rsidRPr="006A1296">
        <w:rPr>
          <w:rFonts w:ascii="Arial" w:hAnsi="Arial" w:cs="Arial"/>
          <w:b/>
          <w:lang w:val="es-MX"/>
        </w:rPr>
        <w:t>Del citado informe retomamos las siguientes recomendaciones:</w:t>
      </w:r>
    </w:p>
    <w:p w14:paraId="2FB88B84" w14:textId="77777777" w:rsidR="00561B22" w:rsidRPr="006A1296"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A1296" w14:paraId="0C72C474" w14:textId="77777777" w:rsidTr="00F1223B">
        <w:tc>
          <w:tcPr>
            <w:tcW w:w="562" w:type="dxa"/>
          </w:tcPr>
          <w:p w14:paraId="55CD07FD"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N°</w:t>
            </w:r>
          </w:p>
        </w:tc>
        <w:tc>
          <w:tcPr>
            <w:tcW w:w="9400" w:type="dxa"/>
          </w:tcPr>
          <w:p w14:paraId="35B8683A"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RECOMENDACIONES</w:t>
            </w:r>
          </w:p>
          <w:p w14:paraId="7E834173" w14:textId="77777777" w:rsidR="00561B22" w:rsidRPr="006A1296" w:rsidRDefault="00561B22" w:rsidP="00F1223B">
            <w:pPr>
              <w:jc w:val="center"/>
              <w:rPr>
                <w:rFonts w:ascii="Arial" w:hAnsi="Arial" w:cs="Arial"/>
                <w:b/>
                <w:sz w:val="22"/>
                <w:szCs w:val="22"/>
                <w:lang w:val="es-MX"/>
              </w:rPr>
            </w:pPr>
          </w:p>
        </w:tc>
      </w:tr>
      <w:tr w:rsidR="00561B22" w:rsidRPr="006A1296" w14:paraId="4F6922D6" w14:textId="77777777" w:rsidTr="00F1223B">
        <w:tc>
          <w:tcPr>
            <w:tcW w:w="562" w:type="dxa"/>
          </w:tcPr>
          <w:p w14:paraId="29E74A5E"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1</w:t>
            </w:r>
          </w:p>
        </w:tc>
        <w:tc>
          <w:tcPr>
            <w:tcW w:w="9400" w:type="dxa"/>
          </w:tcPr>
          <w:p w14:paraId="291CC2C7" w14:textId="77777777" w:rsidR="00561B22" w:rsidRPr="006A1296" w:rsidRDefault="00561B22" w:rsidP="00F1223B">
            <w:pPr>
              <w:jc w:val="both"/>
              <w:rPr>
                <w:rFonts w:ascii="Arial" w:hAnsi="Arial" w:cs="Arial"/>
                <w:bCs/>
                <w:sz w:val="22"/>
                <w:szCs w:val="22"/>
                <w:lang w:val="es-MX"/>
              </w:rPr>
            </w:pPr>
            <w:r w:rsidRPr="006A1296">
              <w:rPr>
                <w:rFonts w:ascii="Arial" w:hAnsi="Arial" w:cs="Arial"/>
                <w:bCs/>
                <w:sz w:val="22"/>
                <w:szCs w:val="22"/>
                <w:lang w:val="es-MX"/>
              </w:rPr>
              <w:t>Es importante que se solicite la implementación total, para lograr en el menor tiempo posible la operatividad optima del software contable que se contrató para el proceso en la entidad, en razón a que a fecha de elaboración del informe está pendiente la conciliación entre almacén y contabilidad, debido a que almacén no ha realizado el informe por fallas en el sistema.</w:t>
            </w:r>
          </w:p>
        </w:tc>
      </w:tr>
      <w:tr w:rsidR="00561B22" w:rsidRPr="006A1296" w14:paraId="7DEDC157" w14:textId="77777777" w:rsidTr="00F1223B">
        <w:tc>
          <w:tcPr>
            <w:tcW w:w="562" w:type="dxa"/>
          </w:tcPr>
          <w:p w14:paraId="0F6A3DB8"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2</w:t>
            </w:r>
          </w:p>
        </w:tc>
        <w:tc>
          <w:tcPr>
            <w:tcW w:w="9400" w:type="dxa"/>
          </w:tcPr>
          <w:p w14:paraId="79CE6460" w14:textId="77777777" w:rsidR="00561B22" w:rsidRPr="006A1296" w:rsidRDefault="00561B22" w:rsidP="00F1223B">
            <w:pPr>
              <w:jc w:val="both"/>
              <w:rPr>
                <w:rFonts w:ascii="Arial" w:hAnsi="Arial" w:cs="Arial"/>
                <w:bCs/>
                <w:sz w:val="22"/>
                <w:szCs w:val="22"/>
                <w:lang w:val="es-MX"/>
              </w:rPr>
            </w:pPr>
            <w:r w:rsidRPr="006A1296">
              <w:rPr>
                <w:rFonts w:ascii="Arial" w:hAnsi="Arial" w:cs="Arial"/>
                <w:bCs/>
                <w:sz w:val="22"/>
                <w:szCs w:val="22"/>
                <w:lang w:val="es-MX"/>
              </w:rPr>
              <w:t>Se recomienda que dentro del plan de capacitaciones institucional quede incluida la capacitación a funcionarios que laboran en el proceso contable.</w:t>
            </w:r>
          </w:p>
        </w:tc>
      </w:tr>
      <w:tr w:rsidR="00561B22" w:rsidRPr="006A1296" w14:paraId="1C2F3AA5" w14:textId="77777777" w:rsidTr="00F1223B">
        <w:tc>
          <w:tcPr>
            <w:tcW w:w="562" w:type="dxa"/>
          </w:tcPr>
          <w:p w14:paraId="251F1A39" w14:textId="77777777" w:rsidR="00561B22" w:rsidRPr="006A1296" w:rsidRDefault="00561B22" w:rsidP="00F1223B">
            <w:pPr>
              <w:jc w:val="center"/>
              <w:rPr>
                <w:rFonts w:ascii="Arial" w:hAnsi="Arial" w:cs="Arial"/>
                <w:b/>
                <w:sz w:val="22"/>
                <w:szCs w:val="22"/>
                <w:lang w:val="es-MX"/>
              </w:rPr>
            </w:pPr>
            <w:r w:rsidRPr="006A1296">
              <w:rPr>
                <w:rFonts w:ascii="Arial" w:hAnsi="Arial" w:cs="Arial"/>
                <w:b/>
                <w:sz w:val="22"/>
                <w:szCs w:val="22"/>
                <w:lang w:val="es-MX"/>
              </w:rPr>
              <w:t>3</w:t>
            </w:r>
          </w:p>
        </w:tc>
        <w:tc>
          <w:tcPr>
            <w:tcW w:w="9400" w:type="dxa"/>
          </w:tcPr>
          <w:p w14:paraId="353DBAAC" w14:textId="77777777" w:rsidR="00561B22" w:rsidRPr="006A1296" w:rsidRDefault="00561B22" w:rsidP="00F1223B">
            <w:pPr>
              <w:jc w:val="both"/>
              <w:rPr>
                <w:rFonts w:ascii="Arial" w:hAnsi="Arial" w:cs="Arial"/>
                <w:bCs/>
                <w:sz w:val="22"/>
                <w:szCs w:val="22"/>
                <w:lang w:val="es-MX"/>
              </w:rPr>
            </w:pPr>
            <w:r w:rsidRPr="006A1296">
              <w:rPr>
                <w:rFonts w:ascii="Arial" w:hAnsi="Arial" w:cs="Arial"/>
                <w:bCs/>
                <w:sz w:val="22"/>
                <w:szCs w:val="22"/>
                <w:lang w:val="es-MX"/>
              </w:rPr>
              <w:t>Implementar y mantener actualizados los indicadores contables de manera que permitan analizar e interpretar la realidad financiera de la entidad.</w:t>
            </w:r>
          </w:p>
        </w:tc>
      </w:tr>
    </w:tbl>
    <w:p w14:paraId="5AE97D78" w14:textId="77777777" w:rsidR="00561B22" w:rsidRPr="006A1296" w:rsidRDefault="00561B22" w:rsidP="00561B22">
      <w:pPr>
        <w:pStyle w:val="Textoindependiente"/>
        <w:jc w:val="both"/>
        <w:rPr>
          <w:rFonts w:ascii="Arial" w:hAnsi="Arial" w:cs="Arial"/>
          <w:b/>
          <w:bCs/>
        </w:rPr>
      </w:pPr>
    </w:p>
    <w:p w14:paraId="4A7F40E8" w14:textId="77777777" w:rsidR="00561B22" w:rsidRPr="006A1296" w:rsidRDefault="00561B22" w:rsidP="00561B22">
      <w:pPr>
        <w:jc w:val="both"/>
        <w:rPr>
          <w:rFonts w:ascii="Arial" w:hAnsi="Arial" w:cs="Arial"/>
          <w:b/>
          <w:bCs/>
          <w:sz w:val="24"/>
          <w:szCs w:val="24"/>
          <w:lang w:val="es-CO"/>
        </w:rPr>
      </w:pPr>
      <w:r w:rsidRPr="006A1296">
        <w:rPr>
          <w:rFonts w:ascii="Arial" w:hAnsi="Arial" w:cs="Arial"/>
          <w:b/>
          <w:bCs/>
          <w:sz w:val="24"/>
          <w:szCs w:val="24"/>
          <w:lang w:val="es-CO"/>
        </w:rPr>
        <w:t xml:space="preserve">NOTA: LA ENTIDAD ENVIA LA MATRIZ DE AUTOEVALUACIÓN DEL SISTEMA DE CONTROL INTERNO CONTABLE CON ACTIVIDADES DE CONTROL </w:t>
      </w:r>
      <w:r w:rsidRPr="006A1296">
        <w:rPr>
          <w:rFonts w:ascii="Arial" w:hAnsi="Arial" w:cs="Arial"/>
          <w:b/>
          <w:bCs/>
          <w:sz w:val="24"/>
          <w:szCs w:val="24"/>
          <w:u w:val="single"/>
          <w:lang w:val="es-CO"/>
        </w:rPr>
        <w:t>QUE NO SE REALIZARON</w:t>
      </w:r>
      <w:r w:rsidRPr="006A1296">
        <w:rPr>
          <w:rFonts w:ascii="Arial" w:hAnsi="Arial" w:cs="Arial"/>
          <w:b/>
          <w:bCs/>
          <w:sz w:val="24"/>
          <w:szCs w:val="24"/>
          <w:lang w:val="es-CO"/>
        </w:rPr>
        <w:t>.</w:t>
      </w:r>
    </w:p>
    <w:p w14:paraId="0EE9D5BB" w14:textId="77777777" w:rsidR="00561B22" w:rsidRPr="006A1296" w:rsidRDefault="00561B22" w:rsidP="00561B22">
      <w:pPr>
        <w:jc w:val="both"/>
        <w:rPr>
          <w:rFonts w:ascii="Arial" w:hAnsi="Arial" w:cs="Arial"/>
          <w:b/>
          <w:bCs/>
          <w:sz w:val="24"/>
          <w:szCs w:val="24"/>
          <w:lang w:val="es-CO"/>
        </w:rPr>
      </w:pPr>
    </w:p>
    <w:p w14:paraId="3BB92B6B" w14:textId="77777777" w:rsidR="00561B22" w:rsidRPr="00E92B92" w:rsidRDefault="00561B22" w:rsidP="00561B22">
      <w:pPr>
        <w:jc w:val="both"/>
        <w:rPr>
          <w:rFonts w:ascii="Arial" w:hAnsi="Arial" w:cs="Arial"/>
          <w:b/>
          <w:sz w:val="28"/>
          <w:szCs w:val="28"/>
          <w:lang w:val="es-MX"/>
        </w:rPr>
      </w:pPr>
      <w:r w:rsidRPr="00E92B92">
        <w:rPr>
          <w:rFonts w:ascii="Arial" w:hAnsi="Arial" w:cs="Arial"/>
          <w:b/>
          <w:sz w:val="28"/>
          <w:szCs w:val="28"/>
          <w:lang w:val="es-MX"/>
        </w:rPr>
        <w:lastRenderedPageBreak/>
        <w:t>271.- COMISIÓN REGULADORA DE AGUA POTABLE Y SANEAMIENTO BÁSICO - CRA.</w:t>
      </w:r>
    </w:p>
    <w:p w14:paraId="49C38276" w14:textId="77777777" w:rsidR="00561B22" w:rsidRDefault="00561B22" w:rsidP="00561B22">
      <w:pPr>
        <w:jc w:val="both"/>
        <w:rPr>
          <w:rFonts w:ascii="Arial" w:hAnsi="Arial" w:cs="Arial"/>
          <w:b/>
          <w:bCs/>
          <w:sz w:val="24"/>
          <w:szCs w:val="24"/>
          <w:lang w:val="es-MX"/>
        </w:rPr>
      </w:pPr>
    </w:p>
    <w:p w14:paraId="6C70B37E" w14:textId="77777777" w:rsidR="00561B22" w:rsidRPr="00E92B92" w:rsidRDefault="00561B22" w:rsidP="00561B22">
      <w:pPr>
        <w:pStyle w:val="Textoindependiente"/>
        <w:ind w:right="-50"/>
        <w:jc w:val="center"/>
        <w:rPr>
          <w:rFonts w:ascii="Arial" w:hAnsi="Arial" w:cs="Arial"/>
          <w:b/>
          <w:bCs/>
        </w:rPr>
      </w:pPr>
      <w:r w:rsidRPr="00E92B92">
        <w:rPr>
          <w:rFonts w:ascii="Arial" w:hAnsi="Arial" w:cs="Arial"/>
          <w:b/>
          <w:bCs/>
        </w:rPr>
        <w:t>INFORME DE LA AUTOCALIFICACIÓN DEL SISTEMA DE CONTROL INTERNO CONTABLE:</w:t>
      </w:r>
    </w:p>
    <w:p w14:paraId="3AA2E5AE" w14:textId="77777777" w:rsidR="00561B22" w:rsidRPr="00E92B9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92B92" w14:paraId="5C95B973" w14:textId="77777777" w:rsidTr="00F1223B">
        <w:tc>
          <w:tcPr>
            <w:tcW w:w="4981" w:type="dxa"/>
          </w:tcPr>
          <w:p w14:paraId="16521643"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AUTOCALIFICACIÓN</w:t>
            </w:r>
          </w:p>
        </w:tc>
        <w:tc>
          <w:tcPr>
            <w:tcW w:w="4981" w:type="dxa"/>
          </w:tcPr>
          <w:p w14:paraId="662CB7D8" w14:textId="77777777" w:rsidR="00561B22" w:rsidRPr="00E92B92" w:rsidRDefault="00561B22" w:rsidP="00F1223B">
            <w:pPr>
              <w:jc w:val="center"/>
              <w:rPr>
                <w:rFonts w:ascii="Arial" w:hAnsi="Arial" w:cs="Arial"/>
                <w:b/>
                <w:sz w:val="22"/>
                <w:szCs w:val="22"/>
                <w:u w:val="single"/>
                <w:lang w:val="es-MX"/>
              </w:rPr>
            </w:pPr>
            <w:r w:rsidRPr="00E92B92">
              <w:rPr>
                <w:rFonts w:ascii="Arial" w:hAnsi="Arial" w:cs="Arial"/>
                <w:b/>
                <w:sz w:val="22"/>
                <w:szCs w:val="22"/>
                <w:u w:val="single"/>
                <w:lang w:val="es-MX"/>
              </w:rPr>
              <w:t>4.85</w:t>
            </w:r>
          </w:p>
        </w:tc>
      </w:tr>
    </w:tbl>
    <w:p w14:paraId="76F864C3" w14:textId="77777777" w:rsidR="00561B22" w:rsidRPr="00E92B92" w:rsidRDefault="00561B22" w:rsidP="00561B22">
      <w:pPr>
        <w:pStyle w:val="Textoindependiente"/>
        <w:ind w:right="-50"/>
        <w:jc w:val="both"/>
        <w:rPr>
          <w:rFonts w:ascii="Arial" w:hAnsi="Arial" w:cs="Arial"/>
          <w:b/>
          <w:bCs/>
        </w:rPr>
      </w:pPr>
    </w:p>
    <w:p w14:paraId="323E93F0" w14:textId="77777777" w:rsidR="00561B22" w:rsidRPr="00E92B92" w:rsidRDefault="00561B22" w:rsidP="00561B22">
      <w:pPr>
        <w:pStyle w:val="Textoindependiente"/>
        <w:ind w:right="-50"/>
        <w:jc w:val="both"/>
        <w:rPr>
          <w:rFonts w:ascii="Arial" w:hAnsi="Arial" w:cs="Arial"/>
          <w:b/>
          <w:bCs/>
        </w:rPr>
      </w:pPr>
      <w:r w:rsidRPr="00E92B92">
        <w:rPr>
          <w:rFonts w:ascii="Arial" w:hAnsi="Arial" w:cs="Arial"/>
          <w:b/>
          <w:bCs/>
        </w:rPr>
        <w:t>Del informe enviado retomamos lo siguiente:</w:t>
      </w:r>
    </w:p>
    <w:p w14:paraId="25BE24D9" w14:textId="77777777" w:rsidR="00561B22" w:rsidRPr="00E92B92"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92B92" w14:paraId="04B37EF4" w14:textId="77777777" w:rsidTr="00F1223B">
        <w:tc>
          <w:tcPr>
            <w:tcW w:w="562" w:type="dxa"/>
          </w:tcPr>
          <w:p w14:paraId="0A985753" w14:textId="77777777" w:rsidR="00561B22" w:rsidRPr="00E92B92" w:rsidRDefault="00561B22" w:rsidP="00F1223B">
            <w:pPr>
              <w:ind w:right="-109"/>
              <w:jc w:val="center"/>
              <w:rPr>
                <w:rFonts w:ascii="Arial" w:hAnsi="Arial" w:cs="Arial"/>
                <w:b/>
                <w:sz w:val="22"/>
                <w:szCs w:val="22"/>
                <w:lang w:val="es-MX"/>
              </w:rPr>
            </w:pPr>
            <w:r w:rsidRPr="00E92B92">
              <w:rPr>
                <w:rFonts w:ascii="Arial" w:hAnsi="Arial" w:cs="Arial"/>
                <w:b/>
                <w:sz w:val="22"/>
                <w:szCs w:val="22"/>
                <w:lang w:val="es-MX"/>
              </w:rPr>
              <w:t>N°</w:t>
            </w:r>
          </w:p>
        </w:tc>
        <w:tc>
          <w:tcPr>
            <w:tcW w:w="9400" w:type="dxa"/>
          </w:tcPr>
          <w:p w14:paraId="115AD15D"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DEBILIDADES</w:t>
            </w:r>
          </w:p>
          <w:p w14:paraId="641E97D4" w14:textId="77777777" w:rsidR="00561B22" w:rsidRPr="00E92B92" w:rsidRDefault="00561B22" w:rsidP="00F1223B">
            <w:pPr>
              <w:jc w:val="center"/>
              <w:rPr>
                <w:rFonts w:ascii="Arial" w:hAnsi="Arial" w:cs="Arial"/>
                <w:b/>
                <w:sz w:val="22"/>
                <w:szCs w:val="22"/>
                <w:lang w:val="es-MX"/>
              </w:rPr>
            </w:pPr>
          </w:p>
        </w:tc>
      </w:tr>
      <w:tr w:rsidR="00561B22" w:rsidRPr="00E92B92" w14:paraId="38A802BE" w14:textId="77777777" w:rsidTr="00F1223B">
        <w:tc>
          <w:tcPr>
            <w:tcW w:w="562" w:type="dxa"/>
          </w:tcPr>
          <w:p w14:paraId="751A0F6F"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1</w:t>
            </w:r>
          </w:p>
        </w:tc>
        <w:tc>
          <w:tcPr>
            <w:tcW w:w="9400" w:type="dxa"/>
          </w:tcPr>
          <w:p w14:paraId="03CF0964" w14:textId="77777777" w:rsidR="00561B22" w:rsidRPr="00E92B92" w:rsidRDefault="00561B22" w:rsidP="00F1223B">
            <w:pPr>
              <w:jc w:val="both"/>
              <w:rPr>
                <w:rFonts w:ascii="Arial" w:hAnsi="Arial" w:cs="Arial"/>
                <w:sz w:val="22"/>
                <w:szCs w:val="22"/>
                <w:lang w:val="es-CO"/>
              </w:rPr>
            </w:pPr>
            <w:r w:rsidRPr="00E92B92">
              <w:rPr>
                <w:rFonts w:ascii="Arial" w:hAnsi="Arial" w:cs="Arial"/>
                <w:sz w:val="22"/>
                <w:szCs w:val="22"/>
                <w:lang w:val="es-CO"/>
              </w:rPr>
              <w:t xml:space="preserve">En los informes presentados por la Unidad de Control Interno a la CGR a fecha 31 de diciembre del 2024, se evidenció que se dio cumplimiento parcial en subsanar las causas de tres hallazgos relacionados con la parte contable (6 02 01 del 2021; COH_10166 y COH_9912 de la vigencia 2022. Por lo anterior, se evidencia que el seguimiento o monitoreo de los planes de mejoramiento de la entidad a cargo de la primera y segunda línea de defensa de MIPG no es efectivo pues éste no se refleja en el cumplimiento íntegro de los planes de mejoramiento institucionales </w:t>
            </w:r>
          </w:p>
        </w:tc>
      </w:tr>
      <w:tr w:rsidR="00561B22" w:rsidRPr="00E92B92" w14:paraId="7BF23956" w14:textId="77777777" w:rsidTr="00F1223B">
        <w:tc>
          <w:tcPr>
            <w:tcW w:w="562" w:type="dxa"/>
          </w:tcPr>
          <w:p w14:paraId="207DFC75"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2</w:t>
            </w:r>
          </w:p>
        </w:tc>
        <w:tc>
          <w:tcPr>
            <w:tcW w:w="9400" w:type="dxa"/>
          </w:tcPr>
          <w:p w14:paraId="1C4AC848" w14:textId="77777777" w:rsidR="00561B22" w:rsidRPr="00E92B92" w:rsidRDefault="00561B22" w:rsidP="00F1223B">
            <w:pPr>
              <w:jc w:val="both"/>
              <w:rPr>
                <w:rFonts w:ascii="Arial" w:hAnsi="Arial" w:cs="Arial"/>
                <w:sz w:val="22"/>
                <w:szCs w:val="22"/>
                <w:lang w:val="es-CO"/>
              </w:rPr>
            </w:pPr>
            <w:r w:rsidRPr="00E92B92">
              <w:rPr>
                <w:rFonts w:ascii="Arial" w:hAnsi="Arial" w:cs="Arial"/>
                <w:sz w:val="22"/>
                <w:szCs w:val="22"/>
                <w:lang w:val="es-CO"/>
              </w:rPr>
              <w:t xml:space="preserve">La entidad realizó dos jornadas de Rendición de Cuentas el 26 de julio del 2024 y el día 29 de noviembre del 2024, en las cuales no se realizó la presentación de los estados financieros.  </w:t>
            </w:r>
          </w:p>
        </w:tc>
      </w:tr>
    </w:tbl>
    <w:p w14:paraId="168E8783" w14:textId="77777777" w:rsidR="00561B22" w:rsidRPr="00E92B92" w:rsidRDefault="00561B22" w:rsidP="00561B22">
      <w:pPr>
        <w:pStyle w:val="Textoindependiente"/>
        <w:ind w:right="-50"/>
        <w:jc w:val="both"/>
        <w:rPr>
          <w:rFonts w:ascii="Arial" w:hAnsi="Arial" w:cs="Arial"/>
          <w:b/>
          <w:bCs/>
        </w:rPr>
      </w:pPr>
    </w:p>
    <w:p w14:paraId="74F17C63" w14:textId="77777777" w:rsidR="00561B22" w:rsidRPr="00E92B92" w:rsidRDefault="00561B22" w:rsidP="00561B22">
      <w:pPr>
        <w:jc w:val="both"/>
        <w:rPr>
          <w:rFonts w:ascii="Arial" w:hAnsi="Arial" w:cs="Arial"/>
          <w:b/>
          <w:lang w:val="es-MX"/>
        </w:rPr>
      </w:pPr>
      <w:r w:rsidRPr="00E92B92">
        <w:rPr>
          <w:rFonts w:ascii="Arial" w:hAnsi="Arial" w:cs="Arial"/>
          <w:b/>
          <w:lang w:val="es-MX"/>
        </w:rPr>
        <w:t>Del citado informe retomamos las siguientes recomendaciones:</w:t>
      </w:r>
    </w:p>
    <w:p w14:paraId="6F3DCCF6" w14:textId="77777777" w:rsidR="00561B22" w:rsidRPr="00E92B92"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E92B92" w14:paraId="55319544" w14:textId="77777777" w:rsidTr="00F1223B">
        <w:tc>
          <w:tcPr>
            <w:tcW w:w="562" w:type="dxa"/>
          </w:tcPr>
          <w:p w14:paraId="30ECE1E5" w14:textId="77777777" w:rsidR="00561B22" w:rsidRPr="00E92B92" w:rsidRDefault="00561B22" w:rsidP="00F1223B">
            <w:pPr>
              <w:ind w:right="-109"/>
              <w:jc w:val="center"/>
              <w:rPr>
                <w:rFonts w:ascii="Arial" w:hAnsi="Arial" w:cs="Arial"/>
                <w:b/>
                <w:sz w:val="22"/>
                <w:szCs w:val="22"/>
                <w:lang w:val="es-MX"/>
              </w:rPr>
            </w:pPr>
            <w:r w:rsidRPr="00E92B92">
              <w:rPr>
                <w:rFonts w:ascii="Arial" w:hAnsi="Arial" w:cs="Arial"/>
                <w:b/>
                <w:sz w:val="22"/>
                <w:szCs w:val="22"/>
                <w:lang w:val="es-MX"/>
              </w:rPr>
              <w:t>N°</w:t>
            </w:r>
          </w:p>
        </w:tc>
        <w:tc>
          <w:tcPr>
            <w:tcW w:w="9400" w:type="dxa"/>
          </w:tcPr>
          <w:p w14:paraId="0AA2D0A8"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RECOMENDACIONES</w:t>
            </w:r>
          </w:p>
          <w:p w14:paraId="232B74EE" w14:textId="77777777" w:rsidR="00561B22" w:rsidRPr="00E92B92" w:rsidRDefault="00561B22" w:rsidP="00F1223B">
            <w:pPr>
              <w:jc w:val="center"/>
              <w:rPr>
                <w:rFonts w:ascii="Arial" w:hAnsi="Arial" w:cs="Arial"/>
                <w:b/>
                <w:sz w:val="22"/>
                <w:szCs w:val="22"/>
                <w:lang w:val="es-MX"/>
              </w:rPr>
            </w:pPr>
          </w:p>
        </w:tc>
      </w:tr>
      <w:tr w:rsidR="00561B22" w:rsidRPr="00E92B92" w14:paraId="5961199A" w14:textId="77777777" w:rsidTr="00F1223B">
        <w:tc>
          <w:tcPr>
            <w:tcW w:w="562" w:type="dxa"/>
          </w:tcPr>
          <w:p w14:paraId="6A38447E"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1</w:t>
            </w:r>
          </w:p>
        </w:tc>
        <w:tc>
          <w:tcPr>
            <w:tcW w:w="9400" w:type="dxa"/>
          </w:tcPr>
          <w:p w14:paraId="0BA87A1B" w14:textId="77777777" w:rsidR="00561B22" w:rsidRPr="00E92B92" w:rsidRDefault="00561B22" w:rsidP="00F1223B">
            <w:pPr>
              <w:jc w:val="both"/>
              <w:rPr>
                <w:rFonts w:ascii="Arial" w:hAnsi="Arial" w:cs="Arial"/>
                <w:sz w:val="22"/>
                <w:szCs w:val="22"/>
                <w:lang w:val="es-CO"/>
              </w:rPr>
            </w:pPr>
            <w:r w:rsidRPr="00E92B92">
              <w:rPr>
                <w:rFonts w:ascii="Arial" w:hAnsi="Arial" w:cs="Arial"/>
                <w:sz w:val="22"/>
                <w:szCs w:val="22"/>
                <w:lang w:val="es-CO"/>
              </w:rPr>
              <w:t>Finalizar los análisis y depuraciones de las cuentas contables 31127;138426; 249039001; 890590 y 8390, con el objeto de presentar información depurada en los estados financieros para dichas cuentas. Incluir en las jornadas de Rendición de Cuentas la presentación de los estados financieros</w:t>
            </w:r>
          </w:p>
        </w:tc>
      </w:tr>
      <w:tr w:rsidR="00561B22" w:rsidRPr="00E92B92" w14:paraId="03D56089" w14:textId="77777777" w:rsidTr="00F1223B">
        <w:tc>
          <w:tcPr>
            <w:tcW w:w="562" w:type="dxa"/>
          </w:tcPr>
          <w:p w14:paraId="7D2000D5" w14:textId="77777777" w:rsidR="00561B22" w:rsidRPr="00E92B92" w:rsidRDefault="00561B22" w:rsidP="00F1223B">
            <w:pPr>
              <w:jc w:val="center"/>
              <w:rPr>
                <w:rFonts w:ascii="Arial" w:hAnsi="Arial" w:cs="Arial"/>
                <w:b/>
                <w:sz w:val="22"/>
                <w:szCs w:val="22"/>
                <w:lang w:val="es-MX"/>
              </w:rPr>
            </w:pPr>
            <w:r w:rsidRPr="00E92B92">
              <w:rPr>
                <w:rFonts w:ascii="Arial" w:hAnsi="Arial" w:cs="Arial"/>
                <w:b/>
                <w:sz w:val="22"/>
                <w:szCs w:val="22"/>
                <w:lang w:val="es-MX"/>
              </w:rPr>
              <w:t>2</w:t>
            </w:r>
          </w:p>
        </w:tc>
        <w:tc>
          <w:tcPr>
            <w:tcW w:w="9400" w:type="dxa"/>
          </w:tcPr>
          <w:p w14:paraId="4FCCEE0E" w14:textId="77777777" w:rsidR="00561B22" w:rsidRPr="00E92B92" w:rsidRDefault="00561B22" w:rsidP="00F1223B">
            <w:pPr>
              <w:jc w:val="both"/>
              <w:rPr>
                <w:rFonts w:ascii="Arial" w:hAnsi="Arial" w:cs="Arial"/>
                <w:sz w:val="22"/>
                <w:szCs w:val="22"/>
                <w:lang w:val="es-CO"/>
              </w:rPr>
            </w:pPr>
            <w:r w:rsidRPr="00E92B92">
              <w:rPr>
                <w:rFonts w:ascii="Arial" w:hAnsi="Arial" w:cs="Arial"/>
                <w:sz w:val="22"/>
                <w:szCs w:val="22"/>
                <w:lang w:val="es-CO"/>
              </w:rPr>
              <w:t>Es necesario que la primera y segunda línea de defensa del MIPG alerten oportunamente a la administración de la entidad y al Comité Institucional de Gestión y Desempeño (CIGD), sobre eventos que afecten el cumplimiento de los planes de mejoramiento formulados por la entidad, para efectos de evitar el incumplimiento de los mismos.</w:t>
            </w:r>
          </w:p>
        </w:tc>
      </w:tr>
    </w:tbl>
    <w:p w14:paraId="2BE52C41" w14:textId="77777777" w:rsidR="00561B22" w:rsidRPr="00E92B92" w:rsidRDefault="00561B22" w:rsidP="00561B22">
      <w:pPr>
        <w:jc w:val="both"/>
        <w:rPr>
          <w:rFonts w:ascii="Arial" w:hAnsi="Arial" w:cs="Arial"/>
          <w:b/>
          <w:bCs/>
          <w:lang w:val="es-CO"/>
        </w:rPr>
      </w:pPr>
    </w:p>
    <w:p w14:paraId="11DF9434" w14:textId="77777777" w:rsidR="00561B22" w:rsidRPr="00E92B92" w:rsidRDefault="00561B22" w:rsidP="00561B22">
      <w:pPr>
        <w:jc w:val="both"/>
        <w:rPr>
          <w:rFonts w:ascii="Arial" w:hAnsi="Arial" w:cs="Arial"/>
          <w:b/>
          <w:bCs/>
          <w:sz w:val="24"/>
          <w:szCs w:val="24"/>
          <w:lang w:val="es-CO"/>
        </w:rPr>
      </w:pPr>
      <w:r w:rsidRPr="00E92B92">
        <w:rPr>
          <w:rFonts w:ascii="Arial" w:hAnsi="Arial" w:cs="Arial"/>
          <w:b/>
          <w:bCs/>
          <w:sz w:val="24"/>
          <w:szCs w:val="24"/>
          <w:lang w:val="es-CO"/>
        </w:rPr>
        <w:t xml:space="preserve">NOTA: LA ENTIDAD ENVIA LA MATRIZ DE AUTOEVALUACIÓN DEL SISTEMA DE CONTROL INTERNO CONTABLE CON ACTIVIDADES DE CONTROL REALIZADAS </w:t>
      </w:r>
      <w:r w:rsidRPr="00E92B92">
        <w:rPr>
          <w:rFonts w:ascii="Arial" w:hAnsi="Arial" w:cs="Arial"/>
          <w:b/>
          <w:bCs/>
          <w:sz w:val="24"/>
          <w:szCs w:val="24"/>
          <w:u w:val="single"/>
          <w:lang w:val="es-CO"/>
        </w:rPr>
        <w:t>EN FORMA PARCIAL Y OTRAS SIMPLEMENTE INFORMAN QUE NO SE REALIZARON</w:t>
      </w:r>
      <w:r w:rsidRPr="00E92B92">
        <w:rPr>
          <w:rFonts w:ascii="Arial" w:hAnsi="Arial" w:cs="Arial"/>
          <w:b/>
          <w:bCs/>
          <w:sz w:val="24"/>
          <w:szCs w:val="24"/>
          <w:lang w:val="es-CO"/>
        </w:rPr>
        <w:t>.</w:t>
      </w:r>
    </w:p>
    <w:p w14:paraId="49455985" w14:textId="77777777" w:rsidR="00561B22" w:rsidRDefault="00561B22" w:rsidP="00561B22">
      <w:pPr>
        <w:jc w:val="both"/>
        <w:rPr>
          <w:b/>
          <w:bCs/>
          <w:sz w:val="24"/>
          <w:szCs w:val="24"/>
          <w:lang w:val="es-CO"/>
        </w:rPr>
      </w:pPr>
    </w:p>
    <w:p w14:paraId="048819DD" w14:textId="77777777" w:rsidR="00561B22" w:rsidRPr="00F3105F" w:rsidRDefault="00561B22" w:rsidP="00561B22">
      <w:pPr>
        <w:jc w:val="both"/>
        <w:rPr>
          <w:rFonts w:ascii="Arial" w:hAnsi="Arial" w:cs="Arial"/>
          <w:b/>
          <w:sz w:val="28"/>
          <w:szCs w:val="28"/>
          <w:lang w:val="es-MX"/>
        </w:rPr>
      </w:pPr>
      <w:r w:rsidRPr="00F3105F">
        <w:rPr>
          <w:rFonts w:ascii="Arial" w:hAnsi="Arial" w:cs="Arial"/>
          <w:b/>
          <w:sz w:val="28"/>
          <w:szCs w:val="28"/>
          <w:lang w:val="es-MX"/>
        </w:rPr>
        <w:t>272.- CORPORACIÓN AUTÓNOMA REGIONAL DEL ATLÁNTICO - CRA.</w:t>
      </w:r>
    </w:p>
    <w:p w14:paraId="7454DEE4" w14:textId="77777777" w:rsidR="00561B22" w:rsidRDefault="00561B22" w:rsidP="00561B22">
      <w:pPr>
        <w:jc w:val="both"/>
        <w:rPr>
          <w:rFonts w:ascii="Arial" w:hAnsi="Arial" w:cs="Arial"/>
          <w:b/>
          <w:bCs/>
          <w:sz w:val="24"/>
          <w:szCs w:val="24"/>
          <w:lang w:val="es-MX"/>
        </w:rPr>
      </w:pPr>
    </w:p>
    <w:p w14:paraId="76F7C616" w14:textId="77777777" w:rsidR="00561B22" w:rsidRPr="008B65BD" w:rsidRDefault="00561B22" w:rsidP="00561B22">
      <w:pPr>
        <w:pStyle w:val="Textoindependiente"/>
        <w:jc w:val="center"/>
        <w:rPr>
          <w:rFonts w:ascii="Arial" w:hAnsi="Arial" w:cs="Arial"/>
          <w:b/>
          <w:bCs/>
        </w:rPr>
      </w:pPr>
      <w:r w:rsidRPr="008B65BD">
        <w:rPr>
          <w:rFonts w:ascii="Arial" w:hAnsi="Arial" w:cs="Arial"/>
          <w:b/>
          <w:bCs/>
        </w:rPr>
        <w:t>INFORME DE LA AUTOCALIFICACIÓN DEL SISTEMA DE CONTROL INTERNO CONTABLE:</w:t>
      </w:r>
    </w:p>
    <w:p w14:paraId="1A77448A" w14:textId="77777777" w:rsidR="00561B22" w:rsidRPr="008B65BD"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B65BD" w14:paraId="04981474" w14:textId="77777777" w:rsidTr="00F1223B">
        <w:tc>
          <w:tcPr>
            <w:tcW w:w="4981" w:type="dxa"/>
          </w:tcPr>
          <w:p w14:paraId="6C8D1010"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AUTOCALIFICACIÓN</w:t>
            </w:r>
          </w:p>
        </w:tc>
        <w:tc>
          <w:tcPr>
            <w:tcW w:w="4981" w:type="dxa"/>
          </w:tcPr>
          <w:p w14:paraId="7AAE1CE9" w14:textId="77777777" w:rsidR="00561B22" w:rsidRPr="008B65BD" w:rsidRDefault="00561B22" w:rsidP="00F1223B">
            <w:pPr>
              <w:jc w:val="center"/>
              <w:rPr>
                <w:rFonts w:ascii="Arial" w:hAnsi="Arial" w:cs="Arial"/>
                <w:b/>
                <w:sz w:val="22"/>
                <w:szCs w:val="22"/>
                <w:u w:val="single"/>
                <w:lang w:val="es-MX"/>
              </w:rPr>
            </w:pPr>
            <w:r w:rsidRPr="008B65BD">
              <w:rPr>
                <w:rFonts w:ascii="Arial" w:hAnsi="Arial" w:cs="Arial"/>
                <w:b/>
                <w:sz w:val="22"/>
                <w:szCs w:val="22"/>
                <w:u w:val="single"/>
                <w:lang w:val="es-MX"/>
              </w:rPr>
              <w:t>4.82</w:t>
            </w:r>
          </w:p>
        </w:tc>
      </w:tr>
    </w:tbl>
    <w:p w14:paraId="595558B7" w14:textId="77777777" w:rsidR="00561B22" w:rsidRPr="008B65BD" w:rsidRDefault="00561B22" w:rsidP="00561B22">
      <w:pPr>
        <w:pStyle w:val="Textoindependiente"/>
        <w:jc w:val="both"/>
        <w:rPr>
          <w:rFonts w:ascii="Arial" w:hAnsi="Arial" w:cs="Arial"/>
          <w:b/>
          <w:bCs/>
        </w:rPr>
      </w:pPr>
    </w:p>
    <w:p w14:paraId="3A39559F" w14:textId="77777777" w:rsidR="00561B22" w:rsidRPr="008B65BD" w:rsidRDefault="00561B22" w:rsidP="00561B22">
      <w:pPr>
        <w:pStyle w:val="Textoindependiente"/>
        <w:jc w:val="both"/>
        <w:rPr>
          <w:rFonts w:ascii="Arial" w:hAnsi="Arial" w:cs="Arial"/>
          <w:b/>
          <w:bCs/>
        </w:rPr>
      </w:pPr>
      <w:r w:rsidRPr="008B65BD">
        <w:rPr>
          <w:rFonts w:ascii="Arial" w:hAnsi="Arial" w:cs="Arial"/>
          <w:b/>
          <w:bCs/>
        </w:rPr>
        <w:t>Del informe enviado retomamos lo siguiente:</w:t>
      </w:r>
    </w:p>
    <w:p w14:paraId="4496993E" w14:textId="77777777" w:rsidR="00561B22" w:rsidRPr="008B65BD"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B65BD" w14:paraId="701626D2" w14:textId="77777777" w:rsidTr="00F1223B">
        <w:tc>
          <w:tcPr>
            <w:tcW w:w="562" w:type="dxa"/>
          </w:tcPr>
          <w:p w14:paraId="6081A940"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N°</w:t>
            </w:r>
          </w:p>
        </w:tc>
        <w:tc>
          <w:tcPr>
            <w:tcW w:w="9400" w:type="dxa"/>
          </w:tcPr>
          <w:p w14:paraId="6946F243"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DEBILIDADES</w:t>
            </w:r>
          </w:p>
          <w:p w14:paraId="61C8D166" w14:textId="77777777" w:rsidR="00561B22" w:rsidRPr="008B65BD" w:rsidRDefault="00561B22" w:rsidP="00F1223B">
            <w:pPr>
              <w:jc w:val="center"/>
              <w:rPr>
                <w:rFonts w:ascii="Arial" w:hAnsi="Arial" w:cs="Arial"/>
                <w:b/>
                <w:sz w:val="22"/>
                <w:szCs w:val="22"/>
                <w:lang w:val="es-MX"/>
              </w:rPr>
            </w:pPr>
          </w:p>
        </w:tc>
      </w:tr>
      <w:tr w:rsidR="00561B22" w:rsidRPr="008B65BD" w14:paraId="09FD511F" w14:textId="77777777" w:rsidTr="00F1223B">
        <w:tc>
          <w:tcPr>
            <w:tcW w:w="562" w:type="dxa"/>
          </w:tcPr>
          <w:p w14:paraId="1CDC2E4B"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1</w:t>
            </w:r>
          </w:p>
        </w:tc>
        <w:tc>
          <w:tcPr>
            <w:tcW w:w="9400" w:type="dxa"/>
          </w:tcPr>
          <w:p w14:paraId="45E8AB38" w14:textId="77777777" w:rsidR="00561B22" w:rsidRPr="008B65BD" w:rsidRDefault="00561B22" w:rsidP="00F1223B">
            <w:pPr>
              <w:jc w:val="both"/>
              <w:rPr>
                <w:rFonts w:ascii="Arial" w:hAnsi="Arial" w:cs="Arial"/>
                <w:bCs/>
                <w:sz w:val="22"/>
                <w:szCs w:val="22"/>
                <w:lang w:val="es-MX"/>
              </w:rPr>
            </w:pPr>
            <w:r w:rsidRPr="008B65BD">
              <w:rPr>
                <w:rFonts w:ascii="Arial" w:hAnsi="Arial" w:cs="Arial"/>
                <w:bCs/>
                <w:sz w:val="22"/>
                <w:szCs w:val="22"/>
                <w:lang w:val="es-MX"/>
              </w:rPr>
              <w:t>Actualmente se ha dado cumplimiento a las acciones de mejora propuestas y con ello se han dado atención a algunas debilidades que se habían identificado a través de las auditorías.</w:t>
            </w:r>
          </w:p>
        </w:tc>
      </w:tr>
    </w:tbl>
    <w:p w14:paraId="561DDA91" w14:textId="77777777" w:rsidR="00561B22" w:rsidRPr="008B65BD" w:rsidRDefault="00561B22" w:rsidP="00561B22">
      <w:pPr>
        <w:jc w:val="both"/>
        <w:rPr>
          <w:rFonts w:ascii="Arial" w:hAnsi="Arial" w:cs="Arial"/>
          <w:b/>
          <w:lang w:val="es-MX"/>
        </w:rPr>
      </w:pPr>
    </w:p>
    <w:p w14:paraId="5256D161" w14:textId="77777777" w:rsidR="00561B22" w:rsidRPr="008B65BD" w:rsidRDefault="00561B22" w:rsidP="00561B22">
      <w:pPr>
        <w:jc w:val="both"/>
        <w:rPr>
          <w:rFonts w:ascii="Arial" w:hAnsi="Arial" w:cs="Arial"/>
          <w:b/>
          <w:lang w:val="es-MX"/>
        </w:rPr>
      </w:pPr>
      <w:r w:rsidRPr="008B65BD">
        <w:rPr>
          <w:rFonts w:ascii="Arial" w:hAnsi="Arial" w:cs="Arial"/>
          <w:b/>
          <w:lang w:val="es-MX"/>
        </w:rPr>
        <w:lastRenderedPageBreak/>
        <w:t>Del citado informe retomamos las siguientes recomendaciones:</w:t>
      </w:r>
    </w:p>
    <w:p w14:paraId="67AB54DF" w14:textId="77777777" w:rsidR="00561B22" w:rsidRPr="008B65BD"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8B65BD" w14:paraId="451E92A4" w14:textId="77777777" w:rsidTr="00F1223B">
        <w:tc>
          <w:tcPr>
            <w:tcW w:w="562" w:type="dxa"/>
          </w:tcPr>
          <w:p w14:paraId="32E3D8A9"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N°</w:t>
            </w:r>
          </w:p>
        </w:tc>
        <w:tc>
          <w:tcPr>
            <w:tcW w:w="9400" w:type="dxa"/>
          </w:tcPr>
          <w:p w14:paraId="69FBA994"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RECOMENDACIONES</w:t>
            </w:r>
          </w:p>
          <w:p w14:paraId="76A578F7" w14:textId="77777777" w:rsidR="00561B22" w:rsidRPr="008B65BD" w:rsidRDefault="00561B22" w:rsidP="00F1223B">
            <w:pPr>
              <w:jc w:val="center"/>
              <w:rPr>
                <w:rFonts w:ascii="Arial" w:hAnsi="Arial" w:cs="Arial"/>
                <w:b/>
                <w:sz w:val="22"/>
                <w:szCs w:val="22"/>
                <w:lang w:val="es-MX"/>
              </w:rPr>
            </w:pPr>
          </w:p>
        </w:tc>
      </w:tr>
      <w:tr w:rsidR="00561B22" w:rsidRPr="008B65BD" w14:paraId="28E59004" w14:textId="77777777" w:rsidTr="00F1223B">
        <w:tc>
          <w:tcPr>
            <w:tcW w:w="562" w:type="dxa"/>
          </w:tcPr>
          <w:p w14:paraId="40EC819C" w14:textId="77777777" w:rsidR="00561B22" w:rsidRPr="008B65BD" w:rsidRDefault="00561B22" w:rsidP="00F1223B">
            <w:pPr>
              <w:jc w:val="center"/>
              <w:rPr>
                <w:rFonts w:ascii="Arial" w:hAnsi="Arial" w:cs="Arial"/>
                <w:b/>
                <w:sz w:val="22"/>
                <w:szCs w:val="22"/>
                <w:lang w:val="es-MX"/>
              </w:rPr>
            </w:pPr>
            <w:r w:rsidRPr="008B65BD">
              <w:rPr>
                <w:rFonts w:ascii="Arial" w:hAnsi="Arial" w:cs="Arial"/>
                <w:b/>
                <w:sz w:val="22"/>
                <w:szCs w:val="22"/>
                <w:lang w:val="es-MX"/>
              </w:rPr>
              <w:t>1</w:t>
            </w:r>
          </w:p>
        </w:tc>
        <w:tc>
          <w:tcPr>
            <w:tcW w:w="9400" w:type="dxa"/>
          </w:tcPr>
          <w:p w14:paraId="4C3503F4" w14:textId="77777777" w:rsidR="00561B22" w:rsidRPr="008B65BD" w:rsidRDefault="00561B22" w:rsidP="00F1223B">
            <w:pPr>
              <w:jc w:val="both"/>
              <w:rPr>
                <w:rFonts w:ascii="Arial" w:hAnsi="Arial" w:cs="Arial"/>
                <w:bCs/>
                <w:sz w:val="22"/>
                <w:szCs w:val="22"/>
                <w:lang w:val="es-MX"/>
              </w:rPr>
            </w:pPr>
            <w:r w:rsidRPr="008B65BD">
              <w:rPr>
                <w:rFonts w:ascii="Arial" w:hAnsi="Arial" w:cs="Arial"/>
                <w:bCs/>
                <w:sz w:val="22"/>
                <w:szCs w:val="22"/>
                <w:lang w:val="es-MX"/>
              </w:rPr>
              <w:t>La OCI sugiere al área financiera llevar a cabo las acciones tendientes a que la información contenida en los Estados Financieros, propicien a las partes interesadas una señal de transparencia, fidelidad y comprensibilidad, sobre los hechos económicos en que ha incurrido la entidad.</w:t>
            </w:r>
          </w:p>
        </w:tc>
      </w:tr>
    </w:tbl>
    <w:p w14:paraId="6DC2B62F" w14:textId="77777777" w:rsidR="001D36B9" w:rsidRDefault="001D36B9" w:rsidP="00561B22">
      <w:pPr>
        <w:jc w:val="both"/>
        <w:rPr>
          <w:rFonts w:ascii="Arial" w:hAnsi="Arial" w:cs="Arial"/>
          <w:b/>
          <w:bCs/>
          <w:sz w:val="24"/>
          <w:szCs w:val="24"/>
          <w:lang w:val="es-CO"/>
        </w:rPr>
      </w:pPr>
    </w:p>
    <w:p w14:paraId="09D2C445" w14:textId="53D000FC" w:rsidR="00561B22" w:rsidRDefault="00561B22" w:rsidP="00561B22">
      <w:pPr>
        <w:jc w:val="both"/>
        <w:rPr>
          <w:rFonts w:ascii="Arial" w:hAnsi="Arial" w:cs="Arial"/>
          <w:b/>
          <w:bCs/>
          <w:sz w:val="24"/>
          <w:szCs w:val="24"/>
          <w:lang w:val="es-CO"/>
        </w:rPr>
      </w:pPr>
      <w:r w:rsidRPr="008B65BD">
        <w:rPr>
          <w:rFonts w:ascii="Arial" w:hAnsi="Arial" w:cs="Arial"/>
          <w:b/>
          <w:bCs/>
          <w:sz w:val="24"/>
          <w:szCs w:val="24"/>
          <w:lang w:val="es-CO"/>
        </w:rPr>
        <w:t xml:space="preserve">NOTA: LA ENTIDAD ENVIA LA MATRIZ DE AUTOEVALUACIÓN DEL SISTEMA DE CONTROL INTERNO CONTABLE CON </w:t>
      </w:r>
      <w:r w:rsidRPr="008B65BD">
        <w:rPr>
          <w:rFonts w:ascii="Arial" w:hAnsi="Arial" w:cs="Arial"/>
          <w:b/>
          <w:bCs/>
          <w:sz w:val="24"/>
          <w:szCs w:val="24"/>
          <w:u w:val="single"/>
          <w:lang w:val="es-CO"/>
        </w:rPr>
        <w:t>ACTIVIDADES DE CONTROL REALIZADAS EN FORMA PARCIAL</w:t>
      </w:r>
      <w:r w:rsidRPr="008B65BD">
        <w:rPr>
          <w:rFonts w:ascii="Arial" w:hAnsi="Arial" w:cs="Arial"/>
          <w:b/>
          <w:bCs/>
          <w:sz w:val="24"/>
          <w:szCs w:val="24"/>
          <w:lang w:val="es-CO"/>
        </w:rPr>
        <w:t>.</w:t>
      </w:r>
    </w:p>
    <w:p w14:paraId="75C0443C" w14:textId="77777777" w:rsidR="00561B22" w:rsidRDefault="00561B22" w:rsidP="00561B22">
      <w:pPr>
        <w:jc w:val="both"/>
        <w:rPr>
          <w:rFonts w:ascii="Arial" w:hAnsi="Arial" w:cs="Arial"/>
          <w:b/>
          <w:bCs/>
          <w:sz w:val="24"/>
          <w:szCs w:val="24"/>
          <w:lang w:val="es-CO"/>
        </w:rPr>
      </w:pPr>
    </w:p>
    <w:p w14:paraId="6C06A256" w14:textId="77777777" w:rsidR="00561B22" w:rsidRPr="001A2520" w:rsidRDefault="00561B22" w:rsidP="00561B22">
      <w:pPr>
        <w:jc w:val="both"/>
        <w:rPr>
          <w:rFonts w:ascii="Arial" w:hAnsi="Arial" w:cs="Arial"/>
          <w:b/>
          <w:sz w:val="28"/>
          <w:szCs w:val="28"/>
          <w:lang w:val="es-MX"/>
        </w:rPr>
      </w:pPr>
      <w:r w:rsidRPr="001A2520">
        <w:rPr>
          <w:rFonts w:ascii="Arial" w:hAnsi="Arial" w:cs="Arial"/>
          <w:b/>
          <w:sz w:val="28"/>
          <w:szCs w:val="28"/>
          <w:lang w:val="es-MX"/>
        </w:rPr>
        <w:t>273.- FISCALÍA GENERAL DE LA NACIÓN.</w:t>
      </w:r>
    </w:p>
    <w:p w14:paraId="558EB6DA" w14:textId="77777777" w:rsidR="00561B22" w:rsidRDefault="00561B22" w:rsidP="00561B22">
      <w:pPr>
        <w:jc w:val="both"/>
        <w:rPr>
          <w:rFonts w:ascii="Arial" w:hAnsi="Arial" w:cs="Arial"/>
          <w:b/>
          <w:bCs/>
          <w:sz w:val="24"/>
          <w:szCs w:val="24"/>
          <w:lang w:val="es-MX"/>
        </w:rPr>
      </w:pPr>
    </w:p>
    <w:p w14:paraId="5F099B8A" w14:textId="77777777" w:rsidR="00561B22" w:rsidRPr="00633F19" w:rsidRDefault="00561B22" w:rsidP="00561B22">
      <w:pPr>
        <w:pStyle w:val="Textoindependiente"/>
        <w:jc w:val="center"/>
        <w:rPr>
          <w:rFonts w:ascii="Arial" w:hAnsi="Arial" w:cs="Arial"/>
          <w:b/>
          <w:bCs/>
        </w:rPr>
      </w:pPr>
      <w:r w:rsidRPr="00633F19">
        <w:rPr>
          <w:rFonts w:ascii="Arial" w:hAnsi="Arial" w:cs="Arial"/>
          <w:b/>
          <w:bCs/>
        </w:rPr>
        <w:t>INFORME DE LA AUTOCALIFICACIÓN DEL SISTEMA DE CONTROL INTERNO CONTABLE:</w:t>
      </w:r>
    </w:p>
    <w:p w14:paraId="0EA0EEE1" w14:textId="77777777" w:rsidR="00561B22" w:rsidRPr="00633F1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33F19" w14:paraId="3E96E725" w14:textId="77777777" w:rsidTr="00F1223B">
        <w:tc>
          <w:tcPr>
            <w:tcW w:w="4981" w:type="dxa"/>
          </w:tcPr>
          <w:p w14:paraId="4EF8D6E0"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AUTOCALIFICACIÓN</w:t>
            </w:r>
          </w:p>
        </w:tc>
        <w:tc>
          <w:tcPr>
            <w:tcW w:w="4981" w:type="dxa"/>
          </w:tcPr>
          <w:p w14:paraId="3B581E80" w14:textId="77777777" w:rsidR="00561B22" w:rsidRPr="00633F19" w:rsidRDefault="00561B22" w:rsidP="00F1223B">
            <w:pPr>
              <w:jc w:val="center"/>
              <w:rPr>
                <w:rFonts w:ascii="Arial" w:hAnsi="Arial" w:cs="Arial"/>
                <w:b/>
                <w:sz w:val="22"/>
                <w:szCs w:val="22"/>
                <w:u w:val="single"/>
                <w:lang w:val="es-MX"/>
              </w:rPr>
            </w:pPr>
            <w:r w:rsidRPr="00633F19">
              <w:rPr>
                <w:rFonts w:ascii="Arial" w:hAnsi="Arial" w:cs="Arial"/>
                <w:b/>
                <w:sz w:val="22"/>
                <w:szCs w:val="22"/>
                <w:u w:val="single"/>
                <w:lang w:val="es-MX"/>
              </w:rPr>
              <w:t>4.89</w:t>
            </w:r>
          </w:p>
        </w:tc>
      </w:tr>
    </w:tbl>
    <w:p w14:paraId="3E2E5DB1" w14:textId="77777777" w:rsidR="00561B22" w:rsidRPr="00633F19" w:rsidRDefault="00561B22" w:rsidP="00561B22">
      <w:pPr>
        <w:pStyle w:val="Textoindependiente"/>
        <w:jc w:val="both"/>
        <w:rPr>
          <w:rFonts w:ascii="Arial" w:hAnsi="Arial" w:cs="Arial"/>
          <w:b/>
          <w:bCs/>
        </w:rPr>
      </w:pPr>
    </w:p>
    <w:p w14:paraId="13CD34AF" w14:textId="77777777" w:rsidR="00561B22" w:rsidRPr="00633F19" w:rsidRDefault="00561B22" w:rsidP="00561B22">
      <w:pPr>
        <w:pStyle w:val="Textoindependiente"/>
        <w:jc w:val="both"/>
        <w:rPr>
          <w:rFonts w:ascii="Arial" w:hAnsi="Arial" w:cs="Arial"/>
          <w:b/>
          <w:bCs/>
        </w:rPr>
      </w:pPr>
      <w:r w:rsidRPr="00633F19">
        <w:rPr>
          <w:rFonts w:ascii="Arial" w:hAnsi="Arial" w:cs="Arial"/>
          <w:b/>
          <w:bCs/>
        </w:rPr>
        <w:t>Del informe enviado retomamos lo siguiente:</w:t>
      </w:r>
    </w:p>
    <w:p w14:paraId="426AC7D5" w14:textId="77777777" w:rsidR="00561B22" w:rsidRPr="00633F1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33F19" w14:paraId="047DBAEE" w14:textId="77777777" w:rsidTr="00F1223B">
        <w:tc>
          <w:tcPr>
            <w:tcW w:w="562" w:type="dxa"/>
          </w:tcPr>
          <w:p w14:paraId="1581214E"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N°</w:t>
            </w:r>
          </w:p>
        </w:tc>
        <w:tc>
          <w:tcPr>
            <w:tcW w:w="9400" w:type="dxa"/>
          </w:tcPr>
          <w:p w14:paraId="15E76888"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DEBILIDADES</w:t>
            </w:r>
          </w:p>
          <w:p w14:paraId="69A1EFE9" w14:textId="77777777" w:rsidR="00561B22" w:rsidRPr="00633F19" w:rsidRDefault="00561B22" w:rsidP="00F1223B">
            <w:pPr>
              <w:jc w:val="center"/>
              <w:rPr>
                <w:rFonts w:ascii="Arial" w:hAnsi="Arial" w:cs="Arial"/>
                <w:b/>
                <w:sz w:val="22"/>
                <w:szCs w:val="22"/>
                <w:lang w:val="es-MX"/>
              </w:rPr>
            </w:pPr>
          </w:p>
        </w:tc>
      </w:tr>
      <w:tr w:rsidR="00561B22" w:rsidRPr="00633F19" w14:paraId="4E2E40EE" w14:textId="77777777" w:rsidTr="00F1223B">
        <w:tc>
          <w:tcPr>
            <w:tcW w:w="562" w:type="dxa"/>
          </w:tcPr>
          <w:p w14:paraId="6678E48C"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1</w:t>
            </w:r>
          </w:p>
        </w:tc>
        <w:tc>
          <w:tcPr>
            <w:tcW w:w="9400" w:type="dxa"/>
          </w:tcPr>
          <w:p w14:paraId="46E4AF84"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En la individualización de los bienes físicos ya que no se logró realizar el autoinventario al cien por ciento de los inventarios individuales reportado por los servidores, al igual que el de propiedad, planta y equipo (PPYE) al servicio.</w:t>
            </w:r>
          </w:p>
        </w:tc>
      </w:tr>
      <w:tr w:rsidR="00561B22" w:rsidRPr="00633F19" w14:paraId="13EE9C6B" w14:textId="77777777" w:rsidTr="00F1223B">
        <w:tc>
          <w:tcPr>
            <w:tcW w:w="562" w:type="dxa"/>
          </w:tcPr>
          <w:p w14:paraId="5F7DCC77"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2</w:t>
            </w:r>
          </w:p>
        </w:tc>
        <w:tc>
          <w:tcPr>
            <w:tcW w:w="9400" w:type="dxa"/>
          </w:tcPr>
          <w:p w14:paraId="7819E18B"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Para la vigencia 2024, continúan las limitaciones para realizar los ajustes correspondientes a los bienes totalmente depreciados. Así las cosas, las debilidades y obsolescencia del programa SIAF, afectan la actualización oportuna de la propiedad planta y equipo y los hechos económicos para su medición posterior.</w:t>
            </w:r>
          </w:p>
        </w:tc>
      </w:tr>
      <w:tr w:rsidR="00561B22" w:rsidRPr="00633F19" w14:paraId="4A608CDF" w14:textId="77777777" w:rsidTr="00F1223B">
        <w:tc>
          <w:tcPr>
            <w:tcW w:w="562" w:type="dxa"/>
          </w:tcPr>
          <w:p w14:paraId="43F35F5B"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3</w:t>
            </w:r>
          </w:p>
        </w:tc>
        <w:tc>
          <w:tcPr>
            <w:tcW w:w="9400" w:type="dxa"/>
          </w:tcPr>
          <w:p w14:paraId="6A9DFF85"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Se evidenció que 9 servidores del nivel central, retirados en el segundo semestre 2024 de la entidad continuaban con inventario de bienes devolutivos a su cargo y sin presentación del respectivo paz y salvo, afectando la individualización de los bienes y la medición posterior, dentro del proceso contable</w:t>
            </w:r>
          </w:p>
        </w:tc>
      </w:tr>
      <w:tr w:rsidR="00561B22" w:rsidRPr="00633F19" w14:paraId="1BE38EB4" w14:textId="77777777" w:rsidTr="00F1223B">
        <w:tc>
          <w:tcPr>
            <w:tcW w:w="562" w:type="dxa"/>
          </w:tcPr>
          <w:p w14:paraId="75093501"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4</w:t>
            </w:r>
          </w:p>
        </w:tc>
        <w:tc>
          <w:tcPr>
            <w:tcW w:w="9400" w:type="dxa"/>
          </w:tcPr>
          <w:p w14:paraId="7D435A13"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No ha identificado otros riesgos de índole contable toda vez que no se han establecido controles que permitan mitigar, prevenir o neutralizar la ocurrencia de hechos que puedan afectar la confiabilidad de la información, como en el caso de los bienes devolutivos no devueltos por los servidores retirados de la entidad.</w:t>
            </w:r>
          </w:p>
        </w:tc>
      </w:tr>
    </w:tbl>
    <w:p w14:paraId="03E6565A" w14:textId="77777777" w:rsidR="00561B22" w:rsidRPr="00633F19" w:rsidRDefault="00561B22" w:rsidP="00561B22">
      <w:pPr>
        <w:pStyle w:val="Textoindependiente"/>
        <w:jc w:val="both"/>
        <w:rPr>
          <w:rFonts w:ascii="Arial" w:hAnsi="Arial" w:cs="Arial"/>
          <w:b/>
          <w:bCs/>
        </w:rPr>
      </w:pPr>
    </w:p>
    <w:p w14:paraId="368B6EB2" w14:textId="77777777" w:rsidR="00561B22" w:rsidRPr="00633F19" w:rsidRDefault="00561B22" w:rsidP="00561B22">
      <w:pPr>
        <w:jc w:val="both"/>
        <w:rPr>
          <w:rFonts w:ascii="Arial" w:hAnsi="Arial" w:cs="Arial"/>
          <w:b/>
          <w:lang w:val="es-MX"/>
        </w:rPr>
      </w:pPr>
      <w:r w:rsidRPr="00633F19">
        <w:rPr>
          <w:rFonts w:ascii="Arial" w:hAnsi="Arial" w:cs="Arial"/>
          <w:b/>
          <w:lang w:val="es-MX"/>
        </w:rPr>
        <w:t>Del citado informe retomamos las siguientes recomendaciones:</w:t>
      </w:r>
    </w:p>
    <w:p w14:paraId="1E227EC1" w14:textId="77777777" w:rsidR="00561B22" w:rsidRPr="00633F19"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33F19" w14:paraId="4A0D1815" w14:textId="77777777" w:rsidTr="00F1223B">
        <w:tc>
          <w:tcPr>
            <w:tcW w:w="562" w:type="dxa"/>
          </w:tcPr>
          <w:p w14:paraId="2C656EA8"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N°</w:t>
            </w:r>
          </w:p>
        </w:tc>
        <w:tc>
          <w:tcPr>
            <w:tcW w:w="9400" w:type="dxa"/>
          </w:tcPr>
          <w:p w14:paraId="4A52F3E1"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RECOMENDACIONES</w:t>
            </w:r>
          </w:p>
          <w:p w14:paraId="6B62D833" w14:textId="77777777" w:rsidR="00561B22" w:rsidRPr="00633F19" w:rsidRDefault="00561B22" w:rsidP="00F1223B">
            <w:pPr>
              <w:jc w:val="center"/>
              <w:rPr>
                <w:rFonts w:ascii="Arial" w:hAnsi="Arial" w:cs="Arial"/>
                <w:b/>
                <w:sz w:val="22"/>
                <w:szCs w:val="22"/>
                <w:lang w:val="es-MX"/>
              </w:rPr>
            </w:pPr>
          </w:p>
        </w:tc>
      </w:tr>
      <w:tr w:rsidR="00561B22" w:rsidRPr="00633F19" w14:paraId="1ACCE093" w14:textId="77777777" w:rsidTr="00F1223B">
        <w:tc>
          <w:tcPr>
            <w:tcW w:w="562" w:type="dxa"/>
          </w:tcPr>
          <w:p w14:paraId="7361CBB2"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1</w:t>
            </w:r>
          </w:p>
        </w:tc>
        <w:tc>
          <w:tcPr>
            <w:tcW w:w="9400" w:type="dxa"/>
          </w:tcPr>
          <w:p w14:paraId="09D0655A"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 xml:space="preserve">Incentivar la cultura de autocontrol y autoevaluación entre los servidores de la entidad por parte de la Dirección Ejecutiva en específico en la subdirección de bienes en lo relacionado con la verificación de los bienes físicos a través del mecanismo de autorreporte de inventarios individuales para mejorar el proceso de individualización, conforme a la política contable aplicable por la entidad. </w:t>
            </w:r>
          </w:p>
        </w:tc>
      </w:tr>
      <w:tr w:rsidR="00561B22" w:rsidRPr="00633F19" w14:paraId="78F97FD6" w14:textId="77777777" w:rsidTr="00F1223B">
        <w:tc>
          <w:tcPr>
            <w:tcW w:w="562" w:type="dxa"/>
          </w:tcPr>
          <w:p w14:paraId="40D027B1"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2</w:t>
            </w:r>
          </w:p>
        </w:tc>
        <w:tc>
          <w:tcPr>
            <w:tcW w:w="9400" w:type="dxa"/>
          </w:tcPr>
          <w:p w14:paraId="0C8F854D"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Apoyar por parte de la Dirección Ejecutiva (Subdirecciones financiera y Tics) la gestión de implementación del nuevo sistema para subdirección de bienes, que permita mejorar la evaluación posterior por deterioro o valorización de bienes superiores a 100 UVT.</w:t>
            </w:r>
          </w:p>
        </w:tc>
      </w:tr>
      <w:tr w:rsidR="00561B22" w:rsidRPr="00633F19" w14:paraId="7401A42D" w14:textId="77777777" w:rsidTr="00F1223B">
        <w:tc>
          <w:tcPr>
            <w:tcW w:w="562" w:type="dxa"/>
          </w:tcPr>
          <w:p w14:paraId="16AA1CAC"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lastRenderedPageBreak/>
              <w:t>3</w:t>
            </w:r>
          </w:p>
        </w:tc>
        <w:tc>
          <w:tcPr>
            <w:tcW w:w="9400" w:type="dxa"/>
          </w:tcPr>
          <w:p w14:paraId="171AA391"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Monitorear por parte de la Dirección Ejecutiva y en especial por la Subdirección de bienes la efectividad y los controles establecidos en la resolución 1166 de 2021 - reglamento interno para uso, conservación, salvaguarda y control de los bienes patrimoniales y transitorios, en especial el capítulo II Obligaciones y controles para el uso, conservación y salvaguarda de los bienes y el capítulo VI controles de los bienes devolutivos al servicio.</w:t>
            </w:r>
          </w:p>
        </w:tc>
      </w:tr>
      <w:tr w:rsidR="00561B22" w:rsidRPr="00633F19" w14:paraId="2B83BAAC" w14:textId="77777777" w:rsidTr="00F1223B">
        <w:tc>
          <w:tcPr>
            <w:tcW w:w="562" w:type="dxa"/>
          </w:tcPr>
          <w:p w14:paraId="7E043C85" w14:textId="77777777" w:rsidR="00561B22" w:rsidRPr="00633F19" w:rsidRDefault="00561B22" w:rsidP="00F1223B">
            <w:pPr>
              <w:jc w:val="center"/>
              <w:rPr>
                <w:rFonts w:ascii="Arial" w:hAnsi="Arial" w:cs="Arial"/>
                <w:b/>
                <w:sz w:val="22"/>
                <w:szCs w:val="22"/>
                <w:lang w:val="es-MX"/>
              </w:rPr>
            </w:pPr>
            <w:r w:rsidRPr="00633F19">
              <w:rPr>
                <w:rFonts w:ascii="Arial" w:hAnsi="Arial" w:cs="Arial"/>
                <w:b/>
                <w:sz w:val="22"/>
                <w:szCs w:val="22"/>
                <w:lang w:val="es-MX"/>
              </w:rPr>
              <w:t>4</w:t>
            </w:r>
          </w:p>
        </w:tc>
        <w:tc>
          <w:tcPr>
            <w:tcW w:w="9400" w:type="dxa"/>
          </w:tcPr>
          <w:p w14:paraId="0392A2FF" w14:textId="77777777" w:rsidR="00561B22" w:rsidRPr="00633F19" w:rsidRDefault="00561B22" w:rsidP="00F1223B">
            <w:pPr>
              <w:jc w:val="both"/>
              <w:rPr>
                <w:rFonts w:ascii="Arial" w:hAnsi="Arial" w:cs="Arial"/>
                <w:bCs/>
                <w:sz w:val="22"/>
                <w:szCs w:val="22"/>
                <w:lang w:val="es-MX"/>
              </w:rPr>
            </w:pPr>
            <w:r w:rsidRPr="00633F19">
              <w:rPr>
                <w:rFonts w:ascii="Arial" w:hAnsi="Arial" w:cs="Arial"/>
                <w:bCs/>
                <w:sz w:val="22"/>
                <w:szCs w:val="22"/>
                <w:lang w:val="es-MX"/>
              </w:rPr>
              <w:t>Socializar por parte de la Dirección Ejecutiva y en específico por las subdirecciones de talento humano y de bienes, a todos los servidores de la entidad, las directrices para el tratamiento de los bienes devolutivos que siguen asignados en el SIAF a funcionarios retirados por situaciones por parte de la subdirección financiera acciones para identificar, analizar y gestionar otros riesgos de índole contable, que puedan afectar el proceso contable.</w:t>
            </w:r>
          </w:p>
        </w:tc>
      </w:tr>
    </w:tbl>
    <w:p w14:paraId="779D2E80" w14:textId="77777777" w:rsidR="00561B22" w:rsidRPr="00633F19" w:rsidRDefault="00561B22" w:rsidP="00561B22">
      <w:pPr>
        <w:pStyle w:val="Textoindependiente"/>
        <w:jc w:val="both"/>
        <w:rPr>
          <w:rFonts w:ascii="Arial" w:hAnsi="Arial" w:cs="Arial"/>
          <w:b/>
          <w:bCs/>
          <w:sz w:val="28"/>
          <w:szCs w:val="28"/>
        </w:rPr>
      </w:pPr>
    </w:p>
    <w:p w14:paraId="640DD26B" w14:textId="77777777" w:rsidR="00561B22" w:rsidRPr="00633F19" w:rsidRDefault="00561B22" w:rsidP="00561B22">
      <w:pPr>
        <w:jc w:val="both"/>
        <w:rPr>
          <w:rFonts w:ascii="Arial" w:hAnsi="Arial" w:cs="Arial"/>
          <w:b/>
          <w:bCs/>
          <w:sz w:val="24"/>
          <w:szCs w:val="24"/>
          <w:lang w:val="es-CO"/>
        </w:rPr>
      </w:pPr>
      <w:r w:rsidRPr="00633F19">
        <w:rPr>
          <w:rFonts w:ascii="Arial" w:hAnsi="Arial" w:cs="Arial"/>
          <w:b/>
          <w:bCs/>
          <w:sz w:val="24"/>
          <w:szCs w:val="24"/>
          <w:lang w:val="es-CO"/>
        </w:rPr>
        <w:t xml:space="preserve">NOTA: LA ENTIDAD ENVIA LA MATRIZ DE AUTOEVALUACIÓN DEL SISTEMA DE CONTROL INTERNO CONTABLE CON </w:t>
      </w:r>
      <w:r w:rsidRPr="00633F19">
        <w:rPr>
          <w:rFonts w:ascii="Arial" w:hAnsi="Arial" w:cs="Arial"/>
          <w:b/>
          <w:bCs/>
          <w:sz w:val="24"/>
          <w:szCs w:val="24"/>
          <w:u w:val="single"/>
          <w:lang w:val="es-CO"/>
        </w:rPr>
        <w:t>ACTIVIDADES DE CONTROL REALIZADAS EN FORMA PARCIAL</w:t>
      </w:r>
      <w:r w:rsidRPr="00633F19">
        <w:rPr>
          <w:rFonts w:ascii="Arial" w:hAnsi="Arial" w:cs="Arial"/>
          <w:b/>
          <w:bCs/>
          <w:sz w:val="24"/>
          <w:szCs w:val="24"/>
          <w:lang w:val="es-CO"/>
        </w:rPr>
        <w:t>.</w:t>
      </w:r>
    </w:p>
    <w:p w14:paraId="014E3EB2" w14:textId="77777777" w:rsidR="00561B22" w:rsidRPr="00633F19" w:rsidRDefault="00561B22" w:rsidP="00561B22">
      <w:pPr>
        <w:jc w:val="both"/>
        <w:rPr>
          <w:rFonts w:ascii="Arial" w:hAnsi="Arial" w:cs="Arial"/>
          <w:b/>
          <w:bCs/>
          <w:sz w:val="24"/>
          <w:szCs w:val="24"/>
          <w:lang w:val="es-CO"/>
        </w:rPr>
      </w:pPr>
    </w:p>
    <w:p w14:paraId="31C7F4C1" w14:textId="77777777" w:rsidR="00561B22" w:rsidRPr="00C927E4" w:rsidRDefault="00561B22" w:rsidP="00561B22">
      <w:pPr>
        <w:jc w:val="both"/>
        <w:rPr>
          <w:rFonts w:ascii="Arial" w:hAnsi="Arial" w:cs="Arial"/>
          <w:b/>
          <w:sz w:val="28"/>
          <w:szCs w:val="28"/>
          <w:lang w:val="es-MX"/>
        </w:rPr>
      </w:pPr>
      <w:r w:rsidRPr="00C927E4">
        <w:rPr>
          <w:rFonts w:ascii="Arial" w:hAnsi="Arial" w:cs="Arial"/>
          <w:b/>
          <w:sz w:val="28"/>
          <w:szCs w:val="28"/>
          <w:lang w:val="es-MX"/>
        </w:rPr>
        <w:t>27</w:t>
      </w:r>
      <w:r>
        <w:rPr>
          <w:rFonts w:ascii="Arial" w:hAnsi="Arial" w:cs="Arial"/>
          <w:b/>
          <w:sz w:val="28"/>
          <w:szCs w:val="28"/>
          <w:lang w:val="es-MX"/>
        </w:rPr>
        <w:t>4</w:t>
      </w:r>
      <w:r w:rsidRPr="00C927E4">
        <w:rPr>
          <w:rFonts w:ascii="Arial" w:hAnsi="Arial" w:cs="Arial"/>
          <w:b/>
          <w:sz w:val="28"/>
          <w:szCs w:val="28"/>
          <w:lang w:val="es-MX"/>
        </w:rPr>
        <w:t xml:space="preserve">.- CONTRALORÍA GENERAL DE LA REPÚBLICA – CGR. </w:t>
      </w:r>
    </w:p>
    <w:p w14:paraId="5F054B88" w14:textId="77777777" w:rsidR="00561B22" w:rsidRDefault="00561B22" w:rsidP="00561B22">
      <w:pPr>
        <w:jc w:val="both"/>
        <w:rPr>
          <w:rFonts w:ascii="Arial" w:hAnsi="Arial" w:cs="Arial"/>
          <w:b/>
          <w:bCs/>
          <w:sz w:val="24"/>
          <w:szCs w:val="24"/>
          <w:lang w:val="es-MX"/>
        </w:rPr>
      </w:pPr>
    </w:p>
    <w:p w14:paraId="692F8751" w14:textId="77777777" w:rsidR="00561B22" w:rsidRPr="00706835" w:rsidRDefault="00561B22" w:rsidP="00561B22">
      <w:pPr>
        <w:pStyle w:val="Textoindependiente"/>
        <w:ind w:right="-50"/>
        <w:jc w:val="center"/>
        <w:rPr>
          <w:rFonts w:ascii="Arial" w:hAnsi="Arial" w:cs="Arial"/>
          <w:b/>
          <w:bCs/>
        </w:rPr>
      </w:pPr>
      <w:r w:rsidRPr="00706835">
        <w:rPr>
          <w:rFonts w:ascii="Arial" w:hAnsi="Arial" w:cs="Arial"/>
          <w:b/>
          <w:bCs/>
        </w:rPr>
        <w:t>INFORME DE LA AUTOCALIFICACIÓN DEL SISTEMA DE CONTROL INTERNO CONTABLE:</w:t>
      </w:r>
    </w:p>
    <w:p w14:paraId="5F672DF4" w14:textId="77777777" w:rsidR="00561B22" w:rsidRPr="0070683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06835" w14:paraId="2CA31AEC" w14:textId="77777777" w:rsidTr="00F1223B">
        <w:tc>
          <w:tcPr>
            <w:tcW w:w="4981" w:type="dxa"/>
          </w:tcPr>
          <w:p w14:paraId="145AC954"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AUTOCALIFICACIÓN</w:t>
            </w:r>
          </w:p>
        </w:tc>
        <w:tc>
          <w:tcPr>
            <w:tcW w:w="4981" w:type="dxa"/>
          </w:tcPr>
          <w:p w14:paraId="79EA4D44" w14:textId="77777777" w:rsidR="00561B22" w:rsidRPr="00706835" w:rsidRDefault="00561B22" w:rsidP="00F1223B">
            <w:pPr>
              <w:jc w:val="center"/>
              <w:rPr>
                <w:rFonts w:ascii="Arial" w:hAnsi="Arial" w:cs="Arial"/>
                <w:b/>
                <w:sz w:val="22"/>
                <w:szCs w:val="22"/>
                <w:u w:val="single"/>
                <w:lang w:val="es-MX"/>
              </w:rPr>
            </w:pPr>
            <w:r w:rsidRPr="00706835">
              <w:rPr>
                <w:rFonts w:ascii="Arial" w:hAnsi="Arial" w:cs="Arial"/>
                <w:b/>
                <w:sz w:val="22"/>
                <w:szCs w:val="22"/>
                <w:u w:val="single"/>
                <w:lang w:val="es-MX"/>
              </w:rPr>
              <w:t>4.73</w:t>
            </w:r>
          </w:p>
        </w:tc>
      </w:tr>
    </w:tbl>
    <w:p w14:paraId="084C94E6" w14:textId="77777777" w:rsidR="00561B22" w:rsidRPr="00706835" w:rsidRDefault="00561B22" w:rsidP="00561B22">
      <w:pPr>
        <w:pStyle w:val="Textoindependiente"/>
        <w:ind w:right="-50"/>
        <w:jc w:val="both"/>
        <w:rPr>
          <w:rFonts w:ascii="Arial" w:hAnsi="Arial" w:cs="Arial"/>
          <w:b/>
          <w:bCs/>
        </w:rPr>
      </w:pPr>
    </w:p>
    <w:p w14:paraId="7CF8E1C4" w14:textId="77777777" w:rsidR="00561B22" w:rsidRPr="00706835" w:rsidRDefault="00561B22" w:rsidP="00561B22">
      <w:pPr>
        <w:pStyle w:val="Textoindependiente"/>
        <w:ind w:right="-50"/>
        <w:jc w:val="both"/>
        <w:rPr>
          <w:rFonts w:ascii="Arial" w:hAnsi="Arial" w:cs="Arial"/>
          <w:b/>
          <w:bCs/>
        </w:rPr>
      </w:pPr>
      <w:r w:rsidRPr="00706835">
        <w:rPr>
          <w:rFonts w:ascii="Arial" w:hAnsi="Arial" w:cs="Arial"/>
          <w:b/>
          <w:bCs/>
        </w:rPr>
        <w:t>Del informe enviado retomamos lo siguiente:</w:t>
      </w:r>
    </w:p>
    <w:p w14:paraId="72FA0E77" w14:textId="77777777" w:rsidR="00561B22" w:rsidRPr="0070683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06835" w14:paraId="41AC76EF" w14:textId="77777777" w:rsidTr="00F1223B">
        <w:tc>
          <w:tcPr>
            <w:tcW w:w="562" w:type="dxa"/>
          </w:tcPr>
          <w:p w14:paraId="7E09EB94" w14:textId="77777777" w:rsidR="00561B22" w:rsidRPr="00706835" w:rsidRDefault="00561B22" w:rsidP="00F1223B">
            <w:pPr>
              <w:ind w:right="-109"/>
              <w:jc w:val="center"/>
              <w:rPr>
                <w:rFonts w:ascii="Arial" w:hAnsi="Arial" w:cs="Arial"/>
                <w:b/>
                <w:sz w:val="22"/>
                <w:szCs w:val="22"/>
                <w:lang w:val="es-MX"/>
              </w:rPr>
            </w:pPr>
            <w:r w:rsidRPr="00706835">
              <w:rPr>
                <w:rFonts w:ascii="Arial" w:hAnsi="Arial" w:cs="Arial"/>
                <w:b/>
                <w:sz w:val="22"/>
                <w:szCs w:val="22"/>
                <w:lang w:val="es-MX"/>
              </w:rPr>
              <w:t>N°</w:t>
            </w:r>
          </w:p>
        </w:tc>
        <w:tc>
          <w:tcPr>
            <w:tcW w:w="9400" w:type="dxa"/>
          </w:tcPr>
          <w:p w14:paraId="5D9F92D0"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DEBILIDADES</w:t>
            </w:r>
          </w:p>
          <w:p w14:paraId="4DD00DC1" w14:textId="77777777" w:rsidR="00561B22" w:rsidRPr="00706835" w:rsidRDefault="00561B22" w:rsidP="00F1223B">
            <w:pPr>
              <w:jc w:val="center"/>
              <w:rPr>
                <w:rFonts w:ascii="Arial" w:hAnsi="Arial" w:cs="Arial"/>
                <w:b/>
                <w:sz w:val="22"/>
                <w:szCs w:val="22"/>
                <w:lang w:val="es-MX"/>
              </w:rPr>
            </w:pPr>
          </w:p>
        </w:tc>
      </w:tr>
      <w:tr w:rsidR="00561B22" w:rsidRPr="00706835" w14:paraId="13F0D0AC" w14:textId="77777777" w:rsidTr="00F1223B">
        <w:tc>
          <w:tcPr>
            <w:tcW w:w="562" w:type="dxa"/>
          </w:tcPr>
          <w:p w14:paraId="105B9627"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1</w:t>
            </w:r>
          </w:p>
        </w:tc>
        <w:tc>
          <w:tcPr>
            <w:tcW w:w="9400" w:type="dxa"/>
          </w:tcPr>
          <w:p w14:paraId="249C1C27"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Persisten retrasos en la entrega de la información a la Coordinación Contable, situación que conlleva a probables riesgos en la oportunidad para la presentación de los reportes a la CGN, como es el caso de Gestión de Talento Humano, con la migración de información de saldos de cesantías del sistema de información SILICE al Sistema de Información de Personal Kactus.</w:t>
            </w:r>
          </w:p>
        </w:tc>
      </w:tr>
      <w:tr w:rsidR="00561B22" w:rsidRPr="00706835" w14:paraId="2FE95D8C" w14:textId="77777777" w:rsidTr="00F1223B">
        <w:tc>
          <w:tcPr>
            <w:tcW w:w="562" w:type="dxa"/>
          </w:tcPr>
          <w:p w14:paraId="18821B6C"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2</w:t>
            </w:r>
          </w:p>
        </w:tc>
        <w:tc>
          <w:tcPr>
            <w:tcW w:w="9400" w:type="dxa"/>
          </w:tcPr>
          <w:p w14:paraId="5262B5E8"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El reporte de procesos judiciales de la Oficina de Jurídica no cumple con lo normado en el marco Normativo Contable, en cuanto a la actualización a 31 de diciembre de 2024, del estado actual de los procesos judiciales (Si están activos o terminados), así como también la calificación del riesgo y su respectiva estimación contable.</w:t>
            </w:r>
          </w:p>
        </w:tc>
      </w:tr>
      <w:tr w:rsidR="00561B22" w:rsidRPr="00706835" w14:paraId="2D56BAF3" w14:textId="77777777" w:rsidTr="00F1223B">
        <w:tc>
          <w:tcPr>
            <w:tcW w:w="562" w:type="dxa"/>
          </w:tcPr>
          <w:p w14:paraId="26B69CA7"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3</w:t>
            </w:r>
          </w:p>
        </w:tc>
        <w:tc>
          <w:tcPr>
            <w:tcW w:w="9400" w:type="dxa"/>
          </w:tcPr>
          <w:p w14:paraId="46A46F82" w14:textId="45CD7ED4"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 xml:space="preserve">Se requiere de la actualización del Manual de Políticas Contables Versión 2.0 publicada en 2018, el manual cuenta con 11 anexos, uno </w:t>
            </w:r>
            <w:r w:rsidR="0008150C" w:rsidRPr="00706835">
              <w:rPr>
                <w:rFonts w:ascii="Arial" w:hAnsi="Arial" w:cs="Arial"/>
                <w:bCs/>
                <w:sz w:val="22"/>
                <w:szCs w:val="22"/>
                <w:lang w:val="es-MX"/>
              </w:rPr>
              <w:t>de</w:t>
            </w:r>
            <w:r w:rsidRPr="00706835">
              <w:rPr>
                <w:rFonts w:ascii="Arial" w:hAnsi="Arial" w:cs="Arial"/>
                <w:bCs/>
                <w:sz w:val="22"/>
                <w:szCs w:val="22"/>
                <w:lang w:val="es-MX"/>
              </w:rPr>
              <w:t xml:space="preserve"> ellos es el listado Referencia Normativa; éste tiene una relación de 13 documentos entre leyes, decretos y resoluciones; algunas de estas fuentes normativas ya están derogadas, es necesario actualizar el Manual a la nueva normativa y caracterización de los hechos económicos.</w:t>
            </w:r>
          </w:p>
        </w:tc>
      </w:tr>
    </w:tbl>
    <w:p w14:paraId="734EC541" w14:textId="77777777" w:rsidR="00561B22" w:rsidRPr="00706835" w:rsidRDefault="00561B22" w:rsidP="00561B22">
      <w:pPr>
        <w:pStyle w:val="Textoindependiente"/>
        <w:ind w:right="-50"/>
        <w:jc w:val="both"/>
        <w:rPr>
          <w:rFonts w:ascii="Arial" w:hAnsi="Arial" w:cs="Arial"/>
          <w:b/>
          <w:bCs/>
        </w:rPr>
      </w:pPr>
    </w:p>
    <w:p w14:paraId="2FF24BAB" w14:textId="77777777" w:rsidR="00561B22" w:rsidRPr="00706835" w:rsidRDefault="00561B22" w:rsidP="00561B22">
      <w:pPr>
        <w:jc w:val="both"/>
        <w:rPr>
          <w:rFonts w:ascii="Arial" w:hAnsi="Arial" w:cs="Arial"/>
          <w:b/>
          <w:lang w:val="es-MX"/>
        </w:rPr>
      </w:pPr>
      <w:r w:rsidRPr="00706835">
        <w:rPr>
          <w:rFonts w:ascii="Arial" w:hAnsi="Arial" w:cs="Arial"/>
          <w:b/>
          <w:lang w:val="es-MX"/>
        </w:rPr>
        <w:t>Del citado informe retomamos las siguientes recomendaciones:</w:t>
      </w:r>
    </w:p>
    <w:p w14:paraId="7D4DBF1A" w14:textId="77777777" w:rsidR="00561B22" w:rsidRPr="00706835"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706835" w14:paraId="7B7845CA" w14:textId="77777777" w:rsidTr="00F1223B">
        <w:tc>
          <w:tcPr>
            <w:tcW w:w="562" w:type="dxa"/>
          </w:tcPr>
          <w:p w14:paraId="2AA93C70" w14:textId="77777777" w:rsidR="00561B22" w:rsidRPr="00706835" w:rsidRDefault="00561B22" w:rsidP="00F1223B">
            <w:pPr>
              <w:ind w:right="-109"/>
              <w:jc w:val="center"/>
              <w:rPr>
                <w:rFonts w:ascii="Arial" w:hAnsi="Arial" w:cs="Arial"/>
                <w:b/>
                <w:sz w:val="22"/>
                <w:szCs w:val="22"/>
                <w:lang w:val="es-MX"/>
              </w:rPr>
            </w:pPr>
            <w:r w:rsidRPr="00706835">
              <w:rPr>
                <w:rFonts w:ascii="Arial" w:hAnsi="Arial" w:cs="Arial"/>
                <w:b/>
                <w:sz w:val="22"/>
                <w:szCs w:val="22"/>
                <w:lang w:val="es-MX"/>
              </w:rPr>
              <w:t>N°</w:t>
            </w:r>
          </w:p>
        </w:tc>
        <w:tc>
          <w:tcPr>
            <w:tcW w:w="9400" w:type="dxa"/>
          </w:tcPr>
          <w:p w14:paraId="39804F0F"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RECOMENDACIONES</w:t>
            </w:r>
          </w:p>
          <w:p w14:paraId="0A65B909" w14:textId="77777777" w:rsidR="00561B22" w:rsidRPr="00706835" w:rsidRDefault="00561B22" w:rsidP="00F1223B">
            <w:pPr>
              <w:jc w:val="center"/>
              <w:rPr>
                <w:rFonts w:ascii="Arial" w:hAnsi="Arial" w:cs="Arial"/>
                <w:b/>
                <w:sz w:val="22"/>
                <w:szCs w:val="22"/>
                <w:lang w:val="es-MX"/>
              </w:rPr>
            </w:pPr>
          </w:p>
        </w:tc>
      </w:tr>
      <w:tr w:rsidR="00561B22" w:rsidRPr="00706835" w14:paraId="0969A749" w14:textId="77777777" w:rsidTr="00F1223B">
        <w:tc>
          <w:tcPr>
            <w:tcW w:w="562" w:type="dxa"/>
          </w:tcPr>
          <w:p w14:paraId="501A4713"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1</w:t>
            </w:r>
          </w:p>
        </w:tc>
        <w:tc>
          <w:tcPr>
            <w:tcW w:w="9400" w:type="dxa"/>
          </w:tcPr>
          <w:p w14:paraId="1B2584F0"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La Gerencia de Talento Humano debe dar celeridad con la información referente al pasivo laboral y conciliar entre la Gerencia de Talento Humano, Dirección de Gestión del Talento Humano vs Contabilidad, a fin de acelerar la implementación del proceso de cesantías integrado al Sistema de Información Kactus.</w:t>
            </w:r>
          </w:p>
        </w:tc>
      </w:tr>
      <w:tr w:rsidR="00561B22" w:rsidRPr="00706835" w14:paraId="42982C3D" w14:textId="77777777" w:rsidTr="00F1223B">
        <w:tc>
          <w:tcPr>
            <w:tcW w:w="562" w:type="dxa"/>
          </w:tcPr>
          <w:p w14:paraId="3543428F"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2</w:t>
            </w:r>
          </w:p>
        </w:tc>
        <w:tc>
          <w:tcPr>
            <w:tcW w:w="9400" w:type="dxa"/>
          </w:tcPr>
          <w:p w14:paraId="705D33C6"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El comité Técnico de Sostenibilidad del Sistema de Contabilidad Pública de la Contraloría General de la República, debe reunirse una vez por semestre, con el fin de evaluar las partidas posibles de depuración.</w:t>
            </w:r>
          </w:p>
        </w:tc>
      </w:tr>
      <w:tr w:rsidR="00561B22" w:rsidRPr="00706835" w14:paraId="06F86281" w14:textId="77777777" w:rsidTr="00F1223B">
        <w:tc>
          <w:tcPr>
            <w:tcW w:w="562" w:type="dxa"/>
          </w:tcPr>
          <w:p w14:paraId="62E5FCFF"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3</w:t>
            </w:r>
          </w:p>
        </w:tc>
        <w:tc>
          <w:tcPr>
            <w:tcW w:w="9400" w:type="dxa"/>
          </w:tcPr>
          <w:p w14:paraId="2C279E80"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 xml:space="preserve">Adelantar tomas físicas de inventarios en las Gerencias Departamentales Colegiadas, con el </w:t>
            </w:r>
            <w:r w:rsidRPr="00706835">
              <w:rPr>
                <w:rFonts w:ascii="Arial" w:hAnsi="Arial" w:cs="Arial"/>
                <w:bCs/>
                <w:sz w:val="22"/>
                <w:szCs w:val="22"/>
                <w:lang w:val="es-MX"/>
              </w:rPr>
              <w:lastRenderedPageBreak/>
              <w:t>fin de identificar los bienes susceptibles de baja y proceder a ésta, igualmente bienes almacenados fuera de servicio, pero que figuran en servicio, así como equipos siniestrados, por los cuales el seguro respondió, pero aún no se han dado de baja los siniestros en SAP, lo que impide la incorporación de los nuevos.</w:t>
            </w:r>
          </w:p>
        </w:tc>
      </w:tr>
      <w:tr w:rsidR="00561B22" w:rsidRPr="00706835" w14:paraId="0BD6DB45" w14:textId="77777777" w:rsidTr="00F1223B">
        <w:tc>
          <w:tcPr>
            <w:tcW w:w="562" w:type="dxa"/>
          </w:tcPr>
          <w:p w14:paraId="01E7A5B7"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lastRenderedPageBreak/>
              <w:t>4</w:t>
            </w:r>
          </w:p>
        </w:tc>
        <w:tc>
          <w:tcPr>
            <w:tcW w:w="9400" w:type="dxa"/>
          </w:tcPr>
          <w:p w14:paraId="2ECD0F76"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Continúan novedades como las siguientes; exfuncionarios fallecidos con bienes a su cargo, que no han podido ser identificados físicamente, por lo anterior, es fundamental avanzar en una acción de depuración del inventario de bienes devolutivos.</w:t>
            </w:r>
          </w:p>
        </w:tc>
      </w:tr>
      <w:tr w:rsidR="00561B22" w:rsidRPr="00706835" w14:paraId="2291E2C6" w14:textId="77777777" w:rsidTr="00F1223B">
        <w:tc>
          <w:tcPr>
            <w:tcW w:w="562" w:type="dxa"/>
          </w:tcPr>
          <w:p w14:paraId="4CA68F6D"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5</w:t>
            </w:r>
          </w:p>
        </w:tc>
        <w:tc>
          <w:tcPr>
            <w:tcW w:w="9400" w:type="dxa"/>
          </w:tcPr>
          <w:p w14:paraId="2CD92CA1"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Es necesario que en la vigencia 2025, se actualice el Manual de Políticas Contables Versión 2.0, expedido en 2018, y de igual manera el Manual de Procedimientos para Administrar los Bienes, Inventarios e Infraestructura de la entidad, Versión 1.0 del 13 de mayo de 2011 y el procedimiento de recursos financieros.</w:t>
            </w:r>
          </w:p>
        </w:tc>
      </w:tr>
      <w:tr w:rsidR="00561B22" w:rsidRPr="00706835" w14:paraId="25E6E652" w14:textId="77777777" w:rsidTr="00F1223B">
        <w:tc>
          <w:tcPr>
            <w:tcW w:w="562" w:type="dxa"/>
          </w:tcPr>
          <w:p w14:paraId="51B587F1"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6</w:t>
            </w:r>
          </w:p>
        </w:tc>
        <w:tc>
          <w:tcPr>
            <w:tcW w:w="9400" w:type="dxa"/>
          </w:tcPr>
          <w:p w14:paraId="3C2D035D"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Se reitera realizar mesas de conciliación entra las dependencias, Dirección Financiera y Oficina Jurídica en lo referente a la actualización de los procesos judiciales, así como la calificación de riesgo de pérdida de los procesos, pretensiones y provisiones a que haya lugar.</w:t>
            </w:r>
          </w:p>
        </w:tc>
      </w:tr>
      <w:tr w:rsidR="00561B22" w:rsidRPr="00706835" w14:paraId="11B46E23" w14:textId="77777777" w:rsidTr="00F1223B">
        <w:tc>
          <w:tcPr>
            <w:tcW w:w="562" w:type="dxa"/>
          </w:tcPr>
          <w:p w14:paraId="261EA1F8" w14:textId="77777777" w:rsidR="00561B22" w:rsidRPr="00706835" w:rsidRDefault="00561B22" w:rsidP="00F1223B">
            <w:pPr>
              <w:jc w:val="center"/>
              <w:rPr>
                <w:rFonts w:ascii="Arial" w:hAnsi="Arial" w:cs="Arial"/>
                <w:b/>
                <w:sz w:val="22"/>
                <w:szCs w:val="22"/>
                <w:lang w:val="es-MX"/>
              </w:rPr>
            </w:pPr>
            <w:r w:rsidRPr="00706835">
              <w:rPr>
                <w:rFonts w:ascii="Arial" w:hAnsi="Arial" w:cs="Arial"/>
                <w:b/>
                <w:sz w:val="22"/>
                <w:szCs w:val="22"/>
                <w:lang w:val="es-MX"/>
              </w:rPr>
              <w:t>7</w:t>
            </w:r>
          </w:p>
        </w:tc>
        <w:tc>
          <w:tcPr>
            <w:tcW w:w="9400" w:type="dxa"/>
          </w:tcPr>
          <w:p w14:paraId="00387A32" w14:textId="77777777" w:rsidR="00561B22" w:rsidRPr="00706835" w:rsidRDefault="00561B22" w:rsidP="00F1223B">
            <w:pPr>
              <w:jc w:val="both"/>
              <w:rPr>
                <w:rFonts w:ascii="Arial" w:hAnsi="Arial" w:cs="Arial"/>
                <w:bCs/>
                <w:sz w:val="22"/>
                <w:szCs w:val="22"/>
                <w:lang w:val="es-MX"/>
              </w:rPr>
            </w:pPr>
            <w:r w:rsidRPr="00706835">
              <w:rPr>
                <w:rFonts w:ascii="Arial" w:hAnsi="Arial" w:cs="Arial"/>
                <w:bCs/>
                <w:sz w:val="22"/>
                <w:szCs w:val="22"/>
                <w:lang w:val="es-MX"/>
              </w:rPr>
              <w:t>Continuar con la depuración de las partidas conciliatorias de las EPS, para el cobro respectivo de las partidas por incapacidades de vigencias anteriores.</w:t>
            </w:r>
          </w:p>
        </w:tc>
      </w:tr>
    </w:tbl>
    <w:p w14:paraId="51F2015E" w14:textId="77777777" w:rsidR="00561B22" w:rsidRPr="00706835" w:rsidRDefault="00561B22" w:rsidP="00561B22">
      <w:pPr>
        <w:pStyle w:val="Textoindependiente"/>
        <w:ind w:right="-50"/>
        <w:jc w:val="both"/>
        <w:rPr>
          <w:rFonts w:ascii="Arial" w:hAnsi="Arial" w:cs="Arial"/>
          <w:b/>
          <w:bCs/>
        </w:rPr>
      </w:pPr>
    </w:p>
    <w:p w14:paraId="4C2B5463" w14:textId="77777777" w:rsidR="00561B22" w:rsidRPr="00706835" w:rsidRDefault="00561B22" w:rsidP="00561B22">
      <w:pPr>
        <w:jc w:val="both"/>
        <w:rPr>
          <w:rFonts w:ascii="Arial" w:hAnsi="Arial" w:cs="Arial"/>
          <w:b/>
          <w:bCs/>
          <w:sz w:val="24"/>
          <w:szCs w:val="24"/>
          <w:lang w:val="es-CO"/>
        </w:rPr>
      </w:pPr>
      <w:r w:rsidRPr="00706835">
        <w:rPr>
          <w:rFonts w:ascii="Arial" w:hAnsi="Arial" w:cs="Arial"/>
          <w:b/>
          <w:bCs/>
          <w:sz w:val="24"/>
          <w:szCs w:val="24"/>
          <w:lang w:val="es-CO"/>
        </w:rPr>
        <w:t xml:space="preserve">NOTA: LA ENTIDAD ENVÍA LA MATRIZ DE AUTOEVALUACIÓN DEL SISTEMA DE CONTROL INTERNO CONTABLE CON </w:t>
      </w:r>
      <w:r w:rsidRPr="00706835">
        <w:rPr>
          <w:rFonts w:ascii="Arial" w:hAnsi="Arial" w:cs="Arial"/>
          <w:b/>
          <w:bCs/>
          <w:sz w:val="24"/>
          <w:szCs w:val="24"/>
          <w:u w:val="single"/>
          <w:lang w:val="es-CO"/>
        </w:rPr>
        <w:t>ACTIVIDADES DE CONTROL REALIZADAS EN FORMA PARCIAL</w:t>
      </w:r>
      <w:r w:rsidRPr="00706835">
        <w:rPr>
          <w:rFonts w:ascii="Arial" w:hAnsi="Arial" w:cs="Arial"/>
          <w:b/>
          <w:bCs/>
          <w:sz w:val="24"/>
          <w:szCs w:val="24"/>
          <w:lang w:val="es-CO"/>
        </w:rPr>
        <w:t>.</w:t>
      </w:r>
    </w:p>
    <w:p w14:paraId="355132D5" w14:textId="77777777" w:rsidR="00561B22" w:rsidRDefault="00561B22" w:rsidP="00561B22">
      <w:pPr>
        <w:jc w:val="both"/>
        <w:rPr>
          <w:rFonts w:ascii="Arial" w:hAnsi="Arial" w:cs="Arial"/>
          <w:b/>
          <w:bCs/>
          <w:sz w:val="24"/>
          <w:szCs w:val="24"/>
          <w:lang w:val="es-CO"/>
        </w:rPr>
      </w:pPr>
    </w:p>
    <w:p w14:paraId="0717D931" w14:textId="77777777" w:rsidR="00561B22" w:rsidRPr="009B5803" w:rsidRDefault="00561B22" w:rsidP="00561B22">
      <w:pPr>
        <w:ind w:right="49"/>
        <w:jc w:val="both"/>
        <w:rPr>
          <w:rFonts w:ascii="Arial" w:hAnsi="Arial" w:cs="Arial"/>
          <w:b/>
          <w:sz w:val="28"/>
          <w:szCs w:val="28"/>
          <w:lang w:val="es-MX"/>
        </w:rPr>
      </w:pPr>
      <w:r w:rsidRPr="009B5803">
        <w:rPr>
          <w:rFonts w:ascii="Arial" w:hAnsi="Arial" w:cs="Arial"/>
          <w:b/>
          <w:sz w:val="28"/>
          <w:szCs w:val="28"/>
          <w:lang w:val="es-MX"/>
        </w:rPr>
        <w:t>275.- CORPORACIÓN AUTÓNOMA REGIONAL DE LA GUAJIRA - CORPOGUAJIRA.</w:t>
      </w:r>
    </w:p>
    <w:p w14:paraId="38F3EF0A" w14:textId="77777777" w:rsidR="00561B22" w:rsidRDefault="00561B22" w:rsidP="00561B22">
      <w:pPr>
        <w:jc w:val="both"/>
        <w:rPr>
          <w:rFonts w:ascii="Arial" w:hAnsi="Arial" w:cs="Arial"/>
          <w:b/>
          <w:bCs/>
          <w:sz w:val="24"/>
          <w:szCs w:val="24"/>
          <w:lang w:val="es-MX"/>
        </w:rPr>
      </w:pPr>
    </w:p>
    <w:p w14:paraId="01261BFE" w14:textId="77777777" w:rsidR="00561B22" w:rsidRPr="00966B6C" w:rsidRDefault="00561B22" w:rsidP="00561B22">
      <w:pPr>
        <w:pStyle w:val="Textoindependiente"/>
        <w:ind w:right="-50"/>
        <w:jc w:val="center"/>
        <w:rPr>
          <w:rFonts w:ascii="Arial" w:hAnsi="Arial" w:cs="Arial"/>
          <w:b/>
          <w:bCs/>
        </w:rPr>
      </w:pPr>
      <w:r w:rsidRPr="00966B6C">
        <w:rPr>
          <w:rFonts w:ascii="Arial" w:hAnsi="Arial" w:cs="Arial"/>
          <w:b/>
          <w:bCs/>
        </w:rPr>
        <w:t>INFORME DE LA AUTOCALIFICACIÓN DEL SISTEMA DE CONTROL INTERNO CONTABLE:</w:t>
      </w:r>
    </w:p>
    <w:p w14:paraId="2E0C8C15" w14:textId="77777777" w:rsidR="00561B22" w:rsidRPr="00966B6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66B6C" w14:paraId="5F837373" w14:textId="77777777" w:rsidTr="00F1223B">
        <w:tc>
          <w:tcPr>
            <w:tcW w:w="4981" w:type="dxa"/>
          </w:tcPr>
          <w:p w14:paraId="3266CCEF"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AUTOCALIFICACIÓN</w:t>
            </w:r>
          </w:p>
        </w:tc>
        <w:tc>
          <w:tcPr>
            <w:tcW w:w="4981" w:type="dxa"/>
          </w:tcPr>
          <w:p w14:paraId="2CD0C0DC" w14:textId="77777777" w:rsidR="00561B22" w:rsidRPr="00966B6C" w:rsidRDefault="00561B22" w:rsidP="00F1223B">
            <w:pPr>
              <w:jc w:val="center"/>
              <w:rPr>
                <w:rFonts w:ascii="Arial" w:hAnsi="Arial" w:cs="Arial"/>
                <w:b/>
                <w:sz w:val="22"/>
                <w:szCs w:val="22"/>
                <w:u w:val="single"/>
                <w:lang w:val="es-MX"/>
              </w:rPr>
            </w:pPr>
            <w:r w:rsidRPr="00966B6C">
              <w:rPr>
                <w:rFonts w:ascii="Arial" w:hAnsi="Arial" w:cs="Arial"/>
                <w:b/>
                <w:sz w:val="22"/>
                <w:szCs w:val="22"/>
                <w:u w:val="single"/>
                <w:lang w:val="es-MX"/>
              </w:rPr>
              <w:t>4.44</w:t>
            </w:r>
          </w:p>
        </w:tc>
      </w:tr>
    </w:tbl>
    <w:p w14:paraId="50F0FBD3" w14:textId="77777777" w:rsidR="00561B22" w:rsidRPr="00966B6C" w:rsidRDefault="00561B22" w:rsidP="00561B22">
      <w:pPr>
        <w:pStyle w:val="Textoindependiente"/>
        <w:ind w:right="-50"/>
        <w:jc w:val="both"/>
        <w:rPr>
          <w:rFonts w:ascii="Arial" w:hAnsi="Arial" w:cs="Arial"/>
          <w:b/>
          <w:bCs/>
        </w:rPr>
      </w:pPr>
    </w:p>
    <w:p w14:paraId="47F9A52B" w14:textId="77777777" w:rsidR="00561B22" w:rsidRPr="00966B6C" w:rsidRDefault="00561B22" w:rsidP="00561B22">
      <w:pPr>
        <w:pStyle w:val="Textoindependiente"/>
        <w:ind w:right="-50"/>
        <w:jc w:val="both"/>
        <w:rPr>
          <w:rFonts w:ascii="Arial" w:hAnsi="Arial" w:cs="Arial"/>
          <w:b/>
          <w:bCs/>
        </w:rPr>
      </w:pPr>
      <w:r w:rsidRPr="00966B6C">
        <w:rPr>
          <w:rFonts w:ascii="Arial" w:hAnsi="Arial" w:cs="Arial"/>
          <w:b/>
          <w:bCs/>
        </w:rPr>
        <w:t>Del informe enviado retomamos lo siguiente:</w:t>
      </w:r>
    </w:p>
    <w:p w14:paraId="4F424274" w14:textId="77777777" w:rsidR="00561B22" w:rsidRPr="00966B6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66B6C" w14:paraId="67BE728D" w14:textId="77777777" w:rsidTr="00F1223B">
        <w:tc>
          <w:tcPr>
            <w:tcW w:w="562" w:type="dxa"/>
          </w:tcPr>
          <w:p w14:paraId="3BFC4232" w14:textId="77777777" w:rsidR="00561B22" w:rsidRPr="00966B6C" w:rsidRDefault="00561B22" w:rsidP="00F1223B">
            <w:pPr>
              <w:ind w:right="-109"/>
              <w:jc w:val="center"/>
              <w:rPr>
                <w:rFonts w:ascii="Arial" w:hAnsi="Arial" w:cs="Arial"/>
                <w:b/>
                <w:sz w:val="22"/>
                <w:szCs w:val="22"/>
                <w:lang w:val="es-MX"/>
              </w:rPr>
            </w:pPr>
            <w:r w:rsidRPr="00966B6C">
              <w:rPr>
                <w:rFonts w:ascii="Arial" w:hAnsi="Arial" w:cs="Arial"/>
                <w:b/>
                <w:sz w:val="22"/>
                <w:szCs w:val="22"/>
                <w:lang w:val="es-MX"/>
              </w:rPr>
              <w:t>N°</w:t>
            </w:r>
          </w:p>
        </w:tc>
        <w:tc>
          <w:tcPr>
            <w:tcW w:w="9400" w:type="dxa"/>
          </w:tcPr>
          <w:p w14:paraId="57843AC6"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DEBILIDADES</w:t>
            </w:r>
          </w:p>
          <w:p w14:paraId="06CFAA21" w14:textId="77777777" w:rsidR="00561B22" w:rsidRPr="00966B6C" w:rsidRDefault="00561B22" w:rsidP="00F1223B">
            <w:pPr>
              <w:jc w:val="center"/>
              <w:rPr>
                <w:rFonts w:ascii="Arial" w:hAnsi="Arial" w:cs="Arial"/>
                <w:b/>
                <w:sz w:val="22"/>
                <w:szCs w:val="22"/>
                <w:lang w:val="es-MX"/>
              </w:rPr>
            </w:pPr>
          </w:p>
        </w:tc>
      </w:tr>
      <w:tr w:rsidR="00561B22" w:rsidRPr="00966B6C" w14:paraId="60ED96EF" w14:textId="77777777" w:rsidTr="00F1223B">
        <w:tc>
          <w:tcPr>
            <w:tcW w:w="562" w:type="dxa"/>
          </w:tcPr>
          <w:p w14:paraId="103D7EC4"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1</w:t>
            </w:r>
          </w:p>
        </w:tc>
        <w:tc>
          <w:tcPr>
            <w:tcW w:w="9400" w:type="dxa"/>
          </w:tcPr>
          <w:p w14:paraId="2234DC21"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 xml:space="preserve">Reincide los inconvenientes en la formulación y presentación de los planes de mejoramientos productos de las auditorías internas realizadas por la oficina de control interno, se evidencia baja ejecución en el grado de avance de las acciones de mejoras contenidas en los planes de mejoramiento de las auditorías externas practicas por los entes de control (Limitaciones: realización de consultas previas, entre otros). </w:t>
            </w:r>
          </w:p>
        </w:tc>
      </w:tr>
      <w:tr w:rsidR="00561B22" w:rsidRPr="00966B6C" w14:paraId="3E4DE9BA" w14:textId="77777777" w:rsidTr="00F1223B">
        <w:tc>
          <w:tcPr>
            <w:tcW w:w="562" w:type="dxa"/>
          </w:tcPr>
          <w:p w14:paraId="15C42A77"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2</w:t>
            </w:r>
          </w:p>
        </w:tc>
        <w:tc>
          <w:tcPr>
            <w:tcW w:w="9400" w:type="dxa"/>
          </w:tcPr>
          <w:p w14:paraId="219DD054"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Cabe anotar, que no se realiza un adecuado seguimiento y monitoreo en tiempo real a los mapas de riesgos que hacen parte del proceso contable, situación está que avizora probabilidad en la materialización de los riesgos, se mantiene debilidad en la preparación de las notas a los estados financieros.</w:t>
            </w:r>
          </w:p>
        </w:tc>
      </w:tr>
      <w:tr w:rsidR="00561B22" w:rsidRPr="00966B6C" w14:paraId="28F4B825" w14:textId="77777777" w:rsidTr="00F1223B">
        <w:tc>
          <w:tcPr>
            <w:tcW w:w="562" w:type="dxa"/>
          </w:tcPr>
          <w:p w14:paraId="4E0C5BC9"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3</w:t>
            </w:r>
          </w:p>
        </w:tc>
        <w:tc>
          <w:tcPr>
            <w:tcW w:w="9400" w:type="dxa"/>
          </w:tcPr>
          <w:p w14:paraId="4B2A1858"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 xml:space="preserve">De igual manera en el proceso de identificación y conciliación de movimientos bancarios, razón por la cual se han detectado saldos sin identificar; los rubros de tasa de uso de agua requieren depuración de los usuarios en cuanto a los datos básicos de identificación. </w:t>
            </w:r>
          </w:p>
        </w:tc>
      </w:tr>
      <w:tr w:rsidR="00561B22" w:rsidRPr="00966B6C" w14:paraId="2287527D" w14:textId="77777777" w:rsidTr="00F1223B">
        <w:tc>
          <w:tcPr>
            <w:tcW w:w="562" w:type="dxa"/>
          </w:tcPr>
          <w:p w14:paraId="4F49248E"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4</w:t>
            </w:r>
          </w:p>
        </w:tc>
        <w:tc>
          <w:tcPr>
            <w:tcW w:w="9400" w:type="dxa"/>
          </w:tcPr>
          <w:p w14:paraId="440C2F81"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Persiste debilidad en el proceso de generación, revisión y refrendación de los boletines diarios de tesorería, situación que facilita la posible materialización de riesgo de fraude.</w:t>
            </w:r>
          </w:p>
        </w:tc>
      </w:tr>
    </w:tbl>
    <w:p w14:paraId="3C744B18" w14:textId="77777777" w:rsidR="00561B22" w:rsidRPr="00966B6C" w:rsidRDefault="00561B22" w:rsidP="00561B22">
      <w:pPr>
        <w:pStyle w:val="Textoindependiente"/>
        <w:ind w:right="-50"/>
        <w:jc w:val="both"/>
        <w:rPr>
          <w:rFonts w:ascii="Arial" w:hAnsi="Arial" w:cs="Arial"/>
          <w:b/>
          <w:bCs/>
        </w:rPr>
      </w:pPr>
    </w:p>
    <w:p w14:paraId="5471AEB6" w14:textId="77777777" w:rsidR="00561B22" w:rsidRPr="00966B6C" w:rsidRDefault="00561B22" w:rsidP="00561B22">
      <w:pPr>
        <w:jc w:val="both"/>
        <w:rPr>
          <w:rFonts w:ascii="Arial" w:hAnsi="Arial" w:cs="Arial"/>
          <w:b/>
          <w:lang w:val="es-MX"/>
        </w:rPr>
      </w:pPr>
      <w:r w:rsidRPr="00966B6C">
        <w:rPr>
          <w:rFonts w:ascii="Arial" w:hAnsi="Arial" w:cs="Arial"/>
          <w:b/>
          <w:lang w:val="es-MX"/>
        </w:rPr>
        <w:t>Del citado informe retomamos las siguientes recomendaciones:</w:t>
      </w:r>
    </w:p>
    <w:p w14:paraId="2848518A" w14:textId="77777777" w:rsidR="00561B22" w:rsidRPr="00966B6C"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966B6C" w14:paraId="480C2BB0" w14:textId="77777777" w:rsidTr="00F1223B">
        <w:tc>
          <w:tcPr>
            <w:tcW w:w="562" w:type="dxa"/>
          </w:tcPr>
          <w:p w14:paraId="796CD14E" w14:textId="77777777" w:rsidR="00561B22" w:rsidRPr="00966B6C" w:rsidRDefault="00561B22" w:rsidP="00F1223B">
            <w:pPr>
              <w:ind w:right="-109"/>
              <w:jc w:val="center"/>
              <w:rPr>
                <w:rFonts w:ascii="Arial" w:hAnsi="Arial" w:cs="Arial"/>
                <w:b/>
                <w:sz w:val="22"/>
                <w:szCs w:val="22"/>
                <w:lang w:val="es-MX"/>
              </w:rPr>
            </w:pPr>
            <w:r w:rsidRPr="00966B6C">
              <w:rPr>
                <w:rFonts w:ascii="Arial" w:hAnsi="Arial" w:cs="Arial"/>
                <w:b/>
                <w:sz w:val="22"/>
                <w:szCs w:val="22"/>
                <w:lang w:val="es-MX"/>
              </w:rPr>
              <w:t>N°</w:t>
            </w:r>
          </w:p>
        </w:tc>
        <w:tc>
          <w:tcPr>
            <w:tcW w:w="9400" w:type="dxa"/>
          </w:tcPr>
          <w:p w14:paraId="5EA683B0"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RECOMENDACIONES</w:t>
            </w:r>
          </w:p>
          <w:p w14:paraId="3516D593" w14:textId="77777777" w:rsidR="00561B22" w:rsidRPr="00966B6C" w:rsidRDefault="00561B22" w:rsidP="00F1223B">
            <w:pPr>
              <w:jc w:val="center"/>
              <w:rPr>
                <w:rFonts w:ascii="Arial" w:hAnsi="Arial" w:cs="Arial"/>
                <w:b/>
                <w:sz w:val="22"/>
                <w:szCs w:val="22"/>
                <w:lang w:val="es-MX"/>
              </w:rPr>
            </w:pPr>
          </w:p>
        </w:tc>
      </w:tr>
      <w:tr w:rsidR="00561B22" w:rsidRPr="00966B6C" w14:paraId="4CA01B52" w14:textId="77777777" w:rsidTr="00F1223B">
        <w:tc>
          <w:tcPr>
            <w:tcW w:w="562" w:type="dxa"/>
          </w:tcPr>
          <w:p w14:paraId="15F4DD20"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lastRenderedPageBreak/>
              <w:t>1</w:t>
            </w:r>
          </w:p>
        </w:tc>
        <w:tc>
          <w:tcPr>
            <w:tcW w:w="9400" w:type="dxa"/>
          </w:tcPr>
          <w:p w14:paraId="6DD3D476"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Es recomendable elaborar acciones y metas de tipo correctivo y preventivo dirigidas a subsanar las causas que dan origen a las debilidades identificadas como resultado de la evaluación del</w:t>
            </w:r>
          </w:p>
          <w:p w14:paraId="728AA9C7"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sistema de control interno contable.</w:t>
            </w:r>
          </w:p>
        </w:tc>
      </w:tr>
      <w:tr w:rsidR="00561B22" w:rsidRPr="00966B6C" w14:paraId="488726BB" w14:textId="77777777" w:rsidTr="00F1223B">
        <w:tc>
          <w:tcPr>
            <w:tcW w:w="562" w:type="dxa"/>
          </w:tcPr>
          <w:p w14:paraId="35450583"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2</w:t>
            </w:r>
          </w:p>
        </w:tc>
        <w:tc>
          <w:tcPr>
            <w:tcW w:w="9400" w:type="dxa"/>
          </w:tcPr>
          <w:p w14:paraId="33F13B92"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 xml:space="preserve">Continuar con la circularización de las operaciones reciprocas con las entidades públicas con la debida antelación, con el fin de reflejar saldos razonable y coherente con las entidades en cita y minimizar el riesgo de reporte por parte de la Contaduría General de la Nación.  </w:t>
            </w:r>
          </w:p>
        </w:tc>
      </w:tr>
      <w:tr w:rsidR="00561B22" w:rsidRPr="00966B6C" w14:paraId="5F76AC7A" w14:textId="77777777" w:rsidTr="00F1223B">
        <w:tc>
          <w:tcPr>
            <w:tcW w:w="562" w:type="dxa"/>
          </w:tcPr>
          <w:p w14:paraId="03E5B3D9"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3</w:t>
            </w:r>
          </w:p>
        </w:tc>
        <w:tc>
          <w:tcPr>
            <w:tcW w:w="9400" w:type="dxa"/>
          </w:tcPr>
          <w:p w14:paraId="1E312C21"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Se recomienda continuar aplicando el ejercicio del autocontrol, encaminados al fortalecimiento del proceso de sostenibilidad financiera, actualizando de manera permanente el tablero de control del grupo de gestión administrativo y financiero y consultar esta herramienta diariamente con la finalidad de evitar situaciones que pongan en riesgo a la corporación por reportes extemporáneos a los entes de control y demás usuarios internos y externos.</w:t>
            </w:r>
          </w:p>
        </w:tc>
      </w:tr>
      <w:tr w:rsidR="00561B22" w:rsidRPr="00966B6C" w14:paraId="6F8A68BA" w14:textId="77777777" w:rsidTr="00F1223B">
        <w:tc>
          <w:tcPr>
            <w:tcW w:w="562" w:type="dxa"/>
          </w:tcPr>
          <w:p w14:paraId="66C3B0E4"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4</w:t>
            </w:r>
          </w:p>
        </w:tc>
        <w:tc>
          <w:tcPr>
            <w:tcW w:w="9400" w:type="dxa"/>
          </w:tcPr>
          <w:p w14:paraId="7C65FC3B"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Se recomienda formular y presentar de manera oportuna los planes de mejoramientos producto de las auditorías internas practicadas por la oficina de control interno, teniendo en cuenta el procedimiento de acciones preventivas, correctivas y de mejoras adoptada por la corporación y formalizado por el sistema de gestión integrado.</w:t>
            </w:r>
          </w:p>
        </w:tc>
      </w:tr>
      <w:tr w:rsidR="00561B22" w:rsidRPr="00966B6C" w14:paraId="33A01D56" w14:textId="77777777" w:rsidTr="00F1223B">
        <w:tc>
          <w:tcPr>
            <w:tcW w:w="562" w:type="dxa"/>
          </w:tcPr>
          <w:p w14:paraId="2BE0AD2B"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5</w:t>
            </w:r>
          </w:p>
        </w:tc>
        <w:tc>
          <w:tcPr>
            <w:tcW w:w="9400" w:type="dxa"/>
          </w:tcPr>
          <w:p w14:paraId="65601F5D"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Mejorar la redacción de las revelaciones de las notas a los estados financieros conforme a lo dispuesto en el Régimen de Contabilidad Pública.</w:t>
            </w:r>
          </w:p>
        </w:tc>
      </w:tr>
      <w:tr w:rsidR="00561B22" w:rsidRPr="00966B6C" w14:paraId="298457F2" w14:textId="77777777" w:rsidTr="00F1223B">
        <w:tc>
          <w:tcPr>
            <w:tcW w:w="562" w:type="dxa"/>
          </w:tcPr>
          <w:p w14:paraId="20922AF6" w14:textId="77777777" w:rsidR="00561B22" w:rsidRPr="00966B6C" w:rsidRDefault="00561B22" w:rsidP="00F1223B">
            <w:pPr>
              <w:jc w:val="center"/>
              <w:rPr>
                <w:rFonts w:ascii="Arial" w:hAnsi="Arial" w:cs="Arial"/>
                <w:b/>
                <w:sz w:val="22"/>
                <w:szCs w:val="22"/>
                <w:lang w:val="es-MX"/>
              </w:rPr>
            </w:pPr>
            <w:r w:rsidRPr="00966B6C">
              <w:rPr>
                <w:rFonts w:ascii="Arial" w:hAnsi="Arial" w:cs="Arial"/>
                <w:b/>
                <w:sz w:val="22"/>
                <w:szCs w:val="22"/>
                <w:lang w:val="es-MX"/>
              </w:rPr>
              <w:t>6</w:t>
            </w:r>
          </w:p>
        </w:tc>
        <w:tc>
          <w:tcPr>
            <w:tcW w:w="9400" w:type="dxa"/>
          </w:tcPr>
          <w:p w14:paraId="2286D41E" w14:textId="77777777" w:rsidR="00561B22" w:rsidRPr="00966B6C" w:rsidRDefault="00561B22" w:rsidP="00F1223B">
            <w:pPr>
              <w:jc w:val="both"/>
              <w:rPr>
                <w:rFonts w:ascii="Arial" w:hAnsi="Arial" w:cs="Arial"/>
                <w:bCs/>
                <w:sz w:val="22"/>
                <w:szCs w:val="22"/>
                <w:lang w:val="es-MX"/>
              </w:rPr>
            </w:pPr>
            <w:r w:rsidRPr="00966B6C">
              <w:rPr>
                <w:rFonts w:ascii="Arial" w:hAnsi="Arial" w:cs="Arial"/>
                <w:bCs/>
                <w:sz w:val="22"/>
                <w:szCs w:val="22"/>
                <w:lang w:val="es-MX"/>
              </w:rPr>
              <w:t>Se recomienda elaborar, revisar y analizar los boletines diarios de tesorería conforme al procedimiento adoptado en el sistema de gestión integrado de la corporación.</w:t>
            </w:r>
          </w:p>
        </w:tc>
      </w:tr>
    </w:tbl>
    <w:p w14:paraId="552E989C" w14:textId="77777777" w:rsidR="00561B22" w:rsidRPr="00966B6C" w:rsidRDefault="00561B22" w:rsidP="00561B22">
      <w:pPr>
        <w:pStyle w:val="Textoindependiente"/>
        <w:ind w:right="-50"/>
        <w:jc w:val="both"/>
        <w:rPr>
          <w:rFonts w:ascii="Arial" w:hAnsi="Arial" w:cs="Arial"/>
          <w:b/>
          <w:bCs/>
        </w:rPr>
      </w:pPr>
    </w:p>
    <w:p w14:paraId="77A16D43" w14:textId="77777777" w:rsidR="00561B22" w:rsidRPr="00966B6C" w:rsidRDefault="00561B22" w:rsidP="00561B22">
      <w:pPr>
        <w:jc w:val="both"/>
        <w:rPr>
          <w:rFonts w:ascii="Arial" w:hAnsi="Arial" w:cs="Arial"/>
          <w:b/>
          <w:bCs/>
          <w:sz w:val="24"/>
          <w:szCs w:val="24"/>
          <w:lang w:val="es-CO"/>
        </w:rPr>
      </w:pPr>
      <w:r w:rsidRPr="00966B6C">
        <w:rPr>
          <w:rFonts w:ascii="Arial" w:hAnsi="Arial" w:cs="Arial"/>
          <w:b/>
          <w:bCs/>
          <w:sz w:val="24"/>
          <w:szCs w:val="24"/>
          <w:lang w:val="es-CO"/>
        </w:rPr>
        <w:t xml:space="preserve">NOTA: LA ENTIDAD ENVÍA LA MATRIZ DE AUTOEVALUACIÓN DEL SISTEMA DE CONTROL INTERNO CONTABLE CON ACTIVIDADES DE CONTROL REALIZADAS </w:t>
      </w:r>
      <w:r w:rsidRPr="00966B6C">
        <w:rPr>
          <w:rFonts w:ascii="Arial" w:hAnsi="Arial" w:cs="Arial"/>
          <w:b/>
          <w:bCs/>
          <w:sz w:val="24"/>
          <w:szCs w:val="24"/>
          <w:u w:val="single"/>
          <w:lang w:val="es-CO"/>
        </w:rPr>
        <w:t>EN FORMA PARCIAL Y OTRAS SIMPLEMENTE INFORMAN QUE NO SE REALIZARON</w:t>
      </w:r>
      <w:r w:rsidRPr="00966B6C">
        <w:rPr>
          <w:rFonts w:ascii="Arial" w:hAnsi="Arial" w:cs="Arial"/>
          <w:b/>
          <w:bCs/>
          <w:sz w:val="24"/>
          <w:szCs w:val="24"/>
          <w:lang w:val="es-CO"/>
        </w:rPr>
        <w:t>.</w:t>
      </w:r>
    </w:p>
    <w:p w14:paraId="06E9A651" w14:textId="77777777" w:rsidR="00561B22" w:rsidRPr="00966B6C" w:rsidRDefault="00561B22" w:rsidP="00561B22">
      <w:pPr>
        <w:pStyle w:val="Ttulo1"/>
        <w:spacing w:before="93"/>
        <w:ind w:right="-50"/>
        <w:rPr>
          <w:sz w:val="28"/>
          <w:szCs w:val="28"/>
        </w:rPr>
      </w:pPr>
    </w:p>
    <w:p w14:paraId="4C9E3862" w14:textId="77777777" w:rsidR="00561B22" w:rsidRPr="001B59EE" w:rsidRDefault="00561B22" w:rsidP="00561B22">
      <w:pPr>
        <w:jc w:val="both"/>
        <w:rPr>
          <w:rFonts w:ascii="Arial" w:hAnsi="Arial" w:cs="Arial"/>
          <w:b/>
          <w:sz w:val="28"/>
          <w:szCs w:val="28"/>
          <w:lang w:val="es-MX"/>
        </w:rPr>
      </w:pPr>
      <w:r w:rsidRPr="001B59EE">
        <w:rPr>
          <w:rFonts w:ascii="Arial" w:hAnsi="Arial" w:cs="Arial"/>
          <w:b/>
          <w:sz w:val="28"/>
          <w:szCs w:val="28"/>
          <w:lang w:val="es-MX"/>
        </w:rPr>
        <w:t>276.- INSTITUTO COLOMBIANO AGROPECUARIO – ICA.</w:t>
      </w:r>
    </w:p>
    <w:p w14:paraId="6CE5E1F6" w14:textId="77777777" w:rsidR="00561B22" w:rsidRDefault="00561B22" w:rsidP="00561B22">
      <w:pPr>
        <w:pStyle w:val="Textoindependiente"/>
        <w:ind w:right="-50"/>
        <w:jc w:val="both"/>
        <w:rPr>
          <w:b/>
          <w:bCs/>
          <w:sz w:val="28"/>
          <w:szCs w:val="28"/>
        </w:rPr>
      </w:pPr>
    </w:p>
    <w:p w14:paraId="4A1A9CD1" w14:textId="77777777" w:rsidR="00561B22" w:rsidRPr="00B7501F" w:rsidRDefault="00561B22" w:rsidP="00561B22">
      <w:pPr>
        <w:pStyle w:val="Textoindependiente"/>
        <w:ind w:right="-50"/>
        <w:jc w:val="center"/>
        <w:rPr>
          <w:rFonts w:ascii="Arial" w:hAnsi="Arial" w:cs="Arial"/>
          <w:b/>
          <w:bCs/>
        </w:rPr>
      </w:pPr>
      <w:r w:rsidRPr="00B7501F">
        <w:rPr>
          <w:rFonts w:ascii="Arial" w:hAnsi="Arial" w:cs="Arial"/>
          <w:b/>
          <w:bCs/>
        </w:rPr>
        <w:t>INFORME DE LA AUTOCALIFICACIÓN DEL SISTEMA DE CONTROL INTERNO CONTABLE:</w:t>
      </w:r>
    </w:p>
    <w:p w14:paraId="79FEE0E7" w14:textId="77777777" w:rsidR="00561B22" w:rsidRPr="00B7501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B7501F" w14:paraId="69A2CB2A" w14:textId="77777777" w:rsidTr="00F1223B">
        <w:tc>
          <w:tcPr>
            <w:tcW w:w="4981" w:type="dxa"/>
          </w:tcPr>
          <w:p w14:paraId="4206FC19"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AUTOCALIFICACIÓN</w:t>
            </w:r>
          </w:p>
        </w:tc>
        <w:tc>
          <w:tcPr>
            <w:tcW w:w="4981" w:type="dxa"/>
          </w:tcPr>
          <w:p w14:paraId="2102206D" w14:textId="77777777" w:rsidR="00561B22" w:rsidRPr="00B7501F" w:rsidRDefault="00561B22" w:rsidP="00F1223B">
            <w:pPr>
              <w:jc w:val="center"/>
              <w:rPr>
                <w:rFonts w:ascii="Arial" w:hAnsi="Arial" w:cs="Arial"/>
                <w:b/>
                <w:sz w:val="22"/>
                <w:szCs w:val="22"/>
                <w:u w:val="single"/>
                <w:lang w:val="es-MX"/>
              </w:rPr>
            </w:pPr>
            <w:r w:rsidRPr="00B7501F">
              <w:rPr>
                <w:rFonts w:ascii="Arial" w:hAnsi="Arial" w:cs="Arial"/>
                <w:b/>
                <w:sz w:val="22"/>
                <w:szCs w:val="22"/>
                <w:u w:val="single"/>
                <w:lang w:val="es-MX"/>
              </w:rPr>
              <w:t>4.95</w:t>
            </w:r>
          </w:p>
        </w:tc>
      </w:tr>
    </w:tbl>
    <w:p w14:paraId="2558F4BC" w14:textId="77777777" w:rsidR="00561B22" w:rsidRPr="00B7501F" w:rsidRDefault="00561B22" w:rsidP="00561B22">
      <w:pPr>
        <w:pStyle w:val="Textoindependiente"/>
        <w:ind w:right="-50"/>
        <w:jc w:val="both"/>
        <w:rPr>
          <w:rFonts w:ascii="Arial" w:hAnsi="Arial" w:cs="Arial"/>
          <w:b/>
          <w:bCs/>
        </w:rPr>
      </w:pPr>
    </w:p>
    <w:p w14:paraId="60B1880B" w14:textId="77777777" w:rsidR="00561B22" w:rsidRPr="00B7501F" w:rsidRDefault="00561B22" w:rsidP="00561B22">
      <w:pPr>
        <w:pStyle w:val="Textoindependiente"/>
        <w:ind w:right="-50"/>
        <w:jc w:val="both"/>
        <w:rPr>
          <w:rFonts w:ascii="Arial" w:hAnsi="Arial" w:cs="Arial"/>
          <w:b/>
          <w:bCs/>
        </w:rPr>
      </w:pPr>
      <w:r w:rsidRPr="00B7501F">
        <w:rPr>
          <w:rFonts w:ascii="Arial" w:hAnsi="Arial" w:cs="Arial"/>
          <w:b/>
          <w:bCs/>
        </w:rPr>
        <w:t>Del informe enviado retomamos lo siguiente:</w:t>
      </w:r>
    </w:p>
    <w:p w14:paraId="15BCED3C" w14:textId="77777777" w:rsidR="00561B22" w:rsidRPr="00B7501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B7501F" w14:paraId="33D140FA" w14:textId="77777777" w:rsidTr="00F1223B">
        <w:tc>
          <w:tcPr>
            <w:tcW w:w="562" w:type="dxa"/>
          </w:tcPr>
          <w:p w14:paraId="0BE5C51B" w14:textId="77777777" w:rsidR="00561B22" w:rsidRPr="00B7501F" w:rsidRDefault="00561B22" w:rsidP="00F1223B">
            <w:pPr>
              <w:ind w:right="-109"/>
              <w:jc w:val="center"/>
              <w:rPr>
                <w:rFonts w:ascii="Arial" w:hAnsi="Arial" w:cs="Arial"/>
                <w:b/>
                <w:sz w:val="22"/>
                <w:szCs w:val="22"/>
                <w:lang w:val="es-MX"/>
              </w:rPr>
            </w:pPr>
            <w:r w:rsidRPr="00B7501F">
              <w:rPr>
                <w:rFonts w:ascii="Arial" w:hAnsi="Arial" w:cs="Arial"/>
                <w:b/>
                <w:sz w:val="22"/>
                <w:szCs w:val="22"/>
                <w:lang w:val="es-MX"/>
              </w:rPr>
              <w:t>N°</w:t>
            </w:r>
          </w:p>
        </w:tc>
        <w:tc>
          <w:tcPr>
            <w:tcW w:w="9400" w:type="dxa"/>
          </w:tcPr>
          <w:p w14:paraId="08C75A07"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DEBILIDADES</w:t>
            </w:r>
          </w:p>
          <w:p w14:paraId="62D58161" w14:textId="77777777" w:rsidR="00561B22" w:rsidRPr="00B7501F" w:rsidRDefault="00561B22" w:rsidP="00F1223B">
            <w:pPr>
              <w:jc w:val="center"/>
              <w:rPr>
                <w:rFonts w:ascii="Arial" w:hAnsi="Arial" w:cs="Arial"/>
                <w:b/>
                <w:sz w:val="22"/>
                <w:szCs w:val="22"/>
                <w:lang w:val="es-MX"/>
              </w:rPr>
            </w:pPr>
          </w:p>
        </w:tc>
      </w:tr>
      <w:tr w:rsidR="00561B22" w:rsidRPr="00B7501F" w14:paraId="3B62DE80" w14:textId="77777777" w:rsidTr="00F1223B">
        <w:tc>
          <w:tcPr>
            <w:tcW w:w="562" w:type="dxa"/>
          </w:tcPr>
          <w:p w14:paraId="7DB68F62"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1</w:t>
            </w:r>
          </w:p>
        </w:tc>
        <w:tc>
          <w:tcPr>
            <w:tcW w:w="9400" w:type="dxa"/>
          </w:tcPr>
          <w:p w14:paraId="5FA79743"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 xml:space="preserve">No existe un sistema de información que permita integrar la totalidad de los procesos que confluyen en la contabilidad. </w:t>
            </w:r>
          </w:p>
        </w:tc>
      </w:tr>
      <w:tr w:rsidR="00561B22" w:rsidRPr="00B7501F" w14:paraId="41FBDC41" w14:textId="77777777" w:rsidTr="00F1223B">
        <w:tc>
          <w:tcPr>
            <w:tcW w:w="562" w:type="dxa"/>
          </w:tcPr>
          <w:p w14:paraId="5AFEA353"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2</w:t>
            </w:r>
          </w:p>
        </w:tc>
        <w:tc>
          <w:tcPr>
            <w:tcW w:w="9400" w:type="dxa"/>
          </w:tcPr>
          <w:p w14:paraId="75CC8449"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El flujo de la información es inoportuno en algunos procesos que proveen información al área contable.</w:t>
            </w:r>
          </w:p>
        </w:tc>
      </w:tr>
      <w:tr w:rsidR="00561B22" w:rsidRPr="00B7501F" w14:paraId="0321A83C" w14:textId="77777777" w:rsidTr="00F1223B">
        <w:tc>
          <w:tcPr>
            <w:tcW w:w="562" w:type="dxa"/>
          </w:tcPr>
          <w:p w14:paraId="763D8DA4"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3</w:t>
            </w:r>
          </w:p>
        </w:tc>
        <w:tc>
          <w:tcPr>
            <w:tcW w:w="9400" w:type="dxa"/>
          </w:tcPr>
          <w:p w14:paraId="326FB93A"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Se presentan limitaciones en las funcionalidades del SIIF Nación II, las cuales originan reclasificaciones y ajustes manuales, necesarios para registrar adecuadamente las transacciones realizadas por la Entidad.</w:t>
            </w:r>
          </w:p>
        </w:tc>
      </w:tr>
      <w:tr w:rsidR="00561B22" w:rsidRPr="00B7501F" w14:paraId="4A9C1A14" w14:textId="77777777" w:rsidTr="00F1223B">
        <w:tc>
          <w:tcPr>
            <w:tcW w:w="562" w:type="dxa"/>
          </w:tcPr>
          <w:p w14:paraId="3D3FC82F"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4</w:t>
            </w:r>
          </w:p>
        </w:tc>
        <w:tc>
          <w:tcPr>
            <w:tcW w:w="9400" w:type="dxa"/>
          </w:tcPr>
          <w:p w14:paraId="52EF8A5E"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La conciliación de la información contable con algunas áreas no se realiza en forma permanente, ni oportuna.</w:t>
            </w:r>
          </w:p>
        </w:tc>
      </w:tr>
      <w:tr w:rsidR="00561B22" w:rsidRPr="00B7501F" w14:paraId="4D001371" w14:textId="77777777" w:rsidTr="00F1223B">
        <w:tc>
          <w:tcPr>
            <w:tcW w:w="562" w:type="dxa"/>
          </w:tcPr>
          <w:p w14:paraId="61A15A9D"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5</w:t>
            </w:r>
          </w:p>
        </w:tc>
        <w:tc>
          <w:tcPr>
            <w:tcW w:w="9400" w:type="dxa"/>
          </w:tcPr>
          <w:p w14:paraId="061E21B7"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No se realizó en su totalidad la toma física de inventario de bienes.</w:t>
            </w:r>
          </w:p>
        </w:tc>
      </w:tr>
      <w:tr w:rsidR="00561B22" w:rsidRPr="00B7501F" w14:paraId="24E06AA3" w14:textId="77777777" w:rsidTr="00F1223B">
        <w:tc>
          <w:tcPr>
            <w:tcW w:w="562" w:type="dxa"/>
          </w:tcPr>
          <w:p w14:paraId="16F6A51A"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6</w:t>
            </w:r>
          </w:p>
        </w:tc>
        <w:tc>
          <w:tcPr>
            <w:tcW w:w="9400" w:type="dxa"/>
          </w:tcPr>
          <w:p w14:paraId="0F28A220"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Se evidencia debilidad en la planeación y ejecución de las diferentes actividades que inciden en el proceso contable, situación que hace que la información se presente sobre el tiempo límite establecido, dificultando la revisión y análisis.</w:t>
            </w:r>
          </w:p>
        </w:tc>
      </w:tr>
      <w:tr w:rsidR="00561B22" w:rsidRPr="00B7501F" w14:paraId="005A988F" w14:textId="77777777" w:rsidTr="00F1223B">
        <w:tc>
          <w:tcPr>
            <w:tcW w:w="562" w:type="dxa"/>
          </w:tcPr>
          <w:p w14:paraId="5067ADDB"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7</w:t>
            </w:r>
          </w:p>
        </w:tc>
        <w:tc>
          <w:tcPr>
            <w:tcW w:w="9400" w:type="dxa"/>
          </w:tcPr>
          <w:p w14:paraId="34857EB4"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 xml:space="preserve">No se realiza seguimiento oportuno a los planes de mejoramiento establecidos. </w:t>
            </w:r>
          </w:p>
        </w:tc>
      </w:tr>
      <w:tr w:rsidR="00561B22" w:rsidRPr="00B7501F" w14:paraId="119A8E51" w14:textId="77777777" w:rsidTr="00F1223B">
        <w:tc>
          <w:tcPr>
            <w:tcW w:w="562" w:type="dxa"/>
          </w:tcPr>
          <w:p w14:paraId="2E9B5F45"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8</w:t>
            </w:r>
          </w:p>
        </w:tc>
        <w:tc>
          <w:tcPr>
            <w:tcW w:w="9400" w:type="dxa"/>
          </w:tcPr>
          <w:p w14:paraId="19A2B230"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Aunque se han mejorado los controles existentes para los ingresos del Instituto, estos no se aplican correctamente en términos de ejecución y oportunidad.</w:t>
            </w:r>
          </w:p>
        </w:tc>
      </w:tr>
    </w:tbl>
    <w:p w14:paraId="715279B6" w14:textId="77777777" w:rsidR="00561B22" w:rsidRPr="00B7501F" w:rsidRDefault="00561B22" w:rsidP="00561B22">
      <w:pPr>
        <w:pStyle w:val="Textoindependiente"/>
        <w:ind w:right="-50"/>
        <w:jc w:val="both"/>
        <w:rPr>
          <w:rFonts w:ascii="Arial" w:hAnsi="Arial" w:cs="Arial"/>
          <w:b/>
          <w:bCs/>
        </w:rPr>
      </w:pPr>
    </w:p>
    <w:p w14:paraId="0414357B" w14:textId="77777777" w:rsidR="00561B22" w:rsidRPr="00B7501F" w:rsidRDefault="00561B22" w:rsidP="00561B22">
      <w:pPr>
        <w:jc w:val="both"/>
        <w:rPr>
          <w:rFonts w:ascii="Arial" w:hAnsi="Arial" w:cs="Arial"/>
          <w:b/>
          <w:lang w:val="es-MX"/>
        </w:rPr>
      </w:pPr>
      <w:r w:rsidRPr="00B7501F">
        <w:rPr>
          <w:rFonts w:ascii="Arial" w:hAnsi="Arial" w:cs="Arial"/>
          <w:b/>
          <w:lang w:val="es-MX"/>
        </w:rPr>
        <w:t>Del citado informe retomamos las siguientes recomendaciones:</w:t>
      </w:r>
    </w:p>
    <w:p w14:paraId="165454A0" w14:textId="77777777" w:rsidR="00561B22" w:rsidRPr="00B7501F"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B7501F" w14:paraId="1ADB8C97" w14:textId="77777777" w:rsidTr="00F1223B">
        <w:tc>
          <w:tcPr>
            <w:tcW w:w="562" w:type="dxa"/>
          </w:tcPr>
          <w:p w14:paraId="3C3F46A8" w14:textId="77777777" w:rsidR="00561B22" w:rsidRPr="00B7501F" w:rsidRDefault="00561B22" w:rsidP="00F1223B">
            <w:pPr>
              <w:ind w:right="-109"/>
              <w:jc w:val="center"/>
              <w:rPr>
                <w:rFonts w:ascii="Arial" w:hAnsi="Arial" w:cs="Arial"/>
                <w:b/>
                <w:sz w:val="22"/>
                <w:szCs w:val="22"/>
                <w:lang w:val="es-MX"/>
              </w:rPr>
            </w:pPr>
            <w:r w:rsidRPr="00B7501F">
              <w:rPr>
                <w:rFonts w:ascii="Arial" w:hAnsi="Arial" w:cs="Arial"/>
                <w:b/>
                <w:sz w:val="22"/>
                <w:szCs w:val="22"/>
                <w:lang w:val="es-MX"/>
              </w:rPr>
              <w:t>N°</w:t>
            </w:r>
          </w:p>
        </w:tc>
        <w:tc>
          <w:tcPr>
            <w:tcW w:w="9400" w:type="dxa"/>
          </w:tcPr>
          <w:p w14:paraId="62866E46"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RECOMENDACIONES</w:t>
            </w:r>
          </w:p>
          <w:p w14:paraId="5A416C10" w14:textId="77777777" w:rsidR="00561B22" w:rsidRPr="00B7501F" w:rsidRDefault="00561B22" w:rsidP="00F1223B">
            <w:pPr>
              <w:jc w:val="center"/>
              <w:rPr>
                <w:rFonts w:ascii="Arial" w:hAnsi="Arial" w:cs="Arial"/>
                <w:b/>
                <w:sz w:val="22"/>
                <w:szCs w:val="22"/>
                <w:lang w:val="es-MX"/>
              </w:rPr>
            </w:pPr>
          </w:p>
        </w:tc>
      </w:tr>
      <w:tr w:rsidR="00561B22" w:rsidRPr="00B7501F" w14:paraId="7D14EBC2" w14:textId="77777777" w:rsidTr="00F1223B">
        <w:tc>
          <w:tcPr>
            <w:tcW w:w="562" w:type="dxa"/>
          </w:tcPr>
          <w:p w14:paraId="73AD2A1C"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1</w:t>
            </w:r>
          </w:p>
        </w:tc>
        <w:tc>
          <w:tcPr>
            <w:tcW w:w="9400" w:type="dxa"/>
          </w:tcPr>
          <w:p w14:paraId="55356949"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Continuar con la actualización y documentación de los procedimientos inherentes al proceso contable.</w:t>
            </w:r>
          </w:p>
        </w:tc>
      </w:tr>
      <w:tr w:rsidR="00561B22" w:rsidRPr="00B7501F" w14:paraId="1D207E68" w14:textId="77777777" w:rsidTr="00F1223B">
        <w:tc>
          <w:tcPr>
            <w:tcW w:w="562" w:type="dxa"/>
          </w:tcPr>
          <w:p w14:paraId="26A5744E"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2</w:t>
            </w:r>
          </w:p>
        </w:tc>
        <w:tc>
          <w:tcPr>
            <w:tcW w:w="9400" w:type="dxa"/>
          </w:tcPr>
          <w:p w14:paraId="346B8D82"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Realizar permanente seguimiento a los planes de mejoramiento, con el fin de establecer si las acciones realizadas son efectivas y reformular oportunamente aquellas que lo requieran, con el fin de subsanar las observaciones y hallazgos que dieron origen a los mismos.</w:t>
            </w:r>
          </w:p>
        </w:tc>
      </w:tr>
      <w:tr w:rsidR="00561B22" w:rsidRPr="00B7501F" w14:paraId="0982CF8F" w14:textId="77777777" w:rsidTr="00F1223B">
        <w:tc>
          <w:tcPr>
            <w:tcW w:w="562" w:type="dxa"/>
          </w:tcPr>
          <w:p w14:paraId="029E2EE1"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3</w:t>
            </w:r>
          </w:p>
        </w:tc>
        <w:tc>
          <w:tcPr>
            <w:tcW w:w="9400" w:type="dxa"/>
          </w:tcPr>
          <w:p w14:paraId="09793214"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Implementar un sistema de indicadores para analizar e interpretar la realidad económica, social y ambiental del Instituto.</w:t>
            </w:r>
          </w:p>
        </w:tc>
      </w:tr>
      <w:tr w:rsidR="00561B22" w:rsidRPr="00B7501F" w14:paraId="06FB06E9" w14:textId="77777777" w:rsidTr="00F1223B">
        <w:tc>
          <w:tcPr>
            <w:tcW w:w="562" w:type="dxa"/>
          </w:tcPr>
          <w:p w14:paraId="7A616472"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4</w:t>
            </w:r>
          </w:p>
        </w:tc>
        <w:tc>
          <w:tcPr>
            <w:tcW w:w="9400" w:type="dxa"/>
          </w:tcPr>
          <w:p w14:paraId="0557739D"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Fortalecer el cumplimiento a las directrices emitidas por los órganos de control y la alta dirección en lo inherente al proceso contable.</w:t>
            </w:r>
          </w:p>
        </w:tc>
      </w:tr>
      <w:tr w:rsidR="00561B22" w:rsidRPr="00B7501F" w14:paraId="4FA5608C" w14:textId="77777777" w:rsidTr="00F1223B">
        <w:tc>
          <w:tcPr>
            <w:tcW w:w="562" w:type="dxa"/>
          </w:tcPr>
          <w:p w14:paraId="6744C6F3"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5</w:t>
            </w:r>
          </w:p>
        </w:tc>
        <w:tc>
          <w:tcPr>
            <w:tcW w:w="9400" w:type="dxa"/>
          </w:tcPr>
          <w:p w14:paraId="54913BDB"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 xml:space="preserve">Implementar acciones que permitan el mejoramiento continuo, fortalecer la autoevaluación y </w:t>
            </w:r>
          </w:p>
          <w:p w14:paraId="62B229C2"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 xml:space="preserve">seguimiento a los riesgos inherentes al proceso contable y el fortalecimiento del sistema de </w:t>
            </w:r>
          </w:p>
          <w:p w14:paraId="67F8D236"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control interno contable.</w:t>
            </w:r>
          </w:p>
        </w:tc>
      </w:tr>
      <w:tr w:rsidR="00561B22" w:rsidRPr="00B7501F" w14:paraId="58D8E141" w14:textId="77777777" w:rsidTr="00F1223B">
        <w:tc>
          <w:tcPr>
            <w:tcW w:w="562" w:type="dxa"/>
          </w:tcPr>
          <w:p w14:paraId="1675A92A"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6</w:t>
            </w:r>
          </w:p>
        </w:tc>
        <w:tc>
          <w:tcPr>
            <w:tcW w:w="9400" w:type="dxa"/>
          </w:tcPr>
          <w:p w14:paraId="3AE75C9E"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Continuar con las actividades relacionadas con los auxiliares de detalle, de activos, ingresos y nómina.</w:t>
            </w:r>
          </w:p>
        </w:tc>
      </w:tr>
      <w:tr w:rsidR="00561B22" w:rsidRPr="00B7501F" w14:paraId="502D7320" w14:textId="77777777" w:rsidTr="00F1223B">
        <w:tc>
          <w:tcPr>
            <w:tcW w:w="562" w:type="dxa"/>
          </w:tcPr>
          <w:p w14:paraId="13465BE0"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7</w:t>
            </w:r>
          </w:p>
        </w:tc>
        <w:tc>
          <w:tcPr>
            <w:tcW w:w="9400" w:type="dxa"/>
          </w:tcPr>
          <w:p w14:paraId="0D3F4B03"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Realizar un estudio técnico de la planta de personal, para fortalecer las áreas que inciden en el proceso contable del Instituto, acorde con la complejidad y estructura de la Entidad.</w:t>
            </w:r>
          </w:p>
        </w:tc>
      </w:tr>
      <w:tr w:rsidR="00561B22" w:rsidRPr="00B7501F" w14:paraId="35E13449" w14:textId="77777777" w:rsidTr="00F1223B">
        <w:tc>
          <w:tcPr>
            <w:tcW w:w="562" w:type="dxa"/>
          </w:tcPr>
          <w:p w14:paraId="7AA685F0"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8</w:t>
            </w:r>
          </w:p>
        </w:tc>
        <w:tc>
          <w:tcPr>
            <w:tcW w:w="9400" w:type="dxa"/>
          </w:tcPr>
          <w:p w14:paraId="616D36EE"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Establecer controles que permitan que el flujo de información al área contable sea oportuno, garantizando contar a tiempo con información veraz, requerida para la elaboración y presentación de los estados financieros, dentro de los términos establecidos.</w:t>
            </w:r>
          </w:p>
        </w:tc>
      </w:tr>
      <w:tr w:rsidR="00561B22" w:rsidRPr="00B7501F" w14:paraId="3F613FC5" w14:textId="77777777" w:rsidTr="00F1223B">
        <w:tc>
          <w:tcPr>
            <w:tcW w:w="562" w:type="dxa"/>
          </w:tcPr>
          <w:p w14:paraId="1B9F969C"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9</w:t>
            </w:r>
          </w:p>
        </w:tc>
        <w:tc>
          <w:tcPr>
            <w:tcW w:w="9400" w:type="dxa"/>
          </w:tcPr>
          <w:p w14:paraId="54619A17"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Continuar con la socialización de las políticas, normas, procedimientos y directrices, tanto al interior del Grupo de Gestión Contable, como con las diferentes áreas que generan y proveen información al proceso.</w:t>
            </w:r>
          </w:p>
        </w:tc>
      </w:tr>
      <w:tr w:rsidR="00561B22" w:rsidRPr="00B7501F" w14:paraId="6C2316D5" w14:textId="77777777" w:rsidTr="00F1223B">
        <w:tc>
          <w:tcPr>
            <w:tcW w:w="562" w:type="dxa"/>
          </w:tcPr>
          <w:p w14:paraId="10D83320"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10</w:t>
            </w:r>
          </w:p>
        </w:tc>
        <w:tc>
          <w:tcPr>
            <w:tcW w:w="9400" w:type="dxa"/>
          </w:tcPr>
          <w:p w14:paraId="512DFBD6"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Fortalecer el proceso de análisis de la información y generar en forma oportuna los registros y ajustes requeridos.</w:t>
            </w:r>
          </w:p>
        </w:tc>
      </w:tr>
      <w:tr w:rsidR="00561B22" w:rsidRPr="00B7501F" w14:paraId="1F887E60" w14:textId="77777777" w:rsidTr="00F1223B">
        <w:tc>
          <w:tcPr>
            <w:tcW w:w="562" w:type="dxa"/>
          </w:tcPr>
          <w:p w14:paraId="192FDE45"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11</w:t>
            </w:r>
          </w:p>
        </w:tc>
        <w:tc>
          <w:tcPr>
            <w:tcW w:w="9400" w:type="dxa"/>
          </w:tcPr>
          <w:p w14:paraId="5C6EBE54"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Socializar por los canales de comunicación oficiales las actualizaciones y publicación de nuevos Procedimientos, Guías, Instructivos, entre otros.</w:t>
            </w:r>
          </w:p>
        </w:tc>
      </w:tr>
      <w:tr w:rsidR="00561B22" w:rsidRPr="00B7501F" w14:paraId="42352913" w14:textId="77777777" w:rsidTr="00F1223B">
        <w:tc>
          <w:tcPr>
            <w:tcW w:w="562" w:type="dxa"/>
          </w:tcPr>
          <w:p w14:paraId="5264E4E4" w14:textId="77777777" w:rsidR="00561B22" w:rsidRPr="00B7501F" w:rsidRDefault="00561B22" w:rsidP="00F1223B">
            <w:pPr>
              <w:jc w:val="center"/>
              <w:rPr>
                <w:rFonts w:ascii="Arial" w:hAnsi="Arial" w:cs="Arial"/>
                <w:b/>
                <w:sz w:val="22"/>
                <w:szCs w:val="22"/>
                <w:lang w:val="es-MX"/>
              </w:rPr>
            </w:pPr>
            <w:r w:rsidRPr="00B7501F">
              <w:rPr>
                <w:rFonts w:ascii="Arial" w:hAnsi="Arial" w:cs="Arial"/>
                <w:b/>
                <w:sz w:val="22"/>
                <w:szCs w:val="22"/>
                <w:lang w:val="es-MX"/>
              </w:rPr>
              <w:t>12</w:t>
            </w:r>
          </w:p>
        </w:tc>
        <w:tc>
          <w:tcPr>
            <w:tcW w:w="9400" w:type="dxa"/>
          </w:tcPr>
          <w:p w14:paraId="03ADEBA1" w14:textId="77777777" w:rsidR="00561B22" w:rsidRPr="00B7501F" w:rsidRDefault="00561B22" w:rsidP="00F1223B">
            <w:pPr>
              <w:jc w:val="both"/>
              <w:rPr>
                <w:rFonts w:ascii="Arial" w:hAnsi="Arial" w:cs="Arial"/>
                <w:bCs/>
                <w:sz w:val="22"/>
                <w:szCs w:val="22"/>
                <w:lang w:val="es-MX"/>
              </w:rPr>
            </w:pPr>
            <w:r w:rsidRPr="00B7501F">
              <w:rPr>
                <w:rFonts w:ascii="Arial" w:hAnsi="Arial" w:cs="Arial"/>
                <w:bCs/>
                <w:sz w:val="22"/>
                <w:szCs w:val="22"/>
                <w:lang w:val="es-MX"/>
              </w:rPr>
              <w:t>Socializar ante el Comité Institucional de Coordinación del Sistema de Control Interno el análisis de las situaciones relevantes contenidas e</w:t>
            </w:r>
            <w:proofErr w:type="gramStart"/>
            <w:r w:rsidRPr="00B7501F">
              <w:rPr>
                <w:rFonts w:ascii="Arial" w:hAnsi="Arial" w:cs="Arial"/>
                <w:bCs/>
                <w:sz w:val="22"/>
                <w:szCs w:val="22"/>
                <w:lang w:val="es-MX"/>
              </w:rPr>
              <w:t>…(</w:t>
            </w:r>
            <w:proofErr w:type="gramEnd"/>
            <w:r w:rsidRPr="00B7501F">
              <w:rPr>
                <w:rFonts w:ascii="Arial" w:hAnsi="Arial" w:cs="Arial"/>
                <w:bCs/>
                <w:sz w:val="22"/>
                <w:szCs w:val="22"/>
                <w:lang w:val="es-MX"/>
              </w:rPr>
              <w:t>Texto incompleto).</w:t>
            </w:r>
          </w:p>
        </w:tc>
      </w:tr>
    </w:tbl>
    <w:p w14:paraId="0C75907A" w14:textId="77777777" w:rsidR="00561B22" w:rsidRPr="00B7501F" w:rsidRDefault="00561B22" w:rsidP="00561B22">
      <w:pPr>
        <w:pStyle w:val="Textoindependiente"/>
        <w:ind w:right="-50"/>
        <w:jc w:val="both"/>
        <w:rPr>
          <w:rFonts w:ascii="Arial" w:hAnsi="Arial" w:cs="Arial"/>
          <w:b/>
          <w:bCs/>
        </w:rPr>
      </w:pPr>
    </w:p>
    <w:p w14:paraId="1534523E" w14:textId="77777777" w:rsidR="00561B22" w:rsidRPr="00B7501F" w:rsidRDefault="00561B22" w:rsidP="00561B22">
      <w:pPr>
        <w:jc w:val="both"/>
        <w:rPr>
          <w:rFonts w:ascii="Arial" w:hAnsi="Arial" w:cs="Arial"/>
          <w:b/>
          <w:bCs/>
          <w:sz w:val="24"/>
          <w:szCs w:val="24"/>
          <w:lang w:val="es-CO"/>
        </w:rPr>
      </w:pPr>
      <w:r w:rsidRPr="00B7501F">
        <w:rPr>
          <w:rFonts w:ascii="Arial" w:hAnsi="Arial" w:cs="Arial"/>
          <w:b/>
          <w:bCs/>
          <w:sz w:val="24"/>
          <w:szCs w:val="24"/>
          <w:lang w:val="es-CO"/>
        </w:rPr>
        <w:t xml:space="preserve">NOTA: LA ENTIDAD ENVÍA LA MATRIZ DE AUTOEVALUACIÓN DEL SISTEMA DE CONTROL INTERNO CONTABLE CON </w:t>
      </w:r>
      <w:r w:rsidRPr="00B7501F">
        <w:rPr>
          <w:rFonts w:ascii="Arial" w:hAnsi="Arial" w:cs="Arial"/>
          <w:b/>
          <w:bCs/>
          <w:sz w:val="24"/>
          <w:szCs w:val="24"/>
          <w:u w:val="single"/>
          <w:lang w:val="es-CO"/>
        </w:rPr>
        <w:t>ACTIVIDADES DE CONTROL REALIZADAS EN FORMA PARCIAL</w:t>
      </w:r>
      <w:r w:rsidRPr="00B7501F">
        <w:rPr>
          <w:rFonts w:ascii="Arial" w:hAnsi="Arial" w:cs="Arial"/>
          <w:b/>
          <w:bCs/>
          <w:sz w:val="24"/>
          <w:szCs w:val="24"/>
          <w:lang w:val="es-CO"/>
        </w:rPr>
        <w:t>.</w:t>
      </w:r>
    </w:p>
    <w:p w14:paraId="1343D7AA" w14:textId="77777777" w:rsidR="00561B22" w:rsidRDefault="00561B22" w:rsidP="00561B22">
      <w:pPr>
        <w:jc w:val="both"/>
        <w:rPr>
          <w:rFonts w:ascii="Arial" w:hAnsi="Arial" w:cs="Arial"/>
          <w:b/>
          <w:bCs/>
          <w:sz w:val="24"/>
          <w:szCs w:val="24"/>
          <w:lang w:val="es-CO"/>
        </w:rPr>
      </w:pPr>
    </w:p>
    <w:p w14:paraId="2CB53EA5" w14:textId="77777777" w:rsidR="00561B22" w:rsidRPr="00FA39C8" w:rsidRDefault="00561B22" w:rsidP="00561B22">
      <w:pPr>
        <w:jc w:val="both"/>
        <w:rPr>
          <w:rFonts w:ascii="Arial" w:hAnsi="Arial" w:cs="Arial"/>
          <w:b/>
          <w:sz w:val="28"/>
          <w:szCs w:val="28"/>
          <w:lang w:val="es-MX"/>
        </w:rPr>
      </w:pPr>
      <w:r w:rsidRPr="00FA39C8">
        <w:rPr>
          <w:rFonts w:ascii="Arial" w:hAnsi="Arial" w:cs="Arial"/>
          <w:b/>
          <w:sz w:val="28"/>
          <w:szCs w:val="28"/>
          <w:lang w:val="es-MX"/>
        </w:rPr>
        <w:t>277.- CONSEJO PROFESIONAL NACIONAL DE INGENIERIA – COPNIA.</w:t>
      </w:r>
    </w:p>
    <w:p w14:paraId="40310806" w14:textId="77777777" w:rsidR="00561B22" w:rsidRDefault="00561B22" w:rsidP="00561B22">
      <w:pPr>
        <w:jc w:val="both"/>
        <w:rPr>
          <w:rFonts w:ascii="Arial" w:hAnsi="Arial" w:cs="Arial"/>
          <w:b/>
          <w:bCs/>
          <w:sz w:val="24"/>
          <w:szCs w:val="24"/>
          <w:lang w:val="es-CO"/>
        </w:rPr>
      </w:pPr>
    </w:p>
    <w:p w14:paraId="340D9DFB" w14:textId="77777777" w:rsidR="00561B22" w:rsidRPr="00FA39C8" w:rsidRDefault="00561B22" w:rsidP="00561B22">
      <w:pPr>
        <w:pStyle w:val="Textoindependiente"/>
        <w:ind w:right="-50"/>
        <w:jc w:val="both"/>
        <w:rPr>
          <w:rFonts w:ascii="Arial" w:hAnsi="Arial" w:cs="Arial"/>
          <w:b/>
          <w:bCs/>
        </w:rPr>
      </w:pPr>
      <w:r w:rsidRPr="00FA39C8">
        <w:rPr>
          <w:rFonts w:ascii="Arial" w:hAnsi="Arial" w:cs="Arial"/>
          <w:b/>
          <w:bCs/>
        </w:rPr>
        <w:t>INFORME DE LA AUTOCALIFICACIÓN DEL SISTEMA DE CONTROL INTERNO CONTABLE:</w:t>
      </w:r>
    </w:p>
    <w:p w14:paraId="09726AD2" w14:textId="77777777" w:rsidR="00561B22" w:rsidRPr="00FA39C8" w:rsidRDefault="00561B22" w:rsidP="00561B22">
      <w:pPr>
        <w:pStyle w:val="Textoindependiente"/>
        <w:tabs>
          <w:tab w:val="left" w:pos="3084"/>
        </w:tabs>
        <w:ind w:right="-50"/>
        <w:jc w:val="both"/>
        <w:rPr>
          <w:rFonts w:ascii="Arial" w:hAnsi="Arial" w:cs="Arial"/>
          <w:b/>
          <w:bCs/>
        </w:rPr>
      </w:pPr>
      <w:r>
        <w:rPr>
          <w:rFonts w:ascii="Arial" w:hAnsi="Arial" w:cs="Arial"/>
          <w:b/>
          <w:bCs/>
        </w:rPr>
        <w:tab/>
      </w:r>
    </w:p>
    <w:tbl>
      <w:tblPr>
        <w:tblStyle w:val="Tablaconcuadrcula"/>
        <w:tblW w:w="0" w:type="auto"/>
        <w:tblLook w:val="04A0" w:firstRow="1" w:lastRow="0" w:firstColumn="1" w:lastColumn="0" w:noHBand="0" w:noVBand="1"/>
      </w:tblPr>
      <w:tblGrid>
        <w:gridCol w:w="4981"/>
        <w:gridCol w:w="4981"/>
      </w:tblGrid>
      <w:tr w:rsidR="00561B22" w:rsidRPr="00FA39C8" w14:paraId="2103C256" w14:textId="77777777" w:rsidTr="00F1223B">
        <w:tc>
          <w:tcPr>
            <w:tcW w:w="4981" w:type="dxa"/>
          </w:tcPr>
          <w:p w14:paraId="0578BC74"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t>AUTOCALIFICACIÓN</w:t>
            </w:r>
          </w:p>
        </w:tc>
        <w:tc>
          <w:tcPr>
            <w:tcW w:w="4981" w:type="dxa"/>
          </w:tcPr>
          <w:p w14:paraId="03E27088" w14:textId="77777777" w:rsidR="00561B22" w:rsidRPr="00FA39C8" w:rsidRDefault="00561B22" w:rsidP="00F1223B">
            <w:pPr>
              <w:jc w:val="center"/>
              <w:rPr>
                <w:rFonts w:ascii="Arial" w:hAnsi="Arial" w:cs="Arial"/>
                <w:b/>
                <w:sz w:val="22"/>
                <w:szCs w:val="22"/>
                <w:u w:val="single"/>
                <w:lang w:val="es-MX"/>
              </w:rPr>
            </w:pPr>
            <w:r w:rsidRPr="00FA39C8">
              <w:rPr>
                <w:rFonts w:ascii="Arial" w:hAnsi="Arial" w:cs="Arial"/>
                <w:b/>
                <w:sz w:val="22"/>
                <w:szCs w:val="22"/>
                <w:u w:val="single"/>
                <w:lang w:val="es-MX"/>
              </w:rPr>
              <w:t>4,92</w:t>
            </w:r>
          </w:p>
        </w:tc>
      </w:tr>
    </w:tbl>
    <w:p w14:paraId="2843282C" w14:textId="77777777" w:rsidR="00561B22" w:rsidRPr="00FA39C8" w:rsidRDefault="00561B22" w:rsidP="00561B22">
      <w:pPr>
        <w:pStyle w:val="Textoindependiente"/>
        <w:ind w:right="-50"/>
        <w:jc w:val="both"/>
        <w:rPr>
          <w:rFonts w:ascii="Arial" w:hAnsi="Arial" w:cs="Arial"/>
          <w:b/>
          <w:bCs/>
        </w:rPr>
      </w:pPr>
    </w:p>
    <w:p w14:paraId="3368EC0A" w14:textId="77777777" w:rsidR="00561B22" w:rsidRPr="00FA39C8" w:rsidRDefault="00561B22" w:rsidP="00561B22">
      <w:pPr>
        <w:pStyle w:val="Textoindependiente"/>
        <w:ind w:right="-50"/>
        <w:jc w:val="both"/>
        <w:rPr>
          <w:rFonts w:ascii="Arial" w:hAnsi="Arial" w:cs="Arial"/>
          <w:b/>
          <w:bCs/>
        </w:rPr>
      </w:pPr>
      <w:r w:rsidRPr="00FA39C8">
        <w:rPr>
          <w:rFonts w:ascii="Arial" w:hAnsi="Arial" w:cs="Arial"/>
          <w:b/>
          <w:bCs/>
        </w:rPr>
        <w:t>Del informe enviado retomamos lo siguiente:</w:t>
      </w:r>
    </w:p>
    <w:p w14:paraId="5B33FD1E" w14:textId="77777777" w:rsidR="00561B22" w:rsidRPr="00FA39C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A39C8" w14:paraId="63EC1A8F" w14:textId="77777777" w:rsidTr="00F1223B">
        <w:tc>
          <w:tcPr>
            <w:tcW w:w="562" w:type="dxa"/>
          </w:tcPr>
          <w:p w14:paraId="74825EA8" w14:textId="77777777" w:rsidR="00561B22" w:rsidRPr="00FA39C8" w:rsidRDefault="00561B22" w:rsidP="00F1223B">
            <w:pPr>
              <w:ind w:right="-109"/>
              <w:jc w:val="center"/>
              <w:rPr>
                <w:rFonts w:ascii="Arial" w:hAnsi="Arial" w:cs="Arial"/>
                <w:b/>
                <w:sz w:val="22"/>
                <w:szCs w:val="22"/>
                <w:lang w:val="es-MX"/>
              </w:rPr>
            </w:pPr>
            <w:r w:rsidRPr="00FA39C8">
              <w:rPr>
                <w:rFonts w:ascii="Arial" w:hAnsi="Arial" w:cs="Arial"/>
                <w:b/>
                <w:sz w:val="22"/>
                <w:szCs w:val="22"/>
                <w:lang w:val="es-MX"/>
              </w:rPr>
              <w:t>N°</w:t>
            </w:r>
          </w:p>
        </w:tc>
        <w:tc>
          <w:tcPr>
            <w:tcW w:w="9400" w:type="dxa"/>
          </w:tcPr>
          <w:p w14:paraId="48764F69"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t>DEBILIDADES</w:t>
            </w:r>
          </w:p>
          <w:p w14:paraId="7DD15D10" w14:textId="77777777" w:rsidR="00561B22" w:rsidRPr="00FA39C8" w:rsidRDefault="00561B22" w:rsidP="00F1223B">
            <w:pPr>
              <w:jc w:val="center"/>
              <w:rPr>
                <w:rFonts w:ascii="Arial" w:hAnsi="Arial" w:cs="Arial"/>
                <w:b/>
                <w:sz w:val="22"/>
                <w:szCs w:val="22"/>
                <w:lang w:val="es-MX"/>
              </w:rPr>
            </w:pPr>
          </w:p>
        </w:tc>
      </w:tr>
      <w:tr w:rsidR="00561B22" w:rsidRPr="00FA39C8" w14:paraId="16FC9342" w14:textId="77777777" w:rsidTr="00F1223B">
        <w:tc>
          <w:tcPr>
            <w:tcW w:w="562" w:type="dxa"/>
          </w:tcPr>
          <w:p w14:paraId="73C3C194"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t>1</w:t>
            </w:r>
          </w:p>
        </w:tc>
        <w:tc>
          <w:tcPr>
            <w:tcW w:w="9400" w:type="dxa"/>
          </w:tcPr>
          <w:p w14:paraId="37E63E9B" w14:textId="77777777" w:rsidR="00561B22" w:rsidRPr="00FA39C8" w:rsidRDefault="00561B22" w:rsidP="00F1223B">
            <w:pPr>
              <w:jc w:val="both"/>
              <w:rPr>
                <w:rFonts w:ascii="Arial" w:hAnsi="Arial" w:cs="Arial"/>
                <w:sz w:val="22"/>
                <w:szCs w:val="22"/>
              </w:rPr>
            </w:pPr>
            <w:r w:rsidRPr="00FA39C8">
              <w:rPr>
                <w:rFonts w:ascii="Arial" w:hAnsi="Arial" w:cs="Arial"/>
                <w:sz w:val="22"/>
                <w:szCs w:val="22"/>
              </w:rPr>
              <w:t>Se evidenció inoportunidad en la publicación de los informes contables con corte al II Trimestre de 2024 dado que fueron transmitidos a la Contaduría General el 23 de julio de 2024 y publicados en la página web de la Entidad hasta el 03 de septiembre de 2024</w:t>
            </w:r>
          </w:p>
        </w:tc>
      </w:tr>
      <w:tr w:rsidR="00561B22" w:rsidRPr="00FA39C8" w14:paraId="0C88EBB9" w14:textId="77777777" w:rsidTr="00F1223B">
        <w:tc>
          <w:tcPr>
            <w:tcW w:w="562" w:type="dxa"/>
          </w:tcPr>
          <w:p w14:paraId="72AA015F"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lastRenderedPageBreak/>
              <w:t>2</w:t>
            </w:r>
          </w:p>
        </w:tc>
        <w:tc>
          <w:tcPr>
            <w:tcW w:w="9400" w:type="dxa"/>
          </w:tcPr>
          <w:p w14:paraId="7F0394C4" w14:textId="77777777" w:rsidR="00561B22" w:rsidRPr="00FA39C8" w:rsidRDefault="00561B22" w:rsidP="00F1223B">
            <w:pPr>
              <w:jc w:val="both"/>
              <w:rPr>
                <w:rFonts w:ascii="Arial" w:hAnsi="Arial" w:cs="Arial"/>
                <w:sz w:val="22"/>
                <w:szCs w:val="22"/>
              </w:rPr>
            </w:pPr>
            <w:r w:rsidRPr="00FA39C8">
              <w:rPr>
                <w:rFonts w:ascii="Arial" w:hAnsi="Arial" w:cs="Arial"/>
                <w:sz w:val="22"/>
                <w:szCs w:val="22"/>
              </w:rPr>
              <w:t>Se observó que, en las revelaciones a los Estados Financieros con corte al 31 de diciembre de 2024, no se presentó información detalla correspondiente a las cifras presentadas en las siguientes notas:</w:t>
            </w:r>
          </w:p>
          <w:p w14:paraId="476F1BC3" w14:textId="77777777" w:rsidR="00561B22" w:rsidRPr="00FA39C8" w:rsidRDefault="00561B22" w:rsidP="00F1223B">
            <w:pPr>
              <w:jc w:val="both"/>
              <w:rPr>
                <w:rFonts w:ascii="Arial" w:hAnsi="Arial" w:cs="Arial"/>
                <w:sz w:val="22"/>
                <w:szCs w:val="22"/>
              </w:rPr>
            </w:pPr>
            <w:r w:rsidRPr="00FA39C8">
              <w:rPr>
                <w:rFonts w:ascii="Arial" w:hAnsi="Arial" w:cs="Arial"/>
                <w:sz w:val="22"/>
                <w:szCs w:val="22"/>
              </w:rPr>
              <w:t>7.1 Otras cuentas por cobrar, 10.4 Revelaciones adicionales, 29.2 Deterioro, depreciaciones, amortizaciones y provisiones y 14.2 Revelaciones adicionales - activos diferidos</w:t>
            </w:r>
          </w:p>
        </w:tc>
      </w:tr>
    </w:tbl>
    <w:p w14:paraId="7BC7D08D" w14:textId="77777777" w:rsidR="00561B22" w:rsidRPr="00FA39C8" w:rsidRDefault="00561B22" w:rsidP="00561B22">
      <w:pPr>
        <w:pStyle w:val="Textoindependiente"/>
        <w:ind w:right="-50"/>
        <w:jc w:val="both"/>
        <w:rPr>
          <w:rFonts w:ascii="Arial" w:hAnsi="Arial" w:cs="Arial"/>
          <w:b/>
          <w:bCs/>
        </w:rPr>
      </w:pPr>
    </w:p>
    <w:p w14:paraId="3B98A1D7" w14:textId="77777777" w:rsidR="00561B22" w:rsidRPr="00FA39C8" w:rsidRDefault="00561B22" w:rsidP="00561B22">
      <w:pPr>
        <w:jc w:val="both"/>
        <w:rPr>
          <w:rFonts w:ascii="Arial" w:hAnsi="Arial" w:cs="Arial"/>
          <w:b/>
          <w:lang w:val="es-MX"/>
        </w:rPr>
      </w:pPr>
      <w:r w:rsidRPr="00FA39C8">
        <w:rPr>
          <w:rFonts w:ascii="Arial" w:hAnsi="Arial" w:cs="Arial"/>
          <w:b/>
          <w:lang w:val="es-MX"/>
        </w:rPr>
        <w:t>Del citado informe retomamos las siguientes recomendaciones:</w:t>
      </w:r>
    </w:p>
    <w:p w14:paraId="69858F3E" w14:textId="77777777" w:rsidR="00561B22" w:rsidRPr="00FA39C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A39C8" w14:paraId="741D5723" w14:textId="77777777" w:rsidTr="00F1223B">
        <w:tc>
          <w:tcPr>
            <w:tcW w:w="562" w:type="dxa"/>
          </w:tcPr>
          <w:p w14:paraId="43D52B12" w14:textId="77777777" w:rsidR="00561B22" w:rsidRPr="00FA39C8" w:rsidRDefault="00561B22" w:rsidP="00F1223B">
            <w:pPr>
              <w:ind w:right="-109"/>
              <w:jc w:val="center"/>
              <w:rPr>
                <w:rFonts w:ascii="Arial" w:hAnsi="Arial" w:cs="Arial"/>
                <w:b/>
                <w:sz w:val="22"/>
                <w:szCs w:val="22"/>
                <w:lang w:val="es-MX"/>
              </w:rPr>
            </w:pPr>
            <w:r w:rsidRPr="00FA39C8">
              <w:rPr>
                <w:rFonts w:ascii="Arial" w:hAnsi="Arial" w:cs="Arial"/>
                <w:b/>
                <w:sz w:val="22"/>
                <w:szCs w:val="22"/>
                <w:lang w:val="es-MX"/>
              </w:rPr>
              <w:t>N°</w:t>
            </w:r>
          </w:p>
        </w:tc>
        <w:tc>
          <w:tcPr>
            <w:tcW w:w="9400" w:type="dxa"/>
          </w:tcPr>
          <w:p w14:paraId="63E21A71"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t>RECOMENDACIONES</w:t>
            </w:r>
          </w:p>
        </w:tc>
      </w:tr>
      <w:tr w:rsidR="00561B22" w:rsidRPr="00FA39C8" w14:paraId="06127E5F" w14:textId="77777777" w:rsidTr="00F1223B">
        <w:tc>
          <w:tcPr>
            <w:tcW w:w="562" w:type="dxa"/>
          </w:tcPr>
          <w:p w14:paraId="24A4BDBF"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t>1</w:t>
            </w:r>
          </w:p>
        </w:tc>
        <w:tc>
          <w:tcPr>
            <w:tcW w:w="9400" w:type="dxa"/>
          </w:tcPr>
          <w:p w14:paraId="5F100EBE" w14:textId="77777777" w:rsidR="00561B22" w:rsidRPr="00FA39C8" w:rsidRDefault="00561B22" w:rsidP="00F1223B">
            <w:pPr>
              <w:jc w:val="both"/>
              <w:rPr>
                <w:rFonts w:ascii="Arial" w:hAnsi="Arial" w:cs="Arial"/>
                <w:sz w:val="22"/>
                <w:szCs w:val="22"/>
              </w:rPr>
            </w:pPr>
            <w:r w:rsidRPr="00FA39C8">
              <w:rPr>
                <w:rFonts w:ascii="Arial" w:hAnsi="Arial" w:cs="Arial"/>
                <w:sz w:val="22"/>
                <w:szCs w:val="22"/>
              </w:rPr>
              <w:t>Publicar oportunamente en la página web de la Entidad los informes contables trimestrales y los Estados Financieros en cumplimiento del procedimiento de cierre contable y generación de informes.</w:t>
            </w:r>
          </w:p>
        </w:tc>
      </w:tr>
      <w:tr w:rsidR="00561B22" w:rsidRPr="00FA39C8" w14:paraId="532ADA1C" w14:textId="77777777" w:rsidTr="00F1223B">
        <w:tc>
          <w:tcPr>
            <w:tcW w:w="562" w:type="dxa"/>
          </w:tcPr>
          <w:p w14:paraId="0E86B2D8" w14:textId="77777777" w:rsidR="00561B22" w:rsidRPr="00FA39C8" w:rsidRDefault="00561B22" w:rsidP="00F1223B">
            <w:pPr>
              <w:jc w:val="center"/>
              <w:rPr>
                <w:rFonts w:ascii="Arial" w:hAnsi="Arial" w:cs="Arial"/>
                <w:b/>
                <w:sz w:val="22"/>
                <w:szCs w:val="22"/>
                <w:lang w:val="es-MX"/>
              </w:rPr>
            </w:pPr>
            <w:r w:rsidRPr="00FA39C8">
              <w:rPr>
                <w:rFonts w:ascii="Arial" w:hAnsi="Arial" w:cs="Arial"/>
                <w:b/>
                <w:sz w:val="22"/>
                <w:szCs w:val="22"/>
                <w:lang w:val="es-MX"/>
              </w:rPr>
              <w:t>2</w:t>
            </w:r>
          </w:p>
        </w:tc>
        <w:tc>
          <w:tcPr>
            <w:tcW w:w="9400" w:type="dxa"/>
          </w:tcPr>
          <w:p w14:paraId="6087C203" w14:textId="77777777" w:rsidR="00561B22" w:rsidRPr="00FA39C8" w:rsidRDefault="00561B22" w:rsidP="00F1223B">
            <w:pPr>
              <w:jc w:val="both"/>
              <w:rPr>
                <w:rFonts w:ascii="Arial" w:hAnsi="Arial" w:cs="Arial"/>
                <w:sz w:val="22"/>
                <w:szCs w:val="22"/>
              </w:rPr>
            </w:pPr>
            <w:r w:rsidRPr="00FA39C8">
              <w:rPr>
                <w:rFonts w:ascii="Arial" w:hAnsi="Arial" w:cs="Arial"/>
                <w:sz w:val="22"/>
                <w:szCs w:val="22"/>
              </w:rPr>
              <w:t>Efectuar las revelaciones de los hechos económicos presentados en los Estados Financieros de la Entidad en forma detallada, teniendo en cuenta la Resolución 38 de 2024 emitida por la Contaduría General de la Nación que establece los parámetros y requisitos para revelar la información financiera.</w:t>
            </w:r>
          </w:p>
        </w:tc>
      </w:tr>
    </w:tbl>
    <w:p w14:paraId="2DFE4907" w14:textId="77777777" w:rsidR="00561B22" w:rsidRDefault="00561B22" w:rsidP="00561B22">
      <w:pPr>
        <w:jc w:val="both"/>
        <w:rPr>
          <w:rFonts w:ascii="Arial" w:hAnsi="Arial" w:cs="Arial"/>
          <w:b/>
          <w:bCs/>
          <w:lang w:val="es-CO"/>
        </w:rPr>
      </w:pPr>
    </w:p>
    <w:p w14:paraId="0F4457C1" w14:textId="77777777" w:rsidR="00561B22" w:rsidRPr="00453551" w:rsidRDefault="00561B22" w:rsidP="00561B22">
      <w:pPr>
        <w:jc w:val="both"/>
        <w:rPr>
          <w:rFonts w:ascii="Arial" w:hAnsi="Arial" w:cs="Arial"/>
          <w:b/>
          <w:sz w:val="28"/>
          <w:szCs w:val="28"/>
          <w:lang w:val="es-MX"/>
        </w:rPr>
      </w:pPr>
      <w:r w:rsidRPr="00453551">
        <w:rPr>
          <w:rFonts w:ascii="Arial" w:hAnsi="Arial" w:cs="Arial"/>
          <w:b/>
          <w:sz w:val="28"/>
          <w:szCs w:val="28"/>
          <w:lang w:val="es-MX"/>
        </w:rPr>
        <w:t>278.- UNIVERSIDAD TECNOLÓGICA DE PEREIRA.</w:t>
      </w:r>
    </w:p>
    <w:p w14:paraId="4BE74228" w14:textId="77777777" w:rsidR="00561B22" w:rsidRDefault="00561B22" w:rsidP="00561B22">
      <w:pPr>
        <w:jc w:val="both"/>
        <w:rPr>
          <w:rFonts w:ascii="Arial" w:hAnsi="Arial" w:cs="Arial"/>
          <w:b/>
          <w:bCs/>
          <w:lang w:val="es-CO"/>
        </w:rPr>
      </w:pPr>
    </w:p>
    <w:p w14:paraId="01E1D778" w14:textId="77777777" w:rsidR="00561B22" w:rsidRPr="00453551" w:rsidRDefault="00561B22" w:rsidP="00561B22">
      <w:pPr>
        <w:pStyle w:val="Textoindependiente"/>
        <w:jc w:val="center"/>
        <w:rPr>
          <w:rFonts w:ascii="Arial" w:hAnsi="Arial" w:cs="Arial"/>
          <w:b/>
          <w:bCs/>
        </w:rPr>
      </w:pPr>
      <w:r w:rsidRPr="00453551">
        <w:rPr>
          <w:rFonts w:ascii="Arial" w:hAnsi="Arial" w:cs="Arial"/>
          <w:b/>
          <w:bCs/>
        </w:rPr>
        <w:t>INFORME DE LA AUTOCALIFICACIÓN DEL SISTEMA DE CONTROL INTERNO CONTABLE:</w:t>
      </w:r>
    </w:p>
    <w:p w14:paraId="5013CF64" w14:textId="77777777" w:rsidR="00561B22" w:rsidRPr="0045355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53551" w14:paraId="2EE0F4A5" w14:textId="77777777" w:rsidTr="00F1223B">
        <w:tc>
          <w:tcPr>
            <w:tcW w:w="4981" w:type="dxa"/>
          </w:tcPr>
          <w:p w14:paraId="2307FD08"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AUTOCALIFICACIÓN</w:t>
            </w:r>
          </w:p>
        </w:tc>
        <w:tc>
          <w:tcPr>
            <w:tcW w:w="4981" w:type="dxa"/>
          </w:tcPr>
          <w:p w14:paraId="0482F440" w14:textId="77777777" w:rsidR="00561B22" w:rsidRPr="00453551" w:rsidRDefault="00561B22" w:rsidP="00F1223B">
            <w:pPr>
              <w:jc w:val="center"/>
              <w:rPr>
                <w:rFonts w:ascii="Arial" w:hAnsi="Arial" w:cs="Arial"/>
                <w:b/>
                <w:sz w:val="22"/>
                <w:szCs w:val="22"/>
                <w:u w:val="single"/>
                <w:lang w:val="es-MX"/>
              </w:rPr>
            </w:pPr>
            <w:r w:rsidRPr="00453551">
              <w:rPr>
                <w:rFonts w:ascii="Arial" w:hAnsi="Arial" w:cs="Arial"/>
                <w:b/>
                <w:sz w:val="22"/>
                <w:szCs w:val="22"/>
                <w:u w:val="single"/>
                <w:lang w:val="es-MX"/>
              </w:rPr>
              <w:t>4.60</w:t>
            </w:r>
          </w:p>
        </w:tc>
      </w:tr>
    </w:tbl>
    <w:p w14:paraId="07163D07" w14:textId="77777777" w:rsidR="00561B22" w:rsidRPr="00453551" w:rsidRDefault="00561B22" w:rsidP="00561B22">
      <w:pPr>
        <w:pStyle w:val="Textoindependiente"/>
        <w:jc w:val="both"/>
        <w:rPr>
          <w:rFonts w:ascii="Arial" w:hAnsi="Arial" w:cs="Arial"/>
          <w:b/>
          <w:bCs/>
        </w:rPr>
      </w:pPr>
    </w:p>
    <w:p w14:paraId="7B2FFC46" w14:textId="77777777" w:rsidR="00561B22" w:rsidRPr="00453551" w:rsidRDefault="00561B22" w:rsidP="00561B22">
      <w:pPr>
        <w:pStyle w:val="Textoindependiente"/>
        <w:jc w:val="both"/>
        <w:rPr>
          <w:rFonts w:ascii="Arial" w:hAnsi="Arial" w:cs="Arial"/>
          <w:b/>
          <w:bCs/>
        </w:rPr>
      </w:pPr>
      <w:r w:rsidRPr="00453551">
        <w:rPr>
          <w:rFonts w:ascii="Arial" w:hAnsi="Arial" w:cs="Arial"/>
          <w:b/>
          <w:bCs/>
        </w:rPr>
        <w:t>Del informe enviado retomamos lo siguiente:</w:t>
      </w:r>
    </w:p>
    <w:p w14:paraId="7AEDF540" w14:textId="77777777" w:rsidR="00561B22" w:rsidRPr="00453551"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53551" w14:paraId="5E783FAE" w14:textId="77777777" w:rsidTr="00F1223B">
        <w:tc>
          <w:tcPr>
            <w:tcW w:w="562" w:type="dxa"/>
          </w:tcPr>
          <w:p w14:paraId="15E680C7"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N°</w:t>
            </w:r>
          </w:p>
        </w:tc>
        <w:tc>
          <w:tcPr>
            <w:tcW w:w="9400" w:type="dxa"/>
          </w:tcPr>
          <w:p w14:paraId="46E714C1"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DEBILIDADES</w:t>
            </w:r>
          </w:p>
          <w:p w14:paraId="2A140E60" w14:textId="77777777" w:rsidR="00561B22" w:rsidRPr="00453551" w:rsidRDefault="00561B22" w:rsidP="00F1223B">
            <w:pPr>
              <w:jc w:val="center"/>
              <w:rPr>
                <w:rFonts w:ascii="Arial" w:hAnsi="Arial" w:cs="Arial"/>
                <w:b/>
                <w:sz w:val="22"/>
                <w:szCs w:val="22"/>
                <w:lang w:val="es-MX"/>
              </w:rPr>
            </w:pPr>
          </w:p>
        </w:tc>
      </w:tr>
      <w:tr w:rsidR="00561B22" w:rsidRPr="00453551" w14:paraId="2A433DAC" w14:textId="77777777" w:rsidTr="00F1223B">
        <w:tc>
          <w:tcPr>
            <w:tcW w:w="562" w:type="dxa"/>
          </w:tcPr>
          <w:p w14:paraId="462FE900"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1</w:t>
            </w:r>
          </w:p>
        </w:tc>
        <w:tc>
          <w:tcPr>
            <w:tcW w:w="9400" w:type="dxa"/>
          </w:tcPr>
          <w:p w14:paraId="370A8954" w14:textId="77777777" w:rsidR="00561B22" w:rsidRPr="00453551" w:rsidRDefault="00561B22" w:rsidP="00F1223B">
            <w:pPr>
              <w:jc w:val="both"/>
              <w:rPr>
                <w:rFonts w:ascii="Arial" w:hAnsi="Arial" w:cs="Arial"/>
                <w:bCs/>
                <w:sz w:val="22"/>
                <w:szCs w:val="22"/>
                <w:lang w:val="es-MX"/>
              </w:rPr>
            </w:pPr>
            <w:r w:rsidRPr="00453551">
              <w:rPr>
                <w:rFonts w:ascii="Arial" w:hAnsi="Arial" w:cs="Arial"/>
                <w:bCs/>
                <w:sz w:val="22"/>
                <w:szCs w:val="22"/>
                <w:lang w:val="es-MX"/>
              </w:rPr>
              <w:t xml:space="preserve">Se hace necesario un sistema integrado de información, que beneficie el manejo de procesos transversales y la ejecución de controles en cada una de las etapas del proceso contable, desde la ocurrencia de un hecho económico hasta su correspondiente revelación. </w:t>
            </w:r>
          </w:p>
        </w:tc>
      </w:tr>
      <w:tr w:rsidR="00561B22" w:rsidRPr="00453551" w14:paraId="574424E2" w14:textId="77777777" w:rsidTr="00F1223B">
        <w:tc>
          <w:tcPr>
            <w:tcW w:w="562" w:type="dxa"/>
          </w:tcPr>
          <w:p w14:paraId="70A1C75F"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2</w:t>
            </w:r>
          </w:p>
        </w:tc>
        <w:tc>
          <w:tcPr>
            <w:tcW w:w="9400" w:type="dxa"/>
          </w:tcPr>
          <w:p w14:paraId="096A8A31" w14:textId="77777777" w:rsidR="00561B22" w:rsidRPr="00453551" w:rsidRDefault="00561B22" w:rsidP="00F1223B">
            <w:pPr>
              <w:jc w:val="both"/>
              <w:rPr>
                <w:rFonts w:ascii="Arial" w:hAnsi="Arial" w:cs="Arial"/>
                <w:bCs/>
                <w:sz w:val="22"/>
                <w:szCs w:val="22"/>
                <w:lang w:val="es-MX"/>
              </w:rPr>
            </w:pPr>
            <w:r w:rsidRPr="00453551">
              <w:rPr>
                <w:rFonts w:ascii="Arial" w:hAnsi="Arial" w:cs="Arial"/>
                <w:bCs/>
                <w:sz w:val="22"/>
                <w:szCs w:val="22"/>
                <w:lang w:val="es-MX"/>
              </w:rPr>
              <w:t>Continuar periódicamente con las conciliaciones y cruces de saldos entre las áreas de almacén, presupuesto, Nomina, tesorería, matriculas, proyectos especiales que facturan</w:t>
            </w:r>
          </w:p>
        </w:tc>
      </w:tr>
      <w:tr w:rsidR="00561B22" w:rsidRPr="00453551" w14:paraId="02037F5B" w14:textId="77777777" w:rsidTr="00F1223B">
        <w:tc>
          <w:tcPr>
            <w:tcW w:w="562" w:type="dxa"/>
          </w:tcPr>
          <w:p w14:paraId="6C47DCF2"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3</w:t>
            </w:r>
          </w:p>
        </w:tc>
        <w:tc>
          <w:tcPr>
            <w:tcW w:w="9400" w:type="dxa"/>
          </w:tcPr>
          <w:p w14:paraId="1BF430DE" w14:textId="77777777" w:rsidR="00561B22" w:rsidRPr="00453551" w:rsidRDefault="00561B22" w:rsidP="00F1223B">
            <w:pPr>
              <w:jc w:val="both"/>
              <w:rPr>
                <w:rFonts w:ascii="Arial" w:hAnsi="Arial" w:cs="Arial"/>
                <w:bCs/>
                <w:sz w:val="22"/>
                <w:szCs w:val="22"/>
                <w:lang w:val="es-MX"/>
              </w:rPr>
            </w:pPr>
            <w:r w:rsidRPr="00453551">
              <w:rPr>
                <w:rFonts w:ascii="Arial" w:hAnsi="Arial" w:cs="Arial"/>
                <w:bCs/>
                <w:sz w:val="22"/>
                <w:szCs w:val="22"/>
                <w:lang w:val="es-MX"/>
              </w:rPr>
              <w:t>Adoptar como herramienta de control, la verificación periódica de la efectividad de los controles operativos del proceso contable, mediante la aplicación de gestión de riesgos, para lo cual se sugiere tener en cuenta la resolución de la CGN (Res 193 de 2016)</w:t>
            </w:r>
          </w:p>
        </w:tc>
      </w:tr>
      <w:tr w:rsidR="00561B22" w:rsidRPr="00453551" w14:paraId="5A607A16" w14:textId="77777777" w:rsidTr="00F1223B">
        <w:tc>
          <w:tcPr>
            <w:tcW w:w="562" w:type="dxa"/>
          </w:tcPr>
          <w:p w14:paraId="5B397D34"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4</w:t>
            </w:r>
          </w:p>
        </w:tc>
        <w:tc>
          <w:tcPr>
            <w:tcW w:w="9400" w:type="dxa"/>
          </w:tcPr>
          <w:p w14:paraId="4785281B" w14:textId="77777777" w:rsidR="00561B22" w:rsidRPr="00453551" w:rsidRDefault="00561B22" w:rsidP="00F1223B">
            <w:pPr>
              <w:jc w:val="both"/>
              <w:rPr>
                <w:rFonts w:ascii="Arial" w:hAnsi="Arial" w:cs="Arial"/>
                <w:bCs/>
                <w:sz w:val="22"/>
                <w:szCs w:val="22"/>
                <w:lang w:val="es-MX"/>
              </w:rPr>
            </w:pPr>
            <w:r w:rsidRPr="00453551">
              <w:rPr>
                <w:rFonts w:ascii="Arial" w:hAnsi="Arial" w:cs="Arial"/>
                <w:bCs/>
                <w:sz w:val="22"/>
                <w:szCs w:val="22"/>
                <w:lang w:val="es-MX"/>
              </w:rPr>
              <w:t>Realizar seguimiento a la aplicación de la Pol N°7 Cambio de las vidas Útiles a los bienes totalmente depreciados</w:t>
            </w:r>
          </w:p>
        </w:tc>
      </w:tr>
      <w:tr w:rsidR="00561B22" w:rsidRPr="00453551" w14:paraId="3B071181" w14:textId="77777777" w:rsidTr="00F1223B">
        <w:tc>
          <w:tcPr>
            <w:tcW w:w="562" w:type="dxa"/>
          </w:tcPr>
          <w:p w14:paraId="42387582" w14:textId="77777777" w:rsidR="00561B22" w:rsidRPr="00453551" w:rsidRDefault="00561B22" w:rsidP="00F1223B">
            <w:pPr>
              <w:jc w:val="center"/>
              <w:rPr>
                <w:rFonts w:ascii="Arial" w:hAnsi="Arial" w:cs="Arial"/>
                <w:b/>
                <w:sz w:val="22"/>
                <w:szCs w:val="22"/>
                <w:lang w:val="es-MX"/>
              </w:rPr>
            </w:pPr>
            <w:r w:rsidRPr="00453551">
              <w:rPr>
                <w:rFonts w:ascii="Arial" w:hAnsi="Arial" w:cs="Arial"/>
                <w:b/>
                <w:sz w:val="22"/>
                <w:szCs w:val="22"/>
                <w:lang w:val="es-MX"/>
              </w:rPr>
              <w:t>5</w:t>
            </w:r>
          </w:p>
        </w:tc>
        <w:tc>
          <w:tcPr>
            <w:tcW w:w="9400" w:type="dxa"/>
          </w:tcPr>
          <w:p w14:paraId="0B00DC10" w14:textId="77777777" w:rsidR="00561B22" w:rsidRPr="00453551" w:rsidRDefault="00561B22" w:rsidP="00F1223B">
            <w:pPr>
              <w:jc w:val="both"/>
              <w:rPr>
                <w:rFonts w:ascii="Arial" w:hAnsi="Arial" w:cs="Arial"/>
                <w:bCs/>
                <w:sz w:val="22"/>
                <w:szCs w:val="22"/>
                <w:lang w:val="es-MX"/>
              </w:rPr>
            </w:pPr>
            <w:r w:rsidRPr="00453551">
              <w:rPr>
                <w:rFonts w:ascii="Arial" w:hAnsi="Arial" w:cs="Arial"/>
                <w:bCs/>
                <w:sz w:val="22"/>
                <w:szCs w:val="22"/>
                <w:lang w:val="es-MX"/>
              </w:rPr>
              <w:t>Establecer lineamiento sobre los perfiles de usuarios el sistema financiero</w:t>
            </w:r>
          </w:p>
        </w:tc>
      </w:tr>
    </w:tbl>
    <w:p w14:paraId="1937447A" w14:textId="77777777" w:rsidR="00561B22" w:rsidRPr="00453551" w:rsidRDefault="00561B22" w:rsidP="00561B22">
      <w:pPr>
        <w:pStyle w:val="Textoindependiente"/>
        <w:jc w:val="both"/>
        <w:rPr>
          <w:rFonts w:ascii="Arial" w:hAnsi="Arial" w:cs="Arial"/>
        </w:rPr>
      </w:pPr>
    </w:p>
    <w:p w14:paraId="784AC226" w14:textId="77777777" w:rsidR="00561B22" w:rsidRPr="00453551" w:rsidRDefault="00561B22" w:rsidP="00561B22">
      <w:pPr>
        <w:pStyle w:val="Textoindependiente"/>
        <w:jc w:val="both"/>
        <w:rPr>
          <w:rFonts w:ascii="Arial" w:hAnsi="Arial" w:cs="Arial"/>
        </w:rPr>
      </w:pPr>
      <w:r w:rsidRPr="00453551">
        <w:rPr>
          <w:rFonts w:ascii="Arial" w:hAnsi="Arial" w:cs="Arial"/>
        </w:rPr>
        <w:t>*La Universidad anuncia en el informe de evaluación de control interno las mismas debilidades como recomendaciones, se le solicita revisar para corregir esta inconsistencia.</w:t>
      </w:r>
    </w:p>
    <w:p w14:paraId="67073718" w14:textId="77777777" w:rsidR="00561B22" w:rsidRPr="00453551" w:rsidRDefault="00561B22" w:rsidP="00561B22">
      <w:pPr>
        <w:pStyle w:val="Textoindependiente"/>
        <w:jc w:val="both"/>
        <w:rPr>
          <w:rFonts w:ascii="Arial" w:hAnsi="Arial" w:cs="Arial"/>
        </w:rPr>
      </w:pPr>
    </w:p>
    <w:p w14:paraId="1AD98756" w14:textId="77777777" w:rsidR="00561B22" w:rsidRPr="00453551" w:rsidRDefault="00561B22" w:rsidP="00561B22">
      <w:pPr>
        <w:jc w:val="both"/>
        <w:rPr>
          <w:rFonts w:ascii="Arial" w:hAnsi="Arial" w:cs="Arial"/>
          <w:b/>
          <w:bCs/>
          <w:sz w:val="24"/>
          <w:szCs w:val="24"/>
          <w:lang w:val="es-CO"/>
        </w:rPr>
      </w:pPr>
      <w:r w:rsidRPr="00453551">
        <w:rPr>
          <w:rFonts w:ascii="Arial" w:hAnsi="Arial" w:cs="Arial"/>
          <w:b/>
          <w:bCs/>
          <w:sz w:val="24"/>
          <w:szCs w:val="24"/>
          <w:lang w:val="es-CO"/>
        </w:rPr>
        <w:t xml:space="preserve">NOTA: LA ENTIDAD ENVIA LA MATRIZ DE AUTOEVALUACIÓN DEL SISTEMA DE CONTROL INTERNO CONTABLE CON </w:t>
      </w:r>
      <w:r w:rsidRPr="00453551">
        <w:rPr>
          <w:rFonts w:ascii="Arial" w:hAnsi="Arial" w:cs="Arial"/>
          <w:b/>
          <w:bCs/>
          <w:sz w:val="24"/>
          <w:szCs w:val="24"/>
          <w:u w:val="single"/>
          <w:lang w:val="es-CO"/>
        </w:rPr>
        <w:t>ACTIVIDADES DE CONTROL REALIZADAS EN FORMA PARCIAL</w:t>
      </w:r>
      <w:r w:rsidRPr="00453551">
        <w:rPr>
          <w:rFonts w:ascii="Arial" w:hAnsi="Arial" w:cs="Arial"/>
          <w:b/>
          <w:bCs/>
          <w:sz w:val="24"/>
          <w:szCs w:val="24"/>
          <w:lang w:val="es-CO"/>
        </w:rPr>
        <w:t>.</w:t>
      </w:r>
    </w:p>
    <w:p w14:paraId="2629AC23" w14:textId="77777777" w:rsidR="00561B22" w:rsidRDefault="00561B22" w:rsidP="00561B22">
      <w:pPr>
        <w:jc w:val="both"/>
        <w:rPr>
          <w:rFonts w:ascii="Arial" w:hAnsi="Arial" w:cs="Arial"/>
          <w:b/>
          <w:bCs/>
          <w:lang w:val="es-CO"/>
        </w:rPr>
      </w:pPr>
    </w:p>
    <w:p w14:paraId="27BD6F8B" w14:textId="77777777" w:rsidR="00561B22" w:rsidRDefault="00561B22" w:rsidP="00561B22">
      <w:pPr>
        <w:jc w:val="both"/>
        <w:rPr>
          <w:rFonts w:ascii="Arial" w:hAnsi="Arial" w:cs="Arial"/>
          <w:b/>
          <w:sz w:val="28"/>
          <w:szCs w:val="28"/>
          <w:lang w:val="es-MX"/>
        </w:rPr>
      </w:pPr>
      <w:r w:rsidRPr="00F51FD8">
        <w:rPr>
          <w:rFonts w:ascii="Arial" w:hAnsi="Arial" w:cs="Arial"/>
          <w:b/>
          <w:sz w:val="28"/>
          <w:szCs w:val="28"/>
          <w:lang w:val="es-MX"/>
        </w:rPr>
        <w:t>279.- FONDO ESPECIAL PARA LA ADMINISTRACIÓN DE BIENES DE LA FISCALÍA GENERAL DE LA NACIÓN</w:t>
      </w:r>
      <w:r>
        <w:rPr>
          <w:rFonts w:ascii="Arial" w:hAnsi="Arial" w:cs="Arial"/>
          <w:b/>
          <w:sz w:val="28"/>
          <w:szCs w:val="28"/>
          <w:lang w:val="es-MX"/>
        </w:rPr>
        <w:t>.</w:t>
      </w:r>
    </w:p>
    <w:p w14:paraId="296CDD25" w14:textId="77777777" w:rsidR="00561B22" w:rsidRDefault="00561B22" w:rsidP="00561B22">
      <w:pPr>
        <w:jc w:val="both"/>
        <w:rPr>
          <w:rFonts w:ascii="Arial" w:hAnsi="Arial" w:cs="Arial"/>
          <w:b/>
          <w:sz w:val="28"/>
          <w:szCs w:val="28"/>
          <w:lang w:val="es-MX"/>
        </w:rPr>
      </w:pPr>
    </w:p>
    <w:p w14:paraId="506CB061" w14:textId="77777777" w:rsidR="00561B22" w:rsidRPr="00F51FD8" w:rsidRDefault="00561B22" w:rsidP="00561B22">
      <w:pPr>
        <w:pStyle w:val="Textoindependiente"/>
        <w:ind w:right="-50"/>
        <w:jc w:val="center"/>
        <w:rPr>
          <w:rFonts w:ascii="Arial" w:hAnsi="Arial" w:cs="Arial"/>
          <w:b/>
          <w:bCs/>
        </w:rPr>
      </w:pPr>
      <w:r w:rsidRPr="00F51FD8">
        <w:rPr>
          <w:rFonts w:ascii="Arial" w:hAnsi="Arial" w:cs="Arial"/>
          <w:b/>
          <w:bCs/>
        </w:rPr>
        <w:t>INFORME DE LA AUTOCALIFICACIÓN DEL SISTEMA DE CONTROL INTERNO CONTABLE:</w:t>
      </w:r>
    </w:p>
    <w:p w14:paraId="74B74E34" w14:textId="77777777" w:rsidR="00561B22" w:rsidRPr="00F51FD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51FD8" w14:paraId="69C7FDAE" w14:textId="77777777" w:rsidTr="00F1223B">
        <w:tc>
          <w:tcPr>
            <w:tcW w:w="4981" w:type="dxa"/>
          </w:tcPr>
          <w:p w14:paraId="37402058" w14:textId="77777777" w:rsidR="00561B22" w:rsidRPr="00F51FD8" w:rsidRDefault="00561B22" w:rsidP="00F1223B">
            <w:pPr>
              <w:jc w:val="center"/>
              <w:rPr>
                <w:rFonts w:ascii="Arial" w:hAnsi="Arial" w:cs="Arial"/>
                <w:b/>
                <w:sz w:val="22"/>
                <w:szCs w:val="22"/>
                <w:lang w:val="es-MX"/>
              </w:rPr>
            </w:pPr>
            <w:r w:rsidRPr="00F51FD8">
              <w:rPr>
                <w:rFonts w:ascii="Arial" w:hAnsi="Arial" w:cs="Arial"/>
                <w:b/>
                <w:sz w:val="22"/>
                <w:szCs w:val="22"/>
                <w:lang w:val="es-MX"/>
              </w:rPr>
              <w:lastRenderedPageBreak/>
              <w:t>AUTOCALIFICACIÓN</w:t>
            </w:r>
          </w:p>
        </w:tc>
        <w:tc>
          <w:tcPr>
            <w:tcW w:w="4981" w:type="dxa"/>
          </w:tcPr>
          <w:p w14:paraId="3225A8C3" w14:textId="77777777" w:rsidR="00561B22" w:rsidRPr="00F51FD8" w:rsidRDefault="00561B22" w:rsidP="00F1223B">
            <w:pPr>
              <w:jc w:val="center"/>
              <w:rPr>
                <w:rFonts w:ascii="Arial" w:hAnsi="Arial" w:cs="Arial"/>
                <w:b/>
                <w:sz w:val="22"/>
                <w:szCs w:val="22"/>
                <w:u w:val="single"/>
                <w:lang w:val="es-MX"/>
              </w:rPr>
            </w:pPr>
            <w:r w:rsidRPr="00F51FD8">
              <w:rPr>
                <w:rFonts w:ascii="Arial" w:hAnsi="Arial" w:cs="Arial"/>
                <w:b/>
                <w:sz w:val="22"/>
                <w:szCs w:val="22"/>
                <w:u w:val="single"/>
                <w:lang w:val="es-MX"/>
              </w:rPr>
              <w:t>4.88</w:t>
            </w:r>
          </w:p>
        </w:tc>
      </w:tr>
    </w:tbl>
    <w:p w14:paraId="385BE8EF" w14:textId="77777777" w:rsidR="00561B22" w:rsidRPr="00F51FD8" w:rsidRDefault="00561B22" w:rsidP="00561B22">
      <w:pPr>
        <w:pStyle w:val="Textoindependiente"/>
        <w:ind w:right="-50"/>
        <w:jc w:val="both"/>
        <w:rPr>
          <w:rFonts w:ascii="Arial" w:hAnsi="Arial" w:cs="Arial"/>
          <w:b/>
          <w:bCs/>
        </w:rPr>
      </w:pPr>
    </w:p>
    <w:p w14:paraId="3903E1CE" w14:textId="77777777" w:rsidR="00561B22" w:rsidRPr="00F51FD8" w:rsidRDefault="00561B22" w:rsidP="00561B22">
      <w:pPr>
        <w:pStyle w:val="Textoindependiente"/>
        <w:ind w:right="-50"/>
        <w:jc w:val="both"/>
        <w:rPr>
          <w:rFonts w:ascii="Arial" w:hAnsi="Arial" w:cs="Arial"/>
          <w:b/>
          <w:bCs/>
        </w:rPr>
      </w:pPr>
      <w:r w:rsidRPr="00F51FD8">
        <w:rPr>
          <w:rFonts w:ascii="Arial" w:hAnsi="Arial" w:cs="Arial"/>
          <w:b/>
          <w:bCs/>
        </w:rPr>
        <w:t>Del informe enviado retomamos lo siguiente:</w:t>
      </w:r>
    </w:p>
    <w:p w14:paraId="64FA7287" w14:textId="77777777" w:rsidR="00561B22" w:rsidRPr="00F51FD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51FD8" w14:paraId="03E68650" w14:textId="77777777" w:rsidTr="00F1223B">
        <w:tc>
          <w:tcPr>
            <w:tcW w:w="562" w:type="dxa"/>
          </w:tcPr>
          <w:p w14:paraId="770884F3" w14:textId="77777777" w:rsidR="00561B22" w:rsidRPr="00F51FD8" w:rsidRDefault="00561B22" w:rsidP="00F1223B">
            <w:pPr>
              <w:ind w:right="-109"/>
              <w:jc w:val="center"/>
              <w:rPr>
                <w:rFonts w:ascii="Arial" w:hAnsi="Arial" w:cs="Arial"/>
                <w:b/>
                <w:sz w:val="22"/>
                <w:szCs w:val="22"/>
                <w:lang w:val="es-MX"/>
              </w:rPr>
            </w:pPr>
            <w:r w:rsidRPr="00F51FD8">
              <w:rPr>
                <w:rFonts w:ascii="Arial" w:hAnsi="Arial" w:cs="Arial"/>
                <w:b/>
                <w:sz w:val="22"/>
                <w:szCs w:val="22"/>
                <w:lang w:val="es-MX"/>
              </w:rPr>
              <w:t>N°</w:t>
            </w:r>
          </w:p>
        </w:tc>
        <w:tc>
          <w:tcPr>
            <w:tcW w:w="9400" w:type="dxa"/>
          </w:tcPr>
          <w:p w14:paraId="1CE14B4D" w14:textId="77777777" w:rsidR="00561B22" w:rsidRPr="00F51FD8" w:rsidRDefault="00561B22" w:rsidP="00F1223B">
            <w:pPr>
              <w:jc w:val="center"/>
              <w:rPr>
                <w:rFonts w:ascii="Arial" w:hAnsi="Arial" w:cs="Arial"/>
                <w:b/>
                <w:sz w:val="22"/>
                <w:szCs w:val="22"/>
                <w:lang w:val="es-MX"/>
              </w:rPr>
            </w:pPr>
            <w:r w:rsidRPr="00F51FD8">
              <w:rPr>
                <w:rFonts w:ascii="Arial" w:hAnsi="Arial" w:cs="Arial"/>
                <w:b/>
                <w:sz w:val="22"/>
                <w:szCs w:val="22"/>
                <w:lang w:val="es-MX"/>
              </w:rPr>
              <w:t>DEBILIDADES</w:t>
            </w:r>
          </w:p>
          <w:p w14:paraId="0A12878B" w14:textId="77777777" w:rsidR="00561B22" w:rsidRPr="00F51FD8" w:rsidRDefault="00561B22" w:rsidP="00F1223B">
            <w:pPr>
              <w:jc w:val="center"/>
              <w:rPr>
                <w:rFonts w:ascii="Arial" w:hAnsi="Arial" w:cs="Arial"/>
                <w:b/>
                <w:sz w:val="22"/>
                <w:szCs w:val="22"/>
                <w:lang w:val="es-MX"/>
              </w:rPr>
            </w:pPr>
          </w:p>
        </w:tc>
      </w:tr>
      <w:tr w:rsidR="00561B22" w:rsidRPr="00F51FD8" w14:paraId="2E5AB033" w14:textId="77777777" w:rsidTr="00F1223B">
        <w:tc>
          <w:tcPr>
            <w:tcW w:w="562" w:type="dxa"/>
          </w:tcPr>
          <w:p w14:paraId="3DBB61FC" w14:textId="77777777" w:rsidR="00561B22" w:rsidRPr="00F51FD8" w:rsidRDefault="00561B22" w:rsidP="00F1223B">
            <w:pPr>
              <w:jc w:val="center"/>
              <w:rPr>
                <w:rFonts w:ascii="Arial" w:hAnsi="Arial" w:cs="Arial"/>
                <w:sz w:val="22"/>
                <w:szCs w:val="22"/>
                <w:lang w:val="es-MX"/>
              </w:rPr>
            </w:pPr>
            <w:r w:rsidRPr="00F51FD8">
              <w:rPr>
                <w:rFonts w:ascii="Arial" w:hAnsi="Arial" w:cs="Arial"/>
                <w:sz w:val="22"/>
                <w:szCs w:val="22"/>
                <w:lang w:val="es-MX"/>
              </w:rPr>
              <w:t>1</w:t>
            </w:r>
          </w:p>
        </w:tc>
        <w:tc>
          <w:tcPr>
            <w:tcW w:w="9400" w:type="dxa"/>
          </w:tcPr>
          <w:p w14:paraId="58AADFDB" w14:textId="77777777" w:rsidR="00561B22" w:rsidRPr="00F51FD8" w:rsidRDefault="00561B22" w:rsidP="00F1223B">
            <w:pPr>
              <w:jc w:val="both"/>
              <w:rPr>
                <w:rFonts w:ascii="Arial" w:hAnsi="Arial" w:cs="Arial"/>
                <w:sz w:val="22"/>
                <w:szCs w:val="22"/>
                <w:lang w:val="es-MX"/>
              </w:rPr>
            </w:pPr>
            <w:r w:rsidRPr="00F51FD8">
              <w:rPr>
                <w:rFonts w:ascii="Arial" w:hAnsi="Arial" w:cs="Arial"/>
                <w:sz w:val="22"/>
                <w:szCs w:val="22"/>
              </w:rPr>
              <w:t xml:space="preserve">Para la vigencia 2024, continúan las limitaciones para realizar los ajustes correspondientes a los bienes totalmente depreciados. Así las cosas, las debilidades y obsolescencia del programa SIAF, afectan la actualización oportuna de la propiedad planta y equipo y los hechos económicos para su medición posterior. </w:t>
            </w:r>
          </w:p>
        </w:tc>
      </w:tr>
      <w:tr w:rsidR="00561B22" w:rsidRPr="00F51FD8" w14:paraId="6B6BD875" w14:textId="77777777" w:rsidTr="00F1223B">
        <w:tc>
          <w:tcPr>
            <w:tcW w:w="562" w:type="dxa"/>
          </w:tcPr>
          <w:p w14:paraId="68264D9F" w14:textId="77777777" w:rsidR="00561B22" w:rsidRPr="00F51FD8" w:rsidRDefault="00561B22" w:rsidP="00F1223B">
            <w:pPr>
              <w:jc w:val="center"/>
              <w:rPr>
                <w:rFonts w:ascii="Arial" w:hAnsi="Arial" w:cs="Arial"/>
                <w:sz w:val="22"/>
                <w:szCs w:val="22"/>
                <w:lang w:val="es-MX"/>
              </w:rPr>
            </w:pPr>
            <w:r w:rsidRPr="00F51FD8">
              <w:rPr>
                <w:rFonts w:ascii="Arial" w:hAnsi="Arial" w:cs="Arial"/>
                <w:sz w:val="22"/>
                <w:szCs w:val="22"/>
                <w:lang w:val="es-MX"/>
              </w:rPr>
              <w:t>2</w:t>
            </w:r>
          </w:p>
        </w:tc>
        <w:tc>
          <w:tcPr>
            <w:tcW w:w="9400" w:type="dxa"/>
          </w:tcPr>
          <w:p w14:paraId="207CB657" w14:textId="77777777" w:rsidR="00561B22" w:rsidRPr="00F51FD8" w:rsidRDefault="00561B22" w:rsidP="00F1223B">
            <w:pPr>
              <w:jc w:val="both"/>
              <w:rPr>
                <w:rFonts w:ascii="Arial" w:hAnsi="Arial" w:cs="Arial"/>
                <w:sz w:val="22"/>
                <w:szCs w:val="22"/>
                <w:lang w:val="es-MX"/>
              </w:rPr>
            </w:pPr>
            <w:r w:rsidRPr="00F51FD8">
              <w:rPr>
                <w:rFonts w:ascii="Arial" w:hAnsi="Arial" w:cs="Arial"/>
                <w:sz w:val="22"/>
                <w:szCs w:val="22"/>
              </w:rPr>
              <w:t>Se observó que el FEAB utiliza los mismos indicadores establecidos por la Subdirección Financiera de la FGN, pero dado que la entidad viene realizando actividades como arrendamiento y comercialización de bienes, que generan ingresos y gastos operativos, se debe considerar la implementación de otros indicadores que se ajusten a las necesidades del FEAB y al proceso contable para un buen análisis de la realidad financiera</w:t>
            </w:r>
          </w:p>
        </w:tc>
      </w:tr>
      <w:tr w:rsidR="00561B22" w:rsidRPr="00F51FD8" w14:paraId="4D53D3C9" w14:textId="77777777" w:rsidTr="00F1223B">
        <w:tc>
          <w:tcPr>
            <w:tcW w:w="562" w:type="dxa"/>
          </w:tcPr>
          <w:p w14:paraId="235BEAD4" w14:textId="77777777" w:rsidR="00561B22" w:rsidRPr="00F51FD8" w:rsidRDefault="00561B22" w:rsidP="00F1223B">
            <w:pPr>
              <w:jc w:val="center"/>
              <w:rPr>
                <w:rFonts w:ascii="Arial" w:hAnsi="Arial" w:cs="Arial"/>
                <w:sz w:val="22"/>
                <w:szCs w:val="22"/>
                <w:lang w:val="es-MX"/>
              </w:rPr>
            </w:pPr>
            <w:r w:rsidRPr="00F51FD8">
              <w:rPr>
                <w:rFonts w:ascii="Arial" w:hAnsi="Arial" w:cs="Arial"/>
                <w:sz w:val="22"/>
                <w:szCs w:val="22"/>
                <w:lang w:val="es-MX"/>
              </w:rPr>
              <w:t>3</w:t>
            </w:r>
          </w:p>
        </w:tc>
        <w:tc>
          <w:tcPr>
            <w:tcW w:w="9400" w:type="dxa"/>
          </w:tcPr>
          <w:p w14:paraId="184C9744" w14:textId="77777777" w:rsidR="00561B22" w:rsidRPr="00F51FD8" w:rsidRDefault="00561B22" w:rsidP="00F1223B">
            <w:pPr>
              <w:jc w:val="both"/>
              <w:rPr>
                <w:rFonts w:ascii="Arial" w:hAnsi="Arial" w:cs="Arial"/>
                <w:sz w:val="22"/>
                <w:szCs w:val="22"/>
                <w:lang w:val="es-MX"/>
              </w:rPr>
            </w:pPr>
            <w:r w:rsidRPr="00F51FD8">
              <w:rPr>
                <w:rFonts w:ascii="Arial" w:hAnsi="Arial" w:cs="Arial"/>
                <w:sz w:val="22"/>
                <w:szCs w:val="22"/>
              </w:rPr>
              <w:t xml:space="preserve">No ha identificado otros riesgos de índole contable, utiliza los mismos establecidos por la Subdirección Financiera de la FGN, toda vez que no se han establecido otros controles que permitan mitigar, prevenir o neutralizar la ocurrencia de hechos que puedan afectar la confiabilidad de la información.  </w:t>
            </w:r>
          </w:p>
        </w:tc>
      </w:tr>
    </w:tbl>
    <w:p w14:paraId="23F095D2" w14:textId="77777777" w:rsidR="00561B22" w:rsidRPr="00F51FD8" w:rsidRDefault="00561B22" w:rsidP="00561B22">
      <w:pPr>
        <w:jc w:val="both"/>
        <w:rPr>
          <w:rFonts w:ascii="Arial" w:hAnsi="Arial" w:cs="Arial"/>
          <w:b/>
          <w:lang w:val="es-MX"/>
        </w:rPr>
      </w:pPr>
    </w:p>
    <w:p w14:paraId="5FB05DEC" w14:textId="77777777" w:rsidR="00561B22" w:rsidRPr="00F51FD8" w:rsidRDefault="00561B22" w:rsidP="00561B22">
      <w:pPr>
        <w:jc w:val="both"/>
        <w:rPr>
          <w:rFonts w:ascii="Arial" w:hAnsi="Arial" w:cs="Arial"/>
          <w:b/>
          <w:sz w:val="28"/>
          <w:szCs w:val="28"/>
          <w:lang w:val="es-MX"/>
        </w:rPr>
      </w:pPr>
      <w:r w:rsidRPr="00F51FD8">
        <w:rPr>
          <w:rFonts w:ascii="Arial" w:hAnsi="Arial" w:cs="Arial"/>
          <w:b/>
          <w:sz w:val="28"/>
          <w:szCs w:val="28"/>
          <w:lang w:val="es-MX"/>
        </w:rPr>
        <w:t>Del citado informe retomamos las siguientes recomendaciones:</w:t>
      </w:r>
    </w:p>
    <w:p w14:paraId="0C100F43" w14:textId="77777777" w:rsidR="00561B22" w:rsidRPr="00F51FD8" w:rsidRDefault="00561B22" w:rsidP="00561B22">
      <w:pPr>
        <w:pStyle w:val="Textoindependiente"/>
        <w:ind w:right="-50"/>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562"/>
        <w:gridCol w:w="9400"/>
      </w:tblGrid>
      <w:tr w:rsidR="00561B22" w:rsidRPr="00F51FD8" w14:paraId="20A4D009" w14:textId="77777777" w:rsidTr="00F1223B">
        <w:tc>
          <w:tcPr>
            <w:tcW w:w="562" w:type="dxa"/>
          </w:tcPr>
          <w:p w14:paraId="5F263FBA" w14:textId="77777777" w:rsidR="00561B22" w:rsidRPr="00F51FD8" w:rsidRDefault="00561B22" w:rsidP="00F1223B">
            <w:pPr>
              <w:ind w:right="-109"/>
              <w:jc w:val="center"/>
              <w:rPr>
                <w:rFonts w:ascii="Arial" w:hAnsi="Arial" w:cs="Arial"/>
                <w:b/>
                <w:lang w:val="es-MX"/>
              </w:rPr>
            </w:pPr>
            <w:r w:rsidRPr="00F51FD8">
              <w:rPr>
                <w:rFonts w:ascii="Arial" w:hAnsi="Arial" w:cs="Arial"/>
                <w:b/>
                <w:lang w:val="es-MX"/>
              </w:rPr>
              <w:t>N°</w:t>
            </w:r>
          </w:p>
        </w:tc>
        <w:tc>
          <w:tcPr>
            <w:tcW w:w="9400" w:type="dxa"/>
          </w:tcPr>
          <w:p w14:paraId="596799DC" w14:textId="77777777" w:rsidR="00561B22" w:rsidRPr="00F51FD8" w:rsidRDefault="00561B22" w:rsidP="00F1223B">
            <w:pPr>
              <w:jc w:val="center"/>
              <w:rPr>
                <w:rFonts w:ascii="Arial" w:hAnsi="Arial" w:cs="Arial"/>
                <w:b/>
                <w:sz w:val="24"/>
                <w:szCs w:val="24"/>
                <w:lang w:val="es-MX"/>
              </w:rPr>
            </w:pPr>
            <w:r w:rsidRPr="00F51FD8">
              <w:rPr>
                <w:rFonts w:ascii="Arial" w:hAnsi="Arial" w:cs="Arial"/>
                <w:b/>
                <w:sz w:val="24"/>
                <w:szCs w:val="24"/>
                <w:lang w:val="es-MX"/>
              </w:rPr>
              <w:t>RECOMENDACIONES</w:t>
            </w:r>
          </w:p>
          <w:p w14:paraId="76867E36" w14:textId="77777777" w:rsidR="00561B22" w:rsidRPr="00F51FD8" w:rsidRDefault="00561B22" w:rsidP="00F1223B">
            <w:pPr>
              <w:jc w:val="center"/>
              <w:rPr>
                <w:rFonts w:ascii="Arial" w:hAnsi="Arial" w:cs="Arial"/>
                <w:b/>
                <w:lang w:val="es-MX"/>
              </w:rPr>
            </w:pPr>
          </w:p>
        </w:tc>
      </w:tr>
      <w:tr w:rsidR="00561B22" w:rsidRPr="00F51FD8" w14:paraId="02346570" w14:textId="77777777" w:rsidTr="00F1223B">
        <w:tc>
          <w:tcPr>
            <w:tcW w:w="562" w:type="dxa"/>
          </w:tcPr>
          <w:p w14:paraId="6DCDAAD4" w14:textId="77777777" w:rsidR="00561B22" w:rsidRPr="00F51FD8" w:rsidRDefault="00561B22" w:rsidP="00F1223B">
            <w:pPr>
              <w:jc w:val="center"/>
              <w:rPr>
                <w:rFonts w:ascii="Arial" w:hAnsi="Arial" w:cs="Arial"/>
                <w:lang w:val="es-MX"/>
              </w:rPr>
            </w:pPr>
            <w:r w:rsidRPr="00F51FD8">
              <w:rPr>
                <w:rFonts w:ascii="Arial" w:hAnsi="Arial" w:cs="Arial"/>
                <w:lang w:val="es-MX"/>
              </w:rPr>
              <w:t>1</w:t>
            </w:r>
          </w:p>
        </w:tc>
        <w:tc>
          <w:tcPr>
            <w:tcW w:w="9400" w:type="dxa"/>
          </w:tcPr>
          <w:p w14:paraId="061F84C0" w14:textId="77777777" w:rsidR="00561B22" w:rsidRPr="00F51FD8" w:rsidRDefault="00561B22" w:rsidP="00F1223B">
            <w:pPr>
              <w:jc w:val="both"/>
              <w:rPr>
                <w:rFonts w:ascii="Arial" w:hAnsi="Arial" w:cs="Arial"/>
                <w:lang w:val="es-MX"/>
              </w:rPr>
            </w:pPr>
            <w:r w:rsidRPr="00F51FD8">
              <w:rPr>
                <w:rFonts w:ascii="Arial" w:hAnsi="Arial" w:cs="Arial"/>
              </w:rPr>
              <w:t xml:space="preserve">Apoyar por parte del Gerente del fondo a la Dirección Ejecutiva de la FGN (subdirecciones: financiera y Tics) en la gestión de implementación del nuevo sistema para subdirección de bienes, que permita mejorar la evaluación posterior por deterioro o valorización de bienes superiores a 100 UVT a cargo del FEAB. </w:t>
            </w:r>
          </w:p>
        </w:tc>
      </w:tr>
      <w:tr w:rsidR="00561B22" w:rsidRPr="00F51FD8" w14:paraId="3E562FA6" w14:textId="77777777" w:rsidTr="00F1223B">
        <w:tc>
          <w:tcPr>
            <w:tcW w:w="562" w:type="dxa"/>
          </w:tcPr>
          <w:p w14:paraId="2F242932" w14:textId="77777777" w:rsidR="00561B22" w:rsidRPr="00F51FD8" w:rsidRDefault="00561B22" w:rsidP="00F1223B">
            <w:pPr>
              <w:jc w:val="center"/>
              <w:rPr>
                <w:rFonts w:ascii="Arial" w:hAnsi="Arial" w:cs="Arial"/>
                <w:lang w:val="es-MX"/>
              </w:rPr>
            </w:pPr>
            <w:r w:rsidRPr="00F51FD8">
              <w:rPr>
                <w:rFonts w:ascii="Arial" w:hAnsi="Arial" w:cs="Arial"/>
                <w:lang w:val="es-MX"/>
              </w:rPr>
              <w:t>2</w:t>
            </w:r>
          </w:p>
        </w:tc>
        <w:tc>
          <w:tcPr>
            <w:tcW w:w="9400" w:type="dxa"/>
          </w:tcPr>
          <w:p w14:paraId="194D1CCA" w14:textId="77777777" w:rsidR="00561B22" w:rsidRPr="00F51FD8" w:rsidRDefault="00561B22" w:rsidP="00F1223B">
            <w:pPr>
              <w:jc w:val="both"/>
              <w:rPr>
                <w:rFonts w:ascii="Arial" w:hAnsi="Arial" w:cs="Arial"/>
                <w:lang w:val="es-MX"/>
              </w:rPr>
            </w:pPr>
            <w:r w:rsidRPr="00F51FD8">
              <w:rPr>
                <w:rFonts w:ascii="Arial" w:hAnsi="Arial" w:cs="Arial"/>
              </w:rPr>
              <w:t>Adelantar, por parte del representante legal del FEAB, lo pertinente para la implementación de un sistema de indicadores que permita analizar e interpretar la realidad financiera de la entidad, ajustado a sus necesidades y al proceso contable.</w:t>
            </w:r>
          </w:p>
        </w:tc>
      </w:tr>
      <w:tr w:rsidR="00561B22" w:rsidRPr="00F51FD8" w14:paraId="66E8F118" w14:textId="77777777" w:rsidTr="00F1223B">
        <w:tc>
          <w:tcPr>
            <w:tcW w:w="562" w:type="dxa"/>
          </w:tcPr>
          <w:p w14:paraId="0B6ECAF9" w14:textId="77777777" w:rsidR="00561B22" w:rsidRPr="00F51FD8" w:rsidRDefault="00561B22" w:rsidP="00F1223B">
            <w:pPr>
              <w:jc w:val="center"/>
              <w:rPr>
                <w:rFonts w:ascii="Arial" w:hAnsi="Arial" w:cs="Arial"/>
                <w:lang w:val="es-MX"/>
              </w:rPr>
            </w:pPr>
            <w:r w:rsidRPr="00F51FD8">
              <w:rPr>
                <w:rFonts w:ascii="Arial" w:hAnsi="Arial" w:cs="Arial"/>
                <w:lang w:val="es-MX"/>
              </w:rPr>
              <w:t>3</w:t>
            </w:r>
          </w:p>
        </w:tc>
        <w:tc>
          <w:tcPr>
            <w:tcW w:w="9400" w:type="dxa"/>
          </w:tcPr>
          <w:p w14:paraId="346D79DD" w14:textId="77777777" w:rsidR="00561B22" w:rsidRPr="00F51FD8" w:rsidRDefault="00561B22" w:rsidP="00F1223B">
            <w:pPr>
              <w:jc w:val="both"/>
              <w:rPr>
                <w:rFonts w:ascii="Arial" w:hAnsi="Arial" w:cs="Arial"/>
                <w:lang w:val="es-MX"/>
              </w:rPr>
            </w:pPr>
            <w:r w:rsidRPr="00F51FD8">
              <w:rPr>
                <w:rFonts w:ascii="Arial" w:hAnsi="Arial" w:cs="Arial"/>
              </w:rPr>
              <w:t>Implementar acciones para identificar, analizar y gestionar los riesgos de índole contable, que puedan afectar al FEAB, como lo establece el Procedimiento para la Evaluación del Control Interno Contable, en su numeral 3 Gestión de Riesgo Contable de la Contaduría General de la Nación</w:t>
            </w:r>
          </w:p>
        </w:tc>
      </w:tr>
    </w:tbl>
    <w:p w14:paraId="11760F72" w14:textId="77777777" w:rsidR="00561B22" w:rsidRPr="00F51FD8" w:rsidRDefault="00561B22" w:rsidP="00561B22">
      <w:pPr>
        <w:pStyle w:val="Textoindependiente"/>
        <w:ind w:right="-50"/>
        <w:jc w:val="both"/>
        <w:rPr>
          <w:rFonts w:ascii="Arial" w:hAnsi="Arial" w:cs="Arial"/>
          <w:b/>
          <w:bCs/>
          <w:sz w:val="28"/>
          <w:szCs w:val="28"/>
        </w:rPr>
      </w:pPr>
    </w:p>
    <w:p w14:paraId="793B4733" w14:textId="77777777" w:rsidR="00561B22" w:rsidRPr="00F51FD8" w:rsidRDefault="00561B22" w:rsidP="00561B22">
      <w:pPr>
        <w:jc w:val="both"/>
        <w:rPr>
          <w:rFonts w:ascii="Arial" w:hAnsi="Arial" w:cs="Arial"/>
          <w:b/>
          <w:bCs/>
          <w:sz w:val="24"/>
          <w:szCs w:val="24"/>
          <w:lang w:val="es-CO"/>
        </w:rPr>
      </w:pPr>
      <w:r w:rsidRPr="00F51FD8">
        <w:rPr>
          <w:rFonts w:ascii="Arial" w:hAnsi="Arial" w:cs="Arial"/>
          <w:b/>
          <w:bCs/>
          <w:sz w:val="24"/>
          <w:szCs w:val="24"/>
          <w:lang w:val="es-CO"/>
        </w:rPr>
        <w:t xml:space="preserve">NOTA: LA ENTIDAD ENVIA LA MATRIZ DE AUTOEVALUACIÓN DEL SISTEMA DE CONTROL INTERNO CONTABLE CON </w:t>
      </w:r>
      <w:r w:rsidRPr="00F51FD8">
        <w:rPr>
          <w:rFonts w:ascii="Arial" w:hAnsi="Arial" w:cs="Arial"/>
          <w:b/>
          <w:bCs/>
          <w:sz w:val="24"/>
          <w:szCs w:val="24"/>
          <w:u w:val="single"/>
          <w:lang w:val="es-CO"/>
        </w:rPr>
        <w:t>ACTIVIDADES DE CONTROL REALIZADAS EN FORMA PARCIAL</w:t>
      </w:r>
      <w:r w:rsidRPr="00F51FD8">
        <w:rPr>
          <w:rFonts w:ascii="Arial" w:hAnsi="Arial" w:cs="Arial"/>
          <w:b/>
          <w:bCs/>
          <w:sz w:val="24"/>
          <w:szCs w:val="24"/>
          <w:lang w:val="es-CO"/>
        </w:rPr>
        <w:t>.</w:t>
      </w:r>
    </w:p>
    <w:p w14:paraId="722777F8" w14:textId="77777777" w:rsidR="00561B22" w:rsidRPr="00F51FD8" w:rsidRDefault="00561B22" w:rsidP="00561B22">
      <w:pPr>
        <w:pStyle w:val="Textoindependiente"/>
        <w:ind w:right="-50"/>
        <w:jc w:val="both"/>
        <w:rPr>
          <w:rFonts w:ascii="Arial" w:hAnsi="Arial" w:cs="Arial"/>
          <w:b/>
          <w:bCs/>
          <w:sz w:val="28"/>
          <w:szCs w:val="28"/>
        </w:rPr>
      </w:pPr>
    </w:p>
    <w:p w14:paraId="6F325C74" w14:textId="77777777" w:rsidR="00561B22" w:rsidRPr="005A02D1" w:rsidRDefault="00561B22" w:rsidP="00561B22">
      <w:pPr>
        <w:jc w:val="both"/>
        <w:rPr>
          <w:rFonts w:ascii="Arial" w:hAnsi="Arial" w:cs="Arial"/>
          <w:b/>
          <w:sz w:val="28"/>
          <w:szCs w:val="28"/>
          <w:lang w:val="es-MX"/>
        </w:rPr>
      </w:pPr>
      <w:r w:rsidRPr="005A02D1">
        <w:rPr>
          <w:rFonts w:ascii="Arial" w:hAnsi="Arial" w:cs="Arial"/>
          <w:b/>
          <w:sz w:val="28"/>
          <w:szCs w:val="28"/>
          <w:lang w:val="es-MX"/>
        </w:rPr>
        <w:t>280.- AGENCIA LOGISTICA DE LAS FUERZAS MILITARES.</w:t>
      </w:r>
    </w:p>
    <w:p w14:paraId="7A11B59D" w14:textId="77777777" w:rsidR="00561B22" w:rsidRDefault="00561B22" w:rsidP="00561B22">
      <w:pPr>
        <w:jc w:val="both"/>
        <w:rPr>
          <w:rFonts w:ascii="Arial" w:hAnsi="Arial" w:cs="Arial"/>
          <w:b/>
          <w:bCs/>
          <w:sz w:val="28"/>
          <w:szCs w:val="28"/>
          <w:lang w:val="es-CO"/>
        </w:rPr>
      </w:pPr>
    </w:p>
    <w:p w14:paraId="14714265" w14:textId="77777777" w:rsidR="00561B22" w:rsidRPr="0034380E" w:rsidRDefault="00561B22" w:rsidP="00561B22">
      <w:pPr>
        <w:pStyle w:val="Textoindependiente"/>
        <w:ind w:right="-50"/>
        <w:jc w:val="center"/>
        <w:rPr>
          <w:rFonts w:ascii="Arial" w:hAnsi="Arial" w:cs="Arial"/>
          <w:b/>
          <w:bCs/>
        </w:rPr>
      </w:pPr>
      <w:r w:rsidRPr="0034380E">
        <w:rPr>
          <w:rFonts w:ascii="Arial" w:hAnsi="Arial" w:cs="Arial"/>
          <w:b/>
          <w:bCs/>
        </w:rPr>
        <w:t>INFORME DE LA AUTOCALIFICACIÓN DEL SISTEMA DE CONTROL INTERNO CONTABLE:</w:t>
      </w:r>
    </w:p>
    <w:p w14:paraId="580CE7FE" w14:textId="77777777" w:rsidR="00561B22" w:rsidRPr="0034380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34380E" w14:paraId="414B84EC" w14:textId="77777777" w:rsidTr="00F1223B">
        <w:tc>
          <w:tcPr>
            <w:tcW w:w="4981" w:type="dxa"/>
          </w:tcPr>
          <w:p w14:paraId="022CEA2C" w14:textId="77777777" w:rsidR="00561B22" w:rsidRPr="0034380E" w:rsidRDefault="00561B22" w:rsidP="00F1223B">
            <w:pPr>
              <w:jc w:val="center"/>
              <w:rPr>
                <w:rFonts w:ascii="Arial" w:hAnsi="Arial" w:cs="Arial"/>
                <w:b/>
                <w:sz w:val="22"/>
                <w:szCs w:val="22"/>
                <w:lang w:val="es-MX"/>
              </w:rPr>
            </w:pPr>
            <w:r w:rsidRPr="0034380E">
              <w:rPr>
                <w:rFonts w:ascii="Arial" w:hAnsi="Arial" w:cs="Arial"/>
                <w:b/>
                <w:sz w:val="22"/>
                <w:szCs w:val="22"/>
                <w:lang w:val="es-MX"/>
              </w:rPr>
              <w:t>AUTOCALIFICACIÓN</w:t>
            </w:r>
          </w:p>
        </w:tc>
        <w:tc>
          <w:tcPr>
            <w:tcW w:w="4981" w:type="dxa"/>
          </w:tcPr>
          <w:p w14:paraId="102046DF" w14:textId="77777777" w:rsidR="00561B22" w:rsidRPr="0034380E" w:rsidRDefault="00561B22" w:rsidP="00F1223B">
            <w:pPr>
              <w:jc w:val="center"/>
              <w:rPr>
                <w:rFonts w:ascii="Arial" w:hAnsi="Arial" w:cs="Arial"/>
                <w:b/>
                <w:sz w:val="22"/>
                <w:szCs w:val="22"/>
                <w:u w:val="single"/>
                <w:lang w:val="es-MX"/>
              </w:rPr>
            </w:pPr>
            <w:r w:rsidRPr="0034380E">
              <w:rPr>
                <w:rFonts w:ascii="Arial" w:hAnsi="Arial" w:cs="Arial"/>
                <w:b/>
                <w:sz w:val="22"/>
                <w:szCs w:val="22"/>
                <w:u w:val="single"/>
                <w:lang w:val="es-MX"/>
              </w:rPr>
              <w:t>4.41</w:t>
            </w:r>
          </w:p>
        </w:tc>
      </w:tr>
    </w:tbl>
    <w:p w14:paraId="09372D27" w14:textId="77777777" w:rsidR="00561B22" w:rsidRPr="0034380E" w:rsidRDefault="00561B22" w:rsidP="00561B22">
      <w:pPr>
        <w:pStyle w:val="Textoindependiente"/>
        <w:ind w:right="-50"/>
        <w:jc w:val="both"/>
        <w:rPr>
          <w:rFonts w:ascii="Arial" w:hAnsi="Arial" w:cs="Arial"/>
          <w:b/>
          <w:bCs/>
        </w:rPr>
      </w:pPr>
    </w:p>
    <w:p w14:paraId="24CBD55C" w14:textId="77777777" w:rsidR="00561B22" w:rsidRPr="0034380E" w:rsidRDefault="00561B22" w:rsidP="00561B22">
      <w:pPr>
        <w:pStyle w:val="Textoindependiente"/>
        <w:ind w:right="-50"/>
        <w:jc w:val="both"/>
        <w:rPr>
          <w:rFonts w:ascii="Arial" w:hAnsi="Arial" w:cs="Arial"/>
          <w:b/>
          <w:bCs/>
        </w:rPr>
      </w:pPr>
      <w:r w:rsidRPr="0034380E">
        <w:rPr>
          <w:rFonts w:ascii="Arial" w:hAnsi="Arial" w:cs="Arial"/>
          <w:b/>
          <w:bCs/>
        </w:rPr>
        <w:t>Del informe enviado retomamos lo siguiente:</w:t>
      </w:r>
    </w:p>
    <w:p w14:paraId="3AC4F9FF" w14:textId="77777777" w:rsidR="00561B22" w:rsidRPr="0034380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34380E" w14:paraId="45B07CD8" w14:textId="77777777" w:rsidTr="00F1223B">
        <w:tc>
          <w:tcPr>
            <w:tcW w:w="562" w:type="dxa"/>
          </w:tcPr>
          <w:p w14:paraId="31B781BB" w14:textId="77777777" w:rsidR="00561B22" w:rsidRPr="0034380E" w:rsidRDefault="00561B22" w:rsidP="00F1223B">
            <w:pPr>
              <w:ind w:right="-109"/>
              <w:jc w:val="center"/>
              <w:rPr>
                <w:rFonts w:ascii="Arial" w:hAnsi="Arial" w:cs="Arial"/>
                <w:b/>
                <w:sz w:val="22"/>
                <w:szCs w:val="22"/>
                <w:lang w:val="es-MX"/>
              </w:rPr>
            </w:pPr>
            <w:r w:rsidRPr="0034380E">
              <w:rPr>
                <w:rFonts w:ascii="Arial" w:hAnsi="Arial" w:cs="Arial"/>
                <w:b/>
                <w:sz w:val="22"/>
                <w:szCs w:val="22"/>
                <w:lang w:val="es-MX"/>
              </w:rPr>
              <w:t>N°</w:t>
            </w:r>
          </w:p>
        </w:tc>
        <w:tc>
          <w:tcPr>
            <w:tcW w:w="9400" w:type="dxa"/>
          </w:tcPr>
          <w:p w14:paraId="67F8B175" w14:textId="77777777" w:rsidR="00561B22" w:rsidRPr="0034380E" w:rsidRDefault="00561B22" w:rsidP="00F1223B">
            <w:pPr>
              <w:jc w:val="center"/>
              <w:rPr>
                <w:rFonts w:ascii="Arial" w:hAnsi="Arial" w:cs="Arial"/>
                <w:b/>
                <w:sz w:val="22"/>
                <w:szCs w:val="22"/>
                <w:lang w:val="es-MX"/>
              </w:rPr>
            </w:pPr>
            <w:r w:rsidRPr="0034380E">
              <w:rPr>
                <w:rFonts w:ascii="Arial" w:hAnsi="Arial" w:cs="Arial"/>
                <w:b/>
                <w:sz w:val="22"/>
                <w:szCs w:val="22"/>
                <w:lang w:val="es-MX"/>
              </w:rPr>
              <w:t>DEBILIDADES</w:t>
            </w:r>
          </w:p>
          <w:p w14:paraId="4ABCBD21" w14:textId="77777777" w:rsidR="00561B22" w:rsidRPr="0034380E" w:rsidRDefault="00561B22" w:rsidP="00F1223B">
            <w:pPr>
              <w:jc w:val="center"/>
              <w:rPr>
                <w:rFonts w:ascii="Arial" w:hAnsi="Arial" w:cs="Arial"/>
                <w:b/>
                <w:sz w:val="22"/>
                <w:szCs w:val="22"/>
                <w:lang w:val="es-MX"/>
              </w:rPr>
            </w:pPr>
          </w:p>
        </w:tc>
      </w:tr>
      <w:tr w:rsidR="00561B22" w:rsidRPr="0034380E" w14:paraId="2986A970" w14:textId="77777777" w:rsidTr="00F1223B">
        <w:trPr>
          <w:trHeight w:val="792"/>
        </w:trPr>
        <w:tc>
          <w:tcPr>
            <w:tcW w:w="562" w:type="dxa"/>
          </w:tcPr>
          <w:p w14:paraId="1EB24CDA"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lastRenderedPageBreak/>
              <w:t>1</w:t>
            </w:r>
          </w:p>
        </w:tc>
        <w:tc>
          <w:tcPr>
            <w:tcW w:w="9400" w:type="dxa"/>
          </w:tcPr>
          <w:p w14:paraId="393B0DA1" w14:textId="77777777" w:rsidR="00561B22" w:rsidRPr="0034380E" w:rsidRDefault="00561B22" w:rsidP="00F1223B">
            <w:pPr>
              <w:widowControl/>
              <w:autoSpaceDE/>
              <w:autoSpaceDN/>
              <w:adjustRightInd w:val="0"/>
              <w:jc w:val="both"/>
              <w:rPr>
                <w:rFonts w:ascii="Arial" w:eastAsia="Calibri" w:hAnsi="Arial" w:cs="Arial"/>
                <w:sz w:val="22"/>
                <w:szCs w:val="22"/>
                <w:lang w:val="es-CO"/>
              </w:rPr>
            </w:pPr>
            <w:r w:rsidRPr="0034380E">
              <w:rPr>
                <w:rFonts w:ascii="Arial" w:eastAsia="Calibri" w:hAnsi="Arial" w:cs="Arial"/>
                <w:sz w:val="22"/>
                <w:szCs w:val="22"/>
                <w:lang w:val="es-CO"/>
              </w:rPr>
              <w:t>En el análisis para la identificación de los riesgos asociados al proceso financiero, teniendo en cuenta que no han sido modificados o actualizados durante las últimas vigencias, aun cuando se ha evidenciado la materialización de los riesgos.</w:t>
            </w:r>
          </w:p>
        </w:tc>
      </w:tr>
      <w:tr w:rsidR="00561B22" w:rsidRPr="0034380E" w14:paraId="6CCB0179" w14:textId="77777777" w:rsidTr="00F1223B">
        <w:tc>
          <w:tcPr>
            <w:tcW w:w="562" w:type="dxa"/>
          </w:tcPr>
          <w:p w14:paraId="2E1F0043"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2</w:t>
            </w:r>
          </w:p>
        </w:tc>
        <w:tc>
          <w:tcPr>
            <w:tcW w:w="9400" w:type="dxa"/>
          </w:tcPr>
          <w:p w14:paraId="7659C442" w14:textId="77777777" w:rsidR="00561B22" w:rsidRPr="0034380E" w:rsidRDefault="00561B22" w:rsidP="00F1223B">
            <w:pPr>
              <w:widowControl/>
              <w:autoSpaceDE/>
              <w:autoSpaceDN/>
              <w:adjustRightInd w:val="0"/>
              <w:jc w:val="both"/>
              <w:rPr>
                <w:rFonts w:ascii="Arial" w:eastAsia="Calibri" w:hAnsi="Arial" w:cs="Arial"/>
                <w:sz w:val="22"/>
                <w:szCs w:val="22"/>
                <w:lang w:val="es-CO"/>
              </w:rPr>
            </w:pPr>
            <w:r w:rsidRPr="0034380E">
              <w:rPr>
                <w:rFonts w:ascii="Arial" w:eastAsia="Calibri" w:hAnsi="Arial" w:cs="Arial"/>
                <w:sz w:val="22"/>
                <w:szCs w:val="22"/>
                <w:lang w:val="es-CO"/>
              </w:rPr>
              <w:t>Identificación e implementación de los controles asociados a los riesgos del proceso financiero para evitar, minimizar, mitigar o prevenir la materialización de los mismos.</w:t>
            </w:r>
          </w:p>
        </w:tc>
      </w:tr>
      <w:tr w:rsidR="00561B22" w:rsidRPr="0034380E" w14:paraId="4FA296EE" w14:textId="77777777" w:rsidTr="00F1223B">
        <w:tc>
          <w:tcPr>
            <w:tcW w:w="562" w:type="dxa"/>
          </w:tcPr>
          <w:p w14:paraId="43047592"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3</w:t>
            </w:r>
          </w:p>
        </w:tc>
        <w:tc>
          <w:tcPr>
            <w:tcW w:w="9400" w:type="dxa"/>
          </w:tcPr>
          <w:p w14:paraId="1D1F2A33" w14:textId="77777777" w:rsidR="00561B22" w:rsidRPr="0034380E" w:rsidRDefault="00561B22" w:rsidP="00F1223B">
            <w:pPr>
              <w:jc w:val="both"/>
              <w:rPr>
                <w:rFonts w:ascii="Arial" w:hAnsi="Arial" w:cs="Arial"/>
                <w:b/>
                <w:sz w:val="22"/>
                <w:szCs w:val="22"/>
                <w:lang w:val="es-MX"/>
              </w:rPr>
            </w:pPr>
            <w:r w:rsidRPr="0034380E">
              <w:rPr>
                <w:rFonts w:ascii="Arial" w:hAnsi="Arial" w:cs="Arial"/>
                <w:sz w:val="22"/>
                <w:szCs w:val="22"/>
                <w:lang w:val="es-CO"/>
              </w:rPr>
              <w:t>En la materialización de riesgos del área financiera ALFM, posibilidad de sanciones por presentación inoportuna de la información contable y tributaria, debido a incumplimiento en el cronograma establecido</w:t>
            </w:r>
          </w:p>
        </w:tc>
      </w:tr>
      <w:tr w:rsidR="00561B22" w:rsidRPr="0034380E" w14:paraId="60452D4E" w14:textId="77777777" w:rsidTr="00F1223B">
        <w:trPr>
          <w:trHeight w:val="585"/>
        </w:trPr>
        <w:tc>
          <w:tcPr>
            <w:tcW w:w="562" w:type="dxa"/>
          </w:tcPr>
          <w:p w14:paraId="2B850F57"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4</w:t>
            </w:r>
          </w:p>
        </w:tc>
        <w:tc>
          <w:tcPr>
            <w:tcW w:w="9400" w:type="dxa"/>
          </w:tcPr>
          <w:p w14:paraId="2AAA3F25" w14:textId="77777777" w:rsidR="00561B22" w:rsidRPr="0034380E" w:rsidRDefault="00561B22" w:rsidP="00F1223B">
            <w:pPr>
              <w:widowControl/>
              <w:autoSpaceDE/>
              <w:autoSpaceDN/>
              <w:adjustRightInd w:val="0"/>
              <w:jc w:val="both"/>
              <w:rPr>
                <w:rFonts w:ascii="Arial" w:hAnsi="Arial" w:cs="Arial"/>
                <w:b/>
                <w:sz w:val="22"/>
                <w:szCs w:val="22"/>
                <w:lang w:val="es-MX"/>
              </w:rPr>
            </w:pPr>
            <w:r w:rsidRPr="0034380E">
              <w:rPr>
                <w:rFonts w:ascii="Arial" w:eastAsia="Calibri" w:hAnsi="Arial" w:cs="Arial"/>
                <w:sz w:val="22"/>
                <w:szCs w:val="22"/>
                <w:lang w:val="es-CO"/>
              </w:rPr>
              <w:t>En el seguimiento y control de la depreciación de los activos fijos y la asignación de las cuentas contables de los mismos.</w:t>
            </w:r>
          </w:p>
        </w:tc>
      </w:tr>
      <w:tr w:rsidR="00561B22" w:rsidRPr="0034380E" w14:paraId="28071C03" w14:textId="77777777" w:rsidTr="00F1223B">
        <w:tc>
          <w:tcPr>
            <w:tcW w:w="562" w:type="dxa"/>
          </w:tcPr>
          <w:p w14:paraId="58E7F262"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5</w:t>
            </w:r>
          </w:p>
        </w:tc>
        <w:tc>
          <w:tcPr>
            <w:tcW w:w="9400" w:type="dxa"/>
          </w:tcPr>
          <w:p w14:paraId="554A8CC4" w14:textId="203D96D8" w:rsidR="00561B22" w:rsidRPr="0034380E" w:rsidRDefault="00561B22" w:rsidP="00F1223B">
            <w:pPr>
              <w:widowControl/>
              <w:autoSpaceDE/>
              <w:autoSpaceDN/>
              <w:adjustRightInd w:val="0"/>
              <w:jc w:val="both"/>
              <w:rPr>
                <w:rFonts w:ascii="Arial" w:hAnsi="Arial" w:cs="Arial"/>
                <w:b/>
                <w:sz w:val="22"/>
                <w:szCs w:val="22"/>
                <w:lang w:val="es-MX"/>
              </w:rPr>
            </w:pPr>
            <w:r w:rsidRPr="0034380E">
              <w:rPr>
                <w:rFonts w:ascii="Arial" w:eastAsia="Calibri" w:hAnsi="Arial" w:cs="Arial"/>
                <w:sz w:val="22"/>
                <w:szCs w:val="22"/>
                <w:lang w:val="es-CO"/>
              </w:rPr>
              <w:t xml:space="preserve">El módulo de Talento Humano que a la fecha no se encuentra integrado con el </w:t>
            </w:r>
            <w:r w:rsidR="0008150C" w:rsidRPr="0034380E">
              <w:rPr>
                <w:rFonts w:ascii="Arial" w:eastAsia="Calibri" w:hAnsi="Arial" w:cs="Arial"/>
                <w:sz w:val="22"/>
                <w:szCs w:val="22"/>
                <w:lang w:val="es-CO"/>
              </w:rPr>
              <w:t>módulo</w:t>
            </w:r>
            <w:r w:rsidRPr="0034380E">
              <w:rPr>
                <w:rFonts w:ascii="Arial" w:eastAsia="Calibri" w:hAnsi="Arial" w:cs="Arial"/>
                <w:sz w:val="22"/>
                <w:szCs w:val="22"/>
                <w:lang w:val="es-CO"/>
              </w:rPr>
              <w:t xml:space="preserve"> contable en el sistema ERP SAP, lo que dificulta el proceso de cruce de información pudiendo generar inconsistencias.</w:t>
            </w:r>
          </w:p>
        </w:tc>
      </w:tr>
      <w:tr w:rsidR="00561B22" w:rsidRPr="0034380E" w14:paraId="358B5FAC" w14:textId="77777777" w:rsidTr="00F1223B">
        <w:tc>
          <w:tcPr>
            <w:tcW w:w="562" w:type="dxa"/>
          </w:tcPr>
          <w:p w14:paraId="33CA6CA4"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6</w:t>
            </w:r>
          </w:p>
        </w:tc>
        <w:tc>
          <w:tcPr>
            <w:tcW w:w="9400" w:type="dxa"/>
          </w:tcPr>
          <w:p w14:paraId="77B6A957" w14:textId="77777777" w:rsidR="00561B22" w:rsidRPr="0034380E" w:rsidRDefault="00561B22" w:rsidP="00F1223B">
            <w:pPr>
              <w:widowControl/>
              <w:autoSpaceDE/>
              <w:autoSpaceDN/>
              <w:adjustRightInd w:val="0"/>
              <w:jc w:val="both"/>
              <w:rPr>
                <w:rFonts w:ascii="Arial" w:hAnsi="Arial" w:cs="Arial"/>
                <w:b/>
                <w:sz w:val="22"/>
                <w:szCs w:val="22"/>
                <w:lang w:val="es-MX"/>
              </w:rPr>
            </w:pPr>
            <w:r w:rsidRPr="0034380E">
              <w:rPr>
                <w:rFonts w:ascii="Arial" w:eastAsia="Calibri" w:hAnsi="Arial" w:cs="Arial"/>
                <w:sz w:val="22"/>
                <w:szCs w:val="22"/>
                <w:lang w:val="es-CO"/>
              </w:rPr>
              <w:t>La capacitación al personal involucrado en actualización tributaria, presentación, liquidación y pago de obligaciones tributarias, no incluida en el Pla Institucional de Capacitación.</w:t>
            </w:r>
          </w:p>
        </w:tc>
      </w:tr>
      <w:tr w:rsidR="00561B22" w:rsidRPr="0034380E" w14:paraId="2D243E94" w14:textId="77777777" w:rsidTr="00F1223B">
        <w:tc>
          <w:tcPr>
            <w:tcW w:w="562" w:type="dxa"/>
          </w:tcPr>
          <w:p w14:paraId="3EE22712"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7</w:t>
            </w:r>
          </w:p>
        </w:tc>
        <w:tc>
          <w:tcPr>
            <w:tcW w:w="9400" w:type="dxa"/>
          </w:tcPr>
          <w:p w14:paraId="0501B25D" w14:textId="77777777" w:rsidR="00561B22" w:rsidRPr="0034380E" w:rsidRDefault="00561B22" w:rsidP="00F1223B">
            <w:pPr>
              <w:widowControl/>
              <w:autoSpaceDE/>
              <w:autoSpaceDN/>
              <w:adjustRightInd w:val="0"/>
              <w:jc w:val="both"/>
              <w:rPr>
                <w:rFonts w:ascii="Arial" w:hAnsi="Arial" w:cs="Arial"/>
                <w:b/>
                <w:sz w:val="22"/>
                <w:szCs w:val="22"/>
                <w:lang w:val="es-MX"/>
              </w:rPr>
            </w:pPr>
            <w:r w:rsidRPr="0034380E">
              <w:rPr>
                <w:rFonts w:ascii="Arial" w:eastAsia="Calibri" w:hAnsi="Arial" w:cs="Arial"/>
                <w:sz w:val="22"/>
                <w:szCs w:val="22"/>
                <w:lang w:val="es-CO"/>
              </w:rPr>
              <w:t>Comunicación asertiva entre los coordinadores financieros a nivel Nacional y la Dirección Financiera, en la cual puedan debatir sobre asuntos financieros de la entidad que sirvan para unificar criterios.</w:t>
            </w:r>
          </w:p>
        </w:tc>
      </w:tr>
      <w:tr w:rsidR="00561B22" w:rsidRPr="0034380E" w14:paraId="600AAE2A" w14:textId="77777777" w:rsidTr="00F1223B">
        <w:tc>
          <w:tcPr>
            <w:tcW w:w="562" w:type="dxa"/>
          </w:tcPr>
          <w:p w14:paraId="62816E5C"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8</w:t>
            </w:r>
          </w:p>
        </w:tc>
        <w:tc>
          <w:tcPr>
            <w:tcW w:w="9400" w:type="dxa"/>
          </w:tcPr>
          <w:p w14:paraId="1A739AE9" w14:textId="77777777" w:rsidR="00561B22" w:rsidRPr="0034380E" w:rsidRDefault="00561B22" w:rsidP="00F1223B">
            <w:pPr>
              <w:widowControl/>
              <w:autoSpaceDE/>
              <w:autoSpaceDN/>
              <w:adjustRightInd w:val="0"/>
              <w:jc w:val="both"/>
              <w:rPr>
                <w:rFonts w:ascii="Arial" w:eastAsia="Calibri" w:hAnsi="Arial" w:cs="Arial"/>
                <w:sz w:val="22"/>
                <w:szCs w:val="22"/>
                <w:lang w:val="es-CO"/>
              </w:rPr>
            </w:pPr>
            <w:r w:rsidRPr="0034380E">
              <w:rPr>
                <w:rFonts w:ascii="Arial" w:eastAsia="Calibri" w:hAnsi="Arial" w:cs="Arial"/>
                <w:sz w:val="22"/>
                <w:szCs w:val="22"/>
                <w:lang w:val="es-CO"/>
              </w:rPr>
              <w:t>En la transición del modelo de recepción de facturas de venta, notas débito y/o notas crédito, Sistema Facturación Electrónica - SIIF Nación</w:t>
            </w:r>
          </w:p>
        </w:tc>
      </w:tr>
      <w:tr w:rsidR="00561B22" w:rsidRPr="0034380E" w14:paraId="5F10E583" w14:textId="77777777" w:rsidTr="00F1223B">
        <w:tc>
          <w:tcPr>
            <w:tcW w:w="562" w:type="dxa"/>
          </w:tcPr>
          <w:p w14:paraId="14C87314"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9</w:t>
            </w:r>
          </w:p>
        </w:tc>
        <w:tc>
          <w:tcPr>
            <w:tcW w:w="9400" w:type="dxa"/>
          </w:tcPr>
          <w:p w14:paraId="68F3765E" w14:textId="77777777" w:rsidR="00561B22" w:rsidRPr="0034380E" w:rsidRDefault="00561B22" w:rsidP="00F1223B">
            <w:pPr>
              <w:widowControl/>
              <w:autoSpaceDE/>
              <w:autoSpaceDN/>
              <w:adjustRightInd w:val="0"/>
              <w:jc w:val="both"/>
              <w:rPr>
                <w:rFonts w:ascii="Arial" w:hAnsi="Arial" w:cs="Arial"/>
                <w:b/>
                <w:sz w:val="22"/>
                <w:szCs w:val="22"/>
                <w:lang w:val="es-MX"/>
              </w:rPr>
            </w:pPr>
            <w:r w:rsidRPr="0034380E">
              <w:rPr>
                <w:rFonts w:ascii="Arial" w:eastAsia="Calibri" w:hAnsi="Arial" w:cs="Arial"/>
                <w:sz w:val="22"/>
                <w:szCs w:val="22"/>
                <w:lang w:val="es-CO"/>
              </w:rPr>
              <w:t>Los cruces entre el área financiera y las unidades de negocio, se realizan por los saldos de los sistemas ERP SAP (Módulo logístico y financiero), sin tener en cuenta la toma física de inventarios.</w:t>
            </w:r>
          </w:p>
        </w:tc>
      </w:tr>
      <w:tr w:rsidR="00561B22" w:rsidRPr="0034380E" w14:paraId="01904937" w14:textId="77777777" w:rsidTr="00F1223B">
        <w:tc>
          <w:tcPr>
            <w:tcW w:w="562" w:type="dxa"/>
          </w:tcPr>
          <w:p w14:paraId="2641CBFA"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10</w:t>
            </w:r>
          </w:p>
        </w:tc>
        <w:tc>
          <w:tcPr>
            <w:tcW w:w="9400" w:type="dxa"/>
          </w:tcPr>
          <w:p w14:paraId="453AF330" w14:textId="77777777" w:rsidR="00561B22" w:rsidRPr="0034380E" w:rsidRDefault="00561B22" w:rsidP="00F1223B">
            <w:pPr>
              <w:widowControl/>
              <w:autoSpaceDE/>
              <w:autoSpaceDN/>
              <w:adjustRightInd w:val="0"/>
              <w:jc w:val="both"/>
              <w:rPr>
                <w:rFonts w:ascii="Arial" w:hAnsi="Arial" w:cs="Arial"/>
                <w:b/>
                <w:sz w:val="22"/>
                <w:szCs w:val="22"/>
                <w:lang w:val="es-MX"/>
              </w:rPr>
            </w:pPr>
            <w:r w:rsidRPr="0034380E">
              <w:rPr>
                <w:rFonts w:ascii="Arial" w:eastAsia="Calibri" w:hAnsi="Arial" w:cs="Arial"/>
                <w:sz w:val="22"/>
                <w:szCs w:val="22"/>
                <w:lang w:val="es-CO"/>
              </w:rPr>
              <w:t>En el cumplimiento a los cronogramas y plazos establecidos por la Dirección Financiera para los cierres mensuales a nivel Nacional.</w:t>
            </w:r>
          </w:p>
        </w:tc>
      </w:tr>
      <w:tr w:rsidR="00561B22" w:rsidRPr="0034380E" w14:paraId="33B971F4" w14:textId="77777777" w:rsidTr="00F1223B">
        <w:tc>
          <w:tcPr>
            <w:tcW w:w="562" w:type="dxa"/>
          </w:tcPr>
          <w:p w14:paraId="17556F1E" w14:textId="77777777" w:rsidR="00561B22" w:rsidRPr="0034380E" w:rsidRDefault="00561B22" w:rsidP="00F1223B">
            <w:pPr>
              <w:jc w:val="both"/>
              <w:rPr>
                <w:rFonts w:ascii="Arial" w:hAnsi="Arial" w:cs="Arial"/>
                <w:b/>
                <w:sz w:val="22"/>
                <w:szCs w:val="22"/>
                <w:lang w:val="es-MX"/>
              </w:rPr>
            </w:pPr>
            <w:r w:rsidRPr="0034380E">
              <w:rPr>
                <w:rFonts w:ascii="Arial" w:hAnsi="Arial" w:cs="Arial"/>
                <w:b/>
                <w:sz w:val="22"/>
                <w:szCs w:val="22"/>
                <w:lang w:val="es-MX"/>
              </w:rPr>
              <w:t>11</w:t>
            </w:r>
          </w:p>
        </w:tc>
        <w:tc>
          <w:tcPr>
            <w:tcW w:w="9400" w:type="dxa"/>
          </w:tcPr>
          <w:p w14:paraId="439484DA" w14:textId="77777777" w:rsidR="00561B22" w:rsidRPr="0034380E" w:rsidRDefault="00561B22" w:rsidP="00F1223B">
            <w:pPr>
              <w:jc w:val="both"/>
              <w:rPr>
                <w:rFonts w:ascii="Arial" w:hAnsi="Arial" w:cs="Arial"/>
                <w:b/>
                <w:sz w:val="22"/>
                <w:szCs w:val="22"/>
                <w:lang w:val="es-MX"/>
              </w:rPr>
            </w:pPr>
            <w:r w:rsidRPr="0034380E">
              <w:rPr>
                <w:rFonts w:ascii="Arial" w:eastAsia="Calibri" w:hAnsi="Arial" w:cs="Arial"/>
                <w:sz w:val="22"/>
                <w:szCs w:val="22"/>
                <w:lang w:val="es-CO"/>
              </w:rPr>
              <w:t>En la actualización del Manual de Políticas Contables (GF-MA-02), el cual se encuentra en su versión 1 desde el 26 de diciembre de 2019 y teniendo en cuenta las actualizaciones realizadas por la CGN</w:t>
            </w:r>
          </w:p>
        </w:tc>
      </w:tr>
    </w:tbl>
    <w:p w14:paraId="6C557C33" w14:textId="77777777" w:rsidR="00561B22" w:rsidRPr="0034380E" w:rsidRDefault="00561B22" w:rsidP="00561B22">
      <w:pPr>
        <w:pStyle w:val="Textoindependiente"/>
        <w:ind w:right="-50"/>
        <w:jc w:val="both"/>
        <w:rPr>
          <w:rFonts w:ascii="Arial" w:hAnsi="Arial" w:cs="Arial"/>
          <w:b/>
          <w:bCs/>
        </w:rPr>
      </w:pPr>
    </w:p>
    <w:p w14:paraId="268A9336" w14:textId="77777777" w:rsidR="00561B22" w:rsidRPr="0034380E" w:rsidRDefault="00561B22" w:rsidP="00561B22">
      <w:pPr>
        <w:jc w:val="both"/>
        <w:rPr>
          <w:rFonts w:ascii="Arial" w:hAnsi="Arial" w:cs="Arial"/>
          <w:b/>
          <w:lang w:val="es-MX"/>
        </w:rPr>
      </w:pPr>
      <w:r w:rsidRPr="0034380E">
        <w:rPr>
          <w:rFonts w:ascii="Arial" w:hAnsi="Arial" w:cs="Arial"/>
          <w:b/>
          <w:lang w:val="es-MX"/>
        </w:rPr>
        <w:t>Del citado informe retomamos las siguientes recomendaciones:</w:t>
      </w:r>
    </w:p>
    <w:p w14:paraId="2D3E3AA3" w14:textId="77777777" w:rsidR="00561B22" w:rsidRPr="0034380E"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34380E" w14:paraId="18E2C45C" w14:textId="77777777" w:rsidTr="00F1223B">
        <w:tc>
          <w:tcPr>
            <w:tcW w:w="562" w:type="dxa"/>
          </w:tcPr>
          <w:p w14:paraId="475C45A6" w14:textId="77777777" w:rsidR="00561B22" w:rsidRPr="0034380E" w:rsidRDefault="00561B22" w:rsidP="00F1223B">
            <w:pPr>
              <w:ind w:right="-109"/>
              <w:jc w:val="center"/>
              <w:rPr>
                <w:rFonts w:ascii="Arial" w:hAnsi="Arial" w:cs="Arial"/>
                <w:b/>
                <w:sz w:val="22"/>
                <w:szCs w:val="22"/>
                <w:lang w:val="es-MX"/>
              </w:rPr>
            </w:pPr>
            <w:r w:rsidRPr="0034380E">
              <w:rPr>
                <w:rFonts w:ascii="Arial" w:hAnsi="Arial" w:cs="Arial"/>
                <w:b/>
                <w:sz w:val="22"/>
                <w:szCs w:val="22"/>
                <w:lang w:val="es-MX"/>
              </w:rPr>
              <w:t>N°</w:t>
            </w:r>
          </w:p>
        </w:tc>
        <w:tc>
          <w:tcPr>
            <w:tcW w:w="9400" w:type="dxa"/>
          </w:tcPr>
          <w:p w14:paraId="39E8C141" w14:textId="77777777" w:rsidR="00561B22" w:rsidRPr="0034380E" w:rsidRDefault="00561B22" w:rsidP="00F1223B">
            <w:pPr>
              <w:jc w:val="center"/>
              <w:rPr>
                <w:rFonts w:ascii="Arial" w:hAnsi="Arial" w:cs="Arial"/>
                <w:b/>
                <w:sz w:val="22"/>
                <w:szCs w:val="22"/>
                <w:lang w:val="es-MX"/>
              </w:rPr>
            </w:pPr>
            <w:r w:rsidRPr="0034380E">
              <w:rPr>
                <w:rFonts w:ascii="Arial" w:hAnsi="Arial" w:cs="Arial"/>
                <w:b/>
                <w:sz w:val="22"/>
                <w:szCs w:val="22"/>
                <w:lang w:val="es-MX"/>
              </w:rPr>
              <w:t>RECOMENDACIONES</w:t>
            </w:r>
          </w:p>
          <w:p w14:paraId="314AAD2F" w14:textId="77777777" w:rsidR="00561B22" w:rsidRPr="0034380E" w:rsidRDefault="00561B22" w:rsidP="00F1223B">
            <w:pPr>
              <w:jc w:val="center"/>
              <w:rPr>
                <w:rFonts w:ascii="Arial" w:hAnsi="Arial" w:cs="Arial"/>
                <w:b/>
                <w:sz w:val="22"/>
                <w:szCs w:val="22"/>
                <w:lang w:val="es-MX"/>
              </w:rPr>
            </w:pPr>
          </w:p>
        </w:tc>
      </w:tr>
      <w:tr w:rsidR="00561B22" w:rsidRPr="0034380E" w14:paraId="78A9B692" w14:textId="77777777" w:rsidTr="00F1223B">
        <w:tc>
          <w:tcPr>
            <w:tcW w:w="562" w:type="dxa"/>
          </w:tcPr>
          <w:p w14:paraId="4E93C08F" w14:textId="77777777" w:rsidR="00561B22" w:rsidRPr="0034380E" w:rsidRDefault="00561B22" w:rsidP="00F1223B">
            <w:pPr>
              <w:rPr>
                <w:rFonts w:ascii="Arial" w:hAnsi="Arial" w:cs="Arial"/>
                <w:b/>
                <w:sz w:val="22"/>
                <w:szCs w:val="22"/>
                <w:lang w:val="es-MX"/>
              </w:rPr>
            </w:pPr>
          </w:p>
        </w:tc>
        <w:tc>
          <w:tcPr>
            <w:tcW w:w="9400" w:type="dxa"/>
          </w:tcPr>
          <w:p w14:paraId="154EFE33"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Analizar, por cada una de las regionales, los incumplimientos y las causas que han generado reprocesos, estableciendo lineamientos claros para la entrega de información desde las dependencias que alimentan la información contable.</w:t>
            </w:r>
          </w:p>
          <w:p w14:paraId="127AB29D"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Activar el plan de mitigación por la materialización de los riesgos financieros, por parte de la Oficina Principal</w:t>
            </w:r>
          </w:p>
          <w:p w14:paraId="0822DA79"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Establecer directrices claras para el reconocimiento de activos fijos, en lo relacionado con su vida útil, unidad de medida, descripción, etc.</w:t>
            </w:r>
          </w:p>
          <w:p w14:paraId="3C241898"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Fortalecer las actas de cruce entre las áreas que alimentan la información contable con sus respectivos soportes.</w:t>
            </w:r>
          </w:p>
          <w:p w14:paraId="4FD04161"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Fortalecer las notas a los Estados Financieros, respecto de las revelaciones explicativas de las variaciones significativas que se presentan de un periodo a otro.</w:t>
            </w:r>
          </w:p>
          <w:p w14:paraId="03690EFE"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Actualizar el manual de políticas contables bajo NICSP teniendo en cuenta la normatividad vigente.</w:t>
            </w:r>
          </w:p>
          <w:p w14:paraId="7070D733"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 xml:space="preserve">Realizar verificaciones a los estados financieros de las regionales, teniendo en cuenta que las diferencias que se presenten por movimientos posteriores a los cierres internos, pueden generar incertidumbre en cuanto a la información presentada a entes internos y externos - Realizar desde la Dirección Financiera seguimiento al cumplimiento de los </w:t>
            </w:r>
            <w:r w:rsidRPr="0034380E">
              <w:rPr>
                <w:rFonts w:ascii="Arial" w:eastAsia="Calibri" w:hAnsi="Arial" w:cs="Arial"/>
                <w:sz w:val="22"/>
                <w:szCs w:val="22"/>
              </w:rPr>
              <w:lastRenderedPageBreak/>
              <w:t>plazos establecidos para la presentación de la información en materia tributaria de la entidad.</w:t>
            </w:r>
          </w:p>
          <w:p w14:paraId="33FCB0D2"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Establecer un programa de inducción y reinducción del proceso financiero que permita a los funcionarios que ingresan (contadores y técnicos contables) conocer el funcionamiento del proceso contable de la entidad.</w:t>
            </w:r>
          </w:p>
          <w:p w14:paraId="00183458"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Realizar capacitaciones periódicas y de calidad, preferiblemente presenciales, minimizando que el único mecanismo que brinda sea la videoconferencia.</w:t>
            </w:r>
          </w:p>
          <w:p w14:paraId="3B9CD575" w14:textId="77777777" w:rsidR="00561B22" w:rsidRPr="0034380E" w:rsidRDefault="00561B22" w:rsidP="00561B22">
            <w:pPr>
              <w:widowControl/>
              <w:numPr>
                <w:ilvl w:val="0"/>
                <w:numId w:val="116"/>
              </w:numPr>
              <w:autoSpaceDE/>
              <w:autoSpaceDN/>
              <w:ind w:left="493"/>
              <w:jc w:val="both"/>
              <w:rPr>
                <w:rFonts w:ascii="Arial" w:eastAsia="Calibri" w:hAnsi="Arial" w:cs="Arial"/>
                <w:sz w:val="22"/>
                <w:szCs w:val="22"/>
              </w:rPr>
            </w:pPr>
            <w:r w:rsidRPr="0034380E">
              <w:rPr>
                <w:rFonts w:ascii="Arial" w:eastAsia="Calibri" w:hAnsi="Arial" w:cs="Arial"/>
                <w:sz w:val="22"/>
                <w:szCs w:val="22"/>
              </w:rPr>
              <w:t>Buscar espacios de reunión (Presencial y virtual), para los contadores, en los cuales se traten temas de actualidad contable y tributaria, adicionalmente debatir sobre asuntos financieros de la entidad que sirvan para unificar criterios.</w:t>
            </w:r>
          </w:p>
          <w:p w14:paraId="0AB5B9E8" w14:textId="77777777" w:rsidR="00561B22" w:rsidRPr="0034380E" w:rsidRDefault="00561B22" w:rsidP="00561B22">
            <w:pPr>
              <w:widowControl/>
              <w:numPr>
                <w:ilvl w:val="0"/>
                <w:numId w:val="116"/>
              </w:numPr>
              <w:autoSpaceDE/>
              <w:autoSpaceDN/>
              <w:ind w:left="493"/>
              <w:jc w:val="both"/>
              <w:rPr>
                <w:rFonts w:ascii="Arial" w:hAnsi="Arial" w:cs="Arial"/>
                <w:b/>
                <w:sz w:val="22"/>
                <w:szCs w:val="22"/>
                <w:lang w:val="es-MX"/>
              </w:rPr>
            </w:pPr>
            <w:r w:rsidRPr="0034380E">
              <w:rPr>
                <w:rFonts w:ascii="Arial" w:eastAsia="Calibri" w:hAnsi="Arial" w:cs="Arial"/>
                <w:sz w:val="22"/>
                <w:szCs w:val="22"/>
              </w:rPr>
              <w:t>Crear un sistema de indicadores financieros para analizar e interpretar la realidad financiera, económica, social y ambiental de las regionales y de la entidad.</w:t>
            </w:r>
          </w:p>
        </w:tc>
      </w:tr>
    </w:tbl>
    <w:p w14:paraId="21CDEF35" w14:textId="77777777" w:rsidR="00561B22" w:rsidRPr="0034380E" w:rsidRDefault="00561B22" w:rsidP="00561B22">
      <w:pPr>
        <w:jc w:val="both"/>
        <w:rPr>
          <w:rFonts w:ascii="Arial" w:hAnsi="Arial" w:cs="Arial"/>
          <w:b/>
          <w:bCs/>
          <w:sz w:val="24"/>
          <w:szCs w:val="24"/>
          <w:lang w:val="es-CO"/>
        </w:rPr>
      </w:pPr>
      <w:r w:rsidRPr="0034380E">
        <w:rPr>
          <w:rFonts w:ascii="Arial" w:hAnsi="Arial" w:cs="Arial"/>
          <w:b/>
          <w:bCs/>
          <w:sz w:val="24"/>
          <w:szCs w:val="24"/>
          <w:lang w:val="es-CO"/>
        </w:rPr>
        <w:lastRenderedPageBreak/>
        <w:t xml:space="preserve">NOTA: LA ENTIDAD ENVIA LA MATRIZ DE AUTOEVALUACIÓN DEL SISTEMA DE CONTROL INTERNO CONTABLE CON </w:t>
      </w:r>
      <w:r w:rsidRPr="0034380E">
        <w:rPr>
          <w:rFonts w:ascii="Arial" w:hAnsi="Arial" w:cs="Arial"/>
          <w:b/>
          <w:bCs/>
          <w:sz w:val="24"/>
          <w:szCs w:val="24"/>
          <w:u w:val="single"/>
          <w:lang w:val="es-CO"/>
        </w:rPr>
        <w:t>ACTIVIDADES DE CONTROL REALIZADAS EN FORMA PARCIAL</w:t>
      </w:r>
      <w:r w:rsidRPr="0034380E">
        <w:rPr>
          <w:rFonts w:ascii="Arial" w:hAnsi="Arial" w:cs="Arial"/>
          <w:b/>
          <w:bCs/>
          <w:sz w:val="24"/>
          <w:szCs w:val="24"/>
          <w:lang w:val="es-CO"/>
        </w:rPr>
        <w:t>.</w:t>
      </w:r>
    </w:p>
    <w:p w14:paraId="745E9AF1" w14:textId="77777777" w:rsidR="00561B22" w:rsidRPr="0034380E" w:rsidRDefault="00561B22" w:rsidP="00561B22">
      <w:pPr>
        <w:jc w:val="both"/>
        <w:rPr>
          <w:rFonts w:ascii="Arial" w:hAnsi="Arial" w:cs="Arial"/>
          <w:b/>
          <w:bCs/>
          <w:sz w:val="28"/>
          <w:szCs w:val="28"/>
          <w:lang w:val="es-CO"/>
        </w:rPr>
      </w:pPr>
    </w:p>
    <w:p w14:paraId="6C6B15D2" w14:textId="77777777" w:rsidR="00561B22" w:rsidRPr="003E7517" w:rsidRDefault="00561B22" w:rsidP="00561B22">
      <w:pPr>
        <w:jc w:val="both"/>
        <w:rPr>
          <w:rFonts w:ascii="Arial" w:hAnsi="Arial" w:cs="Arial"/>
          <w:b/>
          <w:sz w:val="28"/>
          <w:szCs w:val="28"/>
          <w:lang w:val="es-MX"/>
        </w:rPr>
      </w:pPr>
      <w:r w:rsidRPr="003E7517">
        <w:rPr>
          <w:rFonts w:ascii="Arial" w:hAnsi="Arial" w:cs="Arial"/>
          <w:b/>
          <w:sz w:val="28"/>
          <w:szCs w:val="28"/>
          <w:lang w:val="es-MX"/>
        </w:rPr>
        <w:t>283.- CORPORACIÓN PARA EL DESARROLLO SOSTENIBLE DEL SUR DE LA AMAZONÍA – CORPOAMAZONÍA.</w:t>
      </w:r>
    </w:p>
    <w:p w14:paraId="6331064F" w14:textId="77777777" w:rsidR="00561B22" w:rsidRDefault="00561B22" w:rsidP="00561B22">
      <w:pPr>
        <w:pStyle w:val="Textoindependiente"/>
        <w:jc w:val="both"/>
        <w:rPr>
          <w:b/>
          <w:bCs/>
        </w:rPr>
      </w:pPr>
    </w:p>
    <w:p w14:paraId="6ACBE9A0" w14:textId="77777777" w:rsidR="00561B22" w:rsidRPr="00A81398" w:rsidRDefault="00561B22" w:rsidP="00561B22">
      <w:pPr>
        <w:pStyle w:val="Textoindependiente"/>
        <w:jc w:val="center"/>
        <w:rPr>
          <w:rFonts w:ascii="Arial" w:hAnsi="Arial" w:cs="Arial"/>
          <w:b/>
          <w:bCs/>
        </w:rPr>
      </w:pPr>
      <w:r w:rsidRPr="00A81398">
        <w:rPr>
          <w:rFonts w:ascii="Arial" w:hAnsi="Arial" w:cs="Arial"/>
          <w:b/>
          <w:bCs/>
        </w:rPr>
        <w:t>INFORME DE LA AUTOCALIFICACIÓN DEL SISTEMA DE CONTROL INTERNO CONTABLE:</w:t>
      </w:r>
    </w:p>
    <w:p w14:paraId="2BCE92AA" w14:textId="77777777" w:rsidR="00561B22" w:rsidRPr="00A8139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81398" w14:paraId="0F17D9C2" w14:textId="77777777" w:rsidTr="00F1223B">
        <w:tc>
          <w:tcPr>
            <w:tcW w:w="4981" w:type="dxa"/>
          </w:tcPr>
          <w:p w14:paraId="2EDD6132"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AUTOCALIFICACIÓN</w:t>
            </w:r>
          </w:p>
        </w:tc>
        <w:tc>
          <w:tcPr>
            <w:tcW w:w="4981" w:type="dxa"/>
          </w:tcPr>
          <w:p w14:paraId="7DE6820B" w14:textId="77777777" w:rsidR="00561B22" w:rsidRPr="00A81398" w:rsidRDefault="00561B22" w:rsidP="00F1223B">
            <w:pPr>
              <w:jc w:val="center"/>
              <w:rPr>
                <w:rFonts w:ascii="Arial" w:hAnsi="Arial" w:cs="Arial"/>
                <w:b/>
                <w:sz w:val="22"/>
                <w:szCs w:val="22"/>
                <w:u w:val="single"/>
                <w:lang w:val="es-MX"/>
              </w:rPr>
            </w:pPr>
            <w:r w:rsidRPr="00A81398">
              <w:rPr>
                <w:rFonts w:ascii="Arial" w:hAnsi="Arial" w:cs="Arial"/>
                <w:b/>
                <w:sz w:val="22"/>
                <w:szCs w:val="22"/>
                <w:u w:val="single"/>
                <w:lang w:val="es-MX"/>
              </w:rPr>
              <w:t>5.00</w:t>
            </w:r>
          </w:p>
        </w:tc>
      </w:tr>
    </w:tbl>
    <w:p w14:paraId="2109A166" w14:textId="77777777" w:rsidR="00561B22" w:rsidRPr="00A81398" w:rsidRDefault="00561B22" w:rsidP="00561B22">
      <w:pPr>
        <w:pStyle w:val="Textoindependiente"/>
        <w:jc w:val="both"/>
        <w:rPr>
          <w:rFonts w:ascii="Arial" w:hAnsi="Arial" w:cs="Arial"/>
          <w:b/>
          <w:bCs/>
        </w:rPr>
      </w:pPr>
    </w:p>
    <w:p w14:paraId="09818932" w14:textId="77777777" w:rsidR="00561B22" w:rsidRPr="00A81398" w:rsidRDefault="00561B22" w:rsidP="00561B22">
      <w:pPr>
        <w:pStyle w:val="Textoindependiente"/>
        <w:jc w:val="both"/>
        <w:rPr>
          <w:rFonts w:ascii="Arial" w:hAnsi="Arial" w:cs="Arial"/>
          <w:b/>
          <w:bCs/>
        </w:rPr>
      </w:pPr>
      <w:r w:rsidRPr="00A81398">
        <w:rPr>
          <w:rFonts w:ascii="Arial" w:hAnsi="Arial" w:cs="Arial"/>
          <w:b/>
          <w:bCs/>
        </w:rPr>
        <w:t>Del informe enviado retomamos lo siguiente:</w:t>
      </w:r>
    </w:p>
    <w:p w14:paraId="4978ED0C" w14:textId="77777777" w:rsidR="00561B22" w:rsidRPr="00A8139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81398" w14:paraId="7D65F75B" w14:textId="77777777" w:rsidTr="00F1223B">
        <w:tc>
          <w:tcPr>
            <w:tcW w:w="562" w:type="dxa"/>
          </w:tcPr>
          <w:p w14:paraId="3F2AD3CE"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N°</w:t>
            </w:r>
          </w:p>
        </w:tc>
        <w:tc>
          <w:tcPr>
            <w:tcW w:w="9400" w:type="dxa"/>
          </w:tcPr>
          <w:p w14:paraId="690C55A2"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DEBILIDADES</w:t>
            </w:r>
          </w:p>
          <w:p w14:paraId="193E12DA" w14:textId="77777777" w:rsidR="00561B22" w:rsidRPr="00A81398" w:rsidRDefault="00561B22" w:rsidP="00F1223B">
            <w:pPr>
              <w:jc w:val="center"/>
              <w:rPr>
                <w:rFonts w:ascii="Arial" w:hAnsi="Arial" w:cs="Arial"/>
                <w:b/>
                <w:sz w:val="22"/>
                <w:szCs w:val="22"/>
                <w:lang w:val="es-MX"/>
              </w:rPr>
            </w:pPr>
          </w:p>
        </w:tc>
      </w:tr>
      <w:tr w:rsidR="00561B22" w:rsidRPr="00A81398" w14:paraId="43284E71" w14:textId="77777777" w:rsidTr="00F1223B">
        <w:tc>
          <w:tcPr>
            <w:tcW w:w="562" w:type="dxa"/>
          </w:tcPr>
          <w:p w14:paraId="4BCF46CF"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1</w:t>
            </w:r>
          </w:p>
        </w:tc>
        <w:tc>
          <w:tcPr>
            <w:tcW w:w="9400" w:type="dxa"/>
          </w:tcPr>
          <w:p w14:paraId="69DC4AA3" w14:textId="77777777" w:rsidR="00561B22" w:rsidRPr="00A81398" w:rsidRDefault="00561B22" w:rsidP="00F1223B">
            <w:pPr>
              <w:widowControl/>
              <w:pBdr>
                <w:top w:val="none" w:sz="4" w:space="0" w:color="000000"/>
                <w:left w:val="none" w:sz="4" w:space="0" w:color="000000"/>
                <w:bottom w:val="none" w:sz="4" w:space="0" w:color="000000"/>
                <w:right w:val="none" w:sz="4" w:space="0" w:color="000000"/>
              </w:pBdr>
              <w:autoSpaceDE/>
              <w:autoSpaceDN/>
              <w:jc w:val="both"/>
              <w:rPr>
                <w:rFonts w:ascii="Arial" w:hAnsi="Arial" w:cs="Arial"/>
                <w:sz w:val="22"/>
                <w:szCs w:val="22"/>
              </w:rPr>
            </w:pPr>
            <w:r w:rsidRPr="00A81398">
              <w:rPr>
                <w:rFonts w:ascii="Arial" w:hAnsi="Arial" w:cs="Arial"/>
                <w:sz w:val="22"/>
                <w:szCs w:val="22"/>
              </w:rPr>
              <w:t>Falta de aplicación para Nómina y Cartera: Actualmente, CORPOAMAZONIA no dispone de un sistema o aplicativo integrado para la gestión de la nómina y cartera.</w:t>
            </w:r>
          </w:p>
        </w:tc>
      </w:tr>
      <w:tr w:rsidR="00561B22" w:rsidRPr="00A81398" w14:paraId="72534E0D" w14:textId="77777777" w:rsidTr="00F1223B">
        <w:tc>
          <w:tcPr>
            <w:tcW w:w="562" w:type="dxa"/>
          </w:tcPr>
          <w:p w14:paraId="7C562F39"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2</w:t>
            </w:r>
          </w:p>
        </w:tc>
        <w:tc>
          <w:tcPr>
            <w:tcW w:w="9400" w:type="dxa"/>
          </w:tcPr>
          <w:p w14:paraId="115E864F" w14:textId="77777777" w:rsidR="00561B22" w:rsidRPr="00A81398" w:rsidRDefault="00561B22" w:rsidP="00F1223B">
            <w:pPr>
              <w:widowControl/>
              <w:pBdr>
                <w:top w:val="none" w:sz="4" w:space="0" w:color="000000"/>
                <w:left w:val="none" w:sz="4" w:space="0" w:color="000000"/>
                <w:bottom w:val="none" w:sz="4" w:space="0" w:color="000000"/>
                <w:right w:val="none" w:sz="4" w:space="0" w:color="000000"/>
              </w:pBdr>
              <w:autoSpaceDE/>
              <w:autoSpaceDN/>
              <w:jc w:val="both"/>
              <w:rPr>
                <w:rFonts w:ascii="Arial" w:hAnsi="Arial" w:cs="Arial"/>
                <w:sz w:val="22"/>
                <w:szCs w:val="22"/>
              </w:rPr>
            </w:pPr>
            <w:r w:rsidRPr="00A81398">
              <w:rPr>
                <w:rFonts w:ascii="Arial" w:hAnsi="Arial" w:cs="Arial"/>
                <w:sz w:val="22"/>
                <w:szCs w:val="22"/>
              </w:rPr>
              <w:t>Equipos tecnológicos e infraestructura insuficiente.</w:t>
            </w:r>
          </w:p>
        </w:tc>
      </w:tr>
      <w:tr w:rsidR="00561B22" w:rsidRPr="00A81398" w14:paraId="41D8B76E" w14:textId="77777777" w:rsidTr="00F1223B">
        <w:tc>
          <w:tcPr>
            <w:tcW w:w="562" w:type="dxa"/>
          </w:tcPr>
          <w:p w14:paraId="00E64243"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3</w:t>
            </w:r>
          </w:p>
        </w:tc>
        <w:tc>
          <w:tcPr>
            <w:tcW w:w="9400" w:type="dxa"/>
          </w:tcPr>
          <w:p w14:paraId="1C88A96F"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Según la evaluación de control interno contable, se ha identificado que los canales de comunicación entre las áreas funcionales y el Grupo Contabilidad no están completamente alineados con las políticas contables establecidas.</w:t>
            </w:r>
          </w:p>
        </w:tc>
      </w:tr>
      <w:tr w:rsidR="00561B22" w:rsidRPr="00A81398" w14:paraId="0F1FDEA3" w14:textId="77777777" w:rsidTr="00F1223B">
        <w:tc>
          <w:tcPr>
            <w:tcW w:w="562" w:type="dxa"/>
          </w:tcPr>
          <w:p w14:paraId="3201CD78"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4</w:t>
            </w:r>
          </w:p>
        </w:tc>
        <w:tc>
          <w:tcPr>
            <w:tcW w:w="9400" w:type="dxa"/>
          </w:tcPr>
          <w:p w14:paraId="0A342FF1"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El personal asignado al área de Contabilidad es insuficiente para cumplir con las demandas operativas, además, la estructura organizacional de CORPOAMAZONIA no contempla un área específica para la gestión de cartera, lo que dificulta la verificación y conciliación eficiente de la información con los usuarios internos y externos.</w:t>
            </w:r>
          </w:p>
        </w:tc>
      </w:tr>
    </w:tbl>
    <w:p w14:paraId="54ACBB86" w14:textId="77777777" w:rsidR="00561B22" w:rsidRPr="00A81398" w:rsidRDefault="00561B22" w:rsidP="00561B22">
      <w:pPr>
        <w:pStyle w:val="Textoindependiente"/>
        <w:jc w:val="both"/>
        <w:rPr>
          <w:rFonts w:ascii="Arial" w:hAnsi="Arial" w:cs="Arial"/>
          <w:b/>
          <w:bCs/>
        </w:rPr>
      </w:pPr>
    </w:p>
    <w:p w14:paraId="01A2F93F" w14:textId="77777777" w:rsidR="00561B22" w:rsidRPr="00A81398" w:rsidRDefault="00561B22" w:rsidP="00561B22">
      <w:pPr>
        <w:jc w:val="both"/>
        <w:rPr>
          <w:rFonts w:ascii="Arial" w:hAnsi="Arial" w:cs="Arial"/>
          <w:b/>
          <w:lang w:val="es-MX"/>
        </w:rPr>
      </w:pPr>
      <w:r w:rsidRPr="00A81398">
        <w:rPr>
          <w:rFonts w:ascii="Arial" w:hAnsi="Arial" w:cs="Arial"/>
          <w:b/>
          <w:lang w:val="es-MX"/>
        </w:rPr>
        <w:t>Del citado informe retomamos las siguientes recomendaciones:</w:t>
      </w:r>
    </w:p>
    <w:p w14:paraId="64409923" w14:textId="77777777" w:rsidR="00561B22" w:rsidRPr="00A8139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81398" w14:paraId="5D18B1C9" w14:textId="77777777" w:rsidTr="00F1223B">
        <w:tc>
          <w:tcPr>
            <w:tcW w:w="562" w:type="dxa"/>
          </w:tcPr>
          <w:p w14:paraId="1D3FB6D9"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N°</w:t>
            </w:r>
          </w:p>
        </w:tc>
        <w:tc>
          <w:tcPr>
            <w:tcW w:w="9400" w:type="dxa"/>
          </w:tcPr>
          <w:p w14:paraId="30566DB0"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RECOMENDACIONES</w:t>
            </w:r>
          </w:p>
          <w:p w14:paraId="7EBABE05" w14:textId="77777777" w:rsidR="00561B22" w:rsidRPr="00A81398" w:rsidRDefault="00561B22" w:rsidP="00F1223B">
            <w:pPr>
              <w:jc w:val="center"/>
              <w:rPr>
                <w:rFonts w:ascii="Arial" w:hAnsi="Arial" w:cs="Arial"/>
                <w:b/>
                <w:sz w:val="22"/>
                <w:szCs w:val="22"/>
                <w:lang w:val="es-MX"/>
              </w:rPr>
            </w:pPr>
          </w:p>
        </w:tc>
      </w:tr>
      <w:tr w:rsidR="00561B22" w:rsidRPr="00A81398" w14:paraId="6845D4D7" w14:textId="77777777" w:rsidTr="00F1223B">
        <w:tc>
          <w:tcPr>
            <w:tcW w:w="562" w:type="dxa"/>
          </w:tcPr>
          <w:p w14:paraId="1769627C"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1</w:t>
            </w:r>
          </w:p>
        </w:tc>
        <w:tc>
          <w:tcPr>
            <w:tcW w:w="9400" w:type="dxa"/>
          </w:tcPr>
          <w:p w14:paraId="40F3E931" w14:textId="77777777" w:rsidR="00561B22" w:rsidRPr="00A81398" w:rsidRDefault="00561B22" w:rsidP="00F1223B">
            <w:pPr>
              <w:widowControl/>
              <w:autoSpaceDE/>
              <w:autoSpaceDN/>
              <w:spacing w:line="240" w:lineRule="atLeast"/>
              <w:jc w:val="both"/>
              <w:rPr>
                <w:rFonts w:ascii="Arial" w:hAnsi="Arial" w:cs="Arial"/>
                <w:sz w:val="22"/>
                <w:szCs w:val="22"/>
                <w:lang w:val="es-CO"/>
              </w:rPr>
            </w:pPr>
            <w:r w:rsidRPr="00A81398">
              <w:rPr>
                <w:rFonts w:ascii="Arial" w:eastAsia="Calibri" w:hAnsi="Arial" w:cs="Arial"/>
                <w:sz w:val="22"/>
                <w:szCs w:val="22"/>
                <w:lang w:val="es-CO"/>
              </w:rPr>
              <w:t xml:space="preserve">Realizar capacitaciones permanentes a las personas involucradas en proceso   contable.  </w:t>
            </w:r>
          </w:p>
        </w:tc>
      </w:tr>
      <w:tr w:rsidR="00561B22" w:rsidRPr="00A81398" w14:paraId="393F07F0" w14:textId="77777777" w:rsidTr="00F1223B">
        <w:tc>
          <w:tcPr>
            <w:tcW w:w="562" w:type="dxa"/>
          </w:tcPr>
          <w:p w14:paraId="5A03265A"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2</w:t>
            </w:r>
          </w:p>
        </w:tc>
        <w:tc>
          <w:tcPr>
            <w:tcW w:w="9400" w:type="dxa"/>
          </w:tcPr>
          <w:p w14:paraId="45E33A43"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Continuar con la depuración de las Cuentas por cobrar.</w:t>
            </w:r>
          </w:p>
        </w:tc>
      </w:tr>
      <w:tr w:rsidR="00561B22" w:rsidRPr="00A81398" w14:paraId="424C3A8E" w14:textId="77777777" w:rsidTr="00F1223B">
        <w:tc>
          <w:tcPr>
            <w:tcW w:w="562" w:type="dxa"/>
          </w:tcPr>
          <w:p w14:paraId="422055BC"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3</w:t>
            </w:r>
          </w:p>
        </w:tc>
        <w:tc>
          <w:tcPr>
            <w:tcW w:w="9400" w:type="dxa"/>
          </w:tcPr>
          <w:p w14:paraId="6D85D513"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Revisar y aprobar el manual de cartera que se encuentra en proceso de revisión y aprobación por parte del Comité de gestión y desempeño Institucional.</w:t>
            </w:r>
          </w:p>
        </w:tc>
      </w:tr>
      <w:tr w:rsidR="00561B22" w:rsidRPr="00A81398" w14:paraId="5960C13C" w14:textId="77777777" w:rsidTr="00F1223B">
        <w:tc>
          <w:tcPr>
            <w:tcW w:w="562" w:type="dxa"/>
          </w:tcPr>
          <w:p w14:paraId="016F2EC9"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4</w:t>
            </w:r>
          </w:p>
        </w:tc>
        <w:tc>
          <w:tcPr>
            <w:tcW w:w="9400" w:type="dxa"/>
          </w:tcPr>
          <w:p w14:paraId="2162764A"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Fortalecer los canales de comunicación para mejorar el flujo de información entre las áreas funcionales y el Grupo Contabilidad.</w:t>
            </w:r>
          </w:p>
        </w:tc>
      </w:tr>
      <w:tr w:rsidR="00561B22" w:rsidRPr="00A81398" w14:paraId="129B7700" w14:textId="77777777" w:rsidTr="00F1223B">
        <w:tc>
          <w:tcPr>
            <w:tcW w:w="562" w:type="dxa"/>
          </w:tcPr>
          <w:p w14:paraId="6FE203A8"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t>5</w:t>
            </w:r>
          </w:p>
        </w:tc>
        <w:tc>
          <w:tcPr>
            <w:tcW w:w="9400" w:type="dxa"/>
          </w:tcPr>
          <w:p w14:paraId="4CB338EB"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 xml:space="preserve">Mejorar la gestión de recaudo por concepto de Tasa Retributiva, y Tasa por Uso de Agua, así como, mejorar el proceso mediante el cumplimiento de los deberes con el personal de apoyo que tiene la responsabilidad recuperar la cartera y gestionar el recaudo a favor de </w:t>
            </w:r>
            <w:r w:rsidRPr="00A81398">
              <w:rPr>
                <w:rFonts w:ascii="Arial" w:hAnsi="Arial" w:cs="Arial"/>
                <w:sz w:val="22"/>
                <w:szCs w:val="22"/>
                <w:lang w:val="es-MX"/>
              </w:rPr>
              <w:lastRenderedPageBreak/>
              <w:t>Corpoamazonía, para garantizar de manera ágil, eficaz, eficiente y oportuna la liquidez que permita el cumplimiento misional de la entidad.</w:t>
            </w:r>
          </w:p>
        </w:tc>
      </w:tr>
      <w:tr w:rsidR="00561B22" w:rsidRPr="00A81398" w14:paraId="3BC41F0A" w14:textId="77777777" w:rsidTr="00F1223B">
        <w:tc>
          <w:tcPr>
            <w:tcW w:w="562" w:type="dxa"/>
          </w:tcPr>
          <w:p w14:paraId="7130F67E" w14:textId="77777777" w:rsidR="00561B22" w:rsidRPr="00A81398" w:rsidRDefault="00561B22" w:rsidP="00F1223B">
            <w:pPr>
              <w:jc w:val="center"/>
              <w:rPr>
                <w:rFonts w:ascii="Arial" w:hAnsi="Arial" w:cs="Arial"/>
                <w:b/>
                <w:sz w:val="22"/>
                <w:szCs w:val="22"/>
                <w:lang w:val="es-MX"/>
              </w:rPr>
            </w:pPr>
            <w:r w:rsidRPr="00A81398">
              <w:rPr>
                <w:rFonts w:ascii="Arial" w:hAnsi="Arial" w:cs="Arial"/>
                <w:b/>
                <w:sz w:val="22"/>
                <w:szCs w:val="22"/>
                <w:lang w:val="es-MX"/>
              </w:rPr>
              <w:lastRenderedPageBreak/>
              <w:t>6</w:t>
            </w:r>
          </w:p>
        </w:tc>
        <w:tc>
          <w:tcPr>
            <w:tcW w:w="9400" w:type="dxa"/>
          </w:tcPr>
          <w:p w14:paraId="7E6D2227" w14:textId="77777777" w:rsidR="00561B22" w:rsidRPr="00A81398" w:rsidRDefault="00561B22" w:rsidP="00F1223B">
            <w:pPr>
              <w:jc w:val="both"/>
              <w:rPr>
                <w:rFonts w:ascii="Arial" w:hAnsi="Arial" w:cs="Arial"/>
                <w:sz w:val="22"/>
                <w:szCs w:val="22"/>
                <w:lang w:val="es-MX"/>
              </w:rPr>
            </w:pPr>
            <w:r w:rsidRPr="00A81398">
              <w:rPr>
                <w:rFonts w:ascii="Arial" w:hAnsi="Arial" w:cs="Arial"/>
                <w:sz w:val="22"/>
                <w:szCs w:val="22"/>
                <w:lang w:val="es-MX"/>
              </w:rPr>
              <w:t>Actualización de manera periódica el cálculo de la Cuenta Deterioro Acumulado de   Cuentas por Cobrar.</w:t>
            </w:r>
          </w:p>
        </w:tc>
      </w:tr>
    </w:tbl>
    <w:p w14:paraId="6DE7999F" w14:textId="77777777" w:rsidR="00561B22" w:rsidRPr="00A81398" w:rsidRDefault="00561B22" w:rsidP="00561B22">
      <w:pPr>
        <w:rPr>
          <w:rFonts w:ascii="Arial" w:hAnsi="Arial" w:cs="Arial"/>
          <w:b/>
          <w:bCs/>
        </w:rPr>
      </w:pPr>
    </w:p>
    <w:p w14:paraId="68FD648B" w14:textId="77777777" w:rsidR="00561B22" w:rsidRPr="00730167" w:rsidRDefault="00561B22" w:rsidP="00561B22">
      <w:pPr>
        <w:jc w:val="both"/>
        <w:rPr>
          <w:rFonts w:ascii="Arial" w:hAnsi="Arial" w:cs="Arial"/>
          <w:b/>
          <w:sz w:val="28"/>
          <w:szCs w:val="28"/>
          <w:lang w:val="es-MX"/>
        </w:rPr>
      </w:pPr>
      <w:r w:rsidRPr="00730167">
        <w:rPr>
          <w:rFonts w:ascii="Arial" w:hAnsi="Arial" w:cs="Arial"/>
          <w:b/>
          <w:sz w:val="28"/>
          <w:szCs w:val="28"/>
          <w:lang w:val="es-MX"/>
        </w:rPr>
        <w:t>284.- ELECTRIFICADORA DEL META S.A. – EMSA S.A.</w:t>
      </w:r>
    </w:p>
    <w:p w14:paraId="5C070508" w14:textId="77777777" w:rsidR="00561B22" w:rsidRDefault="00561B22" w:rsidP="00561B22">
      <w:pPr>
        <w:pStyle w:val="Textoindependiente"/>
        <w:jc w:val="both"/>
        <w:rPr>
          <w:b/>
          <w:bCs/>
        </w:rPr>
      </w:pPr>
    </w:p>
    <w:p w14:paraId="1458EA43" w14:textId="77777777" w:rsidR="00561B22" w:rsidRPr="00CA430B" w:rsidRDefault="00561B22" w:rsidP="00561B22">
      <w:pPr>
        <w:pStyle w:val="Textoindependiente"/>
        <w:jc w:val="center"/>
        <w:rPr>
          <w:rFonts w:ascii="Arial" w:hAnsi="Arial" w:cs="Arial"/>
          <w:b/>
          <w:bCs/>
        </w:rPr>
      </w:pPr>
      <w:r w:rsidRPr="00CA430B">
        <w:rPr>
          <w:rFonts w:ascii="Arial" w:hAnsi="Arial" w:cs="Arial"/>
          <w:b/>
          <w:bCs/>
        </w:rPr>
        <w:t>INFORME DE LA AUTOCALIFICACIÓN DEL SISTEMA DE CONTROL INTERNO CONTABLE:</w:t>
      </w:r>
    </w:p>
    <w:p w14:paraId="321FC476" w14:textId="77777777" w:rsidR="00561B22" w:rsidRPr="00CA430B"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A430B" w14:paraId="5065AF41" w14:textId="77777777" w:rsidTr="00F1223B">
        <w:tc>
          <w:tcPr>
            <w:tcW w:w="4981" w:type="dxa"/>
          </w:tcPr>
          <w:p w14:paraId="07C0BE95" w14:textId="77777777" w:rsidR="00561B22" w:rsidRPr="00CA430B" w:rsidRDefault="00561B22" w:rsidP="00F1223B">
            <w:pPr>
              <w:jc w:val="center"/>
              <w:rPr>
                <w:rFonts w:ascii="Arial" w:hAnsi="Arial" w:cs="Arial"/>
                <w:b/>
                <w:sz w:val="22"/>
                <w:szCs w:val="22"/>
                <w:lang w:val="es-MX"/>
              </w:rPr>
            </w:pPr>
            <w:r w:rsidRPr="00CA430B">
              <w:rPr>
                <w:rFonts w:ascii="Arial" w:hAnsi="Arial" w:cs="Arial"/>
                <w:b/>
                <w:sz w:val="22"/>
                <w:szCs w:val="22"/>
                <w:lang w:val="es-MX"/>
              </w:rPr>
              <w:t>AUTOCALIFICACIÓN</w:t>
            </w:r>
          </w:p>
        </w:tc>
        <w:tc>
          <w:tcPr>
            <w:tcW w:w="4981" w:type="dxa"/>
          </w:tcPr>
          <w:p w14:paraId="085C1A32" w14:textId="77777777" w:rsidR="00561B22" w:rsidRPr="00CA430B" w:rsidRDefault="00561B22" w:rsidP="00F1223B">
            <w:pPr>
              <w:jc w:val="center"/>
              <w:rPr>
                <w:rFonts w:ascii="Arial" w:hAnsi="Arial" w:cs="Arial"/>
                <w:b/>
                <w:sz w:val="22"/>
                <w:szCs w:val="22"/>
                <w:u w:val="single"/>
                <w:lang w:val="es-MX"/>
              </w:rPr>
            </w:pPr>
            <w:r w:rsidRPr="00CA430B">
              <w:rPr>
                <w:rFonts w:ascii="Arial" w:hAnsi="Arial" w:cs="Arial"/>
                <w:b/>
                <w:sz w:val="22"/>
                <w:szCs w:val="22"/>
                <w:u w:val="single"/>
                <w:lang w:val="es-MX"/>
              </w:rPr>
              <w:t>5.00</w:t>
            </w:r>
          </w:p>
        </w:tc>
      </w:tr>
    </w:tbl>
    <w:p w14:paraId="68012834" w14:textId="77777777" w:rsidR="00561B22" w:rsidRPr="00CA430B" w:rsidRDefault="00561B22" w:rsidP="00561B22">
      <w:pPr>
        <w:pStyle w:val="Textoindependiente"/>
        <w:jc w:val="both"/>
        <w:rPr>
          <w:rFonts w:ascii="Arial" w:hAnsi="Arial" w:cs="Arial"/>
          <w:b/>
          <w:bCs/>
        </w:rPr>
      </w:pPr>
    </w:p>
    <w:p w14:paraId="0F7039B2" w14:textId="77777777" w:rsidR="00561B22" w:rsidRPr="00CA430B" w:rsidRDefault="00561B22" w:rsidP="00561B22">
      <w:pPr>
        <w:pStyle w:val="Textoindependiente"/>
        <w:jc w:val="both"/>
        <w:rPr>
          <w:rFonts w:ascii="Arial" w:hAnsi="Arial" w:cs="Arial"/>
          <w:b/>
          <w:bCs/>
        </w:rPr>
      </w:pPr>
      <w:r w:rsidRPr="00CA430B">
        <w:rPr>
          <w:rFonts w:ascii="Arial" w:hAnsi="Arial" w:cs="Arial"/>
          <w:b/>
          <w:bCs/>
        </w:rPr>
        <w:t>Del informe enviado retomamos lo siguiente:</w:t>
      </w:r>
    </w:p>
    <w:tbl>
      <w:tblPr>
        <w:tblStyle w:val="Tablaconcuadrcula"/>
        <w:tblW w:w="0" w:type="auto"/>
        <w:tblLook w:val="04A0" w:firstRow="1" w:lastRow="0" w:firstColumn="1" w:lastColumn="0" w:noHBand="0" w:noVBand="1"/>
      </w:tblPr>
      <w:tblGrid>
        <w:gridCol w:w="562"/>
        <w:gridCol w:w="9400"/>
      </w:tblGrid>
      <w:tr w:rsidR="00561B22" w:rsidRPr="00CA430B" w14:paraId="54799B33" w14:textId="77777777" w:rsidTr="00F1223B">
        <w:tc>
          <w:tcPr>
            <w:tcW w:w="562" w:type="dxa"/>
          </w:tcPr>
          <w:p w14:paraId="5F621D3B" w14:textId="77777777" w:rsidR="00561B22" w:rsidRPr="00CA430B" w:rsidRDefault="00561B22" w:rsidP="00F1223B">
            <w:pPr>
              <w:jc w:val="center"/>
              <w:rPr>
                <w:rFonts w:ascii="Arial" w:hAnsi="Arial" w:cs="Arial"/>
                <w:b/>
                <w:sz w:val="22"/>
                <w:szCs w:val="22"/>
                <w:lang w:val="es-MX"/>
              </w:rPr>
            </w:pPr>
            <w:r w:rsidRPr="00CA430B">
              <w:rPr>
                <w:rFonts w:ascii="Arial" w:hAnsi="Arial" w:cs="Arial"/>
                <w:b/>
                <w:sz w:val="22"/>
                <w:szCs w:val="22"/>
                <w:lang w:val="es-MX"/>
              </w:rPr>
              <w:t>N°</w:t>
            </w:r>
          </w:p>
        </w:tc>
        <w:tc>
          <w:tcPr>
            <w:tcW w:w="9400" w:type="dxa"/>
          </w:tcPr>
          <w:p w14:paraId="520849C8" w14:textId="77777777" w:rsidR="00561B22" w:rsidRDefault="00561B22" w:rsidP="00F1223B">
            <w:pPr>
              <w:jc w:val="center"/>
              <w:rPr>
                <w:rFonts w:ascii="Arial" w:hAnsi="Arial" w:cs="Arial"/>
                <w:b/>
                <w:sz w:val="22"/>
                <w:szCs w:val="22"/>
                <w:lang w:val="es-MX"/>
              </w:rPr>
            </w:pPr>
            <w:r w:rsidRPr="00CA430B">
              <w:rPr>
                <w:rFonts w:ascii="Arial" w:hAnsi="Arial" w:cs="Arial"/>
                <w:b/>
                <w:sz w:val="22"/>
                <w:szCs w:val="22"/>
                <w:lang w:val="es-MX"/>
              </w:rPr>
              <w:t>DEBILIDADES</w:t>
            </w:r>
          </w:p>
          <w:p w14:paraId="23036655" w14:textId="77777777" w:rsidR="00561B22" w:rsidRPr="00CA430B" w:rsidRDefault="00561B22" w:rsidP="00F1223B">
            <w:pPr>
              <w:jc w:val="center"/>
              <w:rPr>
                <w:rFonts w:ascii="Arial" w:hAnsi="Arial" w:cs="Arial"/>
                <w:b/>
                <w:sz w:val="22"/>
                <w:szCs w:val="22"/>
                <w:lang w:val="es-MX"/>
              </w:rPr>
            </w:pPr>
          </w:p>
        </w:tc>
      </w:tr>
      <w:tr w:rsidR="00561B22" w:rsidRPr="00CA430B" w14:paraId="46096971" w14:textId="77777777" w:rsidTr="00F1223B">
        <w:tc>
          <w:tcPr>
            <w:tcW w:w="562" w:type="dxa"/>
          </w:tcPr>
          <w:p w14:paraId="5843E8F0" w14:textId="77777777" w:rsidR="00561B22" w:rsidRPr="00CA430B" w:rsidRDefault="00561B22" w:rsidP="00F1223B">
            <w:pPr>
              <w:jc w:val="center"/>
              <w:rPr>
                <w:rFonts w:ascii="Arial" w:hAnsi="Arial" w:cs="Arial"/>
                <w:b/>
                <w:sz w:val="22"/>
                <w:szCs w:val="22"/>
                <w:lang w:val="es-MX"/>
              </w:rPr>
            </w:pPr>
            <w:r w:rsidRPr="00CA430B">
              <w:rPr>
                <w:rFonts w:ascii="Arial" w:hAnsi="Arial" w:cs="Arial"/>
                <w:b/>
                <w:sz w:val="22"/>
                <w:szCs w:val="22"/>
                <w:lang w:val="es-MX"/>
              </w:rPr>
              <w:t>1</w:t>
            </w:r>
          </w:p>
        </w:tc>
        <w:tc>
          <w:tcPr>
            <w:tcW w:w="9400" w:type="dxa"/>
          </w:tcPr>
          <w:p w14:paraId="404C313B" w14:textId="77777777" w:rsidR="00561B22" w:rsidRPr="00CA430B" w:rsidRDefault="00561B22" w:rsidP="00F1223B">
            <w:pPr>
              <w:jc w:val="both"/>
              <w:rPr>
                <w:rFonts w:ascii="Arial" w:hAnsi="Arial" w:cs="Arial"/>
                <w:bCs/>
                <w:sz w:val="22"/>
                <w:szCs w:val="22"/>
                <w:lang w:val="es-MX"/>
              </w:rPr>
            </w:pPr>
            <w:r w:rsidRPr="00CA430B">
              <w:rPr>
                <w:rFonts w:ascii="Arial" w:hAnsi="Arial" w:cs="Arial"/>
                <w:bCs/>
                <w:sz w:val="22"/>
                <w:szCs w:val="22"/>
                <w:lang w:val="es-MX"/>
              </w:rPr>
              <w:t>En el proceso contable y la planta de personal de EMSA en General requiere ampliación</w:t>
            </w:r>
          </w:p>
        </w:tc>
      </w:tr>
    </w:tbl>
    <w:p w14:paraId="721EF90D" w14:textId="77777777" w:rsidR="00561B22" w:rsidRPr="00CA430B" w:rsidRDefault="00561B22" w:rsidP="00561B22">
      <w:pPr>
        <w:pStyle w:val="Textoindependiente"/>
        <w:jc w:val="both"/>
        <w:rPr>
          <w:rFonts w:ascii="Arial" w:hAnsi="Arial" w:cs="Arial"/>
          <w:b/>
          <w:bCs/>
        </w:rPr>
      </w:pPr>
    </w:p>
    <w:p w14:paraId="2945623B" w14:textId="77777777" w:rsidR="00561B22" w:rsidRPr="00CA430B" w:rsidRDefault="00561B22" w:rsidP="00561B22">
      <w:pPr>
        <w:jc w:val="both"/>
        <w:rPr>
          <w:rFonts w:ascii="Arial" w:hAnsi="Arial" w:cs="Arial"/>
          <w:b/>
          <w:lang w:val="es-MX"/>
        </w:rPr>
      </w:pPr>
      <w:r w:rsidRPr="00CA430B">
        <w:rPr>
          <w:rFonts w:ascii="Arial" w:hAnsi="Arial" w:cs="Arial"/>
          <w:b/>
          <w:lang w:val="es-MX"/>
        </w:rPr>
        <w:t>Del citado informe retomamos las siguientes recomendaciones:</w:t>
      </w:r>
    </w:p>
    <w:p w14:paraId="65D64AAC" w14:textId="77777777" w:rsidR="00561B22" w:rsidRPr="00CA430B"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A430B" w14:paraId="634A31E4" w14:textId="77777777" w:rsidTr="00F1223B">
        <w:tc>
          <w:tcPr>
            <w:tcW w:w="562" w:type="dxa"/>
          </w:tcPr>
          <w:p w14:paraId="68FB8F22" w14:textId="77777777" w:rsidR="00561B22" w:rsidRPr="00CA430B" w:rsidRDefault="00561B22" w:rsidP="00F1223B">
            <w:pPr>
              <w:jc w:val="center"/>
              <w:rPr>
                <w:rFonts w:ascii="Arial" w:hAnsi="Arial" w:cs="Arial"/>
                <w:b/>
                <w:sz w:val="22"/>
                <w:szCs w:val="22"/>
                <w:lang w:val="es-MX"/>
              </w:rPr>
            </w:pPr>
            <w:r w:rsidRPr="00CA430B">
              <w:rPr>
                <w:rFonts w:ascii="Arial" w:hAnsi="Arial" w:cs="Arial"/>
                <w:b/>
                <w:sz w:val="22"/>
                <w:szCs w:val="22"/>
                <w:lang w:val="es-MX"/>
              </w:rPr>
              <w:t>N°</w:t>
            </w:r>
          </w:p>
        </w:tc>
        <w:tc>
          <w:tcPr>
            <w:tcW w:w="9400" w:type="dxa"/>
          </w:tcPr>
          <w:p w14:paraId="15AF05B6" w14:textId="77777777" w:rsidR="00561B22" w:rsidRPr="00CA430B" w:rsidRDefault="00561B22" w:rsidP="00F1223B">
            <w:pPr>
              <w:jc w:val="center"/>
              <w:rPr>
                <w:rFonts w:ascii="Arial" w:hAnsi="Arial" w:cs="Arial"/>
                <w:b/>
                <w:sz w:val="22"/>
                <w:szCs w:val="22"/>
                <w:lang w:val="es-MX"/>
              </w:rPr>
            </w:pPr>
            <w:r w:rsidRPr="00CA430B">
              <w:rPr>
                <w:rFonts w:ascii="Arial" w:hAnsi="Arial" w:cs="Arial"/>
                <w:b/>
                <w:sz w:val="22"/>
                <w:szCs w:val="22"/>
                <w:lang w:val="es-MX"/>
              </w:rPr>
              <w:t>RECOMENDACIONES</w:t>
            </w:r>
          </w:p>
          <w:p w14:paraId="767AE258" w14:textId="77777777" w:rsidR="00561B22" w:rsidRPr="00CA430B" w:rsidRDefault="00561B22" w:rsidP="00F1223B">
            <w:pPr>
              <w:jc w:val="center"/>
              <w:rPr>
                <w:rFonts w:ascii="Arial" w:hAnsi="Arial" w:cs="Arial"/>
                <w:b/>
                <w:sz w:val="22"/>
                <w:szCs w:val="22"/>
                <w:lang w:val="es-MX"/>
              </w:rPr>
            </w:pPr>
          </w:p>
        </w:tc>
      </w:tr>
      <w:tr w:rsidR="00561B22" w:rsidRPr="00CA430B" w14:paraId="4487F6A7" w14:textId="77777777" w:rsidTr="00F1223B">
        <w:tc>
          <w:tcPr>
            <w:tcW w:w="562" w:type="dxa"/>
          </w:tcPr>
          <w:p w14:paraId="3068F5A2" w14:textId="77777777" w:rsidR="00561B22" w:rsidRPr="00CA430B" w:rsidRDefault="00561B22" w:rsidP="00F1223B">
            <w:pPr>
              <w:jc w:val="center"/>
              <w:rPr>
                <w:rFonts w:ascii="Arial" w:hAnsi="Arial" w:cs="Arial"/>
                <w:b/>
                <w:sz w:val="22"/>
                <w:szCs w:val="22"/>
                <w:lang w:val="es-MX"/>
              </w:rPr>
            </w:pPr>
            <w:r w:rsidRPr="00CA430B">
              <w:rPr>
                <w:rFonts w:ascii="Arial" w:hAnsi="Arial" w:cs="Arial"/>
                <w:b/>
                <w:sz w:val="22"/>
                <w:szCs w:val="22"/>
                <w:lang w:val="es-MX"/>
              </w:rPr>
              <w:t>1</w:t>
            </w:r>
          </w:p>
        </w:tc>
        <w:tc>
          <w:tcPr>
            <w:tcW w:w="9400" w:type="dxa"/>
          </w:tcPr>
          <w:p w14:paraId="45A420B7" w14:textId="77777777" w:rsidR="00561B22" w:rsidRPr="00CA430B" w:rsidRDefault="00561B22" w:rsidP="00F1223B">
            <w:pPr>
              <w:jc w:val="both"/>
              <w:rPr>
                <w:rFonts w:ascii="Arial" w:hAnsi="Arial" w:cs="Arial"/>
                <w:bCs/>
                <w:sz w:val="22"/>
                <w:szCs w:val="22"/>
                <w:lang w:val="es-MX"/>
              </w:rPr>
            </w:pPr>
            <w:r w:rsidRPr="00CA430B">
              <w:rPr>
                <w:rFonts w:ascii="Arial" w:hAnsi="Arial" w:cs="Arial"/>
                <w:bCs/>
                <w:sz w:val="22"/>
                <w:szCs w:val="22"/>
                <w:lang w:val="es-MX"/>
              </w:rPr>
              <w:t>Socializar el resultado del monitoreo a los riesgos identificados por parte de la Gerencia de Planeación con el fin de poder determinar la efectividad de los controles.</w:t>
            </w:r>
          </w:p>
        </w:tc>
      </w:tr>
    </w:tbl>
    <w:p w14:paraId="2F0E4D45" w14:textId="77777777" w:rsidR="00561B22" w:rsidRDefault="00561B22" w:rsidP="00561B22">
      <w:pPr>
        <w:pStyle w:val="Textoindependiente"/>
        <w:jc w:val="both"/>
        <w:rPr>
          <w:rFonts w:ascii="Arial" w:hAnsi="Arial" w:cs="Arial"/>
          <w:b/>
          <w:bCs/>
        </w:rPr>
      </w:pPr>
    </w:p>
    <w:p w14:paraId="52B7196C" w14:textId="77777777" w:rsidR="00561B22" w:rsidRPr="000B1B18" w:rsidRDefault="00561B22" w:rsidP="00561B22">
      <w:pPr>
        <w:jc w:val="both"/>
        <w:rPr>
          <w:rFonts w:ascii="Arial" w:hAnsi="Arial" w:cs="Arial"/>
          <w:b/>
          <w:sz w:val="28"/>
          <w:szCs w:val="28"/>
          <w:lang w:val="es-MX"/>
        </w:rPr>
      </w:pPr>
      <w:r w:rsidRPr="000B1B18">
        <w:rPr>
          <w:rFonts w:ascii="Arial" w:hAnsi="Arial" w:cs="Arial"/>
          <w:b/>
          <w:sz w:val="28"/>
          <w:szCs w:val="28"/>
          <w:lang w:val="es-MX"/>
        </w:rPr>
        <w:t xml:space="preserve">285.- </w:t>
      </w:r>
      <w:r w:rsidRPr="000B1B18">
        <w:rPr>
          <w:rFonts w:ascii="Arial" w:hAnsi="Arial" w:cs="Arial"/>
          <w:b/>
          <w:sz w:val="28"/>
          <w:szCs w:val="28"/>
          <w:lang w:val="es-CO"/>
        </w:rPr>
        <w:t>FONDO ROTATORIO DEL DEPARTAMENTO ADMINISTRATIVO NACIONAL DE ESTADÍSTICA – FONDANE.</w:t>
      </w:r>
      <w:r w:rsidRPr="000B1B18">
        <w:rPr>
          <w:rFonts w:ascii="Arial" w:hAnsi="Arial" w:cs="Arial"/>
          <w:b/>
          <w:sz w:val="28"/>
          <w:szCs w:val="28"/>
          <w:lang w:val="es-MX"/>
        </w:rPr>
        <w:t xml:space="preserve"> </w:t>
      </w:r>
    </w:p>
    <w:p w14:paraId="55571767" w14:textId="77777777" w:rsidR="00561B22" w:rsidRPr="00CA430B" w:rsidRDefault="00561B22" w:rsidP="00561B22">
      <w:pPr>
        <w:pStyle w:val="Textoindependiente"/>
        <w:jc w:val="both"/>
        <w:rPr>
          <w:rFonts w:ascii="Arial" w:hAnsi="Arial" w:cs="Arial"/>
          <w:b/>
          <w:bCs/>
        </w:rPr>
      </w:pPr>
    </w:p>
    <w:p w14:paraId="0929BC16" w14:textId="77777777" w:rsidR="00561B22" w:rsidRPr="00CE4046" w:rsidRDefault="00561B22" w:rsidP="00561B22">
      <w:pPr>
        <w:pStyle w:val="Textoindependiente"/>
        <w:ind w:right="-50"/>
        <w:jc w:val="center"/>
        <w:rPr>
          <w:rFonts w:ascii="Arial" w:hAnsi="Arial" w:cs="Arial"/>
          <w:b/>
          <w:bCs/>
        </w:rPr>
      </w:pPr>
      <w:r w:rsidRPr="00CE4046">
        <w:rPr>
          <w:rFonts w:ascii="Arial" w:hAnsi="Arial" w:cs="Arial"/>
          <w:b/>
          <w:bCs/>
        </w:rPr>
        <w:t>INFORME DE LA AUTOCALIFICACIÓN DEL SISTEMA DE CONTROL INTERNO CONTABLE:</w:t>
      </w:r>
    </w:p>
    <w:p w14:paraId="21216086" w14:textId="77777777" w:rsidR="00561B22" w:rsidRPr="00CE404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E4046" w14:paraId="71757DEB" w14:textId="77777777" w:rsidTr="00F1223B">
        <w:tc>
          <w:tcPr>
            <w:tcW w:w="4981" w:type="dxa"/>
          </w:tcPr>
          <w:p w14:paraId="1880C7EE"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AUTOCALIFICACIÓN</w:t>
            </w:r>
          </w:p>
        </w:tc>
        <w:tc>
          <w:tcPr>
            <w:tcW w:w="4981" w:type="dxa"/>
          </w:tcPr>
          <w:p w14:paraId="1F82A15F" w14:textId="77777777" w:rsidR="00561B22" w:rsidRPr="00CE4046" w:rsidRDefault="00561B22" w:rsidP="00F1223B">
            <w:pPr>
              <w:jc w:val="center"/>
              <w:rPr>
                <w:rFonts w:ascii="Arial" w:hAnsi="Arial" w:cs="Arial"/>
                <w:b/>
                <w:sz w:val="22"/>
                <w:szCs w:val="22"/>
                <w:u w:val="single"/>
                <w:lang w:val="es-MX"/>
              </w:rPr>
            </w:pPr>
            <w:r w:rsidRPr="00CE4046">
              <w:rPr>
                <w:rFonts w:ascii="Arial" w:hAnsi="Arial" w:cs="Arial"/>
                <w:b/>
                <w:sz w:val="22"/>
                <w:szCs w:val="22"/>
                <w:u w:val="single"/>
                <w:lang w:val="es-MX"/>
              </w:rPr>
              <w:t>4.90</w:t>
            </w:r>
          </w:p>
        </w:tc>
      </w:tr>
    </w:tbl>
    <w:p w14:paraId="436C9A5B" w14:textId="77777777" w:rsidR="00561B22" w:rsidRPr="00CE4046" w:rsidRDefault="00561B22" w:rsidP="00561B22">
      <w:pPr>
        <w:pStyle w:val="Textoindependiente"/>
        <w:ind w:right="-50"/>
        <w:jc w:val="both"/>
        <w:rPr>
          <w:rFonts w:ascii="Arial" w:hAnsi="Arial" w:cs="Arial"/>
          <w:b/>
          <w:bCs/>
        </w:rPr>
      </w:pPr>
    </w:p>
    <w:p w14:paraId="386A63CF" w14:textId="77777777" w:rsidR="00561B22" w:rsidRPr="00CE4046" w:rsidRDefault="00561B22" w:rsidP="00561B22">
      <w:pPr>
        <w:pStyle w:val="Textoindependiente"/>
        <w:ind w:right="-50"/>
        <w:jc w:val="both"/>
        <w:rPr>
          <w:rFonts w:ascii="Arial" w:hAnsi="Arial" w:cs="Arial"/>
          <w:b/>
          <w:bCs/>
        </w:rPr>
      </w:pPr>
      <w:r w:rsidRPr="00CE4046">
        <w:rPr>
          <w:rFonts w:ascii="Arial" w:hAnsi="Arial" w:cs="Arial"/>
          <w:b/>
          <w:bCs/>
        </w:rPr>
        <w:t>Del informe enviado retomamos lo siguiente:</w:t>
      </w:r>
    </w:p>
    <w:p w14:paraId="6483D25D" w14:textId="77777777" w:rsidR="00561B22" w:rsidRPr="00CE404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E4046" w14:paraId="2C8AD9C8" w14:textId="77777777" w:rsidTr="00F1223B">
        <w:tc>
          <w:tcPr>
            <w:tcW w:w="562" w:type="dxa"/>
          </w:tcPr>
          <w:p w14:paraId="302A35A5" w14:textId="77777777" w:rsidR="00561B22" w:rsidRPr="00CE4046" w:rsidRDefault="00561B22" w:rsidP="00F1223B">
            <w:pPr>
              <w:ind w:right="-109"/>
              <w:jc w:val="center"/>
              <w:rPr>
                <w:rFonts w:ascii="Arial" w:hAnsi="Arial" w:cs="Arial"/>
                <w:b/>
                <w:sz w:val="22"/>
                <w:szCs w:val="22"/>
                <w:lang w:val="es-MX"/>
              </w:rPr>
            </w:pPr>
            <w:r w:rsidRPr="00CE4046">
              <w:rPr>
                <w:rFonts w:ascii="Arial" w:hAnsi="Arial" w:cs="Arial"/>
                <w:b/>
                <w:sz w:val="22"/>
                <w:szCs w:val="22"/>
                <w:lang w:val="es-MX"/>
              </w:rPr>
              <w:t>N°</w:t>
            </w:r>
          </w:p>
        </w:tc>
        <w:tc>
          <w:tcPr>
            <w:tcW w:w="9400" w:type="dxa"/>
          </w:tcPr>
          <w:p w14:paraId="5E58B815"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DEBILIDADES</w:t>
            </w:r>
          </w:p>
          <w:p w14:paraId="0C9ADFDD" w14:textId="77777777" w:rsidR="00561B22" w:rsidRPr="00CE4046" w:rsidRDefault="00561B22" w:rsidP="00F1223B">
            <w:pPr>
              <w:jc w:val="center"/>
              <w:rPr>
                <w:rFonts w:ascii="Arial" w:hAnsi="Arial" w:cs="Arial"/>
                <w:b/>
                <w:sz w:val="22"/>
                <w:szCs w:val="22"/>
                <w:lang w:val="es-MX"/>
              </w:rPr>
            </w:pPr>
          </w:p>
        </w:tc>
      </w:tr>
      <w:tr w:rsidR="00561B22" w:rsidRPr="00CE4046" w14:paraId="08CDB8FF" w14:textId="77777777" w:rsidTr="00F1223B">
        <w:tc>
          <w:tcPr>
            <w:tcW w:w="562" w:type="dxa"/>
          </w:tcPr>
          <w:p w14:paraId="65D1A5D8"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1</w:t>
            </w:r>
          </w:p>
        </w:tc>
        <w:tc>
          <w:tcPr>
            <w:tcW w:w="9400" w:type="dxa"/>
          </w:tcPr>
          <w:p w14:paraId="36D447A8" w14:textId="77777777" w:rsidR="00561B22" w:rsidRPr="00CE4046" w:rsidRDefault="00561B22" w:rsidP="00F1223B">
            <w:pPr>
              <w:jc w:val="both"/>
              <w:rPr>
                <w:rFonts w:ascii="Arial" w:hAnsi="Arial" w:cs="Arial"/>
                <w:sz w:val="22"/>
                <w:szCs w:val="22"/>
                <w:lang w:val="es-MX"/>
              </w:rPr>
            </w:pPr>
            <w:r w:rsidRPr="00CE4046">
              <w:rPr>
                <w:rFonts w:ascii="Arial" w:hAnsi="Arial" w:cs="Arial"/>
                <w:sz w:val="22"/>
                <w:szCs w:val="22"/>
              </w:rPr>
              <w:t>Los riesgos de gestión identificados no contemplan el contexto digital (Activo de información), teniendo en cuenta que el proceso financiero se ejecuta completamente en sistemas de información.</w:t>
            </w:r>
          </w:p>
        </w:tc>
      </w:tr>
      <w:tr w:rsidR="00561B22" w:rsidRPr="00CE4046" w14:paraId="75FD89A2" w14:textId="77777777" w:rsidTr="00F1223B">
        <w:tc>
          <w:tcPr>
            <w:tcW w:w="562" w:type="dxa"/>
          </w:tcPr>
          <w:p w14:paraId="573ED49E"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2</w:t>
            </w:r>
          </w:p>
        </w:tc>
        <w:tc>
          <w:tcPr>
            <w:tcW w:w="9400" w:type="dxa"/>
          </w:tcPr>
          <w:p w14:paraId="206FA444" w14:textId="77777777" w:rsidR="00561B22" w:rsidRPr="00CE4046" w:rsidRDefault="00561B22" w:rsidP="00F1223B">
            <w:pPr>
              <w:jc w:val="both"/>
              <w:rPr>
                <w:rFonts w:ascii="Arial" w:hAnsi="Arial" w:cs="Arial"/>
                <w:sz w:val="22"/>
                <w:szCs w:val="22"/>
                <w:lang w:val="es-MX"/>
              </w:rPr>
            </w:pPr>
            <w:r w:rsidRPr="00CE4046">
              <w:rPr>
                <w:rFonts w:ascii="Arial" w:hAnsi="Arial" w:cs="Arial"/>
                <w:sz w:val="22"/>
                <w:szCs w:val="22"/>
              </w:rPr>
              <w:t>La revelación de información contable y financiera no cuenta con una batería de indicadores que permitan</w:t>
            </w:r>
            <w:r w:rsidRPr="00CE4046">
              <w:rPr>
                <w:rFonts w:ascii="Arial" w:hAnsi="Arial" w:cs="Arial"/>
                <w:sz w:val="22"/>
                <w:szCs w:val="22"/>
              </w:rPr>
              <w:tab/>
              <w:t>evaluar</w:t>
            </w:r>
            <w:r w:rsidRPr="00CE4046">
              <w:rPr>
                <w:rFonts w:ascii="Arial" w:hAnsi="Arial" w:cs="Arial"/>
                <w:sz w:val="22"/>
                <w:szCs w:val="22"/>
              </w:rPr>
              <w:tab/>
              <w:t>permanentemente</w:t>
            </w:r>
            <w:r w:rsidRPr="00CE4046">
              <w:rPr>
                <w:rFonts w:ascii="Arial" w:hAnsi="Arial" w:cs="Arial"/>
                <w:sz w:val="22"/>
                <w:szCs w:val="22"/>
              </w:rPr>
              <w:tab/>
              <w:t>la</w:t>
            </w:r>
            <w:r w:rsidRPr="00CE4046">
              <w:rPr>
                <w:rFonts w:ascii="Arial" w:hAnsi="Arial" w:cs="Arial"/>
                <w:sz w:val="22"/>
                <w:szCs w:val="22"/>
              </w:rPr>
              <w:tab/>
              <w:t>gestión</w:t>
            </w:r>
            <w:r w:rsidRPr="00CE4046">
              <w:rPr>
                <w:rFonts w:ascii="Arial" w:hAnsi="Arial" w:cs="Arial"/>
                <w:sz w:val="22"/>
                <w:szCs w:val="22"/>
              </w:rPr>
              <w:tab/>
              <w:t>y</w:t>
            </w:r>
            <w:r w:rsidRPr="00CE4046">
              <w:rPr>
                <w:rFonts w:ascii="Arial" w:hAnsi="Arial" w:cs="Arial"/>
                <w:sz w:val="22"/>
                <w:szCs w:val="22"/>
              </w:rPr>
              <w:tab/>
              <w:t>los</w:t>
            </w:r>
            <w:r w:rsidRPr="00CE4046">
              <w:rPr>
                <w:rFonts w:ascii="Arial" w:hAnsi="Arial" w:cs="Arial"/>
                <w:sz w:val="22"/>
                <w:szCs w:val="22"/>
              </w:rPr>
              <w:tab/>
              <w:t>resultados de la entidad.</w:t>
            </w:r>
          </w:p>
        </w:tc>
      </w:tr>
      <w:tr w:rsidR="00561B22" w:rsidRPr="00CE4046" w14:paraId="6066639D" w14:textId="77777777" w:rsidTr="00F1223B">
        <w:tc>
          <w:tcPr>
            <w:tcW w:w="562" w:type="dxa"/>
          </w:tcPr>
          <w:p w14:paraId="1A961041"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3</w:t>
            </w:r>
          </w:p>
        </w:tc>
        <w:tc>
          <w:tcPr>
            <w:tcW w:w="9400" w:type="dxa"/>
          </w:tcPr>
          <w:p w14:paraId="09FA3F98" w14:textId="77777777" w:rsidR="00561B22" w:rsidRPr="00CE4046" w:rsidRDefault="00561B22" w:rsidP="00F1223B">
            <w:pPr>
              <w:jc w:val="both"/>
              <w:rPr>
                <w:rFonts w:ascii="Arial" w:hAnsi="Arial" w:cs="Arial"/>
                <w:sz w:val="22"/>
                <w:szCs w:val="22"/>
                <w:lang w:val="es-MX"/>
              </w:rPr>
            </w:pPr>
            <w:r w:rsidRPr="00CE4046">
              <w:rPr>
                <w:rFonts w:ascii="Arial" w:hAnsi="Arial" w:cs="Arial"/>
                <w:sz w:val="22"/>
                <w:szCs w:val="22"/>
              </w:rPr>
              <w:t>No se incluyeron dentro del PIC capacitaciones que apunten al mejoramiento de habilidades y competencias específicas del proceso contable.</w:t>
            </w:r>
          </w:p>
        </w:tc>
      </w:tr>
    </w:tbl>
    <w:p w14:paraId="53085D1E" w14:textId="77777777" w:rsidR="00561B22" w:rsidRPr="00CE4046" w:rsidRDefault="00561B22" w:rsidP="00561B22">
      <w:pPr>
        <w:pStyle w:val="Textoindependiente"/>
        <w:ind w:right="-50"/>
        <w:jc w:val="both"/>
        <w:rPr>
          <w:rFonts w:ascii="Arial" w:hAnsi="Arial" w:cs="Arial"/>
          <w:b/>
          <w:bCs/>
        </w:rPr>
      </w:pPr>
    </w:p>
    <w:p w14:paraId="02E93500" w14:textId="77777777" w:rsidR="00561B22" w:rsidRPr="00CE4046" w:rsidRDefault="00561B22" w:rsidP="00561B22">
      <w:pPr>
        <w:jc w:val="both"/>
        <w:rPr>
          <w:rFonts w:ascii="Arial" w:hAnsi="Arial" w:cs="Arial"/>
          <w:b/>
          <w:lang w:val="es-MX"/>
        </w:rPr>
      </w:pPr>
      <w:r w:rsidRPr="00CE4046">
        <w:rPr>
          <w:rFonts w:ascii="Arial" w:hAnsi="Arial" w:cs="Arial"/>
          <w:b/>
          <w:lang w:val="es-MX"/>
        </w:rPr>
        <w:t>Del citado informe retomamos las siguientes recomendaciones:</w:t>
      </w:r>
    </w:p>
    <w:p w14:paraId="47A2E018" w14:textId="77777777" w:rsidR="00561B22" w:rsidRPr="00CE404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E4046" w14:paraId="1C87245F" w14:textId="77777777" w:rsidTr="00F1223B">
        <w:tc>
          <w:tcPr>
            <w:tcW w:w="562" w:type="dxa"/>
          </w:tcPr>
          <w:p w14:paraId="4E7BE12C" w14:textId="77777777" w:rsidR="00561B22" w:rsidRPr="00CE4046" w:rsidRDefault="00561B22" w:rsidP="00F1223B">
            <w:pPr>
              <w:ind w:right="-109"/>
              <w:jc w:val="center"/>
              <w:rPr>
                <w:rFonts w:ascii="Arial" w:hAnsi="Arial" w:cs="Arial"/>
                <w:b/>
                <w:sz w:val="22"/>
                <w:szCs w:val="22"/>
                <w:lang w:val="es-MX"/>
              </w:rPr>
            </w:pPr>
            <w:r w:rsidRPr="00CE4046">
              <w:rPr>
                <w:rFonts w:ascii="Arial" w:hAnsi="Arial" w:cs="Arial"/>
                <w:b/>
                <w:sz w:val="22"/>
                <w:szCs w:val="22"/>
                <w:lang w:val="es-MX"/>
              </w:rPr>
              <w:t>N°</w:t>
            </w:r>
          </w:p>
        </w:tc>
        <w:tc>
          <w:tcPr>
            <w:tcW w:w="9400" w:type="dxa"/>
          </w:tcPr>
          <w:p w14:paraId="017A2769"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RECOMENDACIONES</w:t>
            </w:r>
          </w:p>
          <w:p w14:paraId="46469321" w14:textId="77777777" w:rsidR="00561B22" w:rsidRPr="00CE4046" w:rsidRDefault="00561B22" w:rsidP="00F1223B">
            <w:pPr>
              <w:jc w:val="center"/>
              <w:rPr>
                <w:rFonts w:ascii="Arial" w:hAnsi="Arial" w:cs="Arial"/>
                <w:b/>
                <w:sz w:val="22"/>
                <w:szCs w:val="22"/>
                <w:lang w:val="es-MX"/>
              </w:rPr>
            </w:pPr>
          </w:p>
        </w:tc>
      </w:tr>
      <w:tr w:rsidR="00561B22" w:rsidRPr="00CE4046" w14:paraId="44CFABE1" w14:textId="77777777" w:rsidTr="00F1223B">
        <w:tc>
          <w:tcPr>
            <w:tcW w:w="562" w:type="dxa"/>
          </w:tcPr>
          <w:p w14:paraId="078B051D"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1</w:t>
            </w:r>
          </w:p>
        </w:tc>
        <w:tc>
          <w:tcPr>
            <w:tcW w:w="9400" w:type="dxa"/>
          </w:tcPr>
          <w:p w14:paraId="7B4FF0A4" w14:textId="77777777" w:rsidR="00561B22" w:rsidRPr="00CE4046" w:rsidRDefault="00561B22" w:rsidP="00F1223B">
            <w:pPr>
              <w:jc w:val="both"/>
              <w:rPr>
                <w:rFonts w:ascii="Arial" w:hAnsi="Arial" w:cs="Arial"/>
                <w:sz w:val="22"/>
                <w:szCs w:val="22"/>
                <w:lang w:val="es-MX"/>
              </w:rPr>
            </w:pPr>
            <w:r w:rsidRPr="00CE4046">
              <w:rPr>
                <w:rFonts w:ascii="Arial" w:hAnsi="Arial" w:cs="Arial"/>
                <w:sz w:val="22"/>
                <w:szCs w:val="22"/>
              </w:rPr>
              <w:t>Dado que el proceso contable se desarrolla completamente a través de sistemas de información se recomienda revisar la identificación realizada a los riesgos de gestión teniendo en cuenta el contexto digital (Activo de información), con el fin de proteger su funcionamiento y aumentar la confianza en el uso del entorno</w:t>
            </w:r>
          </w:p>
        </w:tc>
      </w:tr>
      <w:tr w:rsidR="00561B22" w:rsidRPr="00CE4046" w14:paraId="20F05DFA" w14:textId="77777777" w:rsidTr="00F1223B">
        <w:tc>
          <w:tcPr>
            <w:tcW w:w="562" w:type="dxa"/>
          </w:tcPr>
          <w:p w14:paraId="6E01AA95"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lastRenderedPageBreak/>
              <w:t>2</w:t>
            </w:r>
          </w:p>
        </w:tc>
        <w:tc>
          <w:tcPr>
            <w:tcW w:w="9400" w:type="dxa"/>
          </w:tcPr>
          <w:p w14:paraId="50F9F9C8" w14:textId="421C334E" w:rsidR="00561B22" w:rsidRPr="00CE4046" w:rsidRDefault="0008150C" w:rsidP="00F1223B">
            <w:pPr>
              <w:jc w:val="both"/>
              <w:rPr>
                <w:rFonts w:ascii="Arial" w:hAnsi="Arial" w:cs="Arial"/>
                <w:sz w:val="22"/>
                <w:szCs w:val="22"/>
                <w:lang w:val="es-MX"/>
              </w:rPr>
            </w:pPr>
            <w:r w:rsidRPr="00CE4046">
              <w:rPr>
                <w:rFonts w:ascii="Arial" w:hAnsi="Arial" w:cs="Arial"/>
                <w:sz w:val="22"/>
                <w:szCs w:val="22"/>
              </w:rPr>
              <w:t>Establecer indicadores que permitan analizar e interpretar la realidad financiera</w:t>
            </w:r>
          </w:p>
        </w:tc>
      </w:tr>
      <w:tr w:rsidR="00561B22" w:rsidRPr="00CE4046" w14:paraId="71D4D5E8" w14:textId="77777777" w:rsidTr="00F1223B">
        <w:tc>
          <w:tcPr>
            <w:tcW w:w="562" w:type="dxa"/>
          </w:tcPr>
          <w:p w14:paraId="4051FE03"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3</w:t>
            </w:r>
          </w:p>
        </w:tc>
        <w:tc>
          <w:tcPr>
            <w:tcW w:w="9400" w:type="dxa"/>
          </w:tcPr>
          <w:p w14:paraId="248A89CA" w14:textId="77777777" w:rsidR="00561B22" w:rsidRPr="00CE4046" w:rsidRDefault="00561B22" w:rsidP="00F1223B">
            <w:pPr>
              <w:jc w:val="both"/>
              <w:rPr>
                <w:rFonts w:ascii="Arial" w:hAnsi="Arial" w:cs="Arial"/>
                <w:sz w:val="22"/>
                <w:szCs w:val="22"/>
                <w:lang w:val="es-MX"/>
              </w:rPr>
            </w:pPr>
            <w:r w:rsidRPr="00CE4046">
              <w:rPr>
                <w:rFonts w:ascii="Arial" w:hAnsi="Arial" w:cs="Arial"/>
                <w:sz w:val="22"/>
                <w:szCs w:val="22"/>
              </w:rPr>
              <w:t>Incluir dentro del PIC programas de capacitación orientadas al mejoramiento de habilidades y competencias   específicas   del   personal   vinculado   al   proceso   contable</w:t>
            </w:r>
          </w:p>
        </w:tc>
      </w:tr>
      <w:tr w:rsidR="00561B22" w:rsidRPr="00CE4046" w14:paraId="32B041DB" w14:textId="77777777" w:rsidTr="00F1223B">
        <w:tc>
          <w:tcPr>
            <w:tcW w:w="562" w:type="dxa"/>
          </w:tcPr>
          <w:p w14:paraId="0D1F2915"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4</w:t>
            </w:r>
          </w:p>
        </w:tc>
        <w:tc>
          <w:tcPr>
            <w:tcW w:w="9400" w:type="dxa"/>
          </w:tcPr>
          <w:p w14:paraId="7F77D195" w14:textId="77777777" w:rsidR="00561B22" w:rsidRPr="00CE4046" w:rsidRDefault="00561B22" w:rsidP="00F1223B">
            <w:pPr>
              <w:jc w:val="both"/>
              <w:rPr>
                <w:rFonts w:ascii="Arial" w:hAnsi="Arial" w:cs="Arial"/>
                <w:sz w:val="22"/>
                <w:szCs w:val="22"/>
                <w:lang w:val="es-MX"/>
              </w:rPr>
            </w:pPr>
            <w:r w:rsidRPr="00CE4046">
              <w:rPr>
                <w:rFonts w:ascii="Arial" w:hAnsi="Arial" w:cs="Arial"/>
                <w:sz w:val="22"/>
                <w:szCs w:val="22"/>
              </w:rPr>
              <w:t>Establecer controles que permitan minimizar los tiempos de análisis y procesamiento de información, a fin de generar las notas a los estados financieros para la evaluación de control interno contable</w:t>
            </w:r>
          </w:p>
        </w:tc>
      </w:tr>
      <w:tr w:rsidR="00561B22" w:rsidRPr="00CE4046" w14:paraId="4F5AEF76" w14:textId="77777777" w:rsidTr="00F1223B">
        <w:tc>
          <w:tcPr>
            <w:tcW w:w="562" w:type="dxa"/>
          </w:tcPr>
          <w:p w14:paraId="2EDB4ACC" w14:textId="77777777" w:rsidR="00561B22" w:rsidRPr="00CE4046" w:rsidRDefault="00561B22" w:rsidP="00F1223B">
            <w:pPr>
              <w:jc w:val="center"/>
              <w:rPr>
                <w:rFonts w:ascii="Arial" w:hAnsi="Arial" w:cs="Arial"/>
                <w:b/>
                <w:sz w:val="22"/>
                <w:szCs w:val="22"/>
                <w:lang w:val="es-MX"/>
              </w:rPr>
            </w:pPr>
            <w:r w:rsidRPr="00CE4046">
              <w:rPr>
                <w:rFonts w:ascii="Arial" w:hAnsi="Arial" w:cs="Arial"/>
                <w:b/>
                <w:sz w:val="22"/>
                <w:szCs w:val="22"/>
                <w:lang w:val="es-MX"/>
              </w:rPr>
              <w:t>5</w:t>
            </w:r>
          </w:p>
        </w:tc>
        <w:tc>
          <w:tcPr>
            <w:tcW w:w="9400" w:type="dxa"/>
          </w:tcPr>
          <w:p w14:paraId="2DD13E97" w14:textId="77777777" w:rsidR="00561B22" w:rsidRPr="00CE4046" w:rsidRDefault="00561B22" w:rsidP="00F1223B">
            <w:pPr>
              <w:jc w:val="both"/>
              <w:rPr>
                <w:rFonts w:ascii="Arial" w:hAnsi="Arial" w:cs="Arial"/>
                <w:sz w:val="22"/>
                <w:szCs w:val="22"/>
              </w:rPr>
            </w:pPr>
            <w:r w:rsidRPr="00CE4046">
              <w:rPr>
                <w:rFonts w:ascii="Arial" w:hAnsi="Arial" w:cs="Arial"/>
                <w:sz w:val="22"/>
                <w:szCs w:val="22"/>
              </w:rPr>
              <w:t>Establecer y documentar un protocolo y/o calendario donde se indique la periodicidad, fechas y responsables de la publicación de los estados financieros en la página web de DANE, a partir de la normativa vigente, que permita publicar información oportunamente</w:t>
            </w:r>
          </w:p>
        </w:tc>
      </w:tr>
    </w:tbl>
    <w:p w14:paraId="6EA15C14" w14:textId="77777777" w:rsidR="00561B22" w:rsidRPr="00CE4046" w:rsidRDefault="00561B22" w:rsidP="00561B22">
      <w:pPr>
        <w:pStyle w:val="Textoindependiente"/>
        <w:ind w:right="-50"/>
        <w:jc w:val="both"/>
        <w:rPr>
          <w:rFonts w:ascii="Arial" w:hAnsi="Arial" w:cs="Arial"/>
          <w:b/>
          <w:bCs/>
        </w:rPr>
      </w:pPr>
    </w:p>
    <w:p w14:paraId="3F565FC8" w14:textId="77777777" w:rsidR="00561B22" w:rsidRDefault="00561B22" w:rsidP="00561B22">
      <w:pPr>
        <w:jc w:val="both"/>
        <w:rPr>
          <w:rFonts w:ascii="Arial" w:hAnsi="Arial" w:cs="Arial"/>
          <w:b/>
          <w:bCs/>
          <w:sz w:val="24"/>
          <w:szCs w:val="24"/>
          <w:lang w:val="es-CO"/>
        </w:rPr>
      </w:pPr>
      <w:r w:rsidRPr="00CE4046">
        <w:rPr>
          <w:rFonts w:ascii="Arial" w:hAnsi="Arial" w:cs="Arial"/>
          <w:b/>
          <w:bCs/>
          <w:sz w:val="24"/>
          <w:szCs w:val="24"/>
          <w:lang w:val="es-CO"/>
        </w:rPr>
        <w:t xml:space="preserve">NOTA: LA ENTIDAD ENVIA LA MATRIZ DE AUTOEVALUACIÓN DEL SISTEMA DE CONTROL INTERNO CONTABLE CON ACTIVIDADES DE CONTROL REALIZADAS </w:t>
      </w:r>
      <w:r w:rsidRPr="00CE4046">
        <w:rPr>
          <w:rFonts w:ascii="Arial" w:hAnsi="Arial" w:cs="Arial"/>
          <w:b/>
          <w:bCs/>
          <w:sz w:val="24"/>
          <w:szCs w:val="24"/>
          <w:u w:val="single"/>
          <w:lang w:val="es-CO"/>
        </w:rPr>
        <w:t>EN FORMA PARCIAL Y OTRAS SIMPLEMENTE INFORMAN QUE NO SE REALIZARON</w:t>
      </w:r>
      <w:r w:rsidRPr="00CE4046">
        <w:rPr>
          <w:rFonts w:ascii="Arial" w:hAnsi="Arial" w:cs="Arial"/>
          <w:b/>
          <w:bCs/>
          <w:sz w:val="24"/>
          <w:szCs w:val="24"/>
          <w:lang w:val="es-CO"/>
        </w:rPr>
        <w:t>.</w:t>
      </w:r>
    </w:p>
    <w:p w14:paraId="6FA54083" w14:textId="77777777" w:rsidR="00561B22" w:rsidRDefault="00561B22" w:rsidP="00561B22">
      <w:pPr>
        <w:jc w:val="both"/>
        <w:rPr>
          <w:rFonts w:ascii="Arial" w:hAnsi="Arial" w:cs="Arial"/>
          <w:b/>
          <w:bCs/>
          <w:sz w:val="24"/>
          <w:szCs w:val="24"/>
          <w:lang w:val="es-CO"/>
        </w:rPr>
      </w:pPr>
    </w:p>
    <w:p w14:paraId="31A8DF05" w14:textId="77777777" w:rsidR="00561B22" w:rsidRPr="00683C2B" w:rsidRDefault="00561B22" w:rsidP="00561B22">
      <w:pPr>
        <w:jc w:val="both"/>
        <w:rPr>
          <w:rFonts w:ascii="Arial" w:hAnsi="Arial" w:cs="Arial"/>
          <w:b/>
          <w:sz w:val="28"/>
          <w:szCs w:val="28"/>
          <w:lang w:val="es-MX"/>
        </w:rPr>
      </w:pPr>
      <w:r w:rsidRPr="00683C2B">
        <w:rPr>
          <w:rFonts w:ascii="Arial" w:hAnsi="Arial" w:cs="Arial"/>
          <w:b/>
          <w:sz w:val="28"/>
          <w:szCs w:val="28"/>
          <w:lang w:val="es-MX"/>
        </w:rPr>
        <w:t>286.- U.A.E. UNIDAD DE PROYECCIÓN NORMATIVA Y ESTUDIOS DE REGULACIÓN FINANCIERA – URF.</w:t>
      </w:r>
    </w:p>
    <w:p w14:paraId="36809F5B" w14:textId="77777777" w:rsidR="00561B22" w:rsidRDefault="00561B22" w:rsidP="00561B22">
      <w:pPr>
        <w:jc w:val="both"/>
        <w:rPr>
          <w:rFonts w:ascii="Arial" w:hAnsi="Arial" w:cs="Arial"/>
          <w:b/>
          <w:bCs/>
          <w:sz w:val="24"/>
          <w:szCs w:val="24"/>
          <w:lang w:val="es-MX"/>
        </w:rPr>
      </w:pPr>
    </w:p>
    <w:p w14:paraId="7F6E260B" w14:textId="77777777" w:rsidR="00561B22" w:rsidRPr="00683C2B" w:rsidRDefault="00561B22" w:rsidP="00561B22">
      <w:pPr>
        <w:pStyle w:val="Textoindependiente"/>
        <w:ind w:right="-50"/>
        <w:jc w:val="center"/>
        <w:rPr>
          <w:rFonts w:ascii="Arial" w:hAnsi="Arial" w:cs="Arial"/>
          <w:b/>
          <w:bCs/>
        </w:rPr>
      </w:pPr>
      <w:r w:rsidRPr="00683C2B">
        <w:rPr>
          <w:rFonts w:ascii="Arial" w:hAnsi="Arial" w:cs="Arial"/>
          <w:b/>
          <w:bCs/>
        </w:rPr>
        <w:t>INFORME DE LA AUTOCALIFICACIÓN DEL SISTEMA DE CONTROL INTERNO CONTABLE:</w:t>
      </w:r>
    </w:p>
    <w:p w14:paraId="3FB678D8" w14:textId="77777777" w:rsidR="00561B22" w:rsidRPr="00683C2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83C2B" w14:paraId="04502F10" w14:textId="77777777" w:rsidTr="00F1223B">
        <w:tc>
          <w:tcPr>
            <w:tcW w:w="4981" w:type="dxa"/>
          </w:tcPr>
          <w:p w14:paraId="5646D241" w14:textId="77777777" w:rsidR="00561B22" w:rsidRPr="00683C2B" w:rsidRDefault="00561B22" w:rsidP="00F1223B">
            <w:pPr>
              <w:jc w:val="center"/>
              <w:rPr>
                <w:rFonts w:ascii="Arial" w:hAnsi="Arial" w:cs="Arial"/>
                <w:b/>
                <w:sz w:val="22"/>
                <w:szCs w:val="22"/>
                <w:lang w:val="es-MX"/>
              </w:rPr>
            </w:pPr>
            <w:r w:rsidRPr="00683C2B">
              <w:rPr>
                <w:rFonts w:ascii="Arial" w:hAnsi="Arial" w:cs="Arial"/>
                <w:b/>
                <w:sz w:val="22"/>
                <w:szCs w:val="22"/>
                <w:lang w:val="es-MX"/>
              </w:rPr>
              <w:t>AUTOCALIFICACIÓN</w:t>
            </w:r>
          </w:p>
        </w:tc>
        <w:tc>
          <w:tcPr>
            <w:tcW w:w="4981" w:type="dxa"/>
          </w:tcPr>
          <w:p w14:paraId="75FCF501" w14:textId="77777777" w:rsidR="00561B22" w:rsidRPr="00683C2B" w:rsidRDefault="00561B22" w:rsidP="00F1223B">
            <w:pPr>
              <w:jc w:val="center"/>
              <w:rPr>
                <w:rFonts w:ascii="Arial" w:hAnsi="Arial" w:cs="Arial"/>
                <w:b/>
                <w:sz w:val="22"/>
                <w:szCs w:val="22"/>
                <w:u w:val="single"/>
                <w:lang w:val="es-MX"/>
              </w:rPr>
            </w:pPr>
            <w:r w:rsidRPr="00683C2B">
              <w:rPr>
                <w:rFonts w:ascii="Arial" w:hAnsi="Arial" w:cs="Arial"/>
                <w:b/>
                <w:sz w:val="22"/>
                <w:szCs w:val="22"/>
                <w:u w:val="single"/>
                <w:lang w:val="es-MX"/>
              </w:rPr>
              <w:t>5.00</w:t>
            </w:r>
          </w:p>
        </w:tc>
      </w:tr>
    </w:tbl>
    <w:p w14:paraId="132A2A7E" w14:textId="77777777" w:rsidR="00561B22" w:rsidRPr="00683C2B" w:rsidRDefault="00561B22" w:rsidP="00561B22">
      <w:pPr>
        <w:pStyle w:val="Textoindependiente"/>
        <w:ind w:right="-50"/>
        <w:jc w:val="both"/>
        <w:rPr>
          <w:rFonts w:ascii="Arial" w:hAnsi="Arial" w:cs="Arial"/>
          <w:b/>
          <w:bCs/>
        </w:rPr>
      </w:pPr>
    </w:p>
    <w:p w14:paraId="53ACE7A8" w14:textId="77777777" w:rsidR="00561B22" w:rsidRPr="00683C2B" w:rsidRDefault="00561B22" w:rsidP="00561B22">
      <w:pPr>
        <w:pStyle w:val="Textoindependiente"/>
        <w:ind w:right="-50"/>
        <w:jc w:val="both"/>
        <w:rPr>
          <w:rFonts w:ascii="Arial" w:hAnsi="Arial" w:cs="Arial"/>
          <w:b/>
          <w:bCs/>
        </w:rPr>
      </w:pPr>
      <w:r w:rsidRPr="00683C2B">
        <w:rPr>
          <w:rFonts w:ascii="Arial" w:hAnsi="Arial" w:cs="Arial"/>
          <w:b/>
          <w:bCs/>
        </w:rPr>
        <w:t>Del informe enviado retomamos lo siguiente:</w:t>
      </w:r>
    </w:p>
    <w:p w14:paraId="2B40079A" w14:textId="77777777" w:rsidR="00561B22" w:rsidRPr="00683C2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83C2B" w14:paraId="3F6D77C4" w14:textId="77777777" w:rsidTr="00F1223B">
        <w:tc>
          <w:tcPr>
            <w:tcW w:w="562" w:type="dxa"/>
          </w:tcPr>
          <w:p w14:paraId="5270642E" w14:textId="77777777" w:rsidR="00561B22" w:rsidRPr="00683C2B" w:rsidRDefault="00561B22" w:rsidP="00F1223B">
            <w:pPr>
              <w:ind w:right="-109"/>
              <w:jc w:val="center"/>
              <w:rPr>
                <w:rFonts w:ascii="Arial" w:hAnsi="Arial" w:cs="Arial"/>
                <w:b/>
                <w:sz w:val="22"/>
                <w:szCs w:val="22"/>
                <w:lang w:val="es-MX"/>
              </w:rPr>
            </w:pPr>
            <w:r w:rsidRPr="00683C2B">
              <w:rPr>
                <w:rFonts w:ascii="Arial" w:hAnsi="Arial" w:cs="Arial"/>
                <w:b/>
                <w:sz w:val="22"/>
                <w:szCs w:val="22"/>
                <w:lang w:val="es-MX"/>
              </w:rPr>
              <w:t>N°</w:t>
            </w:r>
          </w:p>
        </w:tc>
        <w:tc>
          <w:tcPr>
            <w:tcW w:w="9400" w:type="dxa"/>
          </w:tcPr>
          <w:p w14:paraId="3CC00C42" w14:textId="77777777" w:rsidR="00561B22" w:rsidRPr="00683C2B" w:rsidRDefault="00561B22" w:rsidP="00F1223B">
            <w:pPr>
              <w:jc w:val="center"/>
              <w:rPr>
                <w:rFonts w:ascii="Arial" w:hAnsi="Arial" w:cs="Arial"/>
                <w:b/>
                <w:sz w:val="22"/>
                <w:szCs w:val="22"/>
                <w:lang w:val="es-MX"/>
              </w:rPr>
            </w:pPr>
            <w:r w:rsidRPr="00683C2B">
              <w:rPr>
                <w:rFonts w:ascii="Arial" w:hAnsi="Arial" w:cs="Arial"/>
                <w:b/>
                <w:sz w:val="22"/>
                <w:szCs w:val="22"/>
                <w:lang w:val="es-MX"/>
              </w:rPr>
              <w:t>DEBILIDADES</w:t>
            </w:r>
          </w:p>
          <w:p w14:paraId="2EA307C2" w14:textId="77777777" w:rsidR="00561B22" w:rsidRPr="00683C2B" w:rsidRDefault="00561B22" w:rsidP="00F1223B">
            <w:pPr>
              <w:jc w:val="center"/>
              <w:rPr>
                <w:rFonts w:ascii="Arial" w:hAnsi="Arial" w:cs="Arial"/>
                <w:b/>
                <w:sz w:val="22"/>
                <w:szCs w:val="22"/>
                <w:lang w:val="es-MX"/>
              </w:rPr>
            </w:pPr>
          </w:p>
        </w:tc>
      </w:tr>
      <w:tr w:rsidR="00561B22" w:rsidRPr="00683C2B" w14:paraId="5014B966" w14:textId="77777777" w:rsidTr="00F1223B">
        <w:tc>
          <w:tcPr>
            <w:tcW w:w="562" w:type="dxa"/>
          </w:tcPr>
          <w:p w14:paraId="65986F52" w14:textId="77777777" w:rsidR="00561B22" w:rsidRPr="00683C2B" w:rsidRDefault="00561B22" w:rsidP="00F1223B">
            <w:pPr>
              <w:jc w:val="center"/>
              <w:rPr>
                <w:rFonts w:ascii="Arial" w:hAnsi="Arial" w:cs="Arial"/>
                <w:b/>
                <w:sz w:val="22"/>
                <w:szCs w:val="22"/>
                <w:lang w:val="es-MX"/>
              </w:rPr>
            </w:pPr>
            <w:r w:rsidRPr="00683C2B">
              <w:rPr>
                <w:rFonts w:ascii="Arial" w:hAnsi="Arial" w:cs="Arial"/>
                <w:b/>
                <w:sz w:val="22"/>
                <w:szCs w:val="22"/>
                <w:lang w:val="es-MX"/>
              </w:rPr>
              <w:t>1</w:t>
            </w:r>
          </w:p>
        </w:tc>
        <w:tc>
          <w:tcPr>
            <w:tcW w:w="9400" w:type="dxa"/>
          </w:tcPr>
          <w:p w14:paraId="23F383D1" w14:textId="77777777" w:rsidR="00561B22" w:rsidRPr="00683C2B" w:rsidRDefault="00561B22" w:rsidP="00F1223B">
            <w:pPr>
              <w:jc w:val="both"/>
              <w:rPr>
                <w:rFonts w:ascii="Arial" w:hAnsi="Arial" w:cs="Arial"/>
                <w:bCs/>
                <w:sz w:val="22"/>
                <w:szCs w:val="22"/>
                <w:lang w:val="es-MX"/>
              </w:rPr>
            </w:pPr>
            <w:r w:rsidRPr="00683C2B">
              <w:rPr>
                <w:rFonts w:ascii="Arial" w:hAnsi="Arial" w:cs="Arial"/>
                <w:bCs/>
                <w:sz w:val="22"/>
                <w:szCs w:val="22"/>
                <w:lang w:val="es-MX"/>
              </w:rPr>
              <w:t>Se identificó una oportunidad de mejora frente a la socialización de la documentación e instrumentos con los integrantes del proceso, de cara a los cambios administrativos que se presentaran en la vigencia 2025.</w:t>
            </w:r>
          </w:p>
        </w:tc>
      </w:tr>
    </w:tbl>
    <w:p w14:paraId="46195B0A" w14:textId="77777777" w:rsidR="00561B22" w:rsidRPr="00683C2B" w:rsidRDefault="00561B22" w:rsidP="00561B22">
      <w:pPr>
        <w:pStyle w:val="Textoindependiente"/>
        <w:ind w:right="-50"/>
        <w:jc w:val="both"/>
        <w:rPr>
          <w:rFonts w:ascii="Arial" w:hAnsi="Arial" w:cs="Arial"/>
          <w:b/>
          <w:bCs/>
        </w:rPr>
      </w:pPr>
    </w:p>
    <w:p w14:paraId="55C6786E" w14:textId="77777777" w:rsidR="00561B22" w:rsidRPr="00683C2B" w:rsidRDefault="00561B22" w:rsidP="00561B22">
      <w:pPr>
        <w:jc w:val="both"/>
        <w:rPr>
          <w:rFonts w:ascii="Arial" w:hAnsi="Arial" w:cs="Arial"/>
          <w:b/>
          <w:lang w:val="es-MX"/>
        </w:rPr>
      </w:pPr>
      <w:r w:rsidRPr="00683C2B">
        <w:rPr>
          <w:rFonts w:ascii="Arial" w:hAnsi="Arial" w:cs="Arial"/>
          <w:b/>
          <w:lang w:val="es-MX"/>
        </w:rPr>
        <w:t>Del citado informe retomamos las siguientes recomendaciones:</w:t>
      </w:r>
    </w:p>
    <w:p w14:paraId="3A070015" w14:textId="77777777" w:rsidR="00561B22" w:rsidRPr="00683C2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83C2B" w14:paraId="73173418" w14:textId="77777777" w:rsidTr="00F1223B">
        <w:tc>
          <w:tcPr>
            <w:tcW w:w="562" w:type="dxa"/>
          </w:tcPr>
          <w:p w14:paraId="399B0397" w14:textId="77777777" w:rsidR="00561B22" w:rsidRPr="00683C2B" w:rsidRDefault="00561B22" w:rsidP="00F1223B">
            <w:pPr>
              <w:ind w:right="-109"/>
              <w:jc w:val="center"/>
              <w:rPr>
                <w:rFonts w:ascii="Arial" w:hAnsi="Arial" w:cs="Arial"/>
                <w:b/>
                <w:sz w:val="22"/>
                <w:szCs w:val="22"/>
                <w:lang w:val="es-MX"/>
              </w:rPr>
            </w:pPr>
            <w:r w:rsidRPr="00683C2B">
              <w:rPr>
                <w:rFonts w:ascii="Arial" w:hAnsi="Arial" w:cs="Arial"/>
                <w:b/>
                <w:sz w:val="22"/>
                <w:szCs w:val="22"/>
                <w:lang w:val="es-MX"/>
              </w:rPr>
              <w:t>N°</w:t>
            </w:r>
          </w:p>
        </w:tc>
        <w:tc>
          <w:tcPr>
            <w:tcW w:w="9400" w:type="dxa"/>
          </w:tcPr>
          <w:p w14:paraId="0AE58928" w14:textId="77777777" w:rsidR="00561B22" w:rsidRPr="00683C2B" w:rsidRDefault="00561B22" w:rsidP="00F1223B">
            <w:pPr>
              <w:jc w:val="center"/>
              <w:rPr>
                <w:rFonts w:ascii="Arial" w:hAnsi="Arial" w:cs="Arial"/>
                <w:b/>
                <w:sz w:val="22"/>
                <w:szCs w:val="22"/>
                <w:lang w:val="es-MX"/>
              </w:rPr>
            </w:pPr>
            <w:r w:rsidRPr="00683C2B">
              <w:rPr>
                <w:rFonts w:ascii="Arial" w:hAnsi="Arial" w:cs="Arial"/>
                <w:b/>
                <w:sz w:val="22"/>
                <w:szCs w:val="22"/>
                <w:lang w:val="es-MX"/>
              </w:rPr>
              <w:t>RECOMENDACIONES</w:t>
            </w:r>
          </w:p>
          <w:p w14:paraId="22CB7A15" w14:textId="77777777" w:rsidR="00561B22" w:rsidRPr="00683C2B" w:rsidRDefault="00561B22" w:rsidP="00F1223B">
            <w:pPr>
              <w:jc w:val="center"/>
              <w:rPr>
                <w:rFonts w:ascii="Arial" w:hAnsi="Arial" w:cs="Arial"/>
                <w:b/>
                <w:sz w:val="22"/>
                <w:szCs w:val="22"/>
                <w:lang w:val="es-MX"/>
              </w:rPr>
            </w:pPr>
          </w:p>
        </w:tc>
      </w:tr>
      <w:tr w:rsidR="00561B22" w:rsidRPr="00683C2B" w14:paraId="065A8334" w14:textId="77777777" w:rsidTr="00F1223B">
        <w:tc>
          <w:tcPr>
            <w:tcW w:w="562" w:type="dxa"/>
          </w:tcPr>
          <w:p w14:paraId="5C366CF6" w14:textId="77777777" w:rsidR="00561B22" w:rsidRPr="00683C2B" w:rsidRDefault="00561B22" w:rsidP="00F1223B">
            <w:pPr>
              <w:jc w:val="center"/>
              <w:rPr>
                <w:rFonts w:ascii="Arial" w:hAnsi="Arial" w:cs="Arial"/>
                <w:b/>
                <w:sz w:val="22"/>
                <w:szCs w:val="22"/>
                <w:lang w:val="es-MX"/>
              </w:rPr>
            </w:pPr>
            <w:r w:rsidRPr="00683C2B">
              <w:rPr>
                <w:rFonts w:ascii="Arial" w:hAnsi="Arial" w:cs="Arial"/>
                <w:b/>
                <w:sz w:val="22"/>
                <w:szCs w:val="22"/>
                <w:lang w:val="es-MX"/>
              </w:rPr>
              <w:t>1</w:t>
            </w:r>
          </w:p>
        </w:tc>
        <w:tc>
          <w:tcPr>
            <w:tcW w:w="9400" w:type="dxa"/>
          </w:tcPr>
          <w:p w14:paraId="2EFEF71B" w14:textId="77777777" w:rsidR="00561B22" w:rsidRPr="00683C2B" w:rsidRDefault="00561B22" w:rsidP="00F1223B">
            <w:pPr>
              <w:jc w:val="both"/>
              <w:rPr>
                <w:rFonts w:ascii="Arial" w:hAnsi="Arial" w:cs="Arial"/>
                <w:bCs/>
                <w:sz w:val="22"/>
                <w:szCs w:val="22"/>
                <w:lang w:val="es-MX"/>
              </w:rPr>
            </w:pPr>
            <w:r w:rsidRPr="00683C2B">
              <w:rPr>
                <w:rFonts w:ascii="Arial" w:hAnsi="Arial" w:cs="Arial"/>
                <w:bCs/>
                <w:sz w:val="22"/>
                <w:szCs w:val="22"/>
                <w:lang w:val="es-MX"/>
              </w:rPr>
              <w:t>Se recomienda fortalecer la socialización de documentación e instrumentos con los integrantes del proceso, de cara a los cambios administrativos que se presentaran en la siguiente vigencia.</w:t>
            </w:r>
          </w:p>
        </w:tc>
      </w:tr>
    </w:tbl>
    <w:p w14:paraId="596824CD" w14:textId="77777777" w:rsidR="00561B22" w:rsidRPr="00683C2B" w:rsidRDefault="00561B22" w:rsidP="00561B22">
      <w:pPr>
        <w:jc w:val="both"/>
        <w:rPr>
          <w:rFonts w:ascii="Arial" w:hAnsi="Arial" w:cs="Arial"/>
          <w:b/>
          <w:bCs/>
          <w:sz w:val="24"/>
          <w:szCs w:val="24"/>
        </w:rPr>
      </w:pPr>
    </w:p>
    <w:p w14:paraId="0B58AE2F" w14:textId="77777777" w:rsidR="00561B22" w:rsidRPr="00C0040D" w:rsidRDefault="00561B22" w:rsidP="00561B22">
      <w:pPr>
        <w:jc w:val="both"/>
        <w:rPr>
          <w:rFonts w:ascii="Arial" w:hAnsi="Arial" w:cs="Arial"/>
          <w:b/>
          <w:sz w:val="28"/>
          <w:szCs w:val="28"/>
          <w:lang w:val="es-MX"/>
        </w:rPr>
      </w:pPr>
      <w:r>
        <w:rPr>
          <w:rFonts w:ascii="Arial" w:hAnsi="Arial" w:cs="Arial"/>
          <w:b/>
          <w:bCs/>
          <w:sz w:val="24"/>
          <w:szCs w:val="24"/>
          <w:lang w:val="es-CO"/>
        </w:rPr>
        <w:t xml:space="preserve"> </w:t>
      </w:r>
      <w:r w:rsidRPr="00C0040D">
        <w:rPr>
          <w:rFonts w:ascii="Arial" w:hAnsi="Arial" w:cs="Arial"/>
          <w:b/>
          <w:sz w:val="28"/>
          <w:szCs w:val="28"/>
          <w:lang w:val="es-MX"/>
        </w:rPr>
        <w:t>287.- CORPORACION AUTONOMA REGIONAL DEL CESAR - CORPOCESAR.</w:t>
      </w:r>
    </w:p>
    <w:p w14:paraId="641EEF27" w14:textId="77777777" w:rsidR="00561B22" w:rsidRPr="003D69B9" w:rsidRDefault="00561B22" w:rsidP="00561B22">
      <w:pPr>
        <w:pStyle w:val="Textoindependiente"/>
        <w:jc w:val="both"/>
        <w:rPr>
          <w:rFonts w:ascii="Arial" w:hAnsi="Arial" w:cs="Arial"/>
          <w:sz w:val="24"/>
          <w:szCs w:val="24"/>
        </w:rPr>
      </w:pPr>
    </w:p>
    <w:p w14:paraId="11C9A036" w14:textId="77777777" w:rsidR="00561B22" w:rsidRPr="00913E26" w:rsidRDefault="00561B22" w:rsidP="00561B22">
      <w:pPr>
        <w:pStyle w:val="Textoindependiente"/>
        <w:ind w:right="-50"/>
        <w:jc w:val="center"/>
        <w:rPr>
          <w:rFonts w:ascii="Arial" w:hAnsi="Arial" w:cs="Arial"/>
          <w:b/>
          <w:bCs/>
        </w:rPr>
      </w:pPr>
      <w:r w:rsidRPr="00913E26">
        <w:rPr>
          <w:rFonts w:ascii="Arial" w:hAnsi="Arial" w:cs="Arial"/>
          <w:b/>
          <w:bCs/>
        </w:rPr>
        <w:t>INFORME DE LA AUTOCALIFICACIÓN DEL SISTEMA DE CONTROL INTERNO CONTABLE:</w:t>
      </w:r>
    </w:p>
    <w:p w14:paraId="7F13E073" w14:textId="77777777" w:rsidR="00561B22" w:rsidRPr="00913E2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13E26" w14:paraId="71AF1646" w14:textId="77777777" w:rsidTr="00F1223B">
        <w:tc>
          <w:tcPr>
            <w:tcW w:w="4981" w:type="dxa"/>
          </w:tcPr>
          <w:p w14:paraId="38969BC1"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AUTOCALIFICACIÓN</w:t>
            </w:r>
          </w:p>
        </w:tc>
        <w:tc>
          <w:tcPr>
            <w:tcW w:w="4981" w:type="dxa"/>
          </w:tcPr>
          <w:p w14:paraId="04E21E3F" w14:textId="77777777" w:rsidR="00561B22" w:rsidRPr="00913E26" w:rsidRDefault="00561B22" w:rsidP="00F1223B">
            <w:pPr>
              <w:jc w:val="center"/>
              <w:rPr>
                <w:rFonts w:ascii="Arial" w:hAnsi="Arial" w:cs="Arial"/>
                <w:b/>
                <w:sz w:val="22"/>
                <w:szCs w:val="22"/>
                <w:u w:val="single"/>
                <w:lang w:val="es-MX"/>
              </w:rPr>
            </w:pPr>
            <w:r w:rsidRPr="00913E26">
              <w:rPr>
                <w:rFonts w:ascii="Arial" w:hAnsi="Arial" w:cs="Arial"/>
                <w:b/>
                <w:sz w:val="22"/>
                <w:szCs w:val="22"/>
                <w:u w:val="single"/>
                <w:lang w:val="es-MX"/>
              </w:rPr>
              <w:t>4.93</w:t>
            </w:r>
          </w:p>
        </w:tc>
      </w:tr>
    </w:tbl>
    <w:p w14:paraId="64F66EE4" w14:textId="77777777" w:rsidR="00561B22" w:rsidRPr="00913E26" w:rsidRDefault="00561B22" w:rsidP="00561B22">
      <w:pPr>
        <w:pStyle w:val="Textoindependiente"/>
        <w:ind w:right="-50"/>
        <w:jc w:val="both"/>
        <w:rPr>
          <w:rFonts w:ascii="Arial" w:hAnsi="Arial" w:cs="Arial"/>
          <w:b/>
          <w:bCs/>
        </w:rPr>
      </w:pPr>
    </w:p>
    <w:p w14:paraId="5D091D95" w14:textId="77777777" w:rsidR="00561B22" w:rsidRPr="00913E26" w:rsidRDefault="00561B22" w:rsidP="00561B22">
      <w:pPr>
        <w:pStyle w:val="Textoindependiente"/>
        <w:ind w:right="-50"/>
        <w:jc w:val="both"/>
        <w:rPr>
          <w:rFonts w:ascii="Arial" w:hAnsi="Arial" w:cs="Arial"/>
          <w:b/>
          <w:bCs/>
        </w:rPr>
      </w:pPr>
      <w:r w:rsidRPr="00913E26">
        <w:rPr>
          <w:rFonts w:ascii="Arial" w:hAnsi="Arial" w:cs="Arial"/>
          <w:b/>
          <w:bCs/>
        </w:rPr>
        <w:t>Del informe enviado retomamos lo siguiente:</w:t>
      </w:r>
    </w:p>
    <w:p w14:paraId="41C0C787" w14:textId="77777777" w:rsidR="00561B22" w:rsidRPr="00913E2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13E26" w14:paraId="2C2163B7" w14:textId="77777777" w:rsidTr="00F1223B">
        <w:tc>
          <w:tcPr>
            <w:tcW w:w="562" w:type="dxa"/>
          </w:tcPr>
          <w:p w14:paraId="1BB35D30" w14:textId="77777777" w:rsidR="00561B22" w:rsidRPr="00913E26" w:rsidRDefault="00561B22" w:rsidP="00F1223B">
            <w:pPr>
              <w:ind w:right="-109"/>
              <w:jc w:val="center"/>
              <w:rPr>
                <w:rFonts w:ascii="Arial" w:hAnsi="Arial" w:cs="Arial"/>
                <w:b/>
                <w:sz w:val="22"/>
                <w:szCs w:val="22"/>
                <w:lang w:val="es-MX"/>
              </w:rPr>
            </w:pPr>
            <w:r w:rsidRPr="00913E26">
              <w:rPr>
                <w:rFonts w:ascii="Arial" w:hAnsi="Arial" w:cs="Arial"/>
                <w:b/>
                <w:sz w:val="22"/>
                <w:szCs w:val="22"/>
                <w:lang w:val="es-MX"/>
              </w:rPr>
              <w:t>N°</w:t>
            </w:r>
          </w:p>
        </w:tc>
        <w:tc>
          <w:tcPr>
            <w:tcW w:w="9400" w:type="dxa"/>
          </w:tcPr>
          <w:p w14:paraId="4B0AB76E"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DEBILIDADES</w:t>
            </w:r>
          </w:p>
          <w:p w14:paraId="752BCB41" w14:textId="77777777" w:rsidR="00561B22" w:rsidRPr="00913E26" w:rsidRDefault="00561B22" w:rsidP="00F1223B">
            <w:pPr>
              <w:jc w:val="center"/>
              <w:rPr>
                <w:rFonts w:ascii="Arial" w:hAnsi="Arial" w:cs="Arial"/>
                <w:b/>
                <w:sz w:val="22"/>
                <w:szCs w:val="22"/>
                <w:lang w:val="es-MX"/>
              </w:rPr>
            </w:pPr>
          </w:p>
        </w:tc>
      </w:tr>
      <w:tr w:rsidR="00561B22" w:rsidRPr="00913E26" w14:paraId="37BDFFC2" w14:textId="77777777" w:rsidTr="00F1223B">
        <w:tc>
          <w:tcPr>
            <w:tcW w:w="562" w:type="dxa"/>
          </w:tcPr>
          <w:p w14:paraId="17FB3AED"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1</w:t>
            </w:r>
          </w:p>
        </w:tc>
        <w:tc>
          <w:tcPr>
            <w:tcW w:w="9400" w:type="dxa"/>
          </w:tcPr>
          <w:p w14:paraId="1C10489A"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 xml:space="preserve">El flujo de información es necesario fortalecerlo con el fin de evitar riesgos en la oportunidad de la misma, sobre todo en el cierre del periodo. </w:t>
            </w:r>
          </w:p>
        </w:tc>
      </w:tr>
      <w:tr w:rsidR="00561B22" w:rsidRPr="00913E26" w14:paraId="04EF94EB" w14:textId="77777777" w:rsidTr="00F1223B">
        <w:tc>
          <w:tcPr>
            <w:tcW w:w="562" w:type="dxa"/>
          </w:tcPr>
          <w:p w14:paraId="0F0977B7"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2</w:t>
            </w:r>
          </w:p>
        </w:tc>
        <w:tc>
          <w:tcPr>
            <w:tcW w:w="9400" w:type="dxa"/>
          </w:tcPr>
          <w:p w14:paraId="794270D5"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 xml:space="preserve">Se hace necesario fortalecer los canales de comunicación con la oficina jurídica para conciliar </w:t>
            </w:r>
            <w:r w:rsidRPr="00913E26">
              <w:rPr>
                <w:rFonts w:ascii="Arial" w:hAnsi="Arial" w:cs="Arial"/>
                <w:sz w:val="22"/>
                <w:szCs w:val="22"/>
              </w:rPr>
              <w:lastRenderedPageBreak/>
              <w:t>de manera oportuna los proceso a favor y en contra de la entidad para su reporte oportuno.</w:t>
            </w:r>
          </w:p>
        </w:tc>
      </w:tr>
      <w:tr w:rsidR="00561B22" w:rsidRPr="00913E26" w14:paraId="0F3B9F66" w14:textId="77777777" w:rsidTr="00F1223B">
        <w:tc>
          <w:tcPr>
            <w:tcW w:w="562" w:type="dxa"/>
          </w:tcPr>
          <w:p w14:paraId="7630A075"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lastRenderedPageBreak/>
              <w:t>3</w:t>
            </w:r>
          </w:p>
        </w:tc>
        <w:tc>
          <w:tcPr>
            <w:tcW w:w="9400" w:type="dxa"/>
          </w:tcPr>
          <w:p w14:paraId="4288A556"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 xml:space="preserve">Se hace necesario fortalecer las relaciones con los entes territoriales con la finalidad de establecer canales efectivos que permitan la verificación, conciliación y ajuste de operaciones recíprocas, y garantizar en forma adecuada la medición, reconocimiento y revelación de la totalidad de los hechos económicos y el debido soporte de éstos, para el oportuno flujo de información y documentación hacia el área contable. </w:t>
            </w:r>
          </w:p>
        </w:tc>
      </w:tr>
      <w:tr w:rsidR="00561B22" w:rsidRPr="00913E26" w14:paraId="3339A258" w14:textId="77777777" w:rsidTr="00F1223B">
        <w:tc>
          <w:tcPr>
            <w:tcW w:w="562" w:type="dxa"/>
          </w:tcPr>
          <w:p w14:paraId="7D5EC6A5"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4</w:t>
            </w:r>
          </w:p>
        </w:tc>
        <w:tc>
          <w:tcPr>
            <w:tcW w:w="9400" w:type="dxa"/>
          </w:tcPr>
          <w:p w14:paraId="37F7A9CB"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Se hace necesario hacer una revisión de las políticas contables y de ser necesario actualizarlas</w:t>
            </w:r>
          </w:p>
        </w:tc>
      </w:tr>
    </w:tbl>
    <w:p w14:paraId="4515DC64" w14:textId="77777777" w:rsidR="00561B22" w:rsidRPr="00913E26" w:rsidRDefault="00561B22" w:rsidP="00561B22">
      <w:pPr>
        <w:pStyle w:val="Textoindependiente"/>
        <w:ind w:right="-50"/>
        <w:jc w:val="both"/>
        <w:rPr>
          <w:rFonts w:ascii="Arial" w:hAnsi="Arial" w:cs="Arial"/>
          <w:b/>
          <w:bCs/>
        </w:rPr>
      </w:pPr>
    </w:p>
    <w:p w14:paraId="72B4BAAC" w14:textId="77777777" w:rsidR="00561B22" w:rsidRPr="00913E26" w:rsidRDefault="00561B22" w:rsidP="00561B22">
      <w:pPr>
        <w:jc w:val="both"/>
        <w:rPr>
          <w:rFonts w:ascii="Arial" w:hAnsi="Arial" w:cs="Arial"/>
          <w:b/>
          <w:lang w:val="es-MX"/>
        </w:rPr>
      </w:pPr>
      <w:r w:rsidRPr="00913E26">
        <w:rPr>
          <w:rFonts w:ascii="Arial" w:hAnsi="Arial" w:cs="Arial"/>
          <w:b/>
          <w:lang w:val="es-MX"/>
        </w:rPr>
        <w:t>Del citado informe retomamos las siguientes recomendaciones:</w:t>
      </w:r>
    </w:p>
    <w:p w14:paraId="1A6A4A3A" w14:textId="77777777" w:rsidR="00561B22" w:rsidRPr="00913E26"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913E26" w14:paraId="70318850" w14:textId="77777777" w:rsidTr="00F1223B">
        <w:tc>
          <w:tcPr>
            <w:tcW w:w="562" w:type="dxa"/>
          </w:tcPr>
          <w:p w14:paraId="7AAE62B7" w14:textId="77777777" w:rsidR="00561B22" w:rsidRPr="00913E26" w:rsidRDefault="00561B22" w:rsidP="00F1223B">
            <w:pPr>
              <w:ind w:right="-109"/>
              <w:jc w:val="center"/>
              <w:rPr>
                <w:rFonts w:ascii="Arial" w:hAnsi="Arial" w:cs="Arial"/>
                <w:b/>
                <w:sz w:val="22"/>
                <w:szCs w:val="22"/>
                <w:lang w:val="es-MX"/>
              </w:rPr>
            </w:pPr>
            <w:r w:rsidRPr="00913E26">
              <w:rPr>
                <w:rFonts w:ascii="Arial" w:hAnsi="Arial" w:cs="Arial"/>
                <w:b/>
                <w:sz w:val="22"/>
                <w:szCs w:val="22"/>
                <w:lang w:val="es-MX"/>
              </w:rPr>
              <w:t>N°</w:t>
            </w:r>
          </w:p>
        </w:tc>
        <w:tc>
          <w:tcPr>
            <w:tcW w:w="9400" w:type="dxa"/>
          </w:tcPr>
          <w:p w14:paraId="0F0E09E8"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RECOMENDACIONES</w:t>
            </w:r>
          </w:p>
          <w:p w14:paraId="289ED3D6" w14:textId="77777777" w:rsidR="00561B22" w:rsidRPr="00913E26" w:rsidRDefault="00561B22" w:rsidP="00F1223B">
            <w:pPr>
              <w:jc w:val="center"/>
              <w:rPr>
                <w:rFonts w:ascii="Arial" w:hAnsi="Arial" w:cs="Arial"/>
                <w:b/>
                <w:sz w:val="22"/>
                <w:szCs w:val="22"/>
                <w:lang w:val="es-MX"/>
              </w:rPr>
            </w:pPr>
          </w:p>
        </w:tc>
      </w:tr>
      <w:tr w:rsidR="00561B22" w:rsidRPr="00913E26" w14:paraId="4AA4749A" w14:textId="77777777" w:rsidTr="00F1223B">
        <w:tc>
          <w:tcPr>
            <w:tcW w:w="562" w:type="dxa"/>
          </w:tcPr>
          <w:p w14:paraId="37476185"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1</w:t>
            </w:r>
          </w:p>
        </w:tc>
        <w:tc>
          <w:tcPr>
            <w:tcW w:w="9400" w:type="dxa"/>
          </w:tcPr>
          <w:p w14:paraId="4874F9EA"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Revisión del manual de políticas contables, teniendo en cuenta los cambios que han podido ocurrir en la entidad, en el marco normativo, doctrina o guías emitidas por la CGN.</w:t>
            </w:r>
          </w:p>
        </w:tc>
      </w:tr>
      <w:tr w:rsidR="00561B22" w:rsidRPr="00913E26" w14:paraId="73B26B00" w14:textId="77777777" w:rsidTr="00F1223B">
        <w:tc>
          <w:tcPr>
            <w:tcW w:w="562" w:type="dxa"/>
          </w:tcPr>
          <w:p w14:paraId="221A15AF"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2</w:t>
            </w:r>
          </w:p>
        </w:tc>
        <w:tc>
          <w:tcPr>
            <w:tcW w:w="9400" w:type="dxa"/>
          </w:tcPr>
          <w:p w14:paraId="5DBE96F7"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 xml:space="preserve">Revisar los riesgos identificados del proceso de Gestión Financiera, la efectividad de los controles aplicados al proceso y evaluar la inclusión de los riesgos inherentes a la Contabilidad, con el fin de fortalecer su gestión con la implementación de acciones preventivas, correctivas y/o de mejora. </w:t>
            </w:r>
          </w:p>
        </w:tc>
      </w:tr>
      <w:tr w:rsidR="00561B22" w:rsidRPr="00913E26" w14:paraId="68F19F38" w14:textId="77777777" w:rsidTr="00F1223B">
        <w:tc>
          <w:tcPr>
            <w:tcW w:w="562" w:type="dxa"/>
          </w:tcPr>
          <w:p w14:paraId="1EBFE712" w14:textId="77777777" w:rsidR="00561B22" w:rsidRPr="00913E26" w:rsidRDefault="00561B22" w:rsidP="00F1223B">
            <w:pPr>
              <w:jc w:val="center"/>
              <w:rPr>
                <w:rFonts w:ascii="Arial" w:hAnsi="Arial" w:cs="Arial"/>
                <w:b/>
                <w:sz w:val="22"/>
                <w:szCs w:val="22"/>
                <w:lang w:val="es-MX"/>
              </w:rPr>
            </w:pPr>
            <w:r w:rsidRPr="00913E26">
              <w:rPr>
                <w:rFonts w:ascii="Arial" w:hAnsi="Arial" w:cs="Arial"/>
                <w:b/>
                <w:sz w:val="22"/>
                <w:szCs w:val="22"/>
                <w:lang w:val="es-MX"/>
              </w:rPr>
              <w:t>3</w:t>
            </w:r>
          </w:p>
        </w:tc>
        <w:tc>
          <w:tcPr>
            <w:tcW w:w="9400" w:type="dxa"/>
          </w:tcPr>
          <w:p w14:paraId="431071FC" w14:textId="77777777" w:rsidR="00561B22" w:rsidRPr="00913E26" w:rsidRDefault="00561B22" w:rsidP="00F1223B">
            <w:pPr>
              <w:jc w:val="both"/>
              <w:rPr>
                <w:rFonts w:ascii="Arial" w:hAnsi="Arial" w:cs="Arial"/>
                <w:sz w:val="22"/>
                <w:szCs w:val="22"/>
                <w:lang w:val="es-MX"/>
              </w:rPr>
            </w:pPr>
            <w:r w:rsidRPr="00913E26">
              <w:rPr>
                <w:rFonts w:ascii="Arial" w:hAnsi="Arial" w:cs="Arial"/>
                <w:sz w:val="22"/>
                <w:szCs w:val="22"/>
              </w:rPr>
              <w:t>Realizar de manera periódica mesas de trabajo con las áreas críticas en reporte de información oportuna.</w:t>
            </w:r>
          </w:p>
        </w:tc>
      </w:tr>
    </w:tbl>
    <w:p w14:paraId="18761CE9" w14:textId="77777777" w:rsidR="00561B22" w:rsidRPr="00913E26" w:rsidRDefault="00561B22" w:rsidP="00561B22">
      <w:pPr>
        <w:jc w:val="both"/>
        <w:rPr>
          <w:rFonts w:ascii="Arial" w:hAnsi="Arial" w:cs="Arial"/>
          <w:b/>
          <w:bCs/>
          <w:lang w:val="es-CO"/>
        </w:rPr>
      </w:pPr>
    </w:p>
    <w:p w14:paraId="063FC9E6" w14:textId="77777777" w:rsidR="00561B22" w:rsidRPr="00913E26" w:rsidRDefault="00561B22" w:rsidP="00561B22">
      <w:pPr>
        <w:jc w:val="both"/>
        <w:rPr>
          <w:rFonts w:ascii="Arial" w:hAnsi="Arial" w:cs="Arial"/>
          <w:b/>
          <w:bCs/>
          <w:sz w:val="24"/>
          <w:szCs w:val="24"/>
          <w:lang w:val="es-CO"/>
        </w:rPr>
      </w:pPr>
      <w:r w:rsidRPr="00913E26">
        <w:rPr>
          <w:rFonts w:ascii="Arial" w:hAnsi="Arial" w:cs="Arial"/>
          <w:b/>
          <w:bCs/>
          <w:sz w:val="24"/>
          <w:szCs w:val="24"/>
          <w:lang w:val="es-CO"/>
        </w:rPr>
        <w:t xml:space="preserve">NOTA: LA ENTIDAD ENVIA LA MATRIZ DE AUTOEVALUACIÓN DEL SISTEMA DE CONTROL INTERNO CONTABLE CON </w:t>
      </w:r>
      <w:r w:rsidRPr="00913E26">
        <w:rPr>
          <w:rFonts w:ascii="Arial" w:hAnsi="Arial" w:cs="Arial"/>
          <w:b/>
          <w:bCs/>
          <w:sz w:val="24"/>
          <w:szCs w:val="24"/>
          <w:u w:val="single"/>
          <w:lang w:val="es-CO"/>
        </w:rPr>
        <w:t>ACTIVIDADES DE CONTROL REALIZADAS EN FORMA PARCIAL</w:t>
      </w:r>
      <w:r w:rsidRPr="00913E26">
        <w:rPr>
          <w:rFonts w:ascii="Arial" w:hAnsi="Arial" w:cs="Arial"/>
          <w:b/>
          <w:bCs/>
          <w:sz w:val="24"/>
          <w:szCs w:val="24"/>
          <w:lang w:val="es-CO"/>
        </w:rPr>
        <w:t>.</w:t>
      </w:r>
    </w:p>
    <w:p w14:paraId="58313952" w14:textId="77777777" w:rsidR="00561B22" w:rsidRPr="00913E26" w:rsidRDefault="00561B22" w:rsidP="00561B22">
      <w:pPr>
        <w:pStyle w:val="Textoindependiente"/>
        <w:ind w:right="-50"/>
        <w:jc w:val="both"/>
        <w:rPr>
          <w:rFonts w:ascii="Arial" w:hAnsi="Arial" w:cs="Arial"/>
          <w:b/>
          <w:bCs/>
          <w:sz w:val="28"/>
          <w:szCs w:val="28"/>
        </w:rPr>
      </w:pPr>
    </w:p>
    <w:p w14:paraId="7370E48A" w14:textId="77777777" w:rsidR="00561B22" w:rsidRDefault="00561B22" w:rsidP="00561B22">
      <w:pPr>
        <w:jc w:val="both"/>
        <w:rPr>
          <w:rFonts w:ascii="Arial" w:hAnsi="Arial" w:cs="Arial"/>
          <w:b/>
          <w:sz w:val="28"/>
          <w:szCs w:val="28"/>
          <w:lang w:val="es-MX"/>
        </w:rPr>
      </w:pPr>
      <w:r w:rsidRPr="0011198C">
        <w:rPr>
          <w:rFonts w:ascii="Arial" w:hAnsi="Arial" w:cs="Arial"/>
          <w:b/>
          <w:sz w:val="28"/>
          <w:szCs w:val="28"/>
          <w:lang w:val="es-MX"/>
        </w:rPr>
        <w:t>288.- UNIVERSIDAD DEL CAUCA.</w:t>
      </w:r>
    </w:p>
    <w:p w14:paraId="4CFC7599" w14:textId="77777777" w:rsidR="00561B22" w:rsidRDefault="00561B22" w:rsidP="00561B22">
      <w:pPr>
        <w:jc w:val="both"/>
        <w:rPr>
          <w:rFonts w:ascii="Arial" w:hAnsi="Arial" w:cs="Arial"/>
          <w:b/>
          <w:sz w:val="28"/>
          <w:szCs w:val="28"/>
          <w:lang w:val="es-MX"/>
        </w:rPr>
      </w:pPr>
    </w:p>
    <w:p w14:paraId="0C3844FA" w14:textId="77777777" w:rsidR="00561B22" w:rsidRPr="0011198C" w:rsidRDefault="00561B22" w:rsidP="00561B22">
      <w:pPr>
        <w:pStyle w:val="Textoindependiente"/>
        <w:ind w:right="-50"/>
        <w:jc w:val="center"/>
        <w:rPr>
          <w:rFonts w:ascii="Arial" w:hAnsi="Arial" w:cs="Arial"/>
          <w:b/>
          <w:bCs/>
        </w:rPr>
      </w:pPr>
      <w:r w:rsidRPr="0011198C">
        <w:rPr>
          <w:rFonts w:ascii="Arial" w:hAnsi="Arial" w:cs="Arial"/>
          <w:b/>
          <w:bCs/>
        </w:rPr>
        <w:t>INFORME DE LA AUTOCALIFICACIÓN DEL SISTEMA DE CONTROL INTERNO CONTABLE:</w:t>
      </w:r>
    </w:p>
    <w:p w14:paraId="65BAEEDA" w14:textId="77777777" w:rsidR="00561B22" w:rsidRPr="0011198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1198C" w14:paraId="72042FE5" w14:textId="77777777" w:rsidTr="00F1223B">
        <w:tc>
          <w:tcPr>
            <w:tcW w:w="4981" w:type="dxa"/>
          </w:tcPr>
          <w:p w14:paraId="4F6A1EB3"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AUTOCALIFICACIÓN</w:t>
            </w:r>
          </w:p>
        </w:tc>
        <w:tc>
          <w:tcPr>
            <w:tcW w:w="4981" w:type="dxa"/>
          </w:tcPr>
          <w:p w14:paraId="35289C62" w14:textId="77777777" w:rsidR="00561B22" w:rsidRPr="0011198C" w:rsidRDefault="00561B22" w:rsidP="00F1223B">
            <w:pPr>
              <w:jc w:val="center"/>
              <w:rPr>
                <w:rFonts w:ascii="Arial" w:hAnsi="Arial" w:cs="Arial"/>
                <w:b/>
                <w:sz w:val="22"/>
                <w:szCs w:val="22"/>
                <w:u w:val="single"/>
                <w:lang w:val="es-MX"/>
              </w:rPr>
            </w:pPr>
            <w:r w:rsidRPr="0011198C">
              <w:rPr>
                <w:rFonts w:ascii="Arial" w:hAnsi="Arial" w:cs="Arial"/>
                <w:b/>
                <w:sz w:val="22"/>
                <w:szCs w:val="22"/>
                <w:u w:val="single"/>
                <w:lang w:val="es-MX"/>
              </w:rPr>
              <w:t>4.63</w:t>
            </w:r>
          </w:p>
        </w:tc>
      </w:tr>
    </w:tbl>
    <w:p w14:paraId="25AE4B4B" w14:textId="77777777" w:rsidR="00561B22" w:rsidRPr="0011198C" w:rsidRDefault="00561B22" w:rsidP="00561B22">
      <w:pPr>
        <w:pStyle w:val="Textoindependiente"/>
        <w:ind w:right="-50"/>
        <w:jc w:val="both"/>
        <w:rPr>
          <w:rFonts w:ascii="Arial" w:hAnsi="Arial" w:cs="Arial"/>
          <w:b/>
          <w:bCs/>
        </w:rPr>
      </w:pPr>
    </w:p>
    <w:p w14:paraId="2A8B53B0" w14:textId="77777777" w:rsidR="00561B22" w:rsidRPr="0011198C" w:rsidRDefault="00561B22" w:rsidP="00561B22">
      <w:pPr>
        <w:pStyle w:val="Textoindependiente"/>
        <w:ind w:right="-50"/>
        <w:jc w:val="both"/>
        <w:rPr>
          <w:rFonts w:ascii="Arial" w:hAnsi="Arial" w:cs="Arial"/>
          <w:b/>
          <w:bCs/>
        </w:rPr>
      </w:pPr>
      <w:r w:rsidRPr="0011198C">
        <w:rPr>
          <w:rFonts w:ascii="Arial" w:hAnsi="Arial" w:cs="Arial"/>
          <w:b/>
          <w:bCs/>
        </w:rPr>
        <w:t>Del informe enviado retomamos lo siguiente:</w:t>
      </w:r>
    </w:p>
    <w:p w14:paraId="3E165FCE" w14:textId="77777777" w:rsidR="00561B22" w:rsidRPr="0011198C"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1198C" w14:paraId="1FBE725E" w14:textId="77777777" w:rsidTr="00F1223B">
        <w:tc>
          <w:tcPr>
            <w:tcW w:w="562" w:type="dxa"/>
          </w:tcPr>
          <w:p w14:paraId="7B6625A5" w14:textId="77777777" w:rsidR="00561B22" w:rsidRPr="0011198C" w:rsidRDefault="00561B22" w:rsidP="00F1223B">
            <w:pPr>
              <w:ind w:right="-109"/>
              <w:jc w:val="center"/>
              <w:rPr>
                <w:rFonts w:ascii="Arial" w:hAnsi="Arial" w:cs="Arial"/>
                <w:b/>
                <w:sz w:val="22"/>
                <w:szCs w:val="22"/>
                <w:lang w:val="es-MX"/>
              </w:rPr>
            </w:pPr>
            <w:r w:rsidRPr="0011198C">
              <w:rPr>
                <w:rFonts w:ascii="Arial" w:hAnsi="Arial" w:cs="Arial"/>
                <w:b/>
                <w:sz w:val="22"/>
                <w:szCs w:val="22"/>
                <w:lang w:val="es-MX"/>
              </w:rPr>
              <w:t>N°</w:t>
            </w:r>
          </w:p>
        </w:tc>
        <w:tc>
          <w:tcPr>
            <w:tcW w:w="9400" w:type="dxa"/>
          </w:tcPr>
          <w:p w14:paraId="18BF138B"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DEBILIDADES</w:t>
            </w:r>
          </w:p>
          <w:p w14:paraId="755D84D9" w14:textId="77777777" w:rsidR="00561B22" w:rsidRPr="0011198C" w:rsidRDefault="00561B22" w:rsidP="00F1223B">
            <w:pPr>
              <w:jc w:val="center"/>
              <w:rPr>
                <w:rFonts w:ascii="Arial" w:hAnsi="Arial" w:cs="Arial"/>
                <w:b/>
                <w:sz w:val="22"/>
                <w:szCs w:val="22"/>
                <w:lang w:val="es-MX"/>
              </w:rPr>
            </w:pPr>
          </w:p>
        </w:tc>
      </w:tr>
      <w:tr w:rsidR="00561B22" w:rsidRPr="0011198C" w14:paraId="28E49283" w14:textId="77777777" w:rsidTr="00F1223B">
        <w:tc>
          <w:tcPr>
            <w:tcW w:w="562" w:type="dxa"/>
          </w:tcPr>
          <w:p w14:paraId="68364B99"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1</w:t>
            </w:r>
          </w:p>
        </w:tc>
        <w:tc>
          <w:tcPr>
            <w:tcW w:w="9400" w:type="dxa"/>
          </w:tcPr>
          <w:p w14:paraId="05FF296B" w14:textId="77777777" w:rsidR="00561B22" w:rsidRPr="0011198C" w:rsidRDefault="00561B22" w:rsidP="00F1223B">
            <w:pPr>
              <w:jc w:val="both"/>
              <w:rPr>
                <w:rFonts w:ascii="Arial" w:hAnsi="Arial" w:cs="Arial"/>
                <w:sz w:val="22"/>
                <w:szCs w:val="22"/>
              </w:rPr>
            </w:pPr>
            <w:r w:rsidRPr="0011198C">
              <w:rPr>
                <w:rFonts w:ascii="Arial" w:hAnsi="Arial" w:cs="Arial"/>
                <w:sz w:val="22"/>
                <w:szCs w:val="22"/>
              </w:rPr>
              <w:t>Falta realizar el proceso de identificación, clasificación, registro y control de los bienes históricos de Arte y Cultura.</w:t>
            </w:r>
          </w:p>
        </w:tc>
      </w:tr>
      <w:tr w:rsidR="00561B22" w:rsidRPr="0011198C" w14:paraId="5C06E230" w14:textId="77777777" w:rsidTr="00F1223B">
        <w:tc>
          <w:tcPr>
            <w:tcW w:w="562" w:type="dxa"/>
          </w:tcPr>
          <w:p w14:paraId="63D57E9C"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2</w:t>
            </w:r>
          </w:p>
        </w:tc>
        <w:tc>
          <w:tcPr>
            <w:tcW w:w="9400" w:type="dxa"/>
          </w:tcPr>
          <w:p w14:paraId="10670A68"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 xml:space="preserve">Falta de documentación sobre la socialización de normas internas y externas, así como de procedimientos, herramientas e instrumentos, con el personal involucrado en el proceso contable, lo que impide evidenciar si dichos elementos son conocidos por todas las áreas interesadas. </w:t>
            </w:r>
          </w:p>
        </w:tc>
      </w:tr>
      <w:tr w:rsidR="00561B22" w:rsidRPr="0011198C" w14:paraId="7A6F7B5A" w14:textId="77777777" w:rsidTr="00F1223B">
        <w:tc>
          <w:tcPr>
            <w:tcW w:w="562" w:type="dxa"/>
          </w:tcPr>
          <w:p w14:paraId="0F20444D"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3</w:t>
            </w:r>
          </w:p>
        </w:tc>
        <w:tc>
          <w:tcPr>
            <w:tcW w:w="9400" w:type="dxa"/>
          </w:tcPr>
          <w:p w14:paraId="63E8F0EC"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Deficiencias en el cruce y la validación de la información entre las diferentes áreas, lo que puede generar incoherencias o errores en el proceso contable</w:t>
            </w:r>
          </w:p>
        </w:tc>
      </w:tr>
      <w:tr w:rsidR="00561B22" w:rsidRPr="0011198C" w14:paraId="6C268EBE" w14:textId="77777777" w:rsidTr="00F1223B">
        <w:tc>
          <w:tcPr>
            <w:tcW w:w="562" w:type="dxa"/>
          </w:tcPr>
          <w:p w14:paraId="21DC21EF"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4</w:t>
            </w:r>
          </w:p>
        </w:tc>
        <w:tc>
          <w:tcPr>
            <w:tcW w:w="9400" w:type="dxa"/>
          </w:tcPr>
          <w:p w14:paraId="150E9994"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 xml:space="preserve">Pendiente la resolución del proceso de depuración de saldos de anticipos, conforme a los hallazgos identificados por la Contraloría General de la República en vigencias anteriores. </w:t>
            </w:r>
          </w:p>
        </w:tc>
      </w:tr>
      <w:tr w:rsidR="00561B22" w:rsidRPr="0011198C" w14:paraId="12E54CFD" w14:textId="77777777" w:rsidTr="00F1223B">
        <w:tc>
          <w:tcPr>
            <w:tcW w:w="562" w:type="dxa"/>
          </w:tcPr>
          <w:p w14:paraId="1E3EEFE8"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5</w:t>
            </w:r>
          </w:p>
        </w:tc>
        <w:tc>
          <w:tcPr>
            <w:tcW w:w="9400" w:type="dxa"/>
          </w:tcPr>
          <w:p w14:paraId="6F866BDF"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Déficit en la identificación de los riesgos contables, lo que limita la capacidad de anticipar y mitigar posibles impactos financieros negativos.</w:t>
            </w:r>
          </w:p>
        </w:tc>
      </w:tr>
      <w:tr w:rsidR="00561B22" w:rsidRPr="0011198C" w14:paraId="0FFF3E2F" w14:textId="77777777" w:rsidTr="00F1223B">
        <w:tc>
          <w:tcPr>
            <w:tcW w:w="562" w:type="dxa"/>
          </w:tcPr>
          <w:p w14:paraId="01C74CDF" w14:textId="77777777" w:rsidR="00561B22" w:rsidRPr="0011198C" w:rsidRDefault="00561B22" w:rsidP="00F1223B">
            <w:pPr>
              <w:jc w:val="center"/>
              <w:rPr>
                <w:rFonts w:ascii="Arial" w:hAnsi="Arial" w:cs="Arial"/>
                <w:b/>
                <w:sz w:val="22"/>
                <w:szCs w:val="22"/>
                <w:lang w:val="es-MX"/>
              </w:rPr>
            </w:pPr>
          </w:p>
        </w:tc>
        <w:tc>
          <w:tcPr>
            <w:tcW w:w="9400" w:type="dxa"/>
          </w:tcPr>
          <w:p w14:paraId="55DCBB03"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 xml:space="preserve">No se evidencia la realización de actividades de capacitación para todo el personal involucrado en el proceso contable, lo que puede afectar la eficiencia y el conocimiento actualizado de los procedimientos. </w:t>
            </w:r>
          </w:p>
        </w:tc>
      </w:tr>
      <w:tr w:rsidR="00561B22" w:rsidRPr="0011198C" w14:paraId="3B87B9C4" w14:textId="77777777" w:rsidTr="00F1223B">
        <w:tc>
          <w:tcPr>
            <w:tcW w:w="562" w:type="dxa"/>
          </w:tcPr>
          <w:p w14:paraId="4E013E41"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6</w:t>
            </w:r>
          </w:p>
        </w:tc>
        <w:tc>
          <w:tcPr>
            <w:tcW w:w="9400" w:type="dxa"/>
          </w:tcPr>
          <w:p w14:paraId="20BE31C3"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 xml:space="preserve">Se identifican procedimientos desactualizados o en proceso de actualización, lo que podría </w:t>
            </w:r>
            <w:r w:rsidRPr="0011198C">
              <w:rPr>
                <w:rFonts w:ascii="Arial" w:hAnsi="Arial" w:cs="Arial"/>
                <w:sz w:val="22"/>
                <w:szCs w:val="22"/>
                <w:lang w:val="es-CO"/>
              </w:rPr>
              <w:lastRenderedPageBreak/>
              <w:t>generar inconsistencias o falta De alineación con las normativas vigentes.</w:t>
            </w:r>
          </w:p>
        </w:tc>
      </w:tr>
      <w:tr w:rsidR="00561B22" w:rsidRPr="0011198C" w14:paraId="26280367" w14:textId="77777777" w:rsidTr="00F1223B">
        <w:tc>
          <w:tcPr>
            <w:tcW w:w="562" w:type="dxa"/>
          </w:tcPr>
          <w:p w14:paraId="60EE6952"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lastRenderedPageBreak/>
              <w:t>7</w:t>
            </w:r>
          </w:p>
        </w:tc>
        <w:tc>
          <w:tcPr>
            <w:tcW w:w="9400" w:type="dxa"/>
          </w:tcPr>
          <w:p w14:paraId="354B55D1"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 xml:space="preserve">No se dispone de un documento que contemple el flujo de información, en el que se detallen los proveedores y receptores de la información relacionada con los hechos económicos generados en la Unidad de Salud. </w:t>
            </w:r>
          </w:p>
        </w:tc>
      </w:tr>
      <w:tr w:rsidR="00561B22" w:rsidRPr="0011198C" w14:paraId="78377214" w14:textId="77777777" w:rsidTr="00F1223B">
        <w:tc>
          <w:tcPr>
            <w:tcW w:w="562" w:type="dxa"/>
          </w:tcPr>
          <w:p w14:paraId="68173D0A"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8</w:t>
            </w:r>
          </w:p>
        </w:tc>
        <w:tc>
          <w:tcPr>
            <w:tcW w:w="9400" w:type="dxa"/>
          </w:tcPr>
          <w:p w14:paraId="5E8D926E" w14:textId="77777777" w:rsidR="00561B22" w:rsidRPr="0011198C" w:rsidRDefault="00561B22" w:rsidP="00F1223B">
            <w:pPr>
              <w:jc w:val="both"/>
              <w:rPr>
                <w:rFonts w:ascii="Arial" w:hAnsi="Arial" w:cs="Arial"/>
                <w:sz w:val="22"/>
                <w:szCs w:val="22"/>
                <w:lang w:val="es-MX"/>
              </w:rPr>
            </w:pPr>
            <w:r w:rsidRPr="0011198C">
              <w:rPr>
                <w:rFonts w:ascii="Arial" w:hAnsi="Arial" w:cs="Arial"/>
                <w:sz w:val="22"/>
                <w:szCs w:val="22"/>
                <w:lang w:val="es-CO"/>
              </w:rPr>
              <w:t>El Manual de Funciones de la Unidad de Salud se encuentra desactualizado, lo que dificulta la correcta asignación de responsabilidades y la actualización de los procesos internos</w:t>
            </w:r>
          </w:p>
        </w:tc>
      </w:tr>
    </w:tbl>
    <w:p w14:paraId="02206D98" w14:textId="77777777" w:rsidR="00561B22" w:rsidRPr="0011198C" w:rsidRDefault="00561B22" w:rsidP="00561B22">
      <w:pPr>
        <w:pStyle w:val="Textoindependiente"/>
        <w:ind w:right="-50"/>
        <w:jc w:val="both"/>
        <w:rPr>
          <w:rFonts w:ascii="Arial" w:hAnsi="Arial" w:cs="Arial"/>
          <w:b/>
          <w:bCs/>
        </w:rPr>
      </w:pPr>
    </w:p>
    <w:p w14:paraId="31190B4E" w14:textId="77777777" w:rsidR="00561B22" w:rsidRPr="0011198C" w:rsidRDefault="00561B22" w:rsidP="00561B22">
      <w:pPr>
        <w:jc w:val="both"/>
        <w:rPr>
          <w:rFonts w:ascii="Arial" w:hAnsi="Arial" w:cs="Arial"/>
          <w:b/>
          <w:lang w:val="es-MX"/>
        </w:rPr>
      </w:pPr>
      <w:r w:rsidRPr="0011198C">
        <w:rPr>
          <w:rFonts w:ascii="Arial" w:hAnsi="Arial" w:cs="Arial"/>
          <w:b/>
          <w:lang w:val="es-MX"/>
        </w:rPr>
        <w:t>Del citado informe retomamos las siguientes recomendaciones:</w:t>
      </w:r>
    </w:p>
    <w:p w14:paraId="28D373D3" w14:textId="77777777" w:rsidR="00561B22" w:rsidRPr="0011198C"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11198C" w14:paraId="18CCD186" w14:textId="77777777" w:rsidTr="00F1223B">
        <w:tc>
          <w:tcPr>
            <w:tcW w:w="562" w:type="dxa"/>
          </w:tcPr>
          <w:p w14:paraId="530F30E1" w14:textId="77777777" w:rsidR="00561B22" w:rsidRPr="0011198C" w:rsidRDefault="00561B22" w:rsidP="00F1223B">
            <w:pPr>
              <w:ind w:right="-109"/>
              <w:jc w:val="center"/>
              <w:rPr>
                <w:rFonts w:ascii="Arial" w:hAnsi="Arial" w:cs="Arial"/>
                <w:b/>
                <w:sz w:val="22"/>
                <w:szCs w:val="22"/>
                <w:lang w:val="es-MX"/>
              </w:rPr>
            </w:pPr>
            <w:r w:rsidRPr="0011198C">
              <w:rPr>
                <w:rFonts w:ascii="Arial" w:hAnsi="Arial" w:cs="Arial"/>
                <w:b/>
                <w:sz w:val="22"/>
                <w:szCs w:val="22"/>
                <w:lang w:val="es-MX"/>
              </w:rPr>
              <w:t>N°</w:t>
            </w:r>
          </w:p>
        </w:tc>
        <w:tc>
          <w:tcPr>
            <w:tcW w:w="9400" w:type="dxa"/>
          </w:tcPr>
          <w:p w14:paraId="08D30FAB"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RECOMENDACIONES</w:t>
            </w:r>
          </w:p>
          <w:p w14:paraId="240CC420" w14:textId="77777777" w:rsidR="00561B22" w:rsidRPr="0011198C" w:rsidRDefault="00561B22" w:rsidP="00F1223B">
            <w:pPr>
              <w:jc w:val="center"/>
              <w:rPr>
                <w:rFonts w:ascii="Arial" w:hAnsi="Arial" w:cs="Arial"/>
                <w:b/>
                <w:sz w:val="22"/>
                <w:szCs w:val="22"/>
                <w:lang w:val="es-MX"/>
              </w:rPr>
            </w:pPr>
          </w:p>
        </w:tc>
      </w:tr>
      <w:tr w:rsidR="00561B22" w:rsidRPr="0011198C" w14:paraId="4F8E3D6E" w14:textId="77777777" w:rsidTr="00F1223B">
        <w:tc>
          <w:tcPr>
            <w:tcW w:w="562" w:type="dxa"/>
          </w:tcPr>
          <w:p w14:paraId="048EC99D"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1</w:t>
            </w:r>
          </w:p>
        </w:tc>
        <w:tc>
          <w:tcPr>
            <w:tcW w:w="9400" w:type="dxa"/>
          </w:tcPr>
          <w:p w14:paraId="74D94DE5"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 xml:space="preserve">Impulsar la toma y registro contable del inventario físico de los bienes de arte y cultura de la Universidad, dada la importancia de su adecuada gestión y conservación. La Institución posee bienes de alto valor histórico y patrimonial, algunos de los cuales son de gran antigüedad, y se ha evidenciado la ausencia de un inventario general actualizado que permita su correcta administración. La falta de un registro contable y físico detallado puede generar riesgos asociados a la pérdida, deterioro o falta de trazabilidad de estos bienes, afectando su preservación y el cumplimiento de normativas de control patrimonial. </w:t>
            </w:r>
          </w:p>
        </w:tc>
      </w:tr>
      <w:tr w:rsidR="00561B22" w:rsidRPr="0011198C" w14:paraId="3D4D3847" w14:textId="77777777" w:rsidTr="00F1223B">
        <w:tc>
          <w:tcPr>
            <w:tcW w:w="562" w:type="dxa"/>
          </w:tcPr>
          <w:p w14:paraId="1ED78CE4"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2</w:t>
            </w:r>
          </w:p>
        </w:tc>
        <w:tc>
          <w:tcPr>
            <w:tcW w:w="9400" w:type="dxa"/>
          </w:tcPr>
          <w:p w14:paraId="4E44B7D5"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Socializar de manera periódica las normas, procedimientos y demás herramientas de índole contable con todo el personal involucrado en el proceso contable de la Universidad; la correcta comprensión y aplicación de estas directrices es fundamental para garantizar la transparencia, la eficiencia y el cumplimiento normativo en la gestión financiera, además  guardar un registro formal de las sesiones de socialización, incluyendo asistencia, con el fin de evidenciar su desarrollo y contar con una referencia para futuras actualizaciones o auditorías, esta práctica fortalecerá la cultura de control y mejora continua dentro del proceso contable Universitario.</w:t>
            </w:r>
          </w:p>
        </w:tc>
      </w:tr>
      <w:tr w:rsidR="00561B22" w:rsidRPr="0011198C" w14:paraId="136A0734" w14:textId="77777777" w:rsidTr="00F1223B">
        <w:tc>
          <w:tcPr>
            <w:tcW w:w="562" w:type="dxa"/>
          </w:tcPr>
          <w:p w14:paraId="5674C3B9"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3</w:t>
            </w:r>
          </w:p>
        </w:tc>
        <w:tc>
          <w:tcPr>
            <w:tcW w:w="9400" w:type="dxa"/>
          </w:tcPr>
          <w:p w14:paraId="5885786E"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Establecer estrategias efectivas para fortalecer la comunicación entre las diferentes dependencias donde se generan hechos económicos dentro de la institución. Una comunicación clara y oportuna es clave para garantizar la coherencia y precisión en el registro, análisis y control de la información financiera, evitando inconsistencias que puedan afectar la gestión contable y administrativa.</w:t>
            </w:r>
          </w:p>
        </w:tc>
      </w:tr>
      <w:tr w:rsidR="00561B22" w:rsidRPr="0011198C" w14:paraId="730C3D57" w14:textId="77777777" w:rsidTr="00F1223B">
        <w:tc>
          <w:tcPr>
            <w:tcW w:w="562" w:type="dxa"/>
          </w:tcPr>
          <w:p w14:paraId="65A3174D"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4</w:t>
            </w:r>
          </w:p>
        </w:tc>
        <w:tc>
          <w:tcPr>
            <w:tcW w:w="9400" w:type="dxa"/>
          </w:tcPr>
          <w:p w14:paraId="3CC1D4C4"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Fortalecer los procesos de identificación de riesgos en la División de Gestión financiera donde se involucren al grupo de Gestión Contable, presupuesto y tesorería; implementar controles y mecanismos de seguimiento más efectivos permiten detectar y mitigar oportunamente posibles impactos negativos. Una gestión de riesgos más robusta contribuirá a la estabilidad financiera y al cumplimiento de los objetivos institucionales con mayor seguridad y transparencia.</w:t>
            </w:r>
          </w:p>
        </w:tc>
      </w:tr>
      <w:tr w:rsidR="00561B22" w:rsidRPr="0011198C" w14:paraId="0663055F" w14:textId="77777777" w:rsidTr="00F1223B">
        <w:tc>
          <w:tcPr>
            <w:tcW w:w="562" w:type="dxa"/>
          </w:tcPr>
          <w:p w14:paraId="379A2027"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5</w:t>
            </w:r>
          </w:p>
        </w:tc>
        <w:tc>
          <w:tcPr>
            <w:tcW w:w="9400" w:type="dxa"/>
          </w:tcPr>
          <w:p w14:paraId="2ED04139"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Establecer un programa de capacitación para las unidades 1 y 2 dentro de la División de Gestión Financiera que involucre a los grupos Contable, presupuestal y de tesorería, esta iniciativa contribuirá al fortalecimiento del conocimiento y aplicación de normativas contables, presupuestales y financieras, reduciendo errores y asegurando el cumplimiento de regulaciones, asegurando una administración más efectiva y alineada con los objetivos institucionales</w:t>
            </w:r>
          </w:p>
        </w:tc>
      </w:tr>
      <w:tr w:rsidR="00561B22" w:rsidRPr="0011198C" w14:paraId="4DE99DAD" w14:textId="77777777" w:rsidTr="00F1223B">
        <w:tc>
          <w:tcPr>
            <w:tcW w:w="562" w:type="dxa"/>
          </w:tcPr>
          <w:p w14:paraId="1FD1C2F0"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6</w:t>
            </w:r>
          </w:p>
        </w:tc>
        <w:tc>
          <w:tcPr>
            <w:tcW w:w="9400" w:type="dxa"/>
          </w:tcPr>
          <w:p w14:paraId="4D303838"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Impulsar la actualización de los procedimientos relacionados con el proceso contable, con el fin de garantizar el cumplimiento de la normativa vigente, y la mejorar la eficiencia y transparencia de la gestión financiera de la Universidad del Cauca</w:t>
            </w:r>
          </w:p>
        </w:tc>
      </w:tr>
      <w:tr w:rsidR="00561B22" w:rsidRPr="0011198C" w14:paraId="1F9E36CC" w14:textId="77777777" w:rsidTr="00F1223B">
        <w:tc>
          <w:tcPr>
            <w:tcW w:w="562" w:type="dxa"/>
          </w:tcPr>
          <w:p w14:paraId="1652CDD1"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7</w:t>
            </w:r>
          </w:p>
        </w:tc>
        <w:tc>
          <w:tcPr>
            <w:tcW w:w="9400" w:type="dxa"/>
          </w:tcPr>
          <w:p w14:paraId="01AE87D9"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Elaborar un documento que estructure y refleje de manera clara el flujo de información entre los proveedores y receptores dentro de la Unidad de Salud. Este documento permitirá identificar cómo se genera, transmite, procesa y utiliza la información dentro de la unidad, garantizando una comunicación más eficiente y organizada.</w:t>
            </w:r>
          </w:p>
        </w:tc>
      </w:tr>
      <w:tr w:rsidR="00561B22" w:rsidRPr="0011198C" w14:paraId="23A16A95" w14:textId="77777777" w:rsidTr="00F1223B">
        <w:tc>
          <w:tcPr>
            <w:tcW w:w="562" w:type="dxa"/>
          </w:tcPr>
          <w:p w14:paraId="13A8F4F9" w14:textId="77777777" w:rsidR="00561B22" w:rsidRPr="0011198C" w:rsidRDefault="00561B22" w:rsidP="00F1223B">
            <w:pPr>
              <w:jc w:val="center"/>
              <w:rPr>
                <w:rFonts w:ascii="Arial" w:hAnsi="Arial" w:cs="Arial"/>
                <w:b/>
                <w:sz w:val="22"/>
                <w:szCs w:val="22"/>
                <w:lang w:val="es-MX"/>
              </w:rPr>
            </w:pPr>
            <w:r w:rsidRPr="0011198C">
              <w:rPr>
                <w:rFonts w:ascii="Arial" w:hAnsi="Arial" w:cs="Arial"/>
                <w:b/>
                <w:sz w:val="22"/>
                <w:szCs w:val="22"/>
                <w:lang w:val="es-MX"/>
              </w:rPr>
              <w:t>8</w:t>
            </w:r>
          </w:p>
        </w:tc>
        <w:tc>
          <w:tcPr>
            <w:tcW w:w="9400" w:type="dxa"/>
          </w:tcPr>
          <w:p w14:paraId="53CABC2A" w14:textId="77777777" w:rsidR="00561B22" w:rsidRPr="0011198C" w:rsidRDefault="00561B22" w:rsidP="00F1223B">
            <w:pPr>
              <w:jc w:val="both"/>
              <w:rPr>
                <w:rFonts w:ascii="Arial" w:hAnsi="Arial" w:cs="Arial"/>
                <w:sz w:val="22"/>
                <w:szCs w:val="22"/>
                <w:lang w:val="es-CO"/>
              </w:rPr>
            </w:pPr>
            <w:r w:rsidRPr="0011198C">
              <w:rPr>
                <w:rFonts w:ascii="Arial" w:hAnsi="Arial" w:cs="Arial"/>
                <w:sz w:val="22"/>
                <w:szCs w:val="22"/>
                <w:lang w:val="es-CO"/>
              </w:rPr>
              <w:t xml:space="preserve">Actualizar y socializar el Manual de Funciones de la Unidad de Salud de la Universidad, asegurando que esté alineado con la estructura organizativa vigente y responda a las necesidades operativas y estratégicas de la Unidad; implementar esta acción contribuirá a una mejor gestión del talento humano y al fortalecimiento de la Unidad de Salud dentro del marco </w:t>
            </w:r>
            <w:r w:rsidRPr="0011198C">
              <w:rPr>
                <w:rFonts w:ascii="Arial" w:hAnsi="Arial" w:cs="Arial"/>
                <w:sz w:val="22"/>
                <w:szCs w:val="22"/>
                <w:lang w:val="es-CO"/>
              </w:rPr>
              <w:lastRenderedPageBreak/>
              <w:t>organizacional de la Universidad.</w:t>
            </w:r>
          </w:p>
        </w:tc>
      </w:tr>
    </w:tbl>
    <w:p w14:paraId="02828902" w14:textId="77777777" w:rsidR="00561B22" w:rsidRPr="0011198C" w:rsidRDefault="00561B22" w:rsidP="00561B22">
      <w:pPr>
        <w:pStyle w:val="Textoindependiente"/>
        <w:ind w:right="-50"/>
        <w:jc w:val="both"/>
        <w:rPr>
          <w:rFonts w:ascii="Arial" w:hAnsi="Arial" w:cs="Arial"/>
          <w:b/>
          <w:bCs/>
        </w:rPr>
      </w:pPr>
    </w:p>
    <w:p w14:paraId="64CED203" w14:textId="77777777" w:rsidR="00561B22" w:rsidRPr="0011198C" w:rsidRDefault="00561B22" w:rsidP="00561B22">
      <w:pPr>
        <w:jc w:val="both"/>
        <w:rPr>
          <w:rFonts w:ascii="Arial" w:hAnsi="Arial" w:cs="Arial"/>
          <w:b/>
          <w:bCs/>
          <w:sz w:val="24"/>
          <w:szCs w:val="24"/>
          <w:lang w:val="es-CO"/>
        </w:rPr>
      </w:pPr>
      <w:r w:rsidRPr="0011198C">
        <w:rPr>
          <w:rFonts w:ascii="Arial" w:hAnsi="Arial" w:cs="Arial"/>
          <w:b/>
          <w:bCs/>
          <w:sz w:val="24"/>
          <w:szCs w:val="24"/>
          <w:lang w:val="es-CO"/>
        </w:rPr>
        <w:t xml:space="preserve">NOTA: LA ENTIDAD ENVIA LA MATRIZ DE AUTOEVALUACIÓN DEL SISTEMA DE CONTROL INTERNO CONTABLE CON </w:t>
      </w:r>
      <w:r w:rsidRPr="0011198C">
        <w:rPr>
          <w:rFonts w:ascii="Arial" w:hAnsi="Arial" w:cs="Arial"/>
          <w:b/>
          <w:bCs/>
          <w:sz w:val="24"/>
          <w:szCs w:val="24"/>
          <w:u w:val="single"/>
          <w:lang w:val="es-CO"/>
        </w:rPr>
        <w:t>ACTIVIDADES DE CONTROL REALIZADAS EN FORMA PARCIAL</w:t>
      </w:r>
      <w:r w:rsidRPr="0011198C">
        <w:rPr>
          <w:rFonts w:ascii="Arial" w:hAnsi="Arial" w:cs="Arial"/>
          <w:b/>
          <w:bCs/>
          <w:sz w:val="24"/>
          <w:szCs w:val="24"/>
          <w:lang w:val="es-CO"/>
        </w:rPr>
        <w:t>.</w:t>
      </w:r>
    </w:p>
    <w:p w14:paraId="6D5BB773" w14:textId="77777777" w:rsidR="00561B22" w:rsidRPr="0011198C" w:rsidRDefault="00561B22" w:rsidP="00561B22">
      <w:pPr>
        <w:jc w:val="both"/>
        <w:rPr>
          <w:rFonts w:ascii="Arial" w:hAnsi="Arial" w:cs="Arial"/>
          <w:b/>
          <w:sz w:val="28"/>
          <w:szCs w:val="28"/>
          <w:lang w:val="es-CO"/>
        </w:rPr>
      </w:pPr>
    </w:p>
    <w:p w14:paraId="72999901" w14:textId="77777777" w:rsidR="00561B22" w:rsidRPr="00A17EEB" w:rsidRDefault="00561B22" w:rsidP="00561B22">
      <w:pPr>
        <w:jc w:val="both"/>
        <w:rPr>
          <w:rFonts w:ascii="Arial" w:hAnsi="Arial" w:cs="Arial"/>
          <w:b/>
          <w:sz w:val="28"/>
          <w:szCs w:val="28"/>
          <w:lang w:val="es-MX"/>
        </w:rPr>
      </w:pPr>
      <w:r w:rsidRPr="00A17EEB">
        <w:rPr>
          <w:rFonts w:ascii="Arial" w:hAnsi="Arial" w:cs="Arial"/>
          <w:b/>
          <w:sz w:val="28"/>
          <w:szCs w:val="28"/>
          <w:lang w:val="es-MX"/>
        </w:rPr>
        <w:t>290.- ADMINISTRADORA COLOMBIANA DE PENSIONES - COLPENSIONES.</w:t>
      </w:r>
    </w:p>
    <w:p w14:paraId="098FC0AA" w14:textId="77777777" w:rsidR="00561B22" w:rsidRDefault="00561B22" w:rsidP="00561B22">
      <w:pPr>
        <w:pStyle w:val="Prrafodelista"/>
        <w:ind w:left="-142"/>
        <w:rPr>
          <w:rFonts w:ascii="Arial" w:hAnsi="Arial" w:cs="Arial"/>
          <w:b/>
          <w:sz w:val="24"/>
          <w:lang w:val="es-MX"/>
        </w:rPr>
      </w:pPr>
    </w:p>
    <w:p w14:paraId="6ADEF2A0" w14:textId="77777777" w:rsidR="00561B22" w:rsidRPr="00453DA8" w:rsidRDefault="00561B22" w:rsidP="00561B22">
      <w:pPr>
        <w:pStyle w:val="Textoindependiente"/>
        <w:jc w:val="center"/>
        <w:rPr>
          <w:rFonts w:ascii="Arial" w:hAnsi="Arial" w:cs="Arial"/>
          <w:b/>
          <w:bCs/>
        </w:rPr>
      </w:pPr>
      <w:r w:rsidRPr="00453DA8">
        <w:rPr>
          <w:rFonts w:ascii="Arial" w:hAnsi="Arial" w:cs="Arial"/>
          <w:b/>
          <w:bCs/>
        </w:rPr>
        <w:t>INFORME DE LA AUTOCALIFICACIÓN DEL SISTEMA DE CONTROL INTERNO CONTABLE:</w:t>
      </w:r>
    </w:p>
    <w:p w14:paraId="060EDF29" w14:textId="77777777" w:rsidR="00561B22" w:rsidRPr="00453DA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53DA8" w14:paraId="31108708" w14:textId="77777777" w:rsidTr="00F1223B">
        <w:tc>
          <w:tcPr>
            <w:tcW w:w="4981" w:type="dxa"/>
          </w:tcPr>
          <w:p w14:paraId="0393E544"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AUTOCALIFICACIÓN</w:t>
            </w:r>
          </w:p>
        </w:tc>
        <w:tc>
          <w:tcPr>
            <w:tcW w:w="4981" w:type="dxa"/>
          </w:tcPr>
          <w:p w14:paraId="5BCF0C1C" w14:textId="77777777" w:rsidR="00561B22" w:rsidRPr="00453DA8" w:rsidRDefault="00561B22" w:rsidP="00F1223B">
            <w:pPr>
              <w:jc w:val="center"/>
              <w:rPr>
                <w:rFonts w:ascii="Arial" w:hAnsi="Arial" w:cs="Arial"/>
                <w:b/>
                <w:sz w:val="22"/>
                <w:szCs w:val="22"/>
                <w:u w:val="single"/>
                <w:lang w:val="es-MX"/>
              </w:rPr>
            </w:pPr>
            <w:r w:rsidRPr="00453DA8">
              <w:rPr>
                <w:rFonts w:ascii="Arial" w:hAnsi="Arial" w:cs="Arial"/>
                <w:b/>
                <w:sz w:val="22"/>
                <w:szCs w:val="22"/>
                <w:u w:val="single"/>
                <w:lang w:val="es-MX"/>
              </w:rPr>
              <w:t>4.95</w:t>
            </w:r>
          </w:p>
        </w:tc>
      </w:tr>
    </w:tbl>
    <w:p w14:paraId="62191738" w14:textId="77777777" w:rsidR="00561B22" w:rsidRPr="00453DA8" w:rsidRDefault="00561B22" w:rsidP="00561B22">
      <w:pPr>
        <w:pStyle w:val="Textoindependiente"/>
        <w:jc w:val="both"/>
        <w:rPr>
          <w:rFonts w:ascii="Arial" w:hAnsi="Arial" w:cs="Arial"/>
          <w:b/>
          <w:bCs/>
        </w:rPr>
      </w:pPr>
    </w:p>
    <w:p w14:paraId="779CACF6" w14:textId="77777777" w:rsidR="00561B22" w:rsidRPr="00453DA8" w:rsidRDefault="00561B22" w:rsidP="00561B22">
      <w:pPr>
        <w:pStyle w:val="Textoindependiente"/>
        <w:jc w:val="both"/>
        <w:rPr>
          <w:rFonts w:ascii="Arial" w:hAnsi="Arial" w:cs="Arial"/>
          <w:b/>
          <w:bCs/>
        </w:rPr>
      </w:pPr>
      <w:r w:rsidRPr="00453DA8">
        <w:rPr>
          <w:rFonts w:ascii="Arial" w:hAnsi="Arial" w:cs="Arial"/>
          <w:b/>
          <w:bCs/>
        </w:rPr>
        <w:t>Del informe enviado retomamos lo siguiente:</w:t>
      </w:r>
    </w:p>
    <w:p w14:paraId="50A44F9A" w14:textId="77777777" w:rsidR="00561B22" w:rsidRPr="00453DA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53DA8" w14:paraId="56D3E939" w14:textId="77777777" w:rsidTr="00F1223B">
        <w:tc>
          <w:tcPr>
            <w:tcW w:w="562" w:type="dxa"/>
          </w:tcPr>
          <w:p w14:paraId="4A8EB910"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N°</w:t>
            </w:r>
          </w:p>
        </w:tc>
        <w:tc>
          <w:tcPr>
            <w:tcW w:w="9400" w:type="dxa"/>
          </w:tcPr>
          <w:p w14:paraId="605E66CA"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DEBILIDADES</w:t>
            </w:r>
          </w:p>
          <w:p w14:paraId="209A3444" w14:textId="77777777" w:rsidR="00561B22" w:rsidRPr="00453DA8" w:rsidRDefault="00561B22" w:rsidP="00F1223B">
            <w:pPr>
              <w:jc w:val="center"/>
              <w:rPr>
                <w:rFonts w:ascii="Arial" w:hAnsi="Arial" w:cs="Arial"/>
                <w:b/>
                <w:sz w:val="22"/>
                <w:szCs w:val="22"/>
                <w:lang w:val="es-MX"/>
              </w:rPr>
            </w:pPr>
          </w:p>
        </w:tc>
      </w:tr>
      <w:tr w:rsidR="00561B22" w:rsidRPr="00453DA8" w14:paraId="51143DEB" w14:textId="77777777" w:rsidTr="00F1223B">
        <w:tc>
          <w:tcPr>
            <w:tcW w:w="562" w:type="dxa"/>
          </w:tcPr>
          <w:p w14:paraId="1AA7055A"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1</w:t>
            </w:r>
          </w:p>
        </w:tc>
        <w:tc>
          <w:tcPr>
            <w:tcW w:w="9400" w:type="dxa"/>
          </w:tcPr>
          <w:p w14:paraId="148518C7" w14:textId="77777777" w:rsidR="00561B22" w:rsidRPr="00453DA8" w:rsidRDefault="00561B22" w:rsidP="00F1223B">
            <w:pPr>
              <w:jc w:val="both"/>
              <w:rPr>
                <w:rFonts w:ascii="Arial" w:hAnsi="Arial" w:cs="Arial"/>
                <w:bCs/>
                <w:sz w:val="22"/>
                <w:szCs w:val="22"/>
                <w:lang w:val="es-MX"/>
              </w:rPr>
            </w:pPr>
            <w:r w:rsidRPr="00453DA8">
              <w:rPr>
                <w:rFonts w:ascii="Arial" w:hAnsi="Arial" w:cs="Arial"/>
                <w:bCs/>
                <w:sz w:val="22"/>
                <w:szCs w:val="22"/>
                <w:lang w:val="es-CO"/>
              </w:rPr>
              <w:t>Si bien la Entidad ha fortalecido el lineamiento de planes de mejoramiento, se identificó que prevalecen debilidades en la formulación, implementación y seguimiento de los planes de mejoramiento por las diferentes fuentes generadoras, teniendo en cuenta que la Contraloría General de la República determinó como inefectivo el plan de mejoramiento implementado por la entidad por segundo año consecutivo, evidenciando debilidad en la formulación de las acciones de mejoramiento y de su seguimiento por parte de los responsables como 1a línea, debido a que existen planes de mejora sin implementar y no se reportan avances oportunamente, por lo que es necesario sensibilizar en la importancia de la definición de acciones efectivas, en las responsabilidades del seguimiento a cargo de la 1a línea, y un mayor acompañamiento por parte de la 2da línea. Con relación a la segregación de funciones en el sistema de información SAP, la Oficina de Control Interno ha venido reportando esta situación desde la vigencia 2020, la Gerencia de Tecnologías de la Información formuló un plan de mejoramiento que, tenía fecha de finalización en diciembre de 2024, el cual fue prorrogado hasta diciembre de 2025.</w:t>
            </w:r>
          </w:p>
        </w:tc>
      </w:tr>
    </w:tbl>
    <w:p w14:paraId="10983FFC" w14:textId="77777777" w:rsidR="00561B22" w:rsidRPr="00453DA8" w:rsidRDefault="00561B22" w:rsidP="00561B22">
      <w:pPr>
        <w:pStyle w:val="Textoindependiente"/>
        <w:jc w:val="both"/>
        <w:rPr>
          <w:rFonts w:ascii="Arial" w:hAnsi="Arial" w:cs="Arial"/>
          <w:b/>
          <w:bCs/>
        </w:rPr>
      </w:pPr>
    </w:p>
    <w:p w14:paraId="3BDB5155" w14:textId="77777777" w:rsidR="00561B22" w:rsidRPr="00453DA8" w:rsidRDefault="00561B22" w:rsidP="00561B22">
      <w:pPr>
        <w:jc w:val="both"/>
        <w:rPr>
          <w:rFonts w:ascii="Arial" w:hAnsi="Arial" w:cs="Arial"/>
          <w:b/>
          <w:lang w:val="es-MX"/>
        </w:rPr>
      </w:pPr>
      <w:r w:rsidRPr="00453DA8">
        <w:rPr>
          <w:rFonts w:ascii="Arial" w:hAnsi="Arial" w:cs="Arial"/>
          <w:b/>
          <w:lang w:val="es-MX"/>
        </w:rPr>
        <w:t>Del citado informe retomamos las siguientes recomendaciones:</w:t>
      </w:r>
    </w:p>
    <w:p w14:paraId="67CBF8DA" w14:textId="77777777" w:rsidR="00561B22" w:rsidRPr="00453DA8"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453DA8" w14:paraId="4548636A" w14:textId="77777777" w:rsidTr="00F1223B">
        <w:tc>
          <w:tcPr>
            <w:tcW w:w="562" w:type="dxa"/>
          </w:tcPr>
          <w:p w14:paraId="1716AE45"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N°</w:t>
            </w:r>
          </w:p>
        </w:tc>
        <w:tc>
          <w:tcPr>
            <w:tcW w:w="9400" w:type="dxa"/>
          </w:tcPr>
          <w:p w14:paraId="5C285632"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RECOMENDACIONES</w:t>
            </w:r>
          </w:p>
          <w:p w14:paraId="127FA0CC" w14:textId="77777777" w:rsidR="00561B22" w:rsidRPr="00453DA8" w:rsidRDefault="00561B22" w:rsidP="00F1223B">
            <w:pPr>
              <w:jc w:val="center"/>
              <w:rPr>
                <w:rFonts w:ascii="Arial" w:hAnsi="Arial" w:cs="Arial"/>
                <w:b/>
                <w:sz w:val="22"/>
                <w:szCs w:val="22"/>
                <w:lang w:val="es-MX"/>
              </w:rPr>
            </w:pPr>
          </w:p>
        </w:tc>
      </w:tr>
      <w:tr w:rsidR="00561B22" w:rsidRPr="00453DA8" w14:paraId="22F151A7" w14:textId="77777777" w:rsidTr="00F1223B">
        <w:tc>
          <w:tcPr>
            <w:tcW w:w="562" w:type="dxa"/>
          </w:tcPr>
          <w:p w14:paraId="051AA0EB" w14:textId="77777777" w:rsidR="00561B22" w:rsidRPr="00453DA8" w:rsidRDefault="00561B22" w:rsidP="00F1223B">
            <w:pPr>
              <w:jc w:val="center"/>
              <w:rPr>
                <w:rFonts w:ascii="Arial" w:hAnsi="Arial" w:cs="Arial"/>
                <w:b/>
                <w:sz w:val="22"/>
                <w:szCs w:val="22"/>
                <w:lang w:val="es-MX"/>
              </w:rPr>
            </w:pPr>
            <w:r w:rsidRPr="00453DA8">
              <w:rPr>
                <w:rFonts w:ascii="Arial" w:hAnsi="Arial" w:cs="Arial"/>
                <w:b/>
                <w:sz w:val="22"/>
                <w:szCs w:val="22"/>
                <w:lang w:val="es-MX"/>
              </w:rPr>
              <w:t>1</w:t>
            </w:r>
          </w:p>
        </w:tc>
        <w:tc>
          <w:tcPr>
            <w:tcW w:w="9400" w:type="dxa"/>
          </w:tcPr>
          <w:p w14:paraId="699C0ED1" w14:textId="77777777" w:rsidR="00561B22" w:rsidRPr="00453DA8" w:rsidRDefault="00561B22" w:rsidP="00F1223B">
            <w:pPr>
              <w:jc w:val="both"/>
              <w:rPr>
                <w:rFonts w:ascii="Arial" w:hAnsi="Arial" w:cs="Arial"/>
                <w:bCs/>
                <w:sz w:val="22"/>
                <w:szCs w:val="22"/>
                <w:lang w:val="es-MX"/>
              </w:rPr>
            </w:pPr>
            <w:r w:rsidRPr="00453DA8">
              <w:rPr>
                <w:rFonts w:ascii="Arial" w:hAnsi="Arial" w:cs="Arial"/>
                <w:bCs/>
                <w:sz w:val="22"/>
                <w:szCs w:val="22"/>
                <w:lang w:val="es-CO"/>
              </w:rPr>
              <w:t>Garantizar la atención y seguimiento a todas las situaciones que han sido objeto de reporte por parte de entes externos como la Superintendencia Financiera de Colombia y la Contraloría General de la República, que reflejan deficiencias de mayor relevancia para el adecuado funcionamiento de los procesos y el cumplimiento de objetivos institucionales, así como de los planes de mejoramiento definidos en respuesta a informes de la Revisoría Fiscal y de la Oficina de Control Interno. De otra parte, se recomienda priorizar la evaluación al riesgo de acceso y segregar adecuadamente las actividades de los usuarios con el fin de subsanar los conflictos de segregación de funciones en el ERP SAP</w:t>
            </w:r>
          </w:p>
        </w:tc>
      </w:tr>
    </w:tbl>
    <w:p w14:paraId="1ED63276" w14:textId="77777777" w:rsidR="00561B22" w:rsidRPr="00453DA8" w:rsidRDefault="00561B22" w:rsidP="00561B22">
      <w:pPr>
        <w:pStyle w:val="Textoindependiente"/>
        <w:jc w:val="both"/>
        <w:rPr>
          <w:rFonts w:ascii="Arial" w:hAnsi="Arial" w:cs="Arial"/>
          <w:b/>
          <w:bCs/>
        </w:rPr>
      </w:pPr>
    </w:p>
    <w:p w14:paraId="1A5A9496" w14:textId="77777777" w:rsidR="00561B22" w:rsidRPr="00453DA8" w:rsidRDefault="00561B22" w:rsidP="00561B22">
      <w:pPr>
        <w:jc w:val="both"/>
        <w:rPr>
          <w:rFonts w:ascii="Arial" w:hAnsi="Arial" w:cs="Arial"/>
          <w:b/>
          <w:bCs/>
          <w:sz w:val="24"/>
          <w:szCs w:val="24"/>
          <w:lang w:val="es-CO"/>
        </w:rPr>
      </w:pPr>
      <w:r w:rsidRPr="00453DA8">
        <w:rPr>
          <w:rFonts w:ascii="Arial" w:hAnsi="Arial" w:cs="Arial"/>
          <w:b/>
          <w:bCs/>
          <w:sz w:val="24"/>
          <w:szCs w:val="24"/>
          <w:lang w:val="es-CO"/>
        </w:rPr>
        <w:t xml:space="preserve">NOTA: LA ENTIDAD ENVIA LA MATRIZ DE AUTOEVALUACIÓN DEL SISTEMA DE CONTROL INTERNO CONTABLE CON </w:t>
      </w:r>
      <w:r w:rsidRPr="00453DA8">
        <w:rPr>
          <w:rFonts w:ascii="Arial" w:hAnsi="Arial" w:cs="Arial"/>
          <w:b/>
          <w:bCs/>
          <w:sz w:val="24"/>
          <w:szCs w:val="24"/>
          <w:u w:val="single"/>
          <w:lang w:val="es-CO"/>
        </w:rPr>
        <w:t>ACTIVIDADES DE CONTROL REALIZADAS EN FORMA PARCIAL</w:t>
      </w:r>
      <w:r w:rsidRPr="00453DA8">
        <w:rPr>
          <w:rFonts w:ascii="Arial" w:hAnsi="Arial" w:cs="Arial"/>
          <w:b/>
          <w:bCs/>
          <w:sz w:val="24"/>
          <w:szCs w:val="24"/>
          <w:lang w:val="es-CO"/>
        </w:rPr>
        <w:t>.</w:t>
      </w:r>
    </w:p>
    <w:p w14:paraId="20030F6B" w14:textId="77777777" w:rsidR="00561B22" w:rsidRDefault="00561B22" w:rsidP="00561B22">
      <w:pPr>
        <w:jc w:val="both"/>
        <w:rPr>
          <w:rFonts w:ascii="Arial" w:hAnsi="Arial" w:cs="Arial"/>
          <w:b/>
          <w:sz w:val="28"/>
          <w:szCs w:val="28"/>
          <w:lang w:val="es-MX"/>
        </w:rPr>
      </w:pPr>
    </w:p>
    <w:p w14:paraId="307335F1" w14:textId="77777777" w:rsidR="00561B22" w:rsidRPr="004106A9" w:rsidRDefault="00561B22" w:rsidP="00561B22">
      <w:pPr>
        <w:jc w:val="both"/>
        <w:rPr>
          <w:rFonts w:ascii="Arial" w:hAnsi="Arial" w:cs="Arial"/>
          <w:b/>
          <w:sz w:val="28"/>
          <w:szCs w:val="28"/>
          <w:lang w:val="es-MX"/>
        </w:rPr>
      </w:pPr>
      <w:r w:rsidRPr="004106A9">
        <w:rPr>
          <w:rFonts w:ascii="Arial" w:hAnsi="Arial" w:cs="Arial"/>
          <w:b/>
          <w:sz w:val="28"/>
          <w:szCs w:val="28"/>
          <w:lang w:val="es-MX"/>
        </w:rPr>
        <w:t xml:space="preserve">291.- </w:t>
      </w:r>
      <w:r w:rsidRPr="004106A9">
        <w:rPr>
          <w:rFonts w:ascii="Arial" w:hAnsi="Arial" w:cs="Arial"/>
          <w:b/>
          <w:sz w:val="28"/>
          <w:szCs w:val="28"/>
        </w:rPr>
        <w:t>FONDO PENSIONAL DE VEJEZ – COLPENSIONES.</w:t>
      </w:r>
    </w:p>
    <w:p w14:paraId="4EE92F9F" w14:textId="77777777" w:rsidR="00561B22" w:rsidRDefault="00561B22" w:rsidP="00561B22">
      <w:pPr>
        <w:pStyle w:val="Textoindependiente"/>
        <w:jc w:val="both"/>
        <w:rPr>
          <w:rFonts w:ascii="Arial" w:hAnsi="Arial" w:cs="Arial"/>
          <w:b/>
          <w:bCs/>
          <w:sz w:val="28"/>
          <w:szCs w:val="28"/>
        </w:rPr>
      </w:pPr>
    </w:p>
    <w:p w14:paraId="62D4D521" w14:textId="77777777" w:rsidR="00561B22" w:rsidRPr="004106A9" w:rsidRDefault="00561B22" w:rsidP="00561B22">
      <w:pPr>
        <w:pStyle w:val="Textoindependiente"/>
        <w:jc w:val="center"/>
        <w:rPr>
          <w:rFonts w:ascii="Arial" w:hAnsi="Arial" w:cs="Arial"/>
          <w:b/>
          <w:bCs/>
        </w:rPr>
      </w:pPr>
      <w:r w:rsidRPr="004106A9">
        <w:rPr>
          <w:rFonts w:ascii="Arial" w:hAnsi="Arial" w:cs="Arial"/>
          <w:b/>
          <w:bCs/>
        </w:rPr>
        <w:lastRenderedPageBreak/>
        <w:t>INFORME DE LA AUTOCALIFICACIÓN DEL SISTEMA DE CONTROL INTERNO CONTABLE:</w:t>
      </w:r>
    </w:p>
    <w:p w14:paraId="1A01422F" w14:textId="77777777" w:rsidR="00561B22" w:rsidRPr="004106A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4106A9" w14:paraId="51EA0587" w14:textId="77777777" w:rsidTr="00F1223B">
        <w:tc>
          <w:tcPr>
            <w:tcW w:w="4981" w:type="dxa"/>
          </w:tcPr>
          <w:p w14:paraId="3D54CDD5"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AUTOCALIFICACIÓN</w:t>
            </w:r>
          </w:p>
        </w:tc>
        <w:tc>
          <w:tcPr>
            <w:tcW w:w="4981" w:type="dxa"/>
          </w:tcPr>
          <w:p w14:paraId="7969262A" w14:textId="77777777" w:rsidR="00561B22" w:rsidRPr="004106A9" w:rsidRDefault="00561B22" w:rsidP="00F1223B">
            <w:pPr>
              <w:jc w:val="center"/>
              <w:rPr>
                <w:rFonts w:ascii="Arial" w:hAnsi="Arial" w:cs="Arial"/>
                <w:b/>
                <w:sz w:val="22"/>
                <w:szCs w:val="22"/>
                <w:u w:val="single"/>
                <w:lang w:val="es-MX"/>
              </w:rPr>
            </w:pPr>
            <w:r w:rsidRPr="004106A9">
              <w:rPr>
                <w:rFonts w:ascii="Arial" w:hAnsi="Arial" w:cs="Arial"/>
                <w:b/>
                <w:sz w:val="22"/>
                <w:szCs w:val="22"/>
                <w:u w:val="single"/>
                <w:lang w:val="es-MX"/>
              </w:rPr>
              <w:t>4.95</w:t>
            </w:r>
          </w:p>
        </w:tc>
      </w:tr>
    </w:tbl>
    <w:p w14:paraId="19E2F804" w14:textId="77777777" w:rsidR="00561B22" w:rsidRPr="004106A9" w:rsidRDefault="00561B22" w:rsidP="00561B22">
      <w:pPr>
        <w:pStyle w:val="Textoindependiente"/>
        <w:jc w:val="both"/>
        <w:rPr>
          <w:rFonts w:ascii="Arial" w:hAnsi="Arial" w:cs="Arial"/>
          <w:b/>
          <w:bCs/>
        </w:rPr>
      </w:pPr>
    </w:p>
    <w:p w14:paraId="3351817A" w14:textId="77777777" w:rsidR="00561B22" w:rsidRPr="004106A9" w:rsidRDefault="00561B22" w:rsidP="00561B22">
      <w:pPr>
        <w:pStyle w:val="Textoindependiente"/>
        <w:jc w:val="both"/>
        <w:rPr>
          <w:rFonts w:ascii="Arial" w:hAnsi="Arial" w:cs="Arial"/>
          <w:b/>
          <w:bCs/>
        </w:rPr>
      </w:pPr>
      <w:r w:rsidRPr="004106A9">
        <w:rPr>
          <w:rFonts w:ascii="Arial" w:hAnsi="Arial" w:cs="Arial"/>
          <w:b/>
          <w:bCs/>
        </w:rPr>
        <w:t>Del informe enviado retomamos lo siguiente:</w:t>
      </w:r>
    </w:p>
    <w:p w14:paraId="58E0FEDC" w14:textId="77777777" w:rsidR="00561B22" w:rsidRPr="004106A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4106A9" w14:paraId="6DCAC0B1" w14:textId="77777777" w:rsidTr="00F1223B">
        <w:tc>
          <w:tcPr>
            <w:tcW w:w="562" w:type="dxa"/>
          </w:tcPr>
          <w:p w14:paraId="4A9E1A15"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N°</w:t>
            </w:r>
          </w:p>
        </w:tc>
        <w:tc>
          <w:tcPr>
            <w:tcW w:w="9400" w:type="dxa"/>
          </w:tcPr>
          <w:p w14:paraId="2E5B8181"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DEBILIDADES</w:t>
            </w:r>
          </w:p>
          <w:p w14:paraId="0783FE98" w14:textId="77777777" w:rsidR="00561B22" w:rsidRPr="004106A9" w:rsidRDefault="00561B22" w:rsidP="00F1223B">
            <w:pPr>
              <w:jc w:val="center"/>
              <w:rPr>
                <w:rFonts w:ascii="Arial" w:hAnsi="Arial" w:cs="Arial"/>
                <w:b/>
                <w:sz w:val="22"/>
                <w:szCs w:val="22"/>
                <w:lang w:val="es-MX"/>
              </w:rPr>
            </w:pPr>
          </w:p>
        </w:tc>
      </w:tr>
      <w:tr w:rsidR="00561B22" w:rsidRPr="004106A9" w14:paraId="0C69CED2" w14:textId="77777777" w:rsidTr="00F1223B">
        <w:tc>
          <w:tcPr>
            <w:tcW w:w="562" w:type="dxa"/>
          </w:tcPr>
          <w:p w14:paraId="164F3E57"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1</w:t>
            </w:r>
          </w:p>
        </w:tc>
        <w:tc>
          <w:tcPr>
            <w:tcW w:w="9400" w:type="dxa"/>
          </w:tcPr>
          <w:p w14:paraId="791742C7" w14:textId="77777777" w:rsidR="00561B22" w:rsidRPr="004106A9" w:rsidRDefault="00561B22" w:rsidP="00F1223B">
            <w:pPr>
              <w:jc w:val="both"/>
              <w:rPr>
                <w:rFonts w:ascii="Arial" w:hAnsi="Arial" w:cs="Arial"/>
                <w:bCs/>
                <w:sz w:val="22"/>
                <w:szCs w:val="22"/>
                <w:lang w:val="es-MX"/>
              </w:rPr>
            </w:pPr>
            <w:r w:rsidRPr="004106A9">
              <w:rPr>
                <w:rFonts w:ascii="Arial" w:hAnsi="Arial" w:cs="Arial"/>
                <w:bCs/>
                <w:sz w:val="22"/>
                <w:szCs w:val="22"/>
                <w:lang w:val="es-CO"/>
              </w:rPr>
              <w:t>Si bien la Entidad ha fortalecido el lineamiento de planes de mejoramiento, se identificó que prevalecen debilidades en la formulación, implementación y seguimiento de los planes de mejoramiento por las diferentes fuentes generadoras, teniendo en cuenta que la Contraloría General de la República determinó como inefectivo el plan de mejoramiento implementado por la entidad por segundo año consecutivo, evidenciando debilidad en la formulación de las acciones de mejoramiento y de su seguimiento por parte de los responsables como 1a línea, debido a que existen planes de mejora sin implementar y no se reportan avances oportunamente, por lo que es necesario sensibilizar en la importancia de la definición de acciones efectivas, en las responsabilidades del seguimiento a cargo de la 1a línea, y un mayor acompañamiento por parte de la 2da línea. Con relación a la segregación de funciones en el sistema de información SAP, la Oficina de Control Interno ha venido reportando esta situación desde la vigencia 2020, la Gerencia de Tecnologías de la Información formuló un plan de mejoramiento que, tenía fecha de finalización en diciembre de 2024, el cual fue prorrogado hasta diciembre de 2025.</w:t>
            </w:r>
          </w:p>
        </w:tc>
      </w:tr>
    </w:tbl>
    <w:p w14:paraId="523011F3" w14:textId="77777777" w:rsidR="00561B22" w:rsidRPr="004106A9" w:rsidRDefault="00561B22" w:rsidP="00561B22">
      <w:pPr>
        <w:pStyle w:val="Textoindependiente"/>
        <w:jc w:val="both"/>
        <w:rPr>
          <w:rFonts w:ascii="Arial" w:hAnsi="Arial" w:cs="Arial"/>
          <w:b/>
          <w:bCs/>
        </w:rPr>
      </w:pPr>
    </w:p>
    <w:p w14:paraId="192D71F1" w14:textId="77777777" w:rsidR="00561B22" w:rsidRPr="004106A9" w:rsidRDefault="00561B22" w:rsidP="00561B22">
      <w:pPr>
        <w:jc w:val="both"/>
        <w:rPr>
          <w:rFonts w:ascii="Arial" w:hAnsi="Arial" w:cs="Arial"/>
          <w:b/>
          <w:lang w:val="es-MX"/>
        </w:rPr>
      </w:pPr>
      <w:r w:rsidRPr="004106A9">
        <w:rPr>
          <w:rFonts w:ascii="Arial" w:hAnsi="Arial" w:cs="Arial"/>
          <w:b/>
          <w:lang w:val="es-MX"/>
        </w:rPr>
        <w:t>Del citado informe retomamos las siguientes recomendaciones:</w:t>
      </w:r>
    </w:p>
    <w:p w14:paraId="7F78FC25" w14:textId="77777777" w:rsidR="00561B22" w:rsidRPr="004106A9"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4106A9" w14:paraId="284895C0" w14:textId="77777777" w:rsidTr="00F1223B">
        <w:tc>
          <w:tcPr>
            <w:tcW w:w="562" w:type="dxa"/>
          </w:tcPr>
          <w:p w14:paraId="5F6E1039"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N°</w:t>
            </w:r>
          </w:p>
        </w:tc>
        <w:tc>
          <w:tcPr>
            <w:tcW w:w="9400" w:type="dxa"/>
          </w:tcPr>
          <w:p w14:paraId="1C71536B"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RECOMENDACIONES</w:t>
            </w:r>
          </w:p>
          <w:p w14:paraId="4299FB40" w14:textId="77777777" w:rsidR="00561B22" w:rsidRPr="004106A9" w:rsidRDefault="00561B22" w:rsidP="00F1223B">
            <w:pPr>
              <w:jc w:val="center"/>
              <w:rPr>
                <w:rFonts w:ascii="Arial" w:hAnsi="Arial" w:cs="Arial"/>
                <w:b/>
                <w:sz w:val="22"/>
                <w:szCs w:val="22"/>
                <w:lang w:val="es-MX"/>
              </w:rPr>
            </w:pPr>
          </w:p>
        </w:tc>
      </w:tr>
      <w:tr w:rsidR="00561B22" w:rsidRPr="004106A9" w14:paraId="1C7C1812" w14:textId="77777777" w:rsidTr="00F1223B">
        <w:tc>
          <w:tcPr>
            <w:tcW w:w="562" w:type="dxa"/>
          </w:tcPr>
          <w:p w14:paraId="03A5B5E1" w14:textId="77777777" w:rsidR="00561B22" w:rsidRPr="004106A9" w:rsidRDefault="00561B22" w:rsidP="00F1223B">
            <w:pPr>
              <w:jc w:val="center"/>
              <w:rPr>
                <w:rFonts w:ascii="Arial" w:hAnsi="Arial" w:cs="Arial"/>
                <w:b/>
                <w:sz w:val="22"/>
                <w:szCs w:val="22"/>
                <w:lang w:val="es-MX"/>
              </w:rPr>
            </w:pPr>
            <w:r w:rsidRPr="004106A9">
              <w:rPr>
                <w:rFonts w:ascii="Arial" w:hAnsi="Arial" w:cs="Arial"/>
                <w:b/>
                <w:sz w:val="22"/>
                <w:szCs w:val="22"/>
                <w:lang w:val="es-MX"/>
              </w:rPr>
              <w:t>1</w:t>
            </w:r>
          </w:p>
        </w:tc>
        <w:tc>
          <w:tcPr>
            <w:tcW w:w="9400" w:type="dxa"/>
          </w:tcPr>
          <w:p w14:paraId="073F2506" w14:textId="77777777" w:rsidR="00561B22" w:rsidRPr="004106A9" w:rsidRDefault="00561B22" w:rsidP="00F1223B">
            <w:pPr>
              <w:jc w:val="both"/>
              <w:rPr>
                <w:rFonts w:ascii="Arial" w:hAnsi="Arial" w:cs="Arial"/>
                <w:bCs/>
                <w:sz w:val="22"/>
                <w:szCs w:val="22"/>
                <w:lang w:val="es-MX"/>
              </w:rPr>
            </w:pPr>
            <w:r w:rsidRPr="004106A9">
              <w:rPr>
                <w:rFonts w:ascii="Arial" w:hAnsi="Arial" w:cs="Arial"/>
                <w:bCs/>
                <w:sz w:val="22"/>
                <w:szCs w:val="22"/>
                <w:lang w:val="es-CO"/>
              </w:rPr>
              <w:t>Garantizar la atención y seguimiento a todas las situaciones que han sido objeto de reporte por parte de entes externos como la Superintendencia Financiera de Colombia y la Contraloría General de la República, que reflejan deficiencias de mayor relevancia para el adecuado funcionamiento de los procesos y el cumplimiento de objetivos institucionales, así como de los planes de mejoramiento definidos en respuesta a informes de la Revisoría Fiscal y de la Oficina de Control Interno. De otra parte, se recomienda priorizar la evaluación al riesgo de acceso y segregar adecuadamente las actividades de los usuarios con el fin de subsanar los conflictos de segregación de funciones en el ERP SAP</w:t>
            </w:r>
          </w:p>
        </w:tc>
      </w:tr>
    </w:tbl>
    <w:p w14:paraId="5FB4298D" w14:textId="77777777" w:rsidR="00561B22" w:rsidRPr="004106A9" w:rsidRDefault="00561B22" w:rsidP="00561B22">
      <w:pPr>
        <w:pStyle w:val="Textoindependiente"/>
        <w:jc w:val="both"/>
        <w:rPr>
          <w:rFonts w:ascii="Arial" w:hAnsi="Arial" w:cs="Arial"/>
          <w:b/>
          <w:bCs/>
          <w:sz w:val="28"/>
          <w:szCs w:val="28"/>
        </w:rPr>
      </w:pPr>
    </w:p>
    <w:p w14:paraId="1DAAFD36" w14:textId="77777777" w:rsidR="00561B22" w:rsidRPr="004106A9" w:rsidRDefault="00561B22" w:rsidP="00561B22">
      <w:pPr>
        <w:jc w:val="both"/>
        <w:rPr>
          <w:rFonts w:ascii="Arial" w:hAnsi="Arial" w:cs="Arial"/>
          <w:b/>
          <w:bCs/>
          <w:sz w:val="24"/>
          <w:szCs w:val="24"/>
          <w:lang w:val="es-CO"/>
        </w:rPr>
      </w:pPr>
      <w:r w:rsidRPr="004106A9">
        <w:rPr>
          <w:rFonts w:ascii="Arial" w:hAnsi="Arial" w:cs="Arial"/>
          <w:b/>
          <w:bCs/>
          <w:sz w:val="24"/>
          <w:szCs w:val="24"/>
          <w:lang w:val="es-CO"/>
        </w:rPr>
        <w:t xml:space="preserve">NOTA: LA ENTIDAD ENVIA LA MATRIZ DE AUTOEVALUACIÓN DEL SISTEMA DE CONTROL INTERNO CONTABLE CON </w:t>
      </w:r>
      <w:r w:rsidRPr="004106A9">
        <w:rPr>
          <w:rFonts w:ascii="Arial" w:hAnsi="Arial" w:cs="Arial"/>
          <w:b/>
          <w:bCs/>
          <w:sz w:val="24"/>
          <w:szCs w:val="24"/>
          <w:u w:val="single"/>
          <w:lang w:val="es-CO"/>
        </w:rPr>
        <w:t>ACTIVIDADES DE CONTROL REALIZADAS EN FORMA PARCIAL</w:t>
      </w:r>
      <w:r w:rsidRPr="004106A9">
        <w:rPr>
          <w:rFonts w:ascii="Arial" w:hAnsi="Arial" w:cs="Arial"/>
          <w:b/>
          <w:bCs/>
          <w:sz w:val="24"/>
          <w:szCs w:val="24"/>
          <w:lang w:val="es-CO"/>
        </w:rPr>
        <w:t>.</w:t>
      </w:r>
    </w:p>
    <w:p w14:paraId="43C0C52D" w14:textId="77777777" w:rsidR="00561B22" w:rsidRDefault="00561B22" w:rsidP="00561B22">
      <w:pPr>
        <w:jc w:val="both"/>
        <w:rPr>
          <w:rFonts w:ascii="Arial" w:hAnsi="Arial" w:cs="Arial"/>
          <w:b/>
          <w:sz w:val="28"/>
          <w:szCs w:val="28"/>
          <w:lang w:val="es-MX"/>
        </w:rPr>
      </w:pPr>
    </w:p>
    <w:p w14:paraId="555930E7" w14:textId="77777777" w:rsidR="00561B22" w:rsidRPr="00480FE8" w:rsidRDefault="00561B22" w:rsidP="00561B22">
      <w:pPr>
        <w:jc w:val="both"/>
        <w:rPr>
          <w:rFonts w:ascii="Arial" w:hAnsi="Arial" w:cs="Arial"/>
          <w:b/>
          <w:sz w:val="28"/>
          <w:szCs w:val="28"/>
          <w:lang w:val="es-MX"/>
        </w:rPr>
      </w:pPr>
      <w:r w:rsidRPr="00480FE8">
        <w:rPr>
          <w:rFonts w:ascii="Arial" w:hAnsi="Arial" w:cs="Arial"/>
          <w:b/>
          <w:sz w:val="28"/>
          <w:szCs w:val="28"/>
          <w:lang w:val="es-MX"/>
        </w:rPr>
        <w:t xml:space="preserve">292.- </w:t>
      </w:r>
      <w:r w:rsidRPr="00480FE8">
        <w:rPr>
          <w:rFonts w:ascii="Arial" w:hAnsi="Arial" w:cs="Arial"/>
          <w:b/>
          <w:sz w:val="28"/>
          <w:szCs w:val="28"/>
        </w:rPr>
        <w:t>FONDO PENSIONAL DE INVALIDEZ - COLPENSIONES</w:t>
      </w:r>
      <w:r w:rsidRPr="00480FE8">
        <w:rPr>
          <w:rFonts w:ascii="Arial" w:hAnsi="Arial" w:cs="Arial"/>
          <w:b/>
          <w:sz w:val="28"/>
          <w:szCs w:val="28"/>
          <w:lang w:val="es-MX"/>
        </w:rPr>
        <w:t>.</w:t>
      </w:r>
    </w:p>
    <w:p w14:paraId="59B5FACA" w14:textId="77777777" w:rsidR="00561B22" w:rsidRDefault="00561B22" w:rsidP="00561B22">
      <w:pPr>
        <w:pStyle w:val="Textoindependiente"/>
        <w:jc w:val="both"/>
        <w:rPr>
          <w:b/>
          <w:bCs/>
          <w:sz w:val="28"/>
          <w:szCs w:val="28"/>
        </w:rPr>
      </w:pPr>
    </w:p>
    <w:p w14:paraId="3562EE4D" w14:textId="77777777" w:rsidR="00561B22" w:rsidRPr="006269CE" w:rsidRDefault="00561B22" w:rsidP="00561B22">
      <w:pPr>
        <w:pStyle w:val="Textoindependiente"/>
        <w:jc w:val="center"/>
        <w:rPr>
          <w:rFonts w:ascii="Arial" w:hAnsi="Arial" w:cs="Arial"/>
          <w:b/>
          <w:bCs/>
        </w:rPr>
      </w:pPr>
      <w:r w:rsidRPr="006269CE">
        <w:rPr>
          <w:rFonts w:ascii="Arial" w:hAnsi="Arial" w:cs="Arial"/>
          <w:b/>
          <w:bCs/>
        </w:rPr>
        <w:t>INFORME DE LA AUTOCALIFICACIÓN DEL SISTEMA DE CONTROL INTERNO CONTABLE:</w:t>
      </w:r>
    </w:p>
    <w:p w14:paraId="2F5CCE6D" w14:textId="77777777" w:rsidR="00561B22" w:rsidRPr="006269CE"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269CE" w14:paraId="1E485DD8" w14:textId="77777777" w:rsidTr="00F1223B">
        <w:tc>
          <w:tcPr>
            <w:tcW w:w="4981" w:type="dxa"/>
          </w:tcPr>
          <w:p w14:paraId="1667E5E5"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AUTOCALIFICACIÓN</w:t>
            </w:r>
          </w:p>
        </w:tc>
        <w:tc>
          <w:tcPr>
            <w:tcW w:w="4981" w:type="dxa"/>
          </w:tcPr>
          <w:p w14:paraId="2AEB41CF" w14:textId="77777777" w:rsidR="00561B22" w:rsidRPr="006269CE" w:rsidRDefault="00561B22" w:rsidP="00F1223B">
            <w:pPr>
              <w:jc w:val="center"/>
              <w:rPr>
                <w:rFonts w:ascii="Arial" w:hAnsi="Arial" w:cs="Arial"/>
                <w:b/>
                <w:sz w:val="22"/>
                <w:szCs w:val="22"/>
                <w:u w:val="single"/>
                <w:lang w:val="es-MX"/>
              </w:rPr>
            </w:pPr>
            <w:r w:rsidRPr="006269CE">
              <w:rPr>
                <w:rFonts w:ascii="Arial" w:hAnsi="Arial" w:cs="Arial"/>
                <w:b/>
                <w:sz w:val="22"/>
                <w:szCs w:val="22"/>
                <w:u w:val="single"/>
                <w:lang w:val="es-MX"/>
              </w:rPr>
              <w:t>4.95</w:t>
            </w:r>
          </w:p>
        </w:tc>
      </w:tr>
    </w:tbl>
    <w:p w14:paraId="5944F16C" w14:textId="77777777" w:rsidR="00561B22" w:rsidRPr="006269CE" w:rsidRDefault="00561B22" w:rsidP="00561B22">
      <w:pPr>
        <w:pStyle w:val="Textoindependiente"/>
        <w:jc w:val="both"/>
        <w:rPr>
          <w:rFonts w:ascii="Arial" w:hAnsi="Arial" w:cs="Arial"/>
          <w:b/>
          <w:bCs/>
        </w:rPr>
      </w:pPr>
    </w:p>
    <w:p w14:paraId="44EEA0CA" w14:textId="77777777" w:rsidR="00561B22" w:rsidRPr="006269CE" w:rsidRDefault="00561B22" w:rsidP="00561B22">
      <w:pPr>
        <w:pStyle w:val="Textoindependiente"/>
        <w:jc w:val="both"/>
        <w:rPr>
          <w:rFonts w:ascii="Arial" w:hAnsi="Arial" w:cs="Arial"/>
          <w:b/>
          <w:bCs/>
        </w:rPr>
      </w:pPr>
      <w:r w:rsidRPr="006269CE">
        <w:rPr>
          <w:rFonts w:ascii="Arial" w:hAnsi="Arial" w:cs="Arial"/>
          <w:b/>
          <w:bCs/>
        </w:rPr>
        <w:t>Del informe enviado retomamos lo siguiente:</w:t>
      </w:r>
    </w:p>
    <w:p w14:paraId="119B3615" w14:textId="77777777" w:rsidR="00561B22" w:rsidRPr="006269CE"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269CE" w14:paraId="297C3838" w14:textId="77777777" w:rsidTr="00F1223B">
        <w:tc>
          <w:tcPr>
            <w:tcW w:w="562" w:type="dxa"/>
          </w:tcPr>
          <w:p w14:paraId="0A768F29"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N°</w:t>
            </w:r>
          </w:p>
        </w:tc>
        <w:tc>
          <w:tcPr>
            <w:tcW w:w="9400" w:type="dxa"/>
          </w:tcPr>
          <w:p w14:paraId="015ECEF9"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DEBILIDADES</w:t>
            </w:r>
          </w:p>
          <w:p w14:paraId="2D36C6FA" w14:textId="77777777" w:rsidR="00561B22" w:rsidRPr="006269CE" w:rsidRDefault="00561B22" w:rsidP="00F1223B">
            <w:pPr>
              <w:jc w:val="center"/>
              <w:rPr>
                <w:rFonts w:ascii="Arial" w:hAnsi="Arial" w:cs="Arial"/>
                <w:b/>
                <w:sz w:val="22"/>
                <w:szCs w:val="22"/>
                <w:lang w:val="es-MX"/>
              </w:rPr>
            </w:pPr>
          </w:p>
        </w:tc>
      </w:tr>
      <w:tr w:rsidR="00561B22" w:rsidRPr="006269CE" w14:paraId="4B6F09AE" w14:textId="77777777" w:rsidTr="00F1223B">
        <w:tc>
          <w:tcPr>
            <w:tcW w:w="562" w:type="dxa"/>
          </w:tcPr>
          <w:p w14:paraId="1D8581B1"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1</w:t>
            </w:r>
          </w:p>
        </w:tc>
        <w:tc>
          <w:tcPr>
            <w:tcW w:w="9400" w:type="dxa"/>
          </w:tcPr>
          <w:p w14:paraId="25CD2E1E" w14:textId="77777777" w:rsidR="00561B22" w:rsidRPr="006269CE" w:rsidRDefault="00561B22" w:rsidP="00F1223B">
            <w:pPr>
              <w:jc w:val="both"/>
              <w:rPr>
                <w:rFonts w:ascii="Arial" w:hAnsi="Arial" w:cs="Arial"/>
                <w:bCs/>
                <w:sz w:val="22"/>
                <w:szCs w:val="22"/>
                <w:lang w:val="es-MX"/>
              </w:rPr>
            </w:pPr>
            <w:r w:rsidRPr="006269CE">
              <w:rPr>
                <w:rFonts w:ascii="Arial" w:hAnsi="Arial" w:cs="Arial"/>
                <w:bCs/>
                <w:sz w:val="22"/>
                <w:szCs w:val="22"/>
                <w:lang w:val="es-CO"/>
              </w:rPr>
              <w:t xml:space="preserve">Si bien la Entidad ha fortalecido el lineamiento de planes de mejoramiento, se identificó que </w:t>
            </w:r>
            <w:r w:rsidRPr="006269CE">
              <w:rPr>
                <w:rFonts w:ascii="Arial" w:hAnsi="Arial" w:cs="Arial"/>
                <w:bCs/>
                <w:sz w:val="22"/>
                <w:szCs w:val="22"/>
                <w:lang w:val="es-CO"/>
              </w:rPr>
              <w:lastRenderedPageBreak/>
              <w:t>prevalecen debilidades en la formulación, implementación y seguimiento de los planes de mejoramiento por las diferentes fuentes generadoras, teniendo en cuenta que la Contraloría General de la República determinó como inefectivo el plan de mejoramiento implementado por la entidad por segundo año consecutivo, evidenciando debilidad en la formulación de las acciones de mejoramiento y de su seguimiento por parte de los responsables como 1a línea, debido a que existen planes de mejora sin implementar y no se reportan avances oportunamente, por lo que es necesario sensibilizar en la importancia de la definición de acciones efectivas, en las responsabilidades del seguimiento a cargo de la 1a línea, y un mayor acompañamiento por parte de la 2da línea. Con relación a la segregación de funciones en el sistema de información SAP, la Oficina de Control Interno ha venido reportando esta situación desde la vigencia 2020, la Gerencia de Tecnologías de la Información formuló un plan de mejoramiento que, tenía fecha de finalización en diciembre de 2024, el cual fue prorrogado hasta diciembre de 2025.</w:t>
            </w:r>
          </w:p>
        </w:tc>
      </w:tr>
    </w:tbl>
    <w:p w14:paraId="7DD3330F" w14:textId="77777777" w:rsidR="00561B22" w:rsidRPr="006269CE" w:rsidRDefault="00561B22" w:rsidP="00561B22">
      <w:pPr>
        <w:pStyle w:val="Textoindependiente"/>
        <w:jc w:val="both"/>
        <w:rPr>
          <w:rFonts w:ascii="Arial" w:hAnsi="Arial" w:cs="Arial"/>
          <w:b/>
          <w:bCs/>
        </w:rPr>
      </w:pPr>
    </w:p>
    <w:p w14:paraId="2A5ABCB0" w14:textId="77777777" w:rsidR="00561B22" w:rsidRPr="006269CE" w:rsidRDefault="00561B22" w:rsidP="00561B22">
      <w:pPr>
        <w:jc w:val="both"/>
        <w:rPr>
          <w:rFonts w:ascii="Arial" w:hAnsi="Arial" w:cs="Arial"/>
          <w:b/>
          <w:lang w:val="es-MX"/>
        </w:rPr>
      </w:pPr>
      <w:r w:rsidRPr="006269CE">
        <w:rPr>
          <w:rFonts w:ascii="Arial" w:hAnsi="Arial" w:cs="Arial"/>
          <w:b/>
          <w:lang w:val="es-MX"/>
        </w:rPr>
        <w:t>Del citado informe retomamos las siguientes recomendaciones:</w:t>
      </w:r>
    </w:p>
    <w:p w14:paraId="760577B0" w14:textId="77777777" w:rsidR="00561B22" w:rsidRPr="006269CE"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269CE" w14:paraId="76784192" w14:textId="77777777" w:rsidTr="00F1223B">
        <w:tc>
          <w:tcPr>
            <w:tcW w:w="562" w:type="dxa"/>
          </w:tcPr>
          <w:p w14:paraId="4ACD8D47"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N°</w:t>
            </w:r>
          </w:p>
        </w:tc>
        <w:tc>
          <w:tcPr>
            <w:tcW w:w="9400" w:type="dxa"/>
          </w:tcPr>
          <w:p w14:paraId="4AB1BDD3"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RECOMENDACIONES</w:t>
            </w:r>
          </w:p>
          <w:p w14:paraId="1FCC2A1C" w14:textId="77777777" w:rsidR="00561B22" w:rsidRPr="006269CE" w:rsidRDefault="00561B22" w:rsidP="00F1223B">
            <w:pPr>
              <w:jc w:val="center"/>
              <w:rPr>
                <w:rFonts w:ascii="Arial" w:hAnsi="Arial" w:cs="Arial"/>
                <w:b/>
                <w:sz w:val="22"/>
                <w:szCs w:val="22"/>
                <w:lang w:val="es-MX"/>
              </w:rPr>
            </w:pPr>
          </w:p>
        </w:tc>
      </w:tr>
      <w:tr w:rsidR="00561B22" w:rsidRPr="006269CE" w14:paraId="70761812" w14:textId="77777777" w:rsidTr="00F1223B">
        <w:tc>
          <w:tcPr>
            <w:tcW w:w="562" w:type="dxa"/>
          </w:tcPr>
          <w:p w14:paraId="7E78703A" w14:textId="77777777" w:rsidR="00561B22" w:rsidRPr="006269CE" w:rsidRDefault="00561B22" w:rsidP="00F1223B">
            <w:pPr>
              <w:jc w:val="center"/>
              <w:rPr>
                <w:rFonts w:ascii="Arial" w:hAnsi="Arial" w:cs="Arial"/>
                <w:b/>
                <w:sz w:val="22"/>
                <w:szCs w:val="22"/>
                <w:lang w:val="es-MX"/>
              </w:rPr>
            </w:pPr>
            <w:r w:rsidRPr="006269CE">
              <w:rPr>
                <w:rFonts w:ascii="Arial" w:hAnsi="Arial" w:cs="Arial"/>
                <w:b/>
                <w:sz w:val="22"/>
                <w:szCs w:val="22"/>
                <w:lang w:val="es-MX"/>
              </w:rPr>
              <w:t>1</w:t>
            </w:r>
          </w:p>
        </w:tc>
        <w:tc>
          <w:tcPr>
            <w:tcW w:w="9400" w:type="dxa"/>
          </w:tcPr>
          <w:p w14:paraId="6D765A60" w14:textId="77777777" w:rsidR="00561B22" w:rsidRPr="006269CE" w:rsidRDefault="00561B22" w:rsidP="00F1223B">
            <w:pPr>
              <w:jc w:val="both"/>
              <w:rPr>
                <w:rFonts w:ascii="Arial" w:hAnsi="Arial" w:cs="Arial"/>
                <w:bCs/>
                <w:sz w:val="22"/>
                <w:szCs w:val="22"/>
                <w:lang w:val="es-MX"/>
              </w:rPr>
            </w:pPr>
            <w:r w:rsidRPr="006269CE">
              <w:rPr>
                <w:rFonts w:ascii="Arial" w:hAnsi="Arial" w:cs="Arial"/>
                <w:bCs/>
                <w:sz w:val="22"/>
                <w:szCs w:val="22"/>
                <w:lang w:val="es-CO"/>
              </w:rPr>
              <w:t>Garantizar la atención y seguimiento a todas las situaciones que han sido objeto de reporte por parte de entes externos como la Superintendencia Financiera de Colombia y la Contraloría General de la República, que reflejan deficiencias de mayor relevancia para el adecuado funcionamiento de los procesos y el cumplimiento de objetivos institucionales, así como de los planes de mejoramiento definidos en respuesta a informes de la Revisoría Fiscal y de la Oficina de Control Interno. De otra parte, se recomienda priorizar la evaluación al riesgo de acceso y segregar adecuadamente las actividades de los usuarios con el fin de subsanar los conflictos de segregación de funciones en el ERP SAP</w:t>
            </w:r>
          </w:p>
        </w:tc>
      </w:tr>
    </w:tbl>
    <w:p w14:paraId="7D866CD6" w14:textId="77777777" w:rsidR="00561B22" w:rsidRDefault="00561B22" w:rsidP="00561B22">
      <w:pPr>
        <w:pStyle w:val="Textoindependiente"/>
        <w:jc w:val="both"/>
        <w:rPr>
          <w:b/>
          <w:bCs/>
          <w:sz w:val="28"/>
          <w:szCs w:val="28"/>
        </w:rPr>
      </w:pPr>
    </w:p>
    <w:p w14:paraId="290A4927" w14:textId="77777777" w:rsidR="00561B22" w:rsidRPr="006269CE" w:rsidRDefault="00561B22" w:rsidP="00561B22">
      <w:pPr>
        <w:jc w:val="both"/>
        <w:rPr>
          <w:rFonts w:ascii="Arial" w:hAnsi="Arial" w:cs="Arial"/>
          <w:b/>
          <w:bCs/>
          <w:sz w:val="24"/>
          <w:szCs w:val="24"/>
          <w:lang w:val="es-CO"/>
        </w:rPr>
      </w:pPr>
      <w:r w:rsidRPr="006269CE">
        <w:rPr>
          <w:rFonts w:ascii="Arial" w:hAnsi="Arial" w:cs="Arial"/>
          <w:b/>
          <w:bCs/>
          <w:sz w:val="24"/>
          <w:szCs w:val="24"/>
          <w:lang w:val="es-CO"/>
        </w:rPr>
        <w:t xml:space="preserve">NOTA: LA ENTIDAD ENVIA LA MATRIZ DE AUTOEVALUACIÓN DEL SISTEMA DE CONTROL INTERNO CONTABLE CON </w:t>
      </w:r>
      <w:r w:rsidRPr="006269CE">
        <w:rPr>
          <w:rFonts w:ascii="Arial" w:hAnsi="Arial" w:cs="Arial"/>
          <w:b/>
          <w:bCs/>
          <w:sz w:val="24"/>
          <w:szCs w:val="24"/>
          <w:u w:val="single"/>
          <w:lang w:val="es-CO"/>
        </w:rPr>
        <w:t>ACTIVIDADES DE CONTROL REALIZADAS EN FORMA PARCIAL</w:t>
      </w:r>
      <w:r w:rsidRPr="006269CE">
        <w:rPr>
          <w:rFonts w:ascii="Arial" w:hAnsi="Arial" w:cs="Arial"/>
          <w:b/>
          <w:bCs/>
          <w:sz w:val="24"/>
          <w:szCs w:val="24"/>
          <w:lang w:val="es-CO"/>
        </w:rPr>
        <w:t>.</w:t>
      </w:r>
    </w:p>
    <w:p w14:paraId="0AA516F1" w14:textId="77777777" w:rsidR="00561B22" w:rsidRDefault="00561B22" w:rsidP="00561B22">
      <w:pPr>
        <w:jc w:val="both"/>
        <w:rPr>
          <w:b/>
          <w:bCs/>
          <w:sz w:val="24"/>
          <w:szCs w:val="24"/>
          <w:lang w:val="es-CO"/>
        </w:rPr>
      </w:pPr>
    </w:p>
    <w:p w14:paraId="7A6DD0BF" w14:textId="77777777" w:rsidR="00561B22" w:rsidRPr="00AC2280" w:rsidRDefault="00561B22" w:rsidP="00561B22">
      <w:pPr>
        <w:jc w:val="both"/>
        <w:rPr>
          <w:rFonts w:ascii="Arial" w:hAnsi="Arial" w:cs="Arial"/>
          <w:b/>
          <w:sz w:val="28"/>
          <w:szCs w:val="28"/>
          <w:lang w:val="es-MX"/>
        </w:rPr>
      </w:pPr>
      <w:r w:rsidRPr="00AC2280">
        <w:rPr>
          <w:rFonts w:ascii="Arial" w:hAnsi="Arial" w:cs="Arial"/>
          <w:b/>
          <w:sz w:val="28"/>
          <w:szCs w:val="28"/>
          <w:lang w:val="es-MX"/>
        </w:rPr>
        <w:t xml:space="preserve">293.- </w:t>
      </w:r>
      <w:r w:rsidRPr="00AC2280">
        <w:rPr>
          <w:rFonts w:ascii="Arial" w:hAnsi="Arial" w:cs="Arial"/>
          <w:b/>
          <w:sz w:val="28"/>
          <w:szCs w:val="28"/>
        </w:rPr>
        <w:t>FONDO PENSIONAL DE SOBREVIVIENTES – COLPENSIONES.</w:t>
      </w:r>
    </w:p>
    <w:p w14:paraId="61EE2E3D" w14:textId="77777777" w:rsidR="00561B22" w:rsidRPr="00037237" w:rsidRDefault="00561B22" w:rsidP="00561B22">
      <w:pPr>
        <w:jc w:val="both"/>
        <w:rPr>
          <w:b/>
          <w:bCs/>
          <w:sz w:val="24"/>
          <w:szCs w:val="24"/>
          <w:lang w:val="es-MX"/>
        </w:rPr>
      </w:pPr>
    </w:p>
    <w:p w14:paraId="0970C7EF" w14:textId="77777777" w:rsidR="00561B22" w:rsidRPr="00037237" w:rsidRDefault="00561B22" w:rsidP="00561B22">
      <w:pPr>
        <w:pStyle w:val="Textoindependiente"/>
        <w:jc w:val="center"/>
        <w:rPr>
          <w:rFonts w:ascii="Arial" w:hAnsi="Arial" w:cs="Arial"/>
          <w:b/>
          <w:bCs/>
        </w:rPr>
      </w:pPr>
      <w:r w:rsidRPr="00037237">
        <w:rPr>
          <w:rFonts w:ascii="Arial" w:hAnsi="Arial" w:cs="Arial"/>
          <w:b/>
          <w:bCs/>
        </w:rPr>
        <w:t>INFORME DE LA AUTOCALIFICACIÓN DEL SISTEMA DE CONTROL INTERNO CONTABLE:</w:t>
      </w:r>
    </w:p>
    <w:p w14:paraId="46B2D345" w14:textId="77777777" w:rsidR="00561B22" w:rsidRPr="00037237"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064"/>
        <w:gridCol w:w="2814"/>
        <w:gridCol w:w="3084"/>
      </w:tblGrid>
      <w:tr w:rsidR="00561B22" w:rsidRPr="00037237" w14:paraId="71241E1D" w14:textId="77777777" w:rsidTr="00F1223B">
        <w:tc>
          <w:tcPr>
            <w:tcW w:w="4064" w:type="dxa"/>
          </w:tcPr>
          <w:p w14:paraId="555FE7CA"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AUTOCALIFICACIÓN</w:t>
            </w:r>
          </w:p>
        </w:tc>
        <w:tc>
          <w:tcPr>
            <w:tcW w:w="2814" w:type="dxa"/>
          </w:tcPr>
          <w:p w14:paraId="5B4C1589" w14:textId="77777777" w:rsidR="00561B22" w:rsidRPr="00037237" w:rsidRDefault="00561B22" w:rsidP="00F1223B">
            <w:pPr>
              <w:jc w:val="center"/>
              <w:rPr>
                <w:rFonts w:ascii="Arial" w:hAnsi="Arial" w:cs="Arial"/>
                <w:b/>
                <w:sz w:val="22"/>
                <w:szCs w:val="22"/>
                <w:u w:val="single"/>
                <w:lang w:val="es-MX"/>
              </w:rPr>
            </w:pPr>
          </w:p>
        </w:tc>
        <w:tc>
          <w:tcPr>
            <w:tcW w:w="3084" w:type="dxa"/>
          </w:tcPr>
          <w:p w14:paraId="10E30ADB" w14:textId="77777777" w:rsidR="00561B22" w:rsidRPr="00037237" w:rsidRDefault="00561B22" w:rsidP="00F1223B">
            <w:pPr>
              <w:jc w:val="center"/>
              <w:rPr>
                <w:rFonts w:ascii="Arial" w:hAnsi="Arial" w:cs="Arial"/>
                <w:b/>
                <w:sz w:val="22"/>
                <w:szCs w:val="22"/>
                <w:u w:val="single"/>
                <w:lang w:val="es-MX"/>
              </w:rPr>
            </w:pPr>
            <w:r w:rsidRPr="00037237">
              <w:rPr>
                <w:rFonts w:ascii="Arial" w:hAnsi="Arial" w:cs="Arial"/>
                <w:b/>
                <w:sz w:val="22"/>
                <w:szCs w:val="22"/>
                <w:u w:val="single"/>
                <w:lang w:val="es-MX"/>
              </w:rPr>
              <w:t>4.95</w:t>
            </w:r>
          </w:p>
        </w:tc>
      </w:tr>
    </w:tbl>
    <w:p w14:paraId="11A44556" w14:textId="77777777" w:rsidR="00561B22" w:rsidRPr="00037237" w:rsidRDefault="00561B22" w:rsidP="00561B22">
      <w:pPr>
        <w:pStyle w:val="Textoindependiente"/>
        <w:jc w:val="both"/>
        <w:rPr>
          <w:rFonts w:ascii="Arial" w:hAnsi="Arial" w:cs="Arial"/>
          <w:b/>
          <w:bCs/>
        </w:rPr>
      </w:pPr>
    </w:p>
    <w:p w14:paraId="66049F06" w14:textId="77777777" w:rsidR="00561B22" w:rsidRPr="00037237" w:rsidRDefault="00561B22" w:rsidP="00561B22">
      <w:pPr>
        <w:pStyle w:val="Textoindependiente"/>
        <w:jc w:val="both"/>
        <w:rPr>
          <w:rFonts w:ascii="Arial" w:hAnsi="Arial" w:cs="Arial"/>
          <w:b/>
          <w:bCs/>
        </w:rPr>
      </w:pPr>
      <w:r w:rsidRPr="00037237">
        <w:rPr>
          <w:rFonts w:ascii="Arial" w:hAnsi="Arial" w:cs="Arial"/>
          <w:b/>
          <w:bCs/>
        </w:rPr>
        <w:t>Del informe enviado retomamos lo siguiente:</w:t>
      </w:r>
    </w:p>
    <w:p w14:paraId="5A559E84" w14:textId="77777777" w:rsidR="00561B22" w:rsidRPr="00037237"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37237" w14:paraId="23900934" w14:textId="77777777" w:rsidTr="00F1223B">
        <w:tc>
          <w:tcPr>
            <w:tcW w:w="562" w:type="dxa"/>
          </w:tcPr>
          <w:p w14:paraId="21AF1907"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N°</w:t>
            </w:r>
          </w:p>
        </w:tc>
        <w:tc>
          <w:tcPr>
            <w:tcW w:w="9400" w:type="dxa"/>
          </w:tcPr>
          <w:p w14:paraId="555FEAAC"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DEBILIDADES</w:t>
            </w:r>
          </w:p>
          <w:p w14:paraId="5BBAAD1D" w14:textId="77777777" w:rsidR="00561B22" w:rsidRPr="00037237" w:rsidRDefault="00561B22" w:rsidP="00F1223B">
            <w:pPr>
              <w:jc w:val="center"/>
              <w:rPr>
                <w:rFonts w:ascii="Arial" w:hAnsi="Arial" w:cs="Arial"/>
                <w:b/>
                <w:sz w:val="22"/>
                <w:szCs w:val="22"/>
                <w:lang w:val="es-MX"/>
              </w:rPr>
            </w:pPr>
          </w:p>
        </w:tc>
      </w:tr>
      <w:tr w:rsidR="00561B22" w:rsidRPr="00037237" w14:paraId="115B5E99" w14:textId="77777777" w:rsidTr="00F1223B">
        <w:tc>
          <w:tcPr>
            <w:tcW w:w="562" w:type="dxa"/>
          </w:tcPr>
          <w:p w14:paraId="67BDD74C"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1</w:t>
            </w:r>
          </w:p>
        </w:tc>
        <w:tc>
          <w:tcPr>
            <w:tcW w:w="9400" w:type="dxa"/>
          </w:tcPr>
          <w:p w14:paraId="78F95C6B" w14:textId="77777777" w:rsidR="00561B22" w:rsidRPr="00037237" w:rsidRDefault="00561B22" w:rsidP="00F1223B">
            <w:pPr>
              <w:jc w:val="both"/>
              <w:rPr>
                <w:rFonts w:ascii="Arial" w:hAnsi="Arial" w:cs="Arial"/>
                <w:bCs/>
                <w:sz w:val="22"/>
                <w:szCs w:val="22"/>
                <w:lang w:val="es-MX"/>
              </w:rPr>
            </w:pPr>
            <w:r w:rsidRPr="00037237">
              <w:rPr>
                <w:rFonts w:ascii="Arial" w:hAnsi="Arial" w:cs="Arial"/>
                <w:bCs/>
                <w:sz w:val="22"/>
                <w:szCs w:val="22"/>
                <w:lang w:val="es-CO"/>
              </w:rPr>
              <w:t xml:space="preserve">Si bien la Entidad ha fortalecido el lineamiento de planes de mejoramiento, se identificó que prevalecen debilidades en la formulación, implementación y seguimiento de los planes de mejoramiento por las diferentes fuentes generadoras, teniendo en cuenta que la Contraloría General de la República determinó como inefectivo el plan de mejoramiento implementado por la entidad por segundo año consecutivo, evidenciando debilidad en la formulación de las acciones de mejoramiento y de su seguimiento por parte de los responsables como 1a línea, debido a que existen planes de mejora sin implementar y no se reportan avances oportunamente, por lo que es necesario sensibilizar en la importancia de la definición de acciones efectivas, en las responsabilidades del seguimiento a cargo de la 1a línea, y un mayor acompañamiento por parte de la 2da línea. Con relación a la segregación de funciones en el </w:t>
            </w:r>
            <w:r w:rsidRPr="00037237">
              <w:rPr>
                <w:rFonts w:ascii="Arial" w:hAnsi="Arial" w:cs="Arial"/>
                <w:bCs/>
                <w:sz w:val="22"/>
                <w:szCs w:val="22"/>
                <w:lang w:val="es-CO"/>
              </w:rPr>
              <w:lastRenderedPageBreak/>
              <w:t>sistema de información SAP, la Oficina de Control Interno ha venido reportando esta situación desde la vigencia 2020, la Gerencia de Tecnologías de la Información formuló un plan de mejoramiento que, tenía fecha de finalización en diciembre de 2024, el cual fue prorrogado hasta diciembre de 2025.</w:t>
            </w:r>
          </w:p>
        </w:tc>
      </w:tr>
    </w:tbl>
    <w:p w14:paraId="7948D272" w14:textId="77777777" w:rsidR="00561B22" w:rsidRPr="00037237" w:rsidRDefault="00561B22" w:rsidP="00561B22">
      <w:pPr>
        <w:pStyle w:val="Textoindependiente"/>
        <w:jc w:val="both"/>
        <w:rPr>
          <w:rFonts w:ascii="Arial" w:hAnsi="Arial" w:cs="Arial"/>
          <w:b/>
          <w:bCs/>
        </w:rPr>
      </w:pPr>
    </w:p>
    <w:p w14:paraId="79BE4876" w14:textId="77777777" w:rsidR="00561B22" w:rsidRPr="00037237" w:rsidRDefault="00561B22" w:rsidP="00561B22">
      <w:pPr>
        <w:jc w:val="both"/>
        <w:rPr>
          <w:rFonts w:ascii="Arial" w:hAnsi="Arial" w:cs="Arial"/>
          <w:b/>
          <w:lang w:val="es-MX"/>
        </w:rPr>
      </w:pPr>
      <w:r w:rsidRPr="00037237">
        <w:rPr>
          <w:rFonts w:ascii="Arial" w:hAnsi="Arial" w:cs="Arial"/>
          <w:b/>
          <w:lang w:val="es-MX"/>
        </w:rPr>
        <w:t>Del citado informe retomamos las siguientes recomendaciones:</w:t>
      </w:r>
    </w:p>
    <w:p w14:paraId="13EECA2F" w14:textId="77777777" w:rsidR="00561B22" w:rsidRPr="00037237"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037237" w14:paraId="2955BF21" w14:textId="77777777" w:rsidTr="00F1223B">
        <w:tc>
          <w:tcPr>
            <w:tcW w:w="562" w:type="dxa"/>
          </w:tcPr>
          <w:p w14:paraId="4ACF3588"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N°</w:t>
            </w:r>
          </w:p>
        </w:tc>
        <w:tc>
          <w:tcPr>
            <w:tcW w:w="9400" w:type="dxa"/>
          </w:tcPr>
          <w:p w14:paraId="0A456EB0"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RECOMENDACIONES</w:t>
            </w:r>
          </w:p>
          <w:p w14:paraId="24B405F8" w14:textId="77777777" w:rsidR="00561B22" w:rsidRPr="00037237" w:rsidRDefault="00561B22" w:rsidP="00F1223B">
            <w:pPr>
              <w:jc w:val="center"/>
              <w:rPr>
                <w:rFonts w:ascii="Arial" w:hAnsi="Arial" w:cs="Arial"/>
                <w:b/>
                <w:sz w:val="22"/>
                <w:szCs w:val="22"/>
                <w:lang w:val="es-MX"/>
              </w:rPr>
            </w:pPr>
          </w:p>
        </w:tc>
      </w:tr>
      <w:tr w:rsidR="00561B22" w:rsidRPr="00037237" w14:paraId="2872F144" w14:textId="77777777" w:rsidTr="00F1223B">
        <w:tc>
          <w:tcPr>
            <w:tcW w:w="562" w:type="dxa"/>
          </w:tcPr>
          <w:p w14:paraId="59922C21" w14:textId="77777777" w:rsidR="00561B22" w:rsidRPr="00037237" w:rsidRDefault="00561B22" w:rsidP="00F1223B">
            <w:pPr>
              <w:jc w:val="center"/>
              <w:rPr>
                <w:rFonts w:ascii="Arial" w:hAnsi="Arial" w:cs="Arial"/>
                <w:b/>
                <w:sz w:val="22"/>
                <w:szCs w:val="22"/>
                <w:lang w:val="es-MX"/>
              </w:rPr>
            </w:pPr>
            <w:r w:rsidRPr="00037237">
              <w:rPr>
                <w:rFonts w:ascii="Arial" w:hAnsi="Arial" w:cs="Arial"/>
                <w:b/>
                <w:sz w:val="22"/>
                <w:szCs w:val="22"/>
                <w:lang w:val="es-MX"/>
              </w:rPr>
              <w:t>1</w:t>
            </w:r>
          </w:p>
        </w:tc>
        <w:tc>
          <w:tcPr>
            <w:tcW w:w="9400" w:type="dxa"/>
          </w:tcPr>
          <w:p w14:paraId="57B3D158" w14:textId="77777777" w:rsidR="00561B22" w:rsidRPr="00037237" w:rsidRDefault="00561B22" w:rsidP="00F1223B">
            <w:pPr>
              <w:jc w:val="both"/>
              <w:rPr>
                <w:rFonts w:ascii="Arial" w:hAnsi="Arial" w:cs="Arial"/>
                <w:bCs/>
                <w:sz w:val="22"/>
                <w:szCs w:val="22"/>
                <w:lang w:val="es-MX"/>
              </w:rPr>
            </w:pPr>
            <w:r w:rsidRPr="00037237">
              <w:rPr>
                <w:rFonts w:ascii="Arial" w:hAnsi="Arial" w:cs="Arial"/>
                <w:bCs/>
                <w:sz w:val="22"/>
                <w:szCs w:val="22"/>
                <w:lang w:val="es-CO"/>
              </w:rPr>
              <w:t>Garantizar la atención y seguimiento a todas las situaciones que han sido objeto de reporte por parte de entes externos como la Superintendencia Financiera de Colombia y la Contraloría General de la República, que reflejan deficiencias de mayor relevancia para el adecuado funcionamiento de los procesos y el cumplimiento de objetivos institucionales, así como de los planes de mejoramiento definidos en respuesta a informes de la Revisoría Fiscal y de la Oficina de Control Interno. De otra parte, se recomienda priorizar la evaluación al riesgo de acceso y segregar adecuadamente las actividades de los usuarios con el fin de subsanar los conflictos de segregación de funciones en el ERP SAP</w:t>
            </w:r>
          </w:p>
        </w:tc>
      </w:tr>
    </w:tbl>
    <w:p w14:paraId="5C9E7E71" w14:textId="77777777" w:rsidR="00561B22" w:rsidRPr="00037237" w:rsidRDefault="00561B22" w:rsidP="00561B22">
      <w:pPr>
        <w:pStyle w:val="Textoindependiente"/>
        <w:jc w:val="both"/>
        <w:rPr>
          <w:rFonts w:ascii="Arial" w:hAnsi="Arial" w:cs="Arial"/>
          <w:b/>
          <w:bCs/>
        </w:rPr>
      </w:pPr>
    </w:p>
    <w:p w14:paraId="47658C7E" w14:textId="77777777" w:rsidR="00561B22" w:rsidRPr="00037237" w:rsidRDefault="00561B22" w:rsidP="00561B22">
      <w:pPr>
        <w:jc w:val="both"/>
        <w:rPr>
          <w:rFonts w:ascii="Arial" w:hAnsi="Arial" w:cs="Arial"/>
          <w:b/>
          <w:bCs/>
          <w:sz w:val="24"/>
          <w:szCs w:val="24"/>
          <w:lang w:val="es-CO"/>
        </w:rPr>
      </w:pPr>
      <w:r w:rsidRPr="00037237">
        <w:rPr>
          <w:rFonts w:ascii="Arial" w:hAnsi="Arial" w:cs="Arial"/>
          <w:b/>
          <w:bCs/>
          <w:sz w:val="24"/>
          <w:szCs w:val="24"/>
          <w:lang w:val="es-CO"/>
        </w:rPr>
        <w:t xml:space="preserve">NOTA: LA ENTIDAD ENVIA LA MATRIZ DE AUTOEVALUACIÓN DEL SISTEMA DE CONTROL INTERNO CONTABLE CON </w:t>
      </w:r>
      <w:r w:rsidRPr="00037237">
        <w:rPr>
          <w:rFonts w:ascii="Arial" w:hAnsi="Arial" w:cs="Arial"/>
          <w:b/>
          <w:bCs/>
          <w:sz w:val="24"/>
          <w:szCs w:val="24"/>
          <w:u w:val="single"/>
          <w:lang w:val="es-CO"/>
        </w:rPr>
        <w:t>ACTIVIDADES DE CONTROL REALIZADAS EN FORMA PARCIAL</w:t>
      </w:r>
      <w:r w:rsidRPr="00037237">
        <w:rPr>
          <w:rFonts w:ascii="Arial" w:hAnsi="Arial" w:cs="Arial"/>
          <w:b/>
          <w:bCs/>
          <w:sz w:val="24"/>
          <w:szCs w:val="24"/>
          <w:lang w:val="es-CO"/>
        </w:rPr>
        <w:t>.</w:t>
      </w:r>
    </w:p>
    <w:p w14:paraId="1DCB96A4" w14:textId="77777777" w:rsidR="00561B22" w:rsidRPr="0067097C" w:rsidRDefault="00561B22" w:rsidP="00561B22">
      <w:pPr>
        <w:jc w:val="both"/>
        <w:rPr>
          <w:b/>
          <w:bCs/>
          <w:sz w:val="24"/>
          <w:szCs w:val="24"/>
          <w:lang w:val="es-CO"/>
        </w:rPr>
      </w:pPr>
    </w:p>
    <w:p w14:paraId="265ED564" w14:textId="77777777" w:rsidR="00561B22" w:rsidRPr="00C56FD2" w:rsidRDefault="00561B22" w:rsidP="00561B22">
      <w:pPr>
        <w:jc w:val="both"/>
        <w:rPr>
          <w:rFonts w:ascii="Arial" w:hAnsi="Arial" w:cs="Arial"/>
          <w:b/>
          <w:sz w:val="28"/>
          <w:szCs w:val="28"/>
          <w:lang w:val="es-MX"/>
        </w:rPr>
      </w:pPr>
      <w:r w:rsidRPr="00C56FD2">
        <w:rPr>
          <w:rFonts w:ascii="Arial" w:hAnsi="Arial" w:cs="Arial"/>
          <w:b/>
          <w:sz w:val="28"/>
          <w:szCs w:val="28"/>
          <w:lang w:val="es-MX"/>
        </w:rPr>
        <w:t xml:space="preserve">294.- </w:t>
      </w:r>
      <w:r w:rsidRPr="00C56FD2">
        <w:rPr>
          <w:rFonts w:ascii="Arial" w:hAnsi="Arial" w:cs="Arial"/>
          <w:b/>
          <w:sz w:val="28"/>
          <w:szCs w:val="28"/>
        </w:rPr>
        <w:t>FONDO DE BENEFICIOS ECONÓMICOS PERIÓDICOS – BEPS - COLPENSIONES</w:t>
      </w:r>
      <w:r w:rsidRPr="00C56FD2">
        <w:rPr>
          <w:rFonts w:ascii="Arial" w:hAnsi="Arial" w:cs="Arial"/>
          <w:b/>
          <w:sz w:val="28"/>
          <w:szCs w:val="28"/>
          <w:lang w:val="es-MX"/>
        </w:rPr>
        <w:t>.</w:t>
      </w:r>
    </w:p>
    <w:p w14:paraId="1F2D1F91" w14:textId="77777777" w:rsidR="00561B22" w:rsidRPr="00C56FD2" w:rsidRDefault="00561B22" w:rsidP="00561B22">
      <w:pPr>
        <w:pStyle w:val="Prrafodelista"/>
        <w:spacing w:before="92"/>
        <w:ind w:left="-142"/>
        <w:rPr>
          <w:rFonts w:ascii="Arial" w:hAnsi="Arial" w:cs="Arial"/>
          <w:b/>
          <w:sz w:val="24"/>
        </w:rPr>
      </w:pPr>
    </w:p>
    <w:p w14:paraId="2120C708" w14:textId="77777777" w:rsidR="00561B22" w:rsidRPr="00C56FD2" w:rsidRDefault="00561B22" w:rsidP="00561B22">
      <w:pPr>
        <w:pStyle w:val="Prrafodelista"/>
        <w:ind w:left="0"/>
        <w:jc w:val="center"/>
        <w:rPr>
          <w:rFonts w:ascii="Arial" w:hAnsi="Arial" w:cs="Arial"/>
          <w:b/>
          <w:bCs/>
        </w:rPr>
      </w:pPr>
      <w:r w:rsidRPr="00C56FD2">
        <w:rPr>
          <w:rFonts w:ascii="Arial" w:hAnsi="Arial" w:cs="Arial"/>
          <w:b/>
          <w:bCs/>
        </w:rPr>
        <w:t>INFORME DE LA AUTOCALIFICACIÓN DEL SISTEMA DE CONTROL INTERNO CONTABLE:</w:t>
      </w:r>
    </w:p>
    <w:p w14:paraId="01805115" w14:textId="77777777" w:rsidR="00561B22" w:rsidRPr="00C56FD2"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56FD2" w14:paraId="432153C9" w14:textId="77777777" w:rsidTr="00F1223B">
        <w:tc>
          <w:tcPr>
            <w:tcW w:w="4981" w:type="dxa"/>
          </w:tcPr>
          <w:p w14:paraId="32B33792" w14:textId="77777777" w:rsidR="00561B22" w:rsidRPr="00C56FD2" w:rsidRDefault="00561B22" w:rsidP="00F1223B">
            <w:pPr>
              <w:jc w:val="center"/>
              <w:rPr>
                <w:rFonts w:ascii="Arial" w:hAnsi="Arial" w:cs="Arial"/>
                <w:b/>
                <w:sz w:val="22"/>
                <w:szCs w:val="22"/>
                <w:lang w:val="es-MX"/>
              </w:rPr>
            </w:pPr>
            <w:r w:rsidRPr="00C56FD2">
              <w:rPr>
                <w:rFonts w:ascii="Arial" w:hAnsi="Arial" w:cs="Arial"/>
                <w:b/>
                <w:sz w:val="22"/>
                <w:szCs w:val="22"/>
                <w:lang w:val="es-MX"/>
              </w:rPr>
              <w:t>AUTOCALIFICACIÓN</w:t>
            </w:r>
          </w:p>
        </w:tc>
        <w:tc>
          <w:tcPr>
            <w:tcW w:w="4981" w:type="dxa"/>
          </w:tcPr>
          <w:p w14:paraId="2067A493" w14:textId="77777777" w:rsidR="00561B22" w:rsidRPr="00C56FD2" w:rsidRDefault="00561B22" w:rsidP="00F1223B">
            <w:pPr>
              <w:jc w:val="center"/>
              <w:rPr>
                <w:rFonts w:ascii="Arial" w:hAnsi="Arial" w:cs="Arial"/>
                <w:b/>
                <w:sz w:val="22"/>
                <w:szCs w:val="22"/>
                <w:u w:val="single"/>
                <w:lang w:val="es-MX"/>
              </w:rPr>
            </w:pPr>
            <w:r w:rsidRPr="00C56FD2">
              <w:rPr>
                <w:rFonts w:ascii="Arial" w:hAnsi="Arial" w:cs="Arial"/>
                <w:b/>
                <w:sz w:val="22"/>
                <w:szCs w:val="22"/>
                <w:u w:val="single"/>
                <w:lang w:val="es-MX"/>
              </w:rPr>
              <w:t>4.95</w:t>
            </w:r>
          </w:p>
        </w:tc>
      </w:tr>
    </w:tbl>
    <w:p w14:paraId="709826F0" w14:textId="77777777" w:rsidR="00561B22" w:rsidRPr="00C56FD2" w:rsidRDefault="00561B22" w:rsidP="00561B22">
      <w:pPr>
        <w:pStyle w:val="Textoindependiente"/>
        <w:jc w:val="both"/>
        <w:rPr>
          <w:rFonts w:ascii="Arial" w:hAnsi="Arial" w:cs="Arial"/>
          <w:b/>
          <w:bCs/>
        </w:rPr>
      </w:pPr>
    </w:p>
    <w:p w14:paraId="181AB056" w14:textId="77777777" w:rsidR="00561B22" w:rsidRPr="00C56FD2" w:rsidRDefault="00561B22" w:rsidP="00561B22">
      <w:pPr>
        <w:pStyle w:val="Textoindependiente"/>
        <w:jc w:val="both"/>
        <w:rPr>
          <w:rFonts w:ascii="Arial" w:hAnsi="Arial" w:cs="Arial"/>
          <w:b/>
          <w:bCs/>
        </w:rPr>
      </w:pPr>
      <w:r w:rsidRPr="00C56FD2">
        <w:rPr>
          <w:rFonts w:ascii="Arial" w:hAnsi="Arial" w:cs="Arial"/>
          <w:b/>
          <w:bCs/>
        </w:rPr>
        <w:t>Del informe enviado retomamos lo siguiente:</w:t>
      </w:r>
    </w:p>
    <w:p w14:paraId="52EBA37D" w14:textId="77777777" w:rsidR="00561B22" w:rsidRPr="00C56FD2"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56FD2" w14:paraId="7A14609C" w14:textId="77777777" w:rsidTr="00F1223B">
        <w:tc>
          <w:tcPr>
            <w:tcW w:w="562" w:type="dxa"/>
          </w:tcPr>
          <w:p w14:paraId="34EBE0DB" w14:textId="77777777" w:rsidR="00561B22" w:rsidRPr="00C56FD2" w:rsidRDefault="00561B22" w:rsidP="00F1223B">
            <w:pPr>
              <w:jc w:val="center"/>
              <w:rPr>
                <w:rFonts w:ascii="Arial" w:hAnsi="Arial" w:cs="Arial"/>
                <w:b/>
                <w:sz w:val="22"/>
                <w:szCs w:val="22"/>
                <w:lang w:val="es-MX"/>
              </w:rPr>
            </w:pPr>
            <w:r w:rsidRPr="00C56FD2">
              <w:rPr>
                <w:rFonts w:ascii="Arial" w:hAnsi="Arial" w:cs="Arial"/>
                <w:b/>
                <w:sz w:val="22"/>
                <w:szCs w:val="22"/>
                <w:lang w:val="es-MX"/>
              </w:rPr>
              <w:t>N°</w:t>
            </w:r>
          </w:p>
        </w:tc>
        <w:tc>
          <w:tcPr>
            <w:tcW w:w="9400" w:type="dxa"/>
          </w:tcPr>
          <w:p w14:paraId="581E015B" w14:textId="77777777" w:rsidR="00561B22" w:rsidRPr="00C56FD2" w:rsidRDefault="00561B22" w:rsidP="00F1223B">
            <w:pPr>
              <w:jc w:val="center"/>
              <w:rPr>
                <w:rFonts w:ascii="Arial" w:hAnsi="Arial" w:cs="Arial"/>
                <w:b/>
                <w:sz w:val="22"/>
                <w:szCs w:val="22"/>
                <w:lang w:val="es-MX"/>
              </w:rPr>
            </w:pPr>
            <w:r w:rsidRPr="00C56FD2">
              <w:rPr>
                <w:rFonts w:ascii="Arial" w:hAnsi="Arial" w:cs="Arial"/>
                <w:b/>
                <w:sz w:val="22"/>
                <w:szCs w:val="22"/>
                <w:lang w:val="es-MX"/>
              </w:rPr>
              <w:t>DEBILIDADES</w:t>
            </w:r>
          </w:p>
          <w:p w14:paraId="1226EB0F" w14:textId="77777777" w:rsidR="00561B22" w:rsidRPr="00C56FD2" w:rsidRDefault="00561B22" w:rsidP="00F1223B">
            <w:pPr>
              <w:jc w:val="center"/>
              <w:rPr>
                <w:rFonts w:ascii="Arial" w:hAnsi="Arial" w:cs="Arial"/>
                <w:b/>
                <w:sz w:val="22"/>
                <w:szCs w:val="22"/>
                <w:lang w:val="es-MX"/>
              </w:rPr>
            </w:pPr>
          </w:p>
        </w:tc>
      </w:tr>
      <w:tr w:rsidR="00561B22" w:rsidRPr="00C56FD2" w14:paraId="415E24CA" w14:textId="77777777" w:rsidTr="00F1223B">
        <w:tc>
          <w:tcPr>
            <w:tcW w:w="562" w:type="dxa"/>
          </w:tcPr>
          <w:p w14:paraId="7ACB296B" w14:textId="77777777" w:rsidR="00561B22" w:rsidRPr="00C56FD2" w:rsidRDefault="00561B22" w:rsidP="00F1223B">
            <w:pPr>
              <w:jc w:val="center"/>
              <w:rPr>
                <w:rFonts w:ascii="Arial" w:hAnsi="Arial" w:cs="Arial"/>
                <w:b/>
                <w:sz w:val="22"/>
                <w:szCs w:val="22"/>
                <w:lang w:val="es-MX"/>
              </w:rPr>
            </w:pPr>
            <w:r w:rsidRPr="00C56FD2">
              <w:rPr>
                <w:rFonts w:ascii="Arial" w:hAnsi="Arial" w:cs="Arial"/>
                <w:b/>
                <w:sz w:val="22"/>
                <w:szCs w:val="22"/>
                <w:lang w:val="es-MX"/>
              </w:rPr>
              <w:t>1</w:t>
            </w:r>
          </w:p>
        </w:tc>
        <w:tc>
          <w:tcPr>
            <w:tcW w:w="9400" w:type="dxa"/>
          </w:tcPr>
          <w:p w14:paraId="5F00EBAD" w14:textId="77777777" w:rsidR="00561B22" w:rsidRPr="00C56FD2" w:rsidRDefault="00561B22" w:rsidP="00F1223B">
            <w:pPr>
              <w:jc w:val="both"/>
              <w:rPr>
                <w:rFonts w:ascii="Arial" w:hAnsi="Arial" w:cs="Arial"/>
                <w:bCs/>
                <w:sz w:val="22"/>
                <w:szCs w:val="22"/>
                <w:lang w:val="es-MX"/>
              </w:rPr>
            </w:pPr>
            <w:r w:rsidRPr="00C56FD2">
              <w:rPr>
                <w:rFonts w:ascii="Arial" w:hAnsi="Arial" w:cs="Arial"/>
                <w:bCs/>
                <w:sz w:val="22"/>
                <w:szCs w:val="22"/>
                <w:lang w:val="es-CO"/>
              </w:rPr>
              <w:t>Si bien la Entidad ha fortalecido el lineamiento de planes de mejoramiento, se identificó que prevalecen debilidades en la formulación, implementación y seguimiento de los planes de mejoramiento por las diferentes fuentes generadoras, teniendo en cuenta que la Contraloría General de la República determinó como inefectivo el plan de mejoramiento implementado por la entidad por segundo año consecutivo, evidenciando debilidad en la formulación de las acciones de mejoramiento y de su seguimiento por parte de los responsables como 1a línea, debido a que existen planes de mejora sin implementar y no se reportan avances oportunamente, por lo que es necesario sensibilizar en la importancia de la definición de acciones efectivas, en las responsabilidades del seguimiento a cargo de la 1a línea, y un mayor acompañamiento por parte de la 2da línea. Con relación a la segregación de funciones en el sistema de información SAP, la Oficina de Control Interno ha venido reportando esta situación desde la vigencia 2020, la Gerencia de Tecnologías de la Información formuló un plan de mejoramiento que, tenía fecha de finalización en diciembre de 2024, el cual fue prorrogado hasta diciembre de 2025.</w:t>
            </w:r>
          </w:p>
        </w:tc>
      </w:tr>
    </w:tbl>
    <w:p w14:paraId="53B62429" w14:textId="77777777" w:rsidR="00561B22" w:rsidRPr="00C56FD2" w:rsidRDefault="00561B22" w:rsidP="00561B22">
      <w:pPr>
        <w:pStyle w:val="Textoindependiente"/>
        <w:jc w:val="both"/>
        <w:rPr>
          <w:rFonts w:ascii="Arial" w:hAnsi="Arial" w:cs="Arial"/>
          <w:b/>
          <w:bCs/>
        </w:rPr>
      </w:pPr>
    </w:p>
    <w:p w14:paraId="0D961D60" w14:textId="77777777" w:rsidR="00561B22" w:rsidRPr="00C56FD2" w:rsidRDefault="00561B22" w:rsidP="00561B22">
      <w:pPr>
        <w:jc w:val="both"/>
        <w:rPr>
          <w:rFonts w:ascii="Arial" w:hAnsi="Arial" w:cs="Arial"/>
          <w:b/>
          <w:lang w:val="es-MX"/>
        </w:rPr>
      </w:pPr>
      <w:r w:rsidRPr="00C56FD2">
        <w:rPr>
          <w:rFonts w:ascii="Arial" w:hAnsi="Arial" w:cs="Arial"/>
          <w:b/>
          <w:lang w:val="es-MX"/>
        </w:rPr>
        <w:t>Del citado informe retomamos las siguientes recomendaciones:</w:t>
      </w:r>
    </w:p>
    <w:p w14:paraId="52F1B59B" w14:textId="77777777" w:rsidR="00561B22" w:rsidRPr="00C56FD2"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C56FD2" w14:paraId="478E79D7" w14:textId="77777777" w:rsidTr="00F1223B">
        <w:tc>
          <w:tcPr>
            <w:tcW w:w="562" w:type="dxa"/>
          </w:tcPr>
          <w:p w14:paraId="1DD0CAF6" w14:textId="77777777" w:rsidR="00561B22" w:rsidRPr="00C56FD2" w:rsidRDefault="00561B22" w:rsidP="00F1223B">
            <w:pPr>
              <w:jc w:val="center"/>
              <w:rPr>
                <w:rFonts w:ascii="Arial" w:hAnsi="Arial" w:cs="Arial"/>
                <w:b/>
                <w:sz w:val="22"/>
                <w:szCs w:val="22"/>
                <w:lang w:val="es-MX"/>
              </w:rPr>
            </w:pPr>
            <w:r w:rsidRPr="00C56FD2">
              <w:rPr>
                <w:rFonts w:ascii="Arial" w:hAnsi="Arial" w:cs="Arial"/>
                <w:b/>
                <w:sz w:val="22"/>
                <w:szCs w:val="22"/>
                <w:lang w:val="es-MX"/>
              </w:rPr>
              <w:t>N°</w:t>
            </w:r>
          </w:p>
        </w:tc>
        <w:tc>
          <w:tcPr>
            <w:tcW w:w="9400" w:type="dxa"/>
          </w:tcPr>
          <w:p w14:paraId="1C1AB495" w14:textId="61D425D4" w:rsidR="00561B22" w:rsidRPr="00C56FD2" w:rsidRDefault="00561B22" w:rsidP="001D36B9">
            <w:pPr>
              <w:jc w:val="center"/>
              <w:rPr>
                <w:rFonts w:ascii="Arial" w:hAnsi="Arial" w:cs="Arial"/>
                <w:b/>
                <w:sz w:val="22"/>
                <w:szCs w:val="22"/>
                <w:lang w:val="es-MX"/>
              </w:rPr>
            </w:pPr>
            <w:r w:rsidRPr="00C56FD2">
              <w:rPr>
                <w:rFonts w:ascii="Arial" w:hAnsi="Arial" w:cs="Arial"/>
                <w:b/>
                <w:sz w:val="22"/>
                <w:szCs w:val="22"/>
                <w:lang w:val="es-MX"/>
              </w:rPr>
              <w:t>RECOMENDACIONES</w:t>
            </w:r>
          </w:p>
        </w:tc>
      </w:tr>
      <w:tr w:rsidR="00561B22" w:rsidRPr="00C56FD2" w14:paraId="676AF427" w14:textId="77777777" w:rsidTr="00F1223B">
        <w:tc>
          <w:tcPr>
            <w:tcW w:w="562" w:type="dxa"/>
          </w:tcPr>
          <w:p w14:paraId="3FE51269" w14:textId="77777777" w:rsidR="00561B22" w:rsidRPr="00C56FD2" w:rsidRDefault="00561B22" w:rsidP="00F1223B">
            <w:pPr>
              <w:jc w:val="center"/>
              <w:rPr>
                <w:rFonts w:ascii="Arial" w:hAnsi="Arial" w:cs="Arial"/>
                <w:b/>
                <w:sz w:val="22"/>
                <w:szCs w:val="22"/>
                <w:lang w:val="es-MX"/>
              </w:rPr>
            </w:pPr>
            <w:r w:rsidRPr="00C56FD2">
              <w:rPr>
                <w:rFonts w:ascii="Arial" w:hAnsi="Arial" w:cs="Arial"/>
                <w:b/>
                <w:sz w:val="22"/>
                <w:szCs w:val="22"/>
                <w:lang w:val="es-MX"/>
              </w:rPr>
              <w:lastRenderedPageBreak/>
              <w:t>1</w:t>
            </w:r>
          </w:p>
        </w:tc>
        <w:tc>
          <w:tcPr>
            <w:tcW w:w="9400" w:type="dxa"/>
          </w:tcPr>
          <w:p w14:paraId="52000FCC" w14:textId="77777777" w:rsidR="00561B22" w:rsidRPr="00C56FD2" w:rsidRDefault="00561B22" w:rsidP="00F1223B">
            <w:pPr>
              <w:jc w:val="both"/>
              <w:rPr>
                <w:rFonts w:ascii="Arial" w:hAnsi="Arial" w:cs="Arial"/>
                <w:bCs/>
                <w:sz w:val="22"/>
                <w:szCs w:val="22"/>
                <w:lang w:val="es-MX"/>
              </w:rPr>
            </w:pPr>
            <w:r w:rsidRPr="00C56FD2">
              <w:rPr>
                <w:rFonts w:ascii="Arial" w:hAnsi="Arial" w:cs="Arial"/>
                <w:bCs/>
                <w:sz w:val="22"/>
                <w:szCs w:val="22"/>
                <w:lang w:val="es-CO"/>
              </w:rPr>
              <w:t>Garantizar la atención y seguimiento a todas las situaciones que han sido objeto de reporte por parte de entes externos como la Superintendencia Financiera de Colombia y la Contraloría General de la República, que reflejan deficiencias de mayor relevancia para el adecuado funcionamiento de los procesos y el cumplimiento de objetivos institucionales, así como de los planes de mejoramiento definidos en respuesta a informes de la Revisoría Fiscal y de la Oficina de Control Interno. De otra parte, se recomienda priorizar la evaluación al riesgo de acceso y segregar adecuadamente las actividades de los usuarios con el fin de subsanar los conflictos de segregación de funciones en el ERP SAP</w:t>
            </w:r>
          </w:p>
        </w:tc>
      </w:tr>
    </w:tbl>
    <w:p w14:paraId="0D255D5A" w14:textId="77777777" w:rsidR="00561B22" w:rsidRPr="00C56FD2" w:rsidRDefault="00561B22" w:rsidP="00561B22">
      <w:pPr>
        <w:jc w:val="both"/>
        <w:rPr>
          <w:rFonts w:ascii="Arial" w:hAnsi="Arial" w:cs="Arial"/>
          <w:b/>
          <w:bCs/>
          <w:lang w:val="es-CO"/>
        </w:rPr>
      </w:pPr>
    </w:p>
    <w:p w14:paraId="6D7B0FB9" w14:textId="77777777" w:rsidR="00561B22" w:rsidRPr="00C56FD2" w:rsidRDefault="00561B22" w:rsidP="00561B22">
      <w:pPr>
        <w:jc w:val="both"/>
        <w:rPr>
          <w:rFonts w:ascii="Arial" w:hAnsi="Arial" w:cs="Arial"/>
          <w:b/>
          <w:bCs/>
          <w:sz w:val="24"/>
          <w:szCs w:val="24"/>
          <w:lang w:val="es-CO"/>
        </w:rPr>
      </w:pPr>
      <w:r w:rsidRPr="00C56FD2">
        <w:rPr>
          <w:rFonts w:ascii="Arial" w:hAnsi="Arial" w:cs="Arial"/>
          <w:b/>
          <w:bCs/>
          <w:sz w:val="24"/>
          <w:szCs w:val="24"/>
          <w:lang w:val="es-CO"/>
        </w:rPr>
        <w:t xml:space="preserve">NOTA: LA ENTIDAD ENVIA LA MATRIZ DE AUTOEVALUACIÓN DEL SISTEMA DE CONTROL INTERNO CONTABLE CON </w:t>
      </w:r>
      <w:r w:rsidRPr="00C56FD2">
        <w:rPr>
          <w:rFonts w:ascii="Arial" w:hAnsi="Arial" w:cs="Arial"/>
          <w:b/>
          <w:bCs/>
          <w:sz w:val="24"/>
          <w:szCs w:val="24"/>
          <w:u w:val="single"/>
          <w:lang w:val="es-CO"/>
        </w:rPr>
        <w:t>ACTIVIDADES DE CONTROL REALIZADAS EN FORMA PARCIAL</w:t>
      </w:r>
      <w:r w:rsidRPr="00C56FD2">
        <w:rPr>
          <w:rFonts w:ascii="Arial" w:hAnsi="Arial" w:cs="Arial"/>
          <w:b/>
          <w:bCs/>
          <w:sz w:val="24"/>
          <w:szCs w:val="24"/>
          <w:lang w:val="es-CO"/>
        </w:rPr>
        <w:t>.</w:t>
      </w:r>
    </w:p>
    <w:p w14:paraId="251717BB" w14:textId="77777777" w:rsidR="00561B22" w:rsidRPr="00C56FD2" w:rsidRDefault="00561B22" w:rsidP="00561B22">
      <w:pPr>
        <w:jc w:val="both"/>
        <w:rPr>
          <w:rFonts w:ascii="Arial" w:hAnsi="Arial" w:cs="Arial"/>
          <w:b/>
          <w:bCs/>
          <w:sz w:val="24"/>
          <w:szCs w:val="24"/>
          <w:lang w:val="es-CO"/>
        </w:rPr>
      </w:pPr>
    </w:p>
    <w:p w14:paraId="01F62D97" w14:textId="77777777" w:rsidR="00561B22" w:rsidRPr="0051598E" w:rsidRDefault="00561B22" w:rsidP="00561B22">
      <w:pPr>
        <w:jc w:val="both"/>
        <w:rPr>
          <w:rFonts w:ascii="Arial" w:hAnsi="Arial" w:cs="Arial"/>
          <w:b/>
          <w:sz w:val="28"/>
          <w:szCs w:val="28"/>
          <w:lang w:val="es-MX"/>
        </w:rPr>
      </w:pPr>
      <w:r w:rsidRPr="0051598E">
        <w:rPr>
          <w:rFonts w:ascii="Arial" w:hAnsi="Arial" w:cs="Arial"/>
          <w:b/>
          <w:sz w:val="28"/>
          <w:szCs w:val="28"/>
          <w:lang w:val="es-MX"/>
        </w:rPr>
        <w:t>295.- DIRECCIÓN NACIONAL DE DERECHO DE AUTOR.</w:t>
      </w:r>
    </w:p>
    <w:p w14:paraId="5C3FA65D" w14:textId="77777777" w:rsidR="00561B22" w:rsidRDefault="00561B22" w:rsidP="00561B22">
      <w:pPr>
        <w:pStyle w:val="Prrafodelista"/>
        <w:spacing w:before="92"/>
        <w:ind w:left="-142"/>
        <w:rPr>
          <w:rFonts w:ascii="Arial" w:hAnsi="Arial" w:cs="Arial"/>
          <w:b/>
          <w:sz w:val="24"/>
          <w:lang w:val="es-MX"/>
        </w:rPr>
      </w:pPr>
    </w:p>
    <w:p w14:paraId="10DE1395" w14:textId="77777777" w:rsidR="00561B22" w:rsidRPr="0051598E" w:rsidRDefault="00561B22" w:rsidP="00561B22">
      <w:pPr>
        <w:pStyle w:val="Textoindependiente"/>
        <w:ind w:right="-50"/>
        <w:jc w:val="center"/>
        <w:rPr>
          <w:rFonts w:ascii="Arial" w:hAnsi="Arial" w:cs="Arial"/>
          <w:b/>
          <w:bCs/>
        </w:rPr>
      </w:pPr>
      <w:r w:rsidRPr="0051598E">
        <w:rPr>
          <w:rFonts w:ascii="Arial" w:hAnsi="Arial" w:cs="Arial"/>
          <w:b/>
          <w:bCs/>
        </w:rPr>
        <w:t>INFORME DE LA AUTOCALIFICACIÓN DEL SISTEMA DE CONTROL INTERNO CONTABLE:</w:t>
      </w:r>
    </w:p>
    <w:p w14:paraId="32A204C9" w14:textId="77777777" w:rsidR="00561B22" w:rsidRPr="0051598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1598E" w14:paraId="13BDB8A6" w14:textId="77777777" w:rsidTr="00F1223B">
        <w:tc>
          <w:tcPr>
            <w:tcW w:w="4981" w:type="dxa"/>
          </w:tcPr>
          <w:p w14:paraId="0C9E5BB4" w14:textId="77777777" w:rsidR="00561B22" w:rsidRPr="0051598E" w:rsidRDefault="00561B22" w:rsidP="00F1223B">
            <w:pPr>
              <w:jc w:val="center"/>
              <w:rPr>
                <w:rFonts w:ascii="Arial" w:hAnsi="Arial" w:cs="Arial"/>
                <w:b/>
                <w:sz w:val="22"/>
                <w:szCs w:val="22"/>
                <w:lang w:val="es-MX"/>
              </w:rPr>
            </w:pPr>
            <w:r w:rsidRPr="0051598E">
              <w:rPr>
                <w:rFonts w:ascii="Arial" w:hAnsi="Arial" w:cs="Arial"/>
                <w:b/>
                <w:sz w:val="22"/>
                <w:szCs w:val="22"/>
                <w:lang w:val="es-MX"/>
              </w:rPr>
              <w:t>AUTOCALIFICACIÓN</w:t>
            </w:r>
          </w:p>
        </w:tc>
        <w:tc>
          <w:tcPr>
            <w:tcW w:w="4981" w:type="dxa"/>
          </w:tcPr>
          <w:p w14:paraId="3230C336" w14:textId="77777777" w:rsidR="00561B22" w:rsidRPr="0051598E" w:rsidRDefault="00561B22" w:rsidP="00F1223B">
            <w:pPr>
              <w:jc w:val="center"/>
              <w:rPr>
                <w:rFonts w:ascii="Arial" w:hAnsi="Arial" w:cs="Arial"/>
                <w:b/>
                <w:sz w:val="22"/>
                <w:szCs w:val="22"/>
                <w:u w:val="single"/>
                <w:lang w:val="es-MX"/>
              </w:rPr>
            </w:pPr>
            <w:r w:rsidRPr="0051598E">
              <w:rPr>
                <w:rFonts w:ascii="Arial" w:hAnsi="Arial" w:cs="Arial"/>
                <w:b/>
                <w:sz w:val="22"/>
                <w:szCs w:val="22"/>
                <w:u w:val="single"/>
                <w:lang w:val="es-MX"/>
              </w:rPr>
              <w:t>5.00</w:t>
            </w:r>
          </w:p>
        </w:tc>
      </w:tr>
    </w:tbl>
    <w:p w14:paraId="70617D76" w14:textId="77777777" w:rsidR="00561B22" w:rsidRPr="0051598E" w:rsidRDefault="00561B22" w:rsidP="00561B22">
      <w:pPr>
        <w:pStyle w:val="Textoindependiente"/>
        <w:ind w:right="-50"/>
        <w:jc w:val="both"/>
        <w:rPr>
          <w:rFonts w:ascii="Arial" w:hAnsi="Arial" w:cs="Arial"/>
          <w:b/>
          <w:bCs/>
        </w:rPr>
      </w:pPr>
    </w:p>
    <w:p w14:paraId="67170ACE" w14:textId="77777777" w:rsidR="00561B22" w:rsidRPr="0051598E" w:rsidRDefault="00561B22" w:rsidP="00561B22">
      <w:pPr>
        <w:pStyle w:val="Textoindependiente"/>
        <w:ind w:right="-50"/>
        <w:jc w:val="both"/>
        <w:rPr>
          <w:rFonts w:ascii="Arial" w:hAnsi="Arial" w:cs="Arial"/>
          <w:b/>
          <w:bCs/>
        </w:rPr>
      </w:pPr>
      <w:r w:rsidRPr="0051598E">
        <w:rPr>
          <w:rFonts w:ascii="Arial" w:hAnsi="Arial" w:cs="Arial"/>
          <w:b/>
          <w:bCs/>
        </w:rPr>
        <w:t>Del informe enviado retomamos lo siguiente:</w:t>
      </w:r>
    </w:p>
    <w:p w14:paraId="7A067340" w14:textId="77777777" w:rsidR="00561B22" w:rsidRPr="0051598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1598E" w14:paraId="0CC0B5C0" w14:textId="77777777" w:rsidTr="00F1223B">
        <w:tc>
          <w:tcPr>
            <w:tcW w:w="562" w:type="dxa"/>
          </w:tcPr>
          <w:p w14:paraId="64804619" w14:textId="77777777" w:rsidR="00561B22" w:rsidRPr="0051598E" w:rsidRDefault="00561B22" w:rsidP="00F1223B">
            <w:pPr>
              <w:ind w:right="-109"/>
              <w:jc w:val="center"/>
              <w:rPr>
                <w:rFonts w:ascii="Arial" w:hAnsi="Arial" w:cs="Arial"/>
                <w:b/>
                <w:sz w:val="22"/>
                <w:szCs w:val="22"/>
                <w:lang w:val="es-MX"/>
              </w:rPr>
            </w:pPr>
            <w:r w:rsidRPr="0051598E">
              <w:rPr>
                <w:rFonts w:ascii="Arial" w:hAnsi="Arial" w:cs="Arial"/>
                <w:b/>
                <w:sz w:val="22"/>
                <w:szCs w:val="22"/>
                <w:lang w:val="es-MX"/>
              </w:rPr>
              <w:t>N°</w:t>
            </w:r>
          </w:p>
        </w:tc>
        <w:tc>
          <w:tcPr>
            <w:tcW w:w="9400" w:type="dxa"/>
          </w:tcPr>
          <w:p w14:paraId="280E23FF" w14:textId="77777777" w:rsidR="00561B22" w:rsidRPr="0051598E" w:rsidRDefault="00561B22" w:rsidP="00F1223B">
            <w:pPr>
              <w:jc w:val="center"/>
              <w:rPr>
                <w:rFonts w:ascii="Arial" w:hAnsi="Arial" w:cs="Arial"/>
                <w:b/>
                <w:sz w:val="22"/>
                <w:szCs w:val="22"/>
                <w:lang w:val="es-MX"/>
              </w:rPr>
            </w:pPr>
            <w:r w:rsidRPr="0051598E">
              <w:rPr>
                <w:rFonts w:ascii="Arial" w:hAnsi="Arial" w:cs="Arial"/>
                <w:b/>
                <w:sz w:val="22"/>
                <w:szCs w:val="22"/>
                <w:lang w:val="es-MX"/>
              </w:rPr>
              <w:t>DEBILIDADES</w:t>
            </w:r>
          </w:p>
          <w:p w14:paraId="4187AB3A" w14:textId="77777777" w:rsidR="00561B22" w:rsidRPr="0051598E" w:rsidRDefault="00561B22" w:rsidP="00F1223B">
            <w:pPr>
              <w:jc w:val="center"/>
              <w:rPr>
                <w:rFonts w:ascii="Arial" w:hAnsi="Arial" w:cs="Arial"/>
                <w:b/>
                <w:sz w:val="22"/>
                <w:szCs w:val="22"/>
                <w:lang w:val="es-MX"/>
              </w:rPr>
            </w:pPr>
          </w:p>
        </w:tc>
      </w:tr>
      <w:tr w:rsidR="00561B22" w:rsidRPr="0051598E" w14:paraId="1AD31531" w14:textId="77777777" w:rsidTr="00F1223B">
        <w:tc>
          <w:tcPr>
            <w:tcW w:w="562" w:type="dxa"/>
          </w:tcPr>
          <w:p w14:paraId="58094CE2" w14:textId="77777777" w:rsidR="00561B22" w:rsidRPr="0051598E" w:rsidRDefault="00561B22" w:rsidP="00F1223B">
            <w:pPr>
              <w:jc w:val="center"/>
              <w:rPr>
                <w:rFonts w:ascii="Arial" w:hAnsi="Arial" w:cs="Arial"/>
                <w:b/>
                <w:sz w:val="22"/>
                <w:szCs w:val="22"/>
                <w:lang w:val="es-MX"/>
              </w:rPr>
            </w:pPr>
            <w:r w:rsidRPr="0051598E">
              <w:rPr>
                <w:rFonts w:ascii="Arial" w:hAnsi="Arial" w:cs="Arial"/>
                <w:b/>
                <w:sz w:val="22"/>
                <w:szCs w:val="22"/>
                <w:lang w:val="es-MX"/>
              </w:rPr>
              <w:t>1</w:t>
            </w:r>
          </w:p>
        </w:tc>
        <w:tc>
          <w:tcPr>
            <w:tcW w:w="9400" w:type="dxa"/>
          </w:tcPr>
          <w:p w14:paraId="77D75489" w14:textId="77777777" w:rsidR="00561B22" w:rsidRPr="0051598E" w:rsidRDefault="00561B22" w:rsidP="00F1223B">
            <w:pPr>
              <w:jc w:val="both"/>
              <w:rPr>
                <w:rFonts w:ascii="Arial" w:hAnsi="Arial" w:cs="Arial"/>
                <w:sz w:val="22"/>
                <w:szCs w:val="22"/>
                <w:lang w:val="es-MX"/>
              </w:rPr>
            </w:pPr>
            <w:r w:rsidRPr="0051598E">
              <w:rPr>
                <w:rFonts w:ascii="Arial" w:hAnsi="Arial" w:cs="Arial"/>
                <w:sz w:val="22"/>
                <w:szCs w:val="22"/>
                <w:lang w:val="es-CO"/>
              </w:rPr>
              <w:t>Se observa la necesidad de generar mayor capacitación a los funcionarios del entorno administrativo en pro de mejorar los procesos</w:t>
            </w:r>
          </w:p>
        </w:tc>
      </w:tr>
    </w:tbl>
    <w:p w14:paraId="2EE0B15F" w14:textId="77777777" w:rsidR="00561B22" w:rsidRPr="0051598E" w:rsidRDefault="00561B22" w:rsidP="00561B22">
      <w:pPr>
        <w:pStyle w:val="Textoindependiente"/>
        <w:ind w:right="-50"/>
        <w:jc w:val="both"/>
        <w:rPr>
          <w:rFonts w:ascii="Arial" w:hAnsi="Arial" w:cs="Arial"/>
          <w:b/>
          <w:bCs/>
        </w:rPr>
      </w:pPr>
    </w:p>
    <w:p w14:paraId="7D0168AB" w14:textId="77777777" w:rsidR="00561B22" w:rsidRPr="0051598E" w:rsidRDefault="00561B22" w:rsidP="00561B22">
      <w:pPr>
        <w:jc w:val="both"/>
        <w:rPr>
          <w:rFonts w:ascii="Arial" w:hAnsi="Arial" w:cs="Arial"/>
          <w:b/>
          <w:lang w:val="es-MX"/>
        </w:rPr>
      </w:pPr>
      <w:r w:rsidRPr="0051598E">
        <w:rPr>
          <w:rFonts w:ascii="Arial" w:hAnsi="Arial" w:cs="Arial"/>
          <w:b/>
          <w:lang w:val="es-MX"/>
        </w:rPr>
        <w:t>Del citado informe retomamos las siguientes recomendaciones:</w:t>
      </w:r>
    </w:p>
    <w:p w14:paraId="3A195C30" w14:textId="77777777" w:rsidR="00561B22" w:rsidRPr="0051598E"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51598E" w14:paraId="156FE5E3" w14:textId="77777777" w:rsidTr="00F1223B">
        <w:tc>
          <w:tcPr>
            <w:tcW w:w="562" w:type="dxa"/>
          </w:tcPr>
          <w:p w14:paraId="79F25ED9" w14:textId="77777777" w:rsidR="00561B22" w:rsidRPr="0051598E" w:rsidRDefault="00561B22" w:rsidP="00F1223B">
            <w:pPr>
              <w:ind w:right="-109"/>
              <w:jc w:val="center"/>
              <w:rPr>
                <w:rFonts w:ascii="Arial" w:hAnsi="Arial" w:cs="Arial"/>
                <w:b/>
                <w:sz w:val="22"/>
                <w:szCs w:val="22"/>
                <w:lang w:val="es-MX"/>
              </w:rPr>
            </w:pPr>
            <w:r w:rsidRPr="0051598E">
              <w:rPr>
                <w:rFonts w:ascii="Arial" w:hAnsi="Arial" w:cs="Arial"/>
                <w:b/>
                <w:sz w:val="22"/>
                <w:szCs w:val="22"/>
                <w:lang w:val="es-MX"/>
              </w:rPr>
              <w:t>N°</w:t>
            </w:r>
          </w:p>
        </w:tc>
        <w:tc>
          <w:tcPr>
            <w:tcW w:w="9400" w:type="dxa"/>
          </w:tcPr>
          <w:p w14:paraId="622D9AA0" w14:textId="77777777" w:rsidR="00561B22" w:rsidRPr="0051598E" w:rsidRDefault="00561B22" w:rsidP="00F1223B">
            <w:pPr>
              <w:jc w:val="center"/>
              <w:rPr>
                <w:rFonts w:ascii="Arial" w:hAnsi="Arial" w:cs="Arial"/>
                <w:b/>
                <w:sz w:val="22"/>
                <w:szCs w:val="22"/>
                <w:lang w:val="es-MX"/>
              </w:rPr>
            </w:pPr>
            <w:r w:rsidRPr="0051598E">
              <w:rPr>
                <w:rFonts w:ascii="Arial" w:hAnsi="Arial" w:cs="Arial"/>
                <w:b/>
                <w:sz w:val="22"/>
                <w:szCs w:val="22"/>
                <w:lang w:val="es-MX"/>
              </w:rPr>
              <w:t>RECOMENDACIONES</w:t>
            </w:r>
          </w:p>
          <w:p w14:paraId="0A91C644" w14:textId="77777777" w:rsidR="00561B22" w:rsidRPr="0051598E" w:rsidRDefault="00561B22" w:rsidP="00F1223B">
            <w:pPr>
              <w:jc w:val="center"/>
              <w:rPr>
                <w:rFonts w:ascii="Arial" w:hAnsi="Arial" w:cs="Arial"/>
                <w:b/>
                <w:sz w:val="22"/>
                <w:szCs w:val="22"/>
                <w:lang w:val="es-MX"/>
              </w:rPr>
            </w:pPr>
          </w:p>
        </w:tc>
      </w:tr>
      <w:tr w:rsidR="00561B22" w:rsidRPr="0051598E" w14:paraId="64E0ABD3" w14:textId="77777777" w:rsidTr="00F1223B">
        <w:tc>
          <w:tcPr>
            <w:tcW w:w="562" w:type="dxa"/>
          </w:tcPr>
          <w:p w14:paraId="00D2FE60" w14:textId="77777777" w:rsidR="00561B22" w:rsidRPr="0051598E" w:rsidRDefault="00561B22" w:rsidP="00F1223B">
            <w:pPr>
              <w:jc w:val="center"/>
              <w:rPr>
                <w:rFonts w:ascii="Arial" w:hAnsi="Arial" w:cs="Arial"/>
                <w:b/>
                <w:sz w:val="22"/>
                <w:szCs w:val="22"/>
                <w:lang w:val="es-MX"/>
              </w:rPr>
            </w:pPr>
            <w:r w:rsidRPr="0051598E">
              <w:rPr>
                <w:rFonts w:ascii="Arial" w:hAnsi="Arial" w:cs="Arial"/>
                <w:b/>
                <w:sz w:val="22"/>
                <w:szCs w:val="22"/>
                <w:lang w:val="es-MX"/>
              </w:rPr>
              <w:t>1</w:t>
            </w:r>
          </w:p>
        </w:tc>
        <w:tc>
          <w:tcPr>
            <w:tcW w:w="9400" w:type="dxa"/>
          </w:tcPr>
          <w:p w14:paraId="3975523C" w14:textId="77777777" w:rsidR="00561B22" w:rsidRPr="0051598E" w:rsidRDefault="00561B22" w:rsidP="00F1223B">
            <w:pPr>
              <w:jc w:val="both"/>
              <w:rPr>
                <w:rFonts w:ascii="Arial" w:hAnsi="Arial" w:cs="Arial"/>
                <w:sz w:val="22"/>
                <w:szCs w:val="22"/>
                <w:lang w:val="es-MX"/>
              </w:rPr>
            </w:pPr>
            <w:r w:rsidRPr="0051598E">
              <w:rPr>
                <w:rFonts w:ascii="Arial" w:hAnsi="Arial" w:cs="Arial"/>
                <w:sz w:val="22"/>
                <w:szCs w:val="22"/>
                <w:lang w:val="es-CO"/>
              </w:rPr>
              <w:t>Cumplir y estar actualizados en los lineamientos de Min Hacienda y de la Contaduría General de la Nación</w:t>
            </w:r>
          </w:p>
        </w:tc>
      </w:tr>
    </w:tbl>
    <w:p w14:paraId="1A2CB5C4" w14:textId="77777777" w:rsidR="00561B22" w:rsidRDefault="00561B22" w:rsidP="00561B22">
      <w:pPr>
        <w:pStyle w:val="Prrafodelista"/>
        <w:ind w:left="0"/>
        <w:rPr>
          <w:rFonts w:ascii="Arial" w:hAnsi="Arial" w:cs="Arial"/>
          <w:b/>
          <w:sz w:val="20"/>
          <w:szCs w:val="20"/>
          <w:lang w:val="es-MX"/>
        </w:rPr>
      </w:pPr>
    </w:p>
    <w:p w14:paraId="4045DA33" w14:textId="77777777" w:rsidR="00561B22" w:rsidRPr="00F52439" w:rsidRDefault="00561B22" w:rsidP="00561B22">
      <w:pPr>
        <w:pStyle w:val="Prrafodelista"/>
        <w:ind w:left="0"/>
        <w:rPr>
          <w:rFonts w:ascii="Arial" w:hAnsi="Arial" w:cs="Arial"/>
          <w:b/>
          <w:sz w:val="28"/>
          <w:szCs w:val="28"/>
          <w:lang w:val="es-CO"/>
        </w:rPr>
      </w:pPr>
      <w:r w:rsidRPr="00F52439">
        <w:rPr>
          <w:rFonts w:ascii="Arial" w:hAnsi="Arial" w:cs="Arial"/>
          <w:b/>
          <w:sz w:val="28"/>
          <w:szCs w:val="28"/>
          <w:lang w:val="es-MX"/>
        </w:rPr>
        <w:t>296.- AGENCIA NACIONAL DE MINERIA - ANM.</w:t>
      </w:r>
    </w:p>
    <w:p w14:paraId="52D0A0A1" w14:textId="77777777" w:rsidR="00561B22" w:rsidRPr="0011198C" w:rsidRDefault="00561B22" w:rsidP="00561B22">
      <w:pPr>
        <w:pStyle w:val="Prrafodelista"/>
        <w:ind w:left="-142"/>
        <w:rPr>
          <w:rFonts w:ascii="Arial" w:hAnsi="Arial" w:cs="Arial"/>
          <w:b/>
          <w:sz w:val="24"/>
        </w:rPr>
      </w:pPr>
    </w:p>
    <w:p w14:paraId="28AF32FB" w14:textId="77777777" w:rsidR="00561B22" w:rsidRPr="00F52439" w:rsidRDefault="00561B22" w:rsidP="00561B22">
      <w:pPr>
        <w:pStyle w:val="Textoindependiente"/>
        <w:jc w:val="center"/>
        <w:rPr>
          <w:rFonts w:ascii="Arial" w:hAnsi="Arial" w:cs="Arial"/>
          <w:b/>
          <w:bCs/>
        </w:rPr>
      </w:pPr>
      <w:r w:rsidRPr="00F52439">
        <w:rPr>
          <w:rFonts w:ascii="Arial" w:hAnsi="Arial" w:cs="Arial"/>
          <w:b/>
          <w:bCs/>
        </w:rPr>
        <w:t>INFORME DE LA AUTOCALIFICACIÓN DEL SISTEMA DE CONTROL INTERNO CONTABLE:</w:t>
      </w:r>
    </w:p>
    <w:p w14:paraId="64438FA3" w14:textId="77777777" w:rsidR="00561B22" w:rsidRPr="00F5243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52439" w14:paraId="241561AD" w14:textId="77777777" w:rsidTr="00F1223B">
        <w:tc>
          <w:tcPr>
            <w:tcW w:w="4981" w:type="dxa"/>
          </w:tcPr>
          <w:p w14:paraId="0EEA52DC"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AUTOCALIFICACIÓN</w:t>
            </w:r>
          </w:p>
        </w:tc>
        <w:tc>
          <w:tcPr>
            <w:tcW w:w="4981" w:type="dxa"/>
          </w:tcPr>
          <w:p w14:paraId="4E7971F3" w14:textId="77777777" w:rsidR="00561B22" w:rsidRPr="00F52439" w:rsidRDefault="00561B22" w:rsidP="00F1223B">
            <w:pPr>
              <w:jc w:val="center"/>
              <w:rPr>
                <w:rFonts w:ascii="Arial" w:hAnsi="Arial" w:cs="Arial"/>
                <w:b/>
                <w:sz w:val="22"/>
                <w:szCs w:val="22"/>
                <w:u w:val="single"/>
                <w:lang w:val="es-MX"/>
              </w:rPr>
            </w:pPr>
            <w:r w:rsidRPr="00F52439">
              <w:rPr>
                <w:rFonts w:ascii="Arial" w:hAnsi="Arial" w:cs="Arial"/>
                <w:b/>
                <w:sz w:val="22"/>
                <w:szCs w:val="22"/>
                <w:u w:val="single"/>
                <w:lang w:val="es-MX"/>
              </w:rPr>
              <w:t>4.85</w:t>
            </w:r>
          </w:p>
        </w:tc>
      </w:tr>
    </w:tbl>
    <w:p w14:paraId="635100FD" w14:textId="77777777" w:rsidR="00561B22" w:rsidRPr="00F52439" w:rsidRDefault="00561B22" w:rsidP="00561B22">
      <w:pPr>
        <w:pStyle w:val="Textoindependiente"/>
        <w:jc w:val="both"/>
        <w:rPr>
          <w:rFonts w:ascii="Arial" w:hAnsi="Arial" w:cs="Arial"/>
          <w:b/>
          <w:bCs/>
        </w:rPr>
      </w:pPr>
    </w:p>
    <w:p w14:paraId="359FCD44" w14:textId="77777777" w:rsidR="00561B22" w:rsidRPr="00F52439" w:rsidRDefault="00561B22" w:rsidP="00561B22">
      <w:pPr>
        <w:pStyle w:val="Textoindependiente"/>
        <w:jc w:val="both"/>
        <w:rPr>
          <w:rFonts w:ascii="Arial" w:hAnsi="Arial" w:cs="Arial"/>
          <w:b/>
          <w:bCs/>
        </w:rPr>
      </w:pPr>
      <w:r w:rsidRPr="00F52439">
        <w:rPr>
          <w:rFonts w:ascii="Arial" w:hAnsi="Arial" w:cs="Arial"/>
          <w:b/>
          <w:bCs/>
        </w:rPr>
        <w:t>Del informe enviado retomamos lo siguiente:</w:t>
      </w:r>
    </w:p>
    <w:p w14:paraId="4E927DFF" w14:textId="77777777" w:rsidR="00561B22" w:rsidRPr="00F5243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52439" w14:paraId="0D405EE0" w14:textId="77777777" w:rsidTr="00F1223B">
        <w:tc>
          <w:tcPr>
            <w:tcW w:w="562" w:type="dxa"/>
          </w:tcPr>
          <w:p w14:paraId="64F886BC"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N°</w:t>
            </w:r>
          </w:p>
        </w:tc>
        <w:tc>
          <w:tcPr>
            <w:tcW w:w="9400" w:type="dxa"/>
          </w:tcPr>
          <w:p w14:paraId="2D55D81A"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DEBILIDADES</w:t>
            </w:r>
          </w:p>
          <w:p w14:paraId="5150364F" w14:textId="77777777" w:rsidR="00561B22" w:rsidRPr="00F52439" w:rsidRDefault="00561B22" w:rsidP="00F1223B">
            <w:pPr>
              <w:jc w:val="center"/>
              <w:rPr>
                <w:rFonts w:ascii="Arial" w:hAnsi="Arial" w:cs="Arial"/>
                <w:b/>
                <w:sz w:val="22"/>
                <w:szCs w:val="22"/>
                <w:lang w:val="es-MX"/>
              </w:rPr>
            </w:pPr>
          </w:p>
        </w:tc>
      </w:tr>
      <w:tr w:rsidR="00561B22" w:rsidRPr="00F52439" w14:paraId="5884E093" w14:textId="77777777" w:rsidTr="00F1223B">
        <w:tc>
          <w:tcPr>
            <w:tcW w:w="562" w:type="dxa"/>
          </w:tcPr>
          <w:p w14:paraId="7984799C"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1</w:t>
            </w:r>
          </w:p>
        </w:tc>
        <w:tc>
          <w:tcPr>
            <w:tcW w:w="9400" w:type="dxa"/>
          </w:tcPr>
          <w:p w14:paraId="6A3A4563"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Se identificaron debilidades en la aplicación de los procedimientos contables relacionados con la gestión de Propiedad, Planta y Equipo, lo que impacta la calidad de la información financiera. En la gestión de activos, se detectaron inconsistencias en la estimación de la vida útil, el método de depreciación y el cálculo del valor residual, lo que genera incertidumbre sobre la adecuada valoración de los bienes y su impacto en los estados financieros. Asimismo, se identificaron oportunidades de mejora en la determinación de indicios de deterioro, dado que no se cuenta con suficiente evidencia que permita verificar la existencia de cálculos internos que sustenten de manera consistente su identificación y medición.</w:t>
            </w:r>
          </w:p>
        </w:tc>
      </w:tr>
      <w:tr w:rsidR="00561B22" w:rsidRPr="00F52439" w14:paraId="4F94C5AC" w14:textId="77777777" w:rsidTr="00F1223B">
        <w:tc>
          <w:tcPr>
            <w:tcW w:w="562" w:type="dxa"/>
          </w:tcPr>
          <w:p w14:paraId="7CA839AC"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lastRenderedPageBreak/>
              <w:t>2</w:t>
            </w:r>
          </w:p>
        </w:tc>
        <w:tc>
          <w:tcPr>
            <w:tcW w:w="9400" w:type="dxa"/>
          </w:tcPr>
          <w:p w14:paraId="5CB96641"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Esto sugiere la necesidad de revisar y fortalecer los mecanismos empleados para garantizar un reconocimiento adecuado y un control efectivo del deterioro de los activos.</w:t>
            </w:r>
          </w:p>
        </w:tc>
      </w:tr>
      <w:tr w:rsidR="00561B22" w:rsidRPr="00F52439" w14:paraId="5E21CE0E" w14:textId="77777777" w:rsidTr="00F1223B">
        <w:tc>
          <w:tcPr>
            <w:tcW w:w="562" w:type="dxa"/>
          </w:tcPr>
          <w:p w14:paraId="19702D34"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3</w:t>
            </w:r>
          </w:p>
        </w:tc>
        <w:tc>
          <w:tcPr>
            <w:tcW w:w="9400" w:type="dxa"/>
          </w:tcPr>
          <w:p w14:paraId="7F82F5EF"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Adicionalmente, persisten dificultades en la actualización y depuración del inventario, lo que puede afectar la correcta clasificación y revelación de los hechos económicos. Estas deficiencias resaltan la importancia de fortalecer los controles en la ejecución de los procedimientos, mejorar la supervisión de los procesos y garantizar la aplicación oportuna de los ajustes requeridos para reflejar con precisión la situación patrimonial de la entidad.</w:t>
            </w:r>
          </w:p>
        </w:tc>
      </w:tr>
      <w:tr w:rsidR="00561B22" w:rsidRPr="00F52439" w14:paraId="367106C6" w14:textId="77777777" w:rsidTr="00F1223B">
        <w:tc>
          <w:tcPr>
            <w:tcW w:w="562" w:type="dxa"/>
          </w:tcPr>
          <w:p w14:paraId="51EACF38"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4</w:t>
            </w:r>
          </w:p>
        </w:tc>
        <w:tc>
          <w:tcPr>
            <w:tcW w:w="9400" w:type="dxa"/>
          </w:tcPr>
          <w:p w14:paraId="381C72E8"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Por otro lado, se encontraron debilidades en la actualización y seguimiento de la Política de Riesgos, lo que limita la gestión oportuna y efectiva de los riesgos. La mejora en la trazabilidad de la ejecución de controles y en la evidencia de su efectividad es fundamental para optimizar el monitoreo, la gestión del conocimiento y la asignación de responsabilidades, contribuyendo así a la confiabilidad y oportunidad de la información financiera de la entidad.</w:t>
            </w:r>
          </w:p>
        </w:tc>
      </w:tr>
    </w:tbl>
    <w:p w14:paraId="291DA143" w14:textId="77777777" w:rsidR="00561B22" w:rsidRPr="00F52439" w:rsidRDefault="00561B22" w:rsidP="00561B22">
      <w:pPr>
        <w:pStyle w:val="Textoindependiente"/>
        <w:jc w:val="both"/>
        <w:rPr>
          <w:rFonts w:ascii="Arial" w:hAnsi="Arial" w:cs="Arial"/>
          <w:b/>
          <w:bCs/>
        </w:rPr>
      </w:pPr>
    </w:p>
    <w:p w14:paraId="70C05E2E" w14:textId="77777777" w:rsidR="00561B22" w:rsidRDefault="00561B22" w:rsidP="00561B22">
      <w:pPr>
        <w:jc w:val="both"/>
        <w:rPr>
          <w:rFonts w:ascii="Arial" w:hAnsi="Arial" w:cs="Arial"/>
          <w:b/>
          <w:lang w:val="es-MX"/>
        </w:rPr>
      </w:pPr>
      <w:r w:rsidRPr="00F52439">
        <w:rPr>
          <w:rFonts w:ascii="Arial" w:hAnsi="Arial" w:cs="Arial"/>
          <w:b/>
          <w:lang w:val="es-MX"/>
        </w:rPr>
        <w:t>Del citado informe retomamos las siguientes recomendaciones:</w:t>
      </w:r>
    </w:p>
    <w:p w14:paraId="1EE9F88F" w14:textId="77777777" w:rsidR="00561B22" w:rsidRPr="00F52439"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F52439" w14:paraId="78B5E0BC" w14:textId="77777777" w:rsidTr="00F1223B">
        <w:tc>
          <w:tcPr>
            <w:tcW w:w="562" w:type="dxa"/>
          </w:tcPr>
          <w:p w14:paraId="10F14484"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N°</w:t>
            </w:r>
          </w:p>
        </w:tc>
        <w:tc>
          <w:tcPr>
            <w:tcW w:w="9400" w:type="dxa"/>
          </w:tcPr>
          <w:p w14:paraId="12DE4922"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RECOMENDACIONES</w:t>
            </w:r>
          </w:p>
          <w:p w14:paraId="74A85445" w14:textId="77777777" w:rsidR="00561B22" w:rsidRPr="00F52439" w:rsidRDefault="00561B22" w:rsidP="00F1223B">
            <w:pPr>
              <w:jc w:val="center"/>
              <w:rPr>
                <w:rFonts w:ascii="Arial" w:hAnsi="Arial" w:cs="Arial"/>
                <w:b/>
                <w:sz w:val="22"/>
                <w:szCs w:val="22"/>
                <w:lang w:val="es-MX"/>
              </w:rPr>
            </w:pPr>
          </w:p>
        </w:tc>
      </w:tr>
      <w:tr w:rsidR="00561B22" w:rsidRPr="00F52439" w14:paraId="2BAD2AB2" w14:textId="77777777" w:rsidTr="00F1223B">
        <w:tc>
          <w:tcPr>
            <w:tcW w:w="562" w:type="dxa"/>
          </w:tcPr>
          <w:p w14:paraId="747B8E4B"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1</w:t>
            </w:r>
          </w:p>
        </w:tc>
        <w:tc>
          <w:tcPr>
            <w:tcW w:w="9400" w:type="dxa"/>
          </w:tcPr>
          <w:p w14:paraId="430ED925"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Para fortalecer la gestión contable y mejorar la calidad de la información financiera, se recomienda optimizar la aplicación de los procedimientos relacionados con Propiedad, Planta y Equipo, asegurando el cumplimiento efectivo de los lineamientos establecidos. Es fundamental implementar controles que garanticen la trazabilidad de la información reportada y reforzar la supervisión de los procesos de conciliación de inventarios.</w:t>
            </w:r>
          </w:p>
        </w:tc>
      </w:tr>
      <w:tr w:rsidR="00561B22" w:rsidRPr="00F52439" w14:paraId="416E74D5" w14:textId="77777777" w:rsidTr="00F1223B">
        <w:tc>
          <w:tcPr>
            <w:tcW w:w="562" w:type="dxa"/>
          </w:tcPr>
          <w:p w14:paraId="2D4BC8BB"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2</w:t>
            </w:r>
          </w:p>
        </w:tc>
        <w:tc>
          <w:tcPr>
            <w:tcW w:w="9400" w:type="dxa"/>
          </w:tcPr>
          <w:p w14:paraId="4F606E26"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En cuanto a la gestión de activos, se sugiere aplicar, la metodología utilizada para la estimación de la vida útil, el método de depreciación y el cálculo del valor residual, a fin de mejorar la precisión en la valoración de los bienes.</w:t>
            </w:r>
          </w:p>
        </w:tc>
      </w:tr>
      <w:tr w:rsidR="00561B22" w:rsidRPr="00F52439" w14:paraId="55A41926" w14:textId="77777777" w:rsidTr="00F1223B">
        <w:tc>
          <w:tcPr>
            <w:tcW w:w="562" w:type="dxa"/>
          </w:tcPr>
          <w:p w14:paraId="4584DEBA"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3</w:t>
            </w:r>
          </w:p>
        </w:tc>
        <w:tc>
          <w:tcPr>
            <w:tcW w:w="9400" w:type="dxa"/>
          </w:tcPr>
          <w:p w14:paraId="15616D20"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Asimismo, se recomienda fortalecer los mecanismos para la identificación y medición de indicios de deterioro, asegurando la existencia de cálculos internos documentados que respalden su determinación.</w:t>
            </w:r>
          </w:p>
        </w:tc>
      </w:tr>
      <w:tr w:rsidR="00561B22" w:rsidRPr="00F52439" w14:paraId="78D066F2" w14:textId="77777777" w:rsidTr="00F1223B">
        <w:tc>
          <w:tcPr>
            <w:tcW w:w="562" w:type="dxa"/>
          </w:tcPr>
          <w:p w14:paraId="1365AD4F"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4</w:t>
            </w:r>
          </w:p>
        </w:tc>
        <w:tc>
          <w:tcPr>
            <w:tcW w:w="9400" w:type="dxa"/>
          </w:tcPr>
          <w:p w14:paraId="3EB675C2"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Con relación a la actualización y depuración del inventario, se requiere mejorar la clasificación y registro de los activos, garantizando su adecuada revelación en los estados financieros. Además, es necesario fortalecer la supervisión en la ejecución de los procedimientos contables, promoviendo la aplicación oportuna de ajustes y correcciones que reflejen con exactitud la situación patrimonial de la entidad</w:t>
            </w:r>
          </w:p>
        </w:tc>
      </w:tr>
      <w:tr w:rsidR="00561B22" w:rsidRPr="00F52439" w14:paraId="5515E4E4" w14:textId="77777777" w:rsidTr="00F1223B">
        <w:tc>
          <w:tcPr>
            <w:tcW w:w="562" w:type="dxa"/>
          </w:tcPr>
          <w:p w14:paraId="6E0A3916" w14:textId="77777777" w:rsidR="00561B22" w:rsidRPr="00F52439" w:rsidRDefault="00561B22" w:rsidP="00F1223B">
            <w:pPr>
              <w:jc w:val="center"/>
              <w:rPr>
                <w:rFonts w:ascii="Arial" w:hAnsi="Arial" w:cs="Arial"/>
                <w:b/>
                <w:sz w:val="22"/>
                <w:szCs w:val="22"/>
                <w:lang w:val="es-MX"/>
              </w:rPr>
            </w:pPr>
            <w:r w:rsidRPr="00F52439">
              <w:rPr>
                <w:rFonts w:ascii="Arial" w:hAnsi="Arial" w:cs="Arial"/>
                <w:b/>
                <w:sz w:val="22"/>
                <w:szCs w:val="22"/>
                <w:lang w:val="es-MX"/>
              </w:rPr>
              <w:t>5</w:t>
            </w:r>
          </w:p>
        </w:tc>
        <w:tc>
          <w:tcPr>
            <w:tcW w:w="9400" w:type="dxa"/>
          </w:tcPr>
          <w:p w14:paraId="193D05D8" w14:textId="77777777" w:rsidR="00561B22" w:rsidRPr="00F52439" w:rsidRDefault="00561B22" w:rsidP="00F1223B">
            <w:pPr>
              <w:jc w:val="both"/>
              <w:rPr>
                <w:rFonts w:ascii="Arial" w:hAnsi="Arial" w:cs="Arial"/>
                <w:bCs/>
                <w:sz w:val="22"/>
                <w:szCs w:val="22"/>
                <w:lang w:val="es-MX"/>
              </w:rPr>
            </w:pPr>
            <w:r w:rsidRPr="00F52439">
              <w:rPr>
                <w:rFonts w:ascii="Arial" w:hAnsi="Arial" w:cs="Arial"/>
                <w:bCs/>
                <w:sz w:val="22"/>
                <w:szCs w:val="22"/>
              </w:rPr>
              <w:t>Finalmente, se recomienda optimizar la actualización y seguimiento de la Política de Riesgos, asegurando la adecuada gestión del conocimiento, la asignación de responsabilidades y la trazabilidad de la ejecución de controles, con el propósito de garantizar la confiabilidad y oportunidad de la información financiera</w:t>
            </w:r>
          </w:p>
        </w:tc>
      </w:tr>
    </w:tbl>
    <w:p w14:paraId="43FAEC39" w14:textId="77777777" w:rsidR="00561B22" w:rsidRPr="00F52439" w:rsidRDefault="00561B22" w:rsidP="00561B22">
      <w:pPr>
        <w:pStyle w:val="Textoindependiente"/>
        <w:jc w:val="both"/>
        <w:rPr>
          <w:rFonts w:ascii="Arial" w:hAnsi="Arial" w:cs="Arial"/>
          <w:b/>
          <w:bCs/>
        </w:rPr>
      </w:pPr>
    </w:p>
    <w:p w14:paraId="0C45280B" w14:textId="77777777" w:rsidR="00561B22" w:rsidRPr="00F52439" w:rsidRDefault="00561B22" w:rsidP="00561B22">
      <w:pPr>
        <w:jc w:val="both"/>
        <w:rPr>
          <w:rFonts w:ascii="Arial" w:hAnsi="Arial" w:cs="Arial"/>
          <w:b/>
          <w:bCs/>
          <w:sz w:val="24"/>
          <w:szCs w:val="24"/>
          <w:lang w:val="es-CO"/>
        </w:rPr>
      </w:pPr>
      <w:r w:rsidRPr="00F52439">
        <w:rPr>
          <w:rFonts w:ascii="Arial" w:hAnsi="Arial" w:cs="Arial"/>
          <w:b/>
          <w:bCs/>
          <w:sz w:val="24"/>
          <w:szCs w:val="24"/>
          <w:lang w:val="es-CO"/>
        </w:rPr>
        <w:t xml:space="preserve">NOTA: LA ENTIDAD ENVIA LA MATRIZ DE AUTOEVALUACIÓN DEL SISTEMA DE CONTROL INTERNO CONTABLE CON </w:t>
      </w:r>
      <w:r w:rsidRPr="00F52439">
        <w:rPr>
          <w:rFonts w:ascii="Arial" w:hAnsi="Arial" w:cs="Arial"/>
          <w:b/>
          <w:bCs/>
          <w:sz w:val="24"/>
          <w:szCs w:val="24"/>
          <w:u w:val="single"/>
          <w:lang w:val="es-CO"/>
        </w:rPr>
        <w:t>ACTIVIDADES DE CONTROL REALIZADAS EN FORMA PARCIAL</w:t>
      </w:r>
      <w:r w:rsidRPr="00F52439">
        <w:rPr>
          <w:rFonts w:ascii="Arial" w:hAnsi="Arial" w:cs="Arial"/>
          <w:b/>
          <w:bCs/>
          <w:sz w:val="24"/>
          <w:szCs w:val="24"/>
          <w:lang w:val="es-CO"/>
        </w:rPr>
        <w:t>.</w:t>
      </w:r>
    </w:p>
    <w:p w14:paraId="541DDF99" w14:textId="77777777" w:rsidR="00561B22" w:rsidRDefault="00561B22" w:rsidP="00561B22">
      <w:pPr>
        <w:jc w:val="both"/>
        <w:rPr>
          <w:rFonts w:ascii="Arial" w:hAnsi="Arial" w:cs="Arial"/>
          <w:b/>
          <w:bCs/>
          <w:lang w:val="es-CO"/>
        </w:rPr>
      </w:pPr>
    </w:p>
    <w:p w14:paraId="1917D3DD" w14:textId="77777777" w:rsidR="00561B22" w:rsidRDefault="00561B22" w:rsidP="00561B22">
      <w:pPr>
        <w:jc w:val="both"/>
        <w:rPr>
          <w:rFonts w:ascii="Arial" w:hAnsi="Arial" w:cs="Arial"/>
          <w:b/>
          <w:sz w:val="28"/>
          <w:szCs w:val="28"/>
          <w:lang w:val="es-MX"/>
        </w:rPr>
      </w:pPr>
      <w:r w:rsidRPr="0071036D">
        <w:rPr>
          <w:rFonts w:ascii="Arial" w:hAnsi="Arial" w:cs="Arial"/>
          <w:b/>
          <w:sz w:val="28"/>
          <w:szCs w:val="28"/>
          <w:lang w:val="es-MX"/>
        </w:rPr>
        <w:t xml:space="preserve">297.- SOCIEDAD ALMIDONES DE SUCRE S.A.S. </w:t>
      </w:r>
    </w:p>
    <w:p w14:paraId="4227929D" w14:textId="77777777" w:rsidR="00561B22" w:rsidRPr="00330BB8" w:rsidRDefault="00561B22" w:rsidP="00561B22">
      <w:pPr>
        <w:pStyle w:val="Prrafodelista"/>
        <w:spacing w:before="92"/>
        <w:ind w:left="-142"/>
        <w:rPr>
          <w:rFonts w:ascii="Arial" w:hAnsi="Arial" w:cs="Arial"/>
          <w:b/>
          <w:sz w:val="24"/>
          <w:szCs w:val="24"/>
          <w:lang w:val="es-MX"/>
        </w:rPr>
      </w:pPr>
    </w:p>
    <w:p w14:paraId="033055E6" w14:textId="77777777" w:rsidR="00561B22" w:rsidRPr="007D61C1" w:rsidRDefault="00561B22" w:rsidP="00561B22">
      <w:pPr>
        <w:pStyle w:val="Textoindependiente"/>
        <w:ind w:right="-50"/>
        <w:jc w:val="center"/>
        <w:rPr>
          <w:rFonts w:ascii="Arial" w:hAnsi="Arial" w:cs="Arial"/>
          <w:b/>
          <w:bCs/>
        </w:rPr>
      </w:pPr>
      <w:r w:rsidRPr="007D61C1">
        <w:rPr>
          <w:rFonts w:ascii="Arial" w:hAnsi="Arial" w:cs="Arial"/>
          <w:b/>
          <w:bCs/>
        </w:rPr>
        <w:t>INFORME DE LA AUTOCALIFICACIÓN DEL SISTEMA DE CONTROL INTERNO CONTABLE:</w:t>
      </w:r>
    </w:p>
    <w:p w14:paraId="705C0941" w14:textId="77777777" w:rsidR="00561B22" w:rsidRPr="007D61C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D61C1" w14:paraId="4562988D" w14:textId="77777777" w:rsidTr="00F1223B">
        <w:tc>
          <w:tcPr>
            <w:tcW w:w="4981" w:type="dxa"/>
          </w:tcPr>
          <w:p w14:paraId="15DC055E"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AUTOCALIFICACIÓN</w:t>
            </w:r>
          </w:p>
        </w:tc>
        <w:tc>
          <w:tcPr>
            <w:tcW w:w="4981" w:type="dxa"/>
          </w:tcPr>
          <w:p w14:paraId="34C6B034" w14:textId="77777777" w:rsidR="00561B22" w:rsidRPr="007D61C1" w:rsidRDefault="00561B22" w:rsidP="00F1223B">
            <w:pPr>
              <w:jc w:val="center"/>
              <w:rPr>
                <w:rFonts w:ascii="Arial" w:hAnsi="Arial" w:cs="Arial"/>
                <w:b/>
                <w:sz w:val="22"/>
                <w:szCs w:val="22"/>
                <w:u w:val="single"/>
                <w:lang w:val="es-MX"/>
              </w:rPr>
            </w:pPr>
            <w:r w:rsidRPr="007D61C1">
              <w:rPr>
                <w:rFonts w:ascii="Arial" w:hAnsi="Arial" w:cs="Arial"/>
                <w:b/>
                <w:sz w:val="22"/>
                <w:szCs w:val="22"/>
                <w:u w:val="single"/>
                <w:lang w:val="es-MX"/>
              </w:rPr>
              <w:t>4.93</w:t>
            </w:r>
          </w:p>
        </w:tc>
      </w:tr>
    </w:tbl>
    <w:p w14:paraId="72833502" w14:textId="77777777" w:rsidR="00561B22" w:rsidRPr="007D61C1" w:rsidRDefault="00561B22" w:rsidP="00561B22">
      <w:pPr>
        <w:pStyle w:val="Textoindependiente"/>
        <w:ind w:right="-50"/>
        <w:jc w:val="both"/>
        <w:rPr>
          <w:rFonts w:ascii="Arial" w:hAnsi="Arial" w:cs="Arial"/>
          <w:b/>
          <w:bCs/>
        </w:rPr>
      </w:pPr>
    </w:p>
    <w:p w14:paraId="2E957B20" w14:textId="77777777" w:rsidR="00561B22" w:rsidRPr="007D61C1" w:rsidRDefault="00561B22" w:rsidP="00561B22">
      <w:pPr>
        <w:pStyle w:val="Textoindependiente"/>
        <w:ind w:right="-50"/>
        <w:jc w:val="both"/>
        <w:rPr>
          <w:rFonts w:ascii="Arial" w:hAnsi="Arial" w:cs="Arial"/>
          <w:b/>
          <w:bCs/>
        </w:rPr>
      </w:pPr>
      <w:r w:rsidRPr="007D61C1">
        <w:rPr>
          <w:rFonts w:ascii="Arial" w:hAnsi="Arial" w:cs="Arial"/>
          <w:b/>
          <w:bCs/>
        </w:rPr>
        <w:t>Del informe enviado retomamos lo siguiente:</w:t>
      </w:r>
    </w:p>
    <w:p w14:paraId="37A13598" w14:textId="77777777" w:rsidR="00561B22" w:rsidRPr="007D61C1"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D61C1" w14:paraId="3B8B88D3" w14:textId="77777777" w:rsidTr="00F1223B">
        <w:tc>
          <w:tcPr>
            <w:tcW w:w="562" w:type="dxa"/>
          </w:tcPr>
          <w:p w14:paraId="3E91E02F" w14:textId="77777777" w:rsidR="00561B22" w:rsidRPr="007D61C1" w:rsidRDefault="00561B22" w:rsidP="00F1223B">
            <w:pPr>
              <w:ind w:right="-109"/>
              <w:jc w:val="center"/>
              <w:rPr>
                <w:rFonts w:ascii="Arial" w:hAnsi="Arial" w:cs="Arial"/>
                <w:b/>
                <w:sz w:val="22"/>
                <w:szCs w:val="22"/>
                <w:lang w:val="es-MX"/>
              </w:rPr>
            </w:pPr>
            <w:r w:rsidRPr="007D61C1">
              <w:rPr>
                <w:rFonts w:ascii="Arial" w:hAnsi="Arial" w:cs="Arial"/>
                <w:b/>
                <w:sz w:val="22"/>
                <w:szCs w:val="22"/>
                <w:lang w:val="es-MX"/>
              </w:rPr>
              <w:t>N°</w:t>
            </w:r>
          </w:p>
        </w:tc>
        <w:tc>
          <w:tcPr>
            <w:tcW w:w="9400" w:type="dxa"/>
          </w:tcPr>
          <w:p w14:paraId="5994C662" w14:textId="22BC207E" w:rsidR="00561B22" w:rsidRPr="007D61C1" w:rsidRDefault="00561B22" w:rsidP="001D36B9">
            <w:pPr>
              <w:jc w:val="center"/>
              <w:rPr>
                <w:rFonts w:ascii="Arial" w:hAnsi="Arial" w:cs="Arial"/>
                <w:b/>
                <w:sz w:val="22"/>
                <w:szCs w:val="22"/>
                <w:lang w:val="es-MX"/>
              </w:rPr>
            </w:pPr>
            <w:r w:rsidRPr="007D61C1">
              <w:rPr>
                <w:rFonts w:ascii="Arial" w:hAnsi="Arial" w:cs="Arial"/>
                <w:b/>
                <w:sz w:val="22"/>
                <w:szCs w:val="22"/>
                <w:lang w:val="es-MX"/>
              </w:rPr>
              <w:t>DEBILIDADES</w:t>
            </w:r>
          </w:p>
        </w:tc>
      </w:tr>
      <w:tr w:rsidR="00561B22" w:rsidRPr="007D61C1" w14:paraId="308287ED" w14:textId="77777777" w:rsidTr="00F1223B">
        <w:tc>
          <w:tcPr>
            <w:tcW w:w="562" w:type="dxa"/>
          </w:tcPr>
          <w:p w14:paraId="730CDDB7"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lastRenderedPageBreak/>
              <w:t>1</w:t>
            </w:r>
          </w:p>
        </w:tc>
        <w:tc>
          <w:tcPr>
            <w:tcW w:w="9400" w:type="dxa"/>
          </w:tcPr>
          <w:p w14:paraId="4FA2B83B"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 xml:space="preserve">Falta de protocolizar en documentos controlados por el sistema de gestión integral las políticas contables. </w:t>
            </w:r>
          </w:p>
        </w:tc>
      </w:tr>
      <w:tr w:rsidR="00561B22" w:rsidRPr="007D61C1" w14:paraId="754CF651" w14:textId="77777777" w:rsidTr="00F1223B">
        <w:tc>
          <w:tcPr>
            <w:tcW w:w="562" w:type="dxa"/>
          </w:tcPr>
          <w:p w14:paraId="1AA5566F"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2</w:t>
            </w:r>
          </w:p>
        </w:tc>
        <w:tc>
          <w:tcPr>
            <w:tcW w:w="9400" w:type="dxa"/>
          </w:tcPr>
          <w:p w14:paraId="53F190CD" w14:textId="77777777" w:rsidR="00561B22" w:rsidRPr="007D61C1" w:rsidRDefault="00561B22" w:rsidP="00F1223B">
            <w:pPr>
              <w:jc w:val="both"/>
              <w:rPr>
                <w:rFonts w:ascii="Arial" w:hAnsi="Arial" w:cs="Arial"/>
                <w:sz w:val="22"/>
                <w:szCs w:val="22"/>
                <w:lang w:val="es-CO"/>
              </w:rPr>
            </w:pPr>
            <w:r w:rsidRPr="007D61C1">
              <w:rPr>
                <w:rFonts w:ascii="Arial" w:hAnsi="Arial" w:cs="Arial"/>
                <w:sz w:val="22"/>
                <w:szCs w:val="22"/>
                <w:lang w:val="es-CO"/>
              </w:rPr>
              <w:t>Falta protocolizar o documentar procedimiento para: conciliación, cierres de información, análisis seguimiento y depuración de cuentas, divulgación de estados financieros y flujograma del proceso</w:t>
            </w:r>
          </w:p>
        </w:tc>
      </w:tr>
      <w:tr w:rsidR="00561B22" w:rsidRPr="007D61C1" w14:paraId="6A06AD2B" w14:textId="77777777" w:rsidTr="00F1223B">
        <w:tc>
          <w:tcPr>
            <w:tcW w:w="562" w:type="dxa"/>
          </w:tcPr>
          <w:p w14:paraId="24926635"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3</w:t>
            </w:r>
          </w:p>
        </w:tc>
        <w:tc>
          <w:tcPr>
            <w:tcW w:w="9400" w:type="dxa"/>
          </w:tcPr>
          <w:p w14:paraId="1F67BE92"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No se dejan registros de las reuniones en las conciliaciones entre las áreas</w:t>
            </w:r>
          </w:p>
        </w:tc>
      </w:tr>
      <w:tr w:rsidR="00561B22" w:rsidRPr="007D61C1" w14:paraId="510B62AB" w14:textId="77777777" w:rsidTr="00F1223B">
        <w:tc>
          <w:tcPr>
            <w:tcW w:w="562" w:type="dxa"/>
          </w:tcPr>
          <w:p w14:paraId="1D2E4B6D"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4</w:t>
            </w:r>
          </w:p>
        </w:tc>
        <w:tc>
          <w:tcPr>
            <w:tcW w:w="9400" w:type="dxa"/>
          </w:tcPr>
          <w:p w14:paraId="1410514B"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Se evidenció prueba documental que sustentara la revisión periódica de la vida útil y custodia de cada activo, sin embargo, no se cuenta documentado la y protocolizada en el sistema de gestión</w:t>
            </w:r>
          </w:p>
        </w:tc>
      </w:tr>
    </w:tbl>
    <w:p w14:paraId="3CD50B58" w14:textId="77777777" w:rsidR="00561B22" w:rsidRPr="007D61C1" w:rsidRDefault="00561B22" w:rsidP="00561B22">
      <w:pPr>
        <w:pStyle w:val="Textoindependiente"/>
        <w:ind w:right="-50"/>
        <w:jc w:val="both"/>
        <w:rPr>
          <w:rFonts w:ascii="Arial" w:hAnsi="Arial" w:cs="Arial"/>
          <w:b/>
          <w:bCs/>
        </w:rPr>
      </w:pPr>
    </w:p>
    <w:p w14:paraId="542104E9" w14:textId="77777777" w:rsidR="00561B22" w:rsidRPr="007D61C1" w:rsidRDefault="00561B22" w:rsidP="00561B22">
      <w:pPr>
        <w:jc w:val="both"/>
        <w:rPr>
          <w:rFonts w:ascii="Arial" w:hAnsi="Arial" w:cs="Arial"/>
          <w:b/>
          <w:lang w:val="es-MX"/>
        </w:rPr>
      </w:pPr>
      <w:r w:rsidRPr="007D61C1">
        <w:rPr>
          <w:rFonts w:ascii="Arial" w:hAnsi="Arial" w:cs="Arial"/>
          <w:b/>
          <w:lang w:val="es-MX"/>
        </w:rPr>
        <w:t>Del citado informe retomamos las siguientes recomendaciones:</w:t>
      </w:r>
    </w:p>
    <w:p w14:paraId="11C64599" w14:textId="77777777" w:rsidR="00561B22" w:rsidRPr="007D61C1"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7D61C1" w14:paraId="59558981" w14:textId="77777777" w:rsidTr="00F1223B">
        <w:tc>
          <w:tcPr>
            <w:tcW w:w="562" w:type="dxa"/>
          </w:tcPr>
          <w:p w14:paraId="7E68C815" w14:textId="77777777" w:rsidR="00561B22" w:rsidRPr="007D61C1" w:rsidRDefault="00561B22" w:rsidP="00F1223B">
            <w:pPr>
              <w:ind w:right="-109"/>
              <w:jc w:val="center"/>
              <w:rPr>
                <w:rFonts w:ascii="Arial" w:hAnsi="Arial" w:cs="Arial"/>
                <w:b/>
                <w:sz w:val="22"/>
                <w:szCs w:val="22"/>
                <w:lang w:val="es-MX"/>
              </w:rPr>
            </w:pPr>
            <w:r w:rsidRPr="007D61C1">
              <w:rPr>
                <w:rFonts w:ascii="Arial" w:hAnsi="Arial" w:cs="Arial"/>
                <w:b/>
                <w:sz w:val="22"/>
                <w:szCs w:val="22"/>
                <w:lang w:val="es-MX"/>
              </w:rPr>
              <w:t>N°</w:t>
            </w:r>
          </w:p>
        </w:tc>
        <w:tc>
          <w:tcPr>
            <w:tcW w:w="9400" w:type="dxa"/>
          </w:tcPr>
          <w:p w14:paraId="14D0D51A"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RECOMENDACIONES</w:t>
            </w:r>
          </w:p>
          <w:p w14:paraId="2A8C0982" w14:textId="77777777" w:rsidR="00561B22" w:rsidRPr="007D61C1" w:rsidRDefault="00561B22" w:rsidP="00F1223B">
            <w:pPr>
              <w:jc w:val="center"/>
              <w:rPr>
                <w:rFonts w:ascii="Arial" w:hAnsi="Arial" w:cs="Arial"/>
                <w:b/>
                <w:sz w:val="22"/>
                <w:szCs w:val="22"/>
                <w:lang w:val="es-MX"/>
              </w:rPr>
            </w:pPr>
          </w:p>
        </w:tc>
      </w:tr>
      <w:tr w:rsidR="00561B22" w:rsidRPr="007D61C1" w14:paraId="6458491E" w14:textId="77777777" w:rsidTr="00F1223B">
        <w:tc>
          <w:tcPr>
            <w:tcW w:w="562" w:type="dxa"/>
          </w:tcPr>
          <w:p w14:paraId="41890C6E"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1</w:t>
            </w:r>
          </w:p>
        </w:tc>
        <w:tc>
          <w:tcPr>
            <w:tcW w:w="9400" w:type="dxa"/>
          </w:tcPr>
          <w:p w14:paraId="41AEA763"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Implementar como parte de la cultura de control las conciliaciones entre las áreas.</w:t>
            </w:r>
          </w:p>
        </w:tc>
      </w:tr>
      <w:tr w:rsidR="00561B22" w:rsidRPr="007D61C1" w14:paraId="484801C5" w14:textId="77777777" w:rsidTr="00F1223B">
        <w:tc>
          <w:tcPr>
            <w:tcW w:w="562" w:type="dxa"/>
          </w:tcPr>
          <w:p w14:paraId="29FA0108" w14:textId="77777777" w:rsidR="00561B22" w:rsidRPr="007D61C1" w:rsidRDefault="00561B22" w:rsidP="00F1223B">
            <w:pPr>
              <w:jc w:val="center"/>
              <w:rPr>
                <w:rFonts w:ascii="Arial" w:hAnsi="Arial" w:cs="Arial"/>
                <w:b/>
                <w:sz w:val="22"/>
                <w:szCs w:val="22"/>
                <w:lang w:val="es-MX"/>
              </w:rPr>
            </w:pPr>
          </w:p>
        </w:tc>
        <w:tc>
          <w:tcPr>
            <w:tcW w:w="9400" w:type="dxa"/>
          </w:tcPr>
          <w:p w14:paraId="7706506B" w14:textId="77777777" w:rsidR="00561B22" w:rsidRPr="007D61C1" w:rsidRDefault="00561B22" w:rsidP="00F1223B">
            <w:pPr>
              <w:jc w:val="both"/>
              <w:rPr>
                <w:rFonts w:ascii="Arial" w:hAnsi="Arial" w:cs="Arial"/>
                <w:sz w:val="22"/>
                <w:szCs w:val="22"/>
                <w:lang w:val="es-CO"/>
              </w:rPr>
            </w:pPr>
            <w:r w:rsidRPr="007D61C1">
              <w:rPr>
                <w:rFonts w:ascii="Arial" w:hAnsi="Arial" w:cs="Arial"/>
                <w:sz w:val="22"/>
                <w:szCs w:val="22"/>
                <w:lang w:val="es-CO"/>
              </w:rPr>
              <w:t>Incluir riesgos de índole contable en la matriz de riesgos del proceso de Gestión Financiera</w:t>
            </w:r>
          </w:p>
        </w:tc>
      </w:tr>
      <w:tr w:rsidR="00561B22" w:rsidRPr="007D61C1" w14:paraId="202021EA" w14:textId="77777777" w:rsidTr="00F1223B">
        <w:tc>
          <w:tcPr>
            <w:tcW w:w="562" w:type="dxa"/>
          </w:tcPr>
          <w:p w14:paraId="0D78C7CC"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2</w:t>
            </w:r>
          </w:p>
        </w:tc>
        <w:tc>
          <w:tcPr>
            <w:tcW w:w="9400" w:type="dxa"/>
          </w:tcPr>
          <w:p w14:paraId="6D959FCB"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Verificar la necesidad de documentar procedimientos internos para facilidad de la aplicación de las políticas contables.</w:t>
            </w:r>
          </w:p>
        </w:tc>
      </w:tr>
      <w:tr w:rsidR="00561B22" w:rsidRPr="007D61C1" w14:paraId="622CE4F4" w14:textId="77777777" w:rsidTr="00F1223B">
        <w:tc>
          <w:tcPr>
            <w:tcW w:w="562" w:type="dxa"/>
          </w:tcPr>
          <w:p w14:paraId="0BC1C888"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3</w:t>
            </w:r>
          </w:p>
        </w:tc>
        <w:tc>
          <w:tcPr>
            <w:tcW w:w="9400" w:type="dxa"/>
          </w:tcPr>
          <w:p w14:paraId="2436B790"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Seguir documentando y formalizar los procedimientos, manuales, instructivos, etc. para la Gestión Contable</w:t>
            </w:r>
          </w:p>
        </w:tc>
      </w:tr>
      <w:tr w:rsidR="00561B22" w:rsidRPr="007D61C1" w14:paraId="1DA7B616" w14:textId="77777777" w:rsidTr="00F1223B">
        <w:tc>
          <w:tcPr>
            <w:tcW w:w="562" w:type="dxa"/>
          </w:tcPr>
          <w:p w14:paraId="6F585614"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4</w:t>
            </w:r>
          </w:p>
        </w:tc>
        <w:tc>
          <w:tcPr>
            <w:tcW w:w="9400" w:type="dxa"/>
          </w:tcPr>
          <w:p w14:paraId="2AEB3D9F" w14:textId="77777777" w:rsidR="00561B22" w:rsidRPr="007D61C1" w:rsidRDefault="00561B22" w:rsidP="00F1223B">
            <w:pPr>
              <w:jc w:val="both"/>
              <w:rPr>
                <w:rFonts w:ascii="Arial" w:hAnsi="Arial" w:cs="Arial"/>
                <w:sz w:val="22"/>
                <w:szCs w:val="22"/>
                <w:lang w:val="es-MX"/>
              </w:rPr>
            </w:pPr>
            <w:r w:rsidRPr="007D61C1">
              <w:rPr>
                <w:rFonts w:ascii="Arial" w:hAnsi="Arial" w:cs="Arial"/>
                <w:sz w:val="22"/>
                <w:szCs w:val="22"/>
                <w:lang w:val="es-CO"/>
              </w:rPr>
              <w:t>Mantener registros de los eventos socialización y divulgación de las políticas y procedimientos contables con el personal involucrado.</w:t>
            </w:r>
          </w:p>
        </w:tc>
      </w:tr>
      <w:tr w:rsidR="00561B22" w:rsidRPr="007D61C1" w14:paraId="0BAAC49C" w14:textId="77777777" w:rsidTr="00F1223B">
        <w:tc>
          <w:tcPr>
            <w:tcW w:w="562" w:type="dxa"/>
          </w:tcPr>
          <w:p w14:paraId="46011BBF"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5</w:t>
            </w:r>
          </w:p>
        </w:tc>
        <w:tc>
          <w:tcPr>
            <w:tcW w:w="9400" w:type="dxa"/>
          </w:tcPr>
          <w:p w14:paraId="3392393E" w14:textId="77777777" w:rsidR="00561B22" w:rsidRPr="007D61C1" w:rsidRDefault="00561B22" w:rsidP="00F1223B">
            <w:pPr>
              <w:jc w:val="both"/>
              <w:rPr>
                <w:rFonts w:ascii="Arial" w:hAnsi="Arial" w:cs="Arial"/>
                <w:sz w:val="22"/>
                <w:szCs w:val="22"/>
                <w:lang w:val="es-CO"/>
              </w:rPr>
            </w:pPr>
            <w:r w:rsidRPr="007D61C1">
              <w:rPr>
                <w:rFonts w:ascii="Arial" w:hAnsi="Arial" w:cs="Arial"/>
                <w:sz w:val="22"/>
                <w:szCs w:val="22"/>
                <w:lang w:val="es-CO"/>
              </w:rPr>
              <w:t>Generar espacios de capacitación para todo el personal del área contable, dadas las dinámicas de actualización y cambios normativos constantes que se gestan desde la Contaduría General de la Nación - CGN</w:t>
            </w:r>
          </w:p>
        </w:tc>
      </w:tr>
      <w:tr w:rsidR="00561B22" w:rsidRPr="007D61C1" w14:paraId="7C685A3F" w14:textId="77777777" w:rsidTr="00F1223B">
        <w:tc>
          <w:tcPr>
            <w:tcW w:w="562" w:type="dxa"/>
          </w:tcPr>
          <w:p w14:paraId="31455A48"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6</w:t>
            </w:r>
          </w:p>
        </w:tc>
        <w:tc>
          <w:tcPr>
            <w:tcW w:w="9400" w:type="dxa"/>
          </w:tcPr>
          <w:p w14:paraId="4CA54C2E" w14:textId="77777777" w:rsidR="00561B22" w:rsidRPr="007D61C1" w:rsidRDefault="00561B22" w:rsidP="00F1223B">
            <w:pPr>
              <w:jc w:val="both"/>
              <w:rPr>
                <w:rFonts w:ascii="Arial" w:hAnsi="Arial" w:cs="Arial"/>
                <w:sz w:val="22"/>
                <w:szCs w:val="22"/>
                <w:lang w:val="es-CO"/>
              </w:rPr>
            </w:pPr>
            <w:r w:rsidRPr="007D61C1">
              <w:rPr>
                <w:rFonts w:ascii="Arial" w:hAnsi="Arial" w:cs="Arial"/>
                <w:sz w:val="22"/>
                <w:szCs w:val="22"/>
                <w:lang w:val="es-CO"/>
              </w:rPr>
              <w:t>Realizar socialización de las políticas contables a todo los que participan en la generación de hechos económicos en la entidad</w:t>
            </w:r>
          </w:p>
        </w:tc>
      </w:tr>
      <w:tr w:rsidR="00561B22" w:rsidRPr="007D61C1" w14:paraId="7C00A748" w14:textId="77777777" w:rsidTr="00F1223B">
        <w:tc>
          <w:tcPr>
            <w:tcW w:w="562" w:type="dxa"/>
          </w:tcPr>
          <w:p w14:paraId="4A5B2569"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7</w:t>
            </w:r>
          </w:p>
        </w:tc>
        <w:tc>
          <w:tcPr>
            <w:tcW w:w="9400" w:type="dxa"/>
          </w:tcPr>
          <w:p w14:paraId="25B7172C" w14:textId="77777777" w:rsidR="00561B22" w:rsidRPr="007D61C1" w:rsidRDefault="00561B22" w:rsidP="00F1223B">
            <w:pPr>
              <w:jc w:val="both"/>
              <w:rPr>
                <w:rFonts w:ascii="Arial" w:hAnsi="Arial" w:cs="Arial"/>
                <w:sz w:val="22"/>
                <w:szCs w:val="22"/>
                <w:lang w:val="es-CO"/>
              </w:rPr>
            </w:pPr>
            <w:r w:rsidRPr="007D61C1">
              <w:rPr>
                <w:rFonts w:ascii="Arial" w:hAnsi="Arial" w:cs="Arial"/>
                <w:sz w:val="22"/>
                <w:szCs w:val="22"/>
                <w:lang w:val="es-CO"/>
              </w:rPr>
              <w:t>Diseñar y formalizar una directriz, guía o procedimiento para realizar las conciliaciones de las partidas más relevantes.</w:t>
            </w:r>
          </w:p>
        </w:tc>
      </w:tr>
      <w:tr w:rsidR="00561B22" w:rsidRPr="007D61C1" w14:paraId="23C8FE02" w14:textId="77777777" w:rsidTr="00F1223B">
        <w:tc>
          <w:tcPr>
            <w:tcW w:w="562" w:type="dxa"/>
          </w:tcPr>
          <w:p w14:paraId="401E6D1E" w14:textId="77777777" w:rsidR="00561B22" w:rsidRPr="007D61C1" w:rsidRDefault="00561B22" w:rsidP="00F1223B">
            <w:pPr>
              <w:jc w:val="center"/>
              <w:rPr>
                <w:rFonts w:ascii="Arial" w:hAnsi="Arial" w:cs="Arial"/>
                <w:b/>
                <w:sz w:val="22"/>
                <w:szCs w:val="22"/>
                <w:lang w:val="es-MX"/>
              </w:rPr>
            </w:pPr>
            <w:r w:rsidRPr="007D61C1">
              <w:rPr>
                <w:rFonts w:ascii="Arial" w:hAnsi="Arial" w:cs="Arial"/>
                <w:b/>
                <w:sz w:val="22"/>
                <w:szCs w:val="22"/>
                <w:lang w:val="es-MX"/>
              </w:rPr>
              <w:t>8</w:t>
            </w:r>
          </w:p>
        </w:tc>
        <w:tc>
          <w:tcPr>
            <w:tcW w:w="9400" w:type="dxa"/>
          </w:tcPr>
          <w:p w14:paraId="6A4CEA64" w14:textId="77777777" w:rsidR="00561B22" w:rsidRPr="007D61C1" w:rsidRDefault="00561B22" w:rsidP="00F1223B">
            <w:pPr>
              <w:jc w:val="both"/>
              <w:rPr>
                <w:rFonts w:ascii="Arial" w:hAnsi="Arial" w:cs="Arial"/>
                <w:sz w:val="22"/>
                <w:szCs w:val="22"/>
                <w:lang w:val="es-CO"/>
              </w:rPr>
            </w:pPr>
            <w:r w:rsidRPr="007D61C1">
              <w:rPr>
                <w:rFonts w:ascii="Arial" w:hAnsi="Arial" w:cs="Arial"/>
                <w:sz w:val="22"/>
                <w:szCs w:val="22"/>
                <w:lang w:val="es-CO"/>
              </w:rPr>
              <w:t>Documentar el proceso contable en cuanto a la metodología y su ejecución, esto permitirá a controlar de manera eficiente todas las actividades relacionadas con la operatividad de la gestión contable, garantizando la transparencia en la gestión frente a terceros.</w:t>
            </w:r>
          </w:p>
        </w:tc>
      </w:tr>
    </w:tbl>
    <w:p w14:paraId="70C559FB" w14:textId="77777777" w:rsidR="00561B22" w:rsidRPr="007D61C1" w:rsidRDefault="00561B22" w:rsidP="00561B22">
      <w:pPr>
        <w:pStyle w:val="Textoindependiente"/>
        <w:ind w:right="-50"/>
        <w:jc w:val="both"/>
        <w:rPr>
          <w:rFonts w:ascii="Arial" w:hAnsi="Arial" w:cs="Arial"/>
          <w:b/>
          <w:bCs/>
        </w:rPr>
      </w:pPr>
    </w:p>
    <w:p w14:paraId="5E19E86B" w14:textId="77777777" w:rsidR="00561B22" w:rsidRPr="007D61C1" w:rsidRDefault="00561B22" w:rsidP="00561B22">
      <w:pPr>
        <w:jc w:val="both"/>
        <w:rPr>
          <w:rFonts w:ascii="Arial" w:hAnsi="Arial" w:cs="Arial"/>
          <w:b/>
          <w:bCs/>
          <w:sz w:val="24"/>
          <w:szCs w:val="24"/>
          <w:lang w:val="es-CO"/>
        </w:rPr>
      </w:pPr>
      <w:r w:rsidRPr="007D61C1">
        <w:rPr>
          <w:rFonts w:ascii="Arial" w:hAnsi="Arial" w:cs="Arial"/>
          <w:b/>
          <w:bCs/>
          <w:sz w:val="24"/>
          <w:szCs w:val="24"/>
          <w:lang w:val="es-CO"/>
        </w:rPr>
        <w:t xml:space="preserve">NOTA: LA ENTIDAD ENVIA LA MATRIZ DE AUTOEVALUACIÓN DEL SISTEMA DE CONTROL INTERNO CONTABLE CON </w:t>
      </w:r>
      <w:r w:rsidRPr="007D61C1">
        <w:rPr>
          <w:rFonts w:ascii="Arial" w:hAnsi="Arial" w:cs="Arial"/>
          <w:b/>
          <w:bCs/>
          <w:sz w:val="24"/>
          <w:szCs w:val="24"/>
          <w:u w:val="single"/>
          <w:lang w:val="es-CO"/>
        </w:rPr>
        <w:t>ACTIVIDADES DE CONTROL REALIZADAS EN FORMA PARCIAL</w:t>
      </w:r>
      <w:r w:rsidRPr="007D61C1">
        <w:rPr>
          <w:rFonts w:ascii="Arial" w:hAnsi="Arial" w:cs="Arial"/>
          <w:b/>
          <w:bCs/>
          <w:sz w:val="24"/>
          <w:szCs w:val="24"/>
          <w:lang w:val="es-CO"/>
        </w:rPr>
        <w:t>.</w:t>
      </w:r>
    </w:p>
    <w:p w14:paraId="22F642FD" w14:textId="77777777" w:rsidR="00561B22" w:rsidRDefault="00561B22" w:rsidP="00561B22">
      <w:pPr>
        <w:jc w:val="both"/>
        <w:rPr>
          <w:rFonts w:ascii="Arial" w:hAnsi="Arial" w:cs="Arial"/>
          <w:b/>
          <w:bCs/>
          <w:lang w:val="es-CO"/>
        </w:rPr>
      </w:pPr>
    </w:p>
    <w:p w14:paraId="5C74AFE3" w14:textId="77777777" w:rsidR="00561B22" w:rsidRPr="00630B78" w:rsidRDefault="00561B22" w:rsidP="00561B22">
      <w:pPr>
        <w:jc w:val="both"/>
        <w:rPr>
          <w:rFonts w:ascii="Arial" w:hAnsi="Arial" w:cs="Arial"/>
          <w:b/>
          <w:sz w:val="28"/>
          <w:szCs w:val="28"/>
          <w:lang w:val="es-MX"/>
        </w:rPr>
      </w:pPr>
      <w:r w:rsidRPr="00630B78">
        <w:rPr>
          <w:rFonts w:ascii="Arial" w:hAnsi="Arial" w:cs="Arial"/>
          <w:b/>
          <w:sz w:val="28"/>
          <w:szCs w:val="28"/>
          <w:lang w:val="es-MX"/>
        </w:rPr>
        <w:t>299.- E.I.C.E. ADMINISTRADORA DEL MONOPOLIO RENTISTICO DE LOS JUEGOS DE SUERTE Y AZAR – COLJUEGOS.</w:t>
      </w:r>
    </w:p>
    <w:p w14:paraId="038C785A" w14:textId="77777777" w:rsidR="00561B22" w:rsidRDefault="00561B22" w:rsidP="00561B22">
      <w:pPr>
        <w:jc w:val="both"/>
        <w:rPr>
          <w:rFonts w:ascii="Arial" w:hAnsi="Arial" w:cs="Arial"/>
          <w:b/>
          <w:bCs/>
          <w:sz w:val="28"/>
          <w:szCs w:val="28"/>
          <w:lang w:val="es-MX"/>
        </w:rPr>
      </w:pPr>
    </w:p>
    <w:p w14:paraId="3EF1C2DA" w14:textId="77777777" w:rsidR="00561B22" w:rsidRPr="00630B78" w:rsidRDefault="00561B22" w:rsidP="00561B22">
      <w:pPr>
        <w:pStyle w:val="Textoindependiente"/>
        <w:jc w:val="center"/>
        <w:rPr>
          <w:rFonts w:ascii="Arial" w:hAnsi="Arial" w:cs="Arial"/>
          <w:b/>
          <w:bCs/>
        </w:rPr>
      </w:pPr>
      <w:r w:rsidRPr="00630B78">
        <w:rPr>
          <w:rFonts w:ascii="Arial" w:hAnsi="Arial" w:cs="Arial"/>
          <w:b/>
          <w:bCs/>
        </w:rPr>
        <w:t>INFORME DE LA AUTOCALIFICACIÓN DEL SISTEMA DE CONTROL INTERNO CONTABLE:</w:t>
      </w:r>
    </w:p>
    <w:p w14:paraId="5BCCFAD6" w14:textId="77777777" w:rsidR="00561B22" w:rsidRPr="00630B7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30B78" w14:paraId="3026B36C" w14:textId="77777777" w:rsidTr="00F1223B">
        <w:tc>
          <w:tcPr>
            <w:tcW w:w="4981" w:type="dxa"/>
          </w:tcPr>
          <w:p w14:paraId="61BFD52F"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AUTOCALIFICACIÓN</w:t>
            </w:r>
          </w:p>
        </w:tc>
        <w:tc>
          <w:tcPr>
            <w:tcW w:w="4981" w:type="dxa"/>
          </w:tcPr>
          <w:p w14:paraId="17624611" w14:textId="77777777" w:rsidR="00561B22" w:rsidRPr="00630B78" w:rsidRDefault="00561B22" w:rsidP="00F1223B">
            <w:pPr>
              <w:jc w:val="center"/>
              <w:rPr>
                <w:rFonts w:ascii="Arial" w:hAnsi="Arial" w:cs="Arial"/>
                <w:b/>
                <w:sz w:val="22"/>
                <w:szCs w:val="22"/>
                <w:u w:val="single"/>
                <w:lang w:val="es-MX"/>
              </w:rPr>
            </w:pPr>
            <w:r w:rsidRPr="00630B78">
              <w:rPr>
                <w:rFonts w:ascii="Arial" w:hAnsi="Arial" w:cs="Arial"/>
                <w:b/>
                <w:sz w:val="22"/>
                <w:szCs w:val="22"/>
                <w:u w:val="single"/>
                <w:lang w:val="es-MX"/>
              </w:rPr>
              <w:t>4.93</w:t>
            </w:r>
          </w:p>
        </w:tc>
      </w:tr>
    </w:tbl>
    <w:p w14:paraId="57BE0761" w14:textId="77777777" w:rsidR="00561B22" w:rsidRPr="00630B78" w:rsidRDefault="00561B22" w:rsidP="00561B22">
      <w:pPr>
        <w:pStyle w:val="Textoindependiente"/>
        <w:jc w:val="both"/>
        <w:rPr>
          <w:rFonts w:ascii="Arial" w:hAnsi="Arial" w:cs="Arial"/>
          <w:b/>
          <w:bCs/>
        </w:rPr>
      </w:pPr>
    </w:p>
    <w:p w14:paraId="302E0994" w14:textId="77777777" w:rsidR="00561B22" w:rsidRPr="00630B78" w:rsidRDefault="00561B22" w:rsidP="00561B22">
      <w:pPr>
        <w:pStyle w:val="Textoindependiente"/>
        <w:jc w:val="both"/>
        <w:rPr>
          <w:rFonts w:ascii="Arial" w:hAnsi="Arial" w:cs="Arial"/>
          <w:b/>
          <w:bCs/>
        </w:rPr>
      </w:pPr>
      <w:r w:rsidRPr="00630B78">
        <w:rPr>
          <w:rFonts w:ascii="Arial" w:hAnsi="Arial" w:cs="Arial"/>
          <w:b/>
          <w:bCs/>
        </w:rPr>
        <w:t>Del informe enviado retomamos lo siguiente:</w:t>
      </w:r>
    </w:p>
    <w:p w14:paraId="71323779" w14:textId="77777777" w:rsidR="00561B22" w:rsidRPr="00630B78"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30B78" w14:paraId="62E9F82F" w14:textId="77777777" w:rsidTr="00F1223B">
        <w:tc>
          <w:tcPr>
            <w:tcW w:w="562" w:type="dxa"/>
          </w:tcPr>
          <w:p w14:paraId="2E870C74"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N°</w:t>
            </w:r>
          </w:p>
        </w:tc>
        <w:tc>
          <w:tcPr>
            <w:tcW w:w="9400" w:type="dxa"/>
          </w:tcPr>
          <w:p w14:paraId="0DF57C69"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DEBILIDADES</w:t>
            </w:r>
          </w:p>
          <w:p w14:paraId="1DB27973" w14:textId="77777777" w:rsidR="00561B22" w:rsidRPr="00630B78" w:rsidRDefault="00561B22" w:rsidP="00F1223B">
            <w:pPr>
              <w:jc w:val="center"/>
              <w:rPr>
                <w:rFonts w:ascii="Arial" w:hAnsi="Arial" w:cs="Arial"/>
                <w:b/>
                <w:sz w:val="22"/>
                <w:szCs w:val="22"/>
                <w:lang w:val="es-MX"/>
              </w:rPr>
            </w:pPr>
          </w:p>
        </w:tc>
      </w:tr>
      <w:tr w:rsidR="00561B22" w:rsidRPr="00630B78" w14:paraId="19EFCECF" w14:textId="77777777" w:rsidTr="00F1223B">
        <w:tc>
          <w:tcPr>
            <w:tcW w:w="562" w:type="dxa"/>
          </w:tcPr>
          <w:p w14:paraId="44E300E2"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1</w:t>
            </w:r>
          </w:p>
        </w:tc>
        <w:tc>
          <w:tcPr>
            <w:tcW w:w="9400" w:type="dxa"/>
          </w:tcPr>
          <w:p w14:paraId="53A5C7D3" w14:textId="77777777" w:rsidR="00561B22" w:rsidRPr="00630B78" w:rsidRDefault="00561B22" w:rsidP="00F1223B">
            <w:pPr>
              <w:jc w:val="both"/>
              <w:rPr>
                <w:rFonts w:ascii="Arial" w:hAnsi="Arial" w:cs="Arial"/>
                <w:sz w:val="22"/>
                <w:szCs w:val="22"/>
                <w:lang w:val="es-CO"/>
              </w:rPr>
            </w:pPr>
            <w:r w:rsidRPr="00630B78">
              <w:rPr>
                <w:rFonts w:ascii="Arial" w:hAnsi="Arial" w:cs="Arial"/>
                <w:sz w:val="22"/>
                <w:szCs w:val="22"/>
                <w:lang w:val="es-CO"/>
              </w:rPr>
              <w:t>Falta documentar procedimientos, actualizar documentos y lineamientos.</w:t>
            </w:r>
          </w:p>
        </w:tc>
      </w:tr>
      <w:tr w:rsidR="00561B22" w:rsidRPr="00630B78" w14:paraId="2373CBAE" w14:textId="77777777" w:rsidTr="00F1223B">
        <w:tc>
          <w:tcPr>
            <w:tcW w:w="562" w:type="dxa"/>
          </w:tcPr>
          <w:p w14:paraId="1FDD96EB"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2</w:t>
            </w:r>
          </w:p>
        </w:tc>
        <w:tc>
          <w:tcPr>
            <w:tcW w:w="9400" w:type="dxa"/>
          </w:tcPr>
          <w:p w14:paraId="12F3864C" w14:textId="77777777" w:rsidR="00561B22" w:rsidRPr="00630B78" w:rsidRDefault="00561B22" w:rsidP="00F1223B">
            <w:pPr>
              <w:jc w:val="both"/>
              <w:rPr>
                <w:rFonts w:ascii="Arial" w:hAnsi="Arial" w:cs="Arial"/>
                <w:sz w:val="22"/>
                <w:szCs w:val="22"/>
                <w:lang w:val="es-CO"/>
              </w:rPr>
            </w:pPr>
            <w:r w:rsidRPr="00630B78">
              <w:rPr>
                <w:rFonts w:ascii="Arial" w:hAnsi="Arial" w:cs="Arial"/>
                <w:sz w:val="22"/>
                <w:szCs w:val="22"/>
                <w:lang w:val="es-CO"/>
              </w:rPr>
              <w:t xml:space="preserve">Debilidades en el sistema de información SIICOL que facilite la entrega oficial de forma automática y no manual. </w:t>
            </w:r>
          </w:p>
        </w:tc>
      </w:tr>
      <w:tr w:rsidR="00561B22" w:rsidRPr="00630B78" w14:paraId="14C6D6E0" w14:textId="77777777" w:rsidTr="00F1223B">
        <w:tc>
          <w:tcPr>
            <w:tcW w:w="562" w:type="dxa"/>
          </w:tcPr>
          <w:p w14:paraId="2C59A349"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lastRenderedPageBreak/>
              <w:t>3</w:t>
            </w:r>
          </w:p>
        </w:tc>
        <w:tc>
          <w:tcPr>
            <w:tcW w:w="9400" w:type="dxa"/>
          </w:tcPr>
          <w:p w14:paraId="05D9EF88" w14:textId="77777777" w:rsidR="00561B22" w:rsidRPr="00630B78" w:rsidRDefault="00561B22" w:rsidP="00F1223B">
            <w:pPr>
              <w:jc w:val="both"/>
              <w:rPr>
                <w:rFonts w:ascii="Arial" w:hAnsi="Arial" w:cs="Arial"/>
                <w:sz w:val="22"/>
                <w:szCs w:val="22"/>
                <w:lang w:val="es-CO"/>
              </w:rPr>
            </w:pPr>
            <w:r w:rsidRPr="00630B78">
              <w:rPr>
                <w:rFonts w:ascii="Arial" w:hAnsi="Arial" w:cs="Arial"/>
                <w:sz w:val="22"/>
                <w:szCs w:val="22"/>
                <w:lang w:val="es-CO"/>
              </w:rPr>
              <w:t xml:space="preserve">Ausencia de capacitación al personal de la gerencia financiera, cuando se presentan cambios en la normativa (tributaria, información exógena). </w:t>
            </w:r>
          </w:p>
        </w:tc>
      </w:tr>
      <w:tr w:rsidR="00561B22" w:rsidRPr="00630B78" w14:paraId="6DD334FC" w14:textId="77777777" w:rsidTr="00F1223B">
        <w:tc>
          <w:tcPr>
            <w:tcW w:w="562" w:type="dxa"/>
          </w:tcPr>
          <w:p w14:paraId="2B2E1822"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4</w:t>
            </w:r>
          </w:p>
        </w:tc>
        <w:tc>
          <w:tcPr>
            <w:tcW w:w="9400" w:type="dxa"/>
          </w:tcPr>
          <w:p w14:paraId="22609224" w14:textId="77777777" w:rsidR="00561B22" w:rsidRPr="00630B78" w:rsidRDefault="00561B22" w:rsidP="00F1223B">
            <w:pPr>
              <w:jc w:val="both"/>
              <w:rPr>
                <w:rFonts w:ascii="Arial" w:hAnsi="Arial" w:cs="Arial"/>
                <w:sz w:val="22"/>
                <w:szCs w:val="22"/>
                <w:lang w:val="es-CO"/>
              </w:rPr>
            </w:pPr>
            <w:r w:rsidRPr="00630B78">
              <w:rPr>
                <w:rFonts w:ascii="Arial" w:hAnsi="Arial" w:cs="Arial"/>
                <w:sz w:val="22"/>
                <w:szCs w:val="22"/>
                <w:lang w:val="es-CO"/>
              </w:rPr>
              <w:t>Debilidad en la identificación, actualización y documentación de posibles riesgos en el desarrollo del proceso contable.</w:t>
            </w:r>
          </w:p>
        </w:tc>
      </w:tr>
    </w:tbl>
    <w:p w14:paraId="5AA49371" w14:textId="77777777" w:rsidR="00561B22" w:rsidRPr="00630B78" w:rsidRDefault="00561B22" w:rsidP="00561B22">
      <w:pPr>
        <w:pStyle w:val="Textoindependiente"/>
        <w:jc w:val="both"/>
        <w:rPr>
          <w:rFonts w:ascii="Arial" w:hAnsi="Arial" w:cs="Arial"/>
          <w:b/>
          <w:bCs/>
        </w:rPr>
      </w:pPr>
    </w:p>
    <w:p w14:paraId="76B94577" w14:textId="77777777" w:rsidR="00561B22" w:rsidRPr="00630B78" w:rsidRDefault="00561B22" w:rsidP="00561B22">
      <w:pPr>
        <w:jc w:val="both"/>
        <w:rPr>
          <w:rFonts w:ascii="Arial" w:hAnsi="Arial" w:cs="Arial"/>
          <w:b/>
          <w:lang w:val="es-MX"/>
        </w:rPr>
      </w:pPr>
      <w:r w:rsidRPr="00630B78">
        <w:rPr>
          <w:rFonts w:ascii="Arial" w:hAnsi="Arial" w:cs="Arial"/>
          <w:b/>
          <w:lang w:val="es-MX"/>
        </w:rPr>
        <w:t>Del citado informe retomamos las siguientes recomendaciones:</w:t>
      </w:r>
    </w:p>
    <w:p w14:paraId="3CAAEA41" w14:textId="77777777" w:rsidR="00561B22" w:rsidRPr="00630B78" w:rsidRDefault="00561B22" w:rsidP="00561B22">
      <w:pPr>
        <w:pStyle w:val="Textoindependiente"/>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30B78" w14:paraId="3094A08B" w14:textId="77777777" w:rsidTr="00F1223B">
        <w:tc>
          <w:tcPr>
            <w:tcW w:w="562" w:type="dxa"/>
          </w:tcPr>
          <w:p w14:paraId="03E99B8E"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N°</w:t>
            </w:r>
          </w:p>
        </w:tc>
        <w:tc>
          <w:tcPr>
            <w:tcW w:w="9400" w:type="dxa"/>
          </w:tcPr>
          <w:p w14:paraId="34014531"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RECOMENDACIONES</w:t>
            </w:r>
          </w:p>
          <w:p w14:paraId="2FC841E4" w14:textId="77777777" w:rsidR="00561B22" w:rsidRPr="00630B78" w:rsidRDefault="00561B22" w:rsidP="00F1223B">
            <w:pPr>
              <w:jc w:val="center"/>
              <w:rPr>
                <w:rFonts w:ascii="Arial" w:hAnsi="Arial" w:cs="Arial"/>
                <w:b/>
                <w:sz w:val="22"/>
                <w:szCs w:val="22"/>
                <w:lang w:val="es-MX"/>
              </w:rPr>
            </w:pPr>
          </w:p>
        </w:tc>
      </w:tr>
      <w:tr w:rsidR="00561B22" w:rsidRPr="00630B78" w14:paraId="79DA48E5" w14:textId="77777777" w:rsidTr="00F1223B">
        <w:tc>
          <w:tcPr>
            <w:tcW w:w="562" w:type="dxa"/>
          </w:tcPr>
          <w:p w14:paraId="50DFD0BB"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1</w:t>
            </w:r>
          </w:p>
        </w:tc>
        <w:tc>
          <w:tcPr>
            <w:tcW w:w="9400" w:type="dxa"/>
          </w:tcPr>
          <w:p w14:paraId="355786C7" w14:textId="77777777" w:rsidR="00561B22" w:rsidRPr="00630B78" w:rsidRDefault="00561B22" w:rsidP="00F1223B">
            <w:pPr>
              <w:jc w:val="both"/>
              <w:rPr>
                <w:rFonts w:ascii="Arial" w:hAnsi="Arial" w:cs="Arial"/>
                <w:bCs/>
                <w:sz w:val="22"/>
                <w:szCs w:val="22"/>
                <w:lang w:val="es-ES_tradnl"/>
              </w:rPr>
            </w:pPr>
            <w:r w:rsidRPr="00630B78">
              <w:rPr>
                <w:rFonts w:ascii="Arial" w:hAnsi="Arial" w:cs="Arial"/>
                <w:bCs/>
                <w:sz w:val="22"/>
                <w:szCs w:val="22"/>
                <w:lang w:val="es-ES_tradnl"/>
              </w:rPr>
              <w:t>Identificar los riesgos contables relacionados con cumplimiento de obligaciones tributarias, Posibilidad de Opiniones negativas a los estados financieros por parte de La Contraloría General de la República o Revisoría Fiscal, Riesgos Fiscales entre otros.</w:t>
            </w:r>
          </w:p>
        </w:tc>
      </w:tr>
      <w:tr w:rsidR="00561B22" w:rsidRPr="00630B78" w14:paraId="39517FA1" w14:textId="77777777" w:rsidTr="00F1223B">
        <w:tc>
          <w:tcPr>
            <w:tcW w:w="562" w:type="dxa"/>
          </w:tcPr>
          <w:p w14:paraId="462B79C5"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2</w:t>
            </w:r>
          </w:p>
        </w:tc>
        <w:tc>
          <w:tcPr>
            <w:tcW w:w="9400" w:type="dxa"/>
          </w:tcPr>
          <w:p w14:paraId="0CEB48B8"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Evaluar y actualizar los riesgos con mayor frecuencia, teniendo en cuenta que la probabilidad de ocurrencia, puede cambiar la denominación del mismo entre bajo, medio o alto en cualquier momento, si se tiene en cuenta el gran volumen de información que se maneja al interior del área financiera de los procesos transversales que nutren los estados financieros.</w:t>
            </w:r>
          </w:p>
        </w:tc>
      </w:tr>
      <w:tr w:rsidR="00561B22" w:rsidRPr="00630B78" w14:paraId="5266D20A" w14:textId="77777777" w:rsidTr="00F1223B">
        <w:tc>
          <w:tcPr>
            <w:tcW w:w="562" w:type="dxa"/>
          </w:tcPr>
          <w:p w14:paraId="069A1397"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3</w:t>
            </w:r>
          </w:p>
        </w:tc>
        <w:tc>
          <w:tcPr>
            <w:tcW w:w="9400" w:type="dxa"/>
          </w:tcPr>
          <w:p w14:paraId="5FEE4200"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Establecer un mecanismo para que los pagos que se realizan por medio de recibos en las oficinas bancarias deben ser aplicados en línea y tiempo real en el sistema de Coljuegos.</w:t>
            </w:r>
          </w:p>
        </w:tc>
      </w:tr>
      <w:tr w:rsidR="00561B22" w:rsidRPr="00630B78" w14:paraId="26BCD1EF" w14:textId="77777777" w:rsidTr="00F1223B">
        <w:tc>
          <w:tcPr>
            <w:tcW w:w="562" w:type="dxa"/>
          </w:tcPr>
          <w:p w14:paraId="4D94B3E1"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4</w:t>
            </w:r>
          </w:p>
        </w:tc>
        <w:tc>
          <w:tcPr>
            <w:tcW w:w="9400" w:type="dxa"/>
          </w:tcPr>
          <w:p w14:paraId="5CC5AE4E"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Desarrollar una funcionalidad para que de manera automática se generen los consecutivos para comprobantes manuales previos al cierre contable.</w:t>
            </w:r>
          </w:p>
        </w:tc>
      </w:tr>
      <w:tr w:rsidR="00561B22" w:rsidRPr="00630B78" w14:paraId="1CBD648A" w14:textId="77777777" w:rsidTr="00F1223B">
        <w:tc>
          <w:tcPr>
            <w:tcW w:w="562" w:type="dxa"/>
          </w:tcPr>
          <w:p w14:paraId="34CE915F"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5</w:t>
            </w:r>
          </w:p>
        </w:tc>
        <w:tc>
          <w:tcPr>
            <w:tcW w:w="9400" w:type="dxa"/>
          </w:tcPr>
          <w:p w14:paraId="73ABB14A"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Revisar la redacción de los riesgos, el impacto, con el fin de que el riesgo identificado no sea una consecuencia o una causa.</w:t>
            </w:r>
          </w:p>
        </w:tc>
      </w:tr>
      <w:tr w:rsidR="00561B22" w:rsidRPr="00630B78" w14:paraId="6443AB23" w14:textId="77777777" w:rsidTr="00F1223B">
        <w:tc>
          <w:tcPr>
            <w:tcW w:w="562" w:type="dxa"/>
          </w:tcPr>
          <w:p w14:paraId="28C6B0F7"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6</w:t>
            </w:r>
          </w:p>
        </w:tc>
        <w:tc>
          <w:tcPr>
            <w:tcW w:w="9400" w:type="dxa"/>
          </w:tcPr>
          <w:p w14:paraId="697FBB5C"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Fortalecer las actualizaciones y validaciones correspondientes a dar cumplimiento a lo dispuesto en el procedimiento Almacén e Inventarios.</w:t>
            </w:r>
          </w:p>
        </w:tc>
      </w:tr>
      <w:tr w:rsidR="00561B22" w:rsidRPr="00630B78" w14:paraId="0DF4723B" w14:textId="77777777" w:rsidTr="00F1223B">
        <w:tc>
          <w:tcPr>
            <w:tcW w:w="562" w:type="dxa"/>
          </w:tcPr>
          <w:p w14:paraId="13093B14"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7</w:t>
            </w:r>
          </w:p>
        </w:tc>
        <w:tc>
          <w:tcPr>
            <w:tcW w:w="9400" w:type="dxa"/>
          </w:tcPr>
          <w:p w14:paraId="642C2E2D"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 xml:space="preserve">Continuar con la mejora continua de los procesos de conciliación y verificación de saldos contables, garantizando la consistencia entre la información registrada en los sistemas transversales. </w:t>
            </w:r>
          </w:p>
        </w:tc>
      </w:tr>
      <w:tr w:rsidR="00561B22" w:rsidRPr="00630B78" w14:paraId="5CFAF437" w14:textId="77777777" w:rsidTr="00F1223B">
        <w:tc>
          <w:tcPr>
            <w:tcW w:w="562" w:type="dxa"/>
          </w:tcPr>
          <w:p w14:paraId="75CEFAE7"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8</w:t>
            </w:r>
          </w:p>
        </w:tc>
        <w:tc>
          <w:tcPr>
            <w:tcW w:w="9400" w:type="dxa"/>
          </w:tcPr>
          <w:p w14:paraId="207C55F9"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Revisar al cierre de cada período contable las estimaciones de vida útil determinada para cada activo de la Entidad según aplique, con el fin de identificar oportunamente cambios significativos en su ciclo, en cumplimiento de lo establecido en el Manual de Políticas Contables de Propiedades Planta y Equipo, Medición posterior - Revisión estimaciones.</w:t>
            </w:r>
          </w:p>
        </w:tc>
      </w:tr>
      <w:tr w:rsidR="00561B22" w:rsidRPr="00630B78" w14:paraId="2FBB55A2" w14:textId="77777777" w:rsidTr="00F1223B">
        <w:tc>
          <w:tcPr>
            <w:tcW w:w="562" w:type="dxa"/>
          </w:tcPr>
          <w:p w14:paraId="2277DC1E"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9</w:t>
            </w:r>
          </w:p>
        </w:tc>
        <w:tc>
          <w:tcPr>
            <w:tcW w:w="9400" w:type="dxa"/>
          </w:tcPr>
          <w:p w14:paraId="6B442138"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Fortalecer la socialización de las directrices, guías o procedimientos definidos en el proceso contable de manera completa y a todos los procesos involucrados en generación de hechos económicos de manera que contribuya a mejorar la oportunidad y la calidad de la información suministrada para la elaboración de los estados financieros de la entidad.</w:t>
            </w:r>
          </w:p>
        </w:tc>
      </w:tr>
      <w:tr w:rsidR="00561B22" w:rsidRPr="00630B78" w14:paraId="1309B319" w14:textId="77777777" w:rsidTr="00F1223B">
        <w:tc>
          <w:tcPr>
            <w:tcW w:w="562" w:type="dxa"/>
          </w:tcPr>
          <w:p w14:paraId="40D0FE18"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10</w:t>
            </w:r>
          </w:p>
        </w:tc>
        <w:tc>
          <w:tcPr>
            <w:tcW w:w="9400" w:type="dxa"/>
          </w:tcPr>
          <w:p w14:paraId="2CB0BB2F"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Generar espacios de capacitación para el personal del área contable de la entidad, dadas las dinámicas de actualización y cambios normativos constantes que se generan desde la Contaduría General de la Nación.</w:t>
            </w:r>
          </w:p>
        </w:tc>
      </w:tr>
      <w:tr w:rsidR="00561B22" w:rsidRPr="00630B78" w14:paraId="6039F66F" w14:textId="77777777" w:rsidTr="00F1223B">
        <w:tc>
          <w:tcPr>
            <w:tcW w:w="562" w:type="dxa"/>
          </w:tcPr>
          <w:p w14:paraId="76288252" w14:textId="77777777" w:rsidR="00561B22" w:rsidRPr="00630B78" w:rsidRDefault="00561B22" w:rsidP="00F1223B">
            <w:pPr>
              <w:jc w:val="center"/>
              <w:rPr>
                <w:rFonts w:ascii="Arial" w:hAnsi="Arial" w:cs="Arial"/>
                <w:b/>
                <w:sz w:val="22"/>
                <w:szCs w:val="22"/>
                <w:lang w:val="es-MX"/>
              </w:rPr>
            </w:pPr>
            <w:r w:rsidRPr="00630B78">
              <w:rPr>
                <w:rFonts w:ascii="Arial" w:hAnsi="Arial" w:cs="Arial"/>
                <w:b/>
                <w:sz w:val="22"/>
                <w:szCs w:val="22"/>
                <w:lang w:val="es-MX"/>
              </w:rPr>
              <w:t>11</w:t>
            </w:r>
          </w:p>
        </w:tc>
        <w:tc>
          <w:tcPr>
            <w:tcW w:w="9400" w:type="dxa"/>
          </w:tcPr>
          <w:p w14:paraId="0B1C857E" w14:textId="77777777" w:rsidR="00561B22" w:rsidRPr="00630B78" w:rsidRDefault="00561B22" w:rsidP="00F1223B">
            <w:pPr>
              <w:jc w:val="both"/>
              <w:rPr>
                <w:rFonts w:ascii="Arial" w:hAnsi="Arial" w:cs="Arial"/>
                <w:sz w:val="22"/>
                <w:szCs w:val="22"/>
                <w:lang w:val="es-MX"/>
              </w:rPr>
            </w:pPr>
            <w:r w:rsidRPr="00630B78">
              <w:rPr>
                <w:rFonts w:ascii="Arial" w:hAnsi="Arial" w:cs="Arial"/>
                <w:sz w:val="22"/>
                <w:szCs w:val="22"/>
                <w:lang w:val="es-MX"/>
              </w:rPr>
              <w:t>Incentivar la cultura de autocontrol y autoevaluación por parte de los ejecutores directos del proceso contable y de los proveedores de información.</w:t>
            </w:r>
          </w:p>
        </w:tc>
      </w:tr>
    </w:tbl>
    <w:p w14:paraId="2AAFDAFD" w14:textId="77777777" w:rsidR="00561B22" w:rsidRPr="00630B78" w:rsidRDefault="00561B22" w:rsidP="00561B22">
      <w:pPr>
        <w:pStyle w:val="Textoindependiente"/>
        <w:jc w:val="both"/>
        <w:rPr>
          <w:rFonts w:ascii="Arial" w:hAnsi="Arial" w:cs="Arial"/>
          <w:b/>
          <w:bCs/>
          <w:sz w:val="28"/>
          <w:szCs w:val="28"/>
        </w:rPr>
      </w:pPr>
    </w:p>
    <w:p w14:paraId="3770ED82" w14:textId="77777777" w:rsidR="00561B22" w:rsidRPr="00630B78" w:rsidRDefault="00561B22" w:rsidP="00561B22">
      <w:pPr>
        <w:jc w:val="both"/>
        <w:rPr>
          <w:rFonts w:ascii="Arial" w:hAnsi="Arial" w:cs="Arial"/>
          <w:b/>
          <w:bCs/>
          <w:sz w:val="24"/>
          <w:szCs w:val="24"/>
          <w:lang w:val="es-CO"/>
        </w:rPr>
      </w:pPr>
      <w:r w:rsidRPr="00630B78">
        <w:rPr>
          <w:rFonts w:ascii="Arial" w:hAnsi="Arial" w:cs="Arial"/>
          <w:b/>
          <w:bCs/>
          <w:sz w:val="24"/>
          <w:szCs w:val="24"/>
          <w:lang w:val="es-CO"/>
        </w:rPr>
        <w:t xml:space="preserve">NOTA: LA ENTIDAD ENVIA LA MATRIZ DE AUTOEVALUACIÓN DEL SISTEMA DE CONTROL INTERNO CONTABLE CON ACTIVIDADES DE CONTROL REALIZADAS </w:t>
      </w:r>
      <w:r w:rsidRPr="00630B78">
        <w:rPr>
          <w:rFonts w:ascii="Arial" w:hAnsi="Arial" w:cs="Arial"/>
          <w:b/>
          <w:bCs/>
          <w:sz w:val="24"/>
          <w:szCs w:val="24"/>
          <w:u w:val="single"/>
          <w:lang w:val="es-CO"/>
        </w:rPr>
        <w:t>EN FORMA PARCIAL Y OTRAS SIMPLEMENTE INFORMAN QUE NO SE REALIZARON</w:t>
      </w:r>
      <w:r w:rsidRPr="00630B78">
        <w:rPr>
          <w:rFonts w:ascii="Arial" w:hAnsi="Arial" w:cs="Arial"/>
          <w:b/>
          <w:bCs/>
          <w:sz w:val="24"/>
          <w:szCs w:val="24"/>
          <w:lang w:val="es-CO"/>
        </w:rPr>
        <w:t>.</w:t>
      </w:r>
    </w:p>
    <w:p w14:paraId="025466A7" w14:textId="77777777" w:rsidR="00561B22" w:rsidRPr="00630B78" w:rsidRDefault="00561B22" w:rsidP="00561B22">
      <w:pPr>
        <w:jc w:val="both"/>
        <w:rPr>
          <w:rFonts w:ascii="Arial" w:hAnsi="Arial" w:cs="Arial"/>
          <w:b/>
          <w:bCs/>
          <w:sz w:val="24"/>
          <w:szCs w:val="24"/>
          <w:lang w:val="es-CO"/>
        </w:rPr>
      </w:pPr>
    </w:p>
    <w:p w14:paraId="7AF2C0A6" w14:textId="77777777" w:rsidR="00561B22" w:rsidRDefault="00561B22" w:rsidP="00561B22">
      <w:pPr>
        <w:jc w:val="both"/>
        <w:rPr>
          <w:rFonts w:ascii="Arial" w:hAnsi="Arial" w:cs="Arial"/>
          <w:b/>
          <w:sz w:val="28"/>
          <w:szCs w:val="28"/>
          <w:lang w:val="es-MX"/>
        </w:rPr>
      </w:pPr>
      <w:r w:rsidRPr="002A14EA">
        <w:rPr>
          <w:rFonts w:ascii="Arial" w:hAnsi="Arial" w:cs="Arial"/>
          <w:b/>
          <w:sz w:val="28"/>
          <w:szCs w:val="28"/>
          <w:lang w:val="es-CO"/>
        </w:rPr>
        <w:t xml:space="preserve">300.- </w:t>
      </w:r>
      <w:r w:rsidRPr="002A14EA">
        <w:rPr>
          <w:rFonts w:ascii="Arial" w:hAnsi="Arial" w:cs="Arial"/>
          <w:b/>
          <w:sz w:val="28"/>
          <w:szCs w:val="28"/>
          <w:lang w:val="es-MX"/>
        </w:rPr>
        <w:t>SUPERINTENDENCIA DE LA ECONOMIA SOLIDARIA - SUPERSOLIDARIA.</w:t>
      </w:r>
    </w:p>
    <w:p w14:paraId="4DD5920C" w14:textId="77777777" w:rsidR="00561B22" w:rsidRDefault="00561B22" w:rsidP="00561B22">
      <w:pPr>
        <w:jc w:val="both"/>
        <w:rPr>
          <w:rFonts w:ascii="Arial" w:hAnsi="Arial" w:cs="Arial"/>
          <w:b/>
          <w:sz w:val="28"/>
          <w:szCs w:val="28"/>
          <w:lang w:val="es-MX"/>
        </w:rPr>
      </w:pPr>
    </w:p>
    <w:p w14:paraId="1550BCF0" w14:textId="77777777" w:rsidR="00561B22" w:rsidRPr="002A14EA" w:rsidRDefault="00561B22" w:rsidP="00561B22">
      <w:pPr>
        <w:pStyle w:val="Textoindependiente"/>
        <w:jc w:val="center"/>
        <w:rPr>
          <w:rFonts w:ascii="Arial" w:hAnsi="Arial" w:cs="Arial"/>
          <w:b/>
          <w:bCs/>
        </w:rPr>
      </w:pPr>
      <w:r w:rsidRPr="002A14EA">
        <w:rPr>
          <w:rFonts w:ascii="Arial" w:hAnsi="Arial" w:cs="Arial"/>
          <w:b/>
          <w:bCs/>
        </w:rPr>
        <w:t>INFORME DE LA AUTOCALIFICACIÓN DEL SISTEMA DE CONTROL INTERNO CONTABLE:</w:t>
      </w:r>
    </w:p>
    <w:p w14:paraId="556D1036" w14:textId="77777777" w:rsidR="00561B22" w:rsidRPr="002A14EA"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A14EA" w14:paraId="4CC7B210" w14:textId="77777777" w:rsidTr="00F1223B">
        <w:tc>
          <w:tcPr>
            <w:tcW w:w="4981" w:type="dxa"/>
          </w:tcPr>
          <w:p w14:paraId="5413DD54" w14:textId="77777777" w:rsidR="00561B22" w:rsidRPr="002A14EA" w:rsidRDefault="00561B22" w:rsidP="00F1223B">
            <w:pPr>
              <w:jc w:val="center"/>
              <w:rPr>
                <w:rFonts w:ascii="Arial" w:hAnsi="Arial" w:cs="Arial"/>
                <w:b/>
                <w:sz w:val="22"/>
                <w:szCs w:val="22"/>
                <w:lang w:val="es-MX"/>
              </w:rPr>
            </w:pPr>
            <w:r w:rsidRPr="002A14EA">
              <w:rPr>
                <w:rFonts w:ascii="Arial" w:hAnsi="Arial" w:cs="Arial"/>
                <w:b/>
                <w:sz w:val="22"/>
                <w:szCs w:val="22"/>
                <w:lang w:val="es-MX"/>
              </w:rPr>
              <w:t>AUTOCALIFICACIÓN</w:t>
            </w:r>
          </w:p>
        </w:tc>
        <w:tc>
          <w:tcPr>
            <w:tcW w:w="4981" w:type="dxa"/>
          </w:tcPr>
          <w:p w14:paraId="191EC712" w14:textId="77777777" w:rsidR="00561B22" w:rsidRPr="002A14EA" w:rsidRDefault="00561B22" w:rsidP="00F1223B">
            <w:pPr>
              <w:jc w:val="center"/>
              <w:rPr>
                <w:rFonts w:ascii="Arial" w:hAnsi="Arial" w:cs="Arial"/>
                <w:b/>
                <w:sz w:val="22"/>
                <w:szCs w:val="22"/>
                <w:u w:val="single"/>
                <w:lang w:val="es-MX"/>
              </w:rPr>
            </w:pPr>
            <w:r w:rsidRPr="002A14EA">
              <w:rPr>
                <w:rFonts w:ascii="Arial" w:hAnsi="Arial" w:cs="Arial"/>
                <w:b/>
                <w:sz w:val="22"/>
                <w:szCs w:val="22"/>
                <w:u w:val="single"/>
                <w:lang w:val="es-MX"/>
              </w:rPr>
              <w:t>4.97</w:t>
            </w:r>
          </w:p>
        </w:tc>
      </w:tr>
    </w:tbl>
    <w:p w14:paraId="2406F651" w14:textId="77777777" w:rsidR="00561B22" w:rsidRPr="002A14EA" w:rsidRDefault="00561B22" w:rsidP="00561B22">
      <w:pPr>
        <w:pStyle w:val="Textoindependiente"/>
        <w:jc w:val="both"/>
        <w:rPr>
          <w:rFonts w:ascii="Arial" w:hAnsi="Arial" w:cs="Arial"/>
          <w:b/>
          <w:bCs/>
        </w:rPr>
      </w:pPr>
    </w:p>
    <w:p w14:paraId="3A24477C" w14:textId="77777777" w:rsidR="00561B22" w:rsidRPr="002A14EA" w:rsidRDefault="00561B22" w:rsidP="00561B22">
      <w:pPr>
        <w:pStyle w:val="Textoindependiente"/>
        <w:jc w:val="both"/>
        <w:rPr>
          <w:rFonts w:ascii="Arial" w:hAnsi="Arial" w:cs="Arial"/>
        </w:rPr>
      </w:pPr>
      <w:r w:rsidRPr="002A14EA">
        <w:rPr>
          <w:rFonts w:ascii="Arial" w:hAnsi="Arial" w:cs="Arial"/>
          <w:b/>
          <w:bCs/>
        </w:rPr>
        <w:t xml:space="preserve">NOTA: </w:t>
      </w:r>
      <w:r w:rsidRPr="002A14EA">
        <w:rPr>
          <w:rFonts w:ascii="Arial" w:hAnsi="Arial" w:cs="Arial"/>
        </w:rPr>
        <w:t>Como la entidad no envió el formato sobre la Autoevaluación del Sistema de Control Interno contable, retomamos del documento enviado lo siguiente:</w:t>
      </w:r>
    </w:p>
    <w:p w14:paraId="1CD73385" w14:textId="77777777" w:rsidR="00561B22" w:rsidRPr="002A14EA"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9918"/>
      </w:tblGrid>
      <w:tr w:rsidR="00561B22" w:rsidRPr="002A14EA" w14:paraId="62896E65" w14:textId="77777777" w:rsidTr="00F1223B">
        <w:tc>
          <w:tcPr>
            <w:tcW w:w="9918" w:type="dxa"/>
          </w:tcPr>
          <w:p w14:paraId="06E03622" w14:textId="77777777" w:rsidR="00561B22" w:rsidRPr="002A14EA" w:rsidRDefault="00561B22" w:rsidP="00F1223B">
            <w:pPr>
              <w:jc w:val="center"/>
              <w:rPr>
                <w:rFonts w:ascii="Arial" w:hAnsi="Arial" w:cs="Arial"/>
                <w:b/>
                <w:bCs/>
                <w:sz w:val="22"/>
                <w:szCs w:val="22"/>
                <w:lang w:val="es-MX"/>
              </w:rPr>
            </w:pPr>
            <w:r w:rsidRPr="002A14EA">
              <w:rPr>
                <w:rFonts w:ascii="Arial" w:hAnsi="Arial" w:cs="Arial"/>
                <w:b/>
                <w:bCs/>
                <w:sz w:val="22"/>
                <w:szCs w:val="22"/>
              </w:rPr>
              <w:t>OBSERVACIONES</w:t>
            </w:r>
          </w:p>
        </w:tc>
      </w:tr>
      <w:tr w:rsidR="00561B22" w:rsidRPr="002A14EA" w14:paraId="134762B2" w14:textId="77777777" w:rsidTr="00F1223B">
        <w:tc>
          <w:tcPr>
            <w:tcW w:w="9918" w:type="dxa"/>
          </w:tcPr>
          <w:p w14:paraId="4D5D13CC" w14:textId="77777777" w:rsidR="00561B22" w:rsidRPr="002A14EA" w:rsidRDefault="00561B22" w:rsidP="00F1223B">
            <w:pPr>
              <w:jc w:val="both"/>
              <w:rPr>
                <w:rFonts w:ascii="Arial" w:hAnsi="Arial" w:cs="Arial"/>
                <w:sz w:val="22"/>
                <w:szCs w:val="22"/>
              </w:rPr>
            </w:pPr>
            <w:r w:rsidRPr="002A14EA">
              <w:rPr>
                <w:rFonts w:ascii="Arial" w:hAnsi="Arial" w:cs="Arial"/>
                <w:sz w:val="22"/>
                <w:szCs w:val="22"/>
              </w:rPr>
              <w:t>Teniendo en cuenta, que para el presente informe se toma en cuenta, la medición del sistema de control interno del año 2025, se informa que se presentaron demoras en la entrega de los Estados Financieros a la Oficina de Control Interno (plazo dado 17 febrero); recibiendo dicha información el 28 de febrero, lo anterior refleja que no fue oportuna la entrega de la información y que posiblemente se presentaron falencias o debilidades en el cierre financiero del año 2024. Por lo tanto, de no tomarse medidas inmediatas para realizar el cierre contable de manera oportuna, esta circunstancia posiblemente afecte la calificación para la próxima vigencia, ya que en vigencias anteriores se recibió con oportunidad la información contable.</w:t>
            </w:r>
          </w:p>
          <w:p w14:paraId="06CD63A9" w14:textId="77777777" w:rsidR="00561B22" w:rsidRPr="002A14EA" w:rsidRDefault="00561B22" w:rsidP="00F1223B">
            <w:pPr>
              <w:jc w:val="both"/>
              <w:rPr>
                <w:rFonts w:ascii="Arial" w:hAnsi="Arial" w:cs="Arial"/>
                <w:sz w:val="22"/>
                <w:szCs w:val="22"/>
              </w:rPr>
            </w:pPr>
          </w:p>
          <w:p w14:paraId="1075091D" w14:textId="77777777" w:rsidR="00561B22" w:rsidRPr="002A14EA" w:rsidRDefault="00561B22" w:rsidP="00F1223B">
            <w:pPr>
              <w:jc w:val="both"/>
              <w:rPr>
                <w:rFonts w:ascii="Arial" w:hAnsi="Arial" w:cs="Arial"/>
                <w:sz w:val="22"/>
                <w:szCs w:val="22"/>
              </w:rPr>
            </w:pPr>
            <w:r w:rsidRPr="002A14EA">
              <w:rPr>
                <w:rFonts w:ascii="Arial" w:hAnsi="Arial" w:cs="Arial"/>
                <w:sz w:val="22"/>
                <w:szCs w:val="22"/>
              </w:rPr>
              <w:t xml:space="preserve">La OCI, deja a título de ALERTA, la demora en la entrega de los estados financieros, ya que se hizo latente un posible riesgo, en la “Presentación extemporánea de informes a entes de control y vigilancia”, Sobra advertir que el hecho que la Contaduría General de la Nación, haya ampliado el plazo de reporte del CHIP hasta el 28 de febrero, no implica que la SES se tome dicho plazo, con el agravante que los ESTADOS FINANCIEROS, también se requieren para ser adjuntados a la Contraloría General de la República, en plataforma SIRECI, desde la OCI, lo cual al momento de redacción de este informe, se está culminando y validando la información (a hasta hoy hay plazo); esta apreciación, también ha sido producto de que se priorizó el CHIP, dejando de lado la responsabilidad de entrega de la cuenta a la CGR, oportunamente. </w:t>
            </w:r>
          </w:p>
          <w:p w14:paraId="74EB5248" w14:textId="77777777" w:rsidR="00561B22" w:rsidRPr="002A14EA" w:rsidRDefault="00561B22" w:rsidP="00F1223B">
            <w:pPr>
              <w:jc w:val="both"/>
              <w:rPr>
                <w:rFonts w:ascii="Arial" w:hAnsi="Arial" w:cs="Arial"/>
                <w:sz w:val="22"/>
                <w:szCs w:val="22"/>
              </w:rPr>
            </w:pPr>
            <w:r w:rsidRPr="002A14EA">
              <w:rPr>
                <w:rFonts w:ascii="Arial" w:hAnsi="Arial" w:cs="Arial"/>
                <w:sz w:val="22"/>
                <w:szCs w:val="22"/>
              </w:rPr>
              <w:t xml:space="preserve">Cabe mencionar que casualmente, se trasladó a la Técnico de Control Interno, a otro cargo del proceso contable y era quien tenía el conocimiento en el cargue y validación de archivos en SIRECI, y realizo el 28 de febrero en horas de la tarde, la TRASFERENCIA DE CONOCIMIENTO, que al retiro se le obliga; eso sí, aclarando que dicha funcionaria, estaba apoyando el cierre financiero y consolidación de los estados financieros 2024. </w:t>
            </w:r>
          </w:p>
          <w:p w14:paraId="02C08F91" w14:textId="77777777" w:rsidR="00561B22" w:rsidRPr="002A14EA" w:rsidRDefault="00561B22" w:rsidP="00F1223B">
            <w:pPr>
              <w:jc w:val="both"/>
              <w:rPr>
                <w:rFonts w:ascii="Arial" w:hAnsi="Arial" w:cs="Arial"/>
                <w:sz w:val="22"/>
                <w:szCs w:val="22"/>
              </w:rPr>
            </w:pPr>
          </w:p>
          <w:p w14:paraId="30506772" w14:textId="77777777" w:rsidR="00561B22" w:rsidRPr="002A14EA" w:rsidRDefault="00561B22" w:rsidP="00F1223B">
            <w:pPr>
              <w:jc w:val="both"/>
              <w:rPr>
                <w:rFonts w:ascii="Arial" w:hAnsi="Arial" w:cs="Arial"/>
                <w:b/>
                <w:bCs/>
                <w:sz w:val="22"/>
                <w:szCs w:val="22"/>
              </w:rPr>
            </w:pPr>
            <w:r w:rsidRPr="002A14EA">
              <w:rPr>
                <w:rFonts w:ascii="Arial" w:hAnsi="Arial" w:cs="Arial"/>
                <w:b/>
                <w:bCs/>
                <w:sz w:val="22"/>
                <w:szCs w:val="22"/>
              </w:rPr>
              <w:t xml:space="preserve">ALERTA PREVENTIVA. </w:t>
            </w:r>
          </w:p>
          <w:p w14:paraId="179D5BFB" w14:textId="77777777" w:rsidR="00561B22" w:rsidRPr="002A14EA" w:rsidRDefault="00561B22" w:rsidP="00F1223B">
            <w:pPr>
              <w:jc w:val="both"/>
              <w:rPr>
                <w:rFonts w:ascii="Arial" w:hAnsi="Arial" w:cs="Arial"/>
                <w:sz w:val="22"/>
                <w:szCs w:val="22"/>
              </w:rPr>
            </w:pPr>
          </w:p>
          <w:p w14:paraId="0ADE7551" w14:textId="77777777" w:rsidR="00561B22" w:rsidRPr="002A14EA" w:rsidRDefault="00561B22" w:rsidP="00F1223B">
            <w:pPr>
              <w:jc w:val="both"/>
              <w:rPr>
                <w:rFonts w:ascii="Arial" w:hAnsi="Arial" w:cs="Arial"/>
                <w:b/>
                <w:sz w:val="22"/>
                <w:szCs w:val="22"/>
                <w:lang w:val="es-MX"/>
              </w:rPr>
            </w:pPr>
            <w:r w:rsidRPr="002A14EA">
              <w:rPr>
                <w:rFonts w:ascii="Arial" w:hAnsi="Arial" w:cs="Arial"/>
                <w:sz w:val="22"/>
                <w:szCs w:val="22"/>
              </w:rPr>
              <w:t>Se recomienda revisar los procedimientos de flujo de información de hechos económicos, la realización de procesos de conciliación periódicos de información entre áreas que afectan la contabilidad, se revise los procesos actuales en sus respectivos controles y se revise si hay fallas el software; todo lo anterior, con el fin de que los siguientes informes financieros 2025 se cumpla con los plazos a cabalidad y sean socializados con el tiempo suficiente los EEFF 2025 ante el Comité Directivo o Comité de Gestión y Desempeño; por consiguiente, la calificación del control interno contable, no se vea afectada.</w:t>
            </w:r>
          </w:p>
        </w:tc>
      </w:tr>
    </w:tbl>
    <w:p w14:paraId="34A1F7F8" w14:textId="77777777" w:rsidR="00561B22" w:rsidRPr="002A14EA" w:rsidRDefault="00561B22" w:rsidP="00561B22">
      <w:pPr>
        <w:pStyle w:val="Ttulo1"/>
        <w:spacing w:before="93"/>
        <w:ind w:right="0"/>
        <w:rPr>
          <w:sz w:val="22"/>
          <w:szCs w:val="22"/>
        </w:rPr>
      </w:pPr>
    </w:p>
    <w:p w14:paraId="44B2AC80" w14:textId="77777777" w:rsidR="00561B22" w:rsidRPr="007155F9" w:rsidRDefault="00561B22" w:rsidP="00561B22">
      <w:pPr>
        <w:ind w:right="49"/>
        <w:jc w:val="both"/>
        <w:rPr>
          <w:rFonts w:ascii="Arial" w:hAnsi="Arial" w:cs="Arial"/>
          <w:b/>
          <w:sz w:val="28"/>
          <w:szCs w:val="28"/>
          <w:lang w:val="es-MX"/>
        </w:rPr>
      </w:pPr>
      <w:r w:rsidRPr="007155F9">
        <w:rPr>
          <w:rFonts w:ascii="Arial" w:hAnsi="Arial" w:cs="Arial"/>
          <w:b/>
          <w:sz w:val="28"/>
          <w:szCs w:val="28"/>
          <w:lang w:val="es-MX"/>
        </w:rPr>
        <w:t xml:space="preserve">301.- </w:t>
      </w:r>
      <w:r w:rsidRPr="007155F9">
        <w:rPr>
          <w:rFonts w:ascii="Arial" w:hAnsi="Arial" w:cs="Arial"/>
          <w:b/>
          <w:sz w:val="28"/>
          <w:szCs w:val="28"/>
        </w:rPr>
        <w:t>CENTRO DE DIAGNÓSTICO AUTOMOTOR DE CÚCUTA LTDA - CEDAC</w:t>
      </w:r>
      <w:r w:rsidRPr="007155F9">
        <w:rPr>
          <w:rFonts w:ascii="Arial" w:hAnsi="Arial" w:cs="Arial"/>
          <w:b/>
          <w:sz w:val="28"/>
          <w:szCs w:val="28"/>
          <w:lang w:val="es-MX"/>
        </w:rPr>
        <w:t>.</w:t>
      </w:r>
    </w:p>
    <w:p w14:paraId="15908850" w14:textId="77777777" w:rsidR="00561B22" w:rsidRDefault="00561B22" w:rsidP="00561B22">
      <w:pPr>
        <w:jc w:val="both"/>
        <w:rPr>
          <w:rFonts w:ascii="Arial" w:hAnsi="Arial" w:cs="Arial"/>
          <w:b/>
          <w:bCs/>
          <w:lang w:val="es-MX"/>
        </w:rPr>
      </w:pPr>
    </w:p>
    <w:p w14:paraId="64CA286C" w14:textId="77777777" w:rsidR="00561B22" w:rsidRPr="007155F9" w:rsidRDefault="00561B22" w:rsidP="00561B22">
      <w:pPr>
        <w:pStyle w:val="Textoindependiente"/>
        <w:jc w:val="center"/>
        <w:rPr>
          <w:rFonts w:ascii="Arial" w:hAnsi="Arial" w:cs="Arial"/>
          <w:b/>
          <w:bCs/>
        </w:rPr>
      </w:pPr>
      <w:r w:rsidRPr="007155F9">
        <w:rPr>
          <w:rFonts w:ascii="Arial" w:hAnsi="Arial" w:cs="Arial"/>
          <w:b/>
          <w:bCs/>
        </w:rPr>
        <w:t>INFORME DE LA AUTOCALIFICACIÓN DEL SISTEMA DE CONTROL INTERNO CONTABLE:</w:t>
      </w:r>
    </w:p>
    <w:p w14:paraId="3A7D9C63" w14:textId="77777777" w:rsidR="00561B22" w:rsidRPr="007155F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155F9" w14:paraId="7CA43796" w14:textId="77777777" w:rsidTr="00F1223B">
        <w:tc>
          <w:tcPr>
            <w:tcW w:w="4981" w:type="dxa"/>
          </w:tcPr>
          <w:p w14:paraId="7FE5640B"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AUTOCALIFICACIÓN</w:t>
            </w:r>
          </w:p>
        </w:tc>
        <w:tc>
          <w:tcPr>
            <w:tcW w:w="4981" w:type="dxa"/>
          </w:tcPr>
          <w:p w14:paraId="1E3BF149" w14:textId="77777777" w:rsidR="00561B22" w:rsidRPr="007155F9" w:rsidRDefault="00561B22" w:rsidP="00F1223B">
            <w:pPr>
              <w:jc w:val="center"/>
              <w:rPr>
                <w:rFonts w:ascii="Arial" w:hAnsi="Arial" w:cs="Arial"/>
                <w:b/>
                <w:sz w:val="22"/>
                <w:szCs w:val="22"/>
                <w:u w:val="single"/>
                <w:lang w:val="es-MX"/>
              </w:rPr>
            </w:pPr>
            <w:r w:rsidRPr="007155F9">
              <w:rPr>
                <w:rFonts w:ascii="Arial" w:hAnsi="Arial" w:cs="Arial"/>
                <w:b/>
                <w:sz w:val="22"/>
                <w:szCs w:val="22"/>
                <w:u w:val="single"/>
                <w:lang w:val="es-MX"/>
              </w:rPr>
              <w:t>4.92</w:t>
            </w:r>
          </w:p>
        </w:tc>
      </w:tr>
    </w:tbl>
    <w:p w14:paraId="42F56CEE" w14:textId="77777777" w:rsidR="00561B22" w:rsidRPr="007155F9" w:rsidRDefault="00561B22" w:rsidP="00561B22">
      <w:pPr>
        <w:pStyle w:val="Textoindependiente"/>
        <w:jc w:val="both"/>
        <w:rPr>
          <w:rFonts w:ascii="Arial" w:hAnsi="Arial" w:cs="Arial"/>
          <w:b/>
          <w:bCs/>
        </w:rPr>
      </w:pPr>
    </w:p>
    <w:p w14:paraId="5C60AE9E" w14:textId="77777777" w:rsidR="00561B22" w:rsidRPr="007155F9" w:rsidRDefault="00561B22" w:rsidP="00561B22">
      <w:pPr>
        <w:pStyle w:val="Textoindependiente"/>
        <w:jc w:val="both"/>
        <w:rPr>
          <w:rFonts w:ascii="Arial" w:hAnsi="Arial" w:cs="Arial"/>
          <w:b/>
          <w:bCs/>
        </w:rPr>
      </w:pPr>
      <w:r w:rsidRPr="007155F9">
        <w:rPr>
          <w:rFonts w:ascii="Arial" w:hAnsi="Arial" w:cs="Arial"/>
          <w:b/>
          <w:bCs/>
        </w:rPr>
        <w:t>Del informe enviado retomamos lo siguiente:</w:t>
      </w:r>
    </w:p>
    <w:p w14:paraId="0417BA2B" w14:textId="77777777" w:rsidR="00561B22" w:rsidRPr="007155F9"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155F9" w14:paraId="7336DA5E" w14:textId="77777777" w:rsidTr="00F1223B">
        <w:tc>
          <w:tcPr>
            <w:tcW w:w="562" w:type="dxa"/>
          </w:tcPr>
          <w:p w14:paraId="1D4DC423"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N°</w:t>
            </w:r>
          </w:p>
        </w:tc>
        <w:tc>
          <w:tcPr>
            <w:tcW w:w="9400" w:type="dxa"/>
          </w:tcPr>
          <w:p w14:paraId="4B6A3540"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DEBILIDADES</w:t>
            </w:r>
          </w:p>
          <w:p w14:paraId="4489BD7A" w14:textId="77777777" w:rsidR="00561B22" w:rsidRPr="007155F9" w:rsidRDefault="00561B22" w:rsidP="00F1223B">
            <w:pPr>
              <w:jc w:val="center"/>
              <w:rPr>
                <w:rFonts w:ascii="Arial" w:hAnsi="Arial" w:cs="Arial"/>
                <w:b/>
                <w:sz w:val="22"/>
                <w:szCs w:val="22"/>
                <w:lang w:val="es-MX"/>
              </w:rPr>
            </w:pPr>
          </w:p>
        </w:tc>
      </w:tr>
      <w:tr w:rsidR="00561B22" w:rsidRPr="007155F9" w14:paraId="6148B46E" w14:textId="77777777" w:rsidTr="00F1223B">
        <w:tc>
          <w:tcPr>
            <w:tcW w:w="562" w:type="dxa"/>
          </w:tcPr>
          <w:p w14:paraId="1A643B51"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1</w:t>
            </w:r>
          </w:p>
        </w:tc>
        <w:tc>
          <w:tcPr>
            <w:tcW w:w="9400" w:type="dxa"/>
          </w:tcPr>
          <w:p w14:paraId="12444CF3" w14:textId="77777777" w:rsidR="00561B22" w:rsidRPr="007155F9" w:rsidRDefault="00561B22" w:rsidP="00F1223B">
            <w:pPr>
              <w:jc w:val="both"/>
              <w:rPr>
                <w:rFonts w:ascii="Arial" w:hAnsi="Arial" w:cs="Arial"/>
                <w:sz w:val="22"/>
                <w:szCs w:val="22"/>
                <w:lang w:val="es-MX"/>
              </w:rPr>
            </w:pPr>
            <w:r w:rsidRPr="007155F9">
              <w:rPr>
                <w:rFonts w:ascii="Arial" w:hAnsi="Arial" w:cs="Arial"/>
                <w:sz w:val="22"/>
                <w:szCs w:val="22"/>
                <w:lang w:val="es-CO"/>
              </w:rPr>
              <w:t xml:space="preserve">Por parte de la Oficina Asesora de Control Interno se le recomienda al área financiera dar </w:t>
            </w:r>
            <w:r w:rsidRPr="007155F9">
              <w:rPr>
                <w:rFonts w:ascii="Arial" w:hAnsi="Arial" w:cs="Arial"/>
                <w:sz w:val="22"/>
                <w:szCs w:val="22"/>
                <w:lang w:val="es-CO"/>
              </w:rPr>
              <w:lastRenderedPageBreak/>
              <w:t>continuidad y fortalecer las capacitaciones no solo con el área de trabajo, sino con las diferentes Áreas de la Entidad</w:t>
            </w:r>
          </w:p>
        </w:tc>
      </w:tr>
      <w:tr w:rsidR="00561B22" w:rsidRPr="007155F9" w14:paraId="49A065F9" w14:textId="77777777" w:rsidTr="00F1223B">
        <w:tc>
          <w:tcPr>
            <w:tcW w:w="562" w:type="dxa"/>
          </w:tcPr>
          <w:p w14:paraId="3D3EDBF8"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lastRenderedPageBreak/>
              <w:t>2</w:t>
            </w:r>
          </w:p>
        </w:tc>
        <w:tc>
          <w:tcPr>
            <w:tcW w:w="9400" w:type="dxa"/>
          </w:tcPr>
          <w:p w14:paraId="2F89842C" w14:textId="77777777" w:rsidR="00561B22" w:rsidRPr="007155F9" w:rsidRDefault="00561B22" w:rsidP="00F1223B">
            <w:pPr>
              <w:jc w:val="both"/>
              <w:rPr>
                <w:rFonts w:ascii="Arial" w:hAnsi="Arial" w:cs="Arial"/>
                <w:sz w:val="22"/>
                <w:szCs w:val="22"/>
                <w:lang w:val="es-MX"/>
              </w:rPr>
            </w:pPr>
            <w:r w:rsidRPr="007155F9">
              <w:rPr>
                <w:rFonts w:ascii="Arial" w:hAnsi="Arial" w:cs="Arial"/>
                <w:sz w:val="22"/>
                <w:szCs w:val="22"/>
                <w:lang w:val="es-CO"/>
              </w:rPr>
              <w:t>Es importante que la entidad lleve a cabo La Evaluación para determinar el deterioro de los activos por lo menos al finalizar el periodo Contable</w:t>
            </w:r>
          </w:p>
        </w:tc>
      </w:tr>
      <w:tr w:rsidR="00561B22" w:rsidRPr="007155F9" w14:paraId="6D5DB120" w14:textId="77777777" w:rsidTr="00F1223B">
        <w:tc>
          <w:tcPr>
            <w:tcW w:w="562" w:type="dxa"/>
          </w:tcPr>
          <w:p w14:paraId="2974E111"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3</w:t>
            </w:r>
          </w:p>
        </w:tc>
        <w:tc>
          <w:tcPr>
            <w:tcW w:w="9400" w:type="dxa"/>
          </w:tcPr>
          <w:p w14:paraId="03EB1A54" w14:textId="77777777" w:rsidR="00561B22" w:rsidRPr="007155F9" w:rsidRDefault="00561B22" w:rsidP="00F1223B">
            <w:pPr>
              <w:jc w:val="both"/>
              <w:rPr>
                <w:rFonts w:ascii="Arial" w:hAnsi="Arial" w:cs="Arial"/>
                <w:sz w:val="22"/>
                <w:szCs w:val="22"/>
                <w:lang w:val="es-MX"/>
              </w:rPr>
            </w:pPr>
            <w:r w:rsidRPr="007155F9">
              <w:rPr>
                <w:rFonts w:ascii="Arial" w:hAnsi="Arial" w:cs="Arial"/>
                <w:sz w:val="22"/>
                <w:szCs w:val="22"/>
                <w:lang w:val="es-CO"/>
              </w:rPr>
              <w:t>Se deberá fortalecer en temas específicos del área financiera al personal de dicha área.</w:t>
            </w:r>
          </w:p>
        </w:tc>
      </w:tr>
    </w:tbl>
    <w:p w14:paraId="3E6103B3" w14:textId="77777777" w:rsidR="00561B22" w:rsidRPr="007155F9" w:rsidRDefault="00561B22" w:rsidP="00561B22">
      <w:pPr>
        <w:pStyle w:val="Textoindependiente"/>
        <w:jc w:val="both"/>
        <w:rPr>
          <w:rFonts w:ascii="Arial" w:hAnsi="Arial" w:cs="Arial"/>
          <w:b/>
          <w:bCs/>
        </w:rPr>
      </w:pPr>
    </w:p>
    <w:p w14:paraId="2AD7B33C" w14:textId="77777777" w:rsidR="00561B22" w:rsidRPr="007155F9" w:rsidRDefault="00561B22" w:rsidP="00561B22">
      <w:pPr>
        <w:jc w:val="both"/>
        <w:rPr>
          <w:rFonts w:ascii="Arial" w:hAnsi="Arial" w:cs="Arial"/>
          <w:b/>
          <w:lang w:val="es-MX"/>
        </w:rPr>
      </w:pPr>
      <w:r w:rsidRPr="007155F9">
        <w:rPr>
          <w:rFonts w:ascii="Arial" w:hAnsi="Arial" w:cs="Arial"/>
          <w:b/>
          <w:lang w:val="es-MX"/>
        </w:rPr>
        <w:t>Del citado informe retomamos las siguientes recomendaciones:</w:t>
      </w:r>
    </w:p>
    <w:p w14:paraId="3003CA08" w14:textId="77777777" w:rsidR="00561B22" w:rsidRPr="007155F9"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7155F9" w14:paraId="31294C4D" w14:textId="77777777" w:rsidTr="00F1223B">
        <w:tc>
          <w:tcPr>
            <w:tcW w:w="562" w:type="dxa"/>
          </w:tcPr>
          <w:p w14:paraId="1C6A6874"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N°</w:t>
            </w:r>
          </w:p>
        </w:tc>
        <w:tc>
          <w:tcPr>
            <w:tcW w:w="9400" w:type="dxa"/>
          </w:tcPr>
          <w:p w14:paraId="3935F1EC"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RECOMENDACIONES</w:t>
            </w:r>
          </w:p>
          <w:p w14:paraId="658EC505" w14:textId="77777777" w:rsidR="00561B22" w:rsidRPr="007155F9" w:rsidRDefault="00561B22" w:rsidP="00F1223B">
            <w:pPr>
              <w:jc w:val="center"/>
              <w:rPr>
                <w:rFonts w:ascii="Arial" w:hAnsi="Arial" w:cs="Arial"/>
                <w:b/>
                <w:sz w:val="22"/>
                <w:szCs w:val="22"/>
                <w:lang w:val="es-MX"/>
              </w:rPr>
            </w:pPr>
          </w:p>
        </w:tc>
      </w:tr>
      <w:tr w:rsidR="00561B22" w:rsidRPr="007155F9" w14:paraId="469EFBEC" w14:textId="77777777" w:rsidTr="00F1223B">
        <w:tc>
          <w:tcPr>
            <w:tcW w:w="562" w:type="dxa"/>
          </w:tcPr>
          <w:p w14:paraId="1860E6A3" w14:textId="77777777" w:rsidR="00561B22" w:rsidRPr="007155F9" w:rsidRDefault="00561B22" w:rsidP="00F1223B">
            <w:pPr>
              <w:jc w:val="center"/>
              <w:rPr>
                <w:rFonts w:ascii="Arial" w:hAnsi="Arial" w:cs="Arial"/>
                <w:b/>
                <w:sz w:val="22"/>
                <w:szCs w:val="22"/>
                <w:lang w:val="es-MX"/>
              </w:rPr>
            </w:pPr>
            <w:r w:rsidRPr="007155F9">
              <w:rPr>
                <w:rFonts w:ascii="Arial" w:hAnsi="Arial" w:cs="Arial"/>
                <w:b/>
                <w:sz w:val="22"/>
                <w:szCs w:val="22"/>
                <w:lang w:val="es-MX"/>
              </w:rPr>
              <w:t>1</w:t>
            </w:r>
          </w:p>
        </w:tc>
        <w:tc>
          <w:tcPr>
            <w:tcW w:w="9400" w:type="dxa"/>
          </w:tcPr>
          <w:p w14:paraId="587CCBB0" w14:textId="77777777" w:rsidR="00561B22" w:rsidRPr="007155F9" w:rsidRDefault="00561B22" w:rsidP="00F1223B">
            <w:pPr>
              <w:jc w:val="both"/>
              <w:rPr>
                <w:rFonts w:ascii="Arial" w:hAnsi="Arial" w:cs="Arial"/>
                <w:b/>
                <w:sz w:val="22"/>
                <w:szCs w:val="22"/>
                <w:lang w:val="es-MX"/>
              </w:rPr>
            </w:pPr>
            <w:r w:rsidRPr="007155F9">
              <w:rPr>
                <w:rFonts w:ascii="Arial" w:eastAsia="Calibri" w:hAnsi="Arial" w:cs="Arial"/>
                <w:kern w:val="2"/>
                <w:sz w:val="22"/>
                <w:szCs w:val="22"/>
                <w:lang w:val="es-CO"/>
                <w14:ligatures w14:val="standardContextual"/>
              </w:rPr>
              <w:t>Se sugiere revisar las preguntas que fueron calificadas como parcialmente y no, pues se presentaron debilidades frente a las mismas y se recomienda la revisión de procedimientos contables en actividades coordinadas con la asesora de planeación para la vigencia 2025, con el fin de dar cumplimiento a los procesos y procedimientos establecidos en el ara financiera.</w:t>
            </w:r>
          </w:p>
        </w:tc>
      </w:tr>
    </w:tbl>
    <w:p w14:paraId="5C337688" w14:textId="77777777" w:rsidR="00561B22" w:rsidRPr="007155F9" w:rsidRDefault="00561B22" w:rsidP="00561B22">
      <w:pPr>
        <w:pStyle w:val="Textoindependiente"/>
        <w:jc w:val="both"/>
        <w:rPr>
          <w:rFonts w:ascii="Arial" w:hAnsi="Arial" w:cs="Arial"/>
          <w:b/>
          <w:bCs/>
          <w:sz w:val="28"/>
          <w:szCs w:val="28"/>
        </w:rPr>
      </w:pPr>
    </w:p>
    <w:p w14:paraId="3D572B87" w14:textId="77777777" w:rsidR="00561B22" w:rsidRPr="007155F9" w:rsidRDefault="00561B22" w:rsidP="00561B22">
      <w:pPr>
        <w:jc w:val="both"/>
        <w:rPr>
          <w:rFonts w:ascii="Arial" w:hAnsi="Arial" w:cs="Arial"/>
          <w:b/>
          <w:bCs/>
          <w:sz w:val="24"/>
          <w:szCs w:val="24"/>
          <w:lang w:val="es-CO"/>
        </w:rPr>
      </w:pPr>
      <w:r w:rsidRPr="007155F9">
        <w:rPr>
          <w:rFonts w:ascii="Arial" w:hAnsi="Arial" w:cs="Arial"/>
          <w:b/>
          <w:bCs/>
          <w:sz w:val="24"/>
          <w:szCs w:val="24"/>
          <w:lang w:val="es-CO"/>
        </w:rPr>
        <w:t xml:space="preserve">NOTA: LA ENTIDAD ENVIA LA MATRIZ DE AUTOEVALUACIÓN DEL SISTEMA DE CONTROL INTERNO CONTABLE CON ACTIVIDADES DE CONTROL REALIZADAS </w:t>
      </w:r>
      <w:r w:rsidRPr="007155F9">
        <w:rPr>
          <w:rFonts w:ascii="Arial" w:hAnsi="Arial" w:cs="Arial"/>
          <w:b/>
          <w:bCs/>
          <w:sz w:val="24"/>
          <w:szCs w:val="24"/>
          <w:u w:val="single"/>
          <w:lang w:val="es-CO"/>
        </w:rPr>
        <w:t>EN FORMA PARCIAL Y OTRAS SIMPLEMENTE INFORMAN QUE NO SE REALIZARON</w:t>
      </w:r>
      <w:r w:rsidRPr="007155F9">
        <w:rPr>
          <w:rFonts w:ascii="Arial" w:hAnsi="Arial" w:cs="Arial"/>
          <w:b/>
          <w:bCs/>
          <w:sz w:val="24"/>
          <w:szCs w:val="24"/>
          <w:lang w:val="es-CO"/>
        </w:rPr>
        <w:t>.</w:t>
      </w:r>
    </w:p>
    <w:p w14:paraId="542DB801" w14:textId="77777777" w:rsidR="00561B22" w:rsidRDefault="00561B22" w:rsidP="00561B22">
      <w:pPr>
        <w:jc w:val="both"/>
        <w:rPr>
          <w:rFonts w:ascii="Arial" w:hAnsi="Arial" w:cs="Arial"/>
          <w:b/>
          <w:bCs/>
          <w:lang w:val="es-CO"/>
        </w:rPr>
      </w:pPr>
    </w:p>
    <w:p w14:paraId="78F8CFA8" w14:textId="77777777" w:rsidR="00561B22" w:rsidRPr="00652909" w:rsidRDefault="00561B22" w:rsidP="00561B22">
      <w:pPr>
        <w:jc w:val="both"/>
        <w:rPr>
          <w:rFonts w:ascii="Arial" w:hAnsi="Arial" w:cs="Arial"/>
          <w:b/>
          <w:sz w:val="28"/>
          <w:szCs w:val="28"/>
          <w:lang w:val="es-MX"/>
        </w:rPr>
      </w:pPr>
      <w:r w:rsidRPr="00652909">
        <w:rPr>
          <w:rFonts w:ascii="Arial" w:hAnsi="Arial" w:cs="Arial"/>
          <w:b/>
          <w:sz w:val="28"/>
          <w:szCs w:val="28"/>
          <w:lang w:val="es-MX"/>
        </w:rPr>
        <w:t>302.- MINISTERIO DE SALUD Y PROTECCIÓN SOCIAL.</w:t>
      </w:r>
    </w:p>
    <w:p w14:paraId="7C43634D" w14:textId="77777777" w:rsidR="00561B22" w:rsidRDefault="00561B22" w:rsidP="00561B22">
      <w:pPr>
        <w:jc w:val="both"/>
        <w:rPr>
          <w:rFonts w:ascii="Arial" w:hAnsi="Arial" w:cs="Arial"/>
          <w:b/>
          <w:bCs/>
          <w:lang w:val="es-MX"/>
        </w:rPr>
      </w:pPr>
    </w:p>
    <w:p w14:paraId="40458A2B" w14:textId="77777777" w:rsidR="00561B22" w:rsidRPr="00CD23CF" w:rsidRDefault="00561B22" w:rsidP="00561B22">
      <w:pPr>
        <w:pStyle w:val="Textoindependiente"/>
        <w:ind w:right="-50"/>
        <w:jc w:val="center"/>
        <w:rPr>
          <w:rFonts w:ascii="Arial" w:hAnsi="Arial" w:cs="Arial"/>
          <w:b/>
          <w:bCs/>
        </w:rPr>
      </w:pPr>
      <w:r w:rsidRPr="00CD23CF">
        <w:rPr>
          <w:rFonts w:ascii="Arial" w:hAnsi="Arial" w:cs="Arial"/>
          <w:b/>
          <w:bCs/>
        </w:rPr>
        <w:t>INFORME DE LA AUTOCALIFICACIÓN DEL SISTEMA DE CONTROL INTERNO CONTABLE:</w:t>
      </w:r>
    </w:p>
    <w:p w14:paraId="46D25D93" w14:textId="77777777" w:rsidR="00561B22" w:rsidRPr="00CD23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D23CF" w14:paraId="22DD23EC" w14:textId="77777777" w:rsidTr="00F1223B">
        <w:tc>
          <w:tcPr>
            <w:tcW w:w="4981" w:type="dxa"/>
          </w:tcPr>
          <w:p w14:paraId="0F5CB4F6" w14:textId="77777777" w:rsidR="00561B22" w:rsidRPr="00CD23CF" w:rsidRDefault="00561B22" w:rsidP="00F1223B">
            <w:pPr>
              <w:jc w:val="center"/>
              <w:rPr>
                <w:rFonts w:ascii="Arial" w:hAnsi="Arial" w:cs="Arial"/>
                <w:b/>
                <w:sz w:val="22"/>
                <w:szCs w:val="22"/>
                <w:lang w:val="es-MX"/>
              </w:rPr>
            </w:pPr>
            <w:r w:rsidRPr="00CD23CF">
              <w:rPr>
                <w:rFonts w:ascii="Arial" w:hAnsi="Arial" w:cs="Arial"/>
                <w:b/>
                <w:sz w:val="22"/>
                <w:szCs w:val="22"/>
                <w:lang w:val="es-MX"/>
              </w:rPr>
              <w:t>AUTOCALIFICACIÓN</w:t>
            </w:r>
          </w:p>
        </w:tc>
        <w:tc>
          <w:tcPr>
            <w:tcW w:w="4981" w:type="dxa"/>
          </w:tcPr>
          <w:p w14:paraId="7296EBB3" w14:textId="77777777" w:rsidR="00561B22" w:rsidRPr="00CD23CF" w:rsidRDefault="00561B22" w:rsidP="00F1223B">
            <w:pPr>
              <w:jc w:val="center"/>
              <w:rPr>
                <w:rFonts w:ascii="Arial" w:hAnsi="Arial" w:cs="Arial"/>
                <w:b/>
                <w:sz w:val="22"/>
                <w:szCs w:val="22"/>
                <w:u w:val="single"/>
                <w:lang w:val="es-MX"/>
              </w:rPr>
            </w:pPr>
            <w:r w:rsidRPr="00CD23CF">
              <w:rPr>
                <w:rFonts w:ascii="Arial" w:hAnsi="Arial" w:cs="Arial"/>
                <w:b/>
                <w:sz w:val="22"/>
                <w:szCs w:val="22"/>
                <w:u w:val="single"/>
                <w:lang w:val="es-MX"/>
              </w:rPr>
              <w:t>4.91</w:t>
            </w:r>
          </w:p>
        </w:tc>
      </w:tr>
    </w:tbl>
    <w:p w14:paraId="18B7CBCF" w14:textId="77777777" w:rsidR="00561B22" w:rsidRPr="00CD23CF" w:rsidRDefault="00561B22" w:rsidP="00561B22">
      <w:pPr>
        <w:pStyle w:val="Textoindependiente"/>
        <w:ind w:right="-50"/>
        <w:jc w:val="both"/>
        <w:rPr>
          <w:rFonts w:ascii="Arial" w:hAnsi="Arial" w:cs="Arial"/>
          <w:b/>
          <w:bCs/>
        </w:rPr>
      </w:pPr>
    </w:p>
    <w:p w14:paraId="5E128B14" w14:textId="77777777" w:rsidR="00561B22" w:rsidRPr="00CD23CF" w:rsidRDefault="00561B22" w:rsidP="00561B22">
      <w:pPr>
        <w:pStyle w:val="Textoindependiente"/>
        <w:ind w:right="-50"/>
        <w:jc w:val="both"/>
        <w:rPr>
          <w:rFonts w:ascii="Arial" w:hAnsi="Arial" w:cs="Arial"/>
          <w:b/>
          <w:bCs/>
        </w:rPr>
      </w:pPr>
      <w:r w:rsidRPr="00CD23CF">
        <w:rPr>
          <w:rFonts w:ascii="Arial" w:hAnsi="Arial" w:cs="Arial"/>
          <w:b/>
          <w:bCs/>
        </w:rPr>
        <w:t>Del informe enviado retomamos lo siguiente:</w:t>
      </w:r>
    </w:p>
    <w:p w14:paraId="086E7807" w14:textId="77777777" w:rsidR="00561B22" w:rsidRPr="00CD23C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D23CF" w14:paraId="08637CF0" w14:textId="77777777" w:rsidTr="00F1223B">
        <w:tc>
          <w:tcPr>
            <w:tcW w:w="562" w:type="dxa"/>
          </w:tcPr>
          <w:p w14:paraId="10FF5E64" w14:textId="77777777" w:rsidR="00561B22" w:rsidRPr="00CD23CF" w:rsidRDefault="00561B22" w:rsidP="00F1223B">
            <w:pPr>
              <w:ind w:right="-109"/>
              <w:jc w:val="center"/>
              <w:rPr>
                <w:rFonts w:ascii="Arial" w:hAnsi="Arial" w:cs="Arial"/>
                <w:b/>
                <w:sz w:val="22"/>
                <w:szCs w:val="22"/>
                <w:lang w:val="es-MX"/>
              </w:rPr>
            </w:pPr>
            <w:r w:rsidRPr="00CD23CF">
              <w:rPr>
                <w:rFonts w:ascii="Arial" w:hAnsi="Arial" w:cs="Arial"/>
                <w:b/>
                <w:sz w:val="22"/>
                <w:szCs w:val="22"/>
                <w:lang w:val="es-MX"/>
              </w:rPr>
              <w:t>N°</w:t>
            </w:r>
          </w:p>
        </w:tc>
        <w:tc>
          <w:tcPr>
            <w:tcW w:w="9400" w:type="dxa"/>
          </w:tcPr>
          <w:p w14:paraId="2FD4DE7F" w14:textId="77777777" w:rsidR="00561B22" w:rsidRPr="00CD23CF" w:rsidRDefault="00561B22" w:rsidP="00F1223B">
            <w:pPr>
              <w:jc w:val="center"/>
              <w:rPr>
                <w:rFonts w:ascii="Arial" w:hAnsi="Arial" w:cs="Arial"/>
                <w:b/>
                <w:sz w:val="22"/>
                <w:szCs w:val="22"/>
                <w:lang w:val="es-MX"/>
              </w:rPr>
            </w:pPr>
            <w:r w:rsidRPr="00CD23CF">
              <w:rPr>
                <w:rFonts w:ascii="Arial" w:hAnsi="Arial" w:cs="Arial"/>
                <w:b/>
                <w:sz w:val="22"/>
                <w:szCs w:val="22"/>
                <w:lang w:val="es-MX"/>
              </w:rPr>
              <w:t>DEBILIDADES</w:t>
            </w:r>
          </w:p>
          <w:p w14:paraId="14688282" w14:textId="77777777" w:rsidR="00561B22" w:rsidRPr="00CD23CF" w:rsidRDefault="00561B22" w:rsidP="00F1223B">
            <w:pPr>
              <w:jc w:val="center"/>
              <w:rPr>
                <w:rFonts w:ascii="Arial" w:hAnsi="Arial" w:cs="Arial"/>
                <w:b/>
                <w:sz w:val="22"/>
                <w:szCs w:val="22"/>
                <w:lang w:val="es-MX"/>
              </w:rPr>
            </w:pPr>
          </w:p>
        </w:tc>
      </w:tr>
      <w:tr w:rsidR="00561B22" w:rsidRPr="00CD23CF" w14:paraId="60C37DF0" w14:textId="77777777" w:rsidTr="00F1223B">
        <w:tc>
          <w:tcPr>
            <w:tcW w:w="562" w:type="dxa"/>
          </w:tcPr>
          <w:p w14:paraId="6BBCB024" w14:textId="77777777" w:rsidR="00561B22" w:rsidRPr="00CD23CF" w:rsidRDefault="00561B22" w:rsidP="00F1223B">
            <w:pPr>
              <w:jc w:val="center"/>
              <w:rPr>
                <w:rFonts w:ascii="Arial" w:hAnsi="Arial" w:cs="Arial"/>
                <w:b/>
                <w:sz w:val="22"/>
                <w:szCs w:val="22"/>
                <w:lang w:val="es-MX"/>
              </w:rPr>
            </w:pPr>
            <w:r w:rsidRPr="00CD23CF">
              <w:rPr>
                <w:rFonts w:ascii="Arial" w:hAnsi="Arial" w:cs="Arial"/>
                <w:b/>
                <w:sz w:val="22"/>
                <w:szCs w:val="22"/>
                <w:lang w:val="es-MX"/>
              </w:rPr>
              <w:t>1</w:t>
            </w:r>
          </w:p>
        </w:tc>
        <w:tc>
          <w:tcPr>
            <w:tcW w:w="9400" w:type="dxa"/>
          </w:tcPr>
          <w:p w14:paraId="40BE54AE" w14:textId="77777777" w:rsidR="00561B22" w:rsidRPr="00CD23CF" w:rsidRDefault="00561B22" w:rsidP="00F1223B">
            <w:pPr>
              <w:widowControl/>
              <w:autoSpaceDE/>
              <w:autoSpaceDN/>
              <w:jc w:val="both"/>
              <w:rPr>
                <w:rFonts w:ascii="Arial" w:hAnsi="Arial" w:cs="Arial"/>
                <w:b/>
                <w:sz w:val="22"/>
                <w:szCs w:val="22"/>
                <w:lang w:val="es-CO"/>
              </w:rPr>
            </w:pPr>
            <w:r w:rsidRPr="00CD23CF">
              <w:rPr>
                <w:rFonts w:ascii="Arial" w:hAnsi="Arial" w:cs="Arial"/>
                <w:sz w:val="22"/>
                <w:szCs w:val="22"/>
              </w:rPr>
              <w:t>Reporte oportuno de información por parte de algunas áreas técnicas para incluir en los estados financieros, especialmente en lo relacionado con transferencias a las ET.</w:t>
            </w:r>
          </w:p>
        </w:tc>
      </w:tr>
    </w:tbl>
    <w:p w14:paraId="46C33B26" w14:textId="77777777" w:rsidR="00561B22" w:rsidRPr="00CD23CF" w:rsidRDefault="00561B22" w:rsidP="00561B22">
      <w:pPr>
        <w:pStyle w:val="Textoindependiente"/>
        <w:ind w:right="-50"/>
        <w:jc w:val="both"/>
        <w:rPr>
          <w:rFonts w:ascii="Arial" w:hAnsi="Arial" w:cs="Arial"/>
          <w:b/>
          <w:bCs/>
        </w:rPr>
      </w:pPr>
    </w:p>
    <w:p w14:paraId="4AC10E46" w14:textId="77777777" w:rsidR="00561B22" w:rsidRPr="00CD23CF" w:rsidRDefault="00561B22" w:rsidP="00561B22">
      <w:pPr>
        <w:jc w:val="both"/>
        <w:rPr>
          <w:rFonts w:ascii="Arial" w:hAnsi="Arial" w:cs="Arial"/>
          <w:b/>
          <w:lang w:val="es-MX"/>
        </w:rPr>
      </w:pPr>
      <w:r w:rsidRPr="00CD23CF">
        <w:rPr>
          <w:rFonts w:ascii="Arial" w:hAnsi="Arial" w:cs="Arial"/>
          <w:b/>
          <w:lang w:val="es-MX"/>
        </w:rPr>
        <w:t>Del citado informe retomamos las siguientes recomendaciones:</w:t>
      </w:r>
    </w:p>
    <w:p w14:paraId="6B4D7BBA" w14:textId="77777777" w:rsidR="00561B22" w:rsidRPr="00CD23CF"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CD23CF" w14:paraId="122A0F24" w14:textId="77777777" w:rsidTr="00F1223B">
        <w:tc>
          <w:tcPr>
            <w:tcW w:w="562" w:type="dxa"/>
          </w:tcPr>
          <w:p w14:paraId="169088C8" w14:textId="77777777" w:rsidR="00561B22" w:rsidRPr="00CD23CF" w:rsidRDefault="00561B22" w:rsidP="00F1223B">
            <w:pPr>
              <w:ind w:right="-109"/>
              <w:jc w:val="center"/>
              <w:rPr>
                <w:rFonts w:ascii="Arial" w:hAnsi="Arial" w:cs="Arial"/>
                <w:b/>
                <w:sz w:val="22"/>
                <w:szCs w:val="22"/>
                <w:lang w:val="es-MX"/>
              </w:rPr>
            </w:pPr>
            <w:r w:rsidRPr="00CD23CF">
              <w:rPr>
                <w:rFonts w:ascii="Arial" w:hAnsi="Arial" w:cs="Arial"/>
                <w:b/>
                <w:sz w:val="22"/>
                <w:szCs w:val="22"/>
                <w:lang w:val="es-MX"/>
              </w:rPr>
              <w:t>N°</w:t>
            </w:r>
          </w:p>
        </w:tc>
        <w:tc>
          <w:tcPr>
            <w:tcW w:w="9400" w:type="dxa"/>
          </w:tcPr>
          <w:p w14:paraId="41DC1E06" w14:textId="77777777" w:rsidR="00561B22" w:rsidRPr="00CD23CF" w:rsidRDefault="00561B22" w:rsidP="00F1223B">
            <w:pPr>
              <w:jc w:val="center"/>
              <w:rPr>
                <w:rFonts w:ascii="Arial" w:hAnsi="Arial" w:cs="Arial"/>
                <w:b/>
                <w:sz w:val="22"/>
                <w:szCs w:val="22"/>
                <w:lang w:val="es-MX"/>
              </w:rPr>
            </w:pPr>
            <w:r w:rsidRPr="00CD23CF">
              <w:rPr>
                <w:rFonts w:ascii="Arial" w:hAnsi="Arial" w:cs="Arial"/>
                <w:b/>
                <w:sz w:val="22"/>
                <w:szCs w:val="22"/>
                <w:lang w:val="es-MX"/>
              </w:rPr>
              <w:t>RECOMENDACIONES</w:t>
            </w:r>
          </w:p>
          <w:p w14:paraId="34789CF4" w14:textId="77777777" w:rsidR="00561B22" w:rsidRPr="00CD23CF" w:rsidRDefault="00561B22" w:rsidP="00F1223B">
            <w:pPr>
              <w:jc w:val="center"/>
              <w:rPr>
                <w:rFonts w:ascii="Arial" w:hAnsi="Arial" w:cs="Arial"/>
                <w:b/>
                <w:sz w:val="22"/>
                <w:szCs w:val="22"/>
                <w:lang w:val="es-MX"/>
              </w:rPr>
            </w:pPr>
          </w:p>
        </w:tc>
      </w:tr>
      <w:tr w:rsidR="00561B22" w:rsidRPr="00CD23CF" w14:paraId="1ABA1035" w14:textId="77777777" w:rsidTr="00F1223B">
        <w:tblPrEx>
          <w:tblCellMar>
            <w:left w:w="70" w:type="dxa"/>
            <w:right w:w="70" w:type="dxa"/>
          </w:tblCellMar>
        </w:tblPrEx>
        <w:tc>
          <w:tcPr>
            <w:tcW w:w="562" w:type="dxa"/>
          </w:tcPr>
          <w:p w14:paraId="72938B07" w14:textId="77777777" w:rsidR="00561B22" w:rsidRPr="00CD23CF" w:rsidRDefault="00561B22" w:rsidP="00F1223B">
            <w:pPr>
              <w:jc w:val="center"/>
              <w:rPr>
                <w:rFonts w:ascii="Arial" w:hAnsi="Arial" w:cs="Arial"/>
                <w:b/>
                <w:sz w:val="22"/>
                <w:szCs w:val="22"/>
                <w:lang w:val="es-MX"/>
              </w:rPr>
            </w:pPr>
            <w:r w:rsidRPr="00CD23CF">
              <w:rPr>
                <w:rFonts w:ascii="Arial" w:hAnsi="Arial" w:cs="Arial"/>
                <w:b/>
                <w:sz w:val="22"/>
                <w:szCs w:val="22"/>
                <w:lang w:val="es-MX"/>
              </w:rPr>
              <w:t>1</w:t>
            </w:r>
          </w:p>
        </w:tc>
        <w:tc>
          <w:tcPr>
            <w:tcW w:w="9400" w:type="dxa"/>
          </w:tcPr>
          <w:p w14:paraId="2149792A" w14:textId="77777777" w:rsidR="00561B22" w:rsidRPr="00CD23CF" w:rsidRDefault="00561B22" w:rsidP="00F1223B">
            <w:pPr>
              <w:jc w:val="both"/>
              <w:rPr>
                <w:rFonts w:ascii="Arial" w:hAnsi="Arial" w:cs="Arial"/>
                <w:b/>
                <w:sz w:val="22"/>
                <w:szCs w:val="22"/>
                <w:lang w:val="es-MX"/>
              </w:rPr>
            </w:pPr>
            <w:r w:rsidRPr="00CD23CF">
              <w:rPr>
                <w:rFonts w:ascii="Arial" w:eastAsiaTheme="minorHAnsi" w:hAnsi="Arial" w:cs="Arial"/>
                <w:color w:val="000000"/>
                <w:sz w:val="22"/>
                <w:szCs w:val="22"/>
                <w:lang w:val="es-CO"/>
              </w:rPr>
              <w:t xml:space="preserve">Realizar los comités de sostenibilidad con la periodicidad estipulada en la Resolución 3316 de 2028, artículo 5. </w:t>
            </w:r>
          </w:p>
        </w:tc>
      </w:tr>
      <w:tr w:rsidR="00561B22" w:rsidRPr="00CD23CF" w14:paraId="3B74EB66" w14:textId="77777777" w:rsidTr="00F1223B">
        <w:tc>
          <w:tcPr>
            <w:tcW w:w="562" w:type="dxa"/>
          </w:tcPr>
          <w:p w14:paraId="6F0C93D3" w14:textId="77777777" w:rsidR="00561B22" w:rsidRPr="00CD23CF" w:rsidRDefault="00561B22" w:rsidP="00F1223B">
            <w:pPr>
              <w:jc w:val="center"/>
              <w:rPr>
                <w:rFonts w:ascii="Arial" w:hAnsi="Arial" w:cs="Arial"/>
                <w:b/>
                <w:sz w:val="22"/>
                <w:szCs w:val="22"/>
                <w:lang w:val="es-MX"/>
              </w:rPr>
            </w:pPr>
            <w:r w:rsidRPr="00CD23CF">
              <w:rPr>
                <w:rFonts w:ascii="Arial" w:hAnsi="Arial" w:cs="Arial"/>
                <w:b/>
                <w:sz w:val="22"/>
                <w:szCs w:val="22"/>
                <w:lang w:val="es-MX"/>
              </w:rPr>
              <w:t>2</w:t>
            </w:r>
          </w:p>
        </w:tc>
        <w:tc>
          <w:tcPr>
            <w:tcW w:w="9400" w:type="dxa"/>
          </w:tcPr>
          <w:p w14:paraId="508FE5EF" w14:textId="77777777" w:rsidR="00561B22" w:rsidRPr="00CD23CF" w:rsidRDefault="00561B22" w:rsidP="00F1223B">
            <w:pPr>
              <w:jc w:val="both"/>
              <w:rPr>
                <w:rFonts w:ascii="Arial" w:hAnsi="Arial" w:cs="Arial"/>
                <w:b/>
                <w:sz w:val="22"/>
                <w:szCs w:val="22"/>
                <w:lang w:val="es-MX"/>
              </w:rPr>
            </w:pPr>
            <w:r w:rsidRPr="00CD23CF">
              <w:rPr>
                <w:rFonts w:ascii="Arial" w:eastAsiaTheme="minorHAnsi" w:hAnsi="Arial" w:cs="Arial"/>
                <w:color w:val="000000"/>
                <w:sz w:val="22"/>
                <w:szCs w:val="22"/>
                <w:lang w:val="es-CO"/>
              </w:rPr>
              <w:t>Continuar con la depuración de las cuentas Recíprocas, incapacidades, inventarios, transferencias, cuotas partes pensionales entre otras.</w:t>
            </w:r>
          </w:p>
        </w:tc>
      </w:tr>
    </w:tbl>
    <w:p w14:paraId="0F777F46" w14:textId="77777777" w:rsidR="00561B22" w:rsidRPr="00CD23CF" w:rsidRDefault="00561B22" w:rsidP="00561B22">
      <w:pPr>
        <w:pStyle w:val="Textoindependiente"/>
        <w:ind w:right="-50"/>
        <w:jc w:val="both"/>
        <w:rPr>
          <w:rFonts w:ascii="Arial" w:hAnsi="Arial" w:cs="Arial"/>
          <w:b/>
          <w:bCs/>
          <w:sz w:val="28"/>
          <w:szCs w:val="28"/>
        </w:rPr>
      </w:pPr>
    </w:p>
    <w:p w14:paraId="765A6463" w14:textId="77777777" w:rsidR="00561B22" w:rsidRPr="00CD23CF" w:rsidRDefault="00561B22" w:rsidP="00561B22">
      <w:pPr>
        <w:jc w:val="both"/>
        <w:rPr>
          <w:rFonts w:ascii="Arial" w:hAnsi="Arial" w:cs="Arial"/>
          <w:b/>
          <w:bCs/>
          <w:sz w:val="24"/>
          <w:szCs w:val="24"/>
          <w:lang w:val="es-CO"/>
        </w:rPr>
      </w:pPr>
      <w:r w:rsidRPr="00CD23CF">
        <w:rPr>
          <w:rFonts w:ascii="Arial" w:hAnsi="Arial" w:cs="Arial"/>
          <w:b/>
          <w:bCs/>
          <w:sz w:val="24"/>
          <w:szCs w:val="24"/>
          <w:lang w:val="es-CO"/>
        </w:rPr>
        <w:t xml:space="preserve">NOTA: LA ENTIDAD ENVIA LA MATRIZ DE AUTOEVALUACIÓN DEL SISTEMA DE CONTROL INTERNO CONTABLE CON </w:t>
      </w:r>
      <w:r w:rsidRPr="00CD23CF">
        <w:rPr>
          <w:rFonts w:ascii="Arial" w:hAnsi="Arial" w:cs="Arial"/>
          <w:b/>
          <w:bCs/>
          <w:sz w:val="24"/>
          <w:szCs w:val="24"/>
          <w:u w:val="single"/>
          <w:lang w:val="es-CO"/>
        </w:rPr>
        <w:t>ACTIVIDADES DE CONTROL REALIZADAS EN FORMA PARCIAL</w:t>
      </w:r>
      <w:r w:rsidRPr="00CD23CF">
        <w:rPr>
          <w:rFonts w:ascii="Arial" w:hAnsi="Arial" w:cs="Arial"/>
          <w:b/>
          <w:bCs/>
          <w:sz w:val="24"/>
          <w:szCs w:val="24"/>
          <w:lang w:val="es-CO"/>
        </w:rPr>
        <w:t>.</w:t>
      </w:r>
    </w:p>
    <w:p w14:paraId="04CA2081" w14:textId="77777777" w:rsidR="00561B22" w:rsidRDefault="00561B22" w:rsidP="00561B22">
      <w:pPr>
        <w:jc w:val="both"/>
        <w:rPr>
          <w:rFonts w:ascii="Arial" w:hAnsi="Arial" w:cs="Arial"/>
          <w:b/>
          <w:bCs/>
          <w:lang w:val="es-CO"/>
        </w:rPr>
      </w:pPr>
    </w:p>
    <w:p w14:paraId="594DB620" w14:textId="77777777" w:rsidR="00561B22" w:rsidRPr="00CB592B" w:rsidRDefault="00561B22" w:rsidP="00561B22">
      <w:pPr>
        <w:jc w:val="both"/>
        <w:rPr>
          <w:rFonts w:ascii="Arial" w:hAnsi="Arial" w:cs="Arial"/>
          <w:b/>
          <w:sz w:val="28"/>
          <w:szCs w:val="28"/>
          <w:lang w:val="es-MX"/>
        </w:rPr>
      </w:pPr>
      <w:r w:rsidRPr="00CB592B">
        <w:rPr>
          <w:rFonts w:ascii="Arial" w:hAnsi="Arial" w:cs="Arial"/>
          <w:b/>
          <w:sz w:val="28"/>
          <w:szCs w:val="28"/>
          <w:lang w:val="es-MX"/>
        </w:rPr>
        <w:t>303.- MINISTERIO DE VIVIENDA, CIUDAD Y TERRITORIO.</w:t>
      </w:r>
    </w:p>
    <w:p w14:paraId="1550CB7C" w14:textId="77777777" w:rsidR="00561B22" w:rsidRDefault="00561B22" w:rsidP="00561B22">
      <w:pPr>
        <w:jc w:val="both"/>
        <w:rPr>
          <w:rFonts w:ascii="Arial" w:hAnsi="Arial" w:cs="Arial"/>
          <w:b/>
          <w:bCs/>
          <w:lang w:val="es-MX"/>
        </w:rPr>
      </w:pPr>
    </w:p>
    <w:p w14:paraId="579B1010" w14:textId="77777777" w:rsidR="00561B22" w:rsidRPr="002B699A" w:rsidRDefault="00561B22" w:rsidP="00561B22">
      <w:pPr>
        <w:pStyle w:val="Textoindependiente"/>
        <w:jc w:val="center"/>
        <w:rPr>
          <w:rFonts w:ascii="Arial" w:hAnsi="Arial" w:cs="Arial"/>
          <w:b/>
          <w:bCs/>
        </w:rPr>
      </w:pPr>
      <w:r w:rsidRPr="002B699A">
        <w:rPr>
          <w:rFonts w:ascii="Arial" w:hAnsi="Arial" w:cs="Arial"/>
          <w:b/>
          <w:bCs/>
        </w:rPr>
        <w:t>INFORME DE LA AUTOCALIFICACIÓN DEL SISTEMA DE CONTROL INTERNO CONTABLE:</w:t>
      </w:r>
    </w:p>
    <w:p w14:paraId="72C4229B" w14:textId="77777777" w:rsidR="00561B22" w:rsidRPr="002B699A"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B699A" w14:paraId="3D4F2508" w14:textId="77777777" w:rsidTr="00F1223B">
        <w:tc>
          <w:tcPr>
            <w:tcW w:w="4981" w:type="dxa"/>
          </w:tcPr>
          <w:p w14:paraId="69708A9E"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AUTOCALIFICACIÓN</w:t>
            </w:r>
          </w:p>
        </w:tc>
        <w:tc>
          <w:tcPr>
            <w:tcW w:w="4981" w:type="dxa"/>
          </w:tcPr>
          <w:p w14:paraId="1D82C869" w14:textId="77777777" w:rsidR="00561B22" w:rsidRPr="002B699A" w:rsidRDefault="00561B22" w:rsidP="00F1223B">
            <w:pPr>
              <w:jc w:val="center"/>
              <w:rPr>
                <w:rFonts w:ascii="Arial" w:hAnsi="Arial" w:cs="Arial"/>
                <w:b/>
                <w:sz w:val="22"/>
                <w:szCs w:val="22"/>
                <w:u w:val="single"/>
                <w:lang w:val="es-MX"/>
              </w:rPr>
            </w:pPr>
            <w:r w:rsidRPr="002B699A">
              <w:rPr>
                <w:rFonts w:ascii="Arial" w:hAnsi="Arial" w:cs="Arial"/>
                <w:b/>
                <w:sz w:val="22"/>
                <w:szCs w:val="22"/>
                <w:u w:val="single"/>
                <w:lang w:val="es-MX"/>
              </w:rPr>
              <w:t>4.84</w:t>
            </w:r>
          </w:p>
        </w:tc>
      </w:tr>
    </w:tbl>
    <w:p w14:paraId="204C8949" w14:textId="77777777" w:rsidR="00561B22" w:rsidRPr="002B699A" w:rsidRDefault="00561B22" w:rsidP="00561B22">
      <w:pPr>
        <w:pStyle w:val="Textoindependiente"/>
        <w:jc w:val="both"/>
        <w:rPr>
          <w:rFonts w:ascii="Arial" w:hAnsi="Arial" w:cs="Arial"/>
          <w:b/>
          <w:bCs/>
        </w:rPr>
      </w:pPr>
    </w:p>
    <w:p w14:paraId="333B8625" w14:textId="77777777" w:rsidR="00561B22" w:rsidRPr="002B699A" w:rsidRDefault="00561B22" w:rsidP="00561B22">
      <w:pPr>
        <w:pStyle w:val="Textoindependiente"/>
        <w:jc w:val="both"/>
        <w:rPr>
          <w:rFonts w:ascii="Arial" w:hAnsi="Arial" w:cs="Arial"/>
          <w:b/>
          <w:bCs/>
        </w:rPr>
      </w:pPr>
      <w:r w:rsidRPr="002B699A">
        <w:rPr>
          <w:rFonts w:ascii="Arial" w:hAnsi="Arial" w:cs="Arial"/>
          <w:b/>
          <w:bCs/>
        </w:rPr>
        <w:t>Del informe enviado retomamos lo siguiente:</w:t>
      </w:r>
    </w:p>
    <w:p w14:paraId="0D95FE01" w14:textId="77777777" w:rsidR="00561B22" w:rsidRPr="002B699A"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B699A" w14:paraId="0C2D17B0" w14:textId="77777777" w:rsidTr="00F1223B">
        <w:tc>
          <w:tcPr>
            <w:tcW w:w="562" w:type="dxa"/>
          </w:tcPr>
          <w:p w14:paraId="4E3E278E"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N°</w:t>
            </w:r>
          </w:p>
        </w:tc>
        <w:tc>
          <w:tcPr>
            <w:tcW w:w="9400" w:type="dxa"/>
          </w:tcPr>
          <w:p w14:paraId="41805F75"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DEBILIDADES</w:t>
            </w:r>
          </w:p>
          <w:p w14:paraId="74DAE26B" w14:textId="77777777" w:rsidR="00561B22" w:rsidRPr="002B699A" w:rsidRDefault="00561B22" w:rsidP="00F1223B">
            <w:pPr>
              <w:jc w:val="center"/>
              <w:rPr>
                <w:rFonts w:ascii="Arial" w:hAnsi="Arial" w:cs="Arial"/>
                <w:b/>
                <w:sz w:val="22"/>
                <w:szCs w:val="22"/>
                <w:lang w:val="es-MX"/>
              </w:rPr>
            </w:pPr>
          </w:p>
        </w:tc>
      </w:tr>
      <w:tr w:rsidR="00561B22" w:rsidRPr="002B699A" w14:paraId="1C158E0B" w14:textId="77777777" w:rsidTr="00F1223B">
        <w:tc>
          <w:tcPr>
            <w:tcW w:w="562" w:type="dxa"/>
          </w:tcPr>
          <w:p w14:paraId="38F2754F"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1</w:t>
            </w:r>
          </w:p>
        </w:tc>
        <w:tc>
          <w:tcPr>
            <w:tcW w:w="9400" w:type="dxa"/>
          </w:tcPr>
          <w:p w14:paraId="488B1E48" w14:textId="77777777" w:rsidR="00561B22" w:rsidRPr="002B699A" w:rsidRDefault="00561B22" w:rsidP="00F1223B">
            <w:pPr>
              <w:jc w:val="both"/>
              <w:rPr>
                <w:rFonts w:ascii="Arial" w:hAnsi="Arial" w:cs="Arial"/>
                <w:sz w:val="22"/>
                <w:szCs w:val="22"/>
                <w:lang w:val="es-MX"/>
              </w:rPr>
            </w:pPr>
            <w:r w:rsidRPr="002B699A">
              <w:rPr>
                <w:rFonts w:ascii="Arial" w:hAnsi="Arial" w:cs="Arial"/>
                <w:sz w:val="22"/>
                <w:szCs w:val="22"/>
              </w:rPr>
              <w:t xml:space="preserve">Los canales de comunicación entre las áreas funcionales y Contabilidad en algunos casos no están alineados con las políticas contables </w:t>
            </w:r>
          </w:p>
        </w:tc>
      </w:tr>
      <w:tr w:rsidR="00561B22" w:rsidRPr="002B699A" w14:paraId="19AE1089" w14:textId="77777777" w:rsidTr="00F1223B">
        <w:tc>
          <w:tcPr>
            <w:tcW w:w="562" w:type="dxa"/>
          </w:tcPr>
          <w:p w14:paraId="01F70654"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2</w:t>
            </w:r>
          </w:p>
        </w:tc>
        <w:tc>
          <w:tcPr>
            <w:tcW w:w="9400" w:type="dxa"/>
          </w:tcPr>
          <w:p w14:paraId="7CBA7F2E" w14:textId="77777777" w:rsidR="00561B22" w:rsidRPr="002B699A" w:rsidRDefault="00561B22" w:rsidP="00F1223B">
            <w:pPr>
              <w:jc w:val="both"/>
              <w:rPr>
                <w:rFonts w:ascii="Arial" w:hAnsi="Arial" w:cs="Arial"/>
                <w:sz w:val="22"/>
                <w:szCs w:val="22"/>
                <w:lang w:val="es-MX"/>
              </w:rPr>
            </w:pPr>
            <w:r w:rsidRPr="002B699A">
              <w:rPr>
                <w:rFonts w:ascii="Arial" w:hAnsi="Arial" w:cs="Arial"/>
                <w:sz w:val="22"/>
                <w:szCs w:val="22"/>
              </w:rPr>
              <w:t>El programa de capacitación no incluye temas de formación que permitan el mejoramiento de competencias</w:t>
            </w:r>
          </w:p>
        </w:tc>
      </w:tr>
      <w:tr w:rsidR="00561B22" w:rsidRPr="002B699A" w14:paraId="729FA0CF" w14:textId="77777777" w:rsidTr="00F1223B">
        <w:tc>
          <w:tcPr>
            <w:tcW w:w="562" w:type="dxa"/>
          </w:tcPr>
          <w:p w14:paraId="45BD15E3"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3</w:t>
            </w:r>
          </w:p>
        </w:tc>
        <w:tc>
          <w:tcPr>
            <w:tcW w:w="9400" w:type="dxa"/>
          </w:tcPr>
          <w:p w14:paraId="01FD6F33" w14:textId="77777777" w:rsidR="00561B22" w:rsidRPr="002B699A" w:rsidRDefault="00561B22" w:rsidP="00F1223B">
            <w:pPr>
              <w:jc w:val="both"/>
              <w:rPr>
                <w:rFonts w:ascii="Arial" w:hAnsi="Arial" w:cs="Arial"/>
                <w:sz w:val="22"/>
                <w:szCs w:val="22"/>
                <w:lang w:val="es-MX"/>
              </w:rPr>
            </w:pPr>
            <w:r w:rsidRPr="002B699A">
              <w:rPr>
                <w:rFonts w:ascii="Arial" w:hAnsi="Arial" w:cs="Arial"/>
                <w:sz w:val="22"/>
                <w:szCs w:val="22"/>
              </w:rPr>
              <w:t>No se tiene establecido autoevaluaciones relacionadas con la Matriz de riesgos con el fin de analizar la posible materialización de riesgos y el cumplimiento y/o efectividad de controles</w:t>
            </w:r>
          </w:p>
        </w:tc>
      </w:tr>
      <w:tr w:rsidR="00561B22" w:rsidRPr="002B699A" w14:paraId="11A2174A" w14:textId="77777777" w:rsidTr="00F1223B">
        <w:tc>
          <w:tcPr>
            <w:tcW w:w="562" w:type="dxa"/>
          </w:tcPr>
          <w:p w14:paraId="70E928A0"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4</w:t>
            </w:r>
          </w:p>
        </w:tc>
        <w:tc>
          <w:tcPr>
            <w:tcW w:w="9400" w:type="dxa"/>
          </w:tcPr>
          <w:p w14:paraId="3BC8639B" w14:textId="77777777" w:rsidR="00561B22" w:rsidRPr="002B699A" w:rsidRDefault="00561B22" w:rsidP="00F1223B">
            <w:pPr>
              <w:jc w:val="both"/>
              <w:rPr>
                <w:rFonts w:ascii="Arial" w:hAnsi="Arial" w:cs="Arial"/>
                <w:sz w:val="22"/>
                <w:szCs w:val="22"/>
                <w:lang w:val="es-MX"/>
              </w:rPr>
            </w:pPr>
            <w:r w:rsidRPr="002B699A">
              <w:rPr>
                <w:rFonts w:ascii="Arial" w:hAnsi="Arial" w:cs="Arial"/>
                <w:sz w:val="22"/>
                <w:szCs w:val="22"/>
              </w:rPr>
              <w:t>Cumplimiento de acciones de mejoramiento dentro de los tiempos establecidos y con los documentos soportes idóneos</w:t>
            </w:r>
          </w:p>
        </w:tc>
      </w:tr>
    </w:tbl>
    <w:p w14:paraId="12642D87" w14:textId="77777777" w:rsidR="00561B22" w:rsidRPr="002B699A" w:rsidRDefault="00561B22" w:rsidP="00561B22">
      <w:pPr>
        <w:pStyle w:val="Textoindependiente"/>
        <w:jc w:val="both"/>
        <w:rPr>
          <w:rFonts w:ascii="Arial" w:hAnsi="Arial" w:cs="Arial"/>
          <w:b/>
          <w:bCs/>
        </w:rPr>
      </w:pPr>
    </w:p>
    <w:p w14:paraId="28335E00" w14:textId="77777777" w:rsidR="00561B22" w:rsidRPr="002B699A" w:rsidRDefault="00561B22" w:rsidP="00561B22">
      <w:pPr>
        <w:jc w:val="both"/>
        <w:rPr>
          <w:rFonts w:ascii="Arial" w:hAnsi="Arial" w:cs="Arial"/>
          <w:b/>
          <w:lang w:val="es-MX"/>
        </w:rPr>
      </w:pPr>
      <w:r w:rsidRPr="002B699A">
        <w:rPr>
          <w:rFonts w:ascii="Arial" w:hAnsi="Arial" w:cs="Arial"/>
          <w:b/>
          <w:lang w:val="es-MX"/>
        </w:rPr>
        <w:t>Del citado informe retomamos las siguientes recomendaciones:</w:t>
      </w:r>
    </w:p>
    <w:p w14:paraId="55A9E431" w14:textId="77777777" w:rsidR="00561B22" w:rsidRPr="002B699A"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2B699A" w14:paraId="76973F10" w14:textId="77777777" w:rsidTr="00F1223B">
        <w:tc>
          <w:tcPr>
            <w:tcW w:w="562" w:type="dxa"/>
          </w:tcPr>
          <w:p w14:paraId="71A3FC7F"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N°</w:t>
            </w:r>
          </w:p>
        </w:tc>
        <w:tc>
          <w:tcPr>
            <w:tcW w:w="9400" w:type="dxa"/>
          </w:tcPr>
          <w:p w14:paraId="3B1A8607"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RECOMENDACIONES</w:t>
            </w:r>
          </w:p>
          <w:p w14:paraId="039497FC" w14:textId="77777777" w:rsidR="00561B22" w:rsidRPr="002B699A" w:rsidRDefault="00561B22" w:rsidP="00F1223B">
            <w:pPr>
              <w:jc w:val="center"/>
              <w:rPr>
                <w:rFonts w:ascii="Arial" w:hAnsi="Arial" w:cs="Arial"/>
                <w:b/>
                <w:sz w:val="22"/>
                <w:szCs w:val="22"/>
                <w:lang w:val="es-MX"/>
              </w:rPr>
            </w:pPr>
          </w:p>
        </w:tc>
      </w:tr>
      <w:tr w:rsidR="00561B22" w:rsidRPr="002B699A" w14:paraId="7FC02249" w14:textId="77777777" w:rsidTr="00F1223B">
        <w:tc>
          <w:tcPr>
            <w:tcW w:w="562" w:type="dxa"/>
          </w:tcPr>
          <w:p w14:paraId="235B4293"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1</w:t>
            </w:r>
          </w:p>
        </w:tc>
        <w:tc>
          <w:tcPr>
            <w:tcW w:w="9400" w:type="dxa"/>
          </w:tcPr>
          <w:p w14:paraId="7F15BB52"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Se considera importante fortalecer los controles que aseguren la oportunidad y calidad de las conciliaciones entre el área contable y las demás dependencias con el propósito de verificar la consistencia de la totalidad de las cuentas e información reflejada en los estados financieros</w:t>
            </w:r>
          </w:p>
        </w:tc>
      </w:tr>
      <w:tr w:rsidR="00561B22" w:rsidRPr="002B699A" w14:paraId="7B7EBAFD" w14:textId="77777777" w:rsidTr="00F1223B">
        <w:tc>
          <w:tcPr>
            <w:tcW w:w="562" w:type="dxa"/>
          </w:tcPr>
          <w:p w14:paraId="08F04122"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2</w:t>
            </w:r>
          </w:p>
        </w:tc>
        <w:tc>
          <w:tcPr>
            <w:tcW w:w="9400" w:type="dxa"/>
          </w:tcPr>
          <w:p w14:paraId="03FF7D83"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Definir capacitaciones dentro del PIC al personal involucrado en el proceso contables que permitan fortalecer sus competencias</w:t>
            </w:r>
          </w:p>
        </w:tc>
      </w:tr>
      <w:tr w:rsidR="00561B22" w:rsidRPr="002B699A" w14:paraId="30F1417E" w14:textId="77777777" w:rsidTr="00F1223B">
        <w:tc>
          <w:tcPr>
            <w:tcW w:w="562" w:type="dxa"/>
          </w:tcPr>
          <w:p w14:paraId="47D88926"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3</w:t>
            </w:r>
          </w:p>
        </w:tc>
        <w:tc>
          <w:tcPr>
            <w:tcW w:w="9400" w:type="dxa"/>
          </w:tcPr>
          <w:p w14:paraId="59125FC7"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Fortalecer los canales de comunicación para mejorar el flujo de información entre las áreas funcionales y Contabilidad logrando engranaje y trazabilidad de la información en las diferentes etapas y áreas</w:t>
            </w:r>
          </w:p>
        </w:tc>
      </w:tr>
      <w:tr w:rsidR="00561B22" w:rsidRPr="002B699A" w14:paraId="50C478F1" w14:textId="77777777" w:rsidTr="00F1223B">
        <w:tc>
          <w:tcPr>
            <w:tcW w:w="562" w:type="dxa"/>
          </w:tcPr>
          <w:p w14:paraId="326A3D57"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4</w:t>
            </w:r>
          </w:p>
        </w:tc>
        <w:tc>
          <w:tcPr>
            <w:tcW w:w="9400" w:type="dxa"/>
          </w:tcPr>
          <w:p w14:paraId="30BFFFC8"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Generar estrategias adicionales de socialización de las políticas procesos y procedimientos de la entidad con los funcionarios con el fin de garantizar su adecuada aplicación y retroalimentación</w:t>
            </w:r>
          </w:p>
        </w:tc>
      </w:tr>
      <w:tr w:rsidR="00561B22" w:rsidRPr="002B699A" w14:paraId="49322868" w14:textId="77777777" w:rsidTr="00F1223B">
        <w:tc>
          <w:tcPr>
            <w:tcW w:w="562" w:type="dxa"/>
          </w:tcPr>
          <w:p w14:paraId="1C6094DD"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5</w:t>
            </w:r>
          </w:p>
        </w:tc>
        <w:tc>
          <w:tcPr>
            <w:tcW w:w="9400" w:type="dxa"/>
          </w:tcPr>
          <w:p w14:paraId="403B978F"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Documentar la actividad de autoevaluación y su periodicidad de los controles</w:t>
            </w:r>
          </w:p>
        </w:tc>
      </w:tr>
      <w:tr w:rsidR="00561B22" w:rsidRPr="002B699A" w14:paraId="0B2F38C2" w14:textId="77777777" w:rsidTr="00F1223B">
        <w:tc>
          <w:tcPr>
            <w:tcW w:w="562" w:type="dxa"/>
          </w:tcPr>
          <w:p w14:paraId="2445075B"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6</w:t>
            </w:r>
          </w:p>
        </w:tc>
        <w:tc>
          <w:tcPr>
            <w:tcW w:w="9400" w:type="dxa"/>
          </w:tcPr>
          <w:p w14:paraId="07380547"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Incluir la presentación de los estados financieros en la audiencia de rendición de cuentas institucional</w:t>
            </w:r>
          </w:p>
        </w:tc>
      </w:tr>
      <w:tr w:rsidR="00561B22" w:rsidRPr="002B699A" w14:paraId="2802D98F" w14:textId="77777777" w:rsidTr="00F1223B">
        <w:tc>
          <w:tcPr>
            <w:tcW w:w="562" w:type="dxa"/>
          </w:tcPr>
          <w:p w14:paraId="2DA1144A"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7</w:t>
            </w:r>
          </w:p>
        </w:tc>
        <w:tc>
          <w:tcPr>
            <w:tcW w:w="9400" w:type="dxa"/>
          </w:tcPr>
          <w:p w14:paraId="17941C00"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Documentar dicha actividad en el procedimiento establecido en el INSTRUCTIVOS DE PROCEDIMIENTOS CONTABLES</w:t>
            </w:r>
          </w:p>
        </w:tc>
      </w:tr>
      <w:tr w:rsidR="00561B22" w:rsidRPr="002B699A" w14:paraId="41D428F7" w14:textId="77777777" w:rsidTr="00F1223B">
        <w:tc>
          <w:tcPr>
            <w:tcW w:w="562" w:type="dxa"/>
          </w:tcPr>
          <w:p w14:paraId="10610736"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8</w:t>
            </w:r>
          </w:p>
        </w:tc>
        <w:tc>
          <w:tcPr>
            <w:tcW w:w="9400" w:type="dxa"/>
          </w:tcPr>
          <w:p w14:paraId="755E684C"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Documentar las actividades de elaboración y monitoreo de los indicadores financieros</w:t>
            </w:r>
          </w:p>
        </w:tc>
      </w:tr>
      <w:tr w:rsidR="00561B22" w:rsidRPr="002B699A" w14:paraId="2EEF18DA" w14:textId="77777777" w:rsidTr="00F1223B">
        <w:tc>
          <w:tcPr>
            <w:tcW w:w="562" w:type="dxa"/>
          </w:tcPr>
          <w:p w14:paraId="0334613A" w14:textId="77777777" w:rsidR="00561B22" w:rsidRPr="002B699A" w:rsidRDefault="00561B22" w:rsidP="00F1223B">
            <w:pPr>
              <w:jc w:val="center"/>
              <w:rPr>
                <w:rFonts w:ascii="Arial" w:hAnsi="Arial" w:cs="Arial"/>
                <w:b/>
                <w:sz w:val="22"/>
                <w:szCs w:val="22"/>
                <w:lang w:val="es-MX"/>
              </w:rPr>
            </w:pPr>
            <w:r w:rsidRPr="002B699A">
              <w:rPr>
                <w:rFonts w:ascii="Arial" w:hAnsi="Arial" w:cs="Arial"/>
                <w:b/>
                <w:sz w:val="22"/>
                <w:szCs w:val="22"/>
                <w:lang w:val="es-MX"/>
              </w:rPr>
              <w:t>9</w:t>
            </w:r>
          </w:p>
        </w:tc>
        <w:tc>
          <w:tcPr>
            <w:tcW w:w="9400" w:type="dxa"/>
          </w:tcPr>
          <w:p w14:paraId="0B82AB37" w14:textId="77777777" w:rsidR="00561B22" w:rsidRPr="002B699A" w:rsidRDefault="00561B22" w:rsidP="00F1223B">
            <w:pPr>
              <w:jc w:val="both"/>
              <w:rPr>
                <w:rFonts w:ascii="Arial" w:hAnsi="Arial" w:cs="Arial"/>
                <w:b/>
                <w:sz w:val="22"/>
                <w:szCs w:val="22"/>
                <w:lang w:val="es-MX"/>
              </w:rPr>
            </w:pPr>
            <w:r w:rsidRPr="002B699A">
              <w:rPr>
                <w:rFonts w:ascii="Arial" w:hAnsi="Arial" w:cs="Arial"/>
                <w:sz w:val="22"/>
                <w:szCs w:val="22"/>
              </w:rPr>
              <w:t>Documentar periodicidad de la revisión de estimaciones de vidas útiles valor residual costos de desmantelamiento y métodos de depreciación</w:t>
            </w:r>
          </w:p>
        </w:tc>
      </w:tr>
    </w:tbl>
    <w:p w14:paraId="259932B0" w14:textId="77777777" w:rsidR="00561B22" w:rsidRPr="002B699A" w:rsidRDefault="00561B22" w:rsidP="00561B22">
      <w:pPr>
        <w:pStyle w:val="Textoindependiente"/>
        <w:jc w:val="both"/>
        <w:rPr>
          <w:rFonts w:ascii="Arial" w:hAnsi="Arial" w:cs="Arial"/>
          <w:b/>
          <w:bCs/>
          <w:sz w:val="28"/>
          <w:szCs w:val="28"/>
        </w:rPr>
      </w:pPr>
    </w:p>
    <w:p w14:paraId="013A49D1" w14:textId="77777777" w:rsidR="00561B22" w:rsidRPr="002B699A" w:rsidRDefault="00561B22" w:rsidP="00561B22">
      <w:pPr>
        <w:jc w:val="both"/>
        <w:rPr>
          <w:rFonts w:ascii="Arial" w:hAnsi="Arial" w:cs="Arial"/>
          <w:b/>
          <w:bCs/>
          <w:sz w:val="24"/>
          <w:szCs w:val="24"/>
          <w:lang w:val="es-CO"/>
        </w:rPr>
      </w:pPr>
      <w:r w:rsidRPr="002B699A">
        <w:rPr>
          <w:rFonts w:ascii="Arial" w:hAnsi="Arial" w:cs="Arial"/>
          <w:b/>
          <w:bCs/>
          <w:sz w:val="24"/>
          <w:szCs w:val="24"/>
          <w:lang w:val="es-CO"/>
        </w:rPr>
        <w:t xml:space="preserve">NOTA: LA ENTIDAD ENVIA LA MATRIZ DE AUTOEVALUACIÓN DEL SISTEMA DE CONTROL INTERNO CONTABLE CON </w:t>
      </w:r>
      <w:r w:rsidRPr="002B699A">
        <w:rPr>
          <w:rFonts w:ascii="Arial" w:hAnsi="Arial" w:cs="Arial"/>
          <w:b/>
          <w:bCs/>
          <w:sz w:val="24"/>
          <w:szCs w:val="24"/>
          <w:u w:val="single"/>
          <w:lang w:val="es-CO"/>
        </w:rPr>
        <w:t>ACTIVIDADES DE CONTROL REALIZADAS EN FORMA PARCIAL</w:t>
      </w:r>
      <w:r w:rsidRPr="002B699A">
        <w:rPr>
          <w:rFonts w:ascii="Arial" w:hAnsi="Arial" w:cs="Arial"/>
          <w:b/>
          <w:bCs/>
          <w:sz w:val="24"/>
          <w:szCs w:val="24"/>
          <w:lang w:val="es-CO"/>
        </w:rPr>
        <w:t>.</w:t>
      </w:r>
    </w:p>
    <w:p w14:paraId="342E97C7" w14:textId="77777777" w:rsidR="00561B22" w:rsidRDefault="00561B22" w:rsidP="00561B22">
      <w:pPr>
        <w:jc w:val="both"/>
        <w:rPr>
          <w:rFonts w:ascii="Arial" w:hAnsi="Arial" w:cs="Arial"/>
          <w:b/>
          <w:bCs/>
          <w:lang w:val="es-CO"/>
        </w:rPr>
      </w:pPr>
    </w:p>
    <w:p w14:paraId="7A817C01" w14:textId="77777777" w:rsidR="00561B22" w:rsidRPr="002346E8" w:rsidRDefault="00561B22" w:rsidP="00561B22">
      <w:pPr>
        <w:ind w:right="-93"/>
        <w:jc w:val="both"/>
        <w:rPr>
          <w:rFonts w:ascii="Arial" w:hAnsi="Arial" w:cs="Arial"/>
          <w:b/>
          <w:sz w:val="28"/>
          <w:szCs w:val="28"/>
          <w:lang w:val="es-MX"/>
        </w:rPr>
      </w:pPr>
      <w:r w:rsidRPr="002346E8">
        <w:rPr>
          <w:rFonts w:ascii="Arial" w:hAnsi="Arial" w:cs="Arial"/>
          <w:b/>
          <w:sz w:val="28"/>
          <w:szCs w:val="28"/>
          <w:lang w:val="es-MX"/>
        </w:rPr>
        <w:t>304.- FONDO ROTATORIO DE LA REGISTRADURÍA NACIONAL DEL ESTADO CIVIL.</w:t>
      </w:r>
    </w:p>
    <w:p w14:paraId="547F23BB" w14:textId="77777777" w:rsidR="00561B22" w:rsidRDefault="00561B22" w:rsidP="00561B22">
      <w:pPr>
        <w:jc w:val="both"/>
        <w:rPr>
          <w:rFonts w:ascii="Arial" w:hAnsi="Arial" w:cs="Arial"/>
          <w:b/>
          <w:bCs/>
          <w:lang w:val="es-MX"/>
        </w:rPr>
      </w:pPr>
    </w:p>
    <w:p w14:paraId="2C8A9008" w14:textId="77777777" w:rsidR="00561B22" w:rsidRPr="00D10F93" w:rsidRDefault="00561B22" w:rsidP="00561B22">
      <w:pPr>
        <w:pStyle w:val="Textoindependiente"/>
        <w:jc w:val="center"/>
        <w:rPr>
          <w:rFonts w:ascii="Arial" w:hAnsi="Arial" w:cs="Arial"/>
          <w:b/>
          <w:bCs/>
        </w:rPr>
      </w:pPr>
      <w:r w:rsidRPr="00D10F93">
        <w:rPr>
          <w:rFonts w:ascii="Arial" w:hAnsi="Arial" w:cs="Arial"/>
          <w:b/>
          <w:bCs/>
        </w:rPr>
        <w:t>INFORME DE LA AUTOCALIFICACIÓN DEL SISTEMA DE CONTROL INTERNO CONTABLE:</w:t>
      </w:r>
    </w:p>
    <w:p w14:paraId="5AC4473D" w14:textId="77777777" w:rsidR="00561B22" w:rsidRPr="00D10F93"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D10F93" w14:paraId="37575923" w14:textId="77777777" w:rsidTr="00F1223B">
        <w:tc>
          <w:tcPr>
            <w:tcW w:w="4981" w:type="dxa"/>
          </w:tcPr>
          <w:p w14:paraId="36EDE22D"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AUTOCALIFICACIÓN</w:t>
            </w:r>
          </w:p>
        </w:tc>
        <w:tc>
          <w:tcPr>
            <w:tcW w:w="4981" w:type="dxa"/>
          </w:tcPr>
          <w:p w14:paraId="5F0AAB37" w14:textId="77777777" w:rsidR="00561B22" w:rsidRPr="00D10F93" w:rsidRDefault="00561B22" w:rsidP="00F1223B">
            <w:pPr>
              <w:jc w:val="center"/>
              <w:rPr>
                <w:rFonts w:ascii="Arial" w:hAnsi="Arial" w:cs="Arial"/>
                <w:b/>
                <w:sz w:val="22"/>
                <w:szCs w:val="22"/>
                <w:u w:val="single"/>
                <w:lang w:val="es-MX"/>
              </w:rPr>
            </w:pPr>
            <w:r w:rsidRPr="00D10F93">
              <w:rPr>
                <w:rFonts w:ascii="Arial" w:hAnsi="Arial" w:cs="Arial"/>
                <w:b/>
                <w:sz w:val="22"/>
                <w:szCs w:val="22"/>
                <w:u w:val="single"/>
                <w:lang w:val="es-MX"/>
              </w:rPr>
              <w:t>4.88</w:t>
            </w:r>
          </w:p>
        </w:tc>
      </w:tr>
    </w:tbl>
    <w:p w14:paraId="2D036CBB" w14:textId="77777777" w:rsidR="00561B22" w:rsidRPr="00D10F93" w:rsidRDefault="00561B22" w:rsidP="00561B22">
      <w:pPr>
        <w:pStyle w:val="Textoindependiente"/>
        <w:jc w:val="both"/>
        <w:rPr>
          <w:rFonts w:ascii="Arial" w:hAnsi="Arial" w:cs="Arial"/>
          <w:b/>
          <w:bCs/>
        </w:rPr>
      </w:pPr>
    </w:p>
    <w:p w14:paraId="776F13AD" w14:textId="77777777" w:rsidR="00561B22" w:rsidRPr="00D10F93" w:rsidRDefault="00561B22" w:rsidP="00561B22">
      <w:pPr>
        <w:pStyle w:val="Textoindependiente"/>
        <w:jc w:val="both"/>
        <w:rPr>
          <w:rFonts w:ascii="Arial" w:hAnsi="Arial" w:cs="Arial"/>
          <w:b/>
          <w:bCs/>
        </w:rPr>
      </w:pPr>
      <w:r w:rsidRPr="00D10F93">
        <w:rPr>
          <w:rFonts w:ascii="Arial" w:hAnsi="Arial" w:cs="Arial"/>
          <w:b/>
          <w:bCs/>
        </w:rPr>
        <w:t>Del informe enviado retomamos lo siguiente:</w:t>
      </w:r>
    </w:p>
    <w:p w14:paraId="7B52DA91" w14:textId="77777777" w:rsidR="00561B22" w:rsidRPr="00D10F93"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D10F93" w14:paraId="17ECE3B6" w14:textId="77777777" w:rsidTr="00F1223B">
        <w:tc>
          <w:tcPr>
            <w:tcW w:w="562" w:type="dxa"/>
          </w:tcPr>
          <w:p w14:paraId="3497DD4B"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lastRenderedPageBreak/>
              <w:t>N°</w:t>
            </w:r>
          </w:p>
        </w:tc>
        <w:tc>
          <w:tcPr>
            <w:tcW w:w="9400" w:type="dxa"/>
          </w:tcPr>
          <w:p w14:paraId="41116063"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DEBILIDADES</w:t>
            </w:r>
          </w:p>
          <w:p w14:paraId="52AB7D25" w14:textId="77777777" w:rsidR="00561B22" w:rsidRPr="00D10F93" w:rsidRDefault="00561B22" w:rsidP="00F1223B">
            <w:pPr>
              <w:jc w:val="center"/>
              <w:rPr>
                <w:rFonts w:ascii="Arial" w:hAnsi="Arial" w:cs="Arial"/>
                <w:b/>
                <w:sz w:val="22"/>
                <w:szCs w:val="22"/>
                <w:lang w:val="es-MX"/>
              </w:rPr>
            </w:pPr>
          </w:p>
        </w:tc>
      </w:tr>
      <w:tr w:rsidR="00561B22" w:rsidRPr="00D10F93" w14:paraId="045B2AF6" w14:textId="77777777" w:rsidTr="00F1223B">
        <w:tc>
          <w:tcPr>
            <w:tcW w:w="562" w:type="dxa"/>
          </w:tcPr>
          <w:p w14:paraId="75E88CD7"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1</w:t>
            </w:r>
          </w:p>
        </w:tc>
        <w:tc>
          <w:tcPr>
            <w:tcW w:w="9400" w:type="dxa"/>
          </w:tcPr>
          <w:p w14:paraId="756FF822" w14:textId="77777777" w:rsidR="00561B22" w:rsidRPr="00D10F93" w:rsidRDefault="00561B22" w:rsidP="00F1223B">
            <w:pPr>
              <w:jc w:val="both"/>
              <w:rPr>
                <w:rFonts w:ascii="Arial" w:hAnsi="Arial" w:cs="Arial"/>
                <w:bCs/>
                <w:sz w:val="22"/>
                <w:szCs w:val="22"/>
              </w:rPr>
            </w:pPr>
            <w:r w:rsidRPr="00D10F93">
              <w:rPr>
                <w:rFonts w:ascii="Arial" w:hAnsi="Arial" w:cs="Arial"/>
                <w:bCs/>
                <w:sz w:val="22"/>
                <w:szCs w:val="22"/>
              </w:rPr>
              <w:t>Realizada la evaluación a los principales factores, actividades y situaciones del Fondo Rotatorio de la RNEC acontecidos en el 2024, existe como limitación el hecho de encontrarse en proceso al momento de la verificación los Estados Financieros y sus Notas con corte a 31 de diciembre de 2024, vale la pena aclarar que se encuentran en términos para la transmisión a través del CHIP (28 de febrero de 2025).</w:t>
            </w:r>
          </w:p>
          <w:p w14:paraId="638F1D12" w14:textId="77777777" w:rsidR="00561B22" w:rsidRPr="00D10F93" w:rsidRDefault="00561B22" w:rsidP="00F1223B">
            <w:pPr>
              <w:jc w:val="both"/>
              <w:rPr>
                <w:rFonts w:ascii="Arial" w:hAnsi="Arial" w:cs="Arial"/>
                <w:bCs/>
                <w:sz w:val="22"/>
                <w:szCs w:val="22"/>
              </w:rPr>
            </w:pPr>
          </w:p>
        </w:tc>
      </w:tr>
      <w:tr w:rsidR="00561B22" w:rsidRPr="00D10F93" w14:paraId="7575A8E3" w14:textId="77777777" w:rsidTr="00F1223B">
        <w:tc>
          <w:tcPr>
            <w:tcW w:w="562" w:type="dxa"/>
          </w:tcPr>
          <w:p w14:paraId="388BD6AA"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2</w:t>
            </w:r>
          </w:p>
        </w:tc>
        <w:tc>
          <w:tcPr>
            <w:tcW w:w="9400" w:type="dxa"/>
          </w:tcPr>
          <w:p w14:paraId="67B7138B" w14:textId="77777777" w:rsidR="00561B22" w:rsidRPr="00D10F93" w:rsidRDefault="00561B22" w:rsidP="00F1223B">
            <w:pPr>
              <w:tabs>
                <w:tab w:val="left" w:pos="1740"/>
              </w:tabs>
              <w:jc w:val="both"/>
              <w:rPr>
                <w:rFonts w:ascii="Arial" w:hAnsi="Arial" w:cs="Arial"/>
                <w:bCs/>
                <w:sz w:val="22"/>
                <w:szCs w:val="22"/>
                <w:lang w:val="es-MX"/>
              </w:rPr>
            </w:pPr>
            <w:r w:rsidRPr="00D10F93">
              <w:rPr>
                <w:rFonts w:ascii="Arial" w:hAnsi="Arial" w:cs="Arial"/>
                <w:bCs/>
                <w:sz w:val="22"/>
                <w:szCs w:val="22"/>
                <w:lang w:val="es-MX"/>
              </w:rPr>
              <w:t>No se han efectuado los avalúos de los inmuebles y por ende los ajustes por valorización (No realizan Avalúos desde 2017, lo que genera incertidumbre en las cuentas de Propiedad, Planta y Equipo y por contrapartida en el patrimonio de la entidad. Así mismo se evidencia partidas pendientes por depurar en las cuentas de Propiedad, Planta y Equipo, igualmente en la cuenta de orden 930806001.</w:t>
            </w:r>
            <w:r w:rsidRPr="00D10F93">
              <w:rPr>
                <w:rFonts w:ascii="Arial" w:hAnsi="Arial" w:cs="Arial"/>
                <w:bCs/>
                <w:sz w:val="22"/>
                <w:szCs w:val="22"/>
                <w:lang w:val="es-MX"/>
              </w:rPr>
              <w:tab/>
            </w:r>
          </w:p>
        </w:tc>
      </w:tr>
    </w:tbl>
    <w:p w14:paraId="3DDD1429" w14:textId="77777777" w:rsidR="00561B22" w:rsidRPr="00D10F93" w:rsidRDefault="00561B22" w:rsidP="00561B22">
      <w:pPr>
        <w:pStyle w:val="Textoindependiente"/>
        <w:jc w:val="both"/>
        <w:rPr>
          <w:rFonts w:ascii="Arial" w:hAnsi="Arial" w:cs="Arial"/>
          <w:b/>
          <w:bCs/>
        </w:rPr>
      </w:pPr>
    </w:p>
    <w:p w14:paraId="655B40EF" w14:textId="77777777" w:rsidR="00561B22" w:rsidRPr="00D10F93" w:rsidRDefault="00561B22" w:rsidP="00561B22">
      <w:pPr>
        <w:jc w:val="both"/>
        <w:rPr>
          <w:rFonts w:ascii="Arial" w:hAnsi="Arial" w:cs="Arial"/>
          <w:b/>
          <w:lang w:val="es-MX"/>
        </w:rPr>
      </w:pPr>
      <w:r w:rsidRPr="00D10F93">
        <w:rPr>
          <w:rFonts w:ascii="Arial" w:hAnsi="Arial" w:cs="Arial"/>
          <w:b/>
          <w:lang w:val="es-MX"/>
        </w:rPr>
        <w:t>Del citado informe retomamos las siguientes recomendaciones:</w:t>
      </w:r>
    </w:p>
    <w:p w14:paraId="78D6FB12" w14:textId="77777777" w:rsidR="00561B22" w:rsidRPr="00D10F93"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D10F93" w14:paraId="7452F12F" w14:textId="77777777" w:rsidTr="00F1223B">
        <w:tc>
          <w:tcPr>
            <w:tcW w:w="562" w:type="dxa"/>
          </w:tcPr>
          <w:p w14:paraId="6A6AD11B"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N°</w:t>
            </w:r>
          </w:p>
        </w:tc>
        <w:tc>
          <w:tcPr>
            <w:tcW w:w="9400" w:type="dxa"/>
          </w:tcPr>
          <w:p w14:paraId="1EE4E47C"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RECOMENDACIONES</w:t>
            </w:r>
          </w:p>
          <w:p w14:paraId="4E1E1D32" w14:textId="77777777" w:rsidR="00561B22" w:rsidRPr="00D10F93" w:rsidRDefault="00561B22" w:rsidP="00F1223B">
            <w:pPr>
              <w:jc w:val="center"/>
              <w:rPr>
                <w:rFonts w:ascii="Arial" w:hAnsi="Arial" w:cs="Arial"/>
                <w:b/>
                <w:sz w:val="22"/>
                <w:szCs w:val="22"/>
                <w:lang w:val="es-MX"/>
              </w:rPr>
            </w:pPr>
          </w:p>
        </w:tc>
      </w:tr>
      <w:tr w:rsidR="00561B22" w:rsidRPr="00D10F93" w14:paraId="23D0D429" w14:textId="77777777" w:rsidTr="00F1223B">
        <w:tc>
          <w:tcPr>
            <w:tcW w:w="562" w:type="dxa"/>
          </w:tcPr>
          <w:p w14:paraId="2CFB991A"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1</w:t>
            </w:r>
          </w:p>
        </w:tc>
        <w:tc>
          <w:tcPr>
            <w:tcW w:w="9400" w:type="dxa"/>
          </w:tcPr>
          <w:p w14:paraId="4B2D4C31" w14:textId="77777777" w:rsidR="00561B22" w:rsidRPr="00D10F93" w:rsidRDefault="00561B22" w:rsidP="00F1223B">
            <w:pPr>
              <w:tabs>
                <w:tab w:val="left" w:pos="1980"/>
              </w:tabs>
              <w:jc w:val="both"/>
              <w:rPr>
                <w:rFonts w:ascii="Arial" w:hAnsi="Arial" w:cs="Arial"/>
                <w:bCs/>
                <w:sz w:val="22"/>
                <w:szCs w:val="22"/>
                <w:lang w:val="es-MX"/>
              </w:rPr>
            </w:pPr>
            <w:r w:rsidRPr="00D10F93">
              <w:rPr>
                <w:rFonts w:ascii="Arial" w:hAnsi="Arial" w:cs="Arial"/>
                <w:bCs/>
                <w:sz w:val="22"/>
                <w:szCs w:val="22"/>
                <w:lang w:val="es-MX"/>
              </w:rPr>
              <w:t>La conciliación de cuentas de Balance del FRR, relacionadas con PPYE, se debe realizar con los mismos parámetros de la RNEC.</w:t>
            </w:r>
            <w:r w:rsidRPr="00D10F93">
              <w:rPr>
                <w:rFonts w:ascii="Arial" w:hAnsi="Arial" w:cs="Arial"/>
                <w:bCs/>
                <w:sz w:val="22"/>
                <w:szCs w:val="22"/>
                <w:lang w:val="es-MX"/>
              </w:rPr>
              <w:tab/>
            </w:r>
          </w:p>
        </w:tc>
      </w:tr>
      <w:tr w:rsidR="00561B22" w:rsidRPr="00D10F93" w14:paraId="7704A171" w14:textId="77777777" w:rsidTr="00F1223B">
        <w:tc>
          <w:tcPr>
            <w:tcW w:w="562" w:type="dxa"/>
          </w:tcPr>
          <w:p w14:paraId="1D67F300"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2</w:t>
            </w:r>
          </w:p>
        </w:tc>
        <w:tc>
          <w:tcPr>
            <w:tcW w:w="9400" w:type="dxa"/>
          </w:tcPr>
          <w:p w14:paraId="37E21321" w14:textId="77777777" w:rsidR="00561B22" w:rsidRPr="00D10F93" w:rsidRDefault="00561B22" w:rsidP="00F1223B">
            <w:pPr>
              <w:jc w:val="both"/>
              <w:rPr>
                <w:rFonts w:ascii="Arial" w:hAnsi="Arial" w:cs="Arial"/>
                <w:bCs/>
                <w:sz w:val="22"/>
                <w:szCs w:val="22"/>
                <w:lang w:val="es-MX"/>
              </w:rPr>
            </w:pPr>
            <w:r w:rsidRPr="00D10F93">
              <w:rPr>
                <w:rFonts w:ascii="Arial" w:hAnsi="Arial" w:cs="Arial"/>
                <w:bCs/>
                <w:sz w:val="22"/>
                <w:szCs w:val="22"/>
                <w:lang w:val="es-MX"/>
              </w:rPr>
              <w:t>Priorizar las gestiones necesarias a fin de depurar las partidas de  la Propiedad, Planta y Equipo del  FRRNEC las cuales deben ser aprobadas en las sesiones de Comité Técnico de Sostenibilidad Contable a fin de presentar información que refleje la realidad económica del FRRNEC, así como los avalúos de los inmuebles y por ende los ajustes por valorización  lo que genera incertidumbre en las cuentas de propiedad planta y equipo y por contrapartida en el patrimonio de la entidad, como también las cuentas de orden 891518001 y 930806001 que son representativas.</w:t>
            </w:r>
          </w:p>
        </w:tc>
      </w:tr>
      <w:tr w:rsidR="00561B22" w:rsidRPr="00D10F93" w14:paraId="2C936A71" w14:textId="77777777" w:rsidTr="00F1223B">
        <w:tc>
          <w:tcPr>
            <w:tcW w:w="562" w:type="dxa"/>
          </w:tcPr>
          <w:p w14:paraId="07B25EB2"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3</w:t>
            </w:r>
          </w:p>
        </w:tc>
        <w:tc>
          <w:tcPr>
            <w:tcW w:w="9400" w:type="dxa"/>
          </w:tcPr>
          <w:p w14:paraId="60E782D7" w14:textId="77777777" w:rsidR="00561B22" w:rsidRPr="00D10F93" w:rsidRDefault="00561B22" w:rsidP="00F1223B">
            <w:pPr>
              <w:jc w:val="both"/>
              <w:rPr>
                <w:rFonts w:ascii="Arial" w:hAnsi="Arial" w:cs="Arial"/>
                <w:bCs/>
                <w:sz w:val="22"/>
                <w:szCs w:val="22"/>
                <w:lang w:val="es-MX"/>
              </w:rPr>
            </w:pPr>
            <w:r w:rsidRPr="00D10F93">
              <w:rPr>
                <w:rFonts w:ascii="Arial" w:hAnsi="Arial" w:cs="Arial"/>
                <w:bCs/>
                <w:sz w:val="22"/>
                <w:szCs w:val="22"/>
                <w:lang w:val="es-MX"/>
              </w:rPr>
              <w:t>Agilizar la socialización del Manual de Políticas Contables.</w:t>
            </w:r>
          </w:p>
        </w:tc>
      </w:tr>
      <w:tr w:rsidR="00561B22" w:rsidRPr="00D10F93" w14:paraId="772C49D9" w14:textId="77777777" w:rsidTr="00F1223B">
        <w:tc>
          <w:tcPr>
            <w:tcW w:w="562" w:type="dxa"/>
          </w:tcPr>
          <w:p w14:paraId="2E673FF4" w14:textId="77777777" w:rsidR="00561B22" w:rsidRPr="00D10F93" w:rsidRDefault="00561B22" w:rsidP="00F1223B">
            <w:pPr>
              <w:jc w:val="center"/>
              <w:rPr>
                <w:rFonts w:ascii="Arial" w:hAnsi="Arial" w:cs="Arial"/>
                <w:b/>
                <w:sz w:val="22"/>
                <w:szCs w:val="22"/>
                <w:lang w:val="es-MX"/>
              </w:rPr>
            </w:pPr>
            <w:r w:rsidRPr="00D10F93">
              <w:rPr>
                <w:rFonts w:ascii="Arial" w:hAnsi="Arial" w:cs="Arial"/>
                <w:b/>
                <w:sz w:val="22"/>
                <w:szCs w:val="22"/>
                <w:lang w:val="es-MX"/>
              </w:rPr>
              <w:t>4</w:t>
            </w:r>
          </w:p>
        </w:tc>
        <w:tc>
          <w:tcPr>
            <w:tcW w:w="9400" w:type="dxa"/>
          </w:tcPr>
          <w:p w14:paraId="4A0D3162" w14:textId="77777777" w:rsidR="00561B22" w:rsidRPr="00D10F93" w:rsidRDefault="00561B22" w:rsidP="00F1223B">
            <w:pPr>
              <w:jc w:val="both"/>
              <w:rPr>
                <w:rFonts w:ascii="Arial" w:hAnsi="Arial" w:cs="Arial"/>
                <w:bCs/>
                <w:sz w:val="22"/>
                <w:szCs w:val="22"/>
                <w:lang w:val="es-MX"/>
              </w:rPr>
            </w:pPr>
            <w:r w:rsidRPr="00D10F93">
              <w:rPr>
                <w:rFonts w:ascii="Arial" w:hAnsi="Arial" w:cs="Arial"/>
                <w:bCs/>
                <w:sz w:val="22"/>
                <w:szCs w:val="22"/>
                <w:lang w:val="es-MX"/>
              </w:rPr>
              <w:t>Continuar con la socialización permanente de las políticas contables, procesos, procedimientos, formas, formatos, guías, flujos de información, del proceso de la información financiera, con todos los responsables del proceso contable, en donde se garantice que toda la entidad conozca, comprendan y aplique, las prácticas, formas y actividades contables, siendo esta una herramienta para la preparación y preparación de la información financiera, acorde con la normatividad.</w:t>
            </w:r>
          </w:p>
        </w:tc>
      </w:tr>
    </w:tbl>
    <w:p w14:paraId="791A1472" w14:textId="77777777" w:rsidR="00561B22" w:rsidRPr="00D10F93" w:rsidRDefault="00561B22" w:rsidP="00561B22">
      <w:pPr>
        <w:pStyle w:val="Textoindependiente"/>
        <w:jc w:val="both"/>
        <w:rPr>
          <w:rFonts w:ascii="Arial" w:hAnsi="Arial" w:cs="Arial"/>
          <w:b/>
          <w:bCs/>
        </w:rPr>
      </w:pPr>
    </w:p>
    <w:p w14:paraId="788F5B1D" w14:textId="77777777" w:rsidR="00561B22" w:rsidRPr="00D10F93" w:rsidRDefault="00561B22" w:rsidP="00561B22">
      <w:pPr>
        <w:jc w:val="both"/>
        <w:rPr>
          <w:rFonts w:ascii="Arial" w:hAnsi="Arial" w:cs="Arial"/>
          <w:b/>
          <w:bCs/>
          <w:sz w:val="24"/>
          <w:szCs w:val="24"/>
          <w:lang w:val="es-CO"/>
        </w:rPr>
      </w:pPr>
      <w:r w:rsidRPr="00D10F93">
        <w:rPr>
          <w:rFonts w:ascii="Arial" w:hAnsi="Arial" w:cs="Arial"/>
          <w:b/>
          <w:bCs/>
          <w:sz w:val="24"/>
          <w:szCs w:val="24"/>
          <w:lang w:val="es-CO"/>
        </w:rPr>
        <w:t xml:space="preserve">NOTA: LA ENTIDAD ENVIA LA MATRIZ DE AUTOEVALUACIÓN DEL SISTEMA DE CONTROL INTERNO CONTABLE CON </w:t>
      </w:r>
      <w:r w:rsidRPr="00D10F93">
        <w:rPr>
          <w:rFonts w:ascii="Arial" w:hAnsi="Arial" w:cs="Arial"/>
          <w:b/>
          <w:bCs/>
          <w:sz w:val="24"/>
          <w:szCs w:val="24"/>
          <w:u w:val="single"/>
          <w:lang w:val="es-CO"/>
        </w:rPr>
        <w:t>ACTIVIDADES DE CONTROL REALIZADAS EN FORMA PARCIAL</w:t>
      </w:r>
      <w:r w:rsidRPr="00D10F93">
        <w:rPr>
          <w:rFonts w:ascii="Arial" w:hAnsi="Arial" w:cs="Arial"/>
          <w:b/>
          <w:bCs/>
          <w:sz w:val="24"/>
          <w:szCs w:val="24"/>
          <w:lang w:val="es-CO"/>
        </w:rPr>
        <w:t>.</w:t>
      </w:r>
    </w:p>
    <w:p w14:paraId="2EA7518F" w14:textId="77777777" w:rsidR="00561B22" w:rsidRPr="00D10F93" w:rsidRDefault="00561B22" w:rsidP="00561B22">
      <w:pPr>
        <w:jc w:val="both"/>
        <w:rPr>
          <w:rFonts w:ascii="Arial" w:hAnsi="Arial" w:cs="Arial"/>
          <w:b/>
          <w:bCs/>
          <w:sz w:val="24"/>
          <w:szCs w:val="24"/>
          <w:lang w:val="es-CO"/>
        </w:rPr>
      </w:pPr>
    </w:p>
    <w:p w14:paraId="63F0B5AF" w14:textId="77777777" w:rsidR="00561B22" w:rsidRPr="00B215A2" w:rsidRDefault="00561B22" w:rsidP="00561B22">
      <w:pPr>
        <w:ind w:right="49"/>
        <w:jc w:val="both"/>
        <w:rPr>
          <w:rFonts w:ascii="Arial" w:eastAsia="Calibri" w:hAnsi="Arial" w:cs="Arial"/>
          <w:b/>
          <w:sz w:val="28"/>
          <w:szCs w:val="28"/>
          <w:lang w:val="es-MX"/>
        </w:rPr>
      </w:pPr>
      <w:r w:rsidRPr="00B215A2">
        <w:rPr>
          <w:rFonts w:ascii="Arial" w:hAnsi="Arial" w:cs="Arial"/>
          <w:b/>
          <w:sz w:val="28"/>
          <w:szCs w:val="28"/>
          <w:lang w:val="es-MX"/>
        </w:rPr>
        <w:t xml:space="preserve">305.- </w:t>
      </w:r>
      <w:r w:rsidRPr="00B215A2">
        <w:rPr>
          <w:rFonts w:ascii="Arial" w:eastAsia="Calibri" w:hAnsi="Arial" w:cs="Arial"/>
          <w:b/>
          <w:sz w:val="28"/>
          <w:szCs w:val="28"/>
          <w:lang w:val="es-MX"/>
        </w:rPr>
        <w:t>FONDO SOCIAL DE VIVIENDA - REGISTRADURÍA NACIONAL DEL ESTADO CIVIL.</w:t>
      </w:r>
    </w:p>
    <w:p w14:paraId="2476F981" w14:textId="77777777" w:rsidR="00561B22" w:rsidRDefault="00561B22" w:rsidP="00561B22">
      <w:pPr>
        <w:jc w:val="both"/>
        <w:rPr>
          <w:rFonts w:ascii="Arial" w:hAnsi="Arial" w:cs="Arial"/>
          <w:b/>
          <w:bCs/>
          <w:lang w:val="es-MX"/>
        </w:rPr>
      </w:pPr>
    </w:p>
    <w:p w14:paraId="034E982B" w14:textId="77777777" w:rsidR="00561B22" w:rsidRPr="00E67EE6" w:rsidRDefault="00561B22" w:rsidP="00561B22">
      <w:pPr>
        <w:pStyle w:val="Textoindependiente"/>
        <w:jc w:val="center"/>
        <w:rPr>
          <w:rFonts w:ascii="Arial" w:hAnsi="Arial" w:cs="Arial"/>
          <w:b/>
          <w:bCs/>
        </w:rPr>
      </w:pPr>
      <w:r w:rsidRPr="00E67EE6">
        <w:rPr>
          <w:rFonts w:ascii="Arial" w:hAnsi="Arial" w:cs="Arial"/>
          <w:b/>
          <w:bCs/>
        </w:rPr>
        <w:t>INFORME DE LA AUTOCALIFICACIÓN DEL SISTEMA DE CONTROL INTERNO CONTABLE:</w:t>
      </w:r>
    </w:p>
    <w:p w14:paraId="793055FA" w14:textId="77777777" w:rsidR="00561B22" w:rsidRPr="00E67EE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67EE6" w14:paraId="2E964A20" w14:textId="77777777" w:rsidTr="00F1223B">
        <w:tc>
          <w:tcPr>
            <w:tcW w:w="4981" w:type="dxa"/>
          </w:tcPr>
          <w:p w14:paraId="4E5F460B"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AUTOCALIFICACIÓN</w:t>
            </w:r>
          </w:p>
        </w:tc>
        <w:tc>
          <w:tcPr>
            <w:tcW w:w="4981" w:type="dxa"/>
          </w:tcPr>
          <w:p w14:paraId="380EE5E5" w14:textId="77777777" w:rsidR="00561B22" w:rsidRPr="00E67EE6" w:rsidRDefault="00561B22" w:rsidP="00F1223B">
            <w:pPr>
              <w:jc w:val="center"/>
              <w:rPr>
                <w:rFonts w:ascii="Arial" w:hAnsi="Arial" w:cs="Arial"/>
                <w:b/>
                <w:sz w:val="22"/>
                <w:szCs w:val="22"/>
                <w:u w:val="single"/>
                <w:lang w:val="es-MX"/>
              </w:rPr>
            </w:pPr>
            <w:r w:rsidRPr="00E67EE6">
              <w:rPr>
                <w:rFonts w:ascii="Arial" w:hAnsi="Arial" w:cs="Arial"/>
                <w:b/>
                <w:sz w:val="22"/>
                <w:szCs w:val="22"/>
                <w:u w:val="single"/>
                <w:lang w:val="es-MX"/>
              </w:rPr>
              <w:t>4.82</w:t>
            </w:r>
          </w:p>
        </w:tc>
      </w:tr>
    </w:tbl>
    <w:p w14:paraId="56A66F7C" w14:textId="77777777" w:rsidR="00561B22" w:rsidRPr="00E67EE6" w:rsidRDefault="00561B22" w:rsidP="00561B22">
      <w:pPr>
        <w:pStyle w:val="Textoindependiente"/>
        <w:jc w:val="both"/>
        <w:rPr>
          <w:rFonts w:ascii="Arial" w:hAnsi="Arial" w:cs="Arial"/>
          <w:b/>
          <w:bCs/>
        </w:rPr>
      </w:pPr>
    </w:p>
    <w:p w14:paraId="4A0FDB49" w14:textId="77777777" w:rsidR="00561B22" w:rsidRPr="00E67EE6" w:rsidRDefault="00561B22" w:rsidP="00561B22">
      <w:pPr>
        <w:pStyle w:val="Textoindependiente"/>
        <w:jc w:val="both"/>
        <w:rPr>
          <w:rFonts w:ascii="Arial" w:hAnsi="Arial" w:cs="Arial"/>
          <w:b/>
          <w:bCs/>
        </w:rPr>
      </w:pPr>
      <w:r w:rsidRPr="00E67EE6">
        <w:rPr>
          <w:rFonts w:ascii="Arial" w:hAnsi="Arial" w:cs="Arial"/>
          <w:b/>
          <w:bCs/>
        </w:rPr>
        <w:t>Del informe enviado retomamos lo siguiente:</w:t>
      </w:r>
    </w:p>
    <w:p w14:paraId="5D5C674B" w14:textId="77777777" w:rsidR="00561B22" w:rsidRPr="00E67EE6"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67EE6" w14:paraId="2B11201D" w14:textId="77777777" w:rsidTr="00F1223B">
        <w:tc>
          <w:tcPr>
            <w:tcW w:w="562" w:type="dxa"/>
          </w:tcPr>
          <w:p w14:paraId="3CF3980A"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N°</w:t>
            </w:r>
          </w:p>
        </w:tc>
        <w:tc>
          <w:tcPr>
            <w:tcW w:w="9400" w:type="dxa"/>
          </w:tcPr>
          <w:p w14:paraId="681C91C5"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DEBILIDADES</w:t>
            </w:r>
          </w:p>
        </w:tc>
      </w:tr>
      <w:tr w:rsidR="00561B22" w:rsidRPr="00E67EE6" w14:paraId="757A89A6" w14:textId="77777777" w:rsidTr="00F1223B">
        <w:tc>
          <w:tcPr>
            <w:tcW w:w="562" w:type="dxa"/>
          </w:tcPr>
          <w:p w14:paraId="4B09C171"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1</w:t>
            </w:r>
          </w:p>
        </w:tc>
        <w:tc>
          <w:tcPr>
            <w:tcW w:w="9400" w:type="dxa"/>
          </w:tcPr>
          <w:p w14:paraId="504EDBC6" w14:textId="77777777" w:rsidR="00561B22" w:rsidRPr="00E67EE6" w:rsidRDefault="00561B22" w:rsidP="00F1223B">
            <w:pPr>
              <w:widowControl/>
              <w:autoSpaceDE/>
              <w:autoSpaceDN/>
              <w:jc w:val="both"/>
              <w:rPr>
                <w:rFonts w:ascii="Arial" w:eastAsia="Times New Roman" w:hAnsi="Arial" w:cs="Arial"/>
                <w:sz w:val="22"/>
                <w:szCs w:val="22"/>
                <w:lang w:eastAsia="es-ES"/>
              </w:rPr>
            </w:pPr>
            <w:r w:rsidRPr="00E67EE6">
              <w:rPr>
                <w:rFonts w:ascii="Arial" w:eastAsia="Times New Roman" w:hAnsi="Arial" w:cs="Arial"/>
                <w:sz w:val="22"/>
                <w:szCs w:val="22"/>
                <w:lang w:eastAsia="es-ES"/>
              </w:rPr>
              <w:t xml:space="preserve">Realizada la evaluación a los principales factores, actividades y situaciones del Fondo Social de Vivienda de la Registraduría Nacional del Estado Civil acontecidos en el 2024, se puede </w:t>
            </w:r>
            <w:r w:rsidRPr="00E67EE6">
              <w:rPr>
                <w:rFonts w:ascii="Arial" w:eastAsia="Times New Roman" w:hAnsi="Arial" w:cs="Arial"/>
                <w:sz w:val="22"/>
                <w:szCs w:val="22"/>
                <w:lang w:eastAsia="es-ES"/>
              </w:rPr>
              <w:lastRenderedPageBreak/>
              <w:t>considerar como una limitación el hecho de que al momento de esta verificación se encontrará en proceso la elaboración de los estados financieros y sus notas con corte a 31 de diciembre de 2024, vale la pena aclarar que se encuentran dentro de los términos toda vez que la fecha límite para transmitir es el 28 de febrero de los corrientes.</w:t>
            </w:r>
          </w:p>
          <w:p w14:paraId="7C521EF5" w14:textId="77777777" w:rsidR="00561B22" w:rsidRPr="00E67EE6" w:rsidRDefault="00561B22" w:rsidP="00F1223B">
            <w:pPr>
              <w:widowControl/>
              <w:autoSpaceDE/>
              <w:autoSpaceDN/>
              <w:jc w:val="both"/>
              <w:rPr>
                <w:rFonts w:ascii="Arial" w:eastAsia="Times New Roman" w:hAnsi="Arial" w:cs="Arial"/>
                <w:sz w:val="22"/>
                <w:szCs w:val="22"/>
                <w:lang w:eastAsia="es-ES"/>
              </w:rPr>
            </w:pPr>
          </w:p>
        </w:tc>
      </w:tr>
      <w:tr w:rsidR="00561B22" w:rsidRPr="00E67EE6" w14:paraId="4AB550E7" w14:textId="77777777" w:rsidTr="00F1223B">
        <w:tc>
          <w:tcPr>
            <w:tcW w:w="562" w:type="dxa"/>
          </w:tcPr>
          <w:p w14:paraId="78FF8DD4"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lastRenderedPageBreak/>
              <w:t>2</w:t>
            </w:r>
          </w:p>
        </w:tc>
        <w:tc>
          <w:tcPr>
            <w:tcW w:w="9400" w:type="dxa"/>
          </w:tcPr>
          <w:p w14:paraId="7EF0E6D6" w14:textId="77777777" w:rsidR="00561B22" w:rsidRPr="00E67EE6" w:rsidRDefault="00561B22" w:rsidP="00F1223B">
            <w:pPr>
              <w:widowControl/>
              <w:autoSpaceDE/>
              <w:autoSpaceDN/>
              <w:jc w:val="both"/>
              <w:rPr>
                <w:rFonts w:ascii="Arial" w:eastAsia="Times New Roman" w:hAnsi="Arial" w:cs="Arial"/>
                <w:sz w:val="22"/>
                <w:szCs w:val="22"/>
                <w:lang w:eastAsia="es-ES"/>
              </w:rPr>
            </w:pPr>
            <w:r w:rsidRPr="00E67EE6">
              <w:rPr>
                <w:rFonts w:ascii="Arial" w:eastAsia="Times New Roman" w:hAnsi="Arial" w:cs="Arial"/>
                <w:sz w:val="22"/>
                <w:szCs w:val="22"/>
                <w:lang w:eastAsia="es-ES"/>
              </w:rPr>
              <w:t>El Fondo Social de Vivienda deberá fortalecer los procesos necesarios para la adecuada administración del sistema contable y las acciones tendientes a determinar la forma como circula la información, observando su conveniencia y eficiencia, así como su contribución a la neutralización o mitigación de los riesgos relacionados con la oportunidad de la información y su coherencia.</w:t>
            </w:r>
          </w:p>
          <w:p w14:paraId="7AD4A470" w14:textId="77777777" w:rsidR="00561B22" w:rsidRPr="00E67EE6" w:rsidRDefault="00561B22" w:rsidP="00F1223B">
            <w:pPr>
              <w:widowControl/>
              <w:autoSpaceDE/>
              <w:autoSpaceDN/>
              <w:jc w:val="both"/>
              <w:rPr>
                <w:rFonts w:ascii="Arial" w:hAnsi="Arial" w:cs="Arial"/>
                <w:b/>
                <w:sz w:val="22"/>
                <w:szCs w:val="22"/>
              </w:rPr>
            </w:pPr>
          </w:p>
        </w:tc>
      </w:tr>
    </w:tbl>
    <w:p w14:paraId="28ED7D45" w14:textId="77777777" w:rsidR="00561B22" w:rsidRPr="00E67EE6" w:rsidRDefault="00561B22" w:rsidP="00561B22">
      <w:pPr>
        <w:pStyle w:val="Textoindependiente"/>
        <w:jc w:val="both"/>
        <w:rPr>
          <w:rFonts w:ascii="Arial" w:hAnsi="Arial" w:cs="Arial"/>
          <w:b/>
          <w:bCs/>
        </w:rPr>
      </w:pPr>
    </w:p>
    <w:p w14:paraId="39EB8141" w14:textId="77777777" w:rsidR="00561B22" w:rsidRPr="00E67EE6" w:rsidRDefault="00561B22" w:rsidP="00561B22">
      <w:pPr>
        <w:jc w:val="both"/>
        <w:rPr>
          <w:rFonts w:ascii="Arial" w:hAnsi="Arial" w:cs="Arial"/>
          <w:b/>
          <w:lang w:val="es-MX"/>
        </w:rPr>
      </w:pPr>
      <w:r w:rsidRPr="00E67EE6">
        <w:rPr>
          <w:rFonts w:ascii="Arial" w:hAnsi="Arial" w:cs="Arial"/>
          <w:b/>
          <w:lang w:val="es-MX"/>
        </w:rPr>
        <w:t>Del citado informe retomamos las siguientes recomendaciones:</w:t>
      </w:r>
    </w:p>
    <w:p w14:paraId="1ACA7581" w14:textId="77777777" w:rsidR="00561B22" w:rsidRPr="00E67EE6"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E67EE6" w14:paraId="79C3D490" w14:textId="77777777" w:rsidTr="00F1223B">
        <w:tc>
          <w:tcPr>
            <w:tcW w:w="562" w:type="dxa"/>
          </w:tcPr>
          <w:p w14:paraId="640A9600"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N°</w:t>
            </w:r>
          </w:p>
        </w:tc>
        <w:tc>
          <w:tcPr>
            <w:tcW w:w="9400" w:type="dxa"/>
          </w:tcPr>
          <w:p w14:paraId="05296A6D"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RECOMENDACIONES</w:t>
            </w:r>
          </w:p>
          <w:p w14:paraId="20E484B5" w14:textId="77777777" w:rsidR="00561B22" w:rsidRPr="00E67EE6" w:rsidRDefault="00561B22" w:rsidP="00F1223B">
            <w:pPr>
              <w:jc w:val="center"/>
              <w:rPr>
                <w:rFonts w:ascii="Arial" w:hAnsi="Arial" w:cs="Arial"/>
                <w:b/>
                <w:sz w:val="22"/>
                <w:szCs w:val="22"/>
                <w:lang w:val="es-MX"/>
              </w:rPr>
            </w:pPr>
          </w:p>
        </w:tc>
      </w:tr>
      <w:tr w:rsidR="00561B22" w:rsidRPr="00E67EE6" w14:paraId="6F56FBD8" w14:textId="77777777" w:rsidTr="00F1223B">
        <w:tc>
          <w:tcPr>
            <w:tcW w:w="562" w:type="dxa"/>
          </w:tcPr>
          <w:p w14:paraId="68BE9D15"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1</w:t>
            </w:r>
          </w:p>
        </w:tc>
        <w:tc>
          <w:tcPr>
            <w:tcW w:w="9400" w:type="dxa"/>
          </w:tcPr>
          <w:p w14:paraId="739D29BC" w14:textId="77777777" w:rsidR="00561B22" w:rsidRPr="00E67EE6" w:rsidRDefault="00561B22" w:rsidP="00F1223B">
            <w:pPr>
              <w:widowControl/>
              <w:autoSpaceDE/>
              <w:autoSpaceDN/>
              <w:ind w:right="23"/>
              <w:jc w:val="both"/>
              <w:rPr>
                <w:rFonts w:ascii="Arial" w:hAnsi="Arial" w:cs="Arial"/>
                <w:b/>
                <w:sz w:val="22"/>
                <w:szCs w:val="22"/>
              </w:rPr>
            </w:pPr>
            <w:r w:rsidRPr="00E67EE6">
              <w:rPr>
                <w:rFonts w:ascii="Arial" w:eastAsia="Times New Roman" w:hAnsi="Arial" w:cs="Arial"/>
                <w:sz w:val="22"/>
                <w:szCs w:val="22"/>
                <w:lang w:eastAsia="es-ES"/>
              </w:rPr>
              <w:t>Adoptar política, procedimiento, guía, lineamiento o instrumento de depuración contable permanente y de sostenibilidad de la calidad de la información, en especial con la cartera por cobrar de difícil recaudo o incobrable y las consignaciones sin identificar el tercero luego de transcurrido determinado tiempo, al igual que saldos en varias vigencias a favor de beneficiarios.</w:t>
            </w:r>
          </w:p>
        </w:tc>
      </w:tr>
      <w:tr w:rsidR="00561B22" w:rsidRPr="00E67EE6" w14:paraId="1875BC3B" w14:textId="77777777" w:rsidTr="00F1223B">
        <w:tc>
          <w:tcPr>
            <w:tcW w:w="562" w:type="dxa"/>
          </w:tcPr>
          <w:p w14:paraId="770872B2"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2</w:t>
            </w:r>
          </w:p>
        </w:tc>
        <w:tc>
          <w:tcPr>
            <w:tcW w:w="9400" w:type="dxa"/>
          </w:tcPr>
          <w:p w14:paraId="1A24FFCB" w14:textId="77777777" w:rsidR="00561B22" w:rsidRPr="00E67EE6" w:rsidRDefault="00561B22" w:rsidP="00F1223B">
            <w:pPr>
              <w:widowControl/>
              <w:autoSpaceDE/>
              <w:autoSpaceDN/>
              <w:ind w:right="23"/>
              <w:jc w:val="both"/>
              <w:rPr>
                <w:rFonts w:ascii="Arial" w:hAnsi="Arial" w:cs="Arial"/>
                <w:b/>
                <w:sz w:val="22"/>
                <w:szCs w:val="22"/>
              </w:rPr>
            </w:pPr>
            <w:r w:rsidRPr="00E67EE6">
              <w:rPr>
                <w:rFonts w:ascii="Arial" w:eastAsia="Times New Roman" w:hAnsi="Arial" w:cs="Arial"/>
                <w:sz w:val="22"/>
                <w:szCs w:val="22"/>
                <w:lang w:eastAsia="es-ES"/>
              </w:rPr>
              <w:t>Implementar indicadores de liquidez, solvencia o de rentabilidad, como herramienta de medición que permita combinar entre sí los elementos de información que se reflejan en los estados financieros a fin de posibilitar diagnósticos precisos de la situación financiera del FSV.</w:t>
            </w:r>
          </w:p>
        </w:tc>
      </w:tr>
      <w:tr w:rsidR="00561B22" w:rsidRPr="00E67EE6" w14:paraId="09587E92" w14:textId="77777777" w:rsidTr="00F1223B">
        <w:tc>
          <w:tcPr>
            <w:tcW w:w="562" w:type="dxa"/>
          </w:tcPr>
          <w:p w14:paraId="77C2E0B9"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3</w:t>
            </w:r>
          </w:p>
        </w:tc>
        <w:tc>
          <w:tcPr>
            <w:tcW w:w="9400" w:type="dxa"/>
          </w:tcPr>
          <w:p w14:paraId="0A340961" w14:textId="77777777" w:rsidR="00561B22" w:rsidRPr="00E67EE6" w:rsidRDefault="00561B22" w:rsidP="00F1223B">
            <w:pPr>
              <w:jc w:val="both"/>
              <w:rPr>
                <w:rFonts w:ascii="Arial" w:hAnsi="Arial" w:cs="Arial"/>
                <w:b/>
                <w:sz w:val="22"/>
                <w:szCs w:val="22"/>
                <w:lang w:val="es-MX"/>
              </w:rPr>
            </w:pPr>
            <w:r w:rsidRPr="00E67EE6">
              <w:rPr>
                <w:rFonts w:ascii="Arial" w:eastAsia="Times New Roman" w:hAnsi="Arial" w:cs="Arial"/>
                <w:sz w:val="22"/>
                <w:szCs w:val="22"/>
                <w:lang w:eastAsia="es-ES"/>
              </w:rPr>
              <w:t>Establecer Compromisos que orientan el accionar administrativo de la entidad en términos de información contable.</w:t>
            </w:r>
          </w:p>
        </w:tc>
      </w:tr>
      <w:tr w:rsidR="00561B22" w:rsidRPr="00E67EE6" w14:paraId="1D8E93A9" w14:textId="77777777" w:rsidTr="00F1223B">
        <w:tc>
          <w:tcPr>
            <w:tcW w:w="562" w:type="dxa"/>
          </w:tcPr>
          <w:p w14:paraId="22FC6096"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4</w:t>
            </w:r>
          </w:p>
        </w:tc>
        <w:tc>
          <w:tcPr>
            <w:tcW w:w="9400" w:type="dxa"/>
          </w:tcPr>
          <w:p w14:paraId="47122126" w14:textId="77777777" w:rsidR="00561B22" w:rsidRPr="00E67EE6" w:rsidRDefault="00561B22" w:rsidP="00F1223B">
            <w:pPr>
              <w:widowControl/>
              <w:autoSpaceDE/>
              <w:autoSpaceDN/>
              <w:ind w:right="23"/>
              <w:jc w:val="both"/>
              <w:rPr>
                <w:rFonts w:ascii="Arial" w:eastAsia="Times New Roman" w:hAnsi="Arial" w:cs="Arial"/>
                <w:sz w:val="22"/>
                <w:szCs w:val="22"/>
                <w:lang w:eastAsia="es-ES"/>
              </w:rPr>
            </w:pPr>
            <w:r w:rsidRPr="00E67EE6">
              <w:rPr>
                <w:rFonts w:ascii="Arial" w:eastAsia="Times New Roman" w:hAnsi="Arial" w:cs="Arial"/>
                <w:sz w:val="22"/>
                <w:szCs w:val="22"/>
                <w:lang w:eastAsia="es-ES"/>
              </w:rPr>
              <w:t>Agilizar la actualización del manual de Políticas Contables del FSV.</w:t>
            </w:r>
          </w:p>
        </w:tc>
      </w:tr>
      <w:tr w:rsidR="00561B22" w:rsidRPr="00E67EE6" w14:paraId="0587DCA3" w14:textId="77777777" w:rsidTr="00F1223B">
        <w:tc>
          <w:tcPr>
            <w:tcW w:w="562" w:type="dxa"/>
          </w:tcPr>
          <w:p w14:paraId="01C3809B" w14:textId="77777777" w:rsidR="00561B22" w:rsidRPr="00E67EE6" w:rsidRDefault="00561B22" w:rsidP="00F1223B">
            <w:pPr>
              <w:jc w:val="center"/>
              <w:rPr>
                <w:rFonts w:ascii="Arial" w:hAnsi="Arial" w:cs="Arial"/>
                <w:b/>
                <w:sz w:val="22"/>
                <w:szCs w:val="22"/>
                <w:lang w:val="es-MX"/>
              </w:rPr>
            </w:pPr>
            <w:r w:rsidRPr="00E67EE6">
              <w:rPr>
                <w:rFonts w:ascii="Arial" w:hAnsi="Arial" w:cs="Arial"/>
                <w:b/>
                <w:sz w:val="22"/>
                <w:szCs w:val="22"/>
                <w:lang w:val="es-MX"/>
              </w:rPr>
              <w:t>5</w:t>
            </w:r>
          </w:p>
        </w:tc>
        <w:tc>
          <w:tcPr>
            <w:tcW w:w="9400" w:type="dxa"/>
          </w:tcPr>
          <w:p w14:paraId="4429755A" w14:textId="77777777" w:rsidR="00561B22" w:rsidRPr="00E67EE6" w:rsidRDefault="00561B22" w:rsidP="00F1223B">
            <w:pPr>
              <w:widowControl/>
              <w:autoSpaceDE/>
              <w:autoSpaceDN/>
              <w:ind w:right="23"/>
              <w:jc w:val="both"/>
              <w:rPr>
                <w:rFonts w:ascii="Arial" w:eastAsia="Times New Roman" w:hAnsi="Arial" w:cs="Arial"/>
                <w:sz w:val="22"/>
                <w:szCs w:val="22"/>
                <w:lang w:eastAsia="es-ES"/>
              </w:rPr>
            </w:pPr>
            <w:r w:rsidRPr="00E67EE6">
              <w:rPr>
                <w:rFonts w:ascii="Arial" w:eastAsia="Times New Roman" w:hAnsi="Arial" w:cs="Arial"/>
                <w:sz w:val="22"/>
                <w:szCs w:val="22"/>
                <w:lang w:eastAsia="es-ES"/>
              </w:rPr>
              <w:t>Depurar cuentas 249040001 y 1480 por cuanto todas las partidas deben ser conciliadas.</w:t>
            </w:r>
          </w:p>
        </w:tc>
      </w:tr>
    </w:tbl>
    <w:p w14:paraId="482802A6" w14:textId="77777777" w:rsidR="00561B22" w:rsidRPr="00E67EE6" w:rsidRDefault="00561B22" w:rsidP="00561B22">
      <w:pPr>
        <w:pStyle w:val="Textoindependiente"/>
        <w:jc w:val="both"/>
        <w:rPr>
          <w:rFonts w:ascii="Arial" w:hAnsi="Arial" w:cs="Arial"/>
          <w:b/>
          <w:bCs/>
        </w:rPr>
      </w:pPr>
    </w:p>
    <w:p w14:paraId="41FA854D" w14:textId="77777777" w:rsidR="00561B22" w:rsidRPr="00E67EE6" w:rsidRDefault="00561B22" w:rsidP="00561B22">
      <w:pPr>
        <w:jc w:val="both"/>
        <w:rPr>
          <w:rFonts w:ascii="Arial" w:hAnsi="Arial" w:cs="Arial"/>
          <w:b/>
          <w:bCs/>
          <w:sz w:val="24"/>
          <w:szCs w:val="24"/>
          <w:lang w:val="es-CO"/>
        </w:rPr>
      </w:pPr>
      <w:r w:rsidRPr="00E67EE6">
        <w:rPr>
          <w:rFonts w:ascii="Arial" w:hAnsi="Arial" w:cs="Arial"/>
          <w:b/>
          <w:bCs/>
          <w:sz w:val="24"/>
          <w:szCs w:val="24"/>
          <w:lang w:val="es-CO"/>
        </w:rPr>
        <w:t xml:space="preserve">NOTA: LA ENTIDAD ENVIA LA MATRIZ DE AUTOEVALUACIÓN DEL SISTEMA DE CONTROL INTERNO CONTABLE CON </w:t>
      </w:r>
      <w:r w:rsidRPr="00E67EE6">
        <w:rPr>
          <w:rFonts w:ascii="Arial" w:hAnsi="Arial" w:cs="Arial"/>
          <w:b/>
          <w:bCs/>
          <w:sz w:val="24"/>
          <w:szCs w:val="24"/>
          <w:u w:val="single"/>
          <w:lang w:val="es-CO"/>
        </w:rPr>
        <w:t>ACTIVIDADES DE CONTROL REALIZADAS EN FORMA PARCIAL</w:t>
      </w:r>
      <w:r w:rsidRPr="00E67EE6">
        <w:rPr>
          <w:rFonts w:ascii="Arial" w:hAnsi="Arial" w:cs="Arial"/>
          <w:b/>
          <w:bCs/>
          <w:sz w:val="24"/>
          <w:szCs w:val="24"/>
          <w:lang w:val="es-CO"/>
        </w:rPr>
        <w:t>.</w:t>
      </w:r>
    </w:p>
    <w:p w14:paraId="42D8C37F" w14:textId="77777777" w:rsidR="00561B22" w:rsidRDefault="00561B22" w:rsidP="00561B22">
      <w:pPr>
        <w:jc w:val="both"/>
        <w:rPr>
          <w:rFonts w:ascii="Arial" w:hAnsi="Arial" w:cs="Arial"/>
          <w:b/>
          <w:bCs/>
          <w:lang w:val="es-CO"/>
        </w:rPr>
      </w:pPr>
    </w:p>
    <w:p w14:paraId="10D0C7E4" w14:textId="77777777" w:rsidR="00561B22" w:rsidRPr="0097603C" w:rsidRDefault="00561B22" w:rsidP="00561B22">
      <w:pPr>
        <w:jc w:val="both"/>
        <w:rPr>
          <w:rFonts w:ascii="Arial" w:hAnsi="Arial" w:cs="Arial"/>
          <w:b/>
          <w:sz w:val="28"/>
          <w:szCs w:val="28"/>
          <w:lang w:val="es-MX"/>
        </w:rPr>
      </w:pPr>
      <w:r w:rsidRPr="0097603C">
        <w:rPr>
          <w:rFonts w:ascii="Arial" w:hAnsi="Arial" w:cs="Arial"/>
          <w:b/>
          <w:sz w:val="28"/>
          <w:szCs w:val="28"/>
          <w:lang w:val="es-MX"/>
        </w:rPr>
        <w:t xml:space="preserve">306.- </w:t>
      </w:r>
      <w:r w:rsidRPr="0097603C">
        <w:rPr>
          <w:rFonts w:ascii="Arial" w:hAnsi="Arial" w:cs="Arial"/>
          <w:b/>
          <w:sz w:val="28"/>
          <w:szCs w:val="28"/>
        </w:rPr>
        <w:t>MINISTERIO</w:t>
      </w:r>
      <w:r w:rsidRPr="0097603C">
        <w:rPr>
          <w:rFonts w:ascii="Arial" w:hAnsi="Arial" w:cs="Arial"/>
          <w:b/>
          <w:spacing w:val="-12"/>
          <w:sz w:val="28"/>
          <w:szCs w:val="28"/>
        </w:rPr>
        <w:t xml:space="preserve"> </w:t>
      </w:r>
      <w:r w:rsidRPr="0097603C">
        <w:rPr>
          <w:rFonts w:ascii="Arial" w:hAnsi="Arial" w:cs="Arial"/>
          <w:b/>
          <w:sz w:val="28"/>
          <w:szCs w:val="28"/>
        </w:rPr>
        <w:t>DE</w:t>
      </w:r>
      <w:r w:rsidRPr="0097603C">
        <w:rPr>
          <w:rFonts w:ascii="Arial" w:hAnsi="Arial" w:cs="Arial"/>
          <w:b/>
          <w:spacing w:val="-9"/>
          <w:sz w:val="28"/>
          <w:szCs w:val="28"/>
        </w:rPr>
        <w:t xml:space="preserve"> </w:t>
      </w:r>
      <w:r w:rsidRPr="0097603C">
        <w:rPr>
          <w:rFonts w:ascii="Arial" w:hAnsi="Arial" w:cs="Arial"/>
          <w:b/>
          <w:sz w:val="28"/>
          <w:szCs w:val="28"/>
        </w:rPr>
        <w:t>DEFENSA</w:t>
      </w:r>
      <w:r w:rsidRPr="0097603C">
        <w:rPr>
          <w:rFonts w:ascii="Arial" w:hAnsi="Arial" w:cs="Arial"/>
          <w:b/>
          <w:spacing w:val="-9"/>
          <w:sz w:val="28"/>
          <w:szCs w:val="28"/>
        </w:rPr>
        <w:t xml:space="preserve"> </w:t>
      </w:r>
      <w:r w:rsidRPr="0097603C">
        <w:rPr>
          <w:rFonts w:ascii="Arial" w:hAnsi="Arial" w:cs="Arial"/>
          <w:b/>
          <w:sz w:val="28"/>
          <w:szCs w:val="28"/>
        </w:rPr>
        <w:t>NACIONAL</w:t>
      </w:r>
      <w:r w:rsidRPr="0097603C">
        <w:rPr>
          <w:rFonts w:ascii="Arial" w:hAnsi="Arial" w:cs="Arial"/>
          <w:b/>
          <w:sz w:val="28"/>
          <w:szCs w:val="28"/>
          <w:lang w:val="es-MX"/>
        </w:rPr>
        <w:t xml:space="preserve"> CONSOLIDADO.</w:t>
      </w:r>
    </w:p>
    <w:p w14:paraId="349126C2" w14:textId="77777777" w:rsidR="00561B22" w:rsidRDefault="00561B22" w:rsidP="00561B22">
      <w:pPr>
        <w:ind w:left="-284" w:right="283"/>
        <w:jc w:val="both"/>
        <w:rPr>
          <w:rFonts w:ascii="Arial" w:eastAsia="Trebuchet MS" w:hAnsi="Arial" w:cs="Arial"/>
          <w:b/>
          <w:sz w:val="32"/>
          <w:szCs w:val="32"/>
          <w:u w:val="single"/>
          <w:lang w:val="es-MX" w:eastAsia="es-CO"/>
        </w:rPr>
      </w:pPr>
    </w:p>
    <w:p w14:paraId="3F88AB68" w14:textId="77777777" w:rsidR="00561B22" w:rsidRPr="00510C83" w:rsidRDefault="00561B22" w:rsidP="00561B22">
      <w:pPr>
        <w:pStyle w:val="Textoindependiente"/>
        <w:ind w:right="-50"/>
        <w:jc w:val="center"/>
        <w:rPr>
          <w:rFonts w:ascii="Arial" w:hAnsi="Arial" w:cs="Arial"/>
          <w:b/>
          <w:bCs/>
        </w:rPr>
      </w:pPr>
      <w:r w:rsidRPr="00510C83">
        <w:rPr>
          <w:rFonts w:ascii="Arial" w:hAnsi="Arial" w:cs="Arial"/>
          <w:b/>
          <w:bCs/>
        </w:rPr>
        <w:t>INFORME DE LA AUTOCALIFICACIÓN DEL SISTEMA DE CONTROL INTERNO CONTABLE:</w:t>
      </w:r>
    </w:p>
    <w:p w14:paraId="792480D5" w14:textId="77777777" w:rsidR="00561B22" w:rsidRPr="00510C8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510C83" w14:paraId="65895723" w14:textId="77777777" w:rsidTr="00F1223B">
        <w:tc>
          <w:tcPr>
            <w:tcW w:w="4981" w:type="dxa"/>
          </w:tcPr>
          <w:p w14:paraId="086F533C"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AUTOCALIFICACIÓN</w:t>
            </w:r>
          </w:p>
        </w:tc>
        <w:tc>
          <w:tcPr>
            <w:tcW w:w="4981" w:type="dxa"/>
          </w:tcPr>
          <w:p w14:paraId="31D8CEFC" w14:textId="77777777" w:rsidR="00561B22" w:rsidRPr="00510C83" w:rsidRDefault="00561B22" w:rsidP="00F1223B">
            <w:pPr>
              <w:jc w:val="center"/>
              <w:rPr>
                <w:rFonts w:ascii="Arial" w:hAnsi="Arial" w:cs="Arial"/>
                <w:b/>
                <w:sz w:val="22"/>
                <w:szCs w:val="22"/>
                <w:u w:val="single"/>
                <w:lang w:val="es-MX"/>
              </w:rPr>
            </w:pPr>
            <w:r w:rsidRPr="00510C83">
              <w:rPr>
                <w:rFonts w:ascii="Arial" w:hAnsi="Arial" w:cs="Arial"/>
                <w:b/>
                <w:sz w:val="22"/>
                <w:szCs w:val="22"/>
                <w:u w:val="single"/>
                <w:lang w:val="es-MX"/>
              </w:rPr>
              <w:t>4.94</w:t>
            </w:r>
          </w:p>
        </w:tc>
      </w:tr>
    </w:tbl>
    <w:p w14:paraId="60E0BF64" w14:textId="77777777" w:rsidR="00561B22" w:rsidRPr="00510C83" w:rsidRDefault="00561B22" w:rsidP="00561B22">
      <w:pPr>
        <w:pStyle w:val="Textoindependiente"/>
        <w:ind w:right="-50"/>
        <w:jc w:val="both"/>
        <w:rPr>
          <w:rFonts w:ascii="Arial" w:hAnsi="Arial" w:cs="Arial"/>
          <w:b/>
          <w:bCs/>
        </w:rPr>
      </w:pPr>
    </w:p>
    <w:p w14:paraId="291B4BD3" w14:textId="77777777" w:rsidR="00561B22" w:rsidRPr="00510C83" w:rsidRDefault="00561B22" w:rsidP="00561B22">
      <w:pPr>
        <w:pStyle w:val="Textoindependiente"/>
        <w:ind w:right="-50"/>
        <w:jc w:val="both"/>
        <w:rPr>
          <w:rFonts w:ascii="Arial" w:hAnsi="Arial" w:cs="Arial"/>
          <w:b/>
          <w:bCs/>
        </w:rPr>
      </w:pPr>
      <w:r w:rsidRPr="00510C83">
        <w:rPr>
          <w:rFonts w:ascii="Arial" w:hAnsi="Arial" w:cs="Arial"/>
          <w:b/>
          <w:bCs/>
        </w:rPr>
        <w:t>Del informe enviado retomamos lo siguiente:</w:t>
      </w:r>
    </w:p>
    <w:p w14:paraId="1738B818" w14:textId="77777777" w:rsidR="00561B22" w:rsidRPr="00510C8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510C83" w14:paraId="1B3F6964" w14:textId="77777777" w:rsidTr="00F1223B">
        <w:tc>
          <w:tcPr>
            <w:tcW w:w="562" w:type="dxa"/>
          </w:tcPr>
          <w:p w14:paraId="75FB2D68" w14:textId="77777777" w:rsidR="00561B22" w:rsidRPr="00510C83" w:rsidRDefault="00561B22" w:rsidP="00F1223B">
            <w:pPr>
              <w:ind w:right="-109"/>
              <w:jc w:val="center"/>
              <w:rPr>
                <w:rFonts w:ascii="Arial" w:hAnsi="Arial" w:cs="Arial"/>
                <w:b/>
                <w:sz w:val="22"/>
                <w:szCs w:val="22"/>
                <w:lang w:val="es-MX"/>
              </w:rPr>
            </w:pPr>
            <w:r w:rsidRPr="00510C83">
              <w:rPr>
                <w:rFonts w:ascii="Arial" w:hAnsi="Arial" w:cs="Arial"/>
                <w:b/>
                <w:sz w:val="22"/>
                <w:szCs w:val="22"/>
                <w:lang w:val="es-MX"/>
              </w:rPr>
              <w:t>N°</w:t>
            </w:r>
          </w:p>
        </w:tc>
        <w:tc>
          <w:tcPr>
            <w:tcW w:w="9400" w:type="dxa"/>
          </w:tcPr>
          <w:p w14:paraId="4009F3EE"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DEBILIDADES</w:t>
            </w:r>
          </w:p>
          <w:p w14:paraId="58DFC2C2" w14:textId="77777777" w:rsidR="00561B22" w:rsidRPr="00510C83" w:rsidRDefault="00561B22" w:rsidP="00F1223B">
            <w:pPr>
              <w:jc w:val="center"/>
              <w:rPr>
                <w:rFonts w:ascii="Arial" w:hAnsi="Arial" w:cs="Arial"/>
                <w:b/>
                <w:sz w:val="22"/>
                <w:szCs w:val="22"/>
                <w:lang w:val="es-MX"/>
              </w:rPr>
            </w:pPr>
          </w:p>
        </w:tc>
      </w:tr>
      <w:tr w:rsidR="00561B22" w:rsidRPr="00510C83" w14:paraId="0E555B80" w14:textId="77777777" w:rsidTr="00F1223B">
        <w:tc>
          <w:tcPr>
            <w:tcW w:w="562" w:type="dxa"/>
          </w:tcPr>
          <w:p w14:paraId="6ABADDCB"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1</w:t>
            </w:r>
          </w:p>
        </w:tc>
        <w:tc>
          <w:tcPr>
            <w:tcW w:w="9400" w:type="dxa"/>
          </w:tcPr>
          <w:p w14:paraId="1DDBA4FE" w14:textId="77777777" w:rsidR="00561B22" w:rsidRPr="00510C83" w:rsidRDefault="00561B22" w:rsidP="00F1223B">
            <w:pPr>
              <w:widowControl/>
              <w:autoSpaceDE/>
              <w:autoSpaceDN/>
              <w:jc w:val="both"/>
              <w:rPr>
                <w:rFonts w:ascii="Arial" w:eastAsia="Times New Roman" w:hAnsi="Arial" w:cs="Arial"/>
                <w:sz w:val="22"/>
                <w:szCs w:val="22"/>
                <w:lang w:val="es-CO"/>
              </w:rPr>
            </w:pPr>
            <w:r w:rsidRPr="00510C83">
              <w:rPr>
                <w:rFonts w:ascii="Arial" w:hAnsi="Arial" w:cs="Arial"/>
                <w:sz w:val="22"/>
                <w:szCs w:val="22"/>
              </w:rPr>
              <w:t xml:space="preserve">Falta de oportunidad en la información relacionada con la ejecución de contratos, convenios y/o acuerdos que se identifican en la conciliación de las operaciones reciprocas. </w:t>
            </w:r>
          </w:p>
        </w:tc>
      </w:tr>
      <w:tr w:rsidR="00561B22" w:rsidRPr="00510C83" w14:paraId="428D9C90" w14:textId="77777777" w:rsidTr="00F1223B">
        <w:tc>
          <w:tcPr>
            <w:tcW w:w="562" w:type="dxa"/>
          </w:tcPr>
          <w:p w14:paraId="7BA3EBF4"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2</w:t>
            </w:r>
          </w:p>
        </w:tc>
        <w:tc>
          <w:tcPr>
            <w:tcW w:w="9400" w:type="dxa"/>
          </w:tcPr>
          <w:p w14:paraId="5A9FE128" w14:textId="77777777" w:rsidR="00561B22" w:rsidRPr="00510C83" w:rsidRDefault="00561B22" w:rsidP="00F1223B">
            <w:pPr>
              <w:jc w:val="both"/>
              <w:rPr>
                <w:rFonts w:ascii="Arial" w:hAnsi="Arial" w:cs="Arial"/>
                <w:b/>
                <w:sz w:val="22"/>
                <w:szCs w:val="22"/>
                <w:lang w:val="es-MX"/>
              </w:rPr>
            </w:pPr>
            <w:r w:rsidRPr="00510C83">
              <w:rPr>
                <w:rFonts w:ascii="Arial" w:hAnsi="Arial" w:cs="Arial"/>
                <w:sz w:val="22"/>
                <w:szCs w:val="22"/>
              </w:rPr>
              <w:t xml:space="preserve">Falta asignación de profesionales en áreas afines a la gestión financiera para que apoye el análisis, preparación y presentación de los Estados Financieros, así como, facilitar y satisfacer las necesidades informativas de los usuarios. </w:t>
            </w:r>
          </w:p>
        </w:tc>
      </w:tr>
      <w:tr w:rsidR="00561B22" w:rsidRPr="00510C83" w14:paraId="0D8E71ED" w14:textId="77777777" w:rsidTr="00F1223B">
        <w:tc>
          <w:tcPr>
            <w:tcW w:w="562" w:type="dxa"/>
          </w:tcPr>
          <w:p w14:paraId="4DBC22C5"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3</w:t>
            </w:r>
          </w:p>
        </w:tc>
        <w:tc>
          <w:tcPr>
            <w:tcW w:w="9400" w:type="dxa"/>
          </w:tcPr>
          <w:p w14:paraId="458EACF8" w14:textId="77777777" w:rsidR="00561B22" w:rsidRPr="00510C83" w:rsidRDefault="00561B22" w:rsidP="00F1223B">
            <w:pPr>
              <w:jc w:val="both"/>
              <w:rPr>
                <w:rFonts w:ascii="Arial" w:hAnsi="Arial" w:cs="Arial"/>
                <w:b/>
                <w:sz w:val="22"/>
                <w:szCs w:val="22"/>
                <w:lang w:val="es-MX"/>
              </w:rPr>
            </w:pPr>
            <w:r w:rsidRPr="00510C83">
              <w:rPr>
                <w:rFonts w:ascii="Arial" w:hAnsi="Arial" w:cs="Arial"/>
                <w:sz w:val="22"/>
                <w:szCs w:val="22"/>
              </w:rPr>
              <w:t xml:space="preserve">El traslado constante de los servidores públicos (Uniformados) que participan en el proceso financiero afecta la operación, en relación con la aplicación de las normas financieras vigentes, lo cual puede generar un riesgo en la oportunidad para la generación de la información contable </w:t>
            </w:r>
            <w:r w:rsidRPr="00510C83">
              <w:rPr>
                <w:rFonts w:ascii="Arial" w:hAnsi="Arial" w:cs="Arial"/>
                <w:sz w:val="22"/>
                <w:szCs w:val="22"/>
              </w:rPr>
              <w:lastRenderedPageBreak/>
              <w:t xml:space="preserve">puesta a disposición de las partes interesadas. </w:t>
            </w:r>
          </w:p>
        </w:tc>
      </w:tr>
      <w:tr w:rsidR="00561B22" w:rsidRPr="00510C83" w14:paraId="2B26DD5A" w14:textId="77777777" w:rsidTr="00F1223B">
        <w:tc>
          <w:tcPr>
            <w:tcW w:w="562" w:type="dxa"/>
          </w:tcPr>
          <w:p w14:paraId="2CB53DAE"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lastRenderedPageBreak/>
              <w:t>4</w:t>
            </w:r>
          </w:p>
        </w:tc>
        <w:tc>
          <w:tcPr>
            <w:tcW w:w="9400" w:type="dxa"/>
          </w:tcPr>
          <w:p w14:paraId="400C18F9" w14:textId="77777777" w:rsidR="00561B22" w:rsidRPr="00510C83" w:rsidRDefault="00561B22" w:rsidP="00F1223B">
            <w:pPr>
              <w:jc w:val="both"/>
              <w:rPr>
                <w:rFonts w:ascii="Arial" w:hAnsi="Arial" w:cs="Arial"/>
                <w:b/>
                <w:sz w:val="22"/>
                <w:szCs w:val="22"/>
                <w:lang w:val="es-MX"/>
              </w:rPr>
            </w:pPr>
            <w:r w:rsidRPr="00510C83">
              <w:rPr>
                <w:rFonts w:ascii="Arial" w:hAnsi="Arial" w:cs="Arial"/>
                <w:sz w:val="22"/>
                <w:szCs w:val="22"/>
              </w:rPr>
              <w:t xml:space="preserve">Ausencia en la identificación especifica de indicadores contables en el proceso financiero. </w:t>
            </w:r>
          </w:p>
        </w:tc>
      </w:tr>
      <w:tr w:rsidR="00561B22" w:rsidRPr="00510C83" w14:paraId="49B259B4" w14:textId="77777777" w:rsidTr="00F1223B">
        <w:tc>
          <w:tcPr>
            <w:tcW w:w="562" w:type="dxa"/>
          </w:tcPr>
          <w:p w14:paraId="0D0697D2"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5</w:t>
            </w:r>
          </w:p>
        </w:tc>
        <w:tc>
          <w:tcPr>
            <w:tcW w:w="9400" w:type="dxa"/>
          </w:tcPr>
          <w:p w14:paraId="50FB09C3" w14:textId="77777777" w:rsidR="00561B22" w:rsidRPr="00510C83" w:rsidRDefault="00561B22" w:rsidP="00F1223B">
            <w:pPr>
              <w:jc w:val="both"/>
              <w:rPr>
                <w:rFonts w:ascii="Arial" w:hAnsi="Arial" w:cs="Arial"/>
                <w:b/>
                <w:sz w:val="22"/>
                <w:szCs w:val="22"/>
                <w:lang w:val="es-MX"/>
              </w:rPr>
            </w:pPr>
            <w:r w:rsidRPr="00510C83">
              <w:rPr>
                <w:rFonts w:ascii="Arial" w:hAnsi="Arial" w:cs="Arial"/>
                <w:sz w:val="22"/>
                <w:szCs w:val="22"/>
              </w:rPr>
              <w:t xml:space="preserve">Falta de procedimientos institucionales documentados para la gestión de planes de mejoramiento. </w:t>
            </w:r>
          </w:p>
        </w:tc>
      </w:tr>
      <w:tr w:rsidR="00561B22" w:rsidRPr="00510C83" w14:paraId="609F5779" w14:textId="77777777" w:rsidTr="00F1223B">
        <w:tc>
          <w:tcPr>
            <w:tcW w:w="562" w:type="dxa"/>
          </w:tcPr>
          <w:p w14:paraId="5A281C64"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6</w:t>
            </w:r>
          </w:p>
        </w:tc>
        <w:tc>
          <w:tcPr>
            <w:tcW w:w="9400" w:type="dxa"/>
          </w:tcPr>
          <w:p w14:paraId="4FD6058A" w14:textId="77777777" w:rsidR="00561B22" w:rsidRPr="00510C83" w:rsidRDefault="00561B22" w:rsidP="00F1223B">
            <w:pPr>
              <w:jc w:val="both"/>
              <w:rPr>
                <w:rFonts w:ascii="Arial" w:hAnsi="Arial" w:cs="Arial"/>
                <w:b/>
                <w:sz w:val="22"/>
                <w:szCs w:val="22"/>
                <w:lang w:val="es-MX"/>
              </w:rPr>
            </w:pPr>
            <w:r w:rsidRPr="00510C83">
              <w:rPr>
                <w:rFonts w:ascii="Arial" w:hAnsi="Arial" w:cs="Arial"/>
                <w:sz w:val="22"/>
                <w:szCs w:val="22"/>
              </w:rPr>
              <w:t xml:space="preserve">Designación de personal militar trasladado a cargos financieros, logísticos, de adquisiciones y Almacén sin cumplir el perfil requerido. </w:t>
            </w:r>
          </w:p>
        </w:tc>
      </w:tr>
      <w:tr w:rsidR="00561B22" w:rsidRPr="00510C83" w14:paraId="76113C68" w14:textId="77777777" w:rsidTr="00F1223B">
        <w:tc>
          <w:tcPr>
            <w:tcW w:w="562" w:type="dxa"/>
          </w:tcPr>
          <w:p w14:paraId="5BEB9CB7"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7</w:t>
            </w:r>
          </w:p>
        </w:tc>
        <w:tc>
          <w:tcPr>
            <w:tcW w:w="9400" w:type="dxa"/>
          </w:tcPr>
          <w:p w14:paraId="78E7F790" w14:textId="77777777" w:rsidR="00561B22" w:rsidRPr="00510C83" w:rsidRDefault="00561B22" w:rsidP="00F1223B">
            <w:pPr>
              <w:jc w:val="both"/>
              <w:rPr>
                <w:rFonts w:ascii="Arial" w:hAnsi="Arial" w:cs="Arial"/>
                <w:b/>
                <w:sz w:val="22"/>
                <w:szCs w:val="22"/>
                <w:lang w:val="es-MX"/>
              </w:rPr>
            </w:pPr>
            <w:r w:rsidRPr="00510C83">
              <w:rPr>
                <w:rFonts w:ascii="Arial" w:hAnsi="Arial" w:cs="Arial"/>
                <w:sz w:val="22"/>
                <w:szCs w:val="22"/>
              </w:rPr>
              <w:t>Falta de oportunidad en el flujo de información relacionada con los hechos económicos por parte de algunas dependencias, lo que genera demoras en el reconocimiento contable de los mismos.</w:t>
            </w:r>
          </w:p>
        </w:tc>
      </w:tr>
    </w:tbl>
    <w:p w14:paraId="0E474D9B" w14:textId="77777777" w:rsidR="00561B22" w:rsidRPr="00510C83" w:rsidRDefault="00561B22" w:rsidP="00561B22">
      <w:pPr>
        <w:pStyle w:val="Textoindependiente"/>
        <w:ind w:right="-50"/>
        <w:jc w:val="both"/>
        <w:rPr>
          <w:rFonts w:ascii="Arial" w:hAnsi="Arial" w:cs="Arial"/>
          <w:b/>
          <w:bCs/>
        </w:rPr>
      </w:pPr>
    </w:p>
    <w:p w14:paraId="6078F578" w14:textId="77777777" w:rsidR="00561B22" w:rsidRPr="00510C83" w:rsidRDefault="00561B22" w:rsidP="00561B22">
      <w:pPr>
        <w:jc w:val="both"/>
        <w:rPr>
          <w:rFonts w:ascii="Arial" w:hAnsi="Arial" w:cs="Arial"/>
          <w:b/>
          <w:lang w:val="es-MX"/>
        </w:rPr>
      </w:pPr>
      <w:r w:rsidRPr="00510C83">
        <w:rPr>
          <w:rFonts w:ascii="Arial" w:hAnsi="Arial" w:cs="Arial"/>
          <w:b/>
          <w:lang w:val="es-MX"/>
        </w:rPr>
        <w:t>Del citado informe retomamos las siguientes recomendaciones:</w:t>
      </w:r>
    </w:p>
    <w:p w14:paraId="1B6DE559" w14:textId="77777777" w:rsidR="00561B22" w:rsidRPr="00510C83"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510C83" w14:paraId="4AAE72C0" w14:textId="77777777" w:rsidTr="00F1223B">
        <w:tc>
          <w:tcPr>
            <w:tcW w:w="562" w:type="dxa"/>
          </w:tcPr>
          <w:p w14:paraId="62043842" w14:textId="77777777" w:rsidR="00561B22" w:rsidRPr="00510C83" w:rsidRDefault="00561B22" w:rsidP="00F1223B">
            <w:pPr>
              <w:ind w:right="-109"/>
              <w:jc w:val="center"/>
              <w:rPr>
                <w:rFonts w:ascii="Arial" w:hAnsi="Arial" w:cs="Arial"/>
                <w:b/>
                <w:sz w:val="22"/>
                <w:szCs w:val="22"/>
                <w:lang w:val="es-MX"/>
              </w:rPr>
            </w:pPr>
            <w:r w:rsidRPr="00510C83">
              <w:rPr>
                <w:rFonts w:ascii="Arial" w:hAnsi="Arial" w:cs="Arial"/>
                <w:b/>
                <w:sz w:val="22"/>
                <w:szCs w:val="22"/>
                <w:lang w:val="es-MX"/>
              </w:rPr>
              <w:t>N°</w:t>
            </w:r>
          </w:p>
        </w:tc>
        <w:tc>
          <w:tcPr>
            <w:tcW w:w="9400" w:type="dxa"/>
          </w:tcPr>
          <w:p w14:paraId="56EF2D44"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RECOMENDACIONES</w:t>
            </w:r>
          </w:p>
          <w:p w14:paraId="30A87C1F" w14:textId="77777777" w:rsidR="00561B22" w:rsidRPr="00510C83" w:rsidRDefault="00561B22" w:rsidP="00F1223B">
            <w:pPr>
              <w:jc w:val="center"/>
              <w:rPr>
                <w:rFonts w:ascii="Arial" w:hAnsi="Arial" w:cs="Arial"/>
                <w:b/>
                <w:sz w:val="22"/>
                <w:szCs w:val="22"/>
                <w:lang w:val="es-MX"/>
              </w:rPr>
            </w:pPr>
          </w:p>
        </w:tc>
      </w:tr>
      <w:tr w:rsidR="00561B22" w:rsidRPr="00510C83" w14:paraId="56CE7135" w14:textId="77777777" w:rsidTr="00F1223B">
        <w:tc>
          <w:tcPr>
            <w:tcW w:w="562" w:type="dxa"/>
          </w:tcPr>
          <w:p w14:paraId="21750026"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1</w:t>
            </w:r>
          </w:p>
        </w:tc>
        <w:tc>
          <w:tcPr>
            <w:tcW w:w="9400" w:type="dxa"/>
          </w:tcPr>
          <w:p w14:paraId="209387D3"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 xml:space="preserve">Fortalecer los canales de comunicación con las entidades públicas y los supervisores de los contratos, para que se suministre oportunamente la información relacionada con la ejecución de contratos, convenios y/o acuerdos que se identifican en la conciliación de las operaciones reciprocas. </w:t>
            </w:r>
          </w:p>
        </w:tc>
      </w:tr>
      <w:tr w:rsidR="00561B22" w:rsidRPr="00510C83" w14:paraId="030DCB97" w14:textId="77777777" w:rsidTr="00F1223B">
        <w:tc>
          <w:tcPr>
            <w:tcW w:w="562" w:type="dxa"/>
          </w:tcPr>
          <w:p w14:paraId="48D9EA00"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2</w:t>
            </w:r>
          </w:p>
        </w:tc>
        <w:tc>
          <w:tcPr>
            <w:tcW w:w="9400" w:type="dxa"/>
          </w:tcPr>
          <w:p w14:paraId="6AF2E37B"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 xml:space="preserve">Continuar con el impulso a la cultura organizacional orientada a suministro oportuno de la información por parte de las dependencias proveedoras del proceso contable. </w:t>
            </w:r>
          </w:p>
        </w:tc>
      </w:tr>
      <w:tr w:rsidR="00561B22" w:rsidRPr="00510C83" w14:paraId="598330DD" w14:textId="77777777" w:rsidTr="00F1223B">
        <w:tc>
          <w:tcPr>
            <w:tcW w:w="562" w:type="dxa"/>
          </w:tcPr>
          <w:p w14:paraId="43481488"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3</w:t>
            </w:r>
          </w:p>
        </w:tc>
        <w:tc>
          <w:tcPr>
            <w:tcW w:w="9400" w:type="dxa"/>
          </w:tcPr>
          <w:p w14:paraId="3F48737C"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 xml:space="preserve">Fortalecer la Dirección de Finanzas del Ministerio de Defensa Nacional con profesionales en áreas afines a la gestión financiera para que apoye el análisis, preparación y presentación de los Estados Financieros, así como, facilitar y satisfacer las necesidades informativas de los usuarios. </w:t>
            </w:r>
          </w:p>
        </w:tc>
      </w:tr>
      <w:tr w:rsidR="00561B22" w:rsidRPr="00510C83" w14:paraId="48F6A373" w14:textId="77777777" w:rsidTr="00F1223B">
        <w:tc>
          <w:tcPr>
            <w:tcW w:w="562" w:type="dxa"/>
          </w:tcPr>
          <w:p w14:paraId="18F67FCE"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4</w:t>
            </w:r>
          </w:p>
        </w:tc>
        <w:tc>
          <w:tcPr>
            <w:tcW w:w="9400" w:type="dxa"/>
          </w:tcPr>
          <w:p w14:paraId="4391BC6E"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 xml:space="preserve">Gestionar con las Fuerzas Militares la sostenibilidad del personal uniformado, en razón a que los traslados limitan la gestión de la Dirección de Finanzas del Ministerio de Defensa Nacional, para el cumplimiento de los plazos de Ley. </w:t>
            </w:r>
          </w:p>
        </w:tc>
      </w:tr>
      <w:tr w:rsidR="00561B22" w:rsidRPr="00510C83" w14:paraId="31EC7111" w14:textId="77777777" w:rsidTr="00F1223B">
        <w:tc>
          <w:tcPr>
            <w:tcW w:w="562" w:type="dxa"/>
          </w:tcPr>
          <w:p w14:paraId="38E9444D"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5</w:t>
            </w:r>
          </w:p>
        </w:tc>
        <w:tc>
          <w:tcPr>
            <w:tcW w:w="9400" w:type="dxa"/>
          </w:tcPr>
          <w:p w14:paraId="67EE096C"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 xml:space="preserve">Definir indicadores contables en el proceso financiero que permitan analizar e interpretar la realidad financiera de la entidad. </w:t>
            </w:r>
          </w:p>
        </w:tc>
      </w:tr>
      <w:tr w:rsidR="00561B22" w:rsidRPr="00510C83" w14:paraId="2EA8E8AA" w14:textId="77777777" w:rsidTr="00F1223B">
        <w:tc>
          <w:tcPr>
            <w:tcW w:w="562" w:type="dxa"/>
          </w:tcPr>
          <w:p w14:paraId="56BA642E"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6</w:t>
            </w:r>
          </w:p>
        </w:tc>
        <w:tc>
          <w:tcPr>
            <w:tcW w:w="9400" w:type="dxa"/>
          </w:tcPr>
          <w:p w14:paraId="47A20BBB"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 xml:space="preserve"> Implementar procedimientos que permitan una adecuada gestión a los planes de mejoramiento. </w:t>
            </w:r>
          </w:p>
        </w:tc>
      </w:tr>
      <w:tr w:rsidR="00561B22" w:rsidRPr="00510C83" w14:paraId="460FA03C" w14:textId="77777777" w:rsidTr="00F1223B">
        <w:tc>
          <w:tcPr>
            <w:tcW w:w="562" w:type="dxa"/>
          </w:tcPr>
          <w:p w14:paraId="20F29288"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7</w:t>
            </w:r>
          </w:p>
        </w:tc>
        <w:tc>
          <w:tcPr>
            <w:tcW w:w="9400" w:type="dxa"/>
          </w:tcPr>
          <w:p w14:paraId="14EC3DE8" w14:textId="77777777" w:rsidR="00561B22" w:rsidRPr="00510C83" w:rsidRDefault="00561B22" w:rsidP="00F1223B">
            <w:pPr>
              <w:widowControl/>
              <w:autoSpaceDE/>
              <w:autoSpaceDN/>
              <w:jc w:val="both"/>
              <w:rPr>
                <w:rFonts w:ascii="Arial" w:hAnsi="Arial" w:cs="Arial"/>
                <w:b/>
                <w:sz w:val="22"/>
                <w:szCs w:val="22"/>
                <w:lang w:val="es-CO"/>
              </w:rPr>
            </w:pPr>
            <w:r w:rsidRPr="00510C83">
              <w:rPr>
                <w:rFonts w:ascii="Arial" w:hAnsi="Arial" w:cs="Arial"/>
                <w:sz w:val="22"/>
                <w:szCs w:val="22"/>
              </w:rPr>
              <w:t>Diseñar por parte de las oficinas de personal de las Fuerzas Militares lineamientos que definan el perfil adecuado para el desempeño de las funciones por parte del personal militar que es trasladado a cargos financieros, logísticos, de adquisiciones y Almacén.</w:t>
            </w:r>
          </w:p>
        </w:tc>
      </w:tr>
      <w:tr w:rsidR="00561B22" w:rsidRPr="00510C83" w14:paraId="6AE2BDF8" w14:textId="77777777" w:rsidTr="00F1223B">
        <w:tc>
          <w:tcPr>
            <w:tcW w:w="562" w:type="dxa"/>
          </w:tcPr>
          <w:p w14:paraId="6082E50D" w14:textId="77777777" w:rsidR="00561B22" w:rsidRPr="00510C83" w:rsidRDefault="00561B22" w:rsidP="00F1223B">
            <w:pPr>
              <w:jc w:val="center"/>
              <w:rPr>
                <w:rFonts w:ascii="Arial" w:hAnsi="Arial" w:cs="Arial"/>
                <w:b/>
                <w:sz w:val="22"/>
                <w:szCs w:val="22"/>
                <w:lang w:val="es-MX"/>
              </w:rPr>
            </w:pPr>
            <w:r w:rsidRPr="00510C83">
              <w:rPr>
                <w:rFonts w:ascii="Arial" w:hAnsi="Arial" w:cs="Arial"/>
                <w:b/>
                <w:sz w:val="22"/>
                <w:szCs w:val="22"/>
                <w:lang w:val="es-MX"/>
              </w:rPr>
              <w:t>8</w:t>
            </w:r>
          </w:p>
        </w:tc>
        <w:tc>
          <w:tcPr>
            <w:tcW w:w="9400" w:type="dxa"/>
          </w:tcPr>
          <w:p w14:paraId="189A19F6" w14:textId="77777777" w:rsidR="00561B22" w:rsidRPr="00510C83" w:rsidRDefault="00561B22" w:rsidP="00F1223B">
            <w:pPr>
              <w:widowControl/>
              <w:autoSpaceDE/>
              <w:autoSpaceDN/>
              <w:jc w:val="both"/>
              <w:rPr>
                <w:rFonts w:ascii="Arial" w:eastAsia="Times New Roman" w:hAnsi="Arial" w:cs="Arial"/>
                <w:sz w:val="22"/>
                <w:szCs w:val="22"/>
                <w:lang w:val="es-CO"/>
              </w:rPr>
            </w:pPr>
            <w:r w:rsidRPr="00510C83">
              <w:rPr>
                <w:rFonts w:ascii="Arial" w:hAnsi="Arial" w:cs="Arial"/>
                <w:sz w:val="22"/>
                <w:szCs w:val="22"/>
              </w:rPr>
              <w:t xml:space="preserve">Implementar mesas de trabajo con las dependencias generadoras de información contable, acordando compromisos que permitan la entrega oportuna de la información. </w:t>
            </w:r>
          </w:p>
        </w:tc>
      </w:tr>
    </w:tbl>
    <w:p w14:paraId="179EB780" w14:textId="77777777" w:rsidR="00561B22" w:rsidRPr="00510C83" w:rsidRDefault="00561B22" w:rsidP="00561B22">
      <w:pPr>
        <w:pStyle w:val="Textoindependiente"/>
        <w:ind w:right="-50"/>
        <w:jc w:val="both"/>
        <w:rPr>
          <w:rFonts w:ascii="Arial" w:hAnsi="Arial" w:cs="Arial"/>
          <w:b/>
          <w:bCs/>
          <w:sz w:val="28"/>
          <w:szCs w:val="28"/>
        </w:rPr>
      </w:pPr>
    </w:p>
    <w:p w14:paraId="3EF26C43" w14:textId="77777777" w:rsidR="00561B22" w:rsidRPr="00510C83" w:rsidRDefault="00561B22" w:rsidP="00561B22">
      <w:pPr>
        <w:jc w:val="both"/>
        <w:rPr>
          <w:rFonts w:ascii="Arial" w:hAnsi="Arial" w:cs="Arial"/>
          <w:b/>
          <w:bCs/>
          <w:sz w:val="24"/>
          <w:szCs w:val="24"/>
          <w:lang w:val="es-CO"/>
        </w:rPr>
      </w:pPr>
      <w:r w:rsidRPr="00510C83">
        <w:rPr>
          <w:rFonts w:ascii="Arial" w:hAnsi="Arial" w:cs="Arial"/>
          <w:b/>
          <w:bCs/>
          <w:sz w:val="24"/>
          <w:szCs w:val="24"/>
          <w:lang w:val="es-CO"/>
        </w:rPr>
        <w:t xml:space="preserve">NOTA: LA ENTIDAD ENVIA LA MATRIZ DE AUTOEVALUACIÓN DEL SISTEMA DE CONTROL INTERNO CONTABLE CON </w:t>
      </w:r>
      <w:r w:rsidRPr="00510C83">
        <w:rPr>
          <w:rFonts w:ascii="Arial" w:hAnsi="Arial" w:cs="Arial"/>
          <w:b/>
          <w:bCs/>
          <w:sz w:val="24"/>
          <w:szCs w:val="24"/>
          <w:u w:val="single"/>
          <w:lang w:val="es-CO"/>
        </w:rPr>
        <w:t>ACTIVIDADES DE CONTROL REALIZADAS EN FORMA PARCIAL</w:t>
      </w:r>
      <w:r w:rsidRPr="00510C83">
        <w:rPr>
          <w:rFonts w:ascii="Arial" w:hAnsi="Arial" w:cs="Arial"/>
          <w:b/>
          <w:bCs/>
          <w:sz w:val="24"/>
          <w:szCs w:val="24"/>
          <w:lang w:val="es-CO"/>
        </w:rPr>
        <w:t>.</w:t>
      </w:r>
    </w:p>
    <w:p w14:paraId="75301A1B" w14:textId="77777777" w:rsidR="00561B22" w:rsidRDefault="00561B22" w:rsidP="00561B22">
      <w:pPr>
        <w:jc w:val="both"/>
        <w:rPr>
          <w:rFonts w:ascii="Arial" w:hAnsi="Arial" w:cs="Arial"/>
          <w:b/>
          <w:bCs/>
          <w:lang w:val="es-CO"/>
        </w:rPr>
      </w:pPr>
    </w:p>
    <w:p w14:paraId="516680DC" w14:textId="77777777" w:rsidR="00561B22" w:rsidRPr="000F59C0" w:rsidRDefault="00561B22" w:rsidP="00561B22">
      <w:pPr>
        <w:jc w:val="both"/>
        <w:rPr>
          <w:rFonts w:ascii="Arial" w:hAnsi="Arial" w:cs="Arial"/>
          <w:b/>
          <w:sz w:val="28"/>
          <w:szCs w:val="28"/>
          <w:lang w:val="es-MX"/>
        </w:rPr>
      </w:pPr>
      <w:r w:rsidRPr="000F59C0">
        <w:rPr>
          <w:rFonts w:ascii="Arial" w:hAnsi="Arial" w:cs="Arial"/>
          <w:b/>
          <w:sz w:val="28"/>
          <w:szCs w:val="28"/>
          <w:lang w:val="es-MX"/>
        </w:rPr>
        <w:t>307.- U.A.E. AGENCIA NACIONAL DE DEFENSA JURÍDICA DEL ESTADO.</w:t>
      </w:r>
    </w:p>
    <w:p w14:paraId="646A45EC" w14:textId="77777777" w:rsidR="00561B22" w:rsidRDefault="00561B22" w:rsidP="00561B22">
      <w:pPr>
        <w:jc w:val="both"/>
        <w:rPr>
          <w:rFonts w:ascii="Arial" w:hAnsi="Arial" w:cs="Arial"/>
          <w:b/>
          <w:bCs/>
          <w:lang w:val="es-MX"/>
        </w:rPr>
      </w:pPr>
    </w:p>
    <w:p w14:paraId="5C094BF2" w14:textId="77777777" w:rsidR="00561B22" w:rsidRPr="004E39E0" w:rsidRDefault="00561B22" w:rsidP="00561B22">
      <w:pPr>
        <w:jc w:val="center"/>
        <w:rPr>
          <w:rFonts w:ascii="Arial" w:hAnsi="Arial" w:cs="Arial"/>
          <w:b/>
          <w:lang w:val="es-MX"/>
        </w:rPr>
      </w:pPr>
      <w:r w:rsidRPr="004E39E0">
        <w:rPr>
          <w:rFonts w:ascii="Arial" w:hAnsi="Arial" w:cs="Arial"/>
          <w:b/>
          <w:lang w:val="es-MX"/>
        </w:rPr>
        <w:t>INFORME DE LA AUTOCALIFICACIÓN DEL SISTEMA DE CONTROL INTERNO CONTABLE:</w:t>
      </w:r>
    </w:p>
    <w:p w14:paraId="6BB35B41" w14:textId="77777777" w:rsidR="00561B22" w:rsidRPr="004E39E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4E39E0" w14:paraId="4E474F0E" w14:textId="77777777" w:rsidTr="00F1223B">
        <w:tc>
          <w:tcPr>
            <w:tcW w:w="4981" w:type="dxa"/>
          </w:tcPr>
          <w:p w14:paraId="5AC0AC5F" w14:textId="77777777" w:rsidR="00561B22" w:rsidRPr="004E39E0" w:rsidRDefault="00561B22" w:rsidP="00F1223B">
            <w:pPr>
              <w:jc w:val="center"/>
              <w:rPr>
                <w:rFonts w:ascii="Arial" w:hAnsi="Arial" w:cs="Arial"/>
                <w:b/>
                <w:sz w:val="22"/>
                <w:szCs w:val="22"/>
                <w:lang w:val="es-MX"/>
              </w:rPr>
            </w:pPr>
            <w:r w:rsidRPr="004E39E0">
              <w:rPr>
                <w:rFonts w:ascii="Arial" w:hAnsi="Arial" w:cs="Arial"/>
                <w:b/>
                <w:sz w:val="22"/>
                <w:szCs w:val="22"/>
                <w:lang w:val="es-MX"/>
              </w:rPr>
              <w:t>AUTOCALIFICACIÓN</w:t>
            </w:r>
          </w:p>
        </w:tc>
        <w:tc>
          <w:tcPr>
            <w:tcW w:w="4981" w:type="dxa"/>
          </w:tcPr>
          <w:p w14:paraId="2CA197BF" w14:textId="77777777" w:rsidR="00561B22" w:rsidRPr="004E39E0" w:rsidRDefault="00561B22" w:rsidP="00F1223B">
            <w:pPr>
              <w:jc w:val="center"/>
              <w:rPr>
                <w:rFonts w:ascii="Arial" w:hAnsi="Arial" w:cs="Arial"/>
                <w:b/>
                <w:sz w:val="22"/>
                <w:szCs w:val="22"/>
                <w:u w:val="single"/>
                <w:lang w:val="es-MX"/>
              </w:rPr>
            </w:pPr>
            <w:r w:rsidRPr="004E39E0">
              <w:rPr>
                <w:rFonts w:ascii="Arial" w:hAnsi="Arial" w:cs="Arial"/>
                <w:b/>
                <w:sz w:val="22"/>
                <w:szCs w:val="22"/>
                <w:u w:val="single"/>
                <w:lang w:val="es-MX"/>
              </w:rPr>
              <w:t>4.95</w:t>
            </w:r>
          </w:p>
        </w:tc>
      </w:tr>
    </w:tbl>
    <w:p w14:paraId="20B0AFAB" w14:textId="77777777" w:rsidR="00561B22" w:rsidRPr="004E39E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4E39E0" w14:paraId="2D1B7E28" w14:textId="77777777" w:rsidTr="00F1223B">
        <w:tc>
          <w:tcPr>
            <w:tcW w:w="562" w:type="dxa"/>
          </w:tcPr>
          <w:p w14:paraId="354FF5F5" w14:textId="77777777" w:rsidR="00561B22" w:rsidRPr="004E39E0" w:rsidRDefault="00561B22" w:rsidP="00F1223B">
            <w:pPr>
              <w:ind w:right="-109"/>
              <w:jc w:val="center"/>
              <w:rPr>
                <w:rFonts w:ascii="Arial" w:hAnsi="Arial" w:cs="Arial"/>
                <w:b/>
                <w:sz w:val="22"/>
                <w:szCs w:val="22"/>
                <w:lang w:val="es-MX"/>
              </w:rPr>
            </w:pPr>
            <w:r w:rsidRPr="004E39E0">
              <w:rPr>
                <w:rFonts w:ascii="Arial" w:hAnsi="Arial" w:cs="Arial"/>
                <w:b/>
                <w:sz w:val="22"/>
                <w:szCs w:val="22"/>
                <w:lang w:val="es-MX"/>
              </w:rPr>
              <w:t>N°</w:t>
            </w:r>
          </w:p>
        </w:tc>
        <w:tc>
          <w:tcPr>
            <w:tcW w:w="9400" w:type="dxa"/>
          </w:tcPr>
          <w:p w14:paraId="579B92BE" w14:textId="77777777" w:rsidR="00561B22" w:rsidRPr="004E39E0" w:rsidRDefault="00561B22" w:rsidP="00F1223B">
            <w:pPr>
              <w:jc w:val="center"/>
              <w:rPr>
                <w:rFonts w:ascii="Arial" w:hAnsi="Arial" w:cs="Arial"/>
                <w:b/>
                <w:sz w:val="22"/>
                <w:szCs w:val="22"/>
                <w:lang w:val="es-MX"/>
              </w:rPr>
            </w:pPr>
            <w:r w:rsidRPr="004E39E0">
              <w:rPr>
                <w:rFonts w:ascii="Arial" w:hAnsi="Arial" w:cs="Arial"/>
                <w:b/>
                <w:sz w:val="22"/>
                <w:szCs w:val="22"/>
                <w:lang w:val="es-MX"/>
              </w:rPr>
              <w:t>DEBILIDADES</w:t>
            </w:r>
          </w:p>
          <w:p w14:paraId="06595B98" w14:textId="77777777" w:rsidR="00561B22" w:rsidRPr="004E39E0" w:rsidRDefault="00561B22" w:rsidP="00F1223B">
            <w:pPr>
              <w:jc w:val="center"/>
              <w:rPr>
                <w:rFonts w:ascii="Arial" w:hAnsi="Arial" w:cs="Arial"/>
                <w:b/>
                <w:sz w:val="22"/>
                <w:szCs w:val="22"/>
                <w:lang w:val="es-MX"/>
              </w:rPr>
            </w:pPr>
          </w:p>
        </w:tc>
      </w:tr>
      <w:tr w:rsidR="00561B22" w:rsidRPr="004E39E0" w14:paraId="1517BCDB" w14:textId="77777777" w:rsidTr="00F1223B">
        <w:tc>
          <w:tcPr>
            <w:tcW w:w="562" w:type="dxa"/>
          </w:tcPr>
          <w:p w14:paraId="12C39741" w14:textId="77777777" w:rsidR="00561B22" w:rsidRPr="004E39E0" w:rsidRDefault="00561B22" w:rsidP="00F1223B">
            <w:pPr>
              <w:jc w:val="center"/>
              <w:rPr>
                <w:rFonts w:ascii="Arial" w:hAnsi="Arial" w:cs="Arial"/>
                <w:b/>
                <w:sz w:val="22"/>
                <w:szCs w:val="22"/>
                <w:lang w:val="es-MX"/>
              </w:rPr>
            </w:pPr>
            <w:r w:rsidRPr="004E39E0">
              <w:rPr>
                <w:rFonts w:ascii="Arial" w:hAnsi="Arial" w:cs="Arial"/>
                <w:b/>
                <w:sz w:val="22"/>
                <w:szCs w:val="22"/>
                <w:lang w:val="es-MX"/>
              </w:rPr>
              <w:t>1</w:t>
            </w:r>
          </w:p>
        </w:tc>
        <w:tc>
          <w:tcPr>
            <w:tcW w:w="9400" w:type="dxa"/>
          </w:tcPr>
          <w:p w14:paraId="748E6077" w14:textId="5F30726A" w:rsidR="00561B22" w:rsidRPr="004E39E0" w:rsidRDefault="00561B22" w:rsidP="00F1223B">
            <w:pPr>
              <w:jc w:val="both"/>
              <w:rPr>
                <w:rFonts w:ascii="Arial" w:hAnsi="Arial" w:cs="Arial"/>
                <w:sz w:val="22"/>
                <w:szCs w:val="22"/>
                <w:lang w:val="es-MX"/>
              </w:rPr>
            </w:pPr>
            <w:r w:rsidRPr="004E39E0">
              <w:rPr>
                <w:rFonts w:ascii="Arial" w:hAnsi="Arial" w:cs="Arial"/>
                <w:sz w:val="22"/>
                <w:szCs w:val="22"/>
                <w:lang w:val="es-MX"/>
              </w:rPr>
              <w:t xml:space="preserve">Se recomienda velar por el reconocimiento oportuno de los hechos económicos de la entidad.  Ver Informe de </w:t>
            </w:r>
            <w:r w:rsidR="0008150C" w:rsidRPr="004E39E0">
              <w:rPr>
                <w:rFonts w:ascii="Arial" w:hAnsi="Arial" w:cs="Arial"/>
                <w:sz w:val="22"/>
                <w:szCs w:val="22"/>
                <w:lang w:val="es-MX"/>
              </w:rPr>
              <w:t>Auditoría</w:t>
            </w:r>
            <w:r w:rsidRPr="004E39E0">
              <w:rPr>
                <w:rFonts w:ascii="Arial" w:hAnsi="Arial" w:cs="Arial"/>
                <w:sz w:val="22"/>
                <w:szCs w:val="22"/>
                <w:lang w:val="es-MX"/>
              </w:rPr>
              <w:t xml:space="preserve"> al proceso de Gestión Financiera (Primer Semestre de 2024). Ver </w:t>
            </w:r>
            <w:r w:rsidRPr="004E39E0">
              <w:rPr>
                <w:rFonts w:ascii="Arial" w:hAnsi="Arial" w:cs="Arial"/>
                <w:sz w:val="22"/>
                <w:szCs w:val="22"/>
                <w:lang w:val="es-MX"/>
              </w:rPr>
              <w:lastRenderedPageBreak/>
              <w:t>hallazgo N. 4 Auditoria de Cumplimiento Contraloría General de la República. “Hallazgos 4 y 5. Se evidenció que las acciones del plan de mejoramiento se cumplieron; sobre la efectividad de los controles, la OCI realizó el informe de seguimiento al reporte de los contratos en el SECOP II correspondientes al 1er cuatrimestre del 2024 en donde enuncia: la Oficina de Control Interno evidenció que las acciones de los Planes de Mejoramiento suscritos de las vigencias 2020 y 2022 derivados de las auditorías de la Contraloría General de la República, asociados a la publicación en el SECOP II (Hallazgo 1 de 2020, y los Nos. 4 y 5 de 2022) y, la garantía del principio de transparencia, no han sido efectivas para subsanar los hallazgos relacionados, por lo cual se recomienda realizar valoración de su eficacia y frecuencia con que se desarrollan, por tal motivo no se cerrarán”.</w:t>
            </w:r>
          </w:p>
        </w:tc>
      </w:tr>
    </w:tbl>
    <w:p w14:paraId="4AB4C858" w14:textId="77777777" w:rsidR="00561B22" w:rsidRPr="004E39E0" w:rsidRDefault="00561B22" w:rsidP="00561B22">
      <w:pPr>
        <w:jc w:val="both"/>
        <w:rPr>
          <w:rFonts w:ascii="Arial" w:hAnsi="Arial" w:cs="Arial"/>
          <w:b/>
          <w:lang w:val="es-MX"/>
        </w:rPr>
      </w:pPr>
    </w:p>
    <w:p w14:paraId="1476A6F2" w14:textId="77777777" w:rsidR="00561B22" w:rsidRPr="004E39E0" w:rsidRDefault="00561B22" w:rsidP="00561B22">
      <w:pPr>
        <w:jc w:val="both"/>
        <w:rPr>
          <w:rFonts w:ascii="Arial" w:hAnsi="Arial" w:cs="Arial"/>
          <w:b/>
          <w:lang w:val="es-MX"/>
        </w:rPr>
      </w:pPr>
      <w:r w:rsidRPr="004E39E0">
        <w:rPr>
          <w:rFonts w:ascii="Arial" w:hAnsi="Arial" w:cs="Arial"/>
          <w:b/>
          <w:lang w:val="es-MX"/>
        </w:rPr>
        <w:t>Del citado informe retomamos las siguientes recomendaciones:</w:t>
      </w:r>
    </w:p>
    <w:p w14:paraId="26EF56A0" w14:textId="77777777" w:rsidR="00561B22" w:rsidRPr="004E39E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4E39E0" w14:paraId="6198B035" w14:textId="77777777" w:rsidTr="00F1223B">
        <w:tc>
          <w:tcPr>
            <w:tcW w:w="562" w:type="dxa"/>
          </w:tcPr>
          <w:p w14:paraId="46DB0141" w14:textId="77777777" w:rsidR="00561B22" w:rsidRPr="004E39E0" w:rsidRDefault="00561B22" w:rsidP="00F1223B">
            <w:pPr>
              <w:ind w:right="-109"/>
              <w:jc w:val="center"/>
              <w:rPr>
                <w:rFonts w:ascii="Arial" w:hAnsi="Arial" w:cs="Arial"/>
                <w:b/>
                <w:sz w:val="22"/>
                <w:szCs w:val="22"/>
                <w:lang w:val="es-MX"/>
              </w:rPr>
            </w:pPr>
            <w:r w:rsidRPr="004E39E0">
              <w:rPr>
                <w:rFonts w:ascii="Arial" w:hAnsi="Arial" w:cs="Arial"/>
                <w:b/>
                <w:sz w:val="22"/>
                <w:szCs w:val="22"/>
                <w:lang w:val="es-MX"/>
              </w:rPr>
              <w:t>N°</w:t>
            </w:r>
          </w:p>
        </w:tc>
        <w:tc>
          <w:tcPr>
            <w:tcW w:w="9400" w:type="dxa"/>
          </w:tcPr>
          <w:p w14:paraId="5ACBFF3E" w14:textId="77777777" w:rsidR="00561B22" w:rsidRPr="004E39E0" w:rsidRDefault="00561B22" w:rsidP="00F1223B">
            <w:pPr>
              <w:jc w:val="center"/>
              <w:rPr>
                <w:rFonts w:ascii="Arial" w:hAnsi="Arial" w:cs="Arial"/>
                <w:b/>
                <w:sz w:val="22"/>
                <w:szCs w:val="22"/>
                <w:lang w:val="es-MX"/>
              </w:rPr>
            </w:pPr>
            <w:r w:rsidRPr="004E39E0">
              <w:rPr>
                <w:rFonts w:ascii="Arial" w:hAnsi="Arial" w:cs="Arial"/>
                <w:b/>
                <w:sz w:val="22"/>
                <w:szCs w:val="22"/>
                <w:lang w:val="es-MX"/>
              </w:rPr>
              <w:t>RECOMENDACIONES</w:t>
            </w:r>
          </w:p>
          <w:p w14:paraId="5F0BC530" w14:textId="77777777" w:rsidR="00561B22" w:rsidRPr="004E39E0" w:rsidRDefault="00561B22" w:rsidP="00F1223B">
            <w:pPr>
              <w:jc w:val="center"/>
              <w:rPr>
                <w:rFonts w:ascii="Arial" w:hAnsi="Arial" w:cs="Arial"/>
                <w:b/>
                <w:sz w:val="22"/>
                <w:szCs w:val="22"/>
                <w:lang w:val="es-MX"/>
              </w:rPr>
            </w:pPr>
          </w:p>
        </w:tc>
      </w:tr>
      <w:tr w:rsidR="00561B22" w:rsidRPr="004E39E0" w14:paraId="081016ED" w14:textId="77777777" w:rsidTr="00F1223B">
        <w:tc>
          <w:tcPr>
            <w:tcW w:w="562" w:type="dxa"/>
          </w:tcPr>
          <w:p w14:paraId="39ACBF11" w14:textId="77777777" w:rsidR="00561B22" w:rsidRPr="004E39E0" w:rsidRDefault="00561B22" w:rsidP="00F1223B">
            <w:pPr>
              <w:jc w:val="center"/>
              <w:rPr>
                <w:rFonts w:ascii="Arial" w:hAnsi="Arial" w:cs="Arial"/>
                <w:b/>
                <w:sz w:val="22"/>
                <w:szCs w:val="22"/>
                <w:lang w:val="es-MX"/>
              </w:rPr>
            </w:pPr>
            <w:r w:rsidRPr="004E39E0">
              <w:rPr>
                <w:rFonts w:ascii="Arial" w:hAnsi="Arial" w:cs="Arial"/>
                <w:b/>
                <w:sz w:val="22"/>
                <w:szCs w:val="22"/>
                <w:lang w:val="es-MX"/>
              </w:rPr>
              <w:t>1</w:t>
            </w:r>
          </w:p>
        </w:tc>
        <w:tc>
          <w:tcPr>
            <w:tcW w:w="9400" w:type="dxa"/>
          </w:tcPr>
          <w:p w14:paraId="332AB28A" w14:textId="77777777" w:rsidR="00561B22" w:rsidRPr="004E39E0" w:rsidRDefault="00561B22" w:rsidP="00F1223B">
            <w:pPr>
              <w:jc w:val="both"/>
              <w:rPr>
                <w:rFonts w:ascii="Arial" w:hAnsi="Arial" w:cs="Arial"/>
                <w:sz w:val="22"/>
                <w:szCs w:val="22"/>
                <w:lang w:val="es-MX"/>
              </w:rPr>
            </w:pPr>
            <w:r w:rsidRPr="004E39E0">
              <w:rPr>
                <w:rFonts w:ascii="Arial" w:hAnsi="Arial" w:cs="Arial"/>
                <w:sz w:val="22"/>
                <w:szCs w:val="22"/>
                <w:lang w:val="es-MX"/>
              </w:rPr>
              <w:t xml:space="preserve">Incorporar en el Plan Institucional de Capacitaciones, temáticas alineadas al proceso contable. </w:t>
            </w:r>
          </w:p>
        </w:tc>
      </w:tr>
      <w:tr w:rsidR="00561B22" w:rsidRPr="004E39E0" w14:paraId="5B26A443" w14:textId="77777777" w:rsidTr="00F1223B">
        <w:tc>
          <w:tcPr>
            <w:tcW w:w="562" w:type="dxa"/>
          </w:tcPr>
          <w:p w14:paraId="6C4C3DD0" w14:textId="77777777" w:rsidR="00561B22" w:rsidRPr="004E39E0" w:rsidRDefault="00561B22" w:rsidP="00F1223B">
            <w:pPr>
              <w:jc w:val="center"/>
              <w:rPr>
                <w:rFonts w:ascii="Arial" w:hAnsi="Arial" w:cs="Arial"/>
                <w:b/>
                <w:sz w:val="22"/>
                <w:szCs w:val="22"/>
                <w:lang w:val="es-MX"/>
              </w:rPr>
            </w:pPr>
            <w:r w:rsidRPr="004E39E0">
              <w:rPr>
                <w:rFonts w:ascii="Arial" w:hAnsi="Arial" w:cs="Arial"/>
                <w:b/>
                <w:sz w:val="22"/>
                <w:szCs w:val="22"/>
                <w:lang w:val="es-MX"/>
              </w:rPr>
              <w:t>2</w:t>
            </w:r>
          </w:p>
        </w:tc>
        <w:tc>
          <w:tcPr>
            <w:tcW w:w="9400" w:type="dxa"/>
          </w:tcPr>
          <w:p w14:paraId="43EC4BD9" w14:textId="77777777" w:rsidR="00561B22" w:rsidRPr="004E39E0" w:rsidRDefault="00561B22" w:rsidP="00F1223B">
            <w:pPr>
              <w:rPr>
                <w:rFonts w:ascii="Arial" w:hAnsi="Arial" w:cs="Arial"/>
                <w:sz w:val="22"/>
                <w:szCs w:val="22"/>
                <w:lang w:val="es-MX"/>
              </w:rPr>
            </w:pPr>
            <w:r w:rsidRPr="004E39E0">
              <w:rPr>
                <w:rFonts w:ascii="Arial" w:hAnsi="Arial" w:cs="Arial"/>
                <w:sz w:val="22"/>
                <w:szCs w:val="22"/>
                <w:lang w:val="es-MX"/>
              </w:rPr>
              <w:t>Establecer lineamientos para el reconocimiento y medición posterior de los activos y pasivos de la entidad.</w:t>
            </w:r>
          </w:p>
        </w:tc>
      </w:tr>
    </w:tbl>
    <w:p w14:paraId="747895C6" w14:textId="77777777" w:rsidR="00561B22" w:rsidRPr="004E39E0" w:rsidRDefault="00561B22" w:rsidP="00561B22">
      <w:pPr>
        <w:jc w:val="both"/>
        <w:rPr>
          <w:rFonts w:ascii="Arial" w:hAnsi="Arial" w:cs="Arial"/>
          <w:b/>
          <w:lang w:val="es-MX"/>
        </w:rPr>
      </w:pPr>
    </w:p>
    <w:p w14:paraId="5116BB4C" w14:textId="77777777" w:rsidR="00561B22" w:rsidRPr="000F59C0" w:rsidRDefault="00561B22" w:rsidP="00561B22">
      <w:pPr>
        <w:jc w:val="both"/>
        <w:rPr>
          <w:rFonts w:ascii="Arial" w:hAnsi="Arial" w:cs="Arial"/>
          <w:b/>
          <w:sz w:val="24"/>
          <w:szCs w:val="24"/>
          <w:u w:val="single"/>
          <w:lang w:val="es-MX"/>
        </w:rPr>
      </w:pPr>
      <w:r w:rsidRPr="000F59C0">
        <w:rPr>
          <w:rFonts w:ascii="Arial" w:hAnsi="Arial" w:cs="Arial"/>
          <w:b/>
          <w:sz w:val="28"/>
          <w:szCs w:val="28"/>
          <w:lang w:val="es-MX"/>
        </w:rPr>
        <w:t xml:space="preserve">NOTA: </w:t>
      </w:r>
      <w:r w:rsidRPr="000F59C0">
        <w:rPr>
          <w:rFonts w:ascii="Arial" w:hAnsi="Arial" w:cs="Arial"/>
          <w:b/>
          <w:sz w:val="24"/>
          <w:szCs w:val="24"/>
          <w:lang w:val="es-MX"/>
        </w:rPr>
        <w:t xml:space="preserve">LA ENTIDAD ENVÍA LA MATRIZ DE AUTOEVALUACIÓN DEL SISTEMA DE CONTROL INTERNO CONTABLE CON ACTIVIDADES DE CONTROL REALIZADAS </w:t>
      </w:r>
      <w:r w:rsidRPr="000F59C0">
        <w:rPr>
          <w:rFonts w:ascii="Arial" w:hAnsi="Arial" w:cs="Arial"/>
          <w:b/>
          <w:sz w:val="24"/>
          <w:szCs w:val="24"/>
          <w:u w:val="single"/>
          <w:lang w:val="es-MX"/>
        </w:rPr>
        <w:t>EN FORMA PARCIAL Y OTRAS SIMPLEMENTE INFORMAN QUE NO SE REALIZARON.</w:t>
      </w:r>
    </w:p>
    <w:p w14:paraId="701C41E0" w14:textId="77777777" w:rsidR="00561B22" w:rsidRDefault="00561B22" w:rsidP="00561B22">
      <w:pPr>
        <w:jc w:val="both"/>
        <w:rPr>
          <w:rFonts w:ascii="Arial" w:hAnsi="Arial" w:cs="Arial"/>
          <w:b/>
          <w:bCs/>
          <w:lang w:val="es-MX"/>
        </w:rPr>
      </w:pPr>
    </w:p>
    <w:p w14:paraId="07182477" w14:textId="77777777" w:rsidR="00561B22" w:rsidRPr="004C02FC" w:rsidRDefault="00561B22" w:rsidP="00561B22">
      <w:pPr>
        <w:jc w:val="both"/>
        <w:rPr>
          <w:rFonts w:ascii="Arial" w:hAnsi="Arial" w:cs="Arial"/>
          <w:b/>
          <w:sz w:val="28"/>
          <w:szCs w:val="28"/>
          <w:lang w:val="es-MX"/>
        </w:rPr>
      </w:pPr>
      <w:r w:rsidRPr="004C02FC">
        <w:rPr>
          <w:rFonts w:ascii="Arial" w:hAnsi="Arial" w:cs="Arial"/>
          <w:b/>
          <w:sz w:val="28"/>
          <w:szCs w:val="28"/>
          <w:lang w:val="es-MX"/>
        </w:rPr>
        <w:t>308.- U.A.E. DE ORGANIZACIONES SOLIDARIAS.</w:t>
      </w:r>
    </w:p>
    <w:p w14:paraId="443BA6E6" w14:textId="77777777" w:rsidR="00561B22" w:rsidRDefault="00561B22" w:rsidP="00561B22">
      <w:pPr>
        <w:jc w:val="both"/>
        <w:rPr>
          <w:rFonts w:ascii="Arial" w:hAnsi="Arial" w:cs="Arial"/>
          <w:b/>
          <w:bCs/>
          <w:lang w:val="es-MX"/>
        </w:rPr>
      </w:pPr>
    </w:p>
    <w:p w14:paraId="3F7E8BD6" w14:textId="77777777" w:rsidR="00561B22" w:rsidRPr="007C023E" w:rsidRDefault="00561B22" w:rsidP="00561B22">
      <w:pPr>
        <w:pStyle w:val="Textoindependiente"/>
        <w:ind w:right="-50"/>
        <w:jc w:val="center"/>
        <w:rPr>
          <w:rFonts w:ascii="Arial" w:hAnsi="Arial" w:cs="Arial"/>
          <w:b/>
          <w:bCs/>
        </w:rPr>
      </w:pPr>
      <w:r w:rsidRPr="007C023E">
        <w:rPr>
          <w:rFonts w:ascii="Arial" w:hAnsi="Arial" w:cs="Arial"/>
          <w:b/>
          <w:bCs/>
        </w:rPr>
        <w:t>INFORME DE LA AUTOCALIFICACIÓN DEL SISTEMA DE CONTROL INTERNO CONTABLE:</w:t>
      </w:r>
    </w:p>
    <w:p w14:paraId="74C7791D" w14:textId="77777777" w:rsidR="00561B22" w:rsidRPr="007C023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C023E" w14:paraId="3DFA7FD9" w14:textId="77777777" w:rsidTr="00F1223B">
        <w:tc>
          <w:tcPr>
            <w:tcW w:w="4981" w:type="dxa"/>
          </w:tcPr>
          <w:p w14:paraId="237E4EB7" w14:textId="77777777" w:rsidR="00561B22" w:rsidRPr="007C023E" w:rsidRDefault="00561B22" w:rsidP="00F1223B">
            <w:pPr>
              <w:jc w:val="center"/>
              <w:rPr>
                <w:rFonts w:ascii="Arial" w:hAnsi="Arial" w:cs="Arial"/>
                <w:b/>
                <w:sz w:val="22"/>
                <w:szCs w:val="22"/>
                <w:lang w:val="es-MX"/>
              </w:rPr>
            </w:pPr>
            <w:r w:rsidRPr="007C023E">
              <w:rPr>
                <w:rFonts w:ascii="Arial" w:hAnsi="Arial" w:cs="Arial"/>
                <w:b/>
                <w:sz w:val="22"/>
                <w:szCs w:val="22"/>
                <w:lang w:val="es-MX"/>
              </w:rPr>
              <w:t>AUTOCALIFICACIÓN</w:t>
            </w:r>
          </w:p>
        </w:tc>
        <w:tc>
          <w:tcPr>
            <w:tcW w:w="4981" w:type="dxa"/>
          </w:tcPr>
          <w:p w14:paraId="3F9E7BA7" w14:textId="77777777" w:rsidR="00561B22" w:rsidRPr="007C023E" w:rsidRDefault="00561B22" w:rsidP="00F1223B">
            <w:pPr>
              <w:jc w:val="center"/>
              <w:rPr>
                <w:rFonts w:ascii="Arial" w:hAnsi="Arial" w:cs="Arial"/>
                <w:b/>
                <w:sz w:val="22"/>
                <w:szCs w:val="22"/>
                <w:u w:val="single"/>
                <w:lang w:val="es-MX"/>
              </w:rPr>
            </w:pPr>
            <w:r w:rsidRPr="007C023E">
              <w:rPr>
                <w:rFonts w:ascii="Arial" w:hAnsi="Arial" w:cs="Arial"/>
                <w:b/>
                <w:sz w:val="22"/>
                <w:szCs w:val="22"/>
                <w:u w:val="single"/>
                <w:lang w:val="es-MX"/>
              </w:rPr>
              <w:t>X.XX</w:t>
            </w:r>
          </w:p>
        </w:tc>
      </w:tr>
    </w:tbl>
    <w:p w14:paraId="4E077AED" w14:textId="77777777" w:rsidR="00561B22" w:rsidRPr="007C023E" w:rsidRDefault="00561B22" w:rsidP="00561B22">
      <w:pPr>
        <w:pStyle w:val="Textoindependiente"/>
        <w:ind w:right="-50"/>
        <w:jc w:val="both"/>
        <w:rPr>
          <w:rFonts w:ascii="Arial" w:hAnsi="Arial" w:cs="Arial"/>
          <w:b/>
          <w:bCs/>
        </w:rPr>
      </w:pPr>
    </w:p>
    <w:p w14:paraId="1003C0CC" w14:textId="77777777" w:rsidR="00561B22" w:rsidRPr="007C023E" w:rsidRDefault="00561B22" w:rsidP="00561B22">
      <w:pPr>
        <w:pStyle w:val="Textoindependiente"/>
        <w:ind w:right="-50"/>
        <w:jc w:val="both"/>
        <w:rPr>
          <w:rFonts w:ascii="Arial" w:hAnsi="Arial" w:cs="Arial"/>
          <w:b/>
          <w:bCs/>
        </w:rPr>
      </w:pPr>
      <w:r w:rsidRPr="007C023E">
        <w:rPr>
          <w:rFonts w:ascii="Arial" w:hAnsi="Arial" w:cs="Arial"/>
          <w:b/>
          <w:bCs/>
        </w:rPr>
        <w:t>Del informe enviado retomamos lo siguiente:</w:t>
      </w:r>
    </w:p>
    <w:p w14:paraId="7B081EC2" w14:textId="77777777" w:rsidR="00561B22" w:rsidRPr="007C023E"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C023E" w14:paraId="6987C36C" w14:textId="77777777" w:rsidTr="00F1223B">
        <w:tc>
          <w:tcPr>
            <w:tcW w:w="562" w:type="dxa"/>
          </w:tcPr>
          <w:p w14:paraId="0190F1B7" w14:textId="77777777" w:rsidR="00561B22" w:rsidRPr="007C023E" w:rsidRDefault="00561B22" w:rsidP="00F1223B">
            <w:pPr>
              <w:ind w:right="-109"/>
              <w:jc w:val="center"/>
              <w:rPr>
                <w:rFonts w:ascii="Arial" w:hAnsi="Arial" w:cs="Arial"/>
                <w:b/>
                <w:sz w:val="22"/>
                <w:szCs w:val="22"/>
                <w:lang w:val="es-MX"/>
              </w:rPr>
            </w:pPr>
            <w:r w:rsidRPr="007C023E">
              <w:rPr>
                <w:rFonts w:ascii="Arial" w:hAnsi="Arial" w:cs="Arial"/>
                <w:b/>
                <w:sz w:val="22"/>
                <w:szCs w:val="22"/>
                <w:lang w:val="es-MX"/>
              </w:rPr>
              <w:t>N°</w:t>
            </w:r>
          </w:p>
        </w:tc>
        <w:tc>
          <w:tcPr>
            <w:tcW w:w="9400" w:type="dxa"/>
          </w:tcPr>
          <w:p w14:paraId="3095A910" w14:textId="77777777" w:rsidR="00561B22" w:rsidRPr="007C023E" w:rsidRDefault="00561B22" w:rsidP="00F1223B">
            <w:pPr>
              <w:jc w:val="center"/>
              <w:rPr>
                <w:rFonts w:ascii="Arial" w:hAnsi="Arial" w:cs="Arial"/>
                <w:b/>
                <w:sz w:val="22"/>
                <w:szCs w:val="22"/>
                <w:lang w:val="es-MX"/>
              </w:rPr>
            </w:pPr>
            <w:r w:rsidRPr="007C023E">
              <w:rPr>
                <w:rFonts w:ascii="Arial" w:hAnsi="Arial" w:cs="Arial"/>
                <w:b/>
                <w:sz w:val="22"/>
                <w:szCs w:val="22"/>
                <w:lang w:val="es-MX"/>
              </w:rPr>
              <w:t>DEBILIDADES</w:t>
            </w:r>
          </w:p>
          <w:p w14:paraId="78838B66" w14:textId="77777777" w:rsidR="00561B22" w:rsidRPr="007C023E" w:rsidRDefault="00561B22" w:rsidP="00F1223B">
            <w:pPr>
              <w:jc w:val="center"/>
              <w:rPr>
                <w:rFonts w:ascii="Arial" w:hAnsi="Arial" w:cs="Arial"/>
                <w:b/>
                <w:sz w:val="22"/>
                <w:szCs w:val="22"/>
                <w:lang w:val="es-MX"/>
              </w:rPr>
            </w:pPr>
          </w:p>
        </w:tc>
      </w:tr>
      <w:tr w:rsidR="00561B22" w:rsidRPr="007C023E" w14:paraId="315D1EA6" w14:textId="77777777" w:rsidTr="00F1223B">
        <w:tc>
          <w:tcPr>
            <w:tcW w:w="562" w:type="dxa"/>
          </w:tcPr>
          <w:p w14:paraId="1860F61B"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1</w:t>
            </w:r>
          </w:p>
        </w:tc>
        <w:tc>
          <w:tcPr>
            <w:tcW w:w="9400" w:type="dxa"/>
          </w:tcPr>
          <w:p w14:paraId="5ACE248D"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Para la vigencia 2024 se aumentó la cantidad obligaciones presupuestales y contables en la unidad, debido al incremento del número de contratos de prestación de servicios generales y al incremento del rubro presupuestal de seguimiento al proyecto de Desarrollo socioempresarial lo que produjo un mayor número de comisiones a nivel territorial, esto hizo que a pesar de contar con un profesional adicional, la carga operativa del grupo de gestión financiera superara la capacidad del personal por la carga laboral.</w:t>
            </w:r>
          </w:p>
        </w:tc>
      </w:tr>
      <w:tr w:rsidR="00561B22" w:rsidRPr="007C023E" w14:paraId="58F43116" w14:textId="77777777" w:rsidTr="00F1223B">
        <w:tc>
          <w:tcPr>
            <w:tcW w:w="562" w:type="dxa"/>
          </w:tcPr>
          <w:p w14:paraId="5C6D8F95"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2</w:t>
            </w:r>
          </w:p>
        </w:tc>
        <w:tc>
          <w:tcPr>
            <w:tcW w:w="9400" w:type="dxa"/>
          </w:tcPr>
          <w:p w14:paraId="722A39B1"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La reserva presupuestal generada de la vigencia 2024, junto con el hecho de que el último pago de algunos de los contratos de prestación de servicios profesionales no se tramitó en las fechas estipuladas por el Ministerio de Hacienda y Crédito Público, por tanto, se generaron cuentas por pagar, produjo un incremento en la carga operativa del grupo de gestión financiera.</w:t>
            </w:r>
          </w:p>
        </w:tc>
      </w:tr>
    </w:tbl>
    <w:p w14:paraId="2B0C0783" w14:textId="77777777" w:rsidR="00561B22" w:rsidRPr="007C023E" w:rsidRDefault="00561B22" w:rsidP="00561B22">
      <w:pPr>
        <w:pStyle w:val="Textoindependiente"/>
        <w:ind w:right="-50"/>
        <w:jc w:val="both"/>
        <w:rPr>
          <w:rFonts w:ascii="Arial" w:hAnsi="Arial" w:cs="Arial"/>
          <w:bCs/>
        </w:rPr>
      </w:pPr>
    </w:p>
    <w:p w14:paraId="0789035C" w14:textId="77777777" w:rsidR="00561B22" w:rsidRPr="007C023E" w:rsidRDefault="00561B22" w:rsidP="00561B22">
      <w:pPr>
        <w:jc w:val="both"/>
        <w:rPr>
          <w:rFonts w:ascii="Arial" w:hAnsi="Arial" w:cs="Arial"/>
          <w:b/>
          <w:lang w:val="es-MX"/>
        </w:rPr>
      </w:pPr>
      <w:r w:rsidRPr="007C023E">
        <w:rPr>
          <w:rFonts w:ascii="Arial" w:hAnsi="Arial" w:cs="Arial"/>
          <w:b/>
          <w:lang w:val="es-MX"/>
        </w:rPr>
        <w:t>Del citado informe retomamos las siguientes recomendaciones:</w:t>
      </w:r>
    </w:p>
    <w:p w14:paraId="2E52A0F0" w14:textId="77777777" w:rsidR="00561B22" w:rsidRPr="007C023E" w:rsidRDefault="00561B22" w:rsidP="00561B22">
      <w:pPr>
        <w:pStyle w:val="Textoindependiente"/>
        <w:ind w:right="-50"/>
        <w:jc w:val="both"/>
        <w:rPr>
          <w:rFonts w:ascii="Arial" w:hAnsi="Arial" w:cs="Arial"/>
          <w:bCs/>
          <w:lang w:val="es-MX"/>
        </w:rPr>
      </w:pPr>
    </w:p>
    <w:tbl>
      <w:tblPr>
        <w:tblStyle w:val="Tablaconcuadrcula"/>
        <w:tblW w:w="0" w:type="auto"/>
        <w:tblLook w:val="04A0" w:firstRow="1" w:lastRow="0" w:firstColumn="1" w:lastColumn="0" w:noHBand="0" w:noVBand="1"/>
      </w:tblPr>
      <w:tblGrid>
        <w:gridCol w:w="562"/>
        <w:gridCol w:w="9400"/>
      </w:tblGrid>
      <w:tr w:rsidR="00561B22" w:rsidRPr="007C023E" w14:paraId="2C52F9D4" w14:textId="77777777" w:rsidTr="00F1223B">
        <w:tc>
          <w:tcPr>
            <w:tcW w:w="562" w:type="dxa"/>
          </w:tcPr>
          <w:p w14:paraId="32F4D9BA" w14:textId="77777777" w:rsidR="00561B22" w:rsidRPr="007C023E" w:rsidRDefault="00561B22" w:rsidP="00F1223B">
            <w:pPr>
              <w:ind w:right="-109"/>
              <w:jc w:val="both"/>
              <w:rPr>
                <w:rFonts w:ascii="Arial" w:hAnsi="Arial" w:cs="Arial"/>
                <w:bCs/>
                <w:sz w:val="22"/>
                <w:szCs w:val="22"/>
                <w:lang w:val="es-MX"/>
              </w:rPr>
            </w:pPr>
            <w:r w:rsidRPr="007C023E">
              <w:rPr>
                <w:rFonts w:ascii="Arial" w:hAnsi="Arial" w:cs="Arial"/>
                <w:bCs/>
                <w:sz w:val="22"/>
                <w:szCs w:val="22"/>
                <w:lang w:val="es-MX"/>
              </w:rPr>
              <w:t>N°</w:t>
            </w:r>
          </w:p>
        </w:tc>
        <w:tc>
          <w:tcPr>
            <w:tcW w:w="9400" w:type="dxa"/>
          </w:tcPr>
          <w:p w14:paraId="7651736F" w14:textId="77777777" w:rsidR="00561B22" w:rsidRPr="007C023E" w:rsidRDefault="00561B22" w:rsidP="00F1223B">
            <w:pPr>
              <w:jc w:val="center"/>
              <w:rPr>
                <w:rFonts w:ascii="Arial" w:hAnsi="Arial" w:cs="Arial"/>
                <w:b/>
                <w:sz w:val="22"/>
                <w:szCs w:val="22"/>
                <w:lang w:val="es-MX"/>
              </w:rPr>
            </w:pPr>
            <w:r w:rsidRPr="007C023E">
              <w:rPr>
                <w:rFonts w:ascii="Arial" w:hAnsi="Arial" w:cs="Arial"/>
                <w:b/>
                <w:sz w:val="22"/>
                <w:szCs w:val="22"/>
                <w:lang w:val="es-MX"/>
              </w:rPr>
              <w:t>RECOMENDACIONES</w:t>
            </w:r>
          </w:p>
          <w:p w14:paraId="2DC65260" w14:textId="77777777" w:rsidR="00561B22" w:rsidRPr="007C023E" w:rsidRDefault="00561B22" w:rsidP="00F1223B">
            <w:pPr>
              <w:jc w:val="both"/>
              <w:rPr>
                <w:rFonts w:ascii="Arial" w:hAnsi="Arial" w:cs="Arial"/>
                <w:bCs/>
                <w:sz w:val="22"/>
                <w:szCs w:val="22"/>
                <w:lang w:val="es-MX"/>
              </w:rPr>
            </w:pPr>
          </w:p>
        </w:tc>
      </w:tr>
      <w:tr w:rsidR="00561B22" w:rsidRPr="007C023E" w14:paraId="769A724C" w14:textId="77777777" w:rsidTr="00F1223B">
        <w:tc>
          <w:tcPr>
            <w:tcW w:w="562" w:type="dxa"/>
          </w:tcPr>
          <w:p w14:paraId="06470266"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1</w:t>
            </w:r>
          </w:p>
        </w:tc>
        <w:tc>
          <w:tcPr>
            <w:tcW w:w="9400" w:type="dxa"/>
          </w:tcPr>
          <w:p w14:paraId="6D33C85C"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 xml:space="preserve">Se recomienda gestionar por parte del grupo TIC´S la actualización del desarrollo del software para el control de inventarios, a fin de poder realizar el cargue automático de la información y se disminuya los márgenes de error, surtir el proceso de pruebas y el paso a producción </w:t>
            </w:r>
            <w:r w:rsidRPr="007C023E">
              <w:rPr>
                <w:rFonts w:ascii="Arial" w:hAnsi="Arial" w:cs="Arial"/>
                <w:bCs/>
                <w:sz w:val="22"/>
                <w:szCs w:val="22"/>
                <w:lang w:val="es-MX"/>
              </w:rPr>
              <w:lastRenderedPageBreak/>
              <w:t xml:space="preserve">definitivo del software de inventario de bienes.  </w:t>
            </w:r>
          </w:p>
        </w:tc>
      </w:tr>
      <w:tr w:rsidR="00561B22" w:rsidRPr="007C023E" w14:paraId="1488256C" w14:textId="77777777" w:rsidTr="00F1223B">
        <w:tc>
          <w:tcPr>
            <w:tcW w:w="562" w:type="dxa"/>
          </w:tcPr>
          <w:p w14:paraId="1E1FB7A3" w14:textId="77777777" w:rsidR="00561B22" w:rsidRPr="007C023E" w:rsidRDefault="00561B22" w:rsidP="00F1223B">
            <w:pPr>
              <w:jc w:val="center"/>
              <w:rPr>
                <w:rFonts w:ascii="Arial" w:hAnsi="Arial" w:cs="Arial"/>
                <w:b/>
                <w:sz w:val="22"/>
                <w:szCs w:val="22"/>
                <w:lang w:val="es-MX"/>
              </w:rPr>
            </w:pPr>
            <w:r w:rsidRPr="007C023E">
              <w:rPr>
                <w:rFonts w:ascii="Arial" w:hAnsi="Arial" w:cs="Arial"/>
                <w:b/>
                <w:sz w:val="22"/>
                <w:szCs w:val="22"/>
                <w:lang w:val="es-MX"/>
              </w:rPr>
              <w:lastRenderedPageBreak/>
              <w:t>2</w:t>
            </w:r>
          </w:p>
        </w:tc>
        <w:tc>
          <w:tcPr>
            <w:tcW w:w="9400" w:type="dxa"/>
          </w:tcPr>
          <w:p w14:paraId="41D49C97"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Se recomienda solicitar la ampliación de la planta de personal de la unidad, en la cual se incluya de manera independiente funcionarios para los cargos de contador y coordinador del grupo de gestión financiera.</w:t>
            </w:r>
          </w:p>
        </w:tc>
      </w:tr>
      <w:tr w:rsidR="00561B22" w:rsidRPr="007C023E" w14:paraId="1FB5B9A2" w14:textId="77777777" w:rsidTr="00F1223B">
        <w:tc>
          <w:tcPr>
            <w:tcW w:w="562" w:type="dxa"/>
          </w:tcPr>
          <w:p w14:paraId="46106E89" w14:textId="77777777" w:rsidR="00561B22" w:rsidRPr="007C023E" w:rsidRDefault="00561B22" w:rsidP="00F1223B">
            <w:pPr>
              <w:jc w:val="center"/>
              <w:rPr>
                <w:rFonts w:ascii="Arial" w:hAnsi="Arial" w:cs="Arial"/>
                <w:b/>
                <w:sz w:val="22"/>
                <w:szCs w:val="22"/>
                <w:lang w:val="es-MX"/>
              </w:rPr>
            </w:pPr>
            <w:r w:rsidRPr="007C023E">
              <w:rPr>
                <w:rFonts w:ascii="Arial" w:hAnsi="Arial" w:cs="Arial"/>
                <w:b/>
                <w:sz w:val="22"/>
                <w:szCs w:val="22"/>
                <w:lang w:val="es-MX"/>
              </w:rPr>
              <w:t>3</w:t>
            </w:r>
          </w:p>
        </w:tc>
        <w:tc>
          <w:tcPr>
            <w:tcW w:w="9400" w:type="dxa"/>
          </w:tcPr>
          <w:p w14:paraId="7F6D507D"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Para la vigencia 2024 se recomienda fortalecer el grupo de gestión financiera con un profesional del área contable con experiencia en el manejo de SIIF Nación.</w:t>
            </w:r>
          </w:p>
        </w:tc>
      </w:tr>
      <w:tr w:rsidR="00561B22" w:rsidRPr="007C023E" w14:paraId="00EF16E6" w14:textId="77777777" w:rsidTr="00F1223B">
        <w:tc>
          <w:tcPr>
            <w:tcW w:w="562" w:type="dxa"/>
          </w:tcPr>
          <w:p w14:paraId="199F36D3" w14:textId="77777777" w:rsidR="00561B22" w:rsidRPr="007C023E" w:rsidRDefault="00561B22" w:rsidP="00F1223B">
            <w:pPr>
              <w:jc w:val="center"/>
              <w:rPr>
                <w:rFonts w:ascii="Arial" w:hAnsi="Arial" w:cs="Arial"/>
                <w:b/>
                <w:sz w:val="22"/>
                <w:szCs w:val="22"/>
                <w:lang w:val="es-MX"/>
              </w:rPr>
            </w:pPr>
            <w:r w:rsidRPr="007C023E">
              <w:rPr>
                <w:rFonts w:ascii="Arial" w:hAnsi="Arial" w:cs="Arial"/>
                <w:b/>
                <w:sz w:val="22"/>
                <w:szCs w:val="22"/>
                <w:lang w:val="es-MX"/>
              </w:rPr>
              <w:t>4</w:t>
            </w:r>
          </w:p>
        </w:tc>
        <w:tc>
          <w:tcPr>
            <w:tcW w:w="9400" w:type="dxa"/>
          </w:tcPr>
          <w:p w14:paraId="0C06EE42" w14:textId="77777777" w:rsidR="00561B22" w:rsidRPr="007C023E" w:rsidRDefault="00561B22" w:rsidP="00F1223B">
            <w:pPr>
              <w:jc w:val="both"/>
              <w:rPr>
                <w:rFonts w:ascii="Arial" w:hAnsi="Arial" w:cs="Arial"/>
                <w:bCs/>
                <w:sz w:val="22"/>
                <w:szCs w:val="22"/>
                <w:lang w:val="es-MX"/>
              </w:rPr>
            </w:pPr>
            <w:r w:rsidRPr="007C023E">
              <w:rPr>
                <w:rFonts w:ascii="Arial" w:hAnsi="Arial" w:cs="Arial"/>
                <w:bCs/>
                <w:sz w:val="22"/>
                <w:szCs w:val="22"/>
                <w:lang w:val="es-MX"/>
              </w:rPr>
              <w:t>Se recomienda que los convenios interadministrativos o de asociación que se suscriban durante la vigencia 2024 cuenten con fechas de finalización coherentes con las fechas estipuladas por el ministerio de hacienda para los respectivos pagos, adicionalmente con respecto a los contratos de prestación de servicios profesionales tengan como fecha final máximo 24 de diciembre de 2024.</w:t>
            </w:r>
          </w:p>
        </w:tc>
      </w:tr>
    </w:tbl>
    <w:p w14:paraId="6F4E1C84" w14:textId="77777777" w:rsidR="00561B22" w:rsidRPr="007C023E" w:rsidRDefault="00561B22" w:rsidP="00561B22">
      <w:pPr>
        <w:pStyle w:val="Textoindependiente"/>
        <w:ind w:right="-50"/>
        <w:jc w:val="both"/>
        <w:rPr>
          <w:rFonts w:ascii="Arial" w:hAnsi="Arial" w:cs="Arial"/>
          <w:b/>
          <w:bCs/>
          <w:sz w:val="28"/>
          <w:szCs w:val="28"/>
        </w:rPr>
      </w:pPr>
    </w:p>
    <w:p w14:paraId="22A8DF2E" w14:textId="77777777" w:rsidR="00561B22" w:rsidRPr="007C023E" w:rsidRDefault="00561B22" w:rsidP="00561B22">
      <w:pPr>
        <w:jc w:val="both"/>
        <w:rPr>
          <w:rFonts w:ascii="Arial" w:hAnsi="Arial" w:cs="Arial"/>
          <w:b/>
          <w:bCs/>
          <w:sz w:val="24"/>
          <w:szCs w:val="24"/>
          <w:lang w:val="es-CO"/>
        </w:rPr>
      </w:pPr>
      <w:r w:rsidRPr="007C023E">
        <w:rPr>
          <w:rFonts w:ascii="Arial" w:hAnsi="Arial" w:cs="Arial"/>
          <w:b/>
          <w:bCs/>
          <w:sz w:val="24"/>
          <w:szCs w:val="24"/>
          <w:lang w:val="es-CO"/>
        </w:rPr>
        <w:t xml:space="preserve">NOTA: LA ENTIDAD ENVÍA LA MATRIZ DE AUTOEVALUACIÓN DEL SISTEMA DE CONTROL INTERNO CONTABLE CON ACTIVIDADES DE CONTROL </w:t>
      </w:r>
      <w:r w:rsidRPr="007C023E">
        <w:rPr>
          <w:rFonts w:ascii="Arial" w:hAnsi="Arial" w:cs="Arial"/>
          <w:b/>
          <w:bCs/>
          <w:sz w:val="24"/>
          <w:szCs w:val="24"/>
          <w:u w:val="single"/>
          <w:lang w:val="es-CO"/>
        </w:rPr>
        <w:t>QUE NO SE REALIZARON</w:t>
      </w:r>
      <w:r w:rsidRPr="007C023E">
        <w:rPr>
          <w:rFonts w:ascii="Arial" w:hAnsi="Arial" w:cs="Arial"/>
          <w:b/>
          <w:bCs/>
          <w:sz w:val="24"/>
          <w:szCs w:val="24"/>
          <w:lang w:val="es-CO"/>
        </w:rPr>
        <w:t>.</w:t>
      </w:r>
    </w:p>
    <w:p w14:paraId="4386A407" w14:textId="77777777" w:rsidR="00561B22" w:rsidRPr="007C023E" w:rsidRDefault="00561B22" w:rsidP="00561B22">
      <w:pPr>
        <w:ind w:left="720" w:hanging="720"/>
        <w:jc w:val="both"/>
        <w:rPr>
          <w:rFonts w:ascii="Arial" w:hAnsi="Arial" w:cs="Arial"/>
          <w:b/>
          <w:bCs/>
          <w:sz w:val="24"/>
          <w:szCs w:val="24"/>
          <w:lang w:val="es-CO"/>
        </w:rPr>
      </w:pPr>
    </w:p>
    <w:p w14:paraId="1F4F82DA" w14:textId="77777777" w:rsidR="00561B22" w:rsidRDefault="00561B22" w:rsidP="00561B22">
      <w:pPr>
        <w:ind w:right="-93"/>
        <w:jc w:val="both"/>
        <w:rPr>
          <w:rFonts w:ascii="Arial" w:hAnsi="Arial" w:cs="Arial"/>
          <w:b/>
          <w:sz w:val="28"/>
          <w:szCs w:val="28"/>
          <w:lang w:val="es-MX"/>
        </w:rPr>
      </w:pPr>
      <w:r w:rsidRPr="00E21C58">
        <w:rPr>
          <w:rFonts w:ascii="Arial" w:hAnsi="Arial" w:cs="Arial"/>
          <w:b/>
          <w:sz w:val="28"/>
          <w:szCs w:val="28"/>
          <w:lang w:val="es-MX"/>
        </w:rPr>
        <w:t>309.- CORPORACIÓN AUTÓNOMA REGIONAL DEL GUAVIO – CORPOGUAVIO.</w:t>
      </w:r>
    </w:p>
    <w:p w14:paraId="485BA4A9" w14:textId="77777777" w:rsidR="00561B22" w:rsidRDefault="00561B22" w:rsidP="00561B22">
      <w:pPr>
        <w:jc w:val="both"/>
        <w:rPr>
          <w:rFonts w:ascii="Arial" w:hAnsi="Arial" w:cs="Arial"/>
          <w:b/>
          <w:bCs/>
          <w:lang w:val="es-MX"/>
        </w:rPr>
      </w:pPr>
    </w:p>
    <w:p w14:paraId="7EC8BB76" w14:textId="77777777" w:rsidR="00561B22" w:rsidRPr="00634509" w:rsidRDefault="00561B22" w:rsidP="00561B22">
      <w:pPr>
        <w:pStyle w:val="Textoindependiente"/>
        <w:ind w:right="-50"/>
        <w:jc w:val="center"/>
        <w:rPr>
          <w:rFonts w:ascii="Arial" w:hAnsi="Arial" w:cs="Arial"/>
          <w:b/>
          <w:bCs/>
        </w:rPr>
      </w:pPr>
      <w:r w:rsidRPr="00634509">
        <w:rPr>
          <w:rFonts w:ascii="Arial" w:hAnsi="Arial" w:cs="Arial"/>
          <w:b/>
          <w:bCs/>
        </w:rPr>
        <w:t>INFORME DE LA AUTOCALIFICACIÓN DEL SISTEMA DE CONTROL INTERNO CONTABLE:</w:t>
      </w:r>
    </w:p>
    <w:p w14:paraId="75CC966D" w14:textId="77777777" w:rsidR="00561B22" w:rsidRPr="006345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34509" w14:paraId="3D61B708" w14:textId="77777777" w:rsidTr="00F1223B">
        <w:tc>
          <w:tcPr>
            <w:tcW w:w="4981" w:type="dxa"/>
          </w:tcPr>
          <w:p w14:paraId="44B3B77A"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AUTOCALIFICACIÓN</w:t>
            </w:r>
          </w:p>
        </w:tc>
        <w:tc>
          <w:tcPr>
            <w:tcW w:w="4981" w:type="dxa"/>
          </w:tcPr>
          <w:p w14:paraId="3D92A21B" w14:textId="77777777" w:rsidR="00561B22" w:rsidRPr="00634509" w:rsidRDefault="00561B22" w:rsidP="00F1223B">
            <w:pPr>
              <w:jc w:val="center"/>
              <w:rPr>
                <w:rFonts w:ascii="Arial" w:hAnsi="Arial" w:cs="Arial"/>
                <w:b/>
                <w:sz w:val="22"/>
                <w:szCs w:val="22"/>
                <w:u w:val="single"/>
                <w:lang w:val="es-MX"/>
              </w:rPr>
            </w:pPr>
            <w:r w:rsidRPr="00634509">
              <w:rPr>
                <w:rFonts w:ascii="Arial" w:hAnsi="Arial" w:cs="Arial"/>
                <w:b/>
                <w:sz w:val="22"/>
                <w:szCs w:val="22"/>
                <w:u w:val="single"/>
                <w:lang w:val="es-MX"/>
              </w:rPr>
              <w:t>4.92</w:t>
            </w:r>
          </w:p>
        </w:tc>
      </w:tr>
    </w:tbl>
    <w:p w14:paraId="68B783D9" w14:textId="77777777" w:rsidR="00561B22" w:rsidRPr="00634509" w:rsidRDefault="00561B22" w:rsidP="00561B22">
      <w:pPr>
        <w:pStyle w:val="Textoindependiente"/>
        <w:ind w:right="-50"/>
        <w:jc w:val="both"/>
        <w:rPr>
          <w:rFonts w:ascii="Arial" w:hAnsi="Arial" w:cs="Arial"/>
          <w:b/>
          <w:bCs/>
        </w:rPr>
      </w:pPr>
    </w:p>
    <w:p w14:paraId="634A02C8" w14:textId="77777777" w:rsidR="00561B22" w:rsidRPr="00634509" w:rsidRDefault="00561B22" w:rsidP="00561B22">
      <w:pPr>
        <w:pStyle w:val="Textoindependiente"/>
        <w:ind w:right="-50"/>
        <w:jc w:val="both"/>
        <w:rPr>
          <w:rFonts w:ascii="Arial" w:hAnsi="Arial" w:cs="Arial"/>
          <w:b/>
          <w:bCs/>
        </w:rPr>
      </w:pPr>
      <w:r w:rsidRPr="00634509">
        <w:rPr>
          <w:rFonts w:ascii="Arial" w:hAnsi="Arial" w:cs="Arial"/>
          <w:b/>
          <w:bCs/>
        </w:rPr>
        <w:t>Del informe enviado retomamos lo siguiente:</w:t>
      </w:r>
    </w:p>
    <w:p w14:paraId="2959A287" w14:textId="77777777" w:rsidR="00561B22" w:rsidRPr="0063450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34509" w14:paraId="3E1151BD" w14:textId="77777777" w:rsidTr="00F1223B">
        <w:tc>
          <w:tcPr>
            <w:tcW w:w="562" w:type="dxa"/>
          </w:tcPr>
          <w:p w14:paraId="6EBCCFC9" w14:textId="77777777" w:rsidR="00561B22" w:rsidRPr="00634509" w:rsidRDefault="00561B22" w:rsidP="00F1223B">
            <w:pPr>
              <w:ind w:right="-109"/>
              <w:jc w:val="center"/>
              <w:rPr>
                <w:rFonts w:ascii="Arial" w:hAnsi="Arial" w:cs="Arial"/>
                <w:b/>
                <w:sz w:val="22"/>
                <w:szCs w:val="22"/>
                <w:lang w:val="es-MX"/>
              </w:rPr>
            </w:pPr>
            <w:r w:rsidRPr="00634509">
              <w:rPr>
                <w:rFonts w:ascii="Arial" w:hAnsi="Arial" w:cs="Arial"/>
                <w:b/>
                <w:sz w:val="22"/>
                <w:szCs w:val="22"/>
                <w:lang w:val="es-MX"/>
              </w:rPr>
              <w:t>N°</w:t>
            </w:r>
          </w:p>
        </w:tc>
        <w:tc>
          <w:tcPr>
            <w:tcW w:w="9400" w:type="dxa"/>
          </w:tcPr>
          <w:p w14:paraId="5C7C3B71"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DEBILIDADES</w:t>
            </w:r>
          </w:p>
          <w:p w14:paraId="25014DC5" w14:textId="77777777" w:rsidR="00561B22" w:rsidRPr="00634509" w:rsidRDefault="00561B22" w:rsidP="00F1223B">
            <w:pPr>
              <w:jc w:val="center"/>
              <w:rPr>
                <w:rFonts w:ascii="Arial" w:hAnsi="Arial" w:cs="Arial"/>
                <w:b/>
                <w:sz w:val="22"/>
                <w:szCs w:val="22"/>
                <w:lang w:val="es-MX"/>
              </w:rPr>
            </w:pPr>
          </w:p>
        </w:tc>
      </w:tr>
      <w:tr w:rsidR="00561B22" w:rsidRPr="00634509" w14:paraId="31C55396" w14:textId="77777777" w:rsidTr="00F1223B">
        <w:tc>
          <w:tcPr>
            <w:tcW w:w="562" w:type="dxa"/>
          </w:tcPr>
          <w:p w14:paraId="39798AF7"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1</w:t>
            </w:r>
          </w:p>
        </w:tc>
        <w:tc>
          <w:tcPr>
            <w:tcW w:w="9400" w:type="dxa"/>
          </w:tcPr>
          <w:p w14:paraId="06D4EE44"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 xml:space="preserve">Es necesario continuar con actualización de los procedimientos contables de acuerdo al manual de la política contable.  </w:t>
            </w:r>
          </w:p>
        </w:tc>
      </w:tr>
      <w:tr w:rsidR="00561B22" w:rsidRPr="00634509" w14:paraId="572A5CBB" w14:textId="77777777" w:rsidTr="00F1223B">
        <w:tc>
          <w:tcPr>
            <w:tcW w:w="562" w:type="dxa"/>
          </w:tcPr>
          <w:p w14:paraId="7A2473C3"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2</w:t>
            </w:r>
          </w:p>
        </w:tc>
        <w:tc>
          <w:tcPr>
            <w:tcW w:w="9400" w:type="dxa"/>
          </w:tcPr>
          <w:p w14:paraId="6379EA9C"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 xml:space="preserve">La matriz de riesgos carece de objetividad basados en hechos y datos.  </w:t>
            </w:r>
          </w:p>
        </w:tc>
      </w:tr>
    </w:tbl>
    <w:p w14:paraId="0F3447A8" w14:textId="77777777" w:rsidR="00561B22" w:rsidRPr="00634509" w:rsidRDefault="00561B22" w:rsidP="00561B22">
      <w:pPr>
        <w:pStyle w:val="Textoindependiente"/>
        <w:ind w:right="-50"/>
        <w:jc w:val="both"/>
        <w:rPr>
          <w:rFonts w:ascii="Arial" w:hAnsi="Arial" w:cs="Arial"/>
          <w:b/>
          <w:bCs/>
        </w:rPr>
      </w:pPr>
    </w:p>
    <w:p w14:paraId="63ADA3B6" w14:textId="77777777" w:rsidR="00561B22" w:rsidRPr="00634509" w:rsidRDefault="00561B22" w:rsidP="00561B22">
      <w:pPr>
        <w:jc w:val="both"/>
        <w:rPr>
          <w:rFonts w:ascii="Arial" w:hAnsi="Arial" w:cs="Arial"/>
          <w:b/>
          <w:lang w:val="es-MX"/>
        </w:rPr>
      </w:pPr>
      <w:r w:rsidRPr="00634509">
        <w:rPr>
          <w:rFonts w:ascii="Arial" w:hAnsi="Arial" w:cs="Arial"/>
          <w:b/>
          <w:lang w:val="es-MX"/>
        </w:rPr>
        <w:t>Del citado informe retomamos las siguientes recomendaciones:</w:t>
      </w:r>
    </w:p>
    <w:p w14:paraId="176E795A" w14:textId="77777777" w:rsidR="00561B22" w:rsidRPr="00634509"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634509" w14:paraId="59E80616" w14:textId="77777777" w:rsidTr="00F1223B">
        <w:tc>
          <w:tcPr>
            <w:tcW w:w="562" w:type="dxa"/>
          </w:tcPr>
          <w:p w14:paraId="04322B52" w14:textId="77777777" w:rsidR="00561B22" w:rsidRPr="00634509" w:rsidRDefault="00561B22" w:rsidP="00F1223B">
            <w:pPr>
              <w:ind w:right="-109"/>
              <w:jc w:val="center"/>
              <w:rPr>
                <w:rFonts w:ascii="Arial" w:hAnsi="Arial" w:cs="Arial"/>
                <w:b/>
                <w:sz w:val="22"/>
                <w:szCs w:val="22"/>
                <w:lang w:val="es-MX"/>
              </w:rPr>
            </w:pPr>
            <w:r w:rsidRPr="00634509">
              <w:rPr>
                <w:rFonts w:ascii="Arial" w:hAnsi="Arial" w:cs="Arial"/>
                <w:b/>
                <w:sz w:val="22"/>
                <w:szCs w:val="22"/>
                <w:lang w:val="es-MX"/>
              </w:rPr>
              <w:t>N°</w:t>
            </w:r>
          </w:p>
        </w:tc>
        <w:tc>
          <w:tcPr>
            <w:tcW w:w="9400" w:type="dxa"/>
          </w:tcPr>
          <w:p w14:paraId="13B4900E"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RECOMENDACIONES</w:t>
            </w:r>
          </w:p>
          <w:p w14:paraId="11072375" w14:textId="77777777" w:rsidR="00561B22" w:rsidRPr="00634509" w:rsidRDefault="00561B22" w:rsidP="00F1223B">
            <w:pPr>
              <w:jc w:val="center"/>
              <w:rPr>
                <w:rFonts w:ascii="Arial" w:hAnsi="Arial" w:cs="Arial"/>
                <w:b/>
                <w:sz w:val="22"/>
                <w:szCs w:val="22"/>
                <w:lang w:val="es-MX"/>
              </w:rPr>
            </w:pPr>
          </w:p>
        </w:tc>
      </w:tr>
      <w:tr w:rsidR="00561B22" w:rsidRPr="00634509" w14:paraId="1F6DF636" w14:textId="77777777" w:rsidTr="00F1223B">
        <w:tc>
          <w:tcPr>
            <w:tcW w:w="562" w:type="dxa"/>
          </w:tcPr>
          <w:p w14:paraId="353E57E1"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1</w:t>
            </w:r>
          </w:p>
        </w:tc>
        <w:tc>
          <w:tcPr>
            <w:tcW w:w="9400" w:type="dxa"/>
          </w:tcPr>
          <w:p w14:paraId="33BE1D11"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Verificar los procedimientos y formatos con el fin de que se realicen las respectivas actualizaciones de los procesos.</w:t>
            </w:r>
          </w:p>
        </w:tc>
      </w:tr>
      <w:tr w:rsidR="00561B22" w:rsidRPr="00634509" w14:paraId="42F81A25" w14:textId="77777777" w:rsidTr="00F1223B">
        <w:tc>
          <w:tcPr>
            <w:tcW w:w="562" w:type="dxa"/>
          </w:tcPr>
          <w:p w14:paraId="588B31B5"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2</w:t>
            </w:r>
          </w:p>
        </w:tc>
        <w:tc>
          <w:tcPr>
            <w:tcW w:w="9400" w:type="dxa"/>
          </w:tcPr>
          <w:p w14:paraId="6EFEE084"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Verificar los procedimientos y formatos con el fin de que se realicen las respectivas actualizaciones de los procesos.</w:t>
            </w:r>
          </w:p>
        </w:tc>
      </w:tr>
      <w:tr w:rsidR="00561B22" w:rsidRPr="00634509" w14:paraId="149EAE78" w14:textId="77777777" w:rsidTr="00F1223B">
        <w:tc>
          <w:tcPr>
            <w:tcW w:w="562" w:type="dxa"/>
          </w:tcPr>
          <w:p w14:paraId="430FD063"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3</w:t>
            </w:r>
          </w:p>
        </w:tc>
        <w:tc>
          <w:tcPr>
            <w:tcW w:w="9400" w:type="dxa"/>
          </w:tcPr>
          <w:p w14:paraId="50BA42BA"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 xml:space="preserve">Establecer dentro de los procedimientos puntos de control, segregación de responsabilidades, indicadores de medición y flujogramas que permitan facilitar el flujo de información contable.  </w:t>
            </w:r>
          </w:p>
        </w:tc>
      </w:tr>
      <w:tr w:rsidR="00561B22" w:rsidRPr="00634509" w14:paraId="2B4F1745" w14:textId="77777777" w:rsidTr="00F1223B">
        <w:tc>
          <w:tcPr>
            <w:tcW w:w="562" w:type="dxa"/>
          </w:tcPr>
          <w:p w14:paraId="2697DD5B"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4</w:t>
            </w:r>
          </w:p>
        </w:tc>
        <w:tc>
          <w:tcPr>
            <w:tcW w:w="9400" w:type="dxa"/>
          </w:tcPr>
          <w:p w14:paraId="2B13A288"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Realizar la verificación y actualización de documentos de los procesos contables en el aplicativo interno del SIGYCO y realizar las respectivas socializaciones posterior a la actualización de la información; mejorar los mecanismos de socialización.</w:t>
            </w:r>
          </w:p>
        </w:tc>
      </w:tr>
      <w:tr w:rsidR="00561B22" w:rsidRPr="00634509" w14:paraId="474B534E" w14:textId="77777777" w:rsidTr="00F1223B">
        <w:tc>
          <w:tcPr>
            <w:tcW w:w="562" w:type="dxa"/>
          </w:tcPr>
          <w:p w14:paraId="143C8012" w14:textId="77777777" w:rsidR="00561B22" w:rsidRPr="00634509" w:rsidRDefault="00561B22" w:rsidP="00F1223B">
            <w:pPr>
              <w:jc w:val="center"/>
              <w:rPr>
                <w:rFonts w:ascii="Arial" w:hAnsi="Arial" w:cs="Arial"/>
                <w:b/>
                <w:sz w:val="22"/>
                <w:szCs w:val="22"/>
                <w:lang w:val="es-MX"/>
              </w:rPr>
            </w:pPr>
            <w:r w:rsidRPr="00634509">
              <w:rPr>
                <w:rFonts w:ascii="Arial" w:hAnsi="Arial" w:cs="Arial"/>
                <w:b/>
                <w:sz w:val="22"/>
                <w:szCs w:val="22"/>
                <w:lang w:val="es-MX"/>
              </w:rPr>
              <w:t>5</w:t>
            </w:r>
          </w:p>
        </w:tc>
        <w:tc>
          <w:tcPr>
            <w:tcW w:w="9400" w:type="dxa"/>
          </w:tcPr>
          <w:p w14:paraId="7009E962" w14:textId="77777777" w:rsidR="00561B22" w:rsidRPr="00634509" w:rsidRDefault="00561B22" w:rsidP="00F1223B">
            <w:pPr>
              <w:jc w:val="both"/>
              <w:rPr>
                <w:rFonts w:ascii="Arial" w:hAnsi="Arial" w:cs="Arial"/>
                <w:bCs/>
                <w:sz w:val="22"/>
                <w:szCs w:val="22"/>
                <w:lang w:val="es-MX"/>
              </w:rPr>
            </w:pPr>
            <w:r w:rsidRPr="00634509">
              <w:rPr>
                <w:rFonts w:ascii="Arial" w:hAnsi="Arial" w:cs="Arial"/>
                <w:bCs/>
                <w:sz w:val="22"/>
                <w:szCs w:val="22"/>
                <w:lang w:val="es-MX"/>
              </w:rPr>
              <w:t xml:space="preserve">Identificar los riesgos financieros en los respectivos procesos contables.  </w:t>
            </w:r>
          </w:p>
        </w:tc>
      </w:tr>
    </w:tbl>
    <w:p w14:paraId="2FC7B72C" w14:textId="77777777" w:rsidR="00561B22" w:rsidRPr="00634509" w:rsidRDefault="00561B22" w:rsidP="00561B22">
      <w:pPr>
        <w:pStyle w:val="Textoindependiente"/>
        <w:ind w:right="-50"/>
        <w:jc w:val="both"/>
        <w:rPr>
          <w:rFonts w:ascii="Arial" w:hAnsi="Arial" w:cs="Arial"/>
          <w:b/>
          <w:bCs/>
        </w:rPr>
      </w:pPr>
    </w:p>
    <w:p w14:paraId="1BCAD2AD" w14:textId="77777777" w:rsidR="00561B22" w:rsidRPr="00634509" w:rsidRDefault="00561B22" w:rsidP="00561B22">
      <w:pPr>
        <w:jc w:val="both"/>
        <w:rPr>
          <w:rFonts w:ascii="Arial" w:hAnsi="Arial" w:cs="Arial"/>
          <w:b/>
          <w:bCs/>
          <w:sz w:val="24"/>
          <w:szCs w:val="24"/>
          <w:lang w:val="es-CO"/>
        </w:rPr>
      </w:pPr>
      <w:r w:rsidRPr="00634509">
        <w:rPr>
          <w:rFonts w:ascii="Arial" w:hAnsi="Arial" w:cs="Arial"/>
          <w:b/>
          <w:bCs/>
          <w:sz w:val="24"/>
          <w:szCs w:val="24"/>
          <w:lang w:val="es-CO"/>
        </w:rPr>
        <w:t xml:space="preserve">NOTA: LA ENTIDAD ENVÍA LA MATRIZ DE AUTOEVALUACIÓN DEL SISTEMA DE CONTROL INTERNO CONTABLE CON </w:t>
      </w:r>
      <w:r w:rsidRPr="00634509">
        <w:rPr>
          <w:rFonts w:ascii="Arial" w:hAnsi="Arial" w:cs="Arial"/>
          <w:b/>
          <w:bCs/>
          <w:sz w:val="24"/>
          <w:szCs w:val="24"/>
          <w:u w:val="single"/>
          <w:lang w:val="es-CO"/>
        </w:rPr>
        <w:t>ACTIVIDADES DE CONTROL REALIZADAS EN FORMA PARCIAL</w:t>
      </w:r>
      <w:r w:rsidRPr="00634509">
        <w:rPr>
          <w:rFonts w:ascii="Arial" w:hAnsi="Arial" w:cs="Arial"/>
          <w:b/>
          <w:bCs/>
          <w:sz w:val="24"/>
          <w:szCs w:val="24"/>
          <w:lang w:val="es-CO"/>
        </w:rPr>
        <w:t>.</w:t>
      </w:r>
    </w:p>
    <w:p w14:paraId="4F00F975" w14:textId="77777777" w:rsidR="00561B22" w:rsidRDefault="00561B22" w:rsidP="00561B22">
      <w:pPr>
        <w:jc w:val="both"/>
        <w:rPr>
          <w:rFonts w:ascii="Arial" w:hAnsi="Arial" w:cs="Arial"/>
          <w:b/>
          <w:bCs/>
          <w:lang w:val="es-CO"/>
        </w:rPr>
      </w:pPr>
    </w:p>
    <w:p w14:paraId="736EE9B3" w14:textId="77777777" w:rsidR="00561B22" w:rsidRPr="000B7966" w:rsidRDefault="00561B22" w:rsidP="00561B22">
      <w:pPr>
        <w:jc w:val="both"/>
        <w:rPr>
          <w:rFonts w:ascii="Arial" w:hAnsi="Arial" w:cs="Arial"/>
          <w:b/>
          <w:sz w:val="28"/>
          <w:szCs w:val="28"/>
          <w:lang w:val="es-MX"/>
        </w:rPr>
      </w:pPr>
      <w:r w:rsidRPr="000B7966">
        <w:rPr>
          <w:rFonts w:ascii="Arial" w:hAnsi="Arial" w:cs="Arial"/>
          <w:b/>
          <w:sz w:val="28"/>
          <w:szCs w:val="28"/>
          <w:lang w:val="es-MX"/>
        </w:rPr>
        <w:lastRenderedPageBreak/>
        <w:t>310.- INSTITUTO NACIONAL DE MEDICINA LEGAL Y CIENCIAS FORENSES</w:t>
      </w:r>
      <w:r>
        <w:rPr>
          <w:rFonts w:ascii="Arial" w:hAnsi="Arial" w:cs="Arial"/>
          <w:b/>
          <w:sz w:val="28"/>
          <w:szCs w:val="28"/>
          <w:lang w:val="es-MX"/>
        </w:rPr>
        <w:t>.</w:t>
      </w:r>
      <w:r w:rsidRPr="000B7966">
        <w:rPr>
          <w:rFonts w:ascii="Arial" w:hAnsi="Arial" w:cs="Arial"/>
          <w:b/>
          <w:sz w:val="28"/>
          <w:szCs w:val="28"/>
          <w:lang w:val="es-MX"/>
        </w:rPr>
        <w:t xml:space="preserve"> </w:t>
      </w:r>
    </w:p>
    <w:p w14:paraId="01085CF6" w14:textId="77777777" w:rsidR="00561B22" w:rsidRDefault="00561B22" w:rsidP="00561B22">
      <w:pPr>
        <w:jc w:val="both"/>
        <w:rPr>
          <w:rFonts w:ascii="Arial" w:hAnsi="Arial" w:cs="Arial"/>
          <w:b/>
          <w:bCs/>
          <w:lang w:val="es-MX"/>
        </w:rPr>
      </w:pPr>
    </w:p>
    <w:p w14:paraId="38E2F041" w14:textId="77777777" w:rsidR="00561B22" w:rsidRPr="00F0198B" w:rsidRDefault="00561B22" w:rsidP="00561B22">
      <w:pPr>
        <w:pStyle w:val="Textoindependiente"/>
        <w:ind w:right="-50"/>
        <w:jc w:val="center"/>
        <w:rPr>
          <w:rFonts w:ascii="Arial" w:hAnsi="Arial" w:cs="Arial"/>
          <w:b/>
          <w:bCs/>
        </w:rPr>
      </w:pPr>
      <w:r w:rsidRPr="00F0198B">
        <w:rPr>
          <w:rFonts w:ascii="Arial" w:hAnsi="Arial" w:cs="Arial"/>
          <w:b/>
          <w:bCs/>
        </w:rPr>
        <w:t>INFORME DE LA AUTOCALIFICACIÓN DEL SISTEMA DE CONTROL INTERNO CONTABLE:</w:t>
      </w:r>
    </w:p>
    <w:p w14:paraId="7527D1DE" w14:textId="77777777" w:rsidR="00561B22" w:rsidRPr="00F0198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0198B" w14:paraId="3AED5610" w14:textId="77777777" w:rsidTr="00F1223B">
        <w:tc>
          <w:tcPr>
            <w:tcW w:w="4981" w:type="dxa"/>
          </w:tcPr>
          <w:p w14:paraId="13AB184E"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AUTOCALIFICACIÓN</w:t>
            </w:r>
          </w:p>
        </w:tc>
        <w:tc>
          <w:tcPr>
            <w:tcW w:w="4981" w:type="dxa"/>
          </w:tcPr>
          <w:p w14:paraId="25D0161E" w14:textId="77777777" w:rsidR="00561B22" w:rsidRPr="00F0198B" w:rsidRDefault="00561B22" w:rsidP="00F1223B">
            <w:pPr>
              <w:jc w:val="center"/>
              <w:rPr>
                <w:rFonts w:ascii="Arial" w:hAnsi="Arial" w:cs="Arial"/>
                <w:b/>
                <w:sz w:val="22"/>
                <w:szCs w:val="22"/>
                <w:u w:val="single"/>
                <w:lang w:val="es-MX"/>
              </w:rPr>
            </w:pPr>
            <w:r w:rsidRPr="00F0198B">
              <w:rPr>
                <w:rFonts w:ascii="Arial" w:hAnsi="Arial" w:cs="Arial"/>
                <w:b/>
                <w:sz w:val="22"/>
                <w:szCs w:val="22"/>
                <w:u w:val="single"/>
                <w:lang w:val="es-MX"/>
              </w:rPr>
              <w:t>4.65</w:t>
            </w:r>
          </w:p>
        </w:tc>
      </w:tr>
    </w:tbl>
    <w:p w14:paraId="3E0B837F" w14:textId="77777777" w:rsidR="00561B22" w:rsidRPr="00F0198B" w:rsidRDefault="00561B22" w:rsidP="00561B22">
      <w:pPr>
        <w:pStyle w:val="Textoindependiente"/>
        <w:ind w:right="-50"/>
        <w:jc w:val="both"/>
        <w:rPr>
          <w:rFonts w:ascii="Arial" w:hAnsi="Arial" w:cs="Arial"/>
          <w:b/>
          <w:bCs/>
        </w:rPr>
      </w:pPr>
    </w:p>
    <w:p w14:paraId="5AC07740" w14:textId="77777777" w:rsidR="00561B22" w:rsidRPr="00F0198B" w:rsidRDefault="00561B22" w:rsidP="00561B22">
      <w:pPr>
        <w:pStyle w:val="Textoindependiente"/>
        <w:ind w:right="-50"/>
        <w:jc w:val="both"/>
        <w:rPr>
          <w:rFonts w:ascii="Arial" w:hAnsi="Arial" w:cs="Arial"/>
          <w:b/>
          <w:bCs/>
        </w:rPr>
      </w:pPr>
      <w:r w:rsidRPr="00F0198B">
        <w:rPr>
          <w:rFonts w:ascii="Arial" w:hAnsi="Arial" w:cs="Arial"/>
          <w:b/>
          <w:bCs/>
        </w:rPr>
        <w:t>Del informe enviado retomamos lo siguiente:</w:t>
      </w:r>
    </w:p>
    <w:p w14:paraId="24ABC378" w14:textId="77777777" w:rsidR="00561B22" w:rsidRPr="00F0198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0198B" w14:paraId="6D226978" w14:textId="77777777" w:rsidTr="00F1223B">
        <w:tc>
          <w:tcPr>
            <w:tcW w:w="562" w:type="dxa"/>
          </w:tcPr>
          <w:p w14:paraId="6C7697AD" w14:textId="77777777" w:rsidR="00561B22" w:rsidRPr="00F0198B" w:rsidRDefault="00561B22" w:rsidP="00F1223B">
            <w:pPr>
              <w:ind w:right="-109"/>
              <w:jc w:val="center"/>
              <w:rPr>
                <w:rFonts w:ascii="Arial" w:hAnsi="Arial" w:cs="Arial"/>
                <w:b/>
                <w:sz w:val="22"/>
                <w:szCs w:val="22"/>
                <w:lang w:val="es-MX"/>
              </w:rPr>
            </w:pPr>
            <w:r w:rsidRPr="00F0198B">
              <w:rPr>
                <w:rFonts w:ascii="Arial" w:hAnsi="Arial" w:cs="Arial"/>
                <w:b/>
                <w:sz w:val="22"/>
                <w:szCs w:val="22"/>
                <w:lang w:val="es-MX"/>
              </w:rPr>
              <w:t>N°</w:t>
            </w:r>
          </w:p>
        </w:tc>
        <w:tc>
          <w:tcPr>
            <w:tcW w:w="9400" w:type="dxa"/>
          </w:tcPr>
          <w:p w14:paraId="1CA5B3D2"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DEBILIDADES</w:t>
            </w:r>
          </w:p>
          <w:p w14:paraId="1BF04F64" w14:textId="77777777" w:rsidR="00561B22" w:rsidRPr="00F0198B" w:rsidRDefault="00561B22" w:rsidP="00F1223B">
            <w:pPr>
              <w:jc w:val="center"/>
              <w:rPr>
                <w:rFonts w:ascii="Arial" w:hAnsi="Arial" w:cs="Arial"/>
                <w:b/>
                <w:sz w:val="22"/>
                <w:szCs w:val="22"/>
                <w:lang w:val="es-MX"/>
              </w:rPr>
            </w:pPr>
          </w:p>
        </w:tc>
      </w:tr>
      <w:tr w:rsidR="00561B22" w:rsidRPr="00F0198B" w14:paraId="125EDB8B" w14:textId="77777777" w:rsidTr="00F1223B">
        <w:tc>
          <w:tcPr>
            <w:tcW w:w="562" w:type="dxa"/>
          </w:tcPr>
          <w:p w14:paraId="5C351EFF"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1</w:t>
            </w:r>
          </w:p>
        </w:tc>
        <w:tc>
          <w:tcPr>
            <w:tcW w:w="9400" w:type="dxa"/>
          </w:tcPr>
          <w:p w14:paraId="7CF306F5"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 xml:space="preserve">La no elaboración del cronograma anual de la Entidad que contenga fechas de presentación de Estados Financieros, Rendición de Cuentas y Declaraciones. </w:t>
            </w:r>
          </w:p>
        </w:tc>
      </w:tr>
      <w:tr w:rsidR="00561B22" w:rsidRPr="00F0198B" w14:paraId="6EE08742" w14:textId="77777777" w:rsidTr="00F1223B">
        <w:tc>
          <w:tcPr>
            <w:tcW w:w="562" w:type="dxa"/>
          </w:tcPr>
          <w:p w14:paraId="5C1924C2"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2</w:t>
            </w:r>
          </w:p>
        </w:tc>
        <w:tc>
          <w:tcPr>
            <w:tcW w:w="9400" w:type="dxa"/>
          </w:tcPr>
          <w:p w14:paraId="4BA40855"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El abordaje desde las etapas del proceso contable de un sistema de indicadores que permita el análisis e interpretación del sistema contable del Instituto, lo que limita la toma de decisiones.</w:t>
            </w:r>
          </w:p>
        </w:tc>
      </w:tr>
      <w:tr w:rsidR="00561B22" w:rsidRPr="00F0198B" w14:paraId="6D332C4F" w14:textId="77777777" w:rsidTr="00F1223B">
        <w:tc>
          <w:tcPr>
            <w:tcW w:w="562" w:type="dxa"/>
          </w:tcPr>
          <w:p w14:paraId="36B1DBC6"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3</w:t>
            </w:r>
          </w:p>
        </w:tc>
        <w:tc>
          <w:tcPr>
            <w:tcW w:w="9400" w:type="dxa"/>
          </w:tcPr>
          <w:p w14:paraId="60490AE0"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La no identificación de todos los riesgos del proceso contable de acuerdo con el procedimiento interno, abordados desde la Oficina de Planeación y lo establecido en la Resolución 193 de 2016 de la CGN.</w:t>
            </w:r>
          </w:p>
        </w:tc>
      </w:tr>
    </w:tbl>
    <w:p w14:paraId="5F37B2FB" w14:textId="77777777" w:rsidR="00561B22" w:rsidRPr="00F0198B" w:rsidRDefault="00561B22" w:rsidP="00561B22">
      <w:pPr>
        <w:pStyle w:val="Textoindependiente"/>
        <w:ind w:right="-50"/>
        <w:jc w:val="both"/>
        <w:rPr>
          <w:rFonts w:ascii="Arial" w:hAnsi="Arial" w:cs="Arial"/>
          <w:b/>
          <w:bCs/>
        </w:rPr>
      </w:pPr>
    </w:p>
    <w:p w14:paraId="76DA30C1" w14:textId="77777777" w:rsidR="00561B22" w:rsidRPr="00F0198B" w:rsidRDefault="00561B22" w:rsidP="00561B22">
      <w:pPr>
        <w:jc w:val="both"/>
        <w:rPr>
          <w:rFonts w:ascii="Arial" w:hAnsi="Arial" w:cs="Arial"/>
          <w:b/>
          <w:lang w:val="es-MX"/>
        </w:rPr>
      </w:pPr>
      <w:r w:rsidRPr="00F0198B">
        <w:rPr>
          <w:rFonts w:ascii="Arial" w:hAnsi="Arial" w:cs="Arial"/>
          <w:b/>
          <w:lang w:val="es-MX"/>
        </w:rPr>
        <w:t>Del citado informe retomamos las siguientes recomendaciones:</w:t>
      </w:r>
    </w:p>
    <w:p w14:paraId="2B8D59B2" w14:textId="77777777" w:rsidR="00561B22" w:rsidRPr="00F0198B"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F0198B" w14:paraId="7183D1E9" w14:textId="77777777" w:rsidTr="00F1223B">
        <w:tc>
          <w:tcPr>
            <w:tcW w:w="562" w:type="dxa"/>
          </w:tcPr>
          <w:p w14:paraId="68B6C59F" w14:textId="77777777" w:rsidR="00561B22" w:rsidRPr="00F0198B" w:rsidRDefault="00561B22" w:rsidP="00F1223B">
            <w:pPr>
              <w:ind w:right="-109"/>
              <w:jc w:val="center"/>
              <w:rPr>
                <w:rFonts w:ascii="Arial" w:hAnsi="Arial" w:cs="Arial"/>
                <w:b/>
                <w:sz w:val="22"/>
                <w:szCs w:val="22"/>
                <w:lang w:val="es-MX"/>
              </w:rPr>
            </w:pPr>
            <w:r w:rsidRPr="00F0198B">
              <w:rPr>
                <w:rFonts w:ascii="Arial" w:hAnsi="Arial" w:cs="Arial"/>
                <w:b/>
                <w:sz w:val="22"/>
                <w:szCs w:val="22"/>
                <w:lang w:val="es-MX"/>
              </w:rPr>
              <w:t>N°</w:t>
            </w:r>
          </w:p>
        </w:tc>
        <w:tc>
          <w:tcPr>
            <w:tcW w:w="9400" w:type="dxa"/>
          </w:tcPr>
          <w:p w14:paraId="46C85B4C"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RECOMENDACIONES</w:t>
            </w:r>
          </w:p>
          <w:p w14:paraId="0F635A17" w14:textId="77777777" w:rsidR="00561B22" w:rsidRPr="00F0198B" w:rsidRDefault="00561B22" w:rsidP="00F1223B">
            <w:pPr>
              <w:jc w:val="center"/>
              <w:rPr>
                <w:rFonts w:ascii="Arial" w:hAnsi="Arial" w:cs="Arial"/>
                <w:b/>
                <w:sz w:val="22"/>
                <w:szCs w:val="22"/>
                <w:lang w:val="es-MX"/>
              </w:rPr>
            </w:pPr>
          </w:p>
        </w:tc>
      </w:tr>
      <w:tr w:rsidR="00561B22" w:rsidRPr="00F0198B" w14:paraId="6A63FA9C" w14:textId="77777777" w:rsidTr="00F1223B">
        <w:tc>
          <w:tcPr>
            <w:tcW w:w="562" w:type="dxa"/>
          </w:tcPr>
          <w:p w14:paraId="6918C244"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1</w:t>
            </w:r>
          </w:p>
        </w:tc>
        <w:tc>
          <w:tcPr>
            <w:tcW w:w="9400" w:type="dxa"/>
          </w:tcPr>
          <w:p w14:paraId="75E196D2"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Establecer acciones que permitan eliminar las causas que originan las debilidades reportadas y las calificaciones reportadas en la matriz de evaluación como NO y Parcialmente.</w:t>
            </w:r>
          </w:p>
        </w:tc>
      </w:tr>
      <w:tr w:rsidR="00561B22" w:rsidRPr="00F0198B" w14:paraId="267F8AFF" w14:textId="77777777" w:rsidTr="00F1223B">
        <w:tc>
          <w:tcPr>
            <w:tcW w:w="562" w:type="dxa"/>
          </w:tcPr>
          <w:p w14:paraId="18922A7C"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2</w:t>
            </w:r>
          </w:p>
        </w:tc>
        <w:tc>
          <w:tcPr>
            <w:tcW w:w="9400" w:type="dxa"/>
          </w:tcPr>
          <w:p w14:paraId="3A749B88"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Establecer indicadores pertinentes al proceso contable para realizar los análisis e informar adecuadamente la situación, resultados y tendencias en la gestión de la entidad, con el debido acompañamiento de la Oficina de Planeación.</w:t>
            </w:r>
          </w:p>
        </w:tc>
      </w:tr>
      <w:tr w:rsidR="00561B22" w:rsidRPr="00F0198B" w14:paraId="419448DC" w14:textId="77777777" w:rsidTr="00F1223B">
        <w:tc>
          <w:tcPr>
            <w:tcW w:w="562" w:type="dxa"/>
          </w:tcPr>
          <w:p w14:paraId="06042345"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3</w:t>
            </w:r>
          </w:p>
        </w:tc>
        <w:tc>
          <w:tcPr>
            <w:tcW w:w="9400" w:type="dxa"/>
          </w:tcPr>
          <w:p w14:paraId="67C9BE3E"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Fortalecer controles asociados al proceso contable, mancomunadamente con directores regionales, jefes, coordinadores y Líderes de Proyecto, con el objetivo de mitigar o neutralizar los factores de riesgo que pueden llegar a afectar el proceso contable y, por consiguiente, la calidad de estados financieros.</w:t>
            </w:r>
          </w:p>
        </w:tc>
      </w:tr>
      <w:tr w:rsidR="00561B22" w:rsidRPr="00F0198B" w14:paraId="642539F1" w14:textId="77777777" w:rsidTr="00F1223B">
        <w:tc>
          <w:tcPr>
            <w:tcW w:w="562" w:type="dxa"/>
          </w:tcPr>
          <w:p w14:paraId="70BBEED2"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4</w:t>
            </w:r>
          </w:p>
        </w:tc>
        <w:tc>
          <w:tcPr>
            <w:tcW w:w="9400" w:type="dxa"/>
          </w:tcPr>
          <w:p w14:paraId="74C5D264"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Establecer cronograma anual de presentación de Estados Financieros, rendición de cuentas y declaraciones de la Entidad.</w:t>
            </w:r>
          </w:p>
        </w:tc>
      </w:tr>
      <w:tr w:rsidR="00561B22" w:rsidRPr="00F0198B" w14:paraId="304BA416" w14:textId="77777777" w:rsidTr="00F1223B">
        <w:tc>
          <w:tcPr>
            <w:tcW w:w="562" w:type="dxa"/>
          </w:tcPr>
          <w:p w14:paraId="032CB6E2"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5</w:t>
            </w:r>
          </w:p>
        </w:tc>
        <w:tc>
          <w:tcPr>
            <w:tcW w:w="9400" w:type="dxa"/>
          </w:tcPr>
          <w:p w14:paraId="6570B7E4"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Gestionar los riesgos del proceso contable en la herramienta establecida por el Instituto a fin de promover la consecución de las características fundamentales de relevancia y representación fiel de información del producto del proceso contable.</w:t>
            </w:r>
          </w:p>
        </w:tc>
      </w:tr>
      <w:tr w:rsidR="00561B22" w:rsidRPr="00F0198B" w14:paraId="02A690EC" w14:textId="77777777" w:rsidTr="00F1223B">
        <w:tc>
          <w:tcPr>
            <w:tcW w:w="562" w:type="dxa"/>
          </w:tcPr>
          <w:p w14:paraId="60E2ACF1" w14:textId="77777777" w:rsidR="00561B22" w:rsidRPr="00F0198B" w:rsidRDefault="00561B22" w:rsidP="00F1223B">
            <w:pPr>
              <w:jc w:val="center"/>
              <w:rPr>
                <w:rFonts w:ascii="Arial" w:hAnsi="Arial" w:cs="Arial"/>
                <w:b/>
                <w:sz w:val="22"/>
                <w:szCs w:val="22"/>
                <w:lang w:val="es-MX"/>
              </w:rPr>
            </w:pPr>
            <w:r w:rsidRPr="00F0198B">
              <w:rPr>
                <w:rFonts w:ascii="Arial" w:hAnsi="Arial" w:cs="Arial"/>
                <w:b/>
                <w:sz w:val="22"/>
                <w:szCs w:val="22"/>
                <w:lang w:val="es-MX"/>
              </w:rPr>
              <w:t>6</w:t>
            </w:r>
          </w:p>
        </w:tc>
        <w:tc>
          <w:tcPr>
            <w:tcW w:w="9400" w:type="dxa"/>
          </w:tcPr>
          <w:p w14:paraId="7311884B" w14:textId="77777777" w:rsidR="00561B22" w:rsidRPr="00F0198B" w:rsidRDefault="00561B22" w:rsidP="00F1223B">
            <w:pPr>
              <w:jc w:val="both"/>
              <w:rPr>
                <w:rFonts w:ascii="Arial" w:hAnsi="Arial" w:cs="Arial"/>
                <w:bCs/>
                <w:sz w:val="22"/>
                <w:szCs w:val="22"/>
                <w:lang w:val="es-MX"/>
              </w:rPr>
            </w:pPr>
            <w:r w:rsidRPr="00F0198B">
              <w:rPr>
                <w:rFonts w:ascii="Arial" w:hAnsi="Arial" w:cs="Arial"/>
                <w:bCs/>
                <w:sz w:val="22"/>
                <w:szCs w:val="22"/>
                <w:lang w:val="es-MX"/>
              </w:rPr>
              <w:t>En la Caracterización de procesos - Gestión Financiera DG-A-CARACT-009 Versión 9 dispuesta en el aplicativo ISOLUCIÓN, identificar en su totalidad los proveedores del proceso y sus productos.</w:t>
            </w:r>
          </w:p>
        </w:tc>
      </w:tr>
    </w:tbl>
    <w:p w14:paraId="4B1261F6" w14:textId="77777777" w:rsidR="00561B22" w:rsidRPr="00F0198B" w:rsidRDefault="00561B22" w:rsidP="00561B22">
      <w:pPr>
        <w:pStyle w:val="Textoindependiente"/>
        <w:ind w:right="-50"/>
        <w:jc w:val="both"/>
        <w:rPr>
          <w:rFonts w:ascii="Arial" w:hAnsi="Arial" w:cs="Arial"/>
          <w:b/>
          <w:bCs/>
        </w:rPr>
      </w:pPr>
    </w:p>
    <w:p w14:paraId="1B44E500" w14:textId="77777777" w:rsidR="00561B22" w:rsidRPr="00F0198B" w:rsidRDefault="00561B22" w:rsidP="00561B22">
      <w:pPr>
        <w:jc w:val="both"/>
        <w:rPr>
          <w:rFonts w:ascii="Arial" w:hAnsi="Arial" w:cs="Arial"/>
          <w:b/>
          <w:bCs/>
          <w:sz w:val="24"/>
          <w:szCs w:val="24"/>
          <w:lang w:val="es-CO"/>
        </w:rPr>
      </w:pPr>
      <w:r w:rsidRPr="00F0198B">
        <w:rPr>
          <w:rFonts w:ascii="Arial" w:hAnsi="Arial" w:cs="Arial"/>
          <w:b/>
          <w:bCs/>
          <w:sz w:val="24"/>
          <w:szCs w:val="24"/>
          <w:lang w:val="es-CO"/>
        </w:rPr>
        <w:t xml:space="preserve">NOTA: LA ENTIDAD ENVÍA LA MATRIZ DE AUTOEVALUACIÓN DEL SISTEMA DE CONTROL INTERNO CONTABLE CON ACTIVIDADES DE CONTROL REALIZADAS </w:t>
      </w:r>
      <w:r w:rsidRPr="00F0198B">
        <w:rPr>
          <w:rFonts w:ascii="Arial" w:hAnsi="Arial" w:cs="Arial"/>
          <w:b/>
          <w:bCs/>
          <w:sz w:val="24"/>
          <w:szCs w:val="24"/>
          <w:u w:val="single"/>
          <w:lang w:val="es-CO"/>
        </w:rPr>
        <w:t>EN FORMA PARCIAL Y OTRAS SIMPLEMENTE INFORMAN QUE NO SE REALIZARON</w:t>
      </w:r>
      <w:r w:rsidRPr="00F0198B">
        <w:rPr>
          <w:rFonts w:ascii="Arial" w:hAnsi="Arial" w:cs="Arial"/>
          <w:b/>
          <w:bCs/>
          <w:sz w:val="24"/>
          <w:szCs w:val="24"/>
          <w:lang w:val="es-CO"/>
        </w:rPr>
        <w:t>.</w:t>
      </w:r>
    </w:p>
    <w:p w14:paraId="3D11F82F" w14:textId="77777777" w:rsidR="00561B22" w:rsidRDefault="00561B22" w:rsidP="00561B22">
      <w:pPr>
        <w:jc w:val="both"/>
        <w:rPr>
          <w:rFonts w:ascii="Arial" w:hAnsi="Arial" w:cs="Arial"/>
          <w:b/>
          <w:bCs/>
          <w:lang w:val="es-CO"/>
        </w:rPr>
      </w:pPr>
    </w:p>
    <w:p w14:paraId="756AEBFA" w14:textId="77777777" w:rsidR="00561B22" w:rsidRPr="00A76DCA" w:rsidRDefault="00561B22" w:rsidP="00561B22">
      <w:pPr>
        <w:ind w:right="-93"/>
        <w:jc w:val="both"/>
        <w:rPr>
          <w:rFonts w:ascii="Arial" w:hAnsi="Arial" w:cs="Arial"/>
          <w:b/>
          <w:sz w:val="28"/>
          <w:szCs w:val="28"/>
          <w:lang w:val="es-MX"/>
        </w:rPr>
      </w:pPr>
      <w:r w:rsidRPr="00A76DCA">
        <w:rPr>
          <w:rFonts w:ascii="Arial" w:hAnsi="Arial" w:cs="Arial"/>
          <w:b/>
          <w:sz w:val="28"/>
          <w:szCs w:val="28"/>
          <w:lang w:val="es-MX"/>
        </w:rPr>
        <w:t>311.- CORPORACIÓN PARA EL DESARROLLO SOSTENIBLE DE LA MOJANA Y EL SAN JORGE – CORPOMOJANA.</w:t>
      </w:r>
    </w:p>
    <w:p w14:paraId="21EBCBE9" w14:textId="77777777" w:rsidR="00561B22" w:rsidRDefault="00561B22" w:rsidP="00561B22">
      <w:pPr>
        <w:jc w:val="both"/>
        <w:rPr>
          <w:rFonts w:ascii="Arial" w:hAnsi="Arial" w:cs="Arial"/>
          <w:b/>
          <w:bCs/>
          <w:lang w:val="es-MX"/>
        </w:rPr>
      </w:pPr>
    </w:p>
    <w:p w14:paraId="6DFA674F" w14:textId="77777777" w:rsidR="00561B22" w:rsidRPr="00E37880" w:rsidRDefault="00561B22" w:rsidP="00561B22">
      <w:pPr>
        <w:pStyle w:val="Textoindependiente"/>
        <w:ind w:right="-50"/>
        <w:jc w:val="center"/>
        <w:rPr>
          <w:rFonts w:ascii="Arial" w:hAnsi="Arial" w:cs="Arial"/>
          <w:b/>
          <w:bCs/>
        </w:rPr>
      </w:pPr>
      <w:r w:rsidRPr="00E37880">
        <w:rPr>
          <w:rFonts w:ascii="Arial" w:hAnsi="Arial" w:cs="Arial"/>
          <w:b/>
          <w:bCs/>
        </w:rPr>
        <w:t>INFORME DE LA AUTOCALIFICACIÓN DEL SISTEMA DE CONTROL INTERNO CONTABLE:</w:t>
      </w:r>
    </w:p>
    <w:p w14:paraId="3A5A2E59" w14:textId="77777777" w:rsidR="00561B22" w:rsidRPr="00E3788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37880" w14:paraId="22910BF9" w14:textId="77777777" w:rsidTr="00F1223B">
        <w:tc>
          <w:tcPr>
            <w:tcW w:w="4981" w:type="dxa"/>
          </w:tcPr>
          <w:p w14:paraId="30B0CE7F" w14:textId="77777777" w:rsidR="00561B22" w:rsidRPr="00E37880" w:rsidRDefault="00561B22" w:rsidP="00F1223B">
            <w:pPr>
              <w:jc w:val="center"/>
              <w:rPr>
                <w:rFonts w:ascii="Arial" w:hAnsi="Arial" w:cs="Arial"/>
                <w:b/>
                <w:sz w:val="22"/>
                <w:szCs w:val="22"/>
                <w:lang w:val="es-MX"/>
              </w:rPr>
            </w:pPr>
            <w:r w:rsidRPr="00E37880">
              <w:rPr>
                <w:rFonts w:ascii="Arial" w:hAnsi="Arial" w:cs="Arial"/>
                <w:b/>
                <w:sz w:val="22"/>
                <w:szCs w:val="22"/>
                <w:lang w:val="es-MX"/>
              </w:rPr>
              <w:t>AUTOCALIFICACIÓN</w:t>
            </w:r>
          </w:p>
        </w:tc>
        <w:tc>
          <w:tcPr>
            <w:tcW w:w="4981" w:type="dxa"/>
          </w:tcPr>
          <w:p w14:paraId="09EEA087" w14:textId="77777777" w:rsidR="00561B22" w:rsidRPr="00E37880" w:rsidRDefault="00561B22" w:rsidP="00F1223B">
            <w:pPr>
              <w:jc w:val="center"/>
              <w:rPr>
                <w:rFonts w:ascii="Arial" w:hAnsi="Arial" w:cs="Arial"/>
                <w:b/>
                <w:sz w:val="22"/>
                <w:szCs w:val="22"/>
                <w:u w:val="single"/>
                <w:lang w:val="es-MX"/>
              </w:rPr>
            </w:pPr>
            <w:r w:rsidRPr="00E37880">
              <w:rPr>
                <w:rFonts w:ascii="Arial" w:hAnsi="Arial" w:cs="Arial"/>
                <w:b/>
                <w:sz w:val="22"/>
                <w:szCs w:val="22"/>
                <w:u w:val="single"/>
                <w:lang w:val="es-MX"/>
              </w:rPr>
              <w:t>5.00</w:t>
            </w:r>
          </w:p>
        </w:tc>
      </w:tr>
    </w:tbl>
    <w:p w14:paraId="31851A63" w14:textId="77777777" w:rsidR="00561B22" w:rsidRPr="00E37880" w:rsidRDefault="00561B22" w:rsidP="00561B22">
      <w:pPr>
        <w:pStyle w:val="Textoindependiente"/>
        <w:ind w:right="-50"/>
        <w:jc w:val="both"/>
        <w:rPr>
          <w:rFonts w:ascii="Arial" w:hAnsi="Arial" w:cs="Arial"/>
          <w:b/>
          <w:bCs/>
        </w:rPr>
      </w:pPr>
    </w:p>
    <w:p w14:paraId="5A521404" w14:textId="77777777" w:rsidR="00561B22" w:rsidRPr="00E37880" w:rsidRDefault="00561B22" w:rsidP="00561B22">
      <w:pPr>
        <w:pStyle w:val="Textoindependiente"/>
        <w:ind w:right="-50"/>
        <w:jc w:val="both"/>
        <w:rPr>
          <w:rFonts w:ascii="Arial" w:hAnsi="Arial" w:cs="Arial"/>
          <w:b/>
          <w:bCs/>
        </w:rPr>
      </w:pPr>
      <w:r w:rsidRPr="00E37880">
        <w:rPr>
          <w:rFonts w:ascii="Arial" w:hAnsi="Arial" w:cs="Arial"/>
          <w:b/>
          <w:bCs/>
        </w:rPr>
        <w:lastRenderedPageBreak/>
        <w:t>Del informe enviado retomamos lo siguiente:</w:t>
      </w:r>
    </w:p>
    <w:p w14:paraId="19D6C54E" w14:textId="77777777" w:rsidR="00561B22" w:rsidRPr="00E3788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37880" w14:paraId="0ABC71EF" w14:textId="77777777" w:rsidTr="00F1223B">
        <w:tc>
          <w:tcPr>
            <w:tcW w:w="562" w:type="dxa"/>
          </w:tcPr>
          <w:p w14:paraId="5F5C11BB" w14:textId="77777777" w:rsidR="00561B22" w:rsidRPr="00E37880" w:rsidRDefault="00561B22" w:rsidP="00F1223B">
            <w:pPr>
              <w:ind w:right="-109"/>
              <w:jc w:val="center"/>
              <w:rPr>
                <w:rFonts w:ascii="Arial" w:hAnsi="Arial" w:cs="Arial"/>
                <w:b/>
                <w:sz w:val="22"/>
                <w:szCs w:val="22"/>
                <w:lang w:val="es-MX"/>
              </w:rPr>
            </w:pPr>
            <w:r w:rsidRPr="00E37880">
              <w:rPr>
                <w:rFonts w:ascii="Arial" w:hAnsi="Arial" w:cs="Arial"/>
                <w:b/>
                <w:sz w:val="22"/>
                <w:szCs w:val="22"/>
                <w:lang w:val="es-MX"/>
              </w:rPr>
              <w:t>N°</w:t>
            </w:r>
          </w:p>
        </w:tc>
        <w:tc>
          <w:tcPr>
            <w:tcW w:w="9400" w:type="dxa"/>
          </w:tcPr>
          <w:p w14:paraId="6A212F50" w14:textId="77777777" w:rsidR="00561B22" w:rsidRPr="00E37880" w:rsidRDefault="00561B22" w:rsidP="00F1223B">
            <w:pPr>
              <w:jc w:val="center"/>
              <w:rPr>
                <w:rFonts w:ascii="Arial" w:hAnsi="Arial" w:cs="Arial"/>
                <w:b/>
                <w:sz w:val="22"/>
                <w:szCs w:val="22"/>
                <w:lang w:val="es-MX"/>
              </w:rPr>
            </w:pPr>
            <w:r w:rsidRPr="00E37880">
              <w:rPr>
                <w:rFonts w:ascii="Arial" w:hAnsi="Arial" w:cs="Arial"/>
                <w:b/>
                <w:sz w:val="22"/>
                <w:szCs w:val="22"/>
                <w:lang w:val="es-MX"/>
              </w:rPr>
              <w:t>DEBILIDADES</w:t>
            </w:r>
          </w:p>
          <w:p w14:paraId="1620FDFC" w14:textId="77777777" w:rsidR="00561B22" w:rsidRPr="00E37880" w:rsidRDefault="00561B22" w:rsidP="00F1223B">
            <w:pPr>
              <w:jc w:val="center"/>
              <w:rPr>
                <w:rFonts w:ascii="Arial" w:hAnsi="Arial" w:cs="Arial"/>
                <w:b/>
                <w:sz w:val="22"/>
                <w:szCs w:val="22"/>
                <w:lang w:val="es-MX"/>
              </w:rPr>
            </w:pPr>
          </w:p>
        </w:tc>
      </w:tr>
      <w:tr w:rsidR="00561B22" w:rsidRPr="00E37880" w14:paraId="3810AC2E" w14:textId="77777777" w:rsidTr="00F1223B">
        <w:tc>
          <w:tcPr>
            <w:tcW w:w="562" w:type="dxa"/>
          </w:tcPr>
          <w:p w14:paraId="7A6B98F0" w14:textId="77777777" w:rsidR="00561B22" w:rsidRPr="00E37880" w:rsidRDefault="00561B22" w:rsidP="00F1223B">
            <w:pPr>
              <w:jc w:val="center"/>
              <w:rPr>
                <w:rFonts w:ascii="Arial" w:hAnsi="Arial" w:cs="Arial"/>
                <w:b/>
                <w:sz w:val="22"/>
                <w:szCs w:val="22"/>
                <w:lang w:val="es-MX"/>
              </w:rPr>
            </w:pPr>
            <w:r w:rsidRPr="00E37880">
              <w:rPr>
                <w:rFonts w:ascii="Arial" w:hAnsi="Arial" w:cs="Arial"/>
                <w:b/>
                <w:sz w:val="22"/>
                <w:szCs w:val="22"/>
                <w:lang w:val="es-MX"/>
              </w:rPr>
              <w:t>1</w:t>
            </w:r>
          </w:p>
        </w:tc>
        <w:tc>
          <w:tcPr>
            <w:tcW w:w="9400" w:type="dxa"/>
          </w:tcPr>
          <w:p w14:paraId="0CD73B75" w14:textId="77777777" w:rsidR="00561B22" w:rsidRPr="00E37880" w:rsidRDefault="00561B22" w:rsidP="00F1223B">
            <w:pPr>
              <w:jc w:val="both"/>
              <w:rPr>
                <w:rFonts w:ascii="Arial" w:hAnsi="Arial" w:cs="Arial"/>
                <w:bCs/>
                <w:sz w:val="22"/>
                <w:szCs w:val="22"/>
                <w:lang w:val="es-MX"/>
              </w:rPr>
            </w:pPr>
            <w:r w:rsidRPr="00E37880">
              <w:rPr>
                <w:rFonts w:ascii="Arial" w:hAnsi="Arial" w:cs="Arial"/>
                <w:bCs/>
                <w:sz w:val="22"/>
                <w:szCs w:val="22"/>
                <w:lang w:val="es-MX"/>
              </w:rPr>
              <w:t>No contar con manuales de procedimientos y procesos internos actualizados que orienten a las otras áreas al suministro eficiente y oportuno de la información contable pública.</w:t>
            </w:r>
          </w:p>
        </w:tc>
      </w:tr>
      <w:tr w:rsidR="00561B22" w:rsidRPr="00E37880" w14:paraId="59BAADD2" w14:textId="77777777" w:rsidTr="00F1223B">
        <w:tc>
          <w:tcPr>
            <w:tcW w:w="562" w:type="dxa"/>
          </w:tcPr>
          <w:p w14:paraId="72AA2EC9" w14:textId="77777777" w:rsidR="00561B22" w:rsidRPr="00E37880" w:rsidRDefault="00561B22" w:rsidP="00F1223B">
            <w:pPr>
              <w:jc w:val="center"/>
              <w:rPr>
                <w:rFonts w:ascii="Arial" w:hAnsi="Arial" w:cs="Arial"/>
                <w:b/>
                <w:sz w:val="22"/>
                <w:szCs w:val="22"/>
                <w:lang w:val="es-MX"/>
              </w:rPr>
            </w:pPr>
            <w:r w:rsidRPr="00E37880">
              <w:rPr>
                <w:rFonts w:ascii="Arial" w:hAnsi="Arial" w:cs="Arial"/>
                <w:b/>
                <w:sz w:val="22"/>
                <w:szCs w:val="22"/>
                <w:lang w:val="es-MX"/>
              </w:rPr>
              <w:t>2</w:t>
            </w:r>
          </w:p>
        </w:tc>
        <w:tc>
          <w:tcPr>
            <w:tcW w:w="9400" w:type="dxa"/>
          </w:tcPr>
          <w:p w14:paraId="05D1B934" w14:textId="77777777" w:rsidR="00561B22" w:rsidRPr="00E37880" w:rsidRDefault="00561B22" w:rsidP="00F1223B">
            <w:pPr>
              <w:jc w:val="both"/>
              <w:rPr>
                <w:rFonts w:ascii="Arial" w:hAnsi="Arial" w:cs="Arial"/>
                <w:bCs/>
                <w:sz w:val="22"/>
                <w:szCs w:val="22"/>
                <w:lang w:val="es-MX"/>
              </w:rPr>
            </w:pPr>
            <w:r w:rsidRPr="00E37880">
              <w:rPr>
                <w:rFonts w:ascii="Arial" w:hAnsi="Arial" w:cs="Arial"/>
                <w:bCs/>
                <w:sz w:val="22"/>
                <w:szCs w:val="22"/>
                <w:lang w:val="es-MX"/>
              </w:rPr>
              <w:t>El área de contabilidad solo la conforma un profesional graduado en las ciencias contables y un auxiliar contable el cual labora por contrato por periodos interrumpidos en el año, dándole así, muy poca continuidad a dicho funcionario.</w:t>
            </w:r>
          </w:p>
        </w:tc>
      </w:tr>
    </w:tbl>
    <w:p w14:paraId="69AB3863" w14:textId="77777777" w:rsidR="00561B22" w:rsidRPr="00E37880" w:rsidRDefault="00561B22" w:rsidP="00561B22">
      <w:pPr>
        <w:pStyle w:val="Textoindependiente"/>
        <w:ind w:right="-50"/>
        <w:jc w:val="both"/>
        <w:rPr>
          <w:rFonts w:ascii="Arial" w:hAnsi="Arial" w:cs="Arial"/>
          <w:b/>
          <w:bCs/>
        </w:rPr>
      </w:pPr>
    </w:p>
    <w:p w14:paraId="689F2BC4" w14:textId="77777777" w:rsidR="00561B22" w:rsidRPr="00E37880" w:rsidRDefault="00561B22" w:rsidP="00561B22">
      <w:pPr>
        <w:jc w:val="both"/>
        <w:rPr>
          <w:rFonts w:ascii="Arial" w:hAnsi="Arial" w:cs="Arial"/>
          <w:b/>
          <w:lang w:val="es-MX"/>
        </w:rPr>
      </w:pPr>
      <w:r w:rsidRPr="00E37880">
        <w:rPr>
          <w:rFonts w:ascii="Arial" w:hAnsi="Arial" w:cs="Arial"/>
          <w:b/>
          <w:lang w:val="es-MX"/>
        </w:rPr>
        <w:t>Del citado informe retomamos las siguientes recomendaciones:</w:t>
      </w:r>
    </w:p>
    <w:p w14:paraId="3D5EFD6F" w14:textId="77777777" w:rsidR="00561B22" w:rsidRPr="00E37880"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E37880" w14:paraId="5E12F831" w14:textId="77777777" w:rsidTr="00F1223B">
        <w:tc>
          <w:tcPr>
            <w:tcW w:w="562" w:type="dxa"/>
          </w:tcPr>
          <w:p w14:paraId="002D4F23" w14:textId="77777777" w:rsidR="00561B22" w:rsidRPr="00E37880" w:rsidRDefault="00561B22" w:rsidP="00F1223B">
            <w:pPr>
              <w:ind w:right="-109"/>
              <w:jc w:val="center"/>
              <w:rPr>
                <w:rFonts w:ascii="Arial" w:hAnsi="Arial" w:cs="Arial"/>
                <w:b/>
                <w:sz w:val="22"/>
                <w:szCs w:val="22"/>
                <w:lang w:val="es-MX"/>
              </w:rPr>
            </w:pPr>
            <w:r w:rsidRPr="00E37880">
              <w:rPr>
                <w:rFonts w:ascii="Arial" w:hAnsi="Arial" w:cs="Arial"/>
                <w:b/>
                <w:sz w:val="22"/>
                <w:szCs w:val="22"/>
                <w:lang w:val="es-MX"/>
              </w:rPr>
              <w:t>N°</w:t>
            </w:r>
          </w:p>
        </w:tc>
        <w:tc>
          <w:tcPr>
            <w:tcW w:w="9400" w:type="dxa"/>
          </w:tcPr>
          <w:p w14:paraId="6541B3F3" w14:textId="77777777" w:rsidR="00561B22" w:rsidRPr="00E37880" w:rsidRDefault="00561B22" w:rsidP="00F1223B">
            <w:pPr>
              <w:jc w:val="center"/>
              <w:rPr>
                <w:rFonts w:ascii="Arial" w:hAnsi="Arial" w:cs="Arial"/>
                <w:b/>
                <w:sz w:val="22"/>
                <w:szCs w:val="22"/>
                <w:lang w:val="es-MX"/>
              </w:rPr>
            </w:pPr>
            <w:r w:rsidRPr="00E37880">
              <w:rPr>
                <w:rFonts w:ascii="Arial" w:hAnsi="Arial" w:cs="Arial"/>
                <w:b/>
                <w:sz w:val="22"/>
                <w:szCs w:val="22"/>
                <w:lang w:val="es-MX"/>
              </w:rPr>
              <w:t>RECOMENDACIONES</w:t>
            </w:r>
          </w:p>
          <w:p w14:paraId="24A16100" w14:textId="77777777" w:rsidR="00561B22" w:rsidRPr="00E37880" w:rsidRDefault="00561B22" w:rsidP="00F1223B">
            <w:pPr>
              <w:jc w:val="center"/>
              <w:rPr>
                <w:rFonts w:ascii="Arial" w:hAnsi="Arial" w:cs="Arial"/>
                <w:b/>
                <w:sz w:val="22"/>
                <w:szCs w:val="22"/>
                <w:lang w:val="es-MX"/>
              </w:rPr>
            </w:pPr>
          </w:p>
        </w:tc>
      </w:tr>
      <w:tr w:rsidR="00561B22" w:rsidRPr="00E37880" w14:paraId="38AD82DE" w14:textId="77777777" w:rsidTr="00F1223B">
        <w:tc>
          <w:tcPr>
            <w:tcW w:w="562" w:type="dxa"/>
          </w:tcPr>
          <w:p w14:paraId="18C85CAD" w14:textId="77777777" w:rsidR="00561B22" w:rsidRPr="00E37880" w:rsidRDefault="00561B22" w:rsidP="00F1223B">
            <w:pPr>
              <w:jc w:val="center"/>
              <w:rPr>
                <w:rFonts w:ascii="Arial" w:hAnsi="Arial" w:cs="Arial"/>
                <w:b/>
                <w:sz w:val="22"/>
                <w:szCs w:val="22"/>
                <w:lang w:val="es-MX"/>
              </w:rPr>
            </w:pPr>
            <w:r w:rsidRPr="00E37880">
              <w:rPr>
                <w:rFonts w:ascii="Arial" w:hAnsi="Arial" w:cs="Arial"/>
                <w:b/>
                <w:sz w:val="22"/>
                <w:szCs w:val="22"/>
                <w:lang w:val="es-MX"/>
              </w:rPr>
              <w:t>1</w:t>
            </w:r>
          </w:p>
        </w:tc>
        <w:tc>
          <w:tcPr>
            <w:tcW w:w="9400" w:type="dxa"/>
          </w:tcPr>
          <w:p w14:paraId="59980966" w14:textId="77777777" w:rsidR="00561B22" w:rsidRPr="00E37880" w:rsidRDefault="00561B22" w:rsidP="00F1223B">
            <w:pPr>
              <w:jc w:val="both"/>
              <w:rPr>
                <w:rFonts w:ascii="Arial" w:hAnsi="Arial" w:cs="Arial"/>
                <w:bCs/>
                <w:sz w:val="22"/>
                <w:szCs w:val="22"/>
                <w:lang w:val="es-MX"/>
              </w:rPr>
            </w:pPr>
            <w:r w:rsidRPr="00E37880">
              <w:rPr>
                <w:rFonts w:ascii="Arial" w:hAnsi="Arial" w:cs="Arial"/>
                <w:bCs/>
                <w:sz w:val="22"/>
                <w:szCs w:val="22"/>
                <w:lang w:val="es-MX"/>
              </w:rPr>
              <w:t>Seguir teniendo presente los requerimientos de la contaduría General de la Nación, en lo referente al PGCP, Manual de Procedimientos, Catalogo de cuentas e instructivos, los cuales son insumos para la mejora continua del proceso contable en la entidad; como también la actualización de los respectivos manuales internos para el proceso contable, Manuales de Políticas Contables para una mejor orientación en el registro de los hechos económicos y práctica continua de auditorías internas que conlleven al fortalecimiento de los procesos con el acompañamiento de un profesional en el área de control interno que oriente a su vez las prácticas contables.</w:t>
            </w:r>
          </w:p>
        </w:tc>
      </w:tr>
    </w:tbl>
    <w:p w14:paraId="73825F4E" w14:textId="77777777" w:rsidR="00561B22" w:rsidRPr="00E37880" w:rsidRDefault="00561B22" w:rsidP="00561B22">
      <w:pPr>
        <w:pStyle w:val="Textoindependiente"/>
        <w:ind w:right="-50"/>
        <w:jc w:val="both"/>
        <w:rPr>
          <w:rFonts w:ascii="Arial" w:hAnsi="Arial" w:cs="Arial"/>
          <w:b/>
          <w:bCs/>
        </w:rPr>
      </w:pPr>
    </w:p>
    <w:p w14:paraId="6B8F1950" w14:textId="77777777" w:rsidR="00561B22" w:rsidRPr="00F634DB" w:rsidRDefault="00561B22" w:rsidP="00561B22">
      <w:pPr>
        <w:jc w:val="both"/>
        <w:rPr>
          <w:rFonts w:ascii="Arial" w:hAnsi="Arial" w:cs="Arial"/>
          <w:b/>
          <w:sz w:val="28"/>
          <w:szCs w:val="28"/>
          <w:lang w:val="es-MX"/>
        </w:rPr>
      </w:pPr>
      <w:r w:rsidRPr="00F634DB">
        <w:rPr>
          <w:rFonts w:ascii="Arial" w:hAnsi="Arial" w:cs="Arial"/>
          <w:b/>
          <w:sz w:val="28"/>
          <w:szCs w:val="28"/>
          <w:lang w:val="es-MX"/>
        </w:rPr>
        <w:t>312.- U.A.E. COMISIÓN DE REGULACIÓN DE COMUNICACIONES – CRC.</w:t>
      </w:r>
    </w:p>
    <w:p w14:paraId="6BCAF424" w14:textId="77777777" w:rsidR="00561B22" w:rsidRPr="004B5D62" w:rsidRDefault="00561B22" w:rsidP="00561B22">
      <w:pPr>
        <w:pStyle w:val="Textoindependiente"/>
        <w:tabs>
          <w:tab w:val="left" w:pos="2055"/>
        </w:tabs>
        <w:spacing w:before="5"/>
        <w:rPr>
          <w:rFonts w:ascii="Arial" w:hAnsi="Arial" w:cs="Arial"/>
          <w:lang w:val="es-MX"/>
        </w:rPr>
      </w:pPr>
    </w:p>
    <w:p w14:paraId="64050070" w14:textId="77777777" w:rsidR="00561B22" w:rsidRPr="004B5D62" w:rsidRDefault="00561B22" w:rsidP="00561B22">
      <w:pPr>
        <w:jc w:val="center"/>
        <w:rPr>
          <w:rFonts w:ascii="Arial" w:hAnsi="Arial" w:cs="Arial"/>
          <w:b/>
          <w:lang w:val="es-MX"/>
        </w:rPr>
      </w:pPr>
      <w:r w:rsidRPr="004B5D62">
        <w:rPr>
          <w:rFonts w:ascii="Arial" w:hAnsi="Arial" w:cs="Arial"/>
          <w:b/>
          <w:lang w:val="es-MX"/>
        </w:rPr>
        <w:t>INFORME DE LA AUTOCALIFICACIÓN DEL SISTEMA DE CONTROL INTERNO CONTABLE:</w:t>
      </w:r>
    </w:p>
    <w:p w14:paraId="2EEEB02A" w14:textId="77777777" w:rsidR="00561B22" w:rsidRPr="004B5D62"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4B5D62" w14:paraId="5155E524" w14:textId="77777777" w:rsidTr="00F1223B">
        <w:tc>
          <w:tcPr>
            <w:tcW w:w="4981" w:type="dxa"/>
          </w:tcPr>
          <w:p w14:paraId="15E90F2E"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AUTOCALIFICACIÓN</w:t>
            </w:r>
          </w:p>
        </w:tc>
        <w:tc>
          <w:tcPr>
            <w:tcW w:w="4981" w:type="dxa"/>
          </w:tcPr>
          <w:p w14:paraId="28F81BF9" w14:textId="77777777" w:rsidR="00561B22" w:rsidRPr="004B5D62" w:rsidRDefault="00561B22" w:rsidP="00F1223B">
            <w:pPr>
              <w:jc w:val="center"/>
              <w:rPr>
                <w:rFonts w:ascii="Arial" w:hAnsi="Arial" w:cs="Arial"/>
                <w:b/>
                <w:sz w:val="22"/>
                <w:szCs w:val="22"/>
                <w:u w:val="single"/>
                <w:lang w:val="es-MX"/>
              </w:rPr>
            </w:pPr>
            <w:r w:rsidRPr="004B5D62">
              <w:rPr>
                <w:rFonts w:ascii="Arial" w:hAnsi="Arial" w:cs="Arial"/>
                <w:b/>
                <w:sz w:val="22"/>
                <w:szCs w:val="22"/>
                <w:u w:val="single"/>
                <w:lang w:val="es-MX"/>
              </w:rPr>
              <w:t>4.89</w:t>
            </w:r>
          </w:p>
        </w:tc>
      </w:tr>
    </w:tbl>
    <w:p w14:paraId="67446D11" w14:textId="77777777" w:rsidR="00561B22" w:rsidRPr="004B5D62"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4B5D62" w14:paraId="17501B7D" w14:textId="77777777" w:rsidTr="00F1223B">
        <w:tc>
          <w:tcPr>
            <w:tcW w:w="562" w:type="dxa"/>
          </w:tcPr>
          <w:p w14:paraId="471920F5" w14:textId="77777777" w:rsidR="00561B22" w:rsidRPr="004B5D62" w:rsidRDefault="00561B22" w:rsidP="00F1223B">
            <w:pPr>
              <w:ind w:right="-109"/>
              <w:jc w:val="center"/>
              <w:rPr>
                <w:rFonts w:ascii="Arial" w:hAnsi="Arial" w:cs="Arial"/>
                <w:b/>
                <w:sz w:val="22"/>
                <w:szCs w:val="22"/>
                <w:lang w:val="es-MX"/>
              </w:rPr>
            </w:pPr>
            <w:r w:rsidRPr="004B5D62">
              <w:rPr>
                <w:rFonts w:ascii="Arial" w:hAnsi="Arial" w:cs="Arial"/>
                <w:b/>
                <w:sz w:val="22"/>
                <w:szCs w:val="22"/>
                <w:lang w:val="es-MX"/>
              </w:rPr>
              <w:t>N°</w:t>
            </w:r>
          </w:p>
        </w:tc>
        <w:tc>
          <w:tcPr>
            <w:tcW w:w="9400" w:type="dxa"/>
          </w:tcPr>
          <w:p w14:paraId="2A12338B"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DEBILIDADES</w:t>
            </w:r>
          </w:p>
        </w:tc>
      </w:tr>
      <w:tr w:rsidR="00561B22" w:rsidRPr="004B5D62" w14:paraId="00736054" w14:textId="77777777" w:rsidTr="00F1223B">
        <w:tc>
          <w:tcPr>
            <w:tcW w:w="562" w:type="dxa"/>
          </w:tcPr>
          <w:p w14:paraId="773B4287"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1</w:t>
            </w:r>
          </w:p>
        </w:tc>
        <w:tc>
          <w:tcPr>
            <w:tcW w:w="9400" w:type="dxa"/>
          </w:tcPr>
          <w:p w14:paraId="3774371F" w14:textId="77777777" w:rsidR="00561B22" w:rsidRPr="004B5D62" w:rsidRDefault="00561B22" w:rsidP="00F1223B">
            <w:pPr>
              <w:jc w:val="both"/>
              <w:rPr>
                <w:rFonts w:ascii="Arial" w:hAnsi="Arial" w:cs="Arial"/>
                <w:sz w:val="22"/>
                <w:szCs w:val="22"/>
                <w:lang w:val="es-CO"/>
              </w:rPr>
            </w:pPr>
            <w:r w:rsidRPr="004B5D62">
              <w:rPr>
                <w:rFonts w:ascii="Arial" w:hAnsi="Arial" w:cs="Arial"/>
                <w:sz w:val="22"/>
                <w:szCs w:val="22"/>
              </w:rPr>
              <w:t>En cuanto a la gestión de riesgos de índole contable, se encontró que se efectúa la revisión correspondiente en las RAE y se adelantaron, mensualmente, reuniones de monitoreo entre primera y segunda línea de defensa, igualmente se escaló la información a Planeación Estratégica para su respectiva consolidación, quedando pendiente la documentación de la respectiva función de aseguramiento realizada por la segunda línea de defensa a través del ejercicio de autoevaluación, es decir, para ello es necesario actualizar el Mapa de Aseguramiento.</w:t>
            </w:r>
          </w:p>
        </w:tc>
      </w:tr>
      <w:tr w:rsidR="00561B22" w:rsidRPr="004B5D62" w14:paraId="7CB533D1" w14:textId="77777777" w:rsidTr="00F1223B">
        <w:tc>
          <w:tcPr>
            <w:tcW w:w="562" w:type="dxa"/>
          </w:tcPr>
          <w:p w14:paraId="6543359A"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2</w:t>
            </w:r>
          </w:p>
        </w:tc>
        <w:tc>
          <w:tcPr>
            <w:tcW w:w="9400" w:type="dxa"/>
          </w:tcPr>
          <w:p w14:paraId="5E6C52E6" w14:textId="77777777" w:rsidR="00561B22" w:rsidRPr="004B5D62" w:rsidRDefault="00561B22" w:rsidP="00F1223B">
            <w:pPr>
              <w:spacing w:line="276" w:lineRule="auto"/>
              <w:jc w:val="both"/>
              <w:rPr>
                <w:rFonts w:ascii="Arial" w:eastAsia="Times New Roman" w:hAnsi="Arial" w:cs="Arial"/>
                <w:sz w:val="22"/>
                <w:szCs w:val="22"/>
                <w:lang w:val="es-CO"/>
              </w:rPr>
            </w:pPr>
            <w:r w:rsidRPr="004B5D62">
              <w:rPr>
                <w:rFonts w:ascii="Arial" w:eastAsia="Times New Roman" w:hAnsi="Arial" w:cs="Arial"/>
                <w:sz w:val="22"/>
                <w:szCs w:val="22"/>
              </w:rPr>
              <w:t>Se hace importante incluir en el Plan Institucional de Capacitación, el fortalecimiento de las competencias de los funcionarios del área contable.</w:t>
            </w:r>
          </w:p>
        </w:tc>
      </w:tr>
    </w:tbl>
    <w:p w14:paraId="4E91D934" w14:textId="77777777" w:rsidR="00561B22" w:rsidRPr="004B5D62" w:rsidRDefault="00561B22" w:rsidP="00561B22">
      <w:pPr>
        <w:jc w:val="both"/>
        <w:rPr>
          <w:rFonts w:ascii="Arial" w:hAnsi="Arial" w:cs="Arial"/>
          <w:b/>
          <w:lang w:val="es-MX"/>
        </w:rPr>
      </w:pPr>
    </w:p>
    <w:p w14:paraId="4C467888" w14:textId="77777777" w:rsidR="00561B22" w:rsidRPr="004B5D62" w:rsidRDefault="00561B22" w:rsidP="00561B22">
      <w:pPr>
        <w:jc w:val="both"/>
        <w:rPr>
          <w:rFonts w:ascii="Arial" w:hAnsi="Arial" w:cs="Arial"/>
          <w:b/>
          <w:lang w:val="es-MX"/>
        </w:rPr>
      </w:pPr>
      <w:r w:rsidRPr="004B5D62">
        <w:rPr>
          <w:rFonts w:ascii="Arial" w:hAnsi="Arial" w:cs="Arial"/>
          <w:b/>
          <w:lang w:val="es-MX"/>
        </w:rPr>
        <w:t>Del citado informe retomamos las siguientes recomendaciones:</w:t>
      </w:r>
    </w:p>
    <w:p w14:paraId="468ACEAD" w14:textId="77777777" w:rsidR="00561B22" w:rsidRPr="004B5D62"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4B5D62" w14:paraId="6DB5CC9F" w14:textId="77777777" w:rsidTr="00F1223B">
        <w:tc>
          <w:tcPr>
            <w:tcW w:w="562" w:type="dxa"/>
          </w:tcPr>
          <w:p w14:paraId="56279172" w14:textId="77777777" w:rsidR="00561B22" w:rsidRPr="004B5D62" w:rsidRDefault="00561B22" w:rsidP="00F1223B">
            <w:pPr>
              <w:ind w:right="-109"/>
              <w:jc w:val="center"/>
              <w:rPr>
                <w:rFonts w:ascii="Arial" w:hAnsi="Arial" w:cs="Arial"/>
                <w:b/>
                <w:sz w:val="22"/>
                <w:szCs w:val="22"/>
                <w:lang w:val="es-MX"/>
              </w:rPr>
            </w:pPr>
            <w:r w:rsidRPr="004B5D62">
              <w:rPr>
                <w:rFonts w:ascii="Arial" w:hAnsi="Arial" w:cs="Arial"/>
                <w:b/>
                <w:sz w:val="22"/>
                <w:szCs w:val="22"/>
                <w:lang w:val="es-MX"/>
              </w:rPr>
              <w:t>N°</w:t>
            </w:r>
          </w:p>
        </w:tc>
        <w:tc>
          <w:tcPr>
            <w:tcW w:w="9400" w:type="dxa"/>
          </w:tcPr>
          <w:p w14:paraId="4703B102"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RECOMENDACIONES</w:t>
            </w:r>
          </w:p>
          <w:p w14:paraId="73AA7776" w14:textId="77777777" w:rsidR="00561B22" w:rsidRPr="004B5D62" w:rsidRDefault="00561B22" w:rsidP="00F1223B">
            <w:pPr>
              <w:jc w:val="center"/>
              <w:rPr>
                <w:rFonts w:ascii="Arial" w:hAnsi="Arial" w:cs="Arial"/>
                <w:b/>
                <w:sz w:val="22"/>
                <w:szCs w:val="22"/>
                <w:lang w:val="es-MX"/>
              </w:rPr>
            </w:pPr>
          </w:p>
        </w:tc>
      </w:tr>
      <w:tr w:rsidR="00561B22" w:rsidRPr="004B5D62" w14:paraId="2AD771FE" w14:textId="77777777" w:rsidTr="00F1223B">
        <w:tc>
          <w:tcPr>
            <w:tcW w:w="562" w:type="dxa"/>
          </w:tcPr>
          <w:p w14:paraId="7277D92F"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1</w:t>
            </w:r>
          </w:p>
        </w:tc>
        <w:tc>
          <w:tcPr>
            <w:tcW w:w="9400" w:type="dxa"/>
          </w:tcPr>
          <w:p w14:paraId="7AD3CFCA" w14:textId="77777777" w:rsidR="00561B22" w:rsidRPr="004B5D62" w:rsidRDefault="00561B22" w:rsidP="00F1223B">
            <w:pPr>
              <w:jc w:val="both"/>
              <w:rPr>
                <w:rFonts w:ascii="Arial" w:eastAsia="Times New Roman" w:hAnsi="Arial" w:cs="Arial"/>
                <w:sz w:val="22"/>
                <w:szCs w:val="22"/>
                <w:lang w:val="es-CO"/>
              </w:rPr>
            </w:pPr>
            <w:r w:rsidRPr="004B5D62">
              <w:rPr>
                <w:rFonts w:ascii="Arial" w:eastAsia="Times New Roman" w:hAnsi="Arial" w:cs="Arial"/>
                <w:sz w:val="22"/>
                <w:szCs w:val="22"/>
              </w:rPr>
              <w:t>Tener en cuenta la función de aseguramiento del proceso de gestión financiera, en lo que respecta al área contable, al momento de actualizar el Mapa de Aseguramiento debido a que esta es la herramienta para documentar y gestionar de manera efectiva los controles llevados a cabo por la segunda línea de defensa para una adecuada gestión de riesgos del proceso.</w:t>
            </w:r>
          </w:p>
        </w:tc>
      </w:tr>
      <w:tr w:rsidR="00561B22" w:rsidRPr="004B5D62" w14:paraId="3A449E94" w14:textId="77777777" w:rsidTr="00F1223B">
        <w:tc>
          <w:tcPr>
            <w:tcW w:w="562" w:type="dxa"/>
          </w:tcPr>
          <w:p w14:paraId="263CEF9F" w14:textId="77777777" w:rsidR="00561B22" w:rsidRPr="004B5D62" w:rsidRDefault="00561B22" w:rsidP="00F1223B">
            <w:pPr>
              <w:jc w:val="center"/>
              <w:rPr>
                <w:rFonts w:ascii="Arial" w:hAnsi="Arial" w:cs="Arial"/>
                <w:b/>
                <w:sz w:val="22"/>
                <w:szCs w:val="22"/>
                <w:lang w:val="es-MX"/>
              </w:rPr>
            </w:pPr>
            <w:r w:rsidRPr="004B5D62">
              <w:rPr>
                <w:rFonts w:ascii="Arial" w:hAnsi="Arial" w:cs="Arial"/>
                <w:b/>
                <w:sz w:val="22"/>
                <w:szCs w:val="22"/>
                <w:lang w:val="es-MX"/>
              </w:rPr>
              <w:t>2</w:t>
            </w:r>
          </w:p>
        </w:tc>
        <w:tc>
          <w:tcPr>
            <w:tcW w:w="9400" w:type="dxa"/>
          </w:tcPr>
          <w:p w14:paraId="0AC17225" w14:textId="77777777" w:rsidR="00561B22" w:rsidRPr="004B5D62" w:rsidRDefault="00561B22" w:rsidP="00F1223B">
            <w:pPr>
              <w:spacing w:line="276" w:lineRule="auto"/>
              <w:jc w:val="both"/>
              <w:rPr>
                <w:rFonts w:ascii="Arial" w:eastAsia="Times New Roman" w:hAnsi="Arial" w:cs="Arial"/>
                <w:sz w:val="22"/>
                <w:szCs w:val="22"/>
                <w:lang w:val="es-CO"/>
              </w:rPr>
            </w:pPr>
            <w:r w:rsidRPr="004B5D62">
              <w:rPr>
                <w:rFonts w:ascii="Arial" w:eastAsia="Times New Roman" w:hAnsi="Arial" w:cs="Arial"/>
                <w:sz w:val="22"/>
                <w:szCs w:val="22"/>
              </w:rPr>
              <w:t>Contemplar y documentar las actividades de capacitación específicas para el mejoramiento de competencias y habilidades del personal involucrado en el área contable.</w:t>
            </w:r>
          </w:p>
        </w:tc>
      </w:tr>
    </w:tbl>
    <w:p w14:paraId="758462E3" w14:textId="77777777" w:rsidR="00561B22" w:rsidRDefault="00561B22" w:rsidP="00561B22">
      <w:pPr>
        <w:jc w:val="both"/>
        <w:rPr>
          <w:rFonts w:ascii="Arial" w:hAnsi="Arial" w:cs="Arial"/>
          <w:b/>
          <w:sz w:val="28"/>
          <w:szCs w:val="28"/>
          <w:lang w:val="es-MX"/>
        </w:rPr>
      </w:pPr>
    </w:p>
    <w:p w14:paraId="72D29779" w14:textId="77777777" w:rsidR="00561B22" w:rsidRPr="0037447A" w:rsidRDefault="00561B22" w:rsidP="00561B22">
      <w:pPr>
        <w:jc w:val="both"/>
        <w:rPr>
          <w:rFonts w:ascii="Arial" w:hAnsi="Arial" w:cs="Arial"/>
          <w:b/>
          <w:sz w:val="24"/>
          <w:szCs w:val="24"/>
          <w:u w:val="single"/>
          <w:lang w:val="es-MX"/>
        </w:rPr>
      </w:pPr>
      <w:r w:rsidRPr="0037447A">
        <w:rPr>
          <w:rFonts w:ascii="Arial" w:hAnsi="Arial" w:cs="Arial"/>
          <w:b/>
          <w:sz w:val="24"/>
          <w:szCs w:val="24"/>
          <w:lang w:val="es-MX"/>
        </w:rPr>
        <w:lastRenderedPageBreak/>
        <w:t xml:space="preserve">NOTA: LA ENTIDAD ENVÍA LA MATRIZ DE AUTOEVALUACIÓN DE CONTROL INTERNO CONTABLE CON </w:t>
      </w:r>
      <w:r w:rsidRPr="0037447A">
        <w:rPr>
          <w:rFonts w:ascii="Arial" w:hAnsi="Arial" w:cs="Arial"/>
          <w:b/>
          <w:sz w:val="24"/>
          <w:szCs w:val="24"/>
          <w:u w:val="single"/>
          <w:lang w:val="es-MX"/>
        </w:rPr>
        <w:t>ACTIVIDADES DE CONTROL REALIZADAS EN FORMA PARCIAL.</w:t>
      </w:r>
    </w:p>
    <w:p w14:paraId="1409E449" w14:textId="77777777" w:rsidR="00561B22" w:rsidRPr="0037447A" w:rsidRDefault="00561B22" w:rsidP="00561B22">
      <w:pPr>
        <w:jc w:val="both"/>
        <w:rPr>
          <w:rFonts w:ascii="Arial" w:hAnsi="Arial" w:cs="Arial"/>
          <w:b/>
          <w:sz w:val="28"/>
          <w:szCs w:val="28"/>
          <w:lang w:val="es-MX"/>
        </w:rPr>
      </w:pPr>
    </w:p>
    <w:p w14:paraId="5A878A94" w14:textId="77777777" w:rsidR="00561B22" w:rsidRPr="00A7741B" w:rsidRDefault="00561B22" w:rsidP="00561B22">
      <w:pPr>
        <w:ind w:right="49"/>
        <w:jc w:val="both"/>
        <w:rPr>
          <w:rFonts w:ascii="Arial" w:hAnsi="Arial" w:cs="Arial"/>
          <w:b/>
          <w:sz w:val="28"/>
          <w:szCs w:val="28"/>
          <w:lang w:val="es-MX"/>
        </w:rPr>
      </w:pPr>
      <w:r w:rsidRPr="00A7741B">
        <w:rPr>
          <w:rFonts w:ascii="Arial" w:hAnsi="Arial" w:cs="Arial"/>
          <w:b/>
          <w:sz w:val="28"/>
          <w:szCs w:val="28"/>
          <w:lang w:val="es-MX"/>
        </w:rPr>
        <w:t>313.- INSTITUTO TÉCNICO NACIONAL DE COMERCIO “SIMÓN RODRÍGUEZ” DE CALI – INTENALCO.</w:t>
      </w:r>
    </w:p>
    <w:p w14:paraId="1CDC233D" w14:textId="77777777" w:rsidR="00561B22" w:rsidRDefault="00561B22" w:rsidP="00561B22">
      <w:pPr>
        <w:jc w:val="both"/>
        <w:rPr>
          <w:rFonts w:ascii="Arial" w:hAnsi="Arial" w:cs="Arial"/>
          <w:b/>
          <w:bCs/>
          <w:lang w:val="es-MX"/>
        </w:rPr>
      </w:pPr>
    </w:p>
    <w:p w14:paraId="44409BF9" w14:textId="77777777" w:rsidR="00561B22" w:rsidRPr="00647AC3" w:rsidRDefault="00561B22" w:rsidP="00561B22">
      <w:pPr>
        <w:pStyle w:val="Textoindependiente"/>
        <w:ind w:right="-50"/>
        <w:jc w:val="center"/>
        <w:rPr>
          <w:rFonts w:ascii="Arial" w:hAnsi="Arial" w:cs="Arial"/>
          <w:b/>
          <w:bCs/>
        </w:rPr>
      </w:pPr>
      <w:r w:rsidRPr="00647AC3">
        <w:rPr>
          <w:rFonts w:ascii="Arial" w:hAnsi="Arial" w:cs="Arial"/>
          <w:b/>
          <w:bCs/>
        </w:rPr>
        <w:t>INFORME DE LA AUTOCALIFICACIÓN DEL SISTEMA DE CONTROL INTERNO CONTABLE:</w:t>
      </w:r>
    </w:p>
    <w:p w14:paraId="7DAC7DDD" w14:textId="77777777" w:rsidR="00561B22" w:rsidRPr="00647A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47AC3" w14:paraId="5C24F653" w14:textId="77777777" w:rsidTr="00F1223B">
        <w:tc>
          <w:tcPr>
            <w:tcW w:w="4981" w:type="dxa"/>
          </w:tcPr>
          <w:p w14:paraId="5D658264" w14:textId="77777777" w:rsidR="00561B22" w:rsidRPr="00647AC3" w:rsidRDefault="00561B22" w:rsidP="00F1223B">
            <w:pPr>
              <w:jc w:val="center"/>
              <w:rPr>
                <w:rFonts w:ascii="Arial" w:hAnsi="Arial" w:cs="Arial"/>
                <w:b/>
                <w:sz w:val="22"/>
                <w:szCs w:val="22"/>
                <w:lang w:val="es-MX"/>
              </w:rPr>
            </w:pPr>
            <w:r w:rsidRPr="00647AC3">
              <w:rPr>
                <w:rFonts w:ascii="Arial" w:hAnsi="Arial" w:cs="Arial"/>
                <w:b/>
                <w:sz w:val="22"/>
                <w:szCs w:val="22"/>
                <w:lang w:val="es-MX"/>
              </w:rPr>
              <w:t>AUTOCALIFICACIÓN</w:t>
            </w:r>
          </w:p>
        </w:tc>
        <w:tc>
          <w:tcPr>
            <w:tcW w:w="4981" w:type="dxa"/>
          </w:tcPr>
          <w:p w14:paraId="1A4820F4" w14:textId="77777777" w:rsidR="00561B22" w:rsidRPr="00647AC3" w:rsidRDefault="00561B22" w:rsidP="00F1223B">
            <w:pPr>
              <w:jc w:val="center"/>
              <w:rPr>
                <w:rFonts w:ascii="Arial" w:hAnsi="Arial" w:cs="Arial"/>
                <w:b/>
                <w:sz w:val="22"/>
                <w:szCs w:val="22"/>
                <w:u w:val="single"/>
                <w:lang w:val="es-CO"/>
              </w:rPr>
            </w:pPr>
            <w:r w:rsidRPr="00647AC3">
              <w:rPr>
                <w:rFonts w:ascii="Arial" w:hAnsi="Arial" w:cs="Arial"/>
                <w:b/>
                <w:sz w:val="22"/>
                <w:szCs w:val="22"/>
                <w:u w:val="single"/>
                <w:lang w:val="es-MX"/>
              </w:rPr>
              <w:t>4.96</w:t>
            </w:r>
          </w:p>
        </w:tc>
      </w:tr>
    </w:tbl>
    <w:p w14:paraId="110AA526" w14:textId="77777777" w:rsidR="00561B22" w:rsidRPr="00647AC3" w:rsidRDefault="00561B22" w:rsidP="00561B22">
      <w:pPr>
        <w:pStyle w:val="Textoindependiente"/>
        <w:ind w:right="-50"/>
        <w:jc w:val="both"/>
        <w:rPr>
          <w:rFonts w:ascii="Arial" w:hAnsi="Arial" w:cs="Arial"/>
          <w:b/>
          <w:bCs/>
        </w:rPr>
      </w:pPr>
    </w:p>
    <w:p w14:paraId="606E51DC" w14:textId="77777777" w:rsidR="00561B22" w:rsidRPr="00647AC3" w:rsidRDefault="00561B22" w:rsidP="00561B22">
      <w:pPr>
        <w:pStyle w:val="Textoindependiente"/>
        <w:ind w:right="-50"/>
        <w:jc w:val="both"/>
        <w:rPr>
          <w:rFonts w:ascii="Arial" w:hAnsi="Arial" w:cs="Arial"/>
          <w:b/>
          <w:bCs/>
        </w:rPr>
      </w:pPr>
      <w:r w:rsidRPr="00647AC3">
        <w:rPr>
          <w:rFonts w:ascii="Arial" w:hAnsi="Arial" w:cs="Arial"/>
          <w:b/>
          <w:bCs/>
        </w:rPr>
        <w:t>Del informe enviado retomamos lo siguiente:</w:t>
      </w:r>
    </w:p>
    <w:p w14:paraId="03474176" w14:textId="77777777" w:rsidR="00561B22" w:rsidRPr="00647A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47AC3" w14:paraId="6BAFC27A" w14:textId="77777777" w:rsidTr="00F1223B">
        <w:tc>
          <w:tcPr>
            <w:tcW w:w="562" w:type="dxa"/>
          </w:tcPr>
          <w:p w14:paraId="5FA70BDB" w14:textId="77777777" w:rsidR="00561B22" w:rsidRPr="00647AC3" w:rsidRDefault="00561B22" w:rsidP="00F1223B">
            <w:pPr>
              <w:ind w:right="-109"/>
              <w:jc w:val="center"/>
              <w:rPr>
                <w:rFonts w:ascii="Arial" w:hAnsi="Arial" w:cs="Arial"/>
                <w:b/>
                <w:sz w:val="22"/>
                <w:szCs w:val="22"/>
                <w:lang w:val="es-MX"/>
              </w:rPr>
            </w:pPr>
            <w:r w:rsidRPr="00647AC3">
              <w:rPr>
                <w:rFonts w:ascii="Arial" w:hAnsi="Arial" w:cs="Arial"/>
                <w:b/>
                <w:sz w:val="22"/>
                <w:szCs w:val="22"/>
                <w:lang w:val="es-MX"/>
              </w:rPr>
              <w:t>N°</w:t>
            </w:r>
          </w:p>
        </w:tc>
        <w:tc>
          <w:tcPr>
            <w:tcW w:w="9400" w:type="dxa"/>
          </w:tcPr>
          <w:p w14:paraId="267EAF0C" w14:textId="77777777" w:rsidR="00561B22" w:rsidRPr="00647AC3" w:rsidRDefault="00561B22" w:rsidP="00F1223B">
            <w:pPr>
              <w:jc w:val="center"/>
              <w:rPr>
                <w:rFonts w:ascii="Arial" w:hAnsi="Arial" w:cs="Arial"/>
                <w:b/>
                <w:sz w:val="22"/>
                <w:szCs w:val="22"/>
                <w:lang w:val="es-MX"/>
              </w:rPr>
            </w:pPr>
            <w:r w:rsidRPr="00647AC3">
              <w:rPr>
                <w:rFonts w:ascii="Arial" w:hAnsi="Arial" w:cs="Arial"/>
                <w:b/>
                <w:sz w:val="22"/>
                <w:szCs w:val="22"/>
                <w:lang w:val="es-MX"/>
              </w:rPr>
              <w:t>DEBILIDADES</w:t>
            </w:r>
          </w:p>
          <w:p w14:paraId="650E2BB6" w14:textId="77777777" w:rsidR="00561B22" w:rsidRPr="00647AC3" w:rsidRDefault="00561B22" w:rsidP="00F1223B">
            <w:pPr>
              <w:jc w:val="center"/>
              <w:rPr>
                <w:rFonts w:ascii="Arial" w:hAnsi="Arial" w:cs="Arial"/>
                <w:b/>
                <w:sz w:val="22"/>
                <w:szCs w:val="22"/>
                <w:lang w:val="es-MX"/>
              </w:rPr>
            </w:pPr>
          </w:p>
        </w:tc>
      </w:tr>
      <w:tr w:rsidR="00561B22" w:rsidRPr="00647AC3" w14:paraId="38BFF7C9" w14:textId="77777777" w:rsidTr="00F1223B">
        <w:tc>
          <w:tcPr>
            <w:tcW w:w="562" w:type="dxa"/>
          </w:tcPr>
          <w:p w14:paraId="50C4A899" w14:textId="77777777" w:rsidR="00561B22" w:rsidRPr="00647AC3" w:rsidRDefault="00561B22" w:rsidP="00F1223B">
            <w:pPr>
              <w:jc w:val="center"/>
              <w:rPr>
                <w:rFonts w:ascii="Arial" w:hAnsi="Arial" w:cs="Arial"/>
                <w:b/>
                <w:sz w:val="22"/>
                <w:szCs w:val="22"/>
                <w:lang w:val="es-MX"/>
              </w:rPr>
            </w:pPr>
            <w:r w:rsidRPr="00647AC3">
              <w:rPr>
                <w:rFonts w:ascii="Arial" w:hAnsi="Arial" w:cs="Arial"/>
                <w:b/>
                <w:sz w:val="22"/>
                <w:szCs w:val="22"/>
                <w:lang w:val="es-MX"/>
              </w:rPr>
              <w:t>1</w:t>
            </w:r>
          </w:p>
        </w:tc>
        <w:tc>
          <w:tcPr>
            <w:tcW w:w="9400" w:type="dxa"/>
          </w:tcPr>
          <w:p w14:paraId="2384CD2D" w14:textId="77777777" w:rsidR="00561B22" w:rsidRPr="00647AC3" w:rsidRDefault="00561B22" w:rsidP="00F1223B">
            <w:pPr>
              <w:rPr>
                <w:rFonts w:ascii="Arial" w:hAnsi="Arial" w:cs="Arial"/>
                <w:bCs/>
                <w:sz w:val="22"/>
                <w:szCs w:val="22"/>
                <w:lang w:val="es-MX"/>
              </w:rPr>
            </w:pPr>
            <w:r w:rsidRPr="00647AC3">
              <w:rPr>
                <w:rFonts w:ascii="Arial" w:hAnsi="Arial" w:cs="Arial"/>
                <w:bCs/>
                <w:sz w:val="22"/>
                <w:szCs w:val="22"/>
                <w:lang w:val="es-MX"/>
              </w:rPr>
              <w:t>Reducción en cobertura académica.</w:t>
            </w:r>
          </w:p>
        </w:tc>
      </w:tr>
    </w:tbl>
    <w:p w14:paraId="3791BBF4" w14:textId="77777777" w:rsidR="00561B22" w:rsidRPr="00647A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47AC3" w14:paraId="73036507" w14:textId="77777777" w:rsidTr="00F1223B">
        <w:tc>
          <w:tcPr>
            <w:tcW w:w="562" w:type="dxa"/>
          </w:tcPr>
          <w:p w14:paraId="6CE442A0" w14:textId="77777777" w:rsidR="00561B22" w:rsidRPr="00647AC3" w:rsidRDefault="00561B22" w:rsidP="00F1223B">
            <w:pPr>
              <w:ind w:right="-109"/>
              <w:jc w:val="center"/>
              <w:rPr>
                <w:rFonts w:ascii="Arial" w:hAnsi="Arial" w:cs="Arial"/>
                <w:b/>
                <w:sz w:val="22"/>
                <w:szCs w:val="22"/>
                <w:lang w:val="es-MX"/>
              </w:rPr>
            </w:pPr>
            <w:r w:rsidRPr="00647AC3">
              <w:rPr>
                <w:rFonts w:ascii="Arial" w:hAnsi="Arial" w:cs="Arial"/>
                <w:b/>
                <w:sz w:val="22"/>
                <w:szCs w:val="22"/>
                <w:lang w:val="es-MX"/>
              </w:rPr>
              <w:t>N°</w:t>
            </w:r>
          </w:p>
        </w:tc>
        <w:tc>
          <w:tcPr>
            <w:tcW w:w="9400" w:type="dxa"/>
          </w:tcPr>
          <w:p w14:paraId="0BDCDCCE" w14:textId="77777777" w:rsidR="00561B22" w:rsidRPr="00647AC3" w:rsidRDefault="00561B22" w:rsidP="00F1223B">
            <w:pPr>
              <w:jc w:val="center"/>
              <w:rPr>
                <w:rFonts w:ascii="Arial" w:hAnsi="Arial" w:cs="Arial"/>
                <w:b/>
                <w:sz w:val="22"/>
                <w:szCs w:val="22"/>
                <w:lang w:val="es-MX"/>
              </w:rPr>
            </w:pPr>
            <w:r w:rsidRPr="00647AC3">
              <w:rPr>
                <w:rFonts w:ascii="Arial" w:hAnsi="Arial" w:cs="Arial"/>
                <w:b/>
                <w:sz w:val="22"/>
                <w:szCs w:val="22"/>
                <w:lang w:val="es-MX"/>
              </w:rPr>
              <w:t>RECOMENDACIONES</w:t>
            </w:r>
          </w:p>
          <w:p w14:paraId="330F74DF" w14:textId="77777777" w:rsidR="00561B22" w:rsidRPr="00647AC3" w:rsidRDefault="00561B22" w:rsidP="00F1223B">
            <w:pPr>
              <w:jc w:val="center"/>
              <w:rPr>
                <w:rFonts w:ascii="Arial" w:hAnsi="Arial" w:cs="Arial"/>
                <w:b/>
                <w:sz w:val="22"/>
                <w:szCs w:val="22"/>
                <w:lang w:val="es-MX"/>
              </w:rPr>
            </w:pPr>
          </w:p>
        </w:tc>
      </w:tr>
      <w:tr w:rsidR="00561B22" w:rsidRPr="00647AC3" w14:paraId="3AA57D63" w14:textId="77777777" w:rsidTr="00F1223B">
        <w:tc>
          <w:tcPr>
            <w:tcW w:w="562" w:type="dxa"/>
          </w:tcPr>
          <w:p w14:paraId="6447AB76" w14:textId="77777777" w:rsidR="00561B22" w:rsidRPr="00647AC3" w:rsidRDefault="00561B22" w:rsidP="00F1223B">
            <w:pPr>
              <w:jc w:val="center"/>
              <w:rPr>
                <w:rFonts w:ascii="Arial" w:hAnsi="Arial" w:cs="Arial"/>
                <w:b/>
                <w:sz w:val="22"/>
                <w:szCs w:val="22"/>
                <w:lang w:val="es-MX"/>
              </w:rPr>
            </w:pPr>
            <w:r w:rsidRPr="00647AC3">
              <w:rPr>
                <w:rFonts w:ascii="Arial" w:hAnsi="Arial" w:cs="Arial"/>
                <w:b/>
                <w:sz w:val="22"/>
                <w:szCs w:val="22"/>
                <w:lang w:val="es-MX"/>
              </w:rPr>
              <w:t>1</w:t>
            </w:r>
          </w:p>
        </w:tc>
        <w:tc>
          <w:tcPr>
            <w:tcW w:w="9400" w:type="dxa"/>
          </w:tcPr>
          <w:p w14:paraId="2C89B9B1" w14:textId="77777777" w:rsidR="00561B22" w:rsidRPr="00647AC3" w:rsidRDefault="00561B22" w:rsidP="00F1223B">
            <w:pPr>
              <w:rPr>
                <w:rFonts w:ascii="Arial" w:hAnsi="Arial" w:cs="Arial"/>
                <w:bCs/>
                <w:sz w:val="22"/>
                <w:szCs w:val="22"/>
                <w:lang w:val="es-MX"/>
              </w:rPr>
            </w:pPr>
            <w:r w:rsidRPr="00647AC3">
              <w:rPr>
                <w:rFonts w:ascii="Arial" w:hAnsi="Arial" w:cs="Arial"/>
                <w:bCs/>
                <w:sz w:val="22"/>
                <w:szCs w:val="22"/>
                <w:lang w:val="es-MX"/>
              </w:rPr>
              <w:t>Seguir fortalecimiento del proceso en cuanto a procedimientos.</w:t>
            </w:r>
          </w:p>
        </w:tc>
      </w:tr>
    </w:tbl>
    <w:p w14:paraId="79C820BE" w14:textId="77777777" w:rsidR="00561B22" w:rsidRDefault="00561B22" w:rsidP="00561B22">
      <w:pPr>
        <w:pStyle w:val="Ttulo1"/>
        <w:ind w:right="-50"/>
        <w:jc w:val="left"/>
        <w:rPr>
          <w:sz w:val="22"/>
          <w:szCs w:val="22"/>
        </w:rPr>
      </w:pPr>
    </w:p>
    <w:p w14:paraId="0D9D1ACD" w14:textId="77777777" w:rsidR="00561B22" w:rsidRPr="000024C6" w:rsidRDefault="00561B22" w:rsidP="00561B22">
      <w:pPr>
        <w:jc w:val="both"/>
        <w:rPr>
          <w:rFonts w:ascii="Arial" w:hAnsi="Arial" w:cs="Arial"/>
          <w:b/>
          <w:sz w:val="28"/>
          <w:szCs w:val="28"/>
          <w:lang w:val="es-MX"/>
        </w:rPr>
      </w:pPr>
      <w:r w:rsidRPr="000024C6">
        <w:rPr>
          <w:rFonts w:ascii="Arial" w:hAnsi="Arial" w:cs="Arial"/>
          <w:b/>
          <w:sz w:val="28"/>
          <w:szCs w:val="28"/>
          <w:lang w:val="es-MX"/>
        </w:rPr>
        <w:t xml:space="preserve">314.- </w:t>
      </w:r>
      <w:r w:rsidRPr="000024C6">
        <w:rPr>
          <w:rFonts w:ascii="Arial" w:hAnsi="Arial" w:cs="Arial"/>
          <w:b/>
          <w:sz w:val="28"/>
          <w:szCs w:val="28"/>
          <w:lang w:val="es-CO"/>
        </w:rPr>
        <w:t>UNIDAD ADMINISTRATIVA ESPECIAL DE GESTIÓN DE RESTITUCIÓN DE TIERRAS DESPOJADAS.</w:t>
      </w:r>
    </w:p>
    <w:p w14:paraId="5F19F506" w14:textId="77777777" w:rsidR="00561B22" w:rsidRDefault="00561B22" w:rsidP="00561B22">
      <w:pPr>
        <w:pStyle w:val="Ttulo1"/>
        <w:ind w:right="-50"/>
        <w:jc w:val="left"/>
        <w:rPr>
          <w:sz w:val="22"/>
          <w:szCs w:val="22"/>
          <w:lang w:val="es-MX"/>
        </w:rPr>
      </w:pPr>
    </w:p>
    <w:p w14:paraId="01D9DD1F" w14:textId="77777777" w:rsidR="00561B22" w:rsidRPr="007775AE" w:rsidRDefault="00561B22" w:rsidP="00561B22">
      <w:pPr>
        <w:pStyle w:val="Textoindependiente"/>
        <w:jc w:val="center"/>
        <w:rPr>
          <w:rFonts w:ascii="Arial" w:hAnsi="Arial" w:cs="Arial"/>
          <w:b/>
          <w:bCs/>
          <w:sz w:val="28"/>
          <w:szCs w:val="28"/>
        </w:rPr>
      </w:pPr>
      <w:r w:rsidRPr="007775AE">
        <w:rPr>
          <w:rFonts w:ascii="Arial" w:hAnsi="Arial" w:cs="Arial"/>
          <w:b/>
          <w:bCs/>
          <w:sz w:val="28"/>
          <w:szCs w:val="28"/>
        </w:rPr>
        <w:t>INFORME DE LA AUTOCALIFICACIÓN DEL SISTEMA DE CONTROL INTERNO CONTABLE:</w:t>
      </w:r>
    </w:p>
    <w:p w14:paraId="1E049DFE" w14:textId="77777777" w:rsidR="00561B22" w:rsidRPr="007775AE" w:rsidRDefault="00561B22" w:rsidP="00561B22">
      <w:pPr>
        <w:pStyle w:val="Textoindependiente"/>
        <w:jc w:val="both"/>
        <w:rPr>
          <w:rFonts w:ascii="Arial" w:hAnsi="Arial" w:cs="Arial"/>
          <w:b/>
          <w:bCs/>
          <w:sz w:val="28"/>
          <w:szCs w:val="28"/>
        </w:rPr>
      </w:pPr>
    </w:p>
    <w:tbl>
      <w:tblPr>
        <w:tblStyle w:val="Tablaconcuadrcula"/>
        <w:tblW w:w="0" w:type="auto"/>
        <w:tblLook w:val="04A0" w:firstRow="1" w:lastRow="0" w:firstColumn="1" w:lastColumn="0" w:noHBand="0" w:noVBand="1"/>
      </w:tblPr>
      <w:tblGrid>
        <w:gridCol w:w="4981"/>
        <w:gridCol w:w="4981"/>
      </w:tblGrid>
      <w:tr w:rsidR="00561B22" w:rsidRPr="007775AE" w14:paraId="13F1DA74" w14:textId="77777777" w:rsidTr="00F1223B">
        <w:tc>
          <w:tcPr>
            <w:tcW w:w="4981" w:type="dxa"/>
          </w:tcPr>
          <w:p w14:paraId="322DE7CD" w14:textId="77777777" w:rsidR="00561B22" w:rsidRPr="007775AE" w:rsidRDefault="00561B22" w:rsidP="00F1223B">
            <w:pPr>
              <w:jc w:val="center"/>
              <w:rPr>
                <w:rFonts w:ascii="Arial" w:hAnsi="Arial" w:cs="Arial"/>
                <w:b/>
                <w:sz w:val="24"/>
                <w:szCs w:val="24"/>
                <w:lang w:val="es-MX"/>
              </w:rPr>
            </w:pPr>
            <w:r w:rsidRPr="007775AE">
              <w:rPr>
                <w:rFonts w:ascii="Arial" w:hAnsi="Arial" w:cs="Arial"/>
                <w:b/>
                <w:sz w:val="24"/>
                <w:szCs w:val="24"/>
                <w:lang w:val="es-MX"/>
              </w:rPr>
              <w:t>AUTOCALIFICACIÓN</w:t>
            </w:r>
          </w:p>
        </w:tc>
        <w:tc>
          <w:tcPr>
            <w:tcW w:w="4981" w:type="dxa"/>
          </w:tcPr>
          <w:p w14:paraId="26227BBD" w14:textId="77777777" w:rsidR="00561B22" w:rsidRPr="007775AE" w:rsidRDefault="00561B22" w:rsidP="00F1223B">
            <w:pPr>
              <w:jc w:val="center"/>
              <w:rPr>
                <w:rFonts w:ascii="Arial" w:hAnsi="Arial" w:cs="Arial"/>
                <w:b/>
                <w:sz w:val="24"/>
                <w:szCs w:val="24"/>
                <w:u w:val="single"/>
                <w:lang w:val="es-MX"/>
              </w:rPr>
            </w:pPr>
            <w:r w:rsidRPr="007775AE">
              <w:rPr>
                <w:rFonts w:ascii="Arial" w:hAnsi="Arial" w:cs="Arial"/>
                <w:b/>
                <w:sz w:val="24"/>
                <w:szCs w:val="24"/>
                <w:u w:val="single"/>
                <w:lang w:val="es-MX"/>
              </w:rPr>
              <w:t>4.69</w:t>
            </w:r>
          </w:p>
        </w:tc>
      </w:tr>
    </w:tbl>
    <w:p w14:paraId="405650FC" w14:textId="77777777" w:rsidR="00561B22" w:rsidRPr="007775AE" w:rsidRDefault="00561B22" w:rsidP="00561B22">
      <w:pPr>
        <w:pStyle w:val="Textoindependiente"/>
        <w:jc w:val="both"/>
        <w:rPr>
          <w:rFonts w:ascii="Arial" w:hAnsi="Arial" w:cs="Arial"/>
          <w:b/>
          <w:bCs/>
          <w:sz w:val="28"/>
          <w:szCs w:val="28"/>
        </w:rPr>
      </w:pPr>
    </w:p>
    <w:p w14:paraId="4A6D99E7" w14:textId="77777777" w:rsidR="00561B22" w:rsidRDefault="00561B22" w:rsidP="00561B22">
      <w:pPr>
        <w:pStyle w:val="Textoindependiente"/>
        <w:jc w:val="both"/>
        <w:rPr>
          <w:rFonts w:ascii="Arial" w:hAnsi="Arial" w:cs="Arial"/>
          <w:b/>
          <w:bCs/>
          <w:sz w:val="28"/>
          <w:szCs w:val="28"/>
        </w:rPr>
      </w:pPr>
      <w:r w:rsidRPr="007775AE">
        <w:rPr>
          <w:rFonts w:ascii="Arial" w:hAnsi="Arial" w:cs="Arial"/>
          <w:b/>
          <w:bCs/>
          <w:sz w:val="28"/>
          <w:szCs w:val="28"/>
        </w:rPr>
        <w:t>Del informe enviado retomamos lo siguiente:</w:t>
      </w:r>
    </w:p>
    <w:p w14:paraId="69B62242" w14:textId="77777777" w:rsidR="00561B22" w:rsidRPr="007775AE" w:rsidRDefault="00561B22" w:rsidP="00561B22">
      <w:pPr>
        <w:pStyle w:val="Textoindependiente"/>
        <w:jc w:val="both"/>
        <w:rPr>
          <w:rFonts w:ascii="Arial" w:hAnsi="Arial" w:cs="Arial"/>
          <w:b/>
          <w:bCs/>
          <w:sz w:val="28"/>
          <w:szCs w:val="28"/>
        </w:rPr>
      </w:pPr>
    </w:p>
    <w:p w14:paraId="0B4D3B09" w14:textId="77777777" w:rsidR="00561B22" w:rsidRPr="007775AE" w:rsidRDefault="00561B22" w:rsidP="00561B22">
      <w:pPr>
        <w:widowControl/>
        <w:numPr>
          <w:ilvl w:val="2"/>
          <w:numId w:val="117"/>
        </w:numPr>
        <w:autoSpaceDE/>
        <w:autoSpaceDN/>
        <w:ind w:left="0" w:firstLine="0"/>
        <w:contextualSpacing/>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Debilidades y recomendaciones</w:t>
      </w:r>
    </w:p>
    <w:p w14:paraId="2CDE81D1"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6F26F595" w14:textId="77777777" w:rsidR="00561B22" w:rsidRPr="007775AE" w:rsidRDefault="00561B22" w:rsidP="00561B22">
      <w:pPr>
        <w:widowControl/>
        <w:numPr>
          <w:ilvl w:val="0"/>
          <w:numId w:val="118"/>
        </w:numPr>
        <w:autoSpaceDE/>
        <w:autoSpaceDN/>
        <w:ind w:left="0" w:firstLine="0"/>
        <w:contextualSpacing/>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No. 1 – Ausencia de los Estados Financieros en la última Audiencia de Rendición de Cuentas de la entidad</w:t>
      </w:r>
    </w:p>
    <w:p w14:paraId="44A839FC"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04C53EE9"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 xml:space="preserve">La Oficina de Control Interno validó </w:t>
      </w:r>
      <w:r w:rsidRPr="007775AE">
        <w:rPr>
          <w:rFonts w:ascii="Arial" w:eastAsia="Calibri" w:hAnsi="Arial" w:cs="Arial"/>
          <w:i/>
          <w:iCs/>
          <w:noProof/>
          <w:sz w:val="24"/>
          <w:szCs w:val="24"/>
          <w:lang w:val="es-CO"/>
        </w:rPr>
        <w:t>“el informe Posterior a la Audiencia Pública de Rendición de Cuentas 2023”</w:t>
      </w:r>
      <w:r w:rsidRPr="007775AE">
        <w:rPr>
          <w:rFonts w:ascii="Arial" w:eastAsia="Calibri" w:hAnsi="Arial" w:cs="Arial"/>
          <w:noProof/>
          <w:sz w:val="24"/>
          <w:szCs w:val="24"/>
          <w:lang w:val="es-CO"/>
        </w:rPr>
        <w:t>, en el cual no se evidenció que los Estados Financieros fueran presentados en la Audiencia de Rendición de Cuentas del 06 de julio de 2024, llevada a cabo de forma presencial en el municipio San Onofre (Sucre).</w:t>
      </w:r>
    </w:p>
    <w:p w14:paraId="1E0B1344" w14:textId="77777777" w:rsidR="00561B22" w:rsidRPr="007775AE" w:rsidRDefault="00561B22" w:rsidP="00561B22">
      <w:pPr>
        <w:widowControl/>
        <w:autoSpaceDE/>
        <w:autoSpaceDN/>
        <w:jc w:val="both"/>
        <w:rPr>
          <w:rFonts w:ascii="Arial" w:eastAsia="Calibri" w:hAnsi="Arial" w:cs="Arial"/>
          <w:noProof/>
          <w:sz w:val="24"/>
          <w:szCs w:val="24"/>
          <w:lang w:val="es-CO"/>
        </w:rPr>
      </w:pPr>
    </w:p>
    <w:p w14:paraId="29EEC809" w14:textId="77777777" w:rsidR="00561B22" w:rsidRPr="007775AE" w:rsidRDefault="00561B22" w:rsidP="00561B22">
      <w:pPr>
        <w:widowControl/>
        <w:autoSpaceDE/>
        <w:autoSpaceDN/>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Recomendación</w:t>
      </w:r>
    </w:p>
    <w:p w14:paraId="487CBAD0"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7417AA95"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Extender solicitud al proceso o dependencia responsable de programar y ejecutar la audiencia pública de rendición de cuentas la necesidad de contar con un espacio en esta actividad para presentar la información financiera relevante de cada vigencia, con el fin de socializar a los interesados y la ciudadanía en general, datos importantes sobre la composición y manejo financiero de la entidad.</w:t>
      </w:r>
    </w:p>
    <w:p w14:paraId="4AF7FAFB" w14:textId="77777777" w:rsidR="00561B22" w:rsidRPr="007775AE" w:rsidRDefault="00561B22" w:rsidP="00561B22">
      <w:pPr>
        <w:widowControl/>
        <w:autoSpaceDE/>
        <w:autoSpaceDN/>
        <w:jc w:val="both"/>
        <w:rPr>
          <w:rFonts w:ascii="Arial" w:eastAsia="Calibri" w:hAnsi="Arial" w:cs="Arial"/>
          <w:noProof/>
          <w:sz w:val="24"/>
          <w:szCs w:val="24"/>
          <w:lang w:val="es-CO"/>
        </w:rPr>
      </w:pPr>
    </w:p>
    <w:p w14:paraId="26645BE8" w14:textId="77777777" w:rsidR="00561B22" w:rsidRPr="007775AE" w:rsidRDefault="00561B22" w:rsidP="00561B22">
      <w:pPr>
        <w:widowControl/>
        <w:numPr>
          <w:ilvl w:val="0"/>
          <w:numId w:val="118"/>
        </w:numPr>
        <w:autoSpaceDE/>
        <w:autoSpaceDN/>
        <w:ind w:left="0" w:firstLine="0"/>
        <w:contextualSpacing/>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No. 2 – Ausencia de Indicadores que permitan analizar e interpretar la realidad financiera de la entidad</w:t>
      </w:r>
    </w:p>
    <w:p w14:paraId="73269C42"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2B458D09"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De acuerdo con la verificación realizada a la información financiera de la entidad, no se observó que se efectuara análisis de esta por medio de indicadores financieros de liquidez, endeudamiento, rotación de cartera que permitan evaluar su realidad económica.</w:t>
      </w:r>
    </w:p>
    <w:p w14:paraId="26404BE4" w14:textId="77777777" w:rsidR="00561B22" w:rsidRPr="007775AE" w:rsidRDefault="00561B22" w:rsidP="00561B22">
      <w:pPr>
        <w:widowControl/>
        <w:autoSpaceDE/>
        <w:autoSpaceDN/>
        <w:jc w:val="both"/>
        <w:rPr>
          <w:rFonts w:ascii="Arial" w:eastAsia="Calibri" w:hAnsi="Arial" w:cs="Arial"/>
          <w:noProof/>
          <w:sz w:val="24"/>
          <w:szCs w:val="24"/>
          <w:lang w:val="es-CO"/>
        </w:rPr>
      </w:pPr>
    </w:p>
    <w:p w14:paraId="0BAC3775" w14:textId="77777777" w:rsidR="00561B22" w:rsidRPr="007775AE" w:rsidRDefault="00561B22" w:rsidP="00561B22">
      <w:pPr>
        <w:widowControl/>
        <w:autoSpaceDE/>
        <w:autoSpaceDN/>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Recomendación</w:t>
      </w:r>
    </w:p>
    <w:p w14:paraId="68D83DDF"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Validar alternativas para establecer, analizar e interpretar la realidad financiera de la entidad por medio de indicadores que permitan medir la gestión económica, atendiendo la naturaleza de la Entidad. Para ello, y en caso de considerarse necesario, extender consultar a la Entidades externas correspondientes en busca de contar con directrices, lineamientos u orientaciones para ello.</w:t>
      </w:r>
    </w:p>
    <w:p w14:paraId="4ACA80F5" w14:textId="77777777" w:rsidR="00561B22" w:rsidRPr="007775AE" w:rsidRDefault="00561B22" w:rsidP="00561B22">
      <w:pPr>
        <w:widowControl/>
        <w:autoSpaceDE/>
        <w:autoSpaceDN/>
        <w:jc w:val="both"/>
        <w:rPr>
          <w:rFonts w:ascii="Arial" w:eastAsia="Calibri" w:hAnsi="Arial" w:cs="Arial"/>
          <w:noProof/>
          <w:sz w:val="24"/>
          <w:szCs w:val="24"/>
          <w:lang w:val="es-CO"/>
        </w:rPr>
      </w:pPr>
    </w:p>
    <w:p w14:paraId="55C214E3" w14:textId="77777777" w:rsidR="00561B22" w:rsidRPr="007775AE" w:rsidRDefault="00561B22" w:rsidP="00561B22">
      <w:pPr>
        <w:widowControl/>
        <w:numPr>
          <w:ilvl w:val="0"/>
          <w:numId w:val="118"/>
        </w:numPr>
        <w:autoSpaceDE/>
        <w:autoSpaceDN/>
        <w:ind w:left="0" w:firstLine="0"/>
        <w:contextualSpacing/>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No. 3 – Soportes contables generados sin el flujo de revisión y aprobación</w:t>
      </w:r>
    </w:p>
    <w:p w14:paraId="11A83929"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7DA5948F"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 xml:space="preserve">La Oficina de Control Interno por medio de una muestra aleatoria, realizó la revisión de veinticuatro (24) comprobantes contables, con el fin de evaluar la segregación de funciones en el ciclo de revisión y aprobación de estos. Al respecto, se evidenció que en los campos de </w:t>
      </w:r>
      <w:r w:rsidRPr="007775AE">
        <w:rPr>
          <w:rFonts w:ascii="Arial" w:eastAsia="Calibri" w:hAnsi="Arial" w:cs="Arial"/>
          <w:i/>
          <w:iCs/>
          <w:noProof/>
          <w:sz w:val="24"/>
          <w:szCs w:val="24"/>
          <w:lang w:val="es-CO"/>
        </w:rPr>
        <w:t xml:space="preserve">“elaboró” </w:t>
      </w:r>
      <w:r w:rsidRPr="007775AE">
        <w:rPr>
          <w:rFonts w:ascii="Arial" w:eastAsia="Calibri" w:hAnsi="Arial" w:cs="Arial"/>
          <w:noProof/>
          <w:sz w:val="24"/>
          <w:szCs w:val="24"/>
          <w:lang w:val="es-CO"/>
        </w:rPr>
        <w:t xml:space="preserve">y </w:t>
      </w:r>
      <w:r w:rsidRPr="007775AE">
        <w:rPr>
          <w:rFonts w:ascii="Arial" w:eastAsia="Calibri" w:hAnsi="Arial" w:cs="Arial"/>
          <w:i/>
          <w:iCs/>
          <w:noProof/>
          <w:sz w:val="24"/>
          <w:szCs w:val="24"/>
          <w:lang w:val="es-CO"/>
        </w:rPr>
        <w:t>“aprobó”</w:t>
      </w:r>
      <w:r w:rsidRPr="007775AE">
        <w:rPr>
          <w:rFonts w:ascii="Arial" w:eastAsia="Calibri" w:hAnsi="Arial" w:cs="Arial"/>
          <w:noProof/>
          <w:sz w:val="24"/>
          <w:szCs w:val="24"/>
          <w:lang w:val="es-CO"/>
        </w:rPr>
        <w:t xml:space="preserve"> en la totalidad de los casos se registró el mismo usuario en estos ítems.</w:t>
      </w:r>
    </w:p>
    <w:p w14:paraId="54413AC4" w14:textId="77777777" w:rsidR="00561B22" w:rsidRPr="007775AE" w:rsidRDefault="00561B22" w:rsidP="00561B22">
      <w:pPr>
        <w:widowControl/>
        <w:autoSpaceDE/>
        <w:autoSpaceDN/>
        <w:jc w:val="both"/>
        <w:rPr>
          <w:rFonts w:ascii="Arial" w:eastAsia="Calibri" w:hAnsi="Arial" w:cs="Arial"/>
          <w:noProof/>
          <w:sz w:val="24"/>
          <w:szCs w:val="24"/>
          <w:lang w:val="es-CO"/>
        </w:rPr>
      </w:pPr>
    </w:p>
    <w:p w14:paraId="6578651D"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 xml:space="preserve">Esta situación difiere de lo establecido en el Procedimiento para la evaluación del control interno contable expedido por la Contaduría General de la Nación, numeral 3.3.1. Controles asociados al cumplimiento del marco normativo, a las etapas del proceso contable, a la rendición de cuentas y a la gestión del riesgo de índole contable, POLITICAS DE OPERACIÓN, la cual en su acción de control número 6, establece lo siguiente: </w:t>
      </w:r>
      <w:r w:rsidRPr="007775AE">
        <w:rPr>
          <w:rFonts w:ascii="Arial" w:eastAsia="Calibri" w:hAnsi="Arial" w:cs="Arial"/>
          <w:i/>
          <w:iCs/>
          <w:noProof/>
          <w:sz w:val="24"/>
          <w:szCs w:val="24"/>
          <w:lang w:val="es-CO"/>
        </w:rPr>
        <w:t>“Implementar procedimientos administrativos para establecer la responsabilidad de registrar los recaudos generados; la autorización de los soportes realizada por funcionarios competentes; el manejo de cajas menores o fondos rotatorios y sus respectivos arqueos periódicos; el manejo de propiedades, planta y equipos, y los demás bienes de las entidades, así como la respectiva verificación de su aplicación adecuada”</w:t>
      </w:r>
      <w:r w:rsidRPr="007775AE">
        <w:rPr>
          <w:rFonts w:ascii="Arial" w:eastAsia="Calibri" w:hAnsi="Arial" w:cs="Arial"/>
          <w:noProof/>
          <w:sz w:val="24"/>
          <w:szCs w:val="24"/>
          <w:lang w:val="es-CO"/>
        </w:rPr>
        <w:t>.</w:t>
      </w:r>
    </w:p>
    <w:p w14:paraId="56CC09A9"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6C9B8975" w14:textId="77777777" w:rsidR="00561B22" w:rsidRPr="007775AE" w:rsidRDefault="00561B22" w:rsidP="00561B22">
      <w:pPr>
        <w:widowControl/>
        <w:autoSpaceDE/>
        <w:autoSpaceDN/>
        <w:jc w:val="both"/>
        <w:rPr>
          <w:rFonts w:ascii="Arial" w:eastAsia="Calibri" w:hAnsi="Arial" w:cs="Arial"/>
          <w:b/>
          <w:bCs/>
          <w:noProof/>
          <w:sz w:val="24"/>
          <w:szCs w:val="24"/>
          <w:lang w:val="es-CO"/>
        </w:rPr>
      </w:pPr>
      <w:r w:rsidRPr="007775AE">
        <w:rPr>
          <w:rFonts w:ascii="Arial" w:eastAsia="Calibri" w:hAnsi="Arial" w:cs="Arial"/>
          <w:b/>
          <w:bCs/>
          <w:noProof/>
          <w:sz w:val="24"/>
          <w:szCs w:val="24"/>
          <w:lang w:val="es-CO"/>
        </w:rPr>
        <w:t>Recomendación</w:t>
      </w:r>
    </w:p>
    <w:p w14:paraId="25F55161" w14:textId="77777777" w:rsidR="00561B22" w:rsidRPr="007775AE" w:rsidRDefault="00561B22" w:rsidP="00561B22">
      <w:pPr>
        <w:widowControl/>
        <w:autoSpaceDE/>
        <w:autoSpaceDN/>
        <w:jc w:val="both"/>
        <w:rPr>
          <w:rFonts w:ascii="Arial" w:eastAsia="Calibri" w:hAnsi="Arial" w:cs="Arial"/>
          <w:b/>
          <w:bCs/>
          <w:noProof/>
          <w:sz w:val="24"/>
          <w:szCs w:val="24"/>
          <w:lang w:val="es-CO"/>
        </w:rPr>
      </w:pPr>
    </w:p>
    <w:p w14:paraId="4F3FC417" w14:textId="77777777" w:rsidR="00561B22" w:rsidRPr="007775AE" w:rsidRDefault="00561B22" w:rsidP="00561B22">
      <w:pPr>
        <w:widowControl/>
        <w:autoSpaceDE/>
        <w:autoSpaceDN/>
        <w:jc w:val="both"/>
        <w:rPr>
          <w:rFonts w:ascii="Arial" w:eastAsia="Calibri" w:hAnsi="Arial" w:cs="Arial"/>
          <w:noProof/>
          <w:sz w:val="24"/>
          <w:szCs w:val="24"/>
          <w:lang w:val="es-CO"/>
        </w:rPr>
      </w:pPr>
      <w:r w:rsidRPr="007775AE">
        <w:rPr>
          <w:rFonts w:ascii="Arial" w:eastAsia="Calibri" w:hAnsi="Arial" w:cs="Arial"/>
          <w:noProof/>
          <w:sz w:val="24"/>
          <w:szCs w:val="24"/>
          <w:lang w:val="es-CO"/>
        </w:rPr>
        <w:t>Validar y ajustar (en caso de aplicar) en el aplicativo SIIF Nación los usuarios autorizados para aprobar los documentos que se generan al interior de la dependencia, así como corroborar la aplicación adecuada de las funciones asignadas a cada rol, con el fin de generar mayores controles o fortalecer los ya existentes, en procura de garantizar el adecuado funcionamiento del ciclo ordinario de la operación.</w:t>
      </w:r>
    </w:p>
    <w:p w14:paraId="5C5275A1" w14:textId="77777777" w:rsidR="00561B22" w:rsidRPr="007775AE" w:rsidRDefault="00561B22" w:rsidP="00561B22">
      <w:pPr>
        <w:pStyle w:val="Textoindependiente"/>
        <w:jc w:val="both"/>
        <w:rPr>
          <w:rFonts w:ascii="Arial" w:hAnsi="Arial" w:cs="Arial"/>
          <w:b/>
          <w:bCs/>
          <w:lang w:val="es-CO"/>
        </w:rPr>
      </w:pPr>
    </w:p>
    <w:p w14:paraId="62778212" w14:textId="77777777" w:rsidR="00561B22" w:rsidRPr="007775AE" w:rsidRDefault="00561B22" w:rsidP="00561B22">
      <w:pPr>
        <w:jc w:val="both"/>
        <w:rPr>
          <w:rFonts w:ascii="Arial" w:hAnsi="Arial" w:cs="Arial"/>
          <w:b/>
          <w:bCs/>
          <w:sz w:val="24"/>
          <w:szCs w:val="24"/>
          <w:lang w:val="es-CO"/>
        </w:rPr>
      </w:pPr>
      <w:r w:rsidRPr="007775AE">
        <w:rPr>
          <w:rFonts w:ascii="Arial" w:hAnsi="Arial" w:cs="Arial"/>
          <w:b/>
          <w:bCs/>
          <w:sz w:val="24"/>
          <w:szCs w:val="24"/>
          <w:lang w:val="es-CO"/>
        </w:rPr>
        <w:t xml:space="preserve">NOTA: LA ENTIDAD ENVIA LA MATRIZ DE AUTOEVALUACIÓN DEL SISTEMA DE CONTROL INTERNO CONTABLE CON ACTIVIDADES DE CONTROL REALIZADAS </w:t>
      </w:r>
      <w:r w:rsidRPr="007775AE">
        <w:rPr>
          <w:rFonts w:ascii="Arial" w:hAnsi="Arial" w:cs="Arial"/>
          <w:b/>
          <w:bCs/>
          <w:sz w:val="24"/>
          <w:szCs w:val="24"/>
          <w:u w:val="single"/>
          <w:lang w:val="es-CO"/>
        </w:rPr>
        <w:t>EN FORMA PARCIAL Y OTRAS SIMPLEMENTE INFORMAN QUE NO SE REALIZARON</w:t>
      </w:r>
      <w:r w:rsidRPr="007775AE">
        <w:rPr>
          <w:rFonts w:ascii="Arial" w:hAnsi="Arial" w:cs="Arial"/>
          <w:b/>
          <w:bCs/>
          <w:sz w:val="24"/>
          <w:szCs w:val="24"/>
          <w:lang w:val="es-CO"/>
        </w:rPr>
        <w:t>.</w:t>
      </w:r>
    </w:p>
    <w:p w14:paraId="1DC5CB8D" w14:textId="77777777" w:rsidR="00561B22" w:rsidRDefault="00561B22" w:rsidP="00561B22">
      <w:pPr>
        <w:pStyle w:val="Ttulo1"/>
        <w:ind w:right="-50"/>
        <w:jc w:val="left"/>
        <w:rPr>
          <w:sz w:val="22"/>
          <w:szCs w:val="22"/>
          <w:lang w:val="es-CO"/>
        </w:rPr>
      </w:pPr>
    </w:p>
    <w:p w14:paraId="481E9FFD" w14:textId="77777777" w:rsidR="00561B22" w:rsidRPr="004F15A1" w:rsidRDefault="00561B22" w:rsidP="00561B22">
      <w:pPr>
        <w:jc w:val="both"/>
        <w:rPr>
          <w:rFonts w:ascii="Arial" w:hAnsi="Arial" w:cs="Arial"/>
          <w:b/>
          <w:sz w:val="28"/>
          <w:szCs w:val="28"/>
          <w:lang w:val="es-MX"/>
        </w:rPr>
      </w:pPr>
      <w:r w:rsidRPr="004F15A1">
        <w:rPr>
          <w:rFonts w:ascii="Arial" w:hAnsi="Arial" w:cs="Arial"/>
          <w:b/>
          <w:sz w:val="28"/>
          <w:szCs w:val="28"/>
          <w:lang w:val="es-MX"/>
        </w:rPr>
        <w:t>315.- CORPORACIÓN AUTÓNOMA REGIONAL DE BOYACÁ – CORPOBOYACÁ.</w:t>
      </w:r>
    </w:p>
    <w:p w14:paraId="59EC767D" w14:textId="77777777" w:rsidR="00561B22" w:rsidRDefault="00561B22" w:rsidP="00561B22">
      <w:pPr>
        <w:pStyle w:val="Ttulo1"/>
        <w:ind w:right="-50"/>
        <w:jc w:val="left"/>
        <w:rPr>
          <w:sz w:val="22"/>
          <w:szCs w:val="22"/>
          <w:lang w:val="es-MX"/>
        </w:rPr>
      </w:pPr>
    </w:p>
    <w:p w14:paraId="5F8A817C" w14:textId="77777777" w:rsidR="00561B22" w:rsidRPr="00F22048" w:rsidRDefault="00561B22" w:rsidP="00561B22">
      <w:pPr>
        <w:pStyle w:val="Textoindependiente"/>
        <w:ind w:right="-50"/>
        <w:jc w:val="center"/>
        <w:rPr>
          <w:rFonts w:ascii="Arial" w:hAnsi="Arial" w:cs="Arial"/>
          <w:b/>
          <w:bCs/>
        </w:rPr>
      </w:pPr>
      <w:r w:rsidRPr="00F22048">
        <w:rPr>
          <w:rFonts w:ascii="Arial" w:hAnsi="Arial" w:cs="Arial"/>
          <w:b/>
          <w:bCs/>
        </w:rPr>
        <w:lastRenderedPageBreak/>
        <w:t>INFORME DE LA AUTOCALIFICACIÓN DEL SISTEMA DE CONTROL INTERNO CONTABLE:</w:t>
      </w:r>
    </w:p>
    <w:p w14:paraId="5F965759" w14:textId="77777777" w:rsidR="00561B22" w:rsidRPr="00F2204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22048" w14:paraId="481AFE0F" w14:textId="77777777" w:rsidTr="00F1223B">
        <w:tc>
          <w:tcPr>
            <w:tcW w:w="4981" w:type="dxa"/>
          </w:tcPr>
          <w:p w14:paraId="25A1E15A" w14:textId="77777777" w:rsidR="00561B22" w:rsidRPr="00F22048" w:rsidRDefault="00561B22" w:rsidP="00F1223B">
            <w:pPr>
              <w:jc w:val="center"/>
              <w:rPr>
                <w:rFonts w:ascii="Arial" w:hAnsi="Arial" w:cs="Arial"/>
                <w:b/>
                <w:sz w:val="22"/>
                <w:szCs w:val="22"/>
                <w:lang w:val="es-MX"/>
              </w:rPr>
            </w:pPr>
            <w:r w:rsidRPr="00F22048">
              <w:rPr>
                <w:rFonts w:ascii="Arial" w:hAnsi="Arial" w:cs="Arial"/>
                <w:b/>
                <w:sz w:val="22"/>
                <w:szCs w:val="22"/>
                <w:lang w:val="es-MX"/>
              </w:rPr>
              <w:t>AUTOCALIFICACIÓN</w:t>
            </w:r>
          </w:p>
        </w:tc>
        <w:tc>
          <w:tcPr>
            <w:tcW w:w="4981" w:type="dxa"/>
          </w:tcPr>
          <w:p w14:paraId="4E4F0260" w14:textId="77777777" w:rsidR="00561B22" w:rsidRPr="00F22048" w:rsidRDefault="00561B22" w:rsidP="00F1223B">
            <w:pPr>
              <w:jc w:val="center"/>
              <w:rPr>
                <w:rFonts w:ascii="Arial" w:hAnsi="Arial" w:cs="Arial"/>
                <w:b/>
                <w:sz w:val="22"/>
                <w:szCs w:val="22"/>
                <w:u w:val="single"/>
                <w:lang w:val="es-MX"/>
              </w:rPr>
            </w:pPr>
            <w:r w:rsidRPr="00F22048">
              <w:rPr>
                <w:rFonts w:ascii="Arial" w:hAnsi="Arial" w:cs="Arial"/>
                <w:b/>
                <w:sz w:val="22"/>
                <w:szCs w:val="22"/>
                <w:u w:val="single"/>
                <w:lang w:val="es-MX"/>
              </w:rPr>
              <w:t>4.82</w:t>
            </w:r>
          </w:p>
        </w:tc>
      </w:tr>
    </w:tbl>
    <w:p w14:paraId="4E914F7A" w14:textId="77777777" w:rsidR="00561B22" w:rsidRPr="00F22048" w:rsidRDefault="00561B22" w:rsidP="00561B22">
      <w:pPr>
        <w:pStyle w:val="Textoindependiente"/>
        <w:ind w:right="-50"/>
        <w:jc w:val="both"/>
        <w:rPr>
          <w:rFonts w:ascii="Arial" w:hAnsi="Arial" w:cs="Arial"/>
          <w:b/>
          <w:bCs/>
        </w:rPr>
      </w:pPr>
    </w:p>
    <w:p w14:paraId="37A2E6D8" w14:textId="77777777" w:rsidR="00561B22" w:rsidRPr="00F22048" w:rsidRDefault="00561B22" w:rsidP="00561B22">
      <w:pPr>
        <w:pStyle w:val="Textoindependiente"/>
        <w:ind w:right="-50"/>
        <w:jc w:val="both"/>
        <w:rPr>
          <w:rFonts w:ascii="Arial" w:hAnsi="Arial" w:cs="Arial"/>
          <w:b/>
          <w:bCs/>
        </w:rPr>
      </w:pPr>
      <w:r w:rsidRPr="00F22048">
        <w:rPr>
          <w:rFonts w:ascii="Arial" w:hAnsi="Arial" w:cs="Arial"/>
          <w:b/>
          <w:bCs/>
        </w:rPr>
        <w:t>Del informe enviado retomamos lo siguiente:</w:t>
      </w:r>
    </w:p>
    <w:p w14:paraId="7F7EB90B" w14:textId="77777777" w:rsidR="00561B22" w:rsidRPr="00F22048"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22048" w14:paraId="6B0F7FC5" w14:textId="77777777" w:rsidTr="00F1223B">
        <w:tc>
          <w:tcPr>
            <w:tcW w:w="562" w:type="dxa"/>
          </w:tcPr>
          <w:p w14:paraId="3B8DCD43" w14:textId="77777777" w:rsidR="00561B22" w:rsidRPr="00F22048" w:rsidRDefault="00561B22" w:rsidP="00F1223B">
            <w:pPr>
              <w:ind w:right="-109"/>
              <w:jc w:val="center"/>
              <w:rPr>
                <w:rFonts w:ascii="Arial" w:hAnsi="Arial" w:cs="Arial"/>
                <w:b/>
                <w:sz w:val="22"/>
                <w:szCs w:val="22"/>
                <w:lang w:val="es-MX"/>
              </w:rPr>
            </w:pPr>
            <w:r w:rsidRPr="00F22048">
              <w:rPr>
                <w:rFonts w:ascii="Arial" w:hAnsi="Arial" w:cs="Arial"/>
                <w:b/>
                <w:sz w:val="22"/>
                <w:szCs w:val="22"/>
                <w:lang w:val="es-MX"/>
              </w:rPr>
              <w:t>N°</w:t>
            </w:r>
          </w:p>
        </w:tc>
        <w:tc>
          <w:tcPr>
            <w:tcW w:w="9400" w:type="dxa"/>
          </w:tcPr>
          <w:p w14:paraId="4A085D54" w14:textId="77777777" w:rsidR="00561B22" w:rsidRPr="00F22048" w:rsidRDefault="00561B22" w:rsidP="00F1223B">
            <w:pPr>
              <w:jc w:val="center"/>
              <w:rPr>
                <w:rFonts w:ascii="Arial" w:hAnsi="Arial" w:cs="Arial"/>
                <w:b/>
                <w:sz w:val="22"/>
                <w:szCs w:val="22"/>
                <w:lang w:val="es-MX"/>
              </w:rPr>
            </w:pPr>
            <w:r w:rsidRPr="00F22048">
              <w:rPr>
                <w:rFonts w:ascii="Arial" w:hAnsi="Arial" w:cs="Arial"/>
                <w:b/>
                <w:sz w:val="22"/>
                <w:szCs w:val="22"/>
                <w:lang w:val="es-MX"/>
              </w:rPr>
              <w:t>DEBILIDADES</w:t>
            </w:r>
          </w:p>
          <w:p w14:paraId="3DF13F20" w14:textId="77777777" w:rsidR="00561B22" w:rsidRPr="00F22048" w:rsidRDefault="00561B22" w:rsidP="00F1223B">
            <w:pPr>
              <w:jc w:val="center"/>
              <w:rPr>
                <w:rFonts w:ascii="Arial" w:hAnsi="Arial" w:cs="Arial"/>
                <w:b/>
                <w:sz w:val="22"/>
                <w:szCs w:val="22"/>
                <w:lang w:val="es-MX"/>
              </w:rPr>
            </w:pPr>
          </w:p>
        </w:tc>
      </w:tr>
      <w:tr w:rsidR="00561B22" w:rsidRPr="00F22048" w14:paraId="1F9E4626" w14:textId="77777777" w:rsidTr="00F1223B">
        <w:tc>
          <w:tcPr>
            <w:tcW w:w="562" w:type="dxa"/>
          </w:tcPr>
          <w:p w14:paraId="4CA59DE7" w14:textId="77777777" w:rsidR="00561B22" w:rsidRPr="00F22048" w:rsidRDefault="00561B22" w:rsidP="00F1223B">
            <w:pPr>
              <w:jc w:val="center"/>
              <w:rPr>
                <w:rFonts w:ascii="Arial" w:hAnsi="Arial" w:cs="Arial"/>
                <w:b/>
                <w:sz w:val="22"/>
                <w:szCs w:val="22"/>
                <w:lang w:val="es-MX"/>
              </w:rPr>
            </w:pPr>
            <w:r w:rsidRPr="00F22048">
              <w:rPr>
                <w:rFonts w:ascii="Arial" w:hAnsi="Arial" w:cs="Arial"/>
                <w:b/>
                <w:sz w:val="22"/>
                <w:szCs w:val="22"/>
                <w:lang w:val="es-MX"/>
              </w:rPr>
              <w:t>1</w:t>
            </w:r>
          </w:p>
        </w:tc>
        <w:tc>
          <w:tcPr>
            <w:tcW w:w="9400" w:type="dxa"/>
          </w:tcPr>
          <w:p w14:paraId="08A79225" w14:textId="77777777" w:rsidR="00561B22" w:rsidRPr="00F22048" w:rsidRDefault="00561B22" w:rsidP="00F1223B">
            <w:pPr>
              <w:rPr>
                <w:rFonts w:ascii="Arial" w:hAnsi="Arial" w:cs="Arial"/>
                <w:bCs/>
                <w:sz w:val="22"/>
                <w:szCs w:val="22"/>
                <w:lang w:val="es-MX"/>
              </w:rPr>
            </w:pPr>
            <w:r w:rsidRPr="00F22048">
              <w:rPr>
                <w:rFonts w:ascii="Arial" w:hAnsi="Arial" w:cs="Arial"/>
                <w:bCs/>
                <w:sz w:val="22"/>
                <w:szCs w:val="22"/>
                <w:lang w:val="es-MX"/>
              </w:rPr>
              <w:t>Es necesario actualizar bajo las normas actualizadas las políticas contables.</w:t>
            </w:r>
          </w:p>
        </w:tc>
      </w:tr>
    </w:tbl>
    <w:p w14:paraId="15F5D5D5" w14:textId="77777777" w:rsidR="00561B22" w:rsidRPr="00F22048" w:rsidRDefault="00561B22" w:rsidP="00561B22">
      <w:pPr>
        <w:pStyle w:val="Textoindependiente"/>
        <w:ind w:right="-50"/>
        <w:jc w:val="both"/>
        <w:rPr>
          <w:rFonts w:ascii="Arial" w:hAnsi="Arial" w:cs="Arial"/>
          <w:b/>
          <w:bCs/>
        </w:rPr>
      </w:pPr>
    </w:p>
    <w:p w14:paraId="1318FE6F" w14:textId="77777777" w:rsidR="00561B22" w:rsidRPr="00F22048" w:rsidRDefault="00561B22" w:rsidP="00561B22">
      <w:pPr>
        <w:jc w:val="both"/>
        <w:rPr>
          <w:rFonts w:ascii="Arial" w:hAnsi="Arial" w:cs="Arial"/>
          <w:b/>
          <w:lang w:val="es-MX"/>
        </w:rPr>
      </w:pPr>
      <w:r w:rsidRPr="00F22048">
        <w:rPr>
          <w:rFonts w:ascii="Arial" w:hAnsi="Arial" w:cs="Arial"/>
          <w:b/>
          <w:lang w:val="es-MX"/>
        </w:rPr>
        <w:t>Del citado informe retomamos las siguientes recomendaciones:</w:t>
      </w:r>
    </w:p>
    <w:p w14:paraId="40E5A8B0" w14:textId="77777777" w:rsidR="00561B22" w:rsidRPr="00F22048"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F22048" w14:paraId="09A8AF88" w14:textId="77777777" w:rsidTr="00F1223B">
        <w:tc>
          <w:tcPr>
            <w:tcW w:w="562" w:type="dxa"/>
          </w:tcPr>
          <w:p w14:paraId="458542E7" w14:textId="77777777" w:rsidR="00561B22" w:rsidRPr="00F22048" w:rsidRDefault="00561B22" w:rsidP="00F1223B">
            <w:pPr>
              <w:ind w:right="-109"/>
              <w:jc w:val="center"/>
              <w:rPr>
                <w:rFonts w:ascii="Arial" w:hAnsi="Arial" w:cs="Arial"/>
                <w:b/>
                <w:sz w:val="22"/>
                <w:szCs w:val="22"/>
                <w:lang w:val="es-MX"/>
              </w:rPr>
            </w:pPr>
            <w:r w:rsidRPr="00F22048">
              <w:rPr>
                <w:rFonts w:ascii="Arial" w:hAnsi="Arial" w:cs="Arial"/>
                <w:b/>
                <w:sz w:val="22"/>
                <w:szCs w:val="22"/>
                <w:lang w:val="es-MX"/>
              </w:rPr>
              <w:t>N°</w:t>
            </w:r>
          </w:p>
        </w:tc>
        <w:tc>
          <w:tcPr>
            <w:tcW w:w="9400" w:type="dxa"/>
          </w:tcPr>
          <w:p w14:paraId="24645F07" w14:textId="77777777" w:rsidR="00561B22" w:rsidRPr="00F22048" w:rsidRDefault="00561B22" w:rsidP="00F1223B">
            <w:pPr>
              <w:jc w:val="center"/>
              <w:rPr>
                <w:rFonts w:ascii="Arial" w:hAnsi="Arial" w:cs="Arial"/>
                <w:b/>
                <w:sz w:val="22"/>
                <w:szCs w:val="22"/>
                <w:lang w:val="es-MX"/>
              </w:rPr>
            </w:pPr>
            <w:r w:rsidRPr="00F22048">
              <w:rPr>
                <w:rFonts w:ascii="Arial" w:hAnsi="Arial" w:cs="Arial"/>
                <w:b/>
                <w:sz w:val="22"/>
                <w:szCs w:val="22"/>
                <w:lang w:val="es-MX"/>
              </w:rPr>
              <w:t>RECOMENDACIONES</w:t>
            </w:r>
          </w:p>
          <w:p w14:paraId="399E517B" w14:textId="77777777" w:rsidR="00561B22" w:rsidRPr="00F22048" w:rsidRDefault="00561B22" w:rsidP="00F1223B">
            <w:pPr>
              <w:jc w:val="center"/>
              <w:rPr>
                <w:rFonts w:ascii="Arial" w:hAnsi="Arial" w:cs="Arial"/>
                <w:b/>
                <w:sz w:val="22"/>
                <w:szCs w:val="22"/>
                <w:lang w:val="es-MX"/>
              </w:rPr>
            </w:pPr>
          </w:p>
        </w:tc>
      </w:tr>
      <w:tr w:rsidR="00561B22" w:rsidRPr="00F22048" w14:paraId="31E266FF" w14:textId="77777777" w:rsidTr="00F1223B">
        <w:tc>
          <w:tcPr>
            <w:tcW w:w="562" w:type="dxa"/>
          </w:tcPr>
          <w:p w14:paraId="2762B1B3" w14:textId="77777777" w:rsidR="00561B22" w:rsidRPr="00F22048" w:rsidRDefault="00561B22" w:rsidP="00F1223B">
            <w:pPr>
              <w:jc w:val="center"/>
              <w:rPr>
                <w:rFonts w:ascii="Arial" w:hAnsi="Arial" w:cs="Arial"/>
                <w:b/>
                <w:sz w:val="22"/>
                <w:szCs w:val="22"/>
                <w:lang w:val="es-MX"/>
              </w:rPr>
            </w:pPr>
            <w:r w:rsidRPr="00F22048">
              <w:rPr>
                <w:rFonts w:ascii="Arial" w:hAnsi="Arial" w:cs="Arial"/>
                <w:b/>
                <w:sz w:val="22"/>
                <w:szCs w:val="22"/>
                <w:lang w:val="es-MX"/>
              </w:rPr>
              <w:t>1</w:t>
            </w:r>
          </w:p>
        </w:tc>
        <w:tc>
          <w:tcPr>
            <w:tcW w:w="9400" w:type="dxa"/>
          </w:tcPr>
          <w:p w14:paraId="1047E9D6" w14:textId="77777777" w:rsidR="00561B22" w:rsidRPr="00F22048" w:rsidRDefault="00561B22" w:rsidP="00F1223B">
            <w:pPr>
              <w:jc w:val="both"/>
              <w:rPr>
                <w:rFonts w:ascii="Arial" w:hAnsi="Arial" w:cs="Arial"/>
                <w:bCs/>
                <w:sz w:val="22"/>
                <w:szCs w:val="22"/>
                <w:lang w:val="es-MX"/>
              </w:rPr>
            </w:pPr>
            <w:r w:rsidRPr="00F22048">
              <w:rPr>
                <w:rFonts w:ascii="Arial" w:hAnsi="Arial" w:cs="Arial"/>
                <w:bCs/>
                <w:sz w:val="22"/>
                <w:szCs w:val="22"/>
                <w:lang w:val="es-MX"/>
              </w:rPr>
              <w:t>Se recomienda dar aplicabilidad a las Resoluciones emitidas por la Contaduría General de la Nación en orden cronológico a como han sido publicadas y, actualizar o elaborar cada una de las políticas contables que la entidad requiera de acuerdo con el marco normativo para las entidades de Gobierno.</w:t>
            </w:r>
          </w:p>
        </w:tc>
      </w:tr>
    </w:tbl>
    <w:p w14:paraId="55961D93" w14:textId="77777777" w:rsidR="00561B22" w:rsidRPr="00F22048" w:rsidRDefault="00561B22" w:rsidP="00561B22">
      <w:pPr>
        <w:pStyle w:val="Textoindependiente"/>
        <w:ind w:right="-50"/>
        <w:jc w:val="both"/>
        <w:rPr>
          <w:rFonts w:ascii="Arial" w:hAnsi="Arial" w:cs="Arial"/>
          <w:b/>
          <w:bCs/>
          <w:sz w:val="28"/>
          <w:szCs w:val="28"/>
        </w:rPr>
      </w:pPr>
    </w:p>
    <w:p w14:paraId="7AF9818A" w14:textId="77777777" w:rsidR="00561B22" w:rsidRPr="00F22048" w:rsidRDefault="00561B22" w:rsidP="00561B22">
      <w:pPr>
        <w:jc w:val="both"/>
        <w:rPr>
          <w:rFonts w:ascii="Arial" w:hAnsi="Arial" w:cs="Arial"/>
          <w:b/>
          <w:bCs/>
          <w:sz w:val="24"/>
          <w:szCs w:val="24"/>
          <w:lang w:val="es-CO"/>
        </w:rPr>
      </w:pPr>
      <w:r w:rsidRPr="00F22048">
        <w:rPr>
          <w:rFonts w:ascii="Arial" w:hAnsi="Arial" w:cs="Arial"/>
          <w:b/>
          <w:bCs/>
          <w:sz w:val="24"/>
          <w:szCs w:val="24"/>
          <w:lang w:val="es-CO"/>
        </w:rPr>
        <w:t xml:space="preserve">NOTA: LA ENTIDAD ENVÍA LA MATRIZ DE AUTOEVALUACIÓN DEL SISTEMA DE CONTROL INTERNO CONTABLE CON </w:t>
      </w:r>
      <w:r w:rsidRPr="00F22048">
        <w:rPr>
          <w:rFonts w:ascii="Arial" w:hAnsi="Arial" w:cs="Arial"/>
          <w:b/>
          <w:bCs/>
          <w:sz w:val="24"/>
          <w:szCs w:val="24"/>
          <w:u w:val="single"/>
          <w:lang w:val="es-CO"/>
        </w:rPr>
        <w:t>ACTIVIDADES DE CONTROL REALIZADAS EN FORMA PARCIAL</w:t>
      </w:r>
      <w:r w:rsidRPr="00F22048">
        <w:rPr>
          <w:rFonts w:ascii="Arial" w:hAnsi="Arial" w:cs="Arial"/>
          <w:b/>
          <w:bCs/>
          <w:sz w:val="24"/>
          <w:szCs w:val="24"/>
          <w:lang w:val="es-CO"/>
        </w:rPr>
        <w:t>.</w:t>
      </w:r>
    </w:p>
    <w:p w14:paraId="50EB95F9" w14:textId="77777777" w:rsidR="00561B22" w:rsidRDefault="00561B22" w:rsidP="00561B22">
      <w:pPr>
        <w:pStyle w:val="Ttulo1"/>
        <w:ind w:right="-50"/>
        <w:jc w:val="left"/>
        <w:rPr>
          <w:sz w:val="22"/>
          <w:szCs w:val="22"/>
          <w:lang w:val="es-CO"/>
        </w:rPr>
      </w:pPr>
    </w:p>
    <w:p w14:paraId="78E5619F" w14:textId="77777777" w:rsidR="00561B22" w:rsidRPr="00A56F89" w:rsidRDefault="00561B22" w:rsidP="00561B22">
      <w:pPr>
        <w:jc w:val="both"/>
        <w:rPr>
          <w:rFonts w:ascii="Arial" w:hAnsi="Arial" w:cs="Arial"/>
          <w:b/>
          <w:sz w:val="28"/>
          <w:szCs w:val="28"/>
          <w:lang w:val="es-MX"/>
        </w:rPr>
      </w:pPr>
      <w:r w:rsidRPr="00A56F89">
        <w:rPr>
          <w:rFonts w:ascii="Arial" w:hAnsi="Arial" w:cs="Arial"/>
          <w:b/>
          <w:sz w:val="28"/>
          <w:szCs w:val="28"/>
          <w:lang w:val="es-MX"/>
        </w:rPr>
        <w:t xml:space="preserve">316.- SUPERINTENDENCIA FINANCIERA DE COLOMBIA. </w:t>
      </w:r>
    </w:p>
    <w:p w14:paraId="12DF0DBF" w14:textId="77777777" w:rsidR="00561B22" w:rsidRDefault="00561B22" w:rsidP="00561B22">
      <w:pPr>
        <w:pStyle w:val="Ttulo1"/>
        <w:ind w:right="-50"/>
        <w:jc w:val="left"/>
        <w:rPr>
          <w:sz w:val="22"/>
          <w:szCs w:val="22"/>
          <w:lang w:val="es-CO"/>
        </w:rPr>
      </w:pPr>
    </w:p>
    <w:p w14:paraId="121F0AF7" w14:textId="77777777" w:rsidR="00561B22" w:rsidRPr="008309A5" w:rsidRDefault="00561B22" w:rsidP="00561B22">
      <w:pPr>
        <w:pStyle w:val="Textoindependiente"/>
        <w:ind w:right="-50"/>
        <w:jc w:val="center"/>
        <w:rPr>
          <w:rFonts w:ascii="Arial" w:hAnsi="Arial" w:cs="Arial"/>
          <w:b/>
          <w:bCs/>
        </w:rPr>
      </w:pPr>
      <w:r w:rsidRPr="008309A5">
        <w:rPr>
          <w:rFonts w:ascii="Arial" w:hAnsi="Arial" w:cs="Arial"/>
          <w:b/>
          <w:bCs/>
        </w:rPr>
        <w:t>INFORME DE LA AUTOCALIFICACIÓN DEL SISTEMA DE CONTROL INTERNO CONTABLE:</w:t>
      </w:r>
    </w:p>
    <w:p w14:paraId="4BF47082" w14:textId="77777777" w:rsidR="00561B22" w:rsidRPr="008309A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309A5" w14:paraId="3C08D0B2" w14:textId="77777777" w:rsidTr="00F1223B">
        <w:tc>
          <w:tcPr>
            <w:tcW w:w="4981" w:type="dxa"/>
          </w:tcPr>
          <w:p w14:paraId="7B8D0FB4" w14:textId="77777777" w:rsidR="00561B22" w:rsidRPr="008309A5" w:rsidRDefault="00561B22" w:rsidP="00F1223B">
            <w:pPr>
              <w:jc w:val="center"/>
              <w:rPr>
                <w:rFonts w:ascii="Arial" w:hAnsi="Arial" w:cs="Arial"/>
                <w:b/>
                <w:sz w:val="22"/>
                <w:szCs w:val="22"/>
                <w:lang w:val="es-MX"/>
              </w:rPr>
            </w:pPr>
            <w:r w:rsidRPr="008309A5">
              <w:rPr>
                <w:rFonts w:ascii="Arial" w:hAnsi="Arial" w:cs="Arial"/>
                <w:b/>
                <w:sz w:val="22"/>
                <w:szCs w:val="22"/>
                <w:lang w:val="es-MX"/>
              </w:rPr>
              <w:t>AUTOCALIFICACIÓN</w:t>
            </w:r>
          </w:p>
        </w:tc>
        <w:tc>
          <w:tcPr>
            <w:tcW w:w="4981" w:type="dxa"/>
          </w:tcPr>
          <w:p w14:paraId="6DA05C7B" w14:textId="77777777" w:rsidR="00561B22" w:rsidRPr="008309A5" w:rsidRDefault="00561B22" w:rsidP="00F1223B">
            <w:pPr>
              <w:jc w:val="center"/>
              <w:rPr>
                <w:rFonts w:ascii="Arial" w:hAnsi="Arial" w:cs="Arial"/>
                <w:b/>
                <w:sz w:val="22"/>
                <w:szCs w:val="22"/>
                <w:u w:val="single"/>
                <w:lang w:val="es-MX"/>
              </w:rPr>
            </w:pPr>
            <w:r w:rsidRPr="008309A5">
              <w:rPr>
                <w:rFonts w:ascii="Arial" w:hAnsi="Arial" w:cs="Arial"/>
                <w:b/>
                <w:sz w:val="22"/>
                <w:szCs w:val="22"/>
                <w:u w:val="single"/>
                <w:lang w:val="es-MX"/>
              </w:rPr>
              <w:t>4.85</w:t>
            </w:r>
          </w:p>
        </w:tc>
      </w:tr>
    </w:tbl>
    <w:p w14:paraId="393B19CD" w14:textId="77777777" w:rsidR="00561B22" w:rsidRPr="008309A5" w:rsidRDefault="00561B22" w:rsidP="00561B22">
      <w:pPr>
        <w:pStyle w:val="Textoindependiente"/>
        <w:ind w:right="-50"/>
        <w:jc w:val="both"/>
        <w:rPr>
          <w:rFonts w:ascii="Arial" w:hAnsi="Arial" w:cs="Arial"/>
          <w:b/>
          <w:bCs/>
        </w:rPr>
      </w:pPr>
    </w:p>
    <w:p w14:paraId="2B599ED9" w14:textId="77777777" w:rsidR="00561B22" w:rsidRPr="008309A5" w:rsidRDefault="00561B22" w:rsidP="00561B22">
      <w:pPr>
        <w:pStyle w:val="Textoindependiente"/>
        <w:ind w:right="-50"/>
        <w:jc w:val="both"/>
        <w:rPr>
          <w:rFonts w:ascii="Arial" w:hAnsi="Arial" w:cs="Arial"/>
          <w:b/>
          <w:bCs/>
        </w:rPr>
      </w:pPr>
      <w:r w:rsidRPr="008309A5">
        <w:rPr>
          <w:rFonts w:ascii="Arial" w:hAnsi="Arial" w:cs="Arial"/>
          <w:b/>
          <w:bCs/>
        </w:rPr>
        <w:t>Del informe enviado retomamos lo siguiente:</w:t>
      </w:r>
    </w:p>
    <w:p w14:paraId="282FA85A" w14:textId="77777777" w:rsidR="00561B22" w:rsidRPr="008309A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309A5" w14:paraId="697711C9" w14:textId="77777777" w:rsidTr="00F1223B">
        <w:tc>
          <w:tcPr>
            <w:tcW w:w="562" w:type="dxa"/>
          </w:tcPr>
          <w:p w14:paraId="475A3D0B" w14:textId="77777777" w:rsidR="00561B22" w:rsidRPr="008309A5" w:rsidRDefault="00561B22" w:rsidP="00F1223B">
            <w:pPr>
              <w:ind w:right="-109"/>
              <w:jc w:val="center"/>
              <w:rPr>
                <w:rFonts w:ascii="Arial" w:hAnsi="Arial" w:cs="Arial"/>
                <w:b/>
                <w:sz w:val="22"/>
                <w:szCs w:val="22"/>
                <w:lang w:val="es-MX"/>
              </w:rPr>
            </w:pPr>
            <w:r w:rsidRPr="008309A5">
              <w:rPr>
                <w:rFonts w:ascii="Arial" w:hAnsi="Arial" w:cs="Arial"/>
                <w:b/>
                <w:sz w:val="22"/>
                <w:szCs w:val="22"/>
                <w:lang w:val="es-MX"/>
              </w:rPr>
              <w:t>N°</w:t>
            </w:r>
          </w:p>
        </w:tc>
        <w:tc>
          <w:tcPr>
            <w:tcW w:w="9400" w:type="dxa"/>
          </w:tcPr>
          <w:p w14:paraId="6BE4993F" w14:textId="77777777" w:rsidR="00561B22" w:rsidRPr="008309A5" w:rsidRDefault="00561B22" w:rsidP="00F1223B">
            <w:pPr>
              <w:jc w:val="center"/>
              <w:rPr>
                <w:rFonts w:ascii="Arial" w:hAnsi="Arial" w:cs="Arial"/>
                <w:b/>
                <w:sz w:val="22"/>
                <w:szCs w:val="22"/>
                <w:lang w:val="es-MX"/>
              </w:rPr>
            </w:pPr>
            <w:r w:rsidRPr="008309A5">
              <w:rPr>
                <w:rFonts w:ascii="Arial" w:hAnsi="Arial" w:cs="Arial"/>
                <w:b/>
                <w:sz w:val="22"/>
                <w:szCs w:val="22"/>
                <w:lang w:val="es-MX"/>
              </w:rPr>
              <w:t>DEBILIDADES</w:t>
            </w:r>
          </w:p>
          <w:p w14:paraId="3BD80650" w14:textId="77777777" w:rsidR="00561B22" w:rsidRPr="008309A5" w:rsidRDefault="00561B22" w:rsidP="00F1223B">
            <w:pPr>
              <w:jc w:val="center"/>
              <w:rPr>
                <w:rFonts w:ascii="Arial" w:hAnsi="Arial" w:cs="Arial"/>
                <w:b/>
                <w:sz w:val="22"/>
                <w:szCs w:val="22"/>
                <w:lang w:val="es-MX"/>
              </w:rPr>
            </w:pPr>
          </w:p>
        </w:tc>
      </w:tr>
      <w:tr w:rsidR="00561B22" w:rsidRPr="008309A5" w14:paraId="76FFAEFC" w14:textId="77777777" w:rsidTr="00F1223B">
        <w:tc>
          <w:tcPr>
            <w:tcW w:w="562" w:type="dxa"/>
          </w:tcPr>
          <w:p w14:paraId="17F24D59"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1</w:t>
            </w:r>
          </w:p>
        </w:tc>
        <w:tc>
          <w:tcPr>
            <w:tcW w:w="9400" w:type="dxa"/>
          </w:tcPr>
          <w:p w14:paraId="458E1670"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Aun cuando el proceso tiene contemplados indicadores de gestión, hace falta incluir indicadores que reflejen la gestión realizada por parte del Proceso Contable.</w:t>
            </w:r>
          </w:p>
        </w:tc>
      </w:tr>
    </w:tbl>
    <w:p w14:paraId="49E8F3C1" w14:textId="77777777" w:rsidR="00561B22" w:rsidRPr="008309A5" w:rsidRDefault="00561B22" w:rsidP="00561B22">
      <w:pPr>
        <w:pStyle w:val="Textoindependiente"/>
        <w:ind w:right="-50"/>
        <w:jc w:val="both"/>
        <w:rPr>
          <w:rFonts w:ascii="Arial" w:hAnsi="Arial" w:cs="Arial"/>
          <w:bCs/>
        </w:rPr>
      </w:pPr>
    </w:p>
    <w:p w14:paraId="08DC16D9" w14:textId="77777777" w:rsidR="00561B22" w:rsidRPr="008309A5" w:rsidRDefault="00561B22" w:rsidP="00561B22">
      <w:pPr>
        <w:jc w:val="both"/>
        <w:rPr>
          <w:rFonts w:ascii="Arial" w:hAnsi="Arial" w:cs="Arial"/>
          <w:b/>
          <w:lang w:val="es-MX"/>
        </w:rPr>
      </w:pPr>
      <w:r w:rsidRPr="008309A5">
        <w:rPr>
          <w:rFonts w:ascii="Arial" w:hAnsi="Arial" w:cs="Arial"/>
          <w:b/>
          <w:lang w:val="es-MX"/>
        </w:rPr>
        <w:t>Del citado informe retomamos las siguientes recomendaciones:</w:t>
      </w:r>
    </w:p>
    <w:p w14:paraId="7E652D3D" w14:textId="77777777" w:rsidR="00561B22" w:rsidRPr="008309A5" w:rsidRDefault="00561B22" w:rsidP="00561B22">
      <w:pPr>
        <w:pStyle w:val="Textoindependiente"/>
        <w:ind w:right="-50"/>
        <w:jc w:val="both"/>
        <w:rPr>
          <w:rFonts w:ascii="Arial" w:hAnsi="Arial" w:cs="Arial"/>
          <w:bCs/>
          <w:lang w:val="es-MX"/>
        </w:rPr>
      </w:pPr>
    </w:p>
    <w:tbl>
      <w:tblPr>
        <w:tblStyle w:val="Tablaconcuadrcula"/>
        <w:tblW w:w="0" w:type="auto"/>
        <w:tblLook w:val="04A0" w:firstRow="1" w:lastRow="0" w:firstColumn="1" w:lastColumn="0" w:noHBand="0" w:noVBand="1"/>
      </w:tblPr>
      <w:tblGrid>
        <w:gridCol w:w="562"/>
        <w:gridCol w:w="9400"/>
      </w:tblGrid>
      <w:tr w:rsidR="00561B22" w:rsidRPr="008309A5" w14:paraId="2F700C70" w14:textId="77777777" w:rsidTr="00F1223B">
        <w:tc>
          <w:tcPr>
            <w:tcW w:w="562" w:type="dxa"/>
          </w:tcPr>
          <w:p w14:paraId="0A857606" w14:textId="77777777" w:rsidR="00561B22" w:rsidRPr="008309A5" w:rsidRDefault="00561B22" w:rsidP="00F1223B">
            <w:pPr>
              <w:ind w:right="-109"/>
              <w:jc w:val="both"/>
              <w:rPr>
                <w:rFonts w:ascii="Arial" w:hAnsi="Arial" w:cs="Arial"/>
                <w:bCs/>
                <w:sz w:val="22"/>
                <w:szCs w:val="22"/>
                <w:lang w:val="es-MX"/>
              </w:rPr>
            </w:pPr>
            <w:r w:rsidRPr="008309A5">
              <w:rPr>
                <w:rFonts w:ascii="Arial" w:hAnsi="Arial" w:cs="Arial"/>
                <w:bCs/>
                <w:sz w:val="22"/>
                <w:szCs w:val="22"/>
                <w:lang w:val="es-MX"/>
              </w:rPr>
              <w:t>N°</w:t>
            </w:r>
          </w:p>
        </w:tc>
        <w:tc>
          <w:tcPr>
            <w:tcW w:w="9400" w:type="dxa"/>
          </w:tcPr>
          <w:p w14:paraId="3D0D7735" w14:textId="77777777" w:rsidR="00561B22" w:rsidRPr="008309A5" w:rsidRDefault="00561B22" w:rsidP="00F1223B">
            <w:pPr>
              <w:jc w:val="center"/>
              <w:rPr>
                <w:rFonts w:ascii="Arial" w:hAnsi="Arial" w:cs="Arial"/>
                <w:b/>
                <w:sz w:val="22"/>
                <w:szCs w:val="22"/>
                <w:lang w:val="es-MX"/>
              </w:rPr>
            </w:pPr>
            <w:r w:rsidRPr="008309A5">
              <w:rPr>
                <w:rFonts w:ascii="Arial" w:hAnsi="Arial" w:cs="Arial"/>
                <w:b/>
                <w:sz w:val="22"/>
                <w:szCs w:val="22"/>
                <w:lang w:val="es-MX"/>
              </w:rPr>
              <w:t>RECOMENDACIONES</w:t>
            </w:r>
          </w:p>
          <w:p w14:paraId="48A2FA7B" w14:textId="77777777" w:rsidR="00561B22" w:rsidRPr="008309A5" w:rsidRDefault="00561B22" w:rsidP="00F1223B">
            <w:pPr>
              <w:jc w:val="both"/>
              <w:rPr>
                <w:rFonts w:ascii="Arial" w:hAnsi="Arial" w:cs="Arial"/>
                <w:bCs/>
                <w:sz w:val="22"/>
                <w:szCs w:val="22"/>
                <w:lang w:val="es-MX"/>
              </w:rPr>
            </w:pPr>
          </w:p>
        </w:tc>
      </w:tr>
      <w:tr w:rsidR="00561B22" w:rsidRPr="008309A5" w14:paraId="107D8A2D" w14:textId="77777777" w:rsidTr="00F1223B">
        <w:tc>
          <w:tcPr>
            <w:tcW w:w="562" w:type="dxa"/>
          </w:tcPr>
          <w:p w14:paraId="7899F0A9"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1</w:t>
            </w:r>
          </w:p>
        </w:tc>
        <w:tc>
          <w:tcPr>
            <w:tcW w:w="9400" w:type="dxa"/>
          </w:tcPr>
          <w:p w14:paraId="44B28AA4"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Generar el Plan de Mejoramiento, con el fin de subsanar las observaciones evidencias.</w:t>
            </w:r>
          </w:p>
        </w:tc>
      </w:tr>
      <w:tr w:rsidR="00561B22" w:rsidRPr="008309A5" w14:paraId="12FFB280" w14:textId="77777777" w:rsidTr="00F1223B">
        <w:tc>
          <w:tcPr>
            <w:tcW w:w="562" w:type="dxa"/>
          </w:tcPr>
          <w:p w14:paraId="3B2A9699"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2</w:t>
            </w:r>
          </w:p>
        </w:tc>
        <w:tc>
          <w:tcPr>
            <w:tcW w:w="9400" w:type="dxa"/>
          </w:tcPr>
          <w:p w14:paraId="6BE03289"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Incluir en la Matriz de Riesgos del Proceso, el Riesgo identificado y sugerido por la Oficina de Control Interno relacionado con la  Posibilidad de incumplimiento de las Normas vigentes sobre la materia, porque la Subdirección Financiera aplique de forma incompleta o inadecuada las medidas de Control Interno Contable necesarias para la identificación, reconocimiento y procesamiento de las transacciones y en la preparación y presentación de los Estados Financieros que consolidan y dan cuenta de la situación económica y financiera de la SFC . De igual forma, identificar los Controles que aplica la SFC para mitigar su posible materialización.</w:t>
            </w:r>
          </w:p>
        </w:tc>
      </w:tr>
      <w:tr w:rsidR="00561B22" w:rsidRPr="008309A5" w14:paraId="481442D0" w14:textId="77777777" w:rsidTr="00F1223B">
        <w:tc>
          <w:tcPr>
            <w:tcW w:w="562" w:type="dxa"/>
          </w:tcPr>
          <w:p w14:paraId="766F8E5F"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3</w:t>
            </w:r>
          </w:p>
        </w:tc>
        <w:tc>
          <w:tcPr>
            <w:tcW w:w="9400" w:type="dxa"/>
          </w:tcPr>
          <w:p w14:paraId="30B5C35B"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 xml:space="preserve">Identificar indicadores de gestión que apunten directamente a medir la eficacia y eficiencia de las actividades ejecutadas por el proceso contable. </w:t>
            </w:r>
          </w:p>
        </w:tc>
      </w:tr>
      <w:tr w:rsidR="00561B22" w:rsidRPr="008309A5" w14:paraId="1EB920DD" w14:textId="77777777" w:rsidTr="00F1223B">
        <w:tc>
          <w:tcPr>
            <w:tcW w:w="562" w:type="dxa"/>
          </w:tcPr>
          <w:p w14:paraId="4C540DB6"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4</w:t>
            </w:r>
          </w:p>
        </w:tc>
        <w:tc>
          <w:tcPr>
            <w:tcW w:w="9400" w:type="dxa"/>
          </w:tcPr>
          <w:p w14:paraId="4F9EEB63" w14:textId="77777777" w:rsidR="00561B22" w:rsidRPr="008309A5" w:rsidRDefault="00561B22" w:rsidP="00F1223B">
            <w:pPr>
              <w:jc w:val="both"/>
              <w:rPr>
                <w:rFonts w:ascii="Arial" w:hAnsi="Arial" w:cs="Arial"/>
                <w:bCs/>
                <w:sz w:val="22"/>
                <w:szCs w:val="22"/>
                <w:lang w:val="es-MX"/>
              </w:rPr>
            </w:pPr>
            <w:r w:rsidRPr="008309A5">
              <w:rPr>
                <w:rFonts w:ascii="Arial" w:hAnsi="Arial" w:cs="Arial"/>
                <w:bCs/>
                <w:sz w:val="22"/>
                <w:szCs w:val="22"/>
                <w:lang w:val="es-MX"/>
              </w:rPr>
              <w:t xml:space="preserve">Incluir en el documento soporte de constitución de las reservas presupuestales, el caso fortuito </w:t>
            </w:r>
            <w:r w:rsidRPr="008309A5">
              <w:rPr>
                <w:rFonts w:ascii="Arial" w:hAnsi="Arial" w:cs="Arial"/>
                <w:bCs/>
                <w:sz w:val="22"/>
                <w:szCs w:val="22"/>
                <w:lang w:val="es-MX"/>
              </w:rPr>
              <w:lastRenderedPageBreak/>
              <w:t>o fuerza mayor que dio origen a su constitución.</w:t>
            </w:r>
          </w:p>
        </w:tc>
      </w:tr>
    </w:tbl>
    <w:p w14:paraId="3F2E8757" w14:textId="77777777" w:rsidR="00561B22" w:rsidRPr="008309A5" w:rsidRDefault="00561B22" w:rsidP="00561B22">
      <w:pPr>
        <w:pStyle w:val="Textoindependiente"/>
        <w:ind w:right="-50"/>
        <w:jc w:val="both"/>
        <w:rPr>
          <w:rFonts w:ascii="Arial" w:hAnsi="Arial" w:cs="Arial"/>
          <w:b/>
          <w:bCs/>
        </w:rPr>
      </w:pPr>
    </w:p>
    <w:p w14:paraId="770AF243" w14:textId="77777777" w:rsidR="00561B22" w:rsidRPr="008309A5" w:rsidRDefault="00561B22" w:rsidP="00561B22">
      <w:pPr>
        <w:jc w:val="both"/>
        <w:rPr>
          <w:rFonts w:ascii="Arial" w:hAnsi="Arial" w:cs="Arial"/>
          <w:b/>
          <w:bCs/>
          <w:sz w:val="24"/>
          <w:szCs w:val="24"/>
          <w:lang w:val="es-CO"/>
        </w:rPr>
      </w:pPr>
      <w:r w:rsidRPr="008309A5">
        <w:rPr>
          <w:rFonts w:ascii="Arial" w:hAnsi="Arial" w:cs="Arial"/>
          <w:b/>
          <w:bCs/>
          <w:sz w:val="24"/>
          <w:szCs w:val="24"/>
          <w:lang w:val="es-CO"/>
        </w:rPr>
        <w:t xml:space="preserve">NOTA: LA ENTIDAD ENVÍA LA MATRIZ DE AUTOEVALUACIÓN DEL SISTEMA DE CONTROL INTERNO CONTABLE CON </w:t>
      </w:r>
      <w:r w:rsidRPr="008309A5">
        <w:rPr>
          <w:rFonts w:ascii="Arial" w:hAnsi="Arial" w:cs="Arial"/>
          <w:b/>
          <w:bCs/>
          <w:sz w:val="24"/>
          <w:szCs w:val="24"/>
          <w:u w:val="single"/>
          <w:lang w:val="es-CO"/>
        </w:rPr>
        <w:t>ACTIVIDADES DE CONTROL REALIZADAS EN FORMA PARCIAL</w:t>
      </w:r>
      <w:r w:rsidRPr="008309A5">
        <w:rPr>
          <w:rFonts w:ascii="Arial" w:hAnsi="Arial" w:cs="Arial"/>
          <w:b/>
          <w:bCs/>
          <w:sz w:val="24"/>
          <w:szCs w:val="24"/>
          <w:lang w:val="es-CO"/>
        </w:rPr>
        <w:t>.</w:t>
      </w:r>
    </w:p>
    <w:p w14:paraId="79FCF67D" w14:textId="77777777" w:rsidR="00561B22" w:rsidRPr="008309A5" w:rsidRDefault="00561B22" w:rsidP="00561B22">
      <w:pPr>
        <w:pStyle w:val="Textoindependiente"/>
        <w:ind w:right="-50"/>
        <w:jc w:val="both"/>
        <w:rPr>
          <w:rFonts w:ascii="Arial" w:hAnsi="Arial" w:cs="Arial"/>
          <w:b/>
          <w:bCs/>
          <w:sz w:val="28"/>
          <w:szCs w:val="28"/>
        </w:rPr>
      </w:pPr>
    </w:p>
    <w:p w14:paraId="788906E1" w14:textId="77777777" w:rsidR="00561B22" w:rsidRPr="00C72C4A" w:rsidRDefault="00561B22" w:rsidP="00561B22">
      <w:pPr>
        <w:jc w:val="both"/>
        <w:rPr>
          <w:rFonts w:ascii="Arial" w:hAnsi="Arial" w:cs="Arial"/>
          <w:b/>
          <w:sz w:val="28"/>
          <w:szCs w:val="28"/>
          <w:lang w:val="es-MX"/>
        </w:rPr>
      </w:pPr>
      <w:r w:rsidRPr="00C72C4A">
        <w:rPr>
          <w:rFonts w:ascii="Arial" w:hAnsi="Arial" w:cs="Arial"/>
          <w:b/>
          <w:sz w:val="28"/>
          <w:szCs w:val="28"/>
          <w:lang w:val="es-MX"/>
        </w:rPr>
        <w:t>317.- INSTITUTO COLOMBIANO DE ANTROPOLOGÍA E HISTORIA – ICANH.</w:t>
      </w:r>
    </w:p>
    <w:p w14:paraId="3BD9CE1D" w14:textId="77777777" w:rsidR="00561B22" w:rsidRDefault="00561B22" w:rsidP="00561B22">
      <w:pPr>
        <w:pStyle w:val="Ttulo1"/>
        <w:ind w:right="-50"/>
        <w:jc w:val="left"/>
        <w:rPr>
          <w:sz w:val="28"/>
          <w:szCs w:val="28"/>
          <w:lang w:val="es-MX"/>
        </w:rPr>
      </w:pPr>
    </w:p>
    <w:p w14:paraId="2DC5096D" w14:textId="77777777" w:rsidR="00561B22" w:rsidRPr="00C72C4A" w:rsidRDefault="00561B22" w:rsidP="00561B22">
      <w:pPr>
        <w:jc w:val="center"/>
        <w:rPr>
          <w:rFonts w:ascii="Arial" w:hAnsi="Arial" w:cs="Arial"/>
          <w:b/>
          <w:lang w:val="es-MX"/>
        </w:rPr>
      </w:pPr>
      <w:r w:rsidRPr="00C72C4A">
        <w:rPr>
          <w:rFonts w:ascii="Arial" w:hAnsi="Arial" w:cs="Arial"/>
          <w:b/>
          <w:lang w:val="es-MX"/>
        </w:rPr>
        <w:t>INFORME DE LA AUTOCALIFICACIÓN DEL SISTEMA DE CONTROL INTERNO CONTABLE:</w:t>
      </w:r>
    </w:p>
    <w:p w14:paraId="7B075ABC" w14:textId="77777777" w:rsidR="00561B22" w:rsidRPr="00C72C4A"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C72C4A" w14:paraId="5D5D6C1C" w14:textId="77777777" w:rsidTr="00F1223B">
        <w:tc>
          <w:tcPr>
            <w:tcW w:w="4981" w:type="dxa"/>
          </w:tcPr>
          <w:p w14:paraId="6430CAB7" w14:textId="77777777" w:rsidR="00561B22" w:rsidRPr="00C72C4A" w:rsidRDefault="00561B22" w:rsidP="00F1223B">
            <w:pPr>
              <w:jc w:val="center"/>
              <w:rPr>
                <w:rFonts w:ascii="Arial" w:hAnsi="Arial" w:cs="Arial"/>
                <w:b/>
                <w:sz w:val="22"/>
                <w:szCs w:val="22"/>
                <w:lang w:val="es-MX"/>
              </w:rPr>
            </w:pPr>
            <w:r w:rsidRPr="00C72C4A">
              <w:rPr>
                <w:rFonts w:ascii="Arial" w:hAnsi="Arial" w:cs="Arial"/>
                <w:b/>
                <w:sz w:val="22"/>
                <w:szCs w:val="22"/>
                <w:lang w:val="es-MX"/>
              </w:rPr>
              <w:t>AUTOCALIFICACIÓN</w:t>
            </w:r>
          </w:p>
        </w:tc>
        <w:tc>
          <w:tcPr>
            <w:tcW w:w="4981" w:type="dxa"/>
          </w:tcPr>
          <w:p w14:paraId="3EDDC864" w14:textId="77777777" w:rsidR="00561B22" w:rsidRPr="00C72C4A" w:rsidRDefault="00561B22" w:rsidP="00F1223B">
            <w:pPr>
              <w:jc w:val="center"/>
              <w:rPr>
                <w:rFonts w:ascii="Arial" w:hAnsi="Arial" w:cs="Arial"/>
                <w:b/>
                <w:sz w:val="22"/>
                <w:szCs w:val="22"/>
                <w:u w:val="single"/>
                <w:lang w:val="es-MX"/>
              </w:rPr>
            </w:pPr>
            <w:r w:rsidRPr="00C72C4A">
              <w:rPr>
                <w:rFonts w:ascii="Arial" w:hAnsi="Arial" w:cs="Arial"/>
                <w:b/>
                <w:sz w:val="22"/>
                <w:szCs w:val="22"/>
                <w:u w:val="single"/>
                <w:lang w:val="es-MX"/>
              </w:rPr>
              <w:t>4.81</w:t>
            </w:r>
          </w:p>
        </w:tc>
      </w:tr>
    </w:tbl>
    <w:p w14:paraId="64094875" w14:textId="77777777" w:rsidR="00561B22" w:rsidRPr="00C72C4A"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C72C4A" w14:paraId="79865A5C" w14:textId="77777777" w:rsidTr="00F1223B">
        <w:tc>
          <w:tcPr>
            <w:tcW w:w="562" w:type="dxa"/>
          </w:tcPr>
          <w:p w14:paraId="532DABFC" w14:textId="77777777" w:rsidR="00561B22" w:rsidRPr="00C72C4A" w:rsidRDefault="00561B22" w:rsidP="00F1223B">
            <w:pPr>
              <w:ind w:right="-109"/>
              <w:jc w:val="center"/>
              <w:rPr>
                <w:rFonts w:ascii="Arial" w:hAnsi="Arial" w:cs="Arial"/>
                <w:b/>
                <w:sz w:val="22"/>
                <w:szCs w:val="22"/>
                <w:lang w:val="es-MX"/>
              </w:rPr>
            </w:pPr>
            <w:r w:rsidRPr="00C72C4A">
              <w:rPr>
                <w:rFonts w:ascii="Arial" w:hAnsi="Arial" w:cs="Arial"/>
                <w:b/>
                <w:sz w:val="22"/>
                <w:szCs w:val="22"/>
                <w:lang w:val="es-MX"/>
              </w:rPr>
              <w:t>N°</w:t>
            </w:r>
          </w:p>
        </w:tc>
        <w:tc>
          <w:tcPr>
            <w:tcW w:w="9400" w:type="dxa"/>
          </w:tcPr>
          <w:p w14:paraId="1A2BC993" w14:textId="77777777" w:rsidR="00561B22" w:rsidRPr="00C72C4A" w:rsidRDefault="00561B22" w:rsidP="00F1223B">
            <w:pPr>
              <w:jc w:val="center"/>
              <w:rPr>
                <w:rFonts w:ascii="Arial" w:hAnsi="Arial" w:cs="Arial"/>
                <w:b/>
                <w:sz w:val="22"/>
                <w:szCs w:val="22"/>
                <w:lang w:val="es-MX"/>
              </w:rPr>
            </w:pPr>
            <w:r w:rsidRPr="00C72C4A">
              <w:rPr>
                <w:rFonts w:ascii="Arial" w:hAnsi="Arial" w:cs="Arial"/>
                <w:b/>
                <w:sz w:val="22"/>
                <w:szCs w:val="22"/>
                <w:lang w:val="es-MX"/>
              </w:rPr>
              <w:t>DEBILIDADES</w:t>
            </w:r>
          </w:p>
          <w:p w14:paraId="1CE0DCE1" w14:textId="77777777" w:rsidR="00561B22" w:rsidRPr="00C72C4A" w:rsidRDefault="00561B22" w:rsidP="00F1223B">
            <w:pPr>
              <w:jc w:val="center"/>
              <w:rPr>
                <w:rFonts w:ascii="Arial" w:hAnsi="Arial" w:cs="Arial"/>
                <w:b/>
                <w:sz w:val="22"/>
                <w:szCs w:val="22"/>
                <w:lang w:val="es-MX"/>
              </w:rPr>
            </w:pPr>
          </w:p>
        </w:tc>
      </w:tr>
      <w:tr w:rsidR="00561B22" w:rsidRPr="00C72C4A" w14:paraId="2ACA1031" w14:textId="77777777" w:rsidTr="00F1223B">
        <w:tc>
          <w:tcPr>
            <w:tcW w:w="562" w:type="dxa"/>
          </w:tcPr>
          <w:p w14:paraId="32456539" w14:textId="77777777" w:rsidR="00561B22" w:rsidRPr="00C72C4A" w:rsidRDefault="00561B22" w:rsidP="00F1223B">
            <w:pPr>
              <w:jc w:val="center"/>
              <w:rPr>
                <w:rFonts w:ascii="Arial" w:hAnsi="Arial" w:cs="Arial"/>
                <w:b/>
                <w:sz w:val="22"/>
                <w:szCs w:val="22"/>
                <w:lang w:val="es-MX"/>
              </w:rPr>
            </w:pPr>
            <w:r w:rsidRPr="00C72C4A">
              <w:rPr>
                <w:rFonts w:ascii="Arial" w:hAnsi="Arial" w:cs="Arial"/>
                <w:b/>
                <w:sz w:val="22"/>
                <w:szCs w:val="22"/>
                <w:lang w:val="es-MX"/>
              </w:rPr>
              <w:t>1</w:t>
            </w:r>
          </w:p>
        </w:tc>
        <w:tc>
          <w:tcPr>
            <w:tcW w:w="9400" w:type="dxa"/>
          </w:tcPr>
          <w:p w14:paraId="2B490178" w14:textId="77777777" w:rsidR="00561B22" w:rsidRPr="00C72C4A" w:rsidRDefault="00561B22" w:rsidP="00F1223B">
            <w:pPr>
              <w:rPr>
                <w:rFonts w:ascii="Arial" w:hAnsi="Arial" w:cs="Arial"/>
                <w:sz w:val="22"/>
                <w:szCs w:val="22"/>
                <w:lang w:val="es-MX"/>
              </w:rPr>
            </w:pPr>
            <w:r w:rsidRPr="00C72C4A">
              <w:rPr>
                <w:rFonts w:ascii="Arial" w:hAnsi="Arial" w:cs="Arial"/>
                <w:sz w:val="22"/>
                <w:szCs w:val="22"/>
                <w:lang w:val="es-MX"/>
              </w:rPr>
              <w:t>Es necesario fortalecer las acciones de activos e inventarios al interior de la entidad.</w:t>
            </w:r>
          </w:p>
        </w:tc>
      </w:tr>
    </w:tbl>
    <w:p w14:paraId="24DBF91A" w14:textId="77777777" w:rsidR="00561B22" w:rsidRPr="00C72C4A" w:rsidRDefault="00561B22" w:rsidP="00561B22">
      <w:pPr>
        <w:jc w:val="both"/>
        <w:rPr>
          <w:rFonts w:ascii="Arial" w:hAnsi="Arial" w:cs="Arial"/>
          <w:b/>
          <w:lang w:val="es-MX"/>
        </w:rPr>
      </w:pPr>
    </w:p>
    <w:p w14:paraId="25F010FF" w14:textId="77777777" w:rsidR="00561B22" w:rsidRPr="00C72C4A" w:rsidRDefault="00561B22" w:rsidP="00561B22">
      <w:pPr>
        <w:jc w:val="both"/>
        <w:rPr>
          <w:rFonts w:ascii="Arial" w:hAnsi="Arial" w:cs="Arial"/>
          <w:b/>
          <w:lang w:val="es-MX"/>
        </w:rPr>
      </w:pPr>
      <w:r w:rsidRPr="00C72C4A">
        <w:rPr>
          <w:rFonts w:ascii="Arial" w:hAnsi="Arial" w:cs="Arial"/>
          <w:b/>
          <w:lang w:val="es-MX"/>
        </w:rPr>
        <w:t>Del citado informe retomamos las siguientes recomendaciones:</w:t>
      </w:r>
    </w:p>
    <w:p w14:paraId="05C8C31C" w14:textId="77777777" w:rsidR="00561B22" w:rsidRPr="00C72C4A"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C72C4A" w14:paraId="419AF6A8" w14:textId="77777777" w:rsidTr="00F1223B">
        <w:tc>
          <w:tcPr>
            <w:tcW w:w="562" w:type="dxa"/>
          </w:tcPr>
          <w:p w14:paraId="01F1ACB1" w14:textId="77777777" w:rsidR="00561B22" w:rsidRPr="00C72C4A" w:rsidRDefault="00561B22" w:rsidP="00F1223B">
            <w:pPr>
              <w:ind w:right="-109"/>
              <w:jc w:val="center"/>
              <w:rPr>
                <w:rFonts w:ascii="Arial" w:hAnsi="Arial" w:cs="Arial"/>
                <w:b/>
                <w:sz w:val="22"/>
                <w:szCs w:val="22"/>
                <w:lang w:val="es-MX"/>
              </w:rPr>
            </w:pPr>
            <w:r w:rsidRPr="00C72C4A">
              <w:rPr>
                <w:rFonts w:ascii="Arial" w:hAnsi="Arial" w:cs="Arial"/>
                <w:b/>
                <w:sz w:val="22"/>
                <w:szCs w:val="22"/>
                <w:lang w:val="es-MX"/>
              </w:rPr>
              <w:t>N°</w:t>
            </w:r>
          </w:p>
        </w:tc>
        <w:tc>
          <w:tcPr>
            <w:tcW w:w="9400" w:type="dxa"/>
          </w:tcPr>
          <w:p w14:paraId="2F7AB986" w14:textId="77777777" w:rsidR="00561B22" w:rsidRPr="00C72C4A" w:rsidRDefault="00561B22" w:rsidP="00F1223B">
            <w:pPr>
              <w:jc w:val="center"/>
              <w:rPr>
                <w:rFonts w:ascii="Arial" w:hAnsi="Arial" w:cs="Arial"/>
                <w:b/>
                <w:sz w:val="22"/>
                <w:szCs w:val="22"/>
                <w:lang w:val="es-MX"/>
              </w:rPr>
            </w:pPr>
            <w:r w:rsidRPr="00C72C4A">
              <w:rPr>
                <w:rFonts w:ascii="Arial" w:hAnsi="Arial" w:cs="Arial"/>
                <w:b/>
                <w:sz w:val="22"/>
                <w:szCs w:val="22"/>
                <w:lang w:val="es-MX"/>
              </w:rPr>
              <w:t>RECOMENDACIONES</w:t>
            </w:r>
          </w:p>
          <w:p w14:paraId="122C1E81" w14:textId="77777777" w:rsidR="00561B22" w:rsidRPr="00C72C4A" w:rsidRDefault="00561B22" w:rsidP="00F1223B">
            <w:pPr>
              <w:jc w:val="center"/>
              <w:rPr>
                <w:rFonts w:ascii="Arial" w:hAnsi="Arial" w:cs="Arial"/>
                <w:b/>
                <w:sz w:val="22"/>
                <w:szCs w:val="22"/>
                <w:lang w:val="es-MX"/>
              </w:rPr>
            </w:pPr>
          </w:p>
        </w:tc>
      </w:tr>
      <w:tr w:rsidR="00561B22" w:rsidRPr="00C72C4A" w14:paraId="1C33A1CF" w14:textId="77777777" w:rsidTr="00F1223B">
        <w:tc>
          <w:tcPr>
            <w:tcW w:w="562" w:type="dxa"/>
          </w:tcPr>
          <w:p w14:paraId="70F562EB" w14:textId="77777777" w:rsidR="00561B22" w:rsidRPr="00C72C4A" w:rsidRDefault="00561B22" w:rsidP="00F1223B">
            <w:pPr>
              <w:jc w:val="center"/>
              <w:rPr>
                <w:rFonts w:ascii="Arial" w:hAnsi="Arial" w:cs="Arial"/>
                <w:b/>
                <w:sz w:val="22"/>
                <w:szCs w:val="22"/>
                <w:lang w:val="es-MX"/>
              </w:rPr>
            </w:pPr>
            <w:r w:rsidRPr="00C72C4A">
              <w:rPr>
                <w:rFonts w:ascii="Arial" w:hAnsi="Arial" w:cs="Arial"/>
                <w:b/>
                <w:sz w:val="22"/>
                <w:szCs w:val="22"/>
                <w:lang w:val="es-MX"/>
              </w:rPr>
              <w:t>1</w:t>
            </w:r>
          </w:p>
        </w:tc>
        <w:tc>
          <w:tcPr>
            <w:tcW w:w="9400" w:type="dxa"/>
          </w:tcPr>
          <w:p w14:paraId="10E0D40D" w14:textId="77777777" w:rsidR="00561B22" w:rsidRPr="00C72C4A" w:rsidRDefault="00561B22" w:rsidP="00F1223B">
            <w:pPr>
              <w:rPr>
                <w:rFonts w:ascii="Arial" w:hAnsi="Arial" w:cs="Arial"/>
                <w:sz w:val="22"/>
                <w:szCs w:val="22"/>
                <w:lang w:val="es-MX"/>
              </w:rPr>
            </w:pPr>
            <w:r w:rsidRPr="00C72C4A">
              <w:rPr>
                <w:rFonts w:ascii="Arial" w:hAnsi="Arial" w:cs="Arial"/>
                <w:sz w:val="22"/>
                <w:szCs w:val="22"/>
                <w:lang w:val="es-MX"/>
              </w:rPr>
              <w:t>Es necesario atender todas las acciones de Plan de Mejoramiento.</w:t>
            </w:r>
          </w:p>
        </w:tc>
      </w:tr>
    </w:tbl>
    <w:p w14:paraId="03D346B0" w14:textId="77777777" w:rsidR="00561B22" w:rsidRPr="00C72C4A" w:rsidRDefault="00561B22" w:rsidP="00561B22">
      <w:pPr>
        <w:jc w:val="both"/>
        <w:rPr>
          <w:rFonts w:ascii="Arial" w:hAnsi="Arial" w:cs="Arial"/>
          <w:b/>
          <w:sz w:val="28"/>
          <w:szCs w:val="28"/>
          <w:lang w:val="es-MX"/>
        </w:rPr>
      </w:pPr>
    </w:p>
    <w:p w14:paraId="5B4B8229" w14:textId="77777777" w:rsidR="00561B22" w:rsidRPr="00C72C4A" w:rsidRDefault="00561B22" w:rsidP="00561B22">
      <w:pPr>
        <w:jc w:val="both"/>
        <w:rPr>
          <w:rFonts w:ascii="Arial" w:hAnsi="Arial" w:cs="Arial"/>
          <w:b/>
          <w:bCs/>
          <w:sz w:val="24"/>
          <w:szCs w:val="24"/>
          <w:lang w:val="es-MX"/>
        </w:rPr>
      </w:pPr>
      <w:r w:rsidRPr="00C72C4A">
        <w:rPr>
          <w:rFonts w:ascii="Arial" w:hAnsi="Arial" w:cs="Arial"/>
          <w:b/>
          <w:bCs/>
          <w:sz w:val="24"/>
          <w:szCs w:val="24"/>
          <w:lang w:val="es-MX"/>
        </w:rPr>
        <w:t xml:space="preserve">NOTA: LA ENTIDAD ENVÍA LA MATRIZ DE AUTOEVALUACIÓN DEL SISTEMA DE CONTROL INTERNO CONTABLE CON </w:t>
      </w:r>
      <w:r w:rsidRPr="00C72C4A">
        <w:rPr>
          <w:rFonts w:ascii="Arial" w:hAnsi="Arial" w:cs="Arial"/>
          <w:b/>
          <w:bCs/>
          <w:sz w:val="24"/>
          <w:szCs w:val="24"/>
          <w:u w:val="single"/>
          <w:lang w:val="es-MX"/>
        </w:rPr>
        <w:t>ACTIVIDADES DE CONTROL REALIZADAS EN FORMA PARCIAL</w:t>
      </w:r>
      <w:r w:rsidRPr="00C72C4A">
        <w:rPr>
          <w:rFonts w:ascii="Arial" w:hAnsi="Arial" w:cs="Arial"/>
          <w:b/>
          <w:bCs/>
          <w:sz w:val="24"/>
          <w:szCs w:val="24"/>
          <w:lang w:val="es-MX"/>
        </w:rPr>
        <w:t>.</w:t>
      </w:r>
    </w:p>
    <w:p w14:paraId="7ACD4FE2" w14:textId="77777777" w:rsidR="00561B22" w:rsidRPr="00C72C4A" w:rsidRDefault="00561B22" w:rsidP="00561B22">
      <w:pPr>
        <w:jc w:val="both"/>
        <w:rPr>
          <w:rFonts w:ascii="Arial" w:hAnsi="Arial" w:cs="Arial"/>
          <w:b/>
          <w:bCs/>
          <w:sz w:val="28"/>
          <w:szCs w:val="28"/>
          <w:lang w:val="es-MX"/>
        </w:rPr>
      </w:pPr>
    </w:p>
    <w:p w14:paraId="317E8E02" w14:textId="77777777" w:rsidR="00561B22" w:rsidRPr="00F85253" w:rsidRDefault="00561B22" w:rsidP="00561B22">
      <w:pPr>
        <w:jc w:val="both"/>
        <w:rPr>
          <w:rFonts w:ascii="Arial" w:hAnsi="Arial" w:cs="Arial"/>
          <w:b/>
          <w:sz w:val="28"/>
          <w:szCs w:val="28"/>
          <w:lang w:val="es-MX"/>
        </w:rPr>
      </w:pPr>
      <w:r w:rsidRPr="00F85253">
        <w:rPr>
          <w:rFonts w:ascii="Arial" w:hAnsi="Arial" w:cs="Arial"/>
          <w:b/>
          <w:sz w:val="28"/>
          <w:szCs w:val="28"/>
          <w:lang w:val="es-MX"/>
        </w:rPr>
        <w:t>318.- FONDO PARA EL FINANCIAMIENTO DEL SECTOR AGROPECUARIO – FINAGRO.</w:t>
      </w:r>
    </w:p>
    <w:p w14:paraId="5F1AB4C5" w14:textId="77777777" w:rsidR="00561B22" w:rsidRPr="00F85253" w:rsidRDefault="00561B22" w:rsidP="00561B22">
      <w:pPr>
        <w:pStyle w:val="Ttulo1"/>
        <w:ind w:right="-50"/>
        <w:jc w:val="left"/>
        <w:rPr>
          <w:sz w:val="28"/>
          <w:szCs w:val="28"/>
          <w:lang w:val="es-MX"/>
        </w:rPr>
      </w:pPr>
    </w:p>
    <w:p w14:paraId="1E95E5CD" w14:textId="77777777" w:rsidR="00561B22" w:rsidRPr="00F85253" w:rsidRDefault="00561B22" w:rsidP="00561B22">
      <w:pPr>
        <w:pStyle w:val="Textoindependiente"/>
        <w:ind w:right="-50"/>
        <w:jc w:val="center"/>
        <w:rPr>
          <w:rFonts w:ascii="Arial" w:hAnsi="Arial" w:cs="Arial"/>
          <w:b/>
          <w:bCs/>
        </w:rPr>
      </w:pPr>
      <w:r w:rsidRPr="00F85253">
        <w:rPr>
          <w:rFonts w:ascii="Arial" w:hAnsi="Arial" w:cs="Arial"/>
          <w:b/>
          <w:bCs/>
        </w:rPr>
        <w:t>INFORME DE LA AUTOCALIFICACIÓN DEL SISTEMA DE CONTROL INTERNO CONTABLE:</w:t>
      </w:r>
    </w:p>
    <w:p w14:paraId="779DA317" w14:textId="77777777" w:rsidR="00561B22" w:rsidRPr="00F8525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85253" w14:paraId="1D99D50D" w14:textId="77777777" w:rsidTr="00F1223B">
        <w:tc>
          <w:tcPr>
            <w:tcW w:w="4981" w:type="dxa"/>
          </w:tcPr>
          <w:p w14:paraId="75869D57" w14:textId="77777777" w:rsidR="00561B22" w:rsidRPr="00F85253" w:rsidRDefault="00561B22" w:rsidP="00F1223B">
            <w:pPr>
              <w:jc w:val="center"/>
              <w:rPr>
                <w:rFonts w:ascii="Arial" w:hAnsi="Arial" w:cs="Arial"/>
                <w:b/>
                <w:sz w:val="22"/>
                <w:szCs w:val="22"/>
                <w:lang w:val="es-MX"/>
              </w:rPr>
            </w:pPr>
            <w:r w:rsidRPr="00F85253">
              <w:rPr>
                <w:rFonts w:ascii="Arial" w:hAnsi="Arial" w:cs="Arial"/>
                <w:b/>
                <w:sz w:val="22"/>
                <w:szCs w:val="22"/>
                <w:lang w:val="es-MX"/>
              </w:rPr>
              <w:t>AUTOCALIFICACIÓN</w:t>
            </w:r>
          </w:p>
        </w:tc>
        <w:tc>
          <w:tcPr>
            <w:tcW w:w="4981" w:type="dxa"/>
          </w:tcPr>
          <w:p w14:paraId="484F19B3" w14:textId="77777777" w:rsidR="00561B22" w:rsidRPr="00F85253" w:rsidRDefault="00561B22" w:rsidP="00F1223B">
            <w:pPr>
              <w:jc w:val="center"/>
              <w:rPr>
                <w:rFonts w:ascii="Arial" w:hAnsi="Arial" w:cs="Arial"/>
                <w:b/>
                <w:sz w:val="22"/>
                <w:szCs w:val="22"/>
                <w:u w:val="single"/>
                <w:lang w:val="es-MX"/>
              </w:rPr>
            </w:pPr>
            <w:r w:rsidRPr="00F85253">
              <w:rPr>
                <w:rFonts w:ascii="Arial" w:hAnsi="Arial" w:cs="Arial"/>
                <w:b/>
                <w:sz w:val="22"/>
                <w:szCs w:val="22"/>
                <w:u w:val="single"/>
                <w:lang w:val="es-MX"/>
              </w:rPr>
              <w:t>4.95</w:t>
            </w:r>
          </w:p>
        </w:tc>
      </w:tr>
    </w:tbl>
    <w:p w14:paraId="318F1237" w14:textId="77777777" w:rsidR="00561B22" w:rsidRPr="00F85253" w:rsidRDefault="00561B22" w:rsidP="00561B22">
      <w:pPr>
        <w:pStyle w:val="Textoindependiente"/>
        <w:ind w:right="-50"/>
        <w:jc w:val="both"/>
        <w:rPr>
          <w:rFonts w:ascii="Arial" w:hAnsi="Arial" w:cs="Arial"/>
          <w:b/>
          <w:bCs/>
        </w:rPr>
      </w:pPr>
    </w:p>
    <w:p w14:paraId="58BA8E30" w14:textId="77777777" w:rsidR="00561B22" w:rsidRPr="00F85253" w:rsidRDefault="00561B22" w:rsidP="00561B22">
      <w:pPr>
        <w:pStyle w:val="Textoindependiente"/>
        <w:ind w:right="-50"/>
        <w:jc w:val="both"/>
        <w:rPr>
          <w:rFonts w:ascii="Arial" w:hAnsi="Arial" w:cs="Arial"/>
          <w:b/>
          <w:bCs/>
        </w:rPr>
      </w:pPr>
      <w:r w:rsidRPr="00F85253">
        <w:rPr>
          <w:rFonts w:ascii="Arial" w:hAnsi="Arial" w:cs="Arial"/>
          <w:b/>
          <w:bCs/>
        </w:rPr>
        <w:t>Del informe enviado retomamos lo siguiente:</w:t>
      </w:r>
    </w:p>
    <w:p w14:paraId="07EDA8D9" w14:textId="77777777" w:rsidR="00561B22" w:rsidRPr="00F8525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85253" w14:paraId="470D82EE" w14:textId="77777777" w:rsidTr="00F1223B">
        <w:tc>
          <w:tcPr>
            <w:tcW w:w="562" w:type="dxa"/>
          </w:tcPr>
          <w:p w14:paraId="43734567" w14:textId="77777777" w:rsidR="00561B22" w:rsidRPr="00F85253" w:rsidRDefault="00561B22" w:rsidP="00F1223B">
            <w:pPr>
              <w:ind w:right="-109"/>
              <w:jc w:val="center"/>
              <w:rPr>
                <w:rFonts w:ascii="Arial" w:hAnsi="Arial" w:cs="Arial"/>
                <w:b/>
                <w:sz w:val="22"/>
                <w:szCs w:val="22"/>
                <w:lang w:val="es-MX"/>
              </w:rPr>
            </w:pPr>
            <w:r w:rsidRPr="00F85253">
              <w:rPr>
                <w:rFonts w:ascii="Arial" w:hAnsi="Arial" w:cs="Arial"/>
                <w:b/>
                <w:sz w:val="22"/>
                <w:szCs w:val="22"/>
                <w:lang w:val="es-MX"/>
              </w:rPr>
              <w:t>N°</w:t>
            </w:r>
          </w:p>
        </w:tc>
        <w:tc>
          <w:tcPr>
            <w:tcW w:w="9400" w:type="dxa"/>
          </w:tcPr>
          <w:p w14:paraId="383A5F94" w14:textId="77777777" w:rsidR="00561B22" w:rsidRPr="00F85253" w:rsidRDefault="00561B22" w:rsidP="00F1223B">
            <w:pPr>
              <w:jc w:val="center"/>
              <w:rPr>
                <w:rFonts w:ascii="Arial" w:hAnsi="Arial" w:cs="Arial"/>
                <w:b/>
                <w:sz w:val="22"/>
                <w:szCs w:val="22"/>
                <w:lang w:val="es-MX"/>
              </w:rPr>
            </w:pPr>
            <w:r w:rsidRPr="00F85253">
              <w:rPr>
                <w:rFonts w:ascii="Arial" w:hAnsi="Arial" w:cs="Arial"/>
                <w:b/>
                <w:sz w:val="22"/>
                <w:szCs w:val="22"/>
                <w:lang w:val="es-MX"/>
              </w:rPr>
              <w:t>DEBILIDADES</w:t>
            </w:r>
          </w:p>
          <w:p w14:paraId="32717E78" w14:textId="77777777" w:rsidR="00561B22" w:rsidRPr="00F85253" w:rsidRDefault="00561B22" w:rsidP="00F1223B">
            <w:pPr>
              <w:jc w:val="center"/>
              <w:rPr>
                <w:rFonts w:ascii="Arial" w:hAnsi="Arial" w:cs="Arial"/>
                <w:b/>
                <w:sz w:val="22"/>
                <w:szCs w:val="22"/>
                <w:lang w:val="es-MX"/>
              </w:rPr>
            </w:pPr>
          </w:p>
        </w:tc>
      </w:tr>
      <w:tr w:rsidR="00561B22" w:rsidRPr="00F85253" w14:paraId="74E28A9C" w14:textId="77777777" w:rsidTr="00F1223B">
        <w:tc>
          <w:tcPr>
            <w:tcW w:w="562" w:type="dxa"/>
          </w:tcPr>
          <w:p w14:paraId="6C64CD49" w14:textId="77777777" w:rsidR="00561B22" w:rsidRPr="00F85253" w:rsidRDefault="00561B22" w:rsidP="00F1223B">
            <w:pPr>
              <w:jc w:val="center"/>
              <w:rPr>
                <w:rFonts w:ascii="Arial" w:hAnsi="Arial" w:cs="Arial"/>
                <w:b/>
                <w:sz w:val="22"/>
                <w:szCs w:val="22"/>
                <w:lang w:val="es-MX"/>
              </w:rPr>
            </w:pPr>
            <w:r w:rsidRPr="00F85253">
              <w:rPr>
                <w:rFonts w:ascii="Arial" w:hAnsi="Arial" w:cs="Arial"/>
                <w:b/>
                <w:sz w:val="22"/>
                <w:szCs w:val="22"/>
                <w:lang w:val="es-MX"/>
              </w:rPr>
              <w:t>1</w:t>
            </w:r>
          </w:p>
        </w:tc>
        <w:tc>
          <w:tcPr>
            <w:tcW w:w="9400" w:type="dxa"/>
          </w:tcPr>
          <w:p w14:paraId="722447C7" w14:textId="77777777" w:rsidR="00561B22" w:rsidRPr="00F85253" w:rsidRDefault="00561B22" w:rsidP="00F1223B">
            <w:pPr>
              <w:jc w:val="both"/>
              <w:rPr>
                <w:rFonts w:ascii="Arial" w:hAnsi="Arial" w:cs="Arial"/>
                <w:bCs/>
                <w:sz w:val="22"/>
                <w:szCs w:val="22"/>
                <w:lang w:val="es-MX"/>
              </w:rPr>
            </w:pPr>
            <w:r w:rsidRPr="00F85253">
              <w:rPr>
                <w:rFonts w:ascii="Arial" w:hAnsi="Arial" w:cs="Arial"/>
                <w:bCs/>
                <w:sz w:val="22"/>
                <w:szCs w:val="22"/>
                <w:lang w:val="es-MX"/>
              </w:rPr>
              <w:t>Dadas las directrices para la fecha de entrega de la información a la dirección de contabilidad, esta no se presenta de manera oportuna; según se evidencio en correo de remisión de las áreas productoras de información a esta Dirección.</w:t>
            </w:r>
          </w:p>
        </w:tc>
      </w:tr>
    </w:tbl>
    <w:p w14:paraId="31EC837A" w14:textId="77777777" w:rsidR="00561B22" w:rsidRDefault="00561B22" w:rsidP="00561B22">
      <w:pPr>
        <w:jc w:val="both"/>
        <w:rPr>
          <w:rFonts w:ascii="Arial" w:hAnsi="Arial" w:cs="Arial"/>
          <w:b/>
          <w:lang w:val="es-MX"/>
        </w:rPr>
      </w:pPr>
    </w:p>
    <w:p w14:paraId="597C9C16" w14:textId="77777777" w:rsidR="00561B22" w:rsidRPr="00F85253" w:rsidRDefault="00561B22" w:rsidP="00561B22">
      <w:pPr>
        <w:jc w:val="both"/>
        <w:rPr>
          <w:rFonts w:ascii="Arial" w:hAnsi="Arial" w:cs="Arial"/>
          <w:b/>
          <w:lang w:val="es-MX"/>
        </w:rPr>
      </w:pPr>
      <w:r w:rsidRPr="00F85253">
        <w:rPr>
          <w:rFonts w:ascii="Arial" w:hAnsi="Arial" w:cs="Arial"/>
          <w:b/>
          <w:lang w:val="es-MX"/>
        </w:rPr>
        <w:t>Del citado informe retomamos las siguientes recomendaciones:</w:t>
      </w:r>
    </w:p>
    <w:p w14:paraId="1C7CDDBF" w14:textId="77777777" w:rsidR="00561B22" w:rsidRPr="00F8525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85253" w14:paraId="55AE1443" w14:textId="77777777" w:rsidTr="00F1223B">
        <w:tc>
          <w:tcPr>
            <w:tcW w:w="562" w:type="dxa"/>
          </w:tcPr>
          <w:p w14:paraId="7D53B57C" w14:textId="77777777" w:rsidR="00561B22" w:rsidRPr="00F85253" w:rsidRDefault="00561B22" w:rsidP="00F1223B">
            <w:pPr>
              <w:ind w:right="-109"/>
              <w:jc w:val="center"/>
              <w:rPr>
                <w:rFonts w:ascii="Arial" w:hAnsi="Arial" w:cs="Arial"/>
                <w:b/>
                <w:sz w:val="22"/>
                <w:szCs w:val="22"/>
                <w:lang w:val="es-MX"/>
              </w:rPr>
            </w:pPr>
            <w:r w:rsidRPr="00F85253">
              <w:rPr>
                <w:rFonts w:ascii="Arial" w:hAnsi="Arial" w:cs="Arial"/>
                <w:b/>
                <w:sz w:val="22"/>
                <w:szCs w:val="22"/>
                <w:lang w:val="es-MX"/>
              </w:rPr>
              <w:t>N°</w:t>
            </w:r>
          </w:p>
        </w:tc>
        <w:tc>
          <w:tcPr>
            <w:tcW w:w="9400" w:type="dxa"/>
          </w:tcPr>
          <w:p w14:paraId="0F6652BB" w14:textId="77777777" w:rsidR="00561B22" w:rsidRPr="00F85253" w:rsidRDefault="00561B22" w:rsidP="00F1223B">
            <w:pPr>
              <w:jc w:val="center"/>
              <w:rPr>
                <w:rFonts w:ascii="Arial" w:hAnsi="Arial" w:cs="Arial"/>
                <w:b/>
                <w:sz w:val="22"/>
                <w:szCs w:val="22"/>
                <w:lang w:val="es-MX"/>
              </w:rPr>
            </w:pPr>
            <w:r w:rsidRPr="00F85253">
              <w:rPr>
                <w:rFonts w:ascii="Arial" w:hAnsi="Arial" w:cs="Arial"/>
                <w:b/>
                <w:sz w:val="22"/>
                <w:szCs w:val="22"/>
                <w:lang w:val="es-MX"/>
              </w:rPr>
              <w:t>RECOMENDACIONES</w:t>
            </w:r>
          </w:p>
          <w:p w14:paraId="63808D00" w14:textId="77777777" w:rsidR="00561B22" w:rsidRPr="00F85253" w:rsidRDefault="00561B22" w:rsidP="00F1223B">
            <w:pPr>
              <w:jc w:val="center"/>
              <w:rPr>
                <w:rFonts w:ascii="Arial" w:hAnsi="Arial" w:cs="Arial"/>
                <w:b/>
                <w:sz w:val="22"/>
                <w:szCs w:val="22"/>
                <w:lang w:val="es-MX"/>
              </w:rPr>
            </w:pPr>
          </w:p>
        </w:tc>
      </w:tr>
      <w:tr w:rsidR="00561B22" w:rsidRPr="00F85253" w14:paraId="5B2A85A7" w14:textId="77777777" w:rsidTr="00F1223B">
        <w:tc>
          <w:tcPr>
            <w:tcW w:w="562" w:type="dxa"/>
          </w:tcPr>
          <w:p w14:paraId="124C3153" w14:textId="77777777" w:rsidR="00561B22" w:rsidRPr="00F85253" w:rsidRDefault="00561B22" w:rsidP="00F1223B">
            <w:pPr>
              <w:jc w:val="center"/>
              <w:rPr>
                <w:rFonts w:ascii="Arial" w:hAnsi="Arial" w:cs="Arial"/>
                <w:b/>
                <w:sz w:val="22"/>
                <w:szCs w:val="22"/>
                <w:lang w:val="es-MX"/>
              </w:rPr>
            </w:pPr>
            <w:r w:rsidRPr="00F85253">
              <w:rPr>
                <w:rFonts w:ascii="Arial" w:hAnsi="Arial" w:cs="Arial"/>
                <w:b/>
                <w:sz w:val="22"/>
                <w:szCs w:val="22"/>
                <w:lang w:val="es-MX"/>
              </w:rPr>
              <w:t>1</w:t>
            </w:r>
          </w:p>
        </w:tc>
        <w:tc>
          <w:tcPr>
            <w:tcW w:w="9400" w:type="dxa"/>
          </w:tcPr>
          <w:p w14:paraId="100CEE9C" w14:textId="77777777" w:rsidR="00561B22" w:rsidRPr="00F85253" w:rsidRDefault="00561B22" w:rsidP="00F1223B">
            <w:pPr>
              <w:jc w:val="both"/>
              <w:rPr>
                <w:rFonts w:ascii="Arial" w:hAnsi="Arial" w:cs="Arial"/>
                <w:bCs/>
                <w:sz w:val="22"/>
                <w:szCs w:val="22"/>
                <w:lang w:val="es-MX"/>
              </w:rPr>
            </w:pPr>
            <w:r w:rsidRPr="00F85253">
              <w:rPr>
                <w:rFonts w:ascii="Arial" w:hAnsi="Arial" w:cs="Arial"/>
                <w:bCs/>
                <w:sz w:val="22"/>
                <w:szCs w:val="22"/>
                <w:lang w:val="es-MX"/>
              </w:rPr>
              <w:t>Fortalecer los mecanismos de control para garantizar el cumplimiento oportuno de las fechas de entrega de la información a la Dirección de Contabilidad.</w:t>
            </w:r>
          </w:p>
        </w:tc>
      </w:tr>
      <w:tr w:rsidR="00561B22" w:rsidRPr="00F85253" w14:paraId="395ED22D" w14:textId="77777777" w:rsidTr="00F1223B">
        <w:tc>
          <w:tcPr>
            <w:tcW w:w="562" w:type="dxa"/>
          </w:tcPr>
          <w:p w14:paraId="09562D3D" w14:textId="77777777" w:rsidR="00561B22" w:rsidRPr="00F85253" w:rsidRDefault="00561B22" w:rsidP="00F1223B">
            <w:pPr>
              <w:jc w:val="center"/>
              <w:rPr>
                <w:rFonts w:ascii="Arial" w:hAnsi="Arial" w:cs="Arial"/>
                <w:b/>
                <w:sz w:val="22"/>
                <w:szCs w:val="22"/>
                <w:lang w:val="es-MX"/>
              </w:rPr>
            </w:pPr>
            <w:r w:rsidRPr="00F85253">
              <w:rPr>
                <w:rFonts w:ascii="Arial" w:hAnsi="Arial" w:cs="Arial"/>
                <w:b/>
                <w:sz w:val="22"/>
                <w:szCs w:val="22"/>
                <w:lang w:val="es-MX"/>
              </w:rPr>
              <w:t>2</w:t>
            </w:r>
          </w:p>
        </w:tc>
        <w:tc>
          <w:tcPr>
            <w:tcW w:w="9400" w:type="dxa"/>
          </w:tcPr>
          <w:p w14:paraId="4A124145" w14:textId="77777777" w:rsidR="00561B22" w:rsidRPr="00F85253" w:rsidRDefault="00561B22" w:rsidP="00F1223B">
            <w:pPr>
              <w:jc w:val="both"/>
              <w:rPr>
                <w:rFonts w:ascii="Arial" w:hAnsi="Arial" w:cs="Arial"/>
                <w:bCs/>
                <w:sz w:val="22"/>
                <w:szCs w:val="22"/>
                <w:lang w:val="es-MX"/>
              </w:rPr>
            </w:pPr>
            <w:r w:rsidRPr="00F85253">
              <w:rPr>
                <w:rFonts w:ascii="Arial" w:hAnsi="Arial" w:cs="Arial"/>
                <w:bCs/>
                <w:sz w:val="22"/>
                <w:szCs w:val="22"/>
                <w:lang w:val="es-MX"/>
              </w:rPr>
              <w:t xml:space="preserve">Incluir programas de formación dirigidos al fortalecimiento de las habilidades y competencias específicas del personal vinculado al proceso contable Ampliar el alcance del Plan de </w:t>
            </w:r>
            <w:r w:rsidRPr="00F85253">
              <w:rPr>
                <w:rFonts w:ascii="Arial" w:hAnsi="Arial" w:cs="Arial"/>
                <w:bCs/>
                <w:sz w:val="22"/>
                <w:szCs w:val="22"/>
                <w:lang w:val="es-MX"/>
              </w:rPr>
              <w:lastRenderedPageBreak/>
              <w:t>Capacitación, para incluir no solo al personal vinculado a la Dirección de Contabilidad, sino también a los funcionarios de las áreas productoras de información contable.</w:t>
            </w:r>
          </w:p>
        </w:tc>
      </w:tr>
    </w:tbl>
    <w:p w14:paraId="05B1E796" w14:textId="77777777" w:rsidR="00561B22" w:rsidRPr="00F85253" w:rsidRDefault="00561B22" w:rsidP="00561B22">
      <w:pPr>
        <w:pStyle w:val="Textoindependiente"/>
        <w:ind w:right="-50"/>
        <w:jc w:val="both"/>
        <w:rPr>
          <w:rFonts w:ascii="Arial" w:hAnsi="Arial" w:cs="Arial"/>
          <w:b/>
          <w:bCs/>
        </w:rPr>
      </w:pPr>
    </w:p>
    <w:p w14:paraId="150E13CD" w14:textId="77777777" w:rsidR="00561B22" w:rsidRPr="00F85253" w:rsidRDefault="00561B22" w:rsidP="00561B22">
      <w:pPr>
        <w:jc w:val="both"/>
        <w:rPr>
          <w:rFonts w:ascii="Arial" w:hAnsi="Arial" w:cs="Arial"/>
          <w:b/>
          <w:bCs/>
          <w:sz w:val="24"/>
          <w:szCs w:val="24"/>
          <w:lang w:val="es-CO"/>
        </w:rPr>
      </w:pPr>
      <w:r w:rsidRPr="00F85253">
        <w:rPr>
          <w:rFonts w:ascii="Arial" w:hAnsi="Arial" w:cs="Arial"/>
          <w:b/>
          <w:bCs/>
          <w:sz w:val="24"/>
          <w:szCs w:val="24"/>
          <w:lang w:val="es-CO"/>
        </w:rPr>
        <w:t xml:space="preserve">NOTA: LA ENTIDAD ENVÍA LA MATRIZ DE AUTOEVALUACIÓN DEL SISTEMA DE CONTROL INTERNO CONTABLE CON </w:t>
      </w:r>
      <w:r w:rsidRPr="00F85253">
        <w:rPr>
          <w:rFonts w:ascii="Arial" w:hAnsi="Arial" w:cs="Arial"/>
          <w:b/>
          <w:bCs/>
          <w:sz w:val="24"/>
          <w:szCs w:val="24"/>
          <w:u w:val="single"/>
          <w:lang w:val="es-CO"/>
        </w:rPr>
        <w:t>ACTIVIDADES DE CONTROL REALIZADAS EN FORMA PARCIAL</w:t>
      </w:r>
      <w:r w:rsidRPr="00F85253">
        <w:rPr>
          <w:rFonts w:ascii="Arial" w:hAnsi="Arial" w:cs="Arial"/>
          <w:b/>
          <w:bCs/>
          <w:sz w:val="24"/>
          <w:szCs w:val="24"/>
          <w:lang w:val="es-CO"/>
        </w:rPr>
        <w:t>.</w:t>
      </w:r>
    </w:p>
    <w:p w14:paraId="581A5CB0" w14:textId="77777777" w:rsidR="00561B22" w:rsidRDefault="00561B22" w:rsidP="00561B22">
      <w:pPr>
        <w:pStyle w:val="Ttulo1"/>
        <w:spacing w:before="93"/>
        <w:ind w:right="-50"/>
        <w:jc w:val="left"/>
        <w:rPr>
          <w:sz w:val="28"/>
          <w:szCs w:val="28"/>
        </w:rPr>
      </w:pPr>
    </w:p>
    <w:p w14:paraId="0662B524" w14:textId="77777777" w:rsidR="00561B22" w:rsidRPr="003E0539" w:rsidRDefault="00561B22" w:rsidP="00561B22">
      <w:pPr>
        <w:jc w:val="both"/>
        <w:rPr>
          <w:rFonts w:ascii="Arial" w:hAnsi="Arial" w:cs="Arial"/>
          <w:b/>
          <w:sz w:val="28"/>
          <w:szCs w:val="28"/>
          <w:lang w:val="es-MX"/>
        </w:rPr>
      </w:pPr>
      <w:r w:rsidRPr="003E0539">
        <w:rPr>
          <w:rFonts w:ascii="Arial" w:hAnsi="Arial" w:cs="Arial"/>
          <w:b/>
          <w:sz w:val="28"/>
          <w:szCs w:val="28"/>
          <w:lang w:val="es-MX"/>
        </w:rPr>
        <w:t>319.- REFINERÍA DE CARTAGENA S.A.S. – REFICAR.</w:t>
      </w:r>
    </w:p>
    <w:p w14:paraId="13CBDA75" w14:textId="77777777" w:rsidR="00561B22" w:rsidRDefault="00561B22" w:rsidP="00561B22">
      <w:pPr>
        <w:jc w:val="both"/>
        <w:rPr>
          <w:rFonts w:ascii="Arial" w:hAnsi="Arial" w:cs="Arial"/>
          <w:b/>
          <w:sz w:val="28"/>
          <w:szCs w:val="28"/>
          <w:lang w:val="es-MX"/>
        </w:rPr>
      </w:pPr>
    </w:p>
    <w:p w14:paraId="0E886CB6" w14:textId="77777777" w:rsidR="00561B22" w:rsidRPr="00B43E57" w:rsidRDefault="00561B22" w:rsidP="00561B22">
      <w:pPr>
        <w:jc w:val="center"/>
        <w:rPr>
          <w:rFonts w:ascii="Arial" w:hAnsi="Arial" w:cs="Arial"/>
          <w:b/>
          <w:lang w:val="es-MX"/>
        </w:rPr>
      </w:pPr>
      <w:r w:rsidRPr="00B43E57">
        <w:rPr>
          <w:rFonts w:ascii="Arial" w:hAnsi="Arial" w:cs="Arial"/>
          <w:b/>
          <w:lang w:val="es-MX"/>
        </w:rPr>
        <w:t>INFORME DE LA AUTOCALIFICACIÓN DEL SISTEMA DE CONTROL INTERNO CONTABLE:</w:t>
      </w:r>
    </w:p>
    <w:p w14:paraId="22BF2A0E" w14:textId="77777777" w:rsidR="00561B22" w:rsidRPr="00B43E57"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B43E57" w14:paraId="3627C858" w14:textId="77777777" w:rsidTr="00F1223B">
        <w:tc>
          <w:tcPr>
            <w:tcW w:w="4981" w:type="dxa"/>
          </w:tcPr>
          <w:p w14:paraId="1ABD2DCF" w14:textId="77777777" w:rsidR="00561B22" w:rsidRPr="00B43E57" w:rsidRDefault="00561B22" w:rsidP="00F1223B">
            <w:pPr>
              <w:jc w:val="center"/>
              <w:rPr>
                <w:rFonts w:ascii="Arial" w:hAnsi="Arial" w:cs="Arial"/>
                <w:b/>
                <w:sz w:val="22"/>
                <w:szCs w:val="22"/>
                <w:lang w:val="es-MX"/>
              </w:rPr>
            </w:pPr>
            <w:r w:rsidRPr="00B43E57">
              <w:rPr>
                <w:rFonts w:ascii="Arial" w:hAnsi="Arial" w:cs="Arial"/>
                <w:b/>
                <w:sz w:val="22"/>
                <w:szCs w:val="22"/>
                <w:lang w:val="es-MX"/>
              </w:rPr>
              <w:t>AUTOCALIFICACIÓN</w:t>
            </w:r>
          </w:p>
        </w:tc>
        <w:tc>
          <w:tcPr>
            <w:tcW w:w="4981" w:type="dxa"/>
          </w:tcPr>
          <w:p w14:paraId="6693260E" w14:textId="77777777" w:rsidR="00561B22" w:rsidRPr="00B43E57" w:rsidRDefault="00561B22" w:rsidP="00F1223B">
            <w:pPr>
              <w:jc w:val="center"/>
              <w:rPr>
                <w:rFonts w:ascii="Arial" w:hAnsi="Arial" w:cs="Arial"/>
                <w:b/>
                <w:sz w:val="22"/>
                <w:szCs w:val="22"/>
                <w:u w:val="single"/>
                <w:lang w:val="es-MX"/>
              </w:rPr>
            </w:pPr>
            <w:r w:rsidRPr="00B43E57">
              <w:rPr>
                <w:rFonts w:ascii="Arial" w:hAnsi="Arial" w:cs="Arial"/>
                <w:b/>
                <w:sz w:val="22"/>
                <w:szCs w:val="22"/>
                <w:u w:val="single"/>
                <w:lang w:val="es-MX"/>
              </w:rPr>
              <w:t>4.97</w:t>
            </w:r>
          </w:p>
        </w:tc>
      </w:tr>
    </w:tbl>
    <w:p w14:paraId="2F3DA8F8" w14:textId="77777777" w:rsidR="00561B22" w:rsidRPr="00B43E57"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B43E57" w14:paraId="7F7C5C05" w14:textId="77777777" w:rsidTr="00F1223B">
        <w:tc>
          <w:tcPr>
            <w:tcW w:w="562" w:type="dxa"/>
          </w:tcPr>
          <w:p w14:paraId="6B87F321" w14:textId="77777777" w:rsidR="00561B22" w:rsidRPr="00B43E57" w:rsidRDefault="00561B22" w:rsidP="00F1223B">
            <w:pPr>
              <w:ind w:right="-109"/>
              <w:jc w:val="center"/>
              <w:rPr>
                <w:rFonts w:ascii="Arial" w:hAnsi="Arial" w:cs="Arial"/>
                <w:b/>
                <w:sz w:val="22"/>
                <w:szCs w:val="22"/>
                <w:lang w:val="es-MX"/>
              </w:rPr>
            </w:pPr>
            <w:r w:rsidRPr="00B43E57">
              <w:rPr>
                <w:rFonts w:ascii="Arial" w:hAnsi="Arial" w:cs="Arial"/>
                <w:b/>
                <w:sz w:val="22"/>
                <w:szCs w:val="22"/>
                <w:lang w:val="es-MX"/>
              </w:rPr>
              <w:t>N°</w:t>
            </w:r>
          </w:p>
        </w:tc>
        <w:tc>
          <w:tcPr>
            <w:tcW w:w="9400" w:type="dxa"/>
          </w:tcPr>
          <w:p w14:paraId="59872C4D" w14:textId="77777777" w:rsidR="00561B22" w:rsidRPr="00B43E57" w:rsidRDefault="00561B22" w:rsidP="00F1223B">
            <w:pPr>
              <w:jc w:val="center"/>
              <w:rPr>
                <w:rFonts w:ascii="Arial" w:hAnsi="Arial" w:cs="Arial"/>
                <w:b/>
                <w:sz w:val="22"/>
                <w:szCs w:val="22"/>
                <w:lang w:val="es-MX"/>
              </w:rPr>
            </w:pPr>
            <w:r w:rsidRPr="00B43E57">
              <w:rPr>
                <w:rFonts w:ascii="Arial" w:hAnsi="Arial" w:cs="Arial"/>
                <w:b/>
                <w:sz w:val="22"/>
                <w:szCs w:val="22"/>
                <w:lang w:val="es-MX"/>
              </w:rPr>
              <w:t>DEBILIDADES</w:t>
            </w:r>
          </w:p>
          <w:p w14:paraId="31BB74CB" w14:textId="77777777" w:rsidR="00561B22" w:rsidRPr="00B43E57" w:rsidRDefault="00561B22" w:rsidP="00F1223B">
            <w:pPr>
              <w:jc w:val="center"/>
              <w:rPr>
                <w:rFonts w:ascii="Arial" w:hAnsi="Arial" w:cs="Arial"/>
                <w:b/>
                <w:sz w:val="22"/>
                <w:szCs w:val="22"/>
                <w:lang w:val="es-MX"/>
              </w:rPr>
            </w:pPr>
          </w:p>
        </w:tc>
      </w:tr>
      <w:tr w:rsidR="00561B22" w:rsidRPr="00B43E57" w14:paraId="3FC8A6B3" w14:textId="77777777" w:rsidTr="00F1223B">
        <w:tc>
          <w:tcPr>
            <w:tcW w:w="562" w:type="dxa"/>
          </w:tcPr>
          <w:p w14:paraId="60E32892" w14:textId="77777777" w:rsidR="00561B22" w:rsidRPr="00B43E57" w:rsidRDefault="00561B22" w:rsidP="00F1223B">
            <w:pPr>
              <w:jc w:val="center"/>
              <w:rPr>
                <w:rFonts w:ascii="Arial" w:hAnsi="Arial" w:cs="Arial"/>
                <w:b/>
                <w:sz w:val="22"/>
                <w:szCs w:val="22"/>
                <w:lang w:val="es-MX"/>
              </w:rPr>
            </w:pPr>
            <w:r w:rsidRPr="00B43E57">
              <w:rPr>
                <w:rFonts w:ascii="Arial" w:hAnsi="Arial" w:cs="Arial"/>
                <w:b/>
                <w:sz w:val="22"/>
                <w:szCs w:val="22"/>
                <w:lang w:val="es-MX"/>
              </w:rPr>
              <w:t>1</w:t>
            </w:r>
          </w:p>
        </w:tc>
        <w:tc>
          <w:tcPr>
            <w:tcW w:w="9400" w:type="dxa"/>
          </w:tcPr>
          <w:p w14:paraId="05985384" w14:textId="77777777" w:rsidR="00561B22" w:rsidRPr="00B43E57" w:rsidRDefault="00561B22" w:rsidP="00F1223B">
            <w:pPr>
              <w:jc w:val="both"/>
              <w:rPr>
                <w:rFonts w:ascii="Arial" w:hAnsi="Arial" w:cs="Arial"/>
                <w:sz w:val="22"/>
                <w:szCs w:val="22"/>
                <w:lang w:val="es-MX"/>
              </w:rPr>
            </w:pPr>
            <w:r w:rsidRPr="00B43E57">
              <w:rPr>
                <w:rFonts w:ascii="Arial" w:hAnsi="Arial" w:cs="Arial"/>
                <w:sz w:val="22"/>
                <w:szCs w:val="22"/>
                <w:lang w:val="es-MX"/>
              </w:rPr>
              <w:t>Si bien se observó debilidad en el control RFCSGY1.2CT4, en el marco de pruebas de gerencia, se establecieron acciones de remediación por parte del proceso.</w:t>
            </w:r>
          </w:p>
        </w:tc>
      </w:tr>
    </w:tbl>
    <w:p w14:paraId="0FB00044" w14:textId="77777777" w:rsidR="00561B22" w:rsidRPr="00B43E57" w:rsidRDefault="00561B22" w:rsidP="00561B22">
      <w:pPr>
        <w:jc w:val="both"/>
        <w:rPr>
          <w:rFonts w:ascii="Arial" w:hAnsi="Arial" w:cs="Arial"/>
          <w:b/>
          <w:lang w:val="es-MX"/>
        </w:rPr>
      </w:pPr>
    </w:p>
    <w:p w14:paraId="6E06DF02" w14:textId="77777777" w:rsidR="00561B22" w:rsidRPr="00B43E57" w:rsidRDefault="00561B22" w:rsidP="00561B22">
      <w:pPr>
        <w:jc w:val="both"/>
        <w:rPr>
          <w:rFonts w:ascii="Arial" w:hAnsi="Arial" w:cs="Arial"/>
          <w:b/>
          <w:lang w:val="es-MX"/>
        </w:rPr>
      </w:pPr>
      <w:r w:rsidRPr="00B43E57">
        <w:rPr>
          <w:rFonts w:ascii="Arial" w:hAnsi="Arial" w:cs="Arial"/>
          <w:b/>
          <w:lang w:val="es-MX"/>
        </w:rPr>
        <w:t>Del citado informe retomamos las siguientes recomendaciones:</w:t>
      </w:r>
    </w:p>
    <w:p w14:paraId="18A6334F" w14:textId="77777777" w:rsidR="00561B22" w:rsidRPr="00B43E57"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B43E57" w14:paraId="0E4F4341" w14:textId="77777777" w:rsidTr="00F1223B">
        <w:tc>
          <w:tcPr>
            <w:tcW w:w="562" w:type="dxa"/>
          </w:tcPr>
          <w:p w14:paraId="3B0B209C" w14:textId="77777777" w:rsidR="00561B22" w:rsidRPr="00B43E57" w:rsidRDefault="00561B22" w:rsidP="00F1223B">
            <w:pPr>
              <w:ind w:right="-109"/>
              <w:jc w:val="center"/>
              <w:rPr>
                <w:rFonts w:ascii="Arial" w:hAnsi="Arial" w:cs="Arial"/>
                <w:b/>
                <w:sz w:val="22"/>
                <w:szCs w:val="22"/>
                <w:lang w:val="es-MX"/>
              </w:rPr>
            </w:pPr>
            <w:r w:rsidRPr="00B43E57">
              <w:rPr>
                <w:rFonts w:ascii="Arial" w:hAnsi="Arial" w:cs="Arial"/>
                <w:b/>
                <w:sz w:val="22"/>
                <w:szCs w:val="22"/>
                <w:lang w:val="es-MX"/>
              </w:rPr>
              <w:t>N°</w:t>
            </w:r>
          </w:p>
        </w:tc>
        <w:tc>
          <w:tcPr>
            <w:tcW w:w="9400" w:type="dxa"/>
          </w:tcPr>
          <w:p w14:paraId="34EEE261" w14:textId="77777777" w:rsidR="00561B22" w:rsidRPr="00B43E57" w:rsidRDefault="00561B22" w:rsidP="00F1223B">
            <w:pPr>
              <w:jc w:val="center"/>
              <w:rPr>
                <w:rFonts w:ascii="Arial" w:hAnsi="Arial" w:cs="Arial"/>
                <w:b/>
                <w:sz w:val="22"/>
                <w:szCs w:val="22"/>
                <w:lang w:val="es-MX"/>
              </w:rPr>
            </w:pPr>
            <w:r w:rsidRPr="00B43E57">
              <w:rPr>
                <w:rFonts w:ascii="Arial" w:hAnsi="Arial" w:cs="Arial"/>
                <w:b/>
                <w:sz w:val="22"/>
                <w:szCs w:val="22"/>
                <w:lang w:val="es-MX"/>
              </w:rPr>
              <w:t>RECOMENDACIONES</w:t>
            </w:r>
          </w:p>
          <w:p w14:paraId="4B6F77AF" w14:textId="77777777" w:rsidR="00561B22" w:rsidRPr="00B43E57" w:rsidRDefault="00561B22" w:rsidP="00F1223B">
            <w:pPr>
              <w:jc w:val="center"/>
              <w:rPr>
                <w:rFonts w:ascii="Arial" w:hAnsi="Arial" w:cs="Arial"/>
                <w:b/>
                <w:sz w:val="22"/>
                <w:szCs w:val="22"/>
                <w:lang w:val="es-MX"/>
              </w:rPr>
            </w:pPr>
          </w:p>
        </w:tc>
      </w:tr>
      <w:tr w:rsidR="00561B22" w:rsidRPr="00B43E57" w14:paraId="40EFE575" w14:textId="77777777" w:rsidTr="00F1223B">
        <w:tc>
          <w:tcPr>
            <w:tcW w:w="562" w:type="dxa"/>
          </w:tcPr>
          <w:p w14:paraId="11D3BD74" w14:textId="77777777" w:rsidR="00561B22" w:rsidRPr="00B43E57" w:rsidRDefault="00561B22" w:rsidP="00F1223B">
            <w:pPr>
              <w:jc w:val="center"/>
              <w:rPr>
                <w:rFonts w:ascii="Arial" w:hAnsi="Arial" w:cs="Arial"/>
                <w:b/>
                <w:sz w:val="22"/>
                <w:szCs w:val="22"/>
                <w:lang w:val="es-MX"/>
              </w:rPr>
            </w:pPr>
            <w:r w:rsidRPr="00B43E57">
              <w:rPr>
                <w:rFonts w:ascii="Arial" w:hAnsi="Arial" w:cs="Arial"/>
                <w:b/>
                <w:sz w:val="22"/>
                <w:szCs w:val="22"/>
                <w:lang w:val="es-MX"/>
              </w:rPr>
              <w:t>1</w:t>
            </w:r>
          </w:p>
        </w:tc>
        <w:tc>
          <w:tcPr>
            <w:tcW w:w="9400" w:type="dxa"/>
          </w:tcPr>
          <w:p w14:paraId="0317BE65" w14:textId="77777777" w:rsidR="00561B22" w:rsidRPr="00B43E57" w:rsidRDefault="00561B22" w:rsidP="00F1223B">
            <w:pPr>
              <w:jc w:val="both"/>
              <w:rPr>
                <w:rFonts w:ascii="Arial" w:hAnsi="Arial" w:cs="Arial"/>
                <w:sz w:val="22"/>
                <w:szCs w:val="22"/>
                <w:lang w:val="es-MX"/>
              </w:rPr>
            </w:pPr>
            <w:r w:rsidRPr="00B43E57">
              <w:rPr>
                <w:rFonts w:ascii="Arial" w:hAnsi="Arial" w:cs="Arial"/>
                <w:sz w:val="22"/>
                <w:szCs w:val="22"/>
                <w:lang w:val="es-MX"/>
              </w:rPr>
              <w:t>Continuar con la rigurosidad en la ejecución de los controles de acuerdo con su diseño, así como la gestión de cualquier situación que pueda generar alguna deficiencia de control de los procesos contables y financieros. Considerar los resultados de pruebas de la gerencia para mejoras en la ejecución de proceso.</w:t>
            </w:r>
          </w:p>
        </w:tc>
      </w:tr>
    </w:tbl>
    <w:p w14:paraId="4E429F42" w14:textId="77777777" w:rsidR="00561B22" w:rsidRDefault="00561B22" w:rsidP="00561B22">
      <w:pPr>
        <w:jc w:val="both"/>
        <w:rPr>
          <w:rFonts w:ascii="Arial" w:hAnsi="Arial" w:cs="Arial"/>
          <w:b/>
          <w:sz w:val="28"/>
          <w:szCs w:val="28"/>
          <w:lang w:val="es-MX"/>
        </w:rPr>
      </w:pPr>
    </w:p>
    <w:p w14:paraId="6CE48B14" w14:textId="77777777" w:rsidR="00561B22" w:rsidRPr="00675BF9" w:rsidRDefault="00561B22" w:rsidP="00561B22">
      <w:pPr>
        <w:jc w:val="both"/>
        <w:rPr>
          <w:rFonts w:ascii="Arial" w:hAnsi="Arial" w:cs="Arial"/>
          <w:b/>
          <w:sz w:val="24"/>
          <w:szCs w:val="24"/>
          <w:lang w:val="es-MX"/>
        </w:rPr>
      </w:pPr>
      <w:r w:rsidRPr="00675BF9">
        <w:rPr>
          <w:rFonts w:ascii="Arial" w:hAnsi="Arial" w:cs="Arial"/>
          <w:b/>
          <w:sz w:val="28"/>
          <w:szCs w:val="28"/>
          <w:lang w:val="es-MX"/>
        </w:rPr>
        <w:t xml:space="preserve">NOTA: </w:t>
      </w:r>
      <w:r w:rsidRPr="00675BF9">
        <w:rPr>
          <w:rFonts w:ascii="Arial" w:hAnsi="Arial" w:cs="Arial"/>
          <w:b/>
          <w:sz w:val="24"/>
          <w:szCs w:val="24"/>
          <w:lang w:val="es-MX"/>
        </w:rPr>
        <w:t xml:space="preserve">LA ENTIDAD ENVÍA LA MATRIZ DE AUTOEVALUACIÓN DEL SISTEMA DE CONTROL INTERNO CONTABLE CON </w:t>
      </w:r>
      <w:r w:rsidRPr="00675BF9">
        <w:rPr>
          <w:rFonts w:ascii="Arial" w:hAnsi="Arial" w:cs="Arial"/>
          <w:b/>
          <w:sz w:val="24"/>
          <w:szCs w:val="24"/>
          <w:u w:val="single"/>
          <w:lang w:val="es-MX"/>
        </w:rPr>
        <w:t>ACTIVIDADES DE CONTROL REALIZADAS EN FORMA PARCIAL.</w:t>
      </w:r>
    </w:p>
    <w:p w14:paraId="16B871E2" w14:textId="77777777" w:rsidR="00561B22" w:rsidRDefault="00561B22" w:rsidP="00561B22">
      <w:pPr>
        <w:pStyle w:val="Ttulo1"/>
        <w:spacing w:before="93"/>
        <w:ind w:right="-50"/>
        <w:jc w:val="left"/>
        <w:rPr>
          <w:sz w:val="28"/>
          <w:szCs w:val="28"/>
          <w:lang w:val="es-MX"/>
        </w:rPr>
      </w:pPr>
    </w:p>
    <w:p w14:paraId="3CF5A911" w14:textId="77777777" w:rsidR="00561B22" w:rsidRPr="00AA0E99" w:rsidRDefault="00561B22" w:rsidP="00561B22">
      <w:pPr>
        <w:jc w:val="both"/>
        <w:rPr>
          <w:rFonts w:ascii="Arial" w:hAnsi="Arial" w:cs="Arial"/>
          <w:b/>
          <w:sz w:val="28"/>
          <w:szCs w:val="28"/>
          <w:lang w:val="es-MX"/>
        </w:rPr>
      </w:pPr>
      <w:r w:rsidRPr="00AA0E99">
        <w:rPr>
          <w:rFonts w:ascii="Arial" w:hAnsi="Arial" w:cs="Arial"/>
          <w:b/>
          <w:sz w:val="28"/>
          <w:szCs w:val="28"/>
          <w:lang w:val="es-MX"/>
        </w:rPr>
        <w:t xml:space="preserve">320.- E.S.E. CENTRO DERMATOLÓGICO FEDERÍCO LLERAS ACOSTA. </w:t>
      </w:r>
    </w:p>
    <w:p w14:paraId="3763D355" w14:textId="77777777" w:rsidR="00561B22" w:rsidRDefault="00561B22" w:rsidP="00561B22">
      <w:pPr>
        <w:pStyle w:val="Ttulo1"/>
        <w:spacing w:before="0"/>
        <w:ind w:right="-50"/>
        <w:jc w:val="left"/>
        <w:rPr>
          <w:sz w:val="28"/>
          <w:szCs w:val="28"/>
          <w:lang w:val="es-MX"/>
        </w:rPr>
      </w:pPr>
    </w:p>
    <w:p w14:paraId="0BAF3BC6" w14:textId="77777777" w:rsidR="00561B22" w:rsidRPr="00AA0E99" w:rsidRDefault="00561B22" w:rsidP="00561B22">
      <w:pPr>
        <w:pStyle w:val="Textoindependiente"/>
        <w:ind w:right="-50"/>
        <w:jc w:val="center"/>
        <w:rPr>
          <w:rFonts w:ascii="Arial" w:hAnsi="Arial" w:cs="Arial"/>
          <w:b/>
          <w:bCs/>
        </w:rPr>
      </w:pPr>
      <w:r w:rsidRPr="00AA0E99">
        <w:rPr>
          <w:rFonts w:ascii="Arial" w:hAnsi="Arial" w:cs="Arial"/>
          <w:b/>
          <w:bCs/>
        </w:rPr>
        <w:t>INFORME DE LA AUTOCALIFICACIÓN DEL SISTEMA DE CONTROL INTERNO CONTABLE:</w:t>
      </w:r>
    </w:p>
    <w:p w14:paraId="5C94D0E0" w14:textId="77777777" w:rsidR="00561B22" w:rsidRPr="00AA0E9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A0E99" w14:paraId="52E4DA52" w14:textId="77777777" w:rsidTr="00F1223B">
        <w:tc>
          <w:tcPr>
            <w:tcW w:w="4981" w:type="dxa"/>
          </w:tcPr>
          <w:p w14:paraId="541E192F"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AUTOCALIFICACIÓN</w:t>
            </w:r>
          </w:p>
        </w:tc>
        <w:tc>
          <w:tcPr>
            <w:tcW w:w="4981" w:type="dxa"/>
          </w:tcPr>
          <w:p w14:paraId="21B90AED" w14:textId="77777777" w:rsidR="00561B22" w:rsidRPr="00AA0E99" w:rsidRDefault="00561B22" w:rsidP="00F1223B">
            <w:pPr>
              <w:jc w:val="center"/>
              <w:rPr>
                <w:rFonts w:ascii="Arial" w:hAnsi="Arial" w:cs="Arial"/>
                <w:b/>
                <w:sz w:val="22"/>
                <w:szCs w:val="22"/>
                <w:u w:val="single"/>
                <w:lang w:val="es-MX"/>
              </w:rPr>
            </w:pPr>
            <w:r w:rsidRPr="00AA0E99">
              <w:rPr>
                <w:rFonts w:ascii="Arial" w:hAnsi="Arial" w:cs="Arial"/>
                <w:b/>
                <w:sz w:val="22"/>
                <w:szCs w:val="22"/>
                <w:u w:val="single"/>
                <w:lang w:val="es-MX"/>
              </w:rPr>
              <w:t>4.98</w:t>
            </w:r>
          </w:p>
        </w:tc>
      </w:tr>
    </w:tbl>
    <w:p w14:paraId="30986CC8" w14:textId="77777777" w:rsidR="00561B22" w:rsidRPr="00AA0E99" w:rsidRDefault="00561B22" w:rsidP="00561B22">
      <w:pPr>
        <w:pStyle w:val="Textoindependiente"/>
        <w:ind w:right="-50"/>
        <w:jc w:val="both"/>
        <w:rPr>
          <w:rFonts w:ascii="Arial" w:hAnsi="Arial" w:cs="Arial"/>
          <w:b/>
          <w:bCs/>
        </w:rPr>
      </w:pPr>
    </w:p>
    <w:p w14:paraId="62920B32" w14:textId="77777777" w:rsidR="00561B22" w:rsidRPr="00AA0E99" w:rsidRDefault="00561B22" w:rsidP="00561B22">
      <w:pPr>
        <w:pStyle w:val="Textoindependiente"/>
        <w:ind w:right="-50"/>
        <w:jc w:val="both"/>
        <w:rPr>
          <w:rFonts w:ascii="Arial" w:hAnsi="Arial" w:cs="Arial"/>
          <w:b/>
          <w:bCs/>
        </w:rPr>
      </w:pPr>
      <w:r w:rsidRPr="00AA0E99">
        <w:rPr>
          <w:rFonts w:ascii="Arial" w:hAnsi="Arial" w:cs="Arial"/>
          <w:b/>
          <w:bCs/>
        </w:rPr>
        <w:t>Del informe enviado retomamos lo siguiente:</w:t>
      </w:r>
    </w:p>
    <w:p w14:paraId="17C47580" w14:textId="77777777" w:rsidR="00561B22" w:rsidRPr="00AA0E99"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A0E99" w14:paraId="08F724B3" w14:textId="77777777" w:rsidTr="00F1223B">
        <w:tc>
          <w:tcPr>
            <w:tcW w:w="562" w:type="dxa"/>
          </w:tcPr>
          <w:p w14:paraId="66DC7E66" w14:textId="77777777" w:rsidR="00561B22" w:rsidRPr="00AA0E99" w:rsidRDefault="00561B22" w:rsidP="00F1223B">
            <w:pPr>
              <w:ind w:right="-109"/>
              <w:jc w:val="center"/>
              <w:rPr>
                <w:rFonts w:ascii="Arial" w:hAnsi="Arial" w:cs="Arial"/>
                <w:b/>
                <w:sz w:val="22"/>
                <w:szCs w:val="22"/>
                <w:lang w:val="es-MX"/>
              </w:rPr>
            </w:pPr>
            <w:r w:rsidRPr="00AA0E99">
              <w:rPr>
                <w:rFonts w:ascii="Arial" w:hAnsi="Arial" w:cs="Arial"/>
                <w:b/>
                <w:sz w:val="22"/>
                <w:szCs w:val="22"/>
                <w:lang w:val="es-MX"/>
              </w:rPr>
              <w:t>N°</w:t>
            </w:r>
          </w:p>
        </w:tc>
        <w:tc>
          <w:tcPr>
            <w:tcW w:w="9400" w:type="dxa"/>
          </w:tcPr>
          <w:p w14:paraId="33E9F329"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DEBILIDADES</w:t>
            </w:r>
          </w:p>
          <w:p w14:paraId="31223926" w14:textId="77777777" w:rsidR="00561B22" w:rsidRPr="00AA0E99" w:rsidRDefault="00561B22" w:rsidP="00F1223B">
            <w:pPr>
              <w:jc w:val="center"/>
              <w:rPr>
                <w:rFonts w:ascii="Arial" w:hAnsi="Arial" w:cs="Arial"/>
                <w:b/>
                <w:sz w:val="22"/>
                <w:szCs w:val="22"/>
                <w:lang w:val="es-MX"/>
              </w:rPr>
            </w:pPr>
          </w:p>
        </w:tc>
      </w:tr>
      <w:tr w:rsidR="00561B22" w:rsidRPr="00AA0E99" w14:paraId="63508B30" w14:textId="77777777" w:rsidTr="00F1223B">
        <w:tc>
          <w:tcPr>
            <w:tcW w:w="562" w:type="dxa"/>
          </w:tcPr>
          <w:p w14:paraId="0C479BDB"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1</w:t>
            </w:r>
          </w:p>
        </w:tc>
        <w:tc>
          <w:tcPr>
            <w:tcW w:w="9400" w:type="dxa"/>
          </w:tcPr>
          <w:p w14:paraId="3232D635"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Falta de recurso Humano para realizar las actividades propias de contabilidad.</w:t>
            </w:r>
          </w:p>
        </w:tc>
      </w:tr>
      <w:tr w:rsidR="00561B22" w:rsidRPr="00AA0E99" w14:paraId="2CFB6EBF" w14:textId="77777777" w:rsidTr="00F1223B">
        <w:tc>
          <w:tcPr>
            <w:tcW w:w="562" w:type="dxa"/>
          </w:tcPr>
          <w:p w14:paraId="23F8ABC6"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2</w:t>
            </w:r>
          </w:p>
        </w:tc>
        <w:tc>
          <w:tcPr>
            <w:tcW w:w="9400" w:type="dxa"/>
          </w:tcPr>
          <w:p w14:paraId="15E27DA9"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Se deben realizar capacitaciones permanentes de acuerdo con las funciones que desempeña cada uno de los perfiles.</w:t>
            </w:r>
          </w:p>
        </w:tc>
      </w:tr>
      <w:tr w:rsidR="00561B22" w:rsidRPr="00AA0E99" w14:paraId="1DD0EFEB" w14:textId="77777777" w:rsidTr="00F1223B">
        <w:tc>
          <w:tcPr>
            <w:tcW w:w="562" w:type="dxa"/>
          </w:tcPr>
          <w:p w14:paraId="44D471A0"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3</w:t>
            </w:r>
          </w:p>
        </w:tc>
        <w:tc>
          <w:tcPr>
            <w:tcW w:w="9400" w:type="dxa"/>
          </w:tcPr>
          <w:p w14:paraId="2517D19B"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Falta parametrización de los módulos que alimentan la cadena financiera para dar inicio al funcionamiento del módulo de costos de la entidad.</w:t>
            </w:r>
          </w:p>
        </w:tc>
      </w:tr>
      <w:tr w:rsidR="00561B22" w:rsidRPr="00AA0E99" w14:paraId="77E9E2C7" w14:textId="77777777" w:rsidTr="00F1223B">
        <w:tc>
          <w:tcPr>
            <w:tcW w:w="562" w:type="dxa"/>
          </w:tcPr>
          <w:p w14:paraId="7390BE38"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4</w:t>
            </w:r>
          </w:p>
        </w:tc>
        <w:tc>
          <w:tcPr>
            <w:tcW w:w="9400" w:type="dxa"/>
          </w:tcPr>
          <w:p w14:paraId="12DE5EDC"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La información del módulo de activos fijos se encuentra desactualizada, la base de datos es manejada de forma manual en archivo Excel con las depreciaciones.</w:t>
            </w:r>
          </w:p>
        </w:tc>
      </w:tr>
      <w:tr w:rsidR="00561B22" w:rsidRPr="00AA0E99" w14:paraId="35967160" w14:textId="77777777" w:rsidTr="00F1223B">
        <w:tc>
          <w:tcPr>
            <w:tcW w:w="562" w:type="dxa"/>
          </w:tcPr>
          <w:p w14:paraId="62ADE9B9"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5</w:t>
            </w:r>
          </w:p>
        </w:tc>
        <w:tc>
          <w:tcPr>
            <w:tcW w:w="9400" w:type="dxa"/>
          </w:tcPr>
          <w:p w14:paraId="44EC3ABE"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El personal contratado para algunas actividades no cumple con el perfil.</w:t>
            </w:r>
          </w:p>
        </w:tc>
      </w:tr>
      <w:tr w:rsidR="00561B22" w:rsidRPr="00AA0E99" w14:paraId="05D92DC8" w14:textId="77777777" w:rsidTr="00F1223B">
        <w:tc>
          <w:tcPr>
            <w:tcW w:w="562" w:type="dxa"/>
          </w:tcPr>
          <w:p w14:paraId="67884E5C"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lastRenderedPageBreak/>
              <w:t>6</w:t>
            </w:r>
          </w:p>
        </w:tc>
        <w:tc>
          <w:tcPr>
            <w:tcW w:w="9400" w:type="dxa"/>
          </w:tcPr>
          <w:p w14:paraId="7332FB22"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Se presentan dificultades en la sistematización para la aplicación de nuevas normas.</w:t>
            </w:r>
          </w:p>
        </w:tc>
      </w:tr>
    </w:tbl>
    <w:p w14:paraId="77BE10D1" w14:textId="77777777" w:rsidR="00561B22" w:rsidRPr="00AA0E99" w:rsidRDefault="00561B22" w:rsidP="00561B22">
      <w:pPr>
        <w:pStyle w:val="Textoindependiente"/>
        <w:ind w:right="-50"/>
        <w:jc w:val="both"/>
        <w:rPr>
          <w:rFonts w:ascii="Arial" w:hAnsi="Arial" w:cs="Arial"/>
          <w:b/>
          <w:bCs/>
        </w:rPr>
      </w:pPr>
    </w:p>
    <w:p w14:paraId="519826D9" w14:textId="77777777" w:rsidR="00561B22" w:rsidRPr="00AA0E99" w:rsidRDefault="00561B22" w:rsidP="00561B22">
      <w:pPr>
        <w:jc w:val="both"/>
        <w:rPr>
          <w:rFonts w:ascii="Arial" w:hAnsi="Arial" w:cs="Arial"/>
          <w:b/>
          <w:lang w:val="es-MX"/>
        </w:rPr>
      </w:pPr>
      <w:r w:rsidRPr="00AA0E99">
        <w:rPr>
          <w:rFonts w:ascii="Arial" w:hAnsi="Arial" w:cs="Arial"/>
          <w:b/>
          <w:lang w:val="es-MX"/>
        </w:rPr>
        <w:t>Del citado informe retomamos las siguientes recomendaciones:</w:t>
      </w:r>
    </w:p>
    <w:p w14:paraId="551735A9" w14:textId="77777777" w:rsidR="00561B22" w:rsidRPr="00AA0E99"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AA0E99" w14:paraId="1220CF46" w14:textId="77777777" w:rsidTr="00F1223B">
        <w:tc>
          <w:tcPr>
            <w:tcW w:w="562" w:type="dxa"/>
          </w:tcPr>
          <w:p w14:paraId="767284A2" w14:textId="77777777" w:rsidR="00561B22" w:rsidRPr="00AA0E99" w:rsidRDefault="00561B22" w:rsidP="00F1223B">
            <w:pPr>
              <w:ind w:right="-109"/>
              <w:jc w:val="center"/>
              <w:rPr>
                <w:rFonts w:ascii="Arial" w:hAnsi="Arial" w:cs="Arial"/>
                <w:b/>
                <w:sz w:val="22"/>
                <w:szCs w:val="22"/>
                <w:lang w:val="es-MX"/>
              </w:rPr>
            </w:pPr>
            <w:r w:rsidRPr="00AA0E99">
              <w:rPr>
                <w:rFonts w:ascii="Arial" w:hAnsi="Arial" w:cs="Arial"/>
                <w:b/>
                <w:sz w:val="22"/>
                <w:szCs w:val="22"/>
                <w:lang w:val="es-MX"/>
              </w:rPr>
              <w:t>N°</w:t>
            </w:r>
          </w:p>
        </w:tc>
        <w:tc>
          <w:tcPr>
            <w:tcW w:w="9400" w:type="dxa"/>
          </w:tcPr>
          <w:p w14:paraId="22573ECD"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RECOMENDACIONES</w:t>
            </w:r>
          </w:p>
          <w:p w14:paraId="0811135F" w14:textId="77777777" w:rsidR="00561B22" w:rsidRPr="00AA0E99" w:rsidRDefault="00561B22" w:rsidP="00F1223B">
            <w:pPr>
              <w:jc w:val="center"/>
              <w:rPr>
                <w:rFonts w:ascii="Arial" w:hAnsi="Arial" w:cs="Arial"/>
                <w:b/>
                <w:sz w:val="22"/>
                <w:szCs w:val="22"/>
                <w:lang w:val="es-MX"/>
              </w:rPr>
            </w:pPr>
          </w:p>
        </w:tc>
      </w:tr>
      <w:tr w:rsidR="00561B22" w:rsidRPr="00AA0E99" w14:paraId="1399D1A9" w14:textId="77777777" w:rsidTr="00F1223B">
        <w:tc>
          <w:tcPr>
            <w:tcW w:w="562" w:type="dxa"/>
          </w:tcPr>
          <w:p w14:paraId="0FBC66E8"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1</w:t>
            </w:r>
          </w:p>
        </w:tc>
        <w:tc>
          <w:tcPr>
            <w:tcW w:w="9400" w:type="dxa"/>
          </w:tcPr>
          <w:p w14:paraId="49C487C8"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Se recomienda actualizar y parametrizar la información del módulo de activos fijos, se evidenció que en el Plan de Mejoramiento institucional se encuentra el plan de mejora No. 229 de la Revisoría Fiscal de la entidad y el hallazgo No.544 de la Contraloría General de la República relacionados con el tema de Activos Fijos, por lo cual, se conmina al cumplimiento de los PM dentro de los plazos establecidos por el ente fiscalizador y el ente de control.</w:t>
            </w:r>
          </w:p>
        </w:tc>
      </w:tr>
      <w:tr w:rsidR="00561B22" w:rsidRPr="00AA0E99" w14:paraId="67CD470B" w14:textId="77777777" w:rsidTr="00F1223B">
        <w:tc>
          <w:tcPr>
            <w:tcW w:w="562" w:type="dxa"/>
          </w:tcPr>
          <w:p w14:paraId="0F0CF73F" w14:textId="77777777" w:rsidR="00561B22" w:rsidRPr="00AA0E99" w:rsidRDefault="00561B22" w:rsidP="00F1223B">
            <w:pPr>
              <w:jc w:val="center"/>
              <w:rPr>
                <w:rFonts w:ascii="Arial" w:hAnsi="Arial" w:cs="Arial"/>
                <w:b/>
                <w:sz w:val="22"/>
                <w:szCs w:val="22"/>
                <w:lang w:val="es-MX"/>
              </w:rPr>
            </w:pPr>
            <w:r w:rsidRPr="00AA0E99">
              <w:rPr>
                <w:rFonts w:ascii="Arial" w:hAnsi="Arial" w:cs="Arial"/>
                <w:b/>
                <w:sz w:val="22"/>
                <w:szCs w:val="22"/>
                <w:lang w:val="es-MX"/>
              </w:rPr>
              <w:t>2</w:t>
            </w:r>
          </w:p>
        </w:tc>
        <w:tc>
          <w:tcPr>
            <w:tcW w:w="9400" w:type="dxa"/>
          </w:tcPr>
          <w:p w14:paraId="7F75DDDC" w14:textId="77777777" w:rsidR="00561B22" w:rsidRPr="00AA0E99" w:rsidRDefault="00561B22" w:rsidP="00F1223B">
            <w:pPr>
              <w:jc w:val="both"/>
              <w:rPr>
                <w:rFonts w:ascii="Arial" w:hAnsi="Arial" w:cs="Arial"/>
                <w:bCs/>
                <w:sz w:val="22"/>
                <w:szCs w:val="22"/>
                <w:lang w:val="es-MX"/>
              </w:rPr>
            </w:pPr>
            <w:r w:rsidRPr="00AA0E99">
              <w:rPr>
                <w:rFonts w:ascii="Arial" w:hAnsi="Arial" w:cs="Arial"/>
                <w:bCs/>
                <w:sz w:val="22"/>
                <w:szCs w:val="22"/>
                <w:lang w:val="es-MX"/>
              </w:rPr>
              <w:t>Se recomienda incluir en el plan de capacitaciones de la entidad, temas relacionados con el área financiera, con el fin de potenciar los conocimientos de los colaboradores y hacer más efectiva la productividad contable.</w:t>
            </w:r>
          </w:p>
        </w:tc>
      </w:tr>
    </w:tbl>
    <w:p w14:paraId="492B503B" w14:textId="77777777" w:rsidR="00561B22" w:rsidRPr="00AA0E99" w:rsidRDefault="00561B22" w:rsidP="00561B22">
      <w:pPr>
        <w:pStyle w:val="Textoindependiente"/>
        <w:ind w:right="-50"/>
        <w:jc w:val="both"/>
        <w:rPr>
          <w:rFonts w:ascii="Arial" w:hAnsi="Arial" w:cs="Arial"/>
          <w:b/>
          <w:bCs/>
        </w:rPr>
      </w:pPr>
    </w:p>
    <w:p w14:paraId="1DB1BC1B" w14:textId="77777777" w:rsidR="00561B22" w:rsidRPr="00AA0E99" w:rsidRDefault="00561B22" w:rsidP="00561B22">
      <w:pPr>
        <w:jc w:val="both"/>
        <w:rPr>
          <w:rFonts w:ascii="Arial" w:hAnsi="Arial" w:cs="Arial"/>
          <w:b/>
          <w:bCs/>
          <w:sz w:val="24"/>
          <w:szCs w:val="24"/>
          <w:lang w:val="es-CO"/>
        </w:rPr>
      </w:pPr>
      <w:r w:rsidRPr="00AA0E99">
        <w:rPr>
          <w:rFonts w:ascii="Arial" w:hAnsi="Arial" w:cs="Arial"/>
          <w:b/>
          <w:bCs/>
          <w:sz w:val="24"/>
          <w:szCs w:val="24"/>
          <w:lang w:val="es-CO"/>
        </w:rPr>
        <w:t xml:space="preserve">NOTA: LA ENTIDAD ENVÍA LA MATRIZ DE AUTOEVALUACIÓN DEL SISTEMA DE CONTROL INTERNO CONTABLE CON </w:t>
      </w:r>
      <w:r w:rsidRPr="00AA0E99">
        <w:rPr>
          <w:rFonts w:ascii="Arial" w:hAnsi="Arial" w:cs="Arial"/>
          <w:b/>
          <w:bCs/>
          <w:sz w:val="24"/>
          <w:szCs w:val="24"/>
          <w:u w:val="single"/>
          <w:lang w:val="es-CO"/>
        </w:rPr>
        <w:t>ACTIVIDADES DE CONTROL REALIZADAS EN FORMA PARCIAL</w:t>
      </w:r>
      <w:r w:rsidRPr="00AA0E99">
        <w:rPr>
          <w:rFonts w:ascii="Arial" w:hAnsi="Arial" w:cs="Arial"/>
          <w:b/>
          <w:bCs/>
          <w:sz w:val="24"/>
          <w:szCs w:val="24"/>
          <w:lang w:val="es-CO"/>
        </w:rPr>
        <w:t>.</w:t>
      </w:r>
    </w:p>
    <w:p w14:paraId="468A1506" w14:textId="77777777" w:rsidR="00561B22" w:rsidRDefault="00561B22" w:rsidP="00561B22">
      <w:pPr>
        <w:pStyle w:val="Ttulo1"/>
        <w:spacing w:before="0"/>
        <w:ind w:right="-50"/>
        <w:jc w:val="left"/>
        <w:rPr>
          <w:sz w:val="28"/>
          <w:szCs w:val="28"/>
          <w:lang w:val="es-CO"/>
        </w:rPr>
      </w:pPr>
    </w:p>
    <w:p w14:paraId="3A557061" w14:textId="77777777" w:rsidR="00561B22" w:rsidRPr="00220020" w:rsidRDefault="00561B22" w:rsidP="00561B22">
      <w:pPr>
        <w:jc w:val="both"/>
        <w:rPr>
          <w:rFonts w:ascii="Arial" w:hAnsi="Arial" w:cs="Arial"/>
          <w:b/>
          <w:sz w:val="28"/>
          <w:szCs w:val="28"/>
          <w:lang w:val="es-MX"/>
        </w:rPr>
      </w:pPr>
      <w:r w:rsidRPr="00220020">
        <w:rPr>
          <w:rFonts w:ascii="Arial" w:hAnsi="Arial" w:cs="Arial"/>
          <w:b/>
          <w:sz w:val="28"/>
          <w:szCs w:val="28"/>
          <w:lang w:val="es-MX"/>
        </w:rPr>
        <w:t xml:space="preserve">321.- CONSEJO PROFESIONAL NACIONAL DE ARQUITECTURA Y SUS PROFESIONES AUXILIARES. </w:t>
      </w:r>
    </w:p>
    <w:p w14:paraId="7AC513F9" w14:textId="77777777" w:rsidR="00561B22" w:rsidRPr="00220020" w:rsidRDefault="00561B22" w:rsidP="00561B22">
      <w:pPr>
        <w:jc w:val="both"/>
        <w:rPr>
          <w:rFonts w:ascii="Arial" w:hAnsi="Arial" w:cs="Arial"/>
          <w:b/>
          <w:sz w:val="28"/>
          <w:szCs w:val="28"/>
          <w:lang w:val="es-MX"/>
        </w:rPr>
      </w:pPr>
    </w:p>
    <w:p w14:paraId="759C3662" w14:textId="77777777" w:rsidR="00561B22" w:rsidRPr="00220020" w:rsidRDefault="00561B22" w:rsidP="00561B22">
      <w:pPr>
        <w:pStyle w:val="Textoindependiente"/>
        <w:ind w:right="-50"/>
        <w:jc w:val="center"/>
        <w:rPr>
          <w:rFonts w:ascii="Arial" w:hAnsi="Arial" w:cs="Arial"/>
          <w:b/>
          <w:bCs/>
        </w:rPr>
      </w:pPr>
      <w:r w:rsidRPr="00220020">
        <w:rPr>
          <w:rFonts w:ascii="Arial" w:hAnsi="Arial" w:cs="Arial"/>
          <w:b/>
          <w:bCs/>
        </w:rPr>
        <w:t>INFORME DE LA AUTOCALIFICACIÓN DEL SISTEMA DE CONTROL INTERNO CONTABLE:</w:t>
      </w:r>
    </w:p>
    <w:p w14:paraId="04DF426B" w14:textId="77777777" w:rsidR="00561B22" w:rsidRPr="002200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20020" w14:paraId="25137BB2" w14:textId="77777777" w:rsidTr="00F1223B">
        <w:tc>
          <w:tcPr>
            <w:tcW w:w="4981" w:type="dxa"/>
          </w:tcPr>
          <w:p w14:paraId="0403BD3F" w14:textId="77777777" w:rsidR="00561B22" w:rsidRPr="00220020" w:rsidRDefault="00561B22" w:rsidP="00F1223B">
            <w:pPr>
              <w:jc w:val="center"/>
              <w:rPr>
                <w:rFonts w:ascii="Arial" w:hAnsi="Arial" w:cs="Arial"/>
                <w:b/>
                <w:sz w:val="22"/>
                <w:szCs w:val="22"/>
                <w:lang w:val="es-MX"/>
              </w:rPr>
            </w:pPr>
            <w:r w:rsidRPr="00220020">
              <w:rPr>
                <w:rFonts w:ascii="Arial" w:hAnsi="Arial" w:cs="Arial"/>
                <w:b/>
                <w:sz w:val="22"/>
                <w:szCs w:val="22"/>
                <w:lang w:val="es-MX"/>
              </w:rPr>
              <w:t>AUTOCALIFICACIÓN</w:t>
            </w:r>
          </w:p>
        </w:tc>
        <w:tc>
          <w:tcPr>
            <w:tcW w:w="4981" w:type="dxa"/>
          </w:tcPr>
          <w:p w14:paraId="1E7FBA1C" w14:textId="77777777" w:rsidR="00561B22" w:rsidRPr="00220020" w:rsidRDefault="00561B22" w:rsidP="00F1223B">
            <w:pPr>
              <w:jc w:val="center"/>
              <w:rPr>
                <w:rFonts w:ascii="Arial" w:hAnsi="Arial" w:cs="Arial"/>
                <w:b/>
                <w:sz w:val="22"/>
                <w:szCs w:val="22"/>
                <w:u w:val="single"/>
                <w:lang w:val="es-MX"/>
              </w:rPr>
            </w:pPr>
            <w:r w:rsidRPr="00220020">
              <w:rPr>
                <w:rFonts w:ascii="Arial" w:hAnsi="Arial" w:cs="Arial"/>
                <w:b/>
                <w:sz w:val="22"/>
                <w:szCs w:val="22"/>
                <w:u w:val="single"/>
                <w:lang w:val="es-MX"/>
              </w:rPr>
              <w:t>4.55</w:t>
            </w:r>
          </w:p>
        </w:tc>
      </w:tr>
    </w:tbl>
    <w:p w14:paraId="777D25FD" w14:textId="77777777" w:rsidR="00561B22" w:rsidRPr="00220020" w:rsidRDefault="00561B22" w:rsidP="00561B22">
      <w:pPr>
        <w:pStyle w:val="Textoindependiente"/>
        <w:ind w:right="-50"/>
        <w:jc w:val="both"/>
        <w:rPr>
          <w:rFonts w:ascii="Arial" w:hAnsi="Arial" w:cs="Arial"/>
          <w:b/>
          <w:bCs/>
        </w:rPr>
      </w:pPr>
    </w:p>
    <w:p w14:paraId="1727624F" w14:textId="77777777" w:rsidR="00561B22" w:rsidRPr="00220020" w:rsidRDefault="00561B22" w:rsidP="00561B22">
      <w:pPr>
        <w:pStyle w:val="Textoindependiente"/>
        <w:ind w:right="-50"/>
        <w:jc w:val="both"/>
        <w:rPr>
          <w:rFonts w:ascii="Arial" w:hAnsi="Arial" w:cs="Arial"/>
          <w:b/>
          <w:bCs/>
        </w:rPr>
      </w:pPr>
      <w:r w:rsidRPr="00220020">
        <w:rPr>
          <w:rFonts w:ascii="Arial" w:hAnsi="Arial" w:cs="Arial"/>
          <w:b/>
          <w:bCs/>
        </w:rPr>
        <w:t>Del informe enviado retomamos lo siguiente:</w:t>
      </w:r>
    </w:p>
    <w:p w14:paraId="5CF32CDD" w14:textId="77777777" w:rsidR="00561B22" w:rsidRPr="0022002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20020" w14:paraId="2B67691D" w14:textId="77777777" w:rsidTr="00F1223B">
        <w:tc>
          <w:tcPr>
            <w:tcW w:w="562" w:type="dxa"/>
          </w:tcPr>
          <w:p w14:paraId="780D1504" w14:textId="77777777" w:rsidR="00561B22" w:rsidRPr="00220020" w:rsidRDefault="00561B22" w:rsidP="00F1223B">
            <w:pPr>
              <w:ind w:right="-109"/>
              <w:jc w:val="center"/>
              <w:rPr>
                <w:rFonts w:ascii="Arial" w:hAnsi="Arial" w:cs="Arial"/>
                <w:b/>
                <w:sz w:val="22"/>
                <w:szCs w:val="22"/>
                <w:lang w:val="es-MX"/>
              </w:rPr>
            </w:pPr>
            <w:r w:rsidRPr="00220020">
              <w:rPr>
                <w:rFonts w:ascii="Arial" w:hAnsi="Arial" w:cs="Arial"/>
                <w:b/>
                <w:sz w:val="22"/>
                <w:szCs w:val="22"/>
                <w:lang w:val="es-MX"/>
              </w:rPr>
              <w:t>N°</w:t>
            </w:r>
          </w:p>
        </w:tc>
        <w:tc>
          <w:tcPr>
            <w:tcW w:w="9400" w:type="dxa"/>
          </w:tcPr>
          <w:p w14:paraId="28EC2886" w14:textId="77777777" w:rsidR="00561B22" w:rsidRPr="00220020" w:rsidRDefault="00561B22" w:rsidP="00F1223B">
            <w:pPr>
              <w:jc w:val="center"/>
              <w:rPr>
                <w:rFonts w:ascii="Arial" w:hAnsi="Arial" w:cs="Arial"/>
                <w:b/>
                <w:sz w:val="22"/>
                <w:szCs w:val="22"/>
                <w:lang w:val="es-MX"/>
              </w:rPr>
            </w:pPr>
            <w:r w:rsidRPr="00220020">
              <w:rPr>
                <w:rFonts w:ascii="Arial" w:hAnsi="Arial" w:cs="Arial"/>
                <w:b/>
                <w:sz w:val="22"/>
                <w:szCs w:val="22"/>
                <w:lang w:val="es-MX"/>
              </w:rPr>
              <w:t>DEBILIDADES</w:t>
            </w:r>
          </w:p>
          <w:p w14:paraId="06DB7014" w14:textId="77777777" w:rsidR="00561B22" w:rsidRPr="00220020" w:rsidRDefault="00561B22" w:rsidP="00F1223B">
            <w:pPr>
              <w:jc w:val="center"/>
              <w:rPr>
                <w:rFonts w:ascii="Arial" w:hAnsi="Arial" w:cs="Arial"/>
                <w:b/>
                <w:sz w:val="22"/>
                <w:szCs w:val="22"/>
                <w:lang w:val="es-MX"/>
              </w:rPr>
            </w:pPr>
          </w:p>
        </w:tc>
      </w:tr>
      <w:tr w:rsidR="00561B22" w:rsidRPr="00220020" w14:paraId="57473A8C" w14:textId="77777777" w:rsidTr="00F1223B">
        <w:tc>
          <w:tcPr>
            <w:tcW w:w="562" w:type="dxa"/>
          </w:tcPr>
          <w:p w14:paraId="393839B4" w14:textId="77777777" w:rsidR="00561B22" w:rsidRPr="00220020" w:rsidRDefault="00561B22" w:rsidP="00F1223B">
            <w:pPr>
              <w:jc w:val="center"/>
              <w:rPr>
                <w:rFonts w:ascii="Arial" w:hAnsi="Arial" w:cs="Arial"/>
                <w:b/>
                <w:sz w:val="22"/>
                <w:szCs w:val="22"/>
                <w:lang w:val="es-MX"/>
              </w:rPr>
            </w:pPr>
            <w:r w:rsidRPr="00220020">
              <w:rPr>
                <w:rFonts w:ascii="Arial" w:hAnsi="Arial" w:cs="Arial"/>
                <w:b/>
                <w:sz w:val="22"/>
                <w:szCs w:val="22"/>
                <w:lang w:val="es-MX"/>
              </w:rPr>
              <w:t>1</w:t>
            </w:r>
          </w:p>
        </w:tc>
        <w:tc>
          <w:tcPr>
            <w:tcW w:w="9400" w:type="dxa"/>
          </w:tcPr>
          <w:p w14:paraId="3D0A82C3" w14:textId="77777777" w:rsidR="00561B22" w:rsidRPr="00220020" w:rsidRDefault="00561B22" w:rsidP="00F1223B">
            <w:pPr>
              <w:jc w:val="both"/>
              <w:rPr>
                <w:rFonts w:ascii="Arial" w:hAnsi="Arial" w:cs="Arial"/>
                <w:bCs/>
                <w:sz w:val="22"/>
                <w:szCs w:val="22"/>
                <w:lang w:val="es-MX"/>
              </w:rPr>
            </w:pPr>
            <w:r w:rsidRPr="00220020">
              <w:rPr>
                <w:rFonts w:ascii="Arial" w:hAnsi="Arial" w:cs="Arial"/>
                <w:bCs/>
                <w:sz w:val="22"/>
                <w:szCs w:val="22"/>
                <w:lang w:val="es-MX"/>
              </w:rPr>
              <w:t>La entidad aún se encuentra en proceso de adaptación y mejoramiento en especial con lo relacionado con la implementación de indicadores.</w:t>
            </w:r>
          </w:p>
        </w:tc>
      </w:tr>
    </w:tbl>
    <w:p w14:paraId="629DE02E" w14:textId="77777777" w:rsidR="00561B22" w:rsidRPr="00220020" w:rsidRDefault="00561B22" w:rsidP="00561B22">
      <w:pPr>
        <w:pStyle w:val="Textoindependiente"/>
        <w:ind w:right="-50"/>
        <w:jc w:val="both"/>
        <w:rPr>
          <w:rFonts w:ascii="Arial" w:hAnsi="Arial" w:cs="Arial"/>
          <w:b/>
          <w:bCs/>
        </w:rPr>
      </w:pPr>
    </w:p>
    <w:p w14:paraId="5DAE1DF3" w14:textId="77777777" w:rsidR="00561B22" w:rsidRPr="00220020" w:rsidRDefault="00561B22" w:rsidP="00561B22">
      <w:pPr>
        <w:jc w:val="both"/>
        <w:rPr>
          <w:rFonts w:ascii="Arial" w:hAnsi="Arial" w:cs="Arial"/>
          <w:b/>
          <w:lang w:val="es-MX"/>
        </w:rPr>
      </w:pPr>
      <w:r w:rsidRPr="00220020">
        <w:rPr>
          <w:rFonts w:ascii="Arial" w:hAnsi="Arial" w:cs="Arial"/>
          <w:b/>
          <w:lang w:val="es-MX"/>
        </w:rPr>
        <w:t>Del citado informe retomamos las siguientes recomendaciones:</w:t>
      </w:r>
    </w:p>
    <w:p w14:paraId="7BBFD9ED" w14:textId="77777777" w:rsidR="00561B22" w:rsidRPr="00220020"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220020" w14:paraId="31E81C2E" w14:textId="77777777" w:rsidTr="00F1223B">
        <w:tc>
          <w:tcPr>
            <w:tcW w:w="562" w:type="dxa"/>
          </w:tcPr>
          <w:p w14:paraId="0A185376" w14:textId="77777777" w:rsidR="00561B22" w:rsidRPr="00220020" w:rsidRDefault="00561B22" w:rsidP="00F1223B">
            <w:pPr>
              <w:ind w:right="-109"/>
              <w:jc w:val="center"/>
              <w:rPr>
                <w:rFonts w:ascii="Arial" w:hAnsi="Arial" w:cs="Arial"/>
                <w:b/>
                <w:sz w:val="22"/>
                <w:szCs w:val="22"/>
                <w:lang w:val="es-MX"/>
              </w:rPr>
            </w:pPr>
            <w:r w:rsidRPr="00220020">
              <w:rPr>
                <w:rFonts w:ascii="Arial" w:hAnsi="Arial" w:cs="Arial"/>
                <w:b/>
                <w:sz w:val="22"/>
                <w:szCs w:val="22"/>
                <w:lang w:val="es-MX"/>
              </w:rPr>
              <w:t>N°</w:t>
            </w:r>
          </w:p>
        </w:tc>
        <w:tc>
          <w:tcPr>
            <w:tcW w:w="9400" w:type="dxa"/>
          </w:tcPr>
          <w:p w14:paraId="62467ACE" w14:textId="77777777" w:rsidR="00561B22" w:rsidRPr="00220020" w:rsidRDefault="00561B22" w:rsidP="00F1223B">
            <w:pPr>
              <w:jc w:val="center"/>
              <w:rPr>
                <w:rFonts w:ascii="Arial" w:hAnsi="Arial" w:cs="Arial"/>
                <w:b/>
                <w:sz w:val="22"/>
                <w:szCs w:val="22"/>
                <w:lang w:val="es-MX"/>
              </w:rPr>
            </w:pPr>
            <w:r w:rsidRPr="00220020">
              <w:rPr>
                <w:rFonts w:ascii="Arial" w:hAnsi="Arial" w:cs="Arial"/>
                <w:b/>
                <w:sz w:val="22"/>
                <w:szCs w:val="22"/>
                <w:lang w:val="es-MX"/>
              </w:rPr>
              <w:t>RECOMENDACIONES</w:t>
            </w:r>
          </w:p>
          <w:p w14:paraId="44E21FBB" w14:textId="77777777" w:rsidR="00561B22" w:rsidRPr="00220020" w:rsidRDefault="00561B22" w:rsidP="00F1223B">
            <w:pPr>
              <w:jc w:val="center"/>
              <w:rPr>
                <w:rFonts w:ascii="Arial" w:hAnsi="Arial" w:cs="Arial"/>
                <w:b/>
                <w:sz w:val="22"/>
                <w:szCs w:val="22"/>
                <w:lang w:val="es-MX"/>
              </w:rPr>
            </w:pPr>
          </w:p>
        </w:tc>
      </w:tr>
      <w:tr w:rsidR="00561B22" w:rsidRPr="00220020" w14:paraId="79D7079F" w14:textId="77777777" w:rsidTr="00F1223B">
        <w:tc>
          <w:tcPr>
            <w:tcW w:w="562" w:type="dxa"/>
          </w:tcPr>
          <w:p w14:paraId="308DE2FC" w14:textId="77777777" w:rsidR="00561B22" w:rsidRPr="00220020" w:rsidRDefault="00561B22" w:rsidP="00F1223B">
            <w:pPr>
              <w:jc w:val="center"/>
              <w:rPr>
                <w:rFonts w:ascii="Arial" w:hAnsi="Arial" w:cs="Arial"/>
                <w:b/>
                <w:sz w:val="22"/>
                <w:szCs w:val="22"/>
                <w:lang w:val="es-MX"/>
              </w:rPr>
            </w:pPr>
            <w:r w:rsidRPr="00220020">
              <w:rPr>
                <w:rFonts w:ascii="Arial" w:hAnsi="Arial" w:cs="Arial"/>
                <w:b/>
                <w:sz w:val="22"/>
                <w:szCs w:val="22"/>
                <w:lang w:val="es-MX"/>
              </w:rPr>
              <w:t>1</w:t>
            </w:r>
          </w:p>
        </w:tc>
        <w:tc>
          <w:tcPr>
            <w:tcW w:w="9400" w:type="dxa"/>
          </w:tcPr>
          <w:p w14:paraId="4E49A1F5" w14:textId="77777777" w:rsidR="00561B22" w:rsidRPr="00220020" w:rsidRDefault="00561B22" w:rsidP="00F1223B">
            <w:pPr>
              <w:jc w:val="both"/>
              <w:rPr>
                <w:rFonts w:ascii="Arial" w:hAnsi="Arial" w:cs="Arial"/>
                <w:bCs/>
                <w:sz w:val="22"/>
                <w:szCs w:val="22"/>
                <w:lang w:val="es-MX"/>
              </w:rPr>
            </w:pPr>
            <w:r w:rsidRPr="00220020">
              <w:rPr>
                <w:rFonts w:ascii="Arial" w:hAnsi="Arial" w:cs="Arial"/>
                <w:bCs/>
                <w:sz w:val="22"/>
                <w:szCs w:val="22"/>
                <w:lang w:val="es-MX"/>
              </w:rPr>
              <w:t>Se sugiere la implementación de indicadores para analizar e interpretar la información financiera.</w:t>
            </w:r>
          </w:p>
        </w:tc>
      </w:tr>
    </w:tbl>
    <w:p w14:paraId="494C53E0" w14:textId="77777777" w:rsidR="00561B22" w:rsidRPr="00220020" w:rsidRDefault="00561B22" w:rsidP="00561B22">
      <w:pPr>
        <w:pStyle w:val="Textoindependiente"/>
        <w:ind w:right="-50"/>
        <w:jc w:val="both"/>
        <w:rPr>
          <w:rFonts w:ascii="Arial" w:hAnsi="Arial" w:cs="Arial"/>
          <w:b/>
          <w:bCs/>
        </w:rPr>
      </w:pPr>
    </w:p>
    <w:p w14:paraId="103A8E9F" w14:textId="77777777" w:rsidR="00561B22" w:rsidRPr="00220020" w:rsidRDefault="00561B22" w:rsidP="00561B22">
      <w:pPr>
        <w:jc w:val="both"/>
        <w:rPr>
          <w:rFonts w:ascii="Arial" w:hAnsi="Arial" w:cs="Arial"/>
          <w:b/>
          <w:bCs/>
          <w:sz w:val="24"/>
          <w:szCs w:val="24"/>
          <w:lang w:val="es-CO"/>
        </w:rPr>
      </w:pPr>
      <w:r w:rsidRPr="00220020">
        <w:rPr>
          <w:rFonts w:ascii="Arial" w:hAnsi="Arial" w:cs="Arial"/>
          <w:b/>
          <w:bCs/>
          <w:sz w:val="24"/>
          <w:szCs w:val="24"/>
          <w:lang w:val="es-CO"/>
        </w:rPr>
        <w:t xml:space="preserve">NOTA: LA ENTIDAD ENVÍA LA MATRIZ DE AUTOEVALUACIÓN DEL SISTEMA DE CONTROL INTERNO CONTABLE CON ACTIVIDADES DE CONTROL REALIZADAS </w:t>
      </w:r>
      <w:r w:rsidRPr="00220020">
        <w:rPr>
          <w:rFonts w:ascii="Arial" w:hAnsi="Arial" w:cs="Arial"/>
          <w:b/>
          <w:bCs/>
          <w:sz w:val="24"/>
          <w:szCs w:val="24"/>
          <w:u w:val="single"/>
          <w:lang w:val="es-CO"/>
        </w:rPr>
        <w:t>EN FORMA PARCIAL Y OTRAS SIMPLEMENTE INFORMAN QUE NO SE REALIZARON</w:t>
      </w:r>
      <w:r w:rsidRPr="00220020">
        <w:rPr>
          <w:rFonts w:ascii="Arial" w:hAnsi="Arial" w:cs="Arial"/>
          <w:b/>
          <w:bCs/>
          <w:sz w:val="24"/>
          <w:szCs w:val="24"/>
          <w:lang w:val="es-CO"/>
        </w:rPr>
        <w:t>.</w:t>
      </w:r>
    </w:p>
    <w:p w14:paraId="317E1FDC" w14:textId="77777777" w:rsidR="00561B22" w:rsidRPr="00220020" w:rsidRDefault="00561B22" w:rsidP="00561B22">
      <w:pPr>
        <w:pStyle w:val="Ttulo1"/>
        <w:spacing w:before="0"/>
        <w:ind w:right="-50"/>
        <w:jc w:val="left"/>
        <w:rPr>
          <w:sz w:val="28"/>
          <w:szCs w:val="28"/>
          <w:lang w:val="es-CO"/>
        </w:rPr>
      </w:pPr>
    </w:p>
    <w:p w14:paraId="4E991A4E" w14:textId="77777777" w:rsidR="00561B22" w:rsidRPr="00DD1851" w:rsidRDefault="00561B22" w:rsidP="00561B22">
      <w:pPr>
        <w:jc w:val="both"/>
        <w:rPr>
          <w:rFonts w:ascii="Arial" w:hAnsi="Arial" w:cs="Arial"/>
          <w:b/>
          <w:sz w:val="28"/>
          <w:szCs w:val="28"/>
          <w:lang w:val="es-MX"/>
        </w:rPr>
      </w:pPr>
      <w:r w:rsidRPr="00DD1851">
        <w:rPr>
          <w:rFonts w:ascii="Arial" w:hAnsi="Arial" w:cs="Arial"/>
          <w:b/>
          <w:sz w:val="28"/>
          <w:szCs w:val="28"/>
          <w:lang w:val="es-MX"/>
        </w:rPr>
        <w:t>322.- DIRECCIÓN GENERAL DE CRÉDITO PÚBLICO Y TESORO NACIONAL - DGCPTN.</w:t>
      </w:r>
    </w:p>
    <w:p w14:paraId="629304F1" w14:textId="77777777" w:rsidR="00561B22" w:rsidRDefault="00561B22" w:rsidP="00561B22">
      <w:pPr>
        <w:pStyle w:val="Ttulo1"/>
        <w:spacing w:before="0"/>
        <w:ind w:right="-50"/>
        <w:jc w:val="left"/>
        <w:rPr>
          <w:sz w:val="28"/>
          <w:szCs w:val="28"/>
          <w:lang w:val="es-MX"/>
        </w:rPr>
      </w:pPr>
    </w:p>
    <w:p w14:paraId="6F239D7E" w14:textId="6C55D2E1" w:rsidR="001D36B9" w:rsidRPr="001D36B9" w:rsidRDefault="001D36B9" w:rsidP="001D36B9">
      <w:pPr>
        <w:jc w:val="center"/>
        <w:rPr>
          <w:rFonts w:ascii="Arial" w:hAnsi="Arial" w:cs="Arial"/>
          <w:b/>
          <w:lang w:val="es-MX"/>
        </w:rPr>
      </w:pPr>
      <w:r w:rsidRPr="001D36B9">
        <w:rPr>
          <w:rFonts w:ascii="Arial" w:hAnsi="Arial" w:cs="Arial"/>
          <w:b/>
          <w:lang w:val="es-MX"/>
        </w:rPr>
        <w:t>INFORME DE LA AUTOCALIFICACIÓN DEL SISTEMA DE CONTROL INTERNO CONTABLE:</w:t>
      </w:r>
    </w:p>
    <w:p w14:paraId="445DCC1B" w14:textId="77777777" w:rsidR="001D36B9" w:rsidRPr="001D36B9" w:rsidRDefault="001D36B9" w:rsidP="001D36B9">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1D36B9" w:rsidRPr="001D36B9" w14:paraId="0F1978D6" w14:textId="77777777" w:rsidTr="002D4F95">
        <w:tc>
          <w:tcPr>
            <w:tcW w:w="4981" w:type="dxa"/>
          </w:tcPr>
          <w:p w14:paraId="5D6BFFD9" w14:textId="77777777" w:rsidR="001D36B9" w:rsidRPr="001D36B9" w:rsidRDefault="001D36B9" w:rsidP="002D4F95">
            <w:pPr>
              <w:jc w:val="center"/>
              <w:rPr>
                <w:rFonts w:ascii="Arial" w:hAnsi="Arial" w:cs="Arial"/>
                <w:b/>
                <w:sz w:val="22"/>
                <w:szCs w:val="22"/>
                <w:lang w:val="es-MX"/>
              </w:rPr>
            </w:pPr>
            <w:r w:rsidRPr="001D36B9">
              <w:rPr>
                <w:rFonts w:ascii="Arial" w:hAnsi="Arial" w:cs="Arial"/>
                <w:b/>
                <w:sz w:val="22"/>
                <w:szCs w:val="22"/>
                <w:lang w:val="es-MX"/>
              </w:rPr>
              <w:lastRenderedPageBreak/>
              <w:t>AUTOCALIFICACIÓN</w:t>
            </w:r>
          </w:p>
        </w:tc>
        <w:tc>
          <w:tcPr>
            <w:tcW w:w="4981" w:type="dxa"/>
          </w:tcPr>
          <w:p w14:paraId="13431215" w14:textId="77777777" w:rsidR="001D36B9" w:rsidRPr="001D36B9" w:rsidRDefault="001D36B9" w:rsidP="002D4F95">
            <w:pPr>
              <w:jc w:val="center"/>
              <w:rPr>
                <w:rFonts w:ascii="Arial" w:hAnsi="Arial" w:cs="Arial"/>
                <w:b/>
                <w:sz w:val="22"/>
                <w:szCs w:val="22"/>
                <w:u w:val="single"/>
                <w:lang w:val="es-MX"/>
              </w:rPr>
            </w:pPr>
            <w:r w:rsidRPr="001D36B9">
              <w:rPr>
                <w:rFonts w:ascii="Arial" w:hAnsi="Arial" w:cs="Arial"/>
                <w:b/>
                <w:sz w:val="22"/>
                <w:szCs w:val="22"/>
                <w:u w:val="single"/>
                <w:lang w:val="es-MX"/>
              </w:rPr>
              <w:t>4.96</w:t>
            </w:r>
          </w:p>
        </w:tc>
      </w:tr>
    </w:tbl>
    <w:p w14:paraId="5F3D6EF9" w14:textId="77777777" w:rsidR="001D36B9" w:rsidRPr="001D36B9" w:rsidRDefault="001D36B9" w:rsidP="001D36B9">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1D36B9" w:rsidRPr="001D36B9" w14:paraId="37D653DF" w14:textId="77777777" w:rsidTr="002D4F95">
        <w:tc>
          <w:tcPr>
            <w:tcW w:w="562" w:type="dxa"/>
          </w:tcPr>
          <w:p w14:paraId="52D7405D" w14:textId="77777777" w:rsidR="001D36B9" w:rsidRPr="001D36B9" w:rsidRDefault="001D36B9" w:rsidP="002D4F95">
            <w:pPr>
              <w:ind w:right="-109"/>
              <w:jc w:val="center"/>
              <w:rPr>
                <w:rFonts w:ascii="Arial" w:hAnsi="Arial" w:cs="Arial"/>
                <w:b/>
                <w:sz w:val="22"/>
                <w:szCs w:val="22"/>
                <w:lang w:val="es-MX"/>
              </w:rPr>
            </w:pPr>
            <w:r w:rsidRPr="001D36B9">
              <w:rPr>
                <w:rFonts w:ascii="Arial" w:hAnsi="Arial" w:cs="Arial"/>
                <w:b/>
                <w:sz w:val="22"/>
                <w:szCs w:val="22"/>
                <w:lang w:val="es-MX"/>
              </w:rPr>
              <w:t>N°</w:t>
            </w:r>
          </w:p>
        </w:tc>
        <w:tc>
          <w:tcPr>
            <w:tcW w:w="9400" w:type="dxa"/>
          </w:tcPr>
          <w:p w14:paraId="26CD1DEE" w14:textId="77777777" w:rsidR="001D36B9" w:rsidRPr="001D36B9" w:rsidRDefault="001D36B9" w:rsidP="002D4F95">
            <w:pPr>
              <w:jc w:val="center"/>
              <w:rPr>
                <w:rFonts w:ascii="Arial" w:hAnsi="Arial" w:cs="Arial"/>
                <w:b/>
                <w:sz w:val="22"/>
                <w:szCs w:val="22"/>
                <w:lang w:val="es-MX"/>
              </w:rPr>
            </w:pPr>
            <w:r w:rsidRPr="001D36B9">
              <w:rPr>
                <w:rFonts w:ascii="Arial" w:hAnsi="Arial" w:cs="Arial"/>
                <w:b/>
                <w:sz w:val="22"/>
                <w:szCs w:val="22"/>
                <w:lang w:val="es-MX"/>
              </w:rPr>
              <w:t>DEBILIDADES</w:t>
            </w:r>
          </w:p>
          <w:p w14:paraId="26020DC0" w14:textId="77777777" w:rsidR="001D36B9" w:rsidRPr="001D36B9" w:rsidRDefault="001D36B9" w:rsidP="002D4F95">
            <w:pPr>
              <w:jc w:val="center"/>
              <w:rPr>
                <w:rFonts w:ascii="Arial" w:hAnsi="Arial" w:cs="Arial"/>
                <w:b/>
                <w:sz w:val="22"/>
                <w:szCs w:val="22"/>
                <w:lang w:val="es-MX"/>
              </w:rPr>
            </w:pPr>
          </w:p>
        </w:tc>
      </w:tr>
      <w:tr w:rsidR="001D36B9" w:rsidRPr="001D36B9" w14:paraId="2B4031C7" w14:textId="77777777" w:rsidTr="002D4F95">
        <w:tc>
          <w:tcPr>
            <w:tcW w:w="562" w:type="dxa"/>
          </w:tcPr>
          <w:p w14:paraId="345C52AD" w14:textId="77777777" w:rsidR="001D36B9" w:rsidRPr="001D36B9" w:rsidRDefault="001D36B9" w:rsidP="002D4F95">
            <w:pPr>
              <w:jc w:val="center"/>
              <w:rPr>
                <w:rFonts w:ascii="Arial" w:hAnsi="Arial" w:cs="Arial"/>
                <w:b/>
                <w:sz w:val="22"/>
                <w:szCs w:val="22"/>
                <w:lang w:val="es-MX"/>
              </w:rPr>
            </w:pPr>
            <w:r w:rsidRPr="001D36B9">
              <w:rPr>
                <w:rFonts w:ascii="Arial" w:hAnsi="Arial" w:cs="Arial"/>
                <w:b/>
                <w:sz w:val="22"/>
                <w:szCs w:val="22"/>
                <w:lang w:val="es-MX"/>
              </w:rPr>
              <w:t>1</w:t>
            </w:r>
          </w:p>
        </w:tc>
        <w:tc>
          <w:tcPr>
            <w:tcW w:w="9400" w:type="dxa"/>
          </w:tcPr>
          <w:p w14:paraId="54DC8752" w14:textId="77777777" w:rsidR="001D36B9" w:rsidRPr="001D36B9" w:rsidRDefault="001D36B9" w:rsidP="002D4F95">
            <w:pPr>
              <w:jc w:val="both"/>
              <w:rPr>
                <w:rFonts w:ascii="Arial" w:hAnsi="Arial" w:cs="Arial"/>
                <w:b/>
                <w:sz w:val="22"/>
                <w:szCs w:val="22"/>
                <w:lang w:val="es-MX"/>
              </w:rPr>
            </w:pPr>
            <w:r w:rsidRPr="001D36B9">
              <w:rPr>
                <w:rFonts w:ascii="Arial" w:hAnsi="Arial" w:cs="Arial"/>
                <w:sz w:val="22"/>
                <w:szCs w:val="22"/>
                <w:lang w:val="es-MX"/>
              </w:rPr>
              <w:t>Los estados contables de la Unidad Contable DGCPTN presenta saldos pendientes de normalización y depuración de la subcuenta 240703 impuestos por pagar.</w:t>
            </w:r>
            <w:r w:rsidRPr="001D36B9">
              <w:rPr>
                <w:rFonts w:ascii="Arial" w:hAnsi="Arial" w:cs="Arial"/>
                <w:b/>
                <w:sz w:val="22"/>
                <w:szCs w:val="22"/>
                <w:lang w:val="es-MX"/>
              </w:rPr>
              <w:tab/>
            </w:r>
          </w:p>
        </w:tc>
      </w:tr>
      <w:tr w:rsidR="001D36B9" w:rsidRPr="001D36B9" w14:paraId="7D3A561F" w14:textId="77777777" w:rsidTr="002D4F95">
        <w:tc>
          <w:tcPr>
            <w:tcW w:w="562" w:type="dxa"/>
          </w:tcPr>
          <w:p w14:paraId="58C262BA" w14:textId="77777777" w:rsidR="001D36B9" w:rsidRPr="001D36B9" w:rsidRDefault="001D36B9" w:rsidP="002D4F95">
            <w:pPr>
              <w:jc w:val="center"/>
              <w:rPr>
                <w:rFonts w:ascii="Arial" w:hAnsi="Arial" w:cs="Arial"/>
                <w:b/>
                <w:sz w:val="22"/>
                <w:szCs w:val="22"/>
                <w:lang w:val="es-MX"/>
              </w:rPr>
            </w:pPr>
            <w:r w:rsidRPr="001D36B9">
              <w:rPr>
                <w:rFonts w:ascii="Arial" w:hAnsi="Arial" w:cs="Arial"/>
                <w:b/>
                <w:sz w:val="22"/>
                <w:szCs w:val="22"/>
                <w:lang w:val="es-MX"/>
              </w:rPr>
              <w:t>2</w:t>
            </w:r>
          </w:p>
        </w:tc>
        <w:tc>
          <w:tcPr>
            <w:tcW w:w="9400" w:type="dxa"/>
          </w:tcPr>
          <w:p w14:paraId="345265B1" w14:textId="77777777" w:rsidR="001D36B9" w:rsidRPr="001D36B9" w:rsidRDefault="001D36B9" w:rsidP="002D4F95">
            <w:pPr>
              <w:jc w:val="both"/>
              <w:rPr>
                <w:rFonts w:ascii="Arial" w:hAnsi="Arial" w:cs="Arial"/>
                <w:sz w:val="22"/>
                <w:szCs w:val="22"/>
                <w:lang w:val="es-MX"/>
              </w:rPr>
            </w:pPr>
            <w:r w:rsidRPr="001D36B9">
              <w:rPr>
                <w:rFonts w:ascii="Arial" w:hAnsi="Arial" w:cs="Arial"/>
                <w:sz w:val="22"/>
                <w:szCs w:val="22"/>
                <w:lang w:val="es-MX"/>
              </w:rPr>
              <w:t>De acuerdo con lo observado por la OCI y la CGR, se continúan presentando diferencias en el proceso de conciliación de operaciones recíprocas. Es de precisar que, lo anterior depende de factores externos como es la oportunidad del registro de la información de las entidades públicas y el cumplimiento de las solicitudes que realiza mensualmente por parte del Grupo de Registro Contable.</w:t>
            </w:r>
          </w:p>
          <w:p w14:paraId="58141542" w14:textId="77777777" w:rsidR="001D36B9" w:rsidRPr="001D36B9" w:rsidRDefault="001D36B9" w:rsidP="002D4F95">
            <w:pPr>
              <w:jc w:val="both"/>
              <w:rPr>
                <w:rFonts w:ascii="Arial" w:hAnsi="Arial" w:cs="Arial"/>
                <w:sz w:val="22"/>
                <w:szCs w:val="22"/>
                <w:lang w:val="es-MX"/>
              </w:rPr>
            </w:pPr>
          </w:p>
          <w:p w14:paraId="15807CA4" w14:textId="77777777" w:rsidR="001D36B9" w:rsidRPr="001D36B9" w:rsidRDefault="001D36B9" w:rsidP="002D4F95">
            <w:pPr>
              <w:jc w:val="both"/>
              <w:rPr>
                <w:rFonts w:ascii="Arial" w:hAnsi="Arial" w:cs="Arial"/>
                <w:sz w:val="22"/>
                <w:szCs w:val="22"/>
                <w:lang w:val="es-MX"/>
              </w:rPr>
            </w:pPr>
            <w:r w:rsidRPr="001D36B9">
              <w:rPr>
                <w:rFonts w:ascii="Arial" w:hAnsi="Arial" w:cs="Arial"/>
                <w:sz w:val="22"/>
                <w:szCs w:val="22"/>
                <w:lang w:val="es-MX"/>
              </w:rPr>
              <w:t>Es importante mencionar que, el Grupo de Registro Contable, tiene suscrito el plan de mejoramiento con la CGR en relación al Hallazgo 4. UTN. Saldos sin conciliar de las cuentas de Operaciones Recíprocas.</w:t>
            </w:r>
          </w:p>
        </w:tc>
      </w:tr>
    </w:tbl>
    <w:p w14:paraId="4206EC75" w14:textId="77777777" w:rsidR="001D36B9" w:rsidRPr="001D36B9" w:rsidRDefault="001D36B9" w:rsidP="001D36B9">
      <w:pPr>
        <w:jc w:val="both"/>
        <w:rPr>
          <w:rFonts w:ascii="Arial" w:hAnsi="Arial" w:cs="Arial"/>
          <w:b/>
          <w:lang w:val="es-MX"/>
        </w:rPr>
      </w:pPr>
    </w:p>
    <w:p w14:paraId="1EAA0E76" w14:textId="77777777" w:rsidR="001D36B9" w:rsidRPr="001D36B9" w:rsidRDefault="001D36B9" w:rsidP="001D36B9">
      <w:pPr>
        <w:jc w:val="both"/>
        <w:rPr>
          <w:rFonts w:ascii="Arial" w:hAnsi="Arial" w:cs="Arial"/>
          <w:b/>
          <w:lang w:val="es-MX"/>
        </w:rPr>
      </w:pPr>
      <w:r w:rsidRPr="001D36B9">
        <w:rPr>
          <w:rFonts w:ascii="Arial" w:hAnsi="Arial" w:cs="Arial"/>
          <w:b/>
          <w:lang w:val="es-MX"/>
        </w:rPr>
        <w:t>Del citado informe retomamos las siguientes recomendaciones:</w:t>
      </w:r>
    </w:p>
    <w:p w14:paraId="7CF9830E" w14:textId="77777777" w:rsidR="001D36B9" w:rsidRPr="001D36B9" w:rsidRDefault="001D36B9" w:rsidP="001D36B9">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1D36B9" w:rsidRPr="001D36B9" w14:paraId="2089AE33" w14:textId="77777777" w:rsidTr="002D4F95">
        <w:tc>
          <w:tcPr>
            <w:tcW w:w="562" w:type="dxa"/>
          </w:tcPr>
          <w:p w14:paraId="0B25A727" w14:textId="77777777" w:rsidR="001D36B9" w:rsidRPr="001D36B9" w:rsidRDefault="001D36B9" w:rsidP="002D4F95">
            <w:pPr>
              <w:ind w:right="-109"/>
              <w:jc w:val="center"/>
              <w:rPr>
                <w:rFonts w:ascii="Arial" w:hAnsi="Arial" w:cs="Arial"/>
                <w:b/>
                <w:sz w:val="22"/>
                <w:szCs w:val="22"/>
                <w:lang w:val="es-MX"/>
              </w:rPr>
            </w:pPr>
            <w:r w:rsidRPr="001D36B9">
              <w:rPr>
                <w:rFonts w:ascii="Arial" w:hAnsi="Arial" w:cs="Arial"/>
                <w:b/>
                <w:sz w:val="22"/>
                <w:szCs w:val="22"/>
                <w:lang w:val="es-MX"/>
              </w:rPr>
              <w:t>N°</w:t>
            </w:r>
          </w:p>
        </w:tc>
        <w:tc>
          <w:tcPr>
            <w:tcW w:w="9400" w:type="dxa"/>
          </w:tcPr>
          <w:p w14:paraId="3E8A2868" w14:textId="77777777" w:rsidR="001D36B9" w:rsidRPr="001D36B9" w:rsidRDefault="001D36B9" w:rsidP="002D4F95">
            <w:pPr>
              <w:jc w:val="center"/>
              <w:rPr>
                <w:rFonts w:ascii="Arial" w:hAnsi="Arial" w:cs="Arial"/>
                <w:b/>
                <w:sz w:val="22"/>
                <w:szCs w:val="22"/>
                <w:lang w:val="es-MX"/>
              </w:rPr>
            </w:pPr>
            <w:r w:rsidRPr="001D36B9">
              <w:rPr>
                <w:rFonts w:ascii="Arial" w:hAnsi="Arial" w:cs="Arial"/>
                <w:b/>
                <w:sz w:val="22"/>
                <w:szCs w:val="22"/>
                <w:lang w:val="es-MX"/>
              </w:rPr>
              <w:t>RECOMENDACIONES</w:t>
            </w:r>
          </w:p>
          <w:p w14:paraId="553D022F" w14:textId="77777777" w:rsidR="001D36B9" w:rsidRPr="001D36B9" w:rsidRDefault="001D36B9" w:rsidP="002D4F95">
            <w:pPr>
              <w:jc w:val="center"/>
              <w:rPr>
                <w:rFonts w:ascii="Arial" w:hAnsi="Arial" w:cs="Arial"/>
                <w:b/>
                <w:sz w:val="22"/>
                <w:szCs w:val="22"/>
                <w:lang w:val="es-MX"/>
              </w:rPr>
            </w:pPr>
          </w:p>
        </w:tc>
      </w:tr>
      <w:tr w:rsidR="001D36B9" w:rsidRPr="001D36B9" w14:paraId="10B20F8A" w14:textId="77777777" w:rsidTr="002D4F95">
        <w:tc>
          <w:tcPr>
            <w:tcW w:w="562" w:type="dxa"/>
          </w:tcPr>
          <w:p w14:paraId="5CECAE4C" w14:textId="77777777" w:rsidR="001D36B9" w:rsidRPr="001D36B9" w:rsidRDefault="001D36B9" w:rsidP="002D4F95">
            <w:pPr>
              <w:jc w:val="center"/>
              <w:rPr>
                <w:rFonts w:ascii="Arial" w:hAnsi="Arial" w:cs="Arial"/>
                <w:b/>
                <w:sz w:val="22"/>
                <w:szCs w:val="22"/>
                <w:lang w:val="es-MX"/>
              </w:rPr>
            </w:pPr>
            <w:r w:rsidRPr="001D36B9">
              <w:rPr>
                <w:rFonts w:ascii="Arial" w:hAnsi="Arial" w:cs="Arial"/>
                <w:b/>
                <w:sz w:val="22"/>
                <w:szCs w:val="22"/>
                <w:lang w:val="es-MX"/>
              </w:rPr>
              <w:t>1</w:t>
            </w:r>
          </w:p>
        </w:tc>
        <w:tc>
          <w:tcPr>
            <w:tcW w:w="9400" w:type="dxa"/>
          </w:tcPr>
          <w:p w14:paraId="7EE7764B" w14:textId="77777777" w:rsidR="001D36B9" w:rsidRPr="001D36B9" w:rsidRDefault="001D36B9" w:rsidP="002D4F95">
            <w:pPr>
              <w:jc w:val="both"/>
              <w:rPr>
                <w:rFonts w:ascii="Arial" w:hAnsi="Arial" w:cs="Arial"/>
                <w:sz w:val="22"/>
                <w:szCs w:val="22"/>
                <w:lang w:val="es-MX"/>
              </w:rPr>
            </w:pPr>
            <w:r w:rsidRPr="001D36B9">
              <w:rPr>
                <w:rFonts w:ascii="Arial" w:hAnsi="Arial" w:cs="Arial"/>
                <w:sz w:val="22"/>
                <w:szCs w:val="22"/>
                <w:lang w:val="es-MX"/>
              </w:rPr>
              <w:t>Implementar en los términos definidos las acciones de mejora establecidas en los planes de mejoramiento internos y externos para subsanar las causas raíz de las observaciones y hallazgos identificados, con énfasis en la normalización y depuración de la información financiera, así como, en las conciliaciones de operaciones recíprocas.</w:t>
            </w:r>
          </w:p>
        </w:tc>
      </w:tr>
    </w:tbl>
    <w:p w14:paraId="1A0AD104" w14:textId="77777777" w:rsidR="001D36B9" w:rsidRPr="001D36B9" w:rsidRDefault="001D36B9" w:rsidP="001D36B9">
      <w:pPr>
        <w:jc w:val="both"/>
        <w:rPr>
          <w:rFonts w:ascii="Arial" w:hAnsi="Arial" w:cs="Arial"/>
          <w:b/>
          <w:sz w:val="28"/>
          <w:szCs w:val="28"/>
          <w:lang w:val="es-MX"/>
        </w:rPr>
      </w:pPr>
    </w:p>
    <w:p w14:paraId="2C013C8E" w14:textId="77777777" w:rsidR="001D36B9" w:rsidRPr="001D36B9" w:rsidRDefault="001D36B9" w:rsidP="001D36B9">
      <w:pPr>
        <w:jc w:val="both"/>
        <w:rPr>
          <w:rFonts w:ascii="Arial" w:hAnsi="Arial" w:cs="Arial"/>
          <w:b/>
          <w:sz w:val="24"/>
          <w:szCs w:val="24"/>
          <w:u w:val="single"/>
          <w:lang w:val="es-MX"/>
        </w:rPr>
      </w:pPr>
      <w:r w:rsidRPr="001D36B9">
        <w:rPr>
          <w:rFonts w:ascii="Arial" w:hAnsi="Arial" w:cs="Arial"/>
          <w:b/>
          <w:sz w:val="24"/>
          <w:szCs w:val="24"/>
          <w:lang w:val="es-MX"/>
        </w:rPr>
        <w:t xml:space="preserve">NOTA: LA ENTIDAD ENVÍA LA MATRIZ DE AUTOEVALUACIÓN DEL SISTEMA DE CONTROL INTERNO CON </w:t>
      </w:r>
      <w:r w:rsidRPr="001D36B9">
        <w:rPr>
          <w:rFonts w:ascii="Arial" w:hAnsi="Arial" w:cs="Arial"/>
          <w:b/>
          <w:sz w:val="24"/>
          <w:szCs w:val="24"/>
          <w:u w:val="single"/>
          <w:lang w:val="es-MX"/>
        </w:rPr>
        <w:t>ACTIVIDADES DE CONTROL REALIZADAS EN FORMA PARCIAL.</w:t>
      </w:r>
    </w:p>
    <w:p w14:paraId="61F9EA5B" w14:textId="77777777" w:rsidR="00561B22" w:rsidRPr="008C0514" w:rsidRDefault="00561B22" w:rsidP="00561B22">
      <w:pPr>
        <w:jc w:val="both"/>
        <w:rPr>
          <w:rFonts w:ascii="Arial" w:hAnsi="Arial" w:cs="Arial"/>
          <w:b/>
          <w:lang w:val="es-MX"/>
        </w:rPr>
      </w:pPr>
    </w:p>
    <w:p w14:paraId="4BA09168" w14:textId="77777777" w:rsidR="00561B22" w:rsidRPr="002A280F" w:rsidRDefault="00561B22" w:rsidP="00561B22">
      <w:pPr>
        <w:jc w:val="both"/>
        <w:rPr>
          <w:rFonts w:ascii="Arial" w:hAnsi="Arial" w:cs="Arial"/>
          <w:b/>
          <w:sz w:val="28"/>
          <w:szCs w:val="28"/>
          <w:lang w:val="es-MX"/>
        </w:rPr>
      </w:pPr>
      <w:r w:rsidRPr="002A280F">
        <w:rPr>
          <w:rFonts w:ascii="Arial" w:hAnsi="Arial" w:cs="Arial"/>
          <w:b/>
          <w:sz w:val="28"/>
          <w:szCs w:val="28"/>
          <w:lang w:val="es-MX"/>
        </w:rPr>
        <w:t>323.- MINISTERIO DE HACIENDA Y CRÉDITO PÚBLICO – GESTIÓN GENERAL.</w:t>
      </w:r>
    </w:p>
    <w:p w14:paraId="69F70F48" w14:textId="77777777" w:rsidR="00561B22" w:rsidRPr="002A280F" w:rsidRDefault="00561B22" w:rsidP="00561B22">
      <w:pPr>
        <w:pStyle w:val="Ttulo1"/>
        <w:spacing w:before="0"/>
        <w:ind w:right="-50"/>
        <w:jc w:val="left"/>
        <w:rPr>
          <w:sz w:val="22"/>
          <w:szCs w:val="22"/>
          <w:lang w:val="es-MX"/>
        </w:rPr>
      </w:pPr>
    </w:p>
    <w:p w14:paraId="46122874" w14:textId="77777777" w:rsidR="00561B22" w:rsidRPr="002A280F" w:rsidRDefault="00561B22" w:rsidP="00561B22">
      <w:pPr>
        <w:pStyle w:val="Textoindependiente"/>
        <w:ind w:right="-50"/>
        <w:jc w:val="center"/>
        <w:rPr>
          <w:rFonts w:ascii="Arial" w:hAnsi="Arial" w:cs="Arial"/>
          <w:b/>
          <w:bCs/>
        </w:rPr>
      </w:pPr>
      <w:r w:rsidRPr="002A280F">
        <w:rPr>
          <w:rFonts w:ascii="Arial" w:hAnsi="Arial" w:cs="Arial"/>
          <w:b/>
          <w:bCs/>
        </w:rPr>
        <w:t>INFORME DE LA AUTOCALIFICACIÓN DEL SISTEMA DE CONTROL INTERNO CONTABLE:</w:t>
      </w:r>
    </w:p>
    <w:p w14:paraId="41A6C82D" w14:textId="77777777" w:rsidR="00561B22" w:rsidRPr="002A280F" w:rsidRDefault="00561B22" w:rsidP="00561B22">
      <w:pPr>
        <w:pStyle w:val="Textoindependiente"/>
        <w:ind w:right="-50"/>
        <w:jc w:val="both"/>
        <w:rPr>
          <w:rFonts w:ascii="Arial" w:hAnsi="Arial" w:cs="Arial"/>
          <w:b/>
          <w:bCs/>
        </w:rPr>
      </w:pPr>
    </w:p>
    <w:p w14:paraId="365A3E9D" w14:textId="77777777" w:rsidR="00561B22" w:rsidRPr="002A280F" w:rsidRDefault="00561B22" w:rsidP="00561B22">
      <w:pPr>
        <w:pStyle w:val="Textoindependiente"/>
        <w:ind w:right="-50"/>
        <w:jc w:val="both"/>
        <w:rPr>
          <w:rFonts w:ascii="Arial" w:hAnsi="Arial" w:cs="Arial"/>
          <w:b/>
          <w:bCs/>
        </w:rPr>
      </w:pPr>
      <w:bookmarkStart w:id="71" w:name="_Hlk198020887"/>
      <w:r w:rsidRPr="002A280F">
        <w:rPr>
          <w:rFonts w:ascii="Arial" w:hAnsi="Arial" w:cs="Arial"/>
          <w:b/>
          <w:bCs/>
        </w:rPr>
        <w:t>UNIDAD GESTIÓN GENERAL</w:t>
      </w:r>
    </w:p>
    <w:p w14:paraId="3F20E5D3" w14:textId="77777777" w:rsidR="00561B22" w:rsidRPr="002A280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A280F" w14:paraId="564C0447" w14:textId="77777777" w:rsidTr="00F1223B">
        <w:tc>
          <w:tcPr>
            <w:tcW w:w="4981" w:type="dxa"/>
          </w:tcPr>
          <w:p w14:paraId="6C1DB2DB"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AUTOCALIFICACIÓN</w:t>
            </w:r>
          </w:p>
        </w:tc>
        <w:tc>
          <w:tcPr>
            <w:tcW w:w="4981" w:type="dxa"/>
          </w:tcPr>
          <w:p w14:paraId="4A636847" w14:textId="77777777" w:rsidR="00561B22" w:rsidRPr="002A280F" w:rsidRDefault="00561B22" w:rsidP="00F1223B">
            <w:pPr>
              <w:jc w:val="center"/>
              <w:rPr>
                <w:rFonts w:ascii="Arial" w:hAnsi="Arial" w:cs="Arial"/>
                <w:b/>
                <w:sz w:val="22"/>
                <w:szCs w:val="22"/>
                <w:u w:val="single"/>
                <w:lang w:val="es-MX"/>
              </w:rPr>
            </w:pPr>
            <w:r w:rsidRPr="002A280F">
              <w:rPr>
                <w:rFonts w:ascii="Arial" w:hAnsi="Arial" w:cs="Arial"/>
                <w:b/>
                <w:sz w:val="22"/>
                <w:szCs w:val="22"/>
                <w:u w:val="single"/>
                <w:lang w:val="es-MX"/>
              </w:rPr>
              <w:t>4.98</w:t>
            </w:r>
          </w:p>
          <w:p w14:paraId="62A45B36" w14:textId="77777777" w:rsidR="00561B22" w:rsidRPr="002A280F" w:rsidRDefault="00561B22" w:rsidP="00F1223B">
            <w:pPr>
              <w:jc w:val="center"/>
              <w:rPr>
                <w:rFonts w:ascii="Arial" w:hAnsi="Arial" w:cs="Arial"/>
                <w:b/>
                <w:sz w:val="22"/>
                <w:szCs w:val="22"/>
                <w:u w:val="single"/>
                <w:lang w:val="es-MX"/>
              </w:rPr>
            </w:pPr>
          </w:p>
        </w:tc>
      </w:tr>
    </w:tbl>
    <w:p w14:paraId="3D4CF395" w14:textId="77777777" w:rsidR="00561B22" w:rsidRPr="002A280F" w:rsidRDefault="00561B22" w:rsidP="00561B22">
      <w:pPr>
        <w:pStyle w:val="Textoindependiente"/>
        <w:ind w:right="-50"/>
        <w:jc w:val="both"/>
        <w:rPr>
          <w:rFonts w:ascii="Arial" w:hAnsi="Arial" w:cs="Arial"/>
          <w:b/>
          <w:bCs/>
        </w:rPr>
      </w:pPr>
    </w:p>
    <w:p w14:paraId="4C296229" w14:textId="77777777" w:rsidR="00561B22" w:rsidRPr="002A280F" w:rsidRDefault="00561B22" w:rsidP="00561B22">
      <w:pPr>
        <w:pStyle w:val="Textoindependiente"/>
        <w:ind w:right="-50"/>
        <w:jc w:val="both"/>
        <w:rPr>
          <w:rFonts w:ascii="Arial" w:hAnsi="Arial" w:cs="Arial"/>
          <w:b/>
          <w:bCs/>
        </w:rPr>
      </w:pPr>
      <w:r w:rsidRPr="002A280F">
        <w:rPr>
          <w:rFonts w:ascii="Arial" w:hAnsi="Arial" w:cs="Arial"/>
          <w:b/>
          <w:bCs/>
        </w:rPr>
        <w:t>Del informe enviado retomamos lo siguiente:</w:t>
      </w:r>
    </w:p>
    <w:p w14:paraId="6AA7A039" w14:textId="77777777" w:rsidR="00561B22" w:rsidRPr="002A280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A280F" w14:paraId="4DEFC515" w14:textId="77777777" w:rsidTr="00F1223B">
        <w:tc>
          <w:tcPr>
            <w:tcW w:w="562" w:type="dxa"/>
          </w:tcPr>
          <w:p w14:paraId="3BBAA909" w14:textId="77777777" w:rsidR="00561B22" w:rsidRPr="002A280F" w:rsidRDefault="00561B22" w:rsidP="00F1223B">
            <w:pPr>
              <w:ind w:right="-109"/>
              <w:jc w:val="center"/>
              <w:rPr>
                <w:rFonts w:ascii="Arial" w:hAnsi="Arial" w:cs="Arial"/>
                <w:b/>
                <w:sz w:val="22"/>
                <w:szCs w:val="22"/>
                <w:lang w:val="es-MX"/>
              </w:rPr>
            </w:pPr>
            <w:r w:rsidRPr="002A280F">
              <w:rPr>
                <w:rFonts w:ascii="Arial" w:hAnsi="Arial" w:cs="Arial"/>
                <w:b/>
                <w:sz w:val="22"/>
                <w:szCs w:val="22"/>
                <w:lang w:val="es-MX"/>
              </w:rPr>
              <w:t>N°</w:t>
            </w:r>
          </w:p>
        </w:tc>
        <w:tc>
          <w:tcPr>
            <w:tcW w:w="9400" w:type="dxa"/>
          </w:tcPr>
          <w:p w14:paraId="02F3A18E"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DEBILIDADES</w:t>
            </w:r>
          </w:p>
          <w:p w14:paraId="57896B8C" w14:textId="77777777" w:rsidR="00561B22" w:rsidRPr="002A280F" w:rsidRDefault="00561B22" w:rsidP="00F1223B">
            <w:pPr>
              <w:jc w:val="center"/>
              <w:rPr>
                <w:rFonts w:ascii="Arial" w:hAnsi="Arial" w:cs="Arial"/>
                <w:b/>
                <w:sz w:val="22"/>
                <w:szCs w:val="22"/>
                <w:lang w:val="es-MX"/>
              </w:rPr>
            </w:pPr>
          </w:p>
        </w:tc>
      </w:tr>
      <w:tr w:rsidR="00561B22" w:rsidRPr="002A280F" w14:paraId="5C624193" w14:textId="77777777" w:rsidTr="00F1223B">
        <w:tc>
          <w:tcPr>
            <w:tcW w:w="562" w:type="dxa"/>
          </w:tcPr>
          <w:p w14:paraId="0268A4B4"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1</w:t>
            </w:r>
          </w:p>
        </w:tc>
        <w:tc>
          <w:tcPr>
            <w:tcW w:w="9400" w:type="dxa"/>
          </w:tcPr>
          <w:p w14:paraId="03833A5A" w14:textId="77777777" w:rsidR="00561B22" w:rsidRPr="002A280F" w:rsidRDefault="00561B22" w:rsidP="00F1223B">
            <w:pPr>
              <w:jc w:val="both"/>
              <w:rPr>
                <w:rFonts w:ascii="Arial" w:hAnsi="Arial" w:cs="Arial"/>
                <w:bCs/>
                <w:sz w:val="22"/>
                <w:szCs w:val="22"/>
                <w:lang w:val="es-MX"/>
              </w:rPr>
            </w:pPr>
            <w:r w:rsidRPr="002A280F">
              <w:rPr>
                <w:rFonts w:ascii="Arial" w:hAnsi="Arial" w:cs="Arial"/>
                <w:bCs/>
                <w:sz w:val="22"/>
                <w:szCs w:val="22"/>
                <w:lang w:val="es-MX"/>
              </w:rPr>
              <w:t xml:space="preserve">Existen ciertos casos con saldos antiguos en cuentas por cobrar, cuya cancelación requiere de las gestiones del área fuente para efectuar la respectiva depuración por parte del proceso contable. </w:t>
            </w:r>
            <w:r w:rsidRPr="002A280F">
              <w:rPr>
                <w:rFonts w:ascii="Arial" w:hAnsi="Arial" w:cs="Arial"/>
                <w:b/>
                <w:sz w:val="22"/>
                <w:szCs w:val="22"/>
                <w:lang w:val="es-MX"/>
              </w:rPr>
              <w:tab/>
              <w:t xml:space="preserve"> </w:t>
            </w:r>
          </w:p>
        </w:tc>
      </w:tr>
      <w:tr w:rsidR="00561B22" w:rsidRPr="002A280F" w14:paraId="18538016" w14:textId="77777777" w:rsidTr="00F1223B">
        <w:tc>
          <w:tcPr>
            <w:tcW w:w="562" w:type="dxa"/>
          </w:tcPr>
          <w:p w14:paraId="407A7BAF"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2</w:t>
            </w:r>
          </w:p>
        </w:tc>
        <w:tc>
          <w:tcPr>
            <w:tcW w:w="9400" w:type="dxa"/>
          </w:tcPr>
          <w:p w14:paraId="35E7CA95" w14:textId="77777777" w:rsidR="00561B22" w:rsidRPr="002A280F" w:rsidRDefault="00561B22" w:rsidP="00F1223B">
            <w:pPr>
              <w:jc w:val="both"/>
              <w:rPr>
                <w:rFonts w:ascii="Arial" w:hAnsi="Arial" w:cs="Arial"/>
                <w:bCs/>
                <w:sz w:val="22"/>
                <w:szCs w:val="22"/>
                <w:lang w:val="es-MX"/>
              </w:rPr>
            </w:pPr>
            <w:r w:rsidRPr="002A280F">
              <w:rPr>
                <w:rFonts w:ascii="Arial" w:hAnsi="Arial" w:cs="Arial"/>
                <w:bCs/>
                <w:sz w:val="22"/>
                <w:szCs w:val="22"/>
                <w:lang w:val="es-MX"/>
              </w:rPr>
              <w:t xml:space="preserve">Durante la vigencia 2024, se evidenció el incumplimiento de una política contable relacionada con la falta de análisis o evaluación sobre el derecho potencial de un activo contingente.  </w:t>
            </w:r>
          </w:p>
        </w:tc>
      </w:tr>
    </w:tbl>
    <w:p w14:paraId="13B8D608" w14:textId="77777777" w:rsidR="00E37B6C" w:rsidRDefault="00E37B6C" w:rsidP="00E37B6C">
      <w:pPr>
        <w:jc w:val="both"/>
        <w:rPr>
          <w:rFonts w:ascii="Arial" w:hAnsi="Arial" w:cs="Arial"/>
          <w:b/>
          <w:lang w:val="es-MX"/>
        </w:rPr>
      </w:pPr>
    </w:p>
    <w:p w14:paraId="49BDE418" w14:textId="14E441B1" w:rsidR="00E37B6C" w:rsidRPr="001D36B9" w:rsidRDefault="00E37B6C" w:rsidP="00E37B6C">
      <w:pPr>
        <w:jc w:val="both"/>
        <w:rPr>
          <w:rFonts w:ascii="Arial" w:hAnsi="Arial" w:cs="Arial"/>
          <w:b/>
          <w:lang w:val="es-MX"/>
        </w:rPr>
      </w:pPr>
      <w:r w:rsidRPr="001D36B9">
        <w:rPr>
          <w:rFonts w:ascii="Arial" w:hAnsi="Arial" w:cs="Arial"/>
          <w:b/>
          <w:lang w:val="es-MX"/>
        </w:rPr>
        <w:t>Del citado informe retomamos las siguientes recomendaciones:</w:t>
      </w:r>
    </w:p>
    <w:p w14:paraId="56658A2E" w14:textId="5D3F31AD" w:rsidR="00561B22" w:rsidRPr="00E37B6C"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2A280F" w14:paraId="1E52F56F" w14:textId="77777777" w:rsidTr="00F1223B">
        <w:tc>
          <w:tcPr>
            <w:tcW w:w="562" w:type="dxa"/>
          </w:tcPr>
          <w:p w14:paraId="1072FDC6" w14:textId="77777777" w:rsidR="00561B22" w:rsidRPr="002A280F" w:rsidRDefault="00561B22" w:rsidP="00F1223B">
            <w:pPr>
              <w:ind w:right="-109"/>
              <w:jc w:val="center"/>
              <w:rPr>
                <w:rFonts w:ascii="Arial" w:hAnsi="Arial" w:cs="Arial"/>
                <w:b/>
                <w:sz w:val="22"/>
                <w:szCs w:val="22"/>
                <w:lang w:val="es-MX"/>
              </w:rPr>
            </w:pPr>
            <w:r w:rsidRPr="002A280F">
              <w:rPr>
                <w:rFonts w:ascii="Arial" w:hAnsi="Arial" w:cs="Arial"/>
                <w:b/>
                <w:sz w:val="22"/>
                <w:szCs w:val="22"/>
                <w:lang w:val="es-MX"/>
              </w:rPr>
              <w:lastRenderedPageBreak/>
              <w:t>N°</w:t>
            </w:r>
          </w:p>
        </w:tc>
        <w:tc>
          <w:tcPr>
            <w:tcW w:w="9400" w:type="dxa"/>
          </w:tcPr>
          <w:p w14:paraId="267E6076"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RECOMENDACIONES</w:t>
            </w:r>
          </w:p>
          <w:p w14:paraId="594745F0" w14:textId="77777777" w:rsidR="00561B22" w:rsidRPr="002A280F" w:rsidRDefault="00561B22" w:rsidP="00F1223B">
            <w:pPr>
              <w:jc w:val="center"/>
              <w:rPr>
                <w:rFonts w:ascii="Arial" w:hAnsi="Arial" w:cs="Arial"/>
                <w:b/>
                <w:sz w:val="22"/>
                <w:szCs w:val="22"/>
                <w:lang w:val="es-MX"/>
              </w:rPr>
            </w:pPr>
          </w:p>
        </w:tc>
      </w:tr>
      <w:tr w:rsidR="00561B22" w:rsidRPr="002A280F" w14:paraId="245B4241" w14:textId="77777777" w:rsidTr="00F1223B">
        <w:tc>
          <w:tcPr>
            <w:tcW w:w="562" w:type="dxa"/>
          </w:tcPr>
          <w:p w14:paraId="6F9E76B8"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1</w:t>
            </w:r>
          </w:p>
        </w:tc>
        <w:tc>
          <w:tcPr>
            <w:tcW w:w="9400" w:type="dxa"/>
          </w:tcPr>
          <w:p w14:paraId="2D3D510E" w14:textId="77777777" w:rsidR="00561B22" w:rsidRPr="002A280F" w:rsidRDefault="00561B22" w:rsidP="00F1223B">
            <w:pPr>
              <w:jc w:val="both"/>
              <w:rPr>
                <w:rFonts w:ascii="Arial" w:hAnsi="Arial" w:cs="Arial"/>
                <w:bCs/>
                <w:sz w:val="22"/>
                <w:szCs w:val="22"/>
                <w:lang w:val="es-MX"/>
              </w:rPr>
            </w:pPr>
            <w:r w:rsidRPr="002A280F">
              <w:rPr>
                <w:rFonts w:ascii="Arial" w:hAnsi="Arial" w:cs="Arial"/>
                <w:bCs/>
                <w:sz w:val="22"/>
                <w:szCs w:val="22"/>
                <w:lang w:val="es-MX"/>
              </w:rPr>
              <w:t xml:space="preserve">Implementar en los términos definidos las acciones de mejora establecidas en los planos de mejoramiento internos para subsanar las causas raíz de la observación identificada por la OCI, relacionada con el incumplimiento de la política contable.  </w:t>
            </w:r>
          </w:p>
        </w:tc>
      </w:tr>
      <w:tr w:rsidR="00561B22" w:rsidRPr="002A280F" w14:paraId="013232F0" w14:textId="77777777" w:rsidTr="00F1223B">
        <w:tc>
          <w:tcPr>
            <w:tcW w:w="562" w:type="dxa"/>
          </w:tcPr>
          <w:p w14:paraId="5C098BFB" w14:textId="77777777" w:rsidR="00561B22" w:rsidRPr="002A280F" w:rsidRDefault="00561B22" w:rsidP="00F1223B">
            <w:pPr>
              <w:jc w:val="center"/>
              <w:rPr>
                <w:rFonts w:ascii="Arial" w:hAnsi="Arial" w:cs="Arial"/>
                <w:b/>
                <w:sz w:val="22"/>
                <w:szCs w:val="22"/>
                <w:lang w:val="es-MX"/>
              </w:rPr>
            </w:pPr>
            <w:r w:rsidRPr="002A280F">
              <w:rPr>
                <w:rFonts w:ascii="Arial" w:hAnsi="Arial" w:cs="Arial"/>
                <w:b/>
                <w:sz w:val="22"/>
                <w:szCs w:val="22"/>
                <w:lang w:val="es-MX"/>
              </w:rPr>
              <w:t>2</w:t>
            </w:r>
          </w:p>
        </w:tc>
        <w:tc>
          <w:tcPr>
            <w:tcW w:w="9400" w:type="dxa"/>
          </w:tcPr>
          <w:p w14:paraId="754C0A40" w14:textId="77777777" w:rsidR="00561B22" w:rsidRPr="002A280F" w:rsidRDefault="00561B22" w:rsidP="00F1223B">
            <w:pPr>
              <w:jc w:val="both"/>
              <w:rPr>
                <w:rFonts w:ascii="Arial" w:hAnsi="Arial" w:cs="Arial"/>
                <w:bCs/>
                <w:sz w:val="22"/>
                <w:szCs w:val="22"/>
                <w:lang w:val="es-MX"/>
              </w:rPr>
            </w:pPr>
            <w:r w:rsidRPr="002A280F">
              <w:rPr>
                <w:rFonts w:ascii="Arial" w:hAnsi="Arial" w:cs="Arial"/>
                <w:bCs/>
                <w:sz w:val="22"/>
                <w:szCs w:val="22"/>
                <w:lang w:val="es-MX"/>
              </w:rPr>
              <w:t xml:space="preserve">Continuar con el análisis de la antigüedad de derechos, con fin cumplir con la depuración y la sostenibilidad de la información financiera.   </w:t>
            </w:r>
          </w:p>
        </w:tc>
      </w:tr>
    </w:tbl>
    <w:p w14:paraId="7DD8D40F" w14:textId="77777777" w:rsidR="00561B22" w:rsidRPr="002A280F" w:rsidRDefault="00561B22" w:rsidP="00561B22">
      <w:pPr>
        <w:pStyle w:val="Textoindependiente"/>
        <w:ind w:right="-50"/>
        <w:jc w:val="both"/>
        <w:rPr>
          <w:rFonts w:ascii="Arial" w:hAnsi="Arial" w:cs="Arial"/>
          <w:b/>
          <w:bCs/>
          <w:sz w:val="28"/>
          <w:szCs w:val="28"/>
        </w:rPr>
      </w:pPr>
    </w:p>
    <w:p w14:paraId="024C5078" w14:textId="77777777" w:rsidR="00561B22" w:rsidRPr="002A280F" w:rsidRDefault="00561B22" w:rsidP="00561B22">
      <w:pPr>
        <w:jc w:val="both"/>
        <w:rPr>
          <w:rFonts w:ascii="Arial" w:hAnsi="Arial" w:cs="Arial"/>
          <w:b/>
          <w:bCs/>
          <w:sz w:val="24"/>
          <w:szCs w:val="24"/>
          <w:lang w:val="es-CO"/>
        </w:rPr>
      </w:pPr>
      <w:r w:rsidRPr="002A280F">
        <w:rPr>
          <w:rFonts w:ascii="Arial" w:hAnsi="Arial" w:cs="Arial"/>
          <w:b/>
          <w:bCs/>
          <w:sz w:val="24"/>
          <w:szCs w:val="24"/>
          <w:lang w:val="es-CO"/>
        </w:rPr>
        <w:t xml:space="preserve">NOTA: LA ENTIDAD ENVÍA LA MATRIZ DE AUTOEVALUACIÓN DEL SISTEMA DE CONTROL INTERNO CONTABLE CON </w:t>
      </w:r>
      <w:r w:rsidRPr="002A280F">
        <w:rPr>
          <w:rFonts w:ascii="Arial" w:hAnsi="Arial" w:cs="Arial"/>
          <w:b/>
          <w:bCs/>
          <w:sz w:val="24"/>
          <w:szCs w:val="24"/>
          <w:u w:val="single"/>
          <w:lang w:val="es-CO"/>
        </w:rPr>
        <w:t>ACTIVIDADES DE CONTROL REALIZADAS EN FORMA PARCIAL</w:t>
      </w:r>
      <w:r w:rsidRPr="002A280F">
        <w:rPr>
          <w:rFonts w:ascii="Arial" w:hAnsi="Arial" w:cs="Arial"/>
          <w:b/>
          <w:bCs/>
          <w:sz w:val="24"/>
          <w:szCs w:val="24"/>
          <w:lang w:val="es-CO"/>
        </w:rPr>
        <w:t>.</w:t>
      </w:r>
    </w:p>
    <w:bookmarkEnd w:id="71"/>
    <w:p w14:paraId="44B7C4C4" w14:textId="77777777" w:rsidR="00561B22" w:rsidRPr="002A280F" w:rsidRDefault="00561B22" w:rsidP="00561B22">
      <w:pPr>
        <w:pStyle w:val="Ttulo1"/>
        <w:spacing w:before="93"/>
        <w:ind w:right="-50"/>
        <w:jc w:val="left"/>
        <w:rPr>
          <w:sz w:val="22"/>
          <w:szCs w:val="22"/>
          <w:lang w:val="es-CO"/>
        </w:rPr>
      </w:pPr>
    </w:p>
    <w:p w14:paraId="59045D62" w14:textId="77777777" w:rsidR="00561B22" w:rsidRPr="00F0477B" w:rsidRDefault="00561B22" w:rsidP="00561B22">
      <w:pPr>
        <w:jc w:val="both"/>
        <w:rPr>
          <w:rFonts w:ascii="Arial" w:hAnsi="Arial" w:cs="Arial"/>
          <w:b/>
          <w:sz w:val="28"/>
          <w:szCs w:val="28"/>
          <w:lang w:val="es-MX"/>
        </w:rPr>
      </w:pPr>
      <w:r w:rsidRPr="00F0477B">
        <w:rPr>
          <w:rFonts w:ascii="Arial" w:hAnsi="Arial" w:cs="Arial"/>
          <w:b/>
          <w:sz w:val="28"/>
          <w:szCs w:val="28"/>
          <w:lang w:val="es-MX"/>
        </w:rPr>
        <w:t>325.- CONSEJO NACIONAL PROFESIONAL DE ECONOMÍA.</w:t>
      </w:r>
    </w:p>
    <w:p w14:paraId="177F62B4" w14:textId="77777777" w:rsidR="00561B22" w:rsidRPr="00F0477B" w:rsidRDefault="00561B22" w:rsidP="00561B22">
      <w:pPr>
        <w:pStyle w:val="Prrafodelista"/>
        <w:ind w:left="-142"/>
        <w:rPr>
          <w:rFonts w:ascii="Arial" w:hAnsi="Arial" w:cs="Arial"/>
          <w:b/>
          <w:sz w:val="24"/>
        </w:rPr>
      </w:pPr>
    </w:p>
    <w:p w14:paraId="0CFA4EAA" w14:textId="77777777" w:rsidR="00561B22" w:rsidRPr="00F0477B" w:rsidRDefault="00561B22" w:rsidP="00561B22">
      <w:pPr>
        <w:pStyle w:val="Textoindependiente"/>
        <w:ind w:right="-50"/>
        <w:jc w:val="center"/>
        <w:rPr>
          <w:rFonts w:ascii="Arial" w:hAnsi="Arial" w:cs="Arial"/>
          <w:b/>
          <w:bCs/>
        </w:rPr>
      </w:pPr>
      <w:r w:rsidRPr="00F0477B">
        <w:rPr>
          <w:rFonts w:ascii="Arial" w:hAnsi="Arial" w:cs="Arial"/>
          <w:b/>
          <w:bCs/>
        </w:rPr>
        <w:t>INFORME DE LA AUTOCALIFICACIÓN DEL SISTEMA DE CONTROL INTERNO CONTABLE:</w:t>
      </w:r>
    </w:p>
    <w:p w14:paraId="79A876DE" w14:textId="77777777" w:rsidR="00561B22" w:rsidRPr="00F0477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F0477B" w14:paraId="3745DA30" w14:textId="77777777" w:rsidTr="00F1223B">
        <w:tc>
          <w:tcPr>
            <w:tcW w:w="4981" w:type="dxa"/>
          </w:tcPr>
          <w:p w14:paraId="4EE51BCF" w14:textId="77777777" w:rsidR="00561B22" w:rsidRPr="00F0477B" w:rsidRDefault="00561B22" w:rsidP="00F1223B">
            <w:pPr>
              <w:jc w:val="center"/>
              <w:rPr>
                <w:rFonts w:ascii="Arial" w:hAnsi="Arial" w:cs="Arial"/>
                <w:b/>
                <w:sz w:val="22"/>
                <w:szCs w:val="22"/>
                <w:lang w:val="es-MX"/>
              </w:rPr>
            </w:pPr>
            <w:r w:rsidRPr="00F0477B">
              <w:rPr>
                <w:rFonts w:ascii="Arial" w:hAnsi="Arial" w:cs="Arial"/>
                <w:b/>
                <w:sz w:val="22"/>
                <w:szCs w:val="22"/>
                <w:lang w:val="es-MX"/>
              </w:rPr>
              <w:t>AUTOCALIFICACIÓN</w:t>
            </w:r>
          </w:p>
        </w:tc>
        <w:tc>
          <w:tcPr>
            <w:tcW w:w="4981" w:type="dxa"/>
          </w:tcPr>
          <w:p w14:paraId="4668A319" w14:textId="77777777" w:rsidR="00561B22" w:rsidRPr="00F0477B" w:rsidRDefault="00561B22" w:rsidP="00F1223B">
            <w:pPr>
              <w:jc w:val="center"/>
              <w:rPr>
                <w:rFonts w:ascii="Arial" w:hAnsi="Arial" w:cs="Arial"/>
                <w:b/>
                <w:sz w:val="22"/>
                <w:szCs w:val="22"/>
                <w:u w:val="single"/>
                <w:lang w:val="es-MX"/>
              </w:rPr>
            </w:pPr>
            <w:r w:rsidRPr="00F0477B">
              <w:rPr>
                <w:rFonts w:ascii="Arial" w:hAnsi="Arial" w:cs="Arial"/>
                <w:b/>
                <w:sz w:val="22"/>
                <w:szCs w:val="22"/>
                <w:u w:val="single"/>
                <w:lang w:val="es-MX"/>
              </w:rPr>
              <w:t>5.00</w:t>
            </w:r>
          </w:p>
        </w:tc>
      </w:tr>
    </w:tbl>
    <w:p w14:paraId="0DD030B1" w14:textId="77777777" w:rsidR="00561B22" w:rsidRPr="00F0477B" w:rsidRDefault="00561B22" w:rsidP="00561B22">
      <w:pPr>
        <w:pStyle w:val="Textoindependiente"/>
        <w:ind w:right="-50"/>
        <w:jc w:val="both"/>
        <w:rPr>
          <w:rFonts w:ascii="Arial" w:hAnsi="Arial" w:cs="Arial"/>
          <w:b/>
          <w:bCs/>
        </w:rPr>
      </w:pPr>
    </w:p>
    <w:p w14:paraId="06E8B432" w14:textId="77777777" w:rsidR="00561B22" w:rsidRPr="00F0477B" w:rsidRDefault="00561B22" w:rsidP="00561B22">
      <w:pPr>
        <w:pStyle w:val="Textoindependiente"/>
        <w:ind w:right="-50"/>
        <w:jc w:val="both"/>
        <w:rPr>
          <w:rFonts w:ascii="Arial" w:hAnsi="Arial" w:cs="Arial"/>
          <w:b/>
          <w:bCs/>
        </w:rPr>
      </w:pPr>
      <w:r w:rsidRPr="00F0477B">
        <w:rPr>
          <w:rFonts w:ascii="Arial" w:hAnsi="Arial" w:cs="Arial"/>
          <w:b/>
          <w:bCs/>
        </w:rPr>
        <w:t>Del informe enviado retomamos lo siguiente:</w:t>
      </w:r>
    </w:p>
    <w:p w14:paraId="285596FE" w14:textId="77777777" w:rsidR="00561B22" w:rsidRPr="00F0477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F0477B" w14:paraId="5B3A7A1A" w14:textId="77777777" w:rsidTr="00F1223B">
        <w:tc>
          <w:tcPr>
            <w:tcW w:w="562" w:type="dxa"/>
          </w:tcPr>
          <w:p w14:paraId="768E43EB" w14:textId="77777777" w:rsidR="00561B22" w:rsidRPr="00F0477B" w:rsidRDefault="00561B22" w:rsidP="00F1223B">
            <w:pPr>
              <w:ind w:right="-109"/>
              <w:jc w:val="center"/>
              <w:rPr>
                <w:rFonts w:ascii="Arial" w:hAnsi="Arial" w:cs="Arial"/>
                <w:b/>
                <w:sz w:val="22"/>
                <w:szCs w:val="22"/>
                <w:lang w:val="es-MX"/>
              </w:rPr>
            </w:pPr>
            <w:r w:rsidRPr="00F0477B">
              <w:rPr>
                <w:rFonts w:ascii="Arial" w:hAnsi="Arial" w:cs="Arial"/>
                <w:b/>
                <w:sz w:val="22"/>
                <w:szCs w:val="22"/>
                <w:lang w:val="es-MX"/>
              </w:rPr>
              <w:t>N°</w:t>
            </w:r>
          </w:p>
        </w:tc>
        <w:tc>
          <w:tcPr>
            <w:tcW w:w="9400" w:type="dxa"/>
          </w:tcPr>
          <w:p w14:paraId="4AD090AC" w14:textId="77777777" w:rsidR="00561B22" w:rsidRPr="00F0477B" w:rsidRDefault="00561B22" w:rsidP="00F1223B">
            <w:pPr>
              <w:jc w:val="center"/>
              <w:rPr>
                <w:rFonts w:ascii="Arial" w:hAnsi="Arial" w:cs="Arial"/>
                <w:b/>
                <w:sz w:val="22"/>
                <w:szCs w:val="22"/>
                <w:lang w:val="es-MX"/>
              </w:rPr>
            </w:pPr>
            <w:r w:rsidRPr="00F0477B">
              <w:rPr>
                <w:rFonts w:ascii="Arial" w:hAnsi="Arial" w:cs="Arial"/>
                <w:b/>
                <w:sz w:val="22"/>
                <w:szCs w:val="22"/>
                <w:lang w:val="es-MX"/>
              </w:rPr>
              <w:t>DEBILIDADES</w:t>
            </w:r>
          </w:p>
          <w:p w14:paraId="3E4AEB87" w14:textId="77777777" w:rsidR="00561B22" w:rsidRPr="00F0477B" w:rsidRDefault="00561B22" w:rsidP="00F1223B">
            <w:pPr>
              <w:jc w:val="center"/>
              <w:rPr>
                <w:rFonts w:ascii="Arial" w:hAnsi="Arial" w:cs="Arial"/>
                <w:b/>
                <w:sz w:val="22"/>
                <w:szCs w:val="22"/>
                <w:lang w:val="es-MX"/>
              </w:rPr>
            </w:pPr>
          </w:p>
        </w:tc>
      </w:tr>
      <w:tr w:rsidR="00561B22" w:rsidRPr="00F0477B" w14:paraId="75DE0FD7" w14:textId="77777777" w:rsidTr="00F1223B">
        <w:tc>
          <w:tcPr>
            <w:tcW w:w="562" w:type="dxa"/>
          </w:tcPr>
          <w:p w14:paraId="6D6B0C09" w14:textId="77777777" w:rsidR="00561B22" w:rsidRPr="00F0477B" w:rsidRDefault="00561B22" w:rsidP="00F1223B">
            <w:pPr>
              <w:jc w:val="center"/>
              <w:rPr>
                <w:rFonts w:ascii="Arial" w:hAnsi="Arial" w:cs="Arial"/>
                <w:b/>
                <w:sz w:val="22"/>
                <w:szCs w:val="22"/>
                <w:lang w:val="es-MX"/>
              </w:rPr>
            </w:pPr>
            <w:r w:rsidRPr="00F0477B">
              <w:rPr>
                <w:rFonts w:ascii="Arial" w:hAnsi="Arial" w:cs="Arial"/>
                <w:b/>
                <w:sz w:val="22"/>
                <w:szCs w:val="22"/>
                <w:lang w:val="es-MX"/>
              </w:rPr>
              <w:t>1</w:t>
            </w:r>
          </w:p>
        </w:tc>
        <w:tc>
          <w:tcPr>
            <w:tcW w:w="9400" w:type="dxa"/>
          </w:tcPr>
          <w:p w14:paraId="3EB9B83F" w14:textId="77777777" w:rsidR="00561B22" w:rsidRPr="00F0477B" w:rsidRDefault="00561B22" w:rsidP="00F1223B">
            <w:pPr>
              <w:jc w:val="both"/>
              <w:rPr>
                <w:rFonts w:ascii="Arial" w:hAnsi="Arial" w:cs="Arial"/>
                <w:sz w:val="22"/>
                <w:szCs w:val="22"/>
                <w:lang w:val="es-MX"/>
              </w:rPr>
            </w:pPr>
            <w:r w:rsidRPr="00F0477B">
              <w:rPr>
                <w:rFonts w:ascii="Arial" w:hAnsi="Arial" w:cs="Arial"/>
                <w:sz w:val="22"/>
                <w:szCs w:val="22"/>
                <w:lang w:val="es-MX"/>
              </w:rPr>
              <w:t>Organizar la información contable con notas explicativas para el cargue en la página web y demás sistemas de consulta.</w:t>
            </w:r>
          </w:p>
        </w:tc>
      </w:tr>
    </w:tbl>
    <w:p w14:paraId="6312ABD5" w14:textId="77777777" w:rsidR="00561B22" w:rsidRPr="00F0477B" w:rsidRDefault="00561B22" w:rsidP="00561B22">
      <w:pPr>
        <w:pStyle w:val="Textoindependiente"/>
        <w:ind w:right="-50"/>
        <w:jc w:val="both"/>
        <w:rPr>
          <w:rFonts w:ascii="Arial" w:hAnsi="Arial" w:cs="Arial"/>
          <w:b/>
          <w:bCs/>
        </w:rPr>
      </w:pPr>
    </w:p>
    <w:p w14:paraId="5E56E69D" w14:textId="77777777" w:rsidR="00561B22" w:rsidRPr="00F0477B" w:rsidRDefault="00561B22" w:rsidP="00561B22">
      <w:pPr>
        <w:jc w:val="both"/>
        <w:rPr>
          <w:rFonts w:ascii="Arial" w:hAnsi="Arial" w:cs="Arial"/>
          <w:b/>
          <w:lang w:val="es-MX"/>
        </w:rPr>
      </w:pPr>
      <w:r w:rsidRPr="00F0477B">
        <w:rPr>
          <w:rFonts w:ascii="Arial" w:hAnsi="Arial" w:cs="Arial"/>
          <w:b/>
          <w:lang w:val="es-MX"/>
        </w:rPr>
        <w:t>Del citado informe retomamos las siguientes recomendaciones:</w:t>
      </w:r>
    </w:p>
    <w:p w14:paraId="46DA05E1" w14:textId="77777777" w:rsidR="00561B22" w:rsidRPr="00F0477B"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491"/>
        <w:gridCol w:w="4004"/>
        <w:gridCol w:w="5467"/>
      </w:tblGrid>
      <w:tr w:rsidR="00561B22" w:rsidRPr="00F0477B" w14:paraId="0F6CD6A9" w14:textId="77777777" w:rsidTr="00F1223B">
        <w:tc>
          <w:tcPr>
            <w:tcW w:w="491" w:type="dxa"/>
          </w:tcPr>
          <w:p w14:paraId="35205158" w14:textId="77777777" w:rsidR="00561B22" w:rsidRPr="00F0477B" w:rsidRDefault="00561B22" w:rsidP="00F1223B">
            <w:pPr>
              <w:ind w:right="-109"/>
              <w:jc w:val="center"/>
              <w:rPr>
                <w:rFonts w:ascii="Arial" w:hAnsi="Arial" w:cs="Arial"/>
                <w:b/>
                <w:sz w:val="22"/>
                <w:szCs w:val="22"/>
                <w:lang w:val="es-MX"/>
              </w:rPr>
            </w:pPr>
            <w:r w:rsidRPr="00F0477B">
              <w:rPr>
                <w:rFonts w:ascii="Arial" w:hAnsi="Arial" w:cs="Arial"/>
                <w:b/>
                <w:sz w:val="22"/>
                <w:szCs w:val="22"/>
                <w:lang w:val="es-MX"/>
              </w:rPr>
              <w:t>N°</w:t>
            </w:r>
          </w:p>
        </w:tc>
        <w:tc>
          <w:tcPr>
            <w:tcW w:w="4004" w:type="dxa"/>
          </w:tcPr>
          <w:p w14:paraId="33DD772F" w14:textId="77777777" w:rsidR="00561B22" w:rsidRPr="00F0477B" w:rsidRDefault="00561B22" w:rsidP="00F1223B">
            <w:pPr>
              <w:jc w:val="center"/>
              <w:rPr>
                <w:rFonts w:ascii="Arial" w:hAnsi="Arial" w:cs="Arial"/>
                <w:b/>
                <w:sz w:val="22"/>
                <w:szCs w:val="22"/>
                <w:lang w:val="es-MX"/>
              </w:rPr>
            </w:pPr>
          </w:p>
        </w:tc>
        <w:tc>
          <w:tcPr>
            <w:tcW w:w="5467" w:type="dxa"/>
          </w:tcPr>
          <w:p w14:paraId="52321439" w14:textId="77777777" w:rsidR="00561B22" w:rsidRPr="00F0477B" w:rsidRDefault="00561B22" w:rsidP="00F1223B">
            <w:pPr>
              <w:jc w:val="center"/>
              <w:rPr>
                <w:rFonts w:ascii="Arial" w:hAnsi="Arial" w:cs="Arial"/>
                <w:b/>
                <w:sz w:val="22"/>
                <w:szCs w:val="22"/>
                <w:lang w:val="es-MX"/>
              </w:rPr>
            </w:pPr>
            <w:r w:rsidRPr="00F0477B">
              <w:rPr>
                <w:rFonts w:ascii="Arial" w:hAnsi="Arial" w:cs="Arial"/>
                <w:b/>
                <w:sz w:val="22"/>
                <w:szCs w:val="22"/>
                <w:lang w:val="es-MX"/>
              </w:rPr>
              <w:t>RECOMENDACIONES</w:t>
            </w:r>
          </w:p>
          <w:p w14:paraId="663EB9DA" w14:textId="77777777" w:rsidR="00561B22" w:rsidRPr="00F0477B" w:rsidRDefault="00561B22" w:rsidP="00F1223B">
            <w:pPr>
              <w:jc w:val="center"/>
              <w:rPr>
                <w:rFonts w:ascii="Arial" w:hAnsi="Arial" w:cs="Arial"/>
                <w:b/>
                <w:sz w:val="22"/>
                <w:szCs w:val="22"/>
                <w:lang w:val="es-MX"/>
              </w:rPr>
            </w:pPr>
          </w:p>
        </w:tc>
      </w:tr>
      <w:tr w:rsidR="00561B22" w:rsidRPr="00F0477B" w14:paraId="78932E00" w14:textId="77777777" w:rsidTr="00F1223B">
        <w:tc>
          <w:tcPr>
            <w:tcW w:w="491" w:type="dxa"/>
          </w:tcPr>
          <w:p w14:paraId="5D73CB8A" w14:textId="77777777" w:rsidR="00561B22" w:rsidRPr="00F0477B" w:rsidRDefault="00561B22" w:rsidP="00F1223B">
            <w:pPr>
              <w:jc w:val="center"/>
              <w:rPr>
                <w:rFonts w:ascii="Arial" w:hAnsi="Arial" w:cs="Arial"/>
                <w:b/>
                <w:sz w:val="22"/>
                <w:szCs w:val="22"/>
                <w:lang w:val="es-MX"/>
              </w:rPr>
            </w:pPr>
            <w:r w:rsidRPr="00F0477B">
              <w:rPr>
                <w:rFonts w:ascii="Arial" w:hAnsi="Arial" w:cs="Arial"/>
                <w:b/>
                <w:sz w:val="22"/>
                <w:szCs w:val="22"/>
                <w:lang w:val="es-MX"/>
              </w:rPr>
              <w:t>1</w:t>
            </w:r>
          </w:p>
        </w:tc>
        <w:tc>
          <w:tcPr>
            <w:tcW w:w="4004" w:type="dxa"/>
          </w:tcPr>
          <w:p w14:paraId="3E54452D" w14:textId="77777777" w:rsidR="00561B22" w:rsidRPr="00F0477B" w:rsidRDefault="00561B22" w:rsidP="00F1223B">
            <w:pPr>
              <w:jc w:val="both"/>
              <w:rPr>
                <w:rFonts w:ascii="Arial" w:hAnsi="Arial" w:cs="Arial"/>
                <w:sz w:val="22"/>
                <w:szCs w:val="22"/>
                <w:lang w:val="es-MX"/>
              </w:rPr>
            </w:pPr>
          </w:p>
        </w:tc>
        <w:tc>
          <w:tcPr>
            <w:tcW w:w="5467" w:type="dxa"/>
          </w:tcPr>
          <w:p w14:paraId="41EE933C" w14:textId="77777777" w:rsidR="00561B22" w:rsidRPr="00F0477B" w:rsidRDefault="00561B22" w:rsidP="00F1223B">
            <w:pPr>
              <w:jc w:val="both"/>
              <w:rPr>
                <w:rFonts w:ascii="Arial" w:hAnsi="Arial" w:cs="Arial"/>
                <w:sz w:val="22"/>
                <w:szCs w:val="22"/>
                <w:lang w:val="es-MX"/>
              </w:rPr>
            </w:pPr>
            <w:r w:rsidRPr="00F0477B">
              <w:rPr>
                <w:rFonts w:ascii="Arial" w:hAnsi="Arial" w:cs="Arial"/>
                <w:sz w:val="22"/>
                <w:szCs w:val="22"/>
                <w:lang w:val="es-MX"/>
              </w:rPr>
              <w:t>Continuar con la actualización de conocimientos relacionados con NIIF y demás informes contables.</w:t>
            </w:r>
          </w:p>
        </w:tc>
      </w:tr>
    </w:tbl>
    <w:p w14:paraId="4158A199" w14:textId="77777777" w:rsidR="00561B22" w:rsidRPr="00F0477B" w:rsidRDefault="00561B22" w:rsidP="00561B22">
      <w:pPr>
        <w:pStyle w:val="Textoindependiente"/>
        <w:ind w:right="-50"/>
        <w:jc w:val="both"/>
        <w:rPr>
          <w:rFonts w:ascii="Arial" w:hAnsi="Arial" w:cs="Arial"/>
          <w:b/>
          <w:bCs/>
        </w:rPr>
      </w:pPr>
    </w:p>
    <w:p w14:paraId="1E164517" w14:textId="77777777" w:rsidR="00561B22" w:rsidRPr="00197765" w:rsidRDefault="00561B22" w:rsidP="00561B22">
      <w:pPr>
        <w:jc w:val="both"/>
        <w:rPr>
          <w:rFonts w:ascii="Arial" w:hAnsi="Arial" w:cs="Arial"/>
          <w:b/>
          <w:sz w:val="28"/>
          <w:szCs w:val="28"/>
          <w:lang w:val="es-MX"/>
        </w:rPr>
      </w:pPr>
      <w:r w:rsidRPr="00197765">
        <w:rPr>
          <w:rFonts w:ascii="Arial" w:hAnsi="Arial" w:cs="Arial"/>
          <w:b/>
          <w:sz w:val="28"/>
          <w:szCs w:val="28"/>
          <w:lang w:val="es-MX"/>
        </w:rPr>
        <w:t>327.- PATRIMONIO AUTÓNOMO FONDO NACIONAL PARA EL DESARROLLO DE LA INFRAESTRUCTURA - FONDES.</w:t>
      </w:r>
    </w:p>
    <w:p w14:paraId="57653CD3" w14:textId="77777777" w:rsidR="00561B22" w:rsidRDefault="00561B22" w:rsidP="00561B22">
      <w:pPr>
        <w:rPr>
          <w:rFonts w:ascii="Arial" w:hAnsi="Arial" w:cs="Arial"/>
          <w:b/>
          <w:sz w:val="28"/>
          <w:szCs w:val="28"/>
          <w:lang w:val="es-MX"/>
        </w:rPr>
      </w:pPr>
    </w:p>
    <w:p w14:paraId="61DB50B4" w14:textId="77777777" w:rsidR="00561B22" w:rsidRPr="00197765" w:rsidRDefault="00561B22" w:rsidP="00561B22">
      <w:pPr>
        <w:ind w:right="-50"/>
        <w:jc w:val="center"/>
        <w:rPr>
          <w:rFonts w:ascii="Arial" w:eastAsia="Arial" w:hAnsi="Arial" w:cs="Arial"/>
          <w:b/>
          <w:bCs/>
        </w:rPr>
      </w:pPr>
      <w:r w:rsidRPr="00197765">
        <w:rPr>
          <w:rFonts w:ascii="Arial" w:eastAsia="Arial" w:hAnsi="Arial" w:cs="Arial"/>
          <w:b/>
          <w:bCs/>
        </w:rPr>
        <w:t>INFORME DE LA AUTOCALIFICACIÓN DEL SISTEMA DE CONTROL INTERNO CONTABLE:</w:t>
      </w:r>
    </w:p>
    <w:p w14:paraId="35B3F25E" w14:textId="77777777" w:rsidR="00561B22" w:rsidRPr="00197765" w:rsidRDefault="00561B22" w:rsidP="00561B22">
      <w:pPr>
        <w:ind w:right="-50"/>
        <w:jc w:val="both"/>
        <w:rPr>
          <w:rFonts w:ascii="Arial" w:eastAsia="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97765" w14:paraId="140F0CB7" w14:textId="77777777" w:rsidTr="00F1223B">
        <w:tc>
          <w:tcPr>
            <w:tcW w:w="4981" w:type="dxa"/>
          </w:tcPr>
          <w:p w14:paraId="5365C5FB" w14:textId="77777777" w:rsidR="00561B22" w:rsidRPr="00197765" w:rsidRDefault="00561B22" w:rsidP="00F1223B">
            <w:pPr>
              <w:jc w:val="center"/>
              <w:rPr>
                <w:rFonts w:ascii="Arial" w:eastAsia="Arial" w:hAnsi="Arial" w:cs="Arial"/>
                <w:b/>
                <w:sz w:val="22"/>
                <w:szCs w:val="22"/>
                <w:lang w:val="es-MX"/>
              </w:rPr>
            </w:pPr>
            <w:r w:rsidRPr="00197765">
              <w:rPr>
                <w:rFonts w:ascii="Arial" w:eastAsia="Arial" w:hAnsi="Arial" w:cs="Arial"/>
                <w:b/>
                <w:sz w:val="22"/>
                <w:szCs w:val="22"/>
                <w:lang w:val="es-MX"/>
              </w:rPr>
              <w:t>AUTOCALIFICACIÓN</w:t>
            </w:r>
          </w:p>
        </w:tc>
        <w:tc>
          <w:tcPr>
            <w:tcW w:w="4981" w:type="dxa"/>
          </w:tcPr>
          <w:p w14:paraId="0269131E" w14:textId="77777777" w:rsidR="00561B22" w:rsidRPr="00197765" w:rsidRDefault="00561B22" w:rsidP="00F1223B">
            <w:pPr>
              <w:jc w:val="center"/>
              <w:rPr>
                <w:rFonts w:ascii="Arial" w:eastAsia="Arial" w:hAnsi="Arial" w:cs="Arial"/>
                <w:b/>
                <w:sz w:val="22"/>
                <w:szCs w:val="22"/>
                <w:u w:val="single"/>
                <w:lang w:val="es-MX"/>
              </w:rPr>
            </w:pPr>
            <w:r w:rsidRPr="00197765">
              <w:rPr>
                <w:rFonts w:ascii="Arial" w:eastAsia="Arial" w:hAnsi="Arial" w:cs="Arial"/>
                <w:b/>
                <w:sz w:val="22"/>
                <w:szCs w:val="22"/>
                <w:u w:val="single"/>
                <w:lang w:val="es-MX"/>
              </w:rPr>
              <w:t>4.86</w:t>
            </w:r>
          </w:p>
        </w:tc>
      </w:tr>
    </w:tbl>
    <w:p w14:paraId="20677F68" w14:textId="77777777" w:rsidR="00561B22" w:rsidRPr="00197765" w:rsidRDefault="00561B22" w:rsidP="00561B22">
      <w:pPr>
        <w:ind w:right="-50"/>
        <w:jc w:val="both"/>
        <w:rPr>
          <w:rFonts w:ascii="Arial" w:eastAsia="Arial" w:hAnsi="Arial" w:cs="Arial"/>
          <w:b/>
          <w:bCs/>
        </w:rPr>
      </w:pPr>
    </w:p>
    <w:p w14:paraId="3D8F88BB" w14:textId="77777777" w:rsidR="00561B22" w:rsidRPr="00197765" w:rsidRDefault="00561B22" w:rsidP="00561B22">
      <w:pPr>
        <w:ind w:right="-50"/>
        <w:jc w:val="both"/>
        <w:rPr>
          <w:rFonts w:ascii="Arial" w:eastAsia="Arial" w:hAnsi="Arial" w:cs="Arial"/>
          <w:b/>
          <w:bCs/>
        </w:rPr>
      </w:pPr>
      <w:r w:rsidRPr="00197765">
        <w:rPr>
          <w:rFonts w:ascii="Arial" w:eastAsia="Arial" w:hAnsi="Arial" w:cs="Arial"/>
          <w:b/>
          <w:bCs/>
        </w:rPr>
        <w:t>Del informe enviado retomamos lo siguiente:</w:t>
      </w:r>
    </w:p>
    <w:p w14:paraId="467D4081" w14:textId="77777777" w:rsidR="00561B22" w:rsidRPr="00197765" w:rsidRDefault="00561B22" w:rsidP="00561B22">
      <w:pPr>
        <w:ind w:right="-50"/>
        <w:jc w:val="both"/>
        <w:rPr>
          <w:rFonts w:ascii="Arial" w:eastAsia="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97765" w14:paraId="7D4AF68D" w14:textId="77777777" w:rsidTr="00F1223B">
        <w:tc>
          <w:tcPr>
            <w:tcW w:w="562" w:type="dxa"/>
          </w:tcPr>
          <w:p w14:paraId="4E207525" w14:textId="77777777" w:rsidR="00561B22" w:rsidRPr="00197765" w:rsidRDefault="00561B22" w:rsidP="00F1223B">
            <w:pPr>
              <w:ind w:right="-109"/>
              <w:jc w:val="center"/>
              <w:rPr>
                <w:rFonts w:ascii="Arial" w:eastAsia="Arial" w:hAnsi="Arial" w:cs="Arial"/>
                <w:b/>
                <w:sz w:val="22"/>
                <w:szCs w:val="22"/>
                <w:lang w:val="es-MX"/>
              </w:rPr>
            </w:pPr>
            <w:r w:rsidRPr="00197765">
              <w:rPr>
                <w:rFonts w:ascii="Arial" w:eastAsia="Arial" w:hAnsi="Arial" w:cs="Arial"/>
                <w:b/>
                <w:sz w:val="22"/>
                <w:szCs w:val="22"/>
                <w:lang w:val="es-MX"/>
              </w:rPr>
              <w:t>N°</w:t>
            </w:r>
          </w:p>
        </w:tc>
        <w:tc>
          <w:tcPr>
            <w:tcW w:w="9400" w:type="dxa"/>
          </w:tcPr>
          <w:p w14:paraId="5345AEEC" w14:textId="77777777" w:rsidR="00561B22" w:rsidRDefault="00561B22" w:rsidP="001C6DB6">
            <w:pPr>
              <w:jc w:val="center"/>
              <w:rPr>
                <w:rFonts w:ascii="Arial" w:eastAsia="Arial" w:hAnsi="Arial" w:cs="Arial"/>
                <w:b/>
                <w:sz w:val="22"/>
                <w:szCs w:val="22"/>
                <w:lang w:val="es-MX"/>
              </w:rPr>
            </w:pPr>
            <w:r w:rsidRPr="00197765">
              <w:rPr>
                <w:rFonts w:ascii="Arial" w:eastAsia="Arial" w:hAnsi="Arial" w:cs="Arial"/>
                <w:b/>
                <w:sz w:val="22"/>
                <w:szCs w:val="22"/>
                <w:lang w:val="es-MX"/>
              </w:rPr>
              <w:t>RECOMENDACIONES</w:t>
            </w:r>
          </w:p>
          <w:p w14:paraId="46F9EECD" w14:textId="053EBF83" w:rsidR="00E37B6C" w:rsidRPr="00197765" w:rsidRDefault="00E37B6C" w:rsidP="001C6DB6">
            <w:pPr>
              <w:jc w:val="center"/>
              <w:rPr>
                <w:rFonts w:ascii="Arial" w:eastAsia="Arial" w:hAnsi="Arial" w:cs="Arial"/>
                <w:b/>
                <w:sz w:val="22"/>
                <w:szCs w:val="22"/>
                <w:lang w:val="es-MX"/>
              </w:rPr>
            </w:pPr>
          </w:p>
        </w:tc>
      </w:tr>
      <w:tr w:rsidR="00561B22" w:rsidRPr="00197765" w14:paraId="736F84FA" w14:textId="77777777" w:rsidTr="00F1223B">
        <w:tc>
          <w:tcPr>
            <w:tcW w:w="562" w:type="dxa"/>
          </w:tcPr>
          <w:p w14:paraId="3FE17563" w14:textId="77777777" w:rsidR="00561B22" w:rsidRPr="00197765" w:rsidRDefault="00561B22" w:rsidP="00F1223B">
            <w:pPr>
              <w:jc w:val="center"/>
              <w:rPr>
                <w:rFonts w:ascii="Arial" w:eastAsia="Arial" w:hAnsi="Arial" w:cs="Arial"/>
                <w:b/>
                <w:sz w:val="22"/>
                <w:szCs w:val="22"/>
                <w:lang w:val="es-MX"/>
              </w:rPr>
            </w:pPr>
            <w:r w:rsidRPr="00197765">
              <w:rPr>
                <w:rFonts w:ascii="Arial" w:eastAsia="Arial" w:hAnsi="Arial" w:cs="Arial"/>
                <w:b/>
                <w:sz w:val="22"/>
                <w:szCs w:val="22"/>
                <w:lang w:val="es-MX"/>
              </w:rPr>
              <w:t>1</w:t>
            </w:r>
          </w:p>
        </w:tc>
        <w:tc>
          <w:tcPr>
            <w:tcW w:w="9400" w:type="dxa"/>
          </w:tcPr>
          <w:p w14:paraId="47611BAD" w14:textId="77777777" w:rsidR="00561B22" w:rsidRPr="00197765" w:rsidRDefault="00561B22" w:rsidP="00F1223B">
            <w:pPr>
              <w:jc w:val="both"/>
              <w:rPr>
                <w:rFonts w:ascii="Arial" w:hAnsi="Arial" w:cs="Arial"/>
                <w:bCs/>
                <w:sz w:val="22"/>
                <w:szCs w:val="22"/>
                <w:lang w:val="es-MX"/>
              </w:rPr>
            </w:pPr>
            <w:r w:rsidRPr="00197765">
              <w:rPr>
                <w:rFonts w:ascii="Arial" w:hAnsi="Arial" w:cs="Arial"/>
                <w:bCs/>
                <w:sz w:val="22"/>
                <w:szCs w:val="22"/>
                <w:lang w:val="es-MX"/>
              </w:rPr>
              <w:t>Continuar el fortalecimiento del mapa de riesgos del proceso de Gestión Contable y del Proceso de Gestión de Negocios Fiduciarios y de terceros, de tal forma que todos los controles asociados al proceso se encuentren documentados.</w:t>
            </w:r>
          </w:p>
        </w:tc>
      </w:tr>
      <w:tr w:rsidR="00561B22" w:rsidRPr="00197765" w14:paraId="04E5AAB2" w14:textId="77777777" w:rsidTr="00F1223B">
        <w:tc>
          <w:tcPr>
            <w:tcW w:w="562" w:type="dxa"/>
          </w:tcPr>
          <w:p w14:paraId="184D4F74" w14:textId="77777777" w:rsidR="00561B22" w:rsidRPr="00197765" w:rsidRDefault="00561B22" w:rsidP="00F1223B">
            <w:pPr>
              <w:jc w:val="center"/>
              <w:rPr>
                <w:rFonts w:ascii="Arial" w:eastAsia="Arial" w:hAnsi="Arial" w:cs="Arial"/>
                <w:b/>
                <w:sz w:val="22"/>
                <w:szCs w:val="22"/>
                <w:lang w:val="es-MX"/>
              </w:rPr>
            </w:pPr>
            <w:r w:rsidRPr="00197765">
              <w:rPr>
                <w:rFonts w:ascii="Arial" w:eastAsia="Arial" w:hAnsi="Arial" w:cs="Arial"/>
                <w:b/>
                <w:sz w:val="22"/>
                <w:szCs w:val="22"/>
                <w:lang w:val="es-MX"/>
              </w:rPr>
              <w:t>2</w:t>
            </w:r>
          </w:p>
        </w:tc>
        <w:tc>
          <w:tcPr>
            <w:tcW w:w="9400" w:type="dxa"/>
          </w:tcPr>
          <w:p w14:paraId="68EDC684" w14:textId="77777777" w:rsidR="00561B22" w:rsidRPr="00197765" w:rsidRDefault="00561B22" w:rsidP="00F1223B">
            <w:pPr>
              <w:jc w:val="both"/>
              <w:rPr>
                <w:rFonts w:ascii="Arial" w:eastAsia="Arial" w:hAnsi="Arial" w:cs="Arial"/>
                <w:bCs/>
                <w:sz w:val="22"/>
                <w:szCs w:val="22"/>
                <w:lang w:val="es-MX"/>
              </w:rPr>
            </w:pPr>
            <w:r w:rsidRPr="00197765">
              <w:rPr>
                <w:rFonts w:ascii="Arial" w:eastAsia="Arial" w:hAnsi="Arial" w:cs="Arial"/>
                <w:bCs/>
                <w:sz w:val="22"/>
                <w:szCs w:val="22"/>
                <w:lang w:val="es-MX"/>
              </w:rPr>
              <w:t>Formalizar la documentación asociada a las políticas contables que rigen el FONDES.</w:t>
            </w:r>
          </w:p>
        </w:tc>
      </w:tr>
    </w:tbl>
    <w:p w14:paraId="79D221FD" w14:textId="77777777" w:rsidR="00561B22" w:rsidRPr="00197765" w:rsidRDefault="00561B22" w:rsidP="00561B22">
      <w:pPr>
        <w:ind w:right="-50"/>
        <w:jc w:val="both"/>
        <w:rPr>
          <w:rFonts w:ascii="Arial" w:eastAsia="Arial" w:hAnsi="Arial" w:cs="Arial"/>
          <w:b/>
          <w:bCs/>
        </w:rPr>
      </w:pPr>
    </w:p>
    <w:p w14:paraId="0D6ED103" w14:textId="77777777" w:rsidR="00561B22" w:rsidRPr="00197765" w:rsidRDefault="00561B22" w:rsidP="00561B22">
      <w:pPr>
        <w:jc w:val="both"/>
        <w:rPr>
          <w:rFonts w:ascii="Arial" w:eastAsia="Arial" w:hAnsi="Arial" w:cs="Arial"/>
          <w:b/>
          <w:bCs/>
        </w:rPr>
      </w:pPr>
      <w:r w:rsidRPr="00197765">
        <w:rPr>
          <w:rFonts w:ascii="Arial" w:eastAsia="Arial" w:hAnsi="Arial" w:cs="Arial"/>
          <w:b/>
          <w:bCs/>
        </w:rPr>
        <w:t xml:space="preserve">NOTA: LA ENTIDAD ENVÍA LA MATRIZ DE AUTOEVALUACIÓN DEL SISTEMA DE CONTROL INTERNO CONTABLE CON </w:t>
      </w:r>
      <w:r w:rsidRPr="00197765">
        <w:rPr>
          <w:rFonts w:ascii="Arial" w:eastAsia="Arial" w:hAnsi="Arial" w:cs="Arial"/>
          <w:b/>
          <w:bCs/>
          <w:u w:val="single"/>
        </w:rPr>
        <w:t>ACTIVIDADES DE CONTROL REALIZADAS EN FORMA PARCIAL</w:t>
      </w:r>
      <w:r w:rsidRPr="00197765">
        <w:rPr>
          <w:rFonts w:ascii="Arial" w:eastAsia="Arial" w:hAnsi="Arial" w:cs="Arial"/>
          <w:b/>
          <w:bCs/>
        </w:rPr>
        <w:t>.</w:t>
      </w:r>
    </w:p>
    <w:p w14:paraId="6F551B5B" w14:textId="77777777" w:rsidR="00561B22" w:rsidRPr="00197765" w:rsidRDefault="00561B22" w:rsidP="00561B22">
      <w:pPr>
        <w:jc w:val="both"/>
        <w:rPr>
          <w:rFonts w:ascii="Arial" w:hAnsi="Arial" w:cs="Arial"/>
          <w:b/>
          <w:lang w:val="es-MX"/>
        </w:rPr>
      </w:pPr>
    </w:p>
    <w:p w14:paraId="2F0765E6" w14:textId="77777777" w:rsidR="00561B22" w:rsidRPr="00197765" w:rsidRDefault="00561B22" w:rsidP="00561B22">
      <w:pPr>
        <w:jc w:val="both"/>
        <w:rPr>
          <w:rFonts w:ascii="Arial" w:hAnsi="Arial" w:cs="Arial"/>
          <w:bCs/>
          <w:lang w:val="es-MX"/>
        </w:rPr>
      </w:pPr>
      <w:r w:rsidRPr="00197765">
        <w:rPr>
          <w:rFonts w:ascii="Arial" w:hAnsi="Arial" w:cs="Arial"/>
          <w:bCs/>
          <w:lang w:val="es-MX"/>
        </w:rPr>
        <w:t>-Del informe de Auditoría Interna de la Entidad, retomamos:</w:t>
      </w:r>
    </w:p>
    <w:p w14:paraId="49DCFB80" w14:textId="77777777" w:rsidR="00561B22" w:rsidRPr="00197765"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197765" w14:paraId="772F5CEA" w14:textId="77777777" w:rsidTr="00F1223B">
        <w:tc>
          <w:tcPr>
            <w:tcW w:w="4981" w:type="dxa"/>
          </w:tcPr>
          <w:p w14:paraId="3DA93A43" w14:textId="77777777" w:rsidR="00561B22" w:rsidRPr="00197765" w:rsidRDefault="00561B22" w:rsidP="00F1223B">
            <w:pPr>
              <w:jc w:val="center"/>
              <w:rPr>
                <w:rFonts w:ascii="Arial" w:hAnsi="Arial" w:cs="Arial"/>
                <w:b/>
                <w:sz w:val="22"/>
                <w:szCs w:val="22"/>
                <w:lang w:val="es-MX"/>
              </w:rPr>
            </w:pPr>
            <w:r w:rsidRPr="00197765">
              <w:rPr>
                <w:rFonts w:ascii="Arial" w:hAnsi="Arial" w:cs="Arial"/>
                <w:b/>
                <w:sz w:val="22"/>
                <w:szCs w:val="22"/>
                <w:lang w:val="es-MX"/>
              </w:rPr>
              <w:t>CALIFICACIÓN HALLAZGO</w:t>
            </w:r>
          </w:p>
        </w:tc>
        <w:tc>
          <w:tcPr>
            <w:tcW w:w="4981" w:type="dxa"/>
          </w:tcPr>
          <w:p w14:paraId="202CF13C" w14:textId="77777777" w:rsidR="00561B22" w:rsidRPr="00197765" w:rsidRDefault="00561B22" w:rsidP="00F1223B">
            <w:pPr>
              <w:jc w:val="center"/>
              <w:rPr>
                <w:rFonts w:ascii="Arial" w:hAnsi="Arial" w:cs="Arial"/>
                <w:b/>
                <w:sz w:val="22"/>
                <w:szCs w:val="22"/>
                <w:u w:val="single"/>
                <w:lang w:val="es-MX"/>
              </w:rPr>
            </w:pPr>
            <w:r w:rsidRPr="00197765">
              <w:rPr>
                <w:rFonts w:ascii="Arial" w:hAnsi="Arial" w:cs="Arial"/>
                <w:b/>
                <w:sz w:val="22"/>
                <w:szCs w:val="22"/>
                <w:u w:val="single"/>
                <w:lang w:val="es-MX"/>
              </w:rPr>
              <w:t>BAJO</w:t>
            </w:r>
          </w:p>
        </w:tc>
      </w:tr>
    </w:tbl>
    <w:p w14:paraId="6F0C8034" w14:textId="77777777" w:rsidR="00561B22" w:rsidRPr="00197765" w:rsidRDefault="00561B22" w:rsidP="00561B22">
      <w:pPr>
        <w:jc w:val="both"/>
        <w:rPr>
          <w:rFonts w:ascii="Arial" w:hAnsi="Arial" w:cs="Arial"/>
          <w:b/>
          <w:lang w:val="es-MX"/>
        </w:rPr>
      </w:pPr>
    </w:p>
    <w:p w14:paraId="4D9F4D31" w14:textId="77777777" w:rsidR="00561B22" w:rsidRPr="00197765" w:rsidRDefault="00561B22" w:rsidP="00561B22">
      <w:pPr>
        <w:jc w:val="both"/>
        <w:rPr>
          <w:rFonts w:ascii="Arial" w:hAnsi="Arial" w:cs="Arial"/>
          <w:bCs/>
          <w:lang w:val="es-MX"/>
        </w:rPr>
      </w:pPr>
      <w:r w:rsidRPr="00197765">
        <w:rPr>
          <w:rFonts w:ascii="Arial" w:hAnsi="Arial" w:cs="Arial"/>
          <w:bCs/>
          <w:lang w:val="es-MX"/>
        </w:rPr>
        <w:t>De acuerdo con la revisión del checklist del control interno contable del patrimonio autónomo de FONDES, se identificó lo siguiente:</w:t>
      </w:r>
    </w:p>
    <w:p w14:paraId="736125D7" w14:textId="77777777" w:rsidR="00561B22" w:rsidRPr="00197765" w:rsidRDefault="00561B22" w:rsidP="00561B22">
      <w:pPr>
        <w:jc w:val="both"/>
        <w:rPr>
          <w:rFonts w:ascii="Arial" w:hAnsi="Arial" w:cs="Arial"/>
          <w:b/>
          <w:lang w:val="es-MX"/>
        </w:rPr>
      </w:pPr>
    </w:p>
    <w:p w14:paraId="70F5AF86" w14:textId="77777777" w:rsidR="00561B22" w:rsidRPr="00197765" w:rsidRDefault="00561B22" w:rsidP="00561B22">
      <w:pPr>
        <w:pStyle w:val="Prrafodelista"/>
        <w:numPr>
          <w:ilvl w:val="0"/>
          <w:numId w:val="119"/>
        </w:numPr>
        <w:spacing w:before="1"/>
        <w:jc w:val="both"/>
        <w:rPr>
          <w:bCs/>
          <w:lang w:val="es-MX"/>
        </w:rPr>
      </w:pPr>
      <w:r w:rsidRPr="00197765">
        <w:rPr>
          <w:bCs/>
          <w:lang w:val="es-MX"/>
        </w:rPr>
        <w:t>Se ha observado que, aunque la Dirección Contable cuenta con las políticas contables aplicables a este patrimonio, dichas políticas no se encuentran disponibles en el repositorio oficial de la FDN en Megasite.</w:t>
      </w:r>
    </w:p>
    <w:p w14:paraId="1C5BA2CA" w14:textId="77777777" w:rsidR="00561B22" w:rsidRPr="00197765" w:rsidRDefault="00561B22" w:rsidP="00561B22">
      <w:pPr>
        <w:pStyle w:val="Prrafodelista"/>
        <w:ind w:left="720"/>
        <w:rPr>
          <w:bCs/>
          <w:lang w:val="es-MX"/>
        </w:rPr>
      </w:pPr>
    </w:p>
    <w:p w14:paraId="0280E3A6" w14:textId="77777777" w:rsidR="00561B22" w:rsidRPr="00806777" w:rsidRDefault="00561B22" w:rsidP="00561B22">
      <w:pPr>
        <w:jc w:val="both"/>
        <w:rPr>
          <w:rFonts w:ascii="Arial" w:hAnsi="Arial" w:cs="Arial"/>
          <w:b/>
          <w:sz w:val="28"/>
          <w:szCs w:val="28"/>
          <w:lang w:val="es-MX"/>
        </w:rPr>
      </w:pPr>
      <w:r w:rsidRPr="00806777">
        <w:rPr>
          <w:rFonts w:ascii="Arial" w:hAnsi="Arial" w:cs="Arial"/>
          <w:b/>
          <w:sz w:val="28"/>
          <w:szCs w:val="28"/>
          <w:lang w:val="es-MX"/>
        </w:rPr>
        <w:t>328.- CORPORACIÓN PÚBLICA LATINOAMERICANA DE CIENCIA, TECNOLOGÍA E INNOVACIÓN – KLUSTER LATAM.</w:t>
      </w:r>
    </w:p>
    <w:p w14:paraId="25A9F6A0" w14:textId="77777777" w:rsidR="00561B22" w:rsidRPr="00806777" w:rsidRDefault="00561B22" w:rsidP="00561B22">
      <w:pPr>
        <w:pStyle w:val="Textoindependiente"/>
        <w:tabs>
          <w:tab w:val="left" w:pos="2055"/>
        </w:tabs>
        <w:spacing w:before="5"/>
        <w:rPr>
          <w:rFonts w:ascii="Arial" w:hAnsi="Arial" w:cs="Arial"/>
          <w:lang w:val="es-MX"/>
        </w:rPr>
      </w:pPr>
    </w:p>
    <w:p w14:paraId="04672F20" w14:textId="77777777" w:rsidR="00561B22" w:rsidRPr="00806777" w:rsidRDefault="00561B22" w:rsidP="00561B22">
      <w:pPr>
        <w:pStyle w:val="Textoindependiente"/>
        <w:ind w:right="-50"/>
        <w:jc w:val="center"/>
        <w:rPr>
          <w:rFonts w:ascii="Arial" w:hAnsi="Arial" w:cs="Arial"/>
          <w:b/>
          <w:bCs/>
        </w:rPr>
      </w:pPr>
      <w:r w:rsidRPr="00806777">
        <w:rPr>
          <w:rFonts w:ascii="Arial" w:hAnsi="Arial" w:cs="Arial"/>
          <w:b/>
          <w:bCs/>
        </w:rPr>
        <w:t>INFORME DE LA AUTOCALIFICACIÓN DEL SISTEMA DE CONTROL INTERNO CONTABLE:</w:t>
      </w:r>
    </w:p>
    <w:p w14:paraId="05877E53" w14:textId="77777777" w:rsidR="00561B22" w:rsidRPr="0080677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806777" w14:paraId="18B2B095" w14:textId="77777777" w:rsidTr="00F1223B">
        <w:tc>
          <w:tcPr>
            <w:tcW w:w="4981" w:type="dxa"/>
          </w:tcPr>
          <w:p w14:paraId="3A05E343"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AUTOCALIFICACIÓN</w:t>
            </w:r>
          </w:p>
        </w:tc>
        <w:tc>
          <w:tcPr>
            <w:tcW w:w="4981" w:type="dxa"/>
          </w:tcPr>
          <w:p w14:paraId="0EEC4228" w14:textId="77777777" w:rsidR="00561B22" w:rsidRPr="00806777" w:rsidRDefault="00561B22" w:rsidP="00F1223B">
            <w:pPr>
              <w:jc w:val="center"/>
              <w:rPr>
                <w:rFonts w:ascii="Arial" w:hAnsi="Arial" w:cs="Arial"/>
                <w:b/>
                <w:sz w:val="22"/>
                <w:szCs w:val="22"/>
                <w:u w:val="single"/>
                <w:lang w:val="es-MX"/>
              </w:rPr>
            </w:pPr>
            <w:r w:rsidRPr="00806777">
              <w:rPr>
                <w:rFonts w:ascii="Arial" w:hAnsi="Arial" w:cs="Arial"/>
                <w:b/>
                <w:sz w:val="22"/>
                <w:szCs w:val="22"/>
                <w:u w:val="single"/>
                <w:lang w:val="es-MX"/>
              </w:rPr>
              <w:t>4.78</w:t>
            </w:r>
          </w:p>
        </w:tc>
      </w:tr>
    </w:tbl>
    <w:p w14:paraId="1A2CF283" w14:textId="77777777" w:rsidR="00561B22" w:rsidRPr="00806777" w:rsidRDefault="00561B22" w:rsidP="00561B22">
      <w:pPr>
        <w:pStyle w:val="Textoindependiente"/>
        <w:ind w:right="-50"/>
        <w:jc w:val="both"/>
        <w:rPr>
          <w:rFonts w:ascii="Arial" w:hAnsi="Arial" w:cs="Arial"/>
          <w:b/>
          <w:bCs/>
        </w:rPr>
      </w:pPr>
    </w:p>
    <w:p w14:paraId="49604FC6" w14:textId="77777777" w:rsidR="00561B22" w:rsidRPr="00806777" w:rsidRDefault="00561B22" w:rsidP="00561B22">
      <w:pPr>
        <w:pStyle w:val="Textoindependiente"/>
        <w:ind w:right="-50"/>
        <w:jc w:val="both"/>
        <w:rPr>
          <w:rFonts w:ascii="Arial" w:hAnsi="Arial" w:cs="Arial"/>
          <w:b/>
          <w:bCs/>
        </w:rPr>
      </w:pPr>
      <w:r w:rsidRPr="00806777">
        <w:rPr>
          <w:rFonts w:ascii="Arial" w:hAnsi="Arial" w:cs="Arial"/>
          <w:b/>
          <w:bCs/>
        </w:rPr>
        <w:t>Del informe enviado retomamos lo siguiente:</w:t>
      </w:r>
    </w:p>
    <w:p w14:paraId="0EE14403" w14:textId="77777777" w:rsidR="00561B22" w:rsidRPr="00806777"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806777" w14:paraId="396BFBC0" w14:textId="77777777" w:rsidTr="00F1223B">
        <w:tc>
          <w:tcPr>
            <w:tcW w:w="562" w:type="dxa"/>
          </w:tcPr>
          <w:p w14:paraId="72FADBD6" w14:textId="77777777" w:rsidR="00561B22" w:rsidRPr="00806777" w:rsidRDefault="00561B22" w:rsidP="00F1223B">
            <w:pPr>
              <w:ind w:right="-109"/>
              <w:jc w:val="center"/>
              <w:rPr>
                <w:rFonts w:ascii="Arial" w:hAnsi="Arial" w:cs="Arial"/>
                <w:b/>
                <w:sz w:val="22"/>
                <w:szCs w:val="22"/>
                <w:lang w:val="es-MX"/>
              </w:rPr>
            </w:pPr>
            <w:r w:rsidRPr="00806777">
              <w:rPr>
                <w:rFonts w:ascii="Arial" w:hAnsi="Arial" w:cs="Arial"/>
                <w:b/>
                <w:sz w:val="22"/>
                <w:szCs w:val="22"/>
                <w:lang w:val="es-MX"/>
              </w:rPr>
              <w:t>N°</w:t>
            </w:r>
          </w:p>
        </w:tc>
        <w:tc>
          <w:tcPr>
            <w:tcW w:w="9400" w:type="dxa"/>
          </w:tcPr>
          <w:p w14:paraId="1CD09C27"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DEBILIDADES</w:t>
            </w:r>
          </w:p>
          <w:p w14:paraId="0A033DF1" w14:textId="77777777" w:rsidR="00561B22" w:rsidRPr="00806777" w:rsidRDefault="00561B22" w:rsidP="00F1223B">
            <w:pPr>
              <w:jc w:val="center"/>
              <w:rPr>
                <w:rFonts w:ascii="Arial" w:hAnsi="Arial" w:cs="Arial"/>
                <w:b/>
                <w:sz w:val="22"/>
                <w:szCs w:val="22"/>
                <w:lang w:val="es-MX"/>
              </w:rPr>
            </w:pPr>
          </w:p>
        </w:tc>
      </w:tr>
      <w:tr w:rsidR="00561B22" w:rsidRPr="00806777" w14:paraId="043ECA68" w14:textId="77777777" w:rsidTr="00F1223B">
        <w:tc>
          <w:tcPr>
            <w:tcW w:w="562" w:type="dxa"/>
          </w:tcPr>
          <w:p w14:paraId="7EA5CD3D"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1</w:t>
            </w:r>
          </w:p>
        </w:tc>
        <w:tc>
          <w:tcPr>
            <w:tcW w:w="9400" w:type="dxa"/>
          </w:tcPr>
          <w:p w14:paraId="39BF8ADB"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 xml:space="preserve">Se presentan algunas debilidades en la identificación y gestión del riesgo, se hace necesario estandarizar la identificación y seguimiento. </w:t>
            </w:r>
          </w:p>
        </w:tc>
      </w:tr>
      <w:tr w:rsidR="00561B22" w:rsidRPr="00806777" w14:paraId="0B04668F" w14:textId="77777777" w:rsidTr="00F1223B">
        <w:tc>
          <w:tcPr>
            <w:tcW w:w="562" w:type="dxa"/>
          </w:tcPr>
          <w:p w14:paraId="77E798E5"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2</w:t>
            </w:r>
          </w:p>
        </w:tc>
        <w:tc>
          <w:tcPr>
            <w:tcW w:w="9400" w:type="dxa"/>
          </w:tcPr>
          <w:p w14:paraId="0AE19456"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 xml:space="preserve">Se presenta ausencia de un plan de capacitación definido, Importante definirlo de manera institucional y poder garantizar retroalimentación por parte de los colaboradores. </w:t>
            </w:r>
          </w:p>
        </w:tc>
      </w:tr>
      <w:tr w:rsidR="00561B22" w:rsidRPr="00806777" w14:paraId="62E4413B" w14:textId="77777777" w:rsidTr="00F1223B">
        <w:tc>
          <w:tcPr>
            <w:tcW w:w="562" w:type="dxa"/>
          </w:tcPr>
          <w:p w14:paraId="42DF4215"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3</w:t>
            </w:r>
          </w:p>
        </w:tc>
        <w:tc>
          <w:tcPr>
            <w:tcW w:w="9400" w:type="dxa"/>
          </w:tcPr>
          <w:p w14:paraId="09F6FA12"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 xml:space="preserve">Se debe fortalecer indicadores para evaluar la efectividad y aporte a la mejora de ciertas actividades con información relevante para la mejora continua.  </w:t>
            </w:r>
          </w:p>
        </w:tc>
      </w:tr>
      <w:tr w:rsidR="00561B22" w:rsidRPr="00806777" w14:paraId="015BFC9F" w14:textId="77777777" w:rsidTr="00F1223B">
        <w:tc>
          <w:tcPr>
            <w:tcW w:w="562" w:type="dxa"/>
          </w:tcPr>
          <w:p w14:paraId="69A75337"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4</w:t>
            </w:r>
          </w:p>
        </w:tc>
        <w:tc>
          <w:tcPr>
            <w:tcW w:w="9400" w:type="dxa"/>
          </w:tcPr>
          <w:p w14:paraId="53305C91"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 xml:space="preserve">Generar espacios de capacitación e inducción para conocer y entender los lineamientos contables y financieros generales y los estructurados en la entidad. </w:t>
            </w:r>
          </w:p>
        </w:tc>
      </w:tr>
      <w:tr w:rsidR="00561B22" w:rsidRPr="00806777" w14:paraId="2EAC1F1A" w14:textId="77777777" w:rsidTr="00F1223B">
        <w:tc>
          <w:tcPr>
            <w:tcW w:w="562" w:type="dxa"/>
          </w:tcPr>
          <w:p w14:paraId="40F7205A"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5</w:t>
            </w:r>
          </w:p>
        </w:tc>
        <w:tc>
          <w:tcPr>
            <w:tcW w:w="9400" w:type="dxa"/>
          </w:tcPr>
          <w:p w14:paraId="63A0E633"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Es importante generar análisis y perfiles de cargo con el fin de responder a las responsabilidades y necesidades de gestión del proceso.</w:t>
            </w:r>
          </w:p>
        </w:tc>
      </w:tr>
    </w:tbl>
    <w:p w14:paraId="1C31E37E" w14:textId="77777777" w:rsidR="00561B22" w:rsidRPr="00806777" w:rsidRDefault="00561B22" w:rsidP="00561B22">
      <w:pPr>
        <w:pStyle w:val="Textoindependiente"/>
        <w:ind w:right="-50"/>
        <w:jc w:val="both"/>
        <w:rPr>
          <w:rFonts w:ascii="Arial" w:hAnsi="Arial" w:cs="Arial"/>
          <w:b/>
          <w:bCs/>
        </w:rPr>
      </w:pPr>
    </w:p>
    <w:p w14:paraId="40F11158" w14:textId="77777777" w:rsidR="00561B22" w:rsidRPr="00806777" w:rsidRDefault="00561B22" w:rsidP="00561B22">
      <w:pPr>
        <w:jc w:val="both"/>
        <w:rPr>
          <w:rFonts w:ascii="Arial" w:hAnsi="Arial" w:cs="Arial"/>
          <w:b/>
          <w:lang w:val="es-MX"/>
        </w:rPr>
      </w:pPr>
      <w:r w:rsidRPr="00806777">
        <w:rPr>
          <w:rFonts w:ascii="Arial" w:hAnsi="Arial" w:cs="Arial"/>
          <w:b/>
          <w:lang w:val="es-MX"/>
        </w:rPr>
        <w:t>Del citado informe retomamos las siguientes recomendaciones:</w:t>
      </w:r>
    </w:p>
    <w:p w14:paraId="7B333C20" w14:textId="77777777" w:rsidR="00561B22" w:rsidRPr="00806777"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806777" w14:paraId="3E765BA8" w14:textId="77777777" w:rsidTr="00F1223B">
        <w:tc>
          <w:tcPr>
            <w:tcW w:w="562" w:type="dxa"/>
          </w:tcPr>
          <w:p w14:paraId="77968BB0" w14:textId="77777777" w:rsidR="00561B22" w:rsidRPr="00806777" w:rsidRDefault="00561B22" w:rsidP="00F1223B">
            <w:pPr>
              <w:ind w:right="-109"/>
              <w:jc w:val="center"/>
              <w:rPr>
                <w:rFonts w:ascii="Arial" w:hAnsi="Arial" w:cs="Arial"/>
                <w:b/>
                <w:sz w:val="22"/>
                <w:szCs w:val="22"/>
                <w:lang w:val="es-MX"/>
              </w:rPr>
            </w:pPr>
            <w:r w:rsidRPr="00806777">
              <w:rPr>
                <w:rFonts w:ascii="Arial" w:hAnsi="Arial" w:cs="Arial"/>
                <w:b/>
                <w:sz w:val="22"/>
                <w:szCs w:val="22"/>
                <w:lang w:val="es-MX"/>
              </w:rPr>
              <w:t>N°</w:t>
            </w:r>
          </w:p>
        </w:tc>
        <w:tc>
          <w:tcPr>
            <w:tcW w:w="9400" w:type="dxa"/>
          </w:tcPr>
          <w:p w14:paraId="6579C6B6"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RECOMENDACIONES</w:t>
            </w:r>
          </w:p>
          <w:p w14:paraId="0BC923FD" w14:textId="77777777" w:rsidR="00561B22" w:rsidRPr="00806777" w:rsidRDefault="00561B22" w:rsidP="00F1223B">
            <w:pPr>
              <w:jc w:val="center"/>
              <w:rPr>
                <w:rFonts w:ascii="Arial" w:hAnsi="Arial" w:cs="Arial"/>
                <w:b/>
                <w:sz w:val="22"/>
                <w:szCs w:val="22"/>
                <w:lang w:val="es-MX"/>
              </w:rPr>
            </w:pPr>
          </w:p>
        </w:tc>
      </w:tr>
      <w:tr w:rsidR="00561B22" w:rsidRPr="00806777" w14:paraId="71ED9D33" w14:textId="77777777" w:rsidTr="00F1223B">
        <w:tc>
          <w:tcPr>
            <w:tcW w:w="562" w:type="dxa"/>
          </w:tcPr>
          <w:p w14:paraId="5DA6FF17"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1</w:t>
            </w:r>
          </w:p>
        </w:tc>
        <w:tc>
          <w:tcPr>
            <w:tcW w:w="9400" w:type="dxa"/>
          </w:tcPr>
          <w:p w14:paraId="6A9504FF"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Se hace necesario estandarizar la identificación y seguimiento para la gestión del riesgo.</w:t>
            </w:r>
          </w:p>
        </w:tc>
      </w:tr>
      <w:tr w:rsidR="00561B22" w:rsidRPr="00806777" w14:paraId="483D84E5" w14:textId="77777777" w:rsidTr="00F1223B">
        <w:tc>
          <w:tcPr>
            <w:tcW w:w="562" w:type="dxa"/>
          </w:tcPr>
          <w:p w14:paraId="43B4A351"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2</w:t>
            </w:r>
          </w:p>
        </w:tc>
        <w:tc>
          <w:tcPr>
            <w:tcW w:w="9400" w:type="dxa"/>
          </w:tcPr>
          <w:p w14:paraId="03EA2296"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Importante definir un plan de capacitación institucional y garantizar su adecuado cumplimiento.</w:t>
            </w:r>
          </w:p>
        </w:tc>
      </w:tr>
      <w:tr w:rsidR="00561B22" w:rsidRPr="00806777" w14:paraId="7BC9CB21" w14:textId="77777777" w:rsidTr="00F1223B">
        <w:tc>
          <w:tcPr>
            <w:tcW w:w="562" w:type="dxa"/>
          </w:tcPr>
          <w:p w14:paraId="7B202C11"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3</w:t>
            </w:r>
          </w:p>
        </w:tc>
        <w:tc>
          <w:tcPr>
            <w:tcW w:w="9400" w:type="dxa"/>
          </w:tcPr>
          <w:p w14:paraId="1C477114"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 xml:space="preserve">Fortalecer indicadores para evaluar la efectividad y aporte a la mejora de ciertas actividades con información relevante para la mejora continua.  </w:t>
            </w:r>
          </w:p>
        </w:tc>
      </w:tr>
      <w:tr w:rsidR="00561B22" w:rsidRPr="00806777" w14:paraId="45D9C8DF" w14:textId="77777777" w:rsidTr="00F1223B">
        <w:tc>
          <w:tcPr>
            <w:tcW w:w="562" w:type="dxa"/>
          </w:tcPr>
          <w:p w14:paraId="07829A0B"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4</w:t>
            </w:r>
          </w:p>
        </w:tc>
        <w:tc>
          <w:tcPr>
            <w:tcW w:w="9400" w:type="dxa"/>
          </w:tcPr>
          <w:p w14:paraId="385C3E96"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Generar espacios de capacitación e inducción para conocer y entender los lineamientos contables y financieros generales y los estructurados en la entidad.</w:t>
            </w:r>
          </w:p>
        </w:tc>
      </w:tr>
      <w:tr w:rsidR="00561B22" w:rsidRPr="00806777" w14:paraId="559AE804" w14:textId="77777777" w:rsidTr="00F1223B">
        <w:tc>
          <w:tcPr>
            <w:tcW w:w="562" w:type="dxa"/>
          </w:tcPr>
          <w:p w14:paraId="4EFBFEAF"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5</w:t>
            </w:r>
          </w:p>
        </w:tc>
        <w:tc>
          <w:tcPr>
            <w:tcW w:w="9400" w:type="dxa"/>
          </w:tcPr>
          <w:p w14:paraId="34665A17"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Es importante generar análisis y perfiles de cargo con el fin de responder a las responsabilidades y necesidades de gestión del proceso.</w:t>
            </w:r>
          </w:p>
        </w:tc>
      </w:tr>
      <w:tr w:rsidR="00561B22" w:rsidRPr="00806777" w14:paraId="23C4868F" w14:textId="77777777" w:rsidTr="00F1223B">
        <w:tc>
          <w:tcPr>
            <w:tcW w:w="562" w:type="dxa"/>
          </w:tcPr>
          <w:p w14:paraId="32C3BC1E" w14:textId="77777777" w:rsidR="00561B22" w:rsidRPr="00806777" w:rsidRDefault="00561B22" w:rsidP="00F1223B">
            <w:pPr>
              <w:jc w:val="center"/>
              <w:rPr>
                <w:rFonts w:ascii="Arial" w:hAnsi="Arial" w:cs="Arial"/>
                <w:b/>
                <w:sz w:val="22"/>
                <w:szCs w:val="22"/>
                <w:lang w:val="es-MX"/>
              </w:rPr>
            </w:pPr>
            <w:r w:rsidRPr="00806777">
              <w:rPr>
                <w:rFonts w:ascii="Arial" w:hAnsi="Arial" w:cs="Arial"/>
                <w:b/>
                <w:sz w:val="22"/>
                <w:szCs w:val="22"/>
                <w:lang w:val="es-MX"/>
              </w:rPr>
              <w:t>6</w:t>
            </w:r>
          </w:p>
        </w:tc>
        <w:tc>
          <w:tcPr>
            <w:tcW w:w="9400" w:type="dxa"/>
          </w:tcPr>
          <w:p w14:paraId="1A149C7F" w14:textId="77777777" w:rsidR="00561B22" w:rsidRPr="00806777" w:rsidRDefault="00561B22" w:rsidP="00F1223B">
            <w:pPr>
              <w:jc w:val="both"/>
              <w:rPr>
                <w:rFonts w:ascii="Arial" w:hAnsi="Arial" w:cs="Arial"/>
                <w:bCs/>
                <w:sz w:val="22"/>
                <w:szCs w:val="22"/>
                <w:lang w:val="es-MX"/>
              </w:rPr>
            </w:pPr>
            <w:r w:rsidRPr="00806777">
              <w:rPr>
                <w:rFonts w:ascii="Arial" w:hAnsi="Arial" w:cs="Arial"/>
                <w:bCs/>
                <w:sz w:val="22"/>
                <w:szCs w:val="22"/>
                <w:lang w:val="es-MX"/>
              </w:rPr>
              <w:t>Adoptar buenas prácticas de gestión y operación sobre algunas entidades y experiencias de éxito.</w:t>
            </w:r>
          </w:p>
        </w:tc>
      </w:tr>
    </w:tbl>
    <w:p w14:paraId="456AEE4C" w14:textId="77777777" w:rsidR="00561B22" w:rsidRPr="00806777" w:rsidRDefault="00561B22" w:rsidP="00561B22">
      <w:pPr>
        <w:pStyle w:val="Textoindependiente"/>
        <w:ind w:right="-50"/>
        <w:jc w:val="both"/>
        <w:rPr>
          <w:rFonts w:ascii="Arial" w:hAnsi="Arial" w:cs="Arial"/>
          <w:b/>
          <w:bCs/>
          <w:sz w:val="28"/>
          <w:szCs w:val="28"/>
        </w:rPr>
      </w:pPr>
    </w:p>
    <w:p w14:paraId="3244A4FD" w14:textId="77777777" w:rsidR="00561B22" w:rsidRPr="00806777" w:rsidRDefault="00561B22" w:rsidP="00561B22">
      <w:pPr>
        <w:jc w:val="both"/>
        <w:rPr>
          <w:rFonts w:ascii="Arial" w:hAnsi="Arial" w:cs="Arial"/>
          <w:b/>
          <w:bCs/>
          <w:sz w:val="24"/>
          <w:szCs w:val="24"/>
          <w:lang w:val="es-CO"/>
        </w:rPr>
      </w:pPr>
      <w:r w:rsidRPr="00806777">
        <w:rPr>
          <w:rFonts w:ascii="Arial" w:hAnsi="Arial" w:cs="Arial"/>
          <w:b/>
          <w:bCs/>
          <w:sz w:val="24"/>
          <w:szCs w:val="24"/>
          <w:lang w:val="es-CO"/>
        </w:rPr>
        <w:t xml:space="preserve">NOTA: LA ENTIDAD ENVÍA LA MATRIZ DE AUTOEVALUACIÓN DEL SISTEMA DE CONTROL INTERNO CONTABLE CON </w:t>
      </w:r>
      <w:r w:rsidRPr="00806777">
        <w:rPr>
          <w:rFonts w:ascii="Arial" w:hAnsi="Arial" w:cs="Arial"/>
          <w:b/>
          <w:bCs/>
          <w:sz w:val="24"/>
          <w:szCs w:val="24"/>
          <w:u w:val="single"/>
          <w:lang w:val="es-CO"/>
        </w:rPr>
        <w:t xml:space="preserve">ACTIVIDADES DE CONTROL REALIZADAS EN </w:t>
      </w:r>
      <w:r w:rsidRPr="00806777">
        <w:rPr>
          <w:rFonts w:ascii="Arial" w:hAnsi="Arial" w:cs="Arial"/>
          <w:b/>
          <w:bCs/>
          <w:sz w:val="24"/>
          <w:szCs w:val="24"/>
          <w:u w:val="single"/>
          <w:lang w:val="es-CO"/>
        </w:rPr>
        <w:lastRenderedPageBreak/>
        <w:t>FORMA PARCIAL</w:t>
      </w:r>
      <w:r w:rsidRPr="00806777">
        <w:rPr>
          <w:rFonts w:ascii="Arial" w:hAnsi="Arial" w:cs="Arial"/>
          <w:b/>
          <w:bCs/>
          <w:sz w:val="24"/>
          <w:szCs w:val="24"/>
          <w:lang w:val="es-CO"/>
        </w:rPr>
        <w:t>.</w:t>
      </w:r>
    </w:p>
    <w:p w14:paraId="0E7A4D6A" w14:textId="77777777" w:rsidR="00561B22" w:rsidRPr="00806777" w:rsidRDefault="00561B22" w:rsidP="00561B22">
      <w:pPr>
        <w:pStyle w:val="Textoindependiente"/>
        <w:tabs>
          <w:tab w:val="left" w:pos="2055"/>
        </w:tabs>
        <w:spacing w:before="5"/>
        <w:rPr>
          <w:rFonts w:ascii="Arial" w:hAnsi="Arial" w:cs="Arial"/>
          <w:lang w:val="es-CO"/>
        </w:rPr>
      </w:pPr>
    </w:p>
    <w:p w14:paraId="04F88446" w14:textId="77777777" w:rsidR="00561B22" w:rsidRDefault="00561B22" w:rsidP="00561B22">
      <w:pPr>
        <w:jc w:val="both"/>
        <w:rPr>
          <w:rFonts w:ascii="Arial" w:hAnsi="Arial" w:cs="Arial"/>
          <w:b/>
          <w:sz w:val="28"/>
          <w:szCs w:val="28"/>
          <w:lang w:val="es-MX"/>
        </w:rPr>
      </w:pPr>
      <w:r>
        <w:rPr>
          <w:rFonts w:ascii="Arial" w:hAnsi="Arial" w:cs="Arial"/>
          <w:b/>
          <w:sz w:val="28"/>
          <w:szCs w:val="28"/>
          <w:lang w:val="es-MX"/>
        </w:rPr>
        <w:t xml:space="preserve">329.- SERVICIO NACIONAL DE APRENDIZAJE – SENA. </w:t>
      </w:r>
    </w:p>
    <w:p w14:paraId="4CF71DB6" w14:textId="77777777" w:rsidR="00561B22" w:rsidRDefault="00561B22" w:rsidP="00561B22">
      <w:pPr>
        <w:ind w:right="-93"/>
        <w:jc w:val="both"/>
        <w:rPr>
          <w:rFonts w:ascii="Arial" w:hAnsi="Arial" w:cs="Arial"/>
          <w:b/>
          <w:sz w:val="24"/>
          <w:szCs w:val="24"/>
        </w:rPr>
      </w:pPr>
    </w:p>
    <w:p w14:paraId="3F3BB65E" w14:textId="77777777" w:rsidR="00561B22" w:rsidRPr="00205AAF" w:rsidRDefault="00561B22" w:rsidP="00561B22">
      <w:pPr>
        <w:pStyle w:val="Textoindependiente"/>
        <w:ind w:right="-50"/>
        <w:jc w:val="center"/>
        <w:rPr>
          <w:rFonts w:ascii="Arial" w:hAnsi="Arial" w:cs="Arial"/>
          <w:b/>
          <w:bCs/>
        </w:rPr>
      </w:pPr>
      <w:r w:rsidRPr="00205AAF">
        <w:rPr>
          <w:rFonts w:ascii="Arial" w:hAnsi="Arial" w:cs="Arial"/>
          <w:b/>
          <w:bCs/>
        </w:rPr>
        <w:t>INFORME DE LA AUTOCALIFICACIÓN DEL SISTEMA DE CONTROL INTERNO CONTABLE:</w:t>
      </w:r>
    </w:p>
    <w:p w14:paraId="70D01986" w14:textId="77777777" w:rsidR="00561B22" w:rsidRPr="00205AA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05AAF" w14:paraId="749A68D7" w14:textId="77777777" w:rsidTr="00F1223B">
        <w:tc>
          <w:tcPr>
            <w:tcW w:w="4981" w:type="dxa"/>
          </w:tcPr>
          <w:p w14:paraId="7A7020AA"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AUTOCALIFICACIÓN</w:t>
            </w:r>
          </w:p>
        </w:tc>
        <w:tc>
          <w:tcPr>
            <w:tcW w:w="4981" w:type="dxa"/>
          </w:tcPr>
          <w:p w14:paraId="3AA204AE" w14:textId="77777777" w:rsidR="00561B22" w:rsidRPr="00205AAF" w:rsidRDefault="00561B22" w:rsidP="00F1223B">
            <w:pPr>
              <w:jc w:val="center"/>
              <w:rPr>
                <w:rFonts w:ascii="Arial" w:hAnsi="Arial" w:cs="Arial"/>
                <w:b/>
                <w:sz w:val="22"/>
                <w:szCs w:val="22"/>
                <w:u w:val="single"/>
                <w:lang w:val="es-MX"/>
              </w:rPr>
            </w:pPr>
            <w:r w:rsidRPr="00205AAF">
              <w:rPr>
                <w:rFonts w:ascii="Arial" w:hAnsi="Arial" w:cs="Arial"/>
                <w:b/>
                <w:sz w:val="22"/>
                <w:szCs w:val="22"/>
                <w:u w:val="single"/>
                <w:lang w:val="es-MX"/>
              </w:rPr>
              <w:t>4.17</w:t>
            </w:r>
          </w:p>
        </w:tc>
      </w:tr>
    </w:tbl>
    <w:p w14:paraId="62B4F3F1" w14:textId="77777777" w:rsidR="00561B22" w:rsidRPr="00205AAF" w:rsidRDefault="00561B22" w:rsidP="00561B22">
      <w:pPr>
        <w:pStyle w:val="Textoindependiente"/>
        <w:ind w:right="-50"/>
        <w:jc w:val="both"/>
        <w:rPr>
          <w:rFonts w:ascii="Arial" w:hAnsi="Arial" w:cs="Arial"/>
          <w:b/>
          <w:bCs/>
        </w:rPr>
      </w:pPr>
    </w:p>
    <w:p w14:paraId="52FF5DDC" w14:textId="77777777" w:rsidR="00561B22" w:rsidRPr="00205AAF" w:rsidRDefault="00561B22" w:rsidP="00561B22">
      <w:pPr>
        <w:pStyle w:val="Textoindependiente"/>
        <w:ind w:right="-50"/>
        <w:jc w:val="both"/>
        <w:rPr>
          <w:rFonts w:ascii="Arial" w:hAnsi="Arial" w:cs="Arial"/>
          <w:b/>
          <w:bCs/>
        </w:rPr>
      </w:pPr>
      <w:r w:rsidRPr="00205AAF">
        <w:rPr>
          <w:rFonts w:ascii="Arial" w:hAnsi="Arial" w:cs="Arial"/>
          <w:b/>
          <w:bCs/>
        </w:rPr>
        <w:t>Del informe enviado retomamos lo siguiente:</w:t>
      </w:r>
    </w:p>
    <w:p w14:paraId="29C09DAF" w14:textId="77777777" w:rsidR="00561B22" w:rsidRPr="00205AA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05AAF" w14:paraId="3937EC4A" w14:textId="77777777" w:rsidTr="00F1223B">
        <w:tc>
          <w:tcPr>
            <w:tcW w:w="562" w:type="dxa"/>
          </w:tcPr>
          <w:p w14:paraId="5D6E1777" w14:textId="77777777" w:rsidR="00561B22" w:rsidRPr="00205AAF" w:rsidRDefault="00561B22" w:rsidP="00F1223B">
            <w:pPr>
              <w:ind w:right="-109"/>
              <w:jc w:val="center"/>
              <w:rPr>
                <w:rFonts w:ascii="Arial" w:hAnsi="Arial" w:cs="Arial"/>
                <w:b/>
                <w:sz w:val="22"/>
                <w:szCs w:val="22"/>
                <w:lang w:val="es-MX"/>
              </w:rPr>
            </w:pPr>
            <w:r w:rsidRPr="00205AAF">
              <w:rPr>
                <w:rFonts w:ascii="Arial" w:hAnsi="Arial" w:cs="Arial"/>
                <w:b/>
                <w:sz w:val="22"/>
                <w:szCs w:val="22"/>
                <w:lang w:val="es-MX"/>
              </w:rPr>
              <w:t>N°</w:t>
            </w:r>
          </w:p>
        </w:tc>
        <w:tc>
          <w:tcPr>
            <w:tcW w:w="9400" w:type="dxa"/>
          </w:tcPr>
          <w:p w14:paraId="638728B7"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DEBILIDADES</w:t>
            </w:r>
          </w:p>
          <w:p w14:paraId="5331D151" w14:textId="77777777" w:rsidR="00561B22" w:rsidRPr="00205AAF" w:rsidRDefault="00561B22" w:rsidP="00F1223B">
            <w:pPr>
              <w:jc w:val="center"/>
              <w:rPr>
                <w:rFonts w:ascii="Arial" w:hAnsi="Arial" w:cs="Arial"/>
                <w:b/>
                <w:sz w:val="22"/>
                <w:szCs w:val="22"/>
                <w:lang w:val="es-MX"/>
              </w:rPr>
            </w:pPr>
          </w:p>
        </w:tc>
      </w:tr>
      <w:tr w:rsidR="00561B22" w:rsidRPr="00205AAF" w14:paraId="42626467" w14:textId="77777777" w:rsidTr="00F1223B">
        <w:tc>
          <w:tcPr>
            <w:tcW w:w="562" w:type="dxa"/>
          </w:tcPr>
          <w:p w14:paraId="3170A0E2"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1</w:t>
            </w:r>
          </w:p>
        </w:tc>
        <w:tc>
          <w:tcPr>
            <w:tcW w:w="9400" w:type="dxa"/>
          </w:tcPr>
          <w:p w14:paraId="48D8DB50" w14:textId="77777777" w:rsidR="00561B22" w:rsidRPr="00205AAF" w:rsidRDefault="00561B22" w:rsidP="00F1223B">
            <w:pPr>
              <w:jc w:val="both"/>
              <w:rPr>
                <w:rFonts w:ascii="Arial" w:hAnsi="Arial" w:cs="Arial"/>
                <w:bCs/>
                <w:sz w:val="22"/>
                <w:szCs w:val="22"/>
                <w:lang w:val="es-MX"/>
              </w:rPr>
            </w:pPr>
            <w:r w:rsidRPr="00205AAF">
              <w:rPr>
                <w:rFonts w:ascii="Arial" w:hAnsi="Arial" w:cs="Arial"/>
                <w:bCs/>
                <w:sz w:val="22"/>
                <w:szCs w:val="22"/>
                <w:lang w:val="es-MX"/>
              </w:rPr>
              <w:t xml:space="preserve">En el elemento de Políticas contables, no se están formulando y gestionando oportunamente los planes de mejoramiento producto de las auditorías internas realizadas a los Estados Financieros; además, se observa que no se están aplicando las directrices relacionadas con la conciliación de las cifras contables, así como el incumplimiento de los lineamientos sobre los cruces de información necesarios para verificar la existencia de activos y pasivos. </w:t>
            </w:r>
          </w:p>
        </w:tc>
      </w:tr>
      <w:tr w:rsidR="00561B22" w:rsidRPr="00205AAF" w14:paraId="11246D0F" w14:textId="77777777" w:rsidTr="00F1223B">
        <w:tc>
          <w:tcPr>
            <w:tcW w:w="562" w:type="dxa"/>
          </w:tcPr>
          <w:p w14:paraId="53B2A32D"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2</w:t>
            </w:r>
          </w:p>
        </w:tc>
        <w:tc>
          <w:tcPr>
            <w:tcW w:w="9400" w:type="dxa"/>
          </w:tcPr>
          <w:p w14:paraId="072AD46F" w14:textId="77777777" w:rsidR="00561B22" w:rsidRPr="00205AAF" w:rsidRDefault="00561B22" w:rsidP="00F1223B">
            <w:pPr>
              <w:jc w:val="both"/>
              <w:rPr>
                <w:rFonts w:ascii="Arial" w:hAnsi="Arial" w:cs="Arial"/>
                <w:bCs/>
                <w:sz w:val="22"/>
                <w:szCs w:val="22"/>
                <w:lang w:val="es-MX"/>
              </w:rPr>
            </w:pPr>
            <w:r w:rsidRPr="00205AAF">
              <w:rPr>
                <w:rFonts w:ascii="Arial" w:hAnsi="Arial" w:cs="Arial"/>
                <w:bCs/>
                <w:sz w:val="22"/>
                <w:szCs w:val="22"/>
                <w:lang w:val="es-MX"/>
              </w:rPr>
              <w:t>En el elemento Etapas del proceso contable-identificación se evidenciaron observaciones relacionadas con la individualización en la contabilidad de los derechos y obligaciones, así como de la baja en cuentas de estas.</w:t>
            </w:r>
          </w:p>
        </w:tc>
      </w:tr>
      <w:tr w:rsidR="00561B22" w:rsidRPr="00205AAF" w14:paraId="019EA8B8" w14:textId="77777777" w:rsidTr="00F1223B">
        <w:tc>
          <w:tcPr>
            <w:tcW w:w="562" w:type="dxa"/>
          </w:tcPr>
          <w:p w14:paraId="3D789DE9"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3</w:t>
            </w:r>
          </w:p>
        </w:tc>
        <w:tc>
          <w:tcPr>
            <w:tcW w:w="9400" w:type="dxa"/>
          </w:tcPr>
          <w:p w14:paraId="574EB5BB" w14:textId="77777777" w:rsidR="00561B22" w:rsidRPr="00205AAF" w:rsidRDefault="00561B22" w:rsidP="00F1223B">
            <w:pPr>
              <w:jc w:val="both"/>
              <w:rPr>
                <w:rFonts w:ascii="Arial" w:hAnsi="Arial" w:cs="Arial"/>
                <w:bCs/>
                <w:sz w:val="22"/>
                <w:szCs w:val="22"/>
                <w:lang w:val="es-MX"/>
              </w:rPr>
            </w:pPr>
            <w:r w:rsidRPr="00205AAF">
              <w:rPr>
                <w:rFonts w:ascii="Arial" w:hAnsi="Arial" w:cs="Arial"/>
                <w:bCs/>
                <w:sz w:val="22"/>
                <w:szCs w:val="22"/>
                <w:lang w:val="es-MX"/>
              </w:rPr>
              <w:t>En el elemento Etapas del proceso contable-registro se identificaron debilidades asociadas a la conservación y custodia de los documentos soporte de los comprobantes contables.</w:t>
            </w:r>
          </w:p>
        </w:tc>
      </w:tr>
      <w:tr w:rsidR="00561B22" w:rsidRPr="00205AAF" w14:paraId="74AC506C" w14:textId="77777777" w:rsidTr="00F1223B">
        <w:tc>
          <w:tcPr>
            <w:tcW w:w="562" w:type="dxa"/>
          </w:tcPr>
          <w:p w14:paraId="3EBB4FE5"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4</w:t>
            </w:r>
          </w:p>
        </w:tc>
        <w:tc>
          <w:tcPr>
            <w:tcW w:w="9400" w:type="dxa"/>
          </w:tcPr>
          <w:p w14:paraId="32F4CEBF" w14:textId="77777777" w:rsidR="00561B22" w:rsidRPr="00205AAF" w:rsidRDefault="00561B22" w:rsidP="00F1223B">
            <w:pPr>
              <w:jc w:val="both"/>
              <w:rPr>
                <w:rFonts w:ascii="Arial" w:hAnsi="Arial" w:cs="Arial"/>
                <w:bCs/>
                <w:sz w:val="22"/>
                <w:szCs w:val="22"/>
                <w:lang w:val="es-MX"/>
              </w:rPr>
            </w:pPr>
            <w:r w:rsidRPr="00205AAF">
              <w:rPr>
                <w:rFonts w:ascii="Arial" w:hAnsi="Arial" w:cs="Arial"/>
                <w:bCs/>
                <w:sz w:val="22"/>
                <w:szCs w:val="22"/>
                <w:lang w:val="es-MX"/>
              </w:rPr>
              <w:t>En el elemento Etapas del proceso contable-medición inicial se identificaron debilidades asociadas a la aplicación de los criterios de medición de Otras Cuentas por Cobrar, Préstamos por Cobrar, Construcciones en Curso e Intangibles</w:t>
            </w:r>
          </w:p>
        </w:tc>
      </w:tr>
      <w:tr w:rsidR="00561B22" w:rsidRPr="00205AAF" w14:paraId="7508DAB7" w14:textId="77777777" w:rsidTr="00F1223B">
        <w:tc>
          <w:tcPr>
            <w:tcW w:w="562" w:type="dxa"/>
          </w:tcPr>
          <w:p w14:paraId="119633AD"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5</w:t>
            </w:r>
          </w:p>
        </w:tc>
        <w:tc>
          <w:tcPr>
            <w:tcW w:w="9400" w:type="dxa"/>
          </w:tcPr>
          <w:p w14:paraId="4A4931D0" w14:textId="77777777" w:rsidR="00561B22" w:rsidRPr="00205AAF" w:rsidRDefault="00561B22" w:rsidP="00F1223B">
            <w:pPr>
              <w:jc w:val="both"/>
              <w:rPr>
                <w:rFonts w:ascii="Arial" w:hAnsi="Arial" w:cs="Arial"/>
                <w:bCs/>
                <w:sz w:val="22"/>
                <w:szCs w:val="22"/>
                <w:lang w:val="es-MX"/>
              </w:rPr>
            </w:pPr>
            <w:r w:rsidRPr="00205AAF">
              <w:rPr>
                <w:rFonts w:ascii="Arial" w:hAnsi="Arial" w:cs="Arial"/>
                <w:bCs/>
                <w:sz w:val="22"/>
                <w:szCs w:val="22"/>
                <w:lang w:val="es-MX"/>
              </w:rPr>
              <w:t>En el elemento Etapas del proceso contable-medición posterior se identificaron debilidades asociadas al reconocimiento de medición posterior y actualización en los cálculos de amortización de los activos intangibles y del deterioro de Otras Cuentas por Cobrar, Préstamos por Cobrar, Construcciones en Curso, Derechos en Fideicomiso.</w:t>
            </w:r>
          </w:p>
        </w:tc>
      </w:tr>
      <w:tr w:rsidR="00561B22" w:rsidRPr="00205AAF" w14:paraId="30B87611" w14:textId="77777777" w:rsidTr="00F1223B">
        <w:tc>
          <w:tcPr>
            <w:tcW w:w="562" w:type="dxa"/>
          </w:tcPr>
          <w:p w14:paraId="6FBB9CBB"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6</w:t>
            </w:r>
          </w:p>
        </w:tc>
        <w:tc>
          <w:tcPr>
            <w:tcW w:w="9400" w:type="dxa"/>
          </w:tcPr>
          <w:p w14:paraId="0B78B4B0" w14:textId="77777777" w:rsidR="00561B22" w:rsidRPr="00205AAF" w:rsidRDefault="00561B22" w:rsidP="00F1223B">
            <w:pPr>
              <w:jc w:val="both"/>
              <w:rPr>
                <w:rFonts w:ascii="Arial" w:hAnsi="Arial" w:cs="Arial"/>
                <w:bCs/>
                <w:sz w:val="22"/>
                <w:szCs w:val="22"/>
                <w:lang w:val="es-MX"/>
              </w:rPr>
            </w:pPr>
            <w:r w:rsidRPr="00205AAF">
              <w:rPr>
                <w:rFonts w:ascii="Arial" w:hAnsi="Arial" w:cs="Arial"/>
                <w:bCs/>
                <w:sz w:val="22"/>
                <w:szCs w:val="22"/>
                <w:lang w:val="es-MX"/>
              </w:rPr>
              <w:t>En el elemento Rendición de cuentas e información a partes interesadas se identificó que no se presentaron los Estados Financieros en la audiencia pública de rendición de cuentas ni en los informes de gestión de la Entidad.</w:t>
            </w:r>
          </w:p>
        </w:tc>
      </w:tr>
    </w:tbl>
    <w:p w14:paraId="549DEAEA" w14:textId="77777777" w:rsidR="001C6DB6" w:rsidRDefault="001C6DB6" w:rsidP="00561B22">
      <w:pPr>
        <w:jc w:val="both"/>
        <w:rPr>
          <w:rFonts w:ascii="Arial" w:hAnsi="Arial" w:cs="Arial"/>
          <w:b/>
          <w:lang w:val="es-MX"/>
        </w:rPr>
      </w:pPr>
    </w:p>
    <w:p w14:paraId="2F963182" w14:textId="3C02DB25" w:rsidR="00561B22" w:rsidRPr="00205AAF" w:rsidRDefault="00561B22" w:rsidP="00561B22">
      <w:pPr>
        <w:jc w:val="both"/>
        <w:rPr>
          <w:rFonts w:ascii="Arial" w:hAnsi="Arial" w:cs="Arial"/>
          <w:b/>
          <w:lang w:val="es-MX"/>
        </w:rPr>
      </w:pPr>
      <w:r w:rsidRPr="00205AAF">
        <w:rPr>
          <w:rFonts w:ascii="Arial" w:hAnsi="Arial" w:cs="Arial"/>
          <w:b/>
          <w:lang w:val="es-MX"/>
        </w:rPr>
        <w:t>Del citado informe retomamos las siguientes recomendaciones:</w:t>
      </w:r>
    </w:p>
    <w:p w14:paraId="2FF61F12" w14:textId="77777777" w:rsidR="00561B22" w:rsidRPr="00205AAF"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205AAF" w14:paraId="29794ED2" w14:textId="77777777" w:rsidTr="00F1223B">
        <w:tc>
          <w:tcPr>
            <w:tcW w:w="562" w:type="dxa"/>
          </w:tcPr>
          <w:p w14:paraId="1012BD06" w14:textId="77777777" w:rsidR="00561B22" w:rsidRPr="00205AAF" w:rsidRDefault="00561B22" w:rsidP="00F1223B">
            <w:pPr>
              <w:ind w:right="-109"/>
              <w:jc w:val="center"/>
              <w:rPr>
                <w:rFonts w:ascii="Arial" w:hAnsi="Arial" w:cs="Arial"/>
                <w:b/>
                <w:sz w:val="22"/>
                <w:szCs w:val="22"/>
                <w:lang w:val="es-MX"/>
              </w:rPr>
            </w:pPr>
            <w:r w:rsidRPr="00205AAF">
              <w:rPr>
                <w:rFonts w:ascii="Arial" w:hAnsi="Arial" w:cs="Arial"/>
                <w:b/>
                <w:sz w:val="22"/>
                <w:szCs w:val="22"/>
                <w:lang w:val="es-MX"/>
              </w:rPr>
              <w:t>N°</w:t>
            </w:r>
          </w:p>
        </w:tc>
        <w:tc>
          <w:tcPr>
            <w:tcW w:w="9400" w:type="dxa"/>
          </w:tcPr>
          <w:p w14:paraId="39EA4D98"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RECOMENDACIONES</w:t>
            </w:r>
          </w:p>
          <w:p w14:paraId="6CAFA5D2" w14:textId="77777777" w:rsidR="00561B22" w:rsidRPr="00205AAF" w:rsidRDefault="00561B22" w:rsidP="00F1223B">
            <w:pPr>
              <w:jc w:val="center"/>
              <w:rPr>
                <w:rFonts w:ascii="Arial" w:hAnsi="Arial" w:cs="Arial"/>
                <w:b/>
                <w:sz w:val="22"/>
                <w:szCs w:val="22"/>
                <w:lang w:val="es-MX"/>
              </w:rPr>
            </w:pPr>
          </w:p>
        </w:tc>
      </w:tr>
      <w:tr w:rsidR="00561B22" w:rsidRPr="00205AAF" w14:paraId="32F79CC5" w14:textId="77777777" w:rsidTr="00F1223B">
        <w:tc>
          <w:tcPr>
            <w:tcW w:w="562" w:type="dxa"/>
          </w:tcPr>
          <w:p w14:paraId="2DD18690"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1</w:t>
            </w:r>
          </w:p>
        </w:tc>
        <w:tc>
          <w:tcPr>
            <w:tcW w:w="9400" w:type="dxa"/>
          </w:tcPr>
          <w:p w14:paraId="5A240599"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 xml:space="preserve">Gestionar y formular los planes de mejoramiento producto de las auditorías de los Estados Financieros para evitar que las situaciones presentadas se vuelvan a materializar. </w:t>
            </w:r>
          </w:p>
        </w:tc>
      </w:tr>
      <w:tr w:rsidR="00561B22" w:rsidRPr="00205AAF" w14:paraId="3465C179" w14:textId="77777777" w:rsidTr="00F1223B">
        <w:tc>
          <w:tcPr>
            <w:tcW w:w="562" w:type="dxa"/>
          </w:tcPr>
          <w:p w14:paraId="6045F167"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2</w:t>
            </w:r>
          </w:p>
        </w:tc>
        <w:tc>
          <w:tcPr>
            <w:tcW w:w="9400" w:type="dxa"/>
          </w:tcPr>
          <w:p w14:paraId="764AF354"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El Manual de Políticas Contables sea socializado a nivel nacional con los contratistas y/o funcionarios involucrados en el proceso contable.</w:t>
            </w:r>
          </w:p>
        </w:tc>
      </w:tr>
      <w:tr w:rsidR="00561B22" w:rsidRPr="00205AAF" w14:paraId="51350788" w14:textId="77777777" w:rsidTr="00F1223B">
        <w:tc>
          <w:tcPr>
            <w:tcW w:w="562" w:type="dxa"/>
          </w:tcPr>
          <w:p w14:paraId="3EBBFE6C"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3</w:t>
            </w:r>
          </w:p>
        </w:tc>
        <w:tc>
          <w:tcPr>
            <w:tcW w:w="9400" w:type="dxa"/>
          </w:tcPr>
          <w:p w14:paraId="4D1C494E"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 xml:space="preserve">Aplicar las directrices estipuladas para las conciliaciones y certificaciones de las cuentas contables y gestionar las partidas conciliatorias identificadas. </w:t>
            </w:r>
          </w:p>
        </w:tc>
      </w:tr>
      <w:tr w:rsidR="00561B22" w:rsidRPr="00205AAF" w14:paraId="2DC0BAE0" w14:textId="77777777" w:rsidTr="00F1223B">
        <w:tc>
          <w:tcPr>
            <w:tcW w:w="562" w:type="dxa"/>
          </w:tcPr>
          <w:p w14:paraId="7A6ED035"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4</w:t>
            </w:r>
          </w:p>
        </w:tc>
        <w:tc>
          <w:tcPr>
            <w:tcW w:w="9400" w:type="dxa"/>
          </w:tcPr>
          <w:p w14:paraId="08367F5D"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Fortalecer los sistemas de información para la gestión de las cuentas contables de activos intangibles, préstamos por cobrar (Reconocimiento del deterioro), cuentas por cobrar (No misionales), propiedad, planta y equipo (Bienes inmuebles), entre otras.</w:t>
            </w:r>
          </w:p>
        </w:tc>
      </w:tr>
      <w:tr w:rsidR="00561B22" w:rsidRPr="00205AAF" w14:paraId="6DBED416" w14:textId="77777777" w:rsidTr="00F1223B">
        <w:tc>
          <w:tcPr>
            <w:tcW w:w="562" w:type="dxa"/>
          </w:tcPr>
          <w:p w14:paraId="55CDDDAB"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5</w:t>
            </w:r>
          </w:p>
        </w:tc>
        <w:tc>
          <w:tcPr>
            <w:tcW w:w="9400" w:type="dxa"/>
          </w:tcPr>
          <w:p w14:paraId="55BDCF19"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Emplear los lineamientos emitidos para la baja y depuración oportuna de las cuentas contables de los Estados Financieros.</w:t>
            </w:r>
          </w:p>
        </w:tc>
      </w:tr>
      <w:tr w:rsidR="00561B22" w:rsidRPr="00205AAF" w14:paraId="153C9D2F" w14:textId="77777777" w:rsidTr="00F1223B">
        <w:tc>
          <w:tcPr>
            <w:tcW w:w="562" w:type="dxa"/>
          </w:tcPr>
          <w:p w14:paraId="4CDB404F"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6</w:t>
            </w:r>
          </w:p>
        </w:tc>
        <w:tc>
          <w:tcPr>
            <w:tcW w:w="9400" w:type="dxa"/>
          </w:tcPr>
          <w:p w14:paraId="123EFB55"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Implementar un mecanismo que permita la custodia unificada de los documentos soporte de los comprobantes contables, de acuerdo con lo registrado en la Tabla de Retención Documental.</w:t>
            </w:r>
          </w:p>
        </w:tc>
      </w:tr>
      <w:tr w:rsidR="00561B22" w:rsidRPr="00205AAF" w14:paraId="59375A7F" w14:textId="77777777" w:rsidTr="00F1223B">
        <w:tc>
          <w:tcPr>
            <w:tcW w:w="562" w:type="dxa"/>
          </w:tcPr>
          <w:p w14:paraId="5166DB7B"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lastRenderedPageBreak/>
              <w:t>7</w:t>
            </w:r>
          </w:p>
        </w:tc>
        <w:tc>
          <w:tcPr>
            <w:tcW w:w="9400" w:type="dxa"/>
          </w:tcPr>
          <w:p w14:paraId="71FEDB7E"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Fortalecer la oportunidad en el flujo de la entrega de información desde las áreas generadoras de información hacia el Grupo de Contabilidad.</w:t>
            </w:r>
          </w:p>
        </w:tc>
      </w:tr>
      <w:tr w:rsidR="00561B22" w:rsidRPr="00205AAF" w14:paraId="4B6C2D8B" w14:textId="77777777" w:rsidTr="00F1223B">
        <w:tc>
          <w:tcPr>
            <w:tcW w:w="562" w:type="dxa"/>
          </w:tcPr>
          <w:p w14:paraId="3B979F5E" w14:textId="77777777" w:rsidR="00561B22" w:rsidRPr="00205AAF" w:rsidRDefault="00561B22" w:rsidP="00F1223B">
            <w:pPr>
              <w:jc w:val="center"/>
              <w:rPr>
                <w:rFonts w:ascii="Arial" w:hAnsi="Arial" w:cs="Arial"/>
                <w:b/>
                <w:sz w:val="22"/>
                <w:szCs w:val="22"/>
                <w:lang w:val="es-MX"/>
              </w:rPr>
            </w:pPr>
            <w:r w:rsidRPr="00205AAF">
              <w:rPr>
                <w:rFonts w:ascii="Arial" w:hAnsi="Arial" w:cs="Arial"/>
                <w:b/>
                <w:sz w:val="22"/>
                <w:szCs w:val="22"/>
                <w:lang w:val="es-MX"/>
              </w:rPr>
              <w:t>8</w:t>
            </w:r>
          </w:p>
        </w:tc>
        <w:tc>
          <w:tcPr>
            <w:tcW w:w="9400" w:type="dxa"/>
          </w:tcPr>
          <w:p w14:paraId="42C99BD6" w14:textId="77777777" w:rsidR="00561B22" w:rsidRPr="00205AAF" w:rsidRDefault="00561B22" w:rsidP="00F1223B">
            <w:pPr>
              <w:rPr>
                <w:rFonts w:ascii="Arial" w:hAnsi="Arial" w:cs="Arial"/>
                <w:bCs/>
                <w:sz w:val="22"/>
                <w:szCs w:val="22"/>
                <w:lang w:val="es-MX"/>
              </w:rPr>
            </w:pPr>
            <w:r w:rsidRPr="00205AAF">
              <w:rPr>
                <w:rFonts w:ascii="Arial" w:hAnsi="Arial" w:cs="Arial"/>
                <w:bCs/>
                <w:sz w:val="22"/>
                <w:szCs w:val="22"/>
                <w:lang w:val="es-MX"/>
              </w:rPr>
              <w:t>Incluir dentro de los lineamientos de la rendición de cuentas de la Entidad, la presentación de las cifras de los Estados Financieros.</w:t>
            </w:r>
          </w:p>
        </w:tc>
      </w:tr>
    </w:tbl>
    <w:p w14:paraId="101C0E4F" w14:textId="77777777" w:rsidR="00561B22" w:rsidRPr="00205AAF" w:rsidRDefault="00561B22" w:rsidP="00561B22">
      <w:pPr>
        <w:pStyle w:val="Textoindependiente"/>
        <w:ind w:right="-50"/>
        <w:jc w:val="both"/>
        <w:rPr>
          <w:rFonts w:ascii="Arial" w:hAnsi="Arial" w:cs="Arial"/>
          <w:b/>
          <w:bCs/>
        </w:rPr>
      </w:pPr>
    </w:p>
    <w:p w14:paraId="1F5D93E4" w14:textId="77777777" w:rsidR="00561B22" w:rsidRPr="00205AAF" w:rsidRDefault="00561B22" w:rsidP="00561B22">
      <w:pPr>
        <w:jc w:val="both"/>
        <w:rPr>
          <w:rFonts w:ascii="Arial" w:hAnsi="Arial" w:cs="Arial"/>
          <w:b/>
          <w:bCs/>
          <w:sz w:val="24"/>
          <w:szCs w:val="24"/>
          <w:lang w:val="es-CO"/>
        </w:rPr>
      </w:pPr>
      <w:r w:rsidRPr="00205AAF">
        <w:rPr>
          <w:rFonts w:ascii="Arial" w:hAnsi="Arial" w:cs="Arial"/>
          <w:b/>
          <w:bCs/>
          <w:sz w:val="24"/>
          <w:szCs w:val="24"/>
          <w:lang w:val="es-CO"/>
        </w:rPr>
        <w:t>NOTA: L</w:t>
      </w:r>
      <w:r w:rsidRPr="00205AAF">
        <w:rPr>
          <w:rFonts w:ascii="Arial" w:hAnsi="Arial" w:cs="Arial"/>
          <w:b/>
          <w:sz w:val="24"/>
          <w:szCs w:val="24"/>
          <w:lang w:val="es-CO"/>
        </w:rPr>
        <w:t xml:space="preserve">A ENTIDAD ENVÍA LA MATRIZ DE AUTOEVALUACIÓN DEL SISTEMA DE CONTROL INTERNO CONTABLE CON ACTIVIDADES DE CONTROL REALIZADAS </w:t>
      </w:r>
      <w:r w:rsidRPr="00205AAF">
        <w:rPr>
          <w:rFonts w:ascii="Arial" w:hAnsi="Arial" w:cs="Arial"/>
          <w:b/>
          <w:bCs/>
          <w:sz w:val="24"/>
          <w:szCs w:val="24"/>
          <w:u w:val="single"/>
          <w:lang w:val="es-CO"/>
        </w:rPr>
        <w:t>EN FORMA PARCIAL Y OTRAS SIMPLEMENTE INFORMAN QUE NO SE REALIZARON</w:t>
      </w:r>
      <w:r w:rsidRPr="00205AAF">
        <w:rPr>
          <w:rFonts w:ascii="Arial" w:hAnsi="Arial" w:cs="Arial"/>
          <w:b/>
          <w:sz w:val="24"/>
          <w:szCs w:val="24"/>
          <w:lang w:val="es-CO"/>
        </w:rPr>
        <w:t>.</w:t>
      </w:r>
    </w:p>
    <w:p w14:paraId="63FF453A" w14:textId="77777777" w:rsidR="00561B22" w:rsidRDefault="00561B22" w:rsidP="00561B22">
      <w:pPr>
        <w:pStyle w:val="Textoindependiente"/>
        <w:tabs>
          <w:tab w:val="left" w:pos="2055"/>
        </w:tabs>
        <w:spacing w:before="5"/>
        <w:rPr>
          <w:rFonts w:ascii="Arial" w:hAnsi="Arial" w:cs="Arial"/>
        </w:rPr>
      </w:pPr>
    </w:p>
    <w:p w14:paraId="530FB323" w14:textId="77777777" w:rsidR="00561B22" w:rsidRPr="00FD46C7" w:rsidRDefault="00561B22" w:rsidP="00561B22">
      <w:pPr>
        <w:ind w:right="-93"/>
        <w:jc w:val="both"/>
        <w:rPr>
          <w:rFonts w:ascii="Arial" w:hAnsi="Arial" w:cs="Arial"/>
          <w:b/>
          <w:sz w:val="28"/>
          <w:szCs w:val="28"/>
          <w:lang w:val="es-MX"/>
        </w:rPr>
      </w:pPr>
      <w:r w:rsidRPr="00FD46C7">
        <w:rPr>
          <w:rFonts w:ascii="Arial" w:hAnsi="Arial" w:cs="Arial"/>
          <w:b/>
          <w:sz w:val="28"/>
          <w:szCs w:val="28"/>
          <w:lang w:val="es-MX"/>
        </w:rPr>
        <w:t>330.- FONDO DE BIENESTAR SOCIAL CONTRALORÍA GENERAL DE LA REPÚBLICA.</w:t>
      </w:r>
    </w:p>
    <w:p w14:paraId="1C58233A" w14:textId="77777777" w:rsidR="00561B22" w:rsidRPr="00205AAF" w:rsidRDefault="00561B22" w:rsidP="00561B22">
      <w:pPr>
        <w:pStyle w:val="Textoindependiente"/>
        <w:tabs>
          <w:tab w:val="left" w:pos="2055"/>
        </w:tabs>
        <w:spacing w:before="5"/>
        <w:rPr>
          <w:rFonts w:ascii="Arial" w:hAnsi="Arial" w:cs="Arial"/>
        </w:rPr>
      </w:pPr>
    </w:p>
    <w:p w14:paraId="7C4C35EB" w14:textId="77777777" w:rsidR="00561B22" w:rsidRPr="00E144C1" w:rsidRDefault="00561B22" w:rsidP="00561B22">
      <w:pPr>
        <w:jc w:val="center"/>
        <w:rPr>
          <w:rFonts w:ascii="Arial" w:hAnsi="Arial" w:cs="Arial"/>
          <w:b/>
          <w:lang w:val="es-MX"/>
        </w:rPr>
      </w:pPr>
      <w:r w:rsidRPr="00E144C1">
        <w:rPr>
          <w:rFonts w:ascii="Arial" w:hAnsi="Arial" w:cs="Arial"/>
          <w:b/>
          <w:lang w:val="es-MX"/>
        </w:rPr>
        <w:t>INFORME DE LA AUTOCALIFICACIÓN DEL SISTEMA DE CONTROL INTERNO CONTABLE:</w:t>
      </w:r>
    </w:p>
    <w:p w14:paraId="12BD6E03" w14:textId="77777777" w:rsidR="00561B22" w:rsidRPr="00E144C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E144C1" w14:paraId="0AC115AB" w14:textId="77777777" w:rsidTr="00F1223B">
        <w:tc>
          <w:tcPr>
            <w:tcW w:w="4981" w:type="dxa"/>
          </w:tcPr>
          <w:p w14:paraId="08322376" w14:textId="77777777" w:rsidR="00561B22" w:rsidRPr="00E144C1" w:rsidRDefault="00561B22" w:rsidP="00F1223B">
            <w:pPr>
              <w:jc w:val="center"/>
              <w:rPr>
                <w:rFonts w:ascii="Arial" w:hAnsi="Arial" w:cs="Arial"/>
                <w:b/>
                <w:sz w:val="22"/>
                <w:szCs w:val="22"/>
                <w:lang w:val="es-MX"/>
              </w:rPr>
            </w:pPr>
            <w:r w:rsidRPr="00E144C1">
              <w:rPr>
                <w:rFonts w:ascii="Arial" w:hAnsi="Arial" w:cs="Arial"/>
                <w:b/>
                <w:sz w:val="22"/>
                <w:szCs w:val="22"/>
                <w:lang w:val="es-MX"/>
              </w:rPr>
              <w:t>AUTOCALIFICACIÓN</w:t>
            </w:r>
          </w:p>
        </w:tc>
        <w:tc>
          <w:tcPr>
            <w:tcW w:w="4981" w:type="dxa"/>
          </w:tcPr>
          <w:p w14:paraId="06872C74" w14:textId="77777777" w:rsidR="00561B22" w:rsidRPr="00E144C1" w:rsidRDefault="00561B22" w:rsidP="00F1223B">
            <w:pPr>
              <w:jc w:val="center"/>
              <w:rPr>
                <w:rFonts w:ascii="Arial" w:hAnsi="Arial" w:cs="Arial"/>
                <w:b/>
                <w:sz w:val="22"/>
                <w:szCs w:val="22"/>
                <w:u w:val="single"/>
                <w:lang w:val="es-MX"/>
              </w:rPr>
            </w:pPr>
            <w:r w:rsidRPr="00E144C1">
              <w:rPr>
                <w:rFonts w:ascii="Arial" w:hAnsi="Arial" w:cs="Arial"/>
                <w:b/>
                <w:sz w:val="22"/>
                <w:szCs w:val="22"/>
                <w:u w:val="single"/>
                <w:lang w:val="es-MX"/>
              </w:rPr>
              <w:t>5.00</w:t>
            </w:r>
          </w:p>
        </w:tc>
      </w:tr>
    </w:tbl>
    <w:p w14:paraId="2C68E517" w14:textId="77777777" w:rsidR="00561B22" w:rsidRPr="00E144C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E144C1" w14:paraId="77FF6939" w14:textId="77777777" w:rsidTr="00F1223B">
        <w:tc>
          <w:tcPr>
            <w:tcW w:w="562" w:type="dxa"/>
          </w:tcPr>
          <w:p w14:paraId="4F295E06" w14:textId="77777777" w:rsidR="00561B22" w:rsidRPr="00E144C1" w:rsidRDefault="00561B22" w:rsidP="00F1223B">
            <w:pPr>
              <w:ind w:right="-109"/>
              <w:jc w:val="center"/>
              <w:rPr>
                <w:rFonts w:ascii="Arial" w:hAnsi="Arial" w:cs="Arial"/>
                <w:b/>
                <w:sz w:val="22"/>
                <w:szCs w:val="22"/>
                <w:lang w:val="es-MX"/>
              </w:rPr>
            </w:pPr>
            <w:r w:rsidRPr="00E144C1">
              <w:rPr>
                <w:rFonts w:ascii="Arial" w:hAnsi="Arial" w:cs="Arial"/>
                <w:b/>
                <w:sz w:val="22"/>
                <w:szCs w:val="22"/>
                <w:lang w:val="es-MX"/>
              </w:rPr>
              <w:t>N°</w:t>
            </w:r>
          </w:p>
        </w:tc>
        <w:tc>
          <w:tcPr>
            <w:tcW w:w="9400" w:type="dxa"/>
          </w:tcPr>
          <w:p w14:paraId="0108EEA4" w14:textId="77777777" w:rsidR="00561B22" w:rsidRPr="00E144C1" w:rsidRDefault="00561B22" w:rsidP="00F1223B">
            <w:pPr>
              <w:jc w:val="center"/>
              <w:rPr>
                <w:rFonts w:ascii="Arial" w:hAnsi="Arial" w:cs="Arial"/>
                <w:b/>
                <w:sz w:val="22"/>
                <w:szCs w:val="22"/>
                <w:lang w:val="es-MX"/>
              </w:rPr>
            </w:pPr>
            <w:r w:rsidRPr="00E144C1">
              <w:rPr>
                <w:rFonts w:ascii="Arial" w:hAnsi="Arial" w:cs="Arial"/>
                <w:b/>
                <w:sz w:val="22"/>
                <w:szCs w:val="22"/>
                <w:lang w:val="es-MX"/>
              </w:rPr>
              <w:t>DEBILIDADES</w:t>
            </w:r>
          </w:p>
          <w:p w14:paraId="4EB7B09D" w14:textId="77777777" w:rsidR="00561B22" w:rsidRPr="00E144C1" w:rsidRDefault="00561B22" w:rsidP="00F1223B">
            <w:pPr>
              <w:jc w:val="center"/>
              <w:rPr>
                <w:rFonts w:ascii="Arial" w:hAnsi="Arial" w:cs="Arial"/>
                <w:b/>
                <w:sz w:val="22"/>
                <w:szCs w:val="22"/>
                <w:lang w:val="es-MX"/>
              </w:rPr>
            </w:pPr>
          </w:p>
        </w:tc>
      </w:tr>
      <w:tr w:rsidR="00561B22" w:rsidRPr="00E144C1" w14:paraId="65EFEB25" w14:textId="77777777" w:rsidTr="00F1223B">
        <w:tc>
          <w:tcPr>
            <w:tcW w:w="562" w:type="dxa"/>
          </w:tcPr>
          <w:p w14:paraId="1C74B47C" w14:textId="77777777" w:rsidR="00561B22" w:rsidRPr="00E144C1" w:rsidRDefault="00561B22" w:rsidP="00F1223B">
            <w:pPr>
              <w:jc w:val="center"/>
              <w:rPr>
                <w:rFonts w:ascii="Arial" w:hAnsi="Arial" w:cs="Arial"/>
                <w:b/>
                <w:sz w:val="22"/>
                <w:szCs w:val="22"/>
                <w:lang w:val="es-MX"/>
              </w:rPr>
            </w:pPr>
            <w:r w:rsidRPr="00E144C1">
              <w:rPr>
                <w:rFonts w:ascii="Arial" w:hAnsi="Arial" w:cs="Arial"/>
                <w:b/>
                <w:sz w:val="22"/>
                <w:szCs w:val="22"/>
                <w:lang w:val="es-MX"/>
              </w:rPr>
              <w:t>1</w:t>
            </w:r>
          </w:p>
        </w:tc>
        <w:tc>
          <w:tcPr>
            <w:tcW w:w="9400" w:type="dxa"/>
          </w:tcPr>
          <w:p w14:paraId="443CA76D" w14:textId="77777777" w:rsidR="00561B22" w:rsidRPr="00E144C1" w:rsidRDefault="00561B22" w:rsidP="00F1223B">
            <w:pPr>
              <w:jc w:val="both"/>
              <w:rPr>
                <w:rFonts w:ascii="Arial" w:hAnsi="Arial" w:cs="Arial"/>
                <w:sz w:val="22"/>
                <w:szCs w:val="22"/>
                <w:lang w:val="es-MX"/>
              </w:rPr>
            </w:pPr>
            <w:r w:rsidRPr="00E144C1">
              <w:rPr>
                <w:rFonts w:ascii="Arial" w:hAnsi="Arial" w:cs="Arial"/>
                <w:sz w:val="22"/>
                <w:szCs w:val="22"/>
                <w:lang w:val="es-MX"/>
              </w:rPr>
              <w:t>Provisión completa del recurso humano necesario en las áreas implicadas en el proceso contable como son, Contabilidad, Tesorería y Presupuesto.</w:t>
            </w:r>
          </w:p>
        </w:tc>
      </w:tr>
    </w:tbl>
    <w:p w14:paraId="401CCF85" w14:textId="77777777" w:rsidR="00561B22" w:rsidRPr="00E144C1" w:rsidRDefault="00561B22" w:rsidP="00561B22">
      <w:pPr>
        <w:jc w:val="both"/>
        <w:rPr>
          <w:rFonts w:ascii="Arial" w:hAnsi="Arial" w:cs="Arial"/>
          <w:b/>
          <w:lang w:val="es-MX"/>
        </w:rPr>
      </w:pPr>
    </w:p>
    <w:p w14:paraId="2C51FC6E" w14:textId="77777777" w:rsidR="00561B22" w:rsidRPr="00E144C1" w:rsidRDefault="00561B22" w:rsidP="00561B22">
      <w:pPr>
        <w:jc w:val="both"/>
        <w:rPr>
          <w:rFonts w:ascii="Arial" w:hAnsi="Arial" w:cs="Arial"/>
          <w:b/>
          <w:lang w:val="es-MX"/>
        </w:rPr>
      </w:pPr>
      <w:r w:rsidRPr="00E144C1">
        <w:rPr>
          <w:rFonts w:ascii="Arial" w:hAnsi="Arial" w:cs="Arial"/>
          <w:b/>
          <w:lang w:val="es-MX"/>
        </w:rPr>
        <w:t>Del citado informe retomamos las siguientes recomendaciones:</w:t>
      </w:r>
    </w:p>
    <w:p w14:paraId="604DDD01" w14:textId="77777777" w:rsidR="00561B22" w:rsidRPr="00E144C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E144C1" w14:paraId="45AD4A72" w14:textId="77777777" w:rsidTr="00F1223B">
        <w:tc>
          <w:tcPr>
            <w:tcW w:w="562" w:type="dxa"/>
          </w:tcPr>
          <w:p w14:paraId="26244F6C" w14:textId="77777777" w:rsidR="00561B22" w:rsidRPr="00E144C1" w:rsidRDefault="00561B22" w:rsidP="00F1223B">
            <w:pPr>
              <w:ind w:right="-109"/>
              <w:jc w:val="center"/>
              <w:rPr>
                <w:rFonts w:ascii="Arial" w:hAnsi="Arial" w:cs="Arial"/>
                <w:b/>
                <w:sz w:val="22"/>
                <w:szCs w:val="22"/>
                <w:lang w:val="es-MX"/>
              </w:rPr>
            </w:pPr>
            <w:r w:rsidRPr="00E144C1">
              <w:rPr>
                <w:rFonts w:ascii="Arial" w:hAnsi="Arial" w:cs="Arial"/>
                <w:b/>
                <w:sz w:val="22"/>
                <w:szCs w:val="22"/>
                <w:lang w:val="es-MX"/>
              </w:rPr>
              <w:t>N°</w:t>
            </w:r>
          </w:p>
        </w:tc>
        <w:tc>
          <w:tcPr>
            <w:tcW w:w="9400" w:type="dxa"/>
          </w:tcPr>
          <w:p w14:paraId="5A07B6D4" w14:textId="77777777" w:rsidR="00561B22" w:rsidRPr="00E144C1" w:rsidRDefault="00561B22" w:rsidP="00F1223B">
            <w:pPr>
              <w:jc w:val="center"/>
              <w:rPr>
                <w:rFonts w:ascii="Arial" w:hAnsi="Arial" w:cs="Arial"/>
                <w:b/>
                <w:sz w:val="22"/>
                <w:szCs w:val="22"/>
                <w:lang w:val="es-MX"/>
              </w:rPr>
            </w:pPr>
            <w:r w:rsidRPr="00E144C1">
              <w:rPr>
                <w:rFonts w:ascii="Arial" w:hAnsi="Arial" w:cs="Arial"/>
                <w:b/>
                <w:sz w:val="22"/>
                <w:szCs w:val="22"/>
                <w:lang w:val="es-MX"/>
              </w:rPr>
              <w:t>RECOMENDACIONES</w:t>
            </w:r>
          </w:p>
          <w:p w14:paraId="74FDBFA0" w14:textId="77777777" w:rsidR="00561B22" w:rsidRPr="00E144C1" w:rsidRDefault="00561B22" w:rsidP="00F1223B">
            <w:pPr>
              <w:jc w:val="center"/>
              <w:rPr>
                <w:rFonts w:ascii="Arial" w:hAnsi="Arial" w:cs="Arial"/>
                <w:b/>
                <w:sz w:val="22"/>
                <w:szCs w:val="22"/>
                <w:lang w:val="es-MX"/>
              </w:rPr>
            </w:pPr>
          </w:p>
        </w:tc>
      </w:tr>
      <w:tr w:rsidR="00561B22" w:rsidRPr="00E144C1" w14:paraId="2EDD2509" w14:textId="77777777" w:rsidTr="00F1223B">
        <w:tc>
          <w:tcPr>
            <w:tcW w:w="562" w:type="dxa"/>
          </w:tcPr>
          <w:p w14:paraId="240DD1DB" w14:textId="77777777" w:rsidR="00561B22" w:rsidRPr="00E144C1" w:rsidRDefault="00561B22" w:rsidP="00F1223B">
            <w:pPr>
              <w:jc w:val="center"/>
              <w:rPr>
                <w:rFonts w:ascii="Arial" w:hAnsi="Arial" w:cs="Arial"/>
                <w:b/>
                <w:sz w:val="22"/>
                <w:szCs w:val="22"/>
                <w:lang w:val="es-MX"/>
              </w:rPr>
            </w:pPr>
            <w:r w:rsidRPr="00E144C1">
              <w:rPr>
                <w:rFonts w:ascii="Arial" w:hAnsi="Arial" w:cs="Arial"/>
                <w:b/>
                <w:sz w:val="22"/>
                <w:szCs w:val="22"/>
                <w:lang w:val="es-MX"/>
              </w:rPr>
              <w:t>1</w:t>
            </w:r>
          </w:p>
        </w:tc>
        <w:tc>
          <w:tcPr>
            <w:tcW w:w="9400" w:type="dxa"/>
          </w:tcPr>
          <w:p w14:paraId="41387B40" w14:textId="77777777" w:rsidR="00561B22" w:rsidRPr="00E144C1" w:rsidRDefault="00561B22" w:rsidP="00F1223B">
            <w:pPr>
              <w:jc w:val="both"/>
              <w:rPr>
                <w:rFonts w:ascii="Arial" w:hAnsi="Arial" w:cs="Arial"/>
                <w:sz w:val="22"/>
                <w:szCs w:val="22"/>
                <w:lang w:val="es-MX"/>
              </w:rPr>
            </w:pPr>
            <w:r w:rsidRPr="00E144C1">
              <w:rPr>
                <w:rFonts w:ascii="Arial" w:hAnsi="Arial" w:cs="Arial"/>
                <w:sz w:val="22"/>
                <w:szCs w:val="22"/>
                <w:lang w:val="es-MX"/>
              </w:rPr>
              <w:t xml:space="preserve">Se recomienda continuar trabajando en la actualización permanente de los inventarios de la entidad. </w:t>
            </w:r>
          </w:p>
        </w:tc>
      </w:tr>
      <w:tr w:rsidR="00561B22" w:rsidRPr="00E144C1" w14:paraId="62328181" w14:textId="77777777" w:rsidTr="00F1223B">
        <w:tc>
          <w:tcPr>
            <w:tcW w:w="562" w:type="dxa"/>
          </w:tcPr>
          <w:p w14:paraId="74E29B7D" w14:textId="77777777" w:rsidR="00561B22" w:rsidRPr="00E144C1" w:rsidRDefault="00561B22" w:rsidP="00F1223B">
            <w:pPr>
              <w:jc w:val="center"/>
              <w:rPr>
                <w:rFonts w:ascii="Arial" w:hAnsi="Arial" w:cs="Arial"/>
                <w:b/>
                <w:sz w:val="22"/>
                <w:szCs w:val="22"/>
                <w:lang w:val="es-MX"/>
              </w:rPr>
            </w:pPr>
            <w:r w:rsidRPr="00E144C1">
              <w:rPr>
                <w:rFonts w:ascii="Arial" w:hAnsi="Arial" w:cs="Arial"/>
                <w:b/>
                <w:sz w:val="22"/>
                <w:szCs w:val="22"/>
                <w:lang w:val="es-MX"/>
              </w:rPr>
              <w:t>2</w:t>
            </w:r>
          </w:p>
        </w:tc>
        <w:tc>
          <w:tcPr>
            <w:tcW w:w="9400" w:type="dxa"/>
          </w:tcPr>
          <w:p w14:paraId="347406B8" w14:textId="77777777" w:rsidR="00561B22" w:rsidRPr="00E144C1" w:rsidRDefault="00561B22" w:rsidP="00F1223B">
            <w:pPr>
              <w:jc w:val="both"/>
              <w:rPr>
                <w:rFonts w:ascii="Arial" w:hAnsi="Arial" w:cs="Arial"/>
                <w:sz w:val="22"/>
                <w:szCs w:val="22"/>
                <w:lang w:val="es-MX"/>
              </w:rPr>
            </w:pPr>
            <w:r w:rsidRPr="00E144C1">
              <w:rPr>
                <w:rFonts w:ascii="Arial" w:hAnsi="Arial" w:cs="Arial"/>
                <w:sz w:val="22"/>
                <w:szCs w:val="22"/>
                <w:lang w:val="es-MX"/>
              </w:rPr>
              <w:t>Se recomienda establecer indicadores que permitan determinar la gestión social de la entidad, para la toma de decisiones.</w:t>
            </w:r>
          </w:p>
        </w:tc>
      </w:tr>
    </w:tbl>
    <w:p w14:paraId="469F28B3" w14:textId="77777777" w:rsidR="00561B22" w:rsidRPr="00E144C1" w:rsidRDefault="00561B22" w:rsidP="00561B22">
      <w:pPr>
        <w:jc w:val="both"/>
        <w:rPr>
          <w:rFonts w:ascii="Arial" w:hAnsi="Arial" w:cs="Arial"/>
          <w:b/>
          <w:lang w:val="es-MX"/>
        </w:rPr>
      </w:pPr>
    </w:p>
    <w:p w14:paraId="62E93803" w14:textId="77777777" w:rsidR="00561B22" w:rsidRPr="00E53848" w:rsidRDefault="00561B22" w:rsidP="00561B22">
      <w:pPr>
        <w:jc w:val="both"/>
        <w:rPr>
          <w:rFonts w:ascii="Arial" w:hAnsi="Arial" w:cs="Arial"/>
          <w:b/>
          <w:sz w:val="28"/>
          <w:szCs w:val="28"/>
          <w:lang w:val="es-MX"/>
        </w:rPr>
      </w:pPr>
      <w:r w:rsidRPr="00E53848">
        <w:rPr>
          <w:rFonts w:ascii="Arial" w:hAnsi="Arial" w:cs="Arial"/>
          <w:b/>
          <w:sz w:val="28"/>
          <w:szCs w:val="28"/>
          <w:lang w:val="es-MX"/>
        </w:rPr>
        <w:t>331.- EMPRESA NACIONAL PROMOTORA DEL DESARROLLO TERRITORIAL S.A. – ENTERRITORIO.</w:t>
      </w:r>
    </w:p>
    <w:p w14:paraId="2816B4E4" w14:textId="77777777" w:rsidR="00561B22" w:rsidRDefault="00561B22" w:rsidP="00561B22">
      <w:pPr>
        <w:jc w:val="both"/>
        <w:rPr>
          <w:rFonts w:ascii="Arial" w:hAnsi="Arial" w:cs="Arial"/>
          <w:b/>
          <w:lang w:val="es-MX"/>
        </w:rPr>
      </w:pPr>
    </w:p>
    <w:p w14:paraId="0A265497" w14:textId="77777777" w:rsidR="00561B22" w:rsidRPr="00E0214F" w:rsidRDefault="00561B22" w:rsidP="00561B22">
      <w:pPr>
        <w:pStyle w:val="Textoindependiente"/>
        <w:ind w:right="-50"/>
        <w:jc w:val="center"/>
        <w:rPr>
          <w:rFonts w:ascii="Arial" w:hAnsi="Arial" w:cs="Arial"/>
          <w:b/>
          <w:bCs/>
        </w:rPr>
      </w:pPr>
      <w:r w:rsidRPr="00E0214F">
        <w:rPr>
          <w:rFonts w:ascii="Arial" w:hAnsi="Arial" w:cs="Arial"/>
          <w:b/>
          <w:bCs/>
        </w:rPr>
        <w:t>INFORME DE LA AUTOCALIFICACIÓN DEL SISTEMA DE CONTROL INTERNO CONTABLE:</w:t>
      </w:r>
    </w:p>
    <w:p w14:paraId="7B87DC73" w14:textId="77777777" w:rsidR="00561B22" w:rsidRPr="00E0214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0214F" w14:paraId="604DF848" w14:textId="77777777" w:rsidTr="00F1223B">
        <w:tc>
          <w:tcPr>
            <w:tcW w:w="4981" w:type="dxa"/>
          </w:tcPr>
          <w:p w14:paraId="26211F71"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AUTOCALIFICACIÓN</w:t>
            </w:r>
          </w:p>
        </w:tc>
        <w:tc>
          <w:tcPr>
            <w:tcW w:w="4981" w:type="dxa"/>
          </w:tcPr>
          <w:p w14:paraId="5FBFE8AC" w14:textId="77777777" w:rsidR="00561B22" w:rsidRPr="00E0214F" w:rsidRDefault="00561B22" w:rsidP="00F1223B">
            <w:pPr>
              <w:jc w:val="center"/>
              <w:rPr>
                <w:rFonts w:ascii="Arial" w:hAnsi="Arial" w:cs="Arial"/>
                <w:b/>
                <w:sz w:val="22"/>
                <w:szCs w:val="22"/>
                <w:u w:val="single"/>
                <w:lang w:val="es-MX"/>
              </w:rPr>
            </w:pPr>
            <w:r w:rsidRPr="00E0214F">
              <w:rPr>
                <w:rFonts w:ascii="Arial" w:hAnsi="Arial" w:cs="Arial"/>
                <w:b/>
                <w:sz w:val="22"/>
                <w:szCs w:val="22"/>
                <w:u w:val="single"/>
                <w:lang w:val="es-MX"/>
              </w:rPr>
              <w:t>4.70</w:t>
            </w:r>
          </w:p>
        </w:tc>
      </w:tr>
    </w:tbl>
    <w:p w14:paraId="2A3ACE48" w14:textId="77777777" w:rsidR="00561B22" w:rsidRPr="00E0214F" w:rsidRDefault="00561B22" w:rsidP="00561B22">
      <w:pPr>
        <w:pStyle w:val="Textoindependiente"/>
        <w:ind w:right="-50"/>
        <w:jc w:val="both"/>
        <w:rPr>
          <w:rFonts w:ascii="Arial" w:hAnsi="Arial" w:cs="Arial"/>
          <w:b/>
          <w:bCs/>
        </w:rPr>
      </w:pPr>
    </w:p>
    <w:p w14:paraId="2D0857C1" w14:textId="77777777" w:rsidR="00561B22" w:rsidRPr="00E0214F" w:rsidRDefault="00561B22" w:rsidP="00561B22">
      <w:pPr>
        <w:pStyle w:val="Textoindependiente"/>
        <w:ind w:right="-50"/>
        <w:jc w:val="both"/>
        <w:rPr>
          <w:rFonts w:ascii="Arial" w:hAnsi="Arial" w:cs="Arial"/>
          <w:b/>
          <w:bCs/>
        </w:rPr>
      </w:pPr>
      <w:r w:rsidRPr="00E0214F">
        <w:rPr>
          <w:rFonts w:ascii="Arial" w:hAnsi="Arial" w:cs="Arial"/>
          <w:b/>
          <w:bCs/>
        </w:rPr>
        <w:t>Del informe enviado retomamos lo siguiente:</w:t>
      </w:r>
    </w:p>
    <w:p w14:paraId="341B5869" w14:textId="77777777" w:rsidR="00561B22" w:rsidRPr="00E0214F"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0214F" w14:paraId="3390B9FD" w14:textId="77777777" w:rsidTr="00F1223B">
        <w:tc>
          <w:tcPr>
            <w:tcW w:w="562" w:type="dxa"/>
          </w:tcPr>
          <w:p w14:paraId="181B910F" w14:textId="77777777" w:rsidR="00561B22" w:rsidRPr="00E0214F" w:rsidRDefault="00561B22" w:rsidP="00F1223B">
            <w:pPr>
              <w:ind w:right="-109"/>
              <w:jc w:val="center"/>
              <w:rPr>
                <w:rFonts w:ascii="Arial" w:hAnsi="Arial" w:cs="Arial"/>
                <w:b/>
                <w:sz w:val="22"/>
                <w:szCs w:val="22"/>
                <w:lang w:val="es-MX"/>
              </w:rPr>
            </w:pPr>
            <w:r w:rsidRPr="00E0214F">
              <w:rPr>
                <w:rFonts w:ascii="Arial" w:hAnsi="Arial" w:cs="Arial"/>
                <w:b/>
                <w:sz w:val="22"/>
                <w:szCs w:val="22"/>
                <w:lang w:val="es-MX"/>
              </w:rPr>
              <w:t>N°</w:t>
            </w:r>
          </w:p>
        </w:tc>
        <w:tc>
          <w:tcPr>
            <w:tcW w:w="9400" w:type="dxa"/>
          </w:tcPr>
          <w:p w14:paraId="7498A8EA"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DEBILIDADES</w:t>
            </w:r>
          </w:p>
          <w:p w14:paraId="1F950941" w14:textId="77777777" w:rsidR="00561B22" w:rsidRPr="00E0214F" w:rsidRDefault="00561B22" w:rsidP="00F1223B">
            <w:pPr>
              <w:jc w:val="center"/>
              <w:rPr>
                <w:rFonts w:ascii="Arial" w:hAnsi="Arial" w:cs="Arial"/>
                <w:b/>
                <w:sz w:val="22"/>
                <w:szCs w:val="22"/>
                <w:lang w:val="es-MX"/>
              </w:rPr>
            </w:pPr>
          </w:p>
        </w:tc>
      </w:tr>
      <w:tr w:rsidR="00561B22" w:rsidRPr="00E0214F" w14:paraId="3AB80C98" w14:textId="77777777" w:rsidTr="00F1223B">
        <w:tc>
          <w:tcPr>
            <w:tcW w:w="562" w:type="dxa"/>
          </w:tcPr>
          <w:p w14:paraId="523BDB4D"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1</w:t>
            </w:r>
          </w:p>
        </w:tc>
        <w:tc>
          <w:tcPr>
            <w:tcW w:w="9400" w:type="dxa"/>
          </w:tcPr>
          <w:p w14:paraId="5D59023F"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 xml:space="preserve">Demoras en la entrega de la información insumo para la elaboración de los hechos económicos por parte de las dependencias o no entrega de esta, lo que ocasiono que por parte de la Subgerencia se construyera lo requerido; dicha situación evidenciada entre otros para las siguientes dependencias: 1. Subgerencia de Desarrollo de Proyectos; 2. Subgerencia de Estructuración de Proyectos; 3. Subgerencia Administrativa; entre otros. </w:t>
            </w:r>
          </w:p>
        </w:tc>
      </w:tr>
      <w:tr w:rsidR="00561B22" w:rsidRPr="00E0214F" w14:paraId="37118886" w14:textId="77777777" w:rsidTr="00F1223B">
        <w:tc>
          <w:tcPr>
            <w:tcW w:w="562" w:type="dxa"/>
          </w:tcPr>
          <w:p w14:paraId="41C7F7AA"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2</w:t>
            </w:r>
          </w:p>
        </w:tc>
        <w:tc>
          <w:tcPr>
            <w:tcW w:w="9400" w:type="dxa"/>
          </w:tcPr>
          <w:p w14:paraId="2F75036F"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Se identificó saltos en la cronología en diversas notas de contabilidad; que, si bien dicha situación ha sido puesta en conocimiento por parte de la Subgerencia Financiera a la Gerencia de Tecnologías de la Información, al corte de la evaluación no se han desplegado las actualizaciones al sistema, de tal manera que se garantice la subsanación de la debilidad identificada.</w:t>
            </w:r>
          </w:p>
        </w:tc>
      </w:tr>
      <w:tr w:rsidR="00561B22" w:rsidRPr="00E0214F" w14:paraId="13C76EA1" w14:textId="77777777" w:rsidTr="00F1223B">
        <w:tc>
          <w:tcPr>
            <w:tcW w:w="562" w:type="dxa"/>
          </w:tcPr>
          <w:p w14:paraId="36AF564B"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lastRenderedPageBreak/>
              <w:t>3</w:t>
            </w:r>
          </w:p>
        </w:tc>
        <w:tc>
          <w:tcPr>
            <w:tcW w:w="9400" w:type="dxa"/>
          </w:tcPr>
          <w:p w14:paraId="7F8E5E5F"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Durante la vigencia 2024, por parte de la Subgerencia Financiera no se realizó la inclusión de actividades de capacitación en el Plan de capacitación de tal manera que se refuerce el desarrollo de competencias y actualización permanente en el proceso contable.</w:t>
            </w:r>
          </w:p>
        </w:tc>
      </w:tr>
    </w:tbl>
    <w:p w14:paraId="64EBE3BD" w14:textId="1F8A3166" w:rsidR="00561B22" w:rsidRDefault="00561B22" w:rsidP="00561B22">
      <w:pPr>
        <w:pStyle w:val="Textoindependiente"/>
        <w:ind w:right="-50"/>
        <w:jc w:val="both"/>
        <w:rPr>
          <w:rFonts w:ascii="Arial" w:hAnsi="Arial" w:cs="Arial"/>
          <w:b/>
          <w:bCs/>
        </w:rPr>
      </w:pPr>
    </w:p>
    <w:p w14:paraId="09102994" w14:textId="77777777" w:rsidR="00217295" w:rsidRPr="00E144C1" w:rsidRDefault="00217295" w:rsidP="00217295">
      <w:pPr>
        <w:jc w:val="both"/>
        <w:rPr>
          <w:rFonts w:ascii="Arial" w:hAnsi="Arial" w:cs="Arial"/>
          <w:b/>
          <w:lang w:val="es-MX"/>
        </w:rPr>
      </w:pPr>
      <w:r w:rsidRPr="00E144C1">
        <w:rPr>
          <w:rFonts w:ascii="Arial" w:hAnsi="Arial" w:cs="Arial"/>
          <w:b/>
          <w:lang w:val="es-MX"/>
        </w:rPr>
        <w:t>Del citado informe retomamos las siguientes recomendaciones:</w:t>
      </w:r>
    </w:p>
    <w:p w14:paraId="1395E70E" w14:textId="77777777" w:rsidR="00217295" w:rsidRPr="00217295" w:rsidRDefault="00217295"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E0214F" w14:paraId="2D97F949" w14:textId="77777777" w:rsidTr="00F1223B">
        <w:tc>
          <w:tcPr>
            <w:tcW w:w="562" w:type="dxa"/>
          </w:tcPr>
          <w:p w14:paraId="488CADEA" w14:textId="77777777" w:rsidR="00561B22" w:rsidRPr="00E0214F" w:rsidRDefault="00561B22" w:rsidP="00F1223B">
            <w:pPr>
              <w:ind w:right="-109"/>
              <w:jc w:val="center"/>
              <w:rPr>
                <w:rFonts w:ascii="Arial" w:hAnsi="Arial" w:cs="Arial"/>
                <w:b/>
                <w:sz w:val="22"/>
                <w:szCs w:val="22"/>
                <w:lang w:val="es-MX"/>
              </w:rPr>
            </w:pPr>
            <w:r w:rsidRPr="00E0214F">
              <w:rPr>
                <w:rFonts w:ascii="Arial" w:hAnsi="Arial" w:cs="Arial"/>
                <w:b/>
                <w:sz w:val="22"/>
                <w:szCs w:val="22"/>
                <w:lang w:val="es-MX"/>
              </w:rPr>
              <w:t>N°</w:t>
            </w:r>
          </w:p>
        </w:tc>
        <w:tc>
          <w:tcPr>
            <w:tcW w:w="9400" w:type="dxa"/>
          </w:tcPr>
          <w:p w14:paraId="57F8C532"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RECOMENDACIONES</w:t>
            </w:r>
          </w:p>
          <w:p w14:paraId="7DB1EB2C" w14:textId="77777777" w:rsidR="00561B22" w:rsidRPr="00E0214F" w:rsidRDefault="00561B22" w:rsidP="00F1223B">
            <w:pPr>
              <w:jc w:val="center"/>
              <w:rPr>
                <w:rFonts w:ascii="Arial" w:hAnsi="Arial" w:cs="Arial"/>
                <w:b/>
                <w:sz w:val="22"/>
                <w:szCs w:val="22"/>
                <w:lang w:val="es-MX"/>
              </w:rPr>
            </w:pPr>
          </w:p>
        </w:tc>
      </w:tr>
      <w:tr w:rsidR="00561B22" w:rsidRPr="00E0214F" w14:paraId="3A71BF1B" w14:textId="77777777" w:rsidTr="00F1223B">
        <w:tc>
          <w:tcPr>
            <w:tcW w:w="562" w:type="dxa"/>
          </w:tcPr>
          <w:p w14:paraId="3A433A90"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1</w:t>
            </w:r>
          </w:p>
        </w:tc>
        <w:tc>
          <w:tcPr>
            <w:tcW w:w="9400" w:type="dxa"/>
          </w:tcPr>
          <w:p w14:paraId="402A865F"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 xml:space="preserve">Teniendo en cuenta las debilidades identificadas, es pertinente que se continúe con el seguimiento permanente en las diferentes actividades del proceso contable para evitar que se presenten debilidades o incumplimientos que deriven en la materialización de riesgos de índole contable. </w:t>
            </w:r>
          </w:p>
        </w:tc>
      </w:tr>
      <w:tr w:rsidR="00561B22" w:rsidRPr="00E0214F" w14:paraId="031C732B" w14:textId="77777777" w:rsidTr="00F1223B">
        <w:tc>
          <w:tcPr>
            <w:tcW w:w="562" w:type="dxa"/>
          </w:tcPr>
          <w:p w14:paraId="38BD4B6C"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2</w:t>
            </w:r>
          </w:p>
        </w:tc>
        <w:tc>
          <w:tcPr>
            <w:tcW w:w="9400" w:type="dxa"/>
          </w:tcPr>
          <w:p w14:paraId="51033531"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Realizar las actualizaciones correspondientes al ERP Dynamics 365, de tal manera que este permita conservar controladamente la asignación de consecutivos en los diferentes registros contables.</w:t>
            </w:r>
          </w:p>
        </w:tc>
      </w:tr>
      <w:tr w:rsidR="00561B22" w:rsidRPr="00E0214F" w14:paraId="638DE14C" w14:textId="77777777" w:rsidTr="00F1223B">
        <w:tc>
          <w:tcPr>
            <w:tcW w:w="562" w:type="dxa"/>
          </w:tcPr>
          <w:p w14:paraId="757AEE57"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3</w:t>
            </w:r>
          </w:p>
        </w:tc>
        <w:tc>
          <w:tcPr>
            <w:tcW w:w="9400" w:type="dxa"/>
          </w:tcPr>
          <w:p w14:paraId="081688E1"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Dar cumplimiento a cabalidad a los Planes de Mejoramiento de la CGR, de tal manera que su cierre se logre en los términos y tiempos establecidos, sin que se presenten vencimientos.</w:t>
            </w:r>
          </w:p>
        </w:tc>
      </w:tr>
      <w:tr w:rsidR="00561B22" w:rsidRPr="00E0214F" w14:paraId="2B5539CC" w14:textId="77777777" w:rsidTr="00F1223B">
        <w:tc>
          <w:tcPr>
            <w:tcW w:w="562" w:type="dxa"/>
          </w:tcPr>
          <w:p w14:paraId="55091E57"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4</w:t>
            </w:r>
          </w:p>
        </w:tc>
        <w:tc>
          <w:tcPr>
            <w:tcW w:w="9400" w:type="dxa"/>
          </w:tcPr>
          <w:p w14:paraId="59DDC180"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Contemplar la inclusión de actividades en el Plan Anual de Capacitación para la vigencia 2025, de tal manera que se refuerce el desarrollo de competencias y actualización permanente en el proceso contable.</w:t>
            </w:r>
          </w:p>
        </w:tc>
      </w:tr>
      <w:tr w:rsidR="00561B22" w:rsidRPr="00E0214F" w14:paraId="131975CF" w14:textId="77777777" w:rsidTr="00F1223B">
        <w:tc>
          <w:tcPr>
            <w:tcW w:w="562" w:type="dxa"/>
          </w:tcPr>
          <w:p w14:paraId="7F9708F8"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5</w:t>
            </w:r>
          </w:p>
        </w:tc>
        <w:tc>
          <w:tcPr>
            <w:tcW w:w="9400" w:type="dxa"/>
          </w:tcPr>
          <w:p w14:paraId="60400555"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Comunicar a las diferentes dependencias de la Entidad, la importancia de rendir información en términos al Grupo Contable de la Subgerencia Financiera como dependencia receptora de los hechos económicos.</w:t>
            </w:r>
          </w:p>
        </w:tc>
      </w:tr>
      <w:tr w:rsidR="00561B22" w:rsidRPr="00E0214F" w14:paraId="1766E851" w14:textId="77777777" w:rsidTr="00F1223B">
        <w:tc>
          <w:tcPr>
            <w:tcW w:w="562" w:type="dxa"/>
          </w:tcPr>
          <w:p w14:paraId="52C93734" w14:textId="77777777" w:rsidR="00561B22" w:rsidRPr="00E0214F" w:rsidRDefault="00561B22" w:rsidP="00F1223B">
            <w:pPr>
              <w:jc w:val="center"/>
              <w:rPr>
                <w:rFonts w:ascii="Arial" w:hAnsi="Arial" w:cs="Arial"/>
                <w:b/>
                <w:sz w:val="22"/>
                <w:szCs w:val="22"/>
                <w:lang w:val="es-MX"/>
              </w:rPr>
            </w:pPr>
            <w:r w:rsidRPr="00E0214F">
              <w:rPr>
                <w:rFonts w:ascii="Arial" w:hAnsi="Arial" w:cs="Arial"/>
                <w:b/>
                <w:sz w:val="22"/>
                <w:szCs w:val="22"/>
                <w:lang w:val="es-MX"/>
              </w:rPr>
              <w:t>6</w:t>
            </w:r>
          </w:p>
        </w:tc>
        <w:tc>
          <w:tcPr>
            <w:tcW w:w="9400" w:type="dxa"/>
          </w:tcPr>
          <w:p w14:paraId="0C5797CA" w14:textId="77777777" w:rsidR="00561B22" w:rsidRPr="00E0214F" w:rsidRDefault="00561B22" w:rsidP="00F1223B">
            <w:pPr>
              <w:jc w:val="both"/>
              <w:rPr>
                <w:rFonts w:ascii="Arial" w:hAnsi="Arial" w:cs="Arial"/>
                <w:bCs/>
                <w:sz w:val="22"/>
                <w:szCs w:val="22"/>
                <w:lang w:val="es-MX"/>
              </w:rPr>
            </w:pPr>
            <w:r w:rsidRPr="00E0214F">
              <w:rPr>
                <w:rFonts w:ascii="Arial" w:hAnsi="Arial" w:cs="Arial"/>
                <w:bCs/>
                <w:sz w:val="22"/>
                <w:szCs w:val="22"/>
                <w:lang w:val="es-MX"/>
              </w:rPr>
              <w:t>Establecer controles como segunda línea de defensa, de tal manera que se garantice que la información necesaria para la elaboración de los hechos económicos se allegue en los términos establecidos al Grupo de Contabilidad.</w:t>
            </w:r>
          </w:p>
        </w:tc>
      </w:tr>
    </w:tbl>
    <w:p w14:paraId="61EB2D49" w14:textId="77777777" w:rsidR="00561B22" w:rsidRPr="00E0214F" w:rsidRDefault="00561B22" w:rsidP="00561B22">
      <w:pPr>
        <w:pStyle w:val="Textoindependiente"/>
        <w:ind w:right="-50"/>
        <w:jc w:val="both"/>
        <w:rPr>
          <w:rFonts w:ascii="Arial" w:hAnsi="Arial" w:cs="Arial"/>
          <w:b/>
          <w:bCs/>
          <w:sz w:val="28"/>
          <w:szCs w:val="28"/>
        </w:rPr>
      </w:pPr>
    </w:p>
    <w:p w14:paraId="16353CC3" w14:textId="77777777" w:rsidR="00561B22" w:rsidRPr="00E0214F" w:rsidRDefault="00561B22" w:rsidP="00561B22">
      <w:pPr>
        <w:jc w:val="both"/>
        <w:rPr>
          <w:rFonts w:ascii="Arial" w:hAnsi="Arial" w:cs="Arial"/>
          <w:b/>
          <w:sz w:val="24"/>
          <w:szCs w:val="24"/>
          <w:lang w:val="es-CO"/>
        </w:rPr>
      </w:pPr>
      <w:r w:rsidRPr="00E0214F">
        <w:rPr>
          <w:rFonts w:ascii="Arial" w:hAnsi="Arial" w:cs="Arial"/>
          <w:b/>
          <w:bCs/>
          <w:sz w:val="24"/>
          <w:szCs w:val="24"/>
          <w:lang w:val="es-CO"/>
        </w:rPr>
        <w:t>NOTA:</w:t>
      </w:r>
      <w:r w:rsidRPr="00E0214F">
        <w:rPr>
          <w:rFonts w:ascii="Arial" w:hAnsi="Arial" w:cs="Arial"/>
          <w:b/>
          <w:sz w:val="24"/>
          <w:szCs w:val="24"/>
          <w:lang w:val="es-CO"/>
        </w:rPr>
        <w:t xml:space="preserve"> LA ENTIDAD ENVÍA LA MATRIZ DE AUTOEVALUACIÓN DEL SISTEMA DE CONTROL INTERNO CONTABLE CON </w:t>
      </w:r>
      <w:r w:rsidRPr="00E0214F">
        <w:rPr>
          <w:rFonts w:ascii="Arial" w:hAnsi="Arial" w:cs="Arial"/>
          <w:b/>
          <w:bCs/>
          <w:sz w:val="24"/>
          <w:szCs w:val="24"/>
          <w:u w:val="single"/>
          <w:lang w:val="es-CO"/>
        </w:rPr>
        <w:t>ACTIVIDADES DE CONTROL REALIZADAS EN FORMA PARCIAL</w:t>
      </w:r>
      <w:r w:rsidRPr="00E0214F">
        <w:rPr>
          <w:rFonts w:ascii="Arial" w:hAnsi="Arial" w:cs="Arial"/>
          <w:b/>
          <w:sz w:val="24"/>
          <w:szCs w:val="24"/>
          <w:lang w:val="es-CO"/>
        </w:rPr>
        <w:t>.</w:t>
      </w:r>
    </w:p>
    <w:p w14:paraId="1368C641" w14:textId="77777777" w:rsidR="00561B22" w:rsidRPr="00E0214F" w:rsidRDefault="00561B22" w:rsidP="00561B22">
      <w:pPr>
        <w:jc w:val="both"/>
        <w:rPr>
          <w:rFonts w:ascii="Arial" w:hAnsi="Arial" w:cs="Arial"/>
          <w:sz w:val="24"/>
          <w:szCs w:val="24"/>
          <w:lang w:val="es-CO"/>
        </w:rPr>
      </w:pPr>
    </w:p>
    <w:p w14:paraId="358A750B" w14:textId="77777777" w:rsidR="00561B22" w:rsidRPr="00E0214F" w:rsidRDefault="00561B22" w:rsidP="00561B22">
      <w:pPr>
        <w:jc w:val="both"/>
        <w:rPr>
          <w:rFonts w:ascii="Arial" w:hAnsi="Arial" w:cs="Arial"/>
          <w:sz w:val="24"/>
          <w:szCs w:val="24"/>
          <w:lang w:val="es-CO"/>
        </w:rPr>
      </w:pPr>
      <w:r w:rsidRPr="00E0214F">
        <w:rPr>
          <w:rFonts w:ascii="Arial" w:hAnsi="Arial" w:cs="Arial"/>
          <w:sz w:val="24"/>
          <w:szCs w:val="24"/>
          <w:lang w:val="es-CO"/>
        </w:rPr>
        <w:t>El Informe de Evaluación de Control Interno Contable, no se encuentra debidamente firmado por el responsable de su elaboración.</w:t>
      </w:r>
    </w:p>
    <w:p w14:paraId="1BB90123" w14:textId="77777777" w:rsidR="00561B22" w:rsidRPr="00E0214F" w:rsidRDefault="00561B22" w:rsidP="00561B22">
      <w:pPr>
        <w:jc w:val="both"/>
        <w:rPr>
          <w:rFonts w:ascii="Arial" w:hAnsi="Arial" w:cs="Arial"/>
          <w:b/>
          <w:lang w:val="es-MX"/>
        </w:rPr>
      </w:pPr>
    </w:p>
    <w:p w14:paraId="236D62E6" w14:textId="77777777" w:rsidR="00561B22" w:rsidRPr="00057F2B" w:rsidRDefault="00561B22" w:rsidP="00561B22">
      <w:pPr>
        <w:jc w:val="both"/>
        <w:rPr>
          <w:rFonts w:ascii="Arial" w:hAnsi="Arial" w:cs="Arial"/>
          <w:b/>
          <w:sz w:val="28"/>
          <w:szCs w:val="28"/>
          <w:lang w:val="es-MX"/>
        </w:rPr>
      </w:pPr>
      <w:r w:rsidRPr="00057F2B">
        <w:rPr>
          <w:rFonts w:ascii="Arial" w:hAnsi="Arial" w:cs="Arial"/>
          <w:b/>
          <w:sz w:val="28"/>
          <w:szCs w:val="28"/>
          <w:lang w:val="es-MX"/>
        </w:rPr>
        <w:t xml:space="preserve">332.- MINISTERIO DE RELACIONES EXTERIORES. </w:t>
      </w:r>
    </w:p>
    <w:p w14:paraId="3677DA76" w14:textId="77777777" w:rsidR="00561B22" w:rsidRPr="00E144C1" w:rsidRDefault="00561B22" w:rsidP="00561B22">
      <w:pPr>
        <w:pStyle w:val="Textoindependiente"/>
        <w:tabs>
          <w:tab w:val="left" w:pos="2055"/>
        </w:tabs>
        <w:spacing w:before="5"/>
        <w:rPr>
          <w:rFonts w:ascii="Arial" w:hAnsi="Arial" w:cs="Arial"/>
        </w:rPr>
      </w:pPr>
    </w:p>
    <w:p w14:paraId="2F04B098" w14:textId="77777777" w:rsidR="00561B22" w:rsidRPr="002F3C86" w:rsidRDefault="00561B22" w:rsidP="00561B22">
      <w:pPr>
        <w:pStyle w:val="Textoindependiente"/>
        <w:ind w:right="-50"/>
        <w:jc w:val="center"/>
        <w:rPr>
          <w:rFonts w:ascii="Arial" w:hAnsi="Arial" w:cs="Arial"/>
          <w:b/>
          <w:bCs/>
        </w:rPr>
      </w:pPr>
      <w:r w:rsidRPr="002F3C86">
        <w:rPr>
          <w:rFonts w:ascii="Arial" w:hAnsi="Arial" w:cs="Arial"/>
          <w:b/>
          <w:bCs/>
        </w:rPr>
        <w:t>INFORME DE LA AUTOCALIFICACIÓN DEL SISTEMA DE CONTROL INTERNO CONTABLE:</w:t>
      </w:r>
    </w:p>
    <w:p w14:paraId="61F774E2" w14:textId="77777777" w:rsidR="00561B22" w:rsidRPr="002F3C8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F3C86" w14:paraId="149DFCBB" w14:textId="77777777" w:rsidTr="00F1223B">
        <w:tc>
          <w:tcPr>
            <w:tcW w:w="4981" w:type="dxa"/>
          </w:tcPr>
          <w:p w14:paraId="6D4BEEBF"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AUTOCALIFICACIÓN</w:t>
            </w:r>
          </w:p>
        </w:tc>
        <w:tc>
          <w:tcPr>
            <w:tcW w:w="4981" w:type="dxa"/>
          </w:tcPr>
          <w:p w14:paraId="1512FDC4" w14:textId="77777777" w:rsidR="00561B22" w:rsidRPr="002F3C86" w:rsidRDefault="00561B22" w:rsidP="00F1223B">
            <w:pPr>
              <w:jc w:val="center"/>
              <w:rPr>
                <w:rFonts w:ascii="Arial" w:hAnsi="Arial" w:cs="Arial"/>
                <w:b/>
                <w:sz w:val="22"/>
                <w:szCs w:val="22"/>
                <w:u w:val="single"/>
                <w:lang w:val="es-MX"/>
              </w:rPr>
            </w:pPr>
            <w:r w:rsidRPr="002F3C86">
              <w:rPr>
                <w:rFonts w:ascii="Arial" w:hAnsi="Arial" w:cs="Arial"/>
                <w:b/>
                <w:sz w:val="22"/>
                <w:szCs w:val="22"/>
                <w:u w:val="single"/>
                <w:lang w:val="es-MX"/>
              </w:rPr>
              <w:t>4.92</w:t>
            </w:r>
          </w:p>
        </w:tc>
      </w:tr>
    </w:tbl>
    <w:p w14:paraId="0BF55213" w14:textId="77777777" w:rsidR="00561B22" w:rsidRPr="002F3C86" w:rsidRDefault="00561B22" w:rsidP="00561B22">
      <w:pPr>
        <w:pStyle w:val="Textoindependiente"/>
        <w:ind w:right="-50"/>
        <w:jc w:val="both"/>
        <w:rPr>
          <w:rFonts w:ascii="Arial" w:hAnsi="Arial" w:cs="Arial"/>
          <w:b/>
          <w:bCs/>
        </w:rPr>
      </w:pPr>
    </w:p>
    <w:p w14:paraId="5D5A68F5" w14:textId="77777777" w:rsidR="00561B22" w:rsidRPr="002F3C86" w:rsidRDefault="00561B22" w:rsidP="00561B22">
      <w:pPr>
        <w:pStyle w:val="Textoindependiente"/>
        <w:ind w:right="-50"/>
        <w:jc w:val="both"/>
        <w:rPr>
          <w:rFonts w:ascii="Arial" w:hAnsi="Arial" w:cs="Arial"/>
          <w:b/>
          <w:bCs/>
        </w:rPr>
      </w:pPr>
      <w:r w:rsidRPr="002F3C86">
        <w:rPr>
          <w:rFonts w:ascii="Arial" w:hAnsi="Arial" w:cs="Arial"/>
          <w:b/>
          <w:bCs/>
        </w:rPr>
        <w:t>Del informe enviado retomamos lo siguiente:</w:t>
      </w:r>
    </w:p>
    <w:p w14:paraId="707978D6" w14:textId="77777777" w:rsidR="00561B22" w:rsidRPr="002F3C8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F3C86" w14:paraId="09B5435E" w14:textId="77777777" w:rsidTr="00F1223B">
        <w:tc>
          <w:tcPr>
            <w:tcW w:w="562" w:type="dxa"/>
          </w:tcPr>
          <w:p w14:paraId="7F1D90EA" w14:textId="77777777" w:rsidR="00561B22" w:rsidRPr="002F3C86" w:rsidRDefault="00561B22" w:rsidP="00F1223B">
            <w:pPr>
              <w:ind w:right="-109"/>
              <w:jc w:val="center"/>
              <w:rPr>
                <w:rFonts w:ascii="Arial" w:hAnsi="Arial" w:cs="Arial"/>
                <w:b/>
                <w:sz w:val="22"/>
                <w:szCs w:val="22"/>
                <w:lang w:val="es-MX"/>
              </w:rPr>
            </w:pPr>
            <w:r w:rsidRPr="002F3C86">
              <w:rPr>
                <w:rFonts w:ascii="Arial" w:hAnsi="Arial" w:cs="Arial"/>
                <w:b/>
                <w:sz w:val="22"/>
                <w:szCs w:val="22"/>
                <w:lang w:val="es-MX"/>
              </w:rPr>
              <w:t>N°</w:t>
            </w:r>
          </w:p>
        </w:tc>
        <w:tc>
          <w:tcPr>
            <w:tcW w:w="9400" w:type="dxa"/>
          </w:tcPr>
          <w:p w14:paraId="2C4D65DB"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DEBILIDADES</w:t>
            </w:r>
          </w:p>
          <w:p w14:paraId="30495E59" w14:textId="77777777" w:rsidR="00561B22" w:rsidRPr="002F3C86" w:rsidRDefault="00561B22" w:rsidP="00F1223B">
            <w:pPr>
              <w:jc w:val="center"/>
              <w:rPr>
                <w:rFonts w:ascii="Arial" w:hAnsi="Arial" w:cs="Arial"/>
                <w:b/>
                <w:sz w:val="22"/>
                <w:szCs w:val="22"/>
                <w:lang w:val="es-MX"/>
              </w:rPr>
            </w:pPr>
          </w:p>
        </w:tc>
      </w:tr>
      <w:tr w:rsidR="00561B22" w:rsidRPr="002F3C86" w14:paraId="0C7BA792" w14:textId="77777777" w:rsidTr="00F1223B">
        <w:tc>
          <w:tcPr>
            <w:tcW w:w="562" w:type="dxa"/>
          </w:tcPr>
          <w:p w14:paraId="09E6281F"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1</w:t>
            </w:r>
          </w:p>
        </w:tc>
        <w:tc>
          <w:tcPr>
            <w:tcW w:w="9400" w:type="dxa"/>
          </w:tcPr>
          <w:p w14:paraId="5D9DDEDD" w14:textId="77777777" w:rsidR="00561B22" w:rsidRPr="002F3C86" w:rsidRDefault="00561B22" w:rsidP="00F1223B">
            <w:pPr>
              <w:rPr>
                <w:rFonts w:ascii="Arial" w:hAnsi="Arial" w:cs="Arial"/>
                <w:bCs/>
                <w:sz w:val="22"/>
                <w:szCs w:val="22"/>
                <w:lang w:val="es-MX"/>
              </w:rPr>
            </w:pPr>
            <w:r w:rsidRPr="002F3C86">
              <w:rPr>
                <w:rFonts w:ascii="Arial" w:hAnsi="Arial" w:cs="Arial"/>
                <w:bCs/>
                <w:sz w:val="22"/>
                <w:szCs w:val="22"/>
                <w:lang w:val="es-MX"/>
              </w:rPr>
              <w:t>No se cuenta con indicadores que permitan analizar e interpretar la realidad financiera de la Entidad, según el concepto de la CGN.</w:t>
            </w:r>
          </w:p>
        </w:tc>
      </w:tr>
    </w:tbl>
    <w:p w14:paraId="7ED83300" w14:textId="4C17DB39" w:rsidR="00561B22" w:rsidRDefault="00561B22" w:rsidP="00561B22">
      <w:pPr>
        <w:pStyle w:val="Textoindependiente"/>
        <w:ind w:right="-50"/>
        <w:jc w:val="both"/>
        <w:rPr>
          <w:rFonts w:ascii="Arial" w:hAnsi="Arial" w:cs="Arial"/>
          <w:b/>
          <w:bCs/>
        </w:rPr>
      </w:pPr>
    </w:p>
    <w:p w14:paraId="5D20CAF0" w14:textId="77777777" w:rsidR="00217295" w:rsidRPr="00E144C1" w:rsidRDefault="00217295" w:rsidP="00217295">
      <w:pPr>
        <w:jc w:val="both"/>
        <w:rPr>
          <w:rFonts w:ascii="Arial" w:hAnsi="Arial" w:cs="Arial"/>
          <w:b/>
          <w:lang w:val="es-MX"/>
        </w:rPr>
      </w:pPr>
      <w:r w:rsidRPr="00E144C1">
        <w:rPr>
          <w:rFonts w:ascii="Arial" w:hAnsi="Arial" w:cs="Arial"/>
          <w:b/>
          <w:lang w:val="es-MX"/>
        </w:rPr>
        <w:t>Del citado informe retomamos las siguientes recomendaciones:</w:t>
      </w:r>
    </w:p>
    <w:p w14:paraId="4A41E5FC" w14:textId="77777777" w:rsidR="00217295" w:rsidRPr="00217295" w:rsidRDefault="00217295"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2F3C86" w14:paraId="5E4830BB" w14:textId="77777777" w:rsidTr="00F1223B">
        <w:tc>
          <w:tcPr>
            <w:tcW w:w="562" w:type="dxa"/>
          </w:tcPr>
          <w:p w14:paraId="47297239" w14:textId="77777777" w:rsidR="00561B22" w:rsidRPr="002F3C86" w:rsidRDefault="00561B22" w:rsidP="00F1223B">
            <w:pPr>
              <w:ind w:right="-109"/>
              <w:jc w:val="center"/>
              <w:rPr>
                <w:rFonts w:ascii="Arial" w:hAnsi="Arial" w:cs="Arial"/>
                <w:b/>
                <w:sz w:val="22"/>
                <w:szCs w:val="22"/>
                <w:lang w:val="es-MX"/>
              </w:rPr>
            </w:pPr>
            <w:r w:rsidRPr="002F3C86">
              <w:rPr>
                <w:rFonts w:ascii="Arial" w:hAnsi="Arial" w:cs="Arial"/>
                <w:b/>
                <w:sz w:val="22"/>
                <w:szCs w:val="22"/>
                <w:lang w:val="es-MX"/>
              </w:rPr>
              <w:t>N°</w:t>
            </w:r>
          </w:p>
        </w:tc>
        <w:tc>
          <w:tcPr>
            <w:tcW w:w="9400" w:type="dxa"/>
          </w:tcPr>
          <w:p w14:paraId="1C0FCBDA"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RECOMENDACIONES</w:t>
            </w:r>
          </w:p>
          <w:p w14:paraId="250C2730" w14:textId="77777777" w:rsidR="00561B22" w:rsidRPr="002F3C86" w:rsidRDefault="00561B22" w:rsidP="00F1223B">
            <w:pPr>
              <w:jc w:val="center"/>
              <w:rPr>
                <w:rFonts w:ascii="Arial" w:hAnsi="Arial" w:cs="Arial"/>
                <w:b/>
                <w:sz w:val="22"/>
                <w:szCs w:val="22"/>
                <w:lang w:val="es-MX"/>
              </w:rPr>
            </w:pPr>
          </w:p>
        </w:tc>
      </w:tr>
      <w:tr w:rsidR="00561B22" w:rsidRPr="002F3C86" w14:paraId="347393FC" w14:textId="77777777" w:rsidTr="00F1223B">
        <w:tc>
          <w:tcPr>
            <w:tcW w:w="562" w:type="dxa"/>
          </w:tcPr>
          <w:p w14:paraId="12825D0A"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lastRenderedPageBreak/>
              <w:t>1</w:t>
            </w:r>
          </w:p>
        </w:tc>
        <w:tc>
          <w:tcPr>
            <w:tcW w:w="9400" w:type="dxa"/>
          </w:tcPr>
          <w:p w14:paraId="2E37F9B6" w14:textId="77777777" w:rsidR="00561B22" w:rsidRPr="002F3C86" w:rsidRDefault="00561B22" w:rsidP="00F1223B">
            <w:pPr>
              <w:jc w:val="both"/>
              <w:rPr>
                <w:rFonts w:ascii="Arial" w:hAnsi="Arial" w:cs="Arial"/>
                <w:bCs/>
                <w:sz w:val="22"/>
                <w:szCs w:val="22"/>
                <w:lang w:val="es-MX"/>
              </w:rPr>
            </w:pPr>
            <w:r w:rsidRPr="002F3C86">
              <w:rPr>
                <w:rFonts w:ascii="Arial" w:hAnsi="Arial" w:cs="Arial"/>
                <w:bCs/>
                <w:sz w:val="22"/>
                <w:szCs w:val="22"/>
                <w:lang w:val="es-MX"/>
              </w:rPr>
              <w:t>Identificar riesgos y controles de índole contable que contribuyan a mitigar, prevenir y neutralizar hechos que puedan afectar el proceso contable y la realidad financiera de la entidad.</w:t>
            </w:r>
          </w:p>
        </w:tc>
      </w:tr>
      <w:tr w:rsidR="00561B22" w:rsidRPr="002F3C86" w14:paraId="3FDD79C0" w14:textId="77777777" w:rsidTr="00F1223B">
        <w:tc>
          <w:tcPr>
            <w:tcW w:w="562" w:type="dxa"/>
          </w:tcPr>
          <w:p w14:paraId="5100EE5B"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2</w:t>
            </w:r>
          </w:p>
        </w:tc>
        <w:tc>
          <w:tcPr>
            <w:tcW w:w="9400" w:type="dxa"/>
          </w:tcPr>
          <w:p w14:paraId="2BC501A9" w14:textId="77777777" w:rsidR="00561B22" w:rsidRPr="002F3C86" w:rsidRDefault="00561B22" w:rsidP="00F1223B">
            <w:pPr>
              <w:jc w:val="both"/>
              <w:rPr>
                <w:rFonts w:ascii="Arial" w:hAnsi="Arial" w:cs="Arial"/>
                <w:bCs/>
                <w:sz w:val="22"/>
                <w:szCs w:val="22"/>
                <w:lang w:val="es-MX"/>
              </w:rPr>
            </w:pPr>
            <w:r w:rsidRPr="002F3C86">
              <w:rPr>
                <w:rFonts w:ascii="Arial" w:hAnsi="Arial" w:cs="Arial"/>
                <w:bCs/>
                <w:sz w:val="22"/>
                <w:szCs w:val="22"/>
                <w:lang w:val="es-MX"/>
              </w:rPr>
              <w:t>Verificar la pertinencia de actualizar el procedimiento de contabilidad del Ministerio de Relaciones Exteriores, identificado con el código GF-PT-O62, el cual está vigente desde el 2020.</w:t>
            </w:r>
          </w:p>
        </w:tc>
      </w:tr>
      <w:tr w:rsidR="00561B22" w:rsidRPr="002F3C86" w14:paraId="135EE22B" w14:textId="77777777" w:rsidTr="00F1223B">
        <w:tc>
          <w:tcPr>
            <w:tcW w:w="562" w:type="dxa"/>
          </w:tcPr>
          <w:p w14:paraId="2E948DEC"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3</w:t>
            </w:r>
          </w:p>
        </w:tc>
        <w:tc>
          <w:tcPr>
            <w:tcW w:w="9400" w:type="dxa"/>
          </w:tcPr>
          <w:p w14:paraId="1415620A" w14:textId="77777777" w:rsidR="00561B22" w:rsidRPr="002F3C86" w:rsidRDefault="00561B22" w:rsidP="00F1223B">
            <w:pPr>
              <w:jc w:val="both"/>
              <w:rPr>
                <w:rFonts w:ascii="Arial" w:hAnsi="Arial" w:cs="Arial"/>
                <w:bCs/>
                <w:sz w:val="22"/>
                <w:szCs w:val="22"/>
                <w:lang w:val="es-MX"/>
              </w:rPr>
            </w:pPr>
            <w:r w:rsidRPr="002F3C86">
              <w:rPr>
                <w:rFonts w:ascii="Arial" w:hAnsi="Arial" w:cs="Arial"/>
                <w:bCs/>
                <w:sz w:val="22"/>
                <w:szCs w:val="22"/>
                <w:lang w:val="es-MX"/>
              </w:rPr>
              <w:t>En los informes de gestión de riesgos de la vigencia 2024 el GIT de Control Interno de Gestión recomendó revisar el tema de riesgo fiscal.</w:t>
            </w:r>
          </w:p>
        </w:tc>
      </w:tr>
      <w:tr w:rsidR="00561B22" w:rsidRPr="002F3C86" w14:paraId="441D2620" w14:textId="77777777" w:rsidTr="00F1223B">
        <w:tc>
          <w:tcPr>
            <w:tcW w:w="562" w:type="dxa"/>
          </w:tcPr>
          <w:p w14:paraId="3A173881"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4</w:t>
            </w:r>
          </w:p>
        </w:tc>
        <w:tc>
          <w:tcPr>
            <w:tcW w:w="9400" w:type="dxa"/>
          </w:tcPr>
          <w:p w14:paraId="27DF7F23" w14:textId="77777777" w:rsidR="00561B22" w:rsidRPr="002F3C86" w:rsidRDefault="00561B22" w:rsidP="00F1223B">
            <w:pPr>
              <w:jc w:val="both"/>
              <w:rPr>
                <w:rFonts w:ascii="Arial" w:hAnsi="Arial" w:cs="Arial"/>
                <w:bCs/>
                <w:sz w:val="22"/>
                <w:szCs w:val="22"/>
                <w:lang w:val="es-MX"/>
              </w:rPr>
            </w:pPr>
            <w:r w:rsidRPr="002F3C86">
              <w:rPr>
                <w:rFonts w:ascii="Arial" w:hAnsi="Arial" w:cs="Arial"/>
                <w:bCs/>
                <w:sz w:val="22"/>
                <w:szCs w:val="22"/>
                <w:lang w:val="es-MX"/>
              </w:rPr>
              <w:t>Atender las OM que quedaron en el informe de auditoría al registro de Operaciones Reciprocas.</w:t>
            </w:r>
          </w:p>
        </w:tc>
      </w:tr>
      <w:tr w:rsidR="00561B22" w:rsidRPr="002F3C86" w14:paraId="100EBB63" w14:textId="77777777" w:rsidTr="00F1223B">
        <w:tc>
          <w:tcPr>
            <w:tcW w:w="562" w:type="dxa"/>
          </w:tcPr>
          <w:p w14:paraId="2D4C6D3F" w14:textId="77777777" w:rsidR="00561B22" w:rsidRPr="002F3C86" w:rsidRDefault="00561B22" w:rsidP="00F1223B">
            <w:pPr>
              <w:jc w:val="center"/>
              <w:rPr>
                <w:rFonts w:ascii="Arial" w:hAnsi="Arial" w:cs="Arial"/>
                <w:b/>
                <w:sz w:val="22"/>
                <w:szCs w:val="22"/>
                <w:lang w:val="es-MX"/>
              </w:rPr>
            </w:pPr>
            <w:r w:rsidRPr="002F3C86">
              <w:rPr>
                <w:rFonts w:ascii="Arial" w:hAnsi="Arial" w:cs="Arial"/>
                <w:b/>
                <w:sz w:val="22"/>
                <w:szCs w:val="22"/>
                <w:lang w:val="es-MX"/>
              </w:rPr>
              <w:t>5</w:t>
            </w:r>
          </w:p>
        </w:tc>
        <w:tc>
          <w:tcPr>
            <w:tcW w:w="9400" w:type="dxa"/>
          </w:tcPr>
          <w:p w14:paraId="6807D8A2" w14:textId="77777777" w:rsidR="00561B22" w:rsidRPr="002F3C86" w:rsidRDefault="00561B22" w:rsidP="00F1223B">
            <w:pPr>
              <w:jc w:val="both"/>
              <w:rPr>
                <w:rFonts w:ascii="Arial" w:hAnsi="Arial" w:cs="Arial"/>
                <w:bCs/>
                <w:sz w:val="22"/>
                <w:szCs w:val="22"/>
                <w:lang w:val="es-MX"/>
              </w:rPr>
            </w:pPr>
            <w:r w:rsidRPr="002F3C86">
              <w:rPr>
                <w:rFonts w:ascii="Arial" w:hAnsi="Arial" w:cs="Arial"/>
                <w:bCs/>
                <w:sz w:val="22"/>
                <w:szCs w:val="22"/>
                <w:lang w:val="es-MX"/>
              </w:rPr>
              <w:t>Socializar la versión 4 del Manual de políticas contables del Ministerio de Relaciones Exteriores y su Fondo Rotatorio.</w:t>
            </w:r>
          </w:p>
        </w:tc>
      </w:tr>
    </w:tbl>
    <w:p w14:paraId="20377419" w14:textId="77777777" w:rsidR="00561B22" w:rsidRPr="002F3C86" w:rsidRDefault="00561B22" w:rsidP="00561B22">
      <w:pPr>
        <w:pStyle w:val="Textoindependiente"/>
        <w:ind w:right="-50"/>
        <w:jc w:val="both"/>
        <w:rPr>
          <w:rFonts w:ascii="Arial" w:hAnsi="Arial" w:cs="Arial"/>
          <w:b/>
          <w:bCs/>
        </w:rPr>
      </w:pPr>
    </w:p>
    <w:p w14:paraId="0A6DA03A" w14:textId="77777777" w:rsidR="00561B22" w:rsidRPr="002F3C86" w:rsidRDefault="00561B22" w:rsidP="00561B22">
      <w:pPr>
        <w:jc w:val="both"/>
        <w:rPr>
          <w:rFonts w:ascii="Arial" w:hAnsi="Arial" w:cs="Arial"/>
          <w:b/>
          <w:sz w:val="24"/>
          <w:szCs w:val="24"/>
          <w:lang w:val="es-CO"/>
        </w:rPr>
      </w:pPr>
      <w:r w:rsidRPr="002F3C86">
        <w:rPr>
          <w:rFonts w:ascii="Arial" w:hAnsi="Arial" w:cs="Arial"/>
          <w:b/>
          <w:bCs/>
          <w:sz w:val="24"/>
          <w:szCs w:val="24"/>
          <w:lang w:val="es-CO"/>
        </w:rPr>
        <w:t>NOTA: L</w:t>
      </w:r>
      <w:r w:rsidRPr="002F3C86">
        <w:rPr>
          <w:rFonts w:ascii="Arial" w:hAnsi="Arial" w:cs="Arial"/>
          <w:b/>
          <w:sz w:val="24"/>
          <w:szCs w:val="24"/>
          <w:lang w:val="es-CO"/>
        </w:rPr>
        <w:t xml:space="preserve">A ENTIDAD ENVÍA LA MATRIZ DE AUTOEVALUACIÓN DEL SISTEMA DE CONTROL INTERNO CONTABLE CON </w:t>
      </w:r>
      <w:r w:rsidRPr="002F3C86">
        <w:rPr>
          <w:rFonts w:ascii="Arial" w:hAnsi="Arial" w:cs="Arial"/>
          <w:b/>
          <w:sz w:val="24"/>
          <w:szCs w:val="24"/>
          <w:u w:val="single"/>
          <w:lang w:val="es-CO"/>
        </w:rPr>
        <w:t>ACTIVIDADES DE CONTROL REALIZADAS EN FORMA PARCIAL</w:t>
      </w:r>
      <w:r w:rsidRPr="002F3C86">
        <w:rPr>
          <w:rFonts w:ascii="Arial" w:hAnsi="Arial" w:cs="Arial"/>
          <w:b/>
          <w:sz w:val="24"/>
          <w:szCs w:val="24"/>
          <w:lang w:val="es-CO"/>
        </w:rPr>
        <w:t>.</w:t>
      </w:r>
    </w:p>
    <w:p w14:paraId="2AA88CF1" w14:textId="77777777" w:rsidR="00561B22" w:rsidRPr="002F3C86" w:rsidRDefault="00561B22" w:rsidP="00561B22">
      <w:pPr>
        <w:pStyle w:val="Textoindependiente"/>
        <w:tabs>
          <w:tab w:val="left" w:pos="2055"/>
        </w:tabs>
        <w:spacing w:before="5"/>
        <w:rPr>
          <w:rFonts w:ascii="Arial" w:hAnsi="Arial" w:cs="Arial"/>
        </w:rPr>
      </w:pPr>
    </w:p>
    <w:p w14:paraId="1F33B20D" w14:textId="77777777" w:rsidR="00561B22" w:rsidRPr="00581DF9" w:rsidRDefault="00561B22" w:rsidP="00561B22">
      <w:pPr>
        <w:jc w:val="both"/>
        <w:rPr>
          <w:rFonts w:ascii="Arial" w:hAnsi="Arial" w:cs="Arial"/>
          <w:b/>
          <w:sz w:val="28"/>
          <w:szCs w:val="28"/>
          <w:lang w:val="es-MX"/>
        </w:rPr>
      </w:pPr>
      <w:r w:rsidRPr="00581DF9">
        <w:rPr>
          <w:rFonts w:ascii="Arial" w:hAnsi="Arial" w:cs="Arial"/>
          <w:b/>
          <w:sz w:val="28"/>
          <w:szCs w:val="28"/>
          <w:lang w:val="es-MX"/>
        </w:rPr>
        <w:t>333.- FONDO ROTATORIO DEL MINISTERIO DE RELACIONES EXTERIORES.</w:t>
      </w:r>
    </w:p>
    <w:p w14:paraId="1D424E8D" w14:textId="77777777" w:rsidR="00561B22" w:rsidRDefault="00561B22" w:rsidP="00561B22">
      <w:pPr>
        <w:ind w:right="1900"/>
        <w:rPr>
          <w:rFonts w:ascii="Arial" w:hAnsi="Arial" w:cs="Arial"/>
          <w:b/>
          <w:color w:val="FF0000"/>
        </w:rPr>
      </w:pPr>
    </w:p>
    <w:p w14:paraId="13CC490C" w14:textId="77777777" w:rsidR="00561B22" w:rsidRPr="00DB3511" w:rsidRDefault="00561B22" w:rsidP="00561B22">
      <w:pPr>
        <w:jc w:val="center"/>
        <w:rPr>
          <w:rFonts w:ascii="Arial" w:hAnsi="Arial" w:cs="Arial"/>
          <w:b/>
          <w:lang w:val="es-MX"/>
        </w:rPr>
      </w:pPr>
      <w:r w:rsidRPr="00DB3511">
        <w:rPr>
          <w:rFonts w:ascii="Arial" w:hAnsi="Arial" w:cs="Arial"/>
          <w:b/>
          <w:lang w:val="es-MX"/>
        </w:rPr>
        <w:t>INFORME DE LA AUTOCALIFICACIÓN DEL SISTEMA DE CONTROL INTERNO CONTABLE:</w:t>
      </w:r>
    </w:p>
    <w:p w14:paraId="1F1B1253" w14:textId="77777777" w:rsidR="00561B22" w:rsidRPr="00DB351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DB3511" w14:paraId="6385E85A" w14:textId="77777777" w:rsidTr="00F1223B">
        <w:tc>
          <w:tcPr>
            <w:tcW w:w="4981" w:type="dxa"/>
          </w:tcPr>
          <w:p w14:paraId="6C9AC022"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AUTOCALIFICACIÓN</w:t>
            </w:r>
          </w:p>
        </w:tc>
        <w:tc>
          <w:tcPr>
            <w:tcW w:w="4981" w:type="dxa"/>
          </w:tcPr>
          <w:p w14:paraId="07C9CB38" w14:textId="77777777" w:rsidR="00561B22" w:rsidRPr="00DB3511" w:rsidRDefault="00561B22" w:rsidP="00F1223B">
            <w:pPr>
              <w:jc w:val="center"/>
              <w:rPr>
                <w:rFonts w:ascii="Arial" w:hAnsi="Arial" w:cs="Arial"/>
                <w:b/>
                <w:sz w:val="22"/>
                <w:szCs w:val="22"/>
                <w:u w:val="single"/>
                <w:lang w:val="es-MX"/>
              </w:rPr>
            </w:pPr>
            <w:r w:rsidRPr="00DB3511">
              <w:rPr>
                <w:rFonts w:ascii="Arial" w:hAnsi="Arial" w:cs="Arial"/>
                <w:b/>
                <w:sz w:val="22"/>
                <w:szCs w:val="22"/>
                <w:u w:val="single"/>
                <w:lang w:val="es-MX"/>
              </w:rPr>
              <w:t>4.85</w:t>
            </w:r>
          </w:p>
        </w:tc>
      </w:tr>
    </w:tbl>
    <w:p w14:paraId="232FA9B3" w14:textId="77777777" w:rsidR="00561B22" w:rsidRPr="00DB351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DB3511" w14:paraId="4C40F544" w14:textId="77777777" w:rsidTr="00F1223B">
        <w:tc>
          <w:tcPr>
            <w:tcW w:w="562" w:type="dxa"/>
          </w:tcPr>
          <w:p w14:paraId="768E0C2B" w14:textId="77777777" w:rsidR="00561B22" w:rsidRPr="00DB3511" w:rsidRDefault="00561B22" w:rsidP="00F1223B">
            <w:pPr>
              <w:ind w:right="-109"/>
              <w:jc w:val="center"/>
              <w:rPr>
                <w:rFonts w:ascii="Arial" w:hAnsi="Arial" w:cs="Arial"/>
                <w:b/>
                <w:sz w:val="22"/>
                <w:szCs w:val="22"/>
                <w:lang w:val="es-MX"/>
              </w:rPr>
            </w:pPr>
            <w:r w:rsidRPr="00DB3511">
              <w:rPr>
                <w:rFonts w:ascii="Arial" w:hAnsi="Arial" w:cs="Arial"/>
                <w:b/>
                <w:sz w:val="22"/>
                <w:szCs w:val="22"/>
                <w:lang w:val="es-MX"/>
              </w:rPr>
              <w:t>N°</w:t>
            </w:r>
          </w:p>
        </w:tc>
        <w:tc>
          <w:tcPr>
            <w:tcW w:w="9400" w:type="dxa"/>
          </w:tcPr>
          <w:p w14:paraId="4275CD26"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DEBILIDADES</w:t>
            </w:r>
          </w:p>
          <w:p w14:paraId="3C4C0AA3" w14:textId="77777777" w:rsidR="00561B22" w:rsidRPr="00DB3511" w:rsidRDefault="00561B22" w:rsidP="00F1223B">
            <w:pPr>
              <w:jc w:val="center"/>
              <w:rPr>
                <w:rFonts w:ascii="Arial" w:hAnsi="Arial" w:cs="Arial"/>
                <w:b/>
                <w:sz w:val="22"/>
                <w:szCs w:val="22"/>
                <w:lang w:val="es-MX"/>
              </w:rPr>
            </w:pPr>
          </w:p>
        </w:tc>
      </w:tr>
      <w:tr w:rsidR="00561B22" w:rsidRPr="00DB3511" w14:paraId="61A5C9EC" w14:textId="77777777" w:rsidTr="00F1223B">
        <w:tc>
          <w:tcPr>
            <w:tcW w:w="562" w:type="dxa"/>
          </w:tcPr>
          <w:p w14:paraId="730E1AAD"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1</w:t>
            </w:r>
          </w:p>
        </w:tc>
        <w:tc>
          <w:tcPr>
            <w:tcW w:w="9400" w:type="dxa"/>
          </w:tcPr>
          <w:p w14:paraId="7F224B0A"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El sistema donde se registran los inventarios es obsoleto requiere de un cambio urgente, situación que ha afectado el registro contable de los activos.</w:t>
            </w:r>
          </w:p>
        </w:tc>
      </w:tr>
      <w:tr w:rsidR="00561B22" w:rsidRPr="00DB3511" w14:paraId="6447EDAE" w14:textId="77777777" w:rsidTr="00F1223B">
        <w:tc>
          <w:tcPr>
            <w:tcW w:w="562" w:type="dxa"/>
          </w:tcPr>
          <w:p w14:paraId="3040565A"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2</w:t>
            </w:r>
          </w:p>
        </w:tc>
        <w:tc>
          <w:tcPr>
            <w:tcW w:w="9400" w:type="dxa"/>
          </w:tcPr>
          <w:p w14:paraId="2F3D7896"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No se cuenta con indicadores suficientes que permitan analizar e interpretar la realidad financiera de la entidad, según el concepto de la CGN.</w:t>
            </w:r>
          </w:p>
        </w:tc>
      </w:tr>
    </w:tbl>
    <w:p w14:paraId="36760839" w14:textId="77777777" w:rsidR="00561B22" w:rsidRPr="00DB3511" w:rsidRDefault="00561B22" w:rsidP="00561B22">
      <w:pPr>
        <w:jc w:val="both"/>
        <w:rPr>
          <w:rFonts w:ascii="Arial" w:hAnsi="Arial" w:cs="Arial"/>
          <w:b/>
          <w:lang w:val="es-MX"/>
        </w:rPr>
      </w:pPr>
    </w:p>
    <w:p w14:paraId="69264EA4" w14:textId="77777777" w:rsidR="00561B22" w:rsidRPr="00DB3511" w:rsidRDefault="00561B22" w:rsidP="00561B22">
      <w:pPr>
        <w:jc w:val="both"/>
        <w:rPr>
          <w:rFonts w:ascii="Arial" w:hAnsi="Arial" w:cs="Arial"/>
          <w:b/>
          <w:lang w:val="es-MX"/>
        </w:rPr>
      </w:pPr>
      <w:r w:rsidRPr="00DB3511">
        <w:rPr>
          <w:rFonts w:ascii="Arial" w:hAnsi="Arial" w:cs="Arial"/>
          <w:b/>
          <w:lang w:val="es-MX"/>
        </w:rPr>
        <w:t>Del citado informe retomamos las siguientes recomendaciones:</w:t>
      </w:r>
    </w:p>
    <w:p w14:paraId="7DA3E4E8" w14:textId="77777777" w:rsidR="00561B22" w:rsidRPr="00DB3511"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DB3511" w14:paraId="42A55DE3" w14:textId="77777777" w:rsidTr="00F1223B">
        <w:tc>
          <w:tcPr>
            <w:tcW w:w="562" w:type="dxa"/>
          </w:tcPr>
          <w:p w14:paraId="139197BD" w14:textId="77777777" w:rsidR="00561B22" w:rsidRPr="00DB3511" w:rsidRDefault="00561B22" w:rsidP="00F1223B">
            <w:pPr>
              <w:ind w:right="-109"/>
              <w:jc w:val="center"/>
              <w:rPr>
                <w:rFonts w:ascii="Arial" w:hAnsi="Arial" w:cs="Arial"/>
                <w:b/>
                <w:sz w:val="22"/>
                <w:szCs w:val="22"/>
                <w:lang w:val="es-MX"/>
              </w:rPr>
            </w:pPr>
            <w:r w:rsidRPr="00DB3511">
              <w:rPr>
                <w:rFonts w:ascii="Arial" w:hAnsi="Arial" w:cs="Arial"/>
                <w:b/>
                <w:sz w:val="22"/>
                <w:szCs w:val="22"/>
                <w:lang w:val="es-MX"/>
              </w:rPr>
              <w:t>N°</w:t>
            </w:r>
          </w:p>
        </w:tc>
        <w:tc>
          <w:tcPr>
            <w:tcW w:w="9400" w:type="dxa"/>
          </w:tcPr>
          <w:p w14:paraId="5376E016"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RECOMENDACIONES</w:t>
            </w:r>
          </w:p>
          <w:p w14:paraId="127F8F33" w14:textId="77777777" w:rsidR="00561B22" w:rsidRPr="00DB3511" w:rsidRDefault="00561B22" w:rsidP="00F1223B">
            <w:pPr>
              <w:jc w:val="center"/>
              <w:rPr>
                <w:rFonts w:ascii="Arial" w:hAnsi="Arial" w:cs="Arial"/>
                <w:b/>
                <w:sz w:val="22"/>
                <w:szCs w:val="22"/>
                <w:lang w:val="es-MX"/>
              </w:rPr>
            </w:pPr>
          </w:p>
        </w:tc>
      </w:tr>
      <w:tr w:rsidR="00561B22" w:rsidRPr="00DB3511" w14:paraId="62F26DB7" w14:textId="77777777" w:rsidTr="00F1223B">
        <w:tc>
          <w:tcPr>
            <w:tcW w:w="562" w:type="dxa"/>
          </w:tcPr>
          <w:p w14:paraId="5D0F9672"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1</w:t>
            </w:r>
          </w:p>
        </w:tc>
        <w:tc>
          <w:tcPr>
            <w:tcW w:w="9400" w:type="dxa"/>
          </w:tcPr>
          <w:p w14:paraId="3A0B6A1B"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 xml:space="preserve">Continuar con la identificación de riesgos y controles de índole contable que contribuyan a mitigar, prevenir y neutralizar hechos que puedan afectar el proceso contable y la realidad financiera de la entidad. </w:t>
            </w:r>
          </w:p>
        </w:tc>
      </w:tr>
      <w:tr w:rsidR="00561B22" w:rsidRPr="00DB3511" w14:paraId="66DA5244" w14:textId="77777777" w:rsidTr="00F1223B">
        <w:tc>
          <w:tcPr>
            <w:tcW w:w="562" w:type="dxa"/>
          </w:tcPr>
          <w:p w14:paraId="0967F281"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2</w:t>
            </w:r>
          </w:p>
        </w:tc>
        <w:tc>
          <w:tcPr>
            <w:tcW w:w="9400" w:type="dxa"/>
          </w:tcPr>
          <w:p w14:paraId="73CEFD5A"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Fortalecer estrategias de comunicación entre las diferentes áreas, con el fin de que los hechos económicos de la entidad sean registrados de acuerdo con el marco normativo.</w:t>
            </w:r>
          </w:p>
        </w:tc>
      </w:tr>
      <w:tr w:rsidR="00561B22" w:rsidRPr="00DB3511" w14:paraId="4ACB3DDC" w14:textId="77777777" w:rsidTr="00F1223B">
        <w:tc>
          <w:tcPr>
            <w:tcW w:w="562" w:type="dxa"/>
          </w:tcPr>
          <w:p w14:paraId="6092DC2F"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3</w:t>
            </w:r>
          </w:p>
        </w:tc>
        <w:tc>
          <w:tcPr>
            <w:tcW w:w="9400" w:type="dxa"/>
          </w:tcPr>
          <w:p w14:paraId="7D15DCF9"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Continuar reforzando los conocimientos de los funcionarios en la adopción de estándares internacionales de información financiera (NIIF).</w:t>
            </w:r>
          </w:p>
        </w:tc>
      </w:tr>
      <w:tr w:rsidR="00561B22" w:rsidRPr="00DB3511" w14:paraId="21DFE030" w14:textId="77777777" w:rsidTr="00F1223B">
        <w:tc>
          <w:tcPr>
            <w:tcW w:w="562" w:type="dxa"/>
          </w:tcPr>
          <w:p w14:paraId="7210EF12"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4</w:t>
            </w:r>
          </w:p>
        </w:tc>
        <w:tc>
          <w:tcPr>
            <w:tcW w:w="9400" w:type="dxa"/>
          </w:tcPr>
          <w:p w14:paraId="0EB070B1"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En los informes de gestión de riesgos de la vigencia 2024 el GIT de Control Interno de Gestión recomendó revisar el tema de riesgo fiscal.</w:t>
            </w:r>
          </w:p>
        </w:tc>
      </w:tr>
      <w:tr w:rsidR="00561B22" w:rsidRPr="00DB3511" w14:paraId="4B0D2A88" w14:textId="77777777" w:rsidTr="00F1223B">
        <w:tc>
          <w:tcPr>
            <w:tcW w:w="562" w:type="dxa"/>
          </w:tcPr>
          <w:p w14:paraId="24A85985" w14:textId="77777777" w:rsidR="00561B22" w:rsidRPr="00DB3511" w:rsidRDefault="00561B22" w:rsidP="00F1223B">
            <w:pPr>
              <w:jc w:val="center"/>
              <w:rPr>
                <w:rFonts w:ascii="Arial" w:hAnsi="Arial" w:cs="Arial"/>
                <w:b/>
                <w:sz w:val="22"/>
                <w:szCs w:val="22"/>
                <w:lang w:val="es-MX"/>
              </w:rPr>
            </w:pPr>
            <w:r w:rsidRPr="00DB3511">
              <w:rPr>
                <w:rFonts w:ascii="Arial" w:hAnsi="Arial" w:cs="Arial"/>
                <w:b/>
                <w:sz w:val="22"/>
                <w:szCs w:val="22"/>
                <w:lang w:val="es-MX"/>
              </w:rPr>
              <w:t>5</w:t>
            </w:r>
          </w:p>
        </w:tc>
        <w:tc>
          <w:tcPr>
            <w:tcW w:w="9400" w:type="dxa"/>
          </w:tcPr>
          <w:p w14:paraId="697F131D" w14:textId="77777777" w:rsidR="00561B22" w:rsidRPr="00DB3511" w:rsidRDefault="00561B22" w:rsidP="00F1223B">
            <w:pPr>
              <w:jc w:val="both"/>
              <w:rPr>
                <w:rFonts w:ascii="Arial" w:hAnsi="Arial" w:cs="Arial"/>
                <w:sz w:val="22"/>
                <w:szCs w:val="22"/>
                <w:lang w:val="es-MX"/>
              </w:rPr>
            </w:pPr>
            <w:r w:rsidRPr="00DB3511">
              <w:rPr>
                <w:rFonts w:ascii="Arial" w:hAnsi="Arial" w:cs="Arial"/>
                <w:sz w:val="22"/>
                <w:szCs w:val="22"/>
                <w:lang w:val="es-MX"/>
              </w:rPr>
              <w:t>Socializar el procedimiento y el manual de políticas contables.</w:t>
            </w:r>
          </w:p>
        </w:tc>
      </w:tr>
    </w:tbl>
    <w:p w14:paraId="53258BEE" w14:textId="77777777" w:rsidR="00561B22" w:rsidRDefault="00561B22" w:rsidP="00561B22">
      <w:pPr>
        <w:jc w:val="both"/>
        <w:rPr>
          <w:rFonts w:ascii="Arial" w:hAnsi="Arial" w:cs="Arial"/>
          <w:b/>
          <w:sz w:val="28"/>
          <w:szCs w:val="28"/>
          <w:lang w:val="es-MX"/>
        </w:rPr>
      </w:pPr>
    </w:p>
    <w:p w14:paraId="62761235" w14:textId="77777777" w:rsidR="00561B22" w:rsidRPr="002D0A03" w:rsidRDefault="00561B22" w:rsidP="00561B22">
      <w:pPr>
        <w:jc w:val="both"/>
        <w:rPr>
          <w:rFonts w:ascii="Arial" w:hAnsi="Arial" w:cs="Arial"/>
          <w:b/>
          <w:sz w:val="24"/>
          <w:szCs w:val="24"/>
          <w:lang w:val="es-MX"/>
        </w:rPr>
      </w:pPr>
      <w:r w:rsidRPr="002D0A03">
        <w:rPr>
          <w:rFonts w:ascii="Arial" w:hAnsi="Arial" w:cs="Arial"/>
          <w:b/>
          <w:sz w:val="24"/>
          <w:szCs w:val="24"/>
          <w:lang w:val="es-MX"/>
        </w:rPr>
        <w:t xml:space="preserve">NOTA: LA ENTIDAD ENVÍA LA MATRIZ DE AUTOEVALUACIÓN DEL SISTEMA DE CONTROL INTERNO CONTABLE CON </w:t>
      </w:r>
      <w:r w:rsidRPr="002D0A03">
        <w:rPr>
          <w:rFonts w:ascii="Arial" w:hAnsi="Arial" w:cs="Arial"/>
          <w:b/>
          <w:bCs/>
          <w:sz w:val="24"/>
          <w:szCs w:val="24"/>
          <w:u w:val="single"/>
          <w:lang w:val="es-MX"/>
        </w:rPr>
        <w:t>ACTIVIDADES DE CONTROL REALIZADAS EN FORMA PARCIAL</w:t>
      </w:r>
      <w:r w:rsidRPr="002D0A03">
        <w:rPr>
          <w:rFonts w:ascii="Arial" w:hAnsi="Arial" w:cs="Arial"/>
          <w:b/>
          <w:sz w:val="24"/>
          <w:szCs w:val="24"/>
          <w:u w:val="single"/>
          <w:lang w:val="es-MX"/>
        </w:rPr>
        <w:t>.</w:t>
      </w:r>
    </w:p>
    <w:p w14:paraId="66A578E8" w14:textId="77777777" w:rsidR="00561B22" w:rsidRPr="002D0A03" w:rsidRDefault="00561B22" w:rsidP="00561B22">
      <w:pPr>
        <w:jc w:val="both"/>
        <w:rPr>
          <w:rFonts w:ascii="Arial" w:hAnsi="Arial" w:cs="Arial"/>
          <w:b/>
          <w:sz w:val="28"/>
          <w:szCs w:val="28"/>
          <w:lang w:val="es-MX"/>
        </w:rPr>
      </w:pPr>
    </w:p>
    <w:p w14:paraId="751C4D92" w14:textId="77777777" w:rsidR="00561B22" w:rsidRPr="000A42AE" w:rsidRDefault="00561B22" w:rsidP="00561B22">
      <w:pPr>
        <w:jc w:val="both"/>
        <w:rPr>
          <w:rFonts w:ascii="Arial" w:hAnsi="Arial" w:cs="Arial"/>
          <w:b/>
          <w:sz w:val="28"/>
          <w:szCs w:val="28"/>
          <w:lang w:val="es-MX"/>
        </w:rPr>
      </w:pPr>
      <w:r>
        <w:rPr>
          <w:rFonts w:ascii="Arial" w:hAnsi="Arial" w:cs="Arial"/>
          <w:b/>
          <w:sz w:val="28"/>
          <w:szCs w:val="28"/>
          <w:lang w:val="es-MX"/>
        </w:rPr>
        <w:t>334</w:t>
      </w:r>
      <w:r w:rsidRPr="000A42AE">
        <w:rPr>
          <w:rFonts w:ascii="Arial" w:hAnsi="Arial" w:cs="Arial"/>
          <w:b/>
          <w:sz w:val="28"/>
          <w:szCs w:val="28"/>
          <w:lang w:val="es-MX"/>
        </w:rPr>
        <w:t>.- UNIDAD DE BÚSQUEDA DE PERSONAS DADAS POR DESAPARECIDAS EN EL CONTEXTO Y EN RAZÓN DEL CONFLICTO ARMADO – U</w:t>
      </w:r>
      <w:r>
        <w:rPr>
          <w:rFonts w:ascii="Arial" w:hAnsi="Arial" w:cs="Arial"/>
          <w:b/>
          <w:sz w:val="28"/>
          <w:szCs w:val="28"/>
          <w:lang w:val="es-MX"/>
        </w:rPr>
        <w:t>B</w:t>
      </w:r>
      <w:r w:rsidRPr="000A42AE">
        <w:rPr>
          <w:rFonts w:ascii="Arial" w:hAnsi="Arial" w:cs="Arial"/>
          <w:b/>
          <w:sz w:val="28"/>
          <w:szCs w:val="28"/>
          <w:lang w:val="es-MX"/>
        </w:rPr>
        <w:t>PD.</w:t>
      </w:r>
    </w:p>
    <w:p w14:paraId="59D8CC74" w14:textId="77777777" w:rsidR="00561B22" w:rsidRDefault="00561B22" w:rsidP="00561B22">
      <w:pPr>
        <w:ind w:right="1900"/>
        <w:rPr>
          <w:rFonts w:ascii="Arial" w:hAnsi="Arial" w:cs="Arial"/>
          <w:b/>
          <w:color w:val="FF0000"/>
        </w:rPr>
      </w:pPr>
    </w:p>
    <w:p w14:paraId="6D286610" w14:textId="77777777" w:rsidR="00561B22" w:rsidRPr="00F7083C" w:rsidRDefault="00561B22" w:rsidP="00561B22">
      <w:pPr>
        <w:jc w:val="center"/>
        <w:rPr>
          <w:rFonts w:ascii="Arial" w:hAnsi="Arial" w:cs="Arial"/>
          <w:b/>
          <w:lang w:val="es-MX"/>
        </w:rPr>
      </w:pPr>
      <w:r w:rsidRPr="00F7083C">
        <w:rPr>
          <w:rFonts w:ascii="Arial" w:hAnsi="Arial" w:cs="Arial"/>
          <w:b/>
          <w:lang w:val="es-MX"/>
        </w:rPr>
        <w:t>INFORME DE LA AUTOCALIFICACIÓN DEL SISTEMA DE CONTROL INTERNO CONTABLE:</w:t>
      </w:r>
    </w:p>
    <w:p w14:paraId="41E0718B" w14:textId="77777777" w:rsidR="00561B22" w:rsidRPr="00F7083C"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F7083C" w14:paraId="39351CC5" w14:textId="77777777" w:rsidTr="00F1223B">
        <w:tc>
          <w:tcPr>
            <w:tcW w:w="4981" w:type="dxa"/>
          </w:tcPr>
          <w:p w14:paraId="5A70B38B"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AUTOCALIFICACIÓN</w:t>
            </w:r>
          </w:p>
        </w:tc>
        <w:tc>
          <w:tcPr>
            <w:tcW w:w="4981" w:type="dxa"/>
          </w:tcPr>
          <w:p w14:paraId="30A4B15D" w14:textId="77777777" w:rsidR="00561B22" w:rsidRPr="00F7083C" w:rsidRDefault="00561B22" w:rsidP="00F1223B">
            <w:pPr>
              <w:jc w:val="center"/>
              <w:rPr>
                <w:rFonts w:ascii="Arial" w:hAnsi="Arial" w:cs="Arial"/>
                <w:b/>
                <w:sz w:val="22"/>
                <w:szCs w:val="22"/>
                <w:u w:val="single"/>
                <w:lang w:val="es-MX"/>
              </w:rPr>
            </w:pPr>
            <w:r w:rsidRPr="00F7083C">
              <w:rPr>
                <w:rFonts w:ascii="Arial" w:hAnsi="Arial" w:cs="Arial"/>
                <w:b/>
                <w:sz w:val="22"/>
                <w:szCs w:val="22"/>
                <w:u w:val="single"/>
                <w:lang w:val="es-MX"/>
              </w:rPr>
              <w:t>4.78</w:t>
            </w:r>
          </w:p>
        </w:tc>
      </w:tr>
    </w:tbl>
    <w:p w14:paraId="459D7F31" w14:textId="77777777" w:rsidR="00561B22" w:rsidRPr="00F7083C"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F7083C" w14:paraId="01A0D576" w14:textId="77777777" w:rsidTr="00F1223B">
        <w:tc>
          <w:tcPr>
            <w:tcW w:w="562" w:type="dxa"/>
          </w:tcPr>
          <w:p w14:paraId="46255B88" w14:textId="77777777" w:rsidR="00561B22" w:rsidRPr="00F7083C" w:rsidRDefault="00561B22" w:rsidP="00F1223B">
            <w:pPr>
              <w:ind w:right="-109"/>
              <w:jc w:val="center"/>
              <w:rPr>
                <w:rFonts w:ascii="Arial" w:hAnsi="Arial" w:cs="Arial"/>
                <w:b/>
                <w:sz w:val="22"/>
                <w:szCs w:val="22"/>
                <w:lang w:val="es-MX"/>
              </w:rPr>
            </w:pPr>
            <w:r w:rsidRPr="00F7083C">
              <w:rPr>
                <w:rFonts w:ascii="Arial" w:hAnsi="Arial" w:cs="Arial"/>
                <w:b/>
                <w:sz w:val="22"/>
                <w:szCs w:val="22"/>
                <w:lang w:val="es-MX"/>
              </w:rPr>
              <w:t>N°</w:t>
            </w:r>
          </w:p>
        </w:tc>
        <w:tc>
          <w:tcPr>
            <w:tcW w:w="9400" w:type="dxa"/>
          </w:tcPr>
          <w:p w14:paraId="22355D5B"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DEBILIDADES</w:t>
            </w:r>
          </w:p>
          <w:p w14:paraId="744B2394" w14:textId="77777777" w:rsidR="00561B22" w:rsidRPr="00F7083C" w:rsidRDefault="00561B22" w:rsidP="00F1223B">
            <w:pPr>
              <w:jc w:val="center"/>
              <w:rPr>
                <w:rFonts w:ascii="Arial" w:hAnsi="Arial" w:cs="Arial"/>
                <w:b/>
                <w:sz w:val="22"/>
                <w:szCs w:val="22"/>
                <w:lang w:val="es-MX"/>
              </w:rPr>
            </w:pPr>
          </w:p>
        </w:tc>
      </w:tr>
      <w:tr w:rsidR="00561B22" w:rsidRPr="00F7083C" w14:paraId="3EE6A5F9" w14:textId="77777777" w:rsidTr="00F1223B">
        <w:tc>
          <w:tcPr>
            <w:tcW w:w="562" w:type="dxa"/>
          </w:tcPr>
          <w:p w14:paraId="1229CA8A"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1</w:t>
            </w:r>
          </w:p>
        </w:tc>
        <w:tc>
          <w:tcPr>
            <w:tcW w:w="9400" w:type="dxa"/>
          </w:tcPr>
          <w:p w14:paraId="684BCC39"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Verificación incompleta de bienes físicos: Aunque se realizó en gran parte, no se cumplió con el cronograma establecido, quedando pendientes equipos y bienes distintos a mobiliario en Nivel Central.</w:t>
            </w:r>
          </w:p>
        </w:tc>
      </w:tr>
      <w:tr w:rsidR="00561B22" w:rsidRPr="00F7083C" w14:paraId="0F08D091" w14:textId="77777777" w:rsidTr="00F1223B">
        <w:tc>
          <w:tcPr>
            <w:tcW w:w="562" w:type="dxa"/>
          </w:tcPr>
          <w:p w14:paraId="317A1BF9"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2</w:t>
            </w:r>
          </w:p>
        </w:tc>
        <w:tc>
          <w:tcPr>
            <w:tcW w:w="9400" w:type="dxa"/>
          </w:tcPr>
          <w:p w14:paraId="348FE31E"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Inconsistencia en la periodicidad de los estados financieros: Aunque los reportes se entregan en los plazos definidos por la CGN, la publicación en la página web no se realiza mensualmente como indica el procedimiento interno, sino de manera trimestral.</w:t>
            </w:r>
          </w:p>
        </w:tc>
      </w:tr>
      <w:tr w:rsidR="00561B22" w:rsidRPr="00F7083C" w14:paraId="3CB36486" w14:textId="77777777" w:rsidTr="00F1223B">
        <w:tc>
          <w:tcPr>
            <w:tcW w:w="562" w:type="dxa"/>
          </w:tcPr>
          <w:p w14:paraId="6035F5E8"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3</w:t>
            </w:r>
          </w:p>
        </w:tc>
        <w:tc>
          <w:tcPr>
            <w:tcW w:w="9400" w:type="dxa"/>
          </w:tcPr>
          <w:p w14:paraId="1127BE12"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Oportunidades de mejora en la depreciación y deterioro de activos: Se siguen las normas establecidas, pero falta una revisión más detallada de la vida útil y deterioro de los activos antes de que finalicen su utilidad.</w:t>
            </w:r>
          </w:p>
        </w:tc>
      </w:tr>
      <w:tr w:rsidR="00561B22" w:rsidRPr="00F7083C" w14:paraId="1F8E2367" w14:textId="77777777" w:rsidTr="00F1223B">
        <w:tc>
          <w:tcPr>
            <w:tcW w:w="562" w:type="dxa"/>
          </w:tcPr>
          <w:p w14:paraId="4924340F"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4</w:t>
            </w:r>
          </w:p>
        </w:tc>
        <w:tc>
          <w:tcPr>
            <w:tcW w:w="9400" w:type="dxa"/>
          </w:tcPr>
          <w:p w14:paraId="0CEDF2F4"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Evaluación tardía del deterioro de activos: Los bienes que pueden sufrir deterioro antes del final de su vida útil no siempre son revisados a tiempo.</w:t>
            </w:r>
          </w:p>
        </w:tc>
      </w:tr>
      <w:tr w:rsidR="00561B22" w:rsidRPr="00F7083C" w14:paraId="1B14C531" w14:textId="77777777" w:rsidTr="00F1223B">
        <w:tc>
          <w:tcPr>
            <w:tcW w:w="562" w:type="dxa"/>
          </w:tcPr>
          <w:p w14:paraId="2AF0F911"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5</w:t>
            </w:r>
          </w:p>
        </w:tc>
        <w:tc>
          <w:tcPr>
            <w:tcW w:w="9400" w:type="dxa"/>
          </w:tcPr>
          <w:p w14:paraId="798FC20F"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Limitaciones en la verificación del deterioro: El análisis se basa en el formato de deterioro, sin embargo, los enlaces de procesos designados para la revisión no aportaron oportunamente los documentos para ser incluidos en el sistema de información.</w:t>
            </w:r>
          </w:p>
        </w:tc>
      </w:tr>
      <w:tr w:rsidR="00561B22" w:rsidRPr="00F7083C" w14:paraId="5172FCFA" w14:textId="77777777" w:rsidTr="00F1223B">
        <w:tc>
          <w:tcPr>
            <w:tcW w:w="562" w:type="dxa"/>
          </w:tcPr>
          <w:p w14:paraId="06DDB981"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6</w:t>
            </w:r>
          </w:p>
        </w:tc>
        <w:tc>
          <w:tcPr>
            <w:tcW w:w="9400" w:type="dxa"/>
          </w:tcPr>
          <w:p w14:paraId="03222F08"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Falta de trazabilidad en la toma de decisiones contables: Aunque el Comité Técnico de Sostenibilidad Contable evalúa partidas relevantes, no existe un registro claro de las decisiones tomadas fuera de este espacio.</w:t>
            </w:r>
          </w:p>
        </w:tc>
      </w:tr>
      <w:tr w:rsidR="00561B22" w:rsidRPr="00F7083C" w14:paraId="05C82C8C" w14:textId="77777777" w:rsidTr="00F1223B">
        <w:tc>
          <w:tcPr>
            <w:tcW w:w="562" w:type="dxa"/>
          </w:tcPr>
          <w:p w14:paraId="435FF011"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7</w:t>
            </w:r>
          </w:p>
        </w:tc>
        <w:tc>
          <w:tcPr>
            <w:tcW w:w="9400" w:type="dxa"/>
          </w:tcPr>
          <w:p w14:paraId="5289A693"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Capacitaciones contables informales y no planificadas: La formación del personal se ha dado principalmente por iniciativa propia y no mediante un plan estructurado dentro del Plan Institucional de Capacitación (PIC).</w:t>
            </w:r>
          </w:p>
        </w:tc>
      </w:tr>
      <w:tr w:rsidR="00561B22" w:rsidRPr="00F7083C" w14:paraId="395D5096" w14:textId="77777777" w:rsidTr="00F1223B">
        <w:tc>
          <w:tcPr>
            <w:tcW w:w="562" w:type="dxa"/>
          </w:tcPr>
          <w:p w14:paraId="6B61B3D9"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8</w:t>
            </w:r>
          </w:p>
        </w:tc>
        <w:tc>
          <w:tcPr>
            <w:tcW w:w="9400" w:type="dxa"/>
          </w:tcPr>
          <w:p w14:paraId="1E3D867E"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Desarticulación del plan de capacitación con necesidades contables: Aunque se han aprovechado capacitaciones virtuales externas, la Oficina de Gestión del Conocimiento no ha integrado en su plan de formación temas contables esenciales.</w:t>
            </w:r>
          </w:p>
        </w:tc>
      </w:tr>
      <w:tr w:rsidR="00561B22" w:rsidRPr="00F7083C" w14:paraId="0A594FF2" w14:textId="77777777" w:rsidTr="00F1223B">
        <w:tc>
          <w:tcPr>
            <w:tcW w:w="562" w:type="dxa"/>
          </w:tcPr>
          <w:p w14:paraId="4BE968E7"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9</w:t>
            </w:r>
          </w:p>
        </w:tc>
        <w:tc>
          <w:tcPr>
            <w:tcW w:w="9400" w:type="dxa"/>
          </w:tcPr>
          <w:p w14:paraId="546A3AA9" w14:textId="77777777" w:rsidR="00561B22" w:rsidRPr="00F7083C" w:rsidRDefault="00561B22" w:rsidP="00F1223B">
            <w:pPr>
              <w:jc w:val="both"/>
              <w:rPr>
                <w:rFonts w:ascii="Arial" w:hAnsi="Arial" w:cs="Arial"/>
                <w:sz w:val="22"/>
                <w:szCs w:val="22"/>
                <w:lang w:val="es-MX"/>
              </w:rPr>
            </w:pPr>
            <w:r w:rsidRPr="00F7083C">
              <w:rPr>
                <w:rFonts w:ascii="Arial" w:hAnsi="Arial" w:cs="Arial"/>
                <w:sz w:val="22"/>
                <w:szCs w:val="22"/>
                <w:lang w:val="es-MX"/>
              </w:rPr>
              <w:t xml:space="preserve">Registro y revelación inadecuada de pasivos contingentes relacionados con procesos litigiosos.  </w:t>
            </w:r>
          </w:p>
        </w:tc>
      </w:tr>
    </w:tbl>
    <w:p w14:paraId="1F5CB5A2" w14:textId="77777777" w:rsidR="00561B22" w:rsidRPr="00F7083C" w:rsidRDefault="00561B22" w:rsidP="00561B22">
      <w:pPr>
        <w:jc w:val="both"/>
        <w:rPr>
          <w:rFonts w:ascii="Arial" w:hAnsi="Arial" w:cs="Arial"/>
          <w:b/>
          <w:lang w:val="es-MX"/>
        </w:rPr>
      </w:pPr>
    </w:p>
    <w:p w14:paraId="42B0BC9A" w14:textId="77777777" w:rsidR="00561B22" w:rsidRPr="00F7083C" w:rsidRDefault="00561B22" w:rsidP="00561B22">
      <w:pPr>
        <w:jc w:val="both"/>
        <w:rPr>
          <w:rFonts w:ascii="Arial" w:hAnsi="Arial" w:cs="Arial"/>
          <w:b/>
          <w:lang w:val="es-MX"/>
        </w:rPr>
      </w:pPr>
      <w:r w:rsidRPr="00F7083C">
        <w:rPr>
          <w:rFonts w:ascii="Arial" w:hAnsi="Arial" w:cs="Arial"/>
          <w:b/>
          <w:lang w:val="es-MX"/>
        </w:rPr>
        <w:t>Del citado informe retomamos las siguientes recomendaciones:</w:t>
      </w:r>
    </w:p>
    <w:p w14:paraId="114034FE" w14:textId="77777777" w:rsidR="00561B22" w:rsidRPr="00F7083C"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F7083C" w14:paraId="5A6D832E" w14:textId="77777777" w:rsidTr="00F1223B">
        <w:tc>
          <w:tcPr>
            <w:tcW w:w="562" w:type="dxa"/>
          </w:tcPr>
          <w:p w14:paraId="673DADF7" w14:textId="77777777" w:rsidR="00561B22" w:rsidRPr="00F7083C" w:rsidRDefault="00561B22" w:rsidP="00F1223B">
            <w:pPr>
              <w:ind w:right="-109"/>
              <w:jc w:val="center"/>
              <w:rPr>
                <w:rFonts w:ascii="Arial" w:hAnsi="Arial" w:cs="Arial"/>
                <w:b/>
                <w:sz w:val="22"/>
                <w:szCs w:val="22"/>
                <w:lang w:val="es-MX"/>
              </w:rPr>
            </w:pPr>
            <w:r w:rsidRPr="00F7083C">
              <w:rPr>
                <w:rFonts w:ascii="Arial" w:hAnsi="Arial" w:cs="Arial"/>
                <w:b/>
                <w:sz w:val="22"/>
                <w:szCs w:val="22"/>
                <w:lang w:val="es-MX"/>
              </w:rPr>
              <w:t>N°</w:t>
            </w:r>
          </w:p>
        </w:tc>
        <w:tc>
          <w:tcPr>
            <w:tcW w:w="9400" w:type="dxa"/>
          </w:tcPr>
          <w:p w14:paraId="4447D7B0"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RECOMENDACIONES</w:t>
            </w:r>
          </w:p>
          <w:p w14:paraId="132A578D" w14:textId="77777777" w:rsidR="00561B22" w:rsidRPr="00F7083C" w:rsidRDefault="00561B22" w:rsidP="00F1223B">
            <w:pPr>
              <w:jc w:val="center"/>
              <w:rPr>
                <w:rFonts w:ascii="Arial" w:hAnsi="Arial" w:cs="Arial"/>
                <w:b/>
                <w:sz w:val="22"/>
                <w:szCs w:val="22"/>
                <w:lang w:val="es-MX"/>
              </w:rPr>
            </w:pPr>
          </w:p>
        </w:tc>
      </w:tr>
      <w:tr w:rsidR="00561B22" w:rsidRPr="00F7083C" w14:paraId="679EB6D0" w14:textId="77777777" w:rsidTr="00F1223B">
        <w:tc>
          <w:tcPr>
            <w:tcW w:w="562" w:type="dxa"/>
          </w:tcPr>
          <w:p w14:paraId="364E5613"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1</w:t>
            </w:r>
          </w:p>
        </w:tc>
        <w:tc>
          <w:tcPr>
            <w:tcW w:w="9400" w:type="dxa"/>
          </w:tcPr>
          <w:p w14:paraId="7648F2FC"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Fortalecer los controles en la inspección y conciliación de bienes, asegurando que los registros físicos y contables sean consistentes.</w:t>
            </w:r>
          </w:p>
        </w:tc>
      </w:tr>
      <w:tr w:rsidR="00561B22" w:rsidRPr="00F7083C" w14:paraId="185688E3" w14:textId="77777777" w:rsidTr="00F1223B">
        <w:tc>
          <w:tcPr>
            <w:tcW w:w="562" w:type="dxa"/>
          </w:tcPr>
          <w:p w14:paraId="4ED840C6"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2</w:t>
            </w:r>
          </w:p>
        </w:tc>
        <w:tc>
          <w:tcPr>
            <w:tcW w:w="9400" w:type="dxa"/>
          </w:tcPr>
          <w:p w14:paraId="5939C565"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Alinear el procedimiento de “Elaboración y Presentación de Estados Financieros” con la normatividad vigente para evitar discrepancias en la periodicidad de los reportes financieros.</w:t>
            </w:r>
          </w:p>
        </w:tc>
      </w:tr>
      <w:tr w:rsidR="00561B22" w:rsidRPr="00F7083C" w14:paraId="290CD2B0" w14:textId="77777777" w:rsidTr="00F1223B">
        <w:tc>
          <w:tcPr>
            <w:tcW w:w="562" w:type="dxa"/>
          </w:tcPr>
          <w:p w14:paraId="4ACE3419"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3</w:t>
            </w:r>
          </w:p>
        </w:tc>
        <w:tc>
          <w:tcPr>
            <w:tcW w:w="9400" w:type="dxa"/>
          </w:tcPr>
          <w:p w14:paraId="63B16F6F"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Establecer mecanismos que garanticen la trazabilidad de las decisiones contables, documentando formalmente los criterios aplicados en la gestión financiera.</w:t>
            </w:r>
          </w:p>
        </w:tc>
      </w:tr>
      <w:tr w:rsidR="00561B22" w:rsidRPr="00F7083C" w14:paraId="77E6D0F3" w14:textId="77777777" w:rsidTr="00F1223B">
        <w:tc>
          <w:tcPr>
            <w:tcW w:w="562" w:type="dxa"/>
          </w:tcPr>
          <w:p w14:paraId="6BFB69D9"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4</w:t>
            </w:r>
          </w:p>
        </w:tc>
        <w:tc>
          <w:tcPr>
            <w:tcW w:w="9400" w:type="dxa"/>
          </w:tcPr>
          <w:p w14:paraId="2718A7B7"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Diseñar y aplicar una metodología clara y documentada para la evaluación de la vida útil, deterioro y valor recuperable del servicio de los activos, en el que se incluya controles conforme al Manual de Políticas Contables.</w:t>
            </w:r>
          </w:p>
        </w:tc>
      </w:tr>
      <w:tr w:rsidR="00561B22" w:rsidRPr="00F7083C" w14:paraId="480C6A6C" w14:textId="77777777" w:rsidTr="00F1223B">
        <w:tc>
          <w:tcPr>
            <w:tcW w:w="562" w:type="dxa"/>
          </w:tcPr>
          <w:p w14:paraId="6CEAE054"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5</w:t>
            </w:r>
          </w:p>
        </w:tc>
        <w:tc>
          <w:tcPr>
            <w:tcW w:w="9400" w:type="dxa"/>
          </w:tcPr>
          <w:p w14:paraId="09ACDFA5"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Fortalecer el flujo de información entre los enlaces de procesos y el área contable para evitar demoras o falta de documentación en el registro del deterioro de activos.</w:t>
            </w:r>
          </w:p>
        </w:tc>
      </w:tr>
      <w:tr w:rsidR="00561B22" w:rsidRPr="00F7083C" w14:paraId="1A96F579" w14:textId="77777777" w:rsidTr="00F1223B">
        <w:tc>
          <w:tcPr>
            <w:tcW w:w="562" w:type="dxa"/>
          </w:tcPr>
          <w:p w14:paraId="1F5B94E4"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6</w:t>
            </w:r>
          </w:p>
        </w:tc>
        <w:tc>
          <w:tcPr>
            <w:tcW w:w="9400" w:type="dxa"/>
          </w:tcPr>
          <w:p w14:paraId="176BB8A3"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Definir y/o ampliar lineamientos para el tratamiento contable de bienes en comodato o usufructo.</w:t>
            </w:r>
          </w:p>
        </w:tc>
      </w:tr>
      <w:tr w:rsidR="00561B22" w:rsidRPr="00F7083C" w14:paraId="057BE658" w14:textId="77777777" w:rsidTr="00F1223B">
        <w:tc>
          <w:tcPr>
            <w:tcW w:w="562" w:type="dxa"/>
          </w:tcPr>
          <w:p w14:paraId="2C53D589"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7</w:t>
            </w:r>
          </w:p>
        </w:tc>
        <w:tc>
          <w:tcPr>
            <w:tcW w:w="9400" w:type="dxa"/>
          </w:tcPr>
          <w:p w14:paraId="2733B38D"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Incorporar en el Plan Institucional de Capacitación (PIC) un programa estructurado para la formación contable, alineado con las necesidades del equipo y las actualizaciones normativas.</w:t>
            </w:r>
          </w:p>
        </w:tc>
      </w:tr>
      <w:tr w:rsidR="00561B22" w:rsidRPr="00F7083C" w14:paraId="0219DAF8" w14:textId="77777777" w:rsidTr="00F1223B">
        <w:tc>
          <w:tcPr>
            <w:tcW w:w="562" w:type="dxa"/>
          </w:tcPr>
          <w:p w14:paraId="7D406155"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lastRenderedPageBreak/>
              <w:t>8</w:t>
            </w:r>
          </w:p>
        </w:tc>
        <w:tc>
          <w:tcPr>
            <w:tcW w:w="9400" w:type="dxa"/>
          </w:tcPr>
          <w:p w14:paraId="29E2EFE5"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Implementar controles para asegurar que los pasivos contingentes reflejados en los estados financieros cumplan con los criterios contables establecidos, evitando el registro de procesos con calificación de riesgo remoto en cuentas de orden.</w:t>
            </w:r>
          </w:p>
        </w:tc>
      </w:tr>
      <w:tr w:rsidR="00561B22" w:rsidRPr="00F7083C" w14:paraId="683AE9DD" w14:textId="77777777" w:rsidTr="00F1223B">
        <w:tc>
          <w:tcPr>
            <w:tcW w:w="562" w:type="dxa"/>
          </w:tcPr>
          <w:p w14:paraId="34F2071B"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9</w:t>
            </w:r>
          </w:p>
        </w:tc>
        <w:tc>
          <w:tcPr>
            <w:tcW w:w="9400" w:type="dxa"/>
          </w:tcPr>
          <w:p w14:paraId="44075454"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Continuar aplicando las acciones de autocontrol que permita a la Entidad mitigar los riesgos en el proceso contable</w:t>
            </w:r>
          </w:p>
        </w:tc>
      </w:tr>
      <w:tr w:rsidR="00561B22" w:rsidRPr="00F7083C" w14:paraId="4B803CFD" w14:textId="77777777" w:rsidTr="00F1223B">
        <w:tc>
          <w:tcPr>
            <w:tcW w:w="562" w:type="dxa"/>
          </w:tcPr>
          <w:p w14:paraId="372AAAD6"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10</w:t>
            </w:r>
          </w:p>
        </w:tc>
        <w:tc>
          <w:tcPr>
            <w:tcW w:w="9400" w:type="dxa"/>
          </w:tcPr>
          <w:p w14:paraId="7AE8AEA0"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 xml:space="preserve">Fortalecer la retroalimentación entre las diferentes dependencias generadoras de hechos económicos que participan en el proceso contable y que por ende puedan impactar en los Estados Financieros.  </w:t>
            </w:r>
          </w:p>
        </w:tc>
      </w:tr>
      <w:tr w:rsidR="00561B22" w:rsidRPr="00F7083C" w14:paraId="680CBF82" w14:textId="77777777" w:rsidTr="00F1223B">
        <w:tc>
          <w:tcPr>
            <w:tcW w:w="562" w:type="dxa"/>
          </w:tcPr>
          <w:p w14:paraId="11B0A256" w14:textId="77777777" w:rsidR="00561B22" w:rsidRPr="00F7083C" w:rsidRDefault="00561B22" w:rsidP="00F1223B">
            <w:pPr>
              <w:jc w:val="center"/>
              <w:rPr>
                <w:rFonts w:ascii="Arial" w:hAnsi="Arial" w:cs="Arial"/>
                <w:b/>
                <w:sz w:val="22"/>
                <w:szCs w:val="22"/>
                <w:lang w:val="es-MX"/>
              </w:rPr>
            </w:pPr>
            <w:r w:rsidRPr="00F7083C">
              <w:rPr>
                <w:rFonts w:ascii="Arial" w:hAnsi="Arial" w:cs="Arial"/>
                <w:b/>
                <w:sz w:val="22"/>
                <w:szCs w:val="22"/>
                <w:lang w:val="es-MX"/>
              </w:rPr>
              <w:t>11</w:t>
            </w:r>
          </w:p>
        </w:tc>
        <w:tc>
          <w:tcPr>
            <w:tcW w:w="9400" w:type="dxa"/>
          </w:tcPr>
          <w:p w14:paraId="40506A59" w14:textId="77777777" w:rsidR="00561B22" w:rsidRPr="00F7083C" w:rsidRDefault="00561B22" w:rsidP="00F1223B">
            <w:pPr>
              <w:rPr>
                <w:rFonts w:ascii="Arial" w:hAnsi="Arial" w:cs="Arial"/>
                <w:sz w:val="22"/>
                <w:szCs w:val="22"/>
                <w:lang w:val="es-MX"/>
              </w:rPr>
            </w:pPr>
            <w:r w:rsidRPr="00F7083C">
              <w:rPr>
                <w:rFonts w:ascii="Arial" w:hAnsi="Arial" w:cs="Arial"/>
                <w:sz w:val="22"/>
                <w:szCs w:val="22"/>
                <w:lang w:val="es-MX"/>
              </w:rPr>
              <w:t xml:space="preserve">Contemplar información financiera en los ejercicios de rendición de cuentas de cada vigencia, en cumplimiento de la normativa vigente.  </w:t>
            </w:r>
          </w:p>
        </w:tc>
      </w:tr>
    </w:tbl>
    <w:p w14:paraId="4C1BBCA3" w14:textId="77777777" w:rsidR="00561B22" w:rsidRPr="00F7083C" w:rsidRDefault="00561B22" w:rsidP="00561B22">
      <w:pPr>
        <w:jc w:val="both"/>
        <w:rPr>
          <w:rFonts w:ascii="Arial" w:hAnsi="Arial" w:cs="Arial"/>
          <w:b/>
          <w:sz w:val="28"/>
          <w:szCs w:val="28"/>
          <w:lang w:val="es-MX"/>
        </w:rPr>
      </w:pPr>
    </w:p>
    <w:p w14:paraId="5F208DF5" w14:textId="77777777" w:rsidR="00561B22" w:rsidRPr="00F7083C" w:rsidRDefault="00561B22" w:rsidP="00561B22">
      <w:pPr>
        <w:jc w:val="both"/>
        <w:rPr>
          <w:rFonts w:ascii="Arial" w:hAnsi="Arial" w:cs="Arial"/>
          <w:b/>
          <w:sz w:val="28"/>
          <w:szCs w:val="28"/>
          <w:lang w:val="es-MX"/>
        </w:rPr>
      </w:pPr>
      <w:r w:rsidRPr="00F7083C">
        <w:rPr>
          <w:rFonts w:ascii="Arial" w:hAnsi="Arial" w:cs="Arial"/>
          <w:b/>
          <w:sz w:val="24"/>
          <w:szCs w:val="24"/>
          <w:lang w:val="es-MX"/>
        </w:rPr>
        <w:t xml:space="preserve">NOTA: LA ENTIDAD ENVÍA LA MATRIZ DE AUTOEVALUACIÓN DEL SISTEMA DE CONTROL INTERNO CONTABLE CON </w:t>
      </w:r>
      <w:r w:rsidRPr="00F7083C">
        <w:rPr>
          <w:rFonts w:ascii="Arial" w:hAnsi="Arial" w:cs="Arial"/>
          <w:b/>
          <w:bCs/>
          <w:sz w:val="24"/>
          <w:szCs w:val="24"/>
          <w:u w:val="single"/>
          <w:lang w:val="es-MX"/>
        </w:rPr>
        <w:t>ACTIVIDADES DE CONTROL REALIZADAS EN FORMA PARCIAL</w:t>
      </w:r>
      <w:r w:rsidRPr="00F7083C">
        <w:rPr>
          <w:rFonts w:ascii="Arial" w:hAnsi="Arial" w:cs="Arial"/>
          <w:b/>
          <w:sz w:val="24"/>
          <w:szCs w:val="24"/>
          <w:lang w:val="es-MX"/>
        </w:rPr>
        <w:t>.</w:t>
      </w:r>
    </w:p>
    <w:p w14:paraId="7EF2DA8C" w14:textId="77777777" w:rsidR="00561B22" w:rsidRDefault="00561B22" w:rsidP="00561B22">
      <w:pPr>
        <w:jc w:val="both"/>
        <w:rPr>
          <w:rFonts w:ascii="Arial" w:hAnsi="Arial" w:cs="Arial"/>
          <w:b/>
          <w:sz w:val="28"/>
          <w:szCs w:val="28"/>
          <w:lang w:val="es-MX"/>
        </w:rPr>
      </w:pPr>
    </w:p>
    <w:p w14:paraId="45B7384D" w14:textId="77777777" w:rsidR="00561B22" w:rsidRPr="002D11FD" w:rsidRDefault="00561B22" w:rsidP="00561B22">
      <w:pPr>
        <w:pStyle w:val="Prrafodelista"/>
        <w:ind w:left="0"/>
        <w:jc w:val="both"/>
        <w:rPr>
          <w:rFonts w:ascii="Arial" w:hAnsi="Arial" w:cs="Arial"/>
          <w:b/>
          <w:sz w:val="28"/>
          <w:szCs w:val="28"/>
          <w:lang w:val="es-MX"/>
        </w:rPr>
      </w:pPr>
      <w:r w:rsidRPr="002D11FD">
        <w:rPr>
          <w:rFonts w:ascii="Arial" w:hAnsi="Arial" w:cs="Arial"/>
          <w:b/>
          <w:sz w:val="28"/>
          <w:szCs w:val="28"/>
          <w:lang w:val="es-MX"/>
        </w:rPr>
        <w:t>335.- FONDO DE PASIVO SOCIAL FERROCARRILES NACIONALES DE COLOMBIA.</w:t>
      </w:r>
    </w:p>
    <w:p w14:paraId="20F7BD2A" w14:textId="77777777" w:rsidR="00561B22" w:rsidRDefault="00561B22" w:rsidP="00561B22">
      <w:pPr>
        <w:jc w:val="both"/>
        <w:rPr>
          <w:rFonts w:ascii="Arial" w:hAnsi="Arial" w:cs="Arial"/>
          <w:b/>
          <w:sz w:val="28"/>
          <w:szCs w:val="28"/>
          <w:lang w:val="es-MX"/>
        </w:rPr>
      </w:pPr>
    </w:p>
    <w:p w14:paraId="5B20A9E8" w14:textId="77777777" w:rsidR="00561B22" w:rsidRPr="002D11FD" w:rsidRDefault="00561B22" w:rsidP="00561B22">
      <w:pPr>
        <w:pStyle w:val="Textoindependiente"/>
        <w:ind w:right="-50"/>
        <w:jc w:val="center"/>
        <w:rPr>
          <w:rFonts w:ascii="Arial" w:hAnsi="Arial" w:cs="Arial"/>
          <w:b/>
          <w:bCs/>
        </w:rPr>
      </w:pPr>
      <w:r w:rsidRPr="002D11FD">
        <w:rPr>
          <w:rFonts w:ascii="Arial" w:hAnsi="Arial" w:cs="Arial"/>
          <w:b/>
          <w:bCs/>
        </w:rPr>
        <w:t>INFORME DE LA AUTOCALIFICACIÓN DEL SISTEMA DE CONTROL INTERNO CONTABLE:</w:t>
      </w:r>
    </w:p>
    <w:p w14:paraId="0F230539" w14:textId="77777777" w:rsidR="00561B22" w:rsidRPr="002D11F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D11FD" w14:paraId="5F3248E2" w14:textId="77777777" w:rsidTr="00F1223B">
        <w:tc>
          <w:tcPr>
            <w:tcW w:w="4981" w:type="dxa"/>
          </w:tcPr>
          <w:p w14:paraId="4D8C0A50"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AUTOCALIFICACIÓN</w:t>
            </w:r>
          </w:p>
        </w:tc>
        <w:tc>
          <w:tcPr>
            <w:tcW w:w="4981" w:type="dxa"/>
          </w:tcPr>
          <w:p w14:paraId="10747828" w14:textId="77777777" w:rsidR="00561B22" w:rsidRPr="002D11FD" w:rsidRDefault="00561B22" w:rsidP="00F1223B">
            <w:pPr>
              <w:jc w:val="center"/>
              <w:rPr>
                <w:rFonts w:ascii="Arial" w:hAnsi="Arial" w:cs="Arial"/>
                <w:b/>
                <w:sz w:val="22"/>
                <w:szCs w:val="22"/>
                <w:u w:val="single"/>
                <w:lang w:val="es-MX"/>
              </w:rPr>
            </w:pPr>
            <w:r w:rsidRPr="002D11FD">
              <w:rPr>
                <w:rFonts w:ascii="Arial" w:hAnsi="Arial" w:cs="Arial"/>
                <w:b/>
                <w:sz w:val="22"/>
                <w:szCs w:val="22"/>
                <w:u w:val="single"/>
                <w:lang w:val="es-MX"/>
              </w:rPr>
              <w:t>4.83</w:t>
            </w:r>
          </w:p>
        </w:tc>
      </w:tr>
    </w:tbl>
    <w:p w14:paraId="31E723D9" w14:textId="77777777" w:rsidR="00EE0D80" w:rsidRDefault="00EE0D80" w:rsidP="00561B22">
      <w:pPr>
        <w:pStyle w:val="Textoindependiente"/>
        <w:ind w:right="-50"/>
        <w:jc w:val="both"/>
        <w:rPr>
          <w:rFonts w:ascii="Arial" w:hAnsi="Arial" w:cs="Arial"/>
          <w:b/>
          <w:bCs/>
        </w:rPr>
      </w:pPr>
    </w:p>
    <w:p w14:paraId="2722E257" w14:textId="027732DE" w:rsidR="00561B22" w:rsidRPr="002D11FD" w:rsidRDefault="00561B22" w:rsidP="00561B22">
      <w:pPr>
        <w:pStyle w:val="Textoindependiente"/>
        <w:ind w:right="-50"/>
        <w:jc w:val="both"/>
        <w:rPr>
          <w:rFonts w:ascii="Arial" w:hAnsi="Arial" w:cs="Arial"/>
          <w:b/>
          <w:bCs/>
        </w:rPr>
      </w:pPr>
      <w:r w:rsidRPr="002D11FD">
        <w:rPr>
          <w:rFonts w:ascii="Arial" w:hAnsi="Arial" w:cs="Arial"/>
          <w:b/>
          <w:bCs/>
        </w:rPr>
        <w:t>Del informe enviado retomamos lo siguiente:</w:t>
      </w:r>
    </w:p>
    <w:p w14:paraId="0051EE17" w14:textId="77777777" w:rsidR="00561B22" w:rsidRPr="002D11FD"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D11FD" w14:paraId="2AD8874C" w14:textId="77777777" w:rsidTr="00F1223B">
        <w:tc>
          <w:tcPr>
            <w:tcW w:w="562" w:type="dxa"/>
          </w:tcPr>
          <w:p w14:paraId="62278A99" w14:textId="77777777" w:rsidR="00561B22" w:rsidRPr="002D11FD" w:rsidRDefault="00561B22" w:rsidP="00F1223B">
            <w:pPr>
              <w:ind w:right="-109"/>
              <w:jc w:val="center"/>
              <w:rPr>
                <w:rFonts w:ascii="Arial" w:hAnsi="Arial" w:cs="Arial"/>
                <w:b/>
                <w:sz w:val="22"/>
                <w:szCs w:val="22"/>
                <w:lang w:val="es-MX"/>
              </w:rPr>
            </w:pPr>
            <w:r w:rsidRPr="002D11FD">
              <w:rPr>
                <w:rFonts w:ascii="Arial" w:hAnsi="Arial" w:cs="Arial"/>
                <w:b/>
                <w:sz w:val="22"/>
                <w:szCs w:val="22"/>
                <w:lang w:val="es-MX"/>
              </w:rPr>
              <w:t>N°</w:t>
            </w:r>
          </w:p>
        </w:tc>
        <w:tc>
          <w:tcPr>
            <w:tcW w:w="9400" w:type="dxa"/>
          </w:tcPr>
          <w:p w14:paraId="21FCE9CD"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DEBILIDADES</w:t>
            </w:r>
          </w:p>
          <w:p w14:paraId="7EA213A4" w14:textId="77777777" w:rsidR="00561B22" w:rsidRPr="002D11FD" w:rsidRDefault="00561B22" w:rsidP="00F1223B">
            <w:pPr>
              <w:jc w:val="center"/>
              <w:rPr>
                <w:rFonts w:ascii="Arial" w:hAnsi="Arial" w:cs="Arial"/>
                <w:b/>
                <w:sz w:val="22"/>
                <w:szCs w:val="22"/>
                <w:lang w:val="es-MX"/>
              </w:rPr>
            </w:pPr>
          </w:p>
        </w:tc>
      </w:tr>
      <w:tr w:rsidR="00561B22" w:rsidRPr="002D11FD" w14:paraId="62810726" w14:textId="77777777" w:rsidTr="00F1223B">
        <w:tc>
          <w:tcPr>
            <w:tcW w:w="562" w:type="dxa"/>
          </w:tcPr>
          <w:p w14:paraId="4FCB26E1"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1</w:t>
            </w:r>
          </w:p>
        </w:tc>
        <w:tc>
          <w:tcPr>
            <w:tcW w:w="9400" w:type="dxa"/>
          </w:tcPr>
          <w:p w14:paraId="3F9F6F63" w14:textId="77777777" w:rsidR="00561B22" w:rsidRPr="002D11FD" w:rsidRDefault="00561B22" w:rsidP="00F1223B">
            <w:pPr>
              <w:jc w:val="both"/>
              <w:rPr>
                <w:rFonts w:ascii="Arial" w:hAnsi="Arial" w:cs="Arial"/>
                <w:sz w:val="22"/>
                <w:szCs w:val="22"/>
              </w:rPr>
            </w:pPr>
            <w:r w:rsidRPr="002D11FD">
              <w:rPr>
                <w:rFonts w:ascii="Arial" w:hAnsi="Arial" w:cs="Arial"/>
                <w:sz w:val="22"/>
                <w:szCs w:val="22"/>
              </w:rPr>
              <w:t xml:space="preserve">No se cuenta con archivo físico de acuerdo a las TRD - para la vigencia 2024 </w:t>
            </w:r>
          </w:p>
        </w:tc>
      </w:tr>
      <w:tr w:rsidR="00561B22" w:rsidRPr="002D11FD" w14:paraId="43F76562" w14:textId="77777777" w:rsidTr="00F1223B">
        <w:tc>
          <w:tcPr>
            <w:tcW w:w="562" w:type="dxa"/>
          </w:tcPr>
          <w:p w14:paraId="0AFC2303"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2</w:t>
            </w:r>
          </w:p>
        </w:tc>
        <w:tc>
          <w:tcPr>
            <w:tcW w:w="9400" w:type="dxa"/>
          </w:tcPr>
          <w:p w14:paraId="05D7D447" w14:textId="77777777" w:rsidR="00561B22" w:rsidRPr="002D11FD" w:rsidRDefault="00561B22" w:rsidP="00F1223B">
            <w:pPr>
              <w:jc w:val="both"/>
              <w:rPr>
                <w:rFonts w:ascii="Arial" w:hAnsi="Arial" w:cs="Arial"/>
                <w:sz w:val="22"/>
                <w:szCs w:val="22"/>
                <w:lang w:val="es-MX"/>
              </w:rPr>
            </w:pPr>
            <w:r w:rsidRPr="002D11FD">
              <w:rPr>
                <w:rFonts w:ascii="Arial" w:hAnsi="Arial" w:cs="Arial"/>
                <w:sz w:val="22"/>
                <w:szCs w:val="22"/>
                <w:lang w:val="es-MX"/>
              </w:rPr>
              <w:t>No</w:t>
            </w:r>
            <w:r w:rsidRPr="002D11FD">
              <w:rPr>
                <w:rFonts w:ascii="Arial" w:hAnsi="Arial" w:cs="Arial"/>
                <w:sz w:val="22"/>
                <w:szCs w:val="22"/>
              </w:rPr>
              <w:t xml:space="preserve"> se realizaron capacitaciones con temas relacionados al desarrollo de competencias del proceso Contable de acuerdo al Plan Institucional de Capacitaciones</w:t>
            </w:r>
          </w:p>
        </w:tc>
      </w:tr>
    </w:tbl>
    <w:p w14:paraId="04F94648" w14:textId="4E164396" w:rsidR="00561B22" w:rsidRDefault="00561B22" w:rsidP="00561B22">
      <w:pPr>
        <w:pStyle w:val="Textoindependiente"/>
        <w:ind w:right="-50"/>
        <w:jc w:val="both"/>
        <w:rPr>
          <w:rFonts w:ascii="Arial" w:hAnsi="Arial" w:cs="Arial"/>
          <w:b/>
          <w:bCs/>
        </w:rPr>
      </w:pPr>
    </w:p>
    <w:p w14:paraId="70F13234" w14:textId="77777777" w:rsidR="00217295" w:rsidRPr="00E144C1" w:rsidRDefault="00217295" w:rsidP="00217295">
      <w:pPr>
        <w:jc w:val="both"/>
        <w:rPr>
          <w:rFonts w:ascii="Arial" w:hAnsi="Arial" w:cs="Arial"/>
          <w:b/>
          <w:lang w:val="es-MX"/>
        </w:rPr>
      </w:pPr>
      <w:r w:rsidRPr="00E144C1">
        <w:rPr>
          <w:rFonts w:ascii="Arial" w:hAnsi="Arial" w:cs="Arial"/>
          <w:b/>
          <w:lang w:val="es-MX"/>
        </w:rPr>
        <w:t>Del citado informe retomamos las siguientes recomendaciones:</w:t>
      </w:r>
    </w:p>
    <w:p w14:paraId="472BA8A2" w14:textId="77777777" w:rsidR="00217295" w:rsidRPr="00217295" w:rsidRDefault="00217295"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562"/>
        <w:gridCol w:w="9400"/>
      </w:tblGrid>
      <w:tr w:rsidR="00561B22" w:rsidRPr="002D11FD" w14:paraId="2C356841" w14:textId="77777777" w:rsidTr="00F1223B">
        <w:tc>
          <w:tcPr>
            <w:tcW w:w="562" w:type="dxa"/>
          </w:tcPr>
          <w:p w14:paraId="6A09FE49" w14:textId="77777777" w:rsidR="00561B22" w:rsidRPr="002D11FD" w:rsidRDefault="00561B22" w:rsidP="00F1223B">
            <w:pPr>
              <w:ind w:right="-109"/>
              <w:jc w:val="center"/>
              <w:rPr>
                <w:rFonts w:ascii="Arial" w:hAnsi="Arial" w:cs="Arial"/>
                <w:b/>
                <w:sz w:val="22"/>
                <w:szCs w:val="22"/>
                <w:lang w:val="es-MX"/>
              </w:rPr>
            </w:pPr>
            <w:r w:rsidRPr="002D11FD">
              <w:rPr>
                <w:rFonts w:ascii="Arial" w:hAnsi="Arial" w:cs="Arial"/>
                <w:b/>
                <w:sz w:val="22"/>
                <w:szCs w:val="22"/>
                <w:lang w:val="es-MX"/>
              </w:rPr>
              <w:t>N°</w:t>
            </w:r>
          </w:p>
        </w:tc>
        <w:tc>
          <w:tcPr>
            <w:tcW w:w="9400" w:type="dxa"/>
          </w:tcPr>
          <w:p w14:paraId="1C6D3753"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RECOMENDACIONES</w:t>
            </w:r>
          </w:p>
          <w:p w14:paraId="24F027D9" w14:textId="77777777" w:rsidR="00561B22" w:rsidRPr="002D11FD" w:rsidRDefault="00561B22" w:rsidP="00F1223B">
            <w:pPr>
              <w:jc w:val="center"/>
              <w:rPr>
                <w:rFonts w:ascii="Arial" w:hAnsi="Arial" w:cs="Arial"/>
                <w:b/>
                <w:sz w:val="22"/>
                <w:szCs w:val="22"/>
                <w:lang w:val="es-MX"/>
              </w:rPr>
            </w:pPr>
          </w:p>
        </w:tc>
      </w:tr>
      <w:tr w:rsidR="00561B22" w:rsidRPr="002D11FD" w14:paraId="50979186" w14:textId="77777777" w:rsidTr="00F1223B">
        <w:tc>
          <w:tcPr>
            <w:tcW w:w="562" w:type="dxa"/>
          </w:tcPr>
          <w:p w14:paraId="17ED56D7"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1</w:t>
            </w:r>
          </w:p>
        </w:tc>
        <w:tc>
          <w:tcPr>
            <w:tcW w:w="9400" w:type="dxa"/>
          </w:tcPr>
          <w:p w14:paraId="072925B0" w14:textId="77777777" w:rsidR="00561B22" w:rsidRPr="002D11FD" w:rsidRDefault="00561B22" w:rsidP="00F1223B">
            <w:pPr>
              <w:jc w:val="both"/>
              <w:rPr>
                <w:rFonts w:ascii="Arial" w:hAnsi="Arial" w:cs="Arial"/>
                <w:b/>
                <w:sz w:val="22"/>
                <w:szCs w:val="22"/>
                <w:lang w:val="es-MX"/>
              </w:rPr>
            </w:pPr>
            <w:r w:rsidRPr="002D11FD">
              <w:rPr>
                <w:rFonts w:ascii="Arial" w:hAnsi="Arial" w:cs="Arial"/>
                <w:sz w:val="22"/>
                <w:szCs w:val="22"/>
              </w:rPr>
              <w:t xml:space="preserve">Se recomienda implementar y organizar el archivo de acuerdo a las TRD aprobadas en el FPS - FNC - </w:t>
            </w:r>
          </w:p>
        </w:tc>
      </w:tr>
      <w:tr w:rsidR="00561B22" w:rsidRPr="002D11FD" w14:paraId="251E7528" w14:textId="77777777" w:rsidTr="00F1223B">
        <w:tc>
          <w:tcPr>
            <w:tcW w:w="562" w:type="dxa"/>
          </w:tcPr>
          <w:p w14:paraId="61B6B18C"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2</w:t>
            </w:r>
          </w:p>
        </w:tc>
        <w:tc>
          <w:tcPr>
            <w:tcW w:w="9400" w:type="dxa"/>
          </w:tcPr>
          <w:p w14:paraId="38C628F8" w14:textId="77777777" w:rsidR="00561B22" w:rsidRPr="002D11FD" w:rsidRDefault="00561B22" w:rsidP="00F1223B">
            <w:pPr>
              <w:jc w:val="both"/>
              <w:rPr>
                <w:rFonts w:ascii="Arial" w:hAnsi="Arial" w:cs="Arial"/>
                <w:b/>
                <w:sz w:val="22"/>
                <w:szCs w:val="22"/>
                <w:lang w:val="es-MX"/>
              </w:rPr>
            </w:pPr>
            <w:r w:rsidRPr="002D11FD">
              <w:rPr>
                <w:rFonts w:ascii="Arial" w:hAnsi="Arial" w:cs="Arial"/>
                <w:sz w:val="22"/>
                <w:szCs w:val="22"/>
              </w:rPr>
              <w:t>Se recomienda para la vigencia 2025 incluir capacitaciones con temas relacionados al desarrollo de competencias del proceso Contable en el Plan Institucional de Capacitaciones</w:t>
            </w:r>
          </w:p>
        </w:tc>
      </w:tr>
      <w:tr w:rsidR="00561B22" w:rsidRPr="002D11FD" w14:paraId="0C7671A1" w14:textId="77777777" w:rsidTr="00F1223B">
        <w:tc>
          <w:tcPr>
            <w:tcW w:w="562" w:type="dxa"/>
          </w:tcPr>
          <w:p w14:paraId="1C8148D0" w14:textId="77777777" w:rsidR="00561B22" w:rsidRPr="002D11FD" w:rsidRDefault="00561B22" w:rsidP="00F1223B">
            <w:pPr>
              <w:jc w:val="center"/>
              <w:rPr>
                <w:rFonts w:ascii="Arial" w:hAnsi="Arial" w:cs="Arial"/>
                <w:b/>
                <w:sz w:val="22"/>
                <w:szCs w:val="22"/>
                <w:lang w:val="es-MX"/>
              </w:rPr>
            </w:pPr>
            <w:r w:rsidRPr="002D11FD">
              <w:rPr>
                <w:rFonts w:ascii="Arial" w:hAnsi="Arial" w:cs="Arial"/>
                <w:b/>
                <w:sz w:val="22"/>
                <w:szCs w:val="22"/>
                <w:lang w:val="es-MX"/>
              </w:rPr>
              <w:t>3</w:t>
            </w:r>
          </w:p>
        </w:tc>
        <w:tc>
          <w:tcPr>
            <w:tcW w:w="9400" w:type="dxa"/>
          </w:tcPr>
          <w:p w14:paraId="26D31FC4" w14:textId="77777777" w:rsidR="00561B22" w:rsidRPr="002D11FD" w:rsidRDefault="00561B22" w:rsidP="00F1223B">
            <w:pPr>
              <w:jc w:val="both"/>
              <w:rPr>
                <w:rFonts w:ascii="Arial" w:hAnsi="Arial" w:cs="Arial"/>
                <w:b/>
                <w:sz w:val="22"/>
                <w:szCs w:val="22"/>
                <w:lang w:val="es-MX"/>
              </w:rPr>
            </w:pPr>
            <w:r w:rsidRPr="002D11FD">
              <w:rPr>
                <w:rFonts w:ascii="Arial" w:hAnsi="Arial" w:cs="Arial"/>
                <w:sz w:val="22"/>
                <w:szCs w:val="22"/>
              </w:rPr>
              <w:t>La socialización consiste en la comunicación mediante actas y listas de asistencias debidamente firmadas que acrediten reuniones de socialización con el personal involucrado en el proceso financiero</w:t>
            </w:r>
          </w:p>
        </w:tc>
      </w:tr>
    </w:tbl>
    <w:p w14:paraId="36F1F5A5" w14:textId="77777777" w:rsidR="00561B22" w:rsidRPr="002D11FD" w:rsidRDefault="00561B22" w:rsidP="00561B22">
      <w:pPr>
        <w:pStyle w:val="Textoindependiente"/>
        <w:ind w:right="-50"/>
        <w:jc w:val="both"/>
        <w:rPr>
          <w:rFonts w:ascii="Arial" w:hAnsi="Arial" w:cs="Arial"/>
          <w:b/>
          <w:bCs/>
          <w:sz w:val="28"/>
          <w:szCs w:val="28"/>
        </w:rPr>
      </w:pPr>
    </w:p>
    <w:p w14:paraId="7B6991B4" w14:textId="77777777" w:rsidR="00561B22" w:rsidRPr="002D11FD" w:rsidRDefault="00561B22" w:rsidP="00561B22">
      <w:pPr>
        <w:jc w:val="both"/>
        <w:rPr>
          <w:rFonts w:ascii="Arial" w:hAnsi="Arial" w:cs="Arial"/>
          <w:b/>
          <w:bCs/>
          <w:sz w:val="24"/>
          <w:szCs w:val="24"/>
          <w:lang w:val="es-CO"/>
        </w:rPr>
      </w:pPr>
      <w:r w:rsidRPr="002D11FD">
        <w:rPr>
          <w:rFonts w:ascii="Arial" w:hAnsi="Arial" w:cs="Arial"/>
          <w:b/>
          <w:bCs/>
          <w:sz w:val="24"/>
          <w:szCs w:val="24"/>
          <w:lang w:val="es-CO"/>
        </w:rPr>
        <w:t xml:space="preserve">NOTA: LA ENTIDAD ENVIA LA MATRIZ DE AUTOEVALUACIÓN DEL SISTEMA DE CONTROL INTERNO CONTABLE CON ACTIVIDADES DE CONTROL </w:t>
      </w:r>
      <w:r w:rsidRPr="002D11FD">
        <w:rPr>
          <w:rFonts w:ascii="Arial" w:hAnsi="Arial" w:cs="Arial"/>
          <w:b/>
          <w:bCs/>
          <w:sz w:val="24"/>
          <w:szCs w:val="24"/>
          <w:u w:val="single"/>
          <w:lang w:val="es-CO"/>
        </w:rPr>
        <w:t>NO REALIZADAS</w:t>
      </w:r>
      <w:r w:rsidRPr="002D11FD">
        <w:rPr>
          <w:rFonts w:ascii="Arial" w:hAnsi="Arial" w:cs="Arial"/>
          <w:b/>
          <w:bCs/>
          <w:sz w:val="24"/>
          <w:szCs w:val="24"/>
          <w:lang w:val="es-CO"/>
        </w:rPr>
        <w:t>.</w:t>
      </w:r>
    </w:p>
    <w:p w14:paraId="1C07B3A2" w14:textId="77777777" w:rsidR="00561B22" w:rsidRPr="002D11FD" w:rsidRDefault="00561B22" w:rsidP="00561B22">
      <w:pPr>
        <w:ind w:left="720" w:hanging="720"/>
        <w:jc w:val="both"/>
        <w:rPr>
          <w:rFonts w:ascii="Arial" w:hAnsi="Arial" w:cs="Arial"/>
          <w:b/>
          <w:bCs/>
          <w:sz w:val="24"/>
          <w:szCs w:val="24"/>
          <w:lang w:val="es-CO"/>
        </w:rPr>
      </w:pPr>
    </w:p>
    <w:p w14:paraId="6E831076" w14:textId="77777777" w:rsidR="00561B22" w:rsidRPr="00252C94" w:rsidRDefault="00561B22" w:rsidP="00561B22">
      <w:pPr>
        <w:jc w:val="both"/>
        <w:rPr>
          <w:rFonts w:ascii="Arial" w:hAnsi="Arial" w:cs="Arial"/>
          <w:b/>
          <w:sz w:val="28"/>
          <w:szCs w:val="28"/>
          <w:lang w:val="es-MX"/>
        </w:rPr>
      </w:pPr>
      <w:r w:rsidRPr="00252C94">
        <w:rPr>
          <w:rFonts w:ascii="Arial" w:hAnsi="Arial" w:cs="Arial"/>
          <w:b/>
          <w:sz w:val="28"/>
          <w:szCs w:val="28"/>
          <w:lang w:val="es-MX"/>
        </w:rPr>
        <w:t xml:space="preserve">336.- </w:t>
      </w:r>
      <w:r w:rsidRPr="00252C94">
        <w:rPr>
          <w:rFonts w:ascii="Arial" w:hAnsi="Arial" w:cs="Arial"/>
          <w:b/>
          <w:sz w:val="28"/>
          <w:szCs w:val="28"/>
          <w:lang w:val="es-CO"/>
        </w:rPr>
        <w:t xml:space="preserve">CORPORACIÓN AUTÓNOMA REGIONAL PARA LA DEFENSA DE LA MESETA DE BUCARAMANGA - CDMB. </w:t>
      </w:r>
    </w:p>
    <w:p w14:paraId="1435B50A" w14:textId="77777777" w:rsidR="00217295" w:rsidRDefault="00217295" w:rsidP="00561B22">
      <w:pPr>
        <w:pStyle w:val="Textoindependiente"/>
        <w:jc w:val="center"/>
        <w:rPr>
          <w:rFonts w:ascii="Arial" w:hAnsi="Arial" w:cs="Arial"/>
          <w:b/>
          <w:bCs/>
        </w:rPr>
      </w:pPr>
    </w:p>
    <w:p w14:paraId="77E729BD" w14:textId="701FEF8C" w:rsidR="00561B22" w:rsidRPr="00252C94" w:rsidRDefault="00561B22" w:rsidP="00561B22">
      <w:pPr>
        <w:pStyle w:val="Textoindependiente"/>
        <w:jc w:val="center"/>
        <w:rPr>
          <w:rFonts w:ascii="Arial" w:hAnsi="Arial" w:cs="Arial"/>
          <w:b/>
          <w:bCs/>
        </w:rPr>
      </w:pPr>
      <w:r w:rsidRPr="00252C94">
        <w:rPr>
          <w:rFonts w:ascii="Arial" w:hAnsi="Arial" w:cs="Arial"/>
          <w:b/>
          <w:bCs/>
        </w:rPr>
        <w:t>INFORME DE LA AUTOCALIFICACIÓN DEL SISTEMA DE CONTROL INTERNO CONTABLE:</w:t>
      </w:r>
    </w:p>
    <w:p w14:paraId="7A392B32" w14:textId="77777777" w:rsidR="00561B22" w:rsidRPr="00252C9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52C94" w14:paraId="0345BC61" w14:textId="77777777" w:rsidTr="00F1223B">
        <w:tc>
          <w:tcPr>
            <w:tcW w:w="4981" w:type="dxa"/>
          </w:tcPr>
          <w:p w14:paraId="7E3B20F6"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AUTOCALIFICACIÓN</w:t>
            </w:r>
          </w:p>
        </w:tc>
        <w:tc>
          <w:tcPr>
            <w:tcW w:w="4981" w:type="dxa"/>
          </w:tcPr>
          <w:p w14:paraId="3D6C6AB0" w14:textId="77777777" w:rsidR="00561B22" w:rsidRPr="00252C94" w:rsidRDefault="00561B22" w:rsidP="00F1223B">
            <w:pPr>
              <w:jc w:val="center"/>
              <w:rPr>
                <w:rFonts w:ascii="Arial" w:hAnsi="Arial" w:cs="Arial"/>
                <w:b/>
                <w:sz w:val="22"/>
                <w:szCs w:val="22"/>
                <w:u w:val="single"/>
                <w:lang w:val="es-MX"/>
              </w:rPr>
            </w:pPr>
            <w:r w:rsidRPr="00252C94">
              <w:rPr>
                <w:rFonts w:ascii="Arial" w:hAnsi="Arial" w:cs="Arial"/>
                <w:b/>
                <w:sz w:val="22"/>
                <w:szCs w:val="22"/>
                <w:u w:val="single"/>
                <w:lang w:val="es-MX"/>
              </w:rPr>
              <w:t>5.00</w:t>
            </w:r>
          </w:p>
        </w:tc>
      </w:tr>
    </w:tbl>
    <w:p w14:paraId="255891EF" w14:textId="77777777" w:rsidR="00561B22" w:rsidRPr="00252C94" w:rsidRDefault="00561B22" w:rsidP="00561B22">
      <w:pPr>
        <w:pStyle w:val="Textoindependiente"/>
        <w:jc w:val="both"/>
        <w:rPr>
          <w:rFonts w:ascii="Arial" w:hAnsi="Arial" w:cs="Arial"/>
          <w:b/>
          <w:bCs/>
        </w:rPr>
      </w:pPr>
    </w:p>
    <w:p w14:paraId="51E3363F" w14:textId="77777777" w:rsidR="00561B22" w:rsidRPr="00252C94" w:rsidRDefault="00561B22" w:rsidP="00561B22">
      <w:pPr>
        <w:pStyle w:val="Textoindependiente"/>
        <w:jc w:val="both"/>
        <w:rPr>
          <w:rFonts w:ascii="Arial" w:hAnsi="Arial" w:cs="Arial"/>
          <w:b/>
          <w:bCs/>
        </w:rPr>
      </w:pPr>
      <w:r w:rsidRPr="00252C94">
        <w:rPr>
          <w:rFonts w:ascii="Arial" w:hAnsi="Arial" w:cs="Arial"/>
          <w:b/>
          <w:bCs/>
        </w:rPr>
        <w:t>Del informe enviado retomamos lo siguiente:</w:t>
      </w:r>
    </w:p>
    <w:p w14:paraId="14A4F71D" w14:textId="77777777" w:rsidR="00561B22" w:rsidRPr="00252C9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52C94" w14:paraId="317AAB66" w14:textId="77777777" w:rsidTr="00F1223B">
        <w:tc>
          <w:tcPr>
            <w:tcW w:w="562" w:type="dxa"/>
          </w:tcPr>
          <w:p w14:paraId="17A8E06A"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N°</w:t>
            </w:r>
          </w:p>
        </w:tc>
        <w:tc>
          <w:tcPr>
            <w:tcW w:w="9400" w:type="dxa"/>
          </w:tcPr>
          <w:p w14:paraId="44B603EC"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DEBILIDADES</w:t>
            </w:r>
          </w:p>
          <w:p w14:paraId="15C13E2B" w14:textId="77777777" w:rsidR="00561B22" w:rsidRPr="00252C94" w:rsidRDefault="00561B22" w:rsidP="00F1223B">
            <w:pPr>
              <w:jc w:val="center"/>
              <w:rPr>
                <w:rFonts w:ascii="Arial" w:hAnsi="Arial" w:cs="Arial"/>
                <w:b/>
                <w:sz w:val="22"/>
                <w:szCs w:val="22"/>
                <w:lang w:val="es-MX"/>
              </w:rPr>
            </w:pPr>
          </w:p>
        </w:tc>
      </w:tr>
      <w:tr w:rsidR="00561B22" w:rsidRPr="00252C94" w14:paraId="620A5BE6" w14:textId="77777777" w:rsidTr="00F1223B">
        <w:tc>
          <w:tcPr>
            <w:tcW w:w="562" w:type="dxa"/>
          </w:tcPr>
          <w:p w14:paraId="4A0E2F3C"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1</w:t>
            </w:r>
          </w:p>
        </w:tc>
        <w:tc>
          <w:tcPr>
            <w:tcW w:w="9400" w:type="dxa"/>
          </w:tcPr>
          <w:p w14:paraId="1D370011" w14:textId="77777777" w:rsidR="00561B22" w:rsidRPr="00252C94" w:rsidRDefault="00561B22" w:rsidP="00F1223B">
            <w:pPr>
              <w:jc w:val="both"/>
              <w:rPr>
                <w:rFonts w:ascii="Arial" w:hAnsi="Arial" w:cs="Arial"/>
                <w:bCs/>
                <w:sz w:val="22"/>
                <w:szCs w:val="22"/>
                <w:lang w:val="es-MX"/>
              </w:rPr>
            </w:pPr>
            <w:r w:rsidRPr="00252C94">
              <w:rPr>
                <w:rFonts w:ascii="Arial" w:hAnsi="Arial" w:cs="Arial"/>
                <w:bCs/>
                <w:sz w:val="22"/>
                <w:szCs w:val="22"/>
                <w:lang w:val="es-MX"/>
              </w:rPr>
              <w:t xml:space="preserve">Queda pendiente por parametrizar e implementar ciertos módulos dentro del software contable y continuar con la capacitación del personal </w:t>
            </w:r>
          </w:p>
        </w:tc>
      </w:tr>
    </w:tbl>
    <w:p w14:paraId="42746A96" w14:textId="77777777" w:rsidR="00561B22" w:rsidRPr="00252C94" w:rsidRDefault="00561B22" w:rsidP="00561B22">
      <w:pPr>
        <w:pStyle w:val="Textoindependiente"/>
        <w:jc w:val="both"/>
        <w:rPr>
          <w:rFonts w:ascii="Arial" w:hAnsi="Arial" w:cs="Arial"/>
          <w:b/>
          <w:bCs/>
        </w:rPr>
      </w:pPr>
    </w:p>
    <w:p w14:paraId="0729C2C7" w14:textId="77777777" w:rsidR="00561B22" w:rsidRPr="00252C94" w:rsidRDefault="00561B22" w:rsidP="00561B22">
      <w:pPr>
        <w:jc w:val="both"/>
        <w:rPr>
          <w:rFonts w:ascii="Arial" w:hAnsi="Arial" w:cs="Arial"/>
          <w:b/>
          <w:lang w:val="es-MX"/>
        </w:rPr>
      </w:pPr>
      <w:r w:rsidRPr="00252C94">
        <w:rPr>
          <w:rFonts w:ascii="Arial" w:hAnsi="Arial" w:cs="Arial"/>
          <w:b/>
          <w:lang w:val="es-MX"/>
        </w:rPr>
        <w:t>Del citado informe retomamos las siguientes recomendaciones:</w:t>
      </w:r>
    </w:p>
    <w:p w14:paraId="68220E4D" w14:textId="77777777" w:rsidR="00561B22" w:rsidRPr="00252C9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252C94" w14:paraId="2B047710" w14:textId="77777777" w:rsidTr="00F1223B">
        <w:tc>
          <w:tcPr>
            <w:tcW w:w="562" w:type="dxa"/>
          </w:tcPr>
          <w:p w14:paraId="7D8BA125"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N°</w:t>
            </w:r>
          </w:p>
        </w:tc>
        <w:tc>
          <w:tcPr>
            <w:tcW w:w="9400" w:type="dxa"/>
          </w:tcPr>
          <w:p w14:paraId="70B20E56"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RECOMENDACIONES</w:t>
            </w:r>
          </w:p>
          <w:p w14:paraId="79DCE9DB" w14:textId="77777777" w:rsidR="00561B22" w:rsidRPr="00252C94" w:rsidRDefault="00561B22" w:rsidP="00F1223B">
            <w:pPr>
              <w:jc w:val="center"/>
              <w:rPr>
                <w:rFonts w:ascii="Arial" w:hAnsi="Arial" w:cs="Arial"/>
                <w:b/>
                <w:sz w:val="22"/>
                <w:szCs w:val="22"/>
                <w:lang w:val="es-MX"/>
              </w:rPr>
            </w:pPr>
          </w:p>
        </w:tc>
      </w:tr>
      <w:tr w:rsidR="00561B22" w:rsidRPr="00252C94" w14:paraId="2C3C901D" w14:textId="77777777" w:rsidTr="00F1223B">
        <w:tc>
          <w:tcPr>
            <w:tcW w:w="562" w:type="dxa"/>
          </w:tcPr>
          <w:p w14:paraId="65586811" w14:textId="77777777" w:rsidR="00561B22" w:rsidRPr="00252C94" w:rsidRDefault="00561B22" w:rsidP="00F1223B">
            <w:pPr>
              <w:jc w:val="center"/>
              <w:rPr>
                <w:rFonts w:ascii="Arial" w:hAnsi="Arial" w:cs="Arial"/>
                <w:b/>
                <w:sz w:val="22"/>
                <w:szCs w:val="22"/>
                <w:lang w:val="es-MX"/>
              </w:rPr>
            </w:pPr>
            <w:r w:rsidRPr="00252C94">
              <w:rPr>
                <w:rFonts w:ascii="Arial" w:hAnsi="Arial" w:cs="Arial"/>
                <w:b/>
                <w:sz w:val="22"/>
                <w:szCs w:val="22"/>
                <w:lang w:val="es-MX"/>
              </w:rPr>
              <w:t>1</w:t>
            </w:r>
          </w:p>
        </w:tc>
        <w:tc>
          <w:tcPr>
            <w:tcW w:w="9400" w:type="dxa"/>
          </w:tcPr>
          <w:p w14:paraId="0B9D4A6B" w14:textId="77777777" w:rsidR="00561B22" w:rsidRPr="00252C94" w:rsidRDefault="00561B22" w:rsidP="00F1223B">
            <w:pPr>
              <w:jc w:val="both"/>
              <w:rPr>
                <w:rFonts w:ascii="Arial" w:hAnsi="Arial" w:cs="Arial"/>
                <w:bCs/>
                <w:sz w:val="22"/>
                <w:szCs w:val="22"/>
                <w:lang w:val="es-MX"/>
              </w:rPr>
            </w:pPr>
            <w:r w:rsidRPr="00252C94">
              <w:rPr>
                <w:rFonts w:ascii="Arial" w:hAnsi="Arial" w:cs="Arial"/>
                <w:bCs/>
                <w:sz w:val="22"/>
                <w:szCs w:val="22"/>
                <w:lang w:val="es-MX"/>
              </w:rPr>
              <w:t>Continuar parametrizando e implementando los módulos faltantes dentro del sistema financiero de acuerdo a las necesidades de cada área y capacitar continuamente al personal.</w:t>
            </w:r>
          </w:p>
        </w:tc>
      </w:tr>
    </w:tbl>
    <w:p w14:paraId="2A716694" w14:textId="77777777" w:rsidR="00561B22" w:rsidRPr="00252C94" w:rsidRDefault="00561B22" w:rsidP="00561B22">
      <w:pPr>
        <w:pStyle w:val="Textoindependiente"/>
        <w:jc w:val="both"/>
        <w:rPr>
          <w:rFonts w:ascii="Arial" w:hAnsi="Arial" w:cs="Arial"/>
          <w:b/>
          <w:bCs/>
        </w:rPr>
      </w:pPr>
    </w:p>
    <w:p w14:paraId="5B78FE86" w14:textId="77777777" w:rsidR="00561B22" w:rsidRPr="00906234" w:rsidRDefault="00561B22" w:rsidP="00561B22">
      <w:pPr>
        <w:jc w:val="both"/>
        <w:rPr>
          <w:rFonts w:ascii="Arial" w:hAnsi="Arial" w:cs="Arial"/>
          <w:b/>
          <w:sz w:val="28"/>
          <w:szCs w:val="28"/>
          <w:lang w:val="es-MX"/>
        </w:rPr>
      </w:pPr>
      <w:r w:rsidRPr="00906234">
        <w:rPr>
          <w:rFonts w:ascii="Arial" w:hAnsi="Arial" w:cs="Arial"/>
          <w:b/>
          <w:sz w:val="28"/>
          <w:szCs w:val="28"/>
          <w:lang w:val="es-MX"/>
        </w:rPr>
        <w:t>337.- UNIVERSIDAD DE CÓRDOBA.</w:t>
      </w:r>
    </w:p>
    <w:p w14:paraId="4BC954D0" w14:textId="77777777" w:rsidR="00561B22" w:rsidRPr="00252C94" w:rsidRDefault="00561B22" w:rsidP="00561B22">
      <w:pPr>
        <w:ind w:right="1900"/>
        <w:jc w:val="both"/>
        <w:rPr>
          <w:rFonts w:ascii="Arial" w:hAnsi="Arial" w:cs="Arial"/>
          <w:b/>
          <w:color w:val="FF0000"/>
        </w:rPr>
      </w:pPr>
    </w:p>
    <w:p w14:paraId="05C78C41" w14:textId="77777777" w:rsidR="00561B22" w:rsidRPr="000340CB" w:rsidRDefault="00561B22" w:rsidP="00561B22">
      <w:pPr>
        <w:pStyle w:val="Textoindependiente"/>
        <w:ind w:right="-50"/>
        <w:jc w:val="center"/>
        <w:rPr>
          <w:rFonts w:ascii="Arial" w:hAnsi="Arial" w:cs="Arial"/>
          <w:b/>
          <w:bCs/>
        </w:rPr>
      </w:pPr>
      <w:r w:rsidRPr="000340CB">
        <w:rPr>
          <w:rFonts w:ascii="Arial" w:hAnsi="Arial" w:cs="Arial"/>
          <w:b/>
          <w:bCs/>
        </w:rPr>
        <w:t>INFORME DE LA AUTOCALIFICACIÓN DEL SISTEMA DE CONTROL INTERNO CONTABLE:</w:t>
      </w:r>
    </w:p>
    <w:p w14:paraId="535C412D" w14:textId="77777777" w:rsidR="00561B22" w:rsidRPr="000340C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0340CB" w14:paraId="24C3E4D0" w14:textId="77777777" w:rsidTr="00F1223B">
        <w:tc>
          <w:tcPr>
            <w:tcW w:w="4981" w:type="dxa"/>
          </w:tcPr>
          <w:p w14:paraId="153D3198" w14:textId="77777777" w:rsidR="00561B22" w:rsidRPr="000340CB" w:rsidRDefault="00561B22" w:rsidP="00F1223B">
            <w:pPr>
              <w:jc w:val="center"/>
              <w:rPr>
                <w:rFonts w:ascii="Arial" w:hAnsi="Arial" w:cs="Arial"/>
                <w:b/>
                <w:sz w:val="22"/>
                <w:szCs w:val="22"/>
                <w:lang w:val="es-MX"/>
              </w:rPr>
            </w:pPr>
            <w:r w:rsidRPr="000340CB">
              <w:rPr>
                <w:rFonts w:ascii="Arial" w:hAnsi="Arial" w:cs="Arial"/>
                <w:b/>
                <w:sz w:val="22"/>
                <w:szCs w:val="22"/>
                <w:lang w:val="es-MX"/>
              </w:rPr>
              <w:t>AUTOCALIFICACIÓN</w:t>
            </w:r>
          </w:p>
        </w:tc>
        <w:tc>
          <w:tcPr>
            <w:tcW w:w="4981" w:type="dxa"/>
          </w:tcPr>
          <w:p w14:paraId="67A44A51" w14:textId="77777777" w:rsidR="00561B22" w:rsidRPr="000340CB" w:rsidRDefault="00561B22" w:rsidP="00F1223B">
            <w:pPr>
              <w:jc w:val="center"/>
              <w:rPr>
                <w:rFonts w:ascii="Arial" w:hAnsi="Arial" w:cs="Arial"/>
                <w:b/>
                <w:sz w:val="22"/>
                <w:szCs w:val="22"/>
                <w:u w:val="single"/>
                <w:lang w:val="es-MX"/>
              </w:rPr>
            </w:pPr>
            <w:r w:rsidRPr="000340CB">
              <w:rPr>
                <w:rFonts w:ascii="Arial" w:hAnsi="Arial" w:cs="Arial"/>
                <w:b/>
                <w:sz w:val="22"/>
                <w:szCs w:val="22"/>
                <w:u w:val="single"/>
                <w:lang w:val="es-MX"/>
              </w:rPr>
              <w:t>4.98</w:t>
            </w:r>
          </w:p>
        </w:tc>
      </w:tr>
    </w:tbl>
    <w:p w14:paraId="0A2DBBCF" w14:textId="77777777" w:rsidR="00561B22" w:rsidRPr="000340CB" w:rsidRDefault="00561B22" w:rsidP="00561B22">
      <w:pPr>
        <w:pStyle w:val="Textoindependiente"/>
        <w:ind w:right="-50"/>
        <w:jc w:val="both"/>
        <w:rPr>
          <w:rFonts w:ascii="Arial" w:hAnsi="Arial" w:cs="Arial"/>
          <w:b/>
          <w:bCs/>
        </w:rPr>
      </w:pPr>
    </w:p>
    <w:p w14:paraId="178AA92D" w14:textId="77777777" w:rsidR="00561B22" w:rsidRPr="000340CB" w:rsidRDefault="00561B22" w:rsidP="00561B22">
      <w:pPr>
        <w:pStyle w:val="Textoindependiente"/>
        <w:ind w:right="-50"/>
        <w:jc w:val="both"/>
        <w:rPr>
          <w:rFonts w:ascii="Arial" w:hAnsi="Arial" w:cs="Arial"/>
          <w:b/>
          <w:bCs/>
        </w:rPr>
      </w:pPr>
      <w:r w:rsidRPr="000340CB">
        <w:rPr>
          <w:rFonts w:ascii="Arial" w:hAnsi="Arial" w:cs="Arial"/>
          <w:b/>
          <w:bCs/>
        </w:rPr>
        <w:t>Del informe enviado retomamos lo siguiente:</w:t>
      </w:r>
    </w:p>
    <w:p w14:paraId="3D88E6EF" w14:textId="77777777" w:rsidR="00561B22" w:rsidRPr="000340C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340CB" w14:paraId="086F764C" w14:textId="77777777" w:rsidTr="00F1223B">
        <w:tc>
          <w:tcPr>
            <w:tcW w:w="562" w:type="dxa"/>
          </w:tcPr>
          <w:p w14:paraId="48103285" w14:textId="77777777" w:rsidR="00561B22" w:rsidRPr="000340CB" w:rsidRDefault="00561B22" w:rsidP="00F1223B">
            <w:pPr>
              <w:ind w:right="-109"/>
              <w:jc w:val="center"/>
              <w:rPr>
                <w:rFonts w:ascii="Arial" w:hAnsi="Arial" w:cs="Arial"/>
                <w:b/>
                <w:sz w:val="22"/>
                <w:szCs w:val="22"/>
                <w:lang w:val="es-MX"/>
              </w:rPr>
            </w:pPr>
            <w:r w:rsidRPr="000340CB">
              <w:rPr>
                <w:rFonts w:ascii="Arial" w:hAnsi="Arial" w:cs="Arial"/>
                <w:b/>
                <w:sz w:val="22"/>
                <w:szCs w:val="22"/>
                <w:lang w:val="es-MX"/>
              </w:rPr>
              <w:t>N°</w:t>
            </w:r>
          </w:p>
        </w:tc>
        <w:tc>
          <w:tcPr>
            <w:tcW w:w="9400" w:type="dxa"/>
          </w:tcPr>
          <w:p w14:paraId="306EEE09" w14:textId="77777777" w:rsidR="00561B22" w:rsidRPr="000340CB" w:rsidRDefault="00561B22" w:rsidP="00F1223B">
            <w:pPr>
              <w:jc w:val="center"/>
              <w:rPr>
                <w:rFonts w:ascii="Arial" w:hAnsi="Arial" w:cs="Arial"/>
                <w:b/>
                <w:sz w:val="22"/>
                <w:szCs w:val="22"/>
                <w:lang w:val="es-MX"/>
              </w:rPr>
            </w:pPr>
            <w:r w:rsidRPr="000340CB">
              <w:rPr>
                <w:rFonts w:ascii="Arial" w:hAnsi="Arial" w:cs="Arial"/>
                <w:b/>
                <w:sz w:val="22"/>
                <w:szCs w:val="22"/>
                <w:lang w:val="es-MX"/>
              </w:rPr>
              <w:t>DEBILIDADES</w:t>
            </w:r>
          </w:p>
          <w:p w14:paraId="2AAEA151" w14:textId="77777777" w:rsidR="00561B22" w:rsidRPr="000340CB" w:rsidRDefault="00561B22" w:rsidP="00F1223B">
            <w:pPr>
              <w:jc w:val="center"/>
              <w:rPr>
                <w:rFonts w:ascii="Arial" w:hAnsi="Arial" w:cs="Arial"/>
                <w:b/>
                <w:sz w:val="22"/>
                <w:szCs w:val="22"/>
                <w:lang w:val="es-MX"/>
              </w:rPr>
            </w:pPr>
          </w:p>
        </w:tc>
      </w:tr>
      <w:tr w:rsidR="00561B22" w:rsidRPr="000340CB" w14:paraId="5F1F242E" w14:textId="77777777" w:rsidTr="00F1223B">
        <w:tc>
          <w:tcPr>
            <w:tcW w:w="562" w:type="dxa"/>
          </w:tcPr>
          <w:p w14:paraId="3719FB3B" w14:textId="77777777" w:rsidR="00561B22" w:rsidRPr="000340CB" w:rsidRDefault="00561B22" w:rsidP="00F1223B">
            <w:pPr>
              <w:jc w:val="center"/>
              <w:rPr>
                <w:rFonts w:ascii="Arial" w:hAnsi="Arial" w:cs="Arial"/>
                <w:b/>
                <w:sz w:val="22"/>
                <w:szCs w:val="22"/>
                <w:lang w:val="es-MX"/>
              </w:rPr>
            </w:pPr>
            <w:r w:rsidRPr="000340CB">
              <w:rPr>
                <w:rFonts w:ascii="Arial" w:hAnsi="Arial" w:cs="Arial"/>
                <w:b/>
                <w:sz w:val="22"/>
                <w:szCs w:val="22"/>
                <w:lang w:val="es-MX"/>
              </w:rPr>
              <w:t>1</w:t>
            </w:r>
          </w:p>
        </w:tc>
        <w:tc>
          <w:tcPr>
            <w:tcW w:w="9400" w:type="dxa"/>
          </w:tcPr>
          <w:p w14:paraId="7AC7D40E" w14:textId="77777777" w:rsidR="00561B22" w:rsidRPr="000340CB" w:rsidRDefault="00561B22" w:rsidP="00F1223B">
            <w:pPr>
              <w:jc w:val="both"/>
              <w:rPr>
                <w:rFonts w:ascii="Arial" w:hAnsi="Arial" w:cs="Arial"/>
                <w:bCs/>
                <w:sz w:val="22"/>
                <w:szCs w:val="22"/>
                <w:lang w:val="es-MX"/>
              </w:rPr>
            </w:pPr>
            <w:r w:rsidRPr="000340CB">
              <w:rPr>
                <w:rFonts w:ascii="Arial" w:hAnsi="Arial" w:cs="Arial"/>
                <w:bCs/>
                <w:sz w:val="22"/>
                <w:szCs w:val="22"/>
                <w:lang w:val="es-MX"/>
              </w:rPr>
              <w:t>La Universidad de Córdoba se encuentra realizando proceso de depuración de Inventarios dado que está prevista la baja de bienes en estado de obsolescencia correspondiente a la vigencia 2024.</w:t>
            </w:r>
          </w:p>
        </w:tc>
      </w:tr>
    </w:tbl>
    <w:p w14:paraId="48BBE5BB" w14:textId="77777777" w:rsidR="00561B22" w:rsidRPr="000340CB" w:rsidRDefault="00561B22" w:rsidP="00561B22">
      <w:pPr>
        <w:pStyle w:val="Textoindependiente"/>
        <w:ind w:right="-50"/>
        <w:jc w:val="both"/>
        <w:rPr>
          <w:rFonts w:ascii="Arial" w:hAnsi="Arial" w:cs="Arial"/>
          <w:b/>
          <w:bCs/>
        </w:rPr>
      </w:pPr>
    </w:p>
    <w:p w14:paraId="6B691BC9" w14:textId="77777777" w:rsidR="00561B22" w:rsidRPr="000340CB" w:rsidRDefault="00561B22" w:rsidP="00561B22">
      <w:pPr>
        <w:jc w:val="both"/>
        <w:rPr>
          <w:rFonts w:ascii="Arial" w:hAnsi="Arial" w:cs="Arial"/>
          <w:b/>
          <w:lang w:val="es-MX"/>
        </w:rPr>
      </w:pPr>
      <w:r w:rsidRPr="000340CB">
        <w:rPr>
          <w:rFonts w:ascii="Arial" w:hAnsi="Arial" w:cs="Arial"/>
          <w:b/>
          <w:lang w:val="es-MX"/>
        </w:rPr>
        <w:t>Del citado informe retomamos las siguientes recomendaciones:</w:t>
      </w:r>
    </w:p>
    <w:p w14:paraId="3A5BDA97" w14:textId="77777777" w:rsidR="00561B22" w:rsidRPr="000340C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0340CB" w14:paraId="388A9FC2" w14:textId="77777777" w:rsidTr="00F1223B">
        <w:tc>
          <w:tcPr>
            <w:tcW w:w="562" w:type="dxa"/>
          </w:tcPr>
          <w:p w14:paraId="70DDB456" w14:textId="77777777" w:rsidR="00561B22" w:rsidRPr="000340CB" w:rsidRDefault="00561B22" w:rsidP="00F1223B">
            <w:pPr>
              <w:ind w:right="-109"/>
              <w:jc w:val="center"/>
              <w:rPr>
                <w:rFonts w:ascii="Arial" w:hAnsi="Arial" w:cs="Arial"/>
                <w:b/>
                <w:sz w:val="22"/>
                <w:szCs w:val="22"/>
                <w:lang w:val="es-MX"/>
              </w:rPr>
            </w:pPr>
            <w:r w:rsidRPr="000340CB">
              <w:rPr>
                <w:rFonts w:ascii="Arial" w:hAnsi="Arial" w:cs="Arial"/>
                <w:b/>
                <w:sz w:val="22"/>
                <w:szCs w:val="22"/>
                <w:lang w:val="es-MX"/>
              </w:rPr>
              <w:t>N°</w:t>
            </w:r>
          </w:p>
        </w:tc>
        <w:tc>
          <w:tcPr>
            <w:tcW w:w="9400" w:type="dxa"/>
          </w:tcPr>
          <w:p w14:paraId="045C2D26" w14:textId="77777777" w:rsidR="00561B22" w:rsidRPr="000340CB" w:rsidRDefault="00561B22" w:rsidP="00F1223B">
            <w:pPr>
              <w:jc w:val="center"/>
              <w:rPr>
                <w:rFonts w:ascii="Arial" w:hAnsi="Arial" w:cs="Arial"/>
                <w:b/>
                <w:sz w:val="22"/>
                <w:szCs w:val="22"/>
                <w:lang w:val="es-MX"/>
              </w:rPr>
            </w:pPr>
            <w:r w:rsidRPr="000340CB">
              <w:rPr>
                <w:rFonts w:ascii="Arial" w:hAnsi="Arial" w:cs="Arial"/>
                <w:b/>
                <w:sz w:val="22"/>
                <w:szCs w:val="22"/>
                <w:lang w:val="es-MX"/>
              </w:rPr>
              <w:t>RECOMENDACIONES</w:t>
            </w:r>
          </w:p>
          <w:p w14:paraId="5F3CBF7A" w14:textId="77777777" w:rsidR="00561B22" w:rsidRPr="000340CB" w:rsidRDefault="00561B22" w:rsidP="00F1223B">
            <w:pPr>
              <w:jc w:val="center"/>
              <w:rPr>
                <w:rFonts w:ascii="Arial" w:hAnsi="Arial" w:cs="Arial"/>
                <w:b/>
                <w:sz w:val="22"/>
                <w:szCs w:val="22"/>
                <w:lang w:val="es-MX"/>
              </w:rPr>
            </w:pPr>
          </w:p>
        </w:tc>
      </w:tr>
      <w:tr w:rsidR="00561B22" w:rsidRPr="000340CB" w14:paraId="68881561" w14:textId="77777777" w:rsidTr="00F1223B">
        <w:tc>
          <w:tcPr>
            <w:tcW w:w="562" w:type="dxa"/>
          </w:tcPr>
          <w:p w14:paraId="391FB9A8" w14:textId="77777777" w:rsidR="00561B22" w:rsidRPr="000340CB" w:rsidRDefault="00561B22" w:rsidP="00F1223B">
            <w:pPr>
              <w:jc w:val="center"/>
              <w:rPr>
                <w:rFonts w:ascii="Arial" w:hAnsi="Arial" w:cs="Arial"/>
                <w:b/>
                <w:sz w:val="22"/>
                <w:szCs w:val="22"/>
                <w:lang w:val="es-MX"/>
              </w:rPr>
            </w:pPr>
            <w:r w:rsidRPr="000340CB">
              <w:rPr>
                <w:rFonts w:ascii="Arial" w:hAnsi="Arial" w:cs="Arial"/>
                <w:b/>
                <w:sz w:val="22"/>
                <w:szCs w:val="22"/>
                <w:lang w:val="es-MX"/>
              </w:rPr>
              <w:t>1</w:t>
            </w:r>
          </w:p>
        </w:tc>
        <w:tc>
          <w:tcPr>
            <w:tcW w:w="9400" w:type="dxa"/>
          </w:tcPr>
          <w:p w14:paraId="11223641" w14:textId="77777777" w:rsidR="00561B22" w:rsidRPr="000340CB" w:rsidRDefault="00561B22" w:rsidP="00F1223B">
            <w:pPr>
              <w:jc w:val="both"/>
              <w:rPr>
                <w:rFonts w:ascii="Arial" w:hAnsi="Arial" w:cs="Arial"/>
                <w:bCs/>
                <w:sz w:val="22"/>
                <w:szCs w:val="22"/>
                <w:lang w:val="es-MX"/>
              </w:rPr>
            </w:pPr>
            <w:r w:rsidRPr="000340CB">
              <w:rPr>
                <w:rFonts w:ascii="Arial" w:hAnsi="Arial" w:cs="Arial"/>
                <w:bCs/>
                <w:sz w:val="22"/>
                <w:szCs w:val="22"/>
                <w:lang w:val="es-MX"/>
              </w:rPr>
              <w:t xml:space="preserve">Continuar con la revisión de las conciliaciones bancarias y partidas conciliatorias con antigüedad igual o superior a seis (6) meses, asegurando que se realicen los registros contables pertinentes de acuerdo a lo indicado en el Manual de Políticas Contables de la Universidad.  Realizar los seguimientos de mejora continua, orientado a aplicar los correctivos necesarios ante las inconsistencias observadas en el registro de movimientos que afectan las conciliaciones bancarias de la Institución.  </w:t>
            </w:r>
          </w:p>
        </w:tc>
      </w:tr>
    </w:tbl>
    <w:p w14:paraId="47A92C2A" w14:textId="77777777" w:rsidR="00561B22" w:rsidRPr="000340CB" w:rsidRDefault="00561B22" w:rsidP="00561B22">
      <w:pPr>
        <w:pStyle w:val="Textoindependiente"/>
        <w:ind w:right="-50"/>
        <w:jc w:val="both"/>
        <w:rPr>
          <w:rFonts w:ascii="Arial" w:hAnsi="Arial" w:cs="Arial"/>
          <w:b/>
          <w:bCs/>
        </w:rPr>
      </w:pPr>
    </w:p>
    <w:p w14:paraId="40101FC0" w14:textId="77777777" w:rsidR="00561B22" w:rsidRPr="000340CB" w:rsidRDefault="00561B22" w:rsidP="00561B22">
      <w:pPr>
        <w:jc w:val="both"/>
        <w:rPr>
          <w:rFonts w:ascii="Arial" w:hAnsi="Arial" w:cs="Arial"/>
          <w:b/>
          <w:bCs/>
          <w:sz w:val="24"/>
          <w:szCs w:val="24"/>
          <w:lang w:val="es-CO"/>
        </w:rPr>
      </w:pPr>
      <w:r w:rsidRPr="000340CB">
        <w:rPr>
          <w:rFonts w:ascii="Arial" w:hAnsi="Arial" w:cs="Arial"/>
          <w:b/>
          <w:bCs/>
          <w:sz w:val="24"/>
          <w:szCs w:val="24"/>
          <w:lang w:val="es-CO"/>
        </w:rPr>
        <w:t xml:space="preserve">NOTA: </w:t>
      </w:r>
      <w:r w:rsidRPr="000340CB">
        <w:rPr>
          <w:rFonts w:ascii="Arial" w:hAnsi="Arial" w:cs="Arial"/>
          <w:b/>
          <w:sz w:val="24"/>
          <w:szCs w:val="24"/>
          <w:lang w:val="es-CO"/>
        </w:rPr>
        <w:t xml:space="preserve">LA ENTIDAD ENVÍA LA MATRIZ DE AUTOEVALUACIÓN DEL SISTEMA DE CONTROL INTERNO CONTABLE CON </w:t>
      </w:r>
      <w:r w:rsidRPr="000340CB">
        <w:rPr>
          <w:rFonts w:ascii="Arial" w:hAnsi="Arial" w:cs="Arial"/>
          <w:b/>
          <w:bCs/>
          <w:sz w:val="24"/>
          <w:szCs w:val="24"/>
          <w:u w:val="single"/>
          <w:lang w:val="es-CO"/>
        </w:rPr>
        <w:t>ACTIVIDADES DE CONTROL REALIZADAS EN FORMA PARCIAL</w:t>
      </w:r>
      <w:r w:rsidRPr="000340CB">
        <w:rPr>
          <w:rFonts w:ascii="Arial" w:hAnsi="Arial" w:cs="Arial"/>
          <w:b/>
          <w:bCs/>
          <w:sz w:val="24"/>
          <w:szCs w:val="24"/>
          <w:lang w:val="es-CO"/>
        </w:rPr>
        <w:t>.</w:t>
      </w:r>
    </w:p>
    <w:p w14:paraId="459ED015" w14:textId="77777777" w:rsidR="00561B22" w:rsidRPr="000340CB" w:rsidRDefault="00561B22" w:rsidP="00561B22">
      <w:pPr>
        <w:pStyle w:val="Textoindependiente"/>
        <w:tabs>
          <w:tab w:val="left" w:pos="2055"/>
        </w:tabs>
        <w:spacing w:before="5"/>
        <w:rPr>
          <w:rFonts w:ascii="Arial" w:hAnsi="Arial" w:cs="Arial"/>
        </w:rPr>
      </w:pPr>
    </w:p>
    <w:p w14:paraId="78A18C78" w14:textId="77777777" w:rsidR="00561B22" w:rsidRPr="009B73F4" w:rsidRDefault="00561B22" w:rsidP="00561B22">
      <w:pPr>
        <w:jc w:val="both"/>
        <w:rPr>
          <w:rFonts w:ascii="Arial" w:hAnsi="Arial" w:cs="Arial"/>
          <w:b/>
          <w:sz w:val="32"/>
          <w:szCs w:val="32"/>
          <w:lang w:val="es-MX"/>
        </w:rPr>
      </w:pPr>
      <w:r>
        <w:rPr>
          <w:rFonts w:ascii="Arial" w:hAnsi="Arial" w:cs="Arial"/>
          <w:b/>
          <w:sz w:val="32"/>
          <w:szCs w:val="32"/>
          <w:lang w:val="es-MX"/>
        </w:rPr>
        <w:t>338</w:t>
      </w:r>
      <w:r w:rsidRPr="009B73F4">
        <w:rPr>
          <w:rFonts w:ascii="Arial" w:hAnsi="Arial" w:cs="Arial"/>
          <w:b/>
          <w:sz w:val="32"/>
          <w:szCs w:val="32"/>
          <w:lang w:val="es-MX"/>
        </w:rPr>
        <w:t xml:space="preserve">.- </w:t>
      </w:r>
      <w:r>
        <w:rPr>
          <w:rFonts w:ascii="Arial" w:hAnsi="Arial" w:cs="Arial"/>
          <w:b/>
          <w:sz w:val="32"/>
          <w:szCs w:val="32"/>
          <w:lang w:val="es-MX"/>
        </w:rPr>
        <w:t>U.A.E. FONDO NACIONAL DE ESTUPEFACIENTES - FNE</w:t>
      </w:r>
      <w:r w:rsidRPr="009B73F4">
        <w:rPr>
          <w:rFonts w:ascii="Arial" w:hAnsi="Arial" w:cs="Arial"/>
          <w:b/>
          <w:sz w:val="32"/>
          <w:szCs w:val="32"/>
          <w:lang w:val="es-MX"/>
        </w:rPr>
        <w:t>.</w:t>
      </w:r>
    </w:p>
    <w:p w14:paraId="6896C570" w14:textId="77777777" w:rsidR="00561B22" w:rsidRPr="000340CB" w:rsidRDefault="00561B22" w:rsidP="00561B22">
      <w:pPr>
        <w:pStyle w:val="Textoindependiente"/>
        <w:tabs>
          <w:tab w:val="left" w:pos="2055"/>
        </w:tabs>
        <w:spacing w:before="5"/>
        <w:rPr>
          <w:rFonts w:ascii="Arial" w:hAnsi="Arial" w:cs="Arial"/>
        </w:rPr>
      </w:pPr>
    </w:p>
    <w:p w14:paraId="7B213E9D" w14:textId="77777777" w:rsidR="00561B22" w:rsidRPr="00826830" w:rsidRDefault="00561B22" w:rsidP="00561B22">
      <w:pPr>
        <w:jc w:val="center"/>
        <w:rPr>
          <w:rFonts w:ascii="Arial" w:hAnsi="Arial" w:cs="Arial"/>
          <w:b/>
          <w:lang w:val="es-MX"/>
        </w:rPr>
      </w:pPr>
      <w:r w:rsidRPr="00826830">
        <w:rPr>
          <w:rFonts w:ascii="Arial" w:hAnsi="Arial" w:cs="Arial"/>
          <w:b/>
          <w:lang w:val="es-MX"/>
        </w:rPr>
        <w:t>INFORME DE LA AUTOCALIFICACIÓN DEL SISTEMA DE CONTROL INTERNO CONTABLE:</w:t>
      </w:r>
    </w:p>
    <w:p w14:paraId="456C0093" w14:textId="77777777" w:rsidR="00561B22" w:rsidRPr="0082683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826830" w14:paraId="1014074F" w14:textId="77777777" w:rsidTr="00F1223B">
        <w:tc>
          <w:tcPr>
            <w:tcW w:w="4981" w:type="dxa"/>
          </w:tcPr>
          <w:p w14:paraId="5B5EE4D6" w14:textId="77777777" w:rsidR="00561B22" w:rsidRPr="00826830" w:rsidRDefault="00561B22" w:rsidP="00F1223B">
            <w:pPr>
              <w:jc w:val="center"/>
              <w:rPr>
                <w:rFonts w:ascii="Arial" w:hAnsi="Arial" w:cs="Arial"/>
                <w:b/>
                <w:sz w:val="22"/>
                <w:szCs w:val="22"/>
                <w:lang w:val="es-MX"/>
              </w:rPr>
            </w:pPr>
            <w:r w:rsidRPr="00826830">
              <w:rPr>
                <w:rFonts w:ascii="Arial" w:hAnsi="Arial" w:cs="Arial"/>
                <w:b/>
                <w:sz w:val="22"/>
                <w:szCs w:val="22"/>
                <w:lang w:val="es-MX"/>
              </w:rPr>
              <w:t>AUTOCALIFICACIÓN</w:t>
            </w:r>
          </w:p>
        </w:tc>
        <w:tc>
          <w:tcPr>
            <w:tcW w:w="4981" w:type="dxa"/>
          </w:tcPr>
          <w:p w14:paraId="627DD2FC" w14:textId="77777777" w:rsidR="00561B22" w:rsidRPr="00826830" w:rsidRDefault="00561B22" w:rsidP="00F1223B">
            <w:pPr>
              <w:jc w:val="center"/>
              <w:rPr>
                <w:rFonts w:ascii="Arial" w:hAnsi="Arial" w:cs="Arial"/>
                <w:b/>
                <w:sz w:val="22"/>
                <w:szCs w:val="22"/>
                <w:u w:val="single"/>
                <w:lang w:val="es-MX"/>
              </w:rPr>
            </w:pPr>
            <w:r w:rsidRPr="00826830">
              <w:rPr>
                <w:rFonts w:ascii="Arial" w:hAnsi="Arial" w:cs="Arial"/>
                <w:b/>
                <w:sz w:val="22"/>
                <w:szCs w:val="22"/>
                <w:u w:val="single"/>
                <w:lang w:val="es-MX"/>
              </w:rPr>
              <w:t>5.00</w:t>
            </w:r>
          </w:p>
        </w:tc>
      </w:tr>
    </w:tbl>
    <w:p w14:paraId="6B691B8B" w14:textId="77777777" w:rsidR="00561B22" w:rsidRPr="0082683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826830" w14:paraId="2E719FB1" w14:textId="77777777" w:rsidTr="00F1223B">
        <w:tc>
          <w:tcPr>
            <w:tcW w:w="562" w:type="dxa"/>
          </w:tcPr>
          <w:p w14:paraId="3A528607" w14:textId="77777777" w:rsidR="00561B22" w:rsidRPr="00826830" w:rsidRDefault="00561B22" w:rsidP="00F1223B">
            <w:pPr>
              <w:ind w:right="-109"/>
              <w:jc w:val="center"/>
              <w:rPr>
                <w:rFonts w:ascii="Arial" w:hAnsi="Arial" w:cs="Arial"/>
                <w:b/>
                <w:sz w:val="22"/>
                <w:szCs w:val="22"/>
                <w:lang w:val="es-MX"/>
              </w:rPr>
            </w:pPr>
            <w:r w:rsidRPr="00826830">
              <w:rPr>
                <w:rFonts w:ascii="Arial" w:hAnsi="Arial" w:cs="Arial"/>
                <w:b/>
                <w:sz w:val="22"/>
                <w:szCs w:val="22"/>
                <w:lang w:val="es-MX"/>
              </w:rPr>
              <w:t>N°</w:t>
            </w:r>
          </w:p>
        </w:tc>
        <w:tc>
          <w:tcPr>
            <w:tcW w:w="9400" w:type="dxa"/>
          </w:tcPr>
          <w:p w14:paraId="0AEC8EFE" w14:textId="77777777" w:rsidR="00561B22" w:rsidRPr="00826830" w:rsidRDefault="00561B22" w:rsidP="00F1223B">
            <w:pPr>
              <w:jc w:val="center"/>
              <w:rPr>
                <w:rFonts w:ascii="Arial" w:hAnsi="Arial" w:cs="Arial"/>
                <w:b/>
                <w:sz w:val="22"/>
                <w:szCs w:val="22"/>
                <w:lang w:val="es-MX"/>
              </w:rPr>
            </w:pPr>
            <w:r w:rsidRPr="00826830">
              <w:rPr>
                <w:rFonts w:ascii="Arial" w:hAnsi="Arial" w:cs="Arial"/>
                <w:b/>
                <w:sz w:val="22"/>
                <w:szCs w:val="22"/>
                <w:lang w:val="es-MX"/>
              </w:rPr>
              <w:t>DEBILIDADES</w:t>
            </w:r>
          </w:p>
          <w:p w14:paraId="30364E96" w14:textId="77777777" w:rsidR="00561B22" w:rsidRPr="00826830" w:rsidRDefault="00561B22" w:rsidP="00F1223B">
            <w:pPr>
              <w:jc w:val="center"/>
              <w:rPr>
                <w:rFonts w:ascii="Arial" w:hAnsi="Arial" w:cs="Arial"/>
                <w:b/>
                <w:sz w:val="22"/>
                <w:szCs w:val="22"/>
                <w:lang w:val="es-MX"/>
              </w:rPr>
            </w:pPr>
          </w:p>
        </w:tc>
      </w:tr>
      <w:tr w:rsidR="00561B22" w:rsidRPr="00826830" w14:paraId="17327A78" w14:textId="77777777" w:rsidTr="00F1223B">
        <w:tc>
          <w:tcPr>
            <w:tcW w:w="562" w:type="dxa"/>
          </w:tcPr>
          <w:p w14:paraId="580822EA" w14:textId="77777777" w:rsidR="00561B22" w:rsidRPr="00826830" w:rsidRDefault="00561B22" w:rsidP="00F1223B">
            <w:pPr>
              <w:jc w:val="center"/>
              <w:rPr>
                <w:rFonts w:ascii="Arial" w:hAnsi="Arial" w:cs="Arial"/>
                <w:b/>
                <w:sz w:val="22"/>
                <w:szCs w:val="22"/>
                <w:lang w:val="es-MX"/>
              </w:rPr>
            </w:pPr>
            <w:r w:rsidRPr="00826830">
              <w:rPr>
                <w:rFonts w:ascii="Arial" w:hAnsi="Arial" w:cs="Arial"/>
                <w:b/>
                <w:sz w:val="22"/>
                <w:szCs w:val="22"/>
                <w:lang w:val="es-MX"/>
              </w:rPr>
              <w:t>1</w:t>
            </w:r>
          </w:p>
        </w:tc>
        <w:tc>
          <w:tcPr>
            <w:tcW w:w="9400" w:type="dxa"/>
          </w:tcPr>
          <w:p w14:paraId="4B304E23" w14:textId="77777777" w:rsidR="00561B22" w:rsidRPr="00826830" w:rsidRDefault="00561B22" w:rsidP="00F1223B">
            <w:pPr>
              <w:jc w:val="both"/>
              <w:rPr>
                <w:rFonts w:ascii="Arial" w:hAnsi="Arial" w:cs="Arial"/>
                <w:sz w:val="22"/>
                <w:szCs w:val="22"/>
                <w:lang w:val="es-MX"/>
              </w:rPr>
            </w:pPr>
            <w:r w:rsidRPr="00826830">
              <w:rPr>
                <w:rFonts w:ascii="Arial" w:hAnsi="Arial" w:cs="Arial"/>
                <w:sz w:val="22"/>
                <w:szCs w:val="22"/>
                <w:lang w:val="es-MX"/>
              </w:rPr>
              <w:t xml:space="preserve">El FNE - cuenta con software contable  para manejo de activos fijo, en desarrollo ya que un Excel no es un aplicativo contable, y cualquier persona puede modificar la información; y es conveniente que  desde el mismo comienzo de operaciones el FNA como ente económico es el responsable de llevar los registros contables establecidos en el manual de contabilidad del MSPS, que establecen los procedimientos para lograr un adecuado control de información relacionada con los mismos (Descripción, ubicación, monto, vida útil- depreciación acumulada- bajas, reclasificaciones, etc.)  </w:t>
            </w:r>
          </w:p>
        </w:tc>
      </w:tr>
    </w:tbl>
    <w:p w14:paraId="06911AB3" w14:textId="77777777" w:rsidR="00561B22" w:rsidRPr="00826830" w:rsidRDefault="00561B22" w:rsidP="00561B22">
      <w:pPr>
        <w:jc w:val="both"/>
        <w:rPr>
          <w:rFonts w:ascii="Arial" w:hAnsi="Arial" w:cs="Arial"/>
          <w:b/>
          <w:lang w:val="es-MX"/>
        </w:rPr>
      </w:pPr>
    </w:p>
    <w:p w14:paraId="07B9F4FC" w14:textId="77777777" w:rsidR="00561B22" w:rsidRPr="00826830" w:rsidRDefault="00561B22" w:rsidP="00561B22">
      <w:pPr>
        <w:jc w:val="both"/>
        <w:rPr>
          <w:rFonts w:ascii="Arial" w:hAnsi="Arial" w:cs="Arial"/>
          <w:b/>
          <w:lang w:val="es-MX"/>
        </w:rPr>
      </w:pPr>
      <w:r w:rsidRPr="00826830">
        <w:rPr>
          <w:rFonts w:ascii="Arial" w:hAnsi="Arial" w:cs="Arial"/>
          <w:b/>
          <w:lang w:val="es-MX"/>
        </w:rPr>
        <w:t>Del citado informe retomamos las siguientes recomendaciones:</w:t>
      </w:r>
    </w:p>
    <w:p w14:paraId="03F8249E" w14:textId="77777777" w:rsidR="00561B22" w:rsidRPr="0082683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826830" w14:paraId="74ED77D3" w14:textId="77777777" w:rsidTr="00F1223B">
        <w:tc>
          <w:tcPr>
            <w:tcW w:w="562" w:type="dxa"/>
          </w:tcPr>
          <w:p w14:paraId="61A1764C" w14:textId="77777777" w:rsidR="00561B22" w:rsidRPr="00826830" w:rsidRDefault="00561B22" w:rsidP="00F1223B">
            <w:pPr>
              <w:ind w:right="-109"/>
              <w:jc w:val="center"/>
              <w:rPr>
                <w:rFonts w:ascii="Arial" w:hAnsi="Arial" w:cs="Arial"/>
                <w:b/>
                <w:sz w:val="22"/>
                <w:szCs w:val="22"/>
                <w:lang w:val="es-MX"/>
              </w:rPr>
            </w:pPr>
            <w:r w:rsidRPr="00826830">
              <w:rPr>
                <w:rFonts w:ascii="Arial" w:hAnsi="Arial" w:cs="Arial"/>
                <w:b/>
                <w:sz w:val="22"/>
                <w:szCs w:val="22"/>
                <w:lang w:val="es-MX"/>
              </w:rPr>
              <w:t>N°</w:t>
            </w:r>
          </w:p>
        </w:tc>
        <w:tc>
          <w:tcPr>
            <w:tcW w:w="9400" w:type="dxa"/>
          </w:tcPr>
          <w:p w14:paraId="0A442498" w14:textId="77777777" w:rsidR="00561B22" w:rsidRPr="00826830" w:rsidRDefault="00561B22" w:rsidP="00F1223B">
            <w:pPr>
              <w:jc w:val="center"/>
              <w:rPr>
                <w:rFonts w:ascii="Arial" w:hAnsi="Arial" w:cs="Arial"/>
                <w:b/>
                <w:sz w:val="22"/>
                <w:szCs w:val="22"/>
                <w:lang w:val="es-MX"/>
              </w:rPr>
            </w:pPr>
            <w:r w:rsidRPr="00826830">
              <w:rPr>
                <w:rFonts w:ascii="Arial" w:hAnsi="Arial" w:cs="Arial"/>
                <w:b/>
                <w:sz w:val="22"/>
                <w:szCs w:val="22"/>
                <w:lang w:val="es-MX"/>
              </w:rPr>
              <w:t>RECOMENDACIONES</w:t>
            </w:r>
          </w:p>
          <w:p w14:paraId="733C8CAB" w14:textId="77777777" w:rsidR="00561B22" w:rsidRPr="00826830" w:rsidRDefault="00561B22" w:rsidP="00F1223B">
            <w:pPr>
              <w:jc w:val="center"/>
              <w:rPr>
                <w:rFonts w:ascii="Arial" w:hAnsi="Arial" w:cs="Arial"/>
                <w:b/>
                <w:sz w:val="22"/>
                <w:szCs w:val="22"/>
                <w:lang w:val="es-MX"/>
              </w:rPr>
            </w:pPr>
          </w:p>
        </w:tc>
      </w:tr>
      <w:tr w:rsidR="00561B22" w:rsidRPr="00826830" w14:paraId="2CC0FED1" w14:textId="77777777" w:rsidTr="00F1223B">
        <w:tc>
          <w:tcPr>
            <w:tcW w:w="562" w:type="dxa"/>
          </w:tcPr>
          <w:p w14:paraId="551AD5A8" w14:textId="77777777" w:rsidR="00561B22" w:rsidRPr="00826830" w:rsidRDefault="00561B22" w:rsidP="00F1223B">
            <w:pPr>
              <w:jc w:val="center"/>
              <w:rPr>
                <w:rFonts w:ascii="Arial" w:hAnsi="Arial" w:cs="Arial"/>
                <w:b/>
                <w:sz w:val="22"/>
                <w:szCs w:val="22"/>
                <w:lang w:val="es-MX"/>
              </w:rPr>
            </w:pPr>
            <w:r w:rsidRPr="00826830">
              <w:rPr>
                <w:rFonts w:ascii="Arial" w:hAnsi="Arial" w:cs="Arial"/>
                <w:b/>
                <w:sz w:val="22"/>
                <w:szCs w:val="22"/>
                <w:lang w:val="es-MX"/>
              </w:rPr>
              <w:t>1</w:t>
            </w:r>
          </w:p>
        </w:tc>
        <w:tc>
          <w:tcPr>
            <w:tcW w:w="9400" w:type="dxa"/>
          </w:tcPr>
          <w:p w14:paraId="01837F8D" w14:textId="77777777" w:rsidR="00561B22" w:rsidRPr="00826830" w:rsidRDefault="00561B22" w:rsidP="00F1223B">
            <w:pPr>
              <w:jc w:val="both"/>
              <w:rPr>
                <w:rFonts w:ascii="Arial" w:hAnsi="Arial" w:cs="Arial"/>
                <w:sz w:val="22"/>
                <w:szCs w:val="22"/>
                <w:lang w:val="es-MX"/>
              </w:rPr>
            </w:pPr>
            <w:r w:rsidRPr="00826830">
              <w:rPr>
                <w:rFonts w:ascii="Arial" w:hAnsi="Arial" w:cs="Arial"/>
                <w:sz w:val="22"/>
                <w:szCs w:val="22"/>
                <w:lang w:val="es-MX"/>
              </w:rPr>
              <w:t xml:space="preserve">Se recomienda realizar mesas de trabajo con la Subdirección Financiera para incluir indicadores financieros que brinden mayor información a la alta Dirección y a los grupos de interés, dentro de los que se encuentra la ciudadanía, como rotación de inventario, liquidez, niveles de endeudamiento, capacidad de pago, incrementos de gastos, indicadores de eficiencia, entre otros, de tal forma que se diseñen indicadores que se ajusten en su totalidad a las necesidades del proceso contable y que le permitan a la Entidad monitorear los inventarios de medicamentos y la gestión de la entidad.  </w:t>
            </w:r>
          </w:p>
        </w:tc>
      </w:tr>
    </w:tbl>
    <w:p w14:paraId="02FC736B" w14:textId="77777777" w:rsidR="00561B22" w:rsidRPr="00826830" w:rsidRDefault="00561B22" w:rsidP="00561B22">
      <w:pPr>
        <w:pStyle w:val="Prrafodelista"/>
        <w:spacing w:before="92"/>
        <w:ind w:left="-142"/>
        <w:rPr>
          <w:rFonts w:ascii="Arial" w:hAnsi="Arial" w:cs="Arial"/>
          <w:b/>
        </w:rPr>
      </w:pPr>
    </w:p>
    <w:p w14:paraId="29E48688" w14:textId="77777777" w:rsidR="00561B22" w:rsidRPr="00CD1B14" w:rsidRDefault="00561B22" w:rsidP="00561B22">
      <w:pPr>
        <w:jc w:val="both"/>
        <w:rPr>
          <w:rFonts w:ascii="Arial" w:hAnsi="Arial" w:cs="Arial"/>
          <w:b/>
          <w:sz w:val="28"/>
          <w:szCs w:val="28"/>
          <w:lang w:val="es-MX"/>
        </w:rPr>
      </w:pPr>
      <w:r w:rsidRPr="00CD1B14">
        <w:rPr>
          <w:rFonts w:ascii="Arial" w:hAnsi="Arial" w:cs="Arial"/>
          <w:b/>
          <w:sz w:val="28"/>
          <w:szCs w:val="28"/>
          <w:lang w:val="es-MX"/>
        </w:rPr>
        <w:t>341.-</w:t>
      </w:r>
      <w:r w:rsidRPr="00CD1B14">
        <w:rPr>
          <w:rFonts w:ascii="Arial" w:eastAsiaTheme="minorHAnsi" w:hAnsi="Arial" w:cs="Arial"/>
          <w:b/>
          <w:sz w:val="28"/>
          <w:szCs w:val="28"/>
          <w:lang w:val="es-MX"/>
        </w:rPr>
        <w:t xml:space="preserve"> CORPORACIÓN </w:t>
      </w:r>
      <w:r w:rsidRPr="00CD1B14">
        <w:rPr>
          <w:rFonts w:ascii="Arial" w:hAnsi="Arial" w:cs="Arial"/>
          <w:b/>
          <w:sz w:val="28"/>
          <w:szCs w:val="28"/>
          <w:lang w:val="es-MX"/>
        </w:rPr>
        <w:t xml:space="preserve">ROTORR – MOTOR DE INNOVACIÓN. </w:t>
      </w:r>
    </w:p>
    <w:p w14:paraId="3F09E983" w14:textId="77777777" w:rsidR="00561B22" w:rsidRDefault="00561B22" w:rsidP="00561B22">
      <w:pPr>
        <w:pStyle w:val="Ttulo1"/>
        <w:ind w:right="-50"/>
        <w:jc w:val="left"/>
        <w:rPr>
          <w:sz w:val="22"/>
          <w:szCs w:val="22"/>
        </w:rPr>
      </w:pPr>
    </w:p>
    <w:p w14:paraId="7A500E1B" w14:textId="77777777" w:rsidR="00561B22" w:rsidRPr="006D6764" w:rsidRDefault="00561B22" w:rsidP="00561B22">
      <w:pPr>
        <w:pStyle w:val="Textoindependiente"/>
        <w:jc w:val="center"/>
        <w:rPr>
          <w:rFonts w:ascii="Arial" w:hAnsi="Arial" w:cs="Arial"/>
          <w:b/>
          <w:bCs/>
        </w:rPr>
      </w:pPr>
      <w:r w:rsidRPr="006D6764">
        <w:rPr>
          <w:rFonts w:ascii="Arial" w:hAnsi="Arial" w:cs="Arial"/>
          <w:b/>
          <w:bCs/>
        </w:rPr>
        <w:t>INFORME DE LA AUTOCALIFICACIÓN DEL SISTEMA DE CONTROL INTERNO CONTABLE:</w:t>
      </w:r>
    </w:p>
    <w:p w14:paraId="6C3A1D4A" w14:textId="77777777" w:rsidR="00561B22" w:rsidRPr="006D676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D6764" w14:paraId="3A9660C1" w14:textId="77777777" w:rsidTr="00F1223B">
        <w:tc>
          <w:tcPr>
            <w:tcW w:w="4981" w:type="dxa"/>
          </w:tcPr>
          <w:p w14:paraId="0C8286EA"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AUTOCALIFICACIÓN</w:t>
            </w:r>
          </w:p>
        </w:tc>
        <w:tc>
          <w:tcPr>
            <w:tcW w:w="4981" w:type="dxa"/>
          </w:tcPr>
          <w:p w14:paraId="067E6932" w14:textId="77777777" w:rsidR="00561B22" w:rsidRPr="006D6764" w:rsidRDefault="00561B22" w:rsidP="00F1223B">
            <w:pPr>
              <w:jc w:val="center"/>
              <w:rPr>
                <w:rFonts w:ascii="Arial" w:hAnsi="Arial" w:cs="Arial"/>
                <w:b/>
                <w:sz w:val="22"/>
                <w:szCs w:val="22"/>
                <w:u w:val="single"/>
                <w:lang w:val="es-MX"/>
              </w:rPr>
            </w:pPr>
            <w:r w:rsidRPr="006D6764">
              <w:rPr>
                <w:rFonts w:ascii="Arial" w:hAnsi="Arial" w:cs="Arial"/>
                <w:b/>
                <w:sz w:val="22"/>
                <w:szCs w:val="22"/>
                <w:u w:val="single"/>
                <w:lang w:val="es-MX"/>
              </w:rPr>
              <w:t>4.90</w:t>
            </w:r>
          </w:p>
        </w:tc>
      </w:tr>
    </w:tbl>
    <w:p w14:paraId="360AB1CB" w14:textId="77777777" w:rsidR="00561B22" w:rsidRPr="006D6764" w:rsidRDefault="00561B22" w:rsidP="00561B22">
      <w:pPr>
        <w:pStyle w:val="Textoindependiente"/>
        <w:jc w:val="both"/>
        <w:rPr>
          <w:rFonts w:ascii="Arial" w:hAnsi="Arial" w:cs="Arial"/>
          <w:b/>
          <w:bCs/>
        </w:rPr>
      </w:pPr>
    </w:p>
    <w:p w14:paraId="53537EE1" w14:textId="77777777" w:rsidR="00561B22" w:rsidRPr="006D6764" w:rsidRDefault="00561B22" w:rsidP="00561B22">
      <w:pPr>
        <w:pStyle w:val="Textoindependiente"/>
        <w:jc w:val="both"/>
        <w:rPr>
          <w:rFonts w:ascii="Arial" w:hAnsi="Arial" w:cs="Arial"/>
          <w:b/>
          <w:bCs/>
        </w:rPr>
      </w:pPr>
      <w:r w:rsidRPr="006D6764">
        <w:rPr>
          <w:rFonts w:ascii="Arial" w:hAnsi="Arial" w:cs="Arial"/>
          <w:b/>
          <w:bCs/>
        </w:rPr>
        <w:t>Del informe enviado retomamos lo siguiente:</w:t>
      </w:r>
    </w:p>
    <w:p w14:paraId="4537582D" w14:textId="77777777" w:rsidR="00561B22" w:rsidRPr="006D676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D6764" w14:paraId="3848F559" w14:textId="77777777" w:rsidTr="00F1223B">
        <w:tc>
          <w:tcPr>
            <w:tcW w:w="562" w:type="dxa"/>
          </w:tcPr>
          <w:p w14:paraId="773E9966"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N°</w:t>
            </w:r>
          </w:p>
        </w:tc>
        <w:tc>
          <w:tcPr>
            <w:tcW w:w="9400" w:type="dxa"/>
          </w:tcPr>
          <w:p w14:paraId="378FE334"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DEBILIDADES</w:t>
            </w:r>
          </w:p>
          <w:p w14:paraId="260C1331" w14:textId="77777777" w:rsidR="00561B22" w:rsidRPr="006D6764" w:rsidRDefault="00561B22" w:rsidP="00F1223B">
            <w:pPr>
              <w:jc w:val="center"/>
              <w:rPr>
                <w:rFonts w:ascii="Arial" w:hAnsi="Arial" w:cs="Arial"/>
                <w:b/>
                <w:sz w:val="22"/>
                <w:szCs w:val="22"/>
                <w:lang w:val="es-MX"/>
              </w:rPr>
            </w:pPr>
          </w:p>
        </w:tc>
      </w:tr>
      <w:tr w:rsidR="00561B22" w:rsidRPr="006D6764" w14:paraId="789F474C" w14:textId="77777777" w:rsidTr="00F1223B">
        <w:tc>
          <w:tcPr>
            <w:tcW w:w="562" w:type="dxa"/>
          </w:tcPr>
          <w:p w14:paraId="61F93A29"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1</w:t>
            </w:r>
          </w:p>
        </w:tc>
        <w:tc>
          <w:tcPr>
            <w:tcW w:w="9400" w:type="dxa"/>
          </w:tcPr>
          <w:p w14:paraId="31392723" w14:textId="77777777" w:rsidR="00561B22" w:rsidRPr="006D6764" w:rsidRDefault="00561B22" w:rsidP="00F1223B">
            <w:pPr>
              <w:jc w:val="both"/>
              <w:rPr>
                <w:rFonts w:ascii="Arial" w:hAnsi="Arial" w:cs="Arial"/>
                <w:bCs/>
                <w:sz w:val="22"/>
                <w:szCs w:val="22"/>
                <w:lang w:val="es-MX"/>
              </w:rPr>
            </w:pPr>
            <w:r w:rsidRPr="006D6764">
              <w:rPr>
                <w:rFonts w:ascii="Arial" w:hAnsi="Arial" w:cs="Arial"/>
                <w:bCs/>
                <w:sz w:val="22"/>
                <w:szCs w:val="22"/>
                <w:lang w:val="es-MX"/>
              </w:rPr>
              <w:t xml:space="preserve">Identificar áreas de mejora y garantizar la actualización conforme a nuevas normativas contables. </w:t>
            </w:r>
          </w:p>
        </w:tc>
      </w:tr>
      <w:tr w:rsidR="00561B22" w:rsidRPr="006D6764" w14:paraId="19022784" w14:textId="77777777" w:rsidTr="00F1223B">
        <w:tc>
          <w:tcPr>
            <w:tcW w:w="562" w:type="dxa"/>
          </w:tcPr>
          <w:p w14:paraId="117F29CB"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2</w:t>
            </w:r>
          </w:p>
        </w:tc>
        <w:tc>
          <w:tcPr>
            <w:tcW w:w="9400" w:type="dxa"/>
          </w:tcPr>
          <w:p w14:paraId="56731BE6" w14:textId="77777777" w:rsidR="00561B22" w:rsidRPr="006D6764" w:rsidRDefault="00561B22" w:rsidP="00F1223B">
            <w:pPr>
              <w:jc w:val="both"/>
              <w:rPr>
                <w:rFonts w:ascii="Arial" w:hAnsi="Arial" w:cs="Arial"/>
                <w:bCs/>
                <w:sz w:val="22"/>
                <w:szCs w:val="22"/>
                <w:lang w:val="es-MX"/>
              </w:rPr>
            </w:pPr>
            <w:r w:rsidRPr="006D6764">
              <w:rPr>
                <w:rFonts w:ascii="Arial" w:hAnsi="Arial" w:cs="Arial"/>
                <w:bCs/>
                <w:sz w:val="22"/>
                <w:szCs w:val="22"/>
                <w:lang w:val="es-MX"/>
              </w:rPr>
              <w:t>Puede existir una limitada flexibilidad en algunos procedimientos contables que dificulta adaptarse rápidamente a cambios en las normativas o en el entorno económico.</w:t>
            </w:r>
          </w:p>
        </w:tc>
      </w:tr>
    </w:tbl>
    <w:p w14:paraId="02B2A815" w14:textId="77777777" w:rsidR="00561B22" w:rsidRPr="006D6764" w:rsidRDefault="00561B22" w:rsidP="00561B22">
      <w:pPr>
        <w:pStyle w:val="Textoindependiente"/>
        <w:jc w:val="both"/>
        <w:rPr>
          <w:rFonts w:ascii="Arial" w:hAnsi="Arial" w:cs="Arial"/>
          <w:b/>
          <w:bCs/>
        </w:rPr>
      </w:pPr>
    </w:p>
    <w:p w14:paraId="1AE6D8CA" w14:textId="77777777" w:rsidR="00561B22" w:rsidRPr="006D6764" w:rsidRDefault="00561B22" w:rsidP="00561B22">
      <w:pPr>
        <w:jc w:val="both"/>
        <w:rPr>
          <w:rFonts w:ascii="Arial" w:hAnsi="Arial" w:cs="Arial"/>
          <w:b/>
          <w:lang w:val="es-MX"/>
        </w:rPr>
      </w:pPr>
      <w:r w:rsidRPr="006D6764">
        <w:rPr>
          <w:rFonts w:ascii="Arial" w:hAnsi="Arial" w:cs="Arial"/>
          <w:b/>
          <w:lang w:val="es-MX"/>
        </w:rPr>
        <w:t>Del citado informe retomamos las siguientes recomendaciones:</w:t>
      </w:r>
    </w:p>
    <w:p w14:paraId="251788D7" w14:textId="77777777" w:rsidR="00561B22" w:rsidRPr="006D6764"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D6764" w14:paraId="3DF15AA3" w14:textId="77777777" w:rsidTr="00F1223B">
        <w:tc>
          <w:tcPr>
            <w:tcW w:w="562" w:type="dxa"/>
          </w:tcPr>
          <w:p w14:paraId="12E96737"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N°</w:t>
            </w:r>
          </w:p>
        </w:tc>
        <w:tc>
          <w:tcPr>
            <w:tcW w:w="9400" w:type="dxa"/>
          </w:tcPr>
          <w:p w14:paraId="1F296AEB"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RECOMENDACIONES</w:t>
            </w:r>
          </w:p>
          <w:p w14:paraId="12F78D38" w14:textId="77777777" w:rsidR="00561B22" w:rsidRPr="006D6764" w:rsidRDefault="00561B22" w:rsidP="00F1223B">
            <w:pPr>
              <w:jc w:val="center"/>
              <w:rPr>
                <w:rFonts w:ascii="Arial" w:hAnsi="Arial" w:cs="Arial"/>
                <w:b/>
                <w:sz w:val="22"/>
                <w:szCs w:val="22"/>
                <w:lang w:val="es-MX"/>
              </w:rPr>
            </w:pPr>
          </w:p>
        </w:tc>
      </w:tr>
      <w:tr w:rsidR="00561B22" w:rsidRPr="006D6764" w14:paraId="382AEA44" w14:textId="77777777" w:rsidTr="00F1223B">
        <w:tc>
          <w:tcPr>
            <w:tcW w:w="562" w:type="dxa"/>
          </w:tcPr>
          <w:p w14:paraId="6F2EE904"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1</w:t>
            </w:r>
          </w:p>
        </w:tc>
        <w:tc>
          <w:tcPr>
            <w:tcW w:w="9400" w:type="dxa"/>
          </w:tcPr>
          <w:p w14:paraId="75AE3B6E" w14:textId="77777777" w:rsidR="00561B22" w:rsidRPr="006D6764" w:rsidRDefault="00561B22" w:rsidP="00F1223B">
            <w:pPr>
              <w:jc w:val="both"/>
              <w:rPr>
                <w:rFonts w:ascii="Arial" w:hAnsi="Arial" w:cs="Arial"/>
                <w:bCs/>
                <w:sz w:val="22"/>
                <w:szCs w:val="22"/>
                <w:lang w:val="es-MX"/>
              </w:rPr>
            </w:pPr>
            <w:r w:rsidRPr="006D6764">
              <w:rPr>
                <w:rFonts w:ascii="Arial" w:hAnsi="Arial" w:cs="Arial"/>
                <w:bCs/>
                <w:sz w:val="22"/>
                <w:szCs w:val="22"/>
                <w:lang w:val="es-MX"/>
              </w:rPr>
              <w:t xml:space="preserve">Capacitar continuamente al personal para mantenerlo actualizado sobre normativas y herramientas contables, </w:t>
            </w:r>
          </w:p>
        </w:tc>
      </w:tr>
      <w:tr w:rsidR="00561B22" w:rsidRPr="006D6764" w14:paraId="090D4AE2" w14:textId="77777777" w:rsidTr="00F1223B">
        <w:tc>
          <w:tcPr>
            <w:tcW w:w="562" w:type="dxa"/>
          </w:tcPr>
          <w:p w14:paraId="6169FD8E"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2</w:t>
            </w:r>
          </w:p>
        </w:tc>
        <w:tc>
          <w:tcPr>
            <w:tcW w:w="9400" w:type="dxa"/>
          </w:tcPr>
          <w:p w14:paraId="3A311C09" w14:textId="77777777" w:rsidR="00561B22" w:rsidRPr="006D6764" w:rsidRDefault="00561B22" w:rsidP="00F1223B">
            <w:pPr>
              <w:jc w:val="both"/>
              <w:rPr>
                <w:rFonts w:ascii="Arial" w:hAnsi="Arial" w:cs="Arial"/>
                <w:bCs/>
                <w:sz w:val="22"/>
                <w:szCs w:val="22"/>
                <w:lang w:val="es-MX"/>
              </w:rPr>
            </w:pPr>
            <w:r w:rsidRPr="006D6764">
              <w:rPr>
                <w:rFonts w:ascii="Arial" w:hAnsi="Arial" w:cs="Arial"/>
                <w:bCs/>
                <w:sz w:val="22"/>
                <w:szCs w:val="22"/>
                <w:lang w:val="es-MX"/>
              </w:rPr>
              <w:t>Revisar y actualizar periódicamente los controles internos para adaptarlos a cambios regulatorios y nuevos riesgos</w:t>
            </w:r>
          </w:p>
        </w:tc>
      </w:tr>
      <w:tr w:rsidR="00561B22" w:rsidRPr="006D6764" w14:paraId="2F556067" w14:textId="77777777" w:rsidTr="00F1223B">
        <w:tc>
          <w:tcPr>
            <w:tcW w:w="562" w:type="dxa"/>
          </w:tcPr>
          <w:p w14:paraId="5DFE69C3"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3</w:t>
            </w:r>
          </w:p>
        </w:tc>
        <w:tc>
          <w:tcPr>
            <w:tcW w:w="9400" w:type="dxa"/>
          </w:tcPr>
          <w:p w14:paraId="042C3762" w14:textId="77777777" w:rsidR="00561B22" w:rsidRPr="006D6764" w:rsidRDefault="00561B22" w:rsidP="00F1223B">
            <w:pPr>
              <w:jc w:val="both"/>
              <w:rPr>
                <w:rFonts w:ascii="Arial" w:hAnsi="Arial" w:cs="Arial"/>
                <w:bCs/>
                <w:sz w:val="22"/>
                <w:szCs w:val="22"/>
                <w:lang w:val="es-MX"/>
              </w:rPr>
            </w:pPr>
            <w:r w:rsidRPr="006D6764">
              <w:rPr>
                <w:rFonts w:ascii="Arial" w:hAnsi="Arial" w:cs="Arial"/>
                <w:bCs/>
                <w:sz w:val="22"/>
                <w:szCs w:val="22"/>
                <w:lang w:val="es-MX"/>
              </w:rPr>
              <w:t>Evaluar constantemente los riesgos contables y aplicar medidas correctivas para mitigar impactos negativos</w:t>
            </w:r>
          </w:p>
        </w:tc>
      </w:tr>
      <w:tr w:rsidR="00561B22" w:rsidRPr="006D6764" w14:paraId="55116847" w14:textId="77777777" w:rsidTr="00F1223B">
        <w:tc>
          <w:tcPr>
            <w:tcW w:w="562" w:type="dxa"/>
          </w:tcPr>
          <w:p w14:paraId="796012ED" w14:textId="77777777" w:rsidR="00561B22" w:rsidRPr="006D6764" w:rsidRDefault="00561B22" w:rsidP="00F1223B">
            <w:pPr>
              <w:jc w:val="center"/>
              <w:rPr>
                <w:rFonts w:ascii="Arial" w:hAnsi="Arial" w:cs="Arial"/>
                <w:b/>
                <w:sz w:val="22"/>
                <w:szCs w:val="22"/>
                <w:lang w:val="es-MX"/>
              </w:rPr>
            </w:pPr>
            <w:r w:rsidRPr="006D6764">
              <w:rPr>
                <w:rFonts w:ascii="Arial" w:hAnsi="Arial" w:cs="Arial"/>
                <w:b/>
                <w:sz w:val="22"/>
                <w:szCs w:val="22"/>
                <w:lang w:val="es-MX"/>
              </w:rPr>
              <w:t>4</w:t>
            </w:r>
          </w:p>
        </w:tc>
        <w:tc>
          <w:tcPr>
            <w:tcW w:w="9400" w:type="dxa"/>
          </w:tcPr>
          <w:p w14:paraId="75C3012F" w14:textId="77777777" w:rsidR="00561B22" w:rsidRPr="006D6764" w:rsidRDefault="00561B22" w:rsidP="00F1223B">
            <w:pPr>
              <w:jc w:val="both"/>
              <w:rPr>
                <w:rFonts w:ascii="Arial" w:hAnsi="Arial" w:cs="Arial"/>
                <w:bCs/>
                <w:sz w:val="22"/>
                <w:szCs w:val="22"/>
                <w:lang w:val="es-MX"/>
              </w:rPr>
            </w:pPr>
            <w:r w:rsidRPr="006D6764">
              <w:rPr>
                <w:rFonts w:ascii="Arial" w:hAnsi="Arial" w:cs="Arial"/>
                <w:bCs/>
                <w:sz w:val="22"/>
                <w:szCs w:val="22"/>
                <w:lang w:val="es-MX"/>
              </w:rPr>
              <w:t>Fortalecer las auditorías internas y externas para asegurar la integridad de la información financiera</w:t>
            </w:r>
          </w:p>
        </w:tc>
      </w:tr>
    </w:tbl>
    <w:p w14:paraId="1B49DFD4" w14:textId="77777777" w:rsidR="00217295" w:rsidRDefault="00217295" w:rsidP="00561B22">
      <w:pPr>
        <w:jc w:val="both"/>
        <w:rPr>
          <w:rFonts w:ascii="Arial" w:hAnsi="Arial" w:cs="Arial"/>
          <w:b/>
          <w:bCs/>
          <w:sz w:val="24"/>
          <w:szCs w:val="24"/>
          <w:lang w:val="es-CO"/>
        </w:rPr>
      </w:pPr>
    </w:p>
    <w:p w14:paraId="2A77B77E" w14:textId="6B6EF8C0" w:rsidR="00561B22" w:rsidRPr="006D6764" w:rsidRDefault="00561B22" w:rsidP="00561B22">
      <w:pPr>
        <w:jc w:val="both"/>
        <w:rPr>
          <w:rFonts w:ascii="Arial" w:hAnsi="Arial" w:cs="Arial"/>
          <w:b/>
          <w:bCs/>
          <w:sz w:val="24"/>
          <w:szCs w:val="24"/>
          <w:lang w:val="es-CO"/>
        </w:rPr>
      </w:pPr>
      <w:r w:rsidRPr="006D6764">
        <w:rPr>
          <w:rFonts w:ascii="Arial" w:hAnsi="Arial" w:cs="Arial"/>
          <w:b/>
          <w:bCs/>
          <w:sz w:val="24"/>
          <w:szCs w:val="24"/>
          <w:lang w:val="es-CO"/>
        </w:rPr>
        <w:lastRenderedPageBreak/>
        <w:t xml:space="preserve">NOTA: LA ENTIDAD ENVIA LA MATRIZ DE AUTOEVALUACIÓN DEL SISTEMA DE CONTROL INTERNO CONTABLE CON </w:t>
      </w:r>
      <w:r w:rsidRPr="006D6764">
        <w:rPr>
          <w:rFonts w:ascii="Arial" w:hAnsi="Arial" w:cs="Arial"/>
          <w:b/>
          <w:bCs/>
          <w:sz w:val="24"/>
          <w:szCs w:val="24"/>
          <w:u w:val="single"/>
          <w:lang w:val="es-CO"/>
        </w:rPr>
        <w:t>ACTIVIDADES DE CONTROL REALIZADAS EN FORMA PARCIAL</w:t>
      </w:r>
      <w:r w:rsidRPr="006D6764">
        <w:rPr>
          <w:rFonts w:ascii="Arial" w:hAnsi="Arial" w:cs="Arial"/>
          <w:b/>
          <w:bCs/>
          <w:sz w:val="24"/>
          <w:szCs w:val="24"/>
          <w:lang w:val="es-CO"/>
        </w:rPr>
        <w:t>.</w:t>
      </w:r>
    </w:p>
    <w:p w14:paraId="4DC726E1" w14:textId="77777777" w:rsidR="00561B22" w:rsidRPr="006D6764" w:rsidRDefault="00561B22" w:rsidP="00561B22">
      <w:pPr>
        <w:jc w:val="both"/>
        <w:rPr>
          <w:rFonts w:ascii="Arial" w:hAnsi="Arial" w:cs="Arial"/>
          <w:b/>
          <w:bCs/>
          <w:sz w:val="24"/>
          <w:szCs w:val="24"/>
          <w:lang w:val="es-CO"/>
        </w:rPr>
      </w:pPr>
    </w:p>
    <w:p w14:paraId="6C2B51DD" w14:textId="2D7963C0" w:rsidR="00561B22" w:rsidRDefault="00561B22" w:rsidP="00561B22">
      <w:pPr>
        <w:jc w:val="both"/>
        <w:rPr>
          <w:rFonts w:ascii="Arial" w:hAnsi="Arial" w:cs="Arial"/>
          <w:b/>
          <w:sz w:val="28"/>
          <w:szCs w:val="28"/>
          <w:lang w:val="es-MX"/>
        </w:rPr>
      </w:pPr>
      <w:r w:rsidRPr="00997514">
        <w:rPr>
          <w:rFonts w:ascii="Arial" w:hAnsi="Arial" w:cs="Arial"/>
          <w:b/>
          <w:sz w:val="28"/>
          <w:szCs w:val="28"/>
          <w:lang w:val="es-MX"/>
        </w:rPr>
        <w:t>342.- MINISTERIO DEL TRABAJO.</w:t>
      </w:r>
    </w:p>
    <w:p w14:paraId="24F49AF0" w14:textId="77777777" w:rsidR="00E41332" w:rsidRPr="00997514" w:rsidRDefault="00E41332" w:rsidP="00561B22">
      <w:pPr>
        <w:jc w:val="both"/>
        <w:rPr>
          <w:rFonts w:ascii="Arial" w:hAnsi="Arial" w:cs="Arial"/>
          <w:b/>
          <w:sz w:val="28"/>
          <w:szCs w:val="28"/>
          <w:lang w:val="es-MX"/>
        </w:rPr>
      </w:pPr>
    </w:p>
    <w:p w14:paraId="54F07A1A" w14:textId="77777777" w:rsidR="00561B22" w:rsidRPr="006D199A" w:rsidRDefault="00561B22" w:rsidP="00561B22">
      <w:pPr>
        <w:pStyle w:val="Textoindependiente"/>
        <w:ind w:right="-50"/>
        <w:jc w:val="center"/>
        <w:rPr>
          <w:rFonts w:ascii="Arial" w:hAnsi="Arial" w:cs="Arial"/>
          <w:b/>
          <w:bCs/>
        </w:rPr>
      </w:pPr>
      <w:r w:rsidRPr="006D199A">
        <w:rPr>
          <w:rFonts w:ascii="Arial" w:hAnsi="Arial" w:cs="Arial"/>
          <w:b/>
          <w:bCs/>
        </w:rPr>
        <w:t>INFORME DE LA AUTOCALIFICACIÓN DEL SISTEMA DE CONTROL INTERNO CONTABLE:</w:t>
      </w:r>
    </w:p>
    <w:p w14:paraId="28892A2A" w14:textId="77777777" w:rsidR="00561B22" w:rsidRPr="006D199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6D199A" w14:paraId="287E9D59" w14:textId="77777777" w:rsidTr="00F1223B">
        <w:tc>
          <w:tcPr>
            <w:tcW w:w="4981" w:type="dxa"/>
          </w:tcPr>
          <w:p w14:paraId="31234442"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AUTOCALIFICACIÓN</w:t>
            </w:r>
          </w:p>
        </w:tc>
        <w:tc>
          <w:tcPr>
            <w:tcW w:w="4981" w:type="dxa"/>
          </w:tcPr>
          <w:p w14:paraId="30FE57E4" w14:textId="77777777" w:rsidR="00561B22" w:rsidRPr="006D199A" w:rsidRDefault="00561B22" w:rsidP="00F1223B">
            <w:pPr>
              <w:jc w:val="center"/>
              <w:rPr>
                <w:rFonts w:ascii="Arial" w:hAnsi="Arial" w:cs="Arial"/>
                <w:b/>
                <w:sz w:val="22"/>
                <w:szCs w:val="22"/>
                <w:u w:val="single"/>
                <w:lang w:val="es-MX"/>
              </w:rPr>
            </w:pPr>
            <w:r w:rsidRPr="006D199A">
              <w:rPr>
                <w:rFonts w:ascii="Arial" w:hAnsi="Arial" w:cs="Arial"/>
                <w:b/>
                <w:sz w:val="22"/>
                <w:szCs w:val="22"/>
                <w:u w:val="single"/>
                <w:lang w:val="es-MX"/>
              </w:rPr>
              <w:t>4.95</w:t>
            </w:r>
          </w:p>
        </w:tc>
      </w:tr>
    </w:tbl>
    <w:p w14:paraId="1C6718CE" w14:textId="77777777" w:rsidR="00561B22" w:rsidRPr="006D199A" w:rsidRDefault="00561B22" w:rsidP="00561B22">
      <w:pPr>
        <w:pStyle w:val="Textoindependiente"/>
        <w:ind w:right="-50"/>
        <w:jc w:val="both"/>
        <w:rPr>
          <w:rFonts w:ascii="Arial" w:hAnsi="Arial" w:cs="Arial"/>
          <w:b/>
          <w:bCs/>
        </w:rPr>
      </w:pPr>
    </w:p>
    <w:p w14:paraId="3A2F5687" w14:textId="77777777" w:rsidR="00561B22" w:rsidRPr="006D199A" w:rsidRDefault="00561B22" w:rsidP="00561B22">
      <w:pPr>
        <w:pStyle w:val="Textoindependiente"/>
        <w:ind w:right="-50"/>
        <w:jc w:val="both"/>
        <w:rPr>
          <w:rFonts w:ascii="Arial" w:hAnsi="Arial" w:cs="Arial"/>
          <w:b/>
          <w:bCs/>
        </w:rPr>
      </w:pPr>
      <w:r w:rsidRPr="006D199A">
        <w:rPr>
          <w:rFonts w:ascii="Arial" w:hAnsi="Arial" w:cs="Arial"/>
          <w:b/>
          <w:bCs/>
        </w:rPr>
        <w:t>Del informe enviado retomamos lo siguiente:</w:t>
      </w:r>
    </w:p>
    <w:p w14:paraId="45173BA7" w14:textId="77777777" w:rsidR="00561B22" w:rsidRPr="006D199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D199A" w14:paraId="61331AD1" w14:textId="77777777" w:rsidTr="00F1223B">
        <w:tc>
          <w:tcPr>
            <w:tcW w:w="562" w:type="dxa"/>
          </w:tcPr>
          <w:p w14:paraId="275861DE" w14:textId="77777777" w:rsidR="00561B22" w:rsidRPr="006D199A" w:rsidRDefault="00561B22" w:rsidP="00F1223B">
            <w:pPr>
              <w:ind w:right="-109"/>
              <w:jc w:val="center"/>
              <w:rPr>
                <w:rFonts w:ascii="Arial" w:hAnsi="Arial" w:cs="Arial"/>
                <w:b/>
                <w:sz w:val="22"/>
                <w:szCs w:val="22"/>
                <w:lang w:val="es-MX"/>
              </w:rPr>
            </w:pPr>
            <w:r w:rsidRPr="006D199A">
              <w:rPr>
                <w:rFonts w:ascii="Arial" w:hAnsi="Arial" w:cs="Arial"/>
                <w:b/>
                <w:sz w:val="22"/>
                <w:szCs w:val="22"/>
                <w:lang w:val="es-MX"/>
              </w:rPr>
              <w:t>N°</w:t>
            </w:r>
          </w:p>
        </w:tc>
        <w:tc>
          <w:tcPr>
            <w:tcW w:w="9400" w:type="dxa"/>
          </w:tcPr>
          <w:p w14:paraId="04AF4038"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DEBILIDADES</w:t>
            </w:r>
          </w:p>
          <w:p w14:paraId="523F4B28" w14:textId="77777777" w:rsidR="00561B22" w:rsidRPr="006D199A" w:rsidRDefault="00561B22" w:rsidP="00F1223B">
            <w:pPr>
              <w:jc w:val="center"/>
              <w:rPr>
                <w:rFonts w:ascii="Arial" w:hAnsi="Arial" w:cs="Arial"/>
                <w:b/>
                <w:sz w:val="22"/>
                <w:szCs w:val="22"/>
                <w:lang w:val="es-MX"/>
              </w:rPr>
            </w:pPr>
          </w:p>
        </w:tc>
      </w:tr>
      <w:tr w:rsidR="00561B22" w:rsidRPr="006D199A" w14:paraId="757251C8" w14:textId="77777777" w:rsidTr="00F1223B">
        <w:tc>
          <w:tcPr>
            <w:tcW w:w="562" w:type="dxa"/>
          </w:tcPr>
          <w:p w14:paraId="0098A33D"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1</w:t>
            </w:r>
          </w:p>
        </w:tc>
        <w:tc>
          <w:tcPr>
            <w:tcW w:w="9400" w:type="dxa"/>
          </w:tcPr>
          <w:p w14:paraId="7ABB106E"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Ausencia de un aplicativo para la gestión y la contabilidad de FIVICOT - Fondo para el Fortalecimiento de la Inspección, Vigilancia y Control del Trabajo y la Seguridad Social.</w:t>
            </w:r>
          </w:p>
        </w:tc>
      </w:tr>
      <w:tr w:rsidR="00561B22" w:rsidRPr="006D199A" w14:paraId="79419AA8" w14:textId="77777777" w:rsidTr="00F1223B">
        <w:tc>
          <w:tcPr>
            <w:tcW w:w="562" w:type="dxa"/>
          </w:tcPr>
          <w:p w14:paraId="3DB85AC5"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2</w:t>
            </w:r>
          </w:p>
        </w:tc>
        <w:tc>
          <w:tcPr>
            <w:tcW w:w="9400" w:type="dxa"/>
          </w:tcPr>
          <w:p w14:paraId="647F0DCF"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Persisten debilidades relacionadas con la depuración de partidas conciliatorias del Fondo FIVICOT con los Grupos de Cobro Coactivo y de Tesorería y de los Fondos de riesgos Laborales y de Solidaridad Pensional con los registros del Grupo de Cobro Coactivo.</w:t>
            </w:r>
          </w:p>
        </w:tc>
      </w:tr>
      <w:tr w:rsidR="00561B22" w:rsidRPr="006D199A" w14:paraId="2EECDAC4" w14:textId="77777777" w:rsidTr="00F1223B">
        <w:tc>
          <w:tcPr>
            <w:tcW w:w="562" w:type="dxa"/>
          </w:tcPr>
          <w:p w14:paraId="64D724C7"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3</w:t>
            </w:r>
          </w:p>
        </w:tc>
        <w:tc>
          <w:tcPr>
            <w:tcW w:w="9400" w:type="dxa"/>
          </w:tcPr>
          <w:p w14:paraId="2CAAC8FA"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Bienes registrados como propiedad, planta y equipo continúan en análisis por parte de las direcciones territoriales, para continuar con el proceso de bajas cuando aplique.</w:t>
            </w:r>
          </w:p>
        </w:tc>
      </w:tr>
      <w:tr w:rsidR="00561B22" w:rsidRPr="006D199A" w14:paraId="1E6C1E00" w14:textId="77777777" w:rsidTr="00F1223B">
        <w:tc>
          <w:tcPr>
            <w:tcW w:w="562" w:type="dxa"/>
          </w:tcPr>
          <w:p w14:paraId="4F9150AB"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4</w:t>
            </w:r>
          </w:p>
        </w:tc>
        <w:tc>
          <w:tcPr>
            <w:tcW w:w="9400" w:type="dxa"/>
          </w:tcPr>
          <w:p w14:paraId="14D08432" w14:textId="77777777" w:rsidR="00561B22" w:rsidRPr="006D199A" w:rsidRDefault="00561B22" w:rsidP="00F1223B">
            <w:pPr>
              <w:widowControl/>
              <w:adjustRightInd w:val="0"/>
              <w:spacing w:before="60" w:after="60"/>
              <w:jc w:val="both"/>
              <w:rPr>
                <w:rFonts w:ascii="Arial" w:hAnsi="Arial" w:cs="Arial"/>
                <w:b/>
                <w:sz w:val="22"/>
                <w:szCs w:val="22"/>
              </w:rPr>
            </w:pPr>
            <w:r w:rsidRPr="006D199A">
              <w:rPr>
                <w:rFonts w:ascii="Arial" w:hAnsi="Arial" w:cs="Arial"/>
                <w:sz w:val="22"/>
                <w:szCs w:val="22"/>
              </w:rPr>
              <w:t>En la vigencia no se realizó depuración de la información contable relacionada con las multas prescritas de los Fondos de Riesgos Laborales y de Solidaridad Pensional.</w:t>
            </w:r>
          </w:p>
        </w:tc>
      </w:tr>
      <w:tr w:rsidR="00561B22" w:rsidRPr="006D199A" w14:paraId="5176231F" w14:textId="77777777" w:rsidTr="00F1223B">
        <w:tc>
          <w:tcPr>
            <w:tcW w:w="562" w:type="dxa"/>
          </w:tcPr>
          <w:p w14:paraId="34C7A371"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5</w:t>
            </w:r>
          </w:p>
        </w:tc>
        <w:tc>
          <w:tcPr>
            <w:tcW w:w="9400" w:type="dxa"/>
          </w:tcPr>
          <w:p w14:paraId="69D5FDCA"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 xml:space="preserve">Los reportes trimestrales con el estado de cobrabilidad de las multas y sanciones a cargo del Grupo de Cobro Coactivo no fueron presentados conforme a lo establecido en el Manual de Políticas Contables </w:t>
            </w:r>
            <w:r w:rsidRPr="006D199A">
              <w:rPr>
                <w:rFonts w:ascii="Arial" w:hAnsi="Arial" w:cs="Arial"/>
                <w:i/>
                <w:iCs/>
                <w:sz w:val="22"/>
                <w:szCs w:val="22"/>
              </w:rPr>
              <w:t>(Numeral 7.8. Controles y Responsabilidades, Versión: 7.0. Fecha: enero 26 de 2024).</w:t>
            </w:r>
          </w:p>
        </w:tc>
      </w:tr>
      <w:tr w:rsidR="00561B22" w:rsidRPr="006D199A" w14:paraId="36E76582" w14:textId="77777777" w:rsidTr="00F1223B">
        <w:tc>
          <w:tcPr>
            <w:tcW w:w="562" w:type="dxa"/>
          </w:tcPr>
          <w:p w14:paraId="3C2E35F4"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6</w:t>
            </w:r>
          </w:p>
        </w:tc>
        <w:tc>
          <w:tcPr>
            <w:tcW w:w="9400" w:type="dxa"/>
          </w:tcPr>
          <w:p w14:paraId="53D89560" w14:textId="77777777" w:rsidR="00561B22" w:rsidRPr="006D199A" w:rsidRDefault="00561B22" w:rsidP="00F1223B">
            <w:pPr>
              <w:jc w:val="both"/>
              <w:rPr>
                <w:rFonts w:ascii="Arial" w:hAnsi="Arial" w:cs="Arial"/>
                <w:b/>
                <w:sz w:val="22"/>
                <w:szCs w:val="22"/>
                <w:lang w:val="es-MX"/>
              </w:rPr>
            </w:pPr>
            <w:r w:rsidRPr="006D199A">
              <w:rPr>
                <w:rFonts w:ascii="Arial" w:hAnsi="Arial" w:cs="Arial"/>
                <w:sz w:val="22"/>
                <w:szCs w:val="22"/>
              </w:rPr>
              <w:t>El Comité Técnico de Sostenibilidad Contable durante la vigencia 2024 no se reunió con la periodicidad establecida en la Resolución que lo regula</w:t>
            </w:r>
          </w:p>
        </w:tc>
      </w:tr>
    </w:tbl>
    <w:p w14:paraId="662DF9B3" w14:textId="77777777" w:rsidR="00561B22" w:rsidRPr="006D199A" w:rsidRDefault="00561B22" w:rsidP="00561B22">
      <w:pPr>
        <w:pStyle w:val="Textoindependiente"/>
        <w:ind w:right="-50"/>
        <w:jc w:val="both"/>
        <w:rPr>
          <w:rFonts w:ascii="Arial" w:hAnsi="Arial" w:cs="Arial"/>
          <w:b/>
          <w:bCs/>
        </w:rPr>
      </w:pPr>
    </w:p>
    <w:p w14:paraId="0CD14131" w14:textId="77777777" w:rsidR="00561B22" w:rsidRPr="006D199A" w:rsidRDefault="00561B22" w:rsidP="00561B22">
      <w:pPr>
        <w:jc w:val="both"/>
        <w:rPr>
          <w:rFonts w:ascii="Arial" w:hAnsi="Arial" w:cs="Arial"/>
          <w:b/>
          <w:lang w:val="es-MX"/>
        </w:rPr>
      </w:pPr>
      <w:r w:rsidRPr="006D199A">
        <w:rPr>
          <w:rFonts w:ascii="Arial" w:hAnsi="Arial" w:cs="Arial"/>
          <w:b/>
          <w:lang w:val="es-MX"/>
        </w:rPr>
        <w:t>Del citado informe retomamos las siguientes recomendaciones:</w:t>
      </w:r>
    </w:p>
    <w:p w14:paraId="52BE9D43" w14:textId="77777777" w:rsidR="00561B22" w:rsidRPr="006D199A"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6D199A" w14:paraId="69BA5629" w14:textId="77777777" w:rsidTr="00F1223B">
        <w:tc>
          <w:tcPr>
            <w:tcW w:w="562" w:type="dxa"/>
          </w:tcPr>
          <w:p w14:paraId="75A3F079" w14:textId="77777777" w:rsidR="00561B22" w:rsidRPr="006D199A" w:rsidRDefault="00561B22" w:rsidP="00F1223B">
            <w:pPr>
              <w:ind w:right="-109"/>
              <w:jc w:val="center"/>
              <w:rPr>
                <w:rFonts w:ascii="Arial" w:hAnsi="Arial" w:cs="Arial"/>
                <w:b/>
                <w:sz w:val="22"/>
                <w:szCs w:val="22"/>
                <w:lang w:val="es-MX"/>
              </w:rPr>
            </w:pPr>
            <w:r w:rsidRPr="006D199A">
              <w:rPr>
                <w:rFonts w:ascii="Arial" w:hAnsi="Arial" w:cs="Arial"/>
                <w:b/>
                <w:sz w:val="22"/>
                <w:szCs w:val="22"/>
                <w:lang w:val="es-MX"/>
              </w:rPr>
              <w:t>N°</w:t>
            </w:r>
          </w:p>
        </w:tc>
        <w:tc>
          <w:tcPr>
            <w:tcW w:w="9400" w:type="dxa"/>
          </w:tcPr>
          <w:p w14:paraId="2D4D49B2"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RECOMENDACIONES</w:t>
            </w:r>
          </w:p>
          <w:p w14:paraId="0910EF55" w14:textId="77777777" w:rsidR="00561B22" w:rsidRPr="006D199A" w:rsidRDefault="00561B22" w:rsidP="00F1223B">
            <w:pPr>
              <w:jc w:val="center"/>
              <w:rPr>
                <w:rFonts w:ascii="Arial" w:hAnsi="Arial" w:cs="Arial"/>
                <w:b/>
                <w:sz w:val="22"/>
                <w:szCs w:val="22"/>
                <w:lang w:val="es-MX"/>
              </w:rPr>
            </w:pPr>
          </w:p>
        </w:tc>
      </w:tr>
      <w:tr w:rsidR="00561B22" w:rsidRPr="006D199A" w14:paraId="6F434745" w14:textId="77777777" w:rsidTr="00F1223B">
        <w:tc>
          <w:tcPr>
            <w:tcW w:w="562" w:type="dxa"/>
          </w:tcPr>
          <w:p w14:paraId="2C884B45"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1</w:t>
            </w:r>
          </w:p>
        </w:tc>
        <w:tc>
          <w:tcPr>
            <w:tcW w:w="9400" w:type="dxa"/>
          </w:tcPr>
          <w:p w14:paraId="03BC70E2"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 xml:space="preserve">Continuar con la dinámica de depuración y conciliación de las cuentas haciendo seguimiento permanente, para el mejoramiento y sostenibilidad de la calidad de la información. </w:t>
            </w:r>
          </w:p>
        </w:tc>
      </w:tr>
      <w:tr w:rsidR="00561B22" w:rsidRPr="006D199A" w14:paraId="0562B2A6" w14:textId="77777777" w:rsidTr="00F1223B">
        <w:tc>
          <w:tcPr>
            <w:tcW w:w="562" w:type="dxa"/>
          </w:tcPr>
          <w:p w14:paraId="0312129D"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2</w:t>
            </w:r>
          </w:p>
        </w:tc>
        <w:tc>
          <w:tcPr>
            <w:tcW w:w="9400" w:type="dxa"/>
          </w:tcPr>
          <w:p w14:paraId="6760BDEA"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Propender por la implementación del aplicativo para la gestión y la contabilidad de FIVICOT - Fondo para el Fortalecimiento de la Inspección, Vigilancia y Control del Trabajo y la Seguridad Social.</w:t>
            </w:r>
          </w:p>
        </w:tc>
      </w:tr>
      <w:tr w:rsidR="00561B22" w:rsidRPr="006D199A" w14:paraId="066C669D" w14:textId="77777777" w:rsidTr="00F1223B">
        <w:tc>
          <w:tcPr>
            <w:tcW w:w="562" w:type="dxa"/>
          </w:tcPr>
          <w:p w14:paraId="366C3F5B"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3</w:t>
            </w:r>
          </w:p>
        </w:tc>
        <w:tc>
          <w:tcPr>
            <w:tcW w:w="9400" w:type="dxa"/>
          </w:tcPr>
          <w:p w14:paraId="71C7509C"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 xml:space="preserve">Fortalecer la calidad de la información proveniente de FIVICOT - </w:t>
            </w:r>
            <w:r w:rsidRPr="006D199A">
              <w:rPr>
                <w:rFonts w:ascii="Arial" w:hAnsi="Arial" w:cs="Arial"/>
                <w:i/>
                <w:iCs/>
                <w:sz w:val="22"/>
                <w:szCs w:val="22"/>
              </w:rPr>
              <w:t>Fondo para el Fortalecimiento de la Inspección, Vigilancia y Control del Trabajo y la Seguridad Social</w:t>
            </w:r>
            <w:r w:rsidRPr="006D199A">
              <w:rPr>
                <w:rFonts w:ascii="Arial" w:hAnsi="Arial" w:cs="Arial"/>
                <w:sz w:val="22"/>
                <w:szCs w:val="22"/>
              </w:rPr>
              <w:t>.</w:t>
            </w:r>
          </w:p>
        </w:tc>
      </w:tr>
      <w:tr w:rsidR="00561B22" w:rsidRPr="006D199A" w14:paraId="4FD057FA" w14:textId="77777777" w:rsidTr="00F1223B">
        <w:tc>
          <w:tcPr>
            <w:tcW w:w="562" w:type="dxa"/>
          </w:tcPr>
          <w:p w14:paraId="07A944EB"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4</w:t>
            </w:r>
          </w:p>
        </w:tc>
        <w:tc>
          <w:tcPr>
            <w:tcW w:w="9400" w:type="dxa"/>
          </w:tcPr>
          <w:p w14:paraId="03C5A179"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 xml:space="preserve">Requerir a las áreas proveedoras de información los estados de la cartera con los análisis respectivos para presentar al Comité de Sostenibilidad del Sistema Contable y procurar la depuración de las multas prescritas registradas en los Estados Financieros. </w:t>
            </w:r>
          </w:p>
        </w:tc>
      </w:tr>
      <w:tr w:rsidR="00561B22" w:rsidRPr="006D199A" w14:paraId="3F31BEC6" w14:textId="77777777" w:rsidTr="00F1223B">
        <w:tc>
          <w:tcPr>
            <w:tcW w:w="562" w:type="dxa"/>
          </w:tcPr>
          <w:p w14:paraId="06CBF46E"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lastRenderedPageBreak/>
              <w:t>5</w:t>
            </w:r>
          </w:p>
        </w:tc>
        <w:tc>
          <w:tcPr>
            <w:tcW w:w="9400" w:type="dxa"/>
          </w:tcPr>
          <w:p w14:paraId="596CD4EF"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Cumplir lo establecido en la Resolución 1867 de junio de 2023, respecto a la periodicidad de las sesiones que debe realizar el Comité de Sostenibilidad del Sistema Contable del Ministerio del Trabajo.</w:t>
            </w:r>
          </w:p>
        </w:tc>
      </w:tr>
      <w:tr w:rsidR="00561B22" w:rsidRPr="006D199A" w14:paraId="15CFD085" w14:textId="77777777" w:rsidTr="00F1223B">
        <w:tc>
          <w:tcPr>
            <w:tcW w:w="562" w:type="dxa"/>
          </w:tcPr>
          <w:p w14:paraId="7270859F" w14:textId="77777777" w:rsidR="00561B22" w:rsidRPr="006D199A" w:rsidRDefault="00561B22" w:rsidP="00F1223B">
            <w:pPr>
              <w:jc w:val="center"/>
              <w:rPr>
                <w:rFonts w:ascii="Arial" w:hAnsi="Arial" w:cs="Arial"/>
                <w:b/>
                <w:sz w:val="22"/>
                <w:szCs w:val="22"/>
                <w:lang w:val="es-MX"/>
              </w:rPr>
            </w:pPr>
            <w:r w:rsidRPr="006D199A">
              <w:rPr>
                <w:rFonts w:ascii="Arial" w:hAnsi="Arial" w:cs="Arial"/>
                <w:b/>
                <w:sz w:val="22"/>
                <w:szCs w:val="22"/>
                <w:lang w:val="es-MX"/>
              </w:rPr>
              <w:t>6</w:t>
            </w:r>
          </w:p>
        </w:tc>
        <w:tc>
          <w:tcPr>
            <w:tcW w:w="9400" w:type="dxa"/>
          </w:tcPr>
          <w:p w14:paraId="61C320D7" w14:textId="77777777" w:rsidR="00561B22" w:rsidRPr="006D199A" w:rsidRDefault="00561B22" w:rsidP="00F1223B">
            <w:pPr>
              <w:widowControl/>
              <w:adjustRightInd w:val="0"/>
              <w:spacing w:before="60" w:after="60"/>
              <w:jc w:val="both"/>
              <w:rPr>
                <w:rFonts w:ascii="Arial" w:hAnsi="Arial" w:cs="Arial"/>
                <w:sz w:val="22"/>
                <w:szCs w:val="22"/>
              </w:rPr>
            </w:pPr>
            <w:r w:rsidRPr="006D199A">
              <w:rPr>
                <w:rFonts w:ascii="Arial" w:hAnsi="Arial" w:cs="Arial"/>
                <w:sz w:val="22"/>
                <w:szCs w:val="22"/>
              </w:rPr>
              <w:t>Continuar con el proceso de bajas de los bienes muebles de las Direcciones Territoriales, que aún tienen pendiente esta actividad.</w:t>
            </w:r>
          </w:p>
        </w:tc>
      </w:tr>
    </w:tbl>
    <w:p w14:paraId="607F2DD2" w14:textId="77777777" w:rsidR="00561B22" w:rsidRPr="006D199A" w:rsidRDefault="00561B22" w:rsidP="00561B22">
      <w:pPr>
        <w:ind w:left="720" w:hanging="720"/>
        <w:jc w:val="both"/>
        <w:rPr>
          <w:rFonts w:ascii="Arial" w:hAnsi="Arial" w:cs="Arial"/>
          <w:b/>
          <w:bCs/>
          <w:sz w:val="24"/>
          <w:szCs w:val="24"/>
          <w:lang w:val="es-CO"/>
        </w:rPr>
      </w:pPr>
    </w:p>
    <w:p w14:paraId="0A0DB147" w14:textId="77777777" w:rsidR="00561B22" w:rsidRPr="006D199A" w:rsidRDefault="00561B22" w:rsidP="00561B22">
      <w:pPr>
        <w:jc w:val="both"/>
        <w:rPr>
          <w:rFonts w:ascii="Arial" w:hAnsi="Arial" w:cs="Arial"/>
          <w:b/>
          <w:bCs/>
          <w:sz w:val="24"/>
          <w:szCs w:val="24"/>
          <w:lang w:val="es-CO"/>
        </w:rPr>
      </w:pPr>
      <w:r w:rsidRPr="006D199A">
        <w:rPr>
          <w:rFonts w:ascii="Arial" w:hAnsi="Arial" w:cs="Arial"/>
          <w:b/>
          <w:bCs/>
          <w:sz w:val="24"/>
          <w:szCs w:val="24"/>
          <w:lang w:val="es-CO"/>
        </w:rPr>
        <w:t xml:space="preserve">NOTA: LA ENTIDAD ENVIA LA MATRIZ DE AUTOEVALUACIÓN DEL SISTEMA DE CONTROL INTERNO CONTABLE CON </w:t>
      </w:r>
      <w:r w:rsidRPr="006D199A">
        <w:rPr>
          <w:rFonts w:ascii="Arial" w:hAnsi="Arial" w:cs="Arial"/>
          <w:b/>
          <w:bCs/>
          <w:sz w:val="24"/>
          <w:szCs w:val="24"/>
          <w:u w:val="single"/>
          <w:lang w:val="es-CO"/>
        </w:rPr>
        <w:t>ACTIVIDADES DE CONTROL REALIZADAS EN FORMA PARCIAL</w:t>
      </w:r>
      <w:r w:rsidRPr="006D199A">
        <w:rPr>
          <w:rFonts w:ascii="Arial" w:hAnsi="Arial" w:cs="Arial"/>
          <w:b/>
          <w:bCs/>
          <w:sz w:val="24"/>
          <w:szCs w:val="24"/>
          <w:lang w:val="es-CO"/>
        </w:rPr>
        <w:t>.</w:t>
      </w:r>
    </w:p>
    <w:p w14:paraId="4A56980E" w14:textId="77777777" w:rsidR="00561B22" w:rsidRDefault="00561B22" w:rsidP="00561B22">
      <w:pPr>
        <w:pStyle w:val="Ttulo1"/>
        <w:ind w:right="-50"/>
        <w:jc w:val="left"/>
        <w:rPr>
          <w:sz w:val="22"/>
          <w:szCs w:val="22"/>
        </w:rPr>
      </w:pPr>
    </w:p>
    <w:p w14:paraId="771431D1" w14:textId="77777777" w:rsidR="00561B22" w:rsidRPr="008F19E9" w:rsidRDefault="00561B22" w:rsidP="00561B22">
      <w:pPr>
        <w:jc w:val="both"/>
        <w:rPr>
          <w:rFonts w:ascii="Arial" w:hAnsi="Arial" w:cs="Arial"/>
          <w:b/>
          <w:sz w:val="28"/>
          <w:szCs w:val="28"/>
          <w:lang w:val="es-MX"/>
        </w:rPr>
      </w:pPr>
      <w:r w:rsidRPr="008F19E9">
        <w:rPr>
          <w:rFonts w:ascii="Arial" w:hAnsi="Arial" w:cs="Arial"/>
          <w:b/>
          <w:sz w:val="28"/>
          <w:szCs w:val="28"/>
          <w:lang w:val="es-MX"/>
        </w:rPr>
        <w:t>343.- AGENCIA NACIONAL DE TIERRAS - ANT.</w:t>
      </w:r>
    </w:p>
    <w:p w14:paraId="5CC80BDF" w14:textId="77777777" w:rsidR="00561B22" w:rsidRDefault="00561B22" w:rsidP="00561B22">
      <w:pPr>
        <w:pStyle w:val="Ttulo1"/>
        <w:ind w:right="-50"/>
        <w:jc w:val="left"/>
        <w:rPr>
          <w:sz w:val="22"/>
          <w:szCs w:val="22"/>
        </w:rPr>
      </w:pPr>
    </w:p>
    <w:p w14:paraId="017C480D" w14:textId="77777777" w:rsidR="00561B22" w:rsidRPr="00715060" w:rsidRDefault="00561B22" w:rsidP="00561B22">
      <w:pPr>
        <w:pStyle w:val="Textoindependiente"/>
        <w:jc w:val="center"/>
        <w:rPr>
          <w:rFonts w:ascii="Arial" w:hAnsi="Arial" w:cs="Arial"/>
          <w:b/>
          <w:bCs/>
        </w:rPr>
      </w:pPr>
      <w:r w:rsidRPr="00715060">
        <w:rPr>
          <w:rFonts w:ascii="Arial" w:hAnsi="Arial" w:cs="Arial"/>
          <w:b/>
          <w:bCs/>
        </w:rPr>
        <w:t>INFORME DE LA AUTOCALIFICACIÓN DEL SISTEMA DE CONTROL INTERNO CONTABLE:</w:t>
      </w:r>
    </w:p>
    <w:p w14:paraId="17E4CCA1" w14:textId="77777777" w:rsidR="00561B22" w:rsidRPr="0071506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715060" w14:paraId="233CC274" w14:textId="77777777" w:rsidTr="00F1223B">
        <w:tc>
          <w:tcPr>
            <w:tcW w:w="4981" w:type="dxa"/>
          </w:tcPr>
          <w:p w14:paraId="3F8AEEEB"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AUTOCALIFICACIÓN</w:t>
            </w:r>
          </w:p>
        </w:tc>
        <w:tc>
          <w:tcPr>
            <w:tcW w:w="4981" w:type="dxa"/>
          </w:tcPr>
          <w:p w14:paraId="4FFC75B7" w14:textId="77777777" w:rsidR="00561B22" w:rsidRPr="00715060" w:rsidRDefault="00561B22" w:rsidP="00F1223B">
            <w:pPr>
              <w:jc w:val="center"/>
              <w:rPr>
                <w:rFonts w:ascii="Arial" w:hAnsi="Arial" w:cs="Arial"/>
                <w:b/>
                <w:sz w:val="22"/>
                <w:szCs w:val="22"/>
                <w:u w:val="single"/>
                <w:lang w:val="es-MX"/>
              </w:rPr>
            </w:pPr>
            <w:r w:rsidRPr="00715060">
              <w:rPr>
                <w:rFonts w:ascii="Arial" w:hAnsi="Arial" w:cs="Arial"/>
                <w:b/>
                <w:sz w:val="22"/>
                <w:szCs w:val="22"/>
                <w:u w:val="single"/>
                <w:lang w:val="es-MX"/>
              </w:rPr>
              <w:t>4.25</w:t>
            </w:r>
          </w:p>
        </w:tc>
      </w:tr>
    </w:tbl>
    <w:p w14:paraId="6CFC8EDD" w14:textId="77777777" w:rsidR="00561B22" w:rsidRPr="00715060" w:rsidRDefault="00561B22" w:rsidP="00561B22">
      <w:pPr>
        <w:pStyle w:val="Textoindependiente"/>
        <w:jc w:val="both"/>
        <w:rPr>
          <w:rFonts w:ascii="Arial" w:hAnsi="Arial" w:cs="Arial"/>
          <w:b/>
          <w:bCs/>
        </w:rPr>
      </w:pPr>
    </w:p>
    <w:p w14:paraId="3001B35D" w14:textId="77777777" w:rsidR="00561B22" w:rsidRPr="00715060" w:rsidRDefault="00561B22" w:rsidP="00561B22">
      <w:pPr>
        <w:pStyle w:val="Textoindependiente"/>
        <w:jc w:val="both"/>
        <w:rPr>
          <w:rFonts w:ascii="Arial" w:hAnsi="Arial" w:cs="Arial"/>
          <w:b/>
          <w:bCs/>
        </w:rPr>
      </w:pPr>
      <w:r w:rsidRPr="00715060">
        <w:rPr>
          <w:rFonts w:ascii="Arial" w:hAnsi="Arial" w:cs="Arial"/>
          <w:b/>
          <w:bCs/>
        </w:rPr>
        <w:t>Del informe enviado retomamos lo siguiente:</w:t>
      </w:r>
    </w:p>
    <w:p w14:paraId="4C4AD305" w14:textId="77777777" w:rsidR="00561B22" w:rsidRPr="0071506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15060" w14:paraId="3B76CD01" w14:textId="77777777" w:rsidTr="00F1223B">
        <w:tc>
          <w:tcPr>
            <w:tcW w:w="562" w:type="dxa"/>
          </w:tcPr>
          <w:p w14:paraId="6D8E57A8"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N°</w:t>
            </w:r>
          </w:p>
        </w:tc>
        <w:tc>
          <w:tcPr>
            <w:tcW w:w="9400" w:type="dxa"/>
          </w:tcPr>
          <w:p w14:paraId="08C5B701"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DEBILIDADES</w:t>
            </w:r>
          </w:p>
          <w:p w14:paraId="240A554A" w14:textId="77777777" w:rsidR="00561B22" w:rsidRPr="00715060" w:rsidRDefault="00561B22" w:rsidP="00F1223B">
            <w:pPr>
              <w:jc w:val="center"/>
              <w:rPr>
                <w:rFonts w:ascii="Arial" w:hAnsi="Arial" w:cs="Arial"/>
                <w:b/>
                <w:sz w:val="22"/>
                <w:szCs w:val="22"/>
                <w:lang w:val="es-MX"/>
              </w:rPr>
            </w:pPr>
          </w:p>
        </w:tc>
      </w:tr>
      <w:tr w:rsidR="00561B22" w:rsidRPr="00715060" w14:paraId="0B0B1F71" w14:textId="77777777" w:rsidTr="00F1223B">
        <w:tc>
          <w:tcPr>
            <w:tcW w:w="562" w:type="dxa"/>
          </w:tcPr>
          <w:p w14:paraId="57A36006"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1</w:t>
            </w:r>
          </w:p>
        </w:tc>
        <w:tc>
          <w:tcPr>
            <w:tcW w:w="9400" w:type="dxa"/>
          </w:tcPr>
          <w:p w14:paraId="31A7BD04"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Debilidades en el sistema de control interno al no contar con una medición fiable de los bienes que ingresaron al inventario del Fondo de Tierras de 6.832 bienes baldíos, 33 bienes fiscales patrimoniales transferidos por la SAE y 252 predios con integración al patrimonio, que no han sido registrados contablemente en razón a que tienen valor cero.</w:t>
            </w:r>
          </w:p>
        </w:tc>
      </w:tr>
      <w:tr w:rsidR="00561B22" w:rsidRPr="00715060" w14:paraId="1BD58995" w14:textId="77777777" w:rsidTr="00F1223B">
        <w:tc>
          <w:tcPr>
            <w:tcW w:w="562" w:type="dxa"/>
          </w:tcPr>
          <w:p w14:paraId="44C1F57C"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2</w:t>
            </w:r>
          </w:p>
        </w:tc>
        <w:tc>
          <w:tcPr>
            <w:tcW w:w="9400" w:type="dxa"/>
          </w:tcPr>
          <w:p w14:paraId="5FF3822B"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Debilidad en el reconocimiento de los hechos económicos en el mes que ocurrieron por no contar con una valoración para determinar su medición de los predios con titularidad INCORA, INCODER y UNAT que fueron transferidos por el extinto Incoder por valor de 3.830.190.844,70</w:t>
            </w:r>
          </w:p>
        </w:tc>
      </w:tr>
      <w:tr w:rsidR="00561B22" w:rsidRPr="00715060" w14:paraId="6F44420E" w14:textId="77777777" w:rsidTr="00F1223B">
        <w:tc>
          <w:tcPr>
            <w:tcW w:w="562" w:type="dxa"/>
          </w:tcPr>
          <w:p w14:paraId="6A0BEA6D"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3</w:t>
            </w:r>
          </w:p>
        </w:tc>
        <w:tc>
          <w:tcPr>
            <w:tcW w:w="9400" w:type="dxa"/>
          </w:tcPr>
          <w:p w14:paraId="662D3482"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Debilidad en el cálculo de la depreciación, amortización y vidas útiles en el aplicativo APOTEOSYS en cuanto a la generación automática de los reportes ya que estos son generados manualmente</w:t>
            </w:r>
          </w:p>
        </w:tc>
      </w:tr>
      <w:tr w:rsidR="00561B22" w:rsidRPr="00715060" w14:paraId="2FE5F902" w14:textId="77777777" w:rsidTr="00F1223B">
        <w:tc>
          <w:tcPr>
            <w:tcW w:w="562" w:type="dxa"/>
          </w:tcPr>
          <w:p w14:paraId="28A70355"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4</w:t>
            </w:r>
          </w:p>
        </w:tc>
        <w:tc>
          <w:tcPr>
            <w:tcW w:w="9400" w:type="dxa"/>
          </w:tcPr>
          <w:p w14:paraId="2A378B41"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Debilidad en la toma física del 100 por ciento del inventario de los bienes muebles e inmuebles de la ANT</w:t>
            </w:r>
          </w:p>
        </w:tc>
      </w:tr>
      <w:tr w:rsidR="00561B22" w:rsidRPr="00715060" w14:paraId="68AB2C2D" w14:textId="77777777" w:rsidTr="00F1223B">
        <w:tc>
          <w:tcPr>
            <w:tcW w:w="562" w:type="dxa"/>
          </w:tcPr>
          <w:p w14:paraId="248E84A4"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5</w:t>
            </w:r>
          </w:p>
        </w:tc>
        <w:tc>
          <w:tcPr>
            <w:tcW w:w="9400" w:type="dxa"/>
          </w:tcPr>
          <w:p w14:paraId="0A8342ED" w14:textId="77777777" w:rsidR="00561B22" w:rsidRPr="00715060" w:rsidRDefault="00561B22" w:rsidP="00F1223B">
            <w:pPr>
              <w:jc w:val="both"/>
              <w:rPr>
                <w:rFonts w:ascii="Arial" w:hAnsi="Arial" w:cs="Arial"/>
                <w:bCs/>
                <w:sz w:val="22"/>
                <w:szCs w:val="22"/>
              </w:rPr>
            </w:pPr>
            <w:r w:rsidRPr="00715060">
              <w:rPr>
                <w:rFonts w:ascii="Arial" w:hAnsi="Arial" w:cs="Arial"/>
                <w:bCs/>
                <w:sz w:val="22"/>
                <w:szCs w:val="22"/>
              </w:rPr>
              <w:t>No se realizaron comités de sostenibilidad contable con el fin de socializar temas relacionados con la depuración de cuentas</w:t>
            </w:r>
          </w:p>
        </w:tc>
      </w:tr>
      <w:tr w:rsidR="00561B22" w:rsidRPr="00715060" w14:paraId="72F27CDF" w14:textId="77777777" w:rsidTr="00F1223B">
        <w:tc>
          <w:tcPr>
            <w:tcW w:w="562" w:type="dxa"/>
          </w:tcPr>
          <w:p w14:paraId="09CAAF64"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6</w:t>
            </w:r>
          </w:p>
        </w:tc>
        <w:tc>
          <w:tcPr>
            <w:tcW w:w="9400" w:type="dxa"/>
          </w:tcPr>
          <w:p w14:paraId="3FB7382A" w14:textId="77777777" w:rsidR="00561B22" w:rsidRPr="00715060" w:rsidRDefault="00561B22" w:rsidP="00F1223B">
            <w:pPr>
              <w:jc w:val="both"/>
              <w:rPr>
                <w:rFonts w:ascii="Arial" w:hAnsi="Arial" w:cs="Arial"/>
                <w:bCs/>
                <w:sz w:val="22"/>
                <w:szCs w:val="22"/>
              </w:rPr>
            </w:pPr>
            <w:r w:rsidRPr="00715060">
              <w:rPr>
                <w:rFonts w:ascii="Arial" w:hAnsi="Arial" w:cs="Arial"/>
                <w:bCs/>
                <w:sz w:val="22"/>
                <w:szCs w:val="22"/>
              </w:rPr>
              <w:t>Debilidad en la falta de soportabilidad para el reconocimiento de la cartera en el recaudo de 14 predios en Islas del Rosario y San Bernardo con contratos de arrendamiento vencidos que fueron entregados a la ANT por el extinto INCODER por valor de 47.293.562 y 35 contratos finalizados por valor de 139.820.619</w:t>
            </w:r>
          </w:p>
        </w:tc>
      </w:tr>
      <w:tr w:rsidR="00561B22" w:rsidRPr="00715060" w14:paraId="445E245A" w14:textId="77777777" w:rsidTr="00F1223B">
        <w:tc>
          <w:tcPr>
            <w:tcW w:w="562" w:type="dxa"/>
          </w:tcPr>
          <w:p w14:paraId="5BAD5A24"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7</w:t>
            </w:r>
          </w:p>
        </w:tc>
        <w:tc>
          <w:tcPr>
            <w:tcW w:w="9400" w:type="dxa"/>
          </w:tcPr>
          <w:p w14:paraId="2467FCE8" w14:textId="77777777" w:rsidR="00561B22" w:rsidRPr="00715060" w:rsidRDefault="00561B22" w:rsidP="00F1223B">
            <w:pPr>
              <w:jc w:val="both"/>
              <w:rPr>
                <w:rFonts w:ascii="Arial" w:hAnsi="Arial" w:cs="Arial"/>
                <w:bCs/>
                <w:sz w:val="22"/>
                <w:szCs w:val="22"/>
              </w:rPr>
            </w:pPr>
            <w:r w:rsidRPr="00715060">
              <w:rPr>
                <w:rFonts w:ascii="Arial" w:hAnsi="Arial" w:cs="Arial"/>
                <w:bCs/>
                <w:sz w:val="22"/>
                <w:szCs w:val="22"/>
              </w:rPr>
              <w:t>No se evidencio un soporte contable del registro de los hechos económicos ni se ha efectuado su depuración a Otras Cuentas por Cobrar 1.729.505.914 y Arrendamiento Operativo 99.318.559 correspondientes que fueron registrados de acuerdo con el acta parcial de liquidación INCODER</w:t>
            </w:r>
          </w:p>
        </w:tc>
      </w:tr>
      <w:tr w:rsidR="00561B22" w:rsidRPr="00715060" w14:paraId="6A852697" w14:textId="77777777" w:rsidTr="00F1223B">
        <w:tc>
          <w:tcPr>
            <w:tcW w:w="562" w:type="dxa"/>
          </w:tcPr>
          <w:p w14:paraId="6AA562E4"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8</w:t>
            </w:r>
          </w:p>
        </w:tc>
        <w:tc>
          <w:tcPr>
            <w:tcW w:w="9400" w:type="dxa"/>
          </w:tcPr>
          <w:p w14:paraId="65CFA8A1" w14:textId="77777777" w:rsidR="00561B22" w:rsidRPr="00715060" w:rsidRDefault="00561B22" w:rsidP="00F1223B">
            <w:pPr>
              <w:jc w:val="both"/>
              <w:rPr>
                <w:rFonts w:ascii="Arial" w:hAnsi="Arial" w:cs="Arial"/>
                <w:bCs/>
                <w:sz w:val="22"/>
                <w:szCs w:val="22"/>
              </w:rPr>
            </w:pPr>
            <w:r w:rsidRPr="00715060">
              <w:rPr>
                <w:rFonts w:ascii="Arial" w:hAnsi="Arial" w:cs="Arial"/>
                <w:bCs/>
                <w:sz w:val="22"/>
                <w:szCs w:val="22"/>
              </w:rPr>
              <w:t>Debilidad en los mecanismos de control en la supervisión de los convenios suscritos por la ANT en cuanto a la ejecución de los recursos y liquidación de los mismos.</w:t>
            </w:r>
          </w:p>
        </w:tc>
      </w:tr>
      <w:tr w:rsidR="00561B22" w:rsidRPr="00715060" w14:paraId="6C1B8961" w14:textId="77777777" w:rsidTr="00F1223B">
        <w:tc>
          <w:tcPr>
            <w:tcW w:w="562" w:type="dxa"/>
          </w:tcPr>
          <w:p w14:paraId="11266399"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9</w:t>
            </w:r>
          </w:p>
        </w:tc>
        <w:tc>
          <w:tcPr>
            <w:tcW w:w="9400" w:type="dxa"/>
          </w:tcPr>
          <w:p w14:paraId="08C797E9" w14:textId="77777777" w:rsidR="00561B22" w:rsidRPr="00715060" w:rsidRDefault="00561B22" w:rsidP="00F1223B">
            <w:pPr>
              <w:jc w:val="both"/>
              <w:rPr>
                <w:rFonts w:ascii="Arial" w:hAnsi="Arial" w:cs="Arial"/>
                <w:bCs/>
                <w:sz w:val="22"/>
                <w:szCs w:val="22"/>
              </w:rPr>
            </w:pPr>
            <w:r w:rsidRPr="00715060">
              <w:rPr>
                <w:rFonts w:ascii="Arial" w:hAnsi="Arial" w:cs="Arial"/>
                <w:bCs/>
                <w:sz w:val="22"/>
                <w:szCs w:val="22"/>
              </w:rPr>
              <w:t>Inoportunidad en el reporte de análisis de acuerdo como lo establece la ficha técnica del indicador, así como no identificar acciones correctivas y preventivas en caso de resultado critico</w:t>
            </w:r>
          </w:p>
        </w:tc>
      </w:tr>
    </w:tbl>
    <w:p w14:paraId="77722FDE" w14:textId="77777777" w:rsidR="00561B22" w:rsidRPr="00715060" w:rsidRDefault="00561B22" w:rsidP="00561B22">
      <w:pPr>
        <w:pStyle w:val="Textoindependiente"/>
        <w:jc w:val="both"/>
        <w:rPr>
          <w:rFonts w:ascii="Arial" w:hAnsi="Arial" w:cs="Arial"/>
          <w:b/>
          <w:bCs/>
        </w:rPr>
      </w:pPr>
    </w:p>
    <w:p w14:paraId="72A34B8F" w14:textId="77777777" w:rsidR="00561B22" w:rsidRPr="00715060" w:rsidRDefault="00561B22" w:rsidP="00561B22">
      <w:pPr>
        <w:jc w:val="both"/>
        <w:rPr>
          <w:rFonts w:ascii="Arial" w:hAnsi="Arial" w:cs="Arial"/>
          <w:b/>
          <w:lang w:val="es-MX"/>
        </w:rPr>
      </w:pPr>
      <w:r w:rsidRPr="00715060">
        <w:rPr>
          <w:rFonts w:ascii="Arial" w:hAnsi="Arial" w:cs="Arial"/>
          <w:b/>
          <w:lang w:val="es-MX"/>
        </w:rPr>
        <w:t>Del citado informe retomamos las siguientes recomendaciones:</w:t>
      </w:r>
    </w:p>
    <w:p w14:paraId="7D96AD26" w14:textId="77777777" w:rsidR="00561B22" w:rsidRPr="00715060"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715060" w14:paraId="19F516A2" w14:textId="77777777" w:rsidTr="00F1223B">
        <w:tc>
          <w:tcPr>
            <w:tcW w:w="562" w:type="dxa"/>
          </w:tcPr>
          <w:p w14:paraId="187D82EB"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N°</w:t>
            </w:r>
          </w:p>
        </w:tc>
        <w:tc>
          <w:tcPr>
            <w:tcW w:w="9400" w:type="dxa"/>
          </w:tcPr>
          <w:p w14:paraId="22142B71"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RECOMENDACIONES</w:t>
            </w:r>
          </w:p>
          <w:p w14:paraId="7AD35F1F" w14:textId="77777777" w:rsidR="00561B22" w:rsidRPr="00715060" w:rsidRDefault="00561B22" w:rsidP="00F1223B">
            <w:pPr>
              <w:jc w:val="center"/>
              <w:rPr>
                <w:rFonts w:ascii="Arial" w:hAnsi="Arial" w:cs="Arial"/>
                <w:b/>
                <w:sz w:val="22"/>
                <w:szCs w:val="22"/>
                <w:lang w:val="es-MX"/>
              </w:rPr>
            </w:pPr>
          </w:p>
        </w:tc>
      </w:tr>
      <w:tr w:rsidR="00561B22" w:rsidRPr="00715060" w14:paraId="2AFCD78F" w14:textId="77777777" w:rsidTr="00F1223B">
        <w:tc>
          <w:tcPr>
            <w:tcW w:w="562" w:type="dxa"/>
          </w:tcPr>
          <w:p w14:paraId="6A720DC1"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lastRenderedPageBreak/>
              <w:t>1</w:t>
            </w:r>
          </w:p>
        </w:tc>
        <w:tc>
          <w:tcPr>
            <w:tcW w:w="9400" w:type="dxa"/>
          </w:tcPr>
          <w:p w14:paraId="34869B34"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 xml:space="preserve">Se sugiere la articulación entre las dependencias responsables del suministro de la información financiera a fin de que sea allegada oportunamente a la SAF para que Contabilidad efectué los registros y análisis que garanticen la producción de información financiera con las características fundamentales de relevancia y representación fiel a que se refieren los marcos conceptuales y normativos incorporados en el régimen de Contabilidad Pública. </w:t>
            </w:r>
          </w:p>
        </w:tc>
      </w:tr>
      <w:tr w:rsidR="00561B22" w:rsidRPr="00715060" w14:paraId="1A934A04" w14:textId="77777777" w:rsidTr="00F1223B">
        <w:tc>
          <w:tcPr>
            <w:tcW w:w="562" w:type="dxa"/>
          </w:tcPr>
          <w:p w14:paraId="40E64F3B"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2</w:t>
            </w:r>
          </w:p>
        </w:tc>
        <w:tc>
          <w:tcPr>
            <w:tcW w:w="9400" w:type="dxa"/>
          </w:tcPr>
          <w:p w14:paraId="5E7A72CF"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Se recomienda seguir aunando esfuerzos para la valoración de todos los predios del fondo de tierras con valor cero.</w:t>
            </w:r>
          </w:p>
        </w:tc>
      </w:tr>
      <w:tr w:rsidR="00561B22" w:rsidRPr="00715060" w14:paraId="423B8B6E" w14:textId="77777777" w:rsidTr="00F1223B">
        <w:tc>
          <w:tcPr>
            <w:tcW w:w="562" w:type="dxa"/>
          </w:tcPr>
          <w:p w14:paraId="1F8B34A0"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3</w:t>
            </w:r>
          </w:p>
        </w:tc>
        <w:tc>
          <w:tcPr>
            <w:tcW w:w="9400" w:type="dxa"/>
          </w:tcPr>
          <w:p w14:paraId="3A6EA84E"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Se sugiere fortalecer los indicadores del proceso de gestión Financiera con el propósito que contribuyan a medir la gestión y evaluar los resultados en términos de eficacia, efectividad y calidad</w:t>
            </w:r>
          </w:p>
        </w:tc>
      </w:tr>
      <w:tr w:rsidR="00561B22" w:rsidRPr="00715060" w14:paraId="19CD0C3C" w14:textId="77777777" w:rsidTr="00F1223B">
        <w:tc>
          <w:tcPr>
            <w:tcW w:w="562" w:type="dxa"/>
          </w:tcPr>
          <w:p w14:paraId="0160E5AA"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4</w:t>
            </w:r>
          </w:p>
        </w:tc>
        <w:tc>
          <w:tcPr>
            <w:tcW w:w="9400" w:type="dxa"/>
          </w:tcPr>
          <w:p w14:paraId="7D57510B"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Se recomienda fortalecer el proceso de identificación, valoración y formulación de los riesgos y controles de índole contable, con el propósito de mitigar la materialización de los mismos.</w:t>
            </w:r>
          </w:p>
        </w:tc>
      </w:tr>
      <w:tr w:rsidR="00561B22" w:rsidRPr="00715060" w14:paraId="68DA03E6" w14:textId="77777777" w:rsidTr="00F1223B">
        <w:tc>
          <w:tcPr>
            <w:tcW w:w="562" w:type="dxa"/>
          </w:tcPr>
          <w:p w14:paraId="6A5B14C3"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5</w:t>
            </w:r>
          </w:p>
        </w:tc>
        <w:tc>
          <w:tcPr>
            <w:tcW w:w="9400" w:type="dxa"/>
          </w:tcPr>
          <w:p w14:paraId="43387B2B"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Se recomienda convocar al Comité de Sostenibilidad Contable de la ANT a fin de tomar decisiones que contribuyan a garantizar que los hechos económicos de la entidad se reconozcan, midan, revelen y presenten con sujeción al régimen de Contabilidad Pública, en casos particulares como la depuración de la cartera</w:t>
            </w:r>
          </w:p>
        </w:tc>
      </w:tr>
      <w:tr w:rsidR="00561B22" w:rsidRPr="00715060" w14:paraId="44ECC974" w14:textId="77777777" w:rsidTr="00F1223B">
        <w:tc>
          <w:tcPr>
            <w:tcW w:w="562" w:type="dxa"/>
          </w:tcPr>
          <w:p w14:paraId="0ED4823F"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6</w:t>
            </w:r>
          </w:p>
        </w:tc>
        <w:tc>
          <w:tcPr>
            <w:tcW w:w="9400" w:type="dxa"/>
          </w:tcPr>
          <w:p w14:paraId="09956FC0"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Se recomienda la optimización del aplicativo APOTEOSYS para el cálculo de la depreciación, amortización y vidas útiles a fin de garantizar la confiabilidad y razonabilidad de la información contable</w:t>
            </w:r>
          </w:p>
        </w:tc>
      </w:tr>
      <w:tr w:rsidR="00561B22" w:rsidRPr="00715060" w14:paraId="4020F13B" w14:textId="77777777" w:rsidTr="00F1223B">
        <w:tc>
          <w:tcPr>
            <w:tcW w:w="562" w:type="dxa"/>
          </w:tcPr>
          <w:p w14:paraId="4AF94387"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7</w:t>
            </w:r>
          </w:p>
        </w:tc>
        <w:tc>
          <w:tcPr>
            <w:tcW w:w="9400" w:type="dxa"/>
          </w:tcPr>
          <w:p w14:paraId="57A06A75"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Se sugiere aunar esfuerzos para dar cumplimiento a la toma física del 100 por ciento de los bienes muebles e inmuebles de la entidad</w:t>
            </w:r>
          </w:p>
        </w:tc>
      </w:tr>
      <w:tr w:rsidR="00561B22" w:rsidRPr="00715060" w14:paraId="55045432" w14:textId="77777777" w:rsidTr="00F1223B">
        <w:tc>
          <w:tcPr>
            <w:tcW w:w="562" w:type="dxa"/>
          </w:tcPr>
          <w:p w14:paraId="4AD33F65"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8</w:t>
            </w:r>
          </w:p>
        </w:tc>
        <w:tc>
          <w:tcPr>
            <w:tcW w:w="9400" w:type="dxa"/>
          </w:tcPr>
          <w:p w14:paraId="2533F32A"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Continuar con la socialización permanente del Manual de políticas contables y demás instrumentos utilizados por los responsables del proceso contable.</w:t>
            </w:r>
          </w:p>
        </w:tc>
      </w:tr>
      <w:tr w:rsidR="00561B22" w:rsidRPr="00715060" w14:paraId="1C39EF69" w14:textId="77777777" w:rsidTr="00F1223B">
        <w:tc>
          <w:tcPr>
            <w:tcW w:w="562" w:type="dxa"/>
          </w:tcPr>
          <w:p w14:paraId="221ED603" w14:textId="77777777" w:rsidR="00561B22" w:rsidRPr="00715060" w:rsidRDefault="00561B22" w:rsidP="00F1223B">
            <w:pPr>
              <w:jc w:val="center"/>
              <w:rPr>
                <w:rFonts w:ascii="Arial" w:hAnsi="Arial" w:cs="Arial"/>
                <w:b/>
                <w:sz w:val="22"/>
                <w:szCs w:val="22"/>
                <w:lang w:val="es-MX"/>
              </w:rPr>
            </w:pPr>
            <w:r w:rsidRPr="00715060">
              <w:rPr>
                <w:rFonts w:ascii="Arial" w:hAnsi="Arial" w:cs="Arial"/>
                <w:b/>
                <w:sz w:val="22"/>
                <w:szCs w:val="22"/>
                <w:lang w:val="es-MX"/>
              </w:rPr>
              <w:t>9</w:t>
            </w:r>
          </w:p>
        </w:tc>
        <w:tc>
          <w:tcPr>
            <w:tcW w:w="9400" w:type="dxa"/>
          </w:tcPr>
          <w:p w14:paraId="1404EE62" w14:textId="77777777" w:rsidR="00561B22" w:rsidRPr="00715060" w:rsidRDefault="00561B22" w:rsidP="00F1223B">
            <w:pPr>
              <w:jc w:val="both"/>
              <w:rPr>
                <w:rFonts w:ascii="Arial" w:hAnsi="Arial" w:cs="Arial"/>
                <w:bCs/>
                <w:sz w:val="22"/>
                <w:szCs w:val="22"/>
                <w:lang w:val="es-MX"/>
              </w:rPr>
            </w:pPr>
            <w:r w:rsidRPr="00715060">
              <w:rPr>
                <w:rFonts w:ascii="Arial" w:hAnsi="Arial" w:cs="Arial"/>
                <w:bCs/>
                <w:sz w:val="22"/>
                <w:szCs w:val="22"/>
              </w:rPr>
              <w:t>Fortalecer los mecanismos de control en la supervisión de los convenios suscritos por la ANT en cuanto a la ejecución de los recursos y liquidación de los mismos.</w:t>
            </w:r>
          </w:p>
        </w:tc>
      </w:tr>
    </w:tbl>
    <w:p w14:paraId="75A23F65" w14:textId="77777777" w:rsidR="00561B22" w:rsidRPr="00715060" w:rsidRDefault="00561B22" w:rsidP="00561B22">
      <w:pPr>
        <w:pStyle w:val="Textoindependiente"/>
        <w:jc w:val="both"/>
        <w:rPr>
          <w:rFonts w:ascii="Arial" w:hAnsi="Arial" w:cs="Arial"/>
          <w:b/>
          <w:bCs/>
        </w:rPr>
      </w:pPr>
    </w:p>
    <w:p w14:paraId="6C6704FE" w14:textId="77777777" w:rsidR="00561B22" w:rsidRPr="00715060" w:rsidRDefault="00561B22" w:rsidP="00561B22">
      <w:pPr>
        <w:jc w:val="both"/>
        <w:rPr>
          <w:rFonts w:ascii="Arial" w:hAnsi="Arial" w:cs="Arial"/>
          <w:b/>
          <w:bCs/>
          <w:sz w:val="24"/>
          <w:szCs w:val="24"/>
          <w:lang w:val="es-CO"/>
        </w:rPr>
      </w:pPr>
      <w:r w:rsidRPr="00715060">
        <w:rPr>
          <w:rFonts w:ascii="Arial" w:hAnsi="Arial" w:cs="Arial"/>
          <w:b/>
          <w:bCs/>
          <w:sz w:val="24"/>
          <w:szCs w:val="24"/>
          <w:lang w:val="es-CO"/>
        </w:rPr>
        <w:t xml:space="preserve">NOTA: LA ENTIDAD ENVIA LA MATRIZ DE AUTOEVALUACIÓN DEL SISTEMA DE CONTROL INTERNO CONTABLE CON ACTIVIDADES DE CONTROL REALIZADAS </w:t>
      </w:r>
      <w:r w:rsidRPr="00715060">
        <w:rPr>
          <w:rFonts w:ascii="Arial" w:hAnsi="Arial" w:cs="Arial"/>
          <w:b/>
          <w:bCs/>
          <w:sz w:val="24"/>
          <w:szCs w:val="24"/>
          <w:u w:val="single"/>
          <w:lang w:val="es-CO"/>
        </w:rPr>
        <w:t>EN FORMA PARCIAL Y OTRAS SIMPLEMENTE INFORMAN QUE NO SE REALIZARON</w:t>
      </w:r>
      <w:r w:rsidRPr="00715060">
        <w:rPr>
          <w:rFonts w:ascii="Arial" w:hAnsi="Arial" w:cs="Arial"/>
          <w:b/>
          <w:bCs/>
          <w:sz w:val="24"/>
          <w:szCs w:val="24"/>
          <w:lang w:val="es-CO"/>
        </w:rPr>
        <w:t>.</w:t>
      </w:r>
    </w:p>
    <w:p w14:paraId="4737757D" w14:textId="77777777" w:rsidR="00561B22" w:rsidRPr="00715060" w:rsidRDefault="00561B22" w:rsidP="00561B22">
      <w:pPr>
        <w:ind w:left="720" w:hanging="720"/>
        <w:jc w:val="both"/>
        <w:rPr>
          <w:rFonts w:ascii="Arial" w:hAnsi="Arial" w:cs="Arial"/>
          <w:b/>
          <w:bCs/>
          <w:sz w:val="24"/>
          <w:szCs w:val="24"/>
          <w:lang w:val="es-CO"/>
        </w:rPr>
      </w:pPr>
    </w:p>
    <w:p w14:paraId="35A327EF" w14:textId="77777777" w:rsidR="00561B22" w:rsidRDefault="00561B22" w:rsidP="00561B22">
      <w:pPr>
        <w:jc w:val="both"/>
        <w:rPr>
          <w:rFonts w:ascii="Arial" w:hAnsi="Arial" w:cs="Arial"/>
          <w:b/>
          <w:sz w:val="28"/>
          <w:szCs w:val="28"/>
          <w:lang w:val="es-MX"/>
        </w:rPr>
      </w:pPr>
      <w:r>
        <w:rPr>
          <w:rFonts w:ascii="Arial" w:hAnsi="Arial" w:cs="Arial"/>
          <w:b/>
          <w:sz w:val="28"/>
          <w:szCs w:val="28"/>
          <w:lang w:val="es-MX"/>
        </w:rPr>
        <w:t>344.- SUPERINTENDENCIA DE NOTARIADO Y REGISTRO.</w:t>
      </w:r>
    </w:p>
    <w:p w14:paraId="4F3FC866" w14:textId="77777777" w:rsidR="00561B22" w:rsidRDefault="00561B22" w:rsidP="00561B22">
      <w:pPr>
        <w:pStyle w:val="Ttulo1"/>
        <w:ind w:right="-50"/>
        <w:jc w:val="left"/>
        <w:rPr>
          <w:sz w:val="22"/>
          <w:szCs w:val="22"/>
        </w:rPr>
      </w:pPr>
    </w:p>
    <w:p w14:paraId="5CF7E352" w14:textId="77777777" w:rsidR="00561B22" w:rsidRPr="00C61735" w:rsidRDefault="00561B22" w:rsidP="00561B22">
      <w:pPr>
        <w:pStyle w:val="Textoindependiente"/>
        <w:ind w:right="-50"/>
        <w:jc w:val="center"/>
        <w:rPr>
          <w:rFonts w:ascii="Arial" w:hAnsi="Arial" w:cs="Arial"/>
          <w:b/>
          <w:bCs/>
        </w:rPr>
      </w:pPr>
      <w:r w:rsidRPr="00C61735">
        <w:rPr>
          <w:rFonts w:ascii="Arial" w:hAnsi="Arial" w:cs="Arial"/>
          <w:b/>
          <w:bCs/>
        </w:rPr>
        <w:t>INFORME DE LA AUTOCALIFICACIÓN DEL SISTEMA DE CONTROL INTERNO CONTABLE:</w:t>
      </w:r>
    </w:p>
    <w:p w14:paraId="2CD89AB4" w14:textId="77777777" w:rsidR="00561B22" w:rsidRPr="00C6173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C61735" w14:paraId="713558F2" w14:textId="77777777" w:rsidTr="00F1223B">
        <w:tc>
          <w:tcPr>
            <w:tcW w:w="4981" w:type="dxa"/>
          </w:tcPr>
          <w:p w14:paraId="0CB3C409"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AUTOCALIFICACIÓN</w:t>
            </w:r>
          </w:p>
        </w:tc>
        <w:tc>
          <w:tcPr>
            <w:tcW w:w="4981" w:type="dxa"/>
          </w:tcPr>
          <w:p w14:paraId="67743C2C" w14:textId="77777777" w:rsidR="00561B22" w:rsidRPr="00C61735" w:rsidRDefault="00561B22" w:rsidP="00F1223B">
            <w:pPr>
              <w:jc w:val="center"/>
              <w:rPr>
                <w:rFonts w:ascii="Arial" w:hAnsi="Arial" w:cs="Arial"/>
                <w:b/>
                <w:sz w:val="22"/>
                <w:szCs w:val="22"/>
                <w:u w:val="single"/>
                <w:lang w:val="es-MX"/>
              </w:rPr>
            </w:pPr>
            <w:r w:rsidRPr="00C61735">
              <w:rPr>
                <w:rFonts w:ascii="Arial" w:hAnsi="Arial" w:cs="Arial"/>
                <w:b/>
                <w:sz w:val="22"/>
                <w:szCs w:val="22"/>
                <w:u w:val="single"/>
                <w:lang w:val="es-MX"/>
              </w:rPr>
              <w:t>4.63</w:t>
            </w:r>
          </w:p>
        </w:tc>
      </w:tr>
    </w:tbl>
    <w:p w14:paraId="26A22A83" w14:textId="77777777" w:rsidR="00561B22" w:rsidRPr="00C61735" w:rsidRDefault="00561B22" w:rsidP="00561B22">
      <w:pPr>
        <w:pStyle w:val="Textoindependiente"/>
        <w:ind w:right="-50"/>
        <w:jc w:val="both"/>
        <w:rPr>
          <w:rFonts w:ascii="Arial" w:hAnsi="Arial" w:cs="Arial"/>
          <w:b/>
          <w:bCs/>
        </w:rPr>
      </w:pPr>
    </w:p>
    <w:p w14:paraId="36459AF6" w14:textId="77777777" w:rsidR="00561B22" w:rsidRPr="00C61735" w:rsidRDefault="00561B22" w:rsidP="00561B22">
      <w:pPr>
        <w:pStyle w:val="Textoindependiente"/>
        <w:ind w:right="-50"/>
        <w:jc w:val="both"/>
        <w:rPr>
          <w:rFonts w:ascii="Arial" w:hAnsi="Arial" w:cs="Arial"/>
          <w:b/>
          <w:bCs/>
        </w:rPr>
      </w:pPr>
      <w:r w:rsidRPr="00C61735">
        <w:rPr>
          <w:rFonts w:ascii="Arial" w:hAnsi="Arial" w:cs="Arial"/>
          <w:b/>
          <w:bCs/>
        </w:rPr>
        <w:t>Del informe enviado retomamos lo siguiente:</w:t>
      </w:r>
    </w:p>
    <w:p w14:paraId="2756B220" w14:textId="77777777" w:rsidR="00561B22" w:rsidRPr="00C61735"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C61735" w14:paraId="6A0CE2E0" w14:textId="77777777" w:rsidTr="00F1223B">
        <w:trPr>
          <w:trHeight w:val="384"/>
        </w:trPr>
        <w:tc>
          <w:tcPr>
            <w:tcW w:w="562" w:type="dxa"/>
          </w:tcPr>
          <w:p w14:paraId="43FC3889" w14:textId="77777777" w:rsidR="00561B22" w:rsidRPr="00C61735" w:rsidRDefault="00561B22" w:rsidP="00F1223B">
            <w:pPr>
              <w:ind w:right="-109"/>
              <w:jc w:val="center"/>
              <w:rPr>
                <w:rFonts w:ascii="Arial" w:hAnsi="Arial" w:cs="Arial"/>
                <w:b/>
                <w:sz w:val="22"/>
                <w:szCs w:val="22"/>
                <w:lang w:val="es-MX"/>
              </w:rPr>
            </w:pPr>
            <w:r w:rsidRPr="00C61735">
              <w:rPr>
                <w:rFonts w:ascii="Arial" w:hAnsi="Arial" w:cs="Arial"/>
                <w:b/>
                <w:sz w:val="22"/>
                <w:szCs w:val="22"/>
                <w:lang w:val="es-MX"/>
              </w:rPr>
              <w:t>N°</w:t>
            </w:r>
          </w:p>
        </w:tc>
        <w:tc>
          <w:tcPr>
            <w:tcW w:w="9400" w:type="dxa"/>
          </w:tcPr>
          <w:p w14:paraId="3E11C17A"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DEBILIDADES</w:t>
            </w:r>
          </w:p>
          <w:p w14:paraId="4A3839C4" w14:textId="77777777" w:rsidR="00561B22" w:rsidRPr="00C61735" w:rsidRDefault="00561B22" w:rsidP="00F1223B">
            <w:pPr>
              <w:jc w:val="center"/>
              <w:rPr>
                <w:rFonts w:ascii="Arial" w:hAnsi="Arial" w:cs="Arial"/>
                <w:b/>
                <w:sz w:val="22"/>
                <w:szCs w:val="22"/>
                <w:lang w:val="es-MX"/>
              </w:rPr>
            </w:pPr>
          </w:p>
        </w:tc>
      </w:tr>
      <w:tr w:rsidR="00561B22" w:rsidRPr="00C61735" w14:paraId="4E0CCB9A" w14:textId="77777777" w:rsidTr="00F1223B">
        <w:tc>
          <w:tcPr>
            <w:tcW w:w="562" w:type="dxa"/>
          </w:tcPr>
          <w:p w14:paraId="0B68A0F1"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1</w:t>
            </w:r>
          </w:p>
        </w:tc>
        <w:tc>
          <w:tcPr>
            <w:tcW w:w="9400" w:type="dxa"/>
          </w:tcPr>
          <w:p w14:paraId="47F2F0CD"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Problemas de conectividad para la elaboración de las cuentas de cobro de los contratistas en el aplicativo SIIF.</w:t>
            </w:r>
          </w:p>
        </w:tc>
      </w:tr>
      <w:tr w:rsidR="00561B22" w:rsidRPr="00C61735" w14:paraId="5522604E" w14:textId="77777777" w:rsidTr="00F1223B">
        <w:tc>
          <w:tcPr>
            <w:tcW w:w="562" w:type="dxa"/>
          </w:tcPr>
          <w:p w14:paraId="5BEBB8B2"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2</w:t>
            </w:r>
          </w:p>
        </w:tc>
        <w:tc>
          <w:tcPr>
            <w:tcW w:w="9400" w:type="dxa"/>
          </w:tcPr>
          <w:p w14:paraId="7D197820"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Teniendo en cuenta la compleja estructura de la Entidad, no es fácil la verificación oportuna diaria de las operaciones que afectan los registros contables</w:t>
            </w:r>
          </w:p>
        </w:tc>
      </w:tr>
    </w:tbl>
    <w:p w14:paraId="22D573C5" w14:textId="77777777" w:rsidR="00561B22" w:rsidRPr="00C61735" w:rsidRDefault="00561B22" w:rsidP="00561B22">
      <w:pPr>
        <w:pStyle w:val="Textoindependiente"/>
        <w:ind w:right="-50"/>
        <w:jc w:val="both"/>
        <w:rPr>
          <w:rFonts w:ascii="Arial" w:hAnsi="Arial" w:cs="Arial"/>
          <w:b/>
          <w:bCs/>
        </w:rPr>
      </w:pPr>
    </w:p>
    <w:p w14:paraId="71C70177" w14:textId="77777777" w:rsidR="00561B22" w:rsidRPr="00C61735" w:rsidRDefault="00561B22" w:rsidP="00561B22">
      <w:pPr>
        <w:jc w:val="both"/>
        <w:rPr>
          <w:rFonts w:ascii="Arial" w:hAnsi="Arial" w:cs="Arial"/>
          <w:b/>
          <w:lang w:val="es-MX"/>
        </w:rPr>
      </w:pPr>
      <w:r w:rsidRPr="00C61735">
        <w:rPr>
          <w:rFonts w:ascii="Arial" w:hAnsi="Arial" w:cs="Arial"/>
          <w:b/>
          <w:lang w:val="es-MX"/>
        </w:rPr>
        <w:t>Del citado informe retomamos las siguientes recomendaciones:</w:t>
      </w:r>
    </w:p>
    <w:p w14:paraId="7A901535" w14:textId="77777777" w:rsidR="00561B22" w:rsidRPr="00C61735" w:rsidRDefault="00561B22" w:rsidP="00561B22">
      <w:pPr>
        <w:rPr>
          <w:rFonts w:ascii="Arial" w:hAnsi="Arial" w:cs="Arial"/>
          <w:lang w:val="es-MX"/>
        </w:rPr>
      </w:pPr>
    </w:p>
    <w:tbl>
      <w:tblPr>
        <w:tblStyle w:val="Tablaconcuadrcula"/>
        <w:tblW w:w="0" w:type="auto"/>
        <w:tblLook w:val="04A0" w:firstRow="1" w:lastRow="0" w:firstColumn="1" w:lastColumn="0" w:noHBand="0" w:noVBand="1"/>
      </w:tblPr>
      <w:tblGrid>
        <w:gridCol w:w="562"/>
        <w:gridCol w:w="9400"/>
      </w:tblGrid>
      <w:tr w:rsidR="00561B22" w:rsidRPr="00C61735" w14:paraId="7A42C480" w14:textId="77777777" w:rsidTr="00F1223B">
        <w:tc>
          <w:tcPr>
            <w:tcW w:w="562" w:type="dxa"/>
          </w:tcPr>
          <w:p w14:paraId="048A9083" w14:textId="77777777" w:rsidR="00561B22" w:rsidRPr="00C61735" w:rsidRDefault="00561B22" w:rsidP="00F1223B">
            <w:pPr>
              <w:ind w:right="-109"/>
              <w:jc w:val="center"/>
              <w:rPr>
                <w:rFonts w:ascii="Arial" w:hAnsi="Arial" w:cs="Arial"/>
                <w:b/>
                <w:sz w:val="22"/>
                <w:szCs w:val="22"/>
                <w:lang w:val="es-MX"/>
              </w:rPr>
            </w:pPr>
            <w:r w:rsidRPr="00C61735">
              <w:rPr>
                <w:rFonts w:ascii="Arial" w:hAnsi="Arial" w:cs="Arial"/>
                <w:b/>
                <w:sz w:val="22"/>
                <w:szCs w:val="22"/>
                <w:lang w:val="es-MX"/>
              </w:rPr>
              <w:t>N°</w:t>
            </w:r>
          </w:p>
        </w:tc>
        <w:tc>
          <w:tcPr>
            <w:tcW w:w="9400" w:type="dxa"/>
          </w:tcPr>
          <w:p w14:paraId="52D6A79D"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RECOMENDACIONES</w:t>
            </w:r>
          </w:p>
          <w:p w14:paraId="0FE90A74" w14:textId="77777777" w:rsidR="00561B22" w:rsidRPr="00C61735" w:rsidRDefault="00561B22" w:rsidP="00F1223B">
            <w:pPr>
              <w:jc w:val="center"/>
              <w:rPr>
                <w:rFonts w:ascii="Arial" w:hAnsi="Arial" w:cs="Arial"/>
                <w:b/>
                <w:sz w:val="22"/>
                <w:szCs w:val="22"/>
                <w:lang w:val="es-MX"/>
              </w:rPr>
            </w:pPr>
          </w:p>
        </w:tc>
      </w:tr>
      <w:tr w:rsidR="00561B22" w:rsidRPr="00C61735" w14:paraId="4F73E461" w14:textId="77777777" w:rsidTr="00F1223B">
        <w:tc>
          <w:tcPr>
            <w:tcW w:w="562" w:type="dxa"/>
          </w:tcPr>
          <w:p w14:paraId="6E7963D3"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1</w:t>
            </w:r>
          </w:p>
        </w:tc>
        <w:tc>
          <w:tcPr>
            <w:tcW w:w="9400" w:type="dxa"/>
          </w:tcPr>
          <w:p w14:paraId="41F78346"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 xml:space="preserve">Continuar realizando autoevaluaciones periódicas para la verificación de la eficiencia de las </w:t>
            </w:r>
            <w:r w:rsidRPr="00C61735">
              <w:rPr>
                <w:rFonts w:ascii="Arial" w:hAnsi="Arial" w:cs="Arial"/>
                <w:sz w:val="22"/>
                <w:szCs w:val="22"/>
              </w:rPr>
              <w:lastRenderedPageBreak/>
              <w:t xml:space="preserve">actividades, con el fin de estar siempre en mejoramiento continuo. </w:t>
            </w:r>
          </w:p>
        </w:tc>
      </w:tr>
      <w:tr w:rsidR="00561B22" w:rsidRPr="00C61735" w14:paraId="611C702E" w14:textId="77777777" w:rsidTr="00F1223B">
        <w:tc>
          <w:tcPr>
            <w:tcW w:w="562" w:type="dxa"/>
          </w:tcPr>
          <w:p w14:paraId="2C0D2FD0"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lastRenderedPageBreak/>
              <w:t>2</w:t>
            </w:r>
          </w:p>
        </w:tc>
        <w:tc>
          <w:tcPr>
            <w:tcW w:w="9400" w:type="dxa"/>
          </w:tcPr>
          <w:p w14:paraId="10EFF87C"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Los indicadores se encuentran enfocados al cumplimiento de actividades, más no al impacto de los Estados Financieros.</w:t>
            </w:r>
          </w:p>
        </w:tc>
      </w:tr>
      <w:tr w:rsidR="00561B22" w:rsidRPr="00C61735" w14:paraId="6EE34898" w14:textId="77777777" w:rsidTr="00F1223B">
        <w:tc>
          <w:tcPr>
            <w:tcW w:w="562" w:type="dxa"/>
          </w:tcPr>
          <w:p w14:paraId="1B088B53"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3</w:t>
            </w:r>
          </w:p>
        </w:tc>
        <w:tc>
          <w:tcPr>
            <w:tcW w:w="9400" w:type="dxa"/>
          </w:tcPr>
          <w:p w14:paraId="31D5B73C"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El área contable tiene establecidas la matriz de riesgos de índole contable identificados en cada proceso, sin embargo, es recomendable abarcar otras cuentas representativas del balance.</w:t>
            </w:r>
          </w:p>
        </w:tc>
      </w:tr>
      <w:tr w:rsidR="00561B22" w:rsidRPr="00C61735" w14:paraId="1F94359E" w14:textId="77777777" w:rsidTr="00F1223B">
        <w:tc>
          <w:tcPr>
            <w:tcW w:w="562" w:type="dxa"/>
          </w:tcPr>
          <w:p w14:paraId="2064DA38"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4</w:t>
            </w:r>
          </w:p>
        </w:tc>
        <w:tc>
          <w:tcPr>
            <w:tcW w:w="9400" w:type="dxa"/>
          </w:tcPr>
          <w:p w14:paraId="58145881"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Realizar Capacitaciones frecuentes en el aplicativo HGFI, las cuales fueron sugeridas por las Regionales.</w:t>
            </w:r>
          </w:p>
        </w:tc>
      </w:tr>
      <w:tr w:rsidR="00561B22" w:rsidRPr="00C61735" w14:paraId="18FCF578" w14:textId="77777777" w:rsidTr="00F1223B">
        <w:tc>
          <w:tcPr>
            <w:tcW w:w="562" w:type="dxa"/>
          </w:tcPr>
          <w:p w14:paraId="13D99F54" w14:textId="77777777" w:rsidR="00561B22" w:rsidRPr="00C61735" w:rsidRDefault="00561B22" w:rsidP="00F1223B">
            <w:pPr>
              <w:jc w:val="center"/>
              <w:rPr>
                <w:rFonts w:ascii="Arial" w:hAnsi="Arial" w:cs="Arial"/>
                <w:b/>
                <w:sz w:val="22"/>
                <w:szCs w:val="22"/>
                <w:lang w:val="es-MX"/>
              </w:rPr>
            </w:pPr>
            <w:r w:rsidRPr="00C61735">
              <w:rPr>
                <w:rFonts w:ascii="Arial" w:hAnsi="Arial" w:cs="Arial"/>
                <w:b/>
                <w:sz w:val="22"/>
                <w:szCs w:val="22"/>
                <w:lang w:val="es-MX"/>
              </w:rPr>
              <w:t>5</w:t>
            </w:r>
          </w:p>
        </w:tc>
        <w:tc>
          <w:tcPr>
            <w:tcW w:w="9400" w:type="dxa"/>
          </w:tcPr>
          <w:p w14:paraId="1EC22472" w14:textId="77777777" w:rsidR="00561B22" w:rsidRPr="00C61735" w:rsidRDefault="00561B22" w:rsidP="00F1223B">
            <w:pPr>
              <w:jc w:val="both"/>
              <w:rPr>
                <w:rFonts w:ascii="Arial" w:hAnsi="Arial" w:cs="Arial"/>
                <w:b/>
                <w:sz w:val="22"/>
                <w:szCs w:val="22"/>
                <w:lang w:val="es-MX"/>
              </w:rPr>
            </w:pPr>
            <w:r w:rsidRPr="00C61735">
              <w:rPr>
                <w:rFonts w:ascii="Arial" w:hAnsi="Arial" w:cs="Arial"/>
                <w:sz w:val="22"/>
                <w:szCs w:val="22"/>
              </w:rPr>
              <w:t>Se requiere incluir en el plan de capacitaciones anual, temas referentes a la normatividad contable, para el grupo de contabilidad y sus involucrados.</w:t>
            </w:r>
          </w:p>
        </w:tc>
      </w:tr>
    </w:tbl>
    <w:p w14:paraId="26B3927D" w14:textId="77777777" w:rsidR="00EE0D80" w:rsidRDefault="00EE0D80" w:rsidP="00561B22">
      <w:pPr>
        <w:jc w:val="both"/>
        <w:rPr>
          <w:rFonts w:ascii="Arial" w:hAnsi="Arial" w:cs="Arial"/>
          <w:b/>
          <w:bCs/>
          <w:sz w:val="24"/>
          <w:szCs w:val="24"/>
          <w:lang w:val="es-CO"/>
        </w:rPr>
      </w:pPr>
    </w:p>
    <w:p w14:paraId="3B61BE15" w14:textId="0B571454" w:rsidR="00561B22" w:rsidRPr="00C61735" w:rsidRDefault="00561B22" w:rsidP="00561B22">
      <w:pPr>
        <w:jc w:val="both"/>
        <w:rPr>
          <w:rFonts w:ascii="Arial" w:hAnsi="Arial" w:cs="Arial"/>
          <w:b/>
          <w:bCs/>
          <w:sz w:val="24"/>
          <w:szCs w:val="24"/>
          <w:lang w:val="es-CO"/>
        </w:rPr>
      </w:pPr>
      <w:r w:rsidRPr="00C61735">
        <w:rPr>
          <w:rFonts w:ascii="Arial" w:hAnsi="Arial" w:cs="Arial"/>
          <w:b/>
          <w:bCs/>
          <w:sz w:val="24"/>
          <w:szCs w:val="24"/>
          <w:lang w:val="es-CO"/>
        </w:rPr>
        <w:t xml:space="preserve">NOTA: LA ENTIDAD ENVIA LA MATRIZ DE AUTOEVALUACIÓN DEL SISTEMA DE CONTROL INTERNO CONTABLE CON </w:t>
      </w:r>
      <w:r w:rsidRPr="00C61735">
        <w:rPr>
          <w:rFonts w:ascii="Arial" w:hAnsi="Arial" w:cs="Arial"/>
          <w:b/>
          <w:bCs/>
          <w:sz w:val="24"/>
          <w:szCs w:val="24"/>
          <w:u w:val="single"/>
          <w:lang w:val="es-CO"/>
        </w:rPr>
        <w:t>ACTIVIDADES DE CONTROL REALIZADAS EN FORMA PARCIAL</w:t>
      </w:r>
      <w:r w:rsidRPr="00C61735">
        <w:rPr>
          <w:rFonts w:ascii="Arial" w:hAnsi="Arial" w:cs="Arial"/>
          <w:b/>
          <w:bCs/>
          <w:sz w:val="24"/>
          <w:szCs w:val="24"/>
          <w:lang w:val="es-CO"/>
        </w:rPr>
        <w:t>.</w:t>
      </w:r>
    </w:p>
    <w:p w14:paraId="2FC5FC07" w14:textId="77777777" w:rsidR="00561B22" w:rsidRDefault="00561B22" w:rsidP="00561B22">
      <w:pPr>
        <w:pStyle w:val="Ttulo1"/>
        <w:ind w:right="-50"/>
        <w:jc w:val="left"/>
        <w:rPr>
          <w:sz w:val="22"/>
          <w:szCs w:val="22"/>
        </w:rPr>
      </w:pPr>
    </w:p>
    <w:p w14:paraId="59626E8F" w14:textId="77777777" w:rsidR="00561B22" w:rsidRPr="00EE4205" w:rsidRDefault="00561B22" w:rsidP="00561B22">
      <w:pPr>
        <w:jc w:val="both"/>
        <w:rPr>
          <w:rFonts w:ascii="Arial" w:hAnsi="Arial" w:cs="Arial"/>
          <w:b/>
          <w:sz w:val="28"/>
          <w:szCs w:val="28"/>
          <w:lang w:val="es-MX"/>
        </w:rPr>
      </w:pPr>
      <w:r w:rsidRPr="00EE4205">
        <w:rPr>
          <w:rFonts w:ascii="Arial" w:hAnsi="Arial" w:cs="Arial"/>
          <w:b/>
          <w:sz w:val="28"/>
          <w:szCs w:val="28"/>
          <w:lang w:val="es-MX"/>
        </w:rPr>
        <w:t>345.- INSTITUTO DE INVESTIGACIONES MARINAS Y COSTERAS “JOSÉ BENITO VIVES DE ANDRÉIS” - INVEMAR.</w:t>
      </w:r>
    </w:p>
    <w:p w14:paraId="303851DF" w14:textId="77777777" w:rsidR="00561B22" w:rsidRDefault="00561B22" w:rsidP="00561B22">
      <w:pPr>
        <w:pStyle w:val="Ttulo1"/>
        <w:ind w:right="-50"/>
        <w:jc w:val="left"/>
        <w:rPr>
          <w:sz w:val="22"/>
          <w:szCs w:val="22"/>
        </w:rPr>
      </w:pPr>
    </w:p>
    <w:p w14:paraId="7BA99D64" w14:textId="77777777" w:rsidR="00561B22" w:rsidRPr="00E320E0" w:rsidRDefault="00561B22" w:rsidP="00561B22">
      <w:pPr>
        <w:jc w:val="center"/>
        <w:rPr>
          <w:rFonts w:ascii="Arial" w:hAnsi="Arial" w:cs="Arial"/>
          <w:b/>
          <w:lang w:val="es-MX"/>
        </w:rPr>
      </w:pPr>
      <w:r w:rsidRPr="00E320E0">
        <w:rPr>
          <w:rFonts w:ascii="Arial" w:hAnsi="Arial" w:cs="Arial"/>
          <w:b/>
          <w:lang w:val="es-MX"/>
        </w:rPr>
        <w:t>INFORME DE LA AUTOCALIFICACIÓN DEL SISTEMA DE CONTROL INTERNO CONTABLE:</w:t>
      </w:r>
    </w:p>
    <w:p w14:paraId="35080D2D" w14:textId="77777777" w:rsidR="00561B22" w:rsidRPr="00E320E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4981"/>
        <w:gridCol w:w="4981"/>
      </w:tblGrid>
      <w:tr w:rsidR="00561B22" w:rsidRPr="00E320E0" w14:paraId="516DF5D4" w14:textId="77777777" w:rsidTr="00F1223B">
        <w:tc>
          <w:tcPr>
            <w:tcW w:w="4981" w:type="dxa"/>
          </w:tcPr>
          <w:p w14:paraId="10EE36F7" w14:textId="77777777" w:rsidR="00561B22" w:rsidRPr="00E320E0" w:rsidRDefault="00561B22" w:rsidP="00F1223B">
            <w:pPr>
              <w:jc w:val="center"/>
              <w:rPr>
                <w:rFonts w:ascii="Arial" w:hAnsi="Arial" w:cs="Arial"/>
                <w:b/>
                <w:sz w:val="22"/>
                <w:szCs w:val="22"/>
                <w:lang w:val="es-MX"/>
              </w:rPr>
            </w:pPr>
            <w:r w:rsidRPr="00E320E0">
              <w:rPr>
                <w:rFonts w:ascii="Arial" w:hAnsi="Arial" w:cs="Arial"/>
                <w:b/>
                <w:sz w:val="22"/>
                <w:szCs w:val="22"/>
                <w:lang w:val="es-MX"/>
              </w:rPr>
              <w:t>AUTOCALIFICACIÓN</w:t>
            </w:r>
          </w:p>
        </w:tc>
        <w:tc>
          <w:tcPr>
            <w:tcW w:w="4981" w:type="dxa"/>
          </w:tcPr>
          <w:p w14:paraId="1DBF5D60" w14:textId="77777777" w:rsidR="00561B22" w:rsidRPr="00E320E0" w:rsidRDefault="00561B22" w:rsidP="00F1223B">
            <w:pPr>
              <w:jc w:val="center"/>
              <w:rPr>
                <w:rFonts w:ascii="Arial" w:hAnsi="Arial" w:cs="Arial"/>
                <w:b/>
                <w:sz w:val="22"/>
                <w:szCs w:val="22"/>
                <w:u w:val="single"/>
                <w:lang w:val="es-MX"/>
              </w:rPr>
            </w:pPr>
            <w:r w:rsidRPr="00E320E0">
              <w:rPr>
                <w:rFonts w:ascii="Arial" w:hAnsi="Arial" w:cs="Arial"/>
                <w:b/>
                <w:sz w:val="22"/>
                <w:szCs w:val="22"/>
                <w:u w:val="single"/>
                <w:lang w:val="es-MX"/>
              </w:rPr>
              <w:t>4.92</w:t>
            </w:r>
          </w:p>
        </w:tc>
      </w:tr>
    </w:tbl>
    <w:p w14:paraId="027CAA93" w14:textId="77777777" w:rsidR="00561B22" w:rsidRPr="00E320E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E320E0" w14:paraId="748E57B0" w14:textId="77777777" w:rsidTr="00F1223B">
        <w:tc>
          <w:tcPr>
            <w:tcW w:w="562" w:type="dxa"/>
          </w:tcPr>
          <w:p w14:paraId="03A873BE" w14:textId="77777777" w:rsidR="00561B22" w:rsidRPr="00E320E0" w:rsidRDefault="00561B22" w:rsidP="00F1223B">
            <w:pPr>
              <w:ind w:right="-109"/>
              <w:jc w:val="center"/>
              <w:rPr>
                <w:rFonts w:ascii="Arial" w:hAnsi="Arial" w:cs="Arial"/>
                <w:b/>
                <w:sz w:val="22"/>
                <w:szCs w:val="22"/>
                <w:lang w:val="es-MX"/>
              </w:rPr>
            </w:pPr>
            <w:r w:rsidRPr="00E320E0">
              <w:rPr>
                <w:rFonts w:ascii="Arial" w:hAnsi="Arial" w:cs="Arial"/>
                <w:b/>
                <w:sz w:val="22"/>
                <w:szCs w:val="22"/>
                <w:lang w:val="es-MX"/>
              </w:rPr>
              <w:t>N°</w:t>
            </w:r>
          </w:p>
        </w:tc>
        <w:tc>
          <w:tcPr>
            <w:tcW w:w="9400" w:type="dxa"/>
          </w:tcPr>
          <w:p w14:paraId="706CE530" w14:textId="77777777" w:rsidR="00561B22" w:rsidRPr="00E320E0" w:rsidRDefault="00561B22" w:rsidP="00F1223B">
            <w:pPr>
              <w:jc w:val="center"/>
              <w:rPr>
                <w:rFonts w:ascii="Arial" w:hAnsi="Arial" w:cs="Arial"/>
                <w:b/>
                <w:sz w:val="22"/>
                <w:szCs w:val="22"/>
                <w:lang w:val="es-MX"/>
              </w:rPr>
            </w:pPr>
            <w:r w:rsidRPr="00E320E0">
              <w:rPr>
                <w:rFonts w:ascii="Arial" w:hAnsi="Arial" w:cs="Arial"/>
                <w:b/>
                <w:sz w:val="22"/>
                <w:szCs w:val="22"/>
                <w:lang w:val="es-MX"/>
              </w:rPr>
              <w:t>DEBILIDADES</w:t>
            </w:r>
          </w:p>
          <w:p w14:paraId="1CA156DF" w14:textId="77777777" w:rsidR="00561B22" w:rsidRPr="00E320E0" w:rsidRDefault="00561B22" w:rsidP="00F1223B">
            <w:pPr>
              <w:jc w:val="center"/>
              <w:rPr>
                <w:rFonts w:ascii="Arial" w:hAnsi="Arial" w:cs="Arial"/>
                <w:b/>
                <w:sz w:val="22"/>
                <w:szCs w:val="22"/>
                <w:lang w:val="es-MX"/>
              </w:rPr>
            </w:pPr>
          </w:p>
        </w:tc>
      </w:tr>
      <w:tr w:rsidR="00561B22" w:rsidRPr="00E320E0" w14:paraId="192F64CF" w14:textId="77777777" w:rsidTr="00F1223B">
        <w:tc>
          <w:tcPr>
            <w:tcW w:w="562" w:type="dxa"/>
          </w:tcPr>
          <w:p w14:paraId="13C7015D" w14:textId="77777777" w:rsidR="00561B22" w:rsidRPr="00E320E0" w:rsidRDefault="00561B22" w:rsidP="00F1223B">
            <w:pPr>
              <w:jc w:val="center"/>
              <w:rPr>
                <w:rFonts w:ascii="Arial" w:hAnsi="Arial" w:cs="Arial"/>
                <w:b/>
                <w:sz w:val="22"/>
                <w:szCs w:val="22"/>
                <w:lang w:val="es-MX"/>
              </w:rPr>
            </w:pPr>
            <w:r w:rsidRPr="00E320E0">
              <w:rPr>
                <w:rFonts w:ascii="Arial" w:hAnsi="Arial" w:cs="Arial"/>
                <w:b/>
                <w:sz w:val="22"/>
                <w:szCs w:val="22"/>
                <w:lang w:val="es-MX"/>
              </w:rPr>
              <w:t>1</w:t>
            </w:r>
          </w:p>
        </w:tc>
        <w:tc>
          <w:tcPr>
            <w:tcW w:w="9400" w:type="dxa"/>
          </w:tcPr>
          <w:p w14:paraId="548BFB2A" w14:textId="77777777" w:rsidR="00561B22" w:rsidRPr="00E320E0" w:rsidRDefault="00561B22" w:rsidP="00F1223B">
            <w:pPr>
              <w:jc w:val="both"/>
              <w:rPr>
                <w:rFonts w:ascii="Arial" w:hAnsi="Arial" w:cs="Arial"/>
                <w:bCs/>
                <w:sz w:val="22"/>
                <w:szCs w:val="22"/>
                <w:lang w:val="es-MX"/>
              </w:rPr>
            </w:pPr>
            <w:r w:rsidRPr="00E320E0">
              <w:rPr>
                <w:rFonts w:ascii="Arial" w:hAnsi="Arial" w:cs="Arial"/>
                <w:bCs/>
                <w:sz w:val="22"/>
                <w:szCs w:val="22"/>
                <w:lang w:val="es-MX"/>
              </w:rPr>
              <w:t>Se identifican oportunidades de mejora relacionadas con la revelación de hechos económicos de forma oportuna asociadas a las inversiones de liquidez; la aplicación del procedimiento para el manejo y custodia de los activos bajo la responsabilidad del trabajador y del procedimiento para la adquisición de pólizas y reclamación por siniestros. La determinación de indicios del deterioro del valor de los activos de acuerdo con las fuentes externas e internas de información, así como, la aplicación del deterioro de cartera.</w:t>
            </w:r>
          </w:p>
        </w:tc>
      </w:tr>
    </w:tbl>
    <w:p w14:paraId="4A3B17EA" w14:textId="77777777" w:rsidR="00561B22" w:rsidRPr="00E320E0" w:rsidRDefault="00561B22" w:rsidP="00561B22">
      <w:pPr>
        <w:jc w:val="both"/>
        <w:rPr>
          <w:rFonts w:ascii="Arial" w:hAnsi="Arial" w:cs="Arial"/>
          <w:b/>
          <w:lang w:val="es-MX"/>
        </w:rPr>
      </w:pPr>
    </w:p>
    <w:p w14:paraId="5811471F" w14:textId="77777777" w:rsidR="00561B22" w:rsidRPr="00E320E0" w:rsidRDefault="00561B22" w:rsidP="00561B22">
      <w:pPr>
        <w:jc w:val="both"/>
        <w:rPr>
          <w:rFonts w:ascii="Arial" w:hAnsi="Arial" w:cs="Arial"/>
          <w:b/>
          <w:lang w:val="es-MX"/>
        </w:rPr>
      </w:pPr>
      <w:r w:rsidRPr="00E320E0">
        <w:rPr>
          <w:rFonts w:ascii="Arial" w:hAnsi="Arial" w:cs="Arial"/>
          <w:b/>
          <w:lang w:val="es-MX"/>
        </w:rPr>
        <w:t>Del citado informe retomamos las siguientes recomendaciones:</w:t>
      </w:r>
    </w:p>
    <w:p w14:paraId="29E2454F" w14:textId="77777777" w:rsidR="00561B22" w:rsidRPr="00E320E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E320E0" w14:paraId="75ED6C4F" w14:textId="77777777" w:rsidTr="00F1223B">
        <w:tc>
          <w:tcPr>
            <w:tcW w:w="562" w:type="dxa"/>
          </w:tcPr>
          <w:p w14:paraId="6889A164" w14:textId="77777777" w:rsidR="00561B22" w:rsidRPr="00E320E0" w:rsidRDefault="00561B22" w:rsidP="00F1223B">
            <w:pPr>
              <w:ind w:right="-109"/>
              <w:jc w:val="center"/>
              <w:rPr>
                <w:rFonts w:ascii="Arial" w:hAnsi="Arial" w:cs="Arial"/>
                <w:b/>
                <w:sz w:val="22"/>
                <w:szCs w:val="22"/>
                <w:lang w:val="es-MX"/>
              </w:rPr>
            </w:pPr>
            <w:r w:rsidRPr="00E320E0">
              <w:rPr>
                <w:rFonts w:ascii="Arial" w:hAnsi="Arial" w:cs="Arial"/>
                <w:b/>
                <w:sz w:val="22"/>
                <w:szCs w:val="22"/>
                <w:lang w:val="es-MX"/>
              </w:rPr>
              <w:t>N°</w:t>
            </w:r>
          </w:p>
        </w:tc>
        <w:tc>
          <w:tcPr>
            <w:tcW w:w="9400" w:type="dxa"/>
          </w:tcPr>
          <w:p w14:paraId="0301744A" w14:textId="77777777" w:rsidR="00561B22" w:rsidRPr="00E320E0" w:rsidRDefault="00561B22" w:rsidP="00F1223B">
            <w:pPr>
              <w:jc w:val="center"/>
              <w:rPr>
                <w:rFonts w:ascii="Arial" w:hAnsi="Arial" w:cs="Arial"/>
                <w:b/>
                <w:sz w:val="22"/>
                <w:szCs w:val="22"/>
                <w:lang w:val="es-MX"/>
              </w:rPr>
            </w:pPr>
            <w:r w:rsidRPr="00E320E0">
              <w:rPr>
                <w:rFonts w:ascii="Arial" w:hAnsi="Arial" w:cs="Arial"/>
                <w:b/>
                <w:sz w:val="22"/>
                <w:szCs w:val="22"/>
                <w:lang w:val="es-MX"/>
              </w:rPr>
              <w:t>RECOMENDACIONES</w:t>
            </w:r>
          </w:p>
          <w:p w14:paraId="69D6F121" w14:textId="77777777" w:rsidR="00561B22" w:rsidRPr="00E320E0" w:rsidRDefault="00561B22" w:rsidP="00F1223B">
            <w:pPr>
              <w:jc w:val="center"/>
              <w:rPr>
                <w:rFonts w:ascii="Arial" w:hAnsi="Arial" w:cs="Arial"/>
                <w:b/>
                <w:sz w:val="22"/>
                <w:szCs w:val="22"/>
                <w:lang w:val="es-MX"/>
              </w:rPr>
            </w:pPr>
          </w:p>
        </w:tc>
      </w:tr>
      <w:tr w:rsidR="00561B22" w:rsidRPr="00E320E0" w14:paraId="4FE6E8C3" w14:textId="77777777" w:rsidTr="00F1223B">
        <w:tc>
          <w:tcPr>
            <w:tcW w:w="562" w:type="dxa"/>
          </w:tcPr>
          <w:p w14:paraId="30610411" w14:textId="77777777" w:rsidR="00561B22" w:rsidRPr="00E320E0" w:rsidRDefault="00561B22" w:rsidP="00F1223B">
            <w:pPr>
              <w:jc w:val="center"/>
              <w:rPr>
                <w:rFonts w:ascii="Arial" w:hAnsi="Arial" w:cs="Arial"/>
                <w:b/>
                <w:sz w:val="22"/>
                <w:szCs w:val="22"/>
                <w:lang w:val="es-MX"/>
              </w:rPr>
            </w:pPr>
            <w:r w:rsidRPr="00E320E0">
              <w:rPr>
                <w:rFonts w:ascii="Arial" w:hAnsi="Arial" w:cs="Arial"/>
                <w:b/>
                <w:sz w:val="22"/>
                <w:szCs w:val="22"/>
                <w:lang w:val="es-MX"/>
              </w:rPr>
              <w:t>1</w:t>
            </w:r>
          </w:p>
        </w:tc>
        <w:tc>
          <w:tcPr>
            <w:tcW w:w="9400" w:type="dxa"/>
          </w:tcPr>
          <w:p w14:paraId="14E5D346" w14:textId="77777777" w:rsidR="00561B22" w:rsidRPr="00E320E0" w:rsidRDefault="00561B22" w:rsidP="00F1223B">
            <w:pPr>
              <w:jc w:val="both"/>
              <w:rPr>
                <w:rFonts w:ascii="Arial" w:hAnsi="Arial" w:cs="Arial"/>
                <w:bCs/>
                <w:sz w:val="22"/>
                <w:szCs w:val="22"/>
                <w:lang w:val="es-MX"/>
              </w:rPr>
            </w:pPr>
            <w:r w:rsidRPr="00E320E0">
              <w:rPr>
                <w:rFonts w:ascii="Arial" w:hAnsi="Arial" w:cs="Arial"/>
                <w:bCs/>
                <w:sz w:val="22"/>
                <w:szCs w:val="22"/>
                <w:lang w:val="es-MX"/>
              </w:rPr>
              <w:t>Impactar la oportunidad del registro de terceros responsables de inventarios en el SUNOEE, el cierre de cuentas bancarias conforme términos y criterios definidos en la estructura documental del proceso y la actualización de registros contables asociados a procesos judiciales.</w:t>
            </w:r>
          </w:p>
        </w:tc>
      </w:tr>
    </w:tbl>
    <w:p w14:paraId="687C73DA" w14:textId="77777777" w:rsidR="00561B22" w:rsidRPr="00E320E0" w:rsidRDefault="00561B22" w:rsidP="00561B22">
      <w:pPr>
        <w:jc w:val="both"/>
        <w:rPr>
          <w:rFonts w:ascii="Arial" w:hAnsi="Arial" w:cs="Arial"/>
          <w:b/>
          <w:lang w:val="es-MX"/>
        </w:rPr>
      </w:pPr>
    </w:p>
    <w:p w14:paraId="09756B6F" w14:textId="77777777" w:rsidR="00561B22" w:rsidRPr="00E320E0" w:rsidRDefault="00561B22" w:rsidP="00561B22">
      <w:pPr>
        <w:jc w:val="both"/>
        <w:rPr>
          <w:rFonts w:ascii="Arial" w:hAnsi="Arial" w:cs="Arial"/>
          <w:b/>
          <w:sz w:val="24"/>
          <w:szCs w:val="24"/>
          <w:u w:val="single"/>
          <w:lang w:val="es-MX"/>
        </w:rPr>
      </w:pPr>
      <w:r w:rsidRPr="00E320E0">
        <w:rPr>
          <w:rFonts w:ascii="Arial" w:hAnsi="Arial" w:cs="Arial"/>
          <w:b/>
          <w:sz w:val="24"/>
          <w:szCs w:val="24"/>
          <w:lang w:val="es-MX"/>
        </w:rPr>
        <w:t>NOTA:</w:t>
      </w:r>
      <w:r w:rsidRPr="00E320E0">
        <w:rPr>
          <w:rFonts w:ascii="Arial" w:hAnsi="Arial" w:cs="Arial"/>
          <w:b/>
          <w:sz w:val="28"/>
          <w:szCs w:val="28"/>
          <w:lang w:val="es-MX"/>
        </w:rPr>
        <w:t xml:space="preserve"> </w:t>
      </w:r>
      <w:r w:rsidRPr="00E320E0">
        <w:rPr>
          <w:rFonts w:ascii="Arial" w:hAnsi="Arial" w:cs="Arial"/>
          <w:b/>
          <w:sz w:val="24"/>
          <w:szCs w:val="24"/>
          <w:lang w:val="es-MX"/>
        </w:rPr>
        <w:t xml:space="preserve">LA ENTIDAD ENVÍA LA MATRIZ DE AUTOEVALUACIÓN DEL SISTEMA DE CONTROL INTERNO CON </w:t>
      </w:r>
      <w:r w:rsidRPr="00E320E0">
        <w:rPr>
          <w:rFonts w:ascii="Arial" w:hAnsi="Arial" w:cs="Arial"/>
          <w:b/>
          <w:sz w:val="24"/>
          <w:szCs w:val="24"/>
          <w:u w:val="single"/>
          <w:lang w:val="es-MX"/>
        </w:rPr>
        <w:t>ACTIVIDADES DE CONTROL REALIZADAS EN FORMA PARCIAL.</w:t>
      </w:r>
    </w:p>
    <w:p w14:paraId="78A730C0" w14:textId="77777777" w:rsidR="00561B22" w:rsidRPr="00E320E0" w:rsidRDefault="00561B22" w:rsidP="00561B22">
      <w:pPr>
        <w:jc w:val="both"/>
        <w:rPr>
          <w:rFonts w:ascii="Arial" w:hAnsi="Arial" w:cs="Arial"/>
          <w:b/>
          <w:sz w:val="28"/>
          <w:szCs w:val="28"/>
          <w:lang w:val="es-MX"/>
        </w:rPr>
      </w:pPr>
    </w:p>
    <w:p w14:paraId="41063521" w14:textId="77777777" w:rsidR="00561B22" w:rsidRPr="00A061AF" w:rsidRDefault="00561B22" w:rsidP="00561B22">
      <w:pPr>
        <w:jc w:val="both"/>
        <w:rPr>
          <w:rFonts w:ascii="Arial" w:hAnsi="Arial" w:cs="Arial"/>
          <w:b/>
          <w:sz w:val="28"/>
          <w:szCs w:val="28"/>
          <w:lang w:val="es-MX"/>
        </w:rPr>
      </w:pPr>
      <w:r w:rsidRPr="00A061AF">
        <w:rPr>
          <w:rFonts w:ascii="Arial" w:hAnsi="Arial" w:cs="Arial"/>
          <w:b/>
          <w:sz w:val="28"/>
          <w:szCs w:val="28"/>
          <w:lang w:val="es-MX"/>
        </w:rPr>
        <w:t xml:space="preserve">347.- FONDO AGROPECUARIO DE GARANTÍAS – FAG. </w:t>
      </w:r>
    </w:p>
    <w:p w14:paraId="263104BD" w14:textId="77777777" w:rsidR="00561B22" w:rsidRDefault="00561B22" w:rsidP="00561B22">
      <w:pPr>
        <w:pStyle w:val="Ttulo1"/>
        <w:ind w:right="-50"/>
        <w:jc w:val="left"/>
        <w:rPr>
          <w:sz w:val="22"/>
          <w:szCs w:val="22"/>
        </w:rPr>
      </w:pPr>
    </w:p>
    <w:p w14:paraId="418F80A8" w14:textId="77777777" w:rsidR="00561B22" w:rsidRPr="00A439C3" w:rsidRDefault="00561B22" w:rsidP="00561B22">
      <w:pPr>
        <w:pStyle w:val="Textoindependiente"/>
        <w:ind w:right="-50"/>
        <w:jc w:val="center"/>
        <w:rPr>
          <w:rFonts w:ascii="Arial" w:hAnsi="Arial" w:cs="Arial"/>
          <w:b/>
          <w:bCs/>
        </w:rPr>
      </w:pPr>
      <w:r w:rsidRPr="00A439C3">
        <w:rPr>
          <w:rFonts w:ascii="Arial" w:hAnsi="Arial" w:cs="Arial"/>
          <w:b/>
          <w:bCs/>
        </w:rPr>
        <w:t>INFORME DE LA AUTOCALIFICACIÓN DEL SISTEMA DE CONTROL INTERNO CONTABLE:</w:t>
      </w:r>
    </w:p>
    <w:p w14:paraId="39477723" w14:textId="77777777" w:rsidR="00561B22" w:rsidRPr="00A439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439C3" w14:paraId="3F244B60" w14:textId="77777777" w:rsidTr="00F1223B">
        <w:tc>
          <w:tcPr>
            <w:tcW w:w="4981" w:type="dxa"/>
          </w:tcPr>
          <w:p w14:paraId="05B245D9"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AUTOCALIFICACIÓN</w:t>
            </w:r>
          </w:p>
        </w:tc>
        <w:tc>
          <w:tcPr>
            <w:tcW w:w="4981" w:type="dxa"/>
          </w:tcPr>
          <w:p w14:paraId="232E37ED" w14:textId="77777777" w:rsidR="00561B22" w:rsidRPr="00A439C3" w:rsidRDefault="00561B22" w:rsidP="00F1223B">
            <w:pPr>
              <w:jc w:val="center"/>
              <w:rPr>
                <w:rFonts w:ascii="Arial" w:hAnsi="Arial" w:cs="Arial"/>
                <w:b/>
                <w:sz w:val="22"/>
                <w:szCs w:val="22"/>
                <w:u w:val="single"/>
                <w:lang w:val="es-MX"/>
              </w:rPr>
            </w:pPr>
            <w:r w:rsidRPr="00A439C3">
              <w:rPr>
                <w:rFonts w:ascii="Arial" w:hAnsi="Arial" w:cs="Arial"/>
                <w:b/>
                <w:sz w:val="22"/>
                <w:szCs w:val="22"/>
                <w:u w:val="single"/>
                <w:lang w:val="es-MX"/>
              </w:rPr>
              <w:t>4.95</w:t>
            </w:r>
          </w:p>
        </w:tc>
      </w:tr>
    </w:tbl>
    <w:p w14:paraId="6E6C7844" w14:textId="77777777" w:rsidR="00561B22" w:rsidRPr="00A439C3" w:rsidRDefault="00561B22" w:rsidP="00561B22">
      <w:pPr>
        <w:pStyle w:val="Textoindependiente"/>
        <w:ind w:right="-50"/>
        <w:jc w:val="both"/>
        <w:rPr>
          <w:rFonts w:ascii="Arial" w:hAnsi="Arial" w:cs="Arial"/>
          <w:b/>
          <w:bCs/>
        </w:rPr>
      </w:pPr>
    </w:p>
    <w:p w14:paraId="524EB31A" w14:textId="77777777" w:rsidR="00561B22" w:rsidRPr="00A439C3" w:rsidRDefault="00561B22" w:rsidP="00561B22">
      <w:pPr>
        <w:pStyle w:val="Textoindependiente"/>
        <w:ind w:right="-50"/>
        <w:jc w:val="both"/>
        <w:rPr>
          <w:rFonts w:ascii="Arial" w:hAnsi="Arial" w:cs="Arial"/>
          <w:b/>
          <w:bCs/>
        </w:rPr>
      </w:pPr>
      <w:r w:rsidRPr="00A439C3">
        <w:rPr>
          <w:rFonts w:ascii="Arial" w:hAnsi="Arial" w:cs="Arial"/>
          <w:b/>
          <w:bCs/>
        </w:rPr>
        <w:t>Del informe enviado retomamos lo siguiente:</w:t>
      </w:r>
    </w:p>
    <w:p w14:paraId="3039C397" w14:textId="77777777" w:rsidR="00561B22" w:rsidRPr="00A439C3"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704"/>
        <w:gridCol w:w="9258"/>
      </w:tblGrid>
      <w:tr w:rsidR="00561B22" w:rsidRPr="00A439C3" w14:paraId="15484604" w14:textId="77777777" w:rsidTr="00F1223B">
        <w:tc>
          <w:tcPr>
            <w:tcW w:w="704" w:type="dxa"/>
          </w:tcPr>
          <w:p w14:paraId="331134D9" w14:textId="77777777" w:rsidR="00561B22" w:rsidRPr="00A439C3" w:rsidRDefault="00561B22" w:rsidP="00F1223B">
            <w:pPr>
              <w:ind w:right="-109"/>
              <w:jc w:val="center"/>
              <w:rPr>
                <w:rFonts w:ascii="Arial" w:hAnsi="Arial" w:cs="Arial"/>
                <w:b/>
                <w:sz w:val="22"/>
                <w:szCs w:val="22"/>
                <w:lang w:val="es-MX"/>
              </w:rPr>
            </w:pPr>
            <w:r w:rsidRPr="00A439C3">
              <w:rPr>
                <w:rFonts w:ascii="Arial" w:hAnsi="Arial" w:cs="Arial"/>
                <w:b/>
                <w:sz w:val="22"/>
                <w:szCs w:val="22"/>
                <w:lang w:val="es-MX"/>
              </w:rPr>
              <w:lastRenderedPageBreak/>
              <w:t>N°</w:t>
            </w:r>
          </w:p>
        </w:tc>
        <w:tc>
          <w:tcPr>
            <w:tcW w:w="9258" w:type="dxa"/>
          </w:tcPr>
          <w:p w14:paraId="36253D21"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DEBILIDADES</w:t>
            </w:r>
          </w:p>
          <w:p w14:paraId="4DA6DBBA" w14:textId="77777777" w:rsidR="00561B22" w:rsidRPr="00A439C3" w:rsidRDefault="00561B22" w:rsidP="00F1223B">
            <w:pPr>
              <w:jc w:val="center"/>
              <w:rPr>
                <w:rFonts w:ascii="Arial" w:hAnsi="Arial" w:cs="Arial"/>
                <w:b/>
                <w:sz w:val="22"/>
                <w:szCs w:val="22"/>
                <w:lang w:val="es-MX"/>
              </w:rPr>
            </w:pPr>
          </w:p>
        </w:tc>
      </w:tr>
      <w:tr w:rsidR="00561B22" w:rsidRPr="00A439C3" w14:paraId="6A29A729" w14:textId="77777777" w:rsidTr="00F1223B">
        <w:tc>
          <w:tcPr>
            <w:tcW w:w="704" w:type="dxa"/>
          </w:tcPr>
          <w:p w14:paraId="10B2B9F5"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1</w:t>
            </w:r>
          </w:p>
        </w:tc>
        <w:tc>
          <w:tcPr>
            <w:tcW w:w="9258" w:type="dxa"/>
          </w:tcPr>
          <w:p w14:paraId="3394AFD1" w14:textId="77777777" w:rsidR="00561B22" w:rsidRPr="00A439C3" w:rsidRDefault="00561B22" w:rsidP="00F1223B">
            <w:pPr>
              <w:jc w:val="both"/>
              <w:rPr>
                <w:rFonts w:ascii="Arial" w:hAnsi="Arial" w:cs="Arial"/>
                <w:bCs/>
                <w:sz w:val="22"/>
                <w:szCs w:val="22"/>
                <w:lang w:val="es-MX"/>
              </w:rPr>
            </w:pPr>
            <w:r w:rsidRPr="00A439C3">
              <w:rPr>
                <w:rFonts w:ascii="Arial" w:hAnsi="Arial" w:cs="Arial"/>
                <w:bCs/>
                <w:sz w:val="22"/>
                <w:szCs w:val="22"/>
                <w:lang w:val="es-MX"/>
              </w:rPr>
              <w:t>Dadas las directrices para la fecha de entrega de la información a la dirección de contabilidad, esta no se presenta de manera oportuna; según se evidenció en correo de remisión de las áreas productoras de información a esta Dirección.</w:t>
            </w:r>
          </w:p>
        </w:tc>
      </w:tr>
    </w:tbl>
    <w:p w14:paraId="5AFEBF9C" w14:textId="77777777" w:rsidR="00561B22" w:rsidRPr="00A439C3" w:rsidRDefault="00561B22" w:rsidP="00561B22">
      <w:pPr>
        <w:pStyle w:val="Textoindependiente"/>
        <w:ind w:right="-50"/>
        <w:jc w:val="both"/>
        <w:rPr>
          <w:rFonts w:ascii="Arial" w:hAnsi="Arial" w:cs="Arial"/>
          <w:b/>
          <w:bCs/>
        </w:rPr>
      </w:pPr>
    </w:p>
    <w:p w14:paraId="7A09BD34" w14:textId="77777777" w:rsidR="00561B22" w:rsidRPr="00A439C3" w:rsidRDefault="00561B22" w:rsidP="00561B22">
      <w:pPr>
        <w:jc w:val="both"/>
        <w:rPr>
          <w:rFonts w:ascii="Arial" w:hAnsi="Arial" w:cs="Arial"/>
          <w:b/>
          <w:lang w:val="es-MX"/>
        </w:rPr>
      </w:pPr>
      <w:r w:rsidRPr="00A439C3">
        <w:rPr>
          <w:rFonts w:ascii="Arial" w:hAnsi="Arial" w:cs="Arial"/>
          <w:b/>
          <w:lang w:val="es-MX"/>
        </w:rPr>
        <w:t>Del citado informe retomamos las siguientes recomendaciones:</w:t>
      </w:r>
    </w:p>
    <w:p w14:paraId="62AC658E" w14:textId="77777777" w:rsidR="00561B22" w:rsidRPr="00A439C3"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704"/>
        <w:gridCol w:w="9258"/>
      </w:tblGrid>
      <w:tr w:rsidR="00561B22" w:rsidRPr="00A439C3" w14:paraId="5E3DD8E8" w14:textId="77777777" w:rsidTr="00F1223B">
        <w:tc>
          <w:tcPr>
            <w:tcW w:w="704" w:type="dxa"/>
          </w:tcPr>
          <w:p w14:paraId="0AC0E78F" w14:textId="77777777" w:rsidR="00561B22" w:rsidRPr="00A439C3" w:rsidRDefault="00561B22" w:rsidP="00F1223B">
            <w:pPr>
              <w:ind w:right="-109"/>
              <w:jc w:val="center"/>
              <w:rPr>
                <w:rFonts w:ascii="Arial" w:hAnsi="Arial" w:cs="Arial"/>
                <w:b/>
                <w:sz w:val="22"/>
                <w:szCs w:val="22"/>
                <w:lang w:val="es-MX"/>
              </w:rPr>
            </w:pPr>
            <w:r w:rsidRPr="00A439C3">
              <w:rPr>
                <w:rFonts w:ascii="Arial" w:hAnsi="Arial" w:cs="Arial"/>
                <w:b/>
                <w:sz w:val="22"/>
                <w:szCs w:val="22"/>
                <w:lang w:val="es-MX"/>
              </w:rPr>
              <w:t>N°</w:t>
            </w:r>
          </w:p>
        </w:tc>
        <w:tc>
          <w:tcPr>
            <w:tcW w:w="9258" w:type="dxa"/>
          </w:tcPr>
          <w:p w14:paraId="25800CCD"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RECOMENDACIONES</w:t>
            </w:r>
          </w:p>
          <w:p w14:paraId="3C77E2A0" w14:textId="77777777" w:rsidR="00561B22" w:rsidRPr="00A439C3" w:rsidRDefault="00561B22" w:rsidP="00F1223B">
            <w:pPr>
              <w:jc w:val="center"/>
              <w:rPr>
                <w:rFonts w:ascii="Arial" w:hAnsi="Arial" w:cs="Arial"/>
                <w:b/>
                <w:sz w:val="22"/>
                <w:szCs w:val="22"/>
                <w:lang w:val="es-MX"/>
              </w:rPr>
            </w:pPr>
          </w:p>
        </w:tc>
      </w:tr>
      <w:tr w:rsidR="00561B22" w:rsidRPr="00A439C3" w14:paraId="271CD073" w14:textId="77777777" w:rsidTr="00F1223B">
        <w:tc>
          <w:tcPr>
            <w:tcW w:w="704" w:type="dxa"/>
          </w:tcPr>
          <w:p w14:paraId="05B732BF"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1</w:t>
            </w:r>
          </w:p>
        </w:tc>
        <w:tc>
          <w:tcPr>
            <w:tcW w:w="9258" w:type="dxa"/>
          </w:tcPr>
          <w:p w14:paraId="60228388" w14:textId="77777777" w:rsidR="00561B22" w:rsidRPr="00A439C3" w:rsidRDefault="00561B22" w:rsidP="00F1223B">
            <w:pPr>
              <w:rPr>
                <w:rFonts w:ascii="Arial" w:hAnsi="Arial" w:cs="Arial"/>
                <w:bCs/>
                <w:sz w:val="22"/>
                <w:szCs w:val="22"/>
                <w:lang w:val="es-MX"/>
              </w:rPr>
            </w:pPr>
            <w:r w:rsidRPr="00A439C3">
              <w:rPr>
                <w:rFonts w:ascii="Arial" w:hAnsi="Arial" w:cs="Arial"/>
                <w:bCs/>
                <w:sz w:val="22"/>
                <w:szCs w:val="22"/>
                <w:lang w:val="es-MX"/>
              </w:rPr>
              <w:t>Fortalecer los mecanismos de control para garantizar el cumplimiento oportuno de las fechas de entrega de la información a la Dirección de Contabilidad.</w:t>
            </w:r>
          </w:p>
        </w:tc>
      </w:tr>
      <w:tr w:rsidR="00561B22" w:rsidRPr="00A439C3" w14:paraId="0CC409F8" w14:textId="77777777" w:rsidTr="00F1223B">
        <w:tc>
          <w:tcPr>
            <w:tcW w:w="704" w:type="dxa"/>
          </w:tcPr>
          <w:p w14:paraId="17758FAA"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2</w:t>
            </w:r>
          </w:p>
        </w:tc>
        <w:tc>
          <w:tcPr>
            <w:tcW w:w="9258" w:type="dxa"/>
          </w:tcPr>
          <w:p w14:paraId="141535F7" w14:textId="77777777" w:rsidR="00561B22" w:rsidRPr="00A439C3" w:rsidRDefault="00561B22" w:rsidP="00F1223B">
            <w:pPr>
              <w:rPr>
                <w:rFonts w:ascii="Arial" w:hAnsi="Arial" w:cs="Arial"/>
                <w:bCs/>
                <w:sz w:val="22"/>
                <w:szCs w:val="22"/>
                <w:lang w:val="es-MX"/>
              </w:rPr>
            </w:pPr>
            <w:r w:rsidRPr="00A439C3">
              <w:rPr>
                <w:rFonts w:ascii="Arial" w:hAnsi="Arial" w:cs="Arial"/>
                <w:bCs/>
                <w:sz w:val="22"/>
                <w:szCs w:val="22"/>
                <w:lang w:val="es-MX"/>
              </w:rPr>
              <w:t>Incluir programas de formación dirigidos al fortalecimiento de las habilidades y competencias del personal vinculado al proceso contable.</w:t>
            </w:r>
          </w:p>
        </w:tc>
      </w:tr>
      <w:tr w:rsidR="00561B22" w:rsidRPr="00A439C3" w14:paraId="4D3FBCB1" w14:textId="77777777" w:rsidTr="00F1223B">
        <w:tc>
          <w:tcPr>
            <w:tcW w:w="704" w:type="dxa"/>
          </w:tcPr>
          <w:p w14:paraId="57BF1C46" w14:textId="77777777" w:rsidR="00561B22" w:rsidRPr="00A439C3" w:rsidRDefault="00561B22" w:rsidP="00F1223B">
            <w:pPr>
              <w:jc w:val="center"/>
              <w:rPr>
                <w:rFonts w:ascii="Arial" w:hAnsi="Arial" w:cs="Arial"/>
                <w:b/>
                <w:sz w:val="22"/>
                <w:szCs w:val="22"/>
                <w:lang w:val="es-MX"/>
              </w:rPr>
            </w:pPr>
            <w:r w:rsidRPr="00A439C3">
              <w:rPr>
                <w:rFonts w:ascii="Arial" w:hAnsi="Arial" w:cs="Arial"/>
                <w:b/>
                <w:sz w:val="22"/>
                <w:szCs w:val="22"/>
                <w:lang w:val="es-MX"/>
              </w:rPr>
              <w:t>3</w:t>
            </w:r>
          </w:p>
        </w:tc>
        <w:tc>
          <w:tcPr>
            <w:tcW w:w="9258" w:type="dxa"/>
          </w:tcPr>
          <w:p w14:paraId="59AC9793" w14:textId="77777777" w:rsidR="00561B22" w:rsidRPr="00A439C3" w:rsidRDefault="00561B22" w:rsidP="00F1223B">
            <w:pPr>
              <w:rPr>
                <w:rFonts w:ascii="Arial" w:hAnsi="Arial" w:cs="Arial"/>
                <w:bCs/>
                <w:sz w:val="22"/>
                <w:szCs w:val="22"/>
                <w:lang w:val="es-MX"/>
              </w:rPr>
            </w:pPr>
            <w:r w:rsidRPr="00A439C3">
              <w:rPr>
                <w:rFonts w:ascii="Arial" w:hAnsi="Arial" w:cs="Arial"/>
                <w:bCs/>
                <w:sz w:val="22"/>
                <w:szCs w:val="22"/>
                <w:lang w:val="es-MX"/>
              </w:rPr>
              <w:t>Ampliar el alcance del Plan de Capacitación, para incluir no solo el personal vinculado a la Dirección de Contabilidad; sino también a los funcionarios de las áreas productoras de información contable.</w:t>
            </w:r>
          </w:p>
        </w:tc>
      </w:tr>
    </w:tbl>
    <w:p w14:paraId="2136A76C" w14:textId="77777777" w:rsidR="00561B22" w:rsidRPr="00A439C3" w:rsidRDefault="00561B22" w:rsidP="00561B22">
      <w:pPr>
        <w:pStyle w:val="Textoindependiente"/>
        <w:ind w:right="-50"/>
        <w:jc w:val="both"/>
        <w:rPr>
          <w:rFonts w:ascii="Arial" w:hAnsi="Arial" w:cs="Arial"/>
          <w:b/>
          <w:bCs/>
          <w:sz w:val="28"/>
          <w:szCs w:val="28"/>
        </w:rPr>
      </w:pPr>
    </w:p>
    <w:p w14:paraId="48C19AE6" w14:textId="77777777" w:rsidR="00561B22" w:rsidRPr="00A439C3" w:rsidRDefault="00561B22" w:rsidP="00561B22">
      <w:pPr>
        <w:jc w:val="both"/>
        <w:rPr>
          <w:rFonts w:ascii="Arial" w:hAnsi="Arial" w:cs="Arial"/>
          <w:b/>
          <w:sz w:val="24"/>
          <w:szCs w:val="24"/>
          <w:lang w:val="es-CO"/>
        </w:rPr>
      </w:pPr>
      <w:r w:rsidRPr="00A439C3">
        <w:rPr>
          <w:rFonts w:ascii="Arial" w:hAnsi="Arial" w:cs="Arial"/>
          <w:b/>
          <w:bCs/>
          <w:sz w:val="24"/>
          <w:szCs w:val="24"/>
          <w:lang w:val="es-CO"/>
        </w:rPr>
        <w:t xml:space="preserve">NOTA: </w:t>
      </w:r>
      <w:r w:rsidRPr="00A439C3">
        <w:rPr>
          <w:rFonts w:ascii="Arial" w:hAnsi="Arial" w:cs="Arial"/>
          <w:b/>
          <w:sz w:val="24"/>
          <w:szCs w:val="24"/>
          <w:lang w:val="es-CO"/>
        </w:rPr>
        <w:t xml:space="preserve">LA ENTIDAD ENVÍA LA MATRIZ DE AUTOEVALUACIÓN DEL SISTEMA DE CONTROL INTERNO CONTABLE CON </w:t>
      </w:r>
      <w:r w:rsidRPr="00A439C3">
        <w:rPr>
          <w:rFonts w:ascii="Arial" w:hAnsi="Arial" w:cs="Arial"/>
          <w:b/>
          <w:bCs/>
          <w:sz w:val="24"/>
          <w:szCs w:val="24"/>
          <w:u w:val="single"/>
          <w:lang w:val="es-CO"/>
        </w:rPr>
        <w:t>ACTIVIDADES DE CONTROL REALIZADAS EN FORMA PARCIAL</w:t>
      </w:r>
      <w:r w:rsidRPr="00A439C3">
        <w:rPr>
          <w:rFonts w:ascii="Arial" w:hAnsi="Arial" w:cs="Arial"/>
          <w:b/>
          <w:sz w:val="24"/>
          <w:szCs w:val="24"/>
          <w:lang w:val="es-CO"/>
        </w:rPr>
        <w:t>.</w:t>
      </w:r>
    </w:p>
    <w:p w14:paraId="46603A07" w14:textId="77777777" w:rsidR="00561B22" w:rsidRPr="00A439C3" w:rsidRDefault="00561B22" w:rsidP="00561B22">
      <w:pPr>
        <w:pStyle w:val="Textoindependiente"/>
        <w:ind w:right="-50"/>
        <w:jc w:val="both"/>
        <w:rPr>
          <w:rFonts w:ascii="Arial" w:hAnsi="Arial" w:cs="Arial"/>
          <w:b/>
          <w:bCs/>
          <w:sz w:val="28"/>
          <w:szCs w:val="28"/>
        </w:rPr>
      </w:pPr>
    </w:p>
    <w:p w14:paraId="749EFB87" w14:textId="77777777" w:rsidR="00561B22" w:rsidRPr="00221046" w:rsidRDefault="00561B22" w:rsidP="00561B22">
      <w:pPr>
        <w:jc w:val="both"/>
        <w:rPr>
          <w:rFonts w:ascii="Arial" w:hAnsi="Arial" w:cs="Arial"/>
          <w:b/>
          <w:sz w:val="28"/>
          <w:szCs w:val="28"/>
          <w:lang w:val="es-MX"/>
        </w:rPr>
      </w:pPr>
      <w:r w:rsidRPr="00221046">
        <w:rPr>
          <w:rFonts w:ascii="Arial" w:hAnsi="Arial" w:cs="Arial"/>
          <w:b/>
          <w:sz w:val="28"/>
          <w:szCs w:val="28"/>
          <w:lang w:val="es-MX"/>
        </w:rPr>
        <w:t>348.- CORPORACION PARA EL DESARROLLO SOSTENIBLE DEL NORTE Y EL ORIENTE AMAZONICO - C.D.A.</w:t>
      </w:r>
    </w:p>
    <w:p w14:paraId="122453D8" w14:textId="77777777" w:rsidR="00561B22" w:rsidRDefault="00561B22" w:rsidP="00561B22">
      <w:pPr>
        <w:pStyle w:val="Ttulo1"/>
        <w:ind w:right="-50"/>
        <w:jc w:val="left"/>
        <w:rPr>
          <w:sz w:val="22"/>
          <w:szCs w:val="22"/>
        </w:rPr>
      </w:pPr>
    </w:p>
    <w:p w14:paraId="16B14B3B" w14:textId="77777777" w:rsidR="00561B22" w:rsidRPr="00221046" w:rsidRDefault="00561B22" w:rsidP="00561B22">
      <w:pPr>
        <w:pStyle w:val="Textoindependiente"/>
        <w:ind w:right="-50"/>
        <w:jc w:val="center"/>
        <w:rPr>
          <w:rFonts w:ascii="Arial" w:hAnsi="Arial" w:cs="Arial"/>
          <w:b/>
          <w:bCs/>
        </w:rPr>
      </w:pPr>
      <w:r w:rsidRPr="00221046">
        <w:rPr>
          <w:rFonts w:ascii="Arial" w:hAnsi="Arial" w:cs="Arial"/>
          <w:b/>
          <w:bCs/>
        </w:rPr>
        <w:t>INFORME DE LA AUTOCALIFICACIÓN DEL SISTEMA DE CONTROL INTERNO CONTABLE:</w:t>
      </w:r>
    </w:p>
    <w:p w14:paraId="2A9FCE08" w14:textId="77777777" w:rsidR="00561B22" w:rsidRPr="0022104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221046" w14:paraId="0D7A704E" w14:textId="77777777" w:rsidTr="00F1223B">
        <w:tc>
          <w:tcPr>
            <w:tcW w:w="4981" w:type="dxa"/>
          </w:tcPr>
          <w:p w14:paraId="4FAFDA34"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AUTOCALIFICACIÓN</w:t>
            </w:r>
          </w:p>
        </w:tc>
        <w:tc>
          <w:tcPr>
            <w:tcW w:w="4981" w:type="dxa"/>
          </w:tcPr>
          <w:p w14:paraId="2852D9CE" w14:textId="77777777" w:rsidR="00561B22" w:rsidRPr="00221046" w:rsidRDefault="00561B22" w:rsidP="00F1223B">
            <w:pPr>
              <w:jc w:val="center"/>
              <w:rPr>
                <w:rFonts w:ascii="Arial" w:hAnsi="Arial" w:cs="Arial"/>
                <w:b/>
                <w:sz w:val="22"/>
                <w:szCs w:val="22"/>
                <w:u w:val="single"/>
                <w:lang w:val="es-MX"/>
              </w:rPr>
            </w:pPr>
            <w:r w:rsidRPr="00221046">
              <w:rPr>
                <w:rFonts w:ascii="Arial" w:hAnsi="Arial" w:cs="Arial"/>
                <w:b/>
                <w:sz w:val="22"/>
                <w:szCs w:val="22"/>
                <w:u w:val="single"/>
                <w:lang w:val="es-MX"/>
              </w:rPr>
              <w:t>4.79</w:t>
            </w:r>
          </w:p>
        </w:tc>
      </w:tr>
    </w:tbl>
    <w:p w14:paraId="2D332A37" w14:textId="77777777" w:rsidR="00561B22" w:rsidRPr="00221046" w:rsidRDefault="00561B22" w:rsidP="00561B22">
      <w:pPr>
        <w:pStyle w:val="Textoindependiente"/>
        <w:ind w:right="-50"/>
        <w:jc w:val="both"/>
        <w:rPr>
          <w:rFonts w:ascii="Arial" w:hAnsi="Arial" w:cs="Arial"/>
          <w:b/>
          <w:bCs/>
        </w:rPr>
      </w:pPr>
    </w:p>
    <w:p w14:paraId="1EE75D91" w14:textId="77777777" w:rsidR="00561B22" w:rsidRPr="00221046" w:rsidRDefault="00561B22" w:rsidP="00561B22">
      <w:pPr>
        <w:pStyle w:val="Textoindependiente"/>
        <w:ind w:right="-50"/>
        <w:jc w:val="both"/>
        <w:rPr>
          <w:rFonts w:ascii="Arial" w:hAnsi="Arial" w:cs="Arial"/>
          <w:b/>
          <w:bCs/>
        </w:rPr>
      </w:pPr>
      <w:r w:rsidRPr="00221046">
        <w:rPr>
          <w:rFonts w:ascii="Arial" w:hAnsi="Arial" w:cs="Arial"/>
          <w:b/>
          <w:bCs/>
        </w:rPr>
        <w:t>Del informe enviado retomamos lo siguiente:</w:t>
      </w:r>
    </w:p>
    <w:p w14:paraId="2CFD587F" w14:textId="77777777" w:rsidR="00561B22" w:rsidRPr="00221046"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704"/>
        <w:gridCol w:w="9258"/>
      </w:tblGrid>
      <w:tr w:rsidR="00561B22" w:rsidRPr="00221046" w14:paraId="623565BD" w14:textId="77777777" w:rsidTr="00F1223B">
        <w:tc>
          <w:tcPr>
            <w:tcW w:w="704" w:type="dxa"/>
          </w:tcPr>
          <w:p w14:paraId="0E38CB4B" w14:textId="77777777" w:rsidR="00561B22" w:rsidRPr="00221046" w:rsidRDefault="00561B22" w:rsidP="00F1223B">
            <w:pPr>
              <w:ind w:right="-109"/>
              <w:jc w:val="center"/>
              <w:rPr>
                <w:rFonts w:ascii="Arial" w:hAnsi="Arial" w:cs="Arial"/>
                <w:b/>
                <w:sz w:val="22"/>
                <w:szCs w:val="22"/>
                <w:lang w:val="es-MX"/>
              </w:rPr>
            </w:pPr>
            <w:r w:rsidRPr="00221046">
              <w:rPr>
                <w:rFonts w:ascii="Arial" w:hAnsi="Arial" w:cs="Arial"/>
                <w:b/>
                <w:sz w:val="22"/>
                <w:szCs w:val="22"/>
                <w:lang w:val="es-MX"/>
              </w:rPr>
              <w:t>N°</w:t>
            </w:r>
          </w:p>
        </w:tc>
        <w:tc>
          <w:tcPr>
            <w:tcW w:w="9258" w:type="dxa"/>
          </w:tcPr>
          <w:p w14:paraId="33DBB6D7"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DEBILIDADES</w:t>
            </w:r>
          </w:p>
          <w:p w14:paraId="0F023199" w14:textId="77777777" w:rsidR="00561B22" w:rsidRPr="00221046" w:rsidRDefault="00561B22" w:rsidP="00F1223B">
            <w:pPr>
              <w:jc w:val="center"/>
              <w:rPr>
                <w:rFonts w:ascii="Arial" w:hAnsi="Arial" w:cs="Arial"/>
                <w:b/>
                <w:sz w:val="22"/>
                <w:szCs w:val="22"/>
                <w:lang w:val="es-MX"/>
              </w:rPr>
            </w:pPr>
          </w:p>
        </w:tc>
      </w:tr>
      <w:tr w:rsidR="00561B22" w:rsidRPr="00221046" w14:paraId="7B7A5362" w14:textId="77777777" w:rsidTr="00F1223B">
        <w:tc>
          <w:tcPr>
            <w:tcW w:w="704" w:type="dxa"/>
          </w:tcPr>
          <w:p w14:paraId="358CF57A"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1</w:t>
            </w:r>
          </w:p>
        </w:tc>
        <w:tc>
          <w:tcPr>
            <w:tcW w:w="9258" w:type="dxa"/>
          </w:tcPr>
          <w:p w14:paraId="7BB21FC9" w14:textId="77777777" w:rsidR="00561B22" w:rsidRPr="00221046" w:rsidRDefault="00561B22" w:rsidP="00F1223B">
            <w:pPr>
              <w:jc w:val="both"/>
              <w:rPr>
                <w:rFonts w:ascii="Arial" w:hAnsi="Arial" w:cs="Arial"/>
                <w:bCs/>
                <w:sz w:val="22"/>
                <w:szCs w:val="22"/>
                <w:lang w:val="es-MX"/>
              </w:rPr>
            </w:pPr>
            <w:r w:rsidRPr="00221046">
              <w:rPr>
                <w:rFonts w:ascii="Arial" w:eastAsia="Times New Roman" w:hAnsi="Arial" w:cs="Arial"/>
                <w:sz w:val="22"/>
                <w:szCs w:val="22"/>
              </w:rPr>
              <w:t>El Flujo de información no están efectivo, debido a la carga laboral y en algunos casos la falta de compromiso por parte de las dependencias generadoras de hechos económicos.</w:t>
            </w:r>
          </w:p>
        </w:tc>
      </w:tr>
    </w:tbl>
    <w:p w14:paraId="1EDDD010" w14:textId="77777777" w:rsidR="00561B22" w:rsidRPr="00221046" w:rsidRDefault="00561B22" w:rsidP="00561B22">
      <w:pPr>
        <w:pStyle w:val="Textoindependiente"/>
        <w:ind w:right="-50"/>
        <w:jc w:val="both"/>
        <w:rPr>
          <w:rFonts w:ascii="Arial" w:hAnsi="Arial" w:cs="Arial"/>
          <w:b/>
          <w:bCs/>
        </w:rPr>
      </w:pPr>
    </w:p>
    <w:p w14:paraId="3E83BA39" w14:textId="77777777" w:rsidR="00561B22" w:rsidRPr="00221046" w:rsidRDefault="00561B22" w:rsidP="00561B22">
      <w:pPr>
        <w:jc w:val="both"/>
        <w:rPr>
          <w:rFonts w:ascii="Arial" w:hAnsi="Arial" w:cs="Arial"/>
          <w:b/>
          <w:lang w:val="es-MX"/>
        </w:rPr>
      </w:pPr>
      <w:r w:rsidRPr="00221046">
        <w:rPr>
          <w:rFonts w:ascii="Arial" w:hAnsi="Arial" w:cs="Arial"/>
          <w:b/>
          <w:lang w:val="es-MX"/>
        </w:rPr>
        <w:t>Del citado informe retomamos las siguientes recomendaciones:</w:t>
      </w:r>
    </w:p>
    <w:p w14:paraId="5E8BF053" w14:textId="77777777" w:rsidR="00561B22" w:rsidRPr="00221046" w:rsidRDefault="00561B22" w:rsidP="00561B22">
      <w:pPr>
        <w:pStyle w:val="Textoindependiente"/>
        <w:ind w:right="-50"/>
        <w:jc w:val="both"/>
        <w:rPr>
          <w:rFonts w:ascii="Arial" w:hAnsi="Arial" w:cs="Arial"/>
          <w:b/>
          <w:bCs/>
          <w:lang w:val="es-MX"/>
        </w:rPr>
      </w:pPr>
    </w:p>
    <w:tbl>
      <w:tblPr>
        <w:tblStyle w:val="Tablaconcuadrcula"/>
        <w:tblW w:w="0" w:type="auto"/>
        <w:tblLook w:val="04A0" w:firstRow="1" w:lastRow="0" w:firstColumn="1" w:lastColumn="0" w:noHBand="0" w:noVBand="1"/>
      </w:tblPr>
      <w:tblGrid>
        <w:gridCol w:w="704"/>
        <w:gridCol w:w="9258"/>
      </w:tblGrid>
      <w:tr w:rsidR="00561B22" w:rsidRPr="00221046" w14:paraId="3225175F" w14:textId="77777777" w:rsidTr="00F1223B">
        <w:tc>
          <w:tcPr>
            <w:tcW w:w="704" w:type="dxa"/>
          </w:tcPr>
          <w:p w14:paraId="398F9544" w14:textId="77777777" w:rsidR="00561B22" w:rsidRPr="00221046" w:rsidRDefault="00561B22" w:rsidP="00F1223B">
            <w:pPr>
              <w:ind w:right="-109"/>
              <w:jc w:val="center"/>
              <w:rPr>
                <w:rFonts w:ascii="Arial" w:hAnsi="Arial" w:cs="Arial"/>
                <w:b/>
                <w:sz w:val="22"/>
                <w:szCs w:val="22"/>
                <w:lang w:val="es-MX"/>
              </w:rPr>
            </w:pPr>
            <w:r w:rsidRPr="00221046">
              <w:rPr>
                <w:rFonts w:ascii="Arial" w:hAnsi="Arial" w:cs="Arial"/>
                <w:b/>
                <w:sz w:val="22"/>
                <w:szCs w:val="22"/>
                <w:lang w:val="es-MX"/>
              </w:rPr>
              <w:t>N°</w:t>
            </w:r>
          </w:p>
        </w:tc>
        <w:tc>
          <w:tcPr>
            <w:tcW w:w="9258" w:type="dxa"/>
          </w:tcPr>
          <w:p w14:paraId="545E27DF"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RECOMENDACIONES</w:t>
            </w:r>
          </w:p>
          <w:p w14:paraId="3B2C6B81" w14:textId="77777777" w:rsidR="00561B22" w:rsidRPr="00221046" w:rsidRDefault="00561B22" w:rsidP="00F1223B">
            <w:pPr>
              <w:jc w:val="center"/>
              <w:rPr>
                <w:rFonts w:ascii="Arial" w:hAnsi="Arial" w:cs="Arial"/>
                <w:b/>
                <w:sz w:val="22"/>
                <w:szCs w:val="22"/>
                <w:lang w:val="es-MX"/>
              </w:rPr>
            </w:pPr>
          </w:p>
        </w:tc>
      </w:tr>
      <w:tr w:rsidR="00561B22" w:rsidRPr="00221046" w14:paraId="286B8A46" w14:textId="77777777" w:rsidTr="00F1223B">
        <w:tc>
          <w:tcPr>
            <w:tcW w:w="704" w:type="dxa"/>
          </w:tcPr>
          <w:p w14:paraId="53FE5361"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1</w:t>
            </w:r>
          </w:p>
        </w:tc>
        <w:tc>
          <w:tcPr>
            <w:tcW w:w="9258" w:type="dxa"/>
          </w:tcPr>
          <w:p w14:paraId="5ED18F19" w14:textId="77777777" w:rsidR="00561B22" w:rsidRPr="00221046" w:rsidRDefault="00561B22" w:rsidP="00F1223B">
            <w:pPr>
              <w:rPr>
                <w:rFonts w:ascii="Arial" w:hAnsi="Arial" w:cs="Arial"/>
                <w:bCs/>
                <w:sz w:val="22"/>
                <w:szCs w:val="22"/>
                <w:lang w:val="es-MX"/>
              </w:rPr>
            </w:pPr>
            <w:r w:rsidRPr="00221046">
              <w:rPr>
                <w:rFonts w:ascii="Arial" w:eastAsia="Times New Roman" w:hAnsi="Arial" w:cs="Arial"/>
                <w:sz w:val="22"/>
                <w:szCs w:val="22"/>
                <w:lang w:val="es-CO"/>
              </w:rPr>
              <w:t xml:space="preserve">Fortalecer el compromiso institucional para lograr el flujo de la información de manera oportuna. </w:t>
            </w:r>
          </w:p>
        </w:tc>
      </w:tr>
      <w:tr w:rsidR="00561B22" w:rsidRPr="00221046" w14:paraId="408C72C0" w14:textId="77777777" w:rsidTr="00F1223B">
        <w:tc>
          <w:tcPr>
            <w:tcW w:w="704" w:type="dxa"/>
          </w:tcPr>
          <w:p w14:paraId="40A47140"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2</w:t>
            </w:r>
          </w:p>
        </w:tc>
        <w:tc>
          <w:tcPr>
            <w:tcW w:w="9258" w:type="dxa"/>
          </w:tcPr>
          <w:p w14:paraId="7F998B93" w14:textId="77777777" w:rsidR="00561B22" w:rsidRPr="00221046" w:rsidRDefault="00561B22" w:rsidP="00F1223B">
            <w:pPr>
              <w:rPr>
                <w:rFonts w:ascii="Arial" w:hAnsi="Arial" w:cs="Arial"/>
                <w:bCs/>
                <w:sz w:val="22"/>
                <w:szCs w:val="22"/>
                <w:lang w:val="es-MX"/>
              </w:rPr>
            </w:pPr>
            <w:r w:rsidRPr="00221046">
              <w:rPr>
                <w:rFonts w:ascii="Arial" w:eastAsia="Times New Roman" w:hAnsi="Arial" w:cs="Arial"/>
                <w:sz w:val="22"/>
                <w:szCs w:val="22"/>
                <w:lang w:val="es-CO"/>
              </w:rPr>
              <w:t>Exigencia a los directores Seccionales para hacer la identificación de las consignaciones oportunamente y lograr su disminución</w:t>
            </w:r>
          </w:p>
        </w:tc>
      </w:tr>
      <w:tr w:rsidR="00561B22" w:rsidRPr="00221046" w14:paraId="0A63C2AE" w14:textId="77777777" w:rsidTr="00F1223B">
        <w:tc>
          <w:tcPr>
            <w:tcW w:w="704" w:type="dxa"/>
          </w:tcPr>
          <w:p w14:paraId="671AFC66" w14:textId="77777777" w:rsidR="00561B22" w:rsidRPr="00221046" w:rsidRDefault="00561B22" w:rsidP="00F1223B">
            <w:pPr>
              <w:jc w:val="center"/>
              <w:rPr>
                <w:rFonts w:ascii="Arial" w:hAnsi="Arial" w:cs="Arial"/>
                <w:b/>
                <w:sz w:val="22"/>
                <w:szCs w:val="22"/>
                <w:lang w:val="es-MX"/>
              </w:rPr>
            </w:pPr>
            <w:r w:rsidRPr="00221046">
              <w:rPr>
                <w:rFonts w:ascii="Arial" w:hAnsi="Arial" w:cs="Arial"/>
                <w:b/>
                <w:sz w:val="22"/>
                <w:szCs w:val="22"/>
                <w:lang w:val="es-MX"/>
              </w:rPr>
              <w:t>3</w:t>
            </w:r>
          </w:p>
        </w:tc>
        <w:tc>
          <w:tcPr>
            <w:tcW w:w="9258" w:type="dxa"/>
          </w:tcPr>
          <w:p w14:paraId="1151CE4B" w14:textId="77777777" w:rsidR="00561B22" w:rsidRPr="00221046" w:rsidRDefault="00561B22" w:rsidP="00F1223B">
            <w:pPr>
              <w:rPr>
                <w:rFonts w:ascii="Arial" w:hAnsi="Arial" w:cs="Arial"/>
                <w:bCs/>
                <w:sz w:val="22"/>
                <w:szCs w:val="22"/>
                <w:lang w:val="es-MX"/>
              </w:rPr>
            </w:pPr>
            <w:r w:rsidRPr="00221046">
              <w:rPr>
                <w:rFonts w:ascii="Arial" w:eastAsia="Times New Roman" w:hAnsi="Arial" w:cs="Arial"/>
                <w:sz w:val="22"/>
                <w:szCs w:val="22"/>
                <w:lang w:val="es-CO"/>
              </w:rPr>
              <w:t>Realizar la revisión y depuración del estado actual de los tramites que generan obligaciones por parte de los usuarios y derechos para la Corporación</w:t>
            </w:r>
          </w:p>
        </w:tc>
      </w:tr>
    </w:tbl>
    <w:p w14:paraId="30303FDD" w14:textId="77777777" w:rsidR="00561B22" w:rsidRPr="00221046" w:rsidRDefault="00561B22" w:rsidP="00561B22">
      <w:pPr>
        <w:pStyle w:val="Textoindependiente"/>
        <w:ind w:right="-50"/>
        <w:jc w:val="both"/>
        <w:rPr>
          <w:rFonts w:ascii="Arial" w:hAnsi="Arial" w:cs="Arial"/>
          <w:b/>
          <w:bCs/>
        </w:rPr>
      </w:pPr>
    </w:p>
    <w:p w14:paraId="460ED308" w14:textId="77777777" w:rsidR="00561B22" w:rsidRPr="00221046" w:rsidRDefault="00561B22" w:rsidP="00561B22">
      <w:pPr>
        <w:jc w:val="both"/>
        <w:rPr>
          <w:rFonts w:ascii="Arial" w:hAnsi="Arial" w:cs="Arial"/>
          <w:b/>
          <w:bCs/>
          <w:sz w:val="24"/>
          <w:szCs w:val="24"/>
          <w:lang w:val="es-CO"/>
        </w:rPr>
      </w:pPr>
      <w:r w:rsidRPr="00221046">
        <w:rPr>
          <w:rFonts w:ascii="Arial" w:hAnsi="Arial" w:cs="Arial"/>
          <w:b/>
          <w:bCs/>
          <w:sz w:val="24"/>
          <w:szCs w:val="24"/>
          <w:lang w:val="es-CO"/>
        </w:rPr>
        <w:t xml:space="preserve">NOTA: LA ENTIDAD ENVIA LA MATRIZ DE AUTOEVALUACIÓN DEL SISTEMA DE CONTROL INTERNO CONTABLE CON ACTIVIDADES DE CONTROL REALIZADAS </w:t>
      </w:r>
      <w:r w:rsidRPr="00221046">
        <w:rPr>
          <w:rFonts w:ascii="Arial" w:hAnsi="Arial" w:cs="Arial"/>
          <w:b/>
          <w:bCs/>
          <w:sz w:val="24"/>
          <w:szCs w:val="24"/>
          <w:u w:val="single"/>
          <w:lang w:val="es-CO"/>
        </w:rPr>
        <w:t>EN FORMA PARCIAL Y OTRAS SIMPLEMENTE INFORMAN QUE NO SE REALIZARON</w:t>
      </w:r>
      <w:r w:rsidRPr="00221046">
        <w:rPr>
          <w:rFonts w:ascii="Arial" w:hAnsi="Arial" w:cs="Arial"/>
          <w:b/>
          <w:bCs/>
          <w:sz w:val="24"/>
          <w:szCs w:val="24"/>
          <w:lang w:val="es-CO"/>
        </w:rPr>
        <w:t>.</w:t>
      </w:r>
    </w:p>
    <w:p w14:paraId="41C2BA44" w14:textId="77777777" w:rsidR="00561B22" w:rsidRPr="00221046" w:rsidRDefault="00561B22" w:rsidP="00561B22">
      <w:pPr>
        <w:ind w:left="720" w:hanging="720"/>
        <w:jc w:val="both"/>
        <w:rPr>
          <w:rFonts w:ascii="Arial" w:hAnsi="Arial" w:cs="Arial"/>
          <w:b/>
          <w:bCs/>
          <w:sz w:val="24"/>
          <w:szCs w:val="24"/>
          <w:lang w:val="es-CO"/>
        </w:rPr>
      </w:pPr>
    </w:p>
    <w:p w14:paraId="66708CCE" w14:textId="77777777" w:rsidR="00561B22" w:rsidRPr="0012204B" w:rsidRDefault="00561B22" w:rsidP="00561B22">
      <w:pPr>
        <w:jc w:val="both"/>
        <w:rPr>
          <w:rFonts w:ascii="Arial" w:hAnsi="Arial" w:cs="Arial"/>
          <w:b/>
          <w:sz w:val="28"/>
          <w:szCs w:val="28"/>
          <w:lang w:val="es-MX"/>
        </w:rPr>
      </w:pPr>
      <w:r w:rsidRPr="0012204B">
        <w:rPr>
          <w:rFonts w:ascii="Arial" w:hAnsi="Arial" w:cs="Arial"/>
          <w:b/>
          <w:sz w:val="28"/>
          <w:szCs w:val="28"/>
          <w:lang w:val="es-MX"/>
        </w:rPr>
        <w:t>349.- UNIVERSIDAD DE CALDAS.</w:t>
      </w:r>
    </w:p>
    <w:p w14:paraId="06D6AD55" w14:textId="77777777" w:rsidR="00561B22" w:rsidRDefault="00561B22" w:rsidP="00561B22">
      <w:pPr>
        <w:pStyle w:val="Ttulo1"/>
        <w:ind w:right="-50"/>
        <w:jc w:val="left"/>
        <w:rPr>
          <w:sz w:val="22"/>
          <w:szCs w:val="22"/>
        </w:rPr>
      </w:pPr>
    </w:p>
    <w:p w14:paraId="74C437F8" w14:textId="56E8A906" w:rsidR="00561B22" w:rsidRDefault="00561B22" w:rsidP="00561B22">
      <w:pPr>
        <w:pStyle w:val="Textoindependiente"/>
        <w:ind w:right="-50"/>
        <w:jc w:val="center"/>
        <w:rPr>
          <w:rFonts w:ascii="Arial" w:hAnsi="Arial" w:cs="Arial"/>
          <w:b/>
          <w:bCs/>
        </w:rPr>
      </w:pPr>
      <w:r w:rsidRPr="0012204B">
        <w:rPr>
          <w:rFonts w:ascii="Arial" w:hAnsi="Arial" w:cs="Arial"/>
          <w:b/>
          <w:bCs/>
        </w:rPr>
        <w:t>INFORME DE LA AUTOCALIFICACIÓN DEL SISTEMA DE CONTROL INTERNO CONTABLE:</w:t>
      </w:r>
    </w:p>
    <w:p w14:paraId="36A94217" w14:textId="77777777" w:rsidR="00E41332" w:rsidRPr="0012204B" w:rsidRDefault="00E41332" w:rsidP="00561B22">
      <w:pPr>
        <w:pStyle w:val="Textoindependiente"/>
        <w:ind w:right="-50"/>
        <w:jc w:val="center"/>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12204B" w14:paraId="29C1752B" w14:textId="77777777" w:rsidTr="00F1223B">
        <w:tc>
          <w:tcPr>
            <w:tcW w:w="4981" w:type="dxa"/>
          </w:tcPr>
          <w:p w14:paraId="002F5DD8"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AUTOCALIFICACIÓN</w:t>
            </w:r>
          </w:p>
        </w:tc>
        <w:tc>
          <w:tcPr>
            <w:tcW w:w="4981" w:type="dxa"/>
          </w:tcPr>
          <w:p w14:paraId="342FD314" w14:textId="77777777" w:rsidR="00561B22" w:rsidRPr="0012204B" w:rsidRDefault="00561B22" w:rsidP="00F1223B">
            <w:pPr>
              <w:jc w:val="center"/>
              <w:rPr>
                <w:rFonts w:ascii="Arial" w:hAnsi="Arial" w:cs="Arial"/>
                <w:b/>
                <w:sz w:val="22"/>
                <w:szCs w:val="22"/>
                <w:u w:val="single"/>
                <w:lang w:val="es-MX"/>
              </w:rPr>
            </w:pPr>
            <w:r w:rsidRPr="0012204B">
              <w:rPr>
                <w:rFonts w:ascii="Arial" w:hAnsi="Arial" w:cs="Arial"/>
                <w:b/>
                <w:sz w:val="22"/>
                <w:szCs w:val="22"/>
                <w:u w:val="single"/>
                <w:lang w:val="es-MX"/>
              </w:rPr>
              <w:t>4.97</w:t>
            </w:r>
          </w:p>
        </w:tc>
      </w:tr>
    </w:tbl>
    <w:p w14:paraId="7DB8BEBF" w14:textId="77777777" w:rsidR="00561B22" w:rsidRPr="0012204B" w:rsidRDefault="00561B22" w:rsidP="00561B22">
      <w:pPr>
        <w:pStyle w:val="Textoindependiente"/>
        <w:ind w:right="-50"/>
        <w:jc w:val="both"/>
        <w:rPr>
          <w:rFonts w:ascii="Arial" w:hAnsi="Arial" w:cs="Arial"/>
          <w:b/>
          <w:bCs/>
        </w:rPr>
      </w:pPr>
    </w:p>
    <w:p w14:paraId="337A9435" w14:textId="77777777" w:rsidR="00561B22" w:rsidRPr="0012204B" w:rsidRDefault="00561B22" w:rsidP="00561B22">
      <w:pPr>
        <w:pStyle w:val="Textoindependiente"/>
        <w:ind w:right="-50"/>
        <w:jc w:val="both"/>
        <w:rPr>
          <w:rFonts w:ascii="Arial" w:hAnsi="Arial" w:cs="Arial"/>
          <w:b/>
          <w:bCs/>
        </w:rPr>
      </w:pPr>
      <w:r w:rsidRPr="0012204B">
        <w:rPr>
          <w:rFonts w:ascii="Arial" w:hAnsi="Arial" w:cs="Arial"/>
          <w:b/>
          <w:bCs/>
        </w:rPr>
        <w:t>Del informe enviado retomamos lo siguiente:</w:t>
      </w:r>
    </w:p>
    <w:p w14:paraId="0094819C" w14:textId="77777777" w:rsidR="00561B22" w:rsidRPr="0012204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2204B" w14:paraId="66D02715" w14:textId="77777777" w:rsidTr="00F1223B">
        <w:tc>
          <w:tcPr>
            <w:tcW w:w="562" w:type="dxa"/>
          </w:tcPr>
          <w:p w14:paraId="5C3CF4AB" w14:textId="77777777" w:rsidR="00561B22" w:rsidRPr="0012204B" w:rsidRDefault="00561B22" w:rsidP="00F1223B">
            <w:pPr>
              <w:ind w:right="-109"/>
              <w:jc w:val="center"/>
              <w:rPr>
                <w:rFonts w:ascii="Arial" w:hAnsi="Arial" w:cs="Arial"/>
                <w:b/>
                <w:sz w:val="22"/>
                <w:szCs w:val="22"/>
                <w:lang w:val="es-MX"/>
              </w:rPr>
            </w:pPr>
            <w:r w:rsidRPr="0012204B">
              <w:rPr>
                <w:rFonts w:ascii="Arial" w:hAnsi="Arial" w:cs="Arial"/>
                <w:b/>
                <w:sz w:val="22"/>
                <w:szCs w:val="22"/>
                <w:lang w:val="es-MX"/>
              </w:rPr>
              <w:t>N°</w:t>
            </w:r>
          </w:p>
        </w:tc>
        <w:tc>
          <w:tcPr>
            <w:tcW w:w="9400" w:type="dxa"/>
          </w:tcPr>
          <w:p w14:paraId="29832A67"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DEBILIDADES</w:t>
            </w:r>
          </w:p>
          <w:p w14:paraId="27FE6E09" w14:textId="77777777" w:rsidR="00561B22" w:rsidRPr="0012204B" w:rsidRDefault="00561B22" w:rsidP="00F1223B">
            <w:pPr>
              <w:jc w:val="center"/>
              <w:rPr>
                <w:rFonts w:ascii="Arial" w:hAnsi="Arial" w:cs="Arial"/>
                <w:b/>
                <w:sz w:val="22"/>
                <w:szCs w:val="22"/>
                <w:lang w:val="es-MX"/>
              </w:rPr>
            </w:pPr>
          </w:p>
        </w:tc>
      </w:tr>
      <w:tr w:rsidR="00561B22" w:rsidRPr="0012204B" w14:paraId="516373AC" w14:textId="77777777" w:rsidTr="00F1223B">
        <w:tc>
          <w:tcPr>
            <w:tcW w:w="562" w:type="dxa"/>
          </w:tcPr>
          <w:p w14:paraId="5A784C56"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1</w:t>
            </w:r>
          </w:p>
        </w:tc>
        <w:tc>
          <w:tcPr>
            <w:tcW w:w="9400" w:type="dxa"/>
          </w:tcPr>
          <w:p w14:paraId="541554CF" w14:textId="48AE6A1B"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Debilidad entrega de la </w:t>
            </w:r>
            <w:r w:rsidR="0008150C" w:rsidRPr="0012204B">
              <w:rPr>
                <w:rFonts w:ascii="Arial" w:hAnsi="Arial" w:cs="Arial"/>
                <w:sz w:val="22"/>
                <w:szCs w:val="22"/>
                <w:lang w:val="es-MX"/>
              </w:rPr>
              <w:t>información</w:t>
            </w:r>
            <w:r w:rsidRPr="0012204B">
              <w:rPr>
                <w:rFonts w:ascii="Arial" w:hAnsi="Arial" w:cs="Arial"/>
                <w:sz w:val="22"/>
                <w:szCs w:val="22"/>
                <w:lang w:val="es-MX"/>
              </w:rPr>
              <w:t xml:space="preserve"> oportuna por los centros de costos, lo cual genera para algunos casos inoportunidad en el registro o legalización.  </w:t>
            </w:r>
          </w:p>
        </w:tc>
      </w:tr>
      <w:tr w:rsidR="00561B22" w:rsidRPr="0012204B" w14:paraId="07E987E3" w14:textId="77777777" w:rsidTr="00F1223B">
        <w:tc>
          <w:tcPr>
            <w:tcW w:w="562" w:type="dxa"/>
          </w:tcPr>
          <w:p w14:paraId="6F596B97"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2</w:t>
            </w:r>
          </w:p>
        </w:tc>
        <w:tc>
          <w:tcPr>
            <w:tcW w:w="9400" w:type="dxa"/>
          </w:tcPr>
          <w:p w14:paraId="54818574"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Actualización de matriz de exigibilidades o cronograma de informes.   </w:t>
            </w:r>
          </w:p>
        </w:tc>
      </w:tr>
      <w:tr w:rsidR="00561B22" w:rsidRPr="0012204B" w14:paraId="0A7CC6B8" w14:textId="77777777" w:rsidTr="00F1223B">
        <w:tc>
          <w:tcPr>
            <w:tcW w:w="562" w:type="dxa"/>
          </w:tcPr>
          <w:p w14:paraId="250ED3A7"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3</w:t>
            </w:r>
          </w:p>
        </w:tc>
        <w:tc>
          <w:tcPr>
            <w:tcW w:w="9400" w:type="dxa"/>
          </w:tcPr>
          <w:p w14:paraId="44DA6C62"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Documentación de los lineamientos contables referentes a: registro individual de bienes, conciliación de saldos con otros procesos como gestión humana, bienes, litigioso, centros de costos entre otras. </w:t>
            </w:r>
          </w:p>
        </w:tc>
      </w:tr>
      <w:tr w:rsidR="00561B22" w:rsidRPr="0012204B" w14:paraId="4511B267" w14:textId="77777777" w:rsidTr="00F1223B">
        <w:tc>
          <w:tcPr>
            <w:tcW w:w="562" w:type="dxa"/>
          </w:tcPr>
          <w:p w14:paraId="6FE02F85"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4</w:t>
            </w:r>
          </w:p>
        </w:tc>
        <w:tc>
          <w:tcPr>
            <w:tcW w:w="9400" w:type="dxa"/>
          </w:tcPr>
          <w:p w14:paraId="068C07BE"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La publicación de estados financieros y contables, que si bien es cierto se publican no se evidencian en los documentos del sig.    </w:t>
            </w:r>
          </w:p>
        </w:tc>
      </w:tr>
    </w:tbl>
    <w:p w14:paraId="52F603F7" w14:textId="77777777" w:rsidR="00561B22" w:rsidRPr="0012204B" w:rsidRDefault="00561B22" w:rsidP="00561B22">
      <w:pPr>
        <w:pStyle w:val="Textoindependiente"/>
        <w:ind w:right="-50"/>
        <w:jc w:val="both"/>
        <w:rPr>
          <w:rFonts w:ascii="Arial" w:hAnsi="Arial" w:cs="Arial"/>
          <w:b/>
          <w:bCs/>
        </w:rPr>
      </w:pPr>
    </w:p>
    <w:p w14:paraId="4302FFCF" w14:textId="77777777" w:rsidR="00561B22" w:rsidRPr="0012204B" w:rsidRDefault="00561B22" w:rsidP="00561B22">
      <w:pPr>
        <w:jc w:val="both"/>
        <w:rPr>
          <w:rFonts w:ascii="Arial" w:hAnsi="Arial" w:cs="Arial"/>
          <w:b/>
          <w:lang w:val="es-MX"/>
        </w:rPr>
      </w:pPr>
      <w:r w:rsidRPr="0012204B">
        <w:rPr>
          <w:rFonts w:ascii="Arial" w:hAnsi="Arial" w:cs="Arial"/>
          <w:b/>
          <w:lang w:val="es-MX"/>
        </w:rPr>
        <w:t>Del citado informe retomamos las siguientes recomendaciones:</w:t>
      </w:r>
    </w:p>
    <w:p w14:paraId="651C834F" w14:textId="77777777" w:rsidR="00561B22" w:rsidRPr="0012204B"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12204B" w14:paraId="4BDACC22" w14:textId="77777777" w:rsidTr="00F1223B">
        <w:tc>
          <w:tcPr>
            <w:tcW w:w="562" w:type="dxa"/>
          </w:tcPr>
          <w:p w14:paraId="11E6691C" w14:textId="77777777" w:rsidR="00561B22" w:rsidRPr="0012204B" w:rsidRDefault="00561B22" w:rsidP="00F1223B">
            <w:pPr>
              <w:ind w:right="-109"/>
              <w:jc w:val="center"/>
              <w:rPr>
                <w:rFonts w:ascii="Arial" w:hAnsi="Arial" w:cs="Arial"/>
                <w:b/>
                <w:sz w:val="22"/>
                <w:szCs w:val="22"/>
                <w:lang w:val="es-MX"/>
              </w:rPr>
            </w:pPr>
            <w:r w:rsidRPr="0012204B">
              <w:rPr>
                <w:rFonts w:ascii="Arial" w:hAnsi="Arial" w:cs="Arial"/>
                <w:b/>
                <w:sz w:val="22"/>
                <w:szCs w:val="22"/>
                <w:lang w:val="es-MX"/>
              </w:rPr>
              <w:t>N°</w:t>
            </w:r>
          </w:p>
        </w:tc>
        <w:tc>
          <w:tcPr>
            <w:tcW w:w="9400" w:type="dxa"/>
          </w:tcPr>
          <w:p w14:paraId="4F5B10DE"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RECOMENDACIONES</w:t>
            </w:r>
          </w:p>
          <w:p w14:paraId="73A2E93D" w14:textId="77777777" w:rsidR="00561B22" w:rsidRPr="0012204B" w:rsidRDefault="00561B22" w:rsidP="00F1223B">
            <w:pPr>
              <w:jc w:val="center"/>
              <w:rPr>
                <w:rFonts w:ascii="Arial" w:hAnsi="Arial" w:cs="Arial"/>
                <w:b/>
                <w:sz w:val="22"/>
                <w:szCs w:val="22"/>
                <w:lang w:val="es-MX"/>
              </w:rPr>
            </w:pPr>
          </w:p>
        </w:tc>
      </w:tr>
      <w:tr w:rsidR="00561B22" w:rsidRPr="0012204B" w14:paraId="0C7269EC" w14:textId="77777777" w:rsidTr="00F1223B">
        <w:tc>
          <w:tcPr>
            <w:tcW w:w="562" w:type="dxa"/>
          </w:tcPr>
          <w:p w14:paraId="23D621AD"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1</w:t>
            </w:r>
          </w:p>
        </w:tc>
        <w:tc>
          <w:tcPr>
            <w:tcW w:w="9400" w:type="dxa"/>
          </w:tcPr>
          <w:p w14:paraId="68D69DD9" w14:textId="5E1555FE"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Propender que la </w:t>
            </w:r>
            <w:r w:rsidR="0008150C" w:rsidRPr="0012204B">
              <w:rPr>
                <w:rFonts w:ascii="Arial" w:hAnsi="Arial" w:cs="Arial"/>
                <w:sz w:val="22"/>
                <w:szCs w:val="22"/>
                <w:lang w:val="es-MX"/>
              </w:rPr>
              <w:t>información</w:t>
            </w:r>
            <w:r w:rsidRPr="0012204B">
              <w:rPr>
                <w:rFonts w:ascii="Arial" w:hAnsi="Arial" w:cs="Arial"/>
                <w:sz w:val="22"/>
                <w:szCs w:val="22"/>
                <w:lang w:val="es-MX"/>
              </w:rPr>
              <w:t xml:space="preserve"> suministrada por las fuentes internas sea entregada al área contable de manera oportuna, completa y clara conforme a la circular del cierre contable y mensualmente. </w:t>
            </w:r>
          </w:p>
        </w:tc>
      </w:tr>
      <w:tr w:rsidR="00561B22" w:rsidRPr="0012204B" w14:paraId="5B1D080B" w14:textId="77777777" w:rsidTr="00F1223B">
        <w:tc>
          <w:tcPr>
            <w:tcW w:w="562" w:type="dxa"/>
          </w:tcPr>
          <w:p w14:paraId="1C563F47"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2</w:t>
            </w:r>
          </w:p>
        </w:tc>
        <w:tc>
          <w:tcPr>
            <w:tcW w:w="9400" w:type="dxa"/>
          </w:tcPr>
          <w:p w14:paraId="33C657A4"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Realizar conciliación de la información de manera mensual, establecer métodos que faciliten este proceso por medio de sistematización e integración de los sistemas de información.  </w:t>
            </w:r>
          </w:p>
        </w:tc>
      </w:tr>
      <w:tr w:rsidR="00561B22" w:rsidRPr="0012204B" w14:paraId="30056CAD" w14:textId="77777777" w:rsidTr="00F1223B">
        <w:tc>
          <w:tcPr>
            <w:tcW w:w="562" w:type="dxa"/>
          </w:tcPr>
          <w:p w14:paraId="03CA6332"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3</w:t>
            </w:r>
          </w:p>
        </w:tc>
        <w:tc>
          <w:tcPr>
            <w:tcW w:w="9400" w:type="dxa"/>
          </w:tcPr>
          <w:p w14:paraId="064C1670"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Dar continuidad a los procesos de reinducción interna y capacitación al personal del área financiera, extensiva a los demás procesos y centros de costos.</w:t>
            </w:r>
          </w:p>
        </w:tc>
      </w:tr>
      <w:tr w:rsidR="00561B22" w:rsidRPr="0012204B" w14:paraId="64AF09EC" w14:textId="77777777" w:rsidTr="00F1223B">
        <w:tc>
          <w:tcPr>
            <w:tcW w:w="562" w:type="dxa"/>
          </w:tcPr>
          <w:p w14:paraId="5B270635"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4</w:t>
            </w:r>
          </w:p>
        </w:tc>
        <w:tc>
          <w:tcPr>
            <w:tcW w:w="9400" w:type="dxa"/>
          </w:tcPr>
          <w:p w14:paraId="03260589"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realizar mesas de trabajo con las áreas involucradas para la identificación de cuentas, y depuración de saldos.</w:t>
            </w:r>
          </w:p>
        </w:tc>
      </w:tr>
      <w:tr w:rsidR="00561B22" w:rsidRPr="0012204B" w14:paraId="384B72D8" w14:textId="77777777" w:rsidTr="00F1223B">
        <w:tc>
          <w:tcPr>
            <w:tcW w:w="562" w:type="dxa"/>
          </w:tcPr>
          <w:p w14:paraId="2A1C8292"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5</w:t>
            </w:r>
          </w:p>
        </w:tc>
        <w:tc>
          <w:tcPr>
            <w:tcW w:w="9400" w:type="dxa"/>
          </w:tcPr>
          <w:p w14:paraId="22C9F1BC"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 xml:space="preserve">Realizar bajo los parámetros del inventario contable la revisión de vida útil y depuración.  </w:t>
            </w:r>
          </w:p>
        </w:tc>
      </w:tr>
      <w:tr w:rsidR="00561B22" w:rsidRPr="0012204B" w14:paraId="56F86BE4" w14:textId="77777777" w:rsidTr="00F1223B">
        <w:tc>
          <w:tcPr>
            <w:tcW w:w="562" w:type="dxa"/>
          </w:tcPr>
          <w:p w14:paraId="41818F20" w14:textId="77777777" w:rsidR="00561B22" w:rsidRPr="0012204B" w:rsidRDefault="00561B22" w:rsidP="00F1223B">
            <w:pPr>
              <w:jc w:val="center"/>
              <w:rPr>
                <w:rFonts w:ascii="Arial" w:hAnsi="Arial" w:cs="Arial"/>
                <w:b/>
                <w:sz w:val="22"/>
                <w:szCs w:val="22"/>
                <w:lang w:val="es-MX"/>
              </w:rPr>
            </w:pPr>
            <w:r w:rsidRPr="0012204B">
              <w:rPr>
                <w:rFonts w:ascii="Arial" w:hAnsi="Arial" w:cs="Arial"/>
                <w:b/>
                <w:sz w:val="22"/>
                <w:szCs w:val="22"/>
                <w:lang w:val="es-MX"/>
              </w:rPr>
              <w:t>6</w:t>
            </w:r>
          </w:p>
        </w:tc>
        <w:tc>
          <w:tcPr>
            <w:tcW w:w="9400" w:type="dxa"/>
          </w:tcPr>
          <w:p w14:paraId="225CA37B" w14:textId="77777777" w:rsidR="00561B22" w:rsidRPr="0012204B" w:rsidRDefault="00561B22" w:rsidP="00F1223B">
            <w:pPr>
              <w:jc w:val="both"/>
              <w:rPr>
                <w:rFonts w:ascii="Arial" w:hAnsi="Arial" w:cs="Arial"/>
                <w:sz w:val="22"/>
                <w:szCs w:val="22"/>
                <w:lang w:val="es-MX"/>
              </w:rPr>
            </w:pPr>
            <w:r w:rsidRPr="0012204B">
              <w:rPr>
                <w:rFonts w:ascii="Arial" w:hAnsi="Arial" w:cs="Arial"/>
                <w:sz w:val="22"/>
                <w:szCs w:val="22"/>
                <w:lang w:val="es-MX"/>
              </w:rPr>
              <w:t>Mantener actualizado y consolidado el cronograma de informes, evidenciar las conciliaciones contables con otras áreas mediante la documentación en el sig, e incluir en la guía de presentación de informes la publicación de información contable, presupuestal y financiera.</w:t>
            </w:r>
          </w:p>
        </w:tc>
      </w:tr>
    </w:tbl>
    <w:p w14:paraId="134FEB3D" w14:textId="77777777" w:rsidR="00561B22" w:rsidRPr="0012204B" w:rsidRDefault="00561B22" w:rsidP="00561B22">
      <w:pPr>
        <w:pStyle w:val="Textoindependiente"/>
        <w:ind w:right="-50"/>
        <w:jc w:val="both"/>
        <w:rPr>
          <w:rFonts w:ascii="Arial" w:hAnsi="Arial" w:cs="Arial"/>
          <w:b/>
          <w:bCs/>
        </w:rPr>
      </w:pPr>
    </w:p>
    <w:p w14:paraId="7C003BBA" w14:textId="77777777" w:rsidR="00561B22" w:rsidRPr="0012204B" w:rsidRDefault="00561B22" w:rsidP="00561B22">
      <w:pPr>
        <w:jc w:val="both"/>
        <w:rPr>
          <w:rFonts w:ascii="Arial" w:hAnsi="Arial" w:cs="Arial"/>
          <w:b/>
          <w:bCs/>
          <w:sz w:val="24"/>
          <w:szCs w:val="24"/>
          <w:lang w:val="es-CO"/>
        </w:rPr>
      </w:pPr>
      <w:r w:rsidRPr="0012204B">
        <w:rPr>
          <w:rFonts w:ascii="Arial" w:hAnsi="Arial" w:cs="Arial"/>
          <w:b/>
          <w:bCs/>
          <w:sz w:val="24"/>
          <w:szCs w:val="24"/>
          <w:lang w:val="es-CO"/>
        </w:rPr>
        <w:t xml:space="preserve">NOTA: LA ENTIDAD ENVÍA LA MATRIZ DE AUTOEVALUACIÓN DEL SISTEMA DE CONTROL INTERNO CONTABLE CON </w:t>
      </w:r>
      <w:r w:rsidRPr="0012204B">
        <w:rPr>
          <w:rFonts w:ascii="Arial" w:hAnsi="Arial" w:cs="Arial"/>
          <w:b/>
          <w:sz w:val="24"/>
          <w:szCs w:val="24"/>
          <w:u w:val="single"/>
          <w:lang w:val="es-CO"/>
        </w:rPr>
        <w:t>ACTIVIDADES DE CONTROL REALIZADAS EN FORMA PARCIAL</w:t>
      </w:r>
      <w:r w:rsidRPr="0012204B">
        <w:rPr>
          <w:rFonts w:ascii="Arial" w:hAnsi="Arial" w:cs="Arial"/>
          <w:b/>
          <w:bCs/>
          <w:sz w:val="24"/>
          <w:szCs w:val="24"/>
          <w:lang w:val="es-CO"/>
        </w:rPr>
        <w:t>.</w:t>
      </w:r>
    </w:p>
    <w:p w14:paraId="30005418" w14:textId="77777777" w:rsidR="00561B22" w:rsidRDefault="00561B22" w:rsidP="00561B22">
      <w:pPr>
        <w:pStyle w:val="Ttulo1"/>
        <w:ind w:right="-50"/>
        <w:jc w:val="left"/>
        <w:rPr>
          <w:sz w:val="22"/>
          <w:szCs w:val="22"/>
        </w:rPr>
      </w:pPr>
    </w:p>
    <w:p w14:paraId="17A6EA92" w14:textId="77777777" w:rsidR="00561B22" w:rsidRPr="00A32545" w:rsidRDefault="00561B22" w:rsidP="00561B22">
      <w:pPr>
        <w:jc w:val="both"/>
        <w:rPr>
          <w:rFonts w:ascii="Arial" w:hAnsi="Arial" w:cs="Arial"/>
          <w:b/>
          <w:sz w:val="28"/>
          <w:szCs w:val="28"/>
          <w:lang w:val="es-MX"/>
        </w:rPr>
      </w:pPr>
      <w:r w:rsidRPr="00A32545">
        <w:rPr>
          <w:rFonts w:ascii="Arial" w:hAnsi="Arial" w:cs="Arial"/>
          <w:b/>
          <w:sz w:val="28"/>
          <w:szCs w:val="28"/>
          <w:lang w:val="es-MX"/>
        </w:rPr>
        <w:t>350.- CORPORACION PARA EL DESARROLLO SOSTENIBLE DEL URABA - CORPOURABA.</w:t>
      </w:r>
    </w:p>
    <w:p w14:paraId="7981B24F" w14:textId="77777777" w:rsidR="00561B22" w:rsidRDefault="00561B22" w:rsidP="00561B22">
      <w:pPr>
        <w:pStyle w:val="Ttulo1"/>
        <w:ind w:right="-50"/>
        <w:jc w:val="left"/>
        <w:rPr>
          <w:sz w:val="22"/>
          <w:szCs w:val="22"/>
        </w:rPr>
      </w:pPr>
    </w:p>
    <w:p w14:paraId="7FA287A4" w14:textId="77777777" w:rsidR="00561B22" w:rsidRPr="00A32545" w:rsidRDefault="00561B22" w:rsidP="00561B22">
      <w:pPr>
        <w:pStyle w:val="Textoindependiente"/>
        <w:jc w:val="center"/>
        <w:rPr>
          <w:rFonts w:ascii="Arial" w:hAnsi="Arial" w:cs="Arial"/>
          <w:b/>
          <w:bCs/>
        </w:rPr>
      </w:pPr>
      <w:r w:rsidRPr="00A32545">
        <w:rPr>
          <w:rFonts w:ascii="Arial" w:hAnsi="Arial" w:cs="Arial"/>
          <w:b/>
          <w:bCs/>
        </w:rPr>
        <w:t>INFORME DE LA AUTOCALIFICACIÓN DEL SISTEMA DE CONTROL INTERNO CONTABLE:</w:t>
      </w:r>
    </w:p>
    <w:p w14:paraId="193AA407" w14:textId="77777777" w:rsidR="00561B22" w:rsidRPr="00A32545"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A32545" w14:paraId="345AED97" w14:textId="77777777" w:rsidTr="00F1223B">
        <w:tc>
          <w:tcPr>
            <w:tcW w:w="4981" w:type="dxa"/>
          </w:tcPr>
          <w:p w14:paraId="79B36759"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AUTOCALIFICACIÓN</w:t>
            </w:r>
          </w:p>
        </w:tc>
        <w:tc>
          <w:tcPr>
            <w:tcW w:w="4981" w:type="dxa"/>
          </w:tcPr>
          <w:p w14:paraId="7290B41F" w14:textId="77777777" w:rsidR="00561B22" w:rsidRPr="00A32545" w:rsidRDefault="00561B22" w:rsidP="00F1223B">
            <w:pPr>
              <w:jc w:val="center"/>
              <w:rPr>
                <w:rFonts w:ascii="Arial" w:hAnsi="Arial" w:cs="Arial"/>
                <w:b/>
                <w:sz w:val="22"/>
                <w:szCs w:val="22"/>
                <w:u w:val="single"/>
                <w:lang w:val="es-MX"/>
              </w:rPr>
            </w:pPr>
            <w:r w:rsidRPr="00A32545">
              <w:rPr>
                <w:rFonts w:ascii="Arial" w:hAnsi="Arial" w:cs="Arial"/>
                <w:b/>
                <w:sz w:val="22"/>
                <w:szCs w:val="22"/>
                <w:u w:val="single"/>
                <w:lang w:val="es-MX"/>
              </w:rPr>
              <w:t>5.00</w:t>
            </w:r>
          </w:p>
        </w:tc>
      </w:tr>
    </w:tbl>
    <w:p w14:paraId="1F599C17" w14:textId="77777777" w:rsidR="00561B22" w:rsidRPr="00A32545" w:rsidRDefault="00561B22" w:rsidP="00561B22">
      <w:pPr>
        <w:pStyle w:val="Textoindependiente"/>
        <w:jc w:val="both"/>
        <w:rPr>
          <w:rFonts w:ascii="Arial" w:hAnsi="Arial" w:cs="Arial"/>
          <w:b/>
          <w:bCs/>
        </w:rPr>
      </w:pPr>
    </w:p>
    <w:p w14:paraId="4BC5D6DA" w14:textId="77777777" w:rsidR="00561B22" w:rsidRPr="00A32545" w:rsidRDefault="00561B22" w:rsidP="00561B22">
      <w:pPr>
        <w:pStyle w:val="Textoindependiente"/>
        <w:jc w:val="both"/>
        <w:rPr>
          <w:rFonts w:ascii="Arial" w:hAnsi="Arial" w:cs="Arial"/>
          <w:b/>
          <w:bCs/>
        </w:rPr>
      </w:pPr>
      <w:r w:rsidRPr="00A32545">
        <w:rPr>
          <w:rFonts w:ascii="Arial" w:hAnsi="Arial" w:cs="Arial"/>
          <w:b/>
          <w:bCs/>
        </w:rPr>
        <w:t>Del informe enviado retomamos lo siguiente:</w:t>
      </w:r>
    </w:p>
    <w:p w14:paraId="7FD04162" w14:textId="77777777" w:rsidR="00561B22" w:rsidRPr="00A32545"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A32545" w14:paraId="702405CC" w14:textId="77777777" w:rsidTr="00F1223B">
        <w:tc>
          <w:tcPr>
            <w:tcW w:w="562" w:type="dxa"/>
          </w:tcPr>
          <w:p w14:paraId="736944C9"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N°</w:t>
            </w:r>
          </w:p>
        </w:tc>
        <w:tc>
          <w:tcPr>
            <w:tcW w:w="9400" w:type="dxa"/>
          </w:tcPr>
          <w:p w14:paraId="2880BA59"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DEBILIDADES</w:t>
            </w:r>
          </w:p>
          <w:p w14:paraId="6D79AE63" w14:textId="77777777" w:rsidR="00561B22" w:rsidRPr="00A32545" w:rsidRDefault="00561B22" w:rsidP="00F1223B">
            <w:pPr>
              <w:jc w:val="center"/>
              <w:rPr>
                <w:rFonts w:ascii="Arial" w:hAnsi="Arial" w:cs="Arial"/>
                <w:b/>
                <w:sz w:val="22"/>
                <w:szCs w:val="22"/>
                <w:lang w:val="es-MX"/>
              </w:rPr>
            </w:pPr>
          </w:p>
        </w:tc>
      </w:tr>
      <w:tr w:rsidR="00561B22" w:rsidRPr="00A32545" w14:paraId="000D22DC" w14:textId="77777777" w:rsidTr="00F1223B">
        <w:tc>
          <w:tcPr>
            <w:tcW w:w="562" w:type="dxa"/>
          </w:tcPr>
          <w:p w14:paraId="30FF4A70"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1</w:t>
            </w:r>
          </w:p>
        </w:tc>
        <w:tc>
          <w:tcPr>
            <w:tcW w:w="9400" w:type="dxa"/>
          </w:tcPr>
          <w:p w14:paraId="4CD770BF" w14:textId="77777777" w:rsidR="00561B22" w:rsidRPr="00A32545" w:rsidRDefault="00561B22" w:rsidP="00F1223B">
            <w:pPr>
              <w:rPr>
                <w:rFonts w:ascii="Arial" w:hAnsi="Arial" w:cs="Arial"/>
                <w:bCs/>
                <w:sz w:val="22"/>
                <w:szCs w:val="22"/>
                <w:lang w:val="es-MX"/>
              </w:rPr>
            </w:pPr>
            <w:r w:rsidRPr="00A32545">
              <w:rPr>
                <w:rFonts w:ascii="Arial" w:hAnsi="Arial" w:cs="Arial"/>
                <w:bCs/>
                <w:sz w:val="22"/>
                <w:szCs w:val="22"/>
                <w:lang w:val="es-CO"/>
              </w:rPr>
              <w:t>Personal insuficiente para el desarrollo de las actividades</w:t>
            </w:r>
          </w:p>
        </w:tc>
      </w:tr>
    </w:tbl>
    <w:p w14:paraId="12FF12BD" w14:textId="77777777" w:rsidR="00561B22" w:rsidRPr="00A32545" w:rsidRDefault="00561B22" w:rsidP="00561B22">
      <w:pPr>
        <w:pStyle w:val="Textoindependiente"/>
        <w:jc w:val="both"/>
        <w:rPr>
          <w:rFonts w:ascii="Arial" w:hAnsi="Arial" w:cs="Arial"/>
          <w:b/>
          <w:bCs/>
        </w:rPr>
      </w:pPr>
    </w:p>
    <w:p w14:paraId="5E7E94B5" w14:textId="7C1C8813" w:rsidR="00561B22" w:rsidRDefault="00561B22" w:rsidP="00561B22">
      <w:pPr>
        <w:jc w:val="both"/>
        <w:rPr>
          <w:rFonts w:ascii="Arial" w:hAnsi="Arial" w:cs="Arial"/>
          <w:b/>
          <w:lang w:val="es-MX"/>
        </w:rPr>
      </w:pPr>
      <w:r w:rsidRPr="00A32545">
        <w:rPr>
          <w:rFonts w:ascii="Arial" w:hAnsi="Arial" w:cs="Arial"/>
          <w:b/>
          <w:lang w:val="es-MX"/>
        </w:rPr>
        <w:t>Del citado informe retomamos las siguientes recomendaciones:</w:t>
      </w:r>
    </w:p>
    <w:p w14:paraId="6D9D4CB7" w14:textId="77777777" w:rsidR="00217295" w:rsidRPr="00A32545" w:rsidRDefault="00217295"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A32545" w14:paraId="3CBD0964" w14:textId="77777777" w:rsidTr="00F1223B">
        <w:tc>
          <w:tcPr>
            <w:tcW w:w="562" w:type="dxa"/>
          </w:tcPr>
          <w:p w14:paraId="798DAB18"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N°</w:t>
            </w:r>
          </w:p>
        </w:tc>
        <w:tc>
          <w:tcPr>
            <w:tcW w:w="9400" w:type="dxa"/>
          </w:tcPr>
          <w:p w14:paraId="4AE9AB42"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RECOMENDACIONES</w:t>
            </w:r>
          </w:p>
          <w:p w14:paraId="015BE06B" w14:textId="77777777" w:rsidR="00561B22" w:rsidRPr="00A32545" w:rsidRDefault="00561B22" w:rsidP="00F1223B">
            <w:pPr>
              <w:jc w:val="center"/>
              <w:rPr>
                <w:rFonts w:ascii="Arial" w:hAnsi="Arial" w:cs="Arial"/>
                <w:b/>
                <w:sz w:val="22"/>
                <w:szCs w:val="22"/>
                <w:lang w:val="es-MX"/>
              </w:rPr>
            </w:pPr>
          </w:p>
        </w:tc>
      </w:tr>
      <w:tr w:rsidR="00561B22" w:rsidRPr="00A32545" w14:paraId="0CABDA41" w14:textId="77777777" w:rsidTr="00F1223B">
        <w:tc>
          <w:tcPr>
            <w:tcW w:w="562" w:type="dxa"/>
          </w:tcPr>
          <w:p w14:paraId="3B1E14BA" w14:textId="77777777" w:rsidR="00561B22" w:rsidRPr="00A32545" w:rsidRDefault="00561B22" w:rsidP="00F1223B">
            <w:pPr>
              <w:jc w:val="center"/>
              <w:rPr>
                <w:rFonts w:ascii="Arial" w:hAnsi="Arial" w:cs="Arial"/>
                <w:b/>
                <w:sz w:val="22"/>
                <w:szCs w:val="22"/>
                <w:lang w:val="es-MX"/>
              </w:rPr>
            </w:pPr>
            <w:r w:rsidRPr="00A32545">
              <w:rPr>
                <w:rFonts w:ascii="Arial" w:hAnsi="Arial" w:cs="Arial"/>
                <w:b/>
                <w:sz w:val="22"/>
                <w:szCs w:val="22"/>
                <w:lang w:val="es-MX"/>
              </w:rPr>
              <w:t>1</w:t>
            </w:r>
          </w:p>
        </w:tc>
        <w:tc>
          <w:tcPr>
            <w:tcW w:w="9400" w:type="dxa"/>
          </w:tcPr>
          <w:p w14:paraId="0C0DE8E2" w14:textId="77777777" w:rsidR="00561B22" w:rsidRPr="00A32545" w:rsidRDefault="00561B22" w:rsidP="00F1223B">
            <w:pPr>
              <w:rPr>
                <w:rFonts w:ascii="Arial" w:hAnsi="Arial" w:cs="Arial"/>
                <w:bCs/>
                <w:sz w:val="22"/>
                <w:szCs w:val="22"/>
                <w:lang w:val="es-MX"/>
              </w:rPr>
            </w:pPr>
            <w:r w:rsidRPr="00A32545">
              <w:rPr>
                <w:rFonts w:ascii="Arial" w:hAnsi="Arial" w:cs="Arial"/>
                <w:bCs/>
                <w:sz w:val="22"/>
                <w:szCs w:val="22"/>
                <w:lang w:val="es-CO"/>
              </w:rPr>
              <w:t>Continuar con los controles que se llevan a cabo y dar continuidad al personal del área</w:t>
            </w:r>
          </w:p>
        </w:tc>
      </w:tr>
    </w:tbl>
    <w:p w14:paraId="37E0B346" w14:textId="77777777" w:rsidR="00561B22" w:rsidRPr="00A32545" w:rsidRDefault="00561B22" w:rsidP="00561B22">
      <w:pPr>
        <w:pStyle w:val="Ttulo1"/>
        <w:ind w:right="0"/>
        <w:rPr>
          <w:sz w:val="22"/>
          <w:szCs w:val="22"/>
        </w:rPr>
      </w:pPr>
    </w:p>
    <w:p w14:paraId="424A5F18" w14:textId="77777777" w:rsidR="00561B22" w:rsidRPr="009A5D90" w:rsidRDefault="00561B22" w:rsidP="00561B22">
      <w:pPr>
        <w:jc w:val="both"/>
        <w:rPr>
          <w:rFonts w:ascii="Arial" w:hAnsi="Arial" w:cs="Arial"/>
          <w:b/>
          <w:sz w:val="28"/>
          <w:szCs w:val="28"/>
          <w:lang w:val="es-MX"/>
        </w:rPr>
      </w:pPr>
      <w:r w:rsidRPr="009A5D90">
        <w:rPr>
          <w:rFonts w:ascii="Arial" w:hAnsi="Arial" w:cs="Arial"/>
          <w:b/>
          <w:sz w:val="28"/>
          <w:szCs w:val="28"/>
          <w:lang w:val="es-MX"/>
        </w:rPr>
        <w:t xml:space="preserve">351.- ALIANZA PÚBLICA PARA EL DESARROLLO INTEGRAL – ALDESARROLLO (RED COLOMBIANA DE INSTITUCIONES DE EDUCACIÓN SUPERIOR). </w:t>
      </w:r>
    </w:p>
    <w:p w14:paraId="3A2EED51" w14:textId="77777777" w:rsidR="00561B22" w:rsidRPr="009A5D90" w:rsidRDefault="00561B22" w:rsidP="00561B22">
      <w:pPr>
        <w:pStyle w:val="Textoindependiente"/>
        <w:jc w:val="both"/>
        <w:rPr>
          <w:rFonts w:ascii="Arial" w:hAnsi="Arial" w:cs="Arial"/>
          <w:b/>
        </w:rPr>
      </w:pPr>
    </w:p>
    <w:p w14:paraId="35530ED9" w14:textId="77777777" w:rsidR="00561B22" w:rsidRPr="009A5D90" w:rsidRDefault="00561B22" w:rsidP="00561B22">
      <w:pPr>
        <w:pStyle w:val="Textoindependiente"/>
        <w:ind w:right="-50"/>
        <w:jc w:val="center"/>
        <w:rPr>
          <w:rFonts w:ascii="Arial" w:hAnsi="Arial" w:cs="Arial"/>
          <w:b/>
          <w:bCs/>
        </w:rPr>
      </w:pPr>
      <w:r w:rsidRPr="009A5D90">
        <w:rPr>
          <w:rFonts w:ascii="Arial" w:hAnsi="Arial" w:cs="Arial"/>
          <w:b/>
          <w:bCs/>
        </w:rPr>
        <w:t>INFORME DE LA AUTOCALIFICACIÓN DEL SISTEMA DE CONTROL INTERNO CONTABLE:</w:t>
      </w:r>
    </w:p>
    <w:p w14:paraId="4E6D6D2D" w14:textId="77777777" w:rsidR="00561B22" w:rsidRPr="009A5D9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9A5D90" w14:paraId="516B8EAF" w14:textId="77777777" w:rsidTr="00F1223B">
        <w:tc>
          <w:tcPr>
            <w:tcW w:w="4981" w:type="dxa"/>
          </w:tcPr>
          <w:p w14:paraId="57024916"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AUTOCALIFICACIÓN</w:t>
            </w:r>
          </w:p>
        </w:tc>
        <w:tc>
          <w:tcPr>
            <w:tcW w:w="4981" w:type="dxa"/>
          </w:tcPr>
          <w:p w14:paraId="0DBAC6DC" w14:textId="77777777" w:rsidR="00561B22" w:rsidRPr="009A5D90" w:rsidRDefault="00561B22" w:rsidP="00F1223B">
            <w:pPr>
              <w:jc w:val="center"/>
              <w:rPr>
                <w:rFonts w:ascii="Arial" w:hAnsi="Arial" w:cs="Arial"/>
                <w:b/>
                <w:sz w:val="22"/>
                <w:szCs w:val="22"/>
                <w:u w:val="single"/>
                <w:lang w:val="es-MX"/>
              </w:rPr>
            </w:pPr>
            <w:r w:rsidRPr="009A5D90">
              <w:rPr>
                <w:rFonts w:ascii="Arial" w:hAnsi="Arial" w:cs="Arial"/>
                <w:b/>
                <w:sz w:val="22"/>
                <w:szCs w:val="22"/>
                <w:u w:val="single"/>
                <w:lang w:val="es-MX"/>
              </w:rPr>
              <w:t>4.92</w:t>
            </w:r>
          </w:p>
        </w:tc>
      </w:tr>
    </w:tbl>
    <w:p w14:paraId="137EE735" w14:textId="77777777" w:rsidR="00EE0D80" w:rsidRDefault="00EE0D80" w:rsidP="00561B22">
      <w:pPr>
        <w:pStyle w:val="Textoindependiente"/>
        <w:ind w:right="-50"/>
        <w:jc w:val="both"/>
        <w:rPr>
          <w:rFonts w:ascii="Arial" w:hAnsi="Arial" w:cs="Arial"/>
          <w:b/>
          <w:bCs/>
        </w:rPr>
      </w:pPr>
    </w:p>
    <w:p w14:paraId="264DA239" w14:textId="14DA3DBB" w:rsidR="00561B22" w:rsidRPr="009A5D90" w:rsidRDefault="00561B22" w:rsidP="00561B22">
      <w:pPr>
        <w:pStyle w:val="Textoindependiente"/>
        <w:ind w:right="-50"/>
        <w:jc w:val="both"/>
        <w:rPr>
          <w:rFonts w:ascii="Arial" w:hAnsi="Arial" w:cs="Arial"/>
          <w:b/>
          <w:bCs/>
        </w:rPr>
      </w:pPr>
      <w:r w:rsidRPr="009A5D90">
        <w:rPr>
          <w:rFonts w:ascii="Arial" w:hAnsi="Arial" w:cs="Arial"/>
          <w:b/>
          <w:bCs/>
        </w:rPr>
        <w:t>Del informe enviado retomamos lo siguiente:</w:t>
      </w:r>
    </w:p>
    <w:p w14:paraId="0B552599" w14:textId="77777777" w:rsidR="00561B22" w:rsidRPr="009A5D90" w:rsidRDefault="00561B22" w:rsidP="00561B22">
      <w:pPr>
        <w:pStyle w:val="Textoindependiente"/>
        <w:ind w:right="-50"/>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9A5D90" w14:paraId="455E8D1F" w14:textId="77777777" w:rsidTr="00F1223B">
        <w:tc>
          <w:tcPr>
            <w:tcW w:w="562" w:type="dxa"/>
          </w:tcPr>
          <w:p w14:paraId="5C901D98" w14:textId="77777777" w:rsidR="00561B22" w:rsidRPr="009A5D90" w:rsidRDefault="00561B22" w:rsidP="00F1223B">
            <w:pPr>
              <w:ind w:right="-109"/>
              <w:jc w:val="center"/>
              <w:rPr>
                <w:rFonts w:ascii="Arial" w:hAnsi="Arial" w:cs="Arial"/>
                <w:b/>
                <w:sz w:val="22"/>
                <w:szCs w:val="22"/>
                <w:lang w:val="es-MX"/>
              </w:rPr>
            </w:pPr>
            <w:r w:rsidRPr="009A5D90">
              <w:rPr>
                <w:rFonts w:ascii="Arial" w:hAnsi="Arial" w:cs="Arial"/>
                <w:b/>
                <w:sz w:val="22"/>
                <w:szCs w:val="22"/>
                <w:lang w:val="es-MX"/>
              </w:rPr>
              <w:t>N°</w:t>
            </w:r>
          </w:p>
        </w:tc>
        <w:tc>
          <w:tcPr>
            <w:tcW w:w="9400" w:type="dxa"/>
          </w:tcPr>
          <w:p w14:paraId="1FCC4735"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DEBILIDADES</w:t>
            </w:r>
          </w:p>
          <w:p w14:paraId="7AD480CF" w14:textId="77777777" w:rsidR="00561B22" w:rsidRPr="009A5D90" w:rsidRDefault="00561B22" w:rsidP="00F1223B">
            <w:pPr>
              <w:jc w:val="center"/>
              <w:rPr>
                <w:rFonts w:ascii="Arial" w:hAnsi="Arial" w:cs="Arial"/>
                <w:b/>
                <w:sz w:val="22"/>
                <w:szCs w:val="22"/>
                <w:lang w:val="es-MX"/>
              </w:rPr>
            </w:pPr>
          </w:p>
        </w:tc>
      </w:tr>
      <w:tr w:rsidR="00561B22" w:rsidRPr="009A5D90" w14:paraId="01646748" w14:textId="77777777" w:rsidTr="00F1223B">
        <w:tc>
          <w:tcPr>
            <w:tcW w:w="562" w:type="dxa"/>
          </w:tcPr>
          <w:p w14:paraId="5758A4EB"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1</w:t>
            </w:r>
          </w:p>
        </w:tc>
        <w:tc>
          <w:tcPr>
            <w:tcW w:w="9400" w:type="dxa"/>
          </w:tcPr>
          <w:p w14:paraId="7EBBB039" w14:textId="77777777" w:rsidR="00561B22" w:rsidRPr="009A5D90" w:rsidRDefault="00561B22" w:rsidP="00F1223B">
            <w:pPr>
              <w:jc w:val="both"/>
              <w:rPr>
                <w:rFonts w:ascii="Arial" w:hAnsi="Arial" w:cs="Arial"/>
                <w:bCs/>
                <w:sz w:val="22"/>
                <w:szCs w:val="22"/>
                <w:lang w:val="es-MX"/>
              </w:rPr>
            </w:pPr>
            <w:r w:rsidRPr="009A5D90">
              <w:rPr>
                <w:rFonts w:ascii="Arial" w:hAnsi="Arial" w:cs="Arial"/>
                <w:bCs/>
                <w:sz w:val="22"/>
                <w:szCs w:val="22"/>
                <w:lang w:val="es-MX"/>
              </w:rPr>
              <w:t xml:space="preserve">Se requiere robustecer el seguimientos y evaluación al plan de capacitación, en aspectos como la divulgación de las nuevas actualizaciones a los lineamientos financieros y contables, el cual contara con papel de trabajo evaluativo que permite medir los conocimientos adquiridos por los colaboradores y como evidencia de la gestión.  </w:t>
            </w:r>
          </w:p>
        </w:tc>
      </w:tr>
    </w:tbl>
    <w:p w14:paraId="03DAF047" w14:textId="77777777" w:rsidR="00561B22" w:rsidRPr="009A5D90" w:rsidRDefault="00561B22" w:rsidP="00561B22">
      <w:pPr>
        <w:pStyle w:val="Textoindependiente"/>
        <w:ind w:right="-50"/>
        <w:jc w:val="both"/>
        <w:rPr>
          <w:rFonts w:ascii="Arial" w:hAnsi="Arial" w:cs="Arial"/>
          <w:b/>
          <w:bCs/>
        </w:rPr>
      </w:pPr>
    </w:p>
    <w:p w14:paraId="01409356" w14:textId="77777777" w:rsidR="00561B22" w:rsidRPr="009A5D90" w:rsidRDefault="00561B22" w:rsidP="00561B22">
      <w:pPr>
        <w:jc w:val="both"/>
        <w:rPr>
          <w:rFonts w:ascii="Arial" w:hAnsi="Arial" w:cs="Arial"/>
          <w:b/>
          <w:lang w:val="es-MX"/>
        </w:rPr>
      </w:pPr>
      <w:r w:rsidRPr="009A5D90">
        <w:rPr>
          <w:rFonts w:ascii="Arial" w:hAnsi="Arial" w:cs="Arial"/>
          <w:b/>
          <w:lang w:val="es-MX"/>
        </w:rPr>
        <w:t>Del citado informe retomamos las siguientes recomendaciones:</w:t>
      </w:r>
    </w:p>
    <w:p w14:paraId="25610A6A" w14:textId="77777777" w:rsidR="00561B22" w:rsidRPr="009A5D90" w:rsidRDefault="00561B22" w:rsidP="00561B22">
      <w:pPr>
        <w:jc w:val="both"/>
        <w:rPr>
          <w:rFonts w:ascii="Arial" w:hAnsi="Arial" w:cs="Arial"/>
          <w:b/>
          <w:lang w:val="es-MX"/>
        </w:rPr>
      </w:pPr>
    </w:p>
    <w:tbl>
      <w:tblPr>
        <w:tblStyle w:val="Tablaconcuadrcula"/>
        <w:tblW w:w="0" w:type="auto"/>
        <w:tblLook w:val="04A0" w:firstRow="1" w:lastRow="0" w:firstColumn="1" w:lastColumn="0" w:noHBand="0" w:noVBand="1"/>
      </w:tblPr>
      <w:tblGrid>
        <w:gridCol w:w="562"/>
        <w:gridCol w:w="9400"/>
      </w:tblGrid>
      <w:tr w:rsidR="00561B22" w:rsidRPr="009A5D90" w14:paraId="56C9EA56" w14:textId="77777777" w:rsidTr="00F1223B">
        <w:tc>
          <w:tcPr>
            <w:tcW w:w="562" w:type="dxa"/>
          </w:tcPr>
          <w:p w14:paraId="16D9599B" w14:textId="77777777" w:rsidR="00561B22" w:rsidRPr="009A5D90" w:rsidRDefault="00561B22" w:rsidP="00F1223B">
            <w:pPr>
              <w:ind w:right="-109"/>
              <w:jc w:val="center"/>
              <w:rPr>
                <w:rFonts w:ascii="Arial" w:hAnsi="Arial" w:cs="Arial"/>
                <w:b/>
                <w:sz w:val="22"/>
                <w:szCs w:val="22"/>
                <w:lang w:val="es-MX"/>
              </w:rPr>
            </w:pPr>
            <w:r w:rsidRPr="009A5D90">
              <w:rPr>
                <w:rFonts w:ascii="Arial" w:hAnsi="Arial" w:cs="Arial"/>
                <w:b/>
                <w:sz w:val="22"/>
                <w:szCs w:val="22"/>
                <w:lang w:val="es-MX"/>
              </w:rPr>
              <w:t>N°</w:t>
            </w:r>
          </w:p>
        </w:tc>
        <w:tc>
          <w:tcPr>
            <w:tcW w:w="9400" w:type="dxa"/>
          </w:tcPr>
          <w:p w14:paraId="2B4F5BB3"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RECOMENDACIONES</w:t>
            </w:r>
          </w:p>
          <w:p w14:paraId="1E7DAFB1" w14:textId="77777777" w:rsidR="00561B22" w:rsidRPr="009A5D90" w:rsidRDefault="00561B22" w:rsidP="00F1223B">
            <w:pPr>
              <w:jc w:val="center"/>
              <w:rPr>
                <w:rFonts w:ascii="Arial" w:hAnsi="Arial" w:cs="Arial"/>
                <w:b/>
                <w:sz w:val="22"/>
                <w:szCs w:val="22"/>
                <w:lang w:val="es-MX"/>
              </w:rPr>
            </w:pPr>
          </w:p>
        </w:tc>
      </w:tr>
      <w:tr w:rsidR="00561B22" w:rsidRPr="009A5D90" w14:paraId="2139BB6A" w14:textId="77777777" w:rsidTr="00F1223B">
        <w:tc>
          <w:tcPr>
            <w:tcW w:w="562" w:type="dxa"/>
          </w:tcPr>
          <w:p w14:paraId="1B2FBCF3"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1</w:t>
            </w:r>
          </w:p>
        </w:tc>
        <w:tc>
          <w:tcPr>
            <w:tcW w:w="9400" w:type="dxa"/>
          </w:tcPr>
          <w:p w14:paraId="11706E07" w14:textId="77777777" w:rsidR="00561B22" w:rsidRPr="009A5D90" w:rsidRDefault="00561B22" w:rsidP="00F1223B">
            <w:pPr>
              <w:jc w:val="both"/>
              <w:rPr>
                <w:rFonts w:ascii="Arial" w:hAnsi="Arial" w:cs="Arial"/>
                <w:bCs/>
                <w:sz w:val="22"/>
                <w:szCs w:val="22"/>
                <w:lang w:val="es-MX"/>
              </w:rPr>
            </w:pPr>
            <w:r w:rsidRPr="009A5D90">
              <w:rPr>
                <w:rFonts w:ascii="Arial" w:hAnsi="Arial" w:cs="Arial"/>
                <w:bCs/>
                <w:sz w:val="22"/>
                <w:szCs w:val="22"/>
                <w:lang w:val="es-MX"/>
              </w:rPr>
              <w:t>Implementar controles de verificación de la información documentada en las actividades del proceso dentro del Sistema de Gestión, garantizando la efectividad de los lineamientos que contribuyen a la misión de la Entidad.</w:t>
            </w:r>
          </w:p>
        </w:tc>
      </w:tr>
      <w:tr w:rsidR="00561B22" w:rsidRPr="009A5D90" w14:paraId="4217404C" w14:textId="77777777" w:rsidTr="00F1223B">
        <w:tc>
          <w:tcPr>
            <w:tcW w:w="562" w:type="dxa"/>
          </w:tcPr>
          <w:p w14:paraId="3ED7A62D"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2</w:t>
            </w:r>
          </w:p>
        </w:tc>
        <w:tc>
          <w:tcPr>
            <w:tcW w:w="9400" w:type="dxa"/>
          </w:tcPr>
          <w:p w14:paraId="720EEFED" w14:textId="77777777" w:rsidR="00561B22" w:rsidRPr="009A5D90" w:rsidRDefault="00561B22" w:rsidP="00F1223B">
            <w:pPr>
              <w:jc w:val="both"/>
              <w:rPr>
                <w:rFonts w:ascii="Arial" w:hAnsi="Arial" w:cs="Arial"/>
                <w:bCs/>
                <w:sz w:val="22"/>
                <w:szCs w:val="22"/>
                <w:lang w:val="es-MX"/>
              </w:rPr>
            </w:pPr>
            <w:r w:rsidRPr="009A5D90">
              <w:rPr>
                <w:rFonts w:ascii="Arial" w:hAnsi="Arial" w:cs="Arial"/>
                <w:bCs/>
                <w:sz w:val="22"/>
                <w:szCs w:val="22"/>
                <w:lang w:val="es-MX"/>
              </w:rPr>
              <w:t>Realizar seguimiento a los indicadores definidos, con el fin de evaluar el grado de cumplimiento de los objetivos planteados, Facilitar la toma de decisiones basada en datos y determinar acciones de mejora.</w:t>
            </w:r>
          </w:p>
        </w:tc>
      </w:tr>
      <w:tr w:rsidR="00561B22" w:rsidRPr="009A5D90" w14:paraId="78C8E9DA" w14:textId="77777777" w:rsidTr="00F1223B">
        <w:tc>
          <w:tcPr>
            <w:tcW w:w="562" w:type="dxa"/>
          </w:tcPr>
          <w:p w14:paraId="110A7E5A"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3</w:t>
            </w:r>
          </w:p>
        </w:tc>
        <w:tc>
          <w:tcPr>
            <w:tcW w:w="9400" w:type="dxa"/>
          </w:tcPr>
          <w:p w14:paraId="5A9DF4E5" w14:textId="77777777" w:rsidR="00561B22" w:rsidRPr="009A5D90" w:rsidRDefault="00561B22" w:rsidP="00F1223B">
            <w:pPr>
              <w:jc w:val="both"/>
              <w:rPr>
                <w:rFonts w:ascii="Arial" w:hAnsi="Arial" w:cs="Arial"/>
                <w:bCs/>
                <w:sz w:val="22"/>
                <w:szCs w:val="22"/>
                <w:lang w:val="es-MX"/>
              </w:rPr>
            </w:pPr>
            <w:r w:rsidRPr="009A5D90">
              <w:rPr>
                <w:rFonts w:ascii="Arial" w:hAnsi="Arial" w:cs="Arial"/>
                <w:bCs/>
                <w:sz w:val="22"/>
                <w:szCs w:val="22"/>
                <w:lang w:val="es-MX"/>
              </w:rPr>
              <w:t>Fortalecer las actividades de socialización, capacitación y evaluación de los lineamientos aplicables al proceso contable que han sido implementados o actualizados por la Entidad, garantizando la comunicación efectiva con los colaboradores y la recopilación de evidencias correspondientes.</w:t>
            </w:r>
          </w:p>
        </w:tc>
      </w:tr>
      <w:tr w:rsidR="00561B22" w:rsidRPr="009A5D90" w14:paraId="717EBA54" w14:textId="77777777" w:rsidTr="00F1223B">
        <w:tc>
          <w:tcPr>
            <w:tcW w:w="562" w:type="dxa"/>
          </w:tcPr>
          <w:p w14:paraId="4EC04947" w14:textId="77777777" w:rsidR="00561B22" w:rsidRPr="009A5D90" w:rsidRDefault="00561B22" w:rsidP="00F1223B">
            <w:pPr>
              <w:jc w:val="center"/>
              <w:rPr>
                <w:rFonts w:ascii="Arial" w:hAnsi="Arial" w:cs="Arial"/>
                <w:b/>
                <w:sz w:val="22"/>
                <w:szCs w:val="22"/>
                <w:lang w:val="es-MX"/>
              </w:rPr>
            </w:pPr>
            <w:r w:rsidRPr="009A5D90">
              <w:rPr>
                <w:rFonts w:ascii="Arial" w:hAnsi="Arial" w:cs="Arial"/>
                <w:b/>
                <w:sz w:val="22"/>
                <w:szCs w:val="22"/>
                <w:lang w:val="es-MX"/>
              </w:rPr>
              <w:t>4</w:t>
            </w:r>
          </w:p>
        </w:tc>
        <w:tc>
          <w:tcPr>
            <w:tcW w:w="9400" w:type="dxa"/>
          </w:tcPr>
          <w:p w14:paraId="41C81703" w14:textId="77777777" w:rsidR="00561B22" w:rsidRPr="009A5D90" w:rsidRDefault="00561B22" w:rsidP="00F1223B">
            <w:pPr>
              <w:jc w:val="both"/>
              <w:rPr>
                <w:rFonts w:ascii="Arial" w:hAnsi="Arial" w:cs="Arial"/>
                <w:bCs/>
                <w:sz w:val="22"/>
                <w:szCs w:val="22"/>
                <w:lang w:val="es-MX"/>
              </w:rPr>
            </w:pPr>
            <w:r w:rsidRPr="009A5D90">
              <w:rPr>
                <w:rFonts w:ascii="Arial" w:hAnsi="Arial" w:cs="Arial"/>
                <w:bCs/>
                <w:sz w:val="22"/>
                <w:szCs w:val="22"/>
                <w:lang w:val="es-MX"/>
              </w:rPr>
              <w:t>Dar continuidad a la divulgación de la información financiera según los plazos establecidos.</w:t>
            </w:r>
          </w:p>
          <w:p w14:paraId="3427AF59" w14:textId="77777777" w:rsidR="00561B22" w:rsidRPr="009A5D90" w:rsidRDefault="00561B22" w:rsidP="00F1223B">
            <w:pPr>
              <w:jc w:val="both"/>
              <w:rPr>
                <w:rFonts w:ascii="Arial" w:hAnsi="Arial" w:cs="Arial"/>
                <w:bCs/>
                <w:sz w:val="22"/>
                <w:szCs w:val="22"/>
                <w:lang w:val="es-MX"/>
              </w:rPr>
            </w:pPr>
            <w:r w:rsidRPr="009A5D90">
              <w:rPr>
                <w:rFonts w:ascii="Arial" w:hAnsi="Arial" w:cs="Arial"/>
                <w:bCs/>
                <w:sz w:val="22"/>
                <w:szCs w:val="22"/>
                <w:lang w:val="es-MX"/>
              </w:rPr>
              <w:t>Gestionar los riesgos mediante monitoreo oportuno y eficaz de los controles en los procesos, con el objetivo de minimizar su impacto y garantizar la continuidad operativa.</w:t>
            </w:r>
            <w:r w:rsidRPr="009A5D90">
              <w:rPr>
                <w:rFonts w:ascii="Arial" w:hAnsi="Arial" w:cs="Arial"/>
                <w:bCs/>
                <w:sz w:val="22"/>
                <w:szCs w:val="22"/>
                <w:lang w:val="es-MX"/>
              </w:rPr>
              <w:tab/>
            </w:r>
          </w:p>
        </w:tc>
      </w:tr>
    </w:tbl>
    <w:p w14:paraId="25BF0FEB" w14:textId="77777777" w:rsidR="00561B22" w:rsidRPr="009A5D90" w:rsidRDefault="00561B22" w:rsidP="00561B22">
      <w:pPr>
        <w:pStyle w:val="Textoindependiente"/>
        <w:ind w:right="-50"/>
        <w:jc w:val="both"/>
        <w:rPr>
          <w:rFonts w:ascii="Arial" w:hAnsi="Arial" w:cs="Arial"/>
          <w:b/>
          <w:bCs/>
        </w:rPr>
      </w:pPr>
    </w:p>
    <w:p w14:paraId="2DD27753" w14:textId="77777777" w:rsidR="00561B22" w:rsidRPr="009A5D90" w:rsidRDefault="00561B22" w:rsidP="00561B22">
      <w:pPr>
        <w:jc w:val="both"/>
        <w:rPr>
          <w:rFonts w:ascii="Arial" w:hAnsi="Arial" w:cs="Arial"/>
          <w:b/>
          <w:bCs/>
          <w:sz w:val="24"/>
          <w:szCs w:val="24"/>
          <w:lang w:val="es-CO"/>
        </w:rPr>
      </w:pPr>
      <w:r w:rsidRPr="009A5D90">
        <w:rPr>
          <w:rFonts w:ascii="Arial" w:hAnsi="Arial" w:cs="Arial"/>
          <w:b/>
          <w:bCs/>
          <w:sz w:val="24"/>
          <w:szCs w:val="24"/>
          <w:lang w:val="es-CO"/>
        </w:rPr>
        <w:t xml:space="preserve">NOTA: </w:t>
      </w:r>
      <w:r w:rsidRPr="009A5D90">
        <w:rPr>
          <w:rFonts w:ascii="Arial" w:hAnsi="Arial" w:cs="Arial"/>
          <w:b/>
          <w:sz w:val="24"/>
          <w:szCs w:val="24"/>
          <w:lang w:val="es-CO"/>
        </w:rPr>
        <w:t>LA ENTIDAD ENVÍA LA MATRIZ DE AUTOEVALUACIÓN DEL SISTEMA DE CONTROL INTERNO CONTABLE CON</w:t>
      </w:r>
      <w:r w:rsidRPr="009A5D90">
        <w:rPr>
          <w:rFonts w:ascii="Arial" w:hAnsi="Arial" w:cs="Arial"/>
          <w:b/>
          <w:bCs/>
          <w:sz w:val="24"/>
          <w:szCs w:val="24"/>
          <w:lang w:val="es-CO"/>
        </w:rPr>
        <w:t xml:space="preserve"> </w:t>
      </w:r>
      <w:r w:rsidRPr="009A5D90">
        <w:rPr>
          <w:rFonts w:ascii="Arial" w:hAnsi="Arial" w:cs="Arial"/>
          <w:b/>
          <w:bCs/>
          <w:sz w:val="24"/>
          <w:szCs w:val="24"/>
          <w:u w:val="single"/>
          <w:lang w:val="es-CO"/>
        </w:rPr>
        <w:t>ACTIVIDADES DE CONTROL REALIZADAS EN FORMA PARCIAL</w:t>
      </w:r>
      <w:r w:rsidRPr="009A5D90">
        <w:rPr>
          <w:rFonts w:ascii="Arial" w:hAnsi="Arial" w:cs="Arial"/>
          <w:b/>
          <w:bCs/>
          <w:sz w:val="24"/>
          <w:szCs w:val="24"/>
          <w:lang w:val="es-CO"/>
        </w:rPr>
        <w:t>.</w:t>
      </w:r>
    </w:p>
    <w:p w14:paraId="7E387388" w14:textId="77777777" w:rsidR="00561B22" w:rsidRPr="009A5D90" w:rsidRDefault="00561B22" w:rsidP="00561B22">
      <w:pPr>
        <w:pStyle w:val="Textoindependiente"/>
        <w:ind w:right="-50"/>
        <w:jc w:val="both"/>
        <w:rPr>
          <w:rFonts w:ascii="Arial" w:hAnsi="Arial" w:cs="Arial"/>
          <w:b/>
          <w:bCs/>
          <w:sz w:val="28"/>
          <w:szCs w:val="28"/>
        </w:rPr>
      </w:pPr>
    </w:p>
    <w:p w14:paraId="56B51414" w14:textId="279B5C8B" w:rsidR="00561B22" w:rsidRDefault="00561B22" w:rsidP="00561B22">
      <w:pPr>
        <w:jc w:val="both"/>
        <w:rPr>
          <w:rFonts w:ascii="Arial" w:hAnsi="Arial" w:cs="Arial"/>
          <w:b/>
          <w:sz w:val="28"/>
          <w:szCs w:val="28"/>
          <w:lang w:val="es-MX"/>
        </w:rPr>
      </w:pPr>
      <w:r w:rsidRPr="00ED640A">
        <w:rPr>
          <w:rFonts w:ascii="Arial" w:hAnsi="Arial" w:cs="Arial"/>
          <w:b/>
          <w:sz w:val="28"/>
          <w:szCs w:val="28"/>
          <w:lang w:val="es-MX"/>
        </w:rPr>
        <w:lastRenderedPageBreak/>
        <w:t>352.- INTERNEXA S.A.</w:t>
      </w:r>
    </w:p>
    <w:p w14:paraId="0E3A0F66" w14:textId="77777777" w:rsidR="00E37B6C" w:rsidRPr="00ED640A" w:rsidRDefault="00E37B6C" w:rsidP="00561B22">
      <w:pPr>
        <w:jc w:val="both"/>
        <w:rPr>
          <w:rFonts w:ascii="Arial" w:hAnsi="Arial" w:cs="Arial"/>
          <w:b/>
          <w:sz w:val="28"/>
          <w:szCs w:val="28"/>
          <w:lang w:val="es-MX"/>
        </w:rPr>
      </w:pPr>
    </w:p>
    <w:p w14:paraId="7A16252F" w14:textId="77777777" w:rsidR="00561B22" w:rsidRPr="00ED640A" w:rsidRDefault="00561B22" w:rsidP="00561B22">
      <w:pPr>
        <w:pStyle w:val="Textoindependiente"/>
        <w:jc w:val="center"/>
        <w:rPr>
          <w:rFonts w:ascii="Arial" w:hAnsi="Arial" w:cs="Arial"/>
          <w:b/>
          <w:bCs/>
        </w:rPr>
      </w:pPr>
      <w:r w:rsidRPr="00ED640A">
        <w:rPr>
          <w:rFonts w:ascii="Arial" w:hAnsi="Arial" w:cs="Arial"/>
          <w:b/>
          <w:bCs/>
        </w:rPr>
        <w:t>INFORME DE LA AUTOCALIFICACIÓN DEL SISTEMA DE CONTROL INTERNO CONTABLE:</w:t>
      </w:r>
    </w:p>
    <w:p w14:paraId="3E9D78FB" w14:textId="77777777" w:rsidR="00561B22" w:rsidRPr="00ED640A"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4981"/>
        <w:gridCol w:w="4981"/>
      </w:tblGrid>
      <w:tr w:rsidR="00561B22" w:rsidRPr="00ED640A" w14:paraId="3805C1F5" w14:textId="77777777" w:rsidTr="00F1223B">
        <w:tc>
          <w:tcPr>
            <w:tcW w:w="4981" w:type="dxa"/>
          </w:tcPr>
          <w:p w14:paraId="3A37073B"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AUTOCALIFICACIÓN</w:t>
            </w:r>
          </w:p>
        </w:tc>
        <w:tc>
          <w:tcPr>
            <w:tcW w:w="4981" w:type="dxa"/>
          </w:tcPr>
          <w:p w14:paraId="6C1D384D" w14:textId="77777777" w:rsidR="00561B22" w:rsidRPr="00ED640A" w:rsidRDefault="00561B22" w:rsidP="00F1223B">
            <w:pPr>
              <w:jc w:val="center"/>
              <w:rPr>
                <w:rFonts w:ascii="Arial" w:hAnsi="Arial" w:cs="Arial"/>
                <w:b/>
                <w:sz w:val="22"/>
                <w:szCs w:val="22"/>
                <w:u w:val="single"/>
                <w:lang w:val="es-MX"/>
              </w:rPr>
            </w:pPr>
            <w:r w:rsidRPr="00ED640A">
              <w:rPr>
                <w:rFonts w:ascii="Arial" w:hAnsi="Arial" w:cs="Arial"/>
                <w:b/>
                <w:sz w:val="22"/>
                <w:szCs w:val="22"/>
                <w:u w:val="single"/>
                <w:lang w:val="es-MX"/>
              </w:rPr>
              <w:t>4.98</w:t>
            </w:r>
          </w:p>
        </w:tc>
      </w:tr>
    </w:tbl>
    <w:p w14:paraId="4FEEA1B4" w14:textId="77777777" w:rsidR="00561B22" w:rsidRPr="00ED640A" w:rsidRDefault="00561B22" w:rsidP="00561B22">
      <w:pPr>
        <w:pStyle w:val="Textoindependiente"/>
        <w:jc w:val="both"/>
        <w:rPr>
          <w:rFonts w:ascii="Arial" w:hAnsi="Arial" w:cs="Arial"/>
          <w:b/>
          <w:bCs/>
        </w:rPr>
      </w:pPr>
    </w:p>
    <w:p w14:paraId="10BE5E18" w14:textId="646D79CB" w:rsidR="00561B22" w:rsidRDefault="00561B22" w:rsidP="00561B22">
      <w:pPr>
        <w:pStyle w:val="Textoindependiente"/>
        <w:jc w:val="both"/>
        <w:rPr>
          <w:rFonts w:ascii="Arial" w:hAnsi="Arial" w:cs="Arial"/>
          <w:b/>
          <w:bCs/>
        </w:rPr>
      </w:pPr>
      <w:r w:rsidRPr="00ED640A">
        <w:rPr>
          <w:rFonts w:ascii="Arial" w:hAnsi="Arial" w:cs="Arial"/>
          <w:b/>
          <w:bCs/>
        </w:rPr>
        <w:t>Del informe enviado retomamos lo siguiente:</w:t>
      </w:r>
    </w:p>
    <w:p w14:paraId="56E6545C" w14:textId="77777777" w:rsidR="00E37B6C" w:rsidRPr="00ED640A" w:rsidRDefault="00E37B6C"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D640A" w14:paraId="5204BD19" w14:textId="77777777" w:rsidTr="00F1223B">
        <w:tc>
          <w:tcPr>
            <w:tcW w:w="562" w:type="dxa"/>
          </w:tcPr>
          <w:p w14:paraId="30649FF9"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N°</w:t>
            </w:r>
          </w:p>
        </w:tc>
        <w:tc>
          <w:tcPr>
            <w:tcW w:w="9400" w:type="dxa"/>
          </w:tcPr>
          <w:p w14:paraId="1F59DA6B"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DEBILIDADES</w:t>
            </w:r>
          </w:p>
          <w:p w14:paraId="551CEEDF" w14:textId="77777777" w:rsidR="00561B22" w:rsidRPr="00ED640A" w:rsidRDefault="00561B22" w:rsidP="00F1223B">
            <w:pPr>
              <w:jc w:val="center"/>
              <w:rPr>
                <w:rFonts w:ascii="Arial" w:hAnsi="Arial" w:cs="Arial"/>
                <w:b/>
                <w:sz w:val="22"/>
                <w:szCs w:val="22"/>
                <w:lang w:val="es-MX"/>
              </w:rPr>
            </w:pPr>
          </w:p>
        </w:tc>
      </w:tr>
      <w:tr w:rsidR="00561B22" w:rsidRPr="00ED640A" w14:paraId="3EDE97F1" w14:textId="77777777" w:rsidTr="00F1223B">
        <w:tc>
          <w:tcPr>
            <w:tcW w:w="562" w:type="dxa"/>
          </w:tcPr>
          <w:p w14:paraId="1AD74AFD"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1</w:t>
            </w:r>
          </w:p>
        </w:tc>
        <w:tc>
          <w:tcPr>
            <w:tcW w:w="9400" w:type="dxa"/>
          </w:tcPr>
          <w:p w14:paraId="50649CC2" w14:textId="77777777" w:rsidR="00561B22" w:rsidRPr="00ED640A" w:rsidRDefault="00561B22" w:rsidP="00F1223B">
            <w:pPr>
              <w:jc w:val="both"/>
              <w:rPr>
                <w:rFonts w:ascii="Arial" w:hAnsi="Arial" w:cs="Arial"/>
                <w:bCs/>
                <w:sz w:val="22"/>
                <w:szCs w:val="22"/>
                <w:lang w:val="es-MX"/>
              </w:rPr>
            </w:pPr>
            <w:r w:rsidRPr="00ED640A">
              <w:rPr>
                <w:rFonts w:ascii="Arial" w:hAnsi="Arial" w:cs="Arial"/>
                <w:bCs/>
                <w:sz w:val="22"/>
                <w:szCs w:val="22"/>
                <w:lang w:val="es-MX"/>
              </w:rPr>
              <w:t>Continuar con la valoración del impacto y la probabilidad de ocurrencia en la matriz de riesgos del proceso.</w:t>
            </w:r>
          </w:p>
        </w:tc>
      </w:tr>
    </w:tbl>
    <w:p w14:paraId="7C77CDBE" w14:textId="77777777" w:rsidR="00561B22" w:rsidRPr="00ED640A" w:rsidRDefault="00561B22" w:rsidP="00561B22">
      <w:pPr>
        <w:pStyle w:val="Textoindependiente"/>
        <w:jc w:val="both"/>
        <w:rPr>
          <w:rFonts w:ascii="Arial" w:hAnsi="Arial" w:cs="Arial"/>
          <w:b/>
          <w:bCs/>
        </w:rPr>
      </w:pPr>
    </w:p>
    <w:p w14:paraId="1B1CE005" w14:textId="77777777" w:rsidR="00561B22" w:rsidRPr="00ED640A" w:rsidRDefault="00561B22" w:rsidP="00561B22">
      <w:pPr>
        <w:jc w:val="both"/>
        <w:rPr>
          <w:rFonts w:ascii="Arial" w:hAnsi="Arial" w:cs="Arial"/>
          <w:b/>
          <w:lang w:val="es-MX"/>
        </w:rPr>
      </w:pPr>
      <w:r w:rsidRPr="00ED640A">
        <w:rPr>
          <w:rFonts w:ascii="Arial" w:hAnsi="Arial" w:cs="Arial"/>
          <w:b/>
          <w:lang w:val="es-MX"/>
        </w:rPr>
        <w:t>Del citado informe retomamos las siguientes recomendaciones:</w:t>
      </w:r>
    </w:p>
    <w:p w14:paraId="3DCAEC2B" w14:textId="77777777" w:rsidR="00561B22" w:rsidRPr="00ED640A" w:rsidRDefault="00561B22" w:rsidP="00561B22">
      <w:pPr>
        <w:pStyle w:val="Textoindependiente"/>
        <w:jc w:val="both"/>
        <w:rPr>
          <w:rFonts w:ascii="Arial" w:hAnsi="Arial" w:cs="Arial"/>
          <w:b/>
          <w:bCs/>
        </w:rPr>
      </w:pPr>
    </w:p>
    <w:tbl>
      <w:tblPr>
        <w:tblStyle w:val="Tablaconcuadrcula"/>
        <w:tblW w:w="0" w:type="auto"/>
        <w:tblLook w:val="04A0" w:firstRow="1" w:lastRow="0" w:firstColumn="1" w:lastColumn="0" w:noHBand="0" w:noVBand="1"/>
      </w:tblPr>
      <w:tblGrid>
        <w:gridCol w:w="562"/>
        <w:gridCol w:w="9400"/>
      </w:tblGrid>
      <w:tr w:rsidR="00561B22" w:rsidRPr="00ED640A" w14:paraId="5D654A6F" w14:textId="77777777" w:rsidTr="00F1223B">
        <w:tc>
          <w:tcPr>
            <w:tcW w:w="562" w:type="dxa"/>
          </w:tcPr>
          <w:p w14:paraId="2CD30AFC"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N°</w:t>
            </w:r>
          </w:p>
        </w:tc>
        <w:tc>
          <w:tcPr>
            <w:tcW w:w="9400" w:type="dxa"/>
          </w:tcPr>
          <w:p w14:paraId="37592576"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RECOMENDACIONES</w:t>
            </w:r>
          </w:p>
          <w:p w14:paraId="71FEF761" w14:textId="77777777" w:rsidR="00561B22" w:rsidRPr="00ED640A" w:rsidRDefault="00561B22" w:rsidP="00F1223B">
            <w:pPr>
              <w:jc w:val="center"/>
              <w:rPr>
                <w:rFonts w:ascii="Arial" w:hAnsi="Arial" w:cs="Arial"/>
                <w:b/>
                <w:sz w:val="22"/>
                <w:szCs w:val="22"/>
                <w:lang w:val="es-MX"/>
              </w:rPr>
            </w:pPr>
          </w:p>
        </w:tc>
      </w:tr>
      <w:tr w:rsidR="00561B22" w:rsidRPr="00ED640A" w14:paraId="71E253EB" w14:textId="77777777" w:rsidTr="00F1223B">
        <w:tc>
          <w:tcPr>
            <w:tcW w:w="562" w:type="dxa"/>
          </w:tcPr>
          <w:p w14:paraId="11E56A74" w14:textId="77777777" w:rsidR="00561B22" w:rsidRPr="00ED640A" w:rsidRDefault="00561B22" w:rsidP="00F1223B">
            <w:pPr>
              <w:jc w:val="center"/>
              <w:rPr>
                <w:rFonts w:ascii="Arial" w:hAnsi="Arial" w:cs="Arial"/>
                <w:b/>
                <w:sz w:val="22"/>
                <w:szCs w:val="22"/>
                <w:lang w:val="es-MX"/>
              </w:rPr>
            </w:pPr>
            <w:r w:rsidRPr="00ED640A">
              <w:rPr>
                <w:rFonts w:ascii="Arial" w:hAnsi="Arial" w:cs="Arial"/>
                <w:b/>
                <w:sz w:val="22"/>
                <w:szCs w:val="22"/>
                <w:lang w:val="es-MX"/>
              </w:rPr>
              <w:t>1</w:t>
            </w:r>
          </w:p>
        </w:tc>
        <w:tc>
          <w:tcPr>
            <w:tcW w:w="9400" w:type="dxa"/>
          </w:tcPr>
          <w:p w14:paraId="2931ADB9" w14:textId="77777777" w:rsidR="00561B22" w:rsidRPr="00ED640A" w:rsidRDefault="00561B22" w:rsidP="00F1223B">
            <w:pPr>
              <w:jc w:val="both"/>
              <w:rPr>
                <w:rFonts w:ascii="Arial" w:hAnsi="Arial" w:cs="Arial"/>
                <w:bCs/>
                <w:sz w:val="22"/>
                <w:szCs w:val="22"/>
                <w:lang w:val="es-MX"/>
              </w:rPr>
            </w:pPr>
            <w:r w:rsidRPr="00ED640A">
              <w:rPr>
                <w:rFonts w:ascii="Arial" w:hAnsi="Arial" w:cs="Arial"/>
                <w:bCs/>
                <w:sz w:val="22"/>
                <w:szCs w:val="22"/>
                <w:lang w:val="es-MX"/>
              </w:rPr>
              <w:t>Formalizar la valoración de la probabilidad de ocurrencia y el impacto en la matriz de riesgos SOX de la compañía.</w:t>
            </w:r>
          </w:p>
        </w:tc>
      </w:tr>
    </w:tbl>
    <w:p w14:paraId="12BA43AD" w14:textId="77777777" w:rsidR="00561B22" w:rsidRPr="00ED640A" w:rsidRDefault="00561B22" w:rsidP="00561B22">
      <w:pPr>
        <w:jc w:val="both"/>
        <w:rPr>
          <w:rFonts w:ascii="Arial" w:hAnsi="Arial" w:cs="Arial"/>
          <w:b/>
          <w:bCs/>
          <w:lang w:val="es-CO"/>
        </w:rPr>
      </w:pPr>
    </w:p>
    <w:p w14:paraId="0EC30D81" w14:textId="77777777" w:rsidR="00561B22" w:rsidRPr="00ED640A" w:rsidRDefault="00561B22" w:rsidP="00561B22">
      <w:pPr>
        <w:jc w:val="both"/>
        <w:rPr>
          <w:rFonts w:ascii="Arial" w:hAnsi="Arial" w:cs="Arial"/>
          <w:b/>
          <w:bCs/>
          <w:lang w:val="es-CO"/>
        </w:rPr>
      </w:pPr>
      <w:r w:rsidRPr="008C3428">
        <w:rPr>
          <w:rFonts w:ascii="Arial" w:hAnsi="Arial" w:cs="Arial"/>
          <w:b/>
          <w:bCs/>
          <w:sz w:val="24"/>
          <w:szCs w:val="24"/>
          <w:lang w:val="es-CO"/>
        </w:rPr>
        <w:t xml:space="preserve">NOTA: LA ENTIDAD ENVIA LA MATRIZ DE AUTOEVALUACIÓN DEL SISTEMA DE CONTROL INTERNO CONTABLE CON </w:t>
      </w:r>
      <w:r w:rsidRPr="008C3428">
        <w:rPr>
          <w:rFonts w:ascii="Arial" w:hAnsi="Arial" w:cs="Arial"/>
          <w:b/>
          <w:bCs/>
          <w:sz w:val="24"/>
          <w:szCs w:val="24"/>
          <w:u w:val="single"/>
          <w:lang w:val="es-CO"/>
        </w:rPr>
        <w:t>ACTIVIDADES DE CONTROL REALIZADAS EN FORMA PARCIAL</w:t>
      </w:r>
      <w:r w:rsidRPr="00ED640A">
        <w:rPr>
          <w:rFonts w:ascii="Arial" w:hAnsi="Arial" w:cs="Arial"/>
          <w:b/>
          <w:bCs/>
          <w:lang w:val="es-CO"/>
        </w:rPr>
        <w:t>.</w:t>
      </w:r>
    </w:p>
    <w:p w14:paraId="6BE9D68B" w14:textId="77777777" w:rsidR="00561B22" w:rsidRPr="00ED640A" w:rsidRDefault="00561B22" w:rsidP="00561B22">
      <w:pPr>
        <w:pStyle w:val="Ttulo1"/>
        <w:ind w:right="-50"/>
        <w:jc w:val="left"/>
        <w:rPr>
          <w:sz w:val="22"/>
          <w:szCs w:val="22"/>
        </w:rPr>
      </w:pPr>
    </w:p>
    <w:p w14:paraId="1B9F4B97" w14:textId="60B3FB64" w:rsidR="00C17E6E" w:rsidRPr="00494EB8" w:rsidRDefault="00C17E6E" w:rsidP="00494EB8">
      <w:pPr>
        <w:ind w:left="-284" w:right="-234"/>
        <w:jc w:val="center"/>
        <w:rPr>
          <w:rFonts w:ascii="Arial" w:hAnsi="Arial" w:cs="Arial"/>
          <w:b/>
          <w:spacing w:val="-3"/>
          <w:sz w:val="28"/>
          <w:szCs w:val="28"/>
          <w:u w:val="single"/>
          <w:lang w:val="es-ES_tradnl"/>
        </w:rPr>
      </w:pPr>
      <w:bookmarkStart w:id="72" w:name="_Hlk210828543"/>
      <w:r w:rsidRPr="00494EB8">
        <w:rPr>
          <w:rFonts w:ascii="Arial" w:hAnsi="Arial" w:cs="Arial"/>
          <w:b/>
          <w:spacing w:val="-3"/>
          <w:sz w:val="28"/>
          <w:szCs w:val="28"/>
          <w:u w:val="single"/>
          <w:lang w:val="es-ES_tradnl"/>
        </w:rPr>
        <w:t>21</w:t>
      </w:r>
      <w:r w:rsidR="00494EB8" w:rsidRPr="00494EB8">
        <w:rPr>
          <w:rFonts w:ascii="Arial" w:hAnsi="Arial" w:cs="Arial"/>
          <w:b/>
          <w:spacing w:val="-3"/>
          <w:sz w:val="28"/>
          <w:szCs w:val="28"/>
          <w:u w:val="single"/>
          <w:lang w:val="es-ES_tradnl"/>
        </w:rPr>
        <w:t xml:space="preserve">.- </w:t>
      </w:r>
      <w:r w:rsidRPr="00494EB8">
        <w:rPr>
          <w:rFonts w:ascii="Arial" w:hAnsi="Arial" w:cs="Arial"/>
          <w:b/>
          <w:spacing w:val="-3"/>
          <w:sz w:val="28"/>
          <w:szCs w:val="28"/>
          <w:u w:val="single"/>
          <w:lang w:val="es-ES_tradnl"/>
        </w:rPr>
        <w:t>OBSERVACIONES GENERALES SOBRE EL CUMPLIMIENTO DE LOS PLANES DE MEJORAMIENTO SUSCRITOS POR LAS ENTIDADES DEL ESTADO CON LA CONTRALORÍA GENERAL DE LA REPÚBLICA VIGENCIA FISCAL 2024.</w:t>
      </w:r>
    </w:p>
    <w:bookmarkEnd w:id="72"/>
    <w:p w14:paraId="4923B2F3" w14:textId="77777777" w:rsidR="00C17E6E" w:rsidRPr="00FE2C5F" w:rsidRDefault="00C17E6E" w:rsidP="00C17E6E">
      <w:pPr>
        <w:ind w:left="-284" w:right="-376"/>
        <w:jc w:val="both"/>
        <w:rPr>
          <w:rFonts w:ascii="Arial" w:hAnsi="Arial" w:cs="Arial"/>
          <w:b/>
          <w:spacing w:val="-3"/>
          <w:sz w:val="28"/>
          <w:szCs w:val="28"/>
          <w:lang w:val="es-ES_tradnl"/>
        </w:rPr>
      </w:pPr>
    </w:p>
    <w:tbl>
      <w:tblPr>
        <w:tblStyle w:val="Tablaconcuadrcula"/>
        <w:tblW w:w="10611" w:type="dxa"/>
        <w:jc w:val="center"/>
        <w:tblLook w:val="04A0" w:firstRow="1" w:lastRow="0" w:firstColumn="1" w:lastColumn="0" w:noHBand="0" w:noVBand="1"/>
      </w:tblPr>
      <w:tblGrid>
        <w:gridCol w:w="441"/>
        <w:gridCol w:w="10307"/>
      </w:tblGrid>
      <w:tr w:rsidR="00C17E6E" w:rsidRPr="00E40013" w14:paraId="5CC68DF5" w14:textId="77777777" w:rsidTr="00217295">
        <w:trPr>
          <w:jc w:val="center"/>
        </w:trPr>
        <w:tc>
          <w:tcPr>
            <w:tcW w:w="304" w:type="dxa"/>
          </w:tcPr>
          <w:p w14:paraId="331C7B1B" w14:textId="77777777" w:rsidR="00C17E6E" w:rsidRPr="00E40013" w:rsidRDefault="00C17E6E" w:rsidP="00F1223B">
            <w:pPr>
              <w:tabs>
                <w:tab w:val="left" w:pos="1920"/>
              </w:tabs>
              <w:jc w:val="center"/>
              <w:rPr>
                <w:rFonts w:ascii="Arial" w:hAnsi="Arial" w:cs="Arial"/>
                <w:b/>
              </w:rPr>
            </w:pPr>
            <w:r w:rsidRPr="00E40013">
              <w:rPr>
                <w:rFonts w:ascii="Arial" w:hAnsi="Arial" w:cs="Arial"/>
                <w:b/>
              </w:rPr>
              <w:t>N°</w:t>
            </w:r>
          </w:p>
        </w:tc>
        <w:tc>
          <w:tcPr>
            <w:tcW w:w="10307" w:type="dxa"/>
          </w:tcPr>
          <w:p w14:paraId="66AB8CEE" w14:textId="77777777" w:rsidR="00C17E6E" w:rsidRPr="00E40013" w:rsidRDefault="00C17E6E" w:rsidP="00F1223B">
            <w:pPr>
              <w:tabs>
                <w:tab w:val="left" w:pos="1395"/>
              </w:tabs>
              <w:jc w:val="center"/>
              <w:rPr>
                <w:rFonts w:ascii="Arial" w:hAnsi="Arial" w:cs="Arial"/>
                <w:b/>
              </w:rPr>
            </w:pPr>
            <w:r w:rsidRPr="00E40013">
              <w:rPr>
                <w:rFonts w:ascii="Arial" w:hAnsi="Arial" w:cs="Arial"/>
                <w:b/>
              </w:rPr>
              <w:t>OBSERVACIONES AL CUMPLIMIENTO DE LOS PLANES DE MEJORAMIENTO</w:t>
            </w:r>
          </w:p>
          <w:p w14:paraId="5E4A634C" w14:textId="77777777" w:rsidR="00C17E6E" w:rsidRPr="00E40013" w:rsidRDefault="00C17E6E" w:rsidP="00F1223B">
            <w:pPr>
              <w:tabs>
                <w:tab w:val="left" w:pos="1395"/>
              </w:tabs>
              <w:jc w:val="center"/>
              <w:rPr>
                <w:rFonts w:ascii="Arial" w:hAnsi="Arial" w:cs="Arial"/>
                <w:b/>
              </w:rPr>
            </w:pPr>
            <w:r w:rsidRPr="00E40013">
              <w:rPr>
                <w:rFonts w:ascii="Arial" w:hAnsi="Arial" w:cs="Arial"/>
                <w:b/>
              </w:rPr>
              <w:t>2024</w:t>
            </w:r>
          </w:p>
          <w:p w14:paraId="66D03678" w14:textId="77777777" w:rsidR="00C17E6E" w:rsidRPr="00E40013" w:rsidRDefault="00C17E6E" w:rsidP="00F1223B">
            <w:pPr>
              <w:tabs>
                <w:tab w:val="left" w:pos="1395"/>
              </w:tabs>
              <w:jc w:val="center"/>
              <w:rPr>
                <w:rFonts w:ascii="Arial" w:hAnsi="Arial" w:cs="Arial"/>
                <w:b/>
              </w:rPr>
            </w:pPr>
          </w:p>
        </w:tc>
      </w:tr>
      <w:tr w:rsidR="00C17E6E" w:rsidRPr="00E40013" w14:paraId="18401C8D" w14:textId="77777777" w:rsidTr="00217295">
        <w:trPr>
          <w:jc w:val="center"/>
        </w:trPr>
        <w:tc>
          <w:tcPr>
            <w:tcW w:w="304" w:type="dxa"/>
          </w:tcPr>
          <w:p w14:paraId="4840CD37" w14:textId="77777777" w:rsidR="00C17E6E" w:rsidRPr="00E40013" w:rsidRDefault="00C17E6E" w:rsidP="00F1223B">
            <w:pPr>
              <w:tabs>
                <w:tab w:val="left" w:pos="1920"/>
              </w:tabs>
              <w:jc w:val="center"/>
              <w:rPr>
                <w:rFonts w:ascii="Arial" w:hAnsi="Arial" w:cs="Arial"/>
                <w:b/>
              </w:rPr>
            </w:pPr>
            <w:r w:rsidRPr="00E40013">
              <w:rPr>
                <w:rFonts w:ascii="Arial" w:hAnsi="Arial" w:cs="Arial"/>
                <w:b/>
              </w:rPr>
              <w:t>1</w:t>
            </w:r>
          </w:p>
        </w:tc>
        <w:tc>
          <w:tcPr>
            <w:tcW w:w="10307" w:type="dxa"/>
          </w:tcPr>
          <w:p w14:paraId="790D8F51" w14:textId="77777777" w:rsidR="00C17E6E" w:rsidRPr="00E40013" w:rsidRDefault="00C17E6E" w:rsidP="00F1223B">
            <w:pPr>
              <w:tabs>
                <w:tab w:val="left" w:pos="1395"/>
              </w:tabs>
              <w:jc w:val="both"/>
              <w:rPr>
                <w:rFonts w:ascii="Arial" w:hAnsi="Arial" w:cs="Arial"/>
                <w:b/>
              </w:rPr>
            </w:pPr>
            <w:r w:rsidRPr="00E40013">
              <w:rPr>
                <w:rFonts w:ascii="Arial" w:hAnsi="Arial" w:cs="Arial"/>
                <w:bCs/>
              </w:rPr>
              <w:t>Nuevamente observamos que gran parte de las entidades no informan en forma concreta sobre Eficiencia y Eficacia de las acciones desarrolladas para el cumplimiento de las metas propuestas en los Planes de Mejoramiento.</w:t>
            </w:r>
          </w:p>
        </w:tc>
      </w:tr>
      <w:tr w:rsidR="00C17E6E" w:rsidRPr="00E40013" w14:paraId="7A2C07BB" w14:textId="77777777" w:rsidTr="00217295">
        <w:trPr>
          <w:jc w:val="center"/>
        </w:trPr>
        <w:tc>
          <w:tcPr>
            <w:tcW w:w="304" w:type="dxa"/>
          </w:tcPr>
          <w:p w14:paraId="6E940617" w14:textId="77777777" w:rsidR="00C17E6E" w:rsidRPr="00E40013" w:rsidRDefault="00C17E6E" w:rsidP="00F1223B">
            <w:pPr>
              <w:tabs>
                <w:tab w:val="left" w:pos="1920"/>
              </w:tabs>
              <w:jc w:val="center"/>
              <w:rPr>
                <w:rFonts w:ascii="Arial" w:hAnsi="Arial" w:cs="Arial"/>
                <w:b/>
              </w:rPr>
            </w:pPr>
            <w:r w:rsidRPr="00E40013">
              <w:rPr>
                <w:rFonts w:ascii="Arial" w:hAnsi="Arial" w:cs="Arial"/>
                <w:b/>
              </w:rPr>
              <w:t>2</w:t>
            </w:r>
          </w:p>
        </w:tc>
        <w:tc>
          <w:tcPr>
            <w:tcW w:w="10307" w:type="dxa"/>
          </w:tcPr>
          <w:p w14:paraId="3FBA9B63" w14:textId="77777777" w:rsidR="00C17E6E" w:rsidRPr="00E40013" w:rsidRDefault="00C17E6E" w:rsidP="00F1223B">
            <w:pPr>
              <w:tabs>
                <w:tab w:val="left" w:pos="1395"/>
              </w:tabs>
              <w:rPr>
                <w:rFonts w:ascii="Arial" w:hAnsi="Arial" w:cs="Arial"/>
                <w:b/>
              </w:rPr>
            </w:pPr>
            <w:r w:rsidRPr="00E40013">
              <w:rPr>
                <w:rFonts w:ascii="Arial" w:hAnsi="Arial" w:cs="Arial"/>
                <w:b/>
              </w:rPr>
              <w:t>UNIDAD NACIONAL DE BOMBEROS DE COLOMBIA.</w:t>
            </w:r>
          </w:p>
          <w:p w14:paraId="74E808B1" w14:textId="77777777" w:rsidR="00C17E6E" w:rsidRPr="00E40013" w:rsidRDefault="00C17E6E" w:rsidP="00F1223B">
            <w:pPr>
              <w:tabs>
                <w:tab w:val="left" w:pos="1395"/>
              </w:tabs>
              <w:rPr>
                <w:rFonts w:ascii="Arial" w:hAnsi="Arial" w:cs="Arial"/>
                <w:b/>
              </w:rPr>
            </w:pPr>
          </w:p>
          <w:p w14:paraId="04A26571" w14:textId="77777777" w:rsidR="00C17E6E" w:rsidRPr="00E40013" w:rsidRDefault="00C17E6E" w:rsidP="00F1223B">
            <w:pPr>
              <w:tabs>
                <w:tab w:val="left" w:pos="1395"/>
              </w:tabs>
              <w:jc w:val="both"/>
              <w:rPr>
                <w:rFonts w:ascii="Arial" w:hAnsi="Arial" w:cs="Arial"/>
                <w:b/>
              </w:rPr>
            </w:pPr>
            <w:r w:rsidRPr="00E40013">
              <w:rPr>
                <w:rFonts w:ascii="Arial" w:hAnsi="Arial" w:cs="Arial"/>
                <w:b/>
                <w:u w:val="single"/>
              </w:rPr>
              <w:t xml:space="preserve">Cumplimiento de los planes de mejoramiento: </w:t>
            </w:r>
            <w:r w:rsidRPr="00E40013">
              <w:rPr>
                <w:rFonts w:ascii="Arial" w:hAnsi="Arial" w:cs="Arial"/>
                <w:b/>
              </w:rPr>
              <w:t>16 acciones correspondiente al 7.27% son no efectivas.</w:t>
            </w:r>
          </w:p>
          <w:p w14:paraId="651A4C55" w14:textId="77777777" w:rsidR="00C17E6E" w:rsidRPr="00E40013" w:rsidRDefault="00C17E6E" w:rsidP="00F1223B">
            <w:pPr>
              <w:tabs>
                <w:tab w:val="left" w:pos="1395"/>
              </w:tabs>
              <w:jc w:val="both"/>
              <w:rPr>
                <w:rFonts w:ascii="Arial" w:hAnsi="Arial" w:cs="Arial"/>
                <w:b/>
              </w:rPr>
            </w:pPr>
          </w:p>
          <w:p w14:paraId="3CEF4021" w14:textId="77777777" w:rsidR="00C17E6E" w:rsidRPr="00E40013" w:rsidRDefault="00C17E6E" w:rsidP="00F1223B">
            <w:pPr>
              <w:jc w:val="both"/>
              <w:rPr>
                <w:rFonts w:ascii="Arial" w:hAnsi="Arial" w:cs="Arial"/>
                <w:b/>
                <w:bCs/>
              </w:rPr>
            </w:pPr>
            <w:r w:rsidRPr="00E40013">
              <w:rPr>
                <w:rFonts w:ascii="Arial" w:hAnsi="Arial" w:cs="Arial"/>
                <w:b/>
                <w:bCs/>
              </w:rPr>
              <w:t>RECOMENDACIONES:</w:t>
            </w:r>
          </w:p>
          <w:p w14:paraId="417C175E" w14:textId="77777777" w:rsidR="00C17E6E" w:rsidRPr="00E40013" w:rsidRDefault="00C17E6E" w:rsidP="00F1223B">
            <w:pPr>
              <w:jc w:val="both"/>
              <w:rPr>
                <w:rFonts w:ascii="Arial" w:hAnsi="Arial" w:cs="Arial"/>
                <w:bCs/>
              </w:rPr>
            </w:pPr>
          </w:p>
          <w:p w14:paraId="509941C5" w14:textId="77777777" w:rsidR="00C17E6E" w:rsidRPr="00E40013" w:rsidRDefault="00C17E6E" w:rsidP="00C17E6E">
            <w:pPr>
              <w:pStyle w:val="Prrafodelista"/>
              <w:numPr>
                <w:ilvl w:val="0"/>
                <w:numId w:val="120"/>
              </w:numPr>
              <w:spacing w:before="1"/>
              <w:jc w:val="both"/>
              <w:rPr>
                <w:rFonts w:ascii="Arial" w:hAnsi="Arial" w:cs="Arial"/>
                <w:bCs/>
              </w:rPr>
            </w:pPr>
            <w:r w:rsidRPr="00E40013">
              <w:rPr>
                <w:rFonts w:ascii="Arial" w:hAnsi="Arial" w:cs="Arial"/>
                <w:bCs/>
              </w:rPr>
              <w:t>Generar mecanismos de seguimiento a las 76 acciones que se encuentran vencidas; ya que, al comparar las vencidas del primer semestre con el segundo semestre de 2024, hay un aumento considerable pasando de 35 a 76 acciones vencidas.</w:t>
            </w:r>
          </w:p>
          <w:p w14:paraId="227D0D7E" w14:textId="77777777" w:rsidR="00C17E6E" w:rsidRPr="00E40013" w:rsidRDefault="00C17E6E" w:rsidP="00F1223B">
            <w:pPr>
              <w:pStyle w:val="Prrafodelista"/>
              <w:ind w:left="720"/>
              <w:rPr>
                <w:rFonts w:ascii="Arial" w:hAnsi="Arial" w:cs="Arial"/>
                <w:bCs/>
              </w:rPr>
            </w:pPr>
          </w:p>
          <w:p w14:paraId="327B55F8" w14:textId="77777777" w:rsidR="00C17E6E" w:rsidRPr="00E40013" w:rsidRDefault="00C17E6E" w:rsidP="00C17E6E">
            <w:pPr>
              <w:pStyle w:val="Prrafodelista"/>
              <w:numPr>
                <w:ilvl w:val="0"/>
                <w:numId w:val="120"/>
              </w:numPr>
              <w:spacing w:before="1"/>
              <w:jc w:val="both"/>
              <w:rPr>
                <w:rFonts w:ascii="Arial" w:hAnsi="Arial" w:cs="Arial"/>
                <w:bCs/>
              </w:rPr>
            </w:pPr>
            <w:r w:rsidRPr="00E40013">
              <w:rPr>
                <w:rFonts w:ascii="Arial" w:hAnsi="Arial" w:cs="Arial"/>
                <w:bCs/>
              </w:rPr>
              <w:t>Continuar ejecutando las acciones de mejora que se encuentren en un porcentaje de cumplimiento del 100%; por cuanto, la Contraloría General de la República verificará su efectividad.</w:t>
            </w:r>
          </w:p>
          <w:p w14:paraId="409DD19A" w14:textId="77777777" w:rsidR="00C17E6E" w:rsidRPr="00E40013" w:rsidRDefault="00C17E6E" w:rsidP="00F1223B">
            <w:pPr>
              <w:pStyle w:val="Prrafodelista"/>
              <w:ind w:left="720"/>
              <w:rPr>
                <w:rFonts w:ascii="Arial" w:hAnsi="Arial" w:cs="Arial"/>
                <w:bCs/>
              </w:rPr>
            </w:pPr>
          </w:p>
          <w:p w14:paraId="017ED7DE" w14:textId="77777777" w:rsidR="00C17E6E" w:rsidRPr="00E40013" w:rsidRDefault="00C17E6E" w:rsidP="00C17E6E">
            <w:pPr>
              <w:pStyle w:val="Prrafodelista"/>
              <w:numPr>
                <w:ilvl w:val="0"/>
                <w:numId w:val="120"/>
              </w:numPr>
              <w:spacing w:before="1"/>
              <w:jc w:val="both"/>
              <w:rPr>
                <w:rFonts w:ascii="Arial" w:hAnsi="Arial" w:cs="Arial"/>
                <w:bCs/>
              </w:rPr>
            </w:pPr>
            <w:r w:rsidRPr="00E40013">
              <w:rPr>
                <w:rFonts w:ascii="Arial" w:hAnsi="Arial" w:cs="Arial"/>
                <w:bCs/>
              </w:rPr>
              <w:t>Generar un constante seguimiento a las 80 acciones que están en Avance, para asegurar su cumplimiento acorde a la fecha de finalización y evitar así un posible incumplimiento.</w:t>
            </w:r>
          </w:p>
        </w:tc>
      </w:tr>
      <w:tr w:rsidR="00C17E6E" w:rsidRPr="00E40013" w14:paraId="7D3B89BD" w14:textId="77777777" w:rsidTr="00217295">
        <w:trPr>
          <w:jc w:val="center"/>
        </w:trPr>
        <w:tc>
          <w:tcPr>
            <w:tcW w:w="304" w:type="dxa"/>
          </w:tcPr>
          <w:p w14:paraId="063197F6" w14:textId="77777777" w:rsidR="00C17E6E" w:rsidRPr="00E40013" w:rsidRDefault="00C17E6E" w:rsidP="00F1223B">
            <w:pPr>
              <w:tabs>
                <w:tab w:val="left" w:pos="1920"/>
              </w:tabs>
              <w:jc w:val="center"/>
              <w:rPr>
                <w:rFonts w:ascii="Arial" w:hAnsi="Arial" w:cs="Arial"/>
                <w:b/>
              </w:rPr>
            </w:pPr>
            <w:r w:rsidRPr="00E40013">
              <w:rPr>
                <w:rFonts w:ascii="Arial" w:hAnsi="Arial" w:cs="Arial"/>
                <w:b/>
              </w:rPr>
              <w:t>3</w:t>
            </w:r>
          </w:p>
        </w:tc>
        <w:tc>
          <w:tcPr>
            <w:tcW w:w="10307" w:type="dxa"/>
          </w:tcPr>
          <w:p w14:paraId="379F5D28" w14:textId="77777777" w:rsidR="00C17E6E" w:rsidRPr="00E40013" w:rsidRDefault="00C17E6E" w:rsidP="00F1223B">
            <w:pPr>
              <w:ind w:left="20"/>
              <w:jc w:val="both"/>
              <w:rPr>
                <w:rFonts w:ascii="Arial" w:hAnsi="Arial" w:cs="Arial"/>
                <w:b/>
                <w:lang w:val="es-MX"/>
              </w:rPr>
            </w:pPr>
            <w:r w:rsidRPr="00E40013">
              <w:rPr>
                <w:rFonts w:ascii="Arial" w:hAnsi="Arial" w:cs="Arial"/>
                <w:b/>
                <w:lang w:val="es-MX"/>
              </w:rPr>
              <w:t>SUPERINTENDENCIA DE VIGILANCIA Y SEGURIDAD PRIVADA. Informa actividades pendientes en los planes de mejoramiento así:</w:t>
            </w:r>
          </w:p>
          <w:p w14:paraId="77C5A87C" w14:textId="77777777" w:rsidR="00C17E6E" w:rsidRPr="00E40013" w:rsidRDefault="00C17E6E" w:rsidP="00F1223B">
            <w:pPr>
              <w:ind w:left="20"/>
              <w:jc w:val="both"/>
              <w:rPr>
                <w:rFonts w:ascii="Arial" w:hAnsi="Arial" w:cs="Arial"/>
                <w:b/>
                <w:lang w:val="es-MX"/>
              </w:rPr>
            </w:pPr>
          </w:p>
          <w:p w14:paraId="74DD9EE5" w14:textId="77777777" w:rsidR="00C17E6E" w:rsidRPr="00E40013" w:rsidRDefault="00C17E6E" w:rsidP="00F1223B">
            <w:pPr>
              <w:ind w:left="20"/>
              <w:jc w:val="both"/>
              <w:rPr>
                <w:rFonts w:ascii="Arial" w:hAnsi="Arial" w:cs="Arial"/>
                <w:bCs/>
              </w:rPr>
            </w:pPr>
            <w:r w:rsidRPr="00E40013">
              <w:rPr>
                <w:rFonts w:ascii="Arial" w:hAnsi="Arial" w:cs="Arial"/>
                <w:b/>
                <w:bCs/>
              </w:rPr>
              <w:t xml:space="preserve">CONCLUSIONES: </w:t>
            </w:r>
            <w:r w:rsidRPr="00E40013">
              <w:rPr>
                <w:rFonts w:ascii="Arial" w:hAnsi="Arial" w:cs="Arial"/>
                <w:bCs/>
              </w:rPr>
              <w:t xml:space="preserve">Aunque algunos de los hallazgos ya han sido abordados a través de actividades correctivas, </w:t>
            </w:r>
            <w:r w:rsidRPr="00E40013">
              <w:rPr>
                <w:rFonts w:ascii="Arial" w:hAnsi="Arial" w:cs="Arial"/>
                <w:b/>
                <w:u w:val="single"/>
              </w:rPr>
              <w:lastRenderedPageBreak/>
              <w:t>la Oficina de Control Interno, identifica riesgos asociados a la clasificación, registros contractuales y coherencia de la información</w:t>
            </w:r>
            <w:r w:rsidRPr="00E40013">
              <w:rPr>
                <w:rFonts w:ascii="Arial" w:hAnsi="Arial" w:cs="Arial"/>
                <w:bCs/>
              </w:rPr>
              <w:t>. Es necesario revisar las acciones correctivas con el fin que estas sean sostenibles a largo plazo. Por ello, la OCI recomienda implementar medidas adicionales para mitigar estos riesgos, incluyendo la mejora de los procesos internos, la capacitación del personal y controles efectivos.</w:t>
            </w:r>
          </w:p>
          <w:p w14:paraId="7525AF26" w14:textId="77777777" w:rsidR="00C17E6E" w:rsidRPr="00E40013" w:rsidRDefault="00C17E6E" w:rsidP="00F1223B">
            <w:pPr>
              <w:ind w:left="20"/>
              <w:jc w:val="both"/>
              <w:rPr>
                <w:rFonts w:ascii="Arial" w:hAnsi="Arial" w:cs="Arial"/>
                <w:bCs/>
              </w:rPr>
            </w:pPr>
          </w:p>
          <w:p w14:paraId="41BD3DAA" w14:textId="77777777" w:rsidR="00C17E6E" w:rsidRPr="00E40013" w:rsidRDefault="00C17E6E" w:rsidP="00F1223B">
            <w:pPr>
              <w:ind w:left="20"/>
              <w:jc w:val="both"/>
              <w:rPr>
                <w:rFonts w:ascii="Arial" w:hAnsi="Arial" w:cs="Arial"/>
                <w:b/>
                <w:bCs/>
              </w:rPr>
            </w:pPr>
            <w:r w:rsidRPr="00E40013">
              <w:rPr>
                <w:rFonts w:ascii="Arial" w:hAnsi="Arial" w:cs="Arial"/>
                <w:b/>
                <w:bCs/>
              </w:rPr>
              <w:t>RECOMENDACIONES Y/O SUGERENCIAS:</w:t>
            </w:r>
          </w:p>
          <w:p w14:paraId="13F37C26" w14:textId="77777777" w:rsidR="00C17E6E" w:rsidRPr="00E40013" w:rsidRDefault="00C17E6E" w:rsidP="00F1223B">
            <w:pPr>
              <w:ind w:left="20"/>
              <w:jc w:val="both"/>
              <w:rPr>
                <w:rFonts w:ascii="Arial" w:hAnsi="Arial" w:cs="Arial"/>
                <w:bCs/>
              </w:rPr>
            </w:pPr>
          </w:p>
          <w:p w14:paraId="7EEE8C07"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Establecer un proceso de conciliación mensual entre el área contable y la dependencia encargada del cobro de las contribuciones, utilizando las herramientas adecuadas, como el Sistema SIIF Nación, para asegurar la consistencia de la información contable. Además, realizar revisiones periódicas para detectar cualquier discrepancia en los saldos y corregirlas de manera oportuna. </w:t>
            </w:r>
          </w:p>
          <w:p w14:paraId="207EDAA9" w14:textId="77777777" w:rsidR="00C17E6E" w:rsidRPr="00E40013" w:rsidRDefault="00C17E6E" w:rsidP="00F1223B">
            <w:pPr>
              <w:ind w:left="20"/>
              <w:jc w:val="both"/>
              <w:rPr>
                <w:rFonts w:ascii="Arial" w:hAnsi="Arial" w:cs="Arial"/>
                <w:bCs/>
              </w:rPr>
            </w:pPr>
          </w:p>
          <w:p w14:paraId="3D975172"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Implementar puntos de control en la depuración mensual de las cuentas por cobrar, asegurando que todas las cuentas pendientes de años anteriores que ya hayan sido canceladas sean eliminadas de la contabilidad. Se debe contar con un responsable para la validación y el ajuste de los saldos antes de la elaboración de los estados financieros. </w:t>
            </w:r>
          </w:p>
          <w:p w14:paraId="711C6A43" w14:textId="77777777" w:rsidR="00C17E6E" w:rsidRPr="00E40013" w:rsidRDefault="00C17E6E" w:rsidP="00F1223B">
            <w:pPr>
              <w:ind w:left="20"/>
              <w:jc w:val="both"/>
              <w:rPr>
                <w:rFonts w:ascii="Arial" w:hAnsi="Arial" w:cs="Arial"/>
                <w:bCs/>
              </w:rPr>
            </w:pPr>
          </w:p>
          <w:p w14:paraId="6A258319"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Asegurar que las notas a los estados financieros sean claras y proporcionen la información precisa y relevante que facilite la evaluación de estos. Así mismo, se recomienda implementar una clasificación adecuada de las cuentas por rubro contable en el Sistema SIIF, diferenciando claramente los ingresos de los recaudos y evitando la confusión entre causación y recaudo simultáneo.</w:t>
            </w:r>
          </w:p>
          <w:p w14:paraId="3C23528A" w14:textId="77777777" w:rsidR="00C17E6E" w:rsidRPr="00E40013" w:rsidRDefault="00C17E6E" w:rsidP="00F1223B">
            <w:pPr>
              <w:ind w:left="20"/>
              <w:jc w:val="both"/>
              <w:rPr>
                <w:rFonts w:ascii="Arial" w:hAnsi="Arial" w:cs="Arial"/>
                <w:bCs/>
              </w:rPr>
            </w:pPr>
            <w:r w:rsidRPr="00E40013">
              <w:rPr>
                <w:rFonts w:ascii="Arial" w:hAnsi="Arial" w:cs="Arial"/>
                <w:bCs/>
              </w:rPr>
              <w:t xml:space="preserve"> </w:t>
            </w:r>
          </w:p>
          <w:p w14:paraId="322246A9"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Establecer políticas y controles para garantizar la integridad y seguridad de los datos contables y presupuestales. Implementar auditorías periódicas de los sistemas de información para detectar posibles inconsistencias y mejorar los procedimientos de reconciliación entre diferentes aplicaciones y fuentes de información. </w:t>
            </w:r>
          </w:p>
          <w:p w14:paraId="67FD82A8" w14:textId="77777777" w:rsidR="00C17E6E" w:rsidRPr="00E40013" w:rsidRDefault="00C17E6E" w:rsidP="00F1223B">
            <w:pPr>
              <w:ind w:left="20"/>
              <w:jc w:val="both"/>
              <w:rPr>
                <w:rFonts w:ascii="Arial" w:hAnsi="Arial" w:cs="Arial"/>
                <w:bCs/>
              </w:rPr>
            </w:pPr>
          </w:p>
          <w:p w14:paraId="038A48E4"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Revisar el Plan de Bienestar de acuerdo con las disposiciones legales, asegurando que los recursos sean utilizados para programas que beneficien a los empleados bajo condiciones establecidas por la normativa vigente. </w:t>
            </w:r>
          </w:p>
          <w:p w14:paraId="6B1B0ED8" w14:textId="77777777" w:rsidR="00C17E6E" w:rsidRPr="00E40013" w:rsidRDefault="00C17E6E" w:rsidP="00F1223B">
            <w:pPr>
              <w:ind w:left="20"/>
              <w:jc w:val="both"/>
              <w:rPr>
                <w:rFonts w:ascii="Arial" w:hAnsi="Arial" w:cs="Arial"/>
                <w:bCs/>
              </w:rPr>
            </w:pPr>
          </w:p>
          <w:p w14:paraId="08156145"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Asegurar que los valores reportados en el SIRECI coincidan con los valores de los contratos, teniendo en cuenta las modificaciones contractuales. Implementar un proceso de verificación interna antes de la publicación de la información en el sistema para evitar diferencias entre los valores reportados.</w:t>
            </w:r>
          </w:p>
          <w:p w14:paraId="37413DA7" w14:textId="77777777" w:rsidR="00C17E6E" w:rsidRPr="00E40013" w:rsidRDefault="00C17E6E" w:rsidP="00F1223B">
            <w:pPr>
              <w:ind w:left="20"/>
              <w:jc w:val="both"/>
              <w:rPr>
                <w:rFonts w:ascii="Arial" w:hAnsi="Arial" w:cs="Arial"/>
                <w:bCs/>
              </w:rPr>
            </w:pPr>
            <w:r w:rsidRPr="00E40013">
              <w:rPr>
                <w:rFonts w:ascii="Arial" w:hAnsi="Arial" w:cs="Arial"/>
                <w:bCs/>
              </w:rPr>
              <w:t xml:space="preserve"> </w:t>
            </w:r>
          </w:p>
          <w:p w14:paraId="5CE7023D"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Asegurar que se cuente con los recursos necesarios y que estos no excedan los límites de gastos previstos en el presupuesto para cada vigencia. Realizar una validación exhaustiva de la información presupuestal antes de emitir las órdenes de compra.</w:t>
            </w:r>
          </w:p>
          <w:p w14:paraId="254DBE72" w14:textId="77777777" w:rsidR="00C17E6E" w:rsidRPr="00E40013" w:rsidRDefault="00C17E6E" w:rsidP="00F1223B">
            <w:pPr>
              <w:ind w:left="20"/>
              <w:jc w:val="both"/>
              <w:rPr>
                <w:rFonts w:ascii="Arial" w:hAnsi="Arial" w:cs="Arial"/>
                <w:bCs/>
              </w:rPr>
            </w:pPr>
            <w:r w:rsidRPr="00E40013">
              <w:rPr>
                <w:rFonts w:ascii="Arial" w:hAnsi="Arial" w:cs="Arial"/>
                <w:bCs/>
              </w:rPr>
              <w:t xml:space="preserve"> </w:t>
            </w:r>
          </w:p>
          <w:p w14:paraId="328FDE8D"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Asegurar que el registro presupuestal se realice antes o al mismo tiempo que el acta de inicio de la orden de compra. </w:t>
            </w:r>
          </w:p>
          <w:p w14:paraId="54599778" w14:textId="77777777" w:rsidR="00C17E6E" w:rsidRPr="00E40013" w:rsidRDefault="00C17E6E" w:rsidP="00F1223B">
            <w:pPr>
              <w:ind w:left="20"/>
              <w:jc w:val="both"/>
              <w:rPr>
                <w:rFonts w:ascii="Arial" w:hAnsi="Arial" w:cs="Arial"/>
                <w:bCs/>
              </w:rPr>
            </w:pPr>
          </w:p>
          <w:p w14:paraId="0C14C50B"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Establecer procedimientos para garantizar la correcta programación y registro de los compromisos presupuestales antes de la ejecución de las órdenes de compra. </w:t>
            </w:r>
          </w:p>
          <w:p w14:paraId="13D7E06F" w14:textId="77777777" w:rsidR="00C17E6E" w:rsidRPr="00E40013" w:rsidRDefault="00C17E6E" w:rsidP="00F1223B">
            <w:pPr>
              <w:ind w:left="20"/>
              <w:jc w:val="both"/>
              <w:rPr>
                <w:rFonts w:ascii="Arial" w:hAnsi="Arial" w:cs="Arial"/>
                <w:bCs/>
              </w:rPr>
            </w:pPr>
          </w:p>
          <w:p w14:paraId="5BC9C6F5"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Establecer un proceso de revisión para verificar que las reservas presupuestales sean correctas y que los pagos no excedan los montos facturados en el periodo correspondiente </w:t>
            </w:r>
          </w:p>
          <w:p w14:paraId="66E28D87" w14:textId="77777777" w:rsidR="00C17E6E" w:rsidRPr="00E40013" w:rsidRDefault="00C17E6E" w:rsidP="00F1223B">
            <w:pPr>
              <w:ind w:left="20"/>
              <w:jc w:val="both"/>
              <w:rPr>
                <w:rFonts w:ascii="Arial" w:hAnsi="Arial" w:cs="Arial"/>
                <w:bCs/>
              </w:rPr>
            </w:pPr>
          </w:p>
          <w:p w14:paraId="1C5C5CCC"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Ajustar el proceso de verificación para que la información financiera sea precisa.</w:t>
            </w:r>
          </w:p>
          <w:p w14:paraId="1E60AF0A" w14:textId="77777777" w:rsidR="00C17E6E" w:rsidRPr="00E40013" w:rsidRDefault="00C17E6E" w:rsidP="00F1223B">
            <w:pPr>
              <w:ind w:left="20"/>
              <w:jc w:val="both"/>
              <w:rPr>
                <w:rFonts w:ascii="Arial" w:hAnsi="Arial" w:cs="Arial"/>
                <w:bCs/>
              </w:rPr>
            </w:pPr>
            <w:r w:rsidRPr="00E40013">
              <w:rPr>
                <w:rFonts w:ascii="Arial" w:hAnsi="Arial" w:cs="Arial"/>
                <w:bCs/>
              </w:rPr>
              <w:t xml:space="preserve"> </w:t>
            </w:r>
          </w:p>
          <w:p w14:paraId="7E27DD8F"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Mejorar el diligenciamiento de la información presupuestal en los estudios previos y los registros presupuestales para asegurar que los datos sean consistentes y reflejen correctamente los valores asignados para cada rubro en los diferentes contratos. </w:t>
            </w:r>
          </w:p>
          <w:p w14:paraId="5A6BA95D" w14:textId="77777777" w:rsidR="00C17E6E" w:rsidRPr="00E40013" w:rsidRDefault="00C17E6E" w:rsidP="00F1223B">
            <w:pPr>
              <w:ind w:left="20"/>
              <w:jc w:val="both"/>
              <w:rPr>
                <w:rFonts w:ascii="Arial" w:hAnsi="Arial" w:cs="Arial"/>
                <w:bCs/>
              </w:rPr>
            </w:pPr>
          </w:p>
          <w:p w14:paraId="6F4D3CB5"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Establecer procedimientos más rigurosos de autocontrol en el registro y supervisión de los contratos, asegurando que toda la información relacionada esté actualizada y que se eviten los errores en el diligenciamiento de los formatos. </w:t>
            </w:r>
          </w:p>
          <w:p w14:paraId="011EE97D" w14:textId="77777777" w:rsidR="00C17E6E" w:rsidRPr="00E40013" w:rsidRDefault="00C17E6E" w:rsidP="00F1223B">
            <w:pPr>
              <w:ind w:left="20"/>
              <w:jc w:val="both"/>
              <w:rPr>
                <w:rFonts w:ascii="Arial" w:hAnsi="Arial" w:cs="Arial"/>
                <w:bCs/>
              </w:rPr>
            </w:pPr>
          </w:p>
          <w:p w14:paraId="19F00C19"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Verificar las fechas de inicio de los contratos y asegurarse de que las reservas presupuestales sean </w:t>
            </w:r>
            <w:r w:rsidRPr="00E40013">
              <w:rPr>
                <w:rFonts w:ascii="Arial" w:hAnsi="Arial" w:cs="Arial"/>
                <w:bCs/>
              </w:rPr>
              <w:lastRenderedPageBreak/>
              <w:t>aprobadas y refrendadas solo cuando los contratos hayan comenzado realmente, para evitar reservas indebidas en vigencias fiscales erróneas.</w:t>
            </w:r>
          </w:p>
          <w:p w14:paraId="290CCA97" w14:textId="77777777" w:rsidR="00C17E6E" w:rsidRPr="00E40013" w:rsidRDefault="00C17E6E" w:rsidP="00F1223B">
            <w:pPr>
              <w:ind w:left="20"/>
              <w:jc w:val="both"/>
              <w:rPr>
                <w:rFonts w:ascii="Arial" w:hAnsi="Arial" w:cs="Arial"/>
                <w:bCs/>
              </w:rPr>
            </w:pPr>
          </w:p>
          <w:p w14:paraId="6AC4C7F9"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Revisar y ajustar las minutas tipo adoptadas para los contratos, asegurando que la cláusula de multas incluya los montos específicos sobre los cuales se aplicarán, conforme a la legalidad y las disposiciones normativas.</w:t>
            </w:r>
          </w:p>
          <w:p w14:paraId="1A389E19" w14:textId="77777777" w:rsidR="00C17E6E" w:rsidRPr="00E40013" w:rsidRDefault="00C17E6E" w:rsidP="00F1223B">
            <w:pPr>
              <w:ind w:left="20"/>
              <w:jc w:val="both"/>
              <w:rPr>
                <w:rFonts w:ascii="Arial" w:hAnsi="Arial" w:cs="Arial"/>
                <w:bCs/>
              </w:rPr>
            </w:pPr>
          </w:p>
          <w:p w14:paraId="0915DFE8"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Revisar las cláusulas de los contratos de arrendamiento y eliminar aquellas que sean excepcionales y contrarias a la Ley 80 de 1993. Establecer un proceso de validación para garantizar que se cumpla con la normativa aplicable a los contratos de arrendamiento.</w:t>
            </w:r>
          </w:p>
          <w:p w14:paraId="273B6AF3" w14:textId="77777777" w:rsidR="00C17E6E" w:rsidRPr="00E40013" w:rsidRDefault="00C17E6E" w:rsidP="00F1223B">
            <w:pPr>
              <w:ind w:left="20"/>
              <w:jc w:val="both"/>
              <w:rPr>
                <w:rFonts w:ascii="Arial" w:hAnsi="Arial" w:cs="Arial"/>
                <w:bCs/>
              </w:rPr>
            </w:pPr>
          </w:p>
          <w:p w14:paraId="2D82B170"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Ajustar los contratos de arrendamiento para que utilicen la minuta correcta que corresponda a la naturaleza del contrato, evitando utilizar plantillas diseñadas para otros tipos de contratos como el de prestación de servicios profesionales.</w:t>
            </w:r>
          </w:p>
          <w:p w14:paraId="09DDE245"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 xml:space="preserve">Incluir todas las condiciones pertinentes en el contrato, como forma de pago y especificaciones técnicas, y asegurar que estos detalles estén claramente reflejados tanto en el contrato como en los documentos adicionales relacionados, como estudios previos y ofertas. </w:t>
            </w:r>
          </w:p>
          <w:p w14:paraId="203E169C" w14:textId="77777777" w:rsidR="00C17E6E" w:rsidRPr="00E40013" w:rsidRDefault="00C17E6E" w:rsidP="00F1223B">
            <w:pPr>
              <w:ind w:left="20"/>
              <w:jc w:val="both"/>
              <w:rPr>
                <w:rFonts w:ascii="Arial" w:hAnsi="Arial" w:cs="Arial"/>
                <w:bCs/>
              </w:rPr>
            </w:pPr>
          </w:p>
          <w:p w14:paraId="08F6123A"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Asegurar que los contratos de tracto sucesivo sean liquidados al finalizar el plazo del contrato, cumpliendo con los procedimientos legales para garantizar la correcta ejecución y cumplimiento de las condiciones contractuales.</w:t>
            </w:r>
          </w:p>
          <w:p w14:paraId="6325ED58" w14:textId="77777777" w:rsidR="00C17E6E" w:rsidRPr="00E40013" w:rsidRDefault="00C17E6E" w:rsidP="00F1223B">
            <w:pPr>
              <w:ind w:left="20"/>
              <w:jc w:val="both"/>
              <w:rPr>
                <w:rFonts w:ascii="Arial" w:hAnsi="Arial" w:cs="Arial"/>
                <w:bCs/>
              </w:rPr>
            </w:pPr>
          </w:p>
          <w:p w14:paraId="410F449A"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Revisar los contratos para evitar que los contratistas tengan condiciones que los equiparen con los funcionarios, lo que podría configurar un "contrato realidad".</w:t>
            </w:r>
          </w:p>
          <w:p w14:paraId="01C7968D" w14:textId="77777777" w:rsidR="00C17E6E" w:rsidRPr="00E40013" w:rsidRDefault="00C17E6E" w:rsidP="00F1223B">
            <w:pPr>
              <w:ind w:left="20"/>
              <w:jc w:val="both"/>
              <w:rPr>
                <w:rFonts w:ascii="Arial" w:hAnsi="Arial" w:cs="Arial"/>
                <w:bCs/>
              </w:rPr>
            </w:pPr>
          </w:p>
          <w:p w14:paraId="60E74117"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Asegurar que las cláusulas sean adecuadas y cumplan con la normativa sobre los contratos de prestación de servicios.</w:t>
            </w:r>
          </w:p>
          <w:p w14:paraId="22B8ED18" w14:textId="77777777" w:rsidR="00C17E6E" w:rsidRPr="00E40013" w:rsidRDefault="00C17E6E" w:rsidP="00F1223B">
            <w:pPr>
              <w:ind w:left="20"/>
              <w:jc w:val="both"/>
              <w:rPr>
                <w:rFonts w:ascii="Arial" w:hAnsi="Arial" w:cs="Arial"/>
                <w:bCs/>
              </w:rPr>
            </w:pPr>
          </w:p>
          <w:p w14:paraId="2B6C851E" w14:textId="77777777" w:rsidR="00C17E6E" w:rsidRPr="00E40013" w:rsidRDefault="00C17E6E" w:rsidP="00F1223B">
            <w:pPr>
              <w:ind w:left="20"/>
              <w:jc w:val="both"/>
              <w:rPr>
                <w:rFonts w:ascii="Arial" w:hAnsi="Arial" w:cs="Arial"/>
                <w:bCs/>
              </w:rPr>
            </w:pPr>
            <w:r w:rsidRPr="00E40013">
              <w:rPr>
                <w:rFonts w:ascii="Arial" w:hAnsi="Arial" w:cs="Arial"/>
                <w:bCs/>
              </w:rPr>
              <w:t>•</w:t>
            </w:r>
            <w:r w:rsidRPr="00E40013">
              <w:rPr>
                <w:rFonts w:ascii="Arial" w:hAnsi="Arial" w:cs="Arial"/>
                <w:bCs/>
              </w:rPr>
              <w:tab/>
              <w:t>Mejorar el seguimiento y control de los proyectos de inversión, evitando el fraccionamiento de contratos y asegurando la correcta aplicación de los procedimientos de licitación pública para la contratación de los servicios necesarios, conforme a las normativas de contratación estatal.</w:t>
            </w:r>
          </w:p>
        </w:tc>
      </w:tr>
      <w:tr w:rsidR="00C17E6E" w:rsidRPr="00E40013" w14:paraId="28B60606" w14:textId="77777777" w:rsidTr="00217295">
        <w:trPr>
          <w:jc w:val="center"/>
        </w:trPr>
        <w:tc>
          <w:tcPr>
            <w:tcW w:w="304" w:type="dxa"/>
          </w:tcPr>
          <w:p w14:paraId="7020208D"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3</w:t>
            </w:r>
          </w:p>
        </w:tc>
        <w:tc>
          <w:tcPr>
            <w:tcW w:w="10307" w:type="dxa"/>
          </w:tcPr>
          <w:p w14:paraId="1B8DBC08" w14:textId="77777777" w:rsidR="00C17E6E" w:rsidRPr="00E40013" w:rsidRDefault="00C17E6E" w:rsidP="00F1223B">
            <w:pPr>
              <w:jc w:val="both"/>
              <w:rPr>
                <w:rFonts w:ascii="Arial" w:hAnsi="Arial" w:cs="Arial"/>
                <w:b/>
                <w:lang w:val="es-MX"/>
              </w:rPr>
            </w:pPr>
            <w:r w:rsidRPr="00E40013">
              <w:rPr>
                <w:rFonts w:ascii="Arial" w:hAnsi="Arial" w:cs="Arial"/>
                <w:b/>
              </w:rPr>
              <w:t>LA CORPORACIÓN DE ALTA TECNOLOGÍA PARA LA DEFENSA – CODALTEC, informa lo siguiente:</w:t>
            </w:r>
          </w:p>
          <w:p w14:paraId="27734DA8" w14:textId="77777777" w:rsidR="00C17E6E" w:rsidRPr="00E40013" w:rsidRDefault="00C17E6E" w:rsidP="00F1223B">
            <w:pPr>
              <w:tabs>
                <w:tab w:val="left" w:pos="1395"/>
              </w:tabs>
              <w:rPr>
                <w:rFonts w:ascii="Arial" w:hAnsi="Arial" w:cs="Arial"/>
                <w:b/>
                <w:lang w:val="es-MX"/>
              </w:rPr>
            </w:pPr>
          </w:p>
          <w:p w14:paraId="0D76FC34" w14:textId="77777777" w:rsidR="00C17E6E" w:rsidRPr="00E40013" w:rsidRDefault="00C17E6E" w:rsidP="00F1223B">
            <w:pPr>
              <w:jc w:val="both"/>
              <w:rPr>
                <w:rFonts w:ascii="Arial" w:hAnsi="Arial" w:cs="Arial"/>
                <w:bCs/>
              </w:rPr>
            </w:pPr>
            <w:r w:rsidRPr="00E40013">
              <w:rPr>
                <w:rFonts w:ascii="Arial" w:hAnsi="Arial" w:cs="Arial"/>
                <w:bCs/>
              </w:rPr>
              <w:t>(…) De acuerdo con lo anterior se evidencia que las tareas propuestas en la vigencia 2022 no fueron efectivas, ni eficientes para la subsanación de los hallazgos; actualmente la gerencia de la Corporación de Alta Tecnología para la Defensa toma acción para la toma de decisiones con el ánimo de subsanar las novedades presentadas.</w:t>
            </w:r>
          </w:p>
        </w:tc>
      </w:tr>
      <w:tr w:rsidR="00C17E6E" w:rsidRPr="00E40013" w14:paraId="2BECA0BE" w14:textId="77777777" w:rsidTr="00217295">
        <w:trPr>
          <w:jc w:val="center"/>
        </w:trPr>
        <w:tc>
          <w:tcPr>
            <w:tcW w:w="304" w:type="dxa"/>
          </w:tcPr>
          <w:p w14:paraId="6A11D152" w14:textId="77777777" w:rsidR="00C17E6E" w:rsidRPr="00E40013" w:rsidRDefault="00C17E6E" w:rsidP="00F1223B">
            <w:pPr>
              <w:tabs>
                <w:tab w:val="left" w:pos="1920"/>
              </w:tabs>
              <w:jc w:val="center"/>
              <w:rPr>
                <w:rFonts w:ascii="Arial" w:hAnsi="Arial" w:cs="Arial"/>
                <w:b/>
              </w:rPr>
            </w:pPr>
          </w:p>
        </w:tc>
        <w:tc>
          <w:tcPr>
            <w:tcW w:w="10307" w:type="dxa"/>
          </w:tcPr>
          <w:p w14:paraId="48981905" w14:textId="77777777" w:rsidR="00C17E6E" w:rsidRPr="00E40013" w:rsidRDefault="00C17E6E" w:rsidP="00F1223B">
            <w:pPr>
              <w:jc w:val="both"/>
              <w:rPr>
                <w:rFonts w:ascii="Arial" w:hAnsi="Arial" w:cs="Arial"/>
                <w:bCs/>
                <w:lang w:val="es-MX"/>
              </w:rPr>
            </w:pPr>
            <w:r w:rsidRPr="00E40013">
              <w:rPr>
                <w:rFonts w:ascii="Arial" w:hAnsi="Arial" w:cs="Arial"/>
                <w:b/>
                <w:lang w:val="es-MX"/>
              </w:rPr>
              <w:t xml:space="preserve">EL INSTITUTO CARO Y CUERVO, </w:t>
            </w:r>
            <w:r w:rsidRPr="00E40013">
              <w:rPr>
                <w:rFonts w:ascii="Arial" w:hAnsi="Arial" w:cs="Arial"/>
                <w:bCs/>
                <w:lang w:val="es-MX"/>
              </w:rPr>
              <w:t>informa lo siguiente:</w:t>
            </w:r>
          </w:p>
          <w:p w14:paraId="0E04B3AE" w14:textId="77777777" w:rsidR="00C17E6E" w:rsidRPr="00E40013" w:rsidRDefault="00C17E6E" w:rsidP="00F1223B">
            <w:pPr>
              <w:jc w:val="both"/>
              <w:rPr>
                <w:rFonts w:ascii="Arial" w:hAnsi="Arial" w:cs="Arial"/>
                <w:bCs/>
                <w:lang w:val="es-MX"/>
              </w:rPr>
            </w:pPr>
          </w:p>
          <w:p w14:paraId="656DCC09" w14:textId="77777777" w:rsidR="00C17E6E" w:rsidRPr="00E40013" w:rsidRDefault="00C17E6E" w:rsidP="00F1223B">
            <w:pPr>
              <w:jc w:val="both"/>
              <w:rPr>
                <w:rFonts w:ascii="Arial" w:hAnsi="Arial" w:cs="Arial"/>
                <w:bCs/>
                <w:lang w:val="es-MX"/>
              </w:rPr>
            </w:pPr>
            <w:r w:rsidRPr="00E40013">
              <w:rPr>
                <w:rFonts w:ascii="Arial" w:hAnsi="Arial" w:cs="Arial"/>
                <w:bCs/>
                <w:lang w:val="es-MX"/>
              </w:rPr>
              <w:t>A 31 de diciembre de 2024, el Instituto tenía 15 hallazgos por resolver.</w:t>
            </w:r>
          </w:p>
          <w:p w14:paraId="40396D74" w14:textId="77777777" w:rsidR="00C17E6E" w:rsidRPr="00E40013" w:rsidRDefault="00C17E6E" w:rsidP="00F1223B">
            <w:pPr>
              <w:jc w:val="both"/>
              <w:rPr>
                <w:rFonts w:ascii="Arial" w:hAnsi="Arial" w:cs="Arial"/>
                <w:bCs/>
                <w:lang w:val="es-MX"/>
              </w:rPr>
            </w:pPr>
          </w:p>
          <w:p w14:paraId="7628E277" w14:textId="77777777" w:rsidR="00C17E6E" w:rsidRPr="00E40013" w:rsidRDefault="00C17E6E" w:rsidP="00F1223B">
            <w:pPr>
              <w:jc w:val="both"/>
              <w:rPr>
                <w:rFonts w:ascii="Arial" w:hAnsi="Arial" w:cs="Arial"/>
                <w:bCs/>
                <w:lang w:val="es-MX"/>
              </w:rPr>
            </w:pPr>
            <w:r w:rsidRPr="00E40013">
              <w:rPr>
                <w:rFonts w:ascii="Arial" w:hAnsi="Arial" w:cs="Arial"/>
                <w:bCs/>
                <w:lang w:val="es-MX"/>
              </w:rPr>
              <w:t>A 31 de diciembre de 2024, las acciones de mejora para los 15 hallazgos estaban vencidas,</w:t>
            </w:r>
          </w:p>
          <w:p w14:paraId="1984DB94" w14:textId="77777777" w:rsidR="00C17E6E" w:rsidRPr="00E40013" w:rsidRDefault="00C17E6E" w:rsidP="00F1223B">
            <w:pPr>
              <w:jc w:val="both"/>
              <w:rPr>
                <w:rFonts w:ascii="Arial" w:hAnsi="Arial" w:cs="Arial"/>
                <w:bCs/>
                <w:lang w:val="es-MX"/>
              </w:rPr>
            </w:pPr>
          </w:p>
          <w:p w14:paraId="18E8896C" w14:textId="77777777" w:rsidR="00C17E6E" w:rsidRPr="00E40013" w:rsidRDefault="00C17E6E" w:rsidP="00F1223B">
            <w:pPr>
              <w:jc w:val="both"/>
              <w:rPr>
                <w:rFonts w:ascii="Arial" w:hAnsi="Arial" w:cs="Arial"/>
                <w:bCs/>
                <w:lang w:val="es-MX"/>
              </w:rPr>
            </w:pPr>
            <w:r w:rsidRPr="00E40013">
              <w:rPr>
                <w:rFonts w:ascii="Arial" w:hAnsi="Arial" w:cs="Arial"/>
                <w:bCs/>
                <w:lang w:val="es-MX"/>
              </w:rPr>
              <w:t xml:space="preserve">A 31 de diciembre de 2024, las acciones de mejora para los 15 hallazgo, fueron </w:t>
            </w:r>
            <w:r w:rsidRPr="00E40013">
              <w:rPr>
                <w:rFonts w:ascii="Arial" w:hAnsi="Arial" w:cs="Arial"/>
                <w:b/>
                <w:lang w:val="es-MX"/>
              </w:rPr>
              <w:t>INEFIACES E INEFICIENTES.</w:t>
            </w:r>
          </w:p>
        </w:tc>
      </w:tr>
      <w:tr w:rsidR="00C17E6E" w:rsidRPr="00E40013" w14:paraId="392A9233" w14:textId="77777777" w:rsidTr="00217295">
        <w:trPr>
          <w:jc w:val="center"/>
        </w:trPr>
        <w:tc>
          <w:tcPr>
            <w:tcW w:w="304" w:type="dxa"/>
          </w:tcPr>
          <w:p w14:paraId="2FDF6ED1"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p>
        </w:tc>
        <w:tc>
          <w:tcPr>
            <w:tcW w:w="10307" w:type="dxa"/>
          </w:tcPr>
          <w:p w14:paraId="29AB20F1" w14:textId="77777777" w:rsidR="00C17E6E" w:rsidRPr="00E40013" w:rsidRDefault="00C17E6E" w:rsidP="00F1223B">
            <w:pPr>
              <w:jc w:val="both"/>
              <w:rPr>
                <w:rFonts w:ascii="Arial" w:hAnsi="Arial" w:cs="Arial"/>
                <w:b/>
                <w:lang w:val="es-MX"/>
              </w:rPr>
            </w:pPr>
            <w:r w:rsidRPr="00E40013">
              <w:rPr>
                <w:rFonts w:ascii="Arial" w:hAnsi="Arial" w:cs="Arial"/>
                <w:b/>
                <w:lang w:val="es-MX"/>
              </w:rPr>
              <w:t>EL INSTITUTO DE CASAS FISCALES DEL EJERCITO con respecto a la eficiencia y eficacia de las acciones realizadas para dar cumplimiento al plan de mejoramiento manifiesta lo siguiente;</w:t>
            </w:r>
          </w:p>
          <w:p w14:paraId="251B8F4D" w14:textId="77777777" w:rsidR="00C17E6E" w:rsidRPr="00E40013" w:rsidRDefault="00C17E6E" w:rsidP="00F1223B">
            <w:pPr>
              <w:jc w:val="both"/>
              <w:rPr>
                <w:rFonts w:ascii="Arial" w:hAnsi="Arial" w:cs="Arial"/>
                <w:b/>
                <w:lang w:val="es-MX"/>
              </w:rPr>
            </w:pPr>
          </w:p>
          <w:p w14:paraId="2D5536F8" w14:textId="77777777" w:rsidR="00C17E6E" w:rsidRPr="00E40013" w:rsidRDefault="00C17E6E" w:rsidP="00F1223B">
            <w:pPr>
              <w:jc w:val="both"/>
              <w:rPr>
                <w:rFonts w:ascii="Arial" w:hAnsi="Arial" w:cs="Arial"/>
                <w:bCs/>
                <w:u w:val="single"/>
              </w:rPr>
            </w:pPr>
            <w:r w:rsidRPr="00E40013">
              <w:rPr>
                <w:rFonts w:ascii="Arial" w:hAnsi="Arial" w:cs="Arial"/>
                <w:b/>
                <w:u w:val="single"/>
              </w:rPr>
              <w:t>El Instituto de Casas Fiscales a partir del 1º, de diciembre de 2023 no cuenta con jefe Oficina de Control Interno, de acuerdo con la notificación de La Presidencia de la República, a la persona designada ya se le dio el correspondiente tramite y se encuentra actualmente en cabeza del sector Defensa para su nombramiento, por lo tanto, no se dispone del informe solicitado</w:t>
            </w:r>
            <w:r w:rsidRPr="00E40013">
              <w:rPr>
                <w:rFonts w:ascii="Arial" w:hAnsi="Arial" w:cs="Arial"/>
                <w:bCs/>
                <w:u w:val="single"/>
              </w:rPr>
              <w:t>.</w:t>
            </w:r>
          </w:p>
        </w:tc>
      </w:tr>
      <w:tr w:rsidR="00C17E6E" w:rsidRPr="00E40013" w14:paraId="0B931370" w14:textId="77777777" w:rsidTr="00217295">
        <w:trPr>
          <w:jc w:val="center"/>
        </w:trPr>
        <w:tc>
          <w:tcPr>
            <w:tcW w:w="304" w:type="dxa"/>
          </w:tcPr>
          <w:p w14:paraId="31377AA8" w14:textId="77777777" w:rsidR="00C17E6E" w:rsidRPr="00E40013" w:rsidRDefault="00C17E6E" w:rsidP="00F1223B">
            <w:pPr>
              <w:tabs>
                <w:tab w:val="left" w:pos="1920"/>
              </w:tabs>
              <w:jc w:val="center"/>
              <w:rPr>
                <w:rFonts w:ascii="Arial" w:hAnsi="Arial" w:cs="Arial"/>
                <w:b/>
              </w:rPr>
            </w:pPr>
            <w:r w:rsidRPr="00E40013">
              <w:rPr>
                <w:rFonts w:ascii="Arial" w:hAnsi="Arial" w:cs="Arial"/>
                <w:b/>
              </w:rPr>
              <w:t>5</w:t>
            </w:r>
          </w:p>
        </w:tc>
        <w:tc>
          <w:tcPr>
            <w:tcW w:w="10307" w:type="dxa"/>
          </w:tcPr>
          <w:p w14:paraId="3869477D" w14:textId="77777777" w:rsidR="00C17E6E" w:rsidRPr="00E40013" w:rsidRDefault="00C17E6E" w:rsidP="00F1223B">
            <w:pPr>
              <w:jc w:val="both"/>
              <w:rPr>
                <w:rFonts w:ascii="Arial" w:hAnsi="Arial" w:cs="Arial"/>
                <w:b/>
                <w:bCs/>
              </w:rPr>
            </w:pPr>
            <w:r w:rsidRPr="00E40013">
              <w:rPr>
                <w:rFonts w:ascii="Arial" w:hAnsi="Arial" w:cs="Arial"/>
                <w:b/>
                <w:lang w:val="es-MX"/>
              </w:rPr>
              <w:t xml:space="preserve"> LA CORPORACIÓN DE LA INDUSTRIA AERONAUTICA COLOMBIANA S.A. - CIAC. Informa </w:t>
            </w:r>
            <w:r w:rsidRPr="00E40013">
              <w:rPr>
                <w:rFonts w:ascii="Arial" w:hAnsi="Arial" w:cs="Arial"/>
                <w:b/>
                <w:bCs/>
              </w:rPr>
              <w:t>Hallazgos frente a los cuales no se evidenció efectividad de los planes de mejoramiento realizados, requiriendo reformulación de dichos planes por parte de la entidad:</w:t>
            </w:r>
          </w:p>
          <w:p w14:paraId="39E852B0" w14:textId="77777777" w:rsidR="00C17E6E" w:rsidRPr="00E40013" w:rsidRDefault="00C17E6E" w:rsidP="00F1223B">
            <w:pPr>
              <w:jc w:val="both"/>
              <w:rPr>
                <w:rFonts w:ascii="Arial" w:hAnsi="Arial" w:cs="Arial"/>
                <w:b/>
                <w:bCs/>
              </w:rPr>
            </w:pPr>
          </w:p>
          <w:p w14:paraId="20B90055" w14:textId="77777777" w:rsidR="00C17E6E" w:rsidRPr="00E40013" w:rsidRDefault="00C17E6E" w:rsidP="00F1223B">
            <w:pPr>
              <w:jc w:val="both"/>
              <w:rPr>
                <w:rFonts w:ascii="Arial" w:hAnsi="Arial" w:cs="Arial"/>
                <w:bCs/>
              </w:rPr>
            </w:pPr>
            <w:r w:rsidRPr="00E40013">
              <w:rPr>
                <w:rFonts w:ascii="Arial" w:hAnsi="Arial" w:cs="Arial"/>
                <w:bCs/>
              </w:rPr>
              <w:t>1) Hallazgo 3 de la vigencia 2015- Gestión Documental. (ADM)</w:t>
            </w:r>
          </w:p>
          <w:p w14:paraId="744E80E9" w14:textId="77777777" w:rsidR="00C17E6E" w:rsidRPr="00E40013" w:rsidRDefault="00C17E6E" w:rsidP="00F1223B">
            <w:pPr>
              <w:jc w:val="both"/>
              <w:rPr>
                <w:rFonts w:ascii="Arial" w:hAnsi="Arial" w:cs="Arial"/>
                <w:bCs/>
              </w:rPr>
            </w:pPr>
            <w:r w:rsidRPr="00E40013">
              <w:rPr>
                <w:rFonts w:ascii="Arial" w:hAnsi="Arial" w:cs="Arial"/>
                <w:bCs/>
              </w:rPr>
              <w:t>2) Hallazgo 2 de la vigencia 2019-2020- Imposición multas orden de compra. (ADM).</w:t>
            </w:r>
          </w:p>
          <w:p w14:paraId="02B46827" w14:textId="77777777" w:rsidR="00C17E6E" w:rsidRPr="00E40013" w:rsidRDefault="00C17E6E" w:rsidP="00F1223B">
            <w:pPr>
              <w:jc w:val="both"/>
              <w:rPr>
                <w:rFonts w:ascii="Arial" w:hAnsi="Arial" w:cs="Arial"/>
                <w:bCs/>
              </w:rPr>
            </w:pPr>
            <w:r w:rsidRPr="00E40013">
              <w:rPr>
                <w:rFonts w:ascii="Arial" w:hAnsi="Arial" w:cs="Arial"/>
                <w:bCs/>
              </w:rPr>
              <w:t>3) Hallazgo 3 de la vigencia 2019-2020- Adquisición póliza cumplimiento. (ADM).</w:t>
            </w:r>
          </w:p>
          <w:p w14:paraId="5E0C5D3C" w14:textId="77777777" w:rsidR="00C17E6E" w:rsidRPr="00E40013" w:rsidRDefault="00C17E6E" w:rsidP="00F1223B">
            <w:pPr>
              <w:jc w:val="both"/>
              <w:rPr>
                <w:rFonts w:ascii="Arial" w:hAnsi="Arial" w:cs="Arial"/>
                <w:bCs/>
              </w:rPr>
            </w:pPr>
            <w:r w:rsidRPr="00E40013">
              <w:rPr>
                <w:rFonts w:ascii="Arial" w:hAnsi="Arial" w:cs="Arial"/>
                <w:bCs/>
              </w:rPr>
              <w:t>4) Hallazgo 14 de la vigencia 2021- Publicación de facturas en SECOP. (ADM)</w:t>
            </w:r>
          </w:p>
          <w:p w14:paraId="1B61A210" w14:textId="77777777" w:rsidR="00C17E6E" w:rsidRPr="00E40013" w:rsidRDefault="00C17E6E" w:rsidP="00F1223B">
            <w:pPr>
              <w:jc w:val="both"/>
              <w:rPr>
                <w:rFonts w:ascii="Arial" w:hAnsi="Arial" w:cs="Arial"/>
                <w:bCs/>
              </w:rPr>
            </w:pPr>
            <w:r w:rsidRPr="00E40013">
              <w:rPr>
                <w:rFonts w:ascii="Arial" w:hAnsi="Arial" w:cs="Arial"/>
                <w:bCs/>
              </w:rPr>
              <w:lastRenderedPageBreak/>
              <w:t>5) Hallazgo 18 de la vigencia 2021- Recibo de prototipo ART Quimbaya. (D)</w:t>
            </w:r>
          </w:p>
        </w:tc>
      </w:tr>
      <w:tr w:rsidR="00C17E6E" w:rsidRPr="00E40013" w14:paraId="62FE3308" w14:textId="77777777" w:rsidTr="00217295">
        <w:trPr>
          <w:jc w:val="center"/>
        </w:trPr>
        <w:tc>
          <w:tcPr>
            <w:tcW w:w="304" w:type="dxa"/>
          </w:tcPr>
          <w:p w14:paraId="245D5813"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6</w:t>
            </w:r>
          </w:p>
        </w:tc>
        <w:tc>
          <w:tcPr>
            <w:tcW w:w="10307" w:type="dxa"/>
          </w:tcPr>
          <w:p w14:paraId="2C08A712" w14:textId="77777777" w:rsidR="00C17E6E" w:rsidRPr="00E40013" w:rsidRDefault="00C17E6E" w:rsidP="00F1223B">
            <w:pPr>
              <w:pStyle w:val="Ttulo1"/>
              <w:ind w:right="34"/>
              <w:jc w:val="both"/>
              <w:outlineLvl w:val="0"/>
              <w:rPr>
                <w:b w:val="0"/>
                <w:sz w:val="20"/>
                <w:szCs w:val="20"/>
              </w:rPr>
            </w:pPr>
            <w:r w:rsidRPr="00E40013">
              <w:rPr>
                <w:sz w:val="20"/>
                <w:szCs w:val="20"/>
                <w:lang w:val="es-MX"/>
              </w:rPr>
              <w:t xml:space="preserve">- </w:t>
            </w:r>
            <w:r w:rsidRPr="00E40013">
              <w:rPr>
                <w:sz w:val="20"/>
                <w:szCs w:val="20"/>
              </w:rPr>
              <w:t>FONDO UNICO DE TECNOLOGÍAS DE LA INFORMACIÓN Y LAS COMUNICACIONES – FUTIC.</w:t>
            </w:r>
            <w:r w:rsidRPr="00E40013">
              <w:rPr>
                <w:b w:val="0"/>
                <w:sz w:val="20"/>
                <w:szCs w:val="20"/>
              </w:rPr>
              <w:t xml:space="preserve"> El plan de mejoramiento presentó un porcentaje de avance del 78% y un porcentaje de cumplimiento del 99% debido a que 2 acciones no se cumplieron en un 100%. </w:t>
            </w:r>
          </w:p>
        </w:tc>
      </w:tr>
      <w:tr w:rsidR="00C17E6E" w:rsidRPr="00E40013" w14:paraId="5210ECBC" w14:textId="77777777" w:rsidTr="00217295">
        <w:trPr>
          <w:jc w:val="center"/>
        </w:trPr>
        <w:tc>
          <w:tcPr>
            <w:tcW w:w="304" w:type="dxa"/>
          </w:tcPr>
          <w:p w14:paraId="4CF89D69" w14:textId="77777777" w:rsidR="00C17E6E" w:rsidRPr="00E40013" w:rsidRDefault="00C17E6E" w:rsidP="00F1223B">
            <w:pPr>
              <w:tabs>
                <w:tab w:val="left" w:pos="1920"/>
              </w:tabs>
              <w:jc w:val="center"/>
              <w:rPr>
                <w:rFonts w:ascii="Arial" w:hAnsi="Arial" w:cs="Arial"/>
                <w:b/>
              </w:rPr>
            </w:pPr>
            <w:r w:rsidRPr="00E40013">
              <w:rPr>
                <w:rFonts w:ascii="Arial" w:hAnsi="Arial" w:cs="Arial"/>
                <w:b/>
              </w:rPr>
              <w:t>7</w:t>
            </w:r>
          </w:p>
        </w:tc>
        <w:tc>
          <w:tcPr>
            <w:tcW w:w="10307" w:type="dxa"/>
          </w:tcPr>
          <w:p w14:paraId="78BBA75F" w14:textId="77777777" w:rsidR="00C17E6E" w:rsidRPr="00E40013" w:rsidRDefault="00C17E6E" w:rsidP="00F1223B">
            <w:pPr>
              <w:jc w:val="both"/>
              <w:rPr>
                <w:rFonts w:eastAsia="Times New Roman" w:cs="Calibri"/>
              </w:rPr>
            </w:pPr>
            <w:r w:rsidRPr="00E40013">
              <w:rPr>
                <w:rFonts w:ascii="Arial" w:hAnsi="Arial" w:cs="Arial"/>
                <w:b/>
                <w:lang w:val="es-MX"/>
              </w:rPr>
              <w:t>CAJA DE SUELDOS DE RETIRO DE LA POLICIA NACIONAL – CASUR. A 31 de diciembre de 2024. s</w:t>
            </w:r>
            <w:r w:rsidRPr="00E40013">
              <w:t>e evidenció el incumplimiento dos (02) actividades vencidas correspondientes al hallazgo 19 de la auditoría financiera de 2022.</w:t>
            </w:r>
          </w:p>
        </w:tc>
      </w:tr>
      <w:tr w:rsidR="00C17E6E" w:rsidRPr="00E40013" w14:paraId="6EE38BB0" w14:textId="77777777" w:rsidTr="00217295">
        <w:trPr>
          <w:jc w:val="center"/>
        </w:trPr>
        <w:tc>
          <w:tcPr>
            <w:tcW w:w="304" w:type="dxa"/>
          </w:tcPr>
          <w:p w14:paraId="6E56C0A3" w14:textId="77777777" w:rsidR="00C17E6E" w:rsidRPr="00E40013" w:rsidRDefault="00C17E6E" w:rsidP="00F1223B">
            <w:pPr>
              <w:tabs>
                <w:tab w:val="left" w:pos="1920"/>
              </w:tabs>
              <w:jc w:val="center"/>
              <w:rPr>
                <w:rFonts w:ascii="Arial" w:hAnsi="Arial" w:cs="Arial"/>
                <w:b/>
              </w:rPr>
            </w:pPr>
            <w:r w:rsidRPr="00E40013">
              <w:rPr>
                <w:rFonts w:ascii="Arial" w:hAnsi="Arial" w:cs="Arial"/>
                <w:b/>
              </w:rPr>
              <w:t>8</w:t>
            </w:r>
          </w:p>
        </w:tc>
        <w:tc>
          <w:tcPr>
            <w:tcW w:w="10307" w:type="dxa"/>
          </w:tcPr>
          <w:p w14:paraId="11290CFA" w14:textId="77777777" w:rsidR="00C17E6E" w:rsidRPr="00E40013" w:rsidRDefault="00C17E6E" w:rsidP="00F1223B">
            <w:pPr>
              <w:jc w:val="both"/>
              <w:rPr>
                <w:rFonts w:ascii="Arial" w:hAnsi="Arial" w:cs="Arial"/>
                <w:lang w:val="es-MX"/>
              </w:rPr>
            </w:pPr>
            <w:r w:rsidRPr="00E40013">
              <w:rPr>
                <w:rFonts w:ascii="Arial" w:hAnsi="Arial" w:cs="Arial"/>
                <w:b/>
                <w:lang w:val="es-MX"/>
              </w:rPr>
              <w:t xml:space="preserve">RAMA JUDICIAL - CONSEJO SUPERIOR DE LA JUDICATURA. </w:t>
            </w:r>
            <w:r w:rsidRPr="00E40013">
              <w:rPr>
                <w:rFonts w:ascii="Arial" w:hAnsi="Arial" w:cs="Arial"/>
              </w:rPr>
              <w:t>Al final del ejercicio se determinó que fueron superadas 156 acciones de mejora, no superadas 71, reformuladas 70.</w:t>
            </w:r>
          </w:p>
        </w:tc>
      </w:tr>
      <w:tr w:rsidR="00C17E6E" w:rsidRPr="00E40013" w14:paraId="6FAA896C" w14:textId="77777777" w:rsidTr="00217295">
        <w:trPr>
          <w:jc w:val="center"/>
        </w:trPr>
        <w:tc>
          <w:tcPr>
            <w:tcW w:w="304" w:type="dxa"/>
          </w:tcPr>
          <w:p w14:paraId="2A72D9F9" w14:textId="77777777" w:rsidR="00C17E6E" w:rsidRPr="00E40013" w:rsidRDefault="00C17E6E" w:rsidP="00F1223B">
            <w:pPr>
              <w:tabs>
                <w:tab w:val="left" w:pos="1920"/>
              </w:tabs>
              <w:jc w:val="center"/>
              <w:rPr>
                <w:rFonts w:ascii="Arial" w:hAnsi="Arial" w:cs="Arial"/>
                <w:b/>
              </w:rPr>
            </w:pPr>
            <w:r w:rsidRPr="00E40013">
              <w:rPr>
                <w:rFonts w:ascii="Arial" w:hAnsi="Arial" w:cs="Arial"/>
                <w:b/>
              </w:rPr>
              <w:t>9</w:t>
            </w:r>
          </w:p>
        </w:tc>
        <w:tc>
          <w:tcPr>
            <w:tcW w:w="10307" w:type="dxa"/>
          </w:tcPr>
          <w:p w14:paraId="1320E2D4"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INSTITUTO NACIONAL PARA CIEGOS - </w:t>
            </w:r>
            <w:r w:rsidRPr="00E40013">
              <w:rPr>
                <w:rFonts w:ascii="Arial" w:hAnsi="Arial" w:cs="Arial"/>
              </w:rPr>
              <w:t>La Oficina de Control Interno adelantó el seguimiento al Plan de Mejoramiento suscrito con la Contraloría General de la República, para la vigencia 2024 con corte 31 de diciembre, donde se solicita reformular los hallazgos por considerar que las actividades no fueron efectivas. Uno de la vigencia 2013 y el otro de la vigencia 2021.</w:t>
            </w:r>
          </w:p>
        </w:tc>
      </w:tr>
      <w:tr w:rsidR="00C17E6E" w:rsidRPr="00E40013" w14:paraId="5DBF7F78" w14:textId="77777777" w:rsidTr="00217295">
        <w:trPr>
          <w:jc w:val="center"/>
        </w:trPr>
        <w:tc>
          <w:tcPr>
            <w:tcW w:w="304" w:type="dxa"/>
          </w:tcPr>
          <w:p w14:paraId="7C66ED17" w14:textId="77777777" w:rsidR="00C17E6E" w:rsidRPr="00E40013" w:rsidRDefault="00C17E6E" w:rsidP="00F1223B">
            <w:pPr>
              <w:tabs>
                <w:tab w:val="left" w:pos="1920"/>
              </w:tabs>
              <w:jc w:val="center"/>
              <w:rPr>
                <w:rFonts w:ascii="Arial" w:hAnsi="Arial" w:cs="Arial"/>
                <w:b/>
              </w:rPr>
            </w:pPr>
            <w:r w:rsidRPr="00E40013">
              <w:rPr>
                <w:rFonts w:ascii="Arial" w:hAnsi="Arial" w:cs="Arial"/>
                <w:b/>
              </w:rPr>
              <w:t>10</w:t>
            </w:r>
          </w:p>
        </w:tc>
        <w:tc>
          <w:tcPr>
            <w:tcW w:w="10307" w:type="dxa"/>
          </w:tcPr>
          <w:p w14:paraId="13A28B1C" w14:textId="77777777" w:rsidR="00C17E6E" w:rsidRPr="00E40013" w:rsidRDefault="00C17E6E" w:rsidP="00F1223B">
            <w:pPr>
              <w:jc w:val="both"/>
              <w:rPr>
                <w:rFonts w:ascii="Arial" w:hAnsi="Arial" w:cs="Arial"/>
                <w:b/>
                <w:lang w:val="es-MX"/>
              </w:rPr>
            </w:pPr>
            <w:r w:rsidRPr="00E40013">
              <w:rPr>
                <w:rFonts w:ascii="Arial" w:hAnsi="Arial" w:cs="Arial"/>
                <w:b/>
                <w:lang w:val="es-MX"/>
              </w:rPr>
              <w:t xml:space="preserve">UNIVERSIDAD MILITAR NUEVA GRANADA. </w:t>
            </w:r>
            <w:r w:rsidRPr="00E40013">
              <w:rPr>
                <w:rFonts w:ascii="Arial" w:hAnsi="Arial" w:cs="Arial"/>
                <w:lang w:val="es-MX"/>
              </w:rPr>
              <w:t>La Contraloría General de la República le informó a la Universidad que algunas actividades programadas no son suficientes para corregir los hallazgos detectados en las auditorías de las vigencias 2020 y 2021.</w:t>
            </w:r>
          </w:p>
        </w:tc>
      </w:tr>
      <w:tr w:rsidR="00C17E6E" w:rsidRPr="00E40013" w14:paraId="0B160B70" w14:textId="77777777" w:rsidTr="00217295">
        <w:trPr>
          <w:jc w:val="center"/>
        </w:trPr>
        <w:tc>
          <w:tcPr>
            <w:tcW w:w="304" w:type="dxa"/>
          </w:tcPr>
          <w:p w14:paraId="168A17AE" w14:textId="77777777" w:rsidR="00C17E6E" w:rsidRPr="00E40013" w:rsidRDefault="00C17E6E" w:rsidP="00F1223B">
            <w:pPr>
              <w:tabs>
                <w:tab w:val="left" w:pos="1920"/>
              </w:tabs>
              <w:jc w:val="center"/>
              <w:rPr>
                <w:rFonts w:ascii="Arial" w:hAnsi="Arial" w:cs="Arial"/>
                <w:b/>
              </w:rPr>
            </w:pPr>
            <w:r w:rsidRPr="00E40013">
              <w:rPr>
                <w:rFonts w:ascii="Arial" w:hAnsi="Arial" w:cs="Arial"/>
                <w:b/>
              </w:rPr>
              <w:t>11</w:t>
            </w:r>
          </w:p>
        </w:tc>
        <w:tc>
          <w:tcPr>
            <w:tcW w:w="10307" w:type="dxa"/>
          </w:tcPr>
          <w:p w14:paraId="4ABB3611" w14:textId="77777777" w:rsidR="00C17E6E" w:rsidRPr="00E40013" w:rsidRDefault="00C17E6E" w:rsidP="00F1223B">
            <w:pPr>
              <w:jc w:val="both"/>
              <w:rPr>
                <w:rFonts w:ascii="Arial" w:hAnsi="Arial" w:cs="Arial"/>
                <w:lang w:val="es-MX"/>
              </w:rPr>
            </w:pPr>
            <w:r w:rsidRPr="00E40013">
              <w:rPr>
                <w:rFonts w:ascii="Arial" w:hAnsi="Arial" w:cs="Arial"/>
                <w:b/>
                <w:lang w:val="es-MX"/>
              </w:rPr>
              <w:t xml:space="preserve">MINISTERIO DE AGRICULTURA Y DESARROLLO RURAL. </w:t>
            </w:r>
            <w:r w:rsidRPr="00E40013">
              <w:rPr>
                <w:rFonts w:ascii="Arial" w:hAnsi="Arial" w:cs="Arial"/>
              </w:rPr>
              <w:t xml:space="preserve">la Oficina de Control Interno realizó la evaluación de los planes de mejoramiento eficaces durante el periodo comprendido entre los meses de mayo del 2023 hasta del 30 de septiembre de 2024; diecisiete (17) de ellos obtuvieron Efectividad, </w:t>
            </w:r>
            <w:r w:rsidRPr="00E40013">
              <w:rPr>
                <w:rFonts w:ascii="Arial" w:hAnsi="Arial" w:cs="Arial"/>
                <w:u w:val="single"/>
              </w:rPr>
              <w:t>dos (2) obtuvieron No Efectividad, los cuales lo Procesos replantearon nuevo plan de mejoramiento.</w:t>
            </w:r>
          </w:p>
        </w:tc>
      </w:tr>
      <w:tr w:rsidR="00C17E6E" w:rsidRPr="00E40013" w14:paraId="068D73C2" w14:textId="77777777" w:rsidTr="00217295">
        <w:trPr>
          <w:jc w:val="center"/>
        </w:trPr>
        <w:tc>
          <w:tcPr>
            <w:tcW w:w="304" w:type="dxa"/>
          </w:tcPr>
          <w:p w14:paraId="67C17252" w14:textId="77777777" w:rsidR="00C17E6E" w:rsidRPr="00E40013" w:rsidRDefault="00C17E6E" w:rsidP="00F1223B">
            <w:pPr>
              <w:tabs>
                <w:tab w:val="left" w:pos="1920"/>
              </w:tabs>
              <w:jc w:val="center"/>
              <w:rPr>
                <w:rFonts w:ascii="Arial" w:hAnsi="Arial" w:cs="Arial"/>
                <w:b/>
              </w:rPr>
            </w:pPr>
            <w:r w:rsidRPr="00E40013">
              <w:rPr>
                <w:rFonts w:ascii="Arial" w:hAnsi="Arial" w:cs="Arial"/>
                <w:b/>
              </w:rPr>
              <w:t>12</w:t>
            </w:r>
          </w:p>
        </w:tc>
        <w:tc>
          <w:tcPr>
            <w:tcW w:w="10307" w:type="dxa"/>
          </w:tcPr>
          <w:p w14:paraId="034B9B32" w14:textId="15E0DCCB"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DEPARTAMENTO NACIONAL DE PLANEACION – DNP. </w:t>
            </w:r>
            <w:r w:rsidRPr="00E40013">
              <w:rPr>
                <w:rFonts w:ascii="Arial" w:hAnsi="Arial" w:cs="Arial"/>
              </w:rPr>
              <w:t xml:space="preserve">En ejercicio de autoevaluación el Grupo Pactos Territoriales, durante el periodo julio - septiembre de 2024, </w:t>
            </w:r>
            <w:r w:rsidRPr="00E40013">
              <w:rPr>
                <w:rFonts w:ascii="Arial" w:hAnsi="Arial" w:cs="Arial"/>
                <w:b/>
                <w:u w:val="single"/>
              </w:rPr>
              <w:t>reformuló</w:t>
            </w:r>
            <w:r w:rsidRPr="00E40013">
              <w:rPr>
                <w:rFonts w:ascii="Arial" w:hAnsi="Arial" w:cs="Arial"/>
              </w:rPr>
              <w:t xml:space="preserve"> la acción H1B del plan de mejoramiento de la “Auditoría de Cumplimiento Intersectorial Fondo Regional para los Pactos Territoriales - FRPT 2022 y a 30 de junio de 2023”, reformulación que fue aprobada por el </w:t>
            </w:r>
            <w:r w:rsidR="0008150C" w:rsidRPr="00E40013">
              <w:rPr>
                <w:rFonts w:ascii="Arial" w:hAnsi="Arial" w:cs="Arial"/>
              </w:rPr>
              <w:t>director general</w:t>
            </w:r>
            <w:r w:rsidRPr="00E40013">
              <w:rPr>
                <w:rFonts w:ascii="Arial" w:hAnsi="Arial" w:cs="Arial"/>
              </w:rPr>
              <w:t xml:space="preserve"> y para seguimiento de la Oficina de Control Interno – DNP. </w:t>
            </w:r>
          </w:p>
        </w:tc>
      </w:tr>
      <w:tr w:rsidR="00C17E6E" w:rsidRPr="00E40013" w14:paraId="4A13D9D8" w14:textId="77777777" w:rsidTr="00217295">
        <w:trPr>
          <w:jc w:val="center"/>
        </w:trPr>
        <w:tc>
          <w:tcPr>
            <w:tcW w:w="304" w:type="dxa"/>
          </w:tcPr>
          <w:p w14:paraId="7B9E7B7E" w14:textId="77777777" w:rsidR="00C17E6E" w:rsidRPr="00E40013" w:rsidRDefault="00C17E6E" w:rsidP="00F1223B">
            <w:pPr>
              <w:tabs>
                <w:tab w:val="left" w:pos="1920"/>
              </w:tabs>
              <w:jc w:val="center"/>
              <w:rPr>
                <w:rFonts w:ascii="Arial" w:hAnsi="Arial" w:cs="Arial"/>
                <w:b/>
              </w:rPr>
            </w:pPr>
            <w:r w:rsidRPr="00E40013">
              <w:rPr>
                <w:rFonts w:ascii="Arial" w:hAnsi="Arial" w:cs="Arial"/>
                <w:b/>
              </w:rPr>
              <w:t>13</w:t>
            </w:r>
          </w:p>
        </w:tc>
        <w:tc>
          <w:tcPr>
            <w:tcW w:w="10307" w:type="dxa"/>
          </w:tcPr>
          <w:p w14:paraId="09F49371" w14:textId="77777777" w:rsidR="00C17E6E" w:rsidRPr="00E40013" w:rsidRDefault="00C17E6E" w:rsidP="00F1223B">
            <w:pPr>
              <w:jc w:val="both"/>
              <w:rPr>
                <w:rFonts w:ascii="Arial" w:hAnsi="Arial" w:cs="Arial"/>
                <w:b/>
                <w:bCs/>
              </w:rPr>
            </w:pPr>
            <w:r w:rsidRPr="00E40013">
              <w:rPr>
                <w:rFonts w:ascii="Arial" w:hAnsi="Arial" w:cs="Arial"/>
                <w:b/>
                <w:lang w:val="es-MX"/>
              </w:rPr>
              <w:t xml:space="preserve">E.S.P. CENTRALES ELECTRICAS DE NARIÑO S.A. – CEDENAR. </w:t>
            </w:r>
          </w:p>
          <w:p w14:paraId="06C9185E" w14:textId="77777777" w:rsidR="00C17E6E" w:rsidRPr="00E40013" w:rsidRDefault="00C17E6E" w:rsidP="00F1223B">
            <w:pPr>
              <w:jc w:val="both"/>
              <w:rPr>
                <w:rFonts w:ascii="Arial" w:hAnsi="Arial" w:cs="Arial"/>
                <w:b/>
                <w:bCs/>
              </w:rPr>
            </w:pPr>
          </w:p>
          <w:p w14:paraId="6BB8781B" w14:textId="77777777" w:rsidR="00C17E6E" w:rsidRPr="00E40013" w:rsidRDefault="00C17E6E" w:rsidP="00F1223B">
            <w:pPr>
              <w:jc w:val="both"/>
              <w:rPr>
                <w:rFonts w:ascii="Arial" w:hAnsi="Arial" w:cs="Arial"/>
              </w:rPr>
            </w:pPr>
            <w:r w:rsidRPr="00E40013">
              <w:rPr>
                <w:rFonts w:ascii="Arial" w:hAnsi="Arial" w:cs="Arial"/>
                <w:b/>
                <w:bCs/>
              </w:rPr>
              <w:t xml:space="preserve">Acciones con Cumplimiento entre el 50% y el 90%. </w:t>
            </w:r>
            <w:r w:rsidRPr="00E40013">
              <w:rPr>
                <w:rFonts w:ascii="Arial" w:hAnsi="Arial" w:cs="Arial"/>
              </w:rPr>
              <w:t>Actualmente, se registran 6 acciones que se encuentran en proceso y presentan un avance significativo; sin embargo, aún queda trabajo por realizar para ejecutarlas completamente.</w:t>
            </w:r>
          </w:p>
          <w:p w14:paraId="1EE49939" w14:textId="77777777" w:rsidR="00C17E6E" w:rsidRPr="00E40013" w:rsidRDefault="00C17E6E" w:rsidP="00F1223B">
            <w:pPr>
              <w:jc w:val="both"/>
              <w:rPr>
                <w:rFonts w:ascii="Arial" w:hAnsi="Arial" w:cs="Arial"/>
              </w:rPr>
            </w:pPr>
          </w:p>
          <w:p w14:paraId="42D6EB76" w14:textId="77777777" w:rsidR="00C17E6E" w:rsidRPr="00E40013" w:rsidRDefault="00C17E6E" w:rsidP="00F1223B">
            <w:pPr>
              <w:jc w:val="both"/>
              <w:rPr>
                <w:rFonts w:ascii="Arial" w:hAnsi="Arial" w:cs="Arial"/>
                <w:lang w:val="es-MX"/>
              </w:rPr>
            </w:pPr>
            <w:r w:rsidRPr="00E40013">
              <w:rPr>
                <w:rFonts w:ascii="Arial" w:hAnsi="Arial" w:cs="Arial"/>
                <w:b/>
                <w:bCs/>
              </w:rPr>
              <w:t>Cumplimiento Insuficiente (0%)</w:t>
            </w:r>
            <w:r w:rsidRPr="00E40013">
              <w:rPr>
                <w:rFonts w:ascii="Arial" w:hAnsi="Arial" w:cs="Arial"/>
                <w:bCs/>
              </w:rPr>
              <w:t xml:space="preserve">. </w:t>
            </w:r>
            <w:r w:rsidRPr="00E40013">
              <w:rPr>
                <w:rFonts w:ascii="Arial" w:hAnsi="Arial" w:cs="Arial"/>
              </w:rPr>
              <w:t>Finalmente, respecto al hallazgo 6 que relaciona la ejecución de subsidios durante el periodo de transición por parte del Ministerio de Minas y Energía (MME), no se han registrado avances, porque el MME aún no ha realizado el giro de los subsidios. Esta situación afecta la posibilidad de desistir de acciones judiciales.</w:t>
            </w:r>
          </w:p>
        </w:tc>
      </w:tr>
      <w:tr w:rsidR="00C17E6E" w:rsidRPr="00E40013" w14:paraId="699F349F" w14:textId="77777777" w:rsidTr="00217295">
        <w:trPr>
          <w:jc w:val="center"/>
        </w:trPr>
        <w:tc>
          <w:tcPr>
            <w:tcW w:w="304" w:type="dxa"/>
          </w:tcPr>
          <w:p w14:paraId="76991459" w14:textId="77777777" w:rsidR="00C17E6E" w:rsidRPr="00E40013" w:rsidRDefault="00C17E6E" w:rsidP="00F1223B">
            <w:pPr>
              <w:tabs>
                <w:tab w:val="left" w:pos="1920"/>
              </w:tabs>
              <w:jc w:val="center"/>
              <w:rPr>
                <w:rFonts w:ascii="Arial" w:hAnsi="Arial" w:cs="Arial"/>
                <w:b/>
              </w:rPr>
            </w:pPr>
            <w:r w:rsidRPr="00E40013">
              <w:rPr>
                <w:rFonts w:ascii="Arial" w:hAnsi="Arial" w:cs="Arial"/>
                <w:b/>
              </w:rPr>
              <w:t>14</w:t>
            </w:r>
          </w:p>
        </w:tc>
        <w:tc>
          <w:tcPr>
            <w:tcW w:w="10307" w:type="dxa"/>
          </w:tcPr>
          <w:p w14:paraId="69AE9536" w14:textId="77777777" w:rsidR="00C17E6E" w:rsidRPr="00E40013" w:rsidRDefault="00C17E6E" w:rsidP="00F1223B">
            <w:pPr>
              <w:pStyle w:val="ecxmsonormal"/>
              <w:shd w:val="clear" w:color="auto" w:fill="FFFFFF"/>
              <w:spacing w:after="0"/>
              <w:ind w:right="33"/>
              <w:jc w:val="both"/>
              <w:rPr>
                <w:rFonts w:ascii="Arial" w:hAnsi="Arial" w:cs="Arial"/>
                <w:bCs/>
                <w:sz w:val="20"/>
                <w:szCs w:val="20"/>
              </w:rPr>
            </w:pPr>
            <w:r w:rsidRPr="00E40013">
              <w:rPr>
                <w:rFonts w:ascii="Arial" w:hAnsi="Arial" w:cs="Arial"/>
                <w:b/>
                <w:sz w:val="20"/>
                <w:szCs w:val="20"/>
              </w:rPr>
              <w:t xml:space="preserve">CORPORACIÓN NACIONAL PARA LA RECONSTRUCCIÒN DE LA CUENCA DEL RIO PAEZ Y ZONAS ALEDAÑAS - NASA KIWE. </w:t>
            </w:r>
            <w:r w:rsidRPr="00E40013">
              <w:rPr>
                <w:rFonts w:ascii="Arial" w:hAnsi="Arial" w:cs="Arial"/>
                <w:bCs/>
                <w:sz w:val="20"/>
                <w:szCs w:val="20"/>
              </w:rPr>
              <w:t>(…) Con corte a 31 de diciembre de 2024, la Oficina de Control Interno considera que los tres (3) hallazgos deben continuar dado que las actividades desarrolladas no garantizan su efectividad y la eliminación de las causas raíz de los hallazgos, por lo tanto, se determinó que no se pueden cerrar.</w:t>
            </w:r>
          </w:p>
        </w:tc>
      </w:tr>
      <w:tr w:rsidR="00C17E6E" w:rsidRPr="00E40013" w14:paraId="3F11DC59" w14:textId="77777777" w:rsidTr="00217295">
        <w:trPr>
          <w:jc w:val="center"/>
        </w:trPr>
        <w:tc>
          <w:tcPr>
            <w:tcW w:w="304" w:type="dxa"/>
          </w:tcPr>
          <w:p w14:paraId="1BB2A935" w14:textId="77777777" w:rsidR="00C17E6E" w:rsidRPr="00E40013" w:rsidRDefault="00C17E6E" w:rsidP="00F1223B">
            <w:pPr>
              <w:tabs>
                <w:tab w:val="left" w:pos="1920"/>
              </w:tabs>
              <w:jc w:val="center"/>
              <w:rPr>
                <w:rFonts w:ascii="Arial" w:hAnsi="Arial" w:cs="Arial"/>
                <w:b/>
              </w:rPr>
            </w:pPr>
            <w:r w:rsidRPr="00E40013">
              <w:rPr>
                <w:rFonts w:ascii="Arial" w:hAnsi="Arial" w:cs="Arial"/>
                <w:b/>
              </w:rPr>
              <w:t>15</w:t>
            </w:r>
          </w:p>
        </w:tc>
        <w:tc>
          <w:tcPr>
            <w:tcW w:w="10307" w:type="dxa"/>
          </w:tcPr>
          <w:p w14:paraId="301209E1" w14:textId="77777777" w:rsidR="00C17E6E" w:rsidRPr="00E40013" w:rsidRDefault="00C17E6E" w:rsidP="00F1223B">
            <w:pPr>
              <w:pStyle w:val="Ttulo1"/>
              <w:ind w:right="0"/>
              <w:jc w:val="both"/>
              <w:outlineLvl w:val="0"/>
              <w:rPr>
                <w:b w:val="0"/>
                <w:bCs w:val="0"/>
                <w:sz w:val="20"/>
                <w:szCs w:val="20"/>
              </w:rPr>
            </w:pPr>
            <w:bookmarkStart w:id="73" w:name="_Hlk198641600"/>
            <w:r w:rsidRPr="00E40013">
              <w:rPr>
                <w:sz w:val="20"/>
                <w:szCs w:val="20"/>
                <w:lang w:val="es-MX"/>
              </w:rPr>
              <w:t>DEPARTAMENTO ADMINISTRATIVO PARA LA PROSPERIDAD SOCIAL - DPS.</w:t>
            </w:r>
            <w:r w:rsidRPr="00E40013">
              <w:rPr>
                <w:b w:val="0"/>
                <w:sz w:val="20"/>
                <w:szCs w:val="20"/>
                <w:lang w:val="es-MX"/>
              </w:rPr>
              <w:t xml:space="preserve"> </w:t>
            </w:r>
            <w:r w:rsidRPr="00E40013">
              <w:rPr>
                <w:sz w:val="20"/>
                <w:szCs w:val="20"/>
              </w:rPr>
              <w:t xml:space="preserve">Conclusión: </w:t>
            </w:r>
            <w:r w:rsidRPr="00E40013">
              <w:rPr>
                <w:b w:val="0"/>
                <w:bCs w:val="0"/>
                <w:sz w:val="20"/>
                <w:szCs w:val="20"/>
              </w:rPr>
              <w:t>La Oficina de Control Interno realizó seguimiento y valoración de efectividad a las acciones del Plan de Mejoramiento con relación a las causas de los hallazgos, dando como resultado una efectividad del 6.74%, de este modo permanece el riesgo de que las causas de los hallazgos continúen y, en consecuencia, la posibilidad de que se reiteren en futuras actuaciones por parte del ente de control.</w:t>
            </w:r>
            <w:bookmarkEnd w:id="73"/>
          </w:p>
        </w:tc>
      </w:tr>
      <w:tr w:rsidR="00C17E6E" w:rsidRPr="00E40013" w14:paraId="0908743E" w14:textId="77777777" w:rsidTr="00217295">
        <w:trPr>
          <w:jc w:val="center"/>
        </w:trPr>
        <w:tc>
          <w:tcPr>
            <w:tcW w:w="304" w:type="dxa"/>
          </w:tcPr>
          <w:p w14:paraId="2B3F137B" w14:textId="77777777" w:rsidR="00C17E6E" w:rsidRPr="00E40013" w:rsidRDefault="00C17E6E" w:rsidP="00F1223B">
            <w:pPr>
              <w:tabs>
                <w:tab w:val="left" w:pos="1920"/>
              </w:tabs>
              <w:jc w:val="center"/>
              <w:rPr>
                <w:rFonts w:ascii="Arial" w:hAnsi="Arial" w:cs="Arial"/>
                <w:b/>
              </w:rPr>
            </w:pPr>
            <w:r w:rsidRPr="00E40013">
              <w:rPr>
                <w:rFonts w:ascii="Arial" w:hAnsi="Arial" w:cs="Arial"/>
                <w:b/>
              </w:rPr>
              <w:t>16</w:t>
            </w:r>
          </w:p>
        </w:tc>
        <w:tc>
          <w:tcPr>
            <w:tcW w:w="10307" w:type="dxa"/>
          </w:tcPr>
          <w:p w14:paraId="2DDB24A9" w14:textId="77777777" w:rsidR="00C17E6E" w:rsidRPr="00E40013" w:rsidRDefault="00C17E6E" w:rsidP="00F1223B">
            <w:pPr>
              <w:jc w:val="both"/>
              <w:rPr>
                <w:rFonts w:ascii="Arial" w:eastAsia="Calibri" w:hAnsi="Arial" w:cs="Arial"/>
                <w:b/>
                <w:lang w:val="es-CO"/>
              </w:rPr>
            </w:pPr>
            <w:r w:rsidRPr="00E40013">
              <w:rPr>
                <w:rFonts w:ascii="Arial" w:eastAsia="Calibri" w:hAnsi="Arial" w:cs="Arial"/>
                <w:b/>
                <w:lang w:val="es-CO"/>
              </w:rPr>
              <w:t xml:space="preserve">SOCIEDAD DE TELEVISIÓN DE CALDAS, RISARALDA Y QUINDÍO LTDA. - TELECAFÉ LTDA. </w:t>
            </w:r>
          </w:p>
          <w:p w14:paraId="4B1A2C1A" w14:textId="77777777" w:rsidR="00C17E6E" w:rsidRPr="00E40013" w:rsidRDefault="00C17E6E" w:rsidP="00F1223B">
            <w:pPr>
              <w:jc w:val="both"/>
              <w:rPr>
                <w:rFonts w:ascii="Arial" w:eastAsia="Calibri" w:hAnsi="Arial" w:cs="Arial"/>
                <w:b/>
                <w:lang w:val="es-CO"/>
              </w:rPr>
            </w:pPr>
          </w:p>
          <w:p w14:paraId="461AD0F0" w14:textId="77777777" w:rsidR="00C17E6E" w:rsidRPr="00E40013" w:rsidRDefault="00C17E6E" w:rsidP="00F1223B">
            <w:pPr>
              <w:widowControl/>
              <w:autoSpaceDE/>
              <w:autoSpaceDN/>
              <w:jc w:val="both"/>
              <w:rPr>
                <w:rFonts w:ascii="Arial" w:eastAsia="Calibri" w:hAnsi="Arial" w:cs="Arial"/>
                <w:lang w:val="es-CO"/>
              </w:rPr>
            </w:pPr>
            <w:r w:rsidRPr="00E40013">
              <w:rPr>
                <w:rFonts w:ascii="Arial" w:eastAsia="Calibri" w:hAnsi="Arial" w:cs="Arial"/>
                <w:lang w:val="es-CO"/>
              </w:rPr>
              <w:t>A continuación, el resumen de la calificación sobre el cumplimiento final del plan de mejoramiento correspondiente a informe de la Contraloría General de la República de la vigencia 2021</w:t>
            </w:r>
          </w:p>
          <w:p w14:paraId="0DCE6BD2" w14:textId="77777777" w:rsidR="00C17E6E" w:rsidRPr="00E40013" w:rsidRDefault="00C17E6E" w:rsidP="00F1223B">
            <w:pPr>
              <w:widowControl/>
              <w:autoSpaceDE/>
              <w:autoSpaceDN/>
              <w:jc w:val="both"/>
              <w:rPr>
                <w:rFonts w:ascii="Arial" w:eastAsia="Calibri" w:hAnsi="Arial" w:cs="Arial"/>
                <w:sz w:val="24"/>
                <w:szCs w:val="24"/>
                <w:lang w:val="es-CO"/>
              </w:rPr>
            </w:pPr>
          </w:p>
          <w:tbl>
            <w:tblPr>
              <w:tblStyle w:val="TableGrid"/>
              <w:tblW w:w="6992" w:type="dxa"/>
              <w:tblInd w:w="1618" w:type="dxa"/>
              <w:tblCellMar>
                <w:top w:w="35" w:type="dxa"/>
                <w:left w:w="115" w:type="dxa"/>
                <w:bottom w:w="50" w:type="dxa"/>
                <w:right w:w="113" w:type="dxa"/>
              </w:tblCellMar>
              <w:tblLook w:val="04A0" w:firstRow="1" w:lastRow="0" w:firstColumn="1" w:lastColumn="0" w:noHBand="0" w:noVBand="1"/>
            </w:tblPr>
            <w:tblGrid>
              <w:gridCol w:w="3707"/>
              <w:gridCol w:w="1414"/>
              <w:gridCol w:w="1871"/>
            </w:tblGrid>
            <w:tr w:rsidR="00C17E6E" w:rsidRPr="00E40013" w14:paraId="7EB4B5EF" w14:textId="77777777" w:rsidTr="00F1223B">
              <w:trPr>
                <w:trHeight w:val="230"/>
              </w:trPr>
              <w:tc>
                <w:tcPr>
                  <w:tcW w:w="3707" w:type="dxa"/>
                  <w:vMerge w:val="restart"/>
                  <w:tcBorders>
                    <w:top w:val="single" w:sz="2" w:space="0" w:color="000000"/>
                    <w:left w:val="single" w:sz="2" w:space="0" w:color="000000"/>
                    <w:bottom w:val="single" w:sz="2" w:space="0" w:color="000000"/>
                    <w:right w:val="single" w:sz="2" w:space="0" w:color="000000"/>
                  </w:tcBorders>
                  <w:vAlign w:val="center"/>
                </w:tcPr>
                <w:p w14:paraId="430B0898" w14:textId="77777777" w:rsidR="00C17E6E" w:rsidRPr="00E40013" w:rsidRDefault="00C17E6E" w:rsidP="00F1223B">
                  <w:pPr>
                    <w:widowControl/>
                    <w:autoSpaceDE/>
                    <w:autoSpaceDN/>
                    <w:spacing w:line="259" w:lineRule="auto"/>
                    <w:ind w:right="4"/>
                    <w:jc w:val="center"/>
                    <w:rPr>
                      <w:rFonts w:ascii="Arial" w:eastAsia="Calibri" w:hAnsi="Arial" w:cs="Arial"/>
                      <w:b/>
                      <w:bCs/>
                      <w:sz w:val="26"/>
                      <w:lang w:val="es-CO"/>
                    </w:rPr>
                  </w:pPr>
                  <w:r w:rsidRPr="00E40013">
                    <w:rPr>
                      <w:rFonts w:ascii="Arial" w:eastAsia="Calibri" w:hAnsi="Arial" w:cs="Arial"/>
                      <w:b/>
                      <w:bCs/>
                      <w:lang w:val="es-CO"/>
                    </w:rPr>
                    <w:t>CONCEPTO</w:t>
                  </w:r>
                </w:p>
              </w:tc>
              <w:tc>
                <w:tcPr>
                  <w:tcW w:w="3285" w:type="dxa"/>
                  <w:gridSpan w:val="2"/>
                  <w:tcBorders>
                    <w:top w:val="single" w:sz="2" w:space="0" w:color="000000"/>
                    <w:left w:val="single" w:sz="2" w:space="0" w:color="000000"/>
                    <w:bottom w:val="single" w:sz="2" w:space="0" w:color="000000"/>
                    <w:right w:val="single" w:sz="2" w:space="0" w:color="000000"/>
                  </w:tcBorders>
                </w:tcPr>
                <w:p w14:paraId="195576A1" w14:textId="77777777" w:rsidR="00C17E6E" w:rsidRPr="00E40013" w:rsidRDefault="00C17E6E" w:rsidP="00F1223B">
                  <w:pPr>
                    <w:widowControl/>
                    <w:autoSpaceDE/>
                    <w:autoSpaceDN/>
                    <w:spacing w:line="259" w:lineRule="auto"/>
                    <w:ind w:right="12"/>
                    <w:jc w:val="center"/>
                    <w:rPr>
                      <w:rFonts w:ascii="Arial" w:eastAsia="Calibri" w:hAnsi="Arial" w:cs="Arial"/>
                      <w:b/>
                      <w:bCs/>
                      <w:sz w:val="26"/>
                      <w:lang w:val="es-CO"/>
                    </w:rPr>
                  </w:pPr>
                  <w:r w:rsidRPr="00E40013">
                    <w:rPr>
                      <w:rFonts w:ascii="Arial" w:eastAsia="Calibri" w:hAnsi="Arial" w:cs="Arial"/>
                      <w:b/>
                      <w:bCs/>
                      <w:lang w:val="es-CO"/>
                    </w:rPr>
                    <w:t>Calificación</w:t>
                  </w:r>
                </w:p>
              </w:tc>
            </w:tr>
            <w:tr w:rsidR="00C17E6E" w:rsidRPr="00E40013" w14:paraId="7569DAAA" w14:textId="77777777" w:rsidTr="00F1223B">
              <w:trPr>
                <w:trHeight w:val="181"/>
              </w:trPr>
              <w:tc>
                <w:tcPr>
                  <w:tcW w:w="0" w:type="auto"/>
                  <w:vMerge/>
                  <w:tcBorders>
                    <w:top w:val="nil"/>
                    <w:left w:val="single" w:sz="2" w:space="0" w:color="000000"/>
                    <w:bottom w:val="single" w:sz="2" w:space="0" w:color="000000"/>
                    <w:right w:val="single" w:sz="2" w:space="0" w:color="000000"/>
                  </w:tcBorders>
                </w:tcPr>
                <w:p w14:paraId="75B47B8C" w14:textId="77777777" w:rsidR="00C17E6E" w:rsidRPr="00E40013" w:rsidRDefault="00C17E6E" w:rsidP="00F1223B">
                  <w:pPr>
                    <w:widowControl/>
                    <w:autoSpaceDE/>
                    <w:autoSpaceDN/>
                    <w:spacing w:after="160" w:line="259" w:lineRule="auto"/>
                    <w:rPr>
                      <w:rFonts w:ascii="Arial" w:eastAsia="Calibri" w:hAnsi="Arial" w:cs="Arial"/>
                      <w:sz w:val="26"/>
                      <w:lang w:val="es-CO"/>
                    </w:rPr>
                  </w:pPr>
                </w:p>
              </w:tc>
              <w:tc>
                <w:tcPr>
                  <w:tcW w:w="1414" w:type="dxa"/>
                  <w:tcBorders>
                    <w:top w:val="single" w:sz="2" w:space="0" w:color="000000"/>
                    <w:left w:val="single" w:sz="2" w:space="0" w:color="000000"/>
                    <w:bottom w:val="single" w:sz="2" w:space="0" w:color="000000"/>
                    <w:right w:val="single" w:sz="2" w:space="0" w:color="000000"/>
                  </w:tcBorders>
                </w:tcPr>
                <w:p w14:paraId="27F48F17" w14:textId="77777777" w:rsidR="00C17E6E" w:rsidRPr="00E40013" w:rsidRDefault="00C17E6E" w:rsidP="00F1223B">
                  <w:pPr>
                    <w:widowControl/>
                    <w:autoSpaceDE/>
                    <w:autoSpaceDN/>
                    <w:spacing w:line="259" w:lineRule="auto"/>
                    <w:ind w:right="19"/>
                    <w:jc w:val="center"/>
                    <w:rPr>
                      <w:rFonts w:ascii="Arial" w:eastAsia="Calibri" w:hAnsi="Arial" w:cs="Arial"/>
                      <w:b/>
                      <w:bCs/>
                      <w:sz w:val="26"/>
                      <w:lang w:val="es-CO"/>
                    </w:rPr>
                  </w:pPr>
                  <w:r w:rsidRPr="00E40013">
                    <w:rPr>
                      <w:rFonts w:ascii="Arial" w:eastAsia="Calibri" w:hAnsi="Arial" w:cs="Arial"/>
                      <w:b/>
                      <w:bCs/>
                      <w:lang w:val="es-CO"/>
                    </w:rPr>
                    <w:t>Eficacia</w:t>
                  </w:r>
                </w:p>
              </w:tc>
              <w:tc>
                <w:tcPr>
                  <w:tcW w:w="1871" w:type="dxa"/>
                  <w:tcBorders>
                    <w:top w:val="single" w:sz="2" w:space="0" w:color="000000"/>
                    <w:left w:val="single" w:sz="2" w:space="0" w:color="000000"/>
                    <w:bottom w:val="single" w:sz="2" w:space="0" w:color="000000"/>
                    <w:right w:val="single" w:sz="2" w:space="0" w:color="000000"/>
                  </w:tcBorders>
                </w:tcPr>
                <w:p w14:paraId="6C22281D" w14:textId="77777777" w:rsidR="00C17E6E" w:rsidRPr="00E40013" w:rsidRDefault="00C17E6E" w:rsidP="00F1223B">
                  <w:pPr>
                    <w:widowControl/>
                    <w:autoSpaceDE/>
                    <w:autoSpaceDN/>
                    <w:spacing w:line="259" w:lineRule="auto"/>
                    <w:ind w:right="26"/>
                    <w:jc w:val="center"/>
                    <w:rPr>
                      <w:rFonts w:ascii="Arial" w:eastAsia="Calibri" w:hAnsi="Arial" w:cs="Arial"/>
                      <w:b/>
                      <w:bCs/>
                      <w:sz w:val="26"/>
                      <w:lang w:val="es-CO"/>
                    </w:rPr>
                  </w:pPr>
                  <w:r w:rsidRPr="00E40013">
                    <w:rPr>
                      <w:rFonts w:ascii="Arial" w:eastAsia="Calibri" w:hAnsi="Arial" w:cs="Arial"/>
                      <w:b/>
                      <w:bCs/>
                      <w:lang w:val="es-CO"/>
                    </w:rPr>
                    <w:t>Efectividad</w:t>
                  </w:r>
                </w:p>
              </w:tc>
            </w:tr>
            <w:tr w:rsidR="00C17E6E" w:rsidRPr="00E40013" w14:paraId="1F4E9947" w14:textId="77777777" w:rsidTr="00F1223B">
              <w:trPr>
                <w:trHeight w:val="181"/>
              </w:trPr>
              <w:tc>
                <w:tcPr>
                  <w:tcW w:w="3707" w:type="dxa"/>
                  <w:tcBorders>
                    <w:top w:val="single" w:sz="2" w:space="0" w:color="000000"/>
                    <w:left w:val="single" w:sz="2" w:space="0" w:color="000000"/>
                    <w:bottom w:val="single" w:sz="2" w:space="0" w:color="000000"/>
                    <w:right w:val="single" w:sz="2" w:space="0" w:color="000000"/>
                  </w:tcBorders>
                </w:tcPr>
                <w:p w14:paraId="78F6AEF4" w14:textId="77777777" w:rsidR="00C17E6E" w:rsidRPr="00E40013" w:rsidRDefault="00C17E6E" w:rsidP="00F1223B">
                  <w:pPr>
                    <w:widowControl/>
                    <w:autoSpaceDE/>
                    <w:autoSpaceDN/>
                    <w:spacing w:line="259" w:lineRule="auto"/>
                    <w:ind w:right="4"/>
                    <w:jc w:val="center"/>
                    <w:rPr>
                      <w:rFonts w:ascii="Arial" w:eastAsia="Calibri" w:hAnsi="Arial" w:cs="Arial"/>
                      <w:sz w:val="26"/>
                      <w:lang w:val="es-CO"/>
                    </w:rPr>
                  </w:pPr>
                  <w:r w:rsidRPr="00E40013">
                    <w:rPr>
                      <w:rFonts w:ascii="Arial" w:eastAsia="Calibri" w:hAnsi="Arial" w:cs="Arial"/>
                      <w:lang w:val="es-CO"/>
                    </w:rPr>
                    <w:t>TOTAL, ACCIONES</w:t>
                  </w:r>
                </w:p>
              </w:tc>
              <w:tc>
                <w:tcPr>
                  <w:tcW w:w="1414" w:type="dxa"/>
                  <w:tcBorders>
                    <w:top w:val="single" w:sz="2" w:space="0" w:color="000000"/>
                    <w:left w:val="single" w:sz="2" w:space="0" w:color="000000"/>
                    <w:bottom w:val="single" w:sz="2" w:space="0" w:color="000000"/>
                    <w:right w:val="single" w:sz="2" w:space="0" w:color="000000"/>
                  </w:tcBorders>
                </w:tcPr>
                <w:p w14:paraId="2AA2C8F1" w14:textId="77777777" w:rsidR="00C17E6E" w:rsidRPr="00E40013" w:rsidRDefault="00C17E6E" w:rsidP="00F1223B">
                  <w:pPr>
                    <w:widowControl/>
                    <w:autoSpaceDE/>
                    <w:autoSpaceDN/>
                    <w:spacing w:line="259" w:lineRule="auto"/>
                    <w:ind w:right="7"/>
                    <w:jc w:val="right"/>
                    <w:rPr>
                      <w:rFonts w:ascii="Arial" w:eastAsia="Calibri" w:hAnsi="Arial" w:cs="Arial"/>
                      <w:sz w:val="26"/>
                      <w:lang w:val="es-CO"/>
                    </w:rPr>
                  </w:pPr>
                  <w:r w:rsidRPr="00E40013">
                    <w:rPr>
                      <w:rFonts w:ascii="Arial" w:eastAsia="Calibri" w:hAnsi="Arial" w:cs="Arial"/>
                      <w:sz w:val="18"/>
                      <w:lang w:val="es-CO"/>
                    </w:rPr>
                    <w:t>16</w:t>
                  </w:r>
                </w:p>
              </w:tc>
              <w:tc>
                <w:tcPr>
                  <w:tcW w:w="1871" w:type="dxa"/>
                  <w:tcBorders>
                    <w:top w:val="single" w:sz="2" w:space="0" w:color="000000"/>
                    <w:left w:val="single" w:sz="2" w:space="0" w:color="000000"/>
                    <w:bottom w:val="single" w:sz="2" w:space="0" w:color="000000"/>
                    <w:right w:val="single" w:sz="2" w:space="0" w:color="000000"/>
                  </w:tcBorders>
                </w:tcPr>
                <w:p w14:paraId="42039A98" w14:textId="77777777" w:rsidR="00C17E6E" w:rsidRPr="00E40013" w:rsidRDefault="00C17E6E" w:rsidP="00F1223B">
                  <w:pPr>
                    <w:widowControl/>
                    <w:autoSpaceDE/>
                    <w:autoSpaceDN/>
                    <w:spacing w:line="259" w:lineRule="auto"/>
                    <w:jc w:val="right"/>
                    <w:rPr>
                      <w:rFonts w:ascii="Arial" w:eastAsia="Calibri" w:hAnsi="Arial" w:cs="Arial"/>
                      <w:sz w:val="26"/>
                      <w:lang w:val="es-CO"/>
                    </w:rPr>
                  </w:pPr>
                  <w:r w:rsidRPr="00E40013">
                    <w:rPr>
                      <w:rFonts w:ascii="Arial" w:eastAsia="Calibri" w:hAnsi="Arial" w:cs="Arial"/>
                      <w:sz w:val="20"/>
                      <w:lang w:val="es-CO"/>
                    </w:rPr>
                    <w:t>16</w:t>
                  </w:r>
                </w:p>
              </w:tc>
            </w:tr>
            <w:tr w:rsidR="00C17E6E" w:rsidRPr="00E40013" w14:paraId="442B3A92" w14:textId="77777777" w:rsidTr="00F1223B">
              <w:trPr>
                <w:trHeight w:val="299"/>
              </w:trPr>
              <w:tc>
                <w:tcPr>
                  <w:tcW w:w="3707" w:type="dxa"/>
                  <w:tcBorders>
                    <w:top w:val="single" w:sz="2" w:space="0" w:color="000000"/>
                    <w:left w:val="single" w:sz="2" w:space="0" w:color="000000"/>
                    <w:bottom w:val="single" w:sz="2" w:space="0" w:color="000000"/>
                    <w:right w:val="single" w:sz="2" w:space="0" w:color="000000"/>
                  </w:tcBorders>
                </w:tcPr>
                <w:p w14:paraId="255B0D64" w14:textId="77777777" w:rsidR="00C17E6E" w:rsidRPr="00E40013" w:rsidRDefault="00C17E6E" w:rsidP="00F1223B">
                  <w:pPr>
                    <w:widowControl/>
                    <w:autoSpaceDE/>
                    <w:autoSpaceDN/>
                    <w:spacing w:line="259" w:lineRule="auto"/>
                    <w:jc w:val="center"/>
                    <w:rPr>
                      <w:rFonts w:ascii="Arial" w:eastAsia="Calibri" w:hAnsi="Arial" w:cs="Arial"/>
                      <w:sz w:val="26"/>
                      <w:lang w:val="es-CO"/>
                    </w:rPr>
                  </w:pPr>
                  <w:r w:rsidRPr="00E40013">
                    <w:rPr>
                      <w:rFonts w:ascii="Arial" w:eastAsia="Calibri" w:hAnsi="Arial" w:cs="Arial"/>
                      <w:lang w:val="es-CO"/>
                    </w:rPr>
                    <w:t>Total, acciones eficaces y efectivas</w:t>
                  </w:r>
                </w:p>
              </w:tc>
              <w:tc>
                <w:tcPr>
                  <w:tcW w:w="1414" w:type="dxa"/>
                  <w:tcBorders>
                    <w:top w:val="single" w:sz="2" w:space="0" w:color="000000"/>
                    <w:left w:val="single" w:sz="2" w:space="0" w:color="000000"/>
                    <w:bottom w:val="single" w:sz="2" w:space="0" w:color="000000"/>
                    <w:right w:val="single" w:sz="2" w:space="0" w:color="000000"/>
                  </w:tcBorders>
                  <w:vAlign w:val="bottom"/>
                </w:tcPr>
                <w:p w14:paraId="311D6B94" w14:textId="77777777" w:rsidR="00C17E6E" w:rsidRPr="00E40013" w:rsidRDefault="00C17E6E" w:rsidP="00F1223B">
                  <w:pPr>
                    <w:widowControl/>
                    <w:autoSpaceDE/>
                    <w:autoSpaceDN/>
                    <w:spacing w:line="259" w:lineRule="auto"/>
                    <w:ind w:right="7"/>
                    <w:jc w:val="right"/>
                    <w:rPr>
                      <w:rFonts w:ascii="Arial" w:eastAsia="Calibri" w:hAnsi="Arial" w:cs="Arial"/>
                      <w:sz w:val="26"/>
                      <w:lang w:val="es-CO"/>
                    </w:rPr>
                  </w:pPr>
                  <w:r w:rsidRPr="00E40013">
                    <w:rPr>
                      <w:rFonts w:ascii="Arial" w:eastAsia="Calibri" w:hAnsi="Arial" w:cs="Arial"/>
                      <w:sz w:val="20"/>
                      <w:lang w:val="es-CO"/>
                    </w:rPr>
                    <w:t>15</w:t>
                  </w:r>
                </w:p>
              </w:tc>
              <w:tc>
                <w:tcPr>
                  <w:tcW w:w="1871" w:type="dxa"/>
                  <w:tcBorders>
                    <w:top w:val="single" w:sz="2" w:space="0" w:color="000000"/>
                    <w:left w:val="single" w:sz="2" w:space="0" w:color="000000"/>
                    <w:bottom w:val="single" w:sz="2" w:space="0" w:color="000000"/>
                    <w:right w:val="single" w:sz="2" w:space="0" w:color="000000"/>
                  </w:tcBorders>
                  <w:vAlign w:val="bottom"/>
                </w:tcPr>
                <w:p w14:paraId="50B4D3B9" w14:textId="77777777" w:rsidR="00C17E6E" w:rsidRPr="00E40013" w:rsidRDefault="00C17E6E" w:rsidP="00F1223B">
                  <w:pPr>
                    <w:widowControl/>
                    <w:autoSpaceDE/>
                    <w:autoSpaceDN/>
                    <w:spacing w:line="259" w:lineRule="auto"/>
                    <w:jc w:val="right"/>
                    <w:rPr>
                      <w:rFonts w:ascii="Arial" w:eastAsia="Calibri" w:hAnsi="Arial" w:cs="Arial"/>
                      <w:sz w:val="26"/>
                      <w:lang w:val="es-CO"/>
                    </w:rPr>
                  </w:pPr>
                  <w:r w:rsidRPr="00E40013">
                    <w:rPr>
                      <w:rFonts w:ascii="Arial" w:eastAsia="Calibri" w:hAnsi="Arial" w:cs="Arial"/>
                      <w:lang w:val="es-CO"/>
                    </w:rPr>
                    <w:t>11</w:t>
                  </w:r>
                </w:p>
              </w:tc>
            </w:tr>
            <w:tr w:rsidR="00C17E6E" w:rsidRPr="00E40013" w14:paraId="41DF6A14" w14:textId="77777777" w:rsidTr="00F1223B">
              <w:trPr>
                <w:trHeight w:val="185"/>
              </w:trPr>
              <w:tc>
                <w:tcPr>
                  <w:tcW w:w="3707" w:type="dxa"/>
                  <w:tcBorders>
                    <w:top w:val="single" w:sz="2" w:space="0" w:color="000000"/>
                    <w:left w:val="single" w:sz="2" w:space="0" w:color="000000"/>
                    <w:bottom w:val="single" w:sz="2" w:space="0" w:color="000000"/>
                    <w:right w:val="single" w:sz="2" w:space="0" w:color="000000"/>
                  </w:tcBorders>
                </w:tcPr>
                <w:p w14:paraId="4972CF20" w14:textId="77777777" w:rsidR="00C17E6E" w:rsidRPr="00E40013" w:rsidRDefault="00C17E6E" w:rsidP="00F1223B">
                  <w:pPr>
                    <w:widowControl/>
                    <w:autoSpaceDE/>
                    <w:autoSpaceDN/>
                    <w:spacing w:line="259" w:lineRule="auto"/>
                    <w:ind w:right="19"/>
                    <w:jc w:val="center"/>
                    <w:rPr>
                      <w:rFonts w:ascii="Arial" w:eastAsia="Calibri" w:hAnsi="Arial" w:cs="Arial"/>
                      <w:b/>
                      <w:bCs/>
                      <w:lang w:val="es-CO"/>
                    </w:rPr>
                  </w:pPr>
                  <w:r w:rsidRPr="00E40013">
                    <w:rPr>
                      <w:rFonts w:ascii="Arial" w:eastAsia="Calibri" w:hAnsi="Arial" w:cs="Arial"/>
                      <w:b/>
                      <w:bCs/>
                      <w:lang w:val="es-CO"/>
                    </w:rPr>
                    <w:t>Valor porcentual</w:t>
                  </w:r>
                </w:p>
              </w:tc>
              <w:tc>
                <w:tcPr>
                  <w:tcW w:w="1414" w:type="dxa"/>
                  <w:tcBorders>
                    <w:top w:val="single" w:sz="2" w:space="0" w:color="000000"/>
                    <w:left w:val="single" w:sz="2" w:space="0" w:color="000000"/>
                    <w:bottom w:val="single" w:sz="2" w:space="0" w:color="000000"/>
                    <w:right w:val="single" w:sz="2" w:space="0" w:color="000000"/>
                  </w:tcBorders>
                </w:tcPr>
                <w:p w14:paraId="5480E188" w14:textId="77777777" w:rsidR="00C17E6E" w:rsidRPr="00E40013" w:rsidRDefault="00C17E6E" w:rsidP="00F1223B">
                  <w:pPr>
                    <w:widowControl/>
                    <w:autoSpaceDE/>
                    <w:autoSpaceDN/>
                    <w:spacing w:line="259" w:lineRule="auto"/>
                    <w:jc w:val="right"/>
                    <w:rPr>
                      <w:rFonts w:ascii="Arial" w:eastAsia="Calibri" w:hAnsi="Arial" w:cs="Arial"/>
                      <w:b/>
                      <w:bCs/>
                      <w:lang w:val="es-CO"/>
                    </w:rPr>
                  </w:pPr>
                  <w:r w:rsidRPr="00E40013">
                    <w:rPr>
                      <w:rFonts w:ascii="Arial" w:eastAsia="Calibri" w:hAnsi="Arial" w:cs="Arial"/>
                      <w:b/>
                      <w:bCs/>
                      <w:lang w:val="es-CO"/>
                    </w:rPr>
                    <w:t>94%</w:t>
                  </w:r>
                </w:p>
              </w:tc>
              <w:tc>
                <w:tcPr>
                  <w:tcW w:w="1871" w:type="dxa"/>
                  <w:tcBorders>
                    <w:top w:val="single" w:sz="2" w:space="0" w:color="000000"/>
                    <w:left w:val="single" w:sz="2" w:space="0" w:color="000000"/>
                    <w:bottom w:val="single" w:sz="2" w:space="0" w:color="000000"/>
                    <w:right w:val="single" w:sz="2" w:space="0" w:color="000000"/>
                  </w:tcBorders>
                </w:tcPr>
                <w:p w14:paraId="6F58EF40" w14:textId="77777777" w:rsidR="00C17E6E" w:rsidRPr="00E40013" w:rsidRDefault="00C17E6E" w:rsidP="00F1223B">
                  <w:pPr>
                    <w:widowControl/>
                    <w:autoSpaceDE/>
                    <w:autoSpaceDN/>
                    <w:spacing w:line="259" w:lineRule="auto"/>
                    <w:jc w:val="right"/>
                    <w:rPr>
                      <w:rFonts w:ascii="Arial" w:eastAsia="Calibri" w:hAnsi="Arial" w:cs="Arial"/>
                      <w:b/>
                      <w:bCs/>
                      <w:lang w:val="es-CO"/>
                    </w:rPr>
                  </w:pPr>
                  <w:r w:rsidRPr="00E40013">
                    <w:rPr>
                      <w:rFonts w:ascii="Arial" w:eastAsia="Calibri" w:hAnsi="Arial" w:cs="Arial"/>
                      <w:b/>
                      <w:bCs/>
                      <w:lang w:val="es-CO"/>
                    </w:rPr>
                    <w:t>69%</w:t>
                  </w:r>
                </w:p>
              </w:tc>
            </w:tr>
          </w:tbl>
          <w:p w14:paraId="32F5569C" w14:textId="77777777" w:rsidR="00C17E6E" w:rsidRPr="00E40013" w:rsidRDefault="00C17E6E" w:rsidP="00F1223B">
            <w:pPr>
              <w:tabs>
                <w:tab w:val="left" w:pos="1395"/>
              </w:tabs>
              <w:rPr>
                <w:rFonts w:ascii="Arial" w:hAnsi="Arial" w:cs="Arial"/>
                <w:b/>
                <w:lang w:val="es-CO"/>
              </w:rPr>
            </w:pPr>
          </w:p>
        </w:tc>
      </w:tr>
      <w:tr w:rsidR="00C17E6E" w:rsidRPr="00E40013" w14:paraId="5D791299" w14:textId="77777777" w:rsidTr="00217295">
        <w:trPr>
          <w:jc w:val="center"/>
        </w:trPr>
        <w:tc>
          <w:tcPr>
            <w:tcW w:w="304" w:type="dxa"/>
          </w:tcPr>
          <w:p w14:paraId="246032A3"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17</w:t>
            </w:r>
          </w:p>
        </w:tc>
        <w:tc>
          <w:tcPr>
            <w:tcW w:w="10307" w:type="dxa"/>
          </w:tcPr>
          <w:p w14:paraId="19834EF7" w14:textId="77777777" w:rsidR="00C17E6E" w:rsidRPr="00E40013" w:rsidRDefault="00C17E6E" w:rsidP="00F1223B">
            <w:pPr>
              <w:pStyle w:val="Textoindependiente"/>
              <w:tabs>
                <w:tab w:val="left" w:pos="2055"/>
              </w:tabs>
              <w:spacing w:before="5"/>
              <w:jc w:val="both"/>
              <w:rPr>
                <w:rFonts w:ascii="Arial" w:hAnsi="Arial" w:cs="Arial"/>
                <w:b/>
              </w:rPr>
            </w:pPr>
            <w:r w:rsidRPr="00E40013">
              <w:rPr>
                <w:rFonts w:ascii="Arial" w:hAnsi="Arial" w:cs="Arial"/>
                <w:b/>
                <w:lang w:val="es-MX"/>
              </w:rPr>
              <w:t>INSTITUTO TOLIMENSE DE FORMACIÓN TÉCNICA PROFESIONAL – ITFIP. P</w:t>
            </w:r>
            <w:r w:rsidRPr="00E40013">
              <w:rPr>
                <w:rFonts w:ascii="Arial" w:hAnsi="Arial" w:cs="Arial"/>
                <w:b/>
              </w:rPr>
              <w:t>roducto del seguimiento y la verificación realizada, la Oficina de Control Interno determina que si bien es cierto, se ha dado cumplimiento el 78% de las acciones, la evaluación de eficacia de las mismas, de acuerdo con las evidencias presentadas al 31 de diciembre del 2024, no permiten concluir el cierre de todos los hallazgos, razón por la cual se continuará efectuando seguimiento a las acciones de mejora y evaluación por parte de la oficina de Control Interno, así mismo estamos en espera de la auditoría de la Contraloría General de la República donde evaluaran la efectividad del plan de mejoramiento Institucional.</w:t>
            </w:r>
          </w:p>
        </w:tc>
      </w:tr>
      <w:tr w:rsidR="00C17E6E" w:rsidRPr="00E40013" w14:paraId="0801743D" w14:textId="77777777" w:rsidTr="00217295">
        <w:trPr>
          <w:jc w:val="center"/>
        </w:trPr>
        <w:tc>
          <w:tcPr>
            <w:tcW w:w="304" w:type="dxa"/>
          </w:tcPr>
          <w:p w14:paraId="08CB729E" w14:textId="77777777" w:rsidR="00C17E6E" w:rsidRPr="00E40013" w:rsidRDefault="00C17E6E" w:rsidP="00F1223B">
            <w:pPr>
              <w:tabs>
                <w:tab w:val="left" w:pos="1920"/>
              </w:tabs>
              <w:jc w:val="center"/>
              <w:rPr>
                <w:rFonts w:ascii="Arial" w:hAnsi="Arial" w:cs="Arial"/>
                <w:b/>
              </w:rPr>
            </w:pPr>
            <w:r w:rsidRPr="00E40013">
              <w:rPr>
                <w:rFonts w:ascii="Arial" w:hAnsi="Arial" w:cs="Arial"/>
                <w:b/>
              </w:rPr>
              <w:t>18</w:t>
            </w:r>
          </w:p>
        </w:tc>
        <w:tc>
          <w:tcPr>
            <w:tcW w:w="10307" w:type="dxa"/>
          </w:tcPr>
          <w:p w14:paraId="7FF8D49C" w14:textId="77777777" w:rsidR="00C17E6E" w:rsidRPr="00E40013" w:rsidRDefault="00C17E6E" w:rsidP="00F1223B">
            <w:pPr>
              <w:pStyle w:val="Ttulo3"/>
              <w:ind w:left="25"/>
              <w:jc w:val="both"/>
              <w:outlineLvl w:val="2"/>
              <w:rPr>
                <w:rFonts w:ascii="Arial" w:eastAsiaTheme="minorEastAsia" w:hAnsi="Arial" w:cs="Arial"/>
                <w:sz w:val="20"/>
                <w:szCs w:val="20"/>
                <w:lang w:eastAsia="ja-JP"/>
              </w:rPr>
            </w:pPr>
            <w:r w:rsidRPr="00E40013">
              <w:rPr>
                <w:rFonts w:ascii="Arial" w:hAnsi="Arial" w:cs="Arial"/>
                <w:sz w:val="20"/>
                <w:szCs w:val="20"/>
              </w:rPr>
              <w:t>FONDO ROTATORIO DE LA POLICÍA NACIONAL</w:t>
            </w:r>
            <w:r w:rsidRPr="00E40013">
              <w:rPr>
                <w:rFonts w:ascii="Arial" w:hAnsi="Arial" w:cs="Arial"/>
                <w:sz w:val="20"/>
                <w:szCs w:val="20"/>
                <w:lang w:val="es-MX"/>
              </w:rPr>
              <w:t>.</w:t>
            </w:r>
            <w:bookmarkStart w:id="74" w:name="_Toc193816437"/>
            <w:r w:rsidRPr="00E40013">
              <w:rPr>
                <w:rFonts w:ascii="Arial" w:hAnsi="Arial" w:cs="Arial"/>
                <w:lang w:eastAsia="ja-JP"/>
              </w:rPr>
              <w:t xml:space="preserve"> </w:t>
            </w:r>
            <w:r w:rsidRPr="00E40013">
              <w:rPr>
                <w:rFonts w:ascii="Arial" w:hAnsi="Arial" w:cs="Arial"/>
                <w:sz w:val="20"/>
                <w:szCs w:val="20"/>
                <w:lang w:eastAsia="ja-JP"/>
              </w:rPr>
              <w:t>Efectividad de las Actividades del Plan de Mejoramiento</w:t>
            </w:r>
            <w:bookmarkEnd w:id="74"/>
            <w:r w:rsidRPr="00E40013">
              <w:rPr>
                <w:rFonts w:ascii="Arial" w:hAnsi="Arial" w:cs="Arial"/>
                <w:sz w:val="20"/>
                <w:szCs w:val="20"/>
                <w:lang w:eastAsia="ja-JP"/>
              </w:rPr>
              <w:t xml:space="preserve">: </w:t>
            </w:r>
            <w:r w:rsidRPr="00E40013">
              <w:rPr>
                <w:rFonts w:ascii="Arial" w:eastAsiaTheme="minorEastAsia" w:hAnsi="Arial" w:cs="Arial"/>
                <w:sz w:val="20"/>
                <w:szCs w:val="20"/>
                <w:lang w:eastAsia="ja-JP"/>
              </w:rPr>
              <w:t xml:space="preserve">De acuerdo con lo establecido en la Circular 015 de 2020, la Oficina de Control Interno tiene la responsabilidad de llevar a cabo el cierre de los hallazgos en los cuales se pueda verificar la eliminación de la causa raíz. </w:t>
            </w:r>
            <w:r w:rsidRPr="00E40013">
              <w:rPr>
                <w:rFonts w:ascii="Arial" w:eastAsiaTheme="minorEastAsia" w:hAnsi="Arial" w:cs="Arial"/>
                <w:b w:val="0"/>
                <w:bCs w:val="0"/>
                <w:sz w:val="20"/>
                <w:szCs w:val="20"/>
                <w:u w:val="single"/>
                <w:lang w:eastAsia="ja-JP"/>
              </w:rPr>
              <w:t>Hasta la fecha, de las auditorías efectuadas para las vigencias 2018, 2019-2020 – 2021 y 2022, se han identificado un total de 85 hallazgos que aún no han sido cerrados</w:t>
            </w:r>
            <w:r w:rsidRPr="00E40013">
              <w:rPr>
                <w:rFonts w:ascii="Arial" w:eastAsiaTheme="minorEastAsia" w:hAnsi="Arial" w:cs="Arial"/>
                <w:sz w:val="20"/>
                <w:szCs w:val="20"/>
                <w:lang w:eastAsia="ja-JP"/>
              </w:rPr>
              <w:t>.</w:t>
            </w:r>
          </w:p>
        </w:tc>
      </w:tr>
      <w:tr w:rsidR="00C17E6E" w:rsidRPr="00E40013" w14:paraId="0DE9C1CA" w14:textId="77777777" w:rsidTr="00217295">
        <w:trPr>
          <w:jc w:val="center"/>
        </w:trPr>
        <w:tc>
          <w:tcPr>
            <w:tcW w:w="304" w:type="dxa"/>
          </w:tcPr>
          <w:p w14:paraId="3AD4FC89" w14:textId="77777777" w:rsidR="00C17E6E" w:rsidRPr="00E40013" w:rsidRDefault="00C17E6E" w:rsidP="00F1223B">
            <w:pPr>
              <w:tabs>
                <w:tab w:val="left" w:pos="1920"/>
              </w:tabs>
              <w:jc w:val="center"/>
              <w:rPr>
                <w:rFonts w:ascii="Arial" w:hAnsi="Arial" w:cs="Arial"/>
                <w:b/>
              </w:rPr>
            </w:pPr>
            <w:r w:rsidRPr="00E40013">
              <w:rPr>
                <w:rFonts w:ascii="Arial" w:hAnsi="Arial" w:cs="Arial"/>
                <w:b/>
              </w:rPr>
              <w:t>19</w:t>
            </w:r>
          </w:p>
        </w:tc>
        <w:tc>
          <w:tcPr>
            <w:tcW w:w="10307" w:type="dxa"/>
          </w:tcPr>
          <w:p w14:paraId="17E8EC56" w14:textId="77777777" w:rsidR="00C17E6E" w:rsidRPr="00E40013" w:rsidRDefault="00C17E6E" w:rsidP="00F1223B">
            <w:pPr>
              <w:tabs>
                <w:tab w:val="left" w:pos="1395"/>
              </w:tabs>
              <w:rPr>
                <w:rFonts w:ascii="Arial" w:hAnsi="Arial" w:cs="Arial"/>
                <w:b/>
                <w:lang w:val="es-MX"/>
              </w:rPr>
            </w:pPr>
            <w:r w:rsidRPr="00E40013">
              <w:rPr>
                <w:rFonts w:ascii="Arial" w:hAnsi="Arial" w:cs="Arial"/>
                <w:b/>
                <w:lang w:val="es-MX"/>
              </w:rPr>
              <w:t xml:space="preserve">ESCUELA SUPERIOR DE ADMINISTRACIÓN PÚBLICA - ESAP. </w:t>
            </w:r>
          </w:p>
          <w:p w14:paraId="5DBF6D8A" w14:textId="77777777" w:rsidR="00C17E6E" w:rsidRPr="00E40013" w:rsidRDefault="00C17E6E" w:rsidP="00F1223B">
            <w:pPr>
              <w:tabs>
                <w:tab w:val="left" w:pos="1395"/>
              </w:tabs>
              <w:rPr>
                <w:rFonts w:ascii="Arial" w:hAnsi="Arial" w:cs="Arial"/>
                <w:b/>
                <w:lang w:val="es-MX"/>
              </w:rPr>
            </w:pPr>
          </w:p>
          <w:p w14:paraId="13DA4038" w14:textId="77777777" w:rsidR="00C17E6E" w:rsidRPr="00E40013" w:rsidRDefault="00C17E6E" w:rsidP="00C17E6E">
            <w:pPr>
              <w:pStyle w:val="Textoindependiente"/>
              <w:numPr>
                <w:ilvl w:val="0"/>
                <w:numId w:val="121"/>
              </w:numPr>
              <w:tabs>
                <w:tab w:val="left" w:pos="2055"/>
              </w:tabs>
              <w:spacing w:before="5"/>
              <w:jc w:val="both"/>
              <w:rPr>
                <w:rFonts w:ascii="Arial" w:hAnsi="Arial" w:cs="Arial"/>
              </w:rPr>
            </w:pPr>
            <w:r w:rsidRPr="00E40013">
              <w:rPr>
                <w:rFonts w:ascii="Arial" w:hAnsi="Arial" w:cs="Arial"/>
                <w:b/>
                <w:bCs/>
              </w:rPr>
              <w:t xml:space="preserve">AUDITORIA FINANCIERA CONTRALORÍA GENERAL DE LA REPÚBLICA VIGENCIA AUDITADA 2021. </w:t>
            </w:r>
            <w:r w:rsidRPr="00E40013">
              <w:rPr>
                <w:rFonts w:ascii="Arial" w:hAnsi="Arial" w:cs="Arial"/>
              </w:rPr>
              <w:t xml:space="preserve">En la auditoría financiera desarrollada por la Contraloría General de la República, en donde se audito la vigencia 2021, se identificaron once 11 hallazgos, para los cuales la entidad formuló once 11 acciones; </w:t>
            </w:r>
            <w:r w:rsidRPr="00E40013">
              <w:rPr>
                <w:rFonts w:ascii="Arial" w:hAnsi="Arial" w:cs="Arial"/>
                <w:b/>
                <w:u w:val="single"/>
              </w:rPr>
              <w:t>así mismo se reformularon diez y nueve (19) acciones, de vigencias anteriores, calificadas como no efectivas</w:t>
            </w:r>
            <w:r w:rsidRPr="00E40013">
              <w:rPr>
                <w:rFonts w:ascii="Arial" w:hAnsi="Arial" w:cs="Arial"/>
              </w:rPr>
              <w:t>.</w:t>
            </w:r>
          </w:p>
          <w:p w14:paraId="36DE6C33" w14:textId="77777777" w:rsidR="00C17E6E" w:rsidRPr="00E40013" w:rsidRDefault="00C17E6E" w:rsidP="00C17E6E">
            <w:pPr>
              <w:pStyle w:val="Textoindependiente"/>
              <w:numPr>
                <w:ilvl w:val="0"/>
                <w:numId w:val="121"/>
              </w:numPr>
              <w:tabs>
                <w:tab w:val="left" w:pos="2055"/>
              </w:tabs>
              <w:spacing w:before="5"/>
              <w:jc w:val="both"/>
              <w:rPr>
                <w:rFonts w:ascii="Arial" w:hAnsi="Arial" w:cs="Arial"/>
              </w:rPr>
            </w:pPr>
            <w:r w:rsidRPr="00E40013">
              <w:rPr>
                <w:rFonts w:ascii="Arial" w:hAnsi="Arial" w:cs="Arial"/>
                <w:b/>
                <w:bCs/>
              </w:rPr>
              <w:t xml:space="preserve">REVISIÓN EFECTIVIDAD PLAN DE MEJORAMIENTO AUDITORÍA DE VIGENCIA 2021. </w:t>
            </w:r>
            <w:r w:rsidRPr="00E40013">
              <w:rPr>
                <w:rFonts w:ascii="Arial" w:hAnsi="Arial" w:cs="Arial"/>
              </w:rPr>
              <w:t xml:space="preserve">En la auditoría financiera desarrollada por la Contraloría General de la República a la ESAP de la vigencia 2021, cuyo resultado se presentó en el informe “CGR- CDSECTCRD No. 013 de fecha junio de 2022”, el ente de control evaluó la efectividad de las acciones que presentaban fecha de finalización en diciembre 31 de 2021 y que correspondían a la vigencia 2020; como resultado de la verificación realizada, la CGR determinó la efectividad a veintisiete (27) acciones </w:t>
            </w:r>
            <w:r w:rsidRPr="00E40013">
              <w:rPr>
                <w:rFonts w:ascii="Arial" w:hAnsi="Arial" w:cs="Arial"/>
                <w:b/>
                <w:u w:val="single"/>
              </w:rPr>
              <w:t>y la no efectividad de diecinueve (19) acciones</w:t>
            </w:r>
            <w:r w:rsidRPr="00E40013">
              <w:rPr>
                <w:rFonts w:ascii="Arial" w:hAnsi="Arial" w:cs="Arial"/>
              </w:rPr>
              <w:t>, las cuales fueron reformuladas por la ESAP, e incluidas en el nuevo plan de mejoramiento, correspondiente a la vigencia de la auditoria (2021), suscrito el 28 de junio de 2022.</w:t>
            </w:r>
          </w:p>
        </w:tc>
      </w:tr>
      <w:tr w:rsidR="00C17E6E" w:rsidRPr="00E40013" w14:paraId="6D0A65EA" w14:textId="77777777" w:rsidTr="00217295">
        <w:trPr>
          <w:jc w:val="center"/>
        </w:trPr>
        <w:tc>
          <w:tcPr>
            <w:tcW w:w="304" w:type="dxa"/>
          </w:tcPr>
          <w:p w14:paraId="5BBC0D04" w14:textId="77777777" w:rsidR="00C17E6E" w:rsidRPr="00E40013" w:rsidRDefault="00C17E6E" w:rsidP="00F1223B">
            <w:pPr>
              <w:tabs>
                <w:tab w:val="left" w:pos="1920"/>
              </w:tabs>
              <w:jc w:val="center"/>
              <w:rPr>
                <w:rFonts w:ascii="Arial" w:hAnsi="Arial" w:cs="Arial"/>
                <w:b/>
              </w:rPr>
            </w:pPr>
            <w:r w:rsidRPr="00E40013">
              <w:rPr>
                <w:rFonts w:ascii="Arial" w:hAnsi="Arial" w:cs="Arial"/>
                <w:b/>
              </w:rPr>
              <w:t>20</w:t>
            </w:r>
          </w:p>
        </w:tc>
        <w:tc>
          <w:tcPr>
            <w:tcW w:w="10307" w:type="dxa"/>
          </w:tcPr>
          <w:p w14:paraId="584C39DA" w14:textId="77777777" w:rsidR="00C17E6E" w:rsidRPr="00E40013" w:rsidRDefault="00C17E6E" w:rsidP="00F1223B">
            <w:pPr>
              <w:jc w:val="both"/>
              <w:rPr>
                <w:rFonts w:ascii="Arial" w:hAnsi="Arial" w:cs="Arial"/>
              </w:rPr>
            </w:pPr>
            <w:r w:rsidRPr="00E40013">
              <w:rPr>
                <w:rFonts w:ascii="Arial" w:hAnsi="Arial" w:cs="Arial"/>
                <w:b/>
              </w:rPr>
              <w:t xml:space="preserve">125.- CORPORACIÓN AUTÓNOMA REGIONAL DE SANTANDER – CAS. </w:t>
            </w:r>
            <w:r w:rsidRPr="00E40013">
              <w:rPr>
                <w:rFonts w:ascii="Arial" w:hAnsi="Arial" w:cs="Arial"/>
              </w:rPr>
              <w:t>Del total de hallazgos y actividades vigentes a diciembre 31 de 2024, 36 actividades en total, 5 actividades se encuentran con nivel superior al 80%, faltando cumplir acciones que se ejecutarían durante la vigencia 2025, representando el 13,88% del total de actividades vigentes. 9 actividades se encuentran con nivel de cumplimiento entre el 50% al 79%, faltando cumplir acciones que se ejecutarían durante la vigencia 2025, representando el 25%. El restante 61,11%, 22 actividades presentan avances variados individuales inferiores al 49%.</w:t>
            </w:r>
          </w:p>
          <w:p w14:paraId="7F545382" w14:textId="77777777" w:rsidR="00C17E6E" w:rsidRPr="00E40013" w:rsidRDefault="00C17E6E" w:rsidP="00F1223B">
            <w:pPr>
              <w:jc w:val="both"/>
              <w:rPr>
                <w:rFonts w:ascii="Arial" w:hAnsi="Arial" w:cs="Arial"/>
              </w:rPr>
            </w:pPr>
          </w:p>
          <w:p w14:paraId="611490F8" w14:textId="77777777" w:rsidR="00C17E6E" w:rsidRPr="00E40013" w:rsidRDefault="00C17E6E" w:rsidP="00F1223B">
            <w:pPr>
              <w:jc w:val="both"/>
              <w:rPr>
                <w:rFonts w:ascii="Arial" w:hAnsi="Arial" w:cs="Arial"/>
              </w:rPr>
            </w:pPr>
            <w:r w:rsidRPr="00E40013">
              <w:rPr>
                <w:rFonts w:ascii="Arial" w:hAnsi="Arial" w:cs="Arial"/>
              </w:rPr>
              <w:t>Durante la vigencia 2024, mediante el procedimiento establecido por parte de la Contraloría General de la República mediante Circular Interna 005 de 2019 y Circular Interna 015 de 2020, se hace el cierre de 17 acciones aportantes a los hallazgos durante la vigencia 2024, al considerar su cumplimiento efectivo y eficaz, subsanando las deficiencias detectadas. Generando el actual número de hallazgos vigentes a corte de diciembre 31 de 2024, 36 actividades para los hallazgos correspondientes. Soporte de ello se adjunta el respetivo oficio remisorio para el cierre de los hallazgos.</w:t>
            </w:r>
          </w:p>
        </w:tc>
      </w:tr>
      <w:tr w:rsidR="00C17E6E" w:rsidRPr="00E40013" w14:paraId="7C377291" w14:textId="77777777" w:rsidTr="00217295">
        <w:trPr>
          <w:jc w:val="center"/>
        </w:trPr>
        <w:tc>
          <w:tcPr>
            <w:tcW w:w="304" w:type="dxa"/>
          </w:tcPr>
          <w:p w14:paraId="42F4AA75" w14:textId="77777777" w:rsidR="00C17E6E" w:rsidRPr="00E40013" w:rsidRDefault="00C17E6E" w:rsidP="00F1223B">
            <w:pPr>
              <w:tabs>
                <w:tab w:val="left" w:pos="1920"/>
              </w:tabs>
              <w:jc w:val="center"/>
              <w:rPr>
                <w:rFonts w:ascii="Arial" w:hAnsi="Arial" w:cs="Arial"/>
                <w:b/>
              </w:rPr>
            </w:pPr>
            <w:r w:rsidRPr="00E40013">
              <w:rPr>
                <w:rFonts w:ascii="Arial" w:hAnsi="Arial" w:cs="Arial"/>
                <w:b/>
              </w:rPr>
              <w:t>21</w:t>
            </w:r>
          </w:p>
        </w:tc>
        <w:tc>
          <w:tcPr>
            <w:tcW w:w="10307" w:type="dxa"/>
          </w:tcPr>
          <w:p w14:paraId="3F3C2C70" w14:textId="77777777" w:rsidR="00C17E6E" w:rsidRPr="00E40013" w:rsidRDefault="00C17E6E" w:rsidP="00F1223B">
            <w:pPr>
              <w:jc w:val="both"/>
              <w:rPr>
                <w:rFonts w:ascii="Arial" w:hAnsi="Arial" w:cs="Arial"/>
                <w:b/>
                <w:u w:val="single"/>
                <w:lang w:val="es-MX"/>
              </w:rPr>
            </w:pPr>
            <w:r w:rsidRPr="00E40013">
              <w:rPr>
                <w:rFonts w:ascii="Arial" w:hAnsi="Arial" w:cs="Arial"/>
                <w:b/>
              </w:rPr>
              <w:t>UNIDAD DE SERVICIOS PENITENCIARIOS Y CARCELARIOS – USPEC</w:t>
            </w:r>
            <w:r w:rsidRPr="00E40013">
              <w:rPr>
                <w:rFonts w:ascii="Arial" w:hAnsi="Arial" w:cs="Arial"/>
                <w:b/>
                <w:lang w:val="es-MX"/>
              </w:rPr>
              <w:t xml:space="preserve">. </w:t>
            </w:r>
            <w:r w:rsidRPr="00E40013">
              <w:rPr>
                <w:rFonts w:ascii="Arial" w:hAnsi="Arial" w:cs="Arial"/>
                <w:b/>
                <w:u w:val="single"/>
                <w:lang w:val="es-MX"/>
              </w:rPr>
              <w:t>Como resultado del seguimiento y evaluación se encuentran actividades sin culminar o que no han subsanado las inconsistencias o incumplimientos que dieron origen a los hallazgos comunicado por la CGR, lo anterior asciende a la suma de 167 hallazgos abiertos, con 190 acciones formuladas para atender los mismos.</w:t>
            </w:r>
          </w:p>
          <w:p w14:paraId="028187AD" w14:textId="77777777" w:rsidR="00C17E6E" w:rsidRPr="00E40013" w:rsidRDefault="00C17E6E" w:rsidP="00F1223B">
            <w:pPr>
              <w:jc w:val="both"/>
              <w:rPr>
                <w:rFonts w:ascii="Arial" w:hAnsi="Arial" w:cs="Arial"/>
                <w:lang w:val="es-MX"/>
              </w:rPr>
            </w:pPr>
          </w:p>
          <w:p w14:paraId="3E3EBA29" w14:textId="77777777" w:rsidR="00C17E6E" w:rsidRPr="00E40013" w:rsidRDefault="00C17E6E" w:rsidP="00F1223B">
            <w:pPr>
              <w:jc w:val="both"/>
              <w:rPr>
                <w:rFonts w:ascii="Arial" w:hAnsi="Arial" w:cs="Arial"/>
                <w:b/>
                <w:bCs/>
              </w:rPr>
            </w:pPr>
            <w:r w:rsidRPr="00E40013">
              <w:rPr>
                <w:rFonts w:ascii="Arial" w:hAnsi="Arial" w:cs="Arial"/>
                <w:b/>
                <w:lang w:val="es-MX"/>
              </w:rPr>
              <w:t xml:space="preserve">-Del informe </w:t>
            </w:r>
            <w:r w:rsidRPr="00E40013">
              <w:rPr>
                <w:rFonts w:ascii="Arial" w:hAnsi="Arial" w:cs="Arial"/>
                <w:b/>
                <w:bCs/>
              </w:rPr>
              <w:t>ejecutivo sobre el seguimiento y verificación de la EFICIENCIA y EFICACIA de las acciones realizadas, en cumplimiento al Plan o Planes de Mejoramiento suscritos con el ente de control retomamos lo siguiente:</w:t>
            </w:r>
          </w:p>
          <w:p w14:paraId="07788739" w14:textId="77777777" w:rsidR="00C17E6E" w:rsidRPr="00E40013" w:rsidRDefault="00C17E6E" w:rsidP="00F1223B">
            <w:pPr>
              <w:jc w:val="both"/>
              <w:rPr>
                <w:rFonts w:ascii="Arial" w:hAnsi="Arial" w:cs="Arial"/>
                <w:lang w:val="es-MX"/>
              </w:rPr>
            </w:pPr>
          </w:p>
          <w:p w14:paraId="35E85566" w14:textId="77777777" w:rsidR="00C17E6E" w:rsidRPr="00E40013" w:rsidRDefault="00C17E6E" w:rsidP="00F1223B">
            <w:pPr>
              <w:jc w:val="both"/>
              <w:rPr>
                <w:rFonts w:ascii="Arial" w:hAnsi="Arial" w:cs="Arial"/>
                <w:b/>
              </w:rPr>
            </w:pPr>
            <w:r w:rsidRPr="00E40013">
              <w:rPr>
                <w:rFonts w:ascii="Arial" w:hAnsi="Arial" w:cs="Arial"/>
                <w:b/>
              </w:rPr>
              <w:t>CONCLUSIONES:</w:t>
            </w:r>
          </w:p>
          <w:p w14:paraId="2D20ECAB" w14:textId="77777777" w:rsidR="00C17E6E" w:rsidRPr="00E40013" w:rsidRDefault="00C17E6E" w:rsidP="00F1223B">
            <w:pPr>
              <w:jc w:val="both"/>
              <w:rPr>
                <w:rFonts w:ascii="Arial" w:hAnsi="Arial" w:cs="Arial"/>
              </w:rPr>
            </w:pPr>
          </w:p>
          <w:p w14:paraId="632421F4" w14:textId="77777777" w:rsidR="00C17E6E" w:rsidRPr="00E40013" w:rsidRDefault="00C17E6E" w:rsidP="00F1223B">
            <w:pPr>
              <w:jc w:val="both"/>
              <w:rPr>
                <w:rFonts w:ascii="Arial" w:hAnsi="Arial" w:cs="Arial"/>
              </w:rPr>
            </w:pPr>
            <w:r w:rsidRPr="00E40013">
              <w:rPr>
                <w:rFonts w:ascii="Arial" w:hAnsi="Arial" w:cs="Arial"/>
                <w:bCs/>
              </w:rPr>
              <w:t>1.-</w:t>
            </w:r>
            <w:r w:rsidRPr="00E40013">
              <w:rPr>
                <w:rFonts w:ascii="Arial" w:hAnsi="Arial" w:cs="Arial"/>
                <w:b/>
                <w:bCs/>
              </w:rPr>
              <w:t xml:space="preserve"> </w:t>
            </w:r>
            <w:r w:rsidRPr="00E40013">
              <w:rPr>
                <w:rFonts w:ascii="Arial" w:hAnsi="Arial" w:cs="Arial"/>
              </w:rPr>
              <w:t xml:space="preserve">Finalizando el segundo semestre del 2024, la Oficina de Control Interno en función al rol de asesoría y acompañamiento, adelantó mediante mesas de trabajo con las áreas responsables de los hallazgos, trabajo articulado en el cual se revisó, analizó y realizó seguimiento a las acciones, actividades definidas y las evidencias aportadas; lo cual permitió un avance significativo en gestionar 272 hallazgos con 287 acciones con concepto de solicitud de cierre para la CGR. </w:t>
            </w:r>
          </w:p>
        </w:tc>
      </w:tr>
      <w:tr w:rsidR="00C17E6E" w:rsidRPr="00E40013" w14:paraId="6D3CCE53" w14:textId="77777777" w:rsidTr="00217295">
        <w:trPr>
          <w:jc w:val="center"/>
        </w:trPr>
        <w:tc>
          <w:tcPr>
            <w:tcW w:w="304" w:type="dxa"/>
          </w:tcPr>
          <w:p w14:paraId="76331836" w14:textId="77777777" w:rsidR="00C17E6E" w:rsidRPr="00E40013" w:rsidRDefault="00C17E6E" w:rsidP="00F1223B">
            <w:pPr>
              <w:tabs>
                <w:tab w:val="left" w:pos="1920"/>
              </w:tabs>
              <w:jc w:val="center"/>
              <w:rPr>
                <w:rFonts w:ascii="Arial" w:hAnsi="Arial" w:cs="Arial"/>
                <w:b/>
              </w:rPr>
            </w:pPr>
            <w:r w:rsidRPr="00E40013">
              <w:rPr>
                <w:rFonts w:ascii="Arial" w:hAnsi="Arial" w:cs="Arial"/>
                <w:b/>
              </w:rPr>
              <w:t>22</w:t>
            </w:r>
          </w:p>
        </w:tc>
        <w:tc>
          <w:tcPr>
            <w:tcW w:w="10307" w:type="dxa"/>
          </w:tcPr>
          <w:p w14:paraId="2134D36B" w14:textId="77777777" w:rsidR="00C17E6E" w:rsidRPr="00E40013" w:rsidRDefault="00C17E6E" w:rsidP="00F1223B">
            <w:pPr>
              <w:jc w:val="both"/>
              <w:rPr>
                <w:rFonts w:ascii="Arial" w:hAnsi="Arial" w:cs="Arial"/>
              </w:rPr>
            </w:pPr>
            <w:r w:rsidRPr="00E40013">
              <w:rPr>
                <w:rFonts w:ascii="Arial" w:hAnsi="Arial" w:cs="Arial"/>
                <w:b/>
                <w:lang w:val="es-MX"/>
              </w:rPr>
              <w:t xml:space="preserve">U.A.E. JUNTA CENTRAL DE CONTADORES. Aspectos relevantes: </w:t>
            </w:r>
            <w:r w:rsidRPr="00E40013">
              <w:rPr>
                <w:rFonts w:ascii="Arial" w:hAnsi="Arial" w:cs="Arial"/>
              </w:rPr>
              <w:t xml:space="preserve">Al cierre de la vigencia 2024, se identificó que, el plan de mejoramiento suscrito con la Contraloría General de la República tuvo un avance hasta el 92%, </w:t>
            </w:r>
            <w:r w:rsidRPr="00E40013">
              <w:rPr>
                <w:rFonts w:ascii="Arial" w:hAnsi="Arial" w:cs="Arial"/>
              </w:rPr>
              <w:lastRenderedPageBreak/>
              <w:t xml:space="preserve">principalmente porque la actividad relacionada con el rediseño institucional, se ve afectada por la participación en el proceso de entidades externas. Para esta actividad la entidad aplicó los lineamientos de la Circular Conjunta 100-011 de 2023, del Rediseño Institucional o Formalización Laboral, remitiendo comunicaciones oficiales y reuniones con la Función Pública y con el Ministerio de Industria, Comercio y Turismo (Cabeza de sector), para tener las pautas para realizar las mesas técnicas de construcción del documento de estudio técnico. Sin embargo, dicho avance se limitó, porque en el Ministerio y en la JCC se dieron cambios en la representación legal, a comienzos del año 2024, lo que implicó el reinicio del proceso de rediseño, desde un punto cero, ante estas instancias. Esto también incide para que el cumplimiento del plan sea solamente del 83%, ya que la actividad de rediseño institucional, tiene asociadas dos metas, y el cumplimiento de la segunda meta depende de la primera meta. </w:t>
            </w:r>
          </w:p>
          <w:p w14:paraId="029F76D5" w14:textId="77777777" w:rsidR="00C17E6E" w:rsidRPr="00E40013" w:rsidRDefault="00C17E6E" w:rsidP="00F1223B">
            <w:pPr>
              <w:jc w:val="both"/>
              <w:rPr>
                <w:rFonts w:ascii="Arial" w:hAnsi="Arial" w:cs="Arial"/>
              </w:rPr>
            </w:pPr>
          </w:p>
          <w:p w14:paraId="3A9E7D61" w14:textId="77777777" w:rsidR="00C17E6E" w:rsidRPr="00E40013" w:rsidRDefault="00C17E6E" w:rsidP="00F1223B">
            <w:pPr>
              <w:jc w:val="both"/>
              <w:rPr>
                <w:rFonts w:ascii="Arial" w:hAnsi="Arial" w:cs="Arial"/>
                <w:lang w:val="es-CO"/>
              </w:rPr>
            </w:pPr>
            <w:r w:rsidRPr="00E40013">
              <w:rPr>
                <w:rFonts w:ascii="Arial" w:hAnsi="Arial" w:cs="Arial"/>
              </w:rPr>
              <w:t xml:space="preserve">Además, durante el año 2024, se realizó seguimiento quincenal de los procesos a cargo de los abogados comisionados y a cargo de los contadores, y se priorizaron los expedientes que estaban cercanos a la caducidad; los expedientes que no se habían impulsado a la fecha de finalización de la vigencia 2024; y </w:t>
            </w:r>
            <w:r w:rsidRPr="00E40013">
              <w:rPr>
                <w:rFonts w:ascii="Arial" w:hAnsi="Arial" w:cs="Arial"/>
                <w:lang w:val="es-CO"/>
              </w:rPr>
              <w:t>a los expedientes a los que ya le había operado la caducidad, concluyendo que la entidad logró mitigar la caducidad, y solo para el 6,34% de los expedientes disciplinarios, en proceso, a diciembre de 2024, se dio el fenómeno de la caducidad.</w:t>
            </w:r>
          </w:p>
        </w:tc>
      </w:tr>
      <w:tr w:rsidR="00C17E6E" w:rsidRPr="00E40013" w14:paraId="64FFB8CC" w14:textId="77777777" w:rsidTr="00217295">
        <w:trPr>
          <w:jc w:val="center"/>
        </w:trPr>
        <w:tc>
          <w:tcPr>
            <w:tcW w:w="304" w:type="dxa"/>
          </w:tcPr>
          <w:p w14:paraId="50C4400F"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23</w:t>
            </w:r>
          </w:p>
        </w:tc>
        <w:tc>
          <w:tcPr>
            <w:tcW w:w="10307" w:type="dxa"/>
          </w:tcPr>
          <w:p w14:paraId="13DA6DAC" w14:textId="77777777" w:rsidR="00C17E6E" w:rsidRPr="00E40013" w:rsidRDefault="00C17E6E" w:rsidP="00F1223B">
            <w:pPr>
              <w:jc w:val="both"/>
              <w:rPr>
                <w:rFonts w:ascii="Arial" w:eastAsia="Calibri" w:hAnsi="Arial" w:cs="Arial"/>
                <w:b/>
                <w:lang w:val="es-MX"/>
              </w:rPr>
            </w:pPr>
            <w:r w:rsidRPr="00E40013">
              <w:rPr>
                <w:rFonts w:ascii="Arial" w:hAnsi="Arial" w:cs="Arial"/>
                <w:b/>
                <w:lang w:val="es-MX"/>
              </w:rPr>
              <w:t>131.- UNIVERSIDAD PEDAGOGICA Y TECNOLOGICA DE COLOMBIA - UPTC. Las actividades vencidas corresponden a:</w:t>
            </w:r>
            <w:r w:rsidRPr="00E40013">
              <w:rPr>
                <w:rFonts w:ascii="Arial" w:eastAsia="Calibri" w:hAnsi="Arial" w:cs="Arial"/>
                <w:b/>
                <w:bCs/>
              </w:rPr>
              <w:t xml:space="preserve"> </w:t>
            </w:r>
          </w:p>
          <w:p w14:paraId="3DAE1A61" w14:textId="77777777" w:rsidR="00C17E6E" w:rsidRPr="00E40013" w:rsidRDefault="00C17E6E" w:rsidP="00F1223B">
            <w:pPr>
              <w:widowControl/>
              <w:autoSpaceDE/>
              <w:autoSpaceDN/>
              <w:jc w:val="both"/>
              <w:rPr>
                <w:rFonts w:ascii="Arial" w:eastAsia="Calibri" w:hAnsi="Arial" w:cs="Arial"/>
                <w:b/>
                <w:bCs/>
              </w:rPr>
            </w:pPr>
            <w:r w:rsidRPr="00E40013">
              <w:rPr>
                <w:rFonts w:ascii="Arial" w:eastAsia="Calibri" w:hAnsi="Arial" w:cs="Arial"/>
                <w:b/>
                <w:bCs/>
              </w:rPr>
              <w:t xml:space="preserve">Departamento de Contratación: </w:t>
            </w:r>
          </w:p>
          <w:p w14:paraId="5B36CC3C" w14:textId="77777777" w:rsidR="00C17E6E" w:rsidRPr="00E40013" w:rsidRDefault="00C17E6E" w:rsidP="00F1223B">
            <w:pPr>
              <w:widowControl/>
              <w:autoSpaceDE/>
              <w:autoSpaceDN/>
              <w:jc w:val="both"/>
              <w:rPr>
                <w:rFonts w:ascii="Arial" w:eastAsia="Calibri" w:hAnsi="Arial" w:cs="Arial"/>
                <w:b/>
                <w:lang w:val="en-US"/>
              </w:rPr>
            </w:pPr>
          </w:p>
          <w:p w14:paraId="60460132"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r w:rsidRPr="00E40013">
              <w:rPr>
                <w:rFonts w:ascii="Arial" w:eastAsia="Calibri" w:hAnsi="Arial" w:cs="Arial"/>
                <w:lang w:val="es-MX"/>
              </w:rPr>
              <w:t>Capacitación para registrar la información, que permita la actualización registro de información de los bienes de propiedad, planta y equipo de la universidad.</w:t>
            </w:r>
          </w:p>
          <w:p w14:paraId="78A8CE7A"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p>
          <w:p w14:paraId="7F060D10"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r w:rsidRPr="00E40013">
              <w:rPr>
                <w:rFonts w:ascii="Arial" w:eastAsia="Calibri" w:hAnsi="Arial" w:cs="Arial"/>
                <w:lang w:val="es-MX"/>
              </w:rPr>
              <w:t>Revisar todas las categorías de bienes muebles que registran bienes totalmente depreciados, para solicitar al Comité Técnico de Sostenibilidad Contable, adoptar la metodología para recalcular vidas útiles y depreciación de bienes, continuando con el seguimiento al re categorización de bienes, según los umbrales de materialidad.</w:t>
            </w:r>
          </w:p>
          <w:p w14:paraId="26300AA3"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p>
          <w:p w14:paraId="1C14D161"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r w:rsidRPr="00E40013">
              <w:rPr>
                <w:rFonts w:ascii="Arial" w:eastAsia="Calibri" w:hAnsi="Arial" w:cs="Arial"/>
                <w:lang w:val="es-MX"/>
              </w:rPr>
              <w:t>Actualizar el Manual de Contratación y Supervisión e Interventoría de contratos de la UPTC, realizando la revisión completa del documento con la Dirección Jurídica, Proceso Gestión Normativa.</w:t>
            </w:r>
          </w:p>
          <w:p w14:paraId="65B1389F"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p>
          <w:p w14:paraId="5AD6296A" w14:textId="77777777" w:rsidR="00C17E6E" w:rsidRPr="00E40013" w:rsidRDefault="00C17E6E" w:rsidP="00C17E6E">
            <w:pPr>
              <w:widowControl/>
              <w:numPr>
                <w:ilvl w:val="0"/>
                <w:numId w:val="122"/>
              </w:numPr>
              <w:tabs>
                <w:tab w:val="num" w:pos="720"/>
              </w:tabs>
              <w:autoSpaceDE/>
              <w:autoSpaceDN/>
              <w:jc w:val="both"/>
              <w:rPr>
                <w:rFonts w:ascii="Arial" w:eastAsia="Calibri" w:hAnsi="Arial" w:cs="Arial"/>
                <w:lang w:val="es-MX"/>
              </w:rPr>
            </w:pPr>
            <w:r w:rsidRPr="00E40013">
              <w:rPr>
                <w:rFonts w:ascii="Arial" w:eastAsia="Calibri" w:hAnsi="Arial" w:cs="Arial"/>
                <w:lang w:val="es-MX"/>
              </w:rPr>
              <w:t>Actualizar los procedimientos de contratación, iniciando en la primera fase con el de prestación de servicios personales A-GC-P09, incorporando mejoras en el sistema de información financiera GOOBI, para que los documentos en la etapa pre contractual, contractual y pos contractual, se cuenten con todos los archivos documentales.</w:t>
            </w:r>
          </w:p>
        </w:tc>
      </w:tr>
      <w:tr w:rsidR="00C17E6E" w:rsidRPr="00E40013" w14:paraId="61077E1D" w14:textId="77777777" w:rsidTr="00217295">
        <w:trPr>
          <w:jc w:val="center"/>
        </w:trPr>
        <w:tc>
          <w:tcPr>
            <w:tcW w:w="304" w:type="dxa"/>
          </w:tcPr>
          <w:p w14:paraId="41615C86" w14:textId="77777777" w:rsidR="00C17E6E" w:rsidRPr="00E40013" w:rsidRDefault="00C17E6E" w:rsidP="00F1223B">
            <w:pPr>
              <w:tabs>
                <w:tab w:val="left" w:pos="1920"/>
              </w:tabs>
              <w:jc w:val="center"/>
              <w:rPr>
                <w:rFonts w:ascii="Arial" w:hAnsi="Arial" w:cs="Arial"/>
                <w:b/>
              </w:rPr>
            </w:pPr>
            <w:r w:rsidRPr="00E40013">
              <w:rPr>
                <w:rFonts w:ascii="Arial" w:hAnsi="Arial" w:cs="Arial"/>
                <w:b/>
              </w:rPr>
              <w:t>24</w:t>
            </w:r>
          </w:p>
        </w:tc>
        <w:tc>
          <w:tcPr>
            <w:tcW w:w="10307" w:type="dxa"/>
          </w:tcPr>
          <w:p w14:paraId="4F276888" w14:textId="77777777" w:rsidR="00C17E6E" w:rsidRPr="00E40013" w:rsidRDefault="00C17E6E" w:rsidP="00C17E6E">
            <w:pPr>
              <w:pStyle w:val="Prrafodelista"/>
              <w:numPr>
                <w:ilvl w:val="0"/>
                <w:numId w:val="123"/>
              </w:numPr>
              <w:spacing w:before="1"/>
              <w:jc w:val="both"/>
              <w:rPr>
                <w:rFonts w:ascii="Arial" w:hAnsi="Arial" w:cs="Arial"/>
              </w:rPr>
            </w:pPr>
            <w:r w:rsidRPr="00E40013">
              <w:rPr>
                <w:rFonts w:ascii="Arial" w:hAnsi="Arial" w:cs="Arial"/>
                <w:b/>
                <w:lang w:val="es-MX"/>
              </w:rPr>
              <w:t xml:space="preserve">SUPERINTENDENCIA DE SERVICIOS PÚBLICOS DOMICILIARIOS - SUPERSERVICIOS. </w:t>
            </w:r>
            <w:r w:rsidRPr="00E40013">
              <w:rPr>
                <w:rFonts w:ascii="Arial" w:hAnsi="Arial" w:cs="Arial"/>
              </w:rPr>
              <w:t xml:space="preserve">Para dar tratamiento a los 49 hallazgos que conforman el plan de mejoramiento se formularon 69 acciones. De estas 40 tenían como fecha de terminación 31 de diciembre de 2024; de las cuales 29 se cumplieron con oportunidad conforme a lo programado y </w:t>
            </w:r>
            <w:r w:rsidRPr="00E40013">
              <w:rPr>
                <w:rFonts w:ascii="Arial" w:hAnsi="Arial" w:cs="Arial"/>
                <w:b/>
                <w:bCs/>
                <w:u w:val="single"/>
              </w:rPr>
              <w:t>11 se calificaron como No eficaces una vez realizadas las respectivas pruebas de auditoría.</w:t>
            </w:r>
            <w:r w:rsidRPr="00E40013">
              <w:rPr>
                <w:rFonts w:ascii="Arial" w:hAnsi="Arial" w:cs="Arial"/>
              </w:rPr>
              <w:t xml:space="preserve"> Así las cosas, el cumplimiento del plan de mejoramiento fue de 42,02%.</w:t>
            </w:r>
          </w:p>
          <w:p w14:paraId="35E1F9CE" w14:textId="77777777" w:rsidR="00C17E6E" w:rsidRPr="00E40013" w:rsidRDefault="00C17E6E" w:rsidP="00F1223B">
            <w:pPr>
              <w:jc w:val="both"/>
              <w:rPr>
                <w:rFonts w:ascii="Arial" w:hAnsi="Arial" w:cs="Arial"/>
                <w:b/>
                <w:bCs/>
              </w:rPr>
            </w:pPr>
          </w:p>
          <w:p w14:paraId="393929DB" w14:textId="77777777" w:rsidR="00C17E6E" w:rsidRPr="00E40013" w:rsidRDefault="00C17E6E" w:rsidP="00C17E6E">
            <w:pPr>
              <w:pStyle w:val="Prrafodelista"/>
              <w:numPr>
                <w:ilvl w:val="0"/>
                <w:numId w:val="123"/>
              </w:numPr>
              <w:spacing w:before="1"/>
              <w:jc w:val="both"/>
              <w:rPr>
                <w:rFonts w:ascii="Arial" w:hAnsi="Arial" w:cs="Arial"/>
              </w:rPr>
            </w:pPr>
            <w:r w:rsidRPr="00E40013">
              <w:rPr>
                <w:rFonts w:ascii="Arial" w:hAnsi="Arial" w:cs="Arial"/>
                <w:b/>
                <w:bCs/>
                <w:u w:val="single"/>
              </w:rPr>
              <w:t>Las acciones planteadas para 7 Hallazgos fueron calificadas como No eficaces y se recomienda REFORMULAR nuevas ACPM</w:t>
            </w:r>
            <w:r w:rsidRPr="00E40013">
              <w:rPr>
                <w:rFonts w:ascii="Arial" w:hAnsi="Arial" w:cs="Arial"/>
              </w:rPr>
              <w:t>.</w:t>
            </w:r>
          </w:p>
        </w:tc>
      </w:tr>
      <w:tr w:rsidR="00C17E6E" w:rsidRPr="00E40013" w14:paraId="110442A3" w14:textId="77777777" w:rsidTr="00217295">
        <w:trPr>
          <w:jc w:val="center"/>
        </w:trPr>
        <w:tc>
          <w:tcPr>
            <w:tcW w:w="304" w:type="dxa"/>
          </w:tcPr>
          <w:p w14:paraId="777E0A47" w14:textId="77777777" w:rsidR="00C17E6E" w:rsidRPr="00E40013" w:rsidRDefault="00C17E6E" w:rsidP="00F1223B">
            <w:pPr>
              <w:tabs>
                <w:tab w:val="left" w:pos="1920"/>
              </w:tabs>
              <w:jc w:val="center"/>
              <w:rPr>
                <w:rFonts w:ascii="Arial" w:hAnsi="Arial" w:cs="Arial"/>
                <w:b/>
              </w:rPr>
            </w:pPr>
            <w:r w:rsidRPr="00E40013">
              <w:rPr>
                <w:rFonts w:ascii="Arial" w:hAnsi="Arial" w:cs="Arial"/>
                <w:b/>
              </w:rPr>
              <w:t>25</w:t>
            </w:r>
          </w:p>
        </w:tc>
        <w:tc>
          <w:tcPr>
            <w:tcW w:w="10307" w:type="dxa"/>
          </w:tcPr>
          <w:p w14:paraId="395D4DA4"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150.- MINISTERIO DE JUSTICIA Y DEL DERECHO. </w:t>
            </w:r>
            <w:r w:rsidRPr="00E40013">
              <w:rPr>
                <w:rFonts w:ascii="Arial" w:hAnsi="Arial" w:cs="Arial"/>
                <w:b/>
                <w:bCs/>
                <w:u w:val="single"/>
              </w:rPr>
              <w:t>La Oficina de Control Interno, después de la valoración efectuada a 31 de diciembre de 2024, identificó con evidencias la declaración de efectividad emitida por las áreas responsables, dando como resultado (13) hallazgos que se encuentran en término, dos (2) cumplidos/efectivos, cero (0) vencidos y cinco (5) cumplidos no efectivos, cuyos planes de mejoramiento, deberán ser reformulados</w:t>
            </w:r>
            <w:r w:rsidRPr="00E40013">
              <w:rPr>
                <w:rFonts w:ascii="Arial" w:hAnsi="Arial" w:cs="Arial"/>
              </w:rPr>
              <w:t>; en este sentido, el inventario de hallazgos es la siguiente:</w:t>
            </w:r>
          </w:p>
          <w:p w14:paraId="4B784C31" w14:textId="77777777" w:rsidR="00C17E6E" w:rsidRPr="00E40013" w:rsidRDefault="00C17E6E" w:rsidP="00F1223B">
            <w:pPr>
              <w:pStyle w:val="Textoindependiente"/>
              <w:tabs>
                <w:tab w:val="left" w:pos="2055"/>
              </w:tabs>
              <w:spacing w:before="5"/>
              <w:rPr>
                <w:rFonts w:ascii="Arial" w:hAnsi="Arial" w:cs="Arial"/>
              </w:rPr>
            </w:pPr>
          </w:p>
          <w:p w14:paraId="610FD5CE" w14:textId="77777777" w:rsidR="00C17E6E" w:rsidRPr="00E40013" w:rsidRDefault="00C17E6E" w:rsidP="00F1223B">
            <w:pPr>
              <w:pStyle w:val="Textoindependiente"/>
              <w:tabs>
                <w:tab w:val="left" w:pos="2055"/>
              </w:tabs>
              <w:spacing w:before="5"/>
              <w:rPr>
                <w:sz w:val="17"/>
              </w:rPr>
            </w:pPr>
            <w:r w:rsidRPr="00E40013">
              <w:rPr>
                <w:noProof/>
                <w:lang w:val="es-CO"/>
              </w:rPr>
              <w:drawing>
                <wp:inline distT="0" distB="0" distL="0" distR="0" wp14:anchorId="668912E7" wp14:editId="33A7229D">
                  <wp:extent cx="6408046" cy="699714"/>
                  <wp:effectExtent l="0" t="0" r="0" b="5715"/>
                  <wp:docPr id="2125604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4707" name=""/>
                          <pic:cNvPicPr/>
                        </pic:nvPicPr>
                        <pic:blipFill rotWithShape="1">
                          <a:blip r:embed="rId59"/>
                          <a:srcRect l="10172" t="58408" r="38838" b="35198"/>
                          <a:stretch/>
                        </pic:blipFill>
                        <pic:spPr bwMode="auto">
                          <a:xfrm>
                            <a:off x="0" y="0"/>
                            <a:ext cx="6534882" cy="713564"/>
                          </a:xfrm>
                          <a:prstGeom prst="rect">
                            <a:avLst/>
                          </a:prstGeom>
                          <a:ln>
                            <a:noFill/>
                          </a:ln>
                          <a:extLst>
                            <a:ext uri="{53640926-AAD7-44D8-BBD7-CCE9431645EC}">
                              <a14:shadowObscured xmlns:a14="http://schemas.microsoft.com/office/drawing/2010/main"/>
                            </a:ext>
                          </a:extLst>
                        </pic:spPr>
                      </pic:pic>
                    </a:graphicData>
                  </a:graphic>
                </wp:inline>
              </w:drawing>
            </w:r>
          </w:p>
          <w:p w14:paraId="378A3027" w14:textId="77777777" w:rsidR="00C17E6E" w:rsidRPr="00E40013" w:rsidRDefault="00C17E6E" w:rsidP="00F1223B">
            <w:pPr>
              <w:pStyle w:val="Textoindependiente"/>
              <w:tabs>
                <w:tab w:val="left" w:pos="2055"/>
              </w:tabs>
              <w:spacing w:before="5"/>
              <w:rPr>
                <w:sz w:val="17"/>
              </w:rPr>
            </w:pPr>
          </w:p>
          <w:p w14:paraId="4B662CB9"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rPr>
              <w:t>En este sentido el nuevo inventario arroja una cifra que asciende a dieciocho (18) hallazgos en término, que incluyen, 73 actividades, cuyos planes de mejoramiento se encuentran debidamente suscritos y serán objeto del seguimiento semestral a junio 30 de 2025.</w:t>
            </w:r>
          </w:p>
          <w:p w14:paraId="29CE85E8" w14:textId="77777777" w:rsidR="00C17E6E" w:rsidRPr="00E40013" w:rsidRDefault="00C17E6E" w:rsidP="00F1223B">
            <w:pPr>
              <w:pStyle w:val="Textoindependiente"/>
              <w:tabs>
                <w:tab w:val="left" w:pos="2055"/>
              </w:tabs>
              <w:spacing w:before="5"/>
              <w:jc w:val="both"/>
              <w:rPr>
                <w:rFonts w:ascii="Arial" w:hAnsi="Arial" w:cs="Arial"/>
              </w:rPr>
            </w:pPr>
          </w:p>
          <w:p w14:paraId="72F3E0CE"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rPr>
              <w:t>Vale la pena afirmar que los hallazgos cumplidos son aquellos planes derivados de hallazgos que llevaron a cabo la totalidad de sus metas dentro del cronograma propuesto; los hallazgos efectivos son los planes que, habiéndose cumplido, superan la causa que dio origen al hallazgo, propiciando prevención y corrección de la amenaza, a juicio de la Oficina de Control Interno; los hallazgos en término son los planes que se encuentran en curso, dentro del cronograma formulado, pero aún no han cumplido la totalidad de las metas trazadas, y finalmente, los hallazgos cumplidos pero no efectivos representa el plan de mejoramiento cuyas actividades se cumplieron, sin embargo, no subsanaron integralmente las causas que dieron origen al hallazgo evaluado.</w:t>
            </w:r>
          </w:p>
        </w:tc>
      </w:tr>
      <w:tr w:rsidR="00C17E6E" w:rsidRPr="00E40013" w14:paraId="0AA6E6D9" w14:textId="77777777" w:rsidTr="00217295">
        <w:trPr>
          <w:jc w:val="center"/>
        </w:trPr>
        <w:tc>
          <w:tcPr>
            <w:tcW w:w="304" w:type="dxa"/>
          </w:tcPr>
          <w:p w14:paraId="6B7D2E2B"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26</w:t>
            </w:r>
          </w:p>
        </w:tc>
        <w:tc>
          <w:tcPr>
            <w:tcW w:w="10307" w:type="dxa"/>
          </w:tcPr>
          <w:p w14:paraId="3C612859" w14:textId="77777777" w:rsidR="00C17E6E" w:rsidRPr="00E40013" w:rsidRDefault="00C17E6E" w:rsidP="00F1223B">
            <w:pPr>
              <w:jc w:val="both"/>
              <w:rPr>
                <w:rFonts w:ascii="Arial" w:hAnsi="Arial" w:cs="Arial"/>
                <w:bCs/>
              </w:rPr>
            </w:pPr>
            <w:r w:rsidRPr="00E40013">
              <w:rPr>
                <w:rFonts w:ascii="Arial" w:hAnsi="Arial" w:cs="Arial"/>
                <w:b/>
              </w:rPr>
              <w:t xml:space="preserve">UNIVERSIDAD TECNOLÓGICA DEL CHOCÓ - DIEGO LUIS CÓRDOBA. </w:t>
            </w:r>
            <w:r w:rsidRPr="00E40013">
              <w:rPr>
                <w:rFonts w:ascii="Arial" w:hAnsi="Arial" w:cs="Arial"/>
                <w:bCs/>
              </w:rPr>
              <w:t>respecto al Plan de Mejoramiento derivado de la auditoría realizada por la Contraloría General de la República el 13 de junio de 2024 en la Universidad Tecnológica del Chocó, dicho organismo determinó la existencia de deficiencias en 65 actividades dentro de los procesos desarrollados en las diferentes dependencias de la institución. Tras un análisis detallado, se obtuvieron los siguientes resultados:</w:t>
            </w:r>
          </w:p>
          <w:p w14:paraId="7655BA91" w14:textId="77777777" w:rsidR="00C17E6E" w:rsidRPr="00E40013" w:rsidRDefault="00C17E6E" w:rsidP="00F1223B">
            <w:pPr>
              <w:jc w:val="both"/>
              <w:rPr>
                <w:rFonts w:ascii="Arial" w:hAnsi="Arial" w:cs="Arial"/>
                <w:bCs/>
              </w:rPr>
            </w:pPr>
          </w:p>
          <w:p w14:paraId="51E33D84" w14:textId="77777777" w:rsidR="00C17E6E" w:rsidRPr="00E40013" w:rsidRDefault="00C17E6E" w:rsidP="00C17E6E">
            <w:pPr>
              <w:pStyle w:val="Prrafodelista"/>
              <w:numPr>
                <w:ilvl w:val="0"/>
                <w:numId w:val="124"/>
              </w:numPr>
              <w:spacing w:before="1"/>
              <w:jc w:val="both"/>
              <w:rPr>
                <w:rFonts w:ascii="Arial" w:hAnsi="Arial" w:cs="Arial"/>
                <w:bCs/>
              </w:rPr>
            </w:pPr>
            <w:r w:rsidRPr="00E40013">
              <w:rPr>
                <w:rFonts w:ascii="Arial" w:hAnsi="Arial" w:cs="Arial"/>
                <w:bCs/>
              </w:rPr>
              <w:t>Se logró la superación total de 33 actividades.</w:t>
            </w:r>
          </w:p>
          <w:p w14:paraId="15BBE013" w14:textId="77777777" w:rsidR="00C17E6E" w:rsidRPr="00E40013" w:rsidRDefault="00C17E6E" w:rsidP="00C17E6E">
            <w:pPr>
              <w:pStyle w:val="Prrafodelista"/>
              <w:numPr>
                <w:ilvl w:val="0"/>
                <w:numId w:val="124"/>
              </w:numPr>
              <w:spacing w:before="1"/>
              <w:jc w:val="both"/>
              <w:rPr>
                <w:rFonts w:ascii="Arial" w:hAnsi="Arial" w:cs="Arial"/>
                <w:bCs/>
              </w:rPr>
            </w:pPr>
            <w:r w:rsidRPr="00E40013">
              <w:rPr>
                <w:rFonts w:ascii="Arial" w:hAnsi="Arial" w:cs="Arial"/>
                <w:bCs/>
              </w:rPr>
              <w:t>13 actividades quedaron en proceso de superación, es decir, parcialmente resueltas.</w:t>
            </w:r>
          </w:p>
          <w:p w14:paraId="638FFAB0" w14:textId="77777777" w:rsidR="00C17E6E" w:rsidRPr="00E40013" w:rsidRDefault="00C17E6E" w:rsidP="00C17E6E">
            <w:pPr>
              <w:pStyle w:val="Prrafodelista"/>
              <w:numPr>
                <w:ilvl w:val="0"/>
                <w:numId w:val="124"/>
              </w:numPr>
              <w:spacing w:before="1"/>
              <w:jc w:val="both"/>
              <w:rPr>
                <w:rFonts w:ascii="Arial" w:hAnsi="Arial" w:cs="Arial"/>
                <w:bCs/>
              </w:rPr>
            </w:pPr>
            <w:r w:rsidRPr="00E40013">
              <w:rPr>
                <w:rFonts w:ascii="Arial" w:hAnsi="Arial" w:cs="Arial"/>
                <w:bCs/>
              </w:rPr>
              <w:t>19 actividades no presentaron avances en su superación, ni en el cumplimiento de la meta establecida.</w:t>
            </w:r>
          </w:p>
          <w:p w14:paraId="25911E36" w14:textId="77777777" w:rsidR="00C17E6E" w:rsidRPr="00E40013" w:rsidRDefault="00C17E6E" w:rsidP="00F1223B">
            <w:pPr>
              <w:rPr>
                <w:rFonts w:ascii="Arial" w:hAnsi="Arial" w:cs="Arial"/>
                <w:bCs/>
              </w:rPr>
            </w:pPr>
            <w:r w:rsidRPr="00E40013">
              <w:rPr>
                <w:rFonts w:ascii="Arial" w:hAnsi="Arial" w:cs="Arial"/>
                <w:bCs/>
              </w:rPr>
              <w:t>Así mismo, al analizar las glosas en términos de unidades de medida establecidas en el Plan de Mejoramiento, se identificaron 160 glosas, de las cuales:</w:t>
            </w:r>
          </w:p>
          <w:p w14:paraId="4B40C326" w14:textId="77777777" w:rsidR="00C17E6E" w:rsidRPr="00E40013" w:rsidRDefault="00C17E6E" w:rsidP="00C17E6E">
            <w:pPr>
              <w:pStyle w:val="Prrafodelista"/>
              <w:numPr>
                <w:ilvl w:val="0"/>
                <w:numId w:val="125"/>
              </w:numPr>
              <w:spacing w:before="1"/>
              <w:jc w:val="both"/>
              <w:rPr>
                <w:rFonts w:ascii="Arial" w:hAnsi="Arial" w:cs="Arial"/>
                <w:bCs/>
              </w:rPr>
            </w:pPr>
            <w:r w:rsidRPr="00E40013">
              <w:rPr>
                <w:rFonts w:ascii="Arial" w:hAnsi="Arial" w:cs="Arial"/>
                <w:bCs/>
              </w:rPr>
              <w:t>109 fueron subsanadas completamente.</w:t>
            </w:r>
          </w:p>
          <w:p w14:paraId="0E8B783A" w14:textId="77777777" w:rsidR="00C17E6E" w:rsidRPr="00E40013" w:rsidRDefault="00C17E6E" w:rsidP="00C17E6E">
            <w:pPr>
              <w:pStyle w:val="Prrafodelista"/>
              <w:numPr>
                <w:ilvl w:val="0"/>
                <w:numId w:val="125"/>
              </w:numPr>
              <w:spacing w:before="1"/>
              <w:jc w:val="both"/>
              <w:rPr>
                <w:rFonts w:ascii="Arial" w:hAnsi="Arial" w:cs="Arial"/>
                <w:bCs/>
              </w:rPr>
            </w:pPr>
            <w:r w:rsidRPr="00E40013">
              <w:rPr>
                <w:rFonts w:ascii="Arial" w:hAnsi="Arial" w:cs="Arial"/>
                <w:bCs/>
              </w:rPr>
              <w:t>22 quedaron parcialmente resueltas.</w:t>
            </w:r>
          </w:p>
          <w:p w14:paraId="1790005F" w14:textId="77777777" w:rsidR="00C17E6E" w:rsidRPr="00E40013" w:rsidRDefault="00C17E6E" w:rsidP="00C17E6E">
            <w:pPr>
              <w:pStyle w:val="Prrafodelista"/>
              <w:numPr>
                <w:ilvl w:val="0"/>
                <w:numId w:val="125"/>
              </w:numPr>
              <w:spacing w:before="1"/>
              <w:jc w:val="both"/>
              <w:rPr>
                <w:rFonts w:ascii="Arial" w:hAnsi="Arial" w:cs="Arial"/>
                <w:bCs/>
              </w:rPr>
            </w:pPr>
            <w:r w:rsidRPr="00E40013">
              <w:rPr>
                <w:rFonts w:ascii="Arial" w:hAnsi="Arial" w:cs="Arial"/>
                <w:bCs/>
              </w:rPr>
              <w:t>29 no pudieron ser superadas.</w:t>
            </w:r>
          </w:p>
          <w:p w14:paraId="0A6AF1F0" w14:textId="77777777" w:rsidR="00C17E6E" w:rsidRPr="00E40013" w:rsidRDefault="00C17E6E" w:rsidP="00F1223B">
            <w:pPr>
              <w:rPr>
                <w:rFonts w:ascii="Arial" w:hAnsi="Arial" w:cs="Arial"/>
                <w:bCs/>
              </w:rPr>
            </w:pPr>
          </w:p>
          <w:p w14:paraId="43D04B38" w14:textId="77777777" w:rsidR="00C17E6E" w:rsidRPr="00E40013" w:rsidRDefault="00C17E6E" w:rsidP="00F1223B">
            <w:pPr>
              <w:jc w:val="both"/>
              <w:rPr>
                <w:rFonts w:ascii="Arial" w:hAnsi="Arial" w:cs="Arial"/>
                <w:bCs/>
              </w:rPr>
            </w:pPr>
            <w:r w:rsidRPr="00E40013">
              <w:rPr>
                <w:rFonts w:ascii="Arial" w:hAnsi="Arial" w:cs="Arial"/>
                <w:bCs/>
              </w:rPr>
              <w:t>Estos resultados indican un nivel de efectividad del 72% en el cumplimiento de las metas, con un 28% pendiente.  Se advierte que la oficina de contabilidad de la Universidad Tecnológica del Chocó debe suscribir un nuevo Plan de Mejoramiento, bajo observación de que el incumplimiento será reportado a la oficina de Control Disciplinario.</w:t>
            </w:r>
          </w:p>
          <w:p w14:paraId="28E284AD" w14:textId="77777777" w:rsidR="00C17E6E" w:rsidRPr="00E40013" w:rsidRDefault="00C17E6E" w:rsidP="00F1223B">
            <w:pPr>
              <w:jc w:val="both"/>
              <w:rPr>
                <w:rFonts w:ascii="Arial" w:hAnsi="Arial" w:cs="Arial"/>
                <w:bCs/>
              </w:rPr>
            </w:pPr>
          </w:p>
          <w:p w14:paraId="1508B8D1" w14:textId="77777777" w:rsidR="00C17E6E" w:rsidRPr="00E40013" w:rsidRDefault="00C17E6E" w:rsidP="00F1223B">
            <w:pPr>
              <w:jc w:val="both"/>
              <w:rPr>
                <w:rFonts w:ascii="Arial" w:hAnsi="Arial" w:cs="Arial"/>
                <w:bCs/>
              </w:rPr>
            </w:pPr>
            <w:r w:rsidRPr="00E40013">
              <w:rPr>
                <w:rFonts w:ascii="Arial" w:hAnsi="Arial" w:cs="Arial"/>
                <w:bCs/>
              </w:rPr>
              <w:t>Finalmente, el 28% de incumplimiento se atribuye a la situación de anormalidad académica y administrativa que afectó a la Universidad desde finales de septiembre de 2024 hasta principios del presente año.  Estas circunstancias impactaron negativamente en los procesos de planificación, lo cual se refleja en los resultados de este informe.</w:t>
            </w:r>
          </w:p>
        </w:tc>
      </w:tr>
      <w:tr w:rsidR="00C17E6E" w:rsidRPr="00E40013" w14:paraId="78BBEAC3" w14:textId="77777777" w:rsidTr="00217295">
        <w:trPr>
          <w:jc w:val="center"/>
        </w:trPr>
        <w:tc>
          <w:tcPr>
            <w:tcW w:w="304" w:type="dxa"/>
          </w:tcPr>
          <w:p w14:paraId="3FF2B9CC" w14:textId="77777777" w:rsidR="00C17E6E" w:rsidRPr="00E40013" w:rsidRDefault="00C17E6E" w:rsidP="00F1223B">
            <w:pPr>
              <w:tabs>
                <w:tab w:val="left" w:pos="1920"/>
              </w:tabs>
              <w:jc w:val="center"/>
              <w:rPr>
                <w:rFonts w:ascii="Arial" w:hAnsi="Arial" w:cs="Arial"/>
                <w:b/>
              </w:rPr>
            </w:pPr>
            <w:r w:rsidRPr="00E40013">
              <w:rPr>
                <w:rFonts w:ascii="Arial" w:hAnsi="Arial" w:cs="Arial"/>
                <w:b/>
              </w:rPr>
              <w:t>27</w:t>
            </w:r>
          </w:p>
        </w:tc>
        <w:tc>
          <w:tcPr>
            <w:tcW w:w="10307" w:type="dxa"/>
          </w:tcPr>
          <w:p w14:paraId="5DCE8BF8" w14:textId="77777777" w:rsidR="00C17E6E" w:rsidRPr="00E40013" w:rsidRDefault="00C17E6E" w:rsidP="00F1223B">
            <w:pPr>
              <w:jc w:val="both"/>
              <w:rPr>
                <w:rFonts w:ascii="Arial" w:hAnsi="Arial" w:cs="Arial"/>
                <w:bCs/>
              </w:rPr>
            </w:pPr>
            <w:r w:rsidRPr="00E40013">
              <w:rPr>
                <w:rFonts w:ascii="Arial" w:hAnsi="Arial" w:cs="Arial"/>
                <w:b/>
                <w:lang w:val="es-MX"/>
              </w:rPr>
              <w:t xml:space="preserve">COMISIÓN DE REGULACIÓN DE ENERGÍA Y GAS - CREG. </w:t>
            </w:r>
            <w:r w:rsidRPr="00E40013">
              <w:rPr>
                <w:rFonts w:ascii="Arial" w:hAnsi="Arial" w:cs="Arial"/>
                <w:bCs/>
              </w:rPr>
              <w:t>Sobre las acciones finalizadas y efectivas, acciones finalizadas e inefectivas y acciones para redefinición de los hallazgos vigencia 2021, 2022 se concluye:</w:t>
            </w:r>
          </w:p>
          <w:p w14:paraId="57DC8029" w14:textId="77777777" w:rsidR="00C17E6E" w:rsidRPr="00E40013" w:rsidRDefault="00C17E6E" w:rsidP="00F1223B">
            <w:pPr>
              <w:jc w:val="both"/>
              <w:rPr>
                <w:rFonts w:ascii="Arial" w:hAnsi="Arial" w:cs="Arial"/>
                <w:bCs/>
              </w:rPr>
            </w:pPr>
          </w:p>
          <w:p w14:paraId="412D8148" w14:textId="77777777" w:rsidR="00C17E6E" w:rsidRPr="00E40013" w:rsidRDefault="00C17E6E" w:rsidP="00C17E6E">
            <w:pPr>
              <w:pStyle w:val="Prrafodelista"/>
              <w:numPr>
                <w:ilvl w:val="0"/>
                <w:numId w:val="126"/>
              </w:numPr>
              <w:spacing w:before="1"/>
              <w:jc w:val="both"/>
              <w:rPr>
                <w:rFonts w:ascii="Arial" w:hAnsi="Arial" w:cs="Arial"/>
                <w:b/>
                <w:u w:val="single"/>
                <w:lang w:val="es-MX"/>
              </w:rPr>
            </w:pPr>
            <w:r w:rsidRPr="00E40013">
              <w:rPr>
                <w:rFonts w:ascii="Arial" w:hAnsi="Arial" w:cs="Arial"/>
                <w:b/>
                <w:u w:val="single"/>
              </w:rPr>
              <w:t>Tres acciones finalizadas e inefectivas (02, 05, 06 de 2022).</w:t>
            </w:r>
          </w:p>
          <w:p w14:paraId="09C57F93" w14:textId="77777777" w:rsidR="00C17E6E" w:rsidRPr="00E40013" w:rsidRDefault="00C17E6E" w:rsidP="00C17E6E">
            <w:pPr>
              <w:pStyle w:val="Prrafodelista"/>
              <w:numPr>
                <w:ilvl w:val="0"/>
                <w:numId w:val="126"/>
              </w:numPr>
              <w:spacing w:before="1"/>
              <w:jc w:val="both"/>
              <w:rPr>
                <w:rFonts w:ascii="Arial" w:hAnsi="Arial" w:cs="Arial"/>
                <w:b/>
                <w:u w:val="single"/>
                <w:lang w:val="es-MX"/>
              </w:rPr>
            </w:pPr>
            <w:r w:rsidRPr="00E40013">
              <w:rPr>
                <w:rFonts w:ascii="Arial" w:hAnsi="Arial" w:cs="Arial"/>
                <w:b/>
                <w:u w:val="single"/>
              </w:rPr>
              <w:t xml:space="preserve">Cuatro acciones para las cuales se solicitó la redefinición (2 de 2020, 01, 09, 10 de 2022). </w:t>
            </w:r>
          </w:p>
        </w:tc>
      </w:tr>
      <w:tr w:rsidR="00C17E6E" w:rsidRPr="00E40013" w14:paraId="1AEEFB9D" w14:textId="77777777" w:rsidTr="00217295">
        <w:trPr>
          <w:jc w:val="center"/>
        </w:trPr>
        <w:tc>
          <w:tcPr>
            <w:tcW w:w="304" w:type="dxa"/>
          </w:tcPr>
          <w:p w14:paraId="5C2A3C2A" w14:textId="77777777" w:rsidR="00C17E6E" w:rsidRPr="00E40013" w:rsidRDefault="00C17E6E" w:rsidP="00F1223B">
            <w:pPr>
              <w:tabs>
                <w:tab w:val="left" w:pos="1920"/>
              </w:tabs>
              <w:jc w:val="center"/>
              <w:rPr>
                <w:rFonts w:ascii="Arial" w:hAnsi="Arial" w:cs="Arial"/>
                <w:b/>
              </w:rPr>
            </w:pPr>
            <w:r w:rsidRPr="00E40013">
              <w:rPr>
                <w:rFonts w:ascii="Arial" w:hAnsi="Arial" w:cs="Arial"/>
                <w:b/>
              </w:rPr>
              <w:t>28</w:t>
            </w:r>
          </w:p>
        </w:tc>
        <w:tc>
          <w:tcPr>
            <w:tcW w:w="10307" w:type="dxa"/>
          </w:tcPr>
          <w:p w14:paraId="5B5304E0" w14:textId="77777777" w:rsidR="00C17E6E" w:rsidRPr="00E40013" w:rsidRDefault="00C17E6E" w:rsidP="00F1223B">
            <w:pPr>
              <w:jc w:val="both"/>
              <w:rPr>
                <w:rFonts w:ascii="Arial" w:hAnsi="Arial" w:cs="Arial"/>
                <w:bCs/>
                <w:lang w:val="es-MX"/>
              </w:rPr>
            </w:pPr>
            <w:r w:rsidRPr="00E40013">
              <w:rPr>
                <w:rFonts w:ascii="Arial" w:hAnsi="Arial" w:cs="Arial"/>
                <w:b/>
                <w:lang w:val="es-MX"/>
              </w:rPr>
              <w:t xml:space="preserve">AGENCIA NACIONAL DE SEGURIDAD VIAL. </w:t>
            </w:r>
            <w:r w:rsidRPr="00E40013">
              <w:rPr>
                <w:rFonts w:ascii="Arial" w:hAnsi="Arial" w:cs="Arial"/>
                <w:bCs/>
                <w:lang w:val="es-MX"/>
              </w:rPr>
              <w:t xml:space="preserve">Al 31 de diciembre de 2024, se encontraban 5 Planes de Mejoramiento vigentes, con 33 Hallazgos, 61 Acciones y 82 actividades de mejoramiento, derivadas de las auditorias de cumplimiento realizadas a las vigencias 2016 a 2018, 2020, 2022 y auditorias financieras realizadas a las vigencias 2021 y 2023, las cuales fueron objeto de revisión; por tanto, de conformidad con las evidencias allegadas y reformulaciones presentadas, se identificó gestión por parte de las áreas responsables para garantizar su cumplimiento y efectividad, identificando en total 84 actividades de mejoramiento, de las cuales el 52% no ha iniciado ejecución, el 4% se encuentran en ejecución, </w:t>
            </w:r>
            <w:r w:rsidRPr="00E40013">
              <w:rPr>
                <w:rFonts w:ascii="Arial" w:hAnsi="Arial" w:cs="Arial"/>
                <w:b/>
                <w:u w:val="single"/>
                <w:lang w:val="es-MX"/>
              </w:rPr>
              <w:t>el 29% se encuentran cumplidas en términos de eficacia; sin embargo, se encuentra pendiente determinar su efectividad</w:t>
            </w:r>
            <w:r w:rsidRPr="00E40013">
              <w:rPr>
                <w:rFonts w:ascii="Arial" w:hAnsi="Arial" w:cs="Arial"/>
                <w:bCs/>
                <w:lang w:val="es-MX"/>
              </w:rPr>
              <w:t xml:space="preserve">, el 8% fueron declaradas efectivas por la Contraloría General de la República, en consecuencia se retiraron del Plan de Mejoramiento Institucional, </w:t>
            </w:r>
            <w:r w:rsidRPr="00E40013">
              <w:rPr>
                <w:rFonts w:ascii="Arial" w:hAnsi="Arial" w:cs="Arial"/>
                <w:b/>
                <w:u w:val="single"/>
                <w:lang w:val="es-MX"/>
              </w:rPr>
              <w:t>el 7% fueron declaradas No efectivas por la Contraloría General de la República, por tanto se hace necesaria su reformulación por parte de las áreas responsables; por último no se identificaron acciones vencidas</w:t>
            </w:r>
            <w:r w:rsidRPr="00E40013">
              <w:rPr>
                <w:rFonts w:ascii="Arial" w:hAnsi="Arial" w:cs="Arial"/>
                <w:bCs/>
                <w:lang w:val="es-MX"/>
              </w:rPr>
              <w:t>.</w:t>
            </w:r>
          </w:p>
        </w:tc>
      </w:tr>
      <w:tr w:rsidR="00C17E6E" w:rsidRPr="00E40013" w14:paraId="6B8A4C85" w14:textId="77777777" w:rsidTr="00217295">
        <w:trPr>
          <w:jc w:val="center"/>
        </w:trPr>
        <w:tc>
          <w:tcPr>
            <w:tcW w:w="304" w:type="dxa"/>
          </w:tcPr>
          <w:p w14:paraId="5D3781A3" w14:textId="77777777" w:rsidR="00C17E6E" w:rsidRPr="00E40013" w:rsidRDefault="00C17E6E" w:rsidP="00F1223B">
            <w:pPr>
              <w:tabs>
                <w:tab w:val="left" w:pos="1920"/>
              </w:tabs>
              <w:jc w:val="center"/>
              <w:rPr>
                <w:rFonts w:ascii="Arial" w:hAnsi="Arial" w:cs="Arial"/>
                <w:b/>
              </w:rPr>
            </w:pPr>
            <w:r w:rsidRPr="00E40013">
              <w:rPr>
                <w:rFonts w:ascii="Arial" w:hAnsi="Arial" w:cs="Arial"/>
                <w:b/>
              </w:rPr>
              <w:t>29</w:t>
            </w:r>
          </w:p>
        </w:tc>
        <w:tc>
          <w:tcPr>
            <w:tcW w:w="10307" w:type="dxa"/>
          </w:tcPr>
          <w:p w14:paraId="35752E9F" w14:textId="77777777" w:rsidR="00C17E6E" w:rsidRPr="00E40013" w:rsidRDefault="00C17E6E" w:rsidP="00F1223B">
            <w:pPr>
              <w:pStyle w:val="Textoindependiente"/>
              <w:tabs>
                <w:tab w:val="left" w:pos="2055"/>
              </w:tabs>
              <w:jc w:val="both"/>
              <w:rPr>
                <w:rFonts w:ascii="Arial" w:hAnsi="Arial" w:cs="Arial"/>
              </w:rPr>
            </w:pPr>
            <w:r w:rsidRPr="00E40013">
              <w:rPr>
                <w:rFonts w:ascii="Arial" w:hAnsi="Arial" w:cs="Arial"/>
                <w:b/>
              </w:rPr>
              <w:t xml:space="preserve">CORPORACIÓN PARA EL DESARROLLO DEL AREA DE MANEJO ESPECIAL LA MACARENA – CORMACARENA. </w:t>
            </w:r>
            <w:r w:rsidRPr="00E40013">
              <w:rPr>
                <w:rFonts w:ascii="Arial" w:hAnsi="Arial" w:cs="Arial"/>
              </w:rPr>
              <w:t xml:space="preserve">Auditorías realizadas entre las vigencias 2022 y 2024. Las cuales integran 33 hallazgos con un total de 55 acciones de mejoramiento, cuyas acciones se han cumplido de manera eficiente 42 acciones y </w:t>
            </w:r>
            <w:r w:rsidRPr="00E40013">
              <w:rPr>
                <w:rFonts w:ascii="Arial" w:hAnsi="Arial" w:cs="Arial"/>
                <w:b/>
                <w:bCs/>
                <w:u w:val="single"/>
              </w:rPr>
              <w:t>se encuentran pendientes por cumplir 13 acciones de mejora con corte a 31 de diciembre de 2024, con un porcentaje de avance del 76% de cumplimiento y 24% pendiente por cumplir</w:t>
            </w:r>
            <w:r w:rsidRPr="00E40013">
              <w:rPr>
                <w:rFonts w:ascii="Arial" w:hAnsi="Arial" w:cs="Arial"/>
              </w:rPr>
              <w:t>.</w:t>
            </w:r>
          </w:p>
        </w:tc>
      </w:tr>
      <w:tr w:rsidR="00C17E6E" w:rsidRPr="00E40013" w14:paraId="65D4BEE5" w14:textId="77777777" w:rsidTr="00217295">
        <w:trPr>
          <w:jc w:val="center"/>
        </w:trPr>
        <w:tc>
          <w:tcPr>
            <w:tcW w:w="304" w:type="dxa"/>
          </w:tcPr>
          <w:p w14:paraId="33A68473" w14:textId="77777777" w:rsidR="00C17E6E" w:rsidRPr="00E40013" w:rsidRDefault="00C17E6E" w:rsidP="00F1223B">
            <w:pPr>
              <w:tabs>
                <w:tab w:val="left" w:pos="1920"/>
              </w:tabs>
              <w:jc w:val="center"/>
              <w:rPr>
                <w:rFonts w:ascii="Arial" w:hAnsi="Arial" w:cs="Arial"/>
                <w:b/>
              </w:rPr>
            </w:pPr>
            <w:r w:rsidRPr="00E40013">
              <w:rPr>
                <w:rFonts w:ascii="Arial" w:hAnsi="Arial" w:cs="Arial"/>
                <w:b/>
              </w:rPr>
              <w:t>30</w:t>
            </w:r>
          </w:p>
        </w:tc>
        <w:tc>
          <w:tcPr>
            <w:tcW w:w="10307" w:type="dxa"/>
          </w:tcPr>
          <w:p w14:paraId="16340C9E"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SOCIEDAD FIDUCIARIA DE DESARROLLO AGROPECUARIO S.A. – FIDUAGRARIA S.A. </w:t>
            </w:r>
            <w:r w:rsidRPr="00E40013">
              <w:rPr>
                <w:rFonts w:ascii="Arial" w:hAnsi="Arial" w:cs="Arial"/>
              </w:rPr>
              <w:t>El porcentaje de cumplimiento corresponde a las 18 acciones cuyo resultado de la evaluación de cumplimiento fue “INEFECTIVO” y en el porcentaje de avance se incorporaron 8 acciones cuya evaluación fue “INEFICAZ” (Equivalente al 25% del 44%).</w:t>
            </w:r>
          </w:p>
        </w:tc>
      </w:tr>
      <w:tr w:rsidR="00C17E6E" w:rsidRPr="00E40013" w14:paraId="155408B5" w14:textId="77777777" w:rsidTr="00217295">
        <w:trPr>
          <w:jc w:val="center"/>
        </w:trPr>
        <w:tc>
          <w:tcPr>
            <w:tcW w:w="304" w:type="dxa"/>
          </w:tcPr>
          <w:p w14:paraId="2DAC4B8E" w14:textId="77777777" w:rsidR="00C17E6E" w:rsidRPr="00E40013" w:rsidRDefault="00C17E6E" w:rsidP="00F1223B">
            <w:pPr>
              <w:tabs>
                <w:tab w:val="left" w:pos="1920"/>
              </w:tabs>
              <w:jc w:val="center"/>
              <w:rPr>
                <w:rFonts w:ascii="Arial" w:hAnsi="Arial" w:cs="Arial"/>
                <w:b/>
              </w:rPr>
            </w:pPr>
            <w:r w:rsidRPr="00E40013">
              <w:rPr>
                <w:rFonts w:ascii="Arial" w:hAnsi="Arial" w:cs="Arial"/>
                <w:b/>
              </w:rPr>
              <w:t>31</w:t>
            </w:r>
          </w:p>
        </w:tc>
        <w:tc>
          <w:tcPr>
            <w:tcW w:w="10307" w:type="dxa"/>
          </w:tcPr>
          <w:p w14:paraId="45DB63CC"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U.A.E. MIGRACIÓN COLOMBIA.  </w:t>
            </w:r>
            <w:r w:rsidRPr="00E40013">
              <w:rPr>
                <w:rFonts w:ascii="Arial" w:hAnsi="Arial" w:cs="Arial"/>
                <w:b/>
                <w:bCs/>
                <w:u w:val="single"/>
              </w:rPr>
              <w:t xml:space="preserve">Es importante precisar que la actividad número ocho, como se evidencia </w:t>
            </w:r>
            <w:r w:rsidRPr="00E40013">
              <w:rPr>
                <w:rFonts w:ascii="Arial" w:hAnsi="Arial" w:cs="Arial"/>
                <w:b/>
                <w:bCs/>
                <w:u w:val="single"/>
              </w:rPr>
              <w:lastRenderedPageBreak/>
              <w:t>en la anterior información, no registra avance dado a la imposibilidad de dar cumplimiento a la acción de mejora que detalla</w:t>
            </w:r>
            <w:r w:rsidRPr="00E40013">
              <w:rPr>
                <w:rFonts w:ascii="Arial" w:hAnsi="Arial" w:cs="Arial"/>
              </w:rPr>
              <w:t xml:space="preserve"> : “</w:t>
            </w:r>
            <w:r w:rsidRPr="00E40013">
              <w:rPr>
                <w:rFonts w:ascii="Arial" w:hAnsi="Arial" w:cs="Arial"/>
                <w:i/>
                <w:iCs/>
              </w:rPr>
              <w:t>Acondicionar servidor para la migración de bases de datos a Oracle 19C del primer puesto de Control Migratorio Traslado y conexión local del servidor para el primer puesto de Control Migratorio Migración de datos a Oracle 19C Pruebas y puesta en producción de la base de datos de Oracle 19C Retorno del servidor al nivel central Formateo y adecuación del servidor para el siguiente PCM</w:t>
            </w:r>
            <w:r w:rsidRPr="00E40013">
              <w:rPr>
                <w:rFonts w:ascii="Arial" w:hAnsi="Arial" w:cs="Arial"/>
              </w:rPr>
              <w:t xml:space="preserve"> ” y cuya actividad está definida como :“</w:t>
            </w:r>
            <w:r w:rsidRPr="00E40013">
              <w:rPr>
                <w:rFonts w:ascii="Arial" w:hAnsi="Arial" w:cs="Arial"/>
                <w:i/>
                <w:iCs/>
              </w:rPr>
              <w:t>Elaborar informe que dé cuenta del acondicionamiento del servidor para la migración de bases de datos a Oracle 19C del primer puesto de Control Migratorio, del traslado y conexión local del servidor, pruebas y puesta en producción de la base de datos, retorno del servidor al nivel central, así como el formateo y adecuación del servidor para el siguiente PCM</w:t>
            </w:r>
            <w:r w:rsidRPr="00E40013">
              <w:rPr>
                <w:rFonts w:ascii="Arial" w:hAnsi="Arial" w:cs="Arial"/>
              </w:rPr>
              <w:t xml:space="preserve">.”. </w:t>
            </w:r>
          </w:p>
          <w:p w14:paraId="0C906174" w14:textId="77777777" w:rsidR="00C17E6E" w:rsidRPr="00E40013" w:rsidRDefault="00C17E6E" w:rsidP="00F1223B">
            <w:pPr>
              <w:pStyle w:val="Textoindependiente"/>
              <w:tabs>
                <w:tab w:val="left" w:pos="2055"/>
              </w:tabs>
              <w:spacing w:before="5"/>
              <w:jc w:val="both"/>
              <w:rPr>
                <w:rFonts w:ascii="Arial" w:hAnsi="Arial" w:cs="Arial"/>
              </w:rPr>
            </w:pPr>
          </w:p>
          <w:p w14:paraId="19F7588A"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rPr>
              <w:t xml:space="preserve">Lo anterior, con base en lo comunicado por la Oficina de Tecnología de la información, área responsable de la ejecución de la actividad; la cual nos indica que uno de los requisitos técnicos para implementar el centro de datos alterno es que debe ser acondicionado en una sede distinta de la Entidad, de la cual se encuentra hoy en día el centro de datos principal. Por lo anterior, se planteó que debería ser implementado en la nueva sede que fuese adquirida para la sede de la Regional Andina de la Unidad Administrativa Especial Migración Colombia, adquisición que al inicio de la vigencia 2024 ya estaba en curso; sin embargo, la compra de la sede se dilato en el tiempo, incluso para el mes de octubre de 2024, aún se estaban realizando trámites administrativos y contractuales para su adquisición. </w:t>
            </w:r>
          </w:p>
          <w:p w14:paraId="410C5EDB" w14:textId="77777777" w:rsidR="00C17E6E" w:rsidRPr="00E40013" w:rsidRDefault="00C17E6E" w:rsidP="00F1223B">
            <w:pPr>
              <w:pStyle w:val="Textoindependiente"/>
              <w:tabs>
                <w:tab w:val="left" w:pos="2055"/>
              </w:tabs>
              <w:spacing w:before="5"/>
              <w:jc w:val="both"/>
              <w:rPr>
                <w:rFonts w:ascii="Arial" w:hAnsi="Arial" w:cs="Arial"/>
              </w:rPr>
            </w:pPr>
          </w:p>
          <w:p w14:paraId="129FBE4B" w14:textId="77777777" w:rsidR="00C17E6E" w:rsidRPr="00E40013" w:rsidRDefault="00C17E6E" w:rsidP="00F1223B">
            <w:pPr>
              <w:pStyle w:val="Textoindependiente"/>
              <w:tabs>
                <w:tab w:val="left" w:pos="2055"/>
              </w:tabs>
              <w:spacing w:before="5"/>
              <w:jc w:val="both"/>
              <w:rPr>
                <w:rFonts w:ascii="Arial" w:hAnsi="Arial" w:cs="Arial"/>
                <w:sz w:val="17"/>
              </w:rPr>
            </w:pPr>
            <w:r w:rsidRPr="00E40013">
              <w:rPr>
                <w:rFonts w:ascii="Arial" w:hAnsi="Arial" w:cs="Arial"/>
              </w:rPr>
              <w:t>Adicionalmente para la vigencia 2024 el proyecto de inversión a través del cual se planearon los recursos para la adquisición de la plataforma tecnológica del centro de datos alterno, fue objeto de congelamiento de recursos en el orden de $11.486.000.000 (Once mil cuatrocientos ochenta y seis millones de pesos) que corresponden al 37% del presupuesto total del proyecto, motivo por el cual tampoco era viable el cumplimiento de la meta. El bloqueo presupuestal deja un atraso en la sostenibilidad de la plataforma tecnológica.</w:t>
            </w:r>
          </w:p>
        </w:tc>
      </w:tr>
      <w:tr w:rsidR="00C17E6E" w:rsidRPr="00E40013" w14:paraId="7797C5E0" w14:textId="77777777" w:rsidTr="00217295">
        <w:trPr>
          <w:jc w:val="center"/>
        </w:trPr>
        <w:tc>
          <w:tcPr>
            <w:tcW w:w="304" w:type="dxa"/>
          </w:tcPr>
          <w:p w14:paraId="53DEC9D7"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32</w:t>
            </w:r>
          </w:p>
        </w:tc>
        <w:tc>
          <w:tcPr>
            <w:tcW w:w="10307" w:type="dxa"/>
          </w:tcPr>
          <w:p w14:paraId="24F21EE4" w14:textId="77777777" w:rsidR="00C17E6E" w:rsidRPr="00E40013" w:rsidRDefault="00C17E6E" w:rsidP="00F1223B">
            <w:pPr>
              <w:pStyle w:val="Ttulo1"/>
              <w:ind w:right="-50"/>
              <w:jc w:val="both"/>
              <w:outlineLvl w:val="0"/>
              <w:rPr>
                <w:b w:val="0"/>
                <w:bCs w:val="0"/>
                <w:sz w:val="20"/>
                <w:szCs w:val="20"/>
              </w:rPr>
            </w:pPr>
            <w:r w:rsidRPr="00E40013">
              <w:rPr>
                <w:sz w:val="20"/>
                <w:szCs w:val="20"/>
                <w:lang w:val="es-MX"/>
              </w:rPr>
              <w:t>UNIVERSIDAD DE LOS LLANOS – UNILLANOS</w:t>
            </w:r>
            <w:r w:rsidRPr="00E40013">
              <w:rPr>
                <w:b w:val="0"/>
                <w:sz w:val="20"/>
                <w:szCs w:val="20"/>
                <w:lang w:val="es-MX"/>
              </w:rPr>
              <w:t xml:space="preserve">. </w:t>
            </w:r>
            <w:r w:rsidRPr="00E40013">
              <w:rPr>
                <w:b w:val="0"/>
                <w:sz w:val="20"/>
                <w:szCs w:val="20"/>
              </w:rPr>
              <w:t xml:space="preserve">Conclusiones: </w:t>
            </w:r>
            <w:r w:rsidRPr="00E40013">
              <w:rPr>
                <w:b w:val="0"/>
                <w:bCs w:val="0"/>
                <w:sz w:val="20"/>
                <w:szCs w:val="20"/>
                <w:u w:val="single"/>
              </w:rPr>
              <w:t>Como resultado del seguimiento realizado al plan de mejoramiento institucional, se concluye que los líderes de proceso, no están tomando las medidas de control necesarias para revisar los planes suscritos derivados de las auditorías practicadas por la Oficina de Control Interno de Gestión, Sistema Integrado de Gestión – Calidad, por los Entes de Control y Certificadores, toda vez, que en varios procesos se evidencian hallazgos y acciones vencidas de vigencias anteriores y de las practicadas en la presente vigencia</w:t>
            </w:r>
            <w:r w:rsidRPr="00E40013">
              <w:rPr>
                <w:b w:val="0"/>
                <w:bCs w:val="0"/>
                <w:sz w:val="20"/>
                <w:szCs w:val="20"/>
              </w:rPr>
              <w:t>.</w:t>
            </w:r>
          </w:p>
        </w:tc>
      </w:tr>
      <w:tr w:rsidR="00C17E6E" w:rsidRPr="00E40013" w14:paraId="02ED35FE" w14:textId="77777777" w:rsidTr="00217295">
        <w:trPr>
          <w:jc w:val="center"/>
        </w:trPr>
        <w:tc>
          <w:tcPr>
            <w:tcW w:w="304" w:type="dxa"/>
          </w:tcPr>
          <w:p w14:paraId="148F134B" w14:textId="77777777" w:rsidR="00C17E6E" w:rsidRPr="00E40013" w:rsidRDefault="00C17E6E" w:rsidP="00F1223B">
            <w:pPr>
              <w:tabs>
                <w:tab w:val="left" w:pos="1920"/>
              </w:tabs>
              <w:jc w:val="center"/>
              <w:rPr>
                <w:rFonts w:ascii="Arial" w:hAnsi="Arial" w:cs="Arial"/>
                <w:b/>
              </w:rPr>
            </w:pPr>
            <w:r w:rsidRPr="00E40013">
              <w:rPr>
                <w:rFonts w:ascii="Arial" w:hAnsi="Arial" w:cs="Arial"/>
                <w:b/>
              </w:rPr>
              <w:t>33</w:t>
            </w:r>
          </w:p>
        </w:tc>
        <w:tc>
          <w:tcPr>
            <w:tcW w:w="10307" w:type="dxa"/>
          </w:tcPr>
          <w:p w14:paraId="4FE3F3E5" w14:textId="77777777" w:rsidR="00C17E6E" w:rsidRPr="00E40013" w:rsidRDefault="00C17E6E" w:rsidP="00F1223B">
            <w:pPr>
              <w:jc w:val="both"/>
              <w:rPr>
                <w:rFonts w:ascii="Arial" w:hAnsi="Arial" w:cs="Arial"/>
              </w:rPr>
            </w:pPr>
            <w:r w:rsidRPr="00E40013">
              <w:rPr>
                <w:rFonts w:ascii="Arial" w:hAnsi="Arial" w:cs="Arial"/>
                <w:b/>
              </w:rPr>
              <w:t>INSTITUTO NACIONAL PENITENCIARIO Y CARCELARIO – INPEC</w:t>
            </w:r>
            <w:r w:rsidRPr="00E40013">
              <w:rPr>
                <w:rFonts w:ascii="Arial" w:hAnsi="Arial" w:cs="Arial"/>
                <w:b/>
                <w:lang w:val="es-MX"/>
              </w:rPr>
              <w:t xml:space="preserve">. </w:t>
            </w:r>
            <w:r w:rsidRPr="00E40013">
              <w:rPr>
                <w:rFonts w:ascii="Arial" w:hAnsi="Arial" w:cs="Arial"/>
                <w:b/>
                <w:u w:val="single"/>
              </w:rPr>
              <w:t>De acuerdo a la anterior gráfica, el Instituto muestra un comportamiento de variación negativa causada por un considerable número de actividades propuestas (565) de las cuales únicamente 174 estaban cumplidas al 100%, lo que representa un 24,4% de cumplimiento de la totalidad de actividades planteadas. Este porcentaje afecta el promedio de cumplimiento del plan de mejoramiento a corte diciembre 31 de 2024</w:t>
            </w:r>
            <w:r w:rsidRPr="00E40013">
              <w:rPr>
                <w:rFonts w:ascii="Arial" w:hAnsi="Arial" w:cs="Arial"/>
              </w:rPr>
              <w:t>.</w:t>
            </w:r>
          </w:p>
          <w:p w14:paraId="77107540" w14:textId="77777777" w:rsidR="00C17E6E" w:rsidRPr="00E40013" w:rsidRDefault="00C17E6E" w:rsidP="00F1223B">
            <w:pPr>
              <w:jc w:val="both"/>
              <w:rPr>
                <w:rFonts w:ascii="Arial" w:hAnsi="Arial" w:cs="Arial"/>
              </w:rPr>
            </w:pPr>
          </w:p>
          <w:p w14:paraId="4D6F0904" w14:textId="77777777" w:rsidR="00C17E6E" w:rsidRPr="00E40013" w:rsidRDefault="00C17E6E" w:rsidP="00F1223B">
            <w:pPr>
              <w:jc w:val="both"/>
              <w:rPr>
                <w:rFonts w:ascii="Arial" w:hAnsi="Arial" w:cs="Arial"/>
                <w:b/>
                <w:u w:val="single"/>
              </w:rPr>
            </w:pPr>
            <w:r w:rsidRPr="00E40013">
              <w:rPr>
                <w:rFonts w:ascii="Arial" w:hAnsi="Arial" w:cs="Arial"/>
                <w:b/>
                <w:u w:val="single"/>
              </w:rPr>
              <w:t>Desde el año 2024 el Instituto ha presentado cambios significativos en la planta de personal debido al ingreso de nuevos funcionarios en el desarrollo de la convocatoria 1357 de 2019, lo que genera ralentización de los procesos incluido el avance del plan de mejoramiento institucional.</w:t>
            </w:r>
          </w:p>
          <w:p w14:paraId="37B9C688" w14:textId="77777777" w:rsidR="00C17E6E" w:rsidRPr="00E40013" w:rsidRDefault="00C17E6E" w:rsidP="00F1223B">
            <w:pPr>
              <w:jc w:val="both"/>
              <w:rPr>
                <w:rFonts w:ascii="Arial" w:hAnsi="Arial" w:cs="Arial"/>
                <w:b/>
                <w:u w:val="single"/>
              </w:rPr>
            </w:pPr>
          </w:p>
          <w:p w14:paraId="6D020E58" w14:textId="77777777" w:rsidR="00C17E6E" w:rsidRPr="00E40013" w:rsidRDefault="00C17E6E" w:rsidP="00F1223B">
            <w:pPr>
              <w:jc w:val="center"/>
              <w:rPr>
                <w:rFonts w:ascii="Arial" w:hAnsi="Arial" w:cs="Arial"/>
                <w:b/>
                <w:u w:val="single"/>
              </w:rPr>
            </w:pPr>
            <w:r w:rsidRPr="00E40013">
              <w:rPr>
                <w:noProof/>
                <w:sz w:val="24"/>
                <w:szCs w:val="24"/>
                <w:lang w:val="es-CO"/>
              </w:rPr>
              <w:lastRenderedPageBreak/>
              <w:drawing>
                <wp:inline distT="0" distB="0" distL="0" distR="0" wp14:anchorId="2DE7B867" wp14:editId="2D9A1951">
                  <wp:extent cx="5420481" cy="337232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20481" cy="3372321"/>
                          </a:xfrm>
                          <a:prstGeom prst="rect">
                            <a:avLst/>
                          </a:prstGeom>
                        </pic:spPr>
                      </pic:pic>
                    </a:graphicData>
                  </a:graphic>
                </wp:inline>
              </w:drawing>
            </w:r>
          </w:p>
        </w:tc>
      </w:tr>
      <w:tr w:rsidR="00C17E6E" w:rsidRPr="00E40013" w14:paraId="4FC8CF8E" w14:textId="77777777" w:rsidTr="00217295">
        <w:trPr>
          <w:jc w:val="center"/>
        </w:trPr>
        <w:tc>
          <w:tcPr>
            <w:tcW w:w="304" w:type="dxa"/>
          </w:tcPr>
          <w:p w14:paraId="613CF3AA"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34</w:t>
            </w:r>
          </w:p>
        </w:tc>
        <w:tc>
          <w:tcPr>
            <w:tcW w:w="10307" w:type="dxa"/>
          </w:tcPr>
          <w:p w14:paraId="7A5CA8E8" w14:textId="77777777" w:rsidR="00C17E6E" w:rsidRPr="00E40013" w:rsidRDefault="00C17E6E" w:rsidP="00F1223B">
            <w:pPr>
              <w:pStyle w:val="Textoindependiente"/>
              <w:tabs>
                <w:tab w:val="left" w:pos="2055"/>
              </w:tabs>
              <w:jc w:val="both"/>
              <w:rPr>
                <w:rFonts w:ascii="Arial" w:hAnsi="Arial" w:cs="Arial"/>
              </w:rPr>
            </w:pPr>
            <w:r w:rsidRPr="00E40013">
              <w:rPr>
                <w:rFonts w:ascii="Arial" w:hAnsi="Arial" w:cs="Arial"/>
                <w:b/>
                <w:lang w:val="es-MX"/>
              </w:rPr>
              <w:t xml:space="preserve">CONSEJO PROFESIONAL DE INGENIERIA QUÍMICA DE COLOMBIA – CPIQ. </w:t>
            </w:r>
            <w:r w:rsidRPr="00E40013">
              <w:rPr>
                <w:rFonts w:ascii="Arial" w:hAnsi="Arial" w:cs="Arial"/>
                <w:b/>
                <w:u w:val="single"/>
              </w:rPr>
              <w:t>La entidad se encuentra en reformulación de los planes de mejoramiento para subsanar la causa raíz de los hallazgos</w:t>
            </w:r>
            <w:r w:rsidRPr="00E40013">
              <w:rPr>
                <w:rFonts w:ascii="Arial" w:hAnsi="Arial" w:cs="Arial"/>
              </w:rPr>
              <w:t>.</w:t>
            </w:r>
          </w:p>
        </w:tc>
      </w:tr>
      <w:tr w:rsidR="00C17E6E" w:rsidRPr="00E40013" w14:paraId="2646F256" w14:textId="77777777" w:rsidTr="00217295">
        <w:trPr>
          <w:jc w:val="center"/>
        </w:trPr>
        <w:tc>
          <w:tcPr>
            <w:tcW w:w="304" w:type="dxa"/>
          </w:tcPr>
          <w:p w14:paraId="65CF5D6A" w14:textId="77777777" w:rsidR="00C17E6E" w:rsidRPr="00E40013" w:rsidRDefault="00C17E6E" w:rsidP="00F1223B">
            <w:pPr>
              <w:tabs>
                <w:tab w:val="left" w:pos="1920"/>
              </w:tabs>
              <w:jc w:val="center"/>
              <w:rPr>
                <w:rFonts w:ascii="Arial" w:hAnsi="Arial" w:cs="Arial"/>
                <w:b/>
              </w:rPr>
            </w:pPr>
            <w:r w:rsidRPr="00E40013">
              <w:rPr>
                <w:rFonts w:ascii="Arial" w:hAnsi="Arial" w:cs="Arial"/>
                <w:b/>
              </w:rPr>
              <w:t>35</w:t>
            </w:r>
          </w:p>
        </w:tc>
        <w:tc>
          <w:tcPr>
            <w:tcW w:w="10307" w:type="dxa"/>
          </w:tcPr>
          <w:p w14:paraId="5F3F9BC0" w14:textId="77777777" w:rsidR="00C17E6E" w:rsidRPr="00E40013" w:rsidRDefault="00C17E6E" w:rsidP="00F1223B">
            <w:pPr>
              <w:jc w:val="both"/>
              <w:rPr>
                <w:rFonts w:ascii="Arial" w:hAnsi="Arial" w:cs="Arial"/>
                <w:b/>
                <w:bCs/>
              </w:rPr>
            </w:pPr>
            <w:r w:rsidRPr="00E40013">
              <w:rPr>
                <w:rFonts w:ascii="Arial" w:hAnsi="Arial" w:cs="Arial"/>
                <w:b/>
              </w:rPr>
              <w:t>AUTORIDAD NACIONAL DE LICENCIAS AMBIENTALES - ANLA</w:t>
            </w:r>
            <w:r w:rsidRPr="00E40013">
              <w:rPr>
                <w:rFonts w:ascii="Arial" w:hAnsi="Arial" w:cs="Arial"/>
                <w:b/>
                <w:lang w:val="es-MX"/>
              </w:rPr>
              <w:t xml:space="preserve">. </w:t>
            </w:r>
            <w:r w:rsidRPr="00E40013">
              <w:rPr>
                <w:rFonts w:ascii="Arial" w:hAnsi="Arial" w:cs="Arial"/>
              </w:rPr>
              <w:t xml:space="preserve">De las evaluaciones realizadas, la Oficina de Control Interno concluye que la entidad ha cumplido con las acciones suscritas con el ente de control y en términos generales las acciones han eliminado la causa raíz del hallazgo. En la vigencia 2024 se realizó la evaluación de 46 acciones, de las cuales se cerraron 45, lo que equivale a una efectividad del 97.8 %. </w:t>
            </w:r>
            <w:r w:rsidRPr="00E40013">
              <w:rPr>
                <w:rFonts w:ascii="Arial" w:hAnsi="Arial" w:cs="Arial"/>
                <w:b/>
                <w:u w:val="single"/>
              </w:rPr>
              <w:t>La acción evaluada en negativo fue reformulada por la entidad.</w:t>
            </w:r>
          </w:p>
        </w:tc>
      </w:tr>
      <w:tr w:rsidR="00C17E6E" w:rsidRPr="00E40013" w14:paraId="5F5286B0" w14:textId="77777777" w:rsidTr="00217295">
        <w:trPr>
          <w:jc w:val="center"/>
        </w:trPr>
        <w:tc>
          <w:tcPr>
            <w:tcW w:w="304" w:type="dxa"/>
          </w:tcPr>
          <w:p w14:paraId="0ACBA211" w14:textId="77777777" w:rsidR="00C17E6E" w:rsidRPr="00E40013" w:rsidRDefault="00C17E6E" w:rsidP="00F1223B">
            <w:pPr>
              <w:tabs>
                <w:tab w:val="left" w:pos="1920"/>
              </w:tabs>
              <w:jc w:val="center"/>
              <w:rPr>
                <w:rFonts w:ascii="Arial" w:hAnsi="Arial" w:cs="Arial"/>
                <w:b/>
              </w:rPr>
            </w:pPr>
            <w:r w:rsidRPr="00E40013">
              <w:rPr>
                <w:rFonts w:ascii="Arial" w:hAnsi="Arial" w:cs="Arial"/>
                <w:b/>
              </w:rPr>
              <w:t>36</w:t>
            </w:r>
          </w:p>
        </w:tc>
        <w:tc>
          <w:tcPr>
            <w:tcW w:w="10307" w:type="dxa"/>
          </w:tcPr>
          <w:p w14:paraId="41150AF7" w14:textId="77777777" w:rsidR="00C17E6E" w:rsidRPr="00E40013" w:rsidRDefault="00C17E6E" w:rsidP="00F1223B">
            <w:pPr>
              <w:pStyle w:val="Ttulo1"/>
              <w:spacing w:before="0"/>
              <w:ind w:left="13" w:right="19"/>
              <w:jc w:val="both"/>
              <w:outlineLvl w:val="0"/>
              <w:rPr>
                <w:b w:val="0"/>
                <w:bCs w:val="0"/>
                <w:sz w:val="20"/>
                <w:szCs w:val="20"/>
              </w:rPr>
            </w:pPr>
            <w:r w:rsidRPr="00E40013">
              <w:rPr>
                <w:sz w:val="20"/>
                <w:szCs w:val="20"/>
              </w:rPr>
              <w:t>PATRIMONIO AUTÓNOMO FONDO NACIONAL DE TURISMO FONTUR - FIDUCOLDEX S.A.</w:t>
            </w:r>
            <w:r w:rsidRPr="00E40013">
              <w:rPr>
                <w:b w:val="0"/>
                <w:sz w:val="20"/>
                <w:szCs w:val="20"/>
              </w:rPr>
              <w:t xml:space="preserve"> </w:t>
            </w:r>
            <w:r w:rsidRPr="00E40013">
              <w:rPr>
                <w:b w:val="0"/>
                <w:bCs w:val="0"/>
                <w:sz w:val="20"/>
                <w:szCs w:val="20"/>
              </w:rPr>
              <w:t>Para los hallazgos para los que fueron declarados no efectivos los planes en el informe de la CGR, o en el informe de la OAI, los responsables reformularon las acciones del plan y estas fueron integradas en el reporte con corte a diciembre de 2024 (12 acciones reformuladas para 3 hallazgos).</w:t>
            </w:r>
          </w:p>
        </w:tc>
      </w:tr>
      <w:tr w:rsidR="00C17E6E" w:rsidRPr="00E40013" w14:paraId="2E7C3021" w14:textId="77777777" w:rsidTr="00217295">
        <w:trPr>
          <w:jc w:val="center"/>
        </w:trPr>
        <w:tc>
          <w:tcPr>
            <w:tcW w:w="304" w:type="dxa"/>
          </w:tcPr>
          <w:p w14:paraId="7C05E96C" w14:textId="77777777" w:rsidR="00C17E6E" w:rsidRPr="00E40013" w:rsidRDefault="00C17E6E" w:rsidP="00F1223B">
            <w:pPr>
              <w:tabs>
                <w:tab w:val="left" w:pos="1920"/>
              </w:tabs>
              <w:jc w:val="center"/>
              <w:rPr>
                <w:rFonts w:ascii="Arial" w:hAnsi="Arial" w:cs="Arial"/>
                <w:b/>
              </w:rPr>
            </w:pPr>
            <w:r w:rsidRPr="00E40013">
              <w:rPr>
                <w:rFonts w:ascii="Arial" w:hAnsi="Arial" w:cs="Arial"/>
                <w:b/>
              </w:rPr>
              <w:t>37</w:t>
            </w:r>
          </w:p>
        </w:tc>
        <w:tc>
          <w:tcPr>
            <w:tcW w:w="10307" w:type="dxa"/>
          </w:tcPr>
          <w:p w14:paraId="09D8CC20" w14:textId="77777777" w:rsidR="00C17E6E" w:rsidRPr="00E40013" w:rsidRDefault="00C17E6E" w:rsidP="00F1223B">
            <w:pPr>
              <w:pStyle w:val="Textoindependiente"/>
              <w:tabs>
                <w:tab w:val="left" w:pos="2055"/>
              </w:tabs>
              <w:spacing w:before="5"/>
              <w:jc w:val="both"/>
              <w:rPr>
                <w:rFonts w:ascii="Arial" w:hAnsi="Arial" w:cs="Arial"/>
                <w:b/>
                <w:lang w:val="es-MX"/>
              </w:rPr>
            </w:pPr>
            <w:r w:rsidRPr="00E40013">
              <w:rPr>
                <w:rFonts w:ascii="Arial" w:hAnsi="Arial" w:cs="Arial"/>
                <w:b/>
                <w:lang w:val="es-MX"/>
              </w:rPr>
              <w:t xml:space="preserve">INSTITUTO NACIONAL DE VIGILANCIA DE MEDICAMENTOS Y ALIMENTOS – INVIMA. </w:t>
            </w:r>
          </w:p>
          <w:p w14:paraId="5D1B8CB7" w14:textId="77777777" w:rsidR="00C17E6E" w:rsidRPr="00E40013" w:rsidRDefault="00C17E6E" w:rsidP="00F1223B">
            <w:pPr>
              <w:pStyle w:val="Textoindependiente"/>
              <w:tabs>
                <w:tab w:val="left" w:pos="2055"/>
              </w:tabs>
              <w:spacing w:before="5"/>
              <w:jc w:val="both"/>
              <w:rPr>
                <w:rFonts w:ascii="Arial" w:hAnsi="Arial" w:cs="Arial"/>
                <w:b/>
                <w:bCs/>
                <w:lang w:val="es-MX"/>
              </w:rPr>
            </w:pPr>
          </w:p>
          <w:p w14:paraId="04F21EF4"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bCs/>
              </w:rPr>
              <w:t xml:space="preserve">…4.- VIGENCIAS 2022 y 2023. </w:t>
            </w:r>
            <w:r w:rsidRPr="00E40013">
              <w:rPr>
                <w:rFonts w:ascii="Arial" w:hAnsi="Arial" w:cs="Arial"/>
              </w:rPr>
              <w:t xml:space="preserve">De acuerdo con el informe de auditoría de la Contraloría General de la República en la que dejaron 13 hallazgos, los cuales se están ejecutando en el aplicativo interno Integra y de los cuales solo se ha cerrado, durante el segundo semestre de 2024, el hallazgo No.11: </w:t>
            </w:r>
          </w:p>
          <w:p w14:paraId="579A1B48" w14:textId="77777777" w:rsidR="00C17E6E" w:rsidRPr="00E40013" w:rsidRDefault="00C17E6E" w:rsidP="00F1223B">
            <w:pPr>
              <w:pStyle w:val="Textoindependiente"/>
              <w:tabs>
                <w:tab w:val="left" w:pos="2055"/>
              </w:tabs>
              <w:spacing w:before="5"/>
              <w:jc w:val="both"/>
              <w:rPr>
                <w:rFonts w:ascii="Arial" w:hAnsi="Arial" w:cs="Arial"/>
              </w:rPr>
            </w:pPr>
          </w:p>
          <w:p w14:paraId="4E156C2D"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rPr>
              <w:t>Deficiencia mecanismos de seguimiento y monitoreo, y control sobre las actividades y procesos entre las dependencias para tener información precisa de los pagos realizados correspondientes a las sanciones impuestas, situación que genera un inadecuado registro de los pagos recibidos por concepto de multas.</w:t>
            </w:r>
          </w:p>
          <w:p w14:paraId="26E3DE14" w14:textId="77777777" w:rsidR="00C17E6E" w:rsidRPr="00E40013" w:rsidRDefault="00C17E6E" w:rsidP="00F1223B">
            <w:pPr>
              <w:pStyle w:val="Textoindependiente"/>
              <w:tabs>
                <w:tab w:val="left" w:pos="2055"/>
              </w:tabs>
              <w:spacing w:before="5"/>
              <w:jc w:val="both"/>
              <w:rPr>
                <w:rFonts w:ascii="Arial" w:hAnsi="Arial" w:cs="Arial"/>
              </w:rPr>
            </w:pPr>
          </w:p>
          <w:p w14:paraId="0ECB760B"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rPr>
              <w:t xml:space="preserve">Fue cerrada como eficaz el día 22 de noviembre de 2024, con el siguiente comentario “Se hizo seguimiento por parte de la Oficina de Control Interno, con los responsables del Proceso, para revisar el cumplimiento del plan acción con las respectivas evidencias, </w:t>
            </w:r>
            <w:r w:rsidRPr="00E40013">
              <w:rPr>
                <w:rFonts w:ascii="Arial" w:hAnsi="Arial" w:cs="Arial"/>
                <w:b/>
                <w:bCs/>
                <w:u w:val="single"/>
              </w:rPr>
              <w:t>encontrándose que presuntamente se eliminó la causa raíz: Por lo anterior se cierra como eficaz</w:t>
            </w:r>
            <w:r w:rsidRPr="00E40013">
              <w:rPr>
                <w:rFonts w:ascii="Arial" w:hAnsi="Arial" w:cs="Arial"/>
              </w:rPr>
              <w:t>.”</w:t>
            </w:r>
          </w:p>
        </w:tc>
      </w:tr>
      <w:tr w:rsidR="00C17E6E" w:rsidRPr="00E40013" w14:paraId="75EC07DA" w14:textId="77777777" w:rsidTr="00217295">
        <w:trPr>
          <w:jc w:val="center"/>
        </w:trPr>
        <w:tc>
          <w:tcPr>
            <w:tcW w:w="304" w:type="dxa"/>
          </w:tcPr>
          <w:p w14:paraId="6D4F3B4D" w14:textId="77777777" w:rsidR="00C17E6E" w:rsidRPr="00E40013" w:rsidRDefault="00C17E6E" w:rsidP="00F1223B">
            <w:pPr>
              <w:tabs>
                <w:tab w:val="left" w:pos="1920"/>
              </w:tabs>
              <w:jc w:val="center"/>
              <w:rPr>
                <w:rFonts w:ascii="Arial" w:hAnsi="Arial" w:cs="Arial"/>
                <w:b/>
              </w:rPr>
            </w:pPr>
            <w:r w:rsidRPr="00E40013">
              <w:rPr>
                <w:rFonts w:ascii="Arial" w:hAnsi="Arial" w:cs="Arial"/>
                <w:b/>
              </w:rPr>
              <w:t>38</w:t>
            </w:r>
          </w:p>
        </w:tc>
        <w:tc>
          <w:tcPr>
            <w:tcW w:w="10307" w:type="dxa"/>
          </w:tcPr>
          <w:p w14:paraId="13A2E699" w14:textId="77777777" w:rsidR="00C17E6E" w:rsidRPr="00E40013" w:rsidRDefault="00C17E6E" w:rsidP="00F1223B">
            <w:pPr>
              <w:jc w:val="both"/>
              <w:rPr>
                <w:rFonts w:ascii="Arial" w:hAnsi="Arial" w:cs="Arial"/>
                <w:b/>
                <w:lang w:val="es-MX"/>
              </w:rPr>
            </w:pPr>
            <w:r w:rsidRPr="00E40013">
              <w:rPr>
                <w:rFonts w:ascii="Arial" w:hAnsi="Arial" w:cs="Arial"/>
                <w:b/>
                <w:lang w:val="es-MX"/>
              </w:rPr>
              <w:t>MINISTERIO DE COMERCIO, INDUSTRIA Y TURISMO – MINCIT.</w:t>
            </w:r>
          </w:p>
          <w:p w14:paraId="6B75252A" w14:textId="77777777" w:rsidR="00C17E6E" w:rsidRPr="00E40013" w:rsidRDefault="00C17E6E" w:rsidP="00F1223B">
            <w:pPr>
              <w:pStyle w:val="Textoindependiente"/>
              <w:tabs>
                <w:tab w:val="left" w:pos="2055"/>
              </w:tabs>
              <w:jc w:val="both"/>
              <w:rPr>
                <w:rFonts w:ascii="Arial" w:hAnsi="Arial" w:cs="Arial"/>
                <w:b/>
                <w:lang w:val="es-MX"/>
              </w:rPr>
            </w:pPr>
          </w:p>
          <w:p w14:paraId="081FB532" w14:textId="77777777" w:rsidR="00C17E6E" w:rsidRPr="00E40013" w:rsidRDefault="00C17E6E" w:rsidP="00F1223B">
            <w:pPr>
              <w:pStyle w:val="Textoindependiente"/>
              <w:tabs>
                <w:tab w:val="left" w:pos="2055"/>
              </w:tabs>
              <w:spacing w:before="5"/>
              <w:rPr>
                <w:rFonts w:ascii="Arial" w:hAnsi="Arial" w:cs="Arial"/>
                <w:b/>
                <w:lang w:val="es-CO"/>
              </w:rPr>
            </w:pPr>
            <w:bookmarkStart w:id="75" w:name="_Toc188002218"/>
            <w:r w:rsidRPr="00E40013">
              <w:rPr>
                <w:rFonts w:ascii="Arial" w:hAnsi="Arial" w:cs="Arial"/>
                <w:b/>
                <w:bCs/>
                <w:iCs/>
                <w:lang w:val="es-CO"/>
              </w:rPr>
              <w:t xml:space="preserve">…7. </w:t>
            </w:r>
            <w:r w:rsidRPr="00E40013">
              <w:rPr>
                <w:rFonts w:ascii="Arial" w:hAnsi="Arial" w:cs="Arial"/>
                <w:b/>
                <w:lang w:val="es-CO"/>
              </w:rPr>
              <w:t>CONCLUSIONES</w:t>
            </w:r>
            <w:bookmarkEnd w:id="75"/>
            <w:r w:rsidRPr="00E40013">
              <w:rPr>
                <w:rFonts w:ascii="Arial" w:hAnsi="Arial" w:cs="Arial"/>
                <w:b/>
                <w:lang w:val="es-CO"/>
              </w:rPr>
              <w:t>.</w:t>
            </w:r>
          </w:p>
          <w:p w14:paraId="4376F93C" w14:textId="77777777" w:rsidR="00C17E6E" w:rsidRPr="00E40013" w:rsidRDefault="00C17E6E" w:rsidP="00F1223B">
            <w:pPr>
              <w:pStyle w:val="Textoindependiente"/>
              <w:tabs>
                <w:tab w:val="left" w:pos="2055"/>
              </w:tabs>
              <w:spacing w:before="5"/>
              <w:rPr>
                <w:rFonts w:ascii="Arial" w:hAnsi="Arial" w:cs="Arial"/>
                <w:b/>
                <w:lang w:val="es-CO"/>
              </w:rPr>
            </w:pPr>
          </w:p>
          <w:p w14:paraId="464443DF" w14:textId="77777777" w:rsidR="00C17E6E" w:rsidRPr="00E40013" w:rsidRDefault="00C17E6E" w:rsidP="00C17E6E">
            <w:pPr>
              <w:pStyle w:val="Textoindependiente"/>
              <w:numPr>
                <w:ilvl w:val="0"/>
                <w:numId w:val="127"/>
              </w:numPr>
              <w:tabs>
                <w:tab w:val="left" w:pos="2055"/>
              </w:tabs>
              <w:spacing w:before="5"/>
              <w:jc w:val="both"/>
              <w:rPr>
                <w:rFonts w:ascii="Arial" w:hAnsi="Arial" w:cs="Arial"/>
                <w:lang w:val="es-CO"/>
              </w:rPr>
            </w:pPr>
            <w:r w:rsidRPr="00E40013">
              <w:rPr>
                <w:rFonts w:ascii="Arial" w:hAnsi="Arial" w:cs="Arial"/>
                <w:lang w:val="es-CO"/>
              </w:rPr>
              <w:t>Conforme al seguimiento realizado en el último trimestre del año 2024 al plan de mejoramiento suscrito con la CGR se encuentra que, de las 135 acciones de mejoramiento formuladas para los 100 hallazgos vigentes, las dependencias del MinCIT han reportado como cumplidas 126 y 9 continúan en ejecución.</w:t>
            </w:r>
          </w:p>
          <w:p w14:paraId="43EC8A05" w14:textId="77777777" w:rsidR="00C17E6E" w:rsidRPr="00E40013" w:rsidRDefault="00C17E6E" w:rsidP="00F1223B">
            <w:pPr>
              <w:pStyle w:val="Textoindependiente"/>
              <w:tabs>
                <w:tab w:val="left" w:pos="2055"/>
              </w:tabs>
              <w:spacing w:before="5"/>
              <w:ind w:left="360"/>
              <w:jc w:val="both"/>
              <w:rPr>
                <w:rFonts w:ascii="Arial" w:hAnsi="Arial" w:cs="Arial"/>
                <w:lang w:val="es-CO"/>
              </w:rPr>
            </w:pPr>
          </w:p>
          <w:p w14:paraId="6477AAA5" w14:textId="77777777" w:rsidR="00C17E6E" w:rsidRPr="00E40013" w:rsidRDefault="00C17E6E" w:rsidP="00C17E6E">
            <w:pPr>
              <w:pStyle w:val="Textoindependiente"/>
              <w:numPr>
                <w:ilvl w:val="0"/>
                <w:numId w:val="127"/>
              </w:numPr>
              <w:tabs>
                <w:tab w:val="left" w:pos="2055"/>
              </w:tabs>
              <w:spacing w:before="5"/>
              <w:jc w:val="both"/>
              <w:rPr>
                <w:rFonts w:ascii="Arial" w:hAnsi="Arial" w:cs="Arial"/>
                <w:lang w:val="es-CO"/>
              </w:rPr>
            </w:pPr>
            <w:r w:rsidRPr="00E40013">
              <w:rPr>
                <w:rFonts w:ascii="Arial" w:hAnsi="Arial" w:cs="Arial"/>
                <w:lang w:val="es-CO"/>
              </w:rPr>
              <w:t xml:space="preserve">De las 126 acciones de mejoramiento reportadas como cumplidas por las dependencias se realizó </w:t>
            </w:r>
            <w:r w:rsidRPr="00E40013">
              <w:rPr>
                <w:rFonts w:ascii="Arial" w:hAnsi="Arial" w:cs="Arial"/>
                <w:lang w:val="es-CO"/>
              </w:rPr>
              <w:lastRenderedPageBreak/>
              <w:t>seguimiento de efectividad a 5 quedando pendientes 121.</w:t>
            </w:r>
          </w:p>
          <w:p w14:paraId="5DDA6B0F" w14:textId="77777777" w:rsidR="00C17E6E" w:rsidRPr="00E40013" w:rsidRDefault="00C17E6E" w:rsidP="00F1223B">
            <w:pPr>
              <w:pStyle w:val="Textoindependiente"/>
              <w:tabs>
                <w:tab w:val="left" w:pos="2055"/>
              </w:tabs>
              <w:spacing w:before="5"/>
              <w:jc w:val="both"/>
              <w:rPr>
                <w:rFonts w:ascii="Arial" w:hAnsi="Arial" w:cs="Arial"/>
                <w:lang w:val="es-CO"/>
              </w:rPr>
            </w:pPr>
          </w:p>
          <w:p w14:paraId="1F4A069A" w14:textId="77777777" w:rsidR="00C17E6E" w:rsidRPr="00E40013" w:rsidRDefault="00C17E6E" w:rsidP="00C17E6E">
            <w:pPr>
              <w:pStyle w:val="Textoindependiente"/>
              <w:numPr>
                <w:ilvl w:val="0"/>
                <w:numId w:val="127"/>
              </w:numPr>
              <w:tabs>
                <w:tab w:val="left" w:pos="2055"/>
              </w:tabs>
              <w:spacing w:before="5"/>
              <w:jc w:val="both"/>
              <w:rPr>
                <w:rFonts w:ascii="Arial" w:hAnsi="Arial" w:cs="Arial"/>
                <w:lang w:val="es-CO"/>
              </w:rPr>
            </w:pPr>
            <w:r w:rsidRPr="00E40013">
              <w:rPr>
                <w:rFonts w:ascii="Arial" w:hAnsi="Arial" w:cs="Arial"/>
                <w:lang w:val="es-CO"/>
              </w:rPr>
              <w:t>Se identifica la necesidad de realizar mesas de trabajo con el fin de evaluar la efectividad de las acciones de mejoramiento.</w:t>
            </w:r>
          </w:p>
        </w:tc>
      </w:tr>
      <w:tr w:rsidR="00C17E6E" w:rsidRPr="00E40013" w14:paraId="7EDE78A9" w14:textId="77777777" w:rsidTr="00217295">
        <w:trPr>
          <w:jc w:val="center"/>
        </w:trPr>
        <w:tc>
          <w:tcPr>
            <w:tcW w:w="304" w:type="dxa"/>
          </w:tcPr>
          <w:p w14:paraId="7AF62217"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39</w:t>
            </w:r>
          </w:p>
        </w:tc>
        <w:tc>
          <w:tcPr>
            <w:tcW w:w="10307" w:type="dxa"/>
          </w:tcPr>
          <w:p w14:paraId="4F86BBC6"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COMPUTADORES PARA EDUCAR – CPE. </w:t>
            </w:r>
            <w:r w:rsidRPr="00E40013">
              <w:rPr>
                <w:rFonts w:ascii="Arial" w:hAnsi="Arial" w:cs="Arial"/>
                <w:b/>
                <w:bCs/>
                <w:u w:val="single"/>
              </w:rPr>
              <w:t>Teniendo en cuenta que el cumplimiento de las metas se dio en gran parte finalizando el año 2024, no es posible emitir concepto de subsanación de las causas del hallazgo para todas las acciones de mejora ejecutadas</w:t>
            </w:r>
            <w:r w:rsidRPr="00E40013">
              <w:rPr>
                <w:rFonts w:ascii="Arial" w:hAnsi="Arial" w:cs="Arial"/>
              </w:rPr>
              <w:t>.</w:t>
            </w:r>
          </w:p>
        </w:tc>
      </w:tr>
      <w:tr w:rsidR="00C17E6E" w:rsidRPr="00E40013" w14:paraId="03241CB6" w14:textId="77777777" w:rsidTr="00217295">
        <w:trPr>
          <w:jc w:val="center"/>
        </w:trPr>
        <w:tc>
          <w:tcPr>
            <w:tcW w:w="304" w:type="dxa"/>
          </w:tcPr>
          <w:p w14:paraId="37C7F484" w14:textId="77777777" w:rsidR="00C17E6E" w:rsidRPr="00E40013" w:rsidRDefault="00C17E6E" w:rsidP="00F1223B">
            <w:pPr>
              <w:tabs>
                <w:tab w:val="left" w:pos="1920"/>
              </w:tabs>
              <w:jc w:val="center"/>
              <w:rPr>
                <w:rFonts w:ascii="Arial" w:hAnsi="Arial" w:cs="Arial"/>
                <w:b/>
              </w:rPr>
            </w:pPr>
            <w:r w:rsidRPr="00E40013">
              <w:rPr>
                <w:rFonts w:ascii="Arial" w:hAnsi="Arial" w:cs="Arial"/>
                <w:b/>
              </w:rPr>
              <w:t>40</w:t>
            </w:r>
          </w:p>
        </w:tc>
        <w:tc>
          <w:tcPr>
            <w:tcW w:w="10307" w:type="dxa"/>
          </w:tcPr>
          <w:p w14:paraId="0CFC2F04" w14:textId="77777777" w:rsidR="00C17E6E" w:rsidRPr="00E40013" w:rsidRDefault="00C17E6E" w:rsidP="00F1223B">
            <w:pPr>
              <w:jc w:val="both"/>
              <w:rPr>
                <w:rFonts w:ascii="Arial" w:hAnsi="Arial" w:cs="Arial"/>
                <w:b/>
                <w:lang w:val="es-MX"/>
              </w:rPr>
            </w:pPr>
            <w:r w:rsidRPr="00E40013">
              <w:rPr>
                <w:rFonts w:ascii="Arial" w:hAnsi="Arial" w:cs="Arial"/>
                <w:b/>
                <w:lang w:val="es-MX"/>
              </w:rPr>
              <w:t>COMISIÓN REGULADORA DE AGUA POTABLE Y SANEAMIENTO BÁSICO - CRA.</w:t>
            </w:r>
          </w:p>
          <w:p w14:paraId="41A475BC" w14:textId="77777777" w:rsidR="00C17E6E" w:rsidRPr="00E40013" w:rsidRDefault="00C17E6E" w:rsidP="00F1223B">
            <w:pPr>
              <w:jc w:val="both"/>
              <w:rPr>
                <w:rFonts w:ascii="Arial" w:hAnsi="Arial" w:cs="Arial"/>
                <w:b/>
                <w:lang w:val="es-MX"/>
              </w:rPr>
            </w:pPr>
          </w:p>
          <w:p w14:paraId="5D45797F" w14:textId="77777777" w:rsidR="00C17E6E" w:rsidRPr="00E40013" w:rsidRDefault="00C17E6E" w:rsidP="00F1223B">
            <w:pPr>
              <w:widowControl/>
              <w:suppressAutoHyphens/>
              <w:autoSpaceDE/>
              <w:jc w:val="both"/>
              <w:textAlignment w:val="baseline"/>
              <w:rPr>
                <w:rFonts w:ascii="Arial" w:eastAsia="Calibri" w:hAnsi="Arial" w:cs="Arial"/>
                <w:lang w:eastAsia="ar-SA"/>
              </w:rPr>
            </w:pPr>
            <w:r w:rsidRPr="00E40013">
              <w:rPr>
                <w:rFonts w:ascii="Arial" w:eastAsia="Calibri" w:hAnsi="Arial" w:cs="Arial"/>
                <w:lang w:eastAsia="ar-SA"/>
              </w:rPr>
              <w:t xml:space="preserve">Auditoría financiera al presupuesto y estados financieros vigencia 2021. </w:t>
            </w:r>
          </w:p>
          <w:p w14:paraId="4D52F2EC" w14:textId="77777777" w:rsidR="00C17E6E" w:rsidRPr="00E40013" w:rsidRDefault="00C17E6E" w:rsidP="00F1223B">
            <w:pPr>
              <w:widowControl/>
              <w:suppressAutoHyphens/>
              <w:autoSpaceDE/>
              <w:jc w:val="both"/>
              <w:textAlignment w:val="baseline"/>
              <w:rPr>
                <w:rFonts w:ascii="Arial" w:eastAsia="Calibri" w:hAnsi="Arial" w:cs="Arial"/>
                <w:lang w:eastAsia="ar-SA"/>
              </w:rPr>
            </w:pPr>
          </w:p>
          <w:p w14:paraId="023E3642" w14:textId="77777777" w:rsidR="00C17E6E" w:rsidRPr="00E40013" w:rsidRDefault="00C17E6E" w:rsidP="00F1223B">
            <w:pPr>
              <w:widowControl/>
              <w:suppressAutoHyphens/>
              <w:autoSpaceDE/>
              <w:jc w:val="both"/>
              <w:textAlignment w:val="baseline"/>
              <w:rPr>
                <w:rFonts w:ascii="Arial" w:eastAsia="Calibri" w:hAnsi="Arial" w:cs="Arial"/>
                <w:lang w:eastAsia="ar-SA"/>
              </w:rPr>
            </w:pPr>
            <w:r w:rsidRPr="00E40013">
              <w:rPr>
                <w:rFonts w:ascii="Arial" w:hAnsi="Arial" w:cs="Arial"/>
                <w:b/>
                <w:bCs/>
                <w:u w:val="single"/>
                <w:lang w:eastAsia="ar-SA"/>
              </w:rPr>
              <w:t>Un (1) hallazgo con dos (2) acciones de mejora no han subsanado las causas observadas por el ente de control en el informe. (no fueron efectivas).</w:t>
            </w:r>
          </w:p>
          <w:p w14:paraId="27B43262" w14:textId="77777777" w:rsidR="00C17E6E" w:rsidRPr="00E40013" w:rsidRDefault="00C17E6E" w:rsidP="00F1223B">
            <w:pPr>
              <w:jc w:val="both"/>
              <w:rPr>
                <w:rFonts w:ascii="Arial" w:hAnsi="Arial" w:cs="Arial"/>
                <w:b/>
              </w:rPr>
            </w:pPr>
          </w:p>
          <w:p w14:paraId="46FD9A1E" w14:textId="77777777" w:rsidR="00C17E6E" w:rsidRPr="00E40013" w:rsidRDefault="00C17E6E" w:rsidP="00F1223B">
            <w:pPr>
              <w:widowControl/>
              <w:suppressAutoHyphens/>
              <w:autoSpaceDE/>
              <w:jc w:val="both"/>
              <w:textAlignment w:val="baseline"/>
              <w:rPr>
                <w:rFonts w:ascii="Arial" w:eastAsia="Calibri" w:hAnsi="Arial" w:cs="Arial"/>
                <w:lang w:eastAsia="ar-SA"/>
              </w:rPr>
            </w:pPr>
            <w:r w:rsidRPr="00E40013">
              <w:rPr>
                <w:rFonts w:ascii="Arial" w:eastAsia="Calibri" w:hAnsi="Arial" w:cs="Arial"/>
                <w:lang w:eastAsia="ar-SA"/>
              </w:rPr>
              <w:t>Auditoría de cumplimiento de la vigencia fiscal 2022.</w:t>
            </w:r>
          </w:p>
          <w:p w14:paraId="0A0E4A71" w14:textId="77777777" w:rsidR="00C17E6E" w:rsidRPr="00E40013" w:rsidRDefault="00C17E6E" w:rsidP="00F1223B">
            <w:pPr>
              <w:jc w:val="both"/>
              <w:rPr>
                <w:rFonts w:ascii="Arial" w:hAnsi="Arial" w:cs="Arial"/>
                <w:b/>
              </w:rPr>
            </w:pPr>
          </w:p>
          <w:p w14:paraId="614A86D9" w14:textId="77777777" w:rsidR="00C17E6E" w:rsidRPr="00E40013" w:rsidRDefault="00C17E6E" w:rsidP="00F1223B">
            <w:pPr>
              <w:jc w:val="both"/>
              <w:rPr>
                <w:rFonts w:ascii="Arial" w:hAnsi="Arial" w:cs="Arial"/>
                <w:b/>
              </w:rPr>
            </w:pPr>
            <w:r w:rsidRPr="00E40013">
              <w:rPr>
                <w:rFonts w:ascii="Arial" w:hAnsi="Arial" w:cs="Arial"/>
                <w:b/>
                <w:bCs/>
                <w:u w:val="single"/>
                <w:lang w:eastAsia="ar-SA"/>
              </w:rPr>
              <w:t>Ocho (8) hallazgos con diecisiete (17) acciones de mejora no han subsanado las causas observadas por el ente de control en el informe. (no fueron efectivas).</w:t>
            </w:r>
          </w:p>
        </w:tc>
      </w:tr>
      <w:tr w:rsidR="00C17E6E" w:rsidRPr="00E40013" w14:paraId="4FCB1F57" w14:textId="77777777" w:rsidTr="00217295">
        <w:trPr>
          <w:jc w:val="center"/>
        </w:trPr>
        <w:tc>
          <w:tcPr>
            <w:tcW w:w="304" w:type="dxa"/>
          </w:tcPr>
          <w:p w14:paraId="1B6E187C" w14:textId="77777777" w:rsidR="00C17E6E" w:rsidRPr="00E40013" w:rsidRDefault="00C17E6E" w:rsidP="00F1223B">
            <w:pPr>
              <w:tabs>
                <w:tab w:val="left" w:pos="1920"/>
              </w:tabs>
              <w:jc w:val="center"/>
              <w:rPr>
                <w:rFonts w:ascii="Arial" w:hAnsi="Arial" w:cs="Arial"/>
                <w:b/>
              </w:rPr>
            </w:pPr>
            <w:r w:rsidRPr="00E40013">
              <w:rPr>
                <w:rFonts w:ascii="Arial" w:hAnsi="Arial" w:cs="Arial"/>
                <w:b/>
              </w:rPr>
              <w:t>41</w:t>
            </w:r>
          </w:p>
        </w:tc>
        <w:tc>
          <w:tcPr>
            <w:tcW w:w="10307" w:type="dxa"/>
          </w:tcPr>
          <w:p w14:paraId="69AE0086" w14:textId="77777777" w:rsidR="00C17E6E" w:rsidRPr="00E40013" w:rsidRDefault="00C17E6E" w:rsidP="00F1223B">
            <w:pPr>
              <w:jc w:val="both"/>
              <w:rPr>
                <w:rFonts w:ascii="Arial" w:hAnsi="Arial" w:cs="Arial"/>
                <w:b/>
                <w:lang w:val="es-MX"/>
              </w:rPr>
            </w:pPr>
            <w:r w:rsidRPr="00E40013">
              <w:rPr>
                <w:rFonts w:ascii="Arial" w:hAnsi="Arial" w:cs="Arial"/>
                <w:b/>
                <w:lang w:val="es-MX"/>
              </w:rPr>
              <w:t xml:space="preserve">CORPORACIÓN AUTÓNOMA REGIONAL DEL ATLÁNTICO - CRA. </w:t>
            </w:r>
          </w:p>
          <w:p w14:paraId="5356FD5B" w14:textId="77777777" w:rsidR="00C17E6E" w:rsidRPr="00E40013" w:rsidRDefault="00C17E6E" w:rsidP="00F1223B">
            <w:pPr>
              <w:jc w:val="both"/>
              <w:rPr>
                <w:rFonts w:ascii="Arial" w:hAnsi="Arial" w:cs="Arial"/>
                <w:b/>
                <w:lang w:val="es-MX"/>
              </w:rPr>
            </w:pPr>
          </w:p>
          <w:p w14:paraId="4B425C62" w14:textId="77777777" w:rsidR="00C17E6E" w:rsidRPr="00E40013" w:rsidRDefault="00C17E6E" w:rsidP="00F1223B">
            <w:pPr>
              <w:jc w:val="both"/>
              <w:rPr>
                <w:rFonts w:ascii="Arial" w:hAnsi="Arial" w:cs="Arial"/>
                <w:b/>
              </w:rPr>
            </w:pPr>
            <w:r w:rsidRPr="00E40013">
              <w:rPr>
                <w:rFonts w:ascii="Arial" w:hAnsi="Arial" w:cs="Arial"/>
                <w:b/>
                <w:lang w:val="es-MX"/>
              </w:rPr>
              <w:t xml:space="preserve">2. </w:t>
            </w:r>
            <w:r w:rsidRPr="00E40013">
              <w:rPr>
                <w:rFonts w:ascii="Arial" w:hAnsi="Arial" w:cs="Arial"/>
                <w:b/>
              </w:rPr>
              <w:t>REVISIÓN EFECTIVIDAD.</w:t>
            </w:r>
          </w:p>
          <w:p w14:paraId="4BDEEAA7" w14:textId="77777777" w:rsidR="00C17E6E" w:rsidRPr="00E40013" w:rsidRDefault="00C17E6E" w:rsidP="00F1223B">
            <w:pPr>
              <w:jc w:val="both"/>
              <w:rPr>
                <w:rFonts w:ascii="Arial" w:hAnsi="Arial" w:cs="Arial"/>
                <w:bCs/>
              </w:rPr>
            </w:pPr>
          </w:p>
          <w:p w14:paraId="41DCD459" w14:textId="77777777" w:rsidR="00C17E6E" w:rsidRPr="00E40013" w:rsidRDefault="00C17E6E" w:rsidP="00F1223B">
            <w:pPr>
              <w:jc w:val="both"/>
              <w:rPr>
                <w:rFonts w:ascii="Arial" w:hAnsi="Arial" w:cs="Arial"/>
                <w:bCs/>
                <w:lang w:val="es-MX"/>
              </w:rPr>
            </w:pPr>
            <w:r w:rsidRPr="00E40013">
              <w:rPr>
                <w:rFonts w:ascii="Arial" w:hAnsi="Arial" w:cs="Arial"/>
                <w:bCs/>
              </w:rPr>
              <w:t xml:space="preserve">En auditoría financiera desarrollada por la Contraloría General de la Republica informe CGR-CDMAGDCA No. 009 de fecha junio de 2024, en donde se auditó la vigencia 2023, el ente de control evaluó la efectividad de las acciones que se presentaban en las vigencias 2020, 2021 y 2022, fecha de finalización diciembre 30 de 2023. Como resultado de la verificación realizada por la CGR, se determinó que las acciones de mejora para uno (1) de los de los siete (7) hallazgos </w:t>
            </w:r>
            <w:r w:rsidRPr="00E40013">
              <w:rPr>
                <w:rFonts w:ascii="Arial" w:hAnsi="Arial" w:cs="Arial"/>
                <w:b/>
                <w:u w:val="single"/>
              </w:rPr>
              <w:t>analizados, no fue efectivo, por cuanto se volvió a presentar en la vigencia auditada y fue incluido como hallazgo en el informe final de auditoría y los hallazgos No. 3 y 4, se cumplieron 89 y 90% respectivamente, ante lo cual, la entidad formuló el plan de mejoramiento respectivo.</w:t>
            </w:r>
            <w:r w:rsidRPr="00E40013">
              <w:rPr>
                <w:rFonts w:ascii="Arial" w:hAnsi="Arial" w:cs="Arial"/>
                <w:bCs/>
              </w:rPr>
              <w:t xml:space="preserve"> </w:t>
            </w:r>
          </w:p>
        </w:tc>
      </w:tr>
      <w:tr w:rsidR="00C17E6E" w:rsidRPr="00E40013" w14:paraId="214C8818" w14:textId="77777777" w:rsidTr="00217295">
        <w:trPr>
          <w:jc w:val="center"/>
        </w:trPr>
        <w:tc>
          <w:tcPr>
            <w:tcW w:w="304" w:type="dxa"/>
          </w:tcPr>
          <w:p w14:paraId="3E7E319C"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r>
              <w:rPr>
                <w:rFonts w:ascii="Arial" w:hAnsi="Arial" w:cs="Arial"/>
                <w:b/>
              </w:rPr>
              <w:t>2</w:t>
            </w:r>
          </w:p>
        </w:tc>
        <w:tc>
          <w:tcPr>
            <w:tcW w:w="10307" w:type="dxa"/>
          </w:tcPr>
          <w:p w14:paraId="0A4201D2" w14:textId="383AAE60" w:rsidR="00C17E6E" w:rsidRPr="00E40013" w:rsidRDefault="00C17E6E" w:rsidP="00F1223B">
            <w:pPr>
              <w:jc w:val="both"/>
              <w:rPr>
                <w:rFonts w:ascii="Arial" w:hAnsi="Arial" w:cs="Arial"/>
                <w:lang w:val="es-CO"/>
              </w:rPr>
            </w:pPr>
            <w:r w:rsidRPr="00E40013">
              <w:rPr>
                <w:rFonts w:ascii="Arial" w:hAnsi="Arial" w:cs="Arial"/>
                <w:b/>
                <w:lang w:val="es-MX"/>
              </w:rPr>
              <w:t xml:space="preserve">FONDO ESPECIAL PARA LA ADMINISTRACIÓN DE BIENES DE LA FISCALÍA GENERAL DE LA NACIÓN. </w:t>
            </w:r>
            <w:r w:rsidRPr="00E40013">
              <w:rPr>
                <w:rFonts w:ascii="Arial" w:hAnsi="Arial" w:cs="Arial"/>
                <w:b/>
                <w:lang w:val="es-CO"/>
              </w:rPr>
              <w:t xml:space="preserve">La entidad informa: </w:t>
            </w:r>
            <w:r w:rsidRPr="00E40013">
              <w:rPr>
                <w:rFonts w:ascii="Arial" w:hAnsi="Arial" w:cs="Arial"/>
                <w:lang w:val="es-CO"/>
              </w:rPr>
              <w:t xml:space="preserve">Es de señalar que el Fondo Especial para la Administración de Bienes de la FGN (FEAB) </w:t>
            </w:r>
            <w:r w:rsidRPr="00E40013">
              <w:rPr>
                <w:rFonts w:ascii="Arial" w:hAnsi="Arial" w:cs="Arial"/>
                <w:b/>
                <w:u w:val="single"/>
                <w:lang w:val="es-CO"/>
              </w:rPr>
              <w:t>no cuenta con una Oficina de Control Interno establecida</w:t>
            </w:r>
            <w:r w:rsidRPr="00E40013">
              <w:rPr>
                <w:rFonts w:ascii="Arial" w:hAnsi="Arial" w:cs="Arial"/>
                <w:lang w:val="es-CO"/>
              </w:rPr>
              <w:t xml:space="preserve">, lo cual limita la capacidad de generar dicho informe en los términos solicitados y por ende no aplicaría el mismo. Adicionalmente, la Dirección de Control Interno de la </w:t>
            </w:r>
            <w:r w:rsidR="0008150C" w:rsidRPr="00E40013">
              <w:rPr>
                <w:rFonts w:ascii="Arial" w:hAnsi="Arial" w:cs="Arial"/>
                <w:lang w:val="es-CO"/>
              </w:rPr>
              <w:t>fiscalía general</w:t>
            </w:r>
            <w:r w:rsidRPr="00E40013">
              <w:rPr>
                <w:rFonts w:ascii="Arial" w:hAnsi="Arial" w:cs="Arial"/>
                <w:lang w:val="es-CO"/>
              </w:rPr>
              <w:t xml:space="preserve"> de Nación no realiza seguimiento a los planes de mejoramiento formulados por el Fondo Especial Para la Administración de Bienes.</w:t>
            </w:r>
          </w:p>
        </w:tc>
      </w:tr>
      <w:tr w:rsidR="00C17E6E" w:rsidRPr="00E40013" w14:paraId="592B1D61" w14:textId="77777777" w:rsidTr="00217295">
        <w:trPr>
          <w:jc w:val="center"/>
        </w:trPr>
        <w:tc>
          <w:tcPr>
            <w:tcW w:w="304" w:type="dxa"/>
          </w:tcPr>
          <w:p w14:paraId="100DBA0B"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r>
              <w:rPr>
                <w:rFonts w:ascii="Arial" w:hAnsi="Arial" w:cs="Arial"/>
                <w:b/>
              </w:rPr>
              <w:t>3</w:t>
            </w:r>
          </w:p>
        </w:tc>
        <w:tc>
          <w:tcPr>
            <w:tcW w:w="10307" w:type="dxa"/>
          </w:tcPr>
          <w:p w14:paraId="79A6E9BF" w14:textId="77777777" w:rsidR="00C17E6E" w:rsidRPr="00E40013" w:rsidRDefault="00C17E6E" w:rsidP="00F1223B">
            <w:pPr>
              <w:jc w:val="both"/>
              <w:rPr>
                <w:rFonts w:ascii="Arial" w:hAnsi="Arial" w:cs="Arial"/>
                <w:lang w:val="es-MX"/>
              </w:rPr>
            </w:pPr>
            <w:r w:rsidRPr="00E40013">
              <w:rPr>
                <w:rFonts w:ascii="Arial" w:hAnsi="Arial" w:cs="Arial"/>
                <w:b/>
                <w:lang w:val="es-MX"/>
              </w:rPr>
              <w:t xml:space="preserve">ELECTRIFICADORA DEL META S.A. – EMSA S.A. </w:t>
            </w:r>
            <w:r w:rsidRPr="00E40013">
              <w:rPr>
                <w:rFonts w:ascii="Arial" w:hAnsi="Arial" w:cs="Arial"/>
                <w:b/>
                <w:bCs/>
                <w:lang w:val="es-MX"/>
              </w:rPr>
              <w:t xml:space="preserve">Recomendaciones: </w:t>
            </w:r>
            <w:r w:rsidRPr="00E40013">
              <w:rPr>
                <w:rFonts w:ascii="Arial" w:hAnsi="Arial" w:cs="Arial"/>
                <w:lang w:val="es-MX"/>
              </w:rPr>
              <w:t>En conclusión, los planes de mejoramiento han sido implementados de manera eficiente y moderadamente eficaz, logrando la mayoría de los objetivos propuestos y optimizando el uso de recursos. Sin embargo, se recomienda:</w:t>
            </w:r>
          </w:p>
          <w:p w14:paraId="1362359B" w14:textId="77777777" w:rsidR="00C17E6E" w:rsidRPr="00E40013" w:rsidRDefault="00C17E6E" w:rsidP="00F1223B">
            <w:pPr>
              <w:jc w:val="both"/>
              <w:rPr>
                <w:rFonts w:ascii="Arial" w:hAnsi="Arial" w:cs="Arial"/>
                <w:lang w:val="es-MX"/>
              </w:rPr>
            </w:pPr>
          </w:p>
          <w:p w14:paraId="39AF4078" w14:textId="77777777" w:rsidR="00C17E6E" w:rsidRPr="00E40013" w:rsidRDefault="00C17E6E" w:rsidP="00C17E6E">
            <w:pPr>
              <w:pStyle w:val="Prrafodelista"/>
              <w:numPr>
                <w:ilvl w:val="0"/>
                <w:numId w:val="128"/>
              </w:numPr>
              <w:spacing w:before="1"/>
              <w:jc w:val="both"/>
              <w:rPr>
                <w:rFonts w:ascii="Arial" w:hAnsi="Arial" w:cs="Arial"/>
                <w:lang w:val="es-MX"/>
              </w:rPr>
            </w:pPr>
            <w:r w:rsidRPr="00E40013">
              <w:rPr>
                <w:rFonts w:ascii="Arial" w:hAnsi="Arial" w:cs="Arial"/>
                <w:lang w:val="es-MX"/>
              </w:rPr>
              <w:t>Fortalecer la supervisión: Aumentar la supervisión y el seguimiento de las acciones para asegurar su cumplimiento dentro de los plazos establecidos.</w:t>
            </w:r>
          </w:p>
          <w:p w14:paraId="1349082C" w14:textId="77777777" w:rsidR="00C17E6E" w:rsidRPr="00E40013" w:rsidRDefault="00C17E6E" w:rsidP="00F1223B">
            <w:pPr>
              <w:jc w:val="both"/>
              <w:rPr>
                <w:rFonts w:ascii="Arial" w:hAnsi="Arial" w:cs="Arial"/>
                <w:lang w:val="es-MX"/>
              </w:rPr>
            </w:pPr>
          </w:p>
          <w:p w14:paraId="73CB4BE2" w14:textId="77777777" w:rsidR="00C17E6E" w:rsidRPr="00E40013" w:rsidRDefault="00C17E6E" w:rsidP="00C17E6E">
            <w:pPr>
              <w:pStyle w:val="Prrafodelista"/>
              <w:numPr>
                <w:ilvl w:val="0"/>
                <w:numId w:val="128"/>
              </w:numPr>
              <w:spacing w:before="1"/>
              <w:jc w:val="both"/>
              <w:rPr>
                <w:rFonts w:ascii="Arial" w:hAnsi="Arial" w:cs="Arial"/>
                <w:lang w:val="es-MX"/>
              </w:rPr>
            </w:pPr>
            <w:r w:rsidRPr="00E40013">
              <w:rPr>
                <w:rFonts w:ascii="Arial" w:hAnsi="Arial" w:cs="Arial"/>
                <w:lang w:val="es-MX"/>
              </w:rPr>
              <w:t>Mayor compromiso:  Por parte de los dueños de los procesos para el cumplimiento de los objetivos propuestos.</w:t>
            </w:r>
          </w:p>
        </w:tc>
      </w:tr>
      <w:tr w:rsidR="00C17E6E" w:rsidRPr="00E40013" w14:paraId="4DF0E762" w14:textId="77777777" w:rsidTr="00217295">
        <w:trPr>
          <w:jc w:val="center"/>
        </w:trPr>
        <w:tc>
          <w:tcPr>
            <w:tcW w:w="304" w:type="dxa"/>
          </w:tcPr>
          <w:p w14:paraId="6612EAE0" w14:textId="704269A8" w:rsidR="00C17E6E" w:rsidRPr="00E40013" w:rsidRDefault="00C17E6E" w:rsidP="00F1223B">
            <w:pPr>
              <w:tabs>
                <w:tab w:val="left" w:pos="1920"/>
              </w:tabs>
              <w:jc w:val="center"/>
              <w:rPr>
                <w:rFonts w:ascii="Arial" w:hAnsi="Arial" w:cs="Arial"/>
                <w:b/>
              </w:rPr>
            </w:pPr>
            <w:r w:rsidRPr="00E40013">
              <w:rPr>
                <w:rFonts w:ascii="Arial" w:hAnsi="Arial" w:cs="Arial"/>
                <w:b/>
              </w:rPr>
              <w:t>4</w:t>
            </w:r>
            <w:r w:rsidR="00494EB8">
              <w:rPr>
                <w:rFonts w:ascii="Arial" w:hAnsi="Arial" w:cs="Arial"/>
                <w:b/>
              </w:rPr>
              <w:t>4</w:t>
            </w:r>
          </w:p>
        </w:tc>
        <w:tc>
          <w:tcPr>
            <w:tcW w:w="10307" w:type="dxa"/>
          </w:tcPr>
          <w:p w14:paraId="7EC98F01" w14:textId="77777777" w:rsidR="00C17E6E" w:rsidRPr="00E40013" w:rsidRDefault="00C17E6E" w:rsidP="00F1223B">
            <w:pPr>
              <w:jc w:val="both"/>
              <w:rPr>
                <w:rFonts w:ascii="Arial" w:hAnsi="Arial" w:cs="Arial"/>
                <w:b/>
                <w:lang w:val="es-MX"/>
              </w:rPr>
            </w:pPr>
            <w:r w:rsidRPr="00E40013">
              <w:rPr>
                <w:rFonts w:ascii="Arial" w:hAnsi="Arial" w:cs="Arial"/>
                <w:b/>
                <w:lang w:val="es-MX"/>
              </w:rPr>
              <w:t xml:space="preserve">CORPORACION AUTONOMA REGIONAL DEL CESAR - CORPOCESAR. </w:t>
            </w:r>
          </w:p>
          <w:p w14:paraId="15800E54" w14:textId="77777777" w:rsidR="00C17E6E" w:rsidRPr="00E40013" w:rsidRDefault="00C17E6E" w:rsidP="00F1223B">
            <w:pPr>
              <w:jc w:val="both"/>
              <w:rPr>
                <w:rFonts w:ascii="Arial" w:hAnsi="Arial" w:cs="Arial"/>
                <w:b/>
                <w:lang w:val="es-MX"/>
              </w:rPr>
            </w:pPr>
          </w:p>
          <w:p w14:paraId="6CB274D2" w14:textId="77777777" w:rsidR="00C17E6E" w:rsidRPr="00E40013" w:rsidRDefault="00C17E6E" w:rsidP="00F1223B">
            <w:pPr>
              <w:jc w:val="both"/>
              <w:rPr>
                <w:rFonts w:ascii="Arial" w:hAnsi="Arial" w:cs="Arial"/>
                <w:b/>
                <w:bCs/>
                <w:lang w:val="es-CO"/>
              </w:rPr>
            </w:pPr>
            <w:r w:rsidRPr="00E40013">
              <w:rPr>
                <w:rFonts w:ascii="Arial" w:hAnsi="Arial" w:cs="Arial"/>
                <w:b/>
                <w:bCs/>
                <w:lang w:val="es-CO"/>
              </w:rPr>
              <w:t>RECOMENDACIONES.</w:t>
            </w:r>
          </w:p>
          <w:p w14:paraId="153880FF" w14:textId="77777777" w:rsidR="00C17E6E" w:rsidRPr="00E40013" w:rsidRDefault="00C17E6E" w:rsidP="00F1223B">
            <w:pPr>
              <w:jc w:val="both"/>
              <w:rPr>
                <w:rFonts w:ascii="Arial" w:hAnsi="Arial" w:cs="Arial"/>
                <w:bCs/>
                <w:lang w:val="es-CO"/>
              </w:rPr>
            </w:pPr>
          </w:p>
          <w:p w14:paraId="33B96EE9" w14:textId="77777777" w:rsidR="00C17E6E" w:rsidRPr="00E40013" w:rsidRDefault="00C17E6E" w:rsidP="00F1223B">
            <w:pPr>
              <w:jc w:val="both"/>
              <w:rPr>
                <w:rFonts w:ascii="Arial" w:hAnsi="Arial" w:cs="Arial"/>
                <w:bCs/>
                <w:lang w:val="es-CO"/>
              </w:rPr>
            </w:pPr>
            <w:r w:rsidRPr="00E40013">
              <w:rPr>
                <w:rFonts w:ascii="Arial" w:hAnsi="Arial" w:cs="Arial"/>
                <w:bCs/>
                <w:lang w:val="es-CO"/>
              </w:rPr>
              <w:t>Realizado el seguimiento y verificación al Plan de Mejoramiento vigente en la entidad a corte 31 de diciembre de 2024, nos permitimos hacer las siguientes recomendaciones:</w:t>
            </w:r>
          </w:p>
          <w:p w14:paraId="6BE0A3EE" w14:textId="77777777" w:rsidR="00C17E6E" w:rsidRPr="00E40013" w:rsidRDefault="00C17E6E" w:rsidP="00F1223B">
            <w:pPr>
              <w:jc w:val="both"/>
              <w:rPr>
                <w:rFonts w:ascii="Arial" w:hAnsi="Arial" w:cs="Arial"/>
                <w:bCs/>
              </w:rPr>
            </w:pPr>
          </w:p>
          <w:p w14:paraId="23FDBFA6" w14:textId="77777777" w:rsidR="00C17E6E" w:rsidRPr="00E40013" w:rsidRDefault="00C17E6E" w:rsidP="00C17E6E">
            <w:pPr>
              <w:pStyle w:val="Prrafodelista"/>
              <w:numPr>
                <w:ilvl w:val="0"/>
                <w:numId w:val="129"/>
              </w:numPr>
              <w:spacing w:before="1"/>
              <w:jc w:val="both"/>
              <w:rPr>
                <w:rFonts w:ascii="Arial" w:hAnsi="Arial" w:cs="Arial"/>
                <w:bCs/>
                <w:lang w:val="es-CO"/>
              </w:rPr>
            </w:pPr>
            <w:r w:rsidRPr="00E40013">
              <w:rPr>
                <w:rFonts w:ascii="Arial" w:hAnsi="Arial" w:cs="Arial"/>
                <w:bCs/>
                <w:lang w:val="es-CO"/>
              </w:rPr>
              <w:t>Los responsables de los hallazgos que tienen fechas vencidas para la realización de sus actividades, deben priorizar con carácter de urgente las acciones establecidas para cumplir el 100% de dichas actividades, esto independientemente de las observaciones, que ante esta situación de incumplimiento se generen de parte de la Contraloría General de la República en el proceso auditor.</w:t>
            </w:r>
          </w:p>
          <w:p w14:paraId="58AE0338" w14:textId="77777777" w:rsidR="00C17E6E" w:rsidRPr="00E40013" w:rsidRDefault="00C17E6E" w:rsidP="00F1223B">
            <w:pPr>
              <w:jc w:val="both"/>
              <w:rPr>
                <w:rFonts w:ascii="Arial" w:hAnsi="Arial" w:cs="Arial"/>
                <w:bCs/>
                <w:lang w:val="es-CO"/>
              </w:rPr>
            </w:pPr>
          </w:p>
          <w:p w14:paraId="26BE52DD" w14:textId="77777777" w:rsidR="00C17E6E" w:rsidRPr="00E40013" w:rsidRDefault="00C17E6E" w:rsidP="00C17E6E">
            <w:pPr>
              <w:pStyle w:val="Prrafodelista"/>
              <w:numPr>
                <w:ilvl w:val="0"/>
                <w:numId w:val="129"/>
              </w:numPr>
              <w:spacing w:before="1"/>
              <w:jc w:val="both"/>
              <w:rPr>
                <w:rFonts w:ascii="Arial" w:hAnsi="Arial" w:cs="Arial"/>
                <w:bCs/>
                <w:lang w:val="es-CO"/>
              </w:rPr>
            </w:pPr>
            <w:r w:rsidRPr="00E40013">
              <w:rPr>
                <w:rFonts w:ascii="Arial" w:hAnsi="Arial" w:cs="Arial"/>
                <w:bCs/>
                <w:lang w:val="es-CO"/>
              </w:rPr>
              <w:t xml:space="preserve">El Comité de Control interno debe convocar una reunión con los responsables de los hallazgos vencidos y </w:t>
            </w:r>
            <w:r w:rsidRPr="00E40013">
              <w:rPr>
                <w:rFonts w:ascii="Arial" w:hAnsi="Arial" w:cs="Arial"/>
                <w:bCs/>
                <w:lang w:val="es-CO"/>
              </w:rPr>
              <w:lastRenderedPageBreak/>
              <w:t>los próximos a vencerse, lo anterior con el fin de conocer y evaluar las causas y/o dificultades que se estén presentando para su cumplimiento y a partir de esta reunión establecer compromisos y autorizar la ampliación de las fechas de terminación de las actividades si así lo consideran.</w:t>
            </w:r>
          </w:p>
          <w:p w14:paraId="6E7DA1C1" w14:textId="77777777" w:rsidR="00C17E6E" w:rsidRPr="00E40013" w:rsidRDefault="00C17E6E" w:rsidP="00F1223B">
            <w:pPr>
              <w:jc w:val="both"/>
              <w:rPr>
                <w:rFonts w:ascii="Arial" w:hAnsi="Arial" w:cs="Arial"/>
                <w:bCs/>
                <w:lang w:val="es-CO"/>
              </w:rPr>
            </w:pPr>
          </w:p>
          <w:p w14:paraId="64B34F2A" w14:textId="77777777" w:rsidR="00C17E6E" w:rsidRPr="00E40013" w:rsidRDefault="00C17E6E" w:rsidP="00C17E6E">
            <w:pPr>
              <w:pStyle w:val="Prrafodelista"/>
              <w:numPr>
                <w:ilvl w:val="0"/>
                <w:numId w:val="129"/>
              </w:numPr>
              <w:spacing w:before="1"/>
              <w:jc w:val="both"/>
              <w:rPr>
                <w:rFonts w:ascii="Arial" w:hAnsi="Arial" w:cs="Arial"/>
                <w:bCs/>
              </w:rPr>
            </w:pPr>
            <w:r w:rsidRPr="00E40013">
              <w:rPr>
                <w:rFonts w:ascii="Arial" w:hAnsi="Arial" w:cs="Arial"/>
                <w:bCs/>
                <w:lang w:val="es-CO"/>
              </w:rPr>
              <w:t xml:space="preserve">De los seis (6) hallazgos que tienen actividades que se vencen en diciembre de </w:t>
            </w:r>
            <w:r w:rsidRPr="00E40013">
              <w:rPr>
                <w:rFonts w:ascii="Arial" w:hAnsi="Arial" w:cs="Arial"/>
                <w:noProof/>
                <w:lang w:val="es-CO"/>
              </w:rPr>
              <w:drawing>
                <wp:inline distT="0" distB="0" distL="0" distR="0" wp14:anchorId="0BCA005C" wp14:editId="5F7C8B48">
                  <wp:extent cx="4561" cy="4562"/>
                  <wp:effectExtent l="0" t="0" r="0" b="0"/>
                  <wp:docPr id="35015" name="Picture 35015"/>
                  <wp:cNvGraphicFramePr/>
                  <a:graphic xmlns:a="http://schemas.openxmlformats.org/drawingml/2006/main">
                    <a:graphicData uri="http://schemas.openxmlformats.org/drawingml/2006/picture">
                      <pic:pic xmlns:pic="http://schemas.openxmlformats.org/drawingml/2006/picture">
                        <pic:nvPicPr>
                          <pic:cNvPr id="35015" name="Picture 35015"/>
                          <pic:cNvPicPr/>
                        </pic:nvPicPr>
                        <pic:blipFill>
                          <a:blip r:embed="rId61"/>
                          <a:stretch>
                            <a:fillRect/>
                          </a:stretch>
                        </pic:blipFill>
                        <pic:spPr>
                          <a:xfrm>
                            <a:off x="0" y="0"/>
                            <a:ext cx="4561" cy="4562"/>
                          </a:xfrm>
                          <a:prstGeom prst="rect">
                            <a:avLst/>
                          </a:prstGeom>
                        </pic:spPr>
                      </pic:pic>
                    </a:graphicData>
                  </a:graphic>
                </wp:inline>
              </w:drawing>
            </w:r>
            <w:r w:rsidRPr="00E40013">
              <w:rPr>
                <w:rFonts w:ascii="Arial" w:hAnsi="Arial" w:cs="Arial"/>
                <w:bCs/>
                <w:lang w:val="es-CO"/>
              </w:rPr>
              <w:t>2025, se deben priorizar las actividades de los hallazgos H5, H22 y H23 ya que por lo complejo de la realización de las actividades presentan un alto riesgo que no se logren realizar en la fecha establecida.</w:t>
            </w:r>
          </w:p>
        </w:tc>
      </w:tr>
      <w:tr w:rsidR="00C17E6E" w:rsidRPr="00E40013" w14:paraId="6E1FE573" w14:textId="77777777" w:rsidTr="00217295">
        <w:trPr>
          <w:jc w:val="center"/>
        </w:trPr>
        <w:tc>
          <w:tcPr>
            <w:tcW w:w="304" w:type="dxa"/>
          </w:tcPr>
          <w:p w14:paraId="2DE96E5F"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4</w:t>
            </w:r>
            <w:r>
              <w:rPr>
                <w:rFonts w:ascii="Arial" w:hAnsi="Arial" w:cs="Arial"/>
                <w:b/>
              </w:rPr>
              <w:t>5</w:t>
            </w:r>
          </w:p>
        </w:tc>
        <w:tc>
          <w:tcPr>
            <w:tcW w:w="10307" w:type="dxa"/>
          </w:tcPr>
          <w:p w14:paraId="6F3C0F32" w14:textId="77777777" w:rsidR="00C17E6E" w:rsidRPr="00E40013" w:rsidRDefault="00C17E6E" w:rsidP="00F1223B">
            <w:pPr>
              <w:jc w:val="both"/>
              <w:rPr>
                <w:rFonts w:ascii="Arial" w:hAnsi="Arial" w:cs="Arial"/>
                <w:bCs/>
              </w:rPr>
            </w:pPr>
            <w:r w:rsidRPr="00E40013">
              <w:rPr>
                <w:rFonts w:ascii="Arial" w:hAnsi="Arial" w:cs="Arial"/>
                <w:b/>
                <w:lang w:val="es-MX"/>
              </w:rPr>
              <w:t xml:space="preserve">UNIVERSIDAD DEL CAUCA. </w:t>
            </w:r>
            <w:r w:rsidRPr="00E40013">
              <w:rPr>
                <w:rFonts w:ascii="Arial" w:hAnsi="Arial" w:cs="Arial"/>
                <w:b/>
                <w:sz w:val="24"/>
                <w:szCs w:val="24"/>
                <w:u w:val="single"/>
              </w:rPr>
              <w:t xml:space="preserve">Se determina que los responsables de la ejecución de </w:t>
            </w:r>
            <w:r w:rsidRPr="00E40013">
              <w:rPr>
                <w:rFonts w:ascii="Arial" w:hAnsi="Arial" w:cs="Arial"/>
                <w:b/>
                <w:u w:val="single"/>
              </w:rPr>
              <w:t>las actividades realizaron gestiones e impulso para su cumplimiento, no obstante, las actividades de las vigencias 2019, 2020 y 2021 no han sido eficaces, ya que presentaron incumplimiento en la fecha de finalización programada inicialmente, y algunas continúan en ejecución sin obtener avance adicional</w:t>
            </w:r>
            <w:r w:rsidRPr="00E40013">
              <w:rPr>
                <w:rFonts w:ascii="Arial" w:hAnsi="Arial" w:cs="Arial"/>
                <w:bCs/>
              </w:rPr>
              <w:t>.</w:t>
            </w:r>
          </w:p>
        </w:tc>
      </w:tr>
      <w:tr w:rsidR="00C17E6E" w:rsidRPr="00E40013" w14:paraId="04174488" w14:textId="77777777" w:rsidTr="00217295">
        <w:trPr>
          <w:jc w:val="center"/>
        </w:trPr>
        <w:tc>
          <w:tcPr>
            <w:tcW w:w="304" w:type="dxa"/>
          </w:tcPr>
          <w:p w14:paraId="58B26962"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r>
              <w:rPr>
                <w:rFonts w:ascii="Arial" w:hAnsi="Arial" w:cs="Arial"/>
                <w:b/>
              </w:rPr>
              <w:t>6</w:t>
            </w:r>
          </w:p>
        </w:tc>
        <w:tc>
          <w:tcPr>
            <w:tcW w:w="10307" w:type="dxa"/>
          </w:tcPr>
          <w:p w14:paraId="4F81B123" w14:textId="77777777" w:rsidR="00C17E6E" w:rsidRPr="00E40013" w:rsidRDefault="00C17E6E" w:rsidP="00F1223B">
            <w:pPr>
              <w:jc w:val="both"/>
              <w:rPr>
                <w:rFonts w:ascii="Arial" w:hAnsi="Arial" w:cs="Arial"/>
                <w:b/>
                <w:lang w:val="es-MX"/>
              </w:rPr>
            </w:pPr>
            <w:r w:rsidRPr="00E40013">
              <w:rPr>
                <w:rFonts w:ascii="Arial" w:hAnsi="Arial" w:cs="Arial"/>
                <w:b/>
                <w:lang w:val="es-MX"/>
              </w:rPr>
              <w:t>SUPERINTENDENCIA DE LA ECONOMIA SOLIDARIA - SUPERSOLIDARIA.</w:t>
            </w:r>
          </w:p>
          <w:p w14:paraId="3D757211" w14:textId="77777777" w:rsidR="00C17E6E" w:rsidRPr="00E40013" w:rsidRDefault="00C17E6E" w:rsidP="00F1223B">
            <w:pPr>
              <w:tabs>
                <w:tab w:val="left" w:pos="1395"/>
              </w:tabs>
              <w:jc w:val="both"/>
              <w:rPr>
                <w:rFonts w:ascii="Arial" w:hAnsi="Arial" w:cs="Arial"/>
                <w:b/>
                <w:lang w:val="es-MX"/>
              </w:rPr>
            </w:pPr>
          </w:p>
          <w:p w14:paraId="5DA5D4A9" w14:textId="77777777" w:rsidR="00C17E6E" w:rsidRPr="00E40013" w:rsidRDefault="00C17E6E" w:rsidP="00F1223B">
            <w:pPr>
              <w:jc w:val="both"/>
              <w:rPr>
                <w:rFonts w:ascii="Arial" w:hAnsi="Arial" w:cs="Arial"/>
              </w:rPr>
            </w:pPr>
            <w:r w:rsidRPr="00E40013">
              <w:rPr>
                <w:rFonts w:ascii="Arial" w:hAnsi="Arial" w:cs="Arial"/>
              </w:rPr>
              <w:t>Balance de depuración del plan de mejoramiento suscrito por el representante legal de la Superintendencia de la Economía Solidaria, de informes de vigencias anteriores (entre 2015 a 2021)</w:t>
            </w:r>
          </w:p>
          <w:p w14:paraId="3DDC331B" w14:textId="77777777" w:rsidR="00C17E6E" w:rsidRPr="00E40013" w:rsidRDefault="00C17E6E" w:rsidP="00F1223B">
            <w:pPr>
              <w:jc w:val="both"/>
              <w:rPr>
                <w:rFonts w:ascii="Arial" w:hAnsi="Arial" w:cs="Arial"/>
              </w:rPr>
            </w:pPr>
          </w:p>
          <w:tbl>
            <w:tblPr>
              <w:tblStyle w:val="TableNormal"/>
              <w:tblW w:w="0" w:type="auto"/>
              <w:tblInd w:w="6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3"/>
              <w:gridCol w:w="676"/>
              <w:gridCol w:w="676"/>
              <w:gridCol w:w="856"/>
            </w:tblGrid>
            <w:tr w:rsidR="00C17E6E" w:rsidRPr="00E40013" w14:paraId="24B4D840" w14:textId="77777777" w:rsidTr="00F1223B">
              <w:trPr>
                <w:trHeight w:val="300"/>
              </w:trPr>
              <w:tc>
                <w:tcPr>
                  <w:tcW w:w="8291" w:type="dxa"/>
                  <w:gridSpan w:val="4"/>
                  <w:shd w:val="clear" w:color="auto" w:fill="E7E6E6" w:themeFill="background2"/>
                </w:tcPr>
                <w:p w14:paraId="43A1793C" w14:textId="77777777" w:rsidR="00C17E6E" w:rsidRPr="00E40013" w:rsidRDefault="00C17E6E" w:rsidP="00F1223B">
                  <w:pPr>
                    <w:pStyle w:val="TableParagraph"/>
                    <w:spacing w:before="16" w:line="264" w:lineRule="exact"/>
                    <w:ind w:left="41"/>
                    <w:jc w:val="center"/>
                    <w:rPr>
                      <w:b/>
                      <w:sz w:val="20"/>
                      <w:szCs w:val="20"/>
                    </w:rPr>
                  </w:pPr>
                  <w:r w:rsidRPr="00E40013">
                    <w:rPr>
                      <w:b/>
                      <w:sz w:val="20"/>
                      <w:szCs w:val="20"/>
                    </w:rPr>
                    <w:t>EFECTIVIDAD</w:t>
                  </w:r>
                  <w:r w:rsidRPr="00E40013">
                    <w:rPr>
                      <w:b/>
                      <w:spacing w:val="-13"/>
                      <w:sz w:val="20"/>
                      <w:szCs w:val="20"/>
                    </w:rPr>
                    <w:t xml:space="preserve"> </w:t>
                  </w:r>
                  <w:r w:rsidRPr="00E40013">
                    <w:rPr>
                      <w:b/>
                      <w:sz w:val="20"/>
                      <w:szCs w:val="20"/>
                    </w:rPr>
                    <w:t>DE</w:t>
                  </w:r>
                  <w:r w:rsidRPr="00E40013">
                    <w:rPr>
                      <w:b/>
                      <w:spacing w:val="2"/>
                      <w:sz w:val="20"/>
                      <w:szCs w:val="20"/>
                    </w:rPr>
                    <w:t xml:space="preserve"> </w:t>
                  </w:r>
                  <w:r w:rsidRPr="00E40013">
                    <w:rPr>
                      <w:b/>
                      <w:sz w:val="20"/>
                      <w:szCs w:val="20"/>
                    </w:rPr>
                    <w:t>LAS</w:t>
                  </w:r>
                  <w:r w:rsidRPr="00E40013">
                    <w:rPr>
                      <w:b/>
                      <w:spacing w:val="-8"/>
                      <w:sz w:val="20"/>
                      <w:szCs w:val="20"/>
                    </w:rPr>
                    <w:t xml:space="preserve"> </w:t>
                  </w:r>
                  <w:r w:rsidRPr="00E40013">
                    <w:rPr>
                      <w:b/>
                      <w:spacing w:val="-2"/>
                      <w:sz w:val="20"/>
                      <w:szCs w:val="20"/>
                    </w:rPr>
                    <w:t>ACCIONES</w:t>
                  </w:r>
                </w:p>
              </w:tc>
            </w:tr>
            <w:tr w:rsidR="00C17E6E" w:rsidRPr="00E40013" w14:paraId="6EB99E67" w14:textId="77777777" w:rsidTr="00F1223B">
              <w:trPr>
                <w:trHeight w:val="300"/>
              </w:trPr>
              <w:tc>
                <w:tcPr>
                  <w:tcW w:w="6083" w:type="dxa"/>
                  <w:shd w:val="clear" w:color="auto" w:fill="E7E6E6" w:themeFill="background2"/>
                </w:tcPr>
                <w:p w14:paraId="48D8E6D7" w14:textId="77777777" w:rsidR="00C17E6E" w:rsidRPr="00E40013" w:rsidRDefault="00C17E6E" w:rsidP="00F1223B">
                  <w:pPr>
                    <w:pStyle w:val="TableParagraph"/>
                    <w:spacing w:before="15" w:line="264" w:lineRule="exact"/>
                    <w:ind w:left="29" w:right="13"/>
                    <w:jc w:val="center"/>
                    <w:rPr>
                      <w:b/>
                      <w:sz w:val="20"/>
                      <w:szCs w:val="20"/>
                    </w:rPr>
                  </w:pPr>
                  <w:r w:rsidRPr="00E40013">
                    <w:rPr>
                      <w:b/>
                      <w:spacing w:val="-2"/>
                      <w:sz w:val="20"/>
                      <w:szCs w:val="20"/>
                    </w:rPr>
                    <w:t>PROCESO</w:t>
                  </w:r>
                </w:p>
              </w:tc>
              <w:tc>
                <w:tcPr>
                  <w:tcW w:w="676" w:type="dxa"/>
                  <w:shd w:val="clear" w:color="auto" w:fill="E7E6E6" w:themeFill="background2"/>
                </w:tcPr>
                <w:p w14:paraId="441CACE8" w14:textId="77777777" w:rsidR="00C17E6E" w:rsidRPr="00E40013" w:rsidRDefault="00C17E6E" w:rsidP="00F1223B">
                  <w:pPr>
                    <w:pStyle w:val="TableParagraph"/>
                    <w:spacing w:before="15" w:line="264" w:lineRule="exact"/>
                    <w:ind w:left="187"/>
                    <w:rPr>
                      <w:b/>
                      <w:sz w:val="20"/>
                      <w:szCs w:val="20"/>
                    </w:rPr>
                  </w:pPr>
                  <w:r w:rsidRPr="00E40013">
                    <w:rPr>
                      <w:b/>
                      <w:spacing w:val="-5"/>
                      <w:sz w:val="20"/>
                      <w:szCs w:val="20"/>
                    </w:rPr>
                    <w:t>NO</w:t>
                  </w:r>
                </w:p>
              </w:tc>
              <w:tc>
                <w:tcPr>
                  <w:tcW w:w="676" w:type="dxa"/>
                  <w:shd w:val="clear" w:color="auto" w:fill="E7E6E6" w:themeFill="background2"/>
                </w:tcPr>
                <w:p w14:paraId="1B222237" w14:textId="77777777" w:rsidR="00C17E6E" w:rsidRPr="00E40013" w:rsidRDefault="00C17E6E" w:rsidP="00F1223B">
                  <w:pPr>
                    <w:pStyle w:val="TableParagraph"/>
                    <w:spacing w:before="15" w:line="264" w:lineRule="exact"/>
                    <w:ind w:left="38" w:right="10"/>
                    <w:jc w:val="center"/>
                    <w:rPr>
                      <w:b/>
                      <w:sz w:val="20"/>
                      <w:szCs w:val="20"/>
                    </w:rPr>
                  </w:pPr>
                  <w:r w:rsidRPr="00E40013">
                    <w:rPr>
                      <w:b/>
                      <w:spacing w:val="-5"/>
                      <w:sz w:val="20"/>
                      <w:szCs w:val="20"/>
                    </w:rPr>
                    <w:t>SI</w:t>
                  </w:r>
                </w:p>
              </w:tc>
              <w:tc>
                <w:tcPr>
                  <w:tcW w:w="856" w:type="dxa"/>
                  <w:shd w:val="clear" w:color="auto" w:fill="E7E6E6" w:themeFill="background2"/>
                </w:tcPr>
                <w:p w14:paraId="07875AF8" w14:textId="77777777" w:rsidR="00C17E6E" w:rsidRPr="00E40013" w:rsidRDefault="00C17E6E" w:rsidP="00F1223B">
                  <w:pPr>
                    <w:pStyle w:val="TableParagraph"/>
                    <w:spacing w:before="15" w:line="264" w:lineRule="exact"/>
                    <w:ind w:left="202"/>
                    <w:rPr>
                      <w:b/>
                      <w:sz w:val="20"/>
                      <w:szCs w:val="20"/>
                    </w:rPr>
                  </w:pPr>
                  <w:r w:rsidRPr="00E40013">
                    <w:rPr>
                      <w:b/>
                      <w:spacing w:val="-2"/>
                      <w:sz w:val="20"/>
                      <w:szCs w:val="20"/>
                    </w:rPr>
                    <w:t>Total</w:t>
                  </w:r>
                </w:p>
              </w:tc>
            </w:tr>
            <w:tr w:rsidR="00C17E6E" w:rsidRPr="00E40013" w14:paraId="4AE8D6A5" w14:textId="77777777" w:rsidTr="00F1223B">
              <w:trPr>
                <w:trHeight w:val="285"/>
              </w:trPr>
              <w:tc>
                <w:tcPr>
                  <w:tcW w:w="6083" w:type="dxa"/>
                </w:tcPr>
                <w:p w14:paraId="61FECC1A" w14:textId="77777777" w:rsidR="00C17E6E" w:rsidRPr="00E40013" w:rsidRDefault="00C17E6E" w:rsidP="00F1223B">
                  <w:pPr>
                    <w:pStyle w:val="TableParagraph"/>
                    <w:spacing w:before="16" w:line="249" w:lineRule="exact"/>
                    <w:ind w:left="82"/>
                    <w:rPr>
                      <w:sz w:val="20"/>
                      <w:szCs w:val="20"/>
                    </w:rPr>
                  </w:pPr>
                  <w:r w:rsidRPr="00E40013">
                    <w:rPr>
                      <w:sz w:val="20"/>
                      <w:szCs w:val="20"/>
                    </w:rPr>
                    <w:t>Oficina Asesora</w:t>
                  </w:r>
                  <w:r w:rsidRPr="00E40013">
                    <w:rPr>
                      <w:spacing w:val="-18"/>
                      <w:sz w:val="20"/>
                      <w:szCs w:val="20"/>
                    </w:rPr>
                    <w:t xml:space="preserve"> </w:t>
                  </w:r>
                  <w:r w:rsidRPr="00E40013">
                    <w:rPr>
                      <w:sz w:val="20"/>
                      <w:szCs w:val="20"/>
                    </w:rPr>
                    <w:t>de</w:t>
                  </w:r>
                  <w:r w:rsidRPr="00E40013">
                    <w:rPr>
                      <w:spacing w:val="-5"/>
                      <w:sz w:val="20"/>
                      <w:szCs w:val="20"/>
                    </w:rPr>
                    <w:t xml:space="preserve"> </w:t>
                  </w:r>
                  <w:r w:rsidRPr="00E40013">
                    <w:rPr>
                      <w:sz w:val="20"/>
                      <w:szCs w:val="20"/>
                    </w:rPr>
                    <w:t>Planeación</w:t>
                  </w:r>
                  <w:r w:rsidRPr="00E40013">
                    <w:rPr>
                      <w:spacing w:val="-13"/>
                      <w:sz w:val="20"/>
                      <w:szCs w:val="20"/>
                    </w:rPr>
                    <w:t xml:space="preserve"> </w:t>
                  </w:r>
                  <w:r w:rsidRPr="00E40013">
                    <w:rPr>
                      <w:sz w:val="20"/>
                      <w:szCs w:val="20"/>
                    </w:rPr>
                    <w:t>y</w:t>
                  </w:r>
                  <w:r w:rsidRPr="00E40013">
                    <w:rPr>
                      <w:spacing w:val="7"/>
                      <w:sz w:val="20"/>
                      <w:szCs w:val="20"/>
                    </w:rPr>
                    <w:t xml:space="preserve"> </w:t>
                  </w:r>
                  <w:r w:rsidRPr="00E40013">
                    <w:rPr>
                      <w:spacing w:val="-2"/>
                      <w:sz w:val="20"/>
                      <w:szCs w:val="20"/>
                    </w:rPr>
                    <w:t>Sistemas</w:t>
                  </w:r>
                </w:p>
              </w:tc>
              <w:tc>
                <w:tcPr>
                  <w:tcW w:w="676" w:type="dxa"/>
                </w:tcPr>
                <w:p w14:paraId="06E8F6DD" w14:textId="77777777" w:rsidR="00C17E6E" w:rsidRPr="00E40013" w:rsidRDefault="00C17E6E" w:rsidP="00F1223B">
                  <w:pPr>
                    <w:pStyle w:val="TableParagraph"/>
                    <w:spacing w:before="16" w:line="249" w:lineRule="exact"/>
                    <w:ind w:right="41"/>
                    <w:jc w:val="center"/>
                    <w:rPr>
                      <w:sz w:val="20"/>
                      <w:szCs w:val="20"/>
                    </w:rPr>
                  </w:pPr>
                  <w:r w:rsidRPr="00E40013">
                    <w:rPr>
                      <w:spacing w:val="-10"/>
                      <w:sz w:val="20"/>
                      <w:szCs w:val="20"/>
                    </w:rPr>
                    <w:t>1</w:t>
                  </w:r>
                </w:p>
              </w:tc>
              <w:tc>
                <w:tcPr>
                  <w:tcW w:w="676" w:type="dxa"/>
                </w:tcPr>
                <w:p w14:paraId="3253219A" w14:textId="77777777" w:rsidR="00C17E6E" w:rsidRPr="00E40013" w:rsidRDefault="00C17E6E" w:rsidP="00F1223B">
                  <w:pPr>
                    <w:pStyle w:val="TableParagraph"/>
                    <w:jc w:val="center"/>
                    <w:rPr>
                      <w:sz w:val="20"/>
                      <w:szCs w:val="20"/>
                    </w:rPr>
                  </w:pPr>
                </w:p>
              </w:tc>
              <w:tc>
                <w:tcPr>
                  <w:tcW w:w="856" w:type="dxa"/>
                </w:tcPr>
                <w:p w14:paraId="3A3CD5F4" w14:textId="77777777" w:rsidR="00C17E6E" w:rsidRPr="00E40013" w:rsidRDefault="00C17E6E" w:rsidP="00F1223B">
                  <w:pPr>
                    <w:pStyle w:val="TableParagraph"/>
                    <w:spacing w:before="16" w:line="249" w:lineRule="exact"/>
                    <w:ind w:right="27"/>
                    <w:jc w:val="center"/>
                    <w:rPr>
                      <w:sz w:val="20"/>
                      <w:szCs w:val="20"/>
                    </w:rPr>
                  </w:pPr>
                  <w:r w:rsidRPr="00E40013">
                    <w:rPr>
                      <w:spacing w:val="-10"/>
                      <w:sz w:val="20"/>
                      <w:szCs w:val="20"/>
                    </w:rPr>
                    <w:t>1</w:t>
                  </w:r>
                </w:p>
              </w:tc>
            </w:tr>
            <w:tr w:rsidR="00C17E6E" w:rsidRPr="00E40013" w14:paraId="58707ACE" w14:textId="77777777" w:rsidTr="00F1223B">
              <w:trPr>
                <w:trHeight w:val="300"/>
              </w:trPr>
              <w:tc>
                <w:tcPr>
                  <w:tcW w:w="6083" w:type="dxa"/>
                </w:tcPr>
                <w:p w14:paraId="617F4C16" w14:textId="77777777" w:rsidR="00C17E6E" w:rsidRPr="00E40013" w:rsidRDefault="00C17E6E" w:rsidP="00F1223B">
                  <w:pPr>
                    <w:pStyle w:val="TableParagraph"/>
                    <w:spacing w:before="30" w:line="250" w:lineRule="exact"/>
                    <w:ind w:left="82"/>
                    <w:rPr>
                      <w:sz w:val="20"/>
                      <w:szCs w:val="20"/>
                    </w:rPr>
                  </w:pPr>
                  <w:r w:rsidRPr="00E40013">
                    <w:rPr>
                      <w:sz w:val="20"/>
                      <w:szCs w:val="20"/>
                    </w:rPr>
                    <w:t>Secretaria</w:t>
                  </w:r>
                  <w:r w:rsidRPr="00E40013">
                    <w:rPr>
                      <w:spacing w:val="-15"/>
                      <w:sz w:val="20"/>
                      <w:szCs w:val="20"/>
                    </w:rPr>
                    <w:t xml:space="preserve"> </w:t>
                  </w:r>
                  <w:r w:rsidRPr="00E40013">
                    <w:rPr>
                      <w:spacing w:val="-2"/>
                      <w:sz w:val="20"/>
                      <w:szCs w:val="20"/>
                    </w:rPr>
                    <w:t>General</w:t>
                  </w:r>
                </w:p>
              </w:tc>
              <w:tc>
                <w:tcPr>
                  <w:tcW w:w="676" w:type="dxa"/>
                </w:tcPr>
                <w:p w14:paraId="6B96C128" w14:textId="77777777" w:rsidR="00C17E6E" w:rsidRPr="00E40013" w:rsidRDefault="00C17E6E" w:rsidP="00F1223B">
                  <w:pPr>
                    <w:pStyle w:val="TableParagraph"/>
                    <w:spacing w:before="30" w:line="250" w:lineRule="exact"/>
                    <w:ind w:right="41"/>
                    <w:jc w:val="center"/>
                    <w:rPr>
                      <w:sz w:val="20"/>
                      <w:szCs w:val="20"/>
                    </w:rPr>
                  </w:pPr>
                  <w:r w:rsidRPr="00E40013">
                    <w:rPr>
                      <w:spacing w:val="-10"/>
                      <w:sz w:val="20"/>
                      <w:szCs w:val="20"/>
                    </w:rPr>
                    <w:t>0</w:t>
                  </w:r>
                </w:p>
              </w:tc>
              <w:tc>
                <w:tcPr>
                  <w:tcW w:w="676" w:type="dxa"/>
                </w:tcPr>
                <w:p w14:paraId="117CFB38" w14:textId="77777777" w:rsidR="00C17E6E" w:rsidRPr="00E40013" w:rsidRDefault="00C17E6E" w:rsidP="00F1223B">
                  <w:pPr>
                    <w:pStyle w:val="TableParagraph"/>
                    <w:spacing w:before="30" w:line="250" w:lineRule="exact"/>
                    <w:ind w:right="27"/>
                    <w:jc w:val="center"/>
                    <w:rPr>
                      <w:sz w:val="20"/>
                      <w:szCs w:val="20"/>
                    </w:rPr>
                  </w:pPr>
                  <w:r w:rsidRPr="00E40013">
                    <w:rPr>
                      <w:spacing w:val="-10"/>
                      <w:sz w:val="20"/>
                      <w:szCs w:val="20"/>
                    </w:rPr>
                    <w:t>4</w:t>
                  </w:r>
                </w:p>
              </w:tc>
              <w:tc>
                <w:tcPr>
                  <w:tcW w:w="856" w:type="dxa"/>
                </w:tcPr>
                <w:p w14:paraId="02BE452D" w14:textId="77777777" w:rsidR="00C17E6E" w:rsidRPr="00E40013" w:rsidRDefault="00C17E6E" w:rsidP="00F1223B">
                  <w:pPr>
                    <w:pStyle w:val="TableParagraph"/>
                    <w:spacing w:before="30" w:line="250" w:lineRule="exact"/>
                    <w:ind w:right="27"/>
                    <w:jc w:val="center"/>
                    <w:rPr>
                      <w:sz w:val="20"/>
                      <w:szCs w:val="20"/>
                    </w:rPr>
                  </w:pPr>
                  <w:r w:rsidRPr="00E40013">
                    <w:rPr>
                      <w:spacing w:val="-10"/>
                      <w:sz w:val="20"/>
                      <w:szCs w:val="20"/>
                    </w:rPr>
                    <w:t>4</w:t>
                  </w:r>
                </w:p>
              </w:tc>
            </w:tr>
            <w:tr w:rsidR="00C17E6E" w:rsidRPr="00E40013" w14:paraId="7C11875D" w14:textId="77777777" w:rsidTr="00F1223B">
              <w:trPr>
                <w:trHeight w:val="300"/>
              </w:trPr>
              <w:tc>
                <w:tcPr>
                  <w:tcW w:w="6083" w:type="dxa"/>
                  <w:shd w:val="clear" w:color="auto" w:fill="E7E6E6" w:themeFill="background2"/>
                </w:tcPr>
                <w:p w14:paraId="6E241829" w14:textId="77777777" w:rsidR="00C17E6E" w:rsidRPr="00E40013" w:rsidRDefault="00C17E6E" w:rsidP="00F1223B">
                  <w:pPr>
                    <w:pStyle w:val="TableParagraph"/>
                    <w:spacing w:before="30" w:line="249" w:lineRule="exact"/>
                    <w:ind w:left="29" w:right="5"/>
                    <w:jc w:val="center"/>
                    <w:rPr>
                      <w:b/>
                      <w:sz w:val="20"/>
                      <w:szCs w:val="20"/>
                    </w:rPr>
                  </w:pPr>
                  <w:r w:rsidRPr="00E40013">
                    <w:rPr>
                      <w:b/>
                      <w:spacing w:val="-2"/>
                      <w:sz w:val="20"/>
                      <w:szCs w:val="20"/>
                    </w:rPr>
                    <w:t>Total</w:t>
                  </w:r>
                </w:p>
              </w:tc>
              <w:tc>
                <w:tcPr>
                  <w:tcW w:w="676" w:type="dxa"/>
                  <w:shd w:val="clear" w:color="auto" w:fill="E7E6E6" w:themeFill="background2"/>
                </w:tcPr>
                <w:p w14:paraId="79BFE03E" w14:textId="77777777" w:rsidR="00C17E6E" w:rsidRPr="00E40013" w:rsidRDefault="00C17E6E" w:rsidP="00F1223B">
                  <w:pPr>
                    <w:pStyle w:val="TableParagraph"/>
                    <w:spacing w:before="30" w:line="249" w:lineRule="exact"/>
                    <w:ind w:left="38" w:right="30"/>
                    <w:jc w:val="center"/>
                    <w:rPr>
                      <w:b/>
                      <w:sz w:val="20"/>
                      <w:szCs w:val="20"/>
                    </w:rPr>
                  </w:pPr>
                  <w:r w:rsidRPr="00E40013">
                    <w:rPr>
                      <w:b/>
                      <w:spacing w:val="-10"/>
                      <w:sz w:val="20"/>
                      <w:szCs w:val="20"/>
                    </w:rPr>
                    <w:t>1</w:t>
                  </w:r>
                </w:p>
              </w:tc>
              <w:tc>
                <w:tcPr>
                  <w:tcW w:w="676" w:type="dxa"/>
                  <w:shd w:val="clear" w:color="auto" w:fill="E7E6E6" w:themeFill="background2"/>
                </w:tcPr>
                <w:p w14:paraId="510A9465" w14:textId="77777777" w:rsidR="00C17E6E" w:rsidRPr="00E40013" w:rsidRDefault="00C17E6E" w:rsidP="00F1223B">
                  <w:pPr>
                    <w:pStyle w:val="TableParagraph"/>
                    <w:spacing w:before="30" w:line="249" w:lineRule="exact"/>
                    <w:ind w:left="38"/>
                    <w:jc w:val="center"/>
                    <w:rPr>
                      <w:b/>
                      <w:sz w:val="20"/>
                      <w:szCs w:val="20"/>
                    </w:rPr>
                  </w:pPr>
                  <w:r w:rsidRPr="00E40013">
                    <w:rPr>
                      <w:b/>
                      <w:spacing w:val="-10"/>
                      <w:sz w:val="20"/>
                      <w:szCs w:val="20"/>
                    </w:rPr>
                    <w:t>4</w:t>
                  </w:r>
                </w:p>
              </w:tc>
              <w:tc>
                <w:tcPr>
                  <w:tcW w:w="856" w:type="dxa"/>
                  <w:shd w:val="clear" w:color="auto" w:fill="E7E6E6" w:themeFill="background2"/>
                </w:tcPr>
                <w:p w14:paraId="1DEBD9DC" w14:textId="77777777" w:rsidR="00C17E6E" w:rsidRPr="00E40013" w:rsidRDefault="00C17E6E" w:rsidP="00F1223B">
                  <w:pPr>
                    <w:pStyle w:val="TableParagraph"/>
                    <w:spacing w:before="30" w:line="249" w:lineRule="exact"/>
                    <w:ind w:left="38"/>
                    <w:jc w:val="center"/>
                    <w:rPr>
                      <w:b/>
                      <w:sz w:val="20"/>
                      <w:szCs w:val="20"/>
                    </w:rPr>
                  </w:pPr>
                  <w:r w:rsidRPr="00E40013">
                    <w:rPr>
                      <w:b/>
                      <w:spacing w:val="-10"/>
                      <w:sz w:val="20"/>
                      <w:szCs w:val="20"/>
                    </w:rPr>
                    <w:t>5</w:t>
                  </w:r>
                </w:p>
              </w:tc>
            </w:tr>
            <w:tr w:rsidR="00C17E6E" w:rsidRPr="00E40013" w14:paraId="0FA159F0" w14:textId="77777777" w:rsidTr="00F1223B">
              <w:trPr>
                <w:trHeight w:val="285"/>
              </w:trPr>
              <w:tc>
                <w:tcPr>
                  <w:tcW w:w="6083" w:type="dxa"/>
                  <w:shd w:val="clear" w:color="auto" w:fill="E7E6E6" w:themeFill="background2"/>
                </w:tcPr>
                <w:p w14:paraId="4782EEB3" w14:textId="77777777" w:rsidR="00C17E6E" w:rsidRPr="00E40013" w:rsidRDefault="00C17E6E" w:rsidP="00F1223B">
                  <w:pPr>
                    <w:pStyle w:val="TableParagraph"/>
                    <w:spacing w:before="16" w:line="249" w:lineRule="exact"/>
                    <w:ind w:left="29"/>
                    <w:jc w:val="center"/>
                    <w:rPr>
                      <w:b/>
                      <w:sz w:val="20"/>
                      <w:szCs w:val="20"/>
                    </w:rPr>
                  </w:pPr>
                  <w:r w:rsidRPr="00E40013">
                    <w:rPr>
                      <w:b/>
                      <w:spacing w:val="-10"/>
                      <w:sz w:val="20"/>
                      <w:szCs w:val="20"/>
                    </w:rPr>
                    <w:t>%</w:t>
                  </w:r>
                </w:p>
              </w:tc>
              <w:tc>
                <w:tcPr>
                  <w:tcW w:w="676" w:type="dxa"/>
                  <w:shd w:val="clear" w:color="auto" w:fill="E7E6E6" w:themeFill="background2"/>
                </w:tcPr>
                <w:p w14:paraId="050C22DF" w14:textId="77777777" w:rsidR="00C17E6E" w:rsidRPr="00E40013" w:rsidRDefault="00C17E6E" w:rsidP="00F1223B">
                  <w:pPr>
                    <w:pStyle w:val="TableParagraph"/>
                    <w:spacing w:before="16" w:line="249" w:lineRule="exact"/>
                    <w:ind w:left="142"/>
                    <w:jc w:val="center"/>
                    <w:rPr>
                      <w:b/>
                      <w:sz w:val="20"/>
                      <w:szCs w:val="20"/>
                    </w:rPr>
                  </w:pPr>
                  <w:r w:rsidRPr="00E40013">
                    <w:rPr>
                      <w:b/>
                      <w:spacing w:val="-5"/>
                      <w:sz w:val="20"/>
                      <w:szCs w:val="20"/>
                    </w:rPr>
                    <w:t>20%</w:t>
                  </w:r>
                </w:p>
              </w:tc>
              <w:tc>
                <w:tcPr>
                  <w:tcW w:w="676" w:type="dxa"/>
                  <w:shd w:val="clear" w:color="auto" w:fill="E7E6E6" w:themeFill="background2"/>
                </w:tcPr>
                <w:p w14:paraId="3DA27052" w14:textId="77777777" w:rsidR="00C17E6E" w:rsidRPr="00E40013" w:rsidRDefault="00C17E6E" w:rsidP="00F1223B">
                  <w:pPr>
                    <w:pStyle w:val="TableParagraph"/>
                    <w:spacing w:before="16" w:line="249" w:lineRule="exact"/>
                    <w:ind w:left="157"/>
                    <w:jc w:val="center"/>
                    <w:rPr>
                      <w:b/>
                      <w:sz w:val="20"/>
                      <w:szCs w:val="20"/>
                    </w:rPr>
                  </w:pPr>
                  <w:r w:rsidRPr="00E40013">
                    <w:rPr>
                      <w:b/>
                      <w:spacing w:val="-5"/>
                      <w:sz w:val="20"/>
                      <w:szCs w:val="20"/>
                    </w:rPr>
                    <w:t>80%</w:t>
                  </w:r>
                </w:p>
              </w:tc>
              <w:tc>
                <w:tcPr>
                  <w:tcW w:w="856" w:type="dxa"/>
                  <w:shd w:val="clear" w:color="auto" w:fill="E7E6E6" w:themeFill="background2"/>
                </w:tcPr>
                <w:p w14:paraId="1BBBD32E" w14:textId="77777777" w:rsidR="00C17E6E" w:rsidRPr="00E40013" w:rsidRDefault="00C17E6E" w:rsidP="00F1223B">
                  <w:pPr>
                    <w:pStyle w:val="TableParagraph"/>
                    <w:spacing w:before="16" w:line="249" w:lineRule="exact"/>
                    <w:ind w:left="202"/>
                    <w:jc w:val="center"/>
                    <w:rPr>
                      <w:b/>
                      <w:sz w:val="20"/>
                      <w:szCs w:val="20"/>
                    </w:rPr>
                  </w:pPr>
                  <w:r w:rsidRPr="00E40013">
                    <w:rPr>
                      <w:b/>
                      <w:spacing w:val="-4"/>
                      <w:sz w:val="20"/>
                      <w:szCs w:val="20"/>
                    </w:rPr>
                    <w:t>100%</w:t>
                  </w:r>
                </w:p>
              </w:tc>
            </w:tr>
          </w:tbl>
          <w:p w14:paraId="3C0417F1" w14:textId="77777777" w:rsidR="00C17E6E" w:rsidRPr="00E40013" w:rsidRDefault="00C17E6E" w:rsidP="00F1223B">
            <w:pPr>
              <w:tabs>
                <w:tab w:val="left" w:pos="1395"/>
              </w:tabs>
              <w:jc w:val="both"/>
              <w:rPr>
                <w:rFonts w:ascii="Arial" w:hAnsi="Arial" w:cs="Arial"/>
                <w:b/>
                <w:lang w:val="es-MX"/>
              </w:rPr>
            </w:pPr>
          </w:p>
        </w:tc>
      </w:tr>
      <w:tr w:rsidR="00C17E6E" w:rsidRPr="00E40013" w14:paraId="04E6CE9C" w14:textId="77777777" w:rsidTr="00217295">
        <w:trPr>
          <w:jc w:val="center"/>
        </w:trPr>
        <w:tc>
          <w:tcPr>
            <w:tcW w:w="304" w:type="dxa"/>
          </w:tcPr>
          <w:p w14:paraId="0BACCFEE"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r>
              <w:rPr>
                <w:rFonts w:ascii="Arial" w:hAnsi="Arial" w:cs="Arial"/>
                <w:b/>
              </w:rPr>
              <w:t>7</w:t>
            </w:r>
          </w:p>
        </w:tc>
        <w:tc>
          <w:tcPr>
            <w:tcW w:w="10307" w:type="dxa"/>
          </w:tcPr>
          <w:p w14:paraId="7FB18B9D" w14:textId="77777777" w:rsidR="00C17E6E" w:rsidRPr="00E40013" w:rsidRDefault="00C17E6E" w:rsidP="00F1223B">
            <w:pPr>
              <w:jc w:val="both"/>
              <w:rPr>
                <w:rFonts w:ascii="Arial" w:hAnsi="Arial" w:cs="Arial"/>
                <w:b/>
                <w:lang w:val="es-MX"/>
              </w:rPr>
            </w:pPr>
            <w:r w:rsidRPr="00E40013">
              <w:rPr>
                <w:rFonts w:ascii="Arial" w:hAnsi="Arial" w:cs="Arial"/>
                <w:b/>
                <w:lang w:val="es-MX"/>
              </w:rPr>
              <w:t xml:space="preserve">INSTITUTO NACIONAL DE MEDICINA LEGAL Y CIENCIAS FORENSES. </w:t>
            </w:r>
          </w:p>
          <w:p w14:paraId="5946020A" w14:textId="77777777" w:rsidR="00C17E6E" w:rsidRPr="00E40013" w:rsidRDefault="00C17E6E" w:rsidP="00F1223B">
            <w:pPr>
              <w:jc w:val="both"/>
              <w:rPr>
                <w:rFonts w:ascii="Arial" w:hAnsi="Arial" w:cs="Arial"/>
                <w:b/>
                <w:lang w:val="es-MX"/>
              </w:rPr>
            </w:pPr>
          </w:p>
          <w:p w14:paraId="6DC92B26" w14:textId="77777777" w:rsidR="00C17E6E" w:rsidRPr="00E40013" w:rsidRDefault="00C17E6E" w:rsidP="00C17E6E">
            <w:pPr>
              <w:pStyle w:val="Textoindependiente"/>
              <w:numPr>
                <w:ilvl w:val="0"/>
                <w:numId w:val="130"/>
              </w:numPr>
              <w:tabs>
                <w:tab w:val="left" w:pos="2055"/>
              </w:tabs>
              <w:spacing w:before="5"/>
              <w:jc w:val="both"/>
              <w:rPr>
                <w:rFonts w:ascii="Arial" w:hAnsi="Arial" w:cs="Arial"/>
              </w:rPr>
            </w:pPr>
            <w:r w:rsidRPr="00E40013">
              <w:rPr>
                <w:rFonts w:ascii="Arial" w:hAnsi="Arial" w:cs="Arial"/>
              </w:rPr>
              <w:t>Verificado el cumplimiento de los planes de mejoramiento suscritos con la Contraloría General de la República, se pudo determinar que de las 24 acciones establecidas para eliminar las causas que originaron los 11 hallazgos, se dio cumplimiento al plan en 20 actividades correspondientes al 83% y el avance del plan fue del 87% teniendo en cuenta que una actividad se encuentra en termino para su cumplimiento en febrero de 2025.</w:t>
            </w:r>
          </w:p>
          <w:p w14:paraId="598931C3" w14:textId="77777777" w:rsidR="00C17E6E" w:rsidRPr="00E40013" w:rsidRDefault="00C17E6E" w:rsidP="00F1223B">
            <w:pPr>
              <w:pStyle w:val="Textoindependiente"/>
              <w:tabs>
                <w:tab w:val="left" w:pos="2055"/>
              </w:tabs>
              <w:spacing w:before="5"/>
              <w:jc w:val="both"/>
              <w:rPr>
                <w:rFonts w:ascii="Arial" w:hAnsi="Arial" w:cs="Arial"/>
              </w:rPr>
            </w:pPr>
          </w:p>
          <w:p w14:paraId="7F46E179" w14:textId="77777777" w:rsidR="00C17E6E" w:rsidRPr="00E40013" w:rsidRDefault="00C17E6E" w:rsidP="00C17E6E">
            <w:pPr>
              <w:pStyle w:val="Textoindependiente"/>
              <w:numPr>
                <w:ilvl w:val="0"/>
                <w:numId w:val="130"/>
              </w:numPr>
              <w:tabs>
                <w:tab w:val="left" w:pos="2055"/>
              </w:tabs>
              <w:spacing w:before="5"/>
              <w:jc w:val="both"/>
              <w:rPr>
                <w:rFonts w:ascii="Arial" w:hAnsi="Arial" w:cs="Arial"/>
              </w:rPr>
            </w:pPr>
            <w:r w:rsidRPr="00E40013">
              <w:rPr>
                <w:rFonts w:ascii="Arial" w:hAnsi="Arial" w:cs="Arial"/>
              </w:rPr>
              <w:t>Se cerraron como eficaces los hallazgos Nos. 28-2019, 3-2022, 4-2022, 7-2022, 9-2022 y 10-2022 y se determinaron como inefectivos los hallazgos Nos. 2-2022, 5-2022, 6-2022 y 8-2022 los cuales fueron reformulados y registrados nuevamente en el plan de mejoramiento.</w:t>
            </w:r>
          </w:p>
          <w:p w14:paraId="5D44E4C7" w14:textId="77777777" w:rsidR="00C17E6E" w:rsidRPr="00E40013" w:rsidRDefault="00C17E6E" w:rsidP="00F1223B">
            <w:pPr>
              <w:pStyle w:val="Prrafodelista"/>
              <w:rPr>
                <w:rFonts w:ascii="Arial" w:hAnsi="Arial" w:cs="Arial"/>
              </w:rPr>
            </w:pPr>
          </w:p>
          <w:p w14:paraId="37099005" w14:textId="77777777" w:rsidR="00C17E6E" w:rsidRPr="00E40013" w:rsidRDefault="00C17E6E" w:rsidP="00C17E6E">
            <w:pPr>
              <w:pStyle w:val="Prrafodelista"/>
              <w:numPr>
                <w:ilvl w:val="0"/>
                <w:numId w:val="130"/>
              </w:numPr>
              <w:spacing w:before="1"/>
              <w:jc w:val="both"/>
              <w:rPr>
                <w:rFonts w:ascii="Arial" w:hAnsi="Arial" w:cs="Arial"/>
              </w:rPr>
            </w:pPr>
            <w:r w:rsidRPr="00E40013">
              <w:rPr>
                <w:rFonts w:ascii="Arial" w:hAnsi="Arial" w:cs="Arial"/>
              </w:rPr>
              <w:t>Se evidencian aspectos por mejorar frente al cumplimiento de lo establecido en el procedimiento DG-C-P-014 “Gestión de acciones correctivas, acciones preventivas y acciones de mejora”, en especial frente a lo relacionado con los numerales 7.4.3. Actividad 3: “Implementar las acciones correctivas, preventivas o de mejora”, tarea 2, nota 1 “Para las acciones con fecha máxima de implementación de tres meses registrar al menos un seguimiento y para las de tres meses en adelante, mínimo dos seguimientos.</w:t>
            </w:r>
          </w:p>
        </w:tc>
      </w:tr>
      <w:tr w:rsidR="00C17E6E" w:rsidRPr="00E40013" w14:paraId="2415F2AF" w14:textId="77777777" w:rsidTr="00217295">
        <w:trPr>
          <w:jc w:val="center"/>
        </w:trPr>
        <w:tc>
          <w:tcPr>
            <w:tcW w:w="304" w:type="dxa"/>
          </w:tcPr>
          <w:p w14:paraId="2590F264"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r>
              <w:rPr>
                <w:rFonts w:ascii="Arial" w:hAnsi="Arial" w:cs="Arial"/>
                <w:b/>
              </w:rPr>
              <w:t>8</w:t>
            </w:r>
          </w:p>
        </w:tc>
        <w:tc>
          <w:tcPr>
            <w:tcW w:w="10307" w:type="dxa"/>
          </w:tcPr>
          <w:p w14:paraId="44AFB740"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324.- UNIVERSIDAD POPULAR DEL CESAR. </w:t>
            </w:r>
            <w:r w:rsidRPr="00E40013">
              <w:rPr>
                <w:rFonts w:ascii="Arial" w:hAnsi="Arial" w:cs="Arial"/>
                <w:b/>
                <w:bCs/>
              </w:rPr>
              <w:t xml:space="preserve">CONCLUSIONES: </w:t>
            </w:r>
            <w:r w:rsidRPr="00E40013">
              <w:rPr>
                <w:rFonts w:ascii="Arial" w:hAnsi="Arial" w:cs="Arial"/>
              </w:rPr>
              <w:t>De acuerdo al informe presentado por la Contraloría General de la Republica con relación a la Auditoria Financiera de la vigencia 2023, presentó el informe del plan de mejoramiento e informo que se estableció una efectividad consolidada del 70% dado que, de los veintisiete (27) hallazgos revisados, diecinueve (19) tuvieron acciones con una efectividad del 100% y ocho (8) hallazgos tuvieron acciones que no se consideraron efectivas, razón por la cual deben ser reformuladas en plan de mejoramiento de la Universidad para su posterior evaluación y considera que el plan de mejoramiento fue INEFECTIVO por ser inferior al 80%.</w:t>
            </w:r>
          </w:p>
        </w:tc>
      </w:tr>
      <w:tr w:rsidR="00C17E6E" w:rsidRPr="00E40013" w14:paraId="783D61F7" w14:textId="77777777" w:rsidTr="00217295">
        <w:trPr>
          <w:jc w:val="center"/>
        </w:trPr>
        <w:tc>
          <w:tcPr>
            <w:tcW w:w="304" w:type="dxa"/>
          </w:tcPr>
          <w:p w14:paraId="790BF4A5" w14:textId="77777777" w:rsidR="00C17E6E" w:rsidRPr="00E40013" w:rsidRDefault="00C17E6E" w:rsidP="00F1223B">
            <w:pPr>
              <w:tabs>
                <w:tab w:val="left" w:pos="1920"/>
              </w:tabs>
              <w:jc w:val="center"/>
              <w:rPr>
                <w:rFonts w:ascii="Arial" w:hAnsi="Arial" w:cs="Arial"/>
                <w:b/>
              </w:rPr>
            </w:pPr>
            <w:r w:rsidRPr="00E40013">
              <w:rPr>
                <w:rFonts w:ascii="Arial" w:hAnsi="Arial" w:cs="Arial"/>
                <w:b/>
              </w:rPr>
              <w:t>4</w:t>
            </w:r>
            <w:r>
              <w:rPr>
                <w:rFonts w:ascii="Arial" w:hAnsi="Arial" w:cs="Arial"/>
                <w:b/>
              </w:rPr>
              <w:t>9</w:t>
            </w:r>
          </w:p>
        </w:tc>
        <w:tc>
          <w:tcPr>
            <w:tcW w:w="10307" w:type="dxa"/>
          </w:tcPr>
          <w:p w14:paraId="5AB54C4F" w14:textId="77777777" w:rsidR="00C17E6E" w:rsidRPr="00E40013" w:rsidRDefault="00C17E6E" w:rsidP="00F1223B">
            <w:pPr>
              <w:widowControl/>
              <w:autoSpaceDN/>
              <w:ind w:right="142"/>
              <w:jc w:val="both"/>
              <w:rPr>
                <w:rFonts w:ascii="Arial" w:hAnsi="Arial" w:cs="Arial"/>
                <w:b/>
                <w:bCs/>
              </w:rPr>
            </w:pPr>
            <w:r w:rsidRPr="00E40013">
              <w:rPr>
                <w:rFonts w:ascii="Arial" w:hAnsi="Arial" w:cs="Arial"/>
                <w:b/>
                <w:lang w:val="es-MX"/>
              </w:rPr>
              <w:t xml:space="preserve">FONDO DE PASIVO SOCIAL FERROCARRILES NACIONALES DE COLOMBIA. </w:t>
            </w:r>
            <w:r w:rsidRPr="00E40013">
              <w:rPr>
                <w:rFonts w:ascii="Arial" w:eastAsia="Times New Roman" w:hAnsi="Arial" w:cs="Arial"/>
                <w:b/>
                <w:u w:val="single"/>
                <w:lang w:val="es-CO"/>
              </w:rPr>
              <w:t>Es importante señalar que los cuatro (4) hallazgos declarados por la Comisión Auditora de la Contraloría General de la República en vigencias anteriores a la vigencia 2018, son hallazgos de carácter estructural que para su subsanarlos o declarar el cierre de los mismos, se requiere de intervención y gestión de terceros. Y son relacionados con la legalización, restitución y administración de los bienes inmuebles heredados de los Extintos Ferrocarriles Nacionales de Colombia</w:t>
            </w:r>
            <w:r w:rsidRPr="00E40013">
              <w:rPr>
                <w:rFonts w:ascii="Arial" w:eastAsia="Times New Roman" w:hAnsi="Arial" w:cs="Arial"/>
                <w:lang w:val="es-CO"/>
              </w:rPr>
              <w:t>.</w:t>
            </w:r>
          </w:p>
        </w:tc>
      </w:tr>
      <w:tr w:rsidR="00C17E6E" w:rsidRPr="00E40013" w14:paraId="62B1DB23" w14:textId="77777777" w:rsidTr="00217295">
        <w:trPr>
          <w:jc w:val="center"/>
        </w:trPr>
        <w:tc>
          <w:tcPr>
            <w:tcW w:w="304" w:type="dxa"/>
          </w:tcPr>
          <w:p w14:paraId="65E436D1" w14:textId="77777777" w:rsidR="00C17E6E" w:rsidRPr="00E40013" w:rsidRDefault="00C17E6E" w:rsidP="00F1223B">
            <w:pPr>
              <w:tabs>
                <w:tab w:val="left" w:pos="1920"/>
              </w:tabs>
              <w:jc w:val="center"/>
              <w:rPr>
                <w:rFonts w:ascii="Arial" w:hAnsi="Arial" w:cs="Arial"/>
                <w:b/>
              </w:rPr>
            </w:pPr>
            <w:r>
              <w:rPr>
                <w:rFonts w:ascii="Arial" w:hAnsi="Arial" w:cs="Arial"/>
                <w:b/>
              </w:rPr>
              <w:t>50</w:t>
            </w:r>
          </w:p>
        </w:tc>
        <w:tc>
          <w:tcPr>
            <w:tcW w:w="10307" w:type="dxa"/>
          </w:tcPr>
          <w:p w14:paraId="7F17D3F4" w14:textId="77777777" w:rsidR="00C17E6E" w:rsidRPr="00E40013" w:rsidRDefault="00C17E6E" w:rsidP="00F1223B">
            <w:pPr>
              <w:jc w:val="both"/>
              <w:rPr>
                <w:rFonts w:ascii="Arial" w:hAnsi="Arial" w:cs="Arial"/>
              </w:rPr>
            </w:pPr>
            <w:r w:rsidRPr="00E40013">
              <w:rPr>
                <w:rFonts w:ascii="Arial" w:hAnsi="Arial" w:cs="Arial"/>
                <w:b/>
                <w:lang w:val="es-MX"/>
              </w:rPr>
              <w:t xml:space="preserve">CORPORACIÓN AUTÓNOMA REGIONAL DEL RÍO GRANDE DE LA MAGDALENA - CORMAGDALENA. </w:t>
            </w:r>
            <w:r w:rsidRPr="00E40013">
              <w:rPr>
                <w:rFonts w:ascii="Arial" w:hAnsi="Arial" w:cs="Arial"/>
              </w:rPr>
              <w:t xml:space="preserve">De las 35 acciones de mejora establecidas, ninguna alcanzó el 100% de avance para la fecha límite, y de las 9 acciones verificadas correspondientes a 4 hallazgos, se determinó que ninguna subsanó la causa de los hallazgos </w:t>
            </w:r>
            <w:r w:rsidRPr="00E40013">
              <w:rPr>
                <w:rFonts w:ascii="Arial" w:hAnsi="Arial" w:cs="Arial"/>
              </w:rPr>
              <w:lastRenderedPageBreak/>
              <w:t xml:space="preserve">en la vigencia auditada, resultando en una calificación de plan "inefectivo". </w:t>
            </w:r>
          </w:p>
          <w:p w14:paraId="502B2449" w14:textId="77777777" w:rsidR="00C17E6E" w:rsidRPr="00E40013" w:rsidRDefault="00C17E6E" w:rsidP="00F1223B">
            <w:pPr>
              <w:jc w:val="both"/>
              <w:rPr>
                <w:rFonts w:ascii="Arial" w:hAnsi="Arial" w:cs="Arial"/>
              </w:rPr>
            </w:pPr>
          </w:p>
          <w:p w14:paraId="221BED0C" w14:textId="77777777" w:rsidR="00C17E6E" w:rsidRPr="00E40013" w:rsidRDefault="00C17E6E" w:rsidP="00F1223B">
            <w:pPr>
              <w:jc w:val="both"/>
              <w:rPr>
                <w:rFonts w:ascii="Arial" w:hAnsi="Arial" w:cs="Arial"/>
              </w:rPr>
            </w:pPr>
            <w:r w:rsidRPr="00E40013">
              <w:rPr>
                <w:rFonts w:ascii="Arial" w:hAnsi="Arial" w:cs="Arial"/>
              </w:rPr>
              <w:t xml:space="preserve">No obstante, la entidad ha mantenido una gestión proactiva y transparente. El 31 de diciembre de 2024, el Jefe de la Oficina de Control Interno presentó argumentos de contradicción frente a la evaluación de la Contraloría, señalando, entre otros aspectos, la falta de solicitud de evidencias, la no estimación del cierre de hallazgos cumplidos según seguimientos internos, la ausencia de mesas de trabajo y la vulneración de principios de transparencia y participación establecidos en la normatividad colombiana de control interno (Resolución Orgánica 6445 de 2012, Ley 87 de 1993, Decreto 1083 de 2015 y Guía de Auditoría Financiera de la Contraloría General de la República). </w:t>
            </w:r>
          </w:p>
          <w:p w14:paraId="2461A7BF" w14:textId="77777777" w:rsidR="00C17E6E" w:rsidRPr="00E40013" w:rsidRDefault="00C17E6E" w:rsidP="00F1223B">
            <w:pPr>
              <w:jc w:val="both"/>
              <w:rPr>
                <w:rFonts w:ascii="Arial" w:hAnsi="Arial" w:cs="Arial"/>
              </w:rPr>
            </w:pPr>
          </w:p>
          <w:p w14:paraId="516D21AD" w14:textId="77777777" w:rsidR="00C17E6E" w:rsidRPr="00E40013" w:rsidRDefault="00C17E6E" w:rsidP="00F1223B">
            <w:pPr>
              <w:jc w:val="both"/>
              <w:rPr>
                <w:rFonts w:ascii="Arial" w:hAnsi="Arial" w:cs="Arial"/>
                <w:b/>
                <w:bCs/>
              </w:rPr>
            </w:pPr>
            <w:r w:rsidRPr="00E40013">
              <w:rPr>
                <w:rFonts w:ascii="Arial" w:hAnsi="Arial" w:cs="Arial"/>
              </w:rPr>
              <w:t xml:space="preserve">A pesar del rechazo formal del plan de mejoramiento, CORMAGDALENA ha continuado ejecutando las acciones correctivas y preventivas propuestas, fortaleciendo la articulación interdisciplinaria y la cultura de autocontrol. De los trece (13) hallazgos del plan de mejoramiento, el avance promedio global estimado es del 30%, con dos hallazgos que superan el 50% de cumplimiento y nueve hallazgos con avances iguales o superiores al 35%. Este resultado refleja el compromiso institucional con la mejora continua, la optimización de recursos y la superación de las debilidades identificadas por el ente de control.  </w:t>
            </w:r>
          </w:p>
        </w:tc>
      </w:tr>
      <w:tr w:rsidR="00C17E6E" w:rsidRPr="00E40013" w14:paraId="7E4B2CA8" w14:textId="77777777" w:rsidTr="00217295">
        <w:trPr>
          <w:jc w:val="center"/>
        </w:trPr>
        <w:tc>
          <w:tcPr>
            <w:tcW w:w="304" w:type="dxa"/>
          </w:tcPr>
          <w:p w14:paraId="5C30C021" w14:textId="77777777" w:rsidR="00C17E6E" w:rsidRPr="00E40013" w:rsidRDefault="00C17E6E" w:rsidP="00F1223B">
            <w:pPr>
              <w:tabs>
                <w:tab w:val="left" w:pos="1920"/>
              </w:tabs>
              <w:jc w:val="center"/>
              <w:rPr>
                <w:rFonts w:ascii="Arial" w:hAnsi="Arial" w:cs="Arial"/>
                <w:b/>
              </w:rPr>
            </w:pPr>
            <w:r w:rsidRPr="00E40013">
              <w:rPr>
                <w:rFonts w:ascii="Arial" w:hAnsi="Arial" w:cs="Arial"/>
                <w:b/>
              </w:rPr>
              <w:lastRenderedPageBreak/>
              <w:t>5</w:t>
            </w:r>
            <w:r>
              <w:rPr>
                <w:rFonts w:ascii="Arial" w:hAnsi="Arial" w:cs="Arial"/>
                <w:b/>
              </w:rPr>
              <w:t>1</w:t>
            </w:r>
          </w:p>
        </w:tc>
        <w:tc>
          <w:tcPr>
            <w:tcW w:w="10307" w:type="dxa"/>
          </w:tcPr>
          <w:p w14:paraId="554799D7" w14:textId="77777777" w:rsidR="00C17E6E" w:rsidRPr="00E40013" w:rsidRDefault="00C17E6E" w:rsidP="00F1223B">
            <w:pPr>
              <w:jc w:val="both"/>
              <w:rPr>
                <w:rFonts w:ascii="Arial" w:hAnsi="Arial" w:cs="Arial"/>
              </w:rPr>
            </w:pPr>
            <w:r w:rsidRPr="00E40013">
              <w:rPr>
                <w:rFonts w:ascii="Arial" w:hAnsi="Arial" w:cs="Arial"/>
                <w:b/>
                <w:lang w:val="es-MX"/>
              </w:rPr>
              <w:t xml:space="preserve">SUPERINTENDENCIA DE NOTARIADO Y REGISTRO. </w:t>
            </w:r>
            <w:r w:rsidRPr="00E40013">
              <w:rPr>
                <w:rFonts w:ascii="Arial" w:hAnsi="Arial" w:cs="Arial"/>
                <w:b/>
                <w:u w:val="single"/>
              </w:rPr>
              <w:t>La implementación de las acciones de mejora a través de la suscripción del Plan de Mejoramiento tiene como finalidad subsanar y eliminar las causas que originaron los Hallazgos identificados por el Ente Externo de Control, por medio de implementación y ejecución de controles (acciones preventivas, correctivas y/o detectivas), de acuerdo con las metodologías implementadas para el análisis causa raíz. Lo anterior, en virtud de corregir y poder garantizar la correcta ejecución de funciones de cada proceso, razón por la cual la Primera Línea de Defensa debe garantizar que las acciones se enfoquen en subsanar y prevenir la recurrencia de las situaciones identificadas mediante los informes de auditoría emitidos por la Contraloría General de la República</w:t>
            </w:r>
            <w:r w:rsidRPr="00E40013">
              <w:rPr>
                <w:rFonts w:ascii="Arial" w:hAnsi="Arial" w:cs="Arial"/>
              </w:rPr>
              <w:t xml:space="preserve">. </w:t>
            </w:r>
          </w:p>
          <w:p w14:paraId="36E59D81" w14:textId="77777777" w:rsidR="00C17E6E" w:rsidRPr="00E40013" w:rsidRDefault="00C17E6E" w:rsidP="00F1223B">
            <w:pPr>
              <w:jc w:val="both"/>
              <w:rPr>
                <w:rFonts w:ascii="Arial" w:hAnsi="Arial" w:cs="Arial"/>
              </w:rPr>
            </w:pPr>
          </w:p>
          <w:p w14:paraId="21D833E2" w14:textId="77777777" w:rsidR="00C17E6E" w:rsidRPr="00E40013" w:rsidRDefault="00C17E6E" w:rsidP="00F1223B">
            <w:pPr>
              <w:jc w:val="both"/>
              <w:rPr>
                <w:rFonts w:ascii="Arial" w:hAnsi="Arial" w:cs="Arial"/>
              </w:rPr>
            </w:pPr>
            <w:r w:rsidRPr="00E40013">
              <w:rPr>
                <w:rFonts w:ascii="Arial" w:hAnsi="Arial" w:cs="Arial"/>
                <w:b/>
                <w:u w:val="single"/>
              </w:rPr>
              <w:t>Lo anterior, teniendo en cuenta que el nivel de cumplimiento del Plan de Mejoramiento suscrito con la Contraloría General de la República, una vez efectuada la evaluación de efectividad obtuvo un 58% de inefectividad; por lo cual es necesario verificar el pronunciamiento del equipo auditor a corte 31/12/2024 en la matriz consolidada del Plan y de ser necesario realizar un nuevo análisis causa raíz, dando cumplimiento a la aplicación de los lineamientos establecidos en la Circular 015 de 2020, emitida por la Contraloría General de la República, el Procedimiento y Política de Operación Interna</w:t>
            </w:r>
            <w:r w:rsidRPr="00E40013">
              <w:rPr>
                <w:rFonts w:ascii="Arial" w:hAnsi="Arial" w:cs="Arial"/>
              </w:rPr>
              <w:t xml:space="preserve">. </w:t>
            </w:r>
          </w:p>
        </w:tc>
      </w:tr>
      <w:tr w:rsidR="00C17E6E" w:rsidRPr="00E40013" w14:paraId="092D115B" w14:textId="77777777" w:rsidTr="00217295">
        <w:trPr>
          <w:jc w:val="center"/>
        </w:trPr>
        <w:tc>
          <w:tcPr>
            <w:tcW w:w="304" w:type="dxa"/>
          </w:tcPr>
          <w:p w14:paraId="24FD14C8" w14:textId="77777777" w:rsidR="00C17E6E" w:rsidRPr="00E40013" w:rsidRDefault="00C17E6E" w:rsidP="00F1223B">
            <w:pPr>
              <w:tabs>
                <w:tab w:val="left" w:pos="1920"/>
              </w:tabs>
              <w:jc w:val="center"/>
              <w:rPr>
                <w:rFonts w:ascii="Arial" w:hAnsi="Arial" w:cs="Arial"/>
                <w:b/>
              </w:rPr>
            </w:pPr>
            <w:r w:rsidRPr="00E40013">
              <w:rPr>
                <w:rFonts w:ascii="Arial" w:hAnsi="Arial" w:cs="Arial"/>
                <w:b/>
              </w:rPr>
              <w:t>5</w:t>
            </w:r>
            <w:r>
              <w:rPr>
                <w:rFonts w:ascii="Arial" w:hAnsi="Arial" w:cs="Arial"/>
                <w:b/>
              </w:rPr>
              <w:t>2</w:t>
            </w:r>
          </w:p>
        </w:tc>
        <w:tc>
          <w:tcPr>
            <w:tcW w:w="10307" w:type="dxa"/>
          </w:tcPr>
          <w:p w14:paraId="1C12F7ED"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lang w:val="es-MX"/>
              </w:rPr>
              <w:t xml:space="preserve">UNIVERSIDAD DE CALDAS. </w:t>
            </w:r>
            <w:r w:rsidRPr="00E40013">
              <w:rPr>
                <w:rFonts w:ascii="Arial" w:hAnsi="Arial" w:cs="Arial"/>
              </w:rPr>
              <w:t xml:space="preserve">En el plan de mejoramiento suscrito en el año 2022, con avance del 95% quedó pendiente una acción en desarrollo con avance del 80%, relacionada con la Parametrizar en el Sistema de Información Académico - SIA para la generación del soporte para el pago en línea de todos los servicios académicos contribuyendo con esto a la identificación del tercero presenta.  Para diciembre del 2024 está actividad presenta un avance del 100%. </w:t>
            </w:r>
          </w:p>
          <w:p w14:paraId="1EBE0C93" w14:textId="77777777" w:rsidR="00C17E6E" w:rsidRPr="00E40013" w:rsidRDefault="00C17E6E" w:rsidP="00F1223B">
            <w:pPr>
              <w:pStyle w:val="Textoindependiente"/>
              <w:tabs>
                <w:tab w:val="left" w:pos="2055"/>
              </w:tabs>
              <w:spacing w:before="5"/>
              <w:jc w:val="both"/>
              <w:rPr>
                <w:rFonts w:ascii="Arial" w:hAnsi="Arial" w:cs="Arial"/>
              </w:rPr>
            </w:pPr>
          </w:p>
          <w:p w14:paraId="7BF53632" w14:textId="77777777" w:rsidR="00C17E6E" w:rsidRPr="00E40013" w:rsidRDefault="00C17E6E" w:rsidP="00F1223B">
            <w:pPr>
              <w:pStyle w:val="Textoindependiente"/>
              <w:tabs>
                <w:tab w:val="left" w:pos="2055"/>
              </w:tabs>
              <w:spacing w:before="5"/>
              <w:jc w:val="both"/>
              <w:rPr>
                <w:rFonts w:ascii="Arial" w:hAnsi="Arial" w:cs="Arial"/>
              </w:rPr>
            </w:pPr>
            <w:r w:rsidRPr="00E40013">
              <w:rPr>
                <w:rFonts w:ascii="Arial" w:hAnsi="Arial" w:cs="Arial"/>
                <w:b/>
                <w:u w:val="single"/>
              </w:rPr>
              <w:t>Dados las situaciones presentadas respecto a la actualización del plan de cuentas, adaptabilidad de software, entre otros; la actividad no fue eficaz por cuanto no se dio cumplimiento en el tiempo</w:t>
            </w:r>
            <w:r w:rsidRPr="00E40013">
              <w:rPr>
                <w:rFonts w:ascii="Arial" w:hAnsi="Arial" w:cs="Arial"/>
              </w:rPr>
              <w:t>; sin embargo, su implementación ha sido efectiva en cuando a que esta ha mejorado la identificación de cuentas y el proceso de conciliaciones bancarias.</w:t>
            </w:r>
          </w:p>
        </w:tc>
      </w:tr>
      <w:tr w:rsidR="00C17E6E" w:rsidRPr="00E40013" w14:paraId="26E02BA2" w14:textId="77777777" w:rsidTr="00217295">
        <w:trPr>
          <w:jc w:val="center"/>
        </w:trPr>
        <w:tc>
          <w:tcPr>
            <w:tcW w:w="304" w:type="dxa"/>
          </w:tcPr>
          <w:p w14:paraId="20FF86D5" w14:textId="77777777" w:rsidR="00C17E6E" w:rsidRPr="00E40013" w:rsidRDefault="00C17E6E" w:rsidP="00F1223B">
            <w:pPr>
              <w:tabs>
                <w:tab w:val="left" w:pos="1920"/>
              </w:tabs>
              <w:jc w:val="center"/>
              <w:rPr>
                <w:rFonts w:ascii="Arial" w:hAnsi="Arial" w:cs="Arial"/>
                <w:b/>
              </w:rPr>
            </w:pPr>
            <w:r>
              <w:rPr>
                <w:rFonts w:ascii="Arial" w:hAnsi="Arial" w:cs="Arial"/>
                <w:b/>
              </w:rPr>
              <w:t>53</w:t>
            </w:r>
          </w:p>
        </w:tc>
        <w:tc>
          <w:tcPr>
            <w:tcW w:w="10307" w:type="dxa"/>
          </w:tcPr>
          <w:p w14:paraId="05E46AC1" w14:textId="77777777" w:rsidR="00C17E6E" w:rsidRPr="00E40013" w:rsidRDefault="00C17E6E" w:rsidP="00F1223B">
            <w:pPr>
              <w:tabs>
                <w:tab w:val="left" w:pos="1395"/>
              </w:tabs>
              <w:jc w:val="both"/>
              <w:rPr>
                <w:rFonts w:ascii="Arial" w:hAnsi="Arial" w:cs="Arial"/>
                <w:b/>
              </w:rPr>
            </w:pPr>
            <w:r w:rsidRPr="00E40013">
              <w:rPr>
                <w:rFonts w:ascii="Arial" w:hAnsi="Arial" w:cs="Arial"/>
              </w:rPr>
              <w:t xml:space="preserve">Se observa que las actividades incluidas en los planes de mejoramiento no son efectivas y eficaces para corregir las causas de las glosas de la Contraloría General de la Nación. </w:t>
            </w:r>
          </w:p>
        </w:tc>
      </w:tr>
      <w:tr w:rsidR="00C17E6E" w:rsidRPr="00E40013" w14:paraId="3032D6B9" w14:textId="77777777" w:rsidTr="00217295">
        <w:trPr>
          <w:jc w:val="center"/>
        </w:trPr>
        <w:tc>
          <w:tcPr>
            <w:tcW w:w="304" w:type="dxa"/>
          </w:tcPr>
          <w:p w14:paraId="00F69E34" w14:textId="77777777" w:rsidR="00C17E6E" w:rsidRPr="00E40013" w:rsidRDefault="00C17E6E" w:rsidP="00F1223B">
            <w:pPr>
              <w:tabs>
                <w:tab w:val="left" w:pos="1920"/>
              </w:tabs>
              <w:jc w:val="center"/>
              <w:rPr>
                <w:rFonts w:ascii="Arial" w:hAnsi="Arial" w:cs="Arial"/>
                <w:b/>
              </w:rPr>
            </w:pPr>
            <w:r>
              <w:rPr>
                <w:rFonts w:ascii="Arial" w:hAnsi="Arial" w:cs="Arial"/>
                <w:b/>
              </w:rPr>
              <w:t>54</w:t>
            </w:r>
          </w:p>
        </w:tc>
        <w:tc>
          <w:tcPr>
            <w:tcW w:w="10307" w:type="dxa"/>
          </w:tcPr>
          <w:p w14:paraId="101FD4C9" w14:textId="77777777" w:rsidR="00C17E6E" w:rsidRPr="00E40013" w:rsidRDefault="00C17E6E" w:rsidP="00F1223B">
            <w:pPr>
              <w:tabs>
                <w:tab w:val="left" w:pos="1395"/>
              </w:tabs>
              <w:jc w:val="both"/>
              <w:rPr>
                <w:rFonts w:ascii="Arial" w:hAnsi="Arial" w:cs="Arial"/>
                <w:b/>
              </w:rPr>
            </w:pPr>
            <w:r w:rsidRPr="00E40013">
              <w:rPr>
                <w:rFonts w:ascii="Arial" w:hAnsi="Arial" w:cs="Arial"/>
              </w:rPr>
              <w:t>Las entidades no informan en forma precisa y clara si las actividades desarrolladas para subsanar los hallazgos de la Contraloría General de la República fueron eficientes y eficaces para corregir y lograr en el corto plazo, el fenecimiento de su cuenta fiscal.</w:t>
            </w:r>
          </w:p>
        </w:tc>
      </w:tr>
    </w:tbl>
    <w:p w14:paraId="296442EC" w14:textId="74F58201" w:rsidR="00C17E6E" w:rsidRPr="004B1294" w:rsidRDefault="00C17E6E" w:rsidP="00AE493C">
      <w:pPr>
        <w:ind w:left="-426" w:right="-234"/>
        <w:jc w:val="both"/>
        <w:rPr>
          <w:rFonts w:ascii="Arial" w:hAnsi="Arial" w:cs="Arial"/>
          <w:sz w:val="16"/>
          <w:szCs w:val="16"/>
        </w:rPr>
      </w:pPr>
      <w:r>
        <w:rPr>
          <w:rFonts w:ascii="Arial" w:hAnsi="Arial" w:cs="Arial"/>
          <w:b/>
          <w:bCs/>
          <w:sz w:val="16"/>
          <w:szCs w:val="16"/>
        </w:rPr>
        <w:t xml:space="preserve"> </w:t>
      </w:r>
      <w:r w:rsidRPr="008D289C">
        <w:rPr>
          <w:rFonts w:ascii="Arial" w:hAnsi="Arial" w:cs="Arial"/>
          <w:b/>
          <w:bCs/>
          <w:sz w:val="16"/>
          <w:szCs w:val="16"/>
        </w:rPr>
        <w:t>Fuente</w:t>
      </w:r>
      <w:r w:rsidRPr="004B1294">
        <w:rPr>
          <w:rFonts w:ascii="Arial" w:hAnsi="Arial" w:cs="Arial"/>
          <w:sz w:val="16"/>
          <w:szCs w:val="16"/>
        </w:rPr>
        <w:t xml:space="preserve">: Informes planes de mejoramiento presentados por las entidades del nivel nacional a la Comisión Legal de Cuentas vigencia fiscal </w:t>
      </w:r>
      <w:r w:rsidR="00AE493C">
        <w:rPr>
          <w:rFonts w:ascii="Arial" w:hAnsi="Arial" w:cs="Arial"/>
          <w:sz w:val="16"/>
          <w:szCs w:val="16"/>
        </w:rPr>
        <w:t xml:space="preserve">  </w:t>
      </w:r>
      <w:r>
        <w:rPr>
          <w:rFonts w:ascii="Arial" w:hAnsi="Arial" w:cs="Arial"/>
          <w:sz w:val="16"/>
          <w:szCs w:val="16"/>
        </w:rPr>
        <w:t>2</w:t>
      </w:r>
      <w:r w:rsidRPr="004B1294">
        <w:rPr>
          <w:rFonts w:ascii="Arial" w:hAnsi="Arial" w:cs="Arial"/>
          <w:sz w:val="16"/>
          <w:szCs w:val="16"/>
        </w:rPr>
        <w:t>0</w:t>
      </w:r>
      <w:r>
        <w:rPr>
          <w:rFonts w:ascii="Arial" w:hAnsi="Arial" w:cs="Arial"/>
          <w:sz w:val="16"/>
          <w:szCs w:val="16"/>
        </w:rPr>
        <w:t>24</w:t>
      </w:r>
      <w:r w:rsidRPr="004B1294">
        <w:rPr>
          <w:rFonts w:ascii="Arial" w:hAnsi="Arial" w:cs="Arial"/>
          <w:sz w:val="16"/>
          <w:szCs w:val="16"/>
        </w:rPr>
        <w:t>.</w:t>
      </w:r>
    </w:p>
    <w:p w14:paraId="1346BF60" w14:textId="77777777" w:rsidR="00C02945" w:rsidRPr="007E2F9F" w:rsidRDefault="00C02945" w:rsidP="00AE493C">
      <w:pPr>
        <w:ind w:right="-234"/>
        <w:jc w:val="both"/>
        <w:rPr>
          <w:rFonts w:ascii="Arial" w:hAnsi="Arial" w:cs="Arial"/>
          <w:b/>
          <w:sz w:val="28"/>
          <w:szCs w:val="28"/>
          <w:u w:val="single"/>
        </w:rPr>
      </w:pPr>
    </w:p>
    <w:sectPr w:rsidR="00C02945" w:rsidRPr="007E2F9F" w:rsidSect="00E95331">
      <w:footerReference w:type="default" r:id="rId62"/>
      <w:pgSz w:w="12240" w:h="15840"/>
      <w:pgMar w:top="1134" w:right="104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56AC0" w14:textId="77777777" w:rsidR="008B4F7F" w:rsidRDefault="008B4F7F" w:rsidP="00350058">
      <w:r>
        <w:separator/>
      </w:r>
    </w:p>
  </w:endnote>
  <w:endnote w:type="continuationSeparator" w:id="0">
    <w:p w14:paraId="1AC574A5" w14:textId="77777777" w:rsidR="008B4F7F" w:rsidRDefault="008B4F7F" w:rsidP="0035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Poppins ExtraBold">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Roman">
    <w:altName w:val="Times New 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sset">
    <w:altName w:val="Basse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msiPro-Regular">
    <w:altName w:val="AmsiPro-Regular"/>
    <w:panose1 w:val="00000000000000000000"/>
    <w:charset w:val="00"/>
    <w:family w:val="swiss"/>
    <w:notTrueType/>
    <w:pitch w:val="default"/>
    <w:sig w:usb0="00000003" w:usb1="00000000" w:usb2="00000000" w:usb3="00000000" w:csb0="00000001" w:csb1="00000000"/>
  </w:font>
  <w:font w:name="News Gothic">
    <w:altName w:val="Arial"/>
    <w:panose1 w:val="00000000000000000000"/>
    <w:charset w:val="00"/>
    <w:family w:val="moder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sGoth BT">
    <w:altName w:val="MS Gothic"/>
    <w:panose1 w:val="00000000000000000000"/>
    <w:charset w:val="00"/>
    <w:family w:val="roman"/>
    <w:notTrueType/>
    <w:pitch w:val="default"/>
    <w:sig w:usb0="00000003" w:usb1="00000000" w:usb2="00000000" w:usb3="00000000" w:csb0="00000001" w:csb1="00000000"/>
  </w:font>
  <w:font w:name="Bitter">
    <w:altName w:val="Bitter"/>
    <w:panose1 w:val="00000000000000000000"/>
    <w:charset w:val="00"/>
    <w:family w:val="roman"/>
    <w:notTrueType/>
    <w:pitch w:val="default"/>
    <w:sig w:usb0="00000003" w:usb1="00000000" w:usb2="00000000" w:usb3="00000000" w:csb0="00000001" w:csb1="00000000"/>
  </w:font>
  <w:font w:name="FCIJYN+Helvetica">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091413"/>
      <w:docPartObj>
        <w:docPartGallery w:val="Page Numbers (Bottom of Page)"/>
        <w:docPartUnique/>
      </w:docPartObj>
    </w:sdtPr>
    <w:sdtEndPr/>
    <w:sdtContent>
      <w:p w14:paraId="309723F9" w14:textId="7E9FA530" w:rsidR="00410A68" w:rsidRDefault="00410A68">
        <w:pPr>
          <w:pStyle w:val="Piedepgina"/>
          <w:jc w:val="center"/>
        </w:pPr>
        <w:r>
          <w:fldChar w:fldCharType="begin"/>
        </w:r>
        <w:r>
          <w:instrText>PAGE   \* MERGEFORMAT</w:instrText>
        </w:r>
        <w:r>
          <w:fldChar w:fldCharType="separate"/>
        </w:r>
        <w:r w:rsidR="00211818">
          <w:rPr>
            <w:noProof/>
          </w:rPr>
          <w:t>1</w:t>
        </w:r>
        <w:r>
          <w:fldChar w:fldCharType="end"/>
        </w:r>
      </w:p>
    </w:sdtContent>
  </w:sdt>
  <w:p w14:paraId="00047A06" w14:textId="77777777" w:rsidR="00AB5A11" w:rsidRDefault="00AB5A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D24F" w14:textId="77777777" w:rsidR="008B4F7F" w:rsidRDefault="008B4F7F" w:rsidP="00350058">
      <w:r>
        <w:separator/>
      </w:r>
    </w:p>
  </w:footnote>
  <w:footnote w:type="continuationSeparator" w:id="0">
    <w:p w14:paraId="1EAE6DE9" w14:textId="77777777" w:rsidR="008B4F7F" w:rsidRDefault="008B4F7F" w:rsidP="00350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B1E8C46"/>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94A167A"/>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604B25C"/>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E7454B4"/>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CD4333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4A4600"/>
    <w:multiLevelType w:val="hybridMultilevel"/>
    <w:tmpl w:val="1504BB38"/>
    <w:lvl w:ilvl="0" w:tplc="16AE9790">
      <w:start w:val="1"/>
      <w:numFmt w:val="bullet"/>
      <w:lvlText w:val="-"/>
      <w:lvlJc w:val="left"/>
      <w:pPr>
        <w:ind w:left="1080" w:hanging="360"/>
      </w:pPr>
      <w:rPr>
        <w:rFonts w:ascii="Arial" w:eastAsia="Arial"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750367D"/>
    <w:multiLevelType w:val="multilevel"/>
    <w:tmpl w:val="3D04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D1486C"/>
    <w:multiLevelType w:val="hybridMultilevel"/>
    <w:tmpl w:val="BE1A9C92"/>
    <w:lvl w:ilvl="0" w:tplc="0C0A0009">
      <w:start w:val="1"/>
      <w:numFmt w:val="bullet"/>
      <w:pStyle w:val="NormalVietas"/>
      <w:lvlText w:val="-"/>
      <w:lvlJc w:val="left"/>
      <w:pPr>
        <w:tabs>
          <w:tab w:val="num" w:pos="360"/>
        </w:tabs>
        <w:ind w:left="360" w:hanging="360"/>
      </w:pPr>
      <w:rPr>
        <w:rFonts w:ascii="Century Gothic" w:hAnsi="Century Gothic"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9524F8"/>
    <w:multiLevelType w:val="hybridMultilevel"/>
    <w:tmpl w:val="FEF475EA"/>
    <w:lvl w:ilvl="0" w:tplc="240A0005">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B4508AF"/>
    <w:multiLevelType w:val="hybridMultilevel"/>
    <w:tmpl w:val="C250F3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E214878"/>
    <w:multiLevelType w:val="hybridMultilevel"/>
    <w:tmpl w:val="4DFACAE4"/>
    <w:lvl w:ilvl="0" w:tplc="240A0001">
      <w:start w:val="1"/>
      <w:numFmt w:val="bullet"/>
      <w:lvlText w:val=""/>
      <w:lvlJc w:val="left"/>
      <w:pPr>
        <w:ind w:left="578" w:hanging="360"/>
      </w:pPr>
      <w:rPr>
        <w:rFonts w:ascii="Symbol" w:hAnsi="Symbol" w:hint="default"/>
      </w:rPr>
    </w:lvl>
    <w:lvl w:ilvl="1" w:tplc="240A0003">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1" w15:restartNumberingAfterBreak="0">
    <w:nsid w:val="0FA60BA1"/>
    <w:multiLevelType w:val="hybridMultilevel"/>
    <w:tmpl w:val="8A66D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FDB6EFE"/>
    <w:multiLevelType w:val="hybridMultilevel"/>
    <w:tmpl w:val="BE52E4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FE62079"/>
    <w:multiLevelType w:val="hybridMultilevel"/>
    <w:tmpl w:val="09EC15CA"/>
    <w:lvl w:ilvl="0" w:tplc="33107C0A">
      <w:numFmt w:val="bullet"/>
      <w:lvlText w:val="-"/>
      <w:lvlJc w:val="left"/>
      <w:pPr>
        <w:ind w:left="720" w:hanging="360"/>
      </w:pPr>
      <w:rPr>
        <w:rFonts w:ascii="Arial MT" w:eastAsia="Arial MT" w:hAnsi="Arial MT" w:cs="Arial MT" w:hint="default"/>
        <w:b w:val="0"/>
        <w:bCs w:val="0"/>
        <w:i w:val="0"/>
        <w:iCs w:val="0"/>
        <w:spacing w:val="0"/>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11A5609"/>
    <w:multiLevelType w:val="hybridMultilevel"/>
    <w:tmpl w:val="DACEA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1D96134"/>
    <w:multiLevelType w:val="hybridMultilevel"/>
    <w:tmpl w:val="82B4A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21844F5"/>
    <w:multiLevelType w:val="hybridMultilevel"/>
    <w:tmpl w:val="96E4248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2CC5F8D"/>
    <w:multiLevelType w:val="hybridMultilevel"/>
    <w:tmpl w:val="53E84B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13A849CC"/>
    <w:multiLevelType w:val="hybridMultilevel"/>
    <w:tmpl w:val="E08CFADA"/>
    <w:lvl w:ilvl="0" w:tplc="4BCAE976">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58A1049"/>
    <w:multiLevelType w:val="hybridMultilevel"/>
    <w:tmpl w:val="E4E0E6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6073E4D"/>
    <w:multiLevelType w:val="hybridMultilevel"/>
    <w:tmpl w:val="C688050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7CA465D"/>
    <w:multiLevelType w:val="hybridMultilevel"/>
    <w:tmpl w:val="30D6E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9213FB8"/>
    <w:multiLevelType w:val="hybridMultilevel"/>
    <w:tmpl w:val="BC360AE6"/>
    <w:lvl w:ilvl="0" w:tplc="95C67360">
      <w:start w:val="6"/>
      <w:numFmt w:val="bullet"/>
      <w:lvlText w:val="-"/>
      <w:lvlJc w:val="left"/>
      <w:pPr>
        <w:ind w:left="1353" w:hanging="360"/>
      </w:pPr>
      <w:rPr>
        <w:rFonts w:ascii="Arial" w:eastAsia="Arial" w:hAnsi="Arial" w:cs="Arial"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24" w15:restartNumberingAfterBreak="0">
    <w:nsid w:val="19422E42"/>
    <w:multiLevelType w:val="hybridMultilevel"/>
    <w:tmpl w:val="C1185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B5842EB"/>
    <w:multiLevelType w:val="multilevel"/>
    <w:tmpl w:val="EC20360C"/>
    <w:styleLink w:val="WWNum6"/>
    <w:lvl w:ilvl="0">
      <w:numFmt w:val="bullet"/>
      <w:lvlText w:val="-"/>
      <w:lvlJc w:val="left"/>
      <w:pPr>
        <w:ind w:left="76" w:hanging="360"/>
      </w:pPr>
      <w:rPr>
        <w:rFonts w:ascii="Arial" w:eastAsia="Times New Roman" w:hAnsi="Arial" w:cs="Arial"/>
        <w:b/>
        <w:sz w:val="20"/>
      </w:rPr>
    </w:lvl>
    <w:lvl w:ilvl="1">
      <w:numFmt w:val="bullet"/>
      <w:lvlText w:val="o"/>
      <w:lvlJc w:val="left"/>
      <w:pPr>
        <w:ind w:left="796" w:hanging="360"/>
      </w:pPr>
      <w:rPr>
        <w:rFonts w:ascii="Courier New" w:hAnsi="Courier New" w:cs="Courier New"/>
      </w:rPr>
    </w:lvl>
    <w:lvl w:ilvl="2">
      <w:numFmt w:val="bullet"/>
      <w:lvlText w:val=""/>
      <w:lvlJc w:val="left"/>
      <w:pPr>
        <w:ind w:left="1516" w:hanging="360"/>
      </w:pPr>
      <w:rPr>
        <w:rFonts w:ascii="Wingdings" w:hAnsi="Wingdings"/>
      </w:rPr>
    </w:lvl>
    <w:lvl w:ilvl="3">
      <w:numFmt w:val="bullet"/>
      <w:lvlText w:val=""/>
      <w:lvlJc w:val="left"/>
      <w:pPr>
        <w:ind w:left="2236" w:hanging="360"/>
      </w:pPr>
      <w:rPr>
        <w:rFonts w:ascii="Symbol" w:hAnsi="Symbol"/>
      </w:rPr>
    </w:lvl>
    <w:lvl w:ilvl="4">
      <w:numFmt w:val="bullet"/>
      <w:lvlText w:val="o"/>
      <w:lvlJc w:val="left"/>
      <w:pPr>
        <w:ind w:left="2956" w:hanging="360"/>
      </w:pPr>
      <w:rPr>
        <w:rFonts w:ascii="Courier New" w:hAnsi="Courier New" w:cs="Courier New"/>
      </w:rPr>
    </w:lvl>
    <w:lvl w:ilvl="5">
      <w:numFmt w:val="bullet"/>
      <w:lvlText w:val=""/>
      <w:lvlJc w:val="left"/>
      <w:pPr>
        <w:ind w:left="3676" w:hanging="360"/>
      </w:pPr>
      <w:rPr>
        <w:rFonts w:ascii="Wingdings" w:hAnsi="Wingdings"/>
      </w:rPr>
    </w:lvl>
    <w:lvl w:ilvl="6">
      <w:numFmt w:val="bullet"/>
      <w:lvlText w:val=""/>
      <w:lvlJc w:val="left"/>
      <w:pPr>
        <w:ind w:left="4396" w:hanging="360"/>
      </w:pPr>
      <w:rPr>
        <w:rFonts w:ascii="Symbol" w:hAnsi="Symbol"/>
      </w:rPr>
    </w:lvl>
    <w:lvl w:ilvl="7">
      <w:numFmt w:val="bullet"/>
      <w:lvlText w:val="o"/>
      <w:lvlJc w:val="left"/>
      <w:pPr>
        <w:ind w:left="5116" w:hanging="360"/>
      </w:pPr>
      <w:rPr>
        <w:rFonts w:ascii="Courier New" w:hAnsi="Courier New" w:cs="Courier New"/>
      </w:rPr>
    </w:lvl>
    <w:lvl w:ilvl="8">
      <w:numFmt w:val="bullet"/>
      <w:lvlText w:val=""/>
      <w:lvlJc w:val="left"/>
      <w:pPr>
        <w:ind w:left="5836" w:hanging="360"/>
      </w:pPr>
      <w:rPr>
        <w:rFonts w:ascii="Wingdings" w:hAnsi="Wingdings"/>
      </w:rPr>
    </w:lvl>
  </w:abstractNum>
  <w:abstractNum w:abstractNumId="26" w15:restartNumberingAfterBreak="0">
    <w:nsid w:val="1B8A2C0D"/>
    <w:multiLevelType w:val="hybridMultilevel"/>
    <w:tmpl w:val="5C884B24"/>
    <w:lvl w:ilvl="0" w:tplc="3A508C10">
      <w:numFmt w:val="bullet"/>
      <w:lvlText w:val="-"/>
      <w:lvlJc w:val="left"/>
      <w:pPr>
        <w:ind w:left="471" w:hanging="360"/>
      </w:pPr>
      <w:rPr>
        <w:rFonts w:ascii="Arial MT" w:eastAsia="Arial MT" w:hAnsi="Arial MT" w:cs="Arial MT" w:hint="default"/>
        <w:b w:val="0"/>
        <w:bCs w:val="0"/>
        <w:i w:val="0"/>
        <w:iCs w:val="0"/>
        <w:spacing w:val="0"/>
        <w:w w:val="100"/>
        <w:sz w:val="22"/>
        <w:szCs w:val="22"/>
        <w:lang w:val="es-ES" w:eastAsia="en-US" w:bidi="ar-SA"/>
      </w:rPr>
    </w:lvl>
    <w:lvl w:ilvl="1" w:tplc="BC9C5886">
      <w:numFmt w:val="bullet"/>
      <w:lvlText w:val="•"/>
      <w:lvlJc w:val="left"/>
      <w:pPr>
        <w:ind w:left="941" w:hanging="360"/>
      </w:pPr>
      <w:rPr>
        <w:rFonts w:hint="default"/>
        <w:lang w:val="es-ES" w:eastAsia="en-US" w:bidi="ar-SA"/>
      </w:rPr>
    </w:lvl>
    <w:lvl w:ilvl="2" w:tplc="A5867A50">
      <w:numFmt w:val="bullet"/>
      <w:lvlText w:val="•"/>
      <w:lvlJc w:val="left"/>
      <w:pPr>
        <w:ind w:left="1402" w:hanging="360"/>
      </w:pPr>
      <w:rPr>
        <w:rFonts w:hint="default"/>
        <w:lang w:val="es-ES" w:eastAsia="en-US" w:bidi="ar-SA"/>
      </w:rPr>
    </w:lvl>
    <w:lvl w:ilvl="3" w:tplc="D9A6490E">
      <w:numFmt w:val="bullet"/>
      <w:lvlText w:val="•"/>
      <w:lvlJc w:val="left"/>
      <w:pPr>
        <w:ind w:left="1863" w:hanging="360"/>
      </w:pPr>
      <w:rPr>
        <w:rFonts w:hint="default"/>
        <w:lang w:val="es-ES" w:eastAsia="en-US" w:bidi="ar-SA"/>
      </w:rPr>
    </w:lvl>
    <w:lvl w:ilvl="4" w:tplc="2806BEDE">
      <w:numFmt w:val="bullet"/>
      <w:lvlText w:val="•"/>
      <w:lvlJc w:val="left"/>
      <w:pPr>
        <w:ind w:left="2324" w:hanging="360"/>
      </w:pPr>
      <w:rPr>
        <w:rFonts w:hint="default"/>
        <w:lang w:val="es-ES" w:eastAsia="en-US" w:bidi="ar-SA"/>
      </w:rPr>
    </w:lvl>
    <w:lvl w:ilvl="5" w:tplc="E900412E">
      <w:numFmt w:val="bullet"/>
      <w:lvlText w:val="•"/>
      <w:lvlJc w:val="left"/>
      <w:pPr>
        <w:ind w:left="2786" w:hanging="360"/>
      </w:pPr>
      <w:rPr>
        <w:rFonts w:hint="default"/>
        <w:lang w:val="es-ES" w:eastAsia="en-US" w:bidi="ar-SA"/>
      </w:rPr>
    </w:lvl>
    <w:lvl w:ilvl="6" w:tplc="D55837BE">
      <w:numFmt w:val="bullet"/>
      <w:lvlText w:val="•"/>
      <w:lvlJc w:val="left"/>
      <w:pPr>
        <w:ind w:left="3247" w:hanging="360"/>
      </w:pPr>
      <w:rPr>
        <w:rFonts w:hint="default"/>
        <w:lang w:val="es-ES" w:eastAsia="en-US" w:bidi="ar-SA"/>
      </w:rPr>
    </w:lvl>
    <w:lvl w:ilvl="7" w:tplc="C25CBDA8">
      <w:numFmt w:val="bullet"/>
      <w:lvlText w:val="•"/>
      <w:lvlJc w:val="left"/>
      <w:pPr>
        <w:ind w:left="3708" w:hanging="360"/>
      </w:pPr>
      <w:rPr>
        <w:rFonts w:hint="default"/>
        <w:lang w:val="es-ES" w:eastAsia="en-US" w:bidi="ar-SA"/>
      </w:rPr>
    </w:lvl>
    <w:lvl w:ilvl="8" w:tplc="6F4C2E10">
      <w:numFmt w:val="bullet"/>
      <w:lvlText w:val="•"/>
      <w:lvlJc w:val="left"/>
      <w:pPr>
        <w:ind w:left="4169" w:hanging="360"/>
      </w:pPr>
      <w:rPr>
        <w:rFonts w:hint="default"/>
        <w:lang w:val="es-ES" w:eastAsia="en-US" w:bidi="ar-SA"/>
      </w:rPr>
    </w:lvl>
  </w:abstractNum>
  <w:abstractNum w:abstractNumId="27" w15:restartNumberingAfterBreak="0">
    <w:nsid w:val="1D09153C"/>
    <w:multiLevelType w:val="hybridMultilevel"/>
    <w:tmpl w:val="8BE2C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EC35F3A"/>
    <w:multiLevelType w:val="hybridMultilevel"/>
    <w:tmpl w:val="D75EF1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F425A49"/>
    <w:multiLevelType w:val="hybridMultilevel"/>
    <w:tmpl w:val="234A2D24"/>
    <w:lvl w:ilvl="0" w:tplc="35DA51F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18F2EE8"/>
    <w:multiLevelType w:val="multilevel"/>
    <w:tmpl w:val="8ADC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4CF4235"/>
    <w:multiLevelType w:val="hybridMultilevel"/>
    <w:tmpl w:val="536CDC02"/>
    <w:lvl w:ilvl="0" w:tplc="C3A2C2A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4E218E4"/>
    <w:multiLevelType w:val="hybridMultilevel"/>
    <w:tmpl w:val="C63472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7CA236D"/>
    <w:multiLevelType w:val="hybridMultilevel"/>
    <w:tmpl w:val="EF5E7360"/>
    <w:lvl w:ilvl="0" w:tplc="CFCE8814">
      <w:numFmt w:val="bullet"/>
      <w:lvlText w:val="-"/>
      <w:lvlJc w:val="left"/>
      <w:pPr>
        <w:ind w:left="1069" w:hanging="360"/>
      </w:pPr>
      <w:rPr>
        <w:rFonts w:ascii="Arial" w:eastAsia="Times New Roman"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4" w15:restartNumberingAfterBreak="0">
    <w:nsid w:val="289D4DA4"/>
    <w:multiLevelType w:val="hybridMultilevel"/>
    <w:tmpl w:val="B0C4C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8ED48BC"/>
    <w:multiLevelType w:val="hybridMultilevel"/>
    <w:tmpl w:val="30B891EC"/>
    <w:lvl w:ilvl="0" w:tplc="B4C8D754">
      <w:start w:val="1"/>
      <w:numFmt w:val="decimal"/>
      <w:lvlText w:val="%1."/>
      <w:lvlJc w:val="left"/>
      <w:pPr>
        <w:ind w:left="772" w:hanging="360"/>
      </w:pPr>
      <w:rPr>
        <w:rFonts w:ascii="Gadugi" w:eastAsia="Gadugi" w:hAnsi="Gadugi" w:cs="Gadugi" w:hint="default"/>
        <w:b w:val="0"/>
        <w:bCs w:val="0"/>
        <w:i w:val="0"/>
        <w:iCs w:val="0"/>
        <w:spacing w:val="0"/>
        <w:w w:val="100"/>
        <w:sz w:val="22"/>
        <w:szCs w:val="22"/>
        <w:lang w:val="es-ES" w:eastAsia="en-US" w:bidi="ar-SA"/>
      </w:rPr>
    </w:lvl>
    <w:lvl w:ilvl="1" w:tplc="56C2D742">
      <w:numFmt w:val="bullet"/>
      <w:lvlText w:val="•"/>
      <w:lvlJc w:val="left"/>
      <w:pPr>
        <w:ind w:left="1782" w:hanging="360"/>
      </w:pPr>
      <w:rPr>
        <w:rFonts w:hint="default"/>
        <w:lang w:val="es-ES" w:eastAsia="en-US" w:bidi="ar-SA"/>
      </w:rPr>
    </w:lvl>
    <w:lvl w:ilvl="2" w:tplc="A18E5FDE">
      <w:numFmt w:val="bullet"/>
      <w:lvlText w:val="•"/>
      <w:lvlJc w:val="left"/>
      <w:pPr>
        <w:ind w:left="2784" w:hanging="360"/>
      </w:pPr>
      <w:rPr>
        <w:rFonts w:hint="default"/>
        <w:lang w:val="es-ES" w:eastAsia="en-US" w:bidi="ar-SA"/>
      </w:rPr>
    </w:lvl>
    <w:lvl w:ilvl="3" w:tplc="4BCC2CF0">
      <w:numFmt w:val="bullet"/>
      <w:lvlText w:val="•"/>
      <w:lvlJc w:val="left"/>
      <w:pPr>
        <w:ind w:left="3786" w:hanging="360"/>
      </w:pPr>
      <w:rPr>
        <w:rFonts w:hint="default"/>
        <w:lang w:val="es-ES" w:eastAsia="en-US" w:bidi="ar-SA"/>
      </w:rPr>
    </w:lvl>
    <w:lvl w:ilvl="4" w:tplc="5EAC88A8">
      <w:numFmt w:val="bullet"/>
      <w:lvlText w:val="•"/>
      <w:lvlJc w:val="left"/>
      <w:pPr>
        <w:ind w:left="4788" w:hanging="360"/>
      </w:pPr>
      <w:rPr>
        <w:rFonts w:hint="default"/>
        <w:lang w:val="es-ES" w:eastAsia="en-US" w:bidi="ar-SA"/>
      </w:rPr>
    </w:lvl>
    <w:lvl w:ilvl="5" w:tplc="153853CC">
      <w:numFmt w:val="bullet"/>
      <w:lvlText w:val="•"/>
      <w:lvlJc w:val="left"/>
      <w:pPr>
        <w:ind w:left="5790" w:hanging="360"/>
      </w:pPr>
      <w:rPr>
        <w:rFonts w:hint="default"/>
        <w:lang w:val="es-ES" w:eastAsia="en-US" w:bidi="ar-SA"/>
      </w:rPr>
    </w:lvl>
    <w:lvl w:ilvl="6" w:tplc="1B6EC938">
      <w:numFmt w:val="bullet"/>
      <w:lvlText w:val="•"/>
      <w:lvlJc w:val="left"/>
      <w:pPr>
        <w:ind w:left="6792" w:hanging="360"/>
      </w:pPr>
      <w:rPr>
        <w:rFonts w:hint="default"/>
        <w:lang w:val="es-ES" w:eastAsia="en-US" w:bidi="ar-SA"/>
      </w:rPr>
    </w:lvl>
    <w:lvl w:ilvl="7" w:tplc="2440FADC">
      <w:numFmt w:val="bullet"/>
      <w:lvlText w:val="•"/>
      <w:lvlJc w:val="left"/>
      <w:pPr>
        <w:ind w:left="7794" w:hanging="360"/>
      </w:pPr>
      <w:rPr>
        <w:rFonts w:hint="default"/>
        <w:lang w:val="es-ES" w:eastAsia="en-US" w:bidi="ar-SA"/>
      </w:rPr>
    </w:lvl>
    <w:lvl w:ilvl="8" w:tplc="70C467F8">
      <w:numFmt w:val="bullet"/>
      <w:lvlText w:val="•"/>
      <w:lvlJc w:val="left"/>
      <w:pPr>
        <w:ind w:left="8796" w:hanging="360"/>
      </w:pPr>
      <w:rPr>
        <w:rFonts w:hint="default"/>
        <w:lang w:val="es-ES" w:eastAsia="en-US" w:bidi="ar-SA"/>
      </w:rPr>
    </w:lvl>
  </w:abstractNum>
  <w:abstractNum w:abstractNumId="36" w15:restartNumberingAfterBreak="0">
    <w:nsid w:val="299C79F4"/>
    <w:multiLevelType w:val="multilevel"/>
    <w:tmpl w:val="B950EB6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7" w15:restartNumberingAfterBreak="0">
    <w:nsid w:val="2AC1600E"/>
    <w:multiLevelType w:val="hybridMultilevel"/>
    <w:tmpl w:val="DFD81D9C"/>
    <w:lvl w:ilvl="0" w:tplc="240A0017">
      <w:start w:val="4"/>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2B39727A"/>
    <w:multiLevelType w:val="hybridMultilevel"/>
    <w:tmpl w:val="ED7E8380"/>
    <w:lvl w:ilvl="0" w:tplc="33107C0A">
      <w:numFmt w:val="bullet"/>
      <w:lvlText w:val="-"/>
      <w:lvlJc w:val="left"/>
      <w:pPr>
        <w:ind w:left="720" w:hanging="360"/>
      </w:pPr>
      <w:rPr>
        <w:rFonts w:ascii="Arial MT" w:eastAsia="Arial MT" w:hAnsi="Arial MT" w:cs="Arial MT" w:hint="default"/>
        <w:b w:val="0"/>
        <w:bCs w:val="0"/>
        <w:i w:val="0"/>
        <w:iCs w:val="0"/>
        <w:spacing w:val="0"/>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CA2008D"/>
    <w:multiLevelType w:val="multilevel"/>
    <w:tmpl w:val="7F3A33C8"/>
    <w:lvl w:ilvl="0">
      <w:start w:val="1"/>
      <w:numFmt w:val="decimal"/>
      <w:pStyle w:val="EstiloMECI"/>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2D2D4ECB"/>
    <w:multiLevelType w:val="hybridMultilevel"/>
    <w:tmpl w:val="70107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D5F4B67"/>
    <w:multiLevelType w:val="hybridMultilevel"/>
    <w:tmpl w:val="F6C820A8"/>
    <w:lvl w:ilvl="0" w:tplc="A0241104">
      <w:numFmt w:val="bullet"/>
      <w:lvlText w:val="●"/>
      <w:lvlJc w:val="left"/>
      <w:pPr>
        <w:ind w:left="720" w:hanging="360"/>
      </w:pPr>
      <w:rPr>
        <w:rFonts w:hint="default"/>
        <w:spacing w:val="-25"/>
        <w:w w:val="99"/>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0667EFF"/>
    <w:multiLevelType w:val="hybridMultilevel"/>
    <w:tmpl w:val="EA2093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0710902"/>
    <w:multiLevelType w:val="hybridMultilevel"/>
    <w:tmpl w:val="8148368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30950143"/>
    <w:multiLevelType w:val="hybridMultilevel"/>
    <w:tmpl w:val="1786AFE8"/>
    <w:lvl w:ilvl="0" w:tplc="07EA1FB4">
      <w:start w:val="1"/>
      <w:numFmt w:val="decimal"/>
      <w:lvlText w:val="%1)"/>
      <w:lvlJc w:val="left"/>
      <w:pPr>
        <w:ind w:left="812"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890E58D4">
      <w:numFmt w:val="bullet"/>
      <w:lvlText w:val="•"/>
      <w:lvlJc w:val="left"/>
      <w:pPr>
        <w:ind w:left="1674" w:hanging="360"/>
      </w:pPr>
      <w:rPr>
        <w:rFonts w:hint="default"/>
        <w:lang w:val="es-ES" w:eastAsia="en-US" w:bidi="ar-SA"/>
      </w:rPr>
    </w:lvl>
    <w:lvl w:ilvl="2" w:tplc="37B8F1F2">
      <w:numFmt w:val="bullet"/>
      <w:lvlText w:val="•"/>
      <w:lvlJc w:val="left"/>
      <w:pPr>
        <w:ind w:left="2528" w:hanging="360"/>
      </w:pPr>
      <w:rPr>
        <w:rFonts w:hint="default"/>
        <w:lang w:val="es-ES" w:eastAsia="en-US" w:bidi="ar-SA"/>
      </w:rPr>
    </w:lvl>
    <w:lvl w:ilvl="3" w:tplc="95F2C9F8">
      <w:numFmt w:val="bullet"/>
      <w:lvlText w:val="•"/>
      <w:lvlJc w:val="left"/>
      <w:pPr>
        <w:ind w:left="3382" w:hanging="360"/>
      </w:pPr>
      <w:rPr>
        <w:rFonts w:hint="default"/>
        <w:lang w:val="es-ES" w:eastAsia="en-US" w:bidi="ar-SA"/>
      </w:rPr>
    </w:lvl>
    <w:lvl w:ilvl="4" w:tplc="D628596A">
      <w:numFmt w:val="bullet"/>
      <w:lvlText w:val="•"/>
      <w:lvlJc w:val="left"/>
      <w:pPr>
        <w:ind w:left="4236" w:hanging="360"/>
      </w:pPr>
      <w:rPr>
        <w:rFonts w:hint="default"/>
        <w:lang w:val="es-ES" w:eastAsia="en-US" w:bidi="ar-SA"/>
      </w:rPr>
    </w:lvl>
    <w:lvl w:ilvl="5" w:tplc="CE38E32A">
      <w:numFmt w:val="bullet"/>
      <w:lvlText w:val="•"/>
      <w:lvlJc w:val="left"/>
      <w:pPr>
        <w:ind w:left="5090" w:hanging="360"/>
      </w:pPr>
      <w:rPr>
        <w:rFonts w:hint="default"/>
        <w:lang w:val="es-ES" w:eastAsia="en-US" w:bidi="ar-SA"/>
      </w:rPr>
    </w:lvl>
    <w:lvl w:ilvl="6" w:tplc="4E987C30">
      <w:numFmt w:val="bullet"/>
      <w:lvlText w:val="•"/>
      <w:lvlJc w:val="left"/>
      <w:pPr>
        <w:ind w:left="5944" w:hanging="360"/>
      </w:pPr>
      <w:rPr>
        <w:rFonts w:hint="default"/>
        <w:lang w:val="es-ES" w:eastAsia="en-US" w:bidi="ar-SA"/>
      </w:rPr>
    </w:lvl>
    <w:lvl w:ilvl="7" w:tplc="A5FADB08">
      <w:numFmt w:val="bullet"/>
      <w:lvlText w:val="•"/>
      <w:lvlJc w:val="left"/>
      <w:pPr>
        <w:ind w:left="6798" w:hanging="360"/>
      </w:pPr>
      <w:rPr>
        <w:rFonts w:hint="default"/>
        <w:lang w:val="es-ES" w:eastAsia="en-US" w:bidi="ar-SA"/>
      </w:rPr>
    </w:lvl>
    <w:lvl w:ilvl="8" w:tplc="84F42A80">
      <w:numFmt w:val="bullet"/>
      <w:lvlText w:val="•"/>
      <w:lvlJc w:val="left"/>
      <w:pPr>
        <w:ind w:left="7652" w:hanging="360"/>
      </w:pPr>
      <w:rPr>
        <w:rFonts w:hint="default"/>
        <w:lang w:val="es-ES" w:eastAsia="en-US" w:bidi="ar-SA"/>
      </w:rPr>
    </w:lvl>
  </w:abstractNum>
  <w:abstractNum w:abstractNumId="45" w15:restartNumberingAfterBreak="0">
    <w:nsid w:val="315660ED"/>
    <w:multiLevelType w:val="hybridMultilevel"/>
    <w:tmpl w:val="0F78B8B2"/>
    <w:lvl w:ilvl="0" w:tplc="240A0011">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1CA47CF"/>
    <w:multiLevelType w:val="hybridMultilevel"/>
    <w:tmpl w:val="BF165E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32F75B08"/>
    <w:multiLevelType w:val="hybridMultilevel"/>
    <w:tmpl w:val="7C763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3B028DC"/>
    <w:multiLevelType w:val="hybridMultilevel"/>
    <w:tmpl w:val="95C082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35105DF9"/>
    <w:multiLevelType w:val="hybridMultilevel"/>
    <w:tmpl w:val="02DCF8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35606E40"/>
    <w:multiLevelType w:val="hybridMultilevel"/>
    <w:tmpl w:val="3D58A2E0"/>
    <w:lvl w:ilvl="0" w:tplc="3E1C4818">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51" w15:restartNumberingAfterBreak="0">
    <w:nsid w:val="359850D1"/>
    <w:multiLevelType w:val="hybridMultilevel"/>
    <w:tmpl w:val="D64801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35E006C2"/>
    <w:multiLevelType w:val="hybridMultilevel"/>
    <w:tmpl w:val="BD8C1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B5091A"/>
    <w:multiLevelType w:val="hybridMultilevel"/>
    <w:tmpl w:val="B4268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7FA23CC"/>
    <w:multiLevelType w:val="hybridMultilevel"/>
    <w:tmpl w:val="8B8AA4C8"/>
    <w:lvl w:ilvl="0" w:tplc="21C4A578">
      <w:start w:val="1"/>
      <w:numFmt w:val="bullet"/>
      <w:pStyle w:val="Listaconvietas20"/>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B06250D"/>
    <w:multiLevelType w:val="hybridMultilevel"/>
    <w:tmpl w:val="D262852C"/>
    <w:lvl w:ilvl="0" w:tplc="D3285246">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3CF71995"/>
    <w:multiLevelType w:val="hybridMultilevel"/>
    <w:tmpl w:val="2A26696A"/>
    <w:lvl w:ilvl="0" w:tplc="1FFAFF50">
      <w:start w:val="875"/>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E1E3953"/>
    <w:multiLevelType w:val="hybridMultilevel"/>
    <w:tmpl w:val="B8041E2E"/>
    <w:lvl w:ilvl="0" w:tplc="0EFAFEDA">
      <w:start w:val="1"/>
      <w:numFmt w:val="decimal"/>
      <w:lvlText w:val="%1)"/>
      <w:lvlJc w:val="left"/>
      <w:pPr>
        <w:ind w:left="469" w:hanging="360"/>
      </w:pPr>
      <w:rPr>
        <w:rFonts w:ascii="Verdana" w:eastAsia="Verdana" w:hAnsi="Verdana" w:cs="Verdana" w:hint="default"/>
        <w:b w:val="0"/>
        <w:bCs w:val="0"/>
        <w:i w:val="0"/>
        <w:iCs w:val="0"/>
        <w:spacing w:val="0"/>
        <w:w w:val="99"/>
        <w:sz w:val="16"/>
        <w:szCs w:val="16"/>
        <w:lang w:val="es-ES" w:eastAsia="en-US" w:bidi="ar-SA"/>
      </w:rPr>
    </w:lvl>
    <w:lvl w:ilvl="1" w:tplc="A6A6CEE0">
      <w:numFmt w:val="bullet"/>
      <w:lvlText w:val="•"/>
      <w:lvlJc w:val="left"/>
      <w:pPr>
        <w:ind w:left="923" w:hanging="360"/>
      </w:pPr>
      <w:rPr>
        <w:rFonts w:hint="default"/>
        <w:lang w:val="es-ES" w:eastAsia="en-US" w:bidi="ar-SA"/>
      </w:rPr>
    </w:lvl>
    <w:lvl w:ilvl="2" w:tplc="F52AE440">
      <w:numFmt w:val="bullet"/>
      <w:lvlText w:val="•"/>
      <w:lvlJc w:val="left"/>
      <w:pPr>
        <w:ind w:left="1386" w:hanging="360"/>
      </w:pPr>
      <w:rPr>
        <w:rFonts w:hint="default"/>
        <w:lang w:val="es-ES" w:eastAsia="en-US" w:bidi="ar-SA"/>
      </w:rPr>
    </w:lvl>
    <w:lvl w:ilvl="3" w:tplc="EB525042">
      <w:numFmt w:val="bullet"/>
      <w:lvlText w:val="•"/>
      <w:lvlJc w:val="left"/>
      <w:pPr>
        <w:ind w:left="1849" w:hanging="360"/>
      </w:pPr>
      <w:rPr>
        <w:rFonts w:hint="default"/>
        <w:lang w:val="es-ES" w:eastAsia="en-US" w:bidi="ar-SA"/>
      </w:rPr>
    </w:lvl>
    <w:lvl w:ilvl="4" w:tplc="7DA237B0">
      <w:numFmt w:val="bullet"/>
      <w:lvlText w:val="•"/>
      <w:lvlJc w:val="left"/>
      <w:pPr>
        <w:ind w:left="2313" w:hanging="360"/>
      </w:pPr>
      <w:rPr>
        <w:rFonts w:hint="default"/>
        <w:lang w:val="es-ES" w:eastAsia="en-US" w:bidi="ar-SA"/>
      </w:rPr>
    </w:lvl>
    <w:lvl w:ilvl="5" w:tplc="DE141FC8">
      <w:numFmt w:val="bullet"/>
      <w:lvlText w:val="•"/>
      <w:lvlJc w:val="left"/>
      <w:pPr>
        <w:ind w:left="2776" w:hanging="360"/>
      </w:pPr>
      <w:rPr>
        <w:rFonts w:hint="default"/>
        <w:lang w:val="es-ES" w:eastAsia="en-US" w:bidi="ar-SA"/>
      </w:rPr>
    </w:lvl>
    <w:lvl w:ilvl="6" w:tplc="9AB81CD4">
      <w:numFmt w:val="bullet"/>
      <w:lvlText w:val="•"/>
      <w:lvlJc w:val="left"/>
      <w:pPr>
        <w:ind w:left="3239" w:hanging="360"/>
      </w:pPr>
      <w:rPr>
        <w:rFonts w:hint="default"/>
        <w:lang w:val="es-ES" w:eastAsia="en-US" w:bidi="ar-SA"/>
      </w:rPr>
    </w:lvl>
    <w:lvl w:ilvl="7" w:tplc="752C746A">
      <w:numFmt w:val="bullet"/>
      <w:lvlText w:val="•"/>
      <w:lvlJc w:val="left"/>
      <w:pPr>
        <w:ind w:left="3703" w:hanging="360"/>
      </w:pPr>
      <w:rPr>
        <w:rFonts w:hint="default"/>
        <w:lang w:val="es-ES" w:eastAsia="en-US" w:bidi="ar-SA"/>
      </w:rPr>
    </w:lvl>
    <w:lvl w:ilvl="8" w:tplc="914A5BF8">
      <w:numFmt w:val="bullet"/>
      <w:lvlText w:val="•"/>
      <w:lvlJc w:val="left"/>
      <w:pPr>
        <w:ind w:left="4166" w:hanging="360"/>
      </w:pPr>
      <w:rPr>
        <w:rFonts w:hint="default"/>
        <w:lang w:val="es-ES" w:eastAsia="en-US" w:bidi="ar-SA"/>
      </w:rPr>
    </w:lvl>
  </w:abstractNum>
  <w:abstractNum w:abstractNumId="59" w15:restartNumberingAfterBreak="0">
    <w:nsid w:val="3F304C36"/>
    <w:multiLevelType w:val="hybridMultilevel"/>
    <w:tmpl w:val="74C08424"/>
    <w:lvl w:ilvl="0" w:tplc="240A0005">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0" w15:restartNumberingAfterBreak="0">
    <w:nsid w:val="413421CD"/>
    <w:multiLevelType w:val="hybridMultilevel"/>
    <w:tmpl w:val="F9B6616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42F561B5"/>
    <w:multiLevelType w:val="multilevel"/>
    <w:tmpl w:val="1C2C03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2" w15:restartNumberingAfterBreak="0">
    <w:nsid w:val="43765A7D"/>
    <w:multiLevelType w:val="hybridMultilevel"/>
    <w:tmpl w:val="87FAF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3DC0E77"/>
    <w:multiLevelType w:val="hybridMultilevel"/>
    <w:tmpl w:val="3912DFDE"/>
    <w:lvl w:ilvl="0" w:tplc="DDD84BF2">
      <w:numFmt w:val="bullet"/>
      <w:lvlText w:val=""/>
      <w:lvlJc w:val="left"/>
      <w:pPr>
        <w:ind w:left="1198" w:hanging="360"/>
      </w:pPr>
      <w:rPr>
        <w:rFonts w:ascii="Symbol" w:eastAsia="Symbol" w:hAnsi="Symbol" w:cs="Symbol" w:hint="default"/>
        <w:b w:val="0"/>
        <w:bCs w:val="0"/>
        <w:i w:val="0"/>
        <w:iCs w:val="0"/>
        <w:spacing w:val="0"/>
        <w:w w:val="100"/>
        <w:sz w:val="22"/>
        <w:szCs w:val="22"/>
        <w:lang w:val="es-ES" w:eastAsia="en-US" w:bidi="ar-SA"/>
      </w:rPr>
    </w:lvl>
    <w:lvl w:ilvl="1" w:tplc="19DEBBAC">
      <w:numFmt w:val="bullet"/>
      <w:lvlText w:val=""/>
      <w:lvlJc w:val="left"/>
      <w:pPr>
        <w:ind w:left="1337" w:hanging="360"/>
      </w:pPr>
      <w:rPr>
        <w:rFonts w:ascii="Wingdings" w:eastAsia="Wingdings" w:hAnsi="Wingdings" w:cs="Wingdings" w:hint="default"/>
        <w:b w:val="0"/>
        <w:bCs w:val="0"/>
        <w:i w:val="0"/>
        <w:iCs w:val="0"/>
        <w:spacing w:val="0"/>
        <w:w w:val="100"/>
        <w:sz w:val="22"/>
        <w:szCs w:val="22"/>
        <w:lang w:val="es-ES" w:eastAsia="en-US" w:bidi="ar-SA"/>
      </w:rPr>
    </w:lvl>
    <w:lvl w:ilvl="2" w:tplc="354C03AE">
      <w:numFmt w:val="bullet"/>
      <w:lvlText w:val="•"/>
      <w:lvlJc w:val="left"/>
      <w:pPr>
        <w:ind w:left="2231" w:hanging="360"/>
      </w:pPr>
      <w:rPr>
        <w:rFonts w:hint="default"/>
        <w:lang w:val="es-ES" w:eastAsia="en-US" w:bidi="ar-SA"/>
      </w:rPr>
    </w:lvl>
    <w:lvl w:ilvl="3" w:tplc="6DC48010">
      <w:numFmt w:val="bullet"/>
      <w:lvlText w:val="•"/>
      <w:lvlJc w:val="left"/>
      <w:pPr>
        <w:ind w:left="3122" w:hanging="360"/>
      </w:pPr>
      <w:rPr>
        <w:rFonts w:hint="default"/>
        <w:lang w:val="es-ES" w:eastAsia="en-US" w:bidi="ar-SA"/>
      </w:rPr>
    </w:lvl>
    <w:lvl w:ilvl="4" w:tplc="4AB0B062">
      <w:numFmt w:val="bullet"/>
      <w:lvlText w:val="•"/>
      <w:lvlJc w:val="left"/>
      <w:pPr>
        <w:ind w:left="4013" w:hanging="360"/>
      </w:pPr>
      <w:rPr>
        <w:rFonts w:hint="default"/>
        <w:lang w:val="es-ES" w:eastAsia="en-US" w:bidi="ar-SA"/>
      </w:rPr>
    </w:lvl>
    <w:lvl w:ilvl="5" w:tplc="30B6474E">
      <w:numFmt w:val="bullet"/>
      <w:lvlText w:val="•"/>
      <w:lvlJc w:val="left"/>
      <w:pPr>
        <w:ind w:left="4904" w:hanging="360"/>
      </w:pPr>
      <w:rPr>
        <w:rFonts w:hint="default"/>
        <w:lang w:val="es-ES" w:eastAsia="en-US" w:bidi="ar-SA"/>
      </w:rPr>
    </w:lvl>
    <w:lvl w:ilvl="6" w:tplc="DD1C246C">
      <w:numFmt w:val="bullet"/>
      <w:lvlText w:val="•"/>
      <w:lvlJc w:val="left"/>
      <w:pPr>
        <w:ind w:left="5795" w:hanging="360"/>
      </w:pPr>
      <w:rPr>
        <w:rFonts w:hint="default"/>
        <w:lang w:val="es-ES" w:eastAsia="en-US" w:bidi="ar-SA"/>
      </w:rPr>
    </w:lvl>
    <w:lvl w:ilvl="7" w:tplc="A61C0F56">
      <w:numFmt w:val="bullet"/>
      <w:lvlText w:val="•"/>
      <w:lvlJc w:val="left"/>
      <w:pPr>
        <w:ind w:left="6686" w:hanging="360"/>
      </w:pPr>
      <w:rPr>
        <w:rFonts w:hint="default"/>
        <w:lang w:val="es-ES" w:eastAsia="en-US" w:bidi="ar-SA"/>
      </w:rPr>
    </w:lvl>
    <w:lvl w:ilvl="8" w:tplc="AD5670D8">
      <w:numFmt w:val="bullet"/>
      <w:lvlText w:val="•"/>
      <w:lvlJc w:val="left"/>
      <w:pPr>
        <w:ind w:left="7577" w:hanging="360"/>
      </w:pPr>
      <w:rPr>
        <w:rFonts w:hint="default"/>
        <w:lang w:val="es-ES" w:eastAsia="en-US" w:bidi="ar-SA"/>
      </w:rPr>
    </w:lvl>
  </w:abstractNum>
  <w:abstractNum w:abstractNumId="64" w15:restartNumberingAfterBreak="0">
    <w:nsid w:val="442E6818"/>
    <w:multiLevelType w:val="hybridMultilevel"/>
    <w:tmpl w:val="38A6B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4B50A39"/>
    <w:multiLevelType w:val="hybridMultilevel"/>
    <w:tmpl w:val="E0303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5075C49"/>
    <w:multiLevelType w:val="hybridMultilevel"/>
    <w:tmpl w:val="97E21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4522593F"/>
    <w:multiLevelType w:val="hybridMultilevel"/>
    <w:tmpl w:val="1AB26466"/>
    <w:lvl w:ilvl="0" w:tplc="FCFE2ED2">
      <w:start w:val="1"/>
      <w:numFmt w:val="decimal"/>
      <w:lvlText w:val="%1."/>
      <w:lvlJc w:val="left"/>
      <w:pPr>
        <w:ind w:left="631" w:hanging="360"/>
      </w:pPr>
      <w:rPr>
        <w:rFonts w:ascii="Arial" w:eastAsia="Arial" w:hAnsi="Arial" w:cs="Arial" w:hint="default"/>
        <w:b/>
        <w:bCs/>
        <w:i w:val="0"/>
        <w:iCs w:val="0"/>
        <w:spacing w:val="-1"/>
        <w:w w:val="100"/>
        <w:sz w:val="22"/>
        <w:szCs w:val="22"/>
        <w:lang w:val="es-ES" w:eastAsia="en-US" w:bidi="ar-SA"/>
      </w:rPr>
    </w:lvl>
    <w:lvl w:ilvl="1" w:tplc="9A588D86">
      <w:start w:val="1"/>
      <w:numFmt w:val="decimal"/>
      <w:lvlText w:val="%2."/>
      <w:lvlJc w:val="left"/>
      <w:pPr>
        <w:ind w:left="912" w:hanging="284"/>
        <w:jc w:val="right"/>
      </w:pPr>
      <w:rPr>
        <w:rFonts w:ascii="Arial MT" w:eastAsia="Arial MT" w:hAnsi="Arial MT" w:cs="Arial MT" w:hint="default"/>
        <w:b w:val="0"/>
        <w:bCs w:val="0"/>
        <w:i w:val="0"/>
        <w:iCs w:val="0"/>
        <w:spacing w:val="-1"/>
        <w:w w:val="100"/>
        <w:sz w:val="22"/>
        <w:szCs w:val="22"/>
        <w:lang w:val="es-ES" w:eastAsia="en-US" w:bidi="ar-SA"/>
      </w:rPr>
    </w:lvl>
    <w:lvl w:ilvl="2" w:tplc="DED0755E">
      <w:numFmt w:val="bullet"/>
      <w:lvlText w:val="•"/>
      <w:lvlJc w:val="left"/>
      <w:pPr>
        <w:ind w:left="1857" w:hanging="284"/>
      </w:pPr>
      <w:rPr>
        <w:rFonts w:hint="default"/>
        <w:lang w:val="es-ES" w:eastAsia="en-US" w:bidi="ar-SA"/>
      </w:rPr>
    </w:lvl>
    <w:lvl w:ilvl="3" w:tplc="2174A214">
      <w:numFmt w:val="bullet"/>
      <w:lvlText w:val="•"/>
      <w:lvlJc w:val="left"/>
      <w:pPr>
        <w:ind w:left="2795" w:hanging="284"/>
      </w:pPr>
      <w:rPr>
        <w:rFonts w:hint="default"/>
        <w:lang w:val="es-ES" w:eastAsia="en-US" w:bidi="ar-SA"/>
      </w:rPr>
    </w:lvl>
    <w:lvl w:ilvl="4" w:tplc="86026B06">
      <w:numFmt w:val="bullet"/>
      <w:lvlText w:val="•"/>
      <w:lvlJc w:val="left"/>
      <w:pPr>
        <w:ind w:left="3733" w:hanging="284"/>
      </w:pPr>
      <w:rPr>
        <w:rFonts w:hint="default"/>
        <w:lang w:val="es-ES" w:eastAsia="en-US" w:bidi="ar-SA"/>
      </w:rPr>
    </w:lvl>
    <w:lvl w:ilvl="5" w:tplc="4ECEC4AC">
      <w:numFmt w:val="bullet"/>
      <w:lvlText w:val="•"/>
      <w:lvlJc w:val="left"/>
      <w:pPr>
        <w:ind w:left="4671" w:hanging="284"/>
      </w:pPr>
      <w:rPr>
        <w:rFonts w:hint="default"/>
        <w:lang w:val="es-ES" w:eastAsia="en-US" w:bidi="ar-SA"/>
      </w:rPr>
    </w:lvl>
    <w:lvl w:ilvl="6" w:tplc="A1FCE266">
      <w:numFmt w:val="bullet"/>
      <w:lvlText w:val="•"/>
      <w:lvlJc w:val="left"/>
      <w:pPr>
        <w:ind w:left="5608" w:hanging="284"/>
      </w:pPr>
      <w:rPr>
        <w:rFonts w:hint="default"/>
        <w:lang w:val="es-ES" w:eastAsia="en-US" w:bidi="ar-SA"/>
      </w:rPr>
    </w:lvl>
    <w:lvl w:ilvl="7" w:tplc="15329058">
      <w:numFmt w:val="bullet"/>
      <w:lvlText w:val="•"/>
      <w:lvlJc w:val="left"/>
      <w:pPr>
        <w:ind w:left="6546" w:hanging="284"/>
      </w:pPr>
      <w:rPr>
        <w:rFonts w:hint="default"/>
        <w:lang w:val="es-ES" w:eastAsia="en-US" w:bidi="ar-SA"/>
      </w:rPr>
    </w:lvl>
    <w:lvl w:ilvl="8" w:tplc="E86E4708">
      <w:numFmt w:val="bullet"/>
      <w:lvlText w:val="•"/>
      <w:lvlJc w:val="left"/>
      <w:pPr>
        <w:ind w:left="7484" w:hanging="284"/>
      </w:pPr>
      <w:rPr>
        <w:rFonts w:hint="default"/>
        <w:lang w:val="es-ES" w:eastAsia="en-US" w:bidi="ar-SA"/>
      </w:rPr>
    </w:lvl>
  </w:abstractNum>
  <w:abstractNum w:abstractNumId="68" w15:restartNumberingAfterBreak="0">
    <w:nsid w:val="458E24B4"/>
    <w:multiLevelType w:val="hybridMultilevel"/>
    <w:tmpl w:val="8BC6A8D2"/>
    <w:lvl w:ilvl="0" w:tplc="FAE606DE">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60C0477"/>
    <w:multiLevelType w:val="hybridMultilevel"/>
    <w:tmpl w:val="FA7AA9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734547E"/>
    <w:multiLevelType w:val="hybridMultilevel"/>
    <w:tmpl w:val="01627944"/>
    <w:lvl w:ilvl="0" w:tplc="D5EAEA3E">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7B811E8"/>
    <w:multiLevelType w:val="hybridMultilevel"/>
    <w:tmpl w:val="426A5C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80776BA"/>
    <w:multiLevelType w:val="hybridMultilevel"/>
    <w:tmpl w:val="D0C829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48510FD7"/>
    <w:multiLevelType w:val="hybridMultilevel"/>
    <w:tmpl w:val="9DF2E402"/>
    <w:lvl w:ilvl="0" w:tplc="B6123F4A">
      <w:start w:val="1"/>
      <w:numFmt w:val="decimal"/>
      <w:lvlText w:val="%1."/>
      <w:lvlJc w:val="left"/>
      <w:pPr>
        <w:ind w:left="720" w:hanging="360"/>
      </w:pPr>
      <w:rPr>
        <w:rFonts w:hint="default"/>
        <w:b w:val="0"/>
        <w:bCs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493E1093"/>
    <w:multiLevelType w:val="hybridMultilevel"/>
    <w:tmpl w:val="A78E81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49AC13F7"/>
    <w:multiLevelType w:val="hybridMultilevel"/>
    <w:tmpl w:val="43D4708A"/>
    <w:lvl w:ilvl="0" w:tplc="A0241104">
      <w:numFmt w:val="bullet"/>
      <w:lvlText w:val="●"/>
      <w:lvlJc w:val="left"/>
      <w:pPr>
        <w:ind w:left="720" w:hanging="360"/>
      </w:pPr>
      <w:rPr>
        <w:rFonts w:hint="default"/>
        <w:spacing w:val="-25"/>
        <w:w w:val="99"/>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4A5C7804"/>
    <w:multiLevelType w:val="hybridMultilevel"/>
    <w:tmpl w:val="7DFCB7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4AA0287A"/>
    <w:multiLevelType w:val="hybridMultilevel"/>
    <w:tmpl w:val="40E855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4C1D3F16"/>
    <w:multiLevelType w:val="hybridMultilevel"/>
    <w:tmpl w:val="F18C5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4D1C6BF7"/>
    <w:multiLevelType w:val="hybridMultilevel"/>
    <w:tmpl w:val="4EA6AEF8"/>
    <w:lvl w:ilvl="0" w:tplc="D8306146">
      <w:start w:val="1"/>
      <w:numFmt w:val="lowerLetter"/>
      <w:lvlText w:val="%1)"/>
      <w:lvlJc w:val="left"/>
      <w:pPr>
        <w:ind w:left="1065" w:hanging="70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4D8B20DB"/>
    <w:multiLevelType w:val="hybridMultilevel"/>
    <w:tmpl w:val="43903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4DC3654E"/>
    <w:multiLevelType w:val="hybridMultilevel"/>
    <w:tmpl w:val="74AC72A8"/>
    <w:lvl w:ilvl="0" w:tplc="A0241104">
      <w:numFmt w:val="bullet"/>
      <w:lvlText w:val="●"/>
      <w:lvlJc w:val="left"/>
      <w:pPr>
        <w:ind w:left="720" w:hanging="360"/>
      </w:pPr>
      <w:rPr>
        <w:rFonts w:hint="default"/>
        <w:spacing w:val="-25"/>
        <w:w w:val="99"/>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4DFE4ED1"/>
    <w:multiLevelType w:val="hybridMultilevel"/>
    <w:tmpl w:val="285E20D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50D845D8"/>
    <w:multiLevelType w:val="hybridMultilevel"/>
    <w:tmpl w:val="9A122F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511F6747"/>
    <w:multiLevelType w:val="hybridMultilevel"/>
    <w:tmpl w:val="AD9E0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56267ED"/>
    <w:multiLevelType w:val="hybridMultilevel"/>
    <w:tmpl w:val="7EAC2B14"/>
    <w:lvl w:ilvl="0" w:tplc="1FEE5B3A">
      <w:start w:val="1"/>
      <w:numFmt w:val="decimal"/>
      <w:lvlText w:val="%1."/>
      <w:lvlJc w:val="left"/>
      <w:pPr>
        <w:ind w:left="912" w:hanging="281"/>
        <w:jc w:val="right"/>
      </w:pPr>
      <w:rPr>
        <w:rFonts w:ascii="Arial MT" w:eastAsia="Arial MT" w:hAnsi="Arial MT" w:cs="Arial MT" w:hint="default"/>
        <w:b w:val="0"/>
        <w:bCs w:val="0"/>
        <w:i w:val="0"/>
        <w:iCs w:val="0"/>
        <w:spacing w:val="-1"/>
        <w:w w:val="100"/>
        <w:sz w:val="22"/>
        <w:szCs w:val="22"/>
        <w:lang w:val="es-ES" w:eastAsia="en-US" w:bidi="ar-SA"/>
      </w:rPr>
    </w:lvl>
    <w:lvl w:ilvl="1" w:tplc="4F1419F0">
      <w:numFmt w:val="bullet"/>
      <w:lvlText w:val="•"/>
      <w:lvlJc w:val="left"/>
      <w:pPr>
        <w:ind w:left="1764" w:hanging="281"/>
      </w:pPr>
      <w:rPr>
        <w:rFonts w:hint="default"/>
        <w:lang w:val="es-ES" w:eastAsia="en-US" w:bidi="ar-SA"/>
      </w:rPr>
    </w:lvl>
    <w:lvl w:ilvl="2" w:tplc="9288E40C">
      <w:numFmt w:val="bullet"/>
      <w:lvlText w:val="•"/>
      <w:lvlJc w:val="left"/>
      <w:pPr>
        <w:ind w:left="2608" w:hanging="281"/>
      </w:pPr>
      <w:rPr>
        <w:rFonts w:hint="default"/>
        <w:lang w:val="es-ES" w:eastAsia="en-US" w:bidi="ar-SA"/>
      </w:rPr>
    </w:lvl>
    <w:lvl w:ilvl="3" w:tplc="4CD628B8">
      <w:numFmt w:val="bullet"/>
      <w:lvlText w:val="•"/>
      <w:lvlJc w:val="left"/>
      <w:pPr>
        <w:ind w:left="3452" w:hanging="281"/>
      </w:pPr>
      <w:rPr>
        <w:rFonts w:hint="default"/>
        <w:lang w:val="es-ES" w:eastAsia="en-US" w:bidi="ar-SA"/>
      </w:rPr>
    </w:lvl>
    <w:lvl w:ilvl="4" w:tplc="836084A4">
      <w:numFmt w:val="bullet"/>
      <w:lvlText w:val="•"/>
      <w:lvlJc w:val="left"/>
      <w:pPr>
        <w:ind w:left="4296" w:hanging="281"/>
      </w:pPr>
      <w:rPr>
        <w:rFonts w:hint="default"/>
        <w:lang w:val="es-ES" w:eastAsia="en-US" w:bidi="ar-SA"/>
      </w:rPr>
    </w:lvl>
    <w:lvl w:ilvl="5" w:tplc="0CF6B9BC">
      <w:numFmt w:val="bullet"/>
      <w:lvlText w:val="•"/>
      <w:lvlJc w:val="left"/>
      <w:pPr>
        <w:ind w:left="5140" w:hanging="281"/>
      </w:pPr>
      <w:rPr>
        <w:rFonts w:hint="default"/>
        <w:lang w:val="es-ES" w:eastAsia="en-US" w:bidi="ar-SA"/>
      </w:rPr>
    </w:lvl>
    <w:lvl w:ilvl="6" w:tplc="DDB86F7E">
      <w:numFmt w:val="bullet"/>
      <w:lvlText w:val="•"/>
      <w:lvlJc w:val="left"/>
      <w:pPr>
        <w:ind w:left="5984" w:hanging="281"/>
      </w:pPr>
      <w:rPr>
        <w:rFonts w:hint="default"/>
        <w:lang w:val="es-ES" w:eastAsia="en-US" w:bidi="ar-SA"/>
      </w:rPr>
    </w:lvl>
    <w:lvl w:ilvl="7" w:tplc="B3B828AC">
      <w:numFmt w:val="bullet"/>
      <w:lvlText w:val="•"/>
      <w:lvlJc w:val="left"/>
      <w:pPr>
        <w:ind w:left="6828" w:hanging="281"/>
      </w:pPr>
      <w:rPr>
        <w:rFonts w:hint="default"/>
        <w:lang w:val="es-ES" w:eastAsia="en-US" w:bidi="ar-SA"/>
      </w:rPr>
    </w:lvl>
    <w:lvl w:ilvl="8" w:tplc="92E4E0DA">
      <w:numFmt w:val="bullet"/>
      <w:lvlText w:val="•"/>
      <w:lvlJc w:val="left"/>
      <w:pPr>
        <w:ind w:left="7672" w:hanging="281"/>
      </w:pPr>
      <w:rPr>
        <w:rFonts w:hint="default"/>
        <w:lang w:val="es-ES" w:eastAsia="en-US" w:bidi="ar-SA"/>
      </w:rPr>
    </w:lvl>
  </w:abstractNum>
  <w:abstractNum w:abstractNumId="86" w15:restartNumberingAfterBreak="0">
    <w:nsid w:val="5641335B"/>
    <w:multiLevelType w:val="multilevel"/>
    <w:tmpl w:val="0BB4784C"/>
    <w:styleLink w:val="Ttulocaptulo"/>
    <w:lvl w:ilvl="0">
      <w:start w:val="1"/>
      <w:numFmt w:val="decimal"/>
      <w:lvlText w:val="Capítulo %1."/>
      <w:lvlJc w:val="left"/>
      <w:pPr>
        <w:tabs>
          <w:tab w:val="num" w:pos="142"/>
        </w:tabs>
        <w:ind w:left="142"/>
      </w:pPr>
      <w:rPr>
        <w:rFonts w:cs="Times New Roman" w:hint="default"/>
      </w:rPr>
    </w:lvl>
    <w:lvl w:ilvl="1">
      <w:start w:val="1"/>
      <w:numFmt w:val="none"/>
      <w:suff w:val="nothing"/>
      <w:lvlText w:val=""/>
      <w:lvlJc w:val="left"/>
      <w:pPr>
        <w:ind w:left="142"/>
      </w:pPr>
      <w:rPr>
        <w:rFonts w:cs="Times New Roman" w:hint="default"/>
      </w:rPr>
    </w:lvl>
    <w:lvl w:ilvl="2">
      <w:start w:val="1"/>
      <w:numFmt w:val="none"/>
      <w:suff w:val="nothing"/>
      <w:lvlText w:val=""/>
      <w:lvlJc w:val="left"/>
      <w:pPr>
        <w:ind w:left="142"/>
      </w:pPr>
      <w:rPr>
        <w:rFonts w:cs="Times New Roman" w:hint="default"/>
      </w:rPr>
    </w:lvl>
    <w:lvl w:ilvl="3">
      <w:start w:val="1"/>
      <w:numFmt w:val="none"/>
      <w:suff w:val="nothing"/>
      <w:lvlText w:val=""/>
      <w:lvlJc w:val="left"/>
      <w:pPr>
        <w:ind w:left="142"/>
      </w:pPr>
      <w:rPr>
        <w:rFonts w:cs="Times New Roman" w:hint="default"/>
      </w:rPr>
    </w:lvl>
    <w:lvl w:ilvl="4">
      <w:start w:val="1"/>
      <w:numFmt w:val="none"/>
      <w:suff w:val="nothing"/>
      <w:lvlText w:val=""/>
      <w:lvlJc w:val="left"/>
      <w:pPr>
        <w:ind w:left="142"/>
      </w:pPr>
      <w:rPr>
        <w:rFonts w:cs="Times New Roman" w:hint="default"/>
      </w:rPr>
    </w:lvl>
    <w:lvl w:ilvl="5">
      <w:start w:val="1"/>
      <w:numFmt w:val="none"/>
      <w:suff w:val="nothing"/>
      <w:lvlText w:val=""/>
      <w:lvlJc w:val="left"/>
      <w:pPr>
        <w:ind w:left="142"/>
      </w:pPr>
      <w:rPr>
        <w:rFonts w:cs="Times New Roman" w:hint="default"/>
      </w:rPr>
    </w:lvl>
    <w:lvl w:ilvl="6">
      <w:start w:val="1"/>
      <w:numFmt w:val="none"/>
      <w:suff w:val="nothing"/>
      <w:lvlText w:val=""/>
      <w:lvlJc w:val="left"/>
      <w:pPr>
        <w:ind w:left="142"/>
      </w:pPr>
      <w:rPr>
        <w:rFonts w:cs="Times New Roman" w:hint="default"/>
      </w:rPr>
    </w:lvl>
    <w:lvl w:ilvl="7">
      <w:start w:val="1"/>
      <w:numFmt w:val="none"/>
      <w:suff w:val="nothing"/>
      <w:lvlText w:val=""/>
      <w:lvlJc w:val="left"/>
      <w:pPr>
        <w:ind w:left="142"/>
      </w:pPr>
      <w:rPr>
        <w:rFonts w:cs="Times New Roman" w:hint="default"/>
      </w:rPr>
    </w:lvl>
    <w:lvl w:ilvl="8">
      <w:start w:val="1"/>
      <w:numFmt w:val="none"/>
      <w:suff w:val="nothing"/>
      <w:lvlText w:val=""/>
      <w:lvlJc w:val="left"/>
      <w:pPr>
        <w:ind w:left="142"/>
      </w:pPr>
      <w:rPr>
        <w:rFonts w:cs="Times New Roman" w:hint="default"/>
      </w:rPr>
    </w:lvl>
  </w:abstractNum>
  <w:abstractNum w:abstractNumId="87" w15:restartNumberingAfterBreak="0">
    <w:nsid w:val="56EE1DEE"/>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8" w15:restartNumberingAfterBreak="0">
    <w:nsid w:val="57052B22"/>
    <w:multiLevelType w:val="hybridMultilevel"/>
    <w:tmpl w:val="0570143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571D398C"/>
    <w:multiLevelType w:val="hybridMultilevel"/>
    <w:tmpl w:val="F8768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58046654"/>
    <w:multiLevelType w:val="hybridMultilevel"/>
    <w:tmpl w:val="FC6C8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80619AB"/>
    <w:multiLevelType w:val="hybridMultilevel"/>
    <w:tmpl w:val="E6A26A32"/>
    <w:lvl w:ilvl="0" w:tplc="6B3C347E">
      <w:numFmt w:val="bullet"/>
      <w:lvlText w:val="-"/>
      <w:lvlJc w:val="left"/>
      <w:pPr>
        <w:ind w:left="469" w:hanging="360"/>
      </w:pPr>
      <w:rPr>
        <w:rFonts w:ascii="Arial MT" w:eastAsia="Arial MT" w:hAnsi="Arial MT" w:cs="Arial MT" w:hint="default"/>
        <w:b w:val="0"/>
        <w:bCs w:val="0"/>
        <w:i w:val="0"/>
        <w:iCs w:val="0"/>
        <w:spacing w:val="0"/>
        <w:w w:val="99"/>
        <w:sz w:val="16"/>
        <w:szCs w:val="16"/>
        <w:lang w:val="es-ES" w:eastAsia="en-US" w:bidi="ar-SA"/>
      </w:rPr>
    </w:lvl>
    <w:lvl w:ilvl="1" w:tplc="50F08D68">
      <w:numFmt w:val="bullet"/>
      <w:lvlText w:val="•"/>
      <w:lvlJc w:val="left"/>
      <w:pPr>
        <w:ind w:left="923" w:hanging="360"/>
      </w:pPr>
      <w:rPr>
        <w:rFonts w:hint="default"/>
        <w:lang w:val="es-ES" w:eastAsia="en-US" w:bidi="ar-SA"/>
      </w:rPr>
    </w:lvl>
    <w:lvl w:ilvl="2" w:tplc="721634EA">
      <w:numFmt w:val="bullet"/>
      <w:lvlText w:val="•"/>
      <w:lvlJc w:val="left"/>
      <w:pPr>
        <w:ind w:left="1386" w:hanging="360"/>
      </w:pPr>
      <w:rPr>
        <w:rFonts w:hint="default"/>
        <w:lang w:val="es-ES" w:eastAsia="en-US" w:bidi="ar-SA"/>
      </w:rPr>
    </w:lvl>
    <w:lvl w:ilvl="3" w:tplc="78C20612">
      <w:numFmt w:val="bullet"/>
      <w:lvlText w:val="•"/>
      <w:lvlJc w:val="left"/>
      <w:pPr>
        <w:ind w:left="1849" w:hanging="360"/>
      </w:pPr>
      <w:rPr>
        <w:rFonts w:hint="default"/>
        <w:lang w:val="es-ES" w:eastAsia="en-US" w:bidi="ar-SA"/>
      </w:rPr>
    </w:lvl>
    <w:lvl w:ilvl="4" w:tplc="580051DA">
      <w:numFmt w:val="bullet"/>
      <w:lvlText w:val="•"/>
      <w:lvlJc w:val="left"/>
      <w:pPr>
        <w:ind w:left="2313" w:hanging="360"/>
      </w:pPr>
      <w:rPr>
        <w:rFonts w:hint="default"/>
        <w:lang w:val="es-ES" w:eastAsia="en-US" w:bidi="ar-SA"/>
      </w:rPr>
    </w:lvl>
    <w:lvl w:ilvl="5" w:tplc="7EC48802">
      <w:numFmt w:val="bullet"/>
      <w:lvlText w:val="•"/>
      <w:lvlJc w:val="left"/>
      <w:pPr>
        <w:ind w:left="2776" w:hanging="360"/>
      </w:pPr>
      <w:rPr>
        <w:rFonts w:hint="default"/>
        <w:lang w:val="es-ES" w:eastAsia="en-US" w:bidi="ar-SA"/>
      </w:rPr>
    </w:lvl>
    <w:lvl w:ilvl="6" w:tplc="56C8BC78">
      <w:numFmt w:val="bullet"/>
      <w:lvlText w:val="•"/>
      <w:lvlJc w:val="left"/>
      <w:pPr>
        <w:ind w:left="3239" w:hanging="360"/>
      </w:pPr>
      <w:rPr>
        <w:rFonts w:hint="default"/>
        <w:lang w:val="es-ES" w:eastAsia="en-US" w:bidi="ar-SA"/>
      </w:rPr>
    </w:lvl>
    <w:lvl w:ilvl="7" w:tplc="FB9C21D6">
      <w:numFmt w:val="bullet"/>
      <w:lvlText w:val="•"/>
      <w:lvlJc w:val="left"/>
      <w:pPr>
        <w:ind w:left="3703" w:hanging="360"/>
      </w:pPr>
      <w:rPr>
        <w:rFonts w:hint="default"/>
        <w:lang w:val="es-ES" w:eastAsia="en-US" w:bidi="ar-SA"/>
      </w:rPr>
    </w:lvl>
    <w:lvl w:ilvl="8" w:tplc="956A9380">
      <w:numFmt w:val="bullet"/>
      <w:lvlText w:val="•"/>
      <w:lvlJc w:val="left"/>
      <w:pPr>
        <w:ind w:left="4166" w:hanging="360"/>
      </w:pPr>
      <w:rPr>
        <w:rFonts w:hint="default"/>
        <w:lang w:val="es-ES" w:eastAsia="en-US" w:bidi="ar-SA"/>
      </w:rPr>
    </w:lvl>
  </w:abstractNum>
  <w:abstractNum w:abstractNumId="92" w15:restartNumberingAfterBreak="0">
    <w:nsid w:val="5A2A3EC6"/>
    <w:multiLevelType w:val="hybridMultilevel"/>
    <w:tmpl w:val="E2D832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AA0671C"/>
    <w:multiLevelType w:val="hybridMultilevel"/>
    <w:tmpl w:val="E488E760"/>
    <w:lvl w:ilvl="0" w:tplc="D19AB0B4">
      <w:start w:val="1"/>
      <w:numFmt w:val="bullet"/>
      <w:lvlText w:val="-"/>
      <w:lvlJc w:val="left"/>
      <w:pPr>
        <w:tabs>
          <w:tab w:val="num" w:pos="360"/>
        </w:tabs>
        <w:ind w:left="360" w:hanging="360"/>
      </w:pPr>
      <w:rPr>
        <w:rFonts w:ascii="Times New Roman" w:hAnsi="Times New Roman" w:hint="default"/>
      </w:rPr>
    </w:lvl>
    <w:lvl w:ilvl="1" w:tplc="6388D242" w:tentative="1">
      <w:start w:val="1"/>
      <w:numFmt w:val="bullet"/>
      <w:lvlText w:val="-"/>
      <w:lvlJc w:val="left"/>
      <w:pPr>
        <w:tabs>
          <w:tab w:val="num" w:pos="1080"/>
        </w:tabs>
        <w:ind w:left="1080" w:hanging="360"/>
      </w:pPr>
      <w:rPr>
        <w:rFonts w:ascii="Times New Roman" w:hAnsi="Times New Roman" w:hint="default"/>
      </w:rPr>
    </w:lvl>
    <w:lvl w:ilvl="2" w:tplc="B25E3158" w:tentative="1">
      <w:start w:val="1"/>
      <w:numFmt w:val="bullet"/>
      <w:lvlText w:val="-"/>
      <w:lvlJc w:val="left"/>
      <w:pPr>
        <w:tabs>
          <w:tab w:val="num" w:pos="1800"/>
        </w:tabs>
        <w:ind w:left="1800" w:hanging="360"/>
      </w:pPr>
      <w:rPr>
        <w:rFonts w:ascii="Times New Roman" w:hAnsi="Times New Roman" w:hint="default"/>
      </w:rPr>
    </w:lvl>
    <w:lvl w:ilvl="3" w:tplc="5650B58C" w:tentative="1">
      <w:start w:val="1"/>
      <w:numFmt w:val="bullet"/>
      <w:lvlText w:val="-"/>
      <w:lvlJc w:val="left"/>
      <w:pPr>
        <w:tabs>
          <w:tab w:val="num" w:pos="2520"/>
        </w:tabs>
        <w:ind w:left="2520" w:hanging="360"/>
      </w:pPr>
      <w:rPr>
        <w:rFonts w:ascii="Times New Roman" w:hAnsi="Times New Roman" w:hint="default"/>
      </w:rPr>
    </w:lvl>
    <w:lvl w:ilvl="4" w:tplc="50AC609A" w:tentative="1">
      <w:start w:val="1"/>
      <w:numFmt w:val="bullet"/>
      <w:lvlText w:val="-"/>
      <w:lvlJc w:val="left"/>
      <w:pPr>
        <w:tabs>
          <w:tab w:val="num" w:pos="3240"/>
        </w:tabs>
        <w:ind w:left="3240" w:hanging="360"/>
      </w:pPr>
      <w:rPr>
        <w:rFonts w:ascii="Times New Roman" w:hAnsi="Times New Roman" w:hint="default"/>
      </w:rPr>
    </w:lvl>
    <w:lvl w:ilvl="5" w:tplc="921E056E" w:tentative="1">
      <w:start w:val="1"/>
      <w:numFmt w:val="bullet"/>
      <w:lvlText w:val="-"/>
      <w:lvlJc w:val="left"/>
      <w:pPr>
        <w:tabs>
          <w:tab w:val="num" w:pos="3960"/>
        </w:tabs>
        <w:ind w:left="3960" w:hanging="360"/>
      </w:pPr>
      <w:rPr>
        <w:rFonts w:ascii="Times New Roman" w:hAnsi="Times New Roman" w:hint="default"/>
      </w:rPr>
    </w:lvl>
    <w:lvl w:ilvl="6" w:tplc="B672D1C6" w:tentative="1">
      <w:start w:val="1"/>
      <w:numFmt w:val="bullet"/>
      <w:lvlText w:val="-"/>
      <w:lvlJc w:val="left"/>
      <w:pPr>
        <w:tabs>
          <w:tab w:val="num" w:pos="4680"/>
        </w:tabs>
        <w:ind w:left="4680" w:hanging="360"/>
      </w:pPr>
      <w:rPr>
        <w:rFonts w:ascii="Times New Roman" w:hAnsi="Times New Roman" w:hint="default"/>
      </w:rPr>
    </w:lvl>
    <w:lvl w:ilvl="7" w:tplc="56EABDC2" w:tentative="1">
      <w:start w:val="1"/>
      <w:numFmt w:val="bullet"/>
      <w:lvlText w:val="-"/>
      <w:lvlJc w:val="left"/>
      <w:pPr>
        <w:tabs>
          <w:tab w:val="num" w:pos="5400"/>
        </w:tabs>
        <w:ind w:left="5400" w:hanging="360"/>
      </w:pPr>
      <w:rPr>
        <w:rFonts w:ascii="Times New Roman" w:hAnsi="Times New Roman" w:hint="default"/>
      </w:rPr>
    </w:lvl>
    <w:lvl w:ilvl="8" w:tplc="32F07042"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5B3E17CF"/>
    <w:multiLevelType w:val="hybridMultilevel"/>
    <w:tmpl w:val="EA708DBC"/>
    <w:lvl w:ilvl="0" w:tplc="D60412E8">
      <w:start w:val="1"/>
      <w:numFmt w:val="bullet"/>
      <w:lvlText w:val=""/>
      <w:lvlJc w:val="left"/>
      <w:pPr>
        <w:ind w:left="720" w:hanging="360"/>
      </w:pPr>
      <w:rPr>
        <w:rFonts w:ascii="Symbol" w:hAnsi="Symbo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5DA31070"/>
    <w:multiLevelType w:val="hybridMultilevel"/>
    <w:tmpl w:val="0EC275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5F0E7396"/>
    <w:multiLevelType w:val="hybridMultilevel"/>
    <w:tmpl w:val="3E526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60224F0D"/>
    <w:multiLevelType w:val="hybridMultilevel"/>
    <w:tmpl w:val="DA34A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60543F4B"/>
    <w:multiLevelType w:val="hybridMultilevel"/>
    <w:tmpl w:val="B61E1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630510D8"/>
    <w:multiLevelType w:val="hybridMultilevel"/>
    <w:tmpl w:val="D124F8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63434243"/>
    <w:multiLevelType w:val="multilevel"/>
    <w:tmpl w:val="23CEDC8E"/>
    <w:lvl w:ilvl="0">
      <w:start w:val="1"/>
      <w:numFmt w:val="decimal"/>
      <w:pStyle w:val="Listaconnmeros"/>
      <w:lvlText w:val="%1."/>
      <w:lvlJc w:val="left"/>
      <w:pPr>
        <w:tabs>
          <w:tab w:val="num" w:pos="360"/>
        </w:tabs>
        <w:ind w:left="360" w:hanging="360"/>
      </w:pPr>
      <w:rPr>
        <w:rFonts w:cs="Times New Roman" w:hint="default"/>
      </w:rPr>
    </w:lvl>
    <w:lvl w:ilvl="1">
      <w:start w:val="1"/>
      <w:numFmt w:val="none"/>
      <w:pStyle w:val="Esquemanumerado"/>
      <w:lvlText w:val="3.1"/>
      <w:lvlJc w:val="left"/>
      <w:pPr>
        <w:tabs>
          <w:tab w:val="num" w:pos="792"/>
        </w:tabs>
        <w:ind w:left="792" w:hanging="432"/>
      </w:pPr>
      <w:rPr>
        <w:rFonts w:ascii="Arial" w:hAnsi="Arial" w:cs="Arial"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1" w15:restartNumberingAfterBreak="0">
    <w:nsid w:val="63ED4DEA"/>
    <w:multiLevelType w:val="hybridMultilevel"/>
    <w:tmpl w:val="34A065CA"/>
    <w:lvl w:ilvl="0" w:tplc="C4940C90">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640C5DBD"/>
    <w:multiLevelType w:val="hybridMultilevel"/>
    <w:tmpl w:val="48EAAAB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3" w15:restartNumberingAfterBreak="0">
    <w:nsid w:val="642E0EE4"/>
    <w:multiLevelType w:val="hybridMultilevel"/>
    <w:tmpl w:val="AF224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64450463"/>
    <w:multiLevelType w:val="hybridMultilevel"/>
    <w:tmpl w:val="AD30B32E"/>
    <w:lvl w:ilvl="0" w:tplc="E3420B4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05" w15:restartNumberingAfterBreak="0">
    <w:nsid w:val="66FF137C"/>
    <w:multiLevelType w:val="hybridMultilevel"/>
    <w:tmpl w:val="43E88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671C75B9"/>
    <w:multiLevelType w:val="hybridMultilevel"/>
    <w:tmpl w:val="1A6E6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683171F3"/>
    <w:multiLevelType w:val="hybridMultilevel"/>
    <w:tmpl w:val="7A185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8F07C2B"/>
    <w:multiLevelType w:val="hybridMultilevel"/>
    <w:tmpl w:val="C5B6909C"/>
    <w:lvl w:ilvl="0" w:tplc="FFFFFFFF">
      <w:start w:val="1"/>
      <w:numFmt w:val="bullet"/>
      <w:pStyle w:val="Vietas"/>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9" w15:restartNumberingAfterBreak="0">
    <w:nsid w:val="6A6F6DEA"/>
    <w:multiLevelType w:val="hybridMultilevel"/>
    <w:tmpl w:val="96B2D99E"/>
    <w:lvl w:ilvl="0" w:tplc="891ED922">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0" w15:restartNumberingAfterBreak="0">
    <w:nsid w:val="6B3F1CA3"/>
    <w:multiLevelType w:val="hybridMultilevel"/>
    <w:tmpl w:val="26002F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6C4D2179"/>
    <w:multiLevelType w:val="hybridMultilevel"/>
    <w:tmpl w:val="BDF8694C"/>
    <w:lvl w:ilvl="0" w:tplc="F90E1370">
      <w:start w:val="1"/>
      <w:numFmt w:val="bullet"/>
      <w:lvlText w:val=""/>
      <w:lvlJc w:val="left"/>
      <w:pPr>
        <w:ind w:left="93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6C9F5DC1"/>
    <w:multiLevelType w:val="hybridMultilevel"/>
    <w:tmpl w:val="ECB46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6DC15477"/>
    <w:multiLevelType w:val="hybridMultilevel"/>
    <w:tmpl w:val="3D02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8E1B51"/>
    <w:multiLevelType w:val="hybridMultilevel"/>
    <w:tmpl w:val="EFAA05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6F392744"/>
    <w:multiLevelType w:val="hybridMultilevel"/>
    <w:tmpl w:val="B678BE7C"/>
    <w:lvl w:ilvl="0" w:tplc="E58CB1F6">
      <w:start w:val="1"/>
      <w:numFmt w:val="decimal"/>
      <w:pStyle w:val="NotesHeading"/>
      <w:lvlText w:val="%1."/>
      <w:lvlJc w:val="left"/>
      <w:pPr>
        <w:tabs>
          <w:tab w:val="num" w:pos="720"/>
        </w:tabs>
        <w:ind w:left="720" w:hanging="360"/>
      </w:pPr>
      <w:rPr>
        <w:rFonts w:ascii="Times New Roman" w:hAnsi="Times New Roman" w:hint="default"/>
        <w:b/>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6F584422"/>
    <w:multiLevelType w:val="hybridMultilevel"/>
    <w:tmpl w:val="1AB4E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70037787"/>
    <w:multiLevelType w:val="hybridMultilevel"/>
    <w:tmpl w:val="62CE0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722C52AD"/>
    <w:multiLevelType w:val="hybridMultilevel"/>
    <w:tmpl w:val="0088D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72FF0459"/>
    <w:multiLevelType w:val="hybridMultilevel"/>
    <w:tmpl w:val="10BE9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74604FA9"/>
    <w:multiLevelType w:val="hybridMultilevel"/>
    <w:tmpl w:val="829E5A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746F10E9"/>
    <w:multiLevelType w:val="hybridMultilevel"/>
    <w:tmpl w:val="209458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74A10815"/>
    <w:multiLevelType w:val="hybridMultilevel"/>
    <w:tmpl w:val="6B88A9D2"/>
    <w:lvl w:ilvl="0" w:tplc="FAE606DE">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3" w15:restartNumberingAfterBreak="0">
    <w:nsid w:val="761B4187"/>
    <w:multiLevelType w:val="hybridMultilevel"/>
    <w:tmpl w:val="4ADC67D2"/>
    <w:lvl w:ilvl="0" w:tplc="BFE67EDC">
      <w:start w:val="1"/>
      <w:numFmt w:val="decimal"/>
      <w:lvlText w:val="%1."/>
      <w:lvlJc w:val="left"/>
      <w:pPr>
        <w:ind w:left="375" w:hanging="37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4" w15:restartNumberingAfterBreak="0">
    <w:nsid w:val="792F59D2"/>
    <w:multiLevelType w:val="hybridMultilevel"/>
    <w:tmpl w:val="A8B25BC4"/>
    <w:lvl w:ilvl="0" w:tplc="D6B2F1EC">
      <w:start w:val="1"/>
      <w:numFmt w:val="decimal"/>
      <w:lvlText w:val="%1."/>
      <w:lvlJc w:val="left"/>
      <w:pPr>
        <w:ind w:left="1230" w:hanging="870"/>
      </w:pPr>
      <w:rPr>
        <w:rFonts w:ascii="Arial" w:eastAsia="Arial"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7A584A7C"/>
    <w:multiLevelType w:val="hybridMultilevel"/>
    <w:tmpl w:val="64CE9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7AEC7261"/>
    <w:multiLevelType w:val="hybridMultilevel"/>
    <w:tmpl w:val="7BC22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7CE70089"/>
    <w:multiLevelType w:val="hybridMultilevel"/>
    <w:tmpl w:val="D7C8C4FA"/>
    <w:lvl w:ilvl="0" w:tplc="4CDAC8BA">
      <w:start w:val="1"/>
      <w:numFmt w:val="bullet"/>
      <w:pStyle w:val="Mota"/>
      <w:lvlText w:val="•"/>
      <w:lvlJc w:val="left"/>
      <w:pPr>
        <w:tabs>
          <w:tab w:val="num" w:pos="360"/>
        </w:tabs>
      </w:pPr>
      <w:rPr>
        <w:rFonts w:ascii="Garamond" w:hAnsi="Garamond" w:hint="default"/>
      </w:rPr>
    </w:lvl>
    <w:lvl w:ilvl="1" w:tplc="0AD03E90" w:tentative="1">
      <w:start w:val="1"/>
      <w:numFmt w:val="bullet"/>
      <w:lvlText w:val="o"/>
      <w:lvlJc w:val="left"/>
      <w:pPr>
        <w:tabs>
          <w:tab w:val="num" w:pos="1440"/>
        </w:tabs>
        <w:ind w:left="1440" w:hanging="360"/>
      </w:pPr>
      <w:rPr>
        <w:rFonts w:ascii="Courier New" w:hAnsi="Courier New" w:hint="default"/>
      </w:rPr>
    </w:lvl>
    <w:lvl w:ilvl="2" w:tplc="68340FE0" w:tentative="1">
      <w:start w:val="1"/>
      <w:numFmt w:val="bullet"/>
      <w:lvlText w:val=""/>
      <w:lvlJc w:val="left"/>
      <w:pPr>
        <w:tabs>
          <w:tab w:val="num" w:pos="2160"/>
        </w:tabs>
        <w:ind w:left="2160" w:hanging="360"/>
      </w:pPr>
      <w:rPr>
        <w:rFonts w:ascii="Wingdings" w:hAnsi="Wingdings" w:hint="default"/>
      </w:rPr>
    </w:lvl>
    <w:lvl w:ilvl="3" w:tplc="69787B26" w:tentative="1">
      <w:start w:val="1"/>
      <w:numFmt w:val="bullet"/>
      <w:lvlText w:val=""/>
      <w:lvlJc w:val="left"/>
      <w:pPr>
        <w:tabs>
          <w:tab w:val="num" w:pos="2880"/>
        </w:tabs>
        <w:ind w:left="2880" w:hanging="360"/>
      </w:pPr>
      <w:rPr>
        <w:rFonts w:ascii="Symbol" w:hAnsi="Symbol" w:hint="default"/>
      </w:rPr>
    </w:lvl>
    <w:lvl w:ilvl="4" w:tplc="DE527D20" w:tentative="1">
      <w:start w:val="1"/>
      <w:numFmt w:val="bullet"/>
      <w:lvlText w:val="o"/>
      <w:lvlJc w:val="left"/>
      <w:pPr>
        <w:tabs>
          <w:tab w:val="num" w:pos="3600"/>
        </w:tabs>
        <w:ind w:left="3600" w:hanging="360"/>
      </w:pPr>
      <w:rPr>
        <w:rFonts w:ascii="Courier New" w:hAnsi="Courier New" w:hint="default"/>
      </w:rPr>
    </w:lvl>
    <w:lvl w:ilvl="5" w:tplc="BD5C2846" w:tentative="1">
      <w:start w:val="1"/>
      <w:numFmt w:val="bullet"/>
      <w:lvlText w:val=""/>
      <w:lvlJc w:val="left"/>
      <w:pPr>
        <w:tabs>
          <w:tab w:val="num" w:pos="4320"/>
        </w:tabs>
        <w:ind w:left="4320" w:hanging="360"/>
      </w:pPr>
      <w:rPr>
        <w:rFonts w:ascii="Wingdings" w:hAnsi="Wingdings" w:hint="default"/>
      </w:rPr>
    </w:lvl>
    <w:lvl w:ilvl="6" w:tplc="5930EA34" w:tentative="1">
      <w:start w:val="1"/>
      <w:numFmt w:val="bullet"/>
      <w:lvlText w:val=""/>
      <w:lvlJc w:val="left"/>
      <w:pPr>
        <w:tabs>
          <w:tab w:val="num" w:pos="5040"/>
        </w:tabs>
        <w:ind w:left="5040" w:hanging="360"/>
      </w:pPr>
      <w:rPr>
        <w:rFonts w:ascii="Symbol" w:hAnsi="Symbol" w:hint="default"/>
      </w:rPr>
    </w:lvl>
    <w:lvl w:ilvl="7" w:tplc="4C70B8F0" w:tentative="1">
      <w:start w:val="1"/>
      <w:numFmt w:val="bullet"/>
      <w:lvlText w:val="o"/>
      <w:lvlJc w:val="left"/>
      <w:pPr>
        <w:tabs>
          <w:tab w:val="num" w:pos="5760"/>
        </w:tabs>
        <w:ind w:left="5760" w:hanging="360"/>
      </w:pPr>
      <w:rPr>
        <w:rFonts w:ascii="Courier New" w:hAnsi="Courier New" w:hint="default"/>
      </w:rPr>
    </w:lvl>
    <w:lvl w:ilvl="8" w:tplc="46B88594"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2D4FB4"/>
    <w:multiLevelType w:val="multilevel"/>
    <w:tmpl w:val="DF6C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5"/>
  </w:num>
  <w:num w:numId="2">
    <w:abstractNumId w:val="4"/>
  </w:num>
  <w:num w:numId="3">
    <w:abstractNumId w:val="3"/>
  </w:num>
  <w:num w:numId="4">
    <w:abstractNumId w:val="2"/>
  </w:num>
  <w:num w:numId="5">
    <w:abstractNumId w:val="1"/>
  </w:num>
  <w:num w:numId="6">
    <w:abstractNumId w:val="0"/>
  </w:num>
  <w:num w:numId="7">
    <w:abstractNumId w:val="87"/>
  </w:num>
  <w:num w:numId="8">
    <w:abstractNumId w:val="7"/>
  </w:num>
  <w:num w:numId="9">
    <w:abstractNumId w:val="100"/>
  </w:num>
  <w:num w:numId="10">
    <w:abstractNumId w:val="108"/>
  </w:num>
  <w:num w:numId="11">
    <w:abstractNumId w:val="39"/>
  </w:num>
  <w:num w:numId="12">
    <w:abstractNumId w:val="128"/>
  </w:num>
  <w:num w:numId="13">
    <w:abstractNumId w:val="86"/>
  </w:num>
  <w:num w:numId="14">
    <w:abstractNumId w:val="55"/>
  </w:num>
  <w:num w:numId="15">
    <w:abstractNumId w:val="25"/>
  </w:num>
  <w:num w:numId="16">
    <w:abstractNumId w:val="70"/>
  </w:num>
  <w:num w:numId="17">
    <w:abstractNumId w:val="82"/>
  </w:num>
  <w:num w:numId="18">
    <w:abstractNumId w:val="94"/>
  </w:num>
  <w:num w:numId="19">
    <w:abstractNumId w:val="97"/>
  </w:num>
  <w:num w:numId="20">
    <w:abstractNumId w:val="42"/>
  </w:num>
  <w:num w:numId="21">
    <w:abstractNumId w:val="60"/>
  </w:num>
  <w:num w:numId="22">
    <w:abstractNumId w:val="41"/>
  </w:num>
  <w:num w:numId="23">
    <w:abstractNumId w:val="81"/>
  </w:num>
  <w:num w:numId="24">
    <w:abstractNumId w:val="75"/>
  </w:num>
  <w:num w:numId="25">
    <w:abstractNumId w:val="46"/>
  </w:num>
  <w:num w:numId="26">
    <w:abstractNumId w:val="101"/>
  </w:num>
  <w:num w:numId="27">
    <w:abstractNumId w:val="36"/>
  </w:num>
  <w:num w:numId="28">
    <w:abstractNumId w:val="26"/>
  </w:num>
  <w:num w:numId="29">
    <w:abstractNumId w:val="40"/>
  </w:num>
  <w:num w:numId="30">
    <w:abstractNumId w:val="33"/>
  </w:num>
  <w:num w:numId="31">
    <w:abstractNumId w:val="23"/>
  </w:num>
  <w:num w:numId="32">
    <w:abstractNumId w:val="88"/>
  </w:num>
  <w:num w:numId="33">
    <w:abstractNumId w:val="38"/>
  </w:num>
  <w:num w:numId="34">
    <w:abstractNumId w:val="13"/>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7"/>
  </w:num>
  <w:num w:numId="37">
    <w:abstractNumId w:val="79"/>
  </w:num>
  <w:num w:numId="38">
    <w:abstractNumId w:val="8"/>
  </w:num>
  <w:num w:numId="39">
    <w:abstractNumId w:val="59"/>
  </w:num>
  <w:num w:numId="40">
    <w:abstractNumId w:val="31"/>
  </w:num>
  <w:num w:numId="41">
    <w:abstractNumId w:val="66"/>
  </w:num>
  <w:num w:numId="42">
    <w:abstractNumId w:val="12"/>
  </w:num>
  <w:num w:numId="43">
    <w:abstractNumId w:val="62"/>
  </w:num>
  <w:num w:numId="44">
    <w:abstractNumId w:val="99"/>
  </w:num>
  <w:num w:numId="45">
    <w:abstractNumId w:val="43"/>
  </w:num>
  <w:num w:numId="46">
    <w:abstractNumId w:val="35"/>
  </w:num>
  <w:num w:numId="47">
    <w:abstractNumId w:val="18"/>
  </w:num>
  <w:num w:numId="48">
    <w:abstractNumId w:val="10"/>
  </w:num>
  <w:num w:numId="49">
    <w:abstractNumId w:val="54"/>
  </w:num>
  <w:num w:numId="50">
    <w:abstractNumId w:val="17"/>
  </w:num>
  <w:num w:numId="51">
    <w:abstractNumId w:val="110"/>
  </w:num>
  <w:num w:numId="52">
    <w:abstractNumId w:val="112"/>
  </w:num>
  <w:num w:numId="53">
    <w:abstractNumId w:val="125"/>
  </w:num>
  <w:num w:numId="54">
    <w:abstractNumId w:val="6"/>
  </w:num>
  <w:num w:numId="55">
    <w:abstractNumId w:val="30"/>
  </w:num>
  <w:num w:numId="56">
    <w:abstractNumId w:val="129"/>
  </w:num>
  <w:num w:numId="57">
    <w:abstractNumId w:val="124"/>
  </w:num>
  <w:num w:numId="58">
    <w:abstractNumId w:val="58"/>
  </w:num>
  <w:num w:numId="59">
    <w:abstractNumId w:val="91"/>
  </w:num>
  <w:num w:numId="60">
    <w:abstractNumId w:val="22"/>
  </w:num>
  <w:num w:numId="61">
    <w:abstractNumId w:val="19"/>
  </w:num>
  <w:num w:numId="62">
    <w:abstractNumId w:val="96"/>
  </w:num>
  <w:num w:numId="63">
    <w:abstractNumId w:val="37"/>
  </w:num>
  <w:num w:numId="64">
    <w:abstractNumId w:val="74"/>
  </w:num>
  <w:num w:numId="65">
    <w:abstractNumId w:val="84"/>
  </w:num>
  <w:num w:numId="66">
    <w:abstractNumId w:val="119"/>
  </w:num>
  <w:num w:numId="67">
    <w:abstractNumId w:val="90"/>
  </w:num>
  <w:num w:numId="68">
    <w:abstractNumId w:val="98"/>
  </w:num>
  <w:num w:numId="69">
    <w:abstractNumId w:val="106"/>
  </w:num>
  <w:num w:numId="70">
    <w:abstractNumId w:val="126"/>
  </w:num>
  <w:num w:numId="71">
    <w:abstractNumId w:val="116"/>
  </w:num>
  <w:num w:numId="72">
    <w:abstractNumId w:val="53"/>
  </w:num>
  <w:num w:numId="73">
    <w:abstractNumId w:val="34"/>
  </w:num>
  <w:num w:numId="74">
    <w:abstractNumId w:val="14"/>
  </w:num>
  <w:num w:numId="75">
    <w:abstractNumId w:val="64"/>
  </w:num>
  <w:num w:numId="76">
    <w:abstractNumId w:val="21"/>
  </w:num>
  <w:num w:numId="77">
    <w:abstractNumId w:val="11"/>
  </w:num>
  <w:num w:numId="78">
    <w:abstractNumId w:val="48"/>
  </w:num>
  <w:num w:numId="79">
    <w:abstractNumId w:val="92"/>
  </w:num>
  <w:num w:numId="80">
    <w:abstractNumId w:val="52"/>
  </w:num>
  <w:num w:numId="81">
    <w:abstractNumId w:val="76"/>
  </w:num>
  <w:num w:numId="82">
    <w:abstractNumId w:val="113"/>
  </w:num>
  <w:num w:numId="83">
    <w:abstractNumId w:val="104"/>
  </w:num>
  <w:num w:numId="84">
    <w:abstractNumId w:val="51"/>
  </w:num>
  <w:num w:numId="85">
    <w:abstractNumId w:val="5"/>
  </w:num>
  <w:num w:numId="86">
    <w:abstractNumId w:val="28"/>
  </w:num>
  <w:num w:numId="87">
    <w:abstractNumId w:val="77"/>
  </w:num>
  <w:num w:numId="88">
    <w:abstractNumId w:val="95"/>
  </w:num>
  <w:num w:numId="89">
    <w:abstractNumId w:val="121"/>
  </w:num>
  <w:num w:numId="90">
    <w:abstractNumId w:val="83"/>
  </w:num>
  <w:num w:numId="91">
    <w:abstractNumId w:val="16"/>
  </w:num>
  <w:num w:numId="92">
    <w:abstractNumId w:val="45"/>
  </w:num>
  <w:num w:numId="93">
    <w:abstractNumId w:val="29"/>
  </w:num>
  <w:num w:numId="94">
    <w:abstractNumId w:val="123"/>
  </w:num>
  <w:num w:numId="95">
    <w:abstractNumId w:val="117"/>
  </w:num>
  <w:num w:numId="96">
    <w:abstractNumId w:val="49"/>
  </w:num>
  <w:num w:numId="97">
    <w:abstractNumId w:val="72"/>
  </w:num>
  <w:num w:numId="98">
    <w:abstractNumId w:val="15"/>
  </w:num>
  <w:num w:numId="99">
    <w:abstractNumId w:val="44"/>
  </w:num>
  <w:num w:numId="100">
    <w:abstractNumId w:val="67"/>
  </w:num>
  <w:num w:numId="101">
    <w:abstractNumId w:val="85"/>
  </w:num>
  <w:num w:numId="102">
    <w:abstractNumId w:val="63"/>
  </w:num>
  <w:num w:numId="103">
    <w:abstractNumId w:val="89"/>
  </w:num>
  <w:num w:numId="104">
    <w:abstractNumId w:val="102"/>
  </w:num>
  <w:num w:numId="105">
    <w:abstractNumId w:val="120"/>
  </w:num>
  <w:num w:numId="106">
    <w:abstractNumId w:val="57"/>
  </w:num>
  <w:num w:numId="107">
    <w:abstractNumId w:val="32"/>
  </w:num>
  <w:num w:numId="108">
    <w:abstractNumId w:val="107"/>
  </w:num>
  <w:num w:numId="109">
    <w:abstractNumId w:val="20"/>
  </w:num>
  <w:num w:numId="110">
    <w:abstractNumId w:val="73"/>
  </w:num>
  <w:num w:numId="111">
    <w:abstractNumId w:val="24"/>
  </w:num>
  <w:num w:numId="112">
    <w:abstractNumId w:val="56"/>
  </w:num>
  <w:num w:numId="113">
    <w:abstractNumId w:val="68"/>
  </w:num>
  <w:num w:numId="114">
    <w:abstractNumId w:val="122"/>
  </w:num>
  <w:num w:numId="115">
    <w:abstractNumId w:val="109"/>
  </w:num>
  <w:num w:numId="116">
    <w:abstractNumId w:val="111"/>
  </w:num>
  <w:num w:numId="117">
    <w:abstractNumId w:val="61"/>
  </w:num>
  <w:num w:numId="118">
    <w:abstractNumId w:val="69"/>
  </w:num>
  <w:num w:numId="119">
    <w:abstractNumId w:val="114"/>
  </w:num>
  <w:num w:numId="120">
    <w:abstractNumId w:val="78"/>
  </w:num>
  <w:num w:numId="121">
    <w:abstractNumId w:val="71"/>
  </w:num>
  <w:num w:numId="122">
    <w:abstractNumId w:val="93"/>
  </w:num>
  <w:num w:numId="123">
    <w:abstractNumId w:val="65"/>
  </w:num>
  <w:num w:numId="124">
    <w:abstractNumId w:val="9"/>
  </w:num>
  <w:num w:numId="125">
    <w:abstractNumId w:val="27"/>
  </w:num>
  <w:num w:numId="126">
    <w:abstractNumId w:val="80"/>
  </w:num>
  <w:num w:numId="127">
    <w:abstractNumId w:val="118"/>
  </w:num>
  <w:num w:numId="128">
    <w:abstractNumId w:val="103"/>
  </w:num>
  <w:num w:numId="129">
    <w:abstractNumId w:val="47"/>
  </w:num>
  <w:num w:numId="130">
    <w:abstractNumId w:val="10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058"/>
    <w:rsid w:val="00004936"/>
    <w:rsid w:val="000075EA"/>
    <w:rsid w:val="0001795D"/>
    <w:rsid w:val="00023FE6"/>
    <w:rsid w:val="000261C3"/>
    <w:rsid w:val="0003243C"/>
    <w:rsid w:val="000324E6"/>
    <w:rsid w:val="00033184"/>
    <w:rsid w:val="00035008"/>
    <w:rsid w:val="00036F37"/>
    <w:rsid w:val="00042E94"/>
    <w:rsid w:val="00042EE6"/>
    <w:rsid w:val="000452AE"/>
    <w:rsid w:val="000475BD"/>
    <w:rsid w:val="00055646"/>
    <w:rsid w:val="00055F45"/>
    <w:rsid w:val="00061F7A"/>
    <w:rsid w:val="0006635C"/>
    <w:rsid w:val="00067F97"/>
    <w:rsid w:val="000711E2"/>
    <w:rsid w:val="00073212"/>
    <w:rsid w:val="00073611"/>
    <w:rsid w:val="00076AC7"/>
    <w:rsid w:val="0008150C"/>
    <w:rsid w:val="000827E6"/>
    <w:rsid w:val="00087CF0"/>
    <w:rsid w:val="0009440B"/>
    <w:rsid w:val="000A3769"/>
    <w:rsid w:val="000C109E"/>
    <w:rsid w:val="000C5B46"/>
    <w:rsid w:val="000C643A"/>
    <w:rsid w:val="000D053D"/>
    <w:rsid w:val="000D7EAD"/>
    <w:rsid w:val="000E2EEF"/>
    <w:rsid w:val="000E4736"/>
    <w:rsid w:val="000E72C0"/>
    <w:rsid w:val="000F1EA0"/>
    <w:rsid w:val="000F2755"/>
    <w:rsid w:val="000F2E52"/>
    <w:rsid w:val="00100858"/>
    <w:rsid w:val="00105AA2"/>
    <w:rsid w:val="0011593A"/>
    <w:rsid w:val="00115CBA"/>
    <w:rsid w:val="00130BC4"/>
    <w:rsid w:val="00131025"/>
    <w:rsid w:val="001339C6"/>
    <w:rsid w:val="00143581"/>
    <w:rsid w:val="00145477"/>
    <w:rsid w:val="0014585C"/>
    <w:rsid w:val="00145F73"/>
    <w:rsid w:val="00146806"/>
    <w:rsid w:val="001565D1"/>
    <w:rsid w:val="00160D7C"/>
    <w:rsid w:val="0016309B"/>
    <w:rsid w:val="00170F95"/>
    <w:rsid w:val="00180AD8"/>
    <w:rsid w:val="00184704"/>
    <w:rsid w:val="001902E8"/>
    <w:rsid w:val="00191579"/>
    <w:rsid w:val="00195D95"/>
    <w:rsid w:val="00196432"/>
    <w:rsid w:val="001979FA"/>
    <w:rsid w:val="001A4684"/>
    <w:rsid w:val="001A5803"/>
    <w:rsid w:val="001A72C9"/>
    <w:rsid w:val="001A73EA"/>
    <w:rsid w:val="001A75C6"/>
    <w:rsid w:val="001B2315"/>
    <w:rsid w:val="001B7BAD"/>
    <w:rsid w:val="001C6DB6"/>
    <w:rsid w:val="001C7449"/>
    <w:rsid w:val="001D0A00"/>
    <w:rsid w:val="001D2467"/>
    <w:rsid w:val="001D36B9"/>
    <w:rsid w:val="001D53E9"/>
    <w:rsid w:val="001D5E0D"/>
    <w:rsid w:val="001D66F0"/>
    <w:rsid w:val="001E3E37"/>
    <w:rsid w:val="001F0ECB"/>
    <w:rsid w:val="001F2FEE"/>
    <w:rsid w:val="00201E2C"/>
    <w:rsid w:val="00203089"/>
    <w:rsid w:val="0020615D"/>
    <w:rsid w:val="00211818"/>
    <w:rsid w:val="00211E68"/>
    <w:rsid w:val="002153F0"/>
    <w:rsid w:val="00216DC0"/>
    <w:rsid w:val="00217295"/>
    <w:rsid w:val="00226188"/>
    <w:rsid w:val="00230807"/>
    <w:rsid w:val="00232DFC"/>
    <w:rsid w:val="00233557"/>
    <w:rsid w:val="002341A7"/>
    <w:rsid w:val="002367F0"/>
    <w:rsid w:val="00241589"/>
    <w:rsid w:val="0024577D"/>
    <w:rsid w:val="00246505"/>
    <w:rsid w:val="002551C6"/>
    <w:rsid w:val="0025719B"/>
    <w:rsid w:val="002646FC"/>
    <w:rsid w:val="0027032E"/>
    <w:rsid w:val="00273BB2"/>
    <w:rsid w:val="00277E32"/>
    <w:rsid w:val="002813F1"/>
    <w:rsid w:val="0028175F"/>
    <w:rsid w:val="00292104"/>
    <w:rsid w:val="0029346E"/>
    <w:rsid w:val="00297C01"/>
    <w:rsid w:val="002A3AA7"/>
    <w:rsid w:val="002A5C47"/>
    <w:rsid w:val="002B1372"/>
    <w:rsid w:val="002B3181"/>
    <w:rsid w:val="002C122B"/>
    <w:rsid w:val="002C189B"/>
    <w:rsid w:val="002D1415"/>
    <w:rsid w:val="002D2762"/>
    <w:rsid w:val="002D278E"/>
    <w:rsid w:val="002D413C"/>
    <w:rsid w:val="002D4544"/>
    <w:rsid w:val="002D7647"/>
    <w:rsid w:val="002E249E"/>
    <w:rsid w:val="002F0BA2"/>
    <w:rsid w:val="002F6F13"/>
    <w:rsid w:val="00300EEA"/>
    <w:rsid w:val="003065C2"/>
    <w:rsid w:val="00307E79"/>
    <w:rsid w:val="003106E0"/>
    <w:rsid w:val="00311A27"/>
    <w:rsid w:val="00314D26"/>
    <w:rsid w:val="00315227"/>
    <w:rsid w:val="00321985"/>
    <w:rsid w:val="0034100A"/>
    <w:rsid w:val="00341854"/>
    <w:rsid w:val="00343CF3"/>
    <w:rsid w:val="003463D9"/>
    <w:rsid w:val="00347348"/>
    <w:rsid w:val="00350058"/>
    <w:rsid w:val="003521E7"/>
    <w:rsid w:val="00361533"/>
    <w:rsid w:val="00361F74"/>
    <w:rsid w:val="00366367"/>
    <w:rsid w:val="0037068F"/>
    <w:rsid w:val="00374832"/>
    <w:rsid w:val="00376344"/>
    <w:rsid w:val="003769C9"/>
    <w:rsid w:val="00381D5B"/>
    <w:rsid w:val="00381E69"/>
    <w:rsid w:val="00382338"/>
    <w:rsid w:val="0038516E"/>
    <w:rsid w:val="00386223"/>
    <w:rsid w:val="003921A7"/>
    <w:rsid w:val="0039430E"/>
    <w:rsid w:val="003963DC"/>
    <w:rsid w:val="00396971"/>
    <w:rsid w:val="00397ED2"/>
    <w:rsid w:val="003A1EE7"/>
    <w:rsid w:val="003B2571"/>
    <w:rsid w:val="003B4C82"/>
    <w:rsid w:val="003B561B"/>
    <w:rsid w:val="003B65B9"/>
    <w:rsid w:val="003C6987"/>
    <w:rsid w:val="003D0C5D"/>
    <w:rsid w:val="003D1A37"/>
    <w:rsid w:val="003D35A3"/>
    <w:rsid w:val="003D49DA"/>
    <w:rsid w:val="003D4BA7"/>
    <w:rsid w:val="003E1E78"/>
    <w:rsid w:val="003E2433"/>
    <w:rsid w:val="003E247C"/>
    <w:rsid w:val="003E350B"/>
    <w:rsid w:val="003E44AF"/>
    <w:rsid w:val="003E5F08"/>
    <w:rsid w:val="003F19CF"/>
    <w:rsid w:val="00400A52"/>
    <w:rsid w:val="00410A68"/>
    <w:rsid w:val="00416672"/>
    <w:rsid w:val="0041784A"/>
    <w:rsid w:val="00423C1C"/>
    <w:rsid w:val="0042507C"/>
    <w:rsid w:val="00426177"/>
    <w:rsid w:val="00435B42"/>
    <w:rsid w:val="00437DB7"/>
    <w:rsid w:val="00441BEE"/>
    <w:rsid w:val="00447D9C"/>
    <w:rsid w:val="00450379"/>
    <w:rsid w:val="004512FA"/>
    <w:rsid w:val="00454845"/>
    <w:rsid w:val="004609D6"/>
    <w:rsid w:val="004673D4"/>
    <w:rsid w:val="00472385"/>
    <w:rsid w:val="00481741"/>
    <w:rsid w:val="004879DB"/>
    <w:rsid w:val="00491440"/>
    <w:rsid w:val="00494EB8"/>
    <w:rsid w:val="004962D9"/>
    <w:rsid w:val="00497D1D"/>
    <w:rsid w:val="004A73AC"/>
    <w:rsid w:val="004A7A33"/>
    <w:rsid w:val="004A7D1A"/>
    <w:rsid w:val="004B15A2"/>
    <w:rsid w:val="004B462D"/>
    <w:rsid w:val="004B7C6A"/>
    <w:rsid w:val="004C47CA"/>
    <w:rsid w:val="004C5E54"/>
    <w:rsid w:val="004D12C0"/>
    <w:rsid w:val="004D1407"/>
    <w:rsid w:val="004D2ACE"/>
    <w:rsid w:val="004D2B7D"/>
    <w:rsid w:val="004F449B"/>
    <w:rsid w:val="004F452E"/>
    <w:rsid w:val="004F7AD8"/>
    <w:rsid w:val="00505C31"/>
    <w:rsid w:val="00505FDD"/>
    <w:rsid w:val="00506881"/>
    <w:rsid w:val="005117B1"/>
    <w:rsid w:val="00513026"/>
    <w:rsid w:val="0052519C"/>
    <w:rsid w:val="00541118"/>
    <w:rsid w:val="00543B37"/>
    <w:rsid w:val="00545B86"/>
    <w:rsid w:val="00546F60"/>
    <w:rsid w:val="00547369"/>
    <w:rsid w:val="00552B68"/>
    <w:rsid w:val="00560475"/>
    <w:rsid w:val="00561B22"/>
    <w:rsid w:val="00564676"/>
    <w:rsid w:val="00570F8C"/>
    <w:rsid w:val="00572036"/>
    <w:rsid w:val="0057387A"/>
    <w:rsid w:val="005800E4"/>
    <w:rsid w:val="00585E46"/>
    <w:rsid w:val="00591E52"/>
    <w:rsid w:val="00594C10"/>
    <w:rsid w:val="00597CEF"/>
    <w:rsid w:val="005A412D"/>
    <w:rsid w:val="005A7FF5"/>
    <w:rsid w:val="005B42E8"/>
    <w:rsid w:val="005C4F76"/>
    <w:rsid w:val="005D13DC"/>
    <w:rsid w:val="005D1736"/>
    <w:rsid w:val="005D4809"/>
    <w:rsid w:val="005E2EA0"/>
    <w:rsid w:val="005E5F3C"/>
    <w:rsid w:val="005E6A7B"/>
    <w:rsid w:val="005F0936"/>
    <w:rsid w:val="005F0B8C"/>
    <w:rsid w:val="005F10D6"/>
    <w:rsid w:val="005F6CF8"/>
    <w:rsid w:val="005F6EEE"/>
    <w:rsid w:val="0060106D"/>
    <w:rsid w:val="00601309"/>
    <w:rsid w:val="006031ED"/>
    <w:rsid w:val="00603CB9"/>
    <w:rsid w:val="0060662B"/>
    <w:rsid w:val="00623F62"/>
    <w:rsid w:val="00624331"/>
    <w:rsid w:val="006253E8"/>
    <w:rsid w:val="0063799A"/>
    <w:rsid w:val="00641A8F"/>
    <w:rsid w:val="00643B85"/>
    <w:rsid w:val="00651FA3"/>
    <w:rsid w:val="00653F28"/>
    <w:rsid w:val="00655B28"/>
    <w:rsid w:val="006565EC"/>
    <w:rsid w:val="006621BE"/>
    <w:rsid w:val="00663C3A"/>
    <w:rsid w:val="00683308"/>
    <w:rsid w:val="00692EEF"/>
    <w:rsid w:val="00693758"/>
    <w:rsid w:val="006A3015"/>
    <w:rsid w:val="006A4356"/>
    <w:rsid w:val="006B1520"/>
    <w:rsid w:val="006B59B0"/>
    <w:rsid w:val="006B5E9C"/>
    <w:rsid w:val="006C0573"/>
    <w:rsid w:val="006C10D2"/>
    <w:rsid w:val="006C719C"/>
    <w:rsid w:val="006C7EB1"/>
    <w:rsid w:val="006D1092"/>
    <w:rsid w:val="006D1638"/>
    <w:rsid w:val="006D707A"/>
    <w:rsid w:val="006E2952"/>
    <w:rsid w:val="006F1739"/>
    <w:rsid w:val="006F5393"/>
    <w:rsid w:val="006F5634"/>
    <w:rsid w:val="00701886"/>
    <w:rsid w:val="0070350B"/>
    <w:rsid w:val="007064C9"/>
    <w:rsid w:val="00706E90"/>
    <w:rsid w:val="00706F89"/>
    <w:rsid w:val="00714793"/>
    <w:rsid w:val="00717C84"/>
    <w:rsid w:val="0072080E"/>
    <w:rsid w:val="007221CB"/>
    <w:rsid w:val="00726DE7"/>
    <w:rsid w:val="007370E0"/>
    <w:rsid w:val="00737C0A"/>
    <w:rsid w:val="00740414"/>
    <w:rsid w:val="007511A8"/>
    <w:rsid w:val="00763E36"/>
    <w:rsid w:val="00770CAC"/>
    <w:rsid w:val="007803BE"/>
    <w:rsid w:val="00786D7A"/>
    <w:rsid w:val="00787CE8"/>
    <w:rsid w:val="00790532"/>
    <w:rsid w:val="00795815"/>
    <w:rsid w:val="00797517"/>
    <w:rsid w:val="007B0828"/>
    <w:rsid w:val="007B2606"/>
    <w:rsid w:val="007B2C75"/>
    <w:rsid w:val="007B33CB"/>
    <w:rsid w:val="007C4745"/>
    <w:rsid w:val="007C66AB"/>
    <w:rsid w:val="007C77A7"/>
    <w:rsid w:val="007D517D"/>
    <w:rsid w:val="007E2F9F"/>
    <w:rsid w:val="007E7636"/>
    <w:rsid w:val="007F1543"/>
    <w:rsid w:val="007F3F1A"/>
    <w:rsid w:val="007F4423"/>
    <w:rsid w:val="007F75A7"/>
    <w:rsid w:val="00800550"/>
    <w:rsid w:val="00800769"/>
    <w:rsid w:val="008045C7"/>
    <w:rsid w:val="00810649"/>
    <w:rsid w:val="0082075A"/>
    <w:rsid w:val="00824BD8"/>
    <w:rsid w:val="00824C54"/>
    <w:rsid w:val="00830F51"/>
    <w:rsid w:val="008442E5"/>
    <w:rsid w:val="00844659"/>
    <w:rsid w:val="0084528A"/>
    <w:rsid w:val="00847EFC"/>
    <w:rsid w:val="008576BC"/>
    <w:rsid w:val="00860EB8"/>
    <w:rsid w:val="008625DE"/>
    <w:rsid w:val="0086451D"/>
    <w:rsid w:val="0086588C"/>
    <w:rsid w:val="0087160D"/>
    <w:rsid w:val="008736FB"/>
    <w:rsid w:val="00882502"/>
    <w:rsid w:val="00886603"/>
    <w:rsid w:val="00891565"/>
    <w:rsid w:val="00893E2E"/>
    <w:rsid w:val="00896B57"/>
    <w:rsid w:val="008972CA"/>
    <w:rsid w:val="008A00EF"/>
    <w:rsid w:val="008A3AF8"/>
    <w:rsid w:val="008A43C3"/>
    <w:rsid w:val="008B262D"/>
    <w:rsid w:val="008B4F7F"/>
    <w:rsid w:val="008B5477"/>
    <w:rsid w:val="008C3428"/>
    <w:rsid w:val="008D05A2"/>
    <w:rsid w:val="008D1292"/>
    <w:rsid w:val="008D289C"/>
    <w:rsid w:val="008D792B"/>
    <w:rsid w:val="008E13EC"/>
    <w:rsid w:val="008E2438"/>
    <w:rsid w:val="008E452E"/>
    <w:rsid w:val="008F0541"/>
    <w:rsid w:val="008F22A4"/>
    <w:rsid w:val="008F22E5"/>
    <w:rsid w:val="008F2B0A"/>
    <w:rsid w:val="008F34F7"/>
    <w:rsid w:val="008F729C"/>
    <w:rsid w:val="009015CE"/>
    <w:rsid w:val="00902431"/>
    <w:rsid w:val="00912E16"/>
    <w:rsid w:val="0091630A"/>
    <w:rsid w:val="00924231"/>
    <w:rsid w:val="00924F66"/>
    <w:rsid w:val="00925244"/>
    <w:rsid w:val="00925DCE"/>
    <w:rsid w:val="00927B5D"/>
    <w:rsid w:val="00931C9C"/>
    <w:rsid w:val="00931DAF"/>
    <w:rsid w:val="00933AEF"/>
    <w:rsid w:val="00936E33"/>
    <w:rsid w:val="00941342"/>
    <w:rsid w:val="0094456E"/>
    <w:rsid w:val="009504F0"/>
    <w:rsid w:val="00951330"/>
    <w:rsid w:val="009513C3"/>
    <w:rsid w:val="009525D5"/>
    <w:rsid w:val="00955F4A"/>
    <w:rsid w:val="009613ED"/>
    <w:rsid w:val="0096393E"/>
    <w:rsid w:val="00967556"/>
    <w:rsid w:val="009701B2"/>
    <w:rsid w:val="009703C4"/>
    <w:rsid w:val="00976F59"/>
    <w:rsid w:val="009808DC"/>
    <w:rsid w:val="009814FD"/>
    <w:rsid w:val="00981FE2"/>
    <w:rsid w:val="00982706"/>
    <w:rsid w:val="009907C6"/>
    <w:rsid w:val="009928EA"/>
    <w:rsid w:val="009932EE"/>
    <w:rsid w:val="009A16A4"/>
    <w:rsid w:val="009A2A98"/>
    <w:rsid w:val="009A30A5"/>
    <w:rsid w:val="009B4788"/>
    <w:rsid w:val="009B628D"/>
    <w:rsid w:val="009B735C"/>
    <w:rsid w:val="009C046C"/>
    <w:rsid w:val="009C33A5"/>
    <w:rsid w:val="009C7521"/>
    <w:rsid w:val="009D1B47"/>
    <w:rsid w:val="009D2312"/>
    <w:rsid w:val="009E0DB4"/>
    <w:rsid w:val="009F2F50"/>
    <w:rsid w:val="009F5FA7"/>
    <w:rsid w:val="009F66B6"/>
    <w:rsid w:val="00A03CB3"/>
    <w:rsid w:val="00A1030E"/>
    <w:rsid w:val="00A1043B"/>
    <w:rsid w:val="00A12E27"/>
    <w:rsid w:val="00A17444"/>
    <w:rsid w:val="00A205B8"/>
    <w:rsid w:val="00A26438"/>
    <w:rsid w:val="00A40300"/>
    <w:rsid w:val="00A54267"/>
    <w:rsid w:val="00A5515A"/>
    <w:rsid w:val="00A56BE6"/>
    <w:rsid w:val="00A61FCA"/>
    <w:rsid w:val="00A651D7"/>
    <w:rsid w:val="00A73FB9"/>
    <w:rsid w:val="00A7741B"/>
    <w:rsid w:val="00A80DF4"/>
    <w:rsid w:val="00A83CC2"/>
    <w:rsid w:val="00A84C41"/>
    <w:rsid w:val="00A84F8B"/>
    <w:rsid w:val="00A85772"/>
    <w:rsid w:val="00A937B7"/>
    <w:rsid w:val="00A979F6"/>
    <w:rsid w:val="00AA1850"/>
    <w:rsid w:val="00AA3E38"/>
    <w:rsid w:val="00AA79B6"/>
    <w:rsid w:val="00AB5A11"/>
    <w:rsid w:val="00AB743B"/>
    <w:rsid w:val="00AC18DB"/>
    <w:rsid w:val="00AC3307"/>
    <w:rsid w:val="00AD023F"/>
    <w:rsid w:val="00AD1B3F"/>
    <w:rsid w:val="00AD548A"/>
    <w:rsid w:val="00AD7546"/>
    <w:rsid w:val="00AE2872"/>
    <w:rsid w:val="00AE3935"/>
    <w:rsid w:val="00AE3BDD"/>
    <w:rsid w:val="00AE4591"/>
    <w:rsid w:val="00AE493C"/>
    <w:rsid w:val="00AE7620"/>
    <w:rsid w:val="00AE77EB"/>
    <w:rsid w:val="00AF2291"/>
    <w:rsid w:val="00AF557C"/>
    <w:rsid w:val="00B00569"/>
    <w:rsid w:val="00B026AD"/>
    <w:rsid w:val="00B02760"/>
    <w:rsid w:val="00B0628E"/>
    <w:rsid w:val="00B11CDB"/>
    <w:rsid w:val="00B124EB"/>
    <w:rsid w:val="00B237EA"/>
    <w:rsid w:val="00B32007"/>
    <w:rsid w:val="00B351D8"/>
    <w:rsid w:val="00B363F9"/>
    <w:rsid w:val="00B36990"/>
    <w:rsid w:val="00B37432"/>
    <w:rsid w:val="00B442E9"/>
    <w:rsid w:val="00B7112E"/>
    <w:rsid w:val="00B82B4F"/>
    <w:rsid w:val="00B86482"/>
    <w:rsid w:val="00B9009D"/>
    <w:rsid w:val="00B901ED"/>
    <w:rsid w:val="00BA11C1"/>
    <w:rsid w:val="00BA4F84"/>
    <w:rsid w:val="00BB3865"/>
    <w:rsid w:val="00BB60C6"/>
    <w:rsid w:val="00BD3B16"/>
    <w:rsid w:val="00BD3BD6"/>
    <w:rsid w:val="00BD6EEF"/>
    <w:rsid w:val="00BD79A5"/>
    <w:rsid w:val="00BE7C02"/>
    <w:rsid w:val="00BF216F"/>
    <w:rsid w:val="00BF4625"/>
    <w:rsid w:val="00BF4BE4"/>
    <w:rsid w:val="00BF521A"/>
    <w:rsid w:val="00C02945"/>
    <w:rsid w:val="00C0385A"/>
    <w:rsid w:val="00C04CB7"/>
    <w:rsid w:val="00C11220"/>
    <w:rsid w:val="00C17E6E"/>
    <w:rsid w:val="00C2076E"/>
    <w:rsid w:val="00C314DC"/>
    <w:rsid w:val="00C35E07"/>
    <w:rsid w:val="00C4146F"/>
    <w:rsid w:val="00C45424"/>
    <w:rsid w:val="00C4638E"/>
    <w:rsid w:val="00C51E36"/>
    <w:rsid w:val="00C53DD4"/>
    <w:rsid w:val="00C72507"/>
    <w:rsid w:val="00C82643"/>
    <w:rsid w:val="00C83273"/>
    <w:rsid w:val="00C8442B"/>
    <w:rsid w:val="00C84ABF"/>
    <w:rsid w:val="00C878E1"/>
    <w:rsid w:val="00C95525"/>
    <w:rsid w:val="00C97D4D"/>
    <w:rsid w:val="00CA0CCE"/>
    <w:rsid w:val="00CA1B37"/>
    <w:rsid w:val="00CA1D10"/>
    <w:rsid w:val="00CA23B3"/>
    <w:rsid w:val="00CB6055"/>
    <w:rsid w:val="00CC3308"/>
    <w:rsid w:val="00CD7FC8"/>
    <w:rsid w:val="00CE0320"/>
    <w:rsid w:val="00CE3619"/>
    <w:rsid w:val="00CE5F4E"/>
    <w:rsid w:val="00D1022D"/>
    <w:rsid w:val="00D102CF"/>
    <w:rsid w:val="00D108E0"/>
    <w:rsid w:val="00D11FA3"/>
    <w:rsid w:val="00D13B42"/>
    <w:rsid w:val="00D17DAB"/>
    <w:rsid w:val="00D2170E"/>
    <w:rsid w:val="00D22EFC"/>
    <w:rsid w:val="00D30401"/>
    <w:rsid w:val="00D30432"/>
    <w:rsid w:val="00D32D30"/>
    <w:rsid w:val="00D3581C"/>
    <w:rsid w:val="00D4386F"/>
    <w:rsid w:val="00D4665C"/>
    <w:rsid w:val="00D54D94"/>
    <w:rsid w:val="00D61D90"/>
    <w:rsid w:val="00D66458"/>
    <w:rsid w:val="00D74C48"/>
    <w:rsid w:val="00D767BA"/>
    <w:rsid w:val="00D847EA"/>
    <w:rsid w:val="00D926CD"/>
    <w:rsid w:val="00D9592D"/>
    <w:rsid w:val="00D96A90"/>
    <w:rsid w:val="00D97FE1"/>
    <w:rsid w:val="00DB0C5D"/>
    <w:rsid w:val="00DB1D8F"/>
    <w:rsid w:val="00DB283F"/>
    <w:rsid w:val="00DB2CD5"/>
    <w:rsid w:val="00DC0BF8"/>
    <w:rsid w:val="00DC15CB"/>
    <w:rsid w:val="00DC2CD7"/>
    <w:rsid w:val="00DC709C"/>
    <w:rsid w:val="00DD3FA5"/>
    <w:rsid w:val="00DD7119"/>
    <w:rsid w:val="00DE218D"/>
    <w:rsid w:val="00DE5C48"/>
    <w:rsid w:val="00DE6277"/>
    <w:rsid w:val="00DF24BB"/>
    <w:rsid w:val="00E0149D"/>
    <w:rsid w:val="00E02D6B"/>
    <w:rsid w:val="00E04CFE"/>
    <w:rsid w:val="00E056D9"/>
    <w:rsid w:val="00E12CB6"/>
    <w:rsid w:val="00E1597A"/>
    <w:rsid w:val="00E232C9"/>
    <w:rsid w:val="00E30CE1"/>
    <w:rsid w:val="00E328AC"/>
    <w:rsid w:val="00E37B6C"/>
    <w:rsid w:val="00E41332"/>
    <w:rsid w:val="00E46C0A"/>
    <w:rsid w:val="00E46D17"/>
    <w:rsid w:val="00E52746"/>
    <w:rsid w:val="00E613DE"/>
    <w:rsid w:val="00E6244E"/>
    <w:rsid w:val="00E634E6"/>
    <w:rsid w:val="00E6556C"/>
    <w:rsid w:val="00E663C4"/>
    <w:rsid w:val="00E66DB0"/>
    <w:rsid w:val="00E73FD6"/>
    <w:rsid w:val="00E753D6"/>
    <w:rsid w:val="00E7697E"/>
    <w:rsid w:val="00E80EF4"/>
    <w:rsid w:val="00E8367C"/>
    <w:rsid w:val="00E86E30"/>
    <w:rsid w:val="00E903CB"/>
    <w:rsid w:val="00E91AFF"/>
    <w:rsid w:val="00E95331"/>
    <w:rsid w:val="00E97A96"/>
    <w:rsid w:val="00EB07DD"/>
    <w:rsid w:val="00EB7DEC"/>
    <w:rsid w:val="00EC0C8C"/>
    <w:rsid w:val="00EC7033"/>
    <w:rsid w:val="00EE0D80"/>
    <w:rsid w:val="00EF03F8"/>
    <w:rsid w:val="00EF4493"/>
    <w:rsid w:val="00F020A3"/>
    <w:rsid w:val="00F047AB"/>
    <w:rsid w:val="00F06476"/>
    <w:rsid w:val="00F12F99"/>
    <w:rsid w:val="00F15082"/>
    <w:rsid w:val="00F22060"/>
    <w:rsid w:val="00F23AE1"/>
    <w:rsid w:val="00F27EF7"/>
    <w:rsid w:val="00F31F03"/>
    <w:rsid w:val="00F37A4F"/>
    <w:rsid w:val="00F40451"/>
    <w:rsid w:val="00F42BF4"/>
    <w:rsid w:val="00F44E68"/>
    <w:rsid w:val="00F52F50"/>
    <w:rsid w:val="00F6104B"/>
    <w:rsid w:val="00F62DB3"/>
    <w:rsid w:val="00F6385B"/>
    <w:rsid w:val="00F63D26"/>
    <w:rsid w:val="00F65172"/>
    <w:rsid w:val="00F676C2"/>
    <w:rsid w:val="00F70069"/>
    <w:rsid w:val="00F7225E"/>
    <w:rsid w:val="00F74E45"/>
    <w:rsid w:val="00F75018"/>
    <w:rsid w:val="00F75DB7"/>
    <w:rsid w:val="00F77BBC"/>
    <w:rsid w:val="00F80B8C"/>
    <w:rsid w:val="00F82D40"/>
    <w:rsid w:val="00F83170"/>
    <w:rsid w:val="00F91417"/>
    <w:rsid w:val="00F928CD"/>
    <w:rsid w:val="00FA3824"/>
    <w:rsid w:val="00FA725A"/>
    <w:rsid w:val="00FB019C"/>
    <w:rsid w:val="00FC3FCB"/>
    <w:rsid w:val="00FC4C2B"/>
    <w:rsid w:val="00FC6939"/>
    <w:rsid w:val="00FD4F01"/>
    <w:rsid w:val="00FE2C5F"/>
    <w:rsid w:val="00FE4FB2"/>
    <w:rsid w:val="00FE72B0"/>
    <w:rsid w:val="00FF01AE"/>
    <w:rsid w:val="00FF4BBF"/>
    <w:rsid w:val="00FF6F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A463"/>
  <w15:chartTrackingRefBased/>
  <w15:docId w15:val="{F0E3FD57-7703-48F3-BF49-B389BCBF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5C48"/>
    <w:pPr>
      <w:widowControl w:val="0"/>
      <w:autoSpaceDE w:val="0"/>
      <w:autoSpaceDN w:val="0"/>
      <w:spacing w:after="0" w:line="240" w:lineRule="auto"/>
    </w:pPr>
    <w:rPr>
      <w:rFonts w:ascii="Verdana" w:eastAsia="Verdana" w:hAnsi="Verdana" w:cs="Verdana"/>
      <w:lang w:val="es-ES"/>
    </w:rPr>
  </w:style>
  <w:style w:type="paragraph" w:styleId="Ttulo1">
    <w:name w:val="heading 1"/>
    <w:aliases w:val="CGR1,CAPÍTULO 1 - Formato Título 1,Letra verdana 22"/>
    <w:basedOn w:val="Normal"/>
    <w:link w:val="Ttulo1Car"/>
    <w:uiPriority w:val="1"/>
    <w:qFormat/>
    <w:rsid w:val="00DE5C48"/>
    <w:pPr>
      <w:spacing w:before="30"/>
      <w:ind w:right="113"/>
      <w:jc w:val="right"/>
      <w:outlineLvl w:val="0"/>
    </w:pPr>
    <w:rPr>
      <w:rFonts w:ascii="Arial" w:eastAsia="Arial" w:hAnsi="Arial" w:cs="Arial"/>
      <w:b/>
      <w:bCs/>
      <w:sz w:val="60"/>
      <w:szCs w:val="60"/>
    </w:rPr>
  </w:style>
  <w:style w:type="paragraph" w:styleId="Ttulo2">
    <w:name w:val="heading 2"/>
    <w:aliases w:val="CGR,2,Título 2 + Franklin Gothic Book + Negrita"/>
    <w:basedOn w:val="Normal"/>
    <w:link w:val="Ttulo2Car"/>
    <w:uiPriority w:val="9"/>
    <w:qFormat/>
    <w:rsid w:val="00DE5C48"/>
    <w:pPr>
      <w:spacing w:line="435" w:lineRule="exact"/>
      <w:ind w:left="1647"/>
      <w:outlineLvl w:val="1"/>
    </w:pPr>
    <w:rPr>
      <w:b/>
      <w:bCs/>
      <w:sz w:val="36"/>
      <w:szCs w:val="36"/>
    </w:rPr>
  </w:style>
  <w:style w:type="paragraph" w:styleId="Ttulo3">
    <w:name w:val="heading 3"/>
    <w:basedOn w:val="Normal"/>
    <w:link w:val="Ttulo3Car"/>
    <w:uiPriority w:val="9"/>
    <w:qFormat/>
    <w:rsid w:val="00DE5C48"/>
    <w:pPr>
      <w:ind w:left="1647"/>
      <w:outlineLvl w:val="2"/>
    </w:pPr>
    <w:rPr>
      <w:b/>
      <w:bCs/>
      <w:sz w:val="28"/>
      <w:szCs w:val="28"/>
    </w:rPr>
  </w:style>
  <w:style w:type="paragraph" w:styleId="Ttulo4">
    <w:name w:val="heading 4"/>
    <w:basedOn w:val="Normal"/>
    <w:link w:val="Ttulo4Car"/>
    <w:uiPriority w:val="9"/>
    <w:qFormat/>
    <w:rsid w:val="00DE5C48"/>
    <w:pPr>
      <w:ind w:left="1850" w:hanging="503"/>
      <w:outlineLvl w:val="3"/>
    </w:pPr>
    <w:rPr>
      <w:b/>
      <w:bCs/>
      <w:sz w:val="24"/>
      <w:szCs w:val="24"/>
    </w:rPr>
  </w:style>
  <w:style w:type="paragraph" w:styleId="Ttulo5">
    <w:name w:val="heading 5"/>
    <w:basedOn w:val="Normal"/>
    <w:link w:val="Ttulo5Car"/>
    <w:uiPriority w:val="9"/>
    <w:qFormat/>
    <w:rsid w:val="00DE5C48"/>
    <w:pPr>
      <w:ind w:left="1807" w:hanging="460"/>
      <w:outlineLvl w:val="4"/>
    </w:pPr>
    <w:rPr>
      <w:b/>
      <w:bCs/>
    </w:rPr>
  </w:style>
  <w:style w:type="paragraph" w:styleId="Ttulo6">
    <w:name w:val="heading 6"/>
    <w:basedOn w:val="Normal"/>
    <w:next w:val="Normal"/>
    <w:link w:val="Ttulo6Car"/>
    <w:unhideWhenUsed/>
    <w:qFormat/>
    <w:rsid w:val="00DE5C48"/>
    <w:pPr>
      <w:keepNext/>
      <w:keepLines/>
      <w:widowControl/>
      <w:autoSpaceDE/>
      <w:autoSpaceDN/>
      <w:spacing w:before="200" w:line="259" w:lineRule="auto"/>
      <w:ind w:left="1152" w:hanging="1152"/>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unhideWhenUsed/>
    <w:qFormat/>
    <w:rsid w:val="00DE5C48"/>
    <w:pPr>
      <w:keepNext/>
      <w:keepLines/>
      <w:widowControl/>
      <w:autoSpaceDE/>
      <w:autoSpaceDN/>
      <w:spacing w:before="200" w:line="259" w:lineRule="auto"/>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E5C48"/>
    <w:pPr>
      <w:keepNext/>
      <w:keepLines/>
      <w:widowControl/>
      <w:autoSpaceDE/>
      <w:autoSpaceDN/>
      <w:spacing w:before="20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aliases w:val="Hallazgo No."/>
    <w:basedOn w:val="Normal"/>
    <w:next w:val="Normal"/>
    <w:link w:val="Ttulo9Car"/>
    <w:uiPriority w:val="9"/>
    <w:unhideWhenUsed/>
    <w:qFormat/>
    <w:rsid w:val="00DE5C48"/>
    <w:pPr>
      <w:keepNext/>
      <w:keepLines/>
      <w:widowControl/>
      <w:autoSpaceDE/>
      <w:autoSpaceDN/>
      <w:spacing w:before="20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350058"/>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350058"/>
  </w:style>
  <w:style w:type="paragraph" w:styleId="Piedepgina">
    <w:name w:val="footer"/>
    <w:basedOn w:val="Normal"/>
    <w:link w:val="PiedepginaCar"/>
    <w:uiPriority w:val="99"/>
    <w:unhideWhenUsed/>
    <w:rsid w:val="00350058"/>
    <w:pPr>
      <w:tabs>
        <w:tab w:val="center" w:pos="4419"/>
        <w:tab w:val="right" w:pos="8838"/>
      </w:tabs>
    </w:pPr>
  </w:style>
  <w:style w:type="character" w:customStyle="1" w:styleId="PiedepginaCar">
    <w:name w:val="Pie de página Car"/>
    <w:basedOn w:val="Fuentedeprrafopredeter"/>
    <w:link w:val="Piedepgina"/>
    <w:uiPriority w:val="99"/>
    <w:rsid w:val="00350058"/>
  </w:style>
  <w:style w:type="character" w:customStyle="1" w:styleId="Ttulo1Car">
    <w:name w:val="Título 1 Car"/>
    <w:aliases w:val="CGR1 Car1,CAPÍTULO 1 - Formato Título 1 Car,Letra verdana 22 Car"/>
    <w:basedOn w:val="Fuentedeprrafopredeter"/>
    <w:link w:val="Ttulo1"/>
    <w:uiPriority w:val="1"/>
    <w:rsid w:val="00DE5C48"/>
    <w:rPr>
      <w:rFonts w:ascii="Arial" w:eastAsia="Arial" w:hAnsi="Arial" w:cs="Arial"/>
      <w:b/>
      <w:bCs/>
      <w:sz w:val="60"/>
      <w:szCs w:val="60"/>
      <w:lang w:val="es-ES"/>
    </w:rPr>
  </w:style>
  <w:style w:type="character" w:customStyle="1" w:styleId="Ttulo2Car">
    <w:name w:val="Título 2 Car"/>
    <w:aliases w:val="CGR Car1,2 Car1,Título 2 + Franklin Gothic Book + Negrita Car1"/>
    <w:basedOn w:val="Fuentedeprrafopredeter"/>
    <w:link w:val="Ttulo2"/>
    <w:uiPriority w:val="9"/>
    <w:rsid w:val="00DE5C48"/>
    <w:rPr>
      <w:rFonts w:ascii="Verdana" w:eastAsia="Verdana" w:hAnsi="Verdana" w:cs="Verdana"/>
      <w:b/>
      <w:bCs/>
      <w:sz w:val="36"/>
      <w:szCs w:val="36"/>
      <w:lang w:val="es-ES"/>
    </w:rPr>
  </w:style>
  <w:style w:type="character" w:customStyle="1" w:styleId="Ttulo3Car">
    <w:name w:val="Título 3 Car"/>
    <w:basedOn w:val="Fuentedeprrafopredeter"/>
    <w:link w:val="Ttulo3"/>
    <w:uiPriority w:val="9"/>
    <w:rsid w:val="00DE5C48"/>
    <w:rPr>
      <w:rFonts w:ascii="Verdana" w:eastAsia="Verdana" w:hAnsi="Verdana" w:cs="Verdana"/>
      <w:b/>
      <w:bCs/>
      <w:sz w:val="28"/>
      <w:szCs w:val="28"/>
      <w:lang w:val="es-ES"/>
    </w:rPr>
  </w:style>
  <w:style w:type="character" w:customStyle="1" w:styleId="Ttulo4Car">
    <w:name w:val="Título 4 Car"/>
    <w:basedOn w:val="Fuentedeprrafopredeter"/>
    <w:link w:val="Ttulo4"/>
    <w:uiPriority w:val="9"/>
    <w:rsid w:val="00DE5C48"/>
    <w:rPr>
      <w:rFonts w:ascii="Verdana" w:eastAsia="Verdana" w:hAnsi="Verdana" w:cs="Verdana"/>
      <w:b/>
      <w:bCs/>
      <w:sz w:val="24"/>
      <w:szCs w:val="24"/>
      <w:lang w:val="es-ES"/>
    </w:rPr>
  </w:style>
  <w:style w:type="character" w:customStyle="1" w:styleId="Ttulo5Car">
    <w:name w:val="Título 5 Car"/>
    <w:basedOn w:val="Fuentedeprrafopredeter"/>
    <w:link w:val="Ttulo5"/>
    <w:uiPriority w:val="9"/>
    <w:rsid w:val="00DE5C48"/>
    <w:rPr>
      <w:rFonts w:ascii="Verdana" w:eastAsia="Verdana" w:hAnsi="Verdana" w:cs="Verdana"/>
      <w:b/>
      <w:bCs/>
      <w:lang w:val="es-ES"/>
    </w:rPr>
  </w:style>
  <w:style w:type="character" w:customStyle="1" w:styleId="Ttulo6Car">
    <w:name w:val="Título 6 Car"/>
    <w:basedOn w:val="Fuentedeprrafopredeter"/>
    <w:link w:val="Ttulo6"/>
    <w:rsid w:val="00DE5C48"/>
    <w:rPr>
      <w:rFonts w:asciiTheme="majorHAnsi" w:eastAsiaTheme="majorEastAsia" w:hAnsiTheme="majorHAnsi" w:cstheme="majorBidi"/>
      <w:i/>
      <w:iCs/>
      <w:color w:val="323E4F" w:themeColor="text2" w:themeShade="BF"/>
      <w:lang w:val="es-ES"/>
    </w:rPr>
  </w:style>
  <w:style w:type="character" w:customStyle="1" w:styleId="Ttulo7Car">
    <w:name w:val="Título 7 Car"/>
    <w:basedOn w:val="Fuentedeprrafopredeter"/>
    <w:link w:val="Ttulo7"/>
    <w:uiPriority w:val="9"/>
    <w:rsid w:val="00DE5C48"/>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rsid w:val="00DE5C48"/>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aliases w:val="Hallazgo No. Car"/>
    <w:basedOn w:val="Fuentedeprrafopredeter"/>
    <w:link w:val="Ttulo9"/>
    <w:uiPriority w:val="9"/>
    <w:rsid w:val="00DE5C48"/>
    <w:rPr>
      <w:rFonts w:asciiTheme="majorHAnsi" w:eastAsiaTheme="majorEastAsia" w:hAnsiTheme="majorHAnsi" w:cstheme="majorBidi"/>
      <w:i/>
      <w:iCs/>
      <w:color w:val="404040" w:themeColor="text1" w:themeTint="BF"/>
      <w:sz w:val="20"/>
      <w:szCs w:val="20"/>
      <w:lang w:val="es-ES"/>
    </w:rPr>
  </w:style>
  <w:style w:type="table" w:customStyle="1" w:styleId="TableNormal">
    <w:name w:val="Table Normal"/>
    <w:uiPriority w:val="2"/>
    <w:unhideWhenUsed/>
    <w:qFormat/>
    <w:rsid w:val="00DE5C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DE5C48"/>
    <w:pPr>
      <w:spacing w:line="240" w:lineRule="exact"/>
      <w:ind w:left="1647"/>
    </w:pPr>
    <w:rPr>
      <w:b/>
      <w:bCs/>
      <w:sz w:val="20"/>
      <w:szCs w:val="20"/>
    </w:rPr>
  </w:style>
  <w:style w:type="paragraph" w:styleId="TDC2">
    <w:name w:val="toc 2"/>
    <w:basedOn w:val="Normal"/>
    <w:uiPriority w:val="1"/>
    <w:qFormat/>
    <w:rsid w:val="00DE5C48"/>
    <w:pPr>
      <w:spacing w:line="240" w:lineRule="exact"/>
      <w:ind w:left="2365" w:hanging="718"/>
    </w:pPr>
    <w:rPr>
      <w:sz w:val="20"/>
      <w:szCs w:val="20"/>
    </w:rPr>
  </w:style>
  <w:style w:type="paragraph" w:styleId="TDC3">
    <w:name w:val="toc 3"/>
    <w:basedOn w:val="Normal"/>
    <w:uiPriority w:val="1"/>
    <w:qFormat/>
    <w:rsid w:val="00DE5C48"/>
    <w:pPr>
      <w:spacing w:line="242" w:lineRule="exact"/>
      <w:ind w:left="1661"/>
    </w:pPr>
    <w:rPr>
      <w:b/>
      <w:bCs/>
      <w:sz w:val="20"/>
      <w:szCs w:val="20"/>
    </w:rPr>
  </w:style>
  <w:style w:type="paragraph" w:styleId="TDC4">
    <w:name w:val="toc 4"/>
    <w:basedOn w:val="Normal"/>
    <w:uiPriority w:val="1"/>
    <w:qFormat/>
    <w:rsid w:val="00DE5C48"/>
    <w:pPr>
      <w:spacing w:line="240" w:lineRule="exact"/>
      <w:ind w:left="2379" w:hanging="718"/>
    </w:pPr>
    <w:rPr>
      <w:sz w:val="20"/>
      <w:szCs w:val="20"/>
    </w:rPr>
  </w:style>
  <w:style w:type="paragraph" w:styleId="TDC5">
    <w:name w:val="toc 5"/>
    <w:basedOn w:val="Normal"/>
    <w:uiPriority w:val="1"/>
    <w:qFormat/>
    <w:rsid w:val="00DE5C48"/>
    <w:pPr>
      <w:spacing w:line="240" w:lineRule="exact"/>
      <w:ind w:left="2321"/>
    </w:pPr>
    <w:rPr>
      <w:sz w:val="20"/>
      <w:szCs w:val="20"/>
    </w:rPr>
  </w:style>
  <w:style w:type="paragraph" w:styleId="TDC6">
    <w:name w:val="toc 6"/>
    <w:basedOn w:val="Normal"/>
    <w:uiPriority w:val="1"/>
    <w:qFormat/>
    <w:rsid w:val="00DE5C48"/>
    <w:pPr>
      <w:spacing w:line="240" w:lineRule="exact"/>
      <w:ind w:left="2410"/>
    </w:pPr>
    <w:rPr>
      <w:sz w:val="20"/>
      <w:szCs w:val="20"/>
    </w:rPr>
  </w:style>
  <w:style w:type="paragraph" w:styleId="Textoindependiente">
    <w:name w:val="Body Text"/>
    <w:aliases w:val="contents,body text,bt,body tesx,Inicio,EHPT,Body Text2,ändrad,Texto independiente Car Car,Texto independiente Car Car Car Car Car Car,Texto independiente Car Car Car Car,Texto independiente Car Car Car Car Car,Bodytext"/>
    <w:basedOn w:val="Normal"/>
    <w:link w:val="TextoindependienteCar1"/>
    <w:uiPriority w:val="1"/>
    <w:qFormat/>
    <w:rsid w:val="00DE5C48"/>
  </w:style>
  <w:style w:type="character" w:customStyle="1" w:styleId="TextoindependienteCar">
    <w:name w:val="Texto independiente Car"/>
    <w:aliases w:val="contents Car,body text Car,bt Car,body tesx Car,Inicio Car,EHPT Car,Body Text2 Car,ändrad Car,Texto independiente Car Car Car,Texto independiente Car Car Car Car Car Car Car,Texto independiente Car Car Car Car Car1,Bodytext Car"/>
    <w:basedOn w:val="Fuentedeprrafopredeter"/>
    <w:uiPriority w:val="1"/>
    <w:rsid w:val="00DE5C48"/>
    <w:rPr>
      <w:rFonts w:ascii="Verdana" w:eastAsia="Verdana" w:hAnsi="Verdana" w:cs="Verdana"/>
      <w:lang w:val="es-ES"/>
    </w:rPr>
  </w:style>
  <w:style w:type="paragraph" w:styleId="Ttulo">
    <w:name w:val="Title"/>
    <w:aliases w:val="Puesto1"/>
    <w:basedOn w:val="Normal"/>
    <w:link w:val="TtuloCar"/>
    <w:uiPriority w:val="1"/>
    <w:qFormat/>
    <w:rsid w:val="00DE5C48"/>
    <w:pPr>
      <w:spacing w:line="4267" w:lineRule="exact"/>
      <w:ind w:left="2129"/>
    </w:pPr>
    <w:rPr>
      <w:rFonts w:ascii="Poppins ExtraBold" w:eastAsia="Poppins ExtraBold" w:hAnsi="Poppins ExtraBold" w:cs="Poppins ExtraBold"/>
      <w:b/>
      <w:bCs/>
      <w:sz w:val="283"/>
      <w:szCs w:val="283"/>
    </w:rPr>
  </w:style>
  <w:style w:type="character" w:customStyle="1" w:styleId="TtuloCar">
    <w:name w:val="Título Car"/>
    <w:aliases w:val="Puesto1 Car"/>
    <w:basedOn w:val="Fuentedeprrafopredeter"/>
    <w:link w:val="Ttulo"/>
    <w:uiPriority w:val="1"/>
    <w:rsid w:val="00DE5C48"/>
    <w:rPr>
      <w:rFonts w:ascii="Poppins ExtraBold" w:eastAsia="Poppins ExtraBold" w:hAnsi="Poppins ExtraBold" w:cs="Poppins ExtraBold"/>
      <w:b/>
      <w:bCs/>
      <w:sz w:val="283"/>
      <w:szCs w:val="283"/>
      <w:lang w:val="es-ES"/>
    </w:rPr>
  </w:style>
  <w:style w:type="paragraph" w:styleId="Prrafodelista">
    <w:name w:val="List Paragraph"/>
    <w:aliases w:val="Segundo nivel de viñetas,List Paragraph1,titulo 3,Lista vistosa - Énfasis 11,Segundo nivel de vi–etas,List1,Bullet List,FooterText,numbered,Paragraphe de liste1,lp1,Ha,HOJA,Bolita,Párrafo de lista4,BOLADEF,Foot,列出段落,列出段落1,List Paragraph"/>
    <w:basedOn w:val="Normal"/>
    <w:link w:val="PrrafodelistaCar"/>
    <w:uiPriority w:val="1"/>
    <w:qFormat/>
    <w:rsid w:val="00DE5C48"/>
    <w:pPr>
      <w:ind w:left="1931"/>
    </w:pPr>
  </w:style>
  <w:style w:type="paragraph" w:customStyle="1" w:styleId="TableParagraph">
    <w:name w:val="Table Paragraph"/>
    <w:basedOn w:val="Normal"/>
    <w:uiPriority w:val="1"/>
    <w:qFormat/>
    <w:rsid w:val="00DE5C48"/>
    <w:pPr>
      <w:spacing w:before="48"/>
    </w:pPr>
    <w:rPr>
      <w:rFonts w:ascii="Arial" w:eastAsia="Arial" w:hAnsi="Arial" w:cs="Arial"/>
    </w:rPr>
  </w:style>
  <w:style w:type="character" w:customStyle="1" w:styleId="PrrafodelistaCar">
    <w:name w:val="Párrafo de lista Car"/>
    <w:aliases w:val="Segundo nivel de viñetas Car,List Paragraph1 Car,titulo 3 Car,Lista vistosa - Énfasis 11 Car,Segundo nivel de vi–etas Car,List1 Car,Bullet List Car,FooterText Car,numbered Car,Paragraphe de liste1 Car,lp1 Car,Ha Car,HOJA Car"/>
    <w:link w:val="Prrafodelista"/>
    <w:uiPriority w:val="1"/>
    <w:qFormat/>
    <w:locked/>
    <w:rsid w:val="00DE5C48"/>
    <w:rPr>
      <w:rFonts w:ascii="Verdana" w:eastAsia="Verdana" w:hAnsi="Verdana" w:cs="Verdana"/>
      <w:lang w:val="es-ES"/>
    </w:rPr>
  </w:style>
  <w:style w:type="table" w:styleId="Tablaconcuadrcula">
    <w:name w:val="Table Grid"/>
    <w:basedOn w:val="Tablanormal"/>
    <w:uiPriority w:val="39"/>
    <w:rsid w:val="00DE5C4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00DE5C4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link w:val="SinespaciadoCar"/>
    <w:uiPriority w:val="1"/>
    <w:qFormat/>
    <w:rsid w:val="00DE5C48"/>
    <w:pPr>
      <w:spacing w:after="0" w:line="240" w:lineRule="auto"/>
    </w:pPr>
  </w:style>
  <w:style w:type="paragraph" w:customStyle="1" w:styleId="Default">
    <w:name w:val="Default"/>
    <w:link w:val="DefaultCar"/>
    <w:qFormat/>
    <w:rsid w:val="00DE5C48"/>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unhideWhenUsed/>
    <w:rsid w:val="00DE5C48"/>
    <w:rPr>
      <w:sz w:val="16"/>
      <w:szCs w:val="16"/>
    </w:rPr>
  </w:style>
  <w:style w:type="paragraph" w:styleId="Textocomentario">
    <w:name w:val="annotation text"/>
    <w:basedOn w:val="Normal"/>
    <w:link w:val="TextocomentarioCar"/>
    <w:uiPriority w:val="99"/>
    <w:unhideWhenUsed/>
    <w:rsid w:val="00DE5C48"/>
    <w:pPr>
      <w:widowControl/>
      <w:autoSpaceDE/>
      <w:autoSpaceDN/>
      <w:spacing w:after="160"/>
    </w:pPr>
    <w:rPr>
      <w:rFonts w:asciiTheme="minorHAnsi" w:eastAsiaTheme="minorHAnsi" w:hAnsiTheme="minorHAnsi" w:cstheme="minorBidi"/>
      <w:sz w:val="20"/>
      <w:szCs w:val="20"/>
      <w:lang w:val="es-CO"/>
    </w:rPr>
  </w:style>
  <w:style w:type="character" w:customStyle="1" w:styleId="TextocomentarioCar">
    <w:name w:val="Texto comentario Car"/>
    <w:basedOn w:val="Fuentedeprrafopredeter"/>
    <w:link w:val="Textocomentario"/>
    <w:uiPriority w:val="99"/>
    <w:rsid w:val="00DE5C48"/>
    <w:rPr>
      <w:sz w:val="20"/>
      <w:szCs w:val="20"/>
    </w:rPr>
  </w:style>
  <w:style w:type="table" w:styleId="Tablaconcuadrcula1clara">
    <w:name w:val="Grid Table 1 Light"/>
    <w:basedOn w:val="Tablanormal"/>
    <w:uiPriority w:val="46"/>
    <w:rsid w:val="00DE5C48"/>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DE5C48"/>
  </w:style>
  <w:style w:type="table" w:styleId="Tabladelista3-nfasis1">
    <w:name w:val="List Table 3 Accent 1"/>
    <w:basedOn w:val="Tablanormal"/>
    <w:uiPriority w:val="48"/>
    <w:rsid w:val="00DE5C48"/>
    <w:pPr>
      <w:spacing w:after="0" w:line="240" w:lineRule="auto"/>
    </w:pPr>
    <w:rPr>
      <w:kern w:val="2"/>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2">
    <w:name w:val="Tabla con cuadrícula2"/>
    <w:basedOn w:val="Tablanormal"/>
    <w:next w:val="Tablaconcuadrcula"/>
    <w:uiPriority w:val="39"/>
    <w:rsid w:val="00DE5C48"/>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unhideWhenUsed/>
    <w:rsid w:val="00DE5C48"/>
    <w:rPr>
      <w:b/>
      <w:bCs/>
    </w:rPr>
  </w:style>
  <w:style w:type="character" w:customStyle="1" w:styleId="AsuntodelcomentarioCar">
    <w:name w:val="Asunto del comentario Car"/>
    <w:basedOn w:val="TextocomentarioCar"/>
    <w:link w:val="Asuntodelcomentario"/>
    <w:uiPriority w:val="99"/>
    <w:rsid w:val="00DE5C48"/>
    <w:rPr>
      <w:b/>
      <w:bCs/>
      <w:sz w:val="20"/>
      <w:szCs w:val="20"/>
    </w:rPr>
  </w:style>
  <w:style w:type="paragraph" w:styleId="Textodeglobo">
    <w:name w:val="Balloon Text"/>
    <w:basedOn w:val="Normal"/>
    <w:link w:val="TextodegloboCar"/>
    <w:uiPriority w:val="99"/>
    <w:unhideWhenUsed/>
    <w:rsid w:val="00DE5C48"/>
    <w:pPr>
      <w:widowControl/>
      <w:autoSpaceDE/>
      <w:autoSpaceDN/>
    </w:pPr>
    <w:rPr>
      <w:rFonts w:ascii="Segoe UI" w:eastAsiaTheme="minorHAnsi" w:hAnsi="Segoe UI" w:cs="Segoe UI"/>
      <w:sz w:val="18"/>
      <w:szCs w:val="18"/>
      <w:lang w:val="es-CO"/>
    </w:rPr>
  </w:style>
  <w:style w:type="character" w:customStyle="1" w:styleId="TextodegloboCar">
    <w:name w:val="Texto de globo Car"/>
    <w:basedOn w:val="Fuentedeprrafopredeter"/>
    <w:link w:val="Textodeglobo"/>
    <w:uiPriority w:val="99"/>
    <w:rsid w:val="00DE5C48"/>
    <w:rPr>
      <w:rFonts w:ascii="Segoe UI" w:hAnsi="Segoe UI" w:cs="Segoe UI"/>
      <w:sz w:val="18"/>
      <w:szCs w:val="18"/>
    </w:rPr>
  </w:style>
  <w:style w:type="paragraph" w:customStyle="1" w:styleId="paragraph">
    <w:name w:val="paragraph"/>
    <w:basedOn w:val="Normal"/>
    <w:rsid w:val="00DE5C4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DE5C48"/>
  </w:style>
  <w:style w:type="character" w:customStyle="1" w:styleId="eop">
    <w:name w:val="eop"/>
    <w:basedOn w:val="Fuentedeprrafopredeter"/>
    <w:rsid w:val="00DE5C48"/>
  </w:style>
  <w:style w:type="table" w:customStyle="1" w:styleId="TableGrid">
    <w:name w:val="TableGrid"/>
    <w:rsid w:val="00DE5C48"/>
    <w:pPr>
      <w:spacing w:after="0" w:line="240" w:lineRule="auto"/>
    </w:pPr>
    <w:rPr>
      <w:rFonts w:eastAsiaTheme="minorEastAsia"/>
      <w:lang w:eastAsia="es-CO"/>
    </w:rPr>
    <w:tblPr>
      <w:tblCellMar>
        <w:top w:w="0" w:type="dxa"/>
        <w:left w:w="0" w:type="dxa"/>
        <w:bottom w:w="0" w:type="dxa"/>
        <w:right w:w="0" w:type="dxa"/>
      </w:tblCellMar>
    </w:tblPr>
  </w:style>
  <w:style w:type="character" w:styleId="Hipervnculo">
    <w:name w:val="Hyperlink"/>
    <w:basedOn w:val="Fuentedeprrafopredeter"/>
    <w:uiPriority w:val="99"/>
    <w:unhideWhenUsed/>
    <w:rsid w:val="00DE5C48"/>
    <w:rPr>
      <w:color w:val="0563C1" w:themeColor="hyperlink"/>
      <w:u w:val="single"/>
    </w:rPr>
  </w:style>
  <w:style w:type="table" w:customStyle="1" w:styleId="Tablaconcuadrcula1">
    <w:name w:val="Tabla con cuadrícula1"/>
    <w:basedOn w:val="Tablanormal"/>
    <w:next w:val="Tablaconcuadrcula"/>
    <w:uiPriority w:val="39"/>
    <w:rsid w:val="00DE5C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E5C4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5">
    <w:name w:val="xl65"/>
    <w:basedOn w:val="Normal"/>
    <w:rsid w:val="00DE5C4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Times New Roman" w:eastAsia="Times New Roman" w:hAnsi="Times New Roman" w:cs="Times New Roman"/>
      <w:sz w:val="24"/>
      <w:szCs w:val="24"/>
      <w:lang w:val="es-CO" w:eastAsia="es-CO"/>
    </w:rPr>
  </w:style>
  <w:style w:type="paragraph" w:customStyle="1" w:styleId="xl66">
    <w:name w:val="xl66"/>
    <w:basedOn w:val="Normal"/>
    <w:rsid w:val="00DE5C4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Times New Roman" w:eastAsia="Times New Roman" w:hAnsi="Times New Roman" w:cs="Times New Roman"/>
      <w:sz w:val="24"/>
      <w:szCs w:val="24"/>
      <w:lang w:val="es-CO" w:eastAsia="es-CO"/>
    </w:rPr>
  </w:style>
  <w:style w:type="paragraph" w:customStyle="1" w:styleId="xl67">
    <w:name w:val="xl67"/>
    <w:basedOn w:val="Normal"/>
    <w:rsid w:val="00DE5C4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Times New Roman" w:eastAsia="Times New Roman" w:hAnsi="Times New Roman" w:cs="Times New Roman"/>
      <w:sz w:val="24"/>
      <w:szCs w:val="24"/>
      <w:lang w:val="es-CO" w:eastAsia="es-CO"/>
    </w:rPr>
  </w:style>
  <w:style w:type="paragraph" w:customStyle="1" w:styleId="xl68">
    <w:name w:val="xl68"/>
    <w:basedOn w:val="Normal"/>
    <w:rsid w:val="00DE5C48"/>
    <w:pPr>
      <w:widowControl/>
      <w:autoSpaceDE/>
      <w:autoSpaceDN/>
      <w:spacing w:before="100" w:beforeAutospacing="1" w:after="100" w:afterAutospacing="1"/>
    </w:pPr>
    <w:rPr>
      <w:rFonts w:ascii="Arial" w:eastAsia="Times New Roman" w:hAnsi="Arial" w:cs="Arial"/>
      <w:lang w:val="es-CO" w:eastAsia="es-CO"/>
    </w:rPr>
  </w:style>
  <w:style w:type="paragraph" w:customStyle="1" w:styleId="xl69">
    <w:name w:val="xl69"/>
    <w:basedOn w:val="Normal"/>
    <w:rsid w:val="00DE5C48"/>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CO" w:eastAsia="es-CO"/>
    </w:rPr>
  </w:style>
  <w:style w:type="paragraph" w:customStyle="1" w:styleId="xl70">
    <w:name w:val="xl70"/>
    <w:basedOn w:val="Normal"/>
    <w:rsid w:val="00DE5C48"/>
    <w:pPr>
      <w:widowControl/>
      <w:autoSpaceDE/>
      <w:autoSpaceDN/>
      <w:spacing w:before="100" w:beforeAutospacing="1" w:after="100" w:afterAutospacing="1"/>
      <w:jc w:val="center"/>
      <w:textAlignment w:val="center"/>
    </w:pPr>
    <w:rPr>
      <w:rFonts w:ascii="Arial" w:eastAsia="Times New Roman" w:hAnsi="Arial" w:cs="Arial"/>
      <w:b/>
      <w:bCs/>
      <w:sz w:val="24"/>
      <w:szCs w:val="24"/>
      <w:lang w:val="es-CO" w:eastAsia="es-CO"/>
    </w:rPr>
  </w:style>
  <w:style w:type="paragraph" w:customStyle="1" w:styleId="xl71">
    <w:name w:val="xl71"/>
    <w:basedOn w:val="Normal"/>
    <w:rsid w:val="00DE5C4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Arial" w:eastAsia="Times New Roman" w:hAnsi="Arial" w:cs="Arial"/>
      <w:sz w:val="18"/>
      <w:szCs w:val="18"/>
      <w:lang w:val="es-CO" w:eastAsia="es-CO"/>
    </w:rPr>
  </w:style>
  <w:style w:type="paragraph" w:customStyle="1" w:styleId="xl72">
    <w:name w:val="xl72"/>
    <w:basedOn w:val="Normal"/>
    <w:rsid w:val="00DE5C4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both"/>
      <w:textAlignment w:val="center"/>
    </w:pPr>
    <w:rPr>
      <w:rFonts w:ascii="Arial" w:eastAsia="Times New Roman" w:hAnsi="Arial" w:cs="Arial"/>
      <w:sz w:val="18"/>
      <w:szCs w:val="18"/>
      <w:lang w:val="es-CO" w:eastAsia="es-CO"/>
    </w:rPr>
  </w:style>
  <w:style w:type="paragraph" w:customStyle="1" w:styleId="xl73">
    <w:name w:val="xl73"/>
    <w:basedOn w:val="Normal"/>
    <w:rsid w:val="00DE5C48"/>
    <w:pPr>
      <w:widowControl/>
      <w:pBdr>
        <w:top w:val="single" w:sz="8" w:space="0" w:color="000000"/>
        <w:left w:val="single" w:sz="8" w:space="0" w:color="000000"/>
        <w:bottom w:val="single" w:sz="8" w:space="0" w:color="000000"/>
        <w:right w:val="single" w:sz="8" w:space="0" w:color="000000"/>
      </w:pBdr>
      <w:shd w:val="clear" w:color="000000" w:fill="008000"/>
      <w:autoSpaceDE/>
      <w:autoSpaceDN/>
      <w:spacing w:before="100" w:beforeAutospacing="1" w:after="100" w:afterAutospacing="1"/>
      <w:jc w:val="center"/>
      <w:textAlignment w:val="center"/>
    </w:pPr>
    <w:rPr>
      <w:rFonts w:ascii="Arial" w:eastAsia="Times New Roman" w:hAnsi="Arial" w:cs="Arial"/>
      <w:b/>
      <w:bCs/>
      <w:color w:val="FFFFFF"/>
      <w:sz w:val="24"/>
      <w:szCs w:val="24"/>
      <w:lang w:val="es-CO" w:eastAsia="es-CO"/>
    </w:rPr>
  </w:style>
  <w:style w:type="numbering" w:customStyle="1" w:styleId="Sinlista1">
    <w:name w:val="Sin lista1"/>
    <w:next w:val="Sinlista"/>
    <w:uiPriority w:val="99"/>
    <w:semiHidden/>
    <w:rsid w:val="00DE5C48"/>
  </w:style>
  <w:style w:type="paragraph" w:customStyle="1" w:styleId="Lneadereferencia">
    <w:name w:val="Línea de referencia"/>
    <w:basedOn w:val="Textoindependiente"/>
    <w:rsid w:val="00DE5C48"/>
    <w:pPr>
      <w:widowControl/>
      <w:autoSpaceDE/>
      <w:autoSpaceDN/>
      <w:spacing w:after="120"/>
    </w:pPr>
    <w:rPr>
      <w:rFonts w:ascii="Times New Roman" w:eastAsia="Times New Roman" w:hAnsi="Times New Roman" w:cs="Times New Roman"/>
      <w:sz w:val="24"/>
      <w:szCs w:val="24"/>
      <w:lang w:val="es-CO" w:eastAsia="es-CO"/>
    </w:rPr>
  </w:style>
  <w:style w:type="paragraph" w:styleId="Textoindependiente2">
    <w:name w:val="Body Text 2"/>
    <w:basedOn w:val="Normal"/>
    <w:link w:val="Textoindependiente2Car"/>
    <w:rsid w:val="00DE5C48"/>
    <w:pPr>
      <w:widowControl/>
      <w:autoSpaceDE/>
      <w:autoSpaceDN/>
      <w:spacing w:after="120" w:line="480" w:lineRule="auto"/>
    </w:pPr>
    <w:rPr>
      <w:rFonts w:ascii="Times New Roman" w:eastAsia="Times New Roman" w:hAnsi="Times New Roman" w:cs="Times New Roman"/>
      <w:sz w:val="24"/>
      <w:szCs w:val="24"/>
      <w:lang w:val="es-CO" w:eastAsia="es-CO"/>
    </w:rPr>
  </w:style>
  <w:style w:type="character" w:customStyle="1" w:styleId="Textoindependiente2Car">
    <w:name w:val="Texto independiente 2 Car"/>
    <w:basedOn w:val="Fuentedeprrafopredeter"/>
    <w:link w:val="Textoindependiente2"/>
    <w:rsid w:val="00DE5C48"/>
    <w:rPr>
      <w:rFonts w:ascii="Times New Roman" w:eastAsia="Times New Roman" w:hAnsi="Times New Roman" w:cs="Times New Roman"/>
      <w:sz w:val="24"/>
      <w:szCs w:val="24"/>
      <w:lang w:eastAsia="es-CO"/>
    </w:rPr>
  </w:style>
  <w:style w:type="character" w:styleId="Hipervnculovisitado">
    <w:name w:val="FollowedHyperlink"/>
    <w:uiPriority w:val="99"/>
    <w:rsid w:val="00DE5C48"/>
    <w:rPr>
      <w:color w:val="800080"/>
      <w:u w:val="single"/>
    </w:rPr>
  </w:style>
  <w:style w:type="character" w:styleId="Nmerodepgina">
    <w:name w:val="page number"/>
    <w:basedOn w:val="Fuentedeprrafopredeter"/>
    <w:uiPriority w:val="99"/>
    <w:rsid w:val="00DE5C48"/>
  </w:style>
  <w:style w:type="table" w:customStyle="1" w:styleId="TableGrid1">
    <w:name w:val="TableGrid1"/>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2">
    <w:name w:val="TableGrid2"/>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3">
    <w:name w:val="TableGrid3"/>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4">
    <w:name w:val="TableGrid4"/>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5">
    <w:name w:val="TableGrid5"/>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6">
    <w:name w:val="TableGrid6"/>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7">
    <w:name w:val="TableGrid7"/>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8">
    <w:name w:val="TableGrid8"/>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9">
    <w:name w:val="TableGrid9"/>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0">
    <w:name w:val="TableGrid10"/>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1">
    <w:name w:val="TableGrid11"/>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2">
    <w:name w:val="TableGrid12"/>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3">
    <w:name w:val="TableGrid13"/>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4">
    <w:name w:val="TableGrid14"/>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5">
    <w:name w:val="TableGrid15"/>
    <w:rsid w:val="00DE5C48"/>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6">
    <w:name w:val="TableGrid16"/>
    <w:rsid w:val="00DE5C48"/>
    <w:pPr>
      <w:spacing w:after="0" w:line="240" w:lineRule="auto"/>
    </w:pPr>
    <w:rPr>
      <w:rFonts w:eastAsiaTheme="minorEastAsia"/>
      <w:lang w:eastAsia="es-CO"/>
    </w:rPr>
    <w:tblPr>
      <w:tblCellMar>
        <w:top w:w="0" w:type="dxa"/>
        <w:left w:w="0" w:type="dxa"/>
        <w:bottom w:w="0" w:type="dxa"/>
        <w:right w:w="0" w:type="dxa"/>
      </w:tblCellMar>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DE5C48"/>
    <w:rPr>
      <w:rFonts w:ascii="Arial" w:eastAsia="Arial" w:hAnsi="Arial" w:cs="Arial"/>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DE5C48"/>
    <w:rPr>
      <w:rFonts w:ascii="Arial" w:eastAsia="Arial" w:hAnsi="Arial" w:cs="Arial"/>
      <w:sz w:val="20"/>
      <w:szCs w:val="20"/>
      <w:lang w:val="es-ES"/>
    </w:rPr>
  </w:style>
  <w:style w:type="character" w:styleId="Refdenotaalpie">
    <w:name w:val="footnote reference"/>
    <w:aliases w:val="Ref. de nota al pie 2,Pie de Página,FC,Texto de nota al pie,Texto de nota al pi,Appel note de bas de page,Footnotes refss,Footnote number,referencia nota al pie,BVI fnr,f,4_G,16 Point,Superscript 6 Point,Texto nota al pie,Footnote,fr"/>
    <w:basedOn w:val="Fuentedeprrafopredeter"/>
    <w:uiPriority w:val="99"/>
    <w:unhideWhenUsed/>
    <w:qFormat/>
    <w:rsid w:val="00DE5C48"/>
    <w:rPr>
      <w:vertAlign w:val="superscript"/>
    </w:rPr>
  </w:style>
  <w:style w:type="table" w:customStyle="1" w:styleId="TableNormal1">
    <w:name w:val="Table Normal1"/>
    <w:uiPriority w:val="2"/>
    <w:semiHidden/>
    <w:unhideWhenUsed/>
    <w:qFormat/>
    <w:rsid w:val="00DE5C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osinformato5">
    <w:name w:val="Texto sin formato5"/>
    <w:basedOn w:val="Normal"/>
    <w:rsid w:val="00DE5C48"/>
    <w:pPr>
      <w:widowControl/>
      <w:autoSpaceDE/>
      <w:autoSpaceDN/>
    </w:pPr>
    <w:rPr>
      <w:rFonts w:ascii="Courier New" w:eastAsia="Times New Roman" w:hAnsi="Courier New" w:cs="Times New Roman"/>
      <w:sz w:val="20"/>
      <w:szCs w:val="20"/>
      <w:lang w:eastAsia="es-CO"/>
    </w:rPr>
  </w:style>
  <w:style w:type="paragraph" w:customStyle="1" w:styleId="Textosinformato6">
    <w:name w:val="Texto sin formato6"/>
    <w:basedOn w:val="Normal"/>
    <w:rsid w:val="00DE5C48"/>
    <w:pPr>
      <w:widowControl/>
      <w:autoSpaceDE/>
      <w:autoSpaceDN/>
    </w:pPr>
    <w:rPr>
      <w:rFonts w:ascii="Courier New" w:eastAsia="Times New Roman" w:hAnsi="Courier New" w:cs="Times New Roman"/>
      <w:sz w:val="20"/>
      <w:szCs w:val="20"/>
      <w:lang w:eastAsia="es-CO"/>
    </w:rPr>
  </w:style>
  <w:style w:type="paragraph" w:customStyle="1" w:styleId="Textosinformato1">
    <w:name w:val="Texto sin formato1"/>
    <w:basedOn w:val="Normal"/>
    <w:rsid w:val="00DE5C48"/>
    <w:pPr>
      <w:widowControl/>
      <w:autoSpaceDE/>
      <w:autoSpaceDN/>
    </w:pPr>
    <w:rPr>
      <w:rFonts w:ascii="Courier New" w:eastAsia="Times New Roman" w:hAnsi="Courier New" w:cs="Times New Roman"/>
      <w:sz w:val="20"/>
      <w:szCs w:val="20"/>
      <w:lang w:eastAsia="es-CO"/>
    </w:rPr>
  </w:style>
  <w:style w:type="paragraph" w:styleId="Textoindependiente3">
    <w:name w:val="Body Text 3"/>
    <w:basedOn w:val="Normal"/>
    <w:link w:val="Textoindependiente3Car"/>
    <w:unhideWhenUsed/>
    <w:rsid w:val="00DE5C48"/>
    <w:pPr>
      <w:widowControl/>
      <w:autoSpaceDE/>
      <w:autoSpaceDN/>
      <w:spacing w:after="120" w:line="259"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rsid w:val="00DE5C48"/>
    <w:rPr>
      <w:sz w:val="16"/>
      <w:szCs w:val="16"/>
    </w:rPr>
  </w:style>
  <w:style w:type="table" w:customStyle="1" w:styleId="TableNormal2">
    <w:name w:val="Table Normal2"/>
    <w:uiPriority w:val="2"/>
    <w:semiHidden/>
    <w:unhideWhenUsed/>
    <w:qFormat/>
    <w:rsid w:val="00DE5C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efaultCar">
    <w:name w:val="Default Car"/>
    <w:link w:val="Default"/>
    <w:locked/>
    <w:rsid w:val="00DE5C48"/>
    <w:rPr>
      <w:rFonts w:ascii="Arial" w:hAnsi="Arial" w:cs="Arial"/>
      <w:color w:val="000000"/>
      <w:sz w:val="24"/>
      <w:szCs w:val="24"/>
    </w:rPr>
  </w:style>
  <w:style w:type="paragraph" w:styleId="Lista">
    <w:name w:val="List"/>
    <w:basedOn w:val="Normal"/>
    <w:rsid w:val="00DE5C48"/>
    <w:pPr>
      <w:widowControl/>
      <w:autoSpaceDE/>
      <w:autoSpaceDN/>
      <w:ind w:left="283" w:hanging="283"/>
      <w:contextualSpacing/>
    </w:pPr>
    <w:rPr>
      <w:rFonts w:ascii="Times New Roman" w:eastAsia="Times New Roman" w:hAnsi="Times New Roman" w:cs="Times New Roman"/>
      <w:sz w:val="24"/>
      <w:szCs w:val="24"/>
      <w:lang w:eastAsia="es-ES"/>
    </w:rPr>
  </w:style>
  <w:style w:type="character" w:customStyle="1" w:styleId="PuestoCar1">
    <w:name w:val="Puesto Car1"/>
    <w:basedOn w:val="Fuentedeprrafopredeter"/>
    <w:uiPriority w:val="1"/>
    <w:rsid w:val="00DE5C48"/>
    <w:rPr>
      <w:rFonts w:ascii="Times New Roman" w:eastAsia="Times New Roman" w:hAnsi="Times New Roman" w:cs="Times New Roman"/>
      <w:lang w:val="es-ES"/>
    </w:rPr>
  </w:style>
  <w:style w:type="paragraph" w:customStyle="1" w:styleId="Textopredeterminado">
    <w:name w:val="Texto predeterminado"/>
    <w:basedOn w:val="Normal"/>
    <w:rsid w:val="00DE5C48"/>
    <w:pPr>
      <w:widowControl/>
      <w:adjustRightInd w:val="0"/>
    </w:pPr>
    <w:rPr>
      <w:rFonts w:ascii="Times New Roman" w:eastAsia="Times New Roman" w:hAnsi="Times New Roman" w:cs="Times New Roman"/>
      <w:sz w:val="24"/>
      <w:szCs w:val="24"/>
      <w:lang w:eastAsia="es-ES"/>
    </w:rPr>
  </w:style>
  <w:style w:type="paragraph" w:customStyle="1" w:styleId="Standard">
    <w:name w:val="Standard"/>
    <w:rsid w:val="00DE5C48"/>
    <w:pPr>
      <w:suppressAutoHyphens/>
      <w:autoSpaceDN w:val="0"/>
      <w:spacing w:after="0" w:line="240" w:lineRule="auto"/>
      <w:textAlignment w:val="baseline"/>
    </w:pPr>
    <w:rPr>
      <w:rFonts w:ascii="Verdana" w:eastAsia="Times New Roman" w:hAnsi="Verdana" w:cs="Verdana"/>
      <w:kern w:val="3"/>
      <w:lang w:val="es-ES" w:eastAsia="es-CO"/>
    </w:rPr>
  </w:style>
  <w:style w:type="table" w:customStyle="1" w:styleId="Cuadrculadetablaclara1">
    <w:name w:val="Cuadrícula de tabla clara1"/>
    <w:basedOn w:val="Tablanormal"/>
    <w:uiPriority w:val="40"/>
    <w:rsid w:val="00DE5C48"/>
    <w:pPr>
      <w:spacing w:after="0" w:line="240" w:lineRule="auto"/>
    </w:pPr>
    <w:rPr>
      <w:rFonts w:ascii="Calibri" w:eastAsia="Calibri" w:hAnsi="Calibri" w:cs="Times New Roman"/>
      <w:sz w:val="20"/>
      <w:szCs w:val="20"/>
      <w:lang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DE5C48"/>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1">
    <w:name w:val="Tabla de cuadrícula 1 clara1"/>
    <w:basedOn w:val="Tablanormal"/>
    <w:uiPriority w:val="46"/>
    <w:rsid w:val="00DE5C48"/>
    <w:pPr>
      <w:spacing w:after="0" w:line="240" w:lineRule="auto"/>
    </w:pPr>
    <w:rPr>
      <w:rFonts w:eastAsiaTheme="minorEastAsia"/>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nfasis1">
    <w:name w:val="Light Grid Accent 1"/>
    <w:basedOn w:val="Tablanormal"/>
    <w:uiPriority w:val="62"/>
    <w:rsid w:val="00DE5C48"/>
    <w:pPr>
      <w:spacing w:after="0" w:line="240" w:lineRule="auto"/>
    </w:pPr>
    <w:rPr>
      <w:rFonts w:ascii="Times New Roman" w:eastAsia="Times New Roman" w:hAnsi="Times New Roman" w:cs="Times New Roman"/>
      <w:lang w:val="es-ES_tradnl" w:eastAsia="es-ES_tradn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ecxmsonormal">
    <w:name w:val="ecxmsonormal"/>
    <w:basedOn w:val="Normal"/>
    <w:rsid w:val="00DE5C48"/>
    <w:pPr>
      <w:widowControl/>
      <w:autoSpaceDE/>
      <w:autoSpaceDN/>
      <w:spacing w:after="324"/>
    </w:pPr>
    <w:rPr>
      <w:rFonts w:ascii="Times New Roman" w:eastAsia="Times New Roman" w:hAnsi="Times New Roman" w:cs="Times New Roman"/>
      <w:sz w:val="24"/>
      <w:szCs w:val="24"/>
      <w:lang w:val="es-CO" w:eastAsia="es-CO"/>
    </w:rPr>
  </w:style>
  <w:style w:type="paragraph" w:customStyle="1" w:styleId="NotesHeading">
    <w:name w:val="Notes Heading"/>
    <w:basedOn w:val="Textoindependiente"/>
    <w:next w:val="Sangradetextonormal"/>
    <w:rsid w:val="00DE5C48"/>
    <w:pPr>
      <w:keepNext/>
      <w:widowControl/>
      <w:numPr>
        <w:numId w:val="1"/>
      </w:numPr>
      <w:tabs>
        <w:tab w:val="left" w:pos="475"/>
      </w:tabs>
      <w:autoSpaceDE/>
      <w:autoSpaceDN/>
      <w:spacing w:before="240" w:after="120"/>
    </w:pPr>
    <w:rPr>
      <w:rFonts w:ascii="Times New Roman" w:eastAsia="Times New Roman" w:hAnsi="Times New Roman" w:cs="Times New Roman"/>
      <w:b/>
      <w:caps/>
      <w:sz w:val="24"/>
      <w:szCs w:val="20"/>
      <w:lang w:val="en-US"/>
    </w:rPr>
  </w:style>
  <w:style w:type="paragraph" w:styleId="Sangradetextonormal">
    <w:name w:val="Body Text Indent"/>
    <w:basedOn w:val="Normal"/>
    <w:link w:val="SangradetextonormalCar"/>
    <w:uiPriority w:val="99"/>
    <w:unhideWhenUsed/>
    <w:rsid w:val="00DE5C48"/>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rsid w:val="00DE5C48"/>
  </w:style>
  <w:style w:type="paragraph" w:customStyle="1" w:styleId="xmsonormal">
    <w:name w:val="x_msonormal"/>
    <w:basedOn w:val="Normal"/>
    <w:rsid w:val="00DE5C48"/>
    <w:pPr>
      <w:widowControl/>
      <w:autoSpaceDE/>
      <w:autoSpaceDN/>
    </w:pPr>
    <w:rPr>
      <w:rFonts w:ascii="Calibri" w:eastAsiaTheme="minorHAnsi" w:hAnsi="Calibri" w:cs="Calibri"/>
      <w:lang w:val="es-CO" w:eastAsia="es-CO"/>
    </w:rPr>
  </w:style>
  <w:style w:type="table" w:customStyle="1" w:styleId="Tablaconcuadrcula3">
    <w:name w:val="Tabla con cuadrícula3"/>
    <w:basedOn w:val="Tablanormal"/>
    <w:next w:val="Tablaconcuadrcula"/>
    <w:uiPriority w:val="59"/>
    <w:rsid w:val="00DE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E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E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Descripcin"/>
    <w:rsid w:val="00DE5C48"/>
    <w:pPr>
      <w:widowControl w:val="0"/>
      <w:suppressLineNumbers/>
      <w:suppressAutoHyphens/>
      <w:autoSpaceDN w:val="0"/>
      <w:spacing w:before="120" w:after="120"/>
      <w:textAlignment w:val="baseline"/>
    </w:pPr>
    <w:rPr>
      <w:rFonts w:ascii="Arial" w:eastAsia="Arial" w:hAnsi="Arial" w:cs="Arial"/>
      <w:color w:val="auto"/>
      <w:kern w:val="3"/>
      <w:sz w:val="20"/>
      <w:szCs w:val="20"/>
      <w:lang w:val="es-ES" w:eastAsia="es-CO"/>
    </w:rPr>
  </w:style>
  <w:style w:type="paragraph" w:styleId="Descripcin">
    <w:name w:val="caption"/>
    <w:basedOn w:val="Normal"/>
    <w:next w:val="Normal"/>
    <w:link w:val="DescripcinCar"/>
    <w:uiPriority w:val="35"/>
    <w:unhideWhenUsed/>
    <w:qFormat/>
    <w:rsid w:val="00DE5C48"/>
    <w:pPr>
      <w:widowControl/>
      <w:autoSpaceDE/>
      <w:autoSpaceDN/>
      <w:spacing w:after="200"/>
    </w:pPr>
    <w:rPr>
      <w:rFonts w:asciiTheme="minorHAnsi" w:eastAsiaTheme="minorHAnsi" w:hAnsiTheme="minorHAnsi" w:cstheme="minorBidi"/>
      <w:i/>
      <w:iCs/>
      <w:color w:val="44546A" w:themeColor="text2"/>
      <w:sz w:val="18"/>
      <w:szCs w:val="18"/>
      <w:lang w:val="es-CO"/>
    </w:rPr>
  </w:style>
  <w:style w:type="paragraph" w:styleId="Subttulo">
    <w:name w:val="Subtitle"/>
    <w:basedOn w:val="Normal"/>
    <w:next w:val="Normal"/>
    <w:link w:val="SubttuloCar"/>
    <w:qFormat/>
    <w:rsid w:val="00DE5C48"/>
    <w:pPr>
      <w:widowControl/>
      <w:numPr>
        <w:ilvl w:val="1"/>
      </w:numPr>
      <w:autoSpaceDE/>
      <w:autoSpaceDN/>
      <w:spacing w:after="200" w:line="276" w:lineRule="auto"/>
    </w:pPr>
    <w:rPr>
      <w:rFonts w:ascii="Arial" w:eastAsia="Times New Roman" w:hAnsi="Arial" w:cs="Times New Roman"/>
      <w:i/>
      <w:iCs/>
      <w:color w:val="943634"/>
      <w:spacing w:val="15"/>
      <w:sz w:val="24"/>
      <w:szCs w:val="24"/>
      <w:lang w:val="x-none"/>
    </w:rPr>
  </w:style>
  <w:style w:type="character" w:customStyle="1" w:styleId="SubttuloCar">
    <w:name w:val="Subtítulo Car"/>
    <w:basedOn w:val="Fuentedeprrafopredeter"/>
    <w:link w:val="Subttulo"/>
    <w:rsid w:val="00DE5C48"/>
    <w:rPr>
      <w:rFonts w:ascii="Arial" w:eastAsia="Times New Roman" w:hAnsi="Arial" w:cs="Times New Roman"/>
      <w:i/>
      <w:iCs/>
      <w:color w:val="943634"/>
      <w:spacing w:val="15"/>
      <w:sz w:val="24"/>
      <w:szCs w:val="24"/>
      <w:lang w:val="x-none"/>
    </w:rPr>
  </w:style>
  <w:style w:type="character" w:styleId="nfasissutil">
    <w:name w:val="Subtle Emphasis"/>
    <w:uiPriority w:val="19"/>
    <w:qFormat/>
    <w:rsid w:val="00DE5C48"/>
    <w:rPr>
      <w:rFonts w:ascii="Arial" w:hAnsi="Arial"/>
      <w:i/>
      <w:iCs/>
      <w:color w:val="808080"/>
    </w:rPr>
  </w:style>
  <w:style w:type="character" w:styleId="nfasis">
    <w:name w:val="Emphasis"/>
    <w:qFormat/>
    <w:rsid w:val="00DE5C48"/>
    <w:rPr>
      <w:i/>
      <w:iCs/>
    </w:rPr>
  </w:style>
  <w:style w:type="character" w:customStyle="1" w:styleId="TtuloCar1">
    <w:name w:val="Título Car1"/>
    <w:basedOn w:val="Fuentedeprrafopredeter"/>
    <w:uiPriority w:val="10"/>
    <w:rsid w:val="00DE5C48"/>
    <w:rPr>
      <w:rFonts w:asciiTheme="majorHAnsi" w:eastAsiaTheme="majorEastAsia" w:hAnsiTheme="majorHAnsi" w:cstheme="majorBidi"/>
      <w:spacing w:val="-10"/>
      <w:kern w:val="28"/>
      <w:sz w:val="56"/>
      <w:szCs w:val="56"/>
    </w:rPr>
  </w:style>
  <w:style w:type="character" w:styleId="Textoennegrita">
    <w:name w:val="Strong"/>
    <w:basedOn w:val="Fuentedeprrafopredeter"/>
    <w:uiPriority w:val="22"/>
    <w:qFormat/>
    <w:rsid w:val="00DE5C48"/>
    <w:rPr>
      <w:b/>
      <w:bCs/>
    </w:rPr>
  </w:style>
  <w:style w:type="paragraph" w:customStyle="1" w:styleId="BodyText21">
    <w:name w:val="Body Text 21"/>
    <w:basedOn w:val="Normal"/>
    <w:rsid w:val="00DE5C48"/>
    <w:pPr>
      <w:widowControl/>
      <w:autoSpaceDE/>
      <w:autoSpaceDN/>
      <w:jc w:val="both"/>
    </w:pPr>
    <w:rPr>
      <w:rFonts w:ascii="Arial" w:eastAsia="Times New Roman" w:hAnsi="Arial" w:cs="Times New Roman"/>
      <w:sz w:val="24"/>
      <w:szCs w:val="20"/>
      <w:lang w:val="es-ES_tradnl" w:eastAsia="es-CO"/>
    </w:rPr>
  </w:style>
  <w:style w:type="character" w:customStyle="1" w:styleId="Ttulo3Car1">
    <w:name w:val="Título 3 Car1"/>
    <w:basedOn w:val="Fuentedeprrafopredeter"/>
    <w:uiPriority w:val="9"/>
    <w:semiHidden/>
    <w:rsid w:val="00DE5C48"/>
    <w:rPr>
      <w:rFonts w:asciiTheme="majorHAnsi" w:eastAsiaTheme="majorEastAsia" w:hAnsiTheme="majorHAnsi" w:cstheme="majorBidi"/>
      <w:color w:val="1F4D78" w:themeColor="accent1" w:themeShade="7F"/>
      <w:sz w:val="24"/>
      <w:szCs w:val="24"/>
    </w:rPr>
  </w:style>
  <w:style w:type="character" w:customStyle="1" w:styleId="NormalWebCar">
    <w:name w:val="Normal (Web) Car"/>
    <w:link w:val="NormalWeb"/>
    <w:uiPriority w:val="99"/>
    <w:locked/>
    <w:rsid w:val="00DE5C48"/>
    <w:rPr>
      <w:rFonts w:ascii="Times New Roman" w:eastAsia="Times New Roman" w:hAnsi="Times New Roman" w:cs="Times New Roman"/>
      <w:sz w:val="24"/>
      <w:szCs w:val="24"/>
      <w:lang w:eastAsia="es-CO"/>
    </w:rPr>
  </w:style>
  <w:style w:type="character" w:customStyle="1" w:styleId="Ttulo1Car1">
    <w:name w:val="Título 1 Car1"/>
    <w:aliases w:val="CGR1 Car,CAPÍTULO 1 - Formato Título 1 Car1,Letra verdana 22 Car1"/>
    <w:basedOn w:val="Fuentedeprrafopredeter"/>
    <w:locked/>
    <w:rsid w:val="00DE5C48"/>
    <w:rPr>
      <w:rFonts w:ascii="Arial" w:eastAsia="Times New Roman" w:hAnsi="Arial" w:cs="Times New Roman"/>
      <w:b/>
      <w:bCs/>
      <w:kern w:val="32"/>
      <w:sz w:val="32"/>
      <w:szCs w:val="32"/>
      <w:lang w:eastAsia="es-ES"/>
    </w:rPr>
  </w:style>
  <w:style w:type="character" w:customStyle="1" w:styleId="Ttulo2Car1">
    <w:name w:val="Título 2 Car1"/>
    <w:aliases w:val="CGR Car,2 Car,Título 2 + Franklin Gothic Book + Negrita Car"/>
    <w:basedOn w:val="Fuentedeprrafopredeter"/>
    <w:uiPriority w:val="99"/>
    <w:locked/>
    <w:rsid w:val="00DE5C48"/>
    <w:rPr>
      <w:rFonts w:ascii="Arial" w:eastAsia="Times New Roman" w:hAnsi="Arial" w:cs="Times New Roman"/>
      <w:b/>
      <w:bCs/>
      <w:i/>
      <w:iCs/>
      <w:sz w:val="28"/>
      <w:szCs w:val="28"/>
      <w:lang w:eastAsia="es-ES"/>
    </w:rPr>
  </w:style>
  <w:style w:type="character" w:customStyle="1" w:styleId="Ttulo4Car1">
    <w:name w:val="Título 4 Car1"/>
    <w:basedOn w:val="Fuentedeprrafopredeter"/>
    <w:uiPriority w:val="9"/>
    <w:locked/>
    <w:rsid w:val="00DE5C48"/>
    <w:rPr>
      <w:rFonts w:ascii="Times New Roman" w:eastAsia="Times New Roman" w:hAnsi="Times New Roman" w:cs="Times New Roman"/>
      <w:b/>
      <w:bCs/>
      <w:sz w:val="28"/>
      <w:szCs w:val="28"/>
      <w:lang w:eastAsia="es-ES"/>
    </w:rPr>
  </w:style>
  <w:style w:type="paragraph" w:customStyle="1" w:styleId="TITULOGRAFICOS">
    <w:name w:val="TITULO GRAFICOS"/>
    <w:basedOn w:val="Textonotapie"/>
    <w:rsid w:val="00DE5C48"/>
    <w:pPr>
      <w:widowControl/>
      <w:autoSpaceDE/>
      <w:autoSpaceDN/>
      <w:spacing w:after="160" w:line="259" w:lineRule="auto"/>
      <w:jc w:val="center"/>
    </w:pPr>
    <w:rPr>
      <w:rFonts w:asciiTheme="minorHAnsi" w:eastAsiaTheme="minorEastAsia" w:hAnsiTheme="minorHAnsi" w:cstheme="minorBidi"/>
      <w:b/>
      <w:caps/>
      <w:sz w:val="24"/>
      <w:lang w:val="es-CO"/>
    </w:rPr>
  </w:style>
  <w:style w:type="character" w:customStyle="1" w:styleId="BodyTextChar">
    <w:name w:val="Body Text Char"/>
    <w:aliases w:val="contents Char,body text Char,bt Char,body tesx Char,Inicio Char,EHPT Char,Body Text2 Char,ändrad Char,Texto independiente Car Car Char,Texto independiente Car Car Car Car Car Car Char,Texto independiente Car Car Car Car Char,Bodytext Char"/>
    <w:basedOn w:val="Fuentedeprrafopredeter"/>
    <w:uiPriority w:val="99"/>
    <w:semiHidden/>
    <w:rsid w:val="00DE5C48"/>
    <w:rPr>
      <w:rFonts w:ascii="Times New Roman" w:eastAsia="Times New Roman" w:hAnsi="Times New Roman"/>
      <w:sz w:val="24"/>
      <w:szCs w:val="24"/>
      <w:lang w:val="es-ES" w:eastAsia="es-ES"/>
    </w:rPr>
  </w:style>
  <w:style w:type="character" w:customStyle="1" w:styleId="BodyTextChar2">
    <w:name w:val="Body Text Char2"/>
    <w:aliases w:val="contents Char2,body text Char2,bt Char2,body tesx Char2,Inicio Char2,EHPT Char2,Body Text2 Char2,ändrad Char2,Texto independiente Car Car Char2,Texto independiente Car Car Car Car Car Car Char2,Texto independiente Car Car Car Car Char2"/>
    <w:basedOn w:val="Fuentedeprrafopredeter"/>
    <w:uiPriority w:val="99"/>
    <w:semiHidden/>
    <w:locked/>
    <w:rsid w:val="00DE5C48"/>
    <w:rPr>
      <w:rFonts w:ascii="Times New Roman" w:hAnsi="Times New Roman" w:cs="Times New Roman"/>
      <w:sz w:val="24"/>
      <w:szCs w:val="24"/>
      <w:lang w:val="es-ES" w:eastAsia="es-ES"/>
    </w:rPr>
  </w:style>
  <w:style w:type="paragraph" w:customStyle="1" w:styleId="Textoindependiente21">
    <w:name w:val="Texto independiente 21"/>
    <w:basedOn w:val="Normal"/>
    <w:rsid w:val="00DE5C48"/>
    <w:pPr>
      <w:widowControl/>
      <w:autoSpaceDE/>
      <w:autoSpaceDN/>
      <w:spacing w:after="160" w:line="259" w:lineRule="auto"/>
      <w:jc w:val="both"/>
    </w:pPr>
    <w:rPr>
      <w:rFonts w:ascii="Arial" w:eastAsiaTheme="minorEastAsia" w:hAnsi="Arial" w:cstheme="minorBidi"/>
      <w:szCs w:val="20"/>
      <w:lang w:val="es-ES_tradnl"/>
    </w:rPr>
  </w:style>
  <w:style w:type="paragraph" w:customStyle="1" w:styleId="CUERPOTEXTO">
    <w:name w:val="CUERPO TEXTO"/>
    <w:rsid w:val="00DE5C48"/>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Textoindependiente211">
    <w:name w:val="Texto independiente 211"/>
    <w:basedOn w:val="Normal"/>
    <w:uiPriority w:val="99"/>
    <w:rsid w:val="00DE5C48"/>
    <w:pPr>
      <w:widowControl/>
      <w:autoSpaceDE/>
      <w:autoSpaceDN/>
      <w:spacing w:after="160" w:line="259" w:lineRule="auto"/>
      <w:ind w:right="-35"/>
      <w:jc w:val="both"/>
    </w:pPr>
    <w:rPr>
      <w:rFonts w:ascii="Arial" w:eastAsiaTheme="minorEastAsia" w:hAnsi="Arial" w:cstheme="minorBidi"/>
      <w:i/>
      <w:szCs w:val="20"/>
      <w:lang w:val="es-ES_tradnl"/>
    </w:rPr>
  </w:style>
  <w:style w:type="paragraph" w:customStyle="1" w:styleId="Sangra2detindependiente1">
    <w:name w:val="Sangría 2 de t. independiente1"/>
    <w:basedOn w:val="Normal"/>
    <w:rsid w:val="00DE5C48"/>
    <w:pPr>
      <w:autoSpaceDE/>
      <w:autoSpaceDN/>
      <w:spacing w:after="160" w:line="259" w:lineRule="auto"/>
      <w:ind w:left="426"/>
      <w:jc w:val="both"/>
    </w:pPr>
    <w:rPr>
      <w:rFonts w:ascii="Arial" w:eastAsiaTheme="minorEastAsia" w:hAnsi="Arial" w:cstheme="minorBidi"/>
      <w:szCs w:val="20"/>
    </w:rPr>
  </w:style>
  <w:style w:type="paragraph" w:styleId="Lista2">
    <w:name w:val="List 2"/>
    <w:aliases w:val="Viñetas Letras"/>
    <w:basedOn w:val="Normal"/>
    <w:rsid w:val="00DE5C48"/>
    <w:pPr>
      <w:widowControl/>
      <w:autoSpaceDE/>
      <w:autoSpaceDN/>
      <w:spacing w:after="160" w:line="259" w:lineRule="auto"/>
      <w:ind w:left="566" w:hanging="283"/>
    </w:pPr>
    <w:rPr>
      <w:rFonts w:asciiTheme="minorHAnsi" w:eastAsiaTheme="minorEastAsia" w:hAnsiTheme="minorHAnsi" w:cstheme="minorBidi"/>
    </w:rPr>
  </w:style>
  <w:style w:type="paragraph" w:styleId="Lista3">
    <w:name w:val="List 3"/>
    <w:basedOn w:val="Normal"/>
    <w:rsid w:val="00DE5C48"/>
    <w:pPr>
      <w:widowControl/>
      <w:autoSpaceDE/>
      <w:autoSpaceDN/>
      <w:spacing w:after="160" w:line="259" w:lineRule="auto"/>
      <w:ind w:left="849" w:hanging="283"/>
    </w:pPr>
    <w:rPr>
      <w:rFonts w:asciiTheme="minorHAnsi" w:eastAsiaTheme="minorEastAsia" w:hAnsiTheme="minorHAnsi" w:cstheme="minorBidi"/>
    </w:rPr>
  </w:style>
  <w:style w:type="paragraph" w:styleId="Lista4">
    <w:name w:val="List 4"/>
    <w:basedOn w:val="Normal"/>
    <w:rsid w:val="00DE5C48"/>
    <w:pPr>
      <w:widowControl/>
      <w:autoSpaceDE/>
      <w:autoSpaceDN/>
      <w:spacing w:after="160" w:line="259" w:lineRule="auto"/>
      <w:ind w:left="1132" w:hanging="283"/>
    </w:pPr>
    <w:rPr>
      <w:rFonts w:asciiTheme="minorHAnsi" w:eastAsiaTheme="minorEastAsia" w:hAnsiTheme="minorHAnsi" w:cstheme="minorBidi"/>
    </w:rPr>
  </w:style>
  <w:style w:type="paragraph" w:styleId="Saludo">
    <w:name w:val="Salutation"/>
    <w:basedOn w:val="Normal"/>
    <w:next w:val="Normal"/>
    <w:link w:val="SaludoCar"/>
    <w:rsid w:val="00DE5C48"/>
    <w:pPr>
      <w:widowControl/>
      <w:autoSpaceDE/>
      <w:autoSpaceDN/>
      <w:spacing w:after="160" w:line="259" w:lineRule="auto"/>
    </w:pPr>
    <w:rPr>
      <w:rFonts w:asciiTheme="minorHAnsi" w:eastAsiaTheme="minorEastAsia" w:hAnsiTheme="minorHAnsi" w:cstheme="minorBidi"/>
    </w:rPr>
  </w:style>
  <w:style w:type="character" w:customStyle="1" w:styleId="SaludoCar">
    <w:name w:val="Saludo Car"/>
    <w:basedOn w:val="Fuentedeprrafopredeter"/>
    <w:link w:val="Saludo"/>
    <w:rsid w:val="00DE5C48"/>
    <w:rPr>
      <w:rFonts w:eastAsiaTheme="minorEastAsia"/>
      <w:lang w:val="es-ES"/>
    </w:rPr>
  </w:style>
  <w:style w:type="paragraph" w:styleId="Fecha">
    <w:name w:val="Date"/>
    <w:basedOn w:val="Normal"/>
    <w:next w:val="Normal"/>
    <w:link w:val="FechaCar"/>
    <w:rsid w:val="00DE5C48"/>
    <w:pPr>
      <w:widowControl/>
      <w:autoSpaceDE/>
      <w:autoSpaceDN/>
      <w:spacing w:after="160" w:line="259" w:lineRule="auto"/>
    </w:pPr>
    <w:rPr>
      <w:rFonts w:asciiTheme="minorHAnsi" w:eastAsiaTheme="minorEastAsia" w:hAnsiTheme="minorHAnsi" w:cstheme="minorBidi"/>
    </w:rPr>
  </w:style>
  <w:style w:type="character" w:customStyle="1" w:styleId="FechaCar">
    <w:name w:val="Fecha Car"/>
    <w:basedOn w:val="Fuentedeprrafopredeter"/>
    <w:link w:val="Fecha"/>
    <w:rsid w:val="00DE5C48"/>
    <w:rPr>
      <w:rFonts w:eastAsiaTheme="minorEastAsia"/>
      <w:lang w:val="es-ES"/>
    </w:rPr>
  </w:style>
  <w:style w:type="paragraph" w:styleId="Listaconvietas">
    <w:name w:val="List Bullet"/>
    <w:basedOn w:val="Normal"/>
    <w:rsid w:val="00DE5C48"/>
    <w:pPr>
      <w:widowControl/>
      <w:numPr>
        <w:numId w:val="2"/>
      </w:numPr>
      <w:autoSpaceDE/>
      <w:autoSpaceDN/>
      <w:spacing w:after="160" w:line="259" w:lineRule="auto"/>
    </w:pPr>
    <w:rPr>
      <w:rFonts w:asciiTheme="minorHAnsi" w:eastAsiaTheme="minorEastAsia" w:hAnsiTheme="minorHAnsi" w:cstheme="minorBidi"/>
    </w:rPr>
  </w:style>
  <w:style w:type="paragraph" w:styleId="Listaconvietas2">
    <w:name w:val="List Bullet 2"/>
    <w:basedOn w:val="Normal"/>
    <w:rsid w:val="00DE5C48"/>
    <w:pPr>
      <w:widowControl/>
      <w:numPr>
        <w:numId w:val="3"/>
      </w:numPr>
      <w:autoSpaceDE/>
      <w:autoSpaceDN/>
      <w:spacing w:after="160" w:line="259" w:lineRule="auto"/>
    </w:pPr>
    <w:rPr>
      <w:rFonts w:asciiTheme="minorHAnsi" w:eastAsiaTheme="minorEastAsia" w:hAnsiTheme="minorHAnsi" w:cstheme="minorBidi"/>
    </w:rPr>
  </w:style>
  <w:style w:type="paragraph" w:styleId="Listaconvietas3">
    <w:name w:val="List Bullet 3"/>
    <w:basedOn w:val="Normal"/>
    <w:rsid w:val="00DE5C48"/>
    <w:pPr>
      <w:widowControl/>
      <w:numPr>
        <w:numId w:val="4"/>
      </w:numPr>
      <w:autoSpaceDE/>
      <w:autoSpaceDN/>
      <w:spacing w:after="160" w:line="259" w:lineRule="auto"/>
    </w:pPr>
    <w:rPr>
      <w:rFonts w:asciiTheme="minorHAnsi" w:eastAsiaTheme="minorEastAsia" w:hAnsiTheme="minorHAnsi" w:cstheme="minorBidi"/>
    </w:rPr>
  </w:style>
  <w:style w:type="paragraph" w:styleId="Listaconvietas4">
    <w:name w:val="List Bullet 4"/>
    <w:basedOn w:val="Normal"/>
    <w:rsid w:val="00DE5C48"/>
    <w:pPr>
      <w:widowControl/>
      <w:numPr>
        <w:numId w:val="5"/>
      </w:numPr>
      <w:autoSpaceDE/>
      <w:autoSpaceDN/>
      <w:spacing w:after="160" w:line="259" w:lineRule="auto"/>
    </w:pPr>
    <w:rPr>
      <w:rFonts w:asciiTheme="minorHAnsi" w:eastAsiaTheme="minorEastAsia" w:hAnsiTheme="minorHAnsi" w:cstheme="minorBidi"/>
    </w:rPr>
  </w:style>
  <w:style w:type="paragraph" w:styleId="Listaconvietas5">
    <w:name w:val="List Bullet 5"/>
    <w:basedOn w:val="Normal"/>
    <w:rsid w:val="00DE5C48"/>
    <w:pPr>
      <w:widowControl/>
      <w:numPr>
        <w:numId w:val="6"/>
      </w:numPr>
      <w:autoSpaceDE/>
      <w:autoSpaceDN/>
      <w:spacing w:after="160" w:line="259" w:lineRule="auto"/>
    </w:pPr>
    <w:rPr>
      <w:rFonts w:asciiTheme="minorHAnsi" w:eastAsiaTheme="minorEastAsia" w:hAnsiTheme="minorHAnsi" w:cstheme="minorBidi"/>
    </w:rPr>
  </w:style>
  <w:style w:type="paragraph" w:styleId="Continuarlista">
    <w:name w:val="List Continue"/>
    <w:basedOn w:val="Normal"/>
    <w:rsid w:val="00DE5C48"/>
    <w:pPr>
      <w:widowControl/>
      <w:autoSpaceDE/>
      <w:autoSpaceDN/>
      <w:spacing w:after="120" w:line="259" w:lineRule="auto"/>
      <w:ind w:left="283"/>
    </w:pPr>
    <w:rPr>
      <w:rFonts w:asciiTheme="minorHAnsi" w:eastAsiaTheme="minorEastAsia" w:hAnsiTheme="minorHAnsi" w:cstheme="minorBidi"/>
    </w:rPr>
  </w:style>
  <w:style w:type="paragraph" w:styleId="Continuarlista2">
    <w:name w:val="List Continue 2"/>
    <w:basedOn w:val="Normal"/>
    <w:rsid w:val="00DE5C48"/>
    <w:pPr>
      <w:widowControl/>
      <w:autoSpaceDE/>
      <w:autoSpaceDN/>
      <w:spacing w:after="120" w:line="259" w:lineRule="auto"/>
      <w:ind w:left="566"/>
    </w:pPr>
    <w:rPr>
      <w:rFonts w:asciiTheme="minorHAnsi" w:eastAsiaTheme="minorEastAsia" w:hAnsiTheme="minorHAnsi" w:cstheme="minorBidi"/>
    </w:rPr>
  </w:style>
  <w:style w:type="paragraph" w:styleId="Continuarlista3">
    <w:name w:val="List Continue 3"/>
    <w:basedOn w:val="Normal"/>
    <w:rsid w:val="00DE5C48"/>
    <w:pPr>
      <w:widowControl/>
      <w:autoSpaceDE/>
      <w:autoSpaceDN/>
      <w:spacing w:after="120" w:line="259" w:lineRule="auto"/>
      <w:ind w:left="849"/>
    </w:pPr>
    <w:rPr>
      <w:rFonts w:asciiTheme="minorHAnsi" w:eastAsiaTheme="minorEastAsia" w:hAnsiTheme="minorHAnsi" w:cstheme="minorBidi"/>
    </w:rPr>
  </w:style>
  <w:style w:type="paragraph" w:styleId="Continuarlista4">
    <w:name w:val="List Continue 4"/>
    <w:basedOn w:val="Normal"/>
    <w:rsid w:val="00DE5C48"/>
    <w:pPr>
      <w:widowControl/>
      <w:autoSpaceDE/>
      <w:autoSpaceDN/>
      <w:spacing w:after="120" w:line="259" w:lineRule="auto"/>
      <w:ind w:left="1132"/>
    </w:pPr>
    <w:rPr>
      <w:rFonts w:asciiTheme="minorHAnsi" w:eastAsiaTheme="minorEastAsia" w:hAnsiTheme="minorHAnsi" w:cstheme="minorBidi"/>
    </w:rPr>
  </w:style>
  <w:style w:type="paragraph" w:styleId="Textoindependienteprimerasangra">
    <w:name w:val="Body Text First Indent"/>
    <w:basedOn w:val="Textoindependiente"/>
    <w:link w:val="TextoindependienteprimerasangraCar"/>
    <w:rsid w:val="00DE5C48"/>
    <w:pPr>
      <w:widowControl/>
      <w:autoSpaceDE/>
      <w:autoSpaceDN/>
      <w:spacing w:after="120" w:line="259" w:lineRule="auto"/>
      <w:ind w:firstLine="210"/>
    </w:pPr>
    <w:rPr>
      <w:rFonts w:asciiTheme="minorHAnsi" w:eastAsiaTheme="minorEastAsia" w:hAnsiTheme="minorHAnsi" w:cstheme="minorBidi"/>
    </w:rPr>
  </w:style>
  <w:style w:type="character" w:customStyle="1" w:styleId="TextoindependienteprimerasangraCar">
    <w:name w:val="Texto independiente primera sangría Car"/>
    <w:basedOn w:val="TextoindependienteCar"/>
    <w:link w:val="Textoindependienteprimerasangra"/>
    <w:rsid w:val="00DE5C48"/>
    <w:rPr>
      <w:rFonts w:ascii="Verdana" w:eastAsiaTheme="minorEastAsia" w:hAnsi="Verdana" w:cs="Verdana"/>
      <w:lang w:val="es-ES"/>
    </w:rPr>
  </w:style>
  <w:style w:type="character" w:customStyle="1" w:styleId="TextoindependienteCar1">
    <w:name w:val="Texto independiente Car1"/>
    <w:aliases w:val="contents Car1,body text Car1,bt Car1,body tesx Car1,Inicio Car1,EHPT Car1,Body Text2 Car1,ändrad Car1,Texto independiente Car Car Car1,Texto independiente Car Car Car Car Car Car Car1,Texto independiente Car Car Car Car Car2"/>
    <w:basedOn w:val="Fuentedeprrafopredeter"/>
    <w:link w:val="Textoindependiente"/>
    <w:uiPriority w:val="1"/>
    <w:rsid w:val="00DE5C48"/>
    <w:rPr>
      <w:rFonts w:ascii="Verdana" w:eastAsia="Verdana" w:hAnsi="Verdana" w:cs="Verdana"/>
      <w:lang w:val="es-ES"/>
    </w:rPr>
  </w:style>
  <w:style w:type="paragraph" w:styleId="Textoindependienteprimerasangra2">
    <w:name w:val="Body Text First Indent 2"/>
    <w:basedOn w:val="Sangradetextonormal"/>
    <w:link w:val="Textoindependienteprimerasangra2Car"/>
    <w:rsid w:val="00DE5C48"/>
    <w:pPr>
      <w:ind w:firstLine="210"/>
    </w:pPr>
    <w:rPr>
      <w:rFonts w:eastAsiaTheme="minorEastAsia"/>
      <w:lang w:val="es-ES"/>
    </w:rPr>
  </w:style>
  <w:style w:type="character" w:customStyle="1" w:styleId="Textoindependienteprimerasangra2Car">
    <w:name w:val="Texto independiente primera sangría 2 Car"/>
    <w:basedOn w:val="SangradetextonormalCar"/>
    <w:link w:val="Textoindependienteprimerasangra2"/>
    <w:rsid w:val="00DE5C48"/>
    <w:rPr>
      <w:rFonts w:eastAsiaTheme="minorEastAsia"/>
      <w:lang w:val="es-ES"/>
    </w:rPr>
  </w:style>
  <w:style w:type="paragraph" w:customStyle="1" w:styleId="NormalArial">
    <w:name w:val="Normal + Arial"/>
    <w:aliases w:val="14 pt,Negrita,Justificado,Título 3 + 12 pt,Izquierda:  0 cm,Primera línea:  0 cm"/>
    <w:basedOn w:val="Normal"/>
    <w:rsid w:val="00DE5C48"/>
    <w:pPr>
      <w:widowControl/>
      <w:autoSpaceDE/>
      <w:autoSpaceDN/>
      <w:spacing w:after="160" w:line="259" w:lineRule="auto"/>
      <w:jc w:val="both"/>
    </w:pPr>
    <w:rPr>
      <w:rFonts w:ascii="Arial" w:eastAsiaTheme="minorEastAsia" w:hAnsi="Arial" w:cs="Arial"/>
      <w:b/>
      <w:bCs/>
      <w:color w:val="0000FF"/>
      <w:lang w:val="es-CO"/>
    </w:rPr>
  </w:style>
  <w:style w:type="paragraph" w:customStyle="1" w:styleId="Documento">
    <w:name w:val="Documento"/>
    <w:basedOn w:val="Normal"/>
    <w:rsid w:val="00DE5C48"/>
    <w:pPr>
      <w:widowControl/>
      <w:overflowPunct w:val="0"/>
      <w:adjustRightInd w:val="0"/>
      <w:spacing w:after="160" w:line="259" w:lineRule="auto"/>
      <w:jc w:val="center"/>
      <w:textAlignment w:val="baseline"/>
    </w:pPr>
    <w:rPr>
      <w:rFonts w:ascii="Roman" w:eastAsiaTheme="minorEastAsia" w:hAnsi="Roman" w:cstheme="minorBidi"/>
      <w:szCs w:val="20"/>
      <w:lang w:val="es-ES_tradnl"/>
    </w:rPr>
  </w:style>
  <w:style w:type="paragraph" w:customStyle="1" w:styleId="Estilo1">
    <w:name w:val="Estilo1"/>
    <w:basedOn w:val="Normal"/>
    <w:rsid w:val="00DE5C48"/>
    <w:pPr>
      <w:overflowPunct w:val="0"/>
      <w:adjustRightInd w:val="0"/>
      <w:spacing w:after="160" w:line="259" w:lineRule="auto"/>
      <w:jc w:val="both"/>
      <w:textAlignment w:val="baseline"/>
    </w:pPr>
    <w:rPr>
      <w:rFonts w:ascii="Arial" w:eastAsiaTheme="minorEastAsia" w:hAnsi="Arial" w:cstheme="minorBidi"/>
      <w:b/>
      <w:sz w:val="20"/>
      <w:szCs w:val="20"/>
      <w:lang w:val="es-ES_tradnl"/>
    </w:rPr>
  </w:style>
  <w:style w:type="paragraph" w:customStyle="1" w:styleId="Sangra2detindependiente2">
    <w:name w:val="Sangría 2 de t. independiente2"/>
    <w:basedOn w:val="Normal"/>
    <w:rsid w:val="00DE5C48"/>
    <w:pPr>
      <w:widowControl/>
      <w:autoSpaceDE/>
      <w:autoSpaceDN/>
      <w:spacing w:after="160" w:line="259" w:lineRule="auto"/>
      <w:ind w:left="284"/>
      <w:jc w:val="both"/>
    </w:pPr>
    <w:rPr>
      <w:rFonts w:ascii="Arial" w:eastAsiaTheme="minorEastAsia" w:hAnsi="Arial" w:cstheme="minorBidi"/>
      <w:b/>
      <w:sz w:val="20"/>
      <w:szCs w:val="20"/>
      <w:lang w:val="es-ES_tradnl"/>
    </w:rPr>
  </w:style>
  <w:style w:type="paragraph" w:customStyle="1" w:styleId="WW-Textoindependiente2">
    <w:name w:val="WW-Texto independiente 2"/>
    <w:basedOn w:val="Normal"/>
    <w:rsid w:val="00DE5C48"/>
    <w:pPr>
      <w:widowControl/>
      <w:suppressAutoHyphens/>
      <w:autoSpaceDE/>
      <w:autoSpaceDN/>
      <w:spacing w:after="160" w:line="259" w:lineRule="auto"/>
      <w:jc w:val="center"/>
    </w:pPr>
    <w:rPr>
      <w:rFonts w:ascii="Arial" w:eastAsiaTheme="minorEastAsia" w:hAnsi="Arial" w:cstheme="minorBidi"/>
      <w:b/>
      <w:szCs w:val="20"/>
      <w:lang w:val="es-CO"/>
    </w:rPr>
  </w:style>
  <w:style w:type="paragraph" w:customStyle="1" w:styleId="Contenidodelatabla">
    <w:name w:val="Contenido de la tabla"/>
    <w:basedOn w:val="Textoindependiente"/>
    <w:rsid w:val="00DE5C48"/>
    <w:pPr>
      <w:suppressAutoHyphens/>
      <w:autoSpaceDE/>
      <w:autoSpaceDN/>
      <w:spacing w:after="283" w:line="259" w:lineRule="auto"/>
    </w:pPr>
    <w:rPr>
      <w:rFonts w:ascii="Arial" w:eastAsia="Calibri" w:hAnsi="Arial" w:cstheme="minorBidi"/>
      <w:lang w:val="es-ES_tradnl"/>
    </w:rPr>
  </w:style>
  <w:style w:type="paragraph" w:customStyle="1" w:styleId="Prrafodelista1">
    <w:name w:val="Párrafo de lista1"/>
    <w:basedOn w:val="Normal"/>
    <w:qFormat/>
    <w:rsid w:val="00DE5C48"/>
    <w:pPr>
      <w:widowControl/>
      <w:autoSpaceDE/>
      <w:autoSpaceDN/>
      <w:spacing w:after="160" w:line="259" w:lineRule="auto"/>
      <w:ind w:left="720"/>
      <w:contextualSpacing/>
      <w:jc w:val="both"/>
    </w:pPr>
    <w:rPr>
      <w:rFonts w:ascii="Arial" w:eastAsiaTheme="minorEastAsia" w:hAnsi="Arial" w:cstheme="minorBidi"/>
    </w:rPr>
  </w:style>
  <w:style w:type="paragraph" w:styleId="Sangra3detindependiente">
    <w:name w:val="Body Text Indent 3"/>
    <w:basedOn w:val="Normal"/>
    <w:link w:val="Sangra3detindependienteCar"/>
    <w:rsid w:val="00DE5C48"/>
    <w:pPr>
      <w:widowControl/>
      <w:autoSpaceDE/>
      <w:autoSpaceDN/>
      <w:spacing w:after="120" w:line="259"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rsid w:val="00DE5C48"/>
    <w:rPr>
      <w:rFonts w:eastAsiaTheme="minorEastAsia"/>
      <w:sz w:val="16"/>
      <w:szCs w:val="16"/>
      <w:lang w:val="es-ES"/>
    </w:rPr>
  </w:style>
  <w:style w:type="paragraph" w:styleId="Sangra2detindependiente">
    <w:name w:val="Body Text Indent 2"/>
    <w:basedOn w:val="Normal"/>
    <w:link w:val="Sangra2detindependienteCar"/>
    <w:rsid w:val="00DE5C48"/>
    <w:pPr>
      <w:widowControl/>
      <w:autoSpaceDE/>
      <w:autoSpaceDN/>
      <w:spacing w:after="120" w:line="480" w:lineRule="auto"/>
      <w:ind w:left="283"/>
    </w:pPr>
    <w:rPr>
      <w:rFonts w:asciiTheme="minorHAnsi" w:eastAsiaTheme="minorEastAsia" w:hAnsiTheme="minorHAnsi" w:cstheme="minorBidi"/>
    </w:rPr>
  </w:style>
  <w:style w:type="character" w:customStyle="1" w:styleId="Sangra2detindependienteCar">
    <w:name w:val="Sangría 2 de t. independiente Car"/>
    <w:basedOn w:val="Fuentedeprrafopredeter"/>
    <w:link w:val="Sangra2detindependiente"/>
    <w:rsid w:val="00DE5C48"/>
    <w:rPr>
      <w:rFonts w:eastAsiaTheme="minorEastAsia"/>
      <w:lang w:val="es-ES"/>
    </w:rPr>
  </w:style>
  <w:style w:type="paragraph" w:customStyle="1" w:styleId="NormalVietas">
    <w:name w:val="Normal Viñetas"/>
    <w:basedOn w:val="Normal"/>
    <w:rsid w:val="00DE5C48"/>
    <w:pPr>
      <w:widowControl/>
      <w:numPr>
        <w:numId w:val="8"/>
      </w:numPr>
      <w:autoSpaceDE/>
      <w:autoSpaceDN/>
      <w:spacing w:before="120" w:after="160" w:line="259" w:lineRule="auto"/>
      <w:jc w:val="both"/>
    </w:pPr>
    <w:rPr>
      <w:rFonts w:ascii="Tahoma" w:eastAsiaTheme="minorEastAsia" w:hAnsi="Tahoma" w:cstheme="minorBidi"/>
      <w:lang w:val="es-CO"/>
    </w:rPr>
  </w:style>
  <w:style w:type="paragraph" w:customStyle="1" w:styleId="ONormal">
    <w:name w:val="ONormal"/>
    <w:link w:val="ONormalCar"/>
    <w:rsid w:val="00DE5C48"/>
    <w:pPr>
      <w:spacing w:after="200" w:line="276" w:lineRule="auto"/>
    </w:pPr>
    <w:rPr>
      <w:rFonts w:ascii="Arial" w:eastAsia="Calibri" w:hAnsi="Arial" w:cs="Times New Roman"/>
      <w:color w:val="0000FF"/>
      <w:sz w:val="24"/>
      <w:lang w:val="es-ES" w:eastAsia="es-ES"/>
    </w:rPr>
  </w:style>
  <w:style w:type="character" w:customStyle="1" w:styleId="ONormalCar">
    <w:name w:val="ONormal Car"/>
    <w:link w:val="ONormal"/>
    <w:locked/>
    <w:rsid w:val="00DE5C48"/>
    <w:rPr>
      <w:rFonts w:ascii="Arial" w:eastAsia="Calibri" w:hAnsi="Arial" w:cs="Times New Roman"/>
      <w:color w:val="0000FF"/>
      <w:sz w:val="24"/>
      <w:lang w:val="es-ES" w:eastAsia="es-ES"/>
    </w:rPr>
  </w:style>
  <w:style w:type="paragraph" w:styleId="Textosinformato">
    <w:name w:val="Plain Text"/>
    <w:basedOn w:val="Normal"/>
    <w:link w:val="TextosinformatoCar"/>
    <w:uiPriority w:val="99"/>
    <w:rsid w:val="00DE5C48"/>
    <w:pPr>
      <w:widowControl/>
      <w:autoSpaceDE/>
      <w:autoSpaceDN/>
      <w:spacing w:after="160" w:line="259" w:lineRule="auto"/>
    </w:pPr>
    <w:rPr>
      <w:rFonts w:ascii="Consolas" w:eastAsia="Calibri" w:hAnsi="Consolas" w:cstheme="minorBidi"/>
      <w:sz w:val="21"/>
      <w:szCs w:val="21"/>
    </w:rPr>
  </w:style>
  <w:style w:type="character" w:customStyle="1" w:styleId="TextosinformatoCar">
    <w:name w:val="Texto sin formato Car"/>
    <w:basedOn w:val="Fuentedeprrafopredeter"/>
    <w:link w:val="Textosinformato"/>
    <w:uiPriority w:val="99"/>
    <w:rsid w:val="00DE5C48"/>
    <w:rPr>
      <w:rFonts w:ascii="Consolas" w:eastAsia="Calibri" w:hAnsi="Consolas"/>
      <w:sz w:val="21"/>
      <w:szCs w:val="21"/>
      <w:lang w:val="es-ES"/>
    </w:rPr>
  </w:style>
  <w:style w:type="paragraph" w:customStyle="1" w:styleId="xl33">
    <w:name w:val="xl33"/>
    <w:basedOn w:val="Normal"/>
    <w:rsid w:val="00DE5C48"/>
    <w:pPr>
      <w:widowControl/>
      <w:pBdr>
        <w:left w:val="single" w:sz="4" w:space="0" w:color="auto"/>
        <w:right w:val="single" w:sz="4" w:space="0" w:color="auto"/>
      </w:pBdr>
      <w:autoSpaceDE/>
      <w:autoSpaceDN/>
      <w:spacing w:before="100" w:beforeAutospacing="1" w:after="100" w:afterAutospacing="1" w:line="259" w:lineRule="auto"/>
    </w:pPr>
    <w:rPr>
      <w:rFonts w:ascii="Arial" w:eastAsia="Arial Unicode MS" w:hAnsi="Arial" w:cs="Arial"/>
      <w:b/>
      <w:bCs/>
    </w:rPr>
  </w:style>
  <w:style w:type="paragraph" w:customStyle="1" w:styleId="TablaDerecha">
    <w:name w:val="TablaDerecha"/>
    <w:basedOn w:val="Normal"/>
    <w:rsid w:val="00DE5C48"/>
    <w:pPr>
      <w:widowControl/>
      <w:autoSpaceDE/>
      <w:autoSpaceDN/>
      <w:spacing w:before="60" w:after="60" w:line="259" w:lineRule="auto"/>
      <w:jc w:val="right"/>
    </w:pPr>
    <w:rPr>
      <w:rFonts w:ascii="Arial" w:eastAsia="Arial Unicode MS" w:hAnsi="Arial" w:cstheme="minorBidi"/>
      <w:sz w:val="18"/>
    </w:rPr>
  </w:style>
  <w:style w:type="paragraph" w:customStyle="1" w:styleId="TablaEncabezado">
    <w:name w:val="TablaEncabezado"/>
    <w:basedOn w:val="Normal"/>
    <w:rsid w:val="00DE5C48"/>
    <w:pPr>
      <w:keepNext/>
      <w:widowControl/>
      <w:autoSpaceDE/>
      <w:autoSpaceDN/>
      <w:spacing w:before="60" w:after="60" w:line="259" w:lineRule="auto"/>
      <w:jc w:val="center"/>
    </w:pPr>
    <w:rPr>
      <w:rFonts w:ascii="Arial" w:eastAsia="Arial Unicode MS" w:hAnsi="Arial" w:cstheme="minorBidi"/>
      <w:b/>
      <w:sz w:val="18"/>
    </w:rPr>
  </w:style>
  <w:style w:type="paragraph" w:customStyle="1" w:styleId="TablaTtulo">
    <w:name w:val="TablaTítulo"/>
    <w:basedOn w:val="Normal"/>
    <w:rsid w:val="00DE5C48"/>
    <w:pPr>
      <w:keepNext/>
      <w:widowControl/>
      <w:autoSpaceDE/>
      <w:autoSpaceDN/>
      <w:spacing w:before="120" w:after="120" w:line="259" w:lineRule="auto"/>
      <w:jc w:val="center"/>
    </w:pPr>
    <w:rPr>
      <w:rFonts w:ascii="Arial" w:eastAsia="Arial Unicode MS" w:hAnsi="Arial" w:cstheme="minorBidi"/>
      <w:b/>
      <w:sz w:val="18"/>
    </w:rPr>
  </w:style>
  <w:style w:type="paragraph" w:customStyle="1" w:styleId="TablaIzquierda">
    <w:name w:val="TablaIzquierda"/>
    <w:basedOn w:val="Normal"/>
    <w:rsid w:val="00DE5C48"/>
    <w:pPr>
      <w:widowControl/>
      <w:autoSpaceDE/>
      <w:autoSpaceDN/>
      <w:spacing w:before="60" w:after="60" w:line="259" w:lineRule="auto"/>
    </w:pPr>
    <w:rPr>
      <w:rFonts w:ascii="Arial" w:eastAsia="Arial Unicode MS" w:hAnsi="Arial" w:cstheme="minorBidi"/>
      <w:sz w:val="18"/>
    </w:rPr>
  </w:style>
  <w:style w:type="paragraph" w:customStyle="1" w:styleId="308">
    <w:name w:val="308"/>
    <w:basedOn w:val="Normal"/>
    <w:rsid w:val="00DE5C48"/>
    <w:pPr>
      <w:widowControl/>
      <w:adjustRightInd w:val="0"/>
      <w:spacing w:after="160" w:line="259" w:lineRule="auto"/>
    </w:pPr>
    <w:rPr>
      <w:rFonts w:asciiTheme="minorHAnsi" w:eastAsiaTheme="minorEastAsia" w:hAnsiTheme="minorHAnsi" w:cstheme="minorBidi"/>
      <w:sz w:val="20"/>
      <w:szCs w:val="20"/>
      <w:lang w:val="en-US"/>
    </w:rPr>
  </w:style>
  <w:style w:type="paragraph" w:customStyle="1" w:styleId="InsideAddress">
    <w:name w:val="Inside Address"/>
    <w:basedOn w:val="Normal"/>
    <w:rsid w:val="00DE5C48"/>
    <w:pPr>
      <w:widowControl/>
      <w:overflowPunct w:val="0"/>
      <w:adjustRightInd w:val="0"/>
      <w:spacing w:after="160" w:line="259" w:lineRule="auto"/>
      <w:jc w:val="both"/>
      <w:textAlignment w:val="baseline"/>
    </w:pPr>
    <w:rPr>
      <w:rFonts w:asciiTheme="minorHAnsi" w:eastAsiaTheme="minorEastAsia" w:hAnsiTheme="minorHAnsi" w:cstheme="minorBidi"/>
      <w:szCs w:val="20"/>
      <w:lang w:val="en-GB"/>
    </w:rPr>
  </w:style>
  <w:style w:type="paragraph" w:customStyle="1" w:styleId="textopredeterminado0">
    <w:name w:val="textopredeterminado"/>
    <w:basedOn w:val="Normal"/>
    <w:rsid w:val="00DE5C48"/>
    <w:pPr>
      <w:widowControl/>
      <w:autoSpaceDE/>
      <w:autoSpaceDN/>
      <w:spacing w:before="100" w:beforeAutospacing="1" w:after="100" w:afterAutospacing="1" w:line="259" w:lineRule="auto"/>
    </w:pPr>
    <w:rPr>
      <w:rFonts w:ascii="Arial" w:eastAsiaTheme="minorEastAsia" w:hAnsi="Arial" w:cs="Arial"/>
      <w:sz w:val="20"/>
      <w:szCs w:val="20"/>
    </w:rPr>
  </w:style>
  <w:style w:type="paragraph" w:customStyle="1" w:styleId="xl36">
    <w:name w:val="xl36"/>
    <w:basedOn w:val="Normal"/>
    <w:rsid w:val="00DE5C48"/>
    <w:pPr>
      <w:widowControl/>
      <w:pBdr>
        <w:left w:val="single" w:sz="8" w:space="0" w:color="auto"/>
        <w:right w:val="single" w:sz="8" w:space="0" w:color="auto"/>
      </w:pBdr>
      <w:autoSpaceDE/>
      <w:autoSpaceDN/>
      <w:spacing w:before="100" w:beforeAutospacing="1" w:after="100" w:afterAutospacing="1" w:line="259" w:lineRule="auto"/>
      <w:jc w:val="center"/>
    </w:pPr>
    <w:rPr>
      <w:rFonts w:ascii="Arial" w:eastAsia="Arial Unicode MS" w:hAnsi="Arial" w:cs="Arial"/>
      <w:sz w:val="20"/>
      <w:lang w:val="es-CO"/>
    </w:rPr>
  </w:style>
  <w:style w:type="paragraph" w:customStyle="1" w:styleId="Sangradet">
    <w:name w:val="Sangría de t"/>
    <w:aliases w:val="independiente"/>
    <w:basedOn w:val="Normal"/>
    <w:rsid w:val="00DE5C48"/>
    <w:pPr>
      <w:widowControl/>
      <w:spacing w:after="160" w:line="259" w:lineRule="auto"/>
    </w:pPr>
    <w:rPr>
      <w:rFonts w:ascii="Arial" w:eastAsiaTheme="minorEastAsia" w:hAnsi="Arial" w:cs="Arial"/>
      <w:sz w:val="20"/>
      <w:szCs w:val="20"/>
      <w:lang w:val="es-ES_tradnl"/>
    </w:rPr>
  </w:style>
  <w:style w:type="table" w:styleId="Tablaconcolumnas5">
    <w:name w:val="Table Columns 5"/>
    <w:basedOn w:val="Tablanormal"/>
    <w:rsid w:val="00DE5C48"/>
    <w:pPr>
      <w:spacing w:after="0" w:line="240" w:lineRule="auto"/>
    </w:pPr>
    <w:rPr>
      <w:rFonts w:ascii="Times New Roman" w:eastAsia="Times New Roman" w:hAnsi="Times New Roman" w:cs="Times New Roman"/>
      <w:sz w:val="20"/>
      <w:szCs w:val="20"/>
      <w:lang w:eastAsia="es-C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xl30">
    <w:name w:val="xl30"/>
    <w:basedOn w:val="Normal"/>
    <w:rsid w:val="00DE5C48"/>
    <w:pPr>
      <w:widowControl/>
      <w:pBdr>
        <w:bottom w:val="single" w:sz="4" w:space="0" w:color="auto"/>
      </w:pBdr>
      <w:autoSpaceDE/>
      <w:autoSpaceDN/>
      <w:spacing w:before="100" w:beforeAutospacing="1" w:after="100" w:afterAutospacing="1" w:line="259" w:lineRule="auto"/>
      <w:jc w:val="center"/>
      <w:textAlignment w:val="center"/>
    </w:pPr>
    <w:rPr>
      <w:rFonts w:ascii="Arial Unicode MS" w:eastAsia="Arial Unicode MS" w:hAnsi="Arial Unicode MS" w:cs="Arial Unicode MS"/>
    </w:rPr>
  </w:style>
  <w:style w:type="table" w:styleId="Tablamoderna">
    <w:name w:val="Table Contemporary"/>
    <w:basedOn w:val="Tablanormal"/>
    <w:rsid w:val="00DE5C48"/>
    <w:pPr>
      <w:spacing w:after="0" w:line="240" w:lineRule="auto"/>
    </w:pPr>
    <w:rPr>
      <w:rFonts w:ascii="Times New Roman" w:eastAsia="Times New Roman" w:hAnsi="Times New Roman" w:cs="Times New Roman"/>
      <w:sz w:val="20"/>
      <w:szCs w:val="20"/>
      <w:lang w:eastAsia="es-C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HTMLconformatoprevio">
    <w:name w:val="HTML Preformatted"/>
    <w:basedOn w:val="Normal"/>
    <w:link w:val="HTMLconformatoprevioCar"/>
    <w:rsid w:val="00DE5C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60" w:line="259" w:lineRule="auto"/>
    </w:pPr>
    <w:rPr>
      <w:rFonts w:ascii="Courier New" w:eastAsiaTheme="minorEastAsia" w:hAnsi="Courier New" w:cs="Courier New"/>
      <w:sz w:val="20"/>
      <w:szCs w:val="20"/>
    </w:rPr>
  </w:style>
  <w:style w:type="character" w:customStyle="1" w:styleId="HTMLconformatoprevioCar">
    <w:name w:val="HTML con formato previo Car"/>
    <w:basedOn w:val="Fuentedeprrafopredeter"/>
    <w:link w:val="HTMLconformatoprevio"/>
    <w:rsid w:val="00DE5C48"/>
    <w:rPr>
      <w:rFonts w:ascii="Courier New" w:eastAsiaTheme="minorEastAsia" w:hAnsi="Courier New" w:cs="Courier New"/>
      <w:sz w:val="20"/>
      <w:szCs w:val="20"/>
      <w:lang w:val="es-ES"/>
    </w:rPr>
  </w:style>
  <w:style w:type="paragraph" w:customStyle="1" w:styleId="textogeneral">
    <w:name w:val="texto general"/>
    <w:basedOn w:val="Normal"/>
    <w:rsid w:val="00DE5C48"/>
    <w:pPr>
      <w:widowControl/>
      <w:autoSpaceDE/>
      <w:autoSpaceDN/>
      <w:spacing w:before="120" w:after="160" w:line="259" w:lineRule="auto"/>
      <w:jc w:val="both"/>
    </w:pPr>
    <w:rPr>
      <w:rFonts w:ascii="Arial" w:eastAsiaTheme="minorEastAsia" w:hAnsi="Arial" w:cstheme="minorBidi"/>
    </w:rPr>
  </w:style>
  <w:style w:type="character" w:customStyle="1" w:styleId="CarCar17">
    <w:name w:val="Car Car17"/>
    <w:rsid w:val="00DE5C48"/>
    <w:rPr>
      <w:rFonts w:ascii="Helvetica" w:hAnsi="Helvetica"/>
      <w:b/>
      <w:sz w:val="24"/>
      <w:u w:val="single"/>
      <w:lang w:val="es-ES" w:eastAsia="es-ES"/>
    </w:rPr>
  </w:style>
  <w:style w:type="paragraph" w:customStyle="1" w:styleId="Pa5">
    <w:name w:val="Pa5"/>
    <w:basedOn w:val="Normal"/>
    <w:next w:val="Normal"/>
    <w:rsid w:val="00DE5C48"/>
    <w:pPr>
      <w:widowControl/>
      <w:adjustRightInd w:val="0"/>
      <w:spacing w:before="40" w:after="160" w:line="221" w:lineRule="atLeast"/>
    </w:pPr>
    <w:rPr>
      <w:rFonts w:ascii="Basset" w:eastAsiaTheme="minorEastAsia" w:hAnsi="Basset" w:cstheme="minorBidi"/>
    </w:rPr>
  </w:style>
  <w:style w:type="character" w:customStyle="1" w:styleId="CarCar8">
    <w:name w:val="Car Car8"/>
    <w:semiHidden/>
    <w:rsid w:val="00DE5C48"/>
    <w:rPr>
      <w:lang w:val="es-ES" w:eastAsia="es-ES"/>
    </w:rPr>
  </w:style>
  <w:style w:type="character" w:customStyle="1" w:styleId="EncabezadoCar1">
    <w:name w:val="Encabezado Car1"/>
    <w:aliases w:val="Encabezado Car Car"/>
    <w:rsid w:val="00DE5C48"/>
    <w:rPr>
      <w:sz w:val="24"/>
      <w:lang w:val="es-ES" w:eastAsia="es-ES"/>
    </w:rPr>
  </w:style>
  <w:style w:type="paragraph" w:customStyle="1" w:styleId="xl26">
    <w:name w:val="xl26"/>
    <w:basedOn w:val="Normal"/>
    <w:rsid w:val="00DE5C4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59" w:lineRule="auto"/>
      <w:jc w:val="right"/>
    </w:pPr>
    <w:rPr>
      <w:rFonts w:ascii="Arial" w:eastAsia="Arial Unicode MS" w:hAnsi="Arial" w:cs="Arial"/>
      <w:b/>
      <w:bCs/>
    </w:rPr>
  </w:style>
  <w:style w:type="paragraph" w:styleId="Cita">
    <w:name w:val="Quote"/>
    <w:basedOn w:val="Normal"/>
    <w:next w:val="Normal"/>
    <w:link w:val="CitaCar"/>
    <w:qFormat/>
    <w:rsid w:val="00DE5C48"/>
    <w:pPr>
      <w:widowControl/>
      <w:autoSpaceDE/>
      <w:autoSpaceDN/>
      <w:spacing w:before="160" w:after="160" w:line="259" w:lineRule="auto"/>
      <w:ind w:left="720" w:right="720"/>
    </w:pPr>
    <w:rPr>
      <w:rFonts w:asciiTheme="minorHAnsi" w:eastAsiaTheme="minorEastAsia" w:hAnsiTheme="minorHAnsi" w:cstheme="minorBidi"/>
      <w:i/>
      <w:iCs/>
      <w:color w:val="000000" w:themeColor="text1"/>
    </w:rPr>
  </w:style>
  <w:style w:type="character" w:customStyle="1" w:styleId="CitaCar">
    <w:name w:val="Cita Car"/>
    <w:basedOn w:val="Fuentedeprrafopredeter"/>
    <w:link w:val="Cita"/>
    <w:rsid w:val="00DE5C48"/>
    <w:rPr>
      <w:rFonts w:eastAsiaTheme="minorEastAsia"/>
      <w:i/>
      <w:iCs/>
      <w:color w:val="000000" w:themeColor="text1"/>
      <w:lang w:val="es-ES"/>
    </w:rPr>
  </w:style>
  <w:style w:type="paragraph" w:styleId="Citadestacada">
    <w:name w:val="Intense Quote"/>
    <w:basedOn w:val="Normal"/>
    <w:next w:val="Normal"/>
    <w:link w:val="CitadestacadaCar"/>
    <w:qFormat/>
    <w:rsid w:val="00DE5C48"/>
    <w:pPr>
      <w:widowControl/>
      <w:pBdr>
        <w:top w:val="single" w:sz="24" w:space="1" w:color="F2F2F2" w:themeColor="background1" w:themeShade="F2"/>
        <w:bottom w:val="single" w:sz="24" w:space="1" w:color="F2F2F2" w:themeColor="background1" w:themeShade="F2"/>
      </w:pBdr>
      <w:shd w:val="clear" w:color="auto" w:fill="F2F2F2" w:themeFill="background1" w:themeFillShade="F2"/>
      <w:autoSpaceDE/>
      <w:autoSpaceDN/>
      <w:spacing w:before="240" w:after="240" w:line="259" w:lineRule="auto"/>
      <w:ind w:left="936" w:right="936"/>
      <w:jc w:val="center"/>
    </w:pPr>
    <w:rPr>
      <w:rFonts w:asciiTheme="minorHAnsi" w:eastAsiaTheme="minorEastAsia" w:hAnsiTheme="minorHAnsi" w:cstheme="minorBidi"/>
      <w:color w:val="000000" w:themeColor="text1"/>
    </w:rPr>
  </w:style>
  <w:style w:type="character" w:customStyle="1" w:styleId="CitadestacadaCar">
    <w:name w:val="Cita destacada Car"/>
    <w:basedOn w:val="Fuentedeprrafopredeter"/>
    <w:link w:val="Citadestacada"/>
    <w:rsid w:val="00DE5C48"/>
    <w:rPr>
      <w:rFonts w:eastAsiaTheme="minorEastAsia"/>
      <w:color w:val="000000" w:themeColor="text1"/>
      <w:shd w:val="clear" w:color="auto" w:fill="F2F2F2" w:themeFill="background1" w:themeFillShade="F2"/>
      <w:lang w:val="es-ES"/>
    </w:rPr>
  </w:style>
  <w:style w:type="paragraph" w:styleId="Textonotaalfinal">
    <w:name w:val="endnote text"/>
    <w:basedOn w:val="Normal"/>
    <w:link w:val="TextonotaalfinalCar"/>
    <w:rsid w:val="00DE5C48"/>
    <w:pPr>
      <w:widowControl/>
      <w:autoSpaceDE/>
      <w:autoSpaceDN/>
      <w:spacing w:after="160" w:line="259" w:lineRule="auto"/>
    </w:pPr>
    <w:rPr>
      <w:rFonts w:ascii="Calibri" w:eastAsiaTheme="minorEastAsia" w:hAnsi="Calibri" w:cstheme="minorBidi"/>
      <w:sz w:val="20"/>
      <w:szCs w:val="20"/>
      <w:lang w:val="es-CO" w:eastAsia="es-CO"/>
    </w:rPr>
  </w:style>
  <w:style w:type="character" w:customStyle="1" w:styleId="TextonotaalfinalCar">
    <w:name w:val="Texto nota al final Car"/>
    <w:basedOn w:val="Fuentedeprrafopredeter"/>
    <w:link w:val="Textonotaalfinal"/>
    <w:rsid w:val="00DE5C48"/>
    <w:rPr>
      <w:rFonts w:ascii="Calibri" w:eastAsiaTheme="minorEastAsia" w:hAnsi="Calibri"/>
      <w:sz w:val="20"/>
      <w:szCs w:val="20"/>
      <w:lang w:eastAsia="es-CO"/>
    </w:rPr>
  </w:style>
  <w:style w:type="paragraph" w:customStyle="1" w:styleId="purple">
    <w:name w:val="purple"/>
    <w:basedOn w:val="Normal"/>
    <w:rsid w:val="00DE5C48"/>
    <w:pPr>
      <w:widowControl/>
      <w:autoSpaceDE/>
      <w:autoSpaceDN/>
      <w:spacing w:before="100" w:beforeAutospacing="1" w:after="100" w:afterAutospacing="1" w:line="259" w:lineRule="auto"/>
    </w:pPr>
    <w:rPr>
      <w:rFonts w:ascii="Arial Unicode MS" w:eastAsia="Arial Unicode MS" w:hAnsi="Arial Unicode MS" w:cstheme="minorBidi"/>
    </w:rPr>
  </w:style>
  <w:style w:type="paragraph" w:customStyle="1" w:styleId="Textoindependiente1">
    <w:name w:val="Texto independiente1"/>
    <w:basedOn w:val="Normal"/>
    <w:rsid w:val="00DE5C48"/>
    <w:pPr>
      <w:widowControl/>
      <w:suppressAutoHyphens/>
      <w:autoSpaceDN/>
      <w:spacing w:after="160" w:line="259" w:lineRule="auto"/>
      <w:jc w:val="both"/>
    </w:pPr>
    <w:rPr>
      <w:rFonts w:ascii="Arial" w:eastAsia="Calibri" w:hAnsi="Arial" w:cstheme="minorBidi"/>
      <w:szCs w:val="20"/>
      <w:lang w:val="es-ES_tradnl"/>
    </w:rPr>
  </w:style>
  <w:style w:type="character" w:customStyle="1" w:styleId="clsdefaulttextbd1">
    <w:name w:val="clsdefaulttextbd1"/>
    <w:rsid w:val="00DE5C48"/>
    <w:rPr>
      <w:b/>
      <w:color w:val="000000"/>
      <w:sz w:val="16"/>
    </w:rPr>
  </w:style>
  <w:style w:type="paragraph" w:styleId="TDC7">
    <w:name w:val="toc 7"/>
    <w:basedOn w:val="Normal"/>
    <w:next w:val="Normal"/>
    <w:autoRedefine/>
    <w:qFormat/>
    <w:rsid w:val="00DE5C48"/>
    <w:pPr>
      <w:widowControl/>
      <w:autoSpaceDE/>
      <w:autoSpaceDN/>
      <w:spacing w:after="160" w:line="259" w:lineRule="auto"/>
      <w:ind w:left="1200"/>
    </w:pPr>
    <w:rPr>
      <w:rFonts w:asciiTheme="minorHAnsi" w:eastAsiaTheme="minorEastAsia" w:hAnsiTheme="minorHAnsi" w:cstheme="minorBidi"/>
      <w:sz w:val="20"/>
      <w:szCs w:val="20"/>
    </w:rPr>
  </w:style>
  <w:style w:type="paragraph" w:styleId="TDC8">
    <w:name w:val="toc 8"/>
    <w:basedOn w:val="Normal"/>
    <w:next w:val="Normal"/>
    <w:autoRedefine/>
    <w:qFormat/>
    <w:rsid w:val="00DE5C48"/>
    <w:pPr>
      <w:widowControl/>
      <w:autoSpaceDE/>
      <w:autoSpaceDN/>
      <w:spacing w:after="160" w:line="259" w:lineRule="auto"/>
      <w:ind w:left="1440"/>
    </w:pPr>
    <w:rPr>
      <w:rFonts w:asciiTheme="minorHAnsi" w:eastAsiaTheme="minorEastAsia" w:hAnsiTheme="minorHAnsi" w:cstheme="minorBidi"/>
      <w:sz w:val="20"/>
      <w:szCs w:val="20"/>
    </w:rPr>
  </w:style>
  <w:style w:type="paragraph" w:styleId="TDC9">
    <w:name w:val="toc 9"/>
    <w:basedOn w:val="Normal"/>
    <w:next w:val="Normal"/>
    <w:autoRedefine/>
    <w:qFormat/>
    <w:rsid w:val="00DE5C48"/>
    <w:pPr>
      <w:widowControl/>
      <w:autoSpaceDE/>
      <w:autoSpaceDN/>
      <w:spacing w:after="160" w:line="259" w:lineRule="auto"/>
      <w:ind w:left="1680"/>
    </w:pPr>
    <w:rPr>
      <w:rFonts w:asciiTheme="minorHAnsi" w:eastAsiaTheme="minorEastAsia" w:hAnsiTheme="minorHAnsi" w:cstheme="minorBidi"/>
      <w:sz w:val="20"/>
      <w:szCs w:val="20"/>
    </w:rPr>
  </w:style>
  <w:style w:type="paragraph" w:customStyle="1" w:styleId="xl24">
    <w:name w:val="xl24"/>
    <w:basedOn w:val="Normal"/>
    <w:rsid w:val="00DE5C48"/>
    <w:pPr>
      <w:widowControl/>
      <w:pBdr>
        <w:left w:val="single" w:sz="4" w:space="0" w:color="FFFFFF"/>
        <w:right w:val="single" w:sz="4" w:space="0" w:color="FFFFFF"/>
      </w:pBdr>
      <w:shd w:val="clear" w:color="000000" w:fill="FFFFFF"/>
      <w:autoSpaceDE/>
      <w:autoSpaceDN/>
      <w:spacing w:before="100" w:beforeAutospacing="1" w:after="100" w:afterAutospacing="1" w:line="259" w:lineRule="auto"/>
      <w:jc w:val="right"/>
      <w:textAlignment w:val="center"/>
    </w:pPr>
    <w:rPr>
      <w:rFonts w:ascii="Arial" w:eastAsia="Arial Unicode MS" w:hAnsi="Arial" w:cs="Arial"/>
      <w:color w:val="000000"/>
    </w:rPr>
  </w:style>
  <w:style w:type="paragraph" w:customStyle="1" w:styleId="xl25">
    <w:name w:val="xl25"/>
    <w:basedOn w:val="Normal"/>
    <w:rsid w:val="00DE5C48"/>
    <w:pPr>
      <w:widowControl/>
      <w:autoSpaceDE/>
      <w:autoSpaceDN/>
      <w:spacing w:before="100" w:beforeAutospacing="1" w:after="100" w:afterAutospacing="1" w:line="259" w:lineRule="auto"/>
      <w:jc w:val="center"/>
      <w:textAlignment w:val="center"/>
    </w:pPr>
    <w:rPr>
      <w:rFonts w:ascii="Arial" w:eastAsia="Arial Unicode MS" w:hAnsi="Arial" w:cs="Arial"/>
    </w:rPr>
  </w:style>
  <w:style w:type="paragraph" w:customStyle="1" w:styleId="xl27">
    <w:name w:val="xl27"/>
    <w:basedOn w:val="Normal"/>
    <w:rsid w:val="00DE5C48"/>
    <w:pPr>
      <w:widowControl/>
      <w:pBdr>
        <w:top w:val="single" w:sz="4" w:space="0" w:color="FFFFFF"/>
        <w:left w:val="single" w:sz="4" w:space="0" w:color="FFFFFF"/>
        <w:right w:val="single" w:sz="4" w:space="0" w:color="FFFFFF"/>
      </w:pBdr>
      <w:shd w:val="clear" w:color="000000" w:fill="FFFFFF"/>
      <w:autoSpaceDE/>
      <w:autoSpaceDN/>
      <w:spacing w:before="100" w:beforeAutospacing="1" w:after="100" w:afterAutospacing="1" w:line="259" w:lineRule="auto"/>
      <w:jc w:val="right"/>
      <w:textAlignment w:val="center"/>
    </w:pPr>
    <w:rPr>
      <w:rFonts w:ascii="Arial" w:eastAsia="Arial Unicode MS" w:hAnsi="Arial" w:cs="Arial"/>
      <w:b/>
      <w:bCs/>
      <w:color w:val="000000"/>
      <w:u w:val="single"/>
    </w:rPr>
  </w:style>
  <w:style w:type="paragraph" w:customStyle="1" w:styleId="xl28">
    <w:name w:val="xl28"/>
    <w:basedOn w:val="Normal"/>
    <w:rsid w:val="00DE5C48"/>
    <w:pPr>
      <w:widowControl/>
      <w:pBdr>
        <w:left w:val="single" w:sz="4" w:space="0" w:color="FFFFFF"/>
        <w:right w:val="single" w:sz="4" w:space="0" w:color="FFFFFF"/>
      </w:pBdr>
      <w:shd w:val="clear" w:color="000000" w:fill="FFFFFF"/>
      <w:autoSpaceDE/>
      <w:autoSpaceDN/>
      <w:spacing w:before="100" w:beforeAutospacing="1" w:after="100" w:afterAutospacing="1" w:line="259" w:lineRule="auto"/>
      <w:textAlignment w:val="center"/>
    </w:pPr>
    <w:rPr>
      <w:rFonts w:ascii="Arial" w:eastAsia="Arial Unicode MS" w:hAnsi="Arial" w:cs="Arial"/>
      <w:b/>
      <w:bCs/>
      <w:color w:val="000000"/>
    </w:rPr>
  </w:style>
  <w:style w:type="paragraph" w:customStyle="1" w:styleId="xl29">
    <w:name w:val="xl29"/>
    <w:basedOn w:val="Normal"/>
    <w:rsid w:val="00DE5C48"/>
    <w:pPr>
      <w:widowControl/>
      <w:pBdr>
        <w:left w:val="single" w:sz="4" w:space="0" w:color="FFFFFF"/>
        <w:right w:val="single" w:sz="4" w:space="0" w:color="FFFFFF"/>
      </w:pBdr>
      <w:shd w:val="clear" w:color="000000" w:fill="FFFFFF"/>
      <w:autoSpaceDE/>
      <w:autoSpaceDN/>
      <w:spacing w:before="100" w:beforeAutospacing="1" w:after="100" w:afterAutospacing="1" w:line="259" w:lineRule="auto"/>
      <w:jc w:val="right"/>
      <w:textAlignment w:val="center"/>
    </w:pPr>
    <w:rPr>
      <w:rFonts w:ascii="Arial" w:eastAsia="Arial Unicode MS" w:hAnsi="Arial" w:cs="Arial"/>
      <w:b/>
      <w:bCs/>
      <w:color w:val="000000"/>
      <w:u w:val="single"/>
    </w:rPr>
  </w:style>
  <w:style w:type="paragraph" w:customStyle="1" w:styleId="xl31">
    <w:name w:val="xl31"/>
    <w:basedOn w:val="Normal"/>
    <w:rsid w:val="00DE5C48"/>
    <w:pPr>
      <w:widowControl/>
      <w:pBdr>
        <w:left w:val="single" w:sz="4" w:space="0" w:color="FFFFFF"/>
        <w:right w:val="single" w:sz="4" w:space="0" w:color="FFFFFF"/>
      </w:pBdr>
      <w:shd w:val="clear" w:color="000000" w:fill="FFFFFF"/>
      <w:autoSpaceDE/>
      <w:autoSpaceDN/>
      <w:spacing w:before="100" w:beforeAutospacing="1" w:after="100" w:afterAutospacing="1" w:line="259" w:lineRule="auto"/>
      <w:textAlignment w:val="center"/>
    </w:pPr>
    <w:rPr>
      <w:rFonts w:ascii="Arial" w:eastAsia="Arial Unicode MS" w:hAnsi="Arial" w:cs="Arial"/>
      <w:color w:val="000000"/>
    </w:rPr>
  </w:style>
  <w:style w:type="paragraph" w:customStyle="1" w:styleId="xl32">
    <w:name w:val="xl32"/>
    <w:basedOn w:val="Normal"/>
    <w:rsid w:val="00DE5C48"/>
    <w:pPr>
      <w:widowControl/>
      <w:autoSpaceDE/>
      <w:autoSpaceDN/>
      <w:spacing w:before="100" w:beforeAutospacing="1" w:after="100" w:afterAutospacing="1" w:line="259" w:lineRule="auto"/>
      <w:jc w:val="center"/>
      <w:textAlignment w:val="center"/>
    </w:pPr>
    <w:rPr>
      <w:rFonts w:ascii="Arial" w:eastAsia="Arial Unicode MS" w:hAnsi="Arial" w:cs="Arial"/>
      <w:b/>
      <w:bCs/>
      <w:sz w:val="28"/>
      <w:szCs w:val="28"/>
    </w:rPr>
  </w:style>
  <w:style w:type="paragraph" w:customStyle="1" w:styleId="xl34">
    <w:name w:val="xl34"/>
    <w:basedOn w:val="Normal"/>
    <w:rsid w:val="00DE5C48"/>
    <w:pPr>
      <w:widowControl/>
      <w:pBdr>
        <w:top w:val="single" w:sz="4" w:space="0" w:color="FFFFFF"/>
        <w:left w:val="single" w:sz="4" w:space="0" w:color="FFFFFF"/>
        <w:right w:val="single" w:sz="4" w:space="0" w:color="FFFFFF"/>
      </w:pBdr>
      <w:autoSpaceDE/>
      <w:autoSpaceDN/>
      <w:spacing w:before="100" w:beforeAutospacing="1" w:after="100" w:afterAutospacing="1" w:line="259" w:lineRule="auto"/>
      <w:jc w:val="right"/>
      <w:textAlignment w:val="center"/>
    </w:pPr>
    <w:rPr>
      <w:rFonts w:ascii="Arial" w:eastAsia="Arial Unicode MS" w:hAnsi="Arial" w:cs="Arial"/>
      <w:b/>
      <w:bCs/>
      <w:color w:val="000000"/>
      <w:u w:val="single"/>
    </w:rPr>
  </w:style>
  <w:style w:type="paragraph" w:customStyle="1" w:styleId="xl35">
    <w:name w:val="xl35"/>
    <w:basedOn w:val="Normal"/>
    <w:rsid w:val="00DE5C48"/>
    <w:pPr>
      <w:widowControl/>
      <w:pBdr>
        <w:left w:val="single" w:sz="4" w:space="0" w:color="FFFFFF"/>
        <w:right w:val="single" w:sz="4" w:space="0" w:color="FFFFFF"/>
      </w:pBdr>
      <w:autoSpaceDE/>
      <w:autoSpaceDN/>
      <w:spacing w:before="100" w:beforeAutospacing="1" w:after="100" w:afterAutospacing="1" w:line="259" w:lineRule="auto"/>
      <w:jc w:val="right"/>
      <w:textAlignment w:val="center"/>
    </w:pPr>
    <w:rPr>
      <w:rFonts w:ascii="Arial" w:eastAsia="Arial Unicode MS" w:hAnsi="Arial" w:cs="Arial"/>
      <w:b/>
      <w:bCs/>
      <w:color w:val="000000"/>
    </w:rPr>
  </w:style>
  <w:style w:type="paragraph" w:styleId="Mapadeldocumento">
    <w:name w:val="Document Map"/>
    <w:basedOn w:val="Normal"/>
    <w:link w:val="MapadeldocumentoCar"/>
    <w:rsid w:val="00DE5C48"/>
    <w:pPr>
      <w:widowControl/>
      <w:shd w:val="clear" w:color="auto" w:fill="000080"/>
      <w:autoSpaceDE/>
      <w:autoSpaceDN/>
      <w:spacing w:after="160" w:line="259" w:lineRule="auto"/>
    </w:pPr>
    <w:rPr>
      <w:rFonts w:ascii="Tahoma" w:eastAsiaTheme="minorEastAsia" w:hAnsi="Tahoma" w:cs="Tahoma"/>
      <w:sz w:val="20"/>
      <w:szCs w:val="20"/>
    </w:rPr>
  </w:style>
  <w:style w:type="character" w:customStyle="1" w:styleId="MapadeldocumentoCar">
    <w:name w:val="Mapa del documento Car"/>
    <w:basedOn w:val="Fuentedeprrafopredeter"/>
    <w:link w:val="Mapadeldocumento"/>
    <w:rsid w:val="00DE5C48"/>
    <w:rPr>
      <w:rFonts w:ascii="Tahoma" w:eastAsiaTheme="minorEastAsia" w:hAnsi="Tahoma" w:cs="Tahoma"/>
      <w:sz w:val="20"/>
      <w:szCs w:val="20"/>
      <w:shd w:val="clear" w:color="auto" w:fill="000080"/>
      <w:lang w:val="es-ES"/>
    </w:rPr>
  </w:style>
  <w:style w:type="paragraph" w:customStyle="1" w:styleId="W2">
    <w:name w:val="W2"/>
    <w:basedOn w:val="Normal"/>
    <w:rsid w:val="00DE5C48"/>
    <w:pPr>
      <w:widowControl/>
      <w:autoSpaceDE/>
      <w:autoSpaceDN/>
      <w:spacing w:after="160" w:line="259" w:lineRule="auto"/>
      <w:ind w:left="426"/>
      <w:jc w:val="both"/>
    </w:pPr>
    <w:rPr>
      <w:rFonts w:ascii="Arial" w:eastAsiaTheme="minorEastAsia" w:hAnsi="Arial" w:cstheme="minorBidi"/>
      <w:szCs w:val="20"/>
      <w:lang w:val="es-ES_tradnl"/>
    </w:rPr>
  </w:style>
  <w:style w:type="paragraph" w:customStyle="1" w:styleId="Titulo5">
    <w:name w:val="Titulo 5"/>
    <w:basedOn w:val="Ttulo5"/>
    <w:rsid w:val="00DE5C48"/>
    <w:pPr>
      <w:keepNext/>
      <w:keepLines/>
      <w:widowControl/>
      <w:numPr>
        <w:ilvl w:val="4"/>
      </w:numPr>
      <w:autoSpaceDE/>
      <w:autoSpaceDN/>
      <w:spacing w:before="200" w:line="259" w:lineRule="auto"/>
      <w:ind w:left="1008" w:hanging="1008"/>
    </w:pPr>
    <w:rPr>
      <w:rFonts w:ascii="Tahoma" w:eastAsiaTheme="majorEastAsia" w:hAnsi="Tahoma" w:cs="Tahoma"/>
      <w:b w:val="0"/>
      <w:bCs w:val="0"/>
      <w:color w:val="323E4F" w:themeColor="text2" w:themeShade="BF"/>
      <w:sz w:val="20"/>
      <w:szCs w:val="20"/>
    </w:rPr>
  </w:style>
  <w:style w:type="character" w:customStyle="1" w:styleId="CarCar19">
    <w:name w:val="Car Car19"/>
    <w:rsid w:val="00DE5C48"/>
    <w:rPr>
      <w:b/>
      <w:sz w:val="24"/>
      <w:lang w:val="es-ES" w:eastAsia="es-ES"/>
    </w:rPr>
  </w:style>
  <w:style w:type="character" w:customStyle="1" w:styleId="CarCar18">
    <w:name w:val="Car Car18"/>
    <w:rsid w:val="00DE5C48"/>
    <w:rPr>
      <w:b/>
      <w:sz w:val="24"/>
      <w:lang w:val="es-ES" w:eastAsia="es-ES"/>
    </w:rPr>
  </w:style>
  <w:style w:type="paragraph" w:customStyle="1" w:styleId="Textoindependiente31">
    <w:name w:val="Texto independiente 31"/>
    <w:basedOn w:val="Normal"/>
    <w:rsid w:val="00DE5C48"/>
    <w:pPr>
      <w:widowControl/>
      <w:overflowPunct w:val="0"/>
      <w:adjustRightInd w:val="0"/>
      <w:spacing w:after="160" w:line="259" w:lineRule="auto"/>
      <w:jc w:val="both"/>
      <w:textAlignment w:val="baseline"/>
    </w:pPr>
    <w:rPr>
      <w:rFonts w:ascii="Arial" w:eastAsiaTheme="minorEastAsia" w:hAnsi="Arial" w:cstheme="minorBidi"/>
      <w:szCs w:val="20"/>
      <w:lang w:val="es-CO"/>
    </w:rPr>
  </w:style>
  <w:style w:type="paragraph" w:customStyle="1" w:styleId="Textopredeterminado1">
    <w:name w:val="Texto predeterminado:1"/>
    <w:basedOn w:val="Normal"/>
    <w:rsid w:val="00DE5C48"/>
    <w:pPr>
      <w:widowControl/>
      <w:tabs>
        <w:tab w:val="left" w:pos="0"/>
      </w:tabs>
      <w:overflowPunct w:val="0"/>
      <w:adjustRightInd w:val="0"/>
      <w:spacing w:after="160" w:line="259" w:lineRule="auto"/>
      <w:textAlignment w:val="baseline"/>
    </w:pPr>
    <w:rPr>
      <w:rFonts w:asciiTheme="minorHAnsi" w:eastAsiaTheme="minorEastAsia" w:hAnsiTheme="minorHAnsi" w:cstheme="minorBidi"/>
      <w:color w:val="000000"/>
      <w:sz w:val="20"/>
      <w:szCs w:val="20"/>
      <w:lang w:val="en-US"/>
    </w:rPr>
  </w:style>
  <w:style w:type="paragraph" w:customStyle="1" w:styleId="Carta">
    <w:name w:val="Carta"/>
    <w:rsid w:val="00DE5C48"/>
    <w:pPr>
      <w:suppressAutoHyphens/>
      <w:spacing w:after="0" w:line="240" w:lineRule="auto"/>
      <w:jc w:val="both"/>
    </w:pPr>
    <w:rPr>
      <w:rFonts w:ascii="Times New Roman" w:eastAsia="Times New Roman" w:hAnsi="Times New Roman" w:cs="Times New Roman"/>
      <w:sz w:val="24"/>
      <w:szCs w:val="20"/>
      <w:lang w:val="es-ES_tradnl" w:eastAsia="es-ES"/>
    </w:rPr>
  </w:style>
  <w:style w:type="paragraph" w:customStyle="1" w:styleId="WW-Textoindependiente3">
    <w:name w:val="WW-Texto independiente 3"/>
    <w:basedOn w:val="Normal"/>
    <w:rsid w:val="00DE5C48"/>
    <w:pPr>
      <w:widowControl/>
      <w:suppressAutoHyphens/>
      <w:autoSpaceDE/>
      <w:autoSpaceDN/>
      <w:spacing w:after="160" w:line="259" w:lineRule="auto"/>
      <w:jc w:val="both"/>
    </w:pPr>
    <w:rPr>
      <w:rFonts w:ascii="Arial" w:eastAsiaTheme="minorEastAsia" w:hAnsi="Arial" w:cstheme="minorBidi"/>
      <w:noProof/>
      <w:szCs w:val="20"/>
      <w:lang w:val="es-CO"/>
    </w:rPr>
  </w:style>
  <w:style w:type="character" w:customStyle="1" w:styleId="tituinstitu1">
    <w:name w:val="titu_institu1"/>
    <w:rsid w:val="00DE5C48"/>
    <w:rPr>
      <w:rFonts w:ascii="Verdana" w:hAnsi="Verdana"/>
      <w:b/>
      <w:color w:val="5E602F"/>
      <w:sz w:val="19"/>
    </w:rPr>
  </w:style>
  <w:style w:type="paragraph" w:customStyle="1" w:styleId="BodyText31">
    <w:name w:val="Body Text 31"/>
    <w:basedOn w:val="Normal"/>
    <w:rsid w:val="00DE5C48"/>
    <w:pPr>
      <w:widowControl/>
      <w:tabs>
        <w:tab w:val="left" w:pos="0"/>
      </w:tabs>
      <w:overflowPunct w:val="0"/>
      <w:adjustRightInd w:val="0"/>
      <w:spacing w:after="160" w:line="259" w:lineRule="auto"/>
      <w:jc w:val="both"/>
      <w:textAlignment w:val="baseline"/>
    </w:pPr>
    <w:rPr>
      <w:rFonts w:ascii="Arial" w:eastAsiaTheme="minorEastAsia" w:hAnsi="Arial" w:cstheme="minorBidi"/>
      <w:color w:val="000000"/>
      <w:szCs w:val="20"/>
      <w:lang w:val="es-CO"/>
    </w:rPr>
  </w:style>
  <w:style w:type="character" w:customStyle="1" w:styleId="CarCar20">
    <w:name w:val="Car Car20"/>
    <w:locked/>
    <w:rsid w:val="00DE5C48"/>
    <w:rPr>
      <w:rFonts w:ascii="Arial" w:hAnsi="Arial"/>
      <w:b/>
      <w:sz w:val="24"/>
      <w:lang w:val="es-ES" w:eastAsia="es-ES"/>
    </w:rPr>
  </w:style>
  <w:style w:type="paragraph" w:customStyle="1" w:styleId="norma">
    <w:name w:val="norma"/>
    <w:basedOn w:val="Normal"/>
    <w:rsid w:val="00DE5C48"/>
    <w:pPr>
      <w:widowControl/>
      <w:autoSpaceDE/>
      <w:autoSpaceDN/>
      <w:spacing w:after="160" w:line="259" w:lineRule="auto"/>
      <w:jc w:val="both"/>
    </w:pPr>
    <w:rPr>
      <w:rFonts w:ascii="Arial" w:eastAsiaTheme="minorEastAsia" w:hAnsi="Arial" w:cs="Arial"/>
      <w:szCs w:val="20"/>
    </w:rPr>
  </w:style>
  <w:style w:type="paragraph" w:customStyle="1" w:styleId="CGRN">
    <w:name w:val="CGRN"/>
    <w:basedOn w:val="Normal"/>
    <w:rsid w:val="00DE5C48"/>
    <w:pPr>
      <w:adjustRightInd w:val="0"/>
      <w:spacing w:after="160" w:line="259" w:lineRule="auto"/>
      <w:jc w:val="both"/>
    </w:pPr>
    <w:rPr>
      <w:rFonts w:ascii="Arial" w:eastAsiaTheme="minorEastAsia" w:hAnsi="Arial" w:cstheme="minorBidi"/>
      <w:szCs w:val="20"/>
      <w:lang w:val="es-CO"/>
    </w:rPr>
  </w:style>
  <w:style w:type="paragraph" w:customStyle="1" w:styleId="296">
    <w:name w:val="296"/>
    <w:basedOn w:val="Normal"/>
    <w:rsid w:val="00DE5C48"/>
    <w:pPr>
      <w:widowControl/>
      <w:tabs>
        <w:tab w:val="left" w:pos="0"/>
      </w:tabs>
      <w:overflowPunct w:val="0"/>
      <w:adjustRightInd w:val="0"/>
      <w:spacing w:after="160" w:line="259" w:lineRule="auto"/>
    </w:pPr>
    <w:rPr>
      <w:rFonts w:asciiTheme="minorHAnsi" w:eastAsiaTheme="minorEastAsia" w:hAnsiTheme="minorHAnsi" w:cstheme="minorBidi"/>
      <w:color w:val="000000"/>
      <w:sz w:val="20"/>
      <w:szCs w:val="20"/>
      <w:lang w:val="en-US"/>
    </w:rPr>
  </w:style>
  <w:style w:type="paragraph" w:customStyle="1" w:styleId="comp">
    <w:name w:val="comp"/>
    <w:basedOn w:val="Normal"/>
    <w:rsid w:val="00DE5C48"/>
    <w:pPr>
      <w:widowControl/>
      <w:tabs>
        <w:tab w:val="left" w:pos="0"/>
      </w:tabs>
      <w:autoSpaceDE/>
      <w:autoSpaceDN/>
      <w:spacing w:after="160" w:line="259" w:lineRule="auto"/>
    </w:pPr>
    <w:rPr>
      <w:rFonts w:ascii="Arial" w:eastAsiaTheme="minorEastAsia" w:hAnsi="Arial" w:cstheme="minorBidi"/>
      <w:color w:val="000000"/>
      <w:szCs w:val="20"/>
      <w:lang w:val="es-ES_tradnl"/>
    </w:rPr>
  </w:style>
  <w:style w:type="paragraph" w:customStyle="1" w:styleId="Encabezado3">
    <w:name w:val="Encabezado 3"/>
    <w:basedOn w:val="Normal"/>
    <w:rsid w:val="00DE5C48"/>
    <w:pPr>
      <w:widowControl/>
      <w:tabs>
        <w:tab w:val="left" w:pos="0"/>
      </w:tabs>
      <w:autoSpaceDE/>
      <w:autoSpaceDN/>
      <w:spacing w:before="120" w:after="160" w:line="259" w:lineRule="auto"/>
    </w:pPr>
    <w:rPr>
      <w:rFonts w:ascii="Arial" w:eastAsiaTheme="minorEastAsia" w:hAnsi="Arial" w:cstheme="minorBidi"/>
      <w:b/>
      <w:color w:val="000000"/>
      <w:sz w:val="20"/>
      <w:lang w:val="en-US"/>
    </w:rPr>
  </w:style>
  <w:style w:type="paragraph" w:customStyle="1" w:styleId="DefaultText">
    <w:name w:val="Default Text"/>
    <w:basedOn w:val="Normal"/>
    <w:rsid w:val="00DE5C48"/>
    <w:pPr>
      <w:widowControl/>
      <w:overflowPunct w:val="0"/>
      <w:adjustRightInd w:val="0"/>
      <w:spacing w:after="160" w:line="259" w:lineRule="auto"/>
      <w:textAlignment w:val="baseline"/>
    </w:pPr>
    <w:rPr>
      <w:rFonts w:asciiTheme="minorHAnsi" w:eastAsiaTheme="minorEastAsia" w:hAnsiTheme="minorHAnsi" w:cstheme="minorBidi"/>
      <w:color w:val="000000"/>
      <w:szCs w:val="20"/>
      <w:lang w:val="en-US"/>
    </w:rPr>
  </w:style>
  <w:style w:type="paragraph" w:customStyle="1" w:styleId="unnamed1">
    <w:name w:val="unnamed1"/>
    <w:basedOn w:val="Normal"/>
    <w:rsid w:val="00DE5C48"/>
    <w:pPr>
      <w:widowControl/>
      <w:autoSpaceDE/>
      <w:autoSpaceDN/>
      <w:spacing w:before="100" w:beforeAutospacing="1" w:after="100" w:afterAutospacing="1" w:line="259" w:lineRule="auto"/>
      <w:jc w:val="both"/>
    </w:pPr>
    <w:rPr>
      <w:rFonts w:ascii="Arial Unicode MS" w:eastAsia="Arial Unicode MS" w:hAnsi="Arial Unicode MS" w:cs="Arial Unicode MS"/>
      <w:lang w:val="es-CO"/>
    </w:rPr>
  </w:style>
  <w:style w:type="paragraph" w:customStyle="1" w:styleId="Independiente">
    <w:name w:val="Independiente"/>
    <w:basedOn w:val="Normal"/>
    <w:rsid w:val="00DE5C48"/>
    <w:pPr>
      <w:widowControl/>
      <w:overflowPunct w:val="0"/>
      <w:adjustRightInd w:val="0"/>
      <w:spacing w:after="160" w:line="259" w:lineRule="auto"/>
      <w:jc w:val="both"/>
    </w:pPr>
    <w:rPr>
      <w:rFonts w:ascii="Arial" w:eastAsiaTheme="minorEastAsia" w:hAnsi="Arial" w:cstheme="minorBidi"/>
      <w:szCs w:val="20"/>
      <w:lang w:val="es-CO"/>
    </w:rPr>
  </w:style>
  <w:style w:type="paragraph" w:customStyle="1" w:styleId="Sinespaciado1">
    <w:name w:val="Sin espaciado1"/>
    <w:qFormat/>
    <w:rsid w:val="00DE5C48"/>
    <w:pPr>
      <w:spacing w:after="0" w:line="240" w:lineRule="auto"/>
    </w:pPr>
    <w:rPr>
      <w:rFonts w:ascii="Calibri" w:eastAsia="Times New Roman" w:hAnsi="Calibri" w:cs="Times New Roman"/>
      <w:lang w:val="es-ES"/>
    </w:rPr>
  </w:style>
  <w:style w:type="paragraph" w:customStyle="1" w:styleId="Heading31">
    <w:name w:val="Heading 31"/>
    <w:basedOn w:val="Normal"/>
    <w:rsid w:val="00DE5C48"/>
    <w:pPr>
      <w:keepNext/>
      <w:widowControl/>
      <w:tabs>
        <w:tab w:val="left" w:pos="0"/>
      </w:tabs>
      <w:overflowPunct w:val="0"/>
      <w:adjustRightInd w:val="0"/>
      <w:spacing w:before="240" w:after="60" w:line="259" w:lineRule="auto"/>
      <w:textAlignment w:val="baseline"/>
    </w:pPr>
    <w:rPr>
      <w:rFonts w:asciiTheme="minorHAnsi" w:eastAsiaTheme="minorEastAsia" w:hAnsiTheme="minorHAnsi" w:cstheme="minorBidi"/>
      <w:b/>
      <w:color w:val="000000"/>
      <w:sz w:val="20"/>
      <w:szCs w:val="20"/>
      <w:lang w:val="en-US"/>
    </w:rPr>
  </w:style>
  <w:style w:type="paragraph" w:customStyle="1" w:styleId="319">
    <w:name w:val="319"/>
    <w:basedOn w:val="Normal"/>
    <w:rsid w:val="00DE5C48"/>
    <w:pPr>
      <w:widowControl/>
      <w:autoSpaceDE/>
      <w:autoSpaceDN/>
      <w:spacing w:after="160" w:line="259" w:lineRule="auto"/>
    </w:pPr>
    <w:rPr>
      <w:rFonts w:asciiTheme="minorHAnsi" w:eastAsiaTheme="minorEastAsia" w:hAnsiTheme="minorHAnsi" w:cstheme="minorBidi"/>
      <w:color w:val="000000"/>
      <w:sz w:val="20"/>
      <w:lang w:val="en-US"/>
    </w:rPr>
  </w:style>
  <w:style w:type="paragraph" w:customStyle="1" w:styleId="Textoindependiente32">
    <w:name w:val="Texto independiente 32"/>
    <w:basedOn w:val="Normal"/>
    <w:rsid w:val="00DE5C48"/>
    <w:pPr>
      <w:widowControl/>
      <w:suppressAutoHyphens/>
      <w:autoSpaceDE/>
      <w:autoSpaceDN/>
      <w:spacing w:after="160" w:line="259" w:lineRule="auto"/>
    </w:pPr>
    <w:rPr>
      <w:rFonts w:ascii="Arial" w:eastAsiaTheme="minorEastAsia" w:hAnsi="Arial" w:cstheme="minorBidi"/>
      <w:color w:val="000000"/>
      <w:szCs w:val="20"/>
      <w:lang w:eastAsia="ar-SA"/>
    </w:rPr>
  </w:style>
  <w:style w:type="paragraph" w:customStyle="1" w:styleId="305">
    <w:name w:val="305"/>
    <w:basedOn w:val="Normal"/>
    <w:rsid w:val="00DE5C48"/>
    <w:pPr>
      <w:widowControl/>
      <w:autoSpaceDE/>
      <w:autoSpaceDN/>
      <w:spacing w:after="160" w:line="259" w:lineRule="auto"/>
    </w:pPr>
    <w:rPr>
      <w:rFonts w:asciiTheme="minorHAnsi" w:eastAsiaTheme="minorEastAsia" w:hAnsiTheme="minorHAnsi" w:cstheme="minorBidi"/>
      <w:color w:val="000000"/>
      <w:sz w:val="20"/>
      <w:szCs w:val="20"/>
      <w:lang w:val="en-US"/>
    </w:rPr>
  </w:style>
  <w:style w:type="paragraph" w:customStyle="1" w:styleId="303">
    <w:name w:val="303"/>
    <w:basedOn w:val="Normal"/>
    <w:rsid w:val="00DE5C48"/>
    <w:pPr>
      <w:widowControl/>
      <w:overflowPunct w:val="0"/>
      <w:adjustRightInd w:val="0"/>
      <w:spacing w:after="160" w:line="259" w:lineRule="auto"/>
      <w:textAlignment w:val="baseline"/>
    </w:pPr>
    <w:rPr>
      <w:rFonts w:asciiTheme="minorHAnsi" w:eastAsiaTheme="minorEastAsia" w:hAnsiTheme="minorHAnsi" w:cstheme="minorBidi"/>
      <w:color w:val="000000"/>
      <w:sz w:val="20"/>
      <w:szCs w:val="20"/>
      <w:lang w:val="en-US"/>
    </w:rPr>
  </w:style>
  <w:style w:type="paragraph" w:customStyle="1" w:styleId="Normal1">
    <w:name w:val="Normal1"/>
    <w:basedOn w:val="Normal"/>
    <w:rsid w:val="00DE5C48"/>
    <w:pPr>
      <w:widowControl/>
      <w:overflowPunct w:val="0"/>
      <w:adjustRightInd w:val="0"/>
      <w:spacing w:after="160" w:line="259" w:lineRule="auto"/>
      <w:textAlignment w:val="baseline"/>
    </w:pPr>
    <w:rPr>
      <w:rFonts w:ascii="Arial" w:eastAsiaTheme="minorEastAsia" w:hAnsi="Arial" w:cstheme="minorBidi"/>
      <w:color w:val="000000"/>
      <w:szCs w:val="20"/>
      <w:lang w:val="en-US"/>
    </w:rPr>
  </w:style>
  <w:style w:type="paragraph" w:customStyle="1" w:styleId="WW-Epgrafe">
    <w:name w:val="WW-Epígrafe"/>
    <w:basedOn w:val="Normal"/>
    <w:next w:val="Normal"/>
    <w:rsid w:val="00DE5C48"/>
    <w:pPr>
      <w:widowControl/>
      <w:suppressAutoHyphens/>
      <w:autoSpaceDE/>
      <w:autoSpaceDN/>
      <w:spacing w:before="100" w:beforeAutospacing="1" w:after="100" w:afterAutospacing="1" w:line="259" w:lineRule="auto"/>
      <w:jc w:val="both"/>
    </w:pPr>
    <w:rPr>
      <w:rFonts w:ascii="Arial" w:eastAsiaTheme="minorEastAsia" w:hAnsi="Arial" w:cs="Arial"/>
      <w:b/>
      <w:bCs/>
      <w:sz w:val="20"/>
      <w:szCs w:val="20"/>
      <w:lang w:val="es-CO"/>
    </w:rPr>
  </w:style>
  <w:style w:type="character" w:styleId="MquinadeescribirHTML">
    <w:name w:val="HTML Typewriter"/>
    <w:basedOn w:val="Fuentedeprrafopredeter"/>
    <w:rsid w:val="00DE5C48"/>
    <w:rPr>
      <w:rFonts w:ascii="Helvetica" w:hAnsi="Helvetica" w:cs="Times New Roman"/>
      <w:color w:val="000000"/>
      <w:spacing w:val="0"/>
      <w:sz w:val="20"/>
    </w:rPr>
  </w:style>
  <w:style w:type="paragraph" w:customStyle="1" w:styleId="H4">
    <w:name w:val="H4"/>
    <w:basedOn w:val="Normal"/>
    <w:next w:val="Normal"/>
    <w:rsid w:val="00DE5C48"/>
    <w:pPr>
      <w:keepNext/>
      <w:widowControl/>
      <w:autoSpaceDE/>
      <w:autoSpaceDN/>
      <w:spacing w:before="100" w:beforeAutospacing="1" w:after="100" w:afterAutospacing="1" w:line="259" w:lineRule="auto"/>
      <w:outlineLvl w:val="4"/>
    </w:pPr>
    <w:rPr>
      <w:rFonts w:asciiTheme="minorHAnsi" w:eastAsiaTheme="minorEastAsia" w:hAnsiTheme="minorHAnsi" w:cstheme="minorBidi"/>
      <w:b/>
      <w:sz w:val="20"/>
      <w:szCs w:val="20"/>
      <w:lang w:val="es-MX"/>
    </w:rPr>
  </w:style>
  <w:style w:type="paragraph" w:customStyle="1" w:styleId="Normal2">
    <w:name w:val="Normal2"/>
    <w:basedOn w:val="Normal"/>
    <w:link w:val="NormalCar1"/>
    <w:rsid w:val="00DE5C48"/>
    <w:pPr>
      <w:widowControl/>
      <w:tabs>
        <w:tab w:val="left" w:pos="0"/>
      </w:tabs>
      <w:autoSpaceDE/>
      <w:autoSpaceDN/>
      <w:spacing w:after="160" w:line="259" w:lineRule="auto"/>
    </w:pPr>
    <w:rPr>
      <w:rFonts w:ascii="Arial" w:eastAsia="Calibri" w:hAnsi="Arial" w:cstheme="minorBidi"/>
      <w:noProof/>
      <w:color w:val="000000"/>
      <w:sz w:val="20"/>
      <w:szCs w:val="20"/>
      <w:lang w:val="en-US"/>
    </w:rPr>
  </w:style>
  <w:style w:type="paragraph" w:customStyle="1" w:styleId="NormalCar">
    <w:name w:val="Normal Car"/>
    <w:basedOn w:val="Normal"/>
    <w:rsid w:val="00DE5C48"/>
    <w:pPr>
      <w:widowControl/>
      <w:tabs>
        <w:tab w:val="left" w:pos="0"/>
      </w:tabs>
      <w:autoSpaceDE/>
      <w:autoSpaceDN/>
      <w:spacing w:after="160" w:line="259" w:lineRule="auto"/>
    </w:pPr>
    <w:rPr>
      <w:rFonts w:ascii="Arial" w:eastAsiaTheme="minorEastAsia" w:hAnsi="Arial" w:cstheme="minorBidi"/>
      <w:noProof/>
      <w:color w:val="000000"/>
      <w:szCs w:val="20"/>
      <w:lang w:val="en-US"/>
    </w:rPr>
  </w:style>
  <w:style w:type="paragraph" w:customStyle="1" w:styleId="Textodetabla">
    <w:name w:val="Texto de tabla"/>
    <w:basedOn w:val="Normal"/>
    <w:rsid w:val="00DE5C48"/>
    <w:pPr>
      <w:widowControl/>
      <w:adjustRightInd w:val="0"/>
      <w:spacing w:before="100" w:beforeAutospacing="1" w:after="100" w:afterAutospacing="1" w:line="259" w:lineRule="auto"/>
      <w:jc w:val="right"/>
    </w:pPr>
    <w:rPr>
      <w:rFonts w:asciiTheme="minorHAnsi" w:eastAsiaTheme="minorEastAsia" w:hAnsiTheme="minorHAnsi" w:cstheme="minorBidi"/>
      <w:sz w:val="20"/>
    </w:rPr>
  </w:style>
  <w:style w:type="paragraph" w:styleId="Lista5">
    <w:name w:val="List 5"/>
    <w:basedOn w:val="Normal"/>
    <w:rsid w:val="00DE5C48"/>
    <w:pPr>
      <w:widowControl/>
      <w:autoSpaceDE/>
      <w:autoSpaceDN/>
      <w:spacing w:after="160" w:line="259" w:lineRule="auto"/>
      <w:ind w:left="1800" w:hanging="360"/>
    </w:pPr>
    <w:rPr>
      <w:rFonts w:ascii="Arial" w:eastAsiaTheme="minorEastAsia" w:hAnsi="Arial" w:cstheme="minorBidi"/>
      <w:szCs w:val="20"/>
      <w:lang w:eastAsia="es-CO"/>
    </w:rPr>
  </w:style>
  <w:style w:type="paragraph" w:customStyle="1" w:styleId="BodyText22">
    <w:name w:val="Body Text 22"/>
    <w:basedOn w:val="Normal"/>
    <w:rsid w:val="00DE5C48"/>
    <w:pPr>
      <w:autoSpaceDE/>
      <w:autoSpaceDN/>
      <w:spacing w:after="160" w:line="259" w:lineRule="auto"/>
      <w:jc w:val="both"/>
    </w:pPr>
    <w:rPr>
      <w:rFonts w:asciiTheme="minorHAnsi" w:eastAsiaTheme="minorEastAsia" w:hAnsiTheme="minorHAnsi" w:cstheme="minorBidi"/>
      <w:szCs w:val="20"/>
      <w:lang w:val="es-CO"/>
    </w:rPr>
  </w:style>
  <w:style w:type="character" w:customStyle="1" w:styleId="EncabezadoCarCarCar">
    <w:name w:val="Encabezado Car Car Car"/>
    <w:rsid w:val="00DE5C48"/>
    <w:rPr>
      <w:sz w:val="24"/>
      <w:lang w:val="es-ES" w:eastAsia="es-ES"/>
    </w:rPr>
  </w:style>
  <w:style w:type="paragraph" w:customStyle="1" w:styleId="Predeterminado">
    <w:name w:val="Predeterminado"/>
    <w:basedOn w:val="Normal"/>
    <w:rsid w:val="00DE5C48"/>
    <w:pPr>
      <w:widowControl/>
      <w:tabs>
        <w:tab w:val="left" w:pos="0"/>
      </w:tabs>
      <w:overflowPunct w:val="0"/>
      <w:adjustRightInd w:val="0"/>
      <w:spacing w:after="160" w:line="259" w:lineRule="auto"/>
      <w:textAlignment w:val="baseline"/>
    </w:pPr>
    <w:rPr>
      <w:rFonts w:asciiTheme="minorHAnsi" w:eastAsiaTheme="minorEastAsia" w:hAnsiTheme="minorHAnsi" w:cstheme="minorBidi"/>
      <w:color w:val="000000"/>
      <w:lang w:val="en-US"/>
    </w:rPr>
  </w:style>
  <w:style w:type="paragraph" w:customStyle="1" w:styleId="TxBrp0">
    <w:name w:val="TxBr_p0"/>
    <w:basedOn w:val="Normal"/>
    <w:rsid w:val="00DE5C48"/>
    <w:pPr>
      <w:tabs>
        <w:tab w:val="left" w:pos="204"/>
      </w:tabs>
      <w:adjustRightInd w:val="0"/>
      <w:spacing w:after="160" w:line="240" w:lineRule="atLeast"/>
      <w:jc w:val="both"/>
    </w:pPr>
    <w:rPr>
      <w:rFonts w:asciiTheme="minorHAnsi" w:eastAsiaTheme="minorEastAsia" w:hAnsiTheme="minorHAnsi" w:cstheme="minorBidi"/>
      <w:szCs w:val="20"/>
      <w:lang w:val="en-US"/>
    </w:rPr>
  </w:style>
  <w:style w:type="paragraph" w:customStyle="1" w:styleId="306">
    <w:name w:val="306"/>
    <w:basedOn w:val="Normal"/>
    <w:rsid w:val="00DE5C48"/>
    <w:pPr>
      <w:widowControl/>
      <w:overflowPunct w:val="0"/>
      <w:adjustRightInd w:val="0"/>
      <w:spacing w:after="160" w:line="259" w:lineRule="auto"/>
      <w:textAlignment w:val="baseline"/>
    </w:pPr>
    <w:rPr>
      <w:rFonts w:asciiTheme="minorHAnsi" w:eastAsiaTheme="minorEastAsia" w:hAnsiTheme="minorHAnsi" w:cstheme="minorBidi"/>
      <w:color w:val="000000"/>
      <w:sz w:val="20"/>
      <w:szCs w:val="20"/>
      <w:lang w:val="en-US"/>
    </w:rPr>
  </w:style>
  <w:style w:type="paragraph" w:customStyle="1" w:styleId="xl37">
    <w:name w:val="xl37"/>
    <w:basedOn w:val="Normal"/>
    <w:rsid w:val="00DE5C48"/>
    <w:pPr>
      <w:widowControl/>
      <w:pBdr>
        <w:left w:val="single" w:sz="4" w:space="0" w:color="auto"/>
        <w:bottom w:val="single" w:sz="4" w:space="0" w:color="auto"/>
        <w:right w:val="single" w:sz="4" w:space="0" w:color="auto"/>
      </w:pBdr>
      <w:autoSpaceDE/>
      <w:autoSpaceDN/>
      <w:spacing w:before="100" w:beforeAutospacing="1" w:after="100" w:afterAutospacing="1" w:line="259" w:lineRule="auto"/>
      <w:jc w:val="center"/>
      <w:textAlignment w:val="center"/>
    </w:pPr>
    <w:rPr>
      <w:rFonts w:ascii="Arial" w:eastAsia="Arial Unicode MS" w:hAnsi="Arial" w:cs="Arial"/>
      <w:b/>
      <w:bCs/>
    </w:rPr>
  </w:style>
  <w:style w:type="paragraph" w:customStyle="1" w:styleId="xl22">
    <w:name w:val="xl22"/>
    <w:basedOn w:val="Normal"/>
    <w:rsid w:val="00DE5C48"/>
    <w:pPr>
      <w:widowControl/>
      <w:autoSpaceDE/>
      <w:autoSpaceDN/>
      <w:spacing w:before="100" w:beforeAutospacing="1" w:after="100" w:afterAutospacing="1" w:line="259" w:lineRule="auto"/>
      <w:jc w:val="center"/>
      <w:textAlignment w:val="center"/>
    </w:pPr>
    <w:rPr>
      <w:rFonts w:ascii="Arial Unicode MS" w:eastAsia="Arial Unicode MS" w:hAnsi="Arial Unicode MS" w:cs="Arial Unicode MS"/>
    </w:rPr>
  </w:style>
  <w:style w:type="paragraph" w:styleId="Cierre">
    <w:name w:val="Closing"/>
    <w:basedOn w:val="Normal"/>
    <w:link w:val="CierreCar"/>
    <w:rsid w:val="00DE5C48"/>
    <w:pPr>
      <w:widowControl/>
      <w:autoSpaceDE/>
      <w:autoSpaceDN/>
      <w:spacing w:before="240" w:after="240" w:line="259" w:lineRule="auto"/>
      <w:ind w:left="4252"/>
      <w:jc w:val="both"/>
    </w:pPr>
    <w:rPr>
      <w:rFonts w:ascii="Arial" w:eastAsia="Arial Unicode MS" w:hAnsi="Arial" w:cstheme="minorBidi"/>
    </w:rPr>
  </w:style>
  <w:style w:type="character" w:customStyle="1" w:styleId="CierreCar">
    <w:name w:val="Cierre Car"/>
    <w:basedOn w:val="Fuentedeprrafopredeter"/>
    <w:link w:val="Cierre"/>
    <w:rsid w:val="00DE5C48"/>
    <w:rPr>
      <w:rFonts w:ascii="Arial" w:eastAsia="Arial Unicode MS" w:hAnsi="Arial"/>
      <w:lang w:val="es-ES"/>
    </w:rPr>
  </w:style>
  <w:style w:type="paragraph" w:customStyle="1" w:styleId="Textoindependiente11">
    <w:name w:val="Texto independiente11"/>
    <w:basedOn w:val="Normal"/>
    <w:uiPriority w:val="99"/>
    <w:rsid w:val="00DE5C48"/>
    <w:pPr>
      <w:widowControl/>
      <w:suppressAutoHyphens/>
      <w:autoSpaceDN/>
      <w:spacing w:after="160" w:line="259" w:lineRule="auto"/>
      <w:jc w:val="both"/>
    </w:pPr>
    <w:rPr>
      <w:rFonts w:ascii="Arial" w:eastAsia="Calibri" w:hAnsi="Arial" w:cstheme="minorBidi"/>
      <w:szCs w:val="20"/>
      <w:lang w:val="es-ES_tradnl"/>
    </w:rPr>
  </w:style>
  <w:style w:type="paragraph" w:customStyle="1" w:styleId="Esquemanumerado">
    <w:name w:val="Esquema numerado"/>
    <w:basedOn w:val="Normal"/>
    <w:rsid w:val="00DE5C48"/>
    <w:pPr>
      <w:widowControl/>
      <w:numPr>
        <w:ilvl w:val="1"/>
        <w:numId w:val="9"/>
      </w:numPr>
      <w:autoSpaceDE/>
      <w:autoSpaceDN/>
      <w:spacing w:after="160" w:line="259" w:lineRule="auto"/>
    </w:pPr>
    <w:rPr>
      <w:rFonts w:asciiTheme="minorHAnsi" w:eastAsia="Batang" w:hAnsiTheme="minorHAnsi" w:cstheme="minorBidi"/>
      <w:szCs w:val="20"/>
      <w:lang w:val="es-CO"/>
    </w:rPr>
  </w:style>
  <w:style w:type="paragraph" w:customStyle="1" w:styleId="Vietas">
    <w:name w:val="Viñetas"/>
    <w:basedOn w:val="Normal"/>
    <w:autoRedefine/>
    <w:rsid w:val="00DE5C48"/>
    <w:pPr>
      <w:widowControl/>
      <w:numPr>
        <w:numId w:val="10"/>
      </w:numPr>
      <w:autoSpaceDE/>
      <w:autoSpaceDN/>
      <w:spacing w:after="160" w:line="360" w:lineRule="auto"/>
      <w:jc w:val="both"/>
    </w:pPr>
    <w:rPr>
      <w:rFonts w:asciiTheme="minorHAnsi" w:eastAsia="SimSun" w:hAnsiTheme="minorHAnsi" w:cstheme="minorBidi"/>
      <w:bCs/>
      <w:szCs w:val="20"/>
      <w:lang w:eastAsia="zh-CN"/>
    </w:rPr>
  </w:style>
  <w:style w:type="paragraph" w:customStyle="1" w:styleId="TablaTexto">
    <w:name w:val="Tabla_Texto"/>
    <w:basedOn w:val="Normal"/>
    <w:autoRedefine/>
    <w:rsid w:val="00DE5C48"/>
    <w:pPr>
      <w:widowControl/>
      <w:tabs>
        <w:tab w:val="left" w:pos="8100"/>
      </w:tabs>
      <w:autoSpaceDE/>
      <w:autoSpaceDN/>
      <w:spacing w:after="160" w:line="259" w:lineRule="auto"/>
      <w:jc w:val="both"/>
    </w:pPr>
    <w:rPr>
      <w:rFonts w:ascii="Arial" w:eastAsiaTheme="minorEastAsia" w:hAnsi="Arial" w:cs="Arial"/>
      <w:sz w:val="20"/>
    </w:rPr>
  </w:style>
  <w:style w:type="paragraph" w:customStyle="1" w:styleId="TablaInterior">
    <w:name w:val="Tabla_Interior"/>
    <w:basedOn w:val="Normal"/>
    <w:autoRedefine/>
    <w:rsid w:val="00DE5C48"/>
    <w:pPr>
      <w:widowControl/>
      <w:autoSpaceDE/>
      <w:autoSpaceDN/>
      <w:spacing w:after="160" w:line="259" w:lineRule="auto"/>
      <w:jc w:val="center"/>
    </w:pPr>
    <w:rPr>
      <w:rFonts w:ascii="Arial" w:eastAsiaTheme="minorEastAsia" w:hAnsi="Arial" w:cs="Arial"/>
    </w:rPr>
  </w:style>
  <w:style w:type="character" w:customStyle="1" w:styleId="TextotablasCarCar">
    <w:name w:val="Texto tablas Car Car"/>
    <w:rsid w:val="00DE5C48"/>
    <w:rPr>
      <w:rFonts w:ascii="Verdana" w:hAnsi="Verdana"/>
      <w:lang w:val="es-ES" w:eastAsia="es-ES"/>
    </w:rPr>
  </w:style>
  <w:style w:type="paragraph" w:customStyle="1" w:styleId="Ttulo4Tahoma10negrita">
    <w:name w:val="Título 4 + Tahoma 10 + negrita"/>
    <w:basedOn w:val="Ttulo4"/>
    <w:rsid w:val="00DE5C48"/>
    <w:pPr>
      <w:keepNext/>
      <w:keepLines/>
      <w:widowControl/>
      <w:numPr>
        <w:ilvl w:val="3"/>
      </w:numPr>
      <w:autoSpaceDE/>
      <w:autoSpaceDN/>
      <w:spacing w:line="259" w:lineRule="auto"/>
      <w:ind w:left="864" w:hanging="864"/>
      <w:jc w:val="both"/>
    </w:pPr>
    <w:rPr>
      <w:rFonts w:ascii="Tahoma" w:eastAsiaTheme="majorEastAsia" w:hAnsi="Tahoma" w:cs="Tahoma"/>
      <w:bCs w:val="0"/>
      <w:i/>
      <w:iCs/>
      <w:color w:val="000000" w:themeColor="text1"/>
      <w:sz w:val="20"/>
      <w:szCs w:val="20"/>
    </w:rPr>
  </w:style>
  <w:style w:type="character" w:customStyle="1" w:styleId="NormalCar1">
    <w:name w:val="Normal Car1"/>
    <w:link w:val="Normal2"/>
    <w:locked/>
    <w:rsid w:val="00DE5C48"/>
    <w:rPr>
      <w:rFonts w:ascii="Arial" w:eastAsia="Calibri" w:hAnsi="Arial"/>
      <w:noProof/>
      <w:color w:val="000000"/>
      <w:sz w:val="20"/>
      <w:szCs w:val="20"/>
      <w:lang w:val="en-US"/>
    </w:rPr>
  </w:style>
  <w:style w:type="paragraph" w:customStyle="1" w:styleId="EstiloSCI">
    <w:name w:val="EstiloSCI"/>
    <w:basedOn w:val="Ttulo1"/>
    <w:next w:val="Normal"/>
    <w:link w:val="EstiloSCICar"/>
    <w:autoRedefine/>
    <w:qFormat/>
    <w:rsid w:val="00DE5C48"/>
    <w:pPr>
      <w:keepNext/>
      <w:keepLines/>
      <w:widowControl/>
      <w:pBdr>
        <w:bottom w:val="single" w:sz="4" w:space="1" w:color="595959" w:themeColor="text1" w:themeTint="A6"/>
      </w:pBdr>
      <w:autoSpaceDE/>
      <w:autoSpaceDN/>
      <w:spacing w:before="0" w:line="259" w:lineRule="auto"/>
      <w:ind w:left="432" w:right="0" w:hanging="432"/>
      <w:jc w:val="both"/>
    </w:pPr>
    <w:rPr>
      <w:rFonts w:asciiTheme="majorHAnsi" w:eastAsia="Calibri" w:hAnsiTheme="majorHAnsi" w:cstheme="majorBidi"/>
      <w:bCs w:val="0"/>
      <w:smallCaps/>
      <w:color w:val="000000" w:themeColor="text1"/>
      <w:sz w:val="28"/>
      <w:szCs w:val="20"/>
      <w:lang w:val="es-CO"/>
    </w:rPr>
  </w:style>
  <w:style w:type="character" w:customStyle="1" w:styleId="EstiloSCICar">
    <w:name w:val="EstiloSCI Car"/>
    <w:link w:val="EstiloSCI"/>
    <w:locked/>
    <w:rsid w:val="00DE5C48"/>
    <w:rPr>
      <w:rFonts w:asciiTheme="majorHAnsi" w:eastAsia="Calibri" w:hAnsiTheme="majorHAnsi" w:cstheme="majorBidi"/>
      <w:b/>
      <w:smallCaps/>
      <w:color w:val="000000" w:themeColor="text1"/>
      <w:sz w:val="28"/>
      <w:szCs w:val="20"/>
    </w:rPr>
  </w:style>
  <w:style w:type="paragraph" w:customStyle="1" w:styleId="EstiloMECI">
    <w:name w:val="EstiloMECI"/>
    <w:basedOn w:val="EstiloSCI"/>
    <w:next w:val="Normal"/>
    <w:link w:val="EstiloMECICar"/>
    <w:qFormat/>
    <w:rsid w:val="00DE5C48"/>
    <w:pPr>
      <w:numPr>
        <w:numId w:val="11"/>
      </w:numPr>
    </w:pPr>
  </w:style>
  <w:style w:type="character" w:customStyle="1" w:styleId="EstiloMECICar">
    <w:name w:val="EstiloMECI Car"/>
    <w:link w:val="EstiloMECI"/>
    <w:locked/>
    <w:rsid w:val="00DE5C48"/>
    <w:rPr>
      <w:rFonts w:asciiTheme="majorHAnsi" w:eastAsia="Calibri" w:hAnsiTheme="majorHAnsi" w:cstheme="majorBidi"/>
      <w:b/>
      <w:smallCaps/>
      <w:color w:val="000000" w:themeColor="text1"/>
      <w:sz w:val="28"/>
      <w:szCs w:val="20"/>
    </w:rPr>
  </w:style>
  <w:style w:type="paragraph" w:customStyle="1" w:styleId="EstiloParte">
    <w:name w:val="EstiloParte"/>
    <w:basedOn w:val="Normal"/>
    <w:link w:val="EstiloParteCar"/>
    <w:qFormat/>
    <w:rsid w:val="00DE5C48"/>
    <w:pPr>
      <w:keepNext/>
      <w:keepLines/>
      <w:widowControl/>
      <w:autoSpaceDE/>
      <w:autoSpaceDN/>
      <w:spacing w:before="480" w:after="160" w:line="360" w:lineRule="auto"/>
      <w:outlineLvl w:val="0"/>
    </w:pPr>
    <w:rPr>
      <w:rFonts w:ascii="Candara" w:eastAsia="Calibri" w:hAnsi="Candara" w:cstheme="minorBidi"/>
      <w:b/>
      <w:color w:val="365F91"/>
      <w:sz w:val="28"/>
      <w:szCs w:val="20"/>
    </w:rPr>
  </w:style>
  <w:style w:type="character" w:customStyle="1" w:styleId="EstiloParteCar">
    <w:name w:val="EstiloParte Car"/>
    <w:link w:val="EstiloParte"/>
    <w:locked/>
    <w:rsid w:val="00DE5C48"/>
    <w:rPr>
      <w:rFonts w:ascii="Candara" w:eastAsia="Calibri" w:hAnsi="Candara"/>
      <w:b/>
      <w:color w:val="365F91"/>
      <w:sz w:val="28"/>
      <w:szCs w:val="20"/>
      <w:lang w:val="es-ES"/>
    </w:rPr>
  </w:style>
  <w:style w:type="paragraph" w:customStyle="1" w:styleId="EstitoDivCapitulo">
    <w:name w:val="Estito DivCapitulo"/>
    <w:basedOn w:val="Normal"/>
    <w:link w:val="EstitoDivCapituloCar"/>
    <w:qFormat/>
    <w:rsid w:val="00DE5C48"/>
    <w:pPr>
      <w:widowControl/>
      <w:autoSpaceDE/>
      <w:autoSpaceDN/>
      <w:spacing w:after="200" w:line="360" w:lineRule="auto"/>
      <w:ind w:left="720" w:hanging="720"/>
      <w:jc w:val="both"/>
    </w:pPr>
    <w:rPr>
      <w:rFonts w:ascii="Calibri" w:eastAsiaTheme="minorEastAsia" w:hAnsi="Calibri" w:cstheme="minorBidi"/>
      <w:b/>
      <w:color w:val="365F91"/>
      <w:sz w:val="28"/>
      <w:szCs w:val="20"/>
      <w:u w:val="single"/>
      <w:lang w:val="es-CO"/>
    </w:rPr>
  </w:style>
  <w:style w:type="character" w:customStyle="1" w:styleId="EstitoDivCapituloCar">
    <w:name w:val="Estito DivCapitulo Car"/>
    <w:link w:val="EstitoDivCapitulo"/>
    <w:locked/>
    <w:rsid w:val="00DE5C48"/>
    <w:rPr>
      <w:rFonts w:ascii="Calibri" w:eastAsiaTheme="minorEastAsia" w:hAnsi="Calibri"/>
      <w:b/>
      <w:color w:val="365F91"/>
      <w:sz w:val="28"/>
      <w:szCs w:val="20"/>
      <w:u w:val="single"/>
    </w:rPr>
  </w:style>
  <w:style w:type="table" w:customStyle="1" w:styleId="Listaclara-nfasis11">
    <w:name w:val="Lista clara - Énfasis 11"/>
    <w:uiPriority w:val="61"/>
    <w:rsid w:val="00DE5C48"/>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nfasis11">
    <w:name w:val="Sombreado claro - Énfasis 11"/>
    <w:uiPriority w:val="60"/>
    <w:rsid w:val="00DE5C48"/>
    <w:pPr>
      <w:spacing w:after="0" w:line="240" w:lineRule="auto"/>
    </w:pPr>
    <w:rPr>
      <w:rFonts w:ascii="Calibri" w:eastAsia="Calibri" w:hAnsi="Calibri" w:cs="Times New Roman"/>
      <w:color w:val="365F91"/>
      <w:sz w:val="20"/>
      <w:szCs w:val="20"/>
      <w:lang w:eastAsia="es-C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PrrafoGRRM">
    <w:name w:val="Párrafo GRRM"/>
    <w:basedOn w:val="Normal"/>
    <w:rsid w:val="00DE5C48"/>
    <w:pPr>
      <w:tabs>
        <w:tab w:val="left" w:pos="90"/>
      </w:tabs>
      <w:adjustRightInd w:val="0"/>
      <w:spacing w:before="206" w:after="160" w:line="360" w:lineRule="auto"/>
      <w:jc w:val="both"/>
    </w:pPr>
    <w:rPr>
      <w:rFonts w:ascii="Arial" w:eastAsiaTheme="minorEastAsia" w:hAnsi="Arial" w:cs="Arial"/>
      <w:color w:val="000000"/>
      <w:szCs w:val="16"/>
    </w:rPr>
  </w:style>
  <w:style w:type="paragraph" w:styleId="TtuloTDC">
    <w:name w:val="TOC Heading"/>
    <w:basedOn w:val="Ttulo1"/>
    <w:next w:val="Normal"/>
    <w:uiPriority w:val="39"/>
    <w:unhideWhenUsed/>
    <w:qFormat/>
    <w:rsid w:val="00DE5C48"/>
    <w:pPr>
      <w:keepNext/>
      <w:keepLines/>
      <w:widowControl/>
      <w:pBdr>
        <w:bottom w:val="single" w:sz="4" w:space="1" w:color="595959" w:themeColor="text1" w:themeTint="A6"/>
      </w:pBdr>
      <w:autoSpaceDE/>
      <w:autoSpaceDN/>
      <w:spacing w:before="360" w:after="160" w:line="259" w:lineRule="auto"/>
      <w:ind w:left="432" w:right="0" w:hanging="432"/>
      <w:jc w:val="left"/>
      <w:outlineLvl w:val="9"/>
    </w:pPr>
    <w:rPr>
      <w:rFonts w:asciiTheme="majorHAnsi" w:eastAsiaTheme="majorEastAsia" w:hAnsiTheme="majorHAnsi" w:cstheme="majorBidi"/>
      <w:smallCaps/>
      <w:color w:val="000000" w:themeColor="text1"/>
      <w:sz w:val="36"/>
      <w:szCs w:val="36"/>
    </w:rPr>
  </w:style>
  <w:style w:type="paragraph" w:customStyle="1" w:styleId="Ttulo31">
    <w:name w:val="Título 31"/>
    <w:basedOn w:val="Normal"/>
    <w:next w:val="Normal"/>
    <w:uiPriority w:val="9"/>
    <w:qFormat/>
    <w:rsid w:val="00DE5C48"/>
    <w:pPr>
      <w:keepNext/>
      <w:keepLines/>
      <w:widowControl/>
      <w:autoSpaceDE/>
      <w:autoSpaceDN/>
      <w:spacing w:before="200" w:after="160" w:line="360" w:lineRule="auto"/>
      <w:jc w:val="both"/>
      <w:outlineLvl w:val="2"/>
    </w:pPr>
    <w:rPr>
      <w:rFonts w:ascii="Cambria" w:eastAsiaTheme="minorEastAsia" w:hAnsi="Cambria" w:cstheme="minorBidi"/>
      <w:b/>
      <w:bCs/>
      <w:color w:val="365F91"/>
      <w:lang w:val="es-CO"/>
    </w:rPr>
  </w:style>
  <w:style w:type="paragraph" w:styleId="Revisin">
    <w:name w:val="Revision"/>
    <w:hidden/>
    <w:uiPriority w:val="99"/>
    <w:semiHidden/>
    <w:rsid w:val="00DE5C48"/>
    <w:pPr>
      <w:spacing w:after="0" w:line="240" w:lineRule="auto"/>
    </w:pPr>
    <w:rPr>
      <w:rFonts w:ascii="Calibri" w:eastAsia="Calibri" w:hAnsi="Calibri" w:cs="Times New Roman"/>
    </w:rPr>
  </w:style>
  <w:style w:type="paragraph" w:customStyle="1" w:styleId="estilo10">
    <w:name w:val="estilo1"/>
    <w:basedOn w:val="Normal"/>
    <w:rsid w:val="00DE5C48"/>
    <w:pPr>
      <w:widowControl/>
      <w:autoSpaceDE/>
      <w:autoSpaceDN/>
      <w:spacing w:before="230" w:after="230" w:line="216" w:lineRule="atLeast"/>
      <w:ind w:left="230" w:right="230"/>
    </w:pPr>
    <w:rPr>
      <w:rFonts w:eastAsiaTheme="minorEastAsia" w:cstheme="minorBidi"/>
      <w:color w:val="000000"/>
      <w:sz w:val="18"/>
      <w:szCs w:val="18"/>
      <w:lang w:val="es-CO" w:eastAsia="es-CO"/>
    </w:rPr>
  </w:style>
  <w:style w:type="paragraph" w:customStyle="1" w:styleId="Ttulo3FranklinGothicBook12negrita">
    <w:name w:val="Título 3 + Franklin Gothic Book 12 + negrita"/>
    <w:basedOn w:val="Normal"/>
    <w:rsid w:val="00DE5C48"/>
    <w:pPr>
      <w:keepNext/>
      <w:widowControl/>
      <w:autoSpaceDE/>
      <w:autoSpaceDN/>
      <w:spacing w:before="240" w:after="60" w:line="259" w:lineRule="auto"/>
      <w:jc w:val="both"/>
      <w:outlineLvl w:val="2"/>
    </w:pPr>
    <w:rPr>
      <w:rFonts w:ascii="Franklin Gothic Book" w:eastAsiaTheme="minorEastAsia" w:hAnsi="Franklin Gothic Book" w:cs="Arial"/>
      <w:b/>
      <w:bCs/>
      <w:color w:val="E36C0A"/>
    </w:rPr>
  </w:style>
  <w:style w:type="character" w:customStyle="1" w:styleId="TextonotapieCar1">
    <w:name w:val="Texto nota pie Car1"/>
    <w:aliases w:val="Texto nota pie Arial 10 Car"/>
    <w:uiPriority w:val="99"/>
    <w:rsid w:val="00DE5C48"/>
    <w:rPr>
      <w:rFonts w:ascii="Tahoma" w:hAnsi="Tahoma"/>
      <w:sz w:val="24"/>
      <w:lang w:eastAsia="es-ES"/>
    </w:rPr>
  </w:style>
  <w:style w:type="paragraph" w:customStyle="1" w:styleId="Ttulo4FranklinGothicBook12negrita">
    <w:name w:val="Título 4 + Franklin Gothic Book 12 + negrita"/>
    <w:basedOn w:val="Ttulo4"/>
    <w:next w:val="xl35"/>
    <w:rsid w:val="00DE5C48"/>
    <w:pPr>
      <w:keepNext/>
      <w:keepLines/>
      <w:widowControl/>
      <w:numPr>
        <w:ilvl w:val="3"/>
      </w:numPr>
      <w:autoSpaceDE/>
      <w:autoSpaceDN/>
      <w:spacing w:line="259" w:lineRule="auto"/>
      <w:ind w:left="864" w:hanging="864"/>
      <w:jc w:val="both"/>
    </w:pPr>
    <w:rPr>
      <w:rFonts w:ascii="Franklin Gothic Book" w:eastAsiaTheme="majorEastAsia" w:hAnsi="Franklin Gothic Book" w:cs="Tahoma"/>
      <w:bCs w:val="0"/>
      <w:i/>
      <w:iCs/>
      <w:color w:val="E36C0A"/>
      <w:szCs w:val="20"/>
    </w:rPr>
  </w:style>
  <w:style w:type="character" w:customStyle="1" w:styleId="haupttext1">
    <w:name w:val="haupttext1"/>
    <w:uiPriority w:val="99"/>
    <w:rsid w:val="00DE5C48"/>
    <w:rPr>
      <w:rFonts w:ascii="Verdana" w:hAnsi="Verdana"/>
      <w:sz w:val="20"/>
    </w:rPr>
  </w:style>
  <w:style w:type="character" w:customStyle="1" w:styleId="iceouttxt">
    <w:name w:val="iceouttxt"/>
    <w:rsid w:val="00DE5C48"/>
  </w:style>
  <w:style w:type="paragraph" w:customStyle="1" w:styleId="Titulo5FranklinGothicBooknegrita">
    <w:name w:val="Titulo 5 + Franklin Gothic Book + negrita"/>
    <w:basedOn w:val="Normal"/>
    <w:rsid w:val="00DE5C48"/>
    <w:pPr>
      <w:widowControl/>
      <w:autoSpaceDE/>
      <w:autoSpaceDN/>
      <w:spacing w:before="240" w:after="60" w:line="259" w:lineRule="auto"/>
      <w:jc w:val="both"/>
      <w:outlineLvl w:val="4"/>
    </w:pPr>
    <w:rPr>
      <w:rFonts w:ascii="Franklin Gothic Book" w:eastAsiaTheme="minorEastAsia" w:hAnsi="Franklin Gothic Book" w:cs="Tahoma"/>
      <w:b/>
      <w:bCs/>
      <w:color w:val="E36C0A"/>
      <w:szCs w:val="20"/>
    </w:rPr>
  </w:style>
  <w:style w:type="character" w:customStyle="1" w:styleId="textonavy1">
    <w:name w:val="texto_navy1"/>
    <w:basedOn w:val="Fuentedeprrafopredeter"/>
    <w:rsid w:val="00DE5C48"/>
    <w:rPr>
      <w:rFonts w:cs="Times New Roman"/>
      <w:color w:val="000080"/>
    </w:rPr>
  </w:style>
  <w:style w:type="paragraph" w:customStyle="1" w:styleId="Mota">
    <w:name w:val="Mota"/>
    <w:basedOn w:val="Normal"/>
    <w:rsid w:val="00DE5C48"/>
    <w:pPr>
      <w:widowControl/>
      <w:numPr>
        <w:numId w:val="12"/>
      </w:numPr>
      <w:tabs>
        <w:tab w:val="left" w:pos="284"/>
      </w:tabs>
      <w:autoSpaceDE/>
      <w:autoSpaceDN/>
      <w:spacing w:after="120" w:line="300" w:lineRule="exact"/>
      <w:jc w:val="both"/>
    </w:pPr>
    <w:rPr>
      <w:rFonts w:ascii="Garamond" w:eastAsiaTheme="minorEastAsia" w:hAnsi="Garamond" w:cstheme="minorBidi"/>
      <w:szCs w:val="20"/>
      <w:lang w:val="es-CO"/>
    </w:rPr>
  </w:style>
  <w:style w:type="character" w:customStyle="1" w:styleId="apple-converted-space">
    <w:name w:val="apple-converted-space"/>
    <w:rsid w:val="00DE5C48"/>
  </w:style>
  <w:style w:type="table" w:customStyle="1" w:styleId="Tablaconcuadrcula8">
    <w:name w:val="Tabla con cuadrícula8"/>
    <w:uiPriority w:val="59"/>
    <w:rsid w:val="00DE5C48"/>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uiPriority w:val="59"/>
    <w:rsid w:val="00DE5C48"/>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bsico">
    <w:name w:val="[Párrafo básico]"/>
    <w:basedOn w:val="Normal"/>
    <w:uiPriority w:val="99"/>
    <w:rsid w:val="00DE5C48"/>
    <w:pPr>
      <w:widowControl/>
      <w:adjustRightInd w:val="0"/>
      <w:spacing w:after="160" w:line="288" w:lineRule="auto"/>
    </w:pPr>
    <w:rPr>
      <w:rFonts w:ascii="Minion Pro" w:eastAsiaTheme="minorEastAsia" w:hAnsi="Minion Pro" w:cs="Minion Pro"/>
      <w:color w:val="000000"/>
      <w:lang w:val="es-ES_tradnl" w:eastAsia="es-CO"/>
    </w:rPr>
  </w:style>
  <w:style w:type="paragraph" w:customStyle="1" w:styleId="Tabla">
    <w:name w:val="# Tabla"/>
    <w:basedOn w:val="Descripcin"/>
    <w:next w:val="Normal"/>
    <w:autoRedefine/>
    <w:uiPriority w:val="99"/>
    <w:rsid w:val="00DE5C48"/>
    <w:pPr>
      <w:keepNext/>
      <w:jc w:val="center"/>
    </w:pPr>
    <w:rPr>
      <w:rFonts w:ascii="Arial" w:eastAsiaTheme="minorEastAsia" w:hAnsi="Arial" w:cs="Arial"/>
      <w:b/>
      <w:iCs w:val="0"/>
      <w:sz w:val="24"/>
      <w:szCs w:val="24"/>
      <w:lang w:val="es-ES"/>
    </w:rPr>
  </w:style>
  <w:style w:type="paragraph" w:customStyle="1" w:styleId="Grfica">
    <w:name w:val="# Gráfica"/>
    <w:next w:val="Normal"/>
    <w:autoRedefine/>
    <w:uiPriority w:val="99"/>
    <w:rsid w:val="00DE5C48"/>
    <w:pPr>
      <w:keepNext/>
      <w:spacing w:after="0" w:line="240" w:lineRule="auto"/>
      <w:ind w:firstLine="709"/>
    </w:pPr>
    <w:rPr>
      <w:rFonts w:ascii="Calibri" w:eastAsia="Times New Roman" w:hAnsi="Calibri" w:cs="Times New Roman"/>
      <w:iCs/>
      <w:sz w:val="18"/>
      <w:szCs w:val="18"/>
      <w:lang w:val="es-ES" w:eastAsia="es-ES"/>
    </w:rPr>
  </w:style>
  <w:style w:type="character" w:customStyle="1" w:styleId="DescripcinCar">
    <w:name w:val="Descripción Car"/>
    <w:link w:val="Descripcin"/>
    <w:uiPriority w:val="35"/>
    <w:locked/>
    <w:rsid w:val="00DE5C48"/>
    <w:rPr>
      <w:i/>
      <w:iCs/>
      <w:color w:val="44546A" w:themeColor="text2"/>
      <w:sz w:val="18"/>
      <w:szCs w:val="18"/>
    </w:rPr>
  </w:style>
  <w:style w:type="paragraph" w:customStyle="1" w:styleId="Estilo2">
    <w:name w:val="Estilo2"/>
    <w:basedOn w:val="Ttulo3"/>
    <w:autoRedefine/>
    <w:uiPriority w:val="99"/>
    <w:rsid w:val="00DE5C48"/>
    <w:pPr>
      <w:keepNext/>
      <w:keepLines/>
      <w:widowControl/>
      <w:numPr>
        <w:ilvl w:val="2"/>
      </w:numPr>
      <w:autoSpaceDE/>
      <w:autoSpaceDN/>
      <w:spacing w:before="200" w:line="259" w:lineRule="auto"/>
      <w:ind w:left="720" w:hanging="720"/>
      <w:jc w:val="both"/>
    </w:pPr>
    <w:rPr>
      <w:rFonts w:ascii="Tahoma" w:eastAsiaTheme="majorEastAsia" w:hAnsi="Tahoma" w:cs="Tahoma"/>
      <w:color w:val="76923C"/>
      <w:sz w:val="20"/>
      <w:szCs w:val="20"/>
      <w:lang w:eastAsia="es-ES"/>
    </w:rPr>
  </w:style>
  <w:style w:type="paragraph" w:customStyle="1" w:styleId="TtuloTahoma10negrita">
    <w:name w:val="Título + Tahoma 10 + negrita"/>
    <w:basedOn w:val="Estilo2"/>
    <w:uiPriority w:val="99"/>
    <w:rsid w:val="00DE5C48"/>
  </w:style>
  <w:style w:type="paragraph" w:customStyle="1" w:styleId="Ttulo2Tahoma12Negrita">
    <w:name w:val="Título 2 + Tahoma 12 + Negrita"/>
    <w:basedOn w:val="Normal"/>
    <w:uiPriority w:val="99"/>
    <w:rsid w:val="00DE5C48"/>
    <w:pPr>
      <w:widowControl/>
      <w:tabs>
        <w:tab w:val="num" w:pos="720"/>
      </w:tabs>
      <w:autoSpaceDE/>
      <w:autoSpaceDN/>
      <w:spacing w:after="160" w:line="259" w:lineRule="auto"/>
      <w:ind w:left="720" w:hanging="720"/>
      <w:jc w:val="both"/>
      <w:outlineLvl w:val="1"/>
    </w:pPr>
    <w:rPr>
      <w:rFonts w:ascii="Calibri" w:eastAsiaTheme="minorEastAsia" w:hAnsi="Calibri" w:cs="Tahoma"/>
      <w:b/>
    </w:rPr>
  </w:style>
  <w:style w:type="paragraph" w:customStyle="1" w:styleId="Ttulo2Tahoma12negrita0">
    <w:name w:val="Título 2 + Tahoma 12 + negrita"/>
    <w:basedOn w:val="Normal"/>
    <w:next w:val="Normal"/>
    <w:uiPriority w:val="99"/>
    <w:rsid w:val="00DE5C48"/>
    <w:pPr>
      <w:widowControl/>
      <w:autoSpaceDE/>
      <w:autoSpaceDN/>
      <w:spacing w:after="160" w:line="259" w:lineRule="auto"/>
      <w:jc w:val="both"/>
    </w:pPr>
    <w:rPr>
      <w:rFonts w:ascii="Calibri" w:eastAsiaTheme="minorEastAsia" w:hAnsi="Calibri" w:cs="Tahoma"/>
      <w:b/>
      <w:szCs w:val="20"/>
    </w:rPr>
  </w:style>
  <w:style w:type="paragraph" w:customStyle="1" w:styleId="normaltahomajustificado">
    <w:name w:val="normal + tahoma + justificado"/>
    <w:basedOn w:val="Normal"/>
    <w:uiPriority w:val="99"/>
    <w:rsid w:val="00DE5C48"/>
    <w:pPr>
      <w:widowControl/>
      <w:autoSpaceDE/>
      <w:autoSpaceDN/>
      <w:spacing w:after="160" w:line="259" w:lineRule="auto"/>
      <w:jc w:val="both"/>
      <w:outlineLvl w:val="1"/>
    </w:pPr>
    <w:rPr>
      <w:rFonts w:ascii="Calibri" w:eastAsiaTheme="minorEastAsia" w:hAnsi="Calibri" w:cs="Tahoma"/>
      <w:szCs w:val="20"/>
    </w:rPr>
  </w:style>
  <w:style w:type="paragraph" w:customStyle="1" w:styleId="Estilo3">
    <w:name w:val="Estilo3"/>
    <w:basedOn w:val="Ttulo2Tahoma12negrita0"/>
    <w:next w:val="Normal"/>
    <w:uiPriority w:val="99"/>
    <w:rsid w:val="00DE5C48"/>
  </w:style>
  <w:style w:type="character" w:customStyle="1" w:styleId="iceouttxttexto">
    <w:name w:val="iceouttxt texto"/>
    <w:uiPriority w:val="99"/>
    <w:rsid w:val="00DE5C48"/>
  </w:style>
  <w:style w:type="character" w:customStyle="1" w:styleId="CarCar1">
    <w:name w:val="Car Car1"/>
    <w:uiPriority w:val="99"/>
    <w:rsid w:val="00DE5C48"/>
    <w:rPr>
      <w:rFonts w:ascii="Tahoma" w:hAnsi="Tahoma"/>
      <w:b/>
      <w:lang w:val="es-ES" w:eastAsia="es-ES"/>
    </w:rPr>
  </w:style>
  <w:style w:type="paragraph" w:customStyle="1" w:styleId="Nueve">
    <w:name w:val="Nueve"/>
    <w:uiPriority w:val="99"/>
    <w:rsid w:val="00DE5C48"/>
    <w:pPr>
      <w:widowControl w:val="0"/>
      <w:autoSpaceDE w:val="0"/>
      <w:autoSpaceDN w:val="0"/>
      <w:adjustRightInd w:val="0"/>
      <w:spacing w:before="113" w:after="0" w:line="240" w:lineRule="auto"/>
      <w:ind w:firstLine="283"/>
      <w:jc w:val="both"/>
    </w:pPr>
    <w:rPr>
      <w:rFonts w:ascii="Arial" w:eastAsia="Times New Roman" w:hAnsi="Arial" w:cs="Arial"/>
      <w:color w:val="000000"/>
      <w:sz w:val="24"/>
      <w:szCs w:val="24"/>
      <w:lang w:val="es-ES" w:eastAsia="es-ES"/>
    </w:rPr>
  </w:style>
  <w:style w:type="paragraph" w:customStyle="1" w:styleId="Ttulo50">
    <w:name w:val="Título5"/>
    <w:basedOn w:val="Titulo5"/>
    <w:next w:val="Titulo5"/>
    <w:uiPriority w:val="99"/>
    <w:rsid w:val="00DE5C48"/>
    <w:pPr>
      <w:jc w:val="both"/>
    </w:pPr>
    <w:rPr>
      <w:rFonts w:ascii="Calibri" w:hAnsi="Calibri"/>
      <w:color w:val="76923C"/>
    </w:rPr>
  </w:style>
  <w:style w:type="paragraph" w:customStyle="1" w:styleId="Normalnegrita">
    <w:name w:val="Normal + negrita"/>
    <w:link w:val="NormalnegritaCar"/>
    <w:uiPriority w:val="99"/>
    <w:rsid w:val="00DE5C48"/>
    <w:pPr>
      <w:spacing w:after="200" w:line="276" w:lineRule="auto"/>
    </w:pPr>
    <w:rPr>
      <w:rFonts w:ascii="Tahoma" w:eastAsia="Calibri" w:hAnsi="Tahoma" w:cs="Times New Roman"/>
      <w:b/>
      <w:lang w:val="es-ES" w:eastAsia="es-ES"/>
    </w:rPr>
  </w:style>
  <w:style w:type="character" w:customStyle="1" w:styleId="NormalnegritaCar">
    <w:name w:val="Normal + negrita Car"/>
    <w:link w:val="Normalnegrita"/>
    <w:uiPriority w:val="99"/>
    <w:locked/>
    <w:rsid w:val="00DE5C48"/>
    <w:rPr>
      <w:rFonts w:ascii="Tahoma" w:eastAsia="Calibri" w:hAnsi="Tahoma" w:cs="Times New Roman"/>
      <w:b/>
      <w:lang w:val="es-ES" w:eastAsia="es-ES"/>
    </w:rPr>
  </w:style>
  <w:style w:type="paragraph" w:styleId="ndice1">
    <w:name w:val="index 1"/>
    <w:basedOn w:val="Normal"/>
    <w:next w:val="Normal"/>
    <w:autoRedefine/>
    <w:uiPriority w:val="99"/>
    <w:rsid w:val="00DE5C48"/>
    <w:pPr>
      <w:widowControl/>
      <w:autoSpaceDE/>
      <w:autoSpaceDN/>
      <w:spacing w:after="160" w:line="259" w:lineRule="auto"/>
      <w:ind w:left="200" w:hanging="200"/>
      <w:jc w:val="both"/>
    </w:pPr>
    <w:rPr>
      <w:rFonts w:ascii="Calibri" w:eastAsiaTheme="minorEastAsia" w:hAnsi="Calibri" w:cstheme="minorBidi"/>
    </w:rPr>
  </w:style>
  <w:style w:type="character" w:styleId="Refdenotaalfinal">
    <w:name w:val="endnote reference"/>
    <w:basedOn w:val="Fuentedeprrafopredeter"/>
    <w:uiPriority w:val="99"/>
    <w:rsid w:val="00DE5C48"/>
    <w:rPr>
      <w:rFonts w:cs="Times New Roman"/>
      <w:vertAlign w:val="superscript"/>
    </w:rPr>
  </w:style>
  <w:style w:type="paragraph" w:customStyle="1" w:styleId="Textosinformato2">
    <w:name w:val="Texto sin formato2"/>
    <w:basedOn w:val="Normal"/>
    <w:uiPriority w:val="99"/>
    <w:rsid w:val="00DE5C48"/>
    <w:pPr>
      <w:widowControl/>
      <w:autoSpaceDE/>
      <w:autoSpaceDN/>
      <w:spacing w:after="160" w:line="259" w:lineRule="auto"/>
      <w:jc w:val="both"/>
    </w:pPr>
    <w:rPr>
      <w:rFonts w:ascii="Courier New" w:eastAsiaTheme="minorEastAsia" w:hAnsi="Courier New" w:cstheme="minorBidi"/>
      <w:szCs w:val="20"/>
    </w:rPr>
  </w:style>
  <w:style w:type="paragraph" w:customStyle="1" w:styleId="Textoindependiente22">
    <w:name w:val="Texto independiente 22"/>
    <w:basedOn w:val="Normal"/>
    <w:uiPriority w:val="99"/>
    <w:rsid w:val="00DE5C48"/>
    <w:pPr>
      <w:widowControl/>
      <w:overflowPunct w:val="0"/>
      <w:adjustRightInd w:val="0"/>
      <w:spacing w:after="160" w:line="259" w:lineRule="auto"/>
      <w:jc w:val="both"/>
      <w:textAlignment w:val="baseline"/>
    </w:pPr>
    <w:rPr>
      <w:rFonts w:ascii="Helvetica" w:eastAsiaTheme="minorEastAsia" w:hAnsi="Helvetica" w:cstheme="minorBidi"/>
      <w:szCs w:val="20"/>
      <w:lang w:val="es-ES_tradnl"/>
    </w:rPr>
  </w:style>
  <w:style w:type="character" w:customStyle="1" w:styleId="CarCar12">
    <w:name w:val="Car Car12"/>
    <w:uiPriority w:val="99"/>
    <w:rsid w:val="00DE5C48"/>
    <w:rPr>
      <w:rFonts w:ascii="Tahoma" w:hAnsi="Tahoma"/>
      <w:b/>
      <w:lang w:val="es-ES" w:eastAsia="es-ES"/>
    </w:rPr>
  </w:style>
  <w:style w:type="paragraph" w:customStyle="1" w:styleId="Titulo2FranklinGothicBookNegrita">
    <w:name w:val="Titulo 2 + Franklin Gothic Book + Negrita"/>
    <w:basedOn w:val="Ttulo2"/>
    <w:qFormat/>
    <w:rsid w:val="00DE5C48"/>
    <w:pPr>
      <w:keepNext/>
      <w:keepLines/>
      <w:widowControl/>
      <w:numPr>
        <w:ilvl w:val="1"/>
      </w:numPr>
      <w:autoSpaceDE/>
      <w:autoSpaceDN/>
      <w:spacing w:line="259" w:lineRule="auto"/>
      <w:ind w:left="1647"/>
      <w:jc w:val="both"/>
    </w:pPr>
    <w:rPr>
      <w:rFonts w:ascii="Calibri" w:eastAsiaTheme="majorEastAsia" w:hAnsi="Calibri" w:cs="Tahoma"/>
      <w:bCs w:val="0"/>
      <w:i/>
      <w:iCs/>
      <w:smallCaps/>
      <w:color w:val="76923C"/>
      <w:sz w:val="28"/>
      <w:szCs w:val="28"/>
      <w:lang w:val="es-CO"/>
    </w:rPr>
  </w:style>
  <w:style w:type="paragraph" w:customStyle="1" w:styleId="Titulo1FranklinGothicBookNegrita">
    <w:name w:val="Titulo 1 + Franklin Gothic Book + Negrita"/>
    <w:basedOn w:val="Ttulo"/>
    <w:next w:val="Normal"/>
    <w:uiPriority w:val="99"/>
    <w:rsid w:val="00DE5C48"/>
    <w:pPr>
      <w:spacing w:line="240" w:lineRule="auto"/>
      <w:ind w:left="0"/>
    </w:pPr>
    <w:rPr>
      <w:rFonts w:ascii="Times New Roman" w:eastAsia="Times New Roman" w:hAnsi="Times New Roman" w:cs="Times New Roman"/>
      <w:b w:val="0"/>
      <w:bCs w:val="0"/>
      <w:sz w:val="22"/>
      <w:szCs w:val="22"/>
    </w:rPr>
  </w:style>
  <w:style w:type="character" w:customStyle="1" w:styleId="textprincipal1">
    <w:name w:val="textprincipal1"/>
    <w:basedOn w:val="Fuentedeprrafopredeter"/>
    <w:uiPriority w:val="99"/>
    <w:rsid w:val="00DE5C48"/>
    <w:rPr>
      <w:rFonts w:cs="Times New Roman"/>
      <w:color w:val="565656"/>
      <w:sz w:val="18"/>
      <w:szCs w:val="18"/>
    </w:rPr>
  </w:style>
  <w:style w:type="character" w:customStyle="1" w:styleId="txt-general">
    <w:name w:val="txt-general"/>
    <w:uiPriority w:val="99"/>
    <w:rsid w:val="00DE5C48"/>
  </w:style>
  <w:style w:type="character" w:customStyle="1" w:styleId="st">
    <w:name w:val="st"/>
    <w:basedOn w:val="Fuentedeprrafopredeter"/>
    <w:uiPriority w:val="99"/>
    <w:rsid w:val="00DE5C48"/>
    <w:rPr>
      <w:rFonts w:cs="Times New Roman"/>
    </w:rPr>
  </w:style>
  <w:style w:type="character" w:customStyle="1" w:styleId="CarCar11">
    <w:name w:val="Car Car11"/>
    <w:uiPriority w:val="99"/>
    <w:rsid w:val="00DE5C48"/>
    <w:rPr>
      <w:rFonts w:ascii="Tahoma" w:hAnsi="Tahoma"/>
      <w:b/>
      <w:lang w:val="es-ES" w:eastAsia="es-ES"/>
    </w:rPr>
  </w:style>
  <w:style w:type="paragraph" w:customStyle="1" w:styleId="Puesto2">
    <w:name w:val="Puesto2"/>
    <w:basedOn w:val="Normal"/>
    <w:link w:val="Puesto2Car"/>
    <w:qFormat/>
    <w:rsid w:val="00DE5C48"/>
    <w:pPr>
      <w:widowControl/>
      <w:autoSpaceDE/>
      <w:autoSpaceDN/>
      <w:spacing w:after="160" w:line="259" w:lineRule="auto"/>
      <w:jc w:val="center"/>
    </w:pPr>
    <w:rPr>
      <w:rFonts w:ascii="Calibri" w:eastAsiaTheme="minorEastAsia" w:hAnsi="Calibri" w:cstheme="minorBidi"/>
      <w:b/>
      <w:color w:val="76923C"/>
      <w:sz w:val="32"/>
    </w:rPr>
  </w:style>
  <w:style w:type="character" w:customStyle="1" w:styleId="Puesto2Car">
    <w:name w:val="Puesto2 Car"/>
    <w:basedOn w:val="Fuentedeprrafopredeter"/>
    <w:link w:val="Puesto2"/>
    <w:locked/>
    <w:rsid w:val="00DE5C48"/>
    <w:rPr>
      <w:rFonts w:ascii="Calibri" w:eastAsiaTheme="minorEastAsia" w:hAnsi="Calibri"/>
      <w:b/>
      <w:color w:val="76923C"/>
      <w:sz w:val="32"/>
      <w:lang w:val="es-ES"/>
    </w:rPr>
  </w:style>
  <w:style w:type="paragraph" w:styleId="Tabladeilustraciones">
    <w:name w:val="table of figures"/>
    <w:basedOn w:val="Normal"/>
    <w:next w:val="Normal"/>
    <w:uiPriority w:val="99"/>
    <w:rsid w:val="00DE5C48"/>
    <w:pPr>
      <w:widowControl/>
      <w:autoSpaceDE/>
      <w:autoSpaceDN/>
      <w:spacing w:after="160" w:line="259" w:lineRule="auto"/>
      <w:ind w:left="480" w:hanging="480"/>
    </w:pPr>
    <w:rPr>
      <w:rFonts w:ascii="Calibri" w:eastAsiaTheme="minorEastAsia" w:hAnsi="Calibri" w:cstheme="minorBidi"/>
      <w:smallCaps/>
      <w:sz w:val="20"/>
      <w:szCs w:val="20"/>
    </w:rPr>
  </w:style>
  <w:style w:type="table" w:customStyle="1" w:styleId="detablas">
    <w:name w:val="# de tablas"/>
    <w:uiPriority w:val="99"/>
    <w:rsid w:val="00DE5C48"/>
    <w:pPr>
      <w:spacing w:after="0" w:line="240" w:lineRule="auto"/>
    </w:pPr>
    <w:rPr>
      <w:rFonts w:ascii="Calibri" w:eastAsia="Calibri" w:hAnsi="Calibri" w:cs="Times New Roman"/>
      <w:sz w:val="20"/>
      <w:szCs w:val="20"/>
      <w:lang w:eastAsia="es-CO"/>
    </w:rPr>
    <w:tblPr>
      <w:tblInd w:w="0" w:type="dxa"/>
      <w:tblCellMar>
        <w:top w:w="0" w:type="dxa"/>
        <w:left w:w="108" w:type="dxa"/>
        <w:bottom w:w="0" w:type="dxa"/>
        <w:right w:w="108" w:type="dxa"/>
      </w:tblCellMar>
    </w:tblPr>
  </w:style>
  <w:style w:type="paragraph" w:customStyle="1" w:styleId="Puesto3">
    <w:name w:val="Puesto3"/>
    <w:basedOn w:val="Ttulo"/>
    <w:next w:val="Normal"/>
    <w:uiPriority w:val="99"/>
    <w:rsid w:val="00DE5C48"/>
    <w:pPr>
      <w:spacing w:line="240" w:lineRule="auto"/>
      <w:ind w:left="0"/>
    </w:pPr>
    <w:rPr>
      <w:rFonts w:ascii="Times New Roman" w:eastAsia="Times New Roman" w:hAnsi="Times New Roman" w:cs="Times New Roman"/>
      <w:b w:val="0"/>
      <w:bCs w:val="0"/>
      <w:sz w:val="22"/>
      <w:szCs w:val="22"/>
    </w:rPr>
  </w:style>
  <w:style w:type="paragraph" w:customStyle="1" w:styleId="Puesto4">
    <w:name w:val="Puesto4"/>
    <w:basedOn w:val="Ttulo"/>
    <w:next w:val="Normal"/>
    <w:uiPriority w:val="99"/>
    <w:rsid w:val="00DE5C48"/>
    <w:pPr>
      <w:spacing w:line="240" w:lineRule="auto"/>
      <w:ind w:left="0"/>
    </w:pPr>
    <w:rPr>
      <w:rFonts w:ascii="Times New Roman" w:eastAsia="Times New Roman" w:hAnsi="Times New Roman" w:cs="Times New Roman"/>
      <w:b w:val="0"/>
      <w:bCs w:val="0"/>
      <w:sz w:val="22"/>
      <w:szCs w:val="22"/>
    </w:rPr>
  </w:style>
  <w:style w:type="paragraph" w:customStyle="1" w:styleId="Puesto5">
    <w:name w:val="Puesto5"/>
    <w:basedOn w:val="Ttulo"/>
    <w:next w:val="Normal"/>
    <w:uiPriority w:val="99"/>
    <w:rsid w:val="00DE5C48"/>
    <w:pPr>
      <w:spacing w:line="240" w:lineRule="auto"/>
      <w:ind w:left="0"/>
    </w:pPr>
    <w:rPr>
      <w:rFonts w:ascii="Times New Roman" w:eastAsia="Times New Roman" w:hAnsi="Times New Roman" w:cs="Times New Roman"/>
      <w:b w:val="0"/>
      <w:bCs w:val="0"/>
      <w:sz w:val="22"/>
      <w:szCs w:val="22"/>
    </w:rPr>
  </w:style>
  <w:style w:type="paragraph" w:customStyle="1" w:styleId="TablasyGrficas">
    <w:name w:val="Tablas y Gráficas"/>
    <w:basedOn w:val="Default"/>
    <w:next w:val="Normal"/>
    <w:uiPriority w:val="99"/>
    <w:rsid w:val="00DE5C48"/>
    <w:pPr>
      <w:jc w:val="center"/>
    </w:pPr>
    <w:rPr>
      <w:rFonts w:ascii="Calibri" w:eastAsia="Times New Roman" w:hAnsi="Calibri" w:cs="Times New Roman"/>
      <w:lang w:val="es-ES" w:eastAsia="es-ES"/>
    </w:rPr>
  </w:style>
  <w:style w:type="paragraph" w:customStyle="1" w:styleId="Listaconvietas20">
    <w:name w:val="Lista con viñetas2"/>
    <w:basedOn w:val="Normal"/>
    <w:next w:val="Listaconvietas"/>
    <w:autoRedefine/>
    <w:uiPriority w:val="99"/>
    <w:rsid w:val="00DE5C48"/>
    <w:pPr>
      <w:widowControl/>
      <w:numPr>
        <w:numId w:val="14"/>
      </w:numPr>
      <w:autoSpaceDE/>
      <w:autoSpaceDN/>
      <w:spacing w:after="160" w:line="259" w:lineRule="auto"/>
    </w:pPr>
    <w:rPr>
      <w:rFonts w:ascii="Calibri" w:eastAsiaTheme="minorEastAsia" w:hAnsi="Calibri" w:cstheme="minorBidi"/>
      <w:lang w:val="es-CO" w:eastAsia="es-CO"/>
    </w:rPr>
  </w:style>
  <w:style w:type="paragraph" w:customStyle="1" w:styleId="Grfica0">
    <w:name w:val="Gráfica"/>
    <w:next w:val="Normal"/>
    <w:autoRedefine/>
    <w:uiPriority w:val="99"/>
    <w:rsid w:val="00DE5C48"/>
    <w:pPr>
      <w:keepNext/>
      <w:spacing w:after="0" w:line="240" w:lineRule="auto"/>
      <w:ind w:firstLine="709"/>
    </w:pPr>
    <w:rPr>
      <w:rFonts w:ascii="Calibri" w:eastAsia="Times New Roman" w:hAnsi="Calibri" w:cs="Times New Roman"/>
      <w:iCs/>
      <w:sz w:val="18"/>
      <w:szCs w:val="18"/>
      <w:lang w:val="es-ES" w:eastAsia="es-ES"/>
    </w:rPr>
  </w:style>
  <w:style w:type="paragraph" w:customStyle="1" w:styleId="Ttulo3Tahoma10negrita">
    <w:name w:val="Título 3 + Tahoma 10 + negrita"/>
    <w:basedOn w:val="Estilo2"/>
    <w:uiPriority w:val="99"/>
    <w:rsid w:val="00DE5C48"/>
    <w:pPr>
      <w:ind w:left="709" w:hanging="709"/>
    </w:pPr>
    <w:rPr>
      <w:color w:val="948A54"/>
      <w:lang w:val="es-CO"/>
    </w:rPr>
  </w:style>
  <w:style w:type="paragraph" w:customStyle="1" w:styleId="Titulo5tahoma10negrita">
    <w:name w:val="Titulo 5 + tahoma 10 + negrita"/>
    <w:basedOn w:val="Titulo5"/>
    <w:uiPriority w:val="99"/>
    <w:rsid w:val="00DE5C48"/>
    <w:pPr>
      <w:jc w:val="both"/>
    </w:pPr>
    <w:rPr>
      <w:rFonts w:ascii="Calibri" w:hAnsi="Calibri" w:cs="Times New Roman"/>
      <w:iCs/>
      <w:color w:val="948A54"/>
      <w:szCs w:val="24"/>
      <w:lang w:val="es-CO"/>
    </w:rPr>
  </w:style>
  <w:style w:type="paragraph" w:customStyle="1" w:styleId="Titulo5Verdana">
    <w:name w:val="Titulo 5 + Verdana"/>
    <w:aliases w:val="12 pt"/>
    <w:basedOn w:val="Normal"/>
    <w:link w:val="Titulo5VerdanaCar"/>
    <w:uiPriority w:val="99"/>
    <w:rsid w:val="00DE5C48"/>
    <w:pPr>
      <w:widowControl/>
      <w:autoSpaceDE/>
      <w:autoSpaceDN/>
      <w:spacing w:before="240" w:after="60" w:line="259" w:lineRule="auto"/>
      <w:jc w:val="both"/>
      <w:outlineLvl w:val="4"/>
    </w:pPr>
    <w:rPr>
      <w:rFonts w:eastAsia="Calibri" w:cstheme="minorBidi"/>
      <w:b/>
      <w:szCs w:val="20"/>
      <w:lang w:val="es-CO"/>
    </w:rPr>
  </w:style>
  <w:style w:type="character" w:customStyle="1" w:styleId="Titulo5VerdanaCar">
    <w:name w:val="Titulo 5 + Verdana Car"/>
    <w:aliases w:val="12 pt Car"/>
    <w:link w:val="Titulo5Verdana"/>
    <w:uiPriority w:val="99"/>
    <w:locked/>
    <w:rsid w:val="00DE5C48"/>
    <w:rPr>
      <w:rFonts w:ascii="Verdana" w:eastAsia="Calibri" w:hAnsi="Verdana"/>
      <w:b/>
      <w:szCs w:val="20"/>
    </w:rPr>
  </w:style>
  <w:style w:type="character" w:styleId="Referenciaintensa">
    <w:name w:val="Intense Reference"/>
    <w:basedOn w:val="Fuentedeprrafopredeter"/>
    <w:uiPriority w:val="32"/>
    <w:qFormat/>
    <w:rsid w:val="00DE5C48"/>
    <w:rPr>
      <w:b/>
      <w:bCs/>
      <w:smallCaps/>
      <w:u w:val="single"/>
    </w:rPr>
  </w:style>
  <w:style w:type="paragraph" w:styleId="Listaconnmeros">
    <w:name w:val="List Number"/>
    <w:basedOn w:val="Normal"/>
    <w:uiPriority w:val="99"/>
    <w:rsid w:val="00DE5C48"/>
    <w:pPr>
      <w:widowControl/>
      <w:numPr>
        <w:numId w:val="9"/>
      </w:numPr>
      <w:tabs>
        <w:tab w:val="clear" w:pos="360"/>
        <w:tab w:val="num" w:pos="851"/>
      </w:tabs>
      <w:autoSpaceDE/>
      <w:autoSpaceDN/>
      <w:spacing w:after="160" w:line="259" w:lineRule="auto"/>
      <w:ind w:left="851" w:hanging="425"/>
      <w:contextualSpacing/>
      <w:jc w:val="both"/>
    </w:pPr>
    <w:rPr>
      <w:rFonts w:ascii="Calibri" w:eastAsiaTheme="minorEastAsia" w:hAnsi="Calibri" w:cstheme="minorBidi"/>
    </w:rPr>
  </w:style>
  <w:style w:type="paragraph" w:customStyle="1" w:styleId="xl74">
    <w:name w:val="xl74"/>
    <w:basedOn w:val="Normal"/>
    <w:rsid w:val="00DE5C48"/>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line="259" w:lineRule="auto"/>
      <w:jc w:val="center"/>
      <w:textAlignment w:val="center"/>
    </w:pPr>
    <w:rPr>
      <w:rFonts w:asciiTheme="minorHAnsi" w:eastAsiaTheme="minorEastAsia" w:hAnsiTheme="minorHAnsi" w:cstheme="minorBidi"/>
      <w:b/>
      <w:bCs/>
      <w:sz w:val="16"/>
      <w:szCs w:val="16"/>
      <w:lang w:val="es-CO" w:eastAsia="es-CO"/>
    </w:rPr>
  </w:style>
  <w:style w:type="paragraph" w:customStyle="1" w:styleId="xl75">
    <w:name w:val="xl75"/>
    <w:basedOn w:val="Normal"/>
    <w:rsid w:val="00DE5C4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line="259" w:lineRule="auto"/>
      <w:jc w:val="center"/>
      <w:textAlignment w:val="center"/>
    </w:pPr>
    <w:rPr>
      <w:rFonts w:asciiTheme="minorHAnsi" w:eastAsiaTheme="minorEastAsia" w:hAnsiTheme="minorHAnsi" w:cstheme="minorBidi"/>
      <w:sz w:val="16"/>
      <w:szCs w:val="16"/>
      <w:lang w:val="es-CO" w:eastAsia="es-CO"/>
    </w:rPr>
  </w:style>
  <w:style w:type="paragraph" w:customStyle="1" w:styleId="xl76">
    <w:name w:val="xl76"/>
    <w:basedOn w:val="Normal"/>
    <w:uiPriority w:val="99"/>
    <w:rsid w:val="00DE5C4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line="259" w:lineRule="auto"/>
      <w:jc w:val="center"/>
    </w:pPr>
    <w:rPr>
      <w:rFonts w:asciiTheme="minorHAnsi" w:eastAsiaTheme="minorEastAsia" w:hAnsiTheme="minorHAnsi" w:cstheme="minorBidi"/>
      <w:b/>
      <w:bCs/>
      <w:sz w:val="16"/>
      <w:szCs w:val="16"/>
      <w:lang w:val="es-CO" w:eastAsia="es-CO"/>
    </w:rPr>
  </w:style>
  <w:style w:type="paragraph" w:customStyle="1" w:styleId="xl77">
    <w:name w:val="xl77"/>
    <w:basedOn w:val="Normal"/>
    <w:uiPriority w:val="99"/>
    <w:rsid w:val="00DE5C4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line="259" w:lineRule="auto"/>
      <w:jc w:val="center"/>
      <w:textAlignment w:val="center"/>
    </w:pPr>
    <w:rPr>
      <w:rFonts w:asciiTheme="minorHAnsi" w:eastAsiaTheme="minorEastAsia" w:hAnsiTheme="minorHAnsi" w:cstheme="minorBidi"/>
      <w:sz w:val="16"/>
      <w:szCs w:val="16"/>
      <w:lang w:val="es-CO" w:eastAsia="es-CO"/>
    </w:rPr>
  </w:style>
  <w:style w:type="paragraph" w:customStyle="1" w:styleId="xl78">
    <w:name w:val="xl78"/>
    <w:basedOn w:val="Normal"/>
    <w:uiPriority w:val="99"/>
    <w:rsid w:val="00DE5C4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line="259" w:lineRule="auto"/>
      <w:jc w:val="center"/>
    </w:pPr>
    <w:rPr>
      <w:rFonts w:asciiTheme="minorHAnsi" w:eastAsiaTheme="minorEastAsia" w:hAnsiTheme="minorHAnsi" w:cstheme="minorBidi"/>
      <w:sz w:val="16"/>
      <w:szCs w:val="16"/>
      <w:lang w:val="es-CO" w:eastAsia="es-CO"/>
    </w:rPr>
  </w:style>
  <w:style w:type="paragraph" w:customStyle="1" w:styleId="xl79">
    <w:name w:val="xl79"/>
    <w:basedOn w:val="Normal"/>
    <w:uiPriority w:val="99"/>
    <w:rsid w:val="00DE5C4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line="259" w:lineRule="auto"/>
      <w:jc w:val="center"/>
      <w:textAlignment w:val="center"/>
    </w:pPr>
    <w:rPr>
      <w:rFonts w:asciiTheme="minorHAnsi" w:eastAsiaTheme="minorEastAsia" w:hAnsiTheme="minorHAnsi" w:cstheme="minorBidi"/>
      <w:b/>
      <w:bCs/>
      <w:sz w:val="16"/>
      <w:szCs w:val="16"/>
      <w:lang w:val="es-CO" w:eastAsia="es-CO"/>
    </w:rPr>
  </w:style>
  <w:style w:type="numbering" w:customStyle="1" w:styleId="Ttulocaptulo">
    <w:name w:val="Título capítulo"/>
    <w:rsid w:val="00DE5C48"/>
    <w:pPr>
      <w:numPr>
        <w:numId w:val="13"/>
      </w:numPr>
    </w:pPr>
  </w:style>
  <w:style w:type="numbering" w:styleId="111111">
    <w:name w:val="Outline List 2"/>
    <w:basedOn w:val="Sinlista"/>
    <w:unhideWhenUsed/>
    <w:rsid w:val="00DE5C48"/>
    <w:pPr>
      <w:numPr>
        <w:numId w:val="7"/>
      </w:numPr>
    </w:pPr>
  </w:style>
  <w:style w:type="paragraph" w:customStyle="1" w:styleId="m301762956666505758gmail-msolistparagraph">
    <w:name w:val="m_301762956666505758gmail-msolistparagraph"/>
    <w:basedOn w:val="Normal"/>
    <w:rsid w:val="00DE5C48"/>
    <w:pPr>
      <w:widowControl/>
      <w:autoSpaceDE/>
      <w:autoSpaceDN/>
      <w:spacing w:before="100" w:beforeAutospacing="1" w:after="100" w:afterAutospacing="1" w:line="259" w:lineRule="auto"/>
    </w:pPr>
    <w:rPr>
      <w:rFonts w:asciiTheme="minorHAnsi" w:eastAsiaTheme="minorEastAsia" w:hAnsiTheme="minorHAnsi" w:cstheme="minorBidi"/>
      <w:lang w:val="es-CO" w:eastAsia="es-CO"/>
    </w:rPr>
  </w:style>
  <w:style w:type="character" w:customStyle="1" w:styleId="intellitxt">
    <w:name w:val="intellitxt"/>
    <w:rsid w:val="00DE5C48"/>
  </w:style>
  <w:style w:type="paragraph" w:customStyle="1" w:styleId="Pa8">
    <w:name w:val="Pa8"/>
    <w:basedOn w:val="Normal"/>
    <w:next w:val="Normal"/>
    <w:uiPriority w:val="99"/>
    <w:rsid w:val="00DE5C48"/>
    <w:pPr>
      <w:widowControl/>
      <w:adjustRightInd w:val="0"/>
      <w:spacing w:after="160" w:line="241" w:lineRule="atLeast"/>
    </w:pPr>
    <w:rPr>
      <w:rFonts w:ascii="AmsiPro-Regular" w:eastAsiaTheme="minorEastAsia" w:hAnsi="AmsiPro-Regular" w:cstheme="minorBidi"/>
      <w:lang w:val="es-CO" w:eastAsia="es-CO"/>
    </w:rPr>
  </w:style>
  <w:style w:type="character" w:customStyle="1" w:styleId="A8">
    <w:name w:val="A8"/>
    <w:uiPriority w:val="99"/>
    <w:rsid w:val="00DE5C48"/>
    <w:rPr>
      <w:rFonts w:cs="AmsiPro-Regular"/>
      <w:color w:val="000000"/>
      <w:sz w:val="22"/>
      <w:szCs w:val="22"/>
    </w:rPr>
  </w:style>
  <w:style w:type="paragraph" w:customStyle="1" w:styleId="Pa7">
    <w:name w:val="Pa7"/>
    <w:basedOn w:val="Normal"/>
    <w:next w:val="Normal"/>
    <w:uiPriority w:val="99"/>
    <w:rsid w:val="00DE5C48"/>
    <w:pPr>
      <w:widowControl/>
      <w:adjustRightInd w:val="0"/>
      <w:spacing w:after="160" w:line="241" w:lineRule="atLeast"/>
    </w:pPr>
    <w:rPr>
      <w:rFonts w:ascii="AmsiPro-Regular" w:eastAsiaTheme="minorEastAsia" w:hAnsi="AmsiPro-Regular" w:cstheme="minorBidi"/>
      <w:lang w:val="es-CO" w:eastAsia="es-CO"/>
    </w:rPr>
  </w:style>
  <w:style w:type="character" w:customStyle="1" w:styleId="A12">
    <w:name w:val="A12"/>
    <w:uiPriority w:val="99"/>
    <w:rsid w:val="00DE5C48"/>
    <w:rPr>
      <w:rFonts w:cs="AmsiPro-Regular"/>
      <w:color w:val="000000"/>
      <w:sz w:val="17"/>
      <w:szCs w:val="17"/>
    </w:rPr>
  </w:style>
  <w:style w:type="paragraph" w:customStyle="1" w:styleId="Pa9">
    <w:name w:val="Pa9"/>
    <w:basedOn w:val="Normal"/>
    <w:next w:val="Normal"/>
    <w:uiPriority w:val="99"/>
    <w:rsid w:val="00DE5C48"/>
    <w:pPr>
      <w:widowControl/>
      <w:adjustRightInd w:val="0"/>
      <w:spacing w:after="160" w:line="241" w:lineRule="atLeast"/>
    </w:pPr>
    <w:rPr>
      <w:rFonts w:ascii="AmsiPro-Regular" w:eastAsiaTheme="minorEastAsia" w:hAnsi="AmsiPro-Regular" w:cstheme="minorBidi"/>
      <w:lang w:val="es-CO" w:eastAsia="es-CO"/>
    </w:rPr>
  </w:style>
  <w:style w:type="paragraph" w:customStyle="1" w:styleId="footnotedescription">
    <w:name w:val="footnote description"/>
    <w:next w:val="Normal"/>
    <w:link w:val="footnotedescriptionChar"/>
    <w:hidden/>
    <w:rsid w:val="00DE5C48"/>
    <w:pPr>
      <w:spacing w:after="0" w:line="241" w:lineRule="auto"/>
      <w:ind w:left="767" w:right="833"/>
      <w:jc w:val="both"/>
    </w:pPr>
    <w:rPr>
      <w:rFonts w:ascii="News Gothic" w:eastAsia="News Gothic" w:hAnsi="News Gothic" w:cs="News Gothic"/>
      <w:b/>
      <w:color w:val="181717"/>
      <w:sz w:val="18"/>
      <w:lang w:val="es-ES" w:eastAsia="es-ES"/>
    </w:rPr>
  </w:style>
  <w:style w:type="character" w:customStyle="1" w:styleId="footnotedescriptionChar">
    <w:name w:val="footnote description Char"/>
    <w:link w:val="footnotedescription"/>
    <w:rsid w:val="00DE5C48"/>
    <w:rPr>
      <w:rFonts w:ascii="News Gothic" w:eastAsia="News Gothic" w:hAnsi="News Gothic" w:cs="News Gothic"/>
      <w:b/>
      <w:color w:val="181717"/>
      <w:sz w:val="18"/>
      <w:lang w:val="es-ES" w:eastAsia="es-ES"/>
    </w:rPr>
  </w:style>
  <w:style w:type="character" w:customStyle="1" w:styleId="footnotemark">
    <w:name w:val="footnote mark"/>
    <w:hidden/>
    <w:rsid w:val="00DE5C48"/>
    <w:rPr>
      <w:rFonts w:ascii="News Gothic" w:eastAsia="News Gothic" w:hAnsi="News Gothic" w:cs="News Gothic"/>
      <w:b/>
      <w:color w:val="275D33"/>
      <w:sz w:val="18"/>
      <w:vertAlign w:val="superscript"/>
    </w:rPr>
  </w:style>
  <w:style w:type="character" w:customStyle="1" w:styleId="st1">
    <w:name w:val="st1"/>
    <w:rsid w:val="00DE5C48"/>
  </w:style>
  <w:style w:type="character" w:customStyle="1" w:styleId="Cuerpodeltexto7">
    <w:name w:val="Cuerpo del texto (7)_"/>
    <w:link w:val="Cuerpodeltexto70"/>
    <w:rsid w:val="00DE5C48"/>
    <w:rPr>
      <w:rFonts w:ascii="Arial" w:eastAsia="Arial" w:hAnsi="Arial" w:cs="Arial"/>
      <w:b/>
      <w:bCs/>
      <w:i/>
      <w:iCs/>
      <w:shd w:val="clear" w:color="auto" w:fill="FFFFFF"/>
    </w:rPr>
  </w:style>
  <w:style w:type="paragraph" w:customStyle="1" w:styleId="Cuerpodeltexto70">
    <w:name w:val="Cuerpo del texto (7)"/>
    <w:basedOn w:val="Normal"/>
    <w:link w:val="Cuerpodeltexto7"/>
    <w:rsid w:val="00DE5C48"/>
    <w:pPr>
      <w:shd w:val="clear" w:color="auto" w:fill="FFFFFF"/>
      <w:autoSpaceDE/>
      <w:autoSpaceDN/>
      <w:spacing w:before="540" w:after="160" w:line="248" w:lineRule="exact"/>
      <w:jc w:val="both"/>
    </w:pPr>
    <w:rPr>
      <w:rFonts w:ascii="Arial" w:eastAsia="Arial" w:hAnsi="Arial" w:cs="Arial"/>
      <w:b/>
      <w:bCs/>
      <w:i/>
      <w:iCs/>
      <w:lang w:val="es-CO"/>
    </w:rPr>
  </w:style>
  <w:style w:type="character" w:customStyle="1" w:styleId="Cuerpodeltexto5Negrita">
    <w:name w:val="Cuerpo del texto (5) + Negrita"/>
    <w:rsid w:val="00DE5C48"/>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Negrita">
    <w:name w:val="Cuerpo del texto (2) + Negrita"/>
    <w:rsid w:val="00DE5C48"/>
    <w:rPr>
      <w:rFonts w:ascii="Arial" w:eastAsia="Arial" w:hAnsi="Arial" w:cs="Arial" w:hint="default"/>
      <w:b/>
      <w:bCs/>
      <w:i w:val="0"/>
      <w:iCs w:val="0"/>
      <w:smallCaps w:val="0"/>
      <w:color w:val="000000"/>
      <w:spacing w:val="0"/>
      <w:w w:val="100"/>
      <w:position w:val="0"/>
      <w:sz w:val="22"/>
      <w:szCs w:val="22"/>
      <w:u w:val="single"/>
      <w:shd w:val="clear" w:color="auto" w:fill="FFFFFF"/>
      <w:lang w:val="es-ES" w:eastAsia="es-ES" w:bidi="es-ES"/>
    </w:rPr>
  </w:style>
  <w:style w:type="paragraph" w:customStyle="1" w:styleId="Standarduser">
    <w:name w:val="Standard (user)"/>
    <w:rsid w:val="00DE5C48"/>
    <w:pPr>
      <w:suppressAutoHyphens/>
      <w:autoSpaceDN w:val="0"/>
      <w:spacing w:after="0" w:line="100" w:lineRule="atLeast"/>
      <w:textAlignment w:val="baseline"/>
    </w:pPr>
    <w:rPr>
      <w:rFonts w:ascii="Verdana" w:eastAsia="Arial" w:hAnsi="Verdana" w:cs="Verdana"/>
      <w:kern w:val="3"/>
      <w:lang w:val="es-ES" w:eastAsia="es-CO"/>
    </w:rPr>
  </w:style>
  <w:style w:type="character" w:customStyle="1" w:styleId="Cuerpodeltexto2">
    <w:name w:val="Cuerpo del texto (2)_"/>
    <w:link w:val="Cuerpodeltexto20"/>
    <w:locked/>
    <w:rsid w:val="00DE5C48"/>
    <w:rPr>
      <w:rFonts w:ascii="Arial" w:eastAsia="Arial" w:hAnsi="Arial" w:cs="Arial"/>
      <w:shd w:val="clear" w:color="auto" w:fill="FFFFFF"/>
    </w:rPr>
  </w:style>
  <w:style w:type="paragraph" w:customStyle="1" w:styleId="Cuerpodeltexto20">
    <w:name w:val="Cuerpo del texto (2)"/>
    <w:basedOn w:val="Normal"/>
    <w:link w:val="Cuerpodeltexto2"/>
    <w:rsid w:val="00DE5C48"/>
    <w:pPr>
      <w:shd w:val="clear" w:color="auto" w:fill="FFFFFF"/>
      <w:autoSpaceDE/>
      <w:autoSpaceDN/>
      <w:spacing w:after="160" w:line="268" w:lineRule="exact"/>
      <w:ind w:hanging="800"/>
      <w:jc w:val="both"/>
    </w:pPr>
    <w:rPr>
      <w:rFonts w:ascii="Arial" w:eastAsia="Arial" w:hAnsi="Arial" w:cs="Arial"/>
      <w:lang w:val="es-CO"/>
    </w:rPr>
  </w:style>
  <w:style w:type="character" w:customStyle="1" w:styleId="Cuerpodeltexto6">
    <w:name w:val="Cuerpo del texto (6)_"/>
    <w:link w:val="Cuerpodeltexto60"/>
    <w:rsid w:val="00DE5C48"/>
    <w:rPr>
      <w:rFonts w:ascii="Arial" w:eastAsia="Arial" w:hAnsi="Arial" w:cs="Arial"/>
      <w:sz w:val="28"/>
      <w:szCs w:val="28"/>
      <w:shd w:val="clear" w:color="auto" w:fill="FFFFFF"/>
    </w:rPr>
  </w:style>
  <w:style w:type="paragraph" w:customStyle="1" w:styleId="Cuerpodeltexto60">
    <w:name w:val="Cuerpo del texto (6)"/>
    <w:basedOn w:val="Normal"/>
    <w:link w:val="Cuerpodeltexto6"/>
    <w:rsid w:val="00DE5C48"/>
    <w:pPr>
      <w:shd w:val="clear" w:color="auto" w:fill="FFFFFF"/>
      <w:autoSpaceDE/>
      <w:autoSpaceDN/>
      <w:spacing w:before="300" w:after="300" w:line="317" w:lineRule="exact"/>
      <w:jc w:val="both"/>
    </w:pPr>
    <w:rPr>
      <w:rFonts w:ascii="Arial" w:eastAsia="Arial" w:hAnsi="Arial" w:cs="Arial"/>
      <w:sz w:val="28"/>
      <w:szCs w:val="28"/>
      <w:lang w:val="es-CO"/>
    </w:rPr>
  </w:style>
  <w:style w:type="paragraph" w:customStyle="1" w:styleId="xmsolistparagraph">
    <w:name w:val="x_msolistparagraph"/>
    <w:basedOn w:val="Normal"/>
    <w:rsid w:val="00DE5C48"/>
    <w:pPr>
      <w:widowControl/>
      <w:autoSpaceDE/>
      <w:autoSpaceDN/>
      <w:spacing w:after="200" w:line="276" w:lineRule="auto"/>
      <w:ind w:left="720"/>
    </w:pPr>
    <w:rPr>
      <w:rFonts w:ascii="Calibri" w:eastAsia="Calibri" w:hAnsi="Calibri" w:cstheme="minorBidi"/>
      <w:lang w:val="es-CO" w:eastAsia="es-CO"/>
    </w:rPr>
  </w:style>
  <w:style w:type="paragraph" w:customStyle="1" w:styleId="gmail-msolistparagraph">
    <w:name w:val="gmail-msolistparagraph"/>
    <w:basedOn w:val="Normal"/>
    <w:rsid w:val="00DE5C48"/>
    <w:pPr>
      <w:widowControl/>
      <w:autoSpaceDE/>
      <w:autoSpaceDN/>
      <w:spacing w:before="100" w:beforeAutospacing="1" w:after="100" w:afterAutospacing="1" w:line="259" w:lineRule="auto"/>
    </w:pPr>
    <w:rPr>
      <w:rFonts w:ascii="Calibri" w:eastAsia="Calibri" w:hAnsi="Calibri" w:cstheme="minorBidi"/>
      <w:lang w:val="es-CO" w:eastAsia="es-CO"/>
    </w:rPr>
  </w:style>
  <w:style w:type="paragraph" w:customStyle="1" w:styleId="Estilo">
    <w:name w:val="Estilo"/>
    <w:rsid w:val="00DE5C48"/>
    <w:pPr>
      <w:widowControl w:val="0"/>
      <w:suppressAutoHyphens/>
      <w:autoSpaceDE w:val="0"/>
      <w:spacing w:after="0" w:line="240" w:lineRule="auto"/>
    </w:pPr>
    <w:rPr>
      <w:rFonts w:ascii="Arial" w:eastAsia="Arial" w:hAnsi="Arial" w:cs="Arial"/>
      <w:sz w:val="24"/>
      <w:szCs w:val="24"/>
      <w:lang w:val="es-ES" w:eastAsia="ar-SA"/>
    </w:rPr>
  </w:style>
  <w:style w:type="paragraph" w:customStyle="1" w:styleId="Cuadrculamedia21">
    <w:name w:val="Cuadrícula media 21"/>
    <w:link w:val="Cuadrculamedia2Car"/>
    <w:uiPriority w:val="1"/>
    <w:qFormat/>
    <w:rsid w:val="00DE5C48"/>
    <w:pPr>
      <w:spacing w:after="0" w:line="240" w:lineRule="auto"/>
    </w:pPr>
    <w:rPr>
      <w:rFonts w:ascii="Calibri" w:eastAsia="Calibri" w:hAnsi="Calibri" w:cs="Times New Roman"/>
    </w:rPr>
  </w:style>
  <w:style w:type="character" w:customStyle="1" w:styleId="Cuadrculamedia2Car">
    <w:name w:val="Cuadrícula media 2 Car"/>
    <w:link w:val="Cuadrculamedia21"/>
    <w:uiPriority w:val="1"/>
    <w:rsid w:val="00DE5C48"/>
    <w:rPr>
      <w:rFonts w:ascii="Calibri" w:eastAsia="Calibri" w:hAnsi="Calibri" w:cs="Times New Roman"/>
    </w:rPr>
  </w:style>
  <w:style w:type="paragraph" w:customStyle="1" w:styleId="03Cuerpo">
    <w:name w:val="03Cuerpo"/>
    <w:basedOn w:val="Normal"/>
    <w:rsid w:val="00DE5C48"/>
    <w:pPr>
      <w:widowControl/>
      <w:overflowPunct w:val="0"/>
      <w:spacing w:after="160" w:line="240" w:lineRule="atLeast"/>
      <w:ind w:firstLine="454"/>
      <w:jc w:val="both"/>
    </w:pPr>
    <w:rPr>
      <w:rFonts w:ascii="Book Antiqua" w:eastAsia="Calibri" w:hAnsi="Book Antiqua" w:cstheme="minorBidi"/>
    </w:rPr>
  </w:style>
  <w:style w:type="paragraph" w:styleId="Encabezadodemensaje">
    <w:name w:val="Message Header"/>
    <w:basedOn w:val="Normal"/>
    <w:link w:val="EncabezadodemensajeCar"/>
    <w:rsid w:val="00DE5C48"/>
    <w:pPr>
      <w:widowControl/>
      <w:pBdr>
        <w:top w:val="single" w:sz="6" w:space="1" w:color="auto"/>
        <w:left w:val="single" w:sz="6" w:space="1" w:color="auto"/>
        <w:bottom w:val="single" w:sz="6" w:space="1" w:color="auto"/>
        <w:right w:val="single" w:sz="6" w:space="1" w:color="auto"/>
      </w:pBdr>
      <w:shd w:val="pct20" w:color="auto" w:fill="auto"/>
      <w:autoSpaceDE/>
      <w:autoSpaceDN/>
      <w:spacing w:after="160" w:line="259" w:lineRule="auto"/>
      <w:ind w:left="1134" w:hanging="1134"/>
    </w:pPr>
    <w:rPr>
      <w:rFonts w:ascii="Cambria" w:eastAsiaTheme="minorEastAsia" w:hAnsi="Cambria" w:cstheme="minorBidi"/>
    </w:rPr>
  </w:style>
  <w:style w:type="character" w:customStyle="1" w:styleId="EncabezadodemensajeCar">
    <w:name w:val="Encabezado de mensaje Car"/>
    <w:basedOn w:val="Fuentedeprrafopredeter"/>
    <w:link w:val="Encabezadodemensaje"/>
    <w:rsid w:val="00DE5C48"/>
    <w:rPr>
      <w:rFonts w:ascii="Cambria" w:eastAsiaTheme="minorEastAsia" w:hAnsi="Cambria"/>
      <w:shd w:val="pct20" w:color="auto" w:fill="auto"/>
      <w:lang w:val="es-ES"/>
    </w:rPr>
  </w:style>
  <w:style w:type="paragraph" w:customStyle="1" w:styleId="ListaCC">
    <w:name w:val="Lista CC."/>
    <w:basedOn w:val="Normal"/>
    <w:rsid w:val="00DE5C48"/>
    <w:pPr>
      <w:widowControl/>
      <w:autoSpaceDE/>
      <w:autoSpaceDN/>
      <w:spacing w:after="160" w:line="259" w:lineRule="auto"/>
    </w:pPr>
    <w:rPr>
      <w:rFonts w:asciiTheme="minorHAnsi" w:eastAsiaTheme="minorEastAsia" w:hAnsiTheme="minorHAnsi" w:cstheme="minorBidi"/>
    </w:rPr>
  </w:style>
  <w:style w:type="paragraph" w:customStyle="1" w:styleId="Direccininterior">
    <w:name w:val="Dirección interior"/>
    <w:basedOn w:val="Normal"/>
    <w:rsid w:val="00DE5C48"/>
    <w:pPr>
      <w:widowControl/>
      <w:autoSpaceDE/>
      <w:autoSpaceDN/>
      <w:spacing w:after="160" w:line="259" w:lineRule="auto"/>
    </w:pPr>
    <w:rPr>
      <w:rFonts w:asciiTheme="minorHAnsi" w:eastAsiaTheme="minorEastAsia" w:hAnsiTheme="minorHAnsi" w:cstheme="minorBidi"/>
    </w:rPr>
  </w:style>
  <w:style w:type="paragraph" w:styleId="Firma">
    <w:name w:val="Signature"/>
    <w:basedOn w:val="Normal"/>
    <w:link w:val="FirmaCar"/>
    <w:rsid w:val="00DE5C48"/>
    <w:pPr>
      <w:widowControl/>
      <w:autoSpaceDE/>
      <w:autoSpaceDN/>
      <w:spacing w:after="160" w:line="259" w:lineRule="auto"/>
      <w:ind w:left="4252"/>
    </w:pPr>
    <w:rPr>
      <w:rFonts w:asciiTheme="minorHAnsi" w:eastAsiaTheme="minorEastAsia" w:hAnsiTheme="minorHAnsi" w:cstheme="minorBidi"/>
    </w:rPr>
  </w:style>
  <w:style w:type="character" w:customStyle="1" w:styleId="FirmaCar">
    <w:name w:val="Firma Car"/>
    <w:basedOn w:val="Fuentedeprrafopredeter"/>
    <w:link w:val="Firma"/>
    <w:rsid w:val="00DE5C48"/>
    <w:rPr>
      <w:rFonts w:eastAsiaTheme="minorEastAsia"/>
      <w:lang w:val="es-ES"/>
    </w:rPr>
  </w:style>
  <w:style w:type="paragraph" w:customStyle="1" w:styleId="Infodocumentosadjuntos">
    <w:name w:val="Info documentos adjuntos"/>
    <w:basedOn w:val="Normal"/>
    <w:rsid w:val="00DE5C48"/>
    <w:pPr>
      <w:widowControl/>
      <w:autoSpaceDE/>
      <w:autoSpaceDN/>
      <w:spacing w:after="160" w:line="259" w:lineRule="auto"/>
    </w:pPr>
    <w:rPr>
      <w:rFonts w:asciiTheme="minorHAnsi" w:eastAsiaTheme="minorEastAsia" w:hAnsiTheme="minorHAnsi" w:cstheme="minorBidi"/>
    </w:rPr>
  </w:style>
  <w:style w:type="paragraph" w:styleId="Sangranormal">
    <w:name w:val="Normal Indent"/>
    <w:basedOn w:val="Normal"/>
    <w:rsid w:val="00DE5C48"/>
    <w:pPr>
      <w:widowControl/>
      <w:autoSpaceDE/>
      <w:autoSpaceDN/>
      <w:spacing w:after="160" w:line="259" w:lineRule="auto"/>
      <w:ind w:left="708"/>
    </w:pPr>
    <w:rPr>
      <w:rFonts w:asciiTheme="minorHAnsi" w:eastAsiaTheme="minorEastAsia" w:hAnsiTheme="minorHAnsi" w:cstheme="minorBidi"/>
    </w:rPr>
  </w:style>
  <w:style w:type="paragraph" w:customStyle="1" w:styleId="western">
    <w:name w:val="western"/>
    <w:basedOn w:val="Normal"/>
    <w:rsid w:val="00DE5C48"/>
    <w:pPr>
      <w:widowControl/>
      <w:autoSpaceDE/>
      <w:autoSpaceDN/>
      <w:spacing w:before="100" w:beforeAutospacing="1" w:after="160" w:line="259" w:lineRule="auto"/>
      <w:jc w:val="both"/>
    </w:pPr>
    <w:rPr>
      <w:rFonts w:asciiTheme="minorHAnsi" w:eastAsiaTheme="minorEastAsia" w:hAnsiTheme="minorHAnsi" w:cstheme="minorBidi"/>
      <w:lang w:eastAsia="ja-JP"/>
    </w:rPr>
  </w:style>
  <w:style w:type="table" w:styleId="Tablaconlista4">
    <w:name w:val="Table List 4"/>
    <w:basedOn w:val="Tablanormal"/>
    <w:rsid w:val="00DE5C48"/>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cuadrculaclara">
    <w:name w:val="Grid Table Light"/>
    <w:basedOn w:val="Tablanormal"/>
    <w:uiPriority w:val="40"/>
    <w:rsid w:val="00DE5C48"/>
    <w:pPr>
      <w:spacing w:after="0" w:line="240" w:lineRule="auto"/>
    </w:pPr>
    <w:rPr>
      <w:rFonts w:eastAsiaTheme="minorEastAsia"/>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Num6">
    <w:name w:val="WWNum6"/>
    <w:basedOn w:val="Sinlista"/>
    <w:rsid w:val="00DE5C48"/>
    <w:pPr>
      <w:numPr>
        <w:numId w:val="15"/>
      </w:numPr>
    </w:pPr>
  </w:style>
  <w:style w:type="paragraph" w:customStyle="1" w:styleId="centrado">
    <w:name w:val="centrado"/>
    <w:basedOn w:val="Normal"/>
    <w:rsid w:val="00DE5C48"/>
    <w:pPr>
      <w:widowControl/>
      <w:autoSpaceDE/>
      <w:autoSpaceDN/>
      <w:spacing w:before="100" w:beforeAutospacing="1" w:after="100" w:afterAutospacing="1" w:line="259" w:lineRule="auto"/>
    </w:pPr>
    <w:rPr>
      <w:rFonts w:asciiTheme="minorHAnsi" w:eastAsiaTheme="minorEastAsia" w:hAnsiTheme="minorHAnsi" w:cstheme="minorBidi"/>
    </w:rPr>
  </w:style>
  <w:style w:type="paragraph" w:customStyle="1" w:styleId="CM215">
    <w:name w:val="CM215"/>
    <w:basedOn w:val="Default"/>
    <w:next w:val="Default"/>
    <w:uiPriority w:val="99"/>
    <w:rsid w:val="00DE5C48"/>
    <w:rPr>
      <w:color w:val="auto"/>
    </w:rPr>
  </w:style>
  <w:style w:type="character" w:styleId="nfasisintenso">
    <w:name w:val="Intense Emphasis"/>
    <w:basedOn w:val="Fuentedeprrafopredeter"/>
    <w:uiPriority w:val="21"/>
    <w:qFormat/>
    <w:rsid w:val="00DE5C48"/>
    <w:rPr>
      <w:b/>
      <w:bCs/>
      <w:i/>
      <w:iCs/>
      <w:caps/>
    </w:rPr>
  </w:style>
  <w:style w:type="character" w:styleId="Referenciasutil">
    <w:name w:val="Subtle Reference"/>
    <w:basedOn w:val="Fuentedeprrafopredeter"/>
    <w:uiPriority w:val="31"/>
    <w:qFormat/>
    <w:rsid w:val="00DE5C48"/>
    <w:rPr>
      <w:smallCaps/>
      <w:color w:val="404040" w:themeColor="text1" w:themeTint="BF"/>
      <w:u w:val="single" w:color="7F7F7F" w:themeColor="text1" w:themeTint="80"/>
    </w:rPr>
  </w:style>
  <w:style w:type="character" w:styleId="Ttulodellibro">
    <w:name w:val="Book Title"/>
    <w:basedOn w:val="Fuentedeprrafopredeter"/>
    <w:uiPriority w:val="33"/>
    <w:qFormat/>
    <w:rsid w:val="00DE5C48"/>
    <w:rPr>
      <w:b w:val="0"/>
      <w:bCs w:val="0"/>
      <w:smallCaps/>
      <w:spacing w:val="5"/>
    </w:rPr>
  </w:style>
  <w:style w:type="paragraph" w:customStyle="1" w:styleId="CM195">
    <w:name w:val="CM195"/>
    <w:basedOn w:val="Default"/>
    <w:next w:val="Default"/>
    <w:uiPriority w:val="99"/>
    <w:rsid w:val="00DE5C48"/>
    <w:rPr>
      <w:rFonts w:eastAsiaTheme="minorEastAsia"/>
      <w:color w:val="auto"/>
    </w:rPr>
  </w:style>
  <w:style w:type="paragraph" w:customStyle="1" w:styleId="Pa2">
    <w:name w:val="Pa2"/>
    <w:basedOn w:val="Default"/>
    <w:next w:val="Default"/>
    <w:uiPriority w:val="99"/>
    <w:rsid w:val="00DE5C48"/>
    <w:pPr>
      <w:spacing w:line="201" w:lineRule="atLeast"/>
    </w:pPr>
    <w:rPr>
      <w:rFonts w:ascii="NewsGoth BT" w:eastAsiaTheme="minorEastAsia" w:hAnsi="NewsGoth BT" w:cstheme="minorBidi"/>
      <w:color w:val="auto"/>
    </w:rPr>
  </w:style>
  <w:style w:type="paragraph" w:customStyle="1" w:styleId="Pa01">
    <w:name w:val="Pa0+1"/>
    <w:basedOn w:val="Default"/>
    <w:next w:val="Default"/>
    <w:uiPriority w:val="99"/>
    <w:rsid w:val="00DE5C48"/>
    <w:pPr>
      <w:spacing w:line="141" w:lineRule="atLeast"/>
    </w:pPr>
    <w:rPr>
      <w:rFonts w:ascii="Bitter" w:eastAsiaTheme="minorEastAsia" w:hAnsi="Bitter" w:cstheme="minorBidi"/>
      <w:color w:val="auto"/>
    </w:rPr>
  </w:style>
  <w:style w:type="character" w:customStyle="1" w:styleId="A01">
    <w:name w:val="A0+1"/>
    <w:uiPriority w:val="99"/>
    <w:rsid w:val="00DE5C48"/>
    <w:rPr>
      <w:rFonts w:cs="Bitter"/>
      <w:b/>
      <w:bCs/>
      <w:color w:val="000000"/>
      <w:sz w:val="48"/>
      <w:szCs w:val="48"/>
    </w:rPr>
  </w:style>
  <w:style w:type="character" w:customStyle="1" w:styleId="A11">
    <w:name w:val="A1+1"/>
    <w:uiPriority w:val="99"/>
    <w:rsid w:val="00DE5C48"/>
    <w:rPr>
      <w:rFonts w:cs="Bitter"/>
      <w:b/>
      <w:bCs/>
      <w:color w:val="000000"/>
      <w:sz w:val="36"/>
      <w:szCs w:val="36"/>
    </w:rPr>
  </w:style>
  <w:style w:type="character" w:customStyle="1" w:styleId="A2">
    <w:name w:val="A2"/>
    <w:uiPriority w:val="99"/>
    <w:rsid w:val="00DE5C48"/>
    <w:rPr>
      <w:rFonts w:cs="Bitter"/>
      <w:b/>
      <w:bCs/>
      <w:color w:val="000000"/>
      <w:sz w:val="28"/>
      <w:szCs w:val="28"/>
    </w:rPr>
  </w:style>
  <w:style w:type="paragraph" w:customStyle="1" w:styleId="DecimalAligned">
    <w:name w:val="Decimal Aligned"/>
    <w:basedOn w:val="Normal"/>
    <w:uiPriority w:val="40"/>
    <w:qFormat/>
    <w:rsid w:val="00DE5C48"/>
    <w:pPr>
      <w:widowControl/>
      <w:tabs>
        <w:tab w:val="decimal" w:pos="360"/>
      </w:tabs>
      <w:autoSpaceDE/>
      <w:autoSpaceDN/>
      <w:spacing w:after="200" w:line="276" w:lineRule="auto"/>
    </w:pPr>
    <w:rPr>
      <w:rFonts w:ascii="Calibri" w:eastAsia="Times New Roman" w:hAnsi="Calibri" w:cs="Times New Roman"/>
    </w:rPr>
  </w:style>
  <w:style w:type="table" w:styleId="Sombreadoclaro-nfasis1">
    <w:name w:val="Light Shading Accent 1"/>
    <w:basedOn w:val="Tablanormal"/>
    <w:uiPriority w:val="60"/>
    <w:rsid w:val="00DE5C48"/>
    <w:pPr>
      <w:spacing w:after="0" w:line="240" w:lineRule="auto"/>
    </w:pPr>
    <w:rPr>
      <w:rFonts w:ascii="Calibri" w:eastAsia="Times New Roman" w:hAnsi="Calibri"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11">
    <w:name w:val="Pa11"/>
    <w:basedOn w:val="Normal"/>
    <w:next w:val="Normal"/>
    <w:uiPriority w:val="99"/>
    <w:rsid w:val="00DE5C48"/>
    <w:pPr>
      <w:widowControl/>
      <w:adjustRightInd w:val="0"/>
      <w:spacing w:line="217" w:lineRule="atLeast"/>
    </w:pPr>
    <w:rPr>
      <w:rFonts w:ascii="FCIJYN+Helvetica" w:eastAsia="Calibri" w:hAnsi="FCIJYN+Helvetica" w:cs="Times New Roman"/>
      <w:sz w:val="24"/>
      <w:szCs w:val="24"/>
    </w:rPr>
  </w:style>
  <w:style w:type="paragraph" w:customStyle="1" w:styleId="p9">
    <w:name w:val="p9"/>
    <w:basedOn w:val="Normal"/>
    <w:rsid w:val="00DE5C48"/>
    <w:pPr>
      <w:tabs>
        <w:tab w:val="left" w:pos="1960"/>
      </w:tabs>
      <w:autoSpaceDE/>
      <w:autoSpaceDN/>
      <w:spacing w:line="260" w:lineRule="atLeast"/>
      <w:ind w:left="576" w:hanging="1728"/>
    </w:pPr>
    <w:rPr>
      <w:rFonts w:ascii="Arial" w:eastAsia="Times New Roman" w:hAnsi="Arial" w:cs="Times New Roman"/>
      <w:sz w:val="24"/>
      <w:szCs w:val="20"/>
      <w:lang w:val="es-ES_tradnl" w:eastAsia="es-ES"/>
    </w:rPr>
  </w:style>
  <w:style w:type="character" w:customStyle="1" w:styleId="Mencinsinresolver1">
    <w:name w:val="Mención sin resolver1"/>
    <w:uiPriority w:val="99"/>
    <w:semiHidden/>
    <w:unhideWhenUsed/>
    <w:rsid w:val="00DE5C48"/>
    <w:rPr>
      <w:color w:val="605E5C"/>
      <w:shd w:val="clear" w:color="auto" w:fill="E1DFDD"/>
    </w:rPr>
  </w:style>
  <w:style w:type="character" w:customStyle="1" w:styleId="Mencinsinresolver2">
    <w:name w:val="Mención sin resolver2"/>
    <w:basedOn w:val="Fuentedeprrafopredeter"/>
    <w:uiPriority w:val="99"/>
    <w:semiHidden/>
    <w:unhideWhenUsed/>
    <w:rsid w:val="00DE5C48"/>
    <w:rPr>
      <w:color w:val="605E5C"/>
      <w:shd w:val="clear" w:color="auto" w:fill="E1DFDD"/>
    </w:rPr>
  </w:style>
  <w:style w:type="paragraph" w:customStyle="1" w:styleId="Normal0">
    <w:name w:val="[Normal]"/>
    <w:uiPriority w:val="99"/>
    <w:rsid w:val="00DE5C48"/>
    <w:pPr>
      <w:widowControl w:val="0"/>
      <w:autoSpaceDE w:val="0"/>
      <w:autoSpaceDN w:val="0"/>
      <w:adjustRightInd w:val="0"/>
      <w:spacing w:after="0" w:line="240" w:lineRule="auto"/>
    </w:pPr>
    <w:rPr>
      <w:rFonts w:ascii="Arial" w:eastAsiaTheme="minorEastAsia" w:hAnsi="Arial" w:cs="Arial"/>
      <w:sz w:val="24"/>
      <w:szCs w:val="24"/>
      <w:lang w:val="es-ES" w:eastAsia="es-ES"/>
    </w:rPr>
  </w:style>
  <w:style w:type="character" w:customStyle="1" w:styleId="cf01">
    <w:name w:val="cf01"/>
    <w:basedOn w:val="Fuentedeprrafopredeter"/>
    <w:rsid w:val="00DE5C48"/>
    <w:rPr>
      <w:rFonts w:ascii="Segoe UI" w:hAnsi="Segoe UI" w:cs="Segoe UI" w:hint="default"/>
      <w:sz w:val="18"/>
      <w:szCs w:val="18"/>
    </w:rPr>
  </w:style>
  <w:style w:type="character" w:customStyle="1" w:styleId="ui-provider">
    <w:name w:val="ui-provider"/>
    <w:basedOn w:val="Fuentedeprrafopredeter"/>
    <w:rsid w:val="00B37432"/>
  </w:style>
  <w:style w:type="table" w:customStyle="1" w:styleId="TableNormal3">
    <w:name w:val="Table Normal3"/>
    <w:uiPriority w:val="2"/>
    <w:semiHidden/>
    <w:unhideWhenUsed/>
    <w:qFormat/>
    <w:rsid w:val="005251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51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7">
    <w:name w:val="TableGrid17"/>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8">
    <w:name w:val="TableGrid18"/>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9">
    <w:name w:val="TableGrid19"/>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0">
    <w:name w:val="TableGrid20"/>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1">
    <w:name w:val="TableGrid21"/>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2">
    <w:name w:val="TableGrid22"/>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3">
    <w:name w:val="TableGrid23"/>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4">
    <w:name w:val="TableGrid24"/>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5">
    <w:name w:val="TableGrid25"/>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6">
    <w:name w:val="TableGrid26"/>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7">
    <w:name w:val="TableGrid27"/>
    <w:rsid w:val="0052519C"/>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28">
    <w:name w:val="TableGrid28"/>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9">
    <w:name w:val="TableGrid29"/>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0">
    <w:name w:val="TableGrid30"/>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1">
    <w:name w:val="TableGrid31"/>
    <w:rsid w:val="0052519C"/>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2">
    <w:name w:val="TableGrid32"/>
    <w:rsid w:val="0052519C"/>
    <w:pPr>
      <w:spacing w:after="0" w:line="240" w:lineRule="auto"/>
    </w:pPr>
    <w:rPr>
      <w:rFonts w:eastAsia="Times New Roman"/>
      <w:lang w:eastAsia="es-CO"/>
    </w:rPr>
    <w:tblPr>
      <w:tblCellMar>
        <w:top w:w="0" w:type="dxa"/>
        <w:left w:w="0" w:type="dxa"/>
        <w:bottom w:w="0" w:type="dxa"/>
        <w:right w:w="0" w:type="dxa"/>
      </w:tblCellMar>
    </w:tblPr>
  </w:style>
  <w:style w:type="character" w:customStyle="1" w:styleId="Other">
    <w:name w:val="Other_"/>
    <w:basedOn w:val="Fuentedeprrafopredeter"/>
    <w:link w:val="Other0"/>
    <w:rsid w:val="00561B22"/>
    <w:rPr>
      <w:rFonts w:ascii="Arial" w:eastAsia="Arial" w:hAnsi="Arial" w:cs="Arial"/>
      <w:sz w:val="10"/>
      <w:szCs w:val="10"/>
    </w:rPr>
  </w:style>
  <w:style w:type="paragraph" w:customStyle="1" w:styleId="Other0">
    <w:name w:val="Other"/>
    <w:basedOn w:val="Normal"/>
    <w:link w:val="Other"/>
    <w:rsid w:val="00561B22"/>
    <w:pPr>
      <w:autoSpaceDE/>
      <w:autoSpaceDN/>
    </w:pPr>
    <w:rPr>
      <w:rFonts w:ascii="Arial" w:eastAsia="Arial" w:hAnsi="Arial" w:cs="Arial"/>
      <w:sz w:val="10"/>
      <w:szCs w:val="1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23534">
      <w:bodyDiv w:val="1"/>
      <w:marLeft w:val="0"/>
      <w:marRight w:val="0"/>
      <w:marTop w:val="0"/>
      <w:marBottom w:val="0"/>
      <w:divBdr>
        <w:top w:val="none" w:sz="0" w:space="0" w:color="auto"/>
        <w:left w:val="none" w:sz="0" w:space="0" w:color="auto"/>
        <w:bottom w:val="none" w:sz="0" w:space="0" w:color="auto"/>
        <w:right w:val="none" w:sz="0" w:space="0" w:color="auto"/>
      </w:divBdr>
    </w:div>
    <w:div w:id="763770537">
      <w:bodyDiv w:val="1"/>
      <w:marLeft w:val="0"/>
      <w:marRight w:val="0"/>
      <w:marTop w:val="0"/>
      <w:marBottom w:val="0"/>
      <w:divBdr>
        <w:top w:val="none" w:sz="0" w:space="0" w:color="auto"/>
        <w:left w:val="none" w:sz="0" w:space="0" w:color="auto"/>
        <w:bottom w:val="none" w:sz="0" w:space="0" w:color="auto"/>
        <w:right w:val="none" w:sz="0" w:space="0" w:color="auto"/>
      </w:divBdr>
    </w:div>
    <w:div w:id="16226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EFE2B-BEE6-40A6-9397-C060C55CB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578</Pages>
  <Words>223547</Words>
  <Characters>1229514</Characters>
  <Application>Microsoft Office Word</Application>
  <DocSecurity>0</DocSecurity>
  <Lines>10245</Lines>
  <Paragraphs>2900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1450161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Fabian Humberto Trujillo Arismendy</cp:lastModifiedBy>
  <cp:revision>70</cp:revision>
  <dcterms:created xsi:type="dcterms:W3CDTF">2025-09-10T17:16:00Z</dcterms:created>
  <dcterms:modified xsi:type="dcterms:W3CDTF">2025-10-08T20:10:00Z</dcterms:modified>
</cp:coreProperties>
</file>